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2.xml" ContentType="application/vnd.openxmlformats-officedocument.wordprocessingml.header+xml"/>
  <Override PartName="/word/footer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7EC06" w14:textId="77777777" w:rsidR="00C16633" w:rsidRDefault="00C16633" w:rsidP="00C16633">
      <w:pPr>
        <w:jc w:val="center"/>
        <w:rPr>
          <w:rFonts w:hint="cs"/>
          <w:b/>
          <w:bCs/>
          <w:color w:val="424241"/>
          <w:sz w:val="56"/>
          <w:szCs w:val="56"/>
        </w:rPr>
      </w:pPr>
    </w:p>
    <w:p w14:paraId="2653791C" w14:textId="77777777" w:rsidR="00C16633" w:rsidRDefault="00C16633" w:rsidP="00C16633">
      <w:pPr>
        <w:jc w:val="center"/>
        <w:rPr>
          <w:b/>
          <w:bCs/>
          <w:color w:val="424241"/>
          <w:sz w:val="56"/>
          <w:szCs w:val="56"/>
          <w:rtl/>
        </w:rPr>
      </w:pPr>
    </w:p>
    <w:p w14:paraId="74142238" w14:textId="77777777" w:rsidR="00C16633" w:rsidRDefault="00C16633" w:rsidP="00C16633">
      <w:pPr>
        <w:jc w:val="center"/>
        <w:rPr>
          <w:b/>
          <w:bCs/>
          <w:color w:val="424241"/>
          <w:sz w:val="56"/>
          <w:szCs w:val="56"/>
          <w:rtl/>
        </w:rPr>
      </w:pPr>
    </w:p>
    <w:p w14:paraId="4B99A108" w14:textId="77777777" w:rsidR="00C16633" w:rsidRDefault="00C16633" w:rsidP="00C16633">
      <w:pPr>
        <w:jc w:val="center"/>
        <w:rPr>
          <w:b/>
          <w:bCs/>
          <w:color w:val="424241"/>
          <w:sz w:val="56"/>
          <w:szCs w:val="56"/>
          <w:rtl/>
        </w:rPr>
      </w:pPr>
    </w:p>
    <w:p w14:paraId="6A772258" w14:textId="77777777" w:rsidR="00C16633" w:rsidRDefault="00C16633" w:rsidP="00C16633">
      <w:pPr>
        <w:jc w:val="center"/>
        <w:rPr>
          <w:b/>
          <w:bCs/>
          <w:color w:val="424241"/>
          <w:sz w:val="56"/>
          <w:szCs w:val="56"/>
          <w:rtl/>
        </w:rPr>
      </w:pPr>
    </w:p>
    <w:p w14:paraId="3BB76112" w14:textId="77777777" w:rsidR="00C16633" w:rsidRDefault="00C16633" w:rsidP="00C16633">
      <w:pPr>
        <w:jc w:val="center"/>
        <w:rPr>
          <w:b/>
          <w:bCs/>
          <w:color w:val="424241"/>
          <w:sz w:val="56"/>
          <w:szCs w:val="56"/>
          <w:rtl/>
        </w:rPr>
      </w:pPr>
    </w:p>
    <w:p w14:paraId="5F6CCA96" w14:textId="77777777" w:rsidR="00C16633" w:rsidRDefault="00C16633" w:rsidP="00C16633">
      <w:pPr>
        <w:jc w:val="center"/>
        <w:rPr>
          <w:b/>
          <w:bCs/>
          <w:color w:val="424241"/>
          <w:sz w:val="56"/>
          <w:szCs w:val="56"/>
          <w:rtl/>
        </w:rPr>
      </w:pPr>
    </w:p>
    <w:p w14:paraId="2B778F95" w14:textId="77777777" w:rsidR="00C16633" w:rsidRDefault="00C16633" w:rsidP="00C16633">
      <w:pPr>
        <w:jc w:val="center"/>
        <w:rPr>
          <w:b/>
          <w:bCs/>
          <w:color w:val="424241"/>
          <w:sz w:val="56"/>
          <w:szCs w:val="56"/>
          <w:rtl/>
        </w:rPr>
      </w:pPr>
    </w:p>
    <w:p w14:paraId="5D985925" w14:textId="77777777" w:rsidR="00C16633" w:rsidRDefault="00C16633" w:rsidP="00C16633">
      <w:pPr>
        <w:jc w:val="center"/>
        <w:rPr>
          <w:b/>
          <w:bCs/>
          <w:color w:val="424241"/>
          <w:sz w:val="56"/>
          <w:szCs w:val="56"/>
          <w:rtl/>
        </w:rPr>
      </w:pPr>
    </w:p>
    <w:p w14:paraId="041B2250" w14:textId="77777777" w:rsidR="00C16633" w:rsidRDefault="00C16633" w:rsidP="00C16633">
      <w:pPr>
        <w:jc w:val="center"/>
        <w:rPr>
          <w:b/>
          <w:bCs/>
          <w:color w:val="424241"/>
          <w:sz w:val="56"/>
          <w:szCs w:val="56"/>
          <w:rtl/>
        </w:rPr>
      </w:pPr>
    </w:p>
    <w:p w14:paraId="6B4FDA44" w14:textId="67648A8D" w:rsidR="00627033" w:rsidRPr="00BC2F81" w:rsidRDefault="00012ECA" w:rsidP="00C16633">
      <w:pPr>
        <w:jc w:val="center"/>
        <w:rPr>
          <w:b/>
          <w:bCs/>
          <w:color w:val="424241"/>
          <w:sz w:val="56"/>
          <w:szCs w:val="56"/>
          <w:rtl/>
        </w:rPr>
      </w:pPr>
      <w:r>
        <w:rPr>
          <w:rFonts w:hint="cs"/>
          <w:b/>
          <w:bCs/>
          <w:color w:val="424241"/>
          <w:sz w:val="56"/>
          <w:szCs w:val="56"/>
          <w:rtl/>
        </w:rPr>
        <w:t>ת</w:t>
      </w:r>
      <w:r w:rsidR="00627033" w:rsidRPr="00BC2F81">
        <w:rPr>
          <w:rFonts w:hint="cs"/>
          <w:b/>
          <w:bCs/>
          <w:color w:val="424241"/>
          <w:sz w:val="56"/>
          <w:szCs w:val="56"/>
          <w:rtl/>
        </w:rPr>
        <w:t>מצית דוחות כספיים ביניים לדוגמה</w:t>
      </w:r>
    </w:p>
    <w:p w14:paraId="71755185" w14:textId="7084AAC2" w:rsidR="00627033" w:rsidRPr="009C3D94" w:rsidRDefault="00627033" w:rsidP="00627033">
      <w:pPr>
        <w:spacing w:line="360" w:lineRule="auto"/>
        <w:jc w:val="center"/>
        <w:rPr>
          <w:b/>
          <w:bCs/>
          <w:color w:val="FF0000"/>
          <w:sz w:val="56"/>
          <w:szCs w:val="56"/>
          <w:rtl/>
        </w:rPr>
      </w:pPr>
      <w:r w:rsidRPr="009C3D94">
        <w:rPr>
          <w:b/>
          <w:bCs/>
          <w:color w:val="FF0000"/>
          <w:sz w:val="56"/>
          <w:szCs w:val="56"/>
          <w:rtl/>
        </w:rPr>
        <w:t>לתאגידים בנקאיים</w:t>
      </w:r>
    </w:p>
    <w:p w14:paraId="3CC54E08" w14:textId="2EDDC3B6" w:rsidR="00627033" w:rsidRPr="00BC2F81" w:rsidRDefault="00627033" w:rsidP="0029284C">
      <w:pPr>
        <w:spacing w:line="360" w:lineRule="auto"/>
        <w:jc w:val="center"/>
        <w:rPr>
          <w:b/>
          <w:bCs/>
          <w:color w:val="424241"/>
          <w:sz w:val="56"/>
          <w:szCs w:val="56"/>
          <w:rtl/>
        </w:rPr>
      </w:pPr>
      <w:r w:rsidRPr="00BC2F81">
        <w:rPr>
          <w:b/>
          <w:bCs/>
          <w:color w:val="424241"/>
          <w:sz w:val="56"/>
          <w:szCs w:val="56"/>
          <w:rtl/>
        </w:rPr>
        <w:t xml:space="preserve">ליום </w:t>
      </w:r>
      <w:r w:rsidRPr="00BC2F81">
        <w:rPr>
          <w:rFonts w:hint="cs"/>
          <w:b/>
          <w:bCs/>
          <w:color w:val="424241"/>
          <w:sz w:val="56"/>
          <w:szCs w:val="56"/>
          <w:rtl/>
        </w:rPr>
        <w:t>30</w:t>
      </w:r>
      <w:r w:rsidRPr="00BC2F81">
        <w:rPr>
          <w:b/>
          <w:bCs/>
          <w:color w:val="424241"/>
          <w:sz w:val="56"/>
          <w:szCs w:val="56"/>
          <w:rtl/>
        </w:rPr>
        <w:t xml:space="preserve"> ב</w:t>
      </w:r>
      <w:r w:rsidRPr="00BC2F81">
        <w:rPr>
          <w:rFonts w:hint="cs"/>
          <w:b/>
          <w:bCs/>
          <w:color w:val="424241"/>
          <w:sz w:val="56"/>
          <w:szCs w:val="56"/>
          <w:rtl/>
        </w:rPr>
        <w:t>יוני</w:t>
      </w:r>
      <w:r w:rsidR="00846FF7">
        <w:rPr>
          <w:b/>
          <w:bCs/>
          <w:color w:val="424241"/>
          <w:sz w:val="56"/>
          <w:szCs w:val="56"/>
          <w:rtl/>
        </w:rPr>
        <w:fldChar w:fldCharType="begin"/>
      </w:r>
      <w:r w:rsidR="00846FF7">
        <w:rPr>
          <w:b/>
          <w:bCs/>
          <w:color w:val="424241"/>
          <w:sz w:val="56"/>
          <w:szCs w:val="56"/>
          <w:rtl/>
        </w:rPr>
        <w:instrText xml:space="preserve"> </w:instrText>
      </w:r>
      <w:r w:rsidR="00846FF7" w:rsidRPr="0013359D">
        <w:rPr>
          <w:b/>
          <w:bCs/>
          <w:color w:val="424241"/>
          <w:sz w:val="56"/>
          <w:szCs w:val="56"/>
        </w:rPr>
        <w:instrText xml:space="preserve">SET  CY </w:instrText>
      </w:r>
      <w:r w:rsidR="003A584F">
        <w:rPr>
          <w:b/>
          <w:bCs/>
          <w:color w:val="424241"/>
          <w:sz w:val="56"/>
          <w:szCs w:val="56"/>
        </w:rPr>
        <w:instrText>2024</w:instrText>
      </w:r>
      <w:r w:rsidR="00846FF7">
        <w:rPr>
          <w:b/>
          <w:bCs/>
          <w:color w:val="424241"/>
          <w:sz w:val="56"/>
          <w:szCs w:val="56"/>
          <w:rtl/>
        </w:rPr>
        <w:instrText xml:space="preserve"> </w:instrText>
      </w:r>
      <w:r w:rsidR="00846FF7">
        <w:rPr>
          <w:b/>
          <w:bCs/>
          <w:color w:val="424241"/>
          <w:sz w:val="56"/>
          <w:szCs w:val="56"/>
          <w:rtl/>
        </w:rPr>
        <w:fldChar w:fldCharType="separate"/>
      </w:r>
      <w:bookmarkStart w:id="0" w:name="CY"/>
      <w:r w:rsidR="00683FB8">
        <w:rPr>
          <w:b/>
          <w:bCs/>
          <w:noProof/>
          <w:color w:val="424241"/>
          <w:sz w:val="56"/>
          <w:szCs w:val="56"/>
        </w:rPr>
        <w:t>2024</w:t>
      </w:r>
      <w:bookmarkEnd w:id="0"/>
      <w:r w:rsidR="00846FF7">
        <w:rPr>
          <w:b/>
          <w:bCs/>
          <w:color w:val="424241"/>
          <w:sz w:val="56"/>
          <w:szCs w:val="56"/>
          <w:rtl/>
        </w:rPr>
        <w:fldChar w:fldCharType="end"/>
      </w:r>
      <w:r w:rsidR="003A584F">
        <w:rPr>
          <w:b/>
          <w:bCs/>
          <w:color w:val="424241"/>
          <w:sz w:val="56"/>
          <w:szCs w:val="56"/>
          <w:rtl/>
        </w:rPr>
        <w:fldChar w:fldCharType="begin"/>
      </w:r>
      <w:r w:rsidR="003A584F">
        <w:rPr>
          <w:b/>
          <w:bCs/>
          <w:color w:val="424241"/>
          <w:sz w:val="56"/>
          <w:szCs w:val="56"/>
          <w:rtl/>
        </w:rPr>
        <w:instrText xml:space="preserve"> </w:instrText>
      </w:r>
      <w:r w:rsidR="003A584F">
        <w:rPr>
          <w:b/>
          <w:bCs/>
          <w:color w:val="424241"/>
          <w:sz w:val="56"/>
          <w:szCs w:val="56"/>
        </w:rPr>
        <w:instrText>SET  CY 2024</w:instrText>
      </w:r>
      <w:r w:rsidR="003A584F">
        <w:rPr>
          <w:b/>
          <w:bCs/>
          <w:color w:val="424241"/>
          <w:sz w:val="56"/>
          <w:szCs w:val="56"/>
          <w:rtl/>
        </w:rPr>
        <w:instrText xml:space="preserve"> </w:instrText>
      </w:r>
      <w:r w:rsidR="003A584F">
        <w:rPr>
          <w:b/>
          <w:bCs/>
          <w:color w:val="424241"/>
          <w:sz w:val="56"/>
          <w:szCs w:val="56"/>
          <w:rtl/>
        </w:rPr>
        <w:fldChar w:fldCharType="separate"/>
      </w:r>
      <w:r w:rsidR="003A584F">
        <w:rPr>
          <w:b/>
          <w:bCs/>
          <w:noProof/>
          <w:color w:val="424241"/>
          <w:sz w:val="56"/>
          <w:szCs w:val="56"/>
        </w:rPr>
        <w:t>2024</w:t>
      </w:r>
      <w:r w:rsidR="003A584F">
        <w:rPr>
          <w:b/>
          <w:bCs/>
          <w:color w:val="424241"/>
          <w:sz w:val="56"/>
          <w:szCs w:val="56"/>
          <w:rtl/>
        </w:rPr>
        <w:fldChar w:fldCharType="end"/>
      </w:r>
      <w:r w:rsidR="00852F2A">
        <w:rPr>
          <w:b/>
          <w:bCs/>
          <w:color w:val="424241"/>
          <w:sz w:val="56"/>
          <w:szCs w:val="56"/>
          <w:rtl/>
        </w:rPr>
        <w:fldChar w:fldCharType="begin"/>
      </w:r>
      <w:r w:rsidR="00852F2A">
        <w:rPr>
          <w:b/>
          <w:bCs/>
          <w:color w:val="424241"/>
          <w:sz w:val="56"/>
          <w:szCs w:val="56"/>
          <w:rtl/>
        </w:rPr>
        <w:instrText xml:space="preserve"> </w:instrText>
      </w:r>
      <w:r w:rsidR="00852F2A">
        <w:rPr>
          <w:b/>
          <w:bCs/>
          <w:color w:val="424241"/>
          <w:sz w:val="56"/>
          <w:szCs w:val="56"/>
        </w:rPr>
        <w:instrText>SET  CY 2023</w:instrText>
      </w:r>
      <w:r w:rsidR="00852F2A">
        <w:rPr>
          <w:b/>
          <w:bCs/>
          <w:color w:val="424241"/>
          <w:sz w:val="56"/>
          <w:szCs w:val="56"/>
          <w:rtl/>
        </w:rPr>
        <w:instrText xml:space="preserve"> </w:instrText>
      </w:r>
      <w:r w:rsidR="00852F2A">
        <w:rPr>
          <w:b/>
          <w:bCs/>
          <w:color w:val="424241"/>
          <w:sz w:val="56"/>
          <w:szCs w:val="56"/>
          <w:rtl/>
        </w:rPr>
        <w:fldChar w:fldCharType="separate"/>
      </w:r>
      <w:r w:rsidR="00852F2A">
        <w:rPr>
          <w:b/>
          <w:bCs/>
          <w:noProof/>
          <w:color w:val="424241"/>
          <w:sz w:val="56"/>
          <w:szCs w:val="56"/>
        </w:rPr>
        <w:t>2023</w:t>
      </w:r>
      <w:r w:rsidR="00852F2A">
        <w:rPr>
          <w:b/>
          <w:bCs/>
          <w:color w:val="424241"/>
          <w:sz w:val="56"/>
          <w:szCs w:val="56"/>
          <w:rtl/>
        </w:rPr>
        <w:fldChar w:fldCharType="end"/>
      </w:r>
      <w:r w:rsidR="005E7C6A">
        <w:rPr>
          <w:b/>
          <w:bCs/>
          <w:color w:val="424241"/>
          <w:sz w:val="56"/>
          <w:szCs w:val="56"/>
          <w:rtl/>
        </w:rPr>
        <w:fldChar w:fldCharType="begin"/>
      </w:r>
      <w:r w:rsidR="005E7C6A">
        <w:rPr>
          <w:b/>
          <w:bCs/>
          <w:color w:val="424241"/>
          <w:sz w:val="56"/>
          <w:szCs w:val="56"/>
          <w:rtl/>
        </w:rPr>
        <w:instrText xml:space="preserve"> </w:instrText>
      </w:r>
      <w:r w:rsidR="005E7C6A">
        <w:rPr>
          <w:b/>
          <w:bCs/>
          <w:color w:val="424241"/>
          <w:sz w:val="56"/>
          <w:szCs w:val="56"/>
        </w:rPr>
        <w:instrText>SET  CY 2022</w:instrText>
      </w:r>
      <w:r w:rsidR="005E7C6A">
        <w:rPr>
          <w:b/>
          <w:bCs/>
          <w:color w:val="424241"/>
          <w:sz w:val="56"/>
          <w:szCs w:val="56"/>
          <w:rtl/>
        </w:rPr>
        <w:instrText xml:space="preserve"> </w:instrText>
      </w:r>
      <w:r w:rsidR="005E7C6A">
        <w:rPr>
          <w:b/>
          <w:bCs/>
          <w:color w:val="424241"/>
          <w:sz w:val="56"/>
          <w:szCs w:val="56"/>
          <w:rtl/>
        </w:rPr>
        <w:fldChar w:fldCharType="separate"/>
      </w:r>
      <w:r w:rsidR="00852F2A">
        <w:rPr>
          <w:b/>
          <w:bCs/>
          <w:noProof/>
          <w:color w:val="424241"/>
          <w:sz w:val="56"/>
          <w:szCs w:val="56"/>
        </w:rPr>
        <w:t>2022</w:t>
      </w:r>
      <w:r w:rsidR="005E7C6A">
        <w:rPr>
          <w:b/>
          <w:bCs/>
          <w:color w:val="424241"/>
          <w:sz w:val="56"/>
          <w:szCs w:val="56"/>
          <w:rtl/>
        </w:rPr>
        <w:fldChar w:fldCharType="end"/>
      </w:r>
      <w:r w:rsidR="001F58B3">
        <w:rPr>
          <w:b/>
          <w:bCs/>
          <w:color w:val="424241"/>
          <w:sz w:val="56"/>
          <w:szCs w:val="56"/>
          <w:rtl/>
        </w:rPr>
        <w:fldChar w:fldCharType="begin"/>
      </w:r>
      <w:r w:rsidR="001F58B3">
        <w:rPr>
          <w:b/>
          <w:bCs/>
          <w:color w:val="424241"/>
          <w:sz w:val="56"/>
          <w:szCs w:val="56"/>
          <w:rtl/>
        </w:rPr>
        <w:instrText xml:space="preserve"> </w:instrText>
      </w:r>
      <w:r w:rsidR="001F58B3">
        <w:rPr>
          <w:b/>
          <w:bCs/>
          <w:color w:val="424241"/>
          <w:sz w:val="56"/>
          <w:szCs w:val="56"/>
        </w:rPr>
        <w:instrText>SET  CY 2021</w:instrText>
      </w:r>
      <w:r w:rsidR="001F58B3">
        <w:rPr>
          <w:b/>
          <w:bCs/>
          <w:color w:val="424241"/>
          <w:sz w:val="56"/>
          <w:szCs w:val="56"/>
          <w:rtl/>
        </w:rPr>
        <w:instrText xml:space="preserve"> </w:instrText>
      </w:r>
      <w:r w:rsidR="001F58B3">
        <w:rPr>
          <w:b/>
          <w:bCs/>
          <w:color w:val="424241"/>
          <w:sz w:val="56"/>
          <w:szCs w:val="56"/>
          <w:rtl/>
        </w:rPr>
        <w:fldChar w:fldCharType="separate"/>
      </w:r>
      <w:r w:rsidR="00852F2A">
        <w:rPr>
          <w:b/>
          <w:bCs/>
          <w:noProof/>
          <w:color w:val="424241"/>
          <w:sz w:val="56"/>
          <w:szCs w:val="56"/>
        </w:rPr>
        <w:t>2021</w:t>
      </w:r>
      <w:r w:rsidR="001F58B3">
        <w:rPr>
          <w:b/>
          <w:bCs/>
          <w:color w:val="424241"/>
          <w:sz w:val="56"/>
          <w:szCs w:val="56"/>
          <w:rtl/>
        </w:rPr>
        <w:fldChar w:fldCharType="end"/>
      </w:r>
      <w:r w:rsidR="001F58B3">
        <w:rPr>
          <w:b/>
          <w:bCs/>
          <w:color w:val="424241"/>
          <w:sz w:val="56"/>
          <w:szCs w:val="56"/>
          <w:rtl/>
        </w:rPr>
        <w:fldChar w:fldCharType="begin"/>
      </w:r>
      <w:r w:rsidR="001F58B3">
        <w:rPr>
          <w:b/>
          <w:bCs/>
          <w:color w:val="424241"/>
          <w:sz w:val="56"/>
          <w:szCs w:val="56"/>
          <w:rtl/>
        </w:rPr>
        <w:instrText xml:space="preserve"> </w:instrText>
      </w:r>
      <w:r w:rsidR="001F58B3">
        <w:rPr>
          <w:b/>
          <w:bCs/>
          <w:color w:val="424241"/>
          <w:sz w:val="56"/>
          <w:szCs w:val="56"/>
        </w:rPr>
        <w:instrText>SET  CY 2022</w:instrText>
      </w:r>
      <w:r w:rsidR="001F58B3">
        <w:rPr>
          <w:b/>
          <w:bCs/>
          <w:color w:val="424241"/>
          <w:sz w:val="56"/>
          <w:szCs w:val="56"/>
          <w:rtl/>
        </w:rPr>
        <w:instrText xml:space="preserve"> </w:instrText>
      </w:r>
      <w:r w:rsidR="001F58B3">
        <w:rPr>
          <w:b/>
          <w:bCs/>
          <w:color w:val="424241"/>
          <w:sz w:val="56"/>
          <w:szCs w:val="56"/>
          <w:rtl/>
        </w:rPr>
        <w:fldChar w:fldCharType="separate"/>
      </w:r>
      <w:r w:rsidR="00852F2A">
        <w:rPr>
          <w:b/>
          <w:bCs/>
          <w:noProof/>
          <w:color w:val="424241"/>
          <w:sz w:val="56"/>
          <w:szCs w:val="56"/>
        </w:rPr>
        <w:t>2022</w:t>
      </w:r>
      <w:r w:rsidR="001F58B3">
        <w:rPr>
          <w:b/>
          <w:bCs/>
          <w:color w:val="424241"/>
          <w:sz w:val="56"/>
          <w:szCs w:val="56"/>
          <w:rtl/>
        </w:rPr>
        <w:fldChar w:fldCharType="end"/>
      </w:r>
      <w:r w:rsidR="0029284C">
        <w:rPr>
          <w:b/>
          <w:bCs/>
          <w:color w:val="424241"/>
          <w:sz w:val="56"/>
          <w:szCs w:val="56"/>
          <w:rtl/>
        </w:rPr>
        <w:fldChar w:fldCharType="begin"/>
      </w:r>
      <w:r w:rsidR="0029284C">
        <w:rPr>
          <w:b/>
          <w:bCs/>
          <w:color w:val="424241"/>
          <w:sz w:val="56"/>
          <w:szCs w:val="56"/>
          <w:rtl/>
        </w:rPr>
        <w:instrText xml:space="preserve"> </w:instrText>
      </w:r>
      <w:r w:rsidR="0029284C">
        <w:rPr>
          <w:b/>
          <w:bCs/>
          <w:color w:val="424241"/>
          <w:sz w:val="56"/>
          <w:szCs w:val="56"/>
        </w:rPr>
        <w:instrText>SET  CY</w:instrText>
      </w:r>
      <w:r w:rsidR="0029284C">
        <w:rPr>
          <w:b/>
          <w:bCs/>
          <w:color w:val="424241"/>
          <w:sz w:val="56"/>
          <w:szCs w:val="56"/>
          <w:rtl/>
        </w:rPr>
        <w:instrText xml:space="preserve"> </w:instrText>
      </w:r>
      <w:r w:rsidR="0029284C">
        <w:rPr>
          <w:b/>
          <w:bCs/>
          <w:color w:val="424241"/>
          <w:sz w:val="56"/>
          <w:szCs w:val="56"/>
          <w:rtl/>
        </w:rPr>
        <w:fldChar w:fldCharType="end"/>
      </w:r>
      <w:r w:rsidR="0029284C">
        <w:rPr>
          <w:b/>
          <w:bCs/>
          <w:color w:val="424241"/>
          <w:sz w:val="56"/>
          <w:szCs w:val="56"/>
          <w:rtl/>
        </w:rPr>
        <w:fldChar w:fldCharType="begin"/>
      </w:r>
      <w:r w:rsidR="0029284C">
        <w:rPr>
          <w:b/>
          <w:bCs/>
          <w:color w:val="424241"/>
          <w:sz w:val="56"/>
          <w:szCs w:val="56"/>
          <w:rtl/>
        </w:rPr>
        <w:instrText xml:space="preserve"> </w:instrText>
      </w:r>
      <w:r w:rsidR="0029284C">
        <w:rPr>
          <w:b/>
          <w:bCs/>
          <w:color w:val="424241"/>
          <w:sz w:val="56"/>
          <w:szCs w:val="56"/>
        </w:rPr>
        <w:instrText>SET  CY 2021</w:instrText>
      </w:r>
      <w:r w:rsidR="0029284C">
        <w:rPr>
          <w:b/>
          <w:bCs/>
          <w:color w:val="424241"/>
          <w:sz w:val="56"/>
          <w:szCs w:val="56"/>
          <w:rtl/>
        </w:rPr>
        <w:instrText xml:space="preserve"> </w:instrText>
      </w:r>
      <w:r w:rsidR="0029284C">
        <w:rPr>
          <w:b/>
          <w:bCs/>
          <w:color w:val="424241"/>
          <w:sz w:val="56"/>
          <w:szCs w:val="56"/>
          <w:rtl/>
        </w:rPr>
        <w:fldChar w:fldCharType="separate"/>
      </w:r>
      <w:r w:rsidR="00852F2A">
        <w:rPr>
          <w:b/>
          <w:bCs/>
          <w:noProof/>
          <w:color w:val="424241"/>
          <w:sz w:val="56"/>
          <w:szCs w:val="56"/>
        </w:rPr>
        <w:t>2021</w:t>
      </w:r>
      <w:r w:rsidR="0029284C">
        <w:rPr>
          <w:b/>
          <w:bCs/>
          <w:color w:val="424241"/>
          <w:sz w:val="56"/>
          <w:szCs w:val="56"/>
          <w:rtl/>
        </w:rPr>
        <w:fldChar w:fldCharType="end"/>
      </w:r>
      <w:r w:rsidR="00846FF7">
        <w:rPr>
          <w:b/>
          <w:bCs/>
          <w:color w:val="424241"/>
          <w:sz w:val="56"/>
          <w:szCs w:val="56"/>
          <w:rtl/>
        </w:rPr>
        <w:fldChar w:fldCharType="begin"/>
      </w:r>
      <w:r w:rsidR="00846FF7">
        <w:rPr>
          <w:b/>
          <w:bCs/>
          <w:color w:val="424241"/>
          <w:sz w:val="56"/>
          <w:szCs w:val="56"/>
          <w:rtl/>
        </w:rPr>
        <w:instrText xml:space="preserve"> </w:instrText>
      </w:r>
      <w:r w:rsidR="00846FF7">
        <w:rPr>
          <w:b/>
          <w:bCs/>
          <w:color w:val="424241"/>
          <w:sz w:val="56"/>
          <w:szCs w:val="56"/>
        </w:rPr>
        <w:instrText>SET  CY 2020</w:instrText>
      </w:r>
      <w:r w:rsidR="00846FF7">
        <w:rPr>
          <w:b/>
          <w:bCs/>
          <w:color w:val="424241"/>
          <w:sz w:val="56"/>
          <w:szCs w:val="56"/>
          <w:rtl/>
        </w:rPr>
        <w:instrText xml:space="preserve"> </w:instrText>
      </w:r>
      <w:r w:rsidR="00846FF7">
        <w:rPr>
          <w:b/>
          <w:bCs/>
          <w:color w:val="424241"/>
          <w:sz w:val="56"/>
          <w:szCs w:val="56"/>
          <w:rtl/>
        </w:rPr>
        <w:fldChar w:fldCharType="separate"/>
      </w:r>
      <w:r w:rsidR="00852F2A">
        <w:rPr>
          <w:b/>
          <w:bCs/>
          <w:noProof/>
          <w:color w:val="424241"/>
          <w:sz w:val="56"/>
          <w:szCs w:val="56"/>
        </w:rPr>
        <w:t>2020</w:t>
      </w:r>
      <w:r w:rsidR="00846FF7">
        <w:rPr>
          <w:b/>
          <w:bCs/>
          <w:color w:val="424241"/>
          <w:sz w:val="56"/>
          <w:szCs w:val="56"/>
          <w:rtl/>
        </w:rPr>
        <w:fldChar w:fldCharType="end"/>
      </w:r>
      <w:r w:rsidRPr="00BC2F81">
        <w:rPr>
          <w:b/>
          <w:bCs/>
          <w:color w:val="424241"/>
          <w:sz w:val="56"/>
          <w:szCs w:val="56"/>
          <w:rtl/>
        </w:rPr>
        <w:t xml:space="preserve"> </w:t>
      </w:r>
      <w:r w:rsidR="00846FF7">
        <w:rPr>
          <w:b/>
          <w:bCs/>
          <w:color w:val="424241"/>
          <w:sz w:val="56"/>
          <w:szCs w:val="56"/>
        </w:rPr>
        <w:fldChar w:fldCharType="begin"/>
      </w:r>
      <w:r w:rsidR="00846FF7">
        <w:rPr>
          <w:b/>
          <w:bCs/>
          <w:color w:val="424241"/>
          <w:sz w:val="56"/>
          <w:szCs w:val="56"/>
        </w:rPr>
        <w:instrText xml:space="preserve"> = CY \* MERGEFORMAT </w:instrText>
      </w:r>
      <w:r w:rsidR="00846FF7">
        <w:rPr>
          <w:b/>
          <w:bCs/>
          <w:color w:val="424241"/>
          <w:sz w:val="56"/>
          <w:szCs w:val="56"/>
        </w:rPr>
        <w:fldChar w:fldCharType="separate"/>
      </w:r>
      <w:r w:rsidR="003A584F">
        <w:rPr>
          <w:b/>
          <w:bCs/>
          <w:noProof/>
          <w:color w:val="424241"/>
          <w:sz w:val="56"/>
          <w:szCs w:val="56"/>
        </w:rPr>
        <w:t>2024</w:t>
      </w:r>
      <w:r w:rsidR="00846FF7">
        <w:rPr>
          <w:b/>
          <w:bCs/>
          <w:color w:val="424241"/>
          <w:sz w:val="56"/>
          <w:szCs w:val="56"/>
        </w:rPr>
        <w:fldChar w:fldCharType="end"/>
      </w:r>
    </w:p>
    <w:p w14:paraId="191604DB" w14:textId="392D3C79" w:rsidR="00A63D6E" w:rsidRPr="000B6ED8" w:rsidRDefault="00855E1E" w:rsidP="00855E1E">
      <w:pPr>
        <w:tabs>
          <w:tab w:val="left" w:pos="1605"/>
        </w:tabs>
        <w:rPr>
          <w:rFonts w:asciiTheme="minorBidi" w:hAnsiTheme="minorBidi" w:cstheme="minorBidi"/>
          <w:b/>
          <w:bCs/>
          <w:u w:val="single"/>
          <w:rtl/>
        </w:rPr>
      </w:pPr>
      <w:r>
        <w:rPr>
          <w:color w:val="ED1A3B"/>
          <w:rtl/>
        </w:rPr>
        <w:tab/>
      </w:r>
      <w:r w:rsidR="00627033" w:rsidRPr="00855E1E">
        <w:rPr>
          <w:rtl/>
        </w:rPr>
        <w:br w:type="page"/>
      </w:r>
      <w:r w:rsidR="00A23A0E" w:rsidRPr="000B6ED8">
        <w:rPr>
          <w:rFonts w:asciiTheme="minorBidi" w:hAnsiTheme="minorBidi" w:cstheme="minorBidi"/>
          <w:b/>
          <w:bCs/>
          <w:u w:val="single"/>
          <w:rtl/>
        </w:rPr>
        <w:lastRenderedPageBreak/>
        <w:t>תוכן עניינים</w:t>
      </w:r>
      <w:r w:rsidR="00DE6CA3" w:rsidRPr="000B6ED8">
        <w:rPr>
          <w:rFonts w:asciiTheme="minorBidi" w:hAnsiTheme="minorBidi" w:cstheme="minorBidi"/>
          <w:b/>
          <w:bCs/>
          <w:u w:val="single"/>
          <w:rtl/>
        </w:rPr>
        <w:t xml:space="preserve"> </w:t>
      </w:r>
    </w:p>
    <w:p w14:paraId="35012436" w14:textId="0660307E" w:rsidR="00C1274A" w:rsidRPr="00C1274A" w:rsidRDefault="00A63D6E">
      <w:pPr>
        <w:pStyle w:val="TOC1"/>
        <w:rPr>
          <w:rFonts w:eastAsiaTheme="minorEastAsia"/>
          <w:b w:val="0"/>
          <w:bCs w:val="0"/>
          <w:caps w:val="0"/>
          <w:kern w:val="2"/>
          <w:sz w:val="20"/>
          <w:szCs w:val="20"/>
          <w:rtl/>
          <w14:ligatures w14:val="standardContextual"/>
        </w:rPr>
      </w:pPr>
      <w:r w:rsidRPr="00C1274A">
        <w:rPr>
          <w:sz w:val="20"/>
          <w:szCs w:val="20"/>
          <w:rtl/>
        </w:rPr>
        <w:fldChar w:fldCharType="begin"/>
      </w:r>
      <w:r w:rsidRPr="00C1274A">
        <w:rPr>
          <w:sz w:val="20"/>
          <w:szCs w:val="20"/>
          <w:rtl/>
        </w:rPr>
        <w:instrText xml:space="preserve"> </w:instrText>
      </w:r>
      <w:r w:rsidRPr="00C1274A">
        <w:rPr>
          <w:sz w:val="20"/>
          <w:szCs w:val="20"/>
        </w:rPr>
        <w:instrText>TOC</w:instrText>
      </w:r>
      <w:r w:rsidRPr="00C1274A">
        <w:rPr>
          <w:sz w:val="20"/>
          <w:szCs w:val="20"/>
          <w:rtl/>
        </w:rPr>
        <w:instrText xml:space="preserve"> \</w:instrText>
      </w:r>
      <w:r w:rsidRPr="00C1274A">
        <w:rPr>
          <w:sz w:val="20"/>
          <w:szCs w:val="20"/>
        </w:rPr>
        <w:instrText>h \z \t</w:instrText>
      </w:r>
      <w:r w:rsidRPr="00C1274A">
        <w:rPr>
          <w:sz w:val="20"/>
          <w:szCs w:val="20"/>
          <w:rtl/>
        </w:rPr>
        <w:instrText xml:space="preserve"> "כותרת 5,1,כותרת 7,2" </w:instrText>
      </w:r>
      <w:r w:rsidRPr="00C1274A">
        <w:rPr>
          <w:sz w:val="20"/>
          <w:szCs w:val="20"/>
          <w:rtl/>
        </w:rPr>
        <w:fldChar w:fldCharType="separate"/>
      </w:r>
      <w:hyperlink w:anchor="_Toc160529207" w:history="1">
        <w:r w:rsidR="00C1274A" w:rsidRPr="00C1274A">
          <w:rPr>
            <w:rStyle w:val="Hyperlink"/>
            <w:sz w:val="20"/>
            <w:szCs w:val="20"/>
            <w:rtl/>
          </w:rPr>
          <w:t>הקדמה</w:t>
        </w:r>
        <w:r w:rsidR="00C1274A" w:rsidRPr="00C1274A">
          <w:rPr>
            <w:rStyle w:val="Hyperlink"/>
            <w:sz w:val="20"/>
            <w:szCs w:val="20"/>
            <w:rtl/>
          </w:rPr>
          <w:tab/>
        </w:r>
        <w:r w:rsidR="00C1274A" w:rsidRPr="00C1274A">
          <w:rPr>
            <w:rStyle w:val="Hyperlink"/>
            <w:sz w:val="20"/>
            <w:szCs w:val="20"/>
            <w:rtl/>
          </w:rPr>
          <w:tab/>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Toc160529207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sidR="00684A10">
          <w:rPr>
            <w:webHidden/>
            <w:sz w:val="20"/>
            <w:szCs w:val="20"/>
            <w:rtl/>
          </w:rPr>
          <w:t>3</w:t>
        </w:r>
        <w:r w:rsidR="00C1274A" w:rsidRPr="00C1274A">
          <w:rPr>
            <w:webHidden/>
            <w:sz w:val="20"/>
            <w:szCs w:val="20"/>
            <w:rtl/>
          </w:rPr>
          <w:fldChar w:fldCharType="end"/>
        </w:r>
      </w:hyperlink>
    </w:p>
    <w:p w14:paraId="07D709F5" w14:textId="5E0BFBC4" w:rsidR="00C1274A" w:rsidRPr="00C1274A" w:rsidRDefault="00684A10">
      <w:pPr>
        <w:pStyle w:val="TOC1"/>
        <w:rPr>
          <w:rFonts w:eastAsiaTheme="minorEastAsia"/>
          <w:b w:val="0"/>
          <w:bCs w:val="0"/>
          <w:caps w:val="0"/>
          <w:kern w:val="2"/>
          <w:sz w:val="20"/>
          <w:szCs w:val="20"/>
          <w:rtl/>
          <w14:ligatures w14:val="standardContextual"/>
        </w:rPr>
      </w:pPr>
      <w:hyperlink w:anchor="_Toc160529208" w:history="1">
        <w:r w:rsidR="00C1274A" w:rsidRPr="00C1274A">
          <w:rPr>
            <w:rStyle w:val="Hyperlink"/>
            <w:sz w:val="20"/>
            <w:szCs w:val="20"/>
            <w:rtl/>
          </w:rPr>
          <w:t>תמצית דוחות כספיים ביניים לדוגמה</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Toc160529208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4</w:t>
        </w:r>
        <w:r w:rsidR="00C1274A" w:rsidRPr="00C1274A">
          <w:rPr>
            <w:webHidden/>
            <w:sz w:val="20"/>
            <w:szCs w:val="20"/>
            <w:rtl/>
          </w:rPr>
          <w:fldChar w:fldCharType="end"/>
        </w:r>
      </w:hyperlink>
    </w:p>
    <w:p w14:paraId="5FA5A36A" w14:textId="32810072" w:rsidR="00C1274A" w:rsidRPr="00C1274A" w:rsidRDefault="00684A10">
      <w:pPr>
        <w:pStyle w:val="TOC2"/>
        <w:rPr>
          <w:rFonts w:asciiTheme="minorBidi" w:eastAsiaTheme="minorEastAsia" w:hAnsiTheme="minorBidi" w:cstheme="minorBidi"/>
          <w:smallCaps w:val="0"/>
          <w:noProof/>
          <w:kern w:val="2"/>
          <w:rtl/>
          <w14:ligatures w14:val="standardContextual"/>
        </w:rPr>
      </w:pPr>
      <w:hyperlink w:anchor="_Toc160529209" w:history="1">
        <w:r w:rsidR="00C1274A" w:rsidRPr="00C1274A">
          <w:rPr>
            <w:rStyle w:val="Hyperlink"/>
            <w:rFonts w:asciiTheme="minorBidi" w:hAnsiTheme="minorBidi" w:cstheme="minorBidi"/>
            <w:noProof/>
            <w:rtl/>
          </w:rPr>
          <w:t>תמצית דוח רווח והפסד מאוחד</w:t>
        </w:r>
        <w:r w:rsidR="00C1274A" w:rsidRPr="00C1274A">
          <w:rPr>
            <w:rFonts w:asciiTheme="minorBidi" w:hAnsiTheme="minorBidi" w:cstheme="minorBidi"/>
            <w:noProof/>
            <w:webHidden/>
            <w:rtl/>
          </w:rPr>
          <w:tab/>
        </w:r>
        <w:r w:rsidR="00C1274A" w:rsidRPr="00C1274A">
          <w:rPr>
            <w:rFonts w:asciiTheme="minorBidi" w:hAnsiTheme="minorBidi" w:cstheme="minorBidi"/>
            <w:noProof/>
            <w:webHidden/>
            <w:rtl/>
          </w:rPr>
          <w:fldChar w:fldCharType="begin"/>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Pr>
          <w:instrText>PAGEREF</w:instrText>
        </w:r>
        <w:r w:rsidR="00C1274A" w:rsidRPr="00C1274A">
          <w:rPr>
            <w:rFonts w:asciiTheme="minorBidi" w:hAnsiTheme="minorBidi" w:cstheme="minorBidi"/>
            <w:noProof/>
            <w:webHidden/>
            <w:rtl/>
          </w:rPr>
          <w:instrText xml:space="preserve"> _</w:instrText>
        </w:r>
        <w:r w:rsidR="00C1274A" w:rsidRPr="00C1274A">
          <w:rPr>
            <w:rFonts w:asciiTheme="minorBidi" w:hAnsiTheme="minorBidi" w:cstheme="minorBidi"/>
            <w:noProof/>
            <w:webHidden/>
          </w:rPr>
          <w:instrText>Toc160529209 \h</w:instrText>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tl/>
          </w:rPr>
        </w:r>
        <w:r w:rsidR="00C1274A" w:rsidRPr="00C1274A">
          <w:rPr>
            <w:rFonts w:asciiTheme="minorBidi" w:hAnsiTheme="minorBidi" w:cstheme="minorBidi"/>
            <w:noProof/>
            <w:webHidden/>
            <w:rtl/>
          </w:rPr>
          <w:fldChar w:fldCharType="separate"/>
        </w:r>
        <w:r>
          <w:rPr>
            <w:rFonts w:asciiTheme="minorBidi" w:hAnsiTheme="minorBidi" w:cstheme="minorBidi"/>
            <w:noProof/>
            <w:webHidden/>
            <w:rtl/>
          </w:rPr>
          <w:t>5</w:t>
        </w:r>
        <w:r w:rsidR="00C1274A" w:rsidRPr="00C1274A">
          <w:rPr>
            <w:rFonts w:asciiTheme="minorBidi" w:hAnsiTheme="minorBidi" w:cstheme="minorBidi"/>
            <w:noProof/>
            <w:webHidden/>
            <w:rtl/>
          </w:rPr>
          <w:fldChar w:fldCharType="end"/>
        </w:r>
      </w:hyperlink>
    </w:p>
    <w:p w14:paraId="707B082D" w14:textId="489CFA99" w:rsidR="00C1274A" w:rsidRPr="00C1274A" w:rsidRDefault="00684A10">
      <w:pPr>
        <w:pStyle w:val="TOC2"/>
        <w:rPr>
          <w:rFonts w:asciiTheme="minorBidi" w:eastAsiaTheme="minorEastAsia" w:hAnsiTheme="minorBidi" w:cstheme="minorBidi"/>
          <w:smallCaps w:val="0"/>
          <w:noProof/>
          <w:kern w:val="2"/>
          <w:rtl/>
          <w14:ligatures w14:val="standardContextual"/>
        </w:rPr>
      </w:pPr>
      <w:hyperlink w:anchor="_Toc160529210" w:history="1">
        <w:r w:rsidR="00C1274A" w:rsidRPr="00C1274A">
          <w:rPr>
            <w:rStyle w:val="Hyperlink"/>
            <w:rFonts w:asciiTheme="minorBidi" w:hAnsiTheme="minorBidi" w:cstheme="minorBidi"/>
            <w:noProof/>
            <w:rtl/>
          </w:rPr>
          <w:t>תמצית דוח מאוחד על הרווח הכולל</w:t>
        </w:r>
        <w:r w:rsidR="00C1274A" w:rsidRPr="00C1274A">
          <w:rPr>
            <w:rFonts w:asciiTheme="minorBidi" w:hAnsiTheme="minorBidi" w:cstheme="minorBidi"/>
            <w:noProof/>
            <w:webHidden/>
            <w:rtl/>
          </w:rPr>
          <w:tab/>
        </w:r>
        <w:r w:rsidR="00C1274A" w:rsidRPr="00C1274A">
          <w:rPr>
            <w:rFonts w:asciiTheme="minorBidi" w:hAnsiTheme="minorBidi" w:cstheme="minorBidi"/>
            <w:noProof/>
            <w:webHidden/>
            <w:rtl/>
          </w:rPr>
          <w:fldChar w:fldCharType="begin"/>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Pr>
          <w:instrText>PAGEREF</w:instrText>
        </w:r>
        <w:r w:rsidR="00C1274A" w:rsidRPr="00C1274A">
          <w:rPr>
            <w:rFonts w:asciiTheme="minorBidi" w:hAnsiTheme="minorBidi" w:cstheme="minorBidi"/>
            <w:noProof/>
            <w:webHidden/>
            <w:rtl/>
          </w:rPr>
          <w:instrText xml:space="preserve"> _</w:instrText>
        </w:r>
        <w:r w:rsidR="00C1274A" w:rsidRPr="00C1274A">
          <w:rPr>
            <w:rFonts w:asciiTheme="minorBidi" w:hAnsiTheme="minorBidi" w:cstheme="minorBidi"/>
            <w:noProof/>
            <w:webHidden/>
          </w:rPr>
          <w:instrText>Toc160529210 \h</w:instrText>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tl/>
          </w:rPr>
        </w:r>
        <w:r w:rsidR="00C1274A" w:rsidRPr="00C1274A">
          <w:rPr>
            <w:rFonts w:asciiTheme="minorBidi" w:hAnsiTheme="minorBidi" w:cstheme="minorBidi"/>
            <w:noProof/>
            <w:webHidden/>
            <w:rtl/>
          </w:rPr>
          <w:fldChar w:fldCharType="separate"/>
        </w:r>
        <w:r>
          <w:rPr>
            <w:rFonts w:asciiTheme="minorBidi" w:hAnsiTheme="minorBidi" w:cstheme="minorBidi"/>
            <w:noProof/>
            <w:webHidden/>
            <w:rtl/>
          </w:rPr>
          <w:t>6</w:t>
        </w:r>
        <w:r w:rsidR="00C1274A" w:rsidRPr="00C1274A">
          <w:rPr>
            <w:rFonts w:asciiTheme="minorBidi" w:hAnsiTheme="minorBidi" w:cstheme="minorBidi"/>
            <w:noProof/>
            <w:webHidden/>
            <w:rtl/>
          </w:rPr>
          <w:fldChar w:fldCharType="end"/>
        </w:r>
      </w:hyperlink>
    </w:p>
    <w:p w14:paraId="3AF58B0D" w14:textId="3586C9C0" w:rsidR="00C1274A" w:rsidRPr="00C1274A" w:rsidRDefault="00684A10">
      <w:pPr>
        <w:pStyle w:val="TOC2"/>
        <w:rPr>
          <w:rFonts w:asciiTheme="minorBidi" w:eastAsiaTheme="minorEastAsia" w:hAnsiTheme="minorBidi" w:cstheme="minorBidi"/>
          <w:smallCaps w:val="0"/>
          <w:noProof/>
          <w:kern w:val="2"/>
          <w:rtl/>
          <w14:ligatures w14:val="standardContextual"/>
        </w:rPr>
      </w:pPr>
      <w:hyperlink w:anchor="_Toc160529211" w:history="1">
        <w:r w:rsidR="00C1274A" w:rsidRPr="00C1274A">
          <w:rPr>
            <w:rStyle w:val="Hyperlink"/>
            <w:rFonts w:asciiTheme="minorBidi" w:hAnsiTheme="minorBidi" w:cstheme="minorBidi"/>
            <w:noProof/>
            <w:rtl/>
          </w:rPr>
          <w:t>תמצית מאזן מאוחד</w:t>
        </w:r>
        <w:r w:rsidR="00C1274A" w:rsidRPr="00C1274A">
          <w:rPr>
            <w:rFonts w:asciiTheme="minorBidi" w:hAnsiTheme="minorBidi" w:cstheme="minorBidi"/>
            <w:noProof/>
            <w:webHidden/>
            <w:rtl/>
          </w:rPr>
          <w:tab/>
        </w:r>
        <w:r w:rsidR="00C1274A" w:rsidRPr="00C1274A">
          <w:rPr>
            <w:rFonts w:asciiTheme="minorBidi" w:hAnsiTheme="minorBidi" w:cstheme="minorBidi"/>
            <w:noProof/>
            <w:webHidden/>
            <w:rtl/>
          </w:rPr>
          <w:fldChar w:fldCharType="begin"/>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Pr>
          <w:instrText>PAGEREF</w:instrText>
        </w:r>
        <w:r w:rsidR="00C1274A" w:rsidRPr="00C1274A">
          <w:rPr>
            <w:rFonts w:asciiTheme="minorBidi" w:hAnsiTheme="minorBidi" w:cstheme="minorBidi"/>
            <w:noProof/>
            <w:webHidden/>
            <w:rtl/>
          </w:rPr>
          <w:instrText xml:space="preserve"> _</w:instrText>
        </w:r>
        <w:r w:rsidR="00C1274A" w:rsidRPr="00C1274A">
          <w:rPr>
            <w:rFonts w:asciiTheme="minorBidi" w:hAnsiTheme="minorBidi" w:cstheme="minorBidi"/>
            <w:noProof/>
            <w:webHidden/>
          </w:rPr>
          <w:instrText>Toc160529211 \h</w:instrText>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tl/>
          </w:rPr>
        </w:r>
        <w:r w:rsidR="00C1274A" w:rsidRPr="00C1274A">
          <w:rPr>
            <w:rFonts w:asciiTheme="minorBidi" w:hAnsiTheme="minorBidi" w:cstheme="minorBidi"/>
            <w:noProof/>
            <w:webHidden/>
            <w:rtl/>
          </w:rPr>
          <w:fldChar w:fldCharType="separate"/>
        </w:r>
        <w:r>
          <w:rPr>
            <w:rFonts w:asciiTheme="minorBidi" w:hAnsiTheme="minorBidi" w:cstheme="minorBidi"/>
            <w:noProof/>
            <w:webHidden/>
            <w:rtl/>
          </w:rPr>
          <w:t>7</w:t>
        </w:r>
        <w:r w:rsidR="00C1274A" w:rsidRPr="00C1274A">
          <w:rPr>
            <w:rFonts w:asciiTheme="minorBidi" w:hAnsiTheme="minorBidi" w:cstheme="minorBidi"/>
            <w:noProof/>
            <w:webHidden/>
            <w:rtl/>
          </w:rPr>
          <w:fldChar w:fldCharType="end"/>
        </w:r>
      </w:hyperlink>
    </w:p>
    <w:p w14:paraId="78E4505B" w14:textId="26740DC5" w:rsidR="00C1274A" w:rsidRPr="00C1274A" w:rsidRDefault="00684A10">
      <w:pPr>
        <w:pStyle w:val="TOC2"/>
        <w:rPr>
          <w:rFonts w:asciiTheme="minorBidi" w:eastAsiaTheme="minorEastAsia" w:hAnsiTheme="minorBidi" w:cstheme="minorBidi"/>
          <w:smallCaps w:val="0"/>
          <w:noProof/>
          <w:kern w:val="2"/>
          <w:rtl/>
          <w14:ligatures w14:val="standardContextual"/>
        </w:rPr>
      </w:pPr>
      <w:hyperlink w:anchor="_Toc160529212" w:history="1">
        <w:r w:rsidR="00C1274A" w:rsidRPr="00C1274A">
          <w:rPr>
            <w:rStyle w:val="Hyperlink"/>
            <w:rFonts w:asciiTheme="minorBidi" w:hAnsiTheme="minorBidi" w:cstheme="minorBidi"/>
            <w:noProof/>
            <w:rtl/>
          </w:rPr>
          <w:t>תמצית דוח על השינויים בהון מאוחד</w:t>
        </w:r>
        <w:r w:rsidR="00C1274A" w:rsidRPr="00C1274A">
          <w:rPr>
            <w:rFonts w:asciiTheme="minorBidi" w:hAnsiTheme="minorBidi" w:cstheme="minorBidi"/>
            <w:noProof/>
            <w:webHidden/>
            <w:rtl/>
          </w:rPr>
          <w:tab/>
        </w:r>
        <w:r w:rsidR="00C1274A" w:rsidRPr="00C1274A">
          <w:rPr>
            <w:rFonts w:asciiTheme="minorBidi" w:hAnsiTheme="minorBidi" w:cstheme="minorBidi"/>
            <w:noProof/>
            <w:webHidden/>
            <w:rtl/>
          </w:rPr>
          <w:fldChar w:fldCharType="begin"/>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Pr>
          <w:instrText>PAGEREF</w:instrText>
        </w:r>
        <w:r w:rsidR="00C1274A" w:rsidRPr="00C1274A">
          <w:rPr>
            <w:rFonts w:asciiTheme="minorBidi" w:hAnsiTheme="minorBidi" w:cstheme="minorBidi"/>
            <w:noProof/>
            <w:webHidden/>
            <w:rtl/>
          </w:rPr>
          <w:instrText xml:space="preserve"> _</w:instrText>
        </w:r>
        <w:r w:rsidR="00C1274A" w:rsidRPr="00C1274A">
          <w:rPr>
            <w:rFonts w:asciiTheme="minorBidi" w:hAnsiTheme="minorBidi" w:cstheme="minorBidi"/>
            <w:noProof/>
            <w:webHidden/>
          </w:rPr>
          <w:instrText>Toc160529212 \h</w:instrText>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tl/>
          </w:rPr>
        </w:r>
        <w:r w:rsidR="00C1274A" w:rsidRPr="00C1274A">
          <w:rPr>
            <w:rFonts w:asciiTheme="minorBidi" w:hAnsiTheme="minorBidi" w:cstheme="minorBidi"/>
            <w:noProof/>
            <w:webHidden/>
            <w:rtl/>
          </w:rPr>
          <w:fldChar w:fldCharType="separate"/>
        </w:r>
        <w:r>
          <w:rPr>
            <w:rFonts w:asciiTheme="minorBidi" w:hAnsiTheme="minorBidi" w:cstheme="minorBidi"/>
            <w:noProof/>
            <w:webHidden/>
            <w:rtl/>
          </w:rPr>
          <w:t>9</w:t>
        </w:r>
        <w:r w:rsidR="00C1274A" w:rsidRPr="00C1274A">
          <w:rPr>
            <w:rFonts w:asciiTheme="minorBidi" w:hAnsiTheme="minorBidi" w:cstheme="minorBidi"/>
            <w:noProof/>
            <w:webHidden/>
            <w:rtl/>
          </w:rPr>
          <w:fldChar w:fldCharType="end"/>
        </w:r>
      </w:hyperlink>
    </w:p>
    <w:p w14:paraId="69EB9CB5" w14:textId="5557DF32" w:rsidR="00C1274A" w:rsidRPr="00C1274A" w:rsidRDefault="00684A10">
      <w:pPr>
        <w:pStyle w:val="TOC2"/>
        <w:rPr>
          <w:rFonts w:asciiTheme="minorBidi" w:eastAsiaTheme="minorEastAsia" w:hAnsiTheme="minorBidi" w:cstheme="minorBidi"/>
          <w:smallCaps w:val="0"/>
          <w:noProof/>
          <w:kern w:val="2"/>
          <w:rtl/>
          <w14:ligatures w14:val="standardContextual"/>
        </w:rPr>
      </w:pPr>
      <w:hyperlink w:anchor="_Toc160529213" w:history="1">
        <w:r w:rsidR="00C1274A" w:rsidRPr="00C1274A">
          <w:rPr>
            <w:rStyle w:val="Hyperlink"/>
            <w:rFonts w:asciiTheme="minorBidi" w:hAnsiTheme="minorBidi" w:cstheme="minorBidi"/>
            <w:noProof/>
            <w:rtl/>
          </w:rPr>
          <w:t>תמצית דוח על תזרימי מזומנים מאוחד</w:t>
        </w:r>
        <w:r w:rsidR="00C1274A" w:rsidRPr="00C1274A">
          <w:rPr>
            <w:rFonts w:asciiTheme="minorBidi" w:hAnsiTheme="minorBidi" w:cstheme="minorBidi"/>
            <w:noProof/>
            <w:webHidden/>
            <w:rtl/>
          </w:rPr>
          <w:tab/>
        </w:r>
        <w:r w:rsidR="00C1274A" w:rsidRPr="00C1274A">
          <w:rPr>
            <w:rFonts w:asciiTheme="minorBidi" w:hAnsiTheme="minorBidi" w:cstheme="minorBidi"/>
            <w:noProof/>
            <w:webHidden/>
            <w:rtl/>
          </w:rPr>
          <w:fldChar w:fldCharType="begin"/>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Pr>
          <w:instrText>PAGEREF</w:instrText>
        </w:r>
        <w:r w:rsidR="00C1274A" w:rsidRPr="00C1274A">
          <w:rPr>
            <w:rFonts w:asciiTheme="minorBidi" w:hAnsiTheme="minorBidi" w:cstheme="minorBidi"/>
            <w:noProof/>
            <w:webHidden/>
            <w:rtl/>
          </w:rPr>
          <w:instrText xml:space="preserve"> _</w:instrText>
        </w:r>
        <w:r w:rsidR="00C1274A" w:rsidRPr="00C1274A">
          <w:rPr>
            <w:rFonts w:asciiTheme="minorBidi" w:hAnsiTheme="minorBidi" w:cstheme="minorBidi"/>
            <w:noProof/>
            <w:webHidden/>
          </w:rPr>
          <w:instrText>Toc160529213 \h</w:instrText>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tl/>
          </w:rPr>
        </w:r>
        <w:r w:rsidR="00C1274A" w:rsidRPr="00C1274A">
          <w:rPr>
            <w:rFonts w:asciiTheme="minorBidi" w:hAnsiTheme="minorBidi" w:cstheme="minorBidi"/>
            <w:noProof/>
            <w:webHidden/>
            <w:rtl/>
          </w:rPr>
          <w:fldChar w:fldCharType="separate"/>
        </w:r>
        <w:r>
          <w:rPr>
            <w:rFonts w:asciiTheme="minorBidi" w:hAnsiTheme="minorBidi" w:cstheme="minorBidi"/>
            <w:noProof/>
            <w:webHidden/>
            <w:rtl/>
          </w:rPr>
          <w:t>14</w:t>
        </w:r>
        <w:r w:rsidR="00C1274A" w:rsidRPr="00C1274A">
          <w:rPr>
            <w:rFonts w:asciiTheme="minorBidi" w:hAnsiTheme="minorBidi" w:cstheme="minorBidi"/>
            <w:noProof/>
            <w:webHidden/>
            <w:rtl/>
          </w:rPr>
          <w:fldChar w:fldCharType="end"/>
        </w:r>
      </w:hyperlink>
    </w:p>
    <w:p w14:paraId="0EE7AA18" w14:textId="37D4960A" w:rsidR="00C1274A" w:rsidRPr="00C1274A" w:rsidRDefault="00684A10">
      <w:pPr>
        <w:pStyle w:val="TOC1"/>
        <w:rPr>
          <w:rFonts w:eastAsiaTheme="minorEastAsia"/>
          <w:b w:val="0"/>
          <w:bCs w:val="0"/>
          <w:caps w:val="0"/>
          <w:kern w:val="2"/>
          <w:sz w:val="20"/>
          <w:szCs w:val="20"/>
          <w:rtl/>
          <w14:ligatures w14:val="standardContextual"/>
        </w:rPr>
      </w:pPr>
      <w:hyperlink w:anchor="_Toc160529214" w:history="1">
        <w:r w:rsidR="00C1274A" w:rsidRPr="00C1274A">
          <w:rPr>
            <w:rStyle w:val="Hyperlink"/>
            <w:sz w:val="20"/>
            <w:szCs w:val="20"/>
            <w:rtl/>
          </w:rPr>
          <w:t>ביאור 1  -  עיקרי המדיניות החשבונאית:</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Toc160529214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18</w:t>
        </w:r>
        <w:r w:rsidR="00C1274A" w:rsidRPr="00C1274A">
          <w:rPr>
            <w:webHidden/>
            <w:sz w:val="20"/>
            <w:szCs w:val="20"/>
            <w:rtl/>
          </w:rPr>
          <w:fldChar w:fldCharType="end"/>
        </w:r>
      </w:hyperlink>
    </w:p>
    <w:p w14:paraId="68750221" w14:textId="40087319" w:rsidR="00C1274A" w:rsidRPr="00C1274A" w:rsidRDefault="00684A10">
      <w:pPr>
        <w:pStyle w:val="TOC2"/>
        <w:tabs>
          <w:tab w:val="left" w:pos="2833"/>
        </w:tabs>
        <w:rPr>
          <w:rFonts w:asciiTheme="minorBidi" w:eastAsiaTheme="minorEastAsia" w:hAnsiTheme="minorBidi" w:cstheme="minorBidi"/>
          <w:smallCaps w:val="0"/>
          <w:noProof/>
          <w:kern w:val="2"/>
          <w:rtl/>
          <w14:ligatures w14:val="standardContextual"/>
        </w:rPr>
      </w:pPr>
      <w:hyperlink w:anchor="_Toc160529215" w:history="1">
        <w:r w:rsidR="00C1274A" w:rsidRPr="00C1274A">
          <w:rPr>
            <w:rStyle w:val="Hyperlink"/>
            <w:rFonts w:asciiTheme="minorBidi" w:hAnsiTheme="minorBidi" w:cstheme="minorBidi"/>
            <w:noProof/>
            <w:rtl/>
          </w:rPr>
          <w:t>א.</w:t>
        </w:r>
        <w:r w:rsidR="00C1274A" w:rsidRPr="00C1274A">
          <w:rPr>
            <w:rFonts w:asciiTheme="minorBidi" w:eastAsiaTheme="minorEastAsia" w:hAnsiTheme="minorBidi" w:cstheme="minorBidi"/>
            <w:smallCaps w:val="0"/>
            <w:noProof/>
            <w:kern w:val="2"/>
            <w:rtl/>
            <w14:ligatures w14:val="standardContextual"/>
          </w:rPr>
          <w:tab/>
        </w:r>
        <w:r w:rsidR="00C1274A" w:rsidRPr="00C1274A">
          <w:rPr>
            <w:rStyle w:val="Hyperlink"/>
            <w:rFonts w:asciiTheme="minorBidi" w:hAnsiTheme="minorBidi" w:cstheme="minorBidi"/>
            <w:noProof/>
            <w:rtl/>
          </w:rPr>
          <w:t>עקרונות הדיווח</w:t>
        </w:r>
        <w:r w:rsidR="00C1274A" w:rsidRPr="00C1274A">
          <w:rPr>
            <w:rFonts w:asciiTheme="minorBidi" w:hAnsiTheme="minorBidi" w:cstheme="minorBidi"/>
            <w:noProof/>
            <w:webHidden/>
            <w:rtl/>
          </w:rPr>
          <w:tab/>
        </w:r>
        <w:r w:rsidR="00C1274A" w:rsidRPr="00C1274A">
          <w:rPr>
            <w:rFonts w:asciiTheme="minorBidi" w:hAnsiTheme="minorBidi" w:cstheme="minorBidi"/>
            <w:noProof/>
            <w:webHidden/>
            <w:rtl/>
          </w:rPr>
          <w:tab/>
        </w:r>
        <w:r w:rsidR="00C1274A" w:rsidRPr="00C1274A">
          <w:rPr>
            <w:rFonts w:asciiTheme="minorBidi" w:hAnsiTheme="minorBidi" w:cstheme="minorBidi"/>
            <w:noProof/>
            <w:webHidden/>
            <w:rtl/>
          </w:rPr>
          <w:fldChar w:fldCharType="begin"/>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Pr>
          <w:instrText>PAGEREF</w:instrText>
        </w:r>
        <w:r w:rsidR="00C1274A" w:rsidRPr="00C1274A">
          <w:rPr>
            <w:rFonts w:asciiTheme="minorBidi" w:hAnsiTheme="minorBidi" w:cstheme="minorBidi"/>
            <w:noProof/>
            <w:webHidden/>
            <w:rtl/>
          </w:rPr>
          <w:instrText xml:space="preserve"> _</w:instrText>
        </w:r>
        <w:r w:rsidR="00C1274A" w:rsidRPr="00C1274A">
          <w:rPr>
            <w:rFonts w:asciiTheme="minorBidi" w:hAnsiTheme="minorBidi" w:cstheme="minorBidi"/>
            <w:noProof/>
            <w:webHidden/>
          </w:rPr>
          <w:instrText>Toc160529215 \h</w:instrText>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tl/>
          </w:rPr>
        </w:r>
        <w:r w:rsidR="00C1274A" w:rsidRPr="00C1274A">
          <w:rPr>
            <w:rFonts w:asciiTheme="minorBidi" w:hAnsiTheme="minorBidi" w:cstheme="minorBidi"/>
            <w:noProof/>
            <w:webHidden/>
            <w:rtl/>
          </w:rPr>
          <w:fldChar w:fldCharType="separate"/>
        </w:r>
        <w:r>
          <w:rPr>
            <w:rFonts w:asciiTheme="minorBidi" w:hAnsiTheme="minorBidi" w:cstheme="minorBidi"/>
            <w:noProof/>
            <w:webHidden/>
            <w:rtl/>
          </w:rPr>
          <w:t>18</w:t>
        </w:r>
        <w:r w:rsidR="00C1274A" w:rsidRPr="00C1274A">
          <w:rPr>
            <w:rFonts w:asciiTheme="minorBidi" w:hAnsiTheme="minorBidi" w:cstheme="minorBidi"/>
            <w:noProof/>
            <w:webHidden/>
            <w:rtl/>
          </w:rPr>
          <w:fldChar w:fldCharType="end"/>
        </w:r>
      </w:hyperlink>
    </w:p>
    <w:p w14:paraId="6BDF9AA8" w14:textId="38EE9FC9" w:rsidR="00C1274A" w:rsidRPr="00C1274A" w:rsidRDefault="00684A10">
      <w:pPr>
        <w:pStyle w:val="TOC2"/>
        <w:tabs>
          <w:tab w:val="left" w:pos="2828"/>
        </w:tabs>
        <w:rPr>
          <w:rFonts w:asciiTheme="minorBidi" w:eastAsiaTheme="minorEastAsia" w:hAnsiTheme="minorBidi" w:cstheme="minorBidi"/>
          <w:smallCaps w:val="0"/>
          <w:noProof/>
          <w:kern w:val="2"/>
          <w:rtl/>
          <w14:ligatures w14:val="standardContextual"/>
        </w:rPr>
      </w:pPr>
      <w:hyperlink w:anchor="_Toc160529216" w:history="1">
        <w:r w:rsidR="00C1274A" w:rsidRPr="00C1274A">
          <w:rPr>
            <w:rStyle w:val="Hyperlink"/>
            <w:rFonts w:asciiTheme="minorBidi" w:hAnsiTheme="minorBidi" w:cstheme="minorBidi"/>
            <w:noProof/>
            <w:rtl/>
          </w:rPr>
          <w:t>ב.</w:t>
        </w:r>
        <w:r w:rsidR="00C1274A" w:rsidRPr="00C1274A">
          <w:rPr>
            <w:rFonts w:asciiTheme="minorBidi" w:eastAsiaTheme="minorEastAsia" w:hAnsiTheme="minorBidi" w:cstheme="minorBidi"/>
            <w:smallCaps w:val="0"/>
            <w:noProof/>
            <w:kern w:val="2"/>
            <w:rtl/>
            <w14:ligatures w14:val="standardContextual"/>
          </w:rPr>
          <w:tab/>
        </w:r>
        <w:r w:rsidR="00C1274A" w:rsidRPr="00C1274A">
          <w:rPr>
            <w:rStyle w:val="Hyperlink"/>
            <w:rFonts w:asciiTheme="minorBidi" w:hAnsiTheme="minorBidi" w:cstheme="minorBidi"/>
            <w:noProof/>
            <w:rtl/>
          </w:rPr>
          <w:t>שימוש באומדנים</w:t>
        </w:r>
        <w:r w:rsidR="00C1274A" w:rsidRPr="00C1274A">
          <w:rPr>
            <w:rFonts w:asciiTheme="minorBidi" w:hAnsiTheme="minorBidi" w:cstheme="minorBidi"/>
            <w:noProof/>
            <w:webHidden/>
            <w:rtl/>
          </w:rPr>
          <w:tab/>
        </w:r>
        <w:r w:rsidR="00C1274A" w:rsidRPr="00C1274A">
          <w:rPr>
            <w:rFonts w:asciiTheme="minorBidi" w:hAnsiTheme="minorBidi" w:cstheme="minorBidi"/>
            <w:noProof/>
            <w:webHidden/>
            <w:rtl/>
          </w:rPr>
          <w:tab/>
        </w:r>
        <w:r w:rsidR="00C1274A" w:rsidRPr="00C1274A">
          <w:rPr>
            <w:rFonts w:asciiTheme="minorBidi" w:hAnsiTheme="minorBidi" w:cstheme="minorBidi"/>
            <w:noProof/>
            <w:webHidden/>
            <w:rtl/>
          </w:rPr>
          <w:fldChar w:fldCharType="begin"/>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Pr>
          <w:instrText>PAGEREF</w:instrText>
        </w:r>
        <w:r w:rsidR="00C1274A" w:rsidRPr="00C1274A">
          <w:rPr>
            <w:rFonts w:asciiTheme="minorBidi" w:hAnsiTheme="minorBidi" w:cstheme="minorBidi"/>
            <w:noProof/>
            <w:webHidden/>
            <w:rtl/>
          </w:rPr>
          <w:instrText xml:space="preserve"> _</w:instrText>
        </w:r>
        <w:r w:rsidR="00C1274A" w:rsidRPr="00C1274A">
          <w:rPr>
            <w:rFonts w:asciiTheme="minorBidi" w:hAnsiTheme="minorBidi" w:cstheme="minorBidi"/>
            <w:noProof/>
            <w:webHidden/>
          </w:rPr>
          <w:instrText>Toc160529216 \h</w:instrText>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tl/>
          </w:rPr>
        </w:r>
        <w:r w:rsidR="00C1274A" w:rsidRPr="00C1274A">
          <w:rPr>
            <w:rFonts w:asciiTheme="minorBidi" w:hAnsiTheme="minorBidi" w:cstheme="minorBidi"/>
            <w:noProof/>
            <w:webHidden/>
            <w:rtl/>
          </w:rPr>
          <w:fldChar w:fldCharType="separate"/>
        </w:r>
        <w:r>
          <w:rPr>
            <w:rFonts w:asciiTheme="minorBidi" w:hAnsiTheme="minorBidi" w:cstheme="minorBidi"/>
            <w:noProof/>
            <w:webHidden/>
            <w:rtl/>
          </w:rPr>
          <w:t>18</w:t>
        </w:r>
        <w:r w:rsidR="00C1274A" w:rsidRPr="00C1274A">
          <w:rPr>
            <w:rFonts w:asciiTheme="minorBidi" w:hAnsiTheme="minorBidi" w:cstheme="minorBidi"/>
            <w:noProof/>
            <w:webHidden/>
            <w:rtl/>
          </w:rPr>
          <w:fldChar w:fldCharType="end"/>
        </w:r>
      </w:hyperlink>
    </w:p>
    <w:p w14:paraId="7C3D03BB" w14:textId="57949868" w:rsidR="00C1274A" w:rsidRPr="00C1274A" w:rsidRDefault="00684A10">
      <w:pPr>
        <w:pStyle w:val="TOC2"/>
        <w:tabs>
          <w:tab w:val="left" w:pos="2804"/>
        </w:tabs>
        <w:rPr>
          <w:rFonts w:asciiTheme="minorBidi" w:eastAsiaTheme="minorEastAsia" w:hAnsiTheme="minorBidi" w:cstheme="minorBidi"/>
          <w:smallCaps w:val="0"/>
          <w:noProof/>
          <w:kern w:val="2"/>
          <w:rtl/>
          <w14:ligatures w14:val="standardContextual"/>
        </w:rPr>
      </w:pPr>
      <w:hyperlink w:anchor="_Toc160529217" w:history="1">
        <w:r w:rsidR="00C1274A" w:rsidRPr="00C1274A">
          <w:rPr>
            <w:rStyle w:val="Hyperlink"/>
            <w:rFonts w:asciiTheme="minorBidi" w:hAnsiTheme="minorBidi" w:cstheme="minorBidi"/>
            <w:noProof/>
            <w:rtl/>
          </w:rPr>
          <w:t>ג.</w:t>
        </w:r>
        <w:r w:rsidR="00C1274A" w:rsidRPr="00C1274A">
          <w:rPr>
            <w:rFonts w:asciiTheme="minorBidi" w:eastAsiaTheme="minorEastAsia" w:hAnsiTheme="minorBidi" w:cstheme="minorBidi"/>
            <w:smallCaps w:val="0"/>
            <w:noProof/>
            <w:kern w:val="2"/>
            <w:rtl/>
            <w14:ligatures w14:val="standardContextual"/>
          </w:rPr>
          <w:tab/>
        </w:r>
        <w:r w:rsidR="00C1274A" w:rsidRPr="00C1274A">
          <w:rPr>
            <w:rStyle w:val="Hyperlink"/>
            <w:rFonts w:asciiTheme="minorBidi" w:hAnsiTheme="minorBidi" w:cstheme="minorBidi"/>
            <w:noProof/>
            <w:rtl/>
          </w:rPr>
          <w:t>מטבע חוץ והצמדה</w:t>
        </w:r>
        <w:r w:rsidR="00C1274A" w:rsidRPr="00C1274A">
          <w:rPr>
            <w:rFonts w:asciiTheme="minorBidi" w:hAnsiTheme="minorBidi" w:cstheme="minorBidi"/>
            <w:noProof/>
            <w:webHidden/>
            <w:rtl/>
          </w:rPr>
          <w:tab/>
        </w:r>
        <w:r w:rsidR="00C1274A" w:rsidRPr="00C1274A">
          <w:rPr>
            <w:rFonts w:asciiTheme="minorBidi" w:hAnsiTheme="minorBidi" w:cstheme="minorBidi"/>
            <w:noProof/>
            <w:webHidden/>
            <w:rtl/>
          </w:rPr>
          <w:tab/>
        </w:r>
        <w:r w:rsidR="00C1274A" w:rsidRPr="00C1274A">
          <w:rPr>
            <w:rFonts w:asciiTheme="minorBidi" w:hAnsiTheme="minorBidi" w:cstheme="minorBidi"/>
            <w:noProof/>
            <w:webHidden/>
            <w:rtl/>
          </w:rPr>
          <w:fldChar w:fldCharType="begin"/>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Pr>
          <w:instrText>PAGEREF</w:instrText>
        </w:r>
        <w:r w:rsidR="00C1274A" w:rsidRPr="00C1274A">
          <w:rPr>
            <w:rFonts w:asciiTheme="minorBidi" w:hAnsiTheme="minorBidi" w:cstheme="minorBidi"/>
            <w:noProof/>
            <w:webHidden/>
            <w:rtl/>
          </w:rPr>
          <w:instrText xml:space="preserve"> _</w:instrText>
        </w:r>
        <w:r w:rsidR="00C1274A" w:rsidRPr="00C1274A">
          <w:rPr>
            <w:rFonts w:asciiTheme="minorBidi" w:hAnsiTheme="minorBidi" w:cstheme="minorBidi"/>
            <w:noProof/>
            <w:webHidden/>
          </w:rPr>
          <w:instrText>Toc160529217 \h</w:instrText>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tl/>
          </w:rPr>
        </w:r>
        <w:r w:rsidR="00C1274A" w:rsidRPr="00C1274A">
          <w:rPr>
            <w:rFonts w:asciiTheme="minorBidi" w:hAnsiTheme="minorBidi" w:cstheme="minorBidi"/>
            <w:noProof/>
            <w:webHidden/>
            <w:rtl/>
          </w:rPr>
          <w:fldChar w:fldCharType="separate"/>
        </w:r>
        <w:r>
          <w:rPr>
            <w:rFonts w:asciiTheme="minorBidi" w:hAnsiTheme="minorBidi" w:cstheme="minorBidi"/>
            <w:noProof/>
            <w:webHidden/>
            <w:rtl/>
          </w:rPr>
          <w:t>18</w:t>
        </w:r>
        <w:r w:rsidR="00C1274A" w:rsidRPr="00C1274A">
          <w:rPr>
            <w:rFonts w:asciiTheme="minorBidi" w:hAnsiTheme="minorBidi" w:cstheme="minorBidi"/>
            <w:noProof/>
            <w:webHidden/>
            <w:rtl/>
          </w:rPr>
          <w:fldChar w:fldCharType="end"/>
        </w:r>
      </w:hyperlink>
    </w:p>
    <w:p w14:paraId="4BC521EE" w14:textId="0F37B505" w:rsidR="00C1274A" w:rsidRPr="00C1274A" w:rsidRDefault="00684A10">
      <w:pPr>
        <w:pStyle w:val="TOC2"/>
        <w:tabs>
          <w:tab w:val="left" w:pos="2821"/>
        </w:tabs>
        <w:rPr>
          <w:rFonts w:asciiTheme="minorBidi" w:eastAsiaTheme="minorEastAsia" w:hAnsiTheme="minorBidi" w:cstheme="minorBidi"/>
          <w:smallCaps w:val="0"/>
          <w:noProof/>
          <w:kern w:val="2"/>
          <w:rtl/>
          <w14:ligatures w14:val="standardContextual"/>
        </w:rPr>
      </w:pPr>
      <w:hyperlink w:anchor="_Toc160529218" w:history="1">
        <w:r w:rsidR="00C1274A" w:rsidRPr="00C1274A">
          <w:rPr>
            <w:rStyle w:val="Hyperlink"/>
            <w:rFonts w:asciiTheme="minorBidi" w:hAnsiTheme="minorBidi" w:cstheme="minorBidi"/>
            <w:noProof/>
            <w:rtl/>
          </w:rPr>
          <w:t>ד.</w:t>
        </w:r>
        <w:r w:rsidR="00C1274A" w:rsidRPr="00C1274A">
          <w:rPr>
            <w:rFonts w:asciiTheme="minorBidi" w:eastAsiaTheme="minorEastAsia" w:hAnsiTheme="minorBidi" w:cstheme="minorBidi"/>
            <w:smallCaps w:val="0"/>
            <w:noProof/>
            <w:kern w:val="2"/>
            <w:rtl/>
            <w14:ligatures w14:val="standardContextual"/>
          </w:rPr>
          <w:tab/>
        </w:r>
        <w:r w:rsidR="00C1274A" w:rsidRPr="00C1274A">
          <w:rPr>
            <w:rStyle w:val="Hyperlink"/>
            <w:rFonts w:asciiTheme="minorBidi" w:hAnsiTheme="minorBidi" w:cstheme="minorBidi"/>
            <w:b/>
            <w:noProof/>
            <w:rtl/>
          </w:rPr>
          <w:t>עדכונים של כללי חשבונאות מקובלים בבנקים בארה"ב והוראות המפקח על הבנקים</w:t>
        </w:r>
        <w:r w:rsidR="00C1274A" w:rsidRPr="00C1274A">
          <w:rPr>
            <w:rFonts w:asciiTheme="minorBidi" w:hAnsiTheme="minorBidi" w:cstheme="minorBidi"/>
            <w:noProof/>
            <w:webHidden/>
            <w:rtl/>
          </w:rPr>
          <w:tab/>
        </w:r>
        <w:r w:rsidR="00C1274A" w:rsidRPr="00C1274A">
          <w:rPr>
            <w:rFonts w:asciiTheme="minorBidi" w:hAnsiTheme="minorBidi" w:cstheme="minorBidi"/>
            <w:noProof/>
            <w:webHidden/>
            <w:rtl/>
          </w:rPr>
          <w:fldChar w:fldCharType="begin"/>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Pr>
          <w:instrText>PAGEREF</w:instrText>
        </w:r>
        <w:r w:rsidR="00C1274A" w:rsidRPr="00C1274A">
          <w:rPr>
            <w:rFonts w:asciiTheme="minorBidi" w:hAnsiTheme="minorBidi" w:cstheme="minorBidi"/>
            <w:noProof/>
            <w:webHidden/>
            <w:rtl/>
          </w:rPr>
          <w:instrText xml:space="preserve"> _</w:instrText>
        </w:r>
        <w:r w:rsidR="00C1274A" w:rsidRPr="00C1274A">
          <w:rPr>
            <w:rFonts w:asciiTheme="minorBidi" w:hAnsiTheme="minorBidi" w:cstheme="minorBidi"/>
            <w:noProof/>
            <w:webHidden/>
          </w:rPr>
          <w:instrText>Toc160529218 \h</w:instrText>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tl/>
          </w:rPr>
        </w:r>
        <w:r w:rsidR="00C1274A" w:rsidRPr="00C1274A">
          <w:rPr>
            <w:rFonts w:asciiTheme="minorBidi" w:hAnsiTheme="minorBidi" w:cstheme="minorBidi"/>
            <w:noProof/>
            <w:webHidden/>
            <w:rtl/>
          </w:rPr>
          <w:fldChar w:fldCharType="separate"/>
        </w:r>
        <w:r>
          <w:rPr>
            <w:rFonts w:asciiTheme="minorBidi" w:hAnsiTheme="minorBidi" w:cstheme="minorBidi"/>
            <w:noProof/>
            <w:webHidden/>
            <w:rtl/>
          </w:rPr>
          <w:t>19</w:t>
        </w:r>
        <w:r w:rsidR="00C1274A" w:rsidRPr="00C1274A">
          <w:rPr>
            <w:rFonts w:asciiTheme="minorBidi" w:hAnsiTheme="minorBidi" w:cstheme="minorBidi"/>
            <w:noProof/>
            <w:webHidden/>
            <w:rtl/>
          </w:rPr>
          <w:fldChar w:fldCharType="end"/>
        </w:r>
      </w:hyperlink>
    </w:p>
    <w:p w14:paraId="64B3912F" w14:textId="0DACE470" w:rsidR="00C1274A" w:rsidRPr="00C1274A" w:rsidRDefault="00684A10">
      <w:pPr>
        <w:pStyle w:val="TOC2"/>
        <w:tabs>
          <w:tab w:val="left" w:pos="2831"/>
        </w:tabs>
        <w:rPr>
          <w:rFonts w:asciiTheme="minorBidi" w:eastAsiaTheme="minorEastAsia" w:hAnsiTheme="minorBidi" w:cstheme="minorBidi"/>
          <w:smallCaps w:val="0"/>
          <w:noProof/>
          <w:kern w:val="2"/>
          <w:rtl/>
          <w14:ligatures w14:val="standardContextual"/>
        </w:rPr>
      </w:pPr>
      <w:hyperlink w:anchor="_Toc160529219" w:history="1">
        <w:r w:rsidR="00C1274A" w:rsidRPr="00C1274A">
          <w:rPr>
            <w:rStyle w:val="Hyperlink"/>
            <w:rFonts w:asciiTheme="minorBidi" w:hAnsiTheme="minorBidi" w:cstheme="minorBidi"/>
            <w:noProof/>
            <w:rtl/>
          </w:rPr>
          <w:t>ה.</w:t>
        </w:r>
        <w:r w:rsidR="00C1274A" w:rsidRPr="00C1274A">
          <w:rPr>
            <w:rFonts w:asciiTheme="minorBidi" w:eastAsiaTheme="minorEastAsia" w:hAnsiTheme="minorBidi" w:cstheme="minorBidi"/>
            <w:smallCaps w:val="0"/>
            <w:noProof/>
            <w:kern w:val="2"/>
            <w:rtl/>
            <w14:ligatures w14:val="standardContextual"/>
          </w:rPr>
          <w:tab/>
        </w:r>
        <w:r w:rsidR="00C1274A" w:rsidRPr="00C1274A">
          <w:rPr>
            <w:rStyle w:val="Hyperlink"/>
            <w:rFonts w:asciiTheme="minorBidi" w:hAnsiTheme="minorBidi" w:cstheme="minorBidi"/>
            <w:noProof/>
            <w:rtl/>
          </w:rPr>
          <w:t>שינויים חשבונאיים</w:t>
        </w:r>
        <w:r w:rsidR="00C1274A" w:rsidRPr="00C1274A">
          <w:rPr>
            <w:rFonts w:asciiTheme="minorBidi" w:hAnsiTheme="minorBidi" w:cstheme="minorBidi"/>
            <w:noProof/>
            <w:webHidden/>
            <w:rtl/>
          </w:rPr>
          <w:tab/>
        </w:r>
        <w:r w:rsidR="00C1274A" w:rsidRPr="00C1274A">
          <w:rPr>
            <w:rFonts w:asciiTheme="minorBidi" w:hAnsiTheme="minorBidi" w:cstheme="minorBidi"/>
            <w:noProof/>
            <w:webHidden/>
            <w:rtl/>
          </w:rPr>
          <w:tab/>
        </w:r>
        <w:r w:rsidR="00C1274A" w:rsidRPr="00C1274A">
          <w:rPr>
            <w:rFonts w:asciiTheme="minorBidi" w:hAnsiTheme="minorBidi" w:cstheme="minorBidi"/>
            <w:noProof/>
            <w:webHidden/>
            <w:rtl/>
          </w:rPr>
          <w:fldChar w:fldCharType="begin"/>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Pr>
          <w:instrText>PAGEREF</w:instrText>
        </w:r>
        <w:r w:rsidR="00C1274A" w:rsidRPr="00C1274A">
          <w:rPr>
            <w:rFonts w:asciiTheme="minorBidi" w:hAnsiTheme="minorBidi" w:cstheme="minorBidi"/>
            <w:noProof/>
            <w:webHidden/>
            <w:rtl/>
          </w:rPr>
          <w:instrText xml:space="preserve"> _</w:instrText>
        </w:r>
        <w:r w:rsidR="00C1274A" w:rsidRPr="00C1274A">
          <w:rPr>
            <w:rFonts w:asciiTheme="minorBidi" w:hAnsiTheme="minorBidi" w:cstheme="minorBidi"/>
            <w:noProof/>
            <w:webHidden/>
          </w:rPr>
          <w:instrText>Toc160529219 \h</w:instrText>
        </w:r>
        <w:r w:rsidR="00C1274A" w:rsidRPr="00C1274A">
          <w:rPr>
            <w:rFonts w:asciiTheme="minorBidi" w:hAnsiTheme="minorBidi" w:cstheme="minorBidi"/>
            <w:noProof/>
            <w:webHidden/>
            <w:rtl/>
          </w:rPr>
          <w:instrText xml:space="preserve"> </w:instrText>
        </w:r>
        <w:r w:rsidR="00C1274A" w:rsidRPr="00C1274A">
          <w:rPr>
            <w:rFonts w:asciiTheme="minorBidi" w:hAnsiTheme="minorBidi" w:cstheme="minorBidi"/>
            <w:noProof/>
            <w:webHidden/>
            <w:rtl/>
          </w:rPr>
        </w:r>
        <w:r w:rsidR="00C1274A" w:rsidRPr="00C1274A">
          <w:rPr>
            <w:rFonts w:asciiTheme="minorBidi" w:hAnsiTheme="minorBidi" w:cstheme="minorBidi"/>
            <w:noProof/>
            <w:webHidden/>
            <w:rtl/>
          </w:rPr>
          <w:fldChar w:fldCharType="separate"/>
        </w:r>
        <w:r>
          <w:rPr>
            <w:rFonts w:asciiTheme="minorBidi" w:hAnsiTheme="minorBidi" w:cstheme="minorBidi"/>
            <w:noProof/>
            <w:webHidden/>
            <w:rtl/>
          </w:rPr>
          <w:t>21</w:t>
        </w:r>
        <w:r w:rsidR="00C1274A" w:rsidRPr="00C1274A">
          <w:rPr>
            <w:rFonts w:asciiTheme="minorBidi" w:hAnsiTheme="minorBidi" w:cstheme="minorBidi"/>
            <w:noProof/>
            <w:webHidden/>
            <w:rtl/>
          </w:rPr>
          <w:fldChar w:fldCharType="end"/>
        </w:r>
      </w:hyperlink>
    </w:p>
    <w:p w14:paraId="57D59D3A" w14:textId="5204EFC6" w:rsidR="00C1274A" w:rsidRPr="00C1274A" w:rsidRDefault="00684A10">
      <w:pPr>
        <w:pStyle w:val="TOC1"/>
        <w:rPr>
          <w:rFonts w:eastAsiaTheme="minorEastAsia"/>
          <w:b w:val="0"/>
          <w:bCs w:val="0"/>
          <w:caps w:val="0"/>
          <w:kern w:val="2"/>
          <w:sz w:val="20"/>
          <w:szCs w:val="20"/>
          <w:rtl/>
          <w14:ligatures w14:val="standardContextual"/>
        </w:rPr>
      </w:pPr>
      <w:hyperlink w:anchor="_Toc160529220" w:history="1">
        <w:r w:rsidR="00C1274A" w:rsidRPr="00C1274A">
          <w:rPr>
            <w:rStyle w:val="Hyperlink"/>
            <w:rFonts w:eastAsia="Arial Unicode MS"/>
            <w:sz w:val="20"/>
            <w:szCs w:val="20"/>
            <w:rtl/>
          </w:rPr>
          <w:t xml:space="preserve">ביאור 2  -  </w:t>
        </w:r>
        <w:r w:rsidR="00C1274A" w:rsidRPr="00C1274A">
          <w:rPr>
            <w:rStyle w:val="Hyperlink"/>
            <w:sz w:val="20"/>
            <w:szCs w:val="20"/>
            <w:rtl/>
          </w:rPr>
          <w:t>הכנסות והוצאות ריבית</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Toc160529220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23</w:t>
        </w:r>
        <w:r w:rsidR="00C1274A" w:rsidRPr="00C1274A">
          <w:rPr>
            <w:webHidden/>
            <w:sz w:val="20"/>
            <w:szCs w:val="20"/>
            <w:rtl/>
          </w:rPr>
          <w:fldChar w:fldCharType="end"/>
        </w:r>
      </w:hyperlink>
    </w:p>
    <w:p w14:paraId="38FD9C27" w14:textId="26B2B7F6" w:rsidR="00C1274A" w:rsidRPr="00C1274A" w:rsidRDefault="00684A10">
      <w:pPr>
        <w:pStyle w:val="TOC1"/>
        <w:rPr>
          <w:rFonts w:eastAsiaTheme="minorEastAsia"/>
          <w:b w:val="0"/>
          <w:bCs w:val="0"/>
          <w:caps w:val="0"/>
          <w:kern w:val="2"/>
          <w:sz w:val="20"/>
          <w:szCs w:val="20"/>
          <w:rtl/>
          <w14:ligatures w14:val="standardContextual"/>
        </w:rPr>
      </w:pPr>
      <w:hyperlink w:anchor="_Toc160529221" w:history="1">
        <w:r w:rsidR="00C1274A" w:rsidRPr="00C1274A">
          <w:rPr>
            <w:rStyle w:val="Hyperlink"/>
            <w:rFonts w:eastAsia="Arial Unicode MS"/>
            <w:sz w:val="20"/>
            <w:szCs w:val="20"/>
            <w:rtl/>
          </w:rPr>
          <w:t xml:space="preserve">ביאור 3  -  </w:t>
        </w:r>
        <w:r w:rsidR="00C1274A" w:rsidRPr="00C1274A">
          <w:rPr>
            <w:rStyle w:val="Hyperlink"/>
            <w:sz w:val="20"/>
            <w:szCs w:val="20"/>
            <w:rtl/>
          </w:rPr>
          <w:t>הכנסות מימון שאינן מריבית</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Toc160529221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24</w:t>
        </w:r>
        <w:r w:rsidR="00C1274A" w:rsidRPr="00C1274A">
          <w:rPr>
            <w:webHidden/>
            <w:sz w:val="20"/>
            <w:szCs w:val="20"/>
            <w:rtl/>
          </w:rPr>
          <w:fldChar w:fldCharType="end"/>
        </w:r>
      </w:hyperlink>
    </w:p>
    <w:p w14:paraId="745C5516" w14:textId="37BB43F2" w:rsidR="00C1274A" w:rsidRPr="00C1274A" w:rsidRDefault="00684A10">
      <w:pPr>
        <w:pStyle w:val="TOC1"/>
        <w:rPr>
          <w:rFonts w:eastAsiaTheme="minorEastAsia"/>
          <w:b w:val="0"/>
          <w:bCs w:val="0"/>
          <w:caps w:val="0"/>
          <w:kern w:val="2"/>
          <w:sz w:val="20"/>
          <w:szCs w:val="20"/>
          <w:rtl/>
          <w14:ligatures w14:val="standardContextual"/>
        </w:rPr>
      </w:pPr>
      <w:hyperlink w:anchor="_Toc160529222" w:history="1">
        <w:r w:rsidR="00C1274A" w:rsidRPr="00C1274A">
          <w:rPr>
            <w:rStyle w:val="Hyperlink"/>
            <w:rFonts w:eastAsia="Arial Unicode MS"/>
            <w:sz w:val="20"/>
            <w:szCs w:val="20"/>
            <w:rtl/>
          </w:rPr>
          <w:t xml:space="preserve">ביאור 4  -  </w:t>
        </w:r>
        <w:r w:rsidR="00C1274A" w:rsidRPr="00C1274A">
          <w:rPr>
            <w:rStyle w:val="Hyperlink"/>
            <w:sz w:val="20"/>
            <w:szCs w:val="20"/>
            <w:rtl/>
          </w:rPr>
          <w:t>רווח (הפסד) כולל אחר מצטבר</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Toc160529222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26</w:t>
        </w:r>
        <w:r w:rsidR="00C1274A" w:rsidRPr="00C1274A">
          <w:rPr>
            <w:webHidden/>
            <w:sz w:val="20"/>
            <w:szCs w:val="20"/>
            <w:rtl/>
          </w:rPr>
          <w:fldChar w:fldCharType="end"/>
        </w:r>
      </w:hyperlink>
    </w:p>
    <w:p w14:paraId="153933CB" w14:textId="466EDA8B" w:rsidR="00C1274A" w:rsidRPr="00C1274A" w:rsidRDefault="00684A10">
      <w:pPr>
        <w:pStyle w:val="TOC1"/>
        <w:rPr>
          <w:rFonts w:eastAsiaTheme="minorEastAsia"/>
          <w:b w:val="0"/>
          <w:bCs w:val="0"/>
          <w:caps w:val="0"/>
          <w:kern w:val="2"/>
          <w:sz w:val="20"/>
          <w:szCs w:val="20"/>
          <w:rtl/>
          <w14:ligatures w14:val="standardContextual"/>
        </w:rPr>
      </w:pPr>
      <w:hyperlink w:anchor="_Toc160529223" w:history="1">
        <w:r w:rsidR="00C1274A" w:rsidRPr="00C1274A">
          <w:rPr>
            <w:rStyle w:val="Hyperlink"/>
            <w:sz w:val="20"/>
            <w:szCs w:val="20"/>
            <w:rtl/>
          </w:rPr>
          <w:t>ביאור 5  -  ניירות ערך</w:t>
        </w:r>
        <w:r w:rsidR="00C1274A" w:rsidRPr="00C1274A">
          <w:rPr>
            <w:rStyle w:val="Hyperlink"/>
            <w:sz w:val="20"/>
            <w:szCs w:val="20"/>
          </w:rPr>
          <w:t xml:space="preserve"> </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Toc160529223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29</w:t>
        </w:r>
        <w:r w:rsidR="00C1274A" w:rsidRPr="00C1274A">
          <w:rPr>
            <w:webHidden/>
            <w:sz w:val="20"/>
            <w:szCs w:val="20"/>
            <w:rtl/>
          </w:rPr>
          <w:fldChar w:fldCharType="end"/>
        </w:r>
      </w:hyperlink>
    </w:p>
    <w:p w14:paraId="4E849D88" w14:textId="3FFCD6BA" w:rsidR="00C1274A" w:rsidRPr="00C1274A" w:rsidRDefault="00684A10">
      <w:pPr>
        <w:pStyle w:val="TOC1"/>
        <w:rPr>
          <w:rFonts w:eastAsiaTheme="minorEastAsia"/>
          <w:b w:val="0"/>
          <w:bCs w:val="0"/>
          <w:caps w:val="0"/>
          <w:kern w:val="2"/>
          <w:sz w:val="20"/>
          <w:szCs w:val="20"/>
          <w:rtl/>
          <w14:ligatures w14:val="standardContextual"/>
        </w:rPr>
      </w:pPr>
      <w:hyperlink w:anchor="_Toc160529224" w:history="1">
        <w:r w:rsidR="00C1274A" w:rsidRPr="00C1274A">
          <w:rPr>
            <w:rStyle w:val="Hyperlink"/>
            <w:rFonts w:eastAsia="Arial Unicode MS"/>
            <w:sz w:val="20"/>
            <w:szCs w:val="20"/>
            <w:rtl/>
          </w:rPr>
          <w:t>ביאור 6  -  סיכון אשראי, אשראי לציבור והפרשה להפסדי אשראי</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Toc160529224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36</w:t>
        </w:r>
        <w:r w:rsidR="00C1274A" w:rsidRPr="00C1274A">
          <w:rPr>
            <w:webHidden/>
            <w:sz w:val="20"/>
            <w:szCs w:val="20"/>
            <w:rtl/>
          </w:rPr>
          <w:fldChar w:fldCharType="end"/>
        </w:r>
      </w:hyperlink>
    </w:p>
    <w:p w14:paraId="509C3961" w14:textId="12F46A72" w:rsidR="00C1274A" w:rsidRPr="00C1274A" w:rsidRDefault="00684A10">
      <w:pPr>
        <w:pStyle w:val="TOC1"/>
        <w:rPr>
          <w:rFonts w:eastAsiaTheme="minorEastAsia"/>
          <w:b w:val="0"/>
          <w:bCs w:val="0"/>
          <w:caps w:val="0"/>
          <w:kern w:val="2"/>
          <w:sz w:val="20"/>
          <w:szCs w:val="20"/>
          <w:rtl/>
          <w14:ligatures w14:val="standardContextual"/>
        </w:rPr>
      </w:pPr>
      <w:hyperlink w:anchor="_Toc160529225" w:history="1">
        <w:r w:rsidR="00C1274A" w:rsidRPr="00C1274A">
          <w:rPr>
            <w:rStyle w:val="Hyperlink"/>
            <w:sz w:val="20"/>
            <w:szCs w:val="20"/>
            <w:rtl/>
          </w:rPr>
          <w:t>ביאור 7  -  פיקדונות הציבור</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Toc160529225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40</w:t>
        </w:r>
        <w:r w:rsidR="00C1274A" w:rsidRPr="00C1274A">
          <w:rPr>
            <w:webHidden/>
            <w:sz w:val="20"/>
            <w:szCs w:val="20"/>
            <w:rtl/>
          </w:rPr>
          <w:fldChar w:fldCharType="end"/>
        </w:r>
      </w:hyperlink>
    </w:p>
    <w:p w14:paraId="14522950" w14:textId="4A6123EE" w:rsidR="00C1274A" w:rsidRPr="00C1274A" w:rsidRDefault="00684A10">
      <w:pPr>
        <w:pStyle w:val="TOC1"/>
        <w:rPr>
          <w:rFonts w:eastAsiaTheme="minorEastAsia"/>
          <w:b w:val="0"/>
          <w:bCs w:val="0"/>
          <w:caps w:val="0"/>
          <w:kern w:val="2"/>
          <w:sz w:val="20"/>
          <w:szCs w:val="20"/>
          <w:rtl/>
          <w14:ligatures w14:val="standardContextual"/>
        </w:rPr>
      </w:pPr>
      <w:hyperlink w:anchor="_Toc160529226" w:history="1">
        <w:r w:rsidR="00C1274A" w:rsidRPr="00C1274A">
          <w:rPr>
            <w:rStyle w:val="Hyperlink"/>
            <w:sz w:val="20"/>
            <w:szCs w:val="20"/>
            <w:rtl/>
          </w:rPr>
          <w:t xml:space="preserve">ביאור 7א  -  הטבות לעובדים  </w:t>
        </w:r>
        <w:r w:rsidR="00C1274A" w:rsidRPr="00C1274A">
          <w:rPr>
            <w:rStyle w:val="Hyperlink"/>
            <w:sz w:val="20"/>
            <w:szCs w:val="20"/>
            <w:vertAlign w:val="superscript"/>
          </w:rPr>
          <w:t xml:space="preserve">  </w:t>
        </w:r>
        <w:r w:rsidR="00C1274A" w:rsidRPr="00C1274A">
          <w:rPr>
            <w:rStyle w:val="Hyperlink"/>
            <w:sz w:val="20"/>
            <w:szCs w:val="20"/>
            <w:vertAlign w:val="superscript"/>
            <w:rtl/>
          </w:rPr>
          <w:t xml:space="preserve"> </w:t>
        </w:r>
        <w:r w:rsidR="00C1274A" w:rsidRPr="00C1274A">
          <w:rPr>
            <w:rStyle w:val="Hyperlink"/>
            <w:sz w:val="20"/>
            <w:szCs w:val="20"/>
            <w:vertAlign w:val="superscript"/>
          </w:rPr>
          <w:t xml:space="preserve">  </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Toc160529226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41</w:t>
        </w:r>
        <w:r w:rsidR="00C1274A" w:rsidRPr="00C1274A">
          <w:rPr>
            <w:webHidden/>
            <w:sz w:val="20"/>
            <w:szCs w:val="20"/>
            <w:rtl/>
          </w:rPr>
          <w:fldChar w:fldCharType="end"/>
        </w:r>
      </w:hyperlink>
    </w:p>
    <w:p w14:paraId="2F07AB32" w14:textId="6C4BA989" w:rsidR="00C1274A" w:rsidRPr="00C1274A" w:rsidRDefault="00684A10">
      <w:pPr>
        <w:pStyle w:val="TOC1"/>
        <w:rPr>
          <w:rFonts w:eastAsiaTheme="minorEastAsia"/>
          <w:b w:val="0"/>
          <w:bCs w:val="0"/>
          <w:caps w:val="0"/>
          <w:kern w:val="2"/>
          <w:sz w:val="20"/>
          <w:szCs w:val="20"/>
          <w:rtl/>
          <w14:ligatures w14:val="standardContextual"/>
        </w:rPr>
      </w:pPr>
      <w:hyperlink w:anchor="_Toc160529227" w:history="1">
        <w:r w:rsidR="00C1274A" w:rsidRPr="00C1274A">
          <w:rPr>
            <w:rStyle w:val="Hyperlink"/>
            <w:sz w:val="20"/>
            <w:szCs w:val="20"/>
            <w:rtl/>
          </w:rPr>
          <w:t>ביאור 8  -  הלימות הון, מינוף ונזילות לפי הוראות המפקח על הבנקים</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Toc160529227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42</w:t>
        </w:r>
        <w:r w:rsidR="00C1274A" w:rsidRPr="00C1274A">
          <w:rPr>
            <w:webHidden/>
            <w:sz w:val="20"/>
            <w:szCs w:val="20"/>
            <w:rtl/>
          </w:rPr>
          <w:fldChar w:fldCharType="end"/>
        </w:r>
      </w:hyperlink>
    </w:p>
    <w:p w14:paraId="543F5B6E" w14:textId="67A5C016" w:rsidR="00C1274A" w:rsidRPr="00C1274A" w:rsidRDefault="00684A10">
      <w:pPr>
        <w:pStyle w:val="TOC1"/>
        <w:rPr>
          <w:rFonts w:eastAsiaTheme="minorEastAsia"/>
          <w:b w:val="0"/>
          <w:bCs w:val="0"/>
          <w:caps w:val="0"/>
          <w:kern w:val="2"/>
          <w:sz w:val="20"/>
          <w:szCs w:val="20"/>
          <w:rtl/>
          <w14:ligatures w14:val="standardContextual"/>
        </w:rPr>
      </w:pPr>
      <w:hyperlink w:anchor="_Toc160529228" w:history="1">
        <w:r w:rsidR="00C1274A" w:rsidRPr="00C1274A">
          <w:rPr>
            <w:rStyle w:val="Hyperlink"/>
            <w:sz w:val="20"/>
            <w:szCs w:val="20"/>
            <w:rtl/>
          </w:rPr>
          <w:t xml:space="preserve">ביאור 9  -  התחייבויות תלויות והתקשרויות מיוחדות </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Toc160529228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46</w:t>
        </w:r>
        <w:r w:rsidR="00C1274A" w:rsidRPr="00C1274A">
          <w:rPr>
            <w:webHidden/>
            <w:sz w:val="20"/>
            <w:szCs w:val="20"/>
            <w:rtl/>
          </w:rPr>
          <w:fldChar w:fldCharType="end"/>
        </w:r>
      </w:hyperlink>
    </w:p>
    <w:p w14:paraId="1DA362A1" w14:textId="573AB93A" w:rsidR="00C1274A" w:rsidRPr="00C1274A" w:rsidRDefault="00684A10">
      <w:pPr>
        <w:pStyle w:val="TOC1"/>
        <w:rPr>
          <w:rFonts w:eastAsiaTheme="minorEastAsia"/>
          <w:b w:val="0"/>
          <w:bCs w:val="0"/>
          <w:caps w:val="0"/>
          <w:kern w:val="2"/>
          <w:sz w:val="20"/>
          <w:szCs w:val="20"/>
          <w:rtl/>
          <w14:ligatures w14:val="standardContextual"/>
        </w:rPr>
      </w:pPr>
      <w:hyperlink w:anchor="_Toc160529229" w:history="1">
        <w:r w:rsidR="00C1274A" w:rsidRPr="00C1274A">
          <w:rPr>
            <w:rStyle w:val="Hyperlink"/>
            <w:rFonts w:eastAsia="Arial Unicode MS"/>
            <w:sz w:val="20"/>
            <w:szCs w:val="20"/>
            <w:rtl/>
          </w:rPr>
          <w:t xml:space="preserve">ביאור 10  -  </w:t>
        </w:r>
        <w:r w:rsidR="00C1274A" w:rsidRPr="00C1274A">
          <w:rPr>
            <w:rStyle w:val="Hyperlink"/>
            <w:sz w:val="20"/>
            <w:szCs w:val="20"/>
            <w:rtl/>
          </w:rPr>
          <w:t xml:space="preserve">פעילות במכשירים נגזרים </w:t>
        </w:r>
        <w:r w:rsidR="00C1274A" w:rsidRPr="00C1274A">
          <w:rPr>
            <w:rStyle w:val="Hyperlink"/>
            <w:sz w:val="20"/>
            <w:szCs w:val="20"/>
          </w:rPr>
          <w:t>-</w:t>
        </w:r>
        <w:r w:rsidR="00C1274A" w:rsidRPr="00C1274A">
          <w:rPr>
            <w:rStyle w:val="Hyperlink"/>
            <w:sz w:val="20"/>
            <w:szCs w:val="20"/>
            <w:rtl/>
          </w:rPr>
          <w:t xml:space="preserve"> היקף, סיכוני אשראי ומועדי פירעון</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Toc160529229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47</w:t>
        </w:r>
        <w:r w:rsidR="00C1274A" w:rsidRPr="00C1274A">
          <w:rPr>
            <w:webHidden/>
            <w:sz w:val="20"/>
            <w:szCs w:val="20"/>
            <w:rtl/>
          </w:rPr>
          <w:fldChar w:fldCharType="end"/>
        </w:r>
      </w:hyperlink>
    </w:p>
    <w:p w14:paraId="200B81E6" w14:textId="072B9169" w:rsidR="00C1274A" w:rsidRPr="00C1274A" w:rsidRDefault="00684A10">
      <w:pPr>
        <w:pStyle w:val="TOC1"/>
        <w:rPr>
          <w:rFonts w:eastAsiaTheme="minorEastAsia"/>
          <w:b w:val="0"/>
          <w:bCs w:val="0"/>
          <w:caps w:val="0"/>
          <w:kern w:val="2"/>
          <w:sz w:val="20"/>
          <w:szCs w:val="20"/>
          <w:rtl/>
          <w14:ligatures w14:val="standardContextual"/>
        </w:rPr>
      </w:pPr>
      <w:hyperlink w:anchor="_Toc160529230" w:history="1">
        <w:r w:rsidR="00C1274A" w:rsidRPr="00C1274A">
          <w:rPr>
            <w:rStyle w:val="Hyperlink"/>
            <w:sz w:val="20"/>
            <w:szCs w:val="20"/>
            <w:rtl/>
          </w:rPr>
          <w:t xml:space="preserve">ביאור 11  -  מגזרי פעילות פיקוחיים </w:t>
        </w:r>
        <w:r w:rsidR="00C1274A" w:rsidRPr="00C1274A">
          <w:rPr>
            <w:rStyle w:val="Hyperlink"/>
            <w:sz w:val="20"/>
            <w:szCs w:val="20"/>
            <w:vertAlign w:val="superscript"/>
          </w:rPr>
          <w:t xml:space="preserve"> </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Toc160529230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57</w:t>
        </w:r>
        <w:r w:rsidR="00C1274A" w:rsidRPr="00C1274A">
          <w:rPr>
            <w:webHidden/>
            <w:sz w:val="20"/>
            <w:szCs w:val="20"/>
            <w:rtl/>
          </w:rPr>
          <w:fldChar w:fldCharType="end"/>
        </w:r>
      </w:hyperlink>
    </w:p>
    <w:p w14:paraId="74830C00" w14:textId="265D5221" w:rsidR="00C1274A" w:rsidRPr="00C1274A" w:rsidRDefault="00684A10">
      <w:pPr>
        <w:pStyle w:val="TOC1"/>
        <w:rPr>
          <w:rFonts w:eastAsiaTheme="minorEastAsia"/>
          <w:b w:val="0"/>
          <w:bCs w:val="0"/>
          <w:caps w:val="0"/>
          <w:kern w:val="2"/>
          <w:sz w:val="20"/>
          <w:szCs w:val="20"/>
          <w:rtl/>
          <w14:ligatures w14:val="standardContextual"/>
        </w:rPr>
      </w:pPr>
      <w:hyperlink w:anchor="_Toc160529231" w:history="1">
        <w:r w:rsidR="00C1274A" w:rsidRPr="00C1274A">
          <w:rPr>
            <w:rStyle w:val="Hyperlink"/>
            <w:sz w:val="20"/>
            <w:szCs w:val="20"/>
            <w:rtl/>
          </w:rPr>
          <w:t xml:space="preserve">ביאור 11א - מגזרי פעילות לפי גישת ההנהלה </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Toc160529231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62</w:t>
        </w:r>
        <w:r w:rsidR="00C1274A" w:rsidRPr="00C1274A">
          <w:rPr>
            <w:webHidden/>
            <w:sz w:val="20"/>
            <w:szCs w:val="20"/>
            <w:rtl/>
          </w:rPr>
          <w:fldChar w:fldCharType="end"/>
        </w:r>
      </w:hyperlink>
    </w:p>
    <w:p w14:paraId="627045B9" w14:textId="44320EAE" w:rsidR="00C1274A" w:rsidRPr="00C1274A" w:rsidRDefault="00684A10">
      <w:pPr>
        <w:pStyle w:val="TOC1"/>
        <w:rPr>
          <w:rFonts w:eastAsiaTheme="minorEastAsia"/>
          <w:b w:val="0"/>
          <w:bCs w:val="0"/>
          <w:caps w:val="0"/>
          <w:kern w:val="2"/>
          <w:sz w:val="20"/>
          <w:szCs w:val="20"/>
          <w:rtl/>
          <w14:ligatures w14:val="standardContextual"/>
        </w:rPr>
      </w:pPr>
      <w:hyperlink w:anchor="_Toc160529232" w:history="1">
        <w:r w:rsidR="00C1274A" w:rsidRPr="00C1274A">
          <w:rPr>
            <w:rStyle w:val="Hyperlink"/>
            <w:sz w:val="20"/>
            <w:szCs w:val="20"/>
            <w:rtl/>
          </w:rPr>
          <w:t xml:space="preserve">ביאור 12 - מידע נוסף על סיכון אשראי, אשראי לציבור והפרשה להפסדי אשראי </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Toc160529232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65</w:t>
        </w:r>
        <w:r w:rsidR="00C1274A" w:rsidRPr="00C1274A">
          <w:rPr>
            <w:webHidden/>
            <w:sz w:val="20"/>
            <w:szCs w:val="20"/>
            <w:rtl/>
          </w:rPr>
          <w:fldChar w:fldCharType="end"/>
        </w:r>
      </w:hyperlink>
    </w:p>
    <w:p w14:paraId="082FAF70" w14:textId="304EC38B" w:rsidR="00C1274A" w:rsidRPr="00C1274A" w:rsidRDefault="00684A10">
      <w:pPr>
        <w:pStyle w:val="TOC1"/>
        <w:rPr>
          <w:rFonts w:eastAsiaTheme="minorEastAsia"/>
          <w:b w:val="0"/>
          <w:bCs w:val="0"/>
          <w:caps w:val="0"/>
          <w:kern w:val="2"/>
          <w:sz w:val="20"/>
          <w:szCs w:val="20"/>
          <w:rtl/>
          <w14:ligatures w14:val="standardContextual"/>
        </w:rPr>
      </w:pPr>
      <w:hyperlink w:anchor="_Toc160529233" w:history="1">
        <w:r w:rsidR="00C1274A" w:rsidRPr="00C1274A">
          <w:rPr>
            <w:rStyle w:val="Hyperlink"/>
            <w:rFonts w:eastAsia="Arial Unicode MS"/>
            <w:sz w:val="20"/>
            <w:szCs w:val="20"/>
            <w:rtl/>
          </w:rPr>
          <w:t xml:space="preserve">ביאור 13 - </w:t>
        </w:r>
        <w:r w:rsidR="00C1274A" w:rsidRPr="00C1274A">
          <w:rPr>
            <w:rStyle w:val="Hyperlink"/>
            <w:sz w:val="20"/>
            <w:szCs w:val="20"/>
            <w:rtl/>
          </w:rPr>
          <w:t>דוח מאוחד על נכסים והתחייבויות לפי בסיסי הצמדה</w:t>
        </w:r>
        <w:r w:rsidR="00C1274A" w:rsidRPr="00C1274A">
          <w:rPr>
            <w:rStyle w:val="Hyperlink"/>
            <w:rFonts w:eastAsia="Arial Unicode MS"/>
            <w:sz w:val="20"/>
            <w:szCs w:val="20"/>
            <w:rtl/>
          </w:rPr>
          <w:t xml:space="preserve"> </w:t>
        </w:r>
        <w:r w:rsidR="00C1274A" w:rsidRPr="00C1274A">
          <w:rPr>
            <w:rStyle w:val="Hyperlink"/>
            <w:rFonts w:eastAsia="Arial Unicode MS"/>
            <w:sz w:val="20"/>
            <w:szCs w:val="20"/>
            <w:vertAlign w:val="superscript"/>
          </w:rPr>
          <w:t xml:space="preserve">   </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Toc160529233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87</w:t>
        </w:r>
        <w:r w:rsidR="00C1274A" w:rsidRPr="00C1274A">
          <w:rPr>
            <w:webHidden/>
            <w:sz w:val="20"/>
            <w:szCs w:val="20"/>
            <w:rtl/>
          </w:rPr>
          <w:fldChar w:fldCharType="end"/>
        </w:r>
      </w:hyperlink>
    </w:p>
    <w:p w14:paraId="286A1E60" w14:textId="0590B615" w:rsidR="00C1274A" w:rsidRPr="00C1274A" w:rsidRDefault="00684A10">
      <w:pPr>
        <w:pStyle w:val="TOC1"/>
        <w:rPr>
          <w:rFonts w:eastAsiaTheme="minorEastAsia"/>
          <w:b w:val="0"/>
          <w:bCs w:val="0"/>
          <w:caps w:val="0"/>
          <w:kern w:val="2"/>
          <w:sz w:val="20"/>
          <w:szCs w:val="20"/>
          <w:rtl/>
          <w14:ligatures w14:val="standardContextual"/>
        </w:rPr>
      </w:pPr>
      <w:hyperlink w:anchor="_Toc160529234" w:history="1">
        <w:r w:rsidR="00C1274A" w:rsidRPr="00C1274A">
          <w:rPr>
            <w:rStyle w:val="Hyperlink"/>
            <w:sz w:val="20"/>
            <w:szCs w:val="20"/>
            <w:rtl/>
          </w:rPr>
          <w:t>ביאור 14א - יתרות ואומדני שווי הוגן של מכשירים פיננסיים (במאוחד)</w:t>
        </w:r>
        <w:r w:rsidR="00C1274A" w:rsidRPr="00C1274A">
          <w:rPr>
            <w:rStyle w:val="Hyperlink"/>
            <w:sz w:val="20"/>
            <w:szCs w:val="20"/>
            <w:vertAlign w:val="superscript"/>
            <w:rtl/>
          </w:rPr>
          <w:t xml:space="preserve"> </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Toc160529234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90</w:t>
        </w:r>
        <w:r w:rsidR="00C1274A" w:rsidRPr="00C1274A">
          <w:rPr>
            <w:webHidden/>
            <w:sz w:val="20"/>
            <w:szCs w:val="20"/>
            <w:rtl/>
          </w:rPr>
          <w:fldChar w:fldCharType="end"/>
        </w:r>
      </w:hyperlink>
    </w:p>
    <w:p w14:paraId="0A1C15AE" w14:textId="4B69DCEF" w:rsidR="00C1274A" w:rsidRPr="00C1274A" w:rsidRDefault="00684A10">
      <w:pPr>
        <w:pStyle w:val="TOC1"/>
        <w:rPr>
          <w:rFonts w:eastAsiaTheme="minorEastAsia"/>
          <w:b w:val="0"/>
          <w:bCs w:val="0"/>
          <w:caps w:val="0"/>
          <w:kern w:val="2"/>
          <w:sz w:val="20"/>
          <w:szCs w:val="20"/>
          <w:rtl/>
          <w14:ligatures w14:val="standardContextual"/>
        </w:rPr>
      </w:pPr>
      <w:hyperlink w:anchor="_Toc160529235" w:history="1">
        <w:r w:rsidR="00C1274A" w:rsidRPr="00C1274A">
          <w:rPr>
            <w:rStyle w:val="Hyperlink"/>
            <w:rFonts w:eastAsia="Arial Unicode MS"/>
            <w:sz w:val="20"/>
            <w:szCs w:val="20"/>
            <w:rtl/>
          </w:rPr>
          <w:t xml:space="preserve">ביאור 14ב - </w:t>
        </w:r>
        <w:r w:rsidR="00C1274A" w:rsidRPr="00C1274A">
          <w:rPr>
            <w:rStyle w:val="Hyperlink"/>
            <w:sz w:val="20"/>
            <w:szCs w:val="20"/>
            <w:rtl/>
          </w:rPr>
          <w:t>פריטים הנמדדים בשווי הוגן (במאוחד)</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Toc160529235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94</w:t>
        </w:r>
        <w:r w:rsidR="00C1274A" w:rsidRPr="00C1274A">
          <w:rPr>
            <w:webHidden/>
            <w:sz w:val="20"/>
            <w:szCs w:val="20"/>
            <w:rtl/>
          </w:rPr>
          <w:fldChar w:fldCharType="end"/>
        </w:r>
      </w:hyperlink>
    </w:p>
    <w:p w14:paraId="72786EA7" w14:textId="3737E251" w:rsidR="00C1274A" w:rsidRPr="00C1274A" w:rsidRDefault="00684A10">
      <w:pPr>
        <w:pStyle w:val="TOC1"/>
        <w:rPr>
          <w:rFonts w:eastAsiaTheme="minorEastAsia"/>
          <w:b w:val="0"/>
          <w:bCs w:val="0"/>
          <w:caps w:val="0"/>
          <w:kern w:val="2"/>
          <w:sz w:val="20"/>
          <w:szCs w:val="20"/>
          <w:rtl/>
          <w14:ligatures w14:val="standardContextual"/>
        </w:rPr>
      </w:pPr>
      <w:hyperlink w:anchor="_Toc160529236" w:history="1">
        <w:r w:rsidR="00C1274A" w:rsidRPr="00C1274A">
          <w:rPr>
            <w:rStyle w:val="Hyperlink"/>
            <w:rFonts w:eastAsia="Arial Unicode MS"/>
            <w:sz w:val="20"/>
            <w:szCs w:val="20"/>
            <w:rtl/>
          </w:rPr>
          <w:t xml:space="preserve">ביאור 14ג  -  </w:t>
        </w:r>
        <w:r w:rsidR="00C1274A" w:rsidRPr="00C1274A">
          <w:rPr>
            <w:rStyle w:val="Hyperlink"/>
            <w:sz w:val="20"/>
            <w:szCs w:val="20"/>
            <w:rtl/>
          </w:rPr>
          <w:t>שינויים בפריטים הנמדדים בשווי הוגן על בסיס חוזר ונשנה שנכללו ברמה 3 (במאוחד)</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Toc160529236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96</w:t>
        </w:r>
        <w:r w:rsidR="00C1274A" w:rsidRPr="00C1274A">
          <w:rPr>
            <w:webHidden/>
            <w:sz w:val="20"/>
            <w:szCs w:val="20"/>
            <w:rtl/>
          </w:rPr>
          <w:fldChar w:fldCharType="end"/>
        </w:r>
      </w:hyperlink>
    </w:p>
    <w:p w14:paraId="1139F096" w14:textId="63E93812" w:rsidR="00C1274A" w:rsidRPr="00C1274A" w:rsidRDefault="00684A10">
      <w:pPr>
        <w:pStyle w:val="TOC1"/>
        <w:rPr>
          <w:rFonts w:eastAsiaTheme="minorEastAsia"/>
          <w:b w:val="0"/>
          <w:bCs w:val="0"/>
          <w:caps w:val="0"/>
          <w:kern w:val="2"/>
          <w:sz w:val="20"/>
          <w:szCs w:val="20"/>
          <w:rtl/>
          <w14:ligatures w14:val="standardContextual"/>
        </w:rPr>
      </w:pPr>
      <w:hyperlink w:anchor="_Toc160529237" w:history="1">
        <w:r w:rsidR="00C1274A" w:rsidRPr="00C1274A">
          <w:rPr>
            <w:rStyle w:val="Hyperlink"/>
            <w:rFonts w:eastAsia="Arial Unicode MS"/>
            <w:sz w:val="20"/>
            <w:szCs w:val="20"/>
            <w:rtl/>
          </w:rPr>
          <w:t xml:space="preserve">ביאור 14ד  -  </w:t>
        </w:r>
        <w:r w:rsidR="00C1274A" w:rsidRPr="00C1274A">
          <w:rPr>
            <w:rStyle w:val="Hyperlink"/>
            <w:sz w:val="20"/>
            <w:szCs w:val="20"/>
            <w:rtl/>
          </w:rPr>
          <w:t>מידע כמותי על פריטים הנמדדים בשווי הוגן שנכללו ברמה 3</w:t>
        </w:r>
        <w:r w:rsidR="00C1274A" w:rsidRPr="00C1274A">
          <w:rPr>
            <w:rStyle w:val="Hyperlink"/>
            <w:sz w:val="20"/>
            <w:szCs w:val="20"/>
            <w:vertAlign w:val="superscript"/>
            <w:rtl/>
          </w:rPr>
          <w:t xml:space="preserve"> </w:t>
        </w:r>
        <w:r w:rsidR="00C1274A" w:rsidRPr="00C1274A">
          <w:rPr>
            <w:rStyle w:val="Hyperlink"/>
            <w:sz w:val="20"/>
            <w:szCs w:val="20"/>
            <w:rtl/>
          </w:rPr>
          <w:t>(במאוחד)</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Toc160529237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99</w:t>
        </w:r>
        <w:r w:rsidR="00C1274A" w:rsidRPr="00C1274A">
          <w:rPr>
            <w:webHidden/>
            <w:sz w:val="20"/>
            <w:szCs w:val="20"/>
            <w:rtl/>
          </w:rPr>
          <w:fldChar w:fldCharType="end"/>
        </w:r>
      </w:hyperlink>
    </w:p>
    <w:p w14:paraId="76CF5DF7" w14:textId="2A5C881D" w:rsidR="00C1274A" w:rsidRPr="00C1274A" w:rsidRDefault="00684A10">
      <w:pPr>
        <w:pStyle w:val="TOC1"/>
        <w:rPr>
          <w:rFonts w:eastAsiaTheme="minorEastAsia"/>
          <w:b w:val="0"/>
          <w:bCs w:val="0"/>
          <w:caps w:val="0"/>
          <w:kern w:val="2"/>
          <w:sz w:val="20"/>
          <w:szCs w:val="20"/>
          <w:rtl/>
          <w14:ligatures w14:val="standardContextual"/>
        </w:rPr>
      </w:pPr>
      <w:hyperlink w:anchor="_Toc160529238" w:history="1">
        <w:r w:rsidR="00C1274A" w:rsidRPr="00C1274A">
          <w:rPr>
            <w:rStyle w:val="Hyperlink"/>
            <w:rFonts w:eastAsia="Arial Unicode MS"/>
            <w:sz w:val="20"/>
            <w:szCs w:val="20"/>
            <w:rtl/>
          </w:rPr>
          <w:t xml:space="preserve">ביאור 14ה  -  </w:t>
        </w:r>
        <w:r w:rsidR="00C1274A" w:rsidRPr="00C1274A">
          <w:rPr>
            <w:rStyle w:val="Hyperlink"/>
            <w:sz w:val="20"/>
            <w:szCs w:val="20"/>
            <w:rtl/>
          </w:rPr>
          <w:t>חלופת השווי ההוגן</w:t>
        </w:r>
        <w:r w:rsidR="00C1274A" w:rsidRPr="00C1274A">
          <w:rPr>
            <w:rStyle w:val="Hyperlink"/>
            <w:rFonts w:eastAsia="Arial Unicode MS"/>
            <w:sz w:val="20"/>
            <w:szCs w:val="20"/>
            <w:rtl/>
          </w:rPr>
          <w:t xml:space="preserve"> (במאוחד)</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Toc160529238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100</w:t>
        </w:r>
        <w:r w:rsidR="00C1274A" w:rsidRPr="00C1274A">
          <w:rPr>
            <w:webHidden/>
            <w:sz w:val="20"/>
            <w:szCs w:val="20"/>
            <w:rtl/>
          </w:rPr>
          <w:fldChar w:fldCharType="end"/>
        </w:r>
      </w:hyperlink>
    </w:p>
    <w:p w14:paraId="0C54C4C5" w14:textId="07767654" w:rsidR="00C1274A" w:rsidRPr="00C1274A" w:rsidRDefault="00684A10">
      <w:pPr>
        <w:pStyle w:val="TOC1"/>
        <w:rPr>
          <w:rFonts w:eastAsiaTheme="minorEastAsia"/>
          <w:b w:val="0"/>
          <w:bCs w:val="0"/>
          <w:caps w:val="0"/>
          <w:kern w:val="2"/>
          <w:sz w:val="20"/>
          <w:szCs w:val="20"/>
          <w:rtl/>
          <w14:ligatures w14:val="standardContextual"/>
        </w:rPr>
      </w:pPr>
      <w:hyperlink w:anchor="_Toc160529239" w:history="1">
        <w:r w:rsidR="00C1274A" w:rsidRPr="00C1274A">
          <w:rPr>
            <w:rStyle w:val="Hyperlink"/>
            <w:sz w:val="20"/>
            <w:szCs w:val="20"/>
            <w:rtl/>
          </w:rPr>
          <w:t>ביאור 15 - אירועים מהותיים במהלך תקופת הדיווח</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Toc160529239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101</w:t>
        </w:r>
        <w:r w:rsidR="00C1274A" w:rsidRPr="00C1274A">
          <w:rPr>
            <w:webHidden/>
            <w:sz w:val="20"/>
            <w:szCs w:val="20"/>
            <w:rtl/>
          </w:rPr>
          <w:fldChar w:fldCharType="end"/>
        </w:r>
      </w:hyperlink>
    </w:p>
    <w:p w14:paraId="2B0D6CBE" w14:textId="0FE306BE" w:rsidR="00C1274A" w:rsidRPr="00C1274A" w:rsidRDefault="00684A10">
      <w:pPr>
        <w:pStyle w:val="TOC1"/>
        <w:rPr>
          <w:rFonts w:eastAsiaTheme="minorEastAsia"/>
          <w:b w:val="0"/>
          <w:bCs w:val="0"/>
          <w:caps w:val="0"/>
          <w:kern w:val="2"/>
          <w:sz w:val="20"/>
          <w:szCs w:val="20"/>
          <w:rtl/>
          <w14:ligatures w14:val="standardContextual"/>
        </w:rPr>
      </w:pPr>
      <w:hyperlink w:anchor="_Toc160529240" w:history="1">
        <w:r w:rsidR="00C1274A" w:rsidRPr="00C1274A">
          <w:rPr>
            <w:rStyle w:val="Hyperlink"/>
            <w:rFonts w:eastAsia="Arial Unicode MS"/>
            <w:sz w:val="20"/>
            <w:szCs w:val="20"/>
            <w:rtl/>
          </w:rPr>
          <w:t xml:space="preserve">ביאור 16  -  </w:t>
        </w:r>
        <w:r w:rsidR="00C1274A" w:rsidRPr="00C1274A">
          <w:rPr>
            <w:rStyle w:val="Hyperlink"/>
            <w:sz w:val="20"/>
            <w:szCs w:val="20"/>
            <w:rtl/>
          </w:rPr>
          <w:t>אירועים לאחר תאריך המאזן</w:t>
        </w:r>
        <w:r w:rsidR="00C1274A" w:rsidRPr="00C1274A">
          <w:rPr>
            <w:webHidden/>
            <w:sz w:val="20"/>
            <w:szCs w:val="20"/>
            <w:rtl/>
          </w:rPr>
          <w:tab/>
        </w:r>
        <w:r w:rsidR="00C1274A" w:rsidRPr="00C1274A">
          <w:rPr>
            <w:webHidden/>
            <w:sz w:val="20"/>
            <w:szCs w:val="20"/>
            <w:rtl/>
          </w:rPr>
          <w:fldChar w:fldCharType="begin"/>
        </w:r>
        <w:r w:rsidR="00C1274A" w:rsidRPr="00C1274A">
          <w:rPr>
            <w:webHidden/>
            <w:sz w:val="20"/>
            <w:szCs w:val="20"/>
            <w:rtl/>
          </w:rPr>
          <w:instrText xml:space="preserve"> </w:instrText>
        </w:r>
        <w:r w:rsidR="00C1274A" w:rsidRPr="00C1274A">
          <w:rPr>
            <w:webHidden/>
            <w:sz w:val="20"/>
            <w:szCs w:val="20"/>
          </w:rPr>
          <w:instrText>PAGEREF</w:instrText>
        </w:r>
        <w:r w:rsidR="00C1274A" w:rsidRPr="00C1274A">
          <w:rPr>
            <w:webHidden/>
            <w:sz w:val="20"/>
            <w:szCs w:val="20"/>
            <w:rtl/>
          </w:rPr>
          <w:instrText xml:space="preserve"> _</w:instrText>
        </w:r>
        <w:r w:rsidR="00C1274A" w:rsidRPr="00C1274A">
          <w:rPr>
            <w:webHidden/>
            <w:sz w:val="20"/>
            <w:szCs w:val="20"/>
          </w:rPr>
          <w:instrText>Toc160529240 \h</w:instrText>
        </w:r>
        <w:r w:rsidR="00C1274A" w:rsidRPr="00C1274A">
          <w:rPr>
            <w:webHidden/>
            <w:sz w:val="20"/>
            <w:szCs w:val="20"/>
            <w:rtl/>
          </w:rPr>
          <w:instrText xml:space="preserve"> </w:instrText>
        </w:r>
        <w:r w:rsidR="00C1274A" w:rsidRPr="00C1274A">
          <w:rPr>
            <w:webHidden/>
            <w:sz w:val="20"/>
            <w:szCs w:val="20"/>
            <w:rtl/>
          </w:rPr>
        </w:r>
        <w:r w:rsidR="00C1274A" w:rsidRPr="00C1274A">
          <w:rPr>
            <w:webHidden/>
            <w:sz w:val="20"/>
            <w:szCs w:val="20"/>
            <w:rtl/>
          </w:rPr>
          <w:fldChar w:fldCharType="separate"/>
        </w:r>
        <w:r>
          <w:rPr>
            <w:webHidden/>
            <w:sz w:val="20"/>
            <w:szCs w:val="20"/>
            <w:rtl/>
          </w:rPr>
          <w:t>102</w:t>
        </w:r>
        <w:r w:rsidR="00C1274A" w:rsidRPr="00C1274A">
          <w:rPr>
            <w:webHidden/>
            <w:sz w:val="20"/>
            <w:szCs w:val="20"/>
            <w:rtl/>
          </w:rPr>
          <w:fldChar w:fldCharType="end"/>
        </w:r>
      </w:hyperlink>
    </w:p>
    <w:p w14:paraId="6CACAF4B" w14:textId="3D119130" w:rsidR="00EF186E" w:rsidRPr="0040140B" w:rsidRDefault="00A63D6E" w:rsidP="00CB7CF6">
      <w:pPr>
        <w:pStyle w:val="5"/>
        <w:pBdr>
          <w:bottom w:val="single" w:sz="4" w:space="1" w:color="auto"/>
        </w:pBdr>
        <w:ind w:firstLine="2410"/>
        <w:rPr>
          <w:rtl/>
        </w:rPr>
      </w:pPr>
      <w:r w:rsidRPr="00C1274A">
        <w:rPr>
          <w:rFonts w:asciiTheme="minorBidi" w:hAnsiTheme="minorBidi" w:cstheme="minorBidi"/>
          <w:sz w:val="20"/>
          <w:szCs w:val="20"/>
          <w:rtl/>
        </w:rPr>
        <w:fldChar w:fldCharType="end"/>
      </w:r>
      <w:r w:rsidR="00162C47" w:rsidRPr="00C1274A">
        <w:rPr>
          <w:rFonts w:asciiTheme="minorBidi" w:hAnsiTheme="minorBidi" w:cstheme="minorBidi"/>
          <w:sz w:val="20"/>
          <w:szCs w:val="20"/>
          <w:rtl/>
        </w:rPr>
        <w:br w:type="page"/>
      </w:r>
      <w:bookmarkStart w:id="1" w:name="_Toc160529207"/>
      <w:bookmarkStart w:id="2" w:name="_Hlk132894223"/>
      <w:r w:rsidR="00EF186E" w:rsidRPr="0040140B">
        <w:rPr>
          <w:rFonts w:hint="eastAsia"/>
          <w:rtl/>
        </w:rPr>
        <w:lastRenderedPageBreak/>
        <w:t>הקדמה</w:t>
      </w:r>
      <w:bookmarkEnd w:id="1"/>
    </w:p>
    <w:p w14:paraId="37CDB58D" w14:textId="6D16E3D4" w:rsidR="00EF6A08" w:rsidRPr="00543081" w:rsidRDefault="00CF2A74" w:rsidP="000935F0">
      <w:pPr>
        <w:spacing w:line="276" w:lineRule="auto"/>
        <w:rPr>
          <w:sz w:val="18"/>
          <w:szCs w:val="18"/>
          <w:rtl/>
        </w:rPr>
      </w:pPr>
      <w:r w:rsidRPr="00AF4C77">
        <w:rPr>
          <w:rFonts w:hint="eastAsia"/>
          <w:rtl/>
        </w:rPr>
        <w:t>אנו</w:t>
      </w:r>
      <w:r w:rsidRPr="00AF4C77">
        <w:rPr>
          <w:rtl/>
        </w:rPr>
        <w:t xml:space="preserve"> מתכבדים להגיש לכם </w:t>
      </w:r>
      <w:bookmarkStart w:id="3" w:name="_Hlk99441949"/>
      <w:r w:rsidRPr="00AF4C77">
        <w:rPr>
          <w:rFonts w:hint="eastAsia"/>
          <w:rtl/>
        </w:rPr>
        <w:t>תמצית</w:t>
      </w:r>
      <w:r w:rsidRPr="00AF4C77">
        <w:rPr>
          <w:rtl/>
        </w:rPr>
        <w:t xml:space="preserve"> </w:t>
      </w:r>
      <w:r w:rsidRPr="00AF4C77">
        <w:rPr>
          <w:rFonts w:hint="eastAsia"/>
          <w:rtl/>
        </w:rPr>
        <w:t>דוחות</w:t>
      </w:r>
      <w:r w:rsidRPr="00AF4C77">
        <w:rPr>
          <w:rtl/>
        </w:rPr>
        <w:t xml:space="preserve"> כספיים </w:t>
      </w:r>
      <w:r w:rsidRPr="00AF4C77">
        <w:rPr>
          <w:rFonts w:hint="eastAsia"/>
          <w:rtl/>
        </w:rPr>
        <w:t>ביניים</w:t>
      </w:r>
      <w:r w:rsidRPr="00AF4C77">
        <w:rPr>
          <w:rtl/>
        </w:rPr>
        <w:t xml:space="preserve"> </w:t>
      </w:r>
      <w:r w:rsidRPr="00AF4C77">
        <w:rPr>
          <w:rFonts w:hint="eastAsia"/>
          <w:rtl/>
        </w:rPr>
        <w:t>לדוגמה</w:t>
      </w:r>
      <w:r w:rsidRPr="00AF4C77">
        <w:rPr>
          <w:rtl/>
        </w:rPr>
        <w:t xml:space="preserve"> לתאגידים בנקאיים </w:t>
      </w:r>
      <w:bookmarkEnd w:id="3"/>
      <w:r w:rsidRPr="00AF4C77">
        <w:rPr>
          <w:rtl/>
        </w:rPr>
        <w:t xml:space="preserve">ליום 30 </w:t>
      </w:r>
      <w:r w:rsidRPr="00AF4C77">
        <w:rPr>
          <w:rFonts w:hint="eastAsia"/>
          <w:rtl/>
        </w:rPr>
        <w:t>ביוני</w:t>
      </w:r>
      <w:r w:rsidRPr="00AF4C77">
        <w:rPr>
          <w:rtl/>
        </w:rPr>
        <w:t xml:space="preserve"> </w:t>
      </w:r>
      <w:r w:rsidR="00846FF7" w:rsidRPr="00AF4C77">
        <w:rPr>
          <w:rtl/>
        </w:rPr>
        <w:fldChar w:fldCharType="begin"/>
      </w:r>
      <w:r w:rsidR="00846FF7" w:rsidRPr="00AF4C77">
        <w:rPr>
          <w:rtl/>
        </w:rPr>
        <w:instrText xml:space="preserve"> </w:instrText>
      </w:r>
      <w:r w:rsidR="00846FF7" w:rsidRPr="00AF4C77">
        <w:rPr>
          <w:rFonts w:hint="cs"/>
          <w:rtl/>
        </w:rPr>
        <w:instrText xml:space="preserve">= </w:instrText>
      </w:r>
      <w:r w:rsidR="00846FF7" w:rsidRPr="00AF4C77">
        <w:rPr>
          <w:rFonts w:hint="cs"/>
        </w:rPr>
        <w:instrText>CY \* MERGEFORMAT</w:instrText>
      </w:r>
      <w:r w:rsidR="00846FF7" w:rsidRPr="00AF4C77">
        <w:rPr>
          <w:rtl/>
        </w:rPr>
        <w:instrText xml:space="preserve"> </w:instrText>
      </w:r>
      <w:r w:rsidR="00846FF7" w:rsidRPr="00AF4C77">
        <w:rPr>
          <w:rtl/>
        </w:rPr>
        <w:fldChar w:fldCharType="separate"/>
      </w:r>
      <w:r w:rsidR="003A584F">
        <w:rPr>
          <w:noProof/>
          <w:rtl/>
        </w:rPr>
        <w:t>2024</w:t>
      </w:r>
      <w:r w:rsidR="00846FF7" w:rsidRPr="00AF4C77">
        <w:rPr>
          <w:rtl/>
        </w:rPr>
        <w:fldChar w:fldCharType="end"/>
      </w:r>
      <w:r w:rsidR="00262AC3" w:rsidRPr="00AF4C77">
        <w:rPr>
          <w:rtl/>
        </w:rPr>
        <w:t xml:space="preserve"> </w:t>
      </w:r>
      <w:r w:rsidRPr="00AF4C77">
        <w:rPr>
          <w:rtl/>
        </w:rPr>
        <w:t>אשר ערוכ</w:t>
      </w:r>
      <w:r w:rsidR="00554783" w:rsidRPr="00AF4C77">
        <w:rPr>
          <w:rFonts w:hint="cs"/>
          <w:rtl/>
        </w:rPr>
        <w:t>ה</w:t>
      </w:r>
      <w:r w:rsidRPr="00AF4C77">
        <w:rPr>
          <w:rtl/>
        </w:rPr>
        <w:t xml:space="preserve"> בהתאם </w:t>
      </w:r>
      <w:r w:rsidR="00A055FD" w:rsidRPr="00AF4C77">
        <w:rPr>
          <w:rFonts w:hint="cs"/>
          <w:rtl/>
        </w:rPr>
        <w:t>להוראות הדיווח לציבור של המפקח על הבנקים והנחיותיו. הוראות אלה מבוססות על כללי החשבונאות המקובלים בבנקים בארה"ב</w:t>
      </w:r>
      <w:r w:rsidR="009E5031" w:rsidRPr="00543081">
        <w:rPr>
          <w:rFonts w:hint="cs"/>
          <w:sz w:val="18"/>
          <w:szCs w:val="18"/>
        </w:rPr>
        <w:t>US GAAP</w:t>
      </w:r>
      <w:r w:rsidR="00543081">
        <w:rPr>
          <w:sz w:val="18"/>
          <w:szCs w:val="18"/>
        </w:rPr>
        <w:t xml:space="preserve">) </w:t>
      </w:r>
      <w:r w:rsidR="009E5031" w:rsidRPr="00543081">
        <w:rPr>
          <w:rFonts w:hint="cs"/>
          <w:sz w:val="18"/>
          <w:szCs w:val="18"/>
          <w:rtl/>
        </w:rPr>
        <w:t>)</w:t>
      </w:r>
      <w:r w:rsidR="00A055FD" w:rsidRPr="00543081">
        <w:rPr>
          <w:rFonts w:hint="cs"/>
          <w:sz w:val="18"/>
          <w:szCs w:val="18"/>
          <w:rtl/>
        </w:rPr>
        <w:t xml:space="preserve">. </w:t>
      </w:r>
    </w:p>
    <w:p w14:paraId="69BAABE0" w14:textId="6728AACE" w:rsidR="00AE5ACC" w:rsidRPr="00AF4C77" w:rsidRDefault="00CF2A74" w:rsidP="00EF186E">
      <w:pPr>
        <w:spacing w:before="60" w:after="20" w:line="276" w:lineRule="auto"/>
        <w:rPr>
          <w:rtl/>
        </w:rPr>
      </w:pPr>
      <w:r w:rsidRPr="00AF4C77">
        <w:rPr>
          <w:rFonts w:hint="eastAsia"/>
          <w:rtl/>
        </w:rPr>
        <w:t>דוחות</w:t>
      </w:r>
      <w:r w:rsidRPr="00AF4C77">
        <w:rPr>
          <w:rtl/>
        </w:rPr>
        <w:t xml:space="preserve"> </w:t>
      </w:r>
      <w:r w:rsidRPr="00AF4C77">
        <w:rPr>
          <w:rFonts w:hint="eastAsia"/>
          <w:rtl/>
        </w:rPr>
        <w:t>לדוגמה</w:t>
      </w:r>
      <w:r w:rsidRPr="00AF4C77">
        <w:rPr>
          <w:rtl/>
        </w:rPr>
        <w:t xml:space="preserve"> </w:t>
      </w:r>
      <w:r w:rsidRPr="00AF4C77">
        <w:rPr>
          <w:rFonts w:hint="eastAsia"/>
          <w:rtl/>
        </w:rPr>
        <w:t>אלה</w:t>
      </w:r>
      <w:r w:rsidRPr="00AF4C77">
        <w:rPr>
          <w:rtl/>
        </w:rPr>
        <w:t xml:space="preserve"> </w:t>
      </w:r>
      <w:r w:rsidRPr="00AF4C77">
        <w:rPr>
          <w:rFonts w:hint="eastAsia"/>
          <w:rtl/>
        </w:rPr>
        <w:t>הוכנו</w:t>
      </w:r>
      <w:r w:rsidRPr="00AF4C77">
        <w:rPr>
          <w:rtl/>
        </w:rPr>
        <w:t xml:space="preserve"> </w:t>
      </w:r>
      <w:r w:rsidRPr="00AF4C77">
        <w:rPr>
          <w:rFonts w:hint="eastAsia"/>
          <w:rtl/>
        </w:rPr>
        <w:t>בקפידה</w:t>
      </w:r>
      <w:r w:rsidRPr="00AF4C77">
        <w:rPr>
          <w:rtl/>
        </w:rPr>
        <w:t xml:space="preserve"> </w:t>
      </w:r>
      <w:r w:rsidRPr="00AF4C77">
        <w:rPr>
          <w:rFonts w:hint="eastAsia"/>
          <w:rtl/>
        </w:rPr>
        <w:t>רבה</w:t>
      </w:r>
      <w:r w:rsidRPr="00AF4C77">
        <w:rPr>
          <w:rtl/>
        </w:rPr>
        <w:t xml:space="preserve">, </w:t>
      </w:r>
      <w:r w:rsidRPr="00AF4C77">
        <w:rPr>
          <w:rFonts w:hint="eastAsia"/>
          <w:rtl/>
        </w:rPr>
        <w:t>אך</w:t>
      </w:r>
      <w:r w:rsidRPr="00AF4C77">
        <w:rPr>
          <w:rtl/>
        </w:rPr>
        <w:t xml:space="preserve"> </w:t>
      </w:r>
      <w:r w:rsidRPr="00AF4C77">
        <w:rPr>
          <w:rFonts w:hint="eastAsia"/>
          <w:rtl/>
        </w:rPr>
        <w:t>הם</w:t>
      </w:r>
      <w:r w:rsidRPr="00AF4C77">
        <w:rPr>
          <w:rtl/>
        </w:rPr>
        <w:t xml:space="preserve"> </w:t>
      </w:r>
      <w:r w:rsidRPr="00AF4C77">
        <w:rPr>
          <w:rFonts w:hint="eastAsia"/>
          <w:rtl/>
        </w:rPr>
        <w:t>כתובים</w:t>
      </w:r>
      <w:r w:rsidRPr="00AF4C77">
        <w:rPr>
          <w:rtl/>
        </w:rPr>
        <w:t xml:space="preserve"> </w:t>
      </w:r>
      <w:r w:rsidRPr="00AF4C77">
        <w:rPr>
          <w:rFonts w:hint="eastAsia"/>
          <w:rtl/>
        </w:rPr>
        <w:t>במונחים</w:t>
      </w:r>
      <w:r w:rsidRPr="00AF4C77">
        <w:rPr>
          <w:rtl/>
        </w:rPr>
        <w:t xml:space="preserve"> </w:t>
      </w:r>
      <w:r w:rsidRPr="00AF4C77">
        <w:rPr>
          <w:rFonts w:hint="eastAsia"/>
          <w:rtl/>
        </w:rPr>
        <w:t>כלליים</w:t>
      </w:r>
      <w:r w:rsidRPr="00AF4C77">
        <w:rPr>
          <w:rtl/>
        </w:rPr>
        <w:t xml:space="preserve"> </w:t>
      </w:r>
      <w:r w:rsidRPr="00AF4C77">
        <w:rPr>
          <w:rFonts w:hint="eastAsia"/>
          <w:rtl/>
        </w:rPr>
        <w:t>ונועדו</w:t>
      </w:r>
      <w:r w:rsidRPr="00AF4C77">
        <w:rPr>
          <w:rtl/>
        </w:rPr>
        <w:t xml:space="preserve"> </w:t>
      </w:r>
      <w:r w:rsidRPr="00AF4C77">
        <w:rPr>
          <w:rFonts w:hint="eastAsia"/>
          <w:rtl/>
        </w:rPr>
        <w:t>להמחשה</w:t>
      </w:r>
      <w:r w:rsidRPr="00AF4C77">
        <w:rPr>
          <w:rtl/>
        </w:rPr>
        <w:t xml:space="preserve"> </w:t>
      </w:r>
      <w:r w:rsidRPr="00AF4C77">
        <w:rPr>
          <w:rFonts w:hint="eastAsia"/>
          <w:rtl/>
        </w:rPr>
        <w:t>בלבד</w:t>
      </w:r>
      <w:r w:rsidR="00D541EF">
        <w:rPr>
          <w:rFonts w:hint="cs"/>
          <w:rtl/>
        </w:rPr>
        <w:t xml:space="preserve"> ואינם</w:t>
      </w:r>
      <w:r w:rsidRPr="00AF4C77">
        <w:rPr>
          <w:rtl/>
        </w:rPr>
        <w:t xml:space="preserve"> </w:t>
      </w:r>
      <w:r w:rsidRPr="00AF4C77">
        <w:rPr>
          <w:rFonts w:hint="eastAsia"/>
          <w:rtl/>
        </w:rPr>
        <w:t>כוללים</w:t>
      </w:r>
      <w:r w:rsidRPr="00AF4C77">
        <w:rPr>
          <w:rtl/>
        </w:rPr>
        <w:t xml:space="preserve"> </w:t>
      </w:r>
      <w:r w:rsidRPr="00AF4C77">
        <w:rPr>
          <w:rFonts w:hint="eastAsia"/>
          <w:rtl/>
        </w:rPr>
        <w:t>הדגמות</w:t>
      </w:r>
      <w:r w:rsidRPr="00AF4C77">
        <w:rPr>
          <w:rtl/>
        </w:rPr>
        <w:t xml:space="preserve"> </w:t>
      </w:r>
      <w:r w:rsidRPr="00AF4C77">
        <w:rPr>
          <w:rFonts w:hint="eastAsia"/>
          <w:rtl/>
        </w:rPr>
        <w:t>לכל</w:t>
      </w:r>
      <w:r w:rsidRPr="00AF4C77">
        <w:rPr>
          <w:rtl/>
        </w:rPr>
        <w:t xml:space="preserve"> </w:t>
      </w:r>
      <w:r w:rsidRPr="00AF4C77">
        <w:rPr>
          <w:rFonts w:hint="eastAsia"/>
          <w:rtl/>
        </w:rPr>
        <w:t>המצבים</w:t>
      </w:r>
      <w:r w:rsidRPr="00AF4C77">
        <w:rPr>
          <w:rtl/>
        </w:rPr>
        <w:t xml:space="preserve"> </w:t>
      </w:r>
      <w:r w:rsidRPr="00AF4C77">
        <w:rPr>
          <w:rFonts w:hint="eastAsia"/>
          <w:rtl/>
        </w:rPr>
        <w:t>האפשריים</w:t>
      </w:r>
      <w:r w:rsidR="00D541EF">
        <w:rPr>
          <w:rFonts w:hint="cs"/>
          <w:rtl/>
        </w:rPr>
        <w:t>.</w:t>
      </w:r>
      <w:r w:rsidRPr="00AF4C77">
        <w:rPr>
          <w:rtl/>
        </w:rPr>
        <w:t xml:space="preserve"> </w:t>
      </w:r>
      <w:r w:rsidR="00D541EF" w:rsidRPr="00036E8B">
        <w:rPr>
          <w:rFonts w:hint="cs"/>
          <w:rtl/>
        </w:rPr>
        <w:t xml:space="preserve">התאגיד הבנקאי עשוי לכלול </w:t>
      </w:r>
      <w:r w:rsidR="00D541EF" w:rsidRPr="00036E8B">
        <w:rPr>
          <w:rFonts w:hint="eastAsia"/>
          <w:rtl/>
        </w:rPr>
        <w:t>מידע</w:t>
      </w:r>
      <w:r w:rsidR="00D541EF" w:rsidRPr="00036E8B">
        <w:rPr>
          <w:rtl/>
        </w:rPr>
        <w:t xml:space="preserve"> </w:t>
      </w:r>
      <w:r w:rsidR="00D541EF" w:rsidRPr="00036E8B">
        <w:rPr>
          <w:rFonts w:hint="eastAsia"/>
          <w:rtl/>
        </w:rPr>
        <w:t>נוסף</w:t>
      </w:r>
      <w:r w:rsidR="00D541EF" w:rsidRPr="00036E8B">
        <w:rPr>
          <w:rtl/>
        </w:rPr>
        <w:t xml:space="preserve"> </w:t>
      </w:r>
      <w:r w:rsidR="00D541EF" w:rsidRPr="00036E8B">
        <w:rPr>
          <w:rFonts w:hint="cs"/>
          <w:rtl/>
        </w:rPr>
        <w:t>ו/או לערוך שינויים והתאמות, ככל שרלוונטי</w:t>
      </w:r>
      <w:r w:rsidR="00D541EF">
        <w:rPr>
          <w:rFonts w:hint="cs"/>
          <w:rtl/>
        </w:rPr>
        <w:t xml:space="preserve">, </w:t>
      </w:r>
      <w:r w:rsidRPr="00AF4C77">
        <w:rPr>
          <w:rFonts w:hint="eastAsia"/>
          <w:rtl/>
        </w:rPr>
        <w:t>על</w:t>
      </w:r>
      <w:r w:rsidRPr="00AF4C77">
        <w:rPr>
          <w:rtl/>
        </w:rPr>
        <w:t xml:space="preserve"> </w:t>
      </w:r>
      <w:r w:rsidRPr="00AF4C77">
        <w:rPr>
          <w:rFonts w:hint="eastAsia"/>
          <w:rtl/>
        </w:rPr>
        <w:t>מנת</w:t>
      </w:r>
      <w:r w:rsidRPr="00AF4C77">
        <w:rPr>
          <w:rtl/>
        </w:rPr>
        <w:t xml:space="preserve"> </w:t>
      </w:r>
      <w:r w:rsidRPr="00AF4C77">
        <w:rPr>
          <w:rFonts w:hint="eastAsia"/>
          <w:rtl/>
        </w:rPr>
        <w:t>לשקף</w:t>
      </w:r>
      <w:r w:rsidRPr="00AF4C77">
        <w:rPr>
          <w:rtl/>
        </w:rPr>
        <w:t xml:space="preserve"> </w:t>
      </w:r>
      <w:r w:rsidRPr="00AF4C77">
        <w:rPr>
          <w:rFonts w:hint="eastAsia"/>
          <w:rtl/>
        </w:rPr>
        <w:t>באופן</w:t>
      </w:r>
      <w:r w:rsidRPr="00AF4C77">
        <w:rPr>
          <w:rtl/>
        </w:rPr>
        <w:t xml:space="preserve"> </w:t>
      </w:r>
      <w:r w:rsidRPr="00AF4C77">
        <w:rPr>
          <w:rFonts w:hint="eastAsia"/>
          <w:rtl/>
        </w:rPr>
        <w:t>נאות</w:t>
      </w:r>
      <w:r w:rsidRPr="00AF4C77">
        <w:rPr>
          <w:rtl/>
        </w:rPr>
        <w:t xml:space="preserve"> </w:t>
      </w:r>
      <w:r w:rsidRPr="00AF4C77">
        <w:rPr>
          <w:rFonts w:hint="eastAsia"/>
          <w:rtl/>
        </w:rPr>
        <w:t>את</w:t>
      </w:r>
      <w:r w:rsidRPr="00AF4C77">
        <w:rPr>
          <w:rtl/>
        </w:rPr>
        <w:t xml:space="preserve"> </w:t>
      </w:r>
      <w:r w:rsidRPr="00AF4C77">
        <w:rPr>
          <w:rFonts w:hint="eastAsia"/>
          <w:rtl/>
        </w:rPr>
        <w:t>המצב</w:t>
      </w:r>
      <w:r w:rsidRPr="00AF4C77">
        <w:rPr>
          <w:rtl/>
        </w:rPr>
        <w:t xml:space="preserve"> </w:t>
      </w:r>
      <w:r w:rsidRPr="00AF4C77">
        <w:rPr>
          <w:rFonts w:hint="eastAsia"/>
          <w:rtl/>
        </w:rPr>
        <w:t>העסקי</w:t>
      </w:r>
      <w:r w:rsidRPr="00AF4C77">
        <w:rPr>
          <w:rtl/>
        </w:rPr>
        <w:t xml:space="preserve"> </w:t>
      </w:r>
      <w:r w:rsidRPr="00AF4C77">
        <w:rPr>
          <w:rFonts w:hint="eastAsia"/>
          <w:rtl/>
        </w:rPr>
        <w:t>של</w:t>
      </w:r>
      <w:r w:rsidRPr="00AF4C77">
        <w:rPr>
          <w:rtl/>
        </w:rPr>
        <w:t xml:space="preserve"> </w:t>
      </w:r>
      <w:r w:rsidRPr="00AF4C77">
        <w:rPr>
          <w:rFonts w:hint="eastAsia"/>
          <w:rtl/>
        </w:rPr>
        <w:t>התאגיד</w:t>
      </w:r>
      <w:r w:rsidRPr="00AF4C77">
        <w:rPr>
          <w:rtl/>
        </w:rPr>
        <w:t xml:space="preserve"> </w:t>
      </w:r>
      <w:r w:rsidRPr="00AF4C77">
        <w:rPr>
          <w:rFonts w:hint="eastAsia"/>
          <w:rtl/>
        </w:rPr>
        <w:t>הבנקאי</w:t>
      </w:r>
      <w:r w:rsidRPr="00AF4C77">
        <w:rPr>
          <w:rtl/>
        </w:rPr>
        <w:t xml:space="preserve"> </w:t>
      </w:r>
      <w:r w:rsidRPr="00AF4C77">
        <w:rPr>
          <w:rFonts w:hint="eastAsia"/>
          <w:rtl/>
        </w:rPr>
        <w:t>לתאריכי</w:t>
      </w:r>
      <w:r w:rsidRPr="00AF4C77">
        <w:rPr>
          <w:rtl/>
        </w:rPr>
        <w:t xml:space="preserve"> </w:t>
      </w:r>
      <w:r w:rsidRPr="00AF4C77">
        <w:rPr>
          <w:rFonts w:hint="eastAsia"/>
          <w:rtl/>
        </w:rPr>
        <w:t>המאזנים</w:t>
      </w:r>
      <w:r w:rsidRPr="00AF4C77">
        <w:rPr>
          <w:rtl/>
        </w:rPr>
        <w:t xml:space="preserve">, </w:t>
      </w:r>
      <w:r w:rsidRPr="00AF4C77">
        <w:rPr>
          <w:rFonts w:hint="eastAsia"/>
          <w:rtl/>
        </w:rPr>
        <w:t>את</w:t>
      </w:r>
      <w:r w:rsidRPr="00AF4C77">
        <w:rPr>
          <w:rtl/>
        </w:rPr>
        <w:t xml:space="preserve"> </w:t>
      </w:r>
      <w:r w:rsidRPr="00AF4C77">
        <w:rPr>
          <w:rFonts w:hint="eastAsia"/>
          <w:rtl/>
        </w:rPr>
        <w:t>תוצאות</w:t>
      </w:r>
      <w:r w:rsidRPr="00AF4C77">
        <w:rPr>
          <w:rtl/>
        </w:rPr>
        <w:t xml:space="preserve"> </w:t>
      </w:r>
      <w:r w:rsidRPr="00AF4C77">
        <w:rPr>
          <w:rFonts w:hint="eastAsia"/>
          <w:rtl/>
        </w:rPr>
        <w:t>פעולותיו</w:t>
      </w:r>
      <w:r w:rsidRPr="00AF4C77">
        <w:rPr>
          <w:rtl/>
        </w:rPr>
        <w:t xml:space="preserve">, </w:t>
      </w:r>
      <w:r w:rsidRPr="00AF4C77">
        <w:rPr>
          <w:rFonts w:hint="eastAsia"/>
          <w:rtl/>
        </w:rPr>
        <w:t>את</w:t>
      </w:r>
      <w:r w:rsidRPr="00AF4C77">
        <w:rPr>
          <w:rtl/>
        </w:rPr>
        <w:t xml:space="preserve"> </w:t>
      </w:r>
      <w:r w:rsidRPr="00AF4C77">
        <w:rPr>
          <w:rFonts w:hint="eastAsia"/>
          <w:rtl/>
        </w:rPr>
        <w:t>תזרימי</w:t>
      </w:r>
      <w:r w:rsidRPr="00AF4C77">
        <w:rPr>
          <w:rtl/>
        </w:rPr>
        <w:t xml:space="preserve"> </w:t>
      </w:r>
      <w:r w:rsidRPr="00AF4C77">
        <w:rPr>
          <w:rFonts w:hint="eastAsia"/>
          <w:rtl/>
        </w:rPr>
        <w:t>המזומנים</w:t>
      </w:r>
      <w:r w:rsidRPr="00AF4C77">
        <w:rPr>
          <w:rtl/>
        </w:rPr>
        <w:t xml:space="preserve"> </w:t>
      </w:r>
      <w:r w:rsidRPr="00AF4C77">
        <w:rPr>
          <w:rFonts w:hint="eastAsia"/>
          <w:rtl/>
        </w:rPr>
        <w:t>שלו</w:t>
      </w:r>
      <w:r w:rsidRPr="00AF4C77">
        <w:rPr>
          <w:rtl/>
        </w:rPr>
        <w:t xml:space="preserve"> </w:t>
      </w:r>
      <w:r w:rsidRPr="00AF4C77">
        <w:rPr>
          <w:rFonts w:hint="eastAsia"/>
          <w:rtl/>
        </w:rPr>
        <w:t>ואת</w:t>
      </w:r>
      <w:r w:rsidRPr="00AF4C77">
        <w:rPr>
          <w:rtl/>
        </w:rPr>
        <w:t xml:space="preserve"> </w:t>
      </w:r>
      <w:r w:rsidRPr="00AF4C77">
        <w:rPr>
          <w:rFonts w:hint="eastAsia"/>
          <w:rtl/>
        </w:rPr>
        <w:t>השינויים</w:t>
      </w:r>
      <w:r w:rsidRPr="00AF4C77">
        <w:rPr>
          <w:rtl/>
        </w:rPr>
        <w:t xml:space="preserve"> </w:t>
      </w:r>
      <w:r w:rsidRPr="00AF4C77">
        <w:rPr>
          <w:rFonts w:hint="eastAsia"/>
          <w:rtl/>
        </w:rPr>
        <w:t>במצבו</w:t>
      </w:r>
      <w:r w:rsidRPr="00AF4C77">
        <w:rPr>
          <w:rtl/>
        </w:rPr>
        <w:t xml:space="preserve"> </w:t>
      </w:r>
      <w:r w:rsidRPr="00AF4C77">
        <w:rPr>
          <w:rFonts w:hint="eastAsia"/>
          <w:rtl/>
        </w:rPr>
        <w:t>הכספי</w:t>
      </w:r>
      <w:r w:rsidRPr="00AF4C77">
        <w:rPr>
          <w:rtl/>
        </w:rPr>
        <w:t xml:space="preserve"> </w:t>
      </w:r>
      <w:r w:rsidRPr="00AF4C77">
        <w:rPr>
          <w:rFonts w:hint="eastAsia"/>
          <w:rtl/>
        </w:rPr>
        <w:t>ובהון</w:t>
      </w:r>
      <w:r w:rsidRPr="00AF4C77">
        <w:rPr>
          <w:rtl/>
        </w:rPr>
        <w:t xml:space="preserve">. </w:t>
      </w:r>
      <w:r w:rsidRPr="00AF4C77">
        <w:rPr>
          <w:rFonts w:hint="eastAsia"/>
          <w:rtl/>
        </w:rPr>
        <w:t>אין</w:t>
      </w:r>
      <w:r w:rsidRPr="00AF4C77">
        <w:rPr>
          <w:rtl/>
        </w:rPr>
        <w:t xml:space="preserve"> </w:t>
      </w:r>
      <w:r w:rsidRPr="00AF4C77">
        <w:rPr>
          <w:rFonts w:hint="eastAsia"/>
          <w:rtl/>
        </w:rPr>
        <w:t>לראות</w:t>
      </w:r>
      <w:r w:rsidRPr="00AF4C77">
        <w:rPr>
          <w:rtl/>
        </w:rPr>
        <w:t xml:space="preserve"> </w:t>
      </w:r>
      <w:r w:rsidRPr="00AF4C77">
        <w:rPr>
          <w:rFonts w:hint="eastAsia"/>
          <w:rtl/>
        </w:rPr>
        <w:t>בדוחות</w:t>
      </w:r>
      <w:r w:rsidRPr="00AF4C77">
        <w:rPr>
          <w:rtl/>
        </w:rPr>
        <w:t xml:space="preserve"> </w:t>
      </w:r>
      <w:r w:rsidRPr="00AF4C77">
        <w:rPr>
          <w:rFonts w:hint="eastAsia"/>
          <w:rtl/>
        </w:rPr>
        <w:t>לדוגמה</w:t>
      </w:r>
      <w:r w:rsidRPr="00AF4C77">
        <w:rPr>
          <w:rtl/>
        </w:rPr>
        <w:t xml:space="preserve"> </w:t>
      </w:r>
      <w:r w:rsidRPr="00AF4C77">
        <w:rPr>
          <w:rFonts w:hint="eastAsia"/>
          <w:rtl/>
        </w:rPr>
        <w:t>אלה</w:t>
      </w:r>
      <w:r w:rsidRPr="00AF4C77">
        <w:rPr>
          <w:rtl/>
        </w:rPr>
        <w:t xml:space="preserve"> </w:t>
      </w:r>
      <w:r w:rsidRPr="00AF4C77">
        <w:rPr>
          <w:rFonts w:hint="eastAsia"/>
          <w:rtl/>
        </w:rPr>
        <w:t>מתן</w:t>
      </w:r>
      <w:r w:rsidRPr="00AF4C77">
        <w:rPr>
          <w:rtl/>
        </w:rPr>
        <w:t xml:space="preserve"> </w:t>
      </w:r>
      <w:r w:rsidRPr="00AF4C77">
        <w:rPr>
          <w:rFonts w:hint="eastAsia"/>
          <w:rtl/>
        </w:rPr>
        <w:t>ייעוץ</w:t>
      </w:r>
      <w:r w:rsidRPr="00AF4C77">
        <w:rPr>
          <w:rtl/>
        </w:rPr>
        <w:t xml:space="preserve"> </w:t>
      </w:r>
      <w:r w:rsidRPr="00AF4C77">
        <w:rPr>
          <w:rFonts w:hint="eastAsia"/>
          <w:rtl/>
        </w:rPr>
        <w:t>מקצועי</w:t>
      </w:r>
      <w:r w:rsidRPr="00AF4C77">
        <w:rPr>
          <w:rtl/>
        </w:rPr>
        <w:t xml:space="preserve"> </w:t>
      </w:r>
      <w:r w:rsidRPr="00AF4C77">
        <w:rPr>
          <w:rFonts w:hint="eastAsia"/>
          <w:rtl/>
        </w:rPr>
        <w:t>או</w:t>
      </w:r>
      <w:r w:rsidRPr="00AF4C77">
        <w:rPr>
          <w:rtl/>
        </w:rPr>
        <w:t xml:space="preserve"> </w:t>
      </w:r>
      <w:r w:rsidRPr="00AF4C77">
        <w:rPr>
          <w:rFonts w:hint="eastAsia"/>
          <w:rtl/>
        </w:rPr>
        <w:t>מתן</w:t>
      </w:r>
      <w:r w:rsidRPr="00AF4C77">
        <w:rPr>
          <w:rtl/>
        </w:rPr>
        <w:t xml:space="preserve"> </w:t>
      </w:r>
      <w:r w:rsidRPr="00AF4C77">
        <w:rPr>
          <w:rFonts w:hint="eastAsia"/>
          <w:rtl/>
        </w:rPr>
        <w:t>חוות</w:t>
      </w:r>
      <w:r w:rsidRPr="00AF4C77">
        <w:rPr>
          <w:rtl/>
        </w:rPr>
        <w:t xml:space="preserve"> </w:t>
      </w:r>
      <w:r w:rsidRPr="00AF4C77">
        <w:rPr>
          <w:rFonts w:hint="eastAsia"/>
          <w:rtl/>
        </w:rPr>
        <w:t>דעת</w:t>
      </w:r>
      <w:r w:rsidRPr="00AF4C77">
        <w:rPr>
          <w:rtl/>
        </w:rPr>
        <w:t xml:space="preserve">. </w:t>
      </w:r>
      <w:r w:rsidRPr="00AF4C77">
        <w:rPr>
          <w:rFonts w:hint="eastAsia"/>
          <w:rtl/>
        </w:rPr>
        <w:t>הם</w:t>
      </w:r>
      <w:r w:rsidRPr="00AF4C77">
        <w:rPr>
          <w:rtl/>
        </w:rPr>
        <w:t xml:space="preserve"> </w:t>
      </w:r>
      <w:r w:rsidRPr="00AF4C77">
        <w:rPr>
          <w:rFonts w:hint="eastAsia"/>
          <w:rtl/>
        </w:rPr>
        <w:t>אינם</w:t>
      </w:r>
      <w:r w:rsidRPr="00AF4C77">
        <w:rPr>
          <w:rtl/>
        </w:rPr>
        <w:t xml:space="preserve"> </w:t>
      </w:r>
      <w:r w:rsidRPr="00AF4C77">
        <w:rPr>
          <w:rFonts w:hint="eastAsia"/>
          <w:rtl/>
        </w:rPr>
        <w:t>מהווים</w:t>
      </w:r>
      <w:r w:rsidRPr="00AF4C77">
        <w:rPr>
          <w:rtl/>
        </w:rPr>
        <w:t xml:space="preserve"> </w:t>
      </w:r>
      <w:r w:rsidRPr="00AF4C77">
        <w:rPr>
          <w:rFonts w:hint="eastAsia"/>
          <w:rtl/>
        </w:rPr>
        <w:t>תחליף</w:t>
      </w:r>
      <w:r w:rsidRPr="00AF4C77">
        <w:rPr>
          <w:rtl/>
        </w:rPr>
        <w:t xml:space="preserve"> </w:t>
      </w:r>
      <w:r w:rsidRPr="00AF4C77">
        <w:rPr>
          <w:rFonts w:hint="eastAsia"/>
          <w:rtl/>
        </w:rPr>
        <w:t>לקריאת</w:t>
      </w:r>
      <w:r w:rsidRPr="00AF4C77">
        <w:rPr>
          <w:rtl/>
        </w:rPr>
        <w:t xml:space="preserve"> </w:t>
      </w:r>
      <w:r w:rsidRPr="00AF4C77">
        <w:rPr>
          <w:rFonts w:hint="eastAsia"/>
          <w:rtl/>
        </w:rPr>
        <w:t>התקנים</w:t>
      </w:r>
      <w:r w:rsidRPr="00AF4C77">
        <w:rPr>
          <w:rtl/>
        </w:rPr>
        <w:t xml:space="preserve"> </w:t>
      </w:r>
      <w:r w:rsidRPr="00AF4C77">
        <w:rPr>
          <w:rFonts w:hint="eastAsia"/>
          <w:rtl/>
        </w:rPr>
        <w:t>או</w:t>
      </w:r>
      <w:r w:rsidRPr="00AF4C77">
        <w:rPr>
          <w:rtl/>
        </w:rPr>
        <w:t xml:space="preserve"> </w:t>
      </w:r>
      <w:r w:rsidRPr="00AF4C77">
        <w:rPr>
          <w:rFonts w:hint="eastAsia"/>
          <w:rtl/>
        </w:rPr>
        <w:t>ההוראות</w:t>
      </w:r>
      <w:r w:rsidRPr="00AF4C77">
        <w:rPr>
          <w:rtl/>
        </w:rPr>
        <w:t xml:space="preserve"> </w:t>
      </w:r>
      <w:r w:rsidRPr="00AF4C77">
        <w:rPr>
          <w:rFonts w:hint="eastAsia"/>
          <w:rtl/>
        </w:rPr>
        <w:t>עליהם</w:t>
      </w:r>
      <w:r w:rsidRPr="00AF4C77">
        <w:rPr>
          <w:rtl/>
        </w:rPr>
        <w:t xml:space="preserve"> </w:t>
      </w:r>
      <w:r w:rsidRPr="00AF4C77">
        <w:rPr>
          <w:rFonts w:hint="eastAsia"/>
          <w:rtl/>
        </w:rPr>
        <w:t>הם</w:t>
      </w:r>
      <w:r w:rsidRPr="00AF4C77">
        <w:rPr>
          <w:rtl/>
        </w:rPr>
        <w:t xml:space="preserve"> </w:t>
      </w:r>
      <w:r w:rsidRPr="00AF4C77">
        <w:rPr>
          <w:rFonts w:hint="eastAsia"/>
          <w:rtl/>
        </w:rPr>
        <w:t>מבוססים</w:t>
      </w:r>
      <w:r w:rsidR="00A12A4D">
        <w:rPr>
          <w:rFonts w:hint="cs"/>
          <w:rtl/>
        </w:rPr>
        <w:t>.</w:t>
      </w:r>
    </w:p>
    <w:p w14:paraId="39609F6B" w14:textId="77777777" w:rsidR="001F27AC" w:rsidRPr="00AF4C77" w:rsidRDefault="001F27AC" w:rsidP="00681270">
      <w:pPr>
        <w:spacing w:after="20" w:line="288" w:lineRule="auto"/>
        <w:rPr>
          <w:rFonts w:asciiTheme="minorBidi" w:hAnsiTheme="minorBidi" w:cstheme="minorBidi"/>
          <w:rtl/>
        </w:rPr>
      </w:pPr>
    </w:p>
    <w:p w14:paraId="42D993A0" w14:textId="5C087ACA" w:rsidR="00AD47B1" w:rsidRDefault="00E07076" w:rsidP="006A3E0C">
      <w:pPr>
        <w:pStyle w:val="ac"/>
        <w:numPr>
          <w:ilvl w:val="0"/>
          <w:numId w:val="16"/>
        </w:numPr>
        <w:spacing w:before="60" w:after="60" w:line="276" w:lineRule="auto"/>
        <w:ind w:left="285" w:hanging="282"/>
        <w:contextualSpacing w:val="0"/>
        <w:rPr>
          <w:rFonts w:asciiTheme="minorBidi" w:hAnsiTheme="minorBidi" w:cstheme="minorBidi"/>
          <w:b/>
          <w:bCs/>
          <w:sz w:val="20"/>
          <w:szCs w:val="20"/>
        </w:rPr>
      </w:pPr>
      <w:r w:rsidRPr="006A3E0C">
        <w:rPr>
          <w:rFonts w:asciiTheme="minorBidi" w:hAnsiTheme="minorBidi" w:cs="Arial" w:hint="cs"/>
          <w:b/>
          <w:bCs/>
          <w:sz w:val="20"/>
          <w:szCs w:val="20"/>
          <w:rtl/>
        </w:rPr>
        <w:t>עדכונים</w:t>
      </w:r>
      <w:r>
        <w:rPr>
          <w:rFonts w:asciiTheme="minorBidi" w:hAnsiTheme="minorBidi" w:cstheme="minorBidi" w:hint="cs"/>
          <w:b/>
          <w:bCs/>
          <w:sz w:val="20"/>
          <w:szCs w:val="20"/>
          <w:rtl/>
        </w:rPr>
        <w:t xml:space="preserve"> עיקריים</w:t>
      </w:r>
      <w:r w:rsidR="00AD47B1" w:rsidRPr="00AD47B1">
        <w:rPr>
          <w:rFonts w:asciiTheme="minorBidi" w:hAnsiTheme="minorBidi" w:cstheme="minorBidi"/>
          <w:b/>
          <w:bCs/>
          <w:sz w:val="20"/>
          <w:szCs w:val="20"/>
          <w:rtl/>
        </w:rPr>
        <w:t xml:space="preserve"> בגין </w:t>
      </w:r>
      <w:r w:rsidR="00E16431">
        <w:rPr>
          <w:rFonts w:asciiTheme="minorBidi" w:hAnsiTheme="minorBidi" w:cstheme="minorBidi" w:hint="cs"/>
          <w:b/>
          <w:bCs/>
          <w:sz w:val="20"/>
          <w:szCs w:val="20"/>
          <w:rtl/>
        </w:rPr>
        <w:t xml:space="preserve">הוראות המפקח על הבנקים </w:t>
      </w:r>
      <w:r>
        <w:rPr>
          <w:rFonts w:asciiTheme="minorBidi" w:hAnsiTheme="minorBidi" w:cstheme="minorBidi" w:hint="cs"/>
          <w:b/>
          <w:bCs/>
          <w:sz w:val="20"/>
          <w:szCs w:val="20"/>
          <w:rtl/>
        </w:rPr>
        <w:t>ו</w:t>
      </w:r>
      <w:r w:rsidR="00AD47B1" w:rsidRPr="00AD47B1">
        <w:rPr>
          <w:rFonts w:asciiTheme="minorBidi" w:hAnsiTheme="minorBidi" w:cstheme="minorBidi"/>
          <w:b/>
          <w:bCs/>
          <w:sz w:val="20"/>
          <w:szCs w:val="20"/>
          <w:rtl/>
        </w:rPr>
        <w:t>כללי חשבונאות מקובלים בארה"ב</w:t>
      </w:r>
      <w:r w:rsidR="00513509">
        <w:rPr>
          <w:rFonts w:asciiTheme="minorBidi" w:hAnsiTheme="minorBidi" w:cstheme="minorBidi" w:hint="cs"/>
          <w:b/>
          <w:bCs/>
          <w:sz w:val="20"/>
          <w:szCs w:val="20"/>
          <w:rtl/>
        </w:rPr>
        <w:t>:</w:t>
      </w:r>
      <w:r w:rsidR="00AD47B1" w:rsidRPr="00AD47B1">
        <w:rPr>
          <w:rFonts w:asciiTheme="minorBidi" w:hAnsiTheme="minorBidi" w:cstheme="minorBidi"/>
          <w:b/>
          <w:bCs/>
          <w:sz w:val="20"/>
          <w:szCs w:val="20"/>
          <w:rtl/>
        </w:rPr>
        <w:t xml:space="preserve"> </w:t>
      </w:r>
    </w:p>
    <w:p w14:paraId="223F2791" w14:textId="68FB514A" w:rsidR="006A3E0C" w:rsidRDefault="006A3E0C" w:rsidP="006A3E0C">
      <w:pPr>
        <w:pStyle w:val="ac"/>
        <w:numPr>
          <w:ilvl w:val="1"/>
          <w:numId w:val="16"/>
        </w:numPr>
        <w:spacing w:before="60" w:after="60" w:line="276" w:lineRule="auto"/>
        <w:ind w:left="568" w:hanging="284"/>
        <w:contextualSpacing w:val="0"/>
        <w:rPr>
          <w:rFonts w:asciiTheme="minorBidi" w:hAnsiTheme="minorBidi" w:cstheme="minorBidi"/>
          <w:b/>
          <w:bCs/>
          <w:sz w:val="20"/>
          <w:szCs w:val="20"/>
        </w:rPr>
      </w:pPr>
      <w:r w:rsidRPr="006A3E0C">
        <w:rPr>
          <w:rFonts w:asciiTheme="minorBidi" w:hAnsiTheme="minorBidi" w:cs="Arial"/>
          <w:sz w:val="20"/>
          <w:szCs w:val="20"/>
          <w:rtl/>
        </w:rPr>
        <w:t>חוזר הפיקוח על הבנקים מיום 19 באו</w:t>
      </w:r>
      <w:r w:rsidR="001646E1">
        <w:rPr>
          <w:rFonts w:asciiTheme="minorBidi" w:hAnsiTheme="minorBidi" w:cs="Arial" w:hint="cs"/>
          <w:sz w:val="20"/>
          <w:szCs w:val="20"/>
          <w:rtl/>
        </w:rPr>
        <w:t>ק</w:t>
      </w:r>
      <w:r w:rsidRPr="006A3E0C">
        <w:rPr>
          <w:rFonts w:asciiTheme="minorBidi" w:hAnsiTheme="minorBidi" w:cs="Arial"/>
          <w:sz w:val="20"/>
          <w:szCs w:val="20"/>
          <w:rtl/>
        </w:rPr>
        <w:t xml:space="preserve">טובר 2023 בנושא: "שינויים בתנאים של חובות של לווים בקשיים פיננסיים", הכולל תיקונים להוראות הדיווח לציבור, בעקבות </w:t>
      </w:r>
      <w:r w:rsidR="00880B6D" w:rsidRPr="00880B6D">
        <w:rPr>
          <w:rFonts w:asciiTheme="minorBidi" w:hAnsiTheme="minorBidi" w:cs="Arial"/>
          <w:sz w:val="20"/>
          <w:szCs w:val="20"/>
          <w:rtl/>
        </w:rPr>
        <w:t xml:space="preserve">יישום תיקון </w:t>
      </w:r>
      <w:r w:rsidR="00880B6D" w:rsidRPr="00880B6D">
        <w:rPr>
          <w:rFonts w:asciiTheme="majorBidi" w:hAnsiTheme="majorBidi" w:cstheme="majorBidi"/>
          <w:color w:val="auto"/>
          <w:sz w:val="20"/>
          <w:szCs w:val="20"/>
          <w:lang w:eastAsia="en-US"/>
        </w:rPr>
        <w:t>ASU2022-02</w:t>
      </w:r>
      <w:r w:rsidRPr="006A3E0C">
        <w:rPr>
          <w:rFonts w:asciiTheme="minorBidi" w:hAnsiTheme="minorBidi" w:cs="Arial"/>
          <w:sz w:val="20"/>
          <w:szCs w:val="20"/>
          <w:rtl/>
        </w:rPr>
        <w:t xml:space="preserve">. התיקון מבטל את </w:t>
      </w:r>
      <w:r w:rsidR="00880B6D">
        <w:rPr>
          <w:rFonts w:asciiTheme="minorBidi" w:hAnsiTheme="minorBidi" w:cs="Arial" w:hint="cs"/>
          <w:sz w:val="20"/>
          <w:szCs w:val="20"/>
          <w:rtl/>
        </w:rPr>
        <w:t>ה</w:t>
      </w:r>
      <w:r w:rsidRPr="006A3E0C">
        <w:rPr>
          <w:rFonts w:asciiTheme="minorBidi" w:hAnsiTheme="minorBidi" w:cs="Arial"/>
          <w:sz w:val="20"/>
          <w:szCs w:val="20"/>
          <w:rtl/>
        </w:rPr>
        <w:t xml:space="preserve">הנחיות </w:t>
      </w:r>
      <w:r w:rsidR="00880B6D">
        <w:rPr>
          <w:rFonts w:asciiTheme="minorBidi" w:hAnsiTheme="minorBidi" w:cs="Arial" w:hint="cs"/>
          <w:sz w:val="20"/>
          <w:szCs w:val="20"/>
          <w:rtl/>
        </w:rPr>
        <w:t xml:space="preserve">לטיפול בשינויים שבוצעו במסגרת </w:t>
      </w:r>
      <w:r w:rsidRPr="006A3E0C">
        <w:rPr>
          <w:rFonts w:asciiTheme="minorBidi" w:hAnsiTheme="minorBidi" w:cs="Arial"/>
          <w:sz w:val="20"/>
          <w:szCs w:val="20"/>
          <w:rtl/>
        </w:rPr>
        <w:t>ארגון מחדש של חובות בעיתיים</w:t>
      </w:r>
      <w:r w:rsidR="00880B6D" w:rsidRPr="0060494B">
        <w:rPr>
          <w:rFonts w:ascii="Calibri" w:eastAsia="Calibri" w:hAnsi="Calibri" w:hint="cs"/>
          <w:kern w:val="2"/>
          <w:rtl/>
        </w:rPr>
        <w:t xml:space="preserve"> </w:t>
      </w:r>
      <w:r w:rsidR="00880B6D" w:rsidRPr="00880B6D">
        <w:rPr>
          <w:rFonts w:ascii="Calibri" w:eastAsia="Calibri" w:hAnsi="Calibri"/>
          <w:kern w:val="2"/>
          <w:sz w:val="22"/>
          <w:szCs w:val="22"/>
        </w:rPr>
        <w:t>TDR</w:t>
      </w:r>
      <w:r w:rsidRPr="00880B6D">
        <w:rPr>
          <w:rFonts w:asciiTheme="minorBidi" w:hAnsiTheme="minorBidi" w:cs="Arial"/>
          <w:sz w:val="22"/>
          <w:szCs w:val="22"/>
          <w:rtl/>
        </w:rPr>
        <w:t>;</w:t>
      </w:r>
      <w:r w:rsidR="00880B6D" w:rsidRPr="00880B6D">
        <w:rPr>
          <w:rtl/>
        </w:rPr>
        <w:t xml:space="preserve"> </w:t>
      </w:r>
      <w:r w:rsidR="00880B6D">
        <w:rPr>
          <w:rFonts w:asciiTheme="minorBidi" w:hAnsiTheme="minorBidi" w:cs="Arial" w:hint="cs"/>
          <w:sz w:val="20"/>
          <w:szCs w:val="20"/>
          <w:rtl/>
        </w:rPr>
        <w:t xml:space="preserve">בהתאם, </w:t>
      </w:r>
      <w:r w:rsidR="00880B6D" w:rsidRPr="00880B6D">
        <w:rPr>
          <w:rFonts w:asciiTheme="minorBidi" w:hAnsiTheme="minorBidi" w:cs="Arial"/>
          <w:sz w:val="20"/>
          <w:szCs w:val="20"/>
          <w:rtl/>
        </w:rPr>
        <w:t>כל השינויים שמבוצעים בתנאי חובות של לווים (בין אם הלווה בעייתי ובין אם לאו) יהיו כפופים לאותן הנחיות</w:t>
      </w:r>
      <w:r w:rsidR="00880B6D" w:rsidRPr="00880B6D">
        <w:rPr>
          <w:rFonts w:asciiTheme="minorBidi" w:hAnsiTheme="minorBidi" w:cs="Arial" w:hint="cs"/>
          <w:sz w:val="22"/>
          <w:szCs w:val="22"/>
          <w:rtl/>
        </w:rPr>
        <w:t xml:space="preserve">. </w:t>
      </w:r>
      <w:r w:rsidR="00880B6D">
        <w:rPr>
          <w:rFonts w:asciiTheme="minorBidi" w:hAnsiTheme="minorBidi" w:cs="Arial" w:hint="cs"/>
          <w:sz w:val="20"/>
          <w:szCs w:val="20"/>
          <w:rtl/>
        </w:rPr>
        <w:t xml:space="preserve">בנוסף, התיקון </w:t>
      </w:r>
      <w:r w:rsidRPr="006A3E0C">
        <w:rPr>
          <w:rFonts w:asciiTheme="minorBidi" w:hAnsiTheme="minorBidi" w:cs="Arial"/>
          <w:sz w:val="20"/>
          <w:szCs w:val="20"/>
          <w:rtl/>
        </w:rPr>
        <w:t xml:space="preserve">מוסיף דרישות גילוי נרחבות לגבי שינויים שבוצעו בתנאי הלוואות ללווים אשר חווים קשיים פיננסיים; וכן מתקן את הנחיות הגילוי לגבי איכות אשראי לפי שנת העמדת האשראי. הוראות חוזר הפיקוח </w:t>
      </w:r>
      <w:r>
        <w:rPr>
          <w:rFonts w:asciiTheme="minorBidi" w:hAnsiTheme="minorBidi" w:cs="Arial" w:hint="cs"/>
          <w:sz w:val="20"/>
          <w:szCs w:val="20"/>
          <w:rtl/>
        </w:rPr>
        <w:t>חלות</w:t>
      </w:r>
      <w:r w:rsidRPr="006A3E0C">
        <w:rPr>
          <w:rFonts w:asciiTheme="minorBidi" w:hAnsiTheme="minorBidi" w:cs="Arial"/>
          <w:sz w:val="20"/>
          <w:szCs w:val="20"/>
          <w:rtl/>
        </w:rPr>
        <w:t xml:space="preserve"> מיום 1.1.2024.</w:t>
      </w:r>
    </w:p>
    <w:p w14:paraId="1898A6E5" w14:textId="77777777" w:rsidR="00457F6B" w:rsidRDefault="00C84F22" w:rsidP="00B56F85">
      <w:pPr>
        <w:pStyle w:val="ac"/>
        <w:numPr>
          <w:ilvl w:val="1"/>
          <w:numId w:val="16"/>
        </w:numPr>
        <w:spacing w:before="60" w:after="60" w:line="276" w:lineRule="auto"/>
        <w:ind w:left="568" w:hanging="284"/>
        <w:contextualSpacing w:val="0"/>
        <w:rPr>
          <w:rFonts w:asciiTheme="minorBidi" w:hAnsiTheme="minorBidi" w:cs="Arial"/>
          <w:sz w:val="20"/>
          <w:szCs w:val="20"/>
        </w:rPr>
      </w:pPr>
      <w:r w:rsidRPr="00C84F22">
        <w:rPr>
          <w:rFonts w:asciiTheme="minorBidi" w:hAnsiTheme="minorBidi" w:cs="Arial"/>
          <w:sz w:val="20"/>
          <w:szCs w:val="20"/>
          <w:rtl/>
        </w:rPr>
        <w:t>ביום 4.3.2024, לאור הימשכות המלחמה ומתוך רצון להעניק הקלות ייחודיות לחיילי המילואים, הודיע בנק ישראל, בפעם השלישית, על הארכת המתווה הקיים והרחבתו לאוכלוסיות נוספות. הרחבת המתווה נכנסה לתוקף בתאריך 1.</w:t>
      </w:r>
      <w:r>
        <w:rPr>
          <w:rFonts w:asciiTheme="minorBidi" w:hAnsiTheme="minorBidi" w:cs="Arial" w:hint="cs"/>
          <w:sz w:val="20"/>
          <w:szCs w:val="20"/>
          <w:rtl/>
        </w:rPr>
        <w:t>4</w:t>
      </w:r>
      <w:r w:rsidRPr="00C84F22">
        <w:rPr>
          <w:rFonts w:asciiTheme="minorBidi" w:hAnsiTheme="minorBidi" w:cs="Arial"/>
          <w:sz w:val="20"/>
          <w:szCs w:val="20"/>
          <w:rtl/>
        </w:rPr>
        <w:t>.2</w:t>
      </w:r>
      <w:r>
        <w:rPr>
          <w:rFonts w:asciiTheme="minorBidi" w:hAnsiTheme="minorBidi" w:cs="Arial" w:hint="cs"/>
          <w:sz w:val="20"/>
          <w:szCs w:val="20"/>
          <w:rtl/>
        </w:rPr>
        <w:t>02</w:t>
      </w:r>
      <w:r w:rsidRPr="00C84F22">
        <w:rPr>
          <w:rFonts w:asciiTheme="minorBidi" w:hAnsiTheme="minorBidi" w:cs="Arial"/>
          <w:sz w:val="20"/>
          <w:szCs w:val="20"/>
          <w:rtl/>
        </w:rPr>
        <w:t>4</w:t>
      </w:r>
      <w:r w:rsidRPr="00457F6B">
        <w:rPr>
          <w:rFonts w:asciiTheme="minorBidi" w:hAnsiTheme="minorBidi" w:cs="Arial" w:hint="cs"/>
          <w:sz w:val="20"/>
          <w:szCs w:val="20"/>
          <w:rtl/>
        </w:rPr>
        <w:t>.</w:t>
      </w:r>
      <w:r w:rsidR="00457F6B" w:rsidRPr="00457F6B">
        <w:rPr>
          <w:rFonts w:asciiTheme="minorBidi" w:hAnsiTheme="minorBidi" w:cs="Arial"/>
          <w:sz w:val="20"/>
          <w:szCs w:val="20"/>
          <w:rtl/>
        </w:rPr>
        <w:t xml:space="preserve"> </w:t>
      </w:r>
    </w:p>
    <w:p w14:paraId="391C3FA8" w14:textId="29D9838E" w:rsidR="00880B6D" w:rsidRPr="00457F6B" w:rsidRDefault="00457F6B" w:rsidP="00457F6B">
      <w:pPr>
        <w:pStyle w:val="ac"/>
        <w:spacing w:before="60" w:after="60" w:line="276" w:lineRule="auto"/>
        <w:ind w:left="568"/>
        <w:contextualSpacing w:val="0"/>
        <w:rPr>
          <w:rFonts w:asciiTheme="minorBidi" w:hAnsiTheme="minorBidi" w:cs="Arial"/>
          <w:sz w:val="20"/>
          <w:szCs w:val="20"/>
          <w:rtl/>
        </w:rPr>
      </w:pPr>
      <w:r w:rsidRPr="00457F6B">
        <w:rPr>
          <w:rFonts w:asciiTheme="minorBidi" w:hAnsiTheme="minorBidi" w:cs="Arial"/>
          <w:sz w:val="20"/>
          <w:szCs w:val="20"/>
          <w:rtl/>
        </w:rPr>
        <w:t>ביום 17 במרץ 2024 פורסם ברשומות "חוק תשלום מיוחד לשם השגת יעדי התקציב (הוראת שעה - חרבות ברזל), התשפ"ד-2024". באשר לעיקרי החוק והשפעתו ראה ביאור 15.</w:t>
      </w:r>
    </w:p>
    <w:p w14:paraId="442251A2" w14:textId="77777777" w:rsidR="00880B6D" w:rsidRDefault="00880B6D" w:rsidP="00880B6D">
      <w:pPr>
        <w:spacing w:before="60" w:after="60" w:line="276" w:lineRule="auto"/>
        <w:rPr>
          <w:rFonts w:asciiTheme="minorBidi" w:hAnsiTheme="minorBidi" w:cstheme="minorBidi"/>
          <w:b/>
          <w:bCs/>
          <w:rtl/>
        </w:rPr>
      </w:pPr>
    </w:p>
    <w:p w14:paraId="220D68AC" w14:textId="77777777" w:rsidR="00880B6D" w:rsidRPr="00880B6D" w:rsidRDefault="00880B6D" w:rsidP="00880B6D">
      <w:pPr>
        <w:spacing w:before="60" w:after="60" w:line="276" w:lineRule="auto"/>
        <w:rPr>
          <w:rFonts w:asciiTheme="minorBidi" w:hAnsiTheme="minorBidi" w:cstheme="minorBidi"/>
          <w:b/>
          <w:bCs/>
        </w:rPr>
      </w:pPr>
    </w:p>
    <w:bookmarkEnd w:id="2"/>
    <w:p w14:paraId="3627DC26" w14:textId="77777777" w:rsidR="009262FE" w:rsidRPr="00EF186E" w:rsidRDefault="00CF2A74" w:rsidP="00D6057D">
      <w:pPr>
        <w:pStyle w:val="ac"/>
        <w:numPr>
          <w:ilvl w:val="0"/>
          <w:numId w:val="16"/>
        </w:numPr>
        <w:spacing w:before="60" w:after="60" w:line="276" w:lineRule="auto"/>
        <w:ind w:hanging="357"/>
        <w:contextualSpacing w:val="0"/>
        <w:rPr>
          <w:rFonts w:asciiTheme="minorBidi" w:hAnsiTheme="minorBidi" w:cstheme="minorBidi"/>
          <w:b/>
          <w:bCs/>
          <w:sz w:val="20"/>
          <w:szCs w:val="20"/>
          <w:rtl/>
        </w:rPr>
      </w:pPr>
      <w:r w:rsidRPr="00EF186E">
        <w:rPr>
          <w:rFonts w:asciiTheme="minorBidi" w:hAnsiTheme="minorBidi" w:cstheme="minorBidi"/>
          <w:b/>
          <w:bCs/>
          <w:sz w:val="20"/>
          <w:szCs w:val="20"/>
          <w:rtl/>
        </w:rPr>
        <w:t>נקודות לתשומת לב:</w:t>
      </w:r>
    </w:p>
    <w:p w14:paraId="6CA6BDF1" w14:textId="77777777" w:rsidR="009246B9" w:rsidRPr="009246B9" w:rsidRDefault="009246B9" w:rsidP="00D6057D">
      <w:pPr>
        <w:pStyle w:val="ac"/>
        <w:numPr>
          <w:ilvl w:val="1"/>
          <w:numId w:val="16"/>
        </w:numPr>
        <w:spacing w:before="120" w:after="120" w:line="276" w:lineRule="auto"/>
        <w:ind w:left="709"/>
        <w:contextualSpacing w:val="0"/>
        <w:rPr>
          <w:rFonts w:asciiTheme="minorBidi" w:hAnsiTheme="minorBidi" w:cstheme="minorBidi"/>
          <w:sz w:val="20"/>
          <w:szCs w:val="20"/>
          <w:rtl/>
        </w:rPr>
      </w:pPr>
      <w:r w:rsidRPr="009246B9">
        <w:rPr>
          <w:rFonts w:asciiTheme="minorBidi" w:hAnsiTheme="minorBidi" w:cstheme="minorBidi"/>
          <w:sz w:val="20"/>
          <w:szCs w:val="20"/>
          <w:rtl/>
        </w:rPr>
        <w:t xml:space="preserve">לנוחיותכם, ביאורים שהתווספו או עודכנו, מסומנים בקו אנכי בצידו הימני של העמוד וצוינה המילה [עודכן]. </w:t>
      </w:r>
    </w:p>
    <w:p w14:paraId="53D1B42C" w14:textId="77777777" w:rsidR="009246B9" w:rsidRPr="009246B9" w:rsidRDefault="009246B9" w:rsidP="00D6057D">
      <w:pPr>
        <w:pStyle w:val="ac"/>
        <w:numPr>
          <w:ilvl w:val="1"/>
          <w:numId w:val="16"/>
        </w:numPr>
        <w:spacing w:line="276" w:lineRule="auto"/>
        <w:ind w:left="709" w:hanging="357"/>
        <w:contextualSpacing w:val="0"/>
        <w:rPr>
          <w:rFonts w:asciiTheme="minorBidi" w:hAnsiTheme="minorBidi" w:cstheme="minorBidi"/>
          <w:sz w:val="20"/>
          <w:szCs w:val="20"/>
        </w:rPr>
      </w:pPr>
      <w:r w:rsidRPr="009246B9">
        <w:rPr>
          <w:rFonts w:asciiTheme="minorBidi" w:hAnsiTheme="minorBidi" w:cstheme="minorBidi"/>
          <w:sz w:val="20"/>
          <w:szCs w:val="20"/>
          <w:rtl/>
        </w:rPr>
        <w:t>הפניות לדרישות הגילוי</w:t>
      </w:r>
      <w:r w:rsidRPr="009246B9">
        <w:rPr>
          <w:rFonts w:asciiTheme="minorBidi" w:hAnsiTheme="minorBidi" w:cstheme="minorBidi" w:hint="cs"/>
          <w:sz w:val="20"/>
          <w:szCs w:val="20"/>
          <w:rtl/>
        </w:rPr>
        <w:t>:</w:t>
      </w:r>
    </w:p>
    <w:p w14:paraId="2EF9CBEF" w14:textId="77777777" w:rsidR="009246B9" w:rsidRPr="00AF4C77" w:rsidRDefault="009246B9" w:rsidP="009246B9">
      <w:pPr>
        <w:tabs>
          <w:tab w:val="left" w:pos="757"/>
        </w:tabs>
        <w:spacing w:after="20" w:line="288" w:lineRule="auto"/>
        <w:ind w:left="1136" w:hanging="284"/>
        <w:rPr>
          <w:rFonts w:asciiTheme="minorBidi" w:hAnsiTheme="minorBidi" w:cstheme="minorBidi"/>
          <w:rtl/>
        </w:rPr>
      </w:pPr>
      <w:r>
        <w:rPr>
          <w:rFonts w:asciiTheme="minorBidi" w:hAnsiTheme="minorBidi" w:cstheme="minorBidi" w:hint="cs"/>
          <w:rtl/>
        </w:rPr>
        <w:t>א</w:t>
      </w:r>
      <w:r w:rsidRPr="00AF4C77">
        <w:rPr>
          <w:rFonts w:asciiTheme="minorBidi" w:hAnsiTheme="minorBidi" w:cstheme="minorBidi"/>
          <w:rtl/>
        </w:rPr>
        <w:t>.</w:t>
      </w:r>
      <w:r w:rsidRPr="00AF4C77">
        <w:rPr>
          <w:rFonts w:asciiTheme="minorBidi" w:hAnsiTheme="minorBidi" w:cstheme="minorBidi"/>
          <w:rtl/>
        </w:rPr>
        <w:tab/>
        <w:t xml:space="preserve">דרישות הגילוי הנובעות </w:t>
      </w:r>
      <w:r>
        <w:rPr>
          <w:rFonts w:asciiTheme="minorBidi" w:hAnsiTheme="minorBidi" w:cstheme="minorBidi" w:hint="cs"/>
          <w:rtl/>
        </w:rPr>
        <w:t>מ</w:t>
      </w:r>
      <w:r w:rsidRPr="00AF4C77">
        <w:rPr>
          <w:rFonts w:asciiTheme="minorBidi" w:hAnsiTheme="minorBidi" w:cstheme="minorBidi"/>
          <w:rtl/>
        </w:rPr>
        <w:t xml:space="preserve">הוראות המפקח על הבנקים - מצוין הסעיף </w:t>
      </w:r>
      <w:r>
        <w:rPr>
          <w:rFonts w:asciiTheme="minorBidi" w:hAnsiTheme="minorBidi" w:cstheme="minorBidi" w:hint="cs"/>
          <w:rtl/>
        </w:rPr>
        <w:t xml:space="preserve">ומתכונת הביאור </w:t>
      </w:r>
      <w:r w:rsidRPr="00AF4C77">
        <w:rPr>
          <w:rFonts w:asciiTheme="minorBidi" w:hAnsiTheme="minorBidi" w:cstheme="minorBidi"/>
          <w:rtl/>
        </w:rPr>
        <w:t xml:space="preserve">בהוראות </w:t>
      </w:r>
      <w:r>
        <w:rPr>
          <w:rFonts w:asciiTheme="minorBidi" w:hAnsiTheme="minorBidi" w:cstheme="minorBidi" w:hint="cs"/>
          <w:rtl/>
        </w:rPr>
        <w:t>הדיווח לציבור.</w:t>
      </w:r>
    </w:p>
    <w:p w14:paraId="40116265" w14:textId="77777777" w:rsidR="009246B9" w:rsidRDefault="009246B9" w:rsidP="009246B9">
      <w:pPr>
        <w:tabs>
          <w:tab w:val="left" w:pos="757"/>
        </w:tabs>
        <w:spacing w:after="20" w:line="288" w:lineRule="auto"/>
        <w:ind w:left="1136" w:hanging="284"/>
        <w:rPr>
          <w:rFonts w:asciiTheme="minorBidi" w:hAnsiTheme="minorBidi" w:cstheme="minorBidi"/>
          <w:rtl/>
        </w:rPr>
      </w:pPr>
      <w:r>
        <w:rPr>
          <w:rFonts w:asciiTheme="minorBidi" w:hAnsiTheme="minorBidi" w:cstheme="minorBidi" w:hint="cs"/>
          <w:rtl/>
        </w:rPr>
        <w:t>ב</w:t>
      </w:r>
      <w:r w:rsidRPr="00AF4C77">
        <w:rPr>
          <w:rFonts w:asciiTheme="minorBidi" w:hAnsiTheme="minorBidi" w:cstheme="minorBidi"/>
          <w:rtl/>
        </w:rPr>
        <w:t>.</w:t>
      </w:r>
      <w:r w:rsidRPr="00AF4C77">
        <w:rPr>
          <w:rFonts w:asciiTheme="minorBidi" w:hAnsiTheme="minorBidi" w:cstheme="minorBidi"/>
          <w:rtl/>
        </w:rPr>
        <w:tab/>
        <w:t xml:space="preserve">במקרה של תוספות לדרישות הגילוי של המפקח הנובעות מכללי חשבונאות מקובלים בארה"ב </w:t>
      </w:r>
      <w:r>
        <w:rPr>
          <w:rFonts w:asciiTheme="minorBidi" w:hAnsiTheme="minorBidi" w:cstheme="minorBidi" w:hint="cs"/>
          <w:rtl/>
        </w:rPr>
        <w:t xml:space="preserve">- </w:t>
      </w:r>
      <w:r w:rsidRPr="00AF4C77">
        <w:rPr>
          <w:rFonts w:asciiTheme="minorBidi" w:hAnsiTheme="minorBidi" w:cstheme="minorBidi"/>
          <w:rtl/>
        </w:rPr>
        <w:t>צוינו דרישות הגילוי בהתאם ל-</w:t>
      </w:r>
      <w:r w:rsidRPr="00F275A7">
        <w:rPr>
          <w:rFonts w:asciiTheme="minorBidi" w:hAnsiTheme="minorBidi" w:cstheme="minorBidi"/>
          <w:sz w:val="18"/>
          <w:szCs w:val="18"/>
        </w:rPr>
        <w:t>US GAAP</w:t>
      </w:r>
      <w:r w:rsidRPr="00AF4C77">
        <w:rPr>
          <w:rFonts w:asciiTheme="minorBidi" w:hAnsiTheme="minorBidi" w:cstheme="minorBidi"/>
          <w:rtl/>
        </w:rPr>
        <w:t>.</w:t>
      </w:r>
    </w:p>
    <w:p w14:paraId="141E7D05" w14:textId="2233ADBB" w:rsidR="00BC5126" w:rsidRPr="009246B9" w:rsidRDefault="00BC5126" w:rsidP="00681270">
      <w:pPr>
        <w:spacing w:after="100" w:line="288" w:lineRule="auto"/>
        <w:ind w:left="907" w:hanging="261"/>
        <w:rPr>
          <w:rFonts w:asciiTheme="minorBidi" w:hAnsiTheme="minorBidi" w:cstheme="minorBidi"/>
          <w:b/>
          <w:bCs/>
          <w:rtl/>
        </w:rPr>
      </w:pPr>
    </w:p>
    <w:p w14:paraId="339CA96A" w14:textId="536FB856" w:rsidR="00BC5126" w:rsidRDefault="00BC5126" w:rsidP="00681270">
      <w:pPr>
        <w:spacing w:after="100" w:line="288" w:lineRule="auto"/>
        <w:ind w:left="907" w:hanging="261"/>
        <w:rPr>
          <w:rFonts w:asciiTheme="minorBidi" w:hAnsiTheme="minorBidi" w:cstheme="minorBidi"/>
          <w:rtl/>
        </w:rPr>
      </w:pPr>
    </w:p>
    <w:p w14:paraId="7FFFAAF5" w14:textId="19CD838C" w:rsidR="00BC5126" w:rsidRDefault="00BC5126" w:rsidP="00681270">
      <w:pPr>
        <w:spacing w:after="100" w:line="288" w:lineRule="auto"/>
        <w:ind w:left="907" w:hanging="261"/>
        <w:rPr>
          <w:rFonts w:asciiTheme="minorBidi" w:hAnsiTheme="minorBidi" w:cstheme="minorBidi"/>
          <w:rtl/>
        </w:rPr>
      </w:pPr>
    </w:p>
    <w:p w14:paraId="7C3C54D8" w14:textId="7A5DB4BD" w:rsidR="00BC5126" w:rsidRDefault="00BC5126" w:rsidP="00681270">
      <w:pPr>
        <w:spacing w:after="100" w:line="288" w:lineRule="auto"/>
        <w:ind w:left="907" w:hanging="261"/>
        <w:rPr>
          <w:rFonts w:asciiTheme="minorBidi" w:hAnsiTheme="minorBidi" w:cstheme="minorBidi"/>
          <w:rtl/>
        </w:rPr>
      </w:pPr>
    </w:p>
    <w:p w14:paraId="77EBA541" w14:textId="77777777" w:rsidR="00BC5126" w:rsidRPr="00AF4C77" w:rsidRDefault="00BC5126" w:rsidP="00681270">
      <w:pPr>
        <w:spacing w:after="100" w:line="288" w:lineRule="auto"/>
        <w:ind w:left="907" w:hanging="261"/>
        <w:rPr>
          <w:rFonts w:asciiTheme="minorBidi" w:hAnsiTheme="minorBidi" w:cstheme="minorBidi"/>
          <w:rtl/>
        </w:rPr>
      </w:pPr>
    </w:p>
    <w:tbl>
      <w:tblPr>
        <w:tblpPr w:leftFromText="180" w:rightFromText="180" w:vertAnchor="text" w:horzAnchor="margin" w:tblpXSpec="center" w:tblpY="15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tblGrid>
      <w:tr w:rsidR="00BE44BB" w:rsidRPr="00BB509F" w14:paraId="7A100048" w14:textId="77777777" w:rsidTr="00BE44BB">
        <w:trPr>
          <w:trHeight w:val="677"/>
        </w:trPr>
        <w:tc>
          <w:tcPr>
            <w:tcW w:w="4821" w:type="dxa"/>
            <w:tcBorders>
              <w:top w:val="single" w:sz="12" w:space="0" w:color="auto"/>
              <w:left w:val="single" w:sz="12" w:space="0" w:color="auto"/>
              <w:bottom w:val="single" w:sz="12" w:space="0" w:color="auto"/>
              <w:right w:val="single" w:sz="12" w:space="0" w:color="auto"/>
            </w:tcBorders>
            <w:vAlign w:val="center"/>
          </w:tcPr>
          <w:p w14:paraId="010CAC8C" w14:textId="77777777" w:rsidR="00BE44BB" w:rsidRPr="00A00BAC" w:rsidRDefault="00BE44BB" w:rsidP="00BE44BB">
            <w:pPr>
              <w:jc w:val="center"/>
              <w:rPr>
                <w:b/>
                <w:bCs/>
                <w:sz w:val="22"/>
                <w:szCs w:val="22"/>
                <w:rtl/>
              </w:rPr>
            </w:pPr>
            <w:r w:rsidRPr="00A00BAC">
              <w:rPr>
                <w:rFonts w:hint="eastAsia"/>
                <w:b/>
                <w:bCs/>
                <w:sz w:val="22"/>
                <w:szCs w:val="22"/>
                <w:rtl/>
              </w:rPr>
              <w:t>דוחות</w:t>
            </w:r>
            <w:r w:rsidRPr="00A00BAC">
              <w:rPr>
                <w:b/>
                <w:bCs/>
                <w:sz w:val="22"/>
                <w:szCs w:val="22"/>
                <w:rtl/>
              </w:rPr>
              <w:t xml:space="preserve"> לדוגמה אלה </w:t>
            </w:r>
            <w:r w:rsidRPr="00A00BAC">
              <w:rPr>
                <w:rFonts w:hint="eastAsia"/>
                <w:b/>
                <w:bCs/>
                <w:sz w:val="22"/>
                <w:szCs w:val="22"/>
                <w:rtl/>
              </w:rPr>
              <w:t>ערוכים</w:t>
            </w:r>
            <w:r w:rsidRPr="00A00BAC">
              <w:rPr>
                <w:b/>
                <w:bCs/>
                <w:sz w:val="22"/>
                <w:szCs w:val="22"/>
                <w:rtl/>
              </w:rPr>
              <w:t xml:space="preserve"> </w:t>
            </w:r>
            <w:r w:rsidRPr="00A00BAC">
              <w:rPr>
                <w:rFonts w:hint="eastAsia"/>
                <w:b/>
                <w:bCs/>
                <w:sz w:val="22"/>
                <w:szCs w:val="22"/>
                <w:rtl/>
              </w:rPr>
              <w:t>בהתאם</w:t>
            </w:r>
            <w:r w:rsidRPr="00A00BAC">
              <w:rPr>
                <w:b/>
                <w:bCs/>
                <w:sz w:val="22"/>
                <w:szCs w:val="22"/>
                <w:rtl/>
              </w:rPr>
              <w:t xml:space="preserve"> </w:t>
            </w:r>
            <w:r w:rsidRPr="00A00BAC">
              <w:rPr>
                <w:rFonts w:hint="eastAsia"/>
                <w:b/>
                <w:bCs/>
                <w:sz w:val="22"/>
                <w:szCs w:val="22"/>
                <w:rtl/>
              </w:rPr>
              <w:t>לפרסומים</w:t>
            </w:r>
          </w:p>
          <w:p w14:paraId="5E443772" w14:textId="15228413" w:rsidR="00BE44BB" w:rsidRPr="00BB509F" w:rsidRDefault="00BE44BB" w:rsidP="00154A26">
            <w:pPr>
              <w:bidi w:val="0"/>
              <w:jc w:val="center"/>
              <w:rPr>
                <w:b/>
                <w:bCs/>
                <w:color w:val="ED1A3B"/>
                <w:highlight w:val="yellow"/>
              </w:rPr>
            </w:pPr>
            <w:r w:rsidRPr="00A00BAC">
              <w:rPr>
                <w:rFonts w:hint="eastAsia"/>
                <w:b/>
                <w:bCs/>
                <w:sz w:val="22"/>
                <w:szCs w:val="22"/>
                <w:rtl/>
              </w:rPr>
              <w:t>אשר</w:t>
            </w:r>
            <w:r w:rsidRPr="00A00BAC">
              <w:rPr>
                <w:b/>
                <w:bCs/>
                <w:sz w:val="22"/>
                <w:szCs w:val="22"/>
                <w:rtl/>
              </w:rPr>
              <w:t xml:space="preserve"> ראו אור עד יו</w:t>
            </w:r>
            <w:r w:rsidRPr="00A00BAC">
              <w:rPr>
                <w:rFonts w:hint="cs"/>
                <w:b/>
                <w:bCs/>
                <w:sz w:val="22"/>
                <w:szCs w:val="22"/>
                <w:rtl/>
              </w:rPr>
              <w:t xml:space="preserve">ם </w:t>
            </w:r>
            <w:r w:rsidR="00B2225A">
              <w:rPr>
                <w:rFonts w:hint="cs"/>
                <w:b/>
                <w:bCs/>
                <w:sz w:val="22"/>
                <w:szCs w:val="22"/>
                <w:rtl/>
              </w:rPr>
              <w:t>16</w:t>
            </w:r>
            <w:r w:rsidR="005872EC">
              <w:rPr>
                <w:rFonts w:hint="cs"/>
                <w:b/>
                <w:bCs/>
                <w:sz w:val="22"/>
                <w:szCs w:val="22"/>
                <w:rtl/>
              </w:rPr>
              <w:t xml:space="preserve"> </w:t>
            </w:r>
            <w:r w:rsidR="00C04ED1">
              <w:rPr>
                <w:rFonts w:hint="cs"/>
                <w:b/>
                <w:bCs/>
                <w:sz w:val="22"/>
                <w:szCs w:val="22"/>
                <w:rtl/>
              </w:rPr>
              <w:t>באפריל</w:t>
            </w:r>
            <w:r w:rsidRPr="00A00BAC">
              <w:rPr>
                <w:rFonts w:hint="cs"/>
                <w:b/>
                <w:bCs/>
                <w:sz w:val="22"/>
                <w:szCs w:val="22"/>
                <w:rtl/>
              </w:rPr>
              <w:t xml:space="preserve"> </w:t>
            </w:r>
            <w:r w:rsidRPr="00A00BAC">
              <w:rPr>
                <w:b/>
                <w:bCs/>
                <w:rtl/>
              </w:rPr>
              <w:fldChar w:fldCharType="begin"/>
            </w:r>
            <w:r w:rsidRPr="00A00BAC">
              <w:rPr>
                <w:b/>
                <w:bCs/>
                <w:rtl/>
              </w:rPr>
              <w:instrText xml:space="preserve"> = </w:instrText>
            </w:r>
            <w:r w:rsidRPr="00A00BAC">
              <w:rPr>
                <w:b/>
                <w:bCs/>
              </w:rPr>
              <w:instrText>CY \* MERGEFORMAT  \* MERGEFORMAT</w:instrText>
            </w:r>
            <w:r w:rsidRPr="00A00BAC">
              <w:rPr>
                <w:b/>
                <w:bCs/>
                <w:rtl/>
              </w:rPr>
              <w:instrText xml:space="preserve"> </w:instrText>
            </w:r>
            <w:r w:rsidRPr="00A00BAC">
              <w:rPr>
                <w:b/>
                <w:bCs/>
                <w:rtl/>
              </w:rPr>
              <w:fldChar w:fldCharType="separate"/>
            </w:r>
            <w:r w:rsidR="003A584F">
              <w:rPr>
                <w:b/>
                <w:bCs/>
                <w:noProof/>
                <w:rtl/>
              </w:rPr>
              <w:t>2024</w:t>
            </w:r>
            <w:r w:rsidRPr="00A00BAC">
              <w:rPr>
                <w:b/>
                <w:bCs/>
                <w:rtl/>
              </w:rPr>
              <w:fldChar w:fldCharType="end"/>
            </w:r>
          </w:p>
        </w:tc>
      </w:tr>
    </w:tbl>
    <w:p w14:paraId="52E7B6BA" w14:textId="77777777" w:rsidR="0075264F" w:rsidRDefault="0075264F" w:rsidP="00681270">
      <w:pPr>
        <w:spacing w:after="100" w:line="288" w:lineRule="auto"/>
        <w:ind w:left="907" w:hanging="261"/>
        <w:rPr>
          <w:rtl/>
        </w:rPr>
      </w:pPr>
    </w:p>
    <w:p w14:paraId="1E59DF0E" w14:textId="77777777" w:rsidR="00CB5C3F" w:rsidRDefault="00CB5C3F" w:rsidP="00681270">
      <w:pPr>
        <w:spacing w:after="100" w:line="288" w:lineRule="auto"/>
        <w:ind w:left="907" w:hanging="261"/>
        <w:rPr>
          <w:rtl/>
        </w:rPr>
      </w:pPr>
    </w:p>
    <w:p w14:paraId="78CEDB9F" w14:textId="77777777" w:rsidR="00CB5C3F" w:rsidRDefault="00CB5C3F" w:rsidP="00681270">
      <w:pPr>
        <w:spacing w:after="100" w:line="288" w:lineRule="auto"/>
        <w:ind w:left="907" w:hanging="261"/>
        <w:rPr>
          <w:rtl/>
        </w:rPr>
      </w:pPr>
    </w:p>
    <w:p w14:paraId="32CC642A" w14:textId="77777777" w:rsidR="00CB5C3F" w:rsidRDefault="00CB5C3F" w:rsidP="00681270">
      <w:pPr>
        <w:spacing w:after="100" w:line="288" w:lineRule="auto"/>
        <w:ind w:left="907" w:hanging="261"/>
        <w:rPr>
          <w:rtl/>
        </w:rPr>
      </w:pPr>
    </w:p>
    <w:p w14:paraId="662B6D68" w14:textId="77777777" w:rsidR="00CB5C3F" w:rsidRDefault="00CB5C3F" w:rsidP="00681270">
      <w:pPr>
        <w:spacing w:after="100" w:line="288" w:lineRule="auto"/>
        <w:ind w:left="907" w:hanging="261"/>
        <w:rPr>
          <w:rtl/>
        </w:rPr>
      </w:pPr>
    </w:p>
    <w:p w14:paraId="2B1119EE" w14:textId="77777777" w:rsidR="0075264F" w:rsidRDefault="0075264F" w:rsidP="00681270">
      <w:pPr>
        <w:spacing w:after="100" w:line="288" w:lineRule="auto"/>
        <w:ind w:left="907" w:hanging="261"/>
        <w:rPr>
          <w:rtl/>
        </w:rPr>
      </w:pPr>
    </w:p>
    <w:p w14:paraId="4A1C8F8F" w14:textId="77777777" w:rsidR="0075264F" w:rsidRDefault="0075264F" w:rsidP="00681270">
      <w:pPr>
        <w:spacing w:after="100" w:line="288" w:lineRule="auto"/>
        <w:ind w:left="907" w:hanging="261"/>
        <w:rPr>
          <w:rtl/>
        </w:rPr>
      </w:pPr>
    </w:p>
    <w:p w14:paraId="44BC4175" w14:textId="77777777" w:rsidR="0075264F" w:rsidRDefault="0075264F" w:rsidP="00681270">
      <w:pPr>
        <w:spacing w:after="100" w:line="288" w:lineRule="auto"/>
        <w:ind w:left="907" w:hanging="261"/>
        <w:rPr>
          <w:rtl/>
        </w:rPr>
      </w:pPr>
    </w:p>
    <w:p w14:paraId="0527FD8C" w14:textId="77777777" w:rsidR="0075264F" w:rsidRDefault="0075264F" w:rsidP="00681270">
      <w:pPr>
        <w:spacing w:after="100" w:line="288" w:lineRule="auto"/>
        <w:ind w:left="907" w:hanging="261"/>
        <w:rPr>
          <w:rtl/>
        </w:rPr>
      </w:pPr>
    </w:p>
    <w:p w14:paraId="6A36A7BE" w14:textId="62866DBA" w:rsidR="0075264F" w:rsidRDefault="0075264F" w:rsidP="00681270">
      <w:pPr>
        <w:spacing w:after="100" w:line="288" w:lineRule="auto"/>
        <w:ind w:left="907" w:hanging="261"/>
        <w:rPr>
          <w:rtl/>
        </w:rPr>
      </w:pPr>
    </w:p>
    <w:p w14:paraId="5A2C7540" w14:textId="2ECD79E4" w:rsidR="00736244" w:rsidRDefault="00736244" w:rsidP="00681270">
      <w:pPr>
        <w:spacing w:after="100" w:line="288" w:lineRule="auto"/>
        <w:ind w:left="907" w:hanging="261"/>
        <w:rPr>
          <w:rtl/>
        </w:rPr>
      </w:pPr>
    </w:p>
    <w:p w14:paraId="1BC9F805" w14:textId="63C8A62C" w:rsidR="00736244" w:rsidRDefault="00736244" w:rsidP="00681270">
      <w:pPr>
        <w:spacing w:after="100" w:line="288" w:lineRule="auto"/>
        <w:ind w:left="907" w:hanging="261"/>
        <w:rPr>
          <w:rtl/>
        </w:rPr>
      </w:pPr>
    </w:p>
    <w:p w14:paraId="239BCBD0" w14:textId="0FBA7FFB" w:rsidR="00736244" w:rsidRDefault="00736244" w:rsidP="00681270">
      <w:pPr>
        <w:spacing w:after="100" w:line="288" w:lineRule="auto"/>
        <w:ind w:left="907" w:hanging="261"/>
        <w:rPr>
          <w:rtl/>
        </w:rPr>
      </w:pPr>
    </w:p>
    <w:p w14:paraId="00CC7E27" w14:textId="59843261" w:rsidR="00736244" w:rsidRDefault="00736244" w:rsidP="00681270">
      <w:pPr>
        <w:spacing w:after="100" w:line="288" w:lineRule="auto"/>
        <w:ind w:left="907" w:hanging="261"/>
        <w:rPr>
          <w:rtl/>
        </w:rPr>
      </w:pPr>
    </w:p>
    <w:p w14:paraId="7BA24630" w14:textId="289614E5" w:rsidR="00736244" w:rsidRDefault="00736244" w:rsidP="00681270">
      <w:pPr>
        <w:spacing w:after="100" w:line="288" w:lineRule="auto"/>
        <w:ind w:left="907" w:hanging="261"/>
        <w:rPr>
          <w:rtl/>
        </w:rPr>
      </w:pPr>
    </w:p>
    <w:p w14:paraId="20AC54BC" w14:textId="09C4C47F" w:rsidR="00736244" w:rsidRDefault="00736244" w:rsidP="00681270">
      <w:pPr>
        <w:spacing w:after="100" w:line="288" w:lineRule="auto"/>
        <w:ind w:left="907" w:hanging="261"/>
        <w:rPr>
          <w:rtl/>
        </w:rPr>
      </w:pPr>
    </w:p>
    <w:p w14:paraId="5CB3045E" w14:textId="76621C39" w:rsidR="00736244" w:rsidRDefault="00736244" w:rsidP="00681270">
      <w:pPr>
        <w:spacing w:after="100" w:line="288" w:lineRule="auto"/>
        <w:ind w:left="907" w:hanging="261"/>
        <w:rPr>
          <w:rtl/>
        </w:rPr>
      </w:pPr>
    </w:p>
    <w:p w14:paraId="2CE1BF4E" w14:textId="0FC81AB5" w:rsidR="00736244" w:rsidRDefault="00736244" w:rsidP="00681270">
      <w:pPr>
        <w:spacing w:after="100" w:line="288" w:lineRule="auto"/>
        <w:ind w:left="907" w:hanging="261"/>
        <w:rPr>
          <w:rtl/>
        </w:rPr>
      </w:pPr>
    </w:p>
    <w:p w14:paraId="0AB552B8" w14:textId="4910F00F" w:rsidR="00736244" w:rsidRDefault="00736244" w:rsidP="00681270">
      <w:pPr>
        <w:spacing w:after="100" w:line="288" w:lineRule="auto"/>
        <w:ind w:left="907" w:hanging="261"/>
        <w:rPr>
          <w:rtl/>
        </w:rPr>
      </w:pPr>
    </w:p>
    <w:p w14:paraId="29D65D39" w14:textId="409319A3" w:rsidR="00736244" w:rsidRDefault="00736244" w:rsidP="00681270">
      <w:pPr>
        <w:spacing w:after="100" w:line="288" w:lineRule="auto"/>
        <w:ind w:left="907" w:hanging="261"/>
        <w:rPr>
          <w:rtl/>
        </w:rPr>
      </w:pPr>
    </w:p>
    <w:p w14:paraId="7B3393EE" w14:textId="32674774" w:rsidR="00736244" w:rsidRDefault="00736244" w:rsidP="00681270">
      <w:pPr>
        <w:spacing w:after="100" w:line="288" w:lineRule="auto"/>
        <w:ind w:left="907" w:hanging="261"/>
        <w:rPr>
          <w:rtl/>
        </w:rPr>
      </w:pPr>
    </w:p>
    <w:p w14:paraId="3F2CF958" w14:textId="6B1193AC" w:rsidR="00736244" w:rsidRDefault="00736244" w:rsidP="00681270">
      <w:pPr>
        <w:spacing w:after="100" w:line="288" w:lineRule="auto"/>
        <w:ind w:left="907" w:hanging="261"/>
        <w:rPr>
          <w:rtl/>
        </w:rPr>
      </w:pPr>
    </w:p>
    <w:p w14:paraId="1C5B2ED0" w14:textId="4DB4996E" w:rsidR="00EF5B6E" w:rsidRDefault="00EF5B6E" w:rsidP="00681270">
      <w:pPr>
        <w:spacing w:after="100" w:line="288" w:lineRule="auto"/>
        <w:ind w:left="907" w:hanging="261"/>
        <w:rPr>
          <w:rtl/>
        </w:rPr>
      </w:pPr>
    </w:p>
    <w:p w14:paraId="246EF392" w14:textId="478C74D8" w:rsidR="00EF5B6E" w:rsidRDefault="00EF5B6E" w:rsidP="00681270">
      <w:pPr>
        <w:spacing w:after="100" w:line="288" w:lineRule="auto"/>
        <w:ind w:left="907" w:hanging="261"/>
        <w:rPr>
          <w:rtl/>
        </w:rPr>
      </w:pPr>
    </w:p>
    <w:p w14:paraId="726B5869" w14:textId="41153727" w:rsidR="00EF5B6E" w:rsidRDefault="00EF5B6E" w:rsidP="00681270">
      <w:pPr>
        <w:spacing w:after="100" w:line="288" w:lineRule="auto"/>
        <w:ind w:left="907" w:hanging="261"/>
        <w:rPr>
          <w:rtl/>
        </w:rPr>
      </w:pPr>
    </w:p>
    <w:p w14:paraId="65F1B672" w14:textId="74D78624" w:rsidR="00EF5B6E" w:rsidRDefault="00EF5B6E" w:rsidP="00681270">
      <w:pPr>
        <w:spacing w:after="100" w:line="288" w:lineRule="auto"/>
        <w:ind w:left="907" w:hanging="261"/>
        <w:rPr>
          <w:rtl/>
        </w:rPr>
      </w:pPr>
    </w:p>
    <w:p w14:paraId="74FEFC7C" w14:textId="73670EB4" w:rsidR="00EF5B6E" w:rsidRDefault="00EF5B6E" w:rsidP="00681270">
      <w:pPr>
        <w:spacing w:after="100" w:line="288" w:lineRule="auto"/>
        <w:ind w:left="907" w:hanging="261"/>
        <w:rPr>
          <w:rtl/>
        </w:rPr>
      </w:pPr>
    </w:p>
    <w:p w14:paraId="53AC0720" w14:textId="0909FCA5" w:rsidR="002050ED" w:rsidRDefault="002050ED" w:rsidP="00681270">
      <w:pPr>
        <w:spacing w:after="100" w:line="288" w:lineRule="auto"/>
        <w:ind w:left="907" w:hanging="261"/>
        <w:rPr>
          <w:rtl/>
        </w:rPr>
      </w:pPr>
    </w:p>
    <w:p w14:paraId="5F2DFE36" w14:textId="3D452484" w:rsidR="002050ED" w:rsidRDefault="002050ED" w:rsidP="00681270">
      <w:pPr>
        <w:spacing w:after="100" w:line="288" w:lineRule="auto"/>
        <w:ind w:left="907" w:hanging="261"/>
        <w:rPr>
          <w:rtl/>
        </w:rPr>
      </w:pPr>
    </w:p>
    <w:p w14:paraId="6FC9AB40" w14:textId="77777777" w:rsidR="00D250E0" w:rsidRDefault="00D250E0" w:rsidP="00681270">
      <w:pPr>
        <w:spacing w:after="100" w:line="288" w:lineRule="auto"/>
        <w:ind w:left="907" w:hanging="261"/>
        <w:rPr>
          <w:rtl/>
        </w:rPr>
      </w:pPr>
    </w:p>
    <w:p w14:paraId="071D605C" w14:textId="77777777" w:rsidR="00EF5B6E" w:rsidRDefault="00EF5B6E" w:rsidP="00681270">
      <w:pPr>
        <w:spacing w:after="100" w:line="288" w:lineRule="auto"/>
        <w:ind w:left="907" w:hanging="261"/>
        <w:rPr>
          <w:rtl/>
        </w:rPr>
      </w:pPr>
    </w:p>
    <w:p w14:paraId="7B90A3CC" w14:textId="23F54E30" w:rsidR="00736244" w:rsidRDefault="00736244" w:rsidP="00681270">
      <w:pPr>
        <w:spacing w:after="100" w:line="288" w:lineRule="auto"/>
        <w:ind w:left="907" w:hanging="261"/>
        <w:rPr>
          <w:rtl/>
        </w:rPr>
      </w:pPr>
    </w:p>
    <w:p w14:paraId="1F21B3CC" w14:textId="77777777" w:rsidR="0075264F" w:rsidRPr="00D26240" w:rsidRDefault="0075264F" w:rsidP="0075264F">
      <w:pPr>
        <w:tabs>
          <w:tab w:val="center" w:pos="8586"/>
        </w:tabs>
        <w:spacing w:after="120" w:line="300" w:lineRule="auto"/>
        <w:ind w:firstLine="4253"/>
        <w:rPr>
          <w:sz w:val="32"/>
          <w:szCs w:val="32"/>
          <w:rtl/>
        </w:rPr>
      </w:pPr>
      <w:r w:rsidRPr="00D26240">
        <w:rPr>
          <w:rFonts w:hint="cs"/>
          <w:b/>
          <w:bCs/>
          <w:sz w:val="32"/>
          <w:szCs w:val="32"/>
          <w:rtl/>
        </w:rPr>
        <w:t>בנק לדוגמה בע"מ</w:t>
      </w:r>
    </w:p>
    <w:p w14:paraId="6AFB5400" w14:textId="77777777" w:rsidR="0075264F" w:rsidRPr="0075264F" w:rsidRDefault="0075264F" w:rsidP="001F27AC">
      <w:pPr>
        <w:pStyle w:val="5"/>
        <w:ind w:firstLine="2410"/>
        <w:rPr>
          <w:sz w:val="44"/>
          <w:szCs w:val="40"/>
          <w:rtl/>
        </w:rPr>
      </w:pPr>
      <w:bookmarkStart w:id="4" w:name="_Toc160529208"/>
      <w:r w:rsidRPr="0075264F">
        <w:rPr>
          <w:rFonts w:hint="cs"/>
          <w:sz w:val="44"/>
          <w:szCs w:val="40"/>
          <w:rtl/>
        </w:rPr>
        <w:t>תמצית דוחות כספיים ביניים לדוגמה</w:t>
      </w:r>
      <w:bookmarkEnd w:id="4"/>
    </w:p>
    <w:p w14:paraId="46D27B5C" w14:textId="77777777" w:rsidR="004F10BD" w:rsidRDefault="004F10BD" w:rsidP="00681270">
      <w:pPr>
        <w:spacing w:after="100" w:line="288" w:lineRule="auto"/>
        <w:ind w:left="907" w:hanging="261"/>
        <w:rPr>
          <w:rtl/>
        </w:rPr>
      </w:pPr>
    </w:p>
    <w:p w14:paraId="13D35FE7" w14:textId="77777777" w:rsidR="005457DD" w:rsidRDefault="005457DD" w:rsidP="00681270">
      <w:pPr>
        <w:spacing w:after="100" w:line="288" w:lineRule="auto"/>
        <w:ind w:left="907" w:hanging="261"/>
        <w:rPr>
          <w:rtl/>
        </w:rPr>
      </w:pPr>
    </w:p>
    <w:p w14:paraId="2F12CE7A" w14:textId="77777777" w:rsidR="00C278FC" w:rsidRDefault="0075264F" w:rsidP="00E04041">
      <w:pPr>
        <w:pStyle w:val="7"/>
        <w:rPr>
          <w:rtl/>
        </w:rPr>
      </w:pPr>
      <w:r>
        <w:rPr>
          <w:rtl/>
        </w:rPr>
        <w:br w:type="page"/>
      </w:r>
    </w:p>
    <w:p w14:paraId="7F87E294" w14:textId="77777777" w:rsidR="00DE0B68" w:rsidRDefault="00DE0B68" w:rsidP="00D50933">
      <w:pPr>
        <w:spacing w:after="120" w:line="300" w:lineRule="auto"/>
        <w:sectPr w:rsidR="00DE0B68" w:rsidSect="00587121">
          <w:footerReference w:type="even" r:id="rId11"/>
          <w:footerReference w:type="default" r:id="rId12"/>
          <w:footnotePr>
            <w:numRestart w:val="eachPage"/>
          </w:footnotePr>
          <w:type w:val="nextColumn"/>
          <w:pgSz w:w="11909" w:h="16834" w:code="9"/>
          <w:pgMar w:top="851" w:right="851" w:bottom="851" w:left="851" w:header="720" w:footer="601" w:gutter="0"/>
          <w:cols w:space="720"/>
          <w:titlePg/>
          <w:bidi/>
          <w:rtlGutter/>
          <w:docGrid w:linePitch="360"/>
        </w:sectPr>
      </w:pPr>
    </w:p>
    <w:p w14:paraId="1B0C33D1" w14:textId="77777777" w:rsidR="00F32931" w:rsidRDefault="00F32931" w:rsidP="006F58D4">
      <w:pPr>
        <w:pStyle w:val="-2"/>
        <w:ind w:firstLine="851"/>
        <w:rPr>
          <w:rtl/>
        </w:rPr>
      </w:pPr>
      <w:r w:rsidRPr="00543C25">
        <w:rPr>
          <w:rFonts w:hint="cs"/>
          <w:rtl/>
        </w:rPr>
        <w:lastRenderedPageBreak/>
        <w:t>בנק</w:t>
      </w:r>
      <w:r w:rsidRPr="00543C25">
        <w:rPr>
          <w:rtl/>
        </w:rPr>
        <w:t xml:space="preserve"> </w:t>
      </w:r>
      <w:r w:rsidRPr="00543C25">
        <w:rPr>
          <w:rFonts w:hint="cs"/>
          <w:rtl/>
        </w:rPr>
        <w:t xml:space="preserve">לדוגמה </w:t>
      </w:r>
      <w:r w:rsidRPr="00543C25">
        <w:rPr>
          <w:rtl/>
        </w:rPr>
        <w:t>בע"מ וחברות מאוחדות שלו</w:t>
      </w:r>
    </w:p>
    <w:p w14:paraId="3E2C89B4" w14:textId="74BD5F37" w:rsidR="00F32931" w:rsidRPr="00B23171" w:rsidRDefault="00CB5C3F" w:rsidP="006F58D4">
      <w:pPr>
        <w:pStyle w:val="7"/>
        <w:spacing w:after="80"/>
        <w:ind w:firstLine="851"/>
        <w:rPr>
          <w:u w:val="single"/>
          <w:rtl/>
        </w:rPr>
      </w:pPr>
      <w:bookmarkStart w:id="5" w:name="_Toc160529209"/>
      <w:r w:rsidRPr="00715B5F">
        <w:rPr>
          <w:rFonts w:hint="cs"/>
          <w:u w:val="single"/>
          <w:rtl/>
        </w:rPr>
        <w:t xml:space="preserve">תמצית דוח רווח והפסד מאוחד לתקופות שהסתיימו ביום 30 ביוני </w:t>
      </w:r>
      <w:r w:rsidRPr="0062266D">
        <w:rPr>
          <w:u w:val="single"/>
          <w:rtl/>
        </w:rPr>
        <w:fldChar w:fldCharType="begin"/>
      </w:r>
      <w:r w:rsidRPr="0062266D">
        <w:rPr>
          <w:u w:val="single"/>
          <w:rtl/>
        </w:rPr>
        <w:instrText xml:space="preserve"> </w:instrText>
      </w:r>
      <w:r w:rsidRPr="0062266D">
        <w:rPr>
          <w:rFonts w:hint="cs"/>
          <w:u w:val="single"/>
          <w:rtl/>
        </w:rPr>
        <w:instrText xml:space="preserve">= </w:instrText>
      </w:r>
      <w:r w:rsidRPr="0062266D">
        <w:rPr>
          <w:rFonts w:hint="cs"/>
          <w:u w:val="single"/>
        </w:rPr>
        <w:instrText>CY \* MERGEFORMAT</w:instrText>
      </w:r>
      <w:r w:rsidRPr="0062266D">
        <w:rPr>
          <w:u w:val="single"/>
          <w:rtl/>
        </w:rPr>
        <w:instrText xml:space="preserve"> </w:instrText>
      </w:r>
      <w:r w:rsidRPr="0062266D">
        <w:rPr>
          <w:u w:val="single"/>
          <w:rtl/>
        </w:rPr>
        <w:fldChar w:fldCharType="separate"/>
      </w:r>
      <w:r w:rsidR="003A584F">
        <w:rPr>
          <w:noProof/>
          <w:u w:val="single"/>
          <w:rtl/>
        </w:rPr>
        <w:t>2024</w:t>
      </w:r>
      <w:bookmarkEnd w:id="5"/>
      <w:r w:rsidRPr="0062266D">
        <w:rPr>
          <w:u w:val="single"/>
          <w:rtl/>
        </w:rPr>
        <w:fldChar w:fldCharType="end"/>
      </w:r>
    </w:p>
    <w:p w14:paraId="4DABA1BF" w14:textId="77777777" w:rsidR="00F32931" w:rsidRPr="00F32931" w:rsidRDefault="00F32931" w:rsidP="006F58D4">
      <w:pPr>
        <w:ind w:firstLine="851"/>
      </w:pPr>
      <w:r w:rsidRPr="00543C25">
        <w:rPr>
          <w:rFonts w:hint="cs"/>
          <w:rtl/>
        </w:rPr>
        <w:t>סכומים מדווחים (במיליוני ש"ח)</w:t>
      </w:r>
    </w:p>
    <w:tbl>
      <w:tblPr>
        <w:bidiVisual/>
        <w:tblW w:w="5138"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4195"/>
        <w:gridCol w:w="601"/>
        <w:gridCol w:w="823"/>
        <w:gridCol w:w="891"/>
        <w:gridCol w:w="864"/>
        <w:gridCol w:w="832"/>
        <w:gridCol w:w="1206"/>
      </w:tblGrid>
      <w:tr w:rsidR="005C6997" w:rsidRPr="001844D2" w14:paraId="6257B2FC" w14:textId="77777777" w:rsidTr="001844D2">
        <w:tc>
          <w:tcPr>
            <w:tcW w:w="1077" w:type="dxa"/>
            <w:tcBorders>
              <w:top w:val="nil"/>
              <w:left w:val="nil"/>
              <w:bottom w:val="nil"/>
              <w:right w:val="nil"/>
            </w:tcBorders>
          </w:tcPr>
          <w:p w14:paraId="4C68F0AE" w14:textId="77777777" w:rsidR="005C6997" w:rsidRDefault="005C6997" w:rsidP="001835BD">
            <w:pPr>
              <w:jc w:val="left"/>
              <w:rPr>
                <w:sz w:val="14"/>
                <w:szCs w:val="14"/>
                <w:rtl/>
              </w:rPr>
            </w:pPr>
            <w:r w:rsidRPr="00D35C2A">
              <w:rPr>
                <w:rFonts w:hint="cs"/>
                <w:sz w:val="14"/>
                <w:szCs w:val="14"/>
                <w:rtl/>
              </w:rPr>
              <w:t xml:space="preserve">מתכונת דוח </w:t>
            </w:r>
            <w:r w:rsidRPr="00D35C2A">
              <w:rPr>
                <w:sz w:val="14"/>
                <w:szCs w:val="14"/>
                <w:rtl/>
              </w:rPr>
              <w:br/>
            </w:r>
            <w:r w:rsidRPr="00D35C2A">
              <w:rPr>
                <w:rFonts w:hint="cs"/>
                <w:sz w:val="14"/>
                <w:szCs w:val="14"/>
                <w:rtl/>
              </w:rPr>
              <w:t>עמ' 663-</w:t>
            </w:r>
            <w:r>
              <w:rPr>
                <w:rFonts w:hint="cs"/>
                <w:sz w:val="14"/>
                <w:szCs w:val="14"/>
                <w:rtl/>
              </w:rPr>
              <w:t>5</w:t>
            </w:r>
          </w:p>
          <w:p w14:paraId="70E62A4F" w14:textId="77777777" w:rsidR="00A83085" w:rsidRDefault="00A83085" w:rsidP="001835BD">
            <w:pPr>
              <w:jc w:val="left"/>
              <w:rPr>
                <w:sz w:val="14"/>
                <w:szCs w:val="14"/>
                <w:rtl/>
              </w:rPr>
            </w:pPr>
          </w:p>
          <w:p w14:paraId="48F21681" w14:textId="491CE0E3" w:rsidR="00A83085" w:rsidRPr="009C4C81" w:rsidRDefault="00A83085" w:rsidP="001835BD">
            <w:pPr>
              <w:jc w:val="left"/>
              <w:rPr>
                <w:b/>
                <w:bCs/>
                <w:i/>
                <w:iCs/>
                <w:color w:val="FF0000"/>
                <w:rtl/>
              </w:rPr>
            </w:pPr>
          </w:p>
        </w:tc>
        <w:tc>
          <w:tcPr>
            <w:tcW w:w="4195" w:type="dxa"/>
            <w:tcBorders>
              <w:top w:val="nil"/>
              <w:left w:val="nil"/>
              <w:bottom w:val="nil"/>
              <w:right w:val="nil"/>
            </w:tcBorders>
            <w:vAlign w:val="bottom"/>
          </w:tcPr>
          <w:p w14:paraId="0A562BCF" w14:textId="77777777" w:rsidR="005C6997" w:rsidRPr="001844D2" w:rsidRDefault="005C6997" w:rsidP="001835BD">
            <w:pPr>
              <w:pStyle w:val="-0"/>
              <w:spacing w:line="210" w:lineRule="exact"/>
              <w:rPr>
                <w:color w:val="auto"/>
                <w:sz w:val="19"/>
                <w:szCs w:val="19"/>
                <w:rtl/>
              </w:rPr>
            </w:pPr>
          </w:p>
        </w:tc>
        <w:tc>
          <w:tcPr>
            <w:tcW w:w="601" w:type="dxa"/>
            <w:tcBorders>
              <w:top w:val="nil"/>
              <w:left w:val="nil"/>
              <w:bottom w:val="nil"/>
              <w:right w:val="nil"/>
            </w:tcBorders>
            <w:vAlign w:val="bottom"/>
          </w:tcPr>
          <w:p w14:paraId="26DB489E" w14:textId="77777777" w:rsidR="005C6997" w:rsidRPr="00E326B3" w:rsidRDefault="005C6997" w:rsidP="001835BD">
            <w:pPr>
              <w:pStyle w:val="-7"/>
              <w:spacing w:line="210" w:lineRule="exact"/>
              <w:jc w:val="center"/>
              <w:rPr>
                <w:sz w:val="18"/>
                <w:szCs w:val="18"/>
                <w:rtl/>
              </w:rPr>
            </w:pPr>
          </w:p>
        </w:tc>
        <w:tc>
          <w:tcPr>
            <w:tcW w:w="1714" w:type="dxa"/>
            <w:gridSpan w:val="2"/>
            <w:tcBorders>
              <w:top w:val="nil"/>
              <w:left w:val="nil"/>
              <w:bottom w:val="nil"/>
              <w:right w:val="nil"/>
            </w:tcBorders>
            <w:vAlign w:val="bottom"/>
          </w:tcPr>
          <w:p w14:paraId="457D9384" w14:textId="77777777" w:rsidR="005C6997" w:rsidRPr="001844D2" w:rsidRDefault="005C6997" w:rsidP="001835BD">
            <w:pPr>
              <w:pStyle w:val="-4"/>
              <w:spacing w:line="210" w:lineRule="exact"/>
              <w:rPr>
                <w:sz w:val="19"/>
                <w:szCs w:val="19"/>
                <w:rtl/>
              </w:rPr>
            </w:pPr>
            <w:r w:rsidRPr="001844D2">
              <w:rPr>
                <w:rFonts w:hint="eastAsia"/>
                <w:sz w:val="19"/>
                <w:szCs w:val="19"/>
                <w:rtl/>
              </w:rPr>
              <w:t>לשלושה</w:t>
            </w:r>
            <w:r w:rsidRPr="001844D2">
              <w:rPr>
                <w:sz w:val="19"/>
                <w:szCs w:val="19"/>
                <w:rtl/>
              </w:rPr>
              <w:t xml:space="preserve"> חודשים שהסתיימו </w:t>
            </w:r>
          </w:p>
          <w:p w14:paraId="7D90F8AE" w14:textId="77777777" w:rsidR="005C6997" w:rsidRPr="001844D2" w:rsidRDefault="005C6997" w:rsidP="001835BD">
            <w:pPr>
              <w:pStyle w:val="-4"/>
              <w:spacing w:line="210" w:lineRule="exact"/>
              <w:rPr>
                <w:sz w:val="19"/>
                <w:szCs w:val="19"/>
                <w:rtl/>
              </w:rPr>
            </w:pPr>
            <w:r w:rsidRPr="001844D2">
              <w:rPr>
                <w:rFonts w:hint="eastAsia"/>
                <w:sz w:val="19"/>
                <w:szCs w:val="19"/>
                <w:rtl/>
              </w:rPr>
              <w:t>ביום</w:t>
            </w:r>
            <w:r w:rsidRPr="001844D2">
              <w:rPr>
                <w:sz w:val="19"/>
                <w:szCs w:val="19"/>
                <w:rtl/>
              </w:rPr>
              <w:t xml:space="preserve"> 30 </w:t>
            </w:r>
            <w:r w:rsidRPr="001844D2">
              <w:rPr>
                <w:rFonts w:hint="eastAsia"/>
                <w:sz w:val="19"/>
                <w:szCs w:val="19"/>
                <w:rtl/>
              </w:rPr>
              <w:t>ביוני</w:t>
            </w:r>
          </w:p>
        </w:tc>
        <w:tc>
          <w:tcPr>
            <w:tcW w:w="1696" w:type="dxa"/>
            <w:gridSpan w:val="2"/>
            <w:tcBorders>
              <w:top w:val="nil"/>
              <w:left w:val="nil"/>
              <w:bottom w:val="nil"/>
              <w:right w:val="nil"/>
            </w:tcBorders>
            <w:tcMar>
              <w:left w:w="58" w:type="dxa"/>
              <w:right w:w="58" w:type="dxa"/>
            </w:tcMar>
            <w:vAlign w:val="bottom"/>
          </w:tcPr>
          <w:p w14:paraId="3DA12139" w14:textId="77777777" w:rsidR="005C6997" w:rsidRPr="001844D2" w:rsidRDefault="005C6997" w:rsidP="001835BD">
            <w:pPr>
              <w:pStyle w:val="-4"/>
              <w:pBdr>
                <w:bottom w:val="single" w:sz="4" w:space="1" w:color="auto"/>
              </w:pBdr>
              <w:spacing w:line="210" w:lineRule="exact"/>
              <w:rPr>
                <w:sz w:val="19"/>
                <w:szCs w:val="19"/>
                <w:rtl/>
              </w:rPr>
            </w:pPr>
            <w:r w:rsidRPr="001844D2">
              <w:rPr>
                <w:rFonts w:hint="eastAsia"/>
                <w:sz w:val="19"/>
                <w:szCs w:val="19"/>
                <w:rtl/>
              </w:rPr>
              <w:t>לשישה</w:t>
            </w:r>
            <w:r w:rsidRPr="001844D2">
              <w:rPr>
                <w:sz w:val="19"/>
                <w:szCs w:val="19"/>
                <w:rtl/>
              </w:rPr>
              <w:t xml:space="preserve"> חודשים שהסתיימו </w:t>
            </w:r>
          </w:p>
          <w:p w14:paraId="698464D7" w14:textId="77777777" w:rsidR="005C6997" w:rsidRPr="001844D2" w:rsidRDefault="005C6997" w:rsidP="001835BD">
            <w:pPr>
              <w:pStyle w:val="-7"/>
              <w:pBdr>
                <w:bottom w:val="single" w:sz="4" w:space="1" w:color="auto"/>
              </w:pBdr>
              <w:spacing w:line="210" w:lineRule="exact"/>
              <w:jc w:val="center"/>
              <w:rPr>
                <w:b/>
                <w:bCs/>
                <w:sz w:val="19"/>
                <w:szCs w:val="19"/>
                <w:rtl/>
              </w:rPr>
            </w:pPr>
            <w:r w:rsidRPr="001844D2">
              <w:rPr>
                <w:rFonts w:hint="eastAsia"/>
                <w:b/>
                <w:bCs/>
                <w:sz w:val="19"/>
                <w:szCs w:val="19"/>
                <w:rtl/>
              </w:rPr>
              <w:t>ביום</w:t>
            </w:r>
            <w:r w:rsidRPr="001844D2">
              <w:rPr>
                <w:b/>
                <w:bCs/>
                <w:sz w:val="19"/>
                <w:szCs w:val="19"/>
                <w:rtl/>
              </w:rPr>
              <w:t xml:space="preserve"> 30 </w:t>
            </w:r>
            <w:r w:rsidRPr="001844D2">
              <w:rPr>
                <w:rFonts w:hint="eastAsia"/>
                <w:b/>
                <w:bCs/>
                <w:sz w:val="19"/>
                <w:szCs w:val="19"/>
                <w:rtl/>
              </w:rPr>
              <w:t>ביוני</w:t>
            </w:r>
          </w:p>
        </w:tc>
        <w:tc>
          <w:tcPr>
            <w:tcW w:w="1206" w:type="dxa"/>
            <w:tcBorders>
              <w:top w:val="nil"/>
              <w:left w:val="nil"/>
              <w:bottom w:val="nil"/>
              <w:right w:val="nil"/>
            </w:tcBorders>
            <w:vAlign w:val="bottom"/>
          </w:tcPr>
          <w:p w14:paraId="171D83D8" w14:textId="77777777" w:rsidR="005C6997" w:rsidRPr="001844D2" w:rsidRDefault="005C6997" w:rsidP="001835BD">
            <w:pPr>
              <w:pStyle w:val="-4"/>
              <w:spacing w:line="210" w:lineRule="exact"/>
              <w:rPr>
                <w:sz w:val="19"/>
                <w:szCs w:val="19"/>
                <w:rtl/>
              </w:rPr>
            </w:pPr>
            <w:r w:rsidRPr="001844D2">
              <w:rPr>
                <w:rFonts w:hint="eastAsia"/>
                <w:sz w:val="19"/>
                <w:szCs w:val="19"/>
                <w:rtl/>
              </w:rPr>
              <w:t>לשנה</w:t>
            </w:r>
            <w:r w:rsidRPr="001844D2">
              <w:rPr>
                <w:sz w:val="19"/>
                <w:szCs w:val="19"/>
                <w:rtl/>
              </w:rPr>
              <w:t xml:space="preserve"> </w:t>
            </w:r>
            <w:r w:rsidRPr="001844D2">
              <w:rPr>
                <w:rFonts w:hint="eastAsia"/>
                <w:sz w:val="19"/>
                <w:szCs w:val="19"/>
                <w:rtl/>
              </w:rPr>
              <w:t>שהסתיימה</w:t>
            </w:r>
            <w:r w:rsidRPr="001844D2">
              <w:rPr>
                <w:sz w:val="19"/>
                <w:szCs w:val="19"/>
                <w:rtl/>
              </w:rPr>
              <w:t xml:space="preserve"> </w:t>
            </w:r>
            <w:r w:rsidRPr="001844D2">
              <w:rPr>
                <w:rFonts w:hint="eastAsia"/>
                <w:sz w:val="19"/>
                <w:szCs w:val="19"/>
                <w:rtl/>
              </w:rPr>
              <w:t>ביום</w:t>
            </w:r>
            <w:r w:rsidRPr="001844D2">
              <w:rPr>
                <w:rFonts w:hint="cs"/>
                <w:sz w:val="19"/>
                <w:szCs w:val="19"/>
                <w:rtl/>
              </w:rPr>
              <w:t xml:space="preserve"> 31 בדצמבר</w:t>
            </w:r>
          </w:p>
        </w:tc>
      </w:tr>
      <w:tr w:rsidR="005C6997" w:rsidRPr="001844D2" w14:paraId="4C74F496" w14:textId="77777777" w:rsidTr="001844D2">
        <w:tc>
          <w:tcPr>
            <w:tcW w:w="1077" w:type="dxa"/>
            <w:tcBorders>
              <w:top w:val="nil"/>
              <w:left w:val="nil"/>
              <w:bottom w:val="nil"/>
              <w:right w:val="nil"/>
            </w:tcBorders>
          </w:tcPr>
          <w:p w14:paraId="597A4C41" w14:textId="77777777" w:rsidR="005C6997" w:rsidRPr="008B25A5" w:rsidRDefault="005C6997" w:rsidP="005C6997">
            <w:pPr>
              <w:pStyle w:val="-0"/>
              <w:spacing w:line="210" w:lineRule="exact"/>
              <w:rPr>
                <w:sz w:val="14"/>
                <w:szCs w:val="14"/>
                <w:rtl/>
              </w:rPr>
            </w:pPr>
          </w:p>
        </w:tc>
        <w:tc>
          <w:tcPr>
            <w:tcW w:w="4195" w:type="dxa"/>
            <w:tcBorders>
              <w:top w:val="nil"/>
              <w:left w:val="nil"/>
              <w:bottom w:val="nil"/>
              <w:right w:val="nil"/>
            </w:tcBorders>
            <w:vAlign w:val="bottom"/>
          </w:tcPr>
          <w:p w14:paraId="43CC4A3B" w14:textId="77777777" w:rsidR="005C6997" w:rsidRPr="001844D2" w:rsidRDefault="005C6997" w:rsidP="005C6997">
            <w:pPr>
              <w:pStyle w:val="-0"/>
              <w:spacing w:line="210" w:lineRule="exact"/>
              <w:rPr>
                <w:sz w:val="19"/>
                <w:szCs w:val="19"/>
                <w:rtl/>
              </w:rPr>
            </w:pPr>
          </w:p>
        </w:tc>
        <w:tc>
          <w:tcPr>
            <w:tcW w:w="601" w:type="dxa"/>
            <w:tcBorders>
              <w:top w:val="nil"/>
              <w:left w:val="nil"/>
              <w:bottom w:val="nil"/>
              <w:right w:val="nil"/>
            </w:tcBorders>
            <w:vAlign w:val="bottom"/>
          </w:tcPr>
          <w:p w14:paraId="0F489380" w14:textId="77777777" w:rsidR="005C6997" w:rsidRPr="00E326B3" w:rsidRDefault="005C6997" w:rsidP="005C6997">
            <w:pPr>
              <w:pStyle w:val="-5"/>
              <w:pBdr>
                <w:bottom w:val="none" w:sz="0" w:space="0" w:color="auto"/>
              </w:pBdr>
              <w:spacing w:line="210" w:lineRule="exact"/>
              <w:jc w:val="center"/>
              <w:rPr>
                <w:sz w:val="18"/>
                <w:szCs w:val="18"/>
                <w:rtl/>
              </w:rPr>
            </w:pPr>
          </w:p>
        </w:tc>
        <w:tc>
          <w:tcPr>
            <w:tcW w:w="823" w:type="dxa"/>
            <w:tcBorders>
              <w:top w:val="nil"/>
              <w:left w:val="nil"/>
              <w:bottom w:val="nil"/>
              <w:right w:val="nil"/>
            </w:tcBorders>
            <w:vAlign w:val="bottom"/>
          </w:tcPr>
          <w:p w14:paraId="6E4F55B6" w14:textId="6F5F4AF6" w:rsidR="005C6997" w:rsidRPr="001844D2" w:rsidRDefault="00D011B4" w:rsidP="00914A73">
            <w:pPr>
              <w:pStyle w:val="-4"/>
              <w:spacing w:line="210" w:lineRule="exact"/>
              <w:rPr>
                <w:sz w:val="19"/>
                <w:szCs w:val="19"/>
                <w:rtl/>
              </w:rPr>
            </w:pPr>
            <w:r w:rsidRPr="001844D2">
              <w:rPr>
                <w:sz w:val="19"/>
                <w:szCs w:val="19"/>
                <w:rtl/>
              </w:rPr>
              <w:fldChar w:fldCharType="begin"/>
            </w:r>
            <w:r w:rsidRPr="001844D2">
              <w:rPr>
                <w:sz w:val="19"/>
                <w:szCs w:val="19"/>
                <w:rtl/>
              </w:rPr>
              <w:instrText xml:space="preserve"> </w:instrText>
            </w:r>
            <w:r w:rsidRPr="001844D2">
              <w:rPr>
                <w:rFonts w:hint="cs"/>
                <w:sz w:val="19"/>
                <w:szCs w:val="19"/>
                <w:rtl/>
              </w:rPr>
              <w:instrText xml:space="preserve">= </w:instrText>
            </w:r>
            <w:r w:rsidRPr="001844D2">
              <w:rPr>
                <w:rFonts w:hint="cs"/>
                <w:sz w:val="19"/>
                <w:szCs w:val="19"/>
              </w:rPr>
              <w:instrText>CY \* MERGEFORMAT</w:instrText>
            </w:r>
            <w:r w:rsidRPr="001844D2">
              <w:rPr>
                <w:sz w:val="19"/>
                <w:szCs w:val="19"/>
                <w:rtl/>
              </w:rPr>
              <w:instrText xml:space="preserve"> </w:instrText>
            </w:r>
            <w:r w:rsidRPr="001844D2">
              <w:rPr>
                <w:sz w:val="19"/>
                <w:szCs w:val="19"/>
                <w:rtl/>
              </w:rPr>
              <w:fldChar w:fldCharType="separate"/>
            </w:r>
            <w:r w:rsidR="00683FB8" w:rsidRPr="001844D2">
              <w:rPr>
                <w:noProof/>
                <w:sz w:val="19"/>
                <w:szCs w:val="19"/>
                <w:rtl/>
              </w:rPr>
              <w:t>2024</w:t>
            </w:r>
            <w:r w:rsidRPr="001844D2">
              <w:rPr>
                <w:sz w:val="19"/>
                <w:szCs w:val="19"/>
                <w:rtl/>
              </w:rPr>
              <w:fldChar w:fldCharType="end"/>
            </w:r>
          </w:p>
        </w:tc>
        <w:tc>
          <w:tcPr>
            <w:tcW w:w="891" w:type="dxa"/>
            <w:tcBorders>
              <w:top w:val="nil"/>
              <w:left w:val="nil"/>
              <w:bottom w:val="nil"/>
              <w:right w:val="nil"/>
            </w:tcBorders>
            <w:vAlign w:val="bottom"/>
          </w:tcPr>
          <w:p w14:paraId="74981A81" w14:textId="2E4E57A9" w:rsidR="005C6997" w:rsidRPr="001844D2" w:rsidRDefault="00D011B4" w:rsidP="00914A73">
            <w:pPr>
              <w:pStyle w:val="-4"/>
              <w:spacing w:line="210" w:lineRule="exact"/>
              <w:rPr>
                <w:sz w:val="19"/>
                <w:szCs w:val="19"/>
                <w:rtl/>
              </w:rPr>
            </w:pPr>
            <w:r w:rsidRPr="001844D2">
              <w:rPr>
                <w:sz w:val="19"/>
                <w:szCs w:val="19"/>
                <w:rtl/>
              </w:rPr>
              <w:fldChar w:fldCharType="begin"/>
            </w:r>
            <w:r w:rsidRPr="001844D2">
              <w:rPr>
                <w:sz w:val="19"/>
                <w:szCs w:val="19"/>
                <w:rtl/>
              </w:rPr>
              <w:instrText xml:space="preserve"> </w:instrText>
            </w:r>
            <w:r w:rsidRPr="001844D2">
              <w:rPr>
                <w:rFonts w:hint="cs"/>
                <w:sz w:val="19"/>
                <w:szCs w:val="19"/>
                <w:rtl/>
              </w:rPr>
              <w:instrText xml:space="preserve">= </w:instrText>
            </w:r>
            <w:r w:rsidRPr="001844D2">
              <w:rPr>
                <w:rFonts w:hint="cs"/>
                <w:sz w:val="19"/>
                <w:szCs w:val="19"/>
              </w:rPr>
              <w:instrText>CY</w:instrText>
            </w:r>
            <w:r w:rsidRPr="001844D2">
              <w:rPr>
                <w:sz w:val="19"/>
                <w:szCs w:val="19"/>
              </w:rPr>
              <w:instrText>-1</w:instrText>
            </w:r>
            <w:r w:rsidRPr="001844D2">
              <w:rPr>
                <w:rFonts w:hint="cs"/>
                <w:sz w:val="19"/>
                <w:szCs w:val="19"/>
              </w:rPr>
              <w:instrText xml:space="preserve"> \* MERGEFORMAT</w:instrText>
            </w:r>
            <w:r w:rsidRPr="001844D2">
              <w:rPr>
                <w:sz w:val="19"/>
                <w:szCs w:val="19"/>
                <w:rtl/>
              </w:rPr>
              <w:instrText xml:space="preserve"> </w:instrText>
            </w:r>
            <w:r w:rsidRPr="001844D2">
              <w:rPr>
                <w:sz w:val="19"/>
                <w:szCs w:val="19"/>
                <w:rtl/>
              </w:rPr>
              <w:fldChar w:fldCharType="separate"/>
            </w:r>
            <w:r w:rsidR="003A584F" w:rsidRPr="001844D2">
              <w:rPr>
                <w:noProof/>
                <w:sz w:val="19"/>
                <w:szCs w:val="19"/>
                <w:rtl/>
              </w:rPr>
              <w:t>2023</w:t>
            </w:r>
            <w:r w:rsidRPr="001844D2">
              <w:rPr>
                <w:sz w:val="19"/>
                <w:szCs w:val="19"/>
                <w:rtl/>
              </w:rPr>
              <w:fldChar w:fldCharType="end"/>
            </w:r>
          </w:p>
        </w:tc>
        <w:tc>
          <w:tcPr>
            <w:tcW w:w="864" w:type="dxa"/>
            <w:tcBorders>
              <w:top w:val="nil"/>
              <w:left w:val="nil"/>
              <w:bottom w:val="nil"/>
              <w:right w:val="nil"/>
            </w:tcBorders>
            <w:vAlign w:val="bottom"/>
          </w:tcPr>
          <w:p w14:paraId="0A3DBC94" w14:textId="3B6E2DD8" w:rsidR="005C6997" w:rsidRPr="001844D2" w:rsidRDefault="00D011B4" w:rsidP="00914A73">
            <w:pPr>
              <w:pStyle w:val="-4"/>
              <w:spacing w:line="210" w:lineRule="exact"/>
              <w:rPr>
                <w:sz w:val="19"/>
                <w:szCs w:val="19"/>
                <w:rtl/>
              </w:rPr>
            </w:pPr>
            <w:r w:rsidRPr="001844D2">
              <w:rPr>
                <w:sz w:val="19"/>
                <w:szCs w:val="19"/>
                <w:rtl/>
              </w:rPr>
              <w:fldChar w:fldCharType="begin"/>
            </w:r>
            <w:r w:rsidRPr="001844D2">
              <w:rPr>
                <w:sz w:val="19"/>
                <w:szCs w:val="19"/>
                <w:rtl/>
              </w:rPr>
              <w:instrText xml:space="preserve"> </w:instrText>
            </w:r>
            <w:r w:rsidRPr="001844D2">
              <w:rPr>
                <w:rFonts w:hint="cs"/>
                <w:sz w:val="19"/>
                <w:szCs w:val="19"/>
                <w:rtl/>
              </w:rPr>
              <w:instrText xml:space="preserve">= </w:instrText>
            </w:r>
            <w:r w:rsidRPr="001844D2">
              <w:rPr>
                <w:rFonts w:hint="cs"/>
                <w:sz w:val="19"/>
                <w:szCs w:val="19"/>
              </w:rPr>
              <w:instrText>CY \* MERGEFORMAT</w:instrText>
            </w:r>
            <w:r w:rsidRPr="001844D2">
              <w:rPr>
                <w:sz w:val="19"/>
                <w:szCs w:val="19"/>
                <w:rtl/>
              </w:rPr>
              <w:instrText xml:space="preserve"> </w:instrText>
            </w:r>
            <w:r w:rsidRPr="001844D2">
              <w:rPr>
                <w:sz w:val="19"/>
                <w:szCs w:val="19"/>
                <w:rtl/>
              </w:rPr>
              <w:fldChar w:fldCharType="separate"/>
            </w:r>
            <w:r w:rsidR="003A584F" w:rsidRPr="001844D2">
              <w:rPr>
                <w:noProof/>
                <w:sz w:val="19"/>
                <w:szCs w:val="19"/>
                <w:rtl/>
              </w:rPr>
              <w:t>2024</w:t>
            </w:r>
            <w:r w:rsidRPr="001844D2">
              <w:rPr>
                <w:sz w:val="19"/>
                <w:szCs w:val="19"/>
                <w:rtl/>
              </w:rPr>
              <w:fldChar w:fldCharType="end"/>
            </w:r>
          </w:p>
        </w:tc>
        <w:tc>
          <w:tcPr>
            <w:tcW w:w="832" w:type="dxa"/>
            <w:tcBorders>
              <w:top w:val="nil"/>
              <w:left w:val="nil"/>
              <w:bottom w:val="nil"/>
              <w:right w:val="nil"/>
            </w:tcBorders>
            <w:vAlign w:val="bottom"/>
          </w:tcPr>
          <w:p w14:paraId="7D783B06" w14:textId="421AD1B2" w:rsidR="005C6997" w:rsidRPr="001844D2" w:rsidRDefault="00D011B4" w:rsidP="00914A73">
            <w:pPr>
              <w:pStyle w:val="-4"/>
              <w:spacing w:line="210" w:lineRule="exact"/>
              <w:rPr>
                <w:sz w:val="19"/>
                <w:szCs w:val="19"/>
                <w:rtl/>
              </w:rPr>
            </w:pPr>
            <w:r w:rsidRPr="001844D2">
              <w:rPr>
                <w:sz w:val="19"/>
                <w:szCs w:val="19"/>
                <w:rtl/>
              </w:rPr>
              <w:fldChar w:fldCharType="begin"/>
            </w:r>
            <w:r w:rsidRPr="001844D2">
              <w:rPr>
                <w:sz w:val="19"/>
                <w:szCs w:val="19"/>
                <w:rtl/>
              </w:rPr>
              <w:instrText xml:space="preserve"> </w:instrText>
            </w:r>
            <w:r w:rsidRPr="001844D2">
              <w:rPr>
                <w:rFonts w:hint="cs"/>
                <w:sz w:val="19"/>
                <w:szCs w:val="19"/>
                <w:rtl/>
              </w:rPr>
              <w:instrText xml:space="preserve">= </w:instrText>
            </w:r>
            <w:r w:rsidRPr="001844D2">
              <w:rPr>
                <w:rFonts w:hint="cs"/>
                <w:sz w:val="19"/>
                <w:szCs w:val="19"/>
              </w:rPr>
              <w:instrText>CY</w:instrText>
            </w:r>
            <w:r w:rsidR="0062266D" w:rsidRPr="001844D2">
              <w:rPr>
                <w:sz w:val="19"/>
                <w:szCs w:val="19"/>
              </w:rPr>
              <w:instrText>-1</w:instrText>
            </w:r>
            <w:r w:rsidRPr="001844D2">
              <w:rPr>
                <w:rFonts w:hint="cs"/>
                <w:sz w:val="19"/>
                <w:szCs w:val="19"/>
              </w:rPr>
              <w:instrText xml:space="preserve"> \* MERGEFORMAT</w:instrText>
            </w:r>
            <w:r w:rsidRPr="001844D2">
              <w:rPr>
                <w:sz w:val="19"/>
                <w:szCs w:val="19"/>
                <w:rtl/>
              </w:rPr>
              <w:instrText xml:space="preserve"> </w:instrText>
            </w:r>
            <w:r w:rsidRPr="001844D2">
              <w:rPr>
                <w:sz w:val="19"/>
                <w:szCs w:val="19"/>
                <w:rtl/>
              </w:rPr>
              <w:fldChar w:fldCharType="separate"/>
            </w:r>
            <w:r w:rsidR="003A584F" w:rsidRPr="001844D2">
              <w:rPr>
                <w:noProof/>
                <w:sz w:val="19"/>
                <w:szCs w:val="19"/>
                <w:rtl/>
              </w:rPr>
              <w:t>2023</w:t>
            </w:r>
            <w:r w:rsidRPr="001844D2">
              <w:rPr>
                <w:sz w:val="19"/>
                <w:szCs w:val="19"/>
                <w:rtl/>
              </w:rPr>
              <w:fldChar w:fldCharType="end"/>
            </w:r>
          </w:p>
        </w:tc>
        <w:tc>
          <w:tcPr>
            <w:tcW w:w="1206" w:type="dxa"/>
            <w:tcBorders>
              <w:top w:val="nil"/>
              <w:left w:val="nil"/>
              <w:bottom w:val="nil"/>
              <w:right w:val="nil"/>
            </w:tcBorders>
            <w:vAlign w:val="bottom"/>
          </w:tcPr>
          <w:p w14:paraId="087D5D67" w14:textId="75EF2DBC" w:rsidR="005C6997" w:rsidRPr="001844D2" w:rsidRDefault="0062266D" w:rsidP="00914A73">
            <w:pPr>
              <w:pStyle w:val="-4"/>
              <w:spacing w:line="210" w:lineRule="exact"/>
              <w:rPr>
                <w:sz w:val="19"/>
                <w:szCs w:val="19"/>
                <w:rtl/>
              </w:rPr>
            </w:pPr>
            <w:r w:rsidRPr="001844D2">
              <w:rPr>
                <w:sz w:val="19"/>
                <w:szCs w:val="19"/>
                <w:rtl/>
              </w:rPr>
              <w:fldChar w:fldCharType="begin"/>
            </w:r>
            <w:r w:rsidRPr="001844D2">
              <w:rPr>
                <w:sz w:val="19"/>
                <w:szCs w:val="19"/>
                <w:rtl/>
              </w:rPr>
              <w:instrText xml:space="preserve"> </w:instrText>
            </w:r>
            <w:r w:rsidRPr="001844D2">
              <w:rPr>
                <w:rFonts w:hint="cs"/>
                <w:sz w:val="19"/>
                <w:szCs w:val="19"/>
                <w:rtl/>
              </w:rPr>
              <w:instrText xml:space="preserve">= </w:instrText>
            </w:r>
            <w:r w:rsidRPr="001844D2">
              <w:rPr>
                <w:rFonts w:hint="cs"/>
                <w:sz w:val="19"/>
                <w:szCs w:val="19"/>
              </w:rPr>
              <w:instrText>CY</w:instrText>
            </w:r>
            <w:r w:rsidRPr="001844D2">
              <w:rPr>
                <w:sz w:val="19"/>
                <w:szCs w:val="19"/>
              </w:rPr>
              <w:instrText>-1</w:instrText>
            </w:r>
            <w:r w:rsidRPr="001844D2">
              <w:rPr>
                <w:rFonts w:hint="cs"/>
                <w:sz w:val="19"/>
                <w:szCs w:val="19"/>
              </w:rPr>
              <w:instrText xml:space="preserve"> \* MERGEFORMAT</w:instrText>
            </w:r>
            <w:r w:rsidRPr="001844D2">
              <w:rPr>
                <w:sz w:val="19"/>
                <w:szCs w:val="19"/>
                <w:rtl/>
              </w:rPr>
              <w:instrText xml:space="preserve"> </w:instrText>
            </w:r>
            <w:r w:rsidRPr="001844D2">
              <w:rPr>
                <w:sz w:val="19"/>
                <w:szCs w:val="19"/>
                <w:rtl/>
              </w:rPr>
              <w:fldChar w:fldCharType="separate"/>
            </w:r>
            <w:r w:rsidR="003A584F" w:rsidRPr="001844D2">
              <w:rPr>
                <w:noProof/>
                <w:sz w:val="19"/>
                <w:szCs w:val="19"/>
                <w:rtl/>
              </w:rPr>
              <w:t>2023</w:t>
            </w:r>
            <w:r w:rsidRPr="001844D2">
              <w:rPr>
                <w:sz w:val="19"/>
                <w:szCs w:val="19"/>
                <w:rtl/>
              </w:rPr>
              <w:fldChar w:fldCharType="end"/>
            </w:r>
          </w:p>
        </w:tc>
      </w:tr>
      <w:tr w:rsidR="005C6997" w:rsidRPr="00914DF0" w14:paraId="56F34D03" w14:textId="77777777" w:rsidTr="001844D2">
        <w:tc>
          <w:tcPr>
            <w:tcW w:w="1077" w:type="dxa"/>
            <w:tcBorders>
              <w:top w:val="nil"/>
              <w:left w:val="nil"/>
              <w:bottom w:val="nil"/>
              <w:right w:val="nil"/>
            </w:tcBorders>
          </w:tcPr>
          <w:p w14:paraId="3DD7F2DD" w14:textId="77777777" w:rsidR="005C6997" w:rsidRPr="008B25A5" w:rsidRDefault="005C6997" w:rsidP="005C6997">
            <w:pPr>
              <w:pStyle w:val="-0"/>
              <w:spacing w:line="210" w:lineRule="exact"/>
              <w:rPr>
                <w:sz w:val="14"/>
                <w:szCs w:val="14"/>
                <w:rtl/>
              </w:rPr>
            </w:pPr>
          </w:p>
        </w:tc>
        <w:tc>
          <w:tcPr>
            <w:tcW w:w="4195" w:type="dxa"/>
            <w:tcBorders>
              <w:top w:val="nil"/>
              <w:left w:val="nil"/>
              <w:bottom w:val="nil"/>
              <w:right w:val="nil"/>
            </w:tcBorders>
            <w:vAlign w:val="bottom"/>
          </w:tcPr>
          <w:p w14:paraId="208CCFFE" w14:textId="77777777" w:rsidR="005C6997" w:rsidRPr="001844D2" w:rsidRDefault="005C6997" w:rsidP="005C6997">
            <w:pPr>
              <w:pStyle w:val="-0"/>
              <w:spacing w:line="210" w:lineRule="exact"/>
              <w:rPr>
                <w:sz w:val="19"/>
                <w:szCs w:val="19"/>
                <w:rtl/>
              </w:rPr>
            </w:pPr>
          </w:p>
        </w:tc>
        <w:tc>
          <w:tcPr>
            <w:tcW w:w="601" w:type="dxa"/>
            <w:tcBorders>
              <w:top w:val="nil"/>
              <w:left w:val="nil"/>
              <w:bottom w:val="nil"/>
              <w:right w:val="nil"/>
            </w:tcBorders>
            <w:vAlign w:val="bottom"/>
          </w:tcPr>
          <w:p w14:paraId="55141698" w14:textId="77777777" w:rsidR="005C6997" w:rsidRPr="00E326B3" w:rsidRDefault="005C6997" w:rsidP="005C6997">
            <w:pPr>
              <w:pStyle w:val="-5"/>
              <w:spacing w:line="210" w:lineRule="exact"/>
              <w:jc w:val="center"/>
              <w:rPr>
                <w:sz w:val="17"/>
                <w:szCs w:val="17"/>
                <w:rtl/>
              </w:rPr>
            </w:pPr>
            <w:r w:rsidRPr="00E326B3">
              <w:rPr>
                <w:rFonts w:hint="eastAsia"/>
                <w:sz w:val="17"/>
                <w:szCs w:val="17"/>
                <w:rtl/>
              </w:rPr>
              <w:t>ביאור</w:t>
            </w:r>
          </w:p>
        </w:tc>
        <w:tc>
          <w:tcPr>
            <w:tcW w:w="1714" w:type="dxa"/>
            <w:gridSpan w:val="2"/>
            <w:tcBorders>
              <w:top w:val="nil"/>
              <w:left w:val="nil"/>
              <w:bottom w:val="nil"/>
              <w:right w:val="nil"/>
            </w:tcBorders>
            <w:vAlign w:val="bottom"/>
          </w:tcPr>
          <w:p w14:paraId="7EB39E74" w14:textId="77777777" w:rsidR="005C6997" w:rsidRPr="001844D2" w:rsidRDefault="005C6997" w:rsidP="005C6997">
            <w:pPr>
              <w:pStyle w:val="-4"/>
              <w:spacing w:line="210" w:lineRule="exact"/>
              <w:rPr>
                <w:sz w:val="19"/>
                <w:szCs w:val="19"/>
                <w:rtl/>
              </w:rPr>
            </w:pPr>
            <w:r w:rsidRPr="001844D2">
              <w:rPr>
                <w:rFonts w:hint="cs"/>
                <w:sz w:val="19"/>
                <w:szCs w:val="19"/>
                <w:rtl/>
              </w:rPr>
              <w:t>בלתי מבוקר</w:t>
            </w:r>
          </w:p>
        </w:tc>
        <w:tc>
          <w:tcPr>
            <w:tcW w:w="1696" w:type="dxa"/>
            <w:gridSpan w:val="2"/>
            <w:tcBorders>
              <w:top w:val="nil"/>
              <w:left w:val="nil"/>
              <w:bottom w:val="nil"/>
              <w:right w:val="nil"/>
            </w:tcBorders>
            <w:vAlign w:val="bottom"/>
          </w:tcPr>
          <w:p w14:paraId="4BD2D528" w14:textId="77777777" w:rsidR="005C6997" w:rsidRPr="001844D2" w:rsidRDefault="005C6997" w:rsidP="005C6997">
            <w:pPr>
              <w:pStyle w:val="-4"/>
              <w:spacing w:line="210" w:lineRule="exact"/>
              <w:rPr>
                <w:sz w:val="19"/>
                <w:szCs w:val="19"/>
                <w:rtl/>
              </w:rPr>
            </w:pPr>
            <w:r w:rsidRPr="001844D2">
              <w:rPr>
                <w:rFonts w:hint="cs"/>
                <w:sz w:val="19"/>
                <w:szCs w:val="19"/>
                <w:rtl/>
              </w:rPr>
              <w:t>בלתי מבוקר</w:t>
            </w:r>
          </w:p>
        </w:tc>
        <w:tc>
          <w:tcPr>
            <w:tcW w:w="1206" w:type="dxa"/>
            <w:tcBorders>
              <w:top w:val="nil"/>
              <w:left w:val="nil"/>
              <w:bottom w:val="nil"/>
              <w:right w:val="nil"/>
            </w:tcBorders>
            <w:vAlign w:val="bottom"/>
          </w:tcPr>
          <w:p w14:paraId="724833AC" w14:textId="77777777" w:rsidR="005C6997" w:rsidRPr="001844D2" w:rsidRDefault="005C6997" w:rsidP="005C6997">
            <w:pPr>
              <w:pStyle w:val="-4"/>
              <w:spacing w:line="210" w:lineRule="exact"/>
              <w:rPr>
                <w:sz w:val="19"/>
                <w:szCs w:val="19"/>
                <w:rtl/>
              </w:rPr>
            </w:pPr>
            <w:r w:rsidRPr="001844D2">
              <w:rPr>
                <w:rFonts w:hint="cs"/>
                <w:sz w:val="19"/>
                <w:szCs w:val="19"/>
                <w:rtl/>
              </w:rPr>
              <w:t>מבוקר</w:t>
            </w:r>
          </w:p>
        </w:tc>
      </w:tr>
      <w:tr w:rsidR="005C6997" w:rsidRPr="00914DF0" w14:paraId="27350F7D" w14:textId="77777777" w:rsidTr="001844D2">
        <w:tc>
          <w:tcPr>
            <w:tcW w:w="1077" w:type="dxa"/>
            <w:tcBorders>
              <w:top w:val="nil"/>
              <w:left w:val="nil"/>
              <w:bottom w:val="nil"/>
              <w:right w:val="nil"/>
            </w:tcBorders>
          </w:tcPr>
          <w:p w14:paraId="5095AFFE" w14:textId="73C733E2" w:rsidR="00F32A2A" w:rsidRPr="00165A65" w:rsidRDefault="00F32A2A" w:rsidP="006D3257">
            <w:pPr>
              <w:pStyle w:val="-0"/>
              <w:spacing w:before="20" w:line="240" w:lineRule="exact"/>
              <w:rPr>
                <w:sz w:val="14"/>
                <w:szCs w:val="14"/>
                <w:rtl/>
              </w:rPr>
            </w:pPr>
          </w:p>
        </w:tc>
        <w:tc>
          <w:tcPr>
            <w:tcW w:w="4195" w:type="dxa"/>
            <w:tcBorders>
              <w:top w:val="nil"/>
              <w:left w:val="nil"/>
              <w:bottom w:val="nil"/>
              <w:right w:val="nil"/>
            </w:tcBorders>
            <w:vAlign w:val="bottom"/>
          </w:tcPr>
          <w:p w14:paraId="198D93D2" w14:textId="77777777" w:rsidR="00F32A2A" w:rsidRPr="001844D2" w:rsidRDefault="005C6997" w:rsidP="006D3257">
            <w:pPr>
              <w:pStyle w:val="-0"/>
              <w:spacing w:before="20" w:line="240" w:lineRule="exact"/>
              <w:rPr>
                <w:sz w:val="19"/>
                <w:szCs w:val="19"/>
                <w:rtl/>
              </w:rPr>
            </w:pPr>
            <w:r w:rsidRPr="001844D2">
              <w:rPr>
                <w:rFonts w:hint="cs"/>
                <w:sz w:val="19"/>
                <w:szCs w:val="19"/>
                <w:rtl/>
              </w:rPr>
              <w:t>הכנסות ריבית</w:t>
            </w:r>
            <w:r w:rsidR="00BE2ED6" w:rsidRPr="001844D2">
              <w:rPr>
                <w:rFonts w:hint="cs"/>
                <w:sz w:val="19"/>
                <w:szCs w:val="19"/>
                <w:vertAlign w:val="superscript"/>
                <w:rtl/>
              </w:rPr>
              <w:t>[</w:t>
            </w:r>
            <w:r w:rsidR="00BE2ED6" w:rsidRPr="001844D2">
              <w:rPr>
                <w:rStyle w:val="a7"/>
                <w:sz w:val="19"/>
                <w:szCs w:val="19"/>
                <w:rtl/>
              </w:rPr>
              <w:footnoteReference w:id="2"/>
            </w:r>
            <w:r w:rsidR="00BE2ED6" w:rsidRPr="001844D2">
              <w:rPr>
                <w:rFonts w:hint="cs"/>
                <w:sz w:val="19"/>
                <w:szCs w:val="19"/>
                <w:vertAlign w:val="superscript"/>
                <w:rtl/>
              </w:rPr>
              <w:t>]</w:t>
            </w:r>
            <w:r w:rsidR="004B2419" w:rsidRPr="001844D2">
              <w:rPr>
                <w:rFonts w:hint="cs"/>
                <w:sz w:val="19"/>
                <w:szCs w:val="19"/>
                <w:vertAlign w:val="superscript"/>
                <w:rtl/>
              </w:rPr>
              <w:t xml:space="preserve">  </w:t>
            </w:r>
          </w:p>
        </w:tc>
        <w:tc>
          <w:tcPr>
            <w:tcW w:w="601" w:type="dxa"/>
            <w:tcBorders>
              <w:top w:val="nil"/>
              <w:left w:val="nil"/>
              <w:bottom w:val="nil"/>
              <w:right w:val="nil"/>
            </w:tcBorders>
            <w:vAlign w:val="bottom"/>
          </w:tcPr>
          <w:p w14:paraId="676C8C05" w14:textId="77777777" w:rsidR="00F32A2A" w:rsidRPr="00E326B3" w:rsidRDefault="005C6997">
            <w:pPr>
              <w:pStyle w:val="-0"/>
              <w:spacing w:before="20" w:line="240" w:lineRule="exact"/>
              <w:ind w:left="0" w:firstLine="0"/>
              <w:jc w:val="center"/>
              <w:rPr>
                <w:sz w:val="17"/>
                <w:szCs w:val="17"/>
                <w:rtl/>
              </w:rPr>
            </w:pPr>
            <w:r w:rsidRPr="00E326B3">
              <w:rPr>
                <w:rFonts w:hint="cs"/>
                <w:sz w:val="17"/>
                <w:szCs w:val="17"/>
                <w:rtl/>
              </w:rPr>
              <w:t>2</w:t>
            </w:r>
          </w:p>
        </w:tc>
        <w:tc>
          <w:tcPr>
            <w:tcW w:w="823" w:type="dxa"/>
            <w:tcBorders>
              <w:top w:val="nil"/>
              <w:left w:val="nil"/>
              <w:bottom w:val="nil"/>
              <w:right w:val="nil"/>
            </w:tcBorders>
            <w:vAlign w:val="bottom"/>
          </w:tcPr>
          <w:p w14:paraId="4A448684" w14:textId="77777777" w:rsidR="00F32A2A" w:rsidRPr="001844D2" w:rsidRDefault="005C6997">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41E9429B" w14:textId="77777777" w:rsidR="00F32A2A" w:rsidRPr="001844D2" w:rsidRDefault="005C6997">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64" w:type="dxa"/>
            <w:tcBorders>
              <w:top w:val="nil"/>
              <w:left w:val="nil"/>
              <w:bottom w:val="nil"/>
              <w:right w:val="nil"/>
            </w:tcBorders>
            <w:vAlign w:val="bottom"/>
          </w:tcPr>
          <w:p w14:paraId="2CAD072E" w14:textId="77777777" w:rsidR="00F32A2A" w:rsidRPr="001844D2" w:rsidRDefault="005C6997">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32" w:type="dxa"/>
            <w:tcBorders>
              <w:top w:val="nil"/>
              <w:left w:val="nil"/>
              <w:bottom w:val="nil"/>
              <w:right w:val="nil"/>
            </w:tcBorders>
            <w:vAlign w:val="bottom"/>
          </w:tcPr>
          <w:p w14:paraId="04F94582" w14:textId="77777777" w:rsidR="00F32A2A" w:rsidRPr="001844D2" w:rsidRDefault="005C6997">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69EC3EE0" w14:textId="77777777" w:rsidR="00F32A2A" w:rsidRPr="001844D2" w:rsidRDefault="005C6997">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r>
      <w:tr w:rsidR="005C6997" w:rsidRPr="00914DF0" w14:paraId="5EAC7498" w14:textId="77777777" w:rsidTr="001844D2">
        <w:tc>
          <w:tcPr>
            <w:tcW w:w="1077" w:type="dxa"/>
            <w:tcBorders>
              <w:top w:val="nil"/>
              <w:left w:val="nil"/>
              <w:bottom w:val="nil"/>
              <w:right w:val="nil"/>
            </w:tcBorders>
          </w:tcPr>
          <w:p w14:paraId="399FE868" w14:textId="3C1E587E" w:rsidR="00F32A2A" w:rsidRPr="00165A65" w:rsidRDefault="00F32A2A" w:rsidP="006D3257">
            <w:pPr>
              <w:pStyle w:val="-0"/>
              <w:spacing w:before="20" w:line="240" w:lineRule="exact"/>
              <w:rPr>
                <w:sz w:val="14"/>
                <w:szCs w:val="14"/>
                <w:rtl/>
              </w:rPr>
            </w:pPr>
          </w:p>
        </w:tc>
        <w:tc>
          <w:tcPr>
            <w:tcW w:w="4195" w:type="dxa"/>
            <w:tcBorders>
              <w:top w:val="nil"/>
              <w:left w:val="nil"/>
              <w:bottom w:val="nil"/>
              <w:right w:val="nil"/>
            </w:tcBorders>
            <w:vAlign w:val="bottom"/>
          </w:tcPr>
          <w:p w14:paraId="46A3A7E3" w14:textId="77777777" w:rsidR="00F32A2A" w:rsidRPr="001844D2" w:rsidRDefault="005C6997" w:rsidP="004F5D9C">
            <w:pPr>
              <w:pStyle w:val="-0"/>
              <w:spacing w:before="20" w:line="240" w:lineRule="exact"/>
              <w:rPr>
                <w:sz w:val="19"/>
                <w:szCs w:val="19"/>
                <w:rtl/>
              </w:rPr>
            </w:pPr>
            <w:r w:rsidRPr="001844D2">
              <w:rPr>
                <w:rFonts w:hint="cs"/>
                <w:sz w:val="19"/>
                <w:szCs w:val="19"/>
                <w:rtl/>
              </w:rPr>
              <w:t>הוצאות ריבית</w:t>
            </w:r>
            <w:r w:rsidR="00BE2ED6" w:rsidRPr="001844D2">
              <w:rPr>
                <w:rFonts w:hint="cs"/>
                <w:sz w:val="19"/>
                <w:szCs w:val="19"/>
                <w:vertAlign w:val="superscript"/>
                <w:rtl/>
              </w:rPr>
              <w:t>[1]</w:t>
            </w:r>
          </w:p>
        </w:tc>
        <w:tc>
          <w:tcPr>
            <w:tcW w:w="601" w:type="dxa"/>
            <w:tcBorders>
              <w:top w:val="nil"/>
              <w:left w:val="nil"/>
              <w:bottom w:val="nil"/>
              <w:right w:val="nil"/>
            </w:tcBorders>
            <w:vAlign w:val="bottom"/>
          </w:tcPr>
          <w:p w14:paraId="0F6C7B98" w14:textId="77777777" w:rsidR="00F32A2A" w:rsidRPr="00E326B3" w:rsidRDefault="005C6997">
            <w:pPr>
              <w:pStyle w:val="-0"/>
              <w:spacing w:before="20" w:line="240" w:lineRule="exact"/>
              <w:ind w:left="0" w:firstLine="0"/>
              <w:jc w:val="center"/>
              <w:rPr>
                <w:sz w:val="17"/>
                <w:szCs w:val="17"/>
                <w:rtl/>
              </w:rPr>
            </w:pPr>
            <w:r w:rsidRPr="00E326B3">
              <w:rPr>
                <w:rFonts w:hint="cs"/>
                <w:sz w:val="17"/>
                <w:szCs w:val="17"/>
                <w:rtl/>
              </w:rPr>
              <w:t>2</w:t>
            </w:r>
          </w:p>
        </w:tc>
        <w:tc>
          <w:tcPr>
            <w:tcW w:w="823" w:type="dxa"/>
            <w:tcBorders>
              <w:top w:val="nil"/>
              <w:left w:val="nil"/>
              <w:bottom w:val="nil"/>
              <w:right w:val="nil"/>
            </w:tcBorders>
            <w:vAlign w:val="bottom"/>
          </w:tcPr>
          <w:p w14:paraId="4FCE3EAC" w14:textId="77777777" w:rsidR="00F32A2A" w:rsidRPr="001844D2" w:rsidRDefault="005C6997">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36473F20" w14:textId="77777777" w:rsidR="00F32A2A" w:rsidRPr="001844D2" w:rsidRDefault="005C6997">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64" w:type="dxa"/>
            <w:tcBorders>
              <w:top w:val="nil"/>
              <w:left w:val="nil"/>
              <w:bottom w:val="nil"/>
              <w:right w:val="nil"/>
            </w:tcBorders>
            <w:vAlign w:val="bottom"/>
          </w:tcPr>
          <w:p w14:paraId="664D8504" w14:textId="77777777" w:rsidR="00F32A2A" w:rsidRPr="001844D2" w:rsidRDefault="005C6997">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32" w:type="dxa"/>
            <w:tcBorders>
              <w:top w:val="nil"/>
              <w:left w:val="nil"/>
              <w:bottom w:val="nil"/>
              <w:right w:val="nil"/>
            </w:tcBorders>
            <w:vAlign w:val="bottom"/>
          </w:tcPr>
          <w:p w14:paraId="46F4D4DA" w14:textId="77777777" w:rsidR="00F32A2A" w:rsidRPr="001844D2" w:rsidRDefault="005C6997">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39968656" w14:textId="77777777" w:rsidR="00F32A2A" w:rsidRPr="001844D2" w:rsidRDefault="005C6997">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r>
      <w:tr w:rsidR="005C6997" w:rsidRPr="00914DF0" w14:paraId="779369B1" w14:textId="77777777" w:rsidTr="001844D2">
        <w:tc>
          <w:tcPr>
            <w:tcW w:w="1077" w:type="dxa"/>
            <w:tcBorders>
              <w:top w:val="nil"/>
              <w:left w:val="nil"/>
              <w:bottom w:val="nil"/>
              <w:right w:val="nil"/>
            </w:tcBorders>
          </w:tcPr>
          <w:p w14:paraId="1901E5E1" w14:textId="77777777" w:rsidR="00F32A2A" w:rsidRDefault="00F32A2A">
            <w:pPr>
              <w:pStyle w:val="-0"/>
              <w:spacing w:before="20" w:line="240" w:lineRule="exact"/>
              <w:rPr>
                <w:sz w:val="14"/>
                <w:szCs w:val="14"/>
                <w:rtl/>
              </w:rPr>
            </w:pPr>
          </w:p>
        </w:tc>
        <w:tc>
          <w:tcPr>
            <w:tcW w:w="4195" w:type="dxa"/>
            <w:tcBorders>
              <w:top w:val="nil"/>
              <w:left w:val="nil"/>
              <w:bottom w:val="nil"/>
              <w:right w:val="nil"/>
            </w:tcBorders>
            <w:vAlign w:val="bottom"/>
          </w:tcPr>
          <w:p w14:paraId="78DCA979" w14:textId="77777777" w:rsidR="00F32A2A" w:rsidRPr="001844D2" w:rsidRDefault="005C6997" w:rsidP="00A70AF4">
            <w:pPr>
              <w:pStyle w:val="-b"/>
              <w:spacing w:before="20" w:line="240" w:lineRule="exact"/>
              <w:rPr>
                <w:sz w:val="19"/>
                <w:szCs w:val="19"/>
                <w:rtl/>
              </w:rPr>
            </w:pPr>
            <w:r w:rsidRPr="001844D2">
              <w:rPr>
                <w:rFonts w:hint="cs"/>
                <w:sz w:val="19"/>
                <w:szCs w:val="19"/>
                <w:rtl/>
              </w:rPr>
              <w:t>הכנסות ריבית, נטו</w:t>
            </w:r>
          </w:p>
        </w:tc>
        <w:tc>
          <w:tcPr>
            <w:tcW w:w="601" w:type="dxa"/>
            <w:tcBorders>
              <w:top w:val="nil"/>
              <w:left w:val="nil"/>
              <w:bottom w:val="nil"/>
              <w:right w:val="nil"/>
            </w:tcBorders>
            <w:vAlign w:val="bottom"/>
          </w:tcPr>
          <w:p w14:paraId="445E84C3" w14:textId="77777777" w:rsidR="00F32A2A" w:rsidRPr="00E326B3" w:rsidRDefault="005C6997">
            <w:pPr>
              <w:pStyle w:val="-0"/>
              <w:spacing w:before="20" w:line="240" w:lineRule="exact"/>
              <w:ind w:left="0" w:firstLine="0"/>
              <w:jc w:val="center"/>
              <w:rPr>
                <w:sz w:val="17"/>
                <w:szCs w:val="17"/>
                <w:rtl/>
              </w:rPr>
            </w:pPr>
            <w:r w:rsidRPr="00E326B3">
              <w:rPr>
                <w:rFonts w:hint="cs"/>
                <w:sz w:val="17"/>
                <w:szCs w:val="17"/>
                <w:rtl/>
              </w:rPr>
              <w:t>2</w:t>
            </w:r>
          </w:p>
        </w:tc>
        <w:tc>
          <w:tcPr>
            <w:tcW w:w="823" w:type="dxa"/>
            <w:tcBorders>
              <w:top w:val="nil"/>
              <w:left w:val="nil"/>
              <w:bottom w:val="nil"/>
              <w:right w:val="nil"/>
            </w:tcBorders>
            <w:vAlign w:val="bottom"/>
          </w:tcPr>
          <w:p w14:paraId="791805C7" w14:textId="77777777" w:rsidR="00F32A2A" w:rsidRPr="001844D2" w:rsidRDefault="005C6997">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29A29470" w14:textId="77777777" w:rsidR="00F32A2A" w:rsidRPr="001844D2" w:rsidRDefault="005C6997">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64" w:type="dxa"/>
            <w:tcBorders>
              <w:top w:val="nil"/>
              <w:left w:val="nil"/>
              <w:bottom w:val="nil"/>
              <w:right w:val="nil"/>
            </w:tcBorders>
            <w:vAlign w:val="bottom"/>
          </w:tcPr>
          <w:p w14:paraId="5D254AF4" w14:textId="77777777" w:rsidR="00F32A2A" w:rsidRPr="001844D2" w:rsidRDefault="005C6997">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32" w:type="dxa"/>
            <w:tcBorders>
              <w:top w:val="nil"/>
              <w:left w:val="nil"/>
              <w:bottom w:val="nil"/>
              <w:right w:val="nil"/>
            </w:tcBorders>
            <w:vAlign w:val="bottom"/>
          </w:tcPr>
          <w:p w14:paraId="7AB94A4E" w14:textId="77777777" w:rsidR="00F32A2A" w:rsidRPr="001844D2" w:rsidRDefault="005C6997">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3164801B" w14:textId="77777777" w:rsidR="00F32A2A" w:rsidRPr="001844D2" w:rsidRDefault="005C6997">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r>
      <w:tr w:rsidR="005C6997" w:rsidRPr="00914DF0" w14:paraId="3185688F" w14:textId="77777777" w:rsidTr="001844D2">
        <w:tc>
          <w:tcPr>
            <w:tcW w:w="1077" w:type="dxa"/>
            <w:tcBorders>
              <w:top w:val="nil"/>
              <w:left w:val="nil"/>
              <w:bottom w:val="nil"/>
              <w:right w:val="nil"/>
            </w:tcBorders>
          </w:tcPr>
          <w:p w14:paraId="6D4A9BFE" w14:textId="77777777" w:rsidR="00F32A2A" w:rsidRDefault="00F32A2A">
            <w:pPr>
              <w:pStyle w:val="-0"/>
              <w:spacing w:before="20" w:line="240" w:lineRule="exact"/>
              <w:rPr>
                <w:sz w:val="14"/>
                <w:szCs w:val="14"/>
                <w:rtl/>
              </w:rPr>
            </w:pPr>
          </w:p>
        </w:tc>
        <w:tc>
          <w:tcPr>
            <w:tcW w:w="4195" w:type="dxa"/>
            <w:tcBorders>
              <w:top w:val="nil"/>
              <w:left w:val="nil"/>
              <w:bottom w:val="nil"/>
              <w:right w:val="nil"/>
            </w:tcBorders>
            <w:vAlign w:val="bottom"/>
          </w:tcPr>
          <w:p w14:paraId="624F404E" w14:textId="77777777" w:rsidR="00F32A2A" w:rsidRPr="001844D2" w:rsidRDefault="005C6997">
            <w:pPr>
              <w:pStyle w:val="-0"/>
              <w:spacing w:before="20" w:line="240" w:lineRule="exact"/>
              <w:rPr>
                <w:sz w:val="19"/>
                <w:szCs w:val="19"/>
                <w:rtl/>
              </w:rPr>
            </w:pPr>
            <w:r w:rsidRPr="001844D2">
              <w:rPr>
                <w:sz w:val="19"/>
                <w:szCs w:val="19"/>
                <w:rtl/>
              </w:rPr>
              <w:t>הוצאות בגין הפסדי אשראי</w:t>
            </w:r>
          </w:p>
        </w:tc>
        <w:tc>
          <w:tcPr>
            <w:tcW w:w="601" w:type="dxa"/>
            <w:tcBorders>
              <w:top w:val="nil"/>
              <w:left w:val="nil"/>
              <w:bottom w:val="nil"/>
              <w:right w:val="nil"/>
            </w:tcBorders>
            <w:vAlign w:val="bottom"/>
          </w:tcPr>
          <w:p w14:paraId="1562D2DF" w14:textId="77777777" w:rsidR="00F32A2A" w:rsidRPr="00E326B3" w:rsidRDefault="005C6997" w:rsidP="00DC5B2E">
            <w:pPr>
              <w:pStyle w:val="-0"/>
              <w:spacing w:before="20" w:line="240" w:lineRule="exact"/>
              <w:ind w:left="0" w:firstLine="0"/>
              <w:jc w:val="center"/>
              <w:rPr>
                <w:sz w:val="17"/>
                <w:szCs w:val="17"/>
                <w:rtl/>
              </w:rPr>
            </w:pPr>
            <w:r w:rsidRPr="00E326B3">
              <w:rPr>
                <w:rFonts w:hint="cs"/>
                <w:sz w:val="17"/>
                <w:szCs w:val="17"/>
                <w:rtl/>
              </w:rPr>
              <w:t>6,</w:t>
            </w:r>
            <w:r w:rsidR="00CB5C3F" w:rsidRPr="00E326B3">
              <w:rPr>
                <w:rFonts w:hint="cs"/>
                <w:sz w:val="17"/>
                <w:szCs w:val="17"/>
                <w:rtl/>
              </w:rPr>
              <w:t>1</w:t>
            </w:r>
            <w:r w:rsidR="00DC5B2E" w:rsidRPr="00E326B3">
              <w:rPr>
                <w:rFonts w:hint="cs"/>
                <w:sz w:val="17"/>
                <w:szCs w:val="17"/>
                <w:rtl/>
              </w:rPr>
              <w:t>2</w:t>
            </w:r>
          </w:p>
        </w:tc>
        <w:tc>
          <w:tcPr>
            <w:tcW w:w="823" w:type="dxa"/>
            <w:tcBorders>
              <w:top w:val="nil"/>
              <w:left w:val="nil"/>
              <w:bottom w:val="nil"/>
              <w:right w:val="nil"/>
            </w:tcBorders>
            <w:vAlign w:val="bottom"/>
          </w:tcPr>
          <w:p w14:paraId="0B406305" w14:textId="77777777" w:rsidR="00F32A2A" w:rsidRPr="001844D2" w:rsidRDefault="005C6997">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40237E86" w14:textId="77777777" w:rsidR="00F32A2A" w:rsidRPr="001844D2" w:rsidRDefault="005C6997">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64" w:type="dxa"/>
            <w:tcBorders>
              <w:top w:val="nil"/>
              <w:left w:val="nil"/>
              <w:bottom w:val="nil"/>
              <w:right w:val="nil"/>
            </w:tcBorders>
            <w:vAlign w:val="bottom"/>
          </w:tcPr>
          <w:p w14:paraId="2CB9AE00" w14:textId="77777777" w:rsidR="00F32A2A" w:rsidRPr="001844D2" w:rsidRDefault="005C6997">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32" w:type="dxa"/>
            <w:tcBorders>
              <w:top w:val="nil"/>
              <w:left w:val="nil"/>
              <w:bottom w:val="nil"/>
              <w:right w:val="nil"/>
            </w:tcBorders>
            <w:vAlign w:val="bottom"/>
          </w:tcPr>
          <w:p w14:paraId="6A550F3D" w14:textId="77777777" w:rsidR="00F32A2A" w:rsidRPr="001844D2" w:rsidRDefault="005C6997">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5C367DCF" w14:textId="77777777" w:rsidR="00F32A2A" w:rsidRPr="001844D2" w:rsidRDefault="005C6997">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r>
      <w:tr w:rsidR="005C6997" w:rsidRPr="00914DF0" w14:paraId="16695E2C" w14:textId="77777777" w:rsidTr="001844D2">
        <w:tc>
          <w:tcPr>
            <w:tcW w:w="1077" w:type="dxa"/>
            <w:tcBorders>
              <w:top w:val="nil"/>
              <w:left w:val="nil"/>
              <w:bottom w:val="nil"/>
              <w:right w:val="nil"/>
            </w:tcBorders>
          </w:tcPr>
          <w:p w14:paraId="6609012D" w14:textId="77777777" w:rsidR="00F32A2A" w:rsidRDefault="00F32A2A">
            <w:pPr>
              <w:pStyle w:val="-b"/>
              <w:spacing w:before="20" w:line="240" w:lineRule="exact"/>
              <w:ind w:right="-144"/>
              <w:rPr>
                <w:spacing w:val="-4"/>
                <w:sz w:val="14"/>
                <w:szCs w:val="14"/>
                <w:rtl/>
              </w:rPr>
            </w:pPr>
          </w:p>
        </w:tc>
        <w:tc>
          <w:tcPr>
            <w:tcW w:w="4195" w:type="dxa"/>
            <w:tcBorders>
              <w:top w:val="nil"/>
              <w:left w:val="nil"/>
              <w:bottom w:val="nil"/>
              <w:right w:val="nil"/>
            </w:tcBorders>
            <w:vAlign w:val="bottom"/>
          </w:tcPr>
          <w:p w14:paraId="027F0347" w14:textId="1D7B70A1" w:rsidR="00F32A2A" w:rsidRPr="001844D2" w:rsidRDefault="005C6997" w:rsidP="00BA6CC5">
            <w:pPr>
              <w:pStyle w:val="-21"/>
              <w:spacing w:before="20"/>
              <w:ind w:left="142" w:hanging="142"/>
              <w:rPr>
                <w:b/>
                <w:bCs/>
                <w:sz w:val="19"/>
                <w:szCs w:val="19"/>
                <w:rtl/>
              </w:rPr>
            </w:pPr>
            <w:r w:rsidRPr="001844D2">
              <w:rPr>
                <w:rFonts w:hint="cs"/>
                <w:b/>
                <w:bCs/>
                <w:sz w:val="19"/>
                <w:szCs w:val="19"/>
                <w:rtl/>
              </w:rPr>
              <w:t>הכנסות ריבית, נטו</w:t>
            </w:r>
            <w:r w:rsidRPr="001844D2">
              <w:rPr>
                <w:b/>
                <w:bCs/>
                <w:sz w:val="19"/>
                <w:szCs w:val="19"/>
                <w:rtl/>
              </w:rPr>
              <w:t xml:space="preserve"> לאחר הוצאות בגין הפסדי אשראי</w:t>
            </w:r>
          </w:p>
        </w:tc>
        <w:tc>
          <w:tcPr>
            <w:tcW w:w="601" w:type="dxa"/>
            <w:tcBorders>
              <w:top w:val="nil"/>
              <w:left w:val="nil"/>
              <w:bottom w:val="nil"/>
              <w:right w:val="nil"/>
            </w:tcBorders>
            <w:vAlign w:val="bottom"/>
          </w:tcPr>
          <w:p w14:paraId="5DAD6BCB" w14:textId="45D7C8BE" w:rsidR="00F32A2A" w:rsidRPr="00E326B3" w:rsidRDefault="00F32A2A" w:rsidP="00DC5B2E">
            <w:pPr>
              <w:pStyle w:val="-7"/>
              <w:spacing w:before="20" w:line="240" w:lineRule="exact"/>
              <w:jc w:val="center"/>
              <w:rPr>
                <w:sz w:val="17"/>
                <w:szCs w:val="17"/>
                <w:rtl/>
              </w:rPr>
            </w:pPr>
          </w:p>
        </w:tc>
        <w:tc>
          <w:tcPr>
            <w:tcW w:w="823" w:type="dxa"/>
            <w:tcBorders>
              <w:top w:val="nil"/>
              <w:left w:val="nil"/>
              <w:bottom w:val="nil"/>
              <w:right w:val="nil"/>
            </w:tcBorders>
            <w:vAlign w:val="bottom"/>
          </w:tcPr>
          <w:p w14:paraId="610D4302" w14:textId="77777777" w:rsidR="00F32A2A" w:rsidRPr="001844D2" w:rsidRDefault="005C6997">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54D082A9" w14:textId="77777777" w:rsidR="00F32A2A" w:rsidRPr="001844D2" w:rsidRDefault="005C6997">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64" w:type="dxa"/>
            <w:tcBorders>
              <w:top w:val="nil"/>
              <w:left w:val="nil"/>
              <w:bottom w:val="nil"/>
              <w:right w:val="nil"/>
            </w:tcBorders>
            <w:vAlign w:val="bottom"/>
          </w:tcPr>
          <w:p w14:paraId="5E316C8D" w14:textId="77777777" w:rsidR="00F32A2A" w:rsidRPr="001844D2" w:rsidRDefault="005C6997">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32" w:type="dxa"/>
            <w:tcBorders>
              <w:top w:val="nil"/>
              <w:left w:val="nil"/>
              <w:bottom w:val="nil"/>
              <w:right w:val="nil"/>
            </w:tcBorders>
            <w:vAlign w:val="bottom"/>
          </w:tcPr>
          <w:p w14:paraId="291E514A" w14:textId="77777777" w:rsidR="00F32A2A" w:rsidRPr="001844D2" w:rsidRDefault="005C6997">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0B214539" w14:textId="77777777" w:rsidR="00F32A2A" w:rsidRPr="001844D2" w:rsidRDefault="005C6997">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r>
      <w:tr w:rsidR="005C6997" w:rsidRPr="00914DF0" w14:paraId="43E5AE51" w14:textId="77777777" w:rsidTr="001844D2">
        <w:tc>
          <w:tcPr>
            <w:tcW w:w="1077" w:type="dxa"/>
            <w:tcBorders>
              <w:top w:val="nil"/>
              <w:left w:val="nil"/>
              <w:bottom w:val="nil"/>
              <w:right w:val="nil"/>
            </w:tcBorders>
          </w:tcPr>
          <w:p w14:paraId="4106CB37" w14:textId="77777777" w:rsidR="00F32A2A" w:rsidRDefault="00F32A2A">
            <w:pPr>
              <w:pStyle w:val="-0"/>
              <w:spacing w:before="20" w:line="240" w:lineRule="exact"/>
              <w:rPr>
                <w:b/>
                <w:bCs/>
                <w:sz w:val="14"/>
                <w:szCs w:val="14"/>
                <w:rtl/>
              </w:rPr>
            </w:pPr>
          </w:p>
        </w:tc>
        <w:tc>
          <w:tcPr>
            <w:tcW w:w="4195" w:type="dxa"/>
            <w:tcBorders>
              <w:top w:val="nil"/>
              <w:left w:val="nil"/>
              <w:bottom w:val="nil"/>
              <w:right w:val="nil"/>
            </w:tcBorders>
            <w:vAlign w:val="bottom"/>
          </w:tcPr>
          <w:p w14:paraId="3CAEC3A3" w14:textId="77777777" w:rsidR="00F32A2A" w:rsidRPr="001844D2" w:rsidRDefault="005C6997">
            <w:pPr>
              <w:pStyle w:val="-0"/>
              <w:spacing w:before="20" w:line="240" w:lineRule="exact"/>
              <w:rPr>
                <w:b/>
                <w:bCs/>
                <w:sz w:val="19"/>
                <w:szCs w:val="19"/>
                <w:rtl/>
              </w:rPr>
            </w:pPr>
            <w:r w:rsidRPr="001844D2">
              <w:rPr>
                <w:b/>
                <w:bCs/>
                <w:sz w:val="19"/>
                <w:szCs w:val="19"/>
                <w:rtl/>
              </w:rPr>
              <w:t>הכנסות</w:t>
            </w:r>
            <w:r w:rsidRPr="001844D2">
              <w:rPr>
                <w:rFonts w:hint="cs"/>
                <w:b/>
                <w:bCs/>
                <w:sz w:val="19"/>
                <w:szCs w:val="19"/>
                <w:rtl/>
              </w:rPr>
              <w:t xml:space="preserve"> שאינן מריבית:</w:t>
            </w:r>
          </w:p>
        </w:tc>
        <w:tc>
          <w:tcPr>
            <w:tcW w:w="601" w:type="dxa"/>
            <w:tcBorders>
              <w:top w:val="nil"/>
              <w:left w:val="nil"/>
              <w:bottom w:val="nil"/>
              <w:right w:val="nil"/>
            </w:tcBorders>
            <w:vAlign w:val="bottom"/>
          </w:tcPr>
          <w:p w14:paraId="17942912" w14:textId="77777777" w:rsidR="00F32A2A" w:rsidRPr="00E326B3" w:rsidRDefault="00F32A2A">
            <w:pPr>
              <w:pStyle w:val="-0"/>
              <w:spacing w:before="20" w:line="240" w:lineRule="exact"/>
              <w:ind w:left="0" w:firstLine="0"/>
              <w:jc w:val="center"/>
              <w:rPr>
                <w:sz w:val="17"/>
                <w:szCs w:val="17"/>
                <w:rtl/>
              </w:rPr>
            </w:pPr>
          </w:p>
        </w:tc>
        <w:tc>
          <w:tcPr>
            <w:tcW w:w="823" w:type="dxa"/>
            <w:tcBorders>
              <w:top w:val="nil"/>
              <w:left w:val="nil"/>
              <w:bottom w:val="nil"/>
              <w:right w:val="nil"/>
            </w:tcBorders>
            <w:vAlign w:val="bottom"/>
          </w:tcPr>
          <w:p w14:paraId="29F85DC0" w14:textId="77777777" w:rsidR="00F32A2A" w:rsidRPr="001844D2" w:rsidRDefault="00F32A2A">
            <w:pPr>
              <w:pStyle w:val="-3"/>
              <w:spacing w:before="20" w:line="240" w:lineRule="exact"/>
              <w:rPr>
                <w:sz w:val="18"/>
                <w:szCs w:val="18"/>
                <w:rtl/>
              </w:rPr>
            </w:pPr>
          </w:p>
        </w:tc>
        <w:tc>
          <w:tcPr>
            <w:tcW w:w="891" w:type="dxa"/>
            <w:tcBorders>
              <w:top w:val="nil"/>
              <w:left w:val="nil"/>
              <w:bottom w:val="nil"/>
              <w:right w:val="nil"/>
            </w:tcBorders>
            <w:vAlign w:val="bottom"/>
          </w:tcPr>
          <w:p w14:paraId="383149CB" w14:textId="77777777" w:rsidR="00F32A2A" w:rsidRPr="001844D2" w:rsidRDefault="00F32A2A">
            <w:pPr>
              <w:pStyle w:val="-3"/>
              <w:spacing w:before="20" w:line="240" w:lineRule="exact"/>
              <w:rPr>
                <w:sz w:val="18"/>
                <w:szCs w:val="18"/>
                <w:rtl/>
              </w:rPr>
            </w:pPr>
          </w:p>
        </w:tc>
        <w:tc>
          <w:tcPr>
            <w:tcW w:w="864" w:type="dxa"/>
            <w:tcBorders>
              <w:top w:val="nil"/>
              <w:left w:val="nil"/>
              <w:bottom w:val="nil"/>
              <w:right w:val="nil"/>
            </w:tcBorders>
            <w:vAlign w:val="bottom"/>
          </w:tcPr>
          <w:p w14:paraId="55E8CFAE" w14:textId="77777777" w:rsidR="00F32A2A" w:rsidRPr="001844D2" w:rsidRDefault="00F32A2A">
            <w:pPr>
              <w:pStyle w:val="-3"/>
              <w:spacing w:before="20" w:line="240" w:lineRule="exact"/>
              <w:rPr>
                <w:sz w:val="18"/>
                <w:szCs w:val="18"/>
                <w:rtl/>
              </w:rPr>
            </w:pPr>
          </w:p>
        </w:tc>
        <w:tc>
          <w:tcPr>
            <w:tcW w:w="832" w:type="dxa"/>
            <w:tcBorders>
              <w:top w:val="nil"/>
              <w:left w:val="nil"/>
              <w:bottom w:val="nil"/>
              <w:right w:val="nil"/>
            </w:tcBorders>
            <w:vAlign w:val="bottom"/>
          </w:tcPr>
          <w:p w14:paraId="5F74255E" w14:textId="77777777" w:rsidR="00F32A2A" w:rsidRPr="001844D2" w:rsidRDefault="00F32A2A">
            <w:pPr>
              <w:pStyle w:val="-3"/>
              <w:spacing w:before="20" w:line="240" w:lineRule="exact"/>
              <w:rPr>
                <w:sz w:val="18"/>
                <w:szCs w:val="18"/>
                <w:rtl/>
              </w:rPr>
            </w:pPr>
          </w:p>
        </w:tc>
        <w:tc>
          <w:tcPr>
            <w:tcW w:w="1206" w:type="dxa"/>
            <w:tcBorders>
              <w:top w:val="nil"/>
              <w:left w:val="nil"/>
              <w:bottom w:val="nil"/>
              <w:right w:val="nil"/>
            </w:tcBorders>
            <w:vAlign w:val="bottom"/>
          </w:tcPr>
          <w:p w14:paraId="05CA7B37" w14:textId="77777777" w:rsidR="00F32A2A" w:rsidRPr="001844D2" w:rsidRDefault="00F32A2A">
            <w:pPr>
              <w:pStyle w:val="-3"/>
              <w:spacing w:before="20" w:line="240" w:lineRule="exact"/>
              <w:rPr>
                <w:sz w:val="18"/>
                <w:szCs w:val="18"/>
                <w:rtl/>
              </w:rPr>
            </w:pPr>
          </w:p>
        </w:tc>
      </w:tr>
      <w:tr w:rsidR="00684D66" w:rsidRPr="00914DF0" w14:paraId="51B3A400" w14:textId="77777777" w:rsidTr="001844D2">
        <w:tc>
          <w:tcPr>
            <w:tcW w:w="1077" w:type="dxa"/>
            <w:tcBorders>
              <w:top w:val="nil"/>
              <w:left w:val="nil"/>
              <w:bottom w:val="nil"/>
              <w:right w:val="nil"/>
            </w:tcBorders>
          </w:tcPr>
          <w:p w14:paraId="5D5D4240" w14:textId="7335A91F" w:rsidR="00684D66" w:rsidRDefault="00684D66" w:rsidP="00684D66">
            <w:pPr>
              <w:pStyle w:val="-0"/>
              <w:spacing w:before="20" w:line="240" w:lineRule="exact"/>
              <w:rPr>
                <w:sz w:val="14"/>
                <w:szCs w:val="14"/>
                <w:rtl/>
              </w:rPr>
            </w:pPr>
          </w:p>
        </w:tc>
        <w:tc>
          <w:tcPr>
            <w:tcW w:w="4195" w:type="dxa"/>
            <w:tcBorders>
              <w:top w:val="nil"/>
              <w:left w:val="nil"/>
              <w:bottom w:val="nil"/>
              <w:right w:val="nil"/>
            </w:tcBorders>
            <w:vAlign w:val="bottom"/>
          </w:tcPr>
          <w:p w14:paraId="5DC36F82" w14:textId="0008BBCB" w:rsidR="00684D66" w:rsidRPr="001844D2" w:rsidRDefault="00684D66" w:rsidP="00E91027">
            <w:pPr>
              <w:pStyle w:val="-0"/>
              <w:spacing w:before="20" w:line="240" w:lineRule="exact"/>
              <w:rPr>
                <w:sz w:val="19"/>
                <w:szCs w:val="19"/>
                <w:rtl/>
              </w:rPr>
            </w:pPr>
            <w:r w:rsidRPr="001844D2">
              <w:rPr>
                <w:rFonts w:hint="cs"/>
                <w:sz w:val="19"/>
                <w:szCs w:val="19"/>
                <w:rtl/>
              </w:rPr>
              <w:t>הכנסות (הוצאות) מימון שאינן מריבית</w:t>
            </w:r>
            <w:r w:rsidR="006B6014" w:rsidRPr="001844D2">
              <w:rPr>
                <w:rFonts w:hint="cs"/>
                <w:sz w:val="19"/>
                <w:szCs w:val="19"/>
                <w:vertAlign w:val="superscript"/>
                <w:rtl/>
              </w:rPr>
              <w:t>[</w:t>
            </w:r>
            <w:r w:rsidR="006B6014" w:rsidRPr="001844D2">
              <w:rPr>
                <w:rStyle w:val="a7"/>
                <w:sz w:val="19"/>
                <w:szCs w:val="19"/>
                <w:rtl/>
              </w:rPr>
              <w:footnoteReference w:id="3"/>
            </w:r>
            <w:r w:rsidR="006B6014" w:rsidRPr="001844D2">
              <w:rPr>
                <w:rFonts w:hint="cs"/>
                <w:sz w:val="19"/>
                <w:szCs w:val="19"/>
                <w:vertAlign w:val="superscript"/>
                <w:rtl/>
              </w:rPr>
              <w:t>]</w:t>
            </w:r>
          </w:p>
        </w:tc>
        <w:tc>
          <w:tcPr>
            <w:tcW w:w="601" w:type="dxa"/>
            <w:tcBorders>
              <w:top w:val="nil"/>
              <w:left w:val="nil"/>
              <w:bottom w:val="nil"/>
              <w:right w:val="nil"/>
            </w:tcBorders>
            <w:vAlign w:val="bottom"/>
          </w:tcPr>
          <w:p w14:paraId="2D99BB66" w14:textId="77777777" w:rsidR="00684D66" w:rsidRPr="00E326B3" w:rsidRDefault="00684D66" w:rsidP="00684D66">
            <w:pPr>
              <w:pStyle w:val="-0"/>
              <w:spacing w:before="20" w:line="240" w:lineRule="exact"/>
              <w:ind w:left="0" w:firstLine="0"/>
              <w:jc w:val="center"/>
              <w:rPr>
                <w:sz w:val="17"/>
                <w:szCs w:val="17"/>
                <w:rtl/>
              </w:rPr>
            </w:pPr>
            <w:r w:rsidRPr="00E326B3">
              <w:rPr>
                <w:rFonts w:hint="cs"/>
                <w:sz w:val="17"/>
                <w:szCs w:val="17"/>
                <w:rtl/>
              </w:rPr>
              <w:t>3</w:t>
            </w:r>
          </w:p>
        </w:tc>
        <w:tc>
          <w:tcPr>
            <w:tcW w:w="823" w:type="dxa"/>
            <w:tcBorders>
              <w:top w:val="nil"/>
              <w:left w:val="nil"/>
              <w:bottom w:val="nil"/>
              <w:right w:val="nil"/>
            </w:tcBorders>
            <w:vAlign w:val="bottom"/>
          </w:tcPr>
          <w:p w14:paraId="7DB7047A"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7133C703"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64" w:type="dxa"/>
            <w:tcBorders>
              <w:top w:val="nil"/>
              <w:left w:val="nil"/>
              <w:bottom w:val="nil"/>
              <w:right w:val="nil"/>
            </w:tcBorders>
            <w:vAlign w:val="bottom"/>
          </w:tcPr>
          <w:p w14:paraId="6A66A052"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32" w:type="dxa"/>
            <w:tcBorders>
              <w:top w:val="nil"/>
              <w:left w:val="nil"/>
              <w:bottom w:val="nil"/>
              <w:right w:val="nil"/>
            </w:tcBorders>
            <w:vAlign w:val="bottom"/>
          </w:tcPr>
          <w:p w14:paraId="7E2148B8"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5DEFC05D"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r>
      <w:tr w:rsidR="00684D66" w:rsidRPr="00914DF0" w14:paraId="6E5A1C18" w14:textId="77777777" w:rsidTr="001844D2">
        <w:tc>
          <w:tcPr>
            <w:tcW w:w="1077" w:type="dxa"/>
            <w:tcBorders>
              <w:top w:val="nil"/>
              <w:left w:val="nil"/>
              <w:bottom w:val="nil"/>
              <w:right w:val="nil"/>
            </w:tcBorders>
          </w:tcPr>
          <w:p w14:paraId="73A76345" w14:textId="6CA5F1CF" w:rsidR="00684D66" w:rsidRPr="00C5328B" w:rsidRDefault="00684D66" w:rsidP="00684D66">
            <w:pPr>
              <w:pStyle w:val="-0"/>
              <w:spacing w:before="20" w:line="240" w:lineRule="exact"/>
              <w:rPr>
                <w:sz w:val="14"/>
                <w:szCs w:val="14"/>
                <w:rtl/>
              </w:rPr>
            </w:pPr>
          </w:p>
        </w:tc>
        <w:tc>
          <w:tcPr>
            <w:tcW w:w="4195" w:type="dxa"/>
            <w:tcBorders>
              <w:top w:val="nil"/>
              <w:left w:val="nil"/>
              <w:bottom w:val="nil"/>
              <w:right w:val="nil"/>
            </w:tcBorders>
            <w:vAlign w:val="bottom"/>
          </w:tcPr>
          <w:p w14:paraId="77985502" w14:textId="77777777" w:rsidR="00684D66" w:rsidRPr="001844D2" w:rsidRDefault="00684D66" w:rsidP="00684D66">
            <w:pPr>
              <w:pStyle w:val="-0"/>
              <w:spacing w:before="20" w:line="240" w:lineRule="exact"/>
              <w:rPr>
                <w:sz w:val="19"/>
                <w:szCs w:val="19"/>
                <w:rtl/>
              </w:rPr>
            </w:pPr>
            <w:r w:rsidRPr="001844D2">
              <w:rPr>
                <w:rFonts w:hint="cs"/>
                <w:sz w:val="19"/>
                <w:szCs w:val="19"/>
                <w:rtl/>
              </w:rPr>
              <w:t>עמלות</w:t>
            </w:r>
          </w:p>
        </w:tc>
        <w:tc>
          <w:tcPr>
            <w:tcW w:w="601" w:type="dxa"/>
            <w:tcBorders>
              <w:top w:val="nil"/>
              <w:left w:val="nil"/>
              <w:bottom w:val="nil"/>
              <w:right w:val="nil"/>
            </w:tcBorders>
            <w:vAlign w:val="bottom"/>
          </w:tcPr>
          <w:p w14:paraId="2A02332D" w14:textId="77777777" w:rsidR="00684D66" w:rsidRPr="00E326B3" w:rsidRDefault="00684D66" w:rsidP="00684D66">
            <w:pPr>
              <w:pStyle w:val="-0"/>
              <w:spacing w:before="20" w:line="240" w:lineRule="exact"/>
              <w:ind w:left="0" w:firstLine="0"/>
              <w:jc w:val="center"/>
              <w:rPr>
                <w:sz w:val="17"/>
                <w:szCs w:val="17"/>
                <w:rtl/>
              </w:rPr>
            </w:pPr>
            <w:r w:rsidRPr="00E326B3">
              <w:rPr>
                <w:rFonts w:hint="cs"/>
                <w:sz w:val="17"/>
                <w:szCs w:val="17"/>
                <w:rtl/>
              </w:rPr>
              <w:t>3א</w:t>
            </w:r>
          </w:p>
        </w:tc>
        <w:tc>
          <w:tcPr>
            <w:tcW w:w="823" w:type="dxa"/>
            <w:tcBorders>
              <w:top w:val="nil"/>
              <w:left w:val="nil"/>
              <w:bottom w:val="nil"/>
              <w:right w:val="nil"/>
            </w:tcBorders>
            <w:vAlign w:val="bottom"/>
          </w:tcPr>
          <w:p w14:paraId="31720C28"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7F4926F4"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64" w:type="dxa"/>
            <w:tcBorders>
              <w:top w:val="nil"/>
              <w:left w:val="nil"/>
              <w:bottom w:val="nil"/>
              <w:right w:val="nil"/>
            </w:tcBorders>
            <w:vAlign w:val="bottom"/>
          </w:tcPr>
          <w:p w14:paraId="34686955"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32" w:type="dxa"/>
            <w:tcBorders>
              <w:top w:val="nil"/>
              <w:left w:val="nil"/>
              <w:bottom w:val="nil"/>
              <w:right w:val="nil"/>
            </w:tcBorders>
            <w:vAlign w:val="bottom"/>
          </w:tcPr>
          <w:p w14:paraId="249DC41D"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53794508"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r>
      <w:tr w:rsidR="00684D66" w:rsidRPr="00914DF0" w14:paraId="2B26364B" w14:textId="77777777" w:rsidTr="001844D2">
        <w:tc>
          <w:tcPr>
            <w:tcW w:w="1077" w:type="dxa"/>
            <w:tcBorders>
              <w:top w:val="nil"/>
              <w:left w:val="nil"/>
              <w:bottom w:val="nil"/>
              <w:right w:val="nil"/>
            </w:tcBorders>
          </w:tcPr>
          <w:p w14:paraId="11F4BCE8" w14:textId="353A939A" w:rsidR="00684D66" w:rsidRDefault="00684D66" w:rsidP="00684D66">
            <w:pPr>
              <w:pStyle w:val="-0"/>
              <w:spacing w:before="20" w:line="240" w:lineRule="exact"/>
              <w:rPr>
                <w:sz w:val="14"/>
                <w:szCs w:val="14"/>
                <w:rtl/>
              </w:rPr>
            </w:pPr>
          </w:p>
        </w:tc>
        <w:tc>
          <w:tcPr>
            <w:tcW w:w="4195" w:type="dxa"/>
            <w:tcBorders>
              <w:top w:val="nil"/>
              <w:left w:val="nil"/>
              <w:bottom w:val="nil"/>
              <w:right w:val="nil"/>
            </w:tcBorders>
            <w:vAlign w:val="bottom"/>
          </w:tcPr>
          <w:p w14:paraId="74FFD13E" w14:textId="0E7468A9" w:rsidR="00684D66" w:rsidRPr="001844D2" w:rsidRDefault="00684D66" w:rsidP="00952D22">
            <w:pPr>
              <w:pStyle w:val="-0"/>
              <w:spacing w:before="20" w:line="240" w:lineRule="exact"/>
              <w:rPr>
                <w:b/>
                <w:bCs/>
                <w:sz w:val="19"/>
                <w:szCs w:val="19"/>
                <w:u w:val="single"/>
                <w:rtl/>
              </w:rPr>
            </w:pPr>
            <w:r w:rsidRPr="001844D2">
              <w:rPr>
                <w:sz w:val="19"/>
                <w:szCs w:val="19"/>
                <w:rtl/>
              </w:rPr>
              <w:t>הכנסות אחרות</w:t>
            </w:r>
            <w:r w:rsidR="006B6014" w:rsidRPr="001844D2">
              <w:rPr>
                <w:rFonts w:hint="cs"/>
                <w:sz w:val="19"/>
                <w:szCs w:val="19"/>
                <w:vertAlign w:val="superscript"/>
                <w:rtl/>
              </w:rPr>
              <w:t>[</w:t>
            </w:r>
            <w:r w:rsidR="005E273B" w:rsidRPr="001844D2">
              <w:rPr>
                <w:rFonts w:hint="cs"/>
                <w:sz w:val="19"/>
                <w:szCs w:val="19"/>
                <w:vertAlign w:val="superscript"/>
                <w:rtl/>
              </w:rPr>
              <w:t>2</w:t>
            </w:r>
            <w:r w:rsidR="006B6014" w:rsidRPr="001844D2">
              <w:rPr>
                <w:rFonts w:hint="cs"/>
                <w:sz w:val="19"/>
                <w:szCs w:val="19"/>
                <w:vertAlign w:val="superscript"/>
                <w:rtl/>
              </w:rPr>
              <w:t>]</w:t>
            </w:r>
          </w:p>
        </w:tc>
        <w:tc>
          <w:tcPr>
            <w:tcW w:w="601" w:type="dxa"/>
            <w:tcBorders>
              <w:top w:val="nil"/>
              <w:left w:val="nil"/>
              <w:bottom w:val="nil"/>
              <w:right w:val="nil"/>
            </w:tcBorders>
            <w:vAlign w:val="bottom"/>
          </w:tcPr>
          <w:p w14:paraId="150B23DF" w14:textId="77777777" w:rsidR="00684D66" w:rsidRPr="00E326B3" w:rsidRDefault="00684D66" w:rsidP="00684D66">
            <w:pPr>
              <w:pStyle w:val="-0"/>
              <w:spacing w:before="20" w:line="240" w:lineRule="exact"/>
              <w:ind w:left="0" w:firstLine="0"/>
              <w:jc w:val="center"/>
              <w:rPr>
                <w:sz w:val="17"/>
                <w:szCs w:val="17"/>
                <w:rtl/>
              </w:rPr>
            </w:pPr>
          </w:p>
        </w:tc>
        <w:tc>
          <w:tcPr>
            <w:tcW w:w="823" w:type="dxa"/>
            <w:tcBorders>
              <w:top w:val="nil"/>
              <w:left w:val="nil"/>
              <w:bottom w:val="nil"/>
              <w:right w:val="nil"/>
            </w:tcBorders>
            <w:vAlign w:val="bottom"/>
          </w:tcPr>
          <w:p w14:paraId="676BEEA9"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32AFC2A1"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64" w:type="dxa"/>
            <w:tcBorders>
              <w:top w:val="nil"/>
              <w:left w:val="nil"/>
              <w:bottom w:val="nil"/>
              <w:right w:val="nil"/>
            </w:tcBorders>
            <w:vAlign w:val="bottom"/>
          </w:tcPr>
          <w:p w14:paraId="1BCA7049"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32" w:type="dxa"/>
            <w:tcBorders>
              <w:top w:val="nil"/>
              <w:left w:val="nil"/>
              <w:bottom w:val="nil"/>
              <w:right w:val="nil"/>
            </w:tcBorders>
            <w:vAlign w:val="bottom"/>
          </w:tcPr>
          <w:p w14:paraId="4042532C"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4B7D90BB"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r>
      <w:tr w:rsidR="00684D66" w:rsidRPr="00914DF0" w14:paraId="13D5B5B8" w14:textId="77777777" w:rsidTr="001844D2">
        <w:tc>
          <w:tcPr>
            <w:tcW w:w="1077" w:type="dxa"/>
            <w:tcBorders>
              <w:top w:val="nil"/>
              <w:left w:val="nil"/>
              <w:bottom w:val="nil"/>
              <w:right w:val="nil"/>
            </w:tcBorders>
          </w:tcPr>
          <w:p w14:paraId="73FDA559" w14:textId="77777777" w:rsidR="00684D66" w:rsidRDefault="00684D66" w:rsidP="00684D66">
            <w:pPr>
              <w:pStyle w:val="-0"/>
              <w:spacing w:before="20" w:line="240" w:lineRule="exact"/>
              <w:rPr>
                <w:sz w:val="14"/>
                <w:szCs w:val="14"/>
                <w:rtl/>
              </w:rPr>
            </w:pPr>
          </w:p>
        </w:tc>
        <w:tc>
          <w:tcPr>
            <w:tcW w:w="4195" w:type="dxa"/>
            <w:tcBorders>
              <w:top w:val="nil"/>
              <w:left w:val="nil"/>
              <w:bottom w:val="nil"/>
              <w:right w:val="nil"/>
            </w:tcBorders>
            <w:vAlign w:val="bottom"/>
          </w:tcPr>
          <w:p w14:paraId="64BD39D2" w14:textId="77777777" w:rsidR="00684D66" w:rsidRPr="001844D2" w:rsidRDefault="00684D66" w:rsidP="00684D66">
            <w:pPr>
              <w:pStyle w:val="-0"/>
              <w:spacing w:before="20" w:line="240" w:lineRule="exact"/>
              <w:rPr>
                <w:b/>
                <w:bCs/>
                <w:sz w:val="19"/>
                <w:szCs w:val="19"/>
                <w:rtl/>
              </w:rPr>
            </w:pPr>
            <w:r w:rsidRPr="001844D2">
              <w:rPr>
                <w:rFonts w:hint="cs"/>
                <w:b/>
                <w:bCs/>
                <w:sz w:val="19"/>
                <w:szCs w:val="19"/>
                <w:rtl/>
              </w:rPr>
              <w:t>סך כל ההכנסות שאינן מריבית</w:t>
            </w:r>
          </w:p>
        </w:tc>
        <w:tc>
          <w:tcPr>
            <w:tcW w:w="601" w:type="dxa"/>
            <w:tcBorders>
              <w:top w:val="nil"/>
              <w:left w:val="nil"/>
              <w:bottom w:val="nil"/>
              <w:right w:val="nil"/>
            </w:tcBorders>
            <w:vAlign w:val="bottom"/>
          </w:tcPr>
          <w:p w14:paraId="4A601C1C" w14:textId="77777777" w:rsidR="00684D66" w:rsidRPr="00E326B3" w:rsidRDefault="00684D66" w:rsidP="00684D66">
            <w:pPr>
              <w:pStyle w:val="-0"/>
              <w:spacing w:before="20" w:line="240" w:lineRule="exact"/>
              <w:ind w:left="0" w:firstLine="0"/>
              <w:jc w:val="center"/>
              <w:rPr>
                <w:sz w:val="17"/>
                <w:szCs w:val="17"/>
                <w:rtl/>
              </w:rPr>
            </w:pPr>
          </w:p>
        </w:tc>
        <w:tc>
          <w:tcPr>
            <w:tcW w:w="823" w:type="dxa"/>
            <w:tcBorders>
              <w:top w:val="nil"/>
              <w:left w:val="nil"/>
              <w:bottom w:val="nil"/>
              <w:right w:val="nil"/>
            </w:tcBorders>
            <w:vAlign w:val="bottom"/>
          </w:tcPr>
          <w:p w14:paraId="64232A72" w14:textId="77777777" w:rsidR="00684D66" w:rsidRPr="001844D2" w:rsidRDefault="00684D66" w:rsidP="00684D66">
            <w:pPr>
              <w:pStyle w:val="-3"/>
              <w:spacing w:before="20" w:line="240" w:lineRule="exact"/>
              <w:rPr>
                <w:b/>
                <w:bCs/>
                <w:sz w:val="18"/>
                <w:szCs w:val="18"/>
                <w:rtl/>
              </w:rPr>
            </w:pPr>
            <w:r w:rsidRPr="001844D2">
              <w:rPr>
                <w:rFonts w:hint="cs"/>
                <w:b/>
                <w:bCs/>
                <w:sz w:val="18"/>
                <w:szCs w:val="18"/>
                <w:rtl/>
              </w:rPr>
              <w:t xml:space="preserve"> 0</w:t>
            </w:r>
          </w:p>
        </w:tc>
        <w:tc>
          <w:tcPr>
            <w:tcW w:w="891" w:type="dxa"/>
            <w:tcBorders>
              <w:top w:val="nil"/>
              <w:left w:val="nil"/>
              <w:bottom w:val="nil"/>
              <w:right w:val="nil"/>
            </w:tcBorders>
            <w:vAlign w:val="bottom"/>
          </w:tcPr>
          <w:p w14:paraId="3420542C" w14:textId="77777777" w:rsidR="00684D66" w:rsidRPr="001844D2" w:rsidRDefault="00684D66" w:rsidP="00684D66">
            <w:pPr>
              <w:pStyle w:val="-3"/>
              <w:spacing w:before="20" w:line="240" w:lineRule="exact"/>
              <w:rPr>
                <w:b/>
                <w:bCs/>
                <w:sz w:val="18"/>
                <w:szCs w:val="18"/>
                <w:rtl/>
              </w:rPr>
            </w:pPr>
            <w:r w:rsidRPr="001844D2">
              <w:rPr>
                <w:rFonts w:hint="cs"/>
                <w:b/>
                <w:bCs/>
                <w:sz w:val="18"/>
                <w:szCs w:val="18"/>
                <w:rtl/>
              </w:rPr>
              <w:t xml:space="preserve"> </w:t>
            </w:r>
            <w:r w:rsidRPr="001844D2">
              <w:rPr>
                <w:b/>
                <w:bCs/>
                <w:sz w:val="18"/>
                <w:szCs w:val="18"/>
                <w:rtl/>
              </w:rPr>
              <w:t>0</w:t>
            </w:r>
          </w:p>
        </w:tc>
        <w:tc>
          <w:tcPr>
            <w:tcW w:w="864" w:type="dxa"/>
            <w:tcBorders>
              <w:top w:val="nil"/>
              <w:left w:val="nil"/>
              <w:bottom w:val="nil"/>
              <w:right w:val="nil"/>
            </w:tcBorders>
            <w:vAlign w:val="bottom"/>
          </w:tcPr>
          <w:p w14:paraId="5749E005" w14:textId="77777777" w:rsidR="00684D66" w:rsidRPr="001844D2" w:rsidRDefault="00684D66" w:rsidP="00684D66">
            <w:pPr>
              <w:pStyle w:val="-3"/>
              <w:spacing w:before="20" w:line="240" w:lineRule="exact"/>
              <w:rPr>
                <w:b/>
                <w:bCs/>
                <w:sz w:val="18"/>
                <w:szCs w:val="18"/>
                <w:rtl/>
              </w:rPr>
            </w:pPr>
            <w:r w:rsidRPr="001844D2">
              <w:rPr>
                <w:rFonts w:hint="cs"/>
                <w:b/>
                <w:bCs/>
                <w:sz w:val="18"/>
                <w:szCs w:val="18"/>
                <w:rtl/>
              </w:rPr>
              <w:t xml:space="preserve"> </w:t>
            </w:r>
            <w:r w:rsidRPr="001844D2">
              <w:rPr>
                <w:b/>
                <w:bCs/>
                <w:sz w:val="18"/>
                <w:szCs w:val="18"/>
                <w:rtl/>
              </w:rPr>
              <w:t>0</w:t>
            </w:r>
          </w:p>
        </w:tc>
        <w:tc>
          <w:tcPr>
            <w:tcW w:w="832" w:type="dxa"/>
            <w:tcBorders>
              <w:top w:val="nil"/>
              <w:left w:val="nil"/>
              <w:bottom w:val="nil"/>
              <w:right w:val="nil"/>
            </w:tcBorders>
            <w:vAlign w:val="bottom"/>
          </w:tcPr>
          <w:p w14:paraId="4823F6F5" w14:textId="77777777" w:rsidR="00684D66" w:rsidRPr="001844D2" w:rsidRDefault="00684D66" w:rsidP="00684D66">
            <w:pPr>
              <w:pStyle w:val="-3"/>
              <w:spacing w:before="20" w:line="240" w:lineRule="exact"/>
              <w:rPr>
                <w:b/>
                <w:bCs/>
                <w:sz w:val="18"/>
                <w:szCs w:val="18"/>
                <w:rtl/>
              </w:rPr>
            </w:pPr>
            <w:r w:rsidRPr="001844D2">
              <w:rPr>
                <w:rFonts w:hint="cs"/>
                <w:b/>
                <w:bCs/>
                <w:sz w:val="18"/>
                <w:szCs w:val="18"/>
                <w:rtl/>
              </w:rPr>
              <w:t xml:space="preserve"> 0</w:t>
            </w:r>
          </w:p>
        </w:tc>
        <w:tc>
          <w:tcPr>
            <w:tcW w:w="1206" w:type="dxa"/>
            <w:tcBorders>
              <w:top w:val="nil"/>
              <w:left w:val="nil"/>
              <w:bottom w:val="nil"/>
              <w:right w:val="nil"/>
            </w:tcBorders>
            <w:vAlign w:val="bottom"/>
          </w:tcPr>
          <w:p w14:paraId="26C5F85C" w14:textId="77777777" w:rsidR="00684D66" w:rsidRPr="001844D2" w:rsidRDefault="00684D66" w:rsidP="00684D66">
            <w:pPr>
              <w:pStyle w:val="-3"/>
              <w:spacing w:before="20" w:line="240" w:lineRule="exact"/>
              <w:rPr>
                <w:b/>
                <w:bCs/>
                <w:sz w:val="18"/>
                <w:szCs w:val="18"/>
                <w:rtl/>
              </w:rPr>
            </w:pPr>
            <w:r w:rsidRPr="001844D2">
              <w:rPr>
                <w:rFonts w:hint="cs"/>
                <w:b/>
                <w:bCs/>
                <w:sz w:val="18"/>
                <w:szCs w:val="18"/>
                <w:rtl/>
              </w:rPr>
              <w:t xml:space="preserve"> </w:t>
            </w:r>
            <w:r w:rsidRPr="001844D2">
              <w:rPr>
                <w:b/>
                <w:bCs/>
                <w:sz w:val="18"/>
                <w:szCs w:val="18"/>
                <w:rtl/>
              </w:rPr>
              <w:t>0</w:t>
            </w:r>
          </w:p>
        </w:tc>
      </w:tr>
      <w:tr w:rsidR="00684D66" w:rsidRPr="00914DF0" w14:paraId="659EC8B4" w14:textId="77777777" w:rsidTr="001844D2">
        <w:tc>
          <w:tcPr>
            <w:tcW w:w="1077" w:type="dxa"/>
            <w:tcBorders>
              <w:top w:val="nil"/>
              <w:left w:val="nil"/>
              <w:bottom w:val="nil"/>
              <w:right w:val="nil"/>
            </w:tcBorders>
          </w:tcPr>
          <w:p w14:paraId="1FFDF7DD" w14:textId="77777777" w:rsidR="00684D66" w:rsidRDefault="00684D66" w:rsidP="00684D66">
            <w:pPr>
              <w:pStyle w:val="-0"/>
              <w:spacing w:before="20" w:line="240" w:lineRule="exact"/>
              <w:rPr>
                <w:b/>
                <w:bCs/>
                <w:sz w:val="14"/>
                <w:szCs w:val="14"/>
                <w:rtl/>
              </w:rPr>
            </w:pPr>
          </w:p>
        </w:tc>
        <w:tc>
          <w:tcPr>
            <w:tcW w:w="4195" w:type="dxa"/>
            <w:tcBorders>
              <w:top w:val="nil"/>
              <w:left w:val="nil"/>
              <w:bottom w:val="nil"/>
              <w:right w:val="nil"/>
            </w:tcBorders>
            <w:vAlign w:val="bottom"/>
          </w:tcPr>
          <w:p w14:paraId="6D1AAB8E" w14:textId="77777777" w:rsidR="00684D66" w:rsidRPr="001844D2" w:rsidRDefault="00684D66" w:rsidP="00684D66">
            <w:pPr>
              <w:pStyle w:val="-0"/>
              <w:spacing w:before="20" w:line="240" w:lineRule="exact"/>
              <w:rPr>
                <w:b/>
                <w:bCs/>
                <w:sz w:val="19"/>
                <w:szCs w:val="19"/>
                <w:rtl/>
              </w:rPr>
            </w:pPr>
            <w:r w:rsidRPr="001844D2">
              <w:rPr>
                <w:b/>
                <w:bCs/>
                <w:sz w:val="19"/>
                <w:szCs w:val="19"/>
                <w:rtl/>
              </w:rPr>
              <w:t>הוצאות תפעוליות ואחרות</w:t>
            </w:r>
            <w:r w:rsidRPr="001844D2">
              <w:rPr>
                <w:rFonts w:hint="cs"/>
                <w:b/>
                <w:bCs/>
                <w:sz w:val="19"/>
                <w:szCs w:val="19"/>
                <w:rtl/>
              </w:rPr>
              <w:t>:</w:t>
            </w:r>
          </w:p>
        </w:tc>
        <w:tc>
          <w:tcPr>
            <w:tcW w:w="601" w:type="dxa"/>
            <w:tcBorders>
              <w:top w:val="nil"/>
              <w:left w:val="nil"/>
              <w:bottom w:val="nil"/>
              <w:right w:val="nil"/>
            </w:tcBorders>
            <w:vAlign w:val="bottom"/>
          </w:tcPr>
          <w:p w14:paraId="3334515C" w14:textId="77777777" w:rsidR="00684D66" w:rsidRPr="00E326B3" w:rsidRDefault="00684D66" w:rsidP="00684D66">
            <w:pPr>
              <w:pStyle w:val="-0"/>
              <w:spacing w:before="20" w:line="240" w:lineRule="exact"/>
              <w:ind w:left="0" w:firstLine="0"/>
              <w:jc w:val="center"/>
              <w:rPr>
                <w:sz w:val="17"/>
                <w:szCs w:val="17"/>
                <w:rtl/>
              </w:rPr>
            </w:pPr>
          </w:p>
        </w:tc>
        <w:tc>
          <w:tcPr>
            <w:tcW w:w="823" w:type="dxa"/>
            <w:tcBorders>
              <w:top w:val="nil"/>
              <w:left w:val="nil"/>
              <w:bottom w:val="nil"/>
              <w:right w:val="nil"/>
            </w:tcBorders>
            <w:vAlign w:val="bottom"/>
          </w:tcPr>
          <w:p w14:paraId="79220A1D" w14:textId="77777777" w:rsidR="00684D66" w:rsidRPr="001844D2" w:rsidRDefault="00684D66" w:rsidP="00684D66">
            <w:pPr>
              <w:pStyle w:val="-3"/>
              <w:spacing w:before="20" w:line="240" w:lineRule="exact"/>
              <w:rPr>
                <w:sz w:val="18"/>
                <w:szCs w:val="18"/>
                <w:rtl/>
              </w:rPr>
            </w:pPr>
          </w:p>
        </w:tc>
        <w:tc>
          <w:tcPr>
            <w:tcW w:w="891" w:type="dxa"/>
            <w:tcBorders>
              <w:top w:val="nil"/>
              <w:left w:val="nil"/>
              <w:bottom w:val="nil"/>
              <w:right w:val="nil"/>
            </w:tcBorders>
            <w:vAlign w:val="bottom"/>
          </w:tcPr>
          <w:p w14:paraId="29EAF69E" w14:textId="77777777" w:rsidR="00684D66" w:rsidRPr="001844D2" w:rsidRDefault="00684D66" w:rsidP="00684D66">
            <w:pPr>
              <w:pStyle w:val="-3"/>
              <w:spacing w:before="20" w:line="240" w:lineRule="exact"/>
              <w:rPr>
                <w:sz w:val="18"/>
                <w:szCs w:val="18"/>
                <w:rtl/>
              </w:rPr>
            </w:pPr>
          </w:p>
        </w:tc>
        <w:tc>
          <w:tcPr>
            <w:tcW w:w="864" w:type="dxa"/>
            <w:tcBorders>
              <w:top w:val="nil"/>
              <w:left w:val="nil"/>
              <w:bottom w:val="nil"/>
              <w:right w:val="nil"/>
            </w:tcBorders>
            <w:vAlign w:val="bottom"/>
          </w:tcPr>
          <w:p w14:paraId="3603DD72" w14:textId="77777777" w:rsidR="00684D66" w:rsidRPr="001844D2" w:rsidRDefault="00684D66" w:rsidP="00684D66">
            <w:pPr>
              <w:pStyle w:val="-3"/>
              <w:spacing w:before="20" w:line="240" w:lineRule="exact"/>
              <w:rPr>
                <w:sz w:val="18"/>
                <w:szCs w:val="18"/>
                <w:rtl/>
              </w:rPr>
            </w:pPr>
          </w:p>
        </w:tc>
        <w:tc>
          <w:tcPr>
            <w:tcW w:w="832" w:type="dxa"/>
            <w:tcBorders>
              <w:top w:val="nil"/>
              <w:left w:val="nil"/>
              <w:bottom w:val="nil"/>
              <w:right w:val="nil"/>
            </w:tcBorders>
            <w:vAlign w:val="bottom"/>
          </w:tcPr>
          <w:p w14:paraId="4D533448" w14:textId="77777777" w:rsidR="00684D66" w:rsidRPr="001844D2" w:rsidRDefault="00684D66" w:rsidP="00684D66">
            <w:pPr>
              <w:pStyle w:val="-3"/>
              <w:spacing w:before="20" w:line="240" w:lineRule="exact"/>
              <w:rPr>
                <w:sz w:val="18"/>
                <w:szCs w:val="18"/>
                <w:rtl/>
              </w:rPr>
            </w:pPr>
          </w:p>
        </w:tc>
        <w:tc>
          <w:tcPr>
            <w:tcW w:w="1206" w:type="dxa"/>
            <w:tcBorders>
              <w:top w:val="nil"/>
              <w:left w:val="nil"/>
              <w:bottom w:val="nil"/>
              <w:right w:val="nil"/>
            </w:tcBorders>
            <w:vAlign w:val="bottom"/>
          </w:tcPr>
          <w:p w14:paraId="0C098E25" w14:textId="77777777" w:rsidR="00684D66" w:rsidRPr="001844D2" w:rsidRDefault="00684D66" w:rsidP="00684D66">
            <w:pPr>
              <w:pStyle w:val="-3"/>
              <w:spacing w:before="20" w:line="240" w:lineRule="exact"/>
              <w:rPr>
                <w:sz w:val="18"/>
                <w:szCs w:val="18"/>
                <w:rtl/>
              </w:rPr>
            </w:pPr>
          </w:p>
        </w:tc>
      </w:tr>
      <w:tr w:rsidR="00684D66" w:rsidRPr="00914DF0" w14:paraId="6F7DA1EE" w14:textId="77777777" w:rsidTr="001844D2">
        <w:tc>
          <w:tcPr>
            <w:tcW w:w="1077" w:type="dxa"/>
            <w:tcBorders>
              <w:top w:val="nil"/>
              <w:left w:val="nil"/>
              <w:bottom w:val="nil"/>
              <w:right w:val="nil"/>
            </w:tcBorders>
          </w:tcPr>
          <w:p w14:paraId="17868220" w14:textId="77777777" w:rsidR="00684D66" w:rsidRDefault="00684D66" w:rsidP="00684D66">
            <w:pPr>
              <w:pStyle w:val="-0"/>
              <w:spacing w:before="20" w:line="240" w:lineRule="exact"/>
              <w:rPr>
                <w:sz w:val="14"/>
                <w:szCs w:val="14"/>
                <w:rtl/>
              </w:rPr>
            </w:pPr>
          </w:p>
        </w:tc>
        <w:tc>
          <w:tcPr>
            <w:tcW w:w="4195" w:type="dxa"/>
            <w:tcBorders>
              <w:top w:val="nil"/>
              <w:left w:val="nil"/>
              <w:bottom w:val="nil"/>
              <w:right w:val="nil"/>
            </w:tcBorders>
            <w:vAlign w:val="bottom"/>
          </w:tcPr>
          <w:p w14:paraId="1E3ACC36" w14:textId="22C241E0" w:rsidR="00684D66" w:rsidRPr="001844D2" w:rsidRDefault="00684D66" w:rsidP="00FD45CB">
            <w:pPr>
              <w:pStyle w:val="-0"/>
              <w:spacing w:before="20" w:line="240" w:lineRule="exact"/>
              <w:rPr>
                <w:sz w:val="19"/>
                <w:szCs w:val="19"/>
                <w:rtl/>
              </w:rPr>
            </w:pPr>
            <w:r w:rsidRPr="001844D2">
              <w:rPr>
                <w:sz w:val="19"/>
                <w:szCs w:val="19"/>
                <w:rtl/>
              </w:rPr>
              <w:t>משכורות והוצאות נלוות</w:t>
            </w:r>
          </w:p>
        </w:tc>
        <w:tc>
          <w:tcPr>
            <w:tcW w:w="601" w:type="dxa"/>
            <w:tcBorders>
              <w:top w:val="nil"/>
              <w:left w:val="nil"/>
              <w:bottom w:val="nil"/>
              <w:right w:val="nil"/>
            </w:tcBorders>
            <w:vAlign w:val="bottom"/>
          </w:tcPr>
          <w:p w14:paraId="50B8EB23" w14:textId="77777777" w:rsidR="00684D66" w:rsidRPr="00E326B3" w:rsidRDefault="00684D66" w:rsidP="00684D66">
            <w:pPr>
              <w:pStyle w:val="-0"/>
              <w:spacing w:before="20" w:line="240" w:lineRule="exact"/>
              <w:ind w:left="0" w:firstLine="0"/>
              <w:jc w:val="center"/>
              <w:rPr>
                <w:sz w:val="17"/>
                <w:szCs w:val="17"/>
                <w:rtl/>
              </w:rPr>
            </w:pPr>
          </w:p>
        </w:tc>
        <w:tc>
          <w:tcPr>
            <w:tcW w:w="823" w:type="dxa"/>
            <w:tcBorders>
              <w:top w:val="nil"/>
              <w:left w:val="nil"/>
              <w:bottom w:val="nil"/>
              <w:right w:val="nil"/>
            </w:tcBorders>
            <w:vAlign w:val="bottom"/>
          </w:tcPr>
          <w:p w14:paraId="61218E68"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5F610CD0"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64" w:type="dxa"/>
            <w:tcBorders>
              <w:top w:val="nil"/>
              <w:left w:val="nil"/>
              <w:bottom w:val="nil"/>
              <w:right w:val="nil"/>
            </w:tcBorders>
            <w:vAlign w:val="bottom"/>
          </w:tcPr>
          <w:p w14:paraId="29356A05"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32" w:type="dxa"/>
            <w:tcBorders>
              <w:top w:val="nil"/>
              <w:left w:val="nil"/>
              <w:bottom w:val="nil"/>
              <w:right w:val="nil"/>
            </w:tcBorders>
            <w:vAlign w:val="bottom"/>
          </w:tcPr>
          <w:p w14:paraId="01310F39"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5221A32C"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r>
      <w:tr w:rsidR="00684D66" w:rsidRPr="00914DF0" w14:paraId="13406B54" w14:textId="77777777" w:rsidTr="001844D2">
        <w:tc>
          <w:tcPr>
            <w:tcW w:w="1077" w:type="dxa"/>
            <w:tcBorders>
              <w:top w:val="nil"/>
              <w:left w:val="nil"/>
              <w:bottom w:val="nil"/>
              <w:right w:val="nil"/>
            </w:tcBorders>
          </w:tcPr>
          <w:p w14:paraId="41BA0FB0" w14:textId="77777777" w:rsidR="00684D66" w:rsidRDefault="00684D66" w:rsidP="00684D66">
            <w:pPr>
              <w:pStyle w:val="-0"/>
              <w:spacing w:before="20" w:line="240" w:lineRule="exact"/>
              <w:rPr>
                <w:sz w:val="14"/>
                <w:szCs w:val="14"/>
                <w:rtl/>
              </w:rPr>
            </w:pPr>
          </w:p>
        </w:tc>
        <w:tc>
          <w:tcPr>
            <w:tcW w:w="4195" w:type="dxa"/>
            <w:tcBorders>
              <w:top w:val="nil"/>
              <w:left w:val="nil"/>
              <w:bottom w:val="nil"/>
              <w:right w:val="nil"/>
            </w:tcBorders>
            <w:vAlign w:val="bottom"/>
          </w:tcPr>
          <w:p w14:paraId="19F89FE4" w14:textId="77777777" w:rsidR="00684D66" w:rsidRPr="001844D2" w:rsidRDefault="00684D66" w:rsidP="00E91027">
            <w:pPr>
              <w:pStyle w:val="-0"/>
              <w:spacing w:before="20" w:line="240" w:lineRule="exact"/>
              <w:rPr>
                <w:sz w:val="19"/>
                <w:szCs w:val="19"/>
                <w:rtl/>
              </w:rPr>
            </w:pPr>
            <w:r w:rsidRPr="001844D2">
              <w:rPr>
                <w:sz w:val="19"/>
                <w:szCs w:val="19"/>
                <w:rtl/>
              </w:rPr>
              <w:t>אחזקה ופחת בניינים וציוד</w:t>
            </w:r>
          </w:p>
        </w:tc>
        <w:tc>
          <w:tcPr>
            <w:tcW w:w="601" w:type="dxa"/>
            <w:tcBorders>
              <w:top w:val="nil"/>
              <w:left w:val="nil"/>
              <w:bottom w:val="nil"/>
              <w:right w:val="nil"/>
            </w:tcBorders>
            <w:vAlign w:val="bottom"/>
          </w:tcPr>
          <w:p w14:paraId="721AB635" w14:textId="77777777" w:rsidR="00684D66" w:rsidRPr="00E326B3" w:rsidRDefault="00684D66" w:rsidP="00684D66">
            <w:pPr>
              <w:pStyle w:val="-0"/>
              <w:spacing w:before="20" w:line="240" w:lineRule="exact"/>
              <w:ind w:left="0" w:firstLine="0"/>
              <w:jc w:val="center"/>
              <w:rPr>
                <w:sz w:val="17"/>
                <w:szCs w:val="17"/>
                <w:rtl/>
              </w:rPr>
            </w:pPr>
          </w:p>
        </w:tc>
        <w:tc>
          <w:tcPr>
            <w:tcW w:w="823" w:type="dxa"/>
            <w:tcBorders>
              <w:top w:val="nil"/>
              <w:left w:val="nil"/>
              <w:bottom w:val="nil"/>
              <w:right w:val="nil"/>
            </w:tcBorders>
            <w:vAlign w:val="bottom"/>
          </w:tcPr>
          <w:p w14:paraId="05CCFAEE"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23C330B0"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64" w:type="dxa"/>
            <w:tcBorders>
              <w:top w:val="nil"/>
              <w:left w:val="nil"/>
              <w:bottom w:val="nil"/>
              <w:right w:val="nil"/>
            </w:tcBorders>
            <w:vAlign w:val="bottom"/>
          </w:tcPr>
          <w:p w14:paraId="122F9A92"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32" w:type="dxa"/>
            <w:tcBorders>
              <w:top w:val="nil"/>
              <w:left w:val="nil"/>
              <w:bottom w:val="nil"/>
              <w:right w:val="nil"/>
            </w:tcBorders>
            <w:vAlign w:val="bottom"/>
          </w:tcPr>
          <w:p w14:paraId="47498338"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6A3BCD50"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r>
      <w:tr w:rsidR="00684D66" w:rsidRPr="00914DF0" w14:paraId="5361D678" w14:textId="77777777" w:rsidTr="001844D2">
        <w:tc>
          <w:tcPr>
            <w:tcW w:w="1077" w:type="dxa"/>
            <w:tcBorders>
              <w:top w:val="nil"/>
              <w:left w:val="nil"/>
              <w:bottom w:val="nil"/>
              <w:right w:val="nil"/>
            </w:tcBorders>
          </w:tcPr>
          <w:p w14:paraId="29623342" w14:textId="77777777" w:rsidR="00684D66" w:rsidRDefault="00684D66" w:rsidP="00684D66">
            <w:pPr>
              <w:pStyle w:val="-0"/>
              <w:spacing w:before="20" w:line="240" w:lineRule="exact"/>
              <w:rPr>
                <w:sz w:val="14"/>
                <w:szCs w:val="14"/>
                <w:rtl/>
              </w:rPr>
            </w:pPr>
          </w:p>
        </w:tc>
        <w:tc>
          <w:tcPr>
            <w:tcW w:w="4195" w:type="dxa"/>
            <w:tcBorders>
              <w:top w:val="nil"/>
              <w:left w:val="nil"/>
              <w:bottom w:val="nil"/>
              <w:right w:val="nil"/>
            </w:tcBorders>
            <w:vAlign w:val="bottom"/>
          </w:tcPr>
          <w:p w14:paraId="3755383A" w14:textId="77777777" w:rsidR="00684D66" w:rsidRPr="001844D2" w:rsidRDefault="00684D66" w:rsidP="00684D66">
            <w:pPr>
              <w:pStyle w:val="-21"/>
              <w:spacing w:before="20" w:line="240" w:lineRule="exact"/>
              <w:rPr>
                <w:sz w:val="19"/>
                <w:szCs w:val="19"/>
                <w:rtl/>
              </w:rPr>
            </w:pPr>
            <w:r w:rsidRPr="001844D2">
              <w:rPr>
                <w:sz w:val="19"/>
                <w:szCs w:val="19"/>
                <w:rtl/>
              </w:rPr>
              <w:t>הפחתות וירידת ערך של נכסים בלתי מוחשיים ומוניטין</w:t>
            </w:r>
            <w:r w:rsidRPr="001844D2">
              <w:rPr>
                <w:rFonts w:hint="cs"/>
                <w:sz w:val="19"/>
                <w:szCs w:val="19"/>
                <w:rtl/>
              </w:rPr>
              <w:t xml:space="preserve"> </w:t>
            </w:r>
          </w:p>
        </w:tc>
        <w:tc>
          <w:tcPr>
            <w:tcW w:w="601" w:type="dxa"/>
            <w:tcBorders>
              <w:top w:val="nil"/>
              <w:left w:val="nil"/>
              <w:bottom w:val="nil"/>
              <w:right w:val="nil"/>
            </w:tcBorders>
            <w:vAlign w:val="bottom"/>
          </w:tcPr>
          <w:p w14:paraId="5B5AED53" w14:textId="77777777" w:rsidR="00684D66" w:rsidRPr="00E326B3" w:rsidRDefault="00684D66" w:rsidP="00684D66">
            <w:pPr>
              <w:pStyle w:val="-0"/>
              <w:spacing w:before="20" w:line="240" w:lineRule="exact"/>
              <w:ind w:left="0" w:firstLine="0"/>
              <w:jc w:val="center"/>
              <w:rPr>
                <w:sz w:val="17"/>
                <w:szCs w:val="17"/>
                <w:rtl/>
              </w:rPr>
            </w:pPr>
          </w:p>
        </w:tc>
        <w:tc>
          <w:tcPr>
            <w:tcW w:w="823" w:type="dxa"/>
            <w:tcBorders>
              <w:top w:val="nil"/>
              <w:left w:val="nil"/>
              <w:bottom w:val="nil"/>
              <w:right w:val="nil"/>
            </w:tcBorders>
            <w:vAlign w:val="bottom"/>
          </w:tcPr>
          <w:p w14:paraId="4A4F6457"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62C9399E"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64" w:type="dxa"/>
            <w:tcBorders>
              <w:top w:val="nil"/>
              <w:left w:val="nil"/>
              <w:bottom w:val="nil"/>
              <w:right w:val="nil"/>
            </w:tcBorders>
            <w:vAlign w:val="bottom"/>
          </w:tcPr>
          <w:p w14:paraId="5CB43E56"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32" w:type="dxa"/>
            <w:tcBorders>
              <w:top w:val="nil"/>
              <w:left w:val="nil"/>
              <w:bottom w:val="nil"/>
              <w:right w:val="nil"/>
            </w:tcBorders>
            <w:vAlign w:val="bottom"/>
          </w:tcPr>
          <w:p w14:paraId="09C83E37"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620776B5" w14:textId="77777777" w:rsidR="00684D66" w:rsidRPr="001844D2" w:rsidRDefault="00684D66" w:rsidP="00684D66">
            <w:pPr>
              <w:pStyle w:val="-3"/>
              <w:spacing w:before="20" w:line="240" w:lineRule="exact"/>
              <w:rPr>
                <w:sz w:val="18"/>
                <w:szCs w:val="18"/>
                <w:rtl/>
              </w:rPr>
            </w:pPr>
            <w:r w:rsidRPr="001844D2">
              <w:rPr>
                <w:rFonts w:hint="cs"/>
                <w:sz w:val="18"/>
                <w:szCs w:val="18"/>
                <w:rtl/>
              </w:rPr>
              <w:t xml:space="preserve"> </w:t>
            </w:r>
            <w:r w:rsidRPr="001844D2">
              <w:rPr>
                <w:sz w:val="18"/>
                <w:szCs w:val="18"/>
                <w:rtl/>
              </w:rPr>
              <w:t>0</w:t>
            </w:r>
          </w:p>
        </w:tc>
      </w:tr>
      <w:tr w:rsidR="00684D66" w:rsidRPr="00914DF0" w14:paraId="26B75F13" w14:textId="77777777" w:rsidTr="001844D2">
        <w:tc>
          <w:tcPr>
            <w:tcW w:w="1077" w:type="dxa"/>
            <w:tcBorders>
              <w:top w:val="nil"/>
              <w:left w:val="nil"/>
              <w:bottom w:val="nil"/>
              <w:right w:val="nil"/>
            </w:tcBorders>
          </w:tcPr>
          <w:p w14:paraId="6B6D95D4" w14:textId="67D69950" w:rsidR="00684D66" w:rsidRDefault="00684D66" w:rsidP="0001523C">
            <w:pPr>
              <w:pStyle w:val="-0"/>
              <w:spacing w:before="20" w:line="240" w:lineRule="exact"/>
              <w:jc w:val="center"/>
              <w:rPr>
                <w:sz w:val="14"/>
                <w:szCs w:val="14"/>
              </w:rPr>
            </w:pPr>
          </w:p>
        </w:tc>
        <w:tc>
          <w:tcPr>
            <w:tcW w:w="4195" w:type="dxa"/>
            <w:tcBorders>
              <w:top w:val="nil"/>
              <w:left w:val="nil"/>
              <w:bottom w:val="nil"/>
              <w:right w:val="nil"/>
            </w:tcBorders>
            <w:vAlign w:val="bottom"/>
          </w:tcPr>
          <w:p w14:paraId="6619D6DB" w14:textId="3FAC4524" w:rsidR="00684D66" w:rsidRPr="001844D2" w:rsidRDefault="00684D66" w:rsidP="00FD45CB">
            <w:pPr>
              <w:pStyle w:val="-0"/>
              <w:spacing w:before="20" w:line="240" w:lineRule="exact"/>
              <w:rPr>
                <w:sz w:val="19"/>
                <w:szCs w:val="19"/>
                <w:rtl/>
              </w:rPr>
            </w:pPr>
            <w:r w:rsidRPr="001844D2">
              <w:rPr>
                <w:sz w:val="19"/>
                <w:szCs w:val="19"/>
                <w:rtl/>
              </w:rPr>
              <w:t>הוצאות אחרות</w:t>
            </w:r>
          </w:p>
        </w:tc>
        <w:tc>
          <w:tcPr>
            <w:tcW w:w="601" w:type="dxa"/>
            <w:tcBorders>
              <w:top w:val="nil"/>
              <w:left w:val="nil"/>
              <w:bottom w:val="nil"/>
              <w:right w:val="nil"/>
            </w:tcBorders>
            <w:vAlign w:val="bottom"/>
          </w:tcPr>
          <w:p w14:paraId="08547EAE" w14:textId="77777777" w:rsidR="00684D66" w:rsidRPr="00E326B3" w:rsidRDefault="00684D66" w:rsidP="00684D66">
            <w:pPr>
              <w:pStyle w:val="-0"/>
              <w:spacing w:before="20" w:line="240" w:lineRule="exact"/>
              <w:ind w:left="0" w:firstLine="0"/>
              <w:jc w:val="center"/>
              <w:rPr>
                <w:sz w:val="17"/>
                <w:szCs w:val="17"/>
                <w:rtl/>
              </w:rPr>
            </w:pPr>
          </w:p>
        </w:tc>
        <w:tc>
          <w:tcPr>
            <w:tcW w:w="823" w:type="dxa"/>
            <w:tcBorders>
              <w:top w:val="nil"/>
              <w:left w:val="nil"/>
              <w:bottom w:val="nil"/>
              <w:right w:val="nil"/>
            </w:tcBorders>
            <w:vAlign w:val="bottom"/>
          </w:tcPr>
          <w:p w14:paraId="2C8C9B00"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292314E9"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64" w:type="dxa"/>
            <w:tcBorders>
              <w:top w:val="nil"/>
              <w:left w:val="nil"/>
              <w:bottom w:val="nil"/>
              <w:right w:val="nil"/>
            </w:tcBorders>
            <w:vAlign w:val="bottom"/>
          </w:tcPr>
          <w:p w14:paraId="41E5F42E"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32" w:type="dxa"/>
            <w:tcBorders>
              <w:top w:val="nil"/>
              <w:left w:val="nil"/>
              <w:bottom w:val="nil"/>
              <w:right w:val="nil"/>
            </w:tcBorders>
            <w:vAlign w:val="bottom"/>
          </w:tcPr>
          <w:p w14:paraId="2DD551C4"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6BAEA9DC"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r>
      <w:tr w:rsidR="00684D66" w:rsidRPr="00914DF0" w14:paraId="2A017776" w14:textId="77777777" w:rsidTr="001844D2">
        <w:tc>
          <w:tcPr>
            <w:tcW w:w="1077" w:type="dxa"/>
            <w:tcBorders>
              <w:top w:val="nil"/>
              <w:left w:val="nil"/>
              <w:bottom w:val="nil"/>
              <w:right w:val="nil"/>
            </w:tcBorders>
          </w:tcPr>
          <w:p w14:paraId="63C72302" w14:textId="77777777" w:rsidR="00684D66" w:rsidRDefault="00684D66" w:rsidP="00684D66">
            <w:pPr>
              <w:pStyle w:val="-0"/>
              <w:spacing w:before="20" w:line="240" w:lineRule="exact"/>
              <w:rPr>
                <w:sz w:val="14"/>
                <w:szCs w:val="14"/>
                <w:rtl/>
              </w:rPr>
            </w:pPr>
          </w:p>
        </w:tc>
        <w:tc>
          <w:tcPr>
            <w:tcW w:w="4195" w:type="dxa"/>
            <w:tcBorders>
              <w:top w:val="nil"/>
              <w:left w:val="nil"/>
              <w:bottom w:val="nil"/>
              <w:right w:val="nil"/>
            </w:tcBorders>
            <w:vAlign w:val="bottom"/>
          </w:tcPr>
          <w:p w14:paraId="6996EC06" w14:textId="77777777" w:rsidR="00684D66" w:rsidRPr="001844D2" w:rsidRDefault="00684D66" w:rsidP="00684D66">
            <w:pPr>
              <w:pStyle w:val="-0"/>
              <w:spacing w:before="20" w:line="240" w:lineRule="exact"/>
              <w:rPr>
                <w:b/>
                <w:bCs/>
                <w:sz w:val="19"/>
                <w:szCs w:val="19"/>
                <w:rtl/>
              </w:rPr>
            </w:pPr>
            <w:r w:rsidRPr="001844D2">
              <w:rPr>
                <w:b/>
                <w:bCs/>
                <w:sz w:val="19"/>
                <w:szCs w:val="19"/>
                <w:rtl/>
              </w:rPr>
              <w:t>סך כל ההוצאות התפעוליות והאחרות</w:t>
            </w:r>
          </w:p>
        </w:tc>
        <w:tc>
          <w:tcPr>
            <w:tcW w:w="601" w:type="dxa"/>
            <w:tcBorders>
              <w:top w:val="nil"/>
              <w:left w:val="nil"/>
              <w:bottom w:val="nil"/>
              <w:right w:val="nil"/>
            </w:tcBorders>
            <w:vAlign w:val="bottom"/>
          </w:tcPr>
          <w:p w14:paraId="5DE99C63" w14:textId="77777777" w:rsidR="00684D66" w:rsidRPr="00E326B3" w:rsidRDefault="00684D66" w:rsidP="00684D66">
            <w:pPr>
              <w:pStyle w:val="-0"/>
              <w:spacing w:before="20" w:line="240" w:lineRule="exact"/>
              <w:ind w:left="0" w:firstLine="0"/>
              <w:jc w:val="center"/>
              <w:rPr>
                <w:sz w:val="17"/>
                <w:szCs w:val="17"/>
                <w:rtl/>
              </w:rPr>
            </w:pPr>
          </w:p>
        </w:tc>
        <w:tc>
          <w:tcPr>
            <w:tcW w:w="823" w:type="dxa"/>
            <w:tcBorders>
              <w:top w:val="nil"/>
              <w:left w:val="nil"/>
              <w:bottom w:val="nil"/>
              <w:right w:val="nil"/>
            </w:tcBorders>
            <w:vAlign w:val="bottom"/>
          </w:tcPr>
          <w:p w14:paraId="6621659E" w14:textId="77777777" w:rsidR="00684D66" w:rsidRPr="001844D2" w:rsidRDefault="00684D66" w:rsidP="00684D66">
            <w:pPr>
              <w:pStyle w:val="-3"/>
              <w:pBdr>
                <w:bottom w:val="single" w:sz="4" w:space="1" w:color="auto"/>
              </w:pBdr>
              <w:spacing w:before="20" w:line="240" w:lineRule="exact"/>
              <w:rPr>
                <w:b/>
                <w:bCs/>
                <w:sz w:val="18"/>
                <w:szCs w:val="18"/>
                <w:rtl/>
              </w:rPr>
            </w:pPr>
            <w:r w:rsidRPr="001844D2">
              <w:rPr>
                <w:rFonts w:hint="cs"/>
                <w:b/>
                <w:bCs/>
                <w:sz w:val="18"/>
                <w:szCs w:val="18"/>
                <w:rtl/>
              </w:rPr>
              <w:t xml:space="preserve"> 0</w:t>
            </w:r>
          </w:p>
        </w:tc>
        <w:tc>
          <w:tcPr>
            <w:tcW w:w="891" w:type="dxa"/>
            <w:tcBorders>
              <w:top w:val="nil"/>
              <w:left w:val="nil"/>
              <w:bottom w:val="nil"/>
              <w:right w:val="nil"/>
            </w:tcBorders>
            <w:vAlign w:val="bottom"/>
          </w:tcPr>
          <w:p w14:paraId="2A444E91" w14:textId="77777777" w:rsidR="00684D66" w:rsidRPr="001844D2" w:rsidRDefault="00684D66" w:rsidP="00684D66">
            <w:pPr>
              <w:pStyle w:val="-3"/>
              <w:pBdr>
                <w:bottom w:val="single" w:sz="4" w:space="1" w:color="auto"/>
              </w:pBdr>
              <w:spacing w:before="20" w:line="240" w:lineRule="exact"/>
              <w:rPr>
                <w:b/>
                <w:bCs/>
                <w:sz w:val="18"/>
                <w:szCs w:val="18"/>
                <w:rtl/>
              </w:rPr>
            </w:pPr>
            <w:r w:rsidRPr="001844D2">
              <w:rPr>
                <w:rFonts w:hint="cs"/>
                <w:b/>
                <w:bCs/>
                <w:sz w:val="18"/>
                <w:szCs w:val="18"/>
                <w:rtl/>
              </w:rPr>
              <w:t xml:space="preserve"> </w:t>
            </w:r>
            <w:r w:rsidRPr="001844D2">
              <w:rPr>
                <w:b/>
                <w:bCs/>
                <w:sz w:val="18"/>
                <w:szCs w:val="18"/>
                <w:rtl/>
              </w:rPr>
              <w:t>0</w:t>
            </w:r>
          </w:p>
        </w:tc>
        <w:tc>
          <w:tcPr>
            <w:tcW w:w="864" w:type="dxa"/>
            <w:tcBorders>
              <w:top w:val="nil"/>
              <w:left w:val="nil"/>
              <w:bottom w:val="nil"/>
              <w:right w:val="nil"/>
            </w:tcBorders>
            <w:vAlign w:val="bottom"/>
          </w:tcPr>
          <w:p w14:paraId="1986E74C" w14:textId="77777777" w:rsidR="00684D66" w:rsidRPr="001844D2" w:rsidRDefault="00684D66" w:rsidP="00684D66">
            <w:pPr>
              <w:pStyle w:val="-3"/>
              <w:pBdr>
                <w:bottom w:val="single" w:sz="4" w:space="1" w:color="auto"/>
              </w:pBdr>
              <w:spacing w:before="20" w:line="240" w:lineRule="exact"/>
              <w:rPr>
                <w:b/>
                <w:bCs/>
                <w:sz w:val="18"/>
                <w:szCs w:val="18"/>
                <w:rtl/>
              </w:rPr>
            </w:pPr>
            <w:r w:rsidRPr="001844D2">
              <w:rPr>
                <w:rFonts w:hint="cs"/>
                <w:b/>
                <w:bCs/>
                <w:sz w:val="18"/>
                <w:szCs w:val="18"/>
                <w:rtl/>
              </w:rPr>
              <w:t xml:space="preserve"> </w:t>
            </w:r>
            <w:r w:rsidRPr="001844D2">
              <w:rPr>
                <w:b/>
                <w:bCs/>
                <w:sz w:val="18"/>
                <w:szCs w:val="18"/>
                <w:rtl/>
              </w:rPr>
              <w:t>0</w:t>
            </w:r>
          </w:p>
        </w:tc>
        <w:tc>
          <w:tcPr>
            <w:tcW w:w="832" w:type="dxa"/>
            <w:tcBorders>
              <w:top w:val="nil"/>
              <w:left w:val="nil"/>
              <w:bottom w:val="nil"/>
              <w:right w:val="nil"/>
            </w:tcBorders>
            <w:vAlign w:val="bottom"/>
          </w:tcPr>
          <w:p w14:paraId="6764012F" w14:textId="77777777" w:rsidR="00684D66" w:rsidRPr="001844D2" w:rsidRDefault="00684D66" w:rsidP="00684D66">
            <w:pPr>
              <w:pStyle w:val="-3"/>
              <w:pBdr>
                <w:bottom w:val="single" w:sz="4" w:space="1" w:color="auto"/>
              </w:pBdr>
              <w:spacing w:before="20" w:line="240" w:lineRule="exact"/>
              <w:rPr>
                <w:b/>
                <w:bCs/>
                <w:sz w:val="18"/>
                <w:szCs w:val="18"/>
                <w:rtl/>
              </w:rPr>
            </w:pPr>
            <w:r w:rsidRPr="001844D2">
              <w:rPr>
                <w:rFonts w:hint="cs"/>
                <w:b/>
                <w:bCs/>
                <w:sz w:val="18"/>
                <w:szCs w:val="18"/>
                <w:rtl/>
              </w:rPr>
              <w:t xml:space="preserve"> 0</w:t>
            </w:r>
          </w:p>
        </w:tc>
        <w:tc>
          <w:tcPr>
            <w:tcW w:w="1206" w:type="dxa"/>
            <w:tcBorders>
              <w:top w:val="nil"/>
              <w:left w:val="nil"/>
              <w:bottom w:val="nil"/>
              <w:right w:val="nil"/>
            </w:tcBorders>
            <w:vAlign w:val="bottom"/>
          </w:tcPr>
          <w:p w14:paraId="028E5938" w14:textId="77777777" w:rsidR="00684D66" w:rsidRPr="001844D2" w:rsidRDefault="00684D66" w:rsidP="00684D66">
            <w:pPr>
              <w:pStyle w:val="-3"/>
              <w:pBdr>
                <w:bottom w:val="single" w:sz="4" w:space="1" w:color="auto"/>
              </w:pBdr>
              <w:spacing w:before="20" w:line="240" w:lineRule="exact"/>
              <w:rPr>
                <w:b/>
                <w:bCs/>
                <w:sz w:val="18"/>
                <w:szCs w:val="18"/>
                <w:rtl/>
              </w:rPr>
            </w:pPr>
            <w:r w:rsidRPr="001844D2">
              <w:rPr>
                <w:rFonts w:hint="cs"/>
                <w:b/>
                <w:bCs/>
                <w:sz w:val="18"/>
                <w:szCs w:val="18"/>
                <w:rtl/>
              </w:rPr>
              <w:t xml:space="preserve"> </w:t>
            </w:r>
            <w:r w:rsidRPr="001844D2">
              <w:rPr>
                <w:b/>
                <w:bCs/>
                <w:sz w:val="18"/>
                <w:szCs w:val="18"/>
                <w:rtl/>
              </w:rPr>
              <w:t>0</w:t>
            </w:r>
          </w:p>
        </w:tc>
      </w:tr>
      <w:tr w:rsidR="00684D66" w:rsidRPr="00914DF0" w14:paraId="132202CD" w14:textId="77777777" w:rsidTr="001844D2">
        <w:tc>
          <w:tcPr>
            <w:tcW w:w="1077" w:type="dxa"/>
            <w:tcBorders>
              <w:top w:val="nil"/>
              <w:left w:val="nil"/>
              <w:bottom w:val="nil"/>
              <w:right w:val="nil"/>
            </w:tcBorders>
          </w:tcPr>
          <w:p w14:paraId="221735DA" w14:textId="77777777" w:rsidR="00684D66" w:rsidRDefault="00684D66" w:rsidP="00684D66">
            <w:pPr>
              <w:pStyle w:val="-b"/>
              <w:spacing w:before="20" w:line="240" w:lineRule="exact"/>
              <w:rPr>
                <w:sz w:val="14"/>
                <w:szCs w:val="14"/>
                <w:rtl/>
              </w:rPr>
            </w:pPr>
          </w:p>
        </w:tc>
        <w:tc>
          <w:tcPr>
            <w:tcW w:w="4195" w:type="dxa"/>
            <w:tcBorders>
              <w:top w:val="nil"/>
              <w:left w:val="nil"/>
              <w:bottom w:val="nil"/>
              <w:right w:val="nil"/>
            </w:tcBorders>
            <w:vAlign w:val="bottom"/>
          </w:tcPr>
          <w:p w14:paraId="6F79B4A6" w14:textId="6792E5E3" w:rsidR="00684D66" w:rsidRPr="001844D2" w:rsidRDefault="00684D66" w:rsidP="00684D66">
            <w:pPr>
              <w:pStyle w:val="-b"/>
              <w:spacing w:before="20" w:line="240" w:lineRule="exact"/>
              <w:rPr>
                <w:sz w:val="19"/>
                <w:szCs w:val="19"/>
                <w:rtl/>
              </w:rPr>
            </w:pPr>
            <w:r w:rsidRPr="001844D2">
              <w:rPr>
                <w:sz w:val="19"/>
                <w:szCs w:val="19"/>
                <w:rtl/>
              </w:rPr>
              <w:t>רווח לפני מסים</w:t>
            </w:r>
            <w:r w:rsidRPr="001844D2">
              <w:rPr>
                <w:sz w:val="19"/>
                <w:szCs w:val="19"/>
                <w:vertAlign w:val="superscript"/>
                <w:rtl/>
              </w:rPr>
              <w:t>[</w:t>
            </w:r>
            <w:r w:rsidRPr="001844D2">
              <w:rPr>
                <w:rStyle w:val="a7"/>
                <w:sz w:val="19"/>
                <w:szCs w:val="19"/>
                <w:rtl/>
              </w:rPr>
              <w:footnoteReference w:id="4"/>
            </w:r>
            <w:r w:rsidRPr="001844D2">
              <w:rPr>
                <w:sz w:val="19"/>
                <w:szCs w:val="19"/>
                <w:vertAlign w:val="superscript"/>
                <w:rtl/>
              </w:rPr>
              <w:t>]</w:t>
            </w:r>
          </w:p>
        </w:tc>
        <w:tc>
          <w:tcPr>
            <w:tcW w:w="601" w:type="dxa"/>
            <w:tcBorders>
              <w:top w:val="nil"/>
              <w:left w:val="nil"/>
              <w:bottom w:val="nil"/>
              <w:right w:val="nil"/>
            </w:tcBorders>
            <w:vAlign w:val="bottom"/>
          </w:tcPr>
          <w:p w14:paraId="2B1436F2" w14:textId="77777777" w:rsidR="00684D66" w:rsidRPr="00E326B3" w:rsidRDefault="00684D66" w:rsidP="00684D66">
            <w:pPr>
              <w:pStyle w:val="-7"/>
              <w:spacing w:before="20" w:line="240" w:lineRule="exact"/>
              <w:jc w:val="center"/>
              <w:rPr>
                <w:sz w:val="17"/>
                <w:szCs w:val="17"/>
                <w:rtl/>
              </w:rPr>
            </w:pPr>
          </w:p>
        </w:tc>
        <w:tc>
          <w:tcPr>
            <w:tcW w:w="823" w:type="dxa"/>
            <w:tcBorders>
              <w:top w:val="nil"/>
              <w:left w:val="nil"/>
              <w:bottom w:val="nil"/>
              <w:right w:val="nil"/>
            </w:tcBorders>
            <w:vAlign w:val="bottom"/>
          </w:tcPr>
          <w:p w14:paraId="418CB875" w14:textId="77777777" w:rsidR="00684D66" w:rsidRPr="001844D2" w:rsidRDefault="00684D66" w:rsidP="00684D66">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4E8D327A" w14:textId="77777777" w:rsidR="00684D66" w:rsidRPr="001844D2" w:rsidRDefault="00684D66" w:rsidP="00684D66">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r w:rsidRPr="001844D2">
              <w:rPr>
                <w:rFonts w:hint="cs"/>
                <w:sz w:val="18"/>
                <w:szCs w:val="18"/>
                <w:rtl/>
              </w:rPr>
              <w:t xml:space="preserve">  </w:t>
            </w:r>
            <w:r w:rsidRPr="001844D2">
              <w:rPr>
                <w:rFonts w:hint="cs"/>
                <w:sz w:val="18"/>
                <w:szCs w:val="18"/>
                <w:vertAlign w:val="superscript"/>
                <w:rtl/>
              </w:rPr>
              <w:t xml:space="preserve"> </w:t>
            </w:r>
          </w:p>
        </w:tc>
        <w:tc>
          <w:tcPr>
            <w:tcW w:w="864" w:type="dxa"/>
            <w:tcBorders>
              <w:top w:val="nil"/>
              <w:left w:val="nil"/>
              <w:bottom w:val="nil"/>
              <w:right w:val="nil"/>
            </w:tcBorders>
            <w:vAlign w:val="bottom"/>
          </w:tcPr>
          <w:p w14:paraId="19D64139" w14:textId="77777777" w:rsidR="00684D66" w:rsidRPr="001844D2" w:rsidRDefault="00684D66" w:rsidP="00684D66">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r w:rsidRPr="001844D2">
              <w:rPr>
                <w:rFonts w:hint="cs"/>
                <w:sz w:val="18"/>
                <w:szCs w:val="18"/>
                <w:rtl/>
              </w:rPr>
              <w:t xml:space="preserve"> </w:t>
            </w:r>
          </w:p>
        </w:tc>
        <w:tc>
          <w:tcPr>
            <w:tcW w:w="832" w:type="dxa"/>
            <w:tcBorders>
              <w:top w:val="nil"/>
              <w:left w:val="nil"/>
              <w:bottom w:val="nil"/>
              <w:right w:val="nil"/>
            </w:tcBorders>
            <w:vAlign w:val="bottom"/>
          </w:tcPr>
          <w:p w14:paraId="4B90E573" w14:textId="77777777" w:rsidR="00684D66" w:rsidRPr="001844D2" w:rsidRDefault="00684D66" w:rsidP="00684D66">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10BF3A08" w14:textId="77777777" w:rsidR="00684D66" w:rsidRPr="001844D2" w:rsidRDefault="00684D66" w:rsidP="00684D66">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r w:rsidRPr="001844D2">
              <w:rPr>
                <w:rFonts w:hint="cs"/>
                <w:sz w:val="18"/>
                <w:szCs w:val="18"/>
                <w:rtl/>
              </w:rPr>
              <w:t xml:space="preserve">  </w:t>
            </w:r>
            <w:r w:rsidRPr="001844D2">
              <w:rPr>
                <w:rFonts w:hint="cs"/>
                <w:sz w:val="18"/>
                <w:szCs w:val="18"/>
                <w:vertAlign w:val="superscript"/>
                <w:rtl/>
              </w:rPr>
              <w:t xml:space="preserve"> </w:t>
            </w:r>
          </w:p>
        </w:tc>
      </w:tr>
      <w:tr w:rsidR="00684D66" w:rsidRPr="00914DF0" w14:paraId="748922CF" w14:textId="77777777" w:rsidTr="001844D2">
        <w:tc>
          <w:tcPr>
            <w:tcW w:w="1077" w:type="dxa"/>
            <w:tcBorders>
              <w:top w:val="nil"/>
              <w:left w:val="nil"/>
              <w:bottom w:val="nil"/>
              <w:right w:val="nil"/>
            </w:tcBorders>
          </w:tcPr>
          <w:p w14:paraId="1AD2274D" w14:textId="77777777" w:rsidR="00684D66" w:rsidRDefault="00684D66" w:rsidP="00684D66">
            <w:pPr>
              <w:pStyle w:val="-0"/>
              <w:spacing w:before="20" w:line="240" w:lineRule="exact"/>
              <w:rPr>
                <w:sz w:val="14"/>
                <w:szCs w:val="14"/>
                <w:rtl/>
              </w:rPr>
            </w:pPr>
          </w:p>
        </w:tc>
        <w:tc>
          <w:tcPr>
            <w:tcW w:w="4195" w:type="dxa"/>
            <w:tcBorders>
              <w:top w:val="nil"/>
              <w:left w:val="nil"/>
              <w:bottom w:val="nil"/>
              <w:right w:val="nil"/>
            </w:tcBorders>
            <w:vAlign w:val="bottom"/>
          </w:tcPr>
          <w:p w14:paraId="0B3A6AA0" w14:textId="7CE2D824" w:rsidR="00684D66" w:rsidRPr="001844D2" w:rsidRDefault="00684D66" w:rsidP="00684D66">
            <w:pPr>
              <w:pStyle w:val="-21"/>
              <w:spacing w:before="20" w:line="240" w:lineRule="exact"/>
              <w:rPr>
                <w:sz w:val="19"/>
                <w:szCs w:val="19"/>
                <w:rtl/>
              </w:rPr>
            </w:pPr>
            <w:r w:rsidRPr="001844D2">
              <w:rPr>
                <w:sz w:val="19"/>
                <w:szCs w:val="19"/>
                <w:rtl/>
              </w:rPr>
              <w:t xml:space="preserve">הפרשה למסים על הרווח </w:t>
            </w:r>
            <w:r w:rsidR="004E7B6A" w:rsidRPr="001844D2">
              <w:rPr>
                <w:rFonts w:hint="cs"/>
                <w:sz w:val="19"/>
                <w:szCs w:val="19"/>
                <w:vertAlign w:val="superscript"/>
                <w:rtl/>
              </w:rPr>
              <w:t>[</w:t>
            </w:r>
            <w:r w:rsidR="006B1AA1" w:rsidRPr="001844D2">
              <w:rPr>
                <w:rStyle w:val="a7"/>
                <w:sz w:val="19"/>
                <w:szCs w:val="19"/>
                <w:rtl/>
              </w:rPr>
              <w:footnoteReference w:id="5"/>
            </w:r>
            <w:r w:rsidR="004E7B6A" w:rsidRPr="001844D2">
              <w:rPr>
                <w:rFonts w:hint="cs"/>
                <w:sz w:val="19"/>
                <w:szCs w:val="19"/>
                <w:vertAlign w:val="superscript"/>
                <w:rtl/>
              </w:rPr>
              <w:t>]</w:t>
            </w:r>
          </w:p>
        </w:tc>
        <w:tc>
          <w:tcPr>
            <w:tcW w:w="601" w:type="dxa"/>
            <w:tcBorders>
              <w:top w:val="nil"/>
              <w:left w:val="nil"/>
              <w:bottom w:val="nil"/>
              <w:right w:val="nil"/>
            </w:tcBorders>
            <w:vAlign w:val="bottom"/>
          </w:tcPr>
          <w:p w14:paraId="5B1931B3" w14:textId="77777777" w:rsidR="00684D66" w:rsidRPr="00E326B3" w:rsidRDefault="00684D66" w:rsidP="00684D66">
            <w:pPr>
              <w:pStyle w:val="-0"/>
              <w:spacing w:before="20" w:line="240" w:lineRule="exact"/>
              <w:ind w:left="0" w:firstLine="0"/>
              <w:jc w:val="center"/>
              <w:rPr>
                <w:sz w:val="17"/>
                <w:szCs w:val="17"/>
                <w:rtl/>
              </w:rPr>
            </w:pPr>
          </w:p>
        </w:tc>
        <w:tc>
          <w:tcPr>
            <w:tcW w:w="823" w:type="dxa"/>
            <w:tcBorders>
              <w:top w:val="nil"/>
              <w:left w:val="nil"/>
              <w:bottom w:val="nil"/>
              <w:right w:val="nil"/>
            </w:tcBorders>
            <w:vAlign w:val="bottom"/>
          </w:tcPr>
          <w:p w14:paraId="709474FE"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0A5933BB"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r w:rsidRPr="001844D2">
              <w:rPr>
                <w:rFonts w:hint="cs"/>
                <w:sz w:val="18"/>
                <w:szCs w:val="18"/>
                <w:rtl/>
              </w:rPr>
              <w:t xml:space="preserve"> </w:t>
            </w:r>
            <w:r w:rsidRPr="001844D2">
              <w:rPr>
                <w:rFonts w:hint="cs"/>
                <w:sz w:val="18"/>
                <w:szCs w:val="18"/>
                <w:vertAlign w:val="superscript"/>
                <w:rtl/>
              </w:rPr>
              <w:t xml:space="preserve"> </w:t>
            </w:r>
          </w:p>
        </w:tc>
        <w:tc>
          <w:tcPr>
            <w:tcW w:w="864" w:type="dxa"/>
            <w:tcBorders>
              <w:top w:val="nil"/>
              <w:left w:val="nil"/>
              <w:bottom w:val="nil"/>
              <w:right w:val="nil"/>
            </w:tcBorders>
            <w:vAlign w:val="bottom"/>
          </w:tcPr>
          <w:p w14:paraId="1B223F5D"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r w:rsidRPr="001844D2">
              <w:rPr>
                <w:rFonts w:hint="cs"/>
                <w:sz w:val="18"/>
                <w:szCs w:val="18"/>
                <w:rtl/>
              </w:rPr>
              <w:t xml:space="preserve">  </w:t>
            </w:r>
          </w:p>
        </w:tc>
        <w:tc>
          <w:tcPr>
            <w:tcW w:w="832" w:type="dxa"/>
            <w:tcBorders>
              <w:top w:val="nil"/>
              <w:left w:val="nil"/>
              <w:bottom w:val="nil"/>
              <w:right w:val="nil"/>
            </w:tcBorders>
            <w:vAlign w:val="bottom"/>
          </w:tcPr>
          <w:p w14:paraId="0BE58FA1"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00C3D9DA"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r w:rsidRPr="001844D2">
              <w:rPr>
                <w:rFonts w:hint="cs"/>
                <w:sz w:val="18"/>
                <w:szCs w:val="18"/>
                <w:rtl/>
              </w:rPr>
              <w:t xml:space="preserve">  </w:t>
            </w:r>
            <w:r w:rsidRPr="001844D2">
              <w:rPr>
                <w:rFonts w:hint="cs"/>
                <w:sz w:val="18"/>
                <w:szCs w:val="18"/>
                <w:vertAlign w:val="superscript"/>
                <w:rtl/>
              </w:rPr>
              <w:t xml:space="preserve"> </w:t>
            </w:r>
          </w:p>
        </w:tc>
      </w:tr>
      <w:tr w:rsidR="00684D66" w:rsidRPr="00914DF0" w14:paraId="3F7DABD9" w14:textId="77777777" w:rsidTr="001844D2">
        <w:tc>
          <w:tcPr>
            <w:tcW w:w="1077" w:type="dxa"/>
            <w:tcBorders>
              <w:top w:val="nil"/>
              <w:left w:val="nil"/>
              <w:bottom w:val="nil"/>
              <w:right w:val="nil"/>
            </w:tcBorders>
          </w:tcPr>
          <w:p w14:paraId="4C095C41" w14:textId="77777777" w:rsidR="00684D66" w:rsidRDefault="00684D66" w:rsidP="00684D66">
            <w:pPr>
              <w:pStyle w:val="-b"/>
              <w:spacing w:before="20" w:line="240" w:lineRule="exact"/>
              <w:rPr>
                <w:sz w:val="14"/>
                <w:szCs w:val="14"/>
                <w:rtl/>
              </w:rPr>
            </w:pPr>
          </w:p>
        </w:tc>
        <w:tc>
          <w:tcPr>
            <w:tcW w:w="4195" w:type="dxa"/>
            <w:tcBorders>
              <w:top w:val="nil"/>
              <w:left w:val="nil"/>
              <w:bottom w:val="nil"/>
              <w:right w:val="nil"/>
            </w:tcBorders>
            <w:vAlign w:val="bottom"/>
          </w:tcPr>
          <w:p w14:paraId="1E251523" w14:textId="615DADDA" w:rsidR="00684D66" w:rsidRPr="001844D2" w:rsidRDefault="00684D66" w:rsidP="00684D66">
            <w:pPr>
              <w:pStyle w:val="-b"/>
              <w:spacing w:before="20" w:line="240" w:lineRule="exact"/>
              <w:ind w:right="-144"/>
              <w:rPr>
                <w:sz w:val="19"/>
                <w:szCs w:val="19"/>
                <w:rtl/>
              </w:rPr>
            </w:pPr>
            <w:r w:rsidRPr="001844D2">
              <w:rPr>
                <w:sz w:val="19"/>
                <w:szCs w:val="19"/>
                <w:rtl/>
              </w:rPr>
              <w:t>רווח לאחר מסים</w:t>
            </w:r>
          </w:p>
        </w:tc>
        <w:tc>
          <w:tcPr>
            <w:tcW w:w="601" w:type="dxa"/>
            <w:tcBorders>
              <w:top w:val="nil"/>
              <w:left w:val="nil"/>
              <w:bottom w:val="nil"/>
              <w:right w:val="nil"/>
            </w:tcBorders>
            <w:vAlign w:val="bottom"/>
          </w:tcPr>
          <w:p w14:paraId="0FA8AC4B" w14:textId="77777777" w:rsidR="00684D66" w:rsidRPr="00E326B3" w:rsidRDefault="00684D66" w:rsidP="00684D66">
            <w:pPr>
              <w:pStyle w:val="-7"/>
              <w:spacing w:before="20" w:line="240" w:lineRule="exact"/>
              <w:jc w:val="center"/>
              <w:rPr>
                <w:sz w:val="17"/>
                <w:szCs w:val="17"/>
                <w:rtl/>
              </w:rPr>
            </w:pPr>
          </w:p>
        </w:tc>
        <w:tc>
          <w:tcPr>
            <w:tcW w:w="823" w:type="dxa"/>
            <w:tcBorders>
              <w:top w:val="nil"/>
              <w:left w:val="nil"/>
              <w:bottom w:val="nil"/>
              <w:right w:val="nil"/>
            </w:tcBorders>
            <w:vAlign w:val="bottom"/>
          </w:tcPr>
          <w:p w14:paraId="54E68526" w14:textId="77777777" w:rsidR="00684D66" w:rsidRPr="001844D2" w:rsidRDefault="00684D66" w:rsidP="00684D66">
            <w:pPr>
              <w:pStyle w:val="-f1"/>
              <w:pBdr>
                <w:top w:val="none" w:sz="0" w:space="0" w:color="auto"/>
              </w:pBdr>
              <w:spacing w:before="20" w:line="240" w:lineRule="exact"/>
              <w:rPr>
                <w:sz w:val="18"/>
                <w:szCs w:val="18"/>
                <w:rtl/>
              </w:rPr>
            </w:pPr>
            <w:r w:rsidRPr="001844D2">
              <w:rPr>
                <w:rFonts w:hint="cs"/>
                <w:sz w:val="18"/>
                <w:szCs w:val="18"/>
                <w:rtl/>
              </w:rPr>
              <w:t xml:space="preserve"> 0</w:t>
            </w:r>
          </w:p>
        </w:tc>
        <w:tc>
          <w:tcPr>
            <w:tcW w:w="891" w:type="dxa"/>
            <w:tcBorders>
              <w:top w:val="nil"/>
              <w:left w:val="nil"/>
              <w:bottom w:val="nil"/>
              <w:right w:val="nil"/>
            </w:tcBorders>
            <w:vAlign w:val="bottom"/>
          </w:tcPr>
          <w:p w14:paraId="2A8EDCB8" w14:textId="77777777" w:rsidR="00684D66" w:rsidRPr="001844D2" w:rsidRDefault="00684D66" w:rsidP="00684D66">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r w:rsidRPr="001844D2">
              <w:rPr>
                <w:rFonts w:hint="cs"/>
                <w:sz w:val="18"/>
                <w:szCs w:val="18"/>
                <w:rtl/>
              </w:rPr>
              <w:t xml:space="preserve">  </w:t>
            </w:r>
            <w:r w:rsidRPr="001844D2">
              <w:rPr>
                <w:rFonts w:hint="cs"/>
                <w:b w:val="0"/>
                <w:bCs w:val="0"/>
                <w:sz w:val="18"/>
                <w:szCs w:val="18"/>
                <w:vertAlign w:val="superscript"/>
                <w:rtl/>
              </w:rPr>
              <w:t xml:space="preserve"> </w:t>
            </w:r>
          </w:p>
        </w:tc>
        <w:tc>
          <w:tcPr>
            <w:tcW w:w="864" w:type="dxa"/>
            <w:tcBorders>
              <w:top w:val="nil"/>
              <w:left w:val="nil"/>
              <w:bottom w:val="nil"/>
              <w:right w:val="nil"/>
            </w:tcBorders>
            <w:vAlign w:val="bottom"/>
          </w:tcPr>
          <w:p w14:paraId="45B6577C" w14:textId="77777777" w:rsidR="00684D66" w:rsidRPr="001844D2" w:rsidRDefault="00684D66" w:rsidP="00684D66">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r w:rsidRPr="001844D2">
              <w:rPr>
                <w:rFonts w:hint="cs"/>
                <w:sz w:val="18"/>
                <w:szCs w:val="18"/>
                <w:rtl/>
              </w:rPr>
              <w:t xml:space="preserve">  </w:t>
            </w:r>
          </w:p>
        </w:tc>
        <w:tc>
          <w:tcPr>
            <w:tcW w:w="832" w:type="dxa"/>
            <w:tcBorders>
              <w:top w:val="nil"/>
              <w:left w:val="nil"/>
              <w:bottom w:val="nil"/>
              <w:right w:val="nil"/>
            </w:tcBorders>
            <w:vAlign w:val="bottom"/>
          </w:tcPr>
          <w:p w14:paraId="7F470550" w14:textId="77777777" w:rsidR="00684D66" w:rsidRPr="001844D2" w:rsidRDefault="00684D66" w:rsidP="00684D66">
            <w:pPr>
              <w:pStyle w:val="-f1"/>
              <w:pBdr>
                <w:top w:val="none" w:sz="0" w:space="0" w:color="auto"/>
              </w:pBdr>
              <w:spacing w:before="20" w:line="240" w:lineRule="exact"/>
              <w:rPr>
                <w:sz w:val="18"/>
                <w:szCs w:val="18"/>
                <w:rtl/>
              </w:rPr>
            </w:pPr>
            <w:r w:rsidRPr="001844D2">
              <w:rPr>
                <w:rFonts w:hint="cs"/>
                <w:sz w:val="18"/>
                <w:szCs w:val="18"/>
                <w:rtl/>
              </w:rPr>
              <w:t xml:space="preserve"> 0</w:t>
            </w:r>
          </w:p>
        </w:tc>
        <w:tc>
          <w:tcPr>
            <w:tcW w:w="1206" w:type="dxa"/>
            <w:tcBorders>
              <w:top w:val="nil"/>
              <w:left w:val="nil"/>
              <w:bottom w:val="nil"/>
              <w:right w:val="nil"/>
            </w:tcBorders>
            <w:vAlign w:val="bottom"/>
          </w:tcPr>
          <w:p w14:paraId="62A3C306" w14:textId="77777777" w:rsidR="00684D66" w:rsidRPr="001844D2" w:rsidRDefault="00684D66" w:rsidP="00684D66">
            <w:pPr>
              <w:pStyle w:val="-f1"/>
              <w:pBdr>
                <w:top w:val="none" w:sz="0" w:space="0" w:color="auto"/>
              </w:pBdr>
              <w:spacing w:before="20" w:line="240" w:lineRule="exact"/>
              <w:rPr>
                <w:sz w:val="18"/>
                <w:szCs w:val="18"/>
                <w:rtl/>
              </w:rPr>
            </w:pPr>
            <w:r w:rsidRPr="001844D2">
              <w:rPr>
                <w:rFonts w:hint="cs"/>
                <w:sz w:val="18"/>
                <w:szCs w:val="18"/>
                <w:rtl/>
              </w:rPr>
              <w:t xml:space="preserve"> </w:t>
            </w:r>
            <w:r w:rsidRPr="001844D2">
              <w:rPr>
                <w:sz w:val="18"/>
                <w:szCs w:val="18"/>
                <w:rtl/>
              </w:rPr>
              <w:t>0</w:t>
            </w:r>
            <w:r w:rsidRPr="001844D2">
              <w:rPr>
                <w:rFonts w:hint="cs"/>
                <w:sz w:val="18"/>
                <w:szCs w:val="18"/>
                <w:rtl/>
              </w:rPr>
              <w:t xml:space="preserve">  </w:t>
            </w:r>
            <w:r w:rsidRPr="001844D2">
              <w:rPr>
                <w:rFonts w:hint="cs"/>
                <w:sz w:val="18"/>
                <w:szCs w:val="18"/>
                <w:vertAlign w:val="superscript"/>
                <w:rtl/>
              </w:rPr>
              <w:t xml:space="preserve"> </w:t>
            </w:r>
          </w:p>
        </w:tc>
      </w:tr>
      <w:tr w:rsidR="00684D66" w:rsidRPr="00914DF0" w14:paraId="26E624C8" w14:textId="77777777" w:rsidTr="001844D2">
        <w:tc>
          <w:tcPr>
            <w:tcW w:w="1077" w:type="dxa"/>
            <w:tcBorders>
              <w:top w:val="nil"/>
              <w:left w:val="nil"/>
              <w:bottom w:val="nil"/>
              <w:right w:val="nil"/>
            </w:tcBorders>
          </w:tcPr>
          <w:p w14:paraId="2BCA65E3" w14:textId="77777777" w:rsidR="005D681B" w:rsidRDefault="005D681B" w:rsidP="00EA192D">
            <w:pPr>
              <w:pStyle w:val="-fa"/>
              <w:spacing w:before="20" w:line="240" w:lineRule="exact"/>
              <w:jc w:val="center"/>
              <w:rPr>
                <w:rtl/>
              </w:rPr>
            </w:pPr>
          </w:p>
          <w:p w14:paraId="0EB37E26" w14:textId="77777777" w:rsidR="005D681B" w:rsidRDefault="005D681B" w:rsidP="00EA192D">
            <w:pPr>
              <w:pStyle w:val="-fa"/>
              <w:spacing w:before="20" w:line="240" w:lineRule="exact"/>
              <w:jc w:val="center"/>
            </w:pPr>
          </w:p>
        </w:tc>
        <w:tc>
          <w:tcPr>
            <w:tcW w:w="4195" w:type="dxa"/>
            <w:tcBorders>
              <w:top w:val="nil"/>
              <w:left w:val="nil"/>
              <w:bottom w:val="nil"/>
              <w:right w:val="nil"/>
            </w:tcBorders>
            <w:vAlign w:val="bottom"/>
          </w:tcPr>
          <w:p w14:paraId="16FB32A0" w14:textId="77777777" w:rsidR="00684D66" w:rsidRPr="001844D2" w:rsidRDefault="00684D66" w:rsidP="00BA6CC5">
            <w:pPr>
              <w:pStyle w:val="-21"/>
              <w:spacing w:before="20"/>
              <w:ind w:left="142" w:hanging="142"/>
              <w:rPr>
                <w:sz w:val="19"/>
                <w:szCs w:val="19"/>
                <w:rtl/>
              </w:rPr>
            </w:pPr>
            <w:r w:rsidRPr="001844D2">
              <w:rPr>
                <w:sz w:val="19"/>
                <w:szCs w:val="19"/>
                <w:rtl/>
              </w:rPr>
              <w:t>חלקו של התאגיד הבנקאי ברווחים</w:t>
            </w:r>
            <w:r w:rsidRPr="001844D2">
              <w:rPr>
                <w:rFonts w:hint="cs"/>
                <w:sz w:val="19"/>
                <w:szCs w:val="19"/>
                <w:rtl/>
              </w:rPr>
              <w:t xml:space="preserve"> (הפסדים) של חברות כלולות לאחר השפעת המס</w:t>
            </w:r>
            <w:r w:rsidR="005D681B" w:rsidRPr="001844D2">
              <w:rPr>
                <w:rFonts w:hint="cs"/>
                <w:sz w:val="19"/>
                <w:szCs w:val="19"/>
                <w:rtl/>
              </w:rPr>
              <w:t xml:space="preserve"> </w:t>
            </w:r>
          </w:p>
        </w:tc>
        <w:tc>
          <w:tcPr>
            <w:tcW w:w="601" w:type="dxa"/>
            <w:tcBorders>
              <w:top w:val="nil"/>
              <w:left w:val="nil"/>
              <w:bottom w:val="nil"/>
              <w:right w:val="nil"/>
            </w:tcBorders>
            <w:vAlign w:val="bottom"/>
          </w:tcPr>
          <w:p w14:paraId="3DD1EE28" w14:textId="77777777" w:rsidR="00684D66" w:rsidRPr="00E326B3" w:rsidRDefault="00684D66" w:rsidP="00684D66">
            <w:pPr>
              <w:pStyle w:val="-0"/>
              <w:spacing w:before="20" w:line="240" w:lineRule="exact"/>
              <w:ind w:left="0" w:firstLine="0"/>
              <w:jc w:val="center"/>
              <w:rPr>
                <w:sz w:val="17"/>
                <w:szCs w:val="17"/>
                <w:rtl/>
              </w:rPr>
            </w:pPr>
          </w:p>
        </w:tc>
        <w:tc>
          <w:tcPr>
            <w:tcW w:w="823" w:type="dxa"/>
            <w:tcBorders>
              <w:top w:val="nil"/>
              <w:left w:val="nil"/>
              <w:bottom w:val="nil"/>
              <w:right w:val="nil"/>
            </w:tcBorders>
            <w:vAlign w:val="bottom"/>
          </w:tcPr>
          <w:p w14:paraId="39AA39B1"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527407E0"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64" w:type="dxa"/>
            <w:tcBorders>
              <w:top w:val="nil"/>
              <w:left w:val="nil"/>
              <w:bottom w:val="nil"/>
              <w:right w:val="nil"/>
            </w:tcBorders>
            <w:vAlign w:val="bottom"/>
          </w:tcPr>
          <w:p w14:paraId="485F0EA4"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832" w:type="dxa"/>
            <w:tcBorders>
              <w:top w:val="nil"/>
              <w:left w:val="nil"/>
              <w:bottom w:val="nil"/>
              <w:right w:val="nil"/>
            </w:tcBorders>
            <w:vAlign w:val="bottom"/>
          </w:tcPr>
          <w:p w14:paraId="01C1837F"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77DE5169" w14:textId="77777777" w:rsidR="00684D66" w:rsidRPr="001844D2" w:rsidRDefault="00684D66" w:rsidP="00684D66">
            <w:pPr>
              <w:pStyle w:val="-3"/>
              <w:pBdr>
                <w:bottom w:val="single" w:sz="4" w:space="1" w:color="auto"/>
              </w:pBdr>
              <w:spacing w:before="20" w:line="240" w:lineRule="exact"/>
              <w:rPr>
                <w:sz w:val="18"/>
                <w:szCs w:val="18"/>
                <w:rtl/>
              </w:rPr>
            </w:pPr>
            <w:r w:rsidRPr="001844D2">
              <w:rPr>
                <w:rFonts w:hint="cs"/>
                <w:sz w:val="18"/>
                <w:szCs w:val="18"/>
                <w:rtl/>
              </w:rPr>
              <w:t xml:space="preserve"> </w:t>
            </w:r>
            <w:r w:rsidRPr="001844D2">
              <w:rPr>
                <w:sz w:val="18"/>
                <w:szCs w:val="18"/>
                <w:rtl/>
              </w:rPr>
              <w:t>0</w:t>
            </w:r>
          </w:p>
        </w:tc>
      </w:tr>
      <w:tr w:rsidR="00BA6CC5" w:rsidRPr="00914DF0" w14:paraId="56E71B75" w14:textId="77777777" w:rsidTr="001844D2">
        <w:tc>
          <w:tcPr>
            <w:tcW w:w="1077" w:type="dxa"/>
            <w:tcBorders>
              <w:top w:val="nil"/>
              <w:left w:val="nil"/>
              <w:bottom w:val="nil"/>
              <w:right w:val="nil"/>
            </w:tcBorders>
          </w:tcPr>
          <w:p w14:paraId="3C5A4569" w14:textId="77777777" w:rsidR="00BA6CC5" w:rsidRDefault="00BA6CC5" w:rsidP="00BA6CC5">
            <w:pPr>
              <w:pStyle w:val="-fa"/>
              <w:spacing w:before="20" w:line="240" w:lineRule="exact"/>
              <w:jc w:val="center"/>
              <w:rPr>
                <w:rtl/>
              </w:rPr>
            </w:pPr>
          </w:p>
        </w:tc>
        <w:tc>
          <w:tcPr>
            <w:tcW w:w="4195" w:type="dxa"/>
            <w:tcBorders>
              <w:top w:val="nil"/>
              <w:left w:val="nil"/>
              <w:bottom w:val="nil"/>
              <w:right w:val="nil"/>
            </w:tcBorders>
            <w:vAlign w:val="bottom"/>
          </w:tcPr>
          <w:p w14:paraId="6E2599F2" w14:textId="08A8F73F" w:rsidR="00BA6CC5" w:rsidRPr="001844D2" w:rsidRDefault="00BA6CC5" w:rsidP="00BA6CC5">
            <w:pPr>
              <w:pStyle w:val="-21"/>
              <w:spacing w:before="20"/>
              <w:rPr>
                <w:b/>
                <w:bCs/>
                <w:sz w:val="19"/>
                <w:szCs w:val="19"/>
                <w:rtl/>
              </w:rPr>
            </w:pPr>
            <w:r w:rsidRPr="001844D2">
              <w:rPr>
                <w:b/>
                <w:bCs/>
                <w:sz w:val="19"/>
                <w:szCs w:val="19"/>
                <w:u w:val="single"/>
                <w:rtl/>
              </w:rPr>
              <w:t>רווח נקי</w:t>
            </w:r>
            <w:r w:rsidRPr="001844D2">
              <w:rPr>
                <w:b/>
                <w:bCs/>
                <w:sz w:val="19"/>
                <w:szCs w:val="19"/>
                <w:rtl/>
              </w:rPr>
              <w:t xml:space="preserve">: </w:t>
            </w:r>
          </w:p>
        </w:tc>
        <w:tc>
          <w:tcPr>
            <w:tcW w:w="601" w:type="dxa"/>
            <w:tcBorders>
              <w:top w:val="nil"/>
              <w:left w:val="nil"/>
              <w:bottom w:val="nil"/>
              <w:right w:val="nil"/>
            </w:tcBorders>
            <w:vAlign w:val="bottom"/>
          </w:tcPr>
          <w:p w14:paraId="338FB9B9" w14:textId="77777777" w:rsidR="00BA6CC5" w:rsidRPr="00E326B3" w:rsidRDefault="00BA6CC5" w:rsidP="00BA6CC5">
            <w:pPr>
              <w:pStyle w:val="-0"/>
              <w:spacing w:before="20" w:line="200" w:lineRule="exact"/>
              <w:ind w:left="0" w:firstLine="0"/>
              <w:jc w:val="center"/>
              <w:rPr>
                <w:sz w:val="17"/>
                <w:szCs w:val="17"/>
                <w:rtl/>
              </w:rPr>
            </w:pPr>
          </w:p>
        </w:tc>
        <w:tc>
          <w:tcPr>
            <w:tcW w:w="823" w:type="dxa"/>
            <w:tcBorders>
              <w:top w:val="nil"/>
              <w:left w:val="nil"/>
              <w:bottom w:val="nil"/>
              <w:right w:val="nil"/>
            </w:tcBorders>
            <w:vAlign w:val="bottom"/>
          </w:tcPr>
          <w:p w14:paraId="2BD4BBC2" w14:textId="77777777" w:rsidR="00BA6CC5" w:rsidRPr="001844D2" w:rsidRDefault="00BA6CC5" w:rsidP="00BA6CC5">
            <w:pPr>
              <w:pStyle w:val="-3"/>
              <w:spacing w:before="20" w:line="200" w:lineRule="exact"/>
              <w:rPr>
                <w:sz w:val="18"/>
                <w:szCs w:val="18"/>
                <w:rtl/>
              </w:rPr>
            </w:pPr>
          </w:p>
        </w:tc>
        <w:tc>
          <w:tcPr>
            <w:tcW w:w="891" w:type="dxa"/>
            <w:tcBorders>
              <w:top w:val="nil"/>
              <w:left w:val="nil"/>
              <w:bottom w:val="nil"/>
              <w:right w:val="nil"/>
            </w:tcBorders>
            <w:vAlign w:val="bottom"/>
          </w:tcPr>
          <w:p w14:paraId="1B33DB3E" w14:textId="77777777" w:rsidR="00BA6CC5" w:rsidRPr="001844D2" w:rsidRDefault="00BA6CC5" w:rsidP="00BA6CC5">
            <w:pPr>
              <w:pStyle w:val="-3"/>
              <w:spacing w:before="20" w:line="200" w:lineRule="exact"/>
              <w:rPr>
                <w:sz w:val="18"/>
                <w:szCs w:val="18"/>
                <w:rtl/>
              </w:rPr>
            </w:pPr>
          </w:p>
        </w:tc>
        <w:tc>
          <w:tcPr>
            <w:tcW w:w="864" w:type="dxa"/>
            <w:tcBorders>
              <w:top w:val="nil"/>
              <w:left w:val="nil"/>
              <w:bottom w:val="nil"/>
              <w:right w:val="nil"/>
            </w:tcBorders>
            <w:vAlign w:val="bottom"/>
          </w:tcPr>
          <w:p w14:paraId="2F6EA43A" w14:textId="77777777" w:rsidR="00BA6CC5" w:rsidRPr="001844D2" w:rsidRDefault="00BA6CC5" w:rsidP="00BA6CC5">
            <w:pPr>
              <w:pStyle w:val="-3"/>
              <w:spacing w:before="20" w:line="200" w:lineRule="exact"/>
              <w:rPr>
                <w:sz w:val="18"/>
                <w:szCs w:val="18"/>
                <w:rtl/>
              </w:rPr>
            </w:pPr>
          </w:p>
        </w:tc>
        <w:tc>
          <w:tcPr>
            <w:tcW w:w="832" w:type="dxa"/>
            <w:tcBorders>
              <w:top w:val="nil"/>
              <w:left w:val="nil"/>
              <w:bottom w:val="nil"/>
              <w:right w:val="nil"/>
            </w:tcBorders>
            <w:vAlign w:val="bottom"/>
          </w:tcPr>
          <w:p w14:paraId="429F2295" w14:textId="77777777" w:rsidR="00BA6CC5" w:rsidRPr="001844D2" w:rsidRDefault="00BA6CC5" w:rsidP="00BA6CC5">
            <w:pPr>
              <w:pStyle w:val="-3"/>
              <w:spacing w:before="20" w:line="200" w:lineRule="exact"/>
              <w:rPr>
                <w:sz w:val="18"/>
                <w:szCs w:val="18"/>
                <w:rtl/>
              </w:rPr>
            </w:pPr>
          </w:p>
        </w:tc>
        <w:tc>
          <w:tcPr>
            <w:tcW w:w="1206" w:type="dxa"/>
            <w:tcBorders>
              <w:top w:val="nil"/>
              <w:left w:val="nil"/>
              <w:bottom w:val="nil"/>
              <w:right w:val="nil"/>
            </w:tcBorders>
            <w:vAlign w:val="bottom"/>
          </w:tcPr>
          <w:p w14:paraId="6DFE7BFA" w14:textId="77777777" w:rsidR="00BA6CC5" w:rsidRPr="001844D2" w:rsidRDefault="00BA6CC5" w:rsidP="00BA6CC5">
            <w:pPr>
              <w:pStyle w:val="-3"/>
              <w:spacing w:before="20" w:line="200" w:lineRule="exact"/>
              <w:rPr>
                <w:sz w:val="18"/>
                <w:szCs w:val="18"/>
                <w:rtl/>
              </w:rPr>
            </w:pPr>
          </w:p>
        </w:tc>
      </w:tr>
      <w:tr w:rsidR="00BA6CC5" w:rsidRPr="00914DF0" w14:paraId="430A46AA" w14:textId="77777777" w:rsidTr="001844D2">
        <w:tc>
          <w:tcPr>
            <w:tcW w:w="1077" w:type="dxa"/>
            <w:tcBorders>
              <w:top w:val="nil"/>
              <w:left w:val="nil"/>
              <w:bottom w:val="nil"/>
              <w:right w:val="nil"/>
            </w:tcBorders>
          </w:tcPr>
          <w:p w14:paraId="62A13455" w14:textId="77777777" w:rsidR="00BA6CC5" w:rsidRDefault="00BA6CC5" w:rsidP="00BA6CC5">
            <w:pPr>
              <w:pStyle w:val="-fa"/>
              <w:spacing w:before="20" w:line="240" w:lineRule="exact"/>
              <w:jc w:val="center"/>
              <w:rPr>
                <w:rtl/>
              </w:rPr>
            </w:pPr>
          </w:p>
        </w:tc>
        <w:tc>
          <w:tcPr>
            <w:tcW w:w="4195" w:type="dxa"/>
            <w:tcBorders>
              <w:top w:val="nil"/>
              <w:left w:val="nil"/>
              <w:bottom w:val="nil"/>
              <w:right w:val="nil"/>
            </w:tcBorders>
            <w:vAlign w:val="bottom"/>
          </w:tcPr>
          <w:p w14:paraId="5D617E63" w14:textId="5521E415" w:rsidR="00BA6CC5" w:rsidRPr="001844D2" w:rsidRDefault="00BA6CC5" w:rsidP="00BA6CC5">
            <w:pPr>
              <w:pStyle w:val="-21"/>
              <w:spacing w:before="20"/>
              <w:rPr>
                <w:sz w:val="19"/>
                <w:szCs w:val="19"/>
                <w:rtl/>
              </w:rPr>
            </w:pPr>
            <w:r w:rsidRPr="001844D2">
              <w:rPr>
                <w:sz w:val="19"/>
                <w:szCs w:val="19"/>
                <w:rtl/>
              </w:rPr>
              <w:t>לפני ייחוס לבעלי זכויות שאינן מקנות שליטה</w:t>
            </w:r>
          </w:p>
        </w:tc>
        <w:tc>
          <w:tcPr>
            <w:tcW w:w="601" w:type="dxa"/>
            <w:tcBorders>
              <w:top w:val="nil"/>
              <w:left w:val="nil"/>
              <w:bottom w:val="nil"/>
              <w:right w:val="nil"/>
            </w:tcBorders>
            <w:vAlign w:val="bottom"/>
          </w:tcPr>
          <w:p w14:paraId="003A902F" w14:textId="77777777" w:rsidR="00BA6CC5" w:rsidRPr="00E326B3" w:rsidRDefault="00BA6CC5" w:rsidP="00BA6CC5">
            <w:pPr>
              <w:pStyle w:val="-0"/>
              <w:spacing w:before="20" w:line="200" w:lineRule="exact"/>
              <w:ind w:left="0" w:firstLine="0"/>
              <w:jc w:val="center"/>
              <w:rPr>
                <w:sz w:val="17"/>
                <w:szCs w:val="17"/>
                <w:rtl/>
              </w:rPr>
            </w:pPr>
          </w:p>
        </w:tc>
        <w:tc>
          <w:tcPr>
            <w:tcW w:w="823" w:type="dxa"/>
            <w:tcBorders>
              <w:top w:val="nil"/>
              <w:left w:val="nil"/>
              <w:bottom w:val="nil"/>
              <w:right w:val="nil"/>
            </w:tcBorders>
            <w:vAlign w:val="bottom"/>
          </w:tcPr>
          <w:p w14:paraId="61BA03FC" w14:textId="2A9DAE84" w:rsidR="00BA6CC5" w:rsidRPr="001844D2" w:rsidRDefault="00BA6CC5" w:rsidP="00BA6CC5">
            <w:pPr>
              <w:pStyle w:val="-3"/>
              <w:spacing w:before="20" w:line="20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3837BB22" w14:textId="7E3CCCB3" w:rsidR="00BA6CC5" w:rsidRPr="001844D2" w:rsidRDefault="00BA6CC5" w:rsidP="00BA6CC5">
            <w:pPr>
              <w:pStyle w:val="-3"/>
              <w:spacing w:before="20" w:line="200" w:lineRule="exact"/>
              <w:rPr>
                <w:sz w:val="18"/>
                <w:szCs w:val="18"/>
                <w:rtl/>
              </w:rPr>
            </w:pPr>
            <w:r w:rsidRPr="001844D2">
              <w:rPr>
                <w:rFonts w:hint="cs"/>
                <w:sz w:val="18"/>
                <w:szCs w:val="18"/>
                <w:rtl/>
              </w:rPr>
              <w:t xml:space="preserve"> </w:t>
            </w:r>
            <w:r w:rsidRPr="001844D2">
              <w:rPr>
                <w:sz w:val="18"/>
                <w:szCs w:val="18"/>
                <w:rtl/>
              </w:rPr>
              <w:t>0</w:t>
            </w:r>
          </w:p>
        </w:tc>
        <w:tc>
          <w:tcPr>
            <w:tcW w:w="864" w:type="dxa"/>
            <w:tcBorders>
              <w:top w:val="nil"/>
              <w:left w:val="nil"/>
              <w:bottom w:val="nil"/>
              <w:right w:val="nil"/>
            </w:tcBorders>
            <w:vAlign w:val="bottom"/>
          </w:tcPr>
          <w:p w14:paraId="4D12CE62" w14:textId="7D85EB8E" w:rsidR="00BA6CC5" w:rsidRPr="001844D2" w:rsidRDefault="00BA6CC5" w:rsidP="00BA6CC5">
            <w:pPr>
              <w:pStyle w:val="-3"/>
              <w:spacing w:before="20" w:line="200" w:lineRule="exact"/>
              <w:rPr>
                <w:sz w:val="18"/>
                <w:szCs w:val="18"/>
                <w:rtl/>
              </w:rPr>
            </w:pPr>
            <w:r w:rsidRPr="001844D2">
              <w:rPr>
                <w:rFonts w:hint="cs"/>
                <w:sz w:val="18"/>
                <w:szCs w:val="18"/>
                <w:rtl/>
              </w:rPr>
              <w:t xml:space="preserve"> </w:t>
            </w:r>
            <w:r w:rsidRPr="001844D2">
              <w:rPr>
                <w:sz w:val="18"/>
                <w:szCs w:val="18"/>
                <w:rtl/>
              </w:rPr>
              <w:t>0</w:t>
            </w:r>
          </w:p>
        </w:tc>
        <w:tc>
          <w:tcPr>
            <w:tcW w:w="832" w:type="dxa"/>
            <w:tcBorders>
              <w:top w:val="nil"/>
              <w:left w:val="nil"/>
              <w:bottom w:val="nil"/>
              <w:right w:val="nil"/>
            </w:tcBorders>
            <w:vAlign w:val="bottom"/>
          </w:tcPr>
          <w:p w14:paraId="658466EE" w14:textId="15AAA298" w:rsidR="00BA6CC5" w:rsidRPr="001844D2" w:rsidRDefault="00BA6CC5" w:rsidP="00BA6CC5">
            <w:pPr>
              <w:pStyle w:val="-3"/>
              <w:spacing w:before="20" w:line="20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236DB6CB" w14:textId="4E2C6C5F" w:rsidR="00BA6CC5" w:rsidRPr="001844D2" w:rsidRDefault="00BA6CC5" w:rsidP="00BA6CC5">
            <w:pPr>
              <w:pStyle w:val="-3"/>
              <w:spacing w:before="20" w:line="200" w:lineRule="exact"/>
              <w:rPr>
                <w:sz w:val="18"/>
                <w:szCs w:val="18"/>
                <w:rtl/>
              </w:rPr>
            </w:pPr>
            <w:r w:rsidRPr="001844D2">
              <w:rPr>
                <w:rFonts w:hint="cs"/>
                <w:sz w:val="18"/>
                <w:szCs w:val="18"/>
                <w:rtl/>
              </w:rPr>
              <w:t xml:space="preserve"> </w:t>
            </w:r>
            <w:r w:rsidRPr="001844D2">
              <w:rPr>
                <w:sz w:val="18"/>
                <w:szCs w:val="18"/>
                <w:rtl/>
              </w:rPr>
              <w:t>0</w:t>
            </w:r>
          </w:p>
        </w:tc>
      </w:tr>
      <w:tr w:rsidR="00BA6CC5" w:rsidRPr="00914DF0" w14:paraId="13F272A0" w14:textId="77777777" w:rsidTr="001844D2">
        <w:tc>
          <w:tcPr>
            <w:tcW w:w="1077" w:type="dxa"/>
            <w:tcBorders>
              <w:top w:val="nil"/>
              <w:left w:val="nil"/>
              <w:bottom w:val="nil"/>
              <w:right w:val="nil"/>
            </w:tcBorders>
          </w:tcPr>
          <w:p w14:paraId="4B59D238" w14:textId="77777777" w:rsidR="00BA6CC5" w:rsidRDefault="00BA6CC5" w:rsidP="00BA6CC5">
            <w:pPr>
              <w:pStyle w:val="-fa"/>
              <w:spacing w:before="20" w:line="240" w:lineRule="exact"/>
              <w:jc w:val="center"/>
              <w:rPr>
                <w:rtl/>
              </w:rPr>
            </w:pPr>
          </w:p>
        </w:tc>
        <w:tc>
          <w:tcPr>
            <w:tcW w:w="4195" w:type="dxa"/>
            <w:tcBorders>
              <w:top w:val="nil"/>
              <w:left w:val="nil"/>
              <w:bottom w:val="nil"/>
              <w:right w:val="nil"/>
            </w:tcBorders>
            <w:vAlign w:val="bottom"/>
          </w:tcPr>
          <w:p w14:paraId="4FE28F60" w14:textId="1037DC50" w:rsidR="00BA6CC5" w:rsidRPr="001844D2" w:rsidRDefault="00BA6CC5" w:rsidP="00BA6CC5">
            <w:pPr>
              <w:pStyle w:val="-21"/>
              <w:spacing w:before="20"/>
              <w:rPr>
                <w:sz w:val="19"/>
                <w:szCs w:val="19"/>
                <w:rtl/>
              </w:rPr>
            </w:pPr>
            <w:r w:rsidRPr="001844D2">
              <w:rPr>
                <w:sz w:val="19"/>
                <w:szCs w:val="19"/>
                <w:rtl/>
              </w:rPr>
              <w:t>המיוחס לבעלי זכויות שאינן מקנות שליטה</w:t>
            </w:r>
          </w:p>
        </w:tc>
        <w:tc>
          <w:tcPr>
            <w:tcW w:w="601" w:type="dxa"/>
            <w:tcBorders>
              <w:top w:val="nil"/>
              <w:left w:val="nil"/>
              <w:bottom w:val="nil"/>
              <w:right w:val="nil"/>
            </w:tcBorders>
            <w:vAlign w:val="bottom"/>
          </w:tcPr>
          <w:p w14:paraId="41A33855" w14:textId="77777777" w:rsidR="00BA6CC5" w:rsidRPr="00E326B3" w:rsidRDefault="00BA6CC5" w:rsidP="00BA6CC5">
            <w:pPr>
              <w:pStyle w:val="-0"/>
              <w:spacing w:before="20" w:line="200" w:lineRule="exact"/>
              <w:ind w:left="0" w:firstLine="0"/>
              <w:jc w:val="center"/>
              <w:rPr>
                <w:sz w:val="17"/>
                <w:szCs w:val="17"/>
                <w:rtl/>
              </w:rPr>
            </w:pPr>
          </w:p>
        </w:tc>
        <w:tc>
          <w:tcPr>
            <w:tcW w:w="823" w:type="dxa"/>
            <w:tcBorders>
              <w:top w:val="nil"/>
              <w:left w:val="nil"/>
              <w:bottom w:val="nil"/>
              <w:right w:val="nil"/>
            </w:tcBorders>
            <w:vAlign w:val="bottom"/>
          </w:tcPr>
          <w:p w14:paraId="2DB4E248" w14:textId="40B5ED20" w:rsidR="00BA6CC5" w:rsidRPr="001844D2" w:rsidRDefault="00BA6CC5" w:rsidP="00BA6CC5">
            <w:pPr>
              <w:pStyle w:val="-3"/>
              <w:pBdr>
                <w:bottom w:val="single" w:sz="4" w:space="1" w:color="auto"/>
              </w:pBdr>
              <w:spacing w:before="20" w:line="200" w:lineRule="exac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bottom"/>
          </w:tcPr>
          <w:p w14:paraId="0F59AFFD" w14:textId="1E56CD74" w:rsidR="00BA6CC5" w:rsidRPr="001844D2" w:rsidRDefault="00BA6CC5" w:rsidP="00BA6CC5">
            <w:pPr>
              <w:pStyle w:val="-3"/>
              <w:pBdr>
                <w:bottom w:val="single" w:sz="4" w:space="1" w:color="auto"/>
              </w:pBdr>
              <w:spacing w:before="20" w:line="200" w:lineRule="exact"/>
              <w:rPr>
                <w:sz w:val="18"/>
                <w:szCs w:val="18"/>
                <w:rtl/>
              </w:rPr>
            </w:pPr>
            <w:r w:rsidRPr="001844D2">
              <w:rPr>
                <w:rFonts w:hint="cs"/>
                <w:sz w:val="18"/>
                <w:szCs w:val="18"/>
                <w:rtl/>
              </w:rPr>
              <w:t xml:space="preserve"> </w:t>
            </w:r>
            <w:r w:rsidRPr="001844D2">
              <w:rPr>
                <w:sz w:val="18"/>
                <w:szCs w:val="18"/>
                <w:rtl/>
              </w:rPr>
              <w:t>0</w:t>
            </w:r>
          </w:p>
        </w:tc>
        <w:tc>
          <w:tcPr>
            <w:tcW w:w="864" w:type="dxa"/>
            <w:tcBorders>
              <w:top w:val="nil"/>
              <w:left w:val="nil"/>
              <w:bottom w:val="nil"/>
              <w:right w:val="nil"/>
            </w:tcBorders>
            <w:vAlign w:val="bottom"/>
          </w:tcPr>
          <w:p w14:paraId="7EC1297D" w14:textId="0314930B" w:rsidR="00BA6CC5" w:rsidRPr="001844D2" w:rsidRDefault="00BA6CC5" w:rsidP="00BA6CC5">
            <w:pPr>
              <w:pStyle w:val="-3"/>
              <w:pBdr>
                <w:bottom w:val="single" w:sz="4" w:space="1" w:color="auto"/>
              </w:pBdr>
              <w:spacing w:before="20" w:line="200" w:lineRule="exact"/>
              <w:rPr>
                <w:sz w:val="18"/>
                <w:szCs w:val="18"/>
                <w:rtl/>
              </w:rPr>
            </w:pPr>
            <w:r w:rsidRPr="001844D2">
              <w:rPr>
                <w:rFonts w:hint="cs"/>
                <w:sz w:val="18"/>
                <w:szCs w:val="18"/>
                <w:rtl/>
              </w:rPr>
              <w:t xml:space="preserve"> </w:t>
            </w:r>
            <w:r w:rsidRPr="001844D2">
              <w:rPr>
                <w:sz w:val="18"/>
                <w:szCs w:val="18"/>
                <w:rtl/>
              </w:rPr>
              <w:t>0</w:t>
            </w:r>
          </w:p>
        </w:tc>
        <w:tc>
          <w:tcPr>
            <w:tcW w:w="832" w:type="dxa"/>
            <w:tcBorders>
              <w:top w:val="nil"/>
              <w:left w:val="nil"/>
              <w:bottom w:val="nil"/>
              <w:right w:val="nil"/>
            </w:tcBorders>
            <w:vAlign w:val="bottom"/>
          </w:tcPr>
          <w:p w14:paraId="5361A389" w14:textId="4759AD71" w:rsidR="00BA6CC5" w:rsidRPr="001844D2" w:rsidRDefault="00BA6CC5" w:rsidP="00BA6CC5">
            <w:pPr>
              <w:pStyle w:val="-3"/>
              <w:pBdr>
                <w:bottom w:val="single" w:sz="4" w:space="1" w:color="auto"/>
              </w:pBdr>
              <w:spacing w:before="20" w:line="200" w:lineRule="exac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bottom"/>
          </w:tcPr>
          <w:p w14:paraId="63CB93D0" w14:textId="565F947B" w:rsidR="00BA6CC5" w:rsidRPr="001844D2" w:rsidRDefault="00BA6CC5" w:rsidP="00BA6CC5">
            <w:pPr>
              <w:pStyle w:val="-3"/>
              <w:pBdr>
                <w:bottom w:val="single" w:sz="4" w:space="1" w:color="auto"/>
              </w:pBdr>
              <w:spacing w:before="20" w:line="200" w:lineRule="exact"/>
              <w:rPr>
                <w:sz w:val="18"/>
                <w:szCs w:val="18"/>
                <w:rtl/>
              </w:rPr>
            </w:pPr>
            <w:r w:rsidRPr="001844D2">
              <w:rPr>
                <w:rFonts w:hint="cs"/>
                <w:sz w:val="18"/>
                <w:szCs w:val="18"/>
                <w:rtl/>
              </w:rPr>
              <w:t xml:space="preserve"> </w:t>
            </w:r>
            <w:r w:rsidRPr="001844D2">
              <w:rPr>
                <w:sz w:val="18"/>
                <w:szCs w:val="18"/>
                <w:rtl/>
              </w:rPr>
              <w:t>0</w:t>
            </w:r>
          </w:p>
        </w:tc>
      </w:tr>
      <w:tr w:rsidR="00BA6CC5" w:rsidRPr="00914DF0" w14:paraId="11638778" w14:textId="77777777" w:rsidTr="001844D2">
        <w:trPr>
          <w:trHeight w:val="401"/>
        </w:trPr>
        <w:tc>
          <w:tcPr>
            <w:tcW w:w="1077" w:type="dxa"/>
            <w:tcBorders>
              <w:top w:val="nil"/>
              <w:left w:val="nil"/>
              <w:bottom w:val="nil"/>
              <w:right w:val="nil"/>
            </w:tcBorders>
          </w:tcPr>
          <w:p w14:paraId="18235DDB" w14:textId="77777777" w:rsidR="00BA6CC5" w:rsidRDefault="00BA6CC5" w:rsidP="00BA6CC5">
            <w:pPr>
              <w:pStyle w:val="-fa"/>
              <w:spacing w:before="20" w:line="240" w:lineRule="exact"/>
              <w:jc w:val="center"/>
              <w:rPr>
                <w:rtl/>
              </w:rPr>
            </w:pPr>
          </w:p>
        </w:tc>
        <w:tc>
          <w:tcPr>
            <w:tcW w:w="4195" w:type="dxa"/>
            <w:tcBorders>
              <w:top w:val="nil"/>
              <w:left w:val="nil"/>
              <w:bottom w:val="nil"/>
              <w:right w:val="nil"/>
            </w:tcBorders>
            <w:vAlign w:val="center"/>
          </w:tcPr>
          <w:p w14:paraId="1FD44F16" w14:textId="31AD303D" w:rsidR="00BA6CC5" w:rsidRPr="001844D2" w:rsidRDefault="00BA6CC5" w:rsidP="00BA6CC5">
            <w:pPr>
              <w:pStyle w:val="-21"/>
              <w:spacing w:before="20"/>
              <w:rPr>
                <w:sz w:val="19"/>
                <w:szCs w:val="19"/>
                <w:rtl/>
              </w:rPr>
            </w:pPr>
            <w:r w:rsidRPr="001844D2">
              <w:rPr>
                <w:sz w:val="19"/>
                <w:szCs w:val="19"/>
                <w:rtl/>
              </w:rPr>
              <w:t>המיוחס לבעלי מניות התאגיד הבנקאי</w:t>
            </w:r>
          </w:p>
        </w:tc>
        <w:tc>
          <w:tcPr>
            <w:tcW w:w="601" w:type="dxa"/>
            <w:tcBorders>
              <w:top w:val="nil"/>
              <w:left w:val="nil"/>
              <w:bottom w:val="nil"/>
              <w:right w:val="nil"/>
            </w:tcBorders>
            <w:vAlign w:val="center"/>
          </w:tcPr>
          <w:p w14:paraId="2EEABF22" w14:textId="77777777" w:rsidR="00BA6CC5" w:rsidRPr="00E326B3" w:rsidRDefault="00BA6CC5" w:rsidP="00BA6CC5">
            <w:pPr>
              <w:pStyle w:val="-0"/>
              <w:spacing w:before="20" w:line="200" w:lineRule="exact"/>
              <w:ind w:left="0" w:firstLine="0"/>
              <w:rPr>
                <w:sz w:val="17"/>
                <w:szCs w:val="17"/>
                <w:rtl/>
              </w:rPr>
            </w:pPr>
          </w:p>
        </w:tc>
        <w:tc>
          <w:tcPr>
            <w:tcW w:w="823" w:type="dxa"/>
            <w:tcBorders>
              <w:top w:val="nil"/>
              <w:left w:val="nil"/>
              <w:bottom w:val="nil"/>
              <w:right w:val="nil"/>
            </w:tcBorders>
            <w:vAlign w:val="center"/>
          </w:tcPr>
          <w:p w14:paraId="7EB34168" w14:textId="6207599C" w:rsidR="00BA6CC5" w:rsidRPr="001844D2" w:rsidRDefault="00BA6CC5" w:rsidP="00BA6CC5">
            <w:pPr>
              <w:pStyle w:val="-3"/>
              <w:pBdr>
                <w:bottom w:val="double" w:sz="4" w:space="1" w:color="auto"/>
              </w:pBdr>
              <w:spacing w:before="20" w:line="200" w:lineRule="exact"/>
              <w:jc w:val="left"/>
              <w:rPr>
                <w:sz w:val="18"/>
                <w:szCs w:val="18"/>
                <w:rtl/>
              </w:rPr>
            </w:pPr>
            <w:r w:rsidRPr="001844D2">
              <w:rPr>
                <w:rFonts w:hint="cs"/>
                <w:sz w:val="18"/>
                <w:szCs w:val="18"/>
                <w:rtl/>
              </w:rPr>
              <w:t xml:space="preserve"> </w:t>
            </w:r>
            <w:r w:rsidRPr="001844D2">
              <w:rPr>
                <w:sz w:val="18"/>
                <w:szCs w:val="18"/>
                <w:rtl/>
              </w:rPr>
              <w:t>0</w:t>
            </w:r>
          </w:p>
        </w:tc>
        <w:tc>
          <w:tcPr>
            <w:tcW w:w="891" w:type="dxa"/>
            <w:tcBorders>
              <w:top w:val="nil"/>
              <w:left w:val="nil"/>
              <w:bottom w:val="nil"/>
              <w:right w:val="nil"/>
            </w:tcBorders>
            <w:vAlign w:val="center"/>
          </w:tcPr>
          <w:p w14:paraId="3DE12C9D" w14:textId="4F0598CD" w:rsidR="00BA6CC5" w:rsidRPr="001844D2" w:rsidRDefault="00BA6CC5" w:rsidP="00BA6CC5">
            <w:pPr>
              <w:pStyle w:val="-3"/>
              <w:pBdr>
                <w:bottom w:val="double" w:sz="4" w:space="1" w:color="auto"/>
              </w:pBdr>
              <w:spacing w:before="20" w:line="200" w:lineRule="exact"/>
              <w:jc w:val="left"/>
              <w:rPr>
                <w:sz w:val="18"/>
                <w:szCs w:val="18"/>
                <w:rtl/>
              </w:rPr>
            </w:pPr>
            <w:r w:rsidRPr="001844D2">
              <w:rPr>
                <w:rFonts w:hint="cs"/>
                <w:sz w:val="18"/>
                <w:szCs w:val="18"/>
                <w:rtl/>
              </w:rPr>
              <w:t xml:space="preserve"> </w:t>
            </w:r>
            <w:r w:rsidRPr="001844D2">
              <w:rPr>
                <w:sz w:val="18"/>
                <w:szCs w:val="18"/>
                <w:rtl/>
              </w:rPr>
              <w:t>0</w:t>
            </w:r>
          </w:p>
        </w:tc>
        <w:tc>
          <w:tcPr>
            <w:tcW w:w="864" w:type="dxa"/>
            <w:tcBorders>
              <w:top w:val="nil"/>
              <w:left w:val="nil"/>
              <w:bottom w:val="nil"/>
              <w:right w:val="nil"/>
            </w:tcBorders>
            <w:vAlign w:val="center"/>
          </w:tcPr>
          <w:p w14:paraId="02796A5E" w14:textId="24C3D63A" w:rsidR="00BA6CC5" w:rsidRPr="001844D2" w:rsidRDefault="00BA6CC5" w:rsidP="00BA6CC5">
            <w:pPr>
              <w:pStyle w:val="-3"/>
              <w:pBdr>
                <w:bottom w:val="double" w:sz="4" w:space="1" w:color="auto"/>
              </w:pBdr>
              <w:spacing w:before="20" w:line="200" w:lineRule="exact"/>
              <w:jc w:val="left"/>
              <w:rPr>
                <w:sz w:val="18"/>
                <w:szCs w:val="18"/>
                <w:rtl/>
              </w:rPr>
            </w:pPr>
            <w:r w:rsidRPr="001844D2">
              <w:rPr>
                <w:rFonts w:hint="cs"/>
                <w:sz w:val="18"/>
                <w:szCs w:val="18"/>
                <w:rtl/>
              </w:rPr>
              <w:t xml:space="preserve"> </w:t>
            </w:r>
            <w:r w:rsidRPr="001844D2">
              <w:rPr>
                <w:sz w:val="18"/>
                <w:szCs w:val="18"/>
                <w:rtl/>
              </w:rPr>
              <w:t>0</w:t>
            </w:r>
          </w:p>
        </w:tc>
        <w:tc>
          <w:tcPr>
            <w:tcW w:w="832" w:type="dxa"/>
            <w:tcBorders>
              <w:top w:val="nil"/>
              <w:left w:val="nil"/>
              <w:bottom w:val="nil"/>
              <w:right w:val="nil"/>
            </w:tcBorders>
            <w:vAlign w:val="center"/>
          </w:tcPr>
          <w:p w14:paraId="06F237C6" w14:textId="07FE3C2D" w:rsidR="00BA6CC5" w:rsidRPr="001844D2" w:rsidRDefault="00BA6CC5" w:rsidP="00BA6CC5">
            <w:pPr>
              <w:pStyle w:val="-3"/>
              <w:pBdr>
                <w:bottom w:val="double" w:sz="4" w:space="1" w:color="auto"/>
              </w:pBdr>
              <w:spacing w:before="20" w:line="200" w:lineRule="exact"/>
              <w:jc w:val="left"/>
              <w:rPr>
                <w:sz w:val="18"/>
                <w:szCs w:val="18"/>
                <w:rtl/>
              </w:rPr>
            </w:pPr>
            <w:r w:rsidRPr="001844D2">
              <w:rPr>
                <w:rFonts w:hint="cs"/>
                <w:sz w:val="18"/>
                <w:szCs w:val="18"/>
                <w:rtl/>
              </w:rPr>
              <w:t xml:space="preserve"> </w:t>
            </w:r>
            <w:r w:rsidRPr="001844D2">
              <w:rPr>
                <w:sz w:val="18"/>
                <w:szCs w:val="18"/>
                <w:rtl/>
              </w:rPr>
              <w:t>0</w:t>
            </w:r>
          </w:p>
        </w:tc>
        <w:tc>
          <w:tcPr>
            <w:tcW w:w="1206" w:type="dxa"/>
            <w:tcBorders>
              <w:top w:val="nil"/>
              <w:left w:val="nil"/>
              <w:bottom w:val="nil"/>
              <w:right w:val="nil"/>
            </w:tcBorders>
            <w:vAlign w:val="center"/>
          </w:tcPr>
          <w:p w14:paraId="15524D13" w14:textId="3F573A4D" w:rsidR="00BA6CC5" w:rsidRPr="001844D2" w:rsidRDefault="00BA6CC5" w:rsidP="00BA6CC5">
            <w:pPr>
              <w:pStyle w:val="-3"/>
              <w:pBdr>
                <w:bottom w:val="double" w:sz="4" w:space="1" w:color="auto"/>
              </w:pBdr>
              <w:spacing w:before="20" w:line="200" w:lineRule="exact"/>
              <w:jc w:val="left"/>
              <w:rPr>
                <w:sz w:val="18"/>
                <w:szCs w:val="18"/>
                <w:rtl/>
              </w:rPr>
            </w:pPr>
            <w:r w:rsidRPr="001844D2">
              <w:rPr>
                <w:rFonts w:hint="cs"/>
                <w:sz w:val="18"/>
                <w:szCs w:val="18"/>
                <w:rtl/>
              </w:rPr>
              <w:t xml:space="preserve"> </w:t>
            </w:r>
            <w:r w:rsidRPr="001844D2">
              <w:rPr>
                <w:sz w:val="18"/>
                <w:szCs w:val="18"/>
                <w:rtl/>
              </w:rPr>
              <w:t>0</w:t>
            </w:r>
          </w:p>
        </w:tc>
      </w:tr>
    </w:tbl>
    <w:p w14:paraId="46A6F139" w14:textId="77777777" w:rsidR="00BA6CC5" w:rsidRDefault="00BA6CC5"/>
    <w:tbl>
      <w:tblPr>
        <w:bidiVisual/>
        <w:tblW w:w="5029"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4195"/>
        <w:gridCol w:w="601"/>
        <w:gridCol w:w="823"/>
        <w:gridCol w:w="891"/>
        <w:gridCol w:w="864"/>
        <w:gridCol w:w="832"/>
        <w:gridCol w:w="1146"/>
        <w:gridCol w:w="60"/>
      </w:tblGrid>
      <w:tr w:rsidR="00ED2FD1" w:rsidRPr="00914DF0" w14:paraId="416B471C" w14:textId="77777777" w:rsidTr="004F0CDC">
        <w:trPr>
          <w:gridAfter w:val="1"/>
          <w:wAfter w:w="60" w:type="dxa"/>
        </w:trPr>
        <w:tc>
          <w:tcPr>
            <w:tcW w:w="855" w:type="dxa"/>
            <w:tcBorders>
              <w:top w:val="nil"/>
              <w:left w:val="nil"/>
              <w:bottom w:val="nil"/>
              <w:right w:val="nil"/>
            </w:tcBorders>
          </w:tcPr>
          <w:p w14:paraId="3250CC51" w14:textId="77777777" w:rsidR="00ED2FD1" w:rsidRDefault="00ED2FD1" w:rsidP="00B2225A">
            <w:pPr>
              <w:pStyle w:val="-fa"/>
              <w:spacing w:before="20" w:line="240" w:lineRule="exact"/>
              <w:jc w:val="center"/>
              <w:rPr>
                <w:rtl/>
              </w:rPr>
            </w:pPr>
          </w:p>
        </w:tc>
        <w:tc>
          <w:tcPr>
            <w:tcW w:w="9352" w:type="dxa"/>
            <w:gridSpan w:val="7"/>
            <w:tcBorders>
              <w:top w:val="nil"/>
              <w:left w:val="nil"/>
              <w:bottom w:val="nil"/>
              <w:right w:val="nil"/>
            </w:tcBorders>
            <w:vAlign w:val="bottom"/>
          </w:tcPr>
          <w:p w14:paraId="362841A6" w14:textId="75D0E06A" w:rsidR="00ED2FD1" w:rsidRPr="008B25A5" w:rsidRDefault="00ED2FD1" w:rsidP="00B2225A">
            <w:pPr>
              <w:pStyle w:val="-21"/>
              <w:spacing w:before="20"/>
              <w:ind w:left="142" w:hanging="142"/>
              <w:rPr>
                <w:rtl/>
              </w:rPr>
            </w:pPr>
            <w:r w:rsidRPr="00BA6CC5">
              <w:rPr>
                <w:b/>
                <w:bCs/>
                <w:rtl/>
              </w:rPr>
              <w:t>רווח למניה המיוחס לבעלי מניות התאגיד הבנקאי (בש"ח</w:t>
            </w:r>
            <w:r w:rsidRPr="00BA6CC5">
              <w:rPr>
                <w:rFonts w:hint="cs"/>
                <w:b/>
                <w:bCs/>
                <w:rtl/>
              </w:rPr>
              <w:t>):</w:t>
            </w:r>
            <w:r w:rsidR="00EF03CC" w:rsidRPr="0020627E">
              <w:rPr>
                <w:rFonts w:hint="cs"/>
                <w:sz w:val="18"/>
                <w:szCs w:val="18"/>
                <w:vertAlign w:val="superscript"/>
                <w:rtl/>
              </w:rPr>
              <w:t xml:space="preserve"> [</w:t>
            </w:r>
            <w:r w:rsidR="00EF03CC" w:rsidRPr="0020627E">
              <w:rPr>
                <w:rStyle w:val="a7"/>
                <w:sz w:val="18"/>
                <w:szCs w:val="18"/>
                <w:rtl/>
              </w:rPr>
              <w:footnoteReference w:id="6"/>
            </w:r>
            <w:r w:rsidR="00EF03CC" w:rsidRPr="0020627E">
              <w:rPr>
                <w:rFonts w:hint="cs"/>
                <w:sz w:val="18"/>
                <w:szCs w:val="18"/>
                <w:vertAlign w:val="superscript"/>
                <w:rtl/>
              </w:rPr>
              <w:t>]</w:t>
            </w:r>
          </w:p>
        </w:tc>
      </w:tr>
      <w:tr w:rsidR="00BA6CC5" w:rsidRPr="00914DF0" w14:paraId="4BEB7FD9" w14:textId="77777777" w:rsidTr="00B2225A">
        <w:trPr>
          <w:trHeight w:val="170"/>
        </w:trPr>
        <w:tc>
          <w:tcPr>
            <w:tcW w:w="855" w:type="dxa"/>
            <w:tcBorders>
              <w:top w:val="nil"/>
              <w:left w:val="nil"/>
              <w:bottom w:val="nil"/>
              <w:right w:val="nil"/>
            </w:tcBorders>
          </w:tcPr>
          <w:p w14:paraId="090E3025" w14:textId="77777777" w:rsidR="00BA6CC5" w:rsidRDefault="00BA6CC5" w:rsidP="00B2225A">
            <w:pPr>
              <w:pStyle w:val="-fa"/>
              <w:spacing w:before="0" w:line="200" w:lineRule="exact"/>
              <w:jc w:val="center"/>
              <w:rPr>
                <w:rtl/>
              </w:rPr>
            </w:pPr>
          </w:p>
        </w:tc>
        <w:tc>
          <w:tcPr>
            <w:tcW w:w="4195" w:type="dxa"/>
            <w:tcBorders>
              <w:top w:val="nil"/>
              <w:left w:val="nil"/>
              <w:bottom w:val="nil"/>
              <w:right w:val="nil"/>
            </w:tcBorders>
            <w:vAlign w:val="bottom"/>
          </w:tcPr>
          <w:p w14:paraId="0059A029" w14:textId="26DD4082" w:rsidR="00BA6CC5" w:rsidRPr="008B25A5" w:rsidRDefault="00BA6CC5" w:rsidP="00B2225A">
            <w:pPr>
              <w:pStyle w:val="-21"/>
              <w:spacing w:before="0"/>
              <w:rPr>
                <w:rtl/>
              </w:rPr>
            </w:pPr>
            <w:r w:rsidRPr="0020627E">
              <w:rPr>
                <w:rFonts w:hint="cs"/>
                <w:rtl/>
              </w:rPr>
              <w:t xml:space="preserve">רווח </w:t>
            </w:r>
            <w:r>
              <w:rPr>
                <w:rFonts w:hint="cs"/>
                <w:rtl/>
              </w:rPr>
              <w:t>בסיסי</w:t>
            </w:r>
            <w:r w:rsidRPr="0020627E">
              <w:rPr>
                <w:rFonts w:hint="cs"/>
                <w:rtl/>
              </w:rPr>
              <w:t xml:space="preserve"> למניה</w:t>
            </w:r>
          </w:p>
        </w:tc>
        <w:tc>
          <w:tcPr>
            <w:tcW w:w="601" w:type="dxa"/>
            <w:tcBorders>
              <w:top w:val="nil"/>
              <w:left w:val="nil"/>
              <w:bottom w:val="nil"/>
              <w:right w:val="nil"/>
            </w:tcBorders>
            <w:vAlign w:val="bottom"/>
          </w:tcPr>
          <w:p w14:paraId="0961F886" w14:textId="77777777" w:rsidR="00BA6CC5" w:rsidRPr="00E326B3" w:rsidRDefault="00BA6CC5" w:rsidP="00B2225A">
            <w:pPr>
              <w:pStyle w:val="-0"/>
              <w:spacing w:line="200" w:lineRule="exact"/>
              <w:ind w:left="0" w:firstLine="0"/>
              <w:jc w:val="center"/>
              <w:rPr>
                <w:sz w:val="17"/>
                <w:szCs w:val="17"/>
                <w:rtl/>
              </w:rPr>
            </w:pPr>
          </w:p>
        </w:tc>
        <w:tc>
          <w:tcPr>
            <w:tcW w:w="823" w:type="dxa"/>
            <w:tcBorders>
              <w:top w:val="nil"/>
              <w:left w:val="nil"/>
              <w:bottom w:val="nil"/>
              <w:right w:val="nil"/>
            </w:tcBorders>
            <w:vAlign w:val="bottom"/>
          </w:tcPr>
          <w:p w14:paraId="0E87E5EE" w14:textId="48B1B7EC" w:rsidR="00BA6CC5" w:rsidRPr="008B25A5" w:rsidRDefault="00BA6CC5" w:rsidP="00B2225A">
            <w:pPr>
              <w:pStyle w:val="-3"/>
              <w:pBdr>
                <w:bottom w:val="double" w:sz="4" w:space="1" w:color="auto"/>
              </w:pBdr>
              <w:spacing w:line="200" w:lineRule="exact"/>
              <w:rPr>
                <w:rtl/>
              </w:rPr>
            </w:pPr>
            <w:r w:rsidRPr="0020627E">
              <w:rPr>
                <w:rtl/>
              </w:rPr>
              <w:t>0.00</w:t>
            </w:r>
            <w:r w:rsidRPr="0020627E">
              <w:rPr>
                <w:rFonts w:hint="cs"/>
                <w:rtl/>
              </w:rPr>
              <w:t xml:space="preserve"> </w:t>
            </w:r>
          </w:p>
        </w:tc>
        <w:tc>
          <w:tcPr>
            <w:tcW w:w="891" w:type="dxa"/>
            <w:tcBorders>
              <w:top w:val="nil"/>
              <w:left w:val="nil"/>
              <w:bottom w:val="nil"/>
              <w:right w:val="nil"/>
            </w:tcBorders>
            <w:vAlign w:val="bottom"/>
          </w:tcPr>
          <w:p w14:paraId="0E8C94A0" w14:textId="64E9C23B" w:rsidR="00BA6CC5" w:rsidRPr="008B25A5" w:rsidRDefault="00BA6CC5" w:rsidP="00B2225A">
            <w:pPr>
              <w:pStyle w:val="-3"/>
              <w:pBdr>
                <w:bottom w:val="double" w:sz="4" w:space="1" w:color="auto"/>
              </w:pBdr>
              <w:spacing w:line="200" w:lineRule="exact"/>
              <w:rPr>
                <w:rtl/>
              </w:rPr>
            </w:pPr>
            <w:r w:rsidRPr="0020627E">
              <w:rPr>
                <w:rtl/>
              </w:rPr>
              <w:t>0.00</w:t>
            </w:r>
            <w:r w:rsidRPr="0020627E">
              <w:rPr>
                <w:rFonts w:hint="cs"/>
                <w:rtl/>
              </w:rPr>
              <w:t xml:space="preserve"> </w:t>
            </w:r>
          </w:p>
        </w:tc>
        <w:tc>
          <w:tcPr>
            <w:tcW w:w="864" w:type="dxa"/>
            <w:tcBorders>
              <w:top w:val="nil"/>
              <w:left w:val="nil"/>
              <w:bottom w:val="nil"/>
              <w:right w:val="nil"/>
            </w:tcBorders>
            <w:vAlign w:val="bottom"/>
          </w:tcPr>
          <w:p w14:paraId="422E790E" w14:textId="76CD480B" w:rsidR="00BA6CC5" w:rsidRPr="008B25A5" w:rsidRDefault="00BA6CC5" w:rsidP="00B2225A">
            <w:pPr>
              <w:pStyle w:val="-3"/>
              <w:pBdr>
                <w:bottom w:val="double" w:sz="4" w:space="1" w:color="auto"/>
              </w:pBdr>
              <w:spacing w:line="200" w:lineRule="exact"/>
              <w:rPr>
                <w:rtl/>
              </w:rPr>
            </w:pPr>
            <w:r w:rsidRPr="0020627E">
              <w:rPr>
                <w:rtl/>
              </w:rPr>
              <w:t>0.00</w:t>
            </w:r>
            <w:r w:rsidRPr="0020627E">
              <w:rPr>
                <w:rFonts w:hint="cs"/>
                <w:rtl/>
              </w:rPr>
              <w:t xml:space="preserve"> </w:t>
            </w:r>
          </w:p>
        </w:tc>
        <w:tc>
          <w:tcPr>
            <w:tcW w:w="832" w:type="dxa"/>
            <w:tcBorders>
              <w:top w:val="nil"/>
              <w:left w:val="nil"/>
              <w:bottom w:val="nil"/>
              <w:right w:val="nil"/>
            </w:tcBorders>
            <w:vAlign w:val="bottom"/>
          </w:tcPr>
          <w:p w14:paraId="0BE6F5C1" w14:textId="3C51BC71" w:rsidR="00BA6CC5" w:rsidRPr="008B25A5" w:rsidRDefault="00BA6CC5" w:rsidP="00B2225A">
            <w:pPr>
              <w:pStyle w:val="-3"/>
              <w:pBdr>
                <w:bottom w:val="double" w:sz="4" w:space="1" w:color="auto"/>
              </w:pBdr>
              <w:spacing w:line="200" w:lineRule="exact"/>
              <w:rPr>
                <w:rtl/>
              </w:rPr>
            </w:pPr>
            <w:r w:rsidRPr="0020627E">
              <w:rPr>
                <w:rtl/>
              </w:rPr>
              <w:t>0.00</w:t>
            </w:r>
            <w:r w:rsidRPr="0020627E">
              <w:rPr>
                <w:rFonts w:hint="cs"/>
                <w:rtl/>
              </w:rPr>
              <w:t xml:space="preserve"> </w:t>
            </w:r>
          </w:p>
        </w:tc>
        <w:tc>
          <w:tcPr>
            <w:tcW w:w="1206" w:type="dxa"/>
            <w:gridSpan w:val="2"/>
            <w:tcBorders>
              <w:top w:val="nil"/>
              <w:left w:val="nil"/>
              <w:bottom w:val="nil"/>
              <w:right w:val="nil"/>
            </w:tcBorders>
            <w:vAlign w:val="bottom"/>
          </w:tcPr>
          <w:p w14:paraId="366E98DF" w14:textId="26B70B00" w:rsidR="00BA6CC5" w:rsidRPr="008B25A5" w:rsidRDefault="00BA6CC5" w:rsidP="00B2225A">
            <w:pPr>
              <w:pStyle w:val="-3"/>
              <w:pBdr>
                <w:bottom w:val="double" w:sz="4" w:space="1" w:color="auto"/>
              </w:pBdr>
              <w:spacing w:line="200" w:lineRule="exact"/>
              <w:rPr>
                <w:rtl/>
              </w:rPr>
            </w:pPr>
            <w:r w:rsidRPr="0020627E">
              <w:rPr>
                <w:rtl/>
              </w:rPr>
              <w:t>0.00</w:t>
            </w:r>
            <w:r w:rsidRPr="0020627E">
              <w:rPr>
                <w:rFonts w:hint="cs"/>
                <w:rtl/>
              </w:rPr>
              <w:t xml:space="preserve"> </w:t>
            </w:r>
          </w:p>
        </w:tc>
      </w:tr>
      <w:tr w:rsidR="00BA6CC5" w:rsidRPr="00914DF0" w14:paraId="3E128582" w14:textId="77777777" w:rsidTr="00B2225A">
        <w:trPr>
          <w:trHeight w:val="170"/>
        </w:trPr>
        <w:tc>
          <w:tcPr>
            <w:tcW w:w="855" w:type="dxa"/>
            <w:tcBorders>
              <w:top w:val="nil"/>
              <w:left w:val="nil"/>
              <w:bottom w:val="nil"/>
              <w:right w:val="nil"/>
            </w:tcBorders>
          </w:tcPr>
          <w:p w14:paraId="249483B2" w14:textId="77777777" w:rsidR="00BA6CC5" w:rsidRDefault="00BA6CC5" w:rsidP="00B2225A">
            <w:pPr>
              <w:pStyle w:val="-fa"/>
              <w:spacing w:before="0" w:line="200" w:lineRule="exact"/>
              <w:jc w:val="center"/>
              <w:rPr>
                <w:rtl/>
              </w:rPr>
            </w:pPr>
          </w:p>
        </w:tc>
        <w:tc>
          <w:tcPr>
            <w:tcW w:w="4195" w:type="dxa"/>
            <w:tcBorders>
              <w:top w:val="nil"/>
              <w:left w:val="nil"/>
              <w:bottom w:val="nil"/>
              <w:right w:val="nil"/>
            </w:tcBorders>
            <w:vAlign w:val="bottom"/>
          </w:tcPr>
          <w:p w14:paraId="708D11A9" w14:textId="4E007EDB" w:rsidR="00BA6CC5" w:rsidRPr="008B25A5" w:rsidRDefault="00BA6CC5" w:rsidP="00B2225A">
            <w:pPr>
              <w:pStyle w:val="-21"/>
              <w:spacing w:before="0"/>
              <w:rPr>
                <w:rtl/>
              </w:rPr>
            </w:pPr>
            <w:r>
              <w:rPr>
                <w:rFonts w:hint="cs"/>
                <w:rtl/>
              </w:rPr>
              <w:t>רווח מדולל למניה</w:t>
            </w:r>
            <w:r w:rsidR="004F0CDC">
              <w:rPr>
                <w:rFonts w:hint="cs"/>
                <w:rtl/>
              </w:rPr>
              <w:t xml:space="preserve"> </w:t>
            </w:r>
            <w:r w:rsidR="004F0CDC" w:rsidRPr="0020627E">
              <w:rPr>
                <w:b/>
                <w:bCs/>
                <w:sz w:val="18"/>
                <w:szCs w:val="18"/>
                <w:vertAlign w:val="superscript"/>
                <w:rtl/>
              </w:rPr>
              <w:t>[</w:t>
            </w:r>
            <w:r w:rsidR="004F0CDC" w:rsidRPr="0020627E">
              <w:rPr>
                <w:rStyle w:val="a7"/>
                <w:b/>
                <w:bCs/>
                <w:sz w:val="18"/>
                <w:szCs w:val="18"/>
                <w:rtl/>
              </w:rPr>
              <w:footnoteReference w:id="7"/>
            </w:r>
            <w:r w:rsidR="004F0CDC" w:rsidRPr="0020627E">
              <w:rPr>
                <w:b/>
                <w:bCs/>
                <w:sz w:val="18"/>
                <w:szCs w:val="18"/>
                <w:vertAlign w:val="superscript"/>
                <w:rtl/>
              </w:rPr>
              <w:t>]</w:t>
            </w:r>
          </w:p>
        </w:tc>
        <w:tc>
          <w:tcPr>
            <w:tcW w:w="601" w:type="dxa"/>
            <w:tcBorders>
              <w:top w:val="nil"/>
              <w:left w:val="nil"/>
              <w:bottom w:val="nil"/>
              <w:right w:val="nil"/>
            </w:tcBorders>
            <w:vAlign w:val="bottom"/>
          </w:tcPr>
          <w:p w14:paraId="6EEB83F7" w14:textId="77777777" w:rsidR="00BA6CC5" w:rsidRPr="00E326B3" w:rsidRDefault="00BA6CC5" w:rsidP="00B2225A">
            <w:pPr>
              <w:pStyle w:val="-0"/>
              <w:spacing w:line="200" w:lineRule="exact"/>
              <w:ind w:left="0" w:firstLine="0"/>
              <w:jc w:val="center"/>
              <w:rPr>
                <w:sz w:val="17"/>
                <w:szCs w:val="17"/>
                <w:rtl/>
              </w:rPr>
            </w:pPr>
          </w:p>
        </w:tc>
        <w:tc>
          <w:tcPr>
            <w:tcW w:w="823" w:type="dxa"/>
            <w:tcBorders>
              <w:top w:val="nil"/>
              <w:left w:val="nil"/>
              <w:bottom w:val="nil"/>
              <w:right w:val="nil"/>
            </w:tcBorders>
            <w:vAlign w:val="bottom"/>
          </w:tcPr>
          <w:p w14:paraId="5C32996F" w14:textId="599E9C59" w:rsidR="00BA6CC5" w:rsidRPr="008B25A5" w:rsidRDefault="00BA6CC5" w:rsidP="00B2225A">
            <w:pPr>
              <w:pStyle w:val="-3"/>
              <w:pBdr>
                <w:bottom w:val="double" w:sz="4" w:space="1" w:color="auto"/>
              </w:pBdr>
              <w:spacing w:line="200" w:lineRule="exact"/>
              <w:rPr>
                <w:rtl/>
              </w:rPr>
            </w:pPr>
            <w:r w:rsidRPr="0020627E">
              <w:rPr>
                <w:rtl/>
              </w:rPr>
              <w:t>0.00</w:t>
            </w:r>
            <w:r w:rsidRPr="0020627E">
              <w:rPr>
                <w:rFonts w:hint="cs"/>
                <w:rtl/>
              </w:rPr>
              <w:t xml:space="preserve"> </w:t>
            </w:r>
          </w:p>
        </w:tc>
        <w:tc>
          <w:tcPr>
            <w:tcW w:w="891" w:type="dxa"/>
            <w:tcBorders>
              <w:top w:val="nil"/>
              <w:left w:val="nil"/>
              <w:bottom w:val="nil"/>
              <w:right w:val="nil"/>
            </w:tcBorders>
            <w:vAlign w:val="bottom"/>
          </w:tcPr>
          <w:p w14:paraId="1C351729" w14:textId="34E0F20D" w:rsidR="00BA6CC5" w:rsidRPr="008B25A5" w:rsidRDefault="00BA6CC5" w:rsidP="00B2225A">
            <w:pPr>
              <w:pStyle w:val="-3"/>
              <w:pBdr>
                <w:bottom w:val="double" w:sz="4" w:space="1" w:color="auto"/>
              </w:pBdr>
              <w:spacing w:line="200" w:lineRule="exact"/>
              <w:rPr>
                <w:rtl/>
              </w:rPr>
            </w:pPr>
            <w:r w:rsidRPr="0020627E">
              <w:rPr>
                <w:rtl/>
              </w:rPr>
              <w:t>0.00</w:t>
            </w:r>
            <w:r w:rsidRPr="0020627E">
              <w:rPr>
                <w:rFonts w:hint="cs"/>
                <w:rtl/>
              </w:rPr>
              <w:t xml:space="preserve"> </w:t>
            </w:r>
          </w:p>
        </w:tc>
        <w:tc>
          <w:tcPr>
            <w:tcW w:w="864" w:type="dxa"/>
            <w:tcBorders>
              <w:top w:val="nil"/>
              <w:left w:val="nil"/>
              <w:bottom w:val="nil"/>
              <w:right w:val="nil"/>
            </w:tcBorders>
            <w:vAlign w:val="bottom"/>
          </w:tcPr>
          <w:p w14:paraId="3BC63F96" w14:textId="34B2AFE5" w:rsidR="00BA6CC5" w:rsidRPr="008B25A5" w:rsidRDefault="00BA6CC5" w:rsidP="00B2225A">
            <w:pPr>
              <w:pStyle w:val="-3"/>
              <w:pBdr>
                <w:bottom w:val="double" w:sz="4" w:space="1" w:color="auto"/>
              </w:pBdr>
              <w:spacing w:line="200" w:lineRule="exact"/>
              <w:rPr>
                <w:rtl/>
              </w:rPr>
            </w:pPr>
            <w:r w:rsidRPr="0020627E">
              <w:rPr>
                <w:rtl/>
              </w:rPr>
              <w:t>0.00</w:t>
            </w:r>
            <w:r w:rsidRPr="0020627E">
              <w:rPr>
                <w:rFonts w:hint="cs"/>
                <w:rtl/>
              </w:rPr>
              <w:t xml:space="preserve"> </w:t>
            </w:r>
          </w:p>
        </w:tc>
        <w:tc>
          <w:tcPr>
            <w:tcW w:w="832" w:type="dxa"/>
            <w:tcBorders>
              <w:top w:val="nil"/>
              <w:left w:val="nil"/>
              <w:bottom w:val="nil"/>
              <w:right w:val="nil"/>
            </w:tcBorders>
            <w:vAlign w:val="bottom"/>
          </w:tcPr>
          <w:p w14:paraId="3F82201B" w14:textId="4612AF7F" w:rsidR="00BA6CC5" w:rsidRPr="008B25A5" w:rsidRDefault="00BA6CC5" w:rsidP="00B2225A">
            <w:pPr>
              <w:pStyle w:val="-3"/>
              <w:pBdr>
                <w:bottom w:val="double" w:sz="4" w:space="1" w:color="auto"/>
              </w:pBdr>
              <w:spacing w:line="200" w:lineRule="exact"/>
              <w:rPr>
                <w:rtl/>
              </w:rPr>
            </w:pPr>
            <w:r w:rsidRPr="0020627E">
              <w:rPr>
                <w:rtl/>
              </w:rPr>
              <w:t>0.00</w:t>
            </w:r>
            <w:r w:rsidRPr="0020627E">
              <w:rPr>
                <w:rFonts w:hint="cs"/>
                <w:rtl/>
              </w:rPr>
              <w:t xml:space="preserve"> </w:t>
            </w:r>
          </w:p>
        </w:tc>
        <w:tc>
          <w:tcPr>
            <w:tcW w:w="1206" w:type="dxa"/>
            <w:gridSpan w:val="2"/>
            <w:tcBorders>
              <w:top w:val="nil"/>
              <w:left w:val="nil"/>
              <w:bottom w:val="nil"/>
              <w:right w:val="nil"/>
            </w:tcBorders>
            <w:vAlign w:val="bottom"/>
          </w:tcPr>
          <w:p w14:paraId="7E1671A3" w14:textId="55E363AB" w:rsidR="00BA6CC5" w:rsidRPr="008B25A5" w:rsidRDefault="00BA6CC5" w:rsidP="00B2225A">
            <w:pPr>
              <w:pStyle w:val="-3"/>
              <w:pBdr>
                <w:bottom w:val="double" w:sz="4" w:space="1" w:color="auto"/>
              </w:pBdr>
              <w:spacing w:line="200" w:lineRule="exact"/>
              <w:rPr>
                <w:rtl/>
              </w:rPr>
            </w:pPr>
            <w:r w:rsidRPr="0020627E">
              <w:rPr>
                <w:rtl/>
              </w:rPr>
              <w:t>0.00</w:t>
            </w:r>
            <w:r w:rsidRPr="0020627E">
              <w:rPr>
                <w:rFonts w:hint="cs"/>
                <w:rtl/>
              </w:rPr>
              <w:t xml:space="preserve"> </w:t>
            </w:r>
          </w:p>
        </w:tc>
      </w:tr>
    </w:tbl>
    <w:p w14:paraId="17CA4F23" w14:textId="77777777" w:rsidR="001844D2" w:rsidRDefault="001844D2" w:rsidP="001844D2">
      <w:pPr>
        <w:bidi w:val="0"/>
        <w:jc w:val="left"/>
        <w:rPr>
          <w:b/>
          <w:bCs/>
          <w:sz w:val="14"/>
          <w:szCs w:val="14"/>
        </w:rPr>
      </w:pPr>
    </w:p>
    <w:tbl>
      <w:tblPr>
        <w:bidiVisual/>
        <w:tblW w:w="4792" w:type="pct"/>
        <w:tblLook w:val="04A0" w:firstRow="1" w:lastRow="0" w:firstColumn="1" w:lastColumn="0" w:noHBand="0" w:noVBand="1"/>
      </w:tblPr>
      <w:tblGrid>
        <w:gridCol w:w="709"/>
        <w:gridCol w:w="9073"/>
      </w:tblGrid>
      <w:tr w:rsidR="005F709A" w:rsidRPr="00D851E7" w14:paraId="470CFFFD" w14:textId="77777777" w:rsidTr="005F709A">
        <w:trPr>
          <w:trHeight w:val="259"/>
        </w:trPr>
        <w:tc>
          <w:tcPr>
            <w:tcW w:w="709" w:type="dxa"/>
          </w:tcPr>
          <w:p w14:paraId="1DBF807B" w14:textId="77777777" w:rsidR="005F709A" w:rsidRPr="00ED6312" w:rsidRDefault="005F709A" w:rsidP="00C57F10">
            <w:pPr>
              <w:pStyle w:val="-7"/>
              <w:bidi w:val="0"/>
              <w:spacing w:line="240" w:lineRule="auto"/>
              <w:ind w:right="-231"/>
              <w:jc w:val="left"/>
              <w:rPr>
                <w:spacing w:val="-6"/>
                <w:sz w:val="14"/>
                <w:szCs w:val="14"/>
                <w:rtl/>
              </w:rPr>
            </w:pPr>
            <w:bookmarkStart w:id="6" w:name="_Hlk160528197"/>
          </w:p>
        </w:tc>
        <w:tc>
          <w:tcPr>
            <w:tcW w:w="9073" w:type="dxa"/>
          </w:tcPr>
          <w:p w14:paraId="51806E1C" w14:textId="42B38494" w:rsidR="005F709A" w:rsidRPr="004F0CDC" w:rsidRDefault="005F709A" w:rsidP="00C57F10">
            <w:pPr>
              <w:rPr>
                <w:sz w:val="17"/>
                <w:szCs w:val="17"/>
                <w:rtl/>
              </w:rPr>
            </w:pPr>
            <w:r>
              <w:rPr>
                <w:rFonts w:hint="cs"/>
                <w:sz w:val="17"/>
                <w:szCs w:val="17"/>
                <w:rtl/>
              </w:rPr>
              <w:t xml:space="preserve">* </w:t>
            </w:r>
            <w:r w:rsidRPr="004F0CDC">
              <w:rPr>
                <w:sz w:val="17"/>
                <w:szCs w:val="17"/>
                <w:rtl/>
              </w:rPr>
              <w:t xml:space="preserve">יושם למפרע, </w:t>
            </w:r>
            <w:r w:rsidRPr="004F0CDC">
              <w:rPr>
                <w:rFonts w:hint="cs"/>
                <w:sz w:val="17"/>
                <w:szCs w:val="17"/>
                <w:rtl/>
              </w:rPr>
              <w:t>ראה</w:t>
            </w:r>
            <w:r w:rsidRPr="004F0CDC">
              <w:rPr>
                <w:sz w:val="17"/>
                <w:szCs w:val="17"/>
                <w:rtl/>
              </w:rPr>
              <w:t xml:space="preserve"> ביאור </w:t>
            </w:r>
            <w:r w:rsidRPr="005F709A">
              <w:rPr>
                <w:sz w:val="16"/>
                <w:szCs w:val="16"/>
                <w:rtl/>
              </w:rPr>
              <w:t>1(</w:t>
            </w:r>
            <w:r w:rsidRPr="005F709A">
              <w:rPr>
                <w:rFonts w:hint="cs"/>
                <w:sz w:val="16"/>
                <w:szCs w:val="16"/>
                <w:rtl/>
              </w:rPr>
              <w:t>ה</w:t>
            </w:r>
            <w:r w:rsidRPr="005F709A">
              <w:rPr>
                <w:sz w:val="16"/>
                <w:szCs w:val="16"/>
                <w:rtl/>
              </w:rPr>
              <w:t>)(1)</w:t>
            </w:r>
            <w:r>
              <w:rPr>
                <w:rFonts w:hint="cs"/>
                <w:sz w:val="17"/>
                <w:szCs w:val="17"/>
                <w:rtl/>
              </w:rPr>
              <w:t xml:space="preserve"> / </w:t>
            </w:r>
            <w:r w:rsidRPr="00CE0F9D">
              <w:rPr>
                <w:sz w:val="17"/>
                <w:szCs w:val="17"/>
                <w:rtl/>
              </w:rPr>
              <w:t>**</w:t>
            </w:r>
            <w:r>
              <w:rPr>
                <w:rFonts w:hint="cs"/>
                <w:sz w:val="17"/>
                <w:szCs w:val="17"/>
                <w:rtl/>
              </w:rPr>
              <w:t xml:space="preserve"> </w:t>
            </w:r>
            <w:r w:rsidRPr="00CE0F9D">
              <w:rPr>
                <w:sz w:val="17"/>
                <w:szCs w:val="17"/>
                <w:rtl/>
              </w:rPr>
              <w:t xml:space="preserve">סווג מחדש, ראה ביאור </w:t>
            </w:r>
            <w:r w:rsidRPr="005F709A">
              <w:rPr>
                <w:sz w:val="16"/>
                <w:szCs w:val="16"/>
                <w:rtl/>
              </w:rPr>
              <w:t>1(</w:t>
            </w:r>
            <w:r w:rsidRPr="005F709A">
              <w:rPr>
                <w:rFonts w:hint="cs"/>
                <w:sz w:val="16"/>
                <w:szCs w:val="16"/>
                <w:rtl/>
              </w:rPr>
              <w:t>ה</w:t>
            </w:r>
            <w:r w:rsidRPr="005F709A">
              <w:rPr>
                <w:sz w:val="16"/>
                <w:szCs w:val="16"/>
                <w:rtl/>
              </w:rPr>
              <w:t>)(2)</w:t>
            </w:r>
            <w:r>
              <w:rPr>
                <w:rFonts w:hint="cs"/>
                <w:sz w:val="17"/>
                <w:szCs w:val="17"/>
                <w:rtl/>
              </w:rPr>
              <w:t xml:space="preserve"> / </w:t>
            </w:r>
            <w:r w:rsidRPr="00CE0F9D">
              <w:rPr>
                <w:sz w:val="17"/>
                <w:szCs w:val="17"/>
                <w:rtl/>
              </w:rPr>
              <w:t>***</w:t>
            </w:r>
            <w:r>
              <w:rPr>
                <w:rFonts w:hint="cs"/>
                <w:sz w:val="17"/>
                <w:szCs w:val="17"/>
                <w:rtl/>
              </w:rPr>
              <w:t xml:space="preserve"> ה</w:t>
            </w:r>
            <w:r w:rsidRPr="00CE0F9D">
              <w:rPr>
                <w:sz w:val="17"/>
                <w:szCs w:val="17"/>
                <w:rtl/>
              </w:rPr>
              <w:t xml:space="preserve">וצג מחדש, ראה ביאור </w:t>
            </w:r>
            <w:r w:rsidRPr="005F709A">
              <w:rPr>
                <w:sz w:val="16"/>
                <w:szCs w:val="16"/>
                <w:rtl/>
              </w:rPr>
              <w:t>1(</w:t>
            </w:r>
            <w:r w:rsidRPr="005F709A">
              <w:rPr>
                <w:rFonts w:hint="cs"/>
                <w:sz w:val="16"/>
                <w:szCs w:val="16"/>
                <w:rtl/>
              </w:rPr>
              <w:t>ה</w:t>
            </w:r>
            <w:r w:rsidRPr="005F709A">
              <w:rPr>
                <w:sz w:val="16"/>
                <w:szCs w:val="16"/>
                <w:rtl/>
              </w:rPr>
              <w:t>)(3)</w:t>
            </w:r>
          </w:p>
        </w:tc>
      </w:tr>
      <w:bookmarkEnd w:id="6"/>
    </w:tbl>
    <w:p w14:paraId="50BF1EF3" w14:textId="77777777" w:rsidR="005F709A" w:rsidRDefault="005F709A" w:rsidP="005F709A">
      <w:pPr>
        <w:jc w:val="left"/>
        <w:rPr>
          <w:b/>
          <w:bCs/>
          <w:sz w:val="14"/>
          <w:szCs w:val="14"/>
        </w:rPr>
      </w:pPr>
    </w:p>
    <w:tbl>
      <w:tblPr>
        <w:bidiVisual/>
        <w:tblW w:w="5028" w:type="pct"/>
        <w:tblInd w:w="-55" w:type="dxa"/>
        <w:tblLook w:val="04A0" w:firstRow="1" w:lastRow="0" w:firstColumn="1" w:lastColumn="0" w:noHBand="0" w:noVBand="1"/>
      </w:tblPr>
      <w:tblGrid>
        <w:gridCol w:w="769"/>
        <w:gridCol w:w="9495"/>
      </w:tblGrid>
      <w:tr w:rsidR="001844D2" w:rsidRPr="00D851E7" w14:paraId="59002425" w14:textId="77777777" w:rsidTr="00D12B77">
        <w:trPr>
          <w:trHeight w:val="259"/>
        </w:trPr>
        <w:tc>
          <w:tcPr>
            <w:tcW w:w="769" w:type="dxa"/>
          </w:tcPr>
          <w:p w14:paraId="30BA269B" w14:textId="77777777" w:rsidR="001844D2" w:rsidRPr="00ED6312" w:rsidRDefault="001844D2" w:rsidP="00C57F10">
            <w:pPr>
              <w:pStyle w:val="-7"/>
              <w:bidi w:val="0"/>
              <w:ind w:right="-231"/>
              <w:jc w:val="left"/>
              <w:rPr>
                <w:spacing w:val="-6"/>
                <w:sz w:val="14"/>
                <w:szCs w:val="14"/>
                <w:rtl/>
              </w:rPr>
            </w:pPr>
          </w:p>
        </w:tc>
        <w:tc>
          <w:tcPr>
            <w:tcW w:w="9495" w:type="dxa"/>
          </w:tcPr>
          <w:p w14:paraId="7067CBBE" w14:textId="77777777" w:rsidR="001844D2" w:rsidRPr="001844D2" w:rsidRDefault="001844D2" w:rsidP="00C57F10">
            <w:pPr>
              <w:rPr>
                <w:sz w:val="18"/>
                <w:szCs w:val="18"/>
                <w:rtl/>
              </w:rPr>
            </w:pPr>
            <w:r w:rsidRPr="001844D2">
              <w:rPr>
                <w:b/>
                <w:bCs/>
                <w:sz w:val="18"/>
                <w:szCs w:val="18"/>
                <w:rtl/>
              </w:rPr>
              <w:t>הביאורים ל</w:t>
            </w:r>
            <w:r w:rsidRPr="001844D2">
              <w:rPr>
                <w:rFonts w:hint="cs"/>
                <w:b/>
                <w:bCs/>
                <w:sz w:val="18"/>
                <w:szCs w:val="18"/>
                <w:rtl/>
              </w:rPr>
              <w:t>תמצית ה</w:t>
            </w:r>
            <w:r w:rsidRPr="001844D2">
              <w:rPr>
                <w:b/>
                <w:bCs/>
                <w:sz w:val="18"/>
                <w:szCs w:val="18"/>
                <w:rtl/>
              </w:rPr>
              <w:t xml:space="preserve">דוחות הכספיים מהווים חלק בלתי נפרד </w:t>
            </w:r>
            <w:r w:rsidRPr="001844D2">
              <w:rPr>
                <w:rFonts w:hint="cs"/>
                <w:b/>
                <w:bCs/>
                <w:sz w:val="18"/>
                <w:szCs w:val="18"/>
                <w:rtl/>
              </w:rPr>
              <w:t>ממנה.</w:t>
            </w:r>
          </w:p>
        </w:tc>
      </w:tr>
    </w:tbl>
    <w:p w14:paraId="19208A7B" w14:textId="77777777" w:rsidR="001844D2" w:rsidRDefault="001844D2" w:rsidP="001844D2">
      <w:pPr>
        <w:jc w:val="left"/>
        <w:rPr>
          <w:b/>
          <w:bCs/>
          <w:sz w:val="14"/>
          <w:szCs w:val="14"/>
          <w:rtl/>
        </w:rPr>
      </w:pPr>
    </w:p>
    <w:p w14:paraId="03DC89FB" w14:textId="77777777" w:rsidR="004B038D" w:rsidRDefault="004B038D" w:rsidP="001844D2">
      <w:pPr>
        <w:jc w:val="left"/>
        <w:rPr>
          <w:b/>
          <w:bCs/>
          <w:sz w:val="14"/>
          <w:szCs w:val="14"/>
          <w:rtl/>
        </w:rPr>
      </w:pPr>
    </w:p>
    <w:tbl>
      <w:tblPr>
        <w:bidiVisual/>
        <w:tblW w:w="5028" w:type="pct"/>
        <w:tblInd w:w="-55" w:type="dxa"/>
        <w:tblLook w:val="01E0" w:firstRow="1" w:lastRow="1" w:firstColumn="1" w:lastColumn="1" w:noHBand="0" w:noVBand="0"/>
      </w:tblPr>
      <w:tblGrid>
        <w:gridCol w:w="1107"/>
        <w:gridCol w:w="1883"/>
        <w:gridCol w:w="222"/>
        <w:gridCol w:w="1829"/>
        <w:gridCol w:w="317"/>
        <w:gridCol w:w="1946"/>
        <w:gridCol w:w="319"/>
        <w:gridCol w:w="2012"/>
        <w:gridCol w:w="629"/>
      </w:tblGrid>
      <w:tr w:rsidR="004F0CDC" w:rsidRPr="004B038D" w14:paraId="488D94AB" w14:textId="77777777" w:rsidTr="004B038D">
        <w:tc>
          <w:tcPr>
            <w:tcW w:w="1107" w:type="dxa"/>
          </w:tcPr>
          <w:p w14:paraId="61CF4F15" w14:textId="77777777" w:rsidR="004F0CDC" w:rsidRPr="004B038D" w:rsidRDefault="004F0CDC" w:rsidP="004B038D">
            <w:pPr>
              <w:spacing w:line="180" w:lineRule="exact"/>
              <w:jc w:val="center"/>
              <w:rPr>
                <w:sz w:val="18"/>
                <w:szCs w:val="18"/>
                <w:rtl/>
              </w:rPr>
            </w:pPr>
          </w:p>
        </w:tc>
        <w:tc>
          <w:tcPr>
            <w:tcW w:w="1883" w:type="dxa"/>
            <w:tcBorders>
              <w:bottom w:val="single" w:sz="6" w:space="0" w:color="auto"/>
            </w:tcBorders>
          </w:tcPr>
          <w:p w14:paraId="6919D203" w14:textId="77777777" w:rsidR="004F0CDC" w:rsidRPr="004B038D" w:rsidRDefault="004F0CDC" w:rsidP="004B038D">
            <w:pPr>
              <w:spacing w:line="180" w:lineRule="exact"/>
              <w:jc w:val="center"/>
              <w:rPr>
                <w:color w:val="000000"/>
                <w:sz w:val="18"/>
                <w:szCs w:val="18"/>
                <w:rtl/>
                <w:lang w:eastAsia="he-IL"/>
              </w:rPr>
            </w:pPr>
            <w:r w:rsidRPr="004B038D">
              <w:rPr>
                <w:rFonts w:hint="cs"/>
                <w:sz w:val="18"/>
                <w:szCs w:val="18"/>
                <w:rtl/>
              </w:rPr>
              <w:t xml:space="preserve">__ באוגוסט </w:t>
            </w:r>
            <w:r w:rsidRPr="004B038D">
              <w:rPr>
                <w:sz w:val="18"/>
                <w:szCs w:val="18"/>
                <w:rtl/>
              </w:rPr>
              <w:fldChar w:fldCharType="begin"/>
            </w:r>
            <w:r w:rsidRPr="004B038D">
              <w:rPr>
                <w:sz w:val="18"/>
                <w:szCs w:val="18"/>
                <w:rtl/>
              </w:rPr>
              <w:instrText xml:space="preserve"> </w:instrText>
            </w:r>
            <w:r w:rsidRPr="004B038D">
              <w:rPr>
                <w:rFonts w:hint="cs"/>
                <w:sz w:val="18"/>
                <w:szCs w:val="18"/>
                <w:rtl/>
              </w:rPr>
              <w:instrText xml:space="preserve">= </w:instrText>
            </w:r>
            <w:r w:rsidRPr="004B038D">
              <w:rPr>
                <w:rFonts w:hint="cs"/>
                <w:sz w:val="18"/>
                <w:szCs w:val="18"/>
              </w:rPr>
              <w:instrText>CY \* MERGEFORMAT</w:instrText>
            </w:r>
            <w:r w:rsidRPr="004B038D">
              <w:rPr>
                <w:sz w:val="18"/>
                <w:szCs w:val="18"/>
                <w:rtl/>
              </w:rPr>
              <w:instrText xml:space="preserve"> </w:instrText>
            </w:r>
            <w:r w:rsidRPr="004B038D">
              <w:rPr>
                <w:sz w:val="18"/>
                <w:szCs w:val="18"/>
                <w:rtl/>
              </w:rPr>
              <w:fldChar w:fldCharType="separate"/>
            </w:r>
            <w:r w:rsidRPr="004B038D">
              <w:rPr>
                <w:noProof/>
                <w:sz w:val="18"/>
                <w:szCs w:val="18"/>
                <w:rtl/>
              </w:rPr>
              <w:t>2024</w:t>
            </w:r>
            <w:r w:rsidRPr="004B038D">
              <w:rPr>
                <w:sz w:val="18"/>
                <w:szCs w:val="18"/>
                <w:rtl/>
              </w:rPr>
              <w:fldChar w:fldCharType="end"/>
            </w:r>
          </w:p>
        </w:tc>
        <w:tc>
          <w:tcPr>
            <w:tcW w:w="0" w:type="auto"/>
          </w:tcPr>
          <w:p w14:paraId="1E9AA0D2" w14:textId="77777777" w:rsidR="004F0CDC" w:rsidRPr="004B038D" w:rsidRDefault="004F0CDC" w:rsidP="004B038D">
            <w:pPr>
              <w:spacing w:line="180" w:lineRule="exact"/>
              <w:jc w:val="center"/>
              <w:rPr>
                <w:sz w:val="18"/>
                <w:szCs w:val="18"/>
                <w:rtl/>
              </w:rPr>
            </w:pPr>
          </w:p>
        </w:tc>
        <w:tc>
          <w:tcPr>
            <w:tcW w:w="1829" w:type="dxa"/>
            <w:tcBorders>
              <w:bottom w:val="single" w:sz="6" w:space="0" w:color="auto"/>
            </w:tcBorders>
          </w:tcPr>
          <w:p w14:paraId="2D186910" w14:textId="77777777" w:rsidR="004F0CDC" w:rsidRPr="004B038D" w:rsidRDefault="004F0CDC" w:rsidP="004B038D">
            <w:pPr>
              <w:spacing w:line="180" w:lineRule="exact"/>
              <w:jc w:val="center"/>
              <w:rPr>
                <w:sz w:val="18"/>
                <w:szCs w:val="18"/>
                <w:rtl/>
              </w:rPr>
            </w:pPr>
          </w:p>
        </w:tc>
        <w:tc>
          <w:tcPr>
            <w:tcW w:w="317" w:type="dxa"/>
          </w:tcPr>
          <w:p w14:paraId="1C835D50" w14:textId="77777777" w:rsidR="004F0CDC" w:rsidRPr="004B038D" w:rsidRDefault="004F0CDC" w:rsidP="004B038D">
            <w:pPr>
              <w:spacing w:line="180" w:lineRule="exact"/>
              <w:jc w:val="center"/>
              <w:rPr>
                <w:sz w:val="18"/>
                <w:szCs w:val="18"/>
                <w:rtl/>
              </w:rPr>
            </w:pPr>
          </w:p>
        </w:tc>
        <w:tc>
          <w:tcPr>
            <w:tcW w:w="1946" w:type="dxa"/>
            <w:tcBorders>
              <w:bottom w:val="single" w:sz="6" w:space="0" w:color="auto"/>
            </w:tcBorders>
          </w:tcPr>
          <w:p w14:paraId="769F7903" w14:textId="77777777" w:rsidR="004F0CDC" w:rsidRPr="004B038D" w:rsidRDefault="004F0CDC" w:rsidP="004B038D">
            <w:pPr>
              <w:spacing w:line="180" w:lineRule="exact"/>
              <w:jc w:val="center"/>
              <w:rPr>
                <w:sz w:val="18"/>
                <w:szCs w:val="18"/>
                <w:rtl/>
              </w:rPr>
            </w:pPr>
          </w:p>
        </w:tc>
        <w:tc>
          <w:tcPr>
            <w:tcW w:w="319" w:type="dxa"/>
          </w:tcPr>
          <w:p w14:paraId="5EF255B5" w14:textId="77777777" w:rsidR="004F0CDC" w:rsidRPr="004B038D" w:rsidRDefault="004F0CDC" w:rsidP="004B038D">
            <w:pPr>
              <w:spacing w:line="180" w:lineRule="exact"/>
              <w:jc w:val="center"/>
              <w:rPr>
                <w:sz w:val="18"/>
                <w:szCs w:val="18"/>
                <w:rtl/>
              </w:rPr>
            </w:pPr>
          </w:p>
        </w:tc>
        <w:tc>
          <w:tcPr>
            <w:tcW w:w="2012" w:type="dxa"/>
            <w:tcBorders>
              <w:bottom w:val="single" w:sz="6" w:space="0" w:color="auto"/>
            </w:tcBorders>
          </w:tcPr>
          <w:p w14:paraId="11CEF712" w14:textId="77777777" w:rsidR="004F0CDC" w:rsidRPr="004B038D" w:rsidRDefault="004F0CDC" w:rsidP="004B038D">
            <w:pPr>
              <w:spacing w:line="180" w:lineRule="exact"/>
              <w:jc w:val="center"/>
              <w:rPr>
                <w:sz w:val="18"/>
                <w:szCs w:val="18"/>
                <w:rtl/>
              </w:rPr>
            </w:pPr>
          </w:p>
        </w:tc>
        <w:tc>
          <w:tcPr>
            <w:tcW w:w="629" w:type="dxa"/>
          </w:tcPr>
          <w:p w14:paraId="4BE919BF" w14:textId="77777777" w:rsidR="004F0CDC" w:rsidRPr="004B038D" w:rsidRDefault="004F0CDC" w:rsidP="004B038D">
            <w:pPr>
              <w:spacing w:line="180" w:lineRule="exact"/>
              <w:jc w:val="center"/>
              <w:rPr>
                <w:sz w:val="18"/>
                <w:szCs w:val="18"/>
                <w:rtl/>
              </w:rPr>
            </w:pPr>
          </w:p>
        </w:tc>
      </w:tr>
      <w:tr w:rsidR="004F0CDC" w:rsidRPr="004B038D" w14:paraId="63B4B648" w14:textId="77777777" w:rsidTr="004B038D">
        <w:tc>
          <w:tcPr>
            <w:tcW w:w="1107" w:type="dxa"/>
          </w:tcPr>
          <w:p w14:paraId="7A8D4D9E" w14:textId="77777777" w:rsidR="004F0CDC" w:rsidRPr="004B038D" w:rsidRDefault="004F0CDC" w:rsidP="004B038D">
            <w:pPr>
              <w:pStyle w:val="-fa"/>
              <w:spacing w:before="0" w:line="180" w:lineRule="exact"/>
              <w:rPr>
                <w:sz w:val="18"/>
                <w:szCs w:val="18"/>
              </w:rPr>
            </w:pPr>
          </w:p>
        </w:tc>
        <w:tc>
          <w:tcPr>
            <w:tcW w:w="1883" w:type="dxa"/>
            <w:tcBorders>
              <w:top w:val="single" w:sz="6" w:space="0" w:color="auto"/>
            </w:tcBorders>
          </w:tcPr>
          <w:p w14:paraId="19E79D03" w14:textId="77777777" w:rsidR="004F0CDC" w:rsidRPr="004B038D" w:rsidRDefault="004F0CDC" w:rsidP="004B038D">
            <w:pPr>
              <w:spacing w:line="180" w:lineRule="exact"/>
              <w:jc w:val="center"/>
              <w:rPr>
                <w:sz w:val="18"/>
                <w:szCs w:val="18"/>
                <w:rtl/>
              </w:rPr>
            </w:pPr>
            <w:r w:rsidRPr="004B038D">
              <w:rPr>
                <w:rFonts w:hint="cs"/>
                <w:sz w:val="18"/>
                <w:szCs w:val="18"/>
                <w:rtl/>
              </w:rPr>
              <w:t>תאריך אישור הדוחות הכספיים</w:t>
            </w:r>
          </w:p>
        </w:tc>
        <w:tc>
          <w:tcPr>
            <w:tcW w:w="0" w:type="auto"/>
          </w:tcPr>
          <w:p w14:paraId="657F443E" w14:textId="77777777" w:rsidR="004F0CDC" w:rsidRPr="004B038D" w:rsidRDefault="004F0CDC" w:rsidP="004B038D">
            <w:pPr>
              <w:spacing w:line="180" w:lineRule="exact"/>
              <w:jc w:val="center"/>
              <w:rPr>
                <w:sz w:val="18"/>
                <w:szCs w:val="18"/>
                <w:rtl/>
              </w:rPr>
            </w:pPr>
          </w:p>
        </w:tc>
        <w:tc>
          <w:tcPr>
            <w:tcW w:w="1829" w:type="dxa"/>
            <w:tcBorders>
              <w:top w:val="single" w:sz="6" w:space="0" w:color="auto"/>
            </w:tcBorders>
          </w:tcPr>
          <w:p w14:paraId="5E69FBA7" w14:textId="77777777" w:rsidR="004F0CDC" w:rsidRPr="004B038D" w:rsidRDefault="004F0CDC" w:rsidP="004B038D">
            <w:pPr>
              <w:spacing w:line="180" w:lineRule="exact"/>
              <w:jc w:val="center"/>
              <w:rPr>
                <w:b/>
                <w:bCs/>
                <w:sz w:val="18"/>
                <w:szCs w:val="18"/>
                <w:rtl/>
              </w:rPr>
            </w:pPr>
            <w:r w:rsidRPr="004B038D">
              <w:rPr>
                <w:rFonts w:hint="cs"/>
                <w:b/>
                <w:bCs/>
                <w:sz w:val="18"/>
                <w:szCs w:val="18"/>
                <w:rtl/>
              </w:rPr>
              <w:t>אלמוני פלוני</w:t>
            </w:r>
          </w:p>
          <w:p w14:paraId="22E81C8C" w14:textId="77777777" w:rsidR="004F0CDC" w:rsidRPr="004B038D" w:rsidRDefault="004F0CDC" w:rsidP="004B038D">
            <w:pPr>
              <w:spacing w:line="180" w:lineRule="exact"/>
              <w:jc w:val="center"/>
              <w:rPr>
                <w:sz w:val="18"/>
                <w:szCs w:val="18"/>
                <w:rtl/>
              </w:rPr>
            </w:pPr>
            <w:r w:rsidRPr="004B038D">
              <w:rPr>
                <w:rFonts w:hint="cs"/>
                <w:sz w:val="18"/>
                <w:szCs w:val="18"/>
                <w:rtl/>
              </w:rPr>
              <w:t>יו"ר הדירקטוריון</w:t>
            </w:r>
          </w:p>
        </w:tc>
        <w:tc>
          <w:tcPr>
            <w:tcW w:w="317" w:type="dxa"/>
          </w:tcPr>
          <w:p w14:paraId="3D9BE965" w14:textId="77777777" w:rsidR="004F0CDC" w:rsidRPr="004B038D" w:rsidRDefault="004F0CDC" w:rsidP="004B038D">
            <w:pPr>
              <w:spacing w:line="180" w:lineRule="exact"/>
              <w:jc w:val="center"/>
              <w:rPr>
                <w:sz w:val="18"/>
                <w:szCs w:val="18"/>
                <w:rtl/>
              </w:rPr>
            </w:pPr>
          </w:p>
        </w:tc>
        <w:tc>
          <w:tcPr>
            <w:tcW w:w="1946" w:type="dxa"/>
            <w:tcBorders>
              <w:top w:val="single" w:sz="6" w:space="0" w:color="auto"/>
            </w:tcBorders>
          </w:tcPr>
          <w:p w14:paraId="2155ACEC" w14:textId="77777777" w:rsidR="004F0CDC" w:rsidRPr="004B038D" w:rsidRDefault="004F0CDC" w:rsidP="004B038D">
            <w:pPr>
              <w:spacing w:line="180" w:lineRule="exact"/>
              <w:jc w:val="center"/>
              <w:rPr>
                <w:b/>
                <w:bCs/>
                <w:sz w:val="18"/>
                <w:szCs w:val="18"/>
                <w:rtl/>
              </w:rPr>
            </w:pPr>
            <w:r w:rsidRPr="004B038D">
              <w:rPr>
                <w:rFonts w:hint="cs"/>
                <w:b/>
                <w:bCs/>
                <w:sz w:val="18"/>
                <w:szCs w:val="18"/>
                <w:rtl/>
              </w:rPr>
              <w:t>פלוני אלמוני</w:t>
            </w:r>
          </w:p>
          <w:p w14:paraId="6ED79C6B" w14:textId="77777777" w:rsidR="004F0CDC" w:rsidRPr="004B038D" w:rsidRDefault="004F0CDC" w:rsidP="004B038D">
            <w:pPr>
              <w:spacing w:line="180" w:lineRule="exact"/>
              <w:jc w:val="center"/>
              <w:rPr>
                <w:sz w:val="18"/>
                <w:szCs w:val="18"/>
                <w:rtl/>
              </w:rPr>
            </w:pPr>
            <w:r w:rsidRPr="004B038D">
              <w:rPr>
                <w:rFonts w:hint="cs"/>
                <w:sz w:val="18"/>
                <w:szCs w:val="18"/>
                <w:rtl/>
              </w:rPr>
              <w:t>מנהל כללי</w:t>
            </w:r>
          </w:p>
        </w:tc>
        <w:tc>
          <w:tcPr>
            <w:tcW w:w="319" w:type="dxa"/>
          </w:tcPr>
          <w:p w14:paraId="6098A809" w14:textId="77777777" w:rsidR="004F0CDC" w:rsidRPr="004B038D" w:rsidRDefault="004F0CDC" w:rsidP="004B038D">
            <w:pPr>
              <w:spacing w:line="180" w:lineRule="exact"/>
              <w:jc w:val="center"/>
              <w:rPr>
                <w:sz w:val="18"/>
                <w:szCs w:val="18"/>
                <w:rtl/>
              </w:rPr>
            </w:pPr>
          </w:p>
        </w:tc>
        <w:tc>
          <w:tcPr>
            <w:tcW w:w="2012" w:type="dxa"/>
            <w:tcBorders>
              <w:top w:val="single" w:sz="6" w:space="0" w:color="auto"/>
            </w:tcBorders>
          </w:tcPr>
          <w:p w14:paraId="5B734227" w14:textId="77777777" w:rsidR="004F0CDC" w:rsidRPr="004B038D" w:rsidRDefault="004F0CDC" w:rsidP="004B038D">
            <w:pPr>
              <w:spacing w:line="180" w:lineRule="exact"/>
              <w:jc w:val="center"/>
              <w:rPr>
                <w:b/>
                <w:bCs/>
                <w:sz w:val="18"/>
                <w:szCs w:val="18"/>
                <w:rtl/>
              </w:rPr>
            </w:pPr>
            <w:r w:rsidRPr="004B038D">
              <w:rPr>
                <w:rFonts w:hint="cs"/>
                <w:b/>
                <w:bCs/>
                <w:sz w:val="18"/>
                <w:szCs w:val="18"/>
                <w:rtl/>
              </w:rPr>
              <w:t>פלוני פלוני</w:t>
            </w:r>
          </w:p>
          <w:p w14:paraId="6FBDA6AF" w14:textId="77777777" w:rsidR="004F0CDC" w:rsidRPr="004B038D" w:rsidRDefault="004F0CDC" w:rsidP="004B038D">
            <w:pPr>
              <w:spacing w:line="180" w:lineRule="exact"/>
              <w:jc w:val="center"/>
              <w:rPr>
                <w:sz w:val="18"/>
                <w:szCs w:val="18"/>
                <w:rtl/>
              </w:rPr>
            </w:pPr>
            <w:r w:rsidRPr="004B038D">
              <w:rPr>
                <w:rFonts w:hint="cs"/>
                <w:sz w:val="18"/>
                <w:szCs w:val="18"/>
                <w:rtl/>
              </w:rPr>
              <w:t>נושא המשרה הבכירה ביותר בתחום הכספי</w:t>
            </w:r>
            <w:r w:rsidRPr="004B038D">
              <w:rPr>
                <w:rFonts w:hint="cs"/>
                <w:sz w:val="18"/>
                <w:szCs w:val="18"/>
                <w:vertAlign w:val="superscript"/>
                <w:rtl/>
              </w:rPr>
              <w:t>[</w:t>
            </w:r>
            <w:r w:rsidRPr="004B038D">
              <w:rPr>
                <w:rStyle w:val="a7"/>
                <w:color w:val="000000"/>
                <w:sz w:val="18"/>
                <w:szCs w:val="18"/>
                <w:rtl/>
              </w:rPr>
              <w:footnoteReference w:id="8"/>
            </w:r>
            <w:r w:rsidRPr="004B038D">
              <w:rPr>
                <w:rFonts w:hint="cs"/>
                <w:sz w:val="18"/>
                <w:szCs w:val="18"/>
                <w:vertAlign w:val="superscript"/>
                <w:rtl/>
              </w:rPr>
              <w:t>]</w:t>
            </w:r>
          </w:p>
        </w:tc>
        <w:tc>
          <w:tcPr>
            <w:tcW w:w="629" w:type="dxa"/>
          </w:tcPr>
          <w:p w14:paraId="59B08394" w14:textId="77777777" w:rsidR="004F0CDC" w:rsidRPr="004B038D" w:rsidRDefault="004F0CDC" w:rsidP="004B038D">
            <w:pPr>
              <w:spacing w:line="180" w:lineRule="exact"/>
              <w:jc w:val="center"/>
              <w:rPr>
                <w:b/>
                <w:bCs/>
                <w:sz w:val="18"/>
                <w:szCs w:val="18"/>
                <w:rtl/>
              </w:rPr>
            </w:pPr>
          </w:p>
        </w:tc>
      </w:tr>
    </w:tbl>
    <w:p w14:paraId="373A3687" w14:textId="50B02D0E" w:rsidR="00715B5F" w:rsidRDefault="00715B5F" w:rsidP="00880B6D">
      <w:pPr>
        <w:pStyle w:val="-2"/>
        <w:ind w:firstLine="1135"/>
        <w:rPr>
          <w:rtl/>
        </w:rPr>
      </w:pPr>
      <w:r w:rsidRPr="00543C25">
        <w:rPr>
          <w:rFonts w:hint="cs"/>
          <w:rtl/>
        </w:rPr>
        <w:lastRenderedPageBreak/>
        <w:t>בנק</w:t>
      </w:r>
      <w:r w:rsidRPr="00543C25">
        <w:rPr>
          <w:rtl/>
        </w:rPr>
        <w:t xml:space="preserve"> </w:t>
      </w:r>
      <w:r w:rsidRPr="00543C25">
        <w:rPr>
          <w:rFonts w:hint="cs"/>
          <w:rtl/>
        </w:rPr>
        <w:t xml:space="preserve">לדוגמה </w:t>
      </w:r>
      <w:r w:rsidRPr="00543C25">
        <w:rPr>
          <w:rtl/>
        </w:rPr>
        <w:t>בע"מ וחברות מאוחדות שלו</w:t>
      </w:r>
    </w:p>
    <w:p w14:paraId="4F4AB3B5" w14:textId="0C77848F" w:rsidR="00715B5F" w:rsidRPr="00B23171" w:rsidRDefault="00715B5F" w:rsidP="00880B6D">
      <w:pPr>
        <w:pStyle w:val="7"/>
        <w:spacing w:after="80"/>
        <w:ind w:firstLine="1135"/>
        <w:rPr>
          <w:u w:val="single"/>
          <w:rtl/>
        </w:rPr>
      </w:pPr>
      <w:bookmarkStart w:id="7" w:name="_Toc160529210"/>
      <w:r w:rsidRPr="00B23171">
        <w:rPr>
          <w:rFonts w:hint="cs"/>
          <w:u w:val="single"/>
          <w:rtl/>
        </w:rPr>
        <w:t xml:space="preserve">תמצית דוח מאוחד על הרווח הכולל לתקופות שהסתיימו ביום 30 ביוני </w:t>
      </w:r>
      <w:r w:rsidR="0062266D" w:rsidRPr="0062266D">
        <w:rPr>
          <w:u w:val="single"/>
          <w:rtl/>
        </w:rPr>
        <w:fldChar w:fldCharType="begin"/>
      </w:r>
      <w:r w:rsidR="0062266D" w:rsidRPr="0062266D">
        <w:rPr>
          <w:u w:val="single"/>
          <w:rtl/>
        </w:rPr>
        <w:instrText xml:space="preserve"> </w:instrText>
      </w:r>
      <w:r w:rsidR="0062266D" w:rsidRPr="0062266D">
        <w:rPr>
          <w:rFonts w:hint="cs"/>
          <w:u w:val="single"/>
          <w:rtl/>
        </w:rPr>
        <w:instrText xml:space="preserve">= </w:instrText>
      </w:r>
      <w:r w:rsidR="0062266D" w:rsidRPr="0062266D">
        <w:rPr>
          <w:rFonts w:hint="cs"/>
          <w:u w:val="single"/>
        </w:rPr>
        <w:instrText>CY \* MERGEFORMAT</w:instrText>
      </w:r>
      <w:r w:rsidR="0062266D" w:rsidRPr="0062266D">
        <w:rPr>
          <w:u w:val="single"/>
          <w:rtl/>
        </w:rPr>
        <w:instrText xml:space="preserve"> </w:instrText>
      </w:r>
      <w:r w:rsidR="0062266D" w:rsidRPr="0062266D">
        <w:rPr>
          <w:u w:val="single"/>
          <w:rtl/>
        </w:rPr>
        <w:fldChar w:fldCharType="separate"/>
      </w:r>
      <w:r w:rsidR="003A584F">
        <w:rPr>
          <w:noProof/>
          <w:u w:val="single"/>
          <w:rtl/>
        </w:rPr>
        <w:t>2024</w:t>
      </w:r>
      <w:bookmarkEnd w:id="7"/>
      <w:r w:rsidR="0062266D" w:rsidRPr="0062266D">
        <w:rPr>
          <w:u w:val="single"/>
          <w:rtl/>
        </w:rPr>
        <w:fldChar w:fldCharType="end"/>
      </w:r>
    </w:p>
    <w:p w14:paraId="7FDCF859" w14:textId="77777777" w:rsidR="00715B5F" w:rsidRPr="00715B5F" w:rsidRDefault="00715B5F" w:rsidP="00880B6D">
      <w:pPr>
        <w:pStyle w:val="-2"/>
        <w:ind w:firstLine="1135"/>
        <w:rPr>
          <w:b w:val="0"/>
          <w:bCs w:val="0"/>
          <w:sz w:val="20"/>
          <w:szCs w:val="20"/>
          <w:rtl/>
        </w:rPr>
      </w:pPr>
      <w:r w:rsidRPr="00715B5F">
        <w:rPr>
          <w:rFonts w:hint="cs"/>
          <w:b w:val="0"/>
          <w:bCs w:val="0"/>
          <w:sz w:val="20"/>
          <w:szCs w:val="20"/>
          <w:rtl/>
        </w:rPr>
        <w:t>סכומים מדווחים (במיליוני ש"ח)</w:t>
      </w:r>
    </w:p>
    <w:tbl>
      <w:tblPr>
        <w:bidiVisual/>
        <w:tblW w:w="9931"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4082"/>
        <w:gridCol w:w="929"/>
        <w:gridCol w:w="1012"/>
        <w:gridCol w:w="835"/>
        <w:gridCol w:w="971"/>
        <w:gridCol w:w="1138"/>
      </w:tblGrid>
      <w:tr w:rsidR="00DA2072" w:rsidRPr="005A1D72" w14:paraId="57865820" w14:textId="77777777" w:rsidTr="00DA2072">
        <w:trPr>
          <w:trHeight w:val="624"/>
        </w:trPr>
        <w:tc>
          <w:tcPr>
            <w:tcW w:w="964" w:type="dxa"/>
            <w:tcBorders>
              <w:top w:val="nil"/>
              <w:left w:val="nil"/>
              <w:bottom w:val="nil"/>
              <w:right w:val="nil"/>
            </w:tcBorders>
          </w:tcPr>
          <w:p w14:paraId="5B30671D" w14:textId="77777777" w:rsidR="00DA2072" w:rsidRDefault="00DA2072" w:rsidP="009B23CE">
            <w:pPr>
              <w:jc w:val="left"/>
              <w:rPr>
                <w:sz w:val="14"/>
                <w:szCs w:val="14"/>
                <w:rtl/>
              </w:rPr>
            </w:pPr>
          </w:p>
          <w:p w14:paraId="6AF0BC3E" w14:textId="77777777" w:rsidR="00DA2072" w:rsidRDefault="00DA2072" w:rsidP="009B23CE">
            <w:pPr>
              <w:jc w:val="left"/>
              <w:rPr>
                <w:sz w:val="14"/>
                <w:szCs w:val="14"/>
                <w:rtl/>
              </w:rPr>
            </w:pPr>
          </w:p>
          <w:p w14:paraId="34E2685A" w14:textId="483EB47A" w:rsidR="00DA2072" w:rsidRDefault="00DA2072" w:rsidP="00880B6D">
            <w:pPr>
              <w:jc w:val="left"/>
              <w:rPr>
                <w:rtl/>
              </w:rPr>
            </w:pPr>
            <w:r w:rsidRPr="00D35C2A">
              <w:rPr>
                <w:rFonts w:hint="cs"/>
                <w:sz w:val="14"/>
                <w:szCs w:val="14"/>
                <w:rtl/>
              </w:rPr>
              <w:t xml:space="preserve">מתכונת דוח </w:t>
            </w:r>
            <w:r w:rsidRPr="00D35C2A">
              <w:rPr>
                <w:sz w:val="14"/>
                <w:szCs w:val="14"/>
                <w:rtl/>
              </w:rPr>
              <w:br/>
            </w:r>
            <w:r w:rsidRPr="00D35C2A">
              <w:rPr>
                <w:rFonts w:hint="cs"/>
                <w:sz w:val="14"/>
                <w:szCs w:val="14"/>
                <w:rtl/>
              </w:rPr>
              <w:t>עמ' 663-</w:t>
            </w:r>
            <w:r>
              <w:rPr>
                <w:rFonts w:hint="cs"/>
                <w:sz w:val="14"/>
                <w:szCs w:val="14"/>
                <w:rtl/>
              </w:rPr>
              <w:t>6</w:t>
            </w:r>
          </w:p>
          <w:p w14:paraId="6CCA21C1" w14:textId="77777777" w:rsidR="00DA2072" w:rsidRDefault="00DA2072" w:rsidP="003F1183">
            <w:pPr>
              <w:jc w:val="left"/>
              <w:rPr>
                <w:rtl/>
              </w:rPr>
            </w:pPr>
          </w:p>
        </w:tc>
        <w:tc>
          <w:tcPr>
            <w:tcW w:w="4082" w:type="dxa"/>
            <w:tcBorders>
              <w:top w:val="nil"/>
              <w:left w:val="nil"/>
              <w:bottom w:val="nil"/>
              <w:right w:val="nil"/>
            </w:tcBorders>
          </w:tcPr>
          <w:p w14:paraId="217DD9E2" w14:textId="77777777" w:rsidR="00DA2072" w:rsidRPr="00D32AC4" w:rsidRDefault="00DA2072" w:rsidP="00880B6D">
            <w:pPr>
              <w:pStyle w:val="-0"/>
              <w:spacing w:line="240" w:lineRule="auto"/>
              <w:rPr>
                <w:sz w:val="19"/>
                <w:szCs w:val="19"/>
                <w:rtl/>
              </w:rPr>
            </w:pPr>
          </w:p>
        </w:tc>
        <w:tc>
          <w:tcPr>
            <w:tcW w:w="1941" w:type="dxa"/>
            <w:gridSpan w:val="2"/>
            <w:tcBorders>
              <w:top w:val="nil"/>
              <w:left w:val="nil"/>
              <w:bottom w:val="nil"/>
              <w:right w:val="nil"/>
            </w:tcBorders>
          </w:tcPr>
          <w:p w14:paraId="3C8AF24E" w14:textId="77777777" w:rsidR="00DA2072" w:rsidRPr="00D32AC4" w:rsidRDefault="00DA2072" w:rsidP="00880B6D">
            <w:pPr>
              <w:pStyle w:val="-4"/>
              <w:spacing w:line="240" w:lineRule="auto"/>
              <w:rPr>
                <w:sz w:val="19"/>
                <w:szCs w:val="19"/>
                <w:rtl/>
              </w:rPr>
            </w:pPr>
          </w:p>
          <w:p w14:paraId="397E6305" w14:textId="7229BCC0" w:rsidR="00DA2072" w:rsidRPr="00D32AC4" w:rsidRDefault="00DA2072" w:rsidP="00880B6D">
            <w:pPr>
              <w:pStyle w:val="-4"/>
              <w:spacing w:line="240" w:lineRule="auto"/>
              <w:rPr>
                <w:sz w:val="19"/>
                <w:szCs w:val="19"/>
                <w:rtl/>
              </w:rPr>
            </w:pPr>
            <w:r w:rsidRPr="00D32AC4">
              <w:rPr>
                <w:rFonts w:hint="eastAsia"/>
                <w:sz w:val="19"/>
                <w:szCs w:val="19"/>
                <w:rtl/>
              </w:rPr>
              <w:t>לשלושה</w:t>
            </w:r>
            <w:r w:rsidRPr="00D32AC4">
              <w:rPr>
                <w:sz w:val="19"/>
                <w:szCs w:val="19"/>
                <w:rtl/>
              </w:rPr>
              <w:t xml:space="preserve"> חודשים שהסתיימו</w:t>
            </w:r>
          </w:p>
          <w:p w14:paraId="40A988A3" w14:textId="77777777" w:rsidR="00DA2072" w:rsidRPr="00D32AC4" w:rsidRDefault="00DA2072" w:rsidP="00880B6D">
            <w:pPr>
              <w:pStyle w:val="-4"/>
              <w:spacing w:line="240" w:lineRule="auto"/>
              <w:rPr>
                <w:sz w:val="19"/>
                <w:szCs w:val="19"/>
                <w:rtl/>
              </w:rPr>
            </w:pPr>
            <w:r w:rsidRPr="00D32AC4">
              <w:rPr>
                <w:rFonts w:hint="eastAsia"/>
                <w:sz w:val="19"/>
                <w:szCs w:val="19"/>
                <w:rtl/>
              </w:rPr>
              <w:t>ביום</w:t>
            </w:r>
            <w:r w:rsidRPr="00D32AC4">
              <w:rPr>
                <w:sz w:val="19"/>
                <w:szCs w:val="19"/>
                <w:rtl/>
              </w:rPr>
              <w:t xml:space="preserve"> 30 </w:t>
            </w:r>
            <w:r w:rsidRPr="00D32AC4">
              <w:rPr>
                <w:rFonts w:hint="eastAsia"/>
                <w:sz w:val="19"/>
                <w:szCs w:val="19"/>
                <w:rtl/>
              </w:rPr>
              <w:t>ביוני</w:t>
            </w:r>
          </w:p>
        </w:tc>
        <w:tc>
          <w:tcPr>
            <w:tcW w:w="1806" w:type="dxa"/>
            <w:gridSpan w:val="2"/>
            <w:tcBorders>
              <w:top w:val="nil"/>
              <w:left w:val="nil"/>
              <w:bottom w:val="nil"/>
              <w:right w:val="nil"/>
            </w:tcBorders>
            <w:tcMar>
              <w:left w:w="58" w:type="dxa"/>
              <w:right w:w="58" w:type="dxa"/>
            </w:tcMar>
          </w:tcPr>
          <w:p w14:paraId="42EBBC8B" w14:textId="77777777" w:rsidR="00DA2072" w:rsidRPr="00D32AC4" w:rsidRDefault="00DA2072" w:rsidP="00880B6D">
            <w:pPr>
              <w:pStyle w:val="-4"/>
              <w:pBdr>
                <w:bottom w:val="single" w:sz="4" w:space="1" w:color="auto"/>
              </w:pBdr>
              <w:spacing w:line="240" w:lineRule="auto"/>
              <w:rPr>
                <w:sz w:val="19"/>
                <w:szCs w:val="19"/>
                <w:rtl/>
              </w:rPr>
            </w:pPr>
          </w:p>
          <w:p w14:paraId="68ACE67A" w14:textId="463B0E95" w:rsidR="00DA2072" w:rsidRPr="00D32AC4" w:rsidRDefault="00DA2072" w:rsidP="00880B6D">
            <w:pPr>
              <w:pStyle w:val="-4"/>
              <w:pBdr>
                <w:bottom w:val="single" w:sz="4" w:space="1" w:color="auto"/>
              </w:pBdr>
              <w:spacing w:line="240" w:lineRule="auto"/>
              <w:rPr>
                <w:sz w:val="19"/>
                <w:szCs w:val="19"/>
                <w:rtl/>
              </w:rPr>
            </w:pPr>
            <w:r w:rsidRPr="00D32AC4">
              <w:rPr>
                <w:rFonts w:hint="eastAsia"/>
                <w:sz w:val="19"/>
                <w:szCs w:val="19"/>
                <w:rtl/>
              </w:rPr>
              <w:t>לשישה</w:t>
            </w:r>
            <w:r w:rsidRPr="00D32AC4">
              <w:rPr>
                <w:sz w:val="19"/>
                <w:szCs w:val="19"/>
                <w:rtl/>
              </w:rPr>
              <w:t xml:space="preserve"> חודשים שהסתיימו</w:t>
            </w:r>
          </w:p>
          <w:p w14:paraId="4C12C92F" w14:textId="77777777" w:rsidR="00DA2072" w:rsidRPr="00D32AC4" w:rsidRDefault="00DA2072" w:rsidP="00880B6D">
            <w:pPr>
              <w:pStyle w:val="-7"/>
              <w:pBdr>
                <w:bottom w:val="single" w:sz="4" w:space="1" w:color="auto"/>
              </w:pBdr>
              <w:spacing w:line="240" w:lineRule="auto"/>
              <w:jc w:val="center"/>
              <w:rPr>
                <w:b/>
                <w:bCs/>
                <w:sz w:val="19"/>
                <w:szCs w:val="19"/>
                <w:rtl/>
              </w:rPr>
            </w:pPr>
            <w:r w:rsidRPr="00D32AC4">
              <w:rPr>
                <w:rFonts w:hint="eastAsia"/>
                <w:b/>
                <w:bCs/>
                <w:sz w:val="19"/>
                <w:szCs w:val="19"/>
                <w:rtl/>
              </w:rPr>
              <w:t>ביום</w:t>
            </w:r>
            <w:r w:rsidRPr="00D32AC4">
              <w:rPr>
                <w:b/>
                <w:bCs/>
                <w:sz w:val="19"/>
                <w:szCs w:val="19"/>
                <w:rtl/>
              </w:rPr>
              <w:t xml:space="preserve"> 30 </w:t>
            </w:r>
            <w:r w:rsidRPr="00D32AC4">
              <w:rPr>
                <w:rFonts w:hint="eastAsia"/>
                <w:b/>
                <w:bCs/>
                <w:sz w:val="19"/>
                <w:szCs w:val="19"/>
                <w:rtl/>
              </w:rPr>
              <w:t>ביוני</w:t>
            </w:r>
          </w:p>
        </w:tc>
        <w:tc>
          <w:tcPr>
            <w:tcW w:w="1138" w:type="dxa"/>
            <w:tcBorders>
              <w:top w:val="nil"/>
              <w:left w:val="nil"/>
              <w:bottom w:val="nil"/>
              <w:right w:val="nil"/>
            </w:tcBorders>
          </w:tcPr>
          <w:p w14:paraId="7804498B" w14:textId="42C77DDE" w:rsidR="00DA2072" w:rsidRPr="00D32AC4" w:rsidRDefault="00DA2072" w:rsidP="00880B6D">
            <w:pPr>
              <w:pStyle w:val="-4"/>
              <w:spacing w:line="240" w:lineRule="auto"/>
              <w:rPr>
                <w:sz w:val="19"/>
                <w:szCs w:val="19"/>
                <w:rtl/>
              </w:rPr>
            </w:pPr>
            <w:r w:rsidRPr="00D32AC4">
              <w:rPr>
                <w:rFonts w:hint="cs"/>
                <w:sz w:val="19"/>
                <w:szCs w:val="19"/>
                <w:rtl/>
              </w:rPr>
              <w:t>ל</w:t>
            </w:r>
            <w:r w:rsidRPr="00D32AC4">
              <w:rPr>
                <w:rFonts w:hint="eastAsia"/>
                <w:sz w:val="19"/>
                <w:szCs w:val="19"/>
                <w:rtl/>
              </w:rPr>
              <w:t>שנה</w:t>
            </w:r>
            <w:r w:rsidRPr="00D32AC4">
              <w:rPr>
                <w:sz w:val="19"/>
                <w:szCs w:val="19"/>
                <w:rtl/>
              </w:rPr>
              <w:t xml:space="preserve"> </w:t>
            </w:r>
            <w:r w:rsidRPr="00D32AC4">
              <w:rPr>
                <w:rFonts w:hint="eastAsia"/>
                <w:sz w:val="19"/>
                <w:szCs w:val="19"/>
                <w:rtl/>
              </w:rPr>
              <w:t>שהסתיימה</w:t>
            </w:r>
            <w:r w:rsidRPr="00D32AC4">
              <w:rPr>
                <w:sz w:val="19"/>
                <w:szCs w:val="19"/>
                <w:rtl/>
              </w:rPr>
              <w:t xml:space="preserve"> </w:t>
            </w:r>
            <w:r w:rsidRPr="00D32AC4">
              <w:rPr>
                <w:rFonts w:hint="eastAsia"/>
                <w:sz w:val="19"/>
                <w:szCs w:val="19"/>
                <w:rtl/>
              </w:rPr>
              <w:t>ביום</w:t>
            </w:r>
            <w:r w:rsidRPr="00D32AC4">
              <w:rPr>
                <w:rFonts w:hint="cs"/>
                <w:sz w:val="19"/>
                <w:szCs w:val="19"/>
                <w:rtl/>
              </w:rPr>
              <w:t xml:space="preserve"> 31 בדצמבר</w:t>
            </w:r>
          </w:p>
        </w:tc>
      </w:tr>
      <w:tr w:rsidR="00DA2072" w:rsidRPr="005A1D72" w14:paraId="184D2173" w14:textId="77777777" w:rsidTr="00DA2072">
        <w:tc>
          <w:tcPr>
            <w:tcW w:w="964" w:type="dxa"/>
            <w:tcBorders>
              <w:top w:val="nil"/>
              <w:left w:val="nil"/>
              <w:bottom w:val="nil"/>
              <w:right w:val="nil"/>
            </w:tcBorders>
          </w:tcPr>
          <w:p w14:paraId="57EF9C90" w14:textId="77777777" w:rsidR="00DA2072" w:rsidRPr="005A1D72" w:rsidRDefault="00DA2072" w:rsidP="008B25E8">
            <w:pPr>
              <w:pStyle w:val="-0"/>
              <w:spacing w:line="240" w:lineRule="auto"/>
              <w:ind w:left="-57" w:right="-113" w:firstLine="0"/>
              <w:rPr>
                <w:rtl/>
              </w:rPr>
            </w:pPr>
          </w:p>
        </w:tc>
        <w:tc>
          <w:tcPr>
            <w:tcW w:w="4082" w:type="dxa"/>
            <w:tcBorders>
              <w:top w:val="nil"/>
              <w:left w:val="nil"/>
              <w:bottom w:val="nil"/>
              <w:right w:val="nil"/>
            </w:tcBorders>
            <w:vAlign w:val="bottom"/>
          </w:tcPr>
          <w:p w14:paraId="1E563175" w14:textId="77777777" w:rsidR="00DA2072" w:rsidRPr="00D32AC4" w:rsidRDefault="00DA2072" w:rsidP="005C6997">
            <w:pPr>
              <w:pStyle w:val="-0"/>
              <w:spacing w:line="240" w:lineRule="auto"/>
              <w:rPr>
                <w:sz w:val="19"/>
                <w:szCs w:val="19"/>
                <w:rtl/>
              </w:rPr>
            </w:pPr>
          </w:p>
        </w:tc>
        <w:tc>
          <w:tcPr>
            <w:tcW w:w="929" w:type="dxa"/>
            <w:tcBorders>
              <w:top w:val="nil"/>
              <w:left w:val="nil"/>
              <w:bottom w:val="nil"/>
              <w:right w:val="nil"/>
            </w:tcBorders>
            <w:vAlign w:val="bottom"/>
          </w:tcPr>
          <w:p w14:paraId="1624A56D" w14:textId="07FEDBEE" w:rsidR="00DA2072" w:rsidRPr="00D32AC4" w:rsidRDefault="00DA2072" w:rsidP="00914A73">
            <w:pPr>
              <w:pStyle w:val="-4"/>
              <w:spacing w:line="240" w:lineRule="auto"/>
              <w:rPr>
                <w:sz w:val="19"/>
                <w:szCs w:val="19"/>
                <w:rtl/>
              </w:rPr>
            </w:pPr>
            <w:r w:rsidRPr="00D32AC4">
              <w:rPr>
                <w:sz w:val="19"/>
                <w:szCs w:val="19"/>
                <w:rtl/>
              </w:rPr>
              <w:fldChar w:fldCharType="begin"/>
            </w:r>
            <w:r w:rsidRPr="00D32AC4">
              <w:rPr>
                <w:sz w:val="19"/>
                <w:szCs w:val="19"/>
                <w:rtl/>
              </w:rPr>
              <w:instrText xml:space="preserve"> </w:instrText>
            </w:r>
            <w:r w:rsidRPr="00D32AC4">
              <w:rPr>
                <w:rFonts w:hint="cs"/>
                <w:sz w:val="19"/>
                <w:szCs w:val="19"/>
                <w:rtl/>
              </w:rPr>
              <w:instrText xml:space="preserve">= </w:instrText>
            </w:r>
            <w:r w:rsidRPr="00D32AC4">
              <w:rPr>
                <w:rFonts w:hint="cs"/>
                <w:sz w:val="19"/>
                <w:szCs w:val="19"/>
              </w:rPr>
              <w:instrText>CY \* MERGEFORMAT</w:instrText>
            </w:r>
            <w:r w:rsidRPr="00D32AC4">
              <w:rPr>
                <w:sz w:val="19"/>
                <w:szCs w:val="19"/>
                <w:rtl/>
              </w:rPr>
              <w:instrText xml:space="preserve"> </w:instrText>
            </w:r>
            <w:r w:rsidRPr="00D32AC4">
              <w:rPr>
                <w:sz w:val="19"/>
                <w:szCs w:val="19"/>
                <w:rtl/>
              </w:rPr>
              <w:fldChar w:fldCharType="separate"/>
            </w:r>
            <w:r w:rsidRPr="00D32AC4">
              <w:rPr>
                <w:noProof/>
                <w:sz w:val="19"/>
                <w:szCs w:val="19"/>
                <w:rtl/>
              </w:rPr>
              <w:t>2024</w:t>
            </w:r>
            <w:r w:rsidRPr="00D32AC4">
              <w:rPr>
                <w:sz w:val="19"/>
                <w:szCs w:val="19"/>
                <w:rtl/>
              </w:rPr>
              <w:fldChar w:fldCharType="end"/>
            </w:r>
          </w:p>
        </w:tc>
        <w:tc>
          <w:tcPr>
            <w:tcW w:w="1012" w:type="dxa"/>
            <w:tcBorders>
              <w:top w:val="nil"/>
              <w:left w:val="nil"/>
              <w:bottom w:val="nil"/>
              <w:right w:val="nil"/>
            </w:tcBorders>
            <w:vAlign w:val="bottom"/>
          </w:tcPr>
          <w:p w14:paraId="16EAFD60" w14:textId="7F2B2FE8" w:rsidR="00DA2072" w:rsidRPr="00D32AC4" w:rsidRDefault="00DA2072" w:rsidP="00914A73">
            <w:pPr>
              <w:pStyle w:val="-4"/>
              <w:spacing w:line="240" w:lineRule="auto"/>
              <w:rPr>
                <w:sz w:val="19"/>
                <w:szCs w:val="19"/>
                <w:rtl/>
              </w:rPr>
            </w:pPr>
            <w:r w:rsidRPr="00D32AC4">
              <w:rPr>
                <w:sz w:val="19"/>
                <w:szCs w:val="19"/>
                <w:rtl/>
              </w:rPr>
              <w:fldChar w:fldCharType="begin"/>
            </w:r>
            <w:r w:rsidRPr="00D32AC4">
              <w:rPr>
                <w:sz w:val="19"/>
                <w:szCs w:val="19"/>
                <w:rtl/>
              </w:rPr>
              <w:instrText xml:space="preserve"> </w:instrText>
            </w:r>
            <w:r w:rsidRPr="00D32AC4">
              <w:rPr>
                <w:rFonts w:hint="cs"/>
                <w:sz w:val="19"/>
                <w:szCs w:val="19"/>
                <w:rtl/>
              </w:rPr>
              <w:instrText xml:space="preserve">= </w:instrText>
            </w:r>
            <w:r w:rsidRPr="00D32AC4">
              <w:rPr>
                <w:rFonts w:hint="cs"/>
                <w:sz w:val="19"/>
                <w:szCs w:val="19"/>
              </w:rPr>
              <w:instrText>CY</w:instrText>
            </w:r>
            <w:r w:rsidRPr="00D32AC4">
              <w:rPr>
                <w:sz w:val="19"/>
                <w:szCs w:val="19"/>
              </w:rPr>
              <w:instrText>-1</w:instrText>
            </w:r>
            <w:r w:rsidRPr="00D32AC4">
              <w:rPr>
                <w:rFonts w:hint="cs"/>
                <w:sz w:val="19"/>
                <w:szCs w:val="19"/>
              </w:rPr>
              <w:instrText xml:space="preserve"> \* MERGEFORMAT</w:instrText>
            </w:r>
            <w:r w:rsidRPr="00D32AC4">
              <w:rPr>
                <w:sz w:val="19"/>
                <w:szCs w:val="19"/>
                <w:rtl/>
              </w:rPr>
              <w:instrText xml:space="preserve"> </w:instrText>
            </w:r>
            <w:r w:rsidRPr="00D32AC4">
              <w:rPr>
                <w:sz w:val="19"/>
                <w:szCs w:val="19"/>
                <w:rtl/>
              </w:rPr>
              <w:fldChar w:fldCharType="separate"/>
            </w:r>
            <w:r w:rsidRPr="00D32AC4">
              <w:rPr>
                <w:noProof/>
                <w:sz w:val="19"/>
                <w:szCs w:val="19"/>
                <w:rtl/>
              </w:rPr>
              <w:t>2023</w:t>
            </w:r>
            <w:r w:rsidRPr="00D32AC4">
              <w:rPr>
                <w:sz w:val="19"/>
                <w:szCs w:val="19"/>
                <w:rtl/>
              </w:rPr>
              <w:fldChar w:fldCharType="end"/>
            </w:r>
          </w:p>
        </w:tc>
        <w:tc>
          <w:tcPr>
            <w:tcW w:w="835" w:type="dxa"/>
            <w:tcBorders>
              <w:top w:val="nil"/>
              <w:left w:val="nil"/>
              <w:bottom w:val="nil"/>
              <w:right w:val="nil"/>
            </w:tcBorders>
            <w:vAlign w:val="bottom"/>
          </w:tcPr>
          <w:p w14:paraId="5006F6E2" w14:textId="5BCB1D36" w:rsidR="00DA2072" w:rsidRPr="00D32AC4" w:rsidRDefault="00DA2072" w:rsidP="00914A73">
            <w:pPr>
              <w:pStyle w:val="-4"/>
              <w:spacing w:line="240" w:lineRule="auto"/>
              <w:rPr>
                <w:sz w:val="19"/>
                <w:szCs w:val="19"/>
                <w:rtl/>
              </w:rPr>
            </w:pPr>
            <w:r w:rsidRPr="00D32AC4">
              <w:rPr>
                <w:sz w:val="19"/>
                <w:szCs w:val="19"/>
                <w:rtl/>
              </w:rPr>
              <w:fldChar w:fldCharType="begin"/>
            </w:r>
            <w:r w:rsidRPr="00D32AC4">
              <w:rPr>
                <w:sz w:val="19"/>
                <w:szCs w:val="19"/>
                <w:rtl/>
              </w:rPr>
              <w:instrText xml:space="preserve"> </w:instrText>
            </w:r>
            <w:r w:rsidRPr="00D32AC4">
              <w:rPr>
                <w:rFonts w:hint="cs"/>
                <w:sz w:val="19"/>
                <w:szCs w:val="19"/>
                <w:rtl/>
              </w:rPr>
              <w:instrText xml:space="preserve">= </w:instrText>
            </w:r>
            <w:r w:rsidRPr="00D32AC4">
              <w:rPr>
                <w:rFonts w:hint="cs"/>
                <w:sz w:val="19"/>
                <w:szCs w:val="19"/>
              </w:rPr>
              <w:instrText>CY \* MERGEFORMAT</w:instrText>
            </w:r>
            <w:r w:rsidRPr="00D32AC4">
              <w:rPr>
                <w:sz w:val="19"/>
                <w:szCs w:val="19"/>
                <w:rtl/>
              </w:rPr>
              <w:instrText xml:space="preserve"> </w:instrText>
            </w:r>
            <w:r w:rsidRPr="00D32AC4">
              <w:rPr>
                <w:sz w:val="19"/>
                <w:szCs w:val="19"/>
                <w:rtl/>
              </w:rPr>
              <w:fldChar w:fldCharType="separate"/>
            </w:r>
            <w:r w:rsidRPr="00D32AC4">
              <w:rPr>
                <w:noProof/>
                <w:sz w:val="19"/>
                <w:szCs w:val="19"/>
                <w:rtl/>
              </w:rPr>
              <w:t>2024</w:t>
            </w:r>
            <w:r w:rsidRPr="00D32AC4">
              <w:rPr>
                <w:sz w:val="19"/>
                <w:szCs w:val="19"/>
                <w:rtl/>
              </w:rPr>
              <w:fldChar w:fldCharType="end"/>
            </w:r>
          </w:p>
        </w:tc>
        <w:tc>
          <w:tcPr>
            <w:tcW w:w="971" w:type="dxa"/>
            <w:tcBorders>
              <w:top w:val="nil"/>
              <w:left w:val="nil"/>
              <w:bottom w:val="nil"/>
              <w:right w:val="nil"/>
            </w:tcBorders>
            <w:vAlign w:val="bottom"/>
          </w:tcPr>
          <w:p w14:paraId="363A1FFB" w14:textId="370F4FED" w:rsidR="00DA2072" w:rsidRPr="00D32AC4" w:rsidRDefault="00DA2072" w:rsidP="00914A73">
            <w:pPr>
              <w:pStyle w:val="-4"/>
              <w:spacing w:line="240" w:lineRule="auto"/>
              <w:rPr>
                <w:sz w:val="19"/>
                <w:szCs w:val="19"/>
                <w:rtl/>
              </w:rPr>
            </w:pPr>
            <w:r w:rsidRPr="00D32AC4">
              <w:rPr>
                <w:sz w:val="19"/>
                <w:szCs w:val="19"/>
                <w:rtl/>
              </w:rPr>
              <w:fldChar w:fldCharType="begin"/>
            </w:r>
            <w:r w:rsidRPr="00D32AC4">
              <w:rPr>
                <w:sz w:val="19"/>
                <w:szCs w:val="19"/>
                <w:rtl/>
              </w:rPr>
              <w:instrText xml:space="preserve"> </w:instrText>
            </w:r>
            <w:r w:rsidRPr="00D32AC4">
              <w:rPr>
                <w:rFonts w:hint="cs"/>
                <w:sz w:val="19"/>
                <w:szCs w:val="19"/>
                <w:rtl/>
              </w:rPr>
              <w:instrText xml:space="preserve">= </w:instrText>
            </w:r>
            <w:r w:rsidRPr="00D32AC4">
              <w:rPr>
                <w:rFonts w:hint="cs"/>
                <w:sz w:val="19"/>
                <w:szCs w:val="19"/>
              </w:rPr>
              <w:instrText>CY</w:instrText>
            </w:r>
            <w:r w:rsidRPr="00D32AC4">
              <w:rPr>
                <w:sz w:val="19"/>
                <w:szCs w:val="19"/>
              </w:rPr>
              <w:instrText>-1</w:instrText>
            </w:r>
            <w:r w:rsidRPr="00D32AC4">
              <w:rPr>
                <w:rFonts w:hint="cs"/>
                <w:sz w:val="19"/>
                <w:szCs w:val="19"/>
              </w:rPr>
              <w:instrText xml:space="preserve"> \* MERGEFORMAT</w:instrText>
            </w:r>
            <w:r w:rsidRPr="00D32AC4">
              <w:rPr>
                <w:sz w:val="19"/>
                <w:szCs w:val="19"/>
                <w:rtl/>
              </w:rPr>
              <w:instrText xml:space="preserve"> </w:instrText>
            </w:r>
            <w:r w:rsidRPr="00D32AC4">
              <w:rPr>
                <w:sz w:val="19"/>
                <w:szCs w:val="19"/>
                <w:rtl/>
              </w:rPr>
              <w:fldChar w:fldCharType="separate"/>
            </w:r>
            <w:r w:rsidRPr="00D32AC4">
              <w:rPr>
                <w:noProof/>
                <w:sz w:val="19"/>
                <w:szCs w:val="19"/>
                <w:rtl/>
              </w:rPr>
              <w:t>2023</w:t>
            </w:r>
            <w:r w:rsidRPr="00D32AC4">
              <w:rPr>
                <w:sz w:val="19"/>
                <w:szCs w:val="19"/>
                <w:rtl/>
              </w:rPr>
              <w:fldChar w:fldCharType="end"/>
            </w:r>
          </w:p>
        </w:tc>
        <w:tc>
          <w:tcPr>
            <w:tcW w:w="1138" w:type="dxa"/>
            <w:tcBorders>
              <w:top w:val="nil"/>
              <w:left w:val="nil"/>
              <w:bottom w:val="nil"/>
              <w:right w:val="nil"/>
            </w:tcBorders>
            <w:vAlign w:val="bottom"/>
          </w:tcPr>
          <w:p w14:paraId="6EE9BEE4" w14:textId="2380F202" w:rsidR="00DA2072" w:rsidRPr="00D32AC4" w:rsidRDefault="00DA2072" w:rsidP="00914A73">
            <w:pPr>
              <w:pStyle w:val="-4"/>
              <w:spacing w:line="240" w:lineRule="auto"/>
              <w:rPr>
                <w:sz w:val="19"/>
                <w:szCs w:val="19"/>
                <w:rtl/>
              </w:rPr>
            </w:pPr>
            <w:r w:rsidRPr="00D32AC4">
              <w:rPr>
                <w:sz w:val="19"/>
                <w:szCs w:val="19"/>
                <w:rtl/>
              </w:rPr>
              <w:fldChar w:fldCharType="begin"/>
            </w:r>
            <w:r w:rsidRPr="00D32AC4">
              <w:rPr>
                <w:sz w:val="19"/>
                <w:szCs w:val="19"/>
                <w:rtl/>
              </w:rPr>
              <w:instrText xml:space="preserve"> </w:instrText>
            </w:r>
            <w:r w:rsidRPr="00D32AC4">
              <w:rPr>
                <w:rFonts w:hint="cs"/>
                <w:sz w:val="19"/>
                <w:szCs w:val="19"/>
                <w:rtl/>
              </w:rPr>
              <w:instrText xml:space="preserve">= </w:instrText>
            </w:r>
            <w:r w:rsidRPr="00D32AC4">
              <w:rPr>
                <w:rFonts w:hint="cs"/>
                <w:sz w:val="19"/>
                <w:szCs w:val="19"/>
              </w:rPr>
              <w:instrText>CY</w:instrText>
            </w:r>
            <w:r w:rsidRPr="00D32AC4">
              <w:rPr>
                <w:sz w:val="19"/>
                <w:szCs w:val="19"/>
              </w:rPr>
              <w:instrText>-1</w:instrText>
            </w:r>
            <w:r w:rsidRPr="00D32AC4">
              <w:rPr>
                <w:rFonts w:hint="cs"/>
                <w:sz w:val="19"/>
                <w:szCs w:val="19"/>
              </w:rPr>
              <w:instrText xml:space="preserve"> \* MERGEFORMAT</w:instrText>
            </w:r>
            <w:r w:rsidRPr="00D32AC4">
              <w:rPr>
                <w:sz w:val="19"/>
                <w:szCs w:val="19"/>
                <w:rtl/>
              </w:rPr>
              <w:instrText xml:space="preserve"> </w:instrText>
            </w:r>
            <w:r w:rsidRPr="00D32AC4">
              <w:rPr>
                <w:sz w:val="19"/>
                <w:szCs w:val="19"/>
                <w:rtl/>
              </w:rPr>
              <w:fldChar w:fldCharType="separate"/>
            </w:r>
            <w:r w:rsidRPr="00D32AC4">
              <w:rPr>
                <w:noProof/>
                <w:sz w:val="19"/>
                <w:szCs w:val="19"/>
                <w:rtl/>
              </w:rPr>
              <w:t>2023</w:t>
            </w:r>
            <w:r w:rsidRPr="00D32AC4">
              <w:rPr>
                <w:sz w:val="19"/>
                <w:szCs w:val="19"/>
                <w:rtl/>
              </w:rPr>
              <w:fldChar w:fldCharType="end"/>
            </w:r>
          </w:p>
        </w:tc>
      </w:tr>
      <w:tr w:rsidR="00DA2072" w:rsidRPr="005A1D72" w14:paraId="5B52516E" w14:textId="77777777" w:rsidTr="00DA2072">
        <w:tc>
          <w:tcPr>
            <w:tcW w:w="964" w:type="dxa"/>
            <w:tcBorders>
              <w:top w:val="nil"/>
              <w:left w:val="nil"/>
              <w:bottom w:val="nil"/>
              <w:right w:val="nil"/>
            </w:tcBorders>
          </w:tcPr>
          <w:p w14:paraId="6208EC8D" w14:textId="77777777" w:rsidR="00DA2072" w:rsidRPr="005A1D72" w:rsidRDefault="00DA2072" w:rsidP="008B25E8">
            <w:pPr>
              <w:pStyle w:val="-0"/>
              <w:spacing w:line="240" w:lineRule="auto"/>
              <w:ind w:left="-57" w:right="-113" w:firstLine="0"/>
              <w:rPr>
                <w:rtl/>
              </w:rPr>
            </w:pPr>
          </w:p>
        </w:tc>
        <w:tc>
          <w:tcPr>
            <w:tcW w:w="4082" w:type="dxa"/>
            <w:tcBorders>
              <w:top w:val="nil"/>
              <w:left w:val="nil"/>
              <w:bottom w:val="nil"/>
              <w:right w:val="nil"/>
            </w:tcBorders>
            <w:vAlign w:val="bottom"/>
          </w:tcPr>
          <w:p w14:paraId="0B67CAC5" w14:textId="77777777" w:rsidR="00DA2072" w:rsidRPr="00D32AC4" w:rsidRDefault="00DA2072" w:rsidP="005C6997">
            <w:pPr>
              <w:pStyle w:val="-0"/>
              <w:spacing w:line="240" w:lineRule="auto"/>
              <w:rPr>
                <w:sz w:val="19"/>
                <w:szCs w:val="19"/>
                <w:rtl/>
              </w:rPr>
            </w:pPr>
          </w:p>
        </w:tc>
        <w:tc>
          <w:tcPr>
            <w:tcW w:w="1941" w:type="dxa"/>
            <w:gridSpan w:val="2"/>
            <w:tcBorders>
              <w:top w:val="nil"/>
              <w:left w:val="nil"/>
              <w:bottom w:val="nil"/>
              <w:right w:val="nil"/>
            </w:tcBorders>
            <w:vAlign w:val="bottom"/>
          </w:tcPr>
          <w:p w14:paraId="1BCEB43E" w14:textId="77777777" w:rsidR="00DA2072" w:rsidRPr="00D32AC4" w:rsidRDefault="00DA2072" w:rsidP="005C6997">
            <w:pPr>
              <w:pStyle w:val="-4"/>
              <w:spacing w:line="240" w:lineRule="auto"/>
              <w:rPr>
                <w:sz w:val="19"/>
                <w:szCs w:val="19"/>
                <w:rtl/>
              </w:rPr>
            </w:pPr>
            <w:r w:rsidRPr="00D32AC4">
              <w:rPr>
                <w:rFonts w:hint="eastAsia"/>
                <w:sz w:val="19"/>
                <w:szCs w:val="19"/>
                <w:rtl/>
              </w:rPr>
              <w:t>בלתי</w:t>
            </w:r>
            <w:r w:rsidRPr="00D32AC4">
              <w:rPr>
                <w:sz w:val="19"/>
                <w:szCs w:val="19"/>
                <w:rtl/>
              </w:rPr>
              <w:t xml:space="preserve"> </w:t>
            </w:r>
            <w:r w:rsidRPr="00D32AC4">
              <w:rPr>
                <w:rFonts w:hint="eastAsia"/>
                <w:sz w:val="19"/>
                <w:szCs w:val="19"/>
                <w:rtl/>
              </w:rPr>
              <w:t>מבוקר</w:t>
            </w:r>
          </w:p>
        </w:tc>
        <w:tc>
          <w:tcPr>
            <w:tcW w:w="1806" w:type="dxa"/>
            <w:gridSpan w:val="2"/>
            <w:tcBorders>
              <w:top w:val="nil"/>
              <w:left w:val="nil"/>
              <w:bottom w:val="nil"/>
              <w:right w:val="nil"/>
            </w:tcBorders>
            <w:vAlign w:val="bottom"/>
          </w:tcPr>
          <w:p w14:paraId="63E574CE" w14:textId="77777777" w:rsidR="00DA2072" w:rsidRPr="00D32AC4" w:rsidRDefault="00DA2072" w:rsidP="005C6997">
            <w:pPr>
              <w:pStyle w:val="-4"/>
              <w:spacing w:line="240" w:lineRule="auto"/>
              <w:rPr>
                <w:sz w:val="19"/>
                <w:szCs w:val="19"/>
                <w:rtl/>
              </w:rPr>
            </w:pPr>
            <w:r w:rsidRPr="00D32AC4">
              <w:rPr>
                <w:rFonts w:hint="eastAsia"/>
                <w:sz w:val="19"/>
                <w:szCs w:val="19"/>
                <w:rtl/>
              </w:rPr>
              <w:t>בלתי</w:t>
            </w:r>
            <w:r w:rsidRPr="00D32AC4">
              <w:rPr>
                <w:sz w:val="19"/>
                <w:szCs w:val="19"/>
                <w:rtl/>
              </w:rPr>
              <w:t xml:space="preserve"> </w:t>
            </w:r>
            <w:r w:rsidRPr="00D32AC4">
              <w:rPr>
                <w:rFonts w:hint="eastAsia"/>
                <w:sz w:val="19"/>
                <w:szCs w:val="19"/>
                <w:rtl/>
              </w:rPr>
              <w:t>מבוקר</w:t>
            </w:r>
          </w:p>
        </w:tc>
        <w:tc>
          <w:tcPr>
            <w:tcW w:w="1138" w:type="dxa"/>
            <w:tcBorders>
              <w:top w:val="nil"/>
              <w:left w:val="nil"/>
              <w:bottom w:val="nil"/>
              <w:right w:val="nil"/>
            </w:tcBorders>
            <w:vAlign w:val="bottom"/>
          </w:tcPr>
          <w:p w14:paraId="74BEEB35" w14:textId="77777777" w:rsidR="00DA2072" w:rsidRPr="00D32AC4" w:rsidRDefault="00DA2072" w:rsidP="005C6997">
            <w:pPr>
              <w:pStyle w:val="-4"/>
              <w:spacing w:line="240" w:lineRule="auto"/>
              <w:rPr>
                <w:sz w:val="19"/>
                <w:szCs w:val="19"/>
                <w:rtl/>
              </w:rPr>
            </w:pPr>
            <w:r w:rsidRPr="00D32AC4">
              <w:rPr>
                <w:rFonts w:hint="eastAsia"/>
                <w:sz w:val="19"/>
                <w:szCs w:val="19"/>
                <w:rtl/>
              </w:rPr>
              <w:t>מבוקר</w:t>
            </w:r>
          </w:p>
        </w:tc>
      </w:tr>
      <w:tr w:rsidR="00DA2072" w:rsidRPr="005A1D72" w14:paraId="5A997B04" w14:textId="77777777" w:rsidTr="00DA2072">
        <w:tc>
          <w:tcPr>
            <w:tcW w:w="964" w:type="dxa"/>
            <w:tcBorders>
              <w:top w:val="nil"/>
              <w:left w:val="nil"/>
              <w:bottom w:val="nil"/>
              <w:right w:val="nil"/>
            </w:tcBorders>
          </w:tcPr>
          <w:p w14:paraId="000AC880" w14:textId="77777777" w:rsidR="00DA2072" w:rsidRDefault="00DA2072" w:rsidP="008B25E8">
            <w:pPr>
              <w:pStyle w:val="-0"/>
              <w:spacing w:line="240" w:lineRule="exact"/>
              <w:ind w:left="-57" w:right="-113" w:firstLine="0"/>
              <w:rPr>
                <w:rtl/>
              </w:rPr>
            </w:pPr>
          </w:p>
        </w:tc>
        <w:tc>
          <w:tcPr>
            <w:tcW w:w="4082" w:type="dxa"/>
            <w:tcBorders>
              <w:top w:val="nil"/>
              <w:left w:val="nil"/>
              <w:bottom w:val="nil"/>
              <w:right w:val="nil"/>
            </w:tcBorders>
            <w:vAlign w:val="bottom"/>
          </w:tcPr>
          <w:p w14:paraId="38BA7A51" w14:textId="77777777" w:rsidR="00DA2072" w:rsidRPr="00D32AC4" w:rsidRDefault="00DA2072" w:rsidP="005872EC">
            <w:pPr>
              <w:pStyle w:val="-0"/>
              <w:spacing w:before="40" w:line="200" w:lineRule="exact"/>
              <w:ind w:left="0" w:firstLine="0"/>
              <w:rPr>
                <w:sz w:val="19"/>
                <w:szCs w:val="19"/>
                <w:rtl/>
              </w:rPr>
            </w:pPr>
            <w:r w:rsidRPr="00D32AC4">
              <w:rPr>
                <w:rFonts w:hint="cs"/>
                <w:sz w:val="19"/>
                <w:szCs w:val="19"/>
                <w:rtl/>
              </w:rPr>
              <w:t>רווח נקי לפני ייחוס לבעלי זכויות שאינן מקנות שליטה</w:t>
            </w:r>
          </w:p>
        </w:tc>
        <w:tc>
          <w:tcPr>
            <w:tcW w:w="929" w:type="dxa"/>
            <w:tcBorders>
              <w:top w:val="nil"/>
              <w:left w:val="nil"/>
              <w:bottom w:val="nil"/>
              <w:right w:val="nil"/>
            </w:tcBorders>
            <w:vAlign w:val="bottom"/>
          </w:tcPr>
          <w:p w14:paraId="6F68EB91" w14:textId="77777777"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1012" w:type="dxa"/>
            <w:tcBorders>
              <w:top w:val="nil"/>
              <w:left w:val="nil"/>
              <w:bottom w:val="nil"/>
              <w:right w:val="nil"/>
            </w:tcBorders>
            <w:vAlign w:val="bottom"/>
          </w:tcPr>
          <w:p w14:paraId="2721FDC8" w14:textId="77777777"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835" w:type="dxa"/>
            <w:tcBorders>
              <w:top w:val="nil"/>
              <w:left w:val="nil"/>
              <w:bottom w:val="nil"/>
              <w:right w:val="nil"/>
            </w:tcBorders>
            <w:vAlign w:val="bottom"/>
          </w:tcPr>
          <w:p w14:paraId="5E11AEE8" w14:textId="77777777"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971" w:type="dxa"/>
            <w:tcBorders>
              <w:top w:val="nil"/>
              <w:left w:val="nil"/>
              <w:bottom w:val="nil"/>
              <w:right w:val="nil"/>
            </w:tcBorders>
            <w:vAlign w:val="bottom"/>
          </w:tcPr>
          <w:p w14:paraId="676FDE89" w14:textId="77777777"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1138" w:type="dxa"/>
            <w:tcBorders>
              <w:top w:val="nil"/>
              <w:left w:val="nil"/>
              <w:bottom w:val="nil"/>
              <w:right w:val="nil"/>
            </w:tcBorders>
            <w:vAlign w:val="bottom"/>
          </w:tcPr>
          <w:p w14:paraId="49B908F5" w14:textId="77777777"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r>
      <w:tr w:rsidR="00DA2072" w:rsidRPr="005A1D72" w14:paraId="4C5BF89C" w14:textId="77777777" w:rsidTr="00DA2072">
        <w:tc>
          <w:tcPr>
            <w:tcW w:w="964" w:type="dxa"/>
            <w:tcBorders>
              <w:top w:val="nil"/>
              <w:left w:val="nil"/>
              <w:bottom w:val="nil"/>
              <w:right w:val="nil"/>
            </w:tcBorders>
          </w:tcPr>
          <w:p w14:paraId="4D112464" w14:textId="77777777" w:rsidR="00DA2072" w:rsidRDefault="00DA2072" w:rsidP="008B25E8">
            <w:pPr>
              <w:pStyle w:val="-0"/>
              <w:spacing w:line="240" w:lineRule="exact"/>
              <w:ind w:left="-57" w:right="-113" w:firstLine="0"/>
              <w:rPr>
                <w:rtl/>
              </w:rPr>
            </w:pPr>
          </w:p>
        </w:tc>
        <w:tc>
          <w:tcPr>
            <w:tcW w:w="4082" w:type="dxa"/>
            <w:tcBorders>
              <w:top w:val="nil"/>
              <w:left w:val="nil"/>
              <w:bottom w:val="nil"/>
              <w:right w:val="nil"/>
            </w:tcBorders>
            <w:vAlign w:val="bottom"/>
          </w:tcPr>
          <w:p w14:paraId="25ADE54C" w14:textId="77777777" w:rsidR="00DA2072" w:rsidRPr="00D32AC4" w:rsidRDefault="00DA2072" w:rsidP="005872EC">
            <w:pPr>
              <w:pStyle w:val="-0"/>
              <w:spacing w:before="40" w:line="200" w:lineRule="exact"/>
              <w:ind w:left="0" w:firstLine="0"/>
              <w:rPr>
                <w:sz w:val="19"/>
                <w:szCs w:val="19"/>
                <w:rtl/>
              </w:rPr>
            </w:pPr>
            <w:r w:rsidRPr="00D32AC4">
              <w:rPr>
                <w:rFonts w:hint="cs"/>
                <w:sz w:val="19"/>
                <w:szCs w:val="19"/>
                <w:rtl/>
              </w:rPr>
              <w:t>רווח נקי המיוחס לבעלי זכויות שאינן מקנות שליטה</w:t>
            </w:r>
          </w:p>
        </w:tc>
        <w:tc>
          <w:tcPr>
            <w:tcW w:w="929" w:type="dxa"/>
            <w:tcBorders>
              <w:top w:val="nil"/>
              <w:left w:val="nil"/>
              <w:bottom w:val="nil"/>
              <w:right w:val="nil"/>
            </w:tcBorders>
            <w:vAlign w:val="bottom"/>
          </w:tcPr>
          <w:p w14:paraId="20950943" w14:textId="77777777" w:rsidR="00DA2072" w:rsidRPr="00D32AC4" w:rsidRDefault="00DA2072" w:rsidP="00A6619A">
            <w:pPr>
              <w:pStyle w:val="-3"/>
              <w:pBdr>
                <w:bottom w:val="single" w:sz="4" w:space="1" w:color="auto"/>
              </w:pBdr>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1012" w:type="dxa"/>
            <w:tcBorders>
              <w:top w:val="nil"/>
              <w:left w:val="nil"/>
              <w:bottom w:val="nil"/>
              <w:right w:val="nil"/>
            </w:tcBorders>
            <w:vAlign w:val="bottom"/>
          </w:tcPr>
          <w:p w14:paraId="109119D2" w14:textId="77777777" w:rsidR="00DA2072" w:rsidRPr="00D32AC4" w:rsidRDefault="00DA2072" w:rsidP="00A6619A">
            <w:pPr>
              <w:pStyle w:val="-3"/>
              <w:pBdr>
                <w:bottom w:val="single" w:sz="4" w:space="1" w:color="auto"/>
              </w:pBdr>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835" w:type="dxa"/>
            <w:tcBorders>
              <w:top w:val="nil"/>
              <w:left w:val="nil"/>
              <w:bottom w:val="nil"/>
              <w:right w:val="nil"/>
            </w:tcBorders>
            <w:vAlign w:val="bottom"/>
          </w:tcPr>
          <w:p w14:paraId="299855E5" w14:textId="77777777" w:rsidR="00DA2072" w:rsidRPr="00D32AC4" w:rsidRDefault="00DA2072" w:rsidP="00A6619A">
            <w:pPr>
              <w:pStyle w:val="-3"/>
              <w:pBdr>
                <w:bottom w:val="single" w:sz="4" w:space="1" w:color="auto"/>
              </w:pBdr>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971" w:type="dxa"/>
            <w:tcBorders>
              <w:top w:val="nil"/>
              <w:left w:val="nil"/>
              <w:bottom w:val="nil"/>
              <w:right w:val="nil"/>
            </w:tcBorders>
            <w:vAlign w:val="bottom"/>
          </w:tcPr>
          <w:p w14:paraId="54240C67" w14:textId="77777777" w:rsidR="00DA2072" w:rsidRPr="00D32AC4" w:rsidRDefault="00DA2072" w:rsidP="00A6619A">
            <w:pPr>
              <w:pStyle w:val="-3"/>
              <w:pBdr>
                <w:bottom w:val="single" w:sz="4" w:space="1" w:color="auto"/>
              </w:pBdr>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1138" w:type="dxa"/>
            <w:tcBorders>
              <w:top w:val="nil"/>
              <w:left w:val="nil"/>
              <w:bottom w:val="nil"/>
              <w:right w:val="nil"/>
            </w:tcBorders>
            <w:vAlign w:val="bottom"/>
          </w:tcPr>
          <w:p w14:paraId="05FCBFEF" w14:textId="77777777" w:rsidR="00DA2072" w:rsidRPr="00D32AC4" w:rsidRDefault="00DA2072" w:rsidP="00A6619A">
            <w:pPr>
              <w:pStyle w:val="-3"/>
              <w:pBdr>
                <w:bottom w:val="single" w:sz="4" w:space="1" w:color="auto"/>
              </w:pBdr>
              <w:spacing w:line="259" w:lineRule="auto"/>
              <w:jc w:val="left"/>
              <w:rPr>
                <w:sz w:val="19"/>
                <w:szCs w:val="19"/>
                <w:rtl/>
              </w:rPr>
            </w:pPr>
            <w:r w:rsidRPr="00D32AC4">
              <w:rPr>
                <w:rFonts w:hint="cs"/>
                <w:sz w:val="19"/>
                <w:szCs w:val="19"/>
                <w:rtl/>
              </w:rPr>
              <w:t xml:space="preserve"> </w:t>
            </w:r>
            <w:r w:rsidRPr="00D32AC4">
              <w:rPr>
                <w:sz w:val="19"/>
                <w:szCs w:val="19"/>
                <w:rtl/>
              </w:rPr>
              <w:t>0</w:t>
            </w:r>
          </w:p>
        </w:tc>
      </w:tr>
      <w:tr w:rsidR="00DA2072" w:rsidRPr="005A1D72" w14:paraId="3E251882" w14:textId="77777777" w:rsidTr="00DA2072">
        <w:tc>
          <w:tcPr>
            <w:tcW w:w="964" w:type="dxa"/>
            <w:tcBorders>
              <w:top w:val="nil"/>
              <w:left w:val="nil"/>
              <w:bottom w:val="nil"/>
              <w:right w:val="nil"/>
            </w:tcBorders>
          </w:tcPr>
          <w:p w14:paraId="69F148C4" w14:textId="77777777" w:rsidR="00DA2072" w:rsidRDefault="00DA2072" w:rsidP="008B25E8">
            <w:pPr>
              <w:pStyle w:val="-0"/>
              <w:spacing w:line="240" w:lineRule="exact"/>
              <w:ind w:left="-57" w:right="-113" w:firstLine="0"/>
              <w:rPr>
                <w:rtl/>
              </w:rPr>
            </w:pPr>
          </w:p>
        </w:tc>
        <w:tc>
          <w:tcPr>
            <w:tcW w:w="4082" w:type="dxa"/>
            <w:tcBorders>
              <w:top w:val="nil"/>
              <w:left w:val="nil"/>
              <w:bottom w:val="nil"/>
              <w:right w:val="nil"/>
            </w:tcBorders>
            <w:vAlign w:val="bottom"/>
          </w:tcPr>
          <w:p w14:paraId="68817E0A" w14:textId="77777777" w:rsidR="00DA2072" w:rsidRPr="00D32AC4" w:rsidRDefault="00DA2072" w:rsidP="00880B6D">
            <w:pPr>
              <w:pStyle w:val="-b"/>
              <w:spacing w:before="40" w:line="200" w:lineRule="exact"/>
              <w:ind w:left="0" w:firstLine="0"/>
              <w:rPr>
                <w:sz w:val="19"/>
                <w:szCs w:val="19"/>
                <w:rtl/>
              </w:rPr>
            </w:pPr>
            <w:r w:rsidRPr="00D32AC4">
              <w:rPr>
                <w:rFonts w:hint="cs"/>
                <w:sz w:val="19"/>
                <w:szCs w:val="19"/>
                <w:rtl/>
              </w:rPr>
              <w:t>רווח נקי המיוחס לבעלי מניות התאגיד הבנקאי</w:t>
            </w:r>
          </w:p>
        </w:tc>
        <w:tc>
          <w:tcPr>
            <w:tcW w:w="929" w:type="dxa"/>
            <w:tcBorders>
              <w:top w:val="nil"/>
              <w:left w:val="nil"/>
              <w:bottom w:val="nil"/>
              <w:right w:val="nil"/>
            </w:tcBorders>
            <w:vAlign w:val="bottom"/>
          </w:tcPr>
          <w:p w14:paraId="70F2F748" w14:textId="77777777" w:rsidR="00DA2072" w:rsidRPr="00D32AC4" w:rsidRDefault="00DA2072" w:rsidP="00A6619A">
            <w:pPr>
              <w:pStyle w:val="-f1"/>
              <w:pBdr>
                <w:top w:val="none" w:sz="0" w:space="0" w:color="auto"/>
              </w:pBdr>
              <w:spacing w:line="259" w:lineRule="auto"/>
              <w:ind w:left="0" w:firstLine="0"/>
              <w:rPr>
                <w:sz w:val="19"/>
                <w:szCs w:val="19"/>
                <w:rtl/>
              </w:rPr>
            </w:pPr>
            <w:r w:rsidRPr="00D32AC4">
              <w:rPr>
                <w:rFonts w:hint="cs"/>
                <w:sz w:val="19"/>
                <w:szCs w:val="19"/>
                <w:rtl/>
              </w:rPr>
              <w:t xml:space="preserve"> </w:t>
            </w:r>
            <w:r w:rsidRPr="00D32AC4">
              <w:rPr>
                <w:sz w:val="19"/>
                <w:szCs w:val="19"/>
                <w:rtl/>
              </w:rPr>
              <w:t>0</w:t>
            </w:r>
          </w:p>
        </w:tc>
        <w:tc>
          <w:tcPr>
            <w:tcW w:w="1012" w:type="dxa"/>
            <w:tcBorders>
              <w:top w:val="nil"/>
              <w:left w:val="nil"/>
              <w:bottom w:val="nil"/>
              <w:right w:val="nil"/>
            </w:tcBorders>
            <w:vAlign w:val="bottom"/>
          </w:tcPr>
          <w:p w14:paraId="3405897B" w14:textId="77777777" w:rsidR="00DA2072" w:rsidRPr="00D32AC4" w:rsidRDefault="00DA2072" w:rsidP="00A6619A">
            <w:pPr>
              <w:pStyle w:val="-f1"/>
              <w:pBdr>
                <w:top w:val="none" w:sz="0" w:space="0" w:color="auto"/>
              </w:pBdr>
              <w:spacing w:line="259" w:lineRule="auto"/>
              <w:ind w:left="0" w:firstLine="0"/>
              <w:rPr>
                <w:sz w:val="19"/>
                <w:szCs w:val="19"/>
                <w:rtl/>
              </w:rPr>
            </w:pPr>
            <w:r w:rsidRPr="00D32AC4">
              <w:rPr>
                <w:rFonts w:hint="cs"/>
                <w:sz w:val="19"/>
                <w:szCs w:val="19"/>
                <w:rtl/>
              </w:rPr>
              <w:t xml:space="preserve"> </w:t>
            </w:r>
            <w:r w:rsidRPr="00D32AC4">
              <w:rPr>
                <w:sz w:val="19"/>
                <w:szCs w:val="19"/>
                <w:rtl/>
              </w:rPr>
              <w:t>0</w:t>
            </w:r>
          </w:p>
        </w:tc>
        <w:tc>
          <w:tcPr>
            <w:tcW w:w="835" w:type="dxa"/>
            <w:tcBorders>
              <w:top w:val="nil"/>
              <w:left w:val="nil"/>
              <w:bottom w:val="nil"/>
              <w:right w:val="nil"/>
            </w:tcBorders>
            <w:vAlign w:val="bottom"/>
          </w:tcPr>
          <w:p w14:paraId="53780521" w14:textId="77777777" w:rsidR="00DA2072" w:rsidRPr="00D32AC4" w:rsidRDefault="00DA2072" w:rsidP="00A6619A">
            <w:pPr>
              <w:pStyle w:val="-f1"/>
              <w:pBdr>
                <w:top w:val="none" w:sz="0" w:space="0" w:color="auto"/>
              </w:pBdr>
              <w:spacing w:line="259" w:lineRule="auto"/>
              <w:ind w:left="0" w:firstLine="0"/>
              <w:rPr>
                <w:sz w:val="19"/>
                <w:szCs w:val="19"/>
                <w:rtl/>
              </w:rPr>
            </w:pPr>
            <w:r w:rsidRPr="00D32AC4">
              <w:rPr>
                <w:rFonts w:hint="cs"/>
                <w:sz w:val="19"/>
                <w:szCs w:val="19"/>
                <w:rtl/>
              </w:rPr>
              <w:t xml:space="preserve"> </w:t>
            </w:r>
            <w:r w:rsidRPr="00D32AC4">
              <w:rPr>
                <w:sz w:val="19"/>
                <w:szCs w:val="19"/>
                <w:rtl/>
              </w:rPr>
              <w:t>0</w:t>
            </w:r>
          </w:p>
        </w:tc>
        <w:tc>
          <w:tcPr>
            <w:tcW w:w="971" w:type="dxa"/>
            <w:tcBorders>
              <w:top w:val="nil"/>
              <w:left w:val="nil"/>
              <w:bottom w:val="nil"/>
              <w:right w:val="nil"/>
            </w:tcBorders>
            <w:vAlign w:val="bottom"/>
          </w:tcPr>
          <w:p w14:paraId="3E69ADD6" w14:textId="77777777" w:rsidR="00DA2072" w:rsidRPr="00D32AC4" w:rsidRDefault="00DA2072" w:rsidP="00A6619A">
            <w:pPr>
              <w:pStyle w:val="-f1"/>
              <w:pBdr>
                <w:top w:val="none" w:sz="0" w:space="0" w:color="auto"/>
              </w:pBdr>
              <w:spacing w:line="259" w:lineRule="auto"/>
              <w:ind w:left="0" w:firstLine="0"/>
              <w:rPr>
                <w:sz w:val="19"/>
                <w:szCs w:val="19"/>
                <w:rtl/>
              </w:rPr>
            </w:pPr>
            <w:r w:rsidRPr="00D32AC4">
              <w:rPr>
                <w:rFonts w:hint="cs"/>
                <w:sz w:val="19"/>
                <w:szCs w:val="19"/>
                <w:rtl/>
              </w:rPr>
              <w:t xml:space="preserve"> </w:t>
            </w:r>
            <w:r w:rsidRPr="00D32AC4">
              <w:rPr>
                <w:sz w:val="19"/>
                <w:szCs w:val="19"/>
                <w:rtl/>
              </w:rPr>
              <w:t>0</w:t>
            </w:r>
          </w:p>
        </w:tc>
        <w:tc>
          <w:tcPr>
            <w:tcW w:w="1138" w:type="dxa"/>
            <w:tcBorders>
              <w:top w:val="nil"/>
              <w:left w:val="nil"/>
              <w:bottom w:val="nil"/>
              <w:right w:val="nil"/>
            </w:tcBorders>
            <w:vAlign w:val="bottom"/>
          </w:tcPr>
          <w:p w14:paraId="773EC554" w14:textId="77777777" w:rsidR="00DA2072" w:rsidRPr="00D32AC4" w:rsidRDefault="00DA2072" w:rsidP="00A6619A">
            <w:pPr>
              <w:pStyle w:val="-f1"/>
              <w:pBdr>
                <w:top w:val="none" w:sz="0" w:space="0" w:color="auto"/>
              </w:pBdr>
              <w:spacing w:line="259" w:lineRule="auto"/>
              <w:ind w:left="0" w:firstLine="0"/>
              <w:rPr>
                <w:sz w:val="19"/>
                <w:szCs w:val="19"/>
                <w:rtl/>
              </w:rPr>
            </w:pPr>
            <w:r w:rsidRPr="00D32AC4">
              <w:rPr>
                <w:rFonts w:hint="cs"/>
                <w:sz w:val="19"/>
                <w:szCs w:val="19"/>
                <w:rtl/>
              </w:rPr>
              <w:t xml:space="preserve"> </w:t>
            </w:r>
            <w:r w:rsidRPr="00D32AC4">
              <w:rPr>
                <w:sz w:val="19"/>
                <w:szCs w:val="19"/>
                <w:rtl/>
              </w:rPr>
              <w:t>0</w:t>
            </w:r>
          </w:p>
        </w:tc>
      </w:tr>
      <w:tr w:rsidR="00DA2072" w:rsidRPr="005A1D72" w14:paraId="2AAD6019" w14:textId="77777777" w:rsidTr="003521A1">
        <w:tc>
          <w:tcPr>
            <w:tcW w:w="964" w:type="dxa"/>
            <w:tcBorders>
              <w:top w:val="nil"/>
              <w:left w:val="nil"/>
              <w:bottom w:val="nil"/>
              <w:right w:val="nil"/>
            </w:tcBorders>
          </w:tcPr>
          <w:p w14:paraId="41D02C47" w14:textId="77777777" w:rsidR="00DA2072" w:rsidRPr="00EA192D" w:rsidRDefault="00DA2072" w:rsidP="008B25E8">
            <w:pPr>
              <w:pStyle w:val="-0"/>
              <w:spacing w:line="240" w:lineRule="exact"/>
              <w:ind w:left="-57" w:right="-113" w:firstLine="0"/>
              <w:rPr>
                <w:sz w:val="14"/>
                <w:szCs w:val="14"/>
                <w:rtl/>
              </w:rPr>
            </w:pPr>
          </w:p>
        </w:tc>
        <w:tc>
          <w:tcPr>
            <w:tcW w:w="8966" w:type="dxa"/>
            <w:gridSpan w:val="6"/>
            <w:tcBorders>
              <w:top w:val="nil"/>
              <w:left w:val="nil"/>
              <w:bottom w:val="nil"/>
              <w:right w:val="nil"/>
            </w:tcBorders>
          </w:tcPr>
          <w:p w14:paraId="606F58C5" w14:textId="7F8B0F0A" w:rsidR="00DA2072" w:rsidRPr="00D32AC4" w:rsidRDefault="00DA2072" w:rsidP="00DA2072">
            <w:pPr>
              <w:pStyle w:val="-3"/>
              <w:spacing w:before="120" w:line="259" w:lineRule="auto"/>
              <w:jc w:val="left"/>
              <w:rPr>
                <w:sz w:val="19"/>
                <w:szCs w:val="19"/>
                <w:rtl/>
              </w:rPr>
            </w:pPr>
            <w:r w:rsidRPr="00164650">
              <w:rPr>
                <w:rFonts w:hint="eastAsia"/>
                <w:b/>
                <w:bCs/>
                <w:sz w:val="19"/>
                <w:szCs w:val="19"/>
                <w:rtl/>
              </w:rPr>
              <w:t>רווח</w:t>
            </w:r>
            <w:r w:rsidRPr="00164650">
              <w:rPr>
                <w:b/>
                <w:bCs/>
                <w:sz w:val="19"/>
                <w:szCs w:val="19"/>
                <w:rtl/>
              </w:rPr>
              <w:t xml:space="preserve"> (הפסד) כולל אחר, לפני</w:t>
            </w:r>
            <w:r w:rsidRPr="00164650">
              <w:rPr>
                <w:rFonts w:hint="cs"/>
                <w:b/>
                <w:bCs/>
                <w:sz w:val="19"/>
                <w:szCs w:val="19"/>
                <w:rtl/>
              </w:rPr>
              <w:t xml:space="preserve"> </w:t>
            </w:r>
            <w:r w:rsidRPr="00164650">
              <w:rPr>
                <w:rFonts w:hint="eastAsia"/>
                <w:b/>
                <w:bCs/>
                <w:sz w:val="19"/>
                <w:szCs w:val="19"/>
                <w:rtl/>
              </w:rPr>
              <w:t>מסים</w:t>
            </w:r>
            <w:r w:rsidRPr="00164650">
              <w:rPr>
                <w:rFonts w:hint="cs"/>
                <w:b/>
                <w:bCs/>
                <w:sz w:val="19"/>
                <w:szCs w:val="19"/>
                <w:vertAlign w:val="superscript"/>
                <w:rtl/>
              </w:rPr>
              <w:t>[</w:t>
            </w:r>
            <w:r w:rsidRPr="00164650">
              <w:rPr>
                <w:b/>
                <w:bCs/>
                <w:sz w:val="19"/>
                <w:szCs w:val="19"/>
                <w:vertAlign w:val="superscript"/>
                <w:rtl/>
              </w:rPr>
              <w:footnoteReference w:id="9"/>
            </w:r>
            <w:r w:rsidRPr="00164650">
              <w:rPr>
                <w:rFonts w:hint="cs"/>
                <w:b/>
                <w:bCs/>
                <w:sz w:val="19"/>
                <w:szCs w:val="19"/>
                <w:vertAlign w:val="superscript"/>
                <w:rtl/>
              </w:rPr>
              <w:t>]</w:t>
            </w:r>
            <w:r w:rsidRPr="00164650">
              <w:rPr>
                <w:b/>
                <w:bCs/>
                <w:sz w:val="19"/>
                <w:szCs w:val="19"/>
                <w:rtl/>
              </w:rPr>
              <w:t>:</w:t>
            </w:r>
            <w:r>
              <w:rPr>
                <w:rFonts w:hint="cs"/>
                <w:b/>
                <w:bCs/>
                <w:sz w:val="19"/>
                <w:szCs w:val="19"/>
                <w:rtl/>
              </w:rPr>
              <w:t xml:space="preserve"> </w:t>
            </w:r>
            <w:r w:rsidRPr="00DA2072">
              <w:rPr>
                <w:rFonts w:hint="cs"/>
                <w:sz w:val="16"/>
                <w:szCs w:val="16"/>
                <w:rtl/>
              </w:rPr>
              <w:t>(ראה ביאור 4)</w:t>
            </w:r>
          </w:p>
        </w:tc>
      </w:tr>
      <w:tr w:rsidR="00DA2072" w:rsidRPr="005A1D72" w14:paraId="23CF7C73" w14:textId="77777777" w:rsidTr="00DA2072">
        <w:tc>
          <w:tcPr>
            <w:tcW w:w="964" w:type="dxa"/>
            <w:tcBorders>
              <w:top w:val="nil"/>
              <w:left w:val="nil"/>
              <w:bottom w:val="nil"/>
              <w:right w:val="nil"/>
            </w:tcBorders>
          </w:tcPr>
          <w:p w14:paraId="584C7373" w14:textId="56883E75" w:rsidR="00DA2072" w:rsidRPr="00AB5984" w:rsidRDefault="00DA2072" w:rsidP="00A6619A">
            <w:pPr>
              <w:pStyle w:val="-0"/>
              <w:bidi w:val="0"/>
              <w:spacing w:line="240" w:lineRule="exact"/>
              <w:ind w:left="-57" w:right="-113" w:firstLine="0"/>
              <w:rPr>
                <w:sz w:val="14"/>
                <w:szCs w:val="14"/>
                <w:rtl/>
              </w:rPr>
            </w:pPr>
          </w:p>
        </w:tc>
        <w:tc>
          <w:tcPr>
            <w:tcW w:w="4082" w:type="dxa"/>
            <w:tcBorders>
              <w:top w:val="nil"/>
              <w:left w:val="nil"/>
              <w:bottom w:val="nil"/>
              <w:right w:val="nil"/>
            </w:tcBorders>
            <w:vAlign w:val="bottom"/>
          </w:tcPr>
          <w:p w14:paraId="07F5F0DA" w14:textId="62F47617" w:rsidR="00DA2072" w:rsidRPr="00D32AC4" w:rsidRDefault="00DA2072" w:rsidP="00A6619A">
            <w:pPr>
              <w:pStyle w:val="-0"/>
              <w:spacing w:before="40" w:after="40" w:line="200" w:lineRule="exact"/>
              <w:ind w:left="0" w:firstLine="0"/>
              <w:rPr>
                <w:sz w:val="19"/>
                <w:szCs w:val="19"/>
                <w:rtl/>
              </w:rPr>
            </w:pPr>
            <w:r w:rsidRPr="00D32AC4">
              <w:rPr>
                <w:rFonts w:hint="cs"/>
                <w:sz w:val="19"/>
                <w:szCs w:val="19"/>
                <w:rtl/>
              </w:rPr>
              <w:t>התאמות נטו בגין הצגת אגרות חוב זמינות למכירה לפי שווי הוגן</w:t>
            </w:r>
            <w:r w:rsidRPr="00D32AC4">
              <w:rPr>
                <w:rFonts w:hint="cs"/>
                <w:sz w:val="19"/>
                <w:szCs w:val="19"/>
                <w:vertAlign w:val="superscript"/>
                <w:rtl/>
              </w:rPr>
              <w:t>[</w:t>
            </w:r>
            <w:r w:rsidRPr="00D32AC4">
              <w:rPr>
                <w:rStyle w:val="a7"/>
                <w:sz w:val="19"/>
                <w:szCs w:val="19"/>
                <w:rtl/>
              </w:rPr>
              <w:footnoteReference w:id="10"/>
            </w:r>
            <w:r w:rsidRPr="00D32AC4">
              <w:rPr>
                <w:rFonts w:hint="cs"/>
                <w:sz w:val="19"/>
                <w:szCs w:val="19"/>
                <w:vertAlign w:val="superscript"/>
                <w:rtl/>
              </w:rPr>
              <w:t>]</w:t>
            </w:r>
          </w:p>
        </w:tc>
        <w:tc>
          <w:tcPr>
            <w:tcW w:w="929" w:type="dxa"/>
            <w:tcBorders>
              <w:top w:val="nil"/>
              <w:left w:val="nil"/>
              <w:bottom w:val="nil"/>
              <w:right w:val="nil"/>
            </w:tcBorders>
            <w:vAlign w:val="bottom"/>
          </w:tcPr>
          <w:p w14:paraId="4B0C916F" w14:textId="7BEA1100" w:rsidR="00DA2072" w:rsidRPr="00D32AC4" w:rsidRDefault="00DA2072" w:rsidP="00A6619A">
            <w:pPr>
              <w:pStyle w:val="-3"/>
              <w:spacing w:line="259" w:lineRule="auto"/>
              <w:jc w:val="left"/>
              <w:rPr>
                <w:sz w:val="19"/>
                <w:szCs w:val="19"/>
              </w:rPr>
            </w:pPr>
            <w:r w:rsidRPr="00D32AC4">
              <w:rPr>
                <w:rFonts w:hint="cs"/>
                <w:sz w:val="19"/>
                <w:szCs w:val="19"/>
                <w:rtl/>
              </w:rPr>
              <w:t xml:space="preserve"> </w:t>
            </w:r>
            <w:r w:rsidRPr="00D32AC4">
              <w:rPr>
                <w:sz w:val="19"/>
                <w:szCs w:val="19"/>
                <w:rtl/>
              </w:rPr>
              <w:t>0</w:t>
            </w:r>
          </w:p>
        </w:tc>
        <w:tc>
          <w:tcPr>
            <w:tcW w:w="1012" w:type="dxa"/>
            <w:tcBorders>
              <w:top w:val="nil"/>
              <w:left w:val="nil"/>
              <w:bottom w:val="nil"/>
              <w:right w:val="nil"/>
            </w:tcBorders>
            <w:vAlign w:val="bottom"/>
          </w:tcPr>
          <w:p w14:paraId="3C342ED2" w14:textId="24392031"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835" w:type="dxa"/>
            <w:tcBorders>
              <w:top w:val="nil"/>
              <w:left w:val="nil"/>
              <w:bottom w:val="nil"/>
              <w:right w:val="nil"/>
            </w:tcBorders>
            <w:vAlign w:val="bottom"/>
          </w:tcPr>
          <w:p w14:paraId="38F50834" w14:textId="68C930F9"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971" w:type="dxa"/>
            <w:tcBorders>
              <w:top w:val="nil"/>
              <w:left w:val="nil"/>
              <w:bottom w:val="nil"/>
              <w:right w:val="nil"/>
            </w:tcBorders>
            <w:vAlign w:val="bottom"/>
          </w:tcPr>
          <w:p w14:paraId="2B488B88" w14:textId="0D758177"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1138" w:type="dxa"/>
            <w:tcBorders>
              <w:top w:val="nil"/>
              <w:left w:val="nil"/>
              <w:bottom w:val="nil"/>
              <w:right w:val="nil"/>
            </w:tcBorders>
            <w:vAlign w:val="bottom"/>
          </w:tcPr>
          <w:p w14:paraId="191DB5AD" w14:textId="0ED1B836"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r>
      <w:tr w:rsidR="00DA2072" w:rsidRPr="005A1D72" w14:paraId="149A23C8" w14:textId="77777777" w:rsidTr="00DA2072">
        <w:tc>
          <w:tcPr>
            <w:tcW w:w="964" w:type="dxa"/>
            <w:tcBorders>
              <w:top w:val="nil"/>
              <w:left w:val="nil"/>
              <w:bottom w:val="nil"/>
              <w:right w:val="nil"/>
            </w:tcBorders>
          </w:tcPr>
          <w:p w14:paraId="5295639F" w14:textId="43D0F90D" w:rsidR="00DA2072" w:rsidRPr="00CD07A8" w:rsidRDefault="00DA2072" w:rsidP="00A6619A">
            <w:pPr>
              <w:pStyle w:val="-0"/>
              <w:bidi w:val="0"/>
              <w:spacing w:line="160" w:lineRule="exact"/>
              <w:ind w:left="-57" w:right="-113" w:firstLine="0"/>
            </w:pPr>
          </w:p>
        </w:tc>
        <w:tc>
          <w:tcPr>
            <w:tcW w:w="4082" w:type="dxa"/>
            <w:tcBorders>
              <w:top w:val="nil"/>
              <w:left w:val="nil"/>
              <w:bottom w:val="nil"/>
              <w:right w:val="nil"/>
            </w:tcBorders>
            <w:vAlign w:val="bottom"/>
          </w:tcPr>
          <w:p w14:paraId="481BB409" w14:textId="02283F4E" w:rsidR="00DA2072" w:rsidRPr="00D32AC4" w:rsidRDefault="00DA2072" w:rsidP="00A6619A">
            <w:pPr>
              <w:pStyle w:val="-0"/>
              <w:spacing w:before="40" w:after="40" w:line="200" w:lineRule="exact"/>
              <w:ind w:left="0" w:firstLine="0"/>
              <w:rPr>
                <w:sz w:val="19"/>
                <w:szCs w:val="19"/>
                <w:rtl/>
              </w:rPr>
            </w:pPr>
            <w:r w:rsidRPr="00D32AC4">
              <w:rPr>
                <w:rFonts w:hint="cs"/>
                <w:sz w:val="19"/>
                <w:szCs w:val="19"/>
                <w:rtl/>
              </w:rPr>
              <w:t>התאמות מתרגום דוחות כספיים</w:t>
            </w:r>
            <w:r w:rsidRPr="00D32AC4">
              <w:rPr>
                <w:rFonts w:hint="cs"/>
                <w:sz w:val="19"/>
                <w:szCs w:val="19"/>
                <w:vertAlign w:val="superscript"/>
                <w:rtl/>
              </w:rPr>
              <w:t>(א)</w:t>
            </w:r>
            <w:r w:rsidRPr="00D32AC4">
              <w:rPr>
                <w:sz w:val="19"/>
                <w:szCs w:val="19"/>
                <w:vertAlign w:val="superscript"/>
                <w:rtl/>
              </w:rPr>
              <w:t>(</w:t>
            </w:r>
            <w:r w:rsidRPr="00D32AC4">
              <w:rPr>
                <w:rFonts w:hint="cs"/>
                <w:sz w:val="19"/>
                <w:szCs w:val="19"/>
                <w:vertAlign w:val="superscript"/>
                <w:rtl/>
              </w:rPr>
              <w:t>ב</w:t>
            </w:r>
            <w:r w:rsidRPr="00D32AC4">
              <w:rPr>
                <w:sz w:val="19"/>
                <w:szCs w:val="19"/>
                <w:vertAlign w:val="superscript"/>
                <w:rtl/>
              </w:rPr>
              <w:t xml:space="preserve">) </w:t>
            </w:r>
            <w:r w:rsidRPr="00D32AC4">
              <w:rPr>
                <w:rFonts w:hint="cs"/>
                <w:sz w:val="19"/>
                <w:szCs w:val="19"/>
                <w:rtl/>
              </w:rPr>
              <w:t>נטו, לאחר השפעת מס וגידורים</w:t>
            </w:r>
            <w:r w:rsidRPr="00D32AC4">
              <w:rPr>
                <w:rFonts w:hint="cs"/>
                <w:sz w:val="19"/>
                <w:szCs w:val="19"/>
                <w:vertAlign w:val="superscript"/>
                <w:rtl/>
              </w:rPr>
              <w:t>(ג)[</w:t>
            </w:r>
            <w:r w:rsidRPr="00D32AC4">
              <w:rPr>
                <w:rStyle w:val="a7"/>
                <w:sz w:val="19"/>
                <w:szCs w:val="19"/>
                <w:rtl/>
              </w:rPr>
              <w:footnoteReference w:id="11"/>
            </w:r>
            <w:r w:rsidRPr="00D32AC4">
              <w:rPr>
                <w:rFonts w:hint="cs"/>
                <w:sz w:val="19"/>
                <w:szCs w:val="19"/>
                <w:vertAlign w:val="superscript"/>
                <w:rtl/>
              </w:rPr>
              <w:t>][5]</w:t>
            </w:r>
          </w:p>
        </w:tc>
        <w:tc>
          <w:tcPr>
            <w:tcW w:w="929" w:type="dxa"/>
            <w:tcBorders>
              <w:top w:val="nil"/>
              <w:left w:val="nil"/>
              <w:bottom w:val="nil"/>
              <w:right w:val="nil"/>
            </w:tcBorders>
            <w:vAlign w:val="bottom"/>
          </w:tcPr>
          <w:p w14:paraId="61A64C60" w14:textId="28418038"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1012" w:type="dxa"/>
            <w:tcBorders>
              <w:top w:val="nil"/>
              <w:left w:val="nil"/>
              <w:bottom w:val="nil"/>
              <w:right w:val="nil"/>
            </w:tcBorders>
            <w:vAlign w:val="bottom"/>
          </w:tcPr>
          <w:p w14:paraId="43CCF470" w14:textId="0C29EE13"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835" w:type="dxa"/>
            <w:tcBorders>
              <w:top w:val="nil"/>
              <w:left w:val="nil"/>
              <w:bottom w:val="nil"/>
              <w:right w:val="nil"/>
            </w:tcBorders>
            <w:vAlign w:val="bottom"/>
          </w:tcPr>
          <w:p w14:paraId="28CA464E" w14:textId="52089676"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971" w:type="dxa"/>
            <w:tcBorders>
              <w:top w:val="nil"/>
              <w:left w:val="nil"/>
              <w:bottom w:val="nil"/>
              <w:right w:val="nil"/>
            </w:tcBorders>
            <w:vAlign w:val="bottom"/>
          </w:tcPr>
          <w:p w14:paraId="72F7DB1A" w14:textId="28834D10"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1138" w:type="dxa"/>
            <w:tcBorders>
              <w:top w:val="nil"/>
              <w:left w:val="nil"/>
              <w:bottom w:val="nil"/>
              <w:right w:val="nil"/>
            </w:tcBorders>
            <w:vAlign w:val="bottom"/>
          </w:tcPr>
          <w:p w14:paraId="299D5A33" w14:textId="637341ED"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r>
      <w:tr w:rsidR="00DA2072" w:rsidRPr="005A1D72" w14:paraId="26F79F5C" w14:textId="77777777" w:rsidTr="00DA2072">
        <w:tc>
          <w:tcPr>
            <w:tcW w:w="964" w:type="dxa"/>
            <w:tcBorders>
              <w:top w:val="nil"/>
              <w:left w:val="nil"/>
              <w:bottom w:val="nil"/>
              <w:right w:val="nil"/>
            </w:tcBorders>
          </w:tcPr>
          <w:p w14:paraId="785B6D8B" w14:textId="77777777" w:rsidR="00DA2072" w:rsidRPr="00AB5984" w:rsidRDefault="00DA2072" w:rsidP="00A6619A">
            <w:pPr>
              <w:pStyle w:val="-0"/>
              <w:spacing w:line="240" w:lineRule="exact"/>
              <w:ind w:left="-57" w:right="-113" w:firstLine="0"/>
              <w:rPr>
                <w:rtl/>
              </w:rPr>
            </w:pPr>
          </w:p>
        </w:tc>
        <w:tc>
          <w:tcPr>
            <w:tcW w:w="4082" w:type="dxa"/>
            <w:tcBorders>
              <w:top w:val="nil"/>
              <w:left w:val="nil"/>
              <w:bottom w:val="nil"/>
              <w:right w:val="nil"/>
            </w:tcBorders>
            <w:vAlign w:val="bottom"/>
          </w:tcPr>
          <w:p w14:paraId="66866F0C" w14:textId="77777777" w:rsidR="00DA2072" w:rsidRPr="00D32AC4" w:rsidRDefault="00DA2072" w:rsidP="00A6619A">
            <w:pPr>
              <w:pStyle w:val="-0"/>
              <w:spacing w:before="40" w:after="40" w:line="200" w:lineRule="exact"/>
              <w:ind w:left="0" w:firstLine="0"/>
              <w:rPr>
                <w:sz w:val="19"/>
                <w:szCs w:val="19"/>
                <w:rtl/>
              </w:rPr>
            </w:pPr>
            <w:r w:rsidRPr="00D32AC4">
              <w:rPr>
                <w:rFonts w:hint="cs"/>
                <w:sz w:val="19"/>
                <w:szCs w:val="19"/>
                <w:rtl/>
              </w:rPr>
              <w:t>התאמות של התחייבויות בגין הטבות לעובדים</w:t>
            </w:r>
          </w:p>
        </w:tc>
        <w:tc>
          <w:tcPr>
            <w:tcW w:w="929" w:type="dxa"/>
            <w:tcBorders>
              <w:top w:val="nil"/>
              <w:left w:val="nil"/>
              <w:bottom w:val="nil"/>
              <w:right w:val="nil"/>
            </w:tcBorders>
            <w:vAlign w:val="bottom"/>
          </w:tcPr>
          <w:p w14:paraId="54AE45A3" w14:textId="1284E211"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1012" w:type="dxa"/>
            <w:tcBorders>
              <w:top w:val="nil"/>
              <w:left w:val="nil"/>
              <w:bottom w:val="nil"/>
              <w:right w:val="nil"/>
            </w:tcBorders>
            <w:vAlign w:val="bottom"/>
          </w:tcPr>
          <w:p w14:paraId="3CB257AE" w14:textId="74D4BD60"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835" w:type="dxa"/>
            <w:tcBorders>
              <w:top w:val="nil"/>
              <w:left w:val="nil"/>
              <w:bottom w:val="nil"/>
              <w:right w:val="nil"/>
            </w:tcBorders>
            <w:vAlign w:val="bottom"/>
          </w:tcPr>
          <w:p w14:paraId="20DA8368" w14:textId="4E4C9ACB"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971" w:type="dxa"/>
            <w:tcBorders>
              <w:top w:val="nil"/>
              <w:left w:val="nil"/>
              <w:bottom w:val="nil"/>
              <w:right w:val="nil"/>
            </w:tcBorders>
            <w:vAlign w:val="bottom"/>
          </w:tcPr>
          <w:p w14:paraId="79EFF469" w14:textId="55129A1A"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1138" w:type="dxa"/>
            <w:tcBorders>
              <w:top w:val="nil"/>
              <w:left w:val="nil"/>
              <w:bottom w:val="nil"/>
              <w:right w:val="nil"/>
            </w:tcBorders>
            <w:vAlign w:val="bottom"/>
          </w:tcPr>
          <w:p w14:paraId="058052DD" w14:textId="5AA305E1"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r>
      <w:tr w:rsidR="00DA2072" w:rsidRPr="005A1D72" w14:paraId="28B6A5DA" w14:textId="77777777" w:rsidTr="00DA2072">
        <w:tc>
          <w:tcPr>
            <w:tcW w:w="964" w:type="dxa"/>
            <w:tcBorders>
              <w:top w:val="nil"/>
              <w:left w:val="nil"/>
              <w:bottom w:val="nil"/>
              <w:right w:val="nil"/>
            </w:tcBorders>
          </w:tcPr>
          <w:p w14:paraId="04A9534F" w14:textId="42EF4CCD" w:rsidR="00DA2072" w:rsidRPr="00AB5984" w:rsidRDefault="00DA2072" w:rsidP="00A6619A">
            <w:pPr>
              <w:pStyle w:val="-0"/>
              <w:spacing w:line="240" w:lineRule="exact"/>
              <w:ind w:left="-57" w:right="-113" w:firstLine="0"/>
              <w:rPr>
                <w:sz w:val="14"/>
                <w:szCs w:val="14"/>
                <w:rtl/>
              </w:rPr>
            </w:pPr>
          </w:p>
        </w:tc>
        <w:tc>
          <w:tcPr>
            <w:tcW w:w="4082" w:type="dxa"/>
            <w:tcBorders>
              <w:top w:val="nil"/>
              <w:left w:val="nil"/>
              <w:bottom w:val="nil"/>
              <w:right w:val="nil"/>
            </w:tcBorders>
            <w:vAlign w:val="bottom"/>
          </w:tcPr>
          <w:p w14:paraId="6EEDAABB" w14:textId="500025DD" w:rsidR="00DA2072" w:rsidRPr="00D32AC4" w:rsidRDefault="00DA2072" w:rsidP="00A6619A">
            <w:pPr>
              <w:pStyle w:val="-0"/>
              <w:spacing w:before="40" w:after="40" w:line="200" w:lineRule="exact"/>
              <w:ind w:left="0" w:firstLine="0"/>
              <w:rPr>
                <w:b/>
                <w:bCs/>
                <w:sz w:val="19"/>
                <w:szCs w:val="19"/>
                <w:u w:val="single"/>
                <w:rtl/>
              </w:rPr>
            </w:pPr>
            <w:r w:rsidRPr="00D32AC4">
              <w:rPr>
                <w:rFonts w:hint="cs"/>
                <w:sz w:val="19"/>
                <w:szCs w:val="19"/>
                <w:rtl/>
              </w:rPr>
              <w:t>רווחים (הפסדים) נטו בגין גידורי תזרים מזומנים</w:t>
            </w:r>
            <w:r w:rsidRPr="00D32AC4">
              <w:rPr>
                <w:rFonts w:hint="cs"/>
                <w:sz w:val="19"/>
                <w:szCs w:val="19"/>
                <w:vertAlign w:val="superscript"/>
                <w:rtl/>
              </w:rPr>
              <w:t>(ג)[</w:t>
            </w:r>
            <w:r w:rsidRPr="00D32AC4">
              <w:rPr>
                <w:rStyle w:val="a7"/>
                <w:sz w:val="19"/>
                <w:szCs w:val="19"/>
                <w:rtl/>
              </w:rPr>
              <w:footnoteReference w:id="12"/>
            </w:r>
            <w:r w:rsidRPr="00D32AC4">
              <w:rPr>
                <w:rFonts w:hint="cs"/>
                <w:sz w:val="19"/>
                <w:szCs w:val="19"/>
                <w:vertAlign w:val="superscript"/>
                <w:rtl/>
              </w:rPr>
              <w:t>][5]</w:t>
            </w:r>
          </w:p>
        </w:tc>
        <w:tc>
          <w:tcPr>
            <w:tcW w:w="929" w:type="dxa"/>
            <w:tcBorders>
              <w:top w:val="nil"/>
              <w:left w:val="nil"/>
              <w:bottom w:val="nil"/>
              <w:right w:val="nil"/>
            </w:tcBorders>
            <w:vAlign w:val="bottom"/>
          </w:tcPr>
          <w:p w14:paraId="3BB0E80B" w14:textId="30EB8AC2"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1012" w:type="dxa"/>
            <w:tcBorders>
              <w:top w:val="nil"/>
              <w:left w:val="nil"/>
              <w:bottom w:val="nil"/>
              <w:right w:val="nil"/>
            </w:tcBorders>
            <w:vAlign w:val="bottom"/>
          </w:tcPr>
          <w:p w14:paraId="0CC2B5DB" w14:textId="75ABB0EA"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835" w:type="dxa"/>
            <w:tcBorders>
              <w:top w:val="nil"/>
              <w:left w:val="nil"/>
              <w:bottom w:val="nil"/>
              <w:right w:val="nil"/>
            </w:tcBorders>
            <w:vAlign w:val="bottom"/>
          </w:tcPr>
          <w:p w14:paraId="24C74D74" w14:textId="11C8B210"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971" w:type="dxa"/>
            <w:tcBorders>
              <w:top w:val="nil"/>
              <w:left w:val="nil"/>
              <w:bottom w:val="nil"/>
              <w:right w:val="nil"/>
            </w:tcBorders>
            <w:vAlign w:val="bottom"/>
          </w:tcPr>
          <w:p w14:paraId="0CF32C24" w14:textId="1BEBEF35"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1138" w:type="dxa"/>
            <w:tcBorders>
              <w:top w:val="nil"/>
              <w:left w:val="nil"/>
              <w:bottom w:val="nil"/>
              <w:right w:val="nil"/>
            </w:tcBorders>
            <w:vAlign w:val="bottom"/>
          </w:tcPr>
          <w:p w14:paraId="67F1221D" w14:textId="6E9DF382" w:rsidR="00DA2072" w:rsidRPr="00D32AC4" w:rsidRDefault="00DA2072" w:rsidP="00A6619A">
            <w:pPr>
              <w:pStyle w:val="-3"/>
              <w:spacing w:line="259" w:lineRule="auto"/>
              <w:jc w:val="left"/>
              <w:rPr>
                <w:sz w:val="19"/>
                <w:szCs w:val="19"/>
                <w:rtl/>
              </w:rPr>
            </w:pPr>
            <w:r w:rsidRPr="00D32AC4">
              <w:rPr>
                <w:rFonts w:hint="cs"/>
                <w:sz w:val="19"/>
                <w:szCs w:val="19"/>
                <w:rtl/>
              </w:rPr>
              <w:t xml:space="preserve"> </w:t>
            </w:r>
            <w:r w:rsidRPr="00D32AC4">
              <w:rPr>
                <w:sz w:val="19"/>
                <w:szCs w:val="19"/>
                <w:rtl/>
              </w:rPr>
              <w:t>0</w:t>
            </w:r>
          </w:p>
        </w:tc>
      </w:tr>
      <w:tr w:rsidR="00DA2072" w:rsidRPr="005A1D72" w14:paraId="3A539C7E" w14:textId="77777777" w:rsidTr="00DA2072">
        <w:tc>
          <w:tcPr>
            <w:tcW w:w="964" w:type="dxa"/>
            <w:tcBorders>
              <w:top w:val="nil"/>
              <w:left w:val="nil"/>
              <w:bottom w:val="nil"/>
              <w:right w:val="nil"/>
            </w:tcBorders>
          </w:tcPr>
          <w:p w14:paraId="23F04714" w14:textId="71622F95" w:rsidR="00DA2072" w:rsidRPr="00EB5088" w:rsidRDefault="00DA2072" w:rsidP="00A6619A">
            <w:pPr>
              <w:pStyle w:val="-0"/>
              <w:bidi w:val="0"/>
              <w:spacing w:line="240" w:lineRule="exact"/>
              <w:ind w:left="-57" w:right="-113" w:firstLine="0"/>
              <w:rPr>
                <w:sz w:val="14"/>
                <w:szCs w:val="14"/>
              </w:rPr>
            </w:pPr>
          </w:p>
        </w:tc>
        <w:tc>
          <w:tcPr>
            <w:tcW w:w="4082" w:type="dxa"/>
            <w:tcBorders>
              <w:top w:val="nil"/>
              <w:left w:val="nil"/>
              <w:bottom w:val="nil"/>
              <w:right w:val="nil"/>
            </w:tcBorders>
            <w:vAlign w:val="bottom"/>
          </w:tcPr>
          <w:p w14:paraId="53E37E6B" w14:textId="4EFED278" w:rsidR="00DA2072" w:rsidRPr="00D32AC4" w:rsidRDefault="00DA2072" w:rsidP="00A6619A">
            <w:pPr>
              <w:pStyle w:val="-0"/>
              <w:spacing w:before="40" w:after="40" w:line="200" w:lineRule="exact"/>
              <w:ind w:left="0" w:firstLine="0"/>
              <w:rPr>
                <w:sz w:val="19"/>
                <w:szCs w:val="19"/>
                <w:rtl/>
              </w:rPr>
            </w:pPr>
            <w:r w:rsidRPr="00D32AC4">
              <w:rPr>
                <w:rFonts w:hint="cs"/>
                <w:sz w:val="19"/>
                <w:szCs w:val="19"/>
                <w:rtl/>
              </w:rPr>
              <w:t>התאמות בגין רכיבים שלא נכללו בהערכת אפקטיביות גידור שווי הוגן</w:t>
            </w:r>
            <w:r w:rsidRPr="00D32AC4">
              <w:rPr>
                <w:rFonts w:hint="cs"/>
                <w:sz w:val="19"/>
                <w:szCs w:val="19"/>
                <w:vertAlign w:val="superscript"/>
                <w:rtl/>
              </w:rPr>
              <w:t>[</w:t>
            </w:r>
            <w:r w:rsidRPr="00D32AC4">
              <w:rPr>
                <w:rStyle w:val="a7"/>
                <w:sz w:val="19"/>
                <w:szCs w:val="19"/>
                <w:rtl/>
              </w:rPr>
              <w:footnoteReference w:id="13"/>
            </w:r>
            <w:r w:rsidRPr="00D32AC4">
              <w:rPr>
                <w:rFonts w:hint="cs"/>
                <w:sz w:val="19"/>
                <w:szCs w:val="19"/>
                <w:vertAlign w:val="superscript"/>
                <w:rtl/>
              </w:rPr>
              <w:t>]</w:t>
            </w:r>
          </w:p>
        </w:tc>
        <w:tc>
          <w:tcPr>
            <w:tcW w:w="929" w:type="dxa"/>
            <w:tcBorders>
              <w:top w:val="nil"/>
              <w:left w:val="nil"/>
              <w:bottom w:val="nil"/>
              <w:right w:val="nil"/>
            </w:tcBorders>
            <w:vAlign w:val="bottom"/>
          </w:tcPr>
          <w:p w14:paraId="1B94EE92" w14:textId="60AFD377" w:rsidR="00DA2072" w:rsidRPr="00D32AC4" w:rsidRDefault="00DA2072" w:rsidP="00A6619A">
            <w:pPr>
              <w:pStyle w:val="-3"/>
              <w:pBdr>
                <w:bottom w:val="single" w:sz="4" w:space="1" w:color="auto"/>
              </w:pBdr>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1012" w:type="dxa"/>
            <w:tcBorders>
              <w:top w:val="nil"/>
              <w:left w:val="nil"/>
              <w:bottom w:val="nil"/>
              <w:right w:val="nil"/>
            </w:tcBorders>
            <w:vAlign w:val="bottom"/>
          </w:tcPr>
          <w:p w14:paraId="3B912963" w14:textId="2A16B5CC" w:rsidR="00DA2072" w:rsidRPr="00D32AC4" w:rsidRDefault="00DA2072" w:rsidP="00A6619A">
            <w:pPr>
              <w:pStyle w:val="-3"/>
              <w:pBdr>
                <w:bottom w:val="single" w:sz="4" w:space="1" w:color="auto"/>
              </w:pBdr>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835" w:type="dxa"/>
            <w:tcBorders>
              <w:top w:val="nil"/>
              <w:left w:val="nil"/>
              <w:bottom w:val="nil"/>
              <w:right w:val="nil"/>
            </w:tcBorders>
            <w:vAlign w:val="bottom"/>
          </w:tcPr>
          <w:p w14:paraId="4AED8658" w14:textId="44710D6B" w:rsidR="00DA2072" w:rsidRPr="00D32AC4" w:rsidRDefault="00DA2072" w:rsidP="00A6619A">
            <w:pPr>
              <w:pStyle w:val="-3"/>
              <w:pBdr>
                <w:bottom w:val="single" w:sz="4" w:space="1" w:color="auto"/>
              </w:pBdr>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971" w:type="dxa"/>
            <w:tcBorders>
              <w:top w:val="nil"/>
              <w:left w:val="nil"/>
              <w:bottom w:val="nil"/>
              <w:right w:val="nil"/>
            </w:tcBorders>
            <w:vAlign w:val="bottom"/>
          </w:tcPr>
          <w:p w14:paraId="1547AD78" w14:textId="2385F2B0" w:rsidR="00DA2072" w:rsidRPr="00D32AC4" w:rsidRDefault="00DA2072" w:rsidP="00A6619A">
            <w:pPr>
              <w:pStyle w:val="-3"/>
              <w:pBdr>
                <w:bottom w:val="single" w:sz="4" w:space="1" w:color="auto"/>
              </w:pBdr>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1138" w:type="dxa"/>
            <w:tcBorders>
              <w:top w:val="nil"/>
              <w:left w:val="nil"/>
              <w:bottom w:val="nil"/>
              <w:right w:val="nil"/>
            </w:tcBorders>
            <w:vAlign w:val="bottom"/>
          </w:tcPr>
          <w:p w14:paraId="79D6A3B7" w14:textId="1FF7A381" w:rsidR="00DA2072" w:rsidRPr="00D32AC4" w:rsidRDefault="00DA2072" w:rsidP="00A6619A">
            <w:pPr>
              <w:pStyle w:val="-3"/>
              <w:pBdr>
                <w:bottom w:val="single" w:sz="4" w:space="1" w:color="auto"/>
              </w:pBdr>
              <w:spacing w:line="259" w:lineRule="auto"/>
              <w:jc w:val="left"/>
              <w:rPr>
                <w:sz w:val="19"/>
                <w:szCs w:val="19"/>
                <w:rtl/>
              </w:rPr>
            </w:pPr>
            <w:r w:rsidRPr="00D32AC4">
              <w:rPr>
                <w:rFonts w:hint="cs"/>
                <w:sz w:val="19"/>
                <w:szCs w:val="19"/>
                <w:rtl/>
              </w:rPr>
              <w:t xml:space="preserve"> </w:t>
            </w:r>
            <w:r w:rsidRPr="00D32AC4">
              <w:rPr>
                <w:sz w:val="19"/>
                <w:szCs w:val="19"/>
                <w:rtl/>
              </w:rPr>
              <w:t>0</w:t>
            </w:r>
          </w:p>
        </w:tc>
      </w:tr>
      <w:tr w:rsidR="00DA2072" w:rsidRPr="005A1D72" w14:paraId="702284FC" w14:textId="77777777" w:rsidTr="00DA2072">
        <w:tc>
          <w:tcPr>
            <w:tcW w:w="964" w:type="dxa"/>
            <w:tcBorders>
              <w:top w:val="nil"/>
              <w:left w:val="nil"/>
              <w:bottom w:val="nil"/>
              <w:right w:val="nil"/>
            </w:tcBorders>
          </w:tcPr>
          <w:p w14:paraId="4993B365" w14:textId="77777777" w:rsidR="00DA2072" w:rsidRDefault="00DA2072" w:rsidP="008B25E8">
            <w:pPr>
              <w:pStyle w:val="-b"/>
              <w:spacing w:line="240" w:lineRule="exact"/>
              <w:ind w:left="-57" w:right="-113" w:firstLine="0"/>
            </w:pPr>
          </w:p>
        </w:tc>
        <w:tc>
          <w:tcPr>
            <w:tcW w:w="4082" w:type="dxa"/>
            <w:tcBorders>
              <w:top w:val="nil"/>
              <w:left w:val="nil"/>
              <w:bottom w:val="nil"/>
              <w:right w:val="nil"/>
            </w:tcBorders>
            <w:vAlign w:val="bottom"/>
          </w:tcPr>
          <w:p w14:paraId="42560614" w14:textId="77777777" w:rsidR="00DA2072" w:rsidRPr="00D32AC4" w:rsidRDefault="00DA2072">
            <w:pPr>
              <w:pStyle w:val="-b"/>
              <w:spacing w:before="40" w:line="240" w:lineRule="exact"/>
              <w:rPr>
                <w:sz w:val="19"/>
                <w:szCs w:val="19"/>
                <w:rtl/>
              </w:rPr>
            </w:pPr>
            <w:r w:rsidRPr="00D32AC4">
              <w:rPr>
                <w:sz w:val="19"/>
                <w:szCs w:val="19"/>
                <w:rtl/>
              </w:rPr>
              <w:t xml:space="preserve">רווח </w:t>
            </w:r>
            <w:r w:rsidRPr="00D32AC4">
              <w:rPr>
                <w:rFonts w:hint="cs"/>
                <w:sz w:val="19"/>
                <w:szCs w:val="19"/>
                <w:rtl/>
              </w:rPr>
              <w:t>(הפסד) כולל אחר, לפני מסים</w:t>
            </w:r>
          </w:p>
        </w:tc>
        <w:tc>
          <w:tcPr>
            <w:tcW w:w="929" w:type="dxa"/>
            <w:tcBorders>
              <w:top w:val="nil"/>
              <w:left w:val="nil"/>
              <w:bottom w:val="nil"/>
              <w:right w:val="nil"/>
            </w:tcBorders>
            <w:vAlign w:val="bottom"/>
          </w:tcPr>
          <w:p w14:paraId="0DD8343B" w14:textId="77777777" w:rsidR="00DA2072" w:rsidRPr="00D32AC4" w:rsidRDefault="00DA2072" w:rsidP="00A6619A">
            <w:pPr>
              <w:pStyle w:val="-f1"/>
              <w:pBdr>
                <w:top w:val="none" w:sz="0" w:space="0" w:color="auto"/>
              </w:pBdr>
              <w:spacing w:line="259" w:lineRule="auto"/>
              <w:ind w:left="0" w:firstLine="0"/>
              <w:rPr>
                <w:sz w:val="19"/>
                <w:szCs w:val="19"/>
                <w:rtl/>
              </w:rPr>
            </w:pPr>
            <w:r w:rsidRPr="00D32AC4">
              <w:rPr>
                <w:rFonts w:hint="cs"/>
                <w:sz w:val="19"/>
                <w:szCs w:val="19"/>
                <w:rtl/>
              </w:rPr>
              <w:t xml:space="preserve"> </w:t>
            </w:r>
            <w:r w:rsidRPr="00D32AC4">
              <w:rPr>
                <w:sz w:val="19"/>
                <w:szCs w:val="19"/>
                <w:rtl/>
              </w:rPr>
              <w:t>0</w:t>
            </w:r>
          </w:p>
        </w:tc>
        <w:tc>
          <w:tcPr>
            <w:tcW w:w="1012" w:type="dxa"/>
            <w:tcBorders>
              <w:top w:val="nil"/>
              <w:left w:val="nil"/>
              <w:bottom w:val="nil"/>
              <w:right w:val="nil"/>
            </w:tcBorders>
            <w:vAlign w:val="bottom"/>
          </w:tcPr>
          <w:p w14:paraId="3A586325" w14:textId="77777777" w:rsidR="00DA2072" w:rsidRPr="00D32AC4" w:rsidRDefault="00DA2072" w:rsidP="00A6619A">
            <w:pPr>
              <w:pStyle w:val="-f1"/>
              <w:pBdr>
                <w:top w:val="none" w:sz="0" w:space="0" w:color="auto"/>
              </w:pBdr>
              <w:spacing w:line="259" w:lineRule="auto"/>
              <w:ind w:left="0" w:firstLine="0"/>
              <w:rPr>
                <w:sz w:val="19"/>
                <w:szCs w:val="19"/>
                <w:rtl/>
              </w:rPr>
            </w:pPr>
            <w:r w:rsidRPr="00D32AC4">
              <w:rPr>
                <w:rFonts w:hint="cs"/>
                <w:sz w:val="19"/>
                <w:szCs w:val="19"/>
                <w:rtl/>
              </w:rPr>
              <w:t xml:space="preserve"> </w:t>
            </w:r>
            <w:r w:rsidRPr="00D32AC4">
              <w:rPr>
                <w:sz w:val="19"/>
                <w:szCs w:val="19"/>
                <w:rtl/>
              </w:rPr>
              <w:t>0</w:t>
            </w:r>
          </w:p>
        </w:tc>
        <w:tc>
          <w:tcPr>
            <w:tcW w:w="835" w:type="dxa"/>
            <w:tcBorders>
              <w:top w:val="nil"/>
              <w:left w:val="nil"/>
              <w:bottom w:val="nil"/>
              <w:right w:val="nil"/>
            </w:tcBorders>
            <w:vAlign w:val="bottom"/>
          </w:tcPr>
          <w:p w14:paraId="6BE0669E" w14:textId="77777777" w:rsidR="00DA2072" w:rsidRPr="00D32AC4" w:rsidRDefault="00DA2072" w:rsidP="00A6619A">
            <w:pPr>
              <w:pStyle w:val="-f1"/>
              <w:pBdr>
                <w:top w:val="none" w:sz="0" w:space="0" w:color="auto"/>
              </w:pBdr>
              <w:spacing w:line="259" w:lineRule="auto"/>
              <w:ind w:left="0" w:firstLine="0"/>
              <w:rPr>
                <w:sz w:val="19"/>
                <w:szCs w:val="19"/>
                <w:rtl/>
              </w:rPr>
            </w:pPr>
            <w:r w:rsidRPr="00D32AC4">
              <w:rPr>
                <w:rFonts w:hint="cs"/>
                <w:sz w:val="19"/>
                <w:szCs w:val="19"/>
                <w:rtl/>
              </w:rPr>
              <w:t xml:space="preserve"> </w:t>
            </w:r>
            <w:r w:rsidRPr="00D32AC4">
              <w:rPr>
                <w:sz w:val="19"/>
                <w:szCs w:val="19"/>
                <w:rtl/>
              </w:rPr>
              <w:t>0</w:t>
            </w:r>
            <w:r w:rsidRPr="00D32AC4">
              <w:rPr>
                <w:rFonts w:hint="cs"/>
                <w:sz w:val="19"/>
                <w:szCs w:val="19"/>
                <w:rtl/>
              </w:rPr>
              <w:t xml:space="preserve">  </w:t>
            </w:r>
            <w:r w:rsidRPr="00D32AC4">
              <w:rPr>
                <w:rFonts w:hint="cs"/>
                <w:sz w:val="19"/>
                <w:szCs w:val="19"/>
                <w:vertAlign w:val="superscript"/>
                <w:rtl/>
              </w:rPr>
              <w:t xml:space="preserve"> </w:t>
            </w:r>
          </w:p>
        </w:tc>
        <w:tc>
          <w:tcPr>
            <w:tcW w:w="971" w:type="dxa"/>
            <w:tcBorders>
              <w:top w:val="nil"/>
              <w:left w:val="nil"/>
              <w:bottom w:val="nil"/>
              <w:right w:val="nil"/>
            </w:tcBorders>
            <w:vAlign w:val="bottom"/>
          </w:tcPr>
          <w:p w14:paraId="1ACDB5FC" w14:textId="77777777" w:rsidR="00DA2072" w:rsidRPr="00D32AC4" w:rsidRDefault="00DA2072" w:rsidP="00A6619A">
            <w:pPr>
              <w:pStyle w:val="-f1"/>
              <w:pBdr>
                <w:top w:val="none" w:sz="0" w:space="0" w:color="auto"/>
              </w:pBdr>
              <w:spacing w:line="259" w:lineRule="auto"/>
              <w:ind w:left="0" w:firstLine="0"/>
              <w:rPr>
                <w:sz w:val="19"/>
                <w:szCs w:val="19"/>
                <w:rtl/>
              </w:rPr>
            </w:pPr>
            <w:r w:rsidRPr="00D32AC4">
              <w:rPr>
                <w:rFonts w:hint="cs"/>
                <w:sz w:val="19"/>
                <w:szCs w:val="19"/>
                <w:rtl/>
              </w:rPr>
              <w:t xml:space="preserve"> </w:t>
            </w:r>
            <w:r w:rsidRPr="00D32AC4">
              <w:rPr>
                <w:sz w:val="19"/>
                <w:szCs w:val="19"/>
                <w:rtl/>
              </w:rPr>
              <w:t>0</w:t>
            </w:r>
          </w:p>
        </w:tc>
        <w:tc>
          <w:tcPr>
            <w:tcW w:w="1138" w:type="dxa"/>
            <w:tcBorders>
              <w:top w:val="nil"/>
              <w:left w:val="nil"/>
              <w:bottom w:val="nil"/>
              <w:right w:val="nil"/>
            </w:tcBorders>
            <w:vAlign w:val="bottom"/>
          </w:tcPr>
          <w:p w14:paraId="60CB3E51" w14:textId="77777777" w:rsidR="00DA2072" w:rsidRPr="00D32AC4" w:rsidRDefault="00DA2072" w:rsidP="00A6619A">
            <w:pPr>
              <w:pStyle w:val="-f1"/>
              <w:pBdr>
                <w:top w:val="none" w:sz="0" w:space="0" w:color="auto"/>
              </w:pBdr>
              <w:spacing w:line="259" w:lineRule="auto"/>
              <w:ind w:left="0" w:firstLine="0"/>
              <w:rPr>
                <w:sz w:val="19"/>
                <w:szCs w:val="19"/>
                <w:rtl/>
              </w:rPr>
            </w:pPr>
            <w:r w:rsidRPr="00D32AC4">
              <w:rPr>
                <w:rFonts w:hint="cs"/>
                <w:sz w:val="19"/>
                <w:szCs w:val="19"/>
                <w:rtl/>
              </w:rPr>
              <w:t xml:space="preserve"> </w:t>
            </w:r>
            <w:r w:rsidRPr="00D32AC4">
              <w:rPr>
                <w:sz w:val="19"/>
                <w:szCs w:val="19"/>
                <w:rtl/>
              </w:rPr>
              <w:t>0</w:t>
            </w:r>
            <w:r w:rsidRPr="00D32AC4">
              <w:rPr>
                <w:rFonts w:hint="cs"/>
                <w:sz w:val="19"/>
                <w:szCs w:val="19"/>
                <w:rtl/>
              </w:rPr>
              <w:t xml:space="preserve"> </w:t>
            </w:r>
          </w:p>
        </w:tc>
      </w:tr>
      <w:tr w:rsidR="00DA2072" w:rsidRPr="005A1D72" w14:paraId="0EB67ED2" w14:textId="77777777" w:rsidTr="00DA2072">
        <w:tc>
          <w:tcPr>
            <w:tcW w:w="964" w:type="dxa"/>
            <w:tcBorders>
              <w:top w:val="nil"/>
              <w:left w:val="nil"/>
              <w:bottom w:val="nil"/>
              <w:right w:val="nil"/>
            </w:tcBorders>
          </w:tcPr>
          <w:p w14:paraId="7754B666" w14:textId="77777777" w:rsidR="00DA2072" w:rsidRDefault="00DA2072" w:rsidP="008B25E8">
            <w:pPr>
              <w:pStyle w:val="-0"/>
              <w:spacing w:line="240" w:lineRule="exact"/>
              <w:ind w:left="-57" w:right="-113" w:firstLine="0"/>
              <w:rPr>
                <w:rtl/>
              </w:rPr>
            </w:pPr>
          </w:p>
        </w:tc>
        <w:tc>
          <w:tcPr>
            <w:tcW w:w="4082" w:type="dxa"/>
            <w:tcBorders>
              <w:top w:val="nil"/>
              <w:left w:val="nil"/>
              <w:bottom w:val="nil"/>
              <w:right w:val="nil"/>
            </w:tcBorders>
            <w:vAlign w:val="bottom"/>
          </w:tcPr>
          <w:p w14:paraId="07E654D4" w14:textId="77777777" w:rsidR="00DA2072" w:rsidRPr="00D32AC4" w:rsidRDefault="00DA2072">
            <w:pPr>
              <w:pStyle w:val="-21"/>
              <w:spacing w:line="240" w:lineRule="exact"/>
              <w:rPr>
                <w:sz w:val="19"/>
                <w:szCs w:val="19"/>
                <w:rtl/>
              </w:rPr>
            </w:pPr>
            <w:r w:rsidRPr="00D32AC4">
              <w:rPr>
                <w:rFonts w:hint="cs"/>
                <w:sz w:val="19"/>
                <w:szCs w:val="19"/>
                <w:rtl/>
              </w:rPr>
              <w:t>השפעת המס המתייחס</w:t>
            </w:r>
          </w:p>
        </w:tc>
        <w:tc>
          <w:tcPr>
            <w:tcW w:w="929" w:type="dxa"/>
            <w:tcBorders>
              <w:top w:val="nil"/>
              <w:left w:val="nil"/>
              <w:bottom w:val="nil"/>
              <w:right w:val="nil"/>
            </w:tcBorders>
            <w:vAlign w:val="bottom"/>
          </w:tcPr>
          <w:p w14:paraId="74B027E5" w14:textId="77777777" w:rsidR="00DA2072" w:rsidRPr="00D32AC4" w:rsidRDefault="00DA2072" w:rsidP="00A6619A">
            <w:pPr>
              <w:pStyle w:val="-3"/>
              <w:pBdr>
                <w:bottom w:val="single" w:sz="4" w:space="1" w:color="auto"/>
              </w:pBdr>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1012" w:type="dxa"/>
            <w:tcBorders>
              <w:top w:val="nil"/>
              <w:left w:val="nil"/>
              <w:bottom w:val="nil"/>
              <w:right w:val="nil"/>
            </w:tcBorders>
            <w:vAlign w:val="bottom"/>
          </w:tcPr>
          <w:p w14:paraId="24F78503" w14:textId="77777777" w:rsidR="00DA2072" w:rsidRPr="00D32AC4" w:rsidRDefault="00DA2072" w:rsidP="00A6619A">
            <w:pPr>
              <w:pStyle w:val="-3"/>
              <w:pBdr>
                <w:bottom w:val="single" w:sz="4" w:space="1" w:color="auto"/>
              </w:pBdr>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835" w:type="dxa"/>
            <w:tcBorders>
              <w:top w:val="nil"/>
              <w:left w:val="nil"/>
              <w:bottom w:val="nil"/>
              <w:right w:val="nil"/>
            </w:tcBorders>
            <w:vAlign w:val="bottom"/>
          </w:tcPr>
          <w:p w14:paraId="46B69D08" w14:textId="77777777" w:rsidR="00DA2072" w:rsidRPr="00D32AC4" w:rsidRDefault="00DA2072" w:rsidP="00A6619A">
            <w:pPr>
              <w:pStyle w:val="-3"/>
              <w:pBdr>
                <w:bottom w:val="single" w:sz="4" w:space="1" w:color="auto"/>
              </w:pBdr>
              <w:spacing w:line="259" w:lineRule="auto"/>
              <w:jc w:val="left"/>
              <w:rPr>
                <w:sz w:val="19"/>
                <w:szCs w:val="19"/>
                <w:rtl/>
              </w:rPr>
            </w:pPr>
            <w:r w:rsidRPr="00D32AC4">
              <w:rPr>
                <w:rFonts w:hint="cs"/>
                <w:sz w:val="19"/>
                <w:szCs w:val="19"/>
                <w:rtl/>
              </w:rPr>
              <w:t xml:space="preserve"> </w:t>
            </w:r>
            <w:r w:rsidRPr="00D32AC4">
              <w:rPr>
                <w:sz w:val="19"/>
                <w:szCs w:val="19"/>
                <w:rtl/>
              </w:rPr>
              <w:t>0</w:t>
            </w:r>
            <w:r w:rsidRPr="00D32AC4">
              <w:rPr>
                <w:rFonts w:hint="cs"/>
                <w:sz w:val="19"/>
                <w:szCs w:val="19"/>
                <w:rtl/>
              </w:rPr>
              <w:t xml:space="preserve"> </w:t>
            </w:r>
            <w:r w:rsidRPr="00D32AC4">
              <w:rPr>
                <w:rFonts w:hint="cs"/>
                <w:sz w:val="19"/>
                <w:szCs w:val="19"/>
                <w:vertAlign w:val="superscript"/>
                <w:rtl/>
              </w:rPr>
              <w:t xml:space="preserve"> </w:t>
            </w:r>
          </w:p>
        </w:tc>
        <w:tc>
          <w:tcPr>
            <w:tcW w:w="971" w:type="dxa"/>
            <w:tcBorders>
              <w:top w:val="nil"/>
              <w:left w:val="nil"/>
              <w:bottom w:val="nil"/>
              <w:right w:val="nil"/>
            </w:tcBorders>
            <w:vAlign w:val="bottom"/>
          </w:tcPr>
          <w:p w14:paraId="66B306AF" w14:textId="77777777" w:rsidR="00DA2072" w:rsidRPr="00D32AC4" w:rsidRDefault="00DA2072" w:rsidP="00A6619A">
            <w:pPr>
              <w:pStyle w:val="-3"/>
              <w:pBdr>
                <w:bottom w:val="single" w:sz="4" w:space="1" w:color="auto"/>
              </w:pBdr>
              <w:spacing w:line="259" w:lineRule="auto"/>
              <w:jc w:val="left"/>
              <w:rPr>
                <w:sz w:val="19"/>
                <w:szCs w:val="19"/>
                <w:rtl/>
              </w:rPr>
            </w:pPr>
            <w:r w:rsidRPr="00D32AC4">
              <w:rPr>
                <w:rFonts w:hint="cs"/>
                <w:sz w:val="19"/>
                <w:szCs w:val="19"/>
                <w:rtl/>
              </w:rPr>
              <w:t xml:space="preserve"> </w:t>
            </w:r>
            <w:r w:rsidRPr="00D32AC4">
              <w:rPr>
                <w:sz w:val="19"/>
                <w:szCs w:val="19"/>
                <w:rtl/>
              </w:rPr>
              <w:t>0</w:t>
            </w:r>
          </w:p>
        </w:tc>
        <w:tc>
          <w:tcPr>
            <w:tcW w:w="1138" w:type="dxa"/>
            <w:tcBorders>
              <w:top w:val="nil"/>
              <w:left w:val="nil"/>
              <w:bottom w:val="nil"/>
              <w:right w:val="nil"/>
            </w:tcBorders>
            <w:vAlign w:val="bottom"/>
          </w:tcPr>
          <w:p w14:paraId="7D144C0D" w14:textId="77777777" w:rsidR="00DA2072" w:rsidRPr="00D32AC4" w:rsidRDefault="00DA2072" w:rsidP="00A6619A">
            <w:pPr>
              <w:pStyle w:val="-3"/>
              <w:pBdr>
                <w:bottom w:val="single" w:sz="4" w:space="1" w:color="auto"/>
              </w:pBdr>
              <w:spacing w:line="259" w:lineRule="auto"/>
              <w:jc w:val="left"/>
              <w:rPr>
                <w:sz w:val="19"/>
                <w:szCs w:val="19"/>
                <w:rtl/>
              </w:rPr>
            </w:pPr>
            <w:r w:rsidRPr="00D32AC4">
              <w:rPr>
                <w:rFonts w:hint="cs"/>
                <w:sz w:val="19"/>
                <w:szCs w:val="19"/>
                <w:rtl/>
              </w:rPr>
              <w:t xml:space="preserve"> </w:t>
            </w:r>
            <w:r w:rsidRPr="00D32AC4">
              <w:rPr>
                <w:sz w:val="19"/>
                <w:szCs w:val="19"/>
                <w:rtl/>
              </w:rPr>
              <w:t>0</w:t>
            </w:r>
            <w:r w:rsidRPr="00D32AC4">
              <w:rPr>
                <w:rFonts w:hint="cs"/>
                <w:sz w:val="19"/>
                <w:szCs w:val="19"/>
                <w:rtl/>
              </w:rPr>
              <w:t xml:space="preserve">  </w:t>
            </w:r>
          </w:p>
        </w:tc>
      </w:tr>
      <w:tr w:rsidR="00DA2072" w:rsidRPr="005A1D72" w14:paraId="0686647A" w14:textId="77777777" w:rsidTr="00DA2072">
        <w:tc>
          <w:tcPr>
            <w:tcW w:w="964" w:type="dxa"/>
            <w:tcBorders>
              <w:top w:val="nil"/>
              <w:left w:val="nil"/>
              <w:bottom w:val="nil"/>
              <w:right w:val="nil"/>
            </w:tcBorders>
          </w:tcPr>
          <w:p w14:paraId="7749DE16" w14:textId="77777777" w:rsidR="00DA2072" w:rsidRDefault="00DA2072" w:rsidP="00D32AC4">
            <w:pPr>
              <w:pStyle w:val="-0"/>
              <w:spacing w:line="240" w:lineRule="exact"/>
              <w:ind w:left="-57" w:right="-113" w:firstLine="0"/>
              <w:rPr>
                <w:rtl/>
              </w:rPr>
            </w:pPr>
          </w:p>
        </w:tc>
        <w:tc>
          <w:tcPr>
            <w:tcW w:w="4082" w:type="dxa"/>
            <w:tcBorders>
              <w:top w:val="nil"/>
              <w:left w:val="nil"/>
              <w:bottom w:val="nil"/>
              <w:right w:val="nil"/>
            </w:tcBorders>
          </w:tcPr>
          <w:p w14:paraId="67D9DF3C" w14:textId="2DDDF743" w:rsidR="00DA2072" w:rsidRPr="00D32AC4" w:rsidRDefault="00DA2072" w:rsidP="00880B6D">
            <w:pPr>
              <w:pStyle w:val="-21"/>
              <w:ind w:left="142" w:hanging="142"/>
              <w:rPr>
                <w:b/>
                <w:bCs/>
                <w:sz w:val="19"/>
                <w:szCs w:val="19"/>
                <w:rtl/>
              </w:rPr>
            </w:pPr>
            <w:r w:rsidRPr="00D32AC4">
              <w:rPr>
                <w:b/>
                <w:bCs/>
                <w:sz w:val="19"/>
                <w:szCs w:val="19"/>
                <w:rtl/>
              </w:rPr>
              <w:t>רווח (הפסד) כולל אחר לפני ייחוס לבעלי זכויות שאינן מקנות שליטה, לאחר מסים</w:t>
            </w:r>
          </w:p>
        </w:tc>
        <w:tc>
          <w:tcPr>
            <w:tcW w:w="929" w:type="dxa"/>
            <w:tcBorders>
              <w:top w:val="nil"/>
              <w:left w:val="nil"/>
              <w:bottom w:val="nil"/>
              <w:right w:val="nil"/>
            </w:tcBorders>
            <w:vAlign w:val="bottom"/>
          </w:tcPr>
          <w:p w14:paraId="797FB988" w14:textId="37638E3F" w:rsidR="00DA2072" w:rsidRPr="00164650" w:rsidRDefault="00DA2072" w:rsidP="00A6619A">
            <w:pPr>
              <w:pStyle w:val="-3"/>
              <w:spacing w:line="259" w:lineRule="auto"/>
              <w:jc w:val="left"/>
              <w:rPr>
                <w:b/>
                <w:bCs/>
                <w:sz w:val="19"/>
                <w:szCs w:val="19"/>
                <w:rtl/>
              </w:rPr>
            </w:pPr>
            <w:r w:rsidRPr="00164650">
              <w:rPr>
                <w:b/>
                <w:bCs/>
                <w:sz w:val="19"/>
                <w:szCs w:val="19"/>
                <w:rtl/>
              </w:rPr>
              <w:t xml:space="preserve"> 0</w:t>
            </w:r>
          </w:p>
        </w:tc>
        <w:tc>
          <w:tcPr>
            <w:tcW w:w="1012" w:type="dxa"/>
            <w:tcBorders>
              <w:top w:val="nil"/>
              <w:left w:val="nil"/>
              <w:bottom w:val="nil"/>
              <w:right w:val="nil"/>
            </w:tcBorders>
            <w:vAlign w:val="bottom"/>
          </w:tcPr>
          <w:p w14:paraId="33FD970F" w14:textId="0154D69D" w:rsidR="00DA2072" w:rsidRPr="00164650" w:rsidRDefault="00DA2072" w:rsidP="00A6619A">
            <w:pPr>
              <w:pStyle w:val="-3"/>
              <w:spacing w:line="259" w:lineRule="auto"/>
              <w:jc w:val="left"/>
              <w:rPr>
                <w:b/>
                <w:bCs/>
                <w:sz w:val="19"/>
                <w:szCs w:val="19"/>
                <w:rtl/>
              </w:rPr>
            </w:pPr>
            <w:r w:rsidRPr="00164650">
              <w:rPr>
                <w:b/>
                <w:bCs/>
                <w:sz w:val="19"/>
                <w:szCs w:val="19"/>
                <w:rtl/>
              </w:rPr>
              <w:t xml:space="preserve"> 0</w:t>
            </w:r>
          </w:p>
        </w:tc>
        <w:tc>
          <w:tcPr>
            <w:tcW w:w="835" w:type="dxa"/>
            <w:tcBorders>
              <w:top w:val="nil"/>
              <w:left w:val="nil"/>
              <w:bottom w:val="nil"/>
              <w:right w:val="nil"/>
            </w:tcBorders>
            <w:vAlign w:val="bottom"/>
          </w:tcPr>
          <w:p w14:paraId="2298EFA5" w14:textId="2EBA02B4" w:rsidR="00DA2072" w:rsidRPr="00164650" w:rsidRDefault="00DA2072" w:rsidP="00A6619A">
            <w:pPr>
              <w:pStyle w:val="-3"/>
              <w:spacing w:line="259" w:lineRule="auto"/>
              <w:jc w:val="left"/>
              <w:rPr>
                <w:b/>
                <w:bCs/>
                <w:sz w:val="19"/>
                <w:szCs w:val="19"/>
                <w:rtl/>
              </w:rPr>
            </w:pPr>
            <w:r w:rsidRPr="00164650">
              <w:rPr>
                <w:b/>
                <w:bCs/>
                <w:sz w:val="19"/>
                <w:szCs w:val="19"/>
                <w:rtl/>
              </w:rPr>
              <w:t xml:space="preserve"> 0   </w:t>
            </w:r>
          </w:p>
        </w:tc>
        <w:tc>
          <w:tcPr>
            <w:tcW w:w="971" w:type="dxa"/>
            <w:tcBorders>
              <w:top w:val="nil"/>
              <w:left w:val="nil"/>
              <w:bottom w:val="nil"/>
              <w:right w:val="nil"/>
            </w:tcBorders>
            <w:vAlign w:val="bottom"/>
          </w:tcPr>
          <w:p w14:paraId="602E5492" w14:textId="310679AD" w:rsidR="00DA2072" w:rsidRPr="00164650" w:rsidRDefault="00DA2072" w:rsidP="00A6619A">
            <w:pPr>
              <w:pStyle w:val="-3"/>
              <w:spacing w:line="259" w:lineRule="auto"/>
              <w:jc w:val="left"/>
              <w:rPr>
                <w:b/>
                <w:bCs/>
                <w:sz w:val="19"/>
                <w:szCs w:val="19"/>
                <w:rtl/>
              </w:rPr>
            </w:pPr>
            <w:r w:rsidRPr="00164650">
              <w:rPr>
                <w:b/>
                <w:bCs/>
                <w:sz w:val="19"/>
                <w:szCs w:val="19"/>
                <w:rtl/>
              </w:rPr>
              <w:t xml:space="preserve"> 0</w:t>
            </w:r>
          </w:p>
        </w:tc>
        <w:tc>
          <w:tcPr>
            <w:tcW w:w="1138" w:type="dxa"/>
            <w:tcBorders>
              <w:top w:val="nil"/>
              <w:left w:val="nil"/>
              <w:bottom w:val="nil"/>
              <w:right w:val="nil"/>
            </w:tcBorders>
            <w:vAlign w:val="bottom"/>
          </w:tcPr>
          <w:p w14:paraId="6C6F57C0" w14:textId="6076AF5C" w:rsidR="00DA2072" w:rsidRPr="00164650" w:rsidRDefault="00DA2072" w:rsidP="00A6619A">
            <w:pPr>
              <w:pStyle w:val="-3"/>
              <w:spacing w:line="259" w:lineRule="auto"/>
              <w:jc w:val="left"/>
              <w:rPr>
                <w:b/>
                <w:bCs/>
                <w:sz w:val="19"/>
                <w:szCs w:val="19"/>
                <w:rtl/>
              </w:rPr>
            </w:pPr>
            <w:r w:rsidRPr="00164650">
              <w:rPr>
                <w:b/>
                <w:bCs/>
                <w:sz w:val="19"/>
                <w:szCs w:val="19"/>
                <w:rtl/>
              </w:rPr>
              <w:t xml:space="preserve"> 0 </w:t>
            </w:r>
          </w:p>
        </w:tc>
      </w:tr>
      <w:tr w:rsidR="00DA2072" w:rsidRPr="005A1D72" w14:paraId="562D7DC9" w14:textId="77777777" w:rsidTr="00DA2072">
        <w:tc>
          <w:tcPr>
            <w:tcW w:w="964" w:type="dxa"/>
            <w:tcBorders>
              <w:top w:val="nil"/>
              <w:left w:val="nil"/>
              <w:bottom w:val="nil"/>
              <w:right w:val="nil"/>
            </w:tcBorders>
          </w:tcPr>
          <w:p w14:paraId="3B3F2B0A" w14:textId="77777777" w:rsidR="00DA2072" w:rsidRDefault="00DA2072" w:rsidP="00D32AC4">
            <w:pPr>
              <w:pStyle w:val="-0"/>
              <w:spacing w:line="240" w:lineRule="exact"/>
              <w:ind w:left="-57" w:right="-113" w:firstLine="0"/>
              <w:rPr>
                <w:rtl/>
              </w:rPr>
            </w:pPr>
          </w:p>
        </w:tc>
        <w:tc>
          <w:tcPr>
            <w:tcW w:w="4082" w:type="dxa"/>
            <w:tcBorders>
              <w:top w:val="nil"/>
              <w:left w:val="nil"/>
              <w:bottom w:val="nil"/>
              <w:right w:val="nil"/>
            </w:tcBorders>
          </w:tcPr>
          <w:p w14:paraId="0162F494" w14:textId="443245E2" w:rsidR="00DA2072" w:rsidRPr="00D32AC4" w:rsidRDefault="00DA2072" w:rsidP="00D32AC4">
            <w:pPr>
              <w:pStyle w:val="-21"/>
              <w:spacing w:line="240" w:lineRule="exact"/>
              <w:rPr>
                <w:sz w:val="19"/>
                <w:szCs w:val="19"/>
                <w:rtl/>
              </w:rPr>
            </w:pPr>
            <w:r w:rsidRPr="00D32AC4">
              <w:rPr>
                <w:sz w:val="19"/>
                <w:szCs w:val="19"/>
                <w:rtl/>
              </w:rPr>
              <w:t>בניכוי (רווח) הפסד כולל אחר המיוחס לבעלי זכויות שאינן מקנות שליטה</w:t>
            </w:r>
          </w:p>
        </w:tc>
        <w:tc>
          <w:tcPr>
            <w:tcW w:w="929" w:type="dxa"/>
            <w:tcBorders>
              <w:top w:val="nil"/>
              <w:left w:val="nil"/>
              <w:bottom w:val="nil"/>
              <w:right w:val="nil"/>
            </w:tcBorders>
            <w:vAlign w:val="bottom"/>
          </w:tcPr>
          <w:p w14:paraId="56F47690" w14:textId="57AFCF02" w:rsidR="00DA2072" w:rsidRPr="00D32AC4" w:rsidRDefault="00DA2072" w:rsidP="00A6619A">
            <w:pPr>
              <w:pStyle w:val="-3"/>
              <w:pBdr>
                <w:bottom w:val="single" w:sz="4" w:space="1" w:color="auto"/>
              </w:pBdr>
              <w:spacing w:line="259" w:lineRule="auto"/>
              <w:jc w:val="left"/>
              <w:rPr>
                <w:sz w:val="19"/>
                <w:szCs w:val="19"/>
                <w:rtl/>
              </w:rPr>
            </w:pPr>
            <w:r w:rsidRPr="00D32AC4">
              <w:rPr>
                <w:sz w:val="19"/>
                <w:szCs w:val="19"/>
                <w:rtl/>
              </w:rPr>
              <w:t xml:space="preserve"> 0</w:t>
            </w:r>
          </w:p>
        </w:tc>
        <w:tc>
          <w:tcPr>
            <w:tcW w:w="1012" w:type="dxa"/>
            <w:tcBorders>
              <w:top w:val="nil"/>
              <w:left w:val="nil"/>
              <w:bottom w:val="nil"/>
              <w:right w:val="nil"/>
            </w:tcBorders>
            <w:vAlign w:val="bottom"/>
          </w:tcPr>
          <w:p w14:paraId="7B755EE1" w14:textId="0EA56CC0" w:rsidR="00DA2072" w:rsidRPr="00D32AC4" w:rsidRDefault="00DA2072" w:rsidP="00A6619A">
            <w:pPr>
              <w:pStyle w:val="-3"/>
              <w:pBdr>
                <w:bottom w:val="single" w:sz="4" w:space="1" w:color="auto"/>
              </w:pBdr>
              <w:spacing w:line="259" w:lineRule="auto"/>
              <w:jc w:val="left"/>
              <w:rPr>
                <w:sz w:val="19"/>
                <w:szCs w:val="19"/>
                <w:rtl/>
              </w:rPr>
            </w:pPr>
            <w:r w:rsidRPr="00D32AC4">
              <w:rPr>
                <w:sz w:val="19"/>
                <w:szCs w:val="19"/>
                <w:rtl/>
              </w:rPr>
              <w:t xml:space="preserve"> 0</w:t>
            </w:r>
          </w:p>
        </w:tc>
        <w:tc>
          <w:tcPr>
            <w:tcW w:w="835" w:type="dxa"/>
            <w:tcBorders>
              <w:top w:val="nil"/>
              <w:left w:val="nil"/>
              <w:bottom w:val="nil"/>
              <w:right w:val="nil"/>
            </w:tcBorders>
            <w:vAlign w:val="bottom"/>
          </w:tcPr>
          <w:p w14:paraId="60C5E582" w14:textId="7B49C03D" w:rsidR="00DA2072" w:rsidRPr="00D32AC4" w:rsidRDefault="00DA2072" w:rsidP="00A6619A">
            <w:pPr>
              <w:pStyle w:val="-3"/>
              <w:pBdr>
                <w:bottom w:val="single" w:sz="4" w:space="1" w:color="auto"/>
              </w:pBdr>
              <w:spacing w:line="259" w:lineRule="auto"/>
              <w:jc w:val="left"/>
              <w:rPr>
                <w:sz w:val="19"/>
                <w:szCs w:val="19"/>
                <w:rtl/>
              </w:rPr>
            </w:pPr>
            <w:r w:rsidRPr="00D32AC4">
              <w:rPr>
                <w:sz w:val="19"/>
                <w:szCs w:val="19"/>
                <w:rtl/>
              </w:rPr>
              <w:t xml:space="preserve"> 0  </w:t>
            </w:r>
          </w:p>
        </w:tc>
        <w:tc>
          <w:tcPr>
            <w:tcW w:w="971" w:type="dxa"/>
            <w:tcBorders>
              <w:top w:val="nil"/>
              <w:left w:val="nil"/>
              <w:bottom w:val="nil"/>
              <w:right w:val="nil"/>
            </w:tcBorders>
            <w:vAlign w:val="bottom"/>
          </w:tcPr>
          <w:p w14:paraId="23028B2A" w14:textId="5760D0BB" w:rsidR="00DA2072" w:rsidRPr="00D32AC4" w:rsidRDefault="00DA2072" w:rsidP="00A6619A">
            <w:pPr>
              <w:pStyle w:val="-3"/>
              <w:pBdr>
                <w:bottom w:val="single" w:sz="4" w:space="1" w:color="auto"/>
              </w:pBdr>
              <w:spacing w:line="259" w:lineRule="auto"/>
              <w:jc w:val="left"/>
              <w:rPr>
                <w:sz w:val="19"/>
                <w:szCs w:val="19"/>
                <w:rtl/>
              </w:rPr>
            </w:pPr>
            <w:r w:rsidRPr="00D32AC4">
              <w:rPr>
                <w:sz w:val="19"/>
                <w:szCs w:val="19"/>
                <w:rtl/>
              </w:rPr>
              <w:t xml:space="preserve"> 0</w:t>
            </w:r>
          </w:p>
        </w:tc>
        <w:tc>
          <w:tcPr>
            <w:tcW w:w="1138" w:type="dxa"/>
            <w:tcBorders>
              <w:top w:val="nil"/>
              <w:left w:val="nil"/>
              <w:bottom w:val="nil"/>
              <w:right w:val="nil"/>
            </w:tcBorders>
            <w:vAlign w:val="bottom"/>
          </w:tcPr>
          <w:p w14:paraId="33A1830E" w14:textId="3834776B" w:rsidR="00DA2072" w:rsidRPr="00D32AC4" w:rsidRDefault="00DA2072" w:rsidP="00A6619A">
            <w:pPr>
              <w:pStyle w:val="-3"/>
              <w:pBdr>
                <w:bottom w:val="single" w:sz="4" w:space="1" w:color="auto"/>
              </w:pBdr>
              <w:spacing w:line="259" w:lineRule="auto"/>
              <w:jc w:val="left"/>
              <w:rPr>
                <w:sz w:val="19"/>
                <w:szCs w:val="19"/>
                <w:rtl/>
              </w:rPr>
            </w:pPr>
            <w:r w:rsidRPr="00D32AC4">
              <w:rPr>
                <w:sz w:val="19"/>
                <w:szCs w:val="19"/>
                <w:rtl/>
              </w:rPr>
              <w:t xml:space="preserve"> 0  </w:t>
            </w:r>
          </w:p>
        </w:tc>
      </w:tr>
      <w:tr w:rsidR="00DA2072" w:rsidRPr="005A1D72" w14:paraId="715F6350" w14:textId="77777777" w:rsidTr="00DA2072">
        <w:tc>
          <w:tcPr>
            <w:tcW w:w="964" w:type="dxa"/>
            <w:tcBorders>
              <w:top w:val="nil"/>
              <w:left w:val="nil"/>
              <w:bottom w:val="nil"/>
              <w:right w:val="nil"/>
            </w:tcBorders>
          </w:tcPr>
          <w:p w14:paraId="7076810C" w14:textId="77777777" w:rsidR="00DA2072" w:rsidRDefault="00DA2072" w:rsidP="00D32AC4">
            <w:pPr>
              <w:pStyle w:val="-0"/>
              <w:spacing w:line="240" w:lineRule="exact"/>
              <w:ind w:left="-57" w:right="-113" w:firstLine="0"/>
              <w:rPr>
                <w:rtl/>
              </w:rPr>
            </w:pPr>
          </w:p>
        </w:tc>
        <w:tc>
          <w:tcPr>
            <w:tcW w:w="4082" w:type="dxa"/>
            <w:tcBorders>
              <w:top w:val="nil"/>
              <w:left w:val="nil"/>
              <w:bottom w:val="nil"/>
              <w:right w:val="nil"/>
            </w:tcBorders>
          </w:tcPr>
          <w:p w14:paraId="0D419436" w14:textId="62544B2E" w:rsidR="00DA2072" w:rsidRPr="00D32AC4" w:rsidRDefault="00DA2072" w:rsidP="00880B6D">
            <w:pPr>
              <w:pStyle w:val="-21"/>
              <w:ind w:left="142" w:hanging="142"/>
              <w:rPr>
                <w:b/>
                <w:bCs/>
                <w:sz w:val="19"/>
                <w:szCs w:val="19"/>
                <w:rtl/>
              </w:rPr>
            </w:pPr>
            <w:r w:rsidRPr="00D32AC4">
              <w:rPr>
                <w:b/>
                <w:bCs/>
                <w:sz w:val="19"/>
                <w:szCs w:val="19"/>
                <w:rtl/>
              </w:rPr>
              <w:t>רווח כולל אחר המיוחס לבעלי מניות התאגיד הבנקאי, לאחר מסים</w:t>
            </w:r>
          </w:p>
        </w:tc>
        <w:tc>
          <w:tcPr>
            <w:tcW w:w="929" w:type="dxa"/>
            <w:tcBorders>
              <w:top w:val="nil"/>
              <w:left w:val="nil"/>
              <w:bottom w:val="nil"/>
              <w:right w:val="nil"/>
            </w:tcBorders>
            <w:vAlign w:val="bottom"/>
          </w:tcPr>
          <w:p w14:paraId="46A3DBD7" w14:textId="604DAE2E" w:rsidR="00DA2072" w:rsidRPr="00D32AC4" w:rsidRDefault="00DA2072" w:rsidP="00A6619A">
            <w:pPr>
              <w:pStyle w:val="-3"/>
              <w:pBdr>
                <w:bottom w:val="single" w:sz="4" w:space="1" w:color="auto"/>
              </w:pBdr>
              <w:spacing w:line="259" w:lineRule="auto"/>
              <w:jc w:val="left"/>
              <w:rPr>
                <w:b/>
                <w:bCs/>
                <w:sz w:val="19"/>
                <w:szCs w:val="19"/>
                <w:rtl/>
              </w:rPr>
            </w:pPr>
            <w:r w:rsidRPr="00D32AC4">
              <w:rPr>
                <w:b/>
                <w:bCs/>
                <w:sz w:val="19"/>
                <w:szCs w:val="19"/>
                <w:rtl/>
              </w:rPr>
              <w:t xml:space="preserve"> 0</w:t>
            </w:r>
          </w:p>
        </w:tc>
        <w:tc>
          <w:tcPr>
            <w:tcW w:w="1012" w:type="dxa"/>
            <w:tcBorders>
              <w:top w:val="nil"/>
              <w:left w:val="nil"/>
              <w:bottom w:val="nil"/>
              <w:right w:val="nil"/>
            </w:tcBorders>
            <w:vAlign w:val="bottom"/>
          </w:tcPr>
          <w:p w14:paraId="17359569" w14:textId="1F200F27" w:rsidR="00DA2072" w:rsidRPr="00D32AC4" w:rsidRDefault="00DA2072" w:rsidP="00A6619A">
            <w:pPr>
              <w:pStyle w:val="-3"/>
              <w:pBdr>
                <w:bottom w:val="single" w:sz="4" w:space="1" w:color="auto"/>
              </w:pBdr>
              <w:spacing w:line="259" w:lineRule="auto"/>
              <w:jc w:val="left"/>
              <w:rPr>
                <w:b/>
                <w:bCs/>
                <w:sz w:val="19"/>
                <w:szCs w:val="19"/>
                <w:rtl/>
              </w:rPr>
            </w:pPr>
            <w:r w:rsidRPr="00D32AC4">
              <w:rPr>
                <w:b/>
                <w:bCs/>
                <w:sz w:val="19"/>
                <w:szCs w:val="19"/>
                <w:rtl/>
              </w:rPr>
              <w:t xml:space="preserve"> 0</w:t>
            </w:r>
          </w:p>
        </w:tc>
        <w:tc>
          <w:tcPr>
            <w:tcW w:w="835" w:type="dxa"/>
            <w:tcBorders>
              <w:top w:val="nil"/>
              <w:left w:val="nil"/>
              <w:bottom w:val="nil"/>
              <w:right w:val="nil"/>
            </w:tcBorders>
            <w:vAlign w:val="bottom"/>
          </w:tcPr>
          <w:p w14:paraId="7DB18980" w14:textId="2BF208FC" w:rsidR="00DA2072" w:rsidRPr="00D32AC4" w:rsidRDefault="00DA2072" w:rsidP="00A6619A">
            <w:pPr>
              <w:pStyle w:val="-3"/>
              <w:pBdr>
                <w:bottom w:val="single" w:sz="4" w:space="1" w:color="auto"/>
              </w:pBdr>
              <w:spacing w:line="259" w:lineRule="auto"/>
              <w:jc w:val="left"/>
              <w:rPr>
                <w:b/>
                <w:bCs/>
                <w:sz w:val="19"/>
                <w:szCs w:val="19"/>
                <w:rtl/>
              </w:rPr>
            </w:pPr>
            <w:r w:rsidRPr="00D32AC4">
              <w:rPr>
                <w:b/>
                <w:bCs/>
                <w:sz w:val="19"/>
                <w:szCs w:val="19"/>
                <w:rtl/>
              </w:rPr>
              <w:t xml:space="preserve"> 0   </w:t>
            </w:r>
          </w:p>
        </w:tc>
        <w:tc>
          <w:tcPr>
            <w:tcW w:w="971" w:type="dxa"/>
            <w:tcBorders>
              <w:top w:val="nil"/>
              <w:left w:val="nil"/>
              <w:bottom w:val="nil"/>
              <w:right w:val="nil"/>
            </w:tcBorders>
            <w:vAlign w:val="bottom"/>
          </w:tcPr>
          <w:p w14:paraId="1EF4E1B9" w14:textId="7F4F7FC3" w:rsidR="00DA2072" w:rsidRPr="00D32AC4" w:rsidRDefault="00DA2072" w:rsidP="00A6619A">
            <w:pPr>
              <w:pStyle w:val="-3"/>
              <w:pBdr>
                <w:bottom w:val="single" w:sz="4" w:space="1" w:color="auto"/>
              </w:pBdr>
              <w:spacing w:line="259" w:lineRule="auto"/>
              <w:jc w:val="left"/>
              <w:rPr>
                <w:b/>
                <w:bCs/>
                <w:sz w:val="19"/>
                <w:szCs w:val="19"/>
                <w:rtl/>
              </w:rPr>
            </w:pPr>
            <w:r w:rsidRPr="00D32AC4">
              <w:rPr>
                <w:b/>
                <w:bCs/>
                <w:sz w:val="19"/>
                <w:szCs w:val="19"/>
                <w:rtl/>
              </w:rPr>
              <w:t xml:space="preserve"> 0</w:t>
            </w:r>
          </w:p>
        </w:tc>
        <w:tc>
          <w:tcPr>
            <w:tcW w:w="1138" w:type="dxa"/>
            <w:tcBorders>
              <w:top w:val="nil"/>
              <w:left w:val="nil"/>
              <w:bottom w:val="nil"/>
              <w:right w:val="nil"/>
            </w:tcBorders>
            <w:vAlign w:val="bottom"/>
          </w:tcPr>
          <w:p w14:paraId="3384312D" w14:textId="27E56257" w:rsidR="00DA2072" w:rsidRPr="00D32AC4" w:rsidRDefault="00DA2072" w:rsidP="00A6619A">
            <w:pPr>
              <w:pStyle w:val="-3"/>
              <w:pBdr>
                <w:bottom w:val="single" w:sz="4" w:space="1" w:color="auto"/>
              </w:pBdr>
              <w:spacing w:line="259" w:lineRule="auto"/>
              <w:jc w:val="left"/>
              <w:rPr>
                <w:b/>
                <w:bCs/>
                <w:sz w:val="19"/>
                <w:szCs w:val="19"/>
                <w:rtl/>
              </w:rPr>
            </w:pPr>
            <w:r w:rsidRPr="00D32AC4">
              <w:rPr>
                <w:b/>
                <w:bCs/>
                <w:sz w:val="19"/>
                <w:szCs w:val="19"/>
                <w:rtl/>
              </w:rPr>
              <w:t xml:space="preserve"> 0 </w:t>
            </w:r>
          </w:p>
        </w:tc>
      </w:tr>
      <w:tr w:rsidR="00DA2072" w:rsidRPr="005A1D72" w14:paraId="2E3C7B4C" w14:textId="77777777" w:rsidTr="00DA2072">
        <w:tc>
          <w:tcPr>
            <w:tcW w:w="964" w:type="dxa"/>
            <w:tcBorders>
              <w:top w:val="nil"/>
              <w:left w:val="nil"/>
              <w:bottom w:val="nil"/>
              <w:right w:val="nil"/>
            </w:tcBorders>
          </w:tcPr>
          <w:p w14:paraId="3FEAC724" w14:textId="77777777" w:rsidR="00DA2072" w:rsidRDefault="00DA2072" w:rsidP="00D32AC4">
            <w:pPr>
              <w:pStyle w:val="-0"/>
              <w:spacing w:line="240" w:lineRule="exact"/>
              <w:ind w:left="-57" w:right="-113" w:firstLine="0"/>
              <w:rPr>
                <w:rtl/>
              </w:rPr>
            </w:pPr>
          </w:p>
        </w:tc>
        <w:tc>
          <w:tcPr>
            <w:tcW w:w="4082" w:type="dxa"/>
            <w:tcBorders>
              <w:top w:val="nil"/>
              <w:left w:val="nil"/>
              <w:bottom w:val="nil"/>
              <w:right w:val="nil"/>
            </w:tcBorders>
          </w:tcPr>
          <w:p w14:paraId="2CE6856C" w14:textId="25FA58E2" w:rsidR="00DA2072" w:rsidRPr="00D32AC4" w:rsidRDefault="00DA2072" w:rsidP="00880B6D">
            <w:pPr>
              <w:pStyle w:val="-21"/>
              <w:ind w:left="142" w:hanging="142"/>
              <w:rPr>
                <w:sz w:val="19"/>
                <w:szCs w:val="19"/>
                <w:rtl/>
              </w:rPr>
            </w:pPr>
            <w:r w:rsidRPr="00D32AC4">
              <w:rPr>
                <w:sz w:val="19"/>
                <w:szCs w:val="19"/>
                <w:rtl/>
              </w:rPr>
              <w:t>הרווח הכולל לפני ייחוס לבעלי זכויות שאינן מקנות שליטה</w:t>
            </w:r>
          </w:p>
        </w:tc>
        <w:tc>
          <w:tcPr>
            <w:tcW w:w="929" w:type="dxa"/>
            <w:tcBorders>
              <w:top w:val="nil"/>
              <w:left w:val="nil"/>
              <w:bottom w:val="nil"/>
              <w:right w:val="nil"/>
            </w:tcBorders>
            <w:vAlign w:val="bottom"/>
          </w:tcPr>
          <w:p w14:paraId="6F7D83F1" w14:textId="10308F33" w:rsidR="00DA2072" w:rsidRPr="00D32AC4" w:rsidRDefault="00DA2072" w:rsidP="00A6619A">
            <w:pPr>
              <w:pStyle w:val="-3"/>
              <w:spacing w:line="259" w:lineRule="auto"/>
              <w:jc w:val="left"/>
              <w:rPr>
                <w:sz w:val="19"/>
                <w:szCs w:val="19"/>
                <w:rtl/>
              </w:rPr>
            </w:pPr>
            <w:r w:rsidRPr="00D32AC4">
              <w:rPr>
                <w:sz w:val="19"/>
                <w:szCs w:val="19"/>
                <w:rtl/>
              </w:rPr>
              <w:t xml:space="preserve"> 0</w:t>
            </w:r>
          </w:p>
        </w:tc>
        <w:tc>
          <w:tcPr>
            <w:tcW w:w="1012" w:type="dxa"/>
            <w:tcBorders>
              <w:top w:val="nil"/>
              <w:left w:val="nil"/>
              <w:bottom w:val="nil"/>
              <w:right w:val="nil"/>
            </w:tcBorders>
            <w:vAlign w:val="bottom"/>
          </w:tcPr>
          <w:p w14:paraId="3D3BB906" w14:textId="31F25ABD" w:rsidR="00DA2072" w:rsidRPr="00D32AC4" w:rsidRDefault="00DA2072" w:rsidP="00A6619A">
            <w:pPr>
              <w:pStyle w:val="-3"/>
              <w:spacing w:line="259" w:lineRule="auto"/>
              <w:jc w:val="left"/>
              <w:rPr>
                <w:sz w:val="19"/>
                <w:szCs w:val="19"/>
                <w:rtl/>
              </w:rPr>
            </w:pPr>
            <w:r w:rsidRPr="00D32AC4">
              <w:rPr>
                <w:sz w:val="19"/>
                <w:szCs w:val="19"/>
                <w:rtl/>
              </w:rPr>
              <w:t xml:space="preserve"> 0</w:t>
            </w:r>
          </w:p>
        </w:tc>
        <w:tc>
          <w:tcPr>
            <w:tcW w:w="835" w:type="dxa"/>
            <w:tcBorders>
              <w:top w:val="nil"/>
              <w:left w:val="nil"/>
              <w:bottom w:val="nil"/>
              <w:right w:val="nil"/>
            </w:tcBorders>
            <w:vAlign w:val="bottom"/>
          </w:tcPr>
          <w:p w14:paraId="3735FA6A" w14:textId="398FDBE1" w:rsidR="00DA2072" w:rsidRPr="00D32AC4" w:rsidRDefault="00DA2072" w:rsidP="00A6619A">
            <w:pPr>
              <w:pStyle w:val="-3"/>
              <w:spacing w:line="259" w:lineRule="auto"/>
              <w:jc w:val="left"/>
              <w:rPr>
                <w:sz w:val="19"/>
                <w:szCs w:val="19"/>
                <w:rtl/>
              </w:rPr>
            </w:pPr>
            <w:r w:rsidRPr="00D32AC4">
              <w:rPr>
                <w:sz w:val="19"/>
                <w:szCs w:val="19"/>
                <w:rtl/>
              </w:rPr>
              <w:t xml:space="preserve"> 0</w:t>
            </w:r>
          </w:p>
        </w:tc>
        <w:tc>
          <w:tcPr>
            <w:tcW w:w="971" w:type="dxa"/>
            <w:tcBorders>
              <w:top w:val="nil"/>
              <w:left w:val="nil"/>
              <w:bottom w:val="nil"/>
              <w:right w:val="nil"/>
            </w:tcBorders>
            <w:vAlign w:val="bottom"/>
          </w:tcPr>
          <w:p w14:paraId="2CD4892E" w14:textId="5EF30AB2" w:rsidR="00DA2072" w:rsidRPr="00D32AC4" w:rsidRDefault="00DA2072" w:rsidP="00A6619A">
            <w:pPr>
              <w:pStyle w:val="-3"/>
              <w:spacing w:line="259" w:lineRule="auto"/>
              <w:jc w:val="left"/>
              <w:rPr>
                <w:sz w:val="19"/>
                <w:szCs w:val="19"/>
                <w:rtl/>
              </w:rPr>
            </w:pPr>
            <w:r w:rsidRPr="00D32AC4">
              <w:rPr>
                <w:sz w:val="19"/>
                <w:szCs w:val="19"/>
                <w:rtl/>
              </w:rPr>
              <w:t xml:space="preserve"> 0</w:t>
            </w:r>
          </w:p>
        </w:tc>
        <w:tc>
          <w:tcPr>
            <w:tcW w:w="1138" w:type="dxa"/>
            <w:tcBorders>
              <w:top w:val="nil"/>
              <w:left w:val="nil"/>
              <w:bottom w:val="nil"/>
              <w:right w:val="nil"/>
            </w:tcBorders>
            <w:vAlign w:val="bottom"/>
          </w:tcPr>
          <w:p w14:paraId="709F66ED" w14:textId="2CEE4534" w:rsidR="00DA2072" w:rsidRPr="00D32AC4" w:rsidRDefault="00DA2072" w:rsidP="00A6619A">
            <w:pPr>
              <w:pStyle w:val="-3"/>
              <w:spacing w:line="259" w:lineRule="auto"/>
              <w:jc w:val="left"/>
              <w:rPr>
                <w:sz w:val="19"/>
                <w:szCs w:val="19"/>
                <w:rtl/>
              </w:rPr>
            </w:pPr>
            <w:r w:rsidRPr="00D32AC4">
              <w:rPr>
                <w:sz w:val="19"/>
                <w:szCs w:val="19"/>
                <w:rtl/>
              </w:rPr>
              <w:t xml:space="preserve"> 0</w:t>
            </w:r>
          </w:p>
        </w:tc>
      </w:tr>
      <w:tr w:rsidR="00DA2072" w:rsidRPr="005A1D72" w14:paraId="63549686" w14:textId="77777777" w:rsidTr="00DA2072">
        <w:trPr>
          <w:trHeight w:val="265"/>
        </w:trPr>
        <w:tc>
          <w:tcPr>
            <w:tcW w:w="964" w:type="dxa"/>
            <w:tcBorders>
              <w:top w:val="nil"/>
              <w:left w:val="nil"/>
              <w:bottom w:val="nil"/>
              <w:right w:val="nil"/>
            </w:tcBorders>
          </w:tcPr>
          <w:p w14:paraId="6152ED59" w14:textId="77777777" w:rsidR="00DA2072" w:rsidRDefault="00DA2072" w:rsidP="00D32AC4">
            <w:pPr>
              <w:pStyle w:val="-0"/>
              <w:spacing w:line="240" w:lineRule="exact"/>
              <w:ind w:left="-57" w:right="-113" w:firstLine="0"/>
              <w:rPr>
                <w:rtl/>
              </w:rPr>
            </w:pPr>
          </w:p>
        </w:tc>
        <w:tc>
          <w:tcPr>
            <w:tcW w:w="4082" w:type="dxa"/>
            <w:tcBorders>
              <w:top w:val="nil"/>
              <w:left w:val="nil"/>
              <w:bottom w:val="nil"/>
              <w:right w:val="nil"/>
            </w:tcBorders>
          </w:tcPr>
          <w:p w14:paraId="456847E6" w14:textId="4BE19D01" w:rsidR="00DA2072" w:rsidRPr="00164650" w:rsidRDefault="00DA2072" w:rsidP="00880B6D">
            <w:pPr>
              <w:pStyle w:val="-21"/>
              <w:ind w:left="142" w:hanging="142"/>
              <w:rPr>
                <w:sz w:val="19"/>
                <w:szCs w:val="19"/>
                <w:rtl/>
              </w:rPr>
            </w:pPr>
            <w:r w:rsidRPr="00164650">
              <w:rPr>
                <w:sz w:val="19"/>
                <w:szCs w:val="19"/>
                <w:rtl/>
              </w:rPr>
              <w:t>הרווח הכולל המיוחס לבעלי זכויות שאינן מקנות שליטה</w:t>
            </w:r>
          </w:p>
        </w:tc>
        <w:tc>
          <w:tcPr>
            <w:tcW w:w="929" w:type="dxa"/>
            <w:tcBorders>
              <w:top w:val="nil"/>
              <w:left w:val="nil"/>
              <w:bottom w:val="nil"/>
              <w:right w:val="nil"/>
            </w:tcBorders>
            <w:vAlign w:val="bottom"/>
          </w:tcPr>
          <w:p w14:paraId="73E27447" w14:textId="29510349" w:rsidR="00DA2072" w:rsidRPr="00164650" w:rsidRDefault="00DA2072" w:rsidP="006204C2">
            <w:pPr>
              <w:pStyle w:val="-3"/>
              <w:pBdr>
                <w:bottom w:val="single" w:sz="4" w:space="1" w:color="auto"/>
              </w:pBdr>
              <w:spacing w:line="259" w:lineRule="auto"/>
              <w:jc w:val="left"/>
              <w:rPr>
                <w:sz w:val="19"/>
                <w:szCs w:val="19"/>
                <w:rtl/>
              </w:rPr>
            </w:pPr>
            <w:r w:rsidRPr="00164650">
              <w:rPr>
                <w:sz w:val="19"/>
                <w:szCs w:val="19"/>
                <w:rtl/>
              </w:rPr>
              <w:t xml:space="preserve"> 0</w:t>
            </w:r>
          </w:p>
        </w:tc>
        <w:tc>
          <w:tcPr>
            <w:tcW w:w="1012" w:type="dxa"/>
            <w:tcBorders>
              <w:top w:val="nil"/>
              <w:left w:val="nil"/>
              <w:bottom w:val="nil"/>
              <w:right w:val="nil"/>
            </w:tcBorders>
            <w:vAlign w:val="bottom"/>
          </w:tcPr>
          <w:p w14:paraId="5193B603" w14:textId="23F7CBC8" w:rsidR="00DA2072" w:rsidRPr="00164650" w:rsidRDefault="00DA2072" w:rsidP="006204C2">
            <w:pPr>
              <w:pStyle w:val="-3"/>
              <w:pBdr>
                <w:bottom w:val="single" w:sz="4" w:space="1" w:color="auto"/>
              </w:pBdr>
              <w:spacing w:line="259" w:lineRule="auto"/>
              <w:jc w:val="left"/>
              <w:rPr>
                <w:sz w:val="19"/>
                <w:szCs w:val="19"/>
                <w:rtl/>
              </w:rPr>
            </w:pPr>
            <w:r w:rsidRPr="00164650">
              <w:rPr>
                <w:sz w:val="19"/>
                <w:szCs w:val="19"/>
                <w:rtl/>
              </w:rPr>
              <w:t xml:space="preserve"> 0</w:t>
            </w:r>
          </w:p>
        </w:tc>
        <w:tc>
          <w:tcPr>
            <w:tcW w:w="835" w:type="dxa"/>
            <w:tcBorders>
              <w:top w:val="nil"/>
              <w:left w:val="nil"/>
              <w:bottom w:val="nil"/>
              <w:right w:val="nil"/>
            </w:tcBorders>
            <w:vAlign w:val="bottom"/>
          </w:tcPr>
          <w:p w14:paraId="2ABA726C" w14:textId="74517D56" w:rsidR="00DA2072" w:rsidRPr="00164650" w:rsidRDefault="00DA2072" w:rsidP="006204C2">
            <w:pPr>
              <w:pStyle w:val="-3"/>
              <w:pBdr>
                <w:bottom w:val="single" w:sz="4" w:space="1" w:color="auto"/>
              </w:pBdr>
              <w:spacing w:line="259" w:lineRule="auto"/>
              <w:jc w:val="left"/>
              <w:rPr>
                <w:sz w:val="19"/>
                <w:szCs w:val="19"/>
                <w:rtl/>
              </w:rPr>
            </w:pPr>
            <w:r w:rsidRPr="00164650">
              <w:rPr>
                <w:sz w:val="19"/>
                <w:szCs w:val="19"/>
                <w:rtl/>
              </w:rPr>
              <w:t xml:space="preserve"> 0</w:t>
            </w:r>
          </w:p>
        </w:tc>
        <w:tc>
          <w:tcPr>
            <w:tcW w:w="971" w:type="dxa"/>
            <w:tcBorders>
              <w:top w:val="nil"/>
              <w:left w:val="nil"/>
              <w:bottom w:val="nil"/>
              <w:right w:val="nil"/>
            </w:tcBorders>
            <w:vAlign w:val="bottom"/>
          </w:tcPr>
          <w:p w14:paraId="4DC47133" w14:textId="75424998" w:rsidR="00DA2072" w:rsidRPr="00164650" w:rsidRDefault="00DA2072" w:rsidP="006204C2">
            <w:pPr>
              <w:pStyle w:val="-3"/>
              <w:pBdr>
                <w:bottom w:val="single" w:sz="4" w:space="1" w:color="auto"/>
              </w:pBdr>
              <w:spacing w:line="259" w:lineRule="auto"/>
              <w:jc w:val="left"/>
              <w:rPr>
                <w:sz w:val="19"/>
                <w:szCs w:val="19"/>
                <w:rtl/>
              </w:rPr>
            </w:pPr>
            <w:r w:rsidRPr="00164650">
              <w:rPr>
                <w:sz w:val="19"/>
                <w:szCs w:val="19"/>
                <w:rtl/>
              </w:rPr>
              <w:t xml:space="preserve"> 0</w:t>
            </w:r>
          </w:p>
        </w:tc>
        <w:tc>
          <w:tcPr>
            <w:tcW w:w="1138" w:type="dxa"/>
            <w:tcBorders>
              <w:top w:val="nil"/>
              <w:left w:val="nil"/>
              <w:bottom w:val="nil"/>
              <w:right w:val="nil"/>
            </w:tcBorders>
            <w:vAlign w:val="bottom"/>
          </w:tcPr>
          <w:p w14:paraId="043794D0" w14:textId="0B0E4814" w:rsidR="00DA2072" w:rsidRPr="00164650" w:rsidRDefault="00DA2072" w:rsidP="006204C2">
            <w:pPr>
              <w:pStyle w:val="-3"/>
              <w:pBdr>
                <w:bottom w:val="single" w:sz="4" w:space="1" w:color="auto"/>
              </w:pBdr>
              <w:spacing w:line="259" w:lineRule="auto"/>
              <w:jc w:val="left"/>
              <w:rPr>
                <w:sz w:val="19"/>
                <w:szCs w:val="19"/>
                <w:rtl/>
              </w:rPr>
            </w:pPr>
            <w:r w:rsidRPr="00164650">
              <w:rPr>
                <w:sz w:val="19"/>
                <w:szCs w:val="19"/>
                <w:rtl/>
              </w:rPr>
              <w:t xml:space="preserve"> 0</w:t>
            </w:r>
          </w:p>
        </w:tc>
      </w:tr>
      <w:tr w:rsidR="00DA2072" w:rsidRPr="005A1D72" w14:paraId="2DB82AC1" w14:textId="77777777" w:rsidTr="006204C2">
        <w:trPr>
          <w:trHeight w:val="331"/>
        </w:trPr>
        <w:tc>
          <w:tcPr>
            <w:tcW w:w="964" w:type="dxa"/>
            <w:tcBorders>
              <w:top w:val="nil"/>
              <w:left w:val="nil"/>
              <w:bottom w:val="nil"/>
              <w:right w:val="nil"/>
            </w:tcBorders>
          </w:tcPr>
          <w:p w14:paraId="7E86E856" w14:textId="77777777" w:rsidR="00DA2072" w:rsidRDefault="00DA2072" w:rsidP="006204C2">
            <w:pPr>
              <w:pStyle w:val="-0"/>
              <w:spacing w:line="300" w:lineRule="exact"/>
              <w:ind w:left="-57" w:right="-113" w:firstLine="0"/>
              <w:rPr>
                <w:rtl/>
              </w:rPr>
            </w:pPr>
          </w:p>
        </w:tc>
        <w:tc>
          <w:tcPr>
            <w:tcW w:w="4082" w:type="dxa"/>
            <w:tcBorders>
              <w:top w:val="nil"/>
              <w:left w:val="nil"/>
              <w:bottom w:val="nil"/>
              <w:right w:val="nil"/>
            </w:tcBorders>
          </w:tcPr>
          <w:p w14:paraId="188C18F1" w14:textId="66F44845" w:rsidR="00DA2072" w:rsidRPr="00164650" w:rsidRDefault="00DA2072" w:rsidP="006204C2">
            <w:pPr>
              <w:pStyle w:val="-21"/>
              <w:spacing w:before="0" w:line="300" w:lineRule="exact"/>
              <w:ind w:left="142" w:hanging="142"/>
              <w:rPr>
                <w:b/>
                <w:bCs/>
                <w:sz w:val="19"/>
                <w:szCs w:val="19"/>
                <w:rtl/>
              </w:rPr>
            </w:pPr>
            <w:r w:rsidRPr="00164650">
              <w:rPr>
                <w:b/>
                <w:bCs/>
                <w:sz w:val="19"/>
                <w:szCs w:val="19"/>
                <w:rtl/>
              </w:rPr>
              <w:t xml:space="preserve">הרווח הכולל המיוחס לבעלי </w:t>
            </w:r>
            <w:r w:rsidRPr="00164650">
              <w:rPr>
                <w:rFonts w:hint="cs"/>
                <w:b/>
                <w:bCs/>
                <w:sz w:val="19"/>
                <w:szCs w:val="19"/>
                <w:rtl/>
              </w:rPr>
              <w:t>מניות התאגיד הבנקאי</w:t>
            </w:r>
          </w:p>
        </w:tc>
        <w:tc>
          <w:tcPr>
            <w:tcW w:w="929" w:type="dxa"/>
            <w:tcBorders>
              <w:top w:val="nil"/>
              <w:left w:val="nil"/>
              <w:bottom w:val="nil"/>
              <w:right w:val="nil"/>
            </w:tcBorders>
            <w:vAlign w:val="bottom"/>
          </w:tcPr>
          <w:p w14:paraId="5613A863" w14:textId="1B041FF3" w:rsidR="00DA2072" w:rsidRPr="00164650" w:rsidRDefault="00DA2072" w:rsidP="006204C2">
            <w:pPr>
              <w:pStyle w:val="-3"/>
              <w:pBdr>
                <w:bottom w:val="double" w:sz="4" w:space="1" w:color="auto"/>
              </w:pBdr>
              <w:spacing w:line="300" w:lineRule="exact"/>
              <w:jc w:val="left"/>
              <w:rPr>
                <w:b/>
                <w:bCs/>
                <w:sz w:val="19"/>
                <w:szCs w:val="19"/>
                <w:rtl/>
              </w:rPr>
            </w:pPr>
            <w:r w:rsidRPr="00164650">
              <w:rPr>
                <w:b/>
                <w:bCs/>
                <w:sz w:val="19"/>
                <w:szCs w:val="19"/>
                <w:rtl/>
              </w:rPr>
              <w:t xml:space="preserve"> 0</w:t>
            </w:r>
          </w:p>
        </w:tc>
        <w:tc>
          <w:tcPr>
            <w:tcW w:w="1012" w:type="dxa"/>
            <w:tcBorders>
              <w:top w:val="nil"/>
              <w:left w:val="nil"/>
              <w:bottom w:val="nil"/>
              <w:right w:val="nil"/>
            </w:tcBorders>
            <w:vAlign w:val="bottom"/>
          </w:tcPr>
          <w:p w14:paraId="4B2FC2BE" w14:textId="084A6E78" w:rsidR="00DA2072" w:rsidRPr="00164650" w:rsidRDefault="00DA2072" w:rsidP="006204C2">
            <w:pPr>
              <w:pStyle w:val="-3"/>
              <w:pBdr>
                <w:bottom w:val="double" w:sz="4" w:space="1" w:color="auto"/>
              </w:pBdr>
              <w:spacing w:line="300" w:lineRule="exact"/>
              <w:jc w:val="left"/>
              <w:rPr>
                <w:b/>
                <w:bCs/>
                <w:sz w:val="19"/>
                <w:szCs w:val="19"/>
                <w:rtl/>
              </w:rPr>
            </w:pPr>
            <w:r w:rsidRPr="00164650">
              <w:rPr>
                <w:b/>
                <w:bCs/>
                <w:sz w:val="19"/>
                <w:szCs w:val="19"/>
                <w:rtl/>
              </w:rPr>
              <w:t xml:space="preserve"> 0</w:t>
            </w:r>
          </w:p>
        </w:tc>
        <w:tc>
          <w:tcPr>
            <w:tcW w:w="835" w:type="dxa"/>
            <w:tcBorders>
              <w:top w:val="nil"/>
              <w:left w:val="nil"/>
              <w:bottom w:val="nil"/>
              <w:right w:val="nil"/>
            </w:tcBorders>
            <w:vAlign w:val="bottom"/>
          </w:tcPr>
          <w:p w14:paraId="024ED8A1" w14:textId="2A7CA61F" w:rsidR="00DA2072" w:rsidRPr="00164650" w:rsidRDefault="00DA2072" w:rsidP="006204C2">
            <w:pPr>
              <w:pStyle w:val="-3"/>
              <w:pBdr>
                <w:bottom w:val="double" w:sz="4" w:space="1" w:color="auto"/>
              </w:pBdr>
              <w:spacing w:line="300" w:lineRule="exact"/>
              <w:jc w:val="left"/>
              <w:rPr>
                <w:b/>
                <w:bCs/>
                <w:sz w:val="19"/>
                <w:szCs w:val="19"/>
                <w:rtl/>
              </w:rPr>
            </w:pPr>
            <w:r w:rsidRPr="00164650">
              <w:rPr>
                <w:b/>
                <w:bCs/>
                <w:sz w:val="19"/>
                <w:szCs w:val="19"/>
                <w:rtl/>
              </w:rPr>
              <w:t xml:space="preserve"> 0</w:t>
            </w:r>
          </w:p>
        </w:tc>
        <w:tc>
          <w:tcPr>
            <w:tcW w:w="971" w:type="dxa"/>
            <w:tcBorders>
              <w:top w:val="nil"/>
              <w:left w:val="nil"/>
              <w:bottom w:val="nil"/>
              <w:right w:val="nil"/>
            </w:tcBorders>
            <w:vAlign w:val="bottom"/>
          </w:tcPr>
          <w:p w14:paraId="25D957A8" w14:textId="0AFDB367" w:rsidR="00DA2072" w:rsidRPr="00164650" w:rsidRDefault="00DA2072" w:rsidP="006204C2">
            <w:pPr>
              <w:pStyle w:val="-3"/>
              <w:pBdr>
                <w:bottom w:val="double" w:sz="4" w:space="1" w:color="auto"/>
              </w:pBdr>
              <w:spacing w:line="300" w:lineRule="exact"/>
              <w:jc w:val="left"/>
              <w:rPr>
                <w:b/>
                <w:bCs/>
                <w:sz w:val="19"/>
                <w:szCs w:val="19"/>
                <w:rtl/>
              </w:rPr>
            </w:pPr>
            <w:r w:rsidRPr="00164650">
              <w:rPr>
                <w:b/>
                <w:bCs/>
                <w:sz w:val="19"/>
                <w:szCs w:val="19"/>
                <w:rtl/>
              </w:rPr>
              <w:t xml:space="preserve"> 0</w:t>
            </w:r>
          </w:p>
        </w:tc>
        <w:tc>
          <w:tcPr>
            <w:tcW w:w="1138" w:type="dxa"/>
            <w:tcBorders>
              <w:top w:val="nil"/>
              <w:left w:val="nil"/>
              <w:bottom w:val="nil"/>
              <w:right w:val="nil"/>
            </w:tcBorders>
            <w:vAlign w:val="bottom"/>
          </w:tcPr>
          <w:p w14:paraId="1E04803B" w14:textId="41D83C7A" w:rsidR="00DA2072" w:rsidRPr="00164650" w:rsidRDefault="00DA2072" w:rsidP="006204C2">
            <w:pPr>
              <w:pStyle w:val="-3"/>
              <w:pBdr>
                <w:bottom w:val="double" w:sz="4" w:space="1" w:color="auto"/>
              </w:pBdr>
              <w:spacing w:line="300" w:lineRule="exact"/>
              <w:jc w:val="left"/>
              <w:rPr>
                <w:b/>
                <w:bCs/>
                <w:sz w:val="19"/>
                <w:szCs w:val="19"/>
                <w:rtl/>
              </w:rPr>
            </w:pPr>
            <w:r w:rsidRPr="00164650">
              <w:rPr>
                <w:b/>
                <w:bCs/>
                <w:sz w:val="19"/>
                <w:szCs w:val="19"/>
                <w:rtl/>
              </w:rPr>
              <w:t xml:space="preserve"> 0</w:t>
            </w:r>
          </w:p>
        </w:tc>
      </w:tr>
    </w:tbl>
    <w:p w14:paraId="1FD021C1" w14:textId="77777777" w:rsidR="004A1ADA" w:rsidRDefault="004A1ADA" w:rsidP="005C6997">
      <w:pPr>
        <w:rPr>
          <w:rtl/>
        </w:rPr>
      </w:pPr>
    </w:p>
    <w:p w14:paraId="582E7FD6" w14:textId="77777777" w:rsidR="00DA2072" w:rsidRDefault="00DA2072" w:rsidP="005C6997">
      <w:pPr>
        <w:rPr>
          <w:rtl/>
        </w:rPr>
      </w:pPr>
    </w:p>
    <w:tbl>
      <w:tblPr>
        <w:bidiVisual/>
        <w:tblW w:w="9960" w:type="dxa"/>
        <w:tblInd w:w="-55" w:type="dxa"/>
        <w:tblLayout w:type="fixed"/>
        <w:tblLook w:val="04A0" w:firstRow="1" w:lastRow="0" w:firstColumn="1" w:lastColumn="0" w:noHBand="0" w:noVBand="1"/>
      </w:tblPr>
      <w:tblGrid>
        <w:gridCol w:w="1191"/>
        <w:gridCol w:w="454"/>
        <w:gridCol w:w="8315"/>
      </w:tblGrid>
      <w:tr w:rsidR="004A1ADA" w:rsidRPr="004A1ADA" w14:paraId="7125CE74" w14:textId="77777777" w:rsidTr="00880B6D">
        <w:trPr>
          <w:trHeight w:val="259"/>
        </w:trPr>
        <w:tc>
          <w:tcPr>
            <w:tcW w:w="1191" w:type="dxa"/>
          </w:tcPr>
          <w:p w14:paraId="02C7F9AC" w14:textId="77777777" w:rsidR="004A1ADA" w:rsidRPr="00880B6D" w:rsidRDefault="004A1ADA" w:rsidP="004A1ADA">
            <w:pPr>
              <w:rPr>
                <w:sz w:val="18"/>
                <w:szCs w:val="18"/>
                <w:rtl/>
              </w:rPr>
            </w:pPr>
          </w:p>
        </w:tc>
        <w:tc>
          <w:tcPr>
            <w:tcW w:w="454" w:type="dxa"/>
          </w:tcPr>
          <w:p w14:paraId="4CC1E046" w14:textId="77777777" w:rsidR="004A1ADA" w:rsidRPr="00880B6D" w:rsidRDefault="004A1ADA" w:rsidP="004A1ADA">
            <w:pPr>
              <w:rPr>
                <w:sz w:val="18"/>
                <w:szCs w:val="18"/>
                <w:rtl/>
              </w:rPr>
            </w:pPr>
            <w:r w:rsidRPr="00880B6D">
              <w:rPr>
                <w:rFonts w:hint="cs"/>
                <w:sz w:val="18"/>
                <w:szCs w:val="18"/>
                <w:rtl/>
              </w:rPr>
              <w:t>(א)</w:t>
            </w:r>
          </w:p>
        </w:tc>
        <w:tc>
          <w:tcPr>
            <w:tcW w:w="8315" w:type="dxa"/>
          </w:tcPr>
          <w:p w14:paraId="44C5BE64" w14:textId="77777777" w:rsidR="004A1ADA" w:rsidRPr="00880B6D" w:rsidRDefault="004A1ADA" w:rsidP="004A1ADA">
            <w:pPr>
              <w:rPr>
                <w:sz w:val="18"/>
                <w:szCs w:val="18"/>
                <w:rtl/>
              </w:rPr>
            </w:pPr>
            <w:r w:rsidRPr="00880B6D">
              <w:rPr>
                <w:rFonts w:hint="cs"/>
                <w:sz w:val="18"/>
                <w:szCs w:val="18"/>
                <w:rtl/>
              </w:rPr>
              <w:t>התאמות מתרגום דוחות כספיים של פעילויות חוץ שמטבע הפעילות שלהן שונה ממטבע הפעילות של התאגיד הבנקאי, לרבות התאמות בגין חברות כלולות.</w:t>
            </w:r>
          </w:p>
        </w:tc>
      </w:tr>
      <w:tr w:rsidR="004A1ADA" w:rsidRPr="004A1ADA" w14:paraId="0FFED02C" w14:textId="77777777" w:rsidTr="00880B6D">
        <w:trPr>
          <w:trHeight w:val="259"/>
        </w:trPr>
        <w:tc>
          <w:tcPr>
            <w:tcW w:w="1191" w:type="dxa"/>
          </w:tcPr>
          <w:p w14:paraId="526E26F5" w14:textId="77777777" w:rsidR="004A1ADA" w:rsidRPr="00880B6D" w:rsidRDefault="004A1ADA" w:rsidP="004A1ADA">
            <w:pPr>
              <w:rPr>
                <w:sz w:val="18"/>
                <w:szCs w:val="18"/>
                <w:rtl/>
              </w:rPr>
            </w:pPr>
          </w:p>
        </w:tc>
        <w:tc>
          <w:tcPr>
            <w:tcW w:w="454" w:type="dxa"/>
          </w:tcPr>
          <w:p w14:paraId="66D977B8" w14:textId="77777777" w:rsidR="004A1ADA" w:rsidRPr="00880B6D" w:rsidRDefault="004A1ADA" w:rsidP="004A1ADA">
            <w:pPr>
              <w:rPr>
                <w:sz w:val="18"/>
                <w:szCs w:val="18"/>
                <w:rtl/>
              </w:rPr>
            </w:pPr>
            <w:r w:rsidRPr="00880B6D">
              <w:rPr>
                <w:rFonts w:hint="cs"/>
                <w:sz w:val="18"/>
                <w:szCs w:val="18"/>
                <w:rtl/>
              </w:rPr>
              <w:t>(ב)</w:t>
            </w:r>
          </w:p>
        </w:tc>
        <w:tc>
          <w:tcPr>
            <w:tcW w:w="8315" w:type="dxa"/>
          </w:tcPr>
          <w:p w14:paraId="3FD2AB34" w14:textId="77777777" w:rsidR="004A1ADA" w:rsidRPr="00880B6D" w:rsidRDefault="004A1ADA" w:rsidP="004A1ADA">
            <w:pPr>
              <w:rPr>
                <w:sz w:val="18"/>
                <w:szCs w:val="18"/>
                <w:rtl/>
              </w:rPr>
            </w:pPr>
            <w:r w:rsidRPr="00880B6D">
              <w:rPr>
                <w:rFonts w:hint="cs"/>
                <w:sz w:val="18"/>
                <w:szCs w:val="18"/>
                <w:rtl/>
              </w:rPr>
              <w:t xml:space="preserve">גידורים - רווחים (הפסדים) נטו בגין גידור השקעה נטו במטבע חוץ. </w:t>
            </w:r>
          </w:p>
        </w:tc>
      </w:tr>
      <w:tr w:rsidR="004A1ADA" w:rsidRPr="004A1ADA" w14:paraId="593DFE9E" w14:textId="77777777" w:rsidTr="00880B6D">
        <w:trPr>
          <w:trHeight w:val="259"/>
        </w:trPr>
        <w:tc>
          <w:tcPr>
            <w:tcW w:w="1191" w:type="dxa"/>
          </w:tcPr>
          <w:p w14:paraId="3D84D923" w14:textId="77777777" w:rsidR="004A1ADA" w:rsidRPr="00880B6D" w:rsidRDefault="004A1ADA" w:rsidP="004A1ADA">
            <w:pPr>
              <w:rPr>
                <w:sz w:val="18"/>
                <w:szCs w:val="18"/>
                <w:rtl/>
              </w:rPr>
            </w:pPr>
          </w:p>
        </w:tc>
        <w:tc>
          <w:tcPr>
            <w:tcW w:w="454" w:type="dxa"/>
          </w:tcPr>
          <w:p w14:paraId="2C8AF38D" w14:textId="77777777" w:rsidR="004A1ADA" w:rsidRPr="00880B6D" w:rsidRDefault="004A1ADA" w:rsidP="004A1ADA">
            <w:pPr>
              <w:rPr>
                <w:sz w:val="18"/>
                <w:szCs w:val="18"/>
                <w:rtl/>
              </w:rPr>
            </w:pPr>
            <w:r w:rsidRPr="00880B6D">
              <w:rPr>
                <w:rFonts w:hint="cs"/>
                <w:sz w:val="18"/>
                <w:szCs w:val="18"/>
                <w:rtl/>
              </w:rPr>
              <w:t xml:space="preserve">(ג) </w:t>
            </w:r>
          </w:p>
        </w:tc>
        <w:tc>
          <w:tcPr>
            <w:tcW w:w="8315" w:type="dxa"/>
          </w:tcPr>
          <w:p w14:paraId="69AE27E9" w14:textId="77777777" w:rsidR="004A1ADA" w:rsidRPr="00880B6D" w:rsidRDefault="004A1ADA" w:rsidP="004A1ADA">
            <w:pPr>
              <w:rPr>
                <w:sz w:val="18"/>
                <w:szCs w:val="18"/>
                <w:rtl/>
              </w:rPr>
            </w:pPr>
            <w:r w:rsidRPr="00880B6D">
              <w:rPr>
                <w:rFonts w:hint="cs"/>
                <w:sz w:val="18"/>
                <w:szCs w:val="18"/>
                <w:rtl/>
              </w:rPr>
              <w:t xml:space="preserve">כולל החלק הלא אפקטיבי ביחסי הגידור, וכן ההתאמות בגין הפחתת רכיבים שלא נכללו ביחס הגידור. </w:t>
            </w:r>
          </w:p>
        </w:tc>
      </w:tr>
    </w:tbl>
    <w:p w14:paraId="30FF4CAC" w14:textId="77777777" w:rsidR="004A1ADA" w:rsidRDefault="004A1ADA" w:rsidP="005C6997">
      <w:pPr>
        <w:rPr>
          <w:rtl/>
        </w:rPr>
      </w:pPr>
    </w:p>
    <w:p w14:paraId="4DA21E7B" w14:textId="77777777" w:rsidR="00DA2072" w:rsidRDefault="00DA2072" w:rsidP="005C6997"/>
    <w:tbl>
      <w:tblPr>
        <w:bidiVisual/>
        <w:tblW w:w="4792" w:type="pct"/>
        <w:tblLook w:val="04A0" w:firstRow="1" w:lastRow="0" w:firstColumn="1" w:lastColumn="0" w:noHBand="0" w:noVBand="1"/>
      </w:tblPr>
      <w:tblGrid>
        <w:gridCol w:w="1559"/>
        <w:gridCol w:w="8223"/>
      </w:tblGrid>
      <w:tr w:rsidR="00D12B77" w:rsidRPr="00D851E7" w14:paraId="3250279C" w14:textId="77777777" w:rsidTr="00D12B77">
        <w:trPr>
          <w:trHeight w:val="259"/>
        </w:trPr>
        <w:tc>
          <w:tcPr>
            <w:tcW w:w="1559" w:type="dxa"/>
          </w:tcPr>
          <w:p w14:paraId="04FE785C" w14:textId="77777777" w:rsidR="00D12B77" w:rsidRPr="00ED6312" w:rsidRDefault="00D12B77" w:rsidP="00C57F10">
            <w:pPr>
              <w:pStyle w:val="-7"/>
              <w:bidi w:val="0"/>
              <w:spacing w:line="240" w:lineRule="auto"/>
              <w:ind w:right="-231"/>
              <w:jc w:val="left"/>
              <w:rPr>
                <w:spacing w:val="-6"/>
                <w:sz w:val="14"/>
                <w:szCs w:val="14"/>
                <w:rtl/>
              </w:rPr>
            </w:pPr>
          </w:p>
        </w:tc>
        <w:tc>
          <w:tcPr>
            <w:tcW w:w="8223" w:type="dxa"/>
          </w:tcPr>
          <w:p w14:paraId="315C059D" w14:textId="77777777" w:rsidR="00D12B77" w:rsidRPr="004F0CDC" w:rsidRDefault="00D12B77" w:rsidP="00C57F10">
            <w:pPr>
              <w:rPr>
                <w:sz w:val="17"/>
                <w:szCs w:val="17"/>
                <w:rtl/>
              </w:rPr>
            </w:pPr>
            <w:r>
              <w:rPr>
                <w:rFonts w:hint="cs"/>
                <w:sz w:val="17"/>
                <w:szCs w:val="17"/>
                <w:rtl/>
              </w:rPr>
              <w:t xml:space="preserve">* </w:t>
            </w:r>
            <w:r w:rsidRPr="004F0CDC">
              <w:rPr>
                <w:sz w:val="17"/>
                <w:szCs w:val="17"/>
                <w:rtl/>
              </w:rPr>
              <w:t xml:space="preserve">יושם למפרע, </w:t>
            </w:r>
            <w:r w:rsidRPr="004F0CDC">
              <w:rPr>
                <w:rFonts w:hint="cs"/>
                <w:sz w:val="17"/>
                <w:szCs w:val="17"/>
                <w:rtl/>
              </w:rPr>
              <w:t>ראה</w:t>
            </w:r>
            <w:r w:rsidRPr="004F0CDC">
              <w:rPr>
                <w:sz w:val="17"/>
                <w:szCs w:val="17"/>
                <w:rtl/>
              </w:rPr>
              <w:t xml:space="preserve"> ביאור </w:t>
            </w:r>
            <w:r w:rsidRPr="005F709A">
              <w:rPr>
                <w:sz w:val="16"/>
                <w:szCs w:val="16"/>
                <w:rtl/>
              </w:rPr>
              <w:t>1(</w:t>
            </w:r>
            <w:r w:rsidRPr="005F709A">
              <w:rPr>
                <w:rFonts w:hint="cs"/>
                <w:sz w:val="16"/>
                <w:szCs w:val="16"/>
                <w:rtl/>
              </w:rPr>
              <w:t>ה</w:t>
            </w:r>
            <w:r w:rsidRPr="005F709A">
              <w:rPr>
                <w:sz w:val="16"/>
                <w:szCs w:val="16"/>
                <w:rtl/>
              </w:rPr>
              <w:t>)(1)</w:t>
            </w:r>
            <w:r>
              <w:rPr>
                <w:rFonts w:hint="cs"/>
                <w:sz w:val="17"/>
                <w:szCs w:val="17"/>
                <w:rtl/>
              </w:rPr>
              <w:t xml:space="preserve"> / </w:t>
            </w:r>
            <w:r w:rsidRPr="00CE0F9D">
              <w:rPr>
                <w:sz w:val="17"/>
                <w:szCs w:val="17"/>
                <w:rtl/>
              </w:rPr>
              <w:t>**</w:t>
            </w:r>
            <w:r>
              <w:rPr>
                <w:rFonts w:hint="cs"/>
                <w:sz w:val="17"/>
                <w:szCs w:val="17"/>
                <w:rtl/>
              </w:rPr>
              <w:t xml:space="preserve"> </w:t>
            </w:r>
            <w:r w:rsidRPr="00CE0F9D">
              <w:rPr>
                <w:sz w:val="17"/>
                <w:szCs w:val="17"/>
                <w:rtl/>
              </w:rPr>
              <w:t xml:space="preserve">סווג מחדש, ראה ביאור </w:t>
            </w:r>
            <w:r w:rsidRPr="005F709A">
              <w:rPr>
                <w:sz w:val="16"/>
                <w:szCs w:val="16"/>
                <w:rtl/>
              </w:rPr>
              <w:t>1(</w:t>
            </w:r>
            <w:r w:rsidRPr="005F709A">
              <w:rPr>
                <w:rFonts w:hint="cs"/>
                <w:sz w:val="16"/>
                <w:szCs w:val="16"/>
                <w:rtl/>
              </w:rPr>
              <w:t>ה</w:t>
            </w:r>
            <w:r w:rsidRPr="005F709A">
              <w:rPr>
                <w:sz w:val="16"/>
                <w:szCs w:val="16"/>
                <w:rtl/>
              </w:rPr>
              <w:t>)(2)</w:t>
            </w:r>
            <w:r>
              <w:rPr>
                <w:rFonts w:hint="cs"/>
                <w:sz w:val="17"/>
                <w:szCs w:val="17"/>
                <w:rtl/>
              </w:rPr>
              <w:t xml:space="preserve"> / </w:t>
            </w:r>
            <w:r w:rsidRPr="00CE0F9D">
              <w:rPr>
                <w:sz w:val="17"/>
                <w:szCs w:val="17"/>
                <w:rtl/>
              </w:rPr>
              <w:t>***</w:t>
            </w:r>
            <w:r>
              <w:rPr>
                <w:rFonts w:hint="cs"/>
                <w:sz w:val="17"/>
                <w:szCs w:val="17"/>
                <w:rtl/>
              </w:rPr>
              <w:t xml:space="preserve"> ה</w:t>
            </w:r>
            <w:r w:rsidRPr="00CE0F9D">
              <w:rPr>
                <w:sz w:val="17"/>
                <w:szCs w:val="17"/>
                <w:rtl/>
              </w:rPr>
              <w:t xml:space="preserve">וצג מחדש, ראה ביאור </w:t>
            </w:r>
            <w:r w:rsidRPr="005F709A">
              <w:rPr>
                <w:sz w:val="16"/>
                <w:szCs w:val="16"/>
                <w:rtl/>
              </w:rPr>
              <w:t>1(</w:t>
            </w:r>
            <w:r w:rsidRPr="005F709A">
              <w:rPr>
                <w:rFonts w:hint="cs"/>
                <w:sz w:val="16"/>
                <w:szCs w:val="16"/>
                <w:rtl/>
              </w:rPr>
              <w:t>ה</w:t>
            </w:r>
            <w:r w:rsidRPr="005F709A">
              <w:rPr>
                <w:sz w:val="16"/>
                <w:szCs w:val="16"/>
                <w:rtl/>
              </w:rPr>
              <w:t>)(3)</w:t>
            </w:r>
          </w:p>
        </w:tc>
      </w:tr>
    </w:tbl>
    <w:p w14:paraId="28B4700F" w14:textId="77777777" w:rsidR="005C6997" w:rsidRDefault="005C6997" w:rsidP="005C6997">
      <w:pPr>
        <w:pStyle w:val="-2"/>
        <w:ind w:left="1584"/>
        <w:rPr>
          <w:rtl/>
        </w:rPr>
      </w:pPr>
    </w:p>
    <w:p w14:paraId="0C59D9A8" w14:textId="77777777" w:rsidR="00DA2072" w:rsidRDefault="00DA2072" w:rsidP="005C6997">
      <w:pPr>
        <w:pStyle w:val="-2"/>
        <w:ind w:left="1584"/>
        <w:rPr>
          <w:rtl/>
        </w:rPr>
      </w:pPr>
    </w:p>
    <w:tbl>
      <w:tblPr>
        <w:bidiVisual/>
        <w:tblW w:w="4990" w:type="pct"/>
        <w:tblLook w:val="04A0" w:firstRow="1" w:lastRow="0" w:firstColumn="1" w:lastColumn="0" w:noHBand="0" w:noVBand="1"/>
      </w:tblPr>
      <w:tblGrid>
        <w:gridCol w:w="1536"/>
        <w:gridCol w:w="8651"/>
      </w:tblGrid>
      <w:tr w:rsidR="005C6997" w:rsidRPr="00543C25" w14:paraId="4C3D2492" w14:textId="77777777" w:rsidTr="00D12B77">
        <w:trPr>
          <w:trHeight w:val="259"/>
        </w:trPr>
        <w:tc>
          <w:tcPr>
            <w:tcW w:w="1536" w:type="dxa"/>
          </w:tcPr>
          <w:p w14:paraId="2D3BC073" w14:textId="77777777" w:rsidR="005C6997" w:rsidRPr="00ED6312" w:rsidRDefault="005C6997" w:rsidP="005C6997">
            <w:pPr>
              <w:pStyle w:val="-7"/>
              <w:bidi w:val="0"/>
              <w:ind w:right="-231"/>
              <w:jc w:val="left"/>
              <w:rPr>
                <w:spacing w:val="-6"/>
                <w:sz w:val="14"/>
                <w:szCs w:val="14"/>
                <w:rtl/>
              </w:rPr>
            </w:pPr>
          </w:p>
        </w:tc>
        <w:tc>
          <w:tcPr>
            <w:tcW w:w="8651" w:type="dxa"/>
          </w:tcPr>
          <w:p w14:paraId="486B021E" w14:textId="475B880E" w:rsidR="00193B2B" w:rsidRPr="00EA192D" w:rsidRDefault="005C6997" w:rsidP="00B70109">
            <w:pPr>
              <w:rPr>
                <w:rtl/>
              </w:rPr>
            </w:pPr>
            <w:r w:rsidRPr="00543C25">
              <w:rPr>
                <w:b/>
                <w:bCs/>
                <w:rtl/>
              </w:rPr>
              <w:t>הביאורים ל</w:t>
            </w:r>
            <w:r>
              <w:rPr>
                <w:rFonts w:hint="cs"/>
                <w:b/>
                <w:bCs/>
                <w:rtl/>
              </w:rPr>
              <w:t>תמצית ה</w:t>
            </w:r>
            <w:r w:rsidRPr="00543C25">
              <w:rPr>
                <w:b/>
                <w:bCs/>
                <w:rtl/>
              </w:rPr>
              <w:t xml:space="preserve">דוחות הכספיים מהווים חלק בלתי נפרד </w:t>
            </w:r>
            <w:r>
              <w:rPr>
                <w:rFonts w:hint="cs"/>
                <w:b/>
                <w:bCs/>
                <w:rtl/>
              </w:rPr>
              <w:t>ממנה.</w:t>
            </w:r>
          </w:p>
        </w:tc>
      </w:tr>
    </w:tbl>
    <w:p w14:paraId="60B0CF8D" w14:textId="77777777" w:rsidR="005C6997" w:rsidRDefault="005C6997">
      <w:pPr>
        <w:rPr>
          <w:rtl/>
        </w:rPr>
        <w:sectPr w:rsidR="005C6997" w:rsidSect="00587121">
          <w:headerReference w:type="even" r:id="rId13"/>
          <w:headerReference w:type="default" r:id="rId14"/>
          <w:footnotePr>
            <w:numRestart w:val="eachPage"/>
          </w:footnotePr>
          <w:type w:val="nextColumn"/>
          <w:pgSz w:w="11909" w:h="16834" w:code="9"/>
          <w:pgMar w:top="851" w:right="851" w:bottom="851" w:left="851" w:header="432" w:footer="720" w:gutter="0"/>
          <w:cols w:space="720"/>
          <w:bidi/>
          <w:rtlGutter/>
          <w:docGrid w:linePitch="360"/>
        </w:sectPr>
      </w:pPr>
    </w:p>
    <w:p w14:paraId="7A173E3E" w14:textId="77777777" w:rsidR="009A58A2" w:rsidRDefault="009A58A2" w:rsidP="00F723B7">
      <w:pPr>
        <w:pStyle w:val="-2"/>
        <w:ind w:firstLine="1418"/>
        <w:rPr>
          <w:rtl/>
        </w:rPr>
      </w:pPr>
      <w:r w:rsidRPr="00543C25">
        <w:rPr>
          <w:rFonts w:hint="cs"/>
          <w:rtl/>
        </w:rPr>
        <w:lastRenderedPageBreak/>
        <w:t>בנק</w:t>
      </w:r>
      <w:r w:rsidRPr="00543C25">
        <w:rPr>
          <w:rtl/>
        </w:rPr>
        <w:t xml:space="preserve"> </w:t>
      </w:r>
      <w:r w:rsidRPr="004D57D2">
        <w:rPr>
          <w:rFonts w:hint="cs"/>
          <w:rtl/>
        </w:rPr>
        <w:t xml:space="preserve">לדוגמה </w:t>
      </w:r>
      <w:r w:rsidRPr="004D57D2">
        <w:rPr>
          <w:rtl/>
        </w:rPr>
        <w:t>בע"מ וחברות מאוחדות שלו</w:t>
      </w:r>
    </w:p>
    <w:p w14:paraId="68BBD18C" w14:textId="29DFC8D9" w:rsidR="009A58A2" w:rsidRPr="00B23171" w:rsidRDefault="009A58A2" w:rsidP="00931BF0">
      <w:pPr>
        <w:pStyle w:val="7"/>
        <w:spacing w:after="80"/>
        <w:ind w:firstLine="1418"/>
        <w:rPr>
          <w:u w:val="single"/>
          <w:rtl/>
        </w:rPr>
      </w:pPr>
      <w:bookmarkStart w:id="8" w:name="_Toc160529211"/>
      <w:r w:rsidRPr="00B23171">
        <w:rPr>
          <w:rFonts w:hint="cs"/>
          <w:u w:val="single"/>
          <w:rtl/>
        </w:rPr>
        <w:t xml:space="preserve">תמצית </w:t>
      </w:r>
      <w:r w:rsidRPr="00B23171">
        <w:rPr>
          <w:rFonts w:hint="eastAsia"/>
          <w:u w:val="single"/>
          <w:rtl/>
        </w:rPr>
        <w:t>מאזן</w:t>
      </w:r>
      <w:r w:rsidRPr="00B23171">
        <w:rPr>
          <w:rFonts w:hint="cs"/>
          <w:u w:val="single"/>
          <w:rtl/>
        </w:rPr>
        <w:t xml:space="preserve"> מאוחד ליום 30 ביוני </w:t>
      </w:r>
      <w:r w:rsidR="00931BF0" w:rsidRPr="00931BF0">
        <w:rPr>
          <w:sz w:val="22"/>
          <w:u w:val="single"/>
          <w:rtl/>
        </w:rPr>
        <w:fldChar w:fldCharType="begin"/>
      </w:r>
      <w:r w:rsidR="00931BF0" w:rsidRPr="00931BF0">
        <w:rPr>
          <w:sz w:val="22"/>
          <w:u w:val="single"/>
          <w:rtl/>
        </w:rPr>
        <w:instrText xml:space="preserve"> </w:instrText>
      </w:r>
      <w:r w:rsidR="00931BF0" w:rsidRPr="00931BF0">
        <w:rPr>
          <w:rFonts w:hint="cs"/>
          <w:sz w:val="22"/>
          <w:u w:val="single"/>
          <w:rtl/>
        </w:rPr>
        <w:instrText xml:space="preserve">= </w:instrText>
      </w:r>
      <w:r w:rsidR="00931BF0" w:rsidRPr="00931BF0">
        <w:rPr>
          <w:rFonts w:hint="cs"/>
          <w:sz w:val="22"/>
          <w:u w:val="single"/>
        </w:rPr>
        <w:instrText>CY \* MERGEFORMAT</w:instrText>
      </w:r>
      <w:r w:rsidR="00931BF0" w:rsidRPr="00931BF0">
        <w:rPr>
          <w:sz w:val="22"/>
          <w:u w:val="single"/>
          <w:rtl/>
        </w:rPr>
        <w:instrText xml:space="preserve"> </w:instrText>
      </w:r>
      <w:r w:rsidR="00931BF0" w:rsidRPr="00931BF0">
        <w:rPr>
          <w:sz w:val="22"/>
          <w:u w:val="single"/>
          <w:rtl/>
        </w:rPr>
        <w:fldChar w:fldCharType="separate"/>
      </w:r>
      <w:r w:rsidR="003A584F">
        <w:rPr>
          <w:noProof/>
          <w:sz w:val="22"/>
          <w:u w:val="single"/>
          <w:rtl/>
        </w:rPr>
        <w:t>2024</w:t>
      </w:r>
      <w:bookmarkEnd w:id="8"/>
      <w:r w:rsidR="00931BF0" w:rsidRPr="00931BF0">
        <w:rPr>
          <w:sz w:val="22"/>
          <w:u w:val="single"/>
          <w:rtl/>
        </w:rPr>
        <w:fldChar w:fldCharType="end"/>
      </w:r>
    </w:p>
    <w:p w14:paraId="0862DFF9" w14:textId="77777777" w:rsidR="009A58A2" w:rsidRPr="009A58A2" w:rsidRDefault="009A58A2" w:rsidP="00F723B7">
      <w:pPr>
        <w:pStyle w:val="-2"/>
        <w:ind w:firstLine="1418"/>
        <w:rPr>
          <w:b w:val="0"/>
          <w:bCs w:val="0"/>
          <w:sz w:val="20"/>
          <w:szCs w:val="20"/>
          <w:rtl/>
        </w:rPr>
      </w:pPr>
      <w:r w:rsidRPr="009A58A2">
        <w:rPr>
          <w:rFonts w:hint="cs"/>
          <w:b w:val="0"/>
          <w:bCs w:val="0"/>
          <w:sz w:val="20"/>
          <w:szCs w:val="20"/>
          <w:rtl/>
        </w:rPr>
        <w:t>סכומים מדווחים (במיליוני ש"ח)</w:t>
      </w:r>
    </w:p>
    <w:tbl>
      <w:tblPr>
        <w:bidiVisual/>
        <w:tblW w:w="9946" w:type="dxa"/>
        <w:tblInd w:w="93" w:type="dxa"/>
        <w:tblLayout w:type="fixed"/>
        <w:tblLook w:val="04A0" w:firstRow="1" w:lastRow="0" w:firstColumn="1" w:lastColumn="0" w:noHBand="0" w:noVBand="1"/>
      </w:tblPr>
      <w:tblGrid>
        <w:gridCol w:w="1247"/>
        <w:gridCol w:w="114"/>
        <w:gridCol w:w="4365"/>
        <w:gridCol w:w="114"/>
        <w:gridCol w:w="882"/>
        <w:gridCol w:w="114"/>
        <w:gridCol w:w="918"/>
        <w:gridCol w:w="114"/>
        <w:gridCol w:w="974"/>
        <w:gridCol w:w="114"/>
        <w:gridCol w:w="876"/>
        <w:gridCol w:w="114"/>
      </w:tblGrid>
      <w:tr w:rsidR="00774CD3" w:rsidRPr="00543C25" w14:paraId="3D97A121" w14:textId="77777777" w:rsidTr="00880B6D">
        <w:trPr>
          <w:gridAfter w:val="1"/>
          <w:wAfter w:w="114" w:type="dxa"/>
        </w:trPr>
        <w:tc>
          <w:tcPr>
            <w:tcW w:w="1247" w:type="dxa"/>
          </w:tcPr>
          <w:p w14:paraId="2AFB007C" w14:textId="77777777" w:rsidR="00EF6A08" w:rsidRDefault="00B44059">
            <w:pPr>
              <w:pStyle w:val="-7"/>
              <w:spacing w:line="240" w:lineRule="auto"/>
              <w:jc w:val="left"/>
              <w:rPr>
                <w:sz w:val="14"/>
                <w:szCs w:val="14"/>
                <w:rtl/>
              </w:rPr>
            </w:pPr>
            <w:r w:rsidRPr="00B44059">
              <w:rPr>
                <w:rFonts w:hint="eastAsia"/>
                <w:sz w:val="14"/>
                <w:szCs w:val="14"/>
                <w:rtl/>
              </w:rPr>
              <w:t>מתכונת</w:t>
            </w:r>
            <w:r w:rsidRPr="00B44059">
              <w:rPr>
                <w:sz w:val="14"/>
                <w:szCs w:val="14"/>
                <w:rtl/>
              </w:rPr>
              <w:t xml:space="preserve"> דוח </w:t>
            </w:r>
            <w:r w:rsidRPr="00B44059">
              <w:rPr>
                <w:sz w:val="14"/>
                <w:szCs w:val="14"/>
                <w:rtl/>
              </w:rPr>
              <w:br/>
            </w:r>
            <w:r w:rsidRPr="00B44059">
              <w:rPr>
                <w:rFonts w:hint="eastAsia"/>
                <w:sz w:val="14"/>
                <w:szCs w:val="14"/>
                <w:rtl/>
              </w:rPr>
              <w:t>עמ</w:t>
            </w:r>
            <w:r w:rsidRPr="00B44059">
              <w:rPr>
                <w:sz w:val="14"/>
                <w:szCs w:val="14"/>
                <w:rtl/>
              </w:rPr>
              <w:t>' 663-7</w:t>
            </w:r>
          </w:p>
          <w:p w14:paraId="54370D73" w14:textId="72F8DE84" w:rsidR="0033077B" w:rsidRDefault="0033077B">
            <w:pPr>
              <w:pStyle w:val="-7"/>
              <w:spacing w:line="240" w:lineRule="auto"/>
              <w:jc w:val="left"/>
              <w:rPr>
                <w:sz w:val="14"/>
                <w:szCs w:val="14"/>
                <w:rtl/>
              </w:rPr>
            </w:pPr>
          </w:p>
        </w:tc>
        <w:tc>
          <w:tcPr>
            <w:tcW w:w="4479" w:type="dxa"/>
            <w:gridSpan w:val="2"/>
            <w:vAlign w:val="bottom"/>
          </w:tcPr>
          <w:p w14:paraId="5F0BE53E" w14:textId="77777777" w:rsidR="00774CD3" w:rsidRPr="000C5A8E" w:rsidRDefault="00774CD3" w:rsidP="00914DF0">
            <w:pPr>
              <w:pStyle w:val="-0"/>
              <w:spacing w:line="240" w:lineRule="auto"/>
              <w:rPr>
                <w:rtl/>
              </w:rPr>
            </w:pPr>
          </w:p>
        </w:tc>
        <w:tc>
          <w:tcPr>
            <w:tcW w:w="996" w:type="dxa"/>
            <w:gridSpan w:val="2"/>
            <w:vAlign w:val="bottom"/>
          </w:tcPr>
          <w:p w14:paraId="66666E03" w14:textId="77777777" w:rsidR="00774CD3" w:rsidRPr="000C5A8E" w:rsidRDefault="00774CD3" w:rsidP="00914DF0">
            <w:pPr>
              <w:pStyle w:val="-7"/>
              <w:spacing w:line="240" w:lineRule="auto"/>
              <w:jc w:val="center"/>
              <w:rPr>
                <w:rtl/>
              </w:rPr>
            </w:pPr>
          </w:p>
        </w:tc>
        <w:tc>
          <w:tcPr>
            <w:tcW w:w="2120" w:type="dxa"/>
            <w:gridSpan w:val="4"/>
            <w:vAlign w:val="bottom"/>
          </w:tcPr>
          <w:p w14:paraId="029757EA" w14:textId="77777777" w:rsidR="00774CD3" w:rsidRPr="000C5A8E" w:rsidRDefault="00DB71F3" w:rsidP="00914DF0">
            <w:pPr>
              <w:pStyle w:val="-4"/>
              <w:pBdr>
                <w:bottom w:val="single" w:sz="4" w:space="1" w:color="auto"/>
              </w:pBdr>
              <w:spacing w:line="240" w:lineRule="auto"/>
              <w:rPr>
                <w:rtl/>
              </w:rPr>
            </w:pPr>
            <w:r w:rsidRPr="000C5A8E">
              <w:rPr>
                <w:rFonts w:hint="cs"/>
                <w:rtl/>
              </w:rPr>
              <w:t xml:space="preserve">ליום </w:t>
            </w:r>
            <w:r w:rsidR="00774CD3" w:rsidRPr="000C5A8E">
              <w:rPr>
                <w:rFonts w:hint="cs"/>
                <w:rtl/>
              </w:rPr>
              <w:t>30 ביוני</w:t>
            </w:r>
          </w:p>
        </w:tc>
        <w:tc>
          <w:tcPr>
            <w:tcW w:w="990" w:type="dxa"/>
            <w:gridSpan w:val="2"/>
            <w:vAlign w:val="bottom"/>
          </w:tcPr>
          <w:p w14:paraId="031451ED" w14:textId="77777777" w:rsidR="00774CD3" w:rsidRPr="000C5A8E" w:rsidRDefault="00774CD3" w:rsidP="00914DF0">
            <w:pPr>
              <w:pStyle w:val="-4"/>
              <w:pBdr>
                <w:bottom w:val="single" w:sz="4" w:space="1" w:color="auto"/>
              </w:pBdr>
              <w:spacing w:line="240" w:lineRule="auto"/>
              <w:rPr>
                <w:rtl/>
              </w:rPr>
            </w:pPr>
            <w:r w:rsidRPr="000C5A8E">
              <w:rPr>
                <w:rFonts w:hint="cs"/>
                <w:rtl/>
              </w:rPr>
              <w:t>ליום 31 בדצמבר</w:t>
            </w:r>
          </w:p>
        </w:tc>
      </w:tr>
      <w:tr w:rsidR="003A6C2A" w:rsidRPr="00543C25" w14:paraId="3DE7EB60" w14:textId="77777777" w:rsidTr="00880B6D">
        <w:trPr>
          <w:gridAfter w:val="1"/>
          <w:wAfter w:w="114" w:type="dxa"/>
        </w:trPr>
        <w:tc>
          <w:tcPr>
            <w:tcW w:w="1247" w:type="dxa"/>
            <w:vAlign w:val="bottom"/>
          </w:tcPr>
          <w:p w14:paraId="7D0D4A05" w14:textId="77777777" w:rsidR="00CF2A74" w:rsidRDefault="00CF2A74" w:rsidP="00914DF0">
            <w:pPr>
              <w:pStyle w:val="-7"/>
              <w:spacing w:line="240" w:lineRule="auto"/>
              <w:jc w:val="left"/>
              <w:rPr>
                <w:spacing w:val="-6"/>
                <w:sz w:val="14"/>
                <w:szCs w:val="14"/>
                <w:rtl/>
              </w:rPr>
            </w:pPr>
          </w:p>
        </w:tc>
        <w:tc>
          <w:tcPr>
            <w:tcW w:w="4479" w:type="dxa"/>
            <w:gridSpan w:val="2"/>
            <w:vAlign w:val="bottom"/>
          </w:tcPr>
          <w:p w14:paraId="01DD8E9E" w14:textId="77777777" w:rsidR="003A6C2A" w:rsidRPr="000C5A8E" w:rsidRDefault="003A6C2A" w:rsidP="00914DF0">
            <w:pPr>
              <w:pStyle w:val="-0"/>
              <w:spacing w:line="240" w:lineRule="auto"/>
              <w:rPr>
                <w:rtl/>
              </w:rPr>
            </w:pPr>
          </w:p>
        </w:tc>
        <w:tc>
          <w:tcPr>
            <w:tcW w:w="996" w:type="dxa"/>
            <w:gridSpan w:val="2"/>
            <w:vAlign w:val="bottom"/>
          </w:tcPr>
          <w:p w14:paraId="2BB4ECFC" w14:textId="77777777" w:rsidR="00B81279" w:rsidRPr="000C5A8E" w:rsidRDefault="00B81279" w:rsidP="00914DF0">
            <w:pPr>
              <w:pStyle w:val="-5"/>
              <w:pBdr>
                <w:bottom w:val="none" w:sz="0" w:space="0" w:color="auto"/>
              </w:pBdr>
              <w:jc w:val="center"/>
              <w:rPr>
                <w:rtl/>
              </w:rPr>
            </w:pPr>
          </w:p>
        </w:tc>
        <w:tc>
          <w:tcPr>
            <w:tcW w:w="1032" w:type="dxa"/>
            <w:gridSpan w:val="2"/>
            <w:vAlign w:val="bottom"/>
          </w:tcPr>
          <w:p w14:paraId="56F4521E" w14:textId="02992CB3" w:rsidR="003A6C2A" w:rsidRPr="00905C12" w:rsidRDefault="00931BF0" w:rsidP="00914A73">
            <w:pPr>
              <w:pStyle w:val="-4"/>
              <w:pBdr>
                <w:bottom w:val="single" w:sz="4" w:space="1" w:color="auto"/>
              </w:pBdr>
              <w:spacing w:line="240" w:lineRule="auto"/>
              <w:rPr>
                <w:rtl/>
              </w:rPr>
            </w:pPr>
            <w:r w:rsidRPr="00905C12">
              <w:rPr>
                <w:rtl/>
              </w:rPr>
              <w:fldChar w:fldCharType="begin"/>
            </w:r>
            <w:r w:rsidRPr="00905C12">
              <w:rPr>
                <w:rtl/>
              </w:rPr>
              <w:instrText xml:space="preserve"> </w:instrText>
            </w:r>
            <w:r w:rsidRPr="00905C12">
              <w:rPr>
                <w:rFonts w:hint="cs"/>
                <w:rtl/>
              </w:rPr>
              <w:instrText xml:space="preserve">= </w:instrText>
            </w:r>
            <w:r w:rsidRPr="00905C12">
              <w:rPr>
                <w:rFonts w:hint="cs"/>
              </w:rPr>
              <w:instrText>CY \* MERGEFORMAT</w:instrText>
            </w:r>
            <w:r w:rsidRPr="00905C12">
              <w:rPr>
                <w:rtl/>
              </w:rPr>
              <w:instrText xml:space="preserve"> </w:instrText>
            </w:r>
            <w:r w:rsidRPr="00905C12">
              <w:rPr>
                <w:rtl/>
              </w:rPr>
              <w:fldChar w:fldCharType="separate"/>
            </w:r>
            <w:r w:rsidR="003A584F">
              <w:rPr>
                <w:noProof/>
                <w:rtl/>
              </w:rPr>
              <w:t>2024</w:t>
            </w:r>
            <w:r w:rsidRPr="00905C12">
              <w:rPr>
                <w:rtl/>
              </w:rPr>
              <w:fldChar w:fldCharType="end"/>
            </w:r>
          </w:p>
        </w:tc>
        <w:tc>
          <w:tcPr>
            <w:tcW w:w="1088" w:type="dxa"/>
            <w:gridSpan w:val="2"/>
            <w:vAlign w:val="bottom"/>
          </w:tcPr>
          <w:p w14:paraId="75FF402E" w14:textId="4A1F608A" w:rsidR="003A6C2A" w:rsidRPr="000C5A8E" w:rsidRDefault="00905C12" w:rsidP="00914A73">
            <w:pPr>
              <w:pStyle w:val="-4"/>
              <w:pBdr>
                <w:bottom w:val="single" w:sz="4" w:space="1" w:color="auto"/>
              </w:pBdr>
              <w:spacing w:line="240" w:lineRule="auto"/>
              <w:rPr>
                <w:rtl/>
              </w:rPr>
            </w:pPr>
            <w:r>
              <w:rPr>
                <w:rtl/>
              </w:rPr>
              <w:fldChar w:fldCharType="begin"/>
            </w:r>
            <w:r>
              <w:rPr>
                <w:rtl/>
              </w:rPr>
              <w:instrText xml:space="preserve"> </w:instrText>
            </w:r>
            <w:r>
              <w:rPr>
                <w:rFonts w:hint="cs"/>
                <w:rtl/>
              </w:rPr>
              <w:instrText>=</w:instrText>
            </w:r>
            <w:r>
              <w:rPr>
                <w:rFonts w:hint="cs"/>
              </w:rPr>
              <w:instrText>cy</w:instrText>
            </w:r>
            <w:r>
              <w:instrText>-1</w:instrText>
            </w:r>
            <w:r>
              <w:rPr>
                <w:rFonts w:hint="cs"/>
              </w:rPr>
              <w:instrText xml:space="preserve"> \* MERGEFORMAT</w:instrText>
            </w:r>
            <w:r>
              <w:rPr>
                <w:rtl/>
              </w:rPr>
              <w:instrText xml:space="preserve"> </w:instrText>
            </w:r>
            <w:r>
              <w:rPr>
                <w:rtl/>
              </w:rPr>
              <w:fldChar w:fldCharType="separate"/>
            </w:r>
            <w:r w:rsidR="003A584F">
              <w:rPr>
                <w:noProof/>
                <w:rtl/>
              </w:rPr>
              <w:t>2023</w:t>
            </w:r>
            <w:r>
              <w:rPr>
                <w:rtl/>
              </w:rPr>
              <w:fldChar w:fldCharType="end"/>
            </w:r>
          </w:p>
        </w:tc>
        <w:tc>
          <w:tcPr>
            <w:tcW w:w="990" w:type="dxa"/>
            <w:gridSpan w:val="2"/>
            <w:vAlign w:val="bottom"/>
          </w:tcPr>
          <w:p w14:paraId="5C4E2B81" w14:textId="6A8E086A" w:rsidR="003A6C2A" w:rsidRPr="000C5A8E" w:rsidRDefault="00905C12" w:rsidP="00914A73">
            <w:pPr>
              <w:pStyle w:val="-4"/>
              <w:pBdr>
                <w:bottom w:val="single" w:sz="4" w:space="1" w:color="auto"/>
              </w:pBdr>
              <w:spacing w:line="240" w:lineRule="auto"/>
              <w:rPr>
                <w:rtl/>
              </w:rPr>
            </w:pPr>
            <w:r>
              <w:rPr>
                <w:rtl/>
              </w:rPr>
              <w:fldChar w:fldCharType="begin"/>
            </w:r>
            <w:r>
              <w:rPr>
                <w:rtl/>
              </w:rPr>
              <w:instrText xml:space="preserve"> </w:instrText>
            </w:r>
            <w:r>
              <w:rPr>
                <w:rFonts w:hint="cs"/>
                <w:rtl/>
              </w:rPr>
              <w:instrText>=</w:instrText>
            </w:r>
            <w:r>
              <w:rPr>
                <w:rFonts w:hint="cs"/>
              </w:rPr>
              <w:instrText>cy</w:instrText>
            </w:r>
            <w:r>
              <w:instrText>-1</w:instrText>
            </w:r>
            <w:r>
              <w:rPr>
                <w:rFonts w:hint="cs"/>
              </w:rPr>
              <w:instrText xml:space="preserve"> \* MERGEFORMAT</w:instrText>
            </w:r>
            <w:r>
              <w:rPr>
                <w:rtl/>
              </w:rPr>
              <w:instrText xml:space="preserve"> </w:instrText>
            </w:r>
            <w:r>
              <w:rPr>
                <w:rtl/>
              </w:rPr>
              <w:fldChar w:fldCharType="separate"/>
            </w:r>
            <w:r w:rsidR="003A584F">
              <w:rPr>
                <w:noProof/>
                <w:rtl/>
              </w:rPr>
              <w:t>2023</w:t>
            </w:r>
            <w:r>
              <w:rPr>
                <w:rtl/>
              </w:rPr>
              <w:fldChar w:fldCharType="end"/>
            </w:r>
          </w:p>
        </w:tc>
      </w:tr>
      <w:tr w:rsidR="00536302" w:rsidRPr="00543C25" w14:paraId="41359BFD" w14:textId="77777777" w:rsidTr="00880B6D">
        <w:trPr>
          <w:gridAfter w:val="1"/>
          <w:wAfter w:w="114" w:type="dxa"/>
        </w:trPr>
        <w:tc>
          <w:tcPr>
            <w:tcW w:w="1247" w:type="dxa"/>
            <w:vAlign w:val="bottom"/>
          </w:tcPr>
          <w:p w14:paraId="053D90DA" w14:textId="77777777" w:rsidR="00CF2A74" w:rsidRDefault="00CF2A74" w:rsidP="00914DF0">
            <w:pPr>
              <w:pStyle w:val="-7"/>
              <w:spacing w:line="240" w:lineRule="auto"/>
              <w:jc w:val="left"/>
              <w:rPr>
                <w:spacing w:val="-6"/>
                <w:sz w:val="14"/>
                <w:szCs w:val="14"/>
                <w:rtl/>
              </w:rPr>
            </w:pPr>
          </w:p>
        </w:tc>
        <w:tc>
          <w:tcPr>
            <w:tcW w:w="4479" w:type="dxa"/>
            <w:gridSpan w:val="2"/>
            <w:vAlign w:val="bottom"/>
          </w:tcPr>
          <w:p w14:paraId="25EABFE8" w14:textId="77777777" w:rsidR="00536302" w:rsidRPr="000C5A8E" w:rsidRDefault="00536302" w:rsidP="00914DF0">
            <w:pPr>
              <w:pStyle w:val="-0"/>
              <w:spacing w:line="240" w:lineRule="auto"/>
              <w:rPr>
                <w:rtl/>
              </w:rPr>
            </w:pPr>
          </w:p>
        </w:tc>
        <w:tc>
          <w:tcPr>
            <w:tcW w:w="996" w:type="dxa"/>
            <w:gridSpan w:val="2"/>
            <w:vAlign w:val="bottom"/>
          </w:tcPr>
          <w:p w14:paraId="39D0F069" w14:textId="77777777" w:rsidR="00B81279" w:rsidRPr="000C5A8E" w:rsidRDefault="00536302" w:rsidP="00914DF0">
            <w:pPr>
              <w:pStyle w:val="-5"/>
              <w:pBdr>
                <w:bottom w:val="single" w:sz="4" w:space="1" w:color="auto"/>
              </w:pBdr>
              <w:jc w:val="center"/>
              <w:rPr>
                <w:rtl/>
              </w:rPr>
            </w:pPr>
            <w:r w:rsidRPr="000C5A8E">
              <w:rPr>
                <w:rFonts w:hint="cs"/>
                <w:rtl/>
              </w:rPr>
              <w:t>ביאור</w:t>
            </w:r>
          </w:p>
        </w:tc>
        <w:tc>
          <w:tcPr>
            <w:tcW w:w="2120" w:type="dxa"/>
            <w:gridSpan w:val="4"/>
            <w:vAlign w:val="bottom"/>
          </w:tcPr>
          <w:p w14:paraId="1FA3D0C7" w14:textId="77777777" w:rsidR="00536302" w:rsidRPr="000C5A8E" w:rsidRDefault="00536302" w:rsidP="00914DF0">
            <w:pPr>
              <w:pStyle w:val="-4"/>
              <w:pBdr>
                <w:bottom w:val="single" w:sz="4" w:space="1" w:color="auto"/>
              </w:pBdr>
              <w:spacing w:line="240" w:lineRule="auto"/>
              <w:rPr>
                <w:rtl/>
              </w:rPr>
            </w:pPr>
            <w:r w:rsidRPr="000C5A8E">
              <w:rPr>
                <w:rFonts w:hint="cs"/>
                <w:rtl/>
              </w:rPr>
              <w:t>בלתי מבוקר</w:t>
            </w:r>
          </w:p>
        </w:tc>
        <w:tc>
          <w:tcPr>
            <w:tcW w:w="990" w:type="dxa"/>
            <w:gridSpan w:val="2"/>
            <w:vAlign w:val="bottom"/>
          </w:tcPr>
          <w:p w14:paraId="6A8D1398" w14:textId="77777777" w:rsidR="00536302" w:rsidRPr="000C5A8E" w:rsidRDefault="00536302" w:rsidP="00914DF0">
            <w:pPr>
              <w:pStyle w:val="-4"/>
              <w:pBdr>
                <w:bottom w:val="single" w:sz="4" w:space="1" w:color="auto"/>
              </w:pBdr>
              <w:spacing w:line="240" w:lineRule="auto"/>
              <w:rPr>
                <w:rtl/>
              </w:rPr>
            </w:pPr>
            <w:r w:rsidRPr="000C5A8E">
              <w:rPr>
                <w:rFonts w:hint="cs"/>
                <w:rtl/>
              </w:rPr>
              <w:t>מבוקר</w:t>
            </w:r>
          </w:p>
        </w:tc>
      </w:tr>
      <w:tr w:rsidR="00536302" w:rsidRPr="00543C25" w14:paraId="2BB34597" w14:textId="77777777" w:rsidTr="00880B6D">
        <w:trPr>
          <w:gridAfter w:val="1"/>
          <w:wAfter w:w="114" w:type="dxa"/>
        </w:trPr>
        <w:tc>
          <w:tcPr>
            <w:tcW w:w="1247" w:type="dxa"/>
            <w:vAlign w:val="bottom"/>
          </w:tcPr>
          <w:p w14:paraId="40AE16B8" w14:textId="6688E033" w:rsidR="00F32A2A" w:rsidRPr="0033077B" w:rsidRDefault="00F32A2A">
            <w:pPr>
              <w:pStyle w:val="-7"/>
              <w:spacing w:before="20" w:line="240" w:lineRule="exact"/>
              <w:jc w:val="left"/>
              <w:rPr>
                <w:i/>
                <w:iCs/>
                <w:spacing w:val="-6"/>
                <w:rtl/>
              </w:rPr>
            </w:pPr>
          </w:p>
        </w:tc>
        <w:tc>
          <w:tcPr>
            <w:tcW w:w="4479" w:type="dxa"/>
            <w:gridSpan w:val="2"/>
            <w:vAlign w:val="bottom"/>
          </w:tcPr>
          <w:p w14:paraId="71AA7A91" w14:textId="77777777" w:rsidR="00F32A2A" w:rsidRDefault="00536302">
            <w:pPr>
              <w:pStyle w:val="-f"/>
              <w:spacing w:before="20" w:line="240" w:lineRule="exact"/>
              <w:rPr>
                <w:rtl/>
              </w:rPr>
            </w:pPr>
            <w:r w:rsidRPr="000C5A8E">
              <w:rPr>
                <w:rtl/>
              </w:rPr>
              <w:t>נכסים</w:t>
            </w:r>
          </w:p>
        </w:tc>
        <w:tc>
          <w:tcPr>
            <w:tcW w:w="996" w:type="dxa"/>
            <w:gridSpan w:val="2"/>
            <w:vAlign w:val="bottom"/>
          </w:tcPr>
          <w:p w14:paraId="342CF1D4" w14:textId="77777777" w:rsidR="00F32A2A" w:rsidRDefault="00F32A2A">
            <w:pPr>
              <w:pStyle w:val="-0"/>
              <w:spacing w:before="20" w:line="240" w:lineRule="exact"/>
              <w:ind w:left="0" w:right="-144" w:firstLine="0"/>
              <w:jc w:val="center"/>
              <w:rPr>
                <w:rtl/>
              </w:rPr>
            </w:pPr>
          </w:p>
        </w:tc>
        <w:tc>
          <w:tcPr>
            <w:tcW w:w="1032" w:type="dxa"/>
            <w:gridSpan w:val="2"/>
            <w:vAlign w:val="bottom"/>
          </w:tcPr>
          <w:p w14:paraId="3B46343F" w14:textId="77777777" w:rsidR="00F32A2A" w:rsidRDefault="00F32A2A">
            <w:pPr>
              <w:spacing w:before="20" w:line="240" w:lineRule="exact"/>
              <w:jc w:val="center"/>
              <w:rPr>
                <w:rtl/>
              </w:rPr>
            </w:pPr>
          </w:p>
        </w:tc>
        <w:tc>
          <w:tcPr>
            <w:tcW w:w="1088" w:type="dxa"/>
            <w:gridSpan w:val="2"/>
            <w:vAlign w:val="bottom"/>
          </w:tcPr>
          <w:p w14:paraId="0F4F33C0" w14:textId="77777777" w:rsidR="00F32A2A" w:rsidRDefault="00F32A2A">
            <w:pPr>
              <w:spacing w:before="20" w:line="240" w:lineRule="exact"/>
              <w:jc w:val="center"/>
              <w:rPr>
                <w:rtl/>
              </w:rPr>
            </w:pPr>
          </w:p>
        </w:tc>
        <w:tc>
          <w:tcPr>
            <w:tcW w:w="990" w:type="dxa"/>
            <w:gridSpan w:val="2"/>
            <w:vAlign w:val="bottom"/>
          </w:tcPr>
          <w:p w14:paraId="6C80FE93" w14:textId="77777777" w:rsidR="00F32A2A" w:rsidRDefault="00F32A2A">
            <w:pPr>
              <w:spacing w:before="20" w:line="240" w:lineRule="exact"/>
              <w:jc w:val="center"/>
              <w:rPr>
                <w:rtl/>
              </w:rPr>
            </w:pPr>
          </w:p>
        </w:tc>
      </w:tr>
      <w:tr w:rsidR="009F35EF" w:rsidRPr="00543C25" w14:paraId="058B195A" w14:textId="77777777" w:rsidTr="00880B6D">
        <w:trPr>
          <w:gridAfter w:val="1"/>
          <w:wAfter w:w="114" w:type="dxa"/>
        </w:trPr>
        <w:tc>
          <w:tcPr>
            <w:tcW w:w="1247" w:type="dxa"/>
          </w:tcPr>
          <w:p w14:paraId="178172D2" w14:textId="77777777" w:rsidR="009F35EF" w:rsidRDefault="009F35EF" w:rsidP="009F35EF">
            <w:pPr>
              <w:pStyle w:val="-7"/>
              <w:bidi w:val="0"/>
              <w:spacing w:line="60" w:lineRule="exact"/>
              <w:rPr>
                <w:spacing w:val="-6"/>
                <w:sz w:val="14"/>
                <w:szCs w:val="14"/>
                <w:rtl/>
              </w:rPr>
            </w:pPr>
          </w:p>
        </w:tc>
        <w:tc>
          <w:tcPr>
            <w:tcW w:w="4479" w:type="dxa"/>
            <w:gridSpan w:val="2"/>
            <w:vAlign w:val="center"/>
          </w:tcPr>
          <w:p w14:paraId="5C1EA845" w14:textId="77777777" w:rsidR="009F35EF" w:rsidRPr="000C5A8E" w:rsidRDefault="009F35EF" w:rsidP="009F35EF">
            <w:pPr>
              <w:pStyle w:val="-b"/>
              <w:bidi w:val="0"/>
              <w:spacing w:line="60" w:lineRule="exact"/>
              <w:jc w:val="both"/>
              <w:rPr>
                <w:rtl/>
              </w:rPr>
            </w:pPr>
          </w:p>
        </w:tc>
        <w:tc>
          <w:tcPr>
            <w:tcW w:w="996" w:type="dxa"/>
            <w:gridSpan w:val="2"/>
            <w:vAlign w:val="bottom"/>
          </w:tcPr>
          <w:p w14:paraId="1F2A51EF" w14:textId="77777777" w:rsidR="009F35EF" w:rsidRPr="000C5A8E" w:rsidRDefault="009F35EF" w:rsidP="009F35EF">
            <w:pPr>
              <w:pStyle w:val="-0"/>
              <w:bidi w:val="0"/>
              <w:spacing w:line="60" w:lineRule="exact"/>
              <w:ind w:left="0" w:firstLine="0"/>
              <w:jc w:val="both"/>
              <w:rPr>
                <w:b/>
                <w:bCs/>
                <w:rtl/>
              </w:rPr>
            </w:pPr>
          </w:p>
        </w:tc>
        <w:tc>
          <w:tcPr>
            <w:tcW w:w="1032" w:type="dxa"/>
            <w:gridSpan w:val="2"/>
            <w:vAlign w:val="bottom"/>
          </w:tcPr>
          <w:p w14:paraId="359602C2" w14:textId="77777777" w:rsidR="009F35EF" w:rsidRPr="000C5A8E" w:rsidRDefault="009F35EF" w:rsidP="009F35EF">
            <w:pPr>
              <w:pStyle w:val="-f1"/>
              <w:pBdr>
                <w:top w:val="none" w:sz="0" w:space="0" w:color="auto"/>
              </w:pBdr>
              <w:bidi w:val="0"/>
              <w:spacing w:line="60" w:lineRule="exact"/>
              <w:jc w:val="both"/>
              <w:rPr>
                <w:rtl/>
              </w:rPr>
            </w:pPr>
          </w:p>
        </w:tc>
        <w:tc>
          <w:tcPr>
            <w:tcW w:w="1088" w:type="dxa"/>
            <w:gridSpan w:val="2"/>
            <w:vAlign w:val="bottom"/>
          </w:tcPr>
          <w:p w14:paraId="56F4AA83" w14:textId="77777777" w:rsidR="009F35EF" w:rsidRPr="000C5A8E" w:rsidRDefault="009F35EF" w:rsidP="009F35EF">
            <w:pPr>
              <w:pStyle w:val="-f1"/>
              <w:pBdr>
                <w:top w:val="none" w:sz="0" w:space="0" w:color="auto"/>
              </w:pBdr>
              <w:bidi w:val="0"/>
              <w:spacing w:line="60" w:lineRule="exact"/>
              <w:jc w:val="both"/>
              <w:rPr>
                <w:rtl/>
              </w:rPr>
            </w:pPr>
          </w:p>
        </w:tc>
        <w:tc>
          <w:tcPr>
            <w:tcW w:w="990" w:type="dxa"/>
            <w:gridSpan w:val="2"/>
            <w:vAlign w:val="bottom"/>
          </w:tcPr>
          <w:p w14:paraId="033E3BDC" w14:textId="77777777" w:rsidR="009F35EF" w:rsidRPr="000C5A8E" w:rsidRDefault="009F35EF" w:rsidP="009F35EF">
            <w:pPr>
              <w:pStyle w:val="-f1"/>
              <w:pBdr>
                <w:top w:val="none" w:sz="0" w:space="0" w:color="auto"/>
              </w:pBdr>
              <w:bidi w:val="0"/>
              <w:spacing w:line="60" w:lineRule="exact"/>
              <w:jc w:val="both"/>
              <w:rPr>
                <w:rtl/>
              </w:rPr>
            </w:pPr>
          </w:p>
        </w:tc>
      </w:tr>
      <w:tr w:rsidR="00536302" w:rsidRPr="00543C25" w14:paraId="30BC9700" w14:textId="77777777" w:rsidTr="00880B6D">
        <w:trPr>
          <w:gridAfter w:val="1"/>
          <w:wAfter w:w="114" w:type="dxa"/>
        </w:trPr>
        <w:tc>
          <w:tcPr>
            <w:tcW w:w="1247" w:type="dxa"/>
            <w:vAlign w:val="bottom"/>
          </w:tcPr>
          <w:p w14:paraId="44584E8A" w14:textId="77777777" w:rsidR="00F32A2A" w:rsidRDefault="00F32A2A">
            <w:pPr>
              <w:pStyle w:val="-7"/>
              <w:spacing w:before="20" w:line="240" w:lineRule="exact"/>
              <w:jc w:val="left"/>
              <w:rPr>
                <w:spacing w:val="-6"/>
                <w:sz w:val="14"/>
                <w:szCs w:val="14"/>
                <w:rtl/>
              </w:rPr>
            </w:pPr>
          </w:p>
        </w:tc>
        <w:tc>
          <w:tcPr>
            <w:tcW w:w="4479" w:type="dxa"/>
            <w:gridSpan w:val="2"/>
            <w:vAlign w:val="bottom"/>
          </w:tcPr>
          <w:p w14:paraId="0AC9E17D" w14:textId="77777777" w:rsidR="00F32A2A" w:rsidRDefault="00536302">
            <w:pPr>
              <w:pStyle w:val="-0"/>
              <w:spacing w:before="20" w:line="240" w:lineRule="exact"/>
              <w:rPr>
                <w:rtl/>
              </w:rPr>
            </w:pPr>
            <w:r w:rsidRPr="000C5A8E">
              <w:rPr>
                <w:rtl/>
              </w:rPr>
              <w:t>מזומנים ופ</w:t>
            </w:r>
            <w:r w:rsidRPr="000C5A8E">
              <w:rPr>
                <w:rFonts w:hint="cs"/>
                <w:rtl/>
              </w:rPr>
              <w:t>י</w:t>
            </w:r>
            <w:r w:rsidRPr="000C5A8E">
              <w:rPr>
                <w:rtl/>
              </w:rPr>
              <w:t>קדונות בבנקים</w:t>
            </w:r>
          </w:p>
        </w:tc>
        <w:tc>
          <w:tcPr>
            <w:tcW w:w="996" w:type="dxa"/>
            <w:gridSpan w:val="2"/>
            <w:vAlign w:val="bottom"/>
          </w:tcPr>
          <w:p w14:paraId="7DDC2909" w14:textId="77777777" w:rsidR="00F32A2A" w:rsidRDefault="00F32A2A">
            <w:pPr>
              <w:pStyle w:val="-0"/>
              <w:spacing w:before="20" w:line="240" w:lineRule="exact"/>
              <w:ind w:left="0" w:right="-144" w:firstLine="0"/>
              <w:jc w:val="center"/>
              <w:rPr>
                <w:rtl/>
              </w:rPr>
            </w:pPr>
          </w:p>
        </w:tc>
        <w:tc>
          <w:tcPr>
            <w:tcW w:w="1032" w:type="dxa"/>
            <w:gridSpan w:val="2"/>
            <w:vAlign w:val="bottom"/>
          </w:tcPr>
          <w:p w14:paraId="021F3A0E" w14:textId="77777777" w:rsidR="00F32A2A" w:rsidRDefault="00536302">
            <w:pPr>
              <w:pStyle w:val="-3"/>
              <w:spacing w:before="20" w:line="240" w:lineRule="exact"/>
              <w:rPr>
                <w:rtl/>
              </w:rPr>
            </w:pPr>
            <w:r w:rsidRPr="000C5A8E">
              <w:rPr>
                <w:rFonts w:hint="cs"/>
                <w:rtl/>
              </w:rPr>
              <w:t xml:space="preserve"> </w:t>
            </w:r>
            <w:r w:rsidRPr="000C5A8E">
              <w:rPr>
                <w:rtl/>
              </w:rPr>
              <w:t>0</w:t>
            </w:r>
          </w:p>
        </w:tc>
        <w:tc>
          <w:tcPr>
            <w:tcW w:w="1088" w:type="dxa"/>
            <w:gridSpan w:val="2"/>
            <w:vAlign w:val="bottom"/>
          </w:tcPr>
          <w:p w14:paraId="0302E143" w14:textId="77777777" w:rsidR="00F32A2A" w:rsidRDefault="00536302">
            <w:pPr>
              <w:pStyle w:val="-3"/>
              <w:spacing w:before="20" w:line="240" w:lineRule="exact"/>
              <w:rPr>
                <w:rtl/>
              </w:rPr>
            </w:pPr>
            <w:r w:rsidRPr="000C5A8E">
              <w:rPr>
                <w:rFonts w:hint="cs"/>
                <w:rtl/>
              </w:rPr>
              <w:t xml:space="preserve"> </w:t>
            </w:r>
            <w:r w:rsidRPr="000C5A8E">
              <w:rPr>
                <w:rtl/>
              </w:rPr>
              <w:t>0</w:t>
            </w:r>
          </w:p>
        </w:tc>
        <w:tc>
          <w:tcPr>
            <w:tcW w:w="990" w:type="dxa"/>
            <w:gridSpan w:val="2"/>
            <w:vAlign w:val="bottom"/>
          </w:tcPr>
          <w:p w14:paraId="20888755" w14:textId="77777777" w:rsidR="00F32A2A" w:rsidRDefault="00536302">
            <w:pPr>
              <w:pStyle w:val="-3"/>
              <w:spacing w:before="20" w:line="240" w:lineRule="exact"/>
              <w:rPr>
                <w:rtl/>
              </w:rPr>
            </w:pPr>
            <w:r w:rsidRPr="000C5A8E">
              <w:rPr>
                <w:rFonts w:hint="cs"/>
                <w:rtl/>
              </w:rPr>
              <w:t xml:space="preserve"> </w:t>
            </w:r>
            <w:r w:rsidRPr="000C5A8E">
              <w:rPr>
                <w:rtl/>
              </w:rPr>
              <w:t>0</w:t>
            </w:r>
          </w:p>
        </w:tc>
      </w:tr>
      <w:tr w:rsidR="00553945" w:rsidRPr="00543C25" w14:paraId="25A85600" w14:textId="77777777" w:rsidTr="00880B6D">
        <w:trPr>
          <w:gridAfter w:val="1"/>
          <w:wAfter w:w="114" w:type="dxa"/>
        </w:trPr>
        <w:tc>
          <w:tcPr>
            <w:tcW w:w="1247" w:type="dxa"/>
            <w:vAlign w:val="bottom"/>
          </w:tcPr>
          <w:p w14:paraId="2C25C46F" w14:textId="77777777" w:rsidR="00553945" w:rsidRDefault="00553945">
            <w:pPr>
              <w:pStyle w:val="-7"/>
              <w:spacing w:before="20" w:line="240" w:lineRule="exact"/>
              <w:jc w:val="left"/>
              <w:rPr>
                <w:spacing w:val="-6"/>
                <w:sz w:val="14"/>
                <w:szCs w:val="14"/>
                <w:rtl/>
              </w:rPr>
            </w:pPr>
          </w:p>
        </w:tc>
        <w:tc>
          <w:tcPr>
            <w:tcW w:w="4479" w:type="dxa"/>
            <w:gridSpan w:val="2"/>
            <w:vAlign w:val="bottom"/>
          </w:tcPr>
          <w:p w14:paraId="3FED9DA8" w14:textId="51A47003" w:rsidR="00553945" w:rsidRPr="00D6649E" w:rsidRDefault="00553945">
            <w:pPr>
              <w:pStyle w:val="-0"/>
              <w:spacing w:before="20" w:line="240" w:lineRule="exact"/>
              <w:rPr>
                <w:u w:val="single"/>
                <w:rtl/>
              </w:rPr>
            </w:pPr>
            <w:r w:rsidRPr="00D6649E">
              <w:rPr>
                <w:rFonts w:hint="eastAsia"/>
                <w:u w:val="single"/>
                <w:rtl/>
              </w:rPr>
              <w:t>ניירות</w:t>
            </w:r>
            <w:r w:rsidRPr="00D6649E">
              <w:rPr>
                <w:u w:val="single"/>
                <w:rtl/>
              </w:rPr>
              <w:t xml:space="preserve"> </w:t>
            </w:r>
            <w:r w:rsidRPr="00D6649E">
              <w:rPr>
                <w:rFonts w:hint="eastAsia"/>
                <w:u w:val="single"/>
                <w:rtl/>
              </w:rPr>
              <w:t>ערך</w:t>
            </w:r>
            <w:r w:rsidR="005B6A5F">
              <w:rPr>
                <w:rFonts w:hint="cs"/>
                <w:u w:val="single"/>
                <w:rtl/>
              </w:rPr>
              <w:t>:</w:t>
            </w:r>
          </w:p>
        </w:tc>
        <w:tc>
          <w:tcPr>
            <w:tcW w:w="996" w:type="dxa"/>
            <w:gridSpan w:val="2"/>
            <w:vAlign w:val="bottom"/>
          </w:tcPr>
          <w:p w14:paraId="19C60CE0" w14:textId="77777777" w:rsidR="00553945" w:rsidRDefault="00553945">
            <w:pPr>
              <w:pStyle w:val="-0"/>
              <w:spacing w:before="20" w:line="240" w:lineRule="exact"/>
              <w:ind w:left="0" w:firstLine="0"/>
              <w:jc w:val="center"/>
              <w:rPr>
                <w:rtl/>
              </w:rPr>
            </w:pPr>
          </w:p>
        </w:tc>
        <w:tc>
          <w:tcPr>
            <w:tcW w:w="1032" w:type="dxa"/>
            <w:gridSpan w:val="2"/>
            <w:vAlign w:val="bottom"/>
          </w:tcPr>
          <w:p w14:paraId="5DE8B4DB" w14:textId="77777777" w:rsidR="00553945" w:rsidRPr="000C5A8E" w:rsidRDefault="00553945">
            <w:pPr>
              <w:pStyle w:val="-3"/>
              <w:spacing w:before="20" w:line="240" w:lineRule="exact"/>
              <w:rPr>
                <w:rtl/>
              </w:rPr>
            </w:pPr>
          </w:p>
        </w:tc>
        <w:tc>
          <w:tcPr>
            <w:tcW w:w="1088" w:type="dxa"/>
            <w:gridSpan w:val="2"/>
            <w:vAlign w:val="bottom"/>
          </w:tcPr>
          <w:p w14:paraId="436F1A56" w14:textId="77777777" w:rsidR="00553945" w:rsidRPr="000C5A8E" w:rsidRDefault="00553945">
            <w:pPr>
              <w:pStyle w:val="-3"/>
              <w:spacing w:before="20" w:line="240" w:lineRule="exact"/>
              <w:rPr>
                <w:rtl/>
              </w:rPr>
            </w:pPr>
          </w:p>
        </w:tc>
        <w:tc>
          <w:tcPr>
            <w:tcW w:w="990" w:type="dxa"/>
            <w:gridSpan w:val="2"/>
            <w:vAlign w:val="bottom"/>
          </w:tcPr>
          <w:p w14:paraId="18523AD9" w14:textId="77777777" w:rsidR="00553945" w:rsidRPr="000C5A8E" w:rsidRDefault="00553945">
            <w:pPr>
              <w:pStyle w:val="-3"/>
              <w:spacing w:before="20" w:line="240" w:lineRule="exact"/>
              <w:rPr>
                <w:rtl/>
              </w:rPr>
            </w:pPr>
          </w:p>
        </w:tc>
      </w:tr>
      <w:tr w:rsidR="00553945" w:rsidRPr="00543C25" w14:paraId="4B436CEF" w14:textId="77777777" w:rsidTr="00880B6D">
        <w:trPr>
          <w:gridAfter w:val="1"/>
          <w:wAfter w:w="114" w:type="dxa"/>
          <w:trHeight w:hRule="exact" w:val="57"/>
        </w:trPr>
        <w:tc>
          <w:tcPr>
            <w:tcW w:w="1247" w:type="dxa"/>
            <w:vAlign w:val="bottom"/>
          </w:tcPr>
          <w:p w14:paraId="5C416F5C" w14:textId="77777777" w:rsidR="00553945" w:rsidRDefault="00553945">
            <w:pPr>
              <w:pStyle w:val="-7"/>
              <w:spacing w:before="20" w:line="240" w:lineRule="exact"/>
              <w:jc w:val="left"/>
              <w:rPr>
                <w:spacing w:val="-6"/>
                <w:sz w:val="14"/>
                <w:szCs w:val="14"/>
                <w:rtl/>
              </w:rPr>
            </w:pPr>
          </w:p>
        </w:tc>
        <w:tc>
          <w:tcPr>
            <w:tcW w:w="4479" w:type="dxa"/>
            <w:gridSpan w:val="2"/>
            <w:vAlign w:val="bottom"/>
          </w:tcPr>
          <w:p w14:paraId="555A0D90" w14:textId="77777777" w:rsidR="00553945" w:rsidRPr="00553945" w:rsidRDefault="00553945">
            <w:pPr>
              <w:pStyle w:val="-0"/>
              <w:spacing w:before="20" w:line="240" w:lineRule="exact"/>
              <w:rPr>
                <w:b/>
                <w:bCs/>
                <w:u w:val="single"/>
                <w:rtl/>
              </w:rPr>
            </w:pPr>
          </w:p>
        </w:tc>
        <w:tc>
          <w:tcPr>
            <w:tcW w:w="996" w:type="dxa"/>
            <w:gridSpan w:val="2"/>
            <w:vAlign w:val="bottom"/>
          </w:tcPr>
          <w:p w14:paraId="7AC731CA" w14:textId="77777777" w:rsidR="00553945" w:rsidRDefault="00553945">
            <w:pPr>
              <w:pStyle w:val="-0"/>
              <w:spacing w:before="20" w:line="240" w:lineRule="exact"/>
              <w:ind w:left="0" w:firstLine="0"/>
              <w:jc w:val="center"/>
              <w:rPr>
                <w:rtl/>
              </w:rPr>
            </w:pPr>
          </w:p>
        </w:tc>
        <w:tc>
          <w:tcPr>
            <w:tcW w:w="1032" w:type="dxa"/>
            <w:gridSpan w:val="2"/>
            <w:vAlign w:val="bottom"/>
          </w:tcPr>
          <w:p w14:paraId="46CE027A" w14:textId="77777777" w:rsidR="00553945" w:rsidRPr="000C5A8E" w:rsidRDefault="00553945">
            <w:pPr>
              <w:pStyle w:val="-3"/>
              <w:spacing w:before="20" w:line="240" w:lineRule="exact"/>
              <w:rPr>
                <w:rtl/>
              </w:rPr>
            </w:pPr>
          </w:p>
        </w:tc>
        <w:tc>
          <w:tcPr>
            <w:tcW w:w="1088" w:type="dxa"/>
            <w:gridSpan w:val="2"/>
            <w:vAlign w:val="bottom"/>
          </w:tcPr>
          <w:p w14:paraId="6841D1F8" w14:textId="77777777" w:rsidR="00553945" w:rsidRPr="000C5A8E" w:rsidRDefault="00553945">
            <w:pPr>
              <w:pStyle w:val="-3"/>
              <w:spacing w:before="20" w:line="240" w:lineRule="exact"/>
              <w:rPr>
                <w:rtl/>
              </w:rPr>
            </w:pPr>
          </w:p>
        </w:tc>
        <w:tc>
          <w:tcPr>
            <w:tcW w:w="990" w:type="dxa"/>
            <w:gridSpan w:val="2"/>
            <w:vAlign w:val="bottom"/>
          </w:tcPr>
          <w:p w14:paraId="4020F428" w14:textId="77777777" w:rsidR="00553945" w:rsidRPr="000C5A8E" w:rsidRDefault="00553945">
            <w:pPr>
              <w:pStyle w:val="-3"/>
              <w:spacing w:before="20" w:line="240" w:lineRule="exact"/>
              <w:rPr>
                <w:rtl/>
              </w:rPr>
            </w:pPr>
          </w:p>
        </w:tc>
      </w:tr>
      <w:tr w:rsidR="00536302" w:rsidRPr="00543C25" w14:paraId="451712DD" w14:textId="77777777" w:rsidTr="00880B6D">
        <w:trPr>
          <w:gridAfter w:val="1"/>
          <w:wAfter w:w="114" w:type="dxa"/>
        </w:trPr>
        <w:tc>
          <w:tcPr>
            <w:tcW w:w="1247" w:type="dxa"/>
            <w:vAlign w:val="bottom"/>
          </w:tcPr>
          <w:p w14:paraId="4DF9A601" w14:textId="77777777" w:rsidR="00F32A2A" w:rsidRDefault="00F32A2A" w:rsidP="00523FC2">
            <w:pPr>
              <w:pStyle w:val="-7"/>
              <w:spacing w:line="240" w:lineRule="auto"/>
              <w:jc w:val="left"/>
              <w:rPr>
                <w:spacing w:val="-6"/>
                <w:sz w:val="14"/>
                <w:szCs w:val="14"/>
                <w:rtl/>
              </w:rPr>
            </w:pPr>
          </w:p>
        </w:tc>
        <w:tc>
          <w:tcPr>
            <w:tcW w:w="4479" w:type="dxa"/>
            <w:gridSpan w:val="2"/>
            <w:vAlign w:val="bottom"/>
          </w:tcPr>
          <w:p w14:paraId="7D624761" w14:textId="047BAA43" w:rsidR="00F32A2A" w:rsidRDefault="007912CE" w:rsidP="00523FC2">
            <w:pPr>
              <w:pStyle w:val="-0"/>
              <w:spacing w:line="240" w:lineRule="auto"/>
              <w:ind w:left="352"/>
              <w:rPr>
                <w:rtl/>
              </w:rPr>
            </w:pPr>
            <w:r>
              <w:rPr>
                <w:rFonts w:hint="cs"/>
                <w:rtl/>
              </w:rPr>
              <w:t>איגרות חוב מוחזקות לפדיון</w:t>
            </w:r>
          </w:p>
        </w:tc>
        <w:tc>
          <w:tcPr>
            <w:tcW w:w="996" w:type="dxa"/>
            <w:gridSpan w:val="2"/>
            <w:vAlign w:val="bottom"/>
          </w:tcPr>
          <w:p w14:paraId="3E595E55" w14:textId="55CDE5EF" w:rsidR="00F32A2A" w:rsidRDefault="00F32A2A" w:rsidP="00523FC2">
            <w:pPr>
              <w:pStyle w:val="-0"/>
              <w:spacing w:line="240" w:lineRule="auto"/>
              <w:ind w:left="0" w:firstLine="0"/>
              <w:jc w:val="center"/>
              <w:rPr>
                <w:rtl/>
              </w:rPr>
            </w:pPr>
          </w:p>
        </w:tc>
        <w:tc>
          <w:tcPr>
            <w:tcW w:w="1032" w:type="dxa"/>
            <w:gridSpan w:val="2"/>
            <w:vAlign w:val="bottom"/>
          </w:tcPr>
          <w:p w14:paraId="0584B3BB" w14:textId="77777777" w:rsidR="00F32A2A" w:rsidRDefault="00536302" w:rsidP="00523FC2">
            <w:pPr>
              <w:pStyle w:val="-3"/>
              <w:spacing w:line="240" w:lineRule="auto"/>
              <w:rPr>
                <w:rtl/>
              </w:rPr>
            </w:pPr>
            <w:r w:rsidRPr="000C5A8E">
              <w:rPr>
                <w:rFonts w:hint="cs"/>
                <w:rtl/>
              </w:rPr>
              <w:t xml:space="preserve"> </w:t>
            </w:r>
            <w:r w:rsidRPr="000C5A8E">
              <w:rPr>
                <w:rtl/>
              </w:rPr>
              <w:t>0</w:t>
            </w:r>
          </w:p>
        </w:tc>
        <w:tc>
          <w:tcPr>
            <w:tcW w:w="1088" w:type="dxa"/>
            <w:gridSpan w:val="2"/>
            <w:vAlign w:val="bottom"/>
          </w:tcPr>
          <w:p w14:paraId="4EEFC009" w14:textId="77777777" w:rsidR="00F32A2A" w:rsidRDefault="00536302" w:rsidP="00523FC2">
            <w:pPr>
              <w:pStyle w:val="-3"/>
              <w:spacing w:line="240" w:lineRule="auto"/>
              <w:rPr>
                <w:rtl/>
              </w:rPr>
            </w:pPr>
            <w:r w:rsidRPr="000C5A8E">
              <w:rPr>
                <w:rFonts w:hint="cs"/>
                <w:rtl/>
              </w:rPr>
              <w:t xml:space="preserve"> </w:t>
            </w:r>
            <w:r w:rsidRPr="000C5A8E">
              <w:rPr>
                <w:rtl/>
              </w:rPr>
              <w:t>0</w:t>
            </w:r>
          </w:p>
        </w:tc>
        <w:tc>
          <w:tcPr>
            <w:tcW w:w="990" w:type="dxa"/>
            <w:gridSpan w:val="2"/>
            <w:vAlign w:val="bottom"/>
          </w:tcPr>
          <w:p w14:paraId="5EA6EE76" w14:textId="77777777" w:rsidR="00F32A2A" w:rsidRDefault="00536302" w:rsidP="00523FC2">
            <w:pPr>
              <w:pStyle w:val="-3"/>
              <w:spacing w:line="240" w:lineRule="auto"/>
              <w:rPr>
                <w:rtl/>
              </w:rPr>
            </w:pPr>
            <w:r w:rsidRPr="000C5A8E">
              <w:rPr>
                <w:rFonts w:hint="cs"/>
                <w:rtl/>
              </w:rPr>
              <w:t xml:space="preserve"> </w:t>
            </w:r>
            <w:r w:rsidRPr="000C5A8E">
              <w:rPr>
                <w:rtl/>
              </w:rPr>
              <w:t>0</w:t>
            </w:r>
          </w:p>
        </w:tc>
      </w:tr>
      <w:tr w:rsidR="007912CE" w:rsidRPr="00543C25" w14:paraId="42DA839C" w14:textId="77777777" w:rsidTr="00880B6D">
        <w:trPr>
          <w:gridAfter w:val="1"/>
          <w:wAfter w:w="114" w:type="dxa"/>
        </w:trPr>
        <w:tc>
          <w:tcPr>
            <w:tcW w:w="1247" w:type="dxa"/>
            <w:vAlign w:val="bottom"/>
          </w:tcPr>
          <w:p w14:paraId="0E8EF38C" w14:textId="77777777" w:rsidR="007912CE" w:rsidRDefault="007912CE" w:rsidP="00523FC2">
            <w:pPr>
              <w:pStyle w:val="-7"/>
              <w:spacing w:line="240" w:lineRule="auto"/>
              <w:jc w:val="left"/>
              <w:rPr>
                <w:spacing w:val="-6"/>
                <w:sz w:val="14"/>
                <w:szCs w:val="14"/>
                <w:rtl/>
              </w:rPr>
            </w:pPr>
          </w:p>
        </w:tc>
        <w:tc>
          <w:tcPr>
            <w:tcW w:w="4479" w:type="dxa"/>
            <w:gridSpan w:val="2"/>
            <w:vAlign w:val="bottom"/>
          </w:tcPr>
          <w:p w14:paraId="1D21F08B" w14:textId="162D14C0" w:rsidR="007912CE" w:rsidRPr="000C5A8E" w:rsidRDefault="007912CE" w:rsidP="00523FC2">
            <w:pPr>
              <w:pStyle w:val="-0"/>
              <w:spacing w:line="240" w:lineRule="auto"/>
              <w:ind w:left="352"/>
              <w:rPr>
                <w:rtl/>
              </w:rPr>
            </w:pPr>
            <w:r>
              <w:rPr>
                <w:rFonts w:hint="cs"/>
                <w:rtl/>
              </w:rPr>
              <w:t>איגרות חוב זמינות למכירה</w:t>
            </w:r>
          </w:p>
        </w:tc>
        <w:tc>
          <w:tcPr>
            <w:tcW w:w="996" w:type="dxa"/>
            <w:gridSpan w:val="2"/>
            <w:vAlign w:val="bottom"/>
          </w:tcPr>
          <w:p w14:paraId="3A15BE31" w14:textId="77777777" w:rsidR="007912CE" w:rsidRDefault="007912CE" w:rsidP="00523FC2">
            <w:pPr>
              <w:pStyle w:val="-0"/>
              <w:spacing w:line="240" w:lineRule="auto"/>
              <w:ind w:left="0" w:firstLine="0"/>
              <w:jc w:val="center"/>
              <w:rPr>
                <w:rtl/>
              </w:rPr>
            </w:pPr>
          </w:p>
        </w:tc>
        <w:tc>
          <w:tcPr>
            <w:tcW w:w="1032" w:type="dxa"/>
            <w:gridSpan w:val="2"/>
            <w:vAlign w:val="bottom"/>
          </w:tcPr>
          <w:p w14:paraId="6F2E3264" w14:textId="6243FC18" w:rsidR="007912CE" w:rsidRPr="000C5A8E" w:rsidRDefault="007912CE" w:rsidP="00523FC2">
            <w:pPr>
              <w:pStyle w:val="-3"/>
              <w:spacing w:line="240" w:lineRule="auto"/>
              <w:rPr>
                <w:rtl/>
              </w:rPr>
            </w:pPr>
            <w:r w:rsidRPr="000C5A8E">
              <w:rPr>
                <w:rFonts w:hint="cs"/>
                <w:rtl/>
              </w:rPr>
              <w:t xml:space="preserve"> </w:t>
            </w:r>
            <w:r w:rsidRPr="000C5A8E">
              <w:rPr>
                <w:rtl/>
              </w:rPr>
              <w:t>0</w:t>
            </w:r>
          </w:p>
        </w:tc>
        <w:tc>
          <w:tcPr>
            <w:tcW w:w="1088" w:type="dxa"/>
            <w:gridSpan w:val="2"/>
            <w:vAlign w:val="bottom"/>
          </w:tcPr>
          <w:p w14:paraId="5A50294D" w14:textId="652B1975" w:rsidR="007912CE" w:rsidRPr="000C5A8E" w:rsidRDefault="007912CE" w:rsidP="00523FC2">
            <w:pPr>
              <w:pStyle w:val="-3"/>
              <w:spacing w:line="240" w:lineRule="auto"/>
              <w:rPr>
                <w:rtl/>
              </w:rPr>
            </w:pPr>
            <w:r w:rsidRPr="000C5A8E">
              <w:rPr>
                <w:rFonts w:hint="cs"/>
                <w:rtl/>
              </w:rPr>
              <w:t xml:space="preserve"> </w:t>
            </w:r>
            <w:r w:rsidRPr="000C5A8E">
              <w:rPr>
                <w:rtl/>
              </w:rPr>
              <w:t>0</w:t>
            </w:r>
          </w:p>
        </w:tc>
        <w:tc>
          <w:tcPr>
            <w:tcW w:w="990" w:type="dxa"/>
            <w:gridSpan w:val="2"/>
            <w:vAlign w:val="bottom"/>
          </w:tcPr>
          <w:p w14:paraId="504D5C4B" w14:textId="417C7731" w:rsidR="007912CE" w:rsidRPr="000C5A8E" w:rsidRDefault="007912CE" w:rsidP="00523FC2">
            <w:pPr>
              <w:pStyle w:val="-3"/>
              <w:spacing w:line="240" w:lineRule="auto"/>
              <w:rPr>
                <w:rtl/>
              </w:rPr>
            </w:pPr>
            <w:r w:rsidRPr="000C5A8E">
              <w:rPr>
                <w:rFonts w:hint="cs"/>
                <w:rtl/>
              </w:rPr>
              <w:t xml:space="preserve"> </w:t>
            </w:r>
            <w:r w:rsidRPr="000C5A8E">
              <w:rPr>
                <w:rtl/>
              </w:rPr>
              <w:t>0</w:t>
            </w:r>
          </w:p>
        </w:tc>
      </w:tr>
      <w:tr w:rsidR="007912CE" w:rsidRPr="00543C25" w14:paraId="4491E36A" w14:textId="77777777" w:rsidTr="00880B6D">
        <w:trPr>
          <w:gridAfter w:val="1"/>
          <w:wAfter w:w="114" w:type="dxa"/>
        </w:trPr>
        <w:tc>
          <w:tcPr>
            <w:tcW w:w="1247" w:type="dxa"/>
            <w:vAlign w:val="bottom"/>
          </w:tcPr>
          <w:p w14:paraId="2EFCC1F7" w14:textId="77777777" w:rsidR="007912CE" w:rsidRDefault="007912CE" w:rsidP="00523FC2">
            <w:pPr>
              <w:pStyle w:val="-7"/>
              <w:spacing w:line="240" w:lineRule="auto"/>
              <w:jc w:val="left"/>
              <w:rPr>
                <w:spacing w:val="-6"/>
                <w:sz w:val="14"/>
                <w:szCs w:val="14"/>
                <w:rtl/>
              </w:rPr>
            </w:pPr>
          </w:p>
        </w:tc>
        <w:tc>
          <w:tcPr>
            <w:tcW w:w="4479" w:type="dxa"/>
            <w:gridSpan w:val="2"/>
            <w:vAlign w:val="bottom"/>
          </w:tcPr>
          <w:p w14:paraId="31A9FA7F" w14:textId="62F006E7" w:rsidR="007912CE" w:rsidRPr="000C5A8E" w:rsidRDefault="007912CE" w:rsidP="00523FC2">
            <w:pPr>
              <w:pStyle w:val="-0"/>
              <w:spacing w:line="240" w:lineRule="auto"/>
              <w:ind w:left="352"/>
              <w:rPr>
                <w:rtl/>
              </w:rPr>
            </w:pPr>
            <w:r>
              <w:rPr>
                <w:rFonts w:hint="cs"/>
                <w:rtl/>
              </w:rPr>
              <w:t>מניות שאינן למסחר</w:t>
            </w:r>
          </w:p>
        </w:tc>
        <w:tc>
          <w:tcPr>
            <w:tcW w:w="996" w:type="dxa"/>
            <w:gridSpan w:val="2"/>
            <w:vAlign w:val="bottom"/>
          </w:tcPr>
          <w:p w14:paraId="60FBA4D7" w14:textId="77777777" w:rsidR="007912CE" w:rsidRDefault="007912CE" w:rsidP="00523FC2">
            <w:pPr>
              <w:pStyle w:val="-0"/>
              <w:spacing w:line="240" w:lineRule="auto"/>
              <w:ind w:left="0" w:firstLine="0"/>
              <w:jc w:val="center"/>
              <w:rPr>
                <w:rtl/>
              </w:rPr>
            </w:pPr>
          </w:p>
        </w:tc>
        <w:tc>
          <w:tcPr>
            <w:tcW w:w="1032" w:type="dxa"/>
            <w:gridSpan w:val="2"/>
            <w:vAlign w:val="bottom"/>
          </w:tcPr>
          <w:p w14:paraId="30EFA99E" w14:textId="635E0D7D" w:rsidR="007912CE" w:rsidRPr="000C5A8E" w:rsidRDefault="007912CE" w:rsidP="00523FC2">
            <w:pPr>
              <w:pStyle w:val="-3"/>
              <w:spacing w:line="240" w:lineRule="auto"/>
              <w:rPr>
                <w:rtl/>
              </w:rPr>
            </w:pPr>
            <w:r w:rsidRPr="000C5A8E">
              <w:rPr>
                <w:rFonts w:hint="cs"/>
                <w:rtl/>
              </w:rPr>
              <w:t xml:space="preserve"> </w:t>
            </w:r>
            <w:r w:rsidRPr="000C5A8E">
              <w:rPr>
                <w:rtl/>
              </w:rPr>
              <w:t>0</w:t>
            </w:r>
          </w:p>
        </w:tc>
        <w:tc>
          <w:tcPr>
            <w:tcW w:w="1088" w:type="dxa"/>
            <w:gridSpan w:val="2"/>
            <w:vAlign w:val="bottom"/>
          </w:tcPr>
          <w:p w14:paraId="754AE03F" w14:textId="2A385405" w:rsidR="007912CE" w:rsidRPr="000C5A8E" w:rsidRDefault="007912CE" w:rsidP="00523FC2">
            <w:pPr>
              <w:pStyle w:val="-3"/>
              <w:spacing w:line="240" w:lineRule="auto"/>
              <w:rPr>
                <w:rtl/>
              </w:rPr>
            </w:pPr>
            <w:r w:rsidRPr="000C5A8E">
              <w:rPr>
                <w:rFonts w:hint="cs"/>
                <w:rtl/>
              </w:rPr>
              <w:t xml:space="preserve"> </w:t>
            </w:r>
            <w:r w:rsidRPr="000C5A8E">
              <w:rPr>
                <w:rtl/>
              </w:rPr>
              <w:t>0</w:t>
            </w:r>
          </w:p>
        </w:tc>
        <w:tc>
          <w:tcPr>
            <w:tcW w:w="990" w:type="dxa"/>
            <w:gridSpan w:val="2"/>
            <w:vAlign w:val="bottom"/>
          </w:tcPr>
          <w:p w14:paraId="5489C686" w14:textId="4DFC14F7" w:rsidR="007912CE" w:rsidRPr="000C5A8E" w:rsidRDefault="007912CE" w:rsidP="00523FC2">
            <w:pPr>
              <w:pStyle w:val="-3"/>
              <w:spacing w:line="240" w:lineRule="auto"/>
              <w:rPr>
                <w:rtl/>
              </w:rPr>
            </w:pPr>
            <w:r w:rsidRPr="000C5A8E">
              <w:rPr>
                <w:rFonts w:hint="cs"/>
                <w:rtl/>
              </w:rPr>
              <w:t xml:space="preserve"> </w:t>
            </w:r>
            <w:r w:rsidRPr="000C5A8E">
              <w:rPr>
                <w:rtl/>
              </w:rPr>
              <w:t>0</w:t>
            </w:r>
          </w:p>
        </w:tc>
      </w:tr>
      <w:tr w:rsidR="007912CE" w:rsidRPr="00543C25" w14:paraId="06A640D5" w14:textId="77777777" w:rsidTr="00880B6D">
        <w:trPr>
          <w:gridAfter w:val="1"/>
          <w:wAfter w:w="114" w:type="dxa"/>
        </w:trPr>
        <w:tc>
          <w:tcPr>
            <w:tcW w:w="1247" w:type="dxa"/>
            <w:vAlign w:val="bottom"/>
          </w:tcPr>
          <w:p w14:paraId="51BC1FAB" w14:textId="77777777" w:rsidR="007912CE" w:rsidRDefault="007912CE" w:rsidP="00523FC2">
            <w:pPr>
              <w:pStyle w:val="-7"/>
              <w:spacing w:line="240" w:lineRule="auto"/>
              <w:jc w:val="left"/>
              <w:rPr>
                <w:spacing w:val="-6"/>
                <w:sz w:val="14"/>
                <w:szCs w:val="14"/>
                <w:rtl/>
              </w:rPr>
            </w:pPr>
          </w:p>
        </w:tc>
        <w:tc>
          <w:tcPr>
            <w:tcW w:w="4479" w:type="dxa"/>
            <w:gridSpan w:val="2"/>
            <w:vAlign w:val="bottom"/>
          </w:tcPr>
          <w:p w14:paraId="3917C4E7" w14:textId="2BA9835C" w:rsidR="007912CE" w:rsidRPr="000C5A8E" w:rsidRDefault="007912CE" w:rsidP="00523FC2">
            <w:pPr>
              <w:pStyle w:val="-0"/>
              <w:spacing w:line="240" w:lineRule="auto"/>
              <w:ind w:left="352"/>
              <w:rPr>
                <w:rtl/>
              </w:rPr>
            </w:pPr>
            <w:r>
              <w:rPr>
                <w:rFonts w:hint="cs"/>
                <w:rtl/>
              </w:rPr>
              <w:t>ניירות ערך למסחר</w:t>
            </w:r>
          </w:p>
        </w:tc>
        <w:tc>
          <w:tcPr>
            <w:tcW w:w="996" w:type="dxa"/>
            <w:gridSpan w:val="2"/>
            <w:vAlign w:val="bottom"/>
          </w:tcPr>
          <w:p w14:paraId="5FE9AD54" w14:textId="77777777" w:rsidR="007912CE" w:rsidRDefault="007912CE" w:rsidP="00523FC2">
            <w:pPr>
              <w:pStyle w:val="-0"/>
              <w:spacing w:line="240" w:lineRule="auto"/>
              <w:ind w:left="0" w:firstLine="0"/>
              <w:jc w:val="center"/>
              <w:rPr>
                <w:rtl/>
              </w:rPr>
            </w:pPr>
          </w:p>
        </w:tc>
        <w:tc>
          <w:tcPr>
            <w:tcW w:w="1032" w:type="dxa"/>
            <w:gridSpan w:val="2"/>
            <w:vAlign w:val="bottom"/>
          </w:tcPr>
          <w:p w14:paraId="22AB606F" w14:textId="06660C72" w:rsidR="007912CE" w:rsidRPr="000C5A8E" w:rsidRDefault="007912CE" w:rsidP="00523FC2">
            <w:pPr>
              <w:pStyle w:val="-3"/>
              <w:pBdr>
                <w:bottom w:val="single" w:sz="4" w:space="1" w:color="auto"/>
              </w:pBdr>
              <w:spacing w:line="240" w:lineRule="auto"/>
              <w:rPr>
                <w:rtl/>
              </w:rPr>
            </w:pPr>
            <w:r w:rsidRPr="000C5A8E">
              <w:rPr>
                <w:rFonts w:hint="cs"/>
                <w:rtl/>
              </w:rPr>
              <w:t xml:space="preserve"> </w:t>
            </w:r>
            <w:r w:rsidRPr="000C5A8E">
              <w:rPr>
                <w:rtl/>
              </w:rPr>
              <w:t>0</w:t>
            </w:r>
          </w:p>
        </w:tc>
        <w:tc>
          <w:tcPr>
            <w:tcW w:w="1088" w:type="dxa"/>
            <w:gridSpan w:val="2"/>
            <w:vAlign w:val="bottom"/>
          </w:tcPr>
          <w:p w14:paraId="239F51E6" w14:textId="13F8154F" w:rsidR="007912CE" w:rsidRPr="000C5A8E" w:rsidRDefault="007912CE" w:rsidP="00523FC2">
            <w:pPr>
              <w:pStyle w:val="-3"/>
              <w:pBdr>
                <w:bottom w:val="single" w:sz="4" w:space="1" w:color="auto"/>
              </w:pBdr>
              <w:spacing w:line="240" w:lineRule="auto"/>
              <w:rPr>
                <w:rtl/>
              </w:rPr>
            </w:pPr>
            <w:r w:rsidRPr="000C5A8E">
              <w:rPr>
                <w:rFonts w:hint="cs"/>
                <w:rtl/>
              </w:rPr>
              <w:t xml:space="preserve"> </w:t>
            </w:r>
            <w:r w:rsidRPr="000C5A8E">
              <w:rPr>
                <w:rtl/>
              </w:rPr>
              <w:t>0</w:t>
            </w:r>
          </w:p>
        </w:tc>
        <w:tc>
          <w:tcPr>
            <w:tcW w:w="990" w:type="dxa"/>
            <w:gridSpan w:val="2"/>
            <w:vAlign w:val="bottom"/>
          </w:tcPr>
          <w:p w14:paraId="3215BAA6" w14:textId="2F562B67" w:rsidR="007912CE" w:rsidRPr="000C5A8E" w:rsidRDefault="007912CE" w:rsidP="00523FC2">
            <w:pPr>
              <w:pStyle w:val="-3"/>
              <w:pBdr>
                <w:bottom w:val="single" w:sz="4" w:space="1" w:color="auto"/>
              </w:pBdr>
              <w:spacing w:line="240" w:lineRule="auto"/>
              <w:rPr>
                <w:rtl/>
              </w:rPr>
            </w:pPr>
            <w:r w:rsidRPr="000C5A8E">
              <w:rPr>
                <w:rFonts w:hint="cs"/>
                <w:rtl/>
              </w:rPr>
              <w:t xml:space="preserve"> </w:t>
            </w:r>
            <w:r w:rsidRPr="000C5A8E">
              <w:rPr>
                <w:rtl/>
              </w:rPr>
              <w:t>0</w:t>
            </w:r>
          </w:p>
        </w:tc>
      </w:tr>
      <w:tr w:rsidR="007912CE" w:rsidRPr="00543C25" w14:paraId="72795E75" w14:textId="77777777" w:rsidTr="00880B6D">
        <w:trPr>
          <w:gridAfter w:val="1"/>
          <w:wAfter w:w="114" w:type="dxa"/>
        </w:trPr>
        <w:tc>
          <w:tcPr>
            <w:tcW w:w="1247" w:type="dxa"/>
            <w:vAlign w:val="bottom"/>
          </w:tcPr>
          <w:p w14:paraId="3996018D" w14:textId="77777777" w:rsidR="007912CE" w:rsidRDefault="007912CE" w:rsidP="007912CE">
            <w:pPr>
              <w:pStyle w:val="-7"/>
              <w:spacing w:before="20" w:line="240" w:lineRule="exact"/>
              <w:jc w:val="left"/>
              <w:rPr>
                <w:spacing w:val="-6"/>
                <w:sz w:val="14"/>
                <w:szCs w:val="14"/>
                <w:rtl/>
              </w:rPr>
            </w:pPr>
          </w:p>
        </w:tc>
        <w:tc>
          <w:tcPr>
            <w:tcW w:w="4479" w:type="dxa"/>
            <w:gridSpan w:val="2"/>
            <w:vAlign w:val="bottom"/>
          </w:tcPr>
          <w:p w14:paraId="4AC65F8E" w14:textId="193BBA51" w:rsidR="007912CE" w:rsidRPr="000C5A8E" w:rsidRDefault="007912CE" w:rsidP="000F5314">
            <w:pPr>
              <w:pStyle w:val="-0"/>
              <w:spacing w:before="20" w:line="240" w:lineRule="exact"/>
              <w:rPr>
                <w:rtl/>
              </w:rPr>
            </w:pPr>
            <w:r>
              <w:rPr>
                <w:rFonts w:hint="cs"/>
                <w:rtl/>
              </w:rPr>
              <w:t>סך הכל ניירות ערך</w:t>
            </w:r>
            <w:r>
              <w:rPr>
                <w:rFonts w:hint="cs"/>
                <w:sz w:val="18"/>
                <w:szCs w:val="18"/>
                <w:vertAlign w:val="superscript"/>
                <w:rtl/>
              </w:rPr>
              <w:t>(</w:t>
            </w:r>
            <w:r w:rsidRPr="000C5A8E">
              <w:rPr>
                <w:rFonts w:hint="cs"/>
                <w:sz w:val="18"/>
                <w:szCs w:val="18"/>
                <w:vertAlign w:val="superscript"/>
                <w:rtl/>
              </w:rPr>
              <w:t>א)</w:t>
            </w:r>
          </w:p>
        </w:tc>
        <w:tc>
          <w:tcPr>
            <w:tcW w:w="996" w:type="dxa"/>
            <w:gridSpan w:val="2"/>
            <w:vAlign w:val="bottom"/>
          </w:tcPr>
          <w:p w14:paraId="374CA28D" w14:textId="6F4B0596" w:rsidR="007912CE" w:rsidRDefault="007912CE" w:rsidP="007912CE">
            <w:pPr>
              <w:pStyle w:val="-0"/>
              <w:spacing w:before="20" w:line="240" w:lineRule="exact"/>
              <w:ind w:left="0" w:firstLine="0"/>
              <w:jc w:val="center"/>
              <w:rPr>
                <w:rtl/>
              </w:rPr>
            </w:pPr>
            <w:r>
              <w:rPr>
                <w:rFonts w:hint="cs"/>
                <w:rtl/>
              </w:rPr>
              <w:t>5</w:t>
            </w:r>
          </w:p>
        </w:tc>
        <w:tc>
          <w:tcPr>
            <w:tcW w:w="1032" w:type="dxa"/>
            <w:gridSpan w:val="2"/>
            <w:vAlign w:val="bottom"/>
          </w:tcPr>
          <w:p w14:paraId="1204DE81" w14:textId="0A3BCEB4" w:rsidR="007912CE" w:rsidRPr="000C5A8E" w:rsidRDefault="007912CE" w:rsidP="007912CE">
            <w:pPr>
              <w:pStyle w:val="-3"/>
              <w:spacing w:before="20" w:line="240" w:lineRule="exact"/>
              <w:rPr>
                <w:rtl/>
              </w:rPr>
            </w:pPr>
            <w:r w:rsidRPr="000C5A8E">
              <w:rPr>
                <w:rFonts w:hint="cs"/>
                <w:rtl/>
              </w:rPr>
              <w:t xml:space="preserve"> </w:t>
            </w:r>
            <w:r w:rsidRPr="000C5A8E">
              <w:rPr>
                <w:rtl/>
              </w:rPr>
              <w:t>0</w:t>
            </w:r>
          </w:p>
        </w:tc>
        <w:tc>
          <w:tcPr>
            <w:tcW w:w="1088" w:type="dxa"/>
            <w:gridSpan w:val="2"/>
            <w:vAlign w:val="bottom"/>
          </w:tcPr>
          <w:p w14:paraId="5FD8C830" w14:textId="33759440" w:rsidR="007912CE" w:rsidRPr="000C5A8E" w:rsidRDefault="007912CE" w:rsidP="007912CE">
            <w:pPr>
              <w:pStyle w:val="-3"/>
              <w:spacing w:before="20" w:line="240" w:lineRule="exact"/>
              <w:rPr>
                <w:rtl/>
              </w:rPr>
            </w:pPr>
            <w:r w:rsidRPr="000C5A8E">
              <w:rPr>
                <w:rFonts w:hint="cs"/>
                <w:rtl/>
              </w:rPr>
              <w:t xml:space="preserve"> </w:t>
            </w:r>
            <w:r w:rsidRPr="000C5A8E">
              <w:rPr>
                <w:rtl/>
              </w:rPr>
              <w:t>0</w:t>
            </w:r>
          </w:p>
        </w:tc>
        <w:tc>
          <w:tcPr>
            <w:tcW w:w="990" w:type="dxa"/>
            <w:gridSpan w:val="2"/>
            <w:vAlign w:val="bottom"/>
          </w:tcPr>
          <w:p w14:paraId="1A84C4AA" w14:textId="40C53251" w:rsidR="007912CE" w:rsidRPr="000C5A8E" w:rsidRDefault="007912CE" w:rsidP="007912CE">
            <w:pPr>
              <w:pStyle w:val="-3"/>
              <w:spacing w:before="20" w:line="240" w:lineRule="exact"/>
              <w:rPr>
                <w:rtl/>
              </w:rPr>
            </w:pPr>
            <w:r w:rsidRPr="000C5A8E">
              <w:rPr>
                <w:rFonts w:hint="cs"/>
                <w:rtl/>
              </w:rPr>
              <w:t xml:space="preserve"> </w:t>
            </w:r>
            <w:r w:rsidRPr="000C5A8E">
              <w:rPr>
                <w:rtl/>
              </w:rPr>
              <w:t>0</w:t>
            </w:r>
          </w:p>
        </w:tc>
      </w:tr>
      <w:tr w:rsidR="00536302" w:rsidRPr="00543C25" w14:paraId="739F8FB8" w14:textId="77777777" w:rsidTr="00645B38">
        <w:trPr>
          <w:gridAfter w:val="1"/>
          <w:wAfter w:w="114" w:type="dxa"/>
        </w:trPr>
        <w:tc>
          <w:tcPr>
            <w:tcW w:w="1247" w:type="dxa"/>
            <w:vAlign w:val="bottom"/>
          </w:tcPr>
          <w:p w14:paraId="213B74A4" w14:textId="77777777" w:rsidR="00F32A2A" w:rsidRDefault="00F32A2A">
            <w:pPr>
              <w:pStyle w:val="-7"/>
              <w:spacing w:before="20" w:line="240" w:lineRule="exact"/>
              <w:jc w:val="left"/>
              <w:rPr>
                <w:spacing w:val="-6"/>
                <w:sz w:val="14"/>
                <w:szCs w:val="14"/>
                <w:rtl/>
              </w:rPr>
            </w:pPr>
          </w:p>
        </w:tc>
        <w:tc>
          <w:tcPr>
            <w:tcW w:w="4479" w:type="dxa"/>
            <w:gridSpan w:val="2"/>
            <w:vAlign w:val="center"/>
          </w:tcPr>
          <w:p w14:paraId="00F66E94" w14:textId="77777777" w:rsidR="00F32A2A" w:rsidRDefault="00536302" w:rsidP="00645B38">
            <w:pPr>
              <w:pStyle w:val="-0"/>
              <w:spacing w:line="200" w:lineRule="exact"/>
              <w:ind w:left="142" w:hanging="142"/>
              <w:rPr>
                <w:rtl/>
              </w:rPr>
            </w:pPr>
            <w:r w:rsidRPr="000C5A8E">
              <w:rPr>
                <w:rFonts w:hint="cs"/>
                <w:rtl/>
              </w:rPr>
              <w:t xml:space="preserve">ניירות ערך שנשאלו או נרכשו במסגרת הסכמי מכר חוזר </w:t>
            </w:r>
          </w:p>
        </w:tc>
        <w:tc>
          <w:tcPr>
            <w:tcW w:w="996" w:type="dxa"/>
            <w:gridSpan w:val="2"/>
            <w:vAlign w:val="bottom"/>
          </w:tcPr>
          <w:p w14:paraId="08FCE3AF" w14:textId="77777777" w:rsidR="00F32A2A" w:rsidRDefault="00F32A2A" w:rsidP="0033077B">
            <w:pPr>
              <w:pStyle w:val="-0"/>
              <w:spacing w:before="20" w:after="80" w:line="240" w:lineRule="exact"/>
              <w:ind w:left="0" w:firstLine="0"/>
              <w:jc w:val="center"/>
              <w:rPr>
                <w:rtl/>
              </w:rPr>
            </w:pPr>
          </w:p>
        </w:tc>
        <w:tc>
          <w:tcPr>
            <w:tcW w:w="1032" w:type="dxa"/>
            <w:gridSpan w:val="2"/>
            <w:vAlign w:val="bottom"/>
          </w:tcPr>
          <w:p w14:paraId="68B761BA" w14:textId="77777777" w:rsidR="00F32A2A" w:rsidRDefault="00536302" w:rsidP="0033077B">
            <w:pPr>
              <w:pStyle w:val="-3"/>
              <w:spacing w:before="20" w:after="80" w:line="240" w:lineRule="exact"/>
              <w:rPr>
                <w:rtl/>
              </w:rPr>
            </w:pPr>
            <w:r w:rsidRPr="000C5A8E">
              <w:rPr>
                <w:rFonts w:hint="cs"/>
                <w:rtl/>
              </w:rPr>
              <w:t xml:space="preserve"> </w:t>
            </w:r>
            <w:r w:rsidRPr="000C5A8E">
              <w:rPr>
                <w:rtl/>
              </w:rPr>
              <w:t>0</w:t>
            </w:r>
          </w:p>
        </w:tc>
        <w:tc>
          <w:tcPr>
            <w:tcW w:w="1088" w:type="dxa"/>
            <w:gridSpan w:val="2"/>
            <w:vAlign w:val="bottom"/>
          </w:tcPr>
          <w:p w14:paraId="5E2D07E7" w14:textId="77777777" w:rsidR="00F32A2A" w:rsidRDefault="00536302" w:rsidP="0033077B">
            <w:pPr>
              <w:pStyle w:val="-3"/>
              <w:spacing w:before="20" w:after="80" w:line="240" w:lineRule="exact"/>
              <w:rPr>
                <w:rtl/>
              </w:rPr>
            </w:pPr>
            <w:r w:rsidRPr="000C5A8E">
              <w:rPr>
                <w:rFonts w:hint="cs"/>
                <w:rtl/>
              </w:rPr>
              <w:t xml:space="preserve"> </w:t>
            </w:r>
            <w:r w:rsidRPr="000C5A8E">
              <w:rPr>
                <w:rtl/>
              </w:rPr>
              <w:t>0</w:t>
            </w:r>
          </w:p>
        </w:tc>
        <w:tc>
          <w:tcPr>
            <w:tcW w:w="990" w:type="dxa"/>
            <w:gridSpan w:val="2"/>
            <w:vAlign w:val="bottom"/>
          </w:tcPr>
          <w:p w14:paraId="00951DA9" w14:textId="77777777" w:rsidR="00F32A2A" w:rsidRDefault="00536302" w:rsidP="0033077B">
            <w:pPr>
              <w:pStyle w:val="-3"/>
              <w:spacing w:before="20" w:after="80" w:line="240" w:lineRule="exact"/>
              <w:rPr>
                <w:rtl/>
              </w:rPr>
            </w:pPr>
            <w:r w:rsidRPr="000C5A8E">
              <w:rPr>
                <w:rFonts w:hint="cs"/>
                <w:rtl/>
              </w:rPr>
              <w:t xml:space="preserve"> </w:t>
            </w:r>
            <w:r w:rsidRPr="000C5A8E">
              <w:rPr>
                <w:rtl/>
              </w:rPr>
              <w:t>0</w:t>
            </w:r>
          </w:p>
        </w:tc>
      </w:tr>
      <w:tr w:rsidR="00645B38" w:rsidRPr="00543C25" w14:paraId="3151B172" w14:textId="77777777" w:rsidTr="002E349F">
        <w:trPr>
          <w:gridAfter w:val="1"/>
          <w:wAfter w:w="114" w:type="dxa"/>
          <w:trHeight w:hRule="exact" w:val="227"/>
        </w:trPr>
        <w:tc>
          <w:tcPr>
            <w:tcW w:w="1247" w:type="dxa"/>
            <w:vAlign w:val="bottom"/>
          </w:tcPr>
          <w:p w14:paraId="4B596FF1" w14:textId="77777777" w:rsidR="00645B38" w:rsidRDefault="00645B38" w:rsidP="00645B38">
            <w:pPr>
              <w:pStyle w:val="-fa"/>
              <w:spacing w:before="20" w:line="240" w:lineRule="exact"/>
              <w:ind w:right="0"/>
              <w:rPr>
                <w:rtl/>
              </w:rPr>
            </w:pPr>
          </w:p>
        </w:tc>
        <w:tc>
          <w:tcPr>
            <w:tcW w:w="4479" w:type="dxa"/>
            <w:gridSpan w:val="2"/>
          </w:tcPr>
          <w:p w14:paraId="41285DB9" w14:textId="77777777" w:rsidR="00645B38" w:rsidRDefault="00645B38" w:rsidP="00645B38">
            <w:pPr>
              <w:pStyle w:val="-0"/>
              <w:spacing w:line="200" w:lineRule="exact"/>
              <w:ind w:left="352" w:hanging="142"/>
              <w:rPr>
                <w:rtl/>
              </w:rPr>
            </w:pPr>
            <w:r w:rsidRPr="000C5A8E">
              <w:rPr>
                <w:rtl/>
              </w:rPr>
              <w:t>אשראי לציבור</w:t>
            </w:r>
          </w:p>
        </w:tc>
        <w:tc>
          <w:tcPr>
            <w:tcW w:w="996" w:type="dxa"/>
            <w:gridSpan w:val="2"/>
          </w:tcPr>
          <w:p w14:paraId="44A04EA2" w14:textId="77777777" w:rsidR="00645B38" w:rsidRDefault="00645B38" w:rsidP="00645B38">
            <w:pPr>
              <w:pStyle w:val="-0"/>
              <w:spacing w:line="200" w:lineRule="exact"/>
              <w:ind w:left="0" w:firstLine="0"/>
              <w:rPr>
                <w:rtl/>
              </w:rPr>
            </w:pPr>
            <w:r>
              <w:rPr>
                <w:rFonts w:hint="cs"/>
                <w:rtl/>
              </w:rPr>
              <w:t>6,12</w:t>
            </w:r>
          </w:p>
        </w:tc>
        <w:tc>
          <w:tcPr>
            <w:tcW w:w="1032" w:type="dxa"/>
            <w:gridSpan w:val="2"/>
            <w:vAlign w:val="bottom"/>
          </w:tcPr>
          <w:p w14:paraId="54F5812E" w14:textId="5743129B" w:rsidR="00645B38" w:rsidRDefault="00645B38" w:rsidP="00645B38">
            <w:pPr>
              <w:pStyle w:val="-3"/>
              <w:spacing w:line="200" w:lineRule="exact"/>
              <w:jc w:val="left"/>
              <w:rPr>
                <w:rtl/>
              </w:rPr>
            </w:pPr>
            <w:r w:rsidRPr="000C5A8E">
              <w:rPr>
                <w:rFonts w:hint="cs"/>
                <w:rtl/>
              </w:rPr>
              <w:t xml:space="preserve"> </w:t>
            </w:r>
            <w:r w:rsidRPr="000C5A8E">
              <w:rPr>
                <w:rtl/>
              </w:rPr>
              <w:t>0</w:t>
            </w:r>
          </w:p>
        </w:tc>
        <w:tc>
          <w:tcPr>
            <w:tcW w:w="1088" w:type="dxa"/>
            <w:gridSpan w:val="2"/>
            <w:vAlign w:val="bottom"/>
          </w:tcPr>
          <w:p w14:paraId="6969A3DD" w14:textId="48440789" w:rsidR="00645B38" w:rsidRDefault="00645B38" w:rsidP="00645B38">
            <w:pPr>
              <w:pStyle w:val="-3"/>
              <w:spacing w:line="200" w:lineRule="exact"/>
              <w:jc w:val="left"/>
              <w:rPr>
                <w:rtl/>
              </w:rPr>
            </w:pPr>
            <w:r w:rsidRPr="000C5A8E">
              <w:rPr>
                <w:rFonts w:hint="cs"/>
                <w:rtl/>
              </w:rPr>
              <w:t xml:space="preserve"> </w:t>
            </w:r>
            <w:r w:rsidRPr="000C5A8E">
              <w:rPr>
                <w:rtl/>
              </w:rPr>
              <w:t>0</w:t>
            </w:r>
          </w:p>
        </w:tc>
        <w:tc>
          <w:tcPr>
            <w:tcW w:w="990" w:type="dxa"/>
            <w:gridSpan w:val="2"/>
            <w:vAlign w:val="bottom"/>
          </w:tcPr>
          <w:p w14:paraId="14C0538B" w14:textId="1C69B563" w:rsidR="00645B38" w:rsidRDefault="00645B38" w:rsidP="00645B38">
            <w:pPr>
              <w:pStyle w:val="-3"/>
              <w:spacing w:line="200" w:lineRule="exact"/>
              <w:jc w:val="left"/>
              <w:rPr>
                <w:rtl/>
              </w:rPr>
            </w:pPr>
            <w:r w:rsidRPr="000C5A8E">
              <w:rPr>
                <w:rFonts w:hint="cs"/>
                <w:rtl/>
              </w:rPr>
              <w:t xml:space="preserve"> </w:t>
            </w:r>
            <w:r w:rsidRPr="000C5A8E">
              <w:rPr>
                <w:rtl/>
              </w:rPr>
              <w:t>0</w:t>
            </w:r>
          </w:p>
        </w:tc>
      </w:tr>
      <w:tr w:rsidR="00536302" w:rsidRPr="00543C25" w14:paraId="16BA6364" w14:textId="77777777" w:rsidTr="00645B38">
        <w:trPr>
          <w:gridAfter w:val="1"/>
          <w:wAfter w:w="114" w:type="dxa"/>
          <w:trHeight w:hRule="exact" w:val="223"/>
        </w:trPr>
        <w:tc>
          <w:tcPr>
            <w:tcW w:w="1247" w:type="dxa"/>
            <w:vAlign w:val="bottom"/>
          </w:tcPr>
          <w:p w14:paraId="261133DD" w14:textId="77777777" w:rsidR="00F32A2A" w:rsidRDefault="00F32A2A">
            <w:pPr>
              <w:pStyle w:val="-fa"/>
              <w:spacing w:before="20" w:line="240" w:lineRule="exact"/>
              <w:ind w:right="0"/>
              <w:rPr>
                <w:rtl/>
              </w:rPr>
            </w:pPr>
          </w:p>
        </w:tc>
        <w:tc>
          <w:tcPr>
            <w:tcW w:w="4479" w:type="dxa"/>
            <w:gridSpan w:val="2"/>
          </w:tcPr>
          <w:p w14:paraId="7CFF69C4" w14:textId="77777777" w:rsidR="00F32A2A" w:rsidRDefault="00536302" w:rsidP="00645B38">
            <w:pPr>
              <w:pStyle w:val="-0"/>
              <w:spacing w:line="200" w:lineRule="exact"/>
              <w:ind w:left="352" w:hanging="142"/>
              <w:rPr>
                <w:rtl/>
              </w:rPr>
            </w:pPr>
            <w:r w:rsidRPr="000C5A8E">
              <w:rPr>
                <w:rFonts w:hint="cs"/>
                <w:rtl/>
              </w:rPr>
              <w:t>הפרשה להפסדי אשראי</w:t>
            </w:r>
          </w:p>
        </w:tc>
        <w:tc>
          <w:tcPr>
            <w:tcW w:w="996" w:type="dxa"/>
            <w:gridSpan w:val="2"/>
          </w:tcPr>
          <w:p w14:paraId="6D898527" w14:textId="77777777" w:rsidR="00F32A2A" w:rsidRDefault="00900746" w:rsidP="00645B38">
            <w:pPr>
              <w:pStyle w:val="-0"/>
              <w:spacing w:line="200" w:lineRule="exact"/>
              <w:ind w:left="0" w:firstLine="0"/>
              <w:rPr>
                <w:rtl/>
              </w:rPr>
            </w:pPr>
            <w:r>
              <w:rPr>
                <w:rFonts w:hint="cs"/>
                <w:rtl/>
              </w:rPr>
              <w:t>6,1</w:t>
            </w:r>
            <w:r w:rsidR="00D93D6A">
              <w:rPr>
                <w:rFonts w:hint="cs"/>
                <w:rtl/>
              </w:rPr>
              <w:t>2</w:t>
            </w:r>
          </w:p>
        </w:tc>
        <w:tc>
          <w:tcPr>
            <w:tcW w:w="1032" w:type="dxa"/>
            <w:gridSpan w:val="2"/>
          </w:tcPr>
          <w:p w14:paraId="4FC61A3C" w14:textId="77777777" w:rsidR="00F32A2A" w:rsidRPr="006204C2" w:rsidRDefault="00536302" w:rsidP="00645B38">
            <w:pPr>
              <w:pStyle w:val="-3"/>
              <w:pBdr>
                <w:bottom w:val="single" w:sz="4" w:space="1" w:color="auto"/>
              </w:pBdr>
              <w:spacing w:line="200" w:lineRule="exact"/>
              <w:jc w:val="left"/>
              <w:rPr>
                <w:rtl/>
              </w:rPr>
            </w:pPr>
            <w:r w:rsidRPr="006204C2">
              <w:rPr>
                <w:rFonts w:hint="cs"/>
                <w:rtl/>
              </w:rPr>
              <w:t>(</w:t>
            </w:r>
            <w:r w:rsidRPr="006204C2">
              <w:rPr>
                <w:rtl/>
              </w:rPr>
              <w:t>0</w:t>
            </w:r>
            <w:r w:rsidRPr="006204C2">
              <w:rPr>
                <w:rFonts w:hint="cs"/>
                <w:rtl/>
              </w:rPr>
              <w:t>)</w:t>
            </w:r>
          </w:p>
        </w:tc>
        <w:tc>
          <w:tcPr>
            <w:tcW w:w="1088" w:type="dxa"/>
            <w:gridSpan w:val="2"/>
          </w:tcPr>
          <w:p w14:paraId="7DE94D61" w14:textId="77777777" w:rsidR="00F32A2A" w:rsidRPr="006204C2" w:rsidRDefault="00536302" w:rsidP="00645B38">
            <w:pPr>
              <w:pStyle w:val="-3"/>
              <w:pBdr>
                <w:bottom w:val="single" w:sz="4" w:space="1" w:color="auto"/>
              </w:pBdr>
              <w:spacing w:line="200" w:lineRule="exact"/>
              <w:jc w:val="left"/>
              <w:rPr>
                <w:rtl/>
              </w:rPr>
            </w:pPr>
            <w:r w:rsidRPr="006204C2">
              <w:rPr>
                <w:rFonts w:hint="cs"/>
                <w:rtl/>
              </w:rPr>
              <w:t>(</w:t>
            </w:r>
            <w:r w:rsidRPr="006204C2">
              <w:rPr>
                <w:rtl/>
              </w:rPr>
              <w:t>0</w:t>
            </w:r>
            <w:r w:rsidRPr="006204C2">
              <w:rPr>
                <w:rFonts w:hint="cs"/>
                <w:rtl/>
              </w:rPr>
              <w:t>)</w:t>
            </w:r>
          </w:p>
        </w:tc>
        <w:tc>
          <w:tcPr>
            <w:tcW w:w="990" w:type="dxa"/>
            <w:gridSpan w:val="2"/>
          </w:tcPr>
          <w:p w14:paraId="7A4A7D6B" w14:textId="77777777" w:rsidR="00F32A2A" w:rsidRPr="006204C2" w:rsidRDefault="00536302" w:rsidP="00645B38">
            <w:pPr>
              <w:pStyle w:val="-3"/>
              <w:pBdr>
                <w:bottom w:val="single" w:sz="4" w:space="1" w:color="auto"/>
              </w:pBdr>
              <w:spacing w:line="200" w:lineRule="exact"/>
              <w:jc w:val="left"/>
              <w:rPr>
                <w:rtl/>
              </w:rPr>
            </w:pPr>
            <w:r w:rsidRPr="006204C2">
              <w:rPr>
                <w:rFonts w:hint="cs"/>
                <w:rtl/>
              </w:rPr>
              <w:t>(</w:t>
            </w:r>
            <w:r w:rsidRPr="006204C2">
              <w:rPr>
                <w:rtl/>
              </w:rPr>
              <w:t>0</w:t>
            </w:r>
            <w:r w:rsidRPr="006204C2">
              <w:rPr>
                <w:rFonts w:hint="cs"/>
                <w:rtl/>
              </w:rPr>
              <w:t>)</w:t>
            </w:r>
          </w:p>
        </w:tc>
      </w:tr>
      <w:tr w:rsidR="00536302" w:rsidRPr="00543C25" w14:paraId="5803C131" w14:textId="77777777" w:rsidTr="00880B6D">
        <w:trPr>
          <w:gridAfter w:val="1"/>
          <w:wAfter w:w="114" w:type="dxa"/>
        </w:trPr>
        <w:tc>
          <w:tcPr>
            <w:tcW w:w="1247" w:type="dxa"/>
            <w:vAlign w:val="bottom"/>
          </w:tcPr>
          <w:p w14:paraId="0783AE00" w14:textId="77777777" w:rsidR="00F32A2A" w:rsidRDefault="00F32A2A">
            <w:pPr>
              <w:pStyle w:val="-fa"/>
              <w:spacing w:before="20" w:line="240" w:lineRule="exact"/>
              <w:ind w:right="0"/>
              <w:rPr>
                <w:rtl/>
              </w:rPr>
            </w:pPr>
          </w:p>
        </w:tc>
        <w:tc>
          <w:tcPr>
            <w:tcW w:w="4479" w:type="dxa"/>
            <w:gridSpan w:val="2"/>
            <w:vAlign w:val="center"/>
          </w:tcPr>
          <w:p w14:paraId="61B6F217" w14:textId="3E0C851E" w:rsidR="00F32A2A" w:rsidRPr="00244FD7" w:rsidRDefault="00536302" w:rsidP="000F5314">
            <w:pPr>
              <w:pStyle w:val="-0"/>
              <w:spacing w:before="20" w:line="240" w:lineRule="exact"/>
              <w:rPr>
                <w:vertAlign w:val="superscript"/>
                <w:rtl/>
              </w:rPr>
            </w:pPr>
            <w:r w:rsidRPr="000C5A8E">
              <w:rPr>
                <w:rFonts w:hint="cs"/>
                <w:rtl/>
              </w:rPr>
              <w:t>אשראי לציבור, נט</w:t>
            </w:r>
            <w:r w:rsidR="00244FD7">
              <w:rPr>
                <w:rFonts w:hint="cs"/>
                <w:rtl/>
              </w:rPr>
              <w:t>ו</w:t>
            </w:r>
          </w:p>
        </w:tc>
        <w:tc>
          <w:tcPr>
            <w:tcW w:w="996" w:type="dxa"/>
            <w:gridSpan w:val="2"/>
            <w:vAlign w:val="bottom"/>
          </w:tcPr>
          <w:p w14:paraId="4272501F" w14:textId="77777777" w:rsidR="00F32A2A" w:rsidRDefault="00F32A2A">
            <w:pPr>
              <w:pStyle w:val="-0"/>
              <w:spacing w:before="20" w:line="240" w:lineRule="exact"/>
              <w:ind w:left="0" w:firstLine="0"/>
              <w:jc w:val="center"/>
              <w:rPr>
                <w:rtl/>
              </w:rPr>
            </w:pPr>
          </w:p>
        </w:tc>
        <w:tc>
          <w:tcPr>
            <w:tcW w:w="1032" w:type="dxa"/>
            <w:gridSpan w:val="2"/>
            <w:vAlign w:val="bottom"/>
          </w:tcPr>
          <w:p w14:paraId="36788117" w14:textId="77777777" w:rsidR="00F32A2A" w:rsidRDefault="00536302">
            <w:pPr>
              <w:pStyle w:val="-3"/>
              <w:spacing w:before="20" w:line="240" w:lineRule="exact"/>
              <w:jc w:val="left"/>
              <w:rPr>
                <w:rtl/>
              </w:rPr>
            </w:pPr>
            <w:r w:rsidRPr="000C5A8E">
              <w:rPr>
                <w:rFonts w:hint="cs"/>
                <w:rtl/>
              </w:rPr>
              <w:t xml:space="preserve"> </w:t>
            </w:r>
            <w:r w:rsidRPr="000C5A8E">
              <w:rPr>
                <w:rtl/>
              </w:rPr>
              <w:t>0</w:t>
            </w:r>
          </w:p>
        </w:tc>
        <w:tc>
          <w:tcPr>
            <w:tcW w:w="1088" w:type="dxa"/>
            <w:gridSpan w:val="2"/>
            <w:vAlign w:val="bottom"/>
          </w:tcPr>
          <w:p w14:paraId="47FD224D" w14:textId="77777777" w:rsidR="00F32A2A" w:rsidRDefault="00536302">
            <w:pPr>
              <w:pStyle w:val="-3"/>
              <w:spacing w:before="20" w:line="240" w:lineRule="exact"/>
              <w:jc w:val="left"/>
              <w:rPr>
                <w:rtl/>
              </w:rPr>
            </w:pPr>
            <w:r w:rsidRPr="000C5A8E">
              <w:rPr>
                <w:rFonts w:hint="cs"/>
                <w:rtl/>
              </w:rPr>
              <w:t xml:space="preserve"> </w:t>
            </w:r>
            <w:r w:rsidRPr="000C5A8E">
              <w:rPr>
                <w:rtl/>
              </w:rPr>
              <w:t>0</w:t>
            </w:r>
          </w:p>
        </w:tc>
        <w:tc>
          <w:tcPr>
            <w:tcW w:w="990" w:type="dxa"/>
            <w:gridSpan w:val="2"/>
            <w:vAlign w:val="bottom"/>
          </w:tcPr>
          <w:p w14:paraId="5519C0BC" w14:textId="77777777" w:rsidR="00F32A2A" w:rsidRDefault="00536302">
            <w:pPr>
              <w:pStyle w:val="-3"/>
              <w:spacing w:before="20" w:line="240" w:lineRule="exact"/>
              <w:jc w:val="left"/>
              <w:rPr>
                <w:rtl/>
              </w:rPr>
            </w:pPr>
            <w:r w:rsidRPr="000C5A8E">
              <w:rPr>
                <w:rFonts w:hint="cs"/>
                <w:rtl/>
              </w:rPr>
              <w:t xml:space="preserve"> </w:t>
            </w:r>
            <w:r w:rsidRPr="000C5A8E">
              <w:rPr>
                <w:rtl/>
              </w:rPr>
              <w:t>0</w:t>
            </w:r>
          </w:p>
        </w:tc>
      </w:tr>
      <w:tr w:rsidR="00536302" w:rsidRPr="00543C25" w14:paraId="0ED9A65C" w14:textId="77777777" w:rsidTr="00880B6D">
        <w:trPr>
          <w:gridAfter w:val="1"/>
          <w:wAfter w:w="114" w:type="dxa"/>
        </w:trPr>
        <w:tc>
          <w:tcPr>
            <w:tcW w:w="1247" w:type="dxa"/>
            <w:vAlign w:val="bottom"/>
          </w:tcPr>
          <w:p w14:paraId="231746ED" w14:textId="0448F41D" w:rsidR="00F32A2A" w:rsidRDefault="00F32A2A">
            <w:pPr>
              <w:pStyle w:val="-7"/>
              <w:spacing w:before="20" w:line="240" w:lineRule="exact"/>
              <w:jc w:val="left"/>
              <w:rPr>
                <w:spacing w:val="-6"/>
                <w:sz w:val="14"/>
                <w:szCs w:val="14"/>
                <w:rtl/>
              </w:rPr>
            </w:pPr>
          </w:p>
        </w:tc>
        <w:tc>
          <w:tcPr>
            <w:tcW w:w="4479" w:type="dxa"/>
            <w:gridSpan w:val="2"/>
            <w:vAlign w:val="bottom"/>
          </w:tcPr>
          <w:p w14:paraId="4F08A892" w14:textId="77777777" w:rsidR="00F32A2A" w:rsidRDefault="00536302" w:rsidP="00CB3296">
            <w:pPr>
              <w:pStyle w:val="-0"/>
              <w:spacing w:before="20" w:line="240" w:lineRule="exact"/>
              <w:rPr>
                <w:rtl/>
              </w:rPr>
            </w:pPr>
            <w:r w:rsidRPr="000C5A8E">
              <w:rPr>
                <w:rtl/>
              </w:rPr>
              <w:t>אשראי לממשלה</w:t>
            </w:r>
          </w:p>
        </w:tc>
        <w:tc>
          <w:tcPr>
            <w:tcW w:w="996" w:type="dxa"/>
            <w:gridSpan w:val="2"/>
            <w:vAlign w:val="bottom"/>
          </w:tcPr>
          <w:p w14:paraId="1A37C4E7" w14:textId="77777777" w:rsidR="00F32A2A" w:rsidRDefault="00F32A2A">
            <w:pPr>
              <w:pStyle w:val="-0"/>
              <w:spacing w:before="20" w:line="240" w:lineRule="exact"/>
              <w:ind w:left="0" w:firstLine="0"/>
              <w:jc w:val="center"/>
              <w:rPr>
                <w:rtl/>
              </w:rPr>
            </w:pPr>
          </w:p>
        </w:tc>
        <w:tc>
          <w:tcPr>
            <w:tcW w:w="1032" w:type="dxa"/>
            <w:gridSpan w:val="2"/>
            <w:vAlign w:val="bottom"/>
          </w:tcPr>
          <w:p w14:paraId="68899FEB" w14:textId="77777777" w:rsidR="00F32A2A" w:rsidRDefault="00536302">
            <w:pPr>
              <w:pStyle w:val="-3"/>
              <w:spacing w:before="20" w:line="240" w:lineRule="exact"/>
              <w:rPr>
                <w:rtl/>
              </w:rPr>
            </w:pPr>
            <w:r w:rsidRPr="000C5A8E">
              <w:rPr>
                <w:rFonts w:hint="cs"/>
                <w:rtl/>
              </w:rPr>
              <w:t xml:space="preserve"> </w:t>
            </w:r>
            <w:r w:rsidRPr="000C5A8E">
              <w:rPr>
                <w:rtl/>
              </w:rPr>
              <w:t>0</w:t>
            </w:r>
          </w:p>
        </w:tc>
        <w:tc>
          <w:tcPr>
            <w:tcW w:w="1088" w:type="dxa"/>
            <w:gridSpan w:val="2"/>
            <w:vAlign w:val="bottom"/>
          </w:tcPr>
          <w:p w14:paraId="02C8D796" w14:textId="77777777" w:rsidR="00F32A2A" w:rsidRDefault="00536302">
            <w:pPr>
              <w:pStyle w:val="-3"/>
              <w:spacing w:before="20" w:line="240" w:lineRule="exact"/>
              <w:rPr>
                <w:rtl/>
              </w:rPr>
            </w:pPr>
            <w:r w:rsidRPr="000C5A8E">
              <w:rPr>
                <w:rFonts w:hint="cs"/>
                <w:rtl/>
              </w:rPr>
              <w:t xml:space="preserve"> </w:t>
            </w:r>
            <w:r w:rsidRPr="000C5A8E">
              <w:rPr>
                <w:rtl/>
              </w:rPr>
              <w:t>0</w:t>
            </w:r>
          </w:p>
        </w:tc>
        <w:tc>
          <w:tcPr>
            <w:tcW w:w="990" w:type="dxa"/>
            <w:gridSpan w:val="2"/>
            <w:vAlign w:val="bottom"/>
          </w:tcPr>
          <w:p w14:paraId="6E034778" w14:textId="77777777" w:rsidR="00F32A2A" w:rsidRDefault="00536302">
            <w:pPr>
              <w:pStyle w:val="-3"/>
              <w:spacing w:before="20" w:line="240" w:lineRule="exact"/>
              <w:rPr>
                <w:rtl/>
              </w:rPr>
            </w:pPr>
            <w:r w:rsidRPr="000C5A8E">
              <w:rPr>
                <w:rFonts w:hint="cs"/>
                <w:rtl/>
              </w:rPr>
              <w:t xml:space="preserve"> </w:t>
            </w:r>
            <w:r w:rsidRPr="000C5A8E">
              <w:rPr>
                <w:rtl/>
              </w:rPr>
              <w:t>0</w:t>
            </w:r>
          </w:p>
        </w:tc>
      </w:tr>
      <w:tr w:rsidR="00536302" w:rsidRPr="00543C25" w14:paraId="779A3264" w14:textId="77777777" w:rsidTr="00880B6D">
        <w:trPr>
          <w:gridAfter w:val="1"/>
          <w:wAfter w:w="114" w:type="dxa"/>
        </w:trPr>
        <w:tc>
          <w:tcPr>
            <w:tcW w:w="1247" w:type="dxa"/>
            <w:vAlign w:val="bottom"/>
          </w:tcPr>
          <w:p w14:paraId="4ECFC0DB" w14:textId="77777777" w:rsidR="00F32A2A" w:rsidRDefault="00F32A2A">
            <w:pPr>
              <w:pStyle w:val="-fa"/>
              <w:spacing w:before="20" w:line="240" w:lineRule="exact"/>
              <w:ind w:right="0"/>
              <w:rPr>
                <w:rtl/>
              </w:rPr>
            </w:pPr>
          </w:p>
        </w:tc>
        <w:tc>
          <w:tcPr>
            <w:tcW w:w="4479" w:type="dxa"/>
            <w:gridSpan w:val="2"/>
            <w:vAlign w:val="bottom"/>
          </w:tcPr>
          <w:p w14:paraId="13267C8F" w14:textId="77777777" w:rsidR="00F32A2A" w:rsidRDefault="00536302">
            <w:pPr>
              <w:pStyle w:val="-0"/>
              <w:spacing w:before="20" w:line="240" w:lineRule="exact"/>
              <w:rPr>
                <w:rtl/>
              </w:rPr>
            </w:pPr>
            <w:r w:rsidRPr="000C5A8E">
              <w:rPr>
                <w:rtl/>
              </w:rPr>
              <w:t xml:space="preserve">השקעות בחברות </w:t>
            </w:r>
            <w:r w:rsidR="002623A3" w:rsidRPr="000C5A8E">
              <w:rPr>
                <w:rFonts w:hint="cs"/>
                <w:rtl/>
              </w:rPr>
              <w:t>כלולות</w:t>
            </w:r>
          </w:p>
        </w:tc>
        <w:tc>
          <w:tcPr>
            <w:tcW w:w="996" w:type="dxa"/>
            <w:gridSpan w:val="2"/>
            <w:vAlign w:val="bottom"/>
          </w:tcPr>
          <w:p w14:paraId="46853C1C" w14:textId="77777777" w:rsidR="00F32A2A" w:rsidRDefault="00F32A2A">
            <w:pPr>
              <w:pStyle w:val="-0"/>
              <w:spacing w:before="20" w:line="240" w:lineRule="exact"/>
              <w:ind w:left="0" w:firstLine="0"/>
              <w:jc w:val="center"/>
              <w:rPr>
                <w:rtl/>
              </w:rPr>
            </w:pPr>
          </w:p>
        </w:tc>
        <w:tc>
          <w:tcPr>
            <w:tcW w:w="1032" w:type="dxa"/>
            <w:gridSpan w:val="2"/>
            <w:vAlign w:val="bottom"/>
          </w:tcPr>
          <w:p w14:paraId="005FE6ED" w14:textId="77777777" w:rsidR="00F32A2A" w:rsidRDefault="00536302">
            <w:pPr>
              <w:pStyle w:val="-3"/>
              <w:spacing w:before="20" w:line="240" w:lineRule="exact"/>
              <w:rPr>
                <w:rtl/>
              </w:rPr>
            </w:pPr>
            <w:r w:rsidRPr="000C5A8E">
              <w:rPr>
                <w:rFonts w:hint="cs"/>
                <w:rtl/>
              </w:rPr>
              <w:t xml:space="preserve"> </w:t>
            </w:r>
            <w:r w:rsidRPr="000C5A8E">
              <w:rPr>
                <w:rtl/>
              </w:rPr>
              <w:t>0</w:t>
            </w:r>
          </w:p>
        </w:tc>
        <w:tc>
          <w:tcPr>
            <w:tcW w:w="1088" w:type="dxa"/>
            <w:gridSpan w:val="2"/>
            <w:vAlign w:val="bottom"/>
          </w:tcPr>
          <w:p w14:paraId="7A2AC306" w14:textId="77777777" w:rsidR="00F32A2A" w:rsidRDefault="00536302">
            <w:pPr>
              <w:pStyle w:val="-3"/>
              <w:spacing w:before="20" w:line="240" w:lineRule="exact"/>
              <w:rPr>
                <w:rtl/>
              </w:rPr>
            </w:pPr>
            <w:r w:rsidRPr="000C5A8E">
              <w:rPr>
                <w:rFonts w:hint="cs"/>
                <w:rtl/>
              </w:rPr>
              <w:t xml:space="preserve"> </w:t>
            </w:r>
            <w:r w:rsidRPr="000C5A8E">
              <w:rPr>
                <w:rtl/>
              </w:rPr>
              <w:t>0</w:t>
            </w:r>
          </w:p>
        </w:tc>
        <w:tc>
          <w:tcPr>
            <w:tcW w:w="990" w:type="dxa"/>
            <w:gridSpan w:val="2"/>
            <w:vAlign w:val="bottom"/>
          </w:tcPr>
          <w:p w14:paraId="5588AE79" w14:textId="77777777" w:rsidR="00F32A2A" w:rsidRDefault="00536302">
            <w:pPr>
              <w:pStyle w:val="-3"/>
              <w:spacing w:before="20" w:line="240" w:lineRule="exact"/>
              <w:rPr>
                <w:rtl/>
              </w:rPr>
            </w:pPr>
            <w:r w:rsidRPr="000C5A8E">
              <w:rPr>
                <w:rFonts w:hint="cs"/>
                <w:rtl/>
              </w:rPr>
              <w:t xml:space="preserve"> </w:t>
            </w:r>
            <w:r w:rsidRPr="000C5A8E">
              <w:rPr>
                <w:rtl/>
              </w:rPr>
              <w:t>0</w:t>
            </w:r>
          </w:p>
        </w:tc>
      </w:tr>
      <w:tr w:rsidR="00536302" w:rsidRPr="00543C25" w14:paraId="40DEFBB5" w14:textId="77777777" w:rsidTr="00880B6D">
        <w:trPr>
          <w:gridAfter w:val="1"/>
          <w:wAfter w:w="114" w:type="dxa"/>
        </w:trPr>
        <w:tc>
          <w:tcPr>
            <w:tcW w:w="1247" w:type="dxa"/>
            <w:vAlign w:val="bottom"/>
          </w:tcPr>
          <w:p w14:paraId="718C2FBE" w14:textId="38A613A7" w:rsidR="00F32A2A" w:rsidRDefault="00F32A2A" w:rsidP="00D03C32">
            <w:pPr>
              <w:pStyle w:val="-7"/>
              <w:spacing w:before="20" w:line="240" w:lineRule="exact"/>
              <w:jc w:val="left"/>
              <w:rPr>
                <w:spacing w:val="-6"/>
                <w:sz w:val="14"/>
                <w:szCs w:val="14"/>
                <w:rtl/>
              </w:rPr>
            </w:pPr>
          </w:p>
        </w:tc>
        <w:tc>
          <w:tcPr>
            <w:tcW w:w="4479" w:type="dxa"/>
            <w:gridSpan w:val="2"/>
            <w:vAlign w:val="bottom"/>
          </w:tcPr>
          <w:p w14:paraId="2A109153" w14:textId="7E55EE3F" w:rsidR="00F32A2A" w:rsidRDefault="00536302">
            <w:pPr>
              <w:pStyle w:val="-0"/>
              <w:spacing w:before="20" w:line="240" w:lineRule="exact"/>
              <w:rPr>
                <w:rtl/>
              </w:rPr>
            </w:pPr>
            <w:r w:rsidRPr="000C5A8E">
              <w:rPr>
                <w:rtl/>
              </w:rPr>
              <w:t>בניינים וציוד</w:t>
            </w:r>
            <w:r w:rsidR="001B0045">
              <w:rPr>
                <w:rFonts w:hint="cs"/>
                <w:rtl/>
              </w:rPr>
              <w:t xml:space="preserve"> </w:t>
            </w:r>
          </w:p>
        </w:tc>
        <w:tc>
          <w:tcPr>
            <w:tcW w:w="996" w:type="dxa"/>
            <w:gridSpan w:val="2"/>
            <w:vAlign w:val="bottom"/>
          </w:tcPr>
          <w:p w14:paraId="58A3D606" w14:textId="77777777" w:rsidR="00F32A2A" w:rsidRDefault="00F32A2A">
            <w:pPr>
              <w:pStyle w:val="-0"/>
              <w:spacing w:before="20" w:line="240" w:lineRule="exact"/>
              <w:ind w:left="0" w:firstLine="0"/>
              <w:jc w:val="center"/>
              <w:rPr>
                <w:rtl/>
              </w:rPr>
            </w:pPr>
          </w:p>
        </w:tc>
        <w:tc>
          <w:tcPr>
            <w:tcW w:w="1032" w:type="dxa"/>
            <w:gridSpan w:val="2"/>
            <w:vAlign w:val="bottom"/>
          </w:tcPr>
          <w:p w14:paraId="205678DA" w14:textId="77777777" w:rsidR="00F32A2A" w:rsidRDefault="00536302">
            <w:pPr>
              <w:pStyle w:val="-3"/>
              <w:spacing w:before="20" w:line="240" w:lineRule="exact"/>
              <w:rPr>
                <w:rtl/>
              </w:rPr>
            </w:pPr>
            <w:r w:rsidRPr="000C5A8E">
              <w:rPr>
                <w:rFonts w:hint="cs"/>
                <w:rtl/>
              </w:rPr>
              <w:t xml:space="preserve"> </w:t>
            </w:r>
            <w:r w:rsidRPr="000C5A8E">
              <w:rPr>
                <w:rtl/>
              </w:rPr>
              <w:t>0</w:t>
            </w:r>
          </w:p>
        </w:tc>
        <w:tc>
          <w:tcPr>
            <w:tcW w:w="1088" w:type="dxa"/>
            <w:gridSpan w:val="2"/>
            <w:vAlign w:val="bottom"/>
          </w:tcPr>
          <w:p w14:paraId="3067006A" w14:textId="77777777" w:rsidR="00F32A2A" w:rsidRDefault="00536302">
            <w:pPr>
              <w:pStyle w:val="-3"/>
              <w:spacing w:before="20" w:line="240" w:lineRule="exact"/>
              <w:rPr>
                <w:rtl/>
              </w:rPr>
            </w:pPr>
            <w:r w:rsidRPr="000C5A8E">
              <w:rPr>
                <w:rFonts w:hint="cs"/>
                <w:rtl/>
              </w:rPr>
              <w:t xml:space="preserve"> </w:t>
            </w:r>
            <w:r w:rsidRPr="000C5A8E">
              <w:rPr>
                <w:rtl/>
              </w:rPr>
              <w:t>0</w:t>
            </w:r>
          </w:p>
        </w:tc>
        <w:tc>
          <w:tcPr>
            <w:tcW w:w="990" w:type="dxa"/>
            <w:gridSpan w:val="2"/>
            <w:vAlign w:val="bottom"/>
          </w:tcPr>
          <w:p w14:paraId="7A87A557" w14:textId="77777777" w:rsidR="00F32A2A" w:rsidRDefault="00536302">
            <w:pPr>
              <w:pStyle w:val="-3"/>
              <w:spacing w:before="20" w:line="240" w:lineRule="exact"/>
              <w:rPr>
                <w:rtl/>
              </w:rPr>
            </w:pPr>
            <w:r w:rsidRPr="000C5A8E">
              <w:rPr>
                <w:rFonts w:hint="cs"/>
                <w:rtl/>
              </w:rPr>
              <w:t xml:space="preserve"> </w:t>
            </w:r>
            <w:r w:rsidRPr="000C5A8E">
              <w:rPr>
                <w:rtl/>
              </w:rPr>
              <w:t>0</w:t>
            </w:r>
          </w:p>
        </w:tc>
      </w:tr>
      <w:tr w:rsidR="00536302" w:rsidRPr="00543C25" w14:paraId="09F17C9F" w14:textId="77777777" w:rsidTr="00880B6D">
        <w:trPr>
          <w:gridAfter w:val="1"/>
          <w:wAfter w:w="114" w:type="dxa"/>
        </w:trPr>
        <w:tc>
          <w:tcPr>
            <w:tcW w:w="1247" w:type="dxa"/>
            <w:vAlign w:val="bottom"/>
          </w:tcPr>
          <w:p w14:paraId="456B2765" w14:textId="77777777" w:rsidR="00F32A2A" w:rsidRDefault="00F32A2A">
            <w:pPr>
              <w:pStyle w:val="-7"/>
              <w:spacing w:before="20" w:line="240" w:lineRule="exact"/>
              <w:jc w:val="left"/>
              <w:rPr>
                <w:spacing w:val="-6"/>
                <w:sz w:val="14"/>
                <w:szCs w:val="14"/>
                <w:rtl/>
              </w:rPr>
            </w:pPr>
          </w:p>
        </w:tc>
        <w:tc>
          <w:tcPr>
            <w:tcW w:w="4479" w:type="dxa"/>
            <w:gridSpan w:val="2"/>
            <w:vAlign w:val="bottom"/>
          </w:tcPr>
          <w:p w14:paraId="3AD322F6" w14:textId="77777777" w:rsidR="00F32A2A" w:rsidRDefault="00536302">
            <w:pPr>
              <w:pStyle w:val="-0"/>
              <w:spacing w:before="20" w:line="240" w:lineRule="exact"/>
              <w:rPr>
                <w:rtl/>
              </w:rPr>
            </w:pPr>
            <w:r w:rsidRPr="000C5A8E">
              <w:rPr>
                <w:rtl/>
              </w:rPr>
              <w:t xml:space="preserve">נכסים </w:t>
            </w:r>
            <w:r w:rsidRPr="000C5A8E">
              <w:rPr>
                <w:rFonts w:hint="cs"/>
                <w:rtl/>
              </w:rPr>
              <w:t>בלתי מוחשיים ומוניטין</w:t>
            </w:r>
          </w:p>
        </w:tc>
        <w:tc>
          <w:tcPr>
            <w:tcW w:w="996" w:type="dxa"/>
            <w:gridSpan w:val="2"/>
            <w:vAlign w:val="bottom"/>
          </w:tcPr>
          <w:p w14:paraId="50F105F7" w14:textId="77777777" w:rsidR="00F32A2A" w:rsidRDefault="00F32A2A">
            <w:pPr>
              <w:pStyle w:val="-0"/>
              <w:spacing w:before="20" w:line="240" w:lineRule="exact"/>
              <w:ind w:left="0" w:firstLine="0"/>
              <w:jc w:val="center"/>
              <w:rPr>
                <w:rtl/>
              </w:rPr>
            </w:pPr>
          </w:p>
        </w:tc>
        <w:tc>
          <w:tcPr>
            <w:tcW w:w="1032" w:type="dxa"/>
            <w:gridSpan w:val="2"/>
            <w:vAlign w:val="bottom"/>
          </w:tcPr>
          <w:p w14:paraId="497EC353" w14:textId="77777777" w:rsidR="00F32A2A" w:rsidRDefault="00536302">
            <w:pPr>
              <w:pStyle w:val="-3"/>
              <w:spacing w:before="20" w:line="240" w:lineRule="exact"/>
              <w:rPr>
                <w:rtl/>
              </w:rPr>
            </w:pPr>
            <w:r w:rsidRPr="000C5A8E">
              <w:rPr>
                <w:rFonts w:hint="cs"/>
                <w:rtl/>
              </w:rPr>
              <w:t xml:space="preserve"> </w:t>
            </w:r>
            <w:r w:rsidRPr="000C5A8E">
              <w:rPr>
                <w:rtl/>
              </w:rPr>
              <w:t>0</w:t>
            </w:r>
          </w:p>
        </w:tc>
        <w:tc>
          <w:tcPr>
            <w:tcW w:w="1088" w:type="dxa"/>
            <w:gridSpan w:val="2"/>
            <w:vAlign w:val="bottom"/>
          </w:tcPr>
          <w:p w14:paraId="1F1824E4" w14:textId="77777777" w:rsidR="00F32A2A" w:rsidRDefault="00536302">
            <w:pPr>
              <w:pStyle w:val="-3"/>
              <w:spacing w:before="20" w:line="240" w:lineRule="exact"/>
              <w:rPr>
                <w:rtl/>
              </w:rPr>
            </w:pPr>
            <w:r w:rsidRPr="000C5A8E">
              <w:rPr>
                <w:rFonts w:hint="cs"/>
                <w:rtl/>
              </w:rPr>
              <w:t xml:space="preserve"> </w:t>
            </w:r>
            <w:r w:rsidRPr="000C5A8E">
              <w:rPr>
                <w:rtl/>
              </w:rPr>
              <w:t>0</w:t>
            </w:r>
          </w:p>
        </w:tc>
        <w:tc>
          <w:tcPr>
            <w:tcW w:w="990" w:type="dxa"/>
            <w:gridSpan w:val="2"/>
            <w:vAlign w:val="bottom"/>
          </w:tcPr>
          <w:p w14:paraId="7C4BFB38" w14:textId="77777777" w:rsidR="00F32A2A" w:rsidRDefault="00536302">
            <w:pPr>
              <w:pStyle w:val="-3"/>
              <w:spacing w:before="20" w:line="240" w:lineRule="exact"/>
              <w:rPr>
                <w:rtl/>
              </w:rPr>
            </w:pPr>
            <w:r w:rsidRPr="000C5A8E">
              <w:rPr>
                <w:rFonts w:hint="cs"/>
                <w:rtl/>
              </w:rPr>
              <w:t xml:space="preserve"> </w:t>
            </w:r>
            <w:r w:rsidRPr="000C5A8E">
              <w:rPr>
                <w:rtl/>
              </w:rPr>
              <w:t>0</w:t>
            </w:r>
          </w:p>
        </w:tc>
      </w:tr>
      <w:tr w:rsidR="00536302" w:rsidRPr="00543C25" w14:paraId="1D3443AC" w14:textId="77777777" w:rsidTr="00880B6D">
        <w:trPr>
          <w:gridAfter w:val="1"/>
          <w:wAfter w:w="114" w:type="dxa"/>
        </w:trPr>
        <w:tc>
          <w:tcPr>
            <w:tcW w:w="1247" w:type="dxa"/>
            <w:vAlign w:val="bottom"/>
          </w:tcPr>
          <w:p w14:paraId="10469B2F" w14:textId="77777777" w:rsidR="00F32A2A" w:rsidRDefault="00F32A2A">
            <w:pPr>
              <w:pStyle w:val="-7"/>
              <w:spacing w:before="20" w:line="240" w:lineRule="exact"/>
              <w:jc w:val="left"/>
              <w:rPr>
                <w:spacing w:val="-6"/>
                <w:sz w:val="14"/>
                <w:szCs w:val="14"/>
                <w:rtl/>
              </w:rPr>
            </w:pPr>
          </w:p>
        </w:tc>
        <w:tc>
          <w:tcPr>
            <w:tcW w:w="4479" w:type="dxa"/>
            <w:gridSpan w:val="2"/>
            <w:vAlign w:val="bottom"/>
          </w:tcPr>
          <w:p w14:paraId="7FBC0F1F" w14:textId="77777777" w:rsidR="00F32A2A" w:rsidRDefault="00536302">
            <w:pPr>
              <w:pStyle w:val="-0"/>
              <w:spacing w:before="20" w:line="240" w:lineRule="exact"/>
              <w:rPr>
                <w:rtl/>
              </w:rPr>
            </w:pPr>
            <w:r w:rsidRPr="000C5A8E">
              <w:rPr>
                <w:rFonts w:hint="cs"/>
                <w:rtl/>
              </w:rPr>
              <w:t>נכסים בגין מכשירים נגזרים</w:t>
            </w:r>
          </w:p>
        </w:tc>
        <w:tc>
          <w:tcPr>
            <w:tcW w:w="996" w:type="dxa"/>
            <w:gridSpan w:val="2"/>
            <w:vAlign w:val="bottom"/>
          </w:tcPr>
          <w:p w14:paraId="6C9D092D" w14:textId="77777777" w:rsidR="00F32A2A" w:rsidRDefault="00900746">
            <w:pPr>
              <w:pStyle w:val="-0"/>
              <w:spacing w:before="20" w:line="240" w:lineRule="exact"/>
              <w:ind w:left="0" w:firstLine="0"/>
              <w:jc w:val="center"/>
              <w:rPr>
                <w:rtl/>
              </w:rPr>
            </w:pPr>
            <w:r>
              <w:rPr>
                <w:rFonts w:hint="cs"/>
                <w:rtl/>
              </w:rPr>
              <w:t>10</w:t>
            </w:r>
          </w:p>
        </w:tc>
        <w:tc>
          <w:tcPr>
            <w:tcW w:w="1032" w:type="dxa"/>
            <w:gridSpan w:val="2"/>
            <w:vAlign w:val="bottom"/>
          </w:tcPr>
          <w:p w14:paraId="5F75F95C" w14:textId="77777777" w:rsidR="00F32A2A" w:rsidRDefault="00536302">
            <w:pPr>
              <w:pStyle w:val="-3"/>
              <w:spacing w:before="20" w:line="240" w:lineRule="exact"/>
              <w:rPr>
                <w:rtl/>
              </w:rPr>
            </w:pPr>
            <w:r w:rsidRPr="000C5A8E">
              <w:rPr>
                <w:rFonts w:hint="cs"/>
                <w:rtl/>
              </w:rPr>
              <w:t xml:space="preserve"> </w:t>
            </w:r>
            <w:r w:rsidRPr="000C5A8E">
              <w:rPr>
                <w:rtl/>
              </w:rPr>
              <w:t>0</w:t>
            </w:r>
          </w:p>
        </w:tc>
        <w:tc>
          <w:tcPr>
            <w:tcW w:w="1088" w:type="dxa"/>
            <w:gridSpan w:val="2"/>
            <w:vAlign w:val="bottom"/>
          </w:tcPr>
          <w:p w14:paraId="4BEC1B8F" w14:textId="77777777" w:rsidR="00F32A2A" w:rsidRDefault="00536302">
            <w:pPr>
              <w:pStyle w:val="-3"/>
              <w:spacing w:before="20" w:line="240" w:lineRule="exact"/>
              <w:rPr>
                <w:rtl/>
              </w:rPr>
            </w:pPr>
            <w:r w:rsidRPr="000C5A8E">
              <w:rPr>
                <w:rFonts w:hint="cs"/>
                <w:rtl/>
              </w:rPr>
              <w:t xml:space="preserve"> </w:t>
            </w:r>
            <w:r w:rsidRPr="000C5A8E">
              <w:rPr>
                <w:rtl/>
              </w:rPr>
              <w:t>0</w:t>
            </w:r>
          </w:p>
        </w:tc>
        <w:tc>
          <w:tcPr>
            <w:tcW w:w="990" w:type="dxa"/>
            <w:gridSpan w:val="2"/>
            <w:vAlign w:val="bottom"/>
          </w:tcPr>
          <w:p w14:paraId="3BEA0E52" w14:textId="77777777" w:rsidR="00F32A2A" w:rsidRDefault="00536302">
            <w:pPr>
              <w:pStyle w:val="-3"/>
              <w:spacing w:before="20" w:line="240" w:lineRule="exact"/>
              <w:rPr>
                <w:rtl/>
              </w:rPr>
            </w:pPr>
            <w:r w:rsidRPr="000C5A8E">
              <w:rPr>
                <w:rFonts w:hint="cs"/>
                <w:rtl/>
              </w:rPr>
              <w:t xml:space="preserve"> </w:t>
            </w:r>
            <w:r w:rsidRPr="000C5A8E">
              <w:rPr>
                <w:rtl/>
              </w:rPr>
              <w:t>0</w:t>
            </w:r>
          </w:p>
        </w:tc>
      </w:tr>
      <w:tr w:rsidR="009D5F4D" w:rsidRPr="00543C25" w14:paraId="23E3C576" w14:textId="77777777" w:rsidTr="00880B6D">
        <w:trPr>
          <w:gridAfter w:val="1"/>
          <w:wAfter w:w="114" w:type="dxa"/>
        </w:trPr>
        <w:tc>
          <w:tcPr>
            <w:tcW w:w="1247" w:type="dxa"/>
            <w:vAlign w:val="bottom"/>
          </w:tcPr>
          <w:p w14:paraId="7914D5D4" w14:textId="77777777" w:rsidR="00F32A2A" w:rsidRDefault="00F32A2A">
            <w:pPr>
              <w:pStyle w:val="-fa"/>
              <w:spacing w:before="20" w:line="240" w:lineRule="exact"/>
              <w:ind w:right="0"/>
              <w:rPr>
                <w:rtl/>
              </w:rPr>
            </w:pPr>
          </w:p>
        </w:tc>
        <w:tc>
          <w:tcPr>
            <w:tcW w:w="4479" w:type="dxa"/>
            <w:gridSpan w:val="2"/>
            <w:vAlign w:val="bottom"/>
          </w:tcPr>
          <w:p w14:paraId="2F5C16A2" w14:textId="6CFCB562" w:rsidR="00F32A2A" w:rsidRDefault="009D5F4D" w:rsidP="00D93D6A">
            <w:pPr>
              <w:pStyle w:val="-0"/>
              <w:spacing w:before="20" w:line="240" w:lineRule="exact"/>
              <w:rPr>
                <w:rtl/>
              </w:rPr>
            </w:pPr>
            <w:r w:rsidRPr="000C5A8E">
              <w:rPr>
                <w:rtl/>
              </w:rPr>
              <w:t>נכסים אחרים</w:t>
            </w:r>
          </w:p>
        </w:tc>
        <w:tc>
          <w:tcPr>
            <w:tcW w:w="996" w:type="dxa"/>
            <w:gridSpan w:val="2"/>
            <w:vAlign w:val="bottom"/>
          </w:tcPr>
          <w:p w14:paraId="7ADD1EFD" w14:textId="77777777" w:rsidR="00F32A2A" w:rsidRDefault="00F32A2A">
            <w:pPr>
              <w:pStyle w:val="-0"/>
              <w:spacing w:before="20" w:line="240" w:lineRule="exact"/>
              <w:ind w:left="0" w:firstLine="0"/>
              <w:jc w:val="center"/>
              <w:rPr>
                <w:rtl/>
              </w:rPr>
            </w:pPr>
          </w:p>
        </w:tc>
        <w:tc>
          <w:tcPr>
            <w:tcW w:w="1032" w:type="dxa"/>
            <w:gridSpan w:val="2"/>
            <w:vAlign w:val="bottom"/>
          </w:tcPr>
          <w:p w14:paraId="0FFABD75" w14:textId="77777777" w:rsidR="00F32A2A" w:rsidRDefault="009D5F4D">
            <w:pPr>
              <w:pStyle w:val="-3"/>
              <w:spacing w:before="20" w:line="240" w:lineRule="exact"/>
              <w:rPr>
                <w:rtl/>
              </w:rPr>
            </w:pPr>
            <w:r w:rsidRPr="000C5A8E">
              <w:rPr>
                <w:rFonts w:hint="cs"/>
                <w:rtl/>
              </w:rPr>
              <w:t xml:space="preserve"> </w:t>
            </w:r>
            <w:r w:rsidRPr="000C5A8E">
              <w:rPr>
                <w:rtl/>
              </w:rPr>
              <w:t>0</w:t>
            </w:r>
          </w:p>
        </w:tc>
        <w:tc>
          <w:tcPr>
            <w:tcW w:w="1088" w:type="dxa"/>
            <w:gridSpan w:val="2"/>
            <w:vAlign w:val="bottom"/>
          </w:tcPr>
          <w:p w14:paraId="2142FA90" w14:textId="77777777" w:rsidR="00F32A2A" w:rsidRDefault="009D5F4D">
            <w:pPr>
              <w:pStyle w:val="-3"/>
              <w:spacing w:before="20" w:line="240" w:lineRule="exact"/>
              <w:rPr>
                <w:rtl/>
              </w:rPr>
            </w:pPr>
            <w:r w:rsidRPr="000C5A8E">
              <w:rPr>
                <w:rFonts w:hint="cs"/>
                <w:rtl/>
              </w:rPr>
              <w:t xml:space="preserve"> </w:t>
            </w:r>
            <w:r w:rsidRPr="000C5A8E">
              <w:rPr>
                <w:rtl/>
              </w:rPr>
              <w:t>0</w:t>
            </w:r>
          </w:p>
        </w:tc>
        <w:tc>
          <w:tcPr>
            <w:tcW w:w="990" w:type="dxa"/>
            <w:gridSpan w:val="2"/>
            <w:vAlign w:val="bottom"/>
          </w:tcPr>
          <w:p w14:paraId="21931D9D" w14:textId="77777777" w:rsidR="00F32A2A" w:rsidRDefault="009D5F4D">
            <w:pPr>
              <w:pStyle w:val="-3"/>
              <w:spacing w:before="20" w:line="240" w:lineRule="exact"/>
              <w:rPr>
                <w:rtl/>
              </w:rPr>
            </w:pPr>
            <w:r w:rsidRPr="000C5A8E">
              <w:rPr>
                <w:rFonts w:hint="cs"/>
                <w:rtl/>
              </w:rPr>
              <w:t xml:space="preserve"> </w:t>
            </w:r>
            <w:r w:rsidRPr="000C5A8E">
              <w:rPr>
                <w:rtl/>
              </w:rPr>
              <w:t>0</w:t>
            </w:r>
          </w:p>
        </w:tc>
      </w:tr>
      <w:tr w:rsidR="009D5F4D" w:rsidRPr="00543C25" w14:paraId="77AD0B85" w14:textId="77777777" w:rsidTr="00880B6D">
        <w:trPr>
          <w:gridAfter w:val="1"/>
          <w:wAfter w:w="114" w:type="dxa"/>
        </w:trPr>
        <w:tc>
          <w:tcPr>
            <w:tcW w:w="1247" w:type="dxa"/>
          </w:tcPr>
          <w:p w14:paraId="741B06E5" w14:textId="7DC9BA93" w:rsidR="00F32A2A" w:rsidRPr="00BC2F81" w:rsidRDefault="00F32A2A">
            <w:pPr>
              <w:pStyle w:val="-fa"/>
              <w:spacing w:before="20" w:line="240" w:lineRule="exact"/>
              <w:ind w:right="0"/>
              <w:rPr>
                <w:strike/>
                <w:color w:val="000000"/>
              </w:rPr>
            </w:pPr>
          </w:p>
        </w:tc>
        <w:tc>
          <w:tcPr>
            <w:tcW w:w="4479" w:type="dxa"/>
            <w:gridSpan w:val="2"/>
            <w:vAlign w:val="bottom"/>
          </w:tcPr>
          <w:p w14:paraId="4BE486E3" w14:textId="77777777" w:rsidR="00F32A2A" w:rsidRPr="00BA3459" w:rsidRDefault="009D5F4D" w:rsidP="00C14422">
            <w:pPr>
              <w:pStyle w:val="-0"/>
              <w:spacing w:before="20" w:line="240" w:lineRule="exact"/>
              <w:rPr>
                <w:color w:val="FF0000"/>
              </w:rPr>
            </w:pPr>
            <w:r w:rsidRPr="00BA3459">
              <w:rPr>
                <w:rFonts w:hint="cs"/>
                <w:color w:val="auto"/>
                <w:rtl/>
              </w:rPr>
              <w:t>נכסים המיוחסים לפעילויות שהופסקו (במגזר __)</w:t>
            </w:r>
            <w:r w:rsidRPr="00BC2F81">
              <w:rPr>
                <w:rFonts w:hint="cs"/>
                <w:sz w:val="18"/>
                <w:szCs w:val="18"/>
                <w:vertAlign w:val="superscript"/>
                <w:rtl/>
              </w:rPr>
              <w:t>[</w:t>
            </w:r>
            <w:r w:rsidRPr="00BC2F81">
              <w:rPr>
                <w:rStyle w:val="a7"/>
                <w:color w:val="000000"/>
                <w:sz w:val="18"/>
                <w:szCs w:val="18"/>
                <w:rtl/>
              </w:rPr>
              <w:footnoteReference w:id="14"/>
            </w:r>
            <w:r w:rsidRPr="00BC2F81">
              <w:rPr>
                <w:rFonts w:hint="cs"/>
                <w:sz w:val="18"/>
                <w:szCs w:val="18"/>
                <w:vertAlign w:val="superscript"/>
                <w:rtl/>
              </w:rPr>
              <w:t>]</w:t>
            </w:r>
          </w:p>
        </w:tc>
        <w:tc>
          <w:tcPr>
            <w:tcW w:w="996" w:type="dxa"/>
            <w:gridSpan w:val="2"/>
            <w:vAlign w:val="bottom"/>
          </w:tcPr>
          <w:p w14:paraId="19178A82" w14:textId="269C4E7F" w:rsidR="00F32A2A" w:rsidRDefault="00F32A2A">
            <w:pPr>
              <w:pStyle w:val="-0"/>
              <w:spacing w:before="20" w:line="240" w:lineRule="exact"/>
              <w:ind w:left="0" w:firstLine="0"/>
              <w:jc w:val="center"/>
              <w:rPr>
                <w:rtl/>
              </w:rPr>
            </w:pPr>
          </w:p>
        </w:tc>
        <w:tc>
          <w:tcPr>
            <w:tcW w:w="1032" w:type="dxa"/>
            <w:gridSpan w:val="2"/>
            <w:vAlign w:val="bottom"/>
          </w:tcPr>
          <w:p w14:paraId="3729611D" w14:textId="77777777" w:rsidR="00F32A2A" w:rsidRDefault="009D5F4D">
            <w:pPr>
              <w:pStyle w:val="-3"/>
              <w:spacing w:before="20" w:line="240" w:lineRule="exact"/>
              <w:rPr>
                <w:rtl/>
              </w:rPr>
            </w:pPr>
            <w:r w:rsidRPr="000C5A8E">
              <w:rPr>
                <w:rFonts w:hint="cs"/>
                <w:rtl/>
              </w:rPr>
              <w:t xml:space="preserve"> </w:t>
            </w:r>
            <w:r w:rsidRPr="000C5A8E">
              <w:rPr>
                <w:rtl/>
              </w:rPr>
              <w:t>0</w:t>
            </w:r>
          </w:p>
        </w:tc>
        <w:tc>
          <w:tcPr>
            <w:tcW w:w="1088" w:type="dxa"/>
            <w:gridSpan w:val="2"/>
            <w:vAlign w:val="bottom"/>
          </w:tcPr>
          <w:p w14:paraId="497F5EBD" w14:textId="77777777" w:rsidR="00F32A2A" w:rsidRDefault="009D5F4D">
            <w:pPr>
              <w:pStyle w:val="-3"/>
              <w:spacing w:before="20" w:line="240" w:lineRule="exact"/>
              <w:rPr>
                <w:rtl/>
              </w:rPr>
            </w:pPr>
            <w:r w:rsidRPr="000C5A8E">
              <w:rPr>
                <w:rFonts w:hint="cs"/>
                <w:rtl/>
              </w:rPr>
              <w:t xml:space="preserve"> </w:t>
            </w:r>
            <w:r w:rsidRPr="000C5A8E">
              <w:rPr>
                <w:rtl/>
              </w:rPr>
              <w:t>0</w:t>
            </w:r>
          </w:p>
        </w:tc>
        <w:tc>
          <w:tcPr>
            <w:tcW w:w="990" w:type="dxa"/>
            <w:gridSpan w:val="2"/>
            <w:vAlign w:val="bottom"/>
          </w:tcPr>
          <w:p w14:paraId="36626442" w14:textId="77777777" w:rsidR="00F32A2A" w:rsidRDefault="009D5F4D">
            <w:pPr>
              <w:pStyle w:val="-3"/>
              <w:spacing w:before="20" w:line="240" w:lineRule="exact"/>
              <w:rPr>
                <w:rtl/>
              </w:rPr>
            </w:pPr>
            <w:r w:rsidRPr="000C5A8E">
              <w:rPr>
                <w:rFonts w:hint="cs"/>
                <w:rtl/>
              </w:rPr>
              <w:t xml:space="preserve"> </w:t>
            </w:r>
            <w:r w:rsidRPr="000C5A8E">
              <w:rPr>
                <w:rtl/>
              </w:rPr>
              <w:t>0</w:t>
            </w:r>
          </w:p>
        </w:tc>
      </w:tr>
      <w:tr w:rsidR="009D5F4D" w:rsidRPr="00543C25" w14:paraId="64C9EAD2" w14:textId="77777777" w:rsidTr="00880B6D">
        <w:trPr>
          <w:gridAfter w:val="1"/>
          <w:wAfter w:w="114" w:type="dxa"/>
        </w:trPr>
        <w:tc>
          <w:tcPr>
            <w:tcW w:w="1247" w:type="dxa"/>
          </w:tcPr>
          <w:p w14:paraId="449FDB76" w14:textId="3F078287" w:rsidR="00F32A2A" w:rsidRPr="00BC2F81" w:rsidRDefault="00F32A2A" w:rsidP="004206A1">
            <w:pPr>
              <w:pStyle w:val="-fa"/>
              <w:spacing w:before="20" w:line="240" w:lineRule="exact"/>
              <w:ind w:right="0"/>
              <w:rPr>
                <w:color w:val="000000"/>
                <w:rtl/>
              </w:rPr>
            </w:pPr>
          </w:p>
        </w:tc>
        <w:tc>
          <w:tcPr>
            <w:tcW w:w="4479" w:type="dxa"/>
            <w:gridSpan w:val="2"/>
            <w:vAlign w:val="bottom"/>
          </w:tcPr>
          <w:p w14:paraId="43B3184E" w14:textId="77777777" w:rsidR="00F32A2A" w:rsidRPr="00F24FDD" w:rsidRDefault="009D5F4D" w:rsidP="00CA051C">
            <w:pPr>
              <w:pStyle w:val="-0"/>
              <w:spacing w:before="20" w:line="200" w:lineRule="exact"/>
              <w:ind w:left="142" w:hanging="142"/>
              <w:rPr>
                <w:color w:val="FF0000"/>
                <w:rtl/>
              </w:rPr>
            </w:pPr>
            <w:r w:rsidRPr="004206A1">
              <w:rPr>
                <w:rFonts w:hint="cs"/>
                <w:color w:val="auto"/>
                <w:rtl/>
              </w:rPr>
              <w:t>נכסים המסווגים כמוחזקים למכירה/ נכסים בגין קבוצת מימוש המסווגת כמוחזקת למכירה</w:t>
            </w:r>
            <w:r w:rsidR="00C14422" w:rsidRPr="00BC2F81">
              <w:rPr>
                <w:rFonts w:hint="cs"/>
                <w:sz w:val="18"/>
                <w:szCs w:val="18"/>
                <w:vertAlign w:val="superscript"/>
                <w:rtl/>
              </w:rPr>
              <w:t>[</w:t>
            </w:r>
            <w:r w:rsidR="00C14422" w:rsidRPr="00BC2F81">
              <w:rPr>
                <w:rStyle w:val="a7"/>
                <w:color w:val="000000"/>
                <w:sz w:val="18"/>
                <w:szCs w:val="18"/>
                <w:rtl/>
              </w:rPr>
              <w:footnoteReference w:id="15"/>
            </w:r>
            <w:r w:rsidR="00C14422" w:rsidRPr="00BC2F81">
              <w:rPr>
                <w:rFonts w:hint="cs"/>
                <w:sz w:val="18"/>
                <w:szCs w:val="18"/>
                <w:vertAlign w:val="superscript"/>
                <w:rtl/>
              </w:rPr>
              <w:t>]</w:t>
            </w:r>
            <w:r w:rsidR="00B53B8D" w:rsidRPr="00F24FDD">
              <w:rPr>
                <w:color w:val="FF0000"/>
                <w:rtl/>
              </w:rPr>
              <w:t xml:space="preserve"> </w:t>
            </w:r>
          </w:p>
        </w:tc>
        <w:tc>
          <w:tcPr>
            <w:tcW w:w="996" w:type="dxa"/>
            <w:gridSpan w:val="2"/>
            <w:vAlign w:val="bottom"/>
          </w:tcPr>
          <w:p w14:paraId="48B84B64" w14:textId="77777777" w:rsidR="00F32A2A" w:rsidRDefault="00F32A2A">
            <w:pPr>
              <w:pStyle w:val="-0"/>
              <w:spacing w:before="20" w:line="240" w:lineRule="exact"/>
              <w:ind w:left="0" w:firstLine="0"/>
              <w:jc w:val="center"/>
              <w:rPr>
                <w:rtl/>
              </w:rPr>
            </w:pPr>
          </w:p>
        </w:tc>
        <w:tc>
          <w:tcPr>
            <w:tcW w:w="1032" w:type="dxa"/>
            <w:gridSpan w:val="2"/>
            <w:vAlign w:val="bottom"/>
          </w:tcPr>
          <w:p w14:paraId="61311A1C" w14:textId="77777777" w:rsidR="00F32A2A" w:rsidRDefault="009D5F4D">
            <w:pPr>
              <w:pStyle w:val="-3"/>
              <w:pBdr>
                <w:bottom w:val="single" w:sz="4" w:space="1" w:color="auto"/>
              </w:pBdr>
              <w:spacing w:before="20" w:line="240" w:lineRule="exact"/>
              <w:rPr>
                <w:rtl/>
              </w:rPr>
            </w:pPr>
            <w:r w:rsidRPr="000C5A8E">
              <w:rPr>
                <w:rFonts w:hint="cs"/>
                <w:rtl/>
              </w:rPr>
              <w:t xml:space="preserve"> </w:t>
            </w:r>
            <w:r w:rsidRPr="000C5A8E">
              <w:rPr>
                <w:rtl/>
              </w:rPr>
              <w:t>0</w:t>
            </w:r>
          </w:p>
        </w:tc>
        <w:tc>
          <w:tcPr>
            <w:tcW w:w="1088" w:type="dxa"/>
            <w:gridSpan w:val="2"/>
            <w:vAlign w:val="bottom"/>
          </w:tcPr>
          <w:p w14:paraId="33C39BC2" w14:textId="77777777" w:rsidR="00F32A2A" w:rsidRDefault="009D5F4D">
            <w:pPr>
              <w:pStyle w:val="-3"/>
              <w:pBdr>
                <w:bottom w:val="single" w:sz="4" w:space="1" w:color="auto"/>
              </w:pBdr>
              <w:spacing w:before="20" w:line="240" w:lineRule="exact"/>
              <w:rPr>
                <w:rtl/>
              </w:rPr>
            </w:pPr>
            <w:r w:rsidRPr="000C5A8E">
              <w:rPr>
                <w:rFonts w:hint="cs"/>
                <w:rtl/>
              </w:rPr>
              <w:t xml:space="preserve"> </w:t>
            </w:r>
            <w:r w:rsidRPr="000C5A8E">
              <w:rPr>
                <w:rtl/>
              </w:rPr>
              <w:t>0</w:t>
            </w:r>
          </w:p>
        </w:tc>
        <w:tc>
          <w:tcPr>
            <w:tcW w:w="990" w:type="dxa"/>
            <w:gridSpan w:val="2"/>
            <w:vAlign w:val="bottom"/>
          </w:tcPr>
          <w:p w14:paraId="723B376B" w14:textId="77777777" w:rsidR="00F32A2A" w:rsidRDefault="009D5F4D">
            <w:pPr>
              <w:pStyle w:val="-3"/>
              <w:pBdr>
                <w:bottom w:val="single" w:sz="4" w:space="1" w:color="auto"/>
              </w:pBdr>
              <w:spacing w:before="20" w:line="240" w:lineRule="exact"/>
              <w:rPr>
                <w:rtl/>
              </w:rPr>
            </w:pPr>
            <w:r w:rsidRPr="000C5A8E">
              <w:rPr>
                <w:rFonts w:hint="cs"/>
                <w:rtl/>
              </w:rPr>
              <w:t xml:space="preserve"> </w:t>
            </w:r>
            <w:r w:rsidRPr="000C5A8E">
              <w:rPr>
                <w:rtl/>
              </w:rPr>
              <w:t>0</w:t>
            </w:r>
          </w:p>
        </w:tc>
      </w:tr>
      <w:tr w:rsidR="009F35EF" w:rsidRPr="00543C25" w14:paraId="30CB3D30" w14:textId="77777777" w:rsidTr="00880B6D">
        <w:trPr>
          <w:gridAfter w:val="1"/>
          <w:wAfter w:w="114" w:type="dxa"/>
        </w:trPr>
        <w:tc>
          <w:tcPr>
            <w:tcW w:w="1247" w:type="dxa"/>
          </w:tcPr>
          <w:p w14:paraId="31426A4F" w14:textId="77777777" w:rsidR="00F32A2A" w:rsidRDefault="00F32A2A">
            <w:pPr>
              <w:pStyle w:val="-7"/>
              <w:bidi w:val="0"/>
              <w:spacing w:line="60" w:lineRule="exact"/>
              <w:rPr>
                <w:spacing w:val="-6"/>
                <w:sz w:val="14"/>
                <w:szCs w:val="14"/>
                <w:rtl/>
              </w:rPr>
            </w:pPr>
          </w:p>
        </w:tc>
        <w:tc>
          <w:tcPr>
            <w:tcW w:w="4479" w:type="dxa"/>
            <w:gridSpan w:val="2"/>
            <w:vAlign w:val="center"/>
          </w:tcPr>
          <w:p w14:paraId="5BF52161" w14:textId="77777777" w:rsidR="00F32A2A" w:rsidRDefault="00F32A2A">
            <w:pPr>
              <w:pStyle w:val="-b"/>
              <w:bidi w:val="0"/>
              <w:spacing w:line="60" w:lineRule="exact"/>
              <w:jc w:val="both"/>
              <w:rPr>
                <w:rtl/>
              </w:rPr>
            </w:pPr>
          </w:p>
        </w:tc>
        <w:tc>
          <w:tcPr>
            <w:tcW w:w="996" w:type="dxa"/>
            <w:gridSpan w:val="2"/>
            <w:vAlign w:val="bottom"/>
          </w:tcPr>
          <w:p w14:paraId="660E676B" w14:textId="77777777" w:rsidR="00F32A2A" w:rsidRDefault="00F32A2A">
            <w:pPr>
              <w:pStyle w:val="-0"/>
              <w:bidi w:val="0"/>
              <w:spacing w:line="60" w:lineRule="exact"/>
              <w:ind w:left="0" w:firstLine="0"/>
              <w:jc w:val="both"/>
              <w:rPr>
                <w:b/>
                <w:bCs/>
                <w:rtl/>
              </w:rPr>
            </w:pPr>
          </w:p>
        </w:tc>
        <w:tc>
          <w:tcPr>
            <w:tcW w:w="1032" w:type="dxa"/>
            <w:gridSpan w:val="2"/>
            <w:vAlign w:val="bottom"/>
          </w:tcPr>
          <w:p w14:paraId="51A26443" w14:textId="77777777" w:rsidR="00F32A2A" w:rsidRDefault="00F32A2A">
            <w:pPr>
              <w:pStyle w:val="-f1"/>
              <w:pBdr>
                <w:top w:val="none" w:sz="0" w:space="0" w:color="auto"/>
              </w:pBdr>
              <w:bidi w:val="0"/>
              <w:spacing w:line="60" w:lineRule="exact"/>
              <w:jc w:val="both"/>
              <w:rPr>
                <w:rtl/>
              </w:rPr>
            </w:pPr>
          </w:p>
        </w:tc>
        <w:tc>
          <w:tcPr>
            <w:tcW w:w="1088" w:type="dxa"/>
            <w:gridSpan w:val="2"/>
            <w:vAlign w:val="bottom"/>
          </w:tcPr>
          <w:p w14:paraId="5DED49DC" w14:textId="77777777" w:rsidR="00F32A2A" w:rsidRDefault="00F32A2A">
            <w:pPr>
              <w:pStyle w:val="-f1"/>
              <w:pBdr>
                <w:top w:val="none" w:sz="0" w:space="0" w:color="auto"/>
              </w:pBdr>
              <w:bidi w:val="0"/>
              <w:spacing w:line="60" w:lineRule="exact"/>
              <w:jc w:val="both"/>
              <w:rPr>
                <w:rtl/>
              </w:rPr>
            </w:pPr>
          </w:p>
        </w:tc>
        <w:tc>
          <w:tcPr>
            <w:tcW w:w="990" w:type="dxa"/>
            <w:gridSpan w:val="2"/>
            <w:vAlign w:val="bottom"/>
          </w:tcPr>
          <w:p w14:paraId="73376FDC" w14:textId="77777777" w:rsidR="00F32A2A" w:rsidRDefault="00F32A2A">
            <w:pPr>
              <w:pStyle w:val="-f1"/>
              <w:pBdr>
                <w:top w:val="none" w:sz="0" w:space="0" w:color="auto"/>
              </w:pBdr>
              <w:bidi w:val="0"/>
              <w:spacing w:line="60" w:lineRule="exact"/>
              <w:jc w:val="both"/>
              <w:rPr>
                <w:rtl/>
              </w:rPr>
            </w:pPr>
          </w:p>
        </w:tc>
      </w:tr>
      <w:tr w:rsidR="009D5F4D" w:rsidRPr="00543C25" w14:paraId="387D537D" w14:textId="77777777" w:rsidTr="00880B6D">
        <w:trPr>
          <w:gridAfter w:val="1"/>
          <w:wAfter w:w="114" w:type="dxa"/>
        </w:trPr>
        <w:tc>
          <w:tcPr>
            <w:tcW w:w="1247" w:type="dxa"/>
          </w:tcPr>
          <w:p w14:paraId="7FF7346C" w14:textId="77777777" w:rsidR="009D5F4D" w:rsidRDefault="009D5F4D" w:rsidP="009D5F4D">
            <w:pPr>
              <w:pStyle w:val="-7"/>
              <w:spacing w:line="240" w:lineRule="exact"/>
              <w:rPr>
                <w:spacing w:val="-6"/>
                <w:sz w:val="14"/>
                <w:szCs w:val="14"/>
                <w:rtl/>
              </w:rPr>
            </w:pPr>
          </w:p>
        </w:tc>
        <w:tc>
          <w:tcPr>
            <w:tcW w:w="4479" w:type="dxa"/>
            <w:gridSpan w:val="2"/>
            <w:vAlign w:val="center"/>
          </w:tcPr>
          <w:p w14:paraId="49A31935" w14:textId="77777777" w:rsidR="009D5F4D" w:rsidRPr="000C5A8E" w:rsidRDefault="009D5F4D" w:rsidP="009D5F4D">
            <w:pPr>
              <w:pStyle w:val="-b"/>
              <w:spacing w:line="240" w:lineRule="exact"/>
              <w:rPr>
                <w:rtl/>
              </w:rPr>
            </w:pPr>
            <w:r w:rsidRPr="000C5A8E">
              <w:rPr>
                <w:rtl/>
              </w:rPr>
              <w:t>סך כל הנכסים</w:t>
            </w:r>
          </w:p>
        </w:tc>
        <w:tc>
          <w:tcPr>
            <w:tcW w:w="996" w:type="dxa"/>
            <w:gridSpan w:val="2"/>
            <w:vAlign w:val="bottom"/>
          </w:tcPr>
          <w:p w14:paraId="110AD768" w14:textId="77777777" w:rsidR="009D5F4D" w:rsidRPr="000C5A8E" w:rsidRDefault="009D5F4D" w:rsidP="009D5F4D">
            <w:pPr>
              <w:pStyle w:val="-0"/>
              <w:spacing w:line="240" w:lineRule="exact"/>
              <w:ind w:left="0" w:firstLine="0"/>
              <w:jc w:val="center"/>
              <w:rPr>
                <w:b/>
                <w:bCs/>
                <w:rtl/>
              </w:rPr>
            </w:pPr>
          </w:p>
        </w:tc>
        <w:tc>
          <w:tcPr>
            <w:tcW w:w="1032" w:type="dxa"/>
            <w:gridSpan w:val="2"/>
            <w:vAlign w:val="bottom"/>
          </w:tcPr>
          <w:p w14:paraId="67F65964" w14:textId="77777777" w:rsidR="009D5F4D" w:rsidRPr="000C5A8E" w:rsidRDefault="009D5F4D" w:rsidP="009D5F4D">
            <w:pPr>
              <w:pStyle w:val="-f1"/>
              <w:pBdr>
                <w:top w:val="none" w:sz="0" w:space="0" w:color="auto"/>
                <w:bottom w:val="double" w:sz="4" w:space="1" w:color="auto"/>
              </w:pBdr>
              <w:spacing w:line="240" w:lineRule="exact"/>
              <w:rPr>
                <w:rtl/>
              </w:rPr>
            </w:pPr>
            <w:r w:rsidRPr="000C5A8E">
              <w:rPr>
                <w:rFonts w:hint="cs"/>
                <w:rtl/>
              </w:rPr>
              <w:t xml:space="preserve"> </w:t>
            </w:r>
            <w:r w:rsidRPr="000C5A8E">
              <w:rPr>
                <w:rtl/>
              </w:rPr>
              <w:t>0</w:t>
            </w:r>
          </w:p>
        </w:tc>
        <w:tc>
          <w:tcPr>
            <w:tcW w:w="1088" w:type="dxa"/>
            <w:gridSpan w:val="2"/>
            <w:vAlign w:val="bottom"/>
          </w:tcPr>
          <w:p w14:paraId="70D03C66" w14:textId="77777777" w:rsidR="009D5F4D" w:rsidRPr="000C5A8E" w:rsidRDefault="009D5F4D" w:rsidP="009D5F4D">
            <w:pPr>
              <w:pStyle w:val="-f1"/>
              <w:pBdr>
                <w:top w:val="none" w:sz="0" w:space="0" w:color="auto"/>
                <w:bottom w:val="double" w:sz="4" w:space="1" w:color="auto"/>
              </w:pBdr>
              <w:spacing w:line="240" w:lineRule="exact"/>
              <w:rPr>
                <w:rtl/>
              </w:rPr>
            </w:pPr>
            <w:r w:rsidRPr="000C5A8E">
              <w:rPr>
                <w:rFonts w:hint="cs"/>
                <w:rtl/>
              </w:rPr>
              <w:t xml:space="preserve"> </w:t>
            </w:r>
            <w:r w:rsidRPr="000C5A8E">
              <w:rPr>
                <w:rtl/>
              </w:rPr>
              <w:t>0</w:t>
            </w:r>
            <w:r w:rsidRPr="000C5A8E">
              <w:rPr>
                <w:rFonts w:hint="cs"/>
                <w:rtl/>
              </w:rPr>
              <w:t xml:space="preserve">  </w:t>
            </w:r>
          </w:p>
        </w:tc>
        <w:tc>
          <w:tcPr>
            <w:tcW w:w="990" w:type="dxa"/>
            <w:gridSpan w:val="2"/>
            <w:vAlign w:val="bottom"/>
          </w:tcPr>
          <w:p w14:paraId="7FAA048B" w14:textId="77777777" w:rsidR="009D5F4D" w:rsidRPr="000C5A8E" w:rsidRDefault="009D5F4D" w:rsidP="009D5F4D">
            <w:pPr>
              <w:pStyle w:val="-f1"/>
              <w:pBdr>
                <w:top w:val="none" w:sz="0" w:space="0" w:color="auto"/>
                <w:bottom w:val="double" w:sz="4" w:space="1" w:color="auto"/>
              </w:pBdr>
              <w:spacing w:line="240" w:lineRule="exact"/>
              <w:rPr>
                <w:rtl/>
              </w:rPr>
            </w:pPr>
            <w:r w:rsidRPr="000C5A8E">
              <w:rPr>
                <w:rFonts w:hint="cs"/>
                <w:rtl/>
              </w:rPr>
              <w:t xml:space="preserve"> </w:t>
            </w:r>
            <w:r w:rsidRPr="000C5A8E">
              <w:rPr>
                <w:rtl/>
              </w:rPr>
              <w:t>0</w:t>
            </w:r>
          </w:p>
        </w:tc>
      </w:tr>
      <w:tr w:rsidR="009D5F4D" w:rsidRPr="00D851E7" w14:paraId="6158B65F" w14:textId="77777777" w:rsidTr="00880B6D">
        <w:tc>
          <w:tcPr>
            <w:tcW w:w="1361" w:type="dxa"/>
            <w:gridSpan w:val="2"/>
          </w:tcPr>
          <w:p w14:paraId="3AF8BA27" w14:textId="77777777" w:rsidR="009D5F4D" w:rsidRPr="00ED6312" w:rsidRDefault="009D5F4D" w:rsidP="009D5F4D">
            <w:pPr>
              <w:pStyle w:val="-7"/>
              <w:bidi w:val="0"/>
              <w:spacing w:line="240" w:lineRule="exact"/>
              <w:ind w:right="-231"/>
              <w:jc w:val="left"/>
              <w:rPr>
                <w:spacing w:val="-6"/>
                <w:sz w:val="14"/>
                <w:szCs w:val="14"/>
                <w:rtl/>
              </w:rPr>
            </w:pPr>
          </w:p>
        </w:tc>
        <w:tc>
          <w:tcPr>
            <w:tcW w:w="4479" w:type="dxa"/>
            <w:gridSpan w:val="2"/>
          </w:tcPr>
          <w:p w14:paraId="730A388A" w14:textId="77777777" w:rsidR="009D5F4D" w:rsidRPr="000C5A8E" w:rsidRDefault="009D5F4D" w:rsidP="009D5F4D">
            <w:pPr>
              <w:pStyle w:val="-7"/>
              <w:spacing w:line="240" w:lineRule="exact"/>
              <w:rPr>
                <w:rtl/>
              </w:rPr>
            </w:pPr>
          </w:p>
        </w:tc>
        <w:tc>
          <w:tcPr>
            <w:tcW w:w="996" w:type="dxa"/>
            <w:gridSpan w:val="2"/>
          </w:tcPr>
          <w:p w14:paraId="6A28062F" w14:textId="77777777" w:rsidR="009D5F4D" w:rsidRPr="000C5A8E" w:rsidRDefault="009D5F4D" w:rsidP="009D5F4D">
            <w:pPr>
              <w:pStyle w:val="-7"/>
              <w:spacing w:line="240" w:lineRule="exact"/>
              <w:jc w:val="center"/>
              <w:rPr>
                <w:rtl/>
              </w:rPr>
            </w:pPr>
          </w:p>
        </w:tc>
        <w:tc>
          <w:tcPr>
            <w:tcW w:w="1032" w:type="dxa"/>
            <w:gridSpan w:val="2"/>
          </w:tcPr>
          <w:p w14:paraId="1C822340" w14:textId="77777777" w:rsidR="009D5F4D" w:rsidRPr="000C5A8E" w:rsidRDefault="009D5F4D" w:rsidP="009D5F4D">
            <w:pPr>
              <w:pStyle w:val="-212"/>
              <w:pBdr>
                <w:top w:val="none" w:sz="0" w:space="0" w:color="auto"/>
              </w:pBdr>
              <w:spacing w:line="240" w:lineRule="exact"/>
              <w:rPr>
                <w:rtl/>
              </w:rPr>
            </w:pPr>
          </w:p>
        </w:tc>
        <w:tc>
          <w:tcPr>
            <w:tcW w:w="1088" w:type="dxa"/>
            <w:gridSpan w:val="2"/>
          </w:tcPr>
          <w:p w14:paraId="478F107D" w14:textId="77777777" w:rsidR="009D5F4D" w:rsidRPr="000C5A8E" w:rsidRDefault="009D5F4D" w:rsidP="009D5F4D">
            <w:pPr>
              <w:pStyle w:val="-212"/>
              <w:pBdr>
                <w:top w:val="none" w:sz="0" w:space="0" w:color="auto"/>
              </w:pBdr>
              <w:spacing w:line="240" w:lineRule="exact"/>
              <w:rPr>
                <w:rtl/>
              </w:rPr>
            </w:pPr>
          </w:p>
        </w:tc>
        <w:tc>
          <w:tcPr>
            <w:tcW w:w="990" w:type="dxa"/>
            <w:gridSpan w:val="2"/>
          </w:tcPr>
          <w:p w14:paraId="567854C4" w14:textId="77777777" w:rsidR="009D5F4D" w:rsidRPr="000C5A8E" w:rsidRDefault="009D5F4D" w:rsidP="009D5F4D">
            <w:pPr>
              <w:pStyle w:val="-212"/>
              <w:pBdr>
                <w:top w:val="none" w:sz="0" w:space="0" w:color="auto"/>
              </w:pBdr>
              <w:spacing w:line="240" w:lineRule="exact"/>
              <w:rPr>
                <w:rtl/>
              </w:rPr>
            </w:pPr>
          </w:p>
        </w:tc>
      </w:tr>
    </w:tbl>
    <w:p w14:paraId="23594C2E" w14:textId="77777777" w:rsidR="009D5F4D" w:rsidRDefault="009D5F4D" w:rsidP="009D5F4D"/>
    <w:tbl>
      <w:tblPr>
        <w:bidiVisual/>
        <w:tblW w:w="5058" w:type="pct"/>
        <w:tblInd w:w="-62" w:type="dxa"/>
        <w:tblLook w:val="04A0" w:firstRow="1" w:lastRow="0" w:firstColumn="1" w:lastColumn="0" w:noHBand="0" w:noVBand="1"/>
      </w:tblPr>
      <w:tblGrid>
        <w:gridCol w:w="1474"/>
        <w:gridCol w:w="438"/>
        <w:gridCol w:w="8413"/>
      </w:tblGrid>
      <w:tr w:rsidR="009D5F4D" w:rsidRPr="00D851E7" w14:paraId="4443C984" w14:textId="77777777" w:rsidTr="004A1ADA">
        <w:trPr>
          <w:trHeight w:val="259"/>
        </w:trPr>
        <w:tc>
          <w:tcPr>
            <w:tcW w:w="1474" w:type="dxa"/>
          </w:tcPr>
          <w:p w14:paraId="33CC493E" w14:textId="77777777" w:rsidR="009D5F4D" w:rsidRPr="00ED6312" w:rsidRDefault="009D5F4D" w:rsidP="009D5F4D">
            <w:pPr>
              <w:pStyle w:val="-7"/>
              <w:bidi w:val="0"/>
              <w:spacing w:line="240" w:lineRule="exact"/>
              <w:ind w:right="-231"/>
              <w:jc w:val="left"/>
              <w:rPr>
                <w:spacing w:val="-6"/>
                <w:sz w:val="14"/>
                <w:szCs w:val="14"/>
                <w:rtl/>
              </w:rPr>
            </w:pPr>
          </w:p>
        </w:tc>
        <w:tc>
          <w:tcPr>
            <w:tcW w:w="438" w:type="dxa"/>
          </w:tcPr>
          <w:p w14:paraId="3F22A2C5" w14:textId="77777777" w:rsidR="009D5F4D" w:rsidRPr="00174040" w:rsidRDefault="009D5F4D" w:rsidP="009D5F4D">
            <w:pPr>
              <w:pStyle w:val="-a"/>
              <w:spacing w:line="240" w:lineRule="exact"/>
              <w:rPr>
                <w:rtl/>
              </w:rPr>
            </w:pPr>
            <w:r w:rsidRPr="00174040">
              <w:rPr>
                <w:rtl/>
              </w:rPr>
              <w:t xml:space="preserve">(א) </w:t>
            </w:r>
          </w:p>
        </w:tc>
        <w:tc>
          <w:tcPr>
            <w:tcW w:w="8413" w:type="dxa"/>
          </w:tcPr>
          <w:p w14:paraId="2ECB31D7" w14:textId="62F6050E" w:rsidR="00EF6A08" w:rsidRDefault="009D5F4D" w:rsidP="00FF27C2">
            <w:pPr>
              <w:pStyle w:val="-a"/>
              <w:spacing w:after="0" w:line="240" w:lineRule="exact"/>
              <w:rPr>
                <w:rtl/>
              </w:rPr>
            </w:pPr>
            <w:r>
              <w:rPr>
                <w:rtl/>
              </w:rPr>
              <w:t xml:space="preserve">מזה: ניירות ערך ששועבדו למלווים בסך </w:t>
            </w:r>
            <w:r>
              <w:rPr>
                <w:rFonts w:hint="cs"/>
                <w:rtl/>
              </w:rPr>
              <w:t xml:space="preserve">___ </w:t>
            </w:r>
            <w:r>
              <w:rPr>
                <w:rtl/>
              </w:rPr>
              <w:t>מיליו</w:t>
            </w:r>
            <w:r>
              <w:rPr>
                <w:rFonts w:hint="eastAsia"/>
                <w:rtl/>
              </w:rPr>
              <w:t>ני</w:t>
            </w:r>
            <w:r>
              <w:rPr>
                <w:rtl/>
              </w:rPr>
              <w:t xml:space="preserve"> ש"ח </w:t>
            </w:r>
            <w:r>
              <w:rPr>
                <w:rFonts w:hint="eastAsia"/>
                <w:rtl/>
              </w:rPr>
              <w:t>ליום</w:t>
            </w:r>
            <w:r>
              <w:rPr>
                <w:rtl/>
              </w:rPr>
              <w:t xml:space="preserve"> 30 </w:t>
            </w:r>
            <w:r>
              <w:rPr>
                <w:rFonts w:hint="eastAsia"/>
                <w:rtl/>
              </w:rPr>
              <w:t>ביוני</w:t>
            </w:r>
            <w:r>
              <w:rPr>
                <w:rtl/>
              </w:rPr>
              <w:t xml:space="preserve"> </w:t>
            </w:r>
            <w:r w:rsidR="00905C12" w:rsidRPr="00905C12">
              <w:rPr>
                <w:rtl/>
              </w:rPr>
              <w:fldChar w:fldCharType="begin"/>
            </w:r>
            <w:r w:rsidR="00905C12" w:rsidRPr="00905C12">
              <w:rPr>
                <w:rtl/>
              </w:rPr>
              <w:instrText xml:space="preserve"> </w:instrText>
            </w:r>
            <w:r w:rsidR="00905C12" w:rsidRPr="00905C12">
              <w:rPr>
                <w:rFonts w:hint="cs"/>
                <w:rtl/>
              </w:rPr>
              <w:instrText xml:space="preserve">= </w:instrText>
            </w:r>
            <w:r w:rsidR="00905C12" w:rsidRPr="00905C12">
              <w:rPr>
                <w:rFonts w:hint="cs"/>
              </w:rPr>
              <w:instrText>CY \* MERGEFORMAT</w:instrText>
            </w:r>
            <w:r w:rsidR="00905C12" w:rsidRPr="00905C12">
              <w:rPr>
                <w:rtl/>
              </w:rPr>
              <w:instrText xml:space="preserve"> </w:instrText>
            </w:r>
            <w:r w:rsidR="00905C12" w:rsidRPr="00905C12">
              <w:rPr>
                <w:rtl/>
              </w:rPr>
              <w:fldChar w:fldCharType="separate"/>
            </w:r>
            <w:r w:rsidR="003A584F">
              <w:rPr>
                <w:noProof/>
                <w:rtl/>
              </w:rPr>
              <w:t>2024</w:t>
            </w:r>
            <w:r w:rsidR="00905C12" w:rsidRPr="00905C12">
              <w:rPr>
                <w:rtl/>
              </w:rPr>
              <w:fldChar w:fldCharType="end"/>
            </w:r>
            <w:r w:rsidR="00905C12">
              <w:rPr>
                <w:rFonts w:hint="cs"/>
                <w:rtl/>
              </w:rPr>
              <w:t xml:space="preserve"> </w:t>
            </w:r>
            <w:r>
              <w:rPr>
                <w:rFonts w:hint="cs"/>
                <w:rtl/>
              </w:rPr>
              <w:t xml:space="preserve">(סך ___ ו-___ מיליוני ש"ח לימים 30 ביוני </w:t>
            </w:r>
            <w:r w:rsidR="00905C12">
              <w:rPr>
                <w:rtl/>
              </w:rPr>
              <w:fldChar w:fldCharType="begin"/>
            </w:r>
            <w:r w:rsidR="00905C12">
              <w:rPr>
                <w:rtl/>
              </w:rPr>
              <w:instrText xml:space="preserve"> </w:instrText>
            </w:r>
            <w:r w:rsidR="00905C12">
              <w:rPr>
                <w:rFonts w:hint="cs"/>
                <w:rtl/>
              </w:rPr>
              <w:instrText>=</w:instrText>
            </w:r>
            <w:r w:rsidR="00905C12">
              <w:rPr>
                <w:rFonts w:hint="cs"/>
              </w:rPr>
              <w:instrText>cy</w:instrText>
            </w:r>
            <w:r w:rsidR="00905C12">
              <w:instrText>-1</w:instrText>
            </w:r>
            <w:r w:rsidR="00905C12">
              <w:rPr>
                <w:rFonts w:hint="cs"/>
              </w:rPr>
              <w:instrText xml:space="preserve"> \* MERGEFORMAT</w:instrText>
            </w:r>
            <w:r w:rsidR="00905C12">
              <w:rPr>
                <w:rtl/>
              </w:rPr>
              <w:instrText xml:space="preserve"> </w:instrText>
            </w:r>
            <w:r w:rsidR="00905C12">
              <w:rPr>
                <w:rtl/>
              </w:rPr>
              <w:fldChar w:fldCharType="separate"/>
            </w:r>
            <w:r w:rsidR="003A584F">
              <w:rPr>
                <w:noProof/>
                <w:rtl/>
              </w:rPr>
              <w:t>2023</w:t>
            </w:r>
            <w:r w:rsidR="00905C12">
              <w:rPr>
                <w:rtl/>
              </w:rPr>
              <w:fldChar w:fldCharType="end"/>
            </w:r>
            <w:r w:rsidR="00905C12">
              <w:rPr>
                <w:rFonts w:hint="cs"/>
                <w:rtl/>
              </w:rPr>
              <w:t xml:space="preserve"> </w:t>
            </w:r>
            <w:r>
              <w:rPr>
                <w:rFonts w:hint="cs"/>
                <w:rtl/>
              </w:rPr>
              <w:t xml:space="preserve">ו-31 בדצמבר </w:t>
            </w:r>
            <w:r w:rsidR="00905C12">
              <w:rPr>
                <w:rtl/>
              </w:rPr>
              <w:fldChar w:fldCharType="begin"/>
            </w:r>
            <w:r w:rsidR="00905C12">
              <w:rPr>
                <w:rtl/>
              </w:rPr>
              <w:instrText xml:space="preserve"> </w:instrText>
            </w:r>
            <w:r w:rsidR="00905C12">
              <w:rPr>
                <w:rFonts w:hint="cs"/>
                <w:rtl/>
              </w:rPr>
              <w:instrText>=</w:instrText>
            </w:r>
            <w:r w:rsidR="00905C12">
              <w:rPr>
                <w:rFonts w:hint="cs"/>
              </w:rPr>
              <w:instrText>cy</w:instrText>
            </w:r>
            <w:r w:rsidR="00905C12">
              <w:instrText>-1</w:instrText>
            </w:r>
            <w:r w:rsidR="00905C12">
              <w:rPr>
                <w:rFonts w:hint="cs"/>
              </w:rPr>
              <w:instrText xml:space="preserve"> \* MERGEFORMAT</w:instrText>
            </w:r>
            <w:r w:rsidR="00905C12">
              <w:rPr>
                <w:rtl/>
              </w:rPr>
              <w:instrText xml:space="preserve"> </w:instrText>
            </w:r>
            <w:r w:rsidR="00905C12">
              <w:rPr>
                <w:rtl/>
              </w:rPr>
              <w:fldChar w:fldCharType="separate"/>
            </w:r>
            <w:r w:rsidR="003A584F">
              <w:rPr>
                <w:noProof/>
                <w:rtl/>
              </w:rPr>
              <w:t>2023</w:t>
            </w:r>
            <w:r w:rsidR="00905C12">
              <w:rPr>
                <w:rtl/>
              </w:rPr>
              <w:fldChar w:fldCharType="end"/>
            </w:r>
            <w:r>
              <w:rPr>
                <w:rFonts w:hint="cs"/>
                <w:rtl/>
              </w:rPr>
              <w:t>, בהתאמה).</w:t>
            </w:r>
            <w:r>
              <w:rPr>
                <w:rtl/>
              </w:rPr>
              <w:t xml:space="preserve"> </w:t>
            </w:r>
          </w:p>
        </w:tc>
      </w:tr>
    </w:tbl>
    <w:p w14:paraId="6E6EBDB1" w14:textId="77777777" w:rsidR="009D5F4D" w:rsidRDefault="009D5F4D" w:rsidP="009D5F4D">
      <w:pPr>
        <w:rPr>
          <w:rtl/>
        </w:rPr>
      </w:pPr>
    </w:p>
    <w:p w14:paraId="297011E8" w14:textId="77777777" w:rsidR="009D5F4D" w:rsidRDefault="009D5F4D" w:rsidP="009D5F4D">
      <w:pPr>
        <w:rPr>
          <w:rtl/>
        </w:rPr>
      </w:pPr>
    </w:p>
    <w:p w14:paraId="4A7348F3" w14:textId="77777777" w:rsidR="00880B6D" w:rsidRDefault="00880B6D" w:rsidP="009D5F4D">
      <w:pPr>
        <w:rPr>
          <w:rtl/>
        </w:rPr>
      </w:pPr>
    </w:p>
    <w:p w14:paraId="6BA1A892" w14:textId="77777777" w:rsidR="00880B6D" w:rsidRDefault="00880B6D" w:rsidP="009D5F4D">
      <w:pPr>
        <w:rPr>
          <w:rtl/>
        </w:rPr>
      </w:pPr>
    </w:p>
    <w:tbl>
      <w:tblPr>
        <w:bidiVisual/>
        <w:tblW w:w="5000" w:type="pct"/>
        <w:tblLook w:val="04A0" w:firstRow="1" w:lastRow="0" w:firstColumn="1" w:lastColumn="0" w:noHBand="0" w:noVBand="1"/>
      </w:tblPr>
      <w:tblGrid>
        <w:gridCol w:w="1405"/>
        <w:gridCol w:w="8802"/>
      </w:tblGrid>
      <w:tr w:rsidR="009D5F4D" w14:paraId="670E3106" w14:textId="77777777" w:rsidTr="00EF186E">
        <w:trPr>
          <w:trHeight w:val="259"/>
        </w:trPr>
        <w:tc>
          <w:tcPr>
            <w:tcW w:w="1405" w:type="dxa"/>
          </w:tcPr>
          <w:p w14:paraId="4B6BCC9E" w14:textId="77777777" w:rsidR="009D5F4D" w:rsidRPr="00ED6312" w:rsidRDefault="009D5F4D" w:rsidP="009D5F4D">
            <w:pPr>
              <w:pStyle w:val="-7"/>
              <w:bidi w:val="0"/>
              <w:ind w:right="-231"/>
              <w:jc w:val="left"/>
              <w:rPr>
                <w:spacing w:val="-6"/>
                <w:sz w:val="14"/>
                <w:szCs w:val="14"/>
                <w:rtl/>
              </w:rPr>
            </w:pPr>
          </w:p>
        </w:tc>
        <w:tc>
          <w:tcPr>
            <w:tcW w:w="8802" w:type="dxa"/>
          </w:tcPr>
          <w:p w14:paraId="0195B35A" w14:textId="77777777" w:rsidR="009D5F4D" w:rsidRDefault="009D5F4D" w:rsidP="009D5F4D">
            <w:pPr>
              <w:rPr>
                <w:rtl/>
              </w:rPr>
            </w:pPr>
            <w:r w:rsidRPr="00543C25">
              <w:rPr>
                <w:b/>
                <w:bCs/>
                <w:rtl/>
              </w:rPr>
              <w:t>הביאורים ל</w:t>
            </w:r>
            <w:r>
              <w:rPr>
                <w:rFonts w:hint="cs"/>
                <w:b/>
                <w:bCs/>
                <w:rtl/>
              </w:rPr>
              <w:t>תמצית ה</w:t>
            </w:r>
            <w:r w:rsidRPr="00543C25">
              <w:rPr>
                <w:b/>
                <w:bCs/>
                <w:rtl/>
              </w:rPr>
              <w:t xml:space="preserve">דוחות הכספיים מהווים חלק בלתי נפרד </w:t>
            </w:r>
            <w:r>
              <w:rPr>
                <w:rFonts w:hint="cs"/>
                <w:b/>
                <w:bCs/>
                <w:rtl/>
              </w:rPr>
              <w:t>ממנה.</w:t>
            </w:r>
          </w:p>
        </w:tc>
      </w:tr>
    </w:tbl>
    <w:p w14:paraId="267BAF44" w14:textId="77777777" w:rsidR="009D5F4D" w:rsidRDefault="009D5F4D">
      <w:pPr>
        <w:rPr>
          <w:rtl/>
        </w:rPr>
      </w:pPr>
    </w:p>
    <w:p w14:paraId="71FF7AD9" w14:textId="77777777" w:rsidR="00DE0B68" w:rsidRDefault="00DE0B68">
      <w:pPr>
        <w:rPr>
          <w:rtl/>
        </w:rPr>
        <w:sectPr w:rsidR="00DE0B68" w:rsidSect="00587121">
          <w:headerReference w:type="even" r:id="rId15"/>
          <w:headerReference w:type="default" r:id="rId16"/>
          <w:footnotePr>
            <w:numRestart w:val="eachPage"/>
          </w:footnotePr>
          <w:type w:val="nextColumn"/>
          <w:pgSz w:w="11909" w:h="16834" w:code="9"/>
          <w:pgMar w:top="851" w:right="851" w:bottom="851" w:left="851" w:header="720" w:footer="720" w:gutter="0"/>
          <w:cols w:space="720"/>
          <w:bidi/>
          <w:rtlGutter/>
          <w:docGrid w:linePitch="360"/>
        </w:sectPr>
      </w:pPr>
    </w:p>
    <w:p w14:paraId="7118CB0B" w14:textId="77777777" w:rsidR="00BF4BA5" w:rsidRDefault="00BF4BA5" w:rsidP="00B2134E">
      <w:pPr>
        <w:pStyle w:val="-2"/>
        <w:ind w:firstLine="1418"/>
        <w:rPr>
          <w:rtl/>
        </w:rPr>
      </w:pPr>
      <w:r w:rsidRPr="00543C25">
        <w:rPr>
          <w:rFonts w:hint="cs"/>
          <w:rtl/>
        </w:rPr>
        <w:lastRenderedPageBreak/>
        <w:t>בנק</w:t>
      </w:r>
      <w:r w:rsidRPr="00543C25">
        <w:rPr>
          <w:rtl/>
        </w:rPr>
        <w:t xml:space="preserve"> </w:t>
      </w:r>
      <w:r w:rsidRPr="00543C25">
        <w:rPr>
          <w:rFonts w:hint="cs"/>
          <w:rtl/>
        </w:rPr>
        <w:t xml:space="preserve">לדוגמה </w:t>
      </w:r>
      <w:r w:rsidRPr="00543C25">
        <w:rPr>
          <w:rtl/>
        </w:rPr>
        <w:t>בע"מ וחברות מאוחדות שלו</w:t>
      </w:r>
    </w:p>
    <w:p w14:paraId="5F325AB5" w14:textId="3A8448D1" w:rsidR="00BF4BA5" w:rsidRPr="00BF4BA5" w:rsidRDefault="00BF4BA5" w:rsidP="00905C12">
      <w:pPr>
        <w:pStyle w:val="-2"/>
        <w:spacing w:after="80"/>
        <w:ind w:firstLine="1418"/>
        <w:rPr>
          <w:u w:val="single"/>
          <w:rtl/>
        </w:rPr>
      </w:pPr>
      <w:r w:rsidRPr="00BF4BA5">
        <w:rPr>
          <w:rFonts w:hint="eastAsia"/>
          <w:u w:val="single"/>
          <w:rtl/>
        </w:rPr>
        <w:t>תמצית</w:t>
      </w:r>
      <w:r w:rsidRPr="00BF4BA5">
        <w:rPr>
          <w:rFonts w:hint="cs"/>
          <w:u w:val="single"/>
          <w:rtl/>
        </w:rPr>
        <w:t xml:space="preserve"> מאזן מאוחד ליום 30 ביוני </w:t>
      </w:r>
      <w:r w:rsidR="00905C12" w:rsidRPr="00905C12">
        <w:rPr>
          <w:sz w:val="20"/>
          <w:szCs w:val="20"/>
          <w:u w:val="single"/>
          <w:rtl/>
        </w:rPr>
        <w:fldChar w:fldCharType="begin"/>
      </w:r>
      <w:r w:rsidR="00905C12" w:rsidRPr="00905C12">
        <w:rPr>
          <w:sz w:val="20"/>
          <w:szCs w:val="20"/>
          <w:u w:val="single"/>
          <w:rtl/>
        </w:rPr>
        <w:instrText xml:space="preserve"> </w:instrText>
      </w:r>
      <w:r w:rsidR="00905C12" w:rsidRPr="00905C12">
        <w:rPr>
          <w:rFonts w:hint="cs"/>
          <w:sz w:val="20"/>
          <w:szCs w:val="20"/>
          <w:u w:val="single"/>
          <w:rtl/>
        </w:rPr>
        <w:instrText xml:space="preserve">= </w:instrText>
      </w:r>
      <w:r w:rsidR="00905C12" w:rsidRPr="00905C12">
        <w:rPr>
          <w:rFonts w:hint="cs"/>
          <w:sz w:val="20"/>
          <w:szCs w:val="20"/>
          <w:u w:val="single"/>
        </w:rPr>
        <w:instrText>CY \* MERGEFORMAT</w:instrText>
      </w:r>
      <w:r w:rsidR="00905C12" w:rsidRPr="00905C12">
        <w:rPr>
          <w:sz w:val="20"/>
          <w:szCs w:val="20"/>
          <w:u w:val="single"/>
          <w:rtl/>
        </w:rPr>
        <w:instrText xml:space="preserve"> </w:instrText>
      </w:r>
      <w:r w:rsidR="00905C12" w:rsidRPr="00905C12">
        <w:rPr>
          <w:sz w:val="20"/>
          <w:szCs w:val="20"/>
          <w:u w:val="single"/>
          <w:rtl/>
        </w:rPr>
        <w:fldChar w:fldCharType="separate"/>
      </w:r>
      <w:r w:rsidR="003A584F">
        <w:rPr>
          <w:noProof/>
          <w:sz w:val="20"/>
          <w:szCs w:val="20"/>
          <w:u w:val="single"/>
          <w:rtl/>
        </w:rPr>
        <w:t>2024</w:t>
      </w:r>
      <w:r w:rsidR="00905C12" w:rsidRPr="00905C12">
        <w:rPr>
          <w:sz w:val="20"/>
          <w:szCs w:val="20"/>
          <w:u w:val="single"/>
          <w:rtl/>
        </w:rPr>
        <w:fldChar w:fldCharType="end"/>
      </w:r>
      <w:r w:rsidR="00905C12" w:rsidRPr="00BF4BA5">
        <w:rPr>
          <w:rFonts w:hint="cs"/>
          <w:u w:val="single"/>
          <w:rtl/>
        </w:rPr>
        <w:t xml:space="preserve"> </w:t>
      </w:r>
      <w:r w:rsidRPr="00BF4BA5">
        <w:rPr>
          <w:rFonts w:hint="cs"/>
          <w:u w:val="single"/>
          <w:rtl/>
        </w:rPr>
        <w:t>(המשך)</w:t>
      </w:r>
    </w:p>
    <w:p w14:paraId="29CEB962" w14:textId="77777777" w:rsidR="00BF4BA5" w:rsidRPr="00BF4BA5" w:rsidRDefault="00BF4BA5" w:rsidP="00F723B7">
      <w:pPr>
        <w:pStyle w:val="-2"/>
        <w:ind w:firstLine="1418"/>
        <w:rPr>
          <w:b w:val="0"/>
          <w:bCs w:val="0"/>
          <w:sz w:val="20"/>
          <w:szCs w:val="20"/>
          <w:rtl/>
        </w:rPr>
      </w:pPr>
      <w:r w:rsidRPr="00BF4BA5">
        <w:rPr>
          <w:rFonts w:hint="cs"/>
          <w:b w:val="0"/>
          <w:bCs w:val="0"/>
          <w:sz w:val="20"/>
          <w:szCs w:val="20"/>
          <w:rtl/>
        </w:rPr>
        <w:t>סכומים מדווחים (במיליוני ש"ח)</w:t>
      </w:r>
    </w:p>
    <w:tbl>
      <w:tblPr>
        <w:bidiVisual/>
        <w:tblW w:w="4950" w:type="pct"/>
        <w:tblLayout w:type="fixed"/>
        <w:tblLook w:val="04A0" w:firstRow="1" w:lastRow="0" w:firstColumn="1" w:lastColumn="0" w:noHBand="0" w:noVBand="1"/>
      </w:tblPr>
      <w:tblGrid>
        <w:gridCol w:w="1362"/>
        <w:gridCol w:w="4920"/>
        <w:gridCol w:w="746"/>
        <w:gridCol w:w="970"/>
        <w:gridCol w:w="953"/>
        <w:gridCol w:w="1154"/>
      </w:tblGrid>
      <w:tr w:rsidR="00774CD3" w:rsidRPr="00543C25" w14:paraId="5AE2209A" w14:textId="77777777" w:rsidTr="004A1ADA">
        <w:tc>
          <w:tcPr>
            <w:tcW w:w="1361" w:type="dxa"/>
          </w:tcPr>
          <w:p w14:paraId="7AAAA017" w14:textId="77777777" w:rsidR="00F32A2A" w:rsidRDefault="00F32A2A">
            <w:pPr>
              <w:pStyle w:val="-7"/>
              <w:spacing w:line="240" w:lineRule="auto"/>
              <w:ind w:right="-231"/>
              <w:jc w:val="left"/>
              <w:rPr>
                <w:sz w:val="14"/>
                <w:szCs w:val="14"/>
                <w:rtl/>
              </w:rPr>
            </w:pPr>
          </w:p>
        </w:tc>
        <w:tc>
          <w:tcPr>
            <w:tcW w:w="4920" w:type="dxa"/>
            <w:vAlign w:val="bottom"/>
          </w:tcPr>
          <w:p w14:paraId="7ECC9B19" w14:textId="77777777" w:rsidR="00774CD3" w:rsidRPr="00543C25" w:rsidRDefault="00774CD3" w:rsidP="00DC0ABC">
            <w:pPr>
              <w:pStyle w:val="-0"/>
              <w:spacing w:line="240" w:lineRule="exact"/>
              <w:rPr>
                <w:rtl/>
              </w:rPr>
            </w:pPr>
          </w:p>
        </w:tc>
        <w:tc>
          <w:tcPr>
            <w:tcW w:w="746" w:type="dxa"/>
            <w:vAlign w:val="bottom"/>
          </w:tcPr>
          <w:p w14:paraId="0A66FAF5" w14:textId="77777777" w:rsidR="00774CD3" w:rsidRPr="00E17457" w:rsidRDefault="00774CD3" w:rsidP="00DC0ABC">
            <w:pPr>
              <w:pStyle w:val="-7"/>
              <w:spacing w:line="240" w:lineRule="exact"/>
              <w:jc w:val="center"/>
              <w:rPr>
                <w:rtl/>
              </w:rPr>
            </w:pPr>
          </w:p>
        </w:tc>
        <w:tc>
          <w:tcPr>
            <w:tcW w:w="1923" w:type="dxa"/>
            <w:gridSpan w:val="2"/>
            <w:vAlign w:val="bottom"/>
          </w:tcPr>
          <w:p w14:paraId="2BB639A2" w14:textId="77777777" w:rsidR="00774CD3" w:rsidRPr="00543C25" w:rsidRDefault="00DB71F3" w:rsidP="00DC0ABC">
            <w:pPr>
              <w:pStyle w:val="-4"/>
              <w:pBdr>
                <w:bottom w:val="single" w:sz="4" w:space="1" w:color="auto"/>
              </w:pBdr>
              <w:spacing w:line="240" w:lineRule="exact"/>
              <w:rPr>
                <w:rtl/>
              </w:rPr>
            </w:pPr>
            <w:r>
              <w:rPr>
                <w:rFonts w:hint="cs"/>
                <w:rtl/>
              </w:rPr>
              <w:t xml:space="preserve">ליום </w:t>
            </w:r>
            <w:r w:rsidR="00774CD3">
              <w:rPr>
                <w:rFonts w:hint="cs"/>
                <w:rtl/>
              </w:rPr>
              <w:t>30 ביוני</w:t>
            </w:r>
          </w:p>
        </w:tc>
        <w:tc>
          <w:tcPr>
            <w:tcW w:w="1154" w:type="dxa"/>
            <w:vAlign w:val="bottom"/>
          </w:tcPr>
          <w:p w14:paraId="08CDD146" w14:textId="77777777" w:rsidR="00774CD3" w:rsidRPr="00543C25" w:rsidRDefault="00774CD3" w:rsidP="00DC0ABC">
            <w:pPr>
              <w:pStyle w:val="-4"/>
              <w:pBdr>
                <w:bottom w:val="single" w:sz="4" w:space="1" w:color="auto"/>
              </w:pBdr>
              <w:spacing w:line="240" w:lineRule="exact"/>
              <w:rPr>
                <w:rtl/>
              </w:rPr>
            </w:pPr>
            <w:r w:rsidRPr="00543C25">
              <w:rPr>
                <w:rFonts w:hint="cs"/>
                <w:rtl/>
              </w:rPr>
              <w:t>ליום 31 בדצמבר</w:t>
            </w:r>
          </w:p>
        </w:tc>
      </w:tr>
      <w:tr w:rsidR="00817778" w:rsidRPr="00543C25" w14:paraId="3FEB8ABE" w14:textId="77777777" w:rsidTr="004A1ADA">
        <w:tc>
          <w:tcPr>
            <w:tcW w:w="1361" w:type="dxa"/>
          </w:tcPr>
          <w:p w14:paraId="30099A4C" w14:textId="77777777" w:rsidR="00817778" w:rsidRPr="00ED6312" w:rsidRDefault="00817778" w:rsidP="00DC0ABC">
            <w:pPr>
              <w:pStyle w:val="-7"/>
              <w:bidi w:val="0"/>
              <w:spacing w:line="240" w:lineRule="exact"/>
              <w:ind w:right="-231"/>
              <w:jc w:val="left"/>
              <w:rPr>
                <w:spacing w:val="-6"/>
                <w:sz w:val="14"/>
                <w:szCs w:val="14"/>
                <w:rtl/>
              </w:rPr>
            </w:pPr>
          </w:p>
        </w:tc>
        <w:tc>
          <w:tcPr>
            <w:tcW w:w="4920" w:type="dxa"/>
            <w:vAlign w:val="bottom"/>
          </w:tcPr>
          <w:p w14:paraId="7B713417" w14:textId="77777777" w:rsidR="00817778" w:rsidRPr="00543C25" w:rsidRDefault="00817778" w:rsidP="00DC0ABC">
            <w:pPr>
              <w:pStyle w:val="-0"/>
              <w:spacing w:line="240" w:lineRule="exact"/>
              <w:rPr>
                <w:rtl/>
              </w:rPr>
            </w:pPr>
          </w:p>
        </w:tc>
        <w:tc>
          <w:tcPr>
            <w:tcW w:w="746" w:type="dxa"/>
            <w:vAlign w:val="bottom"/>
          </w:tcPr>
          <w:p w14:paraId="40E8586E" w14:textId="77777777" w:rsidR="00B81279" w:rsidRPr="00E17457" w:rsidRDefault="00B81279" w:rsidP="00DC0ABC">
            <w:pPr>
              <w:pStyle w:val="-5"/>
              <w:pBdr>
                <w:bottom w:val="none" w:sz="0" w:space="0" w:color="auto"/>
              </w:pBdr>
              <w:spacing w:line="240" w:lineRule="exact"/>
              <w:jc w:val="center"/>
              <w:rPr>
                <w:rtl/>
              </w:rPr>
            </w:pPr>
          </w:p>
        </w:tc>
        <w:tc>
          <w:tcPr>
            <w:tcW w:w="970" w:type="dxa"/>
            <w:vAlign w:val="bottom"/>
          </w:tcPr>
          <w:p w14:paraId="2C955A64" w14:textId="5C544F99" w:rsidR="00817778" w:rsidRPr="00543C25" w:rsidRDefault="00905C12" w:rsidP="00914A73">
            <w:pPr>
              <w:pStyle w:val="-4"/>
              <w:pBdr>
                <w:bottom w:val="single" w:sz="4" w:space="1" w:color="auto"/>
              </w:pBdr>
              <w:spacing w:line="240" w:lineRule="exact"/>
              <w:rPr>
                <w:rtl/>
              </w:rPr>
            </w:pPr>
            <w:r w:rsidRPr="00905C12">
              <w:rPr>
                <w:rtl/>
              </w:rPr>
              <w:fldChar w:fldCharType="begin"/>
            </w:r>
            <w:r w:rsidRPr="00905C12">
              <w:rPr>
                <w:rtl/>
              </w:rPr>
              <w:instrText xml:space="preserve"> </w:instrText>
            </w:r>
            <w:r w:rsidRPr="00905C12">
              <w:rPr>
                <w:rFonts w:hint="cs"/>
                <w:rtl/>
              </w:rPr>
              <w:instrText xml:space="preserve">= </w:instrText>
            </w:r>
            <w:r w:rsidRPr="00905C12">
              <w:rPr>
                <w:rFonts w:hint="cs"/>
              </w:rPr>
              <w:instrText>CY \* MERGEFORMAT</w:instrText>
            </w:r>
            <w:r w:rsidRPr="00905C12">
              <w:rPr>
                <w:rtl/>
              </w:rPr>
              <w:instrText xml:space="preserve"> </w:instrText>
            </w:r>
            <w:r w:rsidRPr="00905C12">
              <w:rPr>
                <w:rtl/>
              </w:rPr>
              <w:fldChar w:fldCharType="separate"/>
            </w:r>
            <w:r w:rsidR="003A584F">
              <w:rPr>
                <w:noProof/>
                <w:rtl/>
              </w:rPr>
              <w:t>2024</w:t>
            </w:r>
            <w:r w:rsidRPr="00905C12">
              <w:rPr>
                <w:rtl/>
              </w:rPr>
              <w:fldChar w:fldCharType="end"/>
            </w:r>
          </w:p>
        </w:tc>
        <w:tc>
          <w:tcPr>
            <w:tcW w:w="953" w:type="dxa"/>
            <w:vAlign w:val="bottom"/>
          </w:tcPr>
          <w:p w14:paraId="78B96D6A" w14:textId="74D7CB25" w:rsidR="00817778" w:rsidRPr="00543C25" w:rsidRDefault="00905C12" w:rsidP="00914A73">
            <w:pPr>
              <w:pStyle w:val="-4"/>
              <w:pBdr>
                <w:bottom w:val="single" w:sz="4" w:space="1" w:color="auto"/>
              </w:pBdr>
              <w:spacing w:line="240" w:lineRule="exact"/>
              <w:rPr>
                <w:rtl/>
              </w:rPr>
            </w:pPr>
            <w:r w:rsidRPr="00905C12">
              <w:rPr>
                <w:rtl/>
              </w:rPr>
              <w:fldChar w:fldCharType="begin"/>
            </w:r>
            <w:r w:rsidRPr="00905C12">
              <w:rPr>
                <w:rtl/>
              </w:rPr>
              <w:instrText xml:space="preserve"> </w:instrText>
            </w:r>
            <w:r w:rsidRPr="00905C12">
              <w:rPr>
                <w:rFonts w:hint="cs"/>
                <w:rtl/>
              </w:rPr>
              <w:instrText xml:space="preserve">= </w:instrText>
            </w:r>
            <w:r w:rsidRPr="00905C12">
              <w:rPr>
                <w:rFonts w:hint="cs"/>
              </w:rPr>
              <w:instrText>CY</w:instrText>
            </w:r>
            <w:r>
              <w:instrText>-1</w:instrText>
            </w:r>
            <w:r w:rsidRPr="00905C12">
              <w:rPr>
                <w:rFonts w:hint="cs"/>
              </w:rPr>
              <w:instrText xml:space="preserve"> \* MERGEFORMAT</w:instrText>
            </w:r>
            <w:r w:rsidRPr="00905C12">
              <w:rPr>
                <w:rtl/>
              </w:rPr>
              <w:instrText xml:space="preserve"> </w:instrText>
            </w:r>
            <w:r w:rsidRPr="00905C12">
              <w:rPr>
                <w:rtl/>
              </w:rPr>
              <w:fldChar w:fldCharType="separate"/>
            </w:r>
            <w:r w:rsidR="003A584F">
              <w:rPr>
                <w:noProof/>
                <w:rtl/>
              </w:rPr>
              <w:t>2023</w:t>
            </w:r>
            <w:r w:rsidRPr="00905C12">
              <w:rPr>
                <w:rtl/>
              </w:rPr>
              <w:fldChar w:fldCharType="end"/>
            </w:r>
          </w:p>
        </w:tc>
        <w:tc>
          <w:tcPr>
            <w:tcW w:w="1154" w:type="dxa"/>
            <w:vAlign w:val="bottom"/>
          </w:tcPr>
          <w:p w14:paraId="7CA77975" w14:textId="3230CBF4" w:rsidR="00817778" w:rsidRPr="00543C25" w:rsidRDefault="00905C12" w:rsidP="00914A73">
            <w:pPr>
              <w:pStyle w:val="-4"/>
              <w:pBdr>
                <w:bottom w:val="single" w:sz="4" w:space="1" w:color="auto"/>
              </w:pBdr>
              <w:spacing w:line="240" w:lineRule="exact"/>
              <w:rPr>
                <w:rtl/>
              </w:rPr>
            </w:pPr>
            <w:r w:rsidRPr="00905C12">
              <w:rPr>
                <w:rtl/>
              </w:rPr>
              <w:fldChar w:fldCharType="begin"/>
            </w:r>
            <w:r w:rsidRPr="00905C12">
              <w:rPr>
                <w:rtl/>
              </w:rPr>
              <w:instrText xml:space="preserve"> </w:instrText>
            </w:r>
            <w:r w:rsidRPr="00905C12">
              <w:rPr>
                <w:rFonts w:hint="cs"/>
                <w:rtl/>
              </w:rPr>
              <w:instrText xml:space="preserve">= </w:instrText>
            </w:r>
            <w:r w:rsidRPr="00905C12">
              <w:rPr>
                <w:rFonts w:hint="cs"/>
              </w:rPr>
              <w:instrText>CY</w:instrText>
            </w:r>
            <w:r>
              <w:instrText>-1</w:instrText>
            </w:r>
            <w:r w:rsidRPr="00905C12">
              <w:rPr>
                <w:rFonts w:hint="cs"/>
              </w:rPr>
              <w:instrText xml:space="preserve"> \* MERGEFORMAT</w:instrText>
            </w:r>
            <w:r w:rsidRPr="00905C12">
              <w:rPr>
                <w:rtl/>
              </w:rPr>
              <w:instrText xml:space="preserve"> </w:instrText>
            </w:r>
            <w:r w:rsidRPr="00905C12">
              <w:rPr>
                <w:rtl/>
              </w:rPr>
              <w:fldChar w:fldCharType="separate"/>
            </w:r>
            <w:r w:rsidR="003A584F">
              <w:rPr>
                <w:noProof/>
                <w:rtl/>
              </w:rPr>
              <w:t>2023</w:t>
            </w:r>
            <w:r w:rsidRPr="00905C12">
              <w:rPr>
                <w:rtl/>
              </w:rPr>
              <w:fldChar w:fldCharType="end"/>
            </w:r>
          </w:p>
        </w:tc>
      </w:tr>
      <w:tr w:rsidR="00536302" w:rsidRPr="00543C25" w14:paraId="3B7F3CB4" w14:textId="77777777" w:rsidTr="004A1ADA">
        <w:tc>
          <w:tcPr>
            <w:tcW w:w="1361" w:type="dxa"/>
          </w:tcPr>
          <w:p w14:paraId="4A3683FF" w14:textId="77777777" w:rsidR="00536302" w:rsidRPr="00ED6312" w:rsidRDefault="00536302" w:rsidP="00DC0ABC">
            <w:pPr>
              <w:pStyle w:val="-7"/>
              <w:bidi w:val="0"/>
              <w:spacing w:line="240" w:lineRule="exact"/>
              <w:ind w:right="-231"/>
              <w:jc w:val="left"/>
              <w:rPr>
                <w:spacing w:val="-6"/>
                <w:sz w:val="14"/>
                <w:szCs w:val="14"/>
                <w:rtl/>
              </w:rPr>
            </w:pPr>
          </w:p>
        </w:tc>
        <w:tc>
          <w:tcPr>
            <w:tcW w:w="4920" w:type="dxa"/>
            <w:vAlign w:val="bottom"/>
          </w:tcPr>
          <w:p w14:paraId="2872B9D6" w14:textId="77777777" w:rsidR="00536302" w:rsidRPr="00543C25" w:rsidRDefault="00536302" w:rsidP="00DC0ABC">
            <w:pPr>
              <w:pStyle w:val="-0"/>
              <w:spacing w:line="240" w:lineRule="exact"/>
              <w:rPr>
                <w:rtl/>
              </w:rPr>
            </w:pPr>
          </w:p>
        </w:tc>
        <w:tc>
          <w:tcPr>
            <w:tcW w:w="746" w:type="dxa"/>
            <w:vAlign w:val="bottom"/>
          </w:tcPr>
          <w:p w14:paraId="5450054E" w14:textId="77777777" w:rsidR="00B81279" w:rsidRPr="00E17457" w:rsidRDefault="00536302" w:rsidP="00DC0ABC">
            <w:pPr>
              <w:pStyle w:val="-5"/>
              <w:pBdr>
                <w:bottom w:val="single" w:sz="4" w:space="1" w:color="auto"/>
              </w:pBdr>
              <w:spacing w:line="240" w:lineRule="exact"/>
              <w:jc w:val="center"/>
              <w:rPr>
                <w:rtl/>
              </w:rPr>
            </w:pPr>
            <w:r w:rsidRPr="00E17457">
              <w:rPr>
                <w:rFonts w:hint="cs"/>
                <w:rtl/>
              </w:rPr>
              <w:t>ביאור</w:t>
            </w:r>
          </w:p>
        </w:tc>
        <w:tc>
          <w:tcPr>
            <w:tcW w:w="1923" w:type="dxa"/>
            <w:gridSpan w:val="2"/>
            <w:vAlign w:val="bottom"/>
          </w:tcPr>
          <w:p w14:paraId="1CE874E1" w14:textId="77777777" w:rsidR="00536302" w:rsidRPr="00543C25" w:rsidRDefault="00536302" w:rsidP="00DC0ABC">
            <w:pPr>
              <w:pStyle w:val="-4"/>
              <w:pBdr>
                <w:bottom w:val="single" w:sz="4" w:space="1" w:color="auto"/>
              </w:pBdr>
              <w:spacing w:line="240" w:lineRule="exact"/>
              <w:rPr>
                <w:rtl/>
              </w:rPr>
            </w:pPr>
            <w:r>
              <w:rPr>
                <w:rFonts w:hint="cs"/>
                <w:rtl/>
              </w:rPr>
              <w:t>בלתי מבוקר</w:t>
            </w:r>
          </w:p>
        </w:tc>
        <w:tc>
          <w:tcPr>
            <w:tcW w:w="1154" w:type="dxa"/>
            <w:vAlign w:val="bottom"/>
          </w:tcPr>
          <w:p w14:paraId="1CD892AA" w14:textId="77777777" w:rsidR="00536302" w:rsidRPr="00543C25" w:rsidRDefault="00536302" w:rsidP="00DC0ABC">
            <w:pPr>
              <w:pStyle w:val="-4"/>
              <w:pBdr>
                <w:bottom w:val="single" w:sz="4" w:space="1" w:color="auto"/>
              </w:pBdr>
              <w:spacing w:line="240" w:lineRule="exact"/>
              <w:rPr>
                <w:rtl/>
              </w:rPr>
            </w:pPr>
            <w:r>
              <w:rPr>
                <w:rFonts w:hint="cs"/>
                <w:rtl/>
              </w:rPr>
              <w:t>מבוקר</w:t>
            </w:r>
          </w:p>
        </w:tc>
      </w:tr>
      <w:tr w:rsidR="00536302" w:rsidRPr="00543C25" w14:paraId="1EE66896" w14:textId="77777777" w:rsidTr="004A1ADA">
        <w:tc>
          <w:tcPr>
            <w:tcW w:w="1361" w:type="dxa"/>
          </w:tcPr>
          <w:p w14:paraId="1B48A108" w14:textId="77777777" w:rsidR="00536302" w:rsidRPr="00ED6312" w:rsidRDefault="00536302" w:rsidP="00DC0ABC">
            <w:pPr>
              <w:pStyle w:val="-7"/>
              <w:bidi w:val="0"/>
              <w:spacing w:line="240" w:lineRule="exact"/>
              <w:ind w:right="-231"/>
              <w:jc w:val="left"/>
              <w:rPr>
                <w:spacing w:val="-6"/>
                <w:sz w:val="14"/>
                <w:szCs w:val="14"/>
                <w:rtl/>
              </w:rPr>
            </w:pPr>
          </w:p>
        </w:tc>
        <w:tc>
          <w:tcPr>
            <w:tcW w:w="4920" w:type="dxa"/>
            <w:vAlign w:val="bottom"/>
          </w:tcPr>
          <w:p w14:paraId="4C566900" w14:textId="77777777" w:rsidR="00536302" w:rsidRPr="00543C25" w:rsidRDefault="00536302" w:rsidP="00DC0ABC">
            <w:pPr>
              <w:pStyle w:val="-f"/>
              <w:spacing w:line="240" w:lineRule="exact"/>
              <w:rPr>
                <w:rtl/>
              </w:rPr>
            </w:pPr>
            <w:r w:rsidRPr="00543C25">
              <w:rPr>
                <w:rtl/>
              </w:rPr>
              <w:t>התחייבויות והון</w:t>
            </w:r>
          </w:p>
        </w:tc>
        <w:tc>
          <w:tcPr>
            <w:tcW w:w="746" w:type="dxa"/>
            <w:vAlign w:val="bottom"/>
          </w:tcPr>
          <w:p w14:paraId="2A070E93" w14:textId="77777777" w:rsidR="00536302" w:rsidRPr="00E17457" w:rsidRDefault="00536302" w:rsidP="00DC0ABC">
            <w:pPr>
              <w:pStyle w:val="-0"/>
              <w:spacing w:line="240" w:lineRule="exact"/>
              <w:ind w:left="0" w:firstLine="0"/>
              <w:jc w:val="center"/>
              <w:rPr>
                <w:rtl/>
              </w:rPr>
            </w:pPr>
          </w:p>
        </w:tc>
        <w:tc>
          <w:tcPr>
            <w:tcW w:w="970" w:type="dxa"/>
            <w:vAlign w:val="bottom"/>
          </w:tcPr>
          <w:p w14:paraId="6BC6F49E" w14:textId="77777777" w:rsidR="00536302" w:rsidRPr="00543C25" w:rsidRDefault="00536302" w:rsidP="00DC0ABC">
            <w:pPr>
              <w:spacing w:line="240" w:lineRule="exact"/>
              <w:jc w:val="center"/>
              <w:rPr>
                <w:rtl/>
              </w:rPr>
            </w:pPr>
          </w:p>
        </w:tc>
        <w:tc>
          <w:tcPr>
            <w:tcW w:w="953" w:type="dxa"/>
            <w:vAlign w:val="bottom"/>
          </w:tcPr>
          <w:p w14:paraId="4AA33BB9" w14:textId="77777777" w:rsidR="00536302" w:rsidRPr="00543C25" w:rsidRDefault="00536302" w:rsidP="00DC0ABC">
            <w:pPr>
              <w:spacing w:line="240" w:lineRule="exact"/>
              <w:jc w:val="center"/>
              <w:rPr>
                <w:rtl/>
              </w:rPr>
            </w:pPr>
          </w:p>
        </w:tc>
        <w:tc>
          <w:tcPr>
            <w:tcW w:w="1154" w:type="dxa"/>
            <w:vAlign w:val="bottom"/>
          </w:tcPr>
          <w:p w14:paraId="7336F874" w14:textId="77777777" w:rsidR="00536302" w:rsidRPr="00543C25" w:rsidRDefault="00536302" w:rsidP="00DC0ABC">
            <w:pPr>
              <w:spacing w:line="240" w:lineRule="exact"/>
              <w:jc w:val="center"/>
              <w:rPr>
                <w:rtl/>
              </w:rPr>
            </w:pPr>
          </w:p>
        </w:tc>
      </w:tr>
      <w:tr w:rsidR="009F35EF" w:rsidRPr="00543C25" w14:paraId="3F3FC829" w14:textId="77777777" w:rsidTr="004A1ADA">
        <w:tc>
          <w:tcPr>
            <w:tcW w:w="1361" w:type="dxa"/>
          </w:tcPr>
          <w:p w14:paraId="08471272" w14:textId="77777777" w:rsidR="00F32A2A" w:rsidRDefault="00F32A2A">
            <w:pPr>
              <w:pStyle w:val="-7"/>
              <w:bidi w:val="0"/>
              <w:spacing w:line="60" w:lineRule="exact"/>
              <w:ind w:right="-231"/>
              <w:rPr>
                <w:spacing w:val="-6"/>
                <w:sz w:val="14"/>
                <w:szCs w:val="14"/>
                <w:rtl/>
              </w:rPr>
            </w:pPr>
          </w:p>
        </w:tc>
        <w:tc>
          <w:tcPr>
            <w:tcW w:w="4920" w:type="dxa"/>
            <w:vAlign w:val="bottom"/>
          </w:tcPr>
          <w:p w14:paraId="299B4BA0" w14:textId="77777777" w:rsidR="00F32A2A" w:rsidRDefault="00F32A2A">
            <w:pPr>
              <w:pStyle w:val="-0"/>
              <w:bidi w:val="0"/>
              <w:spacing w:line="60" w:lineRule="exact"/>
              <w:jc w:val="both"/>
              <w:rPr>
                <w:rtl/>
              </w:rPr>
            </w:pPr>
          </w:p>
        </w:tc>
        <w:tc>
          <w:tcPr>
            <w:tcW w:w="746" w:type="dxa"/>
            <w:vAlign w:val="bottom"/>
          </w:tcPr>
          <w:p w14:paraId="45B0F30B" w14:textId="77777777" w:rsidR="00F32A2A" w:rsidRDefault="00F32A2A">
            <w:pPr>
              <w:pStyle w:val="-0"/>
              <w:bidi w:val="0"/>
              <w:spacing w:line="60" w:lineRule="exact"/>
              <w:ind w:left="0" w:firstLine="0"/>
              <w:jc w:val="both"/>
              <w:rPr>
                <w:rtl/>
              </w:rPr>
            </w:pPr>
          </w:p>
        </w:tc>
        <w:tc>
          <w:tcPr>
            <w:tcW w:w="970" w:type="dxa"/>
            <w:vAlign w:val="bottom"/>
          </w:tcPr>
          <w:p w14:paraId="3068D67F" w14:textId="77777777" w:rsidR="00F32A2A" w:rsidRDefault="00F32A2A">
            <w:pPr>
              <w:pStyle w:val="-3"/>
              <w:bidi w:val="0"/>
              <w:spacing w:line="60" w:lineRule="exact"/>
              <w:rPr>
                <w:rtl/>
              </w:rPr>
            </w:pPr>
          </w:p>
        </w:tc>
        <w:tc>
          <w:tcPr>
            <w:tcW w:w="953" w:type="dxa"/>
            <w:vAlign w:val="bottom"/>
          </w:tcPr>
          <w:p w14:paraId="40F99663" w14:textId="77777777" w:rsidR="00F32A2A" w:rsidRDefault="00F32A2A">
            <w:pPr>
              <w:pStyle w:val="-3"/>
              <w:bidi w:val="0"/>
              <w:spacing w:line="60" w:lineRule="exact"/>
              <w:rPr>
                <w:rtl/>
              </w:rPr>
            </w:pPr>
          </w:p>
        </w:tc>
        <w:tc>
          <w:tcPr>
            <w:tcW w:w="1154" w:type="dxa"/>
            <w:vAlign w:val="bottom"/>
          </w:tcPr>
          <w:p w14:paraId="420B1C0C" w14:textId="77777777" w:rsidR="00F32A2A" w:rsidRDefault="00F32A2A">
            <w:pPr>
              <w:pStyle w:val="-3"/>
              <w:bidi w:val="0"/>
              <w:spacing w:line="60" w:lineRule="exact"/>
              <w:rPr>
                <w:rtl/>
              </w:rPr>
            </w:pPr>
          </w:p>
        </w:tc>
      </w:tr>
      <w:tr w:rsidR="00536302" w:rsidRPr="00543C25" w14:paraId="3655A4E5" w14:textId="77777777" w:rsidTr="004A1ADA">
        <w:tc>
          <w:tcPr>
            <w:tcW w:w="1361" w:type="dxa"/>
          </w:tcPr>
          <w:p w14:paraId="0CEE9188" w14:textId="77777777" w:rsidR="00F32A2A" w:rsidRDefault="00F32A2A">
            <w:pPr>
              <w:pStyle w:val="-7"/>
              <w:bidi w:val="0"/>
              <w:spacing w:before="20" w:line="240" w:lineRule="exact"/>
              <w:ind w:right="-231"/>
              <w:jc w:val="left"/>
              <w:rPr>
                <w:spacing w:val="-6"/>
                <w:sz w:val="14"/>
                <w:szCs w:val="14"/>
                <w:rtl/>
              </w:rPr>
            </w:pPr>
          </w:p>
        </w:tc>
        <w:tc>
          <w:tcPr>
            <w:tcW w:w="4920" w:type="dxa"/>
            <w:vAlign w:val="bottom"/>
          </w:tcPr>
          <w:p w14:paraId="3751D092" w14:textId="77777777" w:rsidR="00F32A2A" w:rsidRDefault="00536302">
            <w:pPr>
              <w:pStyle w:val="-0"/>
              <w:spacing w:before="20" w:line="240" w:lineRule="exact"/>
              <w:rPr>
                <w:rtl/>
              </w:rPr>
            </w:pPr>
            <w:r w:rsidRPr="00543C25">
              <w:rPr>
                <w:rtl/>
              </w:rPr>
              <w:t>פ</w:t>
            </w:r>
            <w:r>
              <w:rPr>
                <w:rFonts w:hint="cs"/>
                <w:rtl/>
              </w:rPr>
              <w:t>י</w:t>
            </w:r>
            <w:r w:rsidRPr="00543C25">
              <w:rPr>
                <w:rtl/>
              </w:rPr>
              <w:t>קדונות הציבור</w:t>
            </w:r>
          </w:p>
        </w:tc>
        <w:tc>
          <w:tcPr>
            <w:tcW w:w="746" w:type="dxa"/>
            <w:vAlign w:val="bottom"/>
          </w:tcPr>
          <w:p w14:paraId="58BB336D" w14:textId="77777777" w:rsidR="00F32A2A" w:rsidRDefault="00900746">
            <w:pPr>
              <w:pStyle w:val="-0"/>
              <w:spacing w:before="20" w:line="240" w:lineRule="exact"/>
              <w:ind w:left="0" w:firstLine="0"/>
              <w:jc w:val="center"/>
              <w:rPr>
                <w:rtl/>
              </w:rPr>
            </w:pPr>
            <w:r>
              <w:rPr>
                <w:rFonts w:hint="cs"/>
                <w:rtl/>
              </w:rPr>
              <w:t>7</w:t>
            </w:r>
          </w:p>
        </w:tc>
        <w:tc>
          <w:tcPr>
            <w:tcW w:w="970" w:type="dxa"/>
            <w:vAlign w:val="bottom"/>
          </w:tcPr>
          <w:p w14:paraId="20B0B3E4" w14:textId="77777777" w:rsidR="00F32A2A" w:rsidRDefault="00536302">
            <w:pPr>
              <w:pStyle w:val="-3"/>
              <w:spacing w:before="20" w:line="240" w:lineRule="exact"/>
              <w:rPr>
                <w:rtl/>
              </w:rPr>
            </w:pPr>
            <w:r w:rsidRPr="00543C25">
              <w:rPr>
                <w:rFonts w:hint="cs"/>
                <w:rtl/>
              </w:rPr>
              <w:t xml:space="preserve"> </w:t>
            </w:r>
            <w:r w:rsidRPr="00543C25">
              <w:rPr>
                <w:rtl/>
              </w:rPr>
              <w:t>0</w:t>
            </w:r>
          </w:p>
        </w:tc>
        <w:tc>
          <w:tcPr>
            <w:tcW w:w="953" w:type="dxa"/>
            <w:vAlign w:val="bottom"/>
          </w:tcPr>
          <w:p w14:paraId="35F1FCC2" w14:textId="77777777" w:rsidR="00F32A2A" w:rsidRDefault="00536302">
            <w:pPr>
              <w:pStyle w:val="-3"/>
              <w:spacing w:before="20" w:line="240" w:lineRule="exact"/>
              <w:rPr>
                <w:rtl/>
              </w:rPr>
            </w:pPr>
            <w:r w:rsidRPr="00543C25">
              <w:rPr>
                <w:rFonts w:hint="cs"/>
                <w:rtl/>
              </w:rPr>
              <w:t xml:space="preserve"> </w:t>
            </w:r>
            <w:r w:rsidRPr="00543C25">
              <w:rPr>
                <w:rtl/>
              </w:rPr>
              <w:t>0</w:t>
            </w:r>
          </w:p>
        </w:tc>
        <w:tc>
          <w:tcPr>
            <w:tcW w:w="1154" w:type="dxa"/>
            <w:vAlign w:val="bottom"/>
          </w:tcPr>
          <w:p w14:paraId="1F7A6A88" w14:textId="77777777" w:rsidR="00F32A2A" w:rsidRDefault="00536302">
            <w:pPr>
              <w:pStyle w:val="-3"/>
              <w:spacing w:before="20" w:line="240" w:lineRule="exact"/>
              <w:rPr>
                <w:rtl/>
              </w:rPr>
            </w:pPr>
            <w:r w:rsidRPr="00543C25">
              <w:rPr>
                <w:rFonts w:hint="cs"/>
                <w:rtl/>
              </w:rPr>
              <w:t xml:space="preserve"> </w:t>
            </w:r>
            <w:r w:rsidRPr="00543C25">
              <w:rPr>
                <w:rtl/>
              </w:rPr>
              <w:t>0</w:t>
            </w:r>
          </w:p>
        </w:tc>
      </w:tr>
      <w:tr w:rsidR="00536302" w:rsidRPr="00543C25" w14:paraId="2FF89C91" w14:textId="77777777" w:rsidTr="004A1ADA">
        <w:tc>
          <w:tcPr>
            <w:tcW w:w="1361" w:type="dxa"/>
          </w:tcPr>
          <w:p w14:paraId="0EA3B598" w14:textId="77777777" w:rsidR="00F32A2A" w:rsidRDefault="00F32A2A">
            <w:pPr>
              <w:pStyle w:val="-7"/>
              <w:bidi w:val="0"/>
              <w:spacing w:before="20" w:line="240" w:lineRule="exact"/>
              <w:ind w:right="-231"/>
              <w:jc w:val="left"/>
              <w:rPr>
                <w:spacing w:val="-6"/>
                <w:sz w:val="14"/>
                <w:szCs w:val="14"/>
              </w:rPr>
            </w:pPr>
          </w:p>
        </w:tc>
        <w:tc>
          <w:tcPr>
            <w:tcW w:w="4920" w:type="dxa"/>
            <w:vAlign w:val="bottom"/>
          </w:tcPr>
          <w:p w14:paraId="397A37E0" w14:textId="77777777" w:rsidR="00F32A2A" w:rsidRDefault="00536302">
            <w:pPr>
              <w:pStyle w:val="-0"/>
              <w:spacing w:before="20" w:line="240" w:lineRule="exact"/>
              <w:rPr>
                <w:rtl/>
              </w:rPr>
            </w:pPr>
            <w:r w:rsidRPr="00543C25">
              <w:rPr>
                <w:rtl/>
              </w:rPr>
              <w:t>פ</w:t>
            </w:r>
            <w:r>
              <w:rPr>
                <w:rFonts w:hint="cs"/>
                <w:rtl/>
              </w:rPr>
              <w:t>י</w:t>
            </w:r>
            <w:r w:rsidRPr="00543C25">
              <w:rPr>
                <w:rtl/>
              </w:rPr>
              <w:t>קדונות מבנקים</w:t>
            </w:r>
          </w:p>
        </w:tc>
        <w:tc>
          <w:tcPr>
            <w:tcW w:w="746" w:type="dxa"/>
            <w:vAlign w:val="bottom"/>
          </w:tcPr>
          <w:p w14:paraId="20BE53EF" w14:textId="77777777" w:rsidR="00F32A2A" w:rsidRDefault="00F32A2A">
            <w:pPr>
              <w:pStyle w:val="-0"/>
              <w:spacing w:before="20" w:line="240" w:lineRule="exact"/>
              <w:ind w:left="0" w:firstLine="0"/>
              <w:jc w:val="center"/>
              <w:rPr>
                <w:rtl/>
              </w:rPr>
            </w:pPr>
          </w:p>
        </w:tc>
        <w:tc>
          <w:tcPr>
            <w:tcW w:w="970" w:type="dxa"/>
            <w:vAlign w:val="bottom"/>
          </w:tcPr>
          <w:p w14:paraId="40A6BD35" w14:textId="77777777" w:rsidR="00F32A2A" w:rsidRDefault="00536302">
            <w:pPr>
              <w:pStyle w:val="-3"/>
              <w:spacing w:before="20" w:line="240" w:lineRule="exact"/>
              <w:rPr>
                <w:rtl/>
              </w:rPr>
            </w:pPr>
            <w:r w:rsidRPr="00543C25">
              <w:rPr>
                <w:rFonts w:hint="cs"/>
                <w:rtl/>
              </w:rPr>
              <w:t xml:space="preserve"> </w:t>
            </w:r>
            <w:r w:rsidRPr="00543C25">
              <w:rPr>
                <w:rtl/>
              </w:rPr>
              <w:t>0</w:t>
            </w:r>
          </w:p>
        </w:tc>
        <w:tc>
          <w:tcPr>
            <w:tcW w:w="953" w:type="dxa"/>
            <w:vAlign w:val="bottom"/>
          </w:tcPr>
          <w:p w14:paraId="57B57BBC" w14:textId="77777777" w:rsidR="00F32A2A" w:rsidRDefault="00536302">
            <w:pPr>
              <w:pStyle w:val="-3"/>
              <w:spacing w:before="20" w:line="240" w:lineRule="exact"/>
              <w:rPr>
                <w:rtl/>
              </w:rPr>
            </w:pPr>
            <w:r w:rsidRPr="00543C25">
              <w:rPr>
                <w:rFonts w:hint="cs"/>
                <w:rtl/>
              </w:rPr>
              <w:t xml:space="preserve"> </w:t>
            </w:r>
            <w:r w:rsidRPr="00543C25">
              <w:rPr>
                <w:rtl/>
              </w:rPr>
              <w:t>0</w:t>
            </w:r>
          </w:p>
        </w:tc>
        <w:tc>
          <w:tcPr>
            <w:tcW w:w="1154" w:type="dxa"/>
            <w:vAlign w:val="bottom"/>
          </w:tcPr>
          <w:p w14:paraId="6858C132" w14:textId="77777777" w:rsidR="00F32A2A" w:rsidRDefault="00536302">
            <w:pPr>
              <w:pStyle w:val="-3"/>
              <w:spacing w:before="20" w:line="240" w:lineRule="exact"/>
              <w:rPr>
                <w:rtl/>
              </w:rPr>
            </w:pPr>
            <w:r w:rsidRPr="00543C25">
              <w:rPr>
                <w:rFonts w:hint="cs"/>
                <w:rtl/>
              </w:rPr>
              <w:t xml:space="preserve"> </w:t>
            </w:r>
            <w:r w:rsidRPr="00543C25">
              <w:rPr>
                <w:rtl/>
              </w:rPr>
              <w:t>0</w:t>
            </w:r>
          </w:p>
        </w:tc>
      </w:tr>
      <w:tr w:rsidR="00536302" w:rsidRPr="00543C25" w14:paraId="75E29441" w14:textId="77777777" w:rsidTr="004A1ADA">
        <w:tc>
          <w:tcPr>
            <w:tcW w:w="1361" w:type="dxa"/>
          </w:tcPr>
          <w:p w14:paraId="6F9B34C0" w14:textId="2CF543A9" w:rsidR="00F32A2A" w:rsidRPr="00D85768" w:rsidRDefault="00F32A2A" w:rsidP="00C54A90">
            <w:pPr>
              <w:pStyle w:val="-7"/>
              <w:spacing w:before="20" w:line="240" w:lineRule="exact"/>
              <w:ind w:right="-231"/>
              <w:jc w:val="left"/>
              <w:rPr>
                <w:color w:val="000000"/>
                <w:spacing w:val="-6"/>
                <w:sz w:val="14"/>
                <w:szCs w:val="14"/>
                <w:rtl/>
              </w:rPr>
            </w:pPr>
          </w:p>
        </w:tc>
        <w:tc>
          <w:tcPr>
            <w:tcW w:w="4920" w:type="dxa"/>
            <w:vAlign w:val="bottom"/>
          </w:tcPr>
          <w:p w14:paraId="30438DEE" w14:textId="77777777" w:rsidR="00F32A2A" w:rsidRDefault="00536302" w:rsidP="005F097E">
            <w:pPr>
              <w:pStyle w:val="-0"/>
              <w:spacing w:before="20" w:line="240" w:lineRule="exact"/>
              <w:rPr>
                <w:rtl/>
              </w:rPr>
            </w:pPr>
            <w:r w:rsidRPr="00543C25">
              <w:rPr>
                <w:rtl/>
              </w:rPr>
              <w:t>פ</w:t>
            </w:r>
            <w:r>
              <w:rPr>
                <w:rFonts w:hint="cs"/>
                <w:rtl/>
              </w:rPr>
              <w:t>י</w:t>
            </w:r>
            <w:r w:rsidRPr="00543C25">
              <w:rPr>
                <w:rtl/>
              </w:rPr>
              <w:t>קדונות הממשלה</w:t>
            </w:r>
          </w:p>
        </w:tc>
        <w:tc>
          <w:tcPr>
            <w:tcW w:w="746" w:type="dxa"/>
            <w:vAlign w:val="bottom"/>
          </w:tcPr>
          <w:p w14:paraId="2AA8B7C2" w14:textId="77777777" w:rsidR="00F32A2A" w:rsidRDefault="00F32A2A">
            <w:pPr>
              <w:pStyle w:val="-0"/>
              <w:spacing w:before="20" w:line="240" w:lineRule="exact"/>
              <w:ind w:left="0" w:firstLine="0"/>
              <w:jc w:val="center"/>
              <w:rPr>
                <w:rtl/>
              </w:rPr>
            </w:pPr>
          </w:p>
        </w:tc>
        <w:tc>
          <w:tcPr>
            <w:tcW w:w="970" w:type="dxa"/>
            <w:vAlign w:val="bottom"/>
          </w:tcPr>
          <w:p w14:paraId="259E4E37" w14:textId="77777777" w:rsidR="00F32A2A" w:rsidRDefault="00536302">
            <w:pPr>
              <w:pStyle w:val="-3"/>
              <w:spacing w:before="20" w:line="240" w:lineRule="exact"/>
              <w:rPr>
                <w:rtl/>
              </w:rPr>
            </w:pPr>
            <w:r w:rsidRPr="00543C25">
              <w:rPr>
                <w:rFonts w:hint="cs"/>
                <w:rtl/>
              </w:rPr>
              <w:t xml:space="preserve"> </w:t>
            </w:r>
            <w:r w:rsidRPr="00543C25">
              <w:rPr>
                <w:rtl/>
              </w:rPr>
              <w:t>0</w:t>
            </w:r>
          </w:p>
        </w:tc>
        <w:tc>
          <w:tcPr>
            <w:tcW w:w="953" w:type="dxa"/>
            <w:vAlign w:val="bottom"/>
          </w:tcPr>
          <w:p w14:paraId="452B6B6C" w14:textId="77777777" w:rsidR="00F32A2A" w:rsidRDefault="00536302">
            <w:pPr>
              <w:pStyle w:val="-3"/>
              <w:spacing w:before="20" w:line="240" w:lineRule="exact"/>
              <w:rPr>
                <w:rtl/>
              </w:rPr>
            </w:pPr>
            <w:r w:rsidRPr="00543C25">
              <w:rPr>
                <w:rFonts w:hint="cs"/>
                <w:rtl/>
              </w:rPr>
              <w:t xml:space="preserve"> </w:t>
            </w:r>
            <w:r w:rsidRPr="00543C25">
              <w:rPr>
                <w:rtl/>
              </w:rPr>
              <w:t>0</w:t>
            </w:r>
          </w:p>
        </w:tc>
        <w:tc>
          <w:tcPr>
            <w:tcW w:w="1154" w:type="dxa"/>
            <w:vAlign w:val="bottom"/>
          </w:tcPr>
          <w:p w14:paraId="2DC4E71A" w14:textId="77777777" w:rsidR="00F32A2A" w:rsidRDefault="00536302">
            <w:pPr>
              <w:pStyle w:val="-3"/>
              <w:spacing w:before="20" w:line="240" w:lineRule="exact"/>
              <w:rPr>
                <w:rtl/>
              </w:rPr>
            </w:pPr>
            <w:r w:rsidRPr="00543C25">
              <w:rPr>
                <w:rFonts w:hint="cs"/>
                <w:rtl/>
              </w:rPr>
              <w:t xml:space="preserve"> </w:t>
            </w:r>
            <w:r w:rsidRPr="00543C25">
              <w:rPr>
                <w:rtl/>
              </w:rPr>
              <w:t>0</w:t>
            </w:r>
          </w:p>
        </w:tc>
      </w:tr>
      <w:tr w:rsidR="00536302" w:rsidRPr="00543C25" w14:paraId="19941501" w14:textId="77777777" w:rsidTr="004A1ADA">
        <w:tc>
          <w:tcPr>
            <w:tcW w:w="1361" w:type="dxa"/>
          </w:tcPr>
          <w:p w14:paraId="105E6A37" w14:textId="77777777" w:rsidR="00F32A2A" w:rsidRPr="0079119C" w:rsidRDefault="00F32A2A">
            <w:pPr>
              <w:pStyle w:val="-7"/>
              <w:bidi w:val="0"/>
              <w:spacing w:before="20" w:line="240" w:lineRule="exact"/>
              <w:ind w:right="-231"/>
              <w:jc w:val="left"/>
              <w:rPr>
                <w:sz w:val="14"/>
                <w:szCs w:val="14"/>
                <w:rtl/>
              </w:rPr>
            </w:pPr>
          </w:p>
        </w:tc>
        <w:tc>
          <w:tcPr>
            <w:tcW w:w="4920" w:type="dxa"/>
            <w:vAlign w:val="bottom"/>
          </w:tcPr>
          <w:p w14:paraId="111D8957" w14:textId="77777777" w:rsidR="00F32A2A" w:rsidRDefault="00536302">
            <w:pPr>
              <w:pStyle w:val="-0"/>
              <w:spacing w:before="20" w:line="240" w:lineRule="exact"/>
              <w:rPr>
                <w:rtl/>
              </w:rPr>
            </w:pPr>
            <w:r w:rsidRPr="00543C25">
              <w:rPr>
                <w:rFonts w:hint="cs"/>
                <w:rtl/>
              </w:rPr>
              <w:t>ניירות ערך שהושאלו</w:t>
            </w:r>
            <w:r>
              <w:rPr>
                <w:rFonts w:hint="cs"/>
                <w:rtl/>
              </w:rPr>
              <w:t xml:space="preserve"> או נמכרו במסגרת הסכמי רכש חוזר</w:t>
            </w:r>
          </w:p>
        </w:tc>
        <w:tc>
          <w:tcPr>
            <w:tcW w:w="746" w:type="dxa"/>
            <w:vAlign w:val="bottom"/>
          </w:tcPr>
          <w:p w14:paraId="352A7B6A" w14:textId="77777777" w:rsidR="00F32A2A" w:rsidRDefault="00F32A2A">
            <w:pPr>
              <w:pStyle w:val="-0"/>
              <w:spacing w:before="20" w:line="240" w:lineRule="exact"/>
              <w:ind w:left="0" w:firstLine="0"/>
              <w:jc w:val="center"/>
              <w:rPr>
                <w:rtl/>
              </w:rPr>
            </w:pPr>
          </w:p>
        </w:tc>
        <w:tc>
          <w:tcPr>
            <w:tcW w:w="970" w:type="dxa"/>
            <w:vAlign w:val="bottom"/>
          </w:tcPr>
          <w:p w14:paraId="39CD5CD0" w14:textId="77777777" w:rsidR="00F32A2A" w:rsidRDefault="00536302">
            <w:pPr>
              <w:pStyle w:val="-3"/>
              <w:spacing w:before="20" w:line="240" w:lineRule="exact"/>
              <w:rPr>
                <w:rtl/>
              </w:rPr>
            </w:pPr>
            <w:r w:rsidRPr="00543C25">
              <w:rPr>
                <w:rFonts w:hint="cs"/>
                <w:rtl/>
              </w:rPr>
              <w:t xml:space="preserve"> </w:t>
            </w:r>
            <w:r w:rsidRPr="00543C25">
              <w:rPr>
                <w:rtl/>
              </w:rPr>
              <w:t>0</w:t>
            </w:r>
          </w:p>
        </w:tc>
        <w:tc>
          <w:tcPr>
            <w:tcW w:w="953" w:type="dxa"/>
            <w:vAlign w:val="bottom"/>
          </w:tcPr>
          <w:p w14:paraId="166E6019" w14:textId="77777777" w:rsidR="00F32A2A" w:rsidRDefault="00536302">
            <w:pPr>
              <w:pStyle w:val="-3"/>
              <w:spacing w:before="20" w:line="240" w:lineRule="exact"/>
              <w:rPr>
                <w:rtl/>
              </w:rPr>
            </w:pPr>
            <w:r w:rsidRPr="00543C25">
              <w:rPr>
                <w:rFonts w:hint="cs"/>
                <w:rtl/>
              </w:rPr>
              <w:t xml:space="preserve"> </w:t>
            </w:r>
            <w:r w:rsidRPr="00543C25">
              <w:rPr>
                <w:rtl/>
              </w:rPr>
              <w:t>0</w:t>
            </w:r>
          </w:p>
        </w:tc>
        <w:tc>
          <w:tcPr>
            <w:tcW w:w="1154" w:type="dxa"/>
            <w:vAlign w:val="bottom"/>
          </w:tcPr>
          <w:p w14:paraId="23694BF7" w14:textId="77777777" w:rsidR="00F32A2A" w:rsidRDefault="00536302">
            <w:pPr>
              <w:pStyle w:val="-3"/>
              <w:spacing w:before="20" w:line="240" w:lineRule="exact"/>
              <w:rPr>
                <w:rtl/>
              </w:rPr>
            </w:pPr>
            <w:r w:rsidRPr="00543C25">
              <w:rPr>
                <w:rFonts w:hint="cs"/>
                <w:rtl/>
              </w:rPr>
              <w:t xml:space="preserve"> </w:t>
            </w:r>
            <w:r w:rsidRPr="00543C25">
              <w:rPr>
                <w:rtl/>
              </w:rPr>
              <w:t>0</w:t>
            </w:r>
          </w:p>
        </w:tc>
      </w:tr>
      <w:tr w:rsidR="00536302" w:rsidRPr="00543C25" w14:paraId="3904AA5A" w14:textId="77777777" w:rsidTr="004A1ADA">
        <w:tc>
          <w:tcPr>
            <w:tcW w:w="1361" w:type="dxa"/>
          </w:tcPr>
          <w:p w14:paraId="60F68BC5" w14:textId="77777777" w:rsidR="00F32A2A" w:rsidRPr="0079119C" w:rsidRDefault="00F32A2A">
            <w:pPr>
              <w:pStyle w:val="-7"/>
              <w:bidi w:val="0"/>
              <w:spacing w:before="20" w:line="240" w:lineRule="exact"/>
              <w:ind w:right="-231"/>
              <w:jc w:val="left"/>
              <w:rPr>
                <w:sz w:val="14"/>
                <w:szCs w:val="14"/>
                <w:rtl/>
              </w:rPr>
            </w:pPr>
          </w:p>
        </w:tc>
        <w:tc>
          <w:tcPr>
            <w:tcW w:w="4920" w:type="dxa"/>
            <w:vAlign w:val="bottom"/>
          </w:tcPr>
          <w:p w14:paraId="6D5CFE8C" w14:textId="77777777" w:rsidR="00F32A2A" w:rsidRDefault="00A674A4">
            <w:pPr>
              <w:pStyle w:val="-0"/>
              <w:spacing w:before="20" w:line="240" w:lineRule="exact"/>
              <w:rPr>
                <w:rtl/>
              </w:rPr>
            </w:pPr>
            <w:r>
              <w:rPr>
                <w:rtl/>
              </w:rPr>
              <w:t>אגרות</w:t>
            </w:r>
            <w:r w:rsidR="00536302">
              <w:rPr>
                <w:rtl/>
              </w:rPr>
              <w:t xml:space="preserve"> חוב וכתבי התחייבות נדחי</w:t>
            </w:r>
            <w:r w:rsidR="00536302">
              <w:rPr>
                <w:rFonts w:hint="cs"/>
                <w:rtl/>
              </w:rPr>
              <w:t>ם</w:t>
            </w:r>
          </w:p>
        </w:tc>
        <w:tc>
          <w:tcPr>
            <w:tcW w:w="746" w:type="dxa"/>
            <w:vAlign w:val="bottom"/>
          </w:tcPr>
          <w:p w14:paraId="239E35F9" w14:textId="77777777" w:rsidR="00F32A2A" w:rsidRDefault="00F32A2A">
            <w:pPr>
              <w:pStyle w:val="-0"/>
              <w:spacing w:before="20" w:line="240" w:lineRule="exact"/>
              <w:ind w:left="0" w:firstLine="0"/>
              <w:jc w:val="center"/>
              <w:rPr>
                <w:rtl/>
              </w:rPr>
            </w:pPr>
          </w:p>
        </w:tc>
        <w:tc>
          <w:tcPr>
            <w:tcW w:w="970" w:type="dxa"/>
            <w:vAlign w:val="bottom"/>
          </w:tcPr>
          <w:p w14:paraId="078967B4" w14:textId="77777777" w:rsidR="00F32A2A" w:rsidRDefault="00536302">
            <w:pPr>
              <w:pStyle w:val="-3"/>
              <w:spacing w:before="20" w:line="240" w:lineRule="exact"/>
              <w:rPr>
                <w:rtl/>
              </w:rPr>
            </w:pPr>
            <w:r w:rsidRPr="00543C25">
              <w:rPr>
                <w:rFonts w:hint="cs"/>
                <w:rtl/>
              </w:rPr>
              <w:t xml:space="preserve"> </w:t>
            </w:r>
            <w:r w:rsidRPr="00543C25">
              <w:rPr>
                <w:rtl/>
              </w:rPr>
              <w:t>0</w:t>
            </w:r>
          </w:p>
        </w:tc>
        <w:tc>
          <w:tcPr>
            <w:tcW w:w="953" w:type="dxa"/>
            <w:vAlign w:val="bottom"/>
          </w:tcPr>
          <w:p w14:paraId="3D5C1A7D" w14:textId="77777777" w:rsidR="00F32A2A" w:rsidRDefault="00536302">
            <w:pPr>
              <w:pStyle w:val="-3"/>
              <w:spacing w:before="20" w:line="240" w:lineRule="exact"/>
              <w:rPr>
                <w:rtl/>
              </w:rPr>
            </w:pPr>
            <w:r w:rsidRPr="00543C25">
              <w:rPr>
                <w:rFonts w:hint="cs"/>
                <w:rtl/>
              </w:rPr>
              <w:t xml:space="preserve"> </w:t>
            </w:r>
            <w:r w:rsidRPr="00543C25">
              <w:rPr>
                <w:rtl/>
              </w:rPr>
              <w:t>0</w:t>
            </w:r>
          </w:p>
        </w:tc>
        <w:tc>
          <w:tcPr>
            <w:tcW w:w="1154" w:type="dxa"/>
            <w:vAlign w:val="bottom"/>
          </w:tcPr>
          <w:p w14:paraId="11710CCC" w14:textId="77777777" w:rsidR="00F32A2A" w:rsidRDefault="00536302">
            <w:pPr>
              <w:pStyle w:val="-3"/>
              <w:spacing w:before="20" w:line="240" w:lineRule="exact"/>
              <w:rPr>
                <w:rtl/>
              </w:rPr>
            </w:pPr>
            <w:r w:rsidRPr="00543C25">
              <w:rPr>
                <w:rFonts w:hint="cs"/>
                <w:rtl/>
              </w:rPr>
              <w:t xml:space="preserve"> </w:t>
            </w:r>
            <w:r w:rsidRPr="00543C25">
              <w:rPr>
                <w:rtl/>
              </w:rPr>
              <w:t>0</w:t>
            </w:r>
          </w:p>
        </w:tc>
      </w:tr>
      <w:tr w:rsidR="00536302" w:rsidRPr="00543C25" w14:paraId="08DCEEF7" w14:textId="77777777" w:rsidTr="004A1ADA">
        <w:tc>
          <w:tcPr>
            <w:tcW w:w="1361" w:type="dxa"/>
          </w:tcPr>
          <w:p w14:paraId="03081A09" w14:textId="77777777" w:rsidR="00F32A2A" w:rsidRPr="0079119C" w:rsidRDefault="00F32A2A">
            <w:pPr>
              <w:pStyle w:val="-7"/>
              <w:bidi w:val="0"/>
              <w:spacing w:before="20" w:line="240" w:lineRule="exact"/>
              <w:ind w:right="-231"/>
              <w:jc w:val="left"/>
              <w:rPr>
                <w:sz w:val="14"/>
                <w:szCs w:val="14"/>
                <w:rtl/>
              </w:rPr>
            </w:pPr>
          </w:p>
        </w:tc>
        <w:tc>
          <w:tcPr>
            <w:tcW w:w="4920" w:type="dxa"/>
            <w:vAlign w:val="bottom"/>
          </w:tcPr>
          <w:p w14:paraId="68DB8EDA" w14:textId="77777777" w:rsidR="00F32A2A" w:rsidRDefault="00536302">
            <w:pPr>
              <w:pStyle w:val="-0"/>
              <w:spacing w:before="20" w:line="240" w:lineRule="exact"/>
              <w:rPr>
                <w:rtl/>
              </w:rPr>
            </w:pPr>
            <w:r w:rsidRPr="00543C25">
              <w:rPr>
                <w:rFonts w:hint="cs"/>
                <w:rtl/>
              </w:rPr>
              <w:t>התחייבויות בגין מכשירים נגזרים</w:t>
            </w:r>
          </w:p>
        </w:tc>
        <w:tc>
          <w:tcPr>
            <w:tcW w:w="746" w:type="dxa"/>
            <w:vAlign w:val="bottom"/>
          </w:tcPr>
          <w:p w14:paraId="4A043B41" w14:textId="77777777" w:rsidR="00F32A2A" w:rsidRDefault="00900746">
            <w:pPr>
              <w:pStyle w:val="-0"/>
              <w:spacing w:before="20" w:line="240" w:lineRule="exact"/>
              <w:ind w:left="0" w:firstLine="0"/>
              <w:jc w:val="center"/>
              <w:rPr>
                <w:rtl/>
              </w:rPr>
            </w:pPr>
            <w:r>
              <w:rPr>
                <w:rFonts w:hint="cs"/>
                <w:rtl/>
              </w:rPr>
              <w:t>10</w:t>
            </w:r>
          </w:p>
        </w:tc>
        <w:tc>
          <w:tcPr>
            <w:tcW w:w="970" w:type="dxa"/>
            <w:vAlign w:val="bottom"/>
          </w:tcPr>
          <w:p w14:paraId="1F621956" w14:textId="77777777" w:rsidR="00F32A2A" w:rsidRDefault="00536302">
            <w:pPr>
              <w:pStyle w:val="-3"/>
              <w:spacing w:before="20" w:line="240" w:lineRule="exact"/>
              <w:rPr>
                <w:rtl/>
              </w:rPr>
            </w:pPr>
            <w:r w:rsidRPr="00543C25">
              <w:rPr>
                <w:rFonts w:hint="cs"/>
                <w:rtl/>
              </w:rPr>
              <w:t xml:space="preserve"> </w:t>
            </w:r>
            <w:r w:rsidRPr="00543C25">
              <w:rPr>
                <w:rtl/>
              </w:rPr>
              <w:t>0</w:t>
            </w:r>
          </w:p>
        </w:tc>
        <w:tc>
          <w:tcPr>
            <w:tcW w:w="953" w:type="dxa"/>
            <w:vAlign w:val="bottom"/>
          </w:tcPr>
          <w:p w14:paraId="1172C13A" w14:textId="77777777" w:rsidR="00F32A2A" w:rsidRDefault="00536302">
            <w:pPr>
              <w:pStyle w:val="-3"/>
              <w:spacing w:before="20" w:line="240" w:lineRule="exact"/>
              <w:rPr>
                <w:rtl/>
              </w:rPr>
            </w:pPr>
            <w:r w:rsidRPr="00543C25">
              <w:rPr>
                <w:rFonts w:hint="cs"/>
                <w:rtl/>
              </w:rPr>
              <w:t xml:space="preserve"> </w:t>
            </w:r>
            <w:r w:rsidRPr="00543C25">
              <w:rPr>
                <w:rtl/>
              </w:rPr>
              <w:t>0</w:t>
            </w:r>
          </w:p>
        </w:tc>
        <w:tc>
          <w:tcPr>
            <w:tcW w:w="1154" w:type="dxa"/>
            <w:vAlign w:val="bottom"/>
          </w:tcPr>
          <w:p w14:paraId="7A6B7E65" w14:textId="77777777" w:rsidR="00F32A2A" w:rsidRDefault="00536302">
            <w:pPr>
              <w:pStyle w:val="-3"/>
              <w:spacing w:before="20" w:line="240" w:lineRule="exact"/>
              <w:rPr>
                <w:rtl/>
              </w:rPr>
            </w:pPr>
            <w:r w:rsidRPr="00543C25">
              <w:rPr>
                <w:rFonts w:hint="cs"/>
                <w:rtl/>
              </w:rPr>
              <w:t xml:space="preserve"> </w:t>
            </w:r>
            <w:r w:rsidRPr="00543C25">
              <w:rPr>
                <w:rtl/>
              </w:rPr>
              <w:t>0</w:t>
            </w:r>
          </w:p>
        </w:tc>
      </w:tr>
      <w:tr w:rsidR="00536302" w:rsidRPr="00543C25" w14:paraId="1F63A9F7" w14:textId="77777777" w:rsidTr="004A1ADA">
        <w:tc>
          <w:tcPr>
            <w:tcW w:w="1361" w:type="dxa"/>
          </w:tcPr>
          <w:p w14:paraId="1EC84064" w14:textId="77777777" w:rsidR="00F32A2A" w:rsidRPr="0079119C" w:rsidRDefault="00F32A2A">
            <w:pPr>
              <w:pStyle w:val="-7"/>
              <w:bidi w:val="0"/>
              <w:spacing w:before="20" w:line="240" w:lineRule="exact"/>
              <w:ind w:right="-231"/>
              <w:jc w:val="left"/>
              <w:rPr>
                <w:sz w:val="14"/>
                <w:szCs w:val="14"/>
                <w:rtl/>
              </w:rPr>
            </w:pPr>
          </w:p>
        </w:tc>
        <w:tc>
          <w:tcPr>
            <w:tcW w:w="4920" w:type="dxa"/>
            <w:vAlign w:val="bottom"/>
          </w:tcPr>
          <w:p w14:paraId="035AFAD3" w14:textId="12BD70D3" w:rsidR="00F32A2A" w:rsidRDefault="00536302">
            <w:pPr>
              <w:pStyle w:val="-0"/>
              <w:spacing w:before="20" w:line="240" w:lineRule="exact"/>
              <w:rPr>
                <w:rtl/>
              </w:rPr>
            </w:pPr>
            <w:r w:rsidRPr="00543C25">
              <w:rPr>
                <w:rtl/>
              </w:rPr>
              <w:t>התחייבויות אחרות</w:t>
            </w:r>
            <w:r w:rsidRPr="008A0127">
              <w:rPr>
                <w:rFonts w:hint="cs"/>
                <w:sz w:val="18"/>
                <w:szCs w:val="18"/>
                <w:vertAlign w:val="superscript"/>
                <w:rtl/>
              </w:rPr>
              <w:t>(</w:t>
            </w:r>
            <w:r w:rsidR="009331D4">
              <w:rPr>
                <w:rFonts w:hint="cs"/>
                <w:sz w:val="18"/>
                <w:szCs w:val="18"/>
                <w:vertAlign w:val="superscript"/>
                <w:rtl/>
              </w:rPr>
              <w:t>ב</w:t>
            </w:r>
            <w:r w:rsidRPr="007F3B59">
              <w:rPr>
                <w:rFonts w:hint="cs"/>
                <w:sz w:val="18"/>
                <w:szCs w:val="18"/>
                <w:vertAlign w:val="superscript"/>
                <w:rtl/>
              </w:rPr>
              <w:t>)</w:t>
            </w:r>
          </w:p>
        </w:tc>
        <w:tc>
          <w:tcPr>
            <w:tcW w:w="746" w:type="dxa"/>
            <w:vAlign w:val="bottom"/>
          </w:tcPr>
          <w:p w14:paraId="5455107F" w14:textId="77777777" w:rsidR="00F32A2A" w:rsidRDefault="002C3501" w:rsidP="00441B1D">
            <w:pPr>
              <w:pStyle w:val="-0"/>
              <w:spacing w:before="20" w:line="240" w:lineRule="exact"/>
              <w:ind w:left="0" w:firstLine="0"/>
              <w:jc w:val="center"/>
              <w:rPr>
                <w:rtl/>
              </w:rPr>
            </w:pPr>
            <w:r>
              <w:rPr>
                <w:rFonts w:hint="cs"/>
                <w:rtl/>
              </w:rPr>
              <w:t>7א</w:t>
            </w:r>
          </w:p>
        </w:tc>
        <w:tc>
          <w:tcPr>
            <w:tcW w:w="970" w:type="dxa"/>
            <w:vAlign w:val="bottom"/>
          </w:tcPr>
          <w:p w14:paraId="5E66B98B" w14:textId="77777777" w:rsidR="00F32A2A" w:rsidRDefault="00536302">
            <w:pPr>
              <w:pStyle w:val="-3"/>
              <w:spacing w:before="20" w:line="240" w:lineRule="exact"/>
              <w:rPr>
                <w:rtl/>
              </w:rPr>
            </w:pPr>
            <w:r w:rsidRPr="00543C25">
              <w:rPr>
                <w:rFonts w:hint="cs"/>
                <w:rtl/>
              </w:rPr>
              <w:t xml:space="preserve"> </w:t>
            </w:r>
            <w:r w:rsidRPr="00543C25">
              <w:rPr>
                <w:rtl/>
              </w:rPr>
              <w:t>0</w:t>
            </w:r>
          </w:p>
        </w:tc>
        <w:tc>
          <w:tcPr>
            <w:tcW w:w="953" w:type="dxa"/>
            <w:vAlign w:val="bottom"/>
          </w:tcPr>
          <w:p w14:paraId="25E8E86F" w14:textId="77777777" w:rsidR="00F32A2A" w:rsidRDefault="00536302">
            <w:pPr>
              <w:pStyle w:val="-3"/>
              <w:spacing w:before="20" w:line="240" w:lineRule="exact"/>
              <w:rPr>
                <w:rtl/>
              </w:rPr>
            </w:pPr>
            <w:r w:rsidRPr="00543C25">
              <w:rPr>
                <w:rFonts w:hint="cs"/>
                <w:rtl/>
              </w:rPr>
              <w:t xml:space="preserve"> </w:t>
            </w:r>
            <w:r w:rsidRPr="00543C25">
              <w:rPr>
                <w:rtl/>
              </w:rPr>
              <w:t>0</w:t>
            </w:r>
          </w:p>
        </w:tc>
        <w:tc>
          <w:tcPr>
            <w:tcW w:w="1154" w:type="dxa"/>
            <w:vAlign w:val="bottom"/>
          </w:tcPr>
          <w:p w14:paraId="7329A31E" w14:textId="77777777" w:rsidR="00F32A2A" w:rsidRDefault="00536302">
            <w:pPr>
              <w:pStyle w:val="-3"/>
              <w:spacing w:before="20" w:line="240" w:lineRule="exact"/>
              <w:rPr>
                <w:rtl/>
              </w:rPr>
            </w:pPr>
            <w:r w:rsidRPr="00543C25">
              <w:rPr>
                <w:rFonts w:hint="cs"/>
                <w:rtl/>
              </w:rPr>
              <w:t xml:space="preserve"> </w:t>
            </w:r>
            <w:r w:rsidRPr="00543C25">
              <w:rPr>
                <w:rtl/>
              </w:rPr>
              <w:t>0</w:t>
            </w:r>
          </w:p>
        </w:tc>
      </w:tr>
      <w:tr w:rsidR="005B1098" w:rsidRPr="00543C25" w14:paraId="6637021A" w14:textId="77777777" w:rsidTr="004A1ADA">
        <w:trPr>
          <w:trHeight w:val="70"/>
        </w:trPr>
        <w:tc>
          <w:tcPr>
            <w:tcW w:w="1361" w:type="dxa"/>
          </w:tcPr>
          <w:p w14:paraId="4D7C2A24" w14:textId="58316EE1" w:rsidR="005B1098" w:rsidRPr="00BC2F81" w:rsidRDefault="005B1098" w:rsidP="005B1098">
            <w:pPr>
              <w:pStyle w:val="-fa"/>
              <w:spacing w:before="20" w:line="240" w:lineRule="exact"/>
              <w:rPr>
                <w:color w:val="000000"/>
                <w:spacing w:val="0"/>
                <w:rtl/>
              </w:rPr>
            </w:pPr>
          </w:p>
        </w:tc>
        <w:tc>
          <w:tcPr>
            <w:tcW w:w="4920" w:type="dxa"/>
            <w:vAlign w:val="bottom"/>
          </w:tcPr>
          <w:p w14:paraId="2F6996DF" w14:textId="77777777" w:rsidR="005B1098" w:rsidRPr="00BF7881" w:rsidRDefault="005B1098" w:rsidP="005B1098">
            <w:pPr>
              <w:pStyle w:val="-21"/>
              <w:spacing w:before="20" w:line="240" w:lineRule="exact"/>
              <w:rPr>
                <w:rtl/>
              </w:rPr>
            </w:pPr>
            <w:r w:rsidRPr="00BF7881">
              <w:rPr>
                <w:rFonts w:hint="cs"/>
                <w:rtl/>
              </w:rPr>
              <w:t>התחייבויות המיוחסות לפעילויות שהופסקו (במגזר</w:t>
            </w:r>
            <w:r>
              <w:rPr>
                <w:rFonts w:hint="cs"/>
                <w:u w:val="single"/>
                <w:rtl/>
              </w:rPr>
              <w:t xml:space="preserve">   </w:t>
            </w:r>
            <w:r w:rsidRPr="00BF7881">
              <w:rPr>
                <w:rFonts w:hint="cs"/>
                <w:rtl/>
              </w:rPr>
              <w:t>)</w:t>
            </w:r>
            <w:r w:rsidRPr="00BF7881">
              <w:rPr>
                <w:rFonts w:hint="cs"/>
                <w:sz w:val="18"/>
                <w:szCs w:val="18"/>
                <w:vertAlign w:val="superscript"/>
                <w:rtl/>
              </w:rPr>
              <w:t>[</w:t>
            </w:r>
            <w:r w:rsidRPr="00BF7881">
              <w:rPr>
                <w:rStyle w:val="a7"/>
                <w:color w:val="000000"/>
                <w:sz w:val="18"/>
                <w:szCs w:val="18"/>
                <w:rtl/>
              </w:rPr>
              <w:footnoteReference w:id="16"/>
            </w:r>
            <w:r w:rsidRPr="00BF7881">
              <w:rPr>
                <w:rFonts w:hint="cs"/>
                <w:sz w:val="18"/>
                <w:szCs w:val="18"/>
                <w:vertAlign w:val="superscript"/>
                <w:rtl/>
              </w:rPr>
              <w:t>]</w:t>
            </w:r>
          </w:p>
        </w:tc>
        <w:tc>
          <w:tcPr>
            <w:tcW w:w="746" w:type="dxa"/>
            <w:vAlign w:val="bottom"/>
          </w:tcPr>
          <w:p w14:paraId="00CDC328" w14:textId="6A2D4A60" w:rsidR="005B1098" w:rsidRDefault="005B1098" w:rsidP="005B1098">
            <w:pPr>
              <w:pStyle w:val="-0"/>
              <w:spacing w:before="20" w:line="240" w:lineRule="exact"/>
              <w:ind w:left="0" w:firstLine="0"/>
              <w:jc w:val="center"/>
              <w:rPr>
                <w:rtl/>
              </w:rPr>
            </w:pPr>
          </w:p>
        </w:tc>
        <w:tc>
          <w:tcPr>
            <w:tcW w:w="970" w:type="dxa"/>
            <w:vAlign w:val="bottom"/>
          </w:tcPr>
          <w:p w14:paraId="70C47659" w14:textId="77777777" w:rsidR="005B1098" w:rsidRDefault="005B1098" w:rsidP="005B1098">
            <w:pPr>
              <w:pStyle w:val="-3"/>
              <w:spacing w:before="20" w:line="240" w:lineRule="exact"/>
              <w:rPr>
                <w:rtl/>
              </w:rPr>
            </w:pPr>
            <w:r w:rsidRPr="00543C25">
              <w:rPr>
                <w:rFonts w:hint="cs"/>
                <w:rtl/>
              </w:rPr>
              <w:t xml:space="preserve"> </w:t>
            </w:r>
            <w:r w:rsidRPr="00543C25">
              <w:rPr>
                <w:rtl/>
              </w:rPr>
              <w:t>0</w:t>
            </w:r>
          </w:p>
        </w:tc>
        <w:tc>
          <w:tcPr>
            <w:tcW w:w="953" w:type="dxa"/>
            <w:vAlign w:val="bottom"/>
          </w:tcPr>
          <w:p w14:paraId="3BFD239A" w14:textId="77777777" w:rsidR="005B1098" w:rsidRDefault="005B1098" w:rsidP="005B1098">
            <w:pPr>
              <w:pStyle w:val="-3"/>
              <w:spacing w:before="20" w:line="240" w:lineRule="exact"/>
              <w:rPr>
                <w:rtl/>
              </w:rPr>
            </w:pPr>
            <w:r w:rsidRPr="00543C25">
              <w:rPr>
                <w:rFonts w:hint="cs"/>
                <w:rtl/>
              </w:rPr>
              <w:t xml:space="preserve"> </w:t>
            </w:r>
            <w:r w:rsidRPr="00543C25">
              <w:rPr>
                <w:rtl/>
              </w:rPr>
              <w:t>0</w:t>
            </w:r>
          </w:p>
        </w:tc>
        <w:tc>
          <w:tcPr>
            <w:tcW w:w="1154" w:type="dxa"/>
            <w:vAlign w:val="bottom"/>
          </w:tcPr>
          <w:p w14:paraId="794BA648" w14:textId="77777777" w:rsidR="005B1098" w:rsidRDefault="005B1098" w:rsidP="005B1098">
            <w:pPr>
              <w:pStyle w:val="-3"/>
              <w:spacing w:before="20" w:line="240" w:lineRule="exact"/>
              <w:rPr>
                <w:rtl/>
              </w:rPr>
            </w:pPr>
            <w:r w:rsidRPr="00543C25">
              <w:rPr>
                <w:rFonts w:hint="cs"/>
                <w:rtl/>
              </w:rPr>
              <w:t xml:space="preserve"> </w:t>
            </w:r>
            <w:r w:rsidRPr="00543C25">
              <w:rPr>
                <w:rtl/>
              </w:rPr>
              <w:t>0</w:t>
            </w:r>
          </w:p>
        </w:tc>
      </w:tr>
      <w:tr w:rsidR="00710A73" w:rsidRPr="00543C25" w14:paraId="07F6530D" w14:textId="77777777" w:rsidTr="004A1ADA">
        <w:trPr>
          <w:trHeight w:val="70"/>
        </w:trPr>
        <w:tc>
          <w:tcPr>
            <w:tcW w:w="1361" w:type="dxa"/>
          </w:tcPr>
          <w:p w14:paraId="675899A7" w14:textId="7B778853" w:rsidR="00F32A2A" w:rsidRPr="00BC2F81" w:rsidRDefault="00F32A2A" w:rsidP="00BF7881">
            <w:pPr>
              <w:pStyle w:val="-fa"/>
              <w:rPr>
                <w:color w:val="000000"/>
                <w:rtl/>
              </w:rPr>
            </w:pPr>
          </w:p>
        </w:tc>
        <w:tc>
          <w:tcPr>
            <w:tcW w:w="4920" w:type="dxa"/>
            <w:vAlign w:val="bottom"/>
          </w:tcPr>
          <w:p w14:paraId="4D0B7F52" w14:textId="77777777" w:rsidR="00F32A2A" w:rsidRPr="00BF7881" w:rsidRDefault="00710A73" w:rsidP="00B53B8D">
            <w:pPr>
              <w:pStyle w:val="-21"/>
              <w:spacing w:before="20" w:line="240" w:lineRule="exact"/>
              <w:rPr>
                <w:rtl/>
              </w:rPr>
            </w:pPr>
            <w:r w:rsidRPr="00BF7881">
              <w:rPr>
                <w:rFonts w:hint="cs"/>
                <w:rtl/>
              </w:rPr>
              <w:t>התחייבויות בגין קבוצת מימוש המסווגת כמוחזקת למכירה</w:t>
            </w:r>
            <w:r w:rsidR="00D36EC4" w:rsidRPr="00BF7881">
              <w:rPr>
                <w:rFonts w:hint="cs"/>
                <w:sz w:val="18"/>
                <w:szCs w:val="18"/>
                <w:vertAlign w:val="superscript"/>
                <w:rtl/>
              </w:rPr>
              <w:t xml:space="preserve"> </w:t>
            </w:r>
            <w:r w:rsidR="00A13CB0" w:rsidRPr="00BF7881">
              <w:rPr>
                <w:sz w:val="18"/>
                <w:szCs w:val="18"/>
                <w:vertAlign w:val="superscript"/>
                <w:rtl/>
              </w:rPr>
              <w:t>[</w:t>
            </w:r>
            <w:r w:rsidR="00A13CB0" w:rsidRPr="00BF7881">
              <w:rPr>
                <w:rStyle w:val="a7"/>
                <w:sz w:val="18"/>
                <w:szCs w:val="18"/>
                <w:rtl/>
              </w:rPr>
              <w:footnoteReference w:id="17"/>
            </w:r>
            <w:r w:rsidR="00A13CB0" w:rsidRPr="00BF7881">
              <w:rPr>
                <w:sz w:val="18"/>
                <w:szCs w:val="18"/>
                <w:vertAlign w:val="superscript"/>
                <w:rtl/>
              </w:rPr>
              <w:t>]</w:t>
            </w:r>
          </w:p>
        </w:tc>
        <w:tc>
          <w:tcPr>
            <w:tcW w:w="746" w:type="dxa"/>
            <w:vAlign w:val="bottom"/>
          </w:tcPr>
          <w:p w14:paraId="4D205CF5" w14:textId="77777777" w:rsidR="00F32A2A" w:rsidRDefault="00F32A2A">
            <w:pPr>
              <w:pStyle w:val="-0"/>
              <w:keepLines/>
              <w:spacing w:before="20" w:line="240" w:lineRule="exact"/>
              <w:ind w:left="0" w:firstLine="0"/>
              <w:jc w:val="center"/>
              <w:outlineLvl w:val="1"/>
              <w:rPr>
                <w:rtl/>
              </w:rPr>
            </w:pPr>
          </w:p>
        </w:tc>
        <w:tc>
          <w:tcPr>
            <w:tcW w:w="970" w:type="dxa"/>
            <w:vAlign w:val="bottom"/>
          </w:tcPr>
          <w:p w14:paraId="6D9AF99E" w14:textId="77777777" w:rsidR="00F32A2A" w:rsidRDefault="00710A73">
            <w:pPr>
              <w:pStyle w:val="-3"/>
              <w:pBdr>
                <w:bottom w:val="single" w:sz="4" w:space="1" w:color="auto"/>
              </w:pBdr>
              <w:spacing w:before="20" w:line="240" w:lineRule="exact"/>
              <w:rPr>
                <w:rtl/>
              </w:rPr>
            </w:pPr>
            <w:r w:rsidRPr="00543C25">
              <w:rPr>
                <w:rFonts w:hint="cs"/>
                <w:rtl/>
              </w:rPr>
              <w:t xml:space="preserve"> </w:t>
            </w:r>
            <w:r w:rsidRPr="00543C25">
              <w:rPr>
                <w:rtl/>
              </w:rPr>
              <w:t>0</w:t>
            </w:r>
          </w:p>
        </w:tc>
        <w:tc>
          <w:tcPr>
            <w:tcW w:w="953" w:type="dxa"/>
            <w:vAlign w:val="bottom"/>
          </w:tcPr>
          <w:p w14:paraId="6D6721B3" w14:textId="77777777" w:rsidR="00F32A2A" w:rsidRDefault="00710A73">
            <w:pPr>
              <w:pStyle w:val="-3"/>
              <w:pBdr>
                <w:bottom w:val="single" w:sz="4" w:space="1" w:color="auto"/>
              </w:pBdr>
              <w:spacing w:before="20" w:line="240" w:lineRule="exact"/>
              <w:rPr>
                <w:rtl/>
              </w:rPr>
            </w:pPr>
            <w:r w:rsidRPr="00543C25">
              <w:rPr>
                <w:rFonts w:hint="cs"/>
                <w:rtl/>
              </w:rPr>
              <w:t xml:space="preserve"> </w:t>
            </w:r>
            <w:r w:rsidRPr="00543C25">
              <w:rPr>
                <w:rtl/>
              </w:rPr>
              <w:t>0</w:t>
            </w:r>
          </w:p>
        </w:tc>
        <w:tc>
          <w:tcPr>
            <w:tcW w:w="1154" w:type="dxa"/>
            <w:vAlign w:val="bottom"/>
          </w:tcPr>
          <w:p w14:paraId="2884C13F" w14:textId="77777777" w:rsidR="00F32A2A" w:rsidRDefault="00710A73">
            <w:pPr>
              <w:pStyle w:val="-3"/>
              <w:pBdr>
                <w:bottom w:val="single" w:sz="4" w:space="1" w:color="auto"/>
              </w:pBdr>
              <w:spacing w:before="20" w:line="240" w:lineRule="exact"/>
              <w:rPr>
                <w:rtl/>
              </w:rPr>
            </w:pPr>
            <w:r w:rsidRPr="00543C25">
              <w:rPr>
                <w:rFonts w:hint="cs"/>
                <w:rtl/>
              </w:rPr>
              <w:t xml:space="preserve"> </w:t>
            </w:r>
            <w:r w:rsidRPr="00543C25">
              <w:rPr>
                <w:rtl/>
              </w:rPr>
              <w:t>0</w:t>
            </w:r>
          </w:p>
        </w:tc>
      </w:tr>
      <w:tr w:rsidR="00710A73" w:rsidRPr="00543C25" w14:paraId="4542A6E3" w14:textId="77777777" w:rsidTr="004A1ADA">
        <w:tc>
          <w:tcPr>
            <w:tcW w:w="1361" w:type="dxa"/>
          </w:tcPr>
          <w:p w14:paraId="0FDCBFF0" w14:textId="77777777" w:rsidR="00F32A2A" w:rsidRDefault="00F32A2A">
            <w:pPr>
              <w:pStyle w:val="-7"/>
              <w:bidi w:val="0"/>
              <w:spacing w:before="20" w:line="240" w:lineRule="exact"/>
              <w:ind w:right="-231"/>
              <w:jc w:val="left"/>
              <w:rPr>
                <w:spacing w:val="-6"/>
                <w:sz w:val="14"/>
                <w:szCs w:val="14"/>
                <w:rtl/>
              </w:rPr>
            </w:pPr>
          </w:p>
        </w:tc>
        <w:tc>
          <w:tcPr>
            <w:tcW w:w="4920" w:type="dxa"/>
            <w:vAlign w:val="bottom"/>
          </w:tcPr>
          <w:p w14:paraId="22BC2618" w14:textId="77777777" w:rsidR="00F32A2A" w:rsidRDefault="00710A73">
            <w:pPr>
              <w:pStyle w:val="-b"/>
              <w:spacing w:before="20" w:line="240" w:lineRule="exact"/>
              <w:rPr>
                <w:rtl/>
              </w:rPr>
            </w:pPr>
            <w:r w:rsidRPr="00543C25">
              <w:rPr>
                <w:rtl/>
              </w:rPr>
              <w:t>סך כל ההתחייבויות</w:t>
            </w:r>
          </w:p>
        </w:tc>
        <w:tc>
          <w:tcPr>
            <w:tcW w:w="746" w:type="dxa"/>
            <w:vAlign w:val="bottom"/>
          </w:tcPr>
          <w:p w14:paraId="270E1A45" w14:textId="77777777" w:rsidR="00F32A2A" w:rsidRDefault="00F32A2A">
            <w:pPr>
              <w:pStyle w:val="-7"/>
              <w:spacing w:before="20" w:line="240" w:lineRule="exact"/>
              <w:jc w:val="center"/>
              <w:rPr>
                <w:rtl/>
              </w:rPr>
            </w:pPr>
          </w:p>
        </w:tc>
        <w:tc>
          <w:tcPr>
            <w:tcW w:w="970" w:type="dxa"/>
            <w:vAlign w:val="bottom"/>
          </w:tcPr>
          <w:p w14:paraId="6312A1B4" w14:textId="77777777" w:rsidR="00F32A2A" w:rsidRDefault="00710A73">
            <w:pPr>
              <w:pStyle w:val="-f1"/>
              <w:pBdr>
                <w:top w:val="none" w:sz="0" w:space="0" w:color="auto"/>
              </w:pBdr>
              <w:spacing w:before="20" w:line="240" w:lineRule="exact"/>
              <w:rPr>
                <w:rtl/>
              </w:rPr>
            </w:pPr>
            <w:r w:rsidRPr="00543C25">
              <w:rPr>
                <w:rFonts w:hint="cs"/>
                <w:rtl/>
              </w:rPr>
              <w:t xml:space="preserve"> </w:t>
            </w:r>
            <w:r w:rsidRPr="00543C25">
              <w:rPr>
                <w:rtl/>
              </w:rPr>
              <w:t>0</w:t>
            </w:r>
          </w:p>
        </w:tc>
        <w:tc>
          <w:tcPr>
            <w:tcW w:w="953" w:type="dxa"/>
            <w:vAlign w:val="bottom"/>
          </w:tcPr>
          <w:p w14:paraId="5CD27205" w14:textId="77777777" w:rsidR="00F32A2A" w:rsidRDefault="00710A73">
            <w:pPr>
              <w:pStyle w:val="-f1"/>
              <w:pBdr>
                <w:top w:val="none" w:sz="0" w:space="0" w:color="auto"/>
              </w:pBdr>
              <w:spacing w:before="20" w:line="240" w:lineRule="exact"/>
              <w:rPr>
                <w:rtl/>
              </w:rPr>
            </w:pPr>
            <w:r w:rsidRPr="00543C25">
              <w:rPr>
                <w:rFonts w:hint="cs"/>
                <w:rtl/>
              </w:rPr>
              <w:t xml:space="preserve"> </w:t>
            </w:r>
            <w:r w:rsidRPr="00543C25">
              <w:rPr>
                <w:rtl/>
              </w:rPr>
              <w:t>0</w:t>
            </w:r>
          </w:p>
        </w:tc>
        <w:tc>
          <w:tcPr>
            <w:tcW w:w="1154" w:type="dxa"/>
            <w:vAlign w:val="bottom"/>
          </w:tcPr>
          <w:p w14:paraId="106D1EC8" w14:textId="77777777" w:rsidR="00F32A2A" w:rsidRDefault="00710A73">
            <w:pPr>
              <w:pStyle w:val="-f1"/>
              <w:pBdr>
                <w:top w:val="none" w:sz="0" w:space="0" w:color="auto"/>
              </w:pBdr>
              <w:spacing w:before="20" w:line="240" w:lineRule="exact"/>
              <w:rPr>
                <w:rtl/>
              </w:rPr>
            </w:pPr>
            <w:r w:rsidRPr="00543C25">
              <w:rPr>
                <w:rFonts w:hint="cs"/>
                <w:rtl/>
              </w:rPr>
              <w:t xml:space="preserve"> </w:t>
            </w:r>
            <w:r w:rsidRPr="00543C25">
              <w:rPr>
                <w:rtl/>
              </w:rPr>
              <w:t>0</w:t>
            </w:r>
          </w:p>
        </w:tc>
      </w:tr>
      <w:tr w:rsidR="00710A73" w:rsidRPr="00543C25" w14:paraId="4E74C3E5" w14:textId="77777777" w:rsidTr="004A1ADA">
        <w:tc>
          <w:tcPr>
            <w:tcW w:w="1361" w:type="dxa"/>
          </w:tcPr>
          <w:p w14:paraId="29093034" w14:textId="77777777" w:rsidR="00710A73" w:rsidRPr="00ED6312" w:rsidRDefault="00710A73" w:rsidP="00DC0ABC">
            <w:pPr>
              <w:pStyle w:val="-7"/>
              <w:bidi w:val="0"/>
              <w:spacing w:line="240" w:lineRule="exact"/>
              <w:ind w:right="-231"/>
              <w:jc w:val="left"/>
              <w:rPr>
                <w:spacing w:val="-6"/>
                <w:sz w:val="14"/>
                <w:szCs w:val="14"/>
                <w:rtl/>
              </w:rPr>
            </w:pPr>
          </w:p>
        </w:tc>
        <w:tc>
          <w:tcPr>
            <w:tcW w:w="4920" w:type="dxa"/>
            <w:vAlign w:val="bottom"/>
          </w:tcPr>
          <w:p w14:paraId="608AF748" w14:textId="77777777" w:rsidR="00710A73" w:rsidRPr="00543C25" w:rsidRDefault="00710A73" w:rsidP="00DC0ABC">
            <w:pPr>
              <w:pStyle w:val="-0"/>
              <w:spacing w:line="240" w:lineRule="exact"/>
              <w:rPr>
                <w:rtl/>
              </w:rPr>
            </w:pPr>
          </w:p>
        </w:tc>
        <w:tc>
          <w:tcPr>
            <w:tcW w:w="746" w:type="dxa"/>
            <w:vAlign w:val="bottom"/>
          </w:tcPr>
          <w:p w14:paraId="4E3D6E6E" w14:textId="77777777" w:rsidR="00710A73" w:rsidRPr="00E17457" w:rsidRDefault="00710A73" w:rsidP="00DC0ABC">
            <w:pPr>
              <w:pStyle w:val="-0"/>
              <w:spacing w:line="240" w:lineRule="exact"/>
              <w:ind w:left="0" w:firstLine="0"/>
              <w:jc w:val="center"/>
              <w:rPr>
                <w:rtl/>
              </w:rPr>
            </w:pPr>
          </w:p>
        </w:tc>
        <w:tc>
          <w:tcPr>
            <w:tcW w:w="970" w:type="dxa"/>
            <w:vAlign w:val="bottom"/>
          </w:tcPr>
          <w:p w14:paraId="25C253AB" w14:textId="77777777" w:rsidR="00710A73" w:rsidRPr="00543C25" w:rsidRDefault="00710A73" w:rsidP="00DC0ABC">
            <w:pPr>
              <w:spacing w:line="240" w:lineRule="exact"/>
              <w:rPr>
                <w:rtl/>
              </w:rPr>
            </w:pPr>
          </w:p>
        </w:tc>
        <w:tc>
          <w:tcPr>
            <w:tcW w:w="953" w:type="dxa"/>
            <w:vAlign w:val="bottom"/>
          </w:tcPr>
          <w:p w14:paraId="2B109B91" w14:textId="77777777" w:rsidR="00710A73" w:rsidRPr="00543C25" w:rsidRDefault="00710A73" w:rsidP="00DC0ABC">
            <w:pPr>
              <w:spacing w:line="240" w:lineRule="exact"/>
              <w:rPr>
                <w:rtl/>
              </w:rPr>
            </w:pPr>
          </w:p>
        </w:tc>
        <w:tc>
          <w:tcPr>
            <w:tcW w:w="1154" w:type="dxa"/>
            <w:vAlign w:val="bottom"/>
          </w:tcPr>
          <w:p w14:paraId="372CD85A" w14:textId="77777777" w:rsidR="00710A73" w:rsidRPr="00543C25" w:rsidRDefault="00710A73" w:rsidP="00DC0ABC">
            <w:pPr>
              <w:spacing w:line="240" w:lineRule="exact"/>
              <w:rPr>
                <w:rtl/>
              </w:rPr>
            </w:pPr>
          </w:p>
        </w:tc>
      </w:tr>
      <w:tr w:rsidR="00710A73" w:rsidRPr="00543C25" w14:paraId="4B400596" w14:textId="77777777" w:rsidTr="004A1ADA">
        <w:tc>
          <w:tcPr>
            <w:tcW w:w="1361" w:type="dxa"/>
            <w:vAlign w:val="bottom"/>
          </w:tcPr>
          <w:p w14:paraId="708C01CE" w14:textId="77777777" w:rsidR="00F32A2A" w:rsidRDefault="00F32A2A">
            <w:pPr>
              <w:pStyle w:val="-fa"/>
              <w:spacing w:before="20" w:line="240" w:lineRule="exact"/>
              <w:rPr>
                <w:rtl/>
              </w:rPr>
            </w:pPr>
          </w:p>
        </w:tc>
        <w:tc>
          <w:tcPr>
            <w:tcW w:w="4920" w:type="dxa"/>
            <w:vAlign w:val="bottom"/>
          </w:tcPr>
          <w:p w14:paraId="462E1EF7" w14:textId="77777777" w:rsidR="00F32A2A" w:rsidRDefault="00710A73">
            <w:pPr>
              <w:pStyle w:val="-0"/>
              <w:spacing w:before="20" w:line="240" w:lineRule="exact"/>
              <w:rPr>
                <w:rtl/>
              </w:rPr>
            </w:pPr>
            <w:r w:rsidRPr="00543C25">
              <w:rPr>
                <w:rtl/>
              </w:rPr>
              <w:t xml:space="preserve">הון </w:t>
            </w:r>
            <w:r w:rsidRPr="00543C25">
              <w:rPr>
                <w:rFonts w:hint="cs"/>
                <w:rtl/>
              </w:rPr>
              <w:t>המיוחס לבעלי מניות התאגיד הבנקאי</w:t>
            </w:r>
          </w:p>
        </w:tc>
        <w:tc>
          <w:tcPr>
            <w:tcW w:w="746" w:type="dxa"/>
            <w:vAlign w:val="bottom"/>
          </w:tcPr>
          <w:p w14:paraId="7266CF8E" w14:textId="77777777" w:rsidR="00F32A2A" w:rsidRDefault="00F32A2A">
            <w:pPr>
              <w:pStyle w:val="-0"/>
              <w:spacing w:before="20" w:line="240" w:lineRule="exact"/>
              <w:ind w:left="0" w:firstLine="0"/>
              <w:jc w:val="center"/>
              <w:rPr>
                <w:rtl/>
              </w:rPr>
            </w:pPr>
          </w:p>
        </w:tc>
        <w:tc>
          <w:tcPr>
            <w:tcW w:w="970" w:type="dxa"/>
            <w:vAlign w:val="bottom"/>
          </w:tcPr>
          <w:p w14:paraId="6D357504" w14:textId="77777777" w:rsidR="00F32A2A" w:rsidRDefault="00710A73">
            <w:pPr>
              <w:spacing w:before="20" w:line="240" w:lineRule="exact"/>
              <w:rPr>
                <w:rtl/>
              </w:rPr>
            </w:pPr>
            <w:r w:rsidRPr="00543C25">
              <w:rPr>
                <w:rFonts w:hint="cs"/>
                <w:rtl/>
              </w:rPr>
              <w:t xml:space="preserve"> </w:t>
            </w:r>
            <w:r w:rsidRPr="00543C25">
              <w:rPr>
                <w:rtl/>
              </w:rPr>
              <w:t>0</w:t>
            </w:r>
          </w:p>
        </w:tc>
        <w:tc>
          <w:tcPr>
            <w:tcW w:w="953" w:type="dxa"/>
            <w:vAlign w:val="bottom"/>
          </w:tcPr>
          <w:p w14:paraId="36D7132A" w14:textId="77777777" w:rsidR="00F32A2A" w:rsidRDefault="00710A73">
            <w:pPr>
              <w:spacing w:before="20" w:line="240" w:lineRule="exact"/>
              <w:rPr>
                <w:rtl/>
              </w:rPr>
            </w:pPr>
            <w:r w:rsidRPr="00543C25">
              <w:rPr>
                <w:rFonts w:hint="cs"/>
                <w:rtl/>
              </w:rPr>
              <w:t xml:space="preserve"> </w:t>
            </w:r>
            <w:r w:rsidRPr="00543C25">
              <w:rPr>
                <w:rtl/>
              </w:rPr>
              <w:t>0</w:t>
            </w:r>
          </w:p>
        </w:tc>
        <w:tc>
          <w:tcPr>
            <w:tcW w:w="1154" w:type="dxa"/>
            <w:vAlign w:val="bottom"/>
          </w:tcPr>
          <w:p w14:paraId="7406FDB5" w14:textId="77777777" w:rsidR="00F32A2A" w:rsidRDefault="00710A73">
            <w:pPr>
              <w:spacing w:before="20" w:line="240" w:lineRule="exact"/>
              <w:rPr>
                <w:rtl/>
              </w:rPr>
            </w:pPr>
            <w:r w:rsidRPr="00543C25">
              <w:rPr>
                <w:rFonts w:hint="cs"/>
                <w:rtl/>
              </w:rPr>
              <w:t xml:space="preserve"> </w:t>
            </w:r>
            <w:r w:rsidRPr="00543C25">
              <w:rPr>
                <w:rtl/>
              </w:rPr>
              <w:t>0</w:t>
            </w:r>
          </w:p>
        </w:tc>
      </w:tr>
      <w:tr w:rsidR="00710A73" w:rsidRPr="00543C25" w14:paraId="2EAB21CB" w14:textId="77777777" w:rsidTr="004A1ADA">
        <w:tc>
          <w:tcPr>
            <w:tcW w:w="1361" w:type="dxa"/>
          </w:tcPr>
          <w:p w14:paraId="722316A4" w14:textId="77777777" w:rsidR="00F32A2A" w:rsidRDefault="00F32A2A">
            <w:pPr>
              <w:pStyle w:val="-fa"/>
              <w:spacing w:before="20" w:line="240" w:lineRule="exact"/>
            </w:pPr>
          </w:p>
        </w:tc>
        <w:tc>
          <w:tcPr>
            <w:tcW w:w="4920" w:type="dxa"/>
            <w:vAlign w:val="bottom"/>
          </w:tcPr>
          <w:p w14:paraId="472898E6" w14:textId="77777777" w:rsidR="00F32A2A" w:rsidRDefault="00710A73" w:rsidP="00D36EC4">
            <w:pPr>
              <w:pStyle w:val="-0"/>
              <w:spacing w:before="20" w:line="240" w:lineRule="exact"/>
              <w:rPr>
                <w:b/>
                <w:bCs/>
                <w:rtl/>
              </w:rPr>
            </w:pPr>
            <w:r w:rsidRPr="00543C25">
              <w:rPr>
                <w:rFonts w:hint="cs"/>
                <w:rtl/>
              </w:rPr>
              <w:t>זכויות שאינן מקנות שליטה</w:t>
            </w:r>
          </w:p>
        </w:tc>
        <w:tc>
          <w:tcPr>
            <w:tcW w:w="746" w:type="dxa"/>
            <w:vAlign w:val="bottom"/>
          </w:tcPr>
          <w:p w14:paraId="7B7E8B30" w14:textId="77777777" w:rsidR="00F32A2A" w:rsidRDefault="00F32A2A">
            <w:pPr>
              <w:pStyle w:val="-0"/>
              <w:spacing w:before="20" w:line="240" w:lineRule="exact"/>
              <w:ind w:left="0" w:firstLine="0"/>
              <w:jc w:val="center"/>
              <w:rPr>
                <w:rtl/>
              </w:rPr>
            </w:pPr>
          </w:p>
        </w:tc>
        <w:tc>
          <w:tcPr>
            <w:tcW w:w="970" w:type="dxa"/>
            <w:vAlign w:val="bottom"/>
          </w:tcPr>
          <w:p w14:paraId="40AEB642" w14:textId="77777777" w:rsidR="00F32A2A" w:rsidRDefault="00710A73">
            <w:pPr>
              <w:pBdr>
                <w:bottom w:val="single" w:sz="4" w:space="1" w:color="auto"/>
              </w:pBdr>
              <w:spacing w:before="20" w:line="240" w:lineRule="exact"/>
              <w:rPr>
                <w:rtl/>
              </w:rPr>
            </w:pPr>
            <w:r w:rsidRPr="00543C25">
              <w:rPr>
                <w:rFonts w:hint="cs"/>
                <w:rtl/>
              </w:rPr>
              <w:t xml:space="preserve"> </w:t>
            </w:r>
            <w:r w:rsidRPr="00543C25">
              <w:rPr>
                <w:rtl/>
              </w:rPr>
              <w:t>0</w:t>
            </w:r>
          </w:p>
        </w:tc>
        <w:tc>
          <w:tcPr>
            <w:tcW w:w="953" w:type="dxa"/>
            <w:vAlign w:val="bottom"/>
          </w:tcPr>
          <w:p w14:paraId="0992EBB4" w14:textId="77777777" w:rsidR="00F32A2A" w:rsidRDefault="00710A73">
            <w:pPr>
              <w:pBdr>
                <w:bottom w:val="single" w:sz="4" w:space="1" w:color="auto"/>
              </w:pBdr>
              <w:spacing w:before="20" w:line="240" w:lineRule="exact"/>
              <w:rPr>
                <w:rtl/>
              </w:rPr>
            </w:pPr>
            <w:r w:rsidRPr="00543C25">
              <w:rPr>
                <w:rFonts w:hint="cs"/>
                <w:rtl/>
              </w:rPr>
              <w:t xml:space="preserve"> </w:t>
            </w:r>
            <w:r w:rsidRPr="00543C25">
              <w:rPr>
                <w:rtl/>
              </w:rPr>
              <w:t>0</w:t>
            </w:r>
          </w:p>
        </w:tc>
        <w:tc>
          <w:tcPr>
            <w:tcW w:w="1154" w:type="dxa"/>
            <w:vAlign w:val="bottom"/>
          </w:tcPr>
          <w:p w14:paraId="6469172E" w14:textId="77777777" w:rsidR="00F32A2A" w:rsidRDefault="00710A73">
            <w:pPr>
              <w:pBdr>
                <w:bottom w:val="single" w:sz="4" w:space="1" w:color="auto"/>
              </w:pBdr>
              <w:spacing w:before="20" w:line="240" w:lineRule="exact"/>
              <w:rPr>
                <w:rtl/>
              </w:rPr>
            </w:pPr>
            <w:r w:rsidRPr="004F523B">
              <w:rPr>
                <w:rFonts w:hint="cs"/>
                <w:rtl/>
              </w:rPr>
              <w:t xml:space="preserve"> </w:t>
            </w:r>
            <w:r w:rsidR="00E32AF0">
              <w:rPr>
                <w:rFonts w:hint="cs"/>
                <w:rtl/>
              </w:rPr>
              <w:t>0</w:t>
            </w:r>
          </w:p>
        </w:tc>
      </w:tr>
      <w:tr w:rsidR="00710A73" w:rsidRPr="00543C25" w14:paraId="22BE7A59" w14:textId="77777777" w:rsidTr="004A1ADA">
        <w:tc>
          <w:tcPr>
            <w:tcW w:w="1361" w:type="dxa"/>
          </w:tcPr>
          <w:p w14:paraId="763C39AA" w14:textId="77777777" w:rsidR="00F32A2A" w:rsidRDefault="00F32A2A">
            <w:pPr>
              <w:pStyle w:val="-fa"/>
              <w:spacing w:before="20" w:line="240" w:lineRule="exact"/>
            </w:pPr>
          </w:p>
        </w:tc>
        <w:tc>
          <w:tcPr>
            <w:tcW w:w="4920" w:type="dxa"/>
            <w:vAlign w:val="bottom"/>
          </w:tcPr>
          <w:p w14:paraId="7F7D358D" w14:textId="77777777" w:rsidR="00F32A2A" w:rsidRDefault="00710A73">
            <w:pPr>
              <w:pStyle w:val="-b"/>
              <w:spacing w:before="20" w:line="240" w:lineRule="exact"/>
              <w:rPr>
                <w:rtl/>
              </w:rPr>
            </w:pPr>
            <w:r w:rsidRPr="00543C25">
              <w:rPr>
                <w:rFonts w:hint="cs"/>
                <w:rtl/>
              </w:rPr>
              <w:t>סך כל ההון</w:t>
            </w:r>
          </w:p>
        </w:tc>
        <w:tc>
          <w:tcPr>
            <w:tcW w:w="746" w:type="dxa"/>
            <w:vAlign w:val="bottom"/>
          </w:tcPr>
          <w:p w14:paraId="017C59BD" w14:textId="77777777" w:rsidR="00F32A2A" w:rsidRDefault="00F32A2A">
            <w:pPr>
              <w:pStyle w:val="-0"/>
              <w:spacing w:before="20" w:line="240" w:lineRule="exact"/>
              <w:ind w:left="0" w:firstLine="0"/>
              <w:jc w:val="center"/>
              <w:rPr>
                <w:b/>
                <w:bCs/>
                <w:rtl/>
              </w:rPr>
            </w:pPr>
          </w:p>
        </w:tc>
        <w:tc>
          <w:tcPr>
            <w:tcW w:w="970" w:type="dxa"/>
            <w:vAlign w:val="bottom"/>
          </w:tcPr>
          <w:p w14:paraId="1A8B5059" w14:textId="77777777" w:rsidR="00F32A2A" w:rsidRDefault="00710A73">
            <w:pPr>
              <w:pStyle w:val="-f1"/>
              <w:pBdr>
                <w:top w:val="none" w:sz="0" w:space="0" w:color="auto"/>
                <w:bottom w:val="single" w:sz="4" w:space="1" w:color="auto"/>
              </w:pBdr>
              <w:spacing w:before="20" w:line="240" w:lineRule="exact"/>
              <w:rPr>
                <w:rtl/>
              </w:rPr>
            </w:pPr>
            <w:r w:rsidRPr="00543C25">
              <w:rPr>
                <w:rFonts w:hint="cs"/>
                <w:rtl/>
              </w:rPr>
              <w:t xml:space="preserve"> </w:t>
            </w:r>
            <w:r w:rsidRPr="00543C25">
              <w:rPr>
                <w:rtl/>
              </w:rPr>
              <w:t>0</w:t>
            </w:r>
          </w:p>
        </w:tc>
        <w:tc>
          <w:tcPr>
            <w:tcW w:w="953" w:type="dxa"/>
            <w:vAlign w:val="bottom"/>
          </w:tcPr>
          <w:p w14:paraId="6D963202" w14:textId="77777777" w:rsidR="00F32A2A" w:rsidRDefault="00710A73">
            <w:pPr>
              <w:pStyle w:val="-f1"/>
              <w:pBdr>
                <w:top w:val="none" w:sz="0" w:space="0" w:color="auto"/>
                <w:bottom w:val="single" w:sz="4" w:space="1" w:color="auto"/>
              </w:pBdr>
              <w:spacing w:before="20" w:line="240" w:lineRule="exact"/>
              <w:rPr>
                <w:rtl/>
              </w:rPr>
            </w:pPr>
            <w:r w:rsidRPr="00543C25">
              <w:rPr>
                <w:rFonts w:hint="cs"/>
                <w:rtl/>
              </w:rPr>
              <w:t xml:space="preserve"> </w:t>
            </w:r>
            <w:r w:rsidRPr="00543C25">
              <w:rPr>
                <w:rtl/>
              </w:rPr>
              <w:t>0</w:t>
            </w:r>
          </w:p>
        </w:tc>
        <w:tc>
          <w:tcPr>
            <w:tcW w:w="1154" w:type="dxa"/>
            <w:vAlign w:val="bottom"/>
          </w:tcPr>
          <w:p w14:paraId="36096D9A" w14:textId="77777777" w:rsidR="00F32A2A" w:rsidRDefault="00710A73">
            <w:pPr>
              <w:pStyle w:val="-f1"/>
              <w:pBdr>
                <w:top w:val="none" w:sz="0" w:space="0" w:color="auto"/>
                <w:bottom w:val="single" w:sz="4" w:space="1" w:color="auto"/>
              </w:pBdr>
              <w:spacing w:before="20" w:line="240" w:lineRule="exact"/>
              <w:rPr>
                <w:rtl/>
              </w:rPr>
            </w:pPr>
            <w:r w:rsidRPr="00543C25">
              <w:rPr>
                <w:rFonts w:hint="cs"/>
                <w:rtl/>
              </w:rPr>
              <w:t xml:space="preserve"> </w:t>
            </w:r>
            <w:r w:rsidRPr="00543C25">
              <w:rPr>
                <w:rtl/>
              </w:rPr>
              <w:t>0</w:t>
            </w:r>
          </w:p>
        </w:tc>
      </w:tr>
      <w:tr w:rsidR="00710A73" w:rsidRPr="00543C25" w14:paraId="61BB4897" w14:textId="77777777" w:rsidTr="004A1ADA">
        <w:tc>
          <w:tcPr>
            <w:tcW w:w="1361" w:type="dxa"/>
          </w:tcPr>
          <w:p w14:paraId="0068742A" w14:textId="77777777" w:rsidR="00710A73" w:rsidRPr="00ED6312" w:rsidRDefault="00710A73" w:rsidP="00DC0ABC">
            <w:pPr>
              <w:pStyle w:val="-7"/>
              <w:bidi w:val="0"/>
              <w:spacing w:line="240" w:lineRule="exact"/>
              <w:ind w:right="-231"/>
              <w:jc w:val="left"/>
              <w:rPr>
                <w:spacing w:val="-6"/>
                <w:sz w:val="14"/>
                <w:szCs w:val="14"/>
                <w:rtl/>
              </w:rPr>
            </w:pPr>
          </w:p>
        </w:tc>
        <w:tc>
          <w:tcPr>
            <w:tcW w:w="4920" w:type="dxa"/>
            <w:vAlign w:val="bottom"/>
          </w:tcPr>
          <w:p w14:paraId="423D1BD7" w14:textId="77777777" w:rsidR="00710A73" w:rsidRPr="00543C25" w:rsidRDefault="00710A73" w:rsidP="00DC0ABC">
            <w:pPr>
              <w:pStyle w:val="-0"/>
              <w:spacing w:line="240" w:lineRule="exact"/>
              <w:rPr>
                <w:rtl/>
              </w:rPr>
            </w:pPr>
          </w:p>
        </w:tc>
        <w:tc>
          <w:tcPr>
            <w:tcW w:w="746" w:type="dxa"/>
            <w:vAlign w:val="bottom"/>
          </w:tcPr>
          <w:p w14:paraId="3D61E3DE" w14:textId="77777777" w:rsidR="00710A73" w:rsidRPr="00E17457" w:rsidRDefault="00710A73" w:rsidP="00DC0ABC">
            <w:pPr>
              <w:pStyle w:val="-0"/>
              <w:spacing w:line="240" w:lineRule="exact"/>
              <w:ind w:left="0" w:firstLine="0"/>
              <w:jc w:val="center"/>
              <w:rPr>
                <w:rtl/>
              </w:rPr>
            </w:pPr>
          </w:p>
        </w:tc>
        <w:tc>
          <w:tcPr>
            <w:tcW w:w="970" w:type="dxa"/>
            <w:vAlign w:val="bottom"/>
          </w:tcPr>
          <w:p w14:paraId="6F6F9EED" w14:textId="77777777" w:rsidR="00710A73" w:rsidRPr="00543C25" w:rsidRDefault="00710A73" w:rsidP="00DC0ABC">
            <w:pPr>
              <w:spacing w:line="240" w:lineRule="exact"/>
              <w:rPr>
                <w:rtl/>
              </w:rPr>
            </w:pPr>
          </w:p>
        </w:tc>
        <w:tc>
          <w:tcPr>
            <w:tcW w:w="953" w:type="dxa"/>
            <w:vAlign w:val="bottom"/>
          </w:tcPr>
          <w:p w14:paraId="2830DDCA" w14:textId="77777777" w:rsidR="00710A73" w:rsidRPr="00543C25" w:rsidRDefault="00710A73" w:rsidP="00DC0ABC">
            <w:pPr>
              <w:spacing w:line="240" w:lineRule="exact"/>
              <w:rPr>
                <w:rtl/>
              </w:rPr>
            </w:pPr>
          </w:p>
        </w:tc>
        <w:tc>
          <w:tcPr>
            <w:tcW w:w="1154" w:type="dxa"/>
            <w:vAlign w:val="bottom"/>
          </w:tcPr>
          <w:p w14:paraId="75B9533D" w14:textId="77777777" w:rsidR="00710A73" w:rsidRPr="00543C25" w:rsidRDefault="00710A73" w:rsidP="00DC0ABC">
            <w:pPr>
              <w:spacing w:line="240" w:lineRule="exact"/>
              <w:rPr>
                <w:rtl/>
              </w:rPr>
            </w:pPr>
          </w:p>
        </w:tc>
      </w:tr>
      <w:tr w:rsidR="00710A73" w:rsidRPr="00543C25" w14:paraId="4C874B48" w14:textId="77777777" w:rsidTr="004A1ADA">
        <w:tc>
          <w:tcPr>
            <w:tcW w:w="1361" w:type="dxa"/>
          </w:tcPr>
          <w:p w14:paraId="68DCA564" w14:textId="77777777" w:rsidR="00F32A2A" w:rsidRDefault="00F32A2A">
            <w:pPr>
              <w:pStyle w:val="-7"/>
              <w:bidi w:val="0"/>
              <w:spacing w:before="20" w:line="240" w:lineRule="exact"/>
              <w:ind w:right="-231"/>
              <w:jc w:val="left"/>
              <w:rPr>
                <w:spacing w:val="-6"/>
                <w:sz w:val="14"/>
                <w:szCs w:val="14"/>
              </w:rPr>
            </w:pPr>
          </w:p>
        </w:tc>
        <w:tc>
          <w:tcPr>
            <w:tcW w:w="4920" w:type="dxa"/>
            <w:vAlign w:val="bottom"/>
          </w:tcPr>
          <w:p w14:paraId="73C1D3AD" w14:textId="77777777" w:rsidR="00F32A2A" w:rsidRDefault="00710A73">
            <w:pPr>
              <w:pStyle w:val="-b"/>
              <w:spacing w:before="20" w:line="240" w:lineRule="exact"/>
              <w:rPr>
                <w:rtl/>
              </w:rPr>
            </w:pPr>
            <w:r w:rsidRPr="00543C25">
              <w:rPr>
                <w:rtl/>
              </w:rPr>
              <w:t>סך כל ההתחייבויות וההון</w:t>
            </w:r>
          </w:p>
        </w:tc>
        <w:tc>
          <w:tcPr>
            <w:tcW w:w="746" w:type="dxa"/>
            <w:vAlign w:val="bottom"/>
          </w:tcPr>
          <w:p w14:paraId="6DE298B1" w14:textId="77777777" w:rsidR="00F32A2A" w:rsidRDefault="00F32A2A">
            <w:pPr>
              <w:pStyle w:val="-0"/>
              <w:spacing w:before="20" w:line="240" w:lineRule="exact"/>
              <w:ind w:left="0" w:firstLine="0"/>
              <w:jc w:val="center"/>
              <w:rPr>
                <w:b/>
                <w:bCs/>
                <w:rtl/>
              </w:rPr>
            </w:pPr>
          </w:p>
        </w:tc>
        <w:tc>
          <w:tcPr>
            <w:tcW w:w="970" w:type="dxa"/>
            <w:vAlign w:val="bottom"/>
          </w:tcPr>
          <w:p w14:paraId="2908C074" w14:textId="77777777" w:rsidR="00F32A2A" w:rsidRDefault="00710A73">
            <w:pPr>
              <w:pStyle w:val="-f1"/>
              <w:pBdr>
                <w:top w:val="none" w:sz="0" w:space="0" w:color="auto"/>
                <w:bottom w:val="double" w:sz="4" w:space="1" w:color="auto"/>
              </w:pBdr>
              <w:spacing w:before="20" w:line="240" w:lineRule="exact"/>
              <w:rPr>
                <w:rtl/>
              </w:rPr>
            </w:pPr>
            <w:r w:rsidRPr="00543C25">
              <w:rPr>
                <w:rFonts w:hint="cs"/>
                <w:rtl/>
              </w:rPr>
              <w:t xml:space="preserve"> </w:t>
            </w:r>
            <w:r w:rsidRPr="00543C25">
              <w:rPr>
                <w:rtl/>
              </w:rPr>
              <w:t>0</w:t>
            </w:r>
          </w:p>
        </w:tc>
        <w:tc>
          <w:tcPr>
            <w:tcW w:w="953" w:type="dxa"/>
            <w:vAlign w:val="bottom"/>
          </w:tcPr>
          <w:p w14:paraId="4FCBE93F" w14:textId="77777777" w:rsidR="00F32A2A" w:rsidRDefault="00710A73">
            <w:pPr>
              <w:pStyle w:val="-f1"/>
              <w:pBdr>
                <w:top w:val="none" w:sz="0" w:space="0" w:color="auto"/>
                <w:bottom w:val="double" w:sz="4" w:space="1" w:color="auto"/>
              </w:pBdr>
              <w:spacing w:before="20" w:line="240" w:lineRule="exact"/>
              <w:rPr>
                <w:rtl/>
              </w:rPr>
            </w:pPr>
            <w:r w:rsidRPr="00543C25">
              <w:rPr>
                <w:rFonts w:hint="cs"/>
                <w:rtl/>
              </w:rPr>
              <w:t xml:space="preserve"> </w:t>
            </w:r>
            <w:r w:rsidRPr="00543C25">
              <w:rPr>
                <w:rtl/>
              </w:rPr>
              <w:t>0</w:t>
            </w:r>
          </w:p>
        </w:tc>
        <w:tc>
          <w:tcPr>
            <w:tcW w:w="1154" w:type="dxa"/>
            <w:vAlign w:val="bottom"/>
          </w:tcPr>
          <w:p w14:paraId="5CBFFE2F" w14:textId="77777777" w:rsidR="00F32A2A" w:rsidRDefault="00710A73">
            <w:pPr>
              <w:pStyle w:val="-f1"/>
              <w:pBdr>
                <w:top w:val="none" w:sz="0" w:space="0" w:color="auto"/>
                <w:bottom w:val="double" w:sz="4" w:space="1" w:color="auto"/>
              </w:pBdr>
              <w:spacing w:before="20" w:line="240" w:lineRule="exact"/>
              <w:rPr>
                <w:rtl/>
              </w:rPr>
            </w:pPr>
            <w:r w:rsidRPr="00543C25">
              <w:rPr>
                <w:rFonts w:hint="cs"/>
                <w:rtl/>
              </w:rPr>
              <w:t xml:space="preserve"> </w:t>
            </w:r>
            <w:r w:rsidRPr="00543C25">
              <w:rPr>
                <w:rtl/>
              </w:rPr>
              <w:t>0</w:t>
            </w:r>
          </w:p>
        </w:tc>
      </w:tr>
      <w:tr w:rsidR="00710A73" w:rsidRPr="00D851E7" w14:paraId="775C6E9E" w14:textId="77777777" w:rsidTr="004A1ADA">
        <w:tc>
          <w:tcPr>
            <w:tcW w:w="1361" w:type="dxa"/>
          </w:tcPr>
          <w:p w14:paraId="7D5FECCF" w14:textId="77777777" w:rsidR="003139A7" w:rsidRDefault="003139A7" w:rsidP="00DC0ABC">
            <w:pPr>
              <w:pStyle w:val="-7"/>
              <w:bidi w:val="0"/>
              <w:spacing w:line="240" w:lineRule="exact"/>
              <w:ind w:right="-231"/>
              <w:jc w:val="left"/>
              <w:rPr>
                <w:spacing w:val="-6"/>
                <w:sz w:val="14"/>
                <w:szCs w:val="14"/>
                <w:rtl/>
              </w:rPr>
            </w:pPr>
          </w:p>
        </w:tc>
        <w:tc>
          <w:tcPr>
            <w:tcW w:w="4920" w:type="dxa"/>
            <w:vAlign w:val="bottom"/>
          </w:tcPr>
          <w:p w14:paraId="640CB15D" w14:textId="77777777" w:rsidR="00CF2A74" w:rsidRDefault="00CF2A74" w:rsidP="00DC0ABC">
            <w:pPr>
              <w:pStyle w:val="-7"/>
              <w:spacing w:line="240" w:lineRule="exact"/>
              <w:rPr>
                <w:rtl/>
              </w:rPr>
            </w:pPr>
          </w:p>
        </w:tc>
        <w:tc>
          <w:tcPr>
            <w:tcW w:w="746" w:type="dxa"/>
            <w:vAlign w:val="bottom"/>
          </w:tcPr>
          <w:p w14:paraId="55FD39D7" w14:textId="77777777" w:rsidR="00CF2A74" w:rsidRDefault="00CF2A74" w:rsidP="00DC0ABC">
            <w:pPr>
              <w:pStyle w:val="-7"/>
              <w:spacing w:line="240" w:lineRule="exact"/>
              <w:jc w:val="center"/>
              <w:rPr>
                <w:rtl/>
              </w:rPr>
            </w:pPr>
          </w:p>
        </w:tc>
        <w:tc>
          <w:tcPr>
            <w:tcW w:w="970" w:type="dxa"/>
            <w:vAlign w:val="bottom"/>
          </w:tcPr>
          <w:p w14:paraId="6EA0CD03" w14:textId="77777777" w:rsidR="00CF2A74" w:rsidRDefault="00CF2A74" w:rsidP="00DC0ABC">
            <w:pPr>
              <w:tabs>
                <w:tab w:val="decimal" w:pos="91"/>
              </w:tabs>
              <w:spacing w:line="240" w:lineRule="exact"/>
              <w:jc w:val="left"/>
              <w:rPr>
                <w:rtl/>
              </w:rPr>
            </w:pPr>
          </w:p>
        </w:tc>
        <w:tc>
          <w:tcPr>
            <w:tcW w:w="953" w:type="dxa"/>
            <w:vAlign w:val="bottom"/>
          </w:tcPr>
          <w:p w14:paraId="29E5D91D" w14:textId="77777777" w:rsidR="00CF2A74" w:rsidRDefault="00CF2A74" w:rsidP="00DC0ABC">
            <w:pPr>
              <w:tabs>
                <w:tab w:val="decimal" w:pos="91"/>
              </w:tabs>
              <w:spacing w:line="240" w:lineRule="exact"/>
              <w:jc w:val="left"/>
              <w:rPr>
                <w:rtl/>
              </w:rPr>
            </w:pPr>
          </w:p>
        </w:tc>
        <w:tc>
          <w:tcPr>
            <w:tcW w:w="1154" w:type="dxa"/>
            <w:vAlign w:val="bottom"/>
          </w:tcPr>
          <w:p w14:paraId="71C6EC19" w14:textId="77777777" w:rsidR="00CF2A74" w:rsidRDefault="00CF2A74" w:rsidP="00DC0ABC">
            <w:pPr>
              <w:tabs>
                <w:tab w:val="decimal" w:pos="91"/>
              </w:tabs>
              <w:spacing w:line="240" w:lineRule="exact"/>
              <w:jc w:val="left"/>
              <w:rPr>
                <w:rtl/>
              </w:rPr>
            </w:pPr>
          </w:p>
        </w:tc>
      </w:tr>
    </w:tbl>
    <w:p w14:paraId="300CA733" w14:textId="77777777" w:rsidR="00710A73" w:rsidRDefault="00710A73" w:rsidP="00710A73"/>
    <w:tbl>
      <w:tblPr>
        <w:bidiVisual/>
        <w:tblW w:w="5000" w:type="pct"/>
        <w:tblLook w:val="04A0" w:firstRow="1" w:lastRow="0" w:firstColumn="1" w:lastColumn="0" w:noHBand="0" w:noVBand="1"/>
      </w:tblPr>
      <w:tblGrid>
        <w:gridCol w:w="1490"/>
        <w:gridCol w:w="450"/>
        <w:gridCol w:w="8267"/>
      </w:tblGrid>
      <w:tr w:rsidR="00710A73" w:rsidRPr="00D851E7" w14:paraId="62334714" w14:textId="77777777" w:rsidTr="00D12B77">
        <w:tc>
          <w:tcPr>
            <w:tcW w:w="1490" w:type="dxa"/>
          </w:tcPr>
          <w:p w14:paraId="7077167B" w14:textId="77777777" w:rsidR="00710A73" w:rsidRPr="00ED6312" w:rsidRDefault="00710A73" w:rsidP="00BF7A8B">
            <w:pPr>
              <w:pStyle w:val="-7"/>
              <w:bidi w:val="0"/>
              <w:ind w:right="-231"/>
              <w:jc w:val="left"/>
              <w:rPr>
                <w:spacing w:val="-6"/>
                <w:sz w:val="14"/>
                <w:szCs w:val="14"/>
                <w:rtl/>
              </w:rPr>
            </w:pPr>
          </w:p>
        </w:tc>
        <w:tc>
          <w:tcPr>
            <w:tcW w:w="450" w:type="dxa"/>
          </w:tcPr>
          <w:p w14:paraId="23A66D6A" w14:textId="6702DA22" w:rsidR="00710A73" w:rsidRPr="00174040" w:rsidRDefault="00710A73" w:rsidP="00BF7A8B">
            <w:pPr>
              <w:pStyle w:val="-a"/>
              <w:rPr>
                <w:rtl/>
              </w:rPr>
            </w:pPr>
            <w:r w:rsidRPr="00174040">
              <w:rPr>
                <w:rtl/>
              </w:rPr>
              <w:t>(</w:t>
            </w:r>
            <w:r w:rsidR="00943116" w:rsidRPr="00174040">
              <w:rPr>
                <w:rFonts w:hint="cs"/>
                <w:rtl/>
              </w:rPr>
              <w:t>ב</w:t>
            </w:r>
            <w:r w:rsidRPr="00174040">
              <w:rPr>
                <w:rtl/>
              </w:rPr>
              <w:t xml:space="preserve">) </w:t>
            </w:r>
          </w:p>
        </w:tc>
        <w:tc>
          <w:tcPr>
            <w:tcW w:w="8267" w:type="dxa"/>
          </w:tcPr>
          <w:p w14:paraId="42C03162" w14:textId="0BCCFF19" w:rsidR="00EF6A08" w:rsidRDefault="00710A73" w:rsidP="00CC5F7B">
            <w:pPr>
              <w:pStyle w:val="-a"/>
              <w:rPr>
                <w:rtl/>
              </w:rPr>
            </w:pPr>
            <w:r w:rsidRPr="00865418">
              <w:rPr>
                <w:rFonts w:hint="eastAsia"/>
                <w:rtl/>
              </w:rPr>
              <w:t>מזה</w:t>
            </w:r>
            <w:r w:rsidRPr="00865418">
              <w:rPr>
                <w:rtl/>
              </w:rPr>
              <w:t xml:space="preserve">: הפרשה להפסדי אשראי </w:t>
            </w:r>
            <w:r w:rsidRPr="00865418">
              <w:rPr>
                <w:rFonts w:hint="eastAsia"/>
                <w:rtl/>
              </w:rPr>
              <w:t>בגין</w:t>
            </w:r>
            <w:r w:rsidRPr="00865418">
              <w:rPr>
                <w:rtl/>
              </w:rPr>
              <w:t xml:space="preserve"> מכשירי אשראי חוץ מאזניים </w:t>
            </w:r>
            <w:r w:rsidRPr="00865418">
              <w:rPr>
                <w:rFonts w:hint="eastAsia"/>
                <w:rtl/>
              </w:rPr>
              <w:t>בסך</w:t>
            </w:r>
            <w:r w:rsidRPr="00865418">
              <w:rPr>
                <w:rtl/>
              </w:rPr>
              <w:t xml:space="preserve"> </w:t>
            </w:r>
            <w:r w:rsidR="008A0127">
              <w:rPr>
                <w:rFonts w:hint="cs"/>
                <w:rtl/>
              </w:rPr>
              <w:t xml:space="preserve">___ </w:t>
            </w:r>
            <w:r w:rsidRPr="00865418">
              <w:rPr>
                <w:rtl/>
              </w:rPr>
              <w:t xml:space="preserve">מיליוני ש"ח </w:t>
            </w:r>
            <w:r w:rsidRPr="00865418">
              <w:rPr>
                <w:rFonts w:hint="eastAsia"/>
                <w:rtl/>
              </w:rPr>
              <w:t>ליום</w:t>
            </w:r>
            <w:r w:rsidRPr="00865418">
              <w:rPr>
                <w:rtl/>
              </w:rPr>
              <w:t xml:space="preserve"> 30 </w:t>
            </w:r>
            <w:r w:rsidRPr="00865418">
              <w:rPr>
                <w:rFonts w:hint="eastAsia"/>
                <w:rtl/>
              </w:rPr>
              <w:t>ביוני</w:t>
            </w:r>
            <w:r w:rsidRPr="00865418">
              <w:rPr>
                <w:rtl/>
              </w:rPr>
              <w:t xml:space="preserve"> </w:t>
            </w:r>
            <w:r w:rsidR="00CC5F7B" w:rsidRPr="00905C12">
              <w:rPr>
                <w:sz w:val="20"/>
                <w:szCs w:val="20"/>
                <w:rtl/>
              </w:rPr>
              <w:fldChar w:fldCharType="begin"/>
            </w:r>
            <w:r w:rsidR="00CC5F7B" w:rsidRPr="00905C12">
              <w:rPr>
                <w:sz w:val="20"/>
                <w:szCs w:val="20"/>
                <w:rtl/>
              </w:rPr>
              <w:instrText xml:space="preserve"> </w:instrText>
            </w:r>
            <w:r w:rsidR="00CC5F7B" w:rsidRPr="00905C12">
              <w:rPr>
                <w:rFonts w:hint="cs"/>
                <w:sz w:val="20"/>
                <w:szCs w:val="20"/>
                <w:rtl/>
              </w:rPr>
              <w:instrText xml:space="preserve">= </w:instrText>
            </w:r>
            <w:r w:rsidR="00CC5F7B" w:rsidRPr="00905C12">
              <w:rPr>
                <w:rFonts w:hint="cs"/>
                <w:sz w:val="20"/>
                <w:szCs w:val="20"/>
              </w:rPr>
              <w:instrText>CY \* MERGEFORMAT</w:instrText>
            </w:r>
            <w:r w:rsidR="00CC5F7B" w:rsidRPr="00905C12">
              <w:rPr>
                <w:sz w:val="20"/>
                <w:szCs w:val="20"/>
                <w:rtl/>
              </w:rPr>
              <w:instrText xml:space="preserve"> </w:instrText>
            </w:r>
            <w:r w:rsidR="00CC5F7B" w:rsidRPr="00905C12">
              <w:rPr>
                <w:sz w:val="20"/>
                <w:szCs w:val="20"/>
                <w:rtl/>
              </w:rPr>
              <w:fldChar w:fldCharType="separate"/>
            </w:r>
            <w:r w:rsidR="003A584F" w:rsidRPr="003A584F">
              <w:rPr>
                <w:noProof/>
                <w:rtl/>
              </w:rPr>
              <w:t>2024</w:t>
            </w:r>
            <w:r w:rsidR="00CC5F7B" w:rsidRPr="00905C12">
              <w:rPr>
                <w:sz w:val="20"/>
                <w:szCs w:val="20"/>
                <w:rtl/>
              </w:rPr>
              <w:fldChar w:fldCharType="end"/>
            </w:r>
            <w:r w:rsidR="00CC5F7B" w:rsidRPr="00865418">
              <w:rPr>
                <w:rtl/>
              </w:rPr>
              <w:t xml:space="preserve"> </w:t>
            </w:r>
            <w:r w:rsidRPr="00865418">
              <w:rPr>
                <w:rtl/>
              </w:rPr>
              <w:t>(</w:t>
            </w:r>
            <w:r w:rsidR="00D52684">
              <w:rPr>
                <w:rFonts w:hint="cs"/>
                <w:rtl/>
              </w:rPr>
              <w:t>סך ___ ו-</w:t>
            </w:r>
            <w:r w:rsidR="008A0127">
              <w:rPr>
                <w:rFonts w:hint="cs"/>
                <w:rtl/>
              </w:rPr>
              <w:t xml:space="preserve">___ </w:t>
            </w:r>
            <w:r w:rsidR="00D52684">
              <w:rPr>
                <w:rFonts w:hint="cs"/>
                <w:rtl/>
              </w:rPr>
              <w:t xml:space="preserve">מיליוני ש"ח לימים 30 ביוני </w:t>
            </w:r>
            <w:r w:rsidR="00CC5F7B" w:rsidRPr="00905C12">
              <w:rPr>
                <w:sz w:val="20"/>
                <w:szCs w:val="20"/>
                <w:rtl/>
              </w:rPr>
              <w:fldChar w:fldCharType="begin"/>
            </w:r>
            <w:r w:rsidR="00CC5F7B" w:rsidRPr="00905C12">
              <w:rPr>
                <w:sz w:val="20"/>
                <w:szCs w:val="20"/>
                <w:rtl/>
              </w:rPr>
              <w:instrText xml:space="preserve"> </w:instrText>
            </w:r>
            <w:r w:rsidR="00CC5F7B" w:rsidRPr="00905C12">
              <w:rPr>
                <w:rFonts w:hint="cs"/>
                <w:sz w:val="20"/>
                <w:szCs w:val="20"/>
                <w:rtl/>
              </w:rPr>
              <w:instrText xml:space="preserve">= </w:instrText>
            </w:r>
            <w:r w:rsidR="00CC5F7B" w:rsidRPr="00905C12">
              <w:rPr>
                <w:rFonts w:hint="cs"/>
                <w:sz w:val="20"/>
                <w:szCs w:val="20"/>
              </w:rPr>
              <w:instrText>CY</w:instrText>
            </w:r>
            <w:r w:rsidR="00CC5F7B">
              <w:instrText>-1</w:instrText>
            </w:r>
            <w:r w:rsidR="00CC5F7B" w:rsidRPr="00905C12">
              <w:rPr>
                <w:rFonts w:hint="cs"/>
                <w:sz w:val="20"/>
                <w:szCs w:val="20"/>
              </w:rPr>
              <w:instrText xml:space="preserve"> \* MERGEFORMAT</w:instrText>
            </w:r>
            <w:r w:rsidR="00CC5F7B" w:rsidRPr="00905C12">
              <w:rPr>
                <w:sz w:val="20"/>
                <w:szCs w:val="20"/>
                <w:rtl/>
              </w:rPr>
              <w:instrText xml:space="preserve"> </w:instrText>
            </w:r>
            <w:r w:rsidR="00CC5F7B" w:rsidRPr="00905C12">
              <w:rPr>
                <w:sz w:val="20"/>
                <w:szCs w:val="20"/>
                <w:rtl/>
              </w:rPr>
              <w:fldChar w:fldCharType="separate"/>
            </w:r>
            <w:r w:rsidR="003A584F" w:rsidRPr="003A584F">
              <w:rPr>
                <w:noProof/>
                <w:rtl/>
              </w:rPr>
              <w:t>2023</w:t>
            </w:r>
            <w:r w:rsidR="00CC5F7B" w:rsidRPr="00905C12">
              <w:rPr>
                <w:sz w:val="20"/>
                <w:szCs w:val="20"/>
                <w:rtl/>
              </w:rPr>
              <w:fldChar w:fldCharType="end"/>
            </w:r>
            <w:r w:rsidR="00CC5F7B">
              <w:rPr>
                <w:rFonts w:hint="cs"/>
                <w:rtl/>
              </w:rPr>
              <w:t xml:space="preserve"> </w:t>
            </w:r>
            <w:r w:rsidR="00D52684">
              <w:rPr>
                <w:rFonts w:hint="cs"/>
                <w:rtl/>
              </w:rPr>
              <w:t xml:space="preserve">ו-31 בדצמבר </w:t>
            </w:r>
            <w:r w:rsidR="00CC5F7B" w:rsidRPr="00905C12">
              <w:rPr>
                <w:sz w:val="20"/>
                <w:szCs w:val="20"/>
                <w:rtl/>
              </w:rPr>
              <w:fldChar w:fldCharType="begin"/>
            </w:r>
            <w:r w:rsidR="00CC5F7B" w:rsidRPr="00905C12">
              <w:rPr>
                <w:sz w:val="20"/>
                <w:szCs w:val="20"/>
                <w:rtl/>
              </w:rPr>
              <w:instrText xml:space="preserve"> </w:instrText>
            </w:r>
            <w:r w:rsidR="00CC5F7B" w:rsidRPr="00905C12">
              <w:rPr>
                <w:rFonts w:hint="cs"/>
                <w:sz w:val="20"/>
                <w:szCs w:val="20"/>
                <w:rtl/>
              </w:rPr>
              <w:instrText xml:space="preserve">= </w:instrText>
            </w:r>
            <w:r w:rsidR="00CC5F7B" w:rsidRPr="00905C12">
              <w:rPr>
                <w:rFonts w:hint="cs"/>
                <w:sz w:val="20"/>
                <w:szCs w:val="20"/>
              </w:rPr>
              <w:instrText>CY</w:instrText>
            </w:r>
            <w:r w:rsidR="00CC5F7B">
              <w:instrText>-1</w:instrText>
            </w:r>
            <w:r w:rsidR="00CC5F7B" w:rsidRPr="00905C12">
              <w:rPr>
                <w:rFonts w:hint="cs"/>
                <w:sz w:val="20"/>
                <w:szCs w:val="20"/>
              </w:rPr>
              <w:instrText xml:space="preserve"> \* MERGEFORMAT</w:instrText>
            </w:r>
            <w:r w:rsidR="00CC5F7B" w:rsidRPr="00905C12">
              <w:rPr>
                <w:sz w:val="20"/>
                <w:szCs w:val="20"/>
                <w:rtl/>
              </w:rPr>
              <w:instrText xml:space="preserve"> </w:instrText>
            </w:r>
            <w:r w:rsidR="00CC5F7B" w:rsidRPr="00905C12">
              <w:rPr>
                <w:sz w:val="20"/>
                <w:szCs w:val="20"/>
                <w:rtl/>
              </w:rPr>
              <w:fldChar w:fldCharType="separate"/>
            </w:r>
            <w:r w:rsidR="003A584F" w:rsidRPr="003A584F">
              <w:rPr>
                <w:noProof/>
                <w:rtl/>
              </w:rPr>
              <w:t>2023</w:t>
            </w:r>
            <w:r w:rsidR="00CC5F7B" w:rsidRPr="00905C12">
              <w:rPr>
                <w:sz w:val="20"/>
                <w:szCs w:val="20"/>
                <w:rtl/>
              </w:rPr>
              <w:fldChar w:fldCharType="end"/>
            </w:r>
            <w:r w:rsidR="00D52684">
              <w:rPr>
                <w:rFonts w:hint="cs"/>
                <w:rtl/>
              </w:rPr>
              <w:t>, בהתאמה</w:t>
            </w:r>
            <w:r w:rsidRPr="00865418">
              <w:rPr>
                <w:rtl/>
              </w:rPr>
              <w:t>).</w:t>
            </w:r>
          </w:p>
        </w:tc>
      </w:tr>
    </w:tbl>
    <w:p w14:paraId="63E69BC6" w14:textId="77777777" w:rsidR="00D12B77" w:rsidRDefault="00D12B77">
      <w:pPr>
        <w:rPr>
          <w:rtl/>
        </w:rPr>
      </w:pPr>
    </w:p>
    <w:p w14:paraId="15FEE31E" w14:textId="77777777" w:rsidR="00D12B77" w:rsidRDefault="00D12B77">
      <w:pPr>
        <w:rPr>
          <w:rtl/>
        </w:rPr>
      </w:pPr>
    </w:p>
    <w:p w14:paraId="19BC9D30" w14:textId="77777777" w:rsidR="00D12B77" w:rsidRDefault="00D12B77"/>
    <w:tbl>
      <w:tblPr>
        <w:bidiVisual/>
        <w:tblW w:w="4792" w:type="pct"/>
        <w:tblLook w:val="04A0" w:firstRow="1" w:lastRow="0" w:firstColumn="1" w:lastColumn="0" w:noHBand="0" w:noVBand="1"/>
      </w:tblPr>
      <w:tblGrid>
        <w:gridCol w:w="1984"/>
        <w:gridCol w:w="7798"/>
      </w:tblGrid>
      <w:tr w:rsidR="00D12B77" w:rsidRPr="00D851E7" w14:paraId="7902CAF1" w14:textId="77777777" w:rsidTr="00D12B77">
        <w:trPr>
          <w:trHeight w:val="259"/>
        </w:trPr>
        <w:tc>
          <w:tcPr>
            <w:tcW w:w="1984" w:type="dxa"/>
          </w:tcPr>
          <w:p w14:paraId="761CCBE6" w14:textId="77777777" w:rsidR="00D12B77" w:rsidRPr="00ED6312" w:rsidRDefault="00D12B77" w:rsidP="00C57F10">
            <w:pPr>
              <w:pStyle w:val="-7"/>
              <w:bidi w:val="0"/>
              <w:spacing w:line="240" w:lineRule="auto"/>
              <w:ind w:right="-231"/>
              <w:jc w:val="left"/>
              <w:rPr>
                <w:spacing w:val="-6"/>
                <w:sz w:val="14"/>
                <w:szCs w:val="14"/>
                <w:rtl/>
              </w:rPr>
            </w:pPr>
          </w:p>
        </w:tc>
        <w:tc>
          <w:tcPr>
            <w:tcW w:w="7798" w:type="dxa"/>
          </w:tcPr>
          <w:p w14:paraId="49C72C7E" w14:textId="77777777" w:rsidR="00D12B77" w:rsidRPr="004F0CDC" w:rsidRDefault="00D12B77" w:rsidP="00C57F10">
            <w:pPr>
              <w:rPr>
                <w:sz w:val="17"/>
                <w:szCs w:val="17"/>
                <w:rtl/>
              </w:rPr>
            </w:pPr>
            <w:r>
              <w:rPr>
                <w:rFonts w:hint="cs"/>
                <w:sz w:val="17"/>
                <w:szCs w:val="17"/>
                <w:rtl/>
              </w:rPr>
              <w:t xml:space="preserve">* </w:t>
            </w:r>
            <w:r w:rsidRPr="004F0CDC">
              <w:rPr>
                <w:sz w:val="17"/>
                <w:szCs w:val="17"/>
                <w:rtl/>
              </w:rPr>
              <w:t xml:space="preserve">יושם למפרע, </w:t>
            </w:r>
            <w:r w:rsidRPr="004F0CDC">
              <w:rPr>
                <w:rFonts w:hint="cs"/>
                <w:sz w:val="17"/>
                <w:szCs w:val="17"/>
                <w:rtl/>
              </w:rPr>
              <w:t>ראה</w:t>
            </w:r>
            <w:r w:rsidRPr="004F0CDC">
              <w:rPr>
                <w:sz w:val="17"/>
                <w:szCs w:val="17"/>
                <w:rtl/>
              </w:rPr>
              <w:t xml:space="preserve"> ביאור </w:t>
            </w:r>
            <w:r w:rsidRPr="005F709A">
              <w:rPr>
                <w:sz w:val="16"/>
                <w:szCs w:val="16"/>
                <w:rtl/>
              </w:rPr>
              <w:t>1(</w:t>
            </w:r>
            <w:r w:rsidRPr="005F709A">
              <w:rPr>
                <w:rFonts w:hint="cs"/>
                <w:sz w:val="16"/>
                <w:szCs w:val="16"/>
                <w:rtl/>
              </w:rPr>
              <w:t>ה</w:t>
            </w:r>
            <w:r w:rsidRPr="005F709A">
              <w:rPr>
                <w:sz w:val="16"/>
                <w:szCs w:val="16"/>
                <w:rtl/>
              </w:rPr>
              <w:t>)(1)</w:t>
            </w:r>
            <w:r>
              <w:rPr>
                <w:rFonts w:hint="cs"/>
                <w:sz w:val="17"/>
                <w:szCs w:val="17"/>
                <w:rtl/>
              </w:rPr>
              <w:t xml:space="preserve"> / </w:t>
            </w:r>
            <w:r w:rsidRPr="00CE0F9D">
              <w:rPr>
                <w:sz w:val="17"/>
                <w:szCs w:val="17"/>
                <w:rtl/>
              </w:rPr>
              <w:t>**</w:t>
            </w:r>
            <w:r>
              <w:rPr>
                <w:rFonts w:hint="cs"/>
                <w:sz w:val="17"/>
                <w:szCs w:val="17"/>
                <w:rtl/>
              </w:rPr>
              <w:t xml:space="preserve"> </w:t>
            </w:r>
            <w:r w:rsidRPr="00CE0F9D">
              <w:rPr>
                <w:sz w:val="17"/>
                <w:szCs w:val="17"/>
                <w:rtl/>
              </w:rPr>
              <w:t xml:space="preserve">סווג מחדש, ראה ביאור </w:t>
            </w:r>
            <w:r w:rsidRPr="005F709A">
              <w:rPr>
                <w:sz w:val="16"/>
                <w:szCs w:val="16"/>
                <w:rtl/>
              </w:rPr>
              <w:t>1(</w:t>
            </w:r>
            <w:r w:rsidRPr="005F709A">
              <w:rPr>
                <w:rFonts w:hint="cs"/>
                <w:sz w:val="16"/>
                <w:szCs w:val="16"/>
                <w:rtl/>
              </w:rPr>
              <w:t>ה</w:t>
            </w:r>
            <w:r w:rsidRPr="005F709A">
              <w:rPr>
                <w:sz w:val="16"/>
                <w:szCs w:val="16"/>
                <w:rtl/>
              </w:rPr>
              <w:t>)(2)</w:t>
            </w:r>
            <w:r>
              <w:rPr>
                <w:rFonts w:hint="cs"/>
                <w:sz w:val="17"/>
                <w:szCs w:val="17"/>
                <w:rtl/>
              </w:rPr>
              <w:t xml:space="preserve"> / </w:t>
            </w:r>
            <w:r w:rsidRPr="00CE0F9D">
              <w:rPr>
                <w:sz w:val="17"/>
                <w:szCs w:val="17"/>
                <w:rtl/>
              </w:rPr>
              <w:t>***</w:t>
            </w:r>
            <w:r>
              <w:rPr>
                <w:rFonts w:hint="cs"/>
                <w:sz w:val="17"/>
                <w:szCs w:val="17"/>
                <w:rtl/>
              </w:rPr>
              <w:t xml:space="preserve"> ה</w:t>
            </w:r>
            <w:r w:rsidRPr="00CE0F9D">
              <w:rPr>
                <w:sz w:val="17"/>
                <w:szCs w:val="17"/>
                <w:rtl/>
              </w:rPr>
              <w:t xml:space="preserve">וצג מחדש, ראה ביאור </w:t>
            </w:r>
            <w:r w:rsidRPr="005F709A">
              <w:rPr>
                <w:sz w:val="16"/>
                <w:szCs w:val="16"/>
                <w:rtl/>
              </w:rPr>
              <w:t>1(</w:t>
            </w:r>
            <w:r w:rsidRPr="005F709A">
              <w:rPr>
                <w:rFonts w:hint="cs"/>
                <w:sz w:val="16"/>
                <w:szCs w:val="16"/>
                <w:rtl/>
              </w:rPr>
              <w:t>ה</w:t>
            </w:r>
            <w:r w:rsidRPr="005F709A">
              <w:rPr>
                <w:sz w:val="16"/>
                <w:szCs w:val="16"/>
                <w:rtl/>
              </w:rPr>
              <w:t>)(3)</w:t>
            </w:r>
          </w:p>
        </w:tc>
      </w:tr>
    </w:tbl>
    <w:p w14:paraId="77B0816B" w14:textId="77777777" w:rsidR="00D12B77" w:rsidRDefault="00D12B77"/>
    <w:p w14:paraId="67B3D264" w14:textId="77777777" w:rsidR="00DC0ABC" w:rsidRDefault="00DC0ABC" w:rsidP="00710A73"/>
    <w:tbl>
      <w:tblPr>
        <w:bidiVisual/>
        <w:tblW w:w="5000" w:type="pct"/>
        <w:tblLook w:val="04A0" w:firstRow="1" w:lastRow="0" w:firstColumn="1" w:lastColumn="0" w:noHBand="0" w:noVBand="1"/>
      </w:tblPr>
      <w:tblGrid>
        <w:gridCol w:w="1989"/>
        <w:gridCol w:w="8218"/>
      </w:tblGrid>
      <w:tr w:rsidR="00710A73" w:rsidRPr="00D851E7" w14:paraId="1DB56987" w14:textId="77777777" w:rsidTr="00D12B77">
        <w:trPr>
          <w:trHeight w:val="259"/>
        </w:trPr>
        <w:tc>
          <w:tcPr>
            <w:tcW w:w="1989" w:type="dxa"/>
          </w:tcPr>
          <w:p w14:paraId="789B428E" w14:textId="77777777" w:rsidR="00710A73" w:rsidRPr="00ED6312" w:rsidRDefault="00710A73" w:rsidP="00BF7A8B">
            <w:pPr>
              <w:pStyle w:val="-7"/>
              <w:bidi w:val="0"/>
              <w:ind w:right="-231"/>
              <w:jc w:val="left"/>
              <w:rPr>
                <w:spacing w:val="-6"/>
                <w:sz w:val="14"/>
                <w:szCs w:val="14"/>
                <w:rtl/>
              </w:rPr>
            </w:pPr>
          </w:p>
        </w:tc>
        <w:tc>
          <w:tcPr>
            <w:tcW w:w="8218" w:type="dxa"/>
          </w:tcPr>
          <w:p w14:paraId="775547EE" w14:textId="77777777" w:rsidR="00710A73" w:rsidRDefault="00710A73" w:rsidP="00BF7A8B">
            <w:pPr>
              <w:rPr>
                <w:rtl/>
              </w:rPr>
            </w:pPr>
            <w:r w:rsidRPr="00543C25">
              <w:rPr>
                <w:b/>
                <w:bCs/>
                <w:rtl/>
              </w:rPr>
              <w:t>הביאורים ל</w:t>
            </w:r>
            <w:r>
              <w:rPr>
                <w:rFonts w:hint="cs"/>
                <w:b/>
                <w:bCs/>
                <w:rtl/>
              </w:rPr>
              <w:t>תמצית ה</w:t>
            </w:r>
            <w:r w:rsidRPr="00543C25">
              <w:rPr>
                <w:b/>
                <w:bCs/>
                <w:rtl/>
              </w:rPr>
              <w:t xml:space="preserve">דוחות הכספיים מהווים חלק בלתי נפרד </w:t>
            </w:r>
            <w:r>
              <w:rPr>
                <w:rFonts w:hint="cs"/>
                <w:b/>
                <w:bCs/>
                <w:rtl/>
              </w:rPr>
              <w:t>ממנה.</w:t>
            </w:r>
          </w:p>
        </w:tc>
      </w:tr>
    </w:tbl>
    <w:p w14:paraId="539E2174" w14:textId="77777777" w:rsidR="00710A73" w:rsidRDefault="00710A73" w:rsidP="00710A73">
      <w:pPr>
        <w:rPr>
          <w:rtl/>
        </w:rPr>
      </w:pPr>
    </w:p>
    <w:p w14:paraId="74764EEE" w14:textId="77777777" w:rsidR="00FD37BC" w:rsidRDefault="00FD37BC" w:rsidP="00710A73">
      <w:pPr>
        <w:sectPr w:rsidR="00FD37BC" w:rsidSect="00587121">
          <w:headerReference w:type="even" r:id="rId17"/>
          <w:headerReference w:type="default" r:id="rId18"/>
          <w:footnotePr>
            <w:numRestart w:val="eachPage"/>
          </w:footnotePr>
          <w:pgSz w:w="11909" w:h="16834" w:code="9"/>
          <w:pgMar w:top="851" w:right="851" w:bottom="851" w:left="851" w:header="720" w:footer="720" w:gutter="0"/>
          <w:cols w:space="720"/>
          <w:bidi/>
          <w:rtlGutter/>
          <w:docGrid w:linePitch="360"/>
        </w:sectPr>
      </w:pPr>
    </w:p>
    <w:p w14:paraId="79BF00F6" w14:textId="77777777" w:rsidR="00B80C8A" w:rsidRDefault="00B80C8A" w:rsidP="00043825">
      <w:pPr>
        <w:pStyle w:val="-2"/>
        <w:ind w:firstLine="1098"/>
        <w:rPr>
          <w:rtl/>
        </w:rPr>
      </w:pPr>
      <w:r w:rsidRPr="00543C25">
        <w:rPr>
          <w:rFonts w:hint="cs"/>
          <w:rtl/>
        </w:rPr>
        <w:lastRenderedPageBreak/>
        <w:t>בנק</w:t>
      </w:r>
      <w:r w:rsidRPr="00543C25">
        <w:rPr>
          <w:rtl/>
        </w:rPr>
        <w:t xml:space="preserve"> </w:t>
      </w:r>
      <w:r w:rsidRPr="004D57D2">
        <w:rPr>
          <w:rFonts w:hint="cs"/>
          <w:rtl/>
        </w:rPr>
        <w:t xml:space="preserve">לדוגמה </w:t>
      </w:r>
      <w:r w:rsidRPr="004D57D2">
        <w:rPr>
          <w:rtl/>
        </w:rPr>
        <w:t>בע"מ וחברות מאוחדות שלו</w:t>
      </w:r>
    </w:p>
    <w:p w14:paraId="2F94CAFD" w14:textId="0AA8BA3A" w:rsidR="00B80C8A" w:rsidRPr="00B23171" w:rsidRDefault="00B80C8A" w:rsidP="00CC5F7B">
      <w:pPr>
        <w:pStyle w:val="7"/>
        <w:spacing w:after="80"/>
        <w:ind w:firstLine="1100"/>
        <w:rPr>
          <w:u w:val="single"/>
          <w:rtl/>
        </w:rPr>
      </w:pPr>
      <w:bookmarkStart w:id="9" w:name="_Toc160529212"/>
      <w:r w:rsidRPr="00B23171">
        <w:rPr>
          <w:rFonts w:hint="cs"/>
          <w:u w:val="single"/>
          <w:rtl/>
        </w:rPr>
        <w:t xml:space="preserve">תמצית דוח על השינויים בהון מאוחד לשלושה חודשים שהסתיימו ביום 30 ביוני </w:t>
      </w:r>
      <w:r w:rsidR="00CC5F7B" w:rsidRPr="00905C12">
        <w:rPr>
          <w:szCs w:val="20"/>
          <w:u w:val="single"/>
          <w:rtl/>
        </w:rPr>
        <w:fldChar w:fldCharType="begin"/>
      </w:r>
      <w:r w:rsidR="00CC5F7B" w:rsidRPr="00905C12">
        <w:rPr>
          <w:szCs w:val="20"/>
          <w:u w:val="single"/>
          <w:rtl/>
        </w:rPr>
        <w:instrText xml:space="preserve"> </w:instrText>
      </w:r>
      <w:r w:rsidR="00CC5F7B" w:rsidRPr="00905C12">
        <w:rPr>
          <w:rFonts w:hint="cs"/>
          <w:szCs w:val="20"/>
          <w:u w:val="single"/>
          <w:rtl/>
        </w:rPr>
        <w:instrText xml:space="preserve">= </w:instrText>
      </w:r>
      <w:r w:rsidR="00CC5F7B" w:rsidRPr="00905C12">
        <w:rPr>
          <w:rFonts w:hint="cs"/>
          <w:szCs w:val="20"/>
          <w:u w:val="single"/>
        </w:rPr>
        <w:instrText>CY \* MERGEFORMAT</w:instrText>
      </w:r>
      <w:r w:rsidR="00CC5F7B" w:rsidRPr="00905C12">
        <w:rPr>
          <w:szCs w:val="20"/>
          <w:u w:val="single"/>
          <w:rtl/>
        </w:rPr>
        <w:instrText xml:space="preserve"> </w:instrText>
      </w:r>
      <w:r w:rsidR="00CC5F7B" w:rsidRPr="00905C12">
        <w:rPr>
          <w:szCs w:val="20"/>
          <w:u w:val="single"/>
          <w:rtl/>
        </w:rPr>
        <w:fldChar w:fldCharType="separate"/>
      </w:r>
      <w:r w:rsidR="003A584F">
        <w:rPr>
          <w:noProof/>
          <w:szCs w:val="20"/>
          <w:u w:val="single"/>
          <w:rtl/>
        </w:rPr>
        <w:t>2024</w:t>
      </w:r>
      <w:r w:rsidR="00CC5F7B" w:rsidRPr="00905C12">
        <w:rPr>
          <w:szCs w:val="20"/>
          <w:u w:val="single"/>
          <w:rtl/>
        </w:rPr>
        <w:fldChar w:fldCharType="end"/>
      </w:r>
      <w:r w:rsidR="00CC5F7B" w:rsidRPr="00BF4BA5">
        <w:rPr>
          <w:rFonts w:hint="cs"/>
          <w:u w:val="single"/>
          <w:rtl/>
        </w:rPr>
        <w:t xml:space="preserve"> </w:t>
      </w:r>
      <w:r w:rsidRPr="00B23171">
        <w:rPr>
          <w:rFonts w:hint="cs"/>
          <w:u w:val="single"/>
          <w:rtl/>
        </w:rPr>
        <w:t>(בלתי מבוקר)</w:t>
      </w:r>
      <w:bookmarkEnd w:id="9"/>
    </w:p>
    <w:p w14:paraId="7A3C1BDB" w14:textId="77777777" w:rsidR="00B80C8A" w:rsidRPr="00B80C8A" w:rsidRDefault="00B80C8A" w:rsidP="00F723B7">
      <w:pPr>
        <w:pStyle w:val="-2"/>
        <w:ind w:firstLine="1100"/>
        <w:rPr>
          <w:b w:val="0"/>
          <w:bCs w:val="0"/>
          <w:sz w:val="20"/>
          <w:szCs w:val="20"/>
          <w:rtl/>
        </w:rPr>
      </w:pPr>
      <w:r w:rsidRPr="00B80C8A">
        <w:rPr>
          <w:rFonts w:hint="cs"/>
          <w:b w:val="0"/>
          <w:bCs w:val="0"/>
          <w:sz w:val="20"/>
          <w:szCs w:val="20"/>
          <w:rtl/>
        </w:rPr>
        <w:t>סכומים מדווחים (במיליוני ש"ח)</w:t>
      </w:r>
    </w:p>
    <w:tbl>
      <w:tblPr>
        <w:bidiVisual/>
        <w:tblW w:w="4980" w:type="pct"/>
        <w:tblInd w:w="155" w:type="dxa"/>
        <w:tblLook w:val="04A0" w:firstRow="1" w:lastRow="0" w:firstColumn="1" w:lastColumn="0" w:noHBand="0" w:noVBand="1"/>
      </w:tblPr>
      <w:tblGrid>
        <w:gridCol w:w="850"/>
        <w:gridCol w:w="2097"/>
        <w:gridCol w:w="780"/>
        <w:gridCol w:w="865"/>
        <w:gridCol w:w="939"/>
        <w:gridCol w:w="737"/>
        <w:gridCol w:w="1374"/>
        <w:gridCol w:w="743"/>
        <w:gridCol w:w="746"/>
        <w:gridCol w:w="982"/>
        <w:gridCol w:w="708"/>
        <w:gridCol w:w="930"/>
        <w:gridCol w:w="792"/>
        <w:gridCol w:w="1126"/>
        <w:gridCol w:w="726"/>
        <w:gridCol w:w="676"/>
      </w:tblGrid>
      <w:tr w:rsidR="0030599F" w:rsidRPr="00513F0D" w14:paraId="6B826E31" w14:textId="77777777" w:rsidTr="004A1ADA">
        <w:tc>
          <w:tcPr>
            <w:tcW w:w="850" w:type="dxa"/>
          </w:tcPr>
          <w:p w14:paraId="6F05997E" w14:textId="77777777" w:rsidR="004E0E02" w:rsidRPr="00D35C2A" w:rsidRDefault="004E0E02" w:rsidP="001835BD">
            <w:pPr>
              <w:pStyle w:val="-7"/>
              <w:ind w:right="-231"/>
              <w:jc w:val="left"/>
              <w:rPr>
                <w:sz w:val="14"/>
                <w:szCs w:val="14"/>
                <w:rtl/>
              </w:rPr>
            </w:pPr>
          </w:p>
        </w:tc>
        <w:tc>
          <w:tcPr>
            <w:tcW w:w="2097" w:type="dxa"/>
            <w:vAlign w:val="bottom"/>
          </w:tcPr>
          <w:p w14:paraId="44DE5735" w14:textId="77777777" w:rsidR="004E0E02" w:rsidRPr="00BC2F81" w:rsidRDefault="004E0E02" w:rsidP="001835BD">
            <w:pPr>
              <w:pStyle w:val="-0"/>
              <w:rPr>
                <w:color w:val="FFFFFF"/>
                <w:vertAlign w:val="superscript"/>
                <w:rtl/>
              </w:rPr>
            </w:pPr>
          </w:p>
        </w:tc>
        <w:tc>
          <w:tcPr>
            <w:tcW w:w="780" w:type="dxa"/>
            <w:vAlign w:val="bottom"/>
          </w:tcPr>
          <w:p w14:paraId="20C45D67" w14:textId="77777777" w:rsidR="00F32A2A" w:rsidRDefault="00F32A2A" w:rsidP="001835BD">
            <w:pPr>
              <w:pStyle w:val="-4"/>
              <w:pBdr>
                <w:bottom w:val="none" w:sz="0" w:space="0" w:color="auto"/>
              </w:pBdr>
              <w:rPr>
                <w:sz w:val="16"/>
                <w:szCs w:val="16"/>
                <w:rtl/>
              </w:rPr>
            </w:pPr>
          </w:p>
        </w:tc>
        <w:tc>
          <w:tcPr>
            <w:tcW w:w="865" w:type="dxa"/>
            <w:vAlign w:val="bottom"/>
          </w:tcPr>
          <w:p w14:paraId="28400765" w14:textId="77777777" w:rsidR="00F32A2A" w:rsidRDefault="00F32A2A" w:rsidP="001835BD">
            <w:pPr>
              <w:pStyle w:val="-4"/>
              <w:pBdr>
                <w:bottom w:val="none" w:sz="0" w:space="0" w:color="auto"/>
              </w:pBdr>
              <w:rPr>
                <w:sz w:val="16"/>
                <w:szCs w:val="16"/>
                <w:rtl/>
              </w:rPr>
            </w:pPr>
          </w:p>
        </w:tc>
        <w:tc>
          <w:tcPr>
            <w:tcW w:w="939" w:type="dxa"/>
            <w:vAlign w:val="bottom"/>
          </w:tcPr>
          <w:p w14:paraId="3B687267" w14:textId="77777777" w:rsidR="00F32A2A" w:rsidRDefault="00F32A2A" w:rsidP="001835BD">
            <w:pPr>
              <w:pStyle w:val="-4"/>
              <w:pBdr>
                <w:bottom w:val="none" w:sz="0" w:space="0" w:color="auto"/>
              </w:pBdr>
              <w:rPr>
                <w:sz w:val="16"/>
                <w:szCs w:val="16"/>
                <w:rtl/>
              </w:rPr>
            </w:pPr>
          </w:p>
        </w:tc>
        <w:tc>
          <w:tcPr>
            <w:tcW w:w="2854" w:type="dxa"/>
            <w:gridSpan w:val="3"/>
            <w:vAlign w:val="bottom"/>
          </w:tcPr>
          <w:p w14:paraId="30F9A28D" w14:textId="77777777" w:rsidR="00F32A2A" w:rsidRDefault="004E0E02" w:rsidP="001835BD">
            <w:pPr>
              <w:pStyle w:val="-4"/>
              <w:pBdr>
                <w:bottom w:val="single" w:sz="4" w:space="1" w:color="auto"/>
              </w:pBdr>
              <w:spacing w:line="240" w:lineRule="auto"/>
              <w:ind w:left="-57" w:right="-57"/>
              <w:rPr>
                <w:sz w:val="16"/>
                <w:szCs w:val="16"/>
                <w:rtl/>
              </w:rPr>
            </w:pPr>
            <w:r w:rsidRPr="00CF2A74">
              <w:rPr>
                <w:rFonts w:hint="eastAsia"/>
                <w:sz w:val="16"/>
                <w:szCs w:val="16"/>
                <w:rtl/>
              </w:rPr>
              <w:t>קרנות</w:t>
            </w:r>
            <w:r w:rsidRPr="00CF2A74">
              <w:rPr>
                <w:sz w:val="16"/>
                <w:szCs w:val="16"/>
                <w:rtl/>
              </w:rPr>
              <w:t xml:space="preserve"> </w:t>
            </w:r>
            <w:r w:rsidRPr="00CF2A74">
              <w:rPr>
                <w:rFonts w:hint="eastAsia"/>
                <w:sz w:val="16"/>
                <w:szCs w:val="16"/>
                <w:rtl/>
              </w:rPr>
              <w:t>הון</w:t>
            </w:r>
          </w:p>
        </w:tc>
        <w:tc>
          <w:tcPr>
            <w:tcW w:w="746" w:type="dxa"/>
            <w:vAlign w:val="bottom"/>
          </w:tcPr>
          <w:p w14:paraId="73DDB97C" w14:textId="77777777" w:rsidR="00F32A2A" w:rsidRDefault="00F32A2A" w:rsidP="001835BD">
            <w:pPr>
              <w:pStyle w:val="-4"/>
              <w:pBdr>
                <w:bottom w:val="none" w:sz="0" w:space="0" w:color="auto"/>
              </w:pBdr>
              <w:rPr>
                <w:sz w:val="16"/>
                <w:szCs w:val="16"/>
                <w:rtl/>
              </w:rPr>
            </w:pPr>
          </w:p>
        </w:tc>
        <w:tc>
          <w:tcPr>
            <w:tcW w:w="982" w:type="dxa"/>
            <w:vAlign w:val="bottom"/>
          </w:tcPr>
          <w:p w14:paraId="1C21C814" w14:textId="77777777" w:rsidR="00F32A2A" w:rsidRDefault="00F32A2A" w:rsidP="001835BD">
            <w:pPr>
              <w:pStyle w:val="-4"/>
              <w:pBdr>
                <w:bottom w:val="none" w:sz="0" w:space="0" w:color="auto"/>
              </w:pBdr>
              <w:rPr>
                <w:sz w:val="16"/>
                <w:szCs w:val="16"/>
                <w:rtl/>
              </w:rPr>
            </w:pPr>
          </w:p>
        </w:tc>
        <w:tc>
          <w:tcPr>
            <w:tcW w:w="708" w:type="dxa"/>
            <w:vAlign w:val="bottom"/>
          </w:tcPr>
          <w:p w14:paraId="57056ED2" w14:textId="77777777" w:rsidR="00F32A2A" w:rsidRDefault="00F32A2A" w:rsidP="001835BD">
            <w:pPr>
              <w:pStyle w:val="-4"/>
              <w:pBdr>
                <w:bottom w:val="none" w:sz="0" w:space="0" w:color="auto"/>
              </w:pBdr>
              <w:rPr>
                <w:sz w:val="16"/>
                <w:szCs w:val="16"/>
                <w:rtl/>
              </w:rPr>
            </w:pPr>
          </w:p>
        </w:tc>
        <w:tc>
          <w:tcPr>
            <w:tcW w:w="930" w:type="dxa"/>
            <w:vAlign w:val="bottom"/>
          </w:tcPr>
          <w:p w14:paraId="06795A0A" w14:textId="77777777" w:rsidR="00F32A2A" w:rsidRDefault="00F32A2A" w:rsidP="001835BD">
            <w:pPr>
              <w:pStyle w:val="-4"/>
              <w:pBdr>
                <w:bottom w:val="none" w:sz="0" w:space="0" w:color="auto"/>
              </w:pBdr>
              <w:rPr>
                <w:sz w:val="16"/>
                <w:szCs w:val="16"/>
                <w:rtl/>
              </w:rPr>
            </w:pPr>
          </w:p>
        </w:tc>
        <w:tc>
          <w:tcPr>
            <w:tcW w:w="792" w:type="dxa"/>
            <w:vAlign w:val="bottom"/>
          </w:tcPr>
          <w:p w14:paraId="787FECC0" w14:textId="77777777" w:rsidR="00F32A2A" w:rsidRDefault="00F32A2A" w:rsidP="001835BD">
            <w:pPr>
              <w:pStyle w:val="-4"/>
              <w:pBdr>
                <w:bottom w:val="none" w:sz="0" w:space="0" w:color="auto"/>
              </w:pBdr>
              <w:rPr>
                <w:sz w:val="16"/>
                <w:szCs w:val="16"/>
                <w:rtl/>
              </w:rPr>
            </w:pPr>
          </w:p>
        </w:tc>
        <w:tc>
          <w:tcPr>
            <w:tcW w:w="1126" w:type="dxa"/>
            <w:vAlign w:val="bottom"/>
          </w:tcPr>
          <w:p w14:paraId="5EAA67A7" w14:textId="77777777" w:rsidR="00F32A2A" w:rsidRDefault="00F32A2A" w:rsidP="001835BD">
            <w:pPr>
              <w:pStyle w:val="-4"/>
              <w:pBdr>
                <w:bottom w:val="none" w:sz="0" w:space="0" w:color="auto"/>
              </w:pBdr>
              <w:rPr>
                <w:sz w:val="16"/>
                <w:szCs w:val="16"/>
                <w:rtl/>
              </w:rPr>
            </w:pPr>
          </w:p>
        </w:tc>
        <w:tc>
          <w:tcPr>
            <w:tcW w:w="726" w:type="dxa"/>
            <w:vAlign w:val="bottom"/>
          </w:tcPr>
          <w:p w14:paraId="4A574CB5" w14:textId="77777777" w:rsidR="00F32A2A" w:rsidRDefault="00F32A2A" w:rsidP="001835BD">
            <w:pPr>
              <w:pStyle w:val="-4"/>
              <w:pBdr>
                <w:bottom w:val="none" w:sz="0" w:space="0" w:color="auto"/>
              </w:pBdr>
              <w:rPr>
                <w:sz w:val="16"/>
                <w:szCs w:val="16"/>
                <w:rtl/>
              </w:rPr>
            </w:pPr>
          </w:p>
        </w:tc>
        <w:tc>
          <w:tcPr>
            <w:tcW w:w="676" w:type="dxa"/>
            <w:vAlign w:val="bottom"/>
          </w:tcPr>
          <w:p w14:paraId="122689D5" w14:textId="77777777" w:rsidR="00F32A2A" w:rsidRDefault="00F32A2A" w:rsidP="001835BD">
            <w:pPr>
              <w:pStyle w:val="-4"/>
              <w:pBdr>
                <w:bottom w:val="none" w:sz="0" w:space="0" w:color="auto"/>
              </w:pBdr>
              <w:rPr>
                <w:sz w:val="16"/>
                <w:szCs w:val="16"/>
                <w:rtl/>
              </w:rPr>
            </w:pPr>
          </w:p>
        </w:tc>
      </w:tr>
      <w:tr w:rsidR="0030599F" w:rsidRPr="00513F0D" w14:paraId="63739DD5" w14:textId="77777777" w:rsidTr="004A1ADA">
        <w:tc>
          <w:tcPr>
            <w:tcW w:w="850" w:type="dxa"/>
          </w:tcPr>
          <w:p w14:paraId="05CA4863" w14:textId="77777777" w:rsidR="005976FF" w:rsidRPr="00513F0D" w:rsidRDefault="005976FF" w:rsidP="00B55E95">
            <w:pPr>
              <w:pStyle w:val="-7"/>
              <w:ind w:right="-231"/>
              <w:jc w:val="left"/>
              <w:rPr>
                <w:b/>
                <w:bCs/>
                <w:spacing w:val="-6"/>
                <w:sz w:val="16"/>
                <w:szCs w:val="16"/>
                <w:rtl/>
              </w:rPr>
            </w:pPr>
            <w:r w:rsidRPr="00D35C2A">
              <w:rPr>
                <w:rFonts w:hint="cs"/>
                <w:sz w:val="14"/>
                <w:szCs w:val="14"/>
                <w:rtl/>
              </w:rPr>
              <w:t xml:space="preserve">מתכונת דוח </w:t>
            </w:r>
            <w:r w:rsidRPr="00D35C2A">
              <w:rPr>
                <w:sz w:val="14"/>
                <w:szCs w:val="14"/>
                <w:rtl/>
              </w:rPr>
              <w:br/>
            </w:r>
            <w:r w:rsidRPr="00D35C2A">
              <w:rPr>
                <w:rFonts w:hint="cs"/>
                <w:sz w:val="14"/>
                <w:szCs w:val="14"/>
                <w:rtl/>
              </w:rPr>
              <w:t>עמ' 663-</w:t>
            </w:r>
            <w:r>
              <w:rPr>
                <w:rFonts w:hint="cs"/>
                <w:sz w:val="14"/>
                <w:szCs w:val="14"/>
                <w:rtl/>
              </w:rPr>
              <w:t>8</w:t>
            </w:r>
          </w:p>
        </w:tc>
        <w:tc>
          <w:tcPr>
            <w:tcW w:w="2097" w:type="dxa"/>
            <w:vAlign w:val="bottom"/>
          </w:tcPr>
          <w:p w14:paraId="3C47B7BC" w14:textId="77777777" w:rsidR="005976FF" w:rsidRPr="00BC2F81" w:rsidRDefault="005976FF" w:rsidP="002C3501">
            <w:pPr>
              <w:pStyle w:val="-0"/>
              <w:rPr>
                <w:b/>
                <w:bCs/>
                <w:color w:val="FFFFFF"/>
                <w:sz w:val="16"/>
                <w:szCs w:val="16"/>
                <w:rtl/>
              </w:rPr>
            </w:pPr>
            <w:r w:rsidRPr="00BC2F81">
              <w:rPr>
                <w:color w:val="FFFFFF"/>
                <w:vertAlign w:val="superscript"/>
                <w:rtl/>
              </w:rPr>
              <w:t>[</w:t>
            </w:r>
          </w:p>
        </w:tc>
        <w:tc>
          <w:tcPr>
            <w:tcW w:w="780" w:type="dxa"/>
            <w:vAlign w:val="bottom"/>
          </w:tcPr>
          <w:p w14:paraId="266082DC" w14:textId="77777777" w:rsidR="005976FF" w:rsidRPr="00513F0D" w:rsidRDefault="005976FF" w:rsidP="00B55E95">
            <w:pPr>
              <w:pStyle w:val="-4"/>
              <w:pBdr>
                <w:bottom w:val="single" w:sz="4" w:space="1" w:color="auto"/>
              </w:pBdr>
              <w:rPr>
                <w:sz w:val="16"/>
                <w:szCs w:val="16"/>
                <w:rtl/>
              </w:rPr>
            </w:pPr>
            <w:r w:rsidRPr="00CF2A74">
              <w:rPr>
                <w:rFonts w:hint="eastAsia"/>
                <w:sz w:val="16"/>
                <w:szCs w:val="16"/>
                <w:rtl/>
              </w:rPr>
              <w:t>הון</w:t>
            </w:r>
            <w:r w:rsidRPr="00CF2A74">
              <w:rPr>
                <w:sz w:val="16"/>
                <w:szCs w:val="16"/>
                <w:rtl/>
              </w:rPr>
              <w:t xml:space="preserve"> </w:t>
            </w:r>
            <w:r w:rsidRPr="00CF2A74">
              <w:rPr>
                <w:rFonts w:hint="eastAsia"/>
                <w:sz w:val="16"/>
                <w:szCs w:val="16"/>
                <w:rtl/>
              </w:rPr>
              <w:t>המניות</w:t>
            </w:r>
            <w:r w:rsidRPr="00CF2A74">
              <w:rPr>
                <w:sz w:val="16"/>
                <w:szCs w:val="16"/>
                <w:rtl/>
              </w:rPr>
              <w:t xml:space="preserve"> </w:t>
            </w:r>
            <w:r w:rsidRPr="00CF2A74">
              <w:rPr>
                <w:rFonts w:hint="eastAsia"/>
                <w:sz w:val="16"/>
                <w:szCs w:val="16"/>
                <w:rtl/>
              </w:rPr>
              <w:t>הנפרע</w:t>
            </w:r>
          </w:p>
        </w:tc>
        <w:tc>
          <w:tcPr>
            <w:tcW w:w="865" w:type="dxa"/>
            <w:vAlign w:val="bottom"/>
          </w:tcPr>
          <w:p w14:paraId="5F890A69" w14:textId="77777777" w:rsidR="005976FF" w:rsidRPr="00513F0D" w:rsidRDefault="005976FF" w:rsidP="00B55E95">
            <w:pPr>
              <w:pStyle w:val="-4"/>
              <w:pBdr>
                <w:bottom w:val="single" w:sz="4" w:space="1" w:color="auto"/>
              </w:pBdr>
              <w:rPr>
                <w:sz w:val="16"/>
                <w:szCs w:val="16"/>
                <w:rtl/>
              </w:rPr>
            </w:pPr>
            <w:r w:rsidRPr="00CF2A74">
              <w:rPr>
                <w:rFonts w:hint="eastAsia"/>
                <w:sz w:val="16"/>
                <w:szCs w:val="16"/>
                <w:rtl/>
              </w:rPr>
              <w:t>תקבולים</w:t>
            </w:r>
            <w:r w:rsidRPr="00CF2A74">
              <w:rPr>
                <w:sz w:val="16"/>
                <w:szCs w:val="16"/>
                <w:rtl/>
              </w:rPr>
              <w:t xml:space="preserve"> </w:t>
            </w:r>
            <w:r w:rsidRPr="00CF2A74">
              <w:rPr>
                <w:rFonts w:hint="eastAsia"/>
                <w:sz w:val="16"/>
                <w:szCs w:val="16"/>
                <w:rtl/>
              </w:rPr>
              <w:t>על</w:t>
            </w:r>
            <w:r w:rsidRPr="00CF2A74">
              <w:rPr>
                <w:sz w:val="16"/>
                <w:szCs w:val="16"/>
                <w:rtl/>
              </w:rPr>
              <w:t xml:space="preserve"> </w:t>
            </w:r>
            <w:r w:rsidRPr="00CF2A74">
              <w:rPr>
                <w:rFonts w:hint="eastAsia"/>
                <w:sz w:val="16"/>
                <w:szCs w:val="16"/>
                <w:rtl/>
              </w:rPr>
              <w:t>חשבון</w:t>
            </w:r>
            <w:r w:rsidRPr="00CF2A74">
              <w:rPr>
                <w:sz w:val="16"/>
                <w:szCs w:val="16"/>
                <w:rtl/>
              </w:rPr>
              <w:t xml:space="preserve"> </w:t>
            </w:r>
            <w:r w:rsidRPr="00CF2A74">
              <w:rPr>
                <w:rFonts w:hint="eastAsia"/>
                <w:sz w:val="16"/>
                <w:szCs w:val="16"/>
                <w:rtl/>
              </w:rPr>
              <w:t>מניות</w:t>
            </w:r>
          </w:p>
        </w:tc>
        <w:tc>
          <w:tcPr>
            <w:tcW w:w="939" w:type="dxa"/>
            <w:vAlign w:val="bottom"/>
          </w:tcPr>
          <w:p w14:paraId="27614BD7" w14:textId="77777777" w:rsidR="005976FF" w:rsidRDefault="005976FF" w:rsidP="00B55E95">
            <w:pPr>
              <w:pStyle w:val="-4"/>
              <w:pBdr>
                <w:bottom w:val="single" w:sz="4" w:space="1" w:color="auto"/>
              </w:pBdr>
              <w:rPr>
                <w:sz w:val="16"/>
                <w:szCs w:val="16"/>
                <w:rtl/>
              </w:rPr>
            </w:pPr>
            <w:r w:rsidRPr="00CF2A74">
              <w:rPr>
                <w:rFonts w:hint="eastAsia"/>
                <w:sz w:val="16"/>
                <w:szCs w:val="16"/>
                <w:rtl/>
              </w:rPr>
              <w:t>התחייבויות</w:t>
            </w:r>
            <w:r w:rsidRPr="00CF2A74">
              <w:rPr>
                <w:sz w:val="16"/>
                <w:szCs w:val="16"/>
                <w:rtl/>
              </w:rPr>
              <w:t xml:space="preserve"> </w:t>
            </w:r>
            <w:r w:rsidRPr="00CF2A74">
              <w:rPr>
                <w:rFonts w:hint="eastAsia"/>
                <w:sz w:val="16"/>
                <w:szCs w:val="16"/>
                <w:rtl/>
              </w:rPr>
              <w:t>צמיתות</w:t>
            </w:r>
          </w:p>
        </w:tc>
        <w:tc>
          <w:tcPr>
            <w:tcW w:w="737" w:type="dxa"/>
            <w:vAlign w:val="bottom"/>
          </w:tcPr>
          <w:p w14:paraId="5AA74DF2" w14:textId="77777777" w:rsidR="005976FF" w:rsidRPr="00513F0D" w:rsidRDefault="005976FF" w:rsidP="00B55E95">
            <w:pPr>
              <w:pStyle w:val="-4"/>
              <w:pBdr>
                <w:bottom w:val="single" w:sz="4" w:space="1" w:color="auto"/>
              </w:pBdr>
              <w:rPr>
                <w:sz w:val="16"/>
                <w:szCs w:val="16"/>
                <w:rtl/>
              </w:rPr>
            </w:pPr>
            <w:r w:rsidRPr="00CF2A74">
              <w:rPr>
                <w:rFonts w:hint="eastAsia"/>
                <w:sz w:val="16"/>
                <w:szCs w:val="16"/>
                <w:rtl/>
              </w:rPr>
              <w:t>מפרמיה</w:t>
            </w:r>
          </w:p>
        </w:tc>
        <w:tc>
          <w:tcPr>
            <w:tcW w:w="1374" w:type="dxa"/>
            <w:vAlign w:val="bottom"/>
          </w:tcPr>
          <w:p w14:paraId="5F662AC2" w14:textId="77777777" w:rsidR="005976FF" w:rsidRPr="009A7E4A" w:rsidRDefault="005976FF" w:rsidP="00B55E95">
            <w:pPr>
              <w:pStyle w:val="-4"/>
              <w:pBdr>
                <w:bottom w:val="single" w:sz="4" w:space="1" w:color="auto"/>
              </w:pBdr>
              <w:rPr>
                <w:sz w:val="16"/>
                <w:szCs w:val="16"/>
                <w:rtl/>
              </w:rPr>
            </w:pPr>
            <w:r w:rsidRPr="009A7E4A">
              <w:rPr>
                <w:rFonts w:hint="eastAsia"/>
                <w:sz w:val="16"/>
                <w:szCs w:val="16"/>
                <w:rtl/>
              </w:rPr>
              <w:t>מהטבה</w:t>
            </w:r>
            <w:r w:rsidRPr="009A7E4A">
              <w:rPr>
                <w:sz w:val="16"/>
                <w:szCs w:val="16"/>
                <w:rtl/>
              </w:rPr>
              <w:t xml:space="preserve"> </w:t>
            </w:r>
            <w:r w:rsidRPr="009A7E4A">
              <w:rPr>
                <w:rFonts w:hint="eastAsia"/>
                <w:sz w:val="16"/>
                <w:szCs w:val="16"/>
                <w:rtl/>
              </w:rPr>
              <w:t>בשל</w:t>
            </w:r>
            <w:r w:rsidRPr="009A7E4A">
              <w:rPr>
                <w:sz w:val="16"/>
                <w:szCs w:val="16"/>
                <w:rtl/>
              </w:rPr>
              <w:t xml:space="preserve"> </w:t>
            </w:r>
            <w:r w:rsidRPr="009A7E4A">
              <w:rPr>
                <w:rFonts w:hint="eastAsia"/>
                <w:sz w:val="16"/>
                <w:szCs w:val="16"/>
                <w:rtl/>
              </w:rPr>
              <w:t>עסקאות</w:t>
            </w:r>
            <w:r w:rsidRPr="009A7E4A">
              <w:rPr>
                <w:sz w:val="16"/>
                <w:szCs w:val="16"/>
                <w:rtl/>
              </w:rPr>
              <w:t xml:space="preserve"> </w:t>
            </w:r>
            <w:r w:rsidRPr="009A7E4A">
              <w:rPr>
                <w:rFonts w:hint="eastAsia"/>
                <w:sz w:val="16"/>
                <w:szCs w:val="16"/>
                <w:rtl/>
              </w:rPr>
              <w:t>תשלום</w:t>
            </w:r>
            <w:r w:rsidRPr="009A7E4A">
              <w:rPr>
                <w:sz w:val="16"/>
                <w:szCs w:val="16"/>
                <w:rtl/>
              </w:rPr>
              <w:t xml:space="preserve"> </w:t>
            </w:r>
            <w:r w:rsidRPr="009A7E4A">
              <w:rPr>
                <w:rFonts w:hint="eastAsia"/>
                <w:sz w:val="16"/>
                <w:szCs w:val="16"/>
                <w:rtl/>
              </w:rPr>
              <w:t>מבוסס</w:t>
            </w:r>
            <w:r w:rsidRPr="009A7E4A">
              <w:rPr>
                <w:sz w:val="16"/>
                <w:szCs w:val="16"/>
                <w:rtl/>
              </w:rPr>
              <w:t xml:space="preserve"> </w:t>
            </w:r>
            <w:r w:rsidRPr="009A7E4A">
              <w:rPr>
                <w:rFonts w:hint="eastAsia"/>
                <w:sz w:val="16"/>
                <w:szCs w:val="16"/>
                <w:rtl/>
              </w:rPr>
              <w:t>מניות</w:t>
            </w:r>
          </w:p>
        </w:tc>
        <w:tc>
          <w:tcPr>
            <w:tcW w:w="743" w:type="dxa"/>
            <w:vAlign w:val="bottom"/>
          </w:tcPr>
          <w:p w14:paraId="6D833941" w14:textId="77777777" w:rsidR="005976FF" w:rsidRDefault="005976FF" w:rsidP="00B55E95">
            <w:pPr>
              <w:pStyle w:val="-4"/>
              <w:pBdr>
                <w:bottom w:val="single" w:sz="4" w:space="1" w:color="auto"/>
              </w:pBdr>
              <w:spacing w:line="240" w:lineRule="auto"/>
              <w:ind w:left="-57" w:right="-57"/>
              <w:rPr>
                <w:sz w:val="16"/>
                <w:szCs w:val="16"/>
                <w:rtl/>
              </w:rPr>
            </w:pPr>
            <w:r w:rsidRPr="00CF2A74">
              <w:rPr>
                <w:rFonts w:hint="eastAsia"/>
                <w:sz w:val="16"/>
                <w:szCs w:val="16"/>
                <w:rtl/>
              </w:rPr>
              <w:t>אחרות</w:t>
            </w:r>
            <w:r w:rsidR="007C5B25" w:rsidRPr="00B44059">
              <w:rPr>
                <w:sz w:val="14"/>
                <w:szCs w:val="14"/>
                <w:vertAlign w:val="superscript"/>
                <w:rtl/>
              </w:rPr>
              <w:t>[</w:t>
            </w:r>
            <w:r w:rsidR="007C5B25" w:rsidRPr="00B44059">
              <w:rPr>
                <w:rStyle w:val="a7"/>
                <w:sz w:val="14"/>
                <w:szCs w:val="14"/>
                <w:rtl/>
              </w:rPr>
              <w:footnoteReference w:id="18"/>
            </w:r>
            <w:r w:rsidR="007C5B25" w:rsidRPr="00B44059">
              <w:rPr>
                <w:sz w:val="14"/>
                <w:szCs w:val="14"/>
                <w:vertAlign w:val="superscript"/>
                <w:rtl/>
              </w:rPr>
              <w:t>]</w:t>
            </w:r>
            <w:r w:rsidRPr="00CF2A74">
              <w:rPr>
                <w:sz w:val="16"/>
                <w:szCs w:val="16"/>
                <w:rtl/>
              </w:rPr>
              <w:t xml:space="preserve"> [פרט]</w:t>
            </w:r>
          </w:p>
        </w:tc>
        <w:tc>
          <w:tcPr>
            <w:tcW w:w="746" w:type="dxa"/>
            <w:vAlign w:val="bottom"/>
          </w:tcPr>
          <w:p w14:paraId="5E385837" w14:textId="77777777" w:rsidR="005976FF" w:rsidRPr="00CF2A74" w:rsidRDefault="005976FF" w:rsidP="00B55E95">
            <w:pPr>
              <w:pStyle w:val="-4"/>
              <w:pBdr>
                <w:bottom w:val="single" w:sz="4" w:space="1" w:color="auto"/>
              </w:pBdr>
              <w:rPr>
                <w:sz w:val="16"/>
                <w:szCs w:val="16"/>
                <w:rtl/>
              </w:rPr>
            </w:pPr>
            <w:r w:rsidRPr="00CF2A74">
              <w:rPr>
                <w:rFonts w:hint="eastAsia"/>
                <w:sz w:val="16"/>
                <w:szCs w:val="16"/>
                <w:rtl/>
              </w:rPr>
              <w:t>מניות</w:t>
            </w:r>
            <w:r w:rsidRPr="00CF2A74">
              <w:rPr>
                <w:sz w:val="16"/>
                <w:szCs w:val="16"/>
                <w:rtl/>
              </w:rPr>
              <w:t xml:space="preserve"> </w:t>
            </w:r>
            <w:r w:rsidRPr="00CF2A74">
              <w:rPr>
                <w:rFonts w:hint="eastAsia"/>
                <w:sz w:val="16"/>
                <w:szCs w:val="16"/>
                <w:rtl/>
              </w:rPr>
              <w:t>באוצר</w:t>
            </w:r>
          </w:p>
        </w:tc>
        <w:tc>
          <w:tcPr>
            <w:tcW w:w="982" w:type="dxa"/>
            <w:vAlign w:val="bottom"/>
          </w:tcPr>
          <w:p w14:paraId="329D1B82" w14:textId="77777777" w:rsidR="005976FF" w:rsidRPr="00513F0D" w:rsidRDefault="005976FF" w:rsidP="00B55E95">
            <w:pPr>
              <w:pStyle w:val="-4"/>
              <w:pBdr>
                <w:bottom w:val="single" w:sz="4" w:space="1" w:color="auto"/>
              </w:pBdr>
              <w:rPr>
                <w:sz w:val="16"/>
                <w:szCs w:val="16"/>
                <w:rtl/>
              </w:rPr>
            </w:pPr>
            <w:r w:rsidRPr="00CF2A74">
              <w:rPr>
                <w:rFonts w:hint="eastAsia"/>
                <w:sz w:val="16"/>
                <w:szCs w:val="16"/>
                <w:rtl/>
              </w:rPr>
              <w:t>סך</w:t>
            </w:r>
            <w:r w:rsidRPr="00CF2A74">
              <w:rPr>
                <w:sz w:val="16"/>
                <w:szCs w:val="16"/>
                <w:rtl/>
              </w:rPr>
              <w:t xml:space="preserve"> </w:t>
            </w:r>
            <w:r w:rsidRPr="00CF2A74">
              <w:rPr>
                <w:rFonts w:hint="eastAsia"/>
                <w:sz w:val="16"/>
                <w:szCs w:val="16"/>
                <w:rtl/>
              </w:rPr>
              <w:t>הכל</w:t>
            </w:r>
          </w:p>
          <w:p w14:paraId="503528C9" w14:textId="77777777" w:rsidR="005976FF" w:rsidRPr="00513F0D" w:rsidRDefault="005976FF" w:rsidP="00B55E95">
            <w:pPr>
              <w:pStyle w:val="-4"/>
              <w:pBdr>
                <w:bottom w:val="single" w:sz="4" w:space="1" w:color="auto"/>
              </w:pBdr>
              <w:rPr>
                <w:sz w:val="16"/>
                <w:szCs w:val="16"/>
                <w:rtl/>
              </w:rPr>
            </w:pPr>
            <w:r w:rsidRPr="00CF2A74">
              <w:rPr>
                <w:rFonts w:hint="eastAsia"/>
                <w:sz w:val="16"/>
                <w:szCs w:val="16"/>
                <w:rtl/>
              </w:rPr>
              <w:t>הון</w:t>
            </w:r>
            <w:r w:rsidRPr="00CF2A74">
              <w:rPr>
                <w:sz w:val="16"/>
                <w:szCs w:val="16"/>
                <w:rtl/>
              </w:rPr>
              <w:t xml:space="preserve"> </w:t>
            </w:r>
            <w:r w:rsidRPr="00CF2A74">
              <w:rPr>
                <w:rFonts w:hint="eastAsia"/>
                <w:sz w:val="16"/>
                <w:szCs w:val="16"/>
                <w:rtl/>
              </w:rPr>
              <w:t>המניות</w:t>
            </w:r>
            <w:r w:rsidRPr="00CF2A74">
              <w:rPr>
                <w:sz w:val="16"/>
                <w:szCs w:val="16"/>
                <w:rtl/>
              </w:rPr>
              <w:t xml:space="preserve"> </w:t>
            </w:r>
            <w:r w:rsidRPr="00CF2A74">
              <w:rPr>
                <w:rFonts w:hint="eastAsia"/>
                <w:sz w:val="16"/>
                <w:szCs w:val="16"/>
                <w:rtl/>
              </w:rPr>
              <w:t>הנפרע</w:t>
            </w:r>
            <w:r w:rsidRPr="00CF2A74">
              <w:rPr>
                <w:sz w:val="16"/>
                <w:szCs w:val="16"/>
                <w:rtl/>
              </w:rPr>
              <w:t xml:space="preserve"> </w:t>
            </w:r>
            <w:r w:rsidRPr="00CF2A74">
              <w:rPr>
                <w:rFonts w:hint="eastAsia"/>
                <w:sz w:val="16"/>
                <w:szCs w:val="16"/>
                <w:rtl/>
              </w:rPr>
              <w:t>וקרנות</w:t>
            </w:r>
            <w:r w:rsidRPr="00CF2A74">
              <w:rPr>
                <w:sz w:val="16"/>
                <w:szCs w:val="16"/>
                <w:rtl/>
              </w:rPr>
              <w:t xml:space="preserve"> </w:t>
            </w:r>
            <w:r w:rsidRPr="00CF2A74">
              <w:rPr>
                <w:rFonts w:hint="eastAsia"/>
                <w:sz w:val="16"/>
                <w:szCs w:val="16"/>
                <w:rtl/>
              </w:rPr>
              <w:t>הון</w:t>
            </w:r>
          </w:p>
        </w:tc>
        <w:tc>
          <w:tcPr>
            <w:tcW w:w="708" w:type="dxa"/>
            <w:vAlign w:val="bottom"/>
          </w:tcPr>
          <w:p w14:paraId="226A89B4" w14:textId="77777777" w:rsidR="005976FF" w:rsidRPr="00513F0D" w:rsidRDefault="005976FF" w:rsidP="00B55E95">
            <w:pPr>
              <w:pStyle w:val="-4"/>
              <w:pBdr>
                <w:bottom w:val="single" w:sz="4" w:space="1" w:color="auto"/>
              </w:pBdr>
              <w:rPr>
                <w:sz w:val="16"/>
                <w:szCs w:val="16"/>
                <w:rtl/>
              </w:rPr>
            </w:pPr>
            <w:r w:rsidRPr="00CF2A74">
              <w:rPr>
                <w:rFonts w:hint="eastAsia"/>
                <w:sz w:val="16"/>
                <w:szCs w:val="16"/>
                <w:rtl/>
              </w:rPr>
              <w:t>רווח</w:t>
            </w:r>
            <w:r w:rsidRPr="00CF2A74">
              <w:rPr>
                <w:sz w:val="16"/>
                <w:szCs w:val="16"/>
                <w:rtl/>
              </w:rPr>
              <w:t xml:space="preserve"> </w:t>
            </w:r>
            <w:r w:rsidRPr="00CF2A74">
              <w:rPr>
                <w:rFonts w:hint="eastAsia"/>
                <w:sz w:val="16"/>
                <w:szCs w:val="16"/>
                <w:rtl/>
              </w:rPr>
              <w:t>כולל</w:t>
            </w:r>
            <w:r w:rsidRPr="00CF2A74">
              <w:rPr>
                <w:sz w:val="16"/>
                <w:szCs w:val="16"/>
                <w:rtl/>
              </w:rPr>
              <w:t xml:space="preserve"> </w:t>
            </w:r>
            <w:r w:rsidRPr="00CF2A74">
              <w:rPr>
                <w:rFonts w:hint="eastAsia"/>
                <w:sz w:val="16"/>
                <w:szCs w:val="16"/>
                <w:rtl/>
              </w:rPr>
              <w:t>אחר</w:t>
            </w:r>
            <w:r w:rsidRPr="00CF2A74">
              <w:rPr>
                <w:sz w:val="16"/>
                <w:szCs w:val="16"/>
                <w:rtl/>
              </w:rPr>
              <w:t xml:space="preserve"> </w:t>
            </w:r>
            <w:r w:rsidRPr="00CF2A74">
              <w:rPr>
                <w:rFonts w:hint="eastAsia"/>
                <w:sz w:val="16"/>
                <w:szCs w:val="16"/>
                <w:rtl/>
              </w:rPr>
              <w:t>מצטבר</w:t>
            </w:r>
          </w:p>
        </w:tc>
        <w:tc>
          <w:tcPr>
            <w:tcW w:w="930" w:type="dxa"/>
            <w:vAlign w:val="bottom"/>
          </w:tcPr>
          <w:p w14:paraId="6C317A55" w14:textId="77777777" w:rsidR="005976FF" w:rsidRPr="00513F0D" w:rsidRDefault="005976FF" w:rsidP="00B55E95">
            <w:pPr>
              <w:pStyle w:val="-4"/>
              <w:pBdr>
                <w:bottom w:val="single" w:sz="4" w:space="1" w:color="auto"/>
              </w:pBdr>
              <w:rPr>
                <w:sz w:val="16"/>
                <w:szCs w:val="16"/>
                <w:rtl/>
              </w:rPr>
            </w:pPr>
            <w:r w:rsidRPr="00CF2A74">
              <w:rPr>
                <w:rFonts w:hint="eastAsia"/>
                <w:sz w:val="16"/>
                <w:szCs w:val="16"/>
                <w:rtl/>
              </w:rPr>
              <w:t>עודפים</w:t>
            </w:r>
            <w:r w:rsidRPr="00CF2A74">
              <w:rPr>
                <w:sz w:val="16"/>
                <w:szCs w:val="16"/>
                <w:rtl/>
              </w:rPr>
              <w:t xml:space="preserve"> (גירעונות) שנצברו</w:t>
            </w:r>
          </w:p>
        </w:tc>
        <w:tc>
          <w:tcPr>
            <w:tcW w:w="792" w:type="dxa"/>
            <w:vAlign w:val="bottom"/>
          </w:tcPr>
          <w:p w14:paraId="412EF4B5" w14:textId="77777777" w:rsidR="005976FF" w:rsidRPr="00513F0D" w:rsidRDefault="005976FF" w:rsidP="00B55E95">
            <w:pPr>
              <w:pStyle w:val="-4"/>
              <w:pBdr>
                <w:bottom w:val="single" w:sz="4" w:space="1" w:color="auto"/>
              </w:pBdr>
              <w:rPr>
                <w:sz w:val="16"/>
                <w:szCs w:val="16"/>
                <w:rtl/>
              </w:rPr>
            </w:pPr>
            <w:r w:rsidRPr="00CF2A74">
              <w:rPr>
                <w:rFonts w:hint="eastAsia"/>
                <w:sz w:val="16"/>
                <w:szCs w:val="16"/>
                <w:rtl/>
              </w:rPr>
              <w:t>סעיפים</w:t>
            </w:r>
            <w:r w:rsidRPr="00CF2A74">
              <w:rPr>
                <w:sz w:val="16"/>
                <w:szCs w:val="16"/>
                <w:rtl/>
              </w:rPr>
              <w:t xml:space="preserve"> </w:t>
            </w:r>
            <w:r w:rsidRPr="00CF2A74">
              <w:rPr>
                <w:rFonts w:hint="eastAsia"/>
                <w:sz w:val="16"/>
                <w:szCs w:val="16"/>
                <w:rtl/>
              </w:rPr>
              <w:t>הוניים</w:t>
            </w:r>
            <w:r w:rsidRPr="00CF2A74">
              <w:rPr>
                <w:sz w:val="16"/>
                <w:szCs w:val="16"/>
                <w:rtl/>
              </w:rPr>
              <w:t xml:space="preserve"> אחרים</w:t>
            </w:r>
          </w:p>
        </w:tc>
        <w:tc>
          <w:tcPr>
            <w:tcW w:w="1126" w:type="dxa"/>
            <w:vAlign w:val="bottom"/>
          </w:tcPr>
          <w:p w14:paraId="416E97E6" w14:textId="77777777" w:rsidR="005976FF" w:rsidRPr="00513F0D" w:rsidRDefault="005976FF" w:rsidP="00B55E95">
            <w:pPr>
              <w:pStyle w:val="-4"/>
              <w:pBdr>
                <w:bottom w:val="single" w:sz="4" w:space="1" w:color="auto"/>
              </w:pBdr>
              <w:rPr>
                <w:sz w:val="16"/>
                <w:szCs w:val="16"/>
                <w:rtl/>
              </w:rPr>
            </w:pPr>
            <w:r w:rsidRPr="00CF2A74">
              <w:rPr>
                <w:rFonts w:hint="eastAsia"/>
                <w:sz w:val="16"/>
                <w:szCs w:val="16"/>
                <w:rtl/>
              </w:rPr>
              <w:t>סך</w:t>
            </w:r>
            <w:r w:rsidRPr="00CF2A74">
              <w:rPr>
                <w:sz w:val="16"/>
                <w:szCs w:val="16"/>
                <w:rtl/>
              </w:rPr>
              <w:t xml:space="preserve"> </w:t>
            </w:r>
            <w:r>
              <w:rPr>
                <w:rFonts w:hint="cs"/>
                <w:sz w:val="16"/>
                <w:szCs w:val="16"/>
                <w:rtl/>
              </w:rPr>
              <w:t>ה</w:t>
            </w:r>
            <w:r w:rsidRPr="00CF2A74">
              <w:rPr>
                <w:rFonts w:hint="eastAsia"/>
                <w:sz w:val="16"/>
                <w:szCs w:val="16"/>
                <w:rtl/>
              </w:rPr>
              <w:t>כל</w:t>
            </w:r>
            <w:r w:rsidRPr="00CF2A74">
              <w:rPr>
                <w:sz w:val="16"/>
                <w:szCs w:val="16"/>
                <w:rtl/>
              </w:rPr>
              <w:t xml:space="preserve"> </w:t>
            </w:r>
            <w:r w:rsidRPr="00CF2A74">
              <w:rPr>
                <w:rFonts w:hint="eastAsia"/>
                <w:sz w:val="16"/>
                <w:szCs w:val="16"/>
                <w:rtl/>
              </w:rPr>
              <w:t>הון</w:t>
            </w:r>
            <w:r w:rsidRPr="00CF2A74">
              <w:rPr>
                <w:sz w:val="16"/>
                <w:szCs w:val="16"/>
                <w:rtl/>
              </w:rPr>
              <w:t xml:space="preserve"> </w:t>
            </w:r>
            <w:r w:rsidRPr="00CF2A74">
              <w:rPr>
                <w:rFonts w:hint="eastAsia"/>
                <w:sz w:val="16"/>
                <w:szCs w:val="16"/>
                <w:rtl/>
              </w:rPr>
              <w:t>המיוחס</w:t>
            </w:r>
            <w:r w:rsidRPr="00CF2A74">
              <w:rPr>
                <w:sz w:val="16"/>
                <w:szCs w:val="16"/>
                <w:rtl/>
              </w:rPr>
              <w:t xml:space="preserve"> </w:t>
            </w:r>
            <w:r w:rsidRPr="00CF2A74">
              <w:rPr>
                <w:rFonts w:hint="eastAsia"/>
                <w:sz w:val="16"/>
                <w:szCs w:val="16"/>
                <w:rtl/>
              </w:rPr>
              <w:t>לבעלי</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התאגיד</w:t>
            </w:r>
            <w:r w:rsidRPr="00CF2A74">
              <w:rPr>
                <w:sz w:val="16"/>
                <w:szCs w:val="16"/>
                <w:rtl/>
              </w:rPr>
              <w:t xml:space="preserve"> </w:t>
            </w:r>
            <w:r w:rsidRPr="00CF2A74">
              <w:rPr>
                <w:rFonts w:hint="eastAsia"/>
                <w:sz w:val="16"/>
                <w:szCs w:val="16"/>
                <w:rtl/>
              </w:rPr>
              <w:t>הבנקאי</w:t>
            </w:r>
          </w:p>
        </w:tc>
        <w:tc>
          <w:tcPr>
            <w:tcW w:w="726" w:type="dxa"/>
            <w:vAlign w:val="bottom"/>
          </w:tcPr>
          <w:p w14:paraId="4AC62BB8" w14:textId="77777777" w:rsidR="005976FF" w:rsidRPr="00513F0D" w:rsidRDefault="005976FF" w:rsidP="00B55E95">
            <w:pPr>
              <w:pStyle w:val="-4"/>
              <w:pBdr>
                <w:bottom w:val="single" w:sz="4" w:space="1" w:color="auto"/>
              </w:pBdr>
              <w:rPr>
                <w:sz w:val="16"/>
                <w:szCs w:val="16"/>
                <w:rtl/>
              </w:rPr>
            </w:pPr>
            <w:r w:rsidRPr="00CF2A74">
              <w:rPr>
                <w:rFonts w:hint="eastAsia"/>
                <w:sz w:val="16"/>
                <w:szCs w:val="16"/>
                <w:rtl/>
              </w:rPr>
              <w:t>זכויות</w:t>
            </w:r>
          </w:p>
          <w:p w14:paraId="2F881187" w14:textId="77777777" w:rsidR="005976FF" w:rsidRPr="00513F0D" w:rsidRDefault="005976FF" w:rsidP="00B55E95">
            <w:pPr>
              <w:pStyle w:val="-4"/>
              <w:pBdr>
                <w:bottom w:val="single" w:sz="4" w:space="1" w:color="auto"/>
              </w:pBdr>
              <w:rPr>
                <w:sz w:val="16"/>
                <w:szCs w:val="16"/>
                <w:rtl/>
              </w:rPr>
            </w:pPr>
            <w:r w:rsidRPr="00CF2A74">
              <w:rPr>
                <w:rFonts w:hint="eastAsia"/>
                <w:sz w:val="16"/>
                <w:szCs w:val="16"/>
                <w:rtl/>
              </w:rPr>
              <w:t>שאינן</w:t>
            </w:r>
            <w:r w:rsidRPr="00CF2A74">
              <w:rPr>
                <w:sz w:val="16"/>
                <w:szCs w:val="16"/>
                <w:rtl/>
              </w:rPr>
              <w:t xml:space="preserve"> </w:t>
            </w:r>
            <w:r w:rsidRPr="00CF2A74">
              <w:rPr>
                <w:rFonts w:hint="eastAsia"/>
                <w:sz w:val="16"/>
                <w:szCs w:val="16"/>
                <w:rtl/>
              </w:rPr>
              <w:t>מקנות</w:t>
            </w:r>
            <w:r w:rsidRPr="00CF2A74">
              <w:rPr>
                <w:sz w:val="16"/>
                <w:szCs w:val="16"/>
                <w:rtl/>
              </w:rPr>
              <w:t xml:space="preserve"> </w:t>
            </w:r>
            <w:r w:rsidRPr="00CF2A74">
              <w:rPr>
                <w:rFonts w:hint="eastAsia"/>
                <w:sz w:val="16"/>
                <w:szCs w:val="16"/>
                <w:rtl/>
              </w:rPr>
              <w:t>שליטה</w:t>
            </w:r>
          </w:p>
        </w:tc>
        <w:tc>
          <w:tcPr>
            <w:tcW w:w="676" w:type="dxa"/>
            <w:vAlign w:val="bottom"/>
          </w:tcPr>
          <w:p w14:paraId="12154029" w14:textId="77777777" w:rsidR="005976FF" w:rsidRPr="00513F0D" w:rsidRDefault="005976FF" w:rsidP="00B55E95">
            <w:pPr>
              <w:pStyle w:val="-4"/>
              <w:pBdr>
                <w:bottom w:val="single" w:sz="4" w:space="1" w:color="auto"/>
              </w:pBdr>
              <w:rPr>
                <w:sz w:val="16"/>
                <w:szCs w:val="16"/>
                <w:rtl/>
              </w:rPr>
            </w:pPr>
            <w:r w:rsidRPr="00CF2A74">
              <w:rPr>
                <w:rFonts w:hint="eastAsia"/>
                <w:sz w:val="16"/>
                <w:szCs w:val="16"/>
                <w:rtl/>
              </w:rPr>
              <w:t>סך</w:t>
            </w:r>
            <w:r w:rsidRPr="00CF2A74">
              <w:rPr>
                <w:sz w:val="16"/>
                <w:szCs w:val="16"/>
                <w:rtl/>
              </w:rPr>
              <w:t xml:space="preserve"> </w:t>
            </w:r>
            <w:r w:rsidRPr="00CF2A74">
              <w:rPr>
                <w:rFonts w:hint="eastAsia"/>
                <w:sz w:val="16"/>
                <w:szCs w:val="16"/>
                <w:rtl/>
              </w:rPr>
              <w:t>הכל</w:t>
            </w:r>
          </w:p>
          <w:p w14:paraId="544B2FBF" w14:textId="77777777" w:rsidR="005976FF" w:rsidRPr="00513F0D" w:rsidRDefault="005976FF" w:rsidP="00B55E95">
            <w:pPr>
              <w:pStyle w:val="-4"/>
              <w:pBdr>
                <w:bottom w:val="single" w:sz="4" w:space="1" w:color="auto"/>
              </w:pBdr>
              <w:rPr>
                <w:sz w:val="16"/>
                <w:szCs w:val="16"/>
                <w:rtl/>
              </w:rPr>
            </w:pPr>
            <w:r w:rsidRPr="00CF2A74">
              <w:rPr>
                <w:rFonts w:hint="eastAsia"/>
                <w:sz w:val="16"/>
                <w:szCs w:val="16"/>
                <w:rtl/>
              </w:rPr>
              <w:t>הון</w:t>
            </w:r>
          </w:p>
        </w:tc>
      </w:tr>
      <w:tr w:rsidR="0030599F" w:rsidRPr="00513F0D" w14:paraId="126CCCCC" w14:textId="77777777" w:rsidTr="004A1ADA">
        <w:tc>
          <w:tcPr>
            <w:tcW w:w="850" w:type="dxa"/>
          </w:tcPr>
          <w:p w14:paraId="657AE059" w14:textId="77777777" w:rsidR="005976FF" w:rsidRPr="00513F0D" w:rsidRDefault="005976FF" w:rsidP="00B55E95">
            <w:pPr>
              <w:pStyle w:val="-7"/>
              <w:bidi w:val="0"/>
              <w:ind w:right="-231"/>
              <w:jc w:val="left"/>
              <w:rPr>
                <w:spacing w:val="-6"/>
                <w:sz w:val="16"/>
                <w:szCs w:val="16"/>
                <w:rtl/>
              </w:rPr>
            </w:pPr>
          </w:p>
        </w:tc>
        <w:tc>
          <w:tcPr>
            <w:tcW w:w="2097" w:type="dxa"/>
            <w:vAlign w:val="bottom"/>
          </w:tcPr>
          <w:p w14:paraId="35FDACB8" w14:textId="77777777" w:rsidR="005976FF" w:rsidRPr="00513F0D" w:rsidRDefault="005976FF" w:rsidP="00B55E95">
            <w:pPr>
              <w:pStyle w:val="-f"/>
              <w:rPr>
                <w:sz w:val="16"/>
                <w:szCs w:val="16"/>
                <w:rtl/>
              </w:rPr>
            </w:pPr>
          </w:p>
        </w:tc>
        <w:tc>
          <w:tcPr>
            <w:tcW w:w="780" w:type="dxa"/>
            <w:vAlign w:val="bottom"/>
          </w:tcPr>
          <w:p w14:paraId="5FD7E862" w14:textId="77777777" w:rsidR="005976FF" w:rsidRPr="00513F0D" w:rsidRDefault="005976FF" w:rsidP="00B55E95">
            <w:pPr>
              <w:jc w:val="center"/>
              <w:rPr>
                <w:sz w:val="16"/>
                <w:szCs w:val="16"/>
                <w:rtl/>
              </w:rPr>
            </w:pPr>
          </w:p>
        </w:tc>
        <w:tc>
          <w:tcPr>
            <w:tcW w:w="865" w:type="dxa"/>
            <w:vAlign w:val="bottom"/>
          </w:tcPr>
          <w:p w14:paraId="78FAD3C3" w14:textId="77777777" w:rsidR="005976FF" w:rsidRPr="00513F0D" w:rsidRDefault="005976FF" w:rsidP="00B55E95">
            <w:pPr>
              <w:jc w:val="center"/>
              <w:rPr>
                <w:sz w:val="16"/>
                <w:szCs w:val="16"/>
                <w:rtl/>
              </w:rPr>
            </w:pPr>
          </w:p>
        </w:tc>
        <w:tc>
          <w:tcPr>
            <w:tcW w:w="939" w:type="dxa"/>
          </w:tcPr>
          <w:p w14:paraId="499AC9B7" w14:textId="77777777" w:rsidR="005976FF" w:rsidRPr="00513F0D" w:rsidRDefault="005976FF" w:rsidP="00B55E95">
            <w:pPr>
              <w:jc w:val="center"/>
              <w:rPr>
                <w:sz w:val="16"/>
                <w:szCs w:val="16"/>
                <w:rtl/>
              </w:rPr>
            </w:pPr>
          </w:p>
        </w:tc>
        <w:tc>
          <w:tcPr>
            <w:tcW w:w="737" w:type="dxa"/>
            <w:vAlign w:val="bottom"/>
          </w:tcPr>
          <w:p w14:paraId="52393E48" w14:textId="77777777" w:rsidR="005976FF" w:rsidRPr="00513F0D" w:rsidRDefault="005976FF" w:rsidP="00B55E95">
            <w:pPr>
              <w:jc w:val="center"/>
              <w:rPr>
                <w:sz w:val="16"/>
                <w:szCs w:val="16"/>
                <w:rtl/>
              </w:rPr>
            </w:pPr>
          </w:p>
        </w:tc>
        <w:tc>
          <w:tcPr>
            <w:tcW w:w="1374" w:type="dxa"/>
          </w:tcPr>
          <w:p w14:paraId="791730F6" w14:textId="77777777" w:rsidR="005976FF" w:rsidRPr="009A7E4A" w:rsidRDefault="005976FF" w:rsidP="00B55E95">
            <w:pPr>
              <w:jc w:val="center"/>
              <w:rPr>
                <w:sz w:val="16"/>
                <w:szCs w:val="16"/>
                <w:rtl/>
              </w:rPr>
            </w:pPr>
          </w:p>
        </w:tc>
        <w:tc>
          <w:tcPr>
            <w:tcW w:w="743" w:type="dxa"/>
          </w:tcPr>
          <w:p w14:paraId="09BE4149" w14:textId="77777777" w:rsidR="005976FF" w:rsidRPr="00513F0D" w:rsidRDefault="005976FF" w:rsidP="00B55E95">
            <w:pPr>
              <w:jc w:val="center"/>
              <w:rPr>
                <w:sz w:val="16"/>
                <w:szCs w:val="16"/>
                <w:rtl/>
              </w:rPr>
            </w:pPr>
          </w:p>
        </w:tc>
        <w:tc>
          <w:tcPr>
            <w:tcW w:w="746" w:type="dxa"/>
            <w:vAlign w:val="bottom"/>
          </w:tcPr>
          <w:p w14:paraId="62DB40FE" w14:textId="77777777" w:rsidR="005976FF" w:rsidRPr="00513F0D" w:rsidRDefault="005976FF" w:rsidP="00B55E95">
            <w:pPr>
              <w:jc w:val="center"/>
              <w:rPr>
                <w:sz w:val="16"/>
                <w:szCs w:val="16"/>
                <w:rtl/>
              </w:rPr>
            </w:pPr>
          </w:p>
        </w:tc>
        <w:tc>
          <w:tcPr>
            <w:tcW w:w="982" w:type="dxa"/>
          </w:tcPr>
          <w:p w14:paraId="10594850" w14:textId="77777777" w:rsidR="005976FF" w:rsidRPr="00513F0D" w:rsidRDefault="005976FF" w:rsidP="00B55E95">
            <w:pPr>
              <w:jc w:val="center"/>
              <w:rPr>
                <w:sz w:val="16"/>
                <w:szCs w:val="16"/>
                <w:rtl/>
              </w:rPr>
            </w:pPr>
          </w:p>
        </w:tc>
        <w:tc>
          <w:tcPr>
            <w:tcW w:w="708" w:type="dxa"/>
          </w:tcPr>
          <w:p w14:paraId="4C37D817" w14:textId="77777777" w:rsidR="005976FF" w:rsidRPr="00513F0D" w:rsidRDefault="005976FF" w:rsidP="00B55E95">
            <w:pPr>
              <w:jc w:val="center"/>
              <w:rPr>
                <w:sz w:val="16"/>
                <w:szCs w:val="16"/>
                <w:rtl/>
              </w:rPr>
            </w:pPr>
          </w:p>
        </w:tc>
        <w:tc>
          <w:tcPr>
            <w:tcW w:w="930" w:type="dxa"/>
          </w:tcPr>
          <w:p w14:paraId="1569B895" w14:textId="77777777" w:rsidR="005976FF" w:rsidRPr="00513F0D" w:rsidRDefault="005976FF" w:rsidP="00B55E95">
            <w:pPr>
              <w:jc w:val="center"/>
              <w:rPr>
                <w:sz w:val="16"/>
                <w:szCs w:val="16"/>
                <w:rtl/>
              </w:rPr>
            </w:pPr>
          </w:p>
        </w:tc>
        <w:tc>
          <w:tcPr>
            <w:tcW w:w="792" w:type="dxa"/>
          </w:tcPr>
          <w:p w14:paraId="13DAF7E2" w14:textId="77777777" w:rsidR="005976FF" w:rsidRPr="00513F0D" w:rsidRDefault="005976FF" w:rsidP="00B55E95">
            <w:pPr>
              <w:jc w:val="center"/>
              <w:rPr>
                <w:sz w:val="16"/>
                <w:szCs w:val="16"/>
                <w:rtl/>
              </w:rPr>
            </w:pPr>
          </w:p>
        </w:tc>
        <w:tc>
          <w:tcPr>
            <w:tcW w:w="1126" w:type="dxa"/>
          </w:tcPr>
          <w:p w14:paraId="52646514" w14:textId="77777777" w:rsidR="005976FF" w:rsidRPr="00513F0D" w:rsidRDefault="005976FF" w:rsidP="00B55E95">
            <w:pPr>
              <w:jc w:val="center"/>
              <w:rPr>
                <w:sz w:val="16"/>
                <w:szCs w:val="16"/>
                <w:rtl/>
              </w:rPr>
            </w:pPr>
          </w:p>
        </w:tc>
        <w:tc>
          <w:tcPr>
            <w:tcW w:w="726" w:type="dxa"/>
          </w:tcPr>
          <w:p w14:paraId="70869125" w14:textId="77777777" w:rsidR="005976FF" w:rsidRPr="00513F0D" w:rsidRDefault="005976FF" w:rsidP="00B55E95">
            <w:pPr>
              <w:jc w:val="center"/>
              <w:rPr>
                <w:sz w:val="16"/>
                <w:szCs w:val="16"/>
                <w:rtl/>
              </w:rPr>
            </w:pPr>
          </w:p>
        </w:tc>
        <w:tc>
          <w:tcPr>
            <w:tcW w:w="676" w:type="dxa"/>
          </w:tcPr>
          <w:p w14:paraId="757B3352" w14:textId="77777777" w:rsidR="005976FF" w:rsidRPr="00513F0D" w:rsidRDefault="005976FF" w:rsidP="00B55E95">
            <w:pPr>
              <w:jc w:val="center"/>
              <w:rPr>
                <w:sz w:val="16"/>
                <w:szCs w:val="16"/>
                <w:rtl/>
              </w:rPr>
            </w:pPr>
          </w:p>
        </w:tc>
      </w:tr>
      <w:tr w:rsidR="0030599F" w:rsidRPr="00513F0D" w14:paraId="2C0D1401" w14:textId="77777777" w:rsidTr="004A1ADA">
        <w:tc>
          <w:tcPr>
            <w:tcW w:w="850" w:type="dxa"/>
          </w:tcPr>
          <w:p w14:paraId="72F97942" w14:textId="77777777" w:rsidR="005976FF" w:rsidRPr="00513F0D" w:rsidRDefault="005976FF" w:rsidP="00B55E95">
            <w:pPr>
              <w:pStyle w:val="-7"/>
              <w:bidi w:val="0"/>
              <w:ind w:right="-231"/>
              <w:jc w:val="left"/>
              <w:rPr>
                <w:spacing w:val="-6"/>
                <w:sz w:val="16"/>
                <w:szCs w:val="16"/>
                <w:rtl/>
              </w:rPr>
            </w:pPr>
          </w:p>
        </w:tc>
        <w:tc>
          <w:tcPr>
            <w:tcW w:w="2097" w:type="dxa"/>
          </w:tcPr>
          <w:p w14:paraId="67ADE04C" w14:textId="5642F6BE" w:rsidR="005976FF" w:rsidRPr="00CF2A74" w:rsidRDefault="005976FF" w:rsidP="00914A73">
            <w:pPr>
              <w:pStyle w:val="-0"/>
              <w:rPr>
                <w:b/>
                <w:bCs/>
                <w:sz w:val="16"/>
                <w:szCs w:val="16"/>
                <w:rtl/>
              </w:rPr>
            </w:pPr>
            <w:r w:rsidRPr="00CF2A74">
              <w:rPr>
                <w:rFonts w:hint="eastAsia"/>
                <w:b/>
                <w:bCs/>
                <w:sz w:val="16"/>
                <w:szCs w:val="16"/>
                <w:rtl/>
              </w:rPr>
              <w:t>יתרה</w:t>
            </w:r>
            <w:r w:rsidRPr="00CF2A74">
              <w:rPr>
                <w:b/>
                <w:bCs/>
                <w:sz w:val="16"/>
                <w:szCs w:val="16"/>
                <w:rtl/>
              </w:rPr>
              <w:t xml:space="preserve"> ליום 31 </w:t>
            </w:r>
            <w:r>
              <w:rPr>
                <w:rFonts w:hint="cs"/>
                <w:b/>
                <w:bCs/>
                <w:sz w:val="16"/>
                <w:szCs w:val="16"/>
                <w:rtl/>
              </w:rPr>
              <w:t xml:space="preserve">במרץ </w:t>
            </w:r>
            <w:r w:rsidR="00CC5F7B" w:rsidRPr="00CC5F7B">
              <w:rPr>
                <w:b/>
                <w:bCs/>
                <w:sz w:val="16"/>
                <w:szCs w:val="16"/>
                <w:rtl/>
              </w:rPr>
              <w:fldChar w:fldCharType="begin"/>
            </w:r>
            <w:r w:rsidR="00CC5F7B" w:rsidRPr="00CC5F7B">
              <w:rPr>
                <w:b/>
                <w:bCs/>
                <w:sz w:val="16"/>
                <w:szCs w:val="16"/>
                <w:rtl/>
              </w:rPr>
              <w:instrText xml:space="preserve"> </w:instrText>
            </w:r>
            <w:r w:rsidR="00CC5F7B" w:rsidRPr="00CC5F7B">
              <w:rPr>
                <w:rFonts w:hint="cs"/>
                <w:b/>
                <w:bCs/>
                <w:sz w:val="16"/>
                <w:szCs w:val="16"/>
                <w:rtl/>
              </w:rPr>
              <w:instrText xml:space="preserve">= </w:instrText>
            </w:r>
            <w:r w:rsidR="00CC5F7B" w:rsidRPr="00CC5F7B">
              <w:rPr>
                <w:rFonts w:hint="cs"/>
                <w:b/>
                <w:bCs/>
                <w:sz w:val="16"/>
                <w:szCs w:val="16"/>
              </w:rPr>
              <w:instrText>CY \* MERGEFORMAT</w:instrText>
            </w:r>
            <w:r w:rsidR="00CC5F7B" w:rsidRPr="00CC5F7B">
              <w:rPr>
                <w:b/>
                <w:bCs/>
                <w:sz w:val="16"/>
                <w:szCs w:val="16"/>
                <w:rtl/>
              </w:rPr>
              <w:instrText xml:space="preserve"> </w:instrText>
            </w:r>
            <w:r w:rsidR="00CC5F7B" w:rsidRPr="00CC5F7B">
              <w:rPr>
                <w:b/>
                <w:bCs/>
                <w:sz w:val="16"/>
                <w:szCs w:val="16"/>
                <w:rtl/>
              </w:rPr>
              <w:fldChar w:fldCharType="separate"/>
            </w:r>
            <w:r w:rsidR="003A584F">
              <w:rPr>
                <w:b/>
                <w:bCs/>
                <w:noProof/>
                <w:sz w:val="16"/>
                <w:szCs w:val="16"/>
                <w:rtl/>
              </w:rPr>
              <w:t>2024</w:t>
            </w:r>
            <w:r w:rsidR="00CC5F7B" w:rsidRPr="00CC5F7B">
              <w:rPr>
                <w:b/>
                <w:bCs/>
                <w:sz w:val="16"/>
                <w:szCs w:val="16"/>
                <w:rtl/>
              </w:rPr>
              <w:fldChar w:fldCharType="end"/>
            </w:r>
          </w:p>
        </w:tc>
        <w:tc>
          <w:tcPr>
            <w:tcW w:w="780" w:type="dxa"/>
            <w:vAlign w:val="bottom"/>
          </w:tcPr>
          <w:p w14:paraId="14829F40" w14:textId="77777777" w:rsidR="005976FF" w:rsidRPr="00513F0D" w:rsidRDefault="005976FF" w:rsidP="00B55E95">
            <w:pPr>
              <w:pStyle w:val="-3"/>
              <w:jc w:val="left"/>
              <w:rPr>
                <w:b/>
                <w:bCs/>
                <w:sz w:val="16"/>
                <w:szCs w:val="16"/>
                <w:rtl/>
              </w:rPr>
            </w:pPr>
            <w:r w:rsidRPr="00CF2A74">
              <w:rPr>
                <w:b/>
                <w:bCs/>
                <w:sz w:val="16"/>
                <w:szCs w:val="16"/>
                <w:rtl/>
              </w:rPr>
              <w:t>0</w:t>
            </w:r>
          </w:p>
        </w:tc>
        <w:tc>
          <w:tcPr>
            <w:tcW w:w="865" w:type="dxa"/>
            <w:vAlign w:val="bottom"/>
          </w:tcPr>
          <w:p w14:paraId="72241358" w14:textId="77777777" w:rsidR="005976FF" w:rsidRPr="00513F0D" w:rsidRDefault="005976FF" w:rsidP="00B55E95">
            <w:pPr>
              <w:pStyle w:val="-3"/>
              <w:jc w:val="left"/>
              <w:rPr>
                <w:b/>
                <w:bCs/>
                <w:sz w:val="16"/>
                <w:szCs w:val="16"/>
                <w:rtl/>
              </w:rPr>
            </w:pPr>
            <w:r w:rsidRPr="00CF2A74">
              <w:rPr>
                <w:b/>
                <w:bCs/>
                <w:sz w:val="16"/>
                <w:szCs w:val="16"/>
                <w:rtl/>
              </w:rPr>
              <w:t>0</w:t>
            </w:r>
          </w:p>
        </w:tc>
        <w:tc>
          <w:tcPr>
            <w:tcW w:w="939" w:type="dxa"/>
            <w:vAlign w:val="bottom"/>
          </w:tcPr>
          <w:p w14:paraId="6D07008A" w14:textId="77777777" w:rsidR="005976FF" w:rsidRPr="00513F0D" w:rsidRDefault="005976FF" w:rsidP="00B55E95">
            <w:pPr>
              <w:pStyle w:val="-3"/>
              <w:rPr>
                <w:b/>
                <w:bCs/>
                <w:sz w:val="16"/>
                <w:szCs w:val="16"/>
                <w:rtl/>
              </w:rPr>
            </w:pPr>
            <w:r w:rsidRPr="00CF2A74">
              <w:rPr>
                <w:b/>
                <w:bCs/>
                <w:sz w:val="16"/>
                <w:szCs w:val="16"/>
                <w:rtl/>
              </w:rPr>
              <w:t>0</w:t>
            </w:r>
          </w:p>
        </w:tc>
        <w:tc>
          <w:tcPr>
            <w:tcW w:w="737" w:type="dxa"/>
            <w:vAlign w:val="bottom"/>
          </w:tcPr>
          <w:p w14:paraId="40ACABCA" w14:textId="77777777" w:rsidR="005976FF" w:rsidRPr="00513F0D" w:rsidRDefault="005976FF" w:rsidP="00B55E95">
            <w:pPr>
              <w:pStyle w:val="-3"/>
              <w:rPr>
                <w:b/>
                <w:bCs/>
                <w:sz w:val="16"/>
                <w:szCs w:val="16"/>
                <w:rtl/>
              </w:rPr>
            </w:pPr>
            <w:r w:rsidRPr="00CF2A74">
              <w:rPr>
                <w:b/>
                <w:bCs/>
                <w:sz w:val="16"/>
                <w:szCs w:val="16"/>
                <w:rtl/>
              </w:rPr>
              <w:t>0</w:t>
            </w:r>
          </w:p>
        </w:tc>
        <w:tc>
          <w:tcPr>
            <w:tcW w:w="1374" w:type="dxa"/>
            <w:vAlign w:val="bottom"/>
          </w:tcPr>
          <w:p w14:paraId="3B472F63" w14:textId="77777777" w:rsidR="005976FF" w:rsidRPr="009A7E4A" w:rsidRDefault="005976FF" w:rsidP="00B55E95">
            <w:pPr>
              <w:pStyle w:val="-3"/>
              <w:rPr>
                <w:b/>
                <w:bCs/>
                <w:sz w:val="16"/>
                <w:szCs w:val="16"/>
                <w:rtl/>
              </w:rPr>
            </w:pPr>
            <w:r w:rsidRPr="009A7E4A">
              <w:rPr>
                <w:b/>
                <w:bCs/>
                <w:sz w:val="16"/>
                <w:szCs w:val="16"/>
                <w:rtl/>
              </w:rPr>
              <w:t>0</w:t>
            </w:r>
          </w:p>
        </w:tc>
        <w:tc>
          <w:tcPr>
            <w:tcW w:w="743" w:type="dxa"/>
            <w:vAlign w:val="bottom"/>
          </w:tcPr>
          <w:p w14:paraId="34F1BBFD" w14:textId="77777777" w:rsidR="005976FF" w:rsidRPr="00513F0D" w:rsidRDefault="005976FF" w:rsidP="00B55E95">
            <w:pPr>
              <w:pStyle w:val="-3"/>
              <w:jc w:val="left"/>
              <w:rPr>
                <w:b/>
                <w:bCs/>
                <w:sz w:val="16"/>
                <w:szCs w:val="16"/>
                <w:rtl/>
              </w:rPr>
            </w:pPr>
            <w:r w:rsidRPr="00CF2A74">
              <w:rPr>
                <w:b/>
                <w:bCs/>
                <w:sz w:val="16"/>
                <w:szCs w:val="16"/>
                <w:rtl/>
              </w:rPr>
              <w:t xml:space="preserve"> 0</w:t>
            </w:r>
          </w:p>
        </w:tc>
        <w:tc>
          <w:tcPr>
            <w:tcW w:w="746" w:type="dxa"/>
            <w:vAlign w:val="bottom"/>
          </w:tcPr>
          <w:p w14:paraId="38C59647" w14:textId="77777777" w:rsidR="005976FF" w:rsidRPr="00CF2A74" w:rsidRDefault="005976FF" w:rsidP="00B55E95">
            <w:pPr>
              <w:pStyle w:val="-3"/>
              <w:jc w:val="left"/>
              <w:rPr>
                <w:b/>
                <w:bCs/>
                <w:sz w:val="16"/>
                <w:szCs w:val="16"/>
                <w:rtl/>
              </w:rPr>
            </w:pPr>
            <w:r w:rsidRPr="00CF2A74">
              <w:rPr>
                <w:b/>
                <w:bCs/>
                <w:sz w:val="16"/>
                <w:szCs w:val="16"/>
                <w:rtl/>
              </w:rPr>
              <w:t>0</w:t>
            </w:r>
          </w:p>
        </w:tc>
        <w:tc>
          <w:tcPr>
            <w:tcW w:w="982" w:type="dxa"/>
            <w:vAlign w:val="bottom"/>
          </w:tcPr>
          <w:p w14:paraId="0F22F292" w14:textId="77777777" w:rsidR="005976FF" w:rsidRPr="00513F0D" w:rsidRDefault="005976FF" w:rsidP="00B55E95">
            <w:pPr>
              <w:pStyle w:val="-3"/>
              <w:jc w:val="left"/>
              <w:rPr>
                <w:b/>
                <w:bCs/>
                <w:sz w:val="16"/>
                <w:szCs w:val="16"/>
                <w:rtl/>
              </w:rPr>
            </w:pPr>
            <w:r w:rsidRPr="00CF2A74">
              <w:rPr>
                <w:b/>
                <w:bCs/>
                <w:sz w:val="16"/>
                <w:szCs w:val="16"/>
                <w:rtl/>
              </w:rPr>
              <w:t xml:space="preserve"> 0</w:t>
            </w:r>
          </w:p>
        </w:tc>
        <w:tc>
          <w:tcPr>
            <w:tcW w:w="708" w:type="dxa"/>
            <w:vAlign w:val="bottom"/>
          </w:tcPr>
          <w:p w14:paraId="4AC0772C" w14:textId="77777777" w:rsidR="005976FF" w:rsidRPr="00513F0D" w:rsidRDefault="005976FF" w:rsidP="00B55E95">
            <w:pPr>
              <w:pStyle w:val="-3"/>
              <w:jc w:val="left"/>
              <w:rPr>
                <w:b/>
                <w:bCs/>
                <w:sz w:val="16"/>
                <w:szCs w:val="16"/>
                <w:rtl/>
              </w:rPr>
            </w:pPr>
            <w:r w:rsidRPr="00CF2A74">
              <w:rPr>
                <w:b/>
                <w:bCs/>
                <w:sz w:val="16"/>
                <w:szCs w:val="16"/>
                <w:rtl/>
              </w:rPr>
              <w:t xml:space="preserve"> 0</w:t>
            </w:r>
          </w:p>
        </w:tc>
        <w:tc>
          <w:tcPr>
            <w:tcW w:w="930" w:type="dxa"/>
            <w:vAlign w:val="bottom"/>
          </w:tcPr>
          <w:p w14:paraId="54A8AC4C" w14:textId="77777777" w:rsidR="005976FF" w:rsidRPr="00513F0D" w:rsidRDefault="005976FF" w:rsidP="00B55E95">
            <w:pPr>
              <w:pStyle w:val="-3"/>
              <w:jc w:val="left"/>
              <w:rPr>
                <w:b/>
                <w:bCs/>
                <w:sz w:val="16"/>
                <w:szCs w:val="16"/>
                <w:rtl/>
              </w:rPr>
            </w:pPr>
            <w:r w:rsidRPr="00CF2A74">
              <w:rPr>
                <w:b/>
                <w:bCs/>
                <w:sz w:val="16"/>
                <w:szCs w:val="16"/>
                <w:rtl/>
              </w:rPr>
              <w:t xml:space="preserve"> 0</w:t>
            </w:r>
          </w:p>
        </w:tc>
        <w:tc>
          <w:tcPr>
            <w:tcW w:w="792" w:type="dxa"/>
            <w:vAlign w:val="bottom"/>
          </w:tcPr>
          <w:p w14:paraId="65E6CD3A" w14:textId="77777777" w:rsidR="005976FF" w:rsidRPr="00513F0D" w:rsidRDefault="005976FF" w:rsidP="00B55E95">
            <w:pPr>
              <w:pStyle w:val="-3"/>
              <w:jc w:val="left"/>
              <w:rPr>
                <w:b/>
                <w:bCs/>
                <w:sz w:val="16"/>
                <w:szCs w:val="16"/>
                <w:rtl/>
              </w:rPr>
            </w:pPr>
            <w:r w:rsidRPr="00CF2A74">
              <w:rPr>
                <w:b/>
                <w:bCs/>
                <w:sz w:val="16"/>
                <w:szCs w:val="16"/>
                <w:rtl/>
              </w:rPr>
              <w:t xml:space="preserve"> 0</w:t>
            </w:r>
          </w:p>
        </w:tc>
        <w:tc>
          <w:tcPr>
            <w:tcW w:w="1126" w:type="dxa"/>
            <w:vAlign w:val="bottom"/>
          </w:tcPr>
          <w:p w14:paraId="625C204E" w14:textId="77777777" w:rsidR="005976FF" w:rsidRPr="00513F0D" w:rsidRDefault="005976FF" w:rsidP="00B55E95">
            <w:pPr>
              <w:pStyle w:val="-3"/>
              <w:jc w:val="left"/>
              <w:rPr>
                <w:b/>
                <w:bCs/>
                <w:sz w:val="16"/>
                <w:szCs w:val="16"/>
                <w:rtl/>
              </w:rPr>
            </w:pPr>
            <w:r w:rsidRPr="00CF2A74">
              <w:rPr>
                <w:b/>
                <w:bCs/>
                <w:sz w:val="16"/>
                <w:szCs w:val="16"/>
                <w:rtl/>
              </w:rPr>
              <w:t xml:space="preserve"> 0</w:t>
            </w:r>
          </w:p>
        </w:tc>
        <w:tc>
          <w:tcPr>
            <w:tcW w:w="726" w:type="dxa"/>
            <w:vAlign w:val="bottom"/>
          </w:tcPr>
          <w:p w14:paraId="0350424E" w14:textId="77777777" w:rsidR="005976FF" w:rsidRPr="00513F0D" w:rsidRDefault="005976FF" w:rsidP="00B55E95">
            <w:pPr>
              <w:pStyle w:val="-3"/>
              <w:jc w:val="left"/>
              <w:rPr>
                <w:b/>
                <w:bCs/>
                <w:sz w:val="16"/>
                <w:szCs w:val="16"/>
                <w:rtl/>
              </w:rPr>
            </w:pPr>
            <w:r w:rsidRPr="00CF2A74">
              <w:rPr>
                <w:b/>
                <w:bCs/>
                <w:sz w:val="16"/>
                <w:szCs w:val="16"/>
                <w:rtl/>
              </w:rPr>
              <w:t xml:space="preserve"> 0</w:t>
            </w:r>
          </w:p>
        </w:tc>
        <w:tc>
          <w:tcPr>
            <w:tcW w:w="676" w:type="dxa"/>
            <w:vAlign w:val="bottom"/>
          </w:tcPr>
          <w:p w14:paraId="390C6861" w14:textId="77777777" w:rsidR="005976FF" w:rsidRPr="00513F0D" w:rsidRDefault="005976FF" w:rsidP="00B55E95">
            <w:pPr>
              <w:pStyle w:val="-3"/>
              <w:jc w:val="left"/>
              <w:rPr>
                <w:b/>
                <w:bCs/>
                <w:sz w:val="16"/>
                <w:szCs w:val="16"/>
                <w:rtl/>
              </w:rPr>
            </w:pPr>
            <w:r w:rsidRPr="00CF2A74">
              <w:rPr>
                <w:b/>
                <w:bCs/>
                <w:sz w:val="16"/>
                <w:szCs w:val="16"/>
                <w:rtl/>
              </w:rPr>
              <w:t xml:space="preserve"> 0</w:t>
            </w:r>
          </w:p>
        </w:tc>
      </w:tr>
      <w:tr w:rsidR="0030599F" w:rsidRPr="00513F0D" w14:paraId="53554D18" w14:textId="77777777" w:rsidTr="004A1ADA">
        <w:tc>
          <w:tcPr>
            <w:tcW w:w="850" w:type="dxa"/>
          </w:tcPr>
          <w:p w14:paraId="0CC52EC7" w14:textId="77777777" w:rsidR="005976FF" w:rsidRPr="00513F0D" w:rsidRDefault="005976FF" w:rsidP="00B55E95">
            <w:pPr>
              <w:pStyle w:val="-7"/>
              <w:bidi w:val="0"/>
              <w:ind w:right="-231"/>
              <w:jc w:val="left"/>
              <w:rPr>
                <w:spacing w:val="-6"/>
                <w:sz w:val="16"/>
                <w:szCs w:val="16"/>
              </w:rPr>
            </w:pPr>
          </w:p>
        </w:tc>
        <w:tc>
          <w:tcPr>
            <w:tcW w:w="2097" w:type="dxa"/>
            <w:vAlign w:val="bottom"/>
          </w:tcPr>
          <w:p w14:paraId="03A0358E" w14:textId="77777777" w:rsidR="005976FF" w:rsidRPr="00513F0D" w:rsidRDefault="005976FF" w:rsidP="00B55E95">
            <w:pPr>
              <w:pStyle w:val="-0"/>
              <w:rPr>
                <w:sz w:val="16"/>
                <w:szCs w:val="16"/>
                <w:rtl/>
              </w:rPr>
            </w:pPr>
            <w:r w:rsidRPr="00CF2A74">
              <w:rPr>
                <w:rFonts w:hint="eastAsia"/>
                <w:sz w:val="16"/>
                <w:szCs w:val="16"/>
                <w:rtl/>
              </w:rPr>
              <w:t>רווח</w:t>
            </w:r>
            <w:r w:rsidRPr="00CF2A74">
              <w:rPr>
                <w:sz w:val="16"/>
                <w:szCs w:val="16"/>
                <w:rtl/>
              </w:rPr>
              <w:t xml:space="preserve"> </w:t>
            </w:r>
            <w:r w:rsidRPr="00CF2A74">
              <w:rPr>
                <w:rFonts w:hint="eastAsia"/>
                <w:sz w:val="16"/>
                <w:szCs w:val="16"/>
                <w:rtl/>
              </w:rPr>
              <w:t>נקי</w:t>
            </w:r>
            <w:r w:rsidRPr="00CF2A74">
              <w:rPr>
                <w:sz w:val="16"/>
                <w:szCs w:val="16"/>
                <w:rtl/>
              </w:rPr>
              <w:t xml:space="preserve"> </w:t>
            </w:r>
            <w:r w:rsidRPr="00CF2A74">
              <w:rPr>
                <w:rFonts w:hint="eastAsia"/>
                <w:sz w:val="16"/>
                <w:szCs w:val="16"/>
                <w:rtl/>
              </w:rPr>
              <w:t>בתקופה</w:t>
            </w:r>
          </w:p>
        </w:tc>
        <w:tc>
          <w:tcPr>
            <w:tcW w:w="780" w:type="dxa"/>
            <w:vAlign w:val="bottom"/>
          </w:tcPr>
          <w:p w14:paraId="343330F9" w14:textId="77777777" w:rsidR="005976FF" w:rsidRPr="00513F0D" w:rsidRDefault="005976FF" w:rsidP="00B55E95">
            <w:pPr>
              <w:pStyle w:val="-3"/>
              <w:rPr>
                <w:sz w:val="16"/>
                <w:szCs w:val="16"/>
                <w:rtl/>
              </w:rPr>
            </w:pPr>
            <w:r w:rsidRPr="00CF2A74">
              <w:rPr>
                <w:sz w:val="16"/>
                <w:szCs w:val="16"/>
                <w:rtl/>
              </w:rPr>
              <w:t>-</w:t>
            </w:r>
          </w:p>
        </w:tc>
        <w:tc>
          <w:tcPr>
            <w:tcW w:w="865" w:type="dxa"/>
            <w:vAlign w:val="bottom"/>
          </w:tcPr>
          <w:p w14:paraId="2AEA96A0" w14:textId="77777777" w:rsidR="005976FF" w:rsidRPr="00513F0D" w:rsidRDefault="005976FF" w:rsidP="00B55E95">
            <w:pPr>
              <w:pStyle w:val="-3"/>
              <w:rPr>
                <w:sz w:val="16"/>
                <w:szCs w:val="16"/>
                <w:rtl/>
              </w:rPr>
            </w:pPr>
            <w:r w:rsidRPr="00CF2A74">
              <w:rPr>
                <w:sz w:val="16"/>
                <w:szCs w:val="16"/>
                <w:rtl/>
              </w:rPr>
              <w:t>-</w:t>
            </w:r>
          </w:p>
        </w:tc>
        <w:tc>
          <w:tcPr>
            <w:tcW w:w="939" w:type="dxa"/>
            <w:vAlign w:val="bottom"/>
          </w:tcPr>
          <w:p w14:paraId="04A14D9F" w14:textId="77777777" w:rsidR="005976FF" w:rsidRPr="00513F0D" w:rsidRDefault="005976FF" w:rsidP="00B55E95">
            <w:pPr>
              <w:pStyle w:val="-3"/>
              <w:rPr>
                <w:sz w:val="16"/>
                <w:szCs w:val="16"/>
                <w:rtl/>
              </w:rPr>
            </w:pPr>
            <w:r w:rsidRPr="00CF2A74">
              <w:rPr>
                <w:sz w:val="16"/>
                <w:szCs w:val="16"/>
                <w:rtl/>
              </w:rPr>
              <w:t>-</w:t>
            </w:r>
          </w:p>
        </w:tc>
        <w:tc>
          <w:tcPr>
            <w:tcW w:w="737" w:type="dxa"/>
            <w:vAlign w:val="bottom"/>
          </w:tcPr>
          <w:p w14:paraId="3B2B89E7" w14:textId="77777777" w:rsidR="005976FF" w:rsidRPr="00513F0D" w:rsidRDefault="005976FF" w:rsidP="00B55E95">
            <w:pPr>
              <w:pStyle w:val="-3"/>
              <w:rPr>
                <w:sz w:val="16"/>
                <w:szCs w:val="16"/>
                <w:rtl/>
              </w:rPr>
            </w:pPr>
            <w:r w:rsidRPr="00CF2A74">
              <w:rPr>
                <w:sz w:val="16"/>
                <w:szCs w:val="16"/>
                <w:rtl/>
              </w:rPr>
              <w:t>-</w:t>
            </w:r>
          </w:p>
        </w:tc>
        <w:tc>
          <w:tcPr>
            <w:tcW w:w="1374" w:type="dxa"/>
            <w:vAlign w:val="bottom"/>
          </w:tcPr>
          <w:p w14:paraId="10564527" w14:textId="77777777" w:rsidR="005976FF" w:rsidRPr="009A7E4A" w:rsidRDefault="005976FF" w:rsidP="00B55E95">
            <w:pPr>
              <w:pStyle w:val="-3"/>
              <w:rPr>
                <w:sz w:val="16"/>
                <w:szCs w:val="16"/>
                <w:rtl/>
              </w:rPr>
            </w:pPr>
            <w:r w:rsidRPr="009A7E4A">
              <w:rPr>
                <w:sz w:val="16"/>
                <w:szCs w:val="16"/>
                <w:rtl/>
              </w:rPr>
              <w:t>-</w:t>
            </w:r>
          </w:p>
        </w:tc>
        <w:tc>
          <w:tcPr>
            <w:tcW w:w="743" w:type="dxa"/>
            <w:vAlign w:val="bottom"/>
          </w:tcPr>
          <w:p w14:paraId="58A7A1AA" w14:textId="77777777" w:rsidR="005976FF" w:rsidRPr="00513F0D" w:rsidRDefault="005976FF" w:rsidP="00B55E95">
            <w:pPr>
              <w:pStyle w:val="-3"/>
              <w:jc w:val="left"/>
              <w:rPr>
                <w:sz w:val="16"/>
                <w:szCs w:val="16"/>
                <w:rtl/>
              </w:rPr>
            </w:pPr>
            <w:r w:rsidRPr="00CF2A74">
              <w:rPr>
                <w:sz w:val="16"/>
                <w:szCs w:val="16"/>
                <w:rtl/>
              </w:rPr>
              <w:t xml:space="preserve"> -</w:t>
            </w:r>
          </w:p>
        </w:tc>
        <w:tc>
          <w:tcPr>
            <w:tcW w:w="746" w:type="dxa"/>
            <w:vAlign w:val="bottom"/>
          </w:tcPr>
          <w:p w14:paraId="31F1CEF3" w14:textId="77777777" w:rsidR="005976FF" w:rsidRPr="00CF2A74" w:rsidRDefault="005976FF" w:rsidP="00B55E95">
            <w:pPr>
              <w:pStyle w:val="-3"/>
              <w:jc w:val="left"/>
              <w:rPr>
                <w:sz w:val="16"/>
                <w:szCs w:val="16"/>
                <w:rtl/>
              </w:rPr>
            </w:pPr>
            <w:r w:rsidRPr="00CF2A74">
              <w:rPr>
                <w:sz w:val="16"/>
                <w:szCs w:val="16"/>
                <w:rtl/>
              </w:rPr>
              <w:t>-</w:t>
            </w:r>
          </w:p>
        </w:tc>
        <w:tc>
          <w:tcPr>
            <w:tcW w:w="982" w:type="dxa"/>
            <w:vAlign w:val="bottom"/>
          </w:tcPr>
          <w:p w14:paraId="249D121A" w14:textId="77777777" w:rsidR="005976FF" w:rsidRPr="00513F0D" w:rsidRDefault="005976FF" w:rsidP="00B55E95">
            <w:pPr>
              <w:pStyle w:val="-3"/>
              <w:jc w:val="left"/>
              <w:rPr>
                <w:sz w:val="16"/>
                <w:szCs w:val="16"/>
                <w:rtl/>
              </w:rPr>
            </w:pPr>
            <w:r w:rsidRPr="00CF2A74">
              <w:rPr>
                <w:sz w:val="16"/>
                <w:szCs w:val="16"/>
                <w:rtl/>
              </w:rPr>
              <w:t xml:space="preserve"> -</w:t>
            </w:r>
          </w:p>
        </w:tc>
        <w:tc>
          <w:tcPr>
            <w:tcW w:w="708" w:type="dxa"/>
            <w:vAlign w:val="bottom"/>
          </w:tcPr>
          <w:p w14:paraId="38CC3069" w14:textId="77777777" w:rsidR="005976FF" w:rsidRPr="00513F0D" w:rsidRDefault="005976FF" w:rsidP="00B55E95">
            <w:pPr>
              <w:pStyle w:val="-3"/>
              <w:jc w:val="left"/>
              <w:rPr>
                <w:sz w:val="16"/>
                <w:szCs w:val="16"/>
                <w:rtl/>
              </w:rPr>
            </w:pPr>
            <w:r w:rsidRPr="00CF2A74">
              <w:rPr>
                <w:sz w:val="16"/>
                <w:szCs w:val="16"/>
                <w:rtl/>
              </w:rPr>
              <w:t xml:space="preserve"> -</w:t>
            </w:r>
          </w:p>
        </w:tc>
        <w:tc>
          <w:tcPr>
            <w:tcW w:w="930" w:type="dxa"/>
            <w:vAlign w:val="bottom"/>
          </w:tcPr>
          <w:p w14:paraId="0C69F222" w14:textId="77777777" w:rsidR="005976FF" w:rsidRPr="00513F0D" w:rsidRDefault="005976FF" w:rsidP="00B55E95">
            <w:pPr>
              <w:pStyle w:val="-3"/>
              <w:jc w:val="left"/>
              <w:rPr>
                <w:sz w:val="16"/>
                <w:szCs w:val="16"/>
                <w:rtl/>
              </w:rPr>
            </w:pPr>
            <w:r w:rsidRPr="00CF2A74">
              <w:rPr>
                <w:sz w:val="16"/>
                <w:szCs w:val="16"/>
                <w:rtl/>
              </w:rPr>
              <w:t xml:space="preserve"> 0</w:t>
            </w:r>
          </w:p>
        </w:tc>
        <w:tc>
          <w:tcPr>
            <w:tcW w:w="792" w:type="dxa"/>
            <w:vAlign w:val="bottom"/>
          </w:tcPr>
          <w:p w14:paraId="577AA87D" w14:textId="77777777" w:rsidR="005976FF" w:rsidRPr="00513F0D" w:rsidRDefault="005976FF" w:rsidP="00B55E95">
            <w:pPr>
              <w:pStyle w:val="-3"/>
              <w:jc w:val="left"/>
              <w:rPr>
                <w:sz w:val="16"/>
                <w:szCs w:val="16"/>
                <w:rtl/>
              </w:rPr>
            </w:pPr>
            <w:r w:rsidRPr="00CF2A74">
              <w:rPr>
                <w:sz w:val="16"/>
                <w:szCs w:val="16"/>
                <w:rtl/>
              </w:rPr>
              <w:t xml:space="preserve"> -</w:t>
            </w:r>
          </w:p>
        </w:tc>
        <w:tc>
          <w:tcPr>
            <w:tcW w:w="1126" w:type="dxa"/>
            <w:vAlign w:val="bottom"/>
          </w:tcPr>
          <w:p w14:paraId="179EAEB6" w14:textId="77777777" w:rsidR="005976FF" w:rsidRPr="00513F0D" w:rsidRDefault="005976FF" w:rsidP="00B55E95">
            <w:pPr>
              <w:pStyle w:val="-3"/>
              <w:jc w:val="left"/>
              <w:rPr>
                <w:sz w:val="16"/>
                <w:szCs w:val="16"/>
                <w:rtl/>
              </w:rPr>
            </w:pPr>
            <w:r w:rsidRPr="00CF2A74">
              <w:rPr>
                <w:sz w:val="16"/>
                <w:szCs w:val="16"/>
                <w:rtl/>
              </w:rPr>
              <w:t xml:space="preserve"> 0</w:t>
            </w:r>
          </w:p>
        </w:tc>
        <w:tc>
          <w:tcPr>
            <w:tcW w:w="726" w:type="dxa"/>
            <w:vAlign w:val="bottom"/>
          </w:tcPr>
          <w:p w14:paraId="3DA133CA" w14:textId="77777777" w:rsidR="005976FF" w:rsidRPr="00513F0D" w:rsidRDefault="005976FF" w:rsidP="00B55E95">
            <w:pPr>
              <w:pStyle w:val="-3"/>
              <w:jc w:val="left"/>
              <w:rPr>
                <w:sz w:val="16"/>
                <w:szCs w:val="16"/>
                <w:rtl/>
              </w:rPr>
            </w:pPr>
            <w:r w:rsidRPr="00CF2A74">
              <w:rPr>
                <w:sz w:val="16"/>
                <w:szCs w:val="16"/>
                <w:rtl/>
              </w:rPr>
              <w:t xml:space="preserve"> 0</w:t>
            </w:r>
          </w:p>
        </w:tc>
        <w:tc>
          <w:tcPr>
            <w:tcW w:w="676" w:type="dxa"/>
            <w:vAlign w:val="bottom"/>
          </w:tcPr>
          <w:p w14:paraId="6C4CA4A5" w14:textId="77777777" w:rsidR="005976FF" w:rsidRPr="00513F0D" w:rsidRDefault="005976FF" w:rsidP="00B55E95">
            <w:pPr>
              <w:pStyle w:val="-3"/>
              <w:jc w:val="left"/>
              <w:rPr>
                <w:sz w:val="16"/>
                <w:szCs w:val="16"/>
                <w:rtl/>
              </w:rPr>
            </w:pPr>
            <w:r w:rsidRPr="00CF2A74">
              <w:rPr>
                <w:sz w:val="16"/>
                <w:szCs w:val="16"/>
                <w:rtl/>
              </w:rPr>
              <w:t xml:space="preserve"> 0</w:t>
            </w:r>
          </w:p>
        </w:tc>
      </w:tr>
      <w:tr w:rsidR="0030599F" w:rsidRPr="00513F0D" w14:paraId="2D7E0896" w14:textId="77777777" w:rsidTr="004A1ADA">
        <w:tc>
          <w:tcPr>
            <w:tcW w:w="850" w:type="dxa"/>
          </w:tcPr>
          <w:p w14:paraId="0A7B7501" w14:textId="77777777" w:rsidR="005976FF" w:rsidRPr="00513F0D" w:rsidRDefault="005976FF" w:rsidP="00B55E95">
            <w:pPr>
              <w:pStyle w:val="-7"/>
              <w:bidi w:val="0"/>
              <w:ind w:right="-231"/>
              <w:jc w:val="left"/>
              <w:rPr>
                <w:spacing w:val="-6"/>
                <w:sz w:val="16"/>
                <w:szCs w:val="16"/>
              </w:rPr>
            </w:pPr>
          </w:p>
        </w:tc>
        <w:tc>
          <w:tcPr>
            <w:tcW w:w="2097" w:type="dxa"/>
            <w:vAlign w:val="bottom"/>
          </w:tcPr>
          <w:p w14:paraId="3D444E54" w14:textId="77777777" w:rsidR="005976FF" w:rsidRPr="00513F0D" w:rsidRDefault="005976FF" w:rsidP="00B55E95">
            <w:pPr>
              <w:pStyle w:val="-0"/>
              <w:rPr>
                <w:sz w:val="16"/>
                <w:szCs w:val="16"/>
                <w:rtl/>
              </w:rPr>
            </w:pPr>
            <w:r w:rsidRPr="00CF2A74">
              <w:rPr>
                <w:rFonts w:hint="eastAsia"/>
                <w:sz w:val="16"/>
                <w:szCs w:val="16"/>
                <w:rtl/>
              </w:rPr>
              <w:t>רווח</w:t>
            </w:r>
            <w:r w:rsidRPr="00CF2A74">
              <w:rPr>
                <w:sz w:val="16"/>
                <w:szCs w:val="16"/>
                <w:rtl/>
              </w:rPr>
              <w:t xml:space="preserve"> (הפסד) </w:t>
            </w:r>
            <w:r w:rsidRPr="00CF2A74">
              <w:rPr>
                <w:rFonts w:hint="eastAsia"/>
                <w:sz w:val="16"/>
                <w:szCs w:val="16"/>
                <w:rtl/>
              </w:rPr>
              <w:t>כולל</w:t>
            </w:r>
            <w:r w:rsidRPr="00CF2A74">
              <w:rPr>
                <w:sz w:val="16"/>
                <w:szCs w:val="16"/>
                <w:rtl/>
              </w:rPr>
              <w:t xml:space="preserve"> </w:t>
            </w:r>
            <w:r w:rsidRPr="00CF2A74">
              <w:rPr>
                <w:rFonts w:hint="eastAsia"/>
                <w:sz w:val="16"/>
                <w:szCs w:val="16"/>
                <w:rtl/>
              </w:rPr>
              <w:t>אחר</w:t>
            </w:r>
            <w:r w:rsidRPr="00CF2A74">
              <w:rPr>
                <w:sz w:val="16"/>
                <w:szCs w:val="16"/>
                <w:rtl/>
              </w:rPr>
              <w:t xml:space="preserve">, </w:t>
            </w:r>
            <w:r w:rsidRPr="00CF2A74">
              <w:rPr>
                <w:rFonts w:hint="eastAsia"/>
                <w:sz w:val="16"/>
                <w:szCs w:val="16"/>
                <w:rtl/>
              </w:rPr>
              <w:t>נטו</w:t>
            </w:r>
            <w:r w:rsidRPr="00CF2A74">
              <w:rPr>
                <w:sz w:val="16"/>
                <w:szCs w:val="16"/>
                <w:rtl/>
              </w:rPr>
              <w:t xml:space="preserve"> </w:t>
            </w:r>
            <w:r w:rsidRPr="00CF2A74">
              <w:rPr>
                <w:rFonts w:hint="eastAsia"/>
                <w:sz w:val="16"/>
                <w:szCs w:val="16"/>
                <w:rtl/>
              </w:rPr>
              <w:t>לאחר</w:t>
            </w:r>
            <w:r w:rsidRPr="00CF2A74">
              <w:rPr>
                <w:sz w:val="16"/>
                <w:szCs w:val="16"/>
                <w:rtl/>
              </w:rPr>
              <w:t xml:space="preserve"> </w:t>
            </w:r>
            <w:r w:rsidRPr="00CF2A74">
              <w:rPr>
                <w:rFonts w:hint="eastAsia"/>
                <w:sz w:val="16"/>
                <w:szCs w:val="16"/>
                <w:rtl/>
              </w:rPr>
              <w:t>השפעת</w:t>
            </w:r>
            <w:r w:rsidRPr="00CF2A74">
              <w:rPr>
                <w:sz w:val="16"/>
                <w:szCs w:val="16"/>
                <w:rtl/>
              </w:rPr>
              <w:t xml:space="preserve"> </w:t>
            </w:r>
            <w:r w:rsidRPr="00CF2A74">
              <w:rPr>
                <w:rFonts w:hint="eastAsia"/>
                <w:sz w:val="16"/>
                <w:szCs w:val="16"/>
                <w:rtl/>
              </w:rPr>
              <w:t>המס</w:t>
            </w:r>
          </w:p>
        </w:tc>
        <w:tc>
          <w:tcPr>
            <w:tcW w:w="780" w:type="dxa"/>
            <w:vAlign w:val="bottom"/>
          </w:tcPr>
          <w:p w14:paraId="007DB161" w14:textId="77777777" w:rsidR="005976FF" w:rsidRPr="00513F0D" w:rsidRDefault="005976FF" w:rsidP="00B55E95">
            <w:pPr>
              <w:pStyle w:val="-3"/>
              <w:rPr>
                <w:sz w:val="16"/>
                <w:szCs w:val="16"/>
                <w:rtl/>
              </w:rPr>
            </w:pPr>
            <w:r w:rsidRPr="00CF2A74">
              <w:rPr>
                <w:sz w:val="16"/>
                <w:szCs w:val="16"/>
                <w:rtl/>
              </w:rPr>
              <w:t>-</w:t>
            </w:r>
          </w:p>
        </w:tc>
        <w:tc>
          <w:tcPr>
            <w:tcW w:w="865" w:type="dxa"/>
            <w:vAlign w:val="bottom"/>
          </w:tcPr>
          <w:p w14:paraId="710A86F0" w14:textId="77777777" w:rsidR="005976FF" w:rsidRPr="00513F0D" w:rsidRDefault="005976FF" w:rsidP="00B55E95">
            <w:pPr>
              <w:pStyle w:val="-3"/>
              <w:rPr>
                <w:sz w:val="16"/>
                <w:szCs w:val="16"/>
                <w:rtl/>
              </w:rPr>
            </w:pPr>
            <w:r w:rsidRPr="00CF2A74">
              <w:rPr>
                <w:sz w:val="16"/>
                <w:szCs w:val="16"/>
                <w:rtl/>
              </w:rPr>
              <w:t>-</w:t>
            </w:r>
          </w:p>
        </w:tc>
        <w:tc>
          <w:tcPr>
            <w:tcW w:w="939" w:type="dxa"/>
            <w:vAlign w:val="bottom"/>
          </w:tcPr>
          <w:p w14:paraId="3BE7A7F0" w14:textId="77777777" w:rsidR="005976FF" w:rsidRPr="00513F0D" w:rsidRDefault="005976FF" w:rsidP="00B55E95">
            <w:pPr>
              <w:pStyle w:val="-3"/>
              <w:rPr>
                <w:sz w:val="16"/>
                <w:szCs w:val="16"/>
                <w:rtl/>
              </w:rPr>
            </w:pPr>
            <w:r w:rsidRPr="00CF2A74">
              <w:rPr>
                <w:sz w:val="16"/>
                <w:szCs w:val="16"/>
                <w:rtl/>
              </w:rPr>
              <w:t>-</w:t>
            </w:r>
          </w:p>
        </w:tc>
        <w:tc>
          <w:tcPr>
            <w:tcW w:w="737" w:type="dxa"/>
            <w:vAlign w:val="bottom"/>
          </w:tcPr>
          <w:p w14:paraId="41228638" w14:textId="77777777" w:rsidR="005976FF" w:rsidRPr="00513F0D" w:rsidRDefault="005976FF" w:rsidP="00B55E95">
            <w:pPr>
              <w:pStyle w:val="-3"/>
              <w:rPr>
                <w:sz w:val="16"/>
                <w:szCs w:val="16"/>
                <w:rtl/>
              </w:rPr>
            </w:pPr>
            <w:r w:rsidRPr="00CF2A74">
              <w:rPr>
                <w:sz w:val="16"/>
                <w:szCs w:val="16"/>
                <w:rtl/>
              </w:rPr>
              <w:t>-</w:t>
            </w:r>
          </w:p>
        </w:tc>
        <w:tc>
          <w:tcPr>
            <w:tcW w:w="1374" w:type="dxa"/>
            <w:vAlign w:val="bottom"/>
          </w:tcPr>
          <w:p w14:paraId="6483D8A0" w14:textId="77777777" w:rsidR="005976FF" w:rsidRPr="009A7E4A" w:rsidRDefault="005976FF" w:rsidP="00B55E95">
            <w:pPr>
              <w:pStyle w:val="-3"/>
              <w:rPr>
                <w:sz w:val="16"/>
                <w:szCs w:val="16"/>
                <w:rtl/>
              </w:rPr>
            </w:pPr>
            <w:r w:rsidRPr="009A7E4A">
              <w:rPr>
                <w:sz w:val="16"/>
                <w:szCs w:val="16"/>
                <w:rtl/>
              </w:rPr>
              <w:t>-</w:t>
            </w:r>
          </w:p>
        </w:tc>
        <w:tc>
          <w:tcPr>
            <w:tcW w:w="743" w:type="dxa"/>
            <w:vAlign w:val="bottom"/>
          </w:tcPr>
          <w:p w14:paraId="311A5A80" w14:textId="77777777" w:rsidR="005976FF" w:rsidRPr="00513F0D" w:rsidRDefault="005976FF" w:rsidP="00B55E95">
            <w:pPr>
              <w:pStyle w:val="-3"/>
              <w:jc w:val="left"/>
              <w:rPr>
                <w:sz w:val="16"/>
                <w:szCs w:val="16"/>
                <w:rtl/>
              </w:rPr>
            </w:pPr>
            <w:r w:rsidRPr="00CF2A74">
              <w:rPr>
                <w:sz w:val="16"/>
                <w:szCs w:val="16"/>
                <w:rtl/>
              </w:rPr>
              <w:t xml:space="preserve"> -</w:t>
            </w:r>
          </w:p>
        </w:tc>
        <w:tc>
          <w:tcPr>
            <w:tcW w:w="746" w:type="dxa"/>
            <w:vAlign w:val="bottom"/>
          </w:tcPr>
          <w:p w14:paraId="5B0EBB50" w14:textId="77777777" w:rsidR="005976FF" w:rsidRPr="00CF2A74" w:rsidRDefault="005976FF" w:rsidP="00B55E95">
            <w:pPr>
              <w:pStyle w:val="-3"/>
              <w:jc w:val="left"/>
              <w:rPr>
                <w:sz w:val="16"/>
                <w:szCs w:val="16"/>
                <w:rtl/>
              </w:rPr>
            </w:pPr>
            <w:r w:rsidRPr="00CF2A74">
              <w:rPr>
                <w:sz w:val="16"/>
                <w:szCs w:val="16"/>
                <w:rtl/>
              </w:rPr>
              <w:t>-</w:t>
            </w:r>
          </w:p>
        </w:tc>
        <w:tc>
          <w:tcPr>
            <w:tcW w:w="982" w:type="dxa"/>
            <w:vAlign w:val="bottom"/>
          </w:tcPr>
          <w:p w14:paraId="5F34CB98" w14:textId="77777777" w:rsidR="005976FF" w:rsidRPr="00513F0D" w:rsidRDefault="005976FF" w:rsidP="00B55E95">
            <w:pPr>
              <w:pStyle w:val="-3"/>
              <w:jc w:val="left"/>
              <w:rPr>
                <w:sz w:val="16"/>
                <w:szCs w:val="16"/>
                <w:rtl/>
              </w:rPr>
            </w:pPr>
            <w:r w:rsidRPr="00CF2A74">
              <w:rPr>
                <w:sz w:val="16"/>
                <w:szCs w:val="16"/>
                <w:rtl/>
              </w:rPr>
              <w:t xml:space="preserve"> -</w:t>
            </w:r>
          </w:p>
        </w:tc>
        <w:tc>
          <w:tcPr>
            <w:tcW w:w="708" w:type="dxa"/>
            <w:vAlign w:val="bottom"/>
          </w:tcPr>
          <w:p w14:paraId="077376C4" w14:textId="77777777" w:rsidR="005976FF" w:rsidRPr="00513F0D" w:rsidRDefault="005976FF" w:rsidP="00B55E95">
            <w:pPr>
              <w:pStyle w:val="-3"/>
              <w:jc w:val="left"/>
              <w:rPr>
                <w:sz w:val="16"/>
                <w:szCs w:val="16"/>
                <w:rtl/>
              </w:rPr>
            </w:pPr>
            <w:r w:rsidRPr="00CF2A74">
              <w:rPr>
                <w:sz w:val="16"/>
                <w:szCs w:val="16"/>
                <w:rtl/>
              </w:rPr>
              <w:t xml:space="preserve"> 0</w:t>
            </w:r>
          </w:p>
        </w:tc>
        <w:tc>
          <w:tcPr>
            <w:tcW w:w="930" w:type="dxa"/>
            <w:vAlign w:val="bottom"/>
          </w:tcPr>
          <w:p w14:paraId="739FE9EF" w14:textId="77777777" w:rsidR="005976FF" w:rsidRPr="00513F0D" w:rsidRDefault="005976FF" w:rsidP="00B55E95">
            <w:pPr>
              <w:pStyle w:val="-3"/>
              <w:jc w:val="left"/>
              <w:rPr>
                <w:sz w:val="16"/>
                <w:szCs w:val="16"/>
                <w:rtl/>
              </w:rPr>
            </w:pPr>
            <w:r w:rsidRPr="00CF2A74">
              <w:rPr>
                <w:sz w:val="16"/>
                <w:szCs w:val="16"/>
                <w:rtl/>
              </w:rPr>
              <w:t xml:space="preserve"> -</w:t>
            </w:r>
          </w:p>
        </w:tc>
        <w:tc>
          <w:tcPr>
            <w:tcW w:w="792" w:type="dxa"/>
            <w:vAlign w:val="bottom"/>
          </w:tcPr>
          <w:p w14:paraId="58DE6085" w14:textId="77777777" w:rsidR="005976FF" w:rsidRPr="00513F0D" w:rsidRDefault="005976FF" w:rsidP="00B55E95">
            <w:pPr>
              <w:pStyle w:val="-3"/>
              <w:jc w:val="left"/>
              <w:rPr>
                <w:sz w:val="16"/>
                <w:szCs w:val="16"/>
                <w:rtl/>
              </w:rPr>
            </w:pPr>
            <w:r w:rsidRPr="00CF2A74">
              <w:rPr>
                <w:sz w:val="16"/>
                <w:szCs w:val="16"/>
                <w:rtl/>
              </w:rPr>
              <w:t xml:space="preserve"> -</w:t>
            </w:r>
          </w:p>
        </w:tc>
        <w:tc>
          <w:tcPr>
            <w:tcW w:w="1126" w:type="dxa"/>
            <w:vAlign w:val="bottom"/>
          </w:tcPr>
          <w:p w14:paraId="6629C154" w14:textId="77777777" w:rsidR="005976FF" w:rsidRPr="00513F0D" w:rsidRDefault="005976FF" w:rsidP="00B55E95">
            <w:pPr>
              <w:pStyle w:val="-3"/>
              <w:jc w:val="left"/>
              <w:rPr>
                <w:sz w:val="16"/>
                <w:szCs w:val="16"/>
                <w:rtl/>
              </w:rPr>
            </w:pPr>
            <w:r w:rsidRPr="00CF2A74">
              <w:rPr>
                <w:sz w:val="16"/>
                <w:szCs w:val="16"/>
                <w:rtl/>
              </w:rPr>
              <w:t xml:space="preserve"> 0</w:t>
            </w:r>
          </w:p>
        </w:tc>
        <w:tc>
          <w:tcPr>
            <w:tcW w:w="726" w:type="dxa"/>
            <w:vAlign w:val="bottom"/>
          </w:tcPr>
          <w:p w14:paraId="6AEAACBF" w14:textId="77777777" w:rsidR="005976FF" w:rsidRPr="00513F0D" w:rsidRDefault="005976FF" w:rsidP="00B55E95">
            <w:pPr>
              <w:pStyle w:val="-3"/>
              <w:jc w:val="left"/>
              <w:rPr>
                <w:sz w:val="16"/>
                <w:szCs w:val="16"/>
                <w:rtl/>
              </w:rPr>
            </w:pPr>
            <w:r w:rsidRPr="00CF2A74">
              <w:rPr>
                <w:sz w:val="16"/>
                <w:szCs w:val="16"/>
                <w:rtl/>
              </w:rPr>
              <w:t xml:space="preserve"> 0</w:t>
            </w:r>
          </w:p>
        </w:tc>
        <w:tc>
          <w:tcPr>
            <w:tcW w:w="676" w:type="dxa"/>
            <w:vAlign w:val="bottom"/>
          </w:tcPr>
          <w:p w14:paraId="47F2178B" w14:textId="77777777" w:rsidR="005976FF" w:rsidRPr="00513F0D" w:rsidRDefault="005976FF" w:rsidP="00B55E95">
            <w:pPr>
              <w:pStyle w:val="-3"/>
              <w:jc w:val="left"/>
              <w:rPr>
                <w:sz w:val="16"/>
                <w:szCs w:val="16"/>
                <w:rtl/>
              </w:rPr>
            </w:pPr>
            <w:r w:rsidRPr="00CF2A74">
              <w:rPr>
                <w:sz w:val="16"/>
                <w:szCs w:val="16"/>
                <w:rtl/>
              </w:rPr>
              <w:t xml:space="preserve"> 0</w:t>
            </w:r>
          </w:p>
        </w:tc>
      </w:tr>
      <w:tr w:rsidR="0030599F" w:rsidRPr="00513F0D" w14:paraId="666CB58F" w14:textId="77777777" w:rsidTr="004A1ADA">
        <w:tc>
          <w:tcPr>
            <w:tcW w:w="850" w:type="dxa"/>
          </w:tcPr>
          <w:p w14:paraId="571C3B35" w14:textId="77777777" w:rsidR="005976FF" w:rsidRPr="00513F0D" w:rsidRDefault="005976FF" w:rsidP="00B55E95">
            <w:pPr>
              <w:pStyle w:val="-7"/>
              <w:bidi w:val="0"/>
              <w:ind w:right="-231"/>
              <w:jc w:val="left"/>
              <w:rPr>
                <w:spacing w:val="-6"/>
                <w:sz w:val="16"/>
                <w:szCs w:val="16"/>
                <w:rtl/>
              </w:rPr>
            </w:pPr>
          </w:p>
        </w:tc>
        <w:tc>
          <w:tcPr>
            <w:tcW w:w="2097" w:type="dxa"/>
            <w:vAlign w:val="bottom"/>
          </w:tcPr>
          <w:p w14:paraId="71183C7D" w14:textId="77777777" w:rsidR="005976FF" w:rsidRPr="00513F0D" w:rsidRDefault="005976FF" w:rsidP="00B55E95">
            <w:pPr>
              <w:pStyle w:val="-0"/>
              <w:rPr>
                <w:sz w:val="16"/>
                <w:szCs w:val="16"/>
                <w:rtl/>
              </w:rPr>
            </w:pPr>
            <w:r w:rsidRPr="00CF2A74">
              <w:rPr>
                <w:rFonts w:hint="eastAsia"/>
                <w:sz w:val="16"/>
                <w:szCs w:val="16"/>
                <w:rtl/>
              </w:rPr>
              <w:t>דיבידנד</w:t>
            </w:r>
            <w:r w:rsidRPr="00CF2A74">
              <w:rPr>
                <w:sz w:val="16"/>
                <w:szCs w:val="16"/>
                <w:rtl/>
              </w:rPr>
              <w:t xml:space="preserve"> </w:t>
            </w:r>
          </w:p>
        </w:tc>
        <w:tc>
          <w:tcPr>
            <w:tcW w:w="780" w:type="dxa"/>
            <w:vAlign w:val="bottom"/>
          </w:tcPr>
          <w:p w14:paraId="49D57840" w14:textId="77777777" w:rsidR="005976FF" w:rsidRPr="00513F0D" w:rsidRDefault="005976FF" w:rsidP="00B55E95">
            <w:pPr>
              <w:pStyle w:val="-3"/>
              <w:rPr>
                <w:sz w:val="16"/>
                <w:szCs w:val="16"/>
                <w:rtl/>
              </w:rPr>
            </w:pPr>
            <w:r w:rsidRPr="00CF2A74">
              <w:rPr>
                <w:sz w:val="16"/>
                <w:szCs w:val="16"/>
                <w:rtl/>
              </w:rPr>
              <w:t>-</w:t>
            </w:r>
          </w:p>
        </w:tc>
        <w:tc>
          <w:tcPr>
            <w:tcW w:w="865" w:type="dxa"/>
            <w:vAlign w:val="bottom"/>
          </w:tcPr>
          <w:p w14:paraId="1D731E5F" w14:textId="77777777" w:rsidR="005976FF" w:rsidRPr="00513F0D" w:rsidRDefault="005976FF" w:rsidP="00B55E95">
            <w:pPr>
              <w:pStyle w:val="-3"/>
              <w:rPr>
                <w:sz w:val="16"/>
                <w:szCs w:val="16"/>
                <w:rtl/>
              </w:rPr>
            </w:pPr>
            <w:r w:rsidRPr="00CF2A74">
              <w:rPr>
                <w:sz w:val="16"/>
                <w:szCs w:val="16"/>
                <w:rtl/>
              </w:rPr>
              <w:t>-</w:t>
            </w:r>
          </w:p>
        </w:tc>
        <w:tc>
          <w:tcPr>
            <w:tcW w:w="939" w:type="dxa"/>
            <w:vAlign w:val="bottom"/>
          </w:tcPr>
          <w:p w14:paraId="6460E44C" w14:textId="77777777" w:rsidR="005976FF" w:rsidRPr="00513F0D" w:rsidRDefault="005976FF" w:rsidP="00B55E95">
            <w:pPr>
              <w:pStyle w:val="-3"/>
              <w:rPr>
                <w:sz w:val="16"/>
                <w:szCs w:val="16"/>
                <w:rtl/>
              </w:rPr>
            </w:pPr>
            <w:r w:rsidRPr="00CF2A74">
              <w:rPr>
                <w:sz w:val="16"/>
                <w:szCs w:val="16"/>
                <w:rtl/>
              </w:rPr>
              <w:t>-</w:t>
            </w:r>
          </w:p>
        </w:tc>
        <w:tc>
          <w:tcPr>
            <w:tcW w:w="737" w:type="dxa"/>
            <w:vAlign w:val="bottom"/>
          </w:tcPr>
          <w:p w14:paraId="742323E1" w14:textId="77777777" w:rsidR="005976FF" w:rsidRPr="00513F0D" w:rsidRDefault="005976FF" w:rsidP="00B55E95">
            <w:pPr>
              <w:pStyle w:val="-3"/>
              <w:rPr>
                <w:sz w:val="16"/>
                <w:szCs w:val="16"/>
                <w:rtl/>
              </w:rPr>
            </w:pPr>
            <w:r w:rsidRPr="00CF2A74">
              <w:rPr>
                <w:sz w:val="16"/>
                <w:szCs w:val="16"/>
                <w:rtl/>
              </w:rPr>
              <w:t>-</w:t>
            </w:r>
          </w:p>
        </w:tc>
        <w:tc>
          <w:tcPr>
            <w:tcW w:w="1374" w:type="dxa"/>
            <w:vAlign w:val="bottom"/>
          </w:tcPr>
          <w:p w14:paraId="03245AA4" w14:textId="77777777" w:rsidR="005976FF" w:rsidRPr="009A7E4A" w:rsidRDefault="005976FF" w:rsidP="00B55E95">
            <w:pPr>
              <w:pStyle w:val="-3"/>
              <w:rPr>
                <w:sz w:val="16"/>
                <w:szCs w:val="16"/>
                <w:rtl/>
              </w:rPr>
            </w:pPr>
            <w:r w:rsidRPr="009A7E4A">
              <w:rPr>
                <w:sz w:val="16"/>
                <w:szCs w:val="16"/>
                <w:rtl/>
              </w:rPr>
              <w:t>-</w:t>
            </w:r>
          </w:p>
        </w:tc>
        <w:tc>
          <w:tcPr>
            <w:tcW w:w="743" w:type="dxa"/>
            <w:vAlign w:val="bottom"/>
          </w:tcPr>
          <w:p w14:paraId="24B5E846" w14:textId="77777777" w:rsidR="005976FF" w:rsidRPr="00513F0D" w:rsidRDefault="005976FF" w:rsidP="00B55E95">
            <w:pPr>
              <w:pStyle w:val="-3"/>
              <w:jc w:val="left"/>
              <w:rPr>
                <w:sz w:val="16"/>
                <w:szCs w:val="16"/>
                <w:rtl/>
              </w:rPr>
            </w:pPr>
            <w:r w:rsidRPr="00CF2A74">
              <w:rPr>
                <w:sz w:val="16"/>
                <w:szCs w:val="16"/>
                <w:rtl/>
              </w:rPr>
              <w:t xml:space="preserve"> -</w:t>
            </w:r>
          </w:p>
        </w:tc>
        <w:tc>
          <w:tcPr>
            <w:tcW w:w="746" w:type="dxa"/>
            <w:vAlign w:val="bottom"/>
          </w:tcPr>
          <w:p w14:paraId="719C7CBA" w14:textId="77777777" w:rsidR="005976FF" w:rsidRPr="00CF2A74" w:rsidRDefault="005976FF" w:rsidP="00B55E95">
            <w:pPr>
              <w:pStyle w:val="-3"/>
              <w:jc w:val="left"/>
              <w:rPr>
                <w:sz w:val="16"/>
                <w:szCs w:val="16"/>
                <w:rtl/>
              </w:rPr>
            </w:pPr>
            <w:r w:rsidRPr="00CF2A74">
              <w:rPr>
                <w:sz w:val="16"/>
                <w:szCs w:val="16"/>
                <w:rtl/>
              </w:rPr>
              <w:t>-</w:t>
            </w:r>
          </w:p>
        </w:tc>
        <w:tc>
          <w:tcPr>
            <w:tcW w:w="982" w:type="dxa"/>
            <w:vAlign w:val="bottom"/>
          </w:tcPr>
          <w:p w14:paraId="1B69DE5D" w14:textId="77777777" w:rsidR="005976FF" w:rsidRPr="00513F0D" w:rsidRDefault="005976FF" w:rsidP="00B55E95">
            <w:pPr>
              <w:pStyle w:val="-3"/>
              <w:jc w:val="left"/>
              <w:rPr>
                <w:sz w:val="16"/>
                <w:szCs w:val="16"/>
                <w:rtl/>
              </w:rPr>
            </w:pPr>
            <w:r w:rsidRPr="00CF2A74">
              <w:rPr>
                <w:sz w:val="16"/>
                <w:szCs w:val="16"/>
                <w:rtl/>
              </w:rPr>
              <w:t xml:space="preserve"> -</w:t>
            </w:r>
          </w:p>
        </w:tc>
        <w:tc>
          <w:tcPr>
            <w:tcW w:w="708" w:type="dxa"/>
            <w:vAlign w:val="bottom"/>
          </w:tcPr>
          <w:p w14:paraId="478453C0" w14:textId="77777777" w:rsidR="005976FF" w:rsidRPr="00513F0D" w:rsidRDefault="005976FF" w:rsidP="00B55E95">
            <w:pPr>
              <w:pStyle w:val="-3"/>
              <w:jc w:val="left"/>
              <w:rPr>
                <w:sz w:val="16"/>
                <w:szCs w:val="16"/>
                <w:rtl/>
              </w:rPr>
            </w:pPr>
            <w:r w:rsidRPr="00CF2A74">
              <w:rPr>
                <w:sz w:val="16"/>
                <w:szCs w:val="16"/>
                <w:rtl/>
              </w:rPr>
              <w:t xml:space="preserve"> -</w:t>
            </w:r>
          </w:p>
        </w:tc>
        <w:tc>
          <w:tcPr>
            <w:tcW w:w="930" w:type="dxa"/>
            <w:vAlign w:val="bottom"/>
          </w:tcPr>
          <w:p w14:paraId="3A8DCEE8" w14:textId="77777777" w:rsidR="005976FF" w:rsidRPr="00513F0D" w:rsidRDefault="005976FF" w:rsidP="00B55E95">
            <w:pPr>
              <w:pStyle w:val="-3"/>
              <w:jc w:val="left"/>
              <w:rPr>
                <w:sz w:val="16"/>
                <w:szCs w:val="16"/>
                <w:rtl/>
              </w:rPr>
            </w:pPr>
            <w:r w:rsidRPr="00CF2A74">
              <w:rPr>
                <w:sz w:val="16"/>
                <w:szCs w:val="16"/>
                <w:rtl/>
              </w:rPr>
              <w:t xml:space="preserve"> 0</w:t>
            </w:r>
          </w:p>
        </w:tc>
        <w:tc>
          <w:tcPr>
            <w:tcW w:w="792" w:type="dxa"/>
            <w:vAlign w:val="bottom"/>
          </w:tcPr>
          <w:p w14:paraId="6D47722B" w14:textId="77777777" w:rsidR="005976FF" w:rsidRPr="00513F0D" w:rsidRDefault="005976FF" w:rsidP="00B55E95">
            <w:pPr>
              <w:pStyle w:val="-3"/>
              <w:jc w:val="left"/>
              <w:rPr>
                <w:sz w:val="16"/>
                <w:szCs w:val="16"/>
                <w:rtl/>
              </w:rPr>
            </w:pPr>
            <w:r w:rsidRPr="00CF2A74">
              <w:rPr>
                <w:sz w:val="16"/>
                <w:szCs w:val="16"/>
                <w:rtl/>
              </w:rPr>
              <w:t xml:space="preserve"> -</w:t>
            </w:r>
          </w:p>
        </w:tc>
        <w:tc>
          <w:tcPr>
            <w:tcW w:w="1126" w:type="dxa"/>
            <w:vAlign w:val="bottom"/>
          </w:tcPr>
          <w:p w14:paraId="68F3DE4B" w14:textId="77777777" w:rsidR="005976FF" w:rsidRPr="00513F0D" w:rsidRDefault="005976FF" w:rsidP="00B55E95">
            <w:pPr>
              <w:pStyle w:val="-3"/>
              <w:jc w:val="left"/>
              <w:rPr>
                <w:sz w:val="16"/>
                <w:szCs w:val="16"/>
                <w:rtl/>
              </w:rPr>
            </w:pPr>
            <w:r w:rsidRPr="00CF2A74">
              <w:rPr>
                <w:sz w:val="16"/>
                <w:szCs w:val="16"/>
                <w:rtl/>
              </w:rPr>
              <w:t xml:space="preserve"> 0</w:t>
            </w:r>
          </w:p>
        </w:tc>
        <w:tc>
          <w:tcPr>
            <w:tcW w:w="726" w:type="dxa"/>
            <w:vAlign w:val="bottom"/>
          </w:tcPr>
          <w:p w14:paraId="6EA3DB0E" w14:textId="77777777" w:rsidR="005976FF" w:rsidRPr="00513F0D" w:rsidRDefault="005976FF" w:rsidP="00B55E95">
            <w:pPr>
              <w:pStyle w:val="-3"/>
              <w:jc w:val="left"/>
              <w:rPr>
                <w:sz w:val="16"/>
                <w:szCs w:val="16"/>
                <w:rtl/>
              </w:rPr>
            </w:pPr>
            <w:r w:rsidRPr="00CF2A74">
              <w:rPr>
                <w:sz w:val="16"/>
                <w:szCs w:val="16"/>
                <w:rtl/>
              </w:rPr>
              <w:t xml:space="preserve"> 0</w:t>
            </w:r>
          </w:p>
        </w:tc>
        <w:tc>
          <w:tcPr>
            <w:tcW w:w="676" w:type="dxa"/>
            <w:vAlign w:val="bottom"/>
          </w:tcPr>
          <w:p w14:paraId="1F1792F0" w14:textId="77777777" w:rsidR="005976FF" w:rsidRPr="00513F0D" w:rsidRDefault="005976FF" w:rsidP="00B55E95">
            <w:pPr>
              <w:pStyle w:val="-3"/>
              <w:jc w:val="left"/>
              <w:rPr>
                <w:sz w:val="16"/>
                <w:szCs w:val="16"/>
                <w:rtl/>
              </w:rPr>
            </w:pPr>
            <w:r w:rsidRPr="00CF2A74">
              <w:rPr>
                <w:sz w:val="16"/>
                <w:szCs w:val="16"/>
                <w:rtl/>
              </w:rPr>
              <w:t xml:space="preserve"> 0</w:t>
            </w:r>
          </w:p>
        </w:tc>
      </w:tr>
      <w:tr w:rsidR="0030599F" w:rsidRPr="00513F0D" w14:paraId="10D218A8" w14:textId="77777777" w:rsidTr="004A1ADA">
        <w:tc>
          <w:tcPr>
            <w:tcW w:w="850" w:type="dxa"/>
          </w:tcPr>
          <w:p w14:paraId="737E2DE0" w14:textId="77777777" w:rsidR="005976FF" w:rsidRPr="00513F0D" w:rsidRDefault="005976FF" w:rsidP="00B55E95">
            <w:pPr>
              <w:pStyle w:val="-7"/>
              <w:bidi w:val="0"/>
              <w:ind w:right="-231"/>
              <w:jc w:val="left"/>
              <w:rPr>
                <w:spacing w:val="-6"/>
                <w:sz w:val="16"/>
                <w:szCs w:val="16"/>
                <w:rtl/>
              </w:rPr>
            </w:pPr>
          </w:p>
        </w:tc>
        <w:tc>
          <w:tcPr>
            <w:tcW w:w="2097" w:type="dxa"/>
            <w:vAlign w:val="bottom"/>
          </w:tcPr>
          <w:p w14:paraId="4AB2DF0A" w14:textId="77777777" w:rsidR="005976FF" w:rsidRPr="00513F0D" w:rsidRDefault="005976FF" w:rsidP="00B55E95">
            <w:pPr>
              <w:pStyle w:val="-0"/>
              <w:rPr>
                <w:sz w:val="16"/>
                <w:szCs w:val="16"/>
                <w:rtl/>
              </w:rPr>
            </w:pPr>
            <w:r w:rsidRPr="00CF2A74">
              <w:rPr>
                <w:rFonts w:hint="eastAsia"/>
                <w:sz w:val="16"/>
                <w:szCs w:val="16"/>
                <w:rtl/>
              </w:rPr>
              <w:t>הטבות</w:t>
            </w:r>
            <w:r w:rsidRPr="00CF2A74">
              <w:rPr>
                <w:sz w:val="16"/>
                <w:szCs w:val="16"/>
                <w:rtl/>
              </w:rPr>
              <w:t xml:space="preserve"> </w:t>
            </w:r>
            <w:r w:rsidRPr="00CF2A74">
              <w:rPr>
                <w:rFonts w:hint="eastAsia"/>
                <w:sz w:val="16"/>
                <w:szCs w:val="16"/>
                <w:rtl/>
              </w:rPr>
              <w:t>שניתנו</w:t>
            </w:r>
            <w:r w:rsidRPr="00CF2A74">
              <w:rPr>
                <w:sz w:val="16"/>
                <w:szCs w:val="16"/>
                <w:rtl/>
              </w:rPr>
              <w:t xml:space="preserve"> </w:t>
            </w:r>
            <w:r w:rsidRPr="00CF2A74">
              <w:rPr>
                <w:rFonts w:hint="eastAsia"/>
                <w:sz w:val="16"/>
                <w:szCs w:val="16"/>
                <w:rtl/>
              </w:rPr>
              <w:t>לבעל</w:t>
            </w:r>
            <w:r w:rsidRPr="00CF2A74">
              <w:rPr>
                <w:sz w:val="16"/>
                <w:szCs w:val="16"/>
                <w:rtl/>
              </w:rPr>
              <w:t xml:space="preserve"> </w:t>
            </w:r>
            <w:r w:rsidRPr="00CF2A74">
              <w:rPr>
                <w:rFonts w:hint="eastAsia"/>
                <w:sz w:val="16"/>
                <w:szCs w:val="16"/>
                <w:rtl/>
              </w:rPr>
              <w:t>שליטה</w:t>
            </w:r>
          </w:p>
        </w:tc>
        <w:tc>
          <w:tcPr>
            <w:tcW w:w="780" w:type="dxa"/>
            <w:vAlign w:val="bottom"/>
          </w:tcPr>
          <w:p w14:paraId="4B23556E" w14:textId="77777777" w:rsidR="005976FF" w:rsidRPr="00513F0D" w:rsidRDefault="005976FF" w:rsidP="00B55E95">
            <w:pPr>
              <w:pStyle w:val="-3"/>
              <w:rPr>
                <w:sz w:val="16"/>
                <w:szCs w:val="16"/>
                <w:rtl/>
              </w:rPr>
            </w:pPr>
            <w:r w:rsidRPr="00CF2A74">
              <w:rPr>
                <w:sz w:val="16"/>
                <w:szCs w:val="16"/>
                <w:rtl/>
              </w:rPr>
              <w:t>-</w:t>
            </w:r>
          </w:p>
        </w:tc>
        <w:tc>
          <w:tcPr>
            <w:tcW w:w="865" w:type="dxa"/>
            <w:vAlign w:val="bottom"/>
          </w:tcPr>
          <w:p w14:paraId="25912BCA" w14:textId="77777777" w:rsidR="005976FF" w:rsidRPr="00513F0D" w:rsidRDefault="005976FF" w:rsidP="00B55E95">
            <w:pPr>
              <w:pStyle w:val="-3"/>
              <w:rPr>
                <w:sz w:val="16"/>
                <w:szCs w:val="16"/>
                <w:rtl/>
              </w:rPr>
            </w:pPr>
            <w:r w:rsidRPr="00CF2A74">
              <w:rPr>
                <w:sz w:val="16"/>
                <w:szCs w:val="16"/>
                <w:rtl/>
              </w:rPr>
              <w:t>-</w:t>
            </w:r>
          </w:p>
        </w:tc>
        <w:tc>
          <w:tcPr>
            <w:tcW w:w="939" w:type="dxa"/>
            <w:vAlign w:val="bottom"/>
          </w:tcPr>
          <w:p w14:paraId="4D499B28" w14:textId="77777777" w:rsidR="005976FF" w:rsidRPr="00513F0D" w:rsidRDefault="005976FF" w:rsidP="00B55E95">
            <w:pPr>
              <w:pStyle w:val="-3"/>
              <w:rPr>
                <w:sz w:val="16"/>
                <w:szCs w:val="16"/>
                <w:rtl/>
              </w:rPr>
            </w:pPr>
            <w:r w:rsidRPr="00CF2A74">
              <w:rPr>
                <w:sz w:val="16"/>
                <w:szCs w:val="16"/>
                <w:rtl/>
              </w:rPr>
              <w:t>-</w:t>
            </w:r>
          </w:p>
        </w:tc>
        <w:tc>
          <w:tcPr>
            <w:tcW w:w="737" w:type="dxa"/>
            <w:vAlign w:val="bottom"/>
          </w:tcPr>
          <w:p w14:paraId="1BD21EE8" w14:textId="77777777" w:rsidR="005976FF" w:rsidRPr="00513F0D" w:rsidRDefault="005976FF" w:rsidP="00B55E95">
            <w:pPr>
              <w:pStyle w:val="-3"/>
              <w:rPr>
                <w:sz w:val="16"/>
                <w:szCs w:val="16"/>
                <w:rtl/>
              </w:rPr>
            </w:pPr>
            <w:r w:rsidRPr="00CF2A74">
              <w:rPr>
                <w:sz w:val="16"/>
                <w:szCs w:val="16"/>
                <w:rtl/>
              </w:rPr>
              <w:t>-</w:t>
            </w:r>
          </w:p>
        </w:tc>
        <w:tc>
          <w:tcPr>
            <w:tcW w:w="1374" w:type="dxa"/>
            <w:vAlign w:val="bottom"/>
          </w:tcPr>
          <w:p w14:paraId="66F867CC" w14:textId="77777777" w:rsidR="005976FF" w:rsidRPr="009A7E4A" w:rsidRDefault="005976FF" w:rsidP="00B55E95">
            <w:pPr>
              <w:pStyle w:val="-3"/>
              <w:rPr>
                <w:sz w:val="16"/>
                <w:szCs w:val="16"/>
                <w:rtl/>
              </w:rPr>
            </w:pPr>
            <w:r w:rsidRPr="009A7E4A">
              <w:rPr>
                <w:sz w:val="16"/>
                <w:szCs w:val="16"/>
                <w:rtl/>
              </w:rPr>
              <w:t>-</w:t>
            </w:r>
          </w:p>
        </w:tc>
        <w:tc>
          <w:tcPr>
            <w:tcW w:w="743" w:type="dxa"/>
            <w:vAlign w:val="bottom"/>
          </w:tcPr>
          <w:p w14:paraId="62B2DBD1" w14:textId="77777777" w:rsidR="005976FF" w:rsidRPr="00513F0D" w:rsidRDefault="005976FF" w:rsidP="00B55E95">
            <w:pPr>
              <w:pStyle w:val="-3"/>
              <w:jc w:val="left"/>
              <w:rPr>
                <w:sz w:val="16"/>
                <w:szCs w:val="16"/>
                <w:rtl/>
              </w:rPr>
            </w:pPr>
            <w:r w:rsidRPr="00CF2A74">
              <w:rPr>
                <w:sz w:val="16"/>
                <w:szCs w:val="16"/>
                <w:rtl/>
              </w:rPr>
              <w:t xml:space="preserve"> 0</w:t>
            </w:r>
          </w:p>
        </w:tc>
        <w:tc>
          <w:tcPr>
            <w:tcW w:w="746" w:type="dxa"/>
            <w:vAlign w:val="bottom"/>
          </w:tcPr>
          <w:p w14:paraId="02A7D18C" w14:textId="77777777" w:rsidR="005976FF" w:rsidRPr="00CF2A74" w:rsidRDefault="005976FF" w:rsidP="00B55E95">
            <w:pPr>
              <w:pStyle w:val="-3"/>
              <w:jc w:val="left"/>
              <w:rPr>
                <w:sz w:val="16"/>
                <w:szCs w:val="16"/>
                <w:rtl/>
              </w:rPr>
            </w:pPr>
            <w:r w:rsidRPr="00CF2A74">
              <w:rPr>
                <w:sz w:val="16"/>
                <w:szCs w:val="16"/>
                <w:rtl/>
              </w:rPr>
              <w:t>-</w:t>
            </w:r>
          </w:p>
        </w:tc>
        <w:tc>
          <w:tcPr>
            <w:tcW w:w="982" w:type="dxa"/>
            <w:vAlign w:val="bottom"/>
          </w:tcPr>
          <w:p w14:paraId="7B1E9B8E" w14:textId="77777777" w:rsidR="005976FF" w:rsidRPr="00513F0D" w:rsidRDefault="005976FF" w:rsidP="00B55E95">
            <w:pPr>
              <w:pStyle w:val="-3"/>
              <w:jc w:val="left"/>
              <w:rPr>
                <w:sz w:val="16"/>
                <w:szCs w:val="16"/>
                <w:rtl/>
              </w:rPr>
            </w:pPr>
            <w:r w:rsidRPr="00CF2A74">
              <w:rPr>
                <w:sz w:val="16"/>
                <w:szCs w:val="16"/>
                <w:rtl/>
              </w:rPr>
              <w:t xml:space="preserve"> 0</w:t>
            </w:r>
          </w:p>
        </w:tc>
        <w:tc>
          <w:tcPr>
            <w:tcW w:w="708" w:type="dxa"/>
            <w:vAlign w:val="bottom"/>
          </w:tcPr>
          <w:p w14:paraId="6042A387" w14:textId="77777777" w:rsidR="005976FF" w:rsidRPr="00513F0D" w:rsidRDefault="005976FF" w:rsidP="00B55E95">
            <w:pPr>
              <w:pStyle w:val="-3"/>
              <w:jc w:val="left"/>
              <w:rPr>
                <w:sz w:val="16"/>
                <w:szCs w:val="16"/>
                <w:rtl/>
              </w:rPr>
            </w:pPr>
            <w:r w:rsidRPr="00CF2A74">
              <w:rPr>
                <w:sz w:val="16"/>
                <w:szCs w:val="16"/>
                <w:rtl/>
              </w:rPr>
              <w:t xml:space="preserve"> -</w:t>
            </w:r>
          </w:p>
        </w:tc>
        <w:tc>
          <w:tcPr>
            <w:tcW w:w="930" w:type="dxa"/>
            <w:vAlign w:val="bottom"/>
          </w:tcPr>
          <w:p w14:paraId="77885612" w14:textId="77777777" w:rsidR="005976FF" w:rsidRPr="00513F0D" w:rsidRDefault="005976FF" w:rsidP="00B55E95">
            <w:pPr>
              <w:pStyle w:val="-3"/>
              <w:jc w:val="left"/>
              <w:rPr>
                <w:sz w:val="16"/>
                <w:szCs w:val="16"/>
                <w:rtl/>
              </w:rPr>
            </w:pPr>
            <w:r w:rsidRPr="00CF2A74">
              <w:rPr>
                <w:sz w:val="16"/>
                <w:szCs w:val="16"/>
                <w:rtl/>
              </w:rPr>
              <w:t xml:space="preserve"> 0</w:t>
            </w:r>
          </w:p>
        </w:tc>
        <w:tc>
          <w:tcPr>
            <w:tcW w:w="792" w:type="dxa"/>
            <w:vAlign w:val="bottom"/>
          </w:tcPr>
          <w:p w14:paraId="445ADD2F" w14:textId="77777777" w:rsidR="005976FF" w:rsidRPr="00513F0D" w:rsidRDefault="005976FF" w:rsidP="00B55E95">
            <w:pPr>
              <w:pStyle w:val="-3"/>
              <w:jc w:val="left"/>
              <w:rPr>
                <w:sz w:val="16"/>
                <w:szCs w:val="16"/>
                <w:rtl/>
              </w:rPr>
            </w:pPr>
            <w:r w:rsidRPr="00CF2A74">
              <w:rPr>
                <w:sz w:val="16"/>
                <w:szCs w:val="16"/>
                <w:rtl/>
              </w:rPr>
              <w:t xml:space="preserve"> -</w:t>
            </w:r>
          </w:p>
        </w:tc>
        <w:tc>
          <w:tcPr>
            <w:tcW w:w="1126" w:type="dxa"/>
            <w:vAlign w:val="bottom"/>
          </w:tcPr>
          <w:p w14:paraId="6CE43C99" w14:textId="77777777" w:rsidR="005976FF" w:rsidRPr="00513F0D" w:rsidRDefault="005976FF" w:rsidP="00B55E95">
            <w:pPr>
              <w:pStyle w:val="-3"/>
              <w:jc w:val="left"/>
              <w:rPr>
                <w:sz w:val="16"/>
                <w:szCs w:val="16"/>
                <w:rtl/>
              </w:rPr>
            </w:pPr>
            <w:r w:rsidRPr="00CF2A74">
              <w:rPr>
                <w:sz w:val="16"/>
                <w:szCs w:val="16"/>
                <w:rtl/>
              </w:rPr>
              <w:t xml:space="preserve"> 0</w:t>
            </w:r>
          </w:p>
        </w:tc>
        <w:tc>
          <w:tcPr>
            <w:tcW w:w="726" w:type="dxa"/>
            <w:vAlign w:val="bottom"/>
          </w:tcPr>
          <w:p w14:paraId="0AF5A256" w14:textId="77777777" w:rsidR="005976FF" w:rsidRPr="00513F0D" w:rsidRDefault="005976FF" w:rsidP="00B55E95">
            <w:pPr>
              <w:pStyle w:val="-3"/>
              <w:jc w:val="left"/>
              <w:rPr>
                <w:sz w:val="16"/>
                <w:szCs w:val="16"/>
                <w:rtl/>
              </w:rPr>
            </w:pPr>
            <w:r w:rsidRPr="00CF2A74">
              <w:rPr>
                <w:sz w:val="16"/>
                <w:szCs w:val="16"/>
                <w:rtl/>
              </w:rPr>
              <w:t xml:space="preserve"> 0</w:t>
            </w:r>
          </w:p>
        </w:tc>
        <w:tc>
          <w:tcPr>
            <w:tcW w:w="676" w:type="dxa"/>
            <w:vAlign w:val="bottom"/>
          </w:tcPr>
          <w:p w14:paraId="0C616E53" w14:textId="77777777" w:rsidR="005976FF" w:rsidRPr="00513F0D" w:rsidRDefault="005976FF" w:rsidP="00B55E95">
            <w:pPr>
              <w:pStyle w:val="-3"/>
              <w:jc w:val="left"/>
              <w:rPr>
                <w:sz w:val="16"/>
                <w:szCs w:val="16"/>
                <w:rtl/>
              </w:rPr>
            </w:pPr>
            <w:r w:rsidRPr="00CF2A74">
              <w:rPr>
                <w:sz w:val="16"/>
                <w:szCs w:val="16"/>
                <w:rtl/>
              </w:rPr>
              <w:t xml:space="preserve"> 0</w:t>
            </w:r>
          </w:p>
        </w:tc>
      </w:tr>
      <w:tr w:rsidR="0030599F" w:rsidRPr="00513F0D" w14:paraId="50838765" w14:textId="77777777" w:rsidTr="004A1ADA">
        <w:tc>
          <w:tcPr>
            <w:tcW w:w="850" w:type="dxa"/>
          </w:tcPr>
          <w:p w14:paraId="6708A8D7" w14:textId="77777777" w:rsidR="005976FF" w:rsidRPr="00513F0D" w:rsidRDefault="005976FF" w:rsidP="00B55E95">
            <w:pPr>
              <w:pStyle w:val="-7"/>
              <w:bidi w:val="0"/>
              <w:ind w:right="-231"/>
              <w:jc w:val="left"/>
              <w:rPr>
                <w:spacing w:val="-6"/>
                <w:sz w:val="16"/>
                <w:szCs w:val="16"/>
                <w:rtl/>
              </w:rPr>
            </w:pPr>
          </w:p>
        </w:tc>
        <w:tc>
          <w:tcPr>
            <w:tcW w:w="2097" w:type="dxa"/>
            <w:vAlign w:val="bottom"/>
          </w:tcPr>
          <w:p w14:paraId="524228B4" w14:textId="77777777" w:rsidR="005976FF" w:rsidRPr="004E1653" w:rsidRDefault="005976FF" w:rsidP="00B55E95">
            <w:pPr>
              <w:pStyle w:val="-b"/>
              <w:rPr>
                <w:b w:val="0"/>
                <w:bCs w:val="0"/>
                <w:sz w:val="16"/>
                <w:szCs w:val="16"/>
                <w:rtl/>
              </w:rPr>
            </w:pPr>
            <w:r w:rsidRPr="004E1653">
              <w:rPr>
                <w:rFonts w:hint="eastAsia"/>
                <w:b w:val="0"/>
                <w:bCs w:val="0"/>
                <w:sz w:val="16"/>
                <w:szCs w:val="16"/>
                <w:u w:val="single"/>
                <w:rtl/>
              </w:rPr>
              <w:t>התאמות</w:t>
            </w:r>
            <w:r w:rsidRPr="004E1653">
              <w:rPr>
                <w:b w:val="0"/>
                <w:bCs w:val="0"/>
                <w:sz w:val="16"/>
                <w:szCs w:val="16"/>
                <w:u w:val="single"/>
                <w:rtl/>
              </w:rPr>
              <w:t xml:space="preserve"> </w:t>
            </w:r>
            <w:r w:rsidRPr="004E1653">
              <w:rPr>
                <w:rFonts w:hint="eastAsia"/>
                <w:b w:val="0"/>
                <w:bCs w:val="0"/>
                <w:sz w:val="16"/>
                <w:szCs w:val="16"/>
                <w:u w:val="single"/>
                <w:rtl/>
              </w:rPr>
              <w:t>ושינויים</w:t>
            </w:r>
            <w:r w:rsidRPr="004E1653">
              <w:rPr>
                <w:b w:val="0"/>
                <w:bCs w:val="0"/>
                <w:sz w:val="16"/>
                <w:szCs w:val="16"/>
                <w:u w:val="single"/>
                <w:rtl/>
              </w:rPr>
              <w:t xml:space="preserve"> </w:t>
            </w:r>
            <w:r w:rsidRPr="004E1653">
              <w:rPr>
                <w:rFonts w:hint="eastAsia"/>
                <w:b w:val="0"/>
                <w:bCs w:val="0"/>
                <w:sz w:val="16"/>
                <w:szCs w:val="16"/>
                <w:u w:val="single"/>
                <w:rtl/>
              </w:rPr>
              <w:t>הנובעים</w:t>
            </w:r>
            <w:r w:rsidRPr="004E1653">
              <w:rPr>
                <w:b w:val="0"/>
                <w:bCs w:val="0"/>
                <w:sz w:val="16"/>
                <w:szCs w:val="16"/>
                <w:u w:val="single"/>
                <w:rtl/>
              </w:rPr>
              <w:t xml:space="preserve"> </w:t>
            </w:r>
            <w:r w:rsidRPr="004E1653">
              <w:rPr>
                <w:rFonts w:hint="eastAsia"/>
                <w:b w:val="0"/>
                <w:bCs w:val="0"/>
                <w:sz w:val="16"/>
                <w:szCs w:val="16"/>
                <w:u w:val="single"/>
                <w:rtl/>
              </w:rPr>
              <w:t>מ</w:t>
            </w:r>
            <w:r w:rsidRPr="004E1653">
              <w:rPr>
                <w:b w:val="0"/>
                <w:bCs w:val="0"/>
                <w:sz w:val="16"/>
                <w:szCs w:val="16"/>
                <w:rtl/>
              </w:rPr>
              <w:t>:</w:t>
            </w:r>
          </w:p>
        </w:tc>
        <w:tc>
          <w:tcPr>
            <w:tcW w:w="780" w:type="dxa"/>
            <w:vAlign w:val="bottom"/>
          </w:tcPr>
          <w:p w14:paraId="4F20711C" w14:textId="77777777" w:rsidR="005976FF" w:rsidRPr="00513F0D" w:rsidRDefault="005976FF" w:rsidP="00B55E95">
            <w:pPr>
              <w:pStyle w:val="-3"/>
              <w:rPr>
                <w:sz w:val="16"/>
                <w:szCs w:val="16"/>
                <w:rtl/>
              </w:rPr>
            </w:pPr>
          </w:p>
        </w:tc>
        <w:tc>
          <w:tcPr>
            <w:tcW w:w="865" w:type="dxa"/>
            <w:vAlign w:val="bottom"/>
          </w:tcPr>
          <w:p w14:paraId="2AA01258" w14:textId="77777777" w:rsidR="005976FF" w:rsidRPr="00513F0D" w:rsidRDefault="005976FF" w:rsidP="00B55E95">
            <w:pPr>
              <w:pStyle w:val="-3"/>
              <w:rPr>
                <w:sz w:val="16"/>
                <w:szCs w:val="16"/>
                <w:rtl/>
              </w:rPr>
            </w:pPr>
          </w:p>
        </w:tc>
        <w:tc>
          <w:tcPr>
            <w:tcW w:w="939" w:type="dxa"/>
            <w:vAlign w:val="bottom"/>
          </w:tcPr>
          <w:p w14:paraId="59EC8545" w14:textId="77777777" w:rsidR="005976FF" w:rsidRPr="00513F0D" w:rsidRDefault="005976FF" w:rsidP="00B55E95">
            <w:pPr>
              <w:pStyle w:val="-3"/>
              <w:rPr>
                <w:sz w:val="16"/>
                <w:szCs w:val="16"/>
                <w:rtl/>
              </w:rPr>
            </w:pPr>
          </w:p>
        </w:tc>
        <w:tc>
          <w:tcPr>
            <w:tcW w:w="737" w:type="dxa"/>
            <w:vAlign w:val="bottom"/>
          </w:tcPr>
          <w:p w14:paraId="61C196F5" w14:textId="77777777" w:rsidR="005976FF" w:rsidRPr="00513F0D" w:rsidRDefault="005976FF" w:rsidP="00B55E95">
            <w:pPr>
              <w:pStyle w:val="-3"/>
              <w:rPr>
                <w:sz w:val="16"/>
                <w:szCs w:val="16"/>
                <w:rtl/>
              </w:rPr>
            </w:pPr>
          </w:p>
        </w:tc>
        <w:tc>
          <w:tcPr>
            <w:tcW w:w="1374" w:type="dxa"/>
            <w:vAlign w:val="bottom"/>
          </w:tcPr>
          <w:p w14:paraId="5AC92E9C" w14:textId="77777777" w:rsidR="005976FF" w:rsidRPr="009A7E4A" w:rsidRDefault="005976FF" w:rsidP="00B55E95">
            <w:pPr>
              <w:pStyle w:val="-3"/>
              <w:rPr>
                <w:sz w:val="16"/>
                <w:szCs w:val="16"/>
                <w:rtl/>
              </w:rPr>
            </w:pPr>
          </w:p>
        </w:tc>
        <w:tc>
          <w:tcPr>
            <w:tcW w:w="743" w:type="dxa"/>
            <w:vAlign w:val="bottom"/>
          </w:tcPr>
          <w:p w14:paraId="730E0F4E" w14:textId="77777777" w:rsidR="005976FF" w:rsidRPr="00513F0D" w:rsidRDefault="005976FF" w:rsidP="00B55E95">
            <w:pPr>
              <w:pStyle w:val="-3"/>
              <w:jc w:val="left"/>
              <w:rPr>
                <w:sz w:val="16"/>
                <w:szCs w:val="16"/>
                <w:rtl/>
              </w:rPr>
            </w:pPr>
          </w:p>
        </w:tc>
        <w:tc>
          <w:tcPr>
            <w:tcW w:w="746" w:type="dxa"/>
            <w:vAlign w:val="bottom"/>
          </w:tcPr>
          <w:p w14:paraId="7D6E0E1B" w14:textId="77777777" w:rsidR="005976FF" w:rsidRPr="00513F0D" w:rsidRDefault="005976FF" w:rsidP="00B55E95">
            <w:pPr>
              <w:pStyle w:val="-3"/>
              <w:jc w:val="left"/>
              <w:rPr>
                <w:sz w:val="16"/>
                <w:szCs w:val="16"/>
                <w:rtl/>
              </w:rPr>
            </w:pPr>
          </w:p>
        </w:tc>
        <w:tc>
          <w:tcPr>
            <w:tcW w:w="982" w:type="dxa"/>
            <w:vAlign w:val="bottom"/>
          </w:tcPr>
          <w:p w14:paraId="02201BDF" w14:textId="77777777" w:rsidR="005976FF" w:rsidRPr="00513F0D" w:rsidRDefault="005976FF" w:rsidP="00B55E95">
            <w:pPr>
              <w:pStyle w:val="-3"/>
              <w:jc w:val="left"/>
              <w:rPr>
                <w:sz w:val="16"/>
                <w:szCs w:val="16"/>
                <w:rtl/>
              </w:rPr>
            </w:pPr>
          </w:p>
        </w:tc>
        <w:tc>
          <w:tcPr>
            <w:tcW w:w="708" w:type="dxa"/>
            <w:vAlign w:val="bottom"/>
          </w:tcPr>
          <w:p w14:paraId="24D9E971" w14:textId="77777777" w:rsidR="005976FF" w:rsidRPr="00513F0D" w:rsidRDefault="005976FF" w:rsidP="00B55E95">
            <w:pPr>
              <w:pStyle w:val="-3"/>
              <w:jc w:val="left"/>
              <w:rPr>
                <w:sz w:val="16"/>
                <w:szCs w:val="16"/>
                <w:rtl/>
              </w:rPr>
            </w:pPr>
          </w:p>
        </w:tc>
        <w:tc>
          <w:tcPr>
            <w:tcW w:w="930" w:type="dxa"/>
            <w:vAlign w:val="bottom"/>
          </w:tcPr>
          <w:p w14:paraId="56DD6D11" w14:textId="77777777" w:rsidR="005976FF" w:rsidRPr="00513F0D" w:rsidRDefault="005976FF" w:rsidP="00B55E95">
            <w:pPr>
              <w:pStyle w:val="-3"/>
              <w:jc w:val="left"/>
              <w:rPr>
                <w:sz w:val="16"/>
                <w:szCs w:val="16"/>
                <w:rtl/>
              </w:rPr>
            </w:pPr>
          </w:p>
        </w:tc>
        <w:tc>
          <w:tcPr>
            <w:tcW w:w="792" w:type="dxa"/>
            <w:vAlign w:val="bottom"/>
          </w:tcPr>
          <w:p w14:paraId="07AE0DEE" w14:textId="77777777" w:rsidR="005976FF" w:rsidRPr="00513F0D" w:rsidRDefault="005976FF" w:rsidP="00B55E95">
            <w:pPr>
              <w:pStyle w:val="-3"/>
              <w:jc w:val="left"/>
              <w:rPr>
                <w:sz w:val="16"/>
                <w:szCs w:val="16"/>
                <w:rtl/>
              </w:rPr>
            </w:pPr>
          </w:p>
        </w:tc>
        <w:tc>
          <w:tcPr>
            <w:tcW w:w="1126" w:type="dxa"/>
            <w:vAlign w:val="bottom"/>
          </w:tcPr>
          <w:p w14:paraId="3B591464" w14:textId="77777777" w:rsidR="005976FF" w:rsidRPr="00513F0D" w:rsidRDefault="005976FF" w:rsidP="00B55E95">
            <w:pPr>
              <w:pStyle w:val="-3"/>
              <w:jc w:val="left"/>
              <w:rPr>
                <w:sz w:val="16"/>
                <w:szCs w:val="16"/>
                <w:rtl/>
              </w:rPr>
            </w:pPr>
          </w:p>
        </w:tc>
        <w:tc>
          <w:tcPr>
            <w:tcW w:w="726" w:type="dxa"/>
            <w:vAlign w:val="bottom"/>
          </w:tcPr>
          <w:p w14:paraId="63700B41" w14:textId="77777777" w:rsidR="005976FF" w:rsidRPr="00513F0D" w:rsidRDefault="005976FF" w:rsidP="00B55E95">
            <w:pPr>
              <w:pStyle w:val="-3"/>
              <w:jc w:val="left"/>
              <w:rPr>
                <w:sz w:val="16"/>
                <w:szCs w:val="16"/>
                <w:rtl/>
              </w:rPr>
            </w:pPr>
          </w:p>
        </w:tc>
        <w:tc>
          <w:tcPr>
            <w:tcW w:w="676" w:type="dxa"/>
            <w:vAlign w:val="bottom"/>
          </w:tcPr>
          <w:p w14:paraId="5C6CAF07" w14:textId="77777777" w:rsidR="005976FF" w:rsidRPr="00513F0D" w:rsidRDefault="005976FF" w:rsidP="00B55E95">
            <w:pPr>
              <w:pStyle w:val="-3"/>
              <w:jc w:val="left"/>
              <w:rPr>
                <w:sz w:val="16"/>
                <w:szCs w:val="16"/>
                <w:rtl/>
              </w:rPr>
            </w:pPr>
          </w:p>
        </w:tc>
      </w:tr>
      <w:tr w:rsidR="0030599F" w:rsidRPr="00513F0D" w14:paraId="42665AD6" w14:textId="77777777" w:rsidTr="004A1ADA">
        <w:tc>
          <w:tcPr>
            <w:tcW w:w="850" w:type="dxa"/>
          </w:tcPr>
          <w:p w14:paraId="60EDFE16" w14:textId="77777777" w:rsidR="005976FF" w:rsidRPr="00513F0D" w:rsidRDefault="005976FF" w:rsidP="00B55E95">
            <w:pPr>
              <w:pStyle w:val="-7"/>
              <w:bidi w:val="0"/>
              <w:ind w:right="-231"/>
              <w:jc w:val="left"/>
              <w:rPr>
                <w:spacing w:val="-6"/>
                <w:sz w:val="16"/>
                <w:szCs w:val="16"/>
                <w:rtl/>
              </w:rPr>
            </w:pPr>
          </w:p>
        </w:tc>
        <w:tc>
          <w:tcPr>
            <w:tcW w:w="2097" w:type="dxa"/>
            <w:vAlign w:val="bottom"/>
          </w:tcPr>
          <w:p w14:paraId="25398E60" w14:textId="77777777" w:rsidR="005976FF" w:rsidRPr="00513F0D" w:rsidRDefault="005976FF" w:rsidP="00B55E95">
            <w:pPr>
              <w:pStyle w:val="-0"/>
              <w:rPr>
                <w:sz w:val="16"/>
                <w:szCs w:val="16"/>
                <w:rtl/>
              </w:rPr>
            </w:pPr>
            <w:r w:rsidRPr="00CF2A74">
              <w:rPr>
                <w:rFonts w:hint="eastAsia"/>
                <w:sz w:val="16"/>
                <w:szCs w:val="16"/>
                <w:rtl/>
              </w:rPr>
              <w:t>הנפקת</w:t>
            </w:r>
            <w:r w:rsidRPr="00CF2A74">
              <w:rPr>
                <w:sz w:val="16"/>
                <w:szCs w:val="16"/>
                <w:rtl/>
              </w:rPr>
              <w:t xml:space="preserve"> </w:t>
            </w:r>
            <w:r w:rsidRPr="00CF2A74">
              <w:rPr>
                <w:rFonts w:hint="eastAsia"/>
                <w:sz w:val="16"/>
                <w:szCs w:val="16"/>
                <w:rtl/>
              </w:rPr>
              <w:t>מניות</w:t>
            </w:r>
          </w:p>
        </w:tc>
        <w:tc>
          <w:tcPr>
            <w:tcW w:w="780" w:type="dxa"/>
            <w:vAlign w:val="bottom"/>
          </w:tcPr>
          <w:p w14:paraId="2C17C06F" w14:textId="77777777" w:rsidR="005976FF" w:rsidRPr="00513F0D" w:rsidRDefault="005976FF" w:rsidP="00B55E95">
            <w:pPr>
              <w:pStyle w:val="-3"/>
              <w:rPr>
                <w:sz w:val="16"/>
                <w:szCs w:val="16"/>
                <w:rtl/>
              </w:rPr>
            </w:pPr>
            <w:r w:rsidRPr="00CF2A74">
              <w:rPr>
                <w:sz w:val="16"/>
                <w:szCs w:val="16"/>
                <w:rtl/>
              </w:rPr>
              <w:t>0</w:t>
            </w:r>
          </w:p>
        </w:tc>
        <w:tc>
          <w:tcPr>
            <w:tcW w:w="865" w:type="dxa"/>
            <w:vAlign w:val="bottom"/>
          </w:tcPr>
          <w:p w14:paraId="263E27B6" w14:textId="77777777" w:rsidR="005976FF" w:rsidRPr="00513F0D" w:rsidRDefault="005976FF" w:rsidP="00B55E95">
            <w:pPr>
              <w:pStyle w:val="-3"/>
              <w:rPr>
                <w:sz w:val="16"/>
                <w:szCs w:val="16"/>
                <w:rtl/>
              </w:rPr>
            </w:pPr>
            <w:r w:rsidRPr="00CF2A74">
              <w:rPr>
                <w:sz w:val="16"/>
                <w:szCs w:val="16"/>
                <w:rtl/>
              </w:rPr>
              <w:t>-</w:t>
            </w:r>
          </w:p>
        </w:tc>
        <w:tc>
          <w:tcPr>
            <w:tcW w:w="939" w:type="dxa"/>
            <w:vAlign w:val="bottom"/>
          </w:tcPr>
          <w:p w14:paraId="39862C3D" w14:textId="77777777" w:rsidR="005976FF" w:rsidRPr="00513F0D" w:rsidRDefault="005976FF" w:rsidP="00B55E95">
            <w:pPr>
              <w:pStyle w:val="-3"/>
              <w:rPr>
                <w:sz w:val="16"/>
                <w:szCs w:val="16"/>
                <w:rtl/>
              </w:rPr>
            </w:pPr>
            <w:r>
              <w:rPr>
                <w:rFonts w:hint="cs"/>
                <w:sz w:val="16"/>
                <w:szCs w:val="16"/>
                <w:rtl/>
              </w:rPr>
              <w:t>-</w:t>
            </w:r>
          </w:p>
        </w:tc>
        <w:tc>
          <w:tcPr>
            <w:tcW w:w="737" w:type="dxa"/>
            <w:vAlign w:val="bottom"/>
          </w:tcPr>
          <w:p w14:paraId="6B5BDFB2" w14:textId="77777777" w:rsidR="005976FF" w:rsidRPr="00513F0D" w:rsidRDefault="005976FF" w:rsidP="00B55E95">
            <w:pPr>
              <w:pStyle w:val="-3"/>
              <w:rPr>
                <w:sz w:val="16"/>
                <w:szCs w:val="16"/>
                <w:rtl/>
              </w:rPr>
            </w:pPr>
            <w:r w:rsidRPr="00CF2A74">
              <w:rPr>
                <w:sz w:val="16"/>
                <w:szCs w:val="16"/>
                <w:rtl/>
              </w:rPr>
              <w:t>0</w:t>
            </w:r>
          </w:p>
        </w:tc>
        <w:tc>
          <w:tcPr>
            <w:tcW w:w="1374" w:type="dxa"/>
            <w:vAlign w:val="bottom"/>
          </w:tcPr>
          <w:p w14:paraId="3EA1B111" w14:textId="77777777" w:rsidR="005976FF" w:rsidRPr="009A7E4A" w:rsidRDefault="005976FF" w:rsidP="00B55E95">
            <w:pPr>
              <w:pStyle w:val="-3"/>
              <w:rPr>
                <w:sz w:val="16"/>
                <w:szCs w:val="16"/>
                <w:rtl/>
              </w:rPr>
            </w:pPr>
            <w:r w:rsidRPr="009A7E4A">
              <w:rPr>
                <w:sz w:val="16"/>
                <w:szCs w:val="16"/>
                <w:rtl/>
              </w:rPr>
              <w:t>-</w:t>
            </w:r>
          </w:p>
        </w:tc>
        <w:tc>
          <w:tcPr>
            <w:tcW w:w="743" w:type="dxa"/>
            <w:vAlign w:val="bottom"/>
          </w:tcPr>
          <w:p w14:paraId="5C12A753" w14:textId="77777777" w:rsidR="005976FF" w:rsidRPr="00513F0D" w:rsidRDefault="005976FF" w:rsidP="00B55E95">
            <w:pPr>
              <w:pStyle w:val="-3"/>
              <w:jc w:val="left"/>
              <w:rPr>
                <w:sz w:val="16"/>
                <w:szCs w:val="16"/>
                <w:rtl/>
              </w:rPr>
            </w:pPr>
            <w:r w:rsidRPr="00CF2A74">
              <w:rPr>
                <w:sz w:val="16"/>
                <w:szCs w:val="16"/>
                <w:rtl/>
              </w:rPr>
              <w:t xml:space="preserve"> -</w:t>
            </w:r>
          </w:p>
        </w:tc>
        <w:tc>
          <w:tcPr>
            <w:tcW w:w="746" w:type="dxa"/>
            <w:vAlign w:val="bottom"/>
          </w:tcPr>
          <w:p w14:paraId="52AA064D" w14:textId="77777777" w:rsidR="005976FF" w:rsidRPr="00CF2A74" w:rsidRDefault="005976FF" w:rsidP="00B55E95">
            <w:pPr>
              <w:pStyle w:val="-3"/>
              <w:jc w:val="left"/>
              <w:rPr>
                <w:sz w:val="16"/>
                <w:szCs w:val="16"/>
                <w:rtl/>
              </w:rPr>
            </w:pPr>
            <w:r w:rsidRPr="00CF2A74">
              <w:rPr>
                <w:sz w:val="16"/>
                <w:szCs w:val="16"/>
                <w:rtl/>
              </w:rPr>
              <w:t>-</w:t>
            </w:r>
          </w:p>
        </w:tc>
        <w:tc>
          <w:tcPr>
            <w:tcW w:w="982" w:type="dxa"/>
            <w:vAlign w:val="bottom"/>
          </w:tcPr>
          <w:p w14:paraId="5FC08812" w14:textId="77777777" w:rsidR="005976FF" w:rsidRPr="00513F0D" w:rsidRDefault="005976FF" w:rsidP="00B55E95">
            <w:pPr>
              <w:pStyle w:val="-3"/>
              <w:jc w:val="left"/>
              <w:rPr>
                <w:sz w:val="16"/>
                <w:szCs w:val="16"/>
                <w:rtl/>
              </w:rPr>
            </w:pPr>
            <w:r w:rsidRPr="00CF2A74">
              <w:rPr>
                <w:sz w:val="16"/>
                <w:szCs w:val="16"/>
                <w:rtl/>
              </w:rPr>
              <w:t xml:space="preserve"> 0</w:t>
            </w:r>
          </w:p>
        </w:tc>
        <w:tc>
          <w:tcPr>
            <w:tcW w:w="708" w:type="dxa"/>
            <w:vAlign w:val="bottom"/>
          </w:tcPr>
          <w:p w14:paraId="7830FB0B" w14:textId="77777777" w:rsidR="005976FF" w:rsidRPr="00513F0D" w:rsidRDefault="005976FF" w:rsidP="00B55E95">
            <w:pPr>
              <w:pStyle w:val="-3"/>
              <w:jc w:val="left"/>
              <w:rPr>
                <w:sz w:val="16"/>
                <w:szCs w:val="16"/>
                <w:rtl/>
              </w:rPr>
            </w:pPr>
            <w:r w:rsidRPr="00CF2A74">
              <w:rPr>
                <w:sz w:val="16"/>
                <w:szCs w:val="16"/>
                <w:rtl/>
              </w:rPr>
              <w:t xml:space="preserve"> -</w:t>
            </w:r>
          </w:p>
        </w:tc>
        <w:tc>
          <w:tcPr>
            <w:tcW w:w="930" w:type="dxa"/>
            <w:vAlign w:val="bottom"/>
          </w:tcPr>
          <w:p w14:paraId="0A1BD367" w14:textId="77777777" w:rsidR="005976FF" w:rsidRDefault="005976FF">
            <w:pPr>
              <w:pStyle w:val="-3"/>
              <w:jc w:val="left"/>
              <w:rPr>
                <w:sz w:val="16"/>
                <w:szCs w:val="16"/>
                <w:rtl/>
              </w:rPr>
            </w:pPr>
            <w:r>
              <w:rPr>
                <w:rFonts w:hint="cs"/>
                <w:sz w:val="16"/>
                <w:szCs w:val="16"/>
                <w:rtl/>
              </w:rPr>
              <w:t xml:space="preserve"> -</w:t>
            </w:r>
          </w:p>
        </w:tc>
        <w:tc>
          <w:tcPr>
            <w:tcW w:w="792" w:type="dxa"/>
            <w:vAlign w:val="bottom"/>
          </w:tcPr>
          <w:p w14:paraId="6889DA60" w14:textId="77777777" w:rsidR="00F32A2A" w:rsidRDefault="005976FF">
            <w:pPr>
              <w:pStyle w:val="-3"/>
              <w:jc w:val="left"/>
              <w:rPr>
                <w:sz w:val="16"/>
                <w:szCs w:val="16"/>
                <w:rtl/>
              </w:rPr>
            </w:pPr>
            <w:r>
              <w:rPr>
                <w:rFonts w:hint="cs"/>
                <w:sz w:val="16"/>
                <w:szCs w:val="16"/>
                <w:rtl/>
              </w:rPr>
              <w:t xml:space="preserve"> 0</w:t>
            </w:r>
          </w:p>
        </w:tc>
        <w:tc>
          <w:tcPr>
            <w:tcW w:w="1126" w:type="dxa"/>
            <w:vAlign w:val="bottom"/>
          </w:tcPr>
          <w:p w14:paraId="0B8B8B6A" w14:textId="77777777" w:rsidR="005976FF" w:rsidRPr="00513F0D" w:rsidRDefault="005976FF" w:rsidP="00B55E95">
            <w:pPr>
              <w:pStyle w:val="-3"/>
              <w:jc w:val="left"/>
              <w:rPr>
                <w:sz w:val="16"/>
                <w:szCs w:val="16"/>
                <w:rtl/>
              </w:rPr>
            </w:pPr>
            <w:r w:rsidRPr="00CF2A74">
              <w:rPr>
                <w:sz w:val="16"/>
                <w:szCs w:val="16"/>
                <w:rtl/>
              </w:rPr>
              <w:t xml:space="preserve"> 0</w:t>
            </w:r>
          </w:p>
        </w:tc>
        <w:tc>
          <w:tcPr>
            <w:tcW w:w="726" w:type="dxa"/>
            <w:vAlign w:val="bottom"/>
          </w:tcPr>
          <w:p w14:paraId="037022A0" w14:textId="77777777" w:rsidR="005976FF" w:rsidRPr="00513F0D" w:rsidRDefault="005976FF" w:rsidP="00B55E95">
            <w:pPr>
              <w:pStyle w:val="-3"/>
              <w:jc w:val="left"/>
              <w:rPr>
                <w:sz w:val="16"/>
                <w:szCs w:val="16"/>
                <w:rtl/>
              </w:rPr>
            </w:pPr>
            <w:r w:rsidRPr="00CF2A74">
              <w:rPr>
                <w:sz w:val="16"/>
                <w:szCs w:val="16"/>
                <w:rtl/>
              </w:rPr>
              <w:t xml:space="preserve"> 0</w:t>
            </w:r>
          </w:p>
        </w:tc>
        <w:tc>
          <w:tcPr>
            <w:tcW w:w="676" w:type="dxa"/>
            <w:vAlign w:val="bottom"/>
          </w:tcPr>
          <w:p w14:paraId="7FED01AE" w14:textId="77777777" w:rsidR="005976FF" w:rsidRPr="00513F0D" w:rsidRDefault="005976FF" w:rsidP="00B55E95">
            <w:pPr>
              <w:pStyle w:val="-3"/>
              <w:jc w:val="left"/>
              <w:rPr>
                <w:sz w:val="16"/>
                <w:szCs w:val="16"/>
                <w:rtl/>
              </w:rPr>
            </w:pPr>
            <w:r w:rsidRPr="00CF2A74">
              <w:rPr>
                <w:sz w:val="16"/>
                <w:szCs w:val="16"/>
                <w:rtl/>
              </w:rPr>
              <w:t xml:space="preserve"> 0</w:t>
            </w:r>
          </w:p>
        </w:tc>
      </w:tr>
      <w:tr w:rsidR="0030599F" w:rsidRPr="00513F0D" w14:paraId="534D1BE3" w14:textId="77777777" w:rsidTr="004A1ADA">
        <w:tc>
          <w:tcPr>
            <w:tcW w:w="850" w:type="dxa"/>
          </w:tcPr>
          <w:p w14:paraId="6BB78980" w14:textId="77777777" w:rsidR="005976FF" w:rsidRPr="00513F0D" w:rsidRDefault="005976FF" w:rsidP="00B55E95">
            <w:pPr>
              <w:pStyle w:val="-7"/>
              <w:bidi w:val="0"/>
              <w:ind w:right="-231"/>
              <w:jc w:val="left"/>
              <w:rPr>
                <w:spacing w:val="-6"/>
                <w:sz w:val="16"/>
                <w:szCs w:val="16"/>
                <w:rtl/>
              </w:rPr>
            </w:pPr>
          </w:p>
        </w:tc>
        <w:tc>
          <w:tcPr>
            <w:tcW w:w="2097" w:type="dxa"/>
            <w:vAlign w:val="bottom"/>
          </w:tcPr>
          <w:p w14:paraId="7B22D175" w14:textId="77777777" w:rsidR="005976FF" w:rsidRPr="00513F0D" w:rsidRDefault="005976FF" w:rsidP="00B55E95">
            <w:pPr>
              <w:pStyle w:val="-0"/>
              <w:rPr>
                <w:sz w:val="16"/>
                <w:szCs w:val="16"/>
                <w:rtl/>
              </w:rPr>
            </w:pPr>
            <w:r w:rsidRPr="00CF2A74">
              <w:rPr>
                <w:rFonts w:hint="eastAsia"/>
                <w:sz w:val="16"/>
                <w:szCs w:val="16"/>
                <w:rtl/>
              </w:rPr>
              <w:t>חלוקת</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הטבה</w:t>
            </w:r>
          </w:p>
        </w:tc>
        <w:tc>
          <w:tcPr>
            <w:tcW w:w="780" w:type="dxa"/>
            <w:vAlign w:val="bottom"/>
          </w:tcPr>
          <w:p w14:paraId="01CA6D52" w14:textId="77777777" w:rsidR="005976FF" w:rsidRPr="00513F0D" w:rsidRDefault="005976FF" w:rsidP="00B55E95">
            <w:pPr>
              <w:pStyle w:val="-3"/>
              <w:rPr>
                <w:sz w:val="16"/>
                <w:szCs w:val="16"/>
                <w:rtl/>
              </w:rPr>
            </w:pPr>
            <w:r w:rsidRPr="00CF2A74">
              <w:rPr>
                <w:sz w:val="16"/>
                <w:szCs w:val="16"/>
                <w:rtl/>
              </w:rPr>
              <w:t>0</w:t>
            </w:r>
          </w:p>
        </w:tc>
        <w:tc>
          <w:tcPr>
            <w:tcW w:w="865" w:type="dxa"/>
            <w:vAlign w:val="bottom"/>
          </w:tcPr>
          <w:p w14:paraId="4DD080FC" w14:textId="77777777" w:rsidR="005976FF" w:rsidRPr="00513F0D" w:rsidRDefault="005976FF" w:rsidP="00B55E95">
            <w:pPr>
              <w:pStyle w:val="-3"/>
              <w:rPr>
                <w:sz w:val="16"/>
                <w:szCs w:val="16"/>
                <w:rtl/>
              </w:rPr>
            </w:pPr>
            <w:r w:rsidRPr="00CF2A74">
              <w:rPr>
                <w:sz w:val="16"/>
                <w:szCs w:val="16"/>
                <w:rtl/>
              </w:rPr>
              <w:t>-</w:t>
            </w:r>
          </w:p>
        </w:tc>
        <w:tc>
          <w:tcPr>
            <w:tcW w:w="939" w:type="dxa"/>
            <w:vAlign w:val="bottom"/>
          </w:tcPr>
          <w:p w14:paraId="52F1251B" w14:textId="77777777" w:rsidR="005976FF" w:rsidRPr="00513F0D" w:rsidRDefault="005976FF" w:rsidP="00B55E95">
            <w:pPr>
              <w:pStyle w:val="-3"/>
              <w:rPr>
                <w:sz w:val="16"/>
                <w:szCs w:val="16"/>
                <w:rtl/>
              </w:rPr>
            </w:pPr>
            <w:r>
              <w:rPr>
                <w:rFonts w:hint="cs"/>
                <w:sz w:val="16"/>
                <w:szCs w:val="16"/>
                <w:rtl/>
              </w:rPr>
              <w:t>-</w:t>
            </w:r>
          </w:p>
        </w:tc>
        <w:tc>
          <w:tcPr>
            <w:tcW w:w="737" w:type="dxa"/>
            <w:vAlign w:val="bottom"/>
          </w:tcPr>
          <w:p w14:paraId="08295A53" w14:textId="77777777" w:rsidR="005976FF" w:rsidRPr="00513F0D" w:rsidRDefault="005976FF" w:rsidP="00B55E95">
            <w:pPr>
              <w:pStyle w:val="-3"/>
              <w:rPr>
                <w:sz w:val="16"/>
                <w:szCs w:val="16"/>
                <w:rtl/>
              </w:rPr>
            </w:pPr>
            <w:r w:rsidRPr="00CF2A74">
              <w:rPr>
                <w:sz w:val="16"/>
                <w:szCs w:val="16"/>
                <w:rtl/>
              </w:rPr>
              <w:t>0</w:t>
            </w:r>
          </w:p>
        </w:tc>
        <w:tc>
          <w:tcPr>
            <w:tcW w:w="1374" w:type="dxa"/>
            <w:vAlign w:val="bottom"/>
          </w:tcPr>
          <w:p w14:paraId="357AC9A4" w14:textId="77777777" w:rsidR="005976FF" w:rsidRPr="009A7E4A" w:rsidRDefault="005976FF" w:rsidP="00B55E95">
            <w:pPr>
              <w:pStyle w:val="-3"/>
              <w:rPr>
                <w:sz w:val="16"/>
                <w:szCs w:val="16"/>
                <w:rtl/>
              </w:rPr>
            </w:pPr>
            <w:r w:rsidRPr="009A7E4A">
              <w:rPr>
                <w:sz w:val="16"/>
                <w:szCs w:val="16"/>
                <w:rtl/>
              </w:rPr>
              <w:t>-</w:t>
            </w:r>
          </w:p>
        </w:tc>
        <w:tc>
          <w:tcPr>
            <w:tcW w:w="743" w:type="dxa"/>
            <w:vAlign w:val="bottom"/>
          </w:tcPr>
          <w:p w14:paraId="429667DA" w14:textId="77777777" w:rsidR="005976FF" w:rsidRPr="00513F0D" w:rsidRDefault="005976FF" w:rsidP="00B55E95">
            <w:pPr>
              <w:pStyle w:val="-3"/>
              <w:jc w:val="left"/>
              <w:rPr>
                <w:sz w:val="16"/>
                <w:szCs w:val="16"/>
                <w:rtl/>
              </w:rPr>
            </w:pPr>
            <w:r w:rsidRPr="00CF2A74">
              <w:rPr>
                <w:sz w:val="16"/>
                <w:szCs w:val="16"/>
                <w:rtl/>
              </w:rPr>
              <w:t xml:space="preserve"> -</w:t>
            </w:r>
          </w:p>
        </w:tc>
        <w:tc>
          <w:tcPr>
            <w:tcW w:w="746" w:type="dxa"/>
            <w:vAlign w:val="bottom"/>
          </w:tcPr>
          <w:p w14:paraId="1F1AF6C8" w14:textId="77777777" w:rsidR="005976FF" w:rsidRPr="00CF2A74" w:rsidRDefault="005976FF">
            <w:pPr>
              <w:pStyle w:val="-3"/>
              <w:jc w:val="left"/>
              <w:rPr>
                <w:sz w:val="16"/>
                <w:szCs w:val="16"/>
                <w:rtl/>
              </w:rPr>
            </w:pPr>
            <w:r w:rsidRPr="00CF2A74">
              <w:rPr>
                <w:sz w:val="16"/>
                <w:szCs w:val="16"/>
                <w:rtl/>
              </w:rPr>
              <w:t>-</w:t>
            </w:r>
          </w:p>
        </w:tc>
        <w:tc>
          <w:tcPr>
            <w:tcW w:w="982" w:type="dxa"/>
            <w:vAlign w:val="bottom"/>
          </w:tcPr>
          <w:p w14:paraId="687A0F4D" w14:textId="77777777" w:rsidR="005976FF" w:rsidRDefault="005976FF">
            <w:pPr>
              <w:pStyle w:val="-3"/>
              <w:jc w:val="left"/>
              <w:rPr>
                <w:sz w:val="16"/>
                <w:szCs w:val="16"/>
                <w:rtl/>
              </w:rPr>
            </w:pPr>
            <w:r w:rsidRPr="00CF2A74">
              <w:rPr>
                <w:sz w:val="16"/>
                <w:szCs w:val="16"/>
                <w:rtl/>
              </w:rPr>
              <w:t xml:space="preserve"> </w:t>
            </w:r>
            <w:r>
              <w:rPr>
                <w:rFonts w:hint="cs"/>
                <w:sz w:val="16"/>
                <w:szCs w:val="16"/>
                <w:rtl/>
              </w:rPr>
              <w:t>0</w:t>
            </w:r>
          </w:p>
        </w:tc>
        <w:tc>
          <w:tcPr>
            <w:tcW w:w="708" w:type="dxa"/>
            <w:vAlign w:val="bottom"/>
          </w:tcPr>
          <w:p w14:paraId="2DA9E31A" w14:textId="77777777" w:rsidR="005976FF" w:rsidRPr="00513F0D" w:rsidRDefault="005976FF" w:rsidP="00B55E95">
            <w:pPr>
              <w:pStyle w:val="-3"/>
              <w:jc w:val="left"/>
              <w:rPr>
                <w:sz w:val="16"/>
                <w:szCs w:val="16"/>
                <w:rtl/>
              </w:rPr>
            </w:pPr>
            <w:r w:rsidRPr="00CF2A74">
              <w:rPr>
                <w:sz w:val="16"/>
                <w:szCs w:val="16"/>
                <w:rtl/>
              </w:rPr>
              <w:t xml:space="preserve"> -</w:t>
            </w:r>
          </w:p>
        </w:tc>
        <w:tc>
          <w:tcPr>
            <w:tcW w:w="930" w:type="dxa"/>
            <w:vAlign w:val="bottom"/>
          </w:tcPr>
          <w:p w14:paraId="697A2606" w14:textId="77777777" w:rsidR="005976FF" w:rsidRDefault="005976FF">
            <w:pPr>
              <w:pStyle w:val="-3"/>
              <w:jc w:val="left"/>
              <w:rPr>
                <w:sz w:val="16"/>
                <w:szCs w:val="16"/>
                <w:rtl/>
              </w:rPr>
            </w:pPr>
            <w:r w:rsidRPr="00CF2A74">
              <w:rPr>
                <w:sz w:val="16"/>
                <w:szCs w:val="16"/>
                <w:rtl/>
              </w:rPr>
              <w:t xml:space="preserve"> </w:t>
            </w:r>
            <w:r>
              <w:rPr>
                <w:rFonts w:hint="cs"/>
                <w:sz w:val="16"/>
                <w:szCs w:val="16"/>
                <w:rtl/>
              </w:rPr>
              <w:t>0</w:t>
            </w:r>
          </w:p>
        </w:tc>
        <w:tc>
          <w:tcPr>
            <w:tcW w:w="792" w:type="dxa"/>
            <w:vAlign w:val="bottom"/>
          </w:tcPr>
          <w:p w14:paraId="0E119C42" w14:textId="77777777" w:rsidR="00F32A2A" w:rsidRDefault="005976FF">
            <w:pPr>
              <w:pStyle w:val="-3"/>
              <w:jc w:val="left"/>
              <w:rPr>
                <w:sz w:val="16"/>
                <w:szCs w:val="16"/>
                <w:rtl/>
              </w:rPr>
            </w:pPr>
            <w:r w:rsidRPr="00CF2A74">
              <w:rPr>
                <w:sz w:val="16"/>
                <w:szCs w:val="16"/>
                <w:rtl/>
              </w:rPr>
              <w:t xml:space="preserve"> </w:t>
            </w:r>
            <w:r>
              <w:rPr>
                <w:rFonts w:hint="cs"/>
                <w:sz w:val="16"/>
                <w:szCs w:val="16"/>
                <w:rtl/>
              </w:rPr>
              <w:t>-</w:t>
            </w:r>
          </w:p>
        </w:tc>
        <w:tc>
          <w:tcPr>
            <w:tcW w:w="1126" w:type="dxa"/>
            <w:vAlign w:val="bottom"/>
          </w:tcPr>
          <w:p w14:paraId="54A44EEA" w14:textId="77777777" w:rsidR="005976FF" w:rsidRPr="00513F0D" w:rsidRDefault="005976FF" w:rsidP="00B55E95">
            <w:pPr>
              <w:pStyle w:val="-3"/>
              <w:jc w:val="left"/>
              <w:rPr>
                <w:sz w:val="16"/>
                <w:szCs w:val="16"/>
                <w:rtl/>
              </w:rPr>
            </w:pPr>
            <w:r w:rsidRPr="00CF2A74">
              <w:rPr>
                <w:sz w:val="16"/>
                <w:szCs w:val="16"/>
                <w:rtl/>
              </w:rPr>
              <w:t xml:space="preserve"> 0</w:t>
            </w:r>
          </w:p>
        </w:tc>
        <w:tc>
          <w:tcPr>
            <w:tcW w:w="726" w:type="dxa"/>
            <w:vAlign w:val="bottom"/>
          </w:tcPr>
          <w:p w14:paraId="3E745707" w14:textId="77777777" w:rsidR="005976FF" w:rsidRPr="00513F0D" w:rsidRDefault="005976FF" w:rsidP="00B55E95">
            <w:pPr>
              <w:pStyle w:val="-3"/>
              <w:jc w:val="left"/>
              <w:rPr>
                <w:sz w:val="16"/>
                <w:szCs w:val="16"/>
                <w:rtl/>
              </w:rPr>
            </w:pPr>
            <w:r w:rsidRPr="00CF2A74">
              <w:rPr>
                <w:sz w:val="16"/>
                <w:szCs w:val="16"/>
                <w:rtl/>
              </w:rPr>
              <w:t xml:space="preserve"> 0</w:t>
            </w:r>
          </w:p>
        </w:tc>
        <w:tc>
          <w:tcPr>
            <w:tcW w:w="676" w:type="dxa"/>
            <w:vAlign w:val="bottom"/>
          </w:tcPr>
          <w:p w14:paraId="103B703A" w14:textId="77777777" w:rsidR="005976FF" w:rsidRPr="00513F0D" w:rsidRDefault="005976FF" w:rsidP="00B55E95">
            <w:pPr>
              <w:pStyle w:val="-3"/>
              <w:jc w:val="left"/>
              <w:rPr>
                <w:sz w:val="16"/>
                <w:szCs w:val="16"/>
                <w:rtl/>
              </w:rPr>
            </w:pPr>
            <w:r w:rsidRPr="00CF2A74">
              <w:rPr>
                <w:sz w:val="16"/>
                <w:szCs w:val="16"/>
                <w:rtl/>
              </w:rPr>
              <w:t xml:space="preserve"> 0</w:t>
            </w:r>
          </w:p>
        </w:tc>
      </w:tr>
      <w:tr w:rsidR="0030599F" w:rsidRPr="00513F0D" w14:paraId="4FF023BB" w14:textId="77777777" w:rsidTr="004A1ADA">
        <w:tc>
          <w:tcPr>
            <w:tcW w:w="850" w:type="dxa"/>
          </w:tcPr>
          <w:p w14:paraId="5033C3DB" w14:textId="77777777" w:rsidR="005976FF" w:rsidRPr="00513F0D" w:rsidRDefault="005976FF" w:rsidP="00B55E95">
            <w:pPr>
              <w:pStyle w:val="-7"/>
              <w:bidi w:val="0"/>
              <w:ind w:right="-231"/>
              <w:jc w:val="left"/>
              <w:rPr>
                <w:spacing w:val="-6"/>
                <w:sz w:val="16"/>
                <w:szCs w:val="16"/>
                <w:rtl/>
              </w:rPr>
            </w:pPr>
          </w:p>
        </w:tc>
        <w:tc>
          <w:tcPr>
            <w:tcW w:w="2097" w:type="dxa"/>
            <w:vAlign w:val="bottom"/>
          </w:tcPr>
          <w:p w14:paraId="6CED9414" w14:textId="77777777" w:rsidR="005976FF" w:rsidRPr="00513F0D" w:rsidRDefault="005976FF" w:rsidP="00B55E95">
            <w:pPr>
              <w:pStyle w:val="-0"/>
              <w:rPr>
                <w:sz w:val="16"/>
                <w:szCs w:val="16"/>
                <w:rtl/>
              </w:rPr>
            </w:pPr>
            <w:r w:rsidRPr="00CF2A74">
              <w:rPr>
                <w:rFonts w:hint="eastAsia"/>
                <w:sz w:val="16"/>
                <w:szCs w:val="16"/>
                <w:rtl/>
              </w:rPr>
              <w:t>המרה</w:t>
            </w:r>
            <w:r w:rsidRPr="00CF2A74">
              <w:rPr>
                <w:sz w:val="16"/>
                <w:szCs w:val="16"/>
                <w:rtl/>
              </w:rPr>
              <w:t xml:space="preserve"> </w:t>
            </w:r>
            <w:r w:rsidRPr="00CF2A74">
              <w:rPr>
                <w:rFonts w:hint="eastAsia"/>
                <w:sz w:val="16"/>
                <w:szCs w:val="16"/>
                <w:rtl/>
              </w:rPr>
              <w:t>למניות</w:t>
            </w:r>
            <w:r w:rsidRPr="00CF2A74">
              <w:rPr>
                <w:sz w:val="16"/>
                <w:szCs w:val="16"/>
                <w:rtl/>
              </w:rPr>
              <w:t xml:space="preserve"> </w:t>
            </w:r>
            <w:r w:rsidRPr="00CF2A74">
              <w:rPr>
                <w:rFonts w:hint="eastAsia"/>
                <w:sz w:val="16"/>
                <w:szCs w:val="16"/>
                <w:rtl/>
              </w:rPr>
              <w:t>של</w:t>
            </w:r>
            <w:r w:rsidRPr="00CF2A74">
              <w:rPr>
                <w:sz w:val="16"/>
                <w:szCs w:val="16"/>
                <w:rtl/>
              </w:rPr>
              <w:t xml:space="preserve"> </w:t>
            </w:r>
            <w:r w:rsidRPr="00CF2A74">
              <w:rPr>
                <w:rFonts w:hint="eastAsia"/>
                <w:sz w:val="16"/>
                <w:szCs w:val="16"/>
                <w:rtl/>
              </w:rPr>
              <w:t>התחייבויות</w:t>
            </w:r>
            <w:r w:rsidRPr="00CF2A74">
              <w:rPr>
                <w:sz w:val="16"/>
                <w:szCs w:val="16"/>
                <w:rtl/>
              </w:rPr>
              <w:t xml:space="preserve"> </w:t>
            </w:r>
            <w:r w:rsidRPr="00CF2A74">
              <w:rPr>
                <w:rFonts w:hint="eastAsia"/>
                <w:sz w:val="16"/>
                <w:szCs w:val="16"/>
                <w:rtl/>
              </w:rPr>
              <w:t>המירות</w:t>
            </w:r>
          </w:p>
        </w:tc>
        <w:tc>
          <w:tcPr>
            <w:tcW w:w="780" w:type="dxa"/>
            <w:vAlign w:val="bottom"/>
          </w:tcPr>
          <w:p w14:paraId="7156B634" w14:textId="77777777" w:rsidR="005976FF" w:rsidRPr="00513F0D" w:rsidRDefault="005976FF" w:rsidP="00B55E95">
            <w:pPr>
              <w:pStyle w:val="-3"/>
              <w:rPr>
                <w:sz w:val="16"/>
                <w:szCs w:val="16"/>
                <w:rtl/>
              </w:rPr>
            </w:pPr>
            <w:r w:rsidRPr="00CF2A74">
              <w:rPr>
                <w:sz w:val="16"/>
                <w:szCs w:val="16"/>
                <w:rtl/>
              </w:rPr>
              <w:t>0</w:t>
            </w:r>
          </w:p>
        </w:tc>
        <w:tc>
          <w:tcPr>
            <w:tcW w:w="865" w:type="dxa"/>
            <w:vAlign w:val="bottom"/>
          </w:tcPr>
          <w:p w14:paraId="2698DB4F" w14:textId="77777777" w:rsidR="005976FF" w:rsidRPr="00513F0D" w:rsidRDefault="005976FF" w:rsidP="00B55E95">
            <w:pPr>
              <w:pStyle w:val="-3"/>
              <w:rPr>
                <w:sz w:val="16"/>
                <w:szCs w:val="16"/>
                <w:rtl/>
              </w:rPr>
            </w:pPr>
            <w:r w:rsidRPr="00CF2A74">
              <w:rPr>
                <w:sz w:val="16"/>
                <w:szCs w:val="16"/>
                <w:rtl/>
              </w:rPr>
              <w:t>-</w:t>
            </w:r>
          </w:p>
        </w:tc>
        <w:tc>
          <w:tcPr>
            <w:tcW w:w="939" w:type="dxa"/>
            <w:vAlign w:val="bottom"/>
          </w:tcPr>
          <w:p w14:paraId="51222743" w14:textId="77777777" w:rsidR="005976FF" w:rsidRPr="00513F0D" w:rsidRDefault="005976FF" w:rsidP="00B55E95">
            <w:pPr>
              <w:pStyle w:val="-3"/>
              <w:rPr>
                <w:sz w:val="16"/>
                <w:szCs w:val="16"/>
                <w:rtl/>
              </w:rPr>
            </w:pPr>
            <w:r w:rsidRPr="00CF2A74">
              <w:rPr>
                <w:sz w:val="16"/>
                <w:szCs w:val="16"/>
                <w:rtl/>
              </w:rPr>
              <w:t>-</w:t>
            </w:r>
          </w:p>
        </w:tc>
        <w:tc>
          <w:tcPr>
            <w:tcW w:w="737" w:type="dxa"/>
            <w:vAlign w:val="bottom"/>
          </w:tcPr>
          <w:p w14:paraId="26490CB5" w14:textId="77777777" w:rsidR="005976FF" w:rsidRPr="00513F0D" w:rsidRDefault="005976FF" w:rsidP="00B55E95">
            <w:pPr>
              <w:pStyle w:val="-3"/>
              <w:rPr>
                <w:sz w:val="16"/>
                <w:szCs w:val="16"/>
                <w:rtl/>
              </w:rPr>
            </w:pPr>
            <w:r w:rsidRPr="00CF2A74">
              <w:rPr>
                <w:sz w:val="16"/>
                <w:szCs w:val="16"/>
                <w:rtl/>
              </w:rPr>
              <w:t>-</w:t>
            </w:r>
          </w:p>
        </w:tc>
        <w:tc>
          <w:tcPr>
            <w:tcW w:w="1374" w:type="dxa"/>
            <w:vAlign w:val="bottom"/>
          </w:tcPr>
          <w:p w14:paraId="5B794DA6" w14:textId="77777777" w:rsidR="005976FF" w:rsidRPr="009A7E4A" w:rsidRDefault="005976FF" w:rsidP="00B55E95">
            <w:pPr>
              <w:pStyle w:val="-3"/>
              <w:rPr>
                <w:sz w:val="16"/>
                <w:szCs w:val="16"/>
                <w:rtl/>
              </w:rPr>
            </w:pPr>
            <w:r w:rsidRPr="009A7E4A">
              <w:rPr>
                <w:sz w:val="16"/>
                <w:szCs w:val="16"/>
                <w:rtl/>
              </w:rPr>
              <w:t>-</w:t>
            </w:r>
          </w:p>
        </w:tc>
        <w:tc>
          <w:tcPr>
            <w:tcW w:w="743" w:type="dxa"/>
            <w:vAlign w:val="bottom"/>
          </w:tcPr>
          <w:p w14:paraId="57A4C799" w14:textId="77777777" w:rsidR="005976FF" w:rsidRPr="00513F0D" w:rsidRDefault="005976FF" w:rsidP="00B55E95">
            <w:pPr>
              <w:pStyle w:val="-3"/>
              <w:jc w:val="left"/>
              <w:rPr>
                <w:sz w:val="16"/>
                <w:szCs w:val="16"/>
                <w:rtl/>
              </w:rPr>
            </w:pPr>
            <w:r w:rsidRPr="00CF2A74">
              <w:rPr>
                <w:sz w:val="16"/>
                <w:szCs w:val="16"/>
                <w:rtl/>
              </w:rPr>
              <w:t xml:space="preserve"> -</w:t>
            </w:r>
          </w:p>
        </w:tc>
        <w:tc>
          <w:tcPr>
            <w:tcW w:w="746" w:type="dxa"/>
            <w:vAlign w:val="bottom"/>
          </w:tcPr>
          <w:p w14:paraId="678A20CE" w14:textId="77777777" w:rsidR="005976FF" w:rsidRPr="00CF2A74" w:rsidRDefault="005976FF" w:rsidP="00B55E95">
            <w:pPr>
              <w:pStyle w:val="-3"/>
              <w:jc w:val="left"/>
              <w:rPr>
                <w:sz w:val="16"/>
                <w:szCs w:val="16"/>
                <w:rtl/>
              </w:rPr>
            </w:pPr>
            <w:r w:rsidRPr="00CF2A74">
              <w:rPr>
                <w:sz w:val="16"/>
                <w:szCs w:val="16"/>
                <w:rtl/>
              </w:rPr>
              <w:t>-</w:t>
            </w:r>
          </w:p>
        </w:tc>
        <w:tc>
          <w:tcPr>
            <w:tcW w:w="982" w:type="dxa"/>
            <w:vAlign w:val="bottom"/>
          </w:tcPr>
          <w:p w14:paraId="39197214" w14:textId="77777777" w:rsidR="005976FF" w:rsidRPr="00513F0D" w:rsidRDefault="005976FF" w:rsidP="00B55E95">
            <w:pPr>
              <w:pStyle w:val="-3"/>
              <w:jc w:val="left"/>
              <w:rPr>
                <w:sz w:val="16"/>
                <w:szCs w:val="16"/>
                <w:rtl/>
              </w:rPr>
            </w:pPr>
            <w:r w:rsidRPr="00CF2A74">
              <w:rPr>
                <w:sz w:val="16"/>
                <w:szCs w:val="16"/>
                <w:rtl/>
              </w:rPr>
              <w:t xml:space="preserve"> 0</w:t>
            </w:r>
          </w:p>
        </w:tc>
        <w:tc>
          <w:tcPr>
            <w:tcW w:w="708" w:type="dxa"/>
            <w:vAlign w:val="bottom"/>
          </w:tcPr>
          <w:p w14:paraId="203A2AAE" w14:textId="77777777" w:rsidR="005976FF" w:rsidRPr="00513F0D" w:rsidRDefault="005976FF" w:rsidP="00B55E95">
            <w:pPr>
              <w:pStyle w:val="-3"/>
              <w:jc w:val="left"/>
              <w:rPr>
                <w:sz w:val="16"/>
                <w:szCs w:val="16"/>
                <w:rtl/>
              </w:rPr>
            </w:pPr>
            <w:r w:rsidRPr="00CF2A74">
              <w:rPr>
                <w:sz w:val="16"/>
                <w:szCs w:val="16"/>
                <w:rtl/>
              </w:rPr>
              <w:t xml:space="preserve"> -</w:t>
            </w:r>
          </w:p>
        </w:tc>
        <w:tc>
          <w:tcPr>
            <w:tcW w:w="930" w:type="dxa"/>
            <w:vAlign w:val="bottom"/>
          </w:tcPr>
          <w:p w14:paraId="72841EA3" w14:textId="77777777" w:rsidR="005976FF" w:rsidRPr="00513F0D" w:rsidRDefault="005976FF" w:rsidP="00B55E95">
            <w:pPr>
              <w:pStyle w:val="-3"/>
              <w:jc w:val="left"/>
              <w:rPr>
                <w:sz w:val="16"/>
                <w:szCs w:val="16"/>
                <w:rtl/>
              </w:rPr>
            </w:pPr>
            <w:r w:rsidRPr="00CF2A74">
              <w:rPr>
                <w:sz w:val="16"/>
                <w:szCs w:val="16"/>
                <w:rtl/>
              </w:rPr>
              <w:t xml:space="preserve"> -</w:t>
            </w:r>
          </w:p>
        </w:tc>
        <w:tc>
          <w:tcPr>
            <w:tcW w:w="792" w:type="dxa"/>
            <w:vAlign w:val="bottom"/>
          </w:tcPr>
          <w:p w14:paraId="519853B7" w14:textId="77777777" w:rsidR="005976FF" w:rsidRPr="00513F0D" w:rsidRDefault="005976FF" w:rsidP="00B55E95">
            <w:pPr>
              <w:pStyle w:val="-3"/>
              <w:jc w:val="left"/>
              <w:rPr>
                <w:sz w:val="16"/>
                <w:szCs w:val="16"/>
                <w:rtl/>
              </w:rPr>
            </w:pPr>
            <w:r w:rsidRPr="00CF2A74">
              <w:rPr>
                <w:sz w:val="16"/>
                <w:szCs w:val="16"/>
                <w:rtl/>
              </w:rPr>
              <w:t xml:space="preserve"> 0</w:t>
            </w:r>
          </w:p>
        </w:tc>
        <w:tc>
          <w:tcPr>
            <w:tcW w:w="1126" w:type="dxa"/>
            <w:vAlign w:val="bottom"/>
          </w:tcPr>
          <w:p w14:paraId="5BD08119" w14:textId="77777777" w:rsidR="005976FF" w:rsidRPr="00513F0D" w:rsidRDefault="005976FF" w:rsidP="00B55E95">
            <w:pPr>
              <w:pStyle w:val="-3"/>
              <w:jc w:val="left"/>
              <w:rPr>
                <w:sz w:val="16"/>
                <w:szCs w:val="16"/>
                <w:rtl/>
              </w:rPr>
            </w:pPr>
            <w:r w:rsidRPr="00CF2A74">
              <w:rPr>
                <w:sz w:val="16"/>
                <w:szCs w:val="16"/>
                <w:rtl/>
              </w:rPr>
              <w:t xml:space="preserve"> 0</w:t>
            </w:r>
          </w:p>
        </w:tc>
        <w:tc>
          <w:tcPr>
            <w:tcW w:w="726" w:type="dxa"/>
            <w:vAlign w:val="bottom"/>
          </w:tcPr>
          <w:p w14:paraId="68F59251" w14:textId="77777777" w:rsidR="005976FF" w:rsidRPr="00513F0D" w:rsidRDefault="005976FF" w:rsidP="00B55E95">
            <w:pPr>
              <w:pStyle w:val="-3"/>
              <w:jc w:val="left"/>
              <w:rPr>
                <w:sz w:val="16"/>
                <w:szCs w:val="16"/>
                <w:rtl/>
              </w:rPr>
            </w:pPr>
            <w:r w:rsidRPr="00CF2A74">
              <w:rPr>
                <w:sz w:val="16"/>
                <w:szCs w:val="16"/>
                <w:rtl/>
              </w:rPr>
              <w:t xml:space="preserve"> 0</w:t>
            </w:r>
          </w:p>
        </w:tc>
        <w:tc>
          <w:tcPr>
            <w:tcW w:w="676" w:type="dxa"/>
            <w:vAlign w:val="bottom"/>
          </w:tcPr>
          <w:p w14:paraId="2FFB1F65" w14:textId="77777777" w:rsidR="005976FF" w:rsidRPr="00513F0D" w:rsidRDefault="005976FF" w:rsidP="00B55E95">
            <w:pPr>
              <w:pStyle w:val="-3"/>
              <w:jc w:val="left"/>
              <w:rPr>
                <w:sz w:val="16"/>
                <w:szCs w:val="16"/>
                <w:rtl/>
              </w:rPr>
            </w:pPr>
            <w:r w:rsidRPr="00CF2A74">
              <w:rPr>
                <w:sz w:val="16"/>
                <w:szCs w:val="16"/>
                <w:rtl/>
              </w:rPr>
              <w:t xml:space="preserve"> 0</w:t>
            </w:r>
          </w:p>
        </w:tc>
      </w:tr>
      <w:tr w:rsidR="00C21C3C" w:rsidRPr="00513F0D" w14:paraId="72B5D5B6" w14:textId="77777777" w:rsidTr="004A1ADA">
        <w:tc>
          <w:tcPr>
            <w:tcW w:w="850" w:type="dxa"/>
          </w:tcPr>
          <w:p w14:paraId="4A97A60F" w14:textId="77777777" w:rsidR="00C21C3C" w:rsidRPr="00513F0D" w:rsidRDefault="00C21C3C" w:rsidP="00A61A8A">
            <w:pPr>
              <w:pStyle w:val="-7"/>
              <w:bidi w:val="0"/>
              <w:ind w:right="-231"/>
              <w:jc w:val="left"/>
              <w:rPr>
                <w:spacing w:val="-6"/>
                <w:sz w:val="16"/>
                <w:szCs w:val="16"/>
                <w:rtl/>
              </w:rPr>
            </w:pPr>
          </w:p>
        </w:tc>
        <w:tc>
          <w:tcPr>
            <w:tcW w:w="2097" w:type="dxa"/>
            <w:vAlign w:val="bottom"/>
          </w:tcPr>
          <w:p w14:paraId="36CA6138" w14:textId="58769E92" w:rsidR="00C21C3C" w:rsidRPr="00513F0D" w:rsidRDefault="00C21C3C" w:rsidP="00A61A8A">
            <w:pPr>
              <w:pStyle w:val="-0"/>
              <w:rPr>
                <w:sz w:val="16"/>
                <w:szCs w:val="16"/>
                <w:rtl/>
              </w:rPr>
            </w:pPr>
            <w:r w:rsidRPr="009A7E4A">
              <w:rPr>
                <w:rFonts w:hint="eastAsia"/>
                <w:sz w:val="16"/>
                <w:szCs w:val="16"/>
                <w:rtl/>
              </w:rPr>
              <w:t>הטבה</w:t>
            </w:r>
            <w:r w:rsidRPr="009A7E4A">
              <w:rPr>
                <w:sz w:val="16"/>
                <w:szCs w:val="16"/>
                <w:rtl/>
              </w:rPr>
              <w:t xml:space="preserve"> בשל עסקאות תשלום </w:t>
            </w:r>
            <w:r w:rsidRPr="009A7E4A">
              <w:rPr>
                <w:sz w:val="16"/>
                <w:szCs w:val="16"/>
                <w:rtl/>
              </w:rPr>
              <w:br/>
            </w:r>
            <w:r w:rsidRPr="009A7E4A">
              <w:rPr>
                <w:rFonts w:hint="eastAsia"/>
                <w:sz w:val="16"/>
                <w:szCs w:val="16"/>
                <w:rtl/>
              </w:rPr>
              <w:t>מבוסס</w:t>
            </w:r>
            <w:r w:rsidRPr="009A7E4A">
              <w:rPr>
                <w:sz w:val="16"/>
                <w:szCs w:val="16"/>
                <w:rtl/>
              </w:rPr>
              <w:t xml:space="preserve"> </w:t>
            </w:r>
            <w:r w:rsidRPr="009A7E4A">
              <w:rPr>
                <w:rFonts w:hint="eastAsia"/>
                <w:sz w:val="16"/>
                <w:szCs w:val="16"/>
                <w:rtl/>
              </w:rPr>
              <w:t>מניות</w:t>
            </w:r>
          </w:p>
        </w:tc>
        <w:tc>
          <w:tcPr>
            <w:tcW w:w="780" w:type="dxa"/>
            <w:vAlign w:val="bottom"/>
          </w:tcPr>
          <w:p w14:paraId="0D007E09" w14:textId="77777777" w:rsidR="00C21C3C" w:rsidRPr="00513F0D" w:rsidRDefault="00C21C3C" w:rsidP="00A61A8A">
            <w:pPr>
              <w:pStyle w:val="-3"/>
              <w:rPr>
                <w:sz w:val="16"/>
                <w:szCs w:val="16"/>
                <w:rtl/>
              </w:rPr>
            </w:pPr>
            <w:r w:rsidRPr="00CF2A74">
              <w:rPr>
                <w:sz w:val="16"/>
                <w:szCs w:val="16"/>
                <w:rtl/>
              </w:rPr>
              <w:t>-</w:t>
            </w:r>
          </w:p>
        </w:tc>
        <w:tc>
          <w:tcPr>
            <w:tcW w:w="865" w:type="dxa"/>
            <w:vAlign w:val="bottom"/>
          </w:tcPr>
          <w:p w14:paraId="66EFC6D4" w14:textId="77777777" w:rsidR="00C21C3C" w:rsidRPr="00513F0D" w:rsidRDefault="00C21C3C" w:rsidP="00A61A8A">
            <w:pPr>
              <w:pStyle w:val="-3"/>
              <w:rPr>
                <w:sz w:val="16"/>
                <w:szCs w:val="16"/>
                <w:rtl/>
              </w:rPr>
            </w:pPr>
            <w:r w:rsidRPr="00CF2A74">
              <w:rPr>
                <w:sz w:val="16"/>
                <w:szCs w:val="16"/>
                <w:rtl/>
              </w:rPr>
              <w:t>-</w:t>
            </w:r>
          </w:p>
        </w:tc>
        <w:tc>
          <w:tcPr>
            <w:tcW w:w="939" w:type="dxa"/>
            <w:vAlign w:val="bottom"/>
          </w:tcPr>
          <w:p w14:paraId="17ABAFA0" w14:textId="77777777" w:rsidR="00C21C3C" w:rsidRPr="00513F0D" w:rsidRDefault="00C21C3C" w:rsidP="00A61A8A">
            <w:pPr>
              <w:pStyle w:val="-3"/>
              <w:rPr>
                <w:sz w:val="16"/>
                <w:szCs w:val="16"/>
                <w:rtl/>
              </w:rPr>
            </w:pPr>
            <w:r w:rsidRPr="00CF2A74">
              <w:rPr>
                <w:sz w:val="16"/>
                <w:szCs w:val="16"/>
                <w:rtl/>
              </w:rPr>
              <w:t>-</w:t>
            </w:r>
          </w:p>
        </w:tc>
        <w:tc>
          <w:tcPr>
            <w:tcW w:w="737" w:type="dxa"/>
            <w:vAlign w:val="bottom"/>
          </w:tcPr>
          <w:p w14:paraId="307D4339" w14:textId="77777777" w:rsidR="00C21C3C" w:rsidRPr="00513F0D" w:rsidRDefault="00C21C3C" w:rsidP="00A61A8A">
            <w:pPr>
              <w:pStyle w:val="-3"/>
              <w:rPr>
                <w:sz w:val="16"/>
                <w:szCs w:val="16"/>
                <w:rtl/>
              </w:rPr>
            </w:pPr>
            <w:r w:rsidRPr="00CF2A74">
              <w:rPr>
                <w:sz w:val="16"/>
                <w:szCs w:val="16"/>
                <w:rtl/>
              </w:rPr>
              <w:t>-</w:t>
            </w:r>
          </w:p>
        </w:tc>
        <w:tc>
          <w:tcPr>
            <w:tcW w:w="1374" w:type="dxa"/>
            <w:vAlign w:val="bottom"/>
          </w:tcPr>
          <w:p w14:paraId="5088C117" w14:textId="77777777" w:rsidR="00C21C3C" w:rsidRPr="009A7E4A" w:rsidRDefault="00C21C3C" w:rsidP="00A61A8A">
            <w:pPr>
              <w:pStyle w:val="-3"/>
              <w:rPr>
                <w:sz w:val="16"/>
                <w:szCs w:val="16"/>
                <w:rtl/>
              </w:rPr>
            </w:pPr>
            <w:r w:rsidRPr="009A7E4A">
              <w:rPr>
                <w:sz w:val="16"/>
                <w:szCs w:val="16"/>
                <w:rtl/>
              </w:rPr>
              <w:t>0</w:t>
            </w:r>
          </w:p>
        </w:tc>
        <w:tc>
          <w:tcPr>
            <w:tcW w:w="743" w:type="dxa"/>
            <w:vAlign w:val="bottom"/>
          </w:tcPr>
          <w:p w14:paraId="296471F6" w14:textId="77777777" w:rsidR="00C21C3C" w:rsidRPr="00513F0D" w:rsidRDefault="00C21C3C" w:rsidP="00A61A8A">
            <w:pPr>
              <w:pStyle w:val="-3"/>
              <w:jc w:val="left"/>
              <w:rPr>
                <w:sz w:val="16"/>
                <w:szCs w:val="16"/>
                <w:rtl/>
              </w:rPr>
            </w:pPr>
            <w:r w:rsidRPr="00CF2A74">
              <w:rPr>
                <w:sz w:val="16"/>
                <w:szCs w:val="16"/>
                <w:rtl/>
              </w:rPr>
              <w:t xml:space="preserve"> -</w:t>
            </w:r>
          </w:p>
        </w:tc>
        <w:tc>
          <w:tcPr>
            <w:tcW w:w="746" w:type="dxa"/>
            <w:vAlign w:val="bottom"/>
          </w:tcPr>
          <w:p w14:paraId="0D74C5B5" w14:textId="77777777" w:rsidR="00C21C3C" w:rsidRPr="00CF2A74" w:rsidRDefault="00C21C3C" w:rsidP="00A61A8A">
            <w:pPr>
              <w:pStyle w:val="-3"/>
              <w:jc w:val="left"/>
              <w:rPr>
                <w:sz w:val="16"/>
                <w:szCs w:val="16"/>
                <w:rtl/>
              </w:rPr>
            </w:pPr>
            <w:r w:rsidRPr="00CF2A74">
              <w:rPr>
                <w:sz w:val="16"/>
                <w:szCs w:val="16"/>
                <w:rtl/>
              </w:rPr>
              <w:t>-</w:t>
            </w:r>
          </w:p>
        </w:tc>
        <w:tc>
          <w:tcPr>
            <w:tcW w:w="982" w:type="dxa"/>
            <w:vAlign w:val="bottom"/>
          </w:tcPr>
          <w:p w14:paraId="53D17457" w14:textId="77777777" w:rsidR="00C21C3C" w:rsidRDefault="00C21C3C" w:rsidP="00A61A8A">
            <w:pPr>
              <w:pStyle w:val="-3"/>
              <w:jc w:val="left"/>
              <w:rPr>
                <w:sz w:val="16"/>
                <w:szCs w:val="16"/>
                <w:rtl/>
              </w:rPr>
            </w:pPr>
            <w:r w:rsidRPr="00CF2A74">
              <w:rPr>
                <w:sz w:val="16"/>
                <w:szCs w:val="16"/>
                <w:rtl/>
              </w:rPr>
              <w:t xml:space="preserve"> </w:t>
            </w:r>
            <w:r>
              <w:rPr>
                <w:rFonts w:hint="cs"/>
                <w:sz w:val="16"/>
                <w:szCs w:val="16"/>
                <w:rtl/>
              </w:rPr>
              <w:t>0</w:t>
            </w:r>
          </w:p>
        </w:tc>
        <w:tc>
          <w:tcPr>
            <w:tcW w:w="708" w:type="dxa"/>
            <w:vAlign w:val="bottom"/>
          </w:tcPr>
          <w:p w14:paraId="2569014D" w14:textId="77777777" w:rsidR="00C21C3C" w:rsidRPr="00513F0D" w:rsidRDefault="00C21C3C" w:rsidP="00A61A8A">
            <w:pPr>
              <w:pStyle w:val="-3"/>
              <w:jc w:val="left"/>
              <w:rPr>
                <w:sz w:val="16"/>
                <w:szCs w:val="16"/>
                <w:rtl/>
              </w:rPr>
            </w:pPr>
            <w:r w:rsidRPr="00CF2A74">
              <w:rPr>
                <w:sz w:val="16"/>
                <w:szCs w:val="16"/>
                <w:rtl/>
              </w:rPr>
              <w:t xml:space="preserve"> -</w:t>
            </w:r>
          </w:p>
        </w:tc>
        <w:tc>
          <w:tcPr>
            <w:tcW w:w="930" w:type="dxa"/>
            <w:vAlign w:val="bottom"/>
          </w:tcPr>
          <w:p w14:paraId="4863BCB1" w14:textId="77777777" w:rsidR="00C21C3C" w:rsidRPr="00513F0D" w:rsidRDefault="00C21C3C" w:rsidP="00A61A8A">
            <w:pPr>
              <w:pStyle w:val="-3"/>
              <w:jc w:val="left"/>
              <w:rPr>
                <w:sz w:val="16"/>
                <w:szCs w:val="16"/>
                <w:rtl/>
              </w:rPr>
            </w:pPr>
            <w:r w:rsidRPr="00CF2A74">
              <w:rPr>
                <w:sz w:val="16"/>
                <w:szCs w:val="16"/>
                <w:rtl/>
              </w:rPr>
              <w:t xml:space="preserve"> -</w:t>
            </w:r>
          </w:p>
        </w:tc>
        <w:tc>
          <w:tcPr>
            <w:tcW w:w="792" w:type="dxa"/>
            <w:vAlign w:val="bottom"/>
          </w:tcPr>
          <w:p w14:paraId="354AA459" w14:textId="77777777" w:rsidR="00C21C3C" w:rsidRPr="00513F0D" w:rsidRDefault="00C21C3C" w:rsidP="00A61A8A">
            <w:pPr>
              <w:pStyle w:val="-3"/>
              <w:jc w:val="left"/>
              <w:rPr>
                <w:sz w:val="16"/>
                <w:szCs w:val="16"/>
                <w:rtl/>
              </w:rPr>
            </w:pPr>
            <w:r w:rsidRPr="00CF2A74">
              <w:rPr>
                <w:sz w:val="16"/>
                <w:szCs w:val="16"/>
                <w:rtl/>
              </w:rPr>
              <w:t xml:space="preserve"> -</w:t>
            </w:r>
          </w:p>
        </w:tc>
        <w:tc>
          <w:tcPr>
            <w:tcW w:w="1126" w:type="dxa"/>
            <w:vAlign w:val="bottom"/>
          </w:tcPr>
          <w:p w14:paraId="0B8FC034" w14:textId="77777777" w:rsidR="00C21C3C" w:rsidRPr="00513F0D" w:rsidRDefault="00C21C3C" w:rsidP="00A61A8A">
            <w:pPr>
              <w:pStyle w:val="-3"/>
              <w:jc w:val="left"/>
              <w:rPr>
                <w:sz w:val="16"/>
                <w:szCs w:val="16"/>
                <w:rtl/>
              </w:rPr>
            </w:pPr>
            <w:r w:rsidRPr="00CF2A74">
              <w:rPr>
                <w:sz w:val="16"/>
                <w:szCs w:val="16"/>
                <w:rtl/>
              </w:rPr>
              <w:t xml:space="preserve"> 0</w:t>
            </w:r>
          </w:p>
        </w:tc>
        <w:tc>
          <w:tcPr>
            <w:tcW w:w="726" w:type="dxa"/>
            <w:vAlign w:val="bottom"/>
          </w:tcPr>
          <w:p w14:paraId="24CD4483" w14:textId="77777777" w:rsidR="00C21C3C" w:rsidRPr="00513F0D" w:rsidRDefault="00C21C3C" w:rsidP="00A61A8A">
            <w:pPr>
              <w:pStyle w:val="-3"/>
              <w:jc w:val="left"/>
              <w:rPr>
                <w:sz w:val="16"/>
                <w:szCs w:val="16"/>
                <w:rtl/>
              </w:rPr>
            </w:pPr>
            <w:r w:rsidRPr="00CF2A74">
              <w:rPr>
                <w:sz w:val="16"/>
                <w:szCs w:val="16"/>
                <w:rtl/>
              </w:rPr>
              <w:t xml:space="preserve"> 0</w:t>
            </w:r>
          </w:p>
        </w:tc>
        <w:tc>
          <w:tcPr>
            <w:tcW w:w="676" w:type="dxa"/>
            <w:vAlign w:val="bottom"/>
          </w:tcPr>
          <w:p w14:paraId="71CA2336" w14:textId="77777777" w:rsidR="00C21C3C" w:rsidRPr="00513F0D" w:rsidRDefault="00C21C3C" w:rsidP="00A61A8A">
            <w:pPr>
              <w:pStyle w:val="-3"/>
              <w:jc w:val="left"/>
              <w:rPr>
                <w:sz w:val="16"/>
                <w:szCs w:val="16"/>
                <w:rtl/>
              </w:rPr>
            </w:pPr>
            <w:r w:rsidRPr="00CF2A74">
              <w:rPr>
                <w:sz w:val="16"/>
                <w:szCs w:val="16"/>
                <w:rtl/>
              </w:rPr>
              <w:t xml:space="preserve"> 0</w:t>
            </w:r>
          </w:p>
        </w:tc>
      </w:tr>
      <w:tr w:rsidR="00C21C3C" w:rsidRPr="00513F0D" w14:paraId="6A37943F" w14:textId="77777777" w:rsidTr="004A1ADA">
        <w:tc>
          <w:tcPr>
            <w:tcW w:w="850" w:type="dxa"/>
          </w:tcPr>
          <w:p w14:paraId="44D49423" w14:textId="77777777" w:rsidR="00C21C3C" w:rsidRPr="00513F0D" w:rsidRDefault="00C21C3C" w:rsidP="00A61A8A">
            <w:pPr>
              <w:pStyle w:val="-7"/>
              <w:bidi w:val="0"/>
              <w:ind w:right="-231"/>
              <w:jc w:val="left"/>
              <w:rPr>
                <w:spacing w:val="-6"/>
                <w:sz w:val="16"/>
                <w:szCs w:val="16"/>
                <w:rtl/>
              </w:rPr>
            </w:pPr>
          </w:p>
        </w:tc>
        <w:tc>
          <w:tcPr>
            <w:tcW w:w="2097" w:type="dxa"/>
            <w:vAlign w:val="bottom"/>
          </w:tcPr>
          <w:p w14:paraId="2A43E7A5" w14:textId="77777777" w:rsidR="00C21C3C" w:rsidRPr="00513F0D" w:rsidRDefault="00C21C3C" w:rsidP="00A61A8A">
            <w:pPr>
              <w:pStyle w:val="-0"/>
              <w:rPr>
                <w:sz w:val="16"/>
                <w:szCs w:val="16"/>
                <w:rtl/>
              </w:rPr>
            </w:pPr>
            <w:r w:rsidRPr="00CF2A74">
              <w:rPr>
                <w:rFonts w:hint="eastAsia"/>
                <w:sz w:val="16"/>
                <w:szCs w:val="16"/>
                <w:rtl/>
              </w:rPr>
              <w:t>הטבות</w:t>
            </w:r>
            <w:r w:rsidRPr="00CF2A74">
              <w:rPr>
                <w:sz w:val="16"/>
                <w:szCs w:val="16"/>
                <w:rtl/>
              </w:rPr>
              <w:t xml:space="preserve"> </w:t>
            </w:r>
            <w:r w:rsidRPr="00CF2A74">
              <w:rPr>
                <w:rFonts w:hint="eastAsia"/>
                <w:sz w:val="16"/>
                <w:szCs w:val="16"/>
                <w:rtl/>
              </w:rPr>
              <w:t>שהתקבלו</w:t>
            </w:r>
            <w:r w:rsidRPr="00CF2A74">
              <w:rPr>
                <w:sz w:val="16"/>
                <w:szCs w:val="16"/>
                <w:rtl/>
              </w:rPr>
              <w:t xml:space="preserve"> </w:t>
            </w:r>
            <w:r w:rsidRPr="00CF2A74">
              <w:rPr>
                <w:rFonts w:hint="eastAsia"/>
                <w:sz w:val="16"/>
                <w:szCs w:val="16"/>
                <w:rtl/>
              </w:rPr>
              <w:t>מבעל</w:t>
            </w:r>
            <w:r w:rsidRPr="00CF2A74">
              <w:rPr>
                <w:sz w:val="16"/>
                <w:szCs w:val="16"/>
                <w:rtl/>
              </w:rPr>
              <w:t xml:space="preserve"> </w:t>
            </w:r>
            <w:r w:rsidRPr="00CF2A74">
              <w:rPr>
                <w:rFonts w:hint="eastAsia"/>
                <w:sz w:val="16"/>
                <w:szCs w:val="16"/>
                <w:rtl/>
              </w:rPr>
              <w:t>שליטה</w:t>
            </w:r>
          </w:p>
        </w:tc>
        <w:tc>
          <w:tcPr>
            <w:tcW w:w="780" w:type="dxa"/>
            <w:vAlign w:val="bottom"/>
          </w:tcPr>
          <w:p w14:paraId="0A1A721F" w14:textId="77777777" w:rsidR="00C21C3C" w:rsidRPr="00513F0D" w:rsidRDefault="00C21C3C" w:rsidP="00A61A8A">
            <w:pPr>
              <w:pStyle w:val="-3"/>
              <w:rPr>
                <w:sz w:val="16"/>
                <w:szCs w:val="16"/>
                <w:rtl/>
              </w:rPr>
            </w:pPr>
            <w:r w:rsidRPr="00CF2A74">
              <w:rPr>
                <w:sz w:val="16"/>
                <w:szCs w:val="16"/>
                <w:rtl/>
              </w:rPr>
              <w:t>-</w:t>
            </w:r>
          </w:p>
        </w:tc>
        <w:tc>
          <w:tcPr>
            <w:tcW w:w="865" w:type="dxa"/>
            <w:vAlign w:val="bottom"/>
          </w:tcPr>
          <w:p w14:paraId="3398C62F" w14:textId="77777777" w:rsidR="00C21C3C" w:rsidRPr="00513F0D" w:rsidRDefault="00C21C3C" w:rsidP="00A61A8A">
            <w:pPr>
              <w:pStyle w:val="-3"/>
              <w:rPr>
                <w:sz w:val="16"/>
                <w:szCs w:val="16"/>
                <w:rtl/>
              </w:rPr>
            </w:pPr>
            <w:r w:rsidRPr="00CF2A74">
              <w:rPr>
                <w:sz w:val="16"/>
                <w:szCs w:val="16"/>
                <w:rtl/>
              </w:rPr>
              <w:t>-</w:t>
            </w:r>
          </w:p>
        </w:tc>
        <w:tc>
          <w:tcPr>
            <w:tcW w:w="939" w:type="dxa"/>
            <w:vAlign w:val="bottom"/>
          </w:tcPr>
          <w:p w14:paraId="06F7D863" w14:textId="77777777" w:rsidR="00C21C3C" w:rsidRPr="00513F0D" w:rsidRDefault="00C21C3C" w:rsidP="00A61A8A">
            <w:pPr>
              <w:pStyle w:val="-3"/>
              <w:rPr>
                <w:sz w:val="16"/>
                <w:szCs w:val="16"/>
                <w:rtl/>
              </w:rPr>
            </w:pPr>
            <w:r w:rsidRPr="00CF2A74">
              <w:rPr>
                <w:sz w:val="16"/>
                <w:szCs w:val="16"/>
                <w:rtl/>
              </w:rPr>
              <w:t>-</w:t>
            </w:r>
          </w:p>
        </w:tc>
        <w:tc>
          <w:tcPr>
            <w:tcW w:w="737" w:type="dxa"/>
            <w:vAlign w:val="bottom"/>
          </w:tcPr>
          <w:p w14:paraId="6D35033D" w14:textId="77777777" w:rsidR="00C21C3C" w:rsidRPr="00513F0D" w:rsidRDefault="00C21C3C" w:rsidP="00A61A8A">
            <w:pPr>
              <w:pStyle w:val="-3"/>
              <w:rPr>
                <w:sz w:val="16"/>
                <w:szCs w:val="16"/>
                <w:rtl/>
              </w:rPr>
            </w:pPr>
            <w:r w:rsidRPr="00CF2A74">
              <w:rPr>
                <w:sz w:val="16"/>
                <w:szCs w:val="16"/>
                <w:rtl/>
              </w:rPr>
              <w:t>-</w:t>
            </w:r>
          </w:p>
        </w:tc>
        <w:tc>
          <w:tcPr>
            <w:tcW w:w="1374" w:type="dxa"/>
            <w:vAlign w:val="bottom"/>
          </w:tcPr>
          <w:p w14:paraId="25CA1A9F" w14:textId="77777777" w:rsidR="00C21C3C" w:rsidRPr="009A7E4A" w:rsidRDefault="00C21C3C" w:rsidP="00A61A8A">
            <w:pPr>
              <w:pStyle w:val="-3"/>
              <w:rPr>
                <w:sz w:val="16"/>
                <w:szCs w:val="16"/>
                <w:rtl/>
              </w:rPr>
            </w:pPr>
            <w:r w:rsidRPr="009A7E4A">
              <w:rPr>
                <w:sz w:val="16"/>
                <w:szCs w:val="16"/>
                <w:rtl/>
              </w:rPr>
              <w:t>-</w:t>
            </w:r>
          </w:p>
        </w:tc>
        <w:tc>
          <w:tcPr>
            <w:tcW w:w="743" w:type="dxa"/>
            <w:vAlign w:val="bottom"/>
          </w:tcPr>
          <w:p w14:paraId="556C091F" w14:textId="77777777" w:rsidR="00C21C3C" w:rsidRPr="00513F0D" w:rsidRDefault="00C21C3C" w:rsidP="00A61A8A">
            <w:pPr>
              <w:pStyle w:val="-3"/>
              <w:jc w:val="left"/>
              <w:rPr>
                <w:sz w:val="16"/>
                <w:szCs w:val="16"/>
                <w:rtl/>
              </w:rPr>
            </w:pPr>
            <w:r w:rsidRPr="00CF2A74">
              <w:rPr>
                <w:sz w:val="16"/>
                <w:szCs w:val="16"/>
                <w:rtl/>
              </w:rPr>
              <w:t xml:space="preserve"> 0</w:t>
            </w:r>
          </w:p>
        </w:tc>
        <w:tc>
          <w:tcPr>
            <w:tcW w:w="746" w:type="dxa"/>
            <w:vAlign w:val="bottom"/>
          </w:tcPr>
          <w:p w14:paraId="2CA6CF6B" w14:textId="77777777" w:rsidR="00C21C3C" w:rsidRPr="00CF2A74" w:rsidRDefault="00C21C3C" w:rsidP="00A61A8A">
            <w:pPr>
              <w:pStyle w:val="-3"/>
              <w:jc w:val="left"/>
              <w:rPr>
                <w:sz w:val="16"/>
                <w:szCs w:val="16"/>
                <w:rtl/>
              </w:rPr>
            </w:pPr>
            <w:r w:rsidRPr="00CF2A74">
              <w:rPr>
                <w:sz w:val="16"/>
                <w:szCs w:val="16"/>
                <w:rtl/>
              </w:rPr>
              <w:t>-</w:t>
            </w:r>
          </w:p>
        </w:tc>
        <w:tc>
          <w:tcPr>
            <w:tcW w:w="982" w:type="dxa"/>
            <w:vAlign w:val="bottom"/>
          </w:tcPr>
          <w:p w14:paraId="166FF798" w14:textId="77777777" w:rsidR="00C21C3C" w:rsidRPr="00513F0D" w:rsidRDefault="00C21C3C" w:rsidP="00A61A8A">
            <w:pPr>
              <w:pStyle w:val="-3"/>
              <w:jc w:val="left"/>
              <w:rPr>
                <w:sz w:val="16"/>
                <w:szCs w:val="16"/>
                <w:rtl/>
              </w:rPr>
            </w:pPr>
            <w:r w:rsidRPr="00CF2A74">
              <w:rPr>
                <w:sz w:val="16"/>
                <w:szCs w:val="16"/>
                <w:rtl/>
              </w:rPr>
              <w:t xml:space="preserve"> 0</w:t>
            </w:r>
          </w:p>
        </w:tc>
        <w:tc>
          <w:tcPr>
            <w:tcW w:w="708" w:type="dxa"/>
            <w:vAlign w:val="bottom"/>
          </w:tcPr>
          <w:p w14:paraId="607A2CC7" w14:textId="77777777" w:rsidR="00C21C3C" w:rsidRPr="00513F0D" w:rsidRDefault="00C21C3C" w:rsidP="00A61A8A">
            <w:pPr>
              <w:pStyle w:val="-3"/>
              <w:jc w:val="left"/>
              <w:rPr>
                <w:sz w:val="16"/>
                <w:szCs w:val="16"/>
                <w:rtl/>
              </w:rPr>
            </w:pPr>
            <w:r w:rsidRPr="00CF2A74">
              <w:rPr>
                <w:sz w:val="16"/>
                <w:szCs w:val="16"/>
                <w:rtl/>
              </w:rPr>
              <w:t xml:space="preserve"> -</w:t>
            </w:r>
          </w:p>
        </w:tc>
        <w:tc>
          <w:tcPr>
            <w:tcW w:w="930" w:type="dxa"/>
            <w:vAlign w:val="bottom"/>
          </w:tcPr>
          <w:p w14:paraId="4A14AEBA" w14:textId="77777777" w:rsidR="00C21C3C" w:rsidRPr="00513F0D" w:rsidRDefault="00C21C3C" w:rsidP="00A61A8A">
            <w:pPr>
              <w:pStyle w:val="-3"/>
              <w:jc w:val="left"/>
              <w:rPr>
                <w:sz w:val="16"/>
                <w:szCs w:val="16"/>
                <w:rtl/>
              </w:rPr>
            </w:pPr>
            <w:r w:rsidRPr="00CF2A74">
              <w:rPr>
                <w:sz w:val="16"/>
                <w:szCs w:val="16"/>
                <w:rtl/>
              </w:rPr>
              <w:t xml:space="preserve"> -</w:t>
            </w:r>
          </w:p>
        </w:tc>
        <w:tc>
          <w:tcPr>
            <w:tcW w:w="792" w:type="dxa"/>
            <w:vAlign w:val="bottom"/>
          </w:tcPr>
          <w:p w14:paraId="167FE6A5" w14:textId="77777777" w:rsidR="00C21C3C" w:rsidRPr="00513F0D" w:rsidRDefault="00C21C3C" w:rsidP="00A61A8A">
            <w:pPr>
              <w:pStyle w:val="-3"/>
              <w:jc w:val="left"/>
              <w:rPr>
                <w:sz w:val="16"/>
                <w:szCs w:val="16"/>
                <w:rtl/>
              </w:rPr>
            </w:pPr>
            <w:r w:rsidRPr="00CF2A74">
              <w:rPr>
                <w:sz w:val="16"/>
                <w:szCs w:val="16"/>
                <w:rtl/>
              </w:rPr>
              <w:t xml:space="preserve"> -</w:t>
            </w:r>
          </w:p>
        </w:tc>
        <w:tc>
          <w:tcPr>
            <w:tcW w:w="1126" w:type="dxa"/>
            <w:vAlign w:val="bottom"/>
          </w:tcPr>
          <w:p w14:paraId="43C00FF3" w14:textId="77777777" w:rsidR="00C21C3C" w:rsidRPr="00513F0D" w:rsidRDefault="00C21C3C" w:rsidP="00A61A8A">
            <w:pPr>
              <w:pStyle w:val="-3"/>
              <w:jc w:val="left"/>
              <w:rPr>
                <w:sz w:val="16"/>
                <w:szCs w:val="16"/>
                <w:rtl/>
              </w:rPr>
            </w:pPr>
            <w:r w:rsidRPr="00CF2A74">
              <w:rPr>
                <w:sz w:val="16"/>
                <w:szCs w:val="16"/>
                <w:rtl/>
              </w:rPr>
              <w:t xml:space="preserve"> 0</w:t>
            </w:r>
          </w:p>
        </w:tc>
        <w:tc>
          <w:tcPr>
            <w:tcW w:w="726" w:type="dxa"/>
            <w:vAlign w:val="bottom"/>
          </w:tcPr>
          <w:p w14:paraId="3A30A61C" w14:textId="77777777" w:rsidR="00C21C3C" w:rsidRPr="00513F0D" w:rsidRDefault="00C21C3C" w:rsidP="00A61A8A">
            <w:pPr>
              <w:pStyle w:val="-3"/>
              <w:jc w:val="left"/>
              <w:rPr>
                <w:sz w:val="16"/>
                <w:szCs w:val="16"/>
                <w:rtl/>
              </w:rPr>
            </w:pPr>
            <w:r w:rsidRPr="00CF2A74">
              <w:rPr>
                <w:sz w:val="16"/>
                <w:szCs w:val="16"/>
                <w:rtl/>
              </w:rPr>
              <w:t xml:space="preserve"> 0</w:t>
            </w:r>
          </w:p>
        </w:tc>
        <w:tc>
          <w:tcPr>
            <w:tcW w:w="676" w:type="dxa"/>
            <w:vAlign w:val="bottom"/>
          </w:tcPr>
          <w:p w14:paraId="776148ED" w14:textId="77777777" w:rsidR="00C21C3C" w:rsidRPr="00513F0D" w:rsidRDefault="00C21C3C" w:rsidP="00A61A8A">
            <w:pPr>
              <w:pStyle w:val="-3"/>
              <w:jc w:val="left"/>
              <w:rPr>
                <w:sz w:val="16"/>
                <w:szCs w:val="16"/>
                <w:rtl/>
              </w:rPr>
            </w:pPr>
            <w:r w:rsidRPr="00CF2A74">
              <w:rPr>
                <w:sz w:val="16"/>
                <w:szCs w:val="16"/>
                <w:rtl/>
              </w:rPr>
              <w:t xml:space="preserve"> 0</w:t>
            </w:r>
          </w:p>
        </w:tc>
      </w:tr>
      <w:tr w:rsidR="00C21C3C" w:rsidRPr="00513F0D" w14:paraId="01939541" w14:textId="77777777" w:rsidTr="004A1ADA">
        <w:tc>
          <w:tcPr>
            <w:tcW w:w="850" w:type="dxa"/>
          </w:tcPr>
          <w:p w14:paraId="713F214E" w14:textId="77777777" w:rsidR="00C21C3C" w:rsidRPr="00513F0D" w:rsidRDefault="00C21C3C" w:rsidP="00A61A8A">
            <w:pPr>
              <w:pStyle w:val="-7"/>
              <w:bidi w:val="0"/>
              <w:ind w:right="-231"/>
              <w:jc w:val="left"/>
              <w:rPr>
                <w:spacing w:val="-6"/>
                <w:sz w:val="16"/>
                <w:szCs w:val="16"/>
                <w:rtl/>
              </w:rPr>
            </w:pPr>
          </w:p>
        </w:tc>
        <w:tc>
          <w:tcPr>
            <w:tcW w:w="2097" w:type="dxa"/>
            <w:vAlign w:val="bottom"/>
          </w:tcPr>
          <w:p w14:paraId="1DEDA72C" w14:textId="77777777" w:rsidR="00C21C3C" w:rsidRPr="005B00BC" w:rsidRDefault="00C21C3C" w:rsidP="00A61A8A">
            <w:pPr>
              <w:pStyle w:val="-21"/>
              <w:spacing w:before="0"/>
              <w:rPr>
                <w:sz w:val="16"/>
                <w:szCs w:val="16"/>
                <w:rtl/>
              </w:rPr>
            </w:pPr>
            <w:r>
              <w:rPr>
                <w:rFonts w:hint="eastAsia"/>
                <w:sz w:val="16"/>
                <w:szCs w:val="16"/>
                <w:rtl/>
              </w:rPr>
              <w:t>זכויות</w:t>
            </w:r>
            <w:r>
              <w:rPr>
                <w:sz w:val="16"/>
                <w:szCs w:val="16"/>
                <w:rtl/>
              </w:rPr>
              <w:t xml:space="preserve"> </w:t>
            </w:r>
            <w:r>
              <w:rPr>
                <w:rFonts w:hint="eastAsia"/>
                <w:sz w:val="16"/>
                <w:szCs w:val="16"/>
                <w:rtl/>
              </w:rPr>
              <w:t>שאינן</w:t>
            </w:r>
            <w:r>
              <w:rPr>
                <w:sz w:val="16"/>
                <w:szCs w:val="16"/>
                <w:rtl/>
              </w:rPr>
              <w:t xml:space="preserve"> </w:t>
            </w:r>
            <w:r>
              <w:rPr>
                <w:rFonts w:hint="eastAsia"/>
                <w:sz w:val="16"/>
                <w:szCs w:val="16"/>
                <w:rtl/>
              </w:rPr>
              <w:t>מקנות</w:t>
            </w:r>
            <w:r>
              <w:rPr>
                <w:sz w:val="16"/>
                <w:szCs w:val="16"/>
                <w:rtl/>
              </w:rPr>
              <w:t xml:space="preserve"> </w:t>
            </w:r>
            <w:r>
              <w:rPr>
                <w:rFonts w:hint="eastAsia"/>
                <w:sz w:val="16"/>
                <w:szCs w:val="16"/>
                <w:rtl/>
              </w:rPr>
              <w:t>שליטה</w:t>
            </w:r>
            <w:r>
              <w:rPr>
                <w:sz w:val="16"/>
                <w:szCs w:val="16"/>
                <w:rtl/>
              </w:rPr>
              <w:t xml:space="preserve"> </w:t>
            </w:r>
            <w:r>
              <w:rPr>
                <w:rFonts w:hint="eastAsia"/>
                <w:sz w:val="16"/>
                <w:szCs w:val="16"/>
                <w:rtl/>
              </w:rPr>
              <w:t>שנוצרו</w:t>
            </w:r>
            <w:r>
              <w:rPr>
                <w:sz w:val="16"/>
                <w:szCs w:val="16"/>
                <w:rtl/>
              </w:rPr>
              <w:t xml:space="preserve"> </w:t>
            </w:r>
            <w:r>
              <w:rPr>
                <w:rFonts w:hint="eastAsia"/>
                <w:sz w:val="16"/>
                <w:szCs w:val="16"/>
                <w:rtl/>
              </w:rPr>
              <w:t>בצירוף</w:t>
            </w:r>
            <w:r>
              <w:rPr>
                <w:sz w:val="16"/>
                <w:szCs w:val="16"/>
                <w:rtl/>
              </w:rPr>
              <w:t xml:space="preserve"> </w:t>
            </w:r>
            <w:r>
              <w:rPr>
                <w:rFonts w:hint="eastAsia"/>
                <w:sz w:val="16"/>
                <w:szCs w:val="16"/>
                <w:rtl/>
              </w:rPr>
              <w:t>עסקים</w:t>
            </w:r>
          </w:p>
        </w:tc>
        <w:tc>
          <w:tcPr>
            <w:tcW w:w="780" w:type="dxa"/>
            <w:vAlign w:val="bottom"/>
          </w:tcPr>
          <w:p w14:paraId="413303F3" w14:textId="77777777" w:rsidR="00C21C3C" w:rsidRPr="00513F0D" w:rsidRDefault="00C21C3C" w:rsidP="00A61A8A">
            <w:pPr>
              <w:pStyle w:val="-3"/>
              <w:rPr>
                <w:sz w:val="16"/>
                <w:szCs w:val="16"/>
                <w:rtl/>
              </w:rPr>
            </w:pPr>
            <w:r w:rsidRPr="00CF2A74">
              <w:rPr>
                <w:sz w:val="16"/>
                <w:szCs w:val="16"/>
                <w:rtl/>
              </w:rPr>
              <w:t>-</w:t>
            </w:r>
          </w:p>
        </w:tc>
        <w:tc>
          <w:tcPr>
            <w:tcW w:w="865" w:type="dxa"/>
            <w:vAlign w:val="bottom"/>
          </w:tcPr>
          <w:p w14:paraId="5D2B4742" w14:textId="77777777" w:rsidR="00C21C3C" w:rsidRPr="00513F0D" w:rsidRDefault="00C21C3C" w:rsidP="00A61A8A">
            <w:pPr>
              <w:pStyle w:val="-3"/>
              <w:rPr>
                <w:sz w:val="16"/>
                <w:szCs w:val="16"/>
                <w:rtl/>
              </w:rPr>
            </w:pPr>
            <w:r w:rsidRPr="00CF2A74">
              <w:rPr>
                <w:sz w:val="16"/>
                <w:szCs w:val="16"/>
                <w:rtl/>
              </w:rPr>
              <w:t>-</w:t>
            </w:r>
          </w:p>
        </w:tc>
        <w:tc>
          <w:tcPr>
            <w:tcW w:w="939" w:type="dxa"/>
            <w:vAlign w:val="bottom"/>
          </w:tcPr>
          <w:p w14:paraId="6059A1D7" w14:textId="77777777" w:rsidR="00C21C3C" w:rsidRPr="00513F0D" w:rsidRDefault="00C21C3C" w:rsidP="00A61A8A">
            <w:pPr>
              <w:pStyle w:val="-3"/>
              <w:rPr>
                <w:sz w:val="16"/>
                <w:szCs w:val="16"/>
                <w:rtl/>
              </w:rPr>
            </w:pPr>
            <w:r w:rsidRPr="00CF2A74">
              <w:rPr>
                <w:sz w:val="16"/>
                <w:szCs w:val="16"/>
                <w:rtl/>
              </w:rPr>
              <w:t>-</w:t>
            </w:r>
          </w:p>
        </w:tc>
        <w:tc>
          <w:tcPr>
            <w:tcW w:w="737" w:type="dxa"/>
            <w:vAlign w:val="bottom"/>
          </w:tcPr>
          <w:p w14:paraId="69A2A067" w14:textId="77777777" w:rsidR="00C21C3C" w:rsidRPr="00513F0D" w:rsidRDefault="00C21C3C" w:rsidP="00A61A8A">
            <w:pPr>
              <w:pStyle w:val="-3"/>
              <w:rPr>
                <w:sz w:val="16"/>
                <w:szCs w:val="16"/>
                <w:rtl/>
              </w:rPr>
            </w:pPr>
            <w:r w:rsidRPr="00CF2A74">
              <w:rPr>
                <w:sz w:val="16"/>
                <w:szCs w:val="16"/>
                <w:rtl/>
              </w:rPr>
              <w:t>-</w:t>
            </w:r>
          </w:p>
        </w:tc>
        <w:tc>
          <w:tcPr>
            <w:tcW w:w="1374" w:type="dxa"/>
            <w:vAlign w:val="bottom"/>
          </w:tcPr>
          <w:p w14:paraId="1EF06D75" w14:textId="77777777" w:rsidR="00C21C3C" w:rsidRPr="009A7E4A" w:rsidRDefault="00C21C3C" w:rsidP="00A61A8A">
            <w:pPr>
              <w:pStyle w:val="-3"/>
              <w:rPr>
                <w:sz w:val="16"/>
                <w:szCs w:val="16"/>
                <w:rtl/>
              </w:rPr>
            </w:pPr>
            <w:r w:rsidRPr="009A7E4A">
              <w:rPr>
                <w:sz w:val="16"/>
                <w:szCs w:val="16"/>
                <w:rtl/>
              </w:rPr>
              <w:t>-</w:t>
            </w:r>
          </w:p>
        </w:tc>
        <w:tc>
          <w:tcPr>
            <w:tcW w:w="743" w:type="dxa"/>
            <w:vAlign w:val="bottom"/>
          </w:tcPr>
          <w:p w14:paraId="08A3D369" w14:textId="77777777" w:rsidR="00C21C3C" w:rsidRPr="00513F0D" w:rsidRDefault="00C21C3C" w:rsidP="00A61A8A">
            <w:pPr>
              <w:pStyle w:val="-3"/>
              <w:jc w:val="left"/>
              <w:rPr>
                <w:sz w:val="16"/>
                <w:szCs w:val="16"/>
                <w:rtl/>
              </w:rPr>
            </w:pPr>
            <w:r w:rsidRPr="00CF2A74">
              <w:rPr>
                <w:sz w:val="16"/>
                <w:szCs w:val="16"/>
                <w:rtl/>
              </w:rPr>
              <w:t xml:space="preserve"> -</w:t>
            </w:r>
          </w:p>
        </w:tc>
        <w:tc>
          <w:tcPr>
            <w:tcW w:w="746" w:type="dxa"/>
            <w:vAlign w:val="bottom"/>
          </w:tcPr>
          <w:p w14:paraId="0FF21593" w14:textId="77777777" w:rsidR="00C21C3C" w:rsidRPr="00CF2A74" w:rsidRDefault="00C21C3C" w:rsidP="00A61A8A">
            <w:pPr>
              <w:pStyle w:val="-3"/>
              <w:jc w:val="left"/>
              <w:rPr>
                <w:sz w:val="16"/>
                <w:szCs w:val="16"/>
                <w:rtl/>
              </w:rPr>
            </w:pPr>
            <w:r w:rsidRPr="00CF2A74">
              <w:rPr>
                <w:sz w:val="16"/>
                <w:szCs w:val="16"/>
                <w:rtl/>
              </w:rPr>
              <w:t>-</w:t>
            </w:r>
          </w:p>
        </w:tc>
        <w:tc>
          <w:tcPr>
            <w:tcW w:w="982" w:type="dxa"/>
            <w:vAlign w:val="bottom"/>
          </w:tcPr>
          <w:p w14:paraId="5532653E" w14:textId="77777777" w:rsidR="00C21C3C" w:rsidRPr="00513F0D" w:rsidRDefault="00C21C3C" w:rsidP="00A61A8A">
            <w:pPr>
              <w:pStyle w:val="-3"/>
              <w:jc w:val="left"/>
              <w:rPr>
                <w:sz w:val="16"/>
                <w:szCs w:val="16"/>
                <w:rtl/>
              </w:rPr>
            </w:pPr>
            <w:r w:rsidRPr="00CF2A74">
              <w:rPr>
                <w:sz w:val="16"/>
                <w:szCs w:val="16"/>
                <w:rtl/>
              </w:rPr>
              <w:t xml:space="preserve"> -</w:t>
            </w:r>
          </w:p>
        </w:tc>
        <w:tc>
          <w:tcPr>
            <w:tcW w:w="708" w:type="dxa"/>
            <w:vAlign w:val="bottom"/>
          </w:tcPr>
          <w:p w14:paraId="0962E83F" w14:textId="77777777" w:rsidR="00C21C3C" w:rsidRPr="00513F0D" w:rsidRDefault="00C21C3C" w:rsidP="00A61A8A">
            <w:pPr>
              <w:pStyle w:val="-3"/>
              <w:jc w:val="left"/>
              <w:rPr>
                <w:sz w:val="16"/>
                <w:szCs w:val="16"/>
                <w:rtl/>
              </w:rPr>
            </w:pPr>
            <w:r w:rsidRPr="00CF2A74">
              <w:rPr>
                <w:sz w:val="16"/>
                <w:szCs w:val="16"/>
                <w:rtl/>
              </w:rPr>
              <w:t xml:space="preserve"> -</w:t>
            </w:r>
          </w:p>
        </w:tc>
        <w:tc>
          <w:tcPr>
            <w:tcW w:w="930" w:type="dxa"/>
            <w:vAlign w:val="bottom"/>
          </w:tcPr>
          <w:p w14:paraId="327481DE" w14:textId="77777777" w:rsidR="00C21C3C" w:rsidRPr="00513F0D" w:rsidRDefault="00C21C3C" w:rsidP="00A61A8A">
            <w:pPr>
              <w:pStyle w:val="-3"/>
              <w:jc w:val="left"/>
              <w:rPr>
                <w:sz w:val="16"/>
                <w:szCs w:val="16"/>
                <w:rtl/>
              </w:rPr>
            </w:pPr>
            <w:r w:rsidRPr="00CF2A74">
              <w:rPr>
                <w:sz w:val="16"/>
                <w:szCs w:val="16"/>
                <w:rtl/>
              </w:rPr>
              <w:t xml:space="preserve"> -</w:t>
            </w:r>
          </w:p>
        </w:tc>
        <w:tc>
          <w:tcPr>
            <w:tcW w:w="792" w:type="dxa"/>
            <w:vAlign w:val="bottom"/>
          </w:tcPr>
          <w:p w14:paraId="3AA6F857" w14:textId="77777777" w:rsidR="00C21C3C" w:rsidRPr="00513F0D" w:rsidRDefault="00C21C3C" w:rsidP="00A61A8A">
            <w:pPr>
              <w:pStyle w:val="-3"/>
              <w:jc w:val="left"/>
              <w:rPr>
                <w:sz w:val="16"/>
                <w:szCs w:val="16"/>
                <w:rtl/>
              </w:rPr>
            </w:pPr>
            <w:r w:rsidRPr="00CF2A74">
              <w:rPr>
                <w:sz w:val="16"/>
                <w:szCs w:val="16"/>
                <w:rtl/>
              </w:rPr>
              <w:t xml:space="preserve"> -</w:t>
            </w:r>
          </w:p>
        </w:tc>
        <w:tc>
          <w:tcPr>
            <w:tcW w:w="1126" w:type="dxa"/>
            <w:vAlign w:val="bottom"/>
          </w:tcPr>
          <w:p w14:paraId="32920184" w14:textId="77777777" w:rsidR="00C21C3C" w:rsidRPr="00513F0D" w:rsidRDefault="00C21C3C" w:rsidP="00A61A8A">
            <w:pPr>
              <w:pStyle w:val="-3"/>
              <w:jc w:val="left"/>
              <w:rPr>
                <w:sz w:val="16"/>
                <w:szCs w:val="16"/>
                <w:rtl/>
              </w:rPr>
            </w:pPr>
            <w:r>
              <w:rPr>
                <w:rFonts w:hint="cs"/>
                <w:sz w:val="16"/>
                <w:szCs w:val="16"/>
                <w:rtl/>
              </w:rPr>
              <w:t xml:space="preserve"> -</w:t>
            </w:r>
          </w:p>
        </w:tc>
        <w:tc>
          <w:tcPr>
            <w:tcW w:w="726" w:type="dxa"/>
            <w:vAlign w:val="bottom"/>
          </w:tcPr>
          <w:p w14:paraId="2650EB9D" w14:textId="77777777" w:rsidR="00C21C3C" w:rsidRPr="00513F0D" w:rsidRDefault="00C21C3C" w:rsidP="00A61A8A">
            <w:pPr>
              <w:pStyle w:val="-3"/>
              <w:jc w:val="left"/>
              <w:rPr>
                <w:sz w:val="16"/>
                <w:szCs w:val="16"/>
                <w:rtl/>
              </w:rPr>
            </w:pPr>
            <w:r w:rsidRPr="00CF2A74">
              <w:rPr>
                <w:sz w:val="16"/>
                <w:szCs w:val="16"/>
                <w:rtl/>
              </w:rPr>
              <w:t xml:space="preserve"> 0</w:t>
            </w:r>
          </w:p>
        </w:tc>
        <w:tc>
          <w:tcPr>
            <w:tcW w:w="676" w:type="dxa"/>
            <w:vAlign w:val="bottom"/>
          </w:tcPr>
          <w:p w14:paraId="096BA487" w14:textId="77777777" w:rsidR="00C21C3C" w:rsidRPr="00513F0D" w:rsidRDefault="00C21C3C" w:rsidP="00A61A8A">
            <w:pPr>
              <w:pStyle w:val="-3"/>
              <w:jc w:val="left"/>
              <w:rPr>
                <w:sz w:val="16"/>
                <w:szCs w:val="16"/>
                <w:rtl/>
              </w:rPr>
            </w:pPr>
            <w:r w:rsidRPr="00CF2A74">
              <w:rPr>
                <w:sz w:val="16"/>
                <w:szCs w:val="16"/>
                <w:rtl/>
              </w:rPr>
              <w:t xml:space="preserve"> 0</w:t>
            </w:r>
          </w:p>
        </w:tc>
      </w:tr>
      <w:tr w:rsidR="00C21C3C" w:rsidRPr="00513F0D" w14:paraId="0B63CDD0" w14:textId="77777777" w:rsidTr="004A1ADA">
        <w:tc>
          <w:tcPr>
            <w:tcW w:w="850" w:type="dxa"/>
          </w:tcPr>
          <w:p w14:paraId="15D199A9" w14:textId="77777777" w:rsidR="00C21C3C" w:rsidRPr="00513F0D" w:rsidRDefault="00C21C3C" w:rsidP="00A61A8A">
            <w:pPr>
              <w:pStyle w:val="-7"/>
              <w:bidi w:val="0"/>
              <w:ind w:right="-231"/>
              <w:jc w:val="left"/>
              <w:rPr>
                <w:spacing w:val="-6"/>
                <w:sz w:val="16"/>
                <w:szCs w:val="16"/>
                <w:rtl/>
              </w:rPr>
            </w:pPr>
          </w:p>
        </w:tc>
        <w:tc>
          <w:tcPr>
            <w:tcW w:w="2097" w:type="dxa"/>
            <w:vAlign w:val="bottom"/>
          </w:tcPr>
          <w:p w14:paraId="2500A0F8" w14:textId="77777777" w:rsidR="00C21C3C" w:rsidRPr="005B00BC" w:rsidRDefault="00C21C3C" w:rsidP="00A61A8A">
            <w:pPr>
              <w:pStyle w:val="-21"/>
              <w:spacing w:before="0"/>
              <w:rPr>
                <w:sz w:val="16"/>
                <w:szCs w:val="16"/>
                <w:rtl/>
              </w:rPr>
            </w:pPr>
            <w:r>
              <w:rPr>
                <w:rFonts w:hint="eastAsia"/>
                <w:sz w:val="16"/>
                <w:szCs w:val="16"/>
                <w:rtl/>
              </w:rPr>
              <w:t>רכישת</w:t>
            </w:r>
            <w:r>
              <w:rPr>
                <w:sz w:val="16"/>
                <w:szCs w:val="16"/>
                <w:rtl/>
              </w:rPr>
              <w:t xml:space="preserve"> </w:t>
            </w:r>
            <w:r>
              <w:rPr>
                <w:rFonts w:hint="eastAsia"/>
                <w:sz w:val="16"/>
                <w:szCs w:val="16"/>
                <w:rtl/>
              </w:rPr>
              <w:t>מניות</w:t>
            </w:r>
            <w:r>
              <w:rPr>
                <w:sz w:val="16"/>
                <w:szCs w:val="16"/>
                <w:rtl/>
              </w:rPr>
              <w:t xml:space="preserve"> </w:t>
            </w:r>
            <w:r>
              <w:rPr>
                <w:rFonts w:hint="eastAsia"/>
                <w:sz w:val="16"/>
                <w:szCs w:val="16"/>
                <w:rtl/>
              </w:rPr>
              <w:t>באוצר</w:t>
            </w:r>
            <w:r>
              <w:rPr>
                <w:sz w:val="16"/>
                <w:szCs w:val="16"/>
                <w:rtl/>
              </w:rPr>
              <w:t xml:space="preserve"> </w:t>
            </w:r>
            <w:r>
              <w:rPr>
                <w:rFonts w:hint="eastAsia"/>
                <w:sz w:val="16"/>
                <w:szCs w:val="16"/>
                <w:rtl/>
              </w:rPr>
              <w:t>על</w:t>
            </w:r>
            <w:r>
              <w:rPr>
                <w:sz w:val="16"/>
                <w:szCs w:val="16"/>
                <w:rtl/>
              </w:rPr>
              <w:t xml:space="preserve"> </w:t>
            </w:r>
            <w:r>
              <w:rPr>
                <w:rFonts w:hint="eastAsia"/>
                <w:sz w:val="16"/>
                <w:szCs w:val="16"/>
                <w:rtl/>
              </w:rPr>
              <w:t>ידי</w:t>
            </w:r>
            <w:r>
              <w:rPr>
                <w:sz w:val="16"/>
                <w:szCs w:val="16"/>
                <w:rtl/>
              </w:rPr>
              <w:t xml:space="preserve"> </w:t>
            </w:r>
            <w:r>
              <w:rPr>
                <w:rFonts w:hint="eastAsia"/>
                <w:sz w:val="16"/>
                <w:szCs w:val="16"/>
                <w:rtl/>
              </w:rPr>
              <w:t>התאגיד</w:t>
            </w:r>
            <w:r>
              <w:rPr>
                <w:sz w:val="16"/>
                <w:szCs w:val="16"/>
                <w:rtl/>
              </w:rPr>
              <w:t xml:space="preserve"> </w:t>
            </w:r>
            <w:r>
              <w:rPr>
                <w:rFonts w:hint="eastAsia"/>
                <w:sz w:val="16"/>
                <w:szCs w:val="16"/>
                <w:rtl/>
              </w:rPr>
              <w:t>הבנקאי</w:t>
            </w:r>
            <w:r>
              <w:rPr>
                <w:sz w:val="16"/>
                <w:szCs w:val="16"/>
                <w:rtl/>
              </w:rPr>
              <w:t>/</w:t>
            </w:r>
            <w:r>
              <w:rPr>
                <w:rFonts w:hint="eastAsia"/>
                <w:sz w:val="16"/>
                <w:szCs w:val="16"/>
                <w:rtl/>
              </w:rPr>
              <w:t>חברה</w:t>
            </w:r>
            <w:r>
              <w:rPr>
                <w:sz w:val="16"/>
                <w:szCs w:val="16"/>
                <w:rtl/>
              </w:rPr>
              <w:t xml:space="preserve"> </w:t>
            </w:r>
            <w:r>
              <w:rPr>
                <w:rFonts w:hint="eastAsia"/>
                <w:sz w:val="16"/>
                <w:szCs w:val="16"/>
                <w:rtl/>
              </w:rPr>
              <w:t>בת</w:t>
            </w:r>
          </w:p>
        </w:tc>
        <w:tc>
          <w:tcPr>
            <w:tcW w:w="780" w:type="dxa"/>
            <w:vAlign w:val="bottom"/>
          </w:tcPr>
          <w:p w14:paraId="242C0E65" w14:textId="77777777" w:rsidR="00C21C3C" w:rsidRPr="00513F0D" w:rsidRDefault="00C21C3C" w:rsidP="00A61A8A">
            <w:pPr>
              <w:pStyle w:val="-3"/>
              <w:rPr>
                <w:sz w:val="16"/>
                <w:szCs w:val="16"/>
                <w:rtl/>
              </w:rPr>
            </w:pPr>
            <w:r w:rsidRPr="00CF2A74">
              <w:rPr>
                <w:sz w:val="16"/>
                <w:szCs w:val="16"/>
                <w:rtl/>
              </w:rPr>
              <w:t>-</w:t>
            </w:r>
          </w:p>
        </w:tc>
        <w:tc>
          <w:tcPr>
            <w:tcW w:w="865" w:type="dxa"/>
            <w:vAlign w:val="bottom"/>
          </w:tcPr>
          <w:p w14:paraId="4930EEAD" w14:textId="77777777" w:rsidR="00C21C3C" w:rsidRPr="00513F0D" w:rsidRDefault="00C21C3C" w:rsidP="00A61A8A">
            <w:pPr>
              <w:pStyle w:val="-3"/>
              <w:rPr>
                <w:sz w:val="16"/>
                <w:szCs w:val="16"/>
                <w:rtl/>
              </w:rPr>
            </w:pPr>
            <w:r w:rsidRPr="00CF2A74">
              <w:rPr>
                <w:sz w:val="16"/>
                <w:szCs w:val="16"/>
                <w:rtl/>
              </w:rPr>
              <w:t>-</w:t>
            </w:r>
          </w:p>
        </w:tc>
        <w:tc>
          <w:tcPr>
            <w:tcW w:w="939" w:type="dxa"/>
            <w:vAlign w:val="bottom"/>
          </w:tcPr>
          <w:p w14:paraId="75414AF5" w14:textId="77777777" w:rsidR="00C21C3C" w:rsidRPr="00513F0D" w:rsidRDefault="00C21C3C" w:rsidP="00A61A8A">
            <w:pPr>
              <w:pStyle w:val="-3"/>
              <w:rPr>
                <w:sz w:val="16"/>
                <w:szCs w:val="16"/>
                <w:rtl/>
              </w:rPr>
            </w:pPr>
            <w:r w:rsidRPr="00CF2A74">
              <w:rPr>
                <w:sz w:val="16"/>
                <w:szCs w:val="16"/>
                <w:rtl/>
              </w:rPr>
              <w:t>-</w:t>
            </w:r>
          </w:p>
        </w:tc>
        <w:tc>
          <w:tcPr>
            <w:tcW w:w="737" w:type="dxa"/>
            <w:vAlign w:val="bottom"/>
          </w:tcPr>
          <w:p w14:paraId="64E594EF" w14:textId="77777777" w:rsidR="00C21C3C" w:rsidRPr="00513F0D" w:rsidRDefault="00C21C3C" w:rsidP="00A61A8A">
            <w:pPr>
              <w:pStyle w:val="-3"/>
              <w:rPr>
                <w:sz w:val="16"/>
                <w:szCs w:val="16"/>
                <w:rtl/>
              </w:rPr>
            </w:pPr>
            <w:r w:rsidRPr="00CF2A74">
              <w:rPr>
                <w:sz w:val="16"/>
                <w:szCs w:val="16"/>
                <w:rtl/>
              </w:rPr>
              <w:t>-</w:t>
            </w:r>
          </w:p>
        </w:tc>
        <w:tc>
          <w:tcPr>
            <w:tcW w:w="1374" w:type="dxa"/>
            <w:vAlign w:val="bottom"/>
          </w:tcPr>
          <w:p w14:paraId="568F7F72" w14:textId="77777777" w:rsidR="00C21C3C" w:rsidRPr="009A7E4A" w:rsidRDefault="00C21C3C" w:rsidP="00A61A8A">
            <w:pPr>
              <w:pStyle w:val="-3"/>
              <w:rPr>
                <w:sz w:val="16"/>
                <w:szCs w:val="16"/>
                <w:rtl/>
              </w:rPr>
            </w:pPr>
            <w:r w:rsidRPr="009A7E4A">
              <w:rPr>
                <w:sz w:val="16"/>
                <w:szCs w:val="16"/>
                <w:rtl/>
              </w:rPr>
              <w:t>-</w:t>
            </w:r>
          </w:p>
        </w:tc>
        <w:tc>
          <w:tcPr>
            <w:tcW w:w="743" w:type="dxa"/>
            <w:vAlign w:val="bottom"/>
          </w:tcPr>
          <w:p w14:paraId="5A192476" w14:textId="77777777" w:rsidR="00C21C3C" w:rsidRPr="00513F0D" w:rsidRDefault="00C21C3C" w:rsidP="00A61A8A">
            <w:pPr>
              <w:pStyle w:val="-3"/>
              <w:jc w:val="left"/>
              <w:rPr>
                <w:sz w:val="16"/>
                <w:szCs w:val="16"/>
                <w:rtl/>
              </w:rPr>
            </w:pPr>
            <w:r w:rsidRPr="00CF2A74">
              <w:rPr>
                <w:sz w:val="16"/>
                <w:szCs w:val="16"/>
                <w:rtl/>
              </w:rPr>
              <w:t xml:space="preserve"> -</w:t>
            </w:r>
          </w:p>
        </w:tc>
        <w:tc>
          <w:tcPr>
            <w:tcW w:w="746" w:type="dxa"/>
            <w:vAlign w:val="bottom"/>
          </w:tcPr>
          <w:p w14:paraId="119899DD" w14:textId="77777777" w:rsidR="00C21C3C" w:rsidRPr="00CF2A74" w:rsidRDefault="00C21C3C" w:rsidP="00A61A8A">
            <w:pPr>
              <w:pStyle w:val="-3"/>
              <w:jc w:val="left"/>
              <w:rPr>
                <w:sz w:val="16"/>
                <w:szCs w:val="16"/>
                <w:rtl/>
              </w:rPr>
            </w:pPr>
            <w:r w:rsidRPr="00CF2A74">
              <w:rPr>
                <w:sz w:val="16"/>
                <w:szCs w:val="16"/>
                <w:rtl/>
              </w:rPr>
              <w:t>0</w:t>
            </w:r>
          </w:p>
        </w:tc>
        <w:tc>
          <w:tcPr>
            <w:tcW w:w="982" w:type="dxa"/>
            <w:vAlign w:val="bottom"/>
          </w:tcPr>
          <w:p w14:paraId="26536258" w14:textId="77777777" w:rsidR="00C21C3C" w:rsidRPr="00513F0D" w:rsidRDefault="00C21C3C" w:rsidP="00A61A8A">
            <w:pPr>
              <w:pStyle w:val="-3"/>
              <w:jc w:val="left"/>
              <w:rPr>
                <w:sz w:val="16"/>
                <w:szCs w:val="16"/>
                <w:rtl/>
              </w:rPr>
            </w:pPr>
            <w:r w:rsidRPr="00CF2A74">
              <w:rPr>
                <w:sz w:val="16"/>
                <w:szCs w:val="16"/>
                <w:rtl/>
              </w:rPr>
              <w:t xml:space="preserve"> 0</w:t>
            </w:r>
          </w:p>
        </w:tc>
        <w:tc>
          <w:tcPr>
            <w:tcW w:w="708" w:type="dxa"/>
            <w:vAlign w:val="bottom"/>
          </w:tcPr>
          <w:p w14:paraId="67F08024" w14:textId="77777777" w:rsidR="00C21C3C" w:rsidRPr="00513F0D" w:rsidRDefault="00C21C3C" w:rsidP="00A61A8A">
            <w:pPr>
              <w:pStyle w:val="-3"/>
              <w:jc w:val="left"/>
              <w:rPr>
                <w:sz w:val="16"/>
                <w:szCs w:val="16"/>
                <w:rtl/>
              </w:rPr>
            </w:pPr>
            <w:r w:rsidRPr="00CF2A74">
              <w:rPr>
                <w:sz w:val="16"/>
                <w:szCs w:val="16"/>
                <w:rtl/>
              </w:rPr>
              <w:t xml:space="preserve"> -</w:t>
            </w:r>
          </w:p>
        </w:tc>
        <w:tc>
          <w:tcPr>
            <w:tcW w:w="930" w:type="dxa"/>
            <w:vAlign w:val="bottom"/>
          </w:tcPr>
          <w:p w14:paraId="1070CB6F" w14:textId="77777777" w:rsidR="00C21C3C" w:rsidRPr="00513F0D" w:rsidRDefault="00C21C3C" w:rsidP="00A61A8A">
            <w:pPr>
              <w:pStyle w:val="-3"/>
              <w:jc w:val="left"/>
              <w:rPr>
                <w:sz w:val="16"/>
                <w:szCs w:val="16"/>
                <w:rtl/>
              </w:rPr>
            </w:pPr>
            <w:r w:rsidRPr="00CF2A74">
              <w:rPr>
                <w:sz w:val="16"/>
                <w:szCs w:val="16"/>
                <w:rtl/>
              </w:rPr>
              <w:t xml:space="preserve"> -</w:t>
            </w:r>
          </w:p>
        </w:tc>
        <w:tc>
          <w:tcPr>
            <w:tcW w:w="792" w:type="dxa"/>
            <w:vAlign w:val="bottom"/>
          </w:tcPr>
          <w:p w14:paraId="52391972" w14:textId="77777777" w:rsidR="00C21C3C" w:rsidRPr="00513F0D" w:rsidRDefault="00C21C3C" w:rsidP="00A61A8A">
            <w:pPr>
              <w:pStyle w:val="-3"/>
              <w:jc w:val="left"/>
              <w:rPr>
                <w:sz w:val="16"/>
                <w:szCs w:val="16"/>
                <w:rtl/>
              </w:rPr>
            </w:pPr>
            <w:r w:rsidRPr="00CF2A74">
              <w:rPr>
                <w:sz w:val="16"/>
                <w:szCs w:val="16"/>
                <w:rtl/>
              </w:rPr>
              <w:t xml:space="preserve"> -</w:t>
            </w:r>
          </w:p>
        </w:tc>
        <w:tc>
          <w:tcPr>
            <w:tcW w:w="1126" w:type="dxa"/>
            <w:vAlign w:val="bottom"/>
          </w:tcPr>
          <w:p w14:paraId="73920620" w14:textId="77777777" w:rsidR="00C21C3C" w:rsidRPr="00513F0D" w:rsidRDefault="00C21C3C" w:rsidP="00A61A8A">
            <w:pPr>
              <w:pStyle w:val="-3"/>
              <w:jc w:val="left"/>
              <w:rPr>
                <w:sz w:val="16"/>
                <w:szCs w:val="16"/>
                <w:rtl/>
              </w:rPr>
            </w:pPr>
            <w:r w:rsidRPr="00CF2A74">
              <w:rPr>
                <w:sz w:val="16"/>
                <w:szCs w:val="16"/>
                <w:rtl/>
              </w:rPr>
              <w:t xml:space="preserve"> 0</w:t>
            </w:r>
          </w:p>
        </w:tc>
        <w:tc>
          <w:tcPr>
            <w:tcW w:w="726" w:type="dxa"/>
            <w:vAlign w:val="bottom"/>
          </w:tcPr>
          <w:p w14:paraId="4401E00D" w14:textId="77777777" w:rsidR="00C21C3C" w:rsidRPr="00513F0D" w:rsidRDefault="00C21C3C" w:rsidP="00A61A8A">
            <w:pPr>
              <w:pStyle w:val="-3"/>
              <w:jc w:val="left"/>
              <w:rPr>
                <w:sz w:val="16"/>
                <w:szCs w:val="16"/>
                <w:rtl/>
              </w:rPr>
            </w:pPr>
            <w:r w:rsidRPr="00CF2A74">
              <w:rPr>
                <w:sz w:val="16"/>
                <w:szCs w:val="16"/>
                <w:rtl/>
              </w:rPr>
              <w:t xml:space="preserve"> 0</w:t>
            </w:r>
          </w:p>
        </w:tc>
        <w:tc>
          <w:tcPr>
            <w:tcW w:w="676" w:type="dxa"/>
            <w:vAlign w:val="bottom"/>
          </w:tcPr>
          <w:p w14:paraId="16FD3841" w14:textId="77777777" w:rsidR="00C21C3C" w:rsidRPr="00513F0D" w:rsidRDefault="00C21C3C" w:rsidP="00A61A8A">
            <w:pPr>
              <w:pStyle w:val="-3"/>
              <w:jc w:val="left"/>
              <w:rPr>
                <w:sz w:val="16"/>
                <w:szCs w:val="16"/>
                <w:rtl/>
              </w:rPr>
            </w:pPr>
            <w:r w:rsidRPr="00CF2A74">
              <w:rPr>
                <w:sz w:val="16"/>
                <w:szCs w:val="16"/>
                <w:rtl/>
              </w:rPr>
              <w:t xml:space="preserve"> 0</w:t>
            </w:r>
          </w:p>
        </w:tc>
      </w:tr>
      <w:tr w:rsidR="00C21C3C" w:rsidRPr="00513F0D" w14:paraId="5FA8AF68" w14:textId="77777777" w:rsidTr="004A1ADA">
        <w:tc>
          <w:tcPr>
            <w:tcW w:w="850" w:type="dxa"/>
          </w:tcPr>
          <w:p w14:paraId="0EDB60E2" w14:textId="77777777" w:rsidR="00C21C3C" w:rsidRPr="00513F0D" w:rsidRDefault="00C21C3C" w:rsidP="00A61A8A">
            <w:pPr>
              <w:pStyle w:val="-7"/>
              <w:bidi w:val="0"/>
              <w:ind w:right="-231"/>
              <w:jc w:val="left"/>
              <w:rPr>
                <w:spacing w:val="-6"/>
                <w:sz w:val="16"/>
                <w:szCs w:val="16"/>
                <w:rtl/>
              </w:rPr>
            </w:pPr>
          </w:p>
        </w:tc>
        <w:tc>
          <w:tcPr>
            <w:tcW w:w="2097" w:type="dxa"/>
            <w:vAlign w:val="bottom"/>
          </w:tcPr>
          <w:p w14:paraId="11207A0C" w14:textId="77777777" w:rsidR="00C21C3C" w:rsidRPr="005B00BC" w:rsidRDefault="00C21C3C" w:rsidP="00A61A8A">
            <w:pPr>
              <w:pStyle w:val="-0"/>
              <w:rPr>
                <w:sz w:val="16"/>
                <w:szCs w:val="16"/>
                <w:rtl/>
              </w:rPr>
            </w:pPr>
            <w:r>
              <w:rPr>
                <w:rFonts w:hint="eastAsia"/>
                <w:sz w:val="16"/>
                <w:szCs w:val="16"/>
                <w:rtl/>
              </w:rPr>
              <w:t>רכישה</w:t>
            </w:r>
            <w:r>
              <w:rPr>
                <w:sz w:val="16"/>
                <w:szCs w:val="16"/>
                <w:rtl/>
              </w:rPr>
              <w:t xml:space="preserve"> </w:t>
            </w:r>
            <w:r>
              <w:rPr>
                <w:rFonts w:hint="eastAsia"/>
                <w:sz w:val="16"/>
                <w:szCs w:val="16"/>
                <w:rtl/>
              </w:rPr>
              <w:t>נוספת</w:t>
            </w:r>
            <w:r>
              <w:rPr>
                <w:sz w:val="16"/>
                <w:szCs w:val="16"/>
                <w:rtl/>
              </w:rPr>
              <w:t xml:space="preserve"> </w:t>
            </w:r>
            <w:r>
              <w:rPr>
                <w:rFonts w:hint="eastAsia"/>
                <w:sz w:val="16"/>
                <w:szCs w:val="16"/>
                <w:rtl/>
              </w:rPr>
              <w:t>של</w:t>
            </w:r>
            <w:r>
              <w:rPr>
                <w:sz w:val="16"/>
                <w:szCs w:val="16"/>
                <w:rtl/>
              </w:rPr>
              <w:t xml:space="preserve"> </w:t>
            </w:r>
            <w:r>
              <w:rPr>
                <w:rFonts w:hint="eastAsia"/>
                <w:sz w:val="16"/>
                <w:szCs w:val="16"/>
                <w:rtl/>
              </w:rPr>
              <w:t>מניות</w:t>
            </w:r>
            <w:r>
              <w:rPr>
                <w:sz w:val="16"/>
                <w:szCs w:val="16"/>
                <w:rtl/>
              </w:rPr>
              <w:t xml:space="preserve"> </w:t>
            </w:r>
            <w:r>
              <w:rPr>
                <w:rFonts w:hint="eastAsia"/>
                <w:sz w:val="16"/>
                <w:szCs w:val="16"/>
                <w:rtl/>
              </w:rPr>
              <w:t>חברה</w:t>
            </w:r>
            <w:r>
              <w:rPr>
                <w:sz w:val="16"/>
                <w:szCs w:val="16"/>
                <w:rtl/>
              </w:rPr>
              <w:t xml:space="preserve"> </w:t>
            </w:r>
            <w:r>
              <w:rPr>
                <w:rFonts w:hint="eastAsia"/>
                <w:sz w:val="16"/>
                <w:szCs w:val="16"/>
                <w:rtl/>
              </w:rPr>
              <w:t>בת</w:t>
            </w:r>
            <w:r w:rsidRPr="00216AE5">
              <w:rPr>
                <w:sz w:val="14"/>
                <w:szCs w:val="14"/>
                <w:vertAlign w:val="superscript"/>
                <w:rtl/>
              </w:rPr>
              <w:t>[</w:t>
            </w:r>
            <w:r w:rsidRPr="00216AE5">
              <w:rPr>
                <w:rStyle w:val="a7"/>
                <w:sz w:val="14"/>
                <w:szCs w:val="14"/>
                <w:rtl/>
              </w:rPr>
              <w:footnoteReference w:id="19"/>
            </w:r>
            <w:r w:rsidRPr="00216AE5">
              <w:rPr>
                <w:sz w:val="14"/>
                <w:szCs w:val="14"/>
                <w:vertAlign w:val="superscript"/>
                <w:rtl/>
              </w:rPr>
              <w:t>]</w:t>
            </w:r>
          </w:p>
        </w:tc>
        <w:tc>
          <w:tcPr>
            <w:tcW w:w="780" w:type="dxa"/>
            <w:vAlign w:val="bottom"/>
          </w:tcPr>
          <w:p w14:paraId="25F6DDD3" w14:textId="77777777" w:rsidR="00C21C3C" w:rsidRPr="00513F0D" w:rsidRDefault="00C21C3C" w:rsidP="00A61A8A">
            <w:pPr>
              <w:pStyle w:val="-3"/>
              <w:rPr>
                <w:sz w:val="16"/>
                <w:szCs w:val="16"/>
                <w:rtl/>
              </w:rPr>
            </w:pPr>
            <w:r w:rsidRPr="00CF2A74">
              <w:rPr>
                <w:sz w:val="16"/>
                <w:szCs w:val="16"/>
                <w:rtl/>
              </w:rPr>
              <w:t>-</w:t>
            </w:r>
          </w:p>
        </w:tc>
        <w:tc>
          <w:tcPr>
            <w:tcW w:w="865" w:type="dxa"/>
            <w:vAlign w:val="bottom"/>
          </w:tcPr>
          <w:p w14:paraId="0AA8BBBA" w14:textId="77777777" w:rsidR="00C21C3C" w:rsidRPr="00513F0D" w:rsidRDefault="00C21C3C" w:rsidP="00A61A8A">
            <w:pPr>
              <w:pStyle w:val="-3"/>
              <w:rPr>
                <w:sz w:val="16"/>
                <w:szCs w:val="16"/>
                <w:rtl/>
              </w:rPr>
            </w:pPr>
            <w:r w:rsidRPr="00CF2A74">
              <w:rPr>
                <w:sz w:val="16"/>
                <w:szCs w:val="16"/>
                <w:rtl/>
              </w:rPr>
              <w:t>-</w:t>
            </w:r>
          </w:p>
        </w:tc>
        <w:tc>
          <w:tcPr>
            <w:tcW w:w="939" w:type="dxa"/>
            <w:vAlign w:val="bottom"/>
          </w:tcPr>
          <w:p w14:paraId="06367A68" w14:textId="77777777" w:rsidR="00C21C3C" w:rsidRPr="00513F0D" w:rsidRDefault="00C21C3C" w:rsidP="00A61A8A">
            <w:pPr>
              <w:pStyle w:val="-3"/>
              <w:rPr>
                <w:sz w:val="16"/>
                <w:szCs w:val="16"/>
                <w:rtl/>
              </w:rPr>
            </w:pPr>
            <w:r w:rsidRPr="00CF2A74">
              <w:rPr>
                <w:sz w:val="16"/>
                <w:szCs w:val="16"/>
                <w:rtl/>
              </w:rPr>
              <w:t>-</w:t>
            </w:r>
          </w:p>
        </w:tc>
        <w:tc>
          <w:tcPr>
            <w:tcW w:w="737" w:type="dxa"/>
            <w:vAlign w:val="bottom"/>
          </w:tcPr>
          <w:p w14:paraId="7302A538" w14:textId="77777777" w:rsidR="00C21C3C" w:rsidRPr="00513F0D" w:rsidRDefault="00C21C3C" w:rsidP="00A61A8A">
            <w:pPr>
              <w:pStyle w:val="-3"/>
              <w:rPr>
                <w:sz w:val="16"/>
                <w:szCs w:val="16"/>
                <w:rtl/>
              </w:rPr>
            </w:pPr>
            <w:r>
              <w:rPr>
                <w:rFonts w:hint="cs"/>
                <w:sz w:val="16"/>
                <w:szCs w:val="16"/>
                <w:rtl/>
              </w:rPr>
              <w:t>0</w:t>
            </w:r>
          </w:p>
        </w:tc>
        <w:tc>
          <w:tcPr>
            <w:tcW w:w="1374" w:type="dxa"/>
            <w:vAlign w:val="bottom"/>
          </w:tcPr>
          <w:p w14:paraId="47895373" w14:textId="77777777" w:rsidR="00C21C3C" w:rsidRPr="009A7E4A" w:rsidRDefault="00C21C3C" w:rsidP="00A61A8A">
            <w:pPr>
              <w:pStyle w:val="-3"/>
              <w:rPr>
                <w:sz w:val="16"/>
                <w:szCs w:val="16"/>
                <w:rtl/>
              </w:rPr>
            </w:pPr>
            <w:r w:rsidRPr="009A7E4A">
              <w:rPr>
                <w:sz w:val="16"/>
                <w:szCs w:val="16"/>
                <w:rtl/>
              </w:rPr>
              <w:t>-</w:t>
            </w:r>
          </w:p>
        </w:tc>
        <w:tc>
          <w:tcPr>
            <w:tcW w:w="743" w:type="dxa"/>
            <w:vAlign w:val="bottom"/>
          </w:tcPr>
          <w:p w14:paraId="7A533139" w14:textId="77777777" w:rsidR="00C21C3C" w:rsidRDefault="00C21C3C" w:rsidP="00A61A8A">
            <w:pPr>
              <w:pStyle w:val="-3"/>
              <w:jc w:val="left"/>
              <w:rPr>
                <w:sz w:val="16"/>
                <w:szCs w:val="16"/>
                <w:rtl/>
              </w:rPr>
            </w:pPr>
            <w:r w:rsidRPr="00CF2A74">
              <w:rPr>
                <w:sz w:val="16"/>
                <w:szCs w:val="16"/>
                <w:rtl/>
              </w:rPr>
              <w:t xml:space="preserve"> </w:t>
            </w:r>
            <w:r>
              <w:rPr>
                <w:rFonts w:hint="cs"/>
                <w:sz w:val="16"/>
                <w:szCs w:val="16"/>
                <w:rtl/>
              </w:rPr>
              <w:t>-</w:t>
            </w:r>
          </w:p>
        </w:tc>
        <w:tc>
          <w:tcPr>
            <w:tcW w:w="746" w:type="dxa"/>
            <w:vAlign w:val="bottom"/>
          </w:tcPr>
          <w:p w14:paraId="64945EBA" w14:textId="77777777" w:rsidR="00C21C3C" w:rsidRPr="00CF2A74" w:rsidRDefault="00C21C3C" w:rsidP="00A61A8A">
            <w:pPr>
              <w:pStyle w:val="-3"/>
              <w:jc w:val="left"/>
              <w:rPr>
                <w:sz w:val="16"/>
                <w:szCs w:val="16"/>
                <w:rtl/>
              </w:rPr>
            </w:pPr>
            <w:r w:rsidRPr="00CF2A74">
              <w:rPr>
                <w:sz w:val="16"/>
                <w:szCs w:val="16"/>
                <w:rtl/>
              </w:rPr>
              <w:t>-</w:t>
            </w:r>
          </w:p>
        </w:tc>
        <w:tc>
          <w:tcPr>
            <w:tcW w:w="982" w:type="dxa"/>
            <w:vAlign w:val="bottom"/>
          </w:tcPr>
          <w:p w14:paraId="2B02EBB3" w14:textId="77777777" w:rsidR="00C21C3C" w:rsidRPr="00513F0D" w:rsidRDefault="00C21C3C" w:rsidP="00A61A8A">
            <w:pPr>
              <w:pStyle w:val="-3"/>
              <w:jc w:val="left"/>
              <w:rPr>
                <w:sz w:val="16"/>
                <w:szCs w:val="16"/>
                <w:rtl/>
              </w:rPr>
            </w:pPr>
            <w:r w:rsidRPr="00CF2A74">
              <w:rPr>
                <w:sz w:val="16"/>
                <w:szCs w:val="16"/>
                <w:rtl/>
              </w:rPr>
              <w:t xml:space="preserve"> 0</w:t>
            </w:r>
          </w:p>
        </w:tc>
        <w:tc>
          <w:tcPr>
            <w:tcW w:w="708" w:type="dxa"/>
            <w:vAlign w:val="bottom"/>
          </w:tcPr>
          <w:p w14:paraId="2A18FB9C" w14:textId="77777777" w:rsidR="00C21C3C" w:rsidRPr="00513F0D" w:rsidRDefault="00C21C3C" w:rsidP="00A61A8A">
            <w:pPr>
              <w:pStyle w:val="-3"/>
              <w:jc w:val="left"/>
              <w:rPr>
                <w:sz w:val="16"/>
                <w:szCs w:val="16"/>
                <w:rtl/>
              </w:rPr>
            </w:pPr>
            <w:r w:rsidRPr="00CF2A74">
              <w:rPr>
                <w:sz w:val="16"/>
                <w:szCs w:val="16"/>
                <w:rtl/>
              </w:rPr>
              <w:t xml:space="preserve"> -</w:t>
            </w:r>
          </w:p>
        </w:tc>
        <w:tc>
          <w:tcPr>
            <w:tcW w:w="930" w:type="dxa"/>
            <w:vAlign w:val="bottom"/>
          </w:tcPr>
          <w:p w14:paraId="1B795163" w14:textId="77777777" w:rsidR="00C21C3C" w:rsidRPr="00513F0D" w:rsidRDefault="00C21C3C" w:rsidP="00A61A8A">
            <w:pPr>
              <w:pStyle w:val="-3"/>
              <w:jc w:val="left"/>
              <w:rPr>
                <w:sz w:val="16"/>
                <w:szCs w:val="16"/>
                <w:rtl/>
              </w:rPr>
            </w:pPr>
            <w:r w:rsidRPr="00CF2A74">
              <w:rPr>
                <w:sz w:val="16"/>
                <w:szCs w:val="16"/>
                <w:rtl/>
              </w:rPr>
              <w:t xml:space="preserve"> -</w:t>
            </w:r>
          </w:p>
        </w:tc>
        <w:tc>
          <w:tcPr>
            <w:tcW w:w="792" w:type="dxa"/>
            <w:vAlign w:val="bottom"/>
          </w:tcPr>
          <w:p w14:paraId="183401E8" w14:textId="77777777" w:rsidR="00C21C3C" w:rsidRPr="00513F0D" w:rsidRDefault="00C21C3C" w:rsidP="00A61A8A">
            <w:pPr>
              <w:pStyle w:val="-3"/>
              <w:jc w:val="left"/>
              <w:rPr>
                <w:sz w:val="16"/>
                <w:szCs w:val="16"/>
                <w:rtl/>
              </w:rPr>
            </w:pPr>
            <w:r w:rsidRPr="00CF2A74">
              <w:rPr>
                <w:sz w:val="16"/>
                <w:szCs w:val="16"/>
                <w:rtl/>
              </w:rPr>
              <w:t xml:space="preserve"> -</w:t>
            </w:r>
          </w:p>
        </w:tc>
        <w:tc>
          <w:tcPr>
            <w:tcW w:w="1126" w:type="dxa"/>
            <w:vAlign w:val="bottom"/>
          </w:tcPr>
          <w:p w14:paraId="1E39EAF0" w14:textId="77777777" w:rsidR="00C21C3C" w:rsidRPr="00513F0D" w:rsidRDefault="00C21C3C" w:rsidP="00A61A8A">
            <w:pPr>
              <w:pStyle w:val="-3"/>
              <w:jc w:val="left"/>
              <w:rPr>
                <w:sz w:val="16"/>
                <w:szCs w:val="16"/>
                <w:rtl/>
              </w:rPr>
            </w:pPr>
            <w:r w:rsidRPr="00CF2A74">
              <w:rPr>
                <w:sz w:val="16"/>
                <w:szCs w:val="16"/>
                <w:rtl/>
              </w:rPr>
              <w:t xml:space="preserve"> 0</w:t>
            </w:r>
          </w:p>
        </w:tc>
        <w:tc>
          <w:tcPr>
            <w:tcW w:w="726" w:type="dxa"/>
            <w:vAlign w:val="bottom"/>
          </w:tcPr>
          <w:p w14:paraId="2EF6C1DF" w14:textId="77777777" w:rsidR="00C21C3C" w:rsidRPr="00513F0D" w:rsidRDefault="00C21C3C" w:rsidP="00A61A8A">
            <w:pPr>
              <w:pStyle w:val="-3"/>
              <w:jc w:val="left"/>
              <w:rPr>
                <w:sz w:val="16"/>
                <w:szCs w:val="16"/>
                <w:rtl/>
              </w:rPr>
            </w:pPr>
            <w:r w:rsidRPr="00CF2A74">
              <w:rPr>
                <w:sz w:val="16"/>
                <w:szCs w:val="16"/>
                <w:rtl/>
              </w:rPr>
              <w:t xml:space="preserve"> 0</w:t>
            </w:r>
          </w:p>
        </w:tc>
        <w:tc>
          <w:tcPr>
            <w:tcW w:w="676" w:type="dxa"/>
            <w:vAlign w:val="bottom"/>
          </w:tcPr>
          <w:p w14:paraId="4B7842D4" w14:textId="77777777" w:rsidR="00C21C3C" w:rsidRPr="00513F0D" w:rsidRDefault="00C21C3C" w:rsidP="00A61A8A">
            <w:pPr>
              <w:pStyle w:val="-3"/>
              <w:jc w:val="left"/>
              <w:rPr>
                <w:sz w:val="16"/>
                <w:szCs w:val="16"/>
                <w:rtl/>
              </w:rPr>
            </w:pPr>
            <w:r w:rsidRPr="00CF2A74">
              <w:rPr>
                <w:sz w:val="16"/>
                <w:szCs w:val="16"/>
                <w:rtl/>
              </w:rPr>
              <w:t xml:space="preserve"> 0</w:t>
            </w:r>
          </w:p>
        </w:tc>
      </w:tr>
      <w:tr w:rsidR="00C21C3C" w:rsidRPr="00513F0D" w14:paraId="19F16E82" w14:textId="77777777" w:rsidTr="004A1ADA">
        <w:tc>
          <w:tcPr>
            <w:tcW w:w="850" w:type="dxa"/>
          </w:tcPr>
          <w:p w14:paraId="655E144D" w14:textId="77777777" w:rsidR="00C21C3C" w:rsidRPr="00513F0D" w:rsidRDefault="00C21C3C" w:rsidP="00A61A8A">
            <w:pPr>
              <w:pStyle w:val="-7"/>
              <w:bidi w:val="0"/>
              <w:ind w:right="-231"/>
              <w:jc w:val="left"/>
              <w:rPr>
                <w:spacing w:val="-6"/>
                <w:sz w:val="16"/>
                <w:szCs w:val="16"/>
                <w:rtl/>
              </w:rPr>
            </w:pPr>
          </w:p>
        </w:tc>
        <w:tc>
          <w:tcPr>
            <w:tcW w:w="2097" w:type="dxa"/>
            <w:vAlign w:val="bottom"/>
          </w:tcPr>
          <w:p w14:paraId="653DC0E9" w14:textId="6A2D0D2D" w:rsidR="00C21C3C" w:rsidRPr="005B00BC" w:rsidRDefault="00C21C3C" w:rsidP="00C54A90">
            <w:pPr>
              <w:pStyle w:val="-21"/>
              <w:spacing w:before="0"/>
              <w:rPr>
                <w:b/>
                <w:bCs/>
                <w:sz w:val="16"/>
                <w:szCs w:val="16"/>
                <w:rtl/>
              </w:rPr>
            </w:pPr>
            <w:r>
              <w:rPr>
                <w:rFonts w:hint="eastAsia"/>
                <w:sz w:val="16"/>
                <w:szCs w:val="16"/>
                <w:rtl/>
              </w:rPr>
              <w:t>ירידה</w:t>
            </w:r>
            <w:r>
              <w:rPr>
                <w:sz w:val="16"/>
                <w:szCs w:val="16"/>
                <w:rtl/>
              </w:rPr>
              <w:t xml:space="preserve"> </w:t>
            </w:r>
            <w:r>
              <w:rPr>
                <w:rFonts w:hint="eastAsia"/>
                <w:sz w:val="16"/>
                <w:szCs w:val="16"/>
                <w:rtl/>
              </w:rPr>
              <w:t>בשיעור</w:t>
            </w:r>
            <w:r>
              <w:rPr>
                <w:sz w:val="16"/>
                <w:szCs w:val="16"/>
                <w:rtl/>
              </w:rPr>
              <w:t xml:space="preserve"> </w:t>
            </w:r>
            <w:r>
              <w:rPr>
                <w:rFonts w:hint="eastAsia"/>
                <w:sz w:val="16"/>
                <w:szCs w:val="16"/>
                <w:rtl/>
              </w:rPr>
              <w:t>החזקה</w:t>
            </w:r>
            <w:r>
              <w:rPr>
                <w:sz w:val="16"/>
                <w:szCs w:val="16"/>
                <w:rtl/>
              </w:rPr>
              <w:t xml:space="preserve"> </w:t>
            </w:r>
            <w:r>
              <w:rPr>
                <w:rFonts w:hint="eastAsia"/>
                <w:sz w:val="16"/>
                <w:szCs w:val="16"/>
                <w:rtl/>
              </w:rPr>
              <w:t>ללא</w:t>
            </w:r>
            <w:r>
              <w:rPr>
                <w:sz w:val="16"/>
                <w:szCs w:val="16"/>
                <w:rtl/>
              </w:rPr>
              <w:t xml:space="preserve"> </w:t>
            </w:r>
            <w:r>
              <w:rPr>
                <w:rFonts w:hint="eastAsia"/>
                <w:sz w:val="16"/>
                <w:szCs w:val="16"/>
                <w:rtl/>
              </w:rPr>
              <w:t>איבוד</w:t>
            </w:r>
            <w:r>
              <w:rPr>
                <w:sz w:val="16"/>
                <w:szCs w:val="16"/>
                <w:rtl/>
              </w:rPr>
              <w:t xml:space="preserve"> </w:t>
            </w:r>
            <w:r>
              <w:rPr>
                <w:rFonts w:hint="eastAsia"/>
                <w:sz w:val="16"/>
                <w:szCs w:val="16"/>
                <w:rtl/>
              </w:rPr>
              <w:t>שליטה</w:t>
            </w:r>
            <w:r>
              <w:rPr>
                <w:sz w:val="16"/>
                <w:szCs w:val="16"/>
                <w:rtl/>
              </w:rPr>
              <w:t xml:space="preserve"> </w:t>
            </w:r>
            <w:r>
              <w:rPr>
                <w:rFonts w:hint="eastAsia"/>
                <w:sz w:val="16"/>
                <w:szCs w:val="16"/>
                <w:rtl/>
              </w:rPr>
              <w:t>בחברה</w:t>
            </w:r>
            <w:r>
              <w:rPr>
                <w:sz w:val="16"/>
                <w:szCs w:val="16"/>
                <w:rtl/>
              </w:rPr>
              <w:t xml:space="preserve"> </w:t>
            </w:r>
            <w:r>
              <w:rPr>
                <w:rFonts w:hint="eastAsia"/>
                <w:sz w:val="16"/>
                <w:szCs w:val="16"/>
                <w:rtl/>
              </w:rPr>
              <w:t>בת</w:t>
            </w:r>
            <w:r w:rsidRPr="00B44059">
              <w:rPr>
                <w:sz w:val="14"/>
                <w:szCs w:val="14"/>
                <w:vertAlign w:val="superscript"/>
                <w:rtl/>
              </w:rPr>
              <w:t>[</w:t>
            </w:r>
            <w:r w:rsidR="00381E05">
              <w:rPr>
                <w:rFonts w:hint="cs"/>
                <w:sz w:val="14"/>
                <w:szCs w:val="14"/>
                <w:vertAlign w:val="superscript"/>
                <w:rtl/>
              </w:rPr>
              <w:t>2</w:t>
            </w:r>
            <w:r w:rsidRPr="00B44059">
              <w:rPr>
                <w:sz w:val="14"/>
                <w:szCs w:val="14"/>
                <w:vertAlign w:val="superscript"/>
                <w:rtl/>
              </w:rPr>
              <w:t>]</w:t>
            </w:r>
          </w:p>
        </w:tc>
        <w:tc>
          <w:tcPr>
            <w:tcW w:w="780" w:type="dxa"/>
            <w:vAlign w:val="bottom"/>
          </w:tcPr>
          <w:p w14:paraId="0D1E9CEA" w14:textId="77777777" w:rsidR="00C21C3C" w:rsidRPr="00513F0D" w:rsidRDefault="00C21C3C" w:rsidP="00A61A8A">
            <w:pPr>
              <w:pStyle w:val="-3"/>
              <w:rPr>
                <w:sz w:val="16"/>
                <w:szCs w:val="16"/>
                <w:rtl/>
              </w:rPr>
            </w:pPr>
            <w:r w:rsidRPr="00CF2A74">
              <w:rPr>
                <w:sz w:val="16"/>
                <w:szCs w:val="16"/>
                <w:rtl/>
              </w:rPr>
              <w:t>-</w:t>
            </w:r>
          </w:p>
        </w:tc>
        <w:tc>
          <w:tcPr>
            <w:tcW w:w="865" w:type="dxa"/>
            <w:vAlign w:val="bottom"/>
          </w:tcPr>
          <w:p w14:paraId="6A76708E" w14:textId="77777777" w:rsidR="00C21C3C" w:rsidRPr="00513F0D" w:rsidRDefault="00C21C3C" w:rsidP="00A61A8A">
            <w:pPr>
              <w:pStyle w:val="-3"/>
              <w:rPr>
                <w:sz w:val="16"/>
                <w:szCs w:val="16"/>
                <w:rtl/>
              </w:rPr>
            </w:pPr>
            <w:r w:rsidRPr="00CF2A74">
              <w:rPr>
                <w:sz w:val="16"/>
                <w:szCs w:val="16"/>
                <w:rtl/>
              </w:rPr>
              <w:t>-</w:t>
            </w:r>
          </w:p>
        </w:tc>
        <w:tc>
          <w:tcPr>
            <w:tcW w:w="939" w:type="dxa"/>
            <w:vAlign w:val="bottom"/>
          </w:tcPr>
          <w:p w14:paraId="5CC8F697" w14:textId="77777777" w:rsidR="00C21C3C" w:rsidRPr="00513F0D" w:rsidRDefault="00C21C3C" w:rsidP="00A61A8A">
            <w:pPr>
              <w:pStyle w:val="-3"/>
              <w:rPr>
                <w:sz w:val="16"/>
                <w:szCs w:val="16"/>
                <w:rtl/>
              </w:rPr>
            </w:pPr>
            <w:r w:rsidRPr="00CF2A74">
              <w:rPr>
                <w:sz w:val="16"/>
                <w:szCs w:val="16"/>
                <w:rtl/>
              </w:rPr>
              <w:t>-</w:t>
            </w:r>
          </w:p>
        </w:tc>
        <w:tc>
          <w:tcPr>
            <w:tcW w:w="737" w:type="dxa"/>
            <w:vAlign w:val="bottom"/>
          </w:tcPr>
          <w:p w14:paraId="24A8D420" w14:textId="77777777" w:rsidR="00C21C3C" w:rsidRPr="00513F0D" w:rsidRDefault="00C21C3C" w:rsidP="00A61A8A">
            <w:pPr>
              <w:pStyle w:val="-3"/>
              <w:rPr>
                <w:sz w:val="16"/>
                <w:szCs w:val="16"/>
                <w:rtl/>
              </w:rPr>
            </w:pPr>
            <w:r>
              <w:rPr>
                <w:rFonts w:hint="cs"/>
                <w:sz w:val="16"/>
                <w:szCs w:val="16"/>
                <w:rtl/>
              </w:rPr>
              <w:t>0</w:t>
            </w:r>
          </w:p>
        </w:tc>
        <w:tc>
          <w:tcPr>
            <w:tcW w:w="1374" w:type="dxa"/>
            <w:vAlign w:val="bottom"/>
          </w:tcPr>
          <w:p w14:paraId="7BDE9E39" w14:textId="77777777" w:rsidR="00C21C3C" w:rsidRPr="009A7E4A" w:rsidRDefault="00C21C3C" w:rsidP="00A61A8A">
            <w:pPr>
              <w:pStyle w:val="-3"/>
              <w:rPr>
                <w:sz w:val="16"/>
                <w:szCs w:val="16"/>
                <w:rtl/>
              </w:rPr>
            </w:pPr>
            <w:r w:rsidRPr="009A7E4A">
              <w:rPr>
                <w:sz w:val="16"/>
                <w:szCs w:val="16"/>
                <w:rtl/>
              </w:rPr>
              <w:t>-</w:t>
            </w:r>
          </w:p>
        </w:tc>
        <w:tc>
          <w:tcPr>
            <w:tcW w:w="743" w:type="dxa"/>
            <w:vAlign w:val="bottom"/>
          </w:tcPr>
          <w:p w14:paraId="2668DF4E" w14:textId="77777777" w:rsidR="00C21C3C" w:rsidRDefault="00C21C3C" w:rsidP="00A61A8A">
            <w:pPr>
              <w:pStyle w:val="-3"/>
              <w:jc w:val="left"/>
              <w:rPr>
                <w:sz w:val="16"/>
                <w:szCs w:val="16"/>
                <w:rtl/>
              </w:rPr>
            </w:pPr>
            <w:r w:rsidRPr="00CF2A74">
              <w:rPr>
                <w:sz w:val="16"/>
                <w:szCs w:val="16"/>
                <w:rtl/>
              </w:rPr>
              <w:t xml:space="preserve"> </w:t>
            </w:r>
            <w:r>
              <w:rPr>
                <w:rFonts w:hint="cs"/>
                <w:sz w:val="16"/>
                <w:szCs w:val="16"/>
                <w:rtl/>
              </w:rPr>
              <w:t>-</w:t>
            </w:r>
          </w:p>
        </w:tc>
        <w:tc>
          <w:tcPr>
            <w:tcW w:w="746" w:type="dxa"/>
            <w:vAlign w:val="bottom"/>
          </w:tcPr>
          <w:p w14:paraId="204B6AB6" w14:textId="77777777" w:rsidR="00C21C3C" w:rsidRPr="00CF2A74" w:rsidRDefault="00C21C3C" w:rsidP="00A61A8A">
            <w:pPr>
              <w:pStyle w:val="-3"/>
              <w:jc w:val="left"/>
              <w:rPr>
                <w:sz w:val="16"/>
                <w:szCs w:val="16"/>
                <w:rtl/>
              </w:rPr>
            </w:pPr>
            <w:r w:rsidRPr="00CF2A74">
              <w:rPr>
                <w:sz w:val="16"/>
                <w:szCs w:val="16"/>
                <w:rtl/>
              </w:rPr>
              <w:t>-</w:t>
            </w:r>
          </w:p>
        </w:tc>
        <w:tc>
          <w:tcPr>
            <w:tcW w:w="982" w:type="dxa"/>
            <w:vAlign w:val="bottom"/>
          </w:tcPr>
          <w:p w14:paraId="08498483" w14:textId="77777777" w:rsidR="00C21C3C" w:rsidRPr="00513F0D" w:rsidRDefault="00C21C3C" w:rsidP="00A61A8A">
            <w:pPr>
              <w:pStyle w:val="-3"/>
              <w:jc w:val="left"/>
              <w:rPr>
                <w:sz w:val="16"/>
                <w:szCs w:val="16"/>
                <w:rtl/>
              </w:rPr>
            </w:pPr>
            <w:r w:rsidRPr="00CF2A74">
              <w:rPr>
                <w:sz w:val="16"/>
                <w:szCs w:val="16"/>
                <w:rtl/>
              </w:rPr>
              <w:t xml:space="preserve"> 0</w:t>
            </w:r>
          </w:p>
        </w:tc>
        <w:tc>
          <w:tcPr>
            <w:tcW w:w="708" w:type="dxa"/>
            <w:vAlign w:val="bottom"/>
          </w:tcPr>
          <w:p w14:paraId="076D5881" w14:textId="77777777" w:rsidR="00C21C3C" w:rsidRPr="00513F0D" w:rsidRDefault="00C21C3C" w:rsidP="00A61A8A">
            <w:pPr>
              <w:pStyle w:val="-3"/>
              <w:jc w:val="left"/>
              <w:rPr>
                <w:sz w:val="16"/>
                <w:szCs w:val="16"/>
                <w:rtl/>
              </w:rPr>
            </w:pPr>
            <w:r w:rsidRPr="00CF2A74">
              <w:rPr>
                <w:sz w:val="16"/>
                <w:szCs w:val="16"/>
                <w:rtl/>
              </w:rPr>
              <w:t xml:space="preserve"> -</w:t>
            </w:r>
          </w:p>
        </w:tc>
        <w:tc>
          <w:tcPr>
            <w:tcW w:w="930" w:type="dxa"/>
            <w:vAlign w:val="bottom"/>
          </w:tcPr>
          <w:p w14:paraId="08E90836" w14:textId="77777777" w:rsidR="00C21C3C" w:rsidRPr="00513F0D" w:rsidRDefault="00C21C3C" w:rsidP="00A61A8A">
            <w:pPr>
              <w:pStyle w:val="-3"/>
              <w:jc w:val="left"/>
              <w:rPr>
                <w:sz w:val="16"/>
                <w:szCs w:val="16"/>
                <w:rtl/>
              </w:rPr>
            </w:pPr>
            <w:r w:rsidRPr="00CF2A74">
              <w:rPr>
                <w:sz w:val="16"/>
                <w:szCs w:val="16"/>
                <w:rtl/>
              </w:rPr>
              <w:t xml:space="preserve"> -</w:t>
            </w:r>
          </w:p>
        </w:tc>
        <w:tc>
          <w:tcPr>
            <w:tcW w:w="792" w:type="dxa"/>
            <w:vAlign w:val="bottom"/>
          </w:tcPr>
          <w:p w14:paraId="6EECADB2" w14:textId="77777777" w:rsidR="00C21C3C" w:rsidRPr="00513F0D" w:rsidRDefault="00C21C3C" w:rsidP="00A61A8A">
            <w:pPr>
              <w:pStyle w:val="-3"/>
              <w:jc w:val="left"/>
              <w:rPr>
                <w:sz w:val="16"/>
                <w:szCs w:val="16"/>
                <w:rtl/>
              </w:rPr>
            </w:pPr>
            <w:r w:rsidRPr="00CF2A74">
              <w:rPr>
                <w:sz w:val="16"/>
                <w:szCs w:val="16"/>
                <w:rtl/>
              </w:rPr>
              <w:t xml:space="preserve"> -</w:t>
            </w:r>
          </w:p>
        </w:tc>
        <w:tc>
          <w:tcPr>
            <w:tcW w:w="1126" w:type="dxa"/>
            <w:vAlign w:val="bottom"/>
          </w:tcPr>
          <w:p w14:paraId="08D07AB5" w14:textId="77777777" w:rsidR="00C21C3C" w:rsidRPr="00513F0D" w:rsidRDefault="00C21C3C" w:rsidP="00A61A8A">
            <w:pPr>
              <w:pStyle w:val="-3"/>
              <w:jc w:val="left"/>
              <w:rPr>
                <w:sz w:val="16"/>
                <w:szCs w:val="16"/>
                <w:rtl/>
              </w:rPr>
            </w:pPr>
            <w:r w:rsidRPr="00CF2A74">
              <w:rPr>
                <w:sz w:val="16"/>
                <w:szCs w:val="16"/>
                <w:rtl/>
              </w:rPr>
              <w:t xml:space="preserve"> 0</w:t>
            </w:r>
          </w:p>
        </w:tc>
        <w:tc>
          <w:tcPr>
            <w:tcW w:w="726" w:type="dxa"/>
            <w:vAlign w:val="bottom"/>
          </w:tcPr>
          <w:p w14:paraId="41001ABD" w14:textId="77777777" w:rsidR="00C21C3C" w:rsidRPr="00513F0D" w:rsidRDefault="00C21C3C" w:rsidP="00A61A8A">
            <w:pPr>
              <w:pStyle w:val="-3"/>
              <w:jc w:val="left"/>
              <w:rPr>
                <w:sz w:val="16"/>
                <w:szCs w:val="16"/>
                <w:rtl/>
              </w:rPr>
            </w:pPr>
            <w:r w:rsidRPr="00CF2A74">
              <w:rPr>
                <w:sz w:val="16"/>
                <w:szCs w:val="16"/>
                <w:rtl/>
              </w:rPr>
              <w:t xml:space="preserve"> 0</w:t>
            </w:r>
          </w:p>
        </w:tc>
        <w:tc>
          <w:tcPr>
            <w:tcW w:w="676" w:type="dxa"/>
            <w:vAlign w:val="bottom"/>
          </w:tcPr>
          <w:p w14:paraId="3C0EAC36" w14:textId="77777777" w:rsidR="00C21C3C" w:rsidRPr="00513F0D" w:rsidRDefault="00C21C3C" w:rsidP="00A61A8A">
            <w:pPr>
              <w:pStyle w:val="-3"/>
              <w:jc w:val="left"/>
              <w:rPr>
                <w:sz w:val="16"/>
                <w:szCs w:val="16"/>
                <w:rtl/>
              </w:rPr>
            </w:pPr>
            <w:r w:rsidRPr="00CF2A74">
              <w:rPr>
                <w:sz w:val="16"/>
                <w:szCs w:val="16"/>
                <w:rtl/>
              </w:rPr>
              <w:t xml:space="preserve"> 0</w:t>
            </w:r>
          </w:p>
        </w:tc>
      </w:tr>
      <w:tr w:rsidR="00C21C3C" w:rsidRPr="00513F0D" w14:paraId="4A04D683" w14:textId="77777777" w:rsidTr="004A1ADA">
        <w:tc>
          <w:tcPr>
            <w:tcW w:w="850" w:type="dxa"/>
          </w:tcPr>
          <w:p w14:paraId="5E29315D" w14:textId="77777777" w:rsidR="00C21C3C" w:rsidRPr="00513F0D" w:rsidRDefault="00C21C3C" w:rsidP="00A61A8A">
            <w:pPr>
              <w:pStyle w:val="-7"/>
              <w:bidi w:val="0"/>
              <w:ind w:right="-231"/>
              <w:jc w:val="left"/>
              <w:rPr>
                <w:spacing w:val="-6"/>
                <w:sz w:val="16"/>
                <w:szCs w:val="16"/>
                <w:rtl/>
              </w:rPr>
            </w:pPr>
          </w:p>
        </w:tc>
        <w:tc>
          <w:tcPr>
            <w:tcW w:w="2097" w:type="dxa"/>
            <w:vAlign w:val="bottom"/>
          </w:tcPr>
          <w:p w14:paraId="6D57A934" w14:textId="77777777" w:rsidR="00C21C3C" w:rsidRPr="005B00BC" w:rsidRDefault="00C21C3C" w:rsidP="00A61A8A">
            <w:pPr>
              <w:pStyle w:val="-21"/>
              <w:spacing w:before="0"/>
              <w:rPr>
                <w:sz w:val="16"/>
                <w:szCs w:val="16"/>
                <w:rtl/>
              </w:rPr>
            </w:pPr>
            <w:r>
              <w:rPr>
                <w:rFonts w:hint="eastAsia"/>
                <w:sz w:val="16"/>
                <w:szCs w:val="16"/>
                <w:rtl/>
              </w:rPr>
              <w:t>דיבידנד</w:t>
            </w:r>
            <w:r>
              <w:rPr>
                <w:sz w:val="16"/>
                <w:szCs w:val="16"/>
                <w:rtl/>
              </w:rPr>
              <w:t xml:space="preserve"> </w:t>
            </w:r>
            <w:r>
              <w:rPr>
                <w:rFonts w:hint="eastAsia"/>
                <w:sz w:val="16"/>
                <w:szCs w:val="16"/>
                <w:rtl/>
              </w:rPr>
              <w:t>לבעלי</w:t>
            </w:r>
            <w:r>
              <w:rPr>
                <w:sz w:val="16"/>
                <w:szCs w:val="16"/>
                <w:rtl/>
              </w:rPr>
              <w:t xml:space="preserve"> </w:t>
            </w:r>
            <w:r>
              <w:rPr>
                <w:rFonts w:hint="eastAsia"/>
                <w:sz w:val="16"/>
                <w:szCs w:val="16"/>
                <w:rtl/>
              </w:rPr>
              <w:t>זכויות</w:t>
            </w:r>
            <w:r>
              <w:rPr>
                <w:sz w:val="16"/>
                <w:szCs w:val="16"/>
                <w:rtl/>
              </w:rPr>
              <w:t xml:space="preserve"> </w:t>
            </w:r>
            <w:r>
              <w:rPr>
                <w:rFonts w:hint="eastAsia"/>
                <w:sz w:val="16"/>
                <w:szCs w:val="16"/>
                <w:rtl/>
              </w:rPr>
              <w:t>שאינן</w:t>
            </w:r>
            <w:r>
              <w:rPr>
                <w:sz w:val="16"/>
                <w:szCs w:val="16"/>
                <w:rtl/>
              </w:rPr>
              <w:t xml:space="preserve"> </w:t>
            </w:r>
            <w:r>
              <w:rPr>
                <w:rFonts w:hint="eastAsia"/>
                <w:sz w:val="16"/>
                <w:szCs w:val="16"/>
                <w:rtl/>
              </w:rPr>
              <w:t>מקנות</w:t>
            </w:r>
            <w:r>
              <w:rPr>
                <w:sz w:val="16"/>
                <w:szCs w:val="16"/>
                <w:rtl/>
              </w:rPr>
              <w:t xml:space="preserve"> </w:t>
            </w:r>
            <w:r>
              <w:rPr>
                <w:rFonts w:hint="eastAsia"/>
                <w:sz w:val="16"/>
                <w:szCs w:val="16"/>
                <w:rtl/>
              </w:rPr>
              <w:t>שליטה</w:t>
            </w:r>
            <w:r>
              <w:rPr>
                <w:sz w:val="16"/>
                <w:szCs w:val="16"/>
                <w:rtl/>
              </w:rPr>
              <w:t xml:space="preserve"> </w:t>
            </w:r>
            <w:r>
              <w:rPr>
                <w:rFonts w:hint="eastAsia"/>
                <w:sz w:val="16"/>
                <w:szCs w:val="16"/>
                <w:rtl/>
              </w:rPr>
              <w:t>בחברות</w:t>
            </w:r>
            <w:r>
              <w:rPr>
                <w:sz w:val="16"/>
                <w:szCs w:val="16"/>
                <w:rtl/>
              </w:rPr>
              <w:t xml:space="preserve"> </w:t>
            </w:r>
            <w:r>
              <w:rPr>
                <w:rFonts w:hint="eastAsia"/>
                <w:sz w:val="16"/>
                <w:szCs w:val="16"/>
                <w:rtl/>
              </w:rPr>
              <w:t>בנות</w:t>
            </w:r>
          </w:p>
        </w:tc>
        <w:tc>
          <w:tcPr>
            <w:tcW w:w="780" w:type="dxa"/>
            <w:vAlign w:val="bottom"/>
          </w:tcPr>
          <w:p w14:paraId="570329B9" w14:textId="77777777" w:rsidR="00C21C3C" w:rsidRPr="00513F0D" w:rsidRDefault="00C21C3C" w:rsidP="00A61A8A">
            <w:pPr>
              <w:pStyle w:val="-3"/>
              <w:pBdr>
                <w:bottom w:val="single" w:sz="4" w:space="1" w:color="auto"/>
              </w:pBdr>
              <w:rPr>
                <w:sz w:val="16"/>
                <w:szCs w:val="16"/>
                <w:rtl/>
              </w:rPr>
            </w:pPr>
            <w:r w:rsidRPr="00CF2A74">
              <w:rPr>
                <w:sz w:val="16"/>
                <w:szCs w:val="16"/>
                <w:rtl/>
              </w:rPr>
              <w:t>-</w:t>
            </w:r>
          </w:p>
        </w:tc>
        <w:tc>
          <w:tcPr>
            <w:tcW w:w="865" w:type="dxa"/>
            <w:vAlign w:val="bottom"/>
          </w:tcPr>
          <w:p w14:paraId="2F648589" w14:textId="77777777" w:rsidR="00C21C3C" w:rsidRPr="00513F0D" w:rsidRDefault="00C21C3C" w:rsidP="00A61A8A">
            <w:pPr>
              <w:pStyle w:val="-3"/>
              <w:pBdr>
                <w:bottom w:val="single" w:sz="4" w:space="1" w:color="auto"/>
              </w:pBdr>
              <w:rPr>
                <w:sz w:val="16"/>
                <w:szCs w:val="16"/>
                <w:rtl/>
              </w:rPr>
            </w:pPr>
            <w:r w:rsidRPr="00CF2A74">
              <w:rPr>
                <w:sz w:val="16"/>
                <w:szCs w:val="16"/>
                <w:rtl/>
              </w:rPr>
              <w:t>-</w:t>
            </w:r>
          </w:p>
        </w:tc>
        <w:tc>
          <w:tcPr>
            <w:tcW w:w="939" w:type="dxa"/>
            <w:vAlign w:val="bottom"/>
          </w:tcPr>
          <w:p w14:paraId="3E639EC1" w14:textId="77777777" w:rsidR="00C21C3C" w:rsidRPr="00513F0D" w:rsidRDefault="00C21C3C" w:rsidP="00A61A8A">
            <w:pPr>
              <w:pStyle w:val="-3"/>
              <w:pBdr>
                <w:bottom w:val="single" w:sz="4" w:space="1" w:color="auto"/>
              </w:pBdr>
              <w:rPr>
                <w:sz w:val="16"/>
                <w:szCs w:val="16"/>
                <w:rtl/>
              </w:rPr>
            </w:pPr>
            <w:r w:rsidRPr="00CF2A74">
              <w:rPr>
                <w:sz w:val="16"/>
                <w:szCs w:val="16"/>
                <w:rtl/>
              </w:rPr>
              <w:t>-</w:t>
            </w:r>
          </w:p>
        </w:tc>
        <w:tc>
          <w:tcPr>
            <w:tcW w:w="737" w:type="dxa"/>
            <w:vAlign w:val="bottom"/>
          </w:tcPr>
          <w:p w14:paraId="0ECE1E9E" w14:textId="77777777" w:rsidR="00C21C3C" w:rsidRPr="00513F0D" w:rsidRDefault="00C21C3C" w:rsidP="00A61A8A">
            <w:pPr>
              <w:pStyle w:val="-3"/>
              <w:pBdr>
                <w:bottom w:val="single" w:sz="4" w:space="1" w:color="auto"/>
              </w:pBdr>
              <w:rPr>
                <w:sz w:val="16"/>
                <w:szCs w:val="16"/>
                <w:rtl/>
              </w:rPr>
            </w:pPr>
            <w:r w:rsidRPr="00CF2A74">
              <w:rPr>
                <w:sz w:val="16"/>
                <w:szCs w:val="16"/>
                <w:rtl/>
              </w:rPr>
              <w:t>-</w:t>
            </w:r>
          </w:p>
        </w:tc>
        <w:tc>
          <w:tcPr>
            <w:tcW w:w="1374" w:type="dxa"/>
            <w:vAlign w:val="bottom"/>
          </w:tcPr>
          <w:p w14:paraId="14795856" w14:textId="77777777" w:rsidR="00C21C3C" w:rsidRPr="009A7E4A" w:rsidRDefault="00C21C3C" w:rsidP="00A61A8A">
            <w:pPr>
              <w:pStyle w:val="-3"/>
              <w:pBdr>
                <w:bottom w:val="single" w:sz="4" w:space="1" w:color="auto"/>
              </w:pBdr>
              <w:rPr>
                <w:sz w:val="16"/>
                <w:szCs w:val="16"/>
                <w:rtl/>
              </w:rPr>
            </w:pPr>
            <w:r w:rsidRPr="009A7E4A">
              <w:rPr>
                <w:sz w:val="16"/>
                <w:szCs w:val="16"/>
                <w:rtl/>
              </w:rPr>
              <w:t>-</w:t>
            </w:r>
          </w:p>
        </w:tc>
        <w:tc>
          <w:tcPr>
            <w:tcW w:w="743" w:type="dxa"/>
            <w:vAlign w:val="bottom"/>
          </w:tcPr>
          <w:p w14:paraId="0E3E92EB" w14:textId="77777777" w:rsidR="00C21C3C" w:rsidRPr="00513F0D" w:rsidRDefault="00C21C3C" w:rsidP="00A61A8A">
            <w:pPr>
              <w:pStyle w:val="-3"/>
              <w:pBdr>
                <w:bottom w:val="single" w:sz="4" w:space="1" w:color="auto"/>
              </w:pBdr>
              <w:jc w:val="left"/>
              <w:rPr>
                <w:sz w:val="16"/>
                <w:szCs w:val="16"/>
                <w:rtl/>
              </w:rPr>
            </w:pPr>
            <w:r w:rsidRPr="00CF2A74">
              <w:rPr>
                <w:sz w:val="16"/>
                <w:szCs w:val="16"/>
                <w:rtl/>
              </w:rPr>
              <w:t xml:space="preserve"> -</w:t>
            </w:r>
          </w:p>
        </w:tc>
        <w:tc>
          <w:tcPr>
            <w:tcW w:w="746" w:type="dxa"/>
            <w:vAlign w:val="bottom"/>
          </w:tcPr>
          <w:p w14:paraId="1196F347" w14:textId="77777777" w:rsidR="00C21C3C" w:rsidRPr="00CF2A74" w:rsidRDefault="00C21C3C" w:rsidP="00A61A8A">
            <w:pPr>
              <w:pStyle w:val="-3"/>
              <w:pBdr>
                <w:bottom w:val="single" w:sz="4" w:space="1" w:color="auto"/>
              </w:pBdr>
              <w:jc w:val="left"/>
              <w:rPr>
                <w:sz w:val="16"/>
                <w:szCs w:val="16"/>
                <w:rtl/>
              </w:rPr>
            </w:pPr>
            <w:r w:rsidRPr="00CF2A74">
              <w:rPr>
                <w:sz w:val="16"/>
                <w:szCs w:val="16"/>
                <w:rtl/>
              </w:rPr>
              <w:t>-</w:t>
            </w:r>
          </w:p>
        </w:tc>
        <w:tc>
          <w:tcPr>
            <w:tcW w:w="982" w:type="dxa"/>
            <w:vAlign w:val="bottom"/>
          </w:tcPr>
          <w:p w14:paraId="66FF9D38" w14:textId="77777777" w:rsidR="00C21C3C" w:rsidRPr="00513F0D" w:rsidRDefault="00C21C3C" w:rsidP="00A61A8A">
            <w:pPr>
              <w:pStyle w:val="-3"/>
              <w:pBdr>
                <w:bottom w:val="single" w:sz="4" w:space="1" w:color="auto"/>
              </w:pBdr>
              <w:jc w:val="left"/>
              <w:rPr>
                <w:sz w:val="16"/>
                <w:szCs w:val="16"/>
                <w:rtl/>
              </w:rPr>
            </w:pPr>
            <w:r w:rsidRPr="00CF2A74">
              <w:rPr>
                <w:sz w:val="16"/>
                <w:szCs w:val="16"/>
                <w:rtl/>
              </w:rPr>
              <w:t xml:space="preserve"> -</w:t>
            </w:r>
          </w:p>
        </w:tc>
        <w:tc>
          <w:tcPr>
            <w:tcW w:w="708" w:type="dxa"/>
            <w:vAlign w:val="bottom"/>
          </w:tcPr>
          <w:p w14:paraId="773F508C" w14:textId="77777777" w:rsidR="00C21C3C" w:rsidRPr="00513F0D" w:rsidRDefault="00C21C3C" w:rsidP="00A61A8A">
            <w:pPr>
              <w:pStyle w:val="-3"/>
              <w:pBdr>
                <w:bottom w:val="single" w:sz="4" w:space="1" w:color="auto"/>
              </w:pBdr>
              <w:jc w:val="left"/>
              <w:rPr>
                <w:sz w:val="16"/>
                <w:szCs w:val="16"/>
                <w:rtl/>
              </w:rPr>
            </w:pPr>
            <w:r w:rsidRPr="00CF2A74">
              <w:rPr>
                <w:sz w:val="16"/>
                <w:szCs w:val="16"/>
                <w:rtl/>
              </w:rPr>
              <w:t xml:space="preserve"> -</w:t>
            </w:r>
          </w:p>
        </w:tc>
        <w:tc>
          <w:tcPr>
            <w:tcW w:w="930" w:type="dxa"/>
            <w:vAlign w:val="bottom"/>
          </w:tcPr>
          <w:p w14:paraId="5301F794" w14:textId="77777777" w:rsidR="00C21C3C" w:rsidRPr="00513F0D" w:rsidRDefault="00C21C3C" w:rsidP="00A61A8A">
            <w:pPr>
              <w:pStyle w:val="-3"/>
              <w:pBdr>
                <w:bottom w:val="single" w:sz="4" w:space="1" w:color="auto"/>
              </w:pBdr>
              <w:jc w:val="left"/>
              <w:rPr>
                <w:sz w:val="16"/>
                <w:szCs w:val="16"/>
                <w:rtl/>
              </w:rPr>
            </w:pPr>
            <w:r w:rsidRPr="00CF2A74">
              <w:rPr>
                <w:sz w:val="16"/>
                <w:szCs w:val="16"/>
                <w:rtl/>
              </w:rPr>
              <w:t xml:space="preserve"> -</w:t>
            </w:r>
          </w:p>
        </w:tc>
        <w:tc>
          <w:tcPr>
            <w:tcW w:w="792" w:type="dxa"/>
            <w:vAlign w:val="bottom"/>
          </w:tcPr>
          <w:p w14:paraId="0D83D830" w14:textId="77777777" w:rsidR="00C21C3C" w:rsidRPr="00513F0D" w:rsidRDefault="00C21C3C" w:rsidP="00A61A8A">
            <w:pPr>
              <w:pStyle w:val="-3"/>
              <w:pBdr>
                <w:bottom w:val="single" w:sz="4" w:space="1" w:color="auto"/>
              </w:pBdr>
              <w:jc w:val="left"/>
              <w:rPr>
                <w:sz w:val="16"/>
                <w:szCs w:val="16"/>
                <w:rtl/>
              </w:rPr>
            </w:pPr>
            <w:r w:rsidRPr="00CF2A74">
              <w:rPr>
                <w:sz w:val="16"/>
                <w:szCs w:val="16"/>
                <w:rtl/>
              </w:rPr>
              <w:t xml:space="preserve"> -</w:t>
            </w:r>
          </w:p>
        </w:tc>
        <w:tc>
          <w:tcPr>
            <w:tcW w:w="1126" w:type="dxa"/>
            <w:vAlign w:val="bottom"/>
          </w:tcPr>
          <w:p w14:paraId="160960BD" w14:textId="77777777" w:rsidR="00C21C3C" w:rsidRPr="00513F0D" w:rsidRDefault="00C21C3C" w:rsidP="00A61A8A">
            <w:pPr>
              <w:pStyle w:val="-3"/>
              <w:pBdr>
                <w:bottom w:val="single" w:sz="4" w:space="1" w:color="auto"/>
              </w:pBdr>
              <w:jc w:val="left"/>
              <w:rPr>
                <w:sz w:val="16"/>
                <w:szCs w:val="16"/>
                <w:rtl/>
              </w:rPr>
            </w:pPr>
            <w:r w:rsidRPr="00CF2A74">
              <w:rPr>
                <w:sz w:val="16"/>
                <w:szCs w:val="16"/>
                <w:rtl/>
              </w:rPr>
              <w:t xml:space="preserve"> </w:t>
            </w:r>
            <w:r>
              <w:rPr>
                <w:rFonts w:hint="cs"/>
                <w:sz w:val="16"/>
                <w:szCs w:val="16"/>
                <w:rtl/>
              </w:rPr>
              <w:t>-</w:t>
            </w:r>
          </w:p>
        </w:tc>
        <w:tc>
          <w:tcPr>
            <w:tcW w:w="726" w:type="dxa"/>
            <w:vAlign w:val="bottom"/>
          </w:tcPr>
          <w:p w14:paraId="00D0E817" w14:textId="77777777" w:rsidR="00C21C3C" w:rsidRPr="00513F0D" w:rsidRDefault="00C21C3C" w:rsidP="00A61A8A">
            <w:pPr>
              <w:pStyle w:val="-3"/>
              <w:pBdr>
                <w:bottom w:val="single" w:sz="4" w:space="1" w:color="auto"/>
              </w:pBdr>
              <w:jc w:val="left"/>
              <w:rPr>
                <w:sz w:val="16"/>
                <w:szCs w:val="16"/>
                <w:rtl/>
              </w:rPr>
            </w:pPr>
            <w:r w:rsidRPr="00CF2A74">
              <w:rPr>
                <w:sz w:val="16"/>
                <w:szCs w:val="16"/>
                <w:rtl/>
              </w:rPr>
              <w:t xml:space="preserve"> 0</w:t>
            </w:r>
          </w:p>
        </w:tc>
        <w:tc>
          <w:tcPr>
            <w:tcW w:w="676" w:type="dxa"/>
            <w:vAlign w:val="bottom"/>
          </w:tcPr>
          <w:p w14:paraId="69645B06" w14:textId="77777777" w:rsidR="00C21C3C" w:rsidRPr="00513F0D" w:rsidRDefault="00C21C3C" w:rsidP="00A61A8A">
            <w:pPr>
              <w:pStyle w:val="-3"/>
              <w:pBdr>
                <w:bottom w:val="single" w:sz="4" w:space="1" w:color="auto"/>
              </w:pBdr>
              <w:jc w:val="left"/>
              <w:rPr>
                <w:sz w:val="16"/>
                <w:szCs w:val="16"/>
                <w:rtl/>
              </w:rPr>
            </w:pPr>
            <w:r w:rsidRPr="00CF2A74">
              <w:rPr>
                <w:sz w:val="16"/>
                <w:szCs w:val="16"/>
                <w:rtl/>
              </w:rPr>
              <w:t xml:space="preserve"> 0</w:t>
            </w:r>
          </w:p>
        </w:tc>
      </w:tr>
      <w:tr w:rsidR="00C21C3C" w:rsidRPr="00513F0D" w14:paraId="6AB4DD23" w14:textId="77777777" w:rsidTr="004A1ADA">
        <w:tc>
          <w:tcPr>
            <w:tcW w:w="850" w:type="dxa"/>
          </w:tcPr>
          <w:p w14:paraId="36A64305" w14:textId="77777777" w:rsidR="00C21C3C" w:rsidRPr="00513F0D" w:rsidRDefault="00C21C3C" w:rsidP="00A61A8A">
            <w:pPr>
              <w:pStyle w:val="-7"/>
              <w:bidi w:val="0"/>
              <w:ind w:right="-231"/>
              <w:jc w:val="left"/>
              <w:rPr>
                <w:spacing w:val="-6"/>
                <w:sz w:val="16"/>
                <w:szCs w:val="16"/>
                <w:rtl/>
              </w:rPr>
            </w:pPr>
          </w:p>
        </w:tc>
        <w:tc>
          <w:tcPr>
            <w:tcW w:w="2097" w:type="dxa"/>
            <w:vAlign w:val="bottom"/>
          </w:tcPr>
          <w:p w14:paraId="2365F215" w14:textId="52BB5B5B" w:rsidR="00C21C3C" w:rsidRPr="00CC5F7B" w:rsidRDefault="00C21C3C" w:rsidP="00914A73">
            <w:pPr>
              <w:pStyle w:val="-b"/>
              <w:rPr>
                <w:b w:val="0"/>
                <w:bCs w:val="0"/>
                <w:sz w:val="16"/>
                <w:szCs w:val="16"/>
                <w:rtl/>
              </w:rPr>
            </w:pPr>
            <w:r w:rsidRPr="00CF2A74">
              <w:rPr>
                <w:rFonts w:hint="eastAsia"/>
                <w:sz w:val="16"/>
                <w:szCs w:val="16"/>
                <w:rtl/>
              </w:rPr>
              <w:t>יתרה</w:t>
            </w:r>
            <w:r w:rsidRPr="00CF2A74">
              <w:rPr>
                <w:sz w:val="16"/>
                <w:szCs w:val="16"/>
                <w:rtl/>
              </w:rPr>
              <w:t xml:space="preserve"> ליום 30 ביוני </w:t>
            </w:r>
            <w:r w:rsidR="00CC5F7B" w:rsidRPr="00CC5F7B">
              <w:rPr>
                <w:sz w:val="16"/>
                <w:szCs w:val="16"/>
                <w:rtl/>
              </w:rPr>
              <w:fldChar w:fldCharType="begin"/>
            </w:r>
            <w:r w:rsidR="00CC5F7B" w:rsidRPr="00CC5F7B">
              <w:rPr>
                <w:sz w:val="16"/>
                <w:szCs w:val="16"/>
                <w:rtl/>
              </w:rPr>
              <w:instrText xml:space="preserve"> </w:instrText>
            </w:r>
            <w:r w:rsidR="00CC5F7B" w:rsidRPr="00CC5F7B">
              <w:rPr>
                <w:rFonts w:hint="cs"/>
                <w:sz w:val="16"/>
                <w:szCs w:val="16"/>
                <w:rtl/>
              </w:rPr>
              <w:instrText xml:space="preserve">= </w:instrText>
            </w:r>
            <w:r w:rsidR="00CC5F7B" w:rsidRPr="00CC5F7B">
              <w:rPr>
                <w:rFonts w:hint="cs"/>
                <w:sz w:val="16"/>
                <w:szCs w:val="16"/>
              </w:rPr>
              <w:instrText>CY \* MERGEFORMAT</w:instrText>
            </w:r>
            <w:r w:rsidR="00CC5F7B" w:rsidRPr="00CC5F7B">
              <w:rPr>
                <w:sz w:val="16"/>
                <w:szCs w:val="16"/>
                <w:rtl/>
              </w:rPr>
              <w:instrText xml:space="preserve"> </w:instrText>
            </w:r>
            <w:r w:rsidR="00CC5F7B" w:rsidRPr="00CC5F7B">
              <w:rPr>
                <w:sz w:val="16"/>
                <w:szCs w:val="16"/>
                <w:rtl/>
              </w:rPr>
              <w:fldChar w:fldCharType="separate"/>
            </w:r>
            <w:r w:rsidR="003A584F">
              <w:rPr>
                <w:noProof/>
                <w:sz w:val="16"/>
                <w:szCs w:val="16"/>
                <w:rtl/>
              </w:rPr>
              <w:t>2024</w:t>
            </w:r>
            <w:r w:rsidR="00CC5F7B" w:rsidRPr="00CC5F7B">
              <w:rPr>
                <w:sz w:val="16"/>
                <w:szCs w:val="16"/>
                <w:rtl/>
              </w:rPr>
              <w:fldChar w:fldCharType="end"/>
            </w:r>
          </w:p>
        </w:tc>
        <w:tc>
          <w:tcPr>
            <w:tcW w:w="780" w:type="dxa"/>
            <w:vAlign w:val="bottom"/>
          </w:tcPr>
          <w:p w14:paraId="1904CC40" w14:textId="77777777" w:rsidR="00C21C3C" w:rsidRPr="00513F0D" w:rsidRDefault="00C21C3C" w:rsidP="00A61A8A">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865" w:type="dxa"/>
            <w:vAlign w:val="bottom"/>
          </w:tcPr>
          <w:p w14:paraId="681C64B3" w14:textId="77777777" w:rsidR="00C21C3C" w:rsidRPr="00513F0D" w:rsidRDefault="00C21C3C" w:rsidP="00A61A8A">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939" w:type="dxa"/>
            <w:vAlign w:val="bottom"/>
          </w:tcPr>
          <w:p w14:paraId="245022BC" w14:textId="77777777" w:rsidR="00C21C3C" w:rsidRPr="00513F0D" w:rsidRDefault="00C21C3C" w:rsidP="00A61A8A">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737" w:type="dxa"/>
            <w:vAlign w:val="bottom"/>
          </w:tcPr>
          <w:p w14:paraId="31515BDE" w14:textId="77777777" w:rsidR="00C21C3C" w:rsidRPr="00513F0D" w:rsidRDefault="00C21C3C" w:rsidP="00A61A8A">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1374" w:type="dxa"/>
            <w:vAlign w:val="bottom"/>
          </w:tcPr>
          <w:p w14:paraId="193E17C3" w14:textId="77777777" w:rsidR="00C21C3C" w:rsidRPr="00513F0D" w:rsidRDefault="00C21C3C" w:rsidP="00A61A8A">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743" w:type="dxa"/>
            <w:vAlign w:val="bottom"/>
          </w:tcPr>
          <w:p w14:paraId="7E224B95" w14:textId="77777777" w:rsidR="00C21C3C" w:rsidRPr="00513F0D" w:rsidRDefault="00C21C3C" w:rsidP="00A61A8A">
            <w:pPr>
              <w:pStyle w:val="-3"/>
              <w:pBdr>
                <w:bottom w:val="double" w:sz="4" w:space="1" w:color="auto"/>
              </w:pBdr>
              <w:jc w:val="left"/>
              <w:rPr>
                <w:b/>
                <w:bCs/>
                <w:sz w:val="16"/>
                <w:szCs w:val="16"/>
                <w:rtl/>
              </w:rPr>
            </w:pPr>
            <w:r w:rsidRPr="00CF2A74">
              <w:rPr>
                <w:b/>
                <w:bCs/>
                <w:sz w:val="16"/>
                <w:szCs w:val="16"/>
                <w:rtl/>
              </w:rPr>
              <w:t xml:space="preserve"> 0</w:t>
            </w:r>
          </w:p>
        </w:tc>
        <w:tc>
          <w:tcPr>
            <w:tcW w:w="746" w:type="dxa"/>
            <w:vAlign w:val="bottom"/>
          </w:tcPr>
          <w:p w14:paraId="04BA98BB" w14:textId="77777777" w:rsidR="00C21C3C" w:rsidRPr="00CF2A74" w:rsidRDefault="00C21C3C" w:rsidP="00A61A8A">
            <w:pPr>
              <w:pStyle w:val="-3"/>
              <w:pBdr>
                <w:bottom w:val="double" w:sz="4" w:space="1" w:color="auto"/>
              </w:pBdr>
              <w:jc w:val="left"/>
              <w:rPr>
                <w:b/>
                <w:bCs/>
                <w:sz w:val="16"/>
                <w:szCs w:val="16"/>
                <w:rtl/>
              </w:rPr>
            </w:pPr>
            <w:r w:rsidRPr="00CF2A74">
              <w:rPr>
                <w:sz w:val="16"/>
                <w:szCs w:val="16"/>
                <w:rtl/>
              </w:rPr>
              <w:t>0</w:t>
            </w:r>
          </w:p>
        </w:tc>
        <w:tc>
          <w:tcPr>
            <w:tcW w:w="982" w:type="dxa"/>
            <w:vAlign w:val="bottom"/>
          </w:tcPr>
          <w:p w14:paraId="0581EC51" w14:textId="77777777" w:rsidR="00C21C3C" w:rsidRPr="00513F0D" w:rsidRDefault="00C21C3C" w:rsidP="00A61A8A">
            <w:pPr>
              <w:pStyle w:val="-3"/>
              <w:pBdr>
                <w:bottom w:val="double" w:sz="4" w:space="1" w:color="auto"/>
              </w:pBdr>
              <w:jc w:val="left"/>
              <w:rPr>
                <w:b/>
                <w:bCs/>
                <w:sz w:val="16"/>
                <w:szCs w:val="16"/>
                <w:rtl/>
              </w:rPr>
            </w:pPr>
            <w:r w:rsidRPr="00CF2A74">
              <w:rPr>
                <w:b/>
                <w:bCs/>
                <w:sz w:val="16"/>
                <w:szCs w:val="16"/>
                <w:rtl/>
              </w:rPr>
              <w:t xml:space="preserve"> 0</w:t>
            </w:r>
          </w:p>
        </w:tc>
        <w:tc>
          <w:tcPr>
            <w:tcW w:w="708" w:type="dxa"/>
            <w:vAlign w:val="bottom"/>
          </w:tcPr>
          <w:p w14:paraId="6453A39C" w14:textId="77777777" w:rsidR="00C21C3C" w:rsidRPr="00513F0D" w:rsidRDefault="00C21C3C" w:rsidP="00A61A8A">
            <w:pPr>
              <w:pStyle w:val="-3"/>
              <w:pBdr>
                <w:bottom w:val="double" w:sz="4" w:space="1" w:color="auto"/>
              </w:pBdr>
              <w:jc w:val="left"/>
              <w:rPr>
                <w:b/>
                <w:bCs/>
                <w:sz w:val="16"/>
                <w:szCs w:val="16"/>
                <w:rtl/>
              </w:rPr>
            </w:pPr>
            <w:r w:rsidRPr="00CF2A74">
              <w:rPr>
                <w:b/>
                <w:bCs/>
                <w:sz w:val="16"/>
                <w:szCs w:val="16"/>
                <w:rtl/>
              </w:rPr>
              <w:t xml:space="preserve"> 0</w:t>
            </w:r>
          </w:p>
        </w:tc>
        <w:tc>
          <w:tcPr>
            <w:tcW w:w="930" w:type="dxa"/>
            <w:vAlign w:val="bottom"/>
          </w:tcPr>
          <w:p w14:paraId="77B87CBF" w14:textId="77777777" w:rsidR="00C21C3C" w:rsidRPr="00513F0D" w:rsidRDefault="00C21C3C" w:rsidP="00A61A8A">
            <w:pPr>
              <w:pStyle w:val="-3"/>
              <w:pBdr>
                <w:bottom w:val="double" w:sz="4" w:space="1" w:color="auto"/>
              </w:pBdr>
              <w:jc w:val="left"/>
              <w:rPr>
                <w:b/>
                <w:bCs/>
                <w:sz w:val="16"/>
                <w:szCs w:val="16"/>
                <w:rtl/>
              </w:rPr>
            </w:pPr>
            <w:r w:rsidRPr="00CF2A74">
              <w:rPr>
                <w:b/>
                <w:bCs/>
                <w:sz w:val="16"/>
                <w:szCs w:val="16"/>
                <w:rtl/>
              </w:rPr>
              <w:t xml:space="preserve"> 0</w:t>
            </w:r>
          </w:p>
        </w:tc>
        <w:tc>
          <w:tcPr>
            <w:tcW w:w="792" w:type="dxa"/>
            <w:vAlign w:val="bottom"/>
          </w:tcPr>
          <w:p w14:paraId="7B96ACDC" w14:textId="77777777" w:rsidR="00C21C3C" w:rsidRPr="00513F0D" w:rsidRDefault="00C21C3C" w:rsidP="00A61A8A">
            <w:pPr>
              <w:pStyle w:val="-3"/>
              <w:pBdr>
                <w:bottom w:val="double" w:sz="4" w:space="1" w:color="auto"/>
              </w:pBdr>
              <w:jc w:val="left"/>
              <w:rPr>
                <w:b/>
                <w:bCs/>
                <w:sz w:val="16"/>
                <w:szCs w:val="16"/>
                <w:rtl/>
              </w:rPr>
            </w:pPr>
            <w:r w:rsidRPr="00CF2A74">
              <w:rPr>
                <w:b/>
                <w:bCs/>
                <w:sz w:val="16"/>
                <w:szCs w:val="16"/>
                <w:rtl/>
              </w:rPr>
              <w:t xml:space="preserve"> 0</w:t>
            </w:r>
          </w:p>
        </w:tc>
        <w:tc>
          <w:tcPr>
            <w:tcW w:w="1126" w:type="dxa"/>
            <w:vAlign w:val="bottom"/>
          </w:tcPr>
          <w:p w14:paraId="5E726F54" w14:textId="77777777" w:rsidR="00C21C3C" w:rsidRPr="00513F0D" w:rsidRDefault="00C21C3C" w:rsidP="00A61A8A">
            <w:pPr>
              <w:pStyle w:val="-3"/>
              <w:pBdr>
                <w:bottom w:val="double" w:sz="4" w:space="1" w:color="auto"/>
              </w:pBdr>
              <w:jc w:val="left"/>
              <w:rPr>
                <w:b/>
                <w:bCs/>
                <w:sz w:val="16"/>
                <w:szCs w:val="16"/>
                <w:rtl/>
              </w:rPr>
            </w:pPr>
            <w:r w:rsidRPr="00CF2A74">
              <w:rPr>
                <w:b/>
                <w:bCs/>
                <w:sz w:val="16"/>
                <w:szCs w:val="16"/>
                <w:rtl/>
              </w:rPr>
              <w:t xml:space="preserve"> 0</w:t>
            </w:r>
          </w:p>
        </w:tc>
        <w:tc>
          <w:tcPr>
            <w:tcW w:w="726" w:type="dxa"/>
            <w:vAlign w:val="bottom"/>
          </w:tcPr>
          <w:p w14:paraId="6725C9A6" w14:textId="77777777" w:rsidR="00C21C3C" w:rsidRPr="00513F0D" w:rsidRDefault="00C21C3C" w:rsidP="00A61A8A">
            <w:pPr>
              <w:pStyle w:val="-3"/>
              <w:pBdr>
                <w:bottom w:val="double" w:sz="4" w:space="1" w:color="auto"/>
              </w:pBdr>
              <w:jc w:val="left"/>
              <w:rPr>
                <w:b/>
                <w:bCs/>
                <w:sz w:val="16"/>
                <w:szCs w:val="16"/>
                <w:rtl/>
              </w:rPr>
            </w:pPr>
            <w:r w:rsidRPr="00CF2A74">
              <w:rPr>
                <w:b/>
                <w:bCs/>
                <w:sz w:val="16"/>
                <w:szCs w:val="16"/>
                <w:rtl/>
              </w:rPr>
              <w:t xml:space="preserve"> 0</w:t>
            </w:r>
          </w:p>
        </w:tc>
        <w:tc>
          <w:tcPr>
            <w:tcW w:w="676" w:type="dxa"/>
            <w:vAlign w:val="bottom"/>
          </w:tcPr>
          <w:p w14:paraId="2FB5C0DE" w14:textId="77777777" w:rsidR="00C21C3C" w:rsidRPr="00513F0D" w:rsidRDefault="00C21C3C" w:rsidP="00A61A8A">
            <w:pPr>
              <w:pStyle w:val="-3"/>
              <w:pBdr>
                <w:bottom w:val="double" w:sz="4" w:space="1" w:color="auto"/>
              </w:pBdr>
              <w:jc w:val="left"/>
              <w:rPr>
                <w:b/>
                <w:bCs/>
                <w:sz w:val="16"/>
                <w:szCs w:val="16"/>
                <w:rtl/>
              </w:rPr>
            </w:pPr>
            <w:r w:rsidRPr="00CF2A74">
              <w:rPr>
                <w:b/>
                <w:bCs/>
                <w:sz w:val="16"/>
                <w:szCs w:val="16"/>
                <w:rtl/>
              </w:rPr>
              <w:t xml:space="preserve"> 0</w:t>
            </w:r>
          </w:p>
        </w:tc>
      </w:tr>
    </w:tbl>
    <w:p w14:paraId="377AC877" w14:textId="77777777" w:rsidR="00462028" w:rsidRDefault="00462028">
      <w:pPr>
        <w:pStyle w:val="-2"/>
        <w:ind w:left="1200"/>
        <w:rPr>
          <w:rtl/>
        </w:rPr>
      </w:pPr>
    </w:p>
    <w:p w14:paraId="19BED603" w14:textId="77777777" w:rsidR="00DE0B68" w:rsidRDefault="00DE0B68" w:rsidP="00030C7C">
      <w:pPr>
        <w:pStyle w:val="-2"/>
        <w:rPr>
          <w:rtl/>
        </w:rPr>
      </w:pPr>
    </w:p>
    <w:p w14:paraId="0C1002A5" w14:textId="77777777" w:rsidR="004A1ADA" w:rsidRDefault="004A1ADA" w:rsidP="00030C7C">
      <w:pPr>
        <w:pStyle w:val="-2"/>
        <w:rPr>
          <w:rtl/>
        </w:rPr>
      </w:pPr>
    </w:p>
    <w:p w14:paraId="4DD0BF88" w14:textId="77777777" w:rsidR="004A1ADA" w:rsidRDefault="004A1ADA" w:rsidP="00030C7C">
      <w:pPr>
        <w:pStyle w:val="-2"/>
        <w:rPr>
          <w:rtl/>
        </w:rPr>
      </w:pPr>
    </w:p>
    <w:p w14:paraId="7C694AA1" w14:textId="4DC2BBA3" w:rsidR="004A1ADA" w:rsidRPr="004A1ADA" w:rsidRDefault="004A1ADA" w:rsidP="004A1ADA">
      <w:pPr>
        <w:pStyle w:val="-2"/>
        <w:ind w:left="1362"/>
        <w:rPr>
          <w:sz w:val="20"/>
          <w:szCs w:val="20"/>
          <w:rtl/>
        </w:rPr>
        <w:sectPr w:rsidR="004A1ADA" w:rsidRPr="004A1ADA" w:rsidSect="00587121">
          <w:headerReference w:type="even" r:id="rId19"/>
          <w:headerReference w:type="default" r:id="rId20"/>
          <w:footnotePr>
            <w:numRestart w:val="eachPage"/>
          </w:footnotePr>
          <w:type w:val="nextColumn"/>
          <w:pgSz w:w="16834" w:h="11909" w:orient="landscape" w:code="9"/>
          <w:pgMar w:top="851" w:right="851" w:bottom="851" w:left="851" w:header="720" w:footer="720" w:gutter="0"/>
          <w:cols w:space="720"/>
          <w:bidi/>
          <w:rtlGutter/>
          <w:docGrid w:linePitch="360"/>
        </w:sectPr>
      </w:pPr>
      <w:r w:rsidRPr="004A1ADA">
        <w:rPr>
          <w:sz w:val="20"/>
          <w:szCs w:val="20"/>
          <w:rtl/>
        </w:rPr>
        <w:t>הביאורים ל</w:t>
      </w:r>
      <w:r w:rsidRPr="004A1ADA">
        <w:rPr>
          <w:rFonts w:hint="cs"/>
          <w:sz w:val="20"/>
          <w:szCs w:val="20"/>
          <w:rtl/>
        </w:rPr>
        <w:t>תמצית ה</w:t>
      </w:r>
      <w:r w:rsidRPr="004A1ADA">
        <w:rPr>
          <w:sz w:val="20"/>
          <w:szCs w:val="20"/>
          <w:rtl/>
        </w:rPr>
        <w:t xml:space="preserve">דוחות הכספיים מהווים חלק בלתי נפרד </w:t>
      </w:r>
      <w:r w:rsidRPr="004A1ADA">
        <w:rPr>
          <w:rFonts w:hint="cs"/>
          <w:sz w:val="20"/>
          <w:szCs w:val="20"/>
          <w:rtl/>
        </w:rPr>
        <w:t>ממנה.</w:t>
      </w:r>
    </w:p>
    <w:p w14:paraId="6E60F4AD" w14:textId="77777777" w:rsidR="00777AE3" w:rsidRDefault="00777AE3" w:rsidP="00043825">
      <w:pPr>
        <w:pStyle w:val="-2"/>
        <w:ind w:firstLine="1098"/>
        <w:rPr>
          <w:rtl/>
        </w:rPr>
      </w:pPr>
      <w:r w:rsidRPr="00543C25">
        <w:rPr>
          <w:rFonts w:hint="cs"/>
          <w:rtl/>
        </w:rPr>
        <w:lastRenderedPageBreak/>
        <w:t>בנק</w:t>
      </w:r>
      <w:r w:rsidRPr="00543C25">
        <w:rPr>
          <w:rtl/>
        </w:rPr>
        <w:t xml:space="preserve"> </w:t>
      </w:r>
      <w:r w:rsidRPr="00543C25">
        <w:rPr>
          <w:rFonts w:hint="cs"/>
          <w:rtl/>
        </w:rPr>
        <w:t xml:space="preserve">לדוגמה </w:t>
      </w:r>
      <w:r w:rsidRPr="00543C25">
        <w:rPr>
          <w:rtl/>
        </w:rPr>
        <w:t>בע"מ וחברות מאוחדות שלו</w:t>
      </w:r>
    </w:p>
    <w:p w14:paraId="18978A29" w14:textId="11E1014D" w:rsidR="00777AE3" w:rsidRPr="00777AE3" w:rsidRDefault="00777AE3" w:rsidP="00CC5F7B">
      <w:pPr>
        <w:pStyle w:val="-2"/>
        <w:spacing w:after="80"/>
        <w:ind w:firstLine="1098"/>
        <w:rPr>
          <w:u w:val="single"/>
          <w:rtl/>
        </w:rPr>
      </w:pPr>
      <w:r w:rsidRPr="00777AE3">
        <w:rPr>
          <w:rFonts w:hint="cs"/>
          <w:u w:val="single"/>
          <w:rtl/>
        </w:rPr>
        <w:t xml:space="preserve">תמצית דוח על השינויים בהון מאוחד לשלושה חודשים שהסתיימו ביום 30 ביוני </w:t>
      </w:r>
      <w:r w:rsidR="00CC5F7B" w:rsidRPr="00905C12">
        <w:rPr>
          <w:sz w:val="20"/>
          <w:szCs w:val="20"/>
          <w:u w:val="single"/>
          <w:rtl/>
        </w:rPr>
        <w:fldChar w:fldCharType="begin"/>
      </w:r>
      <w:r w:rsidR="00CC5F7B" w:rsidRPr="00905C12">
        <w:rPr>
          <w:sz w:val="20"/>
          <w:szCs w:val="20"/>
          <w:u w:val="single"/>
          <w:rtl/>
        </w:rPr>
        <w:instrText xml:space="preserve"> </w:instrText>
      </w:r>
      <w:r w:rsidR="00CC5F7B" w:rsidRPr="00905C12">
        <w:rPr>
          <w:rFonts w:hint="cs"/>
          <w:sz w:val="20"/>
          <w:szCs w:val="20"/>
          <w:u w:val="single"/>
          <w:rtl/>
        </w:rPr>
        <w:instrText xml:space="preserve">= </w:instrText>
      </w:r>
      <w:r w:rsidR="00CC5F7B" w:rsidRPr="00905C12">
        <w:rPr>
          <w:rFonts w:hint="cs"/>
          <w:sz w:val="20"/>
          <w:szCs w:val="20"/>
          <w:u w:val="single"/>
        </w:rPr>
        <w:instrText>CY</w:instrText>
      </w:r>
      <w:r w:rsidR="00CC5F7B">
        <w:rPr>
          <w:sz w:val="20"/>
          <w:szCs w:val="20"/>
          <w:u w:val="single"/>
        </w:rPr>
        <w:instrText>-1</w:instrText>
      </w:r>
      <w:r w:rsidR="00CC5F7B" w:rsidRPr="00905C12">
        <w:rPr>
          <w:rFonts w:hint="cs"/>
          <w:sz w:val="20"/>
          <w:szCs w:val="20"/>
          <w:u w:val="single"/>
        </w:rPr>
        <w:instrText xml:space="preserve"> \* MERGEFORMAT</w:instrText>
      </w:r>
      <w:r w:rsidR="00CC5F7B" w:rsidRPr="00905C12">
        <w:rPr>
          <w:sz w:val="20"/>
          <w:szCs w:val="20"/>
          <w:u w:val="single"/>
          <w:rtl/>
        </w:rPr>
        <w:instrText xml:space="preserve"> </w:instrText>
      </w:r>
      <w:r w:rsidR="00CC5F7B" w:rsidRPr="00905C12">
        <w:rPr>
          <w:sz w:val="20"/>
          <w:szCs w:val="20"/>
          <w:u w:val="single"/>
          <w:rtl/>
        </w:rPr>
        <w:fldChar w:fldCharType="separate"/>
      </w:r>
      <w:r w:rsidR="003A584F">
        <w:rPr>
          <w:noProof/>
          <w:sz w:val="20"/>
          <w:szCs w:val="20"/>
          <w:u w:val="single"/>
          <w:rtl/>
        </w:rPr>
        <w:t>2023</w:t>
      </w:r>
      <w:r w:rsidR="00CC5F7B" w:rsidRPr="00905C12">
        <w:rPr>
          <w:sz w:val="20"/>
          <w:szCs w:val="20"/>
          <w:u w:val="single"/>
          <w:rtl/>
        </w:rPr>
        <w:fldChar w:fldCharType="end"/>
      </w:r>
      <w:r w:rsidR="00CC5F7B" w:rsidRPr="00BF4BA5">
        <w:rPr>
          <w:rFonts w:hint="cs"/>
          <w:u w:val="single"/>
          <w:rtl/>
        </w:rPr>
        <w:t xml:space="preserve"> </w:t>
      </w:r>
      <w:r w:rsidRPr="00777AE3">
        <w:rPr>
          <w:rFonts w:hint="cs"/>
          <w:u w:val="single"/>
          <w:rtl/>
        </w:rPr>
        <w:t>(בלתי מבוקר)</w:t>
      </w:r>
    </w:p>
    <w:p w14:paraId="089BFD5F" w14:textId="77777777" w:rsidR="00777AE3" w:rsidRPr="00777AE3" w:rsidRDefault="00777AE3" w:rsidP="00043825">
      <w:pPr>
        <w:pStyle w:val="-2"/>
        <w:ind w:firstLine="1098"/>
        <w:rPr>
          <w:b w:val="0"/>
          <w:bCs w:val="0"/>
          <w:sz w:val="20"/>
          <w:szCs w:val="20"/>
          <w:rtl/>
        </w:rPr>
      </w:pPr>
      <w:r w:rsidRPr="00777AE3">
        <w:rPr>
          <w:rFonts w:hint="cs"/>
          <w:b w:val="0"/>
          <w:bCs w:val="0"/>
          <w:sz w:val="20"/>
          <w:szCs w:val="20"/>
          <w:rtl/>
        </w:rPr>
        <w:t>סכומים מדווחים (במיליוני ש"ח)</w:t>
      </w:r>
    </w:p>
    <w:tbl>
      <w:tblPr>
        <w:bidiVisual/>
        <w:tblW w:w="15065" w:type="dxa"/>
        <w:tblInd w:w="483" w:type="dxa"/>
        <w:tblLook w:val="04A0" w:firstRow="1" w:lastRow="0" w:firstColumn="1" w:lastColumn="0" w:noHBand="0" w:noVBand="1"/>
      </w:tblPr>
      <w:tblGrid>
        <w:gridCol w:w="850"/>
        <w:gridCol w:w="1978"/>
        <w:gridCol w:w="801"/>
        <w:gridCol w:w="881"/>
        <w:gridCol w:w="941"/>
        <w:gridCol w:w="881"/>
        <w:gridCol w:w="1073"/>
        <w:gridCol w:w="736"/>
        <w:gridCol w:w="794"/>
        <w:gridCol w:w="905"/>
        <w:gridCol w:w="825"/>
        <w:gridCol w:w="941"/>
        <w:gridCol w:w="882"/>
        <w:gridCol w:w="1128"/>
        <w:gridCol w:w="737"/>
        <w:gridCol w:w="712"/>
      </w:tblGrid>
      <w:tr w:rsidR="004E0E02" w:rsidRPr="00513F0D" w14:paraId="6FD9D0E1" w14:textId="77777777" w:rsidTr="004A1ADA">
        <w:tc>
          <w:tcPr>
            <w:tcW w:w="850" w:type="dxa"/>
          </w:tcPr>
          <w:p w14:paraId="6353DB02" w14:textId="77777777" w:rsidR="004E0E02" w:rsidRPr="00513F0D" w:rsidRDefault="004E0E02" w:rsidP="001835BD">
            <w:pPr>
              <w:pStyle w:val="-7"/>
              <w:bidi w:val="0"/>
              <w:ind w:right="-231"/>
              <w:jc w:val="left"/>
              <w:rPr>
                <w:b/>
                <w:bCs/>
                <w:spacing w:val="-6"/>
                <w:sz w:val="16"/>
                <w:szCs w:val="16"/>
                <w:rtl/>
              </w:rPr>
            </w:pPr>
          </w:p>
        </w:tc>
        <w:tc>
          <w:tcPr>
            <w:tcW w:w="1978" w:type="dxa"/>
            <w:vAlign w:val="bottom"/>
          </w:tcPr>
          <w:p w14:paraId="2305D018" w14:textId="77777777" w:rsidR="004E0E02" w:rsidRDefault="004E0E02" w:rsidP="001835BD">
            <w:pPr>
              <w:pStyle w:val="-0"/>
              <w:spacing w:line="240" w:lineRule="auto"/>
              <w:jc w:val="center"/>
              <w:rPr>
                <w:b/>
                <w:bCs/>
                <w:sz w:val="16"/>
                <w:szCs w:val="16"/>
                <w:rtl/>
              </w:rPr>
            </w:pPr>
          </w:p>
        </w:tc>
        <w:tc>
          <w:tcPr>
            <w:tcW w:w="801" w:type="dxa"/>
            <w:vAlign w:val="bottom"/>
          </w:tcPr>
          <w:p w14:paraId="310CDF91" w14:textId="77777777" w:rsidR="00F32A2A" w:rsidRDefault="00F32A2A" w:rsidP="001835BD">
            <w:pPr>
              <w:pStyle w:val="-4"/>
              <w:pBdr>
                <w:bottom w:val="none" w:sz="0" w:space="0" w:color="auto"/>
              </w:pBdr>
              <w:spacing w:line="240" w:lineRule="auto"/>
              <w:rPr>
                <w:sz w:val="16"/>
                <w:szCs w:val="16"/>
                <w:rtl/>
              </w:rPr>
            </w:pPr>
          </w:p>
        </w:tc>
        <w:tc>
          <w:tcPr>
            <w:tcW w:w="881" w:type="dxa"/>
            <w:vAlign w:val="bottom"/>
          </w:tcPr>
          <w:p w14:paraId="55E99604" w14:textId="77777777" w:rsidR="00F32A2A" w:rsidRDefault="00F32A2A" w:rsidP="001835BD">
            <w:pPr>
              <w:pStyle w:val="-4"/>
              <w:pBdr>
                <w:bottom w:val="none" w:sz="0" w:space="0" w:color="auto"/>
              </w:pBdr>
              <w:spacing w:line="240" w:lineRule="auto"/>
              <w:rPr>
                <w:sz w:val="16"/>
                <w:szCs w:val="16"/>
                <w:rtl/>
              </w:rPr>
            </w:pPr>
          </w:p>
        </w:tc>
        <w:tc>
          <w:tcPr>
            <w:tcW w:w="941" w:type="dxa"/>
            <w:vAlign w:val="bottom"/>
          </w:tcPr>
          <w:p w14:paraId="7D2CF735" w14:textId="77777777" w:rsidR="00F32A2A" w:rsidRDefault="00F32A2A" w:rsidP="001835BD">
            <w:pPr>
              <w:pStyle w:val="-4"/>
              <w:pBdr>
                <w:bottom w:val="none" w:sz="0" w:space="0" w:color="auto"/>
              </w:pBdr>
              <w:spacing w:line="240" w:lineRule="auto"/>
              <w:rPr>
                <w:sz w:val="16"/>
                <w:szCs w:val="16"/>
                <w:rtl/>
              </w:rPr>
            </w:pPr>
          </w:p>
        </w:tc>
        <w:tc>
          <w:tcPr>
            <w:tcW w:w="2690" w:type="dxa"/>
            <w:gridSpan w:val="3"/>
            <w:vAlign w:val="bottom"/>
          </w:tcPr>
          <w:p w14:paraId="4114B1B4" w14:textId="77777777" w:rsidR="004E0E02" w:rsidRPr="00CF2A74" w:rsidRDefault="004E0E02" w:rsidP="001835BD">
            <w:pPr>
              <w:pStyle w:val="-4"/>
              <w:spacing w:line="240" w:lineRule="auto"/>
              <w:ind w:left="-57" w:right="-57"/>
              <w:rPr>
                <w:sz w:val="16"/>
                <w:szCs w:val="16"/>
                <w:rtl/>
              </w:rPr>
            </w:pPr>
            <w:r w:rsidRPr="00CF2A74">
              <w:rPr>
                <w:rFonts w:hint="eastAsia"/>
                <w:sz w:val="16"/>
                <w:szCs w:val="16"/>
                <w:rtl/>
              </w:rPr>
              <w:t>קרנות</w:t>
            </w:r>
            <w:r w:rsidRPr="00CF2A74">
              <w:rPr>
                <w:sz w:val="16"/>
                <w:szCs w:val="16"/>
                <w:rtl/>
              </w:rPr>
              <w:t xml:space="preserve"> </w:t>
            </w:r>
            <w:r w:rsidRPr="00CF2A74">
              <w:rPr>
                <w:rFonts w:hint="eastAsia"/>
                <w:sz w:val="16"/>
                <w:szCs w:val="16"/>
                <w:rtl/>
              </w:rPr>
              <w:t>הון</w:t>
            </w:r>
          </w:p>
        </w:tc>
        <w:tc>
          <w:tcPr>
            <w:tcW w:w="794" w:type="dxa"/>
            <w:vAlign w:val="bottom"/>
          </w:tcPr>
          <w:p w14:paraId="51F20D32" w14:textId="77777777" w:rsidR="00F32A2A" w:rsidRDefault="00F32A2A" w:rsidP="001835BD">
            <w:pPr>
              <w:pStyle w:val="-4"/>
              <w:pBdr>
                <w:bottom w:val="none" w:sz="0" w:space="0" w:color="auto"/>
              </w:pBdr>
              <w:spacing w:line="240" w:lineRule="auto"/>
              <w:rPr>
                <w:sz w:val="16"/>
                <w:szCs w:val="16"/>
                <w:rtl/>
              </w:rPr>
            </w:pPr>
          </w:p>
        </w:tc>
        <w:tc>
          <w:tcPr>
            <w:tcW w:w="905" w:type="dxa"/>
            <w:vAlign w:val="bottom"/>
          </w:tcPr>
          <w:p w14:paraId="4DF129F4" w14:textId="77777777" w:rsidR="00F32A2A" w:rsidRDefault="00F32A2A" w:rsidP="001835BD">
            <w:pPr>
              <w:pStyle w:val="-4"/>
              <w:pBdr>
                <w:bottom w:val="none" w:sz="0" w:space="0" w:color="auto"/>
              </w:pBdr>
              <w:spacing w:line="240" w:lineRule="auto"/>
              <w:rPr>
                <w:sz w:val="16"/>
                <w:szCs w:val="16"/>
                <w:rtl/>
              </w:rPr>
            </w:pPr>
          </w:p>
        </w:tc>
        <w:tc>
          <w:tcPr>
            <w:tcW w:w="825" w:type="dxa"/>
            <w:vAlign w:val="bottom"/>
          </w:tcPr>
          <w:p w14:paraId="37E359F8" w14:textId="77777777" w:rsidR="00F32A2A" w:rsidRDefault="00F32A2A" w:rsidP="001835BD">
            <w:pPr>
              <w:pStyle w:val="-4"/>
              <w:pBdr>
                <w:bottom w:val="none" w:sz="0" w:space="0" w:color="auto"/>
              </w:pBdr>
              <w:spacing w:line="240" w:lineRule="auto"/>
              <w:rPr>
                <w:sz w:val="16"/>
                <w:szCs w:val="16"/>
                <w:rtl/>
              </w:rPr>
            </w:pPr>
          </w:p>
        </w:tc>
        <w:tc>
          <w:tcPr>
            <w:tcW w:w="941" w:type="dxa"/>
            <w:vAlign w:val="bottom"/>
          </w:tcPr>
          <w:p w14:paraId="27FF6140" w14:textId="77777777" w:rsidR="00F32A2A" w:rsidRDefault="00F32A2A" w:rsidP="001835BD">
            <w:pPr>
              <w:pStyle w:val="-4"/>
              <w:pBdr>
                <w:bottom w:val="none" w:sz="0" w:space="0" w:color="auto"/>
              </w:pBdr>
              <w:spacing w:line="240" w:lineRule="auto"/>
              <w:rPr>
                <w:sz w:val="16"/>
                <w:szCs w:val="16"/>
                <w:rtl/>
              </w:rPr>
            </w:pPr>
          </w:p>
        </w:tc>
        <w:tc>
          <w:tcPr>
            <w:tcW w:w="882" w:type="dxa"/>
            <w:vAlign w:val="bottom"/>
          </w:tcPr>
          <w:p w14:paraId="0B42AC25" w14:textId="77777777" w:rsidR="00F32A2A" w:rsidRDefault="00F32A2A" w:rsidP="001835BD">
            <w:pPr>
              <w:pStyle w:val="-4"/>
              <w:pBdr>
                <w:bottom w:val="none" w:sz="0" w:space="0" w:color="auto"/>
              </w:pBdr>
              <w:spacing w:line="240" w:lineRule="auto"/>
              <w:rPr>
                <w:sz w:val="16"/>
                <w:szCs w:val="16"/>
                <w:rtl/>
              </w:rPr>
            </w:pPr>
          </w:p>
        </w:tc>
        <w:tc>
          <w:tcPr>
            <w:tcW w:w="1128" w:type="dxa"/>
            <w:vAlign w:val="bottom"/>
          </w:tcPr>
          <w:p w14:paraId="17D2BD64" w14:textId="77777777" w:rsidR="00F32A2A" w:rsidRDefault="00F32A2A" w:rsidP="001835BD">
            <w:pPr>
              <w:pStyle w:val="-4"/>
              <w:pBdr>
                <w:bottom w:val="none" w:sz="0" w:space="0" w:color="auto"/>
              </w:pBdr>
              <w:spacing w:line="240" w:lineRule="auto"/>
              <w:rPr>
                <w:sz w:val="16"/>
                <w:szCs w:val="16"/>
                <w:rtl/>
              </w:rPr>
            </w:pPr>
          </w:p>
        </w:tc>
        <w:tc>
          <w:tcPr>
            <w:tcW w:w="737" w:type="dxa"/>
            <w:vAlign w:val="bottom"/>
          </w:tcPr>
          <w:p w14:paraId="0AB876C7" w14:textId="77777777" w:rsidR="00F32A2A" w:rsidRDefault="00F32A2A" w:rsidP="001835BD">
            <w:pPr>
              <w:pStyle w:val="-4"/>
              <w:pBdr>
                <w:bottom w:val="none" w:sz="0" w:space="0" w:color="auto"/>
              </w:pBdr>
              <w:spacing w:line="240" w:lineRule="auto"/>
              <w:rPr>
                <w:sz w:val="16"/>
                <w:szCs w:val="16"/>
                <w:rtl/>
              </w:rPr>
            </w:pPr>
          </w:p>
        </w:tc>
        <w:tc>
          <w:tcPr>
            <w:tcW w:w="712" w:type="dxa"/>
            <w:vAlign w:val="bottom"/>
          </w:tcPr>
          <w:p w14:paraId="61B174C7" w14:textId="77777777" w:rsidR="00F32A2A" w:rsidRDefault="00F32A2A" w:rsidP="001835BD">
            <w:pPr>
              <w:pStyle w:val="-4"/>
              <w:pBdr>
                <w:bottom w:val="none" w:sz="0" w:space="0" w:color="auto"/>
              </w:pBdr>
              <w:spacing w:line="240" w:lineRule="auto"/>
              <w:rPr>
                <w:sz w:val="16"/>
                <w:szCs w:val="16"/>
                <w:rtl/>
              </w:rPr>
            </w:pPr>
          </w:p>
        </w:tc>
      </w:tr>
      <w:tr w:rsidR="004E0E02" w:rsidRPr="00513F0D" w14:paraId="7878462D" w14:textId="77777777" w:rsidTr="004A1ADA">
        <w:tc>
          <w:tcPr>
            <w:tcW w:w="850" w:type="dxa"/>
          </w:tcPr>
          <w:p w14:paraId="122F38BC" w14:textId="77777777" w:rsidR="004E0E02" w:rsidRPr="00513F0D" w:rsidRDefault="004E0E02" w:rsidP="00D73D50">
            <w:pPr>
              <w:pStyle w:val="-7"/>
              <w:bidi w:val="0"/>
              <w:ind w:right="-231"/>
              <w:jc w:val="left"/>
              <w:rPr>
                <w:b/>
                <w:bCs/>
                <w:spacing w:val="-6"/>
                <w:sz w:val="16"/>
                <w:szCs w:val="16"/>
                <w:rtl/>
              </w:rPr>
            </w:pPr>
          </w:p>
        </w:tc>
        <w:tc>
          <w:tcPr>
            <w:tcW w:w="1978" w:type="dxa"/>
            <w:vAlign w:val="bottom"/>
          </w:tcPr>
          <w:p w14:paraId="38A0347A" w14:textId="77777777" w:rsidR="00F32A2A" w:rsidRDefault="00F32A2A">
            <w:pPr>
              <w:pStyle w:val="-0"/>
              <w:spacing w:line="240" w:lineRule="auto"/>
              <w:jc w:val="center"/>
              <w:rPr>
                <w:b/>
                <w:bCs/>
                <w:sz w:val="16"/>
                <w:szCs w:val="16"/>
                <w:rtl/>
              </w:rPr>
            </w:pPr>
          </w:p>
        </w:tc>
        <w:tc>
          <w:tcPr>
            <w:tcW w:w="801" w:type="dxa"/>
            <w:vAlign w:val="bottom"/>
          </w:tcPr>
          <w:p w14:paraId="7509FE4A" w14:textId="77777777" w:rsidR="00F32A2A" w:rsidRDefault="004E0E02">
            <w:pPr>
              <w:pStyle w:val="-4"/>
              <w:spacing w:line="240" w:lineRule="auto"/>
              <w:rPr>
                <w:sz w:val="16"/>
                <w:szCs w:val="16"/>
                <w:rtl/>
              </w:rPr>
            </w:pPr>
            <w:r w:rsidRPr="00CF2A74">
              <w:rPr>
                <w:rFonts w:hint="eastAsia"/>
                <w:sz w:val="16"/>
                <w:szCs w:val="16"/>
                <w:rtl/>
              </w:rPr>
              <w:t>הון</w:t>
            </w:r>
            <w:r w:rsidRPr="00CF2A74">
              <w:rPr>
                <w:sz w:val="16"/>
                <w:szCs w:val="16"/>
                <w:rtl/>
              </w:rPr>
              <w:t xml:space="preserve"> </w:t>
            </w:r>
            <w:r w:rsidRPr="00CF2A74">
              <w:rPr>
                <w:rFonts w:hint="eastAsia"/>
                <w:sz w:val="16"/>
                <w:szCs w:val="16"/>
                <w:rtl/>
              </w:rPr>
              <w:t>המניות</w:t>
            </w:r>
            <w:r w:rsidRPr="00CF2A74">
              <w:rPr>
                <w:sz w:val="16"/>
                <w:szCs w:val="16"/>
                <w:rtl/>
              </w:rPr>
              <w:t xml:space="preserve"> </w:t>
            </w:r>
            <w:r w:rsidRPr="00CF2A74">
              <w:rPr>
                <w:rFonts w:hint="eastAsia"/>
                <w:sz w:val="16"/>
                <w:szCs w:val="16"/>
                <w:rtl/>
              </w:rPr>
              <w:t>הנפרע</w:t>
            </w:r>
          </w:p>
        </w:tc>
        <w:tc>
          <w:tcPr>
            <w:tcW w:w="881" w:type="dxa"/>
            <w:vAlign w:val="bottom"/>
          </w:tcPr>
          <w:p w14:paraId="1B6D5226" w14:textId="77777777" w:rsidR="00F32A2A" w:rsidRDefault="004E0E02">
            <w:pPr>
              <w:pStyle w:val="-4"/>
              <w:spacing w:line="240" w:lineRule="auto"/>
              <w:rPr>
                <w:sz w:val="16"/>
                <w:szCs w:val="16"/>
                <w:rtl/>
              </w:rPr>
            </w:pPr>
            <w:r w:rsidRPr="00CF2A74">
              <w:rPr>
                <w:rFonts w:hint="eastAsia"/>
                <w:sz w:val="16"/>
                <w:szCs w:val="16"/>
                <w:rtl/>
              </w:rPr>
              <w:t>תקבולים</w:t>
            </w:r>
            <w:r w:rsidRPr="00CF2A74">
              <w:rPr>
                <w:sz w:val="16"/>
                <w:szCs w:val="16"/>
                <w:rtl/>
              </w:rPr>
              <w:t xml:space="preserve"> </w:t>
            </w:r>
            <w:r w:rsidRPr="00CF2A74">
              <w:rPr>
                <w:rFonts w:hint="eastAsia"/>
                <w:sz w:val="16"/>
                <w:szCs w:val="16"/>
                <w:rtl/>
              </w:rPr>
              <w:t>על</w:t>
            </w:r>
            <w:r w:rsidRPr="00CF2A74">
              <w:rPr>
                <w:sz w:val="16"/>
                <w:szCs w:val="16"/>
                <w:rtl/>
              </w:rPr>
              <w:t xml:space="preserve"> </w:t>
            </w:r>
            <w:r w:rsidRPr="00CF2A74">
              <w:rPr>
                <w:rFonts w:hint="eastAsia"/>
                <w:sz w:val="16"/>
                <w:szCs w:val="16"/>
                <w:rtl/>
              </w:rPr>
              <w:t>חשבון</w:t>
            </w:r>
            <w:r w:rsidRPr="00CF2A74">
              <w:rPr>
                <w:sz w:val="16"/>
                <w:szCs w:val="16"/>
                <w:rtl/>
              </w:rPr>
              <w:t xml:space="preserve"> </w:t>
            </w:r>
            <w:r w:rsidRPr="00CF2A74">
              <w:rPr>
                <w:rFonts w:hint="eastAsia"/>
                <w:sz w:val="16"/>
                <w:szCs w:val="16"/>
                <w:rtl/>
              </w:rPr>
              <w:t>מניות</w:t>
            </w:r>
          </w:p>
        </w:tc>
        <w:tc>
          <w:tcPr>
            <w:tcW w:w="941" w:type="dxa"/>
            <w:vAlign w:val="bottom"/>
          </w:tcPr>
          <w:p w14:paraId="4BF5399F" w14:textId="77777777" w:rsidR="00F32A2A" w:rsidRDefault="004E0E02">
            <w:pPr>
              <w:pStyle w:val="-4"/>
              <w:spacing w:line="240" w:lineRule="auto"/>
              <w:rPr>
                <w:sz w:val="16"/>
                <w:szCs w:val="16"/>
                <w:rtl/>
              </w:rPr>
            </w:pPr>
            <w:r w:rsidRPr="00CF2A74">
              <w:rPr>
                <w:rFonts w:hint="eastAsia"/>
                <w:sz w:val="16"/>
                <w:szCs w:val="16"/>
                <w:rtl/>
              </w:rPr>
              <w:t>התחייבויות</w:t>
            </w:r>
            <w:r w:rsidRPr="00CF2A74">
              <w:rPr>
                <w:sz w:val="16"/>
                <w:szCs w:val="16"/>
                <w:rtl/>
              </w:rPr>
              <w:t xml:space="preserve"> </w:t>
            </w:r>
            <w:r w:rsidRPr="00CF2A74">
              <w:rPr>
                <w:rFonts w:hint="eastAsia"/>
                <w:sz w:val="16"/>
                <w:szCs w:val="16"/>
                <w:rtl/>
              </w:rPr>
              <w:t>צמיתות</w:t>
            </w:r>
          </w:p>
        </w:tc>
        <w:tc>
          <w:tcPr>
            <w:tcW w:w="881" w:type="dxa"/>
            <w:vAlign w:val="bottom"/>
          </w:tcPr>
          <w:p w14:paraId="19B05CFC" w14:textId="77777777" w:rsidR="00F32A2A" w:rsidRDefault="004E0E02">
            <w:pPr>
              <w:pStyle w:val="-4"/>
              <w:spacing w:line="240" w:lineRule="auto"/>
              <w:rPr>
                <w:sz w:val="16"/>
                <w:szCs w:val="16"/>
                <w:rtl/>
              </w:rPr>
            </w:pPr>
            <w:r w:rsidRPr="00CF2A74">
              <w:rPr>
                <w:rFonts w:hint="eastAsia"/>
                <w:sz w:val="16"/>
                <w:szCs w:val="16"/>
                <w:rtl/>
              </w:rPr>
              <w:t>מפרמיה</w:t>
            </w:r>
          </w:p>
        </w:tc>
        <w:tc>
          <w:tcPr>
            <w:tcW w:w="1073" w:type="dxa"/>
            <w:vAlign w:val="bottom"/>
          </w:tcPr>
          <w:p w14:paraId="1DEBE952" w14:textId="77777777" w:rsidR="00F32A2A" w:rsidRPr="009A7E4A" w:rsidRDefault="004E0E02">
            <w:pPr>
              <w:pStyle w:val="-4"/>
              <w:spacing w:line="240" w:lineRule="auto"/>
              <w:rPr>
                <w:sz w:val="16"/>
                <w:szCs w:val="16"/>
                <w:rtl/>
              </w:rPr>
            </w:pPr>
            <w:r w:rsidRPr="009A7E4A">
              <w:rPr>
                <w:rFonts w:hint="eastAsia"/>
                <w:sz w:val="16"/>
                <w:szCs w:val="16"/>
                <w:rtl/>
              </w:rPr>
              <w:t>מהטבה</w:t>
            </w:r>
            <w:r w:rsidRPr="009A7E4A">
              <w:rPr>
                <w:sz w:val="16"/>
                <w:szCs w:val="16"/>
                <w:rtl/>
              </w:rPr>
              <w:t xml:space="preserve"> </w:t>
            </w:r>
            <w:r w:rsidRPr="009A7E4A">
              <w:rPr>
                <w:rFonts w:hint="eastAsia"/>
                <w:sz w:val="16"/>
                <w:szCs w:val="16"/>
                <w:rtl/>
              </w:rPr>
              <w:t>בשל</w:t>
            </w:r>
            <w:r w:rsidRPr="009A7E4A">
              <w:rPr>
                <w:sz w:val="16"/>
                <w:szCs w:val="16"/>
                <w:rtl/>
              </w:rPr>
              <w:t xml:space="preserve"> </w:t>
            </w:r>
            <w:r w:rsidRPr="009A7E4A">
              <w:rPr>
                <w:rFonts w:hint="eastAsia"/>
                <w:sz w:val="16"/>
                <w:szCs w:val="16"/>
                <w:rtl/>
              </w:rPr>
              <w:t>עסקאות</w:t>
            </w:r>
            <w:r w:rsidRPr="009A7E4A">
              <w:rPr>
                <w:sz w:val="16"/>
                <w:szCs w:val="16"/>
                <w:rtl/>
              </w:rPr>
              <w:t xml:space="preserve"> </w:t>
            </w:r>
            <w:r w:rsidRPr="009A7E4A">
              <w:rPr>
                <w:rFonts w:hint="eastAsia"/>
                <w:sz w:val="16"/>
                <w:szCs w:val="16"/>
                <w:rtl/>
              </w:rPr>
              <w:t>תשלום</w:t>
            </w:r>
            <w:r w:rsidRPr="009A7E4A">
              <w:rPr>
                <w:sz w:val="16"/>
                <w:szCs w:val="16"/>
                <w:rtl/>
              </w:rPr>
              <w:t xml:space="preserve"> </w:t>
            </w:r>
            <w:r w:rsidRPr="009A7E4A">
              <w:rPr>
                <w:rFonts w:hint="eastAsia"/>
                <w:sz w:val="16"/>
                <w:szCs w:val="16"/>
                <w:rtl/>
              </w:rPr>
              <w:t>מבוסס</w:t>
            </w:r>
            <w:r w:rsidRPr="009A7E4A">
              <w:rPr>
                <w:sz w:val="16"/>
                <w:szCs w:val="16"/>
                <w:rtl/>
              </w:rPr>
              <w:t xml:space="preserve"> </w:t>
            </w:r>
            <w:r w:rsidRPr="009A7E4A">
              <w:rPr>
                <w:rFonts w:hint="eastAsia"/>
                <w:sz w:val="16"/>
                <w:szCs w:val="16"/>
                <w:rtl/>
              </w:rPr>
              <w:t>מניות</w:t>
            </w:r>
          </w:p>
        </w:tc>
        <w:tc>
          <w:tcPr>
            <w:tcW w:w="736" w:type="dxa"/>
            <w:vAlign w:val="bottom"/>
          </w:tcPr>
          <w:p w14:paraId="7E62A3FC" w14:textId="77777777" w:rsidR="004E0E02" w:rsidRDefault="004E0E02">
            <w:pPr>
              <w:pStyle w:val="-4"/>
              <w:spacing w:line="240" w:lineRule="auto"/>
              <w:ind w:left="-57" w:right="-57"/>
              <w:rPr>
                <w:sz w:val="16"/>
                <w:szCs w:val="16"/>
                <w:rtl/>
              </w:rPr>
            </w:pPr>
            <w:r w:rsidRPr="00CF2A74">
              <w:rPr>
                <w:rFonts w:hint="eastAsia"/>
                <w:sz w:val="16"/>
                <w:szCs w:val="16"/>
                <w:rtl/>
              </w:rPr>
              <w:t>אחרות</w:t>
            </w:r>
            <w:r w:rsidRPr="00CF2A74">
              <w:rPr>
                <w:sz w:val="16"/>
                <w:szCs w:val="16"/>
                <w:rtl/>
              </w:rPr>
              <w:t xml:space="preserve"> [פרט]</w:t>
            </w:r>
          </w:p>
        </w:tc>
        <w:tc>
          <w:tcPr>
            <w:tcW w:w="794" w:type="dxa"/>
            <w:vAlign w:val="bottom"/>
          </w:tcPr>
          <w:p w14:paraId="2939F967" w14:textId="77777777" w:rsidR="004E0E02" w:rsidRPr="00CF2A74" w:rsidRDefault="004E0E02">
            <w:pPr>
              <w:pStyle w:val="-4"/>
              <w:spacing w:line="240" w:lineRule="auto"/>
              <w:rPr>
                <w:sz w:val="16"/>
                <w:szCs w:val="16"/>
                <w:rtl/>
              </w:rPr>
            </w:pPr>
            <w:r w:rsidRPr="00CF2A74">
              <w:rPr>
                <w:rFonts w:hint="eastAsia"/>
                <w:sz w:val="16"/>
                <w:szCs w:val="16"/>
                <w:rtl/>
              </w:rPr>
              <w:t>מניות</w:t>
            </w:r>
            <w:r w:rsidRPr="00CF2A74">
              <w:rPr>
                <w:sz w:val="16"/>
                <w:szCs w:val="16"/>
                <w:rtl/>
              </w:rPr>
              <w:t xml:space="preserve"> </w:t>
            </w:r>
            <w:r w:rsidRPr="00CF2A74">
              <w:rPr>
                <w:rFonts w:hint="eastAsia"/>
                <w:sz w:val="16"/>
                <w:szCs w:val="16"/>
                <w:rtl/>
              </w:rPr>
              <w:t>באוצר</w:t>
            </w:r>
          </w:p>
        </w:tc>
        <w:tc>
          <w:tcPr>
            <w:tcW w:w="905" w:type="dxa"/>
            <w:vAlign w:val="bottom"/>
          </w:tcPr>
          <w:p w14:paraId="3021ABD3" w14:textId="77777777" w:rsidR="00F32A2A" w:rsidRDefault="004E0E02">
            <w:pPr>
              <w:pStyle w:val="-4"/>
              <w:spacing w:line="240" w:lineRule="auto"/>
              <w:rPr>
                <w:sz w:val="16"/>
                <w:szCs w:val="16"/>
                <w:rtl/>
              </w:rPr>
            </w:pPr>
            <w:r w:rsidRPr="00CF2A74">
              <w:rPr>
                <w:rFonts w:hint="eastAsia"/>
                <w:sz w:val="16"/>
                <w:szCs w:val="16"/>
                <w:rtl/>
              </w:rPr>
              <w:t>סך</w:t>
            </w:r>
            <w:r w:rsidRPr="00CF2A74">
              <w:rPr>
                <w:sz w:val="16"/>
                <w:szCs w:val="16"/>
                <w:rtl/>
              </w:rPr>
              <w:t xml:space="preserve"> </w:t>
            </w:r>
            <w:r w:rsidRPr="00CF2A74">
              <w:rPr>
                <w:rFonts w:hint="eastAsia"/>
                <w:sz w:val="16"/>
                <w:szCs w:val="16"/>
                <w:rtl/>
              </w:rPr>
              <w:t>הכל</w:t>
            </w:r>
          </w:p>
          <w:p w14:paraId="16C99B77" w14:textId="77777777" w:rsidR="00F32A2A" w:rsidRDefault="004E0E02">
            <w:pPr>
              <w:pStyle w:val="-4"/>
              <w:spacing w:line="240" w:lineRule="auto"/>
              <w:rPr>
                <w:sz w:val="16"/>
                <w:szCs w:val="16"/>
                <w:rtl/>
              </w:rPr>
            </w:pPr>
            <w:r w:rsidRPr="00CF2A74">
              <w:rPr>
                <w:rFonts w:hint="eastAsia"/>
                <w:sz w:val="16"/>
                <w:szCs w:val="16"/>
                <w:rtl/>
              </w:rPr>
              <w:t>הון</w:t>
            </w:r>
            <w:r w:rsidRPr="00CF2A74">
              <w:rPr>
                <w:sz w:val="16"/>
                <w:szCs w:val="16"/>
                <w:rtl/>
              </w:rPr>
              <w:t xml:space="preserve"> </w:t>
            </w:r>
            <w:r w:rsidRPr="00CF2A74">
              <w:rPr>
                <w:rFonts w:hint="eastAsia"/>
                <w:sz w:val="16"/>
                <w:szCs w:val="16"/>
                <w:rtl/>
              </w:rPr>
              <w:t>המניות</w:t>
            </w:r>
            <w:r w:rsidRPr="00CF2A74">
              <w:rPr>
                <w:sz w:val="16"/>
                <w:szCs w:val="16"/>
                <w:rtl/>
              </w:rPr>
              <w:t xml:space="preserve"> </w:t>
            </w:r>
            <w:r w:rsidRPr="00CF2A74">
              <w:rPr>
                <w:rFonts w:hint="eastAsia"/>
                <w:sz w:val="16"/>
                <w:szCs w:val="16"/>
                <w:rtl/>
              </w:rPr>
              <w:t>הנפרע</w:t>
            </w:r>
            <w:r w:rsidRPr="00CF2A74">
              <w:rPr>
                <w:sz w:val="16"/>
                <w:szCs w:val="16"/>
                <w:rtl/>
              </w:rPr>
              <w:t xml:space="preserve"> </w:t>
            </w:r>
            <w:r w:rsidRPr="00CF2A74">
              <w:rPr>
                <w:rFonts w:hint="eastAsia"/>
                <w:sz w:val="16"/>
                <w:szCs w:val="16"/>
                <w:rtl/>
              </w:rPr>
              <w:t>וקרנות</w:t>
            </w:r>
            <w:r w:rsidRPr="00CF2A74">
              <w:rPr>
                <w:sz w:val="16"/>
                <w:szCs w:val="16"/>
                <w:rtl/>
              </w:rPr>
              <w:t xml:space="preserve"> </w:t>
            </w:r>
            <w:r w:rsidRPr="00CF2A74">
              <w:rPr>
                <w:rFonts w:hint="eastAsia"/>
                <w:sz w:val="16"/>
                <w:szCs w:val="16"/>
                <w:rtl/>
              </w:rPr>
              <w:t>הון</w:t>
            </w:r>
          </w:p>
        </w:tc>
        <w:tc>
          <w:tcPr>
            <w:tcW w:w="825" w:type="dxa"/>
            <w:vAlign w:val="bottom"/>
          </w:tcPr>
          <w:p w14:paraId="4F5DE797" w14:textId="77777777" w:rsidR="00F32A2A" w:rsidRDefault="004E0E02">
            <w:pPr>
              <w:pStyle w:val="-4"/>
              <w:spacing w:line="240" w:lineRule="auto"/>
              <w:rPr>
                <w:sz w:val="16"/>
                <w:szCs w:val="16"/>
                <w:rtl/>
              </w:rPr>
            </w:pPr>
            <w:r w:rsidRPr="00CF2A74">
              <w:rPr>
                <w:rFonts w:hint="eastAsia"/>
                <w:sz w:val="16"/>
                <w:szCs w:val="16"/>
                <w:rtl/>
              </w:rPr>
              <w:t>רווח</w:t>
            </w:r>
            <w:r w:rsidRPr="00CF2A74">
              <w:rPr>
                <w:sz w:val="16"/>
                <w:szCs w:val="16"/>
                <w:rtl/>
              </w:rPr>
              <w:t xml:space="preserve"> </w:t>
            </w:r>
            <w:r w:rsidRPr="00CF2A74">
              <w:rPr>
                <w:rFonts w:hint="eastAsia"/>
                <w:sz w:val="16"/>
                <w:szCs w:val="16"/>
                <w:rtl/>
              </w:rPr>
              <w:t>כולל</w:t>
            </w:r>
            <w:r w:rsidRPr="00CF2A74">
              <w:rPr>
                <w:sz w:val="16"/>
                <w:szCs w:val="16"/>
                <w:rtl/>
              </w:rPr>
              <w:t xml:space="preserve"> </w:t>
            </w:r>
            <w:r w:rsidRPr="00CF2A74">
              <w:rPr>
                <w:rFonts w:hint="eastAsia"/>
                <w:sz w:val="16"/>
                <w:szCs w:val="16"/>
                <w:rtl/>
              </w:rPr>
              <w:t>אחר</w:t>
            </w:r>
            <w:r w:rsidRPr="00CF2A74">
              <w:rPr>
                <w:sz w:val="16"/>
                <w:szCs w:val="16"/>
                <w:rtl/>
              </w:rPr>
              <w:t xml:space="preserve"> </w:t>
            </w:r>
            <w:r w:rsidRPr="00CF2A74">
              <w:rPr>
                <w:rFonts w:hint="eastAsia"/>
                <w:sz w:val="16"/>
                <w:szCs w:val="16"/>
                <w:rtl/>
              </w:rPr>
              <w:t>מצטבר</w:t>
            </w:r>
          </w:p>
        </w:tc>
        <w:tc>
          <w:tcPr>
            <w:tcW w:w="941" w:type="dxa"/>
            <w:vAlign w:val="bottom"/>
          </w:tcPr>
          <w:p w14:paraId="608A7102" w14:textId="77777777" w:rsidR="00F32A2A" w:rsidRDefault="004E0E02">
            <w:pPr>
              <w:pStyle w:val="-4"/>
              <w:spacing w:line="240" w:lineRule="auto"/>
              <w:rPr>
                <w:sz w:val="16"/>
                <w:szCs w:val="16"/>
                <w:rtl/>
              </w:rPr>
            </w:pPr>
            <w:r w:rsidRPr="00CF2A74">
              <w:rPr>
                <w:rFonts w:hint="eastAsia"/>
                <w:sz w:val="16"/>
                <w:szCs w:val="16"/>
                <w:rtl/>
              </w:rPr>
              <w:t>עודפים</w:t>
            </w:r>
            <w:r w:rsidRPr="00CF2A74">
              <w:rPr>
                <w:sz w:val="16"/>
                <w:szCs w:val="16"/>
                <w:rtl/>
              </w:rPr>
              <w:t xml:space="preserve"> (גירעונות) שנצברו</w:t>
            </w:r>
          </w:p>
        </w:tc>
        <w:tc>
          <w:tcPr>
            <w:tcW w:w="882" w:type="dxa"/>
            <w:vAlign w:val="bottom"/>
          </w:tcPr>
          <w:p w14:paraId="3A1E3BCF" w14:textId="77777777" w:rsidR="00F32A2A" w:rsidRDefault="004E0E02">
            <w:pPr>
              <w:pStyle w:val="-4"/>
              <w:spacing w:line="240" w:lineRule="auto"/>
              <w:rPr>
                <w:sz w:val="16"/>
                <w:szCs w:val="16"/>
                <w:rtl/>
              </w:rPr>
            </w:pPr>
            <w:r w:rsidRPr="00CF2A74">
              <w:rPr>
                <w:rFonts w:hint="eastAsia"/>
                <w:sz w:val="16"/>
                <w:szCs w:val="16"/>
                <w:rtl/>
              </w:rPr>
              <w:t>סעיפים</w:t>
            </w:r>
            <w:r w:rsidRPr="00CF2A74">
              <w:rPr>
                <w:sz w:val="16"/>
                <w:szCs w:val="16"/>
                <w:rtl/>
              </w:rPr>
              <w:t xml:space="preserve"> </w:t>
            </w:r>
            <w:r w:rsidRPr="00CF2A74">
              <w:rPr>
                <w:rFonts w:hint="eastAsia"/>
                <w:sz w:val="16"/>
                <w:szCs w:val="16"/>
                <w:rtl/>
              </w:rPr>
              <w:t>הוניים</w:t>
            </w:r>
            <w:r w:rsidRPr="00CF2A74">
              <w:rPr>
                <w:sz w:val="16"/>
                <w:szCs w:val="16"/>
                <w:rtl/>
              </w:rPr>
              <w:t xml:space="preserve"> אחרים</w:t>
            </w:r>
          </w:p>
        </w:tc>
        <w:tc>
          <w:tcPr>
            <w:tcW w:w="1128" w:type="dxa"/>
            <w:vAlign w:val="bottom"/>
          </w:tcPr>
          <w:p w14:paraId="34E9451F" w14:textId="77777777" w:rsidR="00F32A2A" w:rsidRDefault="004E0E02">
            <w:pPr>
              <w:pStyle w:val="-4"/>
              <w:spacing w:line="240" w:lineRule="auto"/>
              <w:rPr>
                <w:sz w:val="16"/>
                <w:szCs w:val="16"/>
                <w:rtl/>
              </w:rPr>
            </w:pPr>
            <w:r w:rsidRPr="00CF2A74">
              <w:rPr>
                <w:rFonts w:hint="eastAsia"/>
                <w:sz w:val="16"/>
                <w:szCs w:val="16"/>
                <w:rtl/>
              </w:rPr>
              <w:t>סך</w:t>
            </w:r>
            <w:r w:rsidRPr="00CF2A74">
              <w:rPr>
                <w:sz w:val="16"/>
                <w:szCs w:val="16"/>
                <w:rtl/>
              </w:rPr>
              <w:t xml:space="preserve"> </w:t>
            </w:r>
            <w:r>
              <w:rPr>
                <w:rFonts w:hint="cs"/>
                <w:sz w:val="16"/>
                <w:szCs w:val="16"/>
                <w:rtl/>
              </w:rPr>
              <w:t>הכל</w:t>
            </w:r>
            <w:r w:rsidRPr="00CF2A74">
              <w:rPr>
                <w:sz w:val="16"/>
                <w:szCs w:val="16"/>
                <w:rtl/>
              </w:rPr>
              <w:t xml:space="preserve"> </w:t>
            </w:r>
            <w:r w:rsidRPr="00CF2A74">
              <w:rPr>
                <w:rFonts w:hint="eastAsia"/>
                <w:sz w:val="16"/>
                <w:szCs w:val="16"/>
                <w:rtl/>
              </w:rPr>
              <w:t>הון</w:t>
            </w:r>
            <w:r w:rsidRPr="00CF2A74">
              <w:rPr>
                <w:sz w:val="16"/>
                <w:szCs w:val="16"/>
                <w:rtl/>
              </w:rPr>
              <w:t xml:space="preserve"> </w:t>
            </w:r>
            <w:r w:rsidRPr="00CF2A74">
              <w:rPr>
                <w:rFonts w:hint="eastAsia"/>
                <w:sz w:val="16"/>
                <w:szCs w:val="16"/>
                <w:rtl/>
              </w:rPr>
              <w:t>המיוחס</w:t>
            </w:r>
            <w:r w:rsidRPr="00CF2A74">
              <w:rPr>
                <w:sz w:val="16"/>
                <w:szCs w:val="16"/>
                <w:rtl/>
              </w:rPr>
              <w:t xml:space="preserve"> </w:t>
            </w:r>
            <w:r w:rsidRPr="00CF2A74">
              <w:rPr>
                <w:rFonts w:hint="eastAsia"/>
                <w:sz w:val="16"/>
                <w:szCs w:val="16"/>
                <w:rtl/>
              </w:rPr>
              <w:t>לבעלי</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התאגיד</w:t>
            </w:r>
            <w:r w:rsidRPr="00CF2A74">
              <w:rPr>
                <w:sz w:val="16"/>
                <w:szCs w:val="16"/>
                <w:rtl/>
              </w:rPr>
              <w:t xml:space="preserve"> </w:t>
            </w:r>
            <w:r w:rsidRPr="00CF2A74">
              <w:rPr>
                <w:rFonts w:hint="eastAsia"/>
                <w:sz w:val="16"/>
                <w:szCs w:val="16"/>
                <w:rtl/>
              </w:rPr>
              <w:t>הבנקאי</w:t>
            </w:r>
          </w:p>
        </w:tc>
        <w:tc>
          <w:tcPr>
            <w:tcW w:w="737" w:type="dxa"/>
            <w:vAlign w:val="bottom"/>
          </w:tcPr>
          <w:p w14:paraId="740D96B1" w14:textId="77777777" w:rsidR="00F32A2A" w:rsidRDefault="004E0E02">
            <w:pPr>
              <w:pStyle w:val="-4"/>
              <w:spacing w:line="240" w:lineRule="auto"/>
              <w:rPr>
                <w:sz w:val="16"/>
                <w:szCs w:val="16"/>
                <w:rtl/>
              </w:rPr>
            </w:pPr>
            <w:r w:rsidRPr="00CF2A74">
              <w:rPr>
                <w:rFonts w:hint="eastAsia"/>
                <w:sz w:val="16"/>
                <w:szCs w:val="16"/>
                <w:rtl/>
              </w:rPr>
              <w:t>זכויות</w:t>
            </w:r>
          </w:p>
          <w:p w14:paraId="485AFBBC" w14:textId="77777777" w:rsidR="00F32A2A" w:rsidRDefault="004E0E02">
            <w:pPr>
              <w:pStyle w:val="-4"/>
              <w:spacing w:line="240" w:lineRule="auto"/>
              <w:rPr>
                <w:sz w:val="16"/>
                <w:szCs w:val="16"/>
                <w:rtl/>
              </w:rPr>
            </w:pPr>
            <w:r w:rsidRPr="00CF2A74">
              <w:rPr>
                <w:rFonts w:hint="eastAsia"/>
                <w:sz w:val="16"/>
                <w:szCs w:val="16"/>
                <w:rtl/>
              </w:rPr>
              <w:t>שאינן</w:t>
            </w:r>
            <w:r w:rsidRPr="00CF2A74">
              <w:rPr>
                <w:sz w:val="16"/>
                <w:szCs w:val="16"/>
                <w:rtl/>
              </w:rPr>
              <w:t xml:space="preserve"> </w:t>
            </w:r>
            <w:r w:rsidRPr="00CF2A74">
              <w:rPr>
                <w:rFonts w:hint="eastAsia"/>
                <w:sz w:val="16"/>
                <w:szCs w:val="16"/>
                <w:rtl/>
              </w:rPr>
              <w:t>מקנות</w:t>
            </w:r>
            <w:r w:rsidRPr="00CF2A74">
              <w:rPr>
                <w:sz w:val="16"/>
                <w:szCs w:val="16"/>
                <w:rtl/>
              </w:rPr>
              <w:t xml:space="preserve"> </w:t>
            </w:r>
            <w:r w:rsidRPr="00CF2A74">
              <w:rPr>
                <w:rFonts w:hint="eastAsia"/>
                <w:sz w:val="16"/>
                <w:szCs w:val="16"/>
                <w:rtl/>
              </w:rPr>
              <w:t>שליטה</w:t>
            </w:r>
          </w:p>
        </w:tc>
        <w:tc>
          <w:tcPr>
            <w:tcW w:w="712" w:type="dxa"/>
            <w:vAlign w:val="bottom"/>
          </w:tcPr>
          <w:p w14:paraId="657849D0" w14:textId="77777777" w:rsidR="00F32A2A" w:rsidRDefault="004E0E02">
            <w:pPr>
              <w:pStyle w:val="-4"/>
              <w:spacing w:line="240" w:lineRule="auto"/>
              <w:rPr>
                <w:sz w:val="16"/>
                <w:szCs w:val="16"/>
                <w:rtl/>
              </w:rPr>
            </w:pPr>
            <w:r w:rsidRPr="00CF2A74">
              <w:rPr>
                <w:rFonts w:hint="eastAsia"/>
                <w:sz w:val="16"/>
                <w:szCs w:val="16"/>
                <w:rtl/>
              </w:rPr>
              <w:t>סך</w:t>
            </w:r>
            <w:r w:rsidRPr="00CF2A74">
              <w:rPr>
                <w:sz w:val="16"/>
                <w:szCs w:val="16"/>
                <w:rtl/>
              </w:rPr>
              <w:t xml:space="preserve"> </w:t>
            </w:r>
            <w:r w:rsidRPr="00CF2A74">
              <w:rPr>
                <w:rFonts w:hint="eastAsia"/>
                <w:sz w:val="16"/>
                <w:szCs w:val="16"/>
                <w:rtl/>
              </w:rPr>
              <w:t>הכל</w:t>
            </w:r>
          </w:p>
          <w:p w14:paraId="52B4ADB1" w14:textId="77777777" w:rsidR="00F32A2A" w:rsidRDefault="004E0E02">
            <w:pPr>
              <w:pStyle w:val="-4"/>
              <w:spacing w:line="240" w:lineRule="auto"/>
              <w:rPr>
                <w:sz w:val="16"/>
                <w:szCs w:val="16"/>
                <w:rtl/>
              </w:rPr>
            </w:pPr>
            <w:r w:rsidRPr="00CF2A74">
              <w:rPr>
                <w:rFonts w:hint="eastAsia"/>
                <w:sz w:val="16"/>
                <w:szCs w:val="16"/>
                <w:rtl/>
              </w:rPr>
              <w:t>הון</w:t>
            </w:r>
          </w:p>
        </w:tc>
      </w:tr>
      <w:tr w:rsidR="004E0E02" w:rsidRPr="00513F0D" w14:paraId="7778B81B" w14:textId="77777777" w:rsidTr="004A1ADA">
        <w:tc>
          <w:tcPr>
            <w:tcW w:w="850" w:type="dxa"/>
          </w:tcPr>
          <w:p w14:paraId="3929153F" w14:textId="77777777" w:rsidR="004E0E02" w:rsidRPr="00513F0D" w:rsidRDefault="004E0E02" w:rsidP="00061646">
            <w:pPr>
              <w:pStyle w:val="-7"/>
              <w:bidi w:val="0"/>
              <w:ind w:right="-231"/>
              <w:jc w:val="left"/>
              <w:rPr>
                <w:spacing w:val="-6"/>
                <w:sz w:val="16"/>
                <w:szCs w:val="16"/>
              </w:rPr>
            </w:pPr>
          </w:p>
        </w:tc>
        <w:tc>
          <w:tcPr>
            <w:tcW w:w="1978" w:type="dxa"/>
            <w:vAlign w:val="bottom"/>
          </w:tcPr>
          <w:p w14:paraId="7820F71D" w14:textId="77777777" w:rsidR="004E0E02" w:rsidRPr="00CF2A74" w:rsidRDefault="004E0E02" w:rsidP="00061646">
            <w:pPr>
              <w:pStyle w:val="-0"/>
              <w:rPr>
                <w:b/>
                <w:bCs/>
                <w:sz w:val="16"/>
                <w:szCs w:val="16"/>
                <w:rtl/>
              </w:rPr>
            </w:pPr>
          </w:p>
        </w:tc>
        <w:tc>
          <w:tcPr>
            <w:tcW w:w="801" w:type="dxa"/>
            <w:vAlign w:val="bottom"/>
          </w:tcPr>
          <w:p w14:paraId="23B4FC96" w14:textId="77777777" w:rsidR="004E0E02" w:rsidRPr="00CF2A74" w:rsidRDefault="004E0E02" w:rsidP="00061646">
            <w:pPr>
              <w:pStyle w:val="-3"/>
              <w:rPr>
                <w:b/>
                <w:bCs/>
                <w:sz w:val="16"/>
                <w:szCs w:val="16"/>
                <w:rtl/>
              </w:rPr>
            </w:pPr>
          </w:p>
        </w:tc>
        <w:tc>
          <w:tcPr>
            <w:tcW w:w="881" w:type="dxa"/>
            <w:vAlign w:val="bottom"/>
          </w:tcPr>
          <w:p w14:paraId="714AD371" w14:textId="77777777" w:rsidR="004E0E02" w:rsidRPr="00CF2A74" w:rsidRDefault="004E0E02" w:rsidP="00061646">
            <w:pPr>
              <w:pStyle w:val="-3"/>
              <w:rPr>
                <w:b/>
                <w:bCs/>
                <w:sz w:val="16"/>
                <w:szCs w:val="16"/>
                <w:rtl/>
              </w:rPr>
            </w:pPr>
          </w:p>
        </w:tc>
        <w:tc>
          <w:tcPr>
            <w:tcW w:w="941" w:type="dxa"/>
            <w:vAlign w:val="bottom"/>
          </w:tcPr>
          <w:p w14:paraId="5E9E84CB" w14:textId="77777777" w:rsidR="004E0E02" w:rsidRPr="00CF2A74" w:rsidRDefault="004E0E02" w:rsidP="00061646">
            <w:pPr>
              <w:pStyle w:val="-3"/>
              <w:rPr>
                <w:b/>
                <w:bCs/>
                <w:sz w:val="16"/>
                <w:szCs w:val="16"/>
                <w:rtl/>
              </w:rPr>
            </w:pPr>
          </w:p>
        </w:tc>
        <w:tc>
          <w:tcPr>
            <w:tcW w:w="881" w:type="dxa"/>
            <w:vAlign w:val="bottom"/>
          </w:tcPr>
          <w:p w14:paraId="02594B92" w14:textId="77777777" w:rsidR="004E0E02" w:rsidRPr="00CF2A74" w:rsidRDefault="004E0E02" w:rsidP="00061646">
            <w:pPr>
              <w:pStyle w:val="-3"/>
              <w:rPr>
                <w:b/>
                <w:bCs/>
                <w:sz w:val="16"/>
                <w:szCs w:val="16"/>
                <w:rtl/>
              </w:rPr>
            </w:pPr>
          </w:p>
        </w:tc>
        <w:tc>
          <w:tcPr>
            <w:tcW w:w="1073" w:type="dxa"/>
            <w:vAlign w:val="bottom"/>
          </w:tcPr>
          <w:p w14:paraId="36B4E220" w14:textId="77777777" w:rsidR="004E0E02" w:rsidRPr="009A7E4A" w:rsidRDefault="004E0E02" w:rsidP="00061646">
            <w:pPr>
              <w:pStyle w:val="-3"/>
              <w:rPr>
                <w:b/>
                <w:bCs/>
                <w:sz w:val="16"/>
                <w:szCs w:val="16"/>
                <w:rtl/>
              </w:rPr>
            </w:pPr>
          </w:p>
        </w:tc>
        <w:tc>
          <w:tcPr>
            <w:tcW w:w="736" w:type="dxa"/>
            <w:vAlign w:val="bottom"/>
          </w:tcPr>
          <w:p w14:paraId="5453C768" w14:textId="77777777" w:rsidR="004E0E02" w:rsidRPr="00CF2A74" w:rsidRDefault="004E0E02" w:rsidP="00061646">
            <w:pPr>
              <w:pStyle w:val="-3"/>
              <w:jc w:val="left"/>
              <w:rPr>
                <w:b/>
                <w:bCs/>
                <w:sz w:val="16"/>
                <w:szCs w:val="16"/>
                <w:rtl/>
              </w:rPr>
            </w:pPr>
          </w:p>
        </w:tc>
        <w:tc>
          <w:tcPr>
            <w:tcW w:w="794" w:type="dxa"/>
            <w:vAlign w:val="bottom"/>
          </w:tcPr>
          <w:p w14:paraId="2D15D333" w14:textId="77777777" w:rsidR="004E0E02" w:rsidRPr="00CF2A74" w:rsidRDefault="004E0E02" w:rsidP="00061646">
            <w:pPr>
              <w:pStyle w:val="-3"/>
              <w:jc w:val="left"/>
              <w:rPr>
                <w:b/>
                <w:bCs/>
                <w:sz w:val="16"/>
                <w:szCs w:val="16"/>
                <w:rtl/>
              </w:rPr>
            </w:pPr>
          </w:p>
        </w:tc>
        <w:tc>
          <w:tcPr>
            <w:tcW w:w="905" w:type="dxa"/>
            <w:vAlign w:val="bottom"/>
          </w:tcPr>
          <w:p w14:paraId="39540D04" w14:textId="77777777" w:rsidR="004E0E02" w:rsidRPr="00CF2A74" w:rsidRDefault="004E0E02" w:rsidP="00061646">
            <w:pPr>
              <w:pStyle w:val="-3"/>
              <w:jc w:val="left"/>
              <w:rPr>
                <w:b/>
                <w:bCs/>
                <w:sz w:val="16"/>
                <w:szCs w:val="16"/>
                <w:rtl/>
              </w:rPr>
            </w:pPr>
          </w:p>
        </w:tc>
        <w:tc>
          <w:tcPr>
            <w:tcW w:w="825" w:type="dxa"/>
            <w:vAlign w:val="bottom"/>
          </w:tcPr>
          <w:p w14:paraId="688422D9" w14:textId="77777777" w:rsidR="004E0E02" w:rsidRPr="00CF2A74" w:rsidRDefault="004E0E02" w:rsidP="00061646">
            <w:pPr>
              <w:pStyle w:val="-3"/>
              <w:jc w:val="left"/>
              <w:rPr>
                <w:b/>
                <w:bCs/>
                <w:sz w:val="16"/>
                <w:szCs w:val="16"/>
                <w:rtl/>
              </w:rPr>
            </w:pPr>
          </w:p>
        </w:tc>
        <w:tc>
          <w:tcPr>
            <w:tcW w:w="941" w:type="dxa"/>
            <w:vAlign w:val="bottom"/>
          </w:tcPr>
          <w:p w14:paraId="3039DB37" w14:textId="77777777" w:rsidR="004E0E02" w:rsidRPr="00CF2A74" w:rsidRDefault="004E0E02" w:rsidP="00061646">
            <w:pPr>
              <w:pStyle w:val="-3"/>
              <w:jc w:val="left"/>
              <w:rPr>
                <w:b/>
                <w:bCs/>
                <w:sz w:val="16"/>
                <w:szCs w:val="16"/>
                <w:rtl/>
              </w:rPr>
            </w:pPr>
          </w:p>
        </w:tc>
        <w:tc>
          <w:tcPr>
            <w:tcW w:w="882" w:type="dxa"/>
            <w:vAlign w:val="bottom"/>
          </w:tcPr>
          <w:p w14:paraId="369B948A" w14:textId="77777777" w:rsidR="004E0E02" w:rsidRPr="00CF2A74" w:rsidRDefault="004E0E02" w:rsidP="00061646">
            <w:pPr>
              <w:pStyle w:val="-3"/>
              <w:jc w:val="left"/>
              <w:rPr>
                <w:b/>
                <w:bCs/>
                <w:sz w:val="16"/>
                <w:szCs w:val="16"/>
                <w:rtl/>
              </w:rPr>
            </w:pPr>
          </w:p>
        </w:tc>
        <w:tc>
          <w:tcPr>
            <w:tcW w:w="1128" w:type="dxa"/>
            <w:vAlign w:val="bottom"/>
          </w:tcPr>
          <w:p w14:paraId="099E3785" w14:textId="77777777" w:rsidR="004E0E02" w:rsidRPr="00CF2A74" w:rsidRDefault="004E0E02" w:rsidP="00061646">
            <w:pPr>
              <w:pStyle w:val="-3"/>
              <w:jc w:val="left"/>
              <w:rPr>
                <w:b/>
                <w:bCs/>
                <w:sz w:val="16"/>
                <w:szCs w:val="16"/>
                <w:rtl/>
              </w:rPr>
            </w:pPr>
          </w:p>
        </w:tc>
        <w:tc>
          <w:tcPr>
            <w:tcW w:w="737" w:type="dxa"/>
            <w:vAlign w:val="bottom"/>
          </w:tcPr>
          <w:p w14:paraId="15C4A470" w14:textId="77777777" w:rsidR="004E0E02" w:rsidRPr="00CF2A74" w:rsidRDefault="004E0E02" w:rsidP="00061646">
            <w:pPr>
              <w:pStyle w:val="-3"/>
              <w:jc w:val="left"/>
              <w:rPr>
                <w:b/>
                <w:bCs/>
                <w:sz w:val="16"/>
                <w:szCs w:val="16"/>
                <w:rtl/>
              </w:rPr>
            </w:pPr>
          </w:p>
        </w:tc>
        <w:tc>
          <w:tcPr>
            <w:tcW w:w="712" w:type="dxa"/>
            <w:vAlign w:val="bottom"/>
          </w:tcPr>
          <w:p w14:paraId="33E51C3A" w14:textId="77777777" w:rsidR="004E0E02" w:rsidRPr="00CF2A74" w:rsidRDefault="004E0E02" w:rsidP="00061646">
            <w:pPr>
              <w:pStyle w:val="-3"/>
              <w:jc w:val="left"/>
              <w:rPr>
                <w:b/>
                <w:bCs/>
                <w:sz w:val="16"/>
                <w:szCs w:val="16"/>
                <w:rtl/>
              </w:rPr>
            </w:pPr>
          </w:p>
        </w:tc>
      </w:tr>
      <w:tr w:rsidR="004E0E02" w:rsidRPr="00513F0D" w14:paraId="2AC29EFA" w14:textId="77777777" w:rsidTr="004A1ADA">
        <w:tc>
          <w:tcPr>
            <w:tcW w:w="850" w:type="dxa"/>
          </w:tcPr>
          <w:p w14:paraId="6D3BD83F" w14:textId="77777777" w:rsidR="004E0E02" w:rsidRDefault="004E0E02">
            <w:pPr>
              <w:pStyle w:val="-7"/>
              <w:bidi w:val="0"/>
              <w:ind w:right="-231"/>
              <w:jc w:val="left"/>
              <w:rPr>
                <w:spacing w:val="-6"/>
                <w:sz w:val="16"/>
                <w:szCs w:val="16"/>
              </w:rPr>
            </w:pPr>
          </w:p>
        </w:tc>
        <w:tc>
          <w:tcPr>
            <w:tcW w:w="1978" w:type="dxa"/>
            <w:vAlign w:val="bottom"/>
          </w:tcPr>
          <w:p w14:paraId="2BE3CD38" w14:textId="7626D3FE" w:rsidR="004E0E02" w:rsidRDefault="004E0E02" w:rsidP="00914A73">
            <w:pPr>
              <w:pStyle w:val="-0"/>
              <w:rPr>
                <w:b/>
                <w:bCs/>
                <w:sz w:val="16"/>
                <w:szCs w:val="16"/>
                <w:rtl/>
              </w:rPr>
            </w:pPr>
            <w:r w:rsidRPr="00CF2A74">
              <w:rPr>
                <w:rFonts w:hint="eastAsia"/>
                <w:b/>
                <w:bCs/>
                <w:sz w:val="16"/>
                <w:szCs w:val="16"/>
                <w:rtl/>
              </w:rPr>
              <w:t>יתרה</w:t>
            </w:r>
            <w:r w:rsidRPr="00CF2A74">
              <w:rPr>
                <w:b/>
                <w:bCs/>
                <w:sz w:val="16"/>
                <w:szCs w:val="16"/>
                <w:rtl/>
              </w:rPr>
              <w:t xml:space="preserve"> ליום 31 </w:t>
            </w:r>
            <w:r>
              <w:rPr>
                <w:rFonts w:hint="cs"/>
                <w:b/>
                <w:bCs/>
                <w:sz w:val="16"/>
                <w:szCs w:val="16"/>
                <w:rtl/>
              </w:rPr>
              <w:t xml:space="preserve">במרץ </w:t>
            </w:r>
            <w:r w:rsidR="00CC5F7B" w:rsidRPr="00CC5F7B">
              <w:rPr>
                <w:b/>
                <w:bCs/>
                <w:sz w:val="16"/>
                <w:szCs w:val="16"/>
                <w:rtl/>
              </w:rPr>
              <w:fldChar w:fldCharType="begin"/>
            </w:r>
            <w:r w:rsidR="00CC5F7B" w:rsidRPr="00CC5F7B">
              <w:rPr>
                <w:b/>
                <w:bCs/>
                <w:sz w:val="16"/>
                <w:szCs w:val="16"/>
                <w:rtl/>
              </w:rPr>
              <w:instrText xml:space="preserve"> </w:instrText>
            </w:r>
            <w:r w:rsidR="00CC5F7B" w:rsidRPr="00CC5F7B">
              <w:rPr>
                <w:rFonts w:hint="cs"/>
                <w:b/>
                <w:bCs/>
                <w:sz w:val="16"/>
                <w:szCs w:val="16"/>
                <w:rtl/>
              </w:rPr>
              <w:instrText xml:space="preserve">= </w:instrText>
            </w:r>
            <w:r w:rsidR="00CC5F7B" w:rsidRPr="00CC5F7B">
              <w:rPr>
                <w:rFonts w:hint="cs"/>
                <w:b/>
                <w:bCs/>
                <w:sz w:val="16"/>
                <w:szCs w:val="16"/>
              </w:rPr>
              <w:instrText>CY</w:instrText>
            </w:r>
            <w:r w:rsidR="00CC5F7B" w:rsidRPr="00CC5F7B">
              <w:rPr>
                <w:b/>
                <w:bCs/>
                <w:sz w:val="16"/>
                <w:szCs w:val="16"/>
              </w:rPr>
              <w:instrText>-1</w:instrText>
            </w:r>
            <w:r w:rsidR="00CC5F7B" w:rsidRPr="00CC5F7B">
              <w:rPr>
                <w:rFonts w:hint="cs"/>
                <w:b/>
                <w:bCs/>
                <w:sz w:val="16"/>
                <w:szCs w:val="16"/>
              </w:rPr>
              <w:instrText xml:space="preserve"> \* MERGEFORMAT</w:instrText>
            </w:r>
            <w:r w:rsidR="00CC5F7B" w:rsidRPr="00CC5F7B">
              <w:rPr>
                <w:b/>
                <w:bCs/>
                <w:sz w:val="16"/>
                <w:szCs w:val="16"/>
                <w:rtl/>
              </w:rPr>
              <w:instrText xml:space="preserve"> </w:instrText>
            </w:r>
            <w:r w:rsidR="00CC5F7B" w:rsidRPr="00CC5F7B">
              <w:rPr>
                <w:b/>
                <w:bCs/>
                <w:sz w:val="16"/>
                <w:szCs w:val="16"/>
                <w:rtl/>
              </w:rPr>
              <w:fldChar w:fldCharType="separate"/>
            </w:r>
            <w:r w:rsidR="003A584F">
              <w:rPr>
                <w:b/>
                <w:bCs/>
                <w:noProof/>
                <w:sz w:val="16"/>
                <w:szCs w:val="16"/>
                <w:rtl/>
              </w:rPr>
              <w:t>2023</w:t>
            </w:r>
            <w:r w:rsidR="00CC5F7B" w:rsidRPr="00CC5F7B">
              <w:rPr>
                <w:b/>
                <w:bCs/>
                <w:sz w:val="16"/>
                <w:szCs w:val="16"/>
                <w:rtl/>
              </w:rPr>
              <w:fldChar w:fldCharType="end"/>
            </w:r>
          </w:p>
        </w:tc>
        <w:tc>
          <w:tcPr>
            <w:tcW w:w="801" w:type="dxa"/>
            <w:vAlign w:val="bottom"/>
          </w:tcPr>
          <w:p w14:paraId="5D449936" w14:textId="77777777" w:rsidR="00F32A2A" w:rsidRDefault="004E0E02">
            <w:pPr>
              <w:pStyle w:val="-3"/>
              <w:rPr>
                <w:b/>
                <w:bCs/>
                <w:sz w:val="16"/>
                <w:szCs w:val="16"/>
                <w:rtl/>
              </w:rPr>
            </w:pPr>
            <w:r w:rsidRPr="00CF2A74">
              <w:rPr>
                <w:b/>
                <w:bCs/>
                <w:sz w:val="16"/>
                <w:szCs w:val="16"/>
                <w:rtl/>
              </w:rPr>
              <w:t>0</w:t>
            </w:r>
          </w:p>
        </w:tc>
        <w:tc>
          <w:tcPr>
            <w:tcW w:w="881" w:type="dxa"/>
            <w:vAlign w:val="bottom"/>
          </w:tcPr>
          <w:p w14:paraId="2BB68B7A" w14:textId="77777777" w:rsidR="00F32A2A" w:rsidRDefault="004E0E02">
            <w:pPr>
              <w:pStyle w:val="-3"/>
              <w:rPr>
                <w:b/>
                <w:bCs/>
                <w:sz w:val="16"/>
                <w:szCs w:val="16"/>
                <w:rtl/>
              </w:rPr>
            </w:pPr>
            <w:r w:rsidRPr="00CF2A74">
              <w:rPr>
                <w:b/>
                <w:bCs/>
                <w:sz w:val="16"/>
                <w:szCs w:val="16"/>
                <w:rtl/>
              </w:rPr>
              <w:t>0</w:t>
            </w:r>
          </w:p>
        </w:tc>
        <w:tc>
          <w:tcPr>
            <w:tcW w:w="941" w:type="dxa"/>
            <w:vAlign w:val="bottom"/>
          </w:tcPr>
          <w:p w14:paraId="15119F84" w14:textId="77777777" w:rsidR="00F32A2A" w:rsidRDefault="004E0E02">
            <w:pPr>
              <w:pStyle w:val="-3"/>
              <w:rPr>
                <w:b/>
                <w:bCs/>
                <w:sz w:val="16"/>
                <w:szCs w:val="16"/>
                <w:rtl/>
              </w:rPr>
            </w:pPr>
            <w:r w:rsidRPr="00CF2A74">
              <w:rPr>
                <w:b/>
                <w:bCs/>
                <w:sz w:val="16"/>
                <w:szCs w:val="16"/>
                <w:rtl/>
              </w:rPr>
              <w:t>0</w:t>
            </w:r>
          </w:p>
        </w:tc>
        <w:tc>
          <w:tcPr>
            <w:tcW w:w="881" w:type="dxa"/>
            <w:vAlign w:val="bottom"/>
          </w:tcPr>
          <w:p w14:paraId="60213669" w14:textId="77777777" w:rsidR="00F32A2A" w:rsidRDefault="004E0E02">
            <w:pPr>
              <w:pStyle w:val="-3"/>
              <w:rPr>
                <w:b/>
                <w:bCs/>
                <w:sz w:val="16"/>
                <w:szCs w:val="16"/>
                <w:rtl/>
              </w:rPr>
            </w:pPr>
            <w:r w:rsidRPr="00CF2A74">
              <w:rPr>
                <w:b/>
                <w:bCs/>
                <w:sz w:val="16"/>
                <w:szCs w:val="16"/>
                <w:rtl/>
              </w:rPr>
              <w:t>0</w:t>
            </w:r>
          </w:p>
        </w:tc>
        <w:tc>
          <w:tcPr>
            <w:tcW w:w="1073" w:type="dxa"/>
            <w:vAlign w:val="bottom"/>
          </w:tcPr>
          <w:p w14:paraId="75314178" w14:textId="77777777" w:rsidR="00F32A2A" w:rsidRPr="009A7E4A" w:rsidRDefault="004E0E02">
            <w:pPr>
              <w:pStyle w:val="-3"/>
              <w:rPr>
                <w:b/>
                <w:bCs/>
                <w:sz w:val="16"/>
                <w:szCs w:val="16"/>
                <w:rtl/>
              </w:rPr>
            </w:pPr>
            <w:r w:rsidRPr="009A7E4A">
              <w:rPr>
                <w:b/>
                <w:bCs/>
                <w:sz w:val="16"/>
                <w:szCs w:val="16"/>
                <w:rtl/>
              </w:rPr>
              <w:t>0</w:t>
            </w:r>
          </w:p>
        </w:tc>
        <w:tc>
          <w:tcPr>
            <w:tcW w:w="736" w:type="dxa"/>
            <w:vAlign w:val="bottom"/>
          </w:tcPr>
          <w:p w14:paraId="7DA984F0" w14:textId="77777777" w:rsidR="00F32A2A" w:rsidRDefault="004E0E02">
            <w:pPr>
              <w:pStyle w:val="-3"/>
              <w:jc w:val="left"/>
              <w:rPr>
                <w:b/>
                <w:bCs/>
                <w:sz w:val="16"/>
                <w:szCs w:val="16"/>
                <w:rtl/>
              </w:rPr>
            </w:pPr>
            <w:r>
              <w:rPr>
                <w:rFonts w:hint="cs"/>
                <w:b/>
                <w:bCs/>
                <w:sz w:val="16"/>
                <w:szCs w:val="16"/>
                <w:rtl/>
              </w:rPr>
              <w:t xml:space="preserve"> 0</w:t>
            </w:r>
          </w:p>
        </w:tc>
        <w:tc>
          <w:tcPr>
            <w:tcW w:w="794" w:type="dxa"/>
            <w:vAlign w:val="bottom"/>
          </w:tcPr>
          <w:p w14:paraId="6B5DDE33" w14:textId="77777777" w:rsidR="004E0E02" w:rsidRDefault="004E0E02">
            <w:pPr>
              <w:pStyle w:val="-3"/>
              <w:jc w:val="left"/>
              <w:rPr>
                <w:b/>
                <w:bCs/>
                <w:sz w:val="16"/>
                <w:szCs w:val="16"/>
                <w:rtl/>
              </w:rPr>
            </w:pPr>
            <w:r w:rsidRPr="00CF2A74">
              <w:rPr>
                <w:b/>
                <w:bCs/>
                <w:sz w:val="16"/>
                <w:szCs w:val="16"/>
                <w:rtl/>
              </w:rPr>
              <w:t>0</w:t>
            </w:r>
          </w:p>
        </w:tc>
        <w:tc>
          <w:tcPr>
            <w:tcW w:w="905" w:type="dxa"/>
            <w:vAlign w:val="bottom"/>
          </w:tcPr>
          <w:p w14:paraId="0B2243D7" w14:textId="77777777" w:rsidR="00F32A2A" w:rsidRDefault="004E0E02">
            <w:pPr>
              <w:pStyle w:val="-3"/>
              <w:jc w:val="left"/>
              <w:rPr>
                <w:b/>
                <w:bCs/>
                <w:sz w:val="16"/>
                <w:szCs w:val="16"/>
                <w:rtl/>
              </w:rPr>
            </w:pPr>
            <w:r>
              <w:rPr>
                <w:rFonts w:hint="cs"/>
                <w:b/>
                <w:bCs/>
                <w:sz w:val="16"/>
                <w:szCs w:val="16"/>
                <w:rtl/>
              </w:rPr>
              <w:t xml:space="preserve"> </w:t>
            </w:r>
            <w:r w:rsidRPr="00CF2A74">
              <w:rPr>
                <w:b/>
                <w:bCs/>
                <w:sz w:val="16"/>
                <w:szCs w:val="16"/>
                <w:rtl/>
              </w:rPr>
              <w:t>0</w:t>
            </w:r>
          </w:p>
        </w:tc>
        <w:tc>
          <w:tcPr>
            <w:tcW w:w="825" w:type="dxa"/>
            <w:vAlign w:val="bottom"/>
          </w:tcPr>
          <w:p w14:paraId="3C914594" w14:textId="77777777" w:rsidR="00F32A2A" w:rsidRDefault="004E0E02">
            <w:pPr>
              <w:pStyle w:val="-3"/>
              <w:jc w:val="left"/>
              <w:rPr>
                <w:b/>
                <w:bCs/>
                <w:sz w:val="16"/>
                <w:szCs w:val="16"/>
                <w:rtl/>
              </w:rPr>
            </w:pPr>
            <w:r>
              <w:rPr>
                <w:rFonts w:hint="cs"/>
                <w:b/>
                <w:bCs/>
                <w:sz w:val="16"/>
                <w:szCs w:val="16"/>
                <w:rtl/>
              </w:rPr>
              <w:t xml:space="preserve"> 0</w:t>
            </w:r>
          </w:p>
        </w:tc>
        <w:tc>
          <w:tcPr>
            <w:tcW w:w="941" w:type="dxa"/>
            <w:vAlign w:val="bottom"/>
          </w:tcPr>
          <w:p w14:paraId="2C271AA1" w14:textId="77777777" w:rsidR="00F32A2A" w:rsidRDefault="004E0E02">
            <w:pPr>
              <w:pStyle w:val="-3"/>
              <w:jc w:val="left"/>
              <w:rPr>
                <w:b/>
                <w:bCs/>
                <w:sz w:val="16"/>
                <w:szCs w:val="16"/>
                <w:rtl/>
              </w:rPr>
            </w:pPr>
            <w:r w:rsidRPr="00CF2A74">
              <w:rPr>
                <w:b/>
                <w:bCs/>
                <w:sz w:val="16"/>
                <w:szCs w:val="16"/>
                <w:rtl/>
              </w:rPr>
              <w:t xml:space="preserve"> 0</w:t>
            </w:r>
          </w:p>
        </w:tc>
        <w:tc>
          <w:tcPr>
            <w:tcW w:w="882" w:type="dxa"/>
            <w:vAlign w:val="bottom"/>
          </w:tcPr>
          <w:p w14:paraId="7335607C" w14:textId="77777777" w:rsidR="00F32A2A" w:rsidRDefault="004E0E02">
            <w:pPr>
              <w:pStyle w:val="-3"/>
              <w:jc w:val="left"/>
              <w:rPr>
                <w:b/>
                <w:bCs/>
                <w:sz w:val="16"/>
                <w:szCs w:val="16"/>
                <w:rtl/>
              </w:rPr>
            </w:pPr>
            <w:r w:rsidRPr="00CF2A74">
              <w:rPr>
                <w:b/>
                <w:bCs/>
                <w:sz w:val="16"/>
                <w:szCs w:val="16"/>
                <w:rtl/>
              </w:rPr>
              <w:t xml:space="preserve"> 0</w:t>
            </w:r>
          </w:p>
        </w:tc>
        <w:tc>
          <w:tcPr>
            <w:tcW w:w="1128" w:type="dxa"/>
            <w:vAlign w:val="bottom"/>
          </w:tcPr>
          <w:p w14:paraId="61C3789F" w14:textId="77777777" w:rsidR="00F32A2A" w:rsidRDefault="004E0E02">
            <w:pPr>
              <w:pStyle w:val="-3"/>
              <w:jc w:val="left"/>
              <w:rPr>
                <w:b/>
                <w:bCs/>
                <w:sz w:val="16"/>
                <w:szCs w:val="16"/>
                <w:rtl/>
              </w:rPr>
            </w:pPr>
            <w:r w:rsidRPr="00CF2A74">
              <w:rPr>
                <w:b/>
                <w:bCs/>
                <w:sz w:val="16"/>
                <w:szCs w:val="16"/>
                <w:rtl/>
              </w:rPr>
              <w:t xml:space="preserve"> 0</w:t>
            </w:r>
          </w:p>
        </w:tc>
        <w:tc>
          <w:tcPr>
            <w:tcW w:w="737" w:type="dxa"/>
            <w:vAlign w:val="bottom"/>
          </w:tcPr>
          <w:p w14:paraId="22F7441B" w14:textId="77777777" w:rsidR="00F32A2A" w:rsidRDefault="004E0E02">
            <w:pPr>
              <w:pStyle w:val="-3"/>
              <w:jc w:val="left"/>
              <w:rPr>
                <w:b/>
                <w:bCs/>
                <w:sz w:val="16"/>
                <w:szCs w:val="16"/>
                <w:rtl/>
              </w:rPr>
            </w:pPr>
            <w:r w:rsidRPr="00CF2A74">
              <w:rPr>
                <w:b/>
                <w:bCs/>
                <w:sz w:val="16"/>
                <w:szCs w:val="16"/>
                <w:rtl/>
              </w:rPr>
              <w:t xml:space="preserve"> 0</w:t>
            </w:r>
          </w:p>
        </w:tc>
        <w:tc>
          <w:tcPr>
            <w:tcW w:w="712" w:type="dxa"/>
            <w:vAlign w:val="bottom"/>
          </w:tcPr>
          <w:p w14:paraId="02FC7935" w14:textId="77777777" w:rsidR="00F32A2A" w:rsidRDefault="004E0E02">
            <w:pPr>
              <w:pStyle w:val="-3"/>
              <w:jc w:val="left"/>
              <w:rPr>
                <w:b/>
                <w:bCs/>
                <w:sz w:val="16"/>
                <w:szCs w:val="16"/>
                <w:rtl/>
              </w:rPr>
            </w:pPr>
            <w:r w:rsidRPr="00CF2A74">
              <w:rPr>
                <w:b/>
                <w:bCs/>
                <w:sz w:val="16"/>
                <w:szCs w:val="16"/>
                <w:rtl/>
              </w:rPr>
              <w:t xml:space="preserve"> 0</w:t>
            </w:r>
          </w:p>
        </w:tc>
      </w:tr>
      <w:tr w:rsidR="004E0E02" w:rsidRPr="00513F0D" w14:paraId="374AFAA2" w14:textId="77777777" w:rsidTr="004A1ADA">
        <w:tc>
          <w:tcPr>
            <w:tcW w:w="850" w:type="dxa"/>
          </w:tcPr>
          <w:p w14:paraId="0759A38F" w14:textId="77777777" w:rsidR="004E0E02" w:rsidRPr="00513F0D" w:rsidRDefault="004E0E02" w:rsidP="00D73D50">
            <w:pPr>
              <w:pStyle w:val="-7"/>
              <w:bidi w:val="0"/>
              <w:ind w:right="-231"/>
              <w:jc w:val="left"/>
              <w:rPr>
                <w:spacing w:val="-6"/>
                <w:sz w:val="16"/>
                <w:szCs w:val="16"/>
              </w:rPr>
            </w:pPr>
          </w:p>
        </w:tc>
        <w:tc>
          <w:tcPr>
            <w:tcW w:w="1978" w:type="dxa"/>
            <w:vAlign w:val="bottom"/>
          </w:tcPr>
          <w:p w14:paraId="14E45B0D" w14:textId="77777777" w:rsidR="004E0E02" w:rsidRPr="00513F0D" w:rsidRDefault="004E0E02" w:rsidP="00141F15">
            <w:pPr>
              <w:pStyle w:val="-0"/>
              <w:rPr>
                <w:sz w:val="16"/>
                <w:szCs w:val="16"/>
                <w:rtl/>
              </w:rPr>
            </w:pPr>
            <w:r w:rsidRPr="00CF2A74">
              <w:rPr>
                <w:rFonts w:hint="eastAsia"/>
                <w:sz w:val="16"/>
                <w:szCs w:val="16"/>
                <w:rtl/>
              </w:rPr>
              <w:t>רווח</w:t>
            </w:r>
            <w:r w:rsidRPr="00CF2A74">
              <w:rPr>
                <w:sz w:val="16"/>
                <w:szCs w:val="16"/>
                <w:rtl/>
              </w:rPr>
              <w:t xml:space="preserve"> </w:t>
            </w:r>
            <w:r w:rsidRPr="00CF2A74">
              <w:rPr>
                <w:rFonts w:hint="eastAsia"/>
                <w:sz w:val="16"/>
                <w:szCs w:val="16"/>
                <w:rtl/>
              </w:rPr>
              <w:t>נקי</w:t>
            </w:r>
            <w:r w:rsidRPr="00CF2A74">
              <w:rPr>
                <w:sz w:val="16"/>
                <w:szCs w:val="16"/>
                <w:rtl/>
              </w:rPr>
              <w:t xml:space="preserve"> </w:t>
            </w:r>
            <w:r w:rsidRPr="00CF2A74">
              <w:rPr>
                <w:rFonts w:hint="eastAsia"/>
                <w:sz w:val="16"/>
                <w:szCs w:val="16"/>
                <w:rtl/>
              </w:rPr>
              <w:t>בתקופה</w:t>
            </w:r>
          </w:p>
        </w:tc>
        <w:tc>
          <w:tcPr>
            <w:tcW w:w="801" w:type="dxa"/>
            <w:vAlign w:val="bottom"/>
          </w:tcPr>
          <w:p w14:paraId="1785BABF" w14:textId="77777777" w:rsidR="004E0E02" w:rsidRPr="00513F0D" w:rsidRDefault="004E0E02" w:rsidP="00141F15">
            <w:pPr>
              <w:pStyle w:val="-3"/>
              <w:rPr>
                <w:sz w:val="16"/>
                <w:szCs w:val="16"/>
                <w:rtl/>
              </w:rPr>
            </w:pPr>
            <w:r w:rsidRPr="00CF2A74">
              <w:rPr>
                <w:sz w:val="16"/>
                <w:szCs w:val="16"/>
                <w:rtl/>
              </w:rPr>
              <w:t>-</w:t>
            </w:r>
          </w:p>
        </w:tc>
        <w:tc>
          <w:tcPr>
            <w:tcW w:w="881" w:type="dxa"/>
            <w:vAlign w:val="bottom"/>
          </w:tcPr>
          <w:p w14:paraId="0059EDA2" w14:textId="77777777" w:rsidR="004E0E02" w:rsidRPr="00513F0D" w:rsidRDefault="004E0E02" w:rsidP="00141F15">
            <w:pPr>
              <w:pStyle w:val="-3"/>
              <w:rPr>
                <w:sz w:val="16"/>
                <w:szCs w:val="16"/>
                <w:rtl/>
              </w:rPr>
            </w:pPr>
            <w:r w:rsidRPr="00CF2A74">
              <w:rPr>
                <w:sz w:val="16"/>
                <w:szCs w:val="16"/>
                <w:rtl/>
              </w:rPr>
              <w:t>-</w:t>
            </w:r>
          </w:p>
        </w:tc>
        <w:tc>
          <w:tcPr>
            <w:tcW w:w="941" w:type="dxa"/>
            <w:vAlign w:val="bottom"/>
          </w:tcPr>
          <w:p w14:paraId="14FE14D4" w14:textId="77777777" w:rsidR="004E0E02" w:rsidRPr="00513F0D" w:rsidRDefault="004E0E02" w:rsidP="00141F15">
            <w:pPr>
              <w:pStyle w:val="-3"/>
              <w:rPr>
                <w:sz w:val="16"/>
                <w:szCs w:val="16"/>
                <w:rtl/>
              </w:rPr>
            </w:pPr>
            <w:r w:rsidRPr="00CF2A74">
              <w:rPr>
                <w:sz w:val="16"/>
                <w:szCs w:val="16"/>
                <w:rtl/>
              </w:rPr>
              <w:t>-</w:t>
            </w:r>
          </w:p>
        </w:tc>
        <w:tc>
          <w:tcPr>
            <w:tcW w:w="881" w:type="dxa"/>
            <w:vAlign w:val="bottom"/>
          </w:tcPr>
          <w:p w14:paraId="7271CC9A" w14:textId="77777777" w:rsidR="004E0E02" w:rsidRPr="00513F0D" w:rsidRDefault="004E0E02" w:rsidP="00141F15">
            <w:pPr>
              <w:pStyle w:val="-3"/>
              <w:rPr>
                <w:sz w:val="16"/>
                <w:szCs w:val="16"/>
                <w:rtl/>
              </w:rPr>
            </w:pPr>
            <w:r w:rsidRPr="00CF2A74">
              <w:rPr>
                <w:sz w:val="16"/>
                <w:szCs w:val="16"/>
                <w:rtl/>
              </w:rPr>
              <w:t>-</w:t>
            </w:r>
          </w:p>
        </w:tc>
        <w:tc>
          <w:tcPr>
            <w:tcW w:w="1073" w:type="dxa"/>
            <w:vAlign w:val="bottom"/>
          </w:tcPr>
          <w:p w14:paraId="12C31203" w14:textId="77777777" w:rsidR="004E0E02" w:rsidRPr="009A7E4A" w:rsidRDefault="004E0E02" w:rsidP="00141F15">
            <w:pPr>
              <w:pStyle w:val="-3"/>
              <w:rPr>
                <w:sz w:val="16"/>
                <w:szCs w:val="16"/>
                <w:rtl/>
              </w:rPr>
            </w:pPr>
            <w:r w:rsidRPr="009A7E4A">
              <w:rPr>
                <w:sz w:val="16"/>
                <w:szCs w:val="16"/>
                <w:rtl/>
              </w:rPr>
              <w:t>-</w:t>
            </w:r>
          </w:p>
        </w:tc>
        <w:tc>
          <w:tcPr>
            <w:tcW w:w="736" w:type="dxa"/>
            <w:vAlign w:val="bottom"/>
          </w:tcPr>
          <w:p w14:paraId="6096AF84" w14:textId="77777777" w:rsidR="004E0E02" w:rsidRPr="00513F0D" w:rsidRDefault="004E0E02" w:rsidP="00141F15">
            <w:pPr>
              <w:pStyle w:val="-3"/>
              <w:jc w:val="left"/>
              <w:rPr>
                <w:sz w:val="16"/>
                <w:szCs w:val="16"/>
                <w:rtl/>
              </w:rPr>
            </w:pPr>
            <w:r w:rsidRPr="00CF2A74">
              <w:rPr>
                <w:sz w:val="16"/>
                <w:szCs w:val="16"/>
                <w:rtl/>
              </w:rPr>
              <w:t xml:space="preserve"> -</w:t>
            </w:r>
          </w:p>
        </w:tc>
        <w:tc>
          <w:tcPr>
            <w:tcW w:w="794" w:type="dxa"/>
            <w:vAlign w:val="bottom"/>
          </w:tcPr>
          <w:p w14:paraId="0FD83E29" w14:textId="77777777" w:rsidR="004E0E02" w:rsidRPr="00CF2A74" w:rsidRDefault="004E0E02" w:rsidP="00141F15">
            <w:pPr>
              <w:pStyle w:val="-3"/>
              <w:jc w:val="left"/>
              <w:rPr>
                <w:sz w:val="16"/>
                <w:szCs w:val="16"/>
                <w:rtl/>
              </w:rPr>
            </w:pPr>
            <w:r w:rsidRPr="00CF2A74">
              <w:rPr>
                <w:sz w:val="16"/>
                <w:szCs w:val="16"/>
                <w:rtl/>
              </w:rPr>
              <w:t>-</w:t>
            </w:r>
          </w:p>
        </w:tc>
        <w:tc>
          <w:tcPr>
            <w:tcW w:w="905" w:type="dxa"/>
            <w:vAlign w:val="bottom"/>
          </w:tcPr>
          <w:p w14:paraId="75D57140" w14:textId="77777777" w:rsidR="004E0E02" w:rsidRPr="00513F0D" w:rsidRDefault="004E0E02" w:rsidP="00141F15">
            <w:pPr>
              <w:pStyle w:val="-3"/>
              <w:jc w:val="left"/>
              <w:rPr>
                <w:sz w:val="16"/>
                <w:szCs w:val="16"/>
                <w:rtl/>
              </w:rPr>
            </w:pPr>
            <w:r w:rsidRPr="00CF2A74">
              <w:rPr>
                <w:sz w:val="16"/>
                <w:szCs w:val="16"/>
                <w:rtl/>
              </w:rPr>
              <w:t xml:space="preserve"> -</w:t>
            </w:r>
          </w:p>
        </w:tc>
        <w:tc>
          <w:tcPr>
            <w:tcW w:w="825" w:type="dxa"/>
            <w:vAlign w:val="bottom"/>
          </w:tcPr>
          <w:p w14:paraId="18669399" w14:textId="77777777" w:rsidR="004E0E02" w:rsidRPr="00513F0D" w:rsidRDefault="004E0E02" w:rsidP="00141F15">
            <w:pPr>
              <w:pStyle w:val="-3"/>
              <w:jc w:val="left"/>
              <w:rPr>
                <w:sz w:val="16"/>
                <w:szCs w:val="16"/>
                <w:rtl/>
              </w:rPr>
            </w:pPr>
            <w:r w:rsidRPr="00CF2A74">
              <w:rPr>
                <w:sz w:val="16"/>
                <w:szCs w:val="16"/>
                <w:rtl/>
              </w:rPr>
              <w:t xml:space="preserve"> -</w:t>
            </w:r>
          </w:p>
        </w:tc>
        <w:tc>
          <w:tcPr>
            <w:tcW w:w="941" w:type="dxa"/>
            <w:vAlign w:val="bottom"/>
          </w:tcPr>
          <w:p w14:paraId="32390510" w14:textId="77777777" w:rsidR="004E0E02" w:rsidRPr="00513F0D" w:rsidRDefault="004E0E02" w:rsidP="00141F15">
            <w:pPr>
              <w:pStyle w:val="-3"/>
              <w:jc w:val="left"/>
              <w:rPr>
                <w:sz w:val="16"/>
                <w:szCs w:val="16"/>
                <w:rtl/>
              </w:rPr>
            </w:pPr>
            <w:r w:rsidRPr="00CF2A74">
              <w:rPr>
                <w:sz w:val="16"/>
                <w:szCs w:val="16"/>
                <w:rtl/>
              </w:rPr>
              <w:t xml:space="preserve"> 0</w:t>
            </w:r>
          </w:p>
        </w:tc>
        <w:tc>
          <w:tcPr>
            <w:tcW w:w="882" w:type="dxa"/>
            <w:vAlign w:val="bottom"/>
          </w:tcPr>
          <w:p w14:paraId="5083FE4B" w14:textId="77777777" w:rsidR="004E0E02" w:rsidRPr="00513F0D" w:rsidRDefault="004E0E02" w:rsidP="00141F15">
            <w:pPr>
              <w:pStyle w:val="-3"/>
              <w:jc w:val="left"/>
              <w:rPr>
                <w:sz w:val="16"/>
                <w:szCs w:val="16"/>
                <w:rtl/>
              </w:rPr>
            </w:pPr>
            <w:r w:rsidRPr="00CF2A74">
              <w:rPr>
                <w:sz w:val="16"/>
                <w:szCs w:val="16"/>
                <w:rtl/>
              </w:rPr>
              <w:t xml:space="preserve"> -</w:t>
            </w:r>
          </w:p>
        </w:tc>
        <w:tc>
          <w:tcPr>
            <w:tcW w:w="1128" w:type="dxa"/>
            <w:vAlign w:val="bottom"/>
          </w:tcPr>
          <w:p w14:paraId="72BF6806" w14:textId="77777777" w:rsidR="004E0E02" w:rsidRPr="00513F0D" w:rsidRDefault="004E0E02" w:rsidP="00141F15">
            <w:pPr>
              <w:pStyle w:val="-3"/>
              <w:jc w:val="left"/>
              <w:rPr>
                <w:sz w:val="16"/>
                <w:szCs w:val="16"/>
                <w:rtl/>
              </w:rPr>
            </w:pPr>
            <w:r w:rsidRPr="00CF2A74">
              <w:rPr>
                <w:sz w:val="16"/>
                <w:szCs w:val="16"/>
                <w:rtl/>
              </w:rPr>
              <w:t xml:space="preserve"> 0</w:t>
            </w:r>
          </w:p>
        </w:tc>
        <w:tc>
          <w:tcPr>
            <w:tcW w:w="737" w:type="dxa"/>
            <w:vAlign w:val="bottom"/>
          </w:tcPr>
          <w:p w14:paraId="340693C9" w14:textId="77777777" w:rsidR="004E0E02" w:rsidRPr="00513F0D" w:rsidRDefault="004E0E02" w:rsidP="00141F15">
            <w:pPr>
              <w:pStyle w:val="-3"/>
              <w:jc w:val="left"/>
              <w:rPr>
                <w:sz w:val="16"/>
                <w:szCs w:val="16"/>
                <w:rtl/>
              </w:rPr>
            </w:pPr>
            <w:r w:rsidRPr="00CF2A74">
              <w:rPr>
                <w:sz w:val="16"/>
                <w:szCs w:val="16"/>
                <w:rtl/>
              </w:rPr>
              <w:t xml:space="preserve"> 0</w:t>
            </w:r>
          </w:p>
        </w:tc>
        <w:tc>
          <w:tcPr>
            <w:tcW w:w="712" w:type="dxa"/>
            <w:vAlign w:val="bottom"/>
          </w:tcPr>
          <w:p w14:paraId="7B60452E"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607CA9DB" w14:textId="77777777" w:rsidTr="004A1ADA">
        <w:tc>
          <w:tcPr>
            <w:tcW w:w="850" w:type="dxa"/>
          </w:tcPr>
          <w:p w14:paraId="527DFBAE" w14:textId="77777777" w:rsidR="004E0E02" w:rsidRPr="00513F0D" w:rsidRDefault="004E0E02" w:rsidP="00D73D50">
            <w:pPr>
              <w:pStyle w:val="-7"/>
              <w:bidi w:val="0"/>
              <w:ind w:right="-231"/>
              <w:jc w:val="left"/>
              <w:rPr>
                <w:spacing w:val="-6"/>
                <w:sz w:val="16"/>
                <w:szCs w:val="16"/>
              </w:rPr>
            </w:pPr>
          </w:p>
        </w:tc>
        <w:tc>
          <w:tcPr>
            <w:tcW w:w="1978" w:type="dxa"/>
            <w:vAlign w:val="bottom"/>
          </w:tcPr>
          <w:p w14:paraId="462D3274" w14:textId="77777777" w:rsidR="004E0E02" w:rsidRPr="00513F0D" w:rsidRDefault="004E0E02" w:rsidP="00141F15">
            <w:pPr>
              <w:pStyle w:val="-0"/>
              <w:rPr>
                <w:sz w:val="16"/>
                <w:szCs w:val="16"/>
                <w:rtl/>
              </w:rPr>
            </w:pPr>
            <w:r w:rsidRPr="00CF2A74">
              <w:rPr>
                <w:rFonts w:hint="eastAsia"/>
                <w:sz w:val="16"/>
                <w:szCs w:val="16"/>
                <w:rtl/>
              </w:rPr>
              <w:t>רווח</w:t>
            </w:r>
            <w:r w:rsidRPr="00CF2A74">
              <w:rPr>
                <w:sz w:val="16"/>
                <w:szCs w:val="16"/>
                <w:rtl/>
              </w:rPr>
              <w:t xml:space="preserve"> (הפסד) </w:t>
            </w:r>
            <w:r w:rsidRPr="00CF2A74">
              <w:rPr>
                <w:rFonts w:hint="eastAsia"/>
                <w:sz w:val="16"/>
                <w:szCs w:val="16"/>
                <w:rtl/>
              </w:rPr>
              <w:t>כולל</w:t>
            </w:r>
            <w:r w:rsidRPr="00CF2A74">
              <w:rPr>
                <w:sz w:val="16"/>
                <w:szCs w:val="16"/>
                <w:rtl/>
              </w:rPr>
              <w:t xml:space="preserve"> </w:t>
            </w:r>
            <w:r w:rsidRPr="00CF2A74">
              <w:rPr>
                <w:rFonts w:hint="eastAsia"/>
                <w:sz w:val="16"/>
                <w:szCs w:val="16"/>
                <w:rtl/>
              </w:rPr>
              <w:t>אחר</w:t>
            </w:r>
            <w:r w:rsidRPr="00CF2A74">
              <w:rPr>
                <w:sz w:val="16"/>
                <w:szCs w:val="16"/>
                <w:rtl/>
              </w:rPr>
              <w:t xml:space="preserve">, </w:t>
            </w:r>
            <w:r w:rsidRPr="00CF2A74">
              <w:rPr>
                <w:rFonts w:hint="eastAsia"/>
                <w:sz w:val="16"/>
                <w:szCs w:val="16"/>
                <w:rtl/>
              </w:rPr>
              <w:t>נטו</w:t>
            </w:r>
            <w:r w:rsidRPr="00CF2A74">
              <w:rPr>
                <w:sz w:val="16"/>
                <w:szCs w:val="16"/>
                <w:rtl/>
              </w:rPr>
              <w:t xml:space="preserve"> </w:t>
            </w:r>
            <w:r w:rsidRPr="00CF2A74">
              <w:rPr>
                <w:rFonts w:hint="eastAsia"/>
                <w:sz w:val="16"/>
                <w:szCs w:val="16"/>
                <w:rtl/>
              </w:rPr>
              <w:t>לאחר</w:t>
            </w:r>
            <w:r w:rsidRPr="00CF2A74">
              <w:rPr>
                <w:sz w:val="16"/>
                <w:szCs w:val="16"/>
                <w:rtl/>
              </w:rPr>
              <w:t xml:space="preserve"> </w:t>
            </w:r>
            <w:r w:rsidRPr="00CF2A74">
              <w:rPr>
                <w:rFonts w:hint="eastAsia"/>
                <w:sz w:val="16"/>
                <w:szCs w:val="16"/>
                <w:rtl/>
              </w:rPr>
              <w:t>השפעת</w:t>
            </w:r>
            <w:r w:rsidRPr="00CF2A74">
              <w:rPr>
                <w:sz w:val="16"/>
                <w:szCs w:val="16"/>
                <w:rtl/>
              </w:rPr>
              <w:t xml:space="preserve"> </w:t>
            </w:r>
            <w:r w:rsidRPr="00CF2A74">
              <w:rPr>
                <w:rFonts w:hint="eastAsia"/>
                <w:sz w:val="16"/>
                <w:szCs w:val="16"/>
                <w:rtl/>
              </w:rPr>
              <w:t>המס</w:t>
            </w:r>
          </w:p>
        </w:tc>
        <w:tc>
          <w:tcPr>
            <w:tcW w:w="801" w:type="dxa"/>
            <w:vAlign w:val="bottom"/>
          </w:tcPr>
          <w:p w14:paraId="4EF569BA" w14:textId="77777777" w:rsidR="004E0E02" w:rsidRPr="00513F0D" w:rsidRDefault="004E0E02" w:rsidP="00141F15">
            <w:pPr>
              <w:pStyle w:val="-3"/>
              <w:rPr>
                <w:sz w:val="16"/>
                <w:szCs w:val="16"/>
                <w:rtl/>
              </w:rPr>
            </w:pPr>
            <w:r w:rsidRPr="00CF2A74">
              <w:rPr>
                <w:sz w:val="16"/>
                <w:szCs w:val="16"/>
                <w:rtl/>
              </w:rPr>
              <w:t>-</w:t>
            </w:r>
          </w:p>
        </w:tc>
        <w:tc>
          <w:tcPr>
            <w:tcW w:w="881" w:type="dxa"/>
            <w:vAlign w:val="bottom"/>
          </w:tcPr>
          <w:p w14:paraId="37E5D964" w14:textId="77777777" w:rsidR="004E0E02" w:rsidRPr="00513F0D" w:rsidRDefault="004E0E02" w:rsidP="00141F15">
            <w:pPr>
              <w:pStyle w:val="-3"/>
              <w:rPr>
                <w:sz w:val="16"/>
                <w:szCs w:val="16"/>
                <w:rtl/>
              </w:rPr>
            </w:pPr>
            <w:r w:rsidRPr="00CF2A74">
              <w:rPr>
                <w:sz w:val="16"/>
                <w:szCs w:val="16"/>
                <w:rtl/>
              </w:rPr>
              <w:t>-</w:t>
            </w:r>
          </w:p>
        </w:tc>
        <w:tc>
          <w:tcPr>
            <w:tcW w:w="941" w:type="dxa"/>
            <w:vAlign w:val="bottom"/>
          </w:tcPr>
          <w:p w14:paraId="07D19C7C" w14:textId="77777777" w:rsidR="004E0E02" w:rsidRPr="00513F0D" w:rsidRDefault="004E0E02" w:rsidP="00141F15">
            <w:pPr>
              <w:pStyle w:val="-3"/>
              <w:rPr>
                <w:sz w:val="16"/>
                <w:szCs w:val="16"/>
                <w:rtl/>
              </w:rPr>
            </w:pPr>
            <w:r w:rsidRPr="00CF2A74">
              <w:rPr>
                <w:sz w:val="16"/>
                <w:szCs w:val="16"/>
                <w:rtl/>
              </w:rPr>
              <w:t>-</w:t>
            </w:r>
          </w:p>
        </w:tc>
        <w:tc>
          <w:tcPr>
            <w:tcW w:w="881" w:type="dxa"/>
            <w:vAlign w:val="bottom"/>
          </w:tcPr>
          <w:p w14:paraId="0F6CFBA5" w14:textId="77777777" w:rsidR="004E0E02" w:rsidRPr="00513F0D" w:rsidRDefault="004E0E02" w:rsidP="00141F15">
            <w:pPr>
              <w:pStyle w:val="-3"/>
              <w:rPr>
                <w:sz w:val="16"/>
                <w:szCs w:val="16"/>
                <w:rtl/>
              </w:rPr>
            </w:pPr>
            <w:r w:rsidRPr="00CF2A74">
              <w:rPr>
                <w:sz w:val="16"/>
                <w:szCs w:val="16"/>
                <w:rtl/>
              </w:rPr>
              <w:t>-</w:t>
            </w:r>
          </w:p>
        </w:tc>
        <w:tc>
          <w:tcPr>
            <w:tcW w:w="1073" w:type="dxa"/>
            <w:vAlign w:val="bottom"/>
          </w:tcPr>
          <w:p w14:paraId="62FE9E10" w14:textId="77777777" w:rsidR="004E0E02" w:rsidRPr="009A7E4A" w:rsidRDefault="004E0E02" w:rsidP="00141F15">
            <w:pPr>
              <w:pStyle w:val="-3"/>
              <w:rPr>
                <w:sz w:val="16"/>
                <w:szCs w:val="16"/>
                <w:rtl/>
              </w:rPr>
            </w:pPr>
            <w:r w:rsidRPr="009A7E4A">
              <w:rPr>
                <w:sz w:val="16"/>
                <w:szCs w:val="16"/>
                <w:rtl/>
              </w:rPr>
              <w:t>-</w:t>
            </w:r>
          </w:p>
        </w:tc>
        <w:tc>
          <w:tcPr>
            <w:tcW w:w="736" w:type="dxa"/>
            <w:vAlign w:val="bottom"/>
          </w:tcPr>
          <w:p w14:paraId="5D02C3B2" w14:textId="77777777" w:rsidR="004E0E02" w:rsidRPr="00513F0D" w:rsidRDefault="004E0E02" w:rsidP="00141F15">
            <w:pPr>
              <w:pStyle w:val="-3"/>
              <w:jc w:val="left"/>
              <w:rPr>
                <w:sz w:val="16"/>
                <w:szCs w:val="16"/>
                <w:rtl/>
              </w:rPr>
            </w:pPr>
            <w:r w:rsidRPr="00CF2A74">
              <w:rPr>
                <w:sz w:val="16"/>
                <w:szCs w:val="16"/>
                <w:rtl/>
              </w:rPr>
              <w:t xml:space="preserve"> -</w:t>
            </w:r>
          </w:p>
        </w:tc>
        <w:tc>
          <w:tcPr>
            <w:tcW w:w="794" w:type="dxa"/>
            <w:vAlign w:val="bottom"/>
          </w:tcPr>
          <w:p w14:paraId="4E1A757B" w14:textId="77777777" w:rsidR="004E0E02" w:rsidRPr="00CF2A74" w:rsidRDefault="004E0E02" w:rsidP="00141F15">
            <w:pPr>
              <w:pStyle w:val="-3"/>
              <w:jc w:val="left"/>
              <w:rPr>
                <w:sz w:val="16"/>
                <w:szCs w:val="16"/>
                <w:rtl/>
              </w:rPr>
            </w:pPr>
            <w:r w:rsidRPr="00CF2A74">
              <w:rPr>
                <w:sz w:val="16"/>
                <w:szCs w:val="16"/>
                <w:rtl/>
              </w:rPr>
              <w:t>-</w:t>
            </w:r>
          </w:p>
        </w:tc>
        <w:tc>
          <w:tcPr>
            <w:tcW w:w="905" w:type="dxa"/>
            <w:vAlign w:val="bottom"/>
          </w:tcPr>
          <w:p w14:paraId="6819C626" w14:textId="77777777" w:rsidR="004E0E02" w:rsidRPr="00513F0D" w:rsidRDefault="004E0E02" w:rsidP="00141F15">
            <w:pPr>
              <w:pStyle w:val="-3"/>
              <w:jc w:val="left"/>
              <w:rPr>
                <w:sz w:val="16"/>
                <w:szCs w:val="16"/>
                <w:rtl/>
              </w:rPr>
            </w:pPr>
            <w:r w:rsidRPr="00CF2A74">
              <w:rPr>
                <w:sz w:val="16"/>
                <w:szCs w:val="16"/>
                <w:rtl/>
              </w:rPr>
              <w:t xml:space="preserve"> -</w:t>
            </w:r>
          </w:p>
        </w:tc>
        <w:tc>
          <w:tcPr>
            <w:tcW w:w="825" w:type="dxa"/>
            <w:vAlign w:val="bottom"/>
          </w:tcPr>
          <w:p w14:paraId="3FD3912C" w14:textId="77777777" w:rsidR="004E0E02" w:rsidRPr="00513F0D" w:rsidRDefault="004E0E02" w:rsidP="00141F15">
            <w:pPr>
              <w:pStyle w:val="-3"/>
              <w:jc w:val="left"/>
              <w:rPr>
                <w:sz w:val="16"/>
                <w:szCs w:val="16"/>
                <w:rtl/>
              </w:rPr>
            </w:pPr>
            <w:r w:rsidRPr="00CF2A74">
              <w:rPr>
                <w:sz w:val="16"/>
                <w:szCs w:val="16"/>
                <w:rtl/>
              </w:rPr>
              <w:t xml:space="preserve"> 0</w:t>
            </w:r>
          </w:p>
        </w:tc>
        <w:tc>
          <w:tcPr>
            <w:tcW w:w="941" w:type="dxa"/>
            <w:vAlign w:val="bottom"/>
          </w:tcPr>
          <w:p w14:paraId="32751802" w14:textId="77777777" w:rsidR="004E0E02" w:rsidRPr="00513F0D" w:rsidRDefault="004E0E02" w:rsidP="00141F15">
            <w:pPr>
              <w:pStyle w:val="-3"/>
              <w:jc w:val="left"/>
              <w:rPr>
                <w:sz w:val="16"/>
                <w:szCs w:val="16"/>
                <w:rtl/>
              </w:rPr>
            </w:pPr>
            <w:r w:rsidRPr="00CF2A74">
              <w:rPr>
                <w:sz w:val="16"/>
                <w:szCs w:val="16"/>
                <w:rtl/>
              </w:rPr>
              <w:t xml:space="preserve"> -</w:t>
            </w:r>
          </w:p>
        </w:tc>
        <w:tc>
          <w:tcPr>
            <w:tcW w:w="882" w:type="dxa"/>
            <w:vAlign w:val="bottom"/>
          </w:tcPr>
          <w:p w14:paraId="5126C218" w14:textId="77777777" w:rsidR="004E0E02" w:rsidRPr="00513F0D" w:rsidRDefault="004E0E02" w:rsidP="00141F15">
            <w:pPr>
              <w:pStyle w:val="-3"/>
              <w:jc w:val="left"/>
              <w:rPr>
                <w:sz w:val="16"/>
                <w:szCs w:val="16"/>
                <w:rtl/>
              </w:rPr>
            </w:pPr>
            <w:r w:rsidRPr="00CF2A74">
              <w:rPr>
                <w:sz w:val="16"/>
                <w:szCs w:val="16"/>
                <w:rtl/>
              </w:rPr>
              <w:t xml:space="preserve"> -</w:t>
            </w:r>
          </w:p>
        </w:tc>
        <w:tc>
          <w:tcPr>
            <w:tcW w:w="1128" w:type="dxa"/>
            <w:vAlign w:val="bottom"/>
          </w:tcPr>
          <w:p w14:paraId="56F0E37E" w14:textId="77777777" w:rsidR="004E0E02" w:rsidRPr="00513F0D" w:rsidRDefault="004E0E02" w:rsidP="00141F15">
            <w:pPr>
              <w:pStyle w:val="-3"/>
              <w:jc w:val="left"/>
              <w:rPr>
                <w:sz w:val="16"/>
                <w:szCs w:val="16"/>
                <w:rtl/>
              </w:rPr>
            </w:pPr>
            <w:r w:rsidRPr="00CF2A74">
              <w:rPr>
                <w:sz w:val="16"/>
                <w:szCs w:val="16"/>
                <w:rtl/>
              </w:rPr>
              <w:t xml:space="preserve"> 0</w:t>
            </w:r>
          </w:p>
        </w:tc>
        <w:tc>
          <w:tcPr>
            <w:tcW w:w="737" w:type="dxa"/>
            <w:vAlign w:val="bottom"/>
          </w:tcPr>
          <w:p w14:paraId="72542B44" w14:textId="77777777" w:rsidR="004E0E02" w:rsidRPr="00513F0D" w:rsidRDefault="004E0E02" w:rsidP="00141F15">
            <w:pPr>
              <w:pStyle w:val="-3"/>
              <w:jc w:val="left"/>
              <w:rPr>
                <w:sz w:val="16"/>
                <w:szCs w:val="16"/>
                <w:rtl/>
              </w:rPr>
            </w:pPr>
            <w:r w:rsidRPr="00CF2A74">
              <w:rPr>
                <w:sz w:val="16"/>
                <w:szCs w:val="16"/>
                <w:rtl/>
              </w:rPr>
              <w:t xml:space="preserve"> 0</w:t>
            </w:r>
          </w:p>
        </w:tc>
        <w:tc>
          <w:tcPr>
            <w:tcW w:w="712" w:type="dxa"/>
            <w:vAlign w:val="bottom"/>
          </w:tcPr>
          <w:p w14:paraId="220CCF62"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2971012F" w14:textId="77777777" w:rsidTr="004A1ADA">
        <w:tc>
          <w:tcPr>
            <w:tcW w:w="850" w:type="dxa"/>
          </w:tcPr>
          <w:p w14:paraId="298D2CCC" w14:textId="77777777" w:rsidR="004E0E02" w:rsidRPr="00513F0D" w:rsidRDefault="004E0E02" w:rsidP="00D73D50">
            <w:pPr>
              <w:pStyle w:val="-7"/>
              <w:bidi w:val="0"/>
              <w:ind w:right="-231"/>
              <w:jc w:val="left"/>
              <w:rPr>
                <w:spacing w:val="-6"/>
                <w:sz w:val="16"/>
                <w:szCs w:val="16"/>
                <w:rtl/>
              </w:rPr>
            </w:pPr>
          </w:p>
        </w:tc>
        <w:tc>
          <w:tcPr>
            <w:tcW w:w="1978" w:type="dxa"/>
            <w:vAlign w:val="bottom"/>
          </w:tcPr>
          <w:p w14:paraId="27FC59B7" w14:textId="77777777" w:rsidR="004E0E02" w:rsidRPr="00513F0D" w:rsidRDefault="004E0E02" w:rsidP="009D7929">
            <w:pPr>
              <w:pStyle w:val="-0"/>
              <w:rPr>
                <w:sz w:val="16"/>
                <w:szCs w:val="16"/>
                <w:rtl/>
              </w:rPr>
            </w:pPr>
            <w:r w:rsidRPr="00CF2A74">
              <w:rPr>
                <w:rFonts w:hint="eastAsia"/>
                <w:sz w:val="16"/>
                <w:szCs w:val="16"/>
                <w:rtl/>
              </w:rPr>
              <w:t>דיבידנד</w:t>
            </w:r>
            <w:r w:rsidRPr="00CF2A74">
              <w:rPr>
                <w:sz w:val="16"/>
                <w:szCs w:val="16"/>
                <w:rtl/>
              </w:rPr>
              <w:t xml:space="preserve"> </w:t>
            </w:r>
          </w:p>
        </w:tc>
        <w:tc>
          <w:tcPr>
            <w:tcW w:w="801" w:type="dxa"/>
            <w:vAlign w:val="bottom"/>
          </w:tcPr>
          <w:p w14:paraId="170A7F86"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08CAFA72" w14:textId="77777777" w:rsidR="004E0E02" w:rsidRPr="00513F0D" w:rsidRDefault="004E0E02" w:rsidP="00D73D50">
            <w:pPr>
              <w:pStyle w:val="-3"/>
              <w:rPr>
                <w:sz w:val="16"/>
                <w:szCs w:val="16"/>
                <w:rtl/>
              </w:rPr>
            </w:pPr>
            <w:r w:rsidRPr="00CF2A74">
              <w:rPr>
                <w:sz w:val="16"/>
                <w:szCs w:val="16"/>
                <w:rtl/>
              </w:rPr>
              <w:t>-</w:t>
            </w:r>
          </w:p>
        </w:tc>
        <w:tc>
          <w:tcPr>
            <w:tcW w:w="941" w:type="dxa"/>
            <w:vAlign w:val="bottom"/>
          </w:tcPr>
          <w:p w14:paraId="6DF694D1"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27B818FA" w14:textId="77777777" w:rsidR="004E0E02" w:rsidRPr="00513F0D" w:rsidRDefault="004E0E02" w:rsidP="00D73D50">
            <w:pPr>
              <w:pStyle w:val="-3"/>
              <w:rPr>
                <w:sz w:val="16"/>
                <w:szCs w:val="16"/>
                <w:rtl/>
              </w:rPr>
            </w:pPr>
            <w:r w:rsidRPr="00CF2A74">
              <w:rPr>
                <w:sz w:val="16"/>
                <w:szCs w:val="16"/>
                <w:rtl/>
              </w:rPr>
              <w:t>-</w:t>
            </w:r>
          </w:p>
        </w:tc>
        <w:tc>
          <w:tcPr>
            <w:tcW w:w="1073" w:type="dxa"/>
            <w:vAlign w:val="bottom"/>
          </w:tcPr>
          <w:p w14:paraId="5CA2FCD2" w14:textId="77777777" w:rsidR="004E0E02" w:rsidRPr="009A7E4A" w:rsidRDefault="004E0E02" w:rsidP="00D73D50">
            <w:pPr>
              <w:pStyle w:val="-3"/>
              <w:rPr>
                <w:sz w:val="16"/>
                <w:szCs w:val="16"/>
                <w:rtl/>
              </w:rPr>
            </w:pPr>
            <w:r w:rsidRPr="009A7E4A">
              <w:rPr>
                <w:sz w:val="16"/>
                <w:szCs w:val="16"/>
                <w:rtl/>
              </w:rPr>
              <w:t>-</w:t>
            </w:r>
          </w:p>
        </w:tc>
        <w:tc>
          <w:tcPr>
            <w:tcW w:w="736" w:type="dxa"/>
            <w:vAlign w:val="bottom"/>
          </w:tcPr>
          <w:p w14:paraId="73C9E17F" w14:textId="77777777" w:rsidR="004E0E02" w:rsidRPr="00513F0D" w:rsidRDefault="004E0E02" w:rsidP="00D73D50">
            <w:pPr>
              <w:pStyle w:val="-3"/>
              <w:jc w:val="left"/>
              <w:rPr>
                <w:sz w:val="16"/>
                <w:szCs w:val="16"/>
                <w:rtl/>
              </w:rPr>
            </w:pPr>
            <w:r w:rsidRPr="00CF2A74">
              <w:rPr>
                <w:sz w:val="16"/>
                <w:szCs w:val="16"/>
                <w:rtl/>
              </w:rPr>
              <w:t xml:space="preserve"> -</w:t>
            </w:r>
          </w:p>
        </w:tc>
        <w:tc>
          <w:tcPr>
            <w:tcW w:w="794" w:type="dxa"/>
            <w:vAlign w:val="bottom"/>
          </w:tcPr>
          <w:p w14:paraId="22DCC3D8" w14:textId="77777777" w:rsidR="004E0E02" w:rsidRPr="00CF2A74" w:rsidRDefault="004E0E02" w:rsidP="00D73D50">
            <w:pPr>
              <w:pStyle w:val="-3"/>
              <w:jc w:val="left"/>
              <w:rPr>
                <w:sz w:val="16"/>
                <w:szCs w:val="16"/>
                <w:rtl/>
              </w:rPr>
            </w:pPr>
            <w:r w:rsidRPr="00CF2A74">
              <w:rPr>
                <w:sz w:val="16"/>
                <w:szCs w:val="16"/>
                <w:rtl/>
              </w:rPr>
              <w:t>-</w:t>
            </w:r>
          </w:p>
        </w:tc>
        <w:tc>
          <w:tcPr>
            <w:tcW w:w="905" w:type="dxa"/>
            <w:vAlign w:val="bottom"/>
          </w:tcPr>
          <w:p w14:paraId="0A51EEF1" w14:textId="77777777" w:rsidR="004E0E02" w:rsidRPr="00513F0D" w:rsidRDefault="004E0E02" w:rsidP="00D73D50">
            <w:pPr>
              <w:pStyle w:val="-3"/>
              <w:jc w:val="left"/>
              <w:rPr>
                <w:sz w:val="16"/>
                <w:szCs w:val="16"/>
                <w:rtl/>
              </w:rPr>
            </w:pPr>
            <w:r w:rsidRPr="00CF2A74">
              <w:rPr>
                <w:sz w:val="16"/>
                <w:szCs w:val="16"/>
                <w:rtl/>
              </w:rPr>
              <w:t xml:space="preserve"> -</w:t>
            </w:r>
          </w:p>
        </w:tc>
        <w:tc>
          <w:tcPr>
            <w:tcW w:w="825" w:type="dxa"/>
            <w:vAlign w:val="bottom"/>
          </w:tcPr>
          <w:p w14:paraId="0448533E" w14:textId="77777777" w:rsidR="004E0E02" w:rsidRPr="00513F0D" w:rsidRDefault="004E0E02" w:rsidP="00D73D50">
            <w:pPr>
              <w:pStyle w:val="-3"/>
              <w:jc w:val="left"/>
              <w:rPr>
                <w:sz w:val="16"/>
                <w:szCs w:val="16"/>
                <w:rtl/>
              </w:rPr>
            </w:pPr>
            <w:r w:rsidRPr="00CF2A74">
              <w:rPr>
                <w:sz w:val="16"/>
                <w:szCs w:val="16"/>
                <w:rtl/>
              </w:rPr>
              <w:t xml:space="preserve"> -</w:t>
            </w:r>
          </w:p>
        </w:tc>
        <w:tc>
          <w:tcPr>
            <w:tcW w:w="941" w:type="dxa"/>
            <w:vAlign w:val="bottom"/>
          </w:tcPr>
          <w:p w14:paraId="65AE3422" w14:textId="77777777" w:rsidR="004E0E02" w:rsidRPr="00513F0D" w:rsidRDefault="004E0E02" w:rsidP="00D73D50">
            <w:pPr>
              <w:pStyle w:val="-3"/>
              <w:jc w:val="left"/>
              <w:rPr>
                <w:sz w:val="16"/>
                <w:szCs w:val="16"/>
                <w:rtl/>
              </w:rPr>
            </w:pPr>
            <w:r w:rsidRPr="00CF2A74">
              <w:rPr>
                <w:sz w:val="16"/>
                <w:szCs w:val="16"/>
                <w:rtl/>
              </w:rPr>
              <w:t xml:space="preserve"> 0</w:t>
            </w:r>
          </w:p>
        </w:tc>
        <w:tc>
          <w:tcPr>
            <w:tcW w:w="882" w:type="dxa"/>
            <w:vAlign w:val="bottom"/>
          </w:tcPr>
          <w:p w14:paraId="6712E88C" w14:textId="77777777" w:rsidR="004E0E02" w:rsidRPr="00513F0D" w:rsidRDefault="004E0E02" w:rsidP="00D73D50">
            <w:pPr>
              <w:pStyle w:val="-3"/>
              <w:jc w:val="left"/>
              <w:rPr>
                <w:sz w:val="16"/>
                <w:szCs w:val="16"/>
                <w:rtl/>
              </w:rPr>
            </w:pPr>
            <w:r w:rsidRPr="00CF2A74">
              <w:rPr>
                <w:sz w:val="16"/>
                <w:szCs w:val="16"/>
                <w:rtl/>
              </w:rPr>
              <w:t xml:space="preserve"> -</w:t>
            </w:r>
          </w:p>
        </w:tc>
        <w:tc>
          <w:tcPr>
            <w:tcW w:w="1128" w:type="dxa"/>
            <w:vAlign w:val="bottom"/>
          </w:tcPr>
          <w:p w14:paraId="5B7027C9" w14:textId="77777777" w:rsidR="004E0E02" w:rsidRPr="00513F0D" w:rsidRDefault="004E0E02" w:rsidP="00D73D50">
            <w:pPr>
              <w:pStyle w:val="-3"/>
              <w:jc w:val="left"/>
              <w:rPr>
                <w:sz w:val="16"/>
                <w:szCs w:val="16"/>
                <w:rtl/>
              </w:rPr>
            </w:pPr>
            <w:r w:rsidRPr="00CF2A74">
              <w:rPr>
                <w:sz w:val="16"/>
                <w:szCs w:val="16"/>
                <w:rtl/>
              </w:rPr>
              <w:t xml:space="preserve"> 0</w:t>
            </w:r>
          </w:p>
        </w:tc>
        <w:tc>
          <w:tcPr>
            <w:tcW w:w="737" w:type="dxa"/>
            <w:vAlign w:val="bottom"/>
          </w:tcPr>
          <w:p w14:paraId="78B33D8E" w14:textId="77777777" w:rsidR="004E0E02" w:rsidRPr="00513F0D" w:rsidRDefault="004E0E02" w:rsidP="00D73D50">
            <w:pPr>
              <w:pStyle w:val="-3"/>
              <w:jc w:val="left"/>
              <w:rPr>
                <w:sz w:val="16"/>
                <w:szCs w:val="16"/>
                <w:rtl/>
              </w:rPr>
            </w:pPr>
            <w:r w:rsidRPr="00CF2A74">
              <w:rPr>
                <w:sz w:val="16"/>
                <w:szCs w:val="16"/>
                <w:rtl/>
              </w:rPr>
              <w:t xml:space="preserve"> 0</w:t>
            </w:r>
          </w:p>
        </w:tc>
        <w:tc>
          <w:tcPr>
            <w:tcW w:w="712" w:type="dxa"/>
            <w:vAlign w:val="bottom"/>
          </w:tcPr>
          <w:p w14:paraId="0F4D743D" w14:textId="77777777" w:rsidR="004E0E02" w:rsidRPr="00513F0D" w:rsidRDefault="004E0E02" w:rsidP="00D73D50">
            <w:pPr>
              <w:pStyle w:val="-3"/>
              <w:jc w:val="left"/>
              <w:rPr>
                <w:sz w:val="16"/>
                <w:szCs w:val="16"/>
                <w:rtl/>
              </w:rPr>
            </w:pPr>
            <w:r w:rsidRPr="00CF2A74">
              <w:rPr>
                <w:sz w:val="16"/>
                <w:szCs w:val="16"/>
                <w:rtl/>
              </w:rPr>
              <w:t xml:space="preserve"> 0</w:t>
            </w:r>
          </w:p>
        </w:tc>
      </w:tr>
      <w:tr w:rsidR="004E0E02" w:rsidRPr="00513F0D" w14:paraId="14AB93C4" w14:textId="77777777" w:rsidTr="004A1ADA">
        <w:tc>
          <w:tcPr>
            <w:tcW w:w="850" w:type="dxa"/>
          </w:tcPr>
          <w:p w14:paraId="6F472450" w14:textId="77777777" w:rsidR="004E0E02" w:rsidRPr="00513F0D" w:rsidRDefault="004E0E02" w:rsidP="00D73D50">
            <w:pPr>
              <w:pStyle w:val="-7"/>
              <w:bidi w:val="0"/>
              <w:ind w:right="-231"/>
              <w:jc w:val="left"/>
              <w:rPr>
                <w:spacing w:val="-6"/>
                <w:sz w:val="16"/>
                <w:szCs w:val="16"/>
                <w:rtl/>
              </w:rPr>
            </w:pPr>
          </w:p>
        </w:tc>
        <w:tc>
          <w:tcPr>
            <w:tcW w:w="1978" w:type="dxa"/>
            <w:vAlign w:val="bottom"/>
          </w:tcPr>
          <w:p w14:paraId="174912C4" w14:textId="77777777" w:rsidR="004E0E02" w:rsidRPr="00513F0D" w:rsidRDefault="004E0E02" w:rsidP="00D73D50">
            <w:pPr>
              <w:pStyle w:val="-0"/>
              <w:rPr>
                <w:sz w:val="16"/>
                <w:szCs w:val="16"/>
                <w:rtl/>
              </w:rPr>
            </w:pPr>
            <w:r w:rsidRPr="00CF2A74">
              <w:rPr>
                <w:rFonts w:hint="eastAsia"/>
                <w:sz w:val="16"/>
                <w:szCs w:val="16"/>
                <w:rtl/>
              </w:rPr>
              <w:t>הטבות</w:t>
            </w:r>
            <w:r w:rsidRPr="00CF2A74">
              <w:rPr>
                <w:sz w:val="16"/>
                <w:szCs w:val="16"/>
                <w:rtl/>
              </w:rPr>
              <w:t xml:space="preserve"> </w:t>
            </w:r>
            <w:r w:rsidRPr="00CF2A74">
              <w:rPr>
                <w:rFonts w:hint="eastAsia"/>
                <w:sz w:val="16"/>
                <w:szCs w:val="16"/>
                <w:rtl/>
              </w:rPr>
              <w:t>שניתנו</w:t>
            </w:r>
            <w:r w:rsidRPr="00CF2A74">
              <w:rPr>
                <w:sz w:val="16"/>
                <w:szCs w:val="16"/>
                <w:rtl/>
              </w:rPr>
              <w:t xml:space="preserve"> </w:t>
            </w:r>
            <w:r w:rsidRPr="00CF2A74">
              <w:rPr>
                <w:rFonts w:hint="eastAsia"/>
                <w:sz w:val="16"/>
                <w:szCs w:val="16"/>
                <w:rtl/>
              </w:rPr>
              <w:t>לבעל</w:t>
            </w:r>
            <w:r w:rsidRPr="00CF2A74">
              <w:rPr>
                <w:sz w:val="16"/>
                <w:szCs w:val="16"/>
                <w:rtl/>
              </w:rPr>
              <w:t xml:space="preserve"> </w:t>
            </w:r>
            <w:r w:rsidRPr="00CF2A74">
              <w:rPr>
                <w:rFonts w:hint="eastAsia"/>
                <w:sz w:val="16"/>
                <w:szCs w:val="16"/>
                <w:rtl/>
              </w:rPr>
              <w:t>שליטה</w:t>
            </w:r>
          </w:p>
        </w:tc>
        <w:tc>
          <w:tcPr>
            <w:tcW w:w="801" w:type="dxa"/>
            <w:vAlign w:val="bottom"/>
          </w:tcPr>
          <w:p w14:paraId="6961ACDC"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633174F2" w14:textId="77777777" w:rsidR="004E0E02" w:rsidRPr="00513F0D" w:rsidRDefault="004E0E02" w:rsidP="00D73D50">
            <w:pPr>
              <w:pStyle w:val="-3"/>
              <w:rPr>
                <w:sz w:val="16"/>
                <w:szCs w:val="16"/>
                <w:rtl/>
              </w:rPr>
            </w:pPr>
            <w:r w:rsidRPr="00CF2A74">
              <w:rPr>
                <w:sz w:val="16"/>
                <w:szCs w:val="16"/>
                <w:rtl/>
              </w:rPr>
              <w:t>-</w:t>
            </w:r>
          </w:p>
        </w:tc>
        <w:tc>
          <w:tcPr>
            <w:tcW w:w="941" w:type="dxa"/>
            <w:vAlign w:val="bottom"/>
          </w:tcPr>
          <w:p w14:paraId="7B605FDF"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3B4AE6CC" w14:textId="77777777" w:rsidR="004E0E02" w:rsidRPr="00513F0D" w:rsidRDefault="004E0E02" w:rsidP="00D73D50">
            <w:pPr>
              <w:pStyle w:val="-3"/>
              <w:rPr>
                <w:sz w:val="16"/>
                <w:szCs w:val="16"/>
                <w:rtl/>
              </w:rPr>
            </w:pPr>
            <w:r w:rsidRPr="00CF2A74">
              <w:rPr>
                <w:sz w:val="16"/>
                <w:szCs w:val="16"/>
                <w:rtl/>
              </w:rPr>
              <w:t>-</w:t>
            </w:r>
          </w:p>
        </w:tc>
        <w:tc>
          <w:tcPr>
            <w:tcW w:w="1073" w:type="dxa"/>
            <w:vAlign w:val="bottom"/>
          </w:tcPr>
          <w:p w14:paraId="4384F275" w14:textId="77777777" w:rsidR="004E0E02" w:rsidRPr="009A7E4A" w:rsidRDefault="004E0E02" w:rsidP="00D73D50">
            <w:pPr>
              <w:pStyle w:val="-3"/>
              <w:rPr>
                <w:sz w:val="16"/>
                <w:szCs w:val="16"/>
                <w:rtl/>
              </w:rPr>
            </w:pPr>
            <w:r w:rsidRPr="009A7E4A">
              <w:rPr>
                <w:sz w:val="16"/>
                <w:szCs w:val="16"/>
                <w:rtl/>
              </w:rPr>
              <w:t>-</w:t>
            </w:r>
          </w:p>
        </w:tc>
        <w:tc>
          <w:tcPr>
            <w:tcW w:w="736" w:type="dxa"/>
            <w:vAlign w:val="bottom"/>
          </w:tcPr>
          <w:p w14:paraId="5E563DE1" w14:textId="77777777" w:rsidR="004E0E02" w:rsidRPr="00513F0D" w:rsidRDefault="004E0E02" w:rsidP="00D73D50">
            <w:pPr>
              <w:pStyle w:val="-3"/>
              <w:jc w:val="left"/>
              <w:rPr>
                <w:sz w:val="16"/>
                <w:szCs w:val="16"/>
                <w:rtl/>
              </w:rPr>
            </w:pPr>
            <w:r w:rsidRPr="00CF2A74">
              <w:rPr>
                <w:sz w:val="16"/>
                <w:szCs w:val="16"/>
                <w:rtl/>
              </w:rPr>
              <w:t xml:space="preserve"> 0</w:t>
            </w:r>
          </w:p>
        </w:tc>
        <w:tc>
          <w:tcPr>
            <w:tcW w:w="794" w:type="dxa"/>
            <w:vAlign w:val="bottom"/>
          </w:tcPr>
          <w:p w14:paraId="2D90D69A" w14:textId="77777777" w:rsidR="004E0E02" w:rsidRPr="00CF2A74" w:rsidRDefault="004E0E02" w:rsidP="00D73D50">
            <w:pPr>
              <w:pStyle w:val="-3"/>
              <w:jc w:val="left"/>
              <w:rPr>
                <w:sz w:val="16"/>
                <w:szCs w:val="16"/>
                <w:rtl/>
              </w:rPr>
            </w:pPr>
            <w:r w:rsidRPr="00CF2A74">
              <w:rPr>
                <w:sz w:val="16"/>
                <w:szCs w:val="16"/>
                <w:rtl/>
              </w:rPr>
              <w:t>-</w:t>
            </w:r>
          </w:p>
        </w:tc>
        <w:tc>
          <w:tcPr>
            <w:tcW w:w="905" w:type="dxa"/>
            <w:vAlign w:val="bottom"/>
          </w:tcPr>
          <w:p w14:paraId="2885A112" w14:textId="77777777" w:rsidR="004E0E02" w:rsidRPr="00513F0D" w:rsidRDefault="004E0E02" w:rsidP="00D73D50">
            <w:pPr>
              <w:pStyle w:val="-3"/>
              <w:jc w:val="left"/>
              <w:rPr>
                <w:sz w:val="16"/>
                <w:szCs w:val="16"/>
                <w:rtl/>
              </w:rPr>
            </w:pPr>
            <w:r w:rsidRPr="00CF2A74">
              <w:rPr>
                <w:sz w:val="16"/>
                <w:szCs w:val="16"/>
                <w:rtl/>
              </w:rPr>
              <w:t xml:space="preserve"> 0</w:t>
            </w:r>
          </w:p>
        </w:tc>
        <w:tc>
          <w:tcPr>
            <w:tcW w:w="825" w:type="dxa"/>
            <w:vAlign w:val="bottom"/>
          </w:tcPr>
          <w:p w14:paraId="29810230" w14:textId="77777777" w:rsidR="004E0E02" w:rsidRPr="00513F0D" w:rsidRDefault="004E0E02" w:rsidP="00D73D50">
            <w:pPr>
              <w:pStyle w:val="-3"/>
              <w:jc w:val="left"/>
              <w:rPr>
                <w:sz w:val="16"/>
                <w:szCs w:val="16"/>
                <w:rtl/>
              </w:rPr>
            </w:pPr>
            <w:r w:rsidRPr="00CF2A74">
              <w:rPr>
                <w:sz w:val="16"/>
                <w:szCs w:val="16"/>
                <w:rtl/>
              </w:rPr>
              <w:t xml:space="preserve"> -</w:t>
            </w:r>
          </w:p>
        </w:tc>
        <w:tc>
          <w:tcPr>
            <w:tcW w:w="941" w:type="dxa"/>
            <w:vAlign w:val="bottom"/>
          </w:tcPr>
          <w:p w14:paraId="553DAC53" w14:textId="77777777" w:rsidR="004E0E02" w:rsidRPr="00513F0D" w:rsidRDefault="004E0E02" w:rsidP="00D73D50">
            <w:pPr>
              <w:pStyle w:val="-3"/>
              <w:jc w:val="left"/>
              <w:rPr>
                <w:sz w:val="16"/>
                <w:szCs w:val="16"/>
                <w:rtl/>
              </w:rPr>
            </w:pPr>
            <w:r w:rsidRPr="00CF2A74">
              <w:rPr>
                <w:sz w:val="16"/>
                <w:szCs w:val="16"/>
                <w:rtl/>
              </w:rPr>
              <w:t xml:space="preserve"> 0</w:t>
            </w:r>
          </w:p>
        </w:tc>
        <w:tc>
          <w:tcPr>
            <w:tcW w:w="882" w:type="dxa"/>
            <w:vAlign w:val="bottom"/>
          </w:tcPr>
          <w:p w14:paraId="3A08D188" w14:textId="77777777" w:rsidR="004E0E02" w:rsidRPr="00513F0D" w:rsidRDefault="004E0E02" w:rsidP="00D73D50">
            <w:pPr>
              <w:pStyle w:val="-3"/>
              <w:jc w:val="left"/>
              <w:rPr>
                <w:sz w:val="16"/>
                <w:szCs w:val="16"/>
                <w:rtl/>
              </w:rPr>
            </w:pPr>
            <w:r w:rsidRPr="00CF2A74">
              <w:rPr>
                <w:sz w:val="16"/>
                <w:szCs w:val="16"/>
                <w:rtl/>
              </w:rPr>
              <w:t xml:space="preserve"> -</w:t>
            </w:r>
          </w:p>
        </w:tc>
        <w:tc>
          <w:tcPr>
            <w:tcW w:w="1128" w:type="dxa"/>
            <w:vAlign w:val="bottom"/>
          </w:tcPr>
          <w:p w14:paraId="7F5B1F07" w14:textId="77777777" w:rsidR="004E0E02" w:rsidRPr="00513F0D" w:rsidRDefault="004E0E02" w:rsidP="00D73D50">
            <w:pPr>
              <w:pStyle w:val="-3"/>
              <w:jc w:val="left"/>
              <w:rPr>
                <w:sz w:val="16"/>
                <w:szCs w:val="16"/>
                <w:rtl/>
              </w:rPr>
            </w:pPr>
            <w:r w:rsidRPr="00CF2A74">
              <w:rPr>
                <w:sz w:val="16"/>
                <w:szCs w:val="16"/>
                <w:rtl/>
              </w:rPr>
              <w:t xml:space="preserve"> 0</w:t>
            </w:r>
          </w:p>
        </w:tc>
        <w:tc>
          <w:tcPr>
            <w:tcW w:w="737" w:type="dxa"/>
            <w:vAlign w:val="bottom"/>
          </w:tcPr>
          <w:p w14:paraId="65C23A77" w14:textId="77777777" w:rsidR="004E0E02" w:rsidRPr="00513F0D" w:rsidRDefault="004E0E02" w:rsidP="00D73D50">
            <w:pPr>
              <w:pStyle w:val="-3"/>
              <w:jc w:val="left"/>
              <w:rPr>
                <w:sz w:val="16"/>
                <w:szCs w:val="16"/>
                <w:rtl/>
              </w:rPr>
            </w:pPr>
            <w:r w:rsidRPr="00CF2A74">
              <w:rPr>
                <w:sz w:val="16"/>
                <w:szCs w:val="16"/>
                <w:rtl/>
              </w:rPr>
              <w:t xml:space="preserve"> 0</w:t>
            </w:r>
          </w:p>
        </w:tc>
        <w:tc>
          <w:tcPr>
            <w:tcW w:w="712" w:type="dxa"/>
            <w:vAlign w:val="bottom"/>
          </w:tcPr>
          <w:p w14:paraId="6749C8DC" w14:textId="77777777" w:rsidR="004E0E02" w:rsidRPr="00513F0D" w:rsidRDefault="004E0E02" w:rsidP="00D73D50">
            <w:pPr>
              <w:pStyle w:val="-3"/>
              <w:jc w:val="left"/>
              <w:rPr>
                <w:sz w:val="16"/>
                <w:szCs w:val="16"/>
                <w:rtl/>
              </w:rPr>
            </w:pPr>
            <w:r w:rsidRPr="00CF2A74">
              <w:rPr>
                <w:sz w:val="16"/>
                <w:szCs w:val="16"/>
                <w:rtl/>
              </w:rPr>
              <w:t xml:space="preserve"> 0</w:t>
            </w:r>
          </w:p>
        </w:tc>
      </w:tr>
      <w:tr w:rsidR="004E0E02" w:rsidRPr="00513F0D" w14:paraId="04703308" w14:textId="77777777" w:rsidTr="004A1ADA">
        <w:tc>
          <w:tcPr>
            <w:tcW w:w="850" w:type="dxa"/>
          </w:tcPr>
          <w:p w14:paraId="155072A3" w14:textId="77777777" w:rsidR="004E0E02" w:rsidRPr="00513F0D" w:rsidRDefault="004E0E02" w:rsidP="00D73D50">
            <w:pPr>
              <w:pStyle w:val="-7"/>
              <w:bidi w:val="0"/>
              <w:ind w:right="-231"/>
              <w:jc w:val="left"/>
              <w:rPr>
                <w:spacing w:val="-6"/>
                <w:sz w:val="16"/>
                <w:szCs w:val="16"/>
                <w:rtl/>
              </w:rPr>
            </w:pPr>
          </w:p>
        </w:tc>
        <w:tc>
          <w:tcPr>
            <w:tcW w:w="1978" w:type="dxa"/>
            <w:vAlign w:val="bottom"/>
          </w:tcPr>
          <w:p w14:paraId="4A4AA60A" w14:textId="77777777" w:rsidR="004E0E02" w:rsidRPr="00940908" w:rsidRDefault="00B44059" w:rsidP="00D73D50">
            <w:pPr>
              <w:pStyle w:val="-b"/>
              <w:rPr>
                <w:b w:val="0"/>
                <w:bCs w:val="0"/>
                <w:sz w:val="16"/>
                <w:szCs w:val="16"/>
                <w:rtl/>
              </w:rPr>
            </w:pPr>
            <w:r w:rsidRPr="00B44059">
              <w:rPr>
                <w:rFonts w:hint="eastAsia"/>
                <w:b w:val="0"/>
                <w:bCs w:val="0"/>
                <w:sz w:val="16"/>
                <w:szCs w:val="16"/>
                <w:u w:val="single"/>
                <w:rtl/>
              </w:rPr>
              <w:t>התאמות</w:t>
            </w:r>
            <w:r w:rsidRPr="00B44059">
              <w:rPr>
                <w:b w:val="0"/>
                <w:bCs w:val="0"/>
                <w:sz w:val="16"/>
                <w:szCs w:val="16"/>
                <w:u w:val="single"/>
                <w:rtl/>
              </w:rPr>
              <w:t xml:space="preserve"> </w:t>
            </w:r>
            <w:r w:rsidRPr="00B44059">
              <w:rPr>
                <w:rFonts w:hint="eastAsia"/>
                <w:b w:val="0"/>
                <w:bCs w:val="0"/>
                <w:sz w:val="16"/>
                <w:szCs w:val="16"/>
                <w:u w:val="single"/>
                <w:rtl/>
              </w:rPr>
              <w:t>ושינויים</w:t>
            </w:r>
            <w:r w:rsidRPr="00B44059">
              <w:rPr>
                <w:b w:val="0"/>
                <w:bCs w:val="0"/>
                <w:sz w:val="16"/>
                <w:szCs w:val="16"/>
                <w:u w:val="single"/>
                <w:rtl/>
              </w:rPr>
              <w:t xml:space="preserve"> </w:t>
            </w:r>
            <w:r w:rsidRPr="00B44059">
              <w:rPr>
                <w:rFonts w:hint="eastAsia"/>
                <w:b w:val="0"/>
                <w:bCs w:val="0"/>
                <w:sz w:val="16"/>
                <w:szCs w:val="16"/>
                <w:u w:val="single"/>
                <w:rtl/>
              </w:rPr>
              <w:t>הנובעים</w:t>
            </w:r>
            <w:r w:rsidRPr="00B44059">
              <w:rPr>
                <w:b w:val="0"/>
                <w:bCs w:val="0"/>
                <w:sz w:val="16"/>
                <w:szCs w:val="16"/>
                <w:u w:val="single"/>
                <w:rtl/>
              </w:rPr>
              <w:t xml:space="preserve"> </w:t>
            </w:r>
            <w:r w:rsidRPr="00B44059">
              <w:rPr>
                <w:rFonts w:hint="eastAsia"/>
                <w:b w:val="0"/>
                <w:bCs w:val="0"/>
                <w:sz w:val="16"/>
                <w:szCs w:val="16"/>
                <w:u w:val="single"/>
                <w:rtl/>
              </w:rPr>
              <w:t>מ</w:t>
            </w:r>
            <w:r w:rsidRPr="00B44059">
              <w:rPr>
                <w:b w:val="0"/>
                <w:bCs w:val="0"/>
                <w:sz w:val="16"/>
                <w:szCs w:val="16"/>
                <w:rtl/>
              </w:rPr>
              <w:t>:</w:t>
            </w:r>
          </w:p>
        </w:tc>
        <w:tc>
          <w:tcPr>
            <w:tcW w:w="801" w:type="dxa"/>
            <w:vAlign w:val="bottom"/>
          </w:tcPr>
          <w:p w14:paraId="2CD0AAC5" w14:textId="77777777" w:rsidR="004E0E02" w:rsidRPr="00513F0D" w:rsidRDefault="004E0E02" w:rsidP="00D73D50">
            <w:pPr>
              <w:pStyle w:val="-3"/>
              <w:rPr>
                <w:sz w:val="16"/>
                <w:szCs w:val="16"/>
                <w:rtl/>
              </w:rPr>
            </w:pPr>
          </w:p>
        </w:tc>
        <w:tc>
          <w:tcPr>
            <w:tcW w:w="881" w:type="dxa"/>
            <w:vAlign w:val="bottom"/>
          </w:tcPr>
          <w:p w14:paraId="5C3418F0" w14:textId="77777777" w:rsidR="004E0E02" w:rsidRPr="00513F0D" w:rsidRDefault="004E0E02" w:rsidP="00D73D50">
            <w:pPr>
              <w:pStyle w:val="-3"/>
              <w:rPr>
                <w:sz w:val="16"/>
                <w:szCs w:val="16"/>
                <w:rtl/>
              </w:rPr>
            </w:pPr>
          </w:p>
        </w:tc>
        <w:tc>
          <w:tcPr>
            <w:tcW w:w="941" w:type="dxa"/>
            <w:vAlign w:val="bottom"/>
          </w:tcPr>
          <w:p w14:paraId="55AD9311" w14:textId="77777777" w:rsidR="004E0E02" w:rsidRPr="00513F0D" w:rsidRDefault="004E0E02" w:rsidP="00D73D50">
            <w:pPr>
              <w:pStyle w:val="-3"/>
              <w:rPr>
                <w:sz w:val="16"/>
                <w:szCs w:val="16"/>
                <w:rtl/>
              </w:rPr>
            </w:pPr>
          </w:p>
        </w:tc>
        <w:tc>
          <w:tcPr>
            <w:tcW w:w="881" w:type="dxa"/>
            <w:vAlign w:val="bottom"/>
          </w:tcPr>
          <w:p w14:paraId="7EEFD1E2" w14:textId="77777777" w:rsidR="004E0E02" w:rsidRPr="00513F0D" w:rsidRDefault="004E0E02" w:rsidP="00D73D50">
            <w:pPr>
              <w:pStyle w:val="-3"/>
              <w:rPr>
                <w:sz w:val="16"/>
                <w:szCs w:val="16"/>
                <w:rtl/>
              </w:rPr>
            </w:pPr>
          </w:p>
        </w:tc>
        <w:tc>
          <w:tcPr>
            <w:tcW w:w="1073" w:type="dxa"/>
            <w:vAlign w:val="bottom"/>
          </w:tcPr>
          <w:p w14:paraId="5153BBB8" w14:textId="77777777" w:rsidR="004E0E02" w:rsidRPr="009A7E4A" w:rsidRDefault="004E0E02" w:rsidP="00D73D50">
            <w:pPr>
              <w:pStyle w:val="-3"/>
              <w:rPr>
                <w:sz w:val="16"/>
                <w:szCs w:val="16"/>
                <w:rtl/>
              </w:rPr>
            </w:pPr>
          </w:p>
        </w:tc>
        <w:tc>
          <w:tcPr>
            <w:tcW w:w="736" w:type="dxa"/>
            <w:vAlign w:val="bottom"/>
          </w:tcPr>
          <w:p w14:paraId="14555BFC" w14:textId="77777777" w:rsidR="004E0E02" w:rsidRPr="00513F0D" w:rsidRDefault="004E0E02" w:rsidP="00D73D50">
            <w:pPr>
              <w:pStyle w:val="-3"/>
              <w:jc w:val="left"/>
              <w:rPr>
                <w:sz w:val="16"/>
                <w:szCs w:val="16"/>
                <w:rtl/>
              </w:rPr>
            </w:pPr>
          </w:p>
        </w:tc>
        <w:tc>
          <w:tcPr>
            <w:tcW w:w="794" w:type="dxa"/>
            <w:vAlign w:val="bottom"/>
          </w:tcPr>
          <w:p w14:paraId="29B699BB" w14:textId="77777777" w:rsidR="004E0E02" w:rsidRPr="00513F0D" w:rsidRDefault="004E0E02" w:rsidP="00D73D50">
            <w:pPr>
              <w:pStyle w:val="-3"/>
              <w:jc w:val="left"/>
              <w:rPr>
                <w:sz w:val="16"/>
                <w:szCs w:val="16"/>
                <w:rtl/>
              </w:rPr>
            </w:pPr>
          </w:p>
        </w:tc>
        <w:tc>
          <w:tcPr>
            <w:tcW w:w="905" w:type="dxa"/>
            <w:vAlign w:val="bottom"/>
          </w:tcPr>
          <w:p w14:paraId="5D3463D6" w14:textId="77777777" w:rsidR="004E0E02" w:rsidRPr="00513F0D" w:rsidRDefault="004E0E02" w:rsidP="00D73D50">
            <w:pPr>
              <w:pStyle w:val="-3"/>
              <w:jc w:val="left"/>
              <w:rPr>
                <w:sz w:val="16"/>
                <w:szCs w:val="16"/>
                <w:rtl/>
              </w:rPr>
            </w:pPr>
          </w:p>
        </w:tc>
        <w:tc>
          <w:tcPr>
            <w:tcW w:w="825" w:type="dxa"/>
            <w:vAlign w:val="bottom"/>
          </w:tcPr>
          <w:p w14:paraId="3DE6FED4" w14:textId="77777777" w:rsidR="004E0E02" w:rsidRPr="00513F0D" w:rsidRDefault="004E0E02" w:rsidP="00D73D50">
            <w:pPr>
              <w:pStyle w:val="-3"/>
              <w:jc w:val="left"/>
              <w:rPr>
                <w:sz w:val="16"/>
                <w:szCs w:val="16"/>
                <w:rtl/>
              </w:rPr>
            </w:pPr>
          </w:p>
        </w:tc>
        <w:tc>
          <w:tcPr>
            <w:tcW w:w="941" w:type="dxa"/>
            <w:vAlign w:val="bottom"/>
          </w:tcPr>
          <w:p w14:paraId="61CAEF0B" w14:textId="77777777" w:rsidR="004E0E02" w:rsidRPr="00513F0D" w:rsidRDefault="004E0E02" w:rsidP="00D73D50">
            <w:pPr>
              <w:pStyle w:val="-3"/>
              <w:jc w:val="left"/>
              <w:rPr>
                <w:sz w:val="16"/>
                <w:szCs w:val="16"/>
                <w:rtl/>
              </w:rPr>
            </w:pPr>
          </w:p>
        </w:tc>
        <w:tc>
          <w:tcPr>
            <w:tcW w:w="882" w:type="dxa"/>
            <w:vAlign w:val="bottom"/>
          </w:tcPr>
          <w:p w14:paraId="414165A4" w14:textId="77777777" w:rsidR="004E0E02" w:rsidRPr="00513F0D" w:rsidRDefault="004E0E02" w:rsidP="00D73D50">
            <w:pPr>
              <w:pStyle w:val="-3"/>
              <w:jc w:val="left"/>
              <w:rPr>
                <w:sz w:val="16"/>
                <w:szCs w:val="16"/>
                <w:rtl/>
              </w:rPr>
            </w:pPr>
          </w:p>
        </w:tc>
        <w:tc>
          <w:tcPr>
            <w:tcW w:w="1128" w:type="dxa"/>
            <w:vAlign w:val="bottom"/>
          </w:tcPr>
          <w:p w14:paraId="04E52CF5" w14:textId="77777777" w:rsidR="004E0E02" w:rsidRPr="00513F0D" w:rsidRDefault="004E0E02" w:rsidP="00D73D50">
            <w:pPr>
              <w:pStyle w:val="-3"/>
              <w:jc w:val="left"/>
              <w:rPr>
                <w:sz w:val="16"/>
                <w:szCs w:val="16"/>
                <w:rtl/>
              </w:rPr>
            </w:pPr>
          </w:p>
        </w:tc>
        <w:tc>
          <w:tcPr>
            <w:tcW w:w="737" w:type="dxa"/>
            <w:vAlign w:val="bottom"/>
          </w:tcPr>
          <w:p w14:paraId="66FA6774" w14:textId="77777777" w:rsidR="004E0E02" w:rsidRPr="00513F0D" w:rsidRDefault="004E0E02" w:rsidP="00D73D50">
            <w:pPr>
              <w:pStyle w:val="-3"/>
              <w:jc w:val="left"/>
              <w:rPr>
                <w:sz w:val="16"/>
                <w:szCs w:val="16"/>
                <w:rtl/>
              </w:rPr>
            </w:pPr>
          </w:p>
        </w:tc>
        <w:tc>
          <w:tcPr>
            <w:tcW w:w="712" w:type="dxa"/>
            <w:vAlign w:val="bottom"/>
          </w:tcPr>
          <w:p w14:paraId="2F5FACAD" w14:textId="77777777" w:rsidR="004E0E02" w:rsidRPr="00513F0D" w:rsidRDefault="004E0E02" w:rsidP="00D73D50">
            <w:pPr>
              <w:pStyle w:val="-3"/>
              <w:jc w:val="left"/>
              <w:rPr>
                <w:sz w:val="16"/>
                <w:szCs w:val="16"/>
                <w:rtl/>
              </w:rPr>
            </w:pPr>
          </w:p>
        </w:tc>
      </w:tr>
      <w:tr w:rsidR="004E0E02" w:rsidRPr="00513F0D" w14:paraId="0C195DFF" w14:textId="77777777" w:rsidTr="004A1ADA">
        <w:tc>
          <w:tcPr>
            <w:tcW w:w="850" w:type="dxa"/>
          </w:tcPr>
          <w:p w14:paraId="5F6266A3" w14:textId="77777777" w:rsidR="004E0E02" w:rsidRPr="00513F0D" w:rsidRDefault="004E0E02" w:rsidP="00D73D50">
            <w:pPr>
              <w:pStyle w:val="-7"/>
              <w:bidi w:val="0"/>
              <w:ind w:right="-231"/>
              <w:jc w:val="left"/>
              <w:rPr>
                <w:spacing w:val="-6"/>
                <w:sz w:val="16"/>
                <w:szCs w:val="16"/>
                <w:rtl/>
              </w:rPr>
            </w:pPr>
          </w:p>
        </w:tc>
        <w:tc>
          <w:tcPr>
            <w:tcW w:w="1978" w:type="dxa"/>
            <w:vAlign w:val="bottom"/>
          </w:tcPr>
          <w:p w14:paraId="5D0865E9" w14:textId="77777777" w:rsidR="004E0E02" w:rsidRPr="00513F0D" w:rsidRDefault="004E0E02" w:rsidP="00D73D50">
            <w:pPr>
              <w:pStyle w:val="-0"/>
              <w:rPr>
                <w:sz w:val="16"/>
                <w:szCs w:val="16"/>
                <w:rtl/>
              </w:rPr>
            </w:pPr>
            <w:r w:rsidRPr="00CF2A74">
              <w:rPr>
                <w:rFonts w:hint="eastAsia"/>
                <w:sz w:val="16"/>
                <w:szCs w:val="16"/>
                <w:rtl/>
              </w:rPr>
              <w:t>הנפקת</w:t>
            </w:r>
            <w:r w:rsidRPr="00CF2A74">
              <w:rPr>
                <w:sz w:val="16"/>
                <w:szCs w:val="16"/>
                <w:rtl/>
              </w:rPr>
              <w:t xml:space="preserve"> </w:t>
            </w:r>
            <w:r w:rsidRPr="00CF2A74">
              <w:rPr>
                <w:rFonts w:hint="eastAsia"/>
                <w:sz w:val="16"/>
                <w:szCs w:val="16"/>
                <w:rtl/>
              </w:rPr>
              <w:t>מניות</w:t>
            </w:r>
          </w:p>
        </w:tc>
        <w:tc>
          <w:tcPr>
            <w:tcW w:w="801" w:type="dxa"/>
            <w:vAlign w:val="bottom"/>
          </w:tcPr>
          <w:p w14:paraId="263A8EA9" w14:textId="77777777" w:rsidR="004E0E02" w:rsidRPr="00513F0D" w:rsidRDefault="004E0E02" w:rsidP="00D73D50">
            <w:pPr>
              <w:pStyle w:val="-3"/>
              <w:rPr>
                <w:sz w:val="16"/>
                <w:szCs w:val="16"/>
                <w:rtl/>
              </w:rPr>
            </w:pPr>
            <w:r w:rsidRPr="00CF2A74">
              <w:rPr>
                <w:sz w:val="16"/>
                <w:szCs w:val="16"/>
                <w:rtl/>
              </w:rPr>
              <w:t>0</w:t>
            </w:r>
          </w:p>
        </w:tc>
        <w:tc>
          <w:tcPr>
            <w:tcW w:w="881" w:type="dxa"/>
            <w:vAlign w:val="bottom"/>
          </w:tcPr>
          <w:p w14:paraId="2F7FBC44" w14:textId="77777777" w:rsidR="004E0E02" w:rsidRPr="00513F0D" w:rsidRDefault="004E0E02" w:rsidP="00D73D50">
            <w:pPr>
              <w:pStyle w:val="-3"/>
              <w:rPr>
                <w:sz w:val="16"/>
                <w:szCs w:val="16"/>
                <w:rtl/>
              </w:rPr>
            </w:pPr>
            <w:r w:rsidRPr="00CF2A74">
              <w:rPr>
                <w:sz w:val="16"/>
                <w:szCs w:val="16"/>
                <w:rtl/>
              </w:rPr>
              <w:t>-</w:t>
            </w:r>
          </w:p>
        </w:tc>
        <w:tc>
          <w:tcPr>
            <w:tcW w:w="941" w:type="dxa"/>
            <w:vAlign w:val="bottom"/>
          </w:tcPr>
          <w:p w14:paraId="5266527F" w14:textId="77777777" w:rsidR="004E0E02" w:rsidRPr="00513F0D" w:rsidRDefault="004E0E02" w:rsidP="00D73D50">
            <w:pPr>
              <w:pStyle w:val="-3"/>
              <w:rPr>
                <w:sz w:val="16"/>
                <w:szCs w:val="16"/>
                <w:rtl/>
              </w:rPr>
            </w:pPr>
            <w:r>
              <w:rPr>
                <w:rFonts w:hint="cs"/>
                <w:sz w:val="16"/>
                <w:szCs w:val="16"/>
                <w:rtl/>
              </w:rPr>
              <w:t>-</w:t>
            </w:r>
          </w:p>
        </w:tc>
        <w:tc>
          <w:tcPr>
            <w:tcW w:w="881" w:type="dxa"/>
            <w:vAlign w:val="bottom"/>
          </w:tcPr>
          <w:p w14:paraId="3A77AB27" w14:textId="77777777" w:rsidR="004E0E02" w:rsidRPr="00513F0D" w:rsidRDefault="004E0E02" w:rsidP="00D73D50">
            <w:pPr>
              <w:pStyle w:val="-3"/>
              <w:rPr>
                <w:sz w:val="16"/>
                <w:szCs w:val="16"/>
                <w:rtl/>
              </w:rPr>
            </w:pPr>
            <w:r w:rsidRPr="00CF2A74">
              <w:rPr>
                <w:sz w:val="16"/>
                <w:szCs w:val="16"/>
                <w:rtl/>
              </w:rPr>
              <w:t>0</w:t>
            </w:r>
          </w:p>
        </w:tc>
        <w:tc>
          <w:tcPr>
            <w:tcW w:w="1073" w:type="dxa"/>
            <w:vAlign w:val="bottom"/>
          </w:tcPr>
          <w:p w14:paraId="1BEDC8EB" w14:textId="77777777" w:rsidR="004E0E02" w:rsidRPr="009A7E4A" w:rsidRDefault="004E0E02" w:rsidP="00D73D50">
            <w:pPr>
              <w:pStyle w:val="-3"/>
              <w:rPr>
                <w:sz w:val="16"/>
                <w:szCs w:val="16"/>
                <w:rtl/>
              </w:rPr>
            </w:pPr>
            <w:r w:rsidRPr="009A7E4A">
              <w:rPr>
                <w:sz w:val="16"/>
                <w:szCs w:val="16"/>
                <w:rtl/>
              </w:rPr>
              <w:t>-</w:t>
            </w:r>
          </w:p>
        </w:tc>
        <w:tc>
          <w:tcPr>
            <w:tcW w:w="736" w:type="dxa"/>
            <w:vAlign w:val="bottom"/>
          </w:tcPr>
          <w:p w14:paraId="0C41995E" w14:textId="77777777" w:rsidR="004E0E02" w:rsidRPr="00513F0D" w:rsidRDefault="004E0E02" w:rsidP="00D73D50">
            <w:pPr>
              <w:pStyle w:val="-3"/>
              <w:jc w:val="left"/>
              <w:rPr>
                <w:sz w:val="16"/>
                <w:szCs w:val="16"/>
                <w:rtl/>
              </w:rPr>
            </w:pPr>
            <w:r w:rsidRPr="00CF2A74">
              <w:rPr>
                <w:sz w:val="16"/>
                <w:szCs w:val="16"/>
                <w:rtl/>
              </w:rPr>
              <w:t xml:space="preserve"> -</w:t>
            </w:r>
          </w:p>
        </w:tc>
        <w:tc>
          <w:tcPr>
            <w:tcW w:w="794" w:type="dxa"/>
            <w:vAlign w:val="bottom"/>
          </w:tcPr>
          <w:p w14:paraId="4BA57541" w14:textId="77777777" w:rsidR="004E0E02" w:rsidRPr="00CF2A74" w:rsidRDefault="004E0E02" w:rsidP="00D73D50">
            <w:pPr>
              <w:pStyle w:val="-3"/>
              <w:jc w:val="left"/>
              <w:rPr>
                <w:sz w:val="16"/>
                <w:szCs w:val="16"/>
                <w:rtl/>
              </w:rPr>
            </w:pPr>
            <w:r w:rsidRPr="00CF2A74">
              <w:rPr>
                <w:sz w:val="16"/>
                <w:szCs w:val="16"/>
                <w:rtl/>
              </w:rPr>
              <w:t>-</w:t>
            </w:r>
          </w:p>
        </w:tc>
        <w:tc>
          <w:tcPr>
            <w:tcW w:w="905" w:type="dxa"/>
            <w:vAlign w:val="bottom"/>
          </w:tcPr>
          <w:p w14:paraId="25900ABE" w14:textId="77777777" w:rsidR="004E0E02" w:rsidRPr="00513F0D" w:rsidRDefault="004E0E02" w:rsidP="00D73D50">
            <w:pPr>
              <w:pStyle w:val="-3"/>
              <w:jc w:val="left"/>
              <w:rPr>
                <w:sz w:val="16"/>
                <w:szCs w:val="16"/>
                <w:rtl/>
              </w:rPr>
            </w:pPr>
            <w:r w:rsidRPr="00CF2A74">
              <w:rPr>
                <w:sz w:val="16"/>
                <w:szCs w:val="16"/>
                <w:rtl/>
              </w:rPr>
              <w:t xml:space="preserve"> 0</w:t>
            </w:r>
          </w:p>
        </w:tc>
        <w:tc>
          <w:tcPr>
            <w:tcW w:w="825" w:type="dxa"/>
            <w:vAlign w:val="bottom"/>
          </w:tcPr>
          <w:p w14:paraId="21F8E37B" w14:textId="77777777" w:rsidR="004E0E02" w:rsidRPr="00513F0D" w:rsidRDefault="004E0E02" w:rsidP="00D73D50">
            <w:pPr>
              <w:pStyle w:val="-3"/>
              <w:jc w:val="left"/>
              <w:rPr>
                <w:sz w:val="16"/>
                <w:szCs w:val="16"/>
                <w:rtl/>
              </w:rPr>
            </w:pPr>
            <w:r w:rsidRPr="00CF2A74">
              <w:rPr>
                <w:sz w:val="16"/>
                <w:szCs w:val="16"/>
                <w:rtl/>
              </w:rPr>
              <w:t xml:space="preserve"> -</w:t>
            </w:r>
          </w:p>
        </w:tc>
        <w:tc>
          <w:tcPr>
            <w:tcW w:w="941" w:type="dxa"/>
            <w:vAlign w:val="bottom"/>
          </w:tcPr>
          <w:p w14:paraId="643BB1F5" w14:textId="77777777" w:rsidR="004E0E02" w:rsidRPr="00513F0D" w:rsidRDefault="004E0E02" w:rsidP="00D73D50">
            <w:pPr>
              <w:pStyle w:val="-3"/>
              <w:jc w:val="left"/>
              <w:rPr>
                <w:sz w:val="16"/>
                <w:szCs w:val="16"/>
                <w:rtl/>
              </w:rPr>
            </w:pPr>
            <w:r w:rsidRPr="00CF2A74">
              <w:rPr>
                <w:sz w:val="16"/>
                <w:szCs w:val="16"/>
                <w:rtl/>
              </w:rPr>
              <w:t xml:space="preserve"> -</w:t>
            </w:r>
          </w:p>
        </w:tc>
        <w:tc>
          <w:tcPr>
            <w:tcW w:w="882" w:type="dxa"/>
            <w:vAlign w:val="bottom"/>
          </w:tcPr>
          <w:p w14:paraId="612700C2" w14:textId="77777777" w:rsidR="004E0E02" w:rsidRPr="00513F0D" w:rsidRDefault="004E0E02" w:rsidP="00D73D50">
            <w:pPr>
              <w:pStyle w:val="-3"/>
              <w:jc w:val="left"/>
              <w:rPr>
                <w:sz w:val="16"/>
                <w:szCs w:val="16"/>
                <w:rtl/>
              </w:rPr>
            </w:pPr>
            <w:r w:rsidRPr="00CF2A74">
              <w:rPr>
                <w:sz w:val="16"/>
                <w:szCs w:val="16"/>
                <w:rtl/>
              </w:rPr>
              <w:t xml:space="preserve"> 0</w:t>
            </w:r>
          </w:p>
        </w:tc>
        <w:tc>
          <w:tcPr>
            <w:tcW w:w="1128" w:type="dxa"/>
            <w:vAlign w:val="bottom"/>
          </w:tcPr>
          <w:p w14:paraId="3054FCE0" w14:textId="77777777" w:rsidR="004E0E02" w:rsidRPr="00513F0D" w:rsidRDefault="004E0E02" w:rsidP="00D73D50">
            <w:pPr>
              <w:pStyle w:val="-3"/>
              <w:jc w:val="left"/>
              <w:rPr>
                <w:sz w:val="16"/>
                <w:szCs w:val="16"/>
                <w:rtl/>
              </w:rPr>
            </w:pPr>
            <w:r w:rsidRPr="00CF2A74">
              <w:rPr>
                <w:sz w:val="16"/>
                <w:szCs w:val="16"/>
                <w:rtl/>
              </w:rPr>
              <w:t xml:space="preserve"> 0</w:t>
            </w:r>
          </w:p>
        </w:tc>
        <w:tc>
          <w:tcPr>
            <w:tcW w:w="737" w:type="dxa"/>
            <w:vAlign w:val="bottom"/>
          </w:tcPr>
          <w:p w14:paraId="4775F484" w14:textId="77777777" w:rsidR="004E0E02" w:rsidRPr="00513F0D" w:rsidRDefault="004E0E02" w:rsidP="00D73D50">
            <w:pPr>
              <w:pStyle w:val="-3"/>
              <w:jc w:val="left"/>
              <w:rPr>
                <w:sz w:val="16"/>
                <w:szCs w:val="16"/>
                <w:rtl/>
              </w:rPr>
            </w:pPr>
            <w:r w:rsidRPr="00CF2A74">
              <w:rPr>
                <w:sz w:val="16"/>
                <w:szCs w:val="16"/>
                <w:rtl/>
              </w:rPr>
              <w:t xml:space="preserve"> 0</w:t>
            </w:r>
          </w:p>
        </w:tc>
        <w:tc>
          <w:tcPr>
            <w:tcW w:w="712" w:type="dxa"/>
            <w:vAlign w:val="bottom"/>
          </w:tcPr>
          <w:p w14:paraId="13324F50" w14:textId="77777777" w:rsidR="004E0E02" w:rsidRPr="00513F0D" w:rsidRDefault="004E0E02" w:rsidP="00D73D50">
            <w:pPr>
              <w:pStyle w:val="-3"/>
              <w:jc w:val="left"/>
              <w:rPr>
                <w:sz w:val="16"/>
                <w:szCs w:val="16"/>
                <w:rtl/>
              </w:rPr>
            </w:pPr>
            <w:r w:rsidRPr="00CF2A74">
              <w:rPr>
                <w:sz w:val="16"/>
                <w:szCs w:val="16"/>
                <w:rtl/>
              </w:rPr>
              <w:t xml:space="preserve"> 0</w:t>
            </w:r>
          </w:p>
        </w:tc>
      </w:tr>
      <w:tr w:rsidR="004E0E02" w:rsidRPr="00513F0D" w14:paraId="245A3FD7" w14:textId="77777777" w:rsidTr="004A1ADA">
        <w:tc>
          <w:tcPr>
            <w:tcW w:w="850" w:type="dxa"/>
          </w:tcPr>
          <w:p w14:paraId="4437C060" w14:textId="77777777" w:rsidR="004E0E02" w:rsidRPr="00513F0D" w:rsidRDefault="004E0E02" w:rsidP="00D73D50">
            <w:pPr>
              <w:pStyle w:val="-7"/>
              <w:bidi w:val="0"/>
              <w:ind w:right="-231"/>
              <w:jc w:val="left"/>
              <w:rPr>
                <w:spacing w:val="-6"/>
                <w:sz w:val="16"/>
                <w:szCs w:val="16"/>
                <w:rtl/>
              </w:rPr>
            </w:pPr>
          </w:p>
        </w:tc>
        <w:tc>
          <w:tcPr>
            <w:tcW w:w="1978" w:type="dxa"/>
            <w:vAlign w:val="bottom"/>
          </w:tcPr>
          <w:p w14:paraId="29DBFA51" w14:textId="77777777" w:rsidR="004E0E02" w:rsidRPr="00513F0D" w:rsidRDefault="004E0E02" w:rsidP="00D73D50">
            <w:pPr>
              <w:pStyle w:val="-0"/>
              <w:rPr>
                <w:sz w:val="16"/>
                <w:szCs w:val="16"/>
                <w:rtl/>
              </w:rPr>
            </w:pPr>
            <w:r w:rsidRPr="00CF2A74">
              <w:rPr>
                <w:rFonts w:hint="eastAsia"/>
                <w:sz w:val="16"/>
                <w:szCs w:val="16"/>
                <w:rtl/>
              </w:rPr>
              <w:t>חלוקת</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הטבה</w:t>
            </w:r>
          </w:p>
        </w:tc>
        <w:tc>
          <w:tcPr>
            <w:tcW w:w="801" w:type="dxa"/>
            <w:vAlign w:val="bottom"/>
          </w:tcPr>
          <w:p w14:paraId="771ECE4A" w14:textId="77777777" w:rsidR="004E0E02" w:rsidRPr="00513F0D" w:rsidRDefault="004E0E02" w:rsidP="00D73D50">
            <w:pPr>
              <w:pStyle w:val="-3"/>
              <w:rPr>
                <w:sz w:val="16"/>
                <w:szCs w:val="16"/>
                <w:rtl/>
              </w:rPr>
            </w:pPr>
            <w:r w:rsidRPr="00CF2A74">
              <w:rPr>
                <w:sz w:val="16"/>
                <w:szCs w:val="16"/>
                <w:rtl/>
              </w:rPr>
              <w:t>0</w:t>
            </w:r>
          </w:p>
        </w:tc>
        <w:tc>
          <w:tcPr>
            <w:tcW w:w="881" w:type="dxa"/>
            <w:vAlign w:val="bottom"/>
          </w:tcPr>
          <w:p w14:paraId="73DCD70E" w14:textId="77777777" w:rsidR="004E0E02" w:rsidRPr="00513F0D" w:rsidRDefault="004E0E02" w:rsidP="00D73D50">
            <w:pPr>
              <w:pStyle w:val="-3"/>
              <w:rPr>
                <w:sz w:val="16"/>
                <w:szCs w:val="16"/>
                <w:rtl/>
              </w:rPr>
            </w:pPr>
            <w:r w:rsidRPr="00CF2A74">
              <w:rPr>
                <w:sz w:val="16"/>
                <w:szCs w:val="16"/>
                <w:rtl/>
              </w:rPr>
              <w:t>-</w:t>
            </w:r>
          </w:p>
        </w:tc>
        <w:tc>
          <w:tcPr>
            <w:tcW w:w="941" w:type="dxa"/>
            <w:vAlign w:val="bottom"/>
          </w:tcPr>
          <w:p w14:paraId="7A331CC2" w14:textId="77777777" w:rsidR="004E0E02" w:rsidRPr="00513F0D" w:rsidRDefault="004E0E02" w:rsidP="00D73D50">
            <w:pPr>
              <w:pStyle w:val="-3"/>
              <w:rPr>
                <w:sz w:val="16"/>
                <w:szCs w:val="16"/>
                <w:rtl/>
              </w:rPr>
            </w:pPr>
            <w:r>
              <w:rPr>
                <w:rFonts w:hint="cs"/>
                <w:sz w:val="16"/>
                <w:szCs w:val="16"/>
                <w:rtl/>
              </w:rPr>
              <w:t>-</w:t>
            </w:r>
          </w:p>
        </w:tc>
        <w:tc>
          <w:tcPr>
            <w:tcW w:w="881" w:type="dxa"/>
            <w:vAlign w:val="bottom"/>
          </w:tcPr>
          <w:p w14:paraId="15E3353E" w14:textId="77777777" w:rsidR="004E0E02" w:rsidRPr="00513F0D" w:rsidRDefault="004E0E02" w:rsidP="00D73D50">
            <w:pPr>
              <w:pStyle w:val="-3"/>
              <w:rPr>
                <w:sz w:val="16"/>
                <w:szCs w:val="16"/>
                <w:rtl/>
              </w:rPr>
            </w:pPr>
            <w:r w:rsidRPr="00CF2A74">
              <w:rPr>
                <w:sz w:val="16"/>
                <w:szCs w:val="16"/>
                <w:rtl/>
              </w:rPr>
              <w:t>0</w:t>
            </w:r>
          </w:p>
        </w:tc>
        <w:tc>
          <w:tcPr>
            <w:tcW w:w="1073" w:type="dxa"/>
            <w:vAlign w:val="bottom"/>
          </w:tcPr>
          <w:p w14:paraId="487E3B41" w14:textId="77777777" w:rsidR="004E0E02" w:rsidRPr="009A7E4A" w:rsidRDefault="004E0E02" w:rsidP="00D73D50">
            <w:pPr>
              <w:pStyle w:val="-3"/>
              <w:rPr>
                <w:sz w:val="16"/>
                <w:szCs w:val="16"/>
                <w:rtl/>
              </w:rPr>
            </w:pPr>
            <w:r w:rsidRPr="009A7E4A">
              <w:rPr>
                <w:sz w:val="16"/>
                <w:szCs w:val="16"/>
                <w:rtl/>
              </w:rPr>
              <w:t>-</w:t>
            </w:r>
          </w:p>
        </w:tc>
        <w:tc>
          <w:tcPr>
            <w:tcW w:w="736" w:type="dxa"/>
            <w:vAlign w:val="bottom"/>
          </w:tcPr>
          <w:p w14:paraId="2DB3FB24" w14:textId="77777777" w:rsidR="004E0E02" w:rsidRPr="00513F0D" w:rsidRDefault="004E0E02" w:rsidP="00D73D50">
            <w:pPr>
              <w:pStyle w:val="-3"/>
              <w:jc w:val="left"/>
              <w:rPr>
                <w:sz w:val="16"/>
                <w:szCs w:val="16"/>
                <w:rtl/>
              </w:rPr>
            </w:pPr>
            <w:r w:rsidRPr="00CF2A74">
              <w:rPr>
                <w:sz w:val="16"/>
                <w:szCs w:val="16"/>
                <w:rtl/>
              </w:rPr>
              <w:t xml:space="preserve"> -</w:t>
            </w:r>
          </w:p>
        </w:tc>
        <w:tc>
          <w:tcPr>
            <w:tcW w:w="794" w:type="dxa"/>
            <w:vAlign w:val="bottom"/>
          </w:tcPr>
          <w:p w14:paraId="6CB65557" w14:textId="77777777" w:rsidR="004E0E02" w:rsidRPr="00CF2A74" w:rsidDel="00940908" w:rsidRDefault="004E0E02" w:rsidP="00D73D50">
            <w:pPr>
              <w:pStyle w:val="-3"/>
              <w:jc w:val="left"/>
              <w:rPr>
                <w:sz w:val="16"/>
                <w:szCs w:val="16"/>
                <w:rtl/>
              </w:rPr>
            </w:pPr>
            <w:r w:rsidRPr="00CF2A74">
              <w:rPr>
                <w:sz w:val="16"/>
                <w:szCs w:val="16"/>
                <w:rtl/>
              </w:rPr>
              <w:t>-</w:t>
            </w:r>
          </w:p>
        </w:tc>
        <w:tc>
          <w:tcPr>
            <w:tcW w:w="905" w:type="dxa"/>
            <w:vAlign w:val="bottom"/>
          </w:tcPr>
          <w:p w14:paraId="29F4CC77" w14:textId="77777777" w:rsidR="004E0E02" w:rsidRPr="00513F0D" w:rsidRDefault="004E0E02" w:rsidP="00D73D50">
            <w:pPr>
              <w:pStyle w:val="-3"/>
              <w:jc w:val="left"/>
              <w:rPr>
                <w:sz w:val="16"/>
                <w:szCs w:val="16"/>
                <w:rtl/>
              </w:rPr>
            </w:pPr>
            <w:r>
              <w:rPr>
                <w:rFonts w:hint="cs"/>
                <w:sz w:val="16"/>
                <w:szCs w:val="16"/>
                <w:rtl/>
              </w:rPr>
              <w:t xml:space="preserve"> 0</w:t>
            </w:r>
          </w:p>
        </w:tc>
        <w:tc>
          <w:tcPr>
            <w:tcW w:w="825" w:type="dxa"/>
            <w:vAlign w:val="bottom"/>
          </w:tcPr>
          <w:p w14:paraId="2F54AD66" w14:textId="77777777" w:rsidR="004E0E02" w:rsidRPr="00513F0D" w:rsidRDefault="004E0E02" w:rsidP="00D73D50">
            <w:pPr>
              <w:pStyle w:val="-3"/>
              <w:jc w:val="left"/>
              <w:rPr>
                <w:sz w:val="16"/>
                <w:szCs w:val="16"/>
                <w:rtl/>
              </w:rPr>
            </w:pPr>
            <w:r w:rsidRPr="00CF2A74">
              <w:rPr>
                <w:sz w:val="16"/>
                <w:szCs w:val="16"/>
                <w:rtl/>
              </w:rPr>
              <w:t xml:space="preserve"> -</w:t>
            </w:r>
          </w:p>
        </w:tc>
        <w:tc>
          <w:tcPr>
            <w:tcW w:w="941" w:type="dxa"/>
            <w:vAlign w:val="bottom"/>
          </w:tcPr>
          <w:p w14:paraId="5E8CF66C" w14:textId="77777777" w:rsidR="004E0E02" w:rsidRPr="00513F0D" w:rsidRDefault="004E0E02" w:rsidP="00D73D50">
            <w:pPr>
              <w:pStyle w:val="-3"/>
              <w:jc w:val="left"/>
              <w:rPr>
                <w:sz w:val="16"/>
                <w:szCs w:val="16"/>
                <w:rtl/>
              </w:rPr>
            </w:pPr>
            <w:r>
              <w:rPr>
                <w:rFonts w:hint="cs"/>
                <w:sz w:val="16"/>
                <w:szCs w:val="16"/>
                <w:rtl/>
              </w:rPr>
              <w:t xml:space="preserve"> 0</w:t>
            </w:r>
          </w:p>
        </w:tc>
        <w:tc>
          <w:tcPr>
            <w:tcW w:w="882" w:type="dxa"/>
            <w:vAlign w:val="bottom"/>
          </w:tcPr>
          <w:p w14:paraId="60D67B4D" w14:textId="77777777" w:rsidR="004E0E02" w:rsidRPr="00513F0D" w:rsidRDefault="004E0E02" w:rsidP="00D73D50">
            <w:pPr>
              <w:pStyle w:val="-3"/>
              <w:jc w:val="left"/>
              <w:rPr>
                <w:sz w:val="16"/>
                <w:szCs w:val="16"/>
                <w:rtl/>
              </w:rPr>
            </w:pPr>
            <w:r w:rsidRPr="00CF2A74">
              <w:rPr>
                <w:sz w:val="16"/>
                <w:szCs w:val="16"/>
                <w:rtl/>
              </w:rPr>
              <w:t xml:space="preserve"> -</w:t>
            </w:r>
          </w:p>
        </w:tc>
        <w:tc>
          <w:tcPr>
            <w:tcW w:w="1128" w:type="dxa"/>
            <w:vAlign w:val="bottom"/>
          </w:tcPr>
          <w:p w14:paraId="1F4532A9" w14:textId="77777777" w:rsidR="004E0E02" w:rsidRPr="00513F0D" w:rsidRDefault="004E0E02" w:rsidP="00141F15">
            <w:pPr>
              <w:pStyle w:val="-3"/>
              <w:jc w:val="left"/>
              <w:rPr>
                <w:sz w:val="16"/>
                <w:szCs w:val="16"/>
                <w:rtl/>
              </w:rPr>
            </w:pPr>
            <w:r w:rsidRPr="00CF2A74">
              <w:rPr>
                <w:sz w:val="16"/>
                <w:szCs w:val="16"/>
                <w:rtl/>
              </w:rPr>
              <w:t xml:space="preserve"> 0</w:t>
            </w:r>
          </w:p>
        </w:tc>
        <w:tc>
          <w:tcPr>
            <w:tcW w:w="737" w:type="dxa"/>
            <w:vAlign w:val="bottom"/>
          </w:tcPr>
          <w:p w14:paraId="3CB53045" w14:textId="77777777" w:rsidR="004E0E02" w:rsidRPr="00513F0D" w:rsidRDefault="004E0E02" w:rsidP="00141F15">
            <w:pPr>
              <w:pStyle w:val="-3"/>
              <w:jc w:val="left"/>
              <w:rPr>
                <w:sz w:val="16"/>
                <w:szCs w:val="16"/>
                <w:rtl/>
              </w:rPr>
            </w:pPr>
            <w:r w:rsidRPr="00CF2A74">
              <w:rPr>
                <w:sz w:val="16"/>
                <w:szCs w:val="16"/>
                <w:rtl/>
              </w:rPr>
              <w:t xml:space="preserve"> 0</w:t>
            </w:r>
          </w:p>
        </w:tc>
        <w:tc>
          <w:tcPr>
            <w:tcW w:w="712" w:type="dxa"/>
            <w:vAlign w:val="bottom"/>
          </w:tcPr>
          <w:p w14:paraId="0E09ADB9"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0DE7A378" w14:textId="77777777" w:rsidTr="004A1ADA">
        <w:tc>
          <w:tcPr>
            <w:tcW w:w="850" w:type="dxa"/>
          </w:tcPr>
          <w:p w14:paraId="354FE656" w14:textId="77777777" w:rsidR="004E0E02" w:rsidRPr="00513F0D" w:rsidRDefault="004E0E02" w:rsidP="00D73D50">
            <w:pPr>
              <w:pStyle w:val="-7"/>
              <w:bidi w:val="0"/>
              <w:ind w:right="-231"/>
              <w:jc w:val="left"/>
              <w:rPr>
                <w:spacing w:val="-6"/>
                <w:sz w:val="16"/>
                <w:szCs w:val="16"/>
                <w:rtl/>
              </w:rPr>
            </w:pPr>
          </w:p>
        </w:tc>
        <w:tc>
          <w:tcPr>
            <w:tcW w:w="1978" w:type="dxa"/>
            <w:vAlign w:val="bottom"/>
          </w:tcPr>
          <w:p w14:paraId="554432CE" w14:textId="77777777" w:rsidR="004E0E02" w:rsidRPr="00513F0D" w:rsidRDefault="004E0E02" w:rsidP="00D73D50">
            <w:pPr>
              <w:pStyle w:val="-0"/>
              <w:rPr>
                <w:sz w:val="16"/>
                <w:szCs w:val="16"/>
                <w:rtl/>
              </w:rPr>
            </w:pPr>
            <w:r w:rsidRPr="00CF2A74">
              <w:rPr>
                <w:rFonts w:hint="eastAsia"/>
                <w:sz w:val="16"/>
                <w:szCs w:val="16"/>
                <w:rtl/>
              </w:rPr>
              <w:t>המרה</w:t>
            </w:r>
            <w:r w:rsidRPr="00CF2A74">
              <w:rPr>
                <w:sz w:val="16"/>
                <w:szCs w:val="16"/>
                <w:rtl/>
              </w:rPr>
              <w:t xml:space="preserve"> </w:t>
            </w:r>
            <w:r w:rsidRPr="00CF2A74">
              <w:rPr>
                <w:rFonts w:hint="eastAsia"/>
                <w:sz w:val="16"/>
                <w:szCs w:val="16"/>
                <w:rtl/>
              </w:rPr>
              <w:t>למניות</w:t>
            </w:r>
            <w:r w:rsidRPr="00CF2A74">
              <w:rPr>
                <w:sz w:val="16"/>
                <w:szCs w:val="16"/>
                <w:rtl/>
              </w:rPr>
              <w:t xml:space="preserve"> </w:t>
            </w:r>
            <w:r w:rsidRPr="00CF2A74">
              <w:rPr>
                <w:rFonts w:hint="eastAsia"/>
                <w:sz w:val="16"/>
                <w:szCs w:val="16"/>
                <w:rtl/>
              </w:rPr>
              <w:t>של</w:t>
            </w:r>
            <w:r w:rsidRPr="00CF2A74">
              <w:rPr>
                <w:sz w:val="16"/>
                <w:szCs w:val="16"/>
                <w:rtl/>
              </w:rPr>
              <w:t xml:space="preserve"> </w:t>
            </w:r>
            <w:r w:rsidRPr="00CF2A74">
              <w:rPr>
                <w:rFonts w:hint="eastAsia"/>
                <w:sz w:val="16"/>
                <w:szCs w:val="16"/>
                <w:rtl/>
              </w:rPr>
              <w:t>התחייבויות</w:t>
            </w:r>
            <w:r w:rsidRPr="00CF2A74">
              <w:rPr>
                <w:sz w:val="16"/>
                <w:szCs w:val="16"/>
                <w:rtl/>
              </w:rPr>
              <w:t xml:space="preserve"> </w:t>
            </w:r>
            <w:r w:rsidRPr="00CF2A74">
              <w:rPr>
                <w:rFonts w:hint="eastAsia"/>
                <w:sz w:val="16"/>
                <w:szCs w:val="16"/>
                <w:rtl/>
              </w:rPr>
              <w:t>המירות</w:t>
            </w:r>
          </w:p>
        </w:tc>
        <w:tc>
          <w:tcPr>
            <w:tcW w:w="801" w:type="dxa"/>
            <w:vAlign w:val="bottom"/>
          </w:tcPr>
          <w:p w14:paraId="345DE034" w14:textId="77777777" w:rsidR="004E0E02" w:rsidRPr="00513F0D" w:rsidRDefault="004E0E02" w:rsidP="00D73D50">
            <w:pPr>
              <w:pStyle w:val="-3"/>
              <w:rPr>
                <w:sz w:val="16"/>
                <w:szCs w:val="16"/>
                <w:rtl/>
              </w:rPr>
            </w:pPr>
            <w:r w:rsidRPr="00CF2A74">
              <w:rPr>
                <w:sz w:val="16"/>
                <w:szCs w:val="16"/>
                <w:rtl/>
              </w:rPr>
              <w:t>0</w:t>
            </w:r>
          </w:p>
        </w:tc>
        <w:tc>
          <w:tcPr>
            <w:tcW w:w="881" w:type="dxa"/>
            <w:vAlign w:val="bottom"/>
          </w:tcPr>
          <w:p w14:paraId="106EFCCA" w14:textId="77777777" w:rsidR="004E0E02" w:rsidRPr="00513F0D" w:rsidRDefault="004E0E02" w:rsidP="00D73D50">
            <w:pPr>
              <w:pStyle w:val="-3"/>
              <w:rPr>
                <w:sz w:val="16"/>
                <w:szCs w:val="16"/>
                <w:rtl/>
              </w:rPr>
            </w:pPr>
            <w:r w:rsidRPr="00CF2A74">
              <w:rPr>
                <w:sz w:val="16"/>
                <w:szCs w:val="16"/>
                <w:rtl/>
              </w:rPr>
              <w:t>-</w:t>
            </w:r>
          </w:p>
        </w:tc>
        <w:tc>
          <w:tcPr>
            <w:tcW w:w="941" w:type="dxa"/>
            <w:vAlign w:val="bottom"/>
          </w:tcPr>
          <w:p w14:paraId="0CE49951"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38DA7A4A" w14:textId="77777777" w:rsidR="004E0E02" w:rsidRPr="00513F0D" w:rsidRDefault="004E0E02" w:rsidP="00D73D50">
            <w:pPr>
              <w:pStyle w:val="-3"/>
              <w:rPr>
                <w:sz w:val="16"/>
                <w:szCs w:val="16"/>
                <w:rtl/>
              </w:rPr>
            </w:pPr>
            <w:r w:rsidRPr="00CF2A74">
              <w:rPr>
                <w:sz w:val="16"/>
                <w:szCs w:val="16"/>
                <w:rtl/>
              </w:rPr>
              <w:t>-</w:t>
            </w:r>
          </w:p>
        </w:tc>
        <w:tc>
          <w:tcPr>
            <w:tcW w:w="1073" w:type="dxa"/>
            <w:vAlign w:val="bottom"/>
          </w:tcPr>
          <w:p w14:paraId="309235C3" w14:textId="77777777" w:rsidR="004E0E02" w:rsidRPr="009A7E4A" w:rsidRDefault="004E0E02" w:rsidP="00D73D50">
            <w:pPr>
              <w:pStyle w:val="-3"/>
              <w:rPr>
                <w:sz w:val="16"/>
                <w:szCs w:val="16"/>
                <w:rtl/>
              </w:rPr>
            </w:pPr>
            <w:r w:rsidRPr="009A7E4A">
              <w:rPr>
                <w:sz w:val="16"/>
                <w:szCs w:val="16"/>
                <w:rtl/>
              </w:rPr>
              <w:t>-</w:t>
            </w:r>
          </w:p>
        </w:tc>
        <w:tc>
          <w:tcPr>
            <w:tcW w:w="736" w:type="dxa"/>
            <w:vAlign w:val="bottom"/>
          </w:tcPr>
          <w:p w14:paraId="74253B40" w14:textId="77777777" w:rsidR="004E0E02" w:rsidRPr="00513F0D" w:rsidRDefault="004E0E02" w:rsidP="00D73D50">
            <w:pPr>
              <w:pStyle w:val="-3"/>
              <w:jc w:val="left"/>
              <w:rPr>
                <w:sz w:val="16"/>
                <w:szCs w:val="16"/>
                <w:rtl/>
              </w:rPr>
            </w:pPr>
            <w:r w:rsidRPr="00CF2A74">
              <w:rPr>
                <w:sz w:val="16"/>
                <w:szCs w:val="16"/>
                <w:rtl/>
              </w:rPr>
              <w:t xml:space="preserve"> -</w:t>
            </w:r>
          </w:p>
        </w:tc>
        <w:tc>
          <w:tcPr>
            <w:tcW w:w="794" w:type="dxa"/>
            <w:vAlign w:val="bottom"/>
          </w:tcPr>
          <w:p w14:paraId="535EF60B" w14:textId="77777777" w:rsidR="004E0E02" w:rsidRPr="00CF2A74" w:rsidRDefault="004E0E02" w:rsidP="00D73D50">
            <w:pPr>
              <w:pStyle w:val="-3"/>
              <w:jc w:val="left"/>
              <w:rPr>
                <w:sz w:val="16"/>
                <w:szCs w:val="16"/>
                <w:rtl/>
              </w:rPr>
            </w:pPr>
            <w:r w:rsidRPr="00CF2A74">
              <w:rPr>
                <w:sz w:val="16"/>
                <w:szCs w:val="16"/>
                <w:rtl/>
              </w:rPr>
              <w:t>-</w:t>
            </w:r>
          </w:p>
        </w:tc>
        <w:tc>
          <w:tcPr>
            <w:tcW w:w="905" w:type="dxa"/>
            <w:vAlign w:val="bottom"/>
          </w:tcPr>
          <w:p w14:paraId="7D11DE22" w14:textId="77777777" w:rsidR="004E0E02" w:rsidRPr="00513F0D" w:rsidRDefault="004E0E02" w:rsidP="00D73D50">
            <w:pPr>
              <w:pStyle w:val="-3"/>
              <w:jc w:val="left"/>
              <w:rPr>
                <w:sz w:val="16"/>
                <w:szCs w:val="16"/>
                <w:rtl/>
              </w:rPr>
            </w:pPr>
            <w:r w:rsidRPr="00CF2A74">
              <w:rPr>
                <w:sz w:val="16"/>
                <w:szCs w:val="16"/>
                <w:rtl/>
              </w:rPr>
              <w:t xml:space="preserve"> 0</w:t>
            </w:r>
          </w:p>
        </w:tc>
        <w:tc>
          <w:tcPr>
            <w:tcW w:w="825" w:type="dxa"/>
            <w:vAlign w:val="bottom"/>
          </w:tcPr>
          <w:p w14:paraId="3183ABE6" w14:textId="77777777" w:rsidR="004E0E02" w:rsidRPr="00513F0D" w:rsidRDefault="004E0E02" w:rsidP="00D73D50">
            <w:pPr>
              <w:pStyle w:val="-3"/>
              <w:jc w:val="left"/>
              <w:rPr>
                <w:sz w:val="16"/>
                <w:szCs w:val="16"/>
                <w:rtl/>
              </w:rPr>
            </w:pPr>
            <w:r w:rsidRPr="00CF2A74">
              <w:rPr>
                <w:sz w:val="16"/>
                <w:szCs w:val="16"/>
                <w:rtl/>
              </w:rPr>
              <w:t xml:space="preserve"> -</w:t>
            </w:r>
          </w:p>
        </w:tc>
        <w:tc>
          <w:tcPr>
            <w:tcW w:w="941" w:type="dxa"/>
            <w:vAlign w:val="bottom"/>
          </w:tcPr>
          <w:p w14:paraId="23665F9D" w14:textId="77777777" w:rsidR="004E0E02" w:rsidRPr="00513F0D" w:rsidRDefault="004E0E02" w:rsidP="00D73D50">
            <w:pPr>
              <w:pStyle w:val="-3"/>
              <w:jc w:val="left"/>
              <w:rPr>
                <w:sz w:val="16"/>
                <w:szCs w:val="16"/>
                <w:rtl/>
              </w:rPr>
            </w:pPr>
            <w:r w:rsidRPr="00CF2A74">
              <w:rPr>
                <w:sz w:val="16"/>
                <w:szCs w:val="16"/>
                <w:rtl/>
              </w:rPr>
              <w:t xml:space="preserve"> -</w:t>
            </w:r>
          </w:p>
        </w:tc>
        <w:tc>
          <w:tcPr>
            <w:tcW w:w="882" w:type="dxa"/>
            <w:vAlign w:val="bottom"/>
          </w:tcPr>
          <w:p w14:paraId="296EC155" w14:textId="77777777" w:rsidR="004E0E02" w:rsidRPr="00513F0D" w:rsidRDefault="004E0E02" w:rsidP="00D73D50">
            <w:pPr>
              <w:pStyle w:val="-3"/>
              <w:jc w:val="left"/>
              <w:rPr>
                <w:sz w:val="16"/>
                <w:szCs w:val="16"/>
                <w:rtl/>
              </w:rPr>
            </w:pPr>
            <w:r w:rsidRPr="00CF2A74">
              <w:rPr>
                <w:sz w:val="16"/>
                <w:szCs w:val="16"/>
                <w:rtl/>
              </w:rPr>
              <w:t xml:space="preserve"> 0</w:t>
            </w:r>
          </w:p>
        </w:tc>
        <w:tc>
          <w:tcPr>
            <w:tcW w:w="1128" w:type="dxa"/>
            <w:vAlign w:val="bottom"/>
          </w:tcPr>
          <w:p w14:paraId="18FBB5AB" w14:textId="77777777" w:rsidR="004E0E02" w:rsidRPr="00513F0D" w:rsidRDefault="004E0E02" w:rsidP="00D73D50">
            <w:pPr>
              <w:pStyle w:val="-3"/>
              <w:jc w:val="left"/>
              <w:rPr>
                <w:sz w:val="16"/>
                <w:szCs w:val="16"/>
                <w:rtl/>
              </w:rPr>
            </w:pPr>
            <w:r w:rsidRPr="00CF2A74">
              <w:rPr>
                <w:sz w:val="16"/>
                <w:szCs w:val="16"/>
                <w:rtl/>
              </w:rPr>
              <w:t xml:space="preserve"> 0</w:t>
            </w:r>
          </w:p>
        </w:tc>
        <w:tc>
          <w:tcPr>
            <w:tcW w:w="737" w:type="dxa"/>
            <w:vAlign w:val="bottom"/>
          </w:tcPr>
          <w:p w14:paraId="0B752828" w14:textId="77777777" w:rsidR="004E0E02" w:rsidRPr="00513F0D" w:rsidRDefault="004E0E02" w:rsidP="00D73D50">
            <w:pPr>
              <w:pStyle w:val="-3"/>
              <w:jc w:val="left"/>
              <w:rPr>
                <w:sz w:val="16"/>
                <w:szCs w:val="16"/>
                <w:rtl/>
              </w:rPr>
            </w:pPr>
            <w:r w:rsidRPr="00CF2A74">
              <w:rPr>
                <w:sz w:val="16"/>
                <w:szCs w:val="16"/>
                <w:rtl/>
              </w:rPr>
              <w:t xml:space="preserve"> 0</w:t>
            </w:r>
          </w:p>
        </w:tc>
        <w:tc>
          <w:tcPr>
            <w:tcW w:w="712" w:type="dxa"/>
            <w:vAlign w:val="bottom"/>
          </w:tcPr>
          <w:p w14:paraId="28924180" w14:textId="77777777" w:rsidR="004E0E02" w:rsidRPr="00513F0D" w:rsidRDefault="004E0E02" w:rsidP="00D73D50">
            <w:pPr>
              <w:pStyle w:val="-3"/>
              <w:jc w:val="left"/>
              <w:rPr>
                <w:sz w:val="16"/>
                <w:szCs w:val="16"/>
                <w:rtl/>
              </w:rPr>
            </w:pPr>
            <w:r w:rsidRPr="00CF2A74">
              <w:rPr>
                <w:sz w:val="16"/>
                <w:szCs w:val="16"/>
                <w:rtl/>
              </w:rPr>
              <w:t xml:space="preserve"> 0</w:t>
            </w:r>
          </w:p>
        </w:tc>
      </w:tr>
      <w:tr w:rsidR="004E0E02" w:rsidRPr="00513F0D" w14:paraId="46F4733A" w14:textId="77777777" w:rsidTr="004A1ADA">
        <w:tc>
          <w:tcPr>
            <w:tcW w:w="850" w:type="dxa"/>
          </w:tcPr>
          <w:p w14:paraId="0A76EF84" w14:textId="77777777" w:rsidR="004E0E02" w:rsidRPr="009A7E4A" w:rsidRDefault="004E0E02" w:rsidP="00D73D50">
            <w:pPr>
              <w:pStyle w:val="-7"/>
              <w:bidi w:val="0"/>
              <w:ind w:right="-231"/>
              <w:jc w:val="left"/>
              <w:rPr>
                <w:spacing w:val="-6"/>
                <w:sz w:val="16"/>
                <w:szCs w:val="16"/>
                <w:rtl/>
              </w:rPr>
            </w:pPr>
          </w:p>
        </w:tc>
        <w:tc>
          <w:tcPr>
            <w:tcW w:w="1978" w:type="dxa"/>
            <w:vAlign w:val="bottom"/>
          </w:tcPr>
          <w:p w14:paraId="0FCF41EB" w14:textId="77777777" w:rsidR="004E0E02" w:rsidRPr="009A7E4A" w:rsidRDefault="004E0E02">
            <w:pPr>
              <w:pStyle w:val="-0"/>
              <w:rPr>
                <w:sz w:val="16"/>
                <w:szCs w:val="16"/>
                <w:rtl/>
              </w:rPr>
            </w:pPr>
            <w:r w:rsidRPr="009A7E4A">
              <w:rPr>
                <w:rFonts w:hint="eastAsia"/>
                <w:sz w:val="16"/>
                <w:szCs w:val="16"/>
                <w:rtl/>
              </w:rPr>
              <w:t>הטבה</w:t>
            </w:r>
            <w:r w:rsidRPr="009A7E4A">
              <w:rPr>
                <w:sz w:val="16"/>
                <w:szCs w:val="16"/>
                <w:rtl/>
              </w:rPr>
              <w:t xml:space="preserve"> </w:t>
            </w:r>
            <w:r w:rsidRPr="009A7E4A">
              <w:rPr>
                <w:rFonts w:hint="eastAsia"/>
                <w:sz w:val="16"/>
                <w:szCs w:val="16"/>
                <w:rtl/>
              </w:rPr>
              <w:t>בשל</w:t>
            </w:r>
            <w:r w:rsidRPr="009A7E4A">
              <w:rPr>
                <w:sz w:val="16"/>
                <w:szCs w:val="16"/>
                <w:rtl/>
              </w:rPr>
              <w:t xml:space="preserve"> </w:t>
            </w:r>
            <w:r w:rsidRPr="009A7E4A">
              <w:rPr>
                <w:rFonts w:hint="eastAsia"/>
                <w:sz w:val="16"/>
                <w:szCs w:val="16"/>
                <w:rtl/>
              </w:rPr>
              <w:t>עסקאות</w:t>
            </w:r>
            <w:r w:rsidRPr="009A7E4A">
              <w:rPr>
                <w:sz w:val="16"/>
                <w:szCs w:val="16"/>
                <w:rtl/>
              </w:rPr>
              <w:t xml:space="preserve"> </w:t>
            </w:r>
            <w:r w:rsidRPr="009A7E4A">
              <w:rPr>
                <w:rFonts w:hint="eastAsia"/>
                <w:sz w:val="16"/>
                <w:szCs w:val="16"/>
                <w:rtl/>
              </w:rPr>
              <w:t>תשלום</w:t>
            </w:r>
            <w:r w:rsidRPr="009A7E4A">
              <w:rPr>
                <w:sz w:val="16"/>
                <w:szCs w:val="16"/>
                <w:rtl/>
              </w:rPr>
              <w:t xml:space="preserve"> </w:t>
            </w:r>
            <w:r w:rsidRPr="009A7E4A">
              <w:rPr>
                <w:rFonts w:hint="eastAsia"/>
                <w:sz w:val="16"/>
                <w:szCs w:val="16"/>
                <w:rtl/>
              </w:rPr>
              <w:t>מבוסס</w:t>
            </w:r>
            <w:r w:rsidRPr="009A7E4A">
              <w:rPr>
                <w:sz w:val="16"/>
                <w:szCs w:val="16"/>
                <w:rtl/>
              </w:rPr>
              <w:t xml:space="preserve"> </w:t>
            </w:r>
            <w:r w:rsidRPr="009A7E4A">
              <w:rPr>
                <w:rFonts w:hint="eastAsia"/>
                <w:sz w:val="16"/>
                <w:szCs w:val="16"/>
                <w:rtl/>
              </w:rPr>
              <w:t>מניות</w:t>
            </w:r>
          </w:p>
        </w:tc>
        <w:tc>
          <w:tcPr>
            <w:tcW w:w="801" w:type="dxa"/>
            <w:vAlign w:val="bottom"/>
          </w:tcPr>
          <w:p w14:paraId="1D20993C"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06A34381" w14:textId="77777777" w:rsidR="004E0E02" w:rsidRPr="00513F0D" w:rsidRDefault="004E0E02" w:rsidP="00D73D50">
            <w:pPr>
              <w:pStyle w:val="-3"/>
              <w:rPr>
                <w:sz w:val="16"/>
                <w:szCs w:val="16"/>
                <w:rtl/>
              </w:rPr>
            </w:pPr>
            <w:r w:rsidRPr="00CF2A74">
              <w:rPr>
                <w:sz w:val="16"/>
                <w:szCs w:val="16"/>
                <w:rtl/>
              </w:rPr>
              <w:t>-</w:t>
            </w:r>
          </w:p>
        </w:tc>
        <w:tc>
          <w:tcPr>
            <w:tcW w:w="941" w:type="dxa"/>
            <w:vAlign w:val="bottom"/>
          </w:tcPr>
          <w:p w14:paraId="406161E3"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72F519E1" w14:textId="77777777" w:rsidR="004E0E02" w:rsidRPr="00513F0D" w:rsidRDefault="004E0E02" w:rsidP="00D73D50">
            <w:pPr>
              <w:pStyle w:val="-3"/>
              <w:rPr>
                <w:sz w:val="16"/>
                <w:szCs w:val="16"/>
                <w:rtl/>
              </w:rPr>
            </w:pPr>
            <w:r w:rsidRPr="00CF2A74">
              <w:rPr>
                <w:sz w:val="16"/>
                <w:szCs w:val="16"/>
                <w:rtl/>
              </w:rPr>
              <w:t>-</w:t>
            </w:r>
          </w:p>
        </w:tc>
        <w:tc>
          <w:tcPr>
            <w:tcW w:w="1073" w:type="dxa"/>
            <w:vAlign w:val="bottom"/>
          </w:tcPr>
          <w:p w14:paraId="3FEEB377" w14:textId="77777777" w:rsidR="004E0E02" w:rsidRPr="009A7E4A" w:rsidRDefault="004E0E02" w:rsidP="00D73D50">
            <w:pPr>
              <w:pStyle w:val="-3"/>
              <w:rPr>
                <w:sz w:val="16"/>
                <w:szCs w:val="16"/>
                <w:rtl/>
              </w:rPr>
            </w:pPr>
            <w:r w:rsidRPr="009A7E4A">
              <w:rPr>
                <w:sz w:val="16"/>
                <w:szCs w:val="16"/>
                <w:rtl/>
              </w:rPr>
              <w:t>0</w:t>
            </w:r>
          </w:p>
        </w:tc>
        <w:tc>
          <w:tcPr>
            <w:tcW w:w="736" w:type="dxa"/>
            <w:vAlign w:val="bottom"/>
          </w:tcPr>
          <w:p w14:paraId="4367B745" w14:textId="77777777" w:rsidR="004E0E02" w:rsidRPr="00513F0D" w:rsidRDefault="004E0E02" w:rsidP="00D73D50">
            <w:pPr>
              <w:pStyle w:val="-3"/>
              <w:jc w:val="left"/>
              <w:rPr>
                <w:sz w:val="16"/>
                <w:szCs w:val="16"/>
              </w:rPr>
            </w:pPr>
            <w:r w:rsidRPr="00CF2A74">
              <w:rPr>
                <w:sz w:val="16"/>
                <w:szCs w:val="16"/>
                <w:rtl/>
              </w:rPr>
              <w:t xml:space="preserve"> -</w:t>
            </w:r>
          </w:p>
        </w:tc>
        <w:tc>
          <w:tcPr>
            <w:tcW w:w="794" w:type="dxa"/>
            <w:vAlign w:val="bottom"/>
          </w:tcPr>
          <w:p w14:paraId="7CEEA023" w14:textId="77777777" w:rsidR="004E0E02" w:rsidRPr="00CF2A74" w:rsidRDefault="004E0E02">
            <w:pPr>
              <w:pStyle w:val="-3"/>
              <w:jc w:val="left"/>
              <w:rPr>
                <w:sz w:val="16"/>
                <w:szCs w:val="16"/>
                <w:rtl/>
              </w:rPr>
            </w:pPr>
            <w:r w:rsidRPr="00CF2A74">
              <w:rPr>
                <w:sz w:val="16"/>
                <w:szCs w:val="16"/>
                <w:rtl/>
              </w:rPr>
              <w:t>-</w:t>
            </w:r>
          </w:p>
        </w:tc>
        <w:tc>
          <w:tcPr>
            <w:tcW w:w="905" w:type="dxa"/>
            <w:vAlign w:val="bottom"/>
          </w:tcPr>
          <w:p w14:paraId="69826941" w14:textId="77777777" w:rsidR="004E0E02" w:rsidRDefault="004E0E02">
            <w:pPr>
              <w:pStyle w:val="-3"/>
              <w:jc w:val="left"/>
              <w:rPr>
                <w:sz w:val="16"/>
                <w:szCs w:val="16"/>
                <w:rtl/>
              </w:rPr>
            </w:pPr>
            <w:r w:rsidRPr="00CF2A74">
              <w:rPr>
                <w:sz w:val="16"/>
                <w:szCs w:val="16"/>
                <w:rtl/>
              </w:rPr>
              <w:t xml:space="preserve"> </w:t>
            </w:r>
            <w:r>
              <w:rPr>
                <w:rFonts w:hint="cs"/>
                <w:sz w:val="16"/>
                <w:szCs w:val="16"/>
                <w:rtl/>
              </w:rPr>
              <w:t>0</w:t>
            </w:r>
          </w:p>
        </w:tc>
        <w:tc>
          <w:tcPr>
            <w:tcW w:w="825" w:type="dxa"/>
            <w:vAlign w:val="bottom"/>
          </w:tcPr>
          <w:p w14:paraId="4B0CDD45" w14:textId="77777777" w:rsidR="004E0E02" w:rsidRPr="00513F0D" w:rsidRDefault="004E0E02" w:rsidP="00D73D50">
            <w:pPr>
              <w:pStyle w:val="-3"/>
              <w:jc w:val="left"/>
              <w:rPr>
                <w:sz w:val="16"/>
                <w:szCs w:val="16"/>
                <w:rtl/>
              </w:rPr>
            </w:pPr>
            <w:r w:rsidRPr="00CF2A74">
              <w:rPr>
                <w:sz w:val="16"/>
                <w:szCs w:val="16"/>
                <w:rtl/>
              </w:rPr>
              <w:t xml:space="preserve"> -</w:t>
            </w:r>
          </w:p>
        </w:tc>
        <w:tc>
          <w:tcPr>
            <w:tcW w:w="941" w:type="dxa"/>
            <w:vAlign w:val="bottom"/>
          </w:tcPr>
          <w:p w14:paraId="4791872B" w14:textId="77777777" w:rsidR="004E0E02" w:rsidRPr="00513F0D" w:rsidRDefault="004E0E02" w:rsidP="00D73D50">
            <w:pPr>
              <w:pStyle w:val="-3"/>
              <w:jc w:val="left"/>
              <w:rPr>
                <w:sz w:val="16"/>
                <w:szCs w:val="16"/>
                <w:rtl/>
              </w:rPr>
            </w:pPr>
            <w:r w:rsidRPr="00CF2A74">
              <w:rPr>
                <w:sz w:val="16"/>
                <w:szCs w:val="16"/>
                <w:rtl/>
              </w:rPr>
              <w:t xml:space="preserve"> -</w:t>
            </w:r>
          </w:p>
        </w:tc>
        <w:tc>
          <w:tcPr>
            <w:tcW w:w="882" w:type="dxa"/>
            <w:vAlign w:val="bottom"/>
          </w:tcPr>
          <w:p w14:paraId="34FB5410" w14:textId="77777777" w:rsidR="004E0E02" w:rsidRPr="00513F0D" w:rsidRDefault="004E0E02" w:rsidP="00D73D50">
            <w:pPr>
              <w:pStyle w:val="-3"/>
              <w:jc w:val="left"/>
              <w:rPr>
                <w:sz w:val="16"/>
                <w:szCs w:val="16"/>
                <w:rtl/>
              </w:rPr>
            </w:pPr>
            <w:r w:rsidRPr="00CF2A74">
              <w:rPr>
                <w:sz w:val="16"/>
                <w:szCs w:val="16"/>
                <w:rtl/>
              </w:rPr>
              <w:t xml:space="preserve"> -</w:t>
            </w:r>
          </w:p>
        </w:tc>
        <w:tc>
          <w:tcPr>
            <w:tcW w:w="1128" w:type="dxa"/>
            <w:vAlign w:val="bottom"/>
          </w:tcPr>
          <w:p w14:paraId="28D4C2AE" w14:textId="77777777" w:rsidR="004E0E02" w:rsidRPr="00513F0D" w:rsidRDefault="004E0E02" w:rsidP="00141F15">
            <w:pPr>
              <w:pStyle w:val="-3"/>
              <w:jc w:val="left"/>
              <w:rPr>
                <w:sz w:val="16"/>
                <w:szCs w:val="16"/>
                <w:rtl/>
              </w:rPr>
            </w:pPr>
            <w:r w:rsidRPr="00CF2A74">
              <w:rPr>
                <w:sz w:val="16"/>
                <w:szCs w:val="16"/>
                <w:rtl/>
              </w:rPr>
              <w:t xml:space="preserve"> 0</w:t>
            </w:r>
          </w:p>
        </w:tc>
        <w:tc>
          <w:tcPr>
            <w:tcW w:w="737" w:type="dxa"/>
            <w:vAlign w:val="bottom"/>
          </w:tcPr>
          <w:p w14:paraId="053D5106" w14:textId="77777777" w:rsidR="004E0E02" w:rsidRPr="00513F0D" w:rsidRDefault="004E0E02" w:rsidP="00141F15">
            <w:pPr>
              <w:pStyle w:val="-3"/>
              <w:jc w:val="left"/>
              <w:rPr>
                <w:sz w:val="16"/>
                <w:szCs w:val="16"/>
                <w:rtl/>
              </w:rPr>
            </w:pPr>
            <w:r w:rsidRPr="00CF2A74">
              <w:rPr>
                <w:sz w:val="16"/>
                <w:szCs w:val="16"/>
                <w:rtl/>
              </w:rPr>
              <w:t xml:space="preserve"> 0</w:t>
            </w:r>
          </w:p>
        </w:tc>
        <w:tc>
          <w:tcPr>
            <w:tcW w:w="712" w:type="dxa"/>
            <w:vAlign w:val="bottom"/>
          </w:tcPr>
          <w:p w14:paraId="1C5A156B"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3A9F1465" w14:textId="77777777" w:rsidTr="004A1ADA">
        <w:tc>
          <w:tcPr>
            <w:tcW w:w="850" w:type="dxa"/>
          </w:tcPr>
          <w:p w14:paraId="2AF54B3E" w14:textId="77777777" w:rsidR="004E0E02" w:rsidRPr="00513F0D" w:rsidRDefault="004E0E02" w:rsidP="00D73D50">
            <w:pPr>
              <w:pStyle w:val="-7"/>
              <w:bidi w:val="0"/>
              <w:ind w:right="-231"/>
              <w:jc w:val="left"/>
              <w:rPr>
                <w:spacing w:val="-6"/>
                <w:sz w:val="16"/>
                <w:szCs w:val="16"/>
                <w:rtl/>
              </w:rPr>
            </w:pPr>
          </w:p>
        </w:tc>
        <w:tc>
          <w:tcPr>
            <w:tcW w:w="1978" w:type="dxa"/>
            <w:vAlign w:val="bottom"/>
          </w:tcPr>
          <w:p w14:paraId="1F5454D4" w14:textId="77777777" w:rsidR="004E0E02" w:rsidRPr="00513F0D" w:rsidRDefault="004E0E02" w:rsidP="00D73D50">
            <w:pPr>
              <w:pStyle w:val="-0"/>
              <w:rPr>
                <w:sz w:val="16"/>
                <w:szCs w:val="16"/>
                <w:rtl/>
              </w:rPr>
            </w:pPr>
            <w:r w:rsidRPr="00CF2A74">
              <w:rPr>
                <w:rFonts w:hint="eastAsia"/>
                <w:sz w:val="16"/>
                <w:szCs w:val="16"/>
                <w:rtl/>
              </w:rPr>
              <w:t>הטבות</w:t>
            </w:r>
            <w:r w:rsidRPr="00CF2A74">
              <w:rPr>
                <w:sz w:val="16"/>
                <w:szCs w:val="16"/>
                <w:rtl/>
              </w:rPr>
              <w:t xml:space="preserve"> </w:t>
            </w:r>
            <w:r w:rsidRPr="00CF2A74">
              <w:rPr>
                <w:rFonts w:hint="eastAsia"/>
                <w:sz w:val="16"/>
                <w:szCs w:val="16"/>
                <w:rtl/>
              </w:rPr>
              <w:t>שהתקבלו</w:t>
            </w:r>
            <w:r w:rsidRPr="00CF2A74">
              <w:rPr>
                <w:sz w:val="16"/>
                <w:szCs w:val="16"/>
                <w:rtl/>
              </w:rPr>
              <w:t xml:space="preserve"> </w:t>
            </w:r>
            <w:r w:rsidRPr="00CF2A74">
              <w:rPr>
                <w:rFonts w:hint="eastAsia"/>
                <w:sz w:val="16"/>
                <w:szCs w:val="16"/>
                <w:rtl/>
              </w:rPr>
              <w:t>מבעל</w:t>
            </w:r>
            <w:r w:rsidRPr="00CF2A74">
              <w:rPr>
                <w:sz w:val="16"/>
                <w:szCs w:val="16"/>
                <w:rtl/>
              </w:rPr>
              <w:t xml:space="preserve"> </w:t>
            </w:r>
            <w:r w:rsidRPr="00CF2A74">
              <w:rPr>
                <w:rFonts w:hint="eastAsia"/>
                <w:sz w:val="16"/>
                <w:szCs w:val="16"/>
                <w:rtl/>
              </w:rPr>
              <w:t>שליטה</w:t>
            </w:r>
          </w:p>
        </w:tc>
        <w:tc>
          <w:tcPr>
            <w:tcW w:w="801" w:type="dxa"/>
            <w:vAlign w:val="bottom"/>
          </w:tcPr>
          <w:p w14:paraId="0147118D"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1E78FB1B" w14:textId="77777777" w:rsidR="004E0E02" w:rsidRPr="00513F0D" w:rsidRDefault="004E0E02" w:rsidP="00D73D50">
            <w:pPr>
              <w:pStyle w:val="-3"/>
              <w:rPr>
                <w:sz w:val="16"/>
                <w:szCs w:val="16"/>
                <w:rtl/>
              </w:rPr>
            </w:pPr>
            <w:r w:rsidRPr="00CF2A74">
              <w:rPr>
                <w:sz w:val="16"/>
                <w:szCs w:val="16"/>
                <w:rtl/>
              </w:rPr>
              <w:t>-</w:t>
            </w:r>
          </w:p>
        </w:tc>
        <w:tc>
          <w:tcPr>
            <w:tcW w:w="941" w:type="dxa"/>
            <w:vAlign w:val="bottom"/>
          </w:tcPr>
          <w:p w14:paraId="22460D15"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7470AE89" w14:textId="77777777" w:rsidR="004E0E02" w:rsidRPr="00513F0D" w:rsidRDefault="004E0E02" w:rsidP="00D73D50">
            <w:pPr>
              <w:pStyle w:val="-3"/>
              <w:rPr>
                <w:sz w:val="16"/>
                <w:szCs w:val="16"/>
                <w:rtl/>
              </w:rPr>
            </w:pPr>
            <w:r w:rsidRPr="00CF2A74">
              <w:rPr>
                <w:sz w:val="16"/>
                <w:szCs w:val="16"/>
                <w:rtl/>
              </w:rPr>
              <w:t>-</w:t>
            </w:r>
          </w:p>
        </w:tc>
        <w:tc>
          <w:tcPr>
            <w:tcW w:w="1073" w:type="dxa"/>
            <w:vAlign w:val="bottom"/>
          </w:tcPr>
          <w:p w14:paraId="21E4C667" w14:textId="77777777" w:rsidR="004E0E02" w:rsidRPr="009A7E4A" w:rsidRDefault="004E0E02" w:rsidP="00D73D50">
            <w:pPr>
              <w:pStyle w:val="-3"/>
              <w:rPr>
                <w:sz w:val="16"/>
                <w:szCs w:val="16"/>
                <w:rtl/>
              </w:rPr>
            </w:pPr>
            <w:r w:rsidRPr="009A7E4A">
              <w:rPr>
                <w:sz w:val="16"/>
                <w:szCs w:val="16"/>
                <w:rtl/>
              </w:rPr>
              <w:t>-</w:t>
            </w:r>
          </w:p>
        </w:tc>
        <w:tc>
          <w:tcPr>
            <w:tcW w:w="736" w:type="dxa"/>
            <w:vAlign w:val="bottom"/>
          </w:tcPr>
          <w:p w14:paraId="609C2C9E" w14:textId="77777777" w:rsidR="004E0E02" w:rsidRPr="00513F0D" w:rsidRDefault="004E0E02" w:rsidP="00D73D50">
            <w:pPr>
              <w:pStyle w:val="-3"/>
              <w:jc w:val="left"/>
              <w:rPr>
                <w:sz w:val="16"/>
                <w:szCs w:val="16"/>
                <w:rtl/>
              </w:rPr>
            </w:pPr>
            <w:r w:rsidRPr="00CF2A74">
              <w:rPr>
                <w:sz w:val="16"/>
                <w:szCs w:val="16"/>
                <w:rtl/>
              </w:rPr>
              <w:t xml:space="preserve"> 0</w:t>
            </w:r>
          </w:p>
        </w:tc>
        <w:tc>
          <w:tcPr>
            <w:tcW w:w="794" w:type="dxa"/>
            <w:vAlign w:val="bottom"/>
          </w:tcPr>
          <w:p w14:paraId="62688303" w14:textId="77777777" w:rsidR="004E0E02" w:rsidRPr="00CF2A74" w:rsidRDefault="004E0E02" w:rsidP="00D73D50">
            <w:pPr>
              <w:pStyle w:val="-3"/>
              <w:jc w:val="left"/>
              <w:rPr>
                <w:sz w:val="16"/>
                <w:szCs w:val="16"/>
                <w:rtl/>
              </w:rPr>
            </w:pPr>
            <w:r w:rsidRPr="00CF2A74">
              <w:rPr>
                <w:sz w:val="16"/>
                <w:szCs w:val="16"/>
                <w:rtl/>
              </w:rPr>
              <w:t>-</w:t>
            </w:r>
          </w:p>
        </w:tc>
        <w:tc>
          <w:tcPr>
            <w:tcW w:w="905" w:type="dxa"/>
            <w:vAlign w:val="bottom"/>
          </w:tcPr>
          <w:p w14:paraId="5E76ED38" w14:textId="77777777" w:rsidR="004E0E02" w:rsidRPr="00513F0D" w:rsidRDefault="004E0E02" w:rsidP="00D73D50">
            <w:pPr>
              <w:pStyle w:val="-3"/>
              <w:jc w:val="left"/>
              <w:rPr>
                <w:sz w:val="16"/>
                <w:szCs w:val="16"/>
                <w:rtl/>
              </w:rPr>
            </w:pPr>
            <w:r w:rsidRPr="00CF2A74">
              <w:rPr>
                <w:sz w:val="16"/>
                <w:szCs w:val="16"/>
                <w:rtl/>
              </w:rPr>
              <w:t xml:space="preserve"> 0</w:t>
            </w:r>
          </w:p>
        </w:tc>
        <w:tc>
          <w:tcPr>
            <w:tcW w:w="825" w:type="dxa"/>
            <w:vAlign w:val="bottom"/>
          </w:tcPr>
          <w:p w14:paraId="13776319" w14:textId="77777777" w:rsidR="004E0E02" w:rsidRPr="00513F0D" w:rsidRDefault="004E0E02" w:rsidP="00D73D50">
            <w:pPr>
              <w:pStyle w:val="-3"/>
              <w:jc w:val="left"/>
              <w:rPr>
                <w:sz w:val="16"/>
                <w:szCs w:val="16"/>
                <w:rtl/>
              </w:rPr>
            </w:pPr>
            <w:r w:rsidRPr="00CF2A74">
              <w:rPr>
                <w:sz w:val="16"/>
                <w:szCs w:val="16"/>
                <w:rtl/>
              </w:rPr>
              <w:t xml:space="preserve"> -</w:t>
            </w:r>
          </w:p>
        </w:tc>
        <w:tc>
          <w:tcPr>
            <w:tcW w:w="941" w:type="dxa"/>
            <w:vAlign w:val="bottom"/>
          </w:tcPr>
          <w:p w14:paraId="6621832E" w14:textId="77777777" w:rsidR="004E0E02" w:rsidRPr="00513F0D" w:rsidRDefault="004E0E02" w:rsidP="00D73D50">
            <w:pPr>
              <w:pStyle w:val="-3"/>
              <w:jc w:val="left"/>
              <w:rPr>
                <w:sz w:val="16"/>
                <w:szCs w:val="16"/>
                <w:rtl/>
              </w:rPr>
            </w:pPr>
            <w:r w:rsidRPr="00CF2A74">
              <w:rPr>
                <w:sz w:val="16"/>
                <w:szCs w:val="16"/>
                <w:rtl/>
              </w:rPr>
              <w:t xml:space="preserve"> -</w:t>
            </w:r>
          </w:p>
        </w:tc>
        <w:tc>
          <w:tcPr>
            <w:tcW w:w="882" w:type="dxa"/>
            <w:vAlign w:val="bottom"/>
          </w:tcPr>
          <w:p w14:paraId="2EB27865" w14:textId="77777777" w:rsidR="004E0E02" w:rsidRPr="00513F0D" w:rsidRDefault="004E0E02" w:rsidP="00D73D50">
            <w:pPr>
              <w:pStyle w:val="-3"/>
              <w:jc w:val="left"/>
              <w:rPr>
                <w:sz w:val="16"/>
                <w:szCs w:val="16"/>
                <w:rtl/>
              </w:rPr>
            </w:pPr>
            <w:r w:rsidRPr="00CF2A74">
              <w:rPr>
                <w:sz w:val="16"/>
                <w:szCs w:val="16"/>
                <w:rtl/>
              </w:rPr>
              <w:t xml:space="preserve"> -</w:t>
            </w:r>
          </w:p>
        </w:tc>
        <w:tc>
          <w:tcPr>
            <w:tcW w:w="1128" w:type="dxa"/>
            <w:vAlign w:val="bottom"/>
          </w:tcPr>
          <w:p w14:paraId="0FC177C3" w14:textId="77777777" w:rsidR="004E0E02" w:rsidRPr="00513F0D" w:rsidRDefault="004E0E02" w:rsidP="00D73D50">
            <w:pPr>
              <w:pStyle w:val="-3"/>
              <w:jc w:val="left"/>
              <w:rPr>
                <w:sz w:val="16"/>
                <w:szCs w:val="16"/>
                <w:rtl/>
              </w:rPr>
            </w:pPr>
            <w:r w:rsidRPr="00CF2A74">
              <w:rPr>
                <w:sz w:val="16"/>
                <w:szCs w:val="16"/>
                <w:rtl/>
              </w:rPr>
              <w:t xml:space="preserve"> 0</w:t>
            </w:r>
          </w:p>
        </w:tc>
        <w:tc>
          <w:tcPr>
            <w:tcW w:w="737" w:type="dxa"/>
            <w:vAlign w:val="bottom"/>
          </w:tcPr>
          <w:p w14:paraId="0C1C28BE" w14:textId="77777777" w:rsidR="004E0E02" w:rsidRPr="00513F0D" w:rsidRDefault="004E0E02" w:rsidP="00D73D50">
            <w:pPr>
              <w:pStyle w:val="-3"/>
              <w:jc w:val="left"/>
              <w:rPr>
                <w:sz w:val="16"/>
                <w:szCs w:val="16"/>
                <w:rtl/>
              </w:rPr>
            </w:pPr>
            <w:r w:rsidRPr="00CF2A74">
              <w:rPr>
                <w:sz w:val="16"/>
                <w:szCs w:val="16"/>
                <w:rtl/>
              </w:rPr>
              <w:t xml:space="preserve"> 0</w:t>
            </w:r>
          </w:p>
        </w:tc>
        <w:tc>
          <w:tcPr>
            <w:tcW w:w="712" w:type="dxa"/>
            <w:vAlign w:val="bottom"/>
          </w:tcPr>
          <w:p w14:paraId="2F53BDA4" w14:textId="77777777" w:rsidR="004E0E02" w:rsidRPr="00513F0D" w:rsidRDefault="004E0E02" w:rsidP="00D73D50">
            <w:pPr>
              <w:pStyle w:val="-3"/>
              <w:jc w:val="left"/>
              <w:rPr>
                <w:sz w:val="16"/>
                <w:szCs w:val="16"/>
                <w:rtl/>
              </w:rPr>
            </w:pPr>
            <w:r w:rsidRPr="00CF2A74">
              <w:rPr>
                <w:sz w:val="16"/>
                <w:szCs w:val="16"/>
                <w:rtl/>
              </w:rPr>
              <w:t xml:space="preserve"> 0</w:t>
            </w:r>
          </w:p>
        </w:tc>
      </w:tr>
      <w:tr w:rsidR="004E0E02" w:rsidRPr="00513F0D" w14:paraId="7C5647C8" w14:textId="77777777" w:rsidTr="004A1ADA">
        <w:tc>
          <w:tcPr>
            <w:tcW w:w="850" w:type="dxa"/>
          </w:tcPr>
          <w:p w14:paraId="03DE3C0A" w14:textId="77777777" w:rsidR="004E0E02" w:rsidRPr="00513F0D" w:rsidRDefault="004E0E02" w:rsidP="00D73D50">
            <w:pPr>
              <w:pStyle w:val="-7"/>
              <w:bidi w:val="0"/>
              <w:ind w:right="-231"/>
              <w:jc w:val="left"/>
              <w:rPr>
                <w:spacing w:val="-6"/>
                <w:sz w:val="16"/>
                <w:szCs w:val="16"/>
                <w:rtl/>
              </w:rPr>
            </w:pPr>
          </w:p>
        </w:tc>
        <w:tc>
          <w:tcPr>
            <w:tcW w:w="1978" w:type="dxa"/>
            <w:vAlign w:val="bottom"/>
          </w:tcPr>
          <w:p w14:paraId="7FB1FAD6" w14:textId="77777777" w:rsidR="004E0E02" w:rsidRPr="00513F0D" w:rsidRDefault="004E0E02" w:rsidP="00D73D50">
            <w:pPr>
              <w:pStyle w:val="-21"/>
              <w:spacing w:before="0"/>
              <w:rPr>
                <w:sz w:val="16"/>
                <w:szCs w:val="16"/>
                <w:rtl/>
              </w:rPr>
            </w:pPr>
            <w:r w:rsidRPr="00CF2A74">
              <w:rPr>
                <w:rFonts w:hint="eastAsia"/>
                <w:sz w:val="16"/>
                <w:szCs w:val="16"/>
                <w:rtl/>
              </w:rPr>
              <w:t>זכויות</w:t>
            </w:r>
            <w:r w:rsidRPr="00CF2A74">
              <w:rPr>
                <w:sz w:val="16"/>
                <w:szCs w:val="16"/>
                <w:rtl/>
              </w:rPr>
              <w:t xml:space="preserve"> </w:t>
            </w:r>
            <w:r w:rsidRPr="00CF2A74">
              <w:rPr>
                <w:rFonts w:hint="eastAsia"/>
                <w:sz w:val="16"/>
                <w:szCs w:val="16"/>
                <w:rtl/>
              </w:rPr>
              <w:t>שאינן</w:t>
            </w:r>
            <w:r w:rsidRPr="00CF2A74">
              <w:rPr>
                <w:sz w:val="16"/>
                <w:szCs w:val="16"/>
                <w:rtl/>
              </w:rPr>
              <w:t xml:space="preserve"> </w:t>
            </w:r>
            <w:r w:rsidRPr="00CF2A74">
              <w:rPr>
                <w:rFonts w:hint="eastAsia"/>
                <w:sz w:val="16"/>
                <w:szCs w:val="16"/>
                <w:rtl/>
              </w:rPr>
              <w:t>מקנות</w:t>
            </w:r>
            <w:r w:rsidRPr="00CF2A74">
              <w:rPr>
                <w:sz w:val="16"/>
                <w:szCs w:val="16"/>
                <w:rtl/>
              </w:rPr>
              <w:t xml:space="preserve"> </w:t>
            </w:r>
            <w:r w:rsidRPr="00CF2A74">
              <w:rPr>
                <w:rFonts w:hint="eastAsia"/>
                <w:sz w:val="16"/>
                <w:szCs w:val="16"/>
                <w:rtl/>
              </w:rPr>
              <w:t>שליטה</w:t>
            </w:r>
            <w:r w:rsidRPr="00CF2A74">
              <w:rPr>
                <w:sz w:val="16"/>
                <w:szCs w:val="16"/>
                <w:rtl/>
              </w:rPr>
              <w:t xml:space="preserve"> </w:t>
            </w:r>
            <w:r w:rsidRPr="00CF2A74">
              <w:rPr>
                <w:rFonts w:hint="eastAsia"/>
                <w:sz w:val="16"/>
                <w:szCs w:val="16"/>
                <w:rtl/>
              </w:rPr>
              <w:t>שנוצרו</w:t>
            </w:r>
            <w:r w:rsidRPr="00CF2A74">
              <w:rPr>
                <w:sz w:val="16"/>
                <w:szCs w:val="16"/>
                <w:rtl/>
              </w:rPr>
              <w:t xml:space="preserve"> </w:t>
            </w:r>
            <w:r w:rsidRPr="00CF2A74">
              <w:rPr>
                <w:rFonts w:hint="eastAsia"/>
                <w:sz w:val="16"/>
                <w:szCs w:val="16"/>
                <w:rtl/>
              </w:rPr>
              <w:t>בצירוף</w:t>
            </w:r>
            <w:r w:rsidRPr="00CF2A74">
              <w:rPr>
                <w:sz w:val="16"/>
                <w:szCs w:val="16"/>
                <w:rtl/>
              </w:rPr>
              <w:t xml:space="preserve"> </w:t>
            </w:r>
            <w:r w:rsidRPr="00CF2A74">
              <w:rPr>
                <w:rFonts w:hint="eastAsia"/>
                <w:sz w:val="16"/>
                <w:szCs w:val="16"/>
                <w:rtl/>
              </w:rPr>
              <w:t>עסקים</w:t>
            </w:r>
          </w:p>
        </w:tc>
        <w:tc>
          <w:tcPr>
            <w:tcW w:w="801" w:type="dxa"/>
            <w:vAlign w:val="bottom"/>
          </w:tcPr>
          <w:p w14:paraId="69F0CE37"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5623F22A" w14:textId="77777777" w:rsidR="004E0E02" w:rsidRPr="00513F0D" w:rsidRDefault="004E0E02" w:rsidP="00D73D50">
            <w:pPr>
              <w:pStyle w:val="-3"/>
              <w:rPr>
                <w:sz w:val="16"/>
                <w:szCs w:val="16"/>
                <w:rtl/>
              </w:rPr>
            </w:pPr>
            <w:r w:rsidRPr="00CF2A74">
              <w:rPr>
                <w:sz w:val="16"/>
                <w:szCs w:val="16"/>
                <w:rtl/>
              </w:rPr>
              <w:t>-</w:t>
            </w:r>
          </w:p>
        </w:tc>
        <w:tc>
          <w:tcPr>
            <w:tcW w:w="941" w:type="dxa"/>
            <w:vAlign w:val="bottom"/>
          </w:tcPr>
          <w:p w14:paraId="3C0E1B76"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04404E6B" w14:textId="77777777" w:rsidR="004E0E02" w:rsidRPr="00513F0D" w:rsidRDefault="004E0E02" w:rsidP="00D73D50">
            <w:pPr>
              <w:pStyle w:val="-3"/>
              <w:rPr>
                <w:sz w:val="16"/>
                <w:szCs w:val="16"/>
                <w:rtl/>
              </w:rPr>
            </w:pPr>
            <w:r w:rsidRPr="00CF2A74">
              <w:rPr>
                <w:sz w:val="16"/>
                <w:szCs w:val="16"/>
                <w:rtl/>
              </w:rPr>
              <w:t>-</w:t>
            </w:r>
          </w:p>
        </w:tc>
        <w:tc>
          <w:tcPr>
            <w:tcW w:w="1073" w:type="dxa"/>
            <w:vAlign w:val="bottom"/>
          </w:tcPr>
          <w:p w14:paraId="320D1C77" w14:textId="77777777" w:rsidR="004E0E02" w:rsidRPr="009A7E4A" w:rsidRDefault="004E0E02" w:rsidP="00D73D50">
            <w:pPr>
              <w:pStyle w:val="-3"/>
              <w:rPr>
                <w:sz w:val="16"/>
                <w:szCs w:val="16"/>
                <w:rtl/>
              </w:rPr>
            </w:pPr>
            <w:r w:rsidRPr="009A7E4A">
              <w:rPr>
                <w:sz w:val="16"/>
                <w:szCs w:val="16"/>
                <w:rtl/>
              </w:rPr>
              <w:t>-</w:t>
            </w:r>
          </w:p>
        </w:tc>
        <w:tc>
          <w:tcPr>
            <w:tcW w:w="736" w:type="dxa"/>
            <w:vAlign w:val="bottom"/>
          </w:tcPr>
          <w:p w14:paraId="3C09C08C" w14:textId="77777777" w:rsidR="004E0E02" w:rsidRPr="00513F0D" w:rsidRDefault="004E0E02" w:rsidP="00D73D50">
            <w:pPr>
              <w:pStyle w:val="-3"/>
              <w:jc w:val="left"/>
              <w:rPr>
                <w:sz w:val="16"/>
                <w:szCs w:val="16"/>
                <w:rtl/>
              </w:rPr>
            </w:pPr>
            <w:r w:rsidRPr="00CF2A74">
              <w:rPr>
                <w:sz w:val="16"/>
                <w:szCs w:val="16"/>
                <w:rtl/>
              </w:rPr>
              <w:t xml:space="preserve"> -</w:t>
            </w:r>
          </w:p>
        </w:tc>
        <w:tc>
          <w:tcPr>
            <w:tcW w:w="794" w:type="dxa"/>
            <w:vAlign w:val="bottom"/>
          </w:tcPr>
          <w:p w14:paraId="5D2C80FE" w14:textId="77777777" w:rsidR="004E0E02" w:rsidRPr="00CF2A74" w:rsidRDefault="004E0E02" w:rsidP="00D73D50">
            <w:pPr>
              <w:pStyle w:val="-3"/>
              <w:jc w:val="left"/>
              <w:rPr>
                <w:sz w:val="16"/>
                <w:szCs w:val="16"/>
                <w:rtl/>
              </w:rPr>
            </w:pPr>
            <w:r w:rsidRPr="00CF2A74">
              <w:rPr>
                <w:sz w:val="16"/>
                <w:szCs w:val="16"/>
                <w:rtl/>
              </w:rPr>
              <w:t>-</w:t>
            </w:r>
          </w:p>
        </w:tc>
        <w:tc>
          <w:tcPr>
            <w:tcW w:w="905" w:type="dxa"/>
            <w:vAlign w:val="bottom"/>
          </w:tcPr>
          <w:p w14:paraId="0F5D6AB7" w14:textId="77777777" w:rsidR="004E0E02" w:rsidRPr="00513F0D" w:rsidRDefault="004E0E02" w:rsidP="00D73D50">
            <w:pPr>
              <w:pStyle w:val="-3"/>
              <w:jc w:val="left"/>
              <w:rPr>
                <w:sz w:val="16"/>
                <w:szCs w:val="16"/>
                <w:rtl/>
              </w:rPr>
            </w:pPr>
            <w:r w:rsidRPr="00CF2A74">
              <w:rPr>
                <w:sz w:val="16"/>
                <w:szCs w:val="16"/>
                <w:rtl/>
              </w:rPr>
              <w:t xml:space="preserve"> -</w:t>
            </w:r>
          </w:p>
        </w:tc>
        <w:tc>
          <w:tcPr>
            <w:tcW w:w="825" w:type="dxa"/>
            <w:vAlign w:val="bottom"/>
          </w:tcPr>
          <w:p w14:paraId="0DD3AB2D" w14:textId="77777777" w:rsidR="004E0E02" w:rsidRPr="00513F0D" w:rsidRDefault="004E0E02" w:rsidP="00D73D50">
            <w:pPr>
              <w:pStyle w:val="-3"/>
              <w:jc w:val="left"/>
              <w:rPr>
                <w:sz w:val="16"/>
                <w:szCs w:val="16"/>
                <w:rtl/>
              </w:rPr>
            </w:pPr>
            <w:r w:rsidRPr="00CF2A74">
              <w:rPr>
                <w:sz w:val="16"/>
                <w:szCs w:val="16"/>
                <w:rtl/>
              </w:rPr>
              <w:t xml:space="preserve"> -</w:t>
            </w:r>
          </w:p>
        </w:tc>
        <w:tc>
          <w:tcPr>
            <w:tcW w:w="941" w:type="dxa"/>
            <w:vAlign w:val="bottom"/>
          </w:tcPr>
          <w:p w14:paraId="0C5A95C6" w14:textId="77777777" w:rsidR="004E0E02" w:rsidRPr="00513F0D" w:rsidRDefault="004E0E02" w:rsidP="00D73D50">
            <w:pPr>
              <w:pStyle w:val="-3"/>
              <w:jc w:val="left"/>
              <w:rPr>
                <w:sz w:val="16"/>
                <w:szCs w:val="16"/>
                <w:rtl/>
              </w:rPr>
            </w:pPr>
            <w:r w:rsidRPr="00CF2A74">
              <w:rPr>
                <w:sz w:val="16"/>
                <w:szCs w:val="16"/>
                <w:rtl/>
              </w:rPr>
              <w:t xml:space="preserve"> -</w:t>
            </w:r>
          </w:p>
        </w:tc>
        <w:tc>
          <w:tcPr>
            <w:tcW w:w="882" w:type="dxa"/>
            <w:vAlign w:val="bottom"/>
          </w:tcPr>
          <w:p w14:paraId="0A3077CB" w14:textId="77777777" w:rsidR="004E0E02" w:rsidRPr="00513F0D" w:rsidRDefault="004E0E02" w:rsidP="00D73D50">
            <w:pPr>
              <w:pStyle w:val="-3"/>
              <w:jc w:val="left"/>
              <w:rPr>
                <w:sz w:val="16"/>
                <w:szCs w:val="16"/>
                <w:rtl/>
              </w:rPr>
            </w:pPr>
            <w:r w:rsidRPr="00CF2A74">
              <w:rPr>
                <w:sz w:val="16"/>
                <w:szCs w:val="16"/>
                <w:rtl/>
              </w:rPr>
              <w:t xml:space="preserve"> -</w:t>
            </w:r>
          </w:p>
        </w:tc>
        <w:tc>
          <w:tcPr>
            <w:tcW w:w="1128" w:type="dxa"/>
            <w:vAlign w:val="bottom"/>
          </w:tcPr>
          <w:p w14:paraId="00705654" w14:textId="77777777" w:rsidR="004E0E02" w:rsidRPr="00513F0D" w:rsidRDefault="004E0E02" w:rsidP="00141F15">
            <w:pPr>
              <w:pStyle w:val="-3"/>
              <w:jc w:val="left"/>
              <w:rPr>
                <w:sz w:val="16"/>
                <w:szCs w:val="16"/>
                <w:rtl/>
              </w:rPr>
            </w:pPr>
            <w:r>
              <w:rPr>
                <w:rFonts w:hint="cs"/>
                <w:sz w:val="16"/>
                <w:szCs w:val="16"/>
                <w:rtl/>
              </w:rPr>
              <w:t xml:space="preserve"> -</w:t>
            </w:r>
          </w:p>
        </w:tc>
        <w:tc>
          <w:tcPr>
            <w:tcW w:w="737" w:type="dxa"/>
            <w:vAlign w:val="bottom"/>
          </w:tcPr>
          <w:p w14:paraId="70AC951A" w14:textId="77777777" w:rsidR="004E0E02" w:rsidRPr="00513F0D" w:rsidRDefault="004E0E02" w:rsidP="00141F15">
            <w:pPr>
              <w:pStyle w:val="-3"/>
              <w:jc w:val="left"/>
              <w:rPr>
                <w:sz w:val="16"/>
                <w:szCs w:val="16"/>
                <w:rtl/>
              </w:rPr>
            </w:pPr>
            <w:r w:rsidRPr="00CF2A74">
              <w:rPr>
                <w:sz w:val="16"/>
                <w:szCs w:val="16"/>
                <w:rtl/>
              </w:rPr>
              <w:t xml:space="preserve"> 0</w:t>
            </w:r>
          </w:p>
        </w:tc>
        <w:tc>
          <w:tcPr>
            <w:tcW w:w="712" w:type="dxa"/>
            <w:vAlign w:val="bottom"/>
          </w:tcPr>
          <w:p w14:paraId="27E0F651"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0B56204E" w14:textId="77777777" w:rsidTr="004A1ADA">
        <w:tc>
          <w:tcPr>
            <w:tcW w:w="850" w:type="dxa"/>
          </w:tcPr>
          <w:p w14:paraId="150CB301" w14:textId="77777777" w:rsidR="004E0E02" w:rsidRPr="00513F0D" w:rsidRDefault="004E0E02" w:rsidP="00D73D50">
            <w:pPr>
              <w:pStyle w:val="-7"/>
              <w:bidi w:val="0"/>
              <w:ind w:right="-231"/>
              <w:jc w:val="left"/>
              <w:rPr>
                <w:spacing w:val="-6"/>
                <w:sz w:val="16"/>
                <w:szCs w:val="16"/>
                <w:rtl/>
              </w:rPr>
            </w:pPr>
          </w:p>
        </w:tc>
        <w:tc>
          <w:tcPr>
            <w:tcW w:w="1978" w:type="dxa"/>
            <w:vAlign w:val="bottom"/>
          </w:tcPr>
          <w:p w14:paraId="233BDDD8" w14:textId="77777777" w:rsidR="004E0E02" w:rsidRDefault="004E0E02">
            <w:pPr>
              <w:pStyle w:val="-21"/>
              <w:spacing w:before="0"/>
              <w:rPr>
                <w:sz w:val="16"/>
                <w:szCs w:val="16"/>
                <w:rtl/>
              </w:rPr>
            </w:pPr>
            <w:r w:rsidRPr="00CF2A74">
              <w:rPr>
                <w:rFonts w:hint="eastAsia"/>
                <w:sz w:val="16"/>
                <w:szCs w:val="16"/>
                <w:rtl/>
              </w:rPr>
              <w:t>רכישת</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באוצר</w:t>
            </w:r>
            <w:r w:rsidRPr="00CF2A74">
              <w:rPr>
                <w:sz w:val="16"/>
                <w:szCs w:val="16"/>
                <w:rtl/>
              </w:rPr>
              <w:t xml:space="preserve"> </w:t>
            </w:r>
            <w:r w:rsidRPr="00CF2A74">
              <w:rPr>
                <w:rFonts w:hint="eastAsia"/>
                <w:sz w:val="16"/>
                <w:szCs w:val="16"/>
                <w:rtl/>
              </w:rPr>
              <w:t>על</w:t>
            </w:r>
            <w:r w:rsidRPr="00CF2A74">
              <w:rPr>
                <w:sz w:val="16"/>
                <w:szCs w:val="16"/>
                <w:rtl/>
              </w:rPr>
              <w:t xml:space="preserve"> </w:t>
            </w:r>
            <w:r w:rsidRPr="00CF2A74">
              <w:rPr>
                <w:rFonts w:hint="eastAsia"/>
                <w:sz w:val="16"/>
                <w:szCs w:val="16"/>
                <w:rtl/>
              </w:rPr>
              <w:t>ידי</w:t>
            </w:r>
            <w:r w:rsidRPr="00CF2A74">
              <w:rPr>
                <w:sz w:val="16"/>
                <w:szCs w:val="16"/>
                <w:rtl/>
              </w:rPr>
              <w:t xml:space="preserve"> </w:t>
            </w:r>
            <w:r w:rsidRPr="00CF2A74">
              <w:rPr>
                <w:rFonts w:hint="eastAsia"/>
                <w:sz w:val="16"/>
                <w:szCs w:val="16"/>
                <w:rtl/>
              </w:rPr>
              <w:t>התאגיד</w:t>
            </w:r>
            <w:r w:rsidRPr="00CF2A74">
              <w:rPr>
                <w:sz w:val="16"/>
                <w:szCs w:val="16"/>
                <w:rtl/>
              </w:rPr>
              <w:t xml:space="preserve"> </w:t>
            </w:r>
            <w:r w:rsidRPr="00CF2A74">
              <w:rPr>
                <w:rFonts w:hint="eastAsia"/>
                <w:sz w:val="16"/>
                <w:szCs w:val="16"/>
                <w:rtl/>
              </w:rPr>
              <w:t>הבנקאי</w:t>
            </w:r>
            <w:r w:rsidRPr="00CF2A74">
              <w:rPr>
                <w:sz w:val="16"/>
                <w:szCs w:val="16"/>
                <w:rtl/>
              </w:rPr>
              <w:t>/</w:t>
            </w:r>
            <w:r w:rsidRPr="00CF2A74">
              <w:rPr>
                <w:rFonts w:hint="eastAsia"/>
                <w:sz w:val="16"/>
                <w:szCs w:val="16"/>
                <w:rtl/>
              </w:rPr>
              <w:t>חברה</w:t>
            </w:r>
            <w:r w:rsidRPr="00CF2A74">
              <w:rPr>
                <w:sz w:val="16"/>
                <w:szCs w:val="16"/>
                <w:rtl/>
              </w:rPr>
              <w:t xml:space="preserve"> </w:t>
            </w:r>
            <w:r w:rsidRPr="00CF2A74">
              <w:rPr>
                <w:rFonts w:hint="eastAsia"/>
                <w:sz w:val="16"/>
                <w:szCs w:val="16"/>
                <w:rtl/>
              </w:rPr>
              <w:t>בת</w:t>
            </w:r>
          </w:p>
        </w:tc>
        <w:tc>
          <w:tcPr>
            <w:tcW w:w="801" w:type="dxa"/>
            <w:vAlign w:val="bottom"/>
          </w:tcPr>
          <w:p w14:paraId="4ABA6EF3"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6D3F450E" w14:textId="77777777" w:rsidR="004E0E02" w:rsidRPr="00513F0D" w:rsidRDefault="004E0E02" w:rsidP="00D73D50">
            <w:pPr>
              <w:pStyle w:val="-3"/>
              <w:rPr>
                <w:sz w:val="16"/>
                <w:szCs w:val="16"/>
                <w:rtl/>
              </w:rPr>
            </w:pPr>
            <w:r w:rsidRPr="00CF2A74">
              <w:rPr>
                <w:sz w:val="16"/>
                <w:szCs w:val="16"/>
                <w:rtl/>
              </w:rPr>
              <w:t>-</w:t>
            </w:r>
          </w:p>
        </w:tc>
        <w:tc>
          <w:tcPr>
            <w:tcW w:w="941" w:type="dxa"/>
            <w:vAlign w:val="bottom"/>
          </w:tcPr>
          <w:p w14:paraId="2F490FB1"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20EBB878" w14:textId="77777777" w:rsidR="004E0E02" w:rsidRPr="00513F0D" w:rsidRDefault="004E0E02" w:rsidP="00D73D50">
            <w:pPr>
              <w:pStyle w:val="-3"/>
              <w:rPr>
                <w:sz w:val="16"/>
                <w:szCs w:val="16"/>
                <w:rtl/>
              </w:rPr>
            </w:pPr>
            <w:r w:rsidRPr="00CF2A74">
              <w:rPr>
                <w:sz w:val="16"/>
                <w:szCs w:val="16"/>
                <w:rtl/>
              </w:rPr>
              <w:t>-</w:t>
            </w:r>
          </w:p>
        </w:tc>
        <w:tc>
          <w:tcPr>
            <w:tcW w:w="1073" w:type="dxa"/>
            <w:vAlign w:val="bottom"/>
          </w:tcPr>
          <w:p w14:paraId="0E108BCB" w14:textId="77777777" w:rsidR="004E0E02" w:rsidRPr="009A7E4A" w:rsidRDefault="004E0E02" w:rsidP="00D73D50">
            <w:pPr>
              <w:pStyle w:val="-3"/>
              <w:rPr>
                <w:sz w:val="16"/>
                <w:szCs w:val="16"/>
                <w:rtl/>
              </w:rPr>
            </w:pPr>
            <w:r w:rsidRPr="009A7E4A">
              <w:rPr>
                <w:sz w:val="16"/>
                <w:szCs w:val="16"/>
                <w:rtl/>
              </w:rPr>
              <w:t>-</w:t>
            </w:r>
          </w:p>
        </w:tc>
        <w:tc>
          <w:tcPr>
            <w:tcW w:w="736" w:type="dxa"/>
            <w:vAlign w:val="bottom"/>
          </w:tcPr>
          <w:p w14:paraId="2BCFA711" w14:textId="77777777" w:rsidR="004E0E02" w:rsidRPr="00513F0D" w:rsidRDefault="004E0E02" w:rsidP="00D73D50">
            <w:pPr>
              <w:pStyle w:val="-3"/>
              <w:jc w:val="left"/>
              <w:rPr>
                <w:sz w:val="16"/>
                <w:szCs w:val="16"/>
                <w:rtl/>
              </w:rPr>
            </w:pPr>
            <w:r w:rsidRPr="00CF2A74">
              <w:rPr>
                <w:sz w:val="16"/>
                <w:szCs w:val="16"/>
                <w:rtl/>
              </w:rPr>
              <w:t xml:space="preserve"> -</w:t>
            </w:r>
          </w:p>
        </w:tc>
        <w:tc>
          <w:tcPr>
            <w:tcW w:w="794" w:type="dxa"/>
            <w:vAlign w:val="bottom"/>
          </w:tcPr>
          <w:p w14:paraId="5848F31E" w14:textId="77777777" w:rsidR="004E0E02" w:rsidRPr="00CF2A74" w:rsidRDefault="004E0E02" w:rsidP="00D73D50">
            <w:pPr>
              <w:pStyle w:val="-3"/>
              <w:jc w:val="left"/>
              <w:rPr>
                <w:sz w:val="16"/>
                <w:szCs w:val="16"/>
                <w:rtl/>
              </w:rPr>
            </w:pPr>
            <w:r w:rsidRPr="00CF2A74">
              <w:rPr>
                <w:sz w:val="16"/>
                <w:szCs w:val="16"/>
                <w:rtl/>
              </w:rPr>
              <w:t>0</w:t>
            </w:r>
          </w:p>
        </w:tc>
        <w:tc>
          <w:tcPr>
            <w:tcW w:w="905" w:type="dxa"/>
            <w:vAlign w:val="bottom"/>
          </w:tcPr>
          <w:p w14:paraId="01A3ABBB" w14:textId="77777777" w:rsidR="004E0E02" w:rsidRPr="00513F0D" w:rsidRDefault="004E0E02" w:rsidP="00D73D50">
            <w:pPr>
              <w:pStyle w:val="-3"/>
              <w:jc w:val="left"/>
              <w:rPr>
                <w:sz w:val="16"/>
                <w:szCs w:val="16"/>
                <w:rtl/>
              </w:rPr>
            </w:pPr>
            <w:r w:rsidRPr="00CF2A74">
              <w:rPr>
                <w:sz w:val="16"/>
                <w:szCs w:val="16"/>
                <w:rtl/>
              </w:rPr>
              <w:t xml:space="preserve"> 0</w:t>
            </w:r>
          </w:p>
        </w:tc>
        <w:tc>
          <w:tcPr>
            <w:tcW w:w="825" w:type="dxa"/>
            <w:vAlign w:val="bottom"/>
          </w:tcPr>
          <w:p w14:paraId="7EFFD2A3" w14:textId="77777777" w:rsidR="004E0E02" w:rsidRPr="00513F0D" w:rsidRDefault="004E0E02" w:rsidP="00D73D50">
            <w:pPr>
              <w:pStyle w:val="-3"/>
              <w:jc w:val="left"/>
              <w:rPr>
                <w:sz w:val="16"/>
                <w:szCs w:val="16"/>
                <w:rtl/>
              </w:rPr>
            </w:pPr>
            <w:r w:rsidRPr="00CF2A74">
              <w:rPr>
                <w:sz w:val="16"/>
                <w:szCs w:val="16"/>
                <w:rtl/>
              </w:rPr>
              <w:t xml:space="preserve"> -</w:t>
            </w:r>
          </w:p>
        </w:tc>
        <w:tc>
          <w:tcPr>
            <w:tcW w:w="941" w:type="dxa"/>
            <w:vAlign w:val="bottom"/>
          </w:tcPr>
          <w:p w14:paraId="3740AFC7" w14:textId="77777777" w:rsidR="004E0E02" w:rsidRPr="00513F0D" w:rsidRDefault="004E0E02" w:rsidP="00D73D50">
            <w:pPr>
              <w:pStyle w:val="-3"/>
              <w:jc w:val="left"/>
              <w:rPr>
                <w:sz w:val="16"/>
                <w:szCs w:val="16"/>
                <w:rtl/>
              </w:rPr>
            </w:pPr>
            <w:r w:rsidRPr="00CF2A74">
              <w:rPr>
                <w:sz w:val="16"/>
                <w:szCs w:val="16"/>
                <w:rtl/>
              </w:rPr>
              <w:t xml:space="preserve"> -</w:t>
            </w:r>
          </w:p>
        </w:tc>
        <w:tc>
          <w:tcPr>
            <w:tcW w:w="882" w:type="dxa"/>
            <w:vAlign w:val="bottom"/>
          </w:tcPr>
          <w:p w14:paraId="47A42E59" w14:textId="77777777" w:rsidR="004E0E02" w:rsidRPr="00513F0D" w:rsidRDefault="004E0E02" w:rsidP="00D73D50">
            <w:pPr>
              <w:pStyle w:val="-3"/>
              <w:jc w:val="left"/>
              <w:rPr>
                <w:sz w:val="16"/>
                <w:szCs w:val="16"/>
                <w:rtl/>
              </w:rPr>
            </w:pPr>
            <w:r w:rsidRPr="00CF2A74">
              <w:rPr>
                <w:sz w:val="16"/>
                <w:szCs w:val="16"/>
                <w:rtl/>
              </w:rPr>
              <w:t xml:space="preserve"> -</w:t>
            </w:r>
          </w:p>
        </w:tc>
        <w:tc>
          <w:tcPr>
            <w:tcW w:w="1128" w:type="dxa"/>
            <w:vAlign w:val="bottom"/>
          </w:tcPr>
          <w:p w14:paraId="0092E9FF" w14:textId="77777777" w:rsidR="004E0E02" w:rsidRPr="00513F0D" w:rsidRDefault="004E0E02" w:rsidP="00141F15">
            <w:pPr>
              <w:pStyle w:val="-3"/>
              <w:jc w:val="left"/>
              <w:rPr>
                <w:sz w:val="16"/>
                <w:szCs w:val="16"/>
                <w:rtl/>
              </w:rPr>
            </w:pPr>
            <w:r w:rsidRPr="00CF2A74">
              <w:rPr>
                <w:sz w:val="16"/>
                <w:szCs w:val="16"/>
                <w:rtl/>
              </w:rPr>
              <w:t xml:space="preserve"> 0</w:t>
            </w:r>
          </w:p>
        </w:tc>
        <w:tc>
          <w:tcPr>
            <w:tcW w:w="737" w:type="dxa"/>
            <w:vAlign w:val="bottom"/>
          </w:tcPr>
          <w:p w14:paraId="1F279110" w14:textId="77777777" w:rsidR="004E0E02" w:rsidRPr="00513F0D" w:rsidRDefault="004E0E02" w:rsidP="00141F15">
            <w:pPr>
              <w:pStyle w:val="-3"/>
              <w:jc w:val="left"/>
              <w:rPr>
                <w:sz w:val="16"/>
                <w:szCs w:val="16"/>
                <w:rtl/>
              </w:rPr>
            </w:pPr>
            <w:r w:rsidRPr="00CF2A74">
              <w:rPr>
                <w:sz w:val="16"/>
                <w:szCs w:val="16"/>
                <w:rtl/>
              </w:rPr>
              <w:t xml:space="preserve"> 0</w:t>
            </w:r>
          </w:p>
        </w:tc>
        <w:tc>
          <w:tcPr>
            <w:tcW w:w="712" w:type="dxa"/>
            <w:vAlign w:val="bottom"/>
          </w:tcPr>
          <w:p w14:paraId="4BF4D9D8"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108FB97A" w14:textId="77777777" w:rsidTr="004A1ADA">
        <w:tc>
          <w:tcPr>
            <w:tcW w:w="850" w:type="dxa"/>
          </w:tcPr>
          <w:p w14:paraId="022210A1" w14:textId="77777777" w:rsidR="004E0E02" w:rsidRPr="00513F0D" w:rsidRDefault="004E0E02" w:rsidP="00D73D50">
            <w:pPr>
              <w:pStyle w:val="-7"/>
              <w:bidi w:val="0"/>
              <w:ind w:right="-231"/>
              <w:jc w:val="left"/>
              <w:rPr>
                <w:spacing w:val="-6"/>
                <w:sz w:val="16"/>
                <w:szCs w:val="16"/>
                <w:rtl/>
              </w:rPr>
            </w:pPr>
          </w:p>
        </w:tc>
        <w:tc>
          <w:tcPr>
            <w:tcW w:w="1978" w:type="dxa"/>
            <w:vAlign w:val="bottom"/>
          </w:tcPr>
          <w:p w14:paraId="6FE49E1E" w14:textId="77777777" w:rsidR="004E0E02" w:rsidRPr="00513F0D" w:rsidRDefault="004E0E02" w:rsidP="00D73D50">
            <w:pPr>
              <w:pStyle w:val="-0"/>
              <w:rPr>
                <w:sz w:val="16"/>
                <w:szCs w:val="16"/>
                <w:rtl/>
              </w:rPr>
            </w:pPr>
            <w:r w:rsidRPr="00CF2A74">
              <w:rPr>
                <w:rFonts w:hint="eastAsia"/>
                <w:sz w:val="16"/>
                <w:szCs w:val="16"/>
                <w:rtl/>
              </w:rPr>
              <w:t>רכישה</w:t>
            </w:r>
            <w:r w:rsidRPr="00CF2A74">
              <w:rPr>
                <w:sz w:val="16"/>
                <w:szCs w:val="16"/>
                <w:rtl/>
              </w:rPr>
              <w:t xml:space="preserve"> </w:t>
            </w:r>
            <w:r w:rsidRPr="00CF2A74">
              <w:rPr>
                <w:rFonts w:hint="eastAsia"/>
                <w:sz w:val="16"/>
                <w:szCs w:val="16"/>
                <w:rtl/>
              </w:rPr>
              <w:t>נוספת</w:t>
            </w:r>
            <w:r w:rsidRPr="00CF2A74">
              <w:rPr>
                <w:sz w:val="16"/>
                <w:szCs w:val="16"/>
                <w:rtl/>
              </w:rPr>
              <w:t xml:space="preserve"> </w:t>
            </w:r>
            <w:r w:rsidRPr="00CF2A74">
              <w:rPr>
                <w:rFonts w:hint="eastAsia"/>
                <w:sz w:val="16"/>
                <w:szCs w:val="16"/>
                <w:rtl/>
              </w:rPr>
              <w:t>של</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חברה</w:t>
            </w:r>
            <w:r w:rsidRPr="00CF2A74">
              <w:rPr>
                <w:sz w:val="16"/>
                <w:szCs w:val="16"/>
                <w:rtl/>
              </w:rPr>
              <w:t xml:space="preserve"> </w:t>
            </w:r>
            <w:r w:rsidRPr="00CF2A74">
              <w:rPr>
                <w:rFonts w:hint="eastAsia"/>
                <w:sz w:val="16"/>
                <w:szCs w:val="16"/>
                <w:rtl/>
              </w:rPr>
              <w:t>בת</w:t>
            </w:r>
          </w:p>
        </w:tc>
        <w:tc>
          <w:tcPr>
            <w:tcW w:w="801" w:type="dxa"/>
            <w:vAlign w:val="bottom"/>
          </w:tcPr>
          <w:p w14:paraId="3092D67E"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0C3B786B" w14:textId="77777777" w:rsidR="004E0E02" w:rsidRPr="00513F0D" w:rsidRDefault="004E0E02" w:rsidP="00D73D50">
            <w:pPr>
              <w:pStyle w:val="-3"/>
              <w:rPr>
                <w:sz w:val="16"/>
                <w:szCs w:val="16"/>
                <w:rtl/>
              </w:rPr>
            </w:pPr>
            <w:r w:rsidRPr="00CF2A74">
              <w:rPr>
                <w:sz w:val="16"/>
                <w:szCs w:val="16"/>
                <w:rtl/>
              </w:rPr>
              <w:t>-</w:t>
            </w:r>
          </w:p>
        </w:tc>
        <w:tc>
          <w:tcPr>
            <w:tcW w:w="941" w:type="dxa"/>
            <w:vAlign w:val="bottom"/>
          </w:tcPr>
          <w:p w14:paraId="60874FC6"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420C53E5" w14:textId="77777777" w:rsidR="004E0E02" w:rsidRPr="00513F0D" w:rsidRDefault="004E0E02" w:rsidP="00D73D50">
            <w:pPr>
              <w:pStyle w:val="-3"/>
              <w:rPr>
                <w:sz w:val="16"/>
                <w:szCs w:val="16"/>
                <w:rtl/>
              </w:rPr>
            </w:pPr>
            <w:r>
              <w:rPr>
                <w:rFonts w:hint="cs"/>
                <w:sz w:val="16"/>
                <w:szCs w:val="16"/>
                <w:rtl/>
              </w:rPr>
              <w:t>0</w:t>
            </w:r>
          </w:p>
        </w:tc>
        <w:tc>
          <w:tcPr>
            <w:tcW w:w="1073" w:type="dxa"/>
            <w:vAlign w:val="bottom"/>
          </w:tcPr>
          <w:p w14:paraId="6DFB406B" w14:textId="77777777" w:rsidR="004E0E02" w:rsidRPr="009A7E4A" w:rsidRDefault="004E0E02" w:rsidP="00D73D50">
            <w:pPr>
              <w:pStyle w:val="-3"/>
              <w:rPr>
                <w:sz w:val="16"/>
                <w:szCs w:val="16"/>
                <w:rtl/>
              </w:rPr>
            </w:pPr>
            <w:r w:rsidRPr="009A7E4A">
              <w:rPr>
                <w:sz w:val="16"/>
                <w:szCs w:val="16"/>
                <w:rtl/>
              </w:rPr>
              <w:t>-</w:t>
            </w:r>
          </w:p>
        </w:tc>
        <w:tc>
          <w:tcPr>
            <w:tcW w:w="736" w:type="dxa"/>
            <w:vAlign w:val="bottom"/>
          </w:tcPr>
          <w:p w14:paraId="5AE34CF8" w14:textId="77777777" w:rsidR="004E0E02" w:rsidRDefault="004E0E02">
            <w:pPr>
              <w:pStyle w:val="-3"/>
              <w:jc w:val="left"/>
              <w:rPr>
                <w:sz w:val="16"/>
                <w:szCs w:val="16"/>
                <w:rtl/>
              </w:rPr>
            </w:pPr>
            <w:r w:rsidRPr="00CF2A74">
              <w:rPr>
                <w:sz w:val="16"/>
                <w:szCs w:val="16"/>
                <w:rtl/>
              </w:rPr>
              <w:t xml:space="preserve"> </w:t>
            </w:r>
            <w:r>
              <w:rPr>
                <w:rFonts w:hint="cs"/>
                <w:sz w:val="16"/>
                <w:szCs w:val="16"/>
                <w:rtl/>
              </w:rPr>
              <w:t>-</w:t>
            </w:r>
          </w:p>
        </w:tc>
        <w:tc>
          <w:tcPr>
            <w:tcW w:w="794" w:type="dxa"/>
            <w:vAlign w:val="bottom"/>
          </w:tcPr>
          <w:p w14:paraId="5D0CA8EC" w14:textId="77777777" w:rsidR="004E0E02" w:rsidRPr="00CF2A74" w:rsidRDefault="004E0E02" w:rsidP="00D73D50">
            <w:pPr>
              <w:pStyle w:val="-3"/>
              <w:jc w:val="left"/>
              <w:rPr>
                <w:sz w:val="16"/>
                <w:szCs w:val="16"/>
                <w:rtl/>
              </w:rPr>
            </w:pPr>
            <w:r w:rsidRPr="00CF2A74">
              <w:rPr>
                <w:sz w:val="16"/>
                <w:szCs w:val="16"/>
                <w:rtl/>
              </w:rPr>
              <w:t>-</w:t>
            </w:r>
          </w:p>
        </w:tc>
        <w:tc>
          <w:tcPr>
            <w:tcW w:w="905" w:type="dxa"/>
            <w:vAlign w:val="bottom"/>
          </w:tcPr>
          <w:p w14:paraId="49B955FA" w14:textId="77777777" w:rsidR="004E0E02" w:rsidRPr="00513F0D" w:rsidRDefault="004E0E02" w:rsidP="00D73D50">
            <w:pPr>
              <w:pStyle w:val="-3"/>
              <w:jc w:val="left"/>
              <w:rPr>
                <w:sz w:val="16"/>
                <w:szCs w:val="16"/>
                <w:rtl/>
              </w:rPr>
            </w:pPr>
            <w:r w:rsidRPr="00CF2A74">
              <w:rPr>
                <w:sz w:val="16"/>
                <w:szCs w:val="16"/>
                <w:rtl/>
              </w:rPr>
              <w:t xml:space="preserve"> 0</w:t>
            </w:r>
          </w:p>
        </w:tc>
        <w:tc>
          <w:tcPr>
            <w:tcW w:w="825" w:type="dxa"/>
            <w:vAlign w:val="bottom"/>
          </w:tcPr>
          <w:p w14:paraId="66243567" w14:textId="77777777" w:rsidR="004E0E02" w:rsidRPr="00513F0D" w:rsidRDefault="004E0E02" w:rsidP="00D73D50">
            <w:pPr>
              <w:pStyle w:val="-3"/>
              <w:jc w:val="left"/>
              <w:rPr>
                <w:sz w:val="16"/>
                <w:szCs w:val="16"/>
                <w:rtl/>
              </w:rPr>
            </w:pPr>
            <w:r w:rsidRPr="00CF2A74">
              <w:rPr>
                <w:sz w:val="16"/>
                <w:szCs w:val="16"/>
                <w:rtl/>
              </w:rPr>
              <w:t xml:space="preserve"> -</w:t>
            </w:r>
          </w:p>
        </w:tc>
        <w:tc>
          <w:tcPr>
            <w:tcW w:w="941" w:type="dxa"/>
            <w:vAlign w:val="bottom"/>
          </w:tcPr>
          <w:p w14:paraId="1621AB9A" w14:textId="77777777" w:rsidR="004E0E02" w:rsidRPr="00513F0D" w:rsidRDefault="004E0E02" w:rsidP="00D73D50">
            <w:pPr>
              <w:pStyle w:val="-3"/>
              <w:jc w:val="left"/>
              <w:rPr>
                <w:sz w:val="16"/>
                <w:szCs w:val="16"/>
                <w:rtl/>
              </w:rPr>
            </w:pPr>
            <w:r w:rsidRPr="00CF2A74">
              <w:rPr>
                <w:sz w:val="16"/>
                <w:szCs w:val="16"/>
                <w:rtl/>
              </w:rPr>
              <w:t xml:space="preserve"> -</w:t>
            </w:r>
          </w:p>
        </w:tc>
        <w:tc>
          <w:tcPr>
            <w:tcW w:w="882" w:type="dxa"/>
            <w:vAlign w:val="bottom"/>
          </w:tcPr>
          <w:p w14:paraId="24C0FE1A" w14:textId="77777777" w:rsidR="004E0E02" w:rsidRPr="00513F0D" w:rsidRDefault="004E0E02" w:rsidP="00D73D50">
            <w:pPr>
              <w:pStyle w:val="-3"/>
              <w:jc w:val="left"/>
              <w:rPr>
                <w:sz w:val="16"/>
                <w:szCs w:val="16"/>
                <w:rtl/>
              </w:rPr>
            </w:pPr>
            <w:r w:rsidRPr="00CF2A74">
              <w:rPr>
                <w:sz w:val="16"/>
                <w:szCs w:val="16"/>
                <w:rtl/>
              </w:rPr>
              <w:t xml:space="preserve"> -</w:t>
            </w:r>
          </w:p>
        </w:tc>
        <w:tc>
          <w:tcPr>
            <w:tcW w:w="1128" w:type="dxa"/>
            <w:vAlign w:val="bottom"/>
          </w:tcPr>
          <w:p w14:paraId="1AE0E60B" w14:textId="77777777" w:rsidR="004E0E02" w:rsidRPr="00513F0D" w:rsidRDefault="004E0E02" w:rsidP="00D73D50">
            <w:pPr>
              <w:pStyle w:val="-3"/>
              <w:jc w:val="left"/>
              <w:rPr>
                <w:sz w:val="16"/>
                <w:szCs w:val="16"/>
                <w:rtl/>
              </w:rPr>
            </w:pPr>
            <w:r w:rsidRPr="00CF2A74">
              <w:rPr>
                <w:sz w:val="16"/>
                <w:szCs w:val="16"/>
                <w:rtl/>
              </w:rPr>
              <w:t xml:space="preserve"> 0</w:t>
            </w:r>
          </w:p>
        </w:tc>
        <w:tc>
          <w:tcPr>
            <w:tcW w:w="737" w:type="dxa"/>
            <w:vAlign w:val="bottom"/>
          </w:tcPr>
          <w:p w14:paraId="40E5E91F" w14:textId="77777777" w:rsidR="004E0E02" w:rsidRPr="00513F0D" w:rsidRDefault="004E0E02" w:rsidP="00D73D50">
            <w:pPr>
              <w:pStyle w:val="-3"/>
              <w:jc w:val="left"/>
              <w:rPr>
                <w:sz w:val="16"/>
                <w:szCs w:val="16"/>
                <w:rtl/>
              </w:rPr>
            </w:pPr>
            <w:r w:rsidRPr="00CF2A74">
              <w:rPr>
                <w:sz w:val="16"/>
                <w:szCs w:val="16"/>
                <w:rtl/>
              </w:rPr>
              <w:t xml:space="preserve"> 0</w:t>
            </w:r>
          </w:p>
        </w:tc>
        <w:tc>
          <w:tcPr>
            <w:tcW w:w="712" w:type="dxa"/>
            <w:vAlign w:val="bottom"/>
          </w:tcPr>
          <w:p w14:paraId="4F2D1BC8" w14:textId="77777777" w:rsidR="004E0E02" w:rsidRPr="00513F0D" w:rsidRDefault="004E0E02" w:rsidP="00D73D50">
            <w:pPr>
              <w:pStyle w:val="-3"/>
              <w:jc w:val="left"/>
              <w:rPr>
                <w:sz w:val="16"/>
                <w:szCs w:val="16"/>
                <w:rtl/>
              </w:rPr>
            </w:pPr>
            <w:r w:rsidRPr="00CF2A74">
              <w:rPr>
                <w:sz w:val="16"/>
                <w:szCs w:val="16"/>
                <w:rtl/>
              </w:rPr>
              <w:t xml:space="preserve"> 0</w:t>
            </w:r>
          </w:p>
        </w:tc>
      </w:tr>
      <w:tr w:rsidR="004E0E02" w:rsidRPr="00513F0D" w14:paraId="3E11DF39" w14:textId="77777777" w:rsidTr="004A1ADA">
        <w:tc>
          <w:tcPr>
            <w:tcW w:w="850" w:type="dxa"/>
          </w:tcPr>
          <w:p w14:paraId="74CB2D6C" w14:textId="77777777" w:rsidR="004E0E02" w:rsidRPr="00513F0D" w:rsidRDefault="004E0E02" w:rsidP="00D73D50">
            <w:pPr>
              <w:pStyle w:val="-7"/>
              <w:bidi w:val="0"/>
              <w:ind w:right="-231"/>
              <w:jc w:val="left"/>
              <w:rPr>
                <w:spacing w:val="-6"/>
                <w:sz w:val="16"/>
                <w:szCs w:val="16"/>
                <w:rtl/>
              </w:rPr>
            </w:pPr>
          </w:p>
        </w:tc>
        <w:tc>
          <w:tcPr>
            <w:tcW w:w="1978" w:type="dxa"/>
            <w:vAlign w:val="bottom"/>
          </w:tcPr>
          <w:p w14:paraId="319A799A" w14:textId="77777777" w:rsidR="004E0E02" w:rsidRPr="00513F0D" w:rsidRDefault="004E0E02" w:rsidP="00D73D50">
            <w:pPr>
              <w:pStyle w:val="-21"/>
              <w:spacing w:before="0"/>
              <w:rPr>
                <w:sz w:val="16"/>
                <w:szCs w:val="16"/>
                <w:rtl/>
              </w:rPr>
            </w:pPr>
            <w:r w:rsidRPr="00CF2A74">
              <w:rPr>
                <w:rFonts w:hint="eastAsia"/>
                <w:sz w:val="16"/>
                <w:szCs w:val="16"/>
                <w:rtl/>
              </w:rPr>
              <w:t>ירידה</w:t>
            </w:r>
            <w:r w:rsidRPr="00CF2A74">
              <w:rPr>
                <w:sz w:val="16"/>
                <w:szCs w:val="16"/>
                <w:rtl/>
              </w:rPr>
              <w:t xml:space="preserve"> </w:t>
            </w:r>
            <w:r w:rsidRPr="00CF2A74">
              <w:rPr>
                <w:rFonts w:hint="eastAsia"/>
                <w:sz w:val="16"/>
                <w:szCs w:val="16"/>
                <w:rtl/>
              </w:rPr>
              <w:t>בשיעור</w:t>
            </w:r>
            <w:r w:rsidRPr="00CF2A74">
              <w:rPr>
                <w:sz w:val="16"/>
                <w:szCs w:val="16"/>
                <w:rtl/>
              </w:rPr>
              <w:t xml:space="preserve"> </w:t>
            </w:r>
            <w:r w:rsidRPr="00CF2A74">
              <w:rPr>
                <w:rFonts w:hint="eastAsia"/>
                <w:sz w:val="16"/>
                <w:szCs w:val="16"/>
                <w:rtl/>
              </w:rPr>
              <w:t>החזקה</w:t>
            </w:r>
            <w:r w:rsidRPr="00CF2A74">
              <w:rPr>
                <w:sz w:val="16"/>
                <w:szCs w:val="16"/>
                <w:rtl/>
              </w:rPr>
              <w:t xml:space="preserve"> </w:t>
            </w:r>
            <w:r w:rsidRPr="00CF2A74">
              <w:rPr>
                <w:rFonts w:hint="eastAsia"/>
                <w:sz w:val="16"/>
                <w:szCs w:val="16"/>
                <w:rtl/>
              </w:rPr>
              <w:t>ללא</w:t>
            </w:r>
            <w:r w:rsidRPr="00CF2A74">
              <w:rPr>
                <w:sz w:val="16"/>
                <w:szCs w:val="16"/>
                <w:rtl/>
              </w:rPr>
              <w:t xml:space="preserve"> </w:t>
            </w:r>
            <w:r w:rsidRPr="00CF2A74">
              <w:rPr>
                <w:rFonts w:hint="eastAsia"/>
                <w:sz w:val="16"/>
                <w:szCs w:val="16"/>
                <w:rtl/>
              </w:rPr>
              <w:t>איבוד</w:t>
            </w:r>
            <w:r w:rsidRPr="00CF2A74">
              <w:rPr>
                <w:sz w:val="16"/>
                <w:szCs w:val="16"/>
                <w:rtl/>
              </w:rPr>
              <w:t xml:space="preserve"> </w:t>
            </w:r>
            <w:r w:rsidRPr="00CF2A74">
              <w:rPr>
                <w:rFonts w:hint="eastAsia"/>
                <w:sz w:val="16"/>
                <w:szCs w:val="16"/>
                <w:rtl/>
              </w:rPr>
              <w:t>שליטה</w:t>
            </w:r>
            <w:r w:rsidRPr="00CF2A74">
              <w:rPr>
                <w:sz w:val="16"/>
                <w:szCs w:val="16"/>
                <w:rtl/>
              </w:rPr>
              <w:t xml:space="preserve"> </w:t>
            </w:r>
            <w:r w:rsidRPr="00CF2A74">
              <w:rPr>
                <w:rFonts w:hint="eastAsia"/>
                <w:sz w:val="16"/>
                <w:szCs w:val="16"/>
                <w:rtl/>
              </w:rPr>
              <w:t>בחברה</w:t>
            </w:r>
            <w:r w:rsidRPr="00CF2A74">
              <w:rPr>
                <w:sz w:val="16"/>
                <w:szCs w:val="16"/>
                <w:rtl/>
              </w:rPr>
              <w:t xml:space="preserve"> </w:t>
            </w:r>
            <w:r w:rsidRPr="00CF2A74">
              <w:rPr>
                <w:rFonts w:hint="eastAsia"/>
                <w:sz w:val="16"/>
                <w:szCs w:val="16"/>
                <w:rtl/>
              </w:rPr>
              <w:t>בת</w:t>
            </w:r>
          </w:p>
        </w:tc>
        <w:tc>
          <w:tcPr>
            <w:tcW w:w="801" w:type="dxa"/>
            <w:vAlign w:val="bottom"/>
          </w:tcPr>
          <w:p w14:paraId="0E37DC0B"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10015655" w14:textId="77777777" w:rsidR="004E0E02" w:rsidRPr="00513F0D" w:rsidRDefault="004E0E02" w:rsidP="00D73D50">
            <w:pPr>
              <w:pStyle w:val="-3"/>
              <w:rPr>
                <w:sz w:val="16"/>
                <w:szCs w:val="16"/>
                <w:rtl/>
              </w:rPr>
            </w:pPr>
            <w:r w:rsidRPr="00CF2A74">
              <w:rPr>
                <w:sz w:val="16"/>
                <w:szCs w:val="16"/>
                <w:rtl/>
              </w:rPr>
              <w:t>-</w:t>
            </w:r>
          </w:p>
        </w:tc>
        <w:tc>
          <w:tcPr>
            <w:tcW w:w="941" w:type="dxa"/>
            <w:vAlign w:val="bottom"/>
          </w:tcPr>
          <w:p w14:paraId="1E59C788" w14:textId="77777777" w:rsidR="004E0E02" w:rsidRPr="00513F0D" w:rsidRDefault="004E0E02" w:rsidP="00D73D50">
            <w:pPr>
              <w:pStyle w:val="-3"/>
              <w:rPr>
                <w:sz w:val="16"/>
                <w:szCs w:val="16"/>
                <w:rtl/>
              </w:rPr>
            </w:pPr>
            <w:r w:rsidRPr="00CF2A74">
              <w:rPr>
                <w:sz w:val="16"/>
                <w:szCs w:val="16"/>
                <w:rtl/>
              </w:rPr>
              <w:t>-</w:t>
            </w:r>
          </w:p>
        </w:tc>
        <w:tc>
          <w:tcPr>
            <w:tcW w:w="881" w:type="dxa"/>
            <w:vAlign w:val="bottom"/>
          </w:tcPr>
          <w:p w14:paraId="75487F46" w14:textId="77777777" w:rsidR="004E0E02" w:rsidRPr="00513F0D" w:rsidRDefault="004E0E02" w:rsidP="00D73D50">
            <w:pPr>
              <w:pStyle w:val="-3"/>
              <w:rPr>
                <w:sz w:val="16"/>
                <w:szCs w:val="16"/>
                <w:rtl/>
              </w:rPr>
            </w:pPr>
            <w:r>
              <w:rPr>
                <w:rFonts w:hint="cs"/>
                <w:sz w:val="16"/>
                <w:szCs w:val="16"/>
                <w:rtl/>
              </w:rPr>
              <w:t>0</w:t>
            </w:r>
          </w:p>
        </w:tc>
        <w:tc>
          <w:tcPr>
            <w:tcW w:w="1073" w:type="dxa"/>
            <w:vAlign w:val="bottom"/>
          </w:tcPr>
          <w:p w14:paraId="79479C95" w14:textId="77777777" w:rsidR="004E0E02" w:rsidRPr="009A7E4A" w:rsidRDefault="004E0E02" w:rsidP="00D73D50">
            <w:pPr>
              <w:pStyle w:val="-3"/>
              <w:rPr>
                <w:sz w:val="16"/>
                <w:szCs w:val="16"/>
                <w:rtl/>
              </w:rPr>
            </w:pPr>
            <w:r w:rsidRPr="009A7E4A">
              <w:rPr>
                <w:sz w:val="16"/>
                <w:szCs w:val="16"/>
                <w:rtl/>
              </w:rPr>
              <w:t>-</w:t>
            </w:r>
          </w:p>
        </w:tc>
        <w:tc>
          <w:tcPr>
            <w:tcW w:w="736" w:type="dxa"/>
            <w:vAlign w:val="bottom"/>
          </w:tcPr>
          <w:p w14:paraId="4B4EFF95" w14:textId="77777777" w:rsidR="004E0E02" w:rsidRDefault="004E0E02">
            <w:pPr>
              <w:pStyle w:val="-3"/>
              <w:jc w:val="left"/>
              <w:rPr>
                <w:sz w:val="16"/>
                <w:szCs w:val="16"/>
                <w:rtl/>
              </w:rPr>
            </w:pPr>
            <w:r w:rsidRPr="00CF2A74">
              <w:rPr>
                <w:sz w:val="16"/>
                <w:szCs w:val="16"/>
                <w:rtl/>
              </w:rPr>
              <w:t xml:space="preserve"> </w:t>
            </w:r>
            <w:r>
              <w:rPr>
                <w:rFonts w:hint="cs"/>
                <w:sz w:val="16"/>
                <w:szCs w:val="16"/>
                <w:rtl/>
              </w:rPr>
              <w:t>-</w:t>
            </w:r>
          </w:p>
        </w:tc>
        <w:tc>
          <w:tcPr>
            <w:tcW w:w="794" w:type="dxa"/>
            <w:vAlign w:val="bottom"/>
          </w:tcPr>
          <w:p w14:paraId="30AFCFEC" w14:textId="77777777" w:rsidR="004E0E02" w:rsidRPr="00CF2A74" w:rsidRDefault="004E0E02" w:rsidP="00D73D50">
            <w:pPr>
              <w:pStyle w:val="-3"/>
              <w:jc w:val="left"/>
              <w:rPr>
                <w:sz w:val="16"/>
                <w:szCs w:val="16"/>
                <w:rtl/>
              </w:rPr>
            </w:pPr>
            <w:r w:rsidRPr="00CF2A74">
              <w:rPr>
                <w:sz w:val="16"/>
                <w:szCs w:val="16"/>
                <w:rtl/>
              </w:rPr>
              <w:t>-</w:t>
            </w:r>
          </w:p>
        </w:tc>
        <w:tc>
          <w:tcPr>
            <w:tcW w:w="905" w:type="dxa"/>
            <w:vAlign w:val="bottom"/>
          </w:tcPr>
          <w:p w14:paraId="63C84D93" w14:textId="77777777" w:rsidR="004E0E02" w:rsidRPr="00513F0D" w:rsidRDefault="004E0E02" w:rsidP="00D73D50">
            <w:pPr>
              <w:pStyle w:val="-3"/>
              <w:jc w:val="left"/>
              <w:rPr>
                <w:sz w:val="16"/>
                <w:szCs w:val="16"/>
                <w:rtl/>
              </w:rPr>
            </w:pPr>
            <w:r w:rsidRPr="00CF2A74">
              <w:rPr>
                <w:sz w:val="16"/>
                <w:szCs w:val="16"/>
                <w:rtl/>
              </w:rPr>
              <w:t xml:space="preserve"> 0</w:t>
            </w:r>
          </w:p>
        </w:tc>
        <w:tc>
          <w:tcPr>
            <w:tcW w:w="825" w:type="dxa"/>
            <w:vAlign w:val="bottom"/>
          </w:tcPr>
          <w:p w14:paraId="1654ED20" w14:textId="77777777" w:rsidR="004E0E02" w:rsidRPr="00513F0D" w:rsidRDefault="004E0E02" w:rsidP="00D73D50">
            <w:pPr>
              <w:pStyle w:val="-3"/>
              <w:jc w:val="left"/>
              <w:rPr>
                <w:sz w:val="16"/>
                <w:szCs w:val="16"/>
                <w:rtl/>
              </w:rPr>
            </w:pPr>
            <w:r w:rsidRPr="00CF2A74">
              <w:rPr>
                <w:sz w:val="16"/>
                <w:szCs w:val="16"/>
                <w:rtl/>
              </w:rPr>
              <w:t xml:space="preserve"> -</w:t>
            </w:r>
          </w:p>
        </w:tc>
        <w:tc>
          <w:tcPr>
            <w:tcW w:w="941" w:type="dxa"/>
            <w:vAlign w:val="bottom"/>
          </w:tcPr>
          <w:p w14:paraId="5319AD9B" w14:textId="77777777" w:rsidR="004E0E02" w:rsidRPr="00513F0D" w:rsidRDefault="004E0E02" w:rsidP="00D73D50">
            <w:pPr>
              <w:pStyle w:val="-3"/>
              <w:jc w:val="left"/>
              <w:rPr>
                <w:sz w:val="16"/>
                <w:szCs w:val="16"/>
                <w:rtl/>
              </w:rPr>
            </w:pPr>
            <w:r w:rsidRPr="00CF2A74">
              <w:rPr>
                <w:sz w:val="16"/>
                <w:szCs w:val="16"/>
                <w:rtl/>
              </w:rPr>
              <w:t xml:space="preserve"> -</w:t>
            </w:r>
          </w:p>
        </w:tc>
        <w:tc>
          <w:tcPr>
            <w:tcW w:w="882" w:type="dxa"/>
            <w:vAlign w:val="bottom"/>
          </w:tcPr>
          <w:p w14:paraId="1B25EA01" w14:textId="77777777" w:rsidR="004E0E02" w:rsidRPr="00513F0D" w:rsidRDefault="004E0E02" w:rsidP="00D73D50">
            <w:pPr>
              <w:pStyle w:val="-3"/>
              <w:jc w:val="left"/>
              <w:rPr>
                <w:sz w:val="16"/>
                <w:szCs w:val="16"/>
                <w:rtl/>
              </w:rPr>
            </w:pPr>
            <w:r w:rsidRPr="00CF2A74">
              <w:rPr>
                <w:sz w:val="16"/>
                <w:szCs w:val="16"/>
                <w:rtl/>
              </w:rPr>
              <w:t xml:space="preserve"> -</w:t>
            </w:r>
          </w:p>
        </w:tc>
        <w:tc>
          <w:tcPr>
            <w:tcW w:w="1128" w:type="dxa"/>
            <w:vAlign w:val="bottom"/>
          </w:tcPr>
          <w:p w14:paraId="188EE1E9" w14:textId="77777777" w:rsidR="004E0E02" w:rsidRPr="00513F0D" w:rsidRDefault="004E0E02" w:rsidP="00D73D50">
            <w:pPr>
              <w:pStyle w:val="-3"/>
              <w:jc w:val="left"/>
              <w:rPr>
                <w:sz w:val="16"/>
                <w:szCs w:val="16"/>
                <w:rtl/>
              </w:rPr>
            </w:pPr>
            <w:r w:rsidRPr="00CF2A74">
              <w:rPr>
                <w:sz w:val="16"/>
                <w:szCs w:val="16"/>
                <w:rtl/>
              </w:rPr>
              <w:t xml:space="preserve"> 0</w:t>
            </w:r>
          </w:p>
        </w:tc>
        <w:tc>
          <w:tcPr>
            <w:tcW w:w="737" w:type="dxa"/>
            <w:vAlign w:val="bottom"/>
          </w:tcPr>
          <w:p w14:paraId="3C7D6E4D" w14:textId="77777777" w:rsidR="004E0E02" w:rsidRPr="00513F0D" w:rsidRDefault="004E0E02" w:rsidP="00D73D50">
            <w:pPr>
              <w:pStyle w:val="-3"/>
              <w:jc w:val="left"/>
              <w:rPr>
                <w:sz w:val="16"/>
                <w:szCs w:val="16"/>
                <w:rtl/>
              </w:rPr>
            </w:pPr>
            <w:r w:rsidRPr="00CF2A74">
              <w:rPr>
                <w:sz w:val="16"/>
                <w:szCs w:val="16"/>
                <w:rtl/>
              </w:rPr>
              <w:t xml:space="preserve"> 0</w:t>
            </w:r>
          </w:p>
        </w:tc>
        <w:tc>
          <w:tcPr>
            <w:tcW w:w="712" w:type="dxa"/>
            <w:vAlign w:val="bottom"/>
          </w:tcPr>
          <w:p w14:paraId="32FD64D4" w14:textId="77777777" w:rsidR="004E0E02" w:rsidRPr="00513F0D" w:rsidRDefault="004E0E02" w:rsidP="00D73D50">
            <w:pPr>
              <w:pStyle w:val="-3"/>
              <w:jc w:val="left"/>
              <w:rPr>
                <w:sz w:val="16"/>
                <w:szCs w:val="16"/>
                <w:rtl/>
              </w:rPr>
            </w:pPr>
            <w:r w:rsidRPr="00CF2A74">
              <w:rPr>
                <w:sz w:val="16"/>
                <w:szCs w:val="16"/>
                <w:rtl/>
              </w:rPr>
              <w:t xml:space="preserve"> 0</w:t>
            </w:r>
          </w:p>
        </w:tc>
      </w:tr>
      <w:tr w:rsidR="004E0E02" w:rsidRPr="00513F0D" w14:paraId="5C002DDA" w14:textId="77777777" w:rsidTr="004A1ADA">
        <w:tc>
          <w:tcPr>
            <w:tcW w:w="850" w:type="dxa"/>
          </w:tcPr>
          <w:p w14:paraId="4EAD6F1D" w14:textId="77777777" w:rsidR="004E0E02" w:rsidRPr="00513F0D" w:rsidRDefault="004E0E02" w:rsidP="00D73D50">
            <w:pPr>
              <w:pStyle w:val="-7"/>
              <w:bidi w:val="0"/>
              <w:ind w:right="-231"/>
              <w:jc w:val="left"/>
              <w:rPr>
                <w:spacing w:val="-6"/>
                <w:sz w:val="16"/>
                <w:szCs w:val="16"/>
                <w:rtl/>
              </w:rPr>
            </w:pPr>
          </w:p>
        </w:tc>
        <w:tc>
          <w:tcPr>
            <w:tcW w:w="1978" w:type="dxa"/>
            <w:vAlign w:val="bottom"/>
          </w:tcPr>
          <w:p w14:paraId="6E8C8A77" w14:textId="77777777" w:rsidR="004E0E02" w:rsidRPr="00513F0D" w:rsidRDefault="004E0E02" w:rsidP="00D73D50">
            <w:pPr>
              <w:pStyle w:val="-21"/>
              <w:spacing w:before="0"/>
              <w:rPr>
                <w:sz w:val="16"/>
                <w:szCs w:val="16"/>
                <w:rtl/>
              </w:rPr>
            </w:pPr>
            <w:r w:rsidRPr="00CF2A74">
              <w:rPr>
                <w:rFonts w:hint="eastAsia"/>
                <w:sz w:val="16"/>
                <w:szCs w:val="16"/>
                <w:rtl/>
              </w:rPr>
              <w:t>דיבידנד</w:t>
            </w:r>
            <w:r w:rsidRPr="00CF2A74">
              <w:rPr>
                <w:sz w:val="16"/>
                <w:szCs w:val="16"/>
                <w:rtl/>
              </w:rPr>
              <w:t xml:space="preserve"> </w:t>
            </w:r>
            <w:r w:rsidRPr="00CF2A74">
              <w:rPr>
                <w:rFonts w:hint="eastAsia"/>
                <w:sz w:val="16"/>
                <w:szCs w:val="16"/>
                <w:rtl/>
              </w:rPr>
              <w:t>לבעלי</w:t>
            </w:r>
            <w:r w:rsidRPr="00CF2A74">
              <w:rPr>
                <w:sz w:val="16"/>
                <w:szCs w:val="16"/>
                <w:rtl/>
              </w:rPr>
              <w:t xml:space="preserve"> </w:t>
            </w:r>
            <w:r w:rsidRPr="00CF2A74">
              <w:rPr>
                <w:rFonts w:hint="eastAsia"/>
                <w:sz w:val="16"/>
                <w:szCs w:val="16"/>
                <w:rtl/>
              </w:rPr>
              <w:t>זכויות</w:t>
            </w:r>
            <w:r w:rsidRPr="00CF2A74">
              <w:rPr>
                <w:sz w:val="16"/>
                <w:szCs w:val="16"/>
                <w:rtl/>
              </w:rPr>
              <w:t xml:space="preserve"> </w:t>
            </w:r>
            <w:r w:rsidRPr="00CF2A74">
              <w:rPr>
                <w:rFonts w:hint="eastAsia"/>
                <w:sz w:val="16"/>
                <w:szCs w:val="16"/>
                <w:rtl/>
              </w:rPr>
              <w:t>שאינן</w:t>
            </w:r>
            <w:r w:rsidRPr="00CF2A74">
              <w:rPr>
                <w:sz w:val="16"/>
                <w:szCs w:val="16"/>
                <w:rtl/>
              </w:rPr>
              <w:t xml:space="preserve"> </w:t>
            </w:r>
            <w:r w:rsidRPr="00CF2A74">
              <w:rPr>
                <w:rFonts w:hint="eastAsia"/>
                <w:sz w:val="16"/>
                <w:szCs w:val="16"/>
                <w:rtl/>
              </w:rPr>
              <w:t>מקנות</w:t>
            </w:r>
            <w:r w:rsidRPr="00CF2A74">
              <w:rPr>
                <w:sz w:val="16"/>
                <w:szCs w:val="16"/>
                <w:rtl/>
              </w:rPr>
              <w:t xml:space="preserve"> </w:t>
            </w:r>
            <w:r w:rsidRPr="00CF2A74">
              <w:rPr>
                <w:rFonts w:hint="eastAsia"/>
                <w:sz w:val="16"/>
                <w:szCs w:val="16"/>
                <w:rtl/>
              </w:rPr>
              <w:t>שליטה</w:t>
            </w:r>
            <w:r w:rsidRPr="00CF2A74">
              <w:rPr>
                <w:sz w:val="16"/>
                <w:szCs w:val="16"/>
                <w:rtl/>
              </w:rPr>
              <w:t xml:space="preserve"> </w:t>
            </w:r>
            <w:r w:rsidRPr="00CF2A74">
              <w:rPr>
                <w:rFonts w:hint="eastAsia"/>
                <w:sz w:val="16"/>
                <w:szCs w:val="16"/>
                <w:rtl/>
              </w:rPr>
              <w:t>בחברות</w:t>
            </w:r>
            <w:r w:rsidRPr="00CF2A74">
              <w:rPr>
                <w:sz w:val="16"/>
                <w:szCs w:val="16"/>
                <w:rtl/>
              </w:rPr>
              <w:t xml:space="preserve"> </w:t>
            </w:r>
            <w:r w:rsidRPr="00CF2A74">
              <w:rPr>
                <w:rFonts w:hint="eastAsia"/>
                <w:sz w:val="16"/>
                <w:szCs w:val="16"/>
                <w:rtl/>
              </w:rPr>
              <w:t>בנות</w:t>
            </w:r>
          </w:p>
        </w:tc>
        <w:tc>
          <w:tcPr>
            <w:tcW w:w="801" w:type="dxa"/>
            <w:vAlign w:val="bottom"/>
          </w:tcPr>
          <w:p w14:paraId="20A8FCC1" w14:textId="77777777" w:rsidR="004E0E02" w:rsidRPr="00513F0D" w:rsidRDefault="004E0E02" w:rsidP="004E5809">
            <w:pPr>
              <w:pStyle w:val="-3"/>
              <w:pBdr>
                <w:bottom w:val="single" w:sz="4" w:space="1" w:color="auto"/>
              </w:pBdr>
              <w:rPr>
                <w:sz w:val="16"/>
                <w:szCs w:val="16"/>
                <w:rtl/>
              </w:rPr>
            </w:pPr>
            <w:r w:rsidRPr="00CF2A74">
              <w:rPr>
                <w:sz w:val="16"/>
                <w:szCs w:val="16"/>
                <w:rtl/>
              </w:rPr>
              <w:t>-</w:t>
            </w:r>
          </w:p>
        </w:tc>
        <w:tc>
          <w:tcPr>
            <w:tcW w:w="881" w:type="dxa"/>
            <w:vAlign w:val="bottom"/>
          </w:tcPr>
          <w:p w14:paraId="0DF545F8" w14:textId="77777777" w:rsidR="004E0E02" w:rsidRPr="00513F0D" w:rsidRDefault="004E0E02" w:rsidP="004E5809">
            <w:pPr>
              <w:pStyle w:val="-3"/>
              <w:pBdr>
                <w:bottom w:val="single" w:sz="4" w:space="1" w:color="auto"/>
              </w:pBdr>
              <w:rPr>
                <w:sz w:val="16"/>
                <w:szCs w:val="16"/>
                <w:rtl/>
              </w:rPr>
            </w:pPr>
            <w:r w:rsidRPr="00CF2A74">
              <w:rPr>
                <w:sz w:val="16"/>
                <w:szCs w:val="16"/>
                <w:rtl/>
              </w:rPr>
              <w:t>-</w:t>
            </w:r>
          </w:p>
        </w:tc>
        <w:tc>
          <w:tcPr>
            <w:tcW w:w="941" w:type="dxa"/>
            <w:vAlign w:val="bottom"/>
          </w:tcPr>
          <w:p w14:paraId="1589E402" w14:textId="77777777" w:rsidR="004E0E02" w:rsidRPr="00513F0D" w:rsidRDefault="004E0E02" w:rsidP="004E5809">
            <w:pPr>
              <w:pStyle w:val="-3"/>
              <w:pBdr>
                <w:bottom w:val="single" w:sz="4" w:space="1" w:color="auto"/>
              </w:pBdr>
              <w:rPr>
                <w:sz w:val="16"/>
                <w:szCs w:val="16"/>
                <w:rtl/>
              </w:rPr>
            </w:pPr>
            <w:r w:rsidRPr="00CF2A74">
              <w:rPr>
                <w:sz w:val="16"/>
                <w:szCs w:val="16"/>
                <w:rtl/>
              </w:rPr>
              <w:t>-</w:t>
            </w:r>
          </w:p>
        </w:tc>
        <w:tc>
          <w:tcPr>
            <w:tcW w:w="881" w:type="dxa"/>
            <w:vAlign w:val="bottom"/>
          </w:tcPr>
          <w:p w14:paraId="65FCDAF2" w14:textId="77777777" w:rsidR="004E0E02" w:rsidRPr="00513F0D" w:rsidRDefault="004E0E02" w:rsidP="004E5809">
            <w:pPr>
              <w:pStyle w:val="-3"/>
              <w:pBdr>
                <w:bottom w:val="single" w:sz="4" w:space="1" w:color="auto"/>
              </w:pBdr>
              <w:rPr>
                <w:sz w:val="16"/>
                <w:szCs w:val="16"/>
                <w:rtl/>
              </w:rPr>
            </w:pPr>
            <w:r w:rsidRPr="00CF2A74">
              <w:rPr>
                <w:sz w:val="16"/>
                <w:szCs w:val="16"/>
                <w:rtl/>
              </w:rPr>
              <w:t>-</w:t>
            </w:r>
          </w:p>
        </w:tc>
        <w:tc>
          <w:tcPr>
            <w:tcW w:w="1073" w:type="dxa"/>
            <w:vAlign w:val="bottom"/>
          </w:tcPr>
          <w:p w14:paraId="306854ED" w14:textId="77777777" w:rsidR="004E0E02" w:rsidRPr="009A7E4A" w:rsidRDefault="004E0E02" w:rsidP="004E5809">
            <w:pPr>
              <w:pStyle w:val="-3"/>
              <w:pBdr>
                <w:bottom w:val="single" w:sz="4" w:space="1" w:color="auto"/>
              </w:pBdr>
              <w:rPr>
                <w:sz w:val="16"/>
                <w:szCs w:val="16"/>
                <w:rtl/>
              </w:rPr>
            </w:pPr>
            <w:r w:rsidRPr="009A7E4A">
              <w:rPr>
                <w:sz w:val="16"/>
                <w:szCs w:val="16"/>
                <w:rtl/>
              </w:rPr>
              <w:t>-</w:t>
            </w:r>
          </w:p>
        </w:tc>
        <w:tc>
          <w:tcPr>
            <w:tcW w:w="736" w:type="dxa"/>
            <w:vAlign w:val="bottom"/>
          </w:tcPr>
          <w:p w14:paraId="2D8EC7DD"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794" w:type="dxa"/>
            <w:vAlign w:val="bottom"/>
          </w:tcPr>
          <w:p w14:paraId="599632DD" w14:textId="77777777" w:rsidR="004E0E02" w:rsidRPr="00CF2A74" w:rsidRDefault="004E0E02" w:rsidP="004E5809">
            <w:pPr>
              <w:pStyle w:val="-3"/>
              <w:pBdr>
                <w:bottom w:val="single" w:sz="4" w:space="1" w:color="auto"/>
              </w:pBdr>
              <w:jc w:val="left"/>
              <w:rPr>
                <w:sz w:val="16"/>
                <w:szCs w:val="16"/>
                <w:rtl/>
              </w:rPr>
            </w:pPr>
            <w:r w:rsidRPr="00CF2A74">
              <w:rPr>
                <w:sz w:val="16"/>
                <w:szCs w:val="16"/>
                <w:rtl/>
              </w:rPr>
              <w:t>-</w:t>
            </w:r>
          </w:p>
        </w:tc>
        <w:tc>
          <w:tcPr>
            <w:tcW w:w="905" w:type="dxa"/>
            <w:vAlign w:val="bottom"/>
          </w:tcPr>
          <w:p w14:paraId="722A305C"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825" w:type="dxa"/>
            <w:vAlign w:val="bottom"/>
          </w:tcPr>
          <w:p w14:paraId="578E1EB9"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941" w:type="dxa"/>
            <w:vAlign w:val="bottom"/>
          </w:tcPr>
          <w:p w14:paraId="023D8F3B"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882" w:type="dxa"/>
            <w:vAlign w:val="bottom"/>
          </w:tcPr>
          <w:p w14:paraId="0EAC6CC1"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1128" w:type="dxa"/>
            <w:vAlign w:val="bottom"/>
          </w:tcPr>
          <w:p w14:paraId="07D4E2F0" w14:textId="77777777" w:rsidR="004E0E02" w:rsidRPr="00513F0D" w:rsidRDefault="004E0E02" w:rsidP="004E5809">
            <w:pPr>
              <w:pStyle w:val="-3"/>
              <w:pBdr>
                <w:bottom w:val="single" w:sz="4" w:space="1" w:color="auto"/>
              </w:pBdr>
              <w:jc w:val="left"/>
              <w:rPr>
                <w:sz w:val="16"/>
                <w:szCs w:val="16"/>
                <w:rtl/>
              </w:rPr>
            </w:pPr>
            <w:r>
              <w:rPr>
                <w:rFonts w:hint="cs"/>
                <w:sz w:val="16"/>
                <w:szCs w:val="16"/>
                <w:rtl/>
              </w:rPr>
              <w:t xml:space="preserve"> -</w:t>
            </w:r>
          </w:p>
        </w:tc>
        <w:tc>
          <w:tcPr>
            <w:tcW w:w="737" w:type="dxa"/>
            <w:vAlign w:val="bottom"/>
          </w:tcPr>
          <w:p w14:paraId="0D12CBDC"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0</w:t>
            </w:r>
          </w:p>
        </w:tc>
        <w:tc>
          <w:tcPr>
            <w:tcW w:w="712" w:type="dxa"/>
            <w:vAlign w:val="bottom"/>
          </w:tcPr>
          <w:p w14:paraId="25237304"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0</w:t>
            </w:r>
          </w:p>
        </w:tc>
      </w:tr>
      <w:tr w:rsidR="004E0E02" w:rsidRPr="00513F0D" w14:paraId="3C41A864" w14:textId="77777777" w:rsidTr="004A1ADA">
        <w:tc>
          <w:tcPr>
            <w:tcW w:w="850" w:type="dxa"/>
          </w:tcPr>
          <w:p w14:paraId="0DEBF664" w14:textId="77777777" w:rsidR="004E0E02" w:rsidRPr="00513F0D" w:rsidRDefault="004E0E02" w:rsidP="00D73D50">
            <w:pPr>
              <w:pStyle w:val="-7"/>
              <w:bidi w:val="0"/>
              <w:ind w:right="-231"/>
              <w:jc w:val="left"/>
              <w:rPr>
                <w:spacing w:val="-6"/>
                <w:sz w:val="16"/>
                <w:szCs w:val="16"/>
                <w:rtl/>
              </w:rPr>
            </w:pPr>
          </w:p>
        </w:tc>
        <w:tc>
          <w:tcPr>
            <w:tcW w:w="1978" w:type="dxa"/>
            <w:vAlign w:val="bottom"/>
          </w:tcPr>
          <w:p w14:paraId="305806E9" w14:textId="6BB91BCA" w:rsidR="004E0E02" w:rsidRPr="00CF2A74" w:rsidRDefault="004E0E02" w:rsidP="00914A73">
            <w:pPr>
              <w:pStyle w:val="-b"/>
              <w:rPr>
                <w:sz w:val="16"/>
                <w:szCs w:val="16"/>
                <w:rtl/>
              </w:rPr>
            </w:pPr>
            <w:r w:rsidRPr="00CF2A74">
              <w:rPr>
                <w:rFonts w:hint="eastAsia"/>
                <w:sz w:val="16"/>
                <w:szCs w:val="16"/>
                <w:rtl/>
              </w:rPr>
              <w:t>יתרה</w:t>
            </w:r>
            <w:r w:rsidRPr="00CF2A74">
              <w:rPr>
                <w:sz w:val="16"/>
                <w:szCs w:val="16"/>
                <w:rtl/>
              </w:rPr>
              <w:t xml:space="preserve"> ליום 30 ביוני </w:t>
            </w:r>
            <w:r w:rsidR="00CC5F7B" w:rsidRPr="00CC5F7B">
              <w:rPr>
                <w:sz w:val="16"/>
                <w:szCs w:val="16"/>
                <w:rtl/>
              </w:rPr>
              <w:fldChar w:fldCharType="begin"/>
            </w:r>
            <w:r w:rsidR="00CC5F7B" w:rsidRPr="00CC5F7B">
              <w:rPr>
                <w:sz w:val="16"/>
                <w:szCs w:val="16"/>
                <w:rtl/>
              </w:rPr>
              <w:instrText xml:space="preserve"> </w:instrText>
            </w:r>
            <w:r w:rsidR="00CC5F7B" w:rsidRPr="00CC5F7B">
              <w:rPr>
                <w:rFonts w:hint="cs"/>
                <w:sz w:val="16"/>
                <w:szCs w:val="16"/>
                <w:rtl/>
              </w:rPr>
              <w:instrText xml:space="preserve">= </w:instrText>
            </w:r>
            <w:r w:rsidR="00CC5F7B" w:rsidRPr="00CC5F7B">
              <w:rPr>
                <w:rFonts w:hint="cs"/>
                <w:sz w:val="16"/>
                <w:szCs w:val="16"/>
              </w:rPr>
              <w:instrText>CY</w:instrText>
            </w:r>
            <w:r w:rsidR="00CC5F7B" w:rsidRPr="00CC5F7B">
              <w:rPr>
                <w:sz w:val="16"/>
                <w:szCs w:val="16"/>
              </w:rPr>
              <w:instrText>-1</w:instrText>
            </w:r>
            <w:r w:rsidR="00CC5F7B" w:rsidRPr="00CC5F7B">
              <w:rPr>
                <w:rFonts w:hint="cs"/>
                <w:sz w:val="16"/>
                <w:szCs w:val="16"/>
              </w:rPr>
              <w:instrText xml:space="preserve"> \* MERGEFORMAT</w:instrText>
            </w:r>
            <w:r w:rsidR="00CC5F7B" w:rsidRPr="00CC5F7B">
              <w:rPr>
                <w:sz w:val="16"/>
                <w:szCs w:val="16"/>
                <w:rtl/>
              </w:rPr>
              <w:instrText xml:space="preserve"> </w:instrText>
            </w:r>
            <w:r w:rsidR="00CC5F7B" w:rsidRPr="00CC5F7B">
              <w:rPr>
                <w:sz w:val="16"/>
                <w:szCs w:val="16"/>
                <w:rtl/>
              </w:rPr>
              <w:fldChar w:fldCharType="separate"/>
            </w:r>
            <w:r w:rsidR="003A584F">
              <w:rPr>
                <w:noProof/>
                <w:sz w:val="16"/>
                <w:szCs w:val="16"/>
                <w:rtl/>
              </w:rPr>
              <w:t>2023</w:t>
            </w:r>
            <w:r w:rsidR="00CC5F7B" w:rsidRPr="00CC5F7B">
              <w:rPr>
                <w:sz w:val="16"/>
                <w:szCs w:val="16"/>
                <w:rtl/>
              </w:rPr>
              <w:fldChar w:fldCharType="end"/>
            </w:r>
          </w:p>
        </w:tc>
        <w:tc>
          <w:tcPr>
            <w:tcW w:w="801" w:type="dxa"/>
            <w:vAlign w:val="bottom"/>
          </w:tcPr>
          <w:p w14:paraId="3C0DF568" w14:textId="77777777" w:rsidR="004E0E02" w:rsidRPr="00513F0D" w:rsidRDefault="004E0E02" w:rsidP="004E5809">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881" w:type="dxa"/>
            <w:vAlign w:val="bottom"/>
          </w:tcPr>
          <w:p w14:paraId="7E8C6BAC" w14:textId="77777777" w:rsidR="004E0E02" w:rsidRPr="00513F0D" w:rsidRDefault="004E0E02" w:rsidP="004E5809">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941" w:type="dxa"/>
            <w:vAlign w:val="bottom"/>
          </w:tcPr>
          <w:p w14:paraId="6C0B9DF7" w14:textId="77777777" w:rsidR="004E0E02" w:rsidRPr="00513F0D" w:rsidRDefault="004E0E02" w:rsidP="004E5809">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881" w:type="dxa"/>
            <w:vAlign w:val="bottom"/>
          </w:tcPr>
          <w:p w14:paraId="14B80FEF" w14:textId="77777777" w:rsidR="004E0E02" w:rsidRPr="00513F0D" w:rsidRDefault="004E0E02" w:rsidP="004E5809">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1073" w:type="dxa"/>
            <w:vAlign w:val="bottom"/>
          </w:tcPr>
          <w:p w14:paraId="7447F965" w14:textId="77777777" w:rsidR="004E0E02" w:rsidRPr="009A7E4A" w:rsidRDefault="004E0E02" w:rsidP="004E5809">
            <w:pPr>
              <w:pStyle w:val="-f1"/>
              <w:pBdr>
                <w:top w:val="none" w:sz="0" w:space="0" w:color="auto"/>
                <w:bottom w:val="double" w:sz="4" w:space="1" w:color="auto"/>
              </w:pBdr>
              <w:ind w:left="0" w:firstLine="0"/>
              <w:jc w:val="both"/>
              <w:rPr>
                <w:sz w:val="16"/>
                <w:szCs w:val="16"/>
                <w:rtl/>
              </w:rPr>
            </w:pPr>
            <w:r w:rsidRPr="009A7E4A">
              <w:rPr>
                <w:sz w:val="16"/>
                <w:szCs w:val="16"/>
                <w:rtl/>
              </w:rPr>
              <w:t>0</w:t>
            </w:r>
          </w:p>
        </w:tc>
        <w:tc>
          <w:tcPr>
            <w:tcW w:w="736" w:type="dxa"/>
            <w:vAlign w:val="bottom"/>
          </w:tcPr>
          <w:p w14:paraId="08379307"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794" w:type="dxa"/>
            <w:vAlign w:val="bottom"/>
          </w:tcPr>
          <w:p w14:paraId="5710266B" w14:textId="77777777" w:rsidR="004E0E02" w:rsidRPr="00CF2A74" w:rsidRDefault="004E0E02" w:rsidP="004E5809">
            <w:pPr>
              <w:pStyle w:val="-3"/>
              <w:pBdr>
                <w:bottom w:val="double" w:sz="4" w:space="1" w:color="auto"/>
              </w:pBdr>
              <w:jc w:val="left"/>
              <w:rPr>
                <w:b/>
                <w:bCs/>
                <w:sz w:val="16"/>
                <w:szCs w:val="16"/>
                <w:rtl/>
              </w:rPr>
            </w:pPr>
            <w:r w:rsidRPr="00CF2A74">
              <w:rPr>
                <w:sz w:val="16"/>
                <w:szCs w:val="16"/>
                <w:rtl/>
              </w:rPr>
              <w:t>0</w:t>
            </w:r>
          </w:p>
        </w:tc>
        <w:tc>
          <w:tcPr>
            <w:tcW w:w="905" w:type="dxa"/>
            <w:vAlign w:val="bottom"/>
          </w:tcPr>
          <w:p w14:paraId="219EBD86"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825" w:type="dxa"/>
            <w:vAlign w:val="bottom"/>
          </w:tcPr>
          <w:p w14:paraId="61D991AC"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941" w:type="dxa"/>
            <w:vAlign w:val="bottom"/>
          </w:tcPr>
          <w:p w14:paraId="72B66513"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882" w:type="dxa"/>
            <w:vAlign w:val="bottom"/>
          </w:tcPr>
          <w:p w14:paraId="5A5071D4"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1128" w:type="dxa"/>
            <w:vAlign w:val="bottom"/>
          </w:tcPr>
          <w:p w14:paraId="5B2BA975"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737" w:type="dxa"/>
            <w:vAlign w:val="bottom"/>
          </w:tcPr>
          <w:p w14:paraId="3510C65F"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712" w:type="dxa"/>
            <w:vAlign w:val="bottom"/>
          </w:tcPr>
          <w:p w14:paraId="5F96EE52"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r>
      <w:tr w:rsidR="004E0E02" w:rsidRPr="00513F0D" w14:paraId="29968E53" w14:textId="77777777" w:rsidTr="004A1ADA">
        <w:tc>
          <w:tcPr>
            <w:tcW w:w="850" w:type="dxa"/>
          </w:tcPr>
          <w:p w14:paraId="3DE5CDAF" w14:textId="77777777" w:rsidR="00F32A2A" w:rsidRDefault="00F32A2A">
            <w:pPr>
              <w:pStyle w:val="-7"/>
              <w:bidi w:val="0"/>
              <w:spacing w:line="240" w:lineRule="auto"/>
              <w:ind w:right="-231"/>
              <w:rPr>
                <w:spacing w:val="-6"/>
                <w:sz w:val="16"/>
                <w:szCs w:val="16"/>
                <w:rtl/>
              </w:rPr>
            </w:pPr>
          </w:p>
        </w:tc>
        <w:tc>
          <w:tcPr>
            <w:tcW w:w="1978" w:type="dxa"/>
            <w:vAlign w:val="bottom"/>
          </w:tcPr>
          <w:p w14:paraId="341085BF" w14:textId="77777777" w:rsidR="00F32A2A" w:rsidRDefault="00F32A2A">
            <w:pPr>
              <w:pStyle w:val="-7"/>
              <w:bidi w:val="0"/>
              <w:spacing w:line="240" w:lineRule="auto"/>
              <w:rPr>
                <w:sz w:val="16"/>
                <w:szCs w:val="16"/>
                <w:rtl/>
              </w:rPr>
            </w:pPr>
          </w:p>
        </w:tc>
        <w:tc>
          <w:tcPr>
            <w:tcW w:w="801" w:type="dxa"/>
          </w:tcPr>
          <w:p w14:paraId="78E7BBB0" w14:textId="77777777" w:rsidR="00F32A2A" w:rsidRDefault="00F32A2A">
            <w:pPr>
              <w:pStyle w:val="-212"/>
              <w:pBdr>
                <w:top w:val="none" w:sz="0" w:space="0" w:color="auto"/>
              </w:pBdr>
              <w:bidi w:val="0"/>
              <w:jc w:val="both"/>
              <w:rPr>
                <w:sz w:val="16"/>
                <w:szCs w:val="16"/>
                <w:rtl/>
              </w:rPr>
            </w:pPr>
          </w:p>
        </w:tc>
        <w:tc>
          <w:tcPr>
            <w:tcW w:w="881" w:type="dxa"/>
          </w:tcPr>
          <w:p w14:paraId="6D183DD4" w14:textId="77777777" w:rsidR="00F32A2A" w:rsidRDefault="00F32A2A">
            <w:pPr>
              <w:pStyle w:val="-212"/>
              <w:pBdr>
                <w:top w:val="none" w:sz="0" w:space="0" w:color="auto"/>
              </w:pBdr>
              <w:bidi w:val="0"/>
              <w:jc w:val="both"/>
              <w:rPr>
                <w:sz w:val="16"/>
                <w:szCs w:val="16"/>
                <w:rtl/>
              </w:rPr>
            </w:pPr>
          </w:p>
        </w:tc>
        <w:tc>
          <w:tcPr>
            <w:tcW w:w="941" w:type="dxa"/>
          </w:tcPr>
          <w:p w14:paraId="5608E7A0" w14:textId="77777777" w:rsidR="00F32A2A" w:rsidRDefault="00F32A2A">
            <w:pPr>
              <w:pStyle w:val="-212"/>
              <w:pBdr>
                <w:top w:val="none" w:sz="0" w:space="0" w:color="auto"/>
              </w:pBdr>
              <w:bidi w:val="0"/>
              <w:jc w:val="both"/>
              <w:rPr>
                <w:sz w:val="16"/>
                <w:szCs w:val="16"/>
                <w:rtl/>
              </w:rPr>
            </w:pPr>
          </w:p>
        </w:tc>
        <w:tc>
          <w:tcPr>
            <w:tcW w:w="881" w:type="dxa"/>
          </w:tcPr>
          <w:p w14:paraId="2EAAB779" w14:textId="77777777" w:rsidR="00F32A2A" w:rsidRDefault="00F32A2A">
            <w:pPr>
              <w:pStyle w:val="-212"/>
              <w:pBdr>
                <w:top w:val="none" w:sz="0" w:space="0" w:color="auto"/>
              </w:pBdr>
              <w:bidi w:val="0"/>
              <w:jc w:val="both"/>
              <w:rPr>
                <w:sz w:val="16"/>
                <w:szCs w:val="16"/>
                <w:rtl/>
              </w:rPr>
            </w:pPr>
          </w:p>
        </w:tc>
        <w:tc>
          <w:tcPr>
            <w:tcW w:w="1073" w:type="dxa"/>
          </w:tcPr>
          <w:p w14:paraId="664D6855" w14:textId="77777777" w:rsidR="00F32A2A" w:rsidRDefault="00F32A2A">
            <w:pPr>
              <w:pStyle w:val="-212"/>
              <w:pBdr>
                <w:top w:val="none" w:sz="0" w:space="0" w:color="auto"/>
              </w:pBdr>
              <w:bidi w:val="0"/>
              <w:jc w:val="both"/>
              <w:rPr>
                <w:sz w:val="16"/>
                <w:szCs w:val="16"/>
                <w:rtl/>
              </w:rPr>
            </w:pPr>
          </w:p>
        </w:tc>
        <w:tc>
          <w:tcPr>
            <w:tcW w:w="736" w:type="dxa"/>
          </w:tcPr>
          <w:p w14:paraId="42A87ABE" w14:textId="77777777" w:rsidR="00F32A2A" w:rsidRDefault="00F32A2A">
            <w:pPr>
              <w:pStyle w:val="-3"/>
              <w:bidi w:val="0"/>
              <w:spacing w:line="240" w:lineRule="auto"/>
              <w:rPr>
                <w:b/>
                <w:bCs/>
                <w:sz w:val="16"/>
                <w:szCs w:val="16"/>
                <w:rtl/>
              </w:rPr>
            </w:pPr>
          </w:p>
        </w:tc>
        <w:tc>
          <w:tcPr>
            <w:tcW w:w="794" w:type="dxa"/>
          </w:tcPr>
          <w:p w14:paraId="54799A26" w14:textId="77777777" w:rsidR="004E0E02" w:rsidRDefault="004E0E02">
            <w:pPr>
              <w:pStyle w:val="-3"/>
              <w:bidi w:val="0"/>
              <w:spacing w:line="240" w:lineRule="auto"/>
              <w:rPr>
                <w:b/>
                <w:bCs/>
                <w:sz w:val="16"/>
                <w:szCs w:val="16"/>
                <w:rtl/>
              </w:rPr>
            </w:pPr>
          </w:p>
        </w:tc>
        <w:tc>
          <w:tcPr>
            <w:tcW w:w="905" w:type="dxa"/>
          </w:tcPr>
          <w:p w14:paraId="581B7673" w14:textId="77777777" w:rsidR="00F32A2A" w:rsidRDefault="00F32A2A">
            <w:pPr>
              <w:pStyle w:val="-3"/>
              <w:bidi w:val="0"/>
              <w:spacing w:line="240" w:lineRule="auto"/>
              <w:rPr>
                <w:b/>
                <w:bCs/>
                <w:sz w:val="16"/>
                <w:szCs w:val="16"/>
                <w:rtl/>
              </w:rPr>
            </w:pPr>
          </w:p>
        </w:tc>
        <w:tc>
          <w:tcPr>
            <w:tcW w:w="825" w:type="dxa"/>
          </w:tcPr>
          <w:p w14:paraId="309C0108" w14:textId="77777777" w:rsidR="00F32A2A" w:rsidRDefault="00F32A2A">
            <w:pPr>
              <w:pStyle w:val="-3"/>
              <w:bidi w:val="0"/>
              <w:spacing w:line="240" w:lineRule="auto"/>
              <w:rPr>
                <w:b/>
                <w:bCs/>
                <w:sz w:val="16"/>
                <w:szCs w:val="16"/>
                <w:rtl/>
              </w:rPr>
            </w:pPr>
          </w:p>
        </w:tc>
        <w:tc>
          <w:tcPr>
            <w:tcW w:w="941" w:type="dxa"/>
          </w:tcPr>
          <w:p w14:paraId="6BE04EEB" w14:textId="77777777" w:rsidR="00F32A2A" w:rsidRDefault="00F32A2A">
            <w:pPr>
              <w:pStyle w:val="-3"/>
              <w:bidi w:val="0"/>
              <w:spacing w:line="240" w:lineRule="auto"/>
              <w:rPr>
                <w:b/>
                <w:bCs/>
                <w:sz w:val="16"/>
                <w:szCs w:val="16"/>
                <w:rtl/>
              </w:rPr>
            </w:pPr>
          </w:p>
        </w:tc>
        <w:tc>
          <w:tcPr>
            <w:tcW w:w="882" w:type="dxa"/>
          </w:tcPr>
          <w:p w14:paraId="1740845C" w14:textId="77777777" w:rsidR="00F32A2A" w:rsidRDefault="00F32A2A">
            <w:pPr>
              <w:pStyle w:val="-3"/>
              <w:bidi w:val="0"/>
              <w:spacing w:line="240" w:lineRule="auto"/>
              <w:rPr>
                <w:b/>
                <w:bCs/>
                <w:sz w:val="16"/>
                <w:szCs w:val="16"/>
                <w:rtl/>
              </w:rPr>
            </w:pPr>
          </w:p>
        </w:tc>
        <w:tc>
          <w:tcPr>
            <w:tcW w:w="1128" w:type="dxa"/>
          </w:tcPr>
          <w:p w14:paraId="212281FC" w14:textId="77777777" w:rsidR="00F32A2A" w:rsidRDefault="00F32A2A">
            <w:pPr>
              <w:pStyle w:val="-3"/>
              <w:bidi w:val="0"/>
              <w:spacing w:line="240" w:lineRule="auto"/>
              <w:rPr>
                <w:b/>
                <w:bCs/>
                <w:sz w:val="16"/>
                <w:szCs w:val="16"/>
                <w:rtl/>
              </w:rPr>
            </w:pPr>
          </w:p>
        </w:tc>
        <w:tc>
          <w:tcPr>
            <w:tcW w:w="737" w:type="dxa"/>
          </w:tcPr>
          <w:p w14:paraId="43E15BBE" w14:textId="77777777" w:rsidR="00F32A2A" w:rsidRDefault="00F32A2A">
            <w:pPr>
              <w:pStyle w:val="-3"/>
              <w:bidi w:val="0"/>
              <w:spacing w:line="240" w:lineRule="auto"/>
              <w:rPr>
                <w:b/>
                <w:bCs/>
                <w:sz w:val="16"/>
                <w:szCs w:val="16"/>
                <w:rtl/>
              </w:rPr>
            </w:pPr>
          </w:p>
        </w:tc>
        <w:tc>
          <w:tcPr>
            <w:tcW w:w="712" w:type="dxa"/>
          </w:tcPr>
          <w:p w14:paraId="37894E88" w14:textId="77777777" w:rsidR="00F32A2A" w:rsidRDefault="00F32A2A">
            <w:pPr>
              <w:pStyle w:val="-3"/>
              <w:bidi w:val="0"/>
              <w:spacing w:line="240" w:lineRule="auto"/>
              <w:rPr>
                <w:b/>
                <w:bCs/>
                <w:sz w:val="16"/>
                <w:szCs w:val="16"/>
                <w:rtl/>
              </w:rPr>
            </w:pPr>
          </w:p>
        </w:tc>
      </w:tr>
    </w:tbl>
    <w:p w14:paraId="0FDED49B" w14:textId="77777777" w:rsidR="00F32A2A" w:rsidRDefault="00F32A2A">
      <w:pPr>
        <w:jc w:val="left"/>
        <w:rPr>
          <w:rtl/>
        </w:rPr>
      </w:pPr>
    </w:p>
    <w:p w14:paraId="2F26B1F5" w14:textId="77777777" w:rsidR="004A1ADA" w:rsidRDefault="004A1ADA">
      <w:pPr>
        <w:jc w:val="left"/>
        <w:rPr>
          <w:rtl/>
        </w:rPr>
      </w:pPr>
    </w:p>
    <w:p w14:paraId="5F4BCD59" w14:textId="77777777" w:rsidR="004A1ADA" w:rsidRDefault="004A1ADA">
      <w:pPr>
        <w:jc w:val="left"/>
        <w:rPr>
          <w:rtl/>
        </w:rPr>
      </w:pPr>
    </w:p>
    <w:tbl>
      <w:tblPr>
        <w:bidiVisual/>
        <w:tblW w:w="5027" w:type="pct"/>
        <w:tblInd w:w="-82" w:type="dxa"/>
        <w:tblLook w:val="04A0" w:firstRow="1" w:lastRow="0" w:firstColumn="1" w:lastColumn="0" w:noHBand="0" w:noVBand="1"/>
      </w:tblPr>
      <w:tblGrid>
        <w:gridCol w:w="999"/>
        <w:gridCol w:w="14215"/>
      </w:tblGrid>
      <w:tr w:rsidR="006A61C9" w:rsidRPr="00543C25" w14:paraId="55906CD1" w14:textId="77777777" w:rsidTr="00EF186E">
        <w:trPr>
          <w:trHeight w:val="259"/>
        </w:trPr>
        <w:tc>
          <w:tcPr>
            <w:tcW w:w="999" w:type="dxa"/>
          </w:tcPr>
          <w:p w14:paraId="728EF89A" w14:textId="77777777" w:rsidR="006A61C9" w:rsidRPr="00ED6312" w:rsidRDefault="006A61C9" w:rsidP="00B555BC">
            <w:pPr>
              <w:pStyle w:val="-7"/>
              <w:bidi w:val="0"/>
              <w:ind w:right="-231"/>
              <w:jc w:val="left"/>
              <w:rPr>
                <w:spacing w:val="-6"/>
                <w:sz w:val="14"/>
                <w:szCs w:val="14"/>
                <w:rtl/>
              </w:rPr>
            </w:pPr>
          </w:p>
        </w:tc>
        <w:tc>
          <w:tcPr>
            <w:tcW w:w="14215" w:type="dxa"/>
          </w:tcPr>
          <w:p w14:paraId="71E411EC" w14:textId="77777777" w:rsidR="006A61C9" w:rsidRPr="00543C25" w:rsidRDefault="00DF4EAA" w:rsidP="009158C1">
            <w:pPr>
              <w:ind w:left="492" w:hanging="492"/>
              <w:rPr>
                <w:rtl/>
              </w:rPr>
            </w:pPr>
            <w:r w:rsidRPr="00543C25">
              <w:rPr>
                <w:b/>
                <w:bCs/>
                <w:rtl/>
              </w:rPr>
              <w:t>הביאורים ל</w:t>
            </w:r>
            <w:r>
              <w:rPr>
                <w:rFonts w:hint="cs"/>
                <w:b/>
                <w:bCs/>
                <w:rtl/>
              </w:rPr>
              <w:t xml:space="preserve">תמצית </w:t>
            </w:r>
            <w:r w:rsidR="00A14188">
              <w:rPr>
                <w:rFonts w:hint="cs"/>
                <w:b/>
                <w:bCs/>
                <w:rtl/>
              </w:rPr>
              <w:t>ה</w:t>
            </w:r>
            <w:r w:rsidRPr="00543C25">
              <w:rPr>
                <w:b/>
                <w:bCs/>
                <w:rtl/>
              </w:rPr>
              <w:t xml:space="preserve">דוחות הכספיים מהווים חלק בלתי נפרד </w:t>
            </w:r>
            <w:r>
              <w:rPr>
                <w:rFonts w:hint="cs"/>
                <w:b/>
                <w:bCs/>
                <w:rtl/>
              </w:rPr>
              <w:t>ממנה.</w:t>
            </w:r>
          </w:p>
        </w:tc>
      </w:tr>
    </w:tbl>
    <w:p w14:paraId="20AB5EED" w14:textId="77777777" w:rsidR="00A47C44" w:rsidRDefault="008966B2" w:rsidP="004D2053">
      <w:pPr>
        <w:pStyle w:val="-2"/>
        <w:ind w:left="1200"/>
        <w:rPr>
          <w:rtl/>
        </w:rPr>
      </w:pPr>
      <w:r>
        <w:rPr>
          <w:rFonts w:hint="cs"/>
          <w:rtl/>
        </w:rPr>
        <w:t xml:space="preserve"> </w:t>
      </w:r>
    </w:p>
    <w:p w14:paraId="69656B22" w14:textId="77777777" w:rsidR="00940908" w:rsidRDefault="00940908" w:rsidP="004D2053">
      <w:pPr>
        <w:pStyle w:val="-2"/>
        <w:ind w:left="1200"/>
        <w:rPr>
          <w:rtl/>
        </w:rPr>
      </w:pPr>
    </w:p>
    <w:p w14:paraId="72CBEAAA" w14:textId="77777777" w:rsidR="00940908" w:rsidRDefault="00940908" w:rsidP="004D2053">
      <w:pPr>
        <w:pStyle w:val="-2"/>
        <w:ind w:left="1200"/>
        <w:rPr>
          <w:rtl/>
        </w:rPr>
      </w:pPr>
    </w:p>
    <w:p w14:paraId="13F66A81" w14:textId="77777777" w:rsidR="009D3133" w:rsidRDefault="009D3133" w:rsidP="004D2053">
      <w:pPr>
        <w:pStyle w:val="-2"/>
        <w:ind w:left="1200"/>
        <w:rPr>
          <w:rtl/>
        </w:rPr>
      </w:pPr>
    </w:p>
    <w:p w14:paraId="6F609C52" w14:textId="77777777" w:rsidR="00DE0B68" w:rsidRDefault="00DE0B68" w:rsidP="004D2053">
      <w:pPr>
        <w:pStyle w:val="-2"/>
        <w:ind w:left="1200"/>
        <w:rPr>
          <w:rtl/>
        </w:rPr>
        <w:sectPr w:rsidR="00DE0B68" w:rsidSect="00587121">
          <w:headerReference w:type="even" r:id="rId21"/>
          <w:headerReference w:type="default" r:id="rId22"/>
          <w:footnotePr>
            <w:numRestart w:val="eachPage"/>
          </w:footnotePr>
          <w:pgSz w:w="16834" w:h="11909" w:orient="landscape" w:code="9"/>
          <w:pgMar w:top="851" w:right="851" w:bottom="851" w:left="851" w:header="720" w:footer="720" w:gutter="0"/>
          <w:cols w:space="720"/>
          <w:bidi/>
          <w:rtlGutter/>
          <w:docGrid w:linePitch="360"/>
        </w:sectPr>
      </w:pPr>
    </w:p>
    <w:p w14:paraId="6859DE3D" w14:textId="77777777" w:rsidR="00B66CDB" w:rsidRDefault="00B66CDB" w:rsidP="00043825">
      <w:pPr>
        <w:pStyle w:val="-2"/>
        <w:ind w:firstLine="1098"/>
        <w:rPr>
          <w:rtl/>
        </w:rPr>
      </w:pPr>
      <w:r w:rsidRPr="00543C25">
        <w:rPr>
          <w:rFonts w:hint="cs"/>
          <w:rtl/>
        </w:rPr>
        <w:lastRenderedPageBreak/>
        <w:t>בנק</w:t>
      </w:r>
      <w:r w:rsidRPr="00543C25">
        <w:rPr>
          <w:rtl/>
        </w:rPr>
        <w:t xml:space="preserve"> </w:t>
      </w:r>
      <w:r w:rsidRPr="00543C25">
        <w:rPr>
          <w:rFonts w:hint="cs"/>
          <w:rtl/>
        </w:rPr>
        <w:t xml:space="preserve">לדוגמה </w:t>
      </w:r>
      <w:r w:rsidRPr="00543C25">
        <w:rPr>
          <w:rtl/>
        </w:rPr>
        <w:t>בע"מ וחברות מאוחדות שלו</w:t>
      </w:r>
    </w:p>
    <w:p w14:paraId="5AAFAC17" w14:textId="46F7407B" w:rsidR="00B66CDB" w:rsidRPr="00B66CDB" w:rsidRDefault="00B66CDB" w:rsidP="0000611A">
      <w:pPr>
        <w:pStyle w:val="-2"/>
        <w:spacing w:after="80"/>
        <w:ind w:firstLine="1100"/>
        <w:rPr>
          <w:u w:val="single"/>
          <w:rtl/>
        </w:rPr>
      </w:pPr>
      <w:r w:rsidRPr="00B66CDB">
        <w:rPr>
          <w:rFonts w:hint="cs"/>
          <w:u w:val="single"/>
          <w:rtl/>
        </w:rPr>
        <w:t xml:space="preserve">תמצית דוח על השינויים בהון מאוחד לשישה חודשים שהסתיימו ביום 30 ביוני </w:t>
      </w:r>
      <w:r w:rsidR="0000611A" w:rsidRPr="0000611A">
        <w:rPr>
          <w:sz w:val="20"/>
          <w:szCs w:val="20"/>
          <w:u w:val="single"/>
          <w:rtl/>
        </w:rPr>
        <w:fldChar w:fldCharType="begin"/>
      </w:r>
      <w:r w:rsidR="0000611A" w:rsidRPr="0000611A">
        <w:rPr>
          <w:sz w:val="20"/>
          <w:szCs w:val="20"/>
          <w:u w:val="single"/>
          <w:rtl/>
        </w:rPr>
        <w:instrText xml:space="preserve"> </w:instrText>
      </w:r>
      <w:r w:rsidR="0000611A" w:rsidRPr="0000611A">
        <w:rPr>
          <w:rFonts w:hint="cs"/>
          <w:sz w:val="20"/>
          <w:szCs w:val="20"/>
          <w:u w:val="single"/>
          <w:rtl/>
        </w:rPr>
        <w:instrText xml:space="preserve">= </w:instrText>
      </w:r>
      <w:r w:rsidR="0000611A" w:rsidRPr="0000611A">
        <w:rPr>
          <w:rFonts w:hint="cs"/>
          <w:sz w:val="20"/>
          <w:szCs w:val="20"/>
          <w:u w:val="single"/>
        </w:rPr>
        <w:instrText>CY \* MERGEFORMAT</w:instrText>
      </w:r>
      <w:r w:rsidR="0000611A" w:rsidRPr="0000611A">
        <w:rPr>
          <w:sz w:val="20"/>
          <w:szCs w:val="20"/>
          <w:u w:val="single"/>
          <w:rtl/>
        </w:rPr>
        <w:instrText xml:space="preserve"> </w:instrText>
      </w:r>
      <w:r w:rsidR="0000611A" w:rsidRPr="0000611A">
        <w:rPr>
          <w:sz w:val="20"/>
          <w:szCs w:val="20"/>
          <w:u w:val="single"/>
          <w:rtl/>
        </w:rPr>
        <w:fldChar w:fldCharType="separate"/>
      </w:r>
      <w:r w:rsidR="003A584F" w:rsidRPr="003A584F">
        <w:rPr>
          <w:noProof/>
          <w:u w:val="single"/>
          <w:rtl/>
        </w:rPr>
        <w:t>2024</w:t>
      </w:r>
      <w:r w:rsidR="0000611A" w:rsidRPr="0000611A">
        <w:rPr>
          <w:sz w:val="20"/>
          <w:szCs w:val="20"/>
          <w:u w:val="single"/>
          <w:rtl/>
        </w:rPr>
        <w:fldChar w:fldCharType="end"/>
      </w:r>
      <w:r w:rsidR="0000611A" w:rsidRPr="0000611A">
        <w:rPr>
          <w:u w:val="single"/>
          <w:rtl/>
        </w:rPr>
        <w:t xml:space="preserve"> </w:t>
      </w:r>
      <w:r w:rsidR="00CC5F7B" w:rsidRPr="0000611A">
        <w:rPr>
          <w:rFonts w:hint="cs"/>
          <w:sz w:val="24"/>
          <w:szCs w:val="24"/>
          <w:u w:val="single"/>
          <w:rtl/>
        </w:rPr>
        <w:t xml:space="preserve"> </w:t>
      </w:r>
      <w:r w:rsidRPr="00B66CDB">
        <w:rPr>
          <w:rFonts w:hint="cs"/>
          <w:u w:val="single"/>
          <w:rtl/>
        </w:rPr>
        <w:t>(בלתי מבוקר)</w:t>
      </w:r>
    </w:p>
    <w:p w14:paraId="2069D7B5" w14:textId="77777777" w:rsidR="00B66CDB" w:rsidRPr="00977FCF" w:rsidRDefault="00B66CDB" w:rsidP="00043825">
      <w:pPr>
        <w:pStyle w:val="-2"/>
        <w:ind w:firstLine="1100"/>
        <w:rPr>
          <w:b w:val="0"/>
          <w:bCs w:val="0"/>
          <w:sz w:val="20"/>
          <w:szCs w:val="20"/>
          <w:rtl/>
        </w:rPr>
      </w:pPr>
      <w:r w:rsidRPr="00977FCF">
        <w:rPr>
          <w:rFonts w:hint="cs"/>
          <w:b w:val="0"/>
          <w:bCs w:val="0"/>
          <w:sz w:val="20"/>
          <w:szCs w:val="20"/>
          <w:rtl/>
        </w:rPr>
        <w:t>סכומים מדווחים (במיליוני ש"ח)</w:t>
      </w:r>
    </w:p>
    <w:tbl>
      <w:tblPr>
        <w:bidiVisual/>
        <w:tblW w:w="15182" w:type="dxa"/>
        <w:tblInd w:w="388" w:type="dxa"/>
        <w:tblLayout w:type="fixed"/>
        <w:tblLook w:val="04A0" w:firstRow="1" w:lastRow="0" w:firstColumn="1" w:lastColumn="0" w:noHBand="0" w:noVBand="1"/>
      </w:tblPr>
      <w:tblGrid>
        <w:gridCol w:w="850"/>
        <w:gridCol w:w="2282"/>
        <w:gridCol w:w="779"/>
        <w:gridCol w:w="861"/>
        <w:gridCol w:w="966"/>
        <w:gridCol w:w="819"/>
        <w:gridCol w:w="1073"/>
        <w:gridCol w:w="683"/>
        <w:gridCol w:w="793"/>
        <w:gridCol w:w="916"/>
        <w:gridCol w:w="819"/>
        <w:gridCol w:w="891"/>
        <w:gridCol w:w="781"/>
        <w:gridCol w:w="1153"/>
        <w:gridCol w:w="741"/>
        <w:gridCol w:w="775"/>
      </w:tblGrid>
      <w:tr w:rsidR="004E0E02" w:rsidRPr="00513F0D" w14:paraId="44295ECE" w14:textId="77777777" w:rsidTr="004A1ADA">
        <w:tc>
          <w:tcPr>
            <w:tcW w:w="850" w:type="dxa"/>
          </w:tcPr>
          <w:p w14:paraId="1784FD11" w14:textId="77777777" w:rsidR="00F32A2A" w:rsidRDefault="00F32A2A" w:rsidP="001835BD">
            <w:pPr>
              <w:pStyle w:val="-7"/>
              <w:ind w:right="-231"/>
              <w:jc w:val="left"/>
              <w:rPr>
                <w:sz w:val="14"/>
                <w:szCs w:val="14"/>
                <w:rtl/>
              </w:rPr>
            </w:pPr>
          </w:p>
        </w:tc>
        <w:tc>
          <w:tcPr>
            <w:tcW w:w="2282" w:type="dxa"/>
            <w:vAlign w:val="bottom"/>
          </w:tcPr>
          <w:p w14:paraId="63ED457F" w14:textId="77777777" w:rsidR="00F32A2A" w:rsidRDefault="00F32A2A" w:rsidP="001835BD">
            <w:pPr>
              <w:pStyle w:val="-0"/>
              <w:jc w:val="center"/>
              <w:rPr>
                <w:b/>
                <w:bCs/>
                <w:sz w:val="16"/>
                <w:szCs w:val="16"/>
                <w:rtl/>
              </w:rPr>
            </w:pPr>
          </w:p>
        </w:tc>
        <w:tc>
          <w:tcPr>
            <w:tcW w:w="779" w:type="dxa"/>
            <w:vAlign w:val="bottom"/>
          </w:tcPr>
          <w:p w14:paraId="20900E8D" w14:textId="77777777" w:rsidR="00F32A2A" w:rsidRDefault="00F32A2A" w:rsidP="001835BD">
            <w:pPr>
              <w:pStyle w:val="-4"/>
              <w:pBdr>
                <w:bottom w:val="none" w:sz="0" w:space="0" w:color="auto"/>
              </w:pBdr>
              <w:rPr>
                <w:sz w:val="16"/>
                <w:szCs w:val="16"/>
                <w:rtl/>
              </w:rPr>
            </w:pPr>
          </w:p>
        </w:tc>
        <w:tc>
          <w:tcPr>
            <w:tcW w:w="861" w:type="dxa"/>
            <w:vAlign w:val="bottom"/>
          </w:tcPr>
          <w:p w14:paraId="518B02E6" w14:textId="77777777" w:rsidR="00F32A2A" w:rsidRDefault="00F32A2A" w:rsidP="001835BD">
            <w:pPr>
              <w:pStyle w:val="-4"/>
              <w:pBdr>
                <w:bottom w:val="none" w:sz="0" w:space="0" w:color="auto"/>
              </w:pBdr>
              <w:rPr>
                <w:sz w:val="16"/>
                <w:szCs w:val="16"/>
                <w:rtl/>
              </w:rPr>
            </w:pPr>
          </w:p>
        </w:tc>
        <w:tc>
          <w:tcPr>
            <w:tcW w:w="966" w:type="dxa"/>
            <w:vAlign w:val="bottom"/>
          </w:tcPr>
          <w:p w14:paraId="5CFB1CED" w14:textId="77777777" w:rsidR="00F32A2A" w:rsidRDefault="00F32A2A" w:rsidP="001835BD">
            <w:pPr>
              <w:pStyle w:val="-4"/>
              <w:pBdr>
                <w:bottom w:val="none" w:sz="0" w:space="0" w:color="auto"/>
              </w:pBdr>
              <w:rPr>
                <w:sz w:val="16"/>
                <w:szCs w:val="16"/>
                <w:rtl/>
              </w:rPr>
            </w:pPr>
          </w:p>
        </w:tc>
        <w:tc>
          <w:tcPr>
            <w:tcW w:w="2575" w:type="dxa"/>
            <w:gridSpan w:val="3"/>
            <w:vAlign w:val="bottom"/>
          </w:tcPr>
          <w:p w14:paraId="2891951A" w14:textId="77777777" w:rsidR="00F32A2A" w:rsidRDefault="004E0E02" w:rsidP="001835BD">
            <w:pPr>
              <w:pStyle w:val="-4"/>
              <w:pBdr>
                <w:bottom w:val="single" w:sz="4" w:space="1" w:color="auto"/>
              </w:pBdr>
              <w:spacing w:line="240" w:lineRule="auto"/>
              <w:ind w:left="-57" w:right="-57"/>
              <w:rPr>
                <w:sz w:val="16"/>
                <w:szCs w:val="16"/>
                <w:rtl/>
              </w:rPr>
            </w:pPr>
            <w:r w:rsidRPr="00CF2A74">
              <w:rPr>
                <w:rFonts w:hint="eastAsia"/>
                <w:sz w:val="16"/>
                <w:szCs w:val="16"/>
                <w:rtl/>
              </w:rPr>
              <w:t>קרנות</w:t>
            </w:r>
            <w:r w:rsidRPr="00CF2A74">
              <w:rPr>
                <w:sz w:val="16"/>
                <w:szCs w:val="16"/>
                <w:rtl/>
              </w:rPr>
              <w:t xml:space="preserve"> </w:t>
            </w:r>
            <w:r w:rsidRPr="00CF2A74">
              <w:rPr>
                <w:rFonts w:hint="eastAsia"/>
                <w:sz w:val="16"/>
                <w:szCs w:val="16"/>
                <w:rtl/>
              </w:rPr>
              <w:t>הון</w:t>
            </w:r>
          </w:p>
        </w:tc>
        <w:tc>
          <w:tcPr>
            <w:tcW w:w="793" w:type="dxa"/>
            <w:vAlign w:val="bottom"/>
          </w:tcPr>
          <w:p w14:paraId="7411DA96" w14:textId="77777777" w:rsidR="00F32A2A" w:rsidRDefault="00F32A2A" w:rsidP="001835BD">
            <w:pPr>
              <w:pStyle w:val="-4"/>
              <w:pBdr>
                <w:bottom w:val="none" w:sz="0" w:space="0" w:color="auto"/>
              </w:pBdr>
              <w:rPr>
                <w:sz w:val="16"/>
                <w:szCs w:val="16"/>
                <w:rtl/>
              </w:rPr>
            </w:pPr>
          </w:p>
        </w:tc>
        <w:tc>
          <w:tcPr>
            <w:tcW w:w="916" w:type="dxa"/>
            <w:vAlign w:val="bottom"/>
          </w:tcPr>
          <w:p w14:paraId="6BFBAC05" w14:textId="77777777" w:rsidR="00F32A2A" w:rsidRDefault="00F32A2A" w:rsidP="001835BD">
            <w:pPr>
              <w:pStyle w:val="-4"/>
              <w:pBdr>
                <w:bottom w:val="none" w:sz="0" w:space="0" w:color="auto"/>
              </w:pBdr>
              <w:rPr>
                <w:sz w:val="16"/>
                <w:szCs w:val="16"/>
                <w:rtl/>
              </w:rPr>
            </w:pPr>
          </w:p>
        </w:tc>
        <w:tc>
          <w:tcPr>
            <w:tcW w:w="819" w:type="dxa"/>
            <w:vAlign w:val="bottom"/>
          </w:tcPr>
          <w:p w14:paraId="31031BA7" w14:textId="77777777" w:rsidR="00F32A2A" w:rsidRDefault="00F32A2A" w:rsidP="001835BD">
            <w:pPr>
              <w:pStyle w:val="-4"/>
              <w:pBdr>
                <w:bottom w:val="none" w:sz="0" w:space="0" w:color="auto"/>
              </w:pBdr>
              <w:rPr>
                <w:sz w:val="16"/>
                <w:szCs w:val="16"/>
                <w:rtl/>
              </w:rPr>
            </w:pPr>
          </w:p>
        </w:tc>
        <w:tc>
          <w:tcPr>
            <w:tcW w:w="891" w:type="dxa"/>
            <w:vAlign w:val="bottom"/>
          </w:tcPr>
          <w:p w14:paraId="5F48956E" w14:textId="77777777" w:rsidR="00F32A2A" w:rsidRDefault="00F32A2A" w:rsidP="001835BD">
            <w:pPr>
              <w:pStyle w:val="-4"/>
              <w:pBdr>
                <w:bottom w:val="none" w:sz="0" w:space="0" w:color="auto"/>
              </w:pBdr>
              <w:rPr>
                <w:sz w:val="16"/>
                <w:szCs w:val="16"/>
                <w:rtl/>
              </w:rPr>
            </w:pPr>
          </w:p>
        </w:tc>
        <w:tc>
          <w:tcPr>
            <w:tcW w:w="781" w:type="dxa"/>
            <w:vAlign w:val="bottom"/>
          </w:tcPr>
          <w:p w14:paraId="7E998CE6" w14:textId="77777777" w:rsidR="00F32A2A" w:rsidRDefault="00F32A2A" w:rsidP="001835BD">
            <w:pPr>
              <w:pStyle w:val="-4"/>
              <w:pBdr>
                <w:bottom w:val="none" w:sz="0" w:space="0" w:color="auto"/>
              </w:pBdr>
              <w:rPr>
                <w:sz w:val="16"/>
                <w:szCs w:val="16"/>
                <w:rtl/>
              </w:rPr>
            </w:pPr>
          </w:p>
        </w:tc>
        <w:tc>
          <w:tcPr>
            <w:tcW w:w="1153" w:type="dxa"/>
            <w:vAlign w:val="bottom"/>
          </w:tcPr>
          <w:p w14:paraId="63BF61FE" w14:textId="77777777" w:rsidR="00F32A2A" w:rsidRDefault="00F32A2A" w:rsidP="001835BD">
            <w:pPr>
              <w:pStyle w:val="-4"/>
              <w:pBdr>
                <w:bottom w:val="none" w:sz="0" w:space="0" w:color="auto"/>
              </w:pBdr>
              <w:rPr>
                <w:sz w:val="16"/>
                <w:szCs w:val="16"/>
                <w:rtl/>
              </w:rPr>
            </w:pPr>
          </w:p>
        </w:tc>
        <w:tc>
          <w:tcPr>
            <w:tcW w:w="741" w:type="dxa"/>
            <w:vAlign w:val="bottom"/>
          </w:tcPr>
          <w:p w14:paraId="401F32A7" w14:textId="77777777" w:rsidR="00F32A2A" w:rsidRDefault="00F32A2A" w:rsidP="001835BD">
            <w:pPr>
              <w:pStyle w:val="-4"/>
              <w:pBdr>
                <w:bottom w:val="none" w:sz="0" w:space="0" w:color="auto"/>
              </w:pBdr>
              <w:rPr>
                <w:sz w:val="16"/>
                <w:szCs w:val="16"/>
                <w:rtl/>
              </w:rPr>
            </w:pPr>
          </w:p>
        </w:tc>
        <w:tc>
          <w:tcPr>
            <w:tcW w:w="775" w:type="dxa"/>
            <w:vAlign w:val="bottom"/>
          </w:tcPr>
          <w:p w14:paraId="07E7014B" w14:textId="77777777" w:rsidR="00F32A2A" w:rsidRDefault="00F32A2A" w:rsidP="001835BD">
            <w:pPr>
              <w:pStyle w:val="-4"/>
              <w:pBdr>
                <w:bottom w:val="none" w:sz="0" w:space="0" w:color="auto"/>
              </w:pBdr>
              <w:rPr>
                <w:sz w:val="16"/>
                <w:szCs w:val="16"/>
                <w:rtl/>
              </w:rPr>
            </w:pPr>
          </w:p>
        </w:tc>
      </w:tr>
      <w:tr w:rsidR="004E0E02" w:rsidRPr="00513F0D" w14:paraId="78479C32" w14:textId="77777777" w:rsidTr="004A1ADA">
        <w:tc>
          <w:tcPr>
            <w:tcW w:w="850" w:type="dxa"/>
          </w:tcPr>
          <w:p w14:paraId="0226E666" w14:textId="77777777" w:rsidR="00F32A2A" w:rsidRDefault="004E0E02">
            <w:pPr>
              <w:pStyle w:val="-7"/>
              <w:ind w:right="-231"/>
              <w:jc w:val="left"/>
              <w:rPr>
                <w:b/>
                <w:bCs/>
                <w:spacing w:val="-6"/>
                <w:sz w:val="16"/>
                <w:szCs w:val="16"/>
                <w:rtl/>
              </w:rPr>
            </w:pPr>
            <w:r w:rsidRPr="00D35C2A">
              <w:rPr>
                <w:rFonts w:hint="cs"/>
                <w:sz w:val="14"/>
                <w:szCs w:val="14"/>
                <w:rtl/>
              </w:rPr>
              <w:t xml:space="preserve">מתכונת דוח </w:t>
            </w:r>
            <w:r w:rsidRPr="00D35C2A">
              <w:rPr>
                <w:sz w:val="14"/>
                <w:szCs w:val="14"/>
                <w:rtl/>
              </w:rPr>
              <w:br/>
            </w:r>
            <w:r w:rsidRPr="00D35C2A">
              <w:rPr>
                <w:rFonts w:hint="cs"/>
                <w:sz w:val="14"/>
                <w:szCs w:val="14"/>
                <w:rtl/>
              </w:rPr>
              <w:t>עמ' 663-</w:t>
            </w:r>
            <w:r>
              <w:rPr>
                <w:rFonts w:hint="cs"/>
                <w:sz w:val="14"/>
                <w:szCs w:val="14"/>
                <w:rtl/>
              </w:rPr>
              <w:t>9</w:t>
            </w:r>
          </w:p>
          <w:p w14:paraId="29617733" w14:textId="77777777" w:rsidR="009C4C81" w:rsidRPr="009C4C81" w:rsidRDefault="009C4C81">
            <w:pPr>
              <w:pStyle w:val="-7"/>
              <w:ind w:right="-231"/>
              <w:jc w:val="left"/>
              <w:rPr>
                <w:b/>
                <w:bCs/>
                <w:i/>
                <w:iCs/>
                <w:color w:val="FF0000"/>
                <w:spacing w:val="-6"/>
                <w:rtl/>
              </w:rPr>
            </w:pPr>
          </w:p>
        </w:tc>
        <w:tc>
          <w:tcPr>
            <w:tcW w:w="2282" w:type="dxa"/>
            <w:vAlign w:val="bottom"/>
          </w:tcPr>
          <w:p w14:paraId="1B26B673" w14:textId="77777777" w:rsidR="004E0E02" w:rsidRPr="00CF2A74" w:rsidRDefault="004E0E02" w:rsidP="00CF2A74">
            <w:pPr>
              <w:pStyle w:val="-0"/>
              <w:jc w:val="center"/>
              <w:rPr>
                <w:b/>
                <w:bCs/>
                <w:sz w:val="16"/>
                <w:szCs w:val="16"/>
                <w:rtl/>
              </w:rPr>
            </w:pPr>
          </w:p>
        </w:tc>
        <w:tc>
          <w:tcPr>
            <w:tcW w:w="779" w:type="dxa"/>
            <w:vAlign w:val="bottom"/>
          </w:tcPr>
          <w:p w14:paraId="373218DE" w14:textId="77777777" w:rsidR="004E0E02" w:rsidRDefault="004E0E02">
            <w:pPr>
              <w:pStyle w:val="-4"/>
              <w:rPr>
                <w:sz w:val="16"/>
                <w:szCs w:val="16"/>
                <w:rtl/>
              </w:rPr>
            </w:pPr>
            <w:r w:rsidRPr="00CF2A74">
              <w:rPr>
                <w:rFonts w:hint="eastAsia"/>
                <w:sz w:val="16"/>
                <w:szCs w:val="16"/>
                <w:rtl/>
              </w:rPr>
              <w:t>הון</w:t>
            </w:r>
            <w:r w:rsidRPr="00CF2A74">
              <w:rPr>
                <w:sz w:val="16"/>
                <w:szCs w:val="16"/>
                <w:rtl/>
              </w:rPr>
              <w:t xml:space="preserve"> </w:t>
            </w:r>
            <w:r w:rsidRPr="00CF2A74">
              <w:rPr>
                <w:rFonts w:hint="eastAsia"/>
                <w:sz w:val="16"/>
                <w:szCs w:val="16"/>
                <w:rtl/>
              </w:rPr>
              <w:t>המניות</w:t>
            </w:r>
            <w:r w:rsidRPr="00CF2A74">
              <w:rPr>
                <w:sz w:val="16"/>
                <w:szCs w:val="16"/>
                <w:rtl/>
              </w:rPr>
              <w:t xml:space="preserve"> </w:t>
            </w:r>
            <w:r w:rsidRPr="00CF2A74">
              <w:rPr>
                <w:rFonts w:hint="eastAsia"/>
                <w:sz w:val="16"/>
                <w:szCs w:val="16"/>
                <w:rtl/>
              </w:rPr>
              <w:t>הנפרע</w:t>
            </w:r>
          </w:p>
        </w:tc>
        <w:tc>
          <w:tcPr>
            <w:tcW w:w="861" w:type="dxa"/>
            <w:vAlign w:val="bottom"/>
          </w:tcPr>
          <w:p w14:paraId="17F0D43E" w14:textId="77777777" w:rsidR="004E0E02" w:rsidRDefault="004E0E02">
            <w:pPr>
              <w:pStyle w:val="-4"/>
              <w:rPr>
                <w:sz w:val="16"/>
                <w:szCs w:val="16"/>
                <w:rtl/>
              </w:rPr>
            </w:pPr>
            <w:r w:rsidRPr="00CF2A74">
              <w:rPr>
                <w:rFonts w:hint="eastAsia"/>
                <w:sz w:val="16"/>
                <w:szCs w:val="16"/>
                <w:rtl/>
              </w:rPr>
              <w:t>תקבולים</w:t>
            </w:r>
            <w:r w:rsidRPr="00CF2A74">
              <w:rPr>
                <w:sz w:val="16"/>
                <w:szCs w:val="16"/>
                <w:rtl/>
              </w:rPr>
              <w:t xml:space="preserve"> </w:t>
            </w:r>
            <w:r w:rsidRPr="00CF2A74">
              <w:rPr>
                <w:rFonts w:hint="eastAsia"/>
                <w:sz w:val="16"/>
                <w:szCs w:val="16"/>
                <w:rtl/>
              </w:rPr>
              <w:t>על</w:t>
            </w:r>
            <w:r w:rsidRPr="00CF2A74">
              <w:rPr>
                <w:sz w:val="16"/>
                <w:szCs w:val="16"/>
                <w:rtl/>
              </w:rPr>
              <w:t xml:space="preserve"> </w:t>
            </w:r>
            <w:r w:rsidRPr="00CF2A74">
              <w:rPr>
                <w:rFonts w:hint="eastAsia"/>
                <w:sz w:val="16"/>
                <w:szCs w:val="16"/>
                <w:rtl/>
              </w:rPr>
              <w:t>חשבון</w:t>
            </w:r>
            <w:r w:rsidRPr="00CF2A74">
              <w:rPr>
                <w:sz w:val="16"/>
                <w:szCs w:val="16"/>
                <w:rtl/>
              </w:rPr>
              <w:t xml:space="preserve"> </w:t>
            </w:r>
            <w:r w:rsidRPr="00CF2A74">
              <w:rPr>
                <w:rFonts w:hint="eastAsia"/>
                <w:sz w:val="16"/>
                <w:szCs w:val="16"/>
                <w:rtl/>
              </w:rPr>
              <w:t>מניות</w:t>
            </w:r>
          </w:p>
        </w:tc>
        <w:tc>
          <w:tcPr>
            <w:tcW w:w="966" w:type="dxa"/>
            <w:vAlign w:val="bottom"/>
          </w:tcPr>
          <w:p w14:paraId="0D0B0EF7" w14:textId="77777777" w:rsidR="004E0E02" w:rsidRDefault="004E0E02">
            <w:pPr>
              <w:pStyle w:val="-4"/>
              <w:rPr>
                <w:sz w:val="16"/>
                <w:szCs w:val="16"/>
                <w:rtl/>
              </w:rPr>
            </w:pPr>
            <w:r w:rsidRPr="00CF2A74">
              <w:rPr>
                <w:rFonts w:hint="eastAsia"/>
                <w:sz w:val="16"/>
                <w:szCs w:val="16"/>
                <w:rtl/>
              </w:rPr>
              <w:t>התחייבויות</w:t>
            </w:r>
            <w:r w:rsidRPr="00CF2A74">
              <w:rPr>
                <w:sz w:val="16"/>
                <w:szCs w:val="16"/>
                <w:rtl/>
              </w:rPr>
              <w:t xml:space="preserve"> </w:t>
            </w:r>
            <w:r w:rsidRPr="00CF2A74">
              <w:rPr>
                <w:rFonts w:hint="eastAsia"/>
                <w:sz w:val="16"/>
                <w:szCs w:val="16"/>
                <w:rtl/>
              </w:rPr>
              <w:t>צמיתות</w:t>
            </w:r>
          </w:p>
        </w:tc>
        <w:tc>
          <w:tcPr>
            <w:tcW w:w="819" w:type="dxa"/>
            <w:vAlign w:val="bottom"/>
          </w:tcPr>
          <w:p w14:paraId="7C49D54C" w14:textId="77777777" w:rsidR="004E0E02" w:rsidRDefault="004E0E02">
            <w:pPr>
              <w:pStyle w:val="-4"/>
              <w:rPr>
                <w:sz w:val="16"/>
                <w:szCs w:val="16"/>
                <w:rtl/>
              </w:rPr>
            </w:pPr>
            <w:r w:rsidRPr="00CF2A74">
              <w:rPr>
                <w:rFonts w:hint="eastAsia"/>
                <w:sz w:val="16"/>
                <w:szCs w:val="16"/>
                <w:rtl/>
              </w:rPr>
              <w:t>מפרמיה</w:t>
            </w:r>
          </w:p>
        </w:tc>
        <w:tc>
          <w:tcPr>
            <w:tcW w:w="1073" w:type="dxa"/>
            <w:vAlign w:val="bottom"/>
          </w:tcPr>
          <w:p w14:paraId="3788ADF6" w14:textId="77777777" w:rsidR="00F32A2A" w:rsidRPr="009A7E4A" w:rsidRDefault="004E0E02">
            <w:pPr>
              <w:pStyle w:val="-4"/>
              <w:pBdr>
                <w:bottom w:val="single" w:sz="4" w:space="1" w:color="auto"/>
              </w:pBdr>
              <w:rPr>
                <w:sz w:val="16"/>
                <w:szCs w:val="16"/>
                <w:rtl/>
              </w:rPr>
            </w:pPr>
            <w:r w:rsidRPr="009A7E4A">
              <w:rPr>
                <w:rFonts w:hint="eastAsia"/>
                <w:sz w:val="16"/>
                <w:szCs w:val="16"/>
                <w:rtl/>
              </w:rPr>
              <w:t>מהטבה</w:t>
            </w:r>
            <w:r w:rsidRPr="009A7E4A">
              <w:rPr>
                <w:sz w:val="16"/>
                <w:szCs w:val="16"/>
                <w:rtl/>
              </w:rPr>
              <w:t xml:space="preserve"> </w:t>
            </w:r>
            <w:r w:rsidRPr="009A7E4A">
              <w:rPr>
                <w:rFonts w:hint="eastAsia"/>
                <w:sz w:val="16"/>
                <w:szCs w:val="16"/>
                <w:rtl/>
              </w:rPr>
              <w:t>בשל</w:t>
            </w:r>
            <w:r w:rsidRPr="009A7E4A">
              <w:rPr>
                <w:sz w:val="16"/>
                <w:szCs w:val="16"/>
                <w:rtl/>
              </w:rPr>
              <w:t xml:space="preserve"> </w:t>
            </w:r>
            <w:r w:rsidRPr="009A7E4A">
              <w:rPr>
                <w:rFonts w:hint="eastAsia"/>
                <w:sz w:val="16"/>
                <w:szCs w:val="16"/>
                <w:rtl/>
              </w:rPr>
              <w:t>עסקאות</w:t>
            </w:r>
            <w:r w:rsidRPr="009A7E4A">
              <w:rPr>
                <w:sz w:val="16"/>
                <w:szCs w:val="16"/>
                <w:rtl/>
              </w:rPr>
              <w:t xml:space="preserve"> </w:t>
            </w:r>
            <w:r w:rsidRPr="009A7E4A">
              <w:rPr>
                <w:rFonts w:hint="eastAsia"/>
                <w:sz w:val="16"/>
                <w:szCs w:val="16"/>
                <w:rtl/>
              </w:rPr>
              <w:t>תשלום</w:t>
            </w:r>
            <w:r w:rsidRPr="009A7E4A">
              <w:rPr>
                <w:sz w:val="16"/>
                <w:szCs w:val="16"/>
                <w:rtl/>
              </w:rPr>
              <w:t xml:space="preserve"> </w:t>
            </w:r>
            <w:r w:rsidRPr="009A7E4A">
              <w:rPr>
                <w:rFonts w:hint="eastAsia"/>
                <w:sz w:val="16"/>
                <w:szCs w:val="16"/>
                <w:rtl/>
              </w:rPr>
              <w:t>מבוסס</w:t>
            </w:r>
            <w:r w:rsidRPr="009A7E4A">
              <w:rPr>
                <w:sz w:val="16"/>
                <w:szCs w:val="16"/>
                <w:rtl/>
              </w:rPr>
              <w:t xml:space="preserve"> </w:t>
            </w:r>
            <w:r w:rsidRPr="009A7E4A">
              <w:rPr>
                <w:rFonts w:hint="eastAsia"/>
                <w:sz w:val="16"/>
                <w:szCs w:val="16"/>
                <w:rtl/>
              </w:rPr>
              <w:t>מניות</w:t>
            </w:r>
          </w:p>
        </w:tc>
        <w:tc>
          <w:tcPr>
            <w:tcW w:w="683" w:type="dxa"/>
            <w:vAlign w:val="bottom"/>
          </w:tcPr>
          <w:p w14:paraId="118678D5" w14:textId="77777777" w:rsidR="00F32A2A" w:rsidRDefault="004E0E02">
            <w:pPr>
              <w:pStyle w:val="-4"/>
              <w:pBdr>
                <w:bottom w:val="single" w:sz="4" w:space="1" w:color="auto"/>
              </w:pBdr>
              <w:spacing w:line="240" w:lineRule="auto"/>
              <w:ind w:left="-57" w:right="-57"/>
              <w:rPr>
                <w:sz w:val="16"/>
                <w:szCs w:val="16"/>
                <w:rtl/>
              </w:rPr>
            </w:pPr>
            <w:r w:rsidRPr="00CF2A74">
              <w:rPr>
                <w:rFonts w:hint="eastAsia"/>
                <w:sz w:val="16"/>
                <w:szCs w:val="16"/>
                <w:rtl/>
              </w:rPr>
              <w:t>אחרות</w:t>
            </w:r>
            <w:r w:rsidRPr="00CF2A74">
              <w:rPr>
                <w:sz w:val="16"/>
                <w:szCs w:val="16"/>
                <w:rtl/>
              </w:rPr>
              <w:t xml:space="preserve"> [פרט]</w:t>
            </w:r>
          </w:p>
        </w:tc>
        <w:tc>
          <w:tcPr>
            <w:tcW w:w="793" w:type="dxa"/>
            <w:vAlign w:val="bottom"/>
          </w:tcPr>
          <w:p w14:paraId="6ED63B46" w14:textId="77777777" w:rsidR="004E0E02" w:rsidRPr="00CF2A74" w:rsidRDefault="004E0E02" w:rsidP="003F6135">
            <w:pPr>
              <w:pStyle w:val="-4"/>
              <w:rPr>
                <w:sz w:val="16"/>
                <w:szCs w:val="16"/>
                <w:rtl/>
              </w:rPr>
            </w:pPr>
            <w:r w:rsidRPr="00CF2A74">
              <w:rPr>
                <w:rFonts w:hint="eastAsia"/>
                <w:sz w:val="16"/>
                <w:szCs w:val="16"/>
                <w:rtl/>
              </w:rPr>
              <w:t>מניות</w:t>
            </w:r>
            <w:r w:rsidRPr="00CF2A74">
              <w:rPr>
                <w:sz w:val="16"/>
                <w:szCs w:val="16"/>
                <w:rtl/>
              </w:rPr>
              <w:t xml:space="preserve"> </w:t>
            </w:r>
            <w:r w:rsidRPr="00CF2A74">
              <w:rPr>
                <w:rFonts w:hint="eastAsia"/>
                <w:sz w:val="16"/>
                <w:szCs w:val="16"/>
                <w:rtl/>
              </w:rPr>
              <w:t>באוצר</w:t>
            </w:r>
          </w:p>
        </w:tc>
        <w:tc>
          <w:tcPr>
            <w:tcW w:w="916" w:type="dxa"/>
            <w:vAlign w:val="bottom"/>
          </w:tcPr>
          <w:p w14:paraId="2BACD99A" w14:textId="77777777" w:rsidR="004E0E02" w:rsidRPr="00513F0D" w:rsidRDefault="004E0E02" w:rsidP="003F6135">
            <w:pPr>
              <w:pStyle w:val="-4"/>
              <w:rPr>
                <w:sz w:val="16"/>
                <w:szCs w:val="16"/>
                <w:rtl/>
              </w:rPr>
            </w:pPr>
            <w:r w:rsidRPr="00CF2A74">
              <w:rPr>
                <w:rFonts w:hint="eastAsia"/>
                <w:sz w:val="16"/>
                <w:szCs w:val="16"/>
                <w:rtl/>
              </w:rPr>
              <w:t>סך</w:t>
            </w:r>
            <w:r w:rsidRPr="00CF2A74">
              <w:rPr>
                <w:sz w:val="16"/>
                <w:szCs w:val="16"/>
                <w:rtl/>
              </w:rPr>
              <w:t xml:space="preserve"> </w:t>
            </w:r>
            <w:r w:rsidRPr="00CF2A74">
              <w:rPr>
                <w:rFonts w:hint="eastAsia"/>
                <w:sz w:val="16"/>
                <w:szCs w:val="16"/>
                <w:rtl/>
              </w:rPr>
              <w:t>הכל</w:t>
            </w:r>
          </w:p>
          <w:p w14:paraId="2124B573" w14:textId="77777777" w:rsidR="004E0E02" w:rsidRPr="00513F0D" w:rsidRDefault="004E0E02" w:rsidP="003F6135">
            <w:pPr>
              <w:pStyle w:val="-4"/>
              <w:rPr>
                <w:sz w:val="16"/>
                <w:szCs w:val="16"/>
                <w:rtl/>
              </w:rPr>
            </w:pPr>
            <w:r w:rsidRPr="00CF2A74">
              <w:rPr>
                <w:rFonts w:hint="eastAsia"/>
                <w:sz w:val="16"/>
                <w:szCs w:val="16"/>
                <w:rtl/>
              </w:rPr>
              <w:t>הון</w:t>
            </w:r>
            <w:r w:rsidRPr="00CF2A74">
              <w:rPr>
                <w:sz w:val="16"/>
                <w:szCs w:val="16"/>
                <w:rtl/>
              </w:rPr>
              <w:t xml:space="preserve"> </w:t>
            </w:r>
            <w:r w:rsidRPr="00CF2A74">
              <w:rPr>
                <w:rFonts w:hint="eastAsia"/>
                <w:sz w:val="16"/>
                <w:szCs w:val="16"/>
                <w:rtl/>
              </w:rPr>
              <w:t>המניות</w:t>
            </w:r>
            <w:r w:rsidRPr="00CF2A74">
              <w:rPr>
                <w:sz w:val="16"/>
                <w:szCs w:val="16"/>
                <w:rtl/>
              </w:rPr>
              <w:t xml:space="preserve"> </w:t>
            </w:r>
            <w:r w:rsidRPr="00CF2A74">
              <w:rPr>
                <w:rFonts w:hint="eastAsia"/>
                <w:sz w:val="16"/>
                <w:szCs w:val="16"/>
                <w:rtl/>
              </w:rPr>
              <w:t>הנפרע</w:t>
            </w:r>
            <w:r w:rsidRPr="00CF2A74">
              <w:rPr>
                <w:sz w:val="16"/>
                <w:szCs w:val="16"/>
                <w:rtl/>
              </w:rPr>
              <w:t xml:space="preserve"> </w:t>
            </w:r>
            <w:r w:rsidRPr="00CF2A74">
              <w:rPr>
                <w:rFonts w:hint="eastAsia"/>
                <w:sz w:val="16"/>
                <w:szCs w:val="16"/>
                <w:rtl/>
              </w:rPr>
              <w:t>וקרנות</w:t>
            </w:r>
            <w:r w:rsidRPr="00CF2A74">
              <w:rPr>
                <w:sz w:val="16"/>
                <w:szCs w:val="16"/>
                <w:rtl/>
              </w:rPr>
              <w:t xml:space="preserve"> </w:t>
            </w:r>
            <w:r w:rsidRPr="00CF2A74">
              <w:rPr>
                <w:rFonts w:hint="eastAsia"/>
                <w:sz w:val="16"/>
                <w:szCs w:val="16"/>
                <w:rtl/>
              </w:rPr>
              <w:t>הון</w:t>
            </w:r>
          </w:p>
        </w:tc>
        <w:tc>
          <w:tcPr>
            <w:tcW w:w="819" w:type="dxa"/>
            <w:vAlign w:val="bottom"/>
          </w:tcPr>
          <w:p w14:paraId="1851C1B7" w14:textId="77777777" w:rsidR="004E0E02" w:rsidRPr="00513F0D" w:rsidRDefault="004E0E02" w:rsidP="003F6135">
            <w:pPr>
              <w:pStyle w:val="-4"/>
              <w:rPr>
                <w:sz w:val="16"/>
                <w:szCs w:val="16"/>
                <w:rtl/>
              </w:rPr>
            </w:pPr>
            <w:r w:rsidRPr="00CF2A74">
              <w:rPr>
                <w:rFonts w:hint="eastAsia"/>
                <w:sz w:val="16"/>
                <w:szCs w:val="16"/>
                <w:rtl/>
              </w:rPr>
              <w:t>רווח</w:t>
            </w:r>
            <w:r w:rsidRPr="00CF2A74">
              <w:rPr>
                <w:sz w:val="16"/>
                <w:szCs w:val="16"/>
                <w:rtl/>
              </w:rPr>
              <w:t xml:space="preserve"> </w:t>
            </w:r>
            <w:r w:rsidRPr="00CF2A74">
              <w:rPr>
                <w:rFonts w:hint="eastAsia"/>
                <w:sz w:val="16"/>
                <w:szCs w:val="16"/>
                <w:rtl/>
              </w:rPr>
              <w:t>כולל</w:t>
            </w:r>
            <w:r w:rsidRPr="00CF2A74">
              <w:rPr>
                <w:sz w:val="16"/>
                <w:szCs w:val="16"/>
                <w:rtl/>
              </w:rPr>
              <w:t xml:space="preserve"> </w:t>
            </w:r>
            <w:r w:rsidRPr="00CF2A74">
              <w:rPr>
                <w:rFonts w:hint="eastAsia"/>
                <w:sz w:val="16"/>
                <w:szCs w:val="16"/>
                <w:rtl/>
              </w:rPr>
              <w:t>אחר</w:t>
            </w:r>
            <w:r w:rsidRPr="00CF2A74">
              <w:rPr>
                <w:sz w:val="16"/>
                <w:szCs w:val="16"/>
                <w:rtl/>
              </w:rPr>
              <w:t xml:space="preserve"> </w:t>
            </w:r>
            <w:r w:rsidRPr="00CF2A74">
              <w:rPr>
                <w:rFonts w:hint="eastAsia"/>
                <w:sz w:val="16"/>
                <w:szCs w:val="16"/>
                <w:rtl/>
              </w:rPr>
              <w:t>מצטבר</w:t>
            </w:r>
          </w:p>
        </w:tc>
        <w:tc>
          <w:tcPr>
            <w:tcW w:w="891" w:type="dxa"/>
            <w:vAlign w:val="bottom"/>
          </w:tcPr>
          <w:p w14:paraId="13814128" w14:textId="77777777" w:rsidR="004E0E02" w:rsidRPr="00513F0D" w:rsidRDefault="004E0E02" w:rsidP="003F6135">
            <w:pPr>
              <w:pStyle w:val="-4"/>
              <w:rPr>
                <w:sz w:val="16"/>
                <w:szCs w:val="16"/>
                <w:rtl/>
              </w:rPr>
            </w:pPr>
            <w:r w:rsidRPr="00CF2A74">
              <w:rPr>
                <w:rFonts w:hint="eastAsia"/>
                <w:sz w:val="16"/>
                <w:szCs w:val="16"/>
                <w:rtl/>
              </w:rPr>
              <w:t>עודפים</w:t>
            </w:r>
            <w:r w:rsidRPr="00CF2A74">
              <w:rPr>
                <w:sz w:val="16"/>
                <w:szCs w:val="16"/>
                <w:rtl/>
              </w:rPr>
              <w:t xml:space="preserve"> (גירעונות) שנצברו</w:t>
            </w:r>
          </w:p>
        </w:tc>
        <w:tc>
          <w:tcPr>
            <w:tcW w:w="781" w:type="dxa"/>
            <w:vAlign w:val="bottom"/>
          </w:tcPr>
          <w:p w14:paraId="60AD4D6F" w14:textId="77777777" w:rsidR="004E0E02" w:rsidRPr="00513F0D" w:rsidRDefault="004E0E02" w:rsidP="003F6135">
            <w:pPr>
              <w:pStyle w:val="-4"/>
              <w:rPr>
                <w:sz w:val="16"/>
                <w:szCs w:val="16"/>
                <w:rtl/>
              </w:rPr>
            </w:pPr>
            <w:r w:rsidRPr="00CF2A74">
              <w:rPr>
                <w:rFonts w:hint="eastAsia"/>
                <w:sz w:val="16"/>
                <w:szCs w:val="16"/>
                <w:rtl/>
              </w:rPr>
              <w:t>סעיפים</w:t>
            </w:r>
            <w:r w:rsidRPr="00CF2A74">
              <w:rPr>
                <w:sz w:val="16"/>
                <w:szCs w:val="16"/>
                <w:rtl/>
              </w:rPr>
              <w:t xml:space="preserve"> </w:t>
            </w:r>
            <w:r w:rsidRPr="00CF2A74">
              <w:rPr>
                <w:rFonts w:hint="eastAsia"/>
                <w:sz w:val="16"/>
                <w:szCs w:val="16"/>
                <w:rtl/>
              </w:rPr>
              <w:t>הוניים</w:t>
            </w:r>
            <w:r w:rsidRPr="00CF2A74">
              <w:rPr>
                <w:sz w:val="16"/>
                <w:szCs w:val="16"/>
                <w:rtl/>
              </w:rPr>
              <w:t xml:space="preserve"> אחרים</w:t>
            </w:r>
          </w:p>
        </w:tc>
        <w:tc>
          <w:tcPr>
            <w:tcW w:w="1153" w:type="dxa"/>
            <w:vAlign w:val="bottom"/>
          </w:tcPr>
          <w:p w14:paraId="7380741D" w14:textId="77777777" w:rsidR="004E0E02" w:rsidRDefault="004E0E02">
            <w:pPr>
              <w:pStyle w:val="-4"/>
              <w:rPr>
                <w:sz w:val="16"/>
                <w:szCs w:val="16"/>
                <w:rtl/>
              </w:rPr>
            </w:pPr>
            <w:r w:rsidRPr="00CF2A74">
              <w:rPr>
                <w:rFonts w:hint="eastAsia"/>
                <w:sz w:val="16"/>
                <w:szCs w:val="16"/>
                <w:rtl/>
              </w:rPr>
              <w:t>סך</w:t>
            </w:r>
            <w:r w:rsidRPr="00CF2A74">
              <w:rPr>
                <w:sz w:val="16"/>
                <w:szCs w:val="16"/>
                <w:rtl/>
              </w:rPr>
              <w:t xml:space="preserve"> </w:t>
            </w:r>
            <w:r>
              <w:rPr>
                <w:rFonts w:hint="cs"/>
                <w:sz w:val="16"/>
                <w:szCs w:val="16"/>
                <w:rtl/>
              </w:rPr>
              <w:t>ה</w:t>
            </w:r>
            <w:r w:rsidRPr="00CF2A74">
              <w:rPr>
                <w:rFonts w:hint="eastAsia"/>
                <w:sz w:val="16"/>
                <w:szCs w:val="16"/>
                <w:rtl/>
              </w:rPr>
              <w:t>כל</w:t>
            </w:r>
            <w:r w:rsidRPr="00CF2A74">
              <w:rPr>
                <w:sz w:val="16"/>
                <w:szCs w:val="16"/>
                <w:rtl/>
              </w:rPr>
              <w:t xml:space="preserve"> </w:t>
            </w:r>
            <w:r w:rsidRPr="00CF2A74">
              <w:rPr>
                <w:rFonts w:hint="eastAsia"/>
                <w:sz w:val="16"/>
                <w:szCs w:val="16"/>
                <w:rtl/>
              </w:rPr>
              <w:t>הון</w:t>
            </w:r>
            <w:r w:rsidRPr="00CF2A74">
              <w:rPr>
                <w:sz w:val="16"/>
                <w:szCs w:val="16"/>
                <w:rtl/>
              </w:rPr>
              <w:t xml:space="preserve"> </w:t>
            </w:r>
            <w:r w:rsidRPr="00CF2A74">
              <w:rPr>
                <w:rFonts w:hint="eastAsia"/>
                <w:sz w:val="16"/>
                <w:szCs w:val="16"/>
                <w:rtl/>
              </w:rPr>
              <w:t>המיוחס</w:t>
            </w:r>
            <w:r w:rsidRPr="00CF2A74">
              <w:rPr>
                <w:sz w:val="16"/>
                <w:szCs w:val="16"/>
                <w:rtl/>
              </w:rPr>
              <w:t xml:space="preserve"> </w:t>
            </w:r>
            <w:r w:rsidRPr="00CF2A74">
              <w:rPr>
                <w:rFonts w:hint="eastAsia"/>
                <w:sz w:val="16"/>
                <w:szCs w:val="16"/>
                <w:rtl/>
              </w:rPr>
              <w:t>לבעלי</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התאגיד</w:t>
            </w:r>
            <w:r w:rsidRPr="00CF2A74">
              <w:rPr>
                <w:sz w:val="16"/>
                <w:szCs w:val="16"/>
                <w:rtl/>
              </w:rPr>
              <w:t xml:space="preserve"> </w:t>
            </w:r>
            <w:r w:rsidRPr="00CF2A74">
              <w:rPr>
                <w:rFonts w:hint="eastAsia"/>
                <w:sz w:val="16"/>
                <w:szCs w:val="16"/>
                <w:rtl/>
              </w:rPr>
              <w:t>הבנקאי</w:t>
            </w:r>
          </w:p>
        </w:tc>
        <w:tc>
          <w:tcPr>
            <w:tcW w:w="741" w:type="dxa"/>
            <w:vAlign w:val="bottom"/>
          </w:tcPr>
          <w:p w14:paraId="21F35FBE" w14:textId="77777777" w:rsidR="004E0E02" w:rsidRPr="00513F0D" w:rsidRDefault="004E0E02" w:rsidP="003F6135">
            <w:pPr>
              <w:pStyle w:val="-4"/>
              <w:rPr>
                <w:sz w:val="16"/>
                <w:szCs w:val="16"/>
                <w:rtl/>
              </w:rPr>
            </w:pPr>
            <w:r w:rsidRPr="00CF2A74">
              <w:rPr>
                <w:rFonts w:hint="eastAsia"/>
                <w:sz w:val="16"/>
                <w:szCs w:val="16"/>
                <w:rtl/>
              </w:rPr>
              <w:t>זכויות</w:t>
            </w:r>
          </w:p>
          <w:p w14:paraId="10ACC262" w14:textId="77777777" w:rsidR="004E0E02" w:rsidRPr="00513F0D" w:rsidRDefault="004E0E02" w:rsidP="003F6135">
            <w:pPr>
              <w:pStyle w:val="-4"/>
              <w:rPr>
                <w:sz w:val="16"/>
                <w:szCs w:val="16"/>
                <w:rtl/>
              </w:rPr>
            </w:pPr>
            <w:r w:rsidRPr="00CF2A74">
              <w:rPr>
                <w:rFonts w:hint="eastAsia"/>
                <w:sz w:val="16"/>
                <w:szCs w:val="16"/>
                <w:rtl/>
              </w:rPr>
              <w:t>שאינן</w:t>
            </w:r>
            <w:r w:rsidRPr="00CF2A74">
              <w:rPr>
                <w:sz w:val="16"/>
                <w:szCs w:val="16"/>
                <w:rtl/>
              </w:rPr>
              <w:t xml:space="preserve"> </w:t>
            </w:r>
            <w:r w:rsidRPr="00CF2A74">
              <w:rPr>
                <w:rFonts w:hint="eastAsia"/>
                <w:sz w:val="16"/>
                <w:szCs w:val="16"/>
                <w:rtl/>
              </w:rPr>
              <w:t>מקנות</w:t>
            </w:r>
            <w:r w:rsidRPr="00CF2A74">
              <w:rPr>
                <w:sz w:val="16"/>
                <w:szCs w:val="16"/>
                <w:rtl/>
              </w:rPr>
              <w:t xml:space="preserve"> </w:t>
            </w:r>
            <w:r w:rsidRPr="00CF2A74">
              <w:rPr>
                <w:rFonts w:hint="eastAsia"/>
                <w:sz w:val="16"/>
                <w:szCs w:val="16"/>
                <w:rtl/>
              </w:rPr>
              <w:t>שליטה</w:t>
            </w:r>
          </w:p>
        </w:tc>
        <w:tc>
          <w:tcPr>
            <w:tcW w:w="775" w:type="dxa"/>
            <w:vAlign w:val="bottom"/>
          </w:tcPr>
          <w:p w14:paraId="4EA9F295" w14:textId="77777777" w:rsidR="004E0E02" w:rsidRPr="00513F0D" w:rsidRDefault="004E0E02" w:rsidP="003F6135">
            <w:pPr>
              <w:pStyle w:val="-4"/>
              <w:rPr>
                <w:sz w:val="16"/>
                <w:szCs w:val="16"/>
                <w:rtl/>
              </w:rPr>
            </w:pPr>
            <w:r w:rsidRPr="00CF2A74">
              <w:rPr>
                <w:rFonts w:hint="eastAsia"/>
                <w:sz w:val="16"/>
                <w:szCs w:val="16"/>
                <w:rtl/>
              </w:rPr>
              <w:t>סך</w:t>
            </w:r>
            <w:r w:rsidRPr="00CF2A74">
              <w:rPr>
                <w:sz w:val="16"/>
                <w:szCs w:val="16"/>
                <w:rtl/>
              </w:rPr>
              <w:t xml:space="preserve"> </w:t>
            </w:r>
            <w:r w:rsidRPr="00CF2A74">
              <w:rPr>
                <w:rFonts w:hint="eastAsia"/>
                <w:sz w:val="16"/>
                <w:szCs w:val="16"/>
                <w:rtl/>
              </w:rPr>
              <w:t>הכל</w:t>
            </w:r>
          </w:p>
          <w:p w14:paraId="68CC14D2" w14:textId="77777777" w:rsidR="004E0E02" w:rsidRPr="00513F0D" w:rsidRDefault="004E0E02" w:rsidP="003F6135">
            <w:pPr>
              <w:pStyle w:val="-4"/>
              <w:rPr>
                <w:sz w:val="16"/>
                <w:szCs w:val="16"/>
                <w:rtl/>
              </w:rPr>
            </w:pPr>
            <w:r w:rsidRPr="00CF2A74">
              <w:rPr>
                <w:rFonts w:hint="eastAsia"/>
                <w:sz w:val="16"/>
                <w:szCs w:val="16"/>
                <w:rtl/>
              </w:rPr>
              <w:t>הון</w:t>
            </w:r>
          </w:p>
        </w:tc>
      </w:tr>
      <w:tr w:rsidR="004E0E02" w:rsidRPr="00513F0D" w14:paraId="1CA04BAB" w14:textId="77777777" w:rsidTr="004A1ADA">
        <w:tc>
          <w:tcPr>
            <w:tcW w:w="850" w:type="dxa"/>
          </w:tcPr>
          <w:p w14:paraId="6E40172F" w14:textId="77777777" w:rsidR="004E0E02" w:rsidRPr="00513F0D" w:rsidRDefault="004E0E02" w:rsidP="003F6135">
            <w:pPr>
              <w:pStyle w:val="-7"/>
              <w:bidi w:val="0"/>
              <w:ind w:right="-231"/>
              <w:jc w:val="left"/>
              <w:rPr>
                <w:spacing w:val="-6"/>
                <w:sz w:val="16"/>
                <w:szCs w:val="16"/>
                <w:rtl/>
              </w:rPr>
            </w:pPr>
          </w:p>
        </w:tc>
        <w:tc>
          <w:tcPr>
            <w:tcW w:w="2282" w:type="dxa"/>
            <w:vAlign w:val="bottom"/>
          </w:tcPr>
          <w:p w14:paraId="2BC64B01" w14:textId="77777777" w:rsidR="004E0E02" w:rsidRPr="00513F0D" w:rsidRDefault="004E0E02" w:rsidP="003F6135">
            <w:pPr>
              <w:pStyle w:val="-f"/>
              <w:rPr>
                <w:sz w:val="16"/>
                <w:szCs w:val="16"/>
                <w:rtl/>
              </w:rPr>
            </w:pPr>
          </w:p>
        </w:tc>
        <w:tc>
          <w:tcPr>
            <w:tcW w:w="779" w:type="dxa"/>
            <w:vAlign w:val="bottom"/>
          </w:tcPr>
          <w:p w14:paraId="7138329D" w14:textId="77777777" w:rsidR="004E0E02" w:rsidRPr="00513F0D" w:rsidRDefault="004E0E02" w:rsidP="003F6135">
            <w:pPr>
              <w:jc w:val="center"/>
              <w:rPr>
                <w:sz w:val="16"/>
                <w:szCs w:val="16"/>
                <w:rtl/>
              </w:rPr>
            </w:pPr>
          </w:p>
        </w:tc>
        <w:tc>
          <w:tcPr>
            <w:tcW w:w="861" w:type="dxa"/>
            <w:vAlign w:val="bottom"/>
          </w:tcPr>
          <w:p w14:paraId="13FA954B" w14:textId="77777777" w:rsidR="004E0E02" w:rsidRPr="00513F0D" w:rsidRDefault="004E0E02" w:rsidP="003F6135">
            <w:pPr>
              <w:jc w:val="center"/>
              <w:rPr>
                <w:sz w:val="16"/>
                <w:szCs w:val="16"/>
                <w:rtl/>
              </w:rPr>
            </w:pPr>
          </w:p>
        </w:tc>
        <w:tc>
          <w:tcPr>
            <w:tcW w:w="966" w:type="dxa"/>
          </w:tcPr>
          <w:p w14:paraId="0F3E1339" w14:textId="77777777" w:rsidR="004E0E02" w:rsidRPr="00513F0D" w:rsidRDefault="004E0E02" w:rsidP="003F6135">
            <w:pPr>
              <w:jc w:val="center"/>
              <w:rPr>
                <w:sz w:val="16"/>
                <w:szCs w:val="16"/>
                <w:rtl/>
              </w:rPr>
            </w:pPr>
          </w:p>
        </w:tc>
        <w:tc>
          <w:tcPr>
            <w:tcW w:w="819" w:type="dxa"/>
            <w:vAlign w:val="bottom"/>
          </w:tcPr>
          <w:p w14:paraId="5B74354A" w14:textId="77777777" w:rsidR="004E0E02" w:rsidRPr="00513F0D" w:rsidRDefault="004E0E02" w:rsidP="003F6135">
            <w:pPr>
              <w:jc w:val="center"/>
              <w:rPr>
                <w:sz w:val="16"/>
                <w:szCs w:val="16"/>
                <w:rtl/>
              </w:rPr>
            </w:pPr>
          </w:p>
        </w:tc>
        <w:tc>
          <w:tcPr>
            <w:tcW w:w="1073" w:type="dxa"/>
          </w:tcPr>
          <w:p w14:paraId="142D51F2" w14:textId="77777777" w:rsidR="004E0E02" w:rsidRPr="009A7E4A" w:rsidRDefault="004E0E02" w:rsidP="003F6135">
            <w:pPr>
              <w:jc w:val="center"/>
              <w:rPr>
                <w:sz w:val="16"/>
                <w:szCs w:val="16"/>
                <w:rtl/>
              </w:rPr>
            </w:pPr>
          </w:p>
        </w:tc>
        <w:tc>
          <w:tcPr>
            <w:tcW w:w="683" w:type="dxa"/>
          </w:tcPr>
          <w:p w14:paraId="29AD6045" w14:textId="77777777" w:rsidR="004E0E02" w:rsidRPr="00513F0D" w:rsidRDefault="004E0E02" w:rsidP="003F6135">
            <w:pPr>
              <w:jc w:val="center"/>
              <w:rPr>
                <w:sz w:val="16"/>
                <w:szCs w:val="16"/>
                <w:rtl/>
              </w:rPr>
            </w:pPr>
          </w:p>
        </w:tc>
        <w:tc>
          <w:tcPr>
            <w:tcW w:w="793" w:type="dxa"/>
            <w:vAlign w:val="bottom"/>
          </w:tcPr>
          <w:p w14:paraId="7B53091C" w14:textId="77777777" w:rsidR="004E0E02" w:rsidRPr="00513F0D" w:rsidRDefault="004E0E02" w:rsidP="003F6135">
            <w:pPr>
              <w:jc w:val="center"/>
              <w:rPr>
                <w:sz w:val="16"/>
                <w:szCs w:val="16"/>
                <w:rtl/>
              </w:rPr>
            </w:pPr>
          </w:p>
        </w:tc>
        <w:tc>
          <w:tcPr>
            <w:tcW w:w="916" w:type="dxa"/>
          </w:tcPr>
          <w:p w14:paraId="3B917367" w14:textId="77777777" w:rsidR="004E0E02" w:rsidRPr="00513F0D" w:rsidRDefault="004E0E02" w:rsidP="003F6135">
            <w:pPr>
              <w:jc w:val="center"/>
              <w:rPr>
                <w:sz w:val="16"/>
                <w:szCs w:val="16"/>
                <w:rtl/>
              </w:rPr>
            </w:pPr>
          </w:p>
        </w:tc>
        <w:tc>
          <w:tcPr>
            <w:tcW w:w="819" w:type="dxa"/>
          </w:tcPr>
          <w:p w14:paraId="5605168D" w14:textId="77777777" w:rsidR="004E0E02" w:rsidRPr="00513F0D" w:rsidRDefault="004E0E02" w:rsidP="003F6135">
            <w:pPr>
              <w:jc w:val="center"/>
              <w:rPr>
                <w:sz w:val="16"/>
                <w:szCs w:val="16"/>
                <w:rtl/>
              </w:rPr>
            </w:pPr>
          </w:p>
        </w:tc>
        <w:tc>
          <w:tcPr>
            <w:tcW w:w="891" w:type="dxa"/>
          </w:tcPr>
          <w:p w14:paraId="1C3EFACA" w14:textId="77777777" w:rsidR="004E0E02" w:rsidRPr="00513F0D" w:rsidRDefault="004E0E02" w:rsidP="003F6135">
            <w:pPr>
              <w:jc w:val="center"/>
              <w:rPr>
                <w:sz w:val="16"/>
                <w:szCs w:val="16"/>
                <w:rtl/>
              </w:rPr>
            </w:pPr>
          </w:p>
        </w:tc>
        <w:tc>
          <w:tcPr>
            <w:tcW w:w="781" w:type="dxa"/>
          </w:tcPr>
          <w:p w14:paraId="3727C983" w14:textId="77777777" w:rsidR="004E0E02" w:rsidRPr="00513F0D" w:rsidRDefault="004E0E02" w:rsidP="003F6135">
            <w:pPr>
              <w:jc w:val="center"/>
              <w:rPr>
                <w:sz w:val="16"/>
                <w:szCs w:val="16"/>
                <w:rtl/>
              </w:rPr>
            </w:pPr>
          </w:p>
        </w:tc>
        <w:tc>
          <w:tcPr>
            <w:tcW w:w="1153" w:type="dxa"/>
          </w:tcPr>
          <w:p w14:paraId="0C6A6DED" w14:textId="77777777" w:rsidR="004E0E02" w:rsidRPr="00513F0D" w:rsidRDefault="004E0E02" w:rsidP="003F6135">
            <w:pPr>
              <w:jc w:val="center"/>
              <w:rPr>
                <w:sz w:val="16"/>
                <w:szCs w:val="16"/>
                <w:rtl/>
              </w:rPr>
            </w:pPr>
          </w:p>
        </w:tc>
        <w:tc>
          <w:tcPr>
            <w:tcW w:w="741" w:type="dxa"/>
          </w:tcPr>
          <w:p w14:paraId="6A07CD93" w14:textId="77777777" w:rsidR="004E0E02" w:rsidRPr="00513F0D" w:rsidRDefault="004E0E02" w:rsidP="003F6135">
            <w:pPr>
              <w:jc w:val="center"/>
              <w:rPr>
                <w:sz w:val="16"/>
                <w:szCs w:val="16"/>
                <w:rtl/>
              </w:rPr>
            </w:pPr>
          </w:p>
        </w:tc>
        <w:tc>
          <w:tcPr>
            <w:tcW w:w="775" w:type="dxa"/>
          </w:tcPr>
          <w:p w14:paraId="48666E3F" w14:textId="77777777" w:rsidR="004E0E02" w:rsidRPr="00513F0D" w:rsidRDefault="004E0E02" w:rsidP="003F6135">
            <w:pPr>
              <w:jc w:val="center"/>
              <w:rPr>
                <w:sz w:val="16"/>
                <w:szCs w:val="16"/>
                <w:rtl/>
              </w:rPr>
            </w:pPr>
          </w:p>
        </w:tc>
      </w:tr>
      <w:tr w:rsidR="007F11A7" w:rsidRPr="002236DD" w14:paraId="2EB6B712" w14:textId="77777777" w:rsidTr="004A1ADA">
        <w:tc>
          <w:tcPr>
            <w:tcW w:w="850" w:type="dxa"/>
          </w:tcPr>
          <w:p w14:paraId="4C839E5C" w14:textId="77777777" w:rsidR="004E0E02" w:rsidRPr="00604F4E" w:rsidRDefault="004E0E02">
            <w:pPr>
              <w:pStyle w:val="-7"/>
              <w:bidi w:val="0"/>
              <w:ind w:right="-231"/>
              <w:jc w:val="left"/>
              <w:rPr>
                <w:spacing w:val="-6"/>
                <w:sz w:val="16"/>
                <w:szCs w:val="16"/>
                <w:rtl/>
              </w:rPr>
            </w:pPr>
          </w:p>
        </w:tc>
        <w:tc>
          <w:tcPr>
            <w:tcW w:w="2282" w:type="dxa"/>
          </w:tcPr>
          <w:p w14:paraId="705F14F2" w14:textId="1B4A7CF8" w:rsidR="004E0E02" w:rsidRPr="00EA192D" w:rsidRDefault="004E0E02" w:rsidP="00962B5D">
            <w:pPr>
              <w:pStyle w:val="-0"/>
              <w:rPr>
                <w:b/>
                <w:bCs/>
                <w:color w:val="auto"/>
                <w:sz w:val="16"/>
                <w:szCs w:val="16"/>
                <w:rtl/>
              </w:rPr>
            </w:pPr>
            <w:r w:rsidRPr="00EA192D">
              <w:rPr>
                <w:rFonts w:hint="eastAsia"/>
                <w:b/>
                <w:bCs/>
                <w:color w:val="auto"/>
                <w:sz w:val="16"/>
                <w:szCs w:val="16"/>
                <w:rtl/>
              </w:rPr>
              <w:t>יתרה</w:t>
            </w:r>
            <w:r w:rsidRPr="00EA192D">
              <w:rPr>
                <w:b/>
                <w:bCs/>
                <w:color w:val="auto"/>
                <w:sz w:val="16"/>
                <w:szCs w:val="16"/>
                <w:rtl/>
              </w:rPr>
              <w:t xml:space="preserve"> ליום 31 </w:t>
            </w:r>
            <w:r w:rsidRPr="00EA192D">
              <w:rPr>
                <w:rFonts w:hint="cs"/>
                <w:b/>
                <w:bCs/>
                <w:color w:val="auto"/>
                <w:sz w:val="16"/>
                <w:szCs w:val="16"/>
                <w:rtl/>
              </w:rPr>
              <w:t xml:space="preserve">בדצמבר </w:t>
            </w:r>
            <w:r w:rsidR="0000611A" w:rsidRPr="0000611A">
              <w:rPr>
                <w:b/>
                <w:bCs/>
                <w:sz w:val="16"/>
                <w:szCs w:val="16"/>
                <w:rtl/>
              </w:rPr>
              <w:fldChar w:fldCharType="begin"/>
            </w:r>
            <w:r w:rsidR="0000611A" w:rsidRPr="0000611A">
              <w:rPr>
                <w:b/>
                <w:bCs/>
                <w:sz w:val="16"/>
                <w:szCs w:val="16"/>
                <w:rtl/>
              </w:rPr>
              <w:instrText xml:space="preserve"> </w:instrText>
            </w:r>
            <w:r w:rsidR="0000611A" w:rsidRPr="0000611A">
              <w:rPr>
                <w:rFonts w:hint="cs"/>
                <w:b/>
                <w:bCs/>
                <w:sz w:val="16"/>
                <w:szCs w:val="16"/>
                <w:rtl/>
              </w:rPr>
              <w:instrText xml:space="preserve">= </w:instrText>
            </w:r>
            <w:r w:rsidR="0000611A" w:rsidRPr="0000611A">
              <w:rPr>
                <w:rFonts w:hint="cs"/>
                <w:b/>
                <w:bCs/>
                <w:sz w:val="16"/>
                <w:szCs w:val="16"/>
              </w:rPr>
              <w:instrText>CY</w:instrText>
            </w:r>
            <w:r w:rsidR="0000611A">
              <w:rPr>
                <w:b/>
                <w:bCs/>
                <w:sz w:val="16"/>
                <w:szCs w:val="16"/>
              </w:rPr>
              <w:instrText>-1</w:instrText>
            </w:r>
            <w:r w:rsidR="0000611A" w:rsidRPr="0000611A">
              <w:rPr>
                <w:rFonts w:hint="cs"/>
                <w:b/>
                <w:bCs/>
                <w:sz w:val="16"/>
                <w:szCs w:val="16"/>
              </w:rPr>
              <w:instrText xml:space="preserve"> \* MERGEFORMAT</w:instrText>
            </w:r>
            <w:r w:rsidR="0000611A" w:rsidRPr="0000611A">
              <w:rPr>
                <w:b/>
                <w:bCs/>
                <w:sz w:val="16"/>
                <w:szCs w:val="16"/>
                <w:rtl/>
              </w:rPr>
              <w:instrText xml:space="preserve"> </w:instrText>
            </w:r>
            <w:r w:rsidR="0000611A" w:rsidRPr="0000611A">
              <w:rPr>
                <w:b/>
                <w:bCs/>
                <w:sz w:val="16"/>
                <w:szCs w:val="16"/>
                <w:rtl/>
              </w:rPr>
              <w:fldChar w:fldCharType="separate"/>
            </w:r>
            <w:r w:rsidR="003A584F">
              <w:rPr>
                <w:b/>
                <w:bCs/>
                <w:noProof/>
                <w:sz w:val="16"/>
                <w:szCs w:val="16"/>
                <w:rtl/>
              </w:rPr>
              <w:t>2023</w:t>
            </w:r>
            <w:r w:rsidR="0000611A" w:rsidRPr="0000611A">
              <w:rPr>
                <w:b/>
                <w:bCs/>
                <w:sz w:val="16"/>
                <w:szCs w:val="16"/>
                <w:rtl/>
              </w:rPr>
              <w:fldChar w:fldCharType="end"/>
            </w:r>
          </w:p>
        </w:tc>
        <w:tc>
          <w:tcPr>
            <w:tcW w:w="779" w:type="dxa"/>
            <w:vAlign w:val="bottom"/>
          </w:tcPr>
          <w:p w14:paraId="0AB38CD7" w14:textId="77777777" w:rsidR="00F32A2A" w:rsidRPr="00604F4E" w:rsidRDefault="004E0E02">
            <w:pPr>
              <w:pStyle w:val="-3"/>
              <w:jc w:val="left"/>
              <w:rPr>
                <w:b/>
                <w:bCs/>
                <w:sz w:val="16"/>
                <w:szCs w:val="16"/>
                <w:rtl/>
              </w:rPr>
            </w:pPr>
            <w:r w:rsidRPr="00604F4E">
              <w:rPr>
                <w:b/>
                <w:bCs/>
                <w:sz w:val="16"/>
                <w:szCs w:val="16"/>
                <w:rtl/>
              </w:rPr>
              <w:t>0</w:t>
            </w:r>
          </w:p>
        </w:tc>
        <w:tc>
          <w:tcPr>
            <w:tcW w:w="861" w:type="dxa"/>
            <w:vAlign w:val="bottom"/>
          </w:tcPr>
          <w:p w14:paraId="252ED093" w14:textId="77777777" w:rsidR="00F32A2A" w:rsidRPr="002236DD" w:rsidRDefault="004E0E02">
            <w:pPr>
              <w:pStyle w:val="-3"/>
              <w:jc w:val="left"/>
              <w:rPr>
                <w:b/>
                <w:bCs/>
                <w:sz w:val="16"/>
                <w:szCs w:val="16"/>
                <w:rtl/>
              </w:rPr>
            </w:pPr>
            <w:r w:rsidRPr="002236DD">
              <w:rPr>
                <w:b/>
                <w:bCs/>
                <w:sz w:val="16"/>
                <w:szCs w:val="16"/>
                <w:rtl/>
              </w:rPr>
              <w:t>0</w:t>
            </w:r>
          </w:p>
        </w:tc>
        <w:tc>
          <w:tcPr>
            <w:tcW w:w="966" w:type="dxa"/>
            <w:vAlign w:val="bottom"/>
          </w:tcPr>
          <w:p w14:paraId="10046149" w14:textId="77777777" w:rsidR="00F32A2A" w:rsidRPr="002236DD" w:rsidRDefault="004E0E02">
            <w:pPr>
              <w:pStyle w:val="-3"/>
              <w:rPr>
                <w:b/>
                <w:bCs/>
                <w:sz w:val="16"/>
                <w:szCs w:val="16"/>
                <w:rtl/>
              </w:rPr>
            </w:pPr>
            <w:r w:rsidRPr="002236DD">
              <w:rPr>
                <w:b/>
                <w:bCs/>
                <w:sz w:val="16"/>
                <w:szCs w:val="16"/>
                <w:rtl/>
              </w:rPr>
              <w:t>0</w:t>
            </w:r>
          </w:p>
        </w:tc>
        <w:tc>
          <w:tcPr>
            <w:tcW w:w="819" w:type="dxa"/>
            <w:vAlign w:val="bottom"/>
          </w:tcPr>
          <w:p w14:paraId="1314E4BF" w14:textId="77777777" w:rsidR="00F32A2A" w:rsidRPr="002236DD" w:rsidRDefault="004E0E02">
            <w:pPr>
              <w:pStyle w:val="-3"/>
              <w:rPr>
                <w:b/>
                <w:bCs/>
                <w:sz w:val="16"/>
                <w:szCs w:val="16"/>
                <w:rtl/>
              </w:rPr>
            </w:pPr>
            <w:r w:rsidRPr="002236DD">
              <w:rPr>
                <w:b/>
                <w:bCs/>
                <w:sz w:val="16"/>
                <w:szCs w:val="16"/>
                <w:rtl/>
              </w:rPr>
              <w:t>0</w:t>
            </w:r>
          </w:p>
        </w:tc>
        <w:tc>
          <w:tcPr>
            <w:tcW w:w="1073" w:type="dxa"/>
            <w:vAlign w:val="bottom"/>
          </w:tcPr>
          <w:p w14:paraId="239821D8" w14:textId="77777777" w:rsidR="00F32A2A" w:rsidRPr="002236DD" w:rsidRDefault="004E0E02">
            <w:pPr>
              <w:pStyle w:val="-3"/>
              <w:rPr>
                <w:b/>
                <w:bCs/>
                <w:sz w:val="16"/>
                <w:szCs w:val="16"/>
                <w:rtl/>
              </w:rPr>
            </w:pPr>
            <w:r w:rsidRPr="002236DD">
              <w:rPr>
                <w:b/>
                <w:bCs/>
                <w:sz w:val="16"/>
                <w:szCs w:val="16"/>
                <w:rtl/>
              </w:rPr>
              <w:t>0</w:t>
            </w:r>
          </w:p>
        </w:tc>
        <w:tc>
          <w:tcPr>
            <w:tcW w:w="683" w:type="dxa"/>
            <w:vAlign w:val="bottom"/>
          </w:tcPr>
          <w:p w14:paraId="1E5726A0" w14:textId="77777777" w:rsidR="00F32A2A" w:rsidRPr="002236DD" w:rsidRDefault="004E0E02">
            <w:pPr>
              <w:pStyle w:val="-3"/>
              <w:jc w:val="left"/>
              <w:rPr>
                <w:b/>
                <w:bCs/>
                <w:sz w:val="16"/>
                <w:szCs w:val="16"/>
                <w:rtl/>
              </w:rPr>
            </w:pPr>
            <w:r w:rsidRPr="002236DD">
              <w:rPr>
                <w:b/>
                <w:bCs/>
                <w:sz w:val="16"/>
                <w:szCs w:val="16"/>
                <w:rtl/>
              </w:rPr>
              <w:t xml:space="preserve"> 0</w:t>
            </w:r>
          </w:p>
        </w:tc>
        <w:tc>
          <w:tcPr>
            <w:tcW w:w="793" w:type="dxa"/>
            <w:vAlign w:val="bottom"/>
          </w:tcPr>
          <w:p w14:paraId="107182B9" w14:textId="77777777" w:rsidR="004E0E02" w:rsidRPr="002236DD" w:rsidRDefault="004E0E02">
            <w:pPr>
              <w:pStyle w:val="-3"/>
              <w:jc w:val="left"/>
              <w:rPr>
                <w:b/>
                <w:bCs/>
                <w:sz w:val="16"/>
                <w:szCs w:val="16"/>
                <w:rtl/>
              </w:rPr>
            </w:pPr>
            <w:r w:rsidRPr="002236DD">
              <w:rPr>
                <w:b/>
                <w:bCs/>
                <w:sz w:val="16"/>
                <w:szCs w:val="16"/>
                <w:rtl/>
              </w:rPr>
              <w:t>0</w:t>
            </w:r>
          </w:p>
        </w:tc>
        <w:tc>
          <w:tcPr>
            <w:tcW w:w="916" w:type="dxa"/>
            <w:vAlign w:val="bottom"/>
          </w:tcPr>
          <w:p w14:paraId="6DB0A854" w14:textId="77777777" w:rsidR="00F32A2A" w:rsidRPr="002236DD" w:rsidRDefault="004E0E02">
            <w:pPr>
              <w:pStyle w:val="-3"/>
              <w:jc w:val="left"/>
              <w:rPr>
                <w:b/>
                <w:bCs/>
                <w:sz w:val="16"/>
                <w:szCs w:val="16"/>
                <w:rtl/>
              </w:rPr>
            </w:pPr>
            <w:r w:rsidRPr="002236DD">
              <w:rPr>
                <w:b/>
                <w:bCs/>
                <w:sz w:val="16"/>
                <w:szCs w:val="16"/>
                <w:rtl/>
              </w:rPr>
              <w:t xml:space="preserve"> 0</w:t>
            </w:r>
          </w:p>
        </w:tc>
        <w:tc>
          <w:tcPr>
            <w:tcW w:w="819" w:type="dxa"/>
            <w:vAlign w:val="bottom"/>
          </w:tcPr>
          <w:p w14:paraId="2D369667" w14:textId="77777777" w:rsidR="00F32A2A" w:rsidRPr="002236DD" w:rsidRDefault="004E0E02">
            <w:pPr>
              <w:pStyle w:val="-3"/>
              <w:jc w:val="left"/>
              <w:rPr>
                <w:b/>
                <w:bCs/>
                <w:sz w:val="16"/>
                <w:szCs w:val="16"/>
                <w:rtl/>
              </w:rPr>
            </w:pPr>
            <w:r w:rsidRPr="002236DD">
              <w:rPr>
                <w:b/>
                <w:bCs/>
                <w:sz w:val="16"/>
                <w:szCs w:val="16"/>
                <w:rtl/>
              </w:rPr>
              <w:t xml:space="preserve"> 0</w:t>
            </w:r>
          </w:p>
        </w:tc>
        <w:tc>
          <w:tcPr>
            <w:tcW w:w="891" w:type="dxa"/>
            <w:vAlign w:val="bottom"/>
          </w:tcPr>
          <w:p w14:paraId="2234B8DF" w14:textId="77777777" w:rsidR="00F32A2A" w:rsidRPr="002236DD" w:rsidRDefault="004E0E02">
            <w:pPr>
              <w:pStyle w:val="-3"/>
              <w:jc w:val="left"/>
              <w:rPr>
                <w:b/>
                <w:bCs/>
                <w:sz w:val="16"/>
                <w:szCs w:val="16"/>
                <w:rtl/>
              </w:rPr>
            </w:pPr>
            <w:r w:rsidRPr="002236DD">
              <w:rPr>
                <w:b/>
                <w:bCs/>
                <w:sz w:val="16"/>
                <w:szCs w:val="16"/>
                <w:rtl/>
              </w:rPr>
              <w:t xml:space="preserve"> 0</w:t>
            </w:r>
          </w:p>
        </w:tc>
        <w:tc>
          <w:tcPr>
            <w:tcW w:w="781" w:type="dxa"/>
            <w:vAlign w:val="bottom"/>
          </w:tcPr>
          <w:p w14:paraId="5BA5197A" w14:textId="77777777" w:rsidR="00F32A2A" w:rsidRPr="002236DD" w:rsidRDefault="004E0E02">
            <w:pPr>
              <w:pStyle w:val="-3"/>
              <w:jc w:val="left"/>
              <w:rPr>
                <w:b/>
                <w:bCs/>
                <w:sz w:val="16"/>
                <w:szCs w:val="16"/>
                <w:rtl/>
              </w:rPr>
            </w:pPr>
            <w:r w:rsidRPr="002236DD">
              <w:rPr>
                <w:b/>
                <w:bCs/>
                <w:sz w:val="16"/>
                <w:szCs w:val="16"/>
                <w:rtl/>
              </w:rPr>
              <w:t xml:space="preserve"> 0</w:t>
            </w:r>
          </w:p>
        </w:tc>
        <w:tc>
          <w:tcPr>
            <w:tcW w:w="1153" w:type="dxa"/>
            <w:vAlign w:val="bottom"/>
          </w:tcPr>
          <w:p w14:paraId="67CF4EAF" w14:textId="77777777" w:rsidR="00F32A2A" w:rsidRPr="002236DD" w:rsidRDefault="004E0E02">
            <w:pPr>
              <w:pStyle w:val="-3"/>
              <w:jc w:val="left"/>
              <w:rPr>
                <w:b/>
                <w:bCs/>
                <w:sz w:val="16"/>
                <w:szCs w:val="16"/>
                <w:rtl/>
              </w:rPr>
            </w:pPr>
            <w:r w:rsidRPr="002236DD">
              <w:rPr>
                <w:b/>
                <w:bCs/>
                <w:sz w:val="16"/>
                <w:szCs w:val="16"/>
                <w:rtl/>
              </w:rPr>
              <w:t xml:space="preserve"> 0</w:t>
            </w:r>
          </w:p>
        </w:tc>
        <w:tc>
          <w:tcPr>
            <w:tcW w:w="741" w:type="dxa"/>
            <w:vAlign w:val="bottom"/>
          </w:tcPr>
          <w:p w14:paraId="170A88F6" w14:textId="77777777" w:rsidR="00F32A2A" w:rsidRPr="002236DD" w:rsidRDefault="004E0E02">
            <w:pPr>
              <w:pStyle w:val="-3"/>
              <w:jc w:val="left"/>
              <w:rPr>
                <w:b/>
                <w:bCs/>
                <w:sz w:val="16"/>
                <w:szCs w:val="16"/>
                <w:rtl/>
              </w:rPr>
            </w:pPr>
            <w:r w:rsidRPr="002236DD">
              <w:rPr>
                <w:b/>
                <w:bCs/>
                <w:sz w:val="16"/>
                <w:szCs w:val="16"/>
                <w:rtl/>
              </w:rPr>
              <w:t xml:space="preserve"> 0</w:t>
            </w:r>
          </w:p>
        </w:tc>
        <w:tc>
          <w:tcPr>
            <w:tcW w:w="775" w:type="dxa"/>
            <w:vAlign w:val="bottom"/>
          </w:tcPr>
          <w:p w14:paraId="0A3502BD" w14:textId="77777777" w:rsidR="00F32A2A" w:rsidRPr="002236DD" w:rsidRDefault="004E0E02">
            <w:pPr>
              <w:pStyle w:val="-3"/>
              <w:jc w:val="left"/>
              <w:rPr>
                <w:b/>
                <w:bCs/>
                <w:sz w:val="16"/>
                <w:szCs w:val="16"/>
                <w:rtl/>
              </w:rPr>
            </w:pPr>
            <w:r w:rsidRPr="002236DD">
              <w:rPr>
                <w:b/>
                <w:bCs/>
                <w:sz w:val="16"/>
                <w:szCs w:val="16"/>
                <w:rtl/>
              </w:rPr>
              <w:t xml:space="preserve"> 0</w:t>
            </w:r>
          </w:p>
        </w:tc>
      </w:tr>
      <w:tr w:rsidR="004E0E02" w:rsidRPr="00513F0D" w14:paraId="47E2BF40" w14:textId="77777777" w:rsidTr="004A1ADA">
        <w:tc>
          <w:tcPr>
            <w:tcW w:w="850" w:type="dxa"/>
          </w:tcPr>
          <w:p w14:paraId="329A0009" w14:textId="77777777" w:rsidR="004E0E02" w:rsidRPr="00513F0D" w:rsidRDefault="004E0E02" w:rsidP="003F6135">
            <w:pPr>
              <w:pStyle w:val="-7"/>
              <w:bidi w:val="0"/>
              <w:ind w:right="-231"/>
              <w:jc w:val="left"/>
              <w:rPr>
                <w:spacing w:val="-6"/>
                <w:sz w:val="16"/>
                <w:szCs w:val="16"/>
              </w:rPr>
            </w:pPr>
          </w:p>
        </w:tc>
        <w:tc>
          <w:tcPr>
            <w:tcW w:w="2282" w:type="dxa"/>
            <w:vAlign w:val="bottom"/>
          </w:tcPr>
          <w:p w14:paraId="59003295" w14:textId="77777777" w:rsidR="004E0E02" w:rsidRPr="00513F0D" w:rsidRDefault="004E0E02" w:rsidP="0014019A">
            <w:pPr>
              <w:pStyle w:val="-0"/>
              <w:rPr>
                <w:sz w:val="16"/>
                <w:szCs w:val="16"/>
                <w:rtl/>
              </w:rPr>
            </w:pPr>
            <w:r w:rsidRPr="00CF2A74">
              <w:rPr>
                <w:rFonts w:hint="eastAsia"/>
                <w:sz w:val="16"/>
                <w:szCs w:val="16"/>
                <w:rtl/>
              </w:rPr>
              <w:t>רווח</w:t>
            </w:r>
            <w:r w:rsidRPr="00CF2A74">
              <w:rPr>
                <w:sz w:val="16"/>
                <w:szCs w:val="16"/>
                <w:rtl/>
              </w:rPr>
              <w:t xml:space="preserve"> </w:t>
            </w:r>
            <w:r w:rsidRPr="00CF2A74">
              <w:rPr>
                <w:rFonts w:hint="eastAsia"/>
                <w:sz w:val="16"/>
                <w:szCs w:val="16"/>
                <w:rtl/>
              </w:rPr>
              <w:t>נקי</w:t>
            </w:r>
            <w:r w:rsidRPr="00CF2A74">
              <w:rPr>
                <w:sz w:val="16"/>
                <w:szCs w:val="16"/>
                <w:rtl/>
              </w:rPr>
              <w:t xml:space="preserve"> </w:t>
            </w:r>
            <w:r w:rsidRPr="00CF2A74">
              <w:rPr>
                <w:rFonts w:hint="eastAsia"/>
                <w:sz w:val="16"/>
                <w:szCs w:val="16"/>
                <w:rtl/>
              </w:rPr>
              <w:t>בתקופה</w:t>
            </w:r>
          </w:p>
        </w:tc>
        <w:tc>
          <w:tcPr>
            <w:tcW w:w="779" w:type="dxa"/>
            <w:vAlign w:val="bottom"/>
          </w:tcPr>
          <w:p w14:paraId="77A16BBF" w14:textId="77777777" w:rsidR="004E0E02" w:rsidRPr="00513F0D" w:rsidRDefault="004E0E02" w:rsidP="003F6135">
            <w:pPr>
              <w:pStyle w:val="-3"/>
              <w:rPr>
                <w:sz w:val="16"/>
                <w:szCs w:val="16"/>
                <w:rtl/>
              </w:rPr>
            </w:pPr>
            <w:r w:rsidRPr="00CF2A74">
              <w:rPr>
                <w:sz w:val="16"/>
                <w:szCs w:val="16"/>
                <w:rtl/>
              </w:rPr>
              <w:t>-</w:t>
            </w:r>
          </w:p>
        </w:tc>
        <w:tc>
          <w:tcPr>
            <w:tcW w:w="861" w:type="dxa"/>
            <w:vAlign w:val="bottom"/>
          </w:tcPr>
          <w:p w14:paraId="06AF74A1" w14:textId="77777777" w:rsidR="004E0E02" w:rsidRPr="00513F0D" w:rsidRDefault="004E0E02" w:rsidP="003F6135">
            <w:pPr>
              <w:pStyle w:val="-3"/>
              <w:rPr>
                <w:sz w:val="16"/>
                <w:szCs w:val="16"/>
                <w:rtl/>
              </w:rPr>
            </w:pPr>
            <w:r w:rsidRPr="00CF2A74">
              <w:rPr>
                <w:sz w:val="16"/>
                <w:szCs w:val="16"/>
                <w:rtl/>
              </w:rPr>
              <w:t>-</w:t>
            </w:r>
          </w:p>
        </w:tc>
        <w:tc>
          <w:tcPr>
            <w:tcW w:w="966" w:type="dxa"/>
            <w:vAlign w:val="bottom"/>
          </w:tcPr>
          <w:p w14:paraId="1419E9E1" w14:textId="77777777" w:rsidR="004E0E02" w:rsidRPr="00513F0D" w:rsidRDefault="004E0E02" w:rsidP="003F6135">
            <w:pPr>
              <w:pStyle w:val="-3"/>
              <w:rPr>
                <w:sz w:val="16"/>
                <w:szCs w:val="16"/>
                <w:rtl/>
              </w:rPr>
            </w:pPr>
            <w:r w:rsidRPr="00CF2A74">
              <w:rPr>
                <w:sz w:val="16"/>
                <w:szCs w:val="16"/>
                <w:rtl/>
              </w:rPr>
              <w:t>-</w:t>
            </w:r>
          </w:p>
        </w:tc>
        <w:tc>
          <w:tcPr>
            <w:tcW w:w="819" w:type="dxa"/>
            <w:vAlign w:val="bottom"/>
          </w:tcPr>
          <w:p w14:paraId="412E28B7" w14:textId="77777777" w:rsidR="004E0E02" w:rsidRPr="00513F0D" w:rsidRDefault="004E0E02" w:rsidP="003F6135">
            <w:pPr>
              <w:pStyle w:val="-3"/>
              <w:rPr>
                <w:sz w:val="16"/>
                <w:szCs w:val="16"/>
                <w:rtl/>
              </w:rPr>
            </w:pPr>
            <w:r w:rsidRPr="00CF2A74">
              <w:rPr>
                <w:sz w:val="16"/>
                <w:szCs w:val="16"/>
                <w:rtl/>
              </w:rPr>
              <w:t>-</w:t>
            </w:r>
          </w:p>
        </w:tc>
        <w:tc>
          <w:tcPr>
            <w:tcW w:w="1073" w:type="dxa"/>
            <w:vAlign w:val="bottom"/>
          </w:tcPr>
          <w:p w14:paraId="22DCD55D" w14:textId="77777777" w:rsidR="004E0E02" w:rsidRPr="009A7E4A" w:rsidRDefault="004E0E02" w:rsidP="003F6135">
            <w:pPr>
              <w:pStyle w:val="-3"/>
              <w:rPr>
                <w:sz w:val="16"/>
                <w:szCs w:val="16"/>
                <w:rtl/>
              </w:rPr>
            </w:pPr>
            <w:r w:rsidRPr="009A7E4A">
              <w:rPr>
                <w:sz w:val="16"/>
                <w:szCs w:val="16"/>
                <w:rtl/>
              </w:rPr>
              <w:t>-</w:t>
            </w:r>
          </w:p>
        </w:tc>
        <w:tc>
          <w:tcPr>
            <w:tcW w:w="683" w:type="dxa"/>
            <w:vAlign w:val="bottom"/>
          </w:tcPr>
          <w:p w14:paraId="0CF2254F" w14:textId="77777777" w:rsidR="004E0E02" w:rsidRPr="00513F0D" w:rsidRDefault="004E0E02" w:rsidP="003F6135">
            <w:pPr>
              <w:pStyle w:val="-3"/>
              <w:jc w:val="left"/>
              <w:rPr>
                <w:sz w:val="16"/>
                <w:szCs w:val="16"/>
                <w:rtl/>
              </w:rPr>
            </w:pPr>
            <w:r w:rsidRPr="00CF2A74">
              <w:rPr>
                <w:sz w:val="16"/>
                <w:szCs w:val="16"/>
                <w:rtl/>
              </w:rPr>
              <w:t xml:space="preserve"> -</w:t>
            </w:r>
          </w:p>
        </w:tc>
        <w:tc>
          <w:tcPr>
            <w:tcW w:w="793" w:type="dxa"/>
            <w:vAlign w:val="bottom"/>
          </w:tcPr>
          <w:p w14:paraId="408DF6FB" w14:textId="77777777" w:rsidR="004E0E02" w:rsidRPr="00CF2A74" w:rsidRDefault="004E0E02" w:rsidP="003F6135">
            <w:pPr>
              <w:pStyle w:val="-3"/>
              <w:jc w:val="left"/>
              <w:rPr>
                <w:sz w:val="16"/>
                <w:szCs w:val="16"/>
                <w:rtl/>
              </w:rPr>
            </w:pPr>
            <w:r w:rsidRPr="00CF2A74">
              <w:rPr>
                <w:sz w:val="16"/>
                <w:szCs w:val="16"/>
                <w:rtl/>
              </w:rPr>
              <w:t>-</w:t>
            </w:r>
          </w:p>
        </w:tc>
        <w:tc>
          <w:tcPr>
            <w:tcW w:w="916" w:type="dxa"/>
            <w:vAlign w:val="bottom"/>
          </w:tcPr>
          <w:p w14:paraId="2148C644" w14:textId="77777777" w:rsidR="004E0E02" w:rsidRPr="00513F0D" w:rsidRDefault="004E0E02" w:rsidP="003F6135">
            <w:pPr>
              <w:pStyle w:val="-3"/>
              <w:jc w:val="left"/>
              <w:rPr>
                <w:sz w:val="16"/>
                <w:szCs w:val="16"/>
                <w:rtl/>
              </w:rPr>
            </w:pPr>
            <w:r w:rsidRPr="00CF2A74">
              <w:rPr>
                <w:sz w:val="16"/>
                <w:szCs w:val="16"/>
                <w:rtl/>
              </w:rPr>
              <w:t xml:space="preserve"> -</w:t>
            </w:r>
          </w:p>
        </w:tc>
        <w:tc>
          <w:tcPr>
            <w:tcW w:w="819" w:type="dxa"/>
            <w:vAlign w:val="bottom"/>
          </w:tcPr>
          <w:p w14:paraId="7FEAD253" w14:textId="77777777" w:rsidR="004E0E02" w:rsidRPr="00513F0D" w:rsidRDefault="004E0E02" w:rsidP="003F6135">
            <w:pPr>
              <w:pStyle w:val="-3"/>
              <w:jc w:val="left"/>
              <w:rPr>
                <w:sz w:val="16"/>
                <w:szCs w:val="16"/>
                <w:rtl/>
              </w:rPr>
            </w:pPr>
            <w:r w:rsidRPr="00CF2A74">
              <w:rPr>
                <w:sz w:val="16"/>
                <w:szCs w:val="16"/>
                <w:rtl/>
              </w:rPr>
              <w:t xml:space="preserve"> -</w:t>
            </w:r>
          </w:p>
        </w:tc>
        <w:tc>
          <w:tcPr>
            <w:tcW w:w="891" w:type="dxa"/>
            <w:vAlign w:val="bottom"/>
          </w:tcPr>
          <w:p w14:paraId="6E93C01F" w14:textId="77777777" w:rsidR="004E0E02" w:rsidRPr="00513F0D" w:rsidRDefault="004E0E02" w:rsidP="003F6135">
            <w:pPr>
              <w:pStyle w:val="-3"/>
              <w:jc w:val="left"/>
              <w:rPr>
                <w:sz w:val="16"/>
                <w:szCs w:val="16"/>
                <w:rtl/>
              </w:rPr>
            </w:pPr>
            <w:r w:rsidRPr="00CF2A74">
              <w:rPr>
                <w:sz w:val="16"/>
                <w:szCs w:val="16"/>
                <w:rtl/>
              </w:rPr>
              <w:t xml:space="preserve"> 0</w:t>
            </w:r>
          </w:p>
        </w:tc>
        <w:tc>
          <w:tcPr>
            <w:tcW w:w="781" w:type="dxa"/>
            <w:vAlign w:val="bottom"/>
          </w:tcPr>
          <w:p w14:paraId="353E5CC6" w14:textId="77777777" w:rsidR="004E0E02" w:rsidRPr="00513F0D" w:rsidRDefault="004E0E02" w:rsidP="003F6135">
            <w:pPr>
              <w:pStyle w:val="-3"/>
              <w:jc w:val="left"/>
              <w:rPr>
                <w:sz w:val="16"/>
                <w:szCs w:val="16"/>
                <w:rtl/>
              </w:rPr>
            </w:pPr>
            <w:r w:rsidRPr="00CF2A74">
              <w:rPr>
                <w:sz w:val="16"/>
                <w:szCs w:val="16"/>
                <w:rtl/>
              </w:rPr>
              <w:t xml:space="preserve"> -</w:t>
            </w:r>
          </w:p>
        </w:tc>
        <w:tc>
          <w:tcPr>
            <w:tcW w:w="1153" w:type="dxa"/>
            <w:vAlign w:val="bottom"/>
          </w:tcPr>
          <w:p w14:paraId="3479E6FB" w14:textId="77777777" w:rsidR="004E0E02" w:rsidRPr="00513F0D" w:rsidRDefault="004E0E02" w:rsidP="003F6135">
            <w:pPr>
              <w:pStyle w:val="-3"/>
              <w:jc w:val="left"/>
              <w:rPr>
                <w:sz w:val="16"/>
                <w:szCs w:val="16"/>
                <w:rtl/>
              </w:rPr>
            </w:pPr>
            <w:r w:rsidRPr="00CF2A74">
              <w:rPr>
                <w:sz w:val="16"/>
                <w:szCs w:val="16"/>
                <w:rtl/>
              </w:rPr>
              <w:t xml:space="preserve"> 0</w:t>
            </w:r>
          </w:p>
        </w:tc>
        <w:tc>
          <w:tcPr>
            <w:tcW w:w="741" w:type="dxa"/>
            <w:vAlign w:val="bottom"/>
          </w:tcPr>
          <w:p w14:paraId="439EF6DC" w14:textId="77777777" w:rsidR="004E0E02" w:rsidRPr="00513F0D" w:rsidRDefault="004E0E02" w:rsidP="003F6135">
            <w:pPr>
              <w:pStyle w:val="-3"/>
              <w:jc w:val="left"/>
              <w:rPr>
                <w:sz w:val="16"/>
                <w:szCs w:val="16"/>
                <w:rtl/>
              </w:rPr>
            </w:pPr>
            <w:r w:rsidRPr="00CF2A74">
              <w:rPr>
                <w:sz w:val="16"/>
                <w:szCs w:val="16"/>
                <w:rtl/>
              </w:rPr>
              <w:t xml:space="preserve"> 0</w:t>
            </w:r>
          </w:p>
        </w:tc>
        <w:tc>
          <w:tcPr>
            <w:tcW w:w="775" w:type="dxa"/>
            <w:vAlign w:val="bottom"/>
          </w:tcPr>
          <w:p w14:paraId="4471414B" w14:textId="77777777" w:rsidR="004E0E02" w:rsidRPr="00513F0D" w:rsidRDefault="004E0E02" w:rsidP="003F6135">
            <w:pPr>
              <w:pStyle w:val="-3"/>
              <w:jc w:val="left"/>
              <w:rPr>
                <w:sz w:val="16"/>
                <w:szCs w:val="16"/>
                <w:rtl/>
              </w:rPr>
            </w:pPr>
            <w:r w:rsidRPr="00CF2A74">
              <w:rPr>
                <w:sz w:val="16"/>
                <w:szCs w:val="16"/>
                <w:rtl/>
              </w:rPr>
              <w:t xml:space="preserve"> 0</w:t>
            </w:r>
          </w:p>
        </w:tc>
      </w:tr>
      <w:tr w:rsidR="004E0E02" w:rsidRPr="00513F0D" w14:paraId="191394DA" w14:textId="77777777" w:rsidTr="004A1ADA">
        <w:tc>
          <w:tcPr>
            <w:tcW w:w="850" w:type="dxa"/>
          </w:tcPr>
          <w:p w14:paraId="60CFCE65" w14:textId="77777777" w:rsidR="004E0E02" w:rsidRPr="00513F0D" w:rsidRDefault="004E0E02" w:rsidP="003F6135">
            <w:pPr>
              <w:pStyle w:val="-7"/>
              <w:bidi w:val="0"/>
              <w:ind w:right="-231"/>
              <w:jc w:val="left"/>
              <w:rPr>
                <w:spacing w:val="-6"/>
                <w:sz w:val="16"/>
                <w:szCs w:val="16"/>
                <w:rtl/>
              </w:rPr>
            </w:pPr>
          </w:p>
        </w:tc>
        <w:tc>
          <w:tcPr>
            <w:tcW w:w="2282" w:type="dxa"/>
            <w:vAlign w:val="bottom"/>
          </w:tcPr>
          <w:p w14:paraId="1F2DD1DC" w14:textId="77777777" w:rsidR="004E0E02" w:rsidRPr="00513F0D" w:rsidRDefault="004E0E02" w:rsidP="00141F15">
            <w:pPr>
              <w:pStyle w:val="-0"/>
              <w:rPr>
                <w:sz w:val="16"/>
                <w:szCs w:val="16"/>
                <w:rtl/>
              </w:rPr>
            </w:pPr>
            <w:r w:rsidRPr="00CF2A74">
              <w:rPr>
                <w:rFonts w:hint="eastAsia"/>
                <w:sz w:val="16"/>
                <w:szCs w:val="16"/>
                <w:rtl/>
              </w:rPr>
              <w:t>רווח</w:t>
            </w:r>
            <w:r w:rsidRPr="00CF2A74">
              <w:rPr>
                <w:sz w:val="16"/>
                <w:szCs w:val="16"/>
                <w:rtl/>
              </w:rPr>
              <w:t xml:space="preserve"> (הפסד) </w:t>
            </w:r>
            <w:r w:rsidRPr="00CF2A74">
              <w:rPr>
                <w:rFonts w:hint="eastAsia"/>
                <w:sz w:val="16"/>
                <w:szCs w:val="16"/>
                <w:rtl/>
              </w:rPr>
              <w:t>כולל</w:t>
            </w:r>
            <w:r w:rsidRPr="00CF2A74">
              <w:rPr>
                <w:sz w:val="16"/>
                <w:szCs w:val="16"/>
                <w:rtl/>
              </w:rPr>
              <w:t xml:space="preserve"> </w:t>
            </w:r>
            <w:r w:rsidRPr="00CF2A74">
              <w:rPr>
                <w:rFonts w:hint="eastAsia"/>
                <w:sz w:val="16"/>
                <w:szCs w:val="16"/>
                <w:rtl/>
              </w:rPr>
              <w:t>אחר</w:t>
            </w:r>
            <w:r w:rsidRPr="00CF2A74">
              <w:rPr>
                <w:sz w:val="16"/>
                <w:szCs w:val="16"/>
                <w:rtl/>
              </w:rPr>
              <w:t xml:space="preserve">, </w:t>
            </w:r>
            <w:r w:rsidRPr="00CF2A74">
              <w:rPr>
                <w:rFonts w:hint="eastAsia"/>
                <w:sz w:val="16"/>
                <w:szCs w:val="16"/>
                <w:rtl/>
              </w:rPr>
              <w:t>נטו</w:t>
            </w:r>
            <w:r w:rsidRPr="00CF2A74">
              <w:rPr>
                <w:sz w:val="16"/>
                <w:szCs w:val="16"/>
                <w:rtl/>
              </w:rPr>
              <w:t xml:space="preserve"> </w:t>
            </w:r>
            <w:r w:rsidRPr="00CF2A74">
              <w:rPr>
                <w:rFonts w:hint="eastAsia"/>
                <w:sz w:val="16"/>
                <w:szCs w:val="16"/>
                <w:rtl/>
              </w:rPr>
              <w:t>לאחר</w:t>
            </w:r>
            <w:r w:rsidRPr="00CF2A74">
              <w:rPr>
                <w:sz w:val="16"/>
                <w:szCs w:val="16"/>
                <w:rtl/>
              </w:rPr>
              <w:t xml:space="preserve"> </w:t>
            </w:r>
            <w:r w:rsidRPr="00CF2A74">
              <w:rPr>
                <w:rFonts w:hint="eastAsia"/>
                <w:sz w:val="16"/>
                <w:szCs w:val="16"/>
                <w:rtl/>
              </w:rPr>
              <w:t>השפעת</w:t>
            </w:r>
            <w:r w:rsidRPr="00CF2A74">
              <w:rPr>
                <w:sz w:val="16"/>
                <w:szCs w:val="16"/>
                <w:rtl/>
              </w:rPr>
              <w:t xml:space="preserve"> </w:t>
            </w:r>
            <w:r w:rsidRPr="00CF2A74">
              <w:rPr>
                <w:rFonts w:hint="eastAsia"/>
                <w:sz w:val="16"/>
                <w:szCs w:val="16"/>
                <w:rtl/>
              </w:rPr>
              <w:t>המס</w:t>
            </w:r>
          </w:p>
        </w:tc>
        <w:tc>
          <w:tcPr>
            <w:tcW w:w="779" w:type="dxa"/>
            <w:vAlign w:val="bottom"/>
          </w:tcPr>
          <w:p w14:paraId="3BD89E3E" w14:textId="77777777" w:rsidR="004E0E02" w:rsidRPr="00513F0D" w:rsidRDefault="004E0E02" w:rsidP="00141F15">
            <w:pPr>
              <w:pStyle w:val="-3"/>
              <w:rPr>
                <w:sz w:val="16"/>
                <w:szCs w:val="16"/>
                <w:rtl/>
              </w:rPr>
            </w:pPr>
            <w:r w:rsidRPr="00CF2A74">
              <w:rPr>
                <w:sz w:val="16"/>
                <w:szCs w:val="16"/>
                <w:rtl/>
              </w:rPr>
              <w:t>-</w:t>
            </w:r>
          </w:p>
        </w:tc>
        <w:tc>
          <w:tcPr>
            <w:tcW w:w="861" w:type="dxa"/>
            <w:vAlign w:val="bottom"/>
          </w:tcPr>
          <w:p w14:paraId="003B88A5" w14:textId="77777777" w:rsidR="004E0E02" w:rsidRPr="00513F0D" w:rsidRDefault="004E0E02" w:rsidP="00141F15">
            <w:pPr>
              <w:pStyle w:val="-3"/>
              <w:rPr>
                <w:sz w:val="16"/>
                <w:szCs w:val="16"/>
                <w:rtl/>
              </w:rPr>
            </w:pPr>
            <w:r w:rsidRPr="00CF2A74">
              <w:rPr>
                <w:sz w:val="16"/>
                <w:szCs w:val="16"/>
                <w:rtl/>
              </w:rPr>
              <w:t>-</w:t>
            </w:r>
          </w:p>
        </w:tc>
        <w:tc>
          <w:tcPr>
            <w:tcW w:w="966" w:type="dxa"/>
            <w:vAlign w:val="bottom"/>
          </w:tcPr>
          <w:p w14:paraId="06F5C66F" w14:textId="77777777" w:rsidR="004E0E02" w:rsidRPr="00513F0D" w:rsidRDefault="004E0E02" w:rsidP="00141F15">
            <w:pPr>
              <w:pStyle w:val="-3"/>
              <w:rPr>
                <w:sz w:val="16"/>
                <w:szCs w:val="16"/>
                <w:rtl/>
              </w:rPr>
            </w:pPr>
            <w:r w:rsidRPr="00CF2A74">
              <w:rPr>
                <w:sz w:val="16"/>
                <w:szCs w:val="16"/>
                <w:rtl/>
              </w:rPr>
              <w:t>-</w:t>
            </w:r>
          </w:p>
        </w:tc>
        <w:tc>
          <w:tcPr>
            <w:tcW w:w="819" w:type="dxa"/>
            <w:vAlign w:val="bottom"/>
          </w:tcPr>
          <w:p w14:paraId="1DCA5569" w14:textId="77777777" w:rsidR="004E0E02" w:rsidRPr="00513F0D" w:rsidRDefault="004E0E02" w:rsidP="00141F15">
            <w:pPr>
              <w:pStyle w:val="-3"/>
              <w:rPr>
                <w:sz w:val="16"/>
                <w:szCs w:val="16"/>
                <w:rtl/>
              </w:rPr>
            </w:pPr>
            <w:r w:rsidRPr="00CF2A74">
              <w:rPr>
                <w:sz w:val="16"/>
                <w:szCs w:val="16"/>
                <w:rtl/>
              </w:rPr>
              <w:t>-</w:t>
            </w:r>
          </w:p>
        </w:tc>
        <w:tc>
          <w:tcPr>
            <w:tcW w:w="1073" w:type="dxa"/>
            <w:vAlign w:val="bottom"/>
          </w:tcPr>
          <w:p w14:paraId="763B7120" w14:textId="77777777" w:rsidR="004E0E02" w:rsidRPr="009A7E4A" w:rsidRDefault="004E0E02" w:rsidP="00141F15">
            <w:pPr>
              <w:pStyle w:val="-3"/>
              <w:rPr>
                <w:sz w:val="16"/>
                <w:szCs w:val="16"/>
                <w:rtl/>
              </w:rPr>
            </w:pPr>
            <w:r w:rsidRPr="009A7E4A">
              <w:rPr>
                <w:sz w:val="16"/>
                <w:szCs w:val="16"/>
                <w:rtl/>
              </w:rPr>
              <w:t>-</w:t>
            </w:r>
          </w:p>
        </w:tc>
        <w:tc>
          <w:tcPr>
            <w:tcW w:w="683" w:type="dxa"/>
            <w:vAlign w:val="bottom"/>
          </w:tcPr>
          <w:p w14:paraId="616FE154" w14:textId="77777777" w:rsidR="004E0E02" w:rsidRPr="00513F0D" w:rsidRDefault="004E0E02" w:rsidP="00141F15">
            <w:pPr>
              <w:pStyle w:val="-3"/>
              <w:jc w:val="left"/>
              <w:rPr>
                <w:sz w:val="16"/>
                <w:szCs w:val="16"/>
                <w:rtl/>
              </w:rPr>
            </w:pPr>
            <w:r w:rsidRPr="00CF2A74">
              <w:rPr>
                <w:sz w:val="16"/>
                <w:szCs w:val="16"/>
                <w:rtl/>
              </w:rPr>
              <w:t xml:space="preserve"> -</w:t>
            </w:r>
          </w:p>
        </w:tc>
        <w:tc>
          <w:tcPr>
            <w:tcW w:w="793" w:type="dxa"/>
            <w:vAlign w:val="bottom"/>
          </w:tcPr>
          <w:p w14:paraId="1C245020" w14:textId="77777777" w:rsidR="004E0E02" w:rsidRPr="00CF2A74" w:rsidRDefault="004E0E02" w:rsidP="00141F15">
            <w:pPr>
              <w:pStyle w:val="-3"/>
              <w:jc w:val="left"/>
              <w:rPr>
                <w:sz w:val="16"/>
                <w:szCs w:val="16"/>
                <w:rtl/>
              </w:rPr>
            </w:pPr>
            <w:r w:rsidRPr="00CF2A74">
              <w:rPr>
                <w:sz w:val="16"/>
                <w:szCs w:val="16"/>
                <w:rtl/>
              </w:rPr>
              <w:t>-</w:t>
            </w:r>
          </w:p>
        </w:tc>
        <w:tc>
          <w:tcPr>
            <w:tcW w:w="916" w:type="dxa"/>
            <w:vAlign w:val="bottom"/>
          </w:tcPr>
          <w:p w14:paraId="382291B9" w14:textId="77777777" w:rsidR="004E0E02" w:rsidRPr="00513F0D" w:rsidRDefault="004E0E02" w:rsidP="00141F15">
            <w:pPr>
              <w:pStyle w:val="-3"/>
              <w:jc w:val="left"/>
              <w:rPr>
                <w:sz w:val="16"/>
                <w:szCs w:val="16"/>
                <w:rtl/>
              </w:rPr>
            </w:pPr>
            <w:r w:rsidRPr="00CF2A74">
              <w:rPr>
                <w:sz w:val="16"/>
                <w:szCs w:val="16"/>
                <w:rtl/>
              </w:rPr>
              <w:t xml:space="preserve"> -</w:t>
            </w:r>
          </w:p>
        </w:tc>
        <w:tc>
          <w:tcPr>
            <w:tcW w:w="819" w:type="dxa"/>
            <w:vAlign w:val="bottom"/>
          </w:tcPr>
          <w:p w14:paraId="213D4598" w14:textId="77777777" w:rsidR="004E0E02" w:rsidRPr="00513F0D" w:rsidRDefault="004E0E02" w:rsidP="00141F15">
            <w:pPr>
              <w:pStyle w:val="-3"/>
              <w:jc w:val="left"/>
              <w:rPr>
                <w:sz w:val="16"/>
                <w:szCs w:val="16"/>
                <w:rtl/>
              </w:rPr>
            </w:pPr>
            <w:r w:rsidRPr="00CF2A74">
              <w:rPr>
                <w:sz w:val="16"/>
                <w:szCs w:val="16"/>
                <w:rtl/>
              </w:rPr>
              <w:t xml:space="preserve"> 0</w:t>
            </w:r>
          </w:p>
        </w:tc>
        <w:tc>
          <w:tcPr>
            <w:tcW w:w="891" w:type="dxa"/>
            <w:vAlign w:val="bottom"/>
          </w:tcPr>
          <w:p w14:paraId="46A39476" w14:textId="77777777" w:rsidR="004E0E02" w:rsidRPr="00513F0D" w:rsidRDefault="004E0E02" w:rsidP="00141F15">
            <w:pPr>
              <w:pStyle w:val="-3"/>
              <w:jc w:val="left"/>
              <w:rPr>
                <w:sz w:val="16"/>
                <w:szCs w:val="16"/>
                <w:rtl/>
              </w:rPr>
            </w:pPr>
            <w:r w:rsidRPr="00CF2A74">
              <w:rPr>
                <w:sz w:val="16"/>
                <w:szCs w:val="16"/>
                <w:rtl/>
              </w:rPr>
              <w:t xml:space="preserve"> -</w:t>
            </w:r>
          </w:p>
        </w:tc>
        <w:tc>
          <w:tcPr>
            <w:tcW w:w="781" w:type="dxa"/>
            <w:vAlign w:val="bottom"/>
          </w:tcPr>
          <w:p w14:paraId="0C834E35" w14:textId="77777777" w:rsidR="004E0E02" w:rsidRPr="00513F0D" w:rsidRDefault="004E0E02" w:rsidP="00141F15">
            <w:pPr>
              <w:pStyle w:val="-3"/>
              <w:jc w:val="left"/>
              <w:rPr>
                <w:sz w:val="16"/>
                <w:szCs w:val="16"/>
                <w:rtl/>
              </w:rPr>
            </w:pPr>
            <w:r w:rsidRPr="00CF2A74">
              <w:rPr>
                <w:sz w:val="16"/>
                <w:szCs w:val="16"/>
                <w:rtl/>
              </w:rPr>
              <w:t xml:space="preserve"> -</w:t>
            </w:r>
          </w:p>
        </w:tc>
        <w:tc>
          <w:tcPr>
            <w:tcW w:w="1153" w:type="dxa"/>
            <w:vAlign w:val="bottom"/>
          </w:tcPr>
          <w:p w14:paraId="245C0AD7" w14:textId="77777777" w:rsidR="004E0E02" w:rsidRPr="00513F0D" w:rsidRDefault="004E0E02" w:rsidP="00141F15">
            <w:pPr>
              <w:pStyle w:val="-3"/>
              <w:jc w:val="left"/>
              <w:rPr>
                <w:sz w:val="16"/>
                <w:szCs w:val="16"/>
                <w:rtl/>
              </w:rPr>
            </w:pPr>
            <w:r w:rsidRPr="00CF2A74">
              <w:rPr>
                <w:sz w:val="16"/>
                <w:szCs w:val="16"/>
                <w:rtl/>
              </w:rPr>
              <w:t xml:space="preserve"> 0</w:t>
            </w:r>
          </w:p>
        </w:tc>
        <w:tc>
          <w:tcPr>
            <w:tcW w:w="741" w:type="dxa"/>
            <w:vAlign w:val="bottom"/>
          </w:tcPr>
          <w:p w14:paraId="7A18ADCC" w14:textId="77777777" w:rsidR="004E0E02" w:rsidRPr="00513F0D" w:rsidRDefault="004E0E02" w:rsidP="00141F15">
            <w:pPr>
              <w:pStyle w:val="-3"/>
              <w:jc w:val="left"/>
              <w:rPr>
                <w:sz w:val="16"/>
                <w:szCs w:val="16"/>
                <w:rtl/>
              </w:rPr>
            </w:pPr>
            <w:r w:rsidRPr="00CF2A74">
              <w:rPr>
                <w:sz w:val="16"/>
                <w:szCs w:val="16"/>
                <w:rtl/>
              </w:rPr>
              <w:t xml:space="preserve"> 0</w:t>
            </w:r>
          </w:p>
        </w:tc>
        <w:tc>
          <w:tcPr>
            <w:tcW w:w="775" w:type="dxa"/>
            <w:vAlign w:val="bottom"/>
          </w:tcPr>
          <w:p w14:paraId="1FD06731"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07D07520" w14:textId="77777777" w:rsidTr="004A1ADA">
        <w:tc>
          <w:tcPr>
            <w:tcW w:w="850" w:type="dxa"/>
          </w:tcPr>
          <w:p w14:paraId="1F421EB4" w14:textId="77777777" w:rsidR="004E0E02" w:rsidRPr="00513F0D" w:rsidRDefault="004E0E02" w:rsidP="003F6135">
            <w:pPr>
              <w:pStyle w:val="-7"/>
              <w:bidi w:val="0"/>
              <w:ind w:right="-231"/>
              <w:jc w:val="left"/>
              <w:rPr>
                <w:spacing w:val="-6"/>
                <w:sz w:val="16"/>
                <w:szCs w:val="16"/>
                <w:rtl/>
              </w:rPr>
            </w:pPr>
          </w:p>
        </w:tc>
        <w:tc>
          <w:tcPr>
            <w:tcW w:w="2282" w:type="dxa"/>
            <w:vAlign w:val="bottom"/>
          </w:tcPr>
          <w:p w14:paraId="46A09903" w14:textId="77777777" w:rsidR="004E0E02" w:rsidRPr="00513F0D" w:rsidRDefault="004E0E02" w:rsidP="000F22C5">
            <w:pPr>
              <w:pStyle w:val="-0"/>
              <w:rPr>
                <w:sz w:val="16"/>
                <w:szCs w:val="16"/>
                <w:rtl/>
              </w:rPr>
            </w:pPr>
            <w:r w:rsidRPr="00CF2A74">
              <w:rPr>
                <w:rFonts w:hint="eastAsia"/>
                <w:sz w:val="16"/>
                <w:szCs w:val="16"/>
                <w:rtl/>
              </w:rPr>
              <w:t>דיבידנד</w:t>
            </w:r>
            <w:r w:rsidRPr="00CF2A74">
              <w:rPr>
                <w:sz w:val="16"/>
                <w:szCs w:val="16"/>
                <w:rtl/>
              </w:rPr>
              <w:t xml:space="preserve"> </w:t>
            </w:r>
          </w:p>
        </w:tc>
        <w:tc>
          <w:tcPr>
            <w:tcW w:w="779" w:type="dxa"/>
            <w:vAlign w:val="bottom"/>
          </w:tcPr>
          <w:p w14:paraId="1A1AD5B8" w14:textId="77777777" w:rsidR="004E0E02" w:rsidRPr="00513F0D" w:rsidRDefault="004E0E02" w:rsidP="003F6135">
            <w:pPr>
              <w:pStyle w:val="-3"/>
              <w:rPr>
                <w:sz w:val="16"/>
                <w:szCs w:val="16"/>
                <w:rtl/>
              </w:rPr>
            </w:pPr>
            <w:r w:rsidRPr="00CF2A74">
              <w:rPr>
                <w:sz w:val="16"/>
                <w:szCs w:val="16"/>
                <w:rtl/>
              </w:rPr>
              <w:t>-</w:t>
            </w:r>
          </w:p>
        </w:tc>
        <w:tc>
          <w:tcPr>
            <w:tcW w:w="861" w:type="dxa"/>
            <w:vAlign w:val="bottom"/>
          </w:tcPr>
          <w:p w14:paraId="1285AE37" w14:textId="77777777" w:rsidR="004E0E02" w:rsidRPr="00513F0D" w:rsidRDefault="004E0E02" w:rsidP="003F6135">
            <w:pPr>
              <w:pStyle w:val="-3"/>
              <w:rPr>
                <w:sz w:val="16"/>
                <w:szCs w:val="16"/>
                <w:rtl/>
              </w:rPr>
            </w:pPr>
            <w:r w:rsidRPr="00CF2A74">
              <w:rPr>
                <w:sz w:val="16"/>
                <w:szCs w:val="16"/>
                <w:rtl/>
              </w:rPr>
              <w:t>-</w:t>
            </w:r>
          </w:p>
        </w:tc>
        <w:tc>
          <w:tcPr>
            <w:tcW w:w="966" w:type="dxa"/>
            <w:vAlign w:val="bottom"/>
          </w:tcPr>
          <w:p w14:paraId="2D793A90" w14:textId="77777777" w:rsidR="004E0E02" w:rsidRPr="00513F0D" w:rsidRDefault="004E0E02" w:rsidP="003F6135">
            <w:pPr>
              <w:pStyle w:val="-3"/>
              <w:rPr>
                <w:sz w:val="16"/>
                <w:szCs w:val="16"/>
                <w:rtl/>
              </w:rPr>
            </w:pPr>
            <w:r w:rsidRPr="00CF2A74">
              <w:rPr>
                <w:sz w:val="16"/>
                <w:szCs w:val="16"/>
                <w:rtl/>
              </w:rPr>
              <w:t>-</w:t>
            </w:r>
          </w:p>
        </w:tc>
        <w:tc>
          <w:tcPr>
            <w:tcW w:w="819" w:type="dxa"/>
            <w:vAlign w:val="bottom"/>
          </w:tcPr>
          <w:p w14:paraId="1EC88433" w14:textId="77777777" w:rsidR="004E0E02" w:rsidRPr="00513F0D" w:rsidRDefault="004E0E02" w:rsidP="003F6135">
            <w:pPr>
              <w:pStyle w:val="-3"/>
              <w:rPr>
                <w:sz w:val="16"/>
                <w:szCs w:val="16"/>
                <w:rtl/>
              </w:rPr>
            </w:pPr>
            <w:r w:rsidRPr="00CF2A74">
              <w:rPr>
                <w:sz w:val="16"/>
                <w:szCs w:val="16"/>
                <w:rtl/>
              </w:rPr>
              <w:t>-</w:t>
            </w:r>
          </w:p>
        </w:tc>
        <w:tc>
          <w:tcPr>
            <w:tcW w:w="1073" w:type="dxa"/>
            <w:vAlign w:val="bottom"/>
          </w:tcPr>
          <w:p w14:paraId="0D8462DC" w14:textId="77777777" w:rsidR="004E0E02" w:rsidRPr="009A7E4A" w:rsidRDefault="004E0E02" w:rsidP="003F6135">
            <w:pPr>
              <w:pStyle w:val="-3"/>
              <w:rPr>
                <w:sz w:val="16"/>
                <w:szCs w:val="16"/>
                <w:rtl/>
              </w:rPr>
            </w:pPr>
            <w:r w:rsidRPr="009A7E4A">
              <w:rPr>
                <w:sz w:val="16"/>
                <w:szCs w:val="16"/>
                <w:rtl/>
              </w:rPr>
              <w:t>-</w:t>
            </w:r>
          </w:p>
        </w:tc>
        <w:tc>
          <w:tcPr>
            <w:tcW w:w="683" w:type="dxa"/>
            <w:vAlign w:val="bottom"/>
          </w:tcPr>
          <w:p w14:paraId="2AD14C98" w14:textId="77777777" w:rsidR="004E0E02" w:rsidRPr="00513F0D" w:rsidRDefault="004E0E02" w:rsidP="003F6135">
            <w:pPr>
              <w:pStyle w:val="-3"/>
              <w:jc w:val="left"/>
              <w:rPr>
                <w:sz w:val="16"/>
                <w:szCs w:val="16"/>
                <w:rtl/>
              </w:rPr>
            </w:pPr>
            <w:r w:rsidRPr="00CF2A74">
              <w:rPr>
                <w:sz w:val="16"/>
                <w:szCs w:val="16"/>
                <w:rtl/>
              </w:rPr>
              <w:t xml:space="preserve"> -</w:t>
            </w:r>
          </w:p>
        </w:tc>
        <w:tc>
          <w:tcPr>
            <w:tcW w:w="793" w:type="dxa"/>
            <w:vAlign w:val="bottom"/>
          </w:tcPr>
          <w:p w14:paraId="3A741F50" w14:textId="77777777" w:rsidR="004E0E02" w:rsidRPr="00CF2A74" w:rsidRDefault="004E0E02" w:rsidP="003F6135">
            <w:pPr>
              <w:pStyle w:val="-3"/>
              <w:jc w:val="left"/>
              <w:rPr>
                <w:sz w:val="16"/>
                <w:szCs w:val="16"/>
                <w:rtl/>
              </w:rPr>
            </w:pPr>
            <w:r w:rsidRPr="00CF2A74">
              <w:rPr>
                <w:sz w:val="16"/>
                <w:szCs w:val="16"/>
                <w:rtl/>
              </w:rPr>
              <w:t>-</w:t>
            </w:r>
          </w:p>
        </w:tc>
        <w:tc>
          <w:tcPr>
            <w:tcW w:w="916" w:type="dxa"/>
            <w:vAlign w:val="bottom"/>
          </w:tcPr>
          <w:p w14:paraId="13E20D77" w14:textId="77777777" w:rsidR="004E0E02" w:rsidRPr="00513F0D" w:rsidRDefault="004E0E02" w:rsidP="003F6135">
            <w:pPr>
              <w:pStyle w:val="-3"/>
              <w:jc w:val="left"/>
              <w:rPr>
                <w:sz w:val="16"/>
                <w:szCs w:val="16"/>
                <w:rtl/>
              </w:rPr>
            </w:pPr>
            <w:r w:rsidRPr="00CF2A74">
              <w:rPr>
                <w:sz w:val="16"/>
                <w:szCs w:val="16"/>
                <w:rtl/>
              </w:rPr>
              <w:t xml:space="preserve"> -</w:t>
            </w:r>
          </w:p>
        </w:tc>
        <w:tc>
          <w:tcPr>
            <w:tcW w:w="819" w:type="dxa"/>
            <w:vAlign w:val="bottom"/>
          </w:tcPr>
          <w:p w14:paraId="622B5A0E" w14:textId="77777777" w:rsidR="004E0E02" w:rsidRPr="00513F0D" w:rsidRDefault="004E0E02" w:rsidP="003F6135">
            <w:pPr>
              <w:pStyle w:val="-3"/>
              <w:jc w:val="left"/>
              <w:rPr>
                <w:sz w:val="16"/>
                <w:szCs w:val="16"/>
                <w:rtl/>
              </w:rPr>
            </w:pPr>
            <w:r w:rsidRPr="00CF2A74">
              <w:rPr>
                <w:sz w:val="16"/>
                <w:szCs w:val="16"/>
                <w:rtl/>
              </w:rPr>
              <w:t xml:space="preserve"> -</w:t>
            </w:r>
          </w:p>
        </w:tc>
        <w:tc>
          <w:tcPr>
            <w:tcW w:w="891" w:type="dxa"/>
            <w:vAlign w:val="bottom"/>
          </w:tcPr>
          <w:p w14:paraId="342AC465" w14:textId="77777777" w:rsidR="004E0E02" w:rsidRPr="00513F0D" w:rsidRDefault="004E0E02" w:rsidP="003F6135">
            <w:pPr>
              <w:pStyle w:val="-3"/>
              <w:jc w:val="left"/>
              <w:rPr>
                <w:sz w:val="16"/>
                <w:szCs w:val="16"/>
                <w:rtl/>
              </w:rPr>
            </w:pPr>
            <w:r w:rsidRPr="00CF2A74">
              <w:rPr>
                <w:sz w:val="16"/>
                <w:szCs w:val="16"/>
                <w:rtl/>
              </w:rPr>
              <w:t xml:space="preserve"> 0</w:t>
            </w:r>
          </w:p>
        </w:tc>
        <w:tc>
          <w:tcPr>
            <w:tcW w:w="781" w:type="dxa"/>
            <w:vAlign w:val="bottom"/>
          </w:tcPr>
          <w:p w14:paraId="67BD3373" w14:textId="77777777" w:rsidR="004E0E02" w:rsidRPr="00513F0D" w:rsidRDefault="004E0E02" w:rsidP="003F6135">
            <w:pPr>
              <w:pStyle w:val="-3"/>
              <w:jc w:val="left"/>
              <w:rPr>
                <w:sz w:val="16"/>
                <w:szCs w:val="16"/>
                <w:rtl/>
              </w:rPr>
            </w:pPr>
            <w:r w:rsidRPr="00CF2A74">
              <w:rPr>
                <w:sz w:val="16"/>
                <w:szCs w:val="16"/>
                <w:rtl/>
              </w:rPr>
              <w:t xml:space="preserve"> -</w:t>
            </w:r>
          </w:p>
        </w:tc>
        <w:tc>
          <w:tcPr>
            <w:tcW w:w="1153" w:type="dxa"/>
            <w:vAlign w:val="bottom"/>
          </w:tcPr>
          <w:p w14:paraId="606BBE08" w14:textId="77777777" w:rsidR="004E0E02" w:rsidRPr="00513F0D" w:rsidRDefault="004E0E02" w:rsidP="003F6135">
            <w:pPr>
              <w:pStyle w:val="-3"/>
              <w:jc w:val="left"/>
              <w:rPr>
                <w:sz w:val="16"/>
                <w:szCs w:val="16"/>
                <w:rtl/>
              </w:rPr>
            </w:pPr>
            <w:r w:rsidRPr="00CF2A74">
              <w:rPr>
                <w:sz w:val="16"/>
                <w:szCs w:val="16"/>
                <w:rtl/>
              </w:rPr>
              <w:t xml:space="preserve"> 0</w:t>
            </w:r>
          </w:p>
        </w:tc>
        <w:tc>
          <w:tcPr>
            <w:tcW w:w="741" w:type="dxa"/>
            <w:vAlign w:val="bottom"/>
          </w:tcPr>
          <w:p w14:paraId="20663165" w14:textId="77777777" w:rsidR="004E0E02" w:rsidRPr="00513F0D" w:rsidRDefault="004E0E02" w:rsidP="003F6135">
            <w:pPr>
              <w:pStyle w:val="-3"/>
              <w:jc w:val="left"/>
              <w:rPr>
                <w:sz w:val="16"/>
                <w:szCs w:val="16"/>
                <w:rtl/>
              </w:rPr>
            </w:pPr>
            <w:r w:rsidRPr="00CF2A74">
              <w:rPr>
                <w:sz w:val="16"/>
                <w:szCs w:val="16"/>
                <w:rtl/>
              </w:rPr>
              <w:t xml:space="preserve"> 0</w:t>
            </w:r>
          </w:p>
        </w:tc>
        <w:tc>
          <w:tcPr>
            <w:tcW w:w="775" w:type="dxa"/>
            <w:vAlign w:val="bottom"/>
          </w:tcPr>
          <w:p w14:paraId="0B81A62B" w14:textId="77777777" w:rsidR="004E0E02" w:rsidRPr="00513F0D" w:rsidRDefault="004E0E02" w:rsidP="003F6135">
            <w:pPr>
              <w:pStyle w:val="-3"/>
              <w:jc w:val="left"/>
              <w:rPr>
                <w:sz w:val="16"/>
                <w:szCs w:val="16"/>
                <w:rtl/>
              </w:rPr>
            </w:pPr>
            <w:r w:rsidRPr="00CF2A74">
              <w:rPr>
                <w:sz w:val="16"/>
                <w:szCs w:val="16"/>
                <w:rtl/>
              </w:rPr>
              <w:t xml:space="preserve"> 0</w:t>
            </w:r>
          </w:p>
        </w:tc>
      </w:tr>
      <w:tr w:rsidR="004E0E02" w:rsidRPr="00513F0D" w14:paraId="60640EEB" w14:textId="77777777" w:rsidTr="004A1ADA">
        <w:tc>
          <w:tcPr>
            <w:tcW w:w="850" w:type="dxa"/>
          </w:tcPr>
          <w:p w14:paraId="6329F443" w14:textId="77777777" w:rsidR="004E0E02" w:rsidRPr="00513F0D" w:rsidRDefault="004E0E02" w:rsidP="003F6135">
            <w:pPr>
              <w:pStyle w:val="-7"/>
              <w:bidi w:val="0"/>
              <w:ind w:right="-231"/>
              <w:jc w:val="left"/>
              <w:rPr>
                <w:spacing w:val="-6"/>
                <w:sz w:val="16"/>
                <w:szCs w:val="16"/>
                <w:rtl/>
              </w:rPr>
            </w:pPr>
          </w:p>
        </w:tc>
        <w:tc>
          <w:tcPr>
            <w:tcW w:w="2282" w:type="dxa"/>
            <w:vAlign w:val="bottom"/>
          </w:tcPr>
          <w:p w14:paraId="5B8C8B8D" w14:textId="77777777" w:rsidR="004E0E02" w:rsidRPr="00513F0D" w:rsidRDefault="004E0E02" w:rsidP="003F6135">
            <w:pPr>
              <w:pStyle w:val="-0"/>
              <w:rPr>
                <w:sz w:val="16"/>
                <w:szCs w:val="16"/>
                <w:rtl/>
              </w:rPr>
            </w:pPr>
            <w:r w:rsidRPr="00CF2A74">
              <w:rPr>
                <w:rFonts w:hint="eastAsia"/>
                <w:sz w:val="16"/>
                <w:szCs w:val="16"/>
                <w:rtl/>
              </w:rPr>
              <w:t>הטבות</w:t>
            </w:r>
            <w:r w:rsidRPr="00CF2A74">
              <w:rPr>
                <w:sz w:val="16"/>
                <w:szCs w:val="16"/>
                <w:rtl/>
              </w:rPr>
              <w:t xml:space="preserve"> </w:t>
            </w:r>
            <w:r w:rsidRPr="00CF2A74">
              <w:rPr>
                <w:rFonts w:hint="eastAsia"/>
                <w:sz w:val="16"/>
                <w:szCs w:val="16"/>
                <w:rtl/>
              </w:rPr>
              <w:t>שניתנו</w:t>
            </w:r>
            <w:r w:rsidRPr="00CF2A74">
              <w:rPr>
                <w:sz w:val="16"/>
                <w:szCs w:val="16"/>
                <w:rtl/>
              </w:rPr>
              <w:t xml:space="preserve"> </w:t>
            </w:r>
            <w:r w:rsidRPr="00CF2A74">
              <w:rPr>
                <w:rFonts w:hint="eastAsia"/>
                <w:sz w:val="16"/>
                <w:szCs w:val="16"/>
                <w:rtl/>
              </w:rPr>
              <w:t>לבעל</w:t>
            </w:r>
            <w:r w:rsidRPr="00CF2A74">
              <w:rPr>
                <w:sz w:val="16"/>
                <w:szCs w:val="16"/>
                <w:rtl/>
              </w:rPr>
              <w:t xml:space="preserve"> </w:t>
            </w:r>
            <w:r w:rsidRPr="00CF2A74">
              <w:rPr>
                <w:rFonts w:hint="eastAsia"/>
                <w:sz w:val="16"/>
                <w:szCs w:val="16"/>
                <w:rtl/>
              </w:rPr>
              <w:t>שליטה</w:t>
            </w:r>
          </w:p>
        </w:tc>
        <w:tc>
          <w:tcPr>
            <w:tcW w:w="779" w:type="dxa"/>
            <w:vAlign w:val="bottom"/>
          </w:tcPr>
          <w:p w14:paraId="39D27890" w14:textId="77777777" w:rsidR="004E0E02" w:rsidRPr="00513F0D" w:rsidRDefault="004E0E02" w:rsidP="003F6135">
            <w:pPr>
              <w:pStyle w:val="-3"/>
              <w:rPr>
                <w:sz w:val="16"/>
                <w:szCs w:val="16"/>
                <w:rtl/>
              </w:rPr>
            </w:pPr>
            <w:r w:rsidRPr="00CF2A74">
              <w:rPr>
                <w:sz w:val="16"/>
                <w:szCs w:val="16"/>
                <w:rtl/>
              </w:rPr>
              <w:t>-</w:t>
            </w:r>
          </w:p>
        </w:tc>
        <w:tc>
          <w:tcPr>
            <w:tcW w:w="861" w:type="dxa"/>
            <w:vAlign w:val="bottom"/>
          </w:tcPr>
          <w:p w14:paraId="5A680C12" w14:textId="77777777" w:rsidR="004E0E02" w:rsidRPr="00513F0D" w:rsidRDefault="004E0E02" w:rsidP="003F6135">
            <w:pPr>
              <w:pStyle w:val="-3"/>
              <w:rPr>
                <w:sz w:val="16"/>
                <w:szCs w:val="16"/>
                <w:rtl/>
              </w:rPr>
            </w:pPr>
            <w:r w:rsidRPr="00CF2A74">
              <w:rPr>
                <w:sz w:val="16"/>
                <w:szCs w:val="16"/>
                <w:rtl/>
              </w:rPr>
              <w:t>-</w:t>
            </w:r>
          </w:p>
        </w:tc>
        <w:tc>
          <w:tcPr>
            <w:tcW w:w="966" w:type="dxa"/>
            <w:vAlign w:val="bottom"/>
          </w:tcPr>
          <w:p w14:paraId="64A3ED9F" w14:textId="77777777" w:rsidR="004E0E02" w:rsidRPr="00513F0D" w:rsidRDefault="004E0E02" w:rsidP="003F6135">
            <w:pPr>
              <w:pStyle w:val="-3"/>
              <w:rPr>
                <w:sz w:val="16"/>
                <w:szCs w:val="16"/>
                <w:rtl/>
              </w:rPr>
            </w:pPr>
            <w:r w:rsidRPr="00CF2A74">
              <w:rPr>
                <w:sz w:val="16"/>
                <w:szCs w:val="16"/>
                <w:rtl/>
              </w:rPr>
              <w:t>-</w:t>
            </w:r>
          </w:p>
        </w:tc>
        <w:tc>
          <w:tcPr>
            <w:tcW w:w="819" w:type="dxa"/>
            <w:vAlign w:val="bottom"/>
          </w:tcPr>
          <w:p w14:paraId="7FDFD9DB" w14:textId="77777777" w:rsidR="004E0E02" w:rsidRPr="00513F0D" w:rsidRDefault="004E0E02" w:rsidP="003F6135">
            <w:pPr>
              <w:pStyle w:val="-3"/>
              <w:rPr>
                <w:sz w:val="16"/>
                <w:szCs w:val="16"/>
                <w:rtl/>
              </w:rPr>
            </w:pPr>
            <w:r w:rsidRPr="00CF2A74">
              <w:rPr>
                <w:sz w:val="16"/>
                <w:szCs w:val="16"/>
                <w:rtl/>
              </w:rPr>
              <w:t>-</w:t>
            </w:r>
          </w:p>
        </w:tc>
        <w:tc>
          <w:tcPr>
            <w:tcW w:w="1073" w:type="dxa"/>
            <w:vAlign w:val="bottom"/>
          </w:tcPr>
          <w:p w14:paraId="49B59261" w14:textId="77777777" w:rsidR="004E0E02" w:rsidRPr="009A7E4A" w:rsidRDefault="004E0E02" w:rsidP="003F6135">
            <w:pPr>
              <w:pStyle w:val="-3"/>
              <w:rPr>
                <w:sz w:val="16"/>
                <w:szCs w:val="16"/>
                <w:rtl/>
              </w:rPr>
            </w:pPr>
            <w:r w:rsidRPr="009A7E4A">
              <w:rPr>
                <w:sz w:val="16"/>
                <w:szCs w:val="16"/>
                <w:rtl/>
              </w:rPr>
              <w:t>-</w:t>
            </w:r>
          </w:p>
        </w:tc>
        <w:tc>
          <w:tcPr>
            <w:tcW w:w="683" w:type="dxa"/>
            <w:vAlign w:val="bottom"/>
          </w:tcPr>
          <w:p w14:paraId="55BD7BC3" w14:textId="77777777" w:rsidR="004E0E02" w:rsidRPr="00513F0D" w:rsidRDefault="004E0E02" w:rsidP="003F6135">
            <w:pPr>
              <w:pStyle w:val="-3"/>
              <w:jc w:val="left"/>
              <w:rPr>
                <w:sz w:val="16"/>
                <w:szCs w:val="16"/>
                <w:rtl/>
              </w:rPr>
            </w:pPr>
            <w:r w:rsidRPr="00CF2A74">
              <w:rPr>
                <w:sz w:val="16"/>
                <w:szCs w:val="16"/>
                <w:rtl/>
              </w:rPr>
              <w:t xml:space="preserve"> 0</w:t>
            </w:r>
          </w:p>
        </w:tc>
        <w:tc>
          <w:tcPr>
            <w:tcW w:w="793" w:type="dxa"/>
            <w:vAlign w:val="bottom"/>
          </w:tcPr>
          <w:p w14:paraId="6141D096" w14:textId="77777777" w:rsidR="004E0E02" w:rsidRPr="00CF2A74" w:rsidRDefault="004E0E02" w:rsidP="003F6135">
            <w:pPr>
              <w:pStyle w:val="-3"/>
              <w:jc w:val="left"/>
              <w:rPr>
                <w:sz w:val="16"/>
                <w:szCs w:val="16"/>
                <w:rtl/>
              </w:rPr>
            </w:pPr>
            <w:r w:rsidRPr="00CF2A74">
              <w:rPr>
                <w:sz w:val="16"/>
                <w:szCs w:val="16"/>
                <w:rtl/>
              </w:rPr>
              <w:t>-</w:t>
            </w:r>
          </w:p>
        </w:tc>
        <w:tc>
          <w:tcPr>
            <w:tcW w:w="916" w:type="dxa"/>
            <w:vAlign w:val="bottom"/>
          </w:tcPr>
          <w:p w14:paraId="34EC0826" w14:textId="77777777" w:rsidR="004E0E02" w:rsidRPr="00513F0D" w:rsidRDefault="004E0E02" w:rsidP="003F6135">
            <w:pPr>
              <w:pStyle w:val="-3"/>
              <w:jc w:val="left"/>
              <w:rPr>
                <w:sz w:val="16"/>
                <w:szCs w:val="16"/>
                <w:rtl/>
              </w:rPr>
            </w:pPr>
            <w:r w:rsidRPr="00CF2A74">
              <w:rPr>
                <w:sz w:val="16"/>
                <w:szCs w:val="16"/>
                <w:rtl/>
              </w:rPr>
              <w:t xml:space="preserve"> 0</w:t>
            </w:r>
          </w:p>
        </w:tc>
        <w:tc>
          <w:tcPr>
            <w:tcW w:w="819" w:type="dxa"/>
            <w:vAlign w:val="bottom"/>
          </w:tcPr>
          <w:p w14:paraId="5E0164BB" w14:textId="77777777" w:rsidR="004E0E02" w:rsidRPr="00513F0D" w:rsidRDefault="004E0E02" w:rsidP="003F6135">
            <w:pPr>
              <w:pStyle w:val="-3"/>
              <w:jc w:val="left"/>
              <w:rPr>
                <w:sz w:val="16"/>
                <w:szCs w:val="16"/>
                <w:rtl/>
              </w:rPr>
            </w:pPr>
            <w:r w:rsidRPr="00CF2A74">
              <w:rPr>
                <w:sz w:val="16"/>
                <w:szCs w:val="16"/>
                <w:rtl/>
              </w:rPr>
              <w:t xml:space="preserve"> -</w:t>
            </w:r>
          </w:p>
        </w:tc>
        <w:tc>
          <w:tcPr>
            <w:tcW w:w="891" w:type="dxa"/>
            <w:vAlign w:val="bottom"/>
          </w:tcPr>
          <w:p w14:paraId="76824C59" w14:textId="77777777" w:rsidR="004E0E02" w:rsidRPr="00513F0D" w:rsidRDefault="004E0E02" w:rsidP="003F6135">
            <w:pPr>
              <w:pStyle w:val="-3"/>
              <w:jc w:val="left"/>
              <w:rPr>
                <w:sz w:val="16"/>
                <w:szCs w:val="16"/>
                <w:rtl/>
              </w:rPr>
            </w:pPr>
            <w:r w:rsidRPr="00CF2A74">
              <w:rPr>
                <w:sz w:val="16"/>
                <w:szCs w:val="16"/>
                <w:rtl/>
              </w:rPr>
              <w:t xml:space="preserve"> 0</w:t>
            </w:r>
          </w:p>
        </w:tc>
        <w:tc>
          <w:tcPr>
            <w:tcW w:w="781" w:type="dxa"/>
            <w:vAlign w:val="bottom"/>
          </w:tcPr>
          <w:p w14:paraId="7FB7DA2E" w14:textId="77777777" w:rsidR="004E0E02" w:rsidRPr="00513F0D" w:rsidRDefault="004E0E02" w:rsidP="003F6135">
            <w:pPr>
              <w:pStyle w:val="-3"/>
              <w:jc w:val="left"/>
              <w:rPr>
                <w:sz w:val="16"/>
                <w:szCs w:val="16"/>
                <w:rtl/>
              </w:rPr>
            </w:pPr>
            <w:r w:rsidRPr="00CF2A74">
              <w:rPr>
                <w:sz w:val="16"/>
                <w:szCs w:val="16"/>
                <w:rtl/>
              </w:rPr>
              <w:t xml:space="preserve"> -</w:t>
            </w:r>
          </w:p>
        </w:tc>
        <w:tc>
          <w:tcPr>
            <w:tcW w:w="1153" w:type="dxa"/>
            <w:vAlign w:val="bottom"/>
          </w:tcPr>
          <w:p w14:paraId="4B3A0D9F" w14:textId="77777777" w:rsidR="004E0E02" w:rsidRPr="00513F0D" w:rsidRDefault="004E0E02" w:rsidP="003F6135">
            <w:pPr>
              <w:pStyle w:val="-3"/>
              <w:jc w:val="left"/>
              <w:rPr>
                <w:sz w:val="16"/>
                <w:szCs w:val="16"/>
                <w:rtl/>
              </w:rPr>
            </w:pPr>
            <w:r w:rsidRPr="00CF2A74">
              <w:rPr>
                <w:sz w:val="16"/>
                <w:szCs w:val="16"/>
                <w:rtl/>
              </w:rPr>
              <w:t xml:space="preserve"> 0</w:t>
            </w:r>
          </w:p>
        </w:tc>
        <w:tc>
          <w:tcPr>
            <w:tcW w:w="741" w:type="dxa"/>
            <w:vAlign w:val="bottom"/>
          </w:tcPr>
          <w:p w14:paraId="0D2970CB" w14:textId="77777777" w:rsidR="004E0E02" w:rsidRPr="00513F0D" w:rsidRDefault="004E0E02" w:rsidP="003F6135">
            <w:pPr>
              <w:pStyle w:val="-3"/>
              <w:jc w:val="left"/>
              <w:rPr>
                <w:sz w:val="16"/>
                <w:szCs w:val="16"/>
                <w:rtl/>
              </w:rPr>
            </w:pPr>
            <w:r w:rsidRPr="00CF2A74">
              <w:rPr>
                <w:sz w:val="16"/>
                <w:szCs w:val="16"/>
                <w:rtl/>
              </w:rPr>
              <w:t xml:space="preserve"> 0</w:t>
            </w:r>
          </w:p>
        </w:tc>
        <w:tc>
          <w:tcPr>
            <w:tcW w:w="775" w:type="dxa"/>
            <w:vAlign w:val="bottom"/>
          </w:tcPr>
          <w:p w14:paraId="09D8E208" w14:textId="77777777" w:rsidR="004E0E02" w:rsidRPr="00513F0D" w:rsidRDefault="004E0E02" w:rsidP="003F6135">
            <w:pPr>
              <w:pStyle w:val="-3"/>
              <w:jc w:val="left"/>
              <w:rPr>
                <w:sz w:val="16"/>
                <w:szCs w:val="16"/>
                <w:rtl/>
              </w:rPr>
            </w:pPr>
            <w:r w:rsidRPr="00CF2A74">
              <w:rPr>
                <w:sz w:val="16"/>
                <w:szCs w:val="16"/>
                <w:rtl/>
              </w:rPr>
              <w:t xml:space="preserve"> 0</w:t>
            </w:r>
          </w:p>
        </w:tc>
      </w:tr>
      <w:tr w:rsidR="004E0E02" w:rsidRPr="00513F0D" w14:paraId="4A43AA87" w14:textId="77777777" w:rsidTr="004A1ADA">
        <w:tc>
          <w:tcPr>
            <w:tcW w:w="850" w:type="dxa"/>
          </w:tcPr>
          <w:p w14:paraId="799D282E" w14:textId="77777777" w:rsidR="004E0E02" w:rsidRPr="00513F0D" w:rsidRDefault="004E0E02" w:rsidP="003F6135">
            <w:pPr>
              <w:pStyle w:val="-7"/>
              <w:bidi w:val="0"/>
              <w:ind w:right="-231"/>
              <w:jc w:val="left"/>
              <w:rPr>
                <w:spacing w:val="-6"/>
                <w:sz w:val="16"/>
                <w:szCs w:val="16"/>
                <w:rtl/>
              </w:rPr>
            </w:pPr>
          </w:p>
        </w:tc>
        <w:tc>
          <w:tcPr>
            <w:tcW w:w="2282" w:type="dxa"/>
            <w:vAlign w:val="bottom"/>
          </w:tcPr>
          <w:p w14:paraId="1D1B729C" w14:textId="77777777" w:rsidR="004E0E02" w:rsidRPr="00C36FF6" w:rsidRDefault="00B44059" w:rsidP="003F6135">
            <w:pPr>
              <w:pStyle w:val="-b"/>
              <w:rPr>
                <w:b w:val="0"/>
                <w:bCs w:val="0"/>
                <w:sz w:val="16"/>
                <w:szCs w:val="16"/>
                <w:rtl/>
              </w:rPr>
            </w:pPr>
            <w:r w:rsidRPr="00B44059">
              <w:rPr>
                <w:rFonts w:hint="eastAsia"/>
                <w:b w:val="0"/>
                <w:bCs w:val="0"/>
                <w:sz w:val="16"/>
                <w:szCs w:val="16"/>
                <w:u w:val="single"/>
                <w:rtl/>
              </w:rPr>
              <w:t>התאמות</w:t>
            </w:r>
            <w:r w:rsidRPr="00B44059">
              <w:rPr>
                <w:b w:val="0"/>
                <w:bCs w:val="0"/>
                <w:sz w:val="16"/>
                <w:szCs w:val="16"/>
                <w:u w:val="single"/>
                <w:rtl/>
              </w:rPr>
              <w:t xml:space="preserve"> </w:t>
            </w:r>
            <w:r w:rsidRPr="00B44059">
              <w:rPr>
                <w:rFonts w:hint="eastAsia"/>
                <w:b w:val="0"/>
                <w:bCs w:val="0"/>
                <w:sz w:val="16"/>
                <w:szCs w:val="16"/>
                <w:u w:val="single"/>
                <w:rtl/>
              </w:rPr>
              <w:t>ושינויים</w:t>
            </w:r>
            <w:r w:rsidRPr="00B44059">
              <w:rPr>
                <w:b w:val="0"/>
                <w:bCs w:val="0"/>
                <w:sz w:val="16"/>
                <w:szCs w:val="16"/>
                <w:u w:val="single"/>
                <w:rtl/>
              </w:rPr>
              <w:t xml:space="preserve"> </w:t>
            </w:r>
            <w:r w:rsidRPr="00B44059">
              <w:rPr>
                <w:rFonts w:hint="eastAsia"/>
                <w:b w:val="0"/>
                <w:bCs w:val="0"/>
                <w:sz w:val="16"/>
                <w:szCs w:val="16"/>
                <w:u w:val="single"/>
                <w:rtl/>
              </w:rPr>
              <w:t>הנובעים</w:t>
            </w:r>
            <w:r w:rsidRPr="00B44059">
              <w:rPr>
                <w:b w:val="0"/>
                <w:bCs w:val="0"/>
                <w:sz w:val="16"/>
                <w:szCs w:val="16"/>
                <w:u w:val="single"/>
                <w:rtl/>
              </w:rPr>
              <w:t xml:space="preserve"> </w:t>
            </w:r>
            <w:r w:rsidRPr="00B44059">
              <w:rPr>
                <w:rFonts w:hint="eastAsia"/>
                <w:b w:val="0"/>
                <w:bCs w:val="0"/>
                <w:sz w:val="16"/>
                <w:szCs w:val="16"/>
                <w:u w:val="single"/>
                <w:rtl/>
              </w:rPr>
              <w:t>מ</w:t>
            </w:r>
            <w:r w:rsidRPr="00B44059">
              <w:rPr>
                <w:b w:val="0"/>
                <w:bCs w:val="0"/>
                <w:sz w:val="16"/>
                <w:szCs w:val="16"/>
                <w:rtl/>
              </w:rPr>
              <w:t>:</w:t>
            </w:r>
          </w:p>
        </w:tc>
        <w:tc>
          <w:tcPr>
            <w:tcW w:w="779" w:type="dxa"/>
            <w:vAlign w:val="bottom"/>
          </w:tcPr>
          <w:p w14:paraId="410894ED" w14:textId="77777777" w:rsidR="004E0E02" w:rsidRPr="00513F0D" w:rsidRDefault="004E0E02" w:rsidP="003F6135">
            <w:pPr>
              <w:pStyle w:val="-3"/>
              <w:rPr>
                <w:sz w:val="16"/>
                <w:szCs w:val="16"/>
                <w:rtl/>
              </w:rPr>
            </w:pPr>
          </w:p>
        </w:tc>
        <w:tc>
          <w:tcPr>
            <w:tcW w:w="861" w:type="dxa"/>
            <w:vAlign w:val="bottom"/>
          </w:tcPr>
          <w:p w14:paraId="0146222A" w14:textId="77777777" w:rsidR="004E0E02" w:rsidRPr="00513F0D" w:rsidRDefault="004E0E02" w:rsidP="003F6135">
            <w:pPr>
              <w:pStyle w:val="-3"/>
              <w:rPr>
                <w:sz w:val="16"/>
                <w:szCs w:val="16"/>
                <w:rtl/>
              </w:rPr>
            </w:pPr>
          </w:p>
        </w:tc>
        <w:tc>
          <w:tcPr>
            <w:tcW w:w="966" w:type="dxa"/>
            <w:vAlign w:val="bottom"/>
          </w:tcPr>
          <w:p w14:paraId="7A996578" w14:textId="77777777" w:rsidR="004E0E02" w:rsidRPr="00513F0D" w:rsidRDefault="004E0E02" w:rsidP="003F6135">
            <w:pPr>
              <w:pStyle w:val="-3"/>
              <w:rPr>
                <w:sz w:val="16"/>
                <w:szCs w:val="16"/>
                <w:rtl/>
              </w:rPr>
            </w:pPr>
          </w:p>
        </w:tc>
        <w:tc>
          <w:tcPr>
            <w:tcW w:w="819" w:type="dxa"/>
            <w:vAlign w:val="bottom"/>
          </w:tcPr>
          <w:p w14:paraId="69D69FFB" w14:textId="77777777" w:rsidR="004E0E02" w:rsidRPr="00513F0D" w:rsidRDefault="004E0E02" w:rsidP="003F6135">
            <w:pPr>
              <w:pStyle w:val="-3"/>
              <w:rPr>
                <w:sz w:val="16"/>
                <w:szCs w:val="16"/>
                <w:rtl/>
              </w:rPr>
            </w:pPr>
          </w:p>
        </w:tc>
        <w:tc>
          <w:tcPr>
            <w:tcW w:w="1073" w:type="dxa"/>
            <w:vAlign w:val="bottom"/>
          </w:tcPr>
          <w:p w14:paraId="69C4616F" w14:textId="77777777" w:rsidR="004E0E02" w:rsidRPr="009A7E4A" w:rsidRDefault="004E0E02" w:rsidP="003F6135">
            <w:pPr>
              <w:pStyle w:val="-3"/>
              <w:rPr>
                <w:sz w:val="16"/>
                <w:szCs w:val="16"/>
                <w:rtl/>
              </w:rPr>
            </w:pPr>
          </w:p>
        </w:tc>
        <w:tc>
          <w:tcPr>
            <w:tcW w:w="683" w:type="dxa"/>
            <w:vAlign w:val="bottom"/>
          </w:tcPr>
          <w:p w14:paraId="2DDAC5D4" w14:textId="77777777" w:rsidR="004E0E02" w:rsidRPr="00513F0D" w:rsidRDefault="004E0E02" w:rsidP="003F6135">
            <w:pPr>
              <w:pStyle w:val="-3"/>
              <w:jc w:val="left"/>
              <w:rPr>
                <w:sz w:val="16"/>
                <w:szCs w:val="16"/>
                <w:rtl/>
              </w:rPr>
            </w:pPr>
          </w:p>
        </w:tc>
        <w:tc>
          <w:tcPr>
            <w:tcW w:w="793" w:type="dxa"/>
            <w:vAlign w:val="bottom"/>
          </w:tcPr>
          <w:p w14:paraId="3CE41C13" w14:textId="77777777" w:rsidR="004E0E02" w:rsidRPr="00513F0D" w:rsidRDefault="004E0E02" w:rsidP="003F6135">
            <w:pPr>
              <w:pStyle w:val="-3"/>
              <w:jc w:val="left"/>
              <w:rPr>
                <w:sz w:val="16"/>
                <w:szCs w:val="16"/>
                <w:rtl/>
              </w:rPr>
            </w:pPr>
          </w:p>
        </w:tc>
        <w:tc>
          <w:tcPr>
            <w:tcW w:w="916" w:type="dxa"/>
            <w:vAlign w:val="bottom"/>
          </w:tcPr>
          <w:p w14:paraId="1615D860" w14:textId="77777777" w:rsidR="004E0E02" w:rsidRPr="00513F0D" w:rsidRDefault="004E0E02" w:rsidP="003F6135">
            <w:pPr>
              <w:pStyle w:val="-3"/>
              <w:jc w:val="left"/>
              <w:rPr>
                <w:sz w:val="16"/>
                <w:szCs w:val="16"/>
                <w:rtl/>
              </w:rPr>
            </w:pPr>
          </w:p>
        </w:tc>
        <w:tc>
          <w:tcPr>
            <w:tcW w:w="819" w:type="dxa"/>
            <w:vAlign w:val="bottom"/>
          </w:tcPr>
          <w:p w14:paraId="5F1A9BB0" w14:textId="77777777" w:rsidR="004E0E02" w:rsidRPr="00513F0D" w:rsidRDefault="004E0E02" w:rsidP="003F6135">
            <w:pPr>
              <w:pStyle w:val="-3"/>
              <w:jc w:val="left"/>
              <w:rPr>
                <w:sz w:val="16"/>
                <w:szCs w:val="16"/>
                <w:rtl/>
              </w:rPr>
            </w:pPr>
          </w:p>
        </w:tc>
        <w:tc>
          <w:tcPr>
            <w:tcW w:w="891" w:type="dxa"/>
            <w:vAlign w:val="bottom"/>
          </w:tcPr>
          <w:p w14:paraId="1AD38D5A" w14:textId="77777777" w:rsidR="004E0E02" w:rsidRPr="00513F0D" w:rsidRDefault="004E0E02" w:rsidP="003F6135">
            <w:pPr>
              <w:pStyle w:val="-3"/>
              <w:jc w:val="left"/>
              <w:rPr>
                <w:sz w:val="16"/>
                <w:szCs w:val="16"/>
                <w:rtl/>
              </w:rPr>
            </w:pPr>
          </w:p>
        </w:tc>
        <w:tc>
          <w:tcPr>
            <w:tcW w:w="781" w:type="dxa"/>
            <w:vAlign w:val="bottom"/>
          </w:tcPr>
          <w:p w14:paraId="40E26414" w14:textId="77777777" w:rsidR="004E0E02" w:rsidRPr="00513F0D" w:rsidRDefault="004E0E02" w:rsidP="003F6135">
            <w:pPr>
              <w:pStyle w:val="-3"/>
              <w:jc w:val="left"/>
              <w:rPr>
                <w:sz w:val="16"/>
                <w:szCs w:val="16"/>
                <w:rtl/>
              </w:rPr>
            </w:pPr>
          </w:p>
        </w:tc>
        <w:tc>
          <w:tcPr>
            <w:tcW w:w="1153" w:type="dxa"/>
            <w:vAlign w:val="bottom"/>
          </w:tcPr>
          <w:p w14:paraId="48261773" w14:textId="77777777" w:rsidR="004E0E02" w:rsidRPr="00513F0D" w:rsidRDefault="004E0E02" w:rsidP="003F6135">
            <w:pPr>
              <w:pStyle w:val="-3"/>
              <w:jc w:val="left"/>
              <w:rPr>
                <w:sz w:val="16"/>
                <w:szCs w:val="16"/>
                <w:rtl/>
              </w:rPr>
            </w:pPr>
          </w:p>
        </w:tc>
        <w:tc>
          <w:tcPr>
            <w:tcW w:w="741" w:type="dxa"/>
            <w:vAlign w:val="bottom"/>
          </w:tcPr>
          <w:p w14:paraId="785E7BDA" w14:textId="77777777" w:rsidR="004E0E02" w:rsidRPr="00513F0D" w:rsidRDefault="004E0E02" w:rsidP="003F6135">
            <w:pPr>
              <w:pStyle w:val="-3"/>
              <w:jc w:val="left"/>
              <w:rPr>
                <w:sz w:val="16"/>
                <w:szCs w:val="16"/>
                <w:rtl/>
              </w:rPr>
            </w:pPr>
          </w:p>
        </w:tc>
        <w:tc>
          <w:tcPr>
            <w:tcW w:w="775" w:type="dxa"/>
            <w:vAlign w:val="bottom"/>
          </w:tcPr>
          <w:p w14:paraId="5BC25BAC" w14:textId="77777777" w:rsidR="004E0E02" w:rsidRPr="00513F0D" w:rsidRDefault="004E0E02" w:rsidP="003F6135">
            <w:pPr>
              <w:pStyle w:val="-3"/>
              <w:jc w:val="left"/>
              <w:rPr>
                <w:sz w:val="16"/>
                <w:szCs w:val="16"/>
                <w:rtl/>
              </w:rPr>
            </w:pPr>
          </w:p>
        </w:tc>
      </w:tr>
      <w:tr w:rsidR="004E0E02" w:rsidRPr="00513F0D" w14:paraId="76CC4B2B" w14:textId="77777777" w:rsidTr="004A1ADA">
        <w:tc>
          <w:tcPr>
            <w:tcW w:w="850" w:type="dxa"/>
          </w:tcPr>
          <w:p w14:paraId="20F1DD1A" w14:textId="77777777" w:rsidR="004E0E02" w:rsidRPr="00513F0D" w:rsidRDefault="004E0E02" w:rsidP="003F6135">
            <w:pPr>
              <w:pStyle w:val="-7"/>
              <w:bidi w:val="0"/>
              <w:ind w:right="-231"/>
              <w:jc w:val="left"/>
              <w:rPr>
                <w:spacing w:val="-6"/>
                <w:sz w:val="16"/>
                <w:szCs w:val="16"/>
                <w:rtl/>
              </w:rPr>
            </w:pPr>
          </w:p>
        </w:tc>
        <w:tc>
          <w:tcPr>
            <w:tcW w:w="2282" w:type="dxa"/>
            <w:vAlign w:val="bottom"/>
          </w:tcPr>
          <w:p w14:paraId="79BC0309" w14:textId="77777777" w:rsidR="004E0E02" w:rsidRPr="00513F0D" w:rsidRDefault="004E0E02" w:rsidP="003F6135">
            <w:pPr>
              <w:pStyle w:val="-0"/>
              <w:rPr>
                <w:sz w:val="16"/>
                <w:szCs w:val="16"/>
                <w:rtl/>
              </w:rPr>
            </w:pPr>
            <w:r w:rsidRPr="00CF2A74">
              <w:rPr>
                <w:rFonts w:hint="eastAsia"/>
                <w:sz w:val="16"/>
                <w:szCs w:val="16"/>
                <w:rtl/>
              </w:rPr>
              <w:t>הנפקת</w:t>
            </w:r>
            <w:r w:rsidRPr="00CF2A74">
              <w:rPr>
                <w:sz w:val="16"/>
                <w:szCs w:val="16"/>
                <w:rtl/>
              </w:rPr>
              <w:t xml:space="preserve"> </w:t>
            </w:r>
            <w:r w:rsidRPr="00CF2A74">
              <w:rPr>
                <w:rFonts w:hint="eastAsia"/>
                <w:sz w:val="16"/>
                <w:szCs w:val="16"/>
                <w:rtl/>
              </w:rPr>
              <w:t>מניות</w:t>
            </w:r>
          </w:p>
        </w:tc>
        <w:tc>
          <w:tcPr>
            <w:tcW w:w="779" w:type="dxa"/>
            <w:vAlign w:val="bottom"/>
          </w:tcPr>
          <w:p w14:paraId="3CCD733F" w14:textId="77777777" w:rsidR="004E0E02" w:rsidRPr="00513F0D" w:rsidRDefault="004E0E02" w:rsidP="003F6135">
            <w:pPr>
              <w:pStyle w:val="-3"/>
              <w:rPr>
                <w:sz w:val="16"/>
                <w:szCs w:val="16"/>
                <w:rtl/>
              </w:rPr>
            </w:pPr>
            <w:r w:rsidRPr="00CF2A74">
              <w:rPr>
                <w:sz w:val="16"/>
                <w:szCs w:val="16"/>
                <w:rtl/>
              </w:rPr>
              <w:t>0</w:t>
            </w:r>
          </w:p>
        </w:tc>
        <w:tc>
          <w:tcPr>
            <w:tcW w:w="861" w:type="dxa"/>
            <w:vAlign w:val="bottom"/>
          </w:tcPr>
          <w:p w14:paraId="30CAFED8" w14:textId="77777777" w:rsidR="004E0E02" w:rsidRPr="00513F0D" w:rsidRDefault="004E0E02" w:rsidP="003F6135">
            <w:pPr>
              <w:pStyle w:val="-3"/>
              <w:rPr>
                <w:sz w:val="16"/>
                <w:szCs w:val="16"/>
                <w:rtl/>
              </w:rPr>
            </w:pPr>
            <w:r w:rsidRPr="00CF2A74">
              <w:rPr>
                <w:sz w:val="16"/>
                <w:szCs w:val="16"/>
                <w:rtl/>
              </w:rPr>
              <w:t>-</w:t>
            </w:r>
          </w:p>
        </w:tc>
        <w:tc>
          <w:tcPr>
            <w:tcW w:w="966" w:type="dxa"/>
            <w:vAlign w:val="bottom"/>
          </w:tcPr>
          <w:p w14:paraId="769F7ED4" w14:textId="77777777" w:rsidR="004E0E02" w:rsidRPr="00513F0D" w:rsidRDefault="004E0E02" w:rsidP="003F6135">
            <w:pPr>
              <w:pStyle w:val="-3"/>
              <w:rPr>
                <w:sz w:val="16"/>
                <w:szCs w:val="16"/>
                <w:rtl/>
              </w:rPr>
            </w:pPr>
            <w:r>
              <w:rPr>
                <w:rFonts w:hint="cs"/>
                <w:sz w:val="16"/>
                <w:szCs w:val="16"/>
                <w:rtl/>
              </w:rPr>
              <w:t>-</w:t>
            </w:r>
          </w:p>
        </w:tc>
        <w:tc>
          <w:tcPr>
            <w:tcW w:w="819" w:type="dxa"/>
            <w:vAlign w:val="bottom"/>
          </w:tcPr>
          <w:p w14:paraId="5FD18D77" w14:textId="77777777" w:rsidR="004E0E02" w:rsidRPr="00513F0D" w:rsidRDefault="004E0E02" w:rsidP="003F6135">
            <w:pPr>
              <w:pStyle w:val="-3"/>
              <w:rPr>
                <w:sz w:val="16"/>
                <w:szCs w:val="16"/>
                <w:rtl/>
              </w:rPr>
            </w:pPr>
            <w:r w:rsidRPr="00CF2A74">
              <w:rPr>
                <w:sz w:val="16"/>
                <w:szCs w:val="16"/>
                <w:rtl/>
              </w:rPr>
              <w:t>0</w:t>
            </w:r>
          </w:p>
        </w:tc>
        <w:tc>
          <w:tcPr>
            <w:tcW w:w="1073" w:type="dxa"/>
            <w:vAlign w:val="bottom"/>
          </w:tcPr>
          <w:p w14:paraId="052CF137" w14:textId="77777777" w:rsidR="004E0E02" w:rsidRPr="009A7E4A" w:rsidRDefault="004E0E02" w:rsidP="003F6135">
            <w:pPr>
              <w:pStyle w:val="-3"/>
              <w:rPr>
                <w:sz w:val="16"/>
                <w:szCs w:val="16"/>
                <w:rtl/>
              </w:rPr>
            </w:pPr>
            <w:r w:rsidRPr="009A7E4A">
              <w:rPr>
                <w:sz w:val="16"/>
                <w:szCs w:val="16"/>
                <w:rtl/>
              </w:rPr>
              <w:t>-</w:t>
            </w:r>
          </w:p>
        </w:tc>
        <w:tc>
          <w:tcPr>
            <w:tcW w:w="683" w:type="dxa"/>
            <w:vAlign w:val="bottom"/>
          </w:tcPr>
          <w:p w14:paraId="282E7C6F" w14:textId="77777777" w:rsidR="004E0E02" w:rsidRPr="00513F0D" w:rsidRDefault="004E0E02" w:rsidP="003F6135">
            <w:pPr>
              <w:pStyle w:val="-3"/>
              <w:jc w:val="left"/>
              <w:rPr>
                <w:sz w:val="16"/>
                <w:szCs w:val="16"/>
                <w:rtl/>
              </w:rPr>
            </w:pPr>
            <w:r w:rsidRPr="00CF2A74">
              <w:rPr>
                <w:sz w:val="16"/>
                <w:szCs w:val="16"/>
                <w:rtl/>
              </w:rPr>
              <w:t xml:space="preserve"> -</w:t>
            </w:r>
          </w:p>
        </w:tc>
        <w:tc>
          <w:tcPr>
            <w:tcW w:w="793" w:type="dxa"/>
            <w:vAlign w:val="bottom"/>
          </w:tcPr>
          <w:p w14:paraId="1A6883AC" w14:textId="77777777" w:rsidR="004E0E02" w:rsidRPr="00CF2A74" w:rsidRDefault="004E0E02" w:rsidP="003F6135">
            <w:pPr>
              <w:pStyle w:val="-3"/>
              <w:jc w:val="left"/>
              <w:rPr>
                <w:sz w:val="16"/>
                <w:szCs w:val="16"/>
                <w:rtl/>
              </w:rPr>
            </w:pPr>
            <w:r w:rsidRPr="00CF2A74">
              <w:rPr>
                <w:sz w:val="16"/>
                <w:szCs w:val="16"/>
                <w:rtl/>
              </w:rPr>
              <w:t>-</w:t>
            </w:r>
          </w:p>
        </w:tc>
        <w:tc>
          <w:tcPr>
            <w:tcW w:w="916" w:type="dxa"/>
            <w:vAlign w:val="bottom"/>
          </w:tcPr>
          <w:p w14:paraId="36900CB1" w14:textId="77777777" w:rsidR="004E0E02" w:rsidRPr="00513F0D" w:rsidRDefault="004E0E02" w:rsidP="003F6135">
            <w:pPr>
              <w:pStyle w:val="-3"/>
              <w:jc w:val="left"/>
              <w:rPr>
                <w:sz w:val="16"/>
                <w:szCs w:val="16"/>
                <w:rtl/>
              </w:rPr>
            </w:pPr>
            <w:r w:rsidRPr="00CF2A74">
              <w:rPr>
                <w:sz w:val="16"/>
                <w:szCs w:val="16"/>
                <w:rtl/>
              </w:rPr>
              <w:t xml:space="preserve"> 0</w:t>
            </w:r>
          </w:p>
        </w:tc>
        <w:tc>
          <w:tcPr>
            <w:tcW w:w="819" w:type="dxa"/>
            <w:vAlign w:val="bottom"/>
          </w:tcPr>
          <w:p w14:paraId="4F43A669" w14:textId="77777777" w:rsidR="004E0E02" w:rsidRPr="00513F0D" w:rsidRDefault="004E0E02" w:rsidP="003F6135">
            <w:pPr>
              <w:pStyle w:val="-3"/>
              <w:jc w:val="left"/>
              <w:rPr>
                <w:sz w:val="16"/>
                <w:szCs w:val="16"/>
                <w:rtl/>
              </w:rPr>
            </w:pPr>
            <w:r w:rsidRPr="00CF2A74">
              <w:rPr>
                <w:sz w:val="16"/>
                <w:szCs w:val="16"/>
                <w:rtl/>
              </w:rPr>
              <w:t xml:space="preserve"> -</w:t>
            </w:r>
          </w:p>
        </w:tc>
        <w:tc>
          <w:tcPr>
            <w:tcW w:w="891" w:type="dxa"/>
            <w:vAlign w:val="bottom"/>
          </w:tcPr>
          <w:p w14:paraId="7153E840" w14:textId="77777777" w:rsidR="004E0E02" w:rsidRPr="00513F0D" w:rsidRDefault="004E0E02" w:rsidP="003F6135">
            <w:pPr>
              <w:pStyle w:val="-3"/>
              <w:jc w:val="left"/>
              <w:rPr>
                <w:sz w:val="16"/>
                <w:szCs w:val="16"/>
                <w:rtl/>
              </w:rPr>
            </w:pPr>
            <w:r w:rsidRPr="00CF2A74">
              <w:rPr>
                <w:sz w:val="16"/>
                <w:szCs w:val="16"/>
                <w:rtl/>
              </w:rPr>
              <w:t xml:space="preserve"> -</w:t>
            </w:r>
          </w:p>
        </w:tc>
        <w:tc>
          <w:tcPr>
            <w:tcW w:w="781" w:type="dxa"/>
            <w:vAlign w:val="bottom"/>
          </w:tcPr>
          <w:p w14:paraId="3B01E4D9" w14:textId="77777777" w:rsidR="004E0E02" w:rsidRPr="00513F0D" w:rsidRDefault="004E0E02" w:rsidP="003F6135">
            <w:pPr>
              <w:pStyle w:val="-3"/>
              <w:jc w:val="left"/>
              <w:rPr>
                <w:sz w:val="16"/>
                <w:szCs w:val="16"/>
                <w:rtl/>
              </w:rPr>
            </w:pPr>
            <w:r w:rsidRPr="00CF2A74">
              <w:rPr>
                <w:sz w:val="16"/>
                <w:szCs w:val="16"/>
                <w:rtl/>
              </w:rPr>
              <w:t xml:space="preserve"> 0</w:t>
            </w:r>
          </w:p>
        </w:tc>
        <w:tc>
          <w:tcPr>
            <w:tcW w:w="1153" w:type="dxa"/>
            <w:vAlign w:val="bottom"/>
          </w:tcPr>
          <w:p w14:paraId="52B52D93" w14:textId="77777777" w:rsidR="004E0E02" w:rsidRPr="00513F0D" w:rsidRDefault="004E0E02" w:rsidP="00141F15">
            <w:pPr>
              <w:pStyle w:val="-3"/>
              <w:jc w:val="left"/>
              <w:rPr>
                <w:sz w:val="16"/>
                <w:szCs w:val="16"/>
                <w:rtl/>
              </w:rPr>
            </w:pPr>
            <w:r w:rsidRPr="00CF2A74">
              <w:rPr>
                <w:sz w:val="16"/>
                <w:szCs w:val="16"/>
                <w:rtl/>
              </w:rPr>
              <w:t xml:space="preserve"> 0</w:t>
            </w:r>
          </w:p>
        </w:tc>
        <w:tc>
          <w:tcPr>
            <w:tcW w:w="741" w:type="dxa"/>
            <w:vAlign w:val="bottom"/>
          </w:tcPr>
          <w:p w14:paraId="0BA24AF4" w14:textId="77777777" w:rsidR="004E0E02" w:rsidRPr="00513F0D" w:rsidRDefault="004E0E02" w:rsidP="00141F15">
            <w:pPr>
              <w:pStyle w:val="-3"/>
              <w:jc w:val="left"/>
              <w:rPr>
                <w:sz w:val="16"/>
                <w:szCs w:val="16"/>
                <w:rtl/>
              </w:rPr>
            </w:pPr>
            <w:r w:rsidRPr="00CF2A74">
              <w:rPr>
                <w:sz w:val="16"/>
                <w:szCs w:val="16"/>
                <w:rtl/>
              </w:rPr>
              <w:t xml:space="preserve"> 0</w:t>
            </w:r>
          </w:p>
        </w:tc>
        <w:tc>
          <w:tcPr>
            <w:tcW w:w="775" w:type="dxa"/>
            <w:vAlign w:val="bottom"/>
          </w:tcPr>
          <w:p w14:paraId="6C22315A"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104CE0BE" w14:textId="77777777" w:rsidTr="004A1ADA">
        <w:tc>
          <w:tcPr>
            <w:tcW w:w="850" w:type="dxa"/>
          </w:tcPr>
          <w:p w14:paraId="166CAC08" w14:textId="77777777" w:rsidR="004E0E02" w:rsidRPr="00513F0D" w:rsidRDefault="004E0E02" w:rsidP="003F6135">
            <w:pPr>
              <w:pStyle w:val="-7"/>
              <w:bidi w:val="0"/>
              <w:ind w:right="-231"/>
              <w:jc w:val="left"/>
              <w:rPr>
                <w:spacing w:val="-6"/>
                <w:sz w:val="16"/>
                <w:szCs w:val="16"/>
                <w:rtl/>
              </w:rPr>
            </w:pPr>
          </w:p>
        </w:tc>
        <w:tc>
          <w:tcPr>
            <w:tcW w:w="2282" w:type="dxa"/>
            <w:vAlign w:val="bottom"/>
          </w:tcPr>
          <w:p w14:paraId="621068AD" w14:textId="77777777" w:rsidR="004E0E02" w:rsidRPr="00513F0D" w:rsidRDefault="004E0E02" w:rsidP="003F6135">
            <w:pPr>
              <w:pStyle w:val="-0"/>
              <w:rPr>
                <w:sz w:val="16"/>
                <w:szCs w:val="16"/>
                <w:rtl/>
              </w:rPr>
            </w:pPr>
            <w:r w:rsidRPr="00CF2A74">
              <w:rPr>
                <w:rFonts w:hint="eastAsia"/>
                <w:sz w:val="16"/>
                <w:szCs w:val="16"/>
                <w:rtl/>
              </w:rPr>
              <w:t>חלוקת</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הטבה</w:t>
            </w:r>
          </w:p>
        </w:tc>
        <w:tc>
          <w:tcPr>
            <w:tcW w:w="779" w:type="dxa"/>
            <w:vAlign w:val="bottom"/>
          </w:tcPr>
          <w:p w14:paraId="2A8C9069" w14:textId="77777777" w:rsidR="004E0E02" w:rsidRPr="00513F0D" w:rsidRDefault="004E0E02" w:rsidP="003F6135">
            <w:pPr>
              <w:pStyle w:val="-3"/>
              <w:rPr>
                <w:sz w:val="16"/>
                <w:szCs w:val="16"/>
                <w:rtl/>
              </w:rPr>
            </w:pPr>
            <w:r w:rsidRPr="00CF2A74">
              <w:rPr>
                <w:sz w:val="16"/>
                <w:szCs w:val="16"/>
                <w:rtl/>
              </w:rPr>
              <w:t>0</w:t>
            </w:r>
          </w:p>
        </w:tc>
        <w:tc>
          <w:tcPr>
            <w:tcW w:w="861" w:type="dxa"/>
            <w:vAlign w:val="bottom"/>
          </w:tcPr>
          <w:p w14:paraId="6D8CE4A2" w14:textId="77777777" w:rsidR="004E0E02" w:rsidRPr="00513F0D" w:rsidRDefault="004E0E02" w:rsidP="003F6135">
            <w:pPr>
              <w:pStyle w:val="-3"/>
              <w:rPr>
                <w:sz w:val="16"/>
                <w:szCs w:val="16"/>
                <w:rtl/>
              </w:rPr>
            </w:pPr>
            <w:r w:rsidRPr="00CF2A74">
              <w:rPr>
                <w:sz w:val="16"/>
                <w:szCs w:val="16"/>
                <w:rtl/>
              </w:rPr>
              <w:t>-</w:t>
            </w:r>
          </w:p>
        </w:tc>
        <w:tc>
          <w:tcPr>
            <w:tcW w:w="966" w:type="dxa"/>
            <w:vAlign w:val="bottom"/>
          </w:tcPr>
          <w:p w14:paraId="512C088C" w14:textId="77777777" w:rsidR="004E0E02" w:rsidRPr="00513F0D" w:rsidRDefault="004E0E02" w:rsidP="003F6135">
            <w:pPr>
              <w:pStyle w:val="-3"/>
              <w:rPr>
                <w:sz w:val="16"/>
                <w:szCs w:val="16"/>
                <w:rtl/>
              </w:rPr>
            </w:pPr>
            <w:r>
              <w:rPr>
                <w:rFonts w:hint="cs"/>
                <w:sz w:val="16"/>
                <w:szCs w:val="16"/>
                <w:rtl/>
              </w:rPr>
              <w:t>-</w:t>
            </w:r>
          </w:p>
        </w:tc>
        <w:tc>
          <w:tcPr>
            <w:tcW w:w="819" w:type="dxa"/>
            <w:vAlign w:val="bottom"/>
          </w:tcPr>
          <w:p w14:paraId="2150B9B4" w14:textId="77777777" w:rsidR="004E0E02" w:rsidRPr="00513F0D" w:rsidRDefault="004E0E02" w:rsidP="003F6135">
            <w:pPr>
              <w:pStyle w:val="-3"/>
              <w:rPr>
                <w:sz w:val="16"/>
                <w:szCs w:val="16"/>
                <w:rtl/>
              </w:rPr>
            </w:pPr>
            <w:r w:rsidRPr="00CF2A74">
              <w:rPr>
                <w:sz w:val="16"/>
                <w:szCs w:val="16"/>
                <w:rtl/>
              </w:rPr>
              <w:t>0</w:t>
            </w:r>
          </w:p>
        </w:tc>
        <w:tc>
          <w:tcPr>
            <w:tcW w:w="1073" w:type="dxa"/>
            <w:vAlign w:val="bottom"/>
          </w:tcPr>
          <w:p w14:paraId="30F0F5E0" w14:textId="77777777" w:rsidR="004E0E02" w:rsidRPr="009A7E4A" w:rsidRDefault="004E0E02" w:rsidP="003F6135">
            <w:pPr>
              <w:pStyle w:val="-3"/>
              <w:rPr>
                <w:sz w:val="16"/>
                <w:szCs w:val="16"/>
                <w:rtl/>
              </w:rPr>
            </w:pPr>
            <w:r w:rsidRPr="009A7E4A">
              <w:rPr>
                <w:sz w:val="16"/>
                <w:szCs w:val="16"/>
                <w:rtl/>
              </w:rPr>
              <w:t>-</w:t>
            </w:r>
          </w:p>
        </w:tc>
        <w:tc>
          <w:tcPr>
            <w:tcW w:w="683" w:type="dxa"/>
            <w:vAlign w:val="bottom"/>
          </w:tcPr>
          <w:p w14:paraId="271550CB" w14:textId="77777777" w:rsidR="004E0E02" w:rsidRPr="00513F0D" w:rsidRDefault="004E0E02" w:rsidP="003F6135">
            <w:pPr>
              <w:pStyle w:val="-3"/>
              <w:jc w:val="left"/>
              <w:rPr>
                <w:sz w:val="16"/>
                <w:szCs w:val="16"/>
                <w:rtl/>
              </w:rPr>
            </w:pPr>
            <w:r w:rsidRPr="00CF2A74">
              <w:rPr>
                <w:sz w:val="16"/>
                <w:szCs w:val="16"/>
                <w:rtl/>
              </w:rPr>
              <w:t xml:space="preserve"> -</w:t>
            </w:r>
          </w:p>
        </w:tc>
        <w:tc>
          <w:tcPr>
            <w:tcW w:w="793" w:type="dxa"/>
            <w:vAlign w:val="bottom"/>
          </w:tcPr>
          <w:p w14:paraId="77C93AFC" w14:textId="77777777" w:rsidR="004E0E02" w:rsidRPr="00CF2A74" w:rsidDel="0098350F" w:rsidRDefault="004E0E02" w:rsidP="003F6135">
            <w:pPr>
              <w:pStyle w:val="-3"/>
              <w:jc w:val="left"/>
              <w:rPr>
                <w:sz w:val="16"/>
                <w:szCs w:val="16"/>
                <w:rtl/>
              </w:rPr>
            </w:pPr>
            <w:r w:rsidRPr="00CF2A74">
              <w:rPr>
                <w:sz w:val="16"/>
                <w:szCs w:val="16"/>
                <w:rtl/>
              </w:rPr>
              <w:t>-</w:t>
            </w:r>
          </w:p>
        </w:tc>
        <w:tc>
          <w:tcPr>
            <w:tcW w:w="916" w:type="dxa"/>
            <w:vAlign w:val="bottom"/>
          </w:tcPr>
          <w:p w14:paraId="7DE8BB12" w14:textId="77777777" w:rsidR="004E0E02" w:rsidRPr="00513F0D" w:rsidRDefault="004E0E02" w:rsidP="003F6135">
            <w:pPr>
              <w:pStyle w:val="-3"/>
              <w:jc w:val="left"/>
              <w:rPr>
                <w:sz w:val="16"/>
                <w:szCs w:val="16"/>
                <w:rtl/>
              </w:rPr>
            </w:pPr>
            <w:r>
              <w:rPr>
                <w:rFonts w:hint="cs"/>
                <w:sz w:val="16"/>
                <w:szCs w:val="16"/>
                <w:rtl/>
              </w:rPr>
              <w:t xml:space="preserve"> 0</w:t>
            </w:r>
          </w:p>
        </w:tc>
        <w:tc>
          <w:tcPr>
            <w:tcW w:w="819" w:type="dxa"/>
            <w:vAlign w:val="bottom"/>
          </w:tcPr>
          <w:p w14:paraId="645DA689" w14:textId="77777777" w:rsidR="004E0E02" w:rsidRPr="00513F0D" w:rsidRDefault="004E0E02" w:rsidP="003F6135">
            <w:pPr>
              <w:pStyle w:val="-3"/>
              <w:jc w:val="left"/>
              <w:rPr>
                <w:sz w:val="16"/>
                <w:szCs w:val="16"/>
                <w:rtl/>
              </w:rPr>
            </w:pPr>
            <w:r w:rsidRPr="00CF2A74">
              <w:rPr>
                <w:sz w:val="16"/>
                <w:szCs w:val="16"/>
                <w:rtl/>
              </w:rPr>
              <w:t xml:space="preserve"> -</w:t>
            </w:r>
          </w:p>
        </w:tc>
        <w:tc>
          <w:tcPr>
            <w:tcW w:w="891" w:type="dxa"/>
            <w:vAlign w:val="bottom"/>
          </w:tcPr>
          <w:p w14:paraId="77CABF7E" w14:textId="77777777" w:rsidR="004E0E02" w:rsidRPr="00513F0D" w:rsidRDefault="004E0E02" w:rsidP="003F6135">
            <w:pPr>
              <w:pStyle w:val="-3"/>
              <w:jc w:val="left"/>
              <w:rPr>
                <w:sz w:val="16"/>
                <w:szCs w:val="16"/>
                <w:rtl/>
              </w:rPr>
            </w:pPr>
            <w:r>
              <w:rPr>
                <w:rFonts w:hint="cs"/>
                <w:sz w:val="16"/>
                <w:szCs w:val="16"/>
                <w:rtl/>
              </w:rPr>
              <w:t xml:space="preserve"> 0</w:t>
            </w:r>
          </w:p>
        </w:tc>
        <w:tc>
          <w:tcPr>
            <w:tcW w:w="781" w:type="dxa"/>
            <w:vAlign w:val="bottom"/>
          </w:tcPr>
          <w:p w14:paraId="382129ED" w14:textId="77777777" w:rsidR="004E0E02" w:rsidRPr="00513F0D" w:rsidRDefault="004E0E02" w:rsidP="003F6135">
            <w:pPr>
              <w:pStyle w:val="-3"/>
              <w:jc w:val="left"/>
              <w:rPr>
                <w:sz w:val="16"/>
                <w:szCs w:val="16"/>
                <w:rtl/>
              </w:rPr>
            </w:pPr>
            <w:r w:rsidRPr="00CF2A74">
              <w:rPr>
                <w:sz w:val="16"/>
                <w:szCs w:val="16"/>
                <w:rtl/>
              </w:rPr>
              <w:t xml:space="preserve"> -</w:t>
            </w:r>
          </w:p>
        </w:tc>
        <w:tc>
          <w:tcPr>
            <w:tcW w:w="1153" w:type="dxa"/>
            <w:vAlign w:val="bottom"/>
          </w:tcPr>
          <w:p w14:paraId="6B524B54" w14:textId="77777777" w:rsidR="004E0E02" w:rsidRPr="00513F0D" w:rsidRDefault="004E0E02" w:rsidP="00141F15">
            <w:pPr>
              <w:pStyle w:val="-3"/>
              <w:jc w:val="left"/>
              <w:rPr>
                <w:sz w:val="16"/>
                <w:szCs w:val="16"/>
                <w:rtl/>
              </w:rPr>
            </w:pPr>
            <w:r w:rsidRPr="00CF2A74">
              <w:rPr>
                <w:sz w:val="16"/>
                <w:szCs w:val="16"/>
                <w:rtl/>
              </w:rPr>
              <w:t xml:space="preserve"> 0</w:t>
            </w:r>
          </w:p>
        </w:tc>
        <w:tc>
          <w:tcPr>
            <w:tcW w:w="741" w:type="dxa"/>
            <w:vAlign w:val="bottom"/>
          </w:tcPr>
          <w:p w14:paraId="4F20B460" w14:textId="77777777" w:rsidR="004E0E02" w:rsidRPr="00513F0D" w:rsidRDefault="004E0E02" w:rsidP="00141F15">
            <w:pPr>
              <w:pStyle w:val="-3"/>
              <w:jc w:val="left"/>
              <w:rPr>
                <w:sz w:val="16"/>
                <w:szCs w:val="16"/>
                <w:rtl/>
              </w:rPr>
            </w:pPr>
            <w:r w:rsidRPr="00CF2A74">
              <w:rPr>
                <w:sz w:val="16"/>
                <w:szCs w:val="16"/>
                <w:rtl/>
              </w:rPr>
              <w:t xml:space="preserve"> 0</w:t>
            </w:r>
          </w:p>
        </w:tc>
        <w:tc>
          <w:tcPr>
            <w:tcW w:w="775" w:type="dxa"/>
            <w:vAlign w:val="bottom"/>
          </w:tcPr>
          <w:p w14:paraId="34B49F37"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2AEBA82E" w14:textId="77777777" w:rsidTr="004A1ADA">
        <w:tc>
          <w:tcPr>
            <w:tcW w:w="850" w:type="dxa"/>
          </w:tcPr>
          <w:p w14:paraId="705691BE" w14:textId="77777777" w:rsidR="004E0E02" w:rsidRPr="00513F0D" w:rsidRDefault="004E0E02" w:rsidP="003F6135">
            <w:pPr>
              <w:pStyle w:val="-7"/>
              <w:bidi w:val="0"/>
              <w:ind w:right="-231"/>
              <w:jc w:val="left"/>
              <w:rPr>
                <w:spacing w:val="-6"/>
                <w:sz w:val="16"/>
                <w:szCs w:val="16"/>
                <w:rtl/>
              </w:rPr>
            </w:pPr>
          </w:p>
        </w:tc>
        <w:tc>
          <w:tcPr>
            <w:tcW w:w="2282" w:type="dxa"/>
            <w:vAlign w:val="bottom"/>
          </w:tcPr>
          <w:p w14:paraId="4422131E" w14:textId="77777777" w:rsidR="004E0E02" w:rsidRPr="00513F0D" w:rsidRDefault="004E0E02" w:rsidP="003F6135">
            <w:pPr>
              <w:pStyle w:val="-0"/>
              <w:rPr>
                <w:sz w:val="16"/>
                <w:szCs w:val="16"/>
                <w:rtl/>
              </w:rPr>
            </w:pPr>
            <w:r w:rsidRPr="00CF2A74">
              <w:rPr>
                <w:rFonts w:hint="eastAsia"/>
                <w:sz w:val="16"/>
                <w:szCs w:val="16"/>
                <w:rtl/>
              </w:rPr>
              <w:t>המרה</w:t>
            </w:r>
            <w:r w:rsidRPr="00CF2A74">
              <w:rPr>
                <w:sz w:val="16"/>
                <w:szCs w:val="16"/>
                <w:rtl/>
              </w:rPr>
              <w:t xml:space="preserve"> </w:t>
            </w:r>
            <w:r w:rsidRPr="00CF2A74">
              <w:rPr>
                <w:rFonts w:hint="eastAsia"/>
                <w:sz w:val="16"/>
                <w:szCs w:val="16"/>
                <w:rtl/>
              </w:rPr>
              <w:t>למניות</w:t>
            </w:r>
            <w:r w:rsidRPr="00CF2A74">
              <w:rPr>
                <w:sz w:val="16"/>
                <w:szCs w:val="16"/>
                <w:rtl/>
              </w:rPr>
              <w:t xml:space="preserve"> </w:t>
            </w:r>
            <w:r w:rsidRPr="00CF2A74">
              <w:rPr>
                <w:rFonts w:hint="eastAsia"/>
                <w:sz w:val="16"/>
                <w:szCs w:val="16"/>
                <w:rtl/>
              </w:rPr>
              <w:t>של</w:t>
            </w:r>
            <w:r w:rsidRPr="00CF2A74">
              <w:rPr>
                <w:sz w:val="16"/>
                <w:szCs w:val="16"/>
                <w:rtl/>
              </w:rPr>
              <w:t xml:space="preserve"> </w:t>
            </w:r>
            <w:r w:rsidRPr="00CF2A74">
              <w:rPr>
                <w:rFonts w:hint="eastAsia"/>
                <w:sz w:val="16"/>
                <w:szCs w:val="16"/>
                <w:rtl/>
              </w:rPr>
              <w:t>התחייבויות</w:t>
            </w:r>
            <w:r w:rsidRPr="00CF2A74">
              <w:rPr>
                <w:sz w:val="16"/>
                <w:szCs w:val="16"/>
                <w:rtl/>
              </w:rPr>
              <w:t xml:space="preserve"> </w:t>
            </w:r>
            <w:r w:rsidRPr="00CF2A74">
              <w:rPr>
                <w:rFonts w:hint="eastAsia"/>
                <w:sz w:val="16"/>
                <w:szCs w:val="16"/>
                <w:rtl/>
              </w:rPr>
              <w:t>המירות</w:t>
            </w:r>
          </w:p>
        </w:tc>
        <w:tc>
          <w:tcPr>
            <w:tcW w:w="779" w:type="dxa"/>
            <w:vAlign w:val="bottom"/>
          </w:tcPr>
          <w:p w14:paraId="6A4451B8" w14:textId="77777777" w:rsidR="004E0E02" w:rsidRPr="00513F0D" w:rsidRDefault="004E0E02" w:rsidP="003F6135">
            <w:pPr>
              <w:pStyle w:val="-3"/>
              <w:rPr>
                <w:sz w:val="16"/>
                <w:szCs w:val="16"/>
                <w:rtl/>
              </w:rPr>
            </w:pPr>
            <w:r w:rsidRPr="00CF2A74">
              <w:rPr>
                <w:sz w:val="16"/>
                <w:szCs w:val="16"/>
                <w:rtl/>
              </w:rPr>
              <w:t>0</w:t>
            </w:r>
          </w:p>
        </w:tc>
        <w:tc>
          <w:tcPr>
            <w:tcW w:w="861" w:type="dxa"/>
            <w:vAlign w:val="bottom"/>
          </w:tcPr>
          <w:p w14:paraId="59FFE84B" w14:textId="77777777" w:rsidR="004E0E02" w:rsidRPr="00513F0D" w:rsidRDefault="004E0E02" w:rsidP="003F6135">
            <w:pPr>
              <w:pStyle w:val="-3"/>
              <w:rPr>
                <w:sz w:val="16"/>
                <w:szCs w:val="16"/>
                <w:rtl/>
              </w:rPr>
            </w:pPr>
            <w:r w:rsidRPr="00CF2A74">
              <w:rPr>
                <w:sz w:val="16"/>
                <w:szCs w:val="16"/>
                <w:rtl/>
              </w:rPr>
              <w:t>-</w:t>
            </w:r>
          </w:p>
        </w:tc>
        <w:tc>
          <w:tcPr>
            <w:tcW w:w="966" w:type="dxa"/>
            <w:vAlign w:val="bottom"/>
          </w:tcPr>
          <w:p w14:paraId="497F6707" w14:textId="77777777" w:rsidR="004E0E02" w:rsidRPr="00513F0D" w:rsidRDefault="004E0E02" w:rsidP="003F6135">
            <w:pPr>
              <w:pStyle w:val="-3"/>
              <w:rPr>
                <w:sz w:val="16"/>
                <w:szCs w:val="16"/>
                <w:rtl/>
              </w:rPr>
            </w:pPr>
            <w:r w:rsidRPr="00CF2A74">
              <w:rPr>
                <w:sz w:val="16"/>
                <w:szCs w:val="16"/>
                <w:rtl/>
              </w:rPr>
              <w:t>-</w:t>
            </w:r>
          </w:p>
        </w:tc>
        <w:tc>
          <w:tcPr>
            <w:tcW w:w="819" w:type="dxa"/>
            <w:vAlign w:val="bottom"/>
          </w:tcPr>
          <w:p w14:paraId="37A052F5" w14:textId="77777777" w:rsidR="004E0E02" w:rsidRPr="00513F0D" w:rsidRDefault="004E0E02" w:rsidP="003F6135">
            <w:pPr>
              <w:pStyle w:val="-3"/>
              <w:rPr>
                <w:sz w:val="16"/>
                <w:szCs w:val="16"/>
                <w:rtl/>
              </w:rPr>
            </w:pPr>
            <w:r w:rsidRPr="00CF2A74">
              <w:rPr>
                <w:sz w:val="16"/>
                <w:szCs w:val="16"/>
                <w:rtl/>
              </w:rPr>
              <w:t>-</w:t>
            </w:r>
          </w:p>
        </w:tc>
        <w:tc>
          <w:tcPr>
            <w:tcW w:w="1073" w:type="dxa"/>
            <w:vAlign w:val="bottom"/>
          </w:tcPr>
          <w:p w14:paraId="1C9B4B8F" w14:textId="77777777" w:rsidR="004E0E02" w:rsidRPr="009A7E4A" w:rsidRDefault="004E0E02" w:rsidP="003F6135">
            <w:pPr>
              <w:pStyle w:val="-3"/>
              <w:rPr>
                <w:sz w:val="16"/>
                <w:szCs w:val="16"/>
                <w:rtl/>
              </w:rPr>
            </w:pPr>
            <w:r w:rsidRPr="009A7E4A">
              <w:rPr>
                <w:sz w:val="16"/>
                <w:szCs w:val="16"/>
                <w:rtl/>
              </w:rPr>
              <w:t>-</w:t>
            </w:r>
          </w:p>
        </w:tc>
        <w:tc>
          <w:tcPr>
            <w:tcW w:w="683" w:type="dxa"/>
            <w:vAlign w:val="bottom"/>
          </w:tcPr>
          <w:p w14:paraId="0CAE7C87" w14:textId="77777777" w:rsidR="004E0E02" w:rsidRPr="00513F0D" w:rsidRDefault="004E0E02" w:rsidP="003F6135">
            <w:pPr>
              <w:pStyle w:val="-3"/>
              <w:jc w:val="left"/>
              <w:rPr>
                <w:sz w:val="16"/>
                <w:szCs w:val="16"/>
                <w:rtl/>
              </w:rPr>
            </w:pPr>
            <w:r w:rsidRPr="00CF2A74">
              <w:rPr>
                <w:sz w:val="16"/>
                <w:szCs w:val="16"/>
                <w:rtl/>
              </w:rPr>
              <w:t xml:space="preserve"> -</w:t>
            </w:r>
          </w:p>
        </w:tc>
        <w:tc>
          <w:tcPr>
            <w:tcW w:w="793" w:type="dxa"/>
            <w:vAlign w:val="bottom"/>
          </w:tcPr>
          <w:p w14:paraId="1CEBF6C6" w14:textId="77777777" w:rsidR="004E0E02" w:rsidRPr="00CF2A74" w:rsidRDefault="004E0E02" w:rsidP="003F6135">
            <w:pPr>
              <w:pStyle w:val="-3"/>
              <w:jc w:val="left"/>
              <w:rPr>
                <w:sz w:val="16"/>
                <w:szCs w:val="16"/>
                <w:rtl/>
              </w:rPr>
            </w:pPr>
            <w:r w:rsidRPr="00CF2A74">
              <w:rPr>
                <w:sz w:val="16"/>
                <w:szCs w:val="16"/>
                <w:rtl/>
              </w:rPr>
              <w:t>-</w:t>
            </w:r>
          </w:p>
        </w:tc>
        <w:tc>
          <w:tcPr>
            <w:tcW w:w="916" w:type="dxa"/>
            <w:vAlign w:val="bottom"/>
          </w:tcPr>
          <w:p w14:paraId="2366D875" w14:textId="77777777" w:rsidR="004E0E02" w:rsidRPr="00513F0D" w:rsidRDefault="004E0E02" w:rsidP="003F6135">
            <w:pPr>
              <w:pStyle w:val="-3"/>
              <w:jc w:val="left"/>
              <w:rPr>
                <w:sz w:val="16"/>
                <w:szCs w:val="16"/>
                <w:rtl/>
              </w:rPr>
            </w:pPr>
            <w:r w:rsidRPr="00CF2A74">
              <w:rPr>
                <w:sz w:val="16"/>
                <w:szCs w:val="16"/>
                <w:rtl/>
              </w:rPr>
              <w:t xml:space="preserve"> 0</w:t>
            </w:r>
          </w:p>
        </w:tc>
        <w:tc>
          <w:tcPr>
            <w:tcW w:w="819" w:type="dxa"/>
            <w:vAlign w:val="bottom"/>
          </w:tcPr>
          <w:p w14:paraId="3B8AC1C4" w14:textId="77777777" w:rsidR="004E0E02" w:rsidRPr="00513F0D" w:rsidRDefault="004E0E02" w:rsidP="003F6135">
            <w:pPr>
              <w:pStyle w:val="-3"/>
              <w:jc w:val="left"/>
              <w:rPr>
                <w:sz w:val="16"/>
                <w:szCs w:val="16"/>
                <w:rtl/>
              </w:rPr>
            </w:pPr>
            <w:r w:rsidRPr="00CF2A74">
              <w:rPr>
                <w:sz w:val="16"/>
                <w:szCs w:val="16"/>
                <w:rtl/>
              </w:rPr>
              <w:t xml:space="preserve"> -</w:t>
            </w:r>
          </w:p>
        </w:tc>
        <w:tc>
          <w:tcPr>
            <w:tcW w:w="891" w:type="dxa"/>
            <w:vAlign w:val="bottom"/>
          </w:tcPr>
          <w:p w14:paraId="55385E0F" w14:textId="77777777" w:rsidR="004E0E02" w:rsidRPr="00513F0D" w:rsidRDefault="004E0E02" w:rsidP="003F6135">
            <w:pPr>
              <w:pStyle w:val="-3"/>
              <w:jc w:val="left"/>
              <w:rPr>
                <w:sz w:val="16"/>
                <w:szCs w:val="16"/>
                <w:rtl/>
              </w:rPr>
            </w:pPr>
            <w:r w:rsidRPr="00CF2A74">
              <w:rPr>
                <w:sz w:val="16"/>
                <w:szCs w:val="16"/>
                <w:rtl/>
              </w:rPr>
              <w:t xml:space="preserve"> -</w:t>
            </w:r>
          </w:p>
        </w:tc>
        <w:tc>
          <w:tcPr>
            <w:tcW w:w="781" w:type="dxa"/>
            <w:vAlign w:val="bottom"/>
          </w:tcPr>
          <w:p w14:paraId="6E7D47D4" w14:textId="77777777" w:rsidR="004E0E02" w:rsidRPr="00513F0D" w:rsidRDefault="004E0E02" w:rsidP="003F6135">
            <w:pPr>
              <w:pStyle w:val="-3"/>
              <w:jc w:val="left"/>
              <w:rPr>
                <w:sz w:val="16"/>
                <w:szCs w:val="16"/>
                <w:rtl/>
              </w:rPr>
            </w:pPr>
            <w:r w:rsidRPr="00CF2A74">
              <w:rPr>
                <w:sz w:val="16"/>
                <w:szCs w:val="16"/>
                <w:rtl/>
              </w:rPr>
              <w:t xml:space="preserve"> 0</w:t>
            </w:r>
          </w:p>
        </w:tc>
        <w:tc>
          <w:tcPr>
            <w:tcW w:w="1153" w:type="dxa"/>
            <w:vAlign w:val="bottom"/>
          </w:tcPr>
          <w:p w14:paraId="57397CCF" w14:textId="77777777" w:rsidR="004E0E02" w:rsidRPr="00513F0D" w:rsidRDefault="004E0E02" w:rsidP="00141F15">
            <w:pPr>
              <w:pStyle w:val="-3"/>
              <w:jc w:val="left"/>
              <w:rPr>
                <w:sz w:val="16"/>
                <w:szCs w:val="16"/>
                <w:rtl/>
              </w:rPr>
            </w:pPr>
            <w:r w:rsidRPr="00CF2A74">
              <w:rPr>
                <w:sz w:val="16"/>
                <w:szCs w:val="16"/>
                <w:rtl/>
              </w:rPr>
              <w:t xml:space="preserve"> 0</w:t>
            </w:r>
          </w:p>
        </w:tc>
        <w:tc>
          <w:tcPr>
            <w:tcW w:w="741" w:type="dxa"/>
            <w:vAlign w:val="bottom"/>
          </w:tcPr>
          <w:p w14:paraId="53760783" w14:textId="77777777" w:rsidR="004E0E02" w:rsidRPr="00513F0D" w:rsidRDefault="004E0E02" w:rsidP="00141F15">
            <w:pPr>
              <w:pStyle w:val="-3"/>
              <w:jc w:val="left"/>
              <w:rPr>
                <w:sz w:val="16"/>
                <w:szCs w:val="16"/>
                <w:rtl/>
              </w:rPr>
            </w:pPr>
            <w:r w:rsidRPr="00CF2A74">
              <w:rPr>
                <w:sz w:val="16"/>
                <w:szCs w:val="16"/>
                <w:rtl/>
              </w:rPr>
              <w:t xml:space="preserve"> 0</w:t>
            </w:r>
          </w:p>
        </w:tc>
        <w:tc>
          <w:tcPr>
            <w:tcW w:w="775" w:type="dxa"/>
            <w:vAlign w:val="bottom"/>
          </w:tcPr>
          <w:p w14:paraId="720AFF28"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222CBBC0" w14:textId="77777777" w:rsidTr="004A1ADA">
        <w:tc>
          <w:tcPr>
            <w:tcW w:w="850" w:type="dxa"/>
          </w:tcPr>
          <w:p w14:paraId="2D9FAFEC" w14:textId="77777777" w:rsidR="004E0E02" w:rsidRPr="009A7E4A" w:rsidRDefault="004E0E02" w:rsidP="003F6135">
            <w:pPr>
              <w:pStyle w:val="-7"/>
              <w:bidi w:val="0"/>
              <w:ind w:right="-231"/>
              <w:jc w:val="left"/>
              <w:rPr>
                <w:spacing w:val="-6"/>
                <w:sz w:val="16"/>
                <w:szCs w:val="16"/>
                <w:rtl/>
              </w:rPr>
            </w:pPr>
          </w:p>
        </w:tc>
        <w:tc>
          <w:tcPr>
            <w:tcW w:w="2282" w:type="dxa"/>
            <w:vAlign w:val="bottom"/>
          </w:tcPr>
          <w:p w14:paraId="622CC7F3" w14:textId="77777777" w:rsidR="004E0E02" w:rsidRPr="009A7E4A" w:rsidRDefault="004E0E02">
            <w:pPr>
              <w:pStyle w:val="-0"/>
              <w:rPr>
                <w:sz w:val="16"/>
                <w:szCs w:val="16"/>
                <w:rtl/>
              </w:rPr>
            </w:pPr>
            <w:r w:rsidRPr="009A7E4A">
              <w:rPr>
                <w:rFonts w:hint="eastAsia"/>
                <w:sz w:val="16"/>
                <w:szCs w:val="16"/>
                <w:rtl/>
              </w:rPr>
              <w:t>הטבה</w:t>
            </w:r>
            <w:r w:rsidRPr="009A7E4A">
              <w:rPr>
                <w:sz w:val="16"/>
                <w:szCs w:val="16"/>
                <w:rtl/>
              </w:rPr>
              <w:t xml:space="preserve"> </w:t>
            </w:r>
            <w:r w:rsidRPr="009A7E4A">
              <w:rPr>
                <w:rFonts w:hint="eastAsia"/>
                <w:sz w:val="16"/>
                <w:szCs w:val="16"/>
                <w:rtl/>
              </w:rPr>
              <w:t>בשל</w:t>
            </w:r>
            <w:r w:rsidRPr="009A7E4A">
              <w:rPr>
                <w:sz w:val="16"/>
                <w:szCs w:val="16"/>
                <w:rtl/>
              </w:rPr>
              <w:t xml:space="preserve"> </w:t>
            </w:r>
            <w:r w:rsidRPr="009A7E4A">
              <w:rPr>
                <w:rFonts w:hint="eastAsia"/>
                <w:sz w:val="16"/>
                <w:szCs w:val="16"/>
                <w:rtl/>
              </w:rPr>
              <w:t>עסקאות</w:t>
            </w:r>
            <w:r w:rsidRPr="009A7E4A">
              <w:rPr>
                <w:sz w:val="16"/>
                <w:szCs w:val="16"/>
                <w:rtl/>
              </w:rPr>
              <w:t xml:space="preserve"> </w:t>
            </w:r>
            <w:r w:rsidRPr="009A7E4A">
              <w:rPr>
                <w:rFonts w:hint="eastAsia"/>
                <w:sz w:val="16"/>
                <w:szCs w:val="16"/>
                <w:rtl/>
              </w:rPr>
              <w:t>תשלום</w:t>
            </w:r>
            <w:r w:rsidRPr="009A7E4A">
              <w:rPr>
                <w:sz w:val="16"/>
                <w:szCs w:val="16"/>
                <w:rtl/>
              </w:rPr>
              <w:t xml:space="preserve"> </w:t>
            </w:r>
            <w:r w:rsidRPr="009A7E4A">
              <w:rPr>
                <w:rFonts w:hint="eastAsia"/>
                <w:sz w:val="16"/>
                <w:szCs w:val="16"/>
                <w:rtl/>
              </w:rPr>
              <w:t>מבוסס</w:t>
            </w:r>
            <w:r w:rsidRPr="009A7E4A">
              <w:rPr>
                <w:sz w:val="16"/>
                <w:szCs w:val="16"/>
                <w:rtl/>
              </w:rPr>
              <w:t xml:space="preserve"> </w:t>
            </w:r>
            <w:r w:rsidRPr="009A7E4A">
              <w:rPr>
                <w:rFonts w:hint="eastAsia"/>
                <w:sz w:val="16"/>
                <w:szCs w:val="16"/>
                <w:rtl/>
              </w:rPr>
              <w:t>מניות</w:t>
            </w:r>
          </w:p>
        </w:tc>
        <w:tc>
          <w:tcPr>
            <w:tcW w:w="779" w:type="dxa"/>
            <w:vAlign w:val="bottom"/>
          </w:tcPr>
          <w:p w14:paraId="6AFF9F99" w14:textId="77777777" w:rsidR="004E0E02" w:rsidRPr="00513F0D" w:rsidRDefault="004E0E02" w:rsidP="003F6135">
            <w:pPr>
              <w:pStyle w:val="-3"/>
              <w:rPr>
                <w:sz w:val="16"/>
                <w:szCs w:val="16"/>
                <w:rtl/>
              </w:rPr>
            </w:pPr>
            <w:r w:rsidRPr="00CF2A74">
              <w:rPr>
                <w:sz w:val="16"/>
                <w:szCs w:val="16"/>
                <w:rtl/>
              </w:rPr>
              <w:t>-</w:t>
            </w:r>
          </w:p>
        </w:tc>
        <w:tc>
          <w:tcPr>
            <w:tcW w:w="861" w:type="dxa"/>
            <w:vAlign w:val="bottom"/>
          </w:tcPr>
          <w:p w14:paraId="6B9AA71E" w14:textId="77777777" w:rsidR="004E0E02" w:rsidRPr="00513F0D" w:rsidRDefault="004E0E02" w:rsidP="003F6135">
            <w:pPr>
              <w:pStyle w:val="-3"/>
              <w:rPr>
                <w:sz w:val="16"/>
                <w:szCs w:val="16"/>
                <w:rtl/>
              </w:rPr>
            </w:pPr>
            <w:r w:rsidRPr="00CF2A74">
              <w:rPr>
                <w:sz w:val="16"/>
                <w:szCs w:val="16"/>
                <w:rtl/>
              </w:rPr>
              <w:t>-</w:t>
            </w:r>
          </w:p>
        </w:tc>
        <w:tc>
          <w:tcPr>
            <w:tcW w:w="966" w:type="dxa"/>
            <w:vAlign w:val="bottom"/>
          </w:tcPr>
          <w:p w14:paraId="270A1187" w14:textId="77777777" w:rsidR="004E0E02" w:rsidRPr="00513F0D" w:rsidRDefault="004E0E02" w:rsidP="003F6135">
            <w:pPr>
              <w:pStyle w:val="-3"/>
              <w:rPr>
                <w:sz w:val="16"/>
                <w:szCs w:val="16"/>
                <w:rtl/>
              </w:rPr>
            </w:pPr>
            <w:r w:rsidRPr="00CF2A74">
              <w:rPr>
                <w:sz w:val="16"/>
                <w:szCs w:val="16"/>
                <w:rtl/>
              </w:rPr>
              <w:t>-</w:t>
            </w:r>
          </w:p>
        </w:tc>
        <w:tc>
          <w:tcPr>
            <w:tcW w:w="819" w:type="dxa"/>
            <w:vAlign w:val="bottom"/>
          </w:tcPr>
          <w:p w14:paraId="484F239C" w14:textId="77777777" w:rsidR="004E0E02" w:rsidRPr="00513F0D" w:rsidRDefault="004E0E02" w:rsidP="003F6135">
            <w:pPr>
              <w:pStyle w:val="-3"/>
              <w:rPr>
                <w:sz w:val="16"/>
                <w:szCs w:val="16"/>
                <w:rtl/>
              </w:rPr>
            </w:pPr>
            <w:r w:rsidRPr="00CF2A74">
              <w:rPr>
                <w:sz w:val="16"/>
                <w:szCs w:val="16"/>
                <w:rtl/>
              </w:rPr>
              <w:t>-</w:t>
            </w:r>
          </w:p>
        </w:tc>
        <w:tc>
          <w:tcPr>
            <w:tcW w:w="1073" w:type="dxa"/>
            <w:vAlign w:val="bottom"/>
          </w:tcPr>
          <w:p w14:paraId="1F160106" w14:textId="77777777" w:rsidR="004E0E02" w:rsidRPr="009A7E4A" w:rsidRDefault="004E0E02" w:rsidP="003F6135">
            <w:pPr>
              <w:pStyle w:val="-3"/>
              <w:rPr>
                <w:sz w:val="16"/>
                <w:szCs w:val="16"/>
                <w:rtl/>
              </w:rPr>
            </w:pPr>
            <w:r w:rsidRPr="009A7E4A">
              <w:rPr>
                <w:sz w:val="16"/>
                <w:szCs w:val="16"/>
                <w:rtl/>
              </w:rPr>
              <w:t>0</w:t>
            </w:r>
          </w:p>
        </w:tc>
        <w:tc>
          <w:tcPr>
            <w:tcW w:w="683" w:type="dxa"/>
            <w:vAlign w:val="bottom"/>
          </w:tcPr>
          <w:p w14:paraId="2A32057E" w14:textId="77777777" w:rsidR="004E0E02" w:rsidRPr="00513F0D" w:rsidRDefault="004E0E02" w:rsidP="003F6135">
            <w:pPr>
              <w:pStyle w:val="-3"/>
              <w:jc w:val="left"/>
              <w:rPr>
                <w:sz w:val="16"/>
                <w:szCs w:val="16"/>
                <w:rtl/>
              </w:rPr>
            </w:pPr>
            <w:r w:rsidRPr="00CF2A74">
              <w:rPr>
                <w:sz w:val="16"/>
                <w:szCs w:val="16"/>
                <w:rtl/>
              </w:rPr>
              <w:t xml:space="preserve"> -</w:t>
            </w:r>
          </w:p>
        </w:tc>
        <w:tc>
          <w:tcPr>
            <w:tcW w:w="793" w:type="dxa"/>
            <w:vAlign w:val="bottom"/>
          </w:tcPr>
          <w:p w14:paraId="5C098318" w14:textId="77777777" w:rsidR="004E0E02" w:rsidRPr="00CF2A74" w:rsidDel="0098350F" w:rsidRDefault="004E0E02">
            <w:pPr>
              <w:pStyle w:val="-3"/>
              <w:jc w:val="left"/>
              <w:rPr>
                <w:sz w:val="16"/>
                <w:szCs w:val="16"/>
                <w:rtl/>
              </w:rPr>
            </w:pPr>
            <w:r w:rsidRPr="00CF2A74">
              <w:rPr>
                <w:sz w:val="16"/>
                <w:szCs w:val="16"/>
                <w:rtl/>
              </w:rPr>
              <w:t>-</w:t>
            </w:r>
          </w:p>
        </w:tc>
        <w:tc>
          <w:tcPr>
            <w:tcW w:w="916" w:type="dxa"/>
            <w:vAlign w:val="bottom"/>
          </w:tcPr>
          <w:p w14:paraId="73F72521" w14:textId="77777777" w:rsidR="004E0E02" w:rsidRDefault="004E0E02">
            <w:pPr>
              <w:pStyle w:val="-3"/>
              <w:jc w:val="left"/>
              <w:rPr>
                <w:sz w:val="16"/>
                <w:szCs w:val="16"/>
                <w:rtl/>
              </w:rPr>
            </w:pPr>
            <w:r>
              <w:rPr>
                <w:rFonts w:hint="cs"/>
                <w:sz w:val="16"/>
                <w:szCs w:val="16"/>
                <w:rtl/>
              </w:rPr>
              <w:t xml:space="preserve"> 0</w:t>
            </w:r>
          </w:p>
        </w:tc>
        <w:tc>
          <w:tcPr>
            <w:tcW w:w="819" w:type="dxa"/>
            <w:vAlign w:val="bottom"/>
          </w:tcPr>
          <w:p w14:paraId="6B585507" w14:textId="77777777" w:rsidR="004E0E02" w:rsidRPr="00513F0D" w:rsidRDefault="004E0E02" w:rsidP="003F6135">
            <w:pPr>
              <w:pStyle w:val="-3"/>
              <w:jc w:val="left"/>
              <w:rPr>
                <w:sz w:val="16"/>
                <w:szCs w:val="16"/>
                <w:rtl/>
              </w:rPr>
            </w:pPr>
            <w:r w:rsidRPr="00CF2A74">
              <w:rPr>
                <w:sz w:val="16"/>
                <w:szCs w:val="16"/>
                <w:rtl/>
              </w:rPr>
              <w:t xml:space="preserve"> -</w:t>
            </w:r>
          </w:p>
        </w:tc>
        <w:tc>
          <w:tcPr>
            <w:tcW w:w="891" w:type="dxa"/>
            <w:vAlign w:val="bottom"/>
          </w:tcPr>
          <w:p w14:paraId="36C2D911" w14:textId="77777777" w:rsidR="004E0E02" w:rsidRPr="00513F0D" w:rsidRDefault="004E0E02" w:rsidP="003F6135">
            <w:pPr>
              <w:pStyle w:val="-3"/>
              <w:jc w:val="left"/>
              <w:rPr>
                <w:sz w:val="16"/>
                <w:szCs w:val="16"/>
                <w:rtl/>
              </w:rPr>
            </w:pPr>
            <w:r w:rsidRPr="00CF2A74">
              <w:rPr>
                <w:sz w:val="16"/>
                <w:szCs w:val="16"/>
                <w:rtl/>
              </w:rPr>
              <w:t xml:space="preserve"> -</w:t>
            </w:r>
          </w:p>
        </w:tc>
        <w:tc>
          <w:tcPr>
            <w:tcW w:w="781" w:type="dxa"/>
            <w:vAlign w:val="bottom"/>
          </w:tcPr>
          <w:p w14:paraId="6C0E2DD3" w14:textId="77777777" w:rsidR="004E0E02" w:rsidRPr="00513F0D" w:rsidRDefault="004E0E02" w:rsidP="003F6135">
            <w:pPr>
              <w:pStyle w:val="-3"/>
              <w:jc w:val="left"/>
              <w:rPr>
                <w:sz w:val="16"/>
                <w:szCs w:val="16"/>
                <w:rtl/>
              </w:rPr>
            </w:pPr>
            <w:r w:rsidRPr="00CF2A74">
              <w:rPr>
                <w:sz w:val="16"/>
                <w:szCs w:val="16"/>
                <w:rtl/>
              </w:rPr>
              <w:t xml:space="preserve"> -</w:t>
            </w:r>
          </w:p>
        </w:tc>
        <w:tc>
          <w:tcPr>
            <w:tcW w:w="1153" w:type="dxa"/>
            <w:vAlign w:val="bottom"/>
          </w:tcPr>
          <w:p w14:paraId="7700F0E2" w14:textId="77777777" w:rsidR="004E0E02" w:rsidRPr="00513F0D" w:rsidRDefault="004E0E02" w:rsidP="00141F15">
            <w:pPr>
              <w:pStyle w:val="-3"/>
              <w:jc w:val="left"/>
              <w:rPr>
                <w:sz w:val="16"/>
                <w:szCs w:val="16"/>
                <w:rtl/>
              </w:rPr>
            </w:pPr>
            <w:r w:rsidRPr="00CF2A74">
              <w:rPr>
                <w:sz w:val="16"/>
                <w:szCs w:val="16"/>
                <w:rtl/>
              </w:rPr>
              <w:t xml:space="preserve"> 0</w:t>
            </w:r>
          </w:p>
        </w:tc>
        <w:tc>
          <w:tcPr>
            <w:tcW w:w="741" w:type="dxa"/>
            <w:vAlign w:val="bottom"/>
          </w:tcPr>
          <w:p w14:paraId="7A260A68" w14:textId="77777777" w:rsidR="004E0E02" w:rsidRPr="00513F0D" w:rsidRDefault="004E0E02" w:rsidP="00141F15">
            <w:pPr>
              <w:pStyle w:val="-3"/>
              <w:jc w:val="left"/>
              <w:rPr>
                <w:sz w:val="16"/>
                <w:szCs w:val="16"/>
                <w:rtl/>
              </w:rPr>
            </w:pPr>
            <w:r w:rsidRPr="00CF2A74">
              <w:rPr>
                <w:sz w:val="16"/>
                <w:szCs w:val="16"/>
                <w:rtl/>
              </w:rPr>
              <w:t xml:space="preserve"> 0</w:t>
            </w:r>
          </w:p>
        </w:tc>
        <w:tc>
          <w:tcPr>
            <w:tcW w:w="775" w:type="dxa"/>
            <w:vAlign w:val="bottom"/>
          </w:tcPr>
          <w:p w14:paraId="206A1ECF"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1348089A" w14:textId="77777777" w:rsidTr="004A1ADA">
        <w:tc>
          <w:tcPr>
            <w:tcW w:w="850" w:type="dxa"/>
          </w:tcPr>
          <w:p w14:paraId="292B7258" w14:textId="77777777" w:rsidR="004E0E02" w:rsidRPr="00513F0D" w:rsidRDefault="004E0E02" w:rsidP="003F6135">
            <w:pPr>
              <w:pStyle w:val="-7"/>
              <w:bidi w:val="0"/>
              <w:ind w:right="-231"/>
              <w:jc w:val="left"/>
              <w:rPr>
                <w:spacing w:val="-6"/>
                <w:sz w:val="16"/>
                <w:szCs w:val="16"/>
                <w:rtl/>
              </w:rPr>
            </w:pPr>
          </w:p>
        </w:tc>
        <w:tc>
          <w:tcPr>
            <w:tcW w:w="2282" w:type="dxa"/>
            <w:vAlign w:val="bottom"/>
          </w:tcPr>
          <w:p w14:paraId="02CE594A" w14:textId="77777777" w:rsidR="004E0E02" w:rsidRPr="00513F0D" w:rsidRDefault="004E0E02" w:rsidP="003F6135">
            <w:pPr>
              <w:pStyle w:val="-0"/>
              <w:rPr>
                <w:sz w:val="16"/>
                <w:szCs w:val="16"/>
                <w:rtl/>
              </w:rPr>
            </w:pPr>
            <w:r w:rsidRPr="00CF2A74">
              <w:rPr>
                <w:rFonts w:hint="eastAsia"/>
                <w:sz w:val="16"/>
                <w:szCs w:val="16"/>
                <w:rtl/>
              </w:rPr>
              <w:t>הטבות</w:t>
            </w:r>
            <w:r w:rsidRPr="00CF2A74">
              <w:rPr>
                <w:sz w:val="16"/>
                <w:szCs w:val="16"/>
                <w:rtl/>
              </w:rPr>
              <w:t xml:space="preserve"> </w:t>
            </w:r>
            <w:r w:rsidRPr="00CF2A74">
              <w:rPr>
                <w:rFonts w:hint="eastAsia"/>
                <w:sz w:val="16"/>
                <w:szCs w:val="16"/>
                <w:rtl/>
              </w:rPr>
              <w:t>שהתקבלו</w:t>
            </w:r>
            <w:r w:rsidRPr="00CF2A74">
              <w:rPr>
                <w:sz w:val="16"/>
                <w:szCs w:val="16"/>
                <w:rtl/>
              </w:rPr>
              <w:t xml:space="preserve"> </w:t>
            </w:r>
            <w:r w:rsidRPr="00CF2A74">
              <w:rPr>
                <w:rFonts w:hint="eastAsia"/>
                <w:sz w:val="16"/>
                <w:szCs w:val="16"/>
                <w:rtl/>
              </w:rPr>
              <w:t>מבעל</w:t>
            </w:r>
            <w:r w:rsidRPr="00CF2A74">
              <w:rPr>
                <w:sz w:val="16"/>
                <w:szCs w:val="16"/>
                <w:rtl/>
              </w:rPr>
              <w:t xml:space="preserve"> </w:t>
            </w:r>
            <w:r w:rsidRPr="00CF2A74">
              <w:rPr>
                <w:rFonts w:hint="eastAsia"/>
                <w:sz w:val="16"/>
                <w:szCs w:val="16"/>
                <w:rtl/>
              </w:rPr>
              <w:t>שליטה</w:t>
            </w:r>
          </w:p>
        </w:tc>
        <w:tc>
          <w:tcPr>
            <w:tcW w:w="779" w:type="dxa"/>
            <w:vAlign w:val="bottom"/>
          </w:tcPr>
          <w:p w14:paraId="41440BA7" w14:textId="77777777" w:rsidR="004E0E02" w:rsidRPr="00513F0D" w:rsidRDefault="004E0E02" w:rsidP="003F6135">
            <w:pPr>
              <w:pStyle w:val="-3"/>
              <w:rPr>
                <w:sz w:val="16"/>
                <w:szCs w:val="16"/>
                <w:rtl/>
              </w:rPr>
            </w:pPr>
            <w:r w:rsidRPr="00CF2A74">
              <w:rPr>
                <w:sz w:val="16"/>
                <w:szCs w:val="16"/>
                <w:rtl/>
              </w:rPr>
              <w:t>-</w:t>
            </w:r>
          </w:p>
        </w:tc>
        <w:tc>
          <w:tcPr>
            <w:tcW w:w="861" w:type="dxa"/>
            <w:vAlign w:val="bottom"/>
          </w:tcPr>
          <w:p w14:paraId="6A7FE01B" w14:textId="77777777" w:rsidR="004E0E02" w:rsidRPr="00513F0D" w:rsidRDefault="004E0E02" w:rsidP="003F6135">
            <w:pPr>
              <w:pStyle w:val="-3"/>
              <w:rPr>
                <w:sz w:val="16"/>
                <w:szCs w:val="16"/>
                <w:rtl/>
              </w:rPr>
            </w:pPr>
            <w:r w:rsidRPr="00CF2A74">
              <w:rPr>
                <w:sz w:val="16"/>
                <w:szCs w:val="16"/>
                <w:rtl/>
              </w:rPr>
              <w:t>-</w:t>
            </w:r>
          </w:p>
        </w:tc>
        <w:tc>
          <w:tcPr>
            <w:tcW w:w="966" w:type="dxa"/>
            <w:vAlign w:val="bottom"/>
          </w:tcPr>
          <w:p w14:paraId="46C565DE" w14:textId="77777777" w:rsidR="004E0E02" w:rsidRPr="00513F0D" w:rsidRDefault="004E0E02" w:rsidP="003F6135">
            <w:pPr>
              <w:pStyle w:val="-3"/>
              <w:rPr>
                <w:sz w:val="16"/>
                <w:szCs w:val="16"/>
                <w:rtl/>
              </w:rPr>
            </w:pPr>
            <w:r w:rsidRPr="00CF2A74">
              <w:rPr>
                <w:sz w:val="16"/>
                <w:szCs w:val="16"/>
                <w:rtl/>
              </w:rPr>
              <w:t>-</w:t>
            </w:r>
          </w:p>
        </w:tc>
        <w:tc>
          <w:tcPr>
            <w:tcW w:w="819" w:type="dxa"/>
            <w:vAlign w:val="bottom"/>
          </w:tcPr>
          <w:p w14:paraId="1DE1CB5E" w14:textId="77777777" w:rsidR="004E0E02" w:rsidRPr="00513F0D" w:rsidRDefault="004E0E02" w:rsidP="003F6135">
            <w:pPr>
              <w:pStyle w:val="-3"/>
              <w:rPr>
                <w:sz w:val="16"/>
                <w:szCs w:val="16"/>
                <w:rtl/>
              </w:rPr>
            </w:pPr>
            <w:r w:rsidRPr="00CF2A74">
              <w:rPr>
                <w:sz w:val="16"/>
                <w:szCs w:val="16"/>
                <w:rtl/>
              </w:rPr>
              <w:t>-</w:t>
            </w:r>
          </w:p>
        </w:tc>
        <w:tc>
          <w:tcPr>
            <w:tcW w:w="1073" w:type="dxa"/>
            <w:vAlign w:val="bottom"/>
          </w:tcPr>
          <w:p w14:paraId="7A43A731" w14:textId="77777777" w:rsidR="004E0E02" w:rsidRPr="009A7E4A" w:rsidRDefault="004E0E02" w:rsidP="003F6135">
            <w:pPr>
              <w:pStyle w:val="-3"/>
              <w:rPr>
                <w:sz w:val="16"/>
                <w:szCs w:val="16"/>
                <w:rtl/>
              </w:rPr>
            </w:pPr>
            <w:r w:rsidRPr="009A7E4A">
              <w:rPr>
                <w:sz w:val="16"/>
                <w:szCs w:val="16"/>
                <w:rtl/>
              </w:rPr>
              <w:t>-</w:t>
            </w:r>
          </w:p>
        </w:tc>
        <w:tc>
          <w:tcPr>
            <w:tcW w:w="683" w:type="dxa"/>
            <w:vAlign w:val="bottom"/>
          </w:tcPr>
          <w:p w14:paraId="1071FF09" w14:textId="77777777" w:rsidR="004E0E02" w:rsidRPr="00513F0D" w:rsidRDefault="004E0E02" w:rsidP="003F6135">
            <w:pPr>
              <w:pStyle w:val="-3"/>
              <w:jc w:val="left"/>
              <w:rPr>
                <w:sz w:val="16"/>
                <w:szCs w:val="16"/>
                <w:rtl/>
              </w:rPr>
            </w:pPr>
            <w:r w:rsidRPr="00CF2A74">
              <w:rPr>
                <w:sz w:val="16"/>
                <w:szCs w:val="16"/>
                <w:rtl/>
              </w:rPr>
              <w:t xml:space="preserve"> 0</w:t>
            </w:r>
          </w:p>
        </w:tc>
        <w:tc>
          <w:tcPr>
            <w:tcW w:w="793" w:type="dxa"/>
            <w:vAlign w:val="bottom"/>
          </w:tcPr>
          <w:p w14:paraId="0051B60B" w14:textId="77777777" w:rsidR="004E0E02" w:rsidRPr="00CF2A74" w:rsidRDefault="004E0E02" w:rsidP="003F6135">
            <w:pPr>
              <w:pStyle w:val="-3"/>
              <w:jc w:val="left"/>
              <w:rPr>
                <w:sz w:val="16"/>
                <w:szCs w:val="16"/>
                <w:rtl/>
              </w:rPr>
            </w:pPr>
            <w:r w:rsidRPr="00CF2A74">
              <w:rPr>
                <w:sz w:val="16"/>
                <w:szCs w:val="16"/>
                <w:rtl/>
              </w:rPr>
              <w:t>-</w:t>
            </w:r>
          </w:p>
        </w:tc>
        <w:tc>
          <w:tcPr>
            <w:tcW w:w="916" w:type="dxa"/>
            <w:vAlign w:val="bottom"/>
          </w:tcPr>
          <w:p w14:paraId="59C17932" w14:textId="77777777" w:rsidR="004E0E02" w:rsidRPr="00513F0D" w:rsidRDefault="004E0E02" w:rsidP="003F6135">
            <w:pPr>
              <w:pStyle w:val="-3"/>
              <w:jc w:val="left"/>
              <w:rPr>
                <w:sz w:val="16"/>
                <w:szCs w:val="16"/>
                <w:rtl/>
              </w:rPr>
            </w:pPr>
            <w:r w:rsidRPr="00CF2A74">
              <w:rPr>
                <w:sz w:val="16"/>
                <w:szCs w:val="16"/>
                <w:rtl/>
              </w:rPr>
              <w:t xml:space="preserve"> 0</w:t>
            </w:r>
          </w:p>
        </w:tc>
        <w:tc>
          <w:tcPr>
            <w:tcW w:w="819" w:type="dxa"/>
            <w:vAlign w:val="bottom"/>
          </w:tcPr>
          <w:p w14:paraId="6E534BA7" w14:textId="77777777" w:rsidR="004E0E02" w:rsidRPr="00513F0D" w:rsidRDefault="004E0E02" w:rsidP="003F6135">
            <w:pPr>
              <w:pStyle w:val="-3"/>
              <w:jc w:val="left"/>
              <w:rPr>
                <w:sz w:val="16"/>
                <w:szCs w:val="16"/>
                <w:rtl/>
              </w:rPr>
            </w:pPr>
            <w:r w:rsidRPr="00CF2A74">
              <w:rPr>
                <w:sz w:val="16"/>
                <w:szCs w:val="16"/>
                <w:rtl/>
              </w:rPr>
              <w:t xml:space="preserve"> -</w:t>
            </w:r>
          </w:p>
        </w:tc>
        <w:tc>
          <w:tcPr>
            <w:tcW w:w="891" w:type="dxa"/>
            <w:vAlign w:val="bottom"/>
          </w:tcPr>
          <w:p w14:paraId="0C8A41C1" w14:textId="77777777" w:rsidR="004E0E02" w:rsidRPr="00513F0D" w:rsidRDefault="004E0E02" w:rsidP="003F6135">
            <w:pPr>
              <w:pStyle w:val="-3"/>
              <w:jc w:val="left"/>
              <w:rPr>
                <w:sz w:val="16"/>
                <w:szCs w:val="16"/>
                <w:rtl/>
              </w:rPr>
            </w:pPr>
            <w:r w:rsidRPr="00CF2A74">
              <w:rPr>
                <w:sz w:val="16"/>
                <w:szCs w:val="16"/>
                <w:rtl/>
              </w:rPr>
              <w:t xml:space="preserve"> -</w:t>
            </w:r>
          </w:p>
        </w:tc>
        <w:tc>
          <w:tcPr>
            <w:tcW w:w="781" w:type="dxa"/>
            <w:vAlign w:val="bottom"/>
          </w:tcPr>
          <w:p w14:paraId="2F0934CC" w14:textId="77777777" w:rsidR="004E0E02" w:rsidRPr="00513F0D" w:rsidRDefault="004E0E02" w:rsidP="003F6135">
            <w:pPr>
              <w:pStyle w:val="-3"/>
              <w:jc w:val="left"/>
              <w:rPr>
                <w:sz w:val="16"/>
                <w:szCs w:val="16"/>
                <w:rtl/>
              </w:rPr>
            </w:pPr>
            <w:r w:rsidRPr="00CF2A74">
              <w:rPr>
                <w:sz w:val="16"/>
                <w:szCs w:val="16"/>
                <w:rtl/>
              </w:rPr>
              <w:t xml:space="preserve"> -</w:t>
            </w:r>
          </w:p>
        </w:tc>
        <w:tc>
          <w:tcPr>
            <w:tcW w:w="1153" w:type="dxa"/>
            <w:vAlign w:val="bottom"/>
          </w:tcPr>
          <w:p w14:paraId="0F3B4BFB" w14:textId="77777777" w:rsidR="004E0E02" w:rsidRPr="00513F0D" w:rsidRDefault="004E0E02" w:rsidP="003F6135">
            <w:pPr>
              <w:pStyle w:val="-3"/>
              <w:jc w:val="left"/>
              <w:rPr>
                <w:sz w:val="16"/>
                <w:szCs w:val="16"/>
                <w:rtl/>
              </w:rPr>
            </w:pPr>
            <w:r w:rsidRPr="00CF2A74">
              <w:rPr>
                <w:sz w:val="16"/>
                <w:szCs w:val="16"/>
                <w:rtl/>
              </w:rPr>
              <w:t xml:space="preserve"> 0</w:t>
            </w:r>
          </w:p>
        </w:tc>
        <w:tc>
          <w:tcPr>
            <w:tcW w:w="741" w:type="dxa"/>
            <w:vAlign w:val="bottom"/>
          </w:tcPr>
          <w:p w14:paraId="70DE95CD" w14:textId="77777777" w:rsidR="004E0E02" w:rsidRPr="00513F0D" w:rsidRDefault="004E0E02" w:rsidP="003F6135">
            <w:pPr>
              <w:pStyle w:val="-3"/>
              <w:jc w:val="left"/>
              <w:rPr>
                <w:sz w:val="16"/>
                <w:szCs w:val="16"/>
                <w:rtl/>
              </w:rPr>
            </w:pPr>
            <w:r w:rsidRPr="00CF2A74">
              <w:rPr>
                <w:sz w:val="16"/>
                <w:szCs w:val="16"/>
                <w:rtl/>
              </w:rPr>
              <w:t xml:space="preserve"> 0</w:t>
            </w:r>
          </w:p>
        </w:tc>
        <w:tc>
          <w:tcPr>
            <w:tcW w:w="775" w:type="dxa"/>
            <w:vAlign w:val="bottom"/>
          </w:tcPr>
          <w:p w14:paraId="2625CD77" w14:textId="77777777" w:rsidR="004E0E02" w:rsidRPr="00513F0D" w:rsidRDefault="004E0E02" w:rsidP="003F6135">
            <w:pPr>
              <w:pStyle w:val="-3"/>
              <w:jc w:val="left"/>
              <w:rPr>
                <w:sz w:val="16"/>
                <w:szCs w:val="16"/>
                <w:rtl/>
              </w:rPr>
            </w:pPr>
            <w:r w:rsidRPr="00CF2A74">
              <w:rPr>
                <w:sz w:val="16"/>
                <w:szCs w:val="16"/>
                <w:rtl/>
              </w:rPr>
              <w:t xml:space="preserve"> 0</w:t>
            </w:r>
          </w:p>
        </w:tc>
      </w:tr>
      <w:tr w:rsidR="004E0E02" w:rsidRPr="00513F0D" w14:paraId="1901BA96" w14:textId="77777777" w:rsidTr="004A1ADA">
        <w:tc>
          <w:tcPr>
            <w:tcW w:w="850" w:type="dxa"/>
          </w:tcPr>
          <w:p w14:paraId="4D7EC287" w14:textId="77777777" w:rsidR="004E0E02" w:rsidRPr="00513F0D" w:rsidRDefault="004E0E02" w:rsidP="003F6135">
            <w:pPr>
              <w:pStyle w:val="-7"/>
              <w:bidi w:val="0"/>
              <w:ind w:right="-231"/>
              <w:jc w:val="left"/>
              <w:rPr>
                <w:spacing w:val="-6"/>
                <w:sz w:val="16"/>
                <w:szCs w:val="16"/>
                <w:rtl/>
              </w:rPr>
            </w:pPr>
          </w:p>
        </w:tc>
        <w:tc>
          <w:tcPr>
            <w:tcW w:w="2282" w:type="dxa"/>
            <w:vAlign w:val="bottom"/>
          </w:tcPr>
          <w:p w14:paraId="12F992EE" w14:textId="77777777" w:rsidR="004E0E02" w:rsidRPr="00513F0D" w:rsidRDefault="004E0E02" w:rsidP="003F6135">
            <w:pPr>
              <w:pStyle w:val="-21"/>
              <w:spacing w:before="0"/>
              <w:rPr>
                <w:sz w:val="16"/>
                <w:szCs w:val="16"/>
                <w:rtl/>
              </w:rPr>
            </w:pPr>
            <w:r w:rsidRPr="00CF2A74">
              <w:rPr>
                <w:rFonts w:hint="eastAsia"/>
                <w:sz w:val="16"/>
                <w:szCs w:val="16"/>
                <w:rtl/>
              </w:rPr>
              <w:t>זכויות</w:t>
            </w:r>
            <w:r w:rsidRPr="00CF2A74">
              <w:rPr>
                <w:sz w:val="16"/>
                <w:szCs w:val="16"/>
                <w:rtl/>
              </w:rPr>
              <w:t xml:space="preserve"> </w:t>
            </w:r>
            <w:r w:rsidRPr="00CF2A74">
              <w:rPr>
                <w:rFonts w:hint="eastAsia"/>
                <w:sz w:val="16"/>
                <w:szCs w:val="16"/>
                <w:rtl/>
              </w:rPr>
              <w:t>שאינן</w:t>
            </w:r>
            <w:r w:rsidRPr="00CF2A74">
              <w:rPr>
                <w:sz w:val="16"/>
                <w:szCs w:val="16"/>
                <w:rtl/>
              </w:rPr>
              <w:t xml:space="preserve"> </w:t>
            </w:r>
            <w:r w:rsidRPr="00CF2A74">
              <w:rPr>
                <w:rFonts w:hint="eastAsia"/>
                <w:sz w:val="16"/>
                <w:szCs w:val="16"/>
                <w:rtl/>
              </w:rPr>
              <w:t>מקנות</w:t>
            </w:r>
            <w:r w:rsidRPr="00CF2A74">
              <w:rPr>
                <w:sz w:val="16"/>
                <w:szCs w:val="16"/>
                <w:rtl/>
              </w:rPr>
              <w:t xml:space="preserve"> </w:t>
            </w:r>
            <w:r w:rsidRPr="00CF2A74">
              <w:rPr>
                <w:rFonts w:hint="eastAsia"/>
                <w:sz w:val="16"/>
                <w:szCs w:val="16"/>
                <w:rtl/>
              </w:rPr>
              <w:t>שליטה</w:t>
            </w:r>
            <w:r w:rsidRPr="00CF2A74">
              <w:rPr>
                <w:sz w:val="16"/>
                <w:szCs w:val="16"/>
                <w:rtl/>
              </w:rPr>
              <w:t xml:space="preserve"> </w:t>
            </w:r>
            <w:r w:rsidRPr="00CF2A74">
              <w:rPr>
                <w:rFonts w:hint="eastAsia"/>
                <w:sz w:val="16"/>
                <w:szCs w:val="16"/>
                <w:rtl/>
              </w:rPr>
              <w:t>שנוצרו</w:t>
            </w:r>
            <w:r w:rsidRPr="00CF2A74">
              <w:rPr>
                <w:sz w:val="16"/>
                <w:szCs w:val="16"/>
                <w:rtl/>
              </w:rPr>
              <w:t xml:space="preserve"> </w:t>
            </w:r>
            <w:r w:rsidRPr="00CF2A74">
              <w:rPr>
                <w:rFonts w:hint="eastAsia"/>
                <w:sz w:val="16"/>
                <w:szCs w:val="16"/>
                <w:rtl/>
              </w:rPr>
              <w:t>בצירוף</w:t>
            </w:r>
            <w:r w:rsidRPr="00CF2A74">
              <w:rPr>
                <w:sz w:val="16"/>
                <w:szCs w:val="16"/>
                <w:rtl/>
              </w:rPr>
              <w:t xml:space="preserve"> </w:t>
            </w:r>
            <w:r w:rsidRPr="00CF2A74">
              <w:rPr>
                <w:rFonts w:hint="eastAsia"/>
                <w:sz w:val="16"/>
                <w:szCs w:val="16"/>
                <w:rtl/>
              </w:rPr>
              <w:t>עסקים</w:t>
            </w:r>
          </w:p>
        </w:tc>
        <w:tc>
          <w:tcPr>
            <w:tcW w:w="779" w:type="dxa"/>
            <w:vAlign w:val="bottom"/>
          </w:tcPr>
          <w:p w14:paraId="0B867ECB" w14:textId="77777777" w:rsidR="004E0E02" w:rsidRPr="00513F0D" w:rsidRDefault="004E0E02" w:rsidP="003F6135">
            <w:pPr>
              <w:pStyle w:val="-3"/>
              <w:rPr>
                <w:sz w:val="16"/>
                <w:szCs w:val="16"/>
                <w:rtl/>
              </w:rPr>
            </w:pPr>
            <w:r w:rsidRPr="00CF2A74">
              <w:rPr>
                <w:sz w:val="16"/>
                <w:szCs w:val="16"/>
                <w:rtl/>
              </w:rPr>
              <w:t>-</w:t>
            </w:r>
          </w:p>
        </w:tc>
        <w:tc>
          <w:tcPr>
            <w:tcW w:w="861" w:type="dxa"/>
            <w:vAlign w:val="bottom"/>
          </w:tcPr>
          <w:p w14:paraId="41BAEC6A" w14:textId="77777777" w:rsidR="004E0E02" w:rsidRPr="00513F0D" w:rsidRDefault="004E0E02" w:rsidP="003F6135">
            <w:pPr>
              <w:pStyle w:val="-3"/>
              <w:rPr>
                <w:sz w:val="16"/>
                <w:szCs w:val="16"/>
                <w:rtl/>
              </w:rPr>
            </w:pPr>
            <w:r w:rsidRPr="00CF2A74">
              <w:rPr>
                <w:sz w:val="16"/>
                <w:szCs w:val="16"/>
                <w:rtl/>
              </w:rPr>
              <w:t>-</w:t>
            </w:r>
          </w:p>
        </w:tc>
        <w:tc>
          <w:tcPr>
            <w:tcW w:w="966" w:type="dxa"/>
            <w:vAlign w:val="bottom"/>
          </w:tcPr>
          <w:p w14:paraId="3B0C80F7" w14:textId="77777777" w:rsidR="004E0E02" w:rsidRPr="00513F0D" w:rsidRDefault="004E0E02" w:rsidP="003F6135">
            <w:pPr>
              <w:pStyle w:val="-3"/>
              <w:rPr>
                <w:sz w:val="16"/>
                <w:szCs w:val="16"/>
                <w:rtl/>
              </w:rPr>
            </w:pPr>
            <w:r w:rsidRPr="00CF2A74">
              <w:rPr>
                <w:sz w:val="16"/>
                <w:szCs w:val="16"/>
                <w:rtl/>
              </w:rPr>
              <w:t>-</w:t>
            </w:r>
          </w:p>
        </w:tc>
        <w:tc>
          <w:tcPr>
            <w:tcW w:w="819" w:type="dxa"/>
            <w:vAlign w:val="bottom"/>
          </w:tcPr>
          <w:p w14:paraId="69BC5121" w14:textId="77777777" w:rsidR="004E0E02" w:rsidRPr="00513F0D" w:rsidRDefault="004E0E02" w:rsidP="003F6135">
            <w:pPr>
              <w:pStyle w:val="-3"/>
              <w:rPr>
                <w:sz w:val="16"/>
                <w:szCs w:val="16"/>
                <w:rtl/>
              </w:rPr>
            </w:pPr>
            <w:r w:rsidRPr="00CF2A74">
              <w:rPr>
                <w:sz w:val="16"/>
                <w:szCs w:val="16"/>
                <w:rtl/>
              </w:rPr>
              <w:t>-</w:t>
            </w:r>
          </w:p>
        </w:tc>
        <w:tc>
          <w:tcPr>
            <w:tcW w:w="1073" w:type="dxa"/>
            <w:vAlign w:val="bottom"/>
          </w:tcPr>
          <w:p w14:paraId="7881512D" w14:textId="77777777" w:rsidR="004E0E02" w:rsidRPr="009A7E4A" w:rsidRDefault="004E0E02" w:rsidP="003F6135">
            <w:pPr>
              <w:pStyle w:val="-3"/>
              <w:rPr>
                <w:sz w:val="16"/>
                <w:szCs w:val="16"/>
                <w:rtl/>
              </w:rPr>
            </w:pPr>
            <w:r w:rsidRPr="009A7E4A">
              <w:rPr>
                <w:sz w:val="16"/>
                <w:szCs w:val="16"/>
                <w:rtl/>
              </w:rPr>
              <w:t>-</w:t>
            </w:r>
          </w:p>
        </w:tc>
        <w:tc>
          <w:tcPr>
            <w:tcW w:w="683" w:type="dxa"/>
            <w:vAlign w:val="bottom"/>
          </w:tcPr>
          <w:p w14:paraId="141424A9" w14:textId="77777777" w:rsidR="004E0E02" w:rsidRPr="00513F0D" w:rsidRDefault="004E0E02" w:rsidP="003F6135">
            <w:pPr>
              <w:pStyle w:val="-3"/>
              <w:jc w:val="left"/>
              <w:rPr>
                <w:sz w:val="16"/>
                <w:szCs w:val="16"/>
                <w:rtl/>
              </w:rPr>
            </w:pPr>
            <w:r w:rsidRPr="00CF2A74">
              <w:rPr>
                <w:sz w:val="16"/>
                <w:szCs w:val="16"/>
                <w:rtl/>
              </w:rPr>
              <w:t xml:space="preserve"> -</w:t>
            </w:r>
          </w:p>
        </w:tc>
        <w:tc>
          <w:tcPr>
            <w:tcW w:w="793" w:type="dxa"/>
            <w:vAlign w:val="bottom"/>
          </w:tcPr>
          <w:p w14:paraId="63CF1DDE" w14:textId="77777777" w:rsidR="004E0E02" w:rsidRPr="00CF2A74" w:rsidRDefault="004E0E02" w:rsidP="003F6135">
            <w:pPr>
              <w:pStyle w:val="-3"/>
              <w:jc w:val="left"/>
              <w:rPr>
                <w:sz w:val="16"/>
                <w:szCs w:val="16"/>
                <w:rtl/>
              </w:rPr>
            </w:pPr>
            <w:r w:rsidRPr="00CF2A74">
              <w:rPr>
                <w:sz w:val="16"/>
                <w:szCs w:val="16"/>
                <w:rtl/>
              </w:rPr>
              <w:t>-</w:t>
            </w:r>
          </w:p>
        </w:tc>
        <w:tc>
          <w:tcPr>
            <w:tcW w:w="916" w:type="dxa"/>
            <w:vAlign w:val="bottom"/>
          </w:tcPr>
          <w:p w14:paraId="1BB9A983" w14:textId="77777777" w:rsidR="004E0E02" w:rsidRPr="00513F0D" w:rsidRDefault="004E0E02" w:rsidP="003F6135">
            <w:pPr>
              <w:pStyle w:val="-3"/>
              <w:jc w:val="left"/>
              <w:rPr>
                <w:sz w:val="16"/>
                <w:szCs w:val="16"/>
                <w:rtl/>
              </w:rPr>
            </w:pPr>
            <w:r w:rsidRPr="00CF2A74">
              <w:rPr>
                <w:sz w:val="16"/>
                <w:szCs w:val="16"/>
                <w:rtl/>
              </w:rPr>
              <w:t xml:space="preserve"> -</w:t>
            </w:r>
          </w:p>
        </w:tc>
        <w:tc>
          <w:tcPr>
            <w:tcW w:w="819" w:type="dxa"/>
            <w:vAlign w:val="bottom"/>
          </w:tcPr>
          <w:p w14:paraId="3CA8D497" w14:textId="77777777" w:rsidR="004E0E02" w:rsidRPr="00513F0D" w:rsidRDefault="004E0E02" w:rsidP="003F6135">
            <w:pPr>
              <w:pStyle w:val="-3"/>
              <w:jc w:val="left"/>
              <w:rPr>
                <w:sz w:val="16"/>
                <w:szCs w:val="16"/>
                <w:rtl/>
              </w:rPr>
            </w:pPr>
            <w:r w:rsidRPr="00CF2A74">
              <w:rPr>
                <w:sz w:val="16"/>
                <w:szCs w:val="16"/>
                <w:rtl/>
              </w:rPr>
              <w:t xml:space="preserve"> -</w:t>
            </w:r>
          </w:p>
        </w:tc>
        <w:tc>
          <w:tcPr>
            <w:tcW w:w="891" w:type="dxa"/>
            <w:vAlign w:val="bottom"/>
          </w:tcPr>
          <w:p w14:paraId="33F08211" w14:textId="77777777" w:rsidR="004E0E02" w:rsidRPr="00513F0D" w:rsidRDefault="004E0E02" w:rsidP="003F6135">
            <w:pPr>
              <w:pStyle w:val="-3"/>
              <w:jc w:val="left"/>
              <w:rPr>
                <w:sz w:val="16"/>
                <w:szCs w:val="16"/>
                <w:rtl/>
              </w:rPr>
            </w:pPr>
            <w:r w:rsidRPr="00CF2A74">
              <w:rPr>
                <w:sz w:val="16"/>
                <w:szCs w:val="16"/>
                <w:rtl/>
              </w:rPr>
              <w:t xml:space="preserve"> -</w:t>
            </w:r>
          </w:p>
        </w:tc>
        <w:tc>
          <w:tcPr>
            <w:tcW w:w="781" w:type="dxa"/>
            <w:vAlign w:val="bottom"/>
          </w:tcPr>
          <w:p w14:paraId="2CBA9E85" w14:textId="77777777" w:rsidR="004E0E02" w:rsidRPr="00513F0D" w:rsidRDefault="004E0E02" w:rsidP="003F6135">
            <w:pPr>
              <w:pStyle w:val="-3"/>
              <w:jc w:val="left"/>
              <w:rPr>
                <w:sz w:val="16"/>
                <w:szCs w:val="16"/>
                <w:rtl/>
              </w:rPr>
            </w:pPr>
            <w:r w:rsidRPr="00CF2A74">
              <w:rPr>
                <w:sz w:val="16"/>
                <w:szCs w:val="16"/>
                <w:rtl/>
              </w:rPr>
              <w:t xml:space="preserve"> -</w:t>
            </w:r>
          </w:p>
        </w:tc>
        <w:tc>
          <w:tcPr>
            <w:tcW w:w="1153" w:type="dxa"/>
            <w:vAlign w:val="bottom"/>
          </w:tcPr>
          <w:p w14:paraId="0E600DB7" w14:textId="77777777" w:rsidR="004E0E02" w:rsidRPr="00513F0D" w:rsidRDefault="004E0E02" w:rsidP="00141F15">
            <w:pPr>
              <w:pStyle w:val="-3"/>
              <w:jc w:val="left"/>
              <w:rPr>
                <w:sz w:val="16"/>
                <w:szCs w:val="16"/>
                <w:rtl/>
              </w:rPr>
            </w:pPr>
            <w:r>
              <w:rPr>
                <w:rFonts w:hint="cs"/>
                <w:sz w:val="16"/>
                <w:szCs w:val="16"/>
                <w:rtl/>
              </w:rPr>
              <w:t xml:space="preserve"> -</w:t>
            </w:r>
          </w:p>
        </w:tc>
        <w:tc>
          <w:tcPr>
            <w:tcW w:w="741" w:type="dxa"/>
            <w:vAlign w:val="bottom"/>
          </w:tcPr>
          <w:p w14:paraId="15FADE34" w14:textId="77777777" w:rsidR="004E0E02" w:rsidRPr="00513F0D" w:rsidRDefault="004E0E02" w:rsidP="00141F15">
            <w:pPr>
              <w:pStyle w:val="-3"/>
              <w:jc w:val="left"/>
              <w:rPr>
                <w:sz w:val="16"/>
                <w:szCs w:val="16"/>
                <w:rtl/>
              </w:rPr>
            </w:pPr>
            <w:r w:rsidRPr="00CF2A74">
              <w:rPr>
                <w:sz w:val="16"/>
                <w:szCs w:val="16"/>
                <w:rtl/>
              </w:rPr>
              <w:t xml:space="preserve"> 0</w:t>
            </w:r>
          </w:p>
        </w:tc>
        <w:tc>
          <w:tcPr>
            <w:tcW w:w="775" w:type="dxa"/>
            <w:vAlign w:val="bottom"/>
          </w:tcPr>
          <w:p w14:paraId="542B379F"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5E063774" w14:textId="77777777" w:rsidTr="004A1ADA">
        <w:tc>
          <w:tcPr>
            <w:tcW w:w="850" w:type="dxa"/>
          </w:tcPr>
          <w:p w14:paraId="725FCE94" w14:textId="77777777" w:rsidR="004E0E02" w:rsidRPr="00513F0D" w:rsidRDefault="004E0E02" w:rsidP="003F6135">
            <w:pPr>
              <w:pStyle w:val="-7"/>
              <w:bidi w:val="0"/>
              <w:ind w:right="-231"/>
              <w:jc w:val="left"/>
              <w:rPr>
                <w:spacing w:val="-6"/>
                <w:sz w:val="16"/>
                <w:szCs w:val="16"/>
                <w:rtl/>
              </w:rPr>
            </w:pPr>
          </w:p>
        </w:tc>
        <w:tc>
          <w:tcPr>
            <w:tcW w:w="2282" w:type="dxa"/>
            <w:vAlign w:val="bottom"/>
          </w:tcPr>
          <w:p w14:paraId="6084E58C" w14:textId="77777777" w:rsidR="004E0E02" w:rsidRDefault="004E0E02">
            <w:pPr>
              <w:pStyle w:val="-21"/>
              <w:spacing w:before="0"/>
              <w:rPr>
                <w:sz w:val="16"/>
                <w:szCs w:val="16"/>
                <w:rtl/>
              </w:rPr>
            </w:pPr>
            <w:r w:rsidRPr="00CF2A74">
              <w:rPr>
                <w:rFonts w:hint="eastAsia"/>
                <w:sz w:val="16"/>
                <w:szCs w:val="16"/>
                <w:rtl/>
              </w:rPr>
              <w:t>רכישת</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באוצר</w:t>
            </w:r>
            <w:r w:rsidRPr="00CF2A74">
              <w:rPr>
                <w:sz w:val="16"/>
                <w:szCs w:val="16"/>
                <w:rtl/>
              </w:rPr>
              <w:t xml:space="preserve"> </w:t>
            </w:r>
            <w:r w:rsidRPr="00CF2A74">
              <w:rPr>
                <w:rFonts w:hint="eastAsia"/>
                <w:sz w:val="16"/>
                <w:szCs w:val="16"/>
                <w:rtl/>
              </w:rPr>
              <w:t>על</w:t>
            </w:r>
            <w:r w:rsidRPr="00CF2A74">
              <w:rPr>
                <w:sz w:val="16"/>
                <w:szCs w:val="16"/>
                <w:rtl/>
              </w:rPr>
              <w:t xml:space="preserve"> </w:t>
            </w:r>
            <w:r w:rsidRPr="00CF2A74">
              <w:rPr>
                <w:rFonts w:hint="eastAsia"/>
                <w:sz w:val="16"/>
                <w:szCs w:val="16"/>
                <w:rtl/>
              </w:rPr>
              <w:t>ידי</w:t>
            </w:r>
            <w:r w:rsidRPr="00CF2A74">
              <w:rPr>
                <w:sz w:val="16"/>
                <w:szCs w:val="16"/>
                <w:rtl/>
              </w:rPr>
              <w:t xml:space="preserve"> </w:t>
            </w:r>
            <w:r w:rsidRPr="00CF2A74">
              <w:rPr>
                <w:rFonts w:hint="eastAsia"/>
                <w:sz w:val="16"/>
                <w:szCs w:val="16"/>
                <w:rtl/>
              </w:rPr>
              <w:t>התאגיד</w:t>
            </w:r>
            <w:r w:rsidRPr="00CF2A74">
              <w:rPr>
                <w:sz w:val="16"/>
                <w:szCs w:val="16"/>
                <w:rtl/>
              </w:rPr>
              <w:t xml:space="preserve"> </w:t>
            </w:r>
            <w:r w:rsidRPr="00CF2A74">
              <w:rPr>
                <w:rFonts w:hint="eastAsia"/>
                <w:sz w:val="16"/>
                <w:szCs w:val="16"/>
                <w:rtl/>
              </w:rPr>
              <w:t>הבנקאי</w:t>
            </w:r>
            <w:r w:rsidRPr="00CF2A74">
              <w:rPr>
                <w:sz w:val="16"/>
                <w:szCs w:val="16"/>
                <w:rtl/>
              </w:rPr>
              <w:t>/</w:t>
            </w:r>
            <w:r w:rsidRPr="00CF2A74">
              <w:rPr>
                <w:rFonts w:hint="eastAsia"/>
                <w:sz w:val="16"/>
                <w:szCs w:val="16"/>
                <w:rtl/>
              </w:rPr>
              <w:t>חברה</w:t>
            </w:r>
            <w:r w:rsidRPr="00CF2A74">
              <w:rPr>
                <w:sz w:val="16"/>
                <w:szCs w:val="16"/>
                <w:rtl/>
              </w:rPr>
              <w:t xml:space="preserve"> </w:t>
            </w:r>
            <w:r w:rsidRPr="00CF2A74">
              <w:rPr>
                <w:rFonts w:hint="eastAsia"/>
                <w:sz w:val="16"/>
                <w:szCs w:val="16"/>
                <w:rtl/>
              </w:rPr>
              <w:t>בת</w:t>
            </w:r>
          </w:p>
        </w:tc>
        <w:tc>
          <w:tcPr>
            <w:tcW w:w="779" w:type="dxa"/>
            <w:vAlign w:val="bottom"/>
          </w:tcPr>
          <w:p w14:paraId="65670758" w14:textId="77777777" w:rsidR="004E0E02" w:rsidRPr="00513F0D" w:rsidRDefault="004E0E02" w:rsidP="003F6135">
            <w:pPr>
              <w:pStyle w:val="-3"/>
              <w:rPr>
                <w:sz w:val="16"/>
                <w:szCs w:val="16"/>
                <w:rtl/>
              </w:rPr>
            </w:pPr>
            <w:r w:rsidRPr="00CF2A74">
              <w:rPr>
                <w:sz w:val="16"/>
                <w:szCs w:val="16"/>
                <w:rtl/>
              </w:rPr>
              <w:t>-</w:t>
            </w:r>
          </w:p>
        </w:tc>
        <w:tc>
          <w:tcPr>
            <w:tcW w:w="861" w:type="dxa"/>
            <w:vAlign w:val="bottom"/>
          </w:tcPr>
          <w:p w14:paraId="3C91B2DB" w14:textId="77777777" w:rsidR="004E0E02" w:rsidRPr="00513F0D" w:rsidRDefault="004E0E02" w:rsidP="003F6135">
            <w:pPr>
              <w:pStyle w:val="-3"/>
              <w:rPr>
                <w:sz w:val="16"/>
                <w:szCs w:val="16"/>
                <w:rtl/>
              </w:rPr>
            </w:pPr>
            <w:r w:rsidRPr="00CF2A74">
              <w:rPr>
                <w:sz w:val="16"/>
                <w:szCs w:val="16"/>
                <w:rtl/>
              </w:rPr>
              <w:t>-</w:t>
            </w:r>
          </w:p>
        </w:tc>
        <w:tc>
          <w:tcPr>
            <w:tcW w:w="966" w:type="dxa"/>
            <w:vAlign w:val="bottom"/>
          </w:tcPr>
          <w:p w14:paraId="3C874703" w14:textId="77777777" w:rsidR="004E0E02" w:rsidRPr="00513F0D" w:rsidRDefault="004E0E02" w:rsidP="003F6135">
            <w:pPr>
              <w:pStyle w:val="-3"/>
              <w:rPr>
                <w:sz w:val="16"/>
                <w:szCs w:val="16"/>
                <w:rtl/>
              </w:rPr>
            </w:pPr>
            <w:r w:rsidRPr="00CF2A74">
              <w:rPr>
                <w:sz w:val="16"/>
                <w:szCs w:val="16"/>
                <w:rtl/>
              </w:rPr>
              <w:t>-</w:t>
            </w:r>
          </w:p>
        </w:tc>
        <w:tc>
          <w:tcPr>
            <w:tcW w:w="819" w:type="dxa"/>
            <w:vAlign w:val="bottom"/>
          </w:tcPr>
          <w:p w14:paraId="2CBC148F" w14:textId="77777777" w:rsidR="004E0E02" w:rsidRPr="00513F0D" w:rsidRDefault="004E0E02" w:rsidP="003F6135">
            <w:pPr>
              <w:pStyle w:val="-3"/>
              <w:rPr>
                <w:sz w:val="16"/>
                <w:szCs w:val="16"/>
                <w:rtl/>
              </w:rPr>
            </w:pPr>
            <w:r w:rsidRPr="00CF2A74">
              <w:rPr>
                <w:sz w:val="16"/>
                <w:szCs w:val="16"/>
                <w:rtl/>
              </w:rPr>
              <w:t>-</w:t>
            </w:r>
          </w:p>
        </w:tc>
        <w:tc>
          <w:tcPr>
            <w:tcW w:w="1073" w:type="dxa"/>
            <w:vAlign w:val="bottom"/>
          </w:tcPr>
          <w:p w14:paraId="466D7CF4" w14:textId="77777777" w:rsidR="004E0E02" w:rsidRPr="009A7E4A" w:rsidRDefault="004E0E02" w:rsidP="003F6135">
            <w:pPr>
              <w:pStyle w:val="-3"/>
              <w:rPr>
                <w:sz w:val="16"/>
                <w:szCs w:val="16"/>
                <w:rtl/>
              </w:rPr>
            </w:pPr>
            <w:r w:rsidRPr="009A7E4A">
              <w:rPr>
                <w:sz w:val="16"/>
                <w:szCs w:val="16"/>
                <w:rtl/>
              </w:rPr>
              <w:t>-</w:t>
            </w:r>
          </w:p>
        </w:tc>
        <w:tc>
          <w:tcPr>
            <w:tcW w:w="683" w:type="dxa"/>
            <w:vAlign w:val="bottom"/>
          </w:tcPr>
          <w:p w14:paraId="715F6FA9" w14:textId="77777777" w:rsidR="004E0E02" w:rsidRPr="00513F0D" w:rsidRDefault="004E0E02" w:rsidP="003F6135">
            <w:pPr>
              <w:pStyle w:val="-3"/>
              <w:jc w:val="left"/>
              <w:rPr>
                <w:sz w:val="16"/>
                <w:szCs w:val="16"/>
                <w:rtl/>
              </w:rPr>
            </w:pPr>
            <w:r w:rsidRPr="00CF2A74">
              <w:rPr>
                <w:sz w:val="16"/>
                <w:szCs w:val="16"/>
                <w:rtl/>
              </w:rPr>
              <w:t xml:space="preserve"> -</w:t>
            </w:r>
          </w:p>
        </w:tc>
        <w:tc>
          <w:tcPr>
            <w:tcW w:w="793" w:type="dxa"/>
            <w:vAlign w:val="bottom"/>
          </w:tcPr>
          <w:p w14:paraId="754B8A1F" w14:textId="77777777" w:rsidR="004E0E02" w:rsidRPr="00CF2A74" w:rsidRDefault="004E0E02" w:rsidP="003F6135">
            <w:pPr>
              <w:pStyle w:val="-3"/>
              <w:jc w:val="left"/>
              <w:rPr>
                <w:sz w:val="16"/>
                <w:szCs w:val="16"/>
                <w:rtl/>
              </w:rPr>
            </w:pPr>
            <w:r w:rsidRPr="00CF2A74">
              <w:rPr>
                <w:sz w:val="16"/>
                <w:szCs w:val="16"/>
                <w:rtl/>
              </w:rPr>
              <w:t>0</w:t>
            </w:r>
          </w:p>
        </w:tc>
        <w:tc>
          <w:tcPr>
            <w:tcW w:w="916" w:type="dxa"/>
            <w:vAlign w:val="bottom"/>
          </w:tcPr>
          <w:p w14:paraId="6DFEBE78" w14:textId="77777777" w:rsidR="004E0E02" w:rsidRPr="00513F0D" w:rsidRDefault="004E0E02" w:rsidP="003F6135">
            <w:pPr>
              <w:pStyle w:val="-3"/>
              <w:jc w:val="left"/>
              <w:rPr>
                <w:sz w:val="16"/>
                <w:szCs w:val="16"/>
                <w:rtl/>
              </w:rPr>
            </w:pPr>
            <w:r w:rsidRPr="00CF2A74">
              <w:rPr>
                <w:sz w:val="16"/>
                <w:szCs w:val="16"/>
                <w:rtl/>
              </w:rPr>
              <w:t xml:space="preserve"> 0</w:t>
            </w:r>
          </w:p>
        </w:tc>
        <w:tc>
          <w:tcPr>
            <w:tcW w:w="819" w:type="dxa"/>
            <w:vAlign w:val="bottom"/>
          </w:tcPr>
          <w:p w14:paraId="60DE017F" w14:textId="77777777" w:rsidR="004E0E02" w:rsidRPr="00513F0D" w:rsidRDefault="004E0E02" w:rsidP="003F6135">
            <w:pPr>
              <w:pStyle w:val="-3"/>
              <w:jc w:val="left"/>
              <w:rPr>
                <w:sz w:val="16"/>
                <w:szCs w:val="16"/>
                <w:rtl/>
              </w:rPr>
            </w:pPr>
            <w:r w:rsidRPr="00CF2A74">
              <w:rPr>
                <w:sz w:val="16"/>
                <w:szCs w:val="16"/>
                <w:rtl/>
              </w:rPr>
              <w:t xml:space="preserve"> -</w:t>
            </w:r>
          </w:p>
        </w:tc>
        <w:tc>
          <w:tcPr>
            <w:tcW w:w="891" w:type="dxa"/>
            <w:vAlign w:val="bottom"/>
          </w:tcPr>
          <w:p w14:paraId="3FEC4160" w14:textId="77777777" w:rsidR="004E0E02" w:rsidRPr="00513F0D" w:rsidRDefault="004E0E02" w:rsidP="003F6135">
            <w:pPr>
              <w:pStyle w:val="-3"/>
              <w:jc w:val="left"/>
              <w:rPr>
                <w:sz w:val="16"/>
                <w:szCs w:val="16"/>
                <w:rtl/>
              </w:rPr>
            </w:pPr>
            <w:r w:rsidRPr="00CF2A74">
              <w:rPr>
                <w:sz w:val="16"/>
                <w:szCs w:val="16"/>
                <w:rtl/>
              </w:rPr>
              <w:t xml:space="preserve"> -</w:t>
            </w:r>
          </w:p>
        </w:tc>
        <w:tc>
          <w:tcPr>
            <w:tcW w:w="781" w:type="dxa"/>
            <w:vAlign w:val="bottom"/>
          </w:tcPr>
          <w:p w14:paraId="6594CA5A" w14:textId="77777777" w:rsidR="004E0E02" w:rsidRPr="00513F0D" w:rsidRDefault="004E0E02" w:rsidP="003F6135">
            <w:pPr>
              <w:pStyle w:val="-3"/>
              <w:jc w:val="left"/>
              <w:rPr>
                <w:sz w:val="16"/>
                <w:szCs w:val="16"/>
                <w:rtl/>
              </w:rPr>
            </w:pPr>
            <w:r w:rsidRPr="00CF2A74">
              <w:rPr>
                <w:sz w:val="16"/>
                <w:szCs w:val="16"/>
                <w:rtl/>
              </w:rPr>
              <w:t xml:space="preserve"> -</w:t>
            </w:r>
          </w:p>
        </w:tc>
        <w:tc>
          <w:tcPr>
            <w:tcW w:w="1153" w:type="dxa"/>
            <w:vAlign w:val="bottom"/>
          </w:tcPr>
          <w:p w14:paraId="1823CDAB" w14:textId="77777777" w:rsidR="004E0E02" w:rsidRPr="00513F0D" w:rsidRDefault="004E0E02" w:rsidP="00141F15">
            <w:pPr>
              <w:pStyle w:val="-3"/>
              <w:jc w:val="left"/>
              <w:rPr>
                <w:sz w:val="16"/>
                <w:szCs w:val="16"/>
                <w:rtl/>
              </w:rPr>
            </w:pPr>
            <w:r w:rsidRPr="00CF2A74">
              <w:rPr>
                <w:sz w:val="16"/>
                <w:szCs w:val="16"/>
                <w:rtl/>
              </w:rPr>
              <w:t xml:space="preserve"> 0</w:t>
            </w:r>
          </w:p>
        </w:tc>
        <w:tc>
          <w:tcPr>
            <w:tcW w:w="741" w:type="dxa"/>
            <w:vAlign w:val="bottom"/>
          </w:tcPr>
          <w:p w14:paraId="3095CCF9" w14:textId="77777777" w:rsidR="004E0E02" w:rsidRPr="00513F0D" w:rsidRDefault="004E0E02" w:rsidP="00141F15">
            <w:pPr>
              <w:pStyle w:val="-3"/>
              <w:jc w:val="left"/>
              <w:rPr>
                <w:sz w:val="16"/>
                <w:szCs w:val="16"/>
                <w:rtl/>
              </w:rPr>
            </w:pPr>
            <w:r w:rsidRPr="00CF2A74">
              <w:rPr>
                <w:sz w:val="16"/>
                <w:szCs w:val="16"/>
                <w:rtl/>
              </w:rPr>
              <w:t xml:space="preserve"> 0</w:t>
            </w:r>
          </w:p>
        </w:tc>
        <w:tc>
          <w:tcPr>
            <w:tcW w:w="775" w:type="dxa"/>
            <w:vAlign w:val="bottom"/>
          </w:tcPr>
          <w:p w14:paraId="7DE53A9B"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2DE8967B" w14:textId="77777777" w:rsidTr="004A1ADA">
        <w:tc>
          <w:tcPr>
            <w:tcW w:w="850" w:type="dxa"/>
          </w:tcPr>
          <w:p w14:paraId="2F8A53C1" w14:textId="77777777" w:rsidR="004E0E02" w:rsidRPr="00513F0D" w:rsidRDefault="004E0E02" w:rsidP="003F6135">
            <w:pPr>
              <w:pStyle w:val="-7"/>
              <w:bidi w:val="0"/>
              <w:ind w:right="-231"/>
              <w:jc w:val="left"/>
              <w:rPr>
                <w:spacing w:val="-6"/>
                <w:sz w:val="16"/>
                <w:szCs w:val="16"/>
                <w:rtl/>
              </w:rPr>
            </w:pPr>
          </w:p>
        </w:tc>
        <w:tc>
          <w:tcPr>
            <w:tcW w:w="2282" w:type="dxa"/>
            <w:vAlign w:val="bottom"/>
          </w:tcPr>
          <w:p w14:paraId="68BBDB31" w14:textId="77777777" w:rsidR="004E0E02" w:rsidRPr="00513F0D" w:rsidRDefault="004E0E02" w:rsidP="003F6135">
            <w:pPr>
              <w:pStyle w:val="-0"/>
              <w:rPr>
                <w:sz w:val="16"/>
                <w:szCs w:val="16"/>
                <w:rtl/>
              </w:rPr>
            </w:pPr>
            <w:r w:rsidRPr="00CF2A74">
              <w:rPr>
                <w:rFonts w:hint="eastAsia"/>
                <w:sz w:val="16"/>
                <w:szCs w:val="16"/>
                <w:rtl/>
              </w:rPr>
              <w:t>רכישה</w:t>
            </w:r>
            <w:r w:rsidRPr="00CF2A74">
              <w:rPr>
                <w:sz w:val="16"/>
                <w:szCs w:val="16"/>
                <w:rtl/>
              </w:rPr>
              <w:t xml:space="preserve"> </w:t>
            </w:r>
            <w:r w:rsidRPr="00CF2A74">
              <w:rPr>
                <w:rFonts w:hint="eastAsia"/>
                <w:sz w:val="16"/>
                <w:szCs w:val="16"/>
                <w:rtl/>
              </w:rPr>
              <w:t>נוספת</w:t>
            </w:r>
            <w:r w:rsidRPr="00CF2A74">
              <w:rPr>
                <w:sz w:val="16"/>
                <w:szCs w:val="16"/>
                <w:rtl/>
              </w:rPr>
              <w:t xml:space="preserve"> </w:t>
            </w:r>
            <w:r w:rsidRPr="00CF2A74">
              <w:rPr>
                <w:rFonts w:hint="eastAsia"/>
                <w:sz w:val="16"/>
                <w:szCs w:val="16"/>
                <w:rtl/>
              </w:rPr>
              <w:t>של</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חברה</w:t>
            </w:r>
            <w:r w:rsidRPr="00CF2A74">
              <w:rPr>
                <w:sz w:val="16"/>
                <w:szCs w:val="16"/>
                <w:rtl/>
              </w:rPr>
              <w:t xml:space="preserve"> </w:t>
            </w:r>
            <w:r w:rsidRPr="00CF2A74">
              <w:rPr>
                <w:rFonts w:hint="eastAsia"/>
                <w:sz w:val="16"/>
                <w:szCs w:val="16"/>
                <w:rtl/>
              </w:rPr>
              <w:t>בת</w:t>
            </w:r>
          </w:p>
        </w:tc>
        <w:tc>
          <w:tcPr>
            <w:tcW w:w="779" w:type="dxa"/>
            <w:vAlign w:val="bottom"/>
          </w:tcPr>
          <w:p w14:paraId="09D4DCF7" w14:textId="77777777" w:rsidR="004E0E02" w:rsidRPr="00513F0D" w:rsidRDefault="004E0E02" w:rsidP="003F6135">
            <w:pPr>
              <w:pStyle w:val="-3"/>
              <w:rPr>
                <w:sz w:val="16"/>
                <w:szCs w:val="16"/>
                <w:rtl/>
              </w:rPr>
            </w:pPr>
            <w:r w:rsidRPr="00CF2A74">
              <w:rPr>
                <w:sz w:val="16"/>
                <w:szCs w:val="16"/>
                <w:rtl/>
              </w:rPr>
              <w:t>-</w:t>
            </w:r>
          </w:p>
        </w:tc>
        <w:tc>
          <w:tcPr>
            <w:tcW w:w="861" w:type="dxa"/>
            <w:vAlign w:val="bottom"/>
          </w:tcPr>
          <w:p w14:paraId="462DB45D" w14:textId="77777777" w:rsidR="004E0E02" w:rsidRPr="00513F0D" w:rsidRDefault="004E0E02" w:rsidP="003F6135">
            <w:pPr>
              <w:pStyle w:val="-3"/>
              <w:rPr>
                <w:sz w:val="16"/>
                <w:szCs w:val="16"/>
                <w:rtl/>
              </w:rPr>
            </w:pPr>
            <w:r w:rsidRPr="00CF2A74">
              <w:rPr>
                <w:sz w:val="16"/>
                <w:szCs w:val="16"/>
                <w:rtl/>
              </w:rPr>
              <w:t>-</w:t>
            </w:r>
          </w:p>
        </w:tc>
        <w:tc>
          <w:tcPr>
            <w:tcW w:w="966" w:type="dxa"/>
            <w:vAlign w:val="bottom"/>
          </w:tcPr>
          <w:p w14:paraId="626D3C4F" w14:textId="77777777" w:rsidR="004E0E02" w:rsidRPr="00513F0D" w:rsidRDefault="004E0E02" w:rsidP="003F6135">
            <w:pPr>
              <w:pStyle w:val="-3"/>
              <w:rPr>
                <w:sz w:val="16"/>
                <w:szCs w:val="16"/>
                <w:rtl/>
              </w:rPr>
            </w:pPr>
            <w:r w:rsidRPr="00CF2A74">
              <w:rPr>
                <w:sz w:val="16"/>
                <w:szCs w:val="16"/>
                <w:rtl/>
              </w:rPr>
              <w:t>-</w:t>
            </w:r>
          </w:p>
        </w:tc>
        <w:tc>
          <w:tcPr>
            <w:tcW w:w="819" w:type="dxa"/>
            <w:vAlign w:val="bottom"/>
          </w:tcPr>
          <w:p w14:paraId="13AF8B74" w14:textId="77777777" w:rsidR="004E0E02" w:rsidRPr="00513F0D" w:rsidRDefault="004E0E02" w:rsidP="003F6135">
            <w:pPr>
              <w:pStyle w:val="-3"/>
              <w:rPr>
                <w:sz w:val="16"/>
                <w:szCs w:val="16"/>
                <w:rtl/>
              </w:rPr>
            </w:pPr>
            <w:r>
              <w:rPr>
                <w:rFonts w:hint="cs"/>
                <w:sz w:val="16"/>
                <w:szCs w:val="16"/>
                <w:rtl/>
              </w:rPr>
              <w:t>0</w:t>
            </w:r>
          </w:p>
        </w:tc>
        <w:tc>
          <w:tcPr>
            <w:tcW w:w="1073" w:type="dxa"/>
            <w:vAlign w:val="bottom"/>
          </w:tcPr>
          <w:p w14:paraId="50859211" w14:textId="77777777" w:rsidR="004E0E02" w:rsidRPr="009A7E4A" w:rsidRDefault="004E0E02" w:rsidP="003F6135">
            <w:pPr>
              <w:pStyle w:val="-3"/>
              <w:rPr>
                <w:sz w:val="16"/>
                <w:szCs w:val="16"/>
                <w:rtl/>
              </w:rPr>
            </w:pPr>
            <w:r w:rsidRPr="009A7E4A">
              <w:rPr>
                <w:sz w:val="16"/>
                <w:szCs w:val="16"/>
                <w:rtl/>
              </w:rPr>
              <w:t>-</w:t>
            </w:r>
          </w:p>
        </w:tc>
        <w:tc>
          <w:tcPr>
            <w:tcW w:w="683" w:type="dxa"/>
            <w:vAlign w:val="bottom"/>
          </w:tcPr>
          <w:p w14:paraId="2F418778" w14:textId="77777777" w:rsidR="004E0E02" w:rsidRDefault="004E0E02">
            <w:pPr>
              <w:pStyle w:val="-3"/>
              <w:jc w:val="left"/>
              <w:rPr>
                <w:sz w:val="16"/>
                <w:szCs w:val="16"/>
                <w:rtl/>
              </w:rPr>
            </w:pPr>
            <w:r w:rsidRPr="00CF2A74">
              <w:rPr>
                <w:sz w:val="16"/>
                <w:szCs w:val="16"/>
                <w:rtl/>
              </w:rPr>
              <w:t xml:space="preserve"> </w:t>
            </w:r>
            <w:r>
              <w:rPr>
                <w:rFonts w:hint="cs"/>
                <w:sz w:val="16"/>
                <w:szCs w:val="16"/>
                <w:rtl/>
              </w:rPr>
              <w:t>-</w:t>
            </w:r>
          </w:p>
        </w:tc>
        <w:tc>
          <w:tcPr>
            <w:tcW w:w="793" w:type="dxa"/>
            <w:vAlign w:val="bottom"/>
          </w:tcPr>
          <w:p w14:paraId="7FF6D2A4" w14:textId="77777777" w:rsidR="004E0E02" w:rsidRPr="00CF2A74" w:rsidRDefault="004E0E02" w:rsidP="003F6135">
            <w:pPr>
              <w:pStyle w:val="-3"/>
              <w:jc w:val="left"/>
              <w:rPr>
                <w:sz w:val="16"/>
                <w:szCs w:val="16"/>
                <w:rtl/>
              </w:rPr>
            </w:pPr>
            <w:r w:rsidRPr="00CF2A74">
              <w:rPr>
                <w:sz w:val="16"/>
                <w:szCs w:val="16"/>
                <w:rtl/>
              </w:rPr>
              <w:t>-</w:t>
            </w:r>
          </w:p>
        </w:tc>
        <w:tc>
          <w:tcPr>
            <w:tcW w:w="916" w:type="dxa"/>
            <w:vAlign w:val="bottom"/>
          </w:tcPr>
          <w:p w14:paraId="3AFBEBCB" w14:textId="77777777" w:rsidR="004E0E02" w:rsidRPr="00513F0D" w:rsidRDefault="004E0E02" w:rsidP="003F6135">
            <w:pPr>
              <w:pStyle w:val="-3"/>
              <w:jc w:val="left"/>
              <w:rPr>
                <w:sz w:val="16"/>
                <w:szCs w:val="16"/>
                <w:rtl/>
              </w:rPr>
            </w:pPr>
            <w:r w:rsidRPr="00CF2A74">
              <w:rPr>
                <w:sz w:val="16"/>
                <w:szCs w:val="16"/>
                <w:rtl/>
              </w:rPr>
              <w:t xml:space="preserve"> 0</w:t>
            </w:r>
          </w:p>
        </w:tc>
        <w:tc>
          <w:tcPr>
            <w:tcW w:w="819" w:type="dxa"/>
            <w:vAlign w:val="bottom"/>
          </w:tcPr>
          <w:p w14:paraId="6D919B4B" w14:textId="77777777" w:rsidR="004E0E02" w:rsidRPr="00513F0D" w:rsidRDefault="004E0E02" w:rsidP="003F6135">
            <w:pPr>
              <w:pStyle w:val="-3"/>
              <w:jc w:val="left"/>
              <w:rPr>
                <w:sz w:val="16"/>
                <w:szCs w:val="16"/>
                <w:rtl/>
              </w:rPr>
            </w:pPr>
            <w:r w:rsidRPr="00CF2A74">
              <w:rPr>
                <w:sz w:val="16"/>
                <w:szCs w:val="16"/>
                <w:rtl/>
              </w:rPr>
              <w:t xml:space="preserve"> -</w:t>
            </w:r>
          </w:p>
        </w:tc>
        <w:tc>
          <w:tcPr>
            <w:tcW w:w="891" w:type="dxa"/>
            <w:vAlign w:val="bottom"/>
          </w:tcPr>
          <w:p w14:paraId="05FF7034" w14:textId="77777777" w:rsidR="004E0E02" w:rsidRPr="00513F0D" w:rsidRDefault="004E0E02" w:rsidP="003F6135">
            <w:pPr>
              <w:pStyle w:val="-3"/>
              <w:jc w:val="left"/>
              <w:rPr>
                <w:sz w:val="16"/>
                <w:szCs w:val="16"/>
                <w:rtl/>
              </w:rPr>
            </w:pPr>
            <w:r w:rsidRPr="00CF2A74">
              <w:rPr>
                <w:sz w:val="16"/>
                <w:szCs w:val="16"/>
                <w:rtl/>
              </w:rPr>
              <w:t xml:space="preserve"> -</w:t>
            </w:r>
          </w:p>
        </w:tc>
        <w:tc>
          <w:tcPr>
            <w:tcW w:w="781" w:type="dxa"/>
            <w:vAlign w:val="bottom"/>
          </w:tcPr>
          <w:p w14:paraId="33803A5B" w14:textId="77777777" w:rsidR="004E0E02" w:rsidRPr="00513F0D" w:rsidRDefault="004E0E02" w:rsidP="003F6135">
            <w:pPr>
              <w:pStyle w:val="-3"/>
              <w:jc w:val="left"/>
              <w:rPr>
                <w:sz w:val="16"/>
                <w:szCs w:val="16"/>
                <w:rtl/>
              </w:rPr>
            </w:pPr>
            <w:r w:rsidRPr="00CF2A74">
              <w:rPr>
                <w:sz w:val="16"/>
                <w:szCs w:val="16"/>
                <w:rtl/>
              </w:rPr>
              <w:t xml:space="preserve"> -</w:t>
            </w:r>
          </w:p>
        </w:tc>
        <w:tc>
          <w:tcPr>
            <w:tcW w:w="1153" w:type="dxa"/>
            <w:vAlign w:val="bottom"/>
          </w:tcPr>
          <w:p w14:paraId="594B8920" w14:textId="77777777" w:rsidR="004E0E02" w:rsidRPr="00513F0D" w:rsidRDefault="004E0E02" w:rsidP="003F6135">
            <w:pPr>
              <w:pStyle w:val="-3"/>
              <w:jc w:val="left"/>
              <w:rPr>
                <w:sz w:val="16"/>
                <w:szCs w:val="16"/>
                <w:rtl/>
              </w:rPr>
            </w:pPr>
            <w:r w:rsidRPr="00CF2A74">
              <w:rPr>
                <w:sz w:val="16"/>
                <w:szCs w:val="16"/>
                <w:rtl/>
              </w:rPr>
              <w:t xml:space="preserve"> 0</w:t>
            </w:r>
          </w:p>
        </w:tc>
        <w:tc>
          <w:tcPr>
            <w:tcW w:w="741" w:type="dxa"/>
            <w:vAlign w:val="bottom"/>
          </w:tcPr>
          <w:p w14:paraId="41D8892F" w14:textId="77777777" w:rsidR="004E0E02" w:rsidRPr="00513F0D" w:rsidRDefault="004E0E02" w:rsidP="003F6135">
            <w:pPr>
              <w:pStyle w:val="-3"/>
              <w:jc w:val="left"/>
              <w:rPr>
                <w:sz w:val="16"/>
                <w:szCs w:val="16"/>
                <w:rtl/>
              </w:rPr>
            </w:pPr>
            <w:r w:rsidRPr="00CF2A74">
              <w:rPr>
                <w:sz w:val="16"/>
                <w:szCs w:val="16"/>
                <w:rtl/>
              </w:rPr>
              <w:t xml:space="preserve"> 0</w:t>
            </w:r>
          </w:p>
        </w:tc>
        <w:tc>
          <w:tcPr>
            <w:tcW w:w="775" w:type="dxa"/>
            <w:vAlign w:val="bottom"/>
          </w:tcPr>
          <w:p w14:paraId="2B13B3E1" w14:textId="77777777" w:rsidR="004E0E02" w:rsidRPr="00513F0D" w:rsidRDefault="004E0E02" w:rsidP="003F6135">
            <w:pPr>
              <w:pStyle w:val="-3"/>
              <w:jc w:val="left"/>
              <w:rPr>
                <w:sz w:val="16"/>
                <w:szCs w:val="16"/>
                <w:rtl/>
              </w:rPr>
            </w:pPr>
            <w:r w:rsidRPr="00CF2A74">
              <w:rPr>
                <w:sz w:val="16"/>
                <w:szCs w:val="16"/>
                <w:rtl/>
              </w:rPr>
              <w:t xml:space="preserve"> 0</w:t>
            </w:r>
          </w:p>
        </w:tc>
      </w:tr>
      <w:tr w:rsidR="004E0E02" w:rsidRPr="00513F0D" w14:paraId="6BC4E749" w14:textId="77777777" w:rsidTr="004A1ADA">
        <w:tc>
          <w:tcPr>
            <w:tcW w:w="850" w:type="dxa"/>
          </w:tcPr>
          <w:p w14:paraId="4EE1BB0F" w14:textId="77777777" w:rsidR="004E0E02" w:rsidRPr="00513F0D" w:rsidRDefault="004E0E02" w:rsidP="003F6135">
            <w:pPr>
              <w:pStyle w:val="-7"/>
              <w:bidi w:val="0"/>
              <w:ind w:right="-231"/>
              <w:jc w:val="left"/>
              <w:rPr>
                <w:spacing w:val="-6"/>
                <w:sz w:val="16"/>
                <w:szCs w:val="16"/>
                <w:rtl/>
              </w:rPr>
            </w:pPr>
          </w:p>
        </w:tc>
        <w:tc>
          <w:tcPr>
            <w:tcW w:w="2282" w:type="dxa"/>
            <w:vAlign w:val="bottom"/>
          </w:tcPr>
          <w:p w14:paraId="44D20823" w14:textId="77777777" w:rsidR="004E0E02" w:rsidRPr="00513F0D" w:rsidRDefault="004E0E02" w:rsidP="003F6135">
            <w:pPr>
              <w:pStyle w:val="-21"/>
              <w:spacing w:before="0"/>
              <w:rPr>
                <w:sz w:val="16"/>
                <w:szCs w:val="16"/>
                <w:rtl/>
              </w:rPr>
            </w:pPr>
            <w:r w:rsidRPr="00CF2A74">
              <w:rPr>
                <w:rFonts w:hint="eastAsia"/>
                <w:sz w:val="16"/>
                <w:szCs w:val="16"/>
                <w:rtl/>
              </w:rPr>
              <w:t>ירידה</w:t>
            </w:r>
            <w:r w:rsidRPr="00CF2A74">
              <w:rPr>
                <w:sz w:val="16"/>
                <w:szCs w:val="16"/>
                <w:rtl/>
              </w:rPr>
              <w:t xml:space="preserve"> </w:t>
            </w:r>
            <w:r w:rsidRPr="00CF2A74">
              <w:rPr>
                <w:rFonts w:hint="eastAsia"/>
                <w:sz w:val="16"/>
                <w:szCs w:val="16"/>
                <w:rtl/>
              </w:rPr>
              <w:t>בשיעור</w:t>
            </w:r>
            <w:r w:rsidRPr="00CF2A74">
              <w:rPr>
                <w:sz w:val="16"/>
                <w:szCs w:val="16"/>
                <w:rtl/>
              </w:rPr>
              <w:t xml:space="preserve"> </w:t>
            </w:r>
            <w:r w:rsidRPr="00CF2A74">
              <w:rPr>
                <w:rFonts w:hint="eastAsia"/>
                <w:sz w:val="16"/>
                <w:szCs w:val="16"/>
                <w:rtl/>
              </w:rPr>
              <w:t>החזקה</w:t>
            </w:r>
            <w:r w:rsidRPr="00CF2A74">
              <w:rPr>
                <w:sz w:val="16"/>
                <w:szCs w:val="16"/>
                <w:rtl/>
              </w:rPr>
              <w:t xml:space="preserve"> </w:t>
            </w:r>
            <w:r w:rsidRPr="00CF2A74">
              <w:rPr>
                <w:rFonts w:hint="eastAsia"/>
                <w:sz w:val="16"/>
                <w:szCs w:val="16"/>
                <w:rtl/>
              </w:rPr>
              <w:t>ללא</w:t>
            </w:r>
            <w:r w:rsidRPr="00CF2A74">
              <w:rPr>
                <w:sz w:val="16"/>
                <w:szCs w:val="16"/>
                <w:rtl/>
              </w:rPr>
              <w:t xml:space="preserve"> </w:t>
            </w:r>
            <w:r w:rsidRPr="00CF2A74">
              <w:rPr>
                <w:rFonts w:hint="eastAsia"/>
                <w:sz w:val="16"/>
                <w:szCs w:val="16"/>
                <w:rtl/>
              </w:rPr>
              <w:t>איבוד</w:t>
            </w:r>
            <w:r w:rsidRPr="00CF2A74">
              <w:rPr>
                <w:sz w:val="16"/>
                <w:szCs w:val="16"/>
                <w:rtl/>
              </w:rPr>
              <w:t xml:space="preserve"> </w:t>
            </w:r>
            <w:r w:rsidRPr="00CF2A74">
              <w:rPr>
                <w:rFonts w:hint="eastAsia"/>
                <w:sz w:val="16"/>
                <w:szCs w:val="16"/>
                <w:rtl/>
              </w:rPr>
              <w:t>שליטה</w:t>
            </w:r>
            <w:r w:rsidRPr="00CF2A74">
              <w:rPr>
                <w:sz w:val="16"/>
                <w:szCs w:val="16"/>
                <w:rtl/>
              </w:rPr>
              <w:t xml:space="preserve"> </w:t>
            </w:r>
            <w:r w:rsidRPr="00CF2A74">
              <w:rPr>
                <w:rFonts w:hint="eastAsia"/>
                <w:sz w:val="16"/>
                <w:szCs w:val="16"/>
                <w:rtl/>
              </w:rPr>
              <w:t>בחברה</w:t>
            </w:r>
            <w:r w:rsidRPr="00CF2A74">
              <w:rPr>
                <w:sz w:val="16"/>
                <w:szCs w:val="16"/>
                <w:rtl/>
              </w:rPr>
              <w:t xml:space="preserve"> </w:t>
            </w:r>
            <w:r w:rsidRPr="00CF2A74">
              <w:rPr>
                <w:rFonts w:hint="eastAsia"/>
                <w:sz w:val="16"/>
                <w:szCs w:val="16"/>
                <w:rtl/>
              </w:rPr>
              <w:t>בת</w:t>
            </w:r>
          </w:p>
        </w:tc>
        <w:tc>
          <w:tcPr>
            <w:tcW w:w="779" w:type="dxa"/>
            <w:vAlign w:val="bottom"/>
          </w:tcPr>
          <w:p w14:paraId="488F10D0" w14:textId="77777777" w:rsidR="004E0E02" w:rsidRPr="00513F0D" w:rsidRDefault="004E0E02" w:rsidP="003F6135">
            <w:pPr>
              <w:pStyle w:val="-3"/>
              <w:rPr>
                <w:sz w:val="16"/>
                <w:szCs w:val="16"/>
                <w:rtl/>
              </w:rPr>
            </w:pPr>
            <w:r w:rsidRPr="00CF2A74">
              <w:rPr>
                <w:sz w:val="16"/>
                <w:szCs w:val="16"/>
                <w:rtl/>
              </w:rPr>
              <w:t>-</w:t>
            </w:r>
          </w:p>
        </w:tc>
        <w:tc>
          <w:tcPr>
            <w:tcW w:w="861" w:type="dxa"/>
            <w:vAlign w:val="bottom"/>
          </w:tcPr>
          <w:p w14:paraId="3384DD32" w14:textId="77777777" w:rsidR="004E0E02" w:rsidRPr="00513F0D" w:rsidRDefault="004E0E02" w:rsidP="003F6135">
            <w:pPr>
              <w:pStyle w:val="-3"/>
              <w:rPr>
                <w:sz w:val="16"/>
                <w:szCs w:val="16"/>
                <w:rtl/>
              </w:rPr>
            </w:pPr>
            <w:r w:rsidRPr="00CF2A74">
              <w:rPr>
                <w:sz w:val="16"/>
                <w:szCs w:val="16"/>
                <w:rtl/>
              </w:rPr>
              <w:t>-</w:t>
            </w:r>
          </w:p>
        </w:tc>
        <w:tc>
          <w:tcPr>
            <w:tcW w:w="966" w:type="dxa"/>
            <w:vAlign w:val="bottom"/>
          </w:tcPr>
          <w:p w14:paraId="0B2694A5" w14:textId="77777777" w:rsidR="004E0E02" w:rsidRPr="00513F0D" w:rsidRDefault="004E0E02" w:rsidP="003F6135">
            <w:pPr>
              <w:pStyle w:val="-3"/>
              <w:rPr>
                <w:sz w:val="16"/>
                <w:szCs w:val="16"/>
                <w:rtl/>
              </w:rPr>
            </w:pPr>
            <w:r w:rsidRPr="00CF2A74">
              <w:rPr>
                <w:sz w:val="16"/>
                <w:szCs w:val="16"/>
                <w:rtl/>
              </w:rPr>
              <w:t>-</w:t>
            </w:r>
          </w:p>
        </w:tc>
        <w:tc>
          <w:tcPr>
            <w:tcW w:w="819" w:type="dxa"/>
            <w:vAlign w:val="bottom"/>
          </w:tcPr>
          <w:p w14:paraId="62212A5F" w14:textId="77777777" w:rsidR="004E0E02" w:rsidRPr="00513F0D" w:rsidRDefault="004E0E02" w:rsidP="003F6135">
            <w:pPr>
              <w:pStyle w:val="-3"/>
              <w:rPr>
                <w:sz w:val="16"/>
                <w:szCs w:val="16"/>
                <w:rtl/>
              </w:rPr>
            </w:pPr>
            <w:r>
              <w:rPr>
                <w:rFonts w:hint="cs"/>
                <w:sz w:val="16"/>
                <w:szCs w:val="16"/>
                <w:rtl/>
              </w:rPr>
              <w:t>0</w:t>
            </w:r>
          </w:p>
        </w:tc>
        <w:tc>
          <w:tcPr>
            <w:tcW w:w="1073" w:type="dxa"/>
            <w:vAlign w:val="bottom"/>
          </w:tcPr>
          <w:p w14:paraId="2D6373B3" w14:textId="77777777" w:rsidR="004E0E02" w:rsidRPr="009A7E4A" w:rsidRDefault="004E0E02" w:rsidP="003F6135">
            <w:pPr>
              <w:pStyle w:val="-3"/>
              <w:rPr>
                <w:sz w:val="16"/>
                <w:szCs w:val="16"/>
                <w:rtl/>
              </w:rPr>
            </w:pPr>
            <w:r w:rsidRPr="009A7E4A">
              <w:rPr>
                <w:sz w:val="16"/>
                <w:szCs w:val="16"/>
                <w:rtl/>
              </w:rPr>
              <w:t>-</w:t>
            </w:r>
          </w:p>
        </w:tc>
        <w:tc>
          <w:tcPr>
            <w:tcW w:w="683" w:type="dxa"/>
            <w:vAlign w:val="bottom"/>
          </w:tcPr>
          <w:p w14:paraId="5B5A7729" w14:textId="77777777" w:rsidR="004E0E02" w:rsidRDefault="004E0E02">
            <w:pPr>
              <w:pStyle w:val="-3"/>
              <w:jc w:val="left"/>
              <w:rPr>
                <w:sz w:val="16"/>
                <w:szCs w:val="16"/>
                <w:rtl/>
              </w:rPr>
            </w:pPr>
            <w:r w:rsidRPr="00CF2A74">
              <w:rPr>
                <w:sz w:val="16"/>
                <w:szCs w:val="16"/>
                <w:rtl/>
              </w:rPr>
              <w:t xml:space="preserve"> </w:t>
            </w:r>
            <w:r>
              <w:rPr>
                <w:rFonts w:hint="cs"/>
                <w:sz w:val="16"/>
                <w:szCs w:val="16"/>
                <w:rtl/>
              </w:rPr>
              <w:t>-</w:t>
            </w:r>
          </w:p>
        </w:tc>
        <w:tc>
          <w:tcPr>
            <w:tcW w:w="793" w:type="dxa"/>
            <w:vAlign w:val="bottom"/>
          </w:tcPr>
          <w:p w14:paraId="389A57A1" w14:textId="77777777" w:rsidR="004E0E02" w:rsidRPr="00CF2A74" w:rsidRDefault="004E0E02" w:rsidP="003F6135">
            <w:pPr>
              <w:pStyle w:val="-3"/>
              <w:jc w:val="left"/>
              <w:rPr>
                <w:sz w:val="16"/>
                <w:szCs w:val="16"/>
                <w:rtl/>
              </w:rPr>
            </w:pPr>
            <w:r w:rsidRPr="00CF2A74">
              <w:rPr>
                <w:sz w:val="16"/>
                <w:szCs w:val="16"/>
                <w:rtl/>
              </w:rPr>
              <w:t>-</w:t>
            </w:r>
          </w:p>
        </w:tc>
        <w:tc>
          <w:tcPr>
            <w:tcW w:w="916" w:type="dxa"/>
            <w:vAlign w:val="bottom"/>
          </w:tcPr>
          <w:p w14:paraId="14209F5F" w14:textId="77777777" w:rsidR="004E0E02" w:rsidRPr="00513F0D" w:rsidRDefault="004E0E02" w:rsidP="003F6135">
            <w:pPr>
              <w:pStyle w:val="-3"/>
              <w:jc w:val="left"/>
              <w:rPr>
                <w:sz w:val="16"/>
                <w:szCs w:val="16"/>
                <w:rtl/>
              </w:rPr>
            </w:pPr>
            <w:r w:rsidRPr="00CF2A74">
              <w:rPr>
                <w:sz w:val="16"/>
                <w:szCs w:val="16"/>
                <w:rtl/>
              </w:rPr>
              <w:t xml:space="preserve"> 0</w:t>
            </w:r>
          </w:p>
        </w:tc>
        <w:tc>
          <w:tcPr>
            <w:tcW w:w="819" w:type="dxa"/>
            <w:vAlign w:val="bottom"/>
          </w:tcPr>
          <w:p w14:paraId="428EB7DC" w14:textId="77777777" w:rsidR="004E0E02" w:rsidRPr="00513F0D" w:rsidRDefault="004E0E02" w:rsidP="003F6135">
            <w:pPr>
              <w:pStyle w:val="-3"/>
              <w:jc w:val="left"/>
              <w:rPr>
                <w:sz w:val="16"/>
                <w:szCs w:val="16"/>
                <w:rtl/>
              </w:rPr>
            </w:pPr>
            <w:r w:rsidRPr="00CF2A74">
              <w:rPr>
                <w:sz w:val="16"/>
                <w:szCs w:val="16"/>
                <w:rtl/>
              </w:rPr>
              <w:t xml:space="preserve"> -</w:t>
            </w:r>
          </w:p>
        </w:tc>
        <w:tc>
          <w:tcPr>
            <w:tcW w:w="891" w:type="dxa"/>
            <w:vAlign w:val="bottom"/>
          </w:tcPr>
          <w:p w14:paraId="78303D2C" w14:textId="77777777" w:rsidR="004E0E02" w:rsidRPr="00513F0D" w:rsidRDefault="004E0E02" w:rsidP="003F6135">
            <w:pPr>
              <w:pStyle w:val="-3"/>
              <w:jc w:val="left"/>
              <w:rPr>
                <w:sz w:val="16"/>
                <w:szCs w:val="16"/>
                <w:rtl/>
              </w:rPr>
            </w:pPr>
            <w:r w:rsidRPr="00CF2A74">
              <w:rPr>
                <w:sz w:val="16"/>
                <w:szCs w:val="16"/>
                <w:rtl/>
              </w:rPr>
              <w:t xml:space="preserve"> -</w:t>
            </w:r>
          </w:p>
        </w:tc>
        <w:tc>
          <w:tcPr>
            <w:tcW w:w="781" w:type="dxa"/>
            <w:vAlign w:val="bottom"/>
          </w:tcPr>
          <w:p w14:paraId="6DA7C169" w14:textId="77777777" w:rsidR="004E0E02" w:rsidRPr="00513F0D" w:rsidRDefault="004E0E02" w:rsidP="003F6135">
            <w:pPr>
              <w:pStyle w:val="-3"/>
              <w:jc w:val="left"/>
              <w:rPr>
                <w:sz w:val="16"/>
                <w:szCs w:val="16"/>
                <w:rtl/>
              </w:rPr>
            </w:pPr>
            <w:r w:rsidRPr="00CF2A74">
              <w:rPr>
                <w:sz w:val="16"/>
                <w:szCs w:val="16"/>
                <w:rtl/>
              </w:rPr>
              <w:t xml:space="preserve"> -</w:t>
            </w:r>
          </w:p>
        </w:tc>
        <w:tc>
          <w:tcPr>
            <w:tcW w:w="1153" w:type="dxa"/>
            <w:vAlign w:val="bottom"/>
          </w:tcPr>
          <w:p w14:paraId="57B3BFDF" w14:textId="77777777" w:rsidR="004E0E02" w:rsidRPr="00513F0D" w:rsidRDefault="004E0E02" w:rsidP="003F6135">
            <w:pPr>
              <w:pStyle w:val="-3"/>
              <w:jc w:val="left"/>
              <w:rPr>
                <w:sz w:val="16"/>
                <w:szCs w:val="16"/>
                <w:rtl/>
              </w:rPr>
            </w:pPr>
            <w:r w:rsidRPr="00CF2A74">
              <w:rPr>
                <w:sz w:val="16"/>
                <w:szCs w:val="16"/>
                <w:rtl/>
              </w:rPr>
              <w:t xml:space="preserve"> 0</w:t>
            </w:r>
          </w:p>
        </w:tc>
        <w:tc>
          <w:tcPr>
            <w:tcW w:w="741" w:type="dxa"/>
            <w:vAlign w:val="bottom"/>
          </w:tcPr>
          <w:p w14:paraId="25D4A90D" w14:textId="77777777" w:rsidR="004E0E02" w:rsidRPr="00513F0D" w:rsidRDefault="004E0E02" w:rsidP="003F6135">
            <w:pPr>
              <w:pStyle w:val="-3"/>
              <w:jc w:val="left"/>
              <w:rPr>
                <w:sz w:val="16"/>
                <w:szCs w:val="16"/>
                <w:rtl/>
              </w:rPr>
            </w:pPr>
            <w:r w:rsidRPr="00CF2A74">
              <w:rPr>
                <w:sz w:val="16"/>
                <w:szCs w:val="16"/>
                <w:rtl/>
              </w:rPr>
              <w:t xml:space="preserve"> 0</w:t>
            </w:r>
          </w:p>
        </w:tc>
        <w:tc>
          <w:tcPr>
            <w:tcW w:w="775" w:type="dxa"/>
            <w:vAlign w:val="bottom"/>
          </w:tcPr>
          <w:p w14:paraId="6A6625CC" w14:textId="77777777" w:rsidR="004E0E02" w:rsidRPr="00513F0D" w:rsidRDefault="004E0E02" w:rsidP="003F6135">
            <w:pPr>
              <w:pStyle w:val="-3"/>
              <w:jc w:val="left"/>
              <w:rPr>
                <w:sz w:val="16"/>
                <w:szCs w:val="16"/>
                <w:rtl/>
              </w:rPr>
            </w:pPr>
            <w:r w:rsidRPr="00CF2A74">
              <w:rPr>
                <w:sz w:val="16"/>
                <w:szCs w:val="16"/>
                <w:rtl/>
              </w:rPr>
              <w:t xml:space="preserve"> 0</w:t>
            </w:r>
          </w:p>
        </w:tc>
      </w:tr>
      <w:tr w:rsidR="004E0E02" w:rsidRPr="00513F0D" w14:paraId="63EFE579" w14:textId="77777777" w:rsidTr="004A1ADA">
        <w:tc>
          <w:tcPr>
            <w:tcW w:w="850" w:type="dxa"/>
          </w:tcPr>
          <w:p w14:paraId="7BE9D619" w14:textId="77777777" w:rsidR="004E0E02" w:rsidRPr="00513F0D" w:rsidRDefault="004E0E02" w:rsidP="003F6135">
            <w:pPr>
              <w:pStyle w:val="-7"/>
              <w:bidi w:val="0"/>
              <w:ind w:right="-231"/>
              <w:jc w:val="left"/>
              <w:rPr>
                <w:spacing w:val="-6"/>
                <w:sz w:val="16"/>
                <w:szCs w:val="16"/>
                <w:rtl/>
              </w:rPr>
            </w:pPr>
          </w:p>
        </w:tc>
        <w:tc>
          <w:tcPr>
            <w:tcW w:w="2282" w:type="dxa"/>
            <w:vAlign w:val="bottom"/>
          </w:tcPr>
          <w:p w14:paraId="54C78394" w14:textId="77777777" w:rsidR="004E0E02" w:rsidRPr="00513F0D" w:rsidRDefault="004E0E02" w:rsidP="003F6135">
            <w:pPr>
              <w:pStyle w:val="-21"/>
              <w:spacing w:before="0"/>
              <w:rPr>
                <w:sz w:val="16"/>
                <w:szCs w:val="16"/>
                <w:rtl/>
              </w:rPr>
            </w:pPr>
            <w:r w:rsidRPr="00CF2A74">
              <w:rPr>
                <w:rFonts w:hint="eastAsia"/>
                <w:sz w:val="16"/>
                <w:szCs w:val="16"/>
                <w:rtl/>
              </w:rPr>
              <w:t>דיבידנד</w:t>
            </w:r>
            <w:r w:rsidRPr="00CF2A74">
              <w:rPr>
                <w:sz w:val="16"/>
                <w:szCs w:val="16"/>
                <w:rtl/>
              </w:rPr>
              <w:t xml:space="preserve"> </w:t>
            </w:r>
            <w:r w:rsidRPr="00CF2A74">
              <w:rPr>
                <w:rFonts w:hint="eastAsia"/>
                <w:sz w:val="16"/>
                <w:szCs w:val="16"/>
                <w:rtl/>
              </w:rPr>
              <w:t>לבעלי</w:t>
            </w:r>
            <w:r w:rsidRPr="00CF2A74">
              <w:rPr>
                <w:sz w:val="16"/>
                <w:szCs w:val="16"/>
                <w:rtl/>
              </w:rPr>
              <w:t xml:space="preserve"> </w:t>
            </w:r>
            <w:r w:rsidRPr="00CF2A74">
              <w:rPr>
                <w:rFonts w:hint="eastAsia"/>
                <w:sz w:val="16"/>
                <w:szCs w:val="16"/>
                <w:rtl/>
              </w:rPr>
              <w:t>זכויות</w:t>
            </w:r>
            <w:r w:rsidRPr="00CF2A74">
              <w:rPr>
                <w:sz w:val="16"/>
                <w:szCs w:val="16"/>
                <w:rtl/>
              </w:rPr>
              <w:t xml:space="preserve"> </w:t>
            </w:r>
            <w:r w:rsidRPr="00CF2A74">
              <w:rPr>
                <w:rFonts w:hint="eastAsia"/>
                <w:sz w:val="16"/>
                <w:szCs w:val="16"/>
                <w:rtl/>
              </w:rPr>
              <w:t>שאינן</w:t>
            </w:r>
            <w:r w:rsidRPr="00CF2A74">
              <w:rPr>
                <w:sz w:val="16"/>
                <w:szCs w:val="16"/>
                <w:rtl/>
              </w:rPr>
              <w:t xml:space="preserve"> </w:t>
            </w:r>
            <w:r w:rsidRPr="00CF2A74">
              <w:rPr>
                <w:rFonts w:hint="eastAsia"/>
                <w:sz w:val="16"/>
                <w:szCs w:val="16"/>
                <w:rtl/>
              </w:rPr>
              <w:t>מקנות</w:t>
            </w:r>
            <w:r w:rsidRPr="00CF2A74">
              <w:rPr>
                <w:sz w:val="16"/>
                <w:szCs w:val="16"/>
                <w:rtl/>
              </w:rPr>
              <w:t xml:space="preserve"> </w:t>
            </w:r>
            <w:r w:rsidRPr="00CF2A74">
              <w:rPr>
                <w:rFonts w:hint="eastAsia"/>
                <w:sz w:val="16"/>
                <w:szCs w:val="16"/>
                <w:rtl/>
              </w:rPr>
              <w:t>שליטה</w:t>
            </w:r>
            <w:r w:rsidRPr="00CF2A74">
              <w:rPr>
                <w:sz w:val="16"/>
                <w:szCs w:val="16"/>
                <w:rtl/>
              </w:rPr>
              <w:t xml:space="preserve"> </w:t>
            </w:r>
            <w:r w:rsidRPr="00CF2A74">
              <w:rPr>
                <w:rFonts w:hint="eastAsia"/>
                <w:sz w:val="16"/>
                <w:szCs w:val="16"/>
                <w:rtl/>
              </w:rPr>
              <w:t>בחברות</w:t>
            </w:r>
            <w:r w:rsidRPr="00CF2A74">
              <w:rPr>
                <w:sz w:val="16"/>
                <w:szCs w:val="16"/>
                <w:rtl/>
              </w:rPr>
              <w:t xml:space="preserve"> </w:t>
            </w:r>
            <w:r w:rsidRPr="00CF2A74">
              <w:rPr>
                <w:rFonts w:hint="eastAsia"/>
                <w:sz w:val="16"/>
                <w:szCs w:val="16"/>
                <w:rtl/>
              </w:rPr>
              <w:t>בנות</w:t>
            </w:r>
          </w:p>
        </w:tc>
        <w:tc>
          <w:tcPr>
            <w:tcW w:w="779" w:type="dxa"/>
            <w:vAlign w:val="bottom"/>
          </w:tcPr>
          <w:p w14:paraId="050FA068" w14:textId="77777777" w:rsidR="004E0E02" w:rsidRPr="00513F0D" w:rsidRDefault="004E0E02" w:rsidP="004E5809">
            <w:pPr>
              <w:pStyle w:val="-3"/>
              <w:pBdr>
                <w:bottom w:val="single" w:sz="4" w:space="1" w:color="auto"/>
              </w:pBdr>
              <w:rPr>
                <w:sz w:val="16"/>
                <w:szCs w:val="16"/>
                <w:rtl/>
              </w:rPr>
            </w:pPr>
            <w:r w:rsidRPr="00CF2A74">
              <w:rPr>
                <w:sz w:val="16"/>
                <w:szCs w:val="16"/>
                <w:rtl/>
              </w:rPr>
              <w:t>-</w:t>
            </w:r>
          </w:p>
        </w:tc>
        <w:tc>
          <w:tcPr>
            <w:tcW w:w="861" w:type="dxa"/>
            <w:vAlign w:val="bottom"/>
          </w:tcPr>
          <w:p w14:paraId="43896EE0" w14:textId="77777777" w:rsidR="004E0E02" w:rsidRPr="00513F0D" w:rsidRDefault="004E0E02" w:rsidP="004E5809">
            <w:pPr>
              <w:pStyle w:val="-3"/>
              <w:pBdr>
                <w:bottom w:val="single" w:sz="4" w:space="1" w:color="auto"/>
              </w:pBdr>
              <w:rPr>
                <w:sz w:val="16"/>
                <w:szCs w:val="16"/>
                <w:rtl/>
              </w:rPr>
            </w:pPr>
            <w:r w:rsidRPr="00CF2A74">
              <w:rPr>
                <w:sz w:val="16"/>
                <w:szCs w:val="16"/>
                <w:rtl/>
              </w:rPr>
              <w:t>-</w:t>
            </w:r>
          </w:p>
        </w:tc>
        <w:tc>
          <w:tcPr>
            <w:tcW w:w="966" w:type="dxa"/>
            <w:vAlign w:val="bottom"/>
          </w:tcPr>
          <w:p w14:paraId="0A6F70F4" w14:textId="77777777" w:rsidR="004E0E02" w:rsidRPr="00513F0D" w:rsidRDefault="004E0E02" w:rsidP="004E5809">
            <w:pPr>
              <w:pStyle w:val="-3"/>
              <w:pBdr>
                <w:bottom w:val="single" w:sz="4" w:space="1" w:color="auto"/>
              </w:pBdr>
              <w:rPr>
                <w:sz w:val="16"/>
                <w:szCs w:val="16"/>
                <w:rtl/>
              </w:rPr>
            </w:pPr>
            <w:r w:rsidRPr="00CF2A74">
              <w:rPr>
                <w:sz w:val="16"/>
                <w:szCs w:val="16"/>
                <w:rtl/>
              </w:rPr>
              <w:t>-</w:t>
            </w:r>
          </w:p>
        </w:tc>
        <w:tc>
          <w:tcPr>
            <w:tcW w:w="819" w:type="dxa"/>
            <w:vAlign w:val="bottom"/>
          </w:tcPr>
          <w:p w14:paraId="704CF17E" w14:textId="77777777" w:rsidR="004E0E02" w:rsidRPr="00513F0D" w:rsidRDefault="004E0E02" w:rsidP="004E5809">
            <w:pPr>
              <w:pStyle w:val="-3"/>
              <w:pBdr>
                <w:bottom w:val="single" w:sz="4" w:space="1" w:color="auto"/>
              </w:pBdr>
              <w:rPr>
                <w:sz w:val="16"/>
                <w:szCs w:val="16"/>
                <w:rtl/>
              </w:rPr>
            </w:pPr>
            <w:r w:rsidRPr="00CF2A74">
              <w:rPr>
                <w:sz w:val="16"/>
                <w:szCs w:val="16"/>
                <w:rtl/>
              </w:rPr>
              <w:t>-</w:t>
            </w:r>
          </w:p>
        </w:tc>
        <w:tc>
          <w:tcPr>
            <w:tcW w:w="1073" w:type="dxa"/>
            <w:vAlign w:val="bottom"/>
          </w:tcPr>
          <w:p w14:paraId="52D95919" w14:textId="77777777" w:rsidR="004E0E02" w:rsidRPr="009A7E4A" w:rsidRDefault="004E0E02" w:rsidP="004E5809">
            <w:pPr>
              <w:pStyle w:val="-3"/>
              <w:pBdr>
                <w:bottom w:val="single" w:sz="4" w:space="1" w:color="auto"/>
              </w:pBdr>
              <w:rPr>
                <w:sz w:val="16"/>
                <w:szCs w:val="16"/>
                <w:rtl/>
              </w:rPr>
            </w:pPr>
            <w:r w:rsidRPr="009A7E4A">
              <w:rPr>
                <w:sz w:val="16"/>
                <w:szCs w:val="16"/>
                <w:rtl/>
              </w:rPr>
              <w:t>-</w:t>
            </w:r>
          </w:p>
        </w:tc>
        <w:tc>
          <w:tcPr>
            <w:tcW w:w="683" w:type="dxa"/>
            <w:vAlign w:val="bottom"/>
          </w:tcPr>
          <w:p w14:paraId="773BE454"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793" w:type="dxa"/>
            <w:vAlign w:val="bottom"/>
          </w:tcPr>
          <w:p w14:paraId="4FB358F6" w14:textId="77777777" w:rsidR="004E0E02" w:rsidRPr="00CF2A74" w:rsidRDefault="004E0E02" w:rsidP="004E5809">
            <w:pPr>
              <w:pStyle w:val="-3"/>
              <w:pBdr>
                <w:bottom w:val="single" w:sz="4" w:space="1" w:color="auto"/>
              </w:pBdr>
              <w:jc w:val="left"/>
              <w:rPr>
                <w:sz w:val="16"/>
                <w:szCs w:val="16"/>
                <w:rtl/>
              </w:rPr>
            </w:pPr>
            <w:r w:rsidRPr="00CF2A74">
              <w:rPr>
                <w:sz w:val="16"/>
                <w:szCs w:val="16"/>
                <w:rtl/>
              </w:rPr>
              <w:t>-</w:t>
            </w:r>
          </w:p>
        </w:tc>
        <w:tc>
          <w:tcPr>
            <w:tcW w:w="916" w:type="dxa"/>
            <w:vAlign w:val="bottom"/>
          </w:tcPr>
          <w:p w14:paraId="2E68A551"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819" w:type="dxa"/>
            <w:vAlign w:val="bottom"/>
          </w:tcPr>
          <w:p w14:paraId="7F9AE6FE"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891" w:type="dxa"/>
            <w:vAlign w:val="bottom"/>
          </w:tcPr>
          <w:p w14:paraId="749CA4EB"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781" w:type="dxa"/>
            <w:vAlign w:val="bottom"/>
          </w:tcPr>
          <w:p w14:paraId="386FB4F2"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1153" w:type="dxa"/>
            <w:vAlign w:val="bottom"/>
          </w:tcPr>
          <w:p w14:paraId="307D7F35" w14:textId="77777777" w:rsidR="004E0E02" w:rsidRPr="00513F0D" w:rsidRDefault="004E0E02" w:rsidP="004E5809">
            <w:pPr>
              <w:pStyle w:val="-3"/>
              <w:pBdr>
                <w:bottom w:val="single" w:sz="4" w:space="1" w:color="auto"/>
              </w:pBdr>
              <w:jc w:val="left"/>
              <w:rPr>
                <w:sz w:val="16"/>
                <w:szCs w:val="16"/>
                <w:rtl/>
              </w:rPr>
            </w:pPr>
            <w:r>
              <w:rPr>
                <w:rFonts w:hint="cs"/>
                <w:sz w:val="16"/>
                <w:szCs w:val="16"/>
                <w:rtl/>
              </w:rPr>
              <w:t xml:space="preserve"> -</w:t>
            </w:r>
          </w:p>
        </w:tc>
        <w:tc>
          <w:tcPr>
            <w:tcW w:w="741" w:type="dxa"/>
            <w:vAlign w:val="bottom"/>
          </w:tcPr>
          <w:p w14:paraId="5985DF2E"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0</w:t>
            </w:r>
          </w:p>
        </w:tc>
        <w:tc>
          <w:tcPr>
            <w:tcW w:w="775" w:type="dxa"/>
            <w:vAlign w:val="bottom"/>
          </w:tcPr>
          <w:p w14:paraId="7FCFDA1F"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0</w:t>
            </w:r>
          </w:p>
        </w:tc>
      </w:tr>
      <w:tr w:rsidR="004E0E02" w:rsidRPr="00513F0D" w14:paraId="53027EDE" w14:textId="77777777" w:rsidTr="004A1ADA">
        <w:tc>
          <w:tcPr>
            <w:tcW w:w="850" w:type="dxa"/>
          </w:tcPr>
          <w:p w14:paraId="054349DF" w14:textId="77777777" w:rsidR="004E0E02" w:rsidRPr="00513F0D" w:rsidRDefault="004E0E02" w:rsidP="003F6135">
            <w:pPr>
              <w:pStyle w:val="-7"/>
              <w:bidi w:val="0"/>
              <w:ind w:right="-231"/>
              <w:jc w:val="left"/>
              <w:rPr>
                <w:spacing w:val="-6"/>
                <w:sz w:val="16"/>
                <w:szCs w:val="16"/>
                <w:rtl/>
              </w:rPr>
            </w:pPr>
          </w:p>
        </w:tc>
        <w:tc>
          <w:tcPr>
            <w:tcW w:w="2282" w:type="dxa"/>
            <w:vAlign w:val="bottom"/>
          </w:tcPr>
          <w:p w14:paraId="0175AD9B" w14:textId="52D02F4E" w:rsidR="004E0E02" w:rsidRPr="00CF2A74" w:rsidRDefault="004E0E02" w:rsidP="00914A73">
            <w:pPr>
              <w:pStyle w:val="-b"/>
              <w:rPr>
                <w:sz w:val="16"/>
                <w:szCs w:val="16"/>
                <w:rtl/>
              </w:rPr>
            </w:pPr>
            <w:r w:rsidRPr="00CF2A74">
              <w:rPr>
                <w:rFonts w:hint="eastAsia"/>
                <w:sz w:val="16"/>
                <w:szCs w:val="16"/>
                <w:rtl/>
              </w:rPr>
              <w:t>יתרה</w:t>
            </w:r>
            <w:r w:rsidRPr="00CF2A74">
              <w:rPr>
                <w:sz w:val="16"/>
                <w:szCs w:val="16"/>
                <w:rtl/>
              </w:rPr>
              <w:t xml:space="preserve"> ליום 30 ביוני </w:t>
            </w:r>
            <w:r w:rsidR="0000611A" w:rsidRPr="0000611A">
              <w:rPr>
                <w:sz w:val="16"/>
                <w:szCs w:val="16"/>
                <w:rtl/>
              </w:rPr>
              <w:fldChar w:fldCharType="begin"/>
            </w:r>
            <w:r w:rsidR="0000611A" w:rsidRPr="0000611A">
              <w:rPr>
                <w:sz w:val="16"/>
                <w:szCs w:val="16"/>
                <w:rtl/>
              </w:rPr>
              <w:instrText xml:space="preserve"> </w:instrText>
            </w:r>
            <w:r w:rsidR="0000611A" w:rsidRPr="0000611A">
              <w:rPr>
                <w:rFonts w:hint="cs"/>
                <w:sz w:val="16"/>
                <w:szCs w:val="16"/>
                <w:rtl/>
              </w:rPr>
              <w:instrText xml:space="preserve">= </w:instrText>
            </w:r>
            <w:r w:rsidR="0000611A" w:rsidRPr="0000611A">
              <w:rPr>
                <w:rFonts w:hint="cs"/>
                <w:sz w:val="16"/>
                <w:szCs w:val="16"/>
              </w:rPr>
              <w:instrText>CY \* MERGEFORMAT</w:instrText>
            </w:r>
            <w:r w:rsidR="0000611A" w:rsidRPr="0000611A">
              <w:rPr>
                <w:sz w:val="16"/>
                <w:szCs w:val="16"/>
                <w:rtl/>
              </w:rPr>
              <w:instrText xml:space="preserve"> </w:instrText>
            </w:r>
            <w:r w:rsidR="0000611A" w:rsidRPr="0000611A">
              <w:rPr>
                <w:sz w:val="16"/>
                <w:szCs w:val="16"/>
                <w:rtl/>
              </w:rPr>
              <w:fldChar w:fldCharType="separate"/>
            </w:r>
            <w:r w:rsidR="003A584F">
              <w:rPr>
                <w:noProof/>
                <w:sz w:val="16"/>
                <w:szCs w:val="16"/>
                <w:rtl/>
              </w:rPr>
              <w:t>2024</w:t>
            </w:r>
            <w:r w:rsidR="0000611A" w:rsidRPr="0000611A">
              <w:rPr>
                <w:sz w:val="16"/>
                <w:szCs w:val="16"/>
                <w:rtl/>
              </w:rPr>
              <w:fldChar w:fldCharType="end"/>
            </w:r>
          </w:p>
        </w:tc>
        <w:tc>
          <w:tcPr>
            <w:tcW w:w="779" w:type="dxa"/>
            <w:vAlign w:val="bottom"/>
          </w:tcPr>
          <w:p w14:paraId="1A91D2A0" w14:textId="77777777" w:rsidR="004E0E02" w:rsidRPr="00513F0D" w:rsidRDefault="004E0E02" w:rsidP="004E5809">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861" w:type="dxa"/>
            <w:vAlign w:val="bottom"/>
          </w:tcPr>
          <w:p w14:paraId="674A0A42" w14:textId="77777777" w:rsidR="004E0E02" w:rsidRPr="00513F0D" w:rsidRDefault="004E0E02" w:rsidP="004E5809">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966" w:type="dxa"/>
            <w:vAlign w:val="bottom"/>
          </w:tcPr>
          <w:p w14:paraId="1E786BEB" w14:textId="77777777" w:rsidR="004E0E02" w:rsidRPr="00513F0D" w:rsidRDefault="004E0E02" w:rsidP="004E5809">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819" w:type="dxa"/>
            <w:vAlign w:val="bottom"/>
          </w:tcPr>
          <w:p w14:paraId="0CD0E1C1" w14:textId="77777777" w:rsidR="004E0E02" w:rsidRPr="00513F0D" w:rsidRDefault="004E0E02" w:rsidP="004E5809">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1073" w:type="dxa"/>
            <w:vAlign w:val="bottom"/>
          </w:tcPr>
          <w:p w14:paraId="44715240" w14:textId="77777777" w:rsidR="004E0E02" w:rsidRPr="009A7E4A" w:rsidRDefault="004E0E02" w:rsidP="004E5809">
            <w:pPr>
              <w:pStyle w:val="-f1"/>
              <w:pBdr>
                <w:top w:val="none" w:sz="0" w:space="0" w:color="auto"/>
                <w:bottom w:val="double" w:sz="4" w:space="1" w:color="auto"/>
              </w:pBdr>
              <w:ind w:left="0" w:firstLine="0"/>
              <w:jc w:val="both"/>
              <w:rPr>
                <w:sz w:val="16"/>
                <w:szCs w:val="16"/>
                <w:rtl/>
              </w:rPr>
            </w:pPr>
            <w:r w:rsidRPr="009A7E4A">
              <w:rPr>
                <w:sz w:val="16"/>
                <w:szCs w:val="16"/>
                <w:rtl/>
              </w:rPr>
              <w:t>0</w:t>
            </w:r>
          </w:p>
        </w:tc>
        <w:tc>
          <w:tcPr>
            <w:tcW w:w="683" w:type="dxa"/>
            <w:vAlign w:val="bottom"/>
          </w:tcPr>
          <w:p w14:paraId="4A6D3060"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793" w:type="dxa"/>
            <w:vAlign w:val="bottom"/>
          </w:tcPr>
          <w:p w14:paraId="59E5A585" w14:textId="77777777" w:rsidR="004E0E02" w:rsidRPr="00CF2A74" w:rsidRDefault="004E0E02" w:rsidP="004E5809">
            <w:pPr>
              <w:pStyle w:val="-3"/>
              <w:pBdr>
                <w:bottom w:val="double" w:sz="4" w:space="1" w:color="auto"/>
              </w:pBdr>
              <w:jc w:val="left"/>
              <w:rPr>
                <w:b/>
                <w:bCs/>
                <w:sz w:val="16"/>
                <w:szCs w:val="16"/>
                <w:rtl/>
              </w:rPr>
            </w:pPr>
            <w:r w:rsidRPr="00CF2A74">
              <w:rPr>
                <w:sz w:val="16"/>
                <w:szCs w:val="16"/>
                <w:rtl/>
              </w:rPr>
              <w:t>0</w:t>
            </w:r>
          </w:p>
        </w:tc>
        <w:tc>
          <w:tcPr>
            <w:tcW w:w="916" w:type="dxa"/>
            <w:vAlign w:val="bottom"/>
          </w:tcPr>
          <w:p w14:paraId="5A0BC691"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819" w:type="dxa"/>
            <w:vAlign w:val="bottom"/>
          </w:tcPr>
          <w:p w14:paraId="10CD8E0F"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891" w:type="dxa"/>
            <w:vAlign w:val="bottom"/>
          </w:tcPr>
          <w:p w14:paraId="38CF7FB6"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781" w:type="dxa"/>
            <w:vAlign w:val="bottom"/>
          </w:tcPr>
          <w:p w14:paraId="0B632DAE"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1153" w:type="dxa"/>
            <w:vAlign w:val="bottom"/>
          </w:tcPr>
          <w:p w14:paraId="76DC2767"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741" w:type="dxa"/>
            <w:vAlign w:val="bottom"/>
          </w:tcPr>
          <w:p w14:paraId="76E08749"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775" w:type="dxa"/>
            <w:vAlign w:val="bottom"/>
          </w:tcPr>
          <w:p w14:paraId="1EB2F8E0"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r>
      <w:tr w:rsidR="004E0E02" w:rsidRPr="00513F0D" w14:paraId="21EF1DC5" w14:textId="77777777" w:rsidTr="004A1ADA">
        <w:tc>
          <w:tcPr>
            <w:tcW w:w="850" w:type="dxa"/>
          </w:tcPr>
          <w:p w14:paraId="21C9EE28" w14:textId="77777777" w:rsidR="004E0E02" w:rsidRPr="00513F0D" w:rsidRDefault="004E0E02" w:rsidP="003F6135">
            <w:pPr>
              <w:pStyle w:val="-7"/>
              <w:bidi w:val="0"/>
              <w:ind w:right="-231"/>
              <w:jc w:val="left"/>
              <w:rPr>
                <w:spacing w:val="-6"/>
                <w:sz w:val="16"/>
                <w:szCs w:val="16"/>
                <w:rtl/>
              </w:rPr>
            </w:pPr>
          </w:p>
        </w:tc>
        <w:tc>
          <w:tcPr>
            <w:tcW w:w="2282" w:type="dxa"/>
            <w:vAlign w:val="bottom"/>
          </w:tcPr>
          <w:p w14:paraId="5AC23066" w14:textId="77777777" w:rsidR="004E0E02" w:rsidRPr="00513F0D" w:rsidRDefault="004E0E02" w:rsidP="003F6135">
            <w:pPr>
              <w:pStyle w:val="-7"/>
              <w:rPr>
                <w:sz w:val="16"/>
                <w:szCs w:val="16"/>
                <w:rtl/>
              </w:rPr>
            </w:pPr>
          </w:p>
        </w:tc>
        <w:tc>
          <w:tcPr>
            <w:tcW w:w="779" w:type="dxa"/>
          </w:tcPr>
          <w:p w14:paraId="66C797E9" w14:textId="77777777" w:rsidR="004E0E02" w:rsidRPr="00513F0D" w:rsidRDefault="004E0E02" w:rsidP="004E5809">
            <w:pPr>
              <w:pStyle w:val="-212"/>
              <w:pBdr>
                <w:top w:val="none" w:sz="0" w:space="0" w:color="auto"/>
              </w:pBdr>
              <w:jc w:val="both"/>
              <w:rPr>
                <w:sz w:val="16"/>
                <w:szCs w:val="16"/>
                <w:rtl/>
              </w:rPr>
            </w:pPr>
          </w:p>
        </w:tc>
        <w:tc>
          <w:tcPr>
            <w:tcW w:w="861" w:type="dxa"/>
          </w:tcPr>
          <w:p w14:paraId="121BC434" w14:textId="77777777" w:rsidR="004E0E02" w:rsidRPr="00513F0D" w:rsidRDefault="004E0E02" w:rsidP="004E5809">
            <w:pPr>
              <w:pStyle w:val="-212"/>
              <w:pBdr>
                <w:top w:val="none" w:sz="0" w:space="0" w:color="auto"/>
              </w:pBdr>
              <w:jc w:val="both"/>
              <w:rPr>
                <w:sz w:val="16"/>
                <w:szCs w:val="16"/>
                <w:rtl/>
              </w:rPr>
            </w:pPr>
          </w:p>
        </w:tc>
        <w:tc>
          <w:tcPr>
            <w:tcW w:w="966" w:type="dxa"/>
          </w:tcPr>
          <w:p w14:paraId="4E42AA59" w14:textId="77777777" w:rsidR="004E0E02" w:rsidRPr="00513F0D" w:rsidRDefault="004E0E02" w:rsidP="004E5809">
            <w:pPr>
              <w:pStyle w:val="-212"/>
              <w:pBdr>
                <w:top w:val="none" w:sz="0" w:space="0" w:color="auto"/>
              </w:pBdr>
              <w:jc w:val="both"/>
              <w:rPr>
                <w:sz w:val="16"/>
                <w:szCs w:val="16"/>
                <w:rtl/>
              </w:rPr>
            </w:pPr>
          </w:p>
        </w:tc>
        <w:tc>
          <w:tcPr>
            <w:tcW w:w="819" w:type="dxa"/>
          </w:tcPr>
          <w:p w14:paraId="6E8DFFA8" w14:textId="77777777" w:rsidR="004E0E02" w:rsidRPr="00513F0D" w:rsidRDefault="004E0E02" w:rsidP="004E5809">
            <w:pPr>
              <w:pStyle w:val="-212"/>
              <w:pBdr>
                <w:top w:val="none" w:sz="0" w:space="0" w:color="auto"/>
              </w:pBdr>
              <w:jc w:val="both"/>
              <w:rPr>
                <w:sz w:val="16"/>
                <w:szCs w:val="16"/>
                <w:rtl/>
              </w:rPr>
            </w:pPr>
          </w:p>
        </w:tc>
        <w:tc>
          <w:tcPr>
            <w:tcW w:w="1073" w:type="dxa"/>
          </w:tcPr>
          <w:p w14:paraId="5895BC60" w14:textId="77777777" w:rsidR="004E0E02" w:rsidRPr="00513F0D" w:rsidRDefault="004E0E02" w:rsidP="004E5809">
            <w:pPr>
              <w:pStyle w:val="-212"/>
              <w:pBdr>
                <w:top w:val="none" w:sz="0" w:space="0" w:color="auto"/>
              </w:pBdr>
              <w:jc w:val="both"/>
              <w:rPr>
                <w:sz w:val="16"/>
                <w:szCs w:val="16"/>
                <w:rtl/>
              </w:rPr>
            </w:pPr>
          </w:p>
        </w:tc>
        <w:tc>
          <w:tcPr>
            <w:tcW w:w="683" w:type="dxa"/>
          </w:tcPr>
          <w:p w14:paraId="0368A1E5" w14:textId="77777777" w:rsidR="004E0E02" w:rsidRPr="00513F0D" w:rsidRDefault="004E0E02" w:rsidP="004E5809">
            <w:pPr>
              <w:pStyle w:val="-3"/>
              <w:jc w:val="left"/>
              <w:rPr>
                <w:b/>
                <w:bCs/>
                <w:sz w:val="16"/>
                <w:szCs w:val="16"/>
                <w:rtl/>
              </w:rPr>
            </w:pPr>
          </w:p>
        </w:tc>
        <w:tc>
          <w:tcPr>
            <w:tcW w:w="793" w:type="dxa"/>
          </w:tcPr>
          <w:p w14:paraId="60177AB2" w14:textId="77777777" w:rsidR="004E0E02" w:rsidRPr="00513F0D" w:rsidRDefault="004E0E02" w:rsidP="004E5809">
            <w:pPr>
              <w:pStyle w:val="-3"/>
              <w:jc w:val="left"/>
              <w:rPr>
                <w:b/>
                <w:bCs/>
                <w:sz w:val="16"/>
                <w:szCs w:val="16"/>
                <w:rtl/>
              </w:rPr>
            </w:pPr>
          </w:p>
        </w:tc>
        <w:tc>
          <w:tcPr>
            <w:tcW w:w="916" w:type="dxa"/>
          </w:tcPr>
          <w:p w14:paraId="7FCAFAD1" w14:textId="77777777" w:rsidR="004E0E02" w:rsidRPr="00513F0D" w:rsidRDefault="004E0E02" w:rsidP="004E5809">
            <w:pPr>
              <w:pStyle w:val="-3"/>
              <w:jc w:val="left"/>
              <w:rPr>
                <w:b/>
                <w:bCs/>
                <w:sz w:val="16"/>
                <w:szCs w:val="16"/>
                <w:rtl/>
              </w:rPr>
            </w:pPr>
          </w:p>
        </w:tc>
        <w:tc>
          <w:tcPr>
            <w:tcW w:w="819" w:type="dxa"/>
          </w:tcPr>
          <w:p w14:paraId="2905234E" w14:textId="77777777" w:rsidR="004E0E02" w:rsidRPr="00513F0D" w:rsidRDefault="004E0E02" w:rsidP="004E5809">
            <w:pPr>
              <w:pStyle w:val="-3"/>
              <w:jc w:val="left"/>
              <w:rPr>
                <w:b/>
                <w:bCs/>
                <w:sz w:val="16"/>
                <w:szCs w:val="16"/>
                <w:rtl/>
              </w:rPr>
            </w:pPr>
          </w:p>
        </w:tc>
        <w:tc>
          <w:tcPr>
            <w:tcW w:w="891" w:type="dxa"/>
          </w:tcPr>
          <w:p w14:paraId="45283915" w14:textId="77777777" w:rsidR="004E0E02" w:rsidRPr="00513F0D" w:rsidRDefault="004E0E02" w:rsidP="004E5809">
            <w:pPr>
              <w:pStyle w:val="-3"/>
              <w:jc w:val="left"/>
              <w:rPr>
                <w:b/>
                <w:bCs/>
                <w:sz w:val="16"/>
                <w:szCs w:val="16"/>
                <w:rtl/>
              </w:rPr>
            </w:pPr>
          </w:p>
        </w:tc>
        <w:tc>
          <w:tcPr>
            <w:tcW w:w="781" w:type="dxa"/>
          </w:tcPr>
          <w:p w14:paraId="3322BAFD" w14:textId="77777777" w:rsidR="004E0E02" w:rsidRPr="00513F0D" w:rsidRDefault="004E0E02" w:rsidP="004E5809">
            <w:pPr>
              <w:pStyle w:val="-3"/>
              <w:jc w:val="left"/>
              <w:rPr>
                <w:b/>
                <w:bCs/>
                <w:sz w:val="16"/>
                <w:szCs w:val="16"/>
                <w:rtl/>
              </w:rPr>
            </w:pPr>
          </w:p>
        </w:tc>
        <w:tc>
          <w:tcPr>
            <w:tcW w:w="1153" w:type="dxa"/>
          </w:tcPr>
          <w:p w14:paraId="566C4603" w14:textId="77777777" w:rsidR="004E0E02" w:rsidRPr="00513F0D" w:rsidRDefault="004E0E02" w:rsidP="004E5809">
            <w:pPr>
              <w:pStyle w:val="-3"/>
              <w:jc w:val="left"/>
              <w:rPr>
                <w:b/>
                <w:bCs/>
                <w:sz w:val="16"/>
                <w:szCs w:val="16"/>
                <w:rtl/>
              </w:rPr>
            </w:pPr>
          </w:p>
        </w:tc>
        <w:tc>
          <w:tcPr>
            <w:tcW w:w="741" w:type="dxa"/>
          </w:tcPr>
          <w:p w14:paraId="12C6D395" w14:textId="77777777" w:rsidR="004E0E02" w:rsidRPr="00513F0D" w:rsidRDefault="004E0E02" w:rsidP="004E5809">
            <w:pPr>
              <w:pStyle w:val="-3"/>
              <w:jc w:val="left"/>
              <w:rPr>
                <w:b/>
                <w:bCs/>
                <w:sz w:val="16"/>
                <w:szCs w:val="16"/>
                <w:rtl/>
              </w:rPr>
            </w:pPr>
          </w:p>
        </w:tc>
        <w:tc>
          <w:tcPr>
            <w:tcW w:w="775" w:type="dxa"/>
          </w:tcPr>
          <w:p w14:paraId="70AFC395" w14:textId="77777777" w:rsidR="004E0E02" w:rsidRPr="00513F0D" w:rsidRDefault="004E0E02" w:rsidP="004E5809">
            <w:pPr>
              <w:pStyle w:val="-3"/>
              <w:jc w:val="left"/>
              <w:rPr>
                <w:b/>
                <w:bCs/>
                <w:sz w:val="16"/>
                <w:szCs w:val="16"/>
                <w:rtl/>
              </w:rPr>
            </w:pPr>
          </w:p>
        </w:tc>
      </w:tr>
    </w:tbl>
    <w:p w14:paraId="6D55E51B" w14:textId="77777777" w:rsidR="00C933AF" w:rsidRDefault="00C933AF" w:rsidP="004744F2">
      <w:pPr>
        <w:keepLines/>
        <w:overflowPunct w:val="0"/>
        <w:autoSpaceDE w:val="0"/>
        <w:autoSpaceDN w:val="0"/>
        <w:adjustRightInd w:val="0"/>
        <w:textAlignment w:val="baseline"/>
        <w:rPr>
          <w:rtl/>
        </w:rPr>
      </w:pPr>
    </w:p>
    <w:p w14:paraId="2BE9BD0B" w14:textId="77777777" w:rsidR="004A1ADA" w:rsidRDefault="004A1ADA" w:rsidP="004744F2">
      <w:pPr>
        <w:keepLines/>
        <w:overflowPunct w:val="0"/>
        <w:autoSpaceDE w:val="0"/>
        <w:autoSpaceDN w:val="0"/>
        <w:adjustRightInd w:val="0"/>
        <w:textAlignment w:val="baseline"/>
        <w:rPr>
          <w:rtl/>
        </w:rPr>
      </w:pPr>
    </w:p>
    <w:p w14:paraId="058F5BF8" w14:textId="77777777" w:rsidR="004A1ADA" w:rsidRDefault="004A1ADA" w:rsidP="004744F2">
      <w:pPr>
        <w:keepLines/>
        <w:overflowPunct w:val="0"/>
        <w:autoSpaceDE w:val="0"/>
        <w:autoSpaceDN w:val="0"/>
        <w:adjustRightInd w:val="0"/>
        <w:textAlignment w:val="baseline"/>
      </w:pPr>
    </w:p>
    <w:p w14:paraId="13433526" w14:textId="77777777" w:rsidR="00037471" w:rsidRPr="00037471" w:rsidRDefault="00037471" w:rsidP="00037471">
      <w:pPr>
        <w:keepLines/>
        <w:overflowPunct w:val="0"/>
        <w:autoSpaceDE w:val="0"/>
        <w:autoSpaceDN w:val="0"/>
        <w:adjustRightInd w:val="0"/>
        <w:ind w:left="12" w:right="-113"/>
        <w:textAlignment w:val="baseline"/>
        <w:rPr>
          <w:rtl/>
        </w:rPr>
      </w:pPr>
    </w:p>
    <w:tbl>
      <w:tblPr>
        <w:tblpPr w:leftFromText="180" w:rightFromText="180" w:vertAnchor="text" w:horzAnchor="margin" w:tblpY="-44"/>
        <w:bidiVisual/>
        <w:tblW w:w="5000" w:type="pct"/>
        <w:tblLook w:val="04A0" w:firstRow="1" w:lastRow="0" w:firstColumn="1" w:lastColumn="0" w:noHBand="0" w:noVBand="1"/>
      </w:tblPr>
      <w:tblGrid>
        <w:gridCol w:w="737"/>
        <w:gridCol w:w="14395"/>
      </w:tblGrid>
      <w:tr w:rsidR="00037471" w:rsidRPr="00543C25" w14:paraId="2DE0B327" w14:textId="77777777" w:rsidTr="00EF186E">
        <w:trPr>
          <w:trHeight w:val="259"/>
        </w:trPr>
        <w:tc>
          <w:tcPr>
            <w:tcW w:w="737" w:type="dxa"/>
          </w:tcPr>
          <w:p w14:paraId="145A9B7E" w14:textId="77777777" w:rsidR="00037471" w:rsidRPr="00ED6312" w:rsidRDefault="00037471" w:rsidP="00037471">
            <w:pPr>
              <w:pStyle w:val="-7"/>
              <w:bidi w:val="0"/>
              <w:ind w:right="-231"/>
              <w:jc w:val="left"/>
              <w:rPr>
                <w:spacing w:val="-6"/>
                <w:sz w:val="14"/>
                <w:szCs w:val="14"/>
                <w:rtl/>
              </w:rPr>
            </w:pPr>
          </w:p>
        </w:tc>
        <w:tc>
          <w:tcPr>
            <w:tcW w:w="14395" w:type="dxa"/>
          </w:tcPr>
          <w:p w14:paraId="730BFC73" w14:textId="77777777" w:rsidR="00037471" w:rsidRPr="00543C25" w:rsidRDefault="00037471" w:rsidP="00037471">
            <w:pPr>
              <w:rPr>
                <w:rtl/>
              </w:rPr>
            </w:pPr>
            <w:r w:rsidRPr="00543C25">
              <w:rPr>
                <w:b/>
                <w:bCs/>
                <w:rtl/>
              </w:rPr>
              <w:t xml:space="preserve"> הביאורים ל</w:t>
            </w:r>
            <w:r>
              <w:rPr>
                <w:rFonts w:hint="cs"/>
                <w:b/>
                <w:bCs/>
                <w:rtl/>
              </w:rPr>
              <w:t>תמצית ה</w:t>
            </w:r>
            <w:r w:rsidRPr="00543C25">
              <w:rPr>
                <w:b/>
                <w:bCs/>
                <w:rtl/>
              </w:rPr>
              <w:t xml:space="preserve">דוחות הכספיים מהווים חלק בלתי נפרד </w:t>
            </w:r>
            <w:r>
              <w:rPr>
                <w:rFonts w:hint="cs"/>
                <w:b/>
                <w:bCs/>
                <w:rtl/>
              </w:rPr>
              <w:t>ממנה.</w:t>
            </w:r>
          </w:p>
        </w:tc>
      </w:tr>
    </w:tbl>
    <w:p w14:paraId="20459DE3" w14:textId="77777777" w:rsidR="00D073E5" w:rsidRPr="0001523C" w:rsidRDefault="00B21F73" w:rsidP="00F151D3">
      <w:pPr>
        <w:bidi w:val="0"/>
        <w:jc w:val="left"/>
      </w:pPr>
      <w:r w:rsidRPr="0001523C">
        <w:rPr>
          <w:rtl/>
        </w:rPr>
        <w:t xml:space="preserve">                                      </w:t>
      </w:r>
    </w:p>
    <w:p w14:paraId="29C6C237" w14:textId="77777777" w:rsidR="00F151D3" w:rsidRDefault="00F151D3">
      <w:pPr>
        <w:bidi w:val="0"/>
        <w:jc w:val="left"/>
        <w:rPr>
          <w:b/>
          <w:bCs/>
          <w:sz w:val="22"/>
          <w:szCs w:val="22"/>
        </w:rPr>
      </w:pPr>
      <w:r>
        <w:rPr>
          <w:rtl/>
        </w:rPr>
        <w:br w:type="page"/>
      </w:r>
    </w:p>
    <w:p w14:paraId="49158D06" w14:textId="77777777" w:rsidR="00977FCF" w:rsidRDefault="00977FCF" w:rsidP="00043825">
      <w:pPr>
        <w:pStyle w:val="-2"/>
        <w:ind w:firstLine="1098"/>
        <w:rPr>
          <w:rtl/>
        </w:rPr>
      </w:pPr>
      <w:r w:rsidRPr="00543C25">
        <w:rPr>
          <w:rFonts w:hint="cs"/>
          <w:rtl/>
        </w:rPr>
        <w:lastRenderedPageBreak/>
        <w:t>בנק</w:t>
      </w:r>
      <w:r w:rsidRPr="00543C25">
        <w:rPr>
          <w:rtl/>
        </w:rPr>
        <w:t xml:space="preserve"> </w:t>
      </w:r>
      <w:r w:rsidRPr="00543C25">
        <w:rPr>
          <w:rFonts w:hint="cs"/>
          <w:rtl/>
        </w:rPr>
        <w:t xml:space="preserve">לדוגמה </w:t>
      </w:r>
      <w:r w:rsidRPr="00543C25">
        <w:rPr>
          <w:rtl/>
        </w:rPr>
        <w:t>בע"מ וחברות מאוחדות שלו</w:t>
      </w:r>
    </w:p>
    <w:p w14:paraId="5ACFFF3D" w14:textId="60AA38A1" w:rsidR="00977FCF" w:rsidRPr="00977FCF" w:rsidRDefault="00977FCF" w:rsidP="00CC5F7B">
      <w:pPr>
        <w:pStyle w:val="-2"/>
        <w:spacing w:after="80"/>
        <w:ind w:firstLine="1100"/>
        <w:rPr>
          <w:u w:val="single"/>
          <w:rtl/>
        </w:rPr>
      </w:pPr>
      <w:r w:rsidRPr="00977FCF">
        <w:rPr>
          <w:rFonts w:hint="cs"/>
          <w:u w:val="single"/>
          <w:rtl/>
        </w:rPr>
        <w:t xml:space="preserve">תמצית דוח על השינויים בהון מאוחד לשישה חודשים שהסתיימו ביום 30 ביוני </w:t>
      </w:r>
      <w:r w:rsidR="00CC5F7B" w:rsidRPr="00905C12">
        <w:rPr>
          <w:sz w:val="20"/>
          <w:szCs w:val="20"/>
          <w:u w:val="single"/>
          <w:rtl/>
        </w:rPr>
        <w:fldChar w:fldCharType="begin"/>
      </w:r>
      <w:r w:rsidR="00CC5F7B" w:rsidRPr="00905C12">
        <w:rPr>
          <w:sz w:val="20"/>
          <w:szCs w:val="20"/>
          <w:u w:val="single"/>
          <w:rtl/>
        </w:rPr>
        <w:instrText xml:space="preserve"> </w:instrText>
      </w:r>
      <w:r w:rsidR="00CC5F7B" w:rsidRPr="00905C12">
        <w:rPr>
          <w:rFonts w:hint="cs"/>
          <w:sz w:val="20"/>
          <w:szCs w:val="20"/>
          <w:u w:val="single"/>
          <w:rtl/>
        </w:rPr>
        <w:instrText xml:space="preserve">= </w:instrText>
      </w:r>
      <w:r w:rsidR="00CC5F7B" w:rsidRPr="00905C12">
        <w:rPr>
          <w:rFonts w:hint="cs"/>
          <w:sz w:val="20"/>
          <w:szCs w:val="20"/>
          <w:u w:val="single"/>
        </w:rPr>
        <w:instrText>CY</w:instrText>
      </w:r>
      <w:r w:rsidR="00CC5F7B">
        <w:rPr>
          <w:sz w:val="20"/>
          <w:szCs w:val="20"/>
          <w:u w:val="single"/>
        </w:rPr>
        <w:instrText>-1</w:instrText>
      </w:r>
      <w:r w:rsidR="00CC5F7B" w:rsidRPr="00905C12">
        <w:rPr>
          <w:rFonts w:hint="cs"/>
          <w:sz w:val="20"/>
          <w:szCs w:val="20"/>
          <w:u w:val="single"/>
        </w:rPr>
        <w:instrText xml:space="preserve"> \* MERGEFORMAT</w:instrText>
      </w:r>
      <w:r w:rsidR="00CC5F7B" w:rsidRPr="00905C12">
        <w:rPr>
          <w:sz w:val="20"/>
          <w:szCs w:val="20"/>
          <w:u w:val="single"/>
          <w:rtl/>
        </w:rPr>
        <w:instrText xml:space="preserve"> </w:instrText>
      </w:r>
      <w:r w:rsidR="00CC5F7B" w:rsidRPr="00905C12">
        <w:rPr>
          <w:sz w:val="20"/>
          <w:szCs w:val="20"/>
          <w:u w:val="single"/>
          <w:rtl/>
        </w:rPr>
        <w:fldChar w:fldCharType="separate"/>
      </w:r>
      <w:r w:rsidR="003A584F">
        <w:rPr>
          <w:noProof/>
          <w:sz w:val="20"/>
          <w:szCs w:val="20"/>
          <w:u w:val="single"/>
          <w:rtl/>
        </w:rPr>
        <w:t>2023</w:t>
      </w:r>
      <w:r w:rsidR="00CC5F7B" w:rsidRPr="00905C12">
        <w:rPr>
          <w:sz w:val="20"/>
          <w:szCs w:val="20"/>
          <w:u w:val="single"/>
          <w:rtl/>
        </w:rPr>
        <w:fldChar w:fldCharType="end"/>
      </w:r>
      <w:r w:rsidR="00CC5F7B" w:rsidRPr="00BF4BA5">
        <w:rPr>
          <w:rFonts w:hint="cs"/>
          <w:u w:val="single"/>
          <w:rtl/>
        </w:rPr>
        <w:t xml:space="preserve"> </w:t>
      </w:r>
      <w:r w:rsidRPr="00977FCF">
        <w:rPr>
          <w:rFonts w:hint="cs"/>
          <w:u w:val="single"/>
          <w:rtl/>
        </w:rPr>
        <w:t>(בלתי מבוקר)</w:t>
      </w:r>
    </w:p>
    <w:p w14:paraId="787F9BC0" w14:textId="77777777" w:rsidR="00977FCF" w:rsidRPr="00977FCF" w:rsidRDefault="00977FCF" w:rsidP="00043825">
      <w:pPr>
        <w:pStyle w:val="-2"/>
        <w:ind w:firstLine="1100"/>
        <w:rPr>
          <w:b w:val="0"/>
          <w:bCs w:val="0"/>
          <w:sz w:val="20"/>
          <w:szCs w:val="20"/>
          <w:rtl/>
        </w:rPr>
      </w:pPr>
      <w:r w:rsidRPr="00977FCF">
        <w:rPr>
          <w:rFonts w:hint="cs"/>
          <w:b w:val="0"/>
          <w:bCs w:val="0"/>
          <w:sz w:val="20"/>
          <w:szCs w:val="20"/>
          <w:rtl/>
        </w:rPr>
        <w:t>סכומים מדווחים (במיליוני ש"ח)</w:t>
      </w:r>
    </w:p>
    <w:tbl>
      <w:tblPr>
        <w:bidiVisual/>
        <w:tblW w:w="4963" w:type="pct"/>
        <w:tblInd w:w="1" w:type="dxa"/>
        <w:tblLook w:val="04A0" w:firstRow="1" w:lastRow="0" w:firstColumn="1" w:lastColumn="0" w:noHBand="0" w:noVBand="1"/>
      </w:tblPr>
      <w:tblGrid>
        <w:gridCol w:w="849"/>
        <w:gridCol w:w="2300"/>
        <w:gridCol w:w="672"/>
        <w:gridCol w:w="852"/>
        <w:gridCol w:w="963"/>
        <w:gridCol w:w="751"/>
        <w:gridCol w:w="1072"/>
        <w:gridCol w:w="655"/>
        <w:gridCol w:w="767"/>
        <w:gridCol w:w="914"/>
        <w:gridCol w:w="838"/>
        <w:gridCol w:w="900"/>
        <w:gridCol w:w="681"/>
        <w:gridCol w:w="1328"/>
        <w:gridCol w:w="713"/>
        <w:gridCol w:w="765"/>
      </w:tblGrid>
      <w:tr w:rsidR="0030599F" w:rsidRPr="00513F0D" w14:paraId="10CC95BE" w14:textId="77777777" w:rsidTr="004A1ADA">
        <w:tc>
          <w:tcPr>
            <w:tcW w:w="850" w:type="dxa"/>
          </w:tcPr>
          <w:p w14:paraId="528717B9" w14:textId="77777777" w:rsidR="0023113C" w:rsidRDefault="0023113C">
            <w:pPr>
              <w:pStyle w:val="-7"/>
              <w:bidi w:val="0"/>
              <w:ind w:right="-231"/>
              <w:jc w:val="left"/>
              <w:rPr>
                <w:b/>
                <w:bCs/>
                <w:spacing w:val="-6"/>
                <w:sz w:val="16"/>
                <w:szCs w:val="16"/>
                <w:rtl/>
              </w:rPr>
            </w:pPr>
          </w:p>
        </w:tc>
        <w:tc>
          <w:tcPr>
            <w:tcW w:w="2300" w:type="dxa"/>
            <w:vAlign w:val="bottom"/>
          </w:tcPr>
          <w:p w14:paraId="23A60188" w14:textId="77777777" w:rsidR="00F32A2A" w:rsidRDefault="00F32A2A">
            <w:pPr>
              <w:pStyle w:val="-0"/>
              <w:jc w:val="center"/>
              <w:rPr>
                <w:b/>
                <w:bCs/>
                <w:sz w:val="16"/>
                <w:szCs w:val="16"/>
                <w:rtl/>
              </w:rPr>
            </w:pPr>
          </w:p>
        </w:tc>
        <w:tc>
          <w:tcPr>
            <w:tcW w:w="672" w:type="dxa"/>
            <w:vAlign w:val="bottom"/>
          </w:tcPr>
          <w:p w14:paraId="32957268" w14:textId="77777777" w:rsidR="00F32A2A" w:rsidRDefault="00F32A2A">
            <w:pPr>
              <w:pStyle w:val="-4"/>
              <w:pBdr>
                <w:bottom w:val="none" w:sz="0" w:space="0" w:color="auto"/>
              </w:pBdr>
              <w:rPr>
                <w:sz w:val="16"/>
                <w:szCs w:val="16"/>
                <w:rtl/>
              </w:rPr>
            </w:pPr>
          </w:p>
        </w:tc>
        <w:tc>
          <w:tcPr>
            <w:tcW w:w="852" w:type="dxa"/>
            <w:vAlign w:val="bottom"/>
          </w:tcPr>
          <w:p w14:paraId="2A52DBDF" w14:textId="77777777" w:rsidR="00F32A2A" w:rsidRDefault="00F32A2A">
            <w:pPr>
              <w:pStyle w:val="-4"/>
              <w:pBdr>
                <w:bottom w:val="none" w:sz="0" w:space="0" w:color="auto"/>
              </w:pBdr>
              <w:rPr>
                <w:sz w:val="16"/>
                <w:szCs w:val="16"/>
                <w:rtl/>
              </w:rPr>
            </w:pPr>
          </w:p>
        </w:tc>
        <w:tc>
          <w:tcPr>
            <w:tcW w:w="963" w:type="dxa"/>
            <w:vAlign w:val="bottom"/>
          </w:tcPr>
          <w:p w14:paraId="47C9B68E" w14:textId="77777777" w:rsidR="00F32A2A" w:rsidRDefault="00F32A2A">
            <w:pPr>
              <w:pStyle w:val="-4"/>
              <w:pBdr>
                <w:bottom w:val="none" w:sz="0" w:space="0" w:color="auto"/>
              </w:pBdr>
              <w:rPr>
                <w:sz w:val="16"/>
                <w:szCs w:val="16"/>
                <w:rtl/>
              </w:rPr>
            </w:pPr>
          </w:p>
        </w:tc>
        <w:tc>
          <w:tcPr>
            <w:tcW w:w="2478" w:type="dxa"/>
            <w:gridSpan w:val="3"/>
            <w:vAlign w:val="bottom"/>
          </w:tcPr>
          <w:p w14:paraId="206D3670" w14:textId="77777777" w:rsidR="00F32A2A" w:rsidRDefault="004E0E02">
            <w:pPr>
              <w:pStyle w:val="-4"/>
              <w:pBdr>
                <w:bottom w:val="single" w:sz="4" w:space="1" w:color="auto"/>
              </w:pBdr>
              <w:spacing w:line="240" w:lineRule="auto"/>
              <w:ind w:left="-57" w:right="-57"/>
              <w:rPr>
                <w:sz w:val="16"/>
                <w:szCs w:val="16"/>
                <w:rtl/>
              </w:rPr>
            </w:pPr>
            <w:r>
              <w:rPr>
                <w:rFonts w:hint="cs"/>
                <w:sz w:val="16"/>
                <w:szCs w:val="16"/>
                <w:rtl/>
              </w:rPr>
              <w:t>קרנות הון</w:t>
            </w:r>
          </w:p>
        </w:tc>
        <w:tc>
          <w:tcPr>
            <w:tcW w:w="767" w:type="dxa"/>
            <w:vAlign w:val="bottom"/>
          </w:tcPr>
          <w:p w14:paraId="18CE19CB" w14:textId="77777777" w:rsidR="00F32A2A" w:rsidRDefault="00F32A2A">
            <w:pPr>
              <w:pStyle w:val="-4"/>
              <w:pBdr>
                <w:bottom w:val="none" w:sz="0" w:space="0" w:color="auto"/>
              </w:pBdr>
              <w:rPr>
                <w:sz w:val="16"/>
                <w:szCs w:val="16"/>
                <w:rtl/>
              </w:rPr>
            </w:pPr>
          </w:p>
        </w:tc>
        <w:tc>
          <w:tcPr>
            <w:tcW w:w="914" w:type="dxa"/>
            <w:vAlign w:val="bottom"/>
          </w:tcPr>
          <w:p w14:paraId="35C02F94" w14:textId="77777777" w:rsidR="00F32A2A" w:rsidRDefault="00F32A2A">
            <w:pPr>
              <w:pStyle w:val="-4"/>
              <w:pBdr>
                <w:bottom w:val="none" w:sz="0" w:space="0" w:color="auto"/>
              </w:pBdr>
              <w:rPr>
                <w:sz w:val="16"/>
                <w:szCs w:val="16"/>
                <w:rtl/>
              </w:rPr>
            </w:pPr>
          </w:p>
        </w:tc>
        <w:tc>
          <w:tcPr>
            <w:tcW w:w="838" w:type="dxa"/>
            <w:vAlign w:val="bottom"/>
          </w:tcPr>
          <w:p w14:paraId="28EE0866" w14:textId="77777777" w:rsidR="00F32A2A" w:rsidRDefault="00F32A2A">
            <w:pPr>
              <w:pStyle w:val="-4"/>
              <w:pBdr>
                <w:bottom w:val="none" w:sz="0" w:space="0" w:color="auto"/>
              </w:pBdr>
              <w:rPr>
                <w:sz w:val="16"/>
                <w:szCs w:val="16"/>
                <w:rtl/>
              </w:rPr>
            </w:pPr>
          </w:p>
        </w:tc>
        <w:tc>
          <w:tcPr>
            <w:tcW w:w="900" w:type="dxa"/>
            <w:vAlign w:val="bottom"/>
          </w:tcPr>
          <w:p w14:paraId="4EC4FD68" w14:textId="77777777" w:rsidR="00F32A2A" w:rsidRDefault="00F32A2A">
            <w:pPr>
              <w:pStyle w:val="-4"/>
              <w:pBdr>
                <w:bottom w:val="none" w:sz="0" w:space="0" w:color="auto"/>
              </w:pBdr>
              <w:rPr>
                <w:sz w:val="16"/>
                <w:szCs w:val="16"/>
                <w:rtl/>
              </w:rPr>
            </w:pPr>
          </w:p>
        </w:tc>
        <w:tc>
          <w:tcPr>
            <w:tcW w:w="681" w:type="dxa"/>
            <w:vAlign w:val="bottom"/>
          </w:tcPr>
          <w:p w14:paraId="763A5C24" w14:textId="77777777" w:rsidR="00F32A2A" w:rsidRDefault="00F32A2A">
            <w:pPr>
              <w:pStyle w:val="-4"/>
              <w:pBdr>
                <w:bottom w:val="none" w:sz="0" w:space="0" w:color="auto"/>
              </w:pBdr>
              <w:rPr>
                <w:sz w:val="16"/>
                <w:szCs w:val="16"/>
                <w:rtl/>
              </w:rPr>
            </w:pPr>
          </w:p>
        </w:tc>
        <w:tc>
          <w:tcPr>
            <w:tcW w:w="1328" w:type="dxa"/>
            <w:vAlign w:val="bottom"/>
          </w:tcPr>
          <w:p w14:paraId="37EDB75B" w14:textId="77777777" w:rsidR="00F32A2A" w:rsidRDefault="00F32A2A">
            <w:pPr>
              <w:pStyle w:val="-4"/>
              <w:pBdr>
                <w:bottom w:val="none" w:sz="0" w:space="0" w:color="auto"/>
              </w:pBdr>
              <w:rPr>
                <w:sz w:val="16"/>
                <w:szCs w:val="16"/>
                <w:rtl/>
              </w:rPr>
            </w:pPr>
          </w:p>
        </w:tc>
        <w:tc>
          <w:tcPr>
            <w:tcW w:w="713" w:type="dxa"/>
            <w:vAlign w:val="bottom"/>
          </w:tcPr>
          <w:p w14:paraId="359FF5A7" w14:textId="77777777" w:rsidR="00F32A2A" w:rsidRDefault="00F32A2A">
            <w:pPr>
              <w:pStyle w:val="-4"/>
              <w:pBdr>
                <w:bottom w:val="none" w:sz="0" w:space="0" w:color="auto"/>
              </w:pBdr>
              <w:rPr>
                <w:sz w:val="16"/>
                <w:szCs w:val="16"/>
                <w:rtl/>
              </w:rPr>
            </w:pPr>
          </w:p>
        </w:tc>
        <w:tc>
          <w:tcPr>
            <w:tcW w:w="765" w:type="dxa"/>
            <w:vAlign w:val="bottom"/>
          </w:tcPr>
          <w:p w14:paraId="549FC81B" w14:textId="77777777" w:rsidR="00F32A2A" w:rsidRDefault="00F32A2A">
            <w:pPr>
              <w:pStyle w:val="-4"/>
              <w:pBdr>
                <w:bottom w:val="none" w:sz="0" w:space="0" w:color="auto"/>
              </w:pBdr>
              <w:rPr>
                <w:sz w:val="16"/>
                <w:szCs w:val="16"/>
                <w:rtl/>
              </w:rPr>
            </w:pPr>
          </w:p>
        </w:tc>
      </w:tr>
      <w:tr w:rsidR="0030599F" w:rsidRPr="00513F0D" w14:paraId="31263E4E" w14:textId="77777777" w:rsidTr="004A1ADA">
        <w:tc>
          <w:tcPr>
            <w:tcW w:w="850" w:type="dxa"/>
          </w:tcPr>
          <w:p w14:paraId="13995D03" w14:textId="77777777" w:rsidR="004E0E02" w:rsidRPr="00513F0D" w:rsidRDefault="004E0E02" w:rsidP="0084040C">
            <w:pPr>
              <w:pStyle w:val="-7"/>
              <w:bidi w:val="0"/>
              <w:ind w:right="-231"/>
              <w:jc w:val="left"/>
              <w:rPr>
                <w:b/>
                <w:bCs/>
                <w:spacing w:val="-6"/>
                <w:sz w:val="16"/>
                <w:szCs w:val="16"/>
                <w:rtl/>
              </w:rPr>
            </w:pPr>
          </w:p>
        </w:tc>
        <w:tc>
          <w:tcPr>
            <w:tcW w:w="2300" w:type="dxa"/>
            <w:vAlign w:val="bottom"/>
          </w:tcPr>
          <w:p w14:paraId="7D91FE66" w14:textId="77777777" w:rsidR="004E0E02" w:rsidRPr="00CF2A74" w:rsidRDefault="004E0E02" w:rsidP="00CF2A74">
            <w:pPr>
              <w:pStyle w:val="-0"/>
              <w:jc w:val="center"/>
              <w:rPr>
                <w:b/>
                <w:bCs/>
                <w:sz w:val="16"/>
                <w:szCs w:val="16"/>
                <w:rtl/>
              </w:rPr>
            </w:pPr>
          </w:p>
        </w:tc>
        <w:tc>
          <w:tcPr>
            <w:tcW w:w="672" w:type="dxa"/>
            <w:vAlign w:val="bottom"/>
          </w:tcPr>
          <w:p w14:paraId="64D985BD" w14:textId="77777777" w:rsidR="004E0E02" w:rsidRDefault="004E0E02">
            <w:pPr>
              <w:pStyle w:val="-4"/>
              <w:rPr>
                <w:sz w:val="16"/>
                <w:szCs w:val="16"/>
                <w:rtl/>
              </w:rPr>
            </w:pPr>
            <w:r w:rsidRPr="00CF2A74">
              <w:rPr>
                <w:rFonts w:hint="eastAsia"/>
                <w:sz w:val="16"/>
                <w:szCs w:val="16"/>
                <w:rtl/>
              </w:rPr>
              <w:t>הון</w:t>
            </w:r>
            <w:r w:rsidRPr="00CF2A74">
              <w:rPr>
                <w:sz w:val="16"/>
                <w:szCs w:val="16"/>
                <w:rtl/>
              </w:rPr>
              <w:t xml:space="preserve"> </w:t>
            </w:r>
            <w:r w:rsidRPr="00CF2A74">
              <w:rPr>
                <w:rFonts w:hint="eastAsia"/>
                <w:sz w:val="16"/>
                <w:szCs w:val="16"/>
                <w:rtl/>
              </w:rPr>
              <w:t>המניות</w:t>
            </w:r>
            <w:r w:rsidRPr="00CF2A74">
              <w:rPr>
                <w:sz w:val="16"/>
                <w:szCs w:val="16"/>
                <w:rtl/>
              </w:rPr>
              <w:t xml:space="preserve"> </w:t>
            </w:r>
            <w:r w:rsidRPr="00CF2A74">
              <w:rPr>
                <w:rFonts w:hint="eastAsia"/>
                <w:sz w:val="16"/>
                <w:szCs w:val="16"/>
                <w:rtl/>
              </w:rPr>
              <w:t>הנפרע</w:t>
            </w:r>
          </w:p>
        </w:tc>
        <w:tc>
          <w:tcPr>
            <w:tcW w:w="852" w:type="dxa"/>
            <w:vAlign w:val="bottom"/>
          </w:tcPr>
          <w:p w14:paraId="07EC9914" w14:textId="77777777" w:rsidR="004E0E02" w:rsidRDefault="004E0E02">
            <w:pPr>
              <w:pStyle w:val="-4"/>
              <w:rPr>
                <w:sz w:val="16"/>
                <w:szCs w:val="16"/>
                <w:rtl/>
              </w:rPr>
            </w:pPr>
            <w:r w:rsidRPr="00CF2A74">
              <w:rPr>
                <w:rFonts w:hint="eastAsia"/>
                <w:sz w:val="16"/>
                <w:szCs w:val="16"/>
                <w:rtl/>
              </w:rPr>
              <w:t>תקבולים</w:t>
            </w:r>
            <w:r w:rsidRPr="00CF2A74">
              <w:rPr>
                <w:sz w:val="16"/>
                <w:szCs w:val="16"/>
                <w:rtl/>
              </w:rPr>
              <w:t xml:space="preserve"> </w:t>
            </w:r>
            <w:r w:rsidRPr="00CF2A74">
              <w:rPr>
                <w:rFonts w:hint="eastAsia"/>
                <w:sz w:val="16"/>
                <w:szCs w:val="16"/>
                <w:rtl/>
              </w:rPr>
              <w:t>על</w:t>
            </w:r>
            <w:r w:rsidRPr="00CF2A74">
              <w:rPr>
                <w:sz w:val="16"/>
                <w:szCs w:val="16"/>
                <w:rtl/>
              </w:rPr>
              <w:t xml:space="preserve"> </w:t>
            </w:r>
            <w:r w:rsidRPr="00CF2A74">
              <w:rPr>
                <w:rFonts w:hint="eastAsia"/>
                <w:sz w:val="16"/>
                <w:szCs w:val="16"/>
                <w:rtl/>
              </w:rPr>
              <w:t>חשבון</w:t>
            </w:r>
            <w:r w:rsidRPr="00CF2A74">
              <w:rPr>
                <w:sz w:val="16"/>
                <w:szCs w:val="16"/>
                <w:rtl/>
              </w:rPr>
              <w:t xml:space="preserve"> </w:t>
            </w:r>
            <w:r w:rsidRPr="00CF2A74">
              <w:rPr>
                <w:rFonts w:hint="eastAsia"/>
                <w:sz w:val="16"/>
                <w:szCs w:val="16"/>
                <w:rtl/>
              </w:rPr>
              <w:t>מניות</w:t>
            </w:r>
          </w:p>
        </w:tc>
        <w:tc>
          <w:tcPr>
            <w:tcW w:w="963" w:type="dxa"/>
            <w:vAlign w:val="bottom"/>
          </w:tcPr>
          <w:p w14:paraId="1AB93995" w14:textId="77777777" w:rsidR="004E0E02" w:rsidRDefault="004E0E02">
            <w:pPr>
              <w:pStyle w:val="-4"/>
              <w:rPr>
                <w:sz w:val="16"/>
                <w:szCs w:val="16"/>
                <w:rtl/>
              </w:rPr>
            </w:pPr>
            <w:r w:rsidRPr="00CF2A74">
              <w:rPr>
                <w:rFonts w:hint="eastAsia"/>
                <w:sz w:val="16"/>
                <w:szCs w:val="16"/>
                <w:rtl/>
              </w:rPr>
              <w:t>התחייבויות</w:t>
            </w:r>
            <w:r w:rsidRPr="00CF2A74">
              <w:rPr>
                <w:sz w:val="16"/>
                <w:szCs w:val="16"/>
                <w:rtl/>
              </w:rPr>
              <w:t xml:space="preserve"> </w:t>
            </w:r>
            <w:r w:rsidRPr="00CF2A74">
              <w:rPr>
                <w:rFonts w:hint="eastAsia"/>
                <w:sz w:val="16"/>
                <w:szCs w:val="16"/>
                <w:rtl/>
              </w:rPr>
              <w:t>צמיתות</w:t>
            </w:r>
          </w:p>
        </w:tc>
        <w:tc>
          <w:tcPr>
            <w:tcW w:w="751" w:type="dxa"/>
            <w:vAlign w:val="bottom"/>
          </w:tcPr>
          <w:p w14:paraId="4EE2CE23" w14:textId="77777777" w:rsidR="004E0E02" w:rsidRDefault="004E0E02">
            <w:pPr>
              <w:pStyle w:val="-4"/>
              <w:rPr>
                <w:sz w:val="16"/>
                <w:szCs w:val="16"/>
                <w:rtl/>
              </w:rPr>
            </w:pPr>
            <w:r w:rsidRPr="00CF2A74">
              <w:rPr>
                <w:rFonts w:hint="eastAsia"/>
                <w:sz w:val="16"/>
                <w:szCs w:val="16"/>
                <w:rtl/>
              </w:rPr>
              <w:t>מפרמיה</w:t>
            </w:r>
          </w:p>
        </w:tc>
        <w:tc>
          <w:tcPr>
            <w:tcW w:w="1072" w:type="dxa"/>
            <w:vAlign w:val="bottom"/>
          </w:tcPr>
          <w:p w14:paraId="6E0AF9B7" w14:textId="77777777" w:rsidR="004E0E02" w:rsidRPr="009A7E4A" w:rsidRDefault="004E0E02">
            <w:pPr>
              <w:pStyle w:val="-4"/>
              <w:rPr>
                <w:sz w:val="16"/>
                <w:szCs w:val="16"/>
                <w:rtl/>
              </w:rPr>
            </w:pPr>
            <w:r w:rsidRPr="009A7E4A">
              <w:rPr>
                <w:rFonts w:hint="eastAsia"/>
                <w:sz w:val="16"/>
                <w:szCs w:val="16"/>
                <w:rtl/>
              </w:rPr>
              <w:t>מהטבה</w:t>
            </w:r>
            <w:r w:rsidRPr="009A7E4A">
              <w:rPr>
                <w:sz w:val="16"/>
                <w:szCs w:val="16"/>
                <w:rtl/>
              </w:rPr>
              <w:t xml:space="preserve"> </w:t>
            </w:r>
            <w:r w:rsidRPr="009A7E4A">
              <w:rPr>
                <w:rFonts w:hint="eastAsia"/>
                <w:sz w:val="16"/>
                <w:szCs w:val="16"/>
                <w:rtl/>
              </w:rPr>
              <w:t>בשל</w:t>
            </w:r>
            <w:r w:rsidRPr="009A7E4A">
              <w:rPr>
                <w:sz w:val="16"/>
                <w:szCs w:val="16"/>
                <w:rtl/>
              </w:rPr>
              <w:t xml:space="preserve"> </w:t>
            </w:r>
            <w:r w:rsidRPr="009A7E4A">
              <w:rPr>
                <w:rFonts w:hint="eastAsia"/>
                <w:sz w:val="16"/>
                <w:szCs w:val="16"/>
                <w:rtl/>
              </w:rPr>
              <w:t>עסקאות</w:t>
            </w:r>
            <w:r w:rsidRPr="009A7E4A">
              <w:rPr>
                <w:sz w:val="16"/>
                <w:szCs w:val="16"/>
                <w:rtl/>
              </w:rPr>
              <w:t xml:space="preserve"> </w:t>
            </w:r>
            <w:r w:rsidRPr="009A7E4A">
              <w:rPr>
                <w:rFonts w:hint="eastAsia"/>
                <w:sz w:val="16"/>
                <w:szCs w:val="16"/>
                <w:rtl/>
              </w:rPr>
              <w:t>תשלום</w:t>
            </w:r>
            <w:r w:rsidRPr="009A7E4A">
              <w:rPr>
                <w:sz w:val="16"/>
                <w:szCs w:val="16"/>
                <w:rtl/>
              </w:rPr>
              <w:t xml:space="preserve"> </w:t>
            </w:r>
            <w:r w:rsidRPr="009A7E4A">
              <w:rPr>
                <w:rFonts w:hint="eastAsia"/>
                <w:sz w:val="16"/>
                <w:szCs w:val="16"/>
                <w:rtl/>
              </w:rPr>
              <w:t>מבוסס</w:t>
            </w:r>
            <w:r w:rsidRPr="009A7E4A">
              <w:rPr>
                <w:sz w:val="16"/>
                <w:szCs w:val="16"/>
                <w:rtl/>
              </w:rPr>
              <w:t xml:space="preserve"> </w:t>
            </w:r>
            <w:r w:rsidRPr="009A7E4A">
              <w:rPr>
                <w:rFonts w:hint="eastAsia"/>
                <w:sz w:val="16"/>
                <w:szCs w:val="16"/>
                <w:rtl/>
              </w:rPr>
              <w:t>מניות</w:t>
            </w:r>
          </w:p>
        </w:tc>
        <w:tc>
          <w:tcPr>
            <w:tcW w:w="655" w:type="dxa"/>
            <w:vAlign w:val="bottom"/>
          </w:tcPr>
          <w:p w14:paraId="361ADBFD" w14:textId="77777777" w:rsidR="004E0E02" w:rsidRDefault="004E0E02">
            <w:pPr>
              <w:pStyle w:val="-4"/>
              <w:spacing w:line="240" w:lineRule="auto"/>
              <w:ind w:left="-57" w:right="-57"/>
              <w:rPr>
                <w:sz w:val="16"/>
                <w:szCs w:val="16"/>
                <w:rtl/>
              </w:rPr>
            </w:pPr>
            <w:r w:rsidRPr="00CF2A74">
              <w:rPr>
                <w:rFonts w:hint="eastAsia"/>
                <w:sz w:val="16"/>
                <w:szCs w:val="16"/>
                <w:rtl/>
              </w:rPr>
              <w:t>אחרות</w:t>
            </w:r>
            <w:r w:rsidRPr="00CF2A74">
              <w:rPr>
                <w:sz w:val="16"/>
                <w:szCs w:val="16"/>
                <w:rtl/>
              </w:rPr>
              <w:t xml:space="preserve"> [פרט]</w:t>
            </w:r>
          </w:p>
        </w:tc>
        <w:tc>
          <w:tcPr>
            <w:tcW w:w="767" w:type="dxa"/>
            <w:vAlign w:val="bottom"/>
          </w:tcPr>
          <w:p w14:paraId="3F765226" w14:textId="77777777" w:rsidR="004E0E02" w:rsidRPr="00CF2A74" w:rsidRDefault="004E0E02">
            <w:pPr>
              <w:pStyle w:val="-4"/>
              <w:rPr>
                <w:sz w:val="16"/>
                <w:szCs w:val="16"/>
                <w:rtl/>
              </w:rPr>
            </w:pPr>
            <w:r w:rsidRPr="00CF2A74">
              <w:rPr>
                <w:rFonts w:hint="eastAsia"/>
                <w:sz w:val="16"/>
                <w:szCs w:val="16"/>
                <w:rtl/>
              </w:rPr>
              <w:t>מניות</w:t>
            </w:r>
            <w:r w:rsidRPr="00CF2A74">
              <w:rPr>
                <w:sz w:val="16"/>
                <w:szCs w:val="16"/>
                <w:rtl/>
              </w:rPr>
              <w:t xml:space="preserve"> </w:t>
            </w:r>
            <w:r w:rsidRPr="00CF2A74">
              <w:rPr>
                <w:rFonts w:hint="eastAsia"/>
                <w:sz w:val="16"/>
                <w:szCs w:val="16"/>
                <w:rtl/>
              </w:rPr>
              <w:t>באוצר</w:t>
            </w:r>
          </w:p>
        </w:tc>
        <w:tc>
          <w:tcPr>
            <w:tcW w:w="914" w:type="dxa"/>
            <w:vAlign w:val="bottom"/>
          </w:tcPr>
          <w:p w14:paraId="393A6275" w14:textId="77777777" w:rsidR="004E0E02" w:rsidRDefault="004E0E02">
            <w:pPr>
              <w:pStyle w:val="-4"/>
              <w:rPr>
                <w:sz w:val="16"/>
                <w:szCs w:val="16"/>
                <w:rtl/>
              </w:rPr>
            </w:pPr>
            <w:r w:rsidRPr="00CF2A74">
              <w:rPr>
                <w:rFonts w:hint="eastAsia"/>
                <w:sz w:val="16"/>
                <w:szCs w:val="16"/>
                <w:rtl/>
              </w:rPr>
              <w:t>סך</w:t>
            </w:r>
            <w:r w:rsidRPr="00CF2A74">
              <w:rPr>
                <w:sz w:val="16"/>
                <w:szCs w:val="16"/>
                <w:rtl/>
              </w:rPr>
              <w:t xml:space="preserve"> </w:t>
            </w:r>
            <w:r w:rsidRPr="00CF2A74">
              <w:rPr>
                <w:rFonts w:hint="eastAsia"/>
                <w:sz w:val="16"/>
                <w:szCs w:val="16"/>
                <w:rtl/>
              </w:rPr>
              <w:t>הכל</w:t>
            </w:r>
          </w:p>
          <w:p w14:paraId="0FDFF680" w14:textId="77777777" w:rsidR="004E0E02" w:rsidRDefault="004E0E02">
            <w:pPr>
              <w:pStyle w:val="-4"/>
              <w:rPr>
                <w:sz w:val="16"/>
                <w:szCs w:val="16"/>
                <w:rtl/>
              </w:rPr>
            </w:pPr>
            <w:r w:rsidRPr="00CF2A74">
              <w:rPr>
                <w:rFonts w:hint="eastAsia"/>
                <w:sz w:val="16"/>
                <w:szCs w:val="16"/>
                <w:rtl/>
              </w:rPr>
              <w:t>הון</w:t>
            </w:r>
            <w:r w:rsidRPr="00CF2A74">
              <w:rPr>
                <w:sz w:val="16"/>
                <w:szCs w:val="16"/>
                <w:rtl/>
              </w:rPr>
              <w:t xml:space="preserve"> </w:t>
            </w:r>
            <w:r w:rsidRPr="00CF2A74">
              <w:rPr>
                <w:rFonts w:hint="eastAsia"/>
                <w:sz w:val="16"/>
                <w:szCs w:val="16"/>
                <w:rtl/>
              </w:rPr>
              <w:t>המניות</w:t>
            </w:r>
            <w:r w:rsidRPr="00CF2A74">
              <w:rPr>
                <w:sz w:val="16"/>
                <w:szCs w:val="16"/>
                <w:rtl/>
              </w:rPr>
              <w:t xml:space="preserve"> </w:t>
            </w:r>
            <w:r w:rsidRPr="00CF2A74">
              <w:rPr>
                <w:rFonts w:hint="eastAsia"/>
                <w:sz w:val="16"/>
                <w:szCs w:val="16"/>
                <w:rtl/>
              </w:rPr>
              <w:t>הנפרע</w:t>
            </w:r>
            <w:r w:rsidRPr="00CF2A74">
              <w:rPr>
                <w:sz w:val="16"/>
                <w:szCs w:val="16"/>
                <w:rtl/>
              </w:rPr>
              <w:t xml:space="preserve"> </w:t>
            </w:r>
            <w:r w:rsidRPr="00CF2A74">
              <w:rPr>
                <w:rFonts w:hint="eastAsia"/>
                <w:sz w:val="16"/>
                <w:szCs w:val="16"/>
                <w:rtl/>
              </w:rPr>
              <w:t>וקרנות</w:t>
            </w:r>
            <w:r w:rsidRPr="00CF2A74">
              <w:rPr>
                <w:sz w:val="16"/>
                <w:szCs w:val="16"/>
                <w:rtl/>
              </w:rPr>
              <w:t xml:space="preserve"> </w:t>
            </w:r>
            <w:r w:rsidRPr="00CF2A74">
              <w:rPr>
                <w:rFonts w:hint="eastAsia"/>
                <w:sz w:val="16"/>
                <w:szCs w:val="16"/>
                <w:rtl/>
              </w:rPr>
              <w:t>הון</w:t>
            </w:r>
          </w:p>
        </w:tc>
        <w:tc>
          <w:tcPr>
            <w:tcW w:w="838" w:type="dxa"/>
            <w:vAlign w:val="bottom"/>
          </w:tcPr>
          <w:p w14:paraId="1E0057BB" w14:textId="77777777" w:rsidR="004E0E02" w:rsidRDefault="004E0E02">
            <w:pPr>
              <w:pStyle w:val="-4"/>
              <w:rPr>
                <w:sz w:val="16"/>
                <w:szCs w:val="16"/>
                <w:rtl/>
              </w:rPr>
            </w:pPr>
            <w:r w:rsidRPr="00CF2A74">
              <w:rPr>
                <w:rFonts w:hint="eastAsia"/>
                <w:sz w:val="16"/>
                <w:szCs w:val="16"/>
                <w:rtl/>
              </w:rPr>
              <w:t>רווח</w:t>
            </w:r>
            <w:r w:rsidRPr="00CF2A74">
              <w:rPr>
                <w:sz w:val="16"/>
                <w:szCs w:val="16"/>
                <w:rtl/>
              </w:rPr>
              <w:t xml:space="preserve"> </w:t>
            </w:r>
            <w:r w:rsidRPr="00CF2A74">
              <w:rPr>
                <w:rFonts w:hint="eastAsia"/>
                <w:sz w:val="16"/>
                <w:szCs w:val="16"/>
                <w:rtl/>
              </w:rPr>
              <w:t>כולל</w:t>
            </w:r>
            <w:r w:rsidRPr="00CF2A74">
              <w:rPr>
                <w:sz w:val="16"/>
                <w:szCs w:val="16"/>
                <w:rtl/>
              </w:rPr>
              <w:t xml:space="preserve"> </w:t>
            </w:r>
            <w:r w:rsidRPr="00CF2A74">
              <w:rPr>
                <w:rFonts w:hint="eastAsia"/>
                <w:sz w:val="16"/>
                <w:szCs w:val="16"/>
                <w:rtl/>
              </w:rPr>
              <w:t>אחר</w:t>
            </w:r>
            <w:r w:rsidRPr="00CF2A74">
              <w:rPr>
                <w:sz w:val="16"/>
                <w:szCs w:val="16"/>
                <w:rtl/>
              </w:rPr>
              <w:t xml:space="preserve"> </w:t>
            </w:r>
            <w:r w:rsidRPr="00CF2A74">
              <w:rPr>
                <w:rFonts w:hint="eastAsia"/>
                <w:sz w:val="16"/>
                <w:szCs w:val="16"/>
                <w:rtl/>
              </w:rPr>
              <w:t>מצטבר</w:t>
            </w:r>
          </w:p>
        </w:tc>
        <w:tc>
          <w:tcPr>
            <w:tcW w:w="900" w:type="dxa"/>
            <w:vAlign w:val="bottom"/>
          </w:tcPr>
          <w:p w14:paraId="0E326280" w14:textId="77777777" w:rsidR="004E0E02" w:rsidRPr="00513F0D" w:rsidRDefault="004E0E02" w:rsidP="0084040C">
            <w:pPr>
              <w:pStyle w:val="-4"/>
              <w:rPr>
                <w:sz w:val="16"/>
                <w:szCs w:val="16"/>
                <w:rtl/>
              </w:rPr>
            </w:pPr>
            <w:r w:rsidRPr="00CF2A74">
              <w:rPr>
                <w:rFonts w:hint="eastAsia"/>
                <w:sz w:val="16"/>
                <w:szCs w:val="16"/>
                <w:rtl/>
              </w:rPr>
              <w:t>עודפים</w:t>
            </w:r>
            <w:r w:rsidRPr="00CF2A74">
              <w:rPr>
                <w:sz w:val="16"/>
                <w:szCs w:val="16"/>
                <w:rtl/>
              </w:rPr>
              <w:t xml:space="preserve"> (גירעונות) שנצברו</w:t>
            </w:r>
          </w:p>
        </w:tc>
        <w:tc>
          <w:tcPr>
            <w:tcW w:w="681" w:type="dxa"/>
            <w:vAlign w:val="bottom"/>
          </w:tcPr>
          <w:p w14:paraId="3DF97981" w14:textId="77777777" w:rsidR="004E0E02" w:rsidRPr="00513F0D" w:rsidRDefault="004E0E02" w:rsidP="0084040C">
            <w:pPr>
              <w:pStyle w:val="-4"/>
              <w:rPr>
                <w:sz w:val="16"/>
                <w:szCs w:val="16"/>
                <w:rtl/>
              </w:rPr>
            </w:pPr>
            <w:r w:rsidRPr="00CF2A74">
              <w:rPr>
                <w:rFonts w:hint="eastAsia"/>
                <w:sz w:val="16"/>
                <w:szCs w:val="16"/>
                <w:rtl/>
              </w:rPr>
              <w:t>סעיפים</w:t>
            </w:r>
            <w:r w:rsidRPr="00CF2A74">
              <w:rPr>
                <w:sz w:val="16"/>
                <w:szCs w:val="16"/>
                <w:rtl/>
              </w:rPr>
              <w:t xml:space="preserve"> </w:t>
            </w:r>
            <w:r w:rsidRPr="00CF2A74">
              <w:rPr>
                <w:rFonts w:hint="eastAsia"/>
                <w:sz w:val="16"/>
                <w:szCs w:val="16"/>
                <w:rtl/>
              </w:rPr>
              <w:t>הוניים</w:t>
            </w:r>
            <w:r w:rsidRPr="00CF2A74">
              <w:rPr>
                <w:sz w:val="16"/>
                <w:szCs w:val="16"/>
                <w:rtl/>
              </w:rPr>
              <w:t xml:space="preserve"> אחרים</w:t>
            </w:r>
          </w:p>
        </w:tc>
        <w:tc>
          <w:tcPr>
            <w:tcW w:w="1328" w:type="dxa"/>
            <w:vAlign w:val="bottom"/>
          </w:tcPr>
          <w:p w14:paraId="26B71BC3" w14:textId="77777777" w:rsidR="004E0E02" w:rsidRDefault="004E0E02">
            <w:pPr>
              <w:pStyle w:val="-4"/>
              <w:rPr>
                <w:sz w:val="16"/>
                <w:szCs w:val="16"/>
                <w:rtl/>
              </w:rPr>
            </w:pPr>
            <w:r w:rsidRPr="00CF2A74">
              <w:rPr>
                <w:rFonts w:hint="eastAsia"/>
                <w:sz w:val="16"/>
                <w:szCs w:val="16"/>
                <w:rtl/>
              </w:rPr>
              <w:t>סך</w:t>
            </w:r>
            <w:r w:rsidRPr="00CF2A74">
              <w:rPr>
                <w:sz w:val="16"/>
                <w:szCs w:val="16"/>
                <w:rtl/>
              </w:rPr>
              <w:t xml:space="preserve"> </w:t>
            </w:r>
            <w:r>
              <w:rPr>
                <w:rFonts w:hint="cs"/>
                <w:sz w:val="16"/>
                <w:szCs w:val="16"/>
                <w:rtl/>
              </w:rPr>
              <w:t>ה</w:t>
            </w:r>
            <w:r w:rsidRPr="00CF2A74">
              <w:rPr>
                <w:rFonts w:hint="eastAsia"/>
                <w:sz w:val="16"/>
                <w:szCs w:val="16"/>
                <w:rtl/>
              </w:rPr>
              <w:t>כל</w:t>
            </w:r>
            <w:r w:rsidRPr="00CF2A74">
              <w:rPr>
                <w:sz w:val="16"/>
                <w:szCs w:val="16"/>
                <w:rtl/>
              </w:rPr>
              <w:t xml:space="preserve"> </w:t>
            </w:r>
            <w:r w:rsidRPr="00CF2A74">
              <w:rPr>
                <w:rFonts w:hint="eastAsia"/>
                <w:sz w:val="16"/>
                <w:szCs w:val="16"/>
                <w:rtl/>
              </w:rPr>
              <w:t>הון</w:t>
            </w:r>
            <w:r w:rsidRPr="00CF2A74">
              <w:rPr>
                <w:sz w:val="16"/>
                <w:szCs w:val="16"/>
                <w:rtl/>
              </w:rPr>
              <w:t xml:space="preserve"> </w:t>
            </w:r>
            <w:r w:rsidRPr="00CF2A74">
              <w:rPr>
                <w:rFonts w:hint="eastAsia"/>
                <w:sz w:val="16"/>
                <w:szCs w:val="16"/>
                <w:rtl/>
              </w:rPr>
              <w:t>המיוחס</w:t>
            </w:r>
            <w:r w:rsidRPr="00CF2A74">
              <w:rPr>
                <w:sz w:val="16"/>
                <w:szCs w:val="16"/>
                <w:rtl/>
              </w:rPr>
              <w:t xml:space="preserve"> </w:t>
            </w:r>
            <w:r w:rsidRPr="00CF2A74">
              <w:rPr>
                <w:rFonts w:hint="eastAsia"/>
                <w:sz w:val="16"/>
                <w:szCs w:val="16"/>
                <w:rtl/>
              </w:rPr>
              <w:t>לבעלי</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התאגיד</w:t>
            </w:r>
            <w:r w:rsidRPr="00CF2A74">
              <w:rPr>
                <w:sz w:val="16"/>
                <w:szCs w:val="16"/>
                <w:rtl/>
              </w:rPr>
              <w:t xml:space="preserve"> </w:t>
            </w:r>
            <w:r w:rsidRPr="00CF2A74">
              <w:rPr>
                <w:rFonts w:hint="eastAsia"/>
                <w:sz w:val="16"/>
                <w:szCs w:val="16"/>
                <w:rtl/>
              </w:rPr>
              <w:t>הבנקאי</w:t>
            </w:r>
          </w:p>
        </w:tc>
        <w:tc>
          <w:tcPr>
            <w:tcW w:w="713" w:type="dxa"/>
            <w:vAlign w:val="bottom"/>
          </w:tcPr>
          <w:p w14:paraId="59B0CFC5" w14:textId="77777777" w:rsidR="004E0E02" w:rsidRPr="00513F0D" w:rsidRDefault="004E0E02" w:rsidP="0084040C">
            <w:pPr>
              <w:pStyle w:val="-4"/>
              <w:rPr>
                <w:sz w:val="16"/>
                <w:szCs w:val="16"/>
                <w:rtl/>
              </w:rPr>
            </w:pPr>
            <w:r w:rsidRPr="00CF2A74">
              <w:rPr>
                <w:rFonts w:hint="eastAsia"/>
                <w:sz w:val="16"/>
                <w:szCs w:val="16"/>
                <w:rtl/>
              </w:rPr>
              <w:t>זכויות</w:t>
            </w:r>
          </w:p>
          <w:p w14:paraId="6F1FA0CA" w14:textId="77777777" w:rsidR="004E0E02" w:rsidRPr="00513F0D" w:rsidRDefault="004E0E02" w:rsidP="0084040C">
            <w:pPr>
              <w:pStyle w:val="-4"/>
              <w:rPr>
                <w:sz w:val="16"/>
                <w:szCs w:val="16"/>
                <w:rtl/>
              </w:rPr>
            </w:pPr>
            <w:r w:rsidRPr="00CF2A74">
              <w:rPr>
                <w:rFonts w:hint="eastAsia"/>
                <w:sz w:val="16"/>
                <w:szCs w:val="16"/>
                <w:rtl/>
              </w:rPr>
              <w:t>שאינן</w:t>
            </w:r>
            <w:r w:rsidRPr="00CF2A74">
              <w:rPr>
                <w:sz w:val="16"/>
                <w:szCs w:val="16"/>
                <w:rtl/>
              </w:rPr>
              <w:t xml:space="preserve"> </w:t>
            </w:r>
            <w:r w:rsidRPr="00CF2A74">
              <w:rPr>
                <w:rFonts w:hint="eastAsia"/>
                <w:sz w:val="16"/>
                <w:szCs w:val="16"/>
                <w:rtl/>
              </w:rPr>
              <w:t>מקנות</w:t>
            </w:r>
            <w:r w:rsidRPr="00CF2A74">
              <w:rPr>
                <w:sz w:val="16"/>
                <w:szCs w:val="16"/>
                <w:rtl/>
              </w:rPr>
              <w:t xml:space="preserve"> </w:t>
            </w:r>
            <w:r w:rsidRPr="00CF2A74">
              <w:rPr>
                <w:rFonts w:hint="eastAsia"/>
                <w:sz w:val="16"/>
                <w:szCs w:val="16"/>
                <w:rtl/>
              </w:rPr>
              <w:t>שליטה</w:t>
            </w:r>
          </w:p>
        </w:tc>
        <w:tc>
          <w:tcPr>
            <w:tcW w:w="765" w:type="dxa"/>
            <w:vAlign w:val="bottom"/>
          </w:tcPr>
          <w:p w14:paraId="2B6858A0" w14:textId="77777777" w:rsidR="004E0E02" w:rsidRPr="00513F0D" w:rsidRDefault="004E0E02" w:rsidP="0084040C">
            <w:pPr>
              <w:pStyle w:val="-4"/>
              <w:rPr>
                <w:sz w:val="16"/>
                <w:szCs w:val="16"/>
                <w:rtl/>
              </w:rPr>
            </w:pPr>
            <w:r w:rsidRPr="00CF2A74">
              <w:rPr>
                <w:rFonts w:hint="eastAsia"/>
                <w:sz w:val="16"/>
                <w:szCs w:val="16"/>
                <w:rtl/>
              </w:rPr>
              <w:t>סך</w:t>
            </w:r>
            <w:r w:rsidRPr="00CF2A74">
              <w:rPr>
                <w:sz w:val="16"/>
                <w:szCs w:val="16"/>
                <w:rtl/>
              </w:rPr>
              <w:t xml:space="preserve"> </w:t>
            </w:r>
            <w:r w:rsidRPr="00CF2A74">
              <w:rPr>
                <w:rFonts w:hint="eastAsia"/>
                <w:sz w:val="16"/>
                <w:szCs w:val="16"/>
                <w:rtl/>
              </w:rPr>
              <w:t>הכל</w:t>
            </w:r>
          </w:p>
          <w:p w14:paraId="5D1CB3B0" w14:textId="77777777" w:rsidR="004E0E02" w:rsidRPr="00513F0D" w:rsidRDefault="004E0E02" w:rsidP="0084040C">
            <w:pPr>
              <w:pStyle w:val="-4"/>
              <w:rPr>
                <w:sz w:val="16"/>
                <w:szCs w:val="16"/>
                <w:rtl/>
              </w:rPr>
            </w:pPr>
            <w:r w:rsidRPr="00CF2A74">
              <w:rPr>
                <w:rFonts w:hint="eastAsia"/>
                <w:sz w:val="16"/>
                <w:szCs w:val="16"/>
                <w:rtl/>
              </w:rPr>
              <w:t>הון</w:t>
            </w:r>
          </w:p>
        </w:tc>
      </w:tr>
      <w:tr w:rsidR="0030599F" w:rsidRPr="00513F0D" w14:paraId="06F5E90A" w14:textId="77777777" w:rsidTr="004A1ADA">
        <w:tc>
          <w:tcPr>
            <w:tcW w:w="850" w:type="dxa"/>
          </w:tcPr>
          <w:p w14:paraId="2331083C"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2B15ADBB" w14:textId="77777777" w:rsidR="004E0E02" w:rsidRPr="00513F0D" w:rsidRDefault="004E0E02" w:rsidP="0084040C">
            <w:pPr>
              <w:pStyle w:val="-f"/>
              <w:rPr>
                <w:sz w:val="16"/>
                <w:szCs w:val="16"/>
                <w:rtl/>
              </w:rPr>
            </w:pPr>
          </w:p>
        </w:tc>
        <w:tc>
          <w:tcPr>
            <w:tcW w:w="672" w:type="dxa"/>
            <w:vAlign w:val="bottom"/>
          </w:tcPr>
          <w:p w14:paraId="79B6A0CB" w14:textId="77777777" w:rsidR="004E0E02" w:rsidRPr="00513F0D" w:rsidRDefault="004E0E02" w:rsidP="0084040C">
            <w:pPr>
              <w:jc w:val="center"/>
              <w:rPr>
                <w:sz w:val="16"/>
                <w:szCs w:val="16"/>
                <w:rtl/>
              </w:rPr>
            </w:pPr>
          </w:p>
        </w:tc>
        <w:tc>
          <w:tcPr>
            <w:tcW w:w="852" w:type="dxa"/>
            <w:vAlign w:val="bottom"/>
          </w:tcPr>
          <w:p w14:paraId="6E437EFC" w14:textId="77777777" w:rsidR="004E0E02" w:rsidRPr="00513F0D" w:rsidRDefault="004E0E02" w:rsidP="0084040C">
            <w:pPr>
              <w:jc w:val="center"/>
              <w:rPr>
                <w:sz w:val="16"/>
                <w:szCs w:val="16"/>
                <w:rtl/>
              </w:rPr>
            </w:pPr>
          </w:p>
        </w:tc>
        <w:tc>
          <w:tcPr>
            <w:tcW w:w="963" w:type="dxa"/>
          </w:tcPr>
          <w:p w14:paraId="2E6B7179" w14:textId="77777777" w:rsidR="004E0E02" w:rsidRPr="00513F0D" w:rsidRDefault="004E0E02" w:rsidP="0084040C">
            <w:pPr>
              <w:jc w:val="center"/>
              <w:rPr>
                <w:sz w:val="16"/>
                <w:szCs w:val="16"/>
                <w:rtl/>
              </w:rPr>
            </w:pPr>
          </w:p>
        </w:tc>
        <w:tc>
          <w:tcPr>
            <w:tcW w:w="751" w:type="dxa"/>
            <w:vAlign w:val="bottom"/>
          </w:tcPr>
          <w:p w14:paraId="6AED0665" w14:textId="77777777" w:rsidR="004E0E02" w:rsidRPr="00513F0D" w:rsidRDefault="004E0E02" w:rsidP="0084040C">
            <w:pPr>
              <w:jc w:val="center"/>
              <w:rPr>
                <w:sz w:val="16"/>
                <w:szCs w:val="16"/>
                <w:rtl/>
              </w:rPr>
            </w:pPr>
          </w:p>
        </w:tc>
        <w:tc>
          <w:tcPr>
            <w:tcW w:w="1072" w:type="dxa"/>
          </w:tcPr>
          <w:p w14:paraId="221B4FEC" w14:textId="77777777" w:rsidR="004E0E02" w:rsidRPr="009A7E4A" w:rsidRDefault="004E0E02" w:rsidP="0084040C">
            <w:pPr>
              <w:jc w:val="center"/>
              <w:rPr>
                <w:sz w:val="16"/>
                <w:szCs w:val="16"/>
                <w:rtl/>
              </w:rPr>
            </w:pPr>
          </w:p>
        </w:tc>
        <w:tc>
          <w:tcPr>
            <w:tcW w:w="655" w:type="dxa"/>
          </w:tcPr>
          <w:p w14:paraId="0CD5D4B3" w14:textId="77777777" w:rsidR="004E0E02" w:rsidRPr="00513F0D" w:rsidRDefault="004E0E02" w:rsidP="0084040C">
            <w:pPr>
              <w:jc w:val="center"/>
              <w:rPr>
                <w:sz w:val="16"/>
                <w:szCs w:val="16"/>
                <w:rtl/>
              </w:rPr>
            </w:pPr>
          </w:p>
        </w:tc>
        <w:tc>
          <w:tcPr>
            <w:tcW w:w="767" w:type="dxa"/>
            <w:vAlign w:val="bottom"/>
          </w:tcPr>
          <w:p w14:paraId="024D80D7" w14:textId="77777777" w:rsidR="004E0E02" w:rsidRPr="00513F0D" w:rsidRDefault="004E0E02" w:rsidP="0084040C">
            <w:pPr>
              <w:jc w:val="center"/>
              <w:rPr>
                <w:sz w:val="16"/>
                <w:szCs w:val="16"/>
                <w:rtl/>
              </w:rPr>
            </w:pPr>
          </w:p>
        </w:tc>
        <w:tc>
          <w:tcPr>
            <w:tcW w:w="914" w:type="dxa"/>
          </w:tcPr>
          <w:p w14:paraId="72547937" w14:textId="77777777" w:rsidR="004E0E02" w:rsidRPr="00513F0D" w:rsidRDefault="004E0E02" w:rsidP="0084040C">
            <w:pPr>
              <w:jc w:val="center"/>
              <w:rPr>
                <w:sz w:val="16"/>
                <w:szCs w:val="16"/>
                <w:rtl/>
              </w:rPr>
            </w:pPr>
          </w:p>
        </w:tc>
        <w:tc>
          <w:tcPr>
            <w:tcW w:w="838" w:type="dxa"/>
          </w:tcPr>
          <w:p w14:paraId="2DBB2D44" w14:textId="77777777" w:rsidR="004E0E02" w:rsidRPr="00513F0D" w:rsidRDefault="004E0E02" w:rsidP="0084040C">
            <w:pPr>
              <w:jc w:val="center"/>
              <w:rPr>
                <w:sz w:val="16"/>
                <w:szCs w:val="16"/>
                <w:rtl/>
              </w:rPr>
            </w:pPr>
          </w:p>
        </w:tc>
        <w:tc>
          <w:tcPr>
            <w:tcW w:w="900" w:type="dxa"/>
          </w:tcPr>
          <w:p w14:paraId="00C4650B" w14:textId="77777777" w:rsidR="004E0E02" w:rsidRPr="00513F0D" w:rsidRDefault="004E0E02" w:rsidP="0084040C">
            <w:pPr>
              <w:jc w:val="center"/>
              <w:rPr>
                <w:sz w:val="16"/>
                <w:szCs w:val="16"/>
                <w:rtl/>
              </w:rPr>
            </w:pPr>
          </w:p>
        </w:tc>
        <w:tc>
          <w:tcPr>
            <w:tcW w:w="681" w:type="dxa"/>
          </w:tcPr>
          <w:p w14:paraId="09651A96" w14:textId="77777777" w:rsidR="004E0E02" w:rsidRPr="00513F0D" w:rsidRDefault="004E0E02" w:rsidP="0084040C">
            <w:pPr>
              <w:jc w:val="center"/>
              <w:rPr>
                <w:sz w:val="16"/>
                <w:szCs w:val="16"/>
                <w:rtl/>
              </w:rPr>
            </w:pPr>
          </w:p>
        </w:tc>
        <w:tc>
          <w:tcPr>
            <w:tcW w:w="1328" w:type="dxa"/>
          </w:tcPr>
          <w:p w14:paraId="06B999D4" w14:textId="77777777" w:rsidR="004E0E02" w:rsidRPr="00513F0D" w:rsidRDefault="004E0E02" w:rsidP="0084040C">
            <w:pPr>
              <w:jc w:val="center"/>
              <w:rPr>
                <w:sz w:val="16"/>
                <w:szCs w:val="16"/>
                <w:rtl/>
              </w:rPr>
            </w:pPr>
          </w:p>
        </w:tc>
        <w:tc>
          <w:tcPr>
            <w:tcW w:w="713" w:type="dxa"/>
          </w:tcPr>
          <w:p w14:paraId="194F14E0" w14:textId="77777777" w:rsidR="004E0E02" w:rsidRPr="00513F0D" w:rsidRDefault="004E0E02" w:rsidP="0084040C">
            <w:pPr>
              <w:jc w:val="center"/>
              <w:rPr>
                <w:sz w:val="16"/>
                <w:szCs w:val="16"/>
                <w:rtl/>
              </w:rPr>
            </w:pPr>
          </w:p>
        </w:tc>
        <w:tc>
          <w:tcPr>
            <w:tcW w:w="765" w:type="dxa"/>
          </w:tcPr>
          <w:p w14:paraId="09E08FB6" w14:textId="77777777" w:rsidR="004E0E02" w:rsidRPr="00513F0D" w:rsidRDefault="004E0E02" w:rsidP="0084040C">
            <w:pPr>
              <w:jc w:val="center"/>
              <w:rPr>
                <w:sz w:val="16"/>
                <w:szCs w:val="16"/>
                <w:rtl/>
              </w:rPr>
            </w:pPr>
          </w:p>
        </w:tc>
      </w:tr>
      <w:tr w:rsidR="0030599F" w:rsidRPr="00513F0D" w14:paraId="46072D83" w14:textId="77777777" w:rsidTr="004A1ADA">
        <w:tc>
          <w:tcPr>
            <w:tcW w:w="850" w:type="dxa"/>
          </w:tcPr>
          <w:p w14:paraId="22F9CB09" w14:textId="77777777" w:rsidR="004E0E02" w:rsidRDefault="004E0E02">
            <w:pPr>
              <w:pStyle w:val="-7"/>
              <w:bidi w:val="0"/>
              <w:ind w:right="-231"/>
              <w:jc w:val="left"/>
              <w:rPr>
                <w:spacing w:val="-6"/>
                <w:sz w:val="16"/>
                <w:szCs w:val="16"/>
                <w:rtl/>
              </w:rPr>
            </w:pPr>
          </w:p>
        </w:tc>
        <w:tc>
          <w:tcPr>
            <w:tcW w:w="2300" w:type="dxa"/>
          </w:tcPr>
          <w:p w14:paraId="63EEE269" w14:textId="51766616" w:rsidR="004E0E02" w:rsidRDefault="004E0E02" w:rsidP="00CC5F7B">
            <w:pPr>
              <w:pStyle w:val="-0"/>
              <w:rPr>
                <w:b/>
                <w:bCs/>
                <w:sz w:val="16"/>
                <w:szCs w:val="16"/>
                <w:rtl/>
              </w:rPr>
            </w:pPr>
            <w:r w:rsidRPr="00CF2A74">
              <w:rPr>
                <w:rFonts w:hint="eastAsia"/>
                <w:b/>
                <w:bCs/>
                <w:sz w:val="16"/>
                <w:szCs w:val="16"/>
                <w:rtl/>
              </w:rPr>
              <w:t>יתרה</w:t>
            </w:r>
            <w:r w:rsidRPr="00CF2A74">
              <w:rPr>
                <w:b/>
                <w:bCs/>
                <w:sz w:val="16"/>
                <w:szCs w:val="16"/>
                <w:rtl/>
              </w:rPr>
              <w:t xml:space="preserve"> ליום 31 </w:t>
            </w:r>
            <w:r>
              <w:rPr>
                <w:rFonts w:hint="cs"/>
                <w:b/>
                <w:bCs/>
                <w:sz w:val="16"/>
                <w:szCs w:val="16"/>
                <w:rtl/>
              </w:rPr>
              <w:t xml:space="preserve">בדצמבר </w:t>
            </w:r>
            <w:r w:rsidR="00CC5F7B" w:rsidRPr="00C803FD">
              <w:rPr>
                <w:b/>
                <w:bCs/>
                <w:sz w:val="16"/>
                <w:szCs w:val="16"/>
                <w:rtl/>
              </w:rPr>
              <w:fldChar w:fldCharType="begin"/>
            </w:r>
            <w:r w:rsidR="00CC5F7B" w:rsidRPr="00C803FD">
              <w:rPr>
                <w:b/>
                <w:bCs/>
                <w:sz w:val="16"/>
                <w:szCs w:val="16"/>
                <w:rtl/>
              </w:rPr>
              <w:instrText xml:space="preserve"> </w:instrText>
            </w:r>
            <w:r w:rsidR="00CC5F7B" w:rsidRPr="00C803FD">
              <w:rPr>
                <w:rFonts w:hint="cs"/>
                <w:b/>
                <w:bCs/>
                <w:sz w:val="16"/>
                <w:szCs w:val="16"/>
                <w:rtl/>
              </w:rPr>
              <w:instrText xml:space="preserve">= </w:instrText>
            </w:r>
            <w:r w:rsidR="00CC5F7B" w:rsidRPr="00C803FD">
              <w:rPr>
                <w:rFonts w:hint="cs"/>
                <w:b/>
                <w:bCs/>
                <w:sz w:val="16"/>
                <w:szCs w:val="16"/>
              </w:rPr>
              <w:instrText>CY</w:instrText>
            </w:r>
            <w:r w:rsidR="00CC5F7B" w:rsidRPr="00C803FD">
              <w:rPr>
                <w:b/>
                <w:bCs/>
                <w:sz w:val="16"/>
                <w:szCs w:val="16"/>
              </w:rPr>
              <w:instrText>-2</w:instrText>
            </w:r>
            <w:r w:rsidR="00CC5F7B" w:rsidRPr="00C803FD">
              <w:rPr>
                <w:rFonts w:hint="cs"/>
                <w:b/>
                <w:bCs/>
                <w:sz w:val="16"/>
                <w:szCs w:val="16"/>
              </w:rPr>
              <w:instrText xml:space="preserve"> \* MERGEFORMAT</w:instrText>
            </w:r>
            <w:r w:rsidR="00CC5F7B" w:rsidRPr="00C803FD">
              <w:rPr>
                <w:b/>
                <w:bCs/>
                <w:sz w:val="16"/>
                <w:szCs w:val="16"/>
                <w:rtl/>
              </w:rPr>
              <w:instrText xml:space="preserve"> </w:instrText>
            </w:r>
            <w:r w:rsidR="00CC5F7B" w:rsidRPr="00C803FD">
              <w:rPr>
                <w:b/>
                <w:bCs/>
                <w:sz w:val="16"/>
                <w:szCs w:val="16"/>
                <w:rtl/>
              </w:rPr>
              <w:fldChar w:fldCharType="separate"/>
            </w:r>
            <w:r w:rsidR="003A584F">
              <w:rPr>
                <w:b/>
                <w:bCs/>
                <w:noProof/>
                <w:sz w:val="16"/>
                <w:szCs w:val="16"/>
                <w:rtl/>
              </w:rPr>
              <w:t>2022</w:t>
            </w:r>
            <w:r w:rsidR="00CC5F7B" w:rsidRPr="00C803FD">
              <w:rPr>
                <w:b/>
                <w:bCs/>
                <w:sz w:val="16"/>
                <w:szCs w:val="16"/>
                <w:rtl/>
              </w:rPr>
              <w:fldChar w:fldCharType="end"/>
            </w:r>
          </w:p>
        </w:tc>
        <w:tc>
          <w:tcPr>
            <w:tcW w:w="672" w:type="dxa"/>
            <w:vAlign w:val="bottom"/>
          </w:tcPr>
          <w:p w14:paraId="5E70B8F0" w14:textId="77777777" w:rsidR="00F32A2A" w:rsidRDefault="004E0E02">
            <w:pPr>
              <w:pStyle w:val="-3"/>
              <w:jc w:val="left"/>
              <w:rPr>
                <w:b/>
                <w:bCs/>
                <w:sz w:val="16"/>
                <w:szCs w:val="16"/>
                <w:rtl/>
              </w:rPr>
            </w:pPr>
            <w:r w:rsidRPr="00CF2A74">
              <w:rPr>
                <w:b/>
                <w:bCs/>
                <w:sz w:val="16"/>
                <w:szCs w:val="16"/>
                <w:rtl/>
              </w:rPr>
              <w:t>0</w:t>
            </w:r>
          </w:p>
        </w:tc>
        <w:tc>
          <w:tcPr>
            <w:tcW w:w="852" w:type="dxa"/>
            <w:vAlign w:val="bottom"/>
          </w:tcPr>
          <w:p w14:paraId="2573A8CE" w14:textId="77777777" w:rsidR="00F32A2A" w:rsidRDefault="004E0E02">
            <w:pPr>
              <w:pStyle w:val="-3"/>
              <w:jc w:val="left"/>
              <w:rPr>
                <w:b/>
                <w:bCs/>
                <w:sz w:val="16"/>
                <w:szCs w:val="16"/>
                <w:rtl/>
              </w:rPr>
            </w:pPr>
            <w:r w:rsidRPr="00CF2A74">
              <w:rPr>
                <w:b/>
                <w:bCs/>
                <w:sz w:val="16"/>
                <w:szCs w:val="16"/>
                <w:rtl/>
              </w:rPr>
              <w:t>0</w:t>
            </w:r>
          </w:p>
        </w:tc>
        <w:tc>
          <w:tcPr>
            <w:tcW w:w="963" w:type="dxa"/>
            <w:vAlign w:val="bottom"/>
          </w:tcPr>
          <w:p w14:paraId="611FA39A" w14:textId="77777777" w:rsidR="00F32A2A" w:rsidRDefault="004E0E02">
            <w:pPr>
              <w:pStyle w:val="-3"/>
              <w:rPr>
                <w:b/>
                <w:bCs/>
                <w:sz w:val="16"/>
                <w:szCs w:val="16"/>
                <w:rtl/>
              </w:rPr>
            </w:pPr>
            <w:r w:rsidRPr="00CF2A74">
              <w:rPr>
                <w:b/>
                <w:bCs/>
                <w:sz w:val="16"/>
                <w:szCs w:val="16"/>
                <w:rtl/>
              </w:rPr>
              <w:t>0</w:t>
            </w:r>
          </w:p>
        </w:tc>
        <w:tc>
          <w:tcPr>
            <w:tcW w:w="751" w:type="dxa"/>
            <w:vAlign w:val="bottom"/>
          </w:tcPr>
          <w:p w14:paraId="15D430B3" w14:textId="77777777" w:rsidR="00F32A2A" w:rsidRDefault="004E0E02">
            <w:pPr>
              <w:pStyle w:val="-3"/>
              <w:rPr>
                <w:b/>
                <w:bCs/>
                <w:sz w:val="16"/>
                <w:szCs w:val="16"/>
                <w:rtl/>
              </w:rPr>
            </w:pPr>
            <w:r w:rsidRPr="00CF2A74">
              <w:rPr>
                <w:b/>
                <w:bCs/>
                <w:sz w:val="16"/>
                <w:szCs w:val="16"/>
                <w:rtl/>
              </w:rPr>
              <w:t>0</w:t>
            </w:r>
          </w:p>
        </w:tc>
        <w:tc>
          <w:tcPr>
            <w:tcW w:w="1072" w:type="dxa"/>
            <w:vAlign w:val="bottom"/>
          </w:tcPr>
          <w:p w14:paraId="085D1022" w14:textId="77777777" w:rsidR="00F32A2A" w:rsidRPr="009A7E4A" w:rsidRDefault="004E0E02">
            <w:pPr>
              <w:pStyle w:val="-3"/>
              <w:rPr>
                <w:b/>
                <w:bCs/>
                <w:sz w:val="16"/>
                <w:szCs w:val="16"/>
                <w:rtl/>
              </w:rPr>
            </w:pPr>
            <w:r w:rsidRPr="009A7E4A">
              <w:rPr>
                <w:b/>
                <w:bCs/>
                <w:sz w:val="16"/>
                <w:szCs w:val="16"/>
                <w:rtl/>
              </w:rPr>
              <w:t>0</w:t>
            </w:r>
          </w:p>
        </w:tc>
        <w:tc>
          <w:tcPr>
            <w:tcW w:w="655" w:type="dxa"/>
            <w:vAlign w:val="bottom"/>
          </w:tcPr>
          <w:p w14:paraId="7540984E" w14:textId="77777777" w:rsidR="00F32A2A" w:rsidRDefault="004E0E02">
            <w:pPr>
              <w:pStyle w:val="-3"/>
              <w:jc w:val="left"/>
              <w:rPr>
                <w:b/>
                <w:bCs/>
                <w:sz w:val="16"/>
                <w:szCs w:val="16"/>
                <w:rtl/>
              </w:rPr>
            </w:pPr>
            <w:r w:rsidRPr="00CF2A74">
              <w:rPr>
                <w:b/>
                <w:bCs/>
                <w:sz w:val="16"/>
                <w:szCs w:val="16"/>
                <w:rtl/>
              </w:rPr>
              <w:t xml:space="preserve"> 0</w:t>
            </w:r>
          </w:p>
        </w:tc>
        <w:tc>
          <w:tcPr>
            <w:tcW w:w="767" w:type="dxa"/>
            <w:vAlign w:val="bottom"/>
          </w:tcPr>
          <w:p w14:paraId="4A1FCBC4" w14:textId="77777777" w:rsidR="004E0E02" w:rsidRPr="00CF2A74" w:rsidRDefault="004E0E02">
            <w:pPr>
              <w:pStyle w:val="-3"/>
              <w:jc w:val="left"/>
              <w:rPr>
                <w:b/>
                <w:bCs/>
                <w:sz w:val="16"/>
                <w:szCs w:val="16"/>
                <w:rtl/>
              </w:rPr>
            </w:pPr>
            <w:r w:rsidRPr="00CF2A74">
              <w:rPr>
                <w:b/>
                <w:bCs/>
                <w:sz w:val="16"/>
                <w:szCs w:val="16"/>
                <w:rtl/>
              </w:rPr>
              <w:t>0</w:t>
            </w:r>
          </w:p>
        </w:tc>
        <w:tc>
          <w:tcPr>
            <w:tcW w:w="914" w:type="dxa"/>
            <w:vAlign w:val="bottom"/>
          </w:tcPr>
          <w:p w14:paraId="40D8F98A" w14:textId="77777777" w:rsidR="00F32A2A" w:rsidRDefault="004E0E02">
            <w:pPr>
              <w:pStyle w:val="-3"/>
              <w:jc w:val="left"/>
              <w:rPr>
                <w:b/>
                <w:bCs/>
                <w:sz w:val="16"/>
                <w:szCs w:val="16"/>
                <w:rtl/>
              </w:rPr>
            </w:pPr>
            <w:r w:rsidRPr="00CF2A74">
              <w:rPr>
                <w:b/>
                <w:bCs/>
                <w:sz w:val="16"/>
                <w:szCs w:val="16"/>
                <w:rtl/>
              </w:rPr>
              <w:t xml:space="preserve"> 0</w:t>
            </w:r>
          </w:p>
        </w:tc>
        <w:tc>
          <w:tcPr>
            <w:tcW w:w="838" w:type="dxa"/>
            <w:vAlign w:val="bottom"/>
          </w:tcPr>
          <w:p w14:paraId="5EEA0D14" w14:textId="77777777" w:rsidR="00F32A2A" w:rsidRDefault="004E0E02">
            <w:pPr>
              <w:pStyle w:val="-3"/>
              <w:jc w:val="left"/>
              <w:rPr>
                <w:b/>
                <w:bCs/>
                <w:sz w:val="16"/>
                <w:szCs w:val="16"/>
                <w:rtl/>
              </w:rPr>
            </w:pPr>
            <w:r w:rsidRPr="00CF2A74">
              <w:rPr>
                <w:b/>
                <w:bCs/>
                <w:sz w:val="16"/>
                <w:szCs w:val="16"/>
                <w:rtl/>
              </w:rPr>
              <w:t xml:space="preserve"> 0</w:t>
            </w:r>
          </w:p>
        </w:tc>
        <w:tc>
          <w:tcPr>
            <w:tcW w:w="900" w:type="dxa"/>
            <w:vAlign w:val="bottom"/>
          </w:tcPr>
          <w:p w14:paraId="5404B253" w14:textId="77777777" w:rsidR="00F32A2A" w:rsidRDefault="004E0E02">
            <w:pPr>
              <w:pStyle w:val="-3"/>
              <w:jc w:val="left"/>
              <w:rPr>
                <w:b/>
                <w:bCs/>
                <w:sz w:val="16"/>
                <w:szCs w:val="16"/>
                <w:rtl/>
              </w:rPr>
            </w:pPr>
            <w:r w:rsidRPr="00CF2A74">
              <w:rPr>
                <w:b/>
                <w:bCs/>
                <w:sz w:val="16"/>
                <w:szCs w:val="16"/>
                <w:rtl/>
              </w:rPr>
              <w:t xml:space="preserve"> 0</w:t>
            </w:r>
          </w:p>
        </w:tc>
        <w:tc>
          <w:tcPr>
            <w:tcW w:w="681" w:type="dxa"/>
            <w:vAlign w:val="bottom"/>
          </w:tcPr>
          <w:p w14:paraId="5339EFDF" w14:textId="77777777" w:rsidR="00F32A2A" w:rsidRDefault="004E0E02">
            <w:pPr>
              <w:pStyle w:val="-3"/>
              <w:jc w:val="left"/>
              <w:rPr>
                <w:b/>
                <w:bCs/>
                <w:sz w:val="16"/>
                <w:szCs w:val="16"/>
                <w:rtl/>
              </w:rPr>
            </w:pPr>
            <w:r w:rsidRPr="00CF2A74">
              <w:rPr>
                <w:b/>
                <w:bCs/>
                <w:sz w:val="16"/>
                <w:szCs w:val="16"/>
                <w:rtl/>
              </w:rPr>
              <w:t xml:space="preserve"> 0</w:t>
            </w:r>
          </w:p>
        </w:tc>
        <w:tc>
          <w:tcPr>
            <w:tcW w:w="1328" w:type="dxa"/>
            <w:vAlign w:val="bottom"/>
          </w:tcPr>
          <w:p w14:paraId="70B4100E" w14:textId="77777777" w:rsidR="00F32A2A" w:rsidRDefault="004E0E02">
            <w:pPr>
              <w:pStyle w:val="-3"/>
              <w:jc w:val="left"/>
              <w:rPr>
                <w:b/>
                <w:bCs/>
                <w:sz w:val="16"/>
                <w:szCs w:val="16"/>
                <w:rtl/>
              </w:rPr>
            </w:pPr>
            <w:r w:rsidRPr="00CF2A74">
              <w:rPr>
                <w:b/>
                <w:bCs/>
                <w:sz w:val="16"/>
                <w:szCs w:val="16"/>
                <w:rtl/>
              </w:rPr>
              <w:t xml:space="preserve"> 0</w:t>
            </w:r>
          </w:p>
        </w:tc>
        <w:tc>
          <w:tcPr>
            <w:tcW w:w="713" w:type="dxa"/>
            <w:vAlign w:val="bottom"/>
          </w:tcPr>
          <w:p w14:paraId="46D8E551" w14:textId="77777777" w:rsidR="00F32A2A" w:rsidRDefault="004E0E02">
            <w:pPr>
              <w:pStyle w:val="-3"/>
              <w:jc w:val="left"/>
              <w:rPr>
                <w:b/>
                <w:bCs/>
                <w:sz w:val="16"/>
                <w:szCs w:val="16"/>
                <w:rtl/>
              </w:rPr>
            </w:pPr>
            <w:r w:rsidRPr="00CF2A74">
              <w:rPr>
                <w:b/>
                <w:bCs/>
                <w:sz w:val="16"/>
                <w:szCs w:val="16"/>
                <w:rtl/>
              </w:rPr>
              <w:t xml:space="preserve"> 0</w:t>
            </w:r>
          </w:p>
        </w:tc>
        <w:tc>
          <w:tcPr>
            <w:tcW w:w="765" w:type="dxa"/>
            <w:vAlign w:val="bottom"/>
          </w:tcPr>
          <w:p w14:paraId="09E23490" w14:textId="77777777" w:rsidR="00F32A2A" w:rsidRDefault="004E0E02">
            <w:pPr>
              <w:pStyle w:val="-3"/>
              <w:jc w:val="left"/>
              <w:rPr>
                <w:b/>
                <w:bCs/>
                <w:sz w:val="16"/>
                <w:szCs w:val="16"/>
                <w:rtl/>
              </w:rPr>
            </w:pPr>
            <w:r w:rsidRPr="00CF2A74">
              <w:rPr>
                <w:b/>
                <w:bCs/>
                <w:sz w:val="16"/>
                <w:szCs w:val="16"/>
                <w:rtl/>
              </w:rPr>
              <w:t xml:space="preserve"> 0</w:t>
            </w:r>
          </w:p>
        </w:tc>
      </w:tr>
      <w:tr w:rsidR="0030599F" w:rsidRPr="00513F0D" w14:paraId="6D7AD7DD" w14:textId="77777777" w:rsidTr="004A1ADA">
        <w:tc>
          <w:tcPr>
            <w:tcW w:w="850" w:type="dxa"/>
          </w:tcPr>
          <w:p w14:paraId="1C69D315" w14:textId="77777777" w:rsidR="004E0E02" w:rsidRPr="00513F0D" w:rsidRDefault="004E0E02" w:rsidP="0084040C">
            <w:pPr>
              <w:pStyle w:val="-7"/>
              <w:bidi w:val="0"/>
              <w:ind w:right="-231"/>
              <w:jc w:val="left"/>
              <w:rPr>
                <w:spacing w:val="-6"/>
                <w:sz w:val="16"/>
                <w:szCs w:val="16"/>
              </w:rPr>
            </w:pPr>
          </w:p>
        </w:tc>
        <w:tc>
          <w:tcPr>
            <w:tcW w:w="2300" w:type="dxa"/>
            <w:vAlign w:val="bottom"/>
          </w:tcPr>
          <w:p w14:paraId="22D393F6" w14:textId="77777777" w:rsidR="004E0E02" w:rsidRPr="00513F0D" w:rsidRDefault="004E0E02" w:rsidP="00070C4C">
            <w:pPr>
              <w:pStyle w:val="-0"/>
              <w:rPr>
                <w:sz w:val="16"/>
                <w:szCs w:val="16"/>
                <w:rtl/>
              </w:rPr>
            </w:pPr>
            <w:r w:rsidRPr="00CF2A74">
              <w:rPr>
                <w:rFonts w:hint="eastAsia"/>
                <w:sz w:val="16"/>
                <w:szCs w:val="16"/>
                <w:rtl/>
              </w:rPr>
              <w:t>רווח</w:t>
            </w:r>
            <w:r w:rsidRPr="00CF2A74">
              <w:rPr>
                <w:sz w:val="16"/>
                <w:szCs w:val="16"/>
                <w:rtl/>
              </w:rPr>
              <w:t xml:space="preserve"> </w:t>
            </w:r>
            <w:r w:rsidRPr="00CF2A74">
              <w:rPr>
                <w:rFonts w:hint="eastAsia"/>
                <w:sz w:val="16"/>
                <w:szCs w:val="16"/>
                <w:rtl/>
              </w:rPr>
              <w:t>נקי</w:t>
            </w:r>
            <w:r w:rsidRPr="00CF2A74">
              <w:rPr>
                <w:sz w:val="16"/>
                <w:szCs w:val="16"/>
                <w:rtl/>
              </w:rPr>
              <w:t xml:space="preserve"> </w:t>
            </w:r>
            <w:r w:rsidRPr="00CF2A74">
              <w:rPr>
                <w:rFonts w:hint="eastAsia"/>
                <w:sz w:val="16"/>
                <w:szCs w:val="16"/>
                <w:rtl/>
              </w:rPr>
              <w:t>בתקופה</w:t>
            </w:r>
          </w:p>
        </w:tc>
        <w:tc>
          <w:tcPr>
            <w:tcW w:w="672" w:type="dxa"/>
            <w:vAlign w:val="bottom"/>
          </w:tcPr>
          <w:p w14:paraId="29E01B36" w14:textId="77777777" w:rsidR="004E0E02" w:rsidRPr="00513F0D" w:rsidRDefault="004E0E02" w:rsidP="0084040C">
            <w:pPr>
              <w:pStyle w:val="-3"/>
              <w:rPr>
                <w:sz w:val="16"/>
                <w:szCs w:val="16"/>
                <w:rtl/>
              </w:rPr>
            </w:pPr>
            <w:r w:rsidRPr="00CF2A74">
              <w:rPr>
                <w:sz w:val="16"/>
                <w:szCs w:val="16"/>
                <w:rtl/>
              </w:rPr>
              <w:t>-</w:t>
            </w:r>
          </w:p>
        </w:tc>
        <w:tc>
          <w:tcPr>
            <w:tcW w:w="852" w:type="dxa"/>
            <w:vAlign w:val="bottom"/>
          </w:tcPr>
          <w:p w14:paraId="1580AE1A" w14:textId="77777777" w:rsidR="004E0E02" w:rsidRPr="00513F0D" w:rsidRDefault="004E0E02" w:rsidP="0084040C">
            <w:pPr>
              <w:pStyle w:val="-3"/>
              <w:rPr>
                <w:sz w:val="16"/>
                <w:szCs w:val="16"/>
                <w:rtl/>
              </w:rPr>
            </w:pPr>
            <w:r w:rsidRPr="00CF2A74">
              <w:rPr>
                <w:sz w:val="16"/>
                <w:szCs w:val="16"/>
                <w:rtl/>
              </w:rPr>
              <w:t>-</w:t>
            </w:r>
          </w:p>
        </w:tc>
        <w:tc>
          <w:tcPr>
            <w:tcW w:w="963" w:type="dxa"/>
            <w:vAlign w:val="bottom"/>
          </w:tcPr>
          <w:p w14:paraId="04A3D9DD" w14:textId="77777777" w:rsidR="004E0E02" w:rsidRPr="00513F0D" w:rsidRDefault="004E0E02" w:rsidP="0084040C">
            <w:pPr>
              <w:pStyle w:val="-3"/>
              <w:rPr>
                <w:sz w:val="16"/>
                <w:szCs w:val="16"/>
                <w:rtl/>
              </w:rPr>
            </w:pPr>
            <w:r w:rsidRPr="00CF2A74">
              <w:rPr>
                <w:sz w:val="16"/>
                <w:szCs w:val="16"/>
                <w:rtl/>
              </w:rPr>
              <w:t>-</w:t>
            </w:r>
          </w:p>
        </w:tc>
        <w:tc>
          <w:tcPr>
            <w:tcW w:w="751" w:type="dxa"/>
            <w:vAlign w:val="bottom"/>
          </w:tcPr>
          <w:p w14:paraId="1CE9B287" w14:textId="77777777" w:rsidR="004E0E02" w:rsidRPr="00513F0D" w:rsidRDefault="004E0E02" w:rsidP="0084040C">
            <w:pPr>
              <w:pStyle w:val="-3"/>
              <w:rPr>
                <w:sz w:val="16"/>
                <w:szCs w:val="16"/>
                <w:rtl/>
              </w:rPr>
            </w:pPr>
            <w:r w:rsidRPr="00CF2A74">
              <w:rPr>
                <w:sz w:val="16"/>
                <w:szCs w:val="16"/>
                <w:rtl/>
              </w:rPr>
              <w:t>-</w:t>
            </w:r>
          </w:p>
        </w:tc>
        <w:tc>
          <w:tcPr>
            <w:tcW w:w="1072" w:type="dxa"/>
            <w:vAlign w:val="bottom"/>
          </w:tcPr>
          <w:p w14:paraId="4C72A435"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651263D0" w14:textId="77777777" w:rsidR="004E0E02" w:rsidRPr="00513F0D" w:rsidRDefault="004E0E02" w:rsidP="0084040C">
            <w:pPr>
              <w:pStyle w:val="-3"/>
              <w:jc w:val="left"/>
              <w:rPr>
                <w:sz w:val="16"/>
                <w:szCs w:val="16"/>
                <w:rtl/>
              </w:rPr>
            </w:pPr>
            <w:r w:rsidRPr="00CF2A74">
              <w:rPr>
                <w:sz w:val="16"/>
                <w:szCs w:val="16"/>
                <w:rtl/>
              </w:rPr>
              <w:t xml:space="preserve"> -</w:t>
            </w:r>
          </w:p>
        </w:tc>
        <w:tc>
          <w:tcPr>
            <w:tcW w:w="767" w:type="dxa"/>
            <w:vAlign w:val="bottom"/>
          </w:tcPr>
          <w:p w14:paraId="0D8C053F" w14:textId="77777777" w:rsidR="004E0E02" w:rsidRPr="00CF2A74" w:rsidRDefault="004E0E02" w:rsidP="0084040C">
            <w:pPr>
              <w:pStyle w:val="-3"/>
              <w:jc w:val="left"/>
              <w:rPr>
                <w:sz w:val="16"/>
                <w:szCs w:val="16"/>
                <w:rtl/>
              </w:rPr>
            </w:pPr>
            <w:r w:rsidRPr="00CF2A74">
              <w:rPr>
                <w:sz w:val="16"/>
                <w:szCs w:val="16"/>
                <w:rtl/>
              </w:rPr>
              <w:t>-</w:t>
            </w:r>
          </w:p>
        </w:tc>
        <w:tc>
          <w:tcPr>
            <w:tcW w:w="914" w:type="dxa"/>
            <w:vAlign w:val="bottom"/>
          </w:tcPr>
          <w:p w14:paraId="4FB1FDD4" w14:textId="77777777" w:rsidR="004E0E02" w:rsidRPr="00513F0D" w:rsidRDefault="004E0E02" w:rsidP="0084040C">
            <w:pPr>
              <w:pStyle w:val="-3"/>
              <w:jc w:val="left"/>
              <w:rPr>
                <w:sz w:val="16"/>
                <w:szCs w:val="16"/>
                <w:rtl/>
              </w:rPr>
            </w:pPr>
            <w:r w:rsidRPr="00CF2A74">
              <w:rPr>
                <w:sz w:val="16"/>
                <w:szCs w:val="16"/>
                <w:rtl/>
              </w:rPr>
              <w:t xml:space="preserve"> -</w:t>
            </w:r>
          </w:p>
        </w:tc>
        <w:tc>
          <w:tcPr>
            <w:tcW w:w="838" w:type="dxa"/>
            <w:vAlign w:val="bottom"/>
          </w:tcPr>
          <w:p w14:paraId="7A6393D7" w14:textId="77777777" w:rsidR="004E0E02" w:rsidRPr="00513F0D" w:rsidRDefault="004E0E02" w:rsidP="0084040C">
            <w:pPr>
              <w:pStyle w:val="-3"/>
              <w:jc w:val="left"/>
              <w:rPr>
                <w:sz w:val="16"/>
                <w:szCs w:val="16"/>
                <w:rtl/>
              </w:rPr>
            </w:pPr>
            <w:r w:rsidRPr="00CF2A74">
              <w:rPr>
                <w:sz w:val="16"/>
                <w:szCs w:val="16"/>
                <w:rtl/>
              </w:rPr>
              <w:t xml:space="preserve"> -</w:t>
            </w:r>
          </w:p>
        </w:tc>
        <w:tc>
          <w:tcPr>
            <w:tcW w:w="900" w:type="dxa"/>
            <w:vAlign w:val="bottom"/>
          </w:tcPr>
          <w:p w14:paraId="592B9989" w14:textId="77777777" w:rsidR="004E0E02" w:rsidRPr="00513F0D" w:rsidRDefault="004E0E02" w:rsidP="0084040C">
            <w:pPr>
              <w:pStyle w:val="-3"/>
              <w:jc w:val="left"/>
              <w:rPr>
                <w:sz w:val="16"/>
                <w:szCs w:val="16"/>
                <w:rtl/>
              </w:rPr>
            </w:pPr>
            <w:r w:rsidRPr="00CF2A74">
              <w:rPr>
                <w:sz w:val="16"/>
                <w:szCs w:val="16"/>
                <w:rtl/>
              </w:rPr>
              <w:t xml:space="preserve"> 0</w:t>
            </w:r>
          </w:p>
        </w:tc>
        <w:tc>
          <w:tcPr>
            <w:tcW w:w="681" w:type="dxa"/>
            <w:vAlign w:val="bottom"/>
          </w:tcPr>
          <w:p w14:paraId="78AE157A" w14:textId="77777777" w:rsidR="004E0E02" w:rsidRPr="00513F0D" w:rsidRDefault="004E0E02" w:rsidP="0084040C">
            <w:pPr>
              <w:pStyle w:val="-3"/>
              <w:jc w:val="left"/>
              <w:rPr>
                <w:sz w:val="16"/>
                <w:szCs w:val="16"/>
                <w:rtl/>
              </w:rPr>
            </w:pPr>
            <w:r w:rsidRPr="00CF2A74">
              <w:rPr>
                <w:sz w:val="16"/>
                <w:szCs w:val="16"/>
                <w:rtl/>
              </w:rPr>
              <w:t xml:space="preserve"> -</w:t>
            </w:r>
          </w:p>
        </w:tc>
        <w:tc>
          <w:tcPr>
            <w:tcW w:w="1328" w:type="dxa"/>
            <w:vAlign w:val="bottom"/>
          </w:tcPr>
          <w:p w14:paraId="497ADB10" w14:textId="77777777" w:rsidR="004E0E02" w:rsidRPr="00513F0D" w:rsidRDefault="004E0E02" w:rsidP="0084040C">
            <w:pPr>
              <w:pStyle w:val="-3"/>
              <w:jc w:val="left"/>
              <w:rPr>
                <w:sz w:val="16"/>
                <w:szCs w:val="16"/>
                <w:rtl/>
              </w:rPr>
            </w:pPr>
            <w:r w:rsidRPr="00CF2A74">
              <w:rPr>
                <w:sz w:val="16"/>
                <w:szCs w:val="16"/>
                <w:rtl/>
              </w:rPr>
              <w:t xml:space="preserve"> 0</w:t>
            </w:r>
          </w:p>
        </w:tc>
        <w:tc>
          <w:tcPr>
            <w:tcW w:w="713" w:type="dxa"/>
            <w:vAlign w:val="bottom"/>
          </w:tcPr>
          <w:p w14:paraId="0932C477" w14:textId="77777777" w:rsidR="004E0E02" w:rsidRPr="00513F0D" w:rsidRDefault="004E0E02" w:rsidP="0084040C">
            <w:pPr>
              <w:pStyle w:val="-3"/>
              <w:jc w:val="left"/>
              <w:rPr>
                <w:sz w:val="16"/>
                <w:szCs w:val="16"/>
                <w:rtl/>
              </w:rPr>
            </w:pPr>
            <w:r w:rsidRPr="00CF2A74">
              <w:rPr>
                <w:sz w:val="16"/>
                <w:szCs w:val="16"/>
                <w:rtl/>
              </w:rPr>
              <w:t xml:space="preserve"> 0</w:t>
            </w:r>
          </w:p>
        </w:tc>
        <w:tc>
          <w:tcPr>
            <w:tcW w:w="765" w:type="dxa"/>
            <w:vAlign w:val="bottom"/>
          </w:tcPr>
          <w:p w14:paraId="7BA7BFED" w14:textId="77777777" w:rsidR="004E0E02" w:rsidRPr="00513F0D" w:rsidRDefault="004E0E02" w:rsidP="0084040C">
            <w:pPr>
              <w:pStyle w:val="-3"/>
              <w:jc w:val="left"/>
              <w:rPr>
                <w:sz w:val="16"/>
                <w:szCs w:val="16"/>
                <w:rtl/>
              </w:rPr>
            </w:pPr>
            <w:r w:rsidRPr="00CF2A74">
              <w:rPr>
                <w:sz w:val="16"/>
                <w:szCs w:val="16"/>
                <w:rtl/>
              </w:rPr>
              <w:t xml:space="preserve"> 0</w:t>
            </w:r>
          </w:p>
        </w:tc>
      </w:tr>
      <w:tr w:rsidR="0030599F" w:rsidRPr="00513F0D" w14:paraId="7C26EA6C" w14:textId="77777777" w:rsidTr="004A1ADA">
        <w:tc>
          <w:tcPr>
            <w:tcW w:w="850" w:type="dxa"/>
          </w:tcPr>
          <w:p w14:paraId="1CB8215D"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5EE4ABCC" w14:textId="77777777" w:rsidR="004E0E02" w:rsidRPr="00513F0D" w:rsidRDefault="004E0E02" w:rsidP="00141F15">
            <w:pPr>
              <w:pStyle w:val="-0"/>
              <w:rPr>
                <w:sz w:val="16"/>
                <w:szCs w:val="16"/>
                <w:rtl/>
              </w:rPr>
            </w:pPr>
            <w:r w:rsidRPr="00CF2A74">
              <w:rPr>
                <w:rFonts w:hint="eastAsia"/>
                <w:sz w:val="16"/>
                <w:szCs w:val="16"/>
                <w:rtl/>
              </w:rPr>
              <w:t>רווח</w:t>
            </w:r>
            <w:r w:rsidRPr="00CF2A74">
              <w:rPr>
                <w:sz w:val="16"/>
                <w:szCs w:val="16"/>
                <w:rtl/>
              </w:rPr>
              <w:t xml:space="preserve"> (הפסד) </w:t>
            </w:r>
            <w:r w:rsidRPr="00CF2A74">
              <w:rPr>
                <w:rFonts w:hint="eastAsia"/>
                <w:sz w:val="16"/>
                <w:szCs w:val="16"/>
                <w:rtl/>
              </w:rPr>
              <w:t>כולל</w:t>
            </w:r>
            <w:r w:rsidRPr="00CF2A74">
              <w:rPr>
                <w:sz w:val="16"/>
                <w:szCs w:val="16"/>
                <w:rtl/>
              </w:rPr>
              <w:t xml:space="preserve"> </w:t>
            </w:r>
            <w:r w:rsidRPr="00CF2A74">
              <w:rPr>
                <w:rFonts w:hint="eastAsia"/>
                <w:sz w:val="16"/>
                <w:szCs w:val="16"/>
                <w:rtl/>
              </w:rPr>
              <w:t>אחר</w:t>
            </w:r>
            <w:r w:rsidRPr="00CF2A74">
              <w:rPr>
                <w:sz w:val="16"/>
                <w:szCs w:val="16"/>
                <w:rtl/>
              </w:rPr>
              <w:t xml:space="preserve">, </w:t>
            </w:r>
            <w:r w:rsidRPr="00CF2A74">
              <w:rPr>
                <w:rFonts w:hint="eastAsia"/>
                <w:sz w:val="16"/>
                <w:szCs w:val="16"/>
                <w:rtl/>
              </w:rPr>
              <w:t>נטו</w:t>
            </w:r>
            <w:r w:rsidRPr="00CF2A74">
              <w:rPr>
                <w:sz w:val="16"/>
                <w:szCs w:val="16"/>
                <w:rtl/>
              </w:rPr>
              <w:t xml:space="preserve"> </w:t>
            </w:r>
            <w:r w:rsidRPr="00CF2A74">
              <w:rPr>
                <w:rFonts w:hint="eastAsia"/>
                <w:sz w:val="16"/>
                <w:szCs w:val="16"/>
                <w:rtl/>
              </w:rPr>
              <w:t>לאחר</w:t>
            </w:r>
            <w:r w:rsidRPr="00CF2A74">
              <w:rPr>
                <w:sz w:val="16"/>
                <w:szCs w:val="16"/>
                <w:rtl/>
              </w:rPr>
              <w:t xml:space="preserve"> </w:t>
            </w:r>
            <w:r w:rsidRPr="00CF2A74">
              <w:rPr>
                <w:rFonts w:hint="eastAsia"/>
                <w:sz w:val="16"/>
                <w:szCs w:val="16"/>
                <w:rtl/>
              </w:rPr>
              <w:t>השפעת</w:t>
            </w:r>
            <w:r w:rsidRPr="00CF2A74">
              <w:rPr>
                <w:sz w:val="16"/>
                <w:szCs w:val="16"/>
                <w:rtl/>
              </w:rPr>
              <w:t xml:space="preserve"> </w:t>
            </w:r>
            <w:r w:rsidRPr="00CF2A74">
              <w:rPr>
                <w:rFonts w:hint="eastAsia"/>
                <w:sz w:val="16"/>
                <w:szCs w:val="16"/>
                <w:rtl/>
              </w:rPr>
              <w:t>המס</w:t>
            </w:r>
          </w:p>
        </w:tc>
        <w:tc>
          <w:tcPr>
            <w:tcW w:w="672" w:type="dxa"/>
            <w:vAlign w:val="bottom"/>
          </w:tcPr>
          <w:p w14:paraId="059FA819" w14:textId="77777777" w:rsidR="004E0E02" w:rsidRPr="00513F0D" w:rsidRDefault="004E0E02" w:rsidP="00141F15">
            <w:pPr>
              <w:pStyle w:val="-3"/>
              <w:rPr>
                <w:sz w:val="16"/>
                <w:szCs w:val="16"/>
                <w:rtl/>
              </w:rPr>
            </w:pPr>
            <w:r w:rsidRPr="00CF2A74">
              <w:rPr>
                <w:sz w:val="16"/>
                <w:szCs w:val="16"/>
                <w:rtl/>
              </w:rPr>
              <w:t>-</w:t>
            </w:r>
          </w:p>
        </w:tc>
        <w:tc>
          <w:tcPr>
            <w:tcW w:w="852" w:type="dxa"/>
            <w:vAlign w:val="bottom"/>
          </w:tcPr>
          <w:p w14:paraId="59008BA4" w14:textId="77777777" w:rsidR="004E0E02" w:rsidRPr="00513F0D" w:rsidRDefault="004E0E02" w:rsidP="00141F15">
            <w:pPr>
              <w:pStyle w:val="-3"/>
              <w:rPr>
                <w:sz w:val="16"/>
                <w:szCs w:val="16"/>
                <w:rtl/>
              </w:rPr>
            </w:pPr>
            <w:r w:rsidRPr="00CF2A74">
              <w:rPr>
                <w:sz w:val="16"/>
                <w:szCs w:val="16"/>
                <w:rtl/>
              </w:rPr>
              <w:t>-</w:t>
            </w:r>
          </w:p>
        </w:tc>
        <w:tc>
          <w:tcPr>
            <w:tcW w:w="963" w:type="dxa"/>
            <w:vAlign w:val="bottom"/>
          </w:tcPr>
          <w:p w14:paraId="04F9F424" w14:textId="77777777" w:rsidR="004E0E02" w:rsidRPr="00513F0D" w:rsidRDefault="004E0E02" w:rsidP="00141F15">
            <w:pPr>
              <w:pStyle w:val="-3"/>
              <w:rPr>
                <w:sz w:val="16"/>
                <w:szCs w:val="16"/>
                <w:rtl/>
              </w:rPr>
            </w:pPr>
            <w:r w:rsidRPr="00CF2A74">
              <w:rPr>
                <w:sz w:val="16"/>
                <w:szCs w:val="16"/>
                <w:rtl/>
              </w:rPr>
              <w:t>-</w:t>
            </w:r>
          </w:p>
        </w:tc>
        <w:tc>
          <w:tcPr>
            <w:tcW w:w="751" w:type="dxa"/>
            <w:vAlign w:val="bottom"/>
          </w:tcPr>
          <w:p w14:paraId="0417A93A" w14:textId="77777777" w:rsidR="004E0E02" w:rsidRPr="00513F0D" w:rsidRDefault="004E0E02" w:rsidP="00141F15">
            <w:pPr>
              <w:pStyle w:val="-3"/>
              <w:rPr>
                <w:sz w:val="16"/>
                <w:szCs w:val="16"/>
                <w:rtl/>
              </w:rPr>
            </w:pPr>
            <w:r w:rsidRPr="00CF2A74">
              <w:rPr>
                <w:sz w:val="16"/>
                <w:szCs w:val="16"/>
                <w:rtl/>
              </w:rPr>
              <w:t>-</w:t>
            </w:r>
          </w:p>
        </w:tc>
        <w:tc>
          <w:tcPr>
            <w:tcW w:w="1072" w:type="dxa"/>
            <w:vAlign w:val="bottom"/>
          </w:tcPr>
          <w:p w14:paraId="1AC3C6A0" w14:textId="77777777" w:rsidR="004E0E02" w:rsidRPr="009A7E4A" w:rsidRDefault="004E0E02" w:rsidP="00141F15">
            <w:pPr>
              <w:pStyle w:val="-3"/>
              <w:rPr>
                <w:sz w:val="16"/>
                <w:szCs w:val="16"/>
                <w:rtl/>
              </w:rPr>
            </w:pPr>
            <w:r w:rsidRPr="009A7E4A">
              <w:rPr>
                <w:sz w:val="16"/>
                <w:szCs w:val="16"/>
                <w:rtl/>
              </w:rPr>
              <w:t>-</w:t>
            </w:r>
          </w:p>
        </w:tc>
        <w:tc>
          <w:tcPr>
            <w:tcW w:w="655" w:type="dxa"/>
            <w:vAlign w:val="bottom"/>
          </w:tcPr>
          <w:p w14:paraId="63A7B693" w14:textId="77777777" w:rsidR="004E0E02" w:rsidRPr="00513F0D" w:rsidRDefault="004E0E02" w:rsidP="00141F15">
            <w:pPr>
              <w:pStyle w:val="-3"/>
              <w:jc w:val="left"/>
              <w:rPr>
                <w:sz w:val="16"/>
                <w:szCs w:val="16"/>
                <w:rtl/>
              </w:rPr>
            </w:pPr>
            <w:r w:rsidRPr="00CF2A74">
              <w:rPr>
                <w:sz w:val="16"/>
                <w:szCs w:val="16"/>
                <w:rtl/>
              </w:rPr>
              <w:t xml:space="preserve"> -</w:t>
            </w:r>
          </w:p>
        </w:tc>
        <w:tc>
          <w:tcPr>
            <w:tcW w:w="767" w:type="dxa"/>
            <w:vAlign w:val="bottom"/>
          </w:tcPr>
          <w:p w14:paraId="34140610" w14:textId="77777777" w:rsidR="004E0E02" w:rsidRPr="00CF2A74" w:rsidRDefault="004E0E02" w:rsidP="00141F15">
            <w:pPr>
              <w:pStyle w:val="-3"/>
              <w:jc w:val="left"/>
              <w:rPr>
                <w:sz w:val="16"/>
                <w:szCs w:val="16"/>
                <w:rtl/>
              </w:rPr>
            </w:pPr>
            <w:r w:rsidRPr="00CF2A74">
              <w:rPr>
                <w:sz w:val="16"/>
                <w:szCs w:val="16"/>
                <w:rtl/>
              </w:rPr>
              <w:t>-</w:t>
            </w:r>
          </w:p>
        </w:tc>
        <w:tc>
          <w:tcPr>
            <w:tcW w:w="914" w:type="dxa"/>
            <w:vAlign w:val="bottom"/>
          </w:tcPr>
          <w:p w14:paraId="7F39536C" w14:textId="77777777" w:rsidR="004E0E02" w:rsidRPr="00513F0D" w:rsidRDefault="004E0E02" w:rsidP="00141F15">
            <w:pPr>
              <w:pStyle w:val="-3"/>
              <w:jc w:val="left"/>
              <w:rPr>
                <w:sz w:val="16"/>
                <w:szCs w:val="16"/>
                <w:rtl/>
              </w:rPr>
            </w:pPr>
            <w:r w:rsidRPr="00CF2A74">
              <w:rPr>
                <w:sz w:val="16"/>
                <w:szCs w:val="16"/>
                <w:rtl/>
              </w:rPr>
              <w:t xml:space="preserve"> -</w:t>
            </w:r>
          </w:p>
        </w:tc>
        <w:tc>
          <w:tcPr>
            <w:tcW w:w="838" w:type="dxa"/>
            <w:vAlign w:val="bottom"/>
          </w:tcPr>
          <w:p w14:paraId="55425E9A" w14:textId="77777777" w:rsidR="004E0E02" w:rsidRPr="00513F0D" w:rsidRDefault="004E0E02" w:rsidP="00141F15">
            <w:pPr>
              <w:pStyle w:val="-3"/>
              <w:jc w:val="left"/>
              <w:rPr>
                <w:sz w:val="16"/>
                <w:szCs w:val="16"/>
                <w:rtl/>
              </w:rPr>
            </w:pPr>
            <w:r w:rsidRPr="00CF2A74">
              <w:rPr>
                <w:sz w:val="16"/>
                <w:szCs w:val="16"/>
                <w:rtl/>
              </w:rPr>
              <w:t xml:space="preserve"> 0</w:t>
            </w:r>
          </w:p>
        </w:tc>
        <w:tc>
          <w:tcPr>
            <w:tcW w:w="900" w:type="dxa"/>
            <w:vAlign w:val="bottom"/>
          </w:tcPr>
          <w:p w14:paraId="6E342A43" w14:textId="77777777" w:rsidR="004E0E02" w:rsidRPr="00513F0D" w:rsidRDefault="004E0E02" w:rsidP="00141F15">
            <w:pPr>
              <w:pStyle w:val="-3"/>
              <w:jc w:val="left"/>
              <w:rPr>
                <w:sz w:val="16"/>
                <w:szCs w:val="16"/>
                <w:rtl/>
              </w:rPr>
            </w:pPr>
            <w:r w:rsidRPr="00CF2A74">
              <w:rPr>
                <w:sz w:val="16"/>
                <w:szCs w:val="16"/>
                <w:rtl/>
              </w:rPr>
              <w:t xml:space="preserve"> -</w:t>
            </w:r>
          </w:p>
        </w:tc>
        <w:tc>
          <w:tcPr>
            <w:tcW w:w="681" w:type="dxa"/>
            <w:vAlign w:val="bottom"/>
          </w:tcPr>
          <w:p w14:paraId="624630E4" w14:textId="77777777" w:rsidR="004E0E02" w:rsidRPr="00513F0D" w:rsidRDefault="004E0E02" w:rsidP="00141F15">
            <w:pPr>
              <w:pStyle w:val="-3"/>
              <w:jc w:val="left"/>
              <w:rPr>
                <w:sz w:val="16"/>
                <w:szCs w:val="16"/>
                <w:rtl/>
              </w:rPr>
            </w:pPr>
            <w:r w:rsidRPr="00CF2A74">
              <w:rPr>
                <w:sz w:val="16"/>
                <w:szCs w:val="16"/>
                <w:rtl/>
              </w:rPr>
              <w:t xml:space="preserve"> -</w:t>
            </w:r>
          </w:p>
        </w:tc>
        <w:tc>
          <w:tcPr>
            <w:tcW w:w="1328" w:type="dxa"/>
            <w:vAlign w:val="bottom"/>
          </w:tcPr>
          <w:p w14:paraId="39CE920A" w14:textId="77777777" w:rsidR="004E0E02" w:rsidRPr="00513F0D" w:rsidRDefault="004E0E02" w:rsidP="00141F15">
            <w:pPr>
              <w:pStyle w:val="-3"/>
              <w:jc w:val="left"/>
              <w:rPr>
                <w:sz w:val="16"/>
                <w:szCs w:val="16"/>
                <w:rtl/>
              </w:rPr>
            </w:pPr>
            <w:r w:rsidRPr="00CF2A74">
              <w:rPr>
                <w:sz w:val="16"/>
                <w:szCs w:val="16"/>
                <w:rtl/>
              </w:rPr>
              <w:t xml:space="preserve"> 0</w:t>
            </w:r>
          </w:p>
        </w:tc>
        <w:tc>
          <w:tcPr>
            <w:tcW w:w="713" w:type="dxa"/>
            <w:vAlign w:val="bottom"/>
          </w:tcPr>
          <w:p w14:paraId="44C56319" w14:textId="77777777" w:rsidR="004E0E02" w:rsidRPr="00513F0D" w:rsidRDefault="004E0E02" w:rsidP="00141F15">
            <w:pPr>
              <w:pStyle w:val="-3"/>
              <w:jc w:val="left"/>
              <w:rPr>
                <w:sz w:val="16"/>
                <w:szCs w:val="16"/>
                <w:rtl/>
              </w:rPr>
            </w:pPr>
            <w:r w:rsidRPr="00CF2A74">
              <w:rPr>
                <w:sz w:val="16"/>
                <w:szCs w:val="16"/>
                <w:rtl/>
              </w:rPr>
              <w:t xml:space="preserve"> 0</w:t>
            </w:r>
          </w:p>
        </w:tc>
        <w:tc>
          <w:tcPr>
            <w:tcW w:w="765" w:type="dxa"/>
            <w:vAlign w:val="bottom"/>
          </w:tcPr>
          <w:p w14:paraId="63778B46" w14:textId="77777777" w:rsidR="004E0E02" w:rsidRPr="00513F0D" w:rsidRDefault="004E0E02" w:rsidP="00141F15">
            <w:pPr>
              <w:pStyle w:val="-3"/>
              <w:jc w:val="left"/>
              <w:rPr>
                <w:sz w:val="16"/>
                <w:szCs w:val="16"/>
                <w:rtl/>
              </w:rPr>
            </w:pPr>
            <w:r w:rsidRPr="00CF2A74">
              <w:rPr>
                <w:sz w:val="16"/>
                <w:szCs w:val="16"/>
                <w:rtl/>
              </w:rPr>
              <w:t xml:space="preserve"> 0</w:t>
            </w:r>
          </w:p>
        </w:tc>
      </w:tr>
      <w:tr w:rsidR="0030599F" w:rsidRPr="00513F0D" w14:paraId="0313301D" w14:textId="77777777" w:rsidTr="004A1ADA">
        <w:tc>
          <w:tcPr>
            <w:tcW w:w="850" w:type="dxa"/>
          </w:tcPr>
          <w:p w14:paraId="7BFC23F2"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12FBFEB7" w14:textId="77777777" w:rsidR="004E0E02" w:rsidRPr="00513F0D" w:rsidRDefault="004E0E02" w:rsidP="000F22C5">
            <w:pPr>
              <w:pStyle w:val="-0"/>
              <w:rPr>
                <w:sz w:val="16"/>
                <w:szCs w:val="16"/>
                <w:rtl/>
              </w:rPr>
            </w:pPr>
            <w:r w:rsidRPr="00CF2A74">
              <w:rPr>
                <w:rFonts w:hint="eastAsia"/>
                <w:sz w:val="16"/>
                <w:szCs w:val="16"/>
                <w:rtl/>
              </w:rPr>
              <w:t>דיבידנד</w:t>
            </w:r>
            <w:r w:rsidRPr="00CF2A74">
              <w:rPr>
                <w:sz w:val="16"/>
                <w:szCs w:val="16"/>
                <w:rtl/>
              </w:rPr>
              <w:t xml:space="preserve"> </w:t>
            </w:r>
          </w:p>
        </w:tc>
        <w:tc>
          <w:tcPr>
            <w:tcW w:w="672" w:type="dxa"/>
            <w:vAlign w:val="bottom"/>
          </w:tcPr>
          <w:p w14:paraId="6867796F" w14:textId="77777777" w:rsidR="004E0E02" w:rsidRPr="00513F0D" w:rsidRDefault="004E0E02" w:rsidP="0084040C">
            <w:pPr>
              <w:pStyle w:val="-3"/>
              <w:rPr>
                <w:sz w:val="16"/>
                <w:szCs w:val="16"/>
                <w:rtl/>
              </w:rPr>
            </w:pPr>
            <w:r w:rsidRPr="00CF2A74">
              <w:rPr>
                <w:sz w:val="16"/>
                <w:szCs w:val="16"/>
                <w:rtl/>
              </w:rPr>
              <w:t>-</w:t>
            </w:r>
          </w:p>
        </w:tc>
        <w:tc>
          <w:tcPr>
            <w:tcW w:w="852" w:type="dxa"/>
            <w:vAlign w:val="bottom"/>
          </w:tcPr>
          <w:p w14:paraId="64AA980D" w14:textId="77777777" w:rsidR="004E0E02" w:rsidRPr="00513F0D" w:rsidRDefault="004E0E02" w:rsidP="0084040C">
            <w:pPr>
              <w:pStyle w:val="-3"/>
              <w:rPr>
                <w:sz w:val="16"/>
                <w:szCs w:val="16"/>
                <w:rtl/>
              </w:rPr>
            </w:pPr>
            <w:r w:rsidRPr="00CF2A74">
              <w:rPr>
                <w:sz w:val="16"/>
                <w:szCs w:val="16"/>
                <w:rtl/>
              </w:rPr>
              <w:t>-</w:t>
            </w:r>
          </w:p>
        </w:tc>
        <w:tc>
          <w:tcPr>
            <w:tcW w:w="963" w:type="dxa"/>
            <w:vAlign w:val="bottom"/>
          </w:tcPr>
          <w:p w14:paraId="7F9806CE" w14:textId="77777777" w:rsidR="004E0E02" w:rsidRPr="00513F0D" w:rsidRDefault="004E0E02" w:rsidP="0084040C">
            <w:pPr>
              <w:pStyle w:val="-3"/>
              <w:rPr>
                <w:sz w:val="16"/>
                <w:szCs w:val="16"/>
                <w:rtl/>
              </w:rPr>
            </w:pPr>
            <w:r w:rsidRPr="00CF2A74">
              <w:rPr>
                <w:sz w:val="16"/>
                <w:szCs w:val="16"/>
                <w:rtl/>
              </w:rPr>
              <w:t>-</w:t>
            </w:r>
          </w:p>
        </w:tc>
        <w:tc>
          <w:tcPr>
            <w:tcW w:w="751" w:type="dxa"/>
            <w:vAlign w:val="bottom"/>
          </w:tcPr>
          <w:p w14:paraId="064A161C" w14:textId="77777777" w:rsidR="004E0E02" w:rsidRPr="00513F0D" w:rsidRDefault="004E0E02" w:rsidP="0084040C">
            <w:pPr>
              <w:pStyle w:val="-3"/>
              <w:rPr>
                <w:sz w:val="16"/>
                <w:szCs w:val="16"/>
                <w:rtl/>
              </w:rPr>
            </w:pPr>
            <w:r w:rsidRPr="00CF2A74">
              <w:rPr>
                <w:sz w:val="16"/>
                <w:szCs w:val="16"/>
                <w:rtl/>
              </w:rPr>
              <w:t>-</w:t>
            </w:r>
          </w:p>
        </w:tc>
        <w:tc>
          <w:tcPr>
            <w:tcW w:w="1072" w:type="dxa"/>
            <w:vAlign w:val="bottom"/>
          </w:tcPr>
          <w:p w14:paraId="633EDAA8"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7D57387E" w14:textId="77777777" w:rsidR="004E0E02" w:rsidRPr="00513F0D" w:rsidRDefault="004E0E02" w:rsidP="0084040C">
            <w:pPr>
              <w:pStyle w:val="-3"/>
              <w:jc w:val="left"/>
              <w:rPr>
                <w:sz w:val="16"/>
                <w:szCs w:val="16"/>
                <w:rtl/>
              </w:rPr>
            </w:pPr>
            <w:r w:rsidRPr="00CF2A74">
              <w:rPr>
                <w:sz w:val="16"/>
                <w:szCs w:val="16"/>
                <w:rtl/>
              </w:rPr>
              <w:t xml:space="preserve"> -</w:t>
            </w:r>
          </w:p>
        </w:tc>
        <w:tc>
          <w:tcPr>
            <w:tcW w:w="767" w:type="dxa"/>
            <w:vAlign w:val="bottom"/>
          </w:tcPr>
          <w:p w14:paraId="161F3555" w14:textId="77777777" w:rsidR="004E0E02" w:rsidRPr="00CF2A74" w:rsidRDefault="004E0E02" w:rsidP="0084040C">
            <w:pPr>
              <w:pStyle w:val="-3"/>
              <w:jc w:val="left"/>
              <w:rPr>
                <w:sz w:val="16"/>
                <w:szCs w:val="16"/>
                <w:rtl/>
              </w:rPr>
            </w:pPr>
            <w:r w:rsidRPr="00CF2A74">
              <w:rPr>
                <w:sz w:val="16"/>
                <w:szCs w:val="16"/>
                <w:rtl/>
              </w:rPr>
              <w:t>-</w:t>
            </w:r>
          </w:p>
        </w:tc>
        <w:tc>
          <w:tcPr>
            <w:tcW w:w="914" w:type="dxa"/>
            <w:vAlign w:val="bottom"/>
          </w:tcPr>
          <w:p w14:paraId="464DC596" w14:textId="77777777" w:rsidR="004E0E02" w:rsidRPr="00513F0D" w:rsidRDefault="004E0E02" w:rsidP="0084040C">
            <w:pPr>
              <w:pStyle w:val="-3"/>
              <w:jc w:val="left"/>
              <w:rPr>
                <w:sz w:val="16"/>
                <w:szCs w:val="16"/>
                <w:rtl/>
              </w:rPr>
            </w:pPr>
            <w:r w:rsidRPr="00CF2A74">
              <w:rPr>
                <w:sz w:val="16"/>
                <w:szCs w:val="16"/>
                <w:rtl/>
              </w:rPr>
              <w:t xml:space="preserve"> -</w:t>
            </w:r>
          </w:p>
        </w:tc>
        <w:tc>
          <w:tcPr>
            <w:tcW w:w="838" w:type="dxa"/>
            <w:vAlign w:val="bottom"/>
          </w:tcPr>
          <w:p w14:paraId="30A1DED0" w14:textId="77777777" w:rsidR="004E0E02" w:rsidRPr="00513F0D" w:rsidRDefault="004E0E02" w:rsidP="0084040C">
            <w:pPr>
              <w:pStyle w:val="-3"/>
              <w:jc w:val="left"/>
              <w:rPr>
                <w:sz w:val="16"/>
                <w:szCs w:val="16"/>
                <w:rtl/>
              </w:rPr>
            </w:pPr>
            <w:r w:rsidRPr="00CF2A74">
              <w:rPr>
                <w:sz w:val="16"/>
                <w:szCs w:val="16"/>
                <w:rtl/>
              </w:rPr>
              <w:t xml:space="preserve"> -</w:t>
            </w:r>
          </w:p>
        </w:tc>
        <w:tc>
          <w:tcPr>
            <w:tcW w:w="900" w:type="dxa"/>
            <w:vAlign w:val="bottom"/>
          </w:tcPr>
          <w:p w14:paraId="4CEDAACD" w14:textId="77777777" w:rsidR="004E0E02" w:rsidRPr="00513F0D" w:rsidRDefault="004E0E02" w:rsidP="0084040C">
            <w:pPr>
              <w:pStyle w:val="-3"/>
              <w:jc w:val="left"/>
              <w:rPr>
                <w:sz w:val="16"/>
                <w:szCs w:val="16"/>
                <w:rtl/>
              </w:rPr>
            </w:pPr>
            <w:r w:rsidRPr="00CF2A74">
              <w:rPr>
                <w:sz w:val="16"/>
                <w:szCs w:val="16"/>
                <w:rtl/>
              </w:rPr>
              <w:t xml:space="preserve"> 0</w:t>
            </w:r>
          </w:p>
        </w:tc>
        <w:tc>
          <w:tcPr>
            <w:tcW w:w="681" w:type="dxa"/>
            <w:vAlign w:val="bottom"/>
          </w:tcPr>
          <w:p w14:paraId="54BE6120" w14:textId="77777777" w:rsidR="004E0E02" w:rsidRPr="00513F0D" w:rsidRDefault="004E0E02" w:rsidP="0084040C">
            <w:pPr>
              <w:pStyle w:val="-3"/>
              <w:jc w:val="left"/>
              <w:rPr>
                <w:sz w:val="16"/>
                <w:szCs w:val="16"/>
                <w:rtl/>
              </w:rPr>
            </w:pPr>
            <w:r w:rsidRPr="00CF2A74">
              <w:rPr>
                <w:sz w:val="16"/>
                <w:szCs w:val="16"/>
                <w:rtl/>
              </w:rPr>
              <w:t xml:space="preserve"> -</w:t>
            </w:r>
          </w:p>
        </w:tc>
        <w:tc>
          <w:tcPr>
            <w:tcW w:w="1328" w:type="dxa"/>
            <w:vAlign w:val="bottom"/>
          </w:tcPr>
          <w:p w14:paraId="26A0DC9F" w14:textId="77777777" w:rsidR="004E0E02" w:rsidRPr="00513F0D" w:rsidRDefault="004E0E02" w:rsidP="0084040C">
            <w:pPr>
              <w:pStyle w:val="-3"/>
              <w:jc w:val="left"/>
              <w:rPr>
                <w:sz w:val="16"/>
                <w:szCs w:val="16"/>
                <w:rtl/>
              </w:rPr>
            </w:pPr>
            <w:r w:rsidRPr="00CF2A74">
              <w:rPr>
                <w:sz w:val="16"/>
                <w:szCs w:val="16"/>
                <w:rtl/>
              </w:rPr>
              <w:t xml:space="preserve"> 0</w:t>
            </w:r>
          </w:p>
        </w:tc>
        <w:tc>
          <w:tcPr>
            <w:tcW w:w="713" w:type="dxa"/>
            <w:vAlign w:val="bottom"/>
          </w:tcPr>
          <w:p w14:paraId="043C8AFE" w14:textId="77777777" w:rsidR="004E0E02" w:rsidRPr="00513F0D" w:rsidRDefault="004E0E02" w:rsidP="0084040C">
            <w:pPr>
              <w:pStyle w:val="-3"/>
              <w:jc w:val="left"/>
              <w:rPr>
                <w:sz w:val="16"/>
                <w:szCs w:val="16"/>
                <w:rtl/>
              </w:rPr>
            </w:pPr>
            <w:r w:rsidRPr="00CF2A74">
              <w:rPr>
                <w:sz w:val="16"/>
                <w:szCs w:val="16"/>
                <w:rtl/>
              </w:rPr>
              <w:t xml:space="preserve"> 0</w:t>
            </w:r>
          </w:p>
        </w:tc>
        <w:tc>
          <w:tcPr>
            <w:tcW w:w="765" w:type="dxa"/>
            <w:vAlign w:val="bottom"/>
          </w:tcPr>
          <w:p w14:paraId="21ACF3D6" w14:textId="77777777" w:rsidR="004E0E02" w:rsidRPr="00513F0D" w:rsidRDefault="004E0E02" w:rsidP="0084040C">
            <w:pPr>
              <w:pStyle w:val="-3"/>
              <w:jc w:val="left"/>
              <w:rPr>
                <w:sz w:val="16"/>
                <w:szCs w:val="16"/>
                <w:rtl/>
              </w:rPr>
            </w:pPr>
            <w:r w:rsidRPr="00CF2A74">
              <w:rPr>
                <w:sz w:val="16"/>
                <w:szCs w:val="16"/>
                <w:rtl/>
              </w:rPr>
              <w:t xml:space="preserve"> 0</w:t>
            </w:r>
          </w:p>
        </w:tc>
      </w:tr>
      <w:tr w:rsidR="0030599F" w:rsidRPr="00513F0D" w14:paraId="77833D32" w14:textId="77777777" w:rsidTr="004A1ADA">
        <w:tc>
          <w:tcPr>
            <w:tcW w:w="850" w:type="dxa"/>
          </w:tcPr>
          <w:p w14:paraId="12297412"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5B569E79" w14:textId="77777777" w:rsidR="004E0E02" w:rsidRPr="00513F0D" w:rsidRDefault="004E0E02" w:rsidP="0084040C">
            <w:pPr>
              <w:pStyle w:val="-0"/>
              <w:rPr>
                <w:sz w:val="16"/>
                <w:szCs w:val="16"/>
                <w:rtl/>
              </w:rPr>
            </w:pPr>
            <w:r w:rsidRPr="00CF2A74">
              <w:rPr>
                <w:rFonts w:hint="eastAsia"/>
                <w:sz w:val="16"/>
                <w:szCs w:val="16"/>
                <w:rtl/>
              </w:rPr>
              <w:t>הטבות</w:t>
            </w:r>
            <w:r w:rsidRPr="00CF2A74">
              <w:rPr>
                <w:sz w:val="16"/>
                <w:szCs w:val="16"/>
                <w:rtl/>
              </w:rPr>
              <w:t xml:space="preserve"> </w:t>
            </w:r>
            <w:r w:rsidRPr="00CF2A74">
              <w:rPr>
                <w:rFonts w:hint="eastAsia"/>
                <w:sz w:val="16"/>
                <w:szCs w:val="16"/>
                <w:rtl/>
              </w:rPr>
              <w:t>שניתנו</w:t>
            </w:r>
            <w:r w:rsidRPr="00CF2A74">
              <w:rPr>
                <w:sz w:val="16"/>
                <w:szCs w:val="16"/>
                <w:rtl/>
              </w:rPr>
              <w:t xml:space="preserve"> </w:t>
            </w:r>
            <w:r w:rsidRPr="00CF2A74">
              <w:rPr>
                <w:rFonts w:hint="eastAsia"/>
                <w:sz w:val="16"/>
                <w:szCs w:val="16"/>
                <w:rtl/>
              </w:rPr>
              <w:t>לבעל</w:t>
            </w:r>
            <w:r w:rsidRPr="00CF2A74">
              <w:rPr>
                <w:sz w:val="16"/>
                <w:szCs w:val="16"/>
                <w:rtl/>
              </w:rPr>
              <w:t xml:space="preserve"> </w:t>
            </w:r>
            <w:r w:rsidRPr="00CF2A74">
              <w:rPr>
                <w:rFonts w:hint="eastAsia"/>
                <w:sz w:val="16"/>
                <w:szCs w:val="16"/>
                <w:rtl/>
              </w:rPr>
              <w:t>שליטה</w:t>
            </w:r>
          </w:p>
        </w:tc>
        <w:tc>
          <w:tcPr>
            <w:tcW w:w="672" w:type="dxa"/>
            <w:vAlign w:val="bottom"/>
          </w:tcPr>
          <w:p w14:paraId="250A60D3" w14:textId="77777777" w:rsidR="004E0E02" w:rsidRPr="00513F0D" w:rsidRDefault="004E0E02" w:rsidP="0084040C">
            <w:pPr>
              <w:pStyle w:val="-3"/>
              <w:rPr>
                <w:sz w:val="16"/>
                <w:szCs w:val="16"/>
                <w:rtl/>
              </w:rPr>
            </w:pPr>
            <w:r w:rsidRPr="00CF2A74">
              <w:rPr>
                <w:sz w:val="16"/>
                <w:szCs w:val="16"/>
                <w:rtl/>
              </w:rPr>
              <w:t>-</w:t>
            </w:r>
          </w:p>
        </w:tc>
        <w:tc>
          <w:tcPr>
            <w:tcW w:w="852" w:type="dxa"/>
            <w:vAlign w:val="bottom"/>
          </w:tcPr>
          <w:p w14:paraId="1A314277" w14:textId="77777777" w:rsidR="004E0E02" w:rsidRPr="00513F0D" w:rsidRDefault="004E0E02" w:rsidP="0084040C">
            <w:pPr>
              <w:pStyle w:val="-3"/>
              <w:rPr>
                <w:sz w:val="16"/>
                <w:szCs w:val="16"/>
                <w:rtl/>
              </w:rPr>
            </w:pPr>
            <w:r w:rsidRPr="00CF2A74">
              <w:rPr>
                <w:sz w:val="16"/>
                <w:szCs w:val="16"/>
                <w:rtl/>
              </w:rPr>
              <w:t>-</w:t>
            </w:r>
          </w:p>
        </w:tc>
        <w:tc>
          <w:tcPr>
            <w:tcW w:w="963" w:type="dxa"/>
            <w:vAlign w:val="bottom"/>
          </w:tcPr>
          <w:p w14:paraId="6ECF9177" w14:textId="77777777" w:rsidR="004E0E02" w:rsidRPr="00513F0D" w:rsidRDefault="004E0E02" w:rsidP="0084040C">
            <w:pPr>
              <w:pStyle w:val="-3"/>
              <w:rPr>
                <w:sz w:val="16"/>
                <w:szCs w:val="16"/>
                <w:rtl/>
              </w:rPr>
            </w:pPr>
            <w:r w:rsidRPr="00CF2A74">
              <w:rPr>
                <w:sz w:val="16"/>
                <w:szCs w:val="16"/>
                <w:rtl/>
              </w:rPr>
              <w:t>-</w:t>
            </w:r>
          </w:p>
        </w:tc>
        <w:tc>
          <w:tcPr>
            <w:tcW w:w="751" w:type="dxa"/>
            <w:vAlign w:val="bottom"/>
          </w:tcPr>
          <w:p w14:paraId="2C0C71F3" w14:textId="77777777" w:rsidR="004E0E02" w:rsidRPr="00513F0D" w:rsidRDefault="004E0E02" w:rsidP="0084040C">
            <w:pPr>
              <w:pStyle w:val="-3"/>
              <w:rPr>
                <w:sz w:val="16"/>
                <w:szCs w:val="16"/>
                <w:rtl/>
              </w:rPr>
            </w:pPr>
            <w:r w:rsidRPr="00CF2A74">
              <w:rPr>
                <w:sz w:val="16"/>
                <w:szCs w:val="16"/>
                <w:rtl/>
              </w:rPr>
              <w:t>-</w:t>
            </w:r>
          </w:p>
        </w:tc>
        <w:tc>
          <w:tcPr>
            <w:tcW w:w="1072" w:type="dxa"/>
            <w:vAlign w:val="bottom"/>
          </w:tcPr>
          <w:p w14:paraId="747C4A85"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5F43C8F3" w14:textId="77777777" w:rsidR="004E0E02" w:rsidRPr="00513F0D" w:rsidRDefault="004E0E02" w:rsidP="0084040C">
            <w:pPr>
              <w:pStyle w:val="-3"/>
              <w:jc w:val="left"/>
              <w:rPr>
                <w:sz w:val="16"/>
                <w:szCs w:val="16"/>
                <w:rtl/>
              </w:rPr>
            </w:pPr>
            <w:r w:rsidRPr="00CF2A74">
              <w:rPr>
                <w:sz w:val="16"/>
                <w:szCs w:val="16"/>
                <w:rtl/>
              </w:rPr>
              <w:t xml:space="preserve"> 0</w:t>
            </w:r>
          </w:p>
        </w:tc>
        <w:tc>
          <w:tcPr>
            <w:tcW w:w="767" w:type="dxa"/>
            <w:vAlign w:val="bottom"/>
          </w:tcPr>
          <w:p w14:paraId="4680FD33" w14:textId="77777777" w:rsidR="004E0E02" w:rsidRPr="00CF2A74" w:rsidRDefault="004E0E02" w:rsidP="0084040C">
            <w:pPr>
              <w:pStyle w:val="-3"/>
              <w:jc w:val="left"/>
              <w:rPr>
                <w:sz w:val="16"/>
                <w:szCs w:val="16"/>
                <w:rtl/>
              </w:rPr>
            </w:pPr>
            <w:r w:rsidRPr="00CF2A74">
              <w:rPr>
                <w:sz w:val="16"/>
                <w:szCs w:val="16"/>
                <w:rtl/>
              </w:rPr>
              <w:t>-</w:t>
            </w:r>
          </w:p>
        </w:tc>
        <w:tc>
          <w:tcPr>
            <w:tcW w:w="914" w:type="dxa"/>
            <w:vAlign w:val="bottom"/>
          </w:tcPr>
          <w:p w14:paraId="5D7E6F15" w14:textId="77777777" w:rsidR="004E0E02" w:rsidRPr="00513F0D" w:rsidRDefault="004E0E02" w:rsidP="0084040C">
            <w:pPr>
              <w:pStyle w:val="-3"/>
              <w:jc w:val="left"/>
              <w:rPr>
                <w:sz w:val="16"/>
                <w:szCs w:val="16"/>
                <w:rtl/>
              </w:rPr>
            </w:pPr>
            <w:r w:rsidRPr="00CF2A74">
              <w:rPr>
                <w:sz w:val="16"/>
                <w:szCs w:val="16"/>
                <w:rtl/>
              </w:rPr>
              <w:t xml:space="preserve"> 0</w:t>
            </w:r>
          </w:p>
        </w:tc>
        <w:tc>
          <w:tcPr>
            <w:tcW w:w="838" w:type="dxa"/>
            <w:vAlign w:val="bottom"/>
          </w:tcPr>
          <w:p w14:paraId="56786580" w14:textId="77777777" w:rsidR="004E0E02" w:rsidRPr="00513F0D" w:rsidRDefault="004E0E02" w:rsidP="0084040C">
            <w:pPr>
              <w:pStyle w:val="-3"/>
              <w:jc w:val="left"/>
              <w:rPr>
                <w:sz w:val="16"/>
                <w:szCs w:val="16"/>
                <w:rtl/>
              </w:rPr>
            </w:pPr>
            <w:r w:rsidRPr="00CF2A74">
              <w:rPr>
                <w:sz w:val="16"/>
                <w:szCs w:val="16"/>
                <w:rtl/>
              </w:rPr>
              <w:t xml:space="preserve"> -</w:t>
            </w:r>
          </w:p>
        </w:tc>
        <w:tc>
          <w:tcPr>
            <w:tcW w:w="900" w:type="dxa"/>
            <w:vAlign w:val="bottom"/>
          </w:tcPr>
          <w:p w14:paraId="63DAB66A" w14:textId="77777777" w:rsidR="004E0E02" w:rsidRPr="00513F0D" w:rsidRDefault="004E0E02" w:rsidP="0084040C">
            <w:pPr>
              <w:pStyle w:val="-3"/>
              <w:jc w:val="left"/>
              <w:rPr>
                <w:sz w:val="16"/>
                <w:szCs w:val="16"/>
                <w:rtl/>
              </w:rPr>
            </w:pPr>
            <w:r w:rsidRPr="00CF2A74">
              <w:rPr>
                <w:sz w:val="16"/>
                <w:szCs w:val="16"/>
                <w:rtl/>
              </w:rPr>
              <w:t xml:space="preserve"> 0</w:t>
            </w:r>
          </w:p>
        </w:tc>
        <w:tc>
          <w:tcPr>
            <w:tcW w:w="681" w:type="dxa"/>
            <w:vAlign w:val="bottom"/>
          </w:tcPr>
          <w:p w14:paraId="5894F552" w14:textId="77777777" w:rsidR="004E0E02" w:rsidRPr="00513F0D" w:rsidRDefault="004E0E02" w:rsidP="0084040C">
            <w:pPr>
              <w:pStyle w:val="-3"/>
              <w:jc w:val="left"/>
              <w:rPr>
                <w:sz w:val="16"/>
                <w:szCs w:val="16"/>
                <w:rtl/>
              </w:rPr>
            </w:pPr>
            <w:r w:rsidRPr="00CF2A74">
              <w:rPr>
                <w:sz w:val="16"/>
                <w:szCs w:val="16"/>
                <w:rtl/>
              </w:rPr>
              <w:t xml:space="preserve"> -</w:t>
            </w:r>
          </w:p>
        </w:tc>
        <w:tc>
          <w:tcPr>
            <w:tcW w:w="1328" w:type="dxa"/>
            <w:vAlign w:val="bottom"/>
          </w:tcPr>
          <w:p w14:paraId="65942B72" w14:textId="77777777" w:rsidR="004E0E02" w:rsidRPr="00513F0D" w:rsidRDefault="004E0E02" w:rsidP="0084040C">
            <w:pPr>
              <w:pStyle w:val="-3"/>
              <w:jc w:val="left"/>
              <w:rPr>
                <w:sz w:val="16"/>
                <w:szCs w:val="16"/>
                <w:rtl/>
              </w:rPr>
            </w:pPr>
            <w:r w:rsidRPr="00CF2A74">
              <w:rPr>
                <w:sz w:val="16"/>
                <w:szCs w:val="16"/>
                <w:rtl/>
              </w:rPr>
              <w:t xml:space="preserve"> 0</w:t>
            </w:r>
          </w:p>
        </w:tc>
        <w:tc>
          <w:tcPr>
            <w:tcW w:w="713" w:type="dxa"/>
            <w:vAlign w:val="bottom"/>
          </w:tcPr>
          <w:p w14:paraId="00539A65" w14:textId="77777777" w:rsidR="004E0E02" w:rsidRPr="00513F0D" w:rsidRDefault="004E0E02" w:rsidP="0084040C">
            <w:pPr>
              <w:pStyle w:val="-3"/>
              <w:jc w:val="left"/>
              <w:rPr>
                <w:sz w:val="16"/>
                <w:szCs w:val="16"/>
                <w:rtl/>
              </w:rPr>
            </w:pPr>
            <w:r w:rsidRPr="00CF2A74">
              <w:rPr>
                <w:sz w:val="16"/>
                <w:szCs w:val="16"/>
                <w:rtl/>
              </w:rPr>
              <w:t xml:space="preserve"> 0</w:t>
            </w:r>
          </w:p>
        </w:tc>
        <w:tc>
          <w:tcPr>
            <w:tcW w:w="765" w:type="dxa"/>
            <w:vAlign w:val="bottom"/>
          </w:tcPr>
          <w:p w14:paraId="2256D056" w14:textId="77777777" w:rsidR="004E0E02" w:rsidRPr="00513F0D" w:rsidRDefault="004E0E02" w:rsidP="0084040C">
            <w:pPr>
              <w:pStyle w:val="-3"/>
              <w:jc w:val="left"/>
              <w:rPr>
                <w:sz w:val="16"/>
                <w:szCs w:val="16"/>
                <w:rtl/>
              </w:rPr>
            </w:pPr>
            <w:r w:rsidRPr="00CF2A74">
              <w:rPr>
                <w:sz w:val="16"/>
                <w:szCs w:val="16"/>
                <w:rtl/>
              </w:rPr>
              <w:t xml:space="preserve"> 0</w:t>
            </w:r>
          </w:p>
        </w:tc>
      </w:tr>
      <w:tr w:rsidR="0030599F" w:rsidRPr="00513F0D" w14:paraId="7E6F9CEA" w14:textId="77777777" w:rsidTr="004A1ADA">
        <w:tc>
          <w:tcPr>
            <w:tcW w:w="850" w:type="dxa"/>
          </w:tcPr>
          <w:p w14:paraId="00CF9A1C"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3757C9DD" w14:textId="77777777" w:rsidR="004E0E02" w:rsidRPr="004B788F" w:rsidRDefault="00B44059" w:rsidP="0084040C">
            <w:pPr>
              <w:pStyle w:val="-b"/>
              <w:rPr>
                <w:b w:val="0"/>
                <w:bCs w:val="0"/>
                <w:sz w:val="16"/>
                <w:szCs w:val="16"/>
                <w:rtl/>
              </w:rPr>
            </w:pPr>
            <w:r w:rsidRPr="00B44059">
              <w:rPr>
                <w:rFonts w:hint="eastAsia"/>
                <w:b w:val="0"/>
                <w:bCs w:val="0"/>
                <w:sz w:val="16"/>
                <w:szCs w:val="16"/>
                <w:u w:val="single"/>
                <w:rtl/>
              </w:rPr>
              <w:t>התאמות</w:t>
            </w:r>
            <w:r w:rsidRPr="00B44059">
              <w:rPr>
                <w:b w:val="0"/>
                <w:bCs w:val="0"/>
                <w:sz w:val="16"/>
                <w:szCs w:val="16"/>
                <w:u w:val="single"/>
                <w:rtl/>
              </w:rPr>
              <w:t xml:space="preserve"> </w:t>
            </w:r>
            <w:r w:rsidRPr="00B44059">
              <w:rPr>
                <w:rFonts w:hint="eastAsia"/>
                <w:b w:val="0"/>
                <w:bCs w:val="0"/>
                <w:sz w:val="16"/>
                <w:szCs w:val="16"/>
                <w:u w:val="single"/>
                <w:rtl/>
              </w:rPr>
              <w:t>ושינויים</w:t>
            </w:r>
            <w:r w:rsidRPr="00B44059">
              <w:rPr>
                <w:b w:val="0"/>
                <w:bCs w:val="0"/>
                <w:sz w:val="16"/>
                <w:szCs w:val="16"/>
                <w:u w:val="single"/>
                <w:rtl/>
              </w:rPr>
              <w:t xml:space="preserve"> </w:t>
            </w:r>
            <w:r w:rsidRPr="00B44059">
              <w:rPr>
                <w:rFonts w:hint="eastAsia"/>
                <w:b w:val="0"/>
                <w:bCs w:val="0"/>
                <w:sz w:val="16"/>
                <w:szCs w:val="16"/>
                <w:u w:val="single"/>
                <w:rtl/>
              </w:rPr>
              <w:t>הנובעים</w:t>
            </w:r>
            <w:r w:rsidRPr="00B44059">
              <w:rPr>
                <w:b w:val="0"/>
                <w:bCs w:val="0"/>
                <w:sz w:val="16"/>
                <w:szCs w:val="16"/>
                <w:u w:val="single"/>
                <w:rtl/>
              </w:rPr>
              <w:t xml:space="preserve"> </w:t>
            </w:r>
            <w:r w:rsidRPr="00B44059">
              <w:rPr>
                <w:rFonts w:hint="eastAsia"/>
                <w:b w:val="0"/>
                <w:bCs w:val="0"/>
                <w:sz w:val="16"/>
                <w:szCs w:val="16"/>
                <w:u w:val="single"/>
                <w:rtl/>
              </w:rPr>
              <w:t>מ</w:t>
            </w:r>
            <w:r w:rsidRPr="00B44059">
              <w:rPr>
                <w:b w:val="0"/>
                <w:bCs w:val="0"/>
                <w:sz w:val="16"/>
                <w:szCs w:val="16"/>
                <w:rtl/>
              </w:rPr>
              <w:t>:</w:t>
            </w:r>
          </w:p>
        </w:tc>
        <w:tc>
          <w:tcPr>
            <w:tcW w:w="672" w:type="dxa"/>
            <w:vAlign w:val="bottom"/>
          </w:tcPr>
          <w:p w14:paraId="3DE7E4C6" w14:textId="77777777" w:rsidR="004E0E02" w:rsidRPr="00513F0D" w:rsidRDefault="004E0E02" w:rsidP="0084040C">
            <w:pPr>
              <w:pStyle w:val="-3"/>
              <w:rPr>
                <w:sz w:val="16"/>
                <w:szCs w:val="16"/>
                <w:rtl/>
              </w:rPr>
            </w:pPr>
          </w:p>
        </w:tc>
        <w:tc>
          <w:tcPr>
            <w:tcW w:w="852" w:type="dxa"/>
            <w:vAlign w:val="bottom"/>
          </w:tcPr>
          <w:p w14:paraId="04405BCC" w14:textId="77777777" w:rsidR="004E0E02" w:rsidRPr="00513F0D" w:rsidRDefault="004E0E02" w:rsidP="0084040C">
            <w:pPr>
              <w:pStyle w:val="-3"/>
              <w:rPr>
                <w:sz w:val="16"/>
                <w:szCs w:val="16"/>
                <w:rtl/>
              </w:rPr>
            </w:pPr>
          </w:p>
        </w:tc>
        <w:tc>
          <w:tcPr>
            <w:tcW w:w="963" w:type="dxa"/>
            <w:vAlign w:val="bottom"/>
          </w:tcPr>
          <w:p w14:paraId="340E48BF" w14:textId="77777777" w:rsidR="004E0E02" w:rsidRPr="00513F0D" w:rsidRDefault="004E0E02" w:rsidP="0084040C">
            <w:pPr>
              <w:pStyle w:val="-3"/>
              <w:rPr>
                <w:sz w:val="16"/>
                <w:szCs w:val="16"/>
                <w:rtl/>
              </w:rPr>
            </w:pPr>
          </w:p>
        </w:tc>
        <w:tc>
          <w:tcPr>
            <w:tcW w:w="751" w:type="dxa"/>
            <w:vAlign w:val="bottom"/>
          </w:tcPr>
          <w:p w14:paraId="2309A499" w14:textId="77777777" w:rsidR="004E0E02" w:rsidRPr="00513F0D" w:rsidRDefault="004E0E02" w:rsidP="0084040C">
            <w:pPr>
              <w:pStyle w:val="-3"/>
              <w:rPr>
                <w:sz w:val="16"/>
                <w:szCs w:val="16"/>
                <w:rtl/>
              </w:rPr>
            </w:pPr>
          </w:p>
        </w:tc>
        <w:tc>
          <w:tcPr>
            <w:tcW w:w="1072" w:type="dxa"/>
            <w:vAlign w:val="bottom"/>
          </w:tcPr>
          <w:p w14:paraId="43FC59EC" w14:textId="77777777" w:rsidR="004E0E02" w:rsidRPr="009A7E4A" w:rsidRDefault="004E0E02" w:rsidP="0084040C">
            <w:pPr>
              <w:pStyle w:val="-3"/>
              <w:rPr>
                <w:sz w:val="16"/>
                <w:szCs w:val="16"/>
                <w:rtl/>
              </w:rPr>
            </w:pPr>
          </w:p>
        </w:tc>
        <w:tc>
          <w:tcPr>
            <w:tcW w:w="655" w:type="dxa"/>
            <w:vAlign w:val="bottom"/>
          </w:tcPr>
          <w:p w14:paraId="4312927E" w14:textId="77777777" w:rsidR="004E0E02" w:rsidRPr="00513F0D" w:rsidRDefault="004E0E02" w:rsidP="0084040C">
            <w:pPr>
              <w:pStyle w:val="-3"/>
              <w:jc w:val="left"/>
              <w:rPr>
                <w:sz w:val="16"/>
                <w:szCs w:val="16"/>
                <w:rtl/>
              </w:rPr>
            </w:pPr>
          </w:p>
        </w:tc>
        <w:tc>
          <w:tcPr>
            <w:tcW w:w="767" w:type="dxa"/>
            <w:vAlign w:val="bottom"/>
          </w:tcPr>
          <w:p w14:paraId="3A8ACADC" w14:textId="77777777" w:rsidR="004E0E02" w:rsidRPr="00513F0D" w:rsidRDefault="004E0E02" w:rsidP="0084040C">
            <w:pPr>
              <w:pStyle w:val="-3"/>
              <w:jc w:val="left"/>
              <w:rPr>
                <w:sz w:val="16"/>
                <w:szCs w:val="16"/>
                <w:rtl/>
              </w:rPr>
            </w:pPr>
          </w:p>
        </w:tc>
        <w:tc>
          <w:tcPr>
            <w:tcW w:w="914" w:type="dxa"/>
            <w:vAlign w:val="bottom"/>
          </w:tcPr>
          <w:p w14:paraId="799520A7" w14:textId="77777777" w:rsidR="004E0E02" w:rsidRPr="00513F0D" w:rsidRDefault="004E0E02" w:rsidP="0084040C">
            <w:pPr>
              <w:pStyle w:val="-3"/>
              <w:jc w:val="left"/>
              <w:rPr>
                <w:sz w:val="16"/>
                <w:szCs w:val="16"/>
                <w:rtl/>
              </w:rPr>
            </w:pPr>
          </w:p>
        </w:tc>
        <w:tc>
          <w:tcPr>
            <w:tcW w:w="838" w:type="dxa"/>
            <w:vAlign w:val="bottom"/>
          </w:tcPr>
          <w:p w14:paraId="6912927D" w14:textId="77777777" w:rsidR="004E0E02" w:rsidRPr="00513F0D" w:rsidRDefault="004E0E02" w:rsidP="0084040C">
            <w:pPr>
              <w:pStyle w:val="-3"/>
              <w:jc w:val="left"/>
              <w:rPr>
                <w:sz w:val="16"/>
                <w:szCs w:val="16"/>
                <w:rtl/>
              </w:rPr>
            </w:pPr>
          </w:p>
        </w:tc>
        <w:tc>
          <w:tcPr>
            <w:tcW w:w="900" w:type="dxa"/>
            <w:vAlign w:val="bottom"/>
          </w:tcPr>
          <w:p w14:paraId="088AADF0" w14:textId="77777777" w:rsidR="004E0E02" w:rsidRPr="00513F0D" w:rsidRDefault="004E0E02" w:rsidP="0084040C">
            <w:pPr>
              <w:pStyle w:val="-3"/>
              <w:jc w:val="left"/>
              <w:rPr>
                <w:sz w:val="16"/>
                <w:szCs w:val="16"/>
                <w:rtl/>
              </w:rPr>
            </w:pPr>
          </w:p>
        </w:tc>
        <w:tc>
          <w:tcPr>
            <w:tcW w:w="681" w:type="dxa"/>
            <w:vAlign w:val="bottom"/>
          </w:tcPr>
          <w:p w14:paraId="4B3F9293" w14:textId="77777777" w:rsidR="004E0E02" w:rsidRPr="00513F0D" w:rsidRDefault="004E0E02" w:rsidP="0084040C">
            <w:pPr>
              <w:pStyle w:val="-3"/>
              <w:jc w:val="left"/>
              <w:rPr>
                <w:sz w:val="16"/>
                <w:szCs w:val="16"/>
                <w:rtl/>
              </w:rPr>
            </w:pPr>
          </w:p>
        </w:tc>
        <w:tc>
          <w:tcPr>
            <w:tcW w:w="1328" w:type="dxa"/>
            <w:vAlign w:val="bottom"/>
          </w:tcPr>
          <w:p w14:paraId="60E6E8B1" w14:textId="77777777" w:rsidR="004E0E02" w:rsidRPr="00513F0D" w:rsidRDefault="004E0E02" w:rsidP="0084040C">
            <w:pPr>
              <w:pStyle w:val="-3"/>
              <w:jc w:val="left"/>
              <w:rPr>
                <w:sz w:val="16"/>
                <w:szCs w:val="16"/>
                <w:rtl/>
              </w:rPr>
            </w:pPr>
          </w:p>
        </w:tc>
        <w:tc>
          <w:tcPr>
            <w:tcW w:w="713" w:type="dxa"/>
            <w:vAlign w:val="bottom"/>
          </w:tcPr>
          <w:p w14:paraId="1579BF98" w14:textId="77777777" w:rsidR="004E0E02" w:rsidRPr="00513F0D" w:rsidRDefault="004E0E02" w:rsidP="0084040C">
            <w:pPr>
              <w:pStyle w:val="-3"/>
              <w:jc w:val="left"/>
              <w:rPr>
                <w:sz w:val="16"/>
                <w:szCs w:val="16"/>
                <w:rtl/>
              </w:rPr>
            </w:pPr>
          </w:p>
        </w:tc>
        <w:tc>
          <w:tcPr>
            <w:tcW w:w="765" w:type="dxa"/>
            <w:vAlign w:val="bottom"/>
          </w:tcPr>
          <w:p w14:paraId="7AB7F645" w14:textId="77777777" w:rsidR="004E0E02" w:rsidRPr="00513F0D" w:rsidRDefault="004E0E02" w:rsidP="0084040C">
            <w:pPr>
              <w:pStyle w:val="-3"/>
              <w:jc w:val="left"/>
              <w:rPr>
                <w:sz w:val="16"/>
                <w:szCs w:val="16"/>
                <w:rtl/>
              </w:rPr>
            </w:pPr>
          </w:p>
        </w:tc>
      </w:tr>
      <w:tr w:rsidR="0030599F" w:rsidRPr="00513F0D" w14:paraId="4F82E8A8" w14:textId="77777777" w:rsidTr="004A1ADA">
        <w:tc>
          <w:tcPr>
            <w:tcW w:w="850" w:type="dxa"/>
          </w:tcPr>
          <w:p w14:paraId="1AE3B3EC"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2C7A2267" w14:textId="77777777" w:rsidR="004E0E02" w:rsidRPr="00513F0D" w:rsidRDefault="004E0E02" w:rsidP="0084040C">
            <w:pPr>
              <w:pStyle w:val="-0"/>
              <w:rPr>
                <w:sz w:val="16"/>
                <w:szCs w:val="16"/>
                <w:rtl/>
              </w:rPr>
            </w:pPr>
            <w:r w:rsidRPr="00CF2A74">
              <w:rPr>
                <w:rFonts w:hint="eastAsia"/>
                <w:sz w:val="16"/>
                <w:szCs w:val="16"/>
                <w:rtl/>
              </w:rPr>
              <w:t>הנפקת</w:t>
            </w:r>
            <w:r w:rsidRPr="00CF2A74">
              <w:rPr>
                <w:sz w:val="16"/>
                <w:szCs w:val="16"/>
                <w:rtl/>
              </w:rPr>
              <w:t xml:space="preserve"> </w:t>
            </w:r>
            <w:r w:rsidRPr="00CF2A74">
              <w:rPr>
                <w:rFonts w:hint="eastAsia"/>
                <w:sz w:val="16"/>
                <w:szCs w:val="16"/>
                <w:rtl/>
              </w:rPr>
              <w:t>מניות</w:t>
            </w:r>
          </w:p>
        </w:tc>
        <w:tc>
          <w:tcPr>
            <w:tcW w:w="672" w:type="dxa"/>
            <w:vAlign w:val="bottom"/>
          </w:tcPr>
          <w:p w14:paraId="64868FB3" w14:textId="77777777" w:rsidR="004E0E02" w:rsidRPr="00513F0D" w:rsidRDefault="004E0E02" w:rsidP="0084040C">
            <w:pPr>
              <w:pStyle w:val="-3"/>
              <w:rPr>
                <w:sz w:val="16"/>
                <w:szCs w:val="16"/>
                <w:rtl/>
              </w:rPr>
            </w:pPr>
            <w:r w:rsidRPr="00CF2A74">
              <w:rPr>
                <w:sz w:val="16"/>
                <w:szCs w:val="16"/>
                <w:rtl/>
              </w:rPr>
              <w:t>0</w:t>
            </w:r>
          </w:p>
        </w:tc>
        <w:tc>
          <w:tcPr>
            <w:tcW w:w="852" w:type="dxa"/>
            <w:vAlign w:val="bottom"/>
          </w:tcPr>
          <w:p w14:paraId="1943AE68" w14:textId="77777777" w:rsidR="004E0E02" w:rsidRPr="00513F0D" w:rsidRDefault="004E0E02" w:rsidP="0084040C">
            <w:pPr>
              <w:pStyle w:val="-3"/>
              <w:rPr>
                <w:sz w:val="16"/>
                <w:szCs w:val="16"/>
                <w:rtl/>
              </w:rPr>
            </w:pPr>
            <w:r w:rsidRPr="00CF2A74">
              <w:rPr>
                <w:sz w:val="16"/>
                <w:szCs w:val="16"/>
                <w:rtl/>
              </w:rPr>
              <w:t>-</w:t>
            </w:r>
          </w:p>
        </w:tc>
        <w:tc>
          <w:tcPr>
            <w:tcW w:w="963" w:type="dxa"/>
            <w:vAlign w:val="bottom"/>
          </w:tcPr>
          <w:p w14:paraId="5486803B" w14:textId="77777777" w:rsidR="004E0E02" w:rsidRPr="00513F0D" w:rsidRDefault="004E0E02" w:rsidP="0084040C">
            <w:pPr>
              <w:pStyle w:val="-3"/>
              <w:rPr>
                <w:sz w:val="16"/>
                <w:szCs w:val="16"/>
                <w:rtl/>
              </w:rPr>
            </w:pPr>
            <w:r>
              <w:rPr>
                <w:rFonts w:hint="cs"/>
                <w:sz w:val="16"/>
                <w:szCs w:val="16"/>
                <w:rtl/>
              </w:rPr>
              <w:t>-</w:t>
            </w:r>
          </w:p>
        </w:tc>
        <w:tc>
          <w:tcPr>
            <w:tcW w:w="751" w:type="dxa"/>
            <w:vAlign w:val="bottom"/>
          </w:tcPr>
          <w:p w14:paraId="46F236F8" w14:textId="77777777" w:rsidR="004E0E02" w:rsidRPr="00513F0D" w:rsidRDefault="004E0E02" w:rsidP="0084040C">
            <w:pPr>
              <w:pStyle w:val="-3"/>
              <w:rPr>
                <w:sz w:val="16"/>
                <w:szCs w:val="16"/>
                <w:rtl/>
              </w:rPr>
            </w:pPr>
            <w:r w:rsidRPr="00CF2A74">
              <w:rPr>
                <w:sz w:val="16"/>
                <w:szCs w:val="16"/>
                <w:rtl/>
              </w:rPr>
              <w:t>0</w:t>
            </w:r>
          </w:p>
        </w:tc>
        <w:tc>
          <w:tcPr>
            <w:tcW w:w="1072" w:type="dxa"/>
            <w:vAlign w:val="bottom"/>
          </w:tcPr>
          <w:p w14:paraId="55339246"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367F5A87" w14:textId="77777777" w:rsidR="004E0E02" w:rsidRPr="00513F0D" w:rsidRDefault="004E0E02" w:rsidP="0084040C">
            <w:pPr>
              <w:pStyle w:val="-3"/>
              <w:jc w:val="left"/>
              <w:rPr>
                <w:sz w:val="16"/>
                <w:szCs w:val="16"/>
                <w:rtl/>
              </w:rPr>
            </w:pPr>
            <w:r w:rsidRPr="00CF2A74">
              <w:rPr>
                <w:sz w:val="16"/>
                <w:szCs w:val="16"/>
                <w:rtl/>
              </w:rPr>
              <w:t xml:space="preserve"> -</w:t>
            </w:r>
          </w:p>
        </w:tc>
        <w:tc>
          <w:tcPr>
            <w:tcW w:w="767" w:type="dxa"/>
            <w:vAlign w:val="bottom"/>
          </w:tcPr>
          <w:p w14:paraId="4EC0B161" w14:textId="77777777" w:rsidR="004E0E02" w:rsidRPr="00CF2A74" w:rsidRDefault="004E0E02" w:rsidP="0084040C">
            <w:pPr>
              <w:pStyle w:val="-3"/>
              <w:jc w:val="left"/>
              <w:rPr>
                <w:sz w:val="16"/>
                <w:szCs w:val="16"/>
                <w:rtl/>
              </w:rPr>
            </w:pPr>
            <w:r w:rsidRPr="00CF2A74">
              <w:rPr>
                <w:sz w:val="16"/>
                <w:szCs w:val="16"/>
                <w:rtl/>
              </w:rPr>
              <w:t>-</w:t>
            </w:r>
          </w:p>
        </w:tc>
        <w:tc>
          <w:tcPr>
            <w:tcW w:w="914" w:type="dxa"/>
            <w:vAlign w:val="bottom"/>
          </w:tcPr>
          <w:p w14:paraId="5161A2E4" w14:textId="77777777" w:rsidR="004E0E02" w:rsidRPr="00513F0D" w:rsidRDefault="004E0E02" w:rsidP="0084040C">
            <w:pPr>
              <w:pStyle w:val="-3"/>
              <w:jc w:val="left"/>
              <w:rPr>
                <w:sz w:val="16"/>
                <w:szCs w:val="16"/>
                <w:rtl/>
              </w:rPr>
            </w:pPr>
            <w:r w:rsidRPr="00CF2A74">
              <w:rPr>
                <w:sz w:val="16"/>
                <w:szCs w:val="16"/>
                <w:rtl/>
              </w:rPr>
              <w:t xml:space="preserve"> 0</w:t>
            </w:r>
          </w:p>
        </w:tc>
        <w:tc>
          <w:tcPr>
            <w:tcW w:w="838" w:type="dxa"/>
            <w:vAlign w:val="bottom"/>
          </w:tcPr>
          <w:p w14:paraId="29B2D7B3" w14:textId="77777777" w:rsidR="004E0E02" w:rsidRPr="00513F0D" w:rsidRDefault="004E0E02" w:rsidP="0084040C">
            <w:pPr>
              <w:pStyle w:val="-3"/>
              <w:jc w:val="left"/>
              <w:rPr>
                <w:sz w:val="16"/>
                <w:szCs w:val="16"/>
                <w:rtl/>
              </w:rPr>
            </w:pPr>
            <w:r w:rsidRPr="00CF2A74">
              <w:rPr>
                <w:sz w:val="16"/>
                <w:szCs w:val="16"/>
                <w:rtl/>
              </w:rPr>
              <w:t xml:space="preserve"> -</w:t>
            </w:r>
          </w:p>
        </w:tc>
        <w:tc>
          <w:tcPr>
            <w:tcW w:w="900" w:type="dxa"/>
            <w:vAlign w:val="bottom"/>
          </w:tcPr>
          <w:p w14:paraId="4D09C3D2" w14:textId="77777777" w:rsidR="004E0E02" w:rsidRPr="00513F0D" w:rsidRDefault="004E0E02" w:rsidP="0084040C">
            <w:pPr>
              <w:pStyle w:val="-3"/>
              <w:jc w:val="left"/>
              <w:rPr>
                <w:sz w:val="16"/>
                <w:szCs w:val="16"/>
                <w:rtl/>
              </w:rPr>
            </w:pPr>
            <w:r w:rsidRPr="00CF2A74">
              <w:rPr>
                <w:sz w:val="16"/>
                <w:szCs w:val="16"/>
                <w:rtl/>
              </w:rPr>
              <w:t xml:space="preserve"> -</w:t>
            </w:r>
          </w:p>
        </w:tc>
        <w:tc>
          <w:tcPr>
            <w:tcW w:w="681" w:type="dxa"/>
            <w:vAlign w:val="bottom"/>
          </w:tcPr>
          <w:p w14:paraId="0AAA284F" w14:textId="77777777" w:rsidR="004E0E02" w:rsidRPr="00513F0D" w:rsidRDefault="004E0E02" w:rsidP="0084040C">
            <w:pPr>
              <w:pStyle w:val="-3"/>
              <w:jc w:val="left"/>
              <w:rPr>
                <w:sz w:val="16"/>
                <w:szCs w:val="16"/>
                <w:rtl/>
              </w:rPr>
            </w:pPr>
            <w:r w:rsidRPr="00CF2A74">
              <w:rPr>
                <w:sz w:val="16"/>
                <w:szCs w:val="16"/>
                <w:rtl/>
              </w:rPr>
              <w:t xml:space="preserve"> 0</w:t>
            </w:r>
          </w:p>
        </w:tc>
        <w:tc>
          <w:tcPr>
            <w:tcW w:w="1328" w:type="dxa"/>
            <w:vAlign w:val="bottom"/>
          </w:tcPr>
          <w:p w14:paraId="3CD90A15" w14:textId="77777777" w:rsidR="004E0E02" w:rsidRPr="00513F0D" w:rsidRDefault="004E0E02" w:rsidP="00141F15">
            <w:pPr>
              <w:pStyle w:val="-3"/>
              <w:jc w:val="left"/>
              <w:rPr>
                <w:sz w:val="16"/>
                <w:szCs w:val="16"/>
                <w:rtl/>
              </w:rPr>
            </w:pPr>
            <w:r w:rsidRPr="00CF2A74">
              <w:rPr>
                <w:sz w:val="16"/>
                <w:szCs w:val="16"/>
                <w:rtl/>
              </w:rPr>
              <w:t xml:space="preserve"> 0</w:t>
            </w:r>
          </w:p>
        </w:tc>
        <w:tc>
          <w:tcPr>
            <w:tcW w:w="713" w:type="dxa"/>
            <w:vAlign w:val="bottom"/>
          </w:tcPr>
          <w:p w14:paraId="6D64A7FC" w14:textId="77777777" w:rsidR="004E0E02" w:rsidRPr="00513F0D" w:rsidRDefault="004E0E02" w:rsidP="00141F15">
            <w:pPr>
              <w:pStyle w:val="-3"/>
              <w:jc w:val="left"/>
              <w:rPr>
                <w:sz w:val="16"/>
                <w:szCs w:val="16"/>
                <w:rtl/>
              </w:rPr>
            </w:pPr>
            <w:r w:rsidRPr="00CF2A74">
              <w:rPr>
                <w:sz w:val="16"/>
                <w:szCs w:val="16"/>
                <w:rtl/>
              </w:rPr>
              <w:t xml:space="preserve"> 0</w:t>
            </w:r>
          </w:p>
        </w:tc>
        <w:tc>
          <w:tcPr>
            <w:tcW w:w="765" w:type="dxa"/>
            <w:vAlign w:val="bottom"/>
          </w:tcPr>
          <w:p w14:paraId="498D5F04" w14:textId="77777777" w:rsidR="004E0E02" w:rsidRPr="00513F0D" w:rsidRDefault="004E0E02" w:rsidP="00141F15">
            <w:pPr>
              <w:pStyle w:val="-3"/>
              <w:jc w:val="left"/>
              <w:rPr>
                <w:sz w:val="16"/>
                <w:szCs w:val="16"/>
                <w:rtl/>
              </w:rPr>
            </w:pPr>
            <w:r w:rsidRPr="00CF2A74">
              <w:rPr>
                <w:sz w:val="16"/>
                <w:szCs w:val="16"/>
                <w:rtl/>
              </w:rPr>
              <w:t xml:space="preserve"> 0</w:t>
            </w:r>
          </w:p>
        </w:tc>
      </w:tr>
      <w:tr w:rsidR="0030599F" w:rsidRPr="00513F0D" w14:paraId="628DF820" w14:textId="77777777" w:rsidTr="004A1ADA">
        <w:tc>
          <w:tcPr>
            <w:tcW w:w="850" w:type="dxa"/>
          </w:tcPr>
          <w:p w14:paraId="6C244474"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466304A9" w14:textId="77777777" w:rsidR="004E0E02" w:rsidRPr="00513F0D" w:rsidRDefault="004E0E02" w:rsidP="0084040C">
            <w:pPr>
              <w:pStyle w:val="-0"/>
              <w:rPr>
                <w:sz w:val="16"/>
                <w:szCs w:val="16"/>
                <w:rtl/>
              </w:rPr>
            </w:pPr>
            <w:r w:rsidRPr="00CF2A74">
              <w:rPr>
                <w:rFonts w:hint="eastAsia"/>
                <w:sz w:val="16"/>
                <w:szCs w:val="16"/>
                <w:rtl/>
              </w:rPr>
              <w:t>חלוקת</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הטבה</w:t>
            </w:r>
          </w:p>
        </w:tc>
        <w:tc>
          <w:tcPr>
            <w:tcW w:w="672" w:type="dxa"/>
            <w:vAlign w:val="bottom"/>
          </w:tcPr>
          <w:p w14:paraId="5FB69E3C" w14:textId="77777777" w:rsidR="004E0E02" w:rsidRPr="00513F0D" w:rsidRDefault="004E0E02" w:rsidP="0084040C">
            <w:pPr>
              <w:pStyle w:val="-3"/>
              <w:rPr>
                <w:sz w:val="16"/>
                <w:szCs w:val="16"/>
                <w:rtl/>
              </w:rPr>
            </w:pPr>
            <w:r w:rsidRPr="00CF2A74">
              <w:rPr>
                <w:sz w:val="16"/>
                <w:szCs w:val="16"/>
                <w:rtl/>
              </w:rPr>
              <w:t>0</w:t>
            </w:r>
          </w:p>
        </w:tc>
        <w:tc>
          <w:tcPr>
            <w:tcW w:w="852" w:type="dxa"/>
            <w:vAlign w:val="bottom"/>
          </w:tcPr>
          <w:p w14:paraId="7BE151A3" w14:textId="77777777" w:rsidR="004E0E02" w:rsidRPr="00513F0D" w:rsidRDefault="004E0E02" w:rsidP="0084040C">
            <w:pPr>
              <w:pStyle w:val="-3"/>
              <w:rPr>
                <w:sz w:val="16"/>
                <w:szCs w:val="16"/>
                <w:rtl/>
              </w:rPr>
            </w:pPr>
            <w:r w:rsidRPr="00CF2A74">
              <w:rPr>
                <w:sz w:val="16"/>
                <w:szCs w:val="16"/>
                <w:rtl/>
              </w:rPr>
              <w:t>-</w:t>
            </w:r>
          </w:p>
        </w:tc>
        <w:tc>
          <w:tcPr>
            <w:tcW w:w="963" w:type="dxa"/>
            <w:vAlign w:val="bottom"/>
          </w:tcPr>
          <w:p w14:paraId="0E05E55C" w14:textId="77777777" w:rsidR="004E0E02" w:rsidRPr="00513F0D" w:rsidRDefault="004E0E02" w:rsidP="0084040C">
            <w:pPr>
              <w:pStyle w:val="-3"/>
              <w:rPr>
                <w:sz w:val="16"/>
                <w:szCs w:val="16"/>
                <w:rtl/>
              </w:rPr>
            </w:pPr>
            <w:r>
              <w:rPr>
                <w:rFonts w:hint="cs"/>
                <w:sz w:val="16"/>
                <w:szCs w:val="16"/>
                <w:rtl/>
              </w:rPr>
              <w:t>-</w:t>
            </w:r>
          </w:p>
        </w:tc>
        <w:tc>
          <w:tcPr>
            <w:tcW w:w="751" w:type="dxa"/>
            <w:vAlign w:val="bottom"/>
          </w:tcPr>
          <w:p w14:paraId="133CB9BD" w14:textId="77777777" w:rsidR="004E0E02" w:rsidRPr="00513F0D" w:rsidRDefault="004E0E02" w:rsidP="0084040C">
            <w:pPr>
              <w:pStyle w:val="-3"/>
              <w:rPr>
                <w:sz w:val="16"/>
                <w:szCs w:val="16"/>
                <w:rtl/>
              </w:rPr>
            </w:pPr>
            <w:r w:rsidRPr="00CF2A74">
              <w:rPr>
                <w:sz w:val="16"/>
                <w:szCs w:val="16"/>
                <w:rtl/>
              </w:rPr>
              <w:t>0</w:t>
            </w:r>
          </w:p>
        </w:tc>
        <w:tc>
          <w:tcPr>
            <w:tcW w:w="1072" w:type="dxa"/>
            <w:vAlign w:val="bottom"/>
          </w:tcPr>
          <w:p w14:paraId="1BAE4DCC"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08EB3F30" w14:textId="77777777" w:rsidR="004E0E02" w:rsidRPr="00513F0D" w:rsidRDefault="004E0E02" w:rsidP="0084040C">
            <w:pPr>
              <w:pStyle w:val="-3"/>
              <w:jc w:val="left"/>
              <w:rPr>
                <w:sz w:val="16"/>
                <w:szCs w:val="16"/>
                <w:rtl/>
              </w:rPr>
            </w:pPr>
            <w:r w:rsidRPr="00CF2A74">
              <w:rPr>
                <w:sz w:val="16"/>
                <w:szCs w:val="16"/>
                <w:rtl/>
              </w:rPr>
              <w:t xml:space="preserve"> -</w:t>
            </w:r>
          </w:p>
        </w:tc>
        <w:tc>
          <w:tcPr>
            <w:tcW w:w="767" w:type="dxa"/>
            <w:vAlign w:val="bottom"/>
          </w:tcPr>
          <w:p w14:paraId="43E3D121" w14:textId="77777777" w:rsidR="004E0E02" w:rsidRPr="00CF2A74" w:rsidDel="004B788F" w:rsidRDefault="004E0E02">
            <w:pPr>
              <w:pStyle w:val="-3"/>
              <w:jc w:val="left"/>
              <w:rPr>
                <w:sz w:val="16"/>
                <w:szCs w:val="16"/>
                <w:rtl/>
              </w:rPr>
            </w:pPr>
            <w:r w:rsidRPr="00CF2A74">
              <w:rPr>
                <w:sz w:val="16"/>
                <w:szCs w:val="16"/>
                <w:rtl/>
              </w:rPr>
              <w:t>-</w:t>
            </w:r>
          </w:p>
        </w:tc>
        <w:tc>
          <w:tcPr>
            <w:tcW w:w="914" w:type="dxa"/>
            <w:vAlign w:val="bottom"/>
          </w:tcPr>
          <w:p w14:paraId="15DABDC7" w14:textId="77777777" w:rsidR="004E0E02" w:rsidRDefault="004E0E02">
            <w:pPr>
              <w:pStyle w:val="-3"/>
              <w:jc w:val="left"/>
              <w:rPr>
                <w:sz w:val="16"/>
                <w:szCs w:val="16"/>
                <w:rtl/>
              </w:rPr>
            </w:pPr>
            <w:r>
              <w:rPr>
                <w:rFonts w:hint="cs"/>
                <w:sz w:val="16"/>
                <w:szCs w:val="16"/>
                <w:rtl/>
              </w:rPr>
              <w:t xml:space="preserve"> 0</w:t>
            </w:r>
          </w:p>
        </w:tc>
        <w:tc>
          <w:tcPr>
            <w:tcW w:w="838" w:type="dxa"/>
            <w:vAlign w:val="bottom"/>
          </w:tcPr>
          <w:p w14:paraId="03AF2628" w14:textId="77777777" w:rsidR="004E0E02" w:rsidRPr="00513F0D" w:rsidRDefault="004E0E02" w:rsidP="0084040C">
            <w:pPr>
              <w:pStyle w:val="-3"/>
              <w:jc w:val="left"/>
              <w:rPr>
                <w:sz w:val="16"/>
                <w:szCs w:val="16"/>
                <w:rtl/>
              </w:rPr>
            </w:pPr>
            <w:r w:rsidRPr="00CF2A74">
              <w:rPr>
                <w:sz w:val="16"/>
                <w:szCs w:val="16"/>
                <w:rtl/>
              </w:rPr>
              <w:t xml:space="preserve"> -</w:t>
            </w:r>
          </w:p>
        </w:tc>
        <w:tc>
          <w:tcPr>
            <w:tcW w:w="900" w:type="dxa"/>
            <w:vAlign w:val="bottom"/>
          </w:tcPr>
          <w:p w14:paraId="71577C1C" w14:textId="77777777" w:rsidR="004E0E02" w:rsidRPr="00513F0D" w:rsidRDefault="004E0E02" w:rsidP="0084040C">
            <w:pPr>
              <w:pStyle w:val="-3"/>
              <w:jc w:val="left"/>
              <w:rPr>
                <w:sz w:val="16"/>
                <w:szCs w:val="16"/>
                <w:rtl/>
              </w:rPr>
            </w:pPr>
            <w:r>
              <w:rPr>
                <w:rFonts w:hint="cs"/>
                <w:sz w:val="16"/>
                <w:szCs w:val="16"/>
                <w:rtl/>
              </w:rPr>
              <w:t xml:space="preserve"> 0</w:t>
            </w:r>
          </w:p>
        </w:tc>
        <w:tc>
          <w:tcPr>
            <w:tcW w:w="681" w:type="dxa"/>
            <w:vAlign w:val="bottom"/>
          </w:tcPr>
          <w:p w14:paraId="44412520" w14:textId="77777777" w:rsidR="004E0E02" w:rsidRPr="00513F0D" w:rsidRDefault="004E0E02" w:rsidP="0084040C">
            <w:pPr>
              <w:pStyle w:val="-3"/>
              <w:jc w:val="left"/>
              <w:rPr>
                <w:sz w:val="16"/>
                <w:szCs w:val="16"/>
                <w:rtl/>
              </w:rPr>
            </w:pPr>
            <w:r w:rsidRPr="00CF2A74">
              <w:rPr>
                <w:sz w:val="16"/>
                <w:szCs w:val="16"/>
                <w:rtl/>
              </w:rPr>
              <w:t xml:space="preserve"> -</w:t>
            </w:r>
          </w:p>
        </w:tc>
        <w:tc>
          <w:tcPr>
            <w:tcW w:w="1328" w:type="dxa"/>
            <w:vAlign w:val="bottom"/>
          </w:tcPr>
          <w:p w14:paraId="123A0648" w14:textId="77777777" w:rsidR="004E0E02" w:rsidRPr="00513F0D" w:rsidRDefault="004E0E02" w:rsidP="00141F15">
            <w:pPr>
              <w:pStyle w:val="-3"/>
              <w:jc w:val="left"/>
              <w:rPr>
                <w:sz w:val="16"/>
                <w:szCs w:val="16"/>
                <w:rtl/>
              </w:rPr>
            </w:pPr>
            <w:r w:rsidRPr="00CF2A74">
              <w:rPr>
                <w:sz w:val="16"/>
                <w:szCs w:val="16"/>
                <w:rtl/>
              </w:rPr>
              <w:t xml:space="preserve"> 0</w:t>
            </w:r>
          </w:p>
        </w:tc>
        <w:tc>
          <w:tcPr>
            <w:tcW w:w="713" w:type="dxa"/>
            <w:vAlign w:val="bottom"/>
          </w:tcPr>
          <w:p w14:paraId="570FC0D6" w14:textId="77777777" w:rsidR="004E0E02" w:rsidRPr="00513F0D" w:rsidRDefault="004E0E02" w:rsidP="00141F15">
            <w:pPr>
              <w:pStyle w:val="-3"/>
              <w:jc w:val="left"/>
              <w:rPr>
                <w:sz w:val="16"/>
                <w:szCs w:val="16"/>
                <w:rtl/>
              </w:rPr>
            </w:pPr>
            <w:r w:rsidRPr="00CF2A74">
              <w:rPr>
                <w:sz w:val="16"/>
                <w:szCs w:val="16"/>
                <w:rtl/>
              </w:rPr>
              <w:t xml:space="preserve"> 0</w:t>
            </w:r>
          </w:p>
        </w:tc>
        <w:tc>
          <w:tcPr>
            <w:tcW w:w="765" w:type="dxa"/>
            <w:vAlign w:val="bottom"/>
          </w:tcPr>
          <w:p w14:paraId="1265B2ED" w14:textId="77777777" w:rsidR="004E0E02" w:rsidRPr="00513F0D" w:rsidRDefault="004E0E02" w:rsidP="00141F15">
            <w:pPr>
              <w:pStyle w:val="-3"/>
              <w:jc w:val="left"/>
              <w:rPr>
                <w:sz w:val="16"/>
                <w:szCs w:val="16"/>
                <w:rtl/>
              </w:rPr>
            </w:pPr>
            <w:r w:rsidRPr="00CF2A74">
              <w:rPr>
                <w:sz w:val="16"/>
                <w:szCs w:val="16"/>
                <w:rtl/>
              </w:rPr>
              <w:t xml:space="preserve"> 0</w:t>
            </w:r>
          </w:p>
        </w:tc>
      </w:tr>
      <w:tr w:rsidR="0030599F" w:rsidRPr="00513F0D" w14:paraId="6B937C05" w14:textId="77777777" w:rsidTr="004A1ADA">
        <w:tc>
          <w:tcPr>
            <w:tcW w:w="850" w:type="dxa"/>
          </w:tcPr>
          <w:p w14:paraId="7B74CF25"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4B3BB162" w14:textId="77777777" w:rsidR="004E0E02" w:rsidRPr="00513F0D" w:rsidRDefault="004E0E02" w:rsidP="0084040C">
            <w:pPr>
              <w:pStyle w:val="-0"/>
              <w:rPr>
                <w:sz w:val="16"/>
                <w:szCs w:val="16"/>
                <w:rtl/>
              </w:rPr>
            </w:pPr>
            <w:r w:rsidRPr="00CF2A74">
              <w:rPr>
                <w:rFonts w:hint="eastAsia"/>
                <w:sz w:val="16"/>
                <w:szCs w:val="16"/>
                <w:rtl/>
              </w:rPr>
              <w:t>המרה</w:t>
            </w:r>
            <w:r w:rsidRPr="00CF2A74">
              <w:rPr>
                <w:sz w:val="16"/>
                <w:szCs w:val="16"/>
                <w:rtl/>
              </w:rPr>
              <w:t xml:space="preserve"> </w:t>
            </w:r>
            <w:r w:rsidRPr="00CF2A74">
              <w:rPr>
                <w:rFonts w:hint="eastAsia"/>
                <w:sz w:val="16"/>
                <w:szCs w:val="16"/>
                <w:rtl/>
              </w:rPr>
              <w:t>למניות</w:t>
            </w:r>
            <w:r w:rsidRPr="00CF2A74">
              <w:rPr>
                <w:sz w:val="16"/>
                <w:szCs w:val="16"/>
                <w:rtl/>
              </w:rPr>
              <w:t xml:space="preserve"> </w:t>
            </w:r>
            <w:r w:rsidRPr="00CF2A74">
              <w:rPr>
                <w:rFonts w:hint="eastAsia"/>
                <w:sz w:val="16"/>
                <w:szCs w:val="16"/>
                <w:rtl/>
              </w:rPr>
              <w:t>של</w:t>
            </w:r>
            <w:r w:rsidRPr="00CF2A74">
              <w:rPr>
                <w:sz w:val="16"/>
                <w:szCs w:val="16"/>
                <w:rtl/>
              </w:rPr>
              <w:t xml:space="preserve"> </w:t>
            </w:r>
            <w:r w:rsidRPr="00CF2A74">
              <w:rPr>
                <w:rFonts w:hint="eastAsia"/>
                <w:sz w:val="16"/>
                <w:szCs w:val="16"/>
                <w:rtl/>
              </w:rPr>
              <w:t>התחייבויות</w:t>
            </w:r>
            <w:r w:rsidRPr="00CF2A74">
              <w:rPr>
                <w:sz w:val="16"/>
                <w:szCs w:val="16"/>
                <w:rtl/>
              </w:rPr>
              <w:t xml:space="preserve"> </w:t>
            </w:r>
            <w:r w:rsidRPr="00CF2A74">
              <w:rPr>
                <w:rFonts w:hint="eastAsia"/>
                <w:sz w:val="16"/>
                <w:szCs w:val="16"/>
                <w:rtl/>
              </w:rPr>
              <w:t>המירות</w:t>
            </w:r>
          </w:p>
        </w:tc>
        <w:tc>
          <w:tcPr>
            <w:tcW w:w="672" w:type="dxa"/>
            <w:vAlign w:val="bottom"/>
          </w:tcPr>
          <w:p w14:paraId="4C10C8A7" w14:textId="77777777" w:rsidR="004E0E02" w:rsidRPr="00513F0D" w:rsidRDefault="004E0E02" w:rsidP="0084040C">
            <w:pPr>
              <w:pStyle w:val="-3"/>
              <w:rPr>
                <w:sz w:val="16"/>
                <w:szCs w:val="16"/>
                <w:rtl/>
              </w:rPr>
            </w:pPr>
            <w:r w:rsidRPr="00CF2A74">
              <w:rPr>
                <w:sz w:val="16"/>
                <w:szCs w:val="16"/>
                <w:rtl/>
              </w:rPr>
              <w:t>0</w:t>
            </w:r>
          </w:p>
        </w:tc>
        <w:tc>
          <w:tcPr>
            <w:tcW w:w="852" w:type="dxa"/>
            <w:vAlign w:val="bottom"/>
          </w:tcPr>
          <w:p w14:paraId="3AEE9685" w14:textId="77777777" w:rsidR="004E0E02" w:rsidRPr="00513F0D" w:rsidRDefault="004E0E02" w:rsidP="0084040C">
            <w:pPr>
              <w:pStyle w:val="-3"/>
              <w:rPr>
                <w:sz w:val="16"/>
                <w:szCs w:val="16"/>
                <w:rtl/>
              </w:rPr>
            </w:pPr>
            <w:r w:rsidRPr="00CF2A74">
              <w:rPr>
                <w:sz w:val="16"/>
                <w:szCs w:val="16"/>
                <w:rtl/>
              </w:rPr>
              <w:t>-</w:t>
            </w:r>
          </w:p>
        </w:tc>
        <w:tc>
          <w:tcPr>
            <w:tcW w:w="963" w:type="dxa"/>
            <w:vAlign w:val="bottom"/>
          </w:tcPr>
          <w:p w14:paraId="6E113CB6" w14:textId="77777777" w:rsidR="004E0E02" w:rsidRPr="00513F0D" w:rsidRDefault="004E0E02" w:rsidP="0084040C">
            <w:pPr>
              <w:pStyle w:val="-3"/>
              <w:rPr>
                <w:sz w:val="16"/>
                <w:szCs w:val="16"/>
                <w:rtl/>
              </w:rPr>
            </w:pPr>
            <w:r w:rsidRPr="00CF2A74">
              <w:rPr>
                <w:sz w:val="16"/>
                <w:szCs w:val="16"/>
                <w:rtl/>
              </w:rPr>
              <w:t>-</w:t>
            </w:r>
          </w:p>
        </w:tc>
        <w:tc>
          <w:tcPr>
            <w:tcW w:w="751" w:type="dxa"/>
            <w:vAlign w:val="bottom"/>
          </w:tcPr>
          <w:p w14:paraId="26530E80" w14:textId="77777777" w:rsidR="004E0E02" w:rsidRPr="00513F0D" w:rsidRDefault="004E0E02" w:rsidP="0084040C">
            <w:pPr>
              <w:pStyle w:val="-3"/>
              <w:rPr>
                <w:sz w:val="16"/>
                <w:szCs w:val="16"/>
                <w:rtl/>
              </w:rPr>
            </w:pPr>
            <w:r w:rsidRPr="00CF2A74">
              <w:rPr>
                <w:sz w:val="16"/>
                <w:szCs w:val="16"/>
                <w:rtl/>
              </w:rPr>
              <w:t>-</w:t>
            </w:r>
          </w:p>
        </w:tc>
        <w:tc>
          <w:tcPr>
            <w:tcW w:w="1072" w:type="dxa"/>
            <w:vAlign w:val="bottom"/>
          </w:tcPr>
          <w:p w14:paraId="5B600C0E"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0EBB60D6" w14:textId="77777777" w:rsidR="004E0E02" w:rsidRPr="00513F0D" w:rsidRDefault="004E0E02" w:rsidP="0084040C">
            <w:pPr>
              <w:pStyle w:val="-3"/>
              <w:jc w:val="left"/>
              <w:rPr>
                <w:sz w:val="16"/>
                <w:szCs w:val="16"/>
                <w:rtl/>
              </w:rPr>
            </w:pPr>
            <w:r w:rsidRPr="00CF2A74">
              <w:rPr>
                <w:sz w:val="16"/>
                <w:szCs w:val="16"/>
                <w:rtl/>
              </w:rPr>
              <w:t xml:space="preserve"> -</w:t>
            </w:r>
          </w:p>
        </w:tc>
        <w:tc>
          <w:tcPr>
            <w:tcW w:w="767" w:type="dxa"/>
            <w:vAlign w:val="bottom"/>
          </w:tcPr>
          <w:p w14:paraId="457EACDC" w14:textId="77777777" w:rsidR="004E0E02" w:rsidRPr="00CF2A74" w:rsidRDefault="004E0E02" w:rsidP="0084040C">
            <w:pPr>
              <w:pStyle w:val="-3"/>
              <w:jc w:val="left"/>
              <w:rPr>
                <w:sz w:val="16"/>
                <w:szCs w:val="16"/>
                <w:rtl/>
              </w:rPr>
            </w:pPr>
            <w:r w:rsidRPr="00CF2A74">
              <w:rPr>
                <w:sz w:val="16"/>
                <w:szCs w:val="16"/>
                <w:rtl/>
              </w:rPr>
              <w:t>-</w:t>
            </w:r>
          </w:p>
        </w:tc>
        <w:tc>
          <w:tcPr>
            <w:tcW w:w="914" w:type="dxa"/>
            <w:vAlign w:val="bottom"/>
          </w:tcPr>
          <w:p w14:paraId="27BA59D3" w14:textId="77777777" w:rsidR="004E0E02" w:rsidRPr="00513F0D" w:rsidRDefault="004E0E02" w:rsidP="0084040C">
            <w:pPr>
              <w:pStyle w:val="-3"/>
              <w:jc w:val="left"/>
              <w:rPr>
                <w:sz w:val="16"/>
                <w:szCs w:val="16"/>
                <w:rtl/>
              </w:rPr>
            </w:pPr>
            <w:r w:rsidRPr="00CF2A74">
              <w:rPr>
                <w:sz w:val="16"/>
                <w:szCs w:val="16"/>
                <w:rtl/>
              </w:rPr>
              <w:t xml:space="preserve"> 0</w:t>
            </w:r>
          </w:p>
        </w:tc>
        <w:tc>
          <w:tcPr>
            <w:tcW w:w="838" w:type="dxa"/>
            <w:vAlign w:val="bottom"/>
          </w:tcPr>
          <w:p w14:paraId="3314CEB1" w14:textId="77777777" w:rsidR="004E0E02" w:rsidRPr="00513F0D" w:rsidRDefault="004E0E02" w:rsidP="0084040C">
            <w:pPr>
              <w:pStyle w:val="-3"/>
              <w:jc w:val="left"/>
              <w:rPr>
                <w:sz w:val="16"/>
                <w:szCs w:val="16"/>
                <w:rtl/>
              </w:rPr>
            </w:pPr>
            <w:r w:rsidRPr="00CF2A74">
              <w:rPr>
                <w:sz w:val="16"/>
                <w:szCs w:val="16"/>
                <w:rtl/>
              </w:rPr>
              <w:t xml:space="preserve"> -</w:t>
            </w:r>
          </w:p>
        </w:tc>
        <w:tc>
          <w:tcPr>
            <w:tcW w:w="900" w:type="dxa"/>
            <w:vAlign w:val="bottom"/>
          </w:tcPr>
          <w:p w14:paraId="404A2A60" w14:textId="77777777" w:rsidR="004E0E02" w:rsidRPr="00513F0D" w:rsidRDefault="004E0E02" w:rsidP="0084040C">
            <w:pPr>
              <w:pStyle w:val="-3"/>
              <w:jc w:val="left"/>
              <w:rPr>
                <w:sz w:val="16"/>
                <w:szCs w:val="16"/>
                <w:rtl/>
              </w:rPr>
            </w:pPr>
            <w:r w:rsidRPr="00CF2A74">
              <w:rPr>
                <w:sz w:val="16"/>
                <w:szCs w:val="16"/>
                <w:rtl/>
              </w:rPr>
              <w:t xml:space="preserve"> -</w:t>
            </w:r>
          </w:p>
        </w:tc>
        <w:tc>
          <w:tcPr>
            <w:tcW w:w="681" w:type="dxa"/>
            <w:vAlign w:val="bottom"/>
          </w:tcPr>
          <w:p w14:paraId="7848890D" w14:textId="77777777" w:rsidR="004E0E02" w:rsidRPr="00513F0D" w:rsidRDefault="004E0E02" w:rsidP="0084040C">
            <w:pPr>
              <w:pStyle w:val="-3"/>
              <w:jc w:val="left"/>
              <w:rPr>
                <w:sz w:val="16"/>
                <w:szCs w:val="16"/>
                <w:rtl/>
              </w:rPr>
            </w:pPr>
            <w:r w:rsidRPr="00CF2A74">
              <w:rPr>
                <w:sz w:val="16"/>
                <w:szCs w:val="16"/>
                <w:rtl/>
              </w:rPr>
              <w:t xml:space="preserve"> 0</w:t>
            </w:r>
          </w:p>
        </w:tc>
        <w:tc>
          <w:tcPr>
            <w:tcW w:w="1328" w:type="dxa"/>
            <w:vAlign w:val="bottom"/>
          </w:tcPr>
          <w:p w14:paraId="11BEB24F" w14:textId="77777777" w:rsidR="004E0E02" w:rsidRPr="00513F0D" w:rsidRDefault="004E0E02" w:rsidP="00141F15">
            <w:pPr>
              <w:pStyle w:val="-3"/>
              <w:jc w:val="left"/>
              <w:rPr>
                <w:sz w:val="16"/>
                <w:szCs w:val="16"/>
                <w:rtl/>
              </w:rPr>
            </w:pPr>
            <w:r w:rsidRPr="00CF2A74">
              <w:rPr>
                <w:sz w:val="16"/>
                <w:szCs w:val="16"/>
                <w:rtl/>
              </w:rPr>
              <w:t xml:space="preserve"> 0</w:t>
            </w:r>
          </w:p>
        </w:tc>
        <w:tc>
          <w:tcPr>
            <w:tcW w:w="713" w:type="dxa"/>
            <w:vAlign w:val="bottom"/>
          </w:tcPr>
          <w:p w14:paraId="5BCB3A78" w14:textId="77777777" w:rsidR="004E0E02" w:rsidRPr="00513F0D" w:rsidRDefault="004E0E02" w:rsidP="00141F15">
            <w:pPr>
              <w:pStyle w:val="-3"/>
              <w:jc w:val="left"/>
              <w:rPr>
                <w:sz w:val="16"/>
                <w:szCs w:val="16"/>
                <w:rtl/>
              </w:rPr>
            </w:pPr>
            <w:r w:rsidRPr="00CF2A74">
              <w:rPr>
                <w:sz w:val="16"/>
                <w:szCs w:val="16"/>
                <w:rtl/>
              </w:rPr>
              <w:t xml:space="preserve"> 0</w:t>
            </w:r>
          </w:p>
        </w:tc>
        <w:tc>
          <w:tcPr>
            <w:tcW w:w="765" w:type="dxa"/>
            <w:vAlign w:val="bottom"/>
          </w:tcPr>
          <w:p w14:paraId="1E8EE929" w14:textId="77777777" w:rsidR="004E0E02" w:rsidRPr="00513F0D" w:rsidRDefault="004E0E02" w:rsidP="00141F15">
            <w:pPr>
              <w:pStyle w:val="-3"/>
              <w:jc w:val="left"/>
              <w:rPr>
                <w:sz w:val="16"/>
                <w:szCs w:val="16"/>
                <w:rtl/>
              </w:rPr>
            </w:pPr>
            <w:r w:rsidRPr="00CF2A74">
              <w:rPr>
                <w:sz w:val="16"/>
                <w:szCs w:val="16"/>
                <w:rtl/>
              </w:rPr>
              <w:t xml:space="preserve"> 0</w:t>
            </w:r>
          </w:p>
        </w:tc>
      </w:tr>
      <w:tr w:rsidR="0030599F" w:rsidRPr="00513F0D" w14:paraId="37F66D09" w14:textId="77777777" w:rsidTr="004A1ADA">
        <w:tc>
          <w:tcPr>
            <w:tcW w:w="850" w:type="dxa"/>
          </w:tcPr>
          <w:p w14:paraId="1409B984"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541EAD6E" w14:textId="77777777" w:rsidR="004E0E02" w:rsidRDefault="004E0E02">
            <w:pPr>
              <w:pStyle w:val="-0"/>
              <w:rPr>
                <w:sz w:val="16"/>
                <w:szCs w:val="16"/>
                <w:rtl/>
              </w:rPr>
            </w:pPr>
            <w:r w:rsidRPr="009A7E4A">
              <w:rPr>
                <w:rFonts w:hint="eastAsia"/>
                <w:sz w:val="16"/>
                <w:szCs w:val="16"/>
                <w:rtl/>
              </w:rPr>
              <w:t>הטבה</w:t>
            </w:r>
            <w:r w:rsidRPr="009A7E4A">
              <w:rPr>
                <w:sz w:val="16"/>
                <w:szCs w:val="16"/>
                <w:rtl/>
              </w:rPr>
              <w:t xml:space="preserve"> </w:t>
            </w:r>
            <w:r w:rsidRPr="009A7E4A">
              <w:rPr>
                <w:rFonts w:hint="eastAsia"/>
                <w:sz w:val="16"/>
                <w:szCs w:val="16"/>
                <w:rtl/>
              </w:rPr>
              <w:t>בשל</w:t>
            </w:r>
            <w:r w:rsidRPr="009A7E4A">
              <w:rPr>
                <w:sz w:val="16"/>
                <w:szCs w:val="16"/>
                <w:rtl/>
              </w:rPr>
              <w:t xml:space="preserve"> </w:t>
            </w:r>
            <w:r w:rsidRPr="009A7E4A">
              <w:rPr>
                <w:rFonts w:hint="eastAsia"/>
                <w:sz w:val="16"/>
                <w:szCs w:val="16"/>
                <w:rtl/>
              </w:rPr>
              <w:t>עסקאות</w:t>
            </w:r>
            <w:r w:rsidRPr="009A7E4A">
              <w:rPr>
                <w:sz w:val="16"/>
                <w:szCs w:val="16"/>
                <w:rtl/>
              </w:rPr>
              <w:t xml:space="preserve"> </w:t>
            </w:r>
            <w:r w:rsidRPr="009A7E4A">
              <w:rPr>
                <w:rFonts w:hint="eastAsia"/>
                <w:sz w:val="16"/>
                <w:szCs w:val="16"/>
                <w:rtl/>
              </w:rPr>
              <w:t>תשלום</w:t>
            </w:r>
            <w:r w:rsidRPr="009A7E4A">
              <w:rPr>
                <w:sz w:val="16"/>
                <w:szCs w:val="16"/>
                <w:rtl/>
              </w:rPr>
              <w:t xml:space="preserve"> </w:t>
            </w:r>
            <w:r w:rsidRPr="009A7E4A">
              <w:rPr>
                <w:rFonts w:hint="eastAsia"/>
                <w:sz w:val="16"/>
                <w:szCs w:val="16"/>
                <w:rtl/>
              </w:rPr>
              <w:t>מבוסס</w:t>
            </w:r>
            <w:r w:rsidRPr="009A7E4A">
              <w:rPr>
                <w:sz w:val="16"/>
                <w:szCs w:val="16"/>
                <w:rtl/>
              </w:rPr>
              <w:t xml:space="preserve"> </w:t>
            </w:r>
            <w:r w:rsidRPr="009A7E4A">
              <w:rPr>
                <w:rFonts w:hint="eastAsia"/>
                <w:sz w:val="16"/>
                <w:szCs w:val="16"/>
                <w:rtl/>
              </w:rPr>
              <w:t>מניות</w:t>
            </w:r>
          </w:p>
        </w:tc>
        <w:tc>
          <w:tcPr>
            <w:tcW w:w="672" w:type="dxa"/>
            <w:vAlign w:val="bottom"/>
          </w:tcPr>
          <w:p w14:paraId="37F042CE" w14:textId="77777777" w:rsidR="004E0E02" w:rsidRPr="00513F0D" w:rsidRDefault="004E0E02" w:rsidP="0084040C">
            <w:pPr>
              <w:pStyle w:val="-3"/>
              <w:rPr>
                <w:sz w:val="16"/>
                <w:szCs w:val="16"/>
                <w:rtl/>
              </w:rPr>
            </w:pPr>
            <w:r w:rsidRPr="00CF2A74">
              <w:rPr>
                <w:sz w:val="16"/>
                <w:szCs w:val="16"/>
                <w:rtl/>
              </w:rPr>
              <w:t>-</w:t>
            </w:r>
          </w:p>
        </w:tc>
        <w:tc>
          <w:tcPr>
            <w:tcW w:w="852" w:type="dxa"/>
            <w:vAlign w:val="bottom"/>
          </w:tcPr>
          <w:p w14:paraId="173FBD9E" w14:textId="77777777" w:rsidR="004E0E02" w:rsidRPr="00513F0D" w:rsidRDefault="004E0E02" w:rsidP="0084040C">
            <w:pPr>
              <w:pStyle w:val="-3"/>
              <w:rPr>
                <w:sz w:val="16"/>
                <w:szCs w:val="16"/>
                <w:rtl/>
              </w:rPr>
            </w:pPr>
            <w:r w:rsidRPr="00CF2A74">
              <w:rPr>
                <w:sz w:val="16"/>
                <w:szCs w:val="16"/>
                <w:rtl/>
              </w:rPr>
              <w:t>-</w:t>
            </w:r>
          </w:p>
        </w:tc>
        <w:tc>
          <w:tcPr>
            <w:tcW w:w="963" w:type="dxa"/>
            <w:vAlign w:val="bottom"/>
          </w:tcPr>
          <w:p w14:paraId="035A15A4" w14:textId="77777777" w:rsidR="004E0E02" w:rsidRPr="00513F0D" w:rsidRDefault="004E0E02" w:rsidP="0084040C">
            <w:pPr>
              <w:pStyle w:val="-3"/>
              <w:rPr>
                <w:sz w:val="16"/>
                <w:szCs w:val="16"/>
                <w:rtl/>
              </w:rPr>
            </w:pPr>
            <w:r w:rsidRPr="00CF2A74">
              <w:rPr>
                <w:sz w:val="16"/>
                <w:szCs w:val="16"/>
                <w:rtl/>
              </w:rPr>
              <w:t>-</w:t>
            </w:r>
          </w:p>
        </w:tc>
        <w:tc>
          <w:tcPr>
            <w:tcW w:w="751" w:type="dxa"/>
            <w:vAlign w:val="bottom"/>
          </w:tcPr>
          <w:p w14:paraId="31FCF3BE" w14:textId="77777777" w:rsidR="004E0E02" w:rsidRPr="00513F0D" w:rsidRDefault="004E0E02" w:rsidP="0084040C">
            <w:pPr>
              <w:pStyle w:val="-3"/>
              <w:rPr>
                <w:sz w:val="16"/>
                <w:szCs w:val="16"/>
                <w:rtl/>
              </w:rPr>
            </w:pPr>
            <w:r w:rsidRPr="00CF2A74">
              <w:rPr>
                <w:sz w:val="16"/>
                <w:szCs w:val="16"/>
                <w:rtl/>
              </w:rPr>
              <w:t>-</w:t>
            </w:r>
          </w:p>
        </w:tc>
        <w:tc>
          <w:tcPr>
            <w:tcW w:w="1072" w:type="dxa"/>
            <w:vAlign w:val="bottom"/>
          </w:tcPr>
          <w:p w14:paraId="501F9E95" w14:textId="77777777" w:rsidR="004E0E02" w:rsidRPr="009A7E4A" w:rsidRDefault="004E0E02" w:rsidP="0084040C">
            <w:pPr>
              <w:pStyle w:val="-3"/>
              <w:rPr>
                <w:sz w:val="16"/>
                <w:szCs w:val="16"/>
                <w:rtl/>
              </w:rPr>
            </w:pPr>
            <w:r w:rsidRPr="009A7E4A">
              <w:rPr>
                <w:sz w:val="16"/>
                <w:szCs w:val="16"/>
                <w:rtl/>
              </w:rPr>
              <w:t>0</w:t>
            </w:r>
          </w:p>
        </w:tc>
        <w:tc>
          <w:tcPr>
            <w:tcW w:w="655" w:type="dxa"/>
            <w:vAlign w:val="bottom"/>
          </w:tcPr>
          <w:p w14:paraId="68139CCF" w14:textId="77777777" w:rsidR="004E0E02" w:rsidRPr="00513F0D" w:rsidRDefault="004E0E02" w:rsidP="0084040C">
            <w:pPr>
              <w:pStyle w:val="-3"/>
              <w:jc w:val="left"/>
              <w:rPr>
                <w:sz w:val="16"/>
                <w:szCs w:val="16"/>
                <w:rtl/>
              </w:rPr>
            </w:pPr>
            <w:r w:rsidRPr="00CF2A74">
              <w:rPr>
                <w:sz w:val="16"/>
                <w:szCs w:val="16"/>
                <w:rtl/>
              </w:rPr>
              <w:t xml:space="preserve"> -</w:t>
            </w:r>
          </w:p>
        </w:tc>
        <w:tc>
          <w:tcPr>
            <w:tcW w:w="767" w:type="dxa"/>
            <w:vAlign w:val="bottom"/>
          </w:tcPr>
          <w:p w14:paraId="53739381" w14:textId="77777777" w:rsidR="004E0E02" w:rsidRPr="00CF2A74" w:rsidRDefault="004E0E02">
            <w:pPr>
              <w:pStyle w:val="-3"/>
              <w:jc w:val="left"/>
              <w:rPr>
                <w:sz w:val="16"/>
                <w:szCs w:val="16"/>
                <w:rtl/>
              </w:rPr>
            </w:pPr>
            <w:r w:rsidRPr="00CF2A74">
              <w:rPr>
                <w:sz w:val="16"/>
                <w:szCs w:val="16"/>
                <w:rtl/>
              </w:rPr>
              <w:t>-</w:t>
            </w:r>
          </w:p>
        </w:tc>
        <w:tc>
          <w:tcPr>
            <w:tcW w:w="914" w:type="dxa"/>
            <w:vAlign w:val="bottom"/>
          </w:tcPr>
          <w:p w14:paraId="13EEA1B2" w14:textId="77777777" w:rsidR="004E0E02" w:rsidRDefault="004E0E02">
            <w:pPr>
              <w:pStyle w:val="-3"/>
              <w:jc w:val="left"/>
              <w:rPr>
                <w:sz w:val="16"/>
                <w:szCs w:val="16"/>
                <w:rtl/>
              </w:rPr>
            </w:pPr>
            <w:r w:rsidRPr="00CF2A74">
              <w:rPr>
                <w:sz w:val="16"/>
                <w:szCs w:val="16"/>
                <w:rtl/>
              </w:rPr>
              <w:t xml:space="preserve"> </w:t>
            </w:r>
            <w:r>
              <w:rPr>
                <w:rFonts w:hint="cs"/>
                <w:sz w:val="16"/>
                <w:szCs w:val="16"/>
                <w:rtl/>
              </w:rPr>
              <w:t>0</w:t>
            </w:r>
          </w:p>
        </w:tc>
        <w:tc>
          <w:tcPr>
            <w:tcW w:w="838" w:type="dxa"/>
            <w:vAlign w:val="bottom"/>
          </w:tcPr>
          <w:p w14:paraId="44BDD75F" w14:textId="77777777" w:rsidR="004E0E02" w:rsidRPr="00513F0D" w:rsidRDefault="004E0E02" w:rsidP="0084040C">
            <w:pPr>
              <w:pStyle w:val="-3"/>
              <w:jc w:val="left"/>
              <w:rPr>
                <w:sz w:val="16"/>
                <w:szCs w:val="16"/>
                <w:rtl/>
              </w:rPr>
            </w:pPr>
            <w:r w:rsidRPr="00CF2A74">
              <w:rPr>
                <w:sz w:val="16"/>
                <w:szCs w:val="16"/>
                <w:rtl/>
              </w:rPr>
              <w:t xml:space="preserve"> -</w:t>
            </w:r>
          </w:p>
        </w:tc>
        <w:tc>
          <w:tcPr>
            <w:tcW w:w="900" w:type="dxa"/>
            <w:vAlign w:val="bottom"/>
          </w:tcPr>
          <w:p w14:paraId="41FC29B5" w14:textId="77777777" w:rsidR="004E0E02" w:rsidRPr="00513F0D" w:rsidRDefault="004E0E02" w:rsidP="0084040C">
            <w:pPr>
              <w:pStyle w:val="-3"/>
              <w:jc w:val="left"/>
              <w:rPr>
                <w:sz w:val="16"/>
                <w:szCs w:val="16"/>
                <w:rtl/>
              </w:rPr>
            </w:pPr>
            <w:r w:rsidRPr="00CF2A74">
              <w:rPr>
                <w:sz w:val="16"/>
                <w:szCs w:val="16"/>
                <w:rtl/>
              </w:rPr>
              <w:t xml:space="preserve"> -</w:t>
            </w:r>
          </w:p>
        </w:tc>
        <w:tc>
          <w:tcPr>
            <w:tcW w:w="681" w:type="dxa"/>
            <w:vAlign w:val="bottom"/>
          </w:tcPr>
          <w:p w14:paraId="01D8E890" w14:textId="77777777" w:rsidR="004E0E02" w:rsidRPr="00513F0D" w:rsidRDefault="004E0E02" w:rsidP="0084040C">
            <w:pPr>
              <w:pStyle w:val="-3"/>
              <w:jc w:val="left"/>
              <w:rPr>
                <w:sz w:val="16"/>
                <w:szCs w:val="16"/>
                <w:rtl/>
              </w:rPr>
            </w:pPr>
            <w:r w:rsidRPr="00CF2A74">
              <w:rPr>
                <w:sz w:val="16"/>
                <w:szCs w:val="16"/>
                <w:rtl/>
              </w:rPr>
              <w:t xml:space="preserve"> -</w:t>
            </w:r>
          </w:p>
        </w:tc>
        <w:tc>
          <w:tcPr>
            <w:tcW w:w="1328" w:type="dxa"/>
            <w:vAlign w:val="bottom"/>
          </w:tcPr>
          <w:p w14:paraId="795E8DB0" w14:textId="77777777" w:rsidR="004E0E02" w:rsidRPr="00513F0D" w:rsidRDefault="004E0E02" w:rsidP="00141F15">
            <w:pPr>
              <w:pStyle w:val="-3"/>
              <w:jc w:val="left"/>
              <w:rPr>
                <w:sz w:val="16"/>
                <w:szCs w:val="16"/>
                <w:rtl/>
              </w:rPr>
            </w:pPr>
            <w:r w:rsidRPr="00CF2A74">
              <w:rPr>
                <w:sz w:val="16"/>
                <w:szCs w:val="16"/>
                <w:rtl/>
              </w:rPr>
              <w:t xml:space="preserve"> 0</w:t>
            </w:r>
          </w:p>
        </w:tc>
        <w:tc>
          <w:tcPr>
            <w:tcW w:w="713" w:type="dxa"/>
            <w:vAlign w:val="bottom"/>
          </w:tcPr>
          <w:p w14:paraId="3B6E8DAE" w14:textId="77777777" w:rsidR="004E0E02" w:rsidRPr="00513F0D" w:rsidRDefault="004E0E02" w:rsidP="00141F15">
            <w:pPr>
              <w:pStyle w:val="-3"/>
              <w:jc w:val="left"/>
              <w:rPr>
                <w:sz w:val="16"/>
                <w:szCs w:val="16"/>
                <w:rtl/>
              </w:rPr>
            </w:pPr>
            <w:r w:rsidRPr="00CF2A74">
              <w:rPr>
                <w:sz w:val="16"/>
                <w:szCs w:val="16"/>
                <w:rtl/>
              </w:rPr>
              <w:t xml:space="preserve"> 0</w:t>
            </w:r>
          </w:p>
        </w:tc>
        <w:tc>
          <w:tcPr>
            <w:tcW w:w="765" w:type="dxa"/>
            <w:vAlign w:val="bottom"/>
          </w:tcPr>
          <w:p w14:paraId="1B3E169E" w14:textId="77777777" w:rsidR="004E0E02" w:rsidRPr="00513F0D" w:rsidRDefault="004E0E02" w:rsidP="00141F15">
            <w:pPr>
              <w:pStyle w:val="-3"/>
              <w:jc w:val="left"/>
              <w:rPr>
                <w:sz w:val="16"/>
                <w:szCs w:val="16"/>
                <w:rtl/>
              </w:rPr>
            </w:pPr>
            <w:r w:rsidRPr="00CF2A74">
              <w:rPr>
                <w:sz w:val="16"/>
                <w:szCs w:val="16"/>
                <w:rtl/>
              </w:rPr>
              <w:t xml:space="preserve"> 0</w:t>
            </w:r>
          </w:p>
        </w:tc>
      </w:tr>
      <w:tr w:rsidR="0030599F" w:rsidRPr="00513F0D" w14:paraId="34AA4FDF" w14:textId="77777777" w:rsidTr="004A1ADA">
        <w:tc>
          <w:tcPr>
            <w:tcW w:w="850" w:type="dxa"/>
          </w:tcPr>
          <w:p w14:paraId="03C1D09C"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3D6C9816" w14:textId="77777777" w:rsidR="004E0E02" w:rsidRPr="00513F0D" w:rsidRDefault="004E0E02" w:rsidP="0084040C">
            <w:pPr>
              <w:pStyle w:val="-0"/>
              <w:rPr>
                <w:sz w:val="16"/>
                <w:szCs w:val="16"/>
                <w:rtl/>
              </w:rPr>
            </w:pPr>
            <w:r w:rsidRPr="00CF2A74">
              <w:rPr>
                <w:rFonts w:hint="eastAsia"/>
                <w:sz w:val="16"/>
                <w:szCs w:val="16"/>
                <w:rtl/>
              </w:rPr>
              <w:t>הטבות</w:t>
            </w:r>
            <w:r w:rsidRPr="00CF2A74">
              <w:rPr>
                <w:sz w:val="16"/>
                <w:szCs w:val="16"/>
                <w:rtl/>
              </w:rPr>
              <w:t xml:space="preserve"> </w:t>
            </w:r>
            <w:r w:rsidRPr="00CF2A74">
              <w:rPr>
                <w:rFonts w:hint="eastAsia"/>
                <w:sz w:val="16"/>
                <w:szCs w:val="16"/>
                <w:rtl/>
              </w:rPr>
              <w:t>שהתקבלו</w:t>
            </w:r>
            <w:r w:rsidRPr="00CF2A74">
              <w:rPr>
                <w:sz w:val="16"/>
                <w:szCs w:val="16"/>
                <w:rtl/>
              </w:rPr>
              <w:t xml:space="preserve"> </w:t>
            </w:r>
            <w:r w:rsidRPr="00CF2A74">
              <w:rPr>
                <w:rFonts w:hint="eastAsia"/>
                <w:sz w:val="16"/>
                <w:szCs w:val="16"/>
                <w:rtl/>
              </w:rPr>
              <w:t>מבעל</w:t>
            </w:r>
            <w:r w:rsidRPr="00CF2A74">
              <w:rPr>
                <w:sz w:val="16"/>
                <w:szCs w:val="16"/>
                <w:rtl/>
              </w:rPr>
              <w:t xml:space="preserve"> </w:t>
            </w:r>
            <w:r w:rsidRPr="00CF2A74">
              <w:rPr>
                <w:rFonts w:hint="eastAsia"/>
                <w:sz w:val="16"/>
                <w:szCs w:val="16"/>
                <w:rtl/>
              </w:rPr>
              <w:t>שליטה</w:t>
            </w:r>
          </w:p>
        </w:tc>
        <w:tc>
          <w:tcPr>
            <w:tcW w:w="672" w:type="dxa"/>
            <w:vAlign w:val="bottom"/>
          </w:tcPr>
          <w:p w14:paraId="0A134C4D" w14:textId="77777777" w:rsidR="004E0E02" w:rsidRPr="00513F0D" w:rsidRDefault="004E0E02" w:rsidP="0084040C">
            <w:pPr>
              <w:pStyle w:val="-3"/>
              <w:rPr>
                <w:sz w:val="16"/>
                <w:szCs w:val="16"/>
                <w:rtl/>
              </w:rPr>
            </w:pPr>
            <w:r w:rsidRPr="00CF2A74">
              <w:rPr>
                <w:sz w:val="16"/>
                <w:szCs w:val="16"/>
                <w:rtl/>
              </w:rPr>
              <w:t>-</w:t>
            </w:r>
          </w:p>
        </w:tc>
        <w:tc>
          <w:tcPr>
            <w:tcW w:w="852" w:type="dxa"/>
            <w:vAlign w:val="bottom"/>
          </w:tcPr>
          <w:p w14:paraId="2162E451" w14:textId="77777777" w:rsidR="004E0E02" w:rsidRPr="00513F0D" w:rsidRDefault="004E0E02" w:rsidP="0084040C">
            <w:pPr>
              <w:pStyle w:val="-3"/>
              <w:rPr>
                <w:sz w:val="16"/>
                <w:szCs w:val="16"/>
                <w:rtl/>
              </w:rPr>
            </w:pPr>
            <w:r w:rsidRPr="00CF2A74">
              <w:rPr>
                <w:sz w:val="16"/>
                <w:szCs w:val="16"/>
                <w:rtl/>
              </w:rPr>
              <w:t>-</w:t>
            </w:r>
          </w:p>
        </w:tc>
        <w:tc>
          <w:tcPr>
            <w:tcW w:w="963" w:type="dxa"/>
            <w:vAlign w:val="bottom"/>
          </w:tcPr>
          <w:p w14:paraId="69DDAFB2" w14:textId="77777777" w:rsidR="004E0E02" w:rsidRPr="00513F0D" w:rsidRDefault="004E0E02" w:rsidP="0084040C">
            <w:pPr>
              <w:pStyle w:val="-3"/>
              <w:rPr>
                <w:sz w:val="16"/>
                <w:szCs w:val="16"/>
                <w:rtl/>
              </w:rPr>
            </w:pPr>
            <w:r w:rsidRPr="00CF2A74">
              <w:rPr>
                <w:sz w:val="16"/>
                <w:szCs w:val="16"/>
                <w:rtl/>
              </w:rPr>
              <w:t>-</w:t>
            </w:r>
          </w:p>
        </w:tc>
        <w:tc>
          <w:tcPr>
            <w:tcW w:w="751" w:type="dxa"/>
            <w:vAlign w:val="bottom"/>
          </w:tcPr>
          <w:p w14:paraId="78AA294F" w14:textId="77777777" w:rsidR="004E0E02" w:rsidRPr="00513F0D" w:rsidRDefault="004E0E02" w:rsidP="0084040C">
            <w:pPr>
              <w:pStyle w:val="-3"/>
              <w:rPr>
                <w:sz w:val="16"/>
                <w:szCs w:val="16"/>
                <w:rtl/>
              </w:rPr>
            </w:pPr>
            <w:r w:rsidRPr="00CF2A74">
              <w:rPr>
                <w:sz w:val="16"/>
                <w:szCs w:val="16"/>
                <w:rtl/>
              </w:rPr>
              <w:t>-</w:t>
            </w:r>
          </w:p>
        </w:tc>
        <w:tc>
          <w:tcPr>
            <w:tcW w:w="1072" w:type="dxa"/>
            <w:vAlign w:val="bottom"/>
          </w:tcPr>
          <w:p w14:paraId="32FFC040"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187F172B" w14:textId="77777777" w:rsidR="004E0E02" w:rsidRPr="00513F0D" w:rsidRDefault="004E0E02" w:rsidP="0084040C">
            <w:pPr>
              <w:pStyle w:val="-3"/>
              <w:jc w:val="left"/>
              <w:rPr>
                <w:sz w:val="16"/>
                <w:szCs w:val="16"/>
                <w:rtl/>
              </w:rPr>
            </w:pPr>
            <w:r w:rsidRPr="00CF2A74">
              <w:rPr>
                <w:sz w:val="16"/>
                <w:szCs w:val="16"/>
                <w:rtl/>
              </w:rPr>
              <w:t xml:space="preserve"> 0</w:t>
            </w:r>
          </w:p>
        </w:tc>
        <w:tc>
          <w:tcPr>
            <w:tcW w:w="767" w:type="dxa"/>
            <w:vAlign w:val="bottom"/>
          </w:tcPr>
          <w:p w14:paraId="5EA87DC6" w14:textId="77777777" w:rsidR="004E0E02" w:rsidRPr="00CF2A74" w:rsidRDefault="004E0E02" w:rsidP="0084040C">
            <w:pPr>
              <w:pStyle w:val="-3"/>
              <w:jc w:val="left"/>
              <w:rPr>
                <w:sz w:val="16"/>
                <w:szCs w:val="16"/>
                <w:rtl/>
              </w:rPr>
            </w:pPr>
            <w:r w:rsidRPr="00CF2A74">
              <w:rPr>
                <w:sz w:val="16"/>
                <w:szCs w:val="16"/>
                <w:rtl/>
              </w:rPr>
              <w:t>-</w:t>
            </w:r>
          </w:p>
        </w:tc>
        <w:tc>
          <w:tcPr>
            <w:tcW w:w="914" w:type="dxa"/>
            <w:vAlign w:val="bottom"/>
          </w:tcPr>
          <w:p w14:paraId="00EDF4C4" w14:textId="77777777" w:rsidR="004E0E02" w:rsidRPr="00513F0D" w:rsidRDefault="004E0E02" w:rsidP="0084040C">
            <w:pPr>
              <w:pStyle w:val="-3"/>
              <w:jc w:val="left"/>
              <w:rPr>
                <w:sz w:val="16"/>
                <w:szCs w:val="16"/>
                <w:rtl/>
              </w:rPr>
            </w:pPr>
            <w:r w:rsidRPr="00CF2A74">
              <w:rPr>
                <w:sz w:val="16"/>
                <w:szCs w:val="16"/>
                <w:rtl/>
              </w:rPr>
              <w:t xml:space="preserve"> 0</w:t>
            </w:r>
          </w:p>
        </w:tc>
        <w:tc>
          <w:tcPr>
            <w:tcW w:w="838" w:type="dxa"/>
            <w:vAlign w:val="bottom"/>
          </w:tcPr>
          <w:p w14:paraId="43D3C2E4" w14:textId="77777777" w:rsidR="004E0E02" w:rsidRPr="00513F0D" w:rsidRDefault="004E0E02" w:rsidP="0084040C">
            <w:pPr>
              <w:pStyle w:val="-3"/>
              <w:jc w:val="left"/>
              <w:rPr>
                <w:sz w:val="16"/>
                <w:szCs w:val="16"/>
                <w:rtl/>
              </w:rPr>
            </w:pPr>
            <w:r w:rsidRPr="00CF2A74">
              <w:rPr>
                <w:sz w:val="16"/>
                <w:szCs w:val="16"/>
                <w:rtl/>
              </w:rPr>
              <w:t xml:space="preserve"> -</w:t>
            </w:r>
          </w:p>
        </w:tc>
        <w:tc>
          <w:tcPr>
            <w:tcW w:w="900" w:type="dxa"/>
            <w:vAlign w:val="bottom"/>
          </w:tcPr>
          <w:p w14:paraId="2DE88DCE" w14:textId="77777777" w:rsidR="004E0E02" w:rsidRPr="00513F0D" w:rsidRDefault="004E0E02" w:rsidP="0084040C">
            <w:pPr>
              <w:pStyle w:val="-3"/>
              <w:jc w:val="left"/>
              <w:rPr>
                <w:sz w:val="16"/>
                <w:szCs w:val="16"/>
                <w:rtl/>
              </w:rPr>
            </w:pPr>
            <w:r w:rsidRPr="00CF2A74">
              <w:rPr>
                <w:sz w:val="16"/>
                <w:szCs w:val="16"/>
                <w:rtl/>
              </w:rPr>
              <w:t xml:space="preserve"> -</w:t>
            </w:r>
          </w:p>
        </w:tc>
        <w:tc>
          <w:tcPr>
            <w:tcW w:w="681" w:type="dxa"/>
            <w:vAlign w:val="bottom"/>
          </w:tcPr>
          <w:p w14:paraId="4D94E922" w14:textId="77777777" w:rsidR="004E0E02" w:rsidRPr="00513F0D" w:rsidRDefault="004E0E02" w:rsidP="0084040C">
            <w:pPr>
              <w:pStyle w:val="-3"/>
              <w:jc w:val="left"/>
              <w:rPr>
                <w:sz w:val="16"/>
                <w:szCs w:val="16"/>
                <w:rtl/>
              </w:rPr>
            </w:pPr>
            <w:r w:rsidRPr="00CF2A74">
              <w:rPr>
                <w:sz w:val="16"/>
                <w:szCs w:val="16"/>
                <w:rtl/>
              </w:rPr>
              <w:t xml:space="preserve"> -</w:t>
            </w:r>
          </w:p>
        </w:tc>
        <w:tc>
          <w:tcPr>
            <w:tcW w:w="1328" w:type="dxa"/>
            <w:vAlign w:val="bottom"/>
          </w:tcPr>
          <w:p w14:paraId="64C09A43" w14:textId="77777777" w:rsidR="004E0E02" w:rsidRPr="00513F0D" w:rsidRDefault="004E0E02" w:rsidP="00141F15">
            <w:pPr>
              <w:pStyle w:val="-3"/>
              <w:jc w:val="left"/>
              <w:rPr>
                <w:sz w:val="16"/>
                <w:szCs w:val="16"/>
                <w:rtl/>
              </w:rPr>
            </w:pPr>
            <w:r w:rsidRPr="00CF2A74">
              <w:rPr>
                <w:sz w:val="16"/>
                <w:szCs w:val="16"/>
                <w:rtl/>
              </w:rPr>
              <w:t xml:space="preserve"> 0</w:t>
            </w:r>
          </w:p>
        </w:tc>
        <w:tc>
          <w:tcPr>
            <w:tcW w:w="713" w:type="dxa"/>
            <w:vAlign w:val="bottom"/>
          </w:tcPr>
          <w:p w14:paraId="4BEADF2B" w14:textId="77777777" w:rsidR="004E0E02" w:rsidRPr="00513F0D" w:rsidRDefault="004E0E02" w:rsidP="00141F15">
            <w:pPr>
              <w:pStyle w:val="-3"/>
              <w:jc w:val="left"/>
              <w:rPr>
                <w:sz w:val="16"/>
                <w:szCs w:val="16"/>
                <w:rtl/>
              </w:rPr>
            </w:pPr>
            <w:r w:rsidRPr="00CF2A74">
              <w:rPr>
                <w:sz w:val="16"/>
                <w:szCs w:val="16"/>
                <w:rtl/>
              </w:rPr>
              <w:t xml:space="preserve"> 0</w:t>
            </w:r>
          </w:p>
        </w:tc>
        <w:tc>
          <w:tcPr>
            <w:tcW w:w="765" w:type="dxa"/>
            <w:vAlign w:val="bottom"/>
          </w:tcPr>
          <w:p w14:paraId="0C8064DE" w14:textId="77777777" w:rsidR="004E0E02" w:rsidRPr="00513F0D" w:rsidRDefault="004E0E02" w:rsidP="00141F15">
            <w:pPr>
              <w:pStyle w:val="-3"/>
              <w:jc w:val="left"/>
              <w:rPr>
                <w:sz w:val="16"/>
                <w:szCs w:val="16"/>
                <w:rtl/>
              </w:rPr>
            </w:pPr>
            <w:r w:rsidRPr="00CF2A74">
              <w:rPr>
                <w:sz w:val="16"/>
                <w:szCs w:val="16"/>
                <w:rtl/>
              </w:rPr>
              <w:t xml:space="preserve"> 0</w:t>
            </w:r>
          </w:p>
        </w:tc>
      </w:tr>
      <w:tr w:rsidR="0030599F" w:rsidRPr="00513F0D" w14:paraId="5656B96B" w14:textId="77777777" w:rsidTr="004A1ADA">
        <w:tc>
          <w:tcPr>
            <w:tcW w:w="850" w:type="dxa"/>
          </w:tcPr>
          <w:p w14:paraId="04C6F2D6"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5F5EA088" w14:textId="77777777" w:rsidR="004E0E02" w:rsidRPr="00513F0D" w:rsidRDefault="004E0E02" w:rsidP="0084040C">
            <w:pPr>
              <w:pStyle w:val="-21"/>
              <w:spacing w:before="0"/>
              <w:rPr>
                <w:sz w:val="16"/>
                <w:szCs w:val="16"/>
                <w:rtl/>
              </w:rPr>
            </w:pPr>
            <w:r w:rsidRPr="00CF2A74">
              <w:rPr>
                <w:rFonts w:hint="eastAsia"/>
                <w:sz w:val="16"/>
                <w:szCs w:val="16"/>
                <w:rtl/>
              </w:rPr>
              <w:t>זכויות</w:t>
            </w:r>
            <w:r w:rsidRPr="00CF2A74">
              <w:rPr>
                <w:sz w:val="16"/>
                <w:szCs w:val="16"/>
                <w:rtl/>
              </w:rPr>
              <w:t xml:space="preserve"> </w:t>
            </w:r>
            <w:r w:rsidRPr="00CF2A74">
              <w:rPr>
                <w:rFonts w:hint="eastAsia"/>
                <w:sz w:val="16"/>
                <w:szCs w:val="16"/>
                <w:rtl/>
              </w:rPr>
              <w:t>שאינן</w:t>
            </w:r>
            <w:r w:rsidRPr="00CF2A74">
              <w:rPr>
                <w:sz w:val="16"/>
                <w:szCs w:val="16"/>
                <w:rtl/>
              </w:rPr>
              <w:t xml:space="preserve"> </w:t>
            </w:r>
            <w:r w:rsidRPr="00CF2A74">
              <w:rPr>
                <w:rFonts w:hint="eastAsia"/>
                <w:sz w:val="16"/>
                <w:szCs w:val="16"/>
                <w:rtl/>
              </w:rPr>
              <w:t>מקנות</w:t>
            </w:r>
            <w:r w:rsidRPr="00CF2A74">
              <w:rPr>
                <w:sz w:val="16"/>
                <w:szCs w:val="16"/>
                <w:rtl/>
              </w:rPr>
              <w:t xml:space="preserve"> </w:t>
            </w:r>
            <w:r w:rsidRPr="00CF2A74">
              <w:rPr>
                <w:rFonts w:hint="eastAsia"/>
                <w:sz w:val="16"/>
                <w:szCs w:val="16"/>
                <w:rtl/>
              </w:rPr>
              <w:t>שליטה</w:t>
            </w:r>
            <w:r w:rsidRPr="00CF2A74">
              <w:rPr>
                <w:sz w:val="16"/>
                <w:szCs w:val="16"/>
                <w:rtl/>
              </w:rPr>
              <w:t xml:space="preserve"> </w:t>
            </w:r>
            <w:r w:rsidRPr="00CF2A74">
              <w:rPr>
                <w:rFonts w:hint="eastAsia"/>
                <w:sz w:val="16"/>
                <w:szCs w:val="16"/>
                <w:rtl/>
              </w:rPr>
              <w:t>שנוצרו</w:t>
            </w:r>
            <w:r w:rsidRPr="00CF2A74">
              <w:rPr>
                <w:sz w:val="16"/>
                <w:szCs w:val="16"/>
                <w:rtl/>
              </w:rPr>
              <w:t xml:space="preserve"> </w:t>
            </w:r>
            <w:r w:rsidRPr="00CF2A74">
              <w:rPr>
                <w:rFonts w:hint="eastAsia"/>
                <w:sz w:val="16"/>
                <w:szCs w:val="16"/>
                <w:rtl/>
              </w:rPr>
              <w:t>בצירוף</w:t>
            </w:r>
            <w:r w:rsidRPr="00CF2A74">
              <w:rPr>
                <w:sz w:val="16"/>
                <w:szCs w:val="16"/>
                <w:rtl/>
              </w:rPr>
              <w:t xml:space="preserve"> </w:t>
            </w:r>
            <w:r w:rsidRPr="00CF2A74">
              <w:rPr>
                <w:rFonts w:hint="eastAsia"/>
                <w:sz w:val="16"/>
                <w:szCs w:val="16"/>
                <w:rtl/>
              </w:rPr>
              <w:t>עסקים</w:t>
            </w:r>
          </w:p>
        </w:tc>
        <w:tc>
          <w:tcPr>
            <w:tcW w:w="672" w:type="dxa"/>
            <w:vAlign w:val="bottom"/>
          </w:tcPr>
          <w:p w14:paraId="4C41625D" w14:textId="77777777" w:rsidR="004E0E02" w:rsidRPr="00513F0D" w:rsidRDefault="004E0E02" w:rsidP="0084040C">
            <w:pPr>
              <w:pStyle w:val="-3"/>
              <w:rPr>
                <w:sz w:val="16"/>
                <w:szCs w:val="16"/>
                <w:rtl/>
              </w:rPr>
            </w:pPr>
            <w:r w:rsidRPr="00CF2A74">
              <w:rPr>
                <w:sz w:val="16"/>
                <w:szCs w:val="16"/>
                <w:rtl/>
              </w:rPr>
              <w:t>-</w:t>
            </w:r>
          </w:p>
        </w:tc>
        <w:tc>
          <w:tcPr>
            <w:tcW w:w="852" w:type="dxa"/>
            <w:vAlign w:val="bottom"/>
          </w:tcPr>
          <w:p w14:paraId="03676547" w14:textId="77777777" w:rsidR="004E0E02" w:rsidRPr="00513F0D" w:rsidRDefault="004E0E02" w:rsidP="0084040C">
            <w:pPr>
              <w:pStyle w:val="-3"/>
              <w:rPr>
                <w:sz w:val="16"/>
                <w:szCs w:val="16"/>
                <w:rtl/>
              </w:rPr>
            </w:pPr>
            <w:r w:rsidRPr="00CF2A74">
              <w:rPr>
                <w:sz w:val="16"/>
                <w:szCs w:val="16"/>
                <w:rtl/>
              </w:rPr>
              <w:t>-</w:t>
            </w:r>
          </w:p>
        </w:tc>
        <w:tc>
          <w:tcPr>
            <w:tcW w:w="963" w:type="dxa"/>
            <w:vAlign w:val="bottom"/>
          </w:tcPr>
          <w:p w14:paraId="30A4FFF4" w14:textId="77777777" w:rsidR="004E0E02" w:rsidRPr="00513F0D" w:rsidRDefault="004E0E02" w:rsidP="0084040C">
            <w:pPr>
              <w:pStyle w:val="-3"/>
              <w:rPr>
                <w:sz w:val="16"/>
                <w:szCs w:val="16"/>
                <w:rtl/>
              </w:rPr>
            </w:pPr>
            <w:r w:rsidRPr="00CF2A74">
              <w:rPr>
                <w:sz w:val="16"/>
                <w:szCs w:val="16"/>
                <w:rtl/>
              </w:rPr>
              <w:t>-</w:t>
            </w:r>
          </w:p>
        </w:tc>
        <w:tc>
          <w:tcPr>
            <w:tcW w:w="751" w:type="dxa"/>
            <w:vAlign w:val="bottom"/>
          </w:tcPr>
          <w:p w14:paraId="44FBFF18" w14:textId="77777777" w:rsidR="004E0E02" w:rsidRPr="00513F0D" w:rsidRDefault="004E0E02" w:rsidP="0084040C">
            <w:pPr>
              <w:pStyle w:val="-3"/>
              <w:rPr>
                <w:sz w:val="16"/>
                <w:szCs w:val="16"/>
                <w:rtl/>
              </w:rPr>
            </w:pPr>
            <w:r w:rsidRPr="00CF2A74">
              <w:rPr>
                <w:sz w:val="16"/>
                <w:szCs w:val="16"/>
                <w:rtl/>
              </w:rPr>
              <w:t>-</w:t>
            </w:r>
          </w:p>
        </w:tc>
        <w:tc>
          <w:tcPr>
            <w:tcW w:w="1072" w:type="dxa"/>
            <w:vAlign w:val="bottom"/>
          </w:tcPr>
          <w:p w14:paraId="12761230"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56A48671" w14:textId="77777777" w:rsidR="004E0E02" w:rsidRPr="00513F0D" w:rsidRDefault="004E0E02" w:rsidP="0084040C">
            <w:pPr>
              <w:pStyle w:val="-3"/>
              <w:jc w:val="left"/>
              <w:rPr>
                <w:sz w:val="16"/>
                <w:szCs w:val="16"/>
                <w:rtl/>
              </w:rPr>
            </w:pPr>
            <w:r w:rsidRPr="00CF2A74">
              <w:rPr>
                <w:sz w:val="16"/>
                <w:szCs w:val="16"/>
                <w:rtl/>
              </w:rPr>
              <w:t xml:space="preserve"> -</w:t>
            </w:r>
          </w:p>
        </w:tc>
        <w:tc>
          <w:tcPr>
            <w:tcW w:w="767" w:type="dxa"/>
            <w:vAlign w:val="bottom"/>
          </w:tcPr>
          <w:p w14:paraId="00C67013" w14:textId="77777777" w:rsidR="004E0E02" w:rsidRPr="00CF2A74" w:rsidRDefault="004E0E02" w:rsidP="0084040C">
            <w:pPr>
              <w:pStyle w:val="-3"/>
              <w:jc w:val="left"/>
              <w:rPr>
                <w:sz w:val="16"/>
                <w:szCs w:val="16"/>
                <w:rtl/>
              </w:rPr>
            </w:pPr>
            <w:r w:rsidRPr="00CF2A74">
              <w:rPr>
                <w:sz w:val="16"/>
                <w:szCs w:val="16"/>
                <w:rtl/>
              </w:rPr>
              <w:t>-</w:t>
            </w:r>
          </w:p>
        </w:tc>
        <w:tc>
          <w:tcPr>
            <w:tcW w:w="914" w:type="dxa"/>
            <w:vAlign w:val="bottom"/>
          </w:tcPr>
          <w:p w14:paraId="57C64644" w14:textId="77777777" w:rsidR="004E0E02" w:rsidRPr="00513F0D" w:rsidRDefault="004E0E02" w:rsidP="0084040C">
            <w:pPr>
              <w:pStyle w:val="-3"/>
              <w:jc w:val="left"/>
              <w:rPr>
                <w:sz w:val="16"/>
                <w:szCs w:val="16"/>
                <w:rtl/>
              </w:rPr>
            </w:pPr>
            <w:r w:rsidRPr="00CF2A74">
              <w:rPr>
                <w:sz w:val="16"/>
                <w:szCs w:val="16"/>
                <w:rtl/>
              </w:rPr>
              <w:t xml:space="preserve"> -</w:t>
            </w:r>
          </w:p>
        </w:tc>
        <w:tc>
          <w:tcPr>
            <w:tcW w:w="838" w:type="dxa"/>
            <w:vAlign w:val="bottom"/>
          </w:tcPr>
          <w:p w14:paraId="6C8295D6" w14:textId="77777777" w:rsidR="004E0E02" w:rsidRPr="00513F0D" w:rsidRDefault="004E0E02" w:rsidP="0084040C">
            <w:pPr>
              <w:pStyle w:val="-3"/>
              <w:jc w:val="left"/>
              <w:rPr>
                <w:sz w:val="16"/>
                <w:szCs w:val="16"/>
                <w:rtl/>
              </w:rPr>
            </w:pPr>
            <w:r w:rsidRPr="00CF2A74">
              <w:rPr>
                <w:sz w:val="16"/>
                <w:szCs w:val="16"/>
                <w:rtl/>
              </w:rPr>
              <w:t xml:space="preserve"> -</w:t>
            </w:r>
          </w:p>
        </w:tc>
        <w:tc>
          <w:tcPr>
            <w:tcW w:w="900" w:type="dxa"/>
            <w:vAlign w:val="bottom"/>
          </w:tcPr>
          <w:p w14:paraId="68BB3710" w14:textId="77777777" w:rsidR="004E0E02" w:rsidRPr="00513F0D" w:rsidRDefault="004E0E02" w:rsidP="0084040C">
            <w:pPr>
              <w:pStyle w:val="-3"/>
              <w:jc w:val="left"/>
              <w:rPr>
                <w:sz w:val="16"/>
                <w:szCs w:val="16"/>
                <w:rtl/>
              </w:rPr>
            </w:pPr>
            <w:r w:rsidRPr="00CF2A74">
              <w:rPr>
                <w:sz w:val="16"/>
                <w:szCs w:val="16"/>
                <w:rtl/>
              </w:rPr>
              <w:t xml:space="preserve"> -</w:t>
            </w:r>
          </w:p>
        </w:tc>
        <w:tc>
          <w:tcPr>
            <w:tcW w:w="681" w:type="dxa"/>
            <w:vAlign w:val="bottom"/>
          </w:tcPr>
          <w:p w14:paraId="713C589F" w14:textId="77777777" w:rsidR="004E0E02" w:rsidRPr="00513F0D" w:rsidRDefault="004E0E02" w:rsidP="0084040C">
            <w:pPr>
              <w:pStyle w:val="-3"/>
              <w:jc w:val="left"/>
              <w:rPr>
                <w:sz w:val="16"/>
                <w:szCs w:val="16"/>
                <w:rtl/>
              </w:rPr>
            </w:pPr>
            <w:r w:rsidRPr="00CF2A74">
              <w:rPr>
                <w:sz w:val="16"/>
                <w:szCs w:val="16"/>
                <w:rtl/>
              </w:rPr>
              <w:t xml:space="preserve"> -</w:t>
            </w:r>
          </w:p>
        </w:tc>
        <w:tc>
          <w:tcPr>
            <w:tcW w:w="1328" w:type="dxa"/>
            <w:vAlign w:val="bottom"/>
          </w:tcPr>
          <w:p w14:paraId="3320B69C" w14:textId="77777777" w:rsidR="004E0E02" w:rsidRPr="00513F0D" w:rsidRDefault="004E0E02" w:rsidP="00141F15">
            <w:pPr>
              <w:pStyle w:val="-3"/>
              <w:jc w:val="left"/>
              <w:rPr>
                <w:sz w:val="16"/>
                <w:szCs w:val="16"/>
                <w:rtl/>
              </w:rPr>
            </w:pPr>
            <w:r>
              <w:rPr>
                <w:rFonts w:hint="cs"/>
                <w:sz w:val="16"/>
                <w:szCs w:val="16"/>
                <w:rtl/>
              </w:rPr>
              <w:t xml:space="preserve"> -</w:t>
            </w:r>
          </w:p>
        </w:tc>
        <w:tc>
          <w:tcPr>
            <w:tcW w:w="713" w:type="dxa"/>
            <w:vAlign w:val="bottom"/>
          </w:tcPr>
          <w:p w14:paraId="090A596A" w14:textId="77777777" w:rsidR="004E0E02" w:rsidRPr="00513F0D" w:rsidRDefault="004E0E02" w:rsidP="00141F15">
            <w:pPr>
              <w:pStyle w:val="-3"/>
              <w:jc w:val="left"/>
              <w:rPr>
                <w:sz w:val="16"/>
                <w:szCs w:val="16"/>
                <w:rtl/>
              </w:rPr>
            </w:pPr>
            <w:r w:rsidRPr="00CF2A74">
              <w:rPr>
                <w:sz w:val="16"/>
                <w:szCs w:val="16"/>
                <w:rtl/>
              </w:rPr>
              <w:t xml:space="preserve"> 0</w:t>
            </w:r>
          </w:p>
        </w:tc>
        <w:tc>
          <w:tcPr>
            <w:tcW w:w="765" w:type="dxa"/>
            <w:vAlign w:val="bottom"/>
          </w:tcPr>
          <w:p w14:paraId="6D14E9B5" w14:textId="77777777" w:rsidR="004E0E02" w:rsidRPr="00513F0D" w:rsidRDefault="004E0E02" w:rsidP="00141F15">
            <w:pPr>
              <w:pStyle w:val="-3"/>
              <w:jc w:val="left"/>
              <w:rPr>
                <w:sz w:val="16"/>
                <w:szCs w:val="16"/>
                <w:rtl/>
              </w:rPr>
            </w:pPr>
            <w:r w:rsidRPr="00CF2A74">
              <w:rPr>
                <w:sz w:val="16"/>
                <w:szCs w:val="16"/>
                <w:rtl/>
              </w:rPr>
              <w:t xml:space="preserve"> 0</w:t>
            </w:r>
          </w:p>
        </w:tc>
      </w:tr>
      <w:tr w:rsidR="0030599F" w:rsidRPr="00513F0D" w14:paraId="46462E95" w14:textId="77777777" w:rsidTr="004A1ADA">
        <w:tc>
          <w:tcPr>
            <w:tcW w:w="850" w:type="dxa"/>
          </w:tcPr>
          <w:p w14:paraId="581410AA"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14D03EF3" w14:textId="77777777" w:rsidR="004E0E02" w:rsidRDefault="004E0E02">
            <w:pPr>
              <w:pStyle w:val="-21"/>
              <w:spacing w:before="0"/>
              <w:rPr>
                <w:sz w:val="16"/>
                <w:szCs w:val="16"/>
                <w:rtl/>
              </w:rPr>
            </w:pPr>
            <w:r w:rsidRPr="00CF2A74">
              <w:rPr>
                <w:rFonts w:hint="eastAsia"/>
                <w:sz w:val="16"/>
                <w:szCs w:val="16"/>
                <w:rtl/>
              </w:rPr>
              <w:t>רכישת</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באוצר</w:t>
            </w:r>
            <w:r w:rsidRPr="00CF2A74">
              <w:rPr>
                <w:sz w:val="16"/>
                <w:szCs w:val="16"/>
                <w:rtl/>
              </w:rPr>
              <w:t xml:space="preserve"> </w:t>
            </w:r>
            <w:r w:rsidRPr="00CF2A74">
              <w:rPr>
                <w:rFonts w:hint="eastAsia"/>
                <w:sz w:val="16"/>
                <w:szCs w:val="16"/>
                <w:rtl/>
              </w:rPr>
              <w:t>על</w:t>
            </w:r>
            <w:r w:rsidRPr="00CF2A74">
              <w:rPr>
                <w:sz w:val="16"/>
                <w:szCs w:val="16"/>
                <w:rtl/>
              </w:rPr>
              <w:t xml:space="preserve"> </w:t>
            </w:r>
            <w:r w:rsidRPr="00CF2A74">
              <w:rPr>
                <w:rFonts w:hint="eastAsia"/>
                <w:sz w:val="16"/>
                <w:szCs w:val="16"/>
                <w:rtl/>
              </w:rPr>
              <w:t>ידי</w:t>
            </w:r>
            <w:r w:rsidRPr="00CF2A74">
              <w:rPr>
                <w:sz w:val="16"/>
                <w:szCs w:val="16"/>
                <w:rtl/>
              </w:rPr>
              <w:t xml:space="preserve"> </w:t>
            </w:r>
            <w:r w:rsidRPr="00CF2A74">
              <w:rPr>
                <w:rFonts w:hint="eastAsia"/>
                <w:sz w:val="16"/>
                <w:szCs w:val="16"/>
                <w:rtl/>
              </w:rPr>
              <w:t>התאגיד</w:t>
            </w:r>
            <w:r w:rsidRPr="00CF2A74">
              <w:rPr>
                <w:sz w:val="16"/>
                <w:szCs w:val="16"/>
                <w:rtl/>
              </w:rPr>
              <w:t xml:space="preserve"> </w:t>
            </w:r>
            <w:r w:rsidRPr="00CF2A74">
              <w:rPr>
                <w:rFonts w:hint="eastAsia"/>
                <w:sz w:val="16"/>
                <w:szCs w:val="16"/>
                <w:rtl/>
              </w:rPr>
              <w:t>הבנקאי</w:t>
            </w:r>
            <w:r w:rsidRPr="00CF2A74">
              <w:rPr>
                <w:sz w:val="16"/>
                <w:szCs w:val="16"/>
                <w:rtl/>
              </w:rPr>
              <w:t>/</w:t>
            </w:r>
            <w:r w:rsidRPr="00CF2A74">
              <w:rPr>
                <w:rFonts w:hint="eastAsia"/>
                <w:sz w:val="16"/>
                <w:szCs w:val="16"/>
                <w:rtl/>
              </w:rPr>
              <w:t>חברה</w:t>
            </w:r>
            <w:r w:rsidRPr="00CF2A74">
              <w:rPr>
                <w:sz w:val="16"/>
                <w:szCs w:val="16"/>
                <w:rtl/>
              </w:rPr>
              <w:t xml:space="preserve"> </w:t>
            </w:r>
            <w:r w:rsidRPr="00CF2A74">
              <w:rPr>
                <w:rFonts w:hint="eastAsia"/>
                <w:sz w:val="16"/>
                <w:szCs w:val="16"/>
                <w:rtl/>
              </w:rPr>
              <w:t>בת</w:t>
            </w:r>
          </w:p>
        </w:tc>
        <w:tc>
          <w:tcPr>
            <w:tcW w:w="672" w:type="dxa"/>
            <w:vAlign w:val="bottom"/>
          </w:tcPr>
          <w:p w14:paraId="140BA70E" w14:textId="77777777" w:rsidR="004E0E02" w:rsidRPr="00513F0D" w:rsidRDefault="004E0E02" w:rsidP="0084040C">
            <w:pPr>
              <w:pStyle w:val="-3"/>
              <w:rPr>
                <w:sz w:val="16"/>
                <w:szCs w:val="16"/>
                <w:rtl/>
              </w:rPr>
            </w:pPr>
            <w:r w:rsidRPr="00CF2A74">
              <w:rPr>
                <w:sz w:val="16"/>
                <w:szCs w:val="16"/>
                <w:rtl/>
              </w:rPr>
              <w:t>-</w:t>
            </w:r>
          </w:p>
        </w:tc>
        <w:tc>
          <w:tcPr>
            <w:tcW w:w="852" w:type="dxa"/>
            <w:vAlign w:val="bottom"/>
          </w:tcPr>
          <w:p w14:paraId="1E146F19" w14:textId="77777777" w:rsidR="004E0E02" w:rsidRPr="00513F0D" w:rsidRDefault="004E0E02" w:rsidP="0084040C">
            <w:pPr>
              <w:pStyle w:val="-3"/>
              <w:rPr>
                <w:sz w:val="16"/>
                <w:szCs w:val="16"/>
                <w:rtl/>
              </w:rPr>
            </w:pPr>
            <w:r w:rsidRPr="00CF2A74">
              <w:rPr>
                <w:sz w:val="16"/>
                <w:szCs w:val="16"/>
                <w:rtl/>
              </w:rPr>
              <w:t>-</w:t>
            </w:r>
          </w:p>
        </w:tc>
        <w:tc>
          <w:tcPr>
            <w:tcW w:w="963" w:type="dxa"/>
            <w:vAlign w:val="bottom"/>
          </w:tcPr>
          <w:p w14:paraId="10F6CF9A" w14:textId="77777777" w:rsidR="004E0E02" w:rsidRPr="00513F0D" w:rsidRDefault="004E0E02" w:rsidP="0084040C">
            <w:pPr>
              <w:pStyle w:val="-3"/>
              <w:rPr>
                <w:sz w:val="16"/>
                <w:szCs w:val="16"/>
                <w:rtl/>
              </w:rPr>
            </w:pPr>
            <w:r w:rsidRPr="00CF2A74">
              <w:rPr>
                <w:sz w:val="16"/>
                <w:szCs w:val="16"/>
                <w:rtl/>
              </w:rPr>
              <w:t>-</w:t>
            </w:r>
          </w:p>
        </w:tc>
        <w:tc>
          <w:tcPr>
            <w:tcW w:w="751" w:type="dxa"/>
            <w:vAlign w:val="bottom"/>
          </w:tcPr>
          <w:p w14:paraId="6786FF4A" w14:textId="77777777" w:rsidR="004E0E02" w:rsidRPr="00513F0D" w:rsidRDefault="004E0E02" w:rsidP="0084040C">
            <w:pPr>
              <w:pStyle w:val="-3"/>
              <w:rPr>
                <w:sz w:val="16"/>
                <w:szCs w:val="16"/>
                <w:rtl/>
              </w:rPr>
            </w:pPr>
            <w:r w:rsidRPr="00CF2A74">
              <w:rPr>
                <w:sz w:val="16"/>
                <w:szCs w:val="16"/>
                <w:rtl/>
              </w:rPr>
              <w:t>-</w:t>
            </w:r>
          </w:p>
        </w:tc>
        <w:tc>
          <w:tcPr>
            <w:tcW w:w="1072" w:type="dxa"/>
            <w:vAlign w:val="bottom"/>
          </w:tcPr>
          <w:p w14:paraId="40FCAA80"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3825CA91" w14:textId="77777777" w:rsidR="004E0E02" w:rsidRPr="00513F0D" w:rsidRDefault="004E0E02" w:rsidP="0084040C">
            <w:pPr>
              <w:pStyle w:val="-3"/>
              <w:jc w:val="left"/>
              <w:rPr>
                <w:sz w:val="16"/>
                <w:szCs w:val="16"/>
                <w:rtl/>
              </w:rPr>
            </w:pPr>
            <w:r w:rsidRPr="00CF2A74">
              <w:rPr>
                <w:sz w:val="16"/>
                <w:szCs w:val="16"/>
                <w:rtl/>
              </w:rPr>
              <w:t xml:space="preserve"> -</w:t>
            </w:r>
          </w:p>
        </w:tc>
        <w:tc>
          <w:tcPr>
            <w:tcW w:w="767" w:type="dxa"/>
            <w:vAlign w:val="bottom"/>
          </w:tcPr>
          <w:p w14:paraId="1CD8DCE4" w14:textId="77777777" w:rsidR="004E0E02" w:rsidRPr="00CF2A74" w:rsidRDefault="004E0E02" w:rsidP="0084040C">
            <w:pPr>
              <w:pStyle w:val="-3"/>
              <w:jc w:val="left"/>
              <w:rPr>
                <w:sz w:val="16"/>
                <w:szCs w:val="16"/>
                <w:rtl/>
              </w:rPr>
            </w:pPr>
            <w:r w:rsidRPr="00CF2A74">
              <w:rPr>
                <w:sz w:val="16"/>
                <w:szCs w:val="16"/>
                <w:rtl/>
              </w:rPr>
              <w:t>0</w:t>
            </w:r>
          </w:p>
        </w:tc>
        <w:tc>
          <w:tcPr>
            <w:tcW w:w="914" w:type="dxa"/>
            <w:vAlign w:val="bottom"/>
          </w:tcPr>
          <w:p w14:paraId="469EE3DB" w14:textId="77777777" w:rsidR="004E0E02" w:rsidRPr="00513F0D" w:rsidRDefault="004E0E02" w:rsidP="0084040C">
            <w:pPr>
              <w:pStyle w:val="-3"/>
              <w:jc w:val="left"/>
              <w:rPr>
                <w:sz w:val="16"/>
                <w:szCs w:val="16"/>
                <w:rtl/>
              </w:rPr>
            </w:pPr>
            <w:r w:rsidRPr="00CF2A74">
              <w:rPr>
                <w:sz w:val="16"/>
                <w:szCs w:val="16"/>
                <w:rtl/>
              </w:rPr>
              <w:t xml:space="preserve"> 0</w:t>
            </w:r>
          </w:p>
        </w:tc>
        <w:tc>
          <w:tcPr>
            <w:tcW w:w="838" w:type="dxa"/>
            <w:vAlign w:val="bottom"/>
          </w:tcPr>
          <w:p w14:paraId="589817E8" w14:textId="77777777" w:rsidR="004E0E02" w:rsidRPr="00513F0D" w:rsidRDefault="004E0E02" w:rsidP="0084040C">
            <w:pPr>
              <w:pStyle w:val="-3"/>
              <w:jc w:val="left"/>
              <w:rPr>
                <w:sz w:val="16"/>
                <w:szCs w:val="16"/>
                <w:rtl/>
              </w:rPr>
            </w:pPr>
            <w:r w:rsidRPr="00CF2A74">
              <w:rPr>
                <w:sz w:val="16"/>
                <w:szCs w:val="16"/>
                <w:rtl/>
              </w:rPr>
              <w:t xml:space="preserve"> -</w:t>
            </w:r>
          </w:p>
        </w:tc>
        <w:tc>
          <w:tcPr>
            <w:tcW w:w="900" w:type="dxa"/>
            <w:vAlign w:val="bottom"/>
          </w:tcPr>
          <w:p w14:paraId="5DDA06D5" w14:textId="77777777" w:rsidR="004E0E02" w:rsidRPr="00513F0D" w:rsidRDefault="004E0E02" w:rsidP="0084040C">
            <w:pPr>
              <w:pStyle w:val="-3"/>
              <w:jc w:val="left"/>
              <w:rPr>
                <w:sz w:val="16"/>
                <w:szCs w:val="16"/>
                <w:rtl/>
              </w:rPr>
            </w:pPr>
            <w:r w:rsidRPr="00CF2A74">
              <w:rPr>
                <w:sz w:val="16"/>
                <w:szCs w:val="16"/>
                <w:rtl/>
              </w:rPr>
              <w:t xml:space="preserve"> -</w:t>
            </w:r>
          </w:p>
        </w:tc>
        <w:tc>
          <w:tcPr>
            <w:tcW w:w="681" w:type="dxa"/>
            <w:vAlign w:val="bottom"/>
          </w:tcPr>
          <w:p w14:paraId="1044F445" w14:textId="77777777" w:rsidR="004E0E02" w:rsidRPr="00513F0D" w:rsidRDefault="004E0E02" w:rsidP="0084040C">
            <w:pPr>
              <w:pStyle w:val="-3"/>
              <w:jc w:val="left"/>
              <w:rPr>
                <w:sz w:val="16"/>
                <w:szCs w:val="16"/>
                <w:rtl/>
              </w:rPr>
            </w:pPr>
            <w:r w:rsidRPr="00CF2A74">
              <w:rPr>
                <w:sz w:val="16"/>
                <w:szCs w:val="16"/>
                <w:rtl/>
              </w:rPr>
              <w:t xml:space="preserve"> -</w:t>
            </w:r>
          </w:p>
        </w:tc>
        <w:tc>
          <w:tcPr>
            <w:tcW w:w="1328" w:type="dxa"/>
            <w:vAlign w:val="bottom"/>
          </w:tcPr>
          <w:p w14:paraId="405BBB35" w14:textId="77777777" w:rsidR="004E0E02" w:rsidRPr="00513F0D" w:rsidRDefault="004E0E02" w:rsidP="00141F15">
            <w:pPr>
              <w:pStyle w:val="-3"/>
              <w:jc w:val="left"/>
              <w:rPr>
                <w:sz w:val="16"/>
                <w:szCs w:val="16"/>
                <w:rtl/>
              </w:rPr>
            </w:pPr>
            <w:r w:rsidRPr="00CF2A74">
              <w:rPr>
                <w:sz w:val="16"/>
                <w:szCs w:val="16"/>
                <w:rtl/>
              </w:rPr>
              <w:t xml:space="preserve"> 0</w:t>
            </w:r>
          </w:p>
        </w:tc>
        <w:tc>
          <w:tcPr>
            <w:tcW w:w="713" w:type="dxa"/>
            <w:vAlign w:val="bottom"/>
          </w:tcPr>
          <w:p w14:paraId="1A29A651" w14:textId="77777777" w:rsidR="004E0E02" w:rsidRPr="00513F0D" w:rsidRDefault="004E0E02" w:rsidP="00141F15">
            <w:pPr>
              <w:pStyle w:val="-3"/>
              <w:jc w:val="left"/>
              <w:rPr>
                <w:sz w:val="16"/>
                <w:szCs w:val="16"/>
                <w:rtl/>
              </w:rPr>
            </w:pPr>
            <w:r w:rsidRPr="00CF2A74">
              <w:rPr>
                <w:sz w:val="16"/>
                <w:szCs w:val="16"/>
                <w:rtl/>
              </w:rPr>
              <w:t xml:space="preserve"> 0</w:t>
            </w:r>
          </w:p>
        </w:tc>
        <w:tc>
          <w:tcPr>
            <w:tcW w:w="765" w:type="dxa"/>
            <w:vAlign w:val="bottom"/>
          </w:tcPr>
          <w:p w14:paraId="4ADE1E88" w14:textId="77777777" w:rsidR="004E0E02" w:rsidRPr="00513F0D" w:rsidRDefault="004E0E02" w:rsidP="00141F15">
            <w:pPr>
              <w:pStyle w:val="-3"/>
              <w:jc w:val="left"/>
              <w:rPr>
                <w:sz w:val="16"/>
                <w:szCs w:val="16"/>
                <w:rtl/>
              </w:rPr>
            </w:pPr>
            <w:r w:rsidRPr="00CF2A74">
              <w:rPr>
                <w:sz w:val="16"/>
                <w:szCs w:val="16"/>
                <w:rtl/>
              </w:rPr>
              <w:t xml:space="preserve"> 0</w:t>
            </w:r>
          </w:p>
        </w:tc>
      </w:tr>
      <w:tr w:rsidR="0030599F" w:rsidRPr="00513F0D" w14:paraId="27B5B68D" w14:textId="77777777" w:rsidTr="004A1ADA">
        <w:tc>
          <w:tcPr>
            <w:tcW w:w="850" w:type="dxa"/>
          </w:tcPr>
          <w:p w14:paraId="0D75E88B"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7F66CAE0" w14:textId="77777777" w:rsidR="004E0E02" w:rsidRPr="00513F0D" w:rsidRDefault="004E0E02" w:rsidP="0084040C">
            <w:pPr>
              <w:pStyle w:val="-0"/>
              <w:rPr>
                <w:sz w:val="16"/>
                <w:szCs w:val="16"/>
                <w:rtl/>
              </w:rPr>
            </w:pPr>
            <w:r w:rsidRPr="00CF2A74">
              <w:rPr>
                <w:rFonts w:hint="eastAsia"/>
                <w:sz w:val="16"/>
                <w:szCs w:val="16"/>
                <w:rtl/>
              </w:rPr>
              <w:t>רכישה</w:t>
            </w:r>
            <w:r w:rsidRPr="00CF2A74">
              <w:rPr>
                <w:sz w:val="16"/>
                <w:szCs w:val="16"/>
                <w:rtl/>
              </w:rPr>
              <w:t xml:space="preserve"> </w:t>
            </w:r>
            <w:r w:rsidRPr="00CF2A74">
              <w:rPr>
                <w:rFonts w:hint="eastAsia"/>
                <w:sz w:val="16"/>
                <w:szCs w:val="16"/>
                <w:rtl/>
              </w:rPr>
              <w:t>נוספת</w:t>
            </w:r>
            <w:r w:rsidRPr="00CF2A74">
              <w:rPr>
                <w:sz w:val="16"/>
                <w:szCs w:val="16"/>
                <w:rtl/>
              </w:rPr>
              <w:t xml:space="preserve"> </w:t>
            </w:r>
            <w:r w:rsidRPr="00CF2A74">
              <w:rPr>
                <w:rFonts w:hint="eastAsia"/>
                <w:sz w:val="16"/>
                <w:szCs w:val="16"/>
                <w:rtl/>
              </w:rPr>
              <w:t>של</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חברה</w:t>
            </w:r>
            <w:r w:rsidRPr="00CF2A74">
              <w:rPr>
                <w:sz w:val="16"/>
                <w:szCs w:val="16"/>
                <w:rtl/>
              </w:rPr>
              <w:t xml:space="preserve"> </w:t>
            </w:r>
            <w:r w:rsidRPr="00CF2A74">
              <w:rPr>
                <w:rFonts w:hint="eastAsia"/>
                <w:sz w:val="16"/>
                <w:szCs w:val="16"/>
                <w:rtl/>
              </w:rPr>
              <w:t>בת</w:t>
            </w:r>
          </w:p>
        </w:tc>
        <w:tc>
          <w:tcPr>
            <w:tcW w:w="672" w:type="dxa"/>
            <w:vAlign w:val="bottom"/>
          </w:tcPr>
          <w:p w14:paraId="2581DDED" w14:textId="77777777" w:rsidR="004E0E02" w:rsidRPr="00513F0D" w:rsidRDefault="004E0E02" w:rsidP="0084040C">
            <w:pPr>
              <w:pStyle w:val="-3"/>
              <w:rPr>
                <w:sz w:val="16"/>
                <w:szCs w:val="16"/>
                <w:rtl/>
              </w:rPr>
            </w:pPr>
            <w:r w:rsidRPr="00CF2A74">
              <w:rPr>
                <w:sz w:val="16"/>
                <w:szCs w:val="16"/>
                <w:rtl/>
              </w:rPr>
              <w:t>-</w:t>
            </w:r>
          </w:p>
        </w:tc>
        <w:tc>
          <w:tcPr>
            <w:tcW w:w="852" w:type="dxa"/>
            <w:vAlign w:val="bottom"/>
          </w:tcPr>
          <w:p w14:paraId="022B8BF7" w14:textId="77777777" w:rsidR="004E0E02" w:rsidRPr="00513F0D" w:rsidRDefault="004E0E02" w:rsidP="0084040C">
            <w:pPr>
              <w:pStyle w:val="-3"/>
              <w:rPr>
                <w:sz w:val="16"/>
                <w:szCs w:val="16"/>
                <w:rtl/>
              </w:rPr>
            </w:pPr>
            <w:r w:rsidRPr="00CF2A74">
              <w:rPr>
                <w:sz w:val="16"/>
                <w:szCs w:val="16"/>
                <w:rtl/>
              </w:rPr>
              <w:t>-</w:t>
            </w:r>
          </w:p>
        </w:tc>
        <w:tc>
          <w:tcPr>
            <w:tcW w:w="963" w:type="dxa"/>
            <w:vAlign w:val="bottom"/>
          </w:tcPr>
          <w:p w14:paraId="5BA5456A" w14:textId="77777777" w:rsidR="004E0E02" w:rsidRPr="00513F0D" w:rsidRDefault="004E0E02" w:rsidP="0084040C">
            <w:pPr>
              <w:pStyle w:val="-3"/>
              <w:rPr>
                <w:sz w:val="16"/>
                <w:szCs w:val="16"/>
                <w:rtl/>
              </w:rPr>
            </w:pPr>
            <w:r w:rsidRPr="00CF2A74">
              <w:rPr>
                <w:sz w:val="16"/>
                <w:szCs w:val="16"/>
                <w:rtl/>
              </w:rPr>
              <w:t>-</w:t>
            </w:r>
          </w:p>
        </w:tc>
        <w:tc>
          <w:tcPr>
            <w:tcW w:w="751" w:type="dxa"/>
            <w:vAlign w:val="bottom"/>
          </w:tcPr>
          <w:p w14:paraId="6E64E6AC" w14:textId="77777777" w:rsidR="004E0E02" w:rsidRPr="00513F0D" w:rsidRDefault="004E0E02" w:rsidP="0084040C">
            <w:pPr>
              <w:pStyle w:val="-3"/>
              <w:rPr>
                <w:sz w:val="16"/>
                <w:szCs w:val="16"/>
                <w:rtl/>
              </w:rPr>
            </w:pPr>
            <w:r>
              <w:rPr>
                <w:rFonts w:hint="cs"/>
                <w:sz w:val="16"/>
                <w:szCs w:val="16"/>
                <w:rtl/>
              </w:rPr>
              <w:t>0</w:t>
            </w:r>
          </w:p>
        </w:tc>
        <w:tc>
          <w:tcPr>
            <w:tcW w:w="1072" w:type="dxa"/>
            <w:vAlign w:val="bottom"/>
          </w:tcPr>
          <w:p w14:paraId="2FF24C4C"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7D65C42A" w14:textId="77777777" w:rsidR="00F32A2A" w:rsidRDefault="004E0E02">
            <w:pPr>
              <w:pStyle w:val="-3"/>
              <w:jc w:val="left"/>
              <w:rPr>
                <w:sz w:val="16"/>
                <w:szCs w:val="16"/>
                <w:rtl/>
              </w:rPr>
            </w:pPr>
            <w:r w:rsidRPr="00CF2A74">
              <w:rPr>
                <w:sz w:val="16"/>
                <w:szCs w:val="16"/>
                <w:rtl/>
              </w:rPr>
              <w:t xml:space="preserve"> </w:t>
            </w:r>
            <w:r>
              <w:rPr>
                <w:rFonts w:hint="cs"/>
                <w:sz w:val="16"/>
                <w:szCs w:val="16"/>
                <w:rtl/>
              </w:rPr>
              <w:t>-</w:t>
            </w:r>
          </w:p>
        </w:tc>
        <w:tc>
          <w:tcPr>
            <w:tcW w:w="767" w:type="dxa"/>
            <w:vAlign w:val="bottom"/>
          </w:tcPr>
          <w:p w14:paraId="4423872E" w14:textId="77777777" w:rsidR="004E0E02" w:rsidRPr="00CF2A74" w:rsidRDefault="004E0E02" w:rsidP="0084040C">
            <w:pPr>
              <w:pStyle w:val="-3"/>
              <w:jc w:val="left"/>
              <w:rPr>
                <w:sz w:val="16"/>
                <w:szCs w:val="16"/>
                <w:rtl/>
              </w:rPr>
            </w:pPr>
            <w:r w:rsidRPr="00CF2A74">
              <w:rPr>
                <w:sz w:val="16"/>
                <w:szCs w:val="16"/>
                <w:rtl/>
              </w:rPr>
              <w:t>-</w:t>
            </w:r>
          </w:p>
        </w:tc>
        <w:tc>
          <w:tcPr>
            <w:tcW w:w="914" w:type="dxa"/>
            <w:vAlign w:val="bottom"/>
          </w:tcPr>
          <w:p w14:paraId="2205B65F" w14:textId="77777777" w:rsidR="004E0E02" w:rsidRPr="00513F0D" w:rsidRDefault="004E0E02" w:rsidP="0084040C">
            <w:pPr>
              <w:pStyle w:val="-3"/>
              <w:jc w:val="left"/>
              <w:rPr>
                <w:sz w:val="16"/>
                <w:szCs w:val="16"/>
                <w:rtl/>
              </w:rPr>
            </w:pPr>
            <w:r w:rsidRPr="00CF2A74">
              <w:rPr>
                <w:sz w:val="16"/>
                <w:szCs w:val="16"/>
                <w:rtl/>
              </w:rPr>
              <w:t xml:space="preserve"> 0</w:t>
            </w:r>
          </w:p>
        </w:tc>
        <w:tc>
          <w:tcPr>
            <w:tcW w:w="838" w:type="dxa"/>
            <w:vAlign w:val="bottom"/>
          </w:tcPr>
          <w:p w14:paraId="50321900" w14:textId="77777777" w:rsidR="004E0E02" w:rsidRPr="00513F0D" w:rsidRDefault="004E0E02" w:rsidP="0084040C">
            <w:pPr>
              <w:pStyle w:val="-3"/>
              <w:jc w:val="left"/>
              <w:rPr>
                <w:sz w:val="16"/>
                <w:szCs w:val="16"/>
                <w:rtl/>
              </w:rPr>
            </w:pPr>
            <w:r w:rsidRPr="00CF2A74">
              <w:rPr>
                <w:sz w:val="16"/>
                <w:szCs w:val="16"/>
                <w:rtl/>
              </w:rPr>
              <w:t xml:space="preserve"> -</w:t>
            </w:r>
          </w:p>
        </w:tc>
        <w:tc>
          <w:tcPr>
            <w:tcW w:w="900" w:type="dxa"/>
            <w:vAlign w:val="bottom"/>
          </w:tcPr>
          <w:p w14:paraId="2CF60193" w14:textId="77777777" w:rsidR="004E0E02" w:rsidRPr="00513F0D" w:rsidRDefault="004E0E02" w:rsidP="0084040C">
            <w:pPr>
              <w:pStyle w:val="-3"/>
              <w:jc w:val="left"/>
              <w:rPr>
                <w:sz w:val="16"/>
                <w:szCs w:val="16"/>
                <w:rtl/>
              </w:rPr>
            </w:pPr>
            <w:r w:rsidRPr="00CF2A74">
              <w:rPr>
                <w:sz w:val="16"/>
                <w:szCs w:val="16"/>
                <w:rtl/>
              </w:rPr>
              <w:t xml:space="preserve"> -</w:t>
            </w:r>
          </w:p>
        </w:tc>
        <w:tc>
          <w:tcPr>
            <w:tcW w:w="681" w:type="dxa"/>
            <w:vAlign w:val="bottom"/>
          </w:tcPr>
          <w:p w14:paraId="74A71F71" w14:textId="77777777" w:rsidR="004E0E02" w:rsidRPr="00513F0D" w:rsidRDefault="004E0E02" w:rsidP="0084040C">
            <w:pPr>
              <w:pStyle w:val="-3"/>
              <w:jc w:val="left"/>
              <w:rPr>
                <w:sz w:val="16"/>
                <w:szCs w:val="16"/>
                <w:rtl/>
              </w:rPr>
            </w:pPr>
            <w:r w:rsidRPr="00CF2A74">
              <w:rPr>
                <w:sz w:val="16"/>
                <w:szCs w:val="16"/>
                <w:rtl/>
              </w:rPr>
              <w:t xml:space="preserve"> -</w:t>
            </w:r>
          </w:p>
        </w:tc>
        <w:tc>
          <w:tcPr>
            <w:tcW w:w="1328" w:type="dxa"/>
            <w:vAlign w:val="bottom"/>
          </w:tcPr>
          <w:p w14:paraId="4A6E3759" w14:textId="77777777" w:rsidR="004E0E02" w:rsidRPr="00513F0D" w:rsidRDefault="004E0E02" w:rsidP="00141F15">
            <w:pPr>
              <w:pStyle w:val="-3"/>
              <w:jc w:val="left"/>
              <w:rPr>
                <w:sz w:val="16"/>
                <w:szCs w:val="16"/>
                <w:rtl/>
              </w:rPr>
            </w:pPr>
            <w:r w:rsidRPr="00CF2A74">
              <w:rPr>
                <w:sz w:val="16"/>
                <w:szCs w:val="16"/>
                <w:rtl/>
              </w:rPr>
              <w:t xml:space="preserve"> 0</w:t>
            </w:r>
          </w:p>
        </w:tc>
        <w:tc>
          <w:tcPr>
            <w:tcW w:w="713" w:type="dxa"/>
            <w:vAlign w:val="bottom"/>
          </w:tcPr>
          <w:p w14:paraId="014E3092" w14:textId="77777777" w:rsidR="004E0E02" w:rsidRPr="00513F0D" w:rsidRDefault="004E0E02" w:rsidP="00141F15">
            <w:pPr>
              <w:pStyle w:val="-3"/>
              <w:jc w:val="left"/>
              <w:rPr>
                <w:sz w:val="16"/>
                <w:szCs w:val="16"/>
                <w:rtl/>
              </w:rPr>
            </w:pPr>
            <w:r w:rsidRPr="00CF2A74">
              <w:rPr>
                <w:sz w:val="16"/>
                <w:szCs w:val="16"/>
                <w:rtl/>
              </w:rPr>
              <w:t xml:space="preserve"> 0</w:t>
            </w:r>
          </w:p>
        </w:tc>
        <w:tc>
          <w:tcPr>
            <w:tcW w:w="765" w:type="dxa"/>
            <w:vAlign w:val="bottom"/>
          </w:tcPr>
          <w:p w14:paraId="2FA9FF59" w14:textId="77777777" w:rsidR="004E0E02" w:rsidRPr="00513F0D" w:rsidRDefault="004E0E02" w:rsidP="00141F15">
            <w:pPr>
              <w:pStyle w:val="-3"/>
              <w:jc w:val="left"/>
              <w:rPr>
                <w:sz w:val="16"/>
                <w:szCs w:val="16"/>
                <w:rtl/>
              </w:rPr>
            </w:pPr>
            <w:r w:rsidRPr="00CF2A74">
              <w:rPr>
                <w:sz w:val="16"/>
                <w:szCs w:val="16"/>
                <w:rtl/>
              </w:rPr>
              <w:t xml:space="preserve"> 0</w:t>
            </w:r>
          </w:p>
        </w:tc>
      </w:tr>
      <w:tr w:rsidR="0030599F" w:rsidRPr="00513F0D" w14:paraId="518C8FB5" w14:textId="77777777" w:rsidTr="004A1ADA">
        <w:tc>
          <w:tcPr>
            <w:tcW w:w="850" w:type="dxa"/>
          </w:tcPr>
          <w:p w14:paraId="01290D90"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1EFA1057" w14:textId="77777777" w:rsidR="004E0E02" w:rsidRPr="00513F0D" w:rsidRDefault="004E0E02" w:rsidP="0084040C">
            <w:pPr>
              <w:pStyle w:val="-21"/>
              <w:spacing w:before="0"/>
              <w:rPr>
                <w:sz w:val="16"/>
                <w:szCs w:val="16"/>
                <w:rtl/>
              </w:rPr>
            </w:pPr>
            <w:r w:rsidRPr="00CF2A74">
              <w:rPr>
                <w:rFonts w:hint="eastAsia"/>
                <w:sz w:val="16"/>
                <w:szCs w:val="16"/>
                <w:rtl/>
              </w:rPr>
              <w:t>ירידה</w:t>
            </w:r>
            <w:r w:rsidRPr="00CF2A74">
              <w:rPr>
                <w:sz w:val="16"/>
                <w:szCs w:val="16"/>
                <w:rtl/>
              </w:rPr>
              <w:t xml:space="preserve"> </w:t>
            </w:r>
            <w:r w:rsidRPr="00CF2A74">
              <w:rPr>
                <w:rFonts w:hint="eastAsia"/>
                <w:sz w:val="16"/>
                <w:szCs w:val="16"/>
                <w:rtl/>
              </w:rPr>
              <w:t>בשיעור</w:t>
            </w:r>
            <w:r w:rsidRPr="00CF2A74">
              <w:rPr>
                <w:sz w:val="16"/>
                <w:szCs w:val="16"/>
                <w:rtl/>
              </w:rPr>
              <w:t xml:space="preserve"> </w:t>
            </w:r>
            <w:r w:rsidRPr="00CF2A74">
              <w:rPr>
                <w:rFonts w:hint="eastAsia"/>
                <w:sz w:val="16"/>
                <w:szCs w:val="16"/>
                <w:rtl/>
              </w:rPr>
              <w:t>החזקה</w:t>
            </w:r>
            <w:r w:rsidRPr="00CF2A74">
              <w:rPr>
                <w:sz w:val="16"/>
                <w:szCs w:val="16"/>
                <w:rtl/>
              </w:rPr>
              <w:t xml:space="preserve"> </w:t>
            </w:r>
            <w:r w:rsidRPr="00CF2A74">
              <w:rPr>
                <w:rFonts w:hint="eastAsia"/>
                <w:sz w:val="16"/>
                <w:szCs w:val="16"/>
                <w:rtl/>
              </w:rPr>
              <w:t>ללא</w:t>
            </w:r>
            <w:r w:rsidRPr="00CF2A74">
              <w:rPr>
                <w:sz w:val="16"/>
                <w:szCs w:val="16"/>
                <w:rtl/>
              </w:rPr>
              <w:t xml:space="preserve"> </w:t>
            </w:r>
            <w:r w:rsidRPr="00CF2A74">
              <w:rPr>
                <w:rFonts w:hint="eastAsia"/>
                <w:sz w:val="16"/>
                <w:szCs w:val="16"/>
                <w:rtl/>
              </w:rPr>
              <w:t>איבוד</w:t>
            </w:r>
            <w:r w:rsidRPr="00CF2A74">
              <w:rPr>
                <w:sz w:val="16"/>
                <w:szCs w:val="16"/>
                <w:rtl/>
              </w:rPr>
              <w:t xml:space="preserve"> </w:t>
            </w:r>
            <w:r w:rsidRPr="00CF2A74">
              <w:rPr>
                <w:rFonts w:hint="eastAsia"/>
                <w:sz w:val="16"/>
                <w:szCs w:val="16"/>
                <w:rtl/>
              </w:rPr>
              <w:t>שליטה</w:t>
            </w:r>
            <w:r w:rsidRPr="00CF2A74">
              <w:rPr>
                <w:sz w:val="16"/>
                <w:szCs w:val="16"/>
                <w:rtl/>
              </w:rPr>
              <w:t xml:space="preserve"> </w:t>
            </w:r>
            <w:r w:rsidRPr="00CF2A74">
              <w:rPr>
                <w:rFonts w:hint="eastAsia"/>
                <w:sz w:val="16"/>
                <w:szCs w:val="16"/>
                <w:rtl/>
              </w:rPr>
              <w:t>בחברה</w:t>
            </w:r>
            <w:r w:rsidRPr="00CF2A74">
              <w:rPr>
                <w:sz w:val="16"/>
                <w:szCs w:val="16"/>
                <w:rtl/>
              </w:rPr>
              <w:t xml:space="preserve"> </w:t>
            </w:r>
            <w:r w:rsidRPr="00CF2A74">
              <w:rPr>
                <w:rFonts w:hint="eastAsia"/>
                <w:sz w:val="16"/>
                <w:szCs w:val="16"/>
                <w:rtl/>
              </w:rPr>
              <w:t>בת</w:t>
            </w:r>
          </w:p>
        </w:tc>
        <w:tc>
          <w:tcPr>
            <w:tcW w:w="672" w:type="dxa"/>
            <w:vAlign w:val="bottom"/>
          </w:tcPr>
          <w:p w14:paraId="7A518C38" w14:textId="77777777" w:rsidR="004E0E02" w:rsidRPr="00513F0D" w:rsidRDefault="004E0E02" w:rsidP="0084040C">
            <w:pPr>
              <w:pStyle w:val="-3"/>
              <w:rPr>
                <w:sz w:val="16"/>
                <w:szCs w:val="16"/>
                <w:rtl/>
              </w:rPr>
            </w:pPr>
            <w:r w:rsidRPr="00CF2A74">
              <w:rPr>
                <w:sz w:val="16"/>
                <w:szCs w:val="16"/>
                <w:rtl/>
              </w:rPr>
              <w:t>-</w:t>
            </w:r>
          </w:p>
        </w:tc>
        <w:tc>
          <w:tcPr>
            <w:tcW w:w="852" w:type="dxa"/>
            <w:vAlign w:val="bottom"/>
          </w:tcPr>
          <w:p w14:paraId="257D2D4B" w14:textId="77777777" w:rsidR="004E0E02" w:rsidRPr="00513F0D" w:rsidRDefault="004E0E02" w:rsidP="0084040C">
            <w:pPr>
              <w:pStyle w:val="-3"/>
              <w:rPr>
                <w:sz w:val="16"/>
                <w:szCs w:val="16"/>
                <w:rtl/>
              </w:rPr>
            </w:pPr>
            <w:r w:rsidRPr="00CF2A74">
              <w:rPr>
                <w:sz w:val="16"/>
                <w:szCs w:val="16"/>
                <w:rtl/>
              </w:rPr>
              <w:t>-</w:t>
            </w:r>
          </w:p>
        </w:tc>
        <w:tc>
          <w:tcPr>
            <w:tcW w:w="963" w:type="dxa"/>
            <w:vAlign w:val="bottom"/>
          </w:tcPr>
          <w:p w14:paraId="4E3F4DEB" w14:textId="77777777" w:rsidR="004E0E02" w:rsidRPr="00513F0D" w:rsidRDefault="004E0E02" w:rsidP="0084040C">
            <w:pPr>
              <w:pStyle w:val="-3"/>
              <w:rPr>
                <w:sz w:val="16"/>
                <w:szCs w:val="16"/>
                <w:rtl/>
              </w:rPr>
            </w:pPr>
            <w:r w:rsidRPr="00CF2A74">
              <w:rPr>
                <w:sz w:val="16"/>
                <w:szCs w:val="16"/>
                <w:rtl/>
              </w:rPr>
              <w:t>-</w:t>
            </w:r>
          </w:p>
        </w:tc>
        <w:tc>
          <w:tcPr>
            <w:tcW w:w="751" w:type="dxa"/>
            <w:vAlign w:val="bottom"/>
          </w:tcPr>
          <w:p w14:paraId="6D9D08A2" w14:textId="77777777" w:rsidR="004E0E02" w:rsidRPr="00513F0D" w:rsidRDefault="004E0E02" w:rsidP="0084040C">
            <w:pPr>
              <w:pStyle w:val="-3"/>
              <w:rPr>
                <w:sz w:val="16"/>
                <w:szCs w:val="16"/>
                <w:rtl/>
              </w:rPr>
            </w:pPr>
            <w:r>
              <w:rPr>
                <w:rFonts w:hint="cs"/>
                <w:sz w:val="16"/>
                <w:szCs w:val="16"/>
                <w:rtl/>
              </w:rPr>
              <w:t>0</w:t>
            </w:r>
          </w:p>
        </w:tc>
        <w:tc>
          <w:tcPr>
            <w:tcW w:w="1072" w:type="dxa"/>
            <w:vAlign w:val="bottom"/>
          </w:tcPr>
          <w:p w14:paraId="3C612E01"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772EBFA4" w14:textId="77777777" w:rsidR="00F32A2A" w:rsidRDefault="004E0E02">
            <w:pPr>
              <w:pStyle w:val="-3"/>
              <w:jc w:val="left"/>
              <w:rPr>
                <w:sz w:val="16"/>
                <w:szCs w:val="16"/>
                <w:rtl/>
              </w:rPr>
            </w:pPr>
            <w:r w:rsidRPr="00CF2A74">
              <w:rPr>
                <w:sz w:val="16"/>
                <w:szCs w:val="16"/>
                <w:rtl/>
              </w:rPr>
              <w:t xml:space="preserve"> </w:t>
            </w:r>
            <w:r>
              <w:rPr>
                <w:rFonts w:hint="cs"/>
                <w:sz w:val="16"/>
                <w:szCs w:val="16"/>
                <w:rtl/>
              </w:rPr>
              <w:t>-</w:t>
            </w:r>
          </w:p>
        </w:tc>
        <w:tc>
          <w:tcPr>
            <w:tcW w:w="767" w:type="dxa"/>
            <w:vAlign w:val="bottom"/>
          </w:tcPr>
          <w:p w14:paraId="577AEA44" w14:textId="77777777" w:rsidR="004E0E02" w:rsidRPr="00CF2A74" w:rsidRDefault="004E0E02" w:rsidP="0084040C">
            <w:pPr>
              <w:pStyle w:val="-3"/>
              <w:jc w:val="left"/>
              <w:rPr>
                <w:sz w:val="16"/>
                <w:szCs w:val="16"/>
                <w:rtl/>
              </w:rPr>
            </w:pPr>
            <w:r w:rsidRPr="00CF2A74">
              <w:rPr>
                <w:sz w:val="16"/>
                <w:szCs w:val="16"/>
                <w:rtl/>
              </w:rPr>
              <w:t>-</w:t>
            </w:r>
          </w:p>
        </w:tc>
        <w:tc>
          <w:tcPr>
            <w:tcW w:w="914" w:type="dxa"/>
            <w:vAlign w:val="bottom"/>
          </w:tcPr>
          <w:p w14:paraId="217A1DED" w14:textId="77777777" w:rsidR="004E0E02" w:rsidRPr="00513F0D" w:rsidRDefault="004E0E02" w:rsidP="0084040C">
            <w:pPr>
              <w:pStyle w:val="-3"/>
              <w:jc w:val="left"/>
              <w:rPr>
                <w:sz w:val="16"/>
                <w:szCs w:val="16"/>
                <w:rtl/>
              </w:rPr>
            </w:pPr>
            <w:r w:rsidRPr="00CF2A74">
              <w:rPr>
                <w:sz w:val="16"/>
                <w:szCs w:val="16"/>
                <w:rtl/>
              </w:rPr>
              <w:t xml:space="preserve"> 0</w:t>
            </w:r>
          </w:p>
        </w:tc>
        <w:tc>
          <w:tcPr>
            <w:tcW w:w="838" w:type="dxa"/>
            <w:vAlign w:val="bottom"/>
          </w:tcPr>
          <w:p w14:paraId="64DAE42A" w14:textId="77777777" w:rsidR="004E0E02" w:rsidRPr="00513F0D" w:rsidRDefault="004E0E02" w:rsidP="0084040C">
            <w:pPr>
              <w:pStyle w:val="-3"/>
              <w:jc w:val="left"/>
              <w:rPr>
                <w:sz w:val="16"/>
                <w:szCs w:val="16"/>
                <w:rtl/>
              </w:rPr>
            </w:pPr>
            <w:r w:rsidRPr="00CF2A74">
              <w:rPr>
                <w:sz w:val="16"/>
                <w:szCs w:val="16"/>
                <w:rtl/>
              </w:rPr>
              <w:t xml:space="preserve"> -</w:t>
            </w:r>
          </w:p>
        </w:tc>
        <w:tc>
          <w:tcPr>
            <w:tcW w:w="900" w:type="dxa"/>
            <w:vAlign w:val="bottom"/>
          </w:tcPr>
          <w:p w14:paraId="3C6FFBA5" w14:textId="77777777" w:rsidR="004E0E02" w:rsidRPr="00513F0D" w:rsidRDefault="004E0E02" w:rsidP="0084040C">
            <w:pPr>
              <w:pStyle w:val="-3"/>
              <w:jc w:val="left"/>
              <w:rPr>
                <w:sz w:val="16"/>
                <w:szCs w:val="16"/>
                <w:rtl/>
              </w:rPr>
            </w:pPr>
            <w:r w:rsidRPr="00CF2A74">
              <w:rPr>
                <w:sz w:val="16"/>
                <w:szCs w:val="16"/>
                <w:rtl/>
              </w:rPr>
              <w:t xml:space="preserve"> -</w:t>
            </w:r>
          </w:p>
        </w:tc>
        <w:tc>
          <w:tcPr>
            <w:tcW w:w="681" w:type="dxa"/>
            <w:vAlign w:val="bottom"/>
          </w:tcPr>
          <w:p w14:paraId="2F15C15C" w14:textId="77777777" w:rsidR="004E0E02" w:rsidRPr="00513F0D" w:rsidRDefault="004E0E02" w:rsidP="0084040C">
            <w:pPr>
              <w:pStyle w:val="-3"/>
              <w:jc w:val="left"/>
              <w:rPr>
                <w:sz w:val="16"/>
                <w:szCs w:val="16"/>
                <w:rtl/>
              </w:rPr>
            </w:pPr>
            <w:r w:rsidRPr="00CF2A74">
              <w:rPr>
                <w:sz w:val="16"/>
                <w:szCs w:val="16"/>
                <w:rtl/>
              </w:rPr>
              <w:t xml:space="preserve"> -</w:t>
            </w:r>
          </w:p>
        </w:tc>
        <w:tc>
          <w:tcPr>
            <w:tcW w:w="1328" w:type="dxa"/>
            <w:vAlign w:val="bottom"/>
          </w:tcPr>
          <w:p w14:paraId="70A7A6C8" w14:textId="77777777" w:rsidR="004E0E02" w:rsidRPr="00513F0D" w:rsidRDefault="004E0E02" w:rsidP="0084040C">
            <w:pPr>
              <w:pStyle w:val="-3"/>
              <w:jc w:val="left"/>
              <w:rPr>
                <w:sz w:val="16"/>
                <w:szCs w:val="16"/>
                <w:rtl/>
              </w:rPr>
            </w:pPr>
            <w:r w:rsidRPr="00CF2A74">
              <w:rPr>
                <w:sz w:val="16"/>
                <w:szCs w:val="16"/>
                <w:rtl/>
              </w:rPr>
              <w:t xml:space="preserve"> 0</w:t>
            </w:r>
          </w:p>
        </w:tc>
        <w:tc>
          <w:tcPr>
            <w:tcW w:w="713" w:type="dxa"/>
            <w:vAlign w:val="bottom"/>
          </w:tcPr>
          <w:p w14:paraId="6AB647FB" w14:textId="77777777" w:rsidR="004E0E02" w:rsidRPr="00513F0D" w:rsidRDefault="004E0E02" w:rsidP="0084040C">
            <w:pPr>
              <w:pStyle w:val="-3"/>
              <w:jc w:val="left"/>
              <w:rPr>
                <w:sz w:val="16"/>
                <w:szCs w:val="16"/>
                <w:rtl/>
              </w:rPr>
            </w:pPr>
            <w:r w:rsidRPr="00CF2A74">
              <w:rPr>
                <w:sz w:val="16"/>
                <w:szCs w:val="16"/>
                <w:rtl/>
              </w:rPr>
              <w:t xml:space="preserve"> 0</w:t>
            </w:r>
          </w:p>
        </w:tc>
        <w:tc>
          <w:tcPr>
            <w:tcW w:w="765" w:type="dxa"/>
            <w:vAlign w:val="bottom"/>
          </w:tcPr>
          <w:p w14:paraId="6DF455CD" w14:textId="77777777" w:rsidR="004E0E02" w:rsidRPr="00513F0D" w:rsidRDefault="004E0E02" w:rsidP="0084040C">
            <w:pPr>
              <w:pStyle w:val="-3"/>
              <w:jc w:val="left"/>
              <w:rPr>
                <w:sz w:val="16"/>
                <w:szCs w:val="16"/>
                <w:rtl/>
              </w:rPr>
            </w:pPr>
            <w:r w:rsidRPr="00CF2A74">
              <w:rPr>
                <w:sz w:val="16"/>
                <w:szCs w:val="16"/>
                <w:rtl/>
              </w:rPr>
              <w:t xml:space="preserve"> 0</w:t>
            </w:r>
          </w:p>
        </w:tc>
      </w:tr>
      <w:tr w:rsidR="0030599F" w:rsidRPr="00513F0D" w14:paraId="545E09D1" w14:textId="77777777" w:rsidTr="004A1ADA">
        <w:tc>
          <w:tcPr>
            <w:tcW w:w="850" w:type="dxa"/>
          </w:tcPr>
          <w:p w14:paraId="187204DF"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6931AAFD" w14:textId="77777777" w:rsidR="004E0E02" w:rsidRPr="00513F0D" w:rsidRDefault="004E0E02" w:rsidP="0084040C">
            <w:pPr>
              <w:pStyle w:val="-21"/>
              <w:spacing w:before="0"/>
              <w:rPr>
                <w:sz w:val="16"/>
                <w:szCs w:val="16"/>
                <w:rtl/>
              </w:rPr>
            </w:pPr>
            <w:r w:rsidRPr="00CF2A74">
              <w:rPr>
                <w:rFonts w:hint="eastAsia"/>
                <w:sz w:val="16"/>
                <w:szCs w:val="16"/>
                <w:rtl/>
              </w:rPr>
              <w:t>דיבידנד</w:t>
            </w:r>
            <w:r w:rsidRPr="00CF2A74">
              <w:rPr>
                <w:sz w:val="16"/>
                <w:szCs w:val="16"/>
                <w:rtl/>
              </w:rPr>
              <w:t xml:space="preserve"> </w:t>
            </w:r>
            <w:r w:rsidRPr="00CF2A74">
              <w:rPr>
                <w:rFonts w:hint="eastAsia"/>
                <w:sz w:val="16"/>
                <w:szCs w:val="16"/>
                <w:rtl/>
              </w:rPr>
              <w:t>לבעלי</w:t>
            </w:r>
            <w:r w:rsidRPr="00CF2A74">
              <w:rPr>
                <w:sz w:val="16"/>
                <w:szCs w:val="16"/>
                <w:rtl/>
              </w:rPr>
              <w:t xml:space="preserve"> </w:t>
            </w:r>
            <w:r w:rsidRPr="00CF2A74">
              <w:rPr>
                <w:rFonts w:hint="eastAsia"/>
                <w:sz w:val="16"/>
                <w:szCs w:val="16"/>
                <w:rtl/>
              </w:rPr>
              <w:t>זכויות</w:t>
            </w:r>
            <w:r w:rsidRPr="00CF2A74">
              <w:rPr>
                <w:sz w:val="16"/>
                <w:szCs w:val="16"/>
                <w:rtl/>
              </w:rPr>
              <w:t xml:space="preserve"> </w:t>
            </w:r>
            <w:r w:rsidRPr="00CF2A74">
              <w:rPr>
                <w:rFonts w:hint="eastAsia"/>
                <w:sz w:val="16"/>
                <w:szCs w:val="16"/>
                <w:rtl/>
              </w:rPr>
              <w:t>שאינן</w:t>
            </w:r>
            <w:r w:rsidRPr="00CF2A74">
              <w:rPr>
                <w:sz w:val="16"/>
                <w:szCs w:val="16"/>
                <w:rtl/>
              </w:rPr>
              <w:t xml:space="preserve"> </w:t>
            </w:r>
            <w:r w:rsidRPr="00CF2A74">
              <w:rPr>
                <w:rFonts w:hint="eastAsia"/>
                <w:sz w:val="16"/>
                <w:szCs w:val="16"/>
                <w:rtl/>
              </w:rPr>
              <w:t>מקנות</w:t>
            </w:r>
            <w:r w:rsidRPr="00CF2A74">
              <w:rPr>
                <w:sz w:val="16"/>
                <w:szCs w:val="16"/>
                <w:rtl/>
              </w:rPr>
              <w:t xml:space="preserve"> </w:t>
            </w:r>
            <w:r w:rsidRPr="00CF2A74">
              <w:rPr>
                <w:rFonts w:hint="eastAsia"/>
                <w:sz w:val="16"/>
                <w:szCs w:val="16"/>
                <w:rtl/>
              </w:rPr>
              <w:t>שליטה</w:t>
            </w:r>
            <w:r w:rsidRPr="00CF2A74">
              <w:rPr>
                <w:sz w:val="16"/>
                <w:szCs w:val="16"/>
                <w:rtl/>
              </w:rPr>
              <w:t xml:space="preserve"> </w:t>
            </w:r>
            <w:r w:rsidRPr="00CF2A74">
              <w:rPr>
                <w:rFonts w:hint="eastAsia"/>
                <w:sz w:val="16"/>
                <w:szCs w:val="16"/>
                <w:rtl/>
              </w:rPr>
              <w:t>בחברות</w:t>
            </w:r>
            <w:r w:rsidRPr="00CF2A74">
              <w:rPr>
                <w:sz w:val="16"/>
                <w:szCs w:val="16"/>
                <w:rtl/>
              </w:rPr>
              <w:t xml:space="preserve"> </w:t>
            </w:r>
            <w:r w:rsidRPr="00CF2A74">
              <w:rPr>
                <w:rFonts w:hint="eastAsia"/>
                <w:sz w:val="16"/>
                <w:szCs w:val="16"/>
                <w:rtl/>
              </w:rPr>
              <w:t>בנות</w:t>
            </w:r>
          </w:p>
        </w:tc>
        <w:tc>
          <w:tcPr>
            <w:tcW w:w="672" w:type="dxa"/>
            <w:vAlign w:val="bottom"/>
          </w:tcPr>
          <w:p w14:paraId="31798CCB" w14:textId="77777777" w:rsidR="004E0E02" w:rsidRPr="00513F0D" w:rsidRDefault="004E0E02" w:rsidP="004E5809">
            <w:pPr>
              <w:pStyle w:val="-3"/>
              <w:pBdr>
                <w:bottom w:val="single" w:sz="4" w:space="1" w:color="auto"/>
              </w:pBdr>
              <w:rPr>
                <w:sz w:val="16"/>
                <w:szCs w:val="16"/>
                <w:rtl/>
              </w:rPr>
            </w:pPr>
            <w:r w:rsidRPr="00CF2A74">
              <w:rPr>
                <w:sz w:val="16"/>
                <w:szCs w:val="16"/>
                <w:rtl/>
              </w:rPr>
              <w:t>-</w:t>
            </w:r>
          </w:p>
        </w:tc>
        <w:tc>
          <w:tcPr>
            <w:tcW w:w="852" w:type="dxa"/>
            <w:vAlign w:val="bottom"/>
          </w:tcPr>
          <w:p w14:paraId="1F1B1C44" w14:textId="77777777" w:rsidR="004E0E02" w:rsidRPr="00513F0D" w:rsidRDefault="004E0E02" w:rsidP="004E5809">
            <w:pPr>
              <w:pStyle w:val="-3"/>
              <w:pBdr>
                <w:bottom w:val="single" w:sz="4" w:space="1" w:color="auto"/>
              </w:pBdr>
              <w:rPr>
                <w:sz w:val="16"/>
                <w:szCs w:val="16"/>
                <w:rtl/>
              </w:rPr>
            </w:pPr>
            <w:r w:rsidRPr="00CF2A74">
              <w:rPr>
                <w:sz w:val="16"/>
                <w:szCs w:val="16"/>
                <w:rtl/>
              </w:rPr>
              <w:t>-</w:t>
            </w:r>
          </w:p>
        </w:tc>
        <w:tc>
          <w:tcPr>
            <w:tcW w:w="963" w:type="dxa"/>
            <w:vAlign w:val="bottom"/>
          </w:tcPr>
          <w:p w14:paraId="6E183258" w14:textId="77777777" w:rsidR="004E0E02" w:rsidRPr="00513F0D" w:rsidRDefault="004E0E02" w:rsidP="004E5809">
            <w:pPr>
              <w:pStyle w:val="-3"/>
              <w:pBdr>
                <w:bottom w:val="single" w:sz="4" w:space="1" w:color="auto"/>
              </w:pBdr>
              <w:rPr>
                <w:sz w:val="16"/>
                <w:szCs w:val="16"/>
                <w:rtl/>
              </w:rPr>
            </w:pPr>
            <w:r w:rsidRPr="00CF2A74">
              <w:rPr>
                <w:sz w:val="16"/>
                <w:szCs w:val="16"/>
                <w:rtl/>
              </w:rPr>
              <w:t>-</w:t>
            </w:r>
          </w:p>
        </w:tc>
        <w:tc>
          <w:tcPr>
            <w:tcW w:w="751" w:type="dxa"/>
            <w:vAlign w:val="bottom"/>
          </w:tcPr>
          <w:p w14:paraId="31504B69" w14:textId="77777777" w:rsidR="004E0E02" w:rsidRPr="00513F0D" w:rsidRDefault="004E0E02" w:rsidP="004E5809">
            <w:pPr>
              <w:pStyle w:val="-3"/>
              <w:pBdr>
                <w:bottom w:val="single" w:sz="4" w:space="1" w:color="auto"/>
              </w:pBdr>
              <w:rPr>
                <w:sz w:val="16"/>
                <w:szCs w:val="16"/>
                <w:rtl/>
              </w:rPr>
            </w:pPr>
            <w:r w:rsidRPr="00CF2A74">
              <w:rPr>
                <w:sz w:val="16"/>
                <w:szCs w:val="16"/>
                <w:rtl/>
              </w:rPr>
              <w:t>-</w:t>
            </w:r>
          </w:p>
        </w:tc>
        <w:tc>
          <w:tcPr>
            <w:tcW w:w="1072" w:type="dxa"/>
            <w:vAlign w:val="bottom"/>
          </w:tcPr>
          <w:p w14:paraId="7069D548" w14:textId="77777777" w:rsidR="004E0E02" w:rsidRPr="009A7E4A" w:rsidRDefault="004E0E02" w:rsidP="004E5809">
            <w:pPr>
              <w:pStyle w:val="-3"/>
              <w:pBdr>
                <w:bottom w:val="single" w:sz="4" w:space="1" w:color="auto"/>
              </w:pBdr>
              <w:rPr>
                <w:sz w:val="16"/>
                <w:szCs w:val="16"/>
                <w:rtl/>
              </w:rPr>
            </w:pPr>
            <w:r w:rsidRPr="009A7E4A">
              <w:rPr>
                <w:sz w:val="16"/>
                <w:szCs w:val="16"/>
                <w:rtl/>
              </w:rPr>
              <w:t>-</w:t>
            </w:r>
          </w:p>
        </w:tc>
        <w:tc>
          <w:tcPr>
            <w:tcW w:w="655" w:type="dxa"/>
            <w:vAlign w:val="bottom"/>
          </w:tcPr>
          <w:p w14:paraId="272818B4"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767" w:type="dxa"/>
            <w:vAlign w:val="bottom"/>
          </w:tcPr>
          <w:p w14:paraId="48487A72" w14:textId="77777777" w:rsidR="004E0E02" w:rsidRPr="00CF2A74" w:rsidRDefault="004E0E02" w:rsidP="004E5809">
            <w:pPr>
              <w:pStyle w:val="-3"/>
              <w:pBdr>
                <w:bottom w:val="single" w:sz="4" w:space="1" w:color="auto"/>
              </w:pBdr>
              <w:jc w:val="left"/>
              <w:rPr>
                <w:sz w:val="16"/>
                <w:szCs w:val="16"/>
                <w:rtl/>
              </w:rPr>
            </w:pPr>
            <w:r w:rsidRPr="00CF2A74">
              <w:rPr>
                <w:sz w:val="16"/>
                <w:szCs w:val="16"/>
                <w:rtl/>
              </w:rPr>
              <w:t>-</w:t>
            </w:r>
          </w:p>
        </w:tc>
        <w:tc>
          <w:tcPr>
            <w:tcW w:w="914" w:type="dxa"/>
            <w:vAlign w:val="bottom"/>
          </w:tcPr>
          <w:p w14:paraId="1F8E4514"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838" w:type="dxa"/>
            <w:vAlign w:val="bottom"/>
          </w:tcPr>
          <w:p w14:paraId="2FFCC5B1"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900" w:type="dxa"/>
            <w:vAlign w:val="bottom"/>
          </w:tcPr>
          <w:p w14:paraId="0F38DE56"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681" w:type="dxa"/>
            <w:vAlign w:val="bottom"/>
          </w:tcPr>
          <w:p w14:paraId="13B64437"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1328" w:type="dxa"/>
            <w:vAlign w:val="bottom"/>
          </w:tcPr>
          <w:p w14:paraId="5263A395" w14:textId="77777777" w:rsidR="004E0E02" w:rsidRDefault="004E0E02">
            <w:pPr>
              <w:pStyle w:val="-3"/>
              <w:pBdr>
                <w:bottom w:val="single" w:sz="4" w:space="1" w:color="auto"/>
              </w:pBdr>
              <w:jc w:val="left"/>
              <w:rPr>
                <w:sz w:val="16"/>
                <w:szCs w:val="16"/>
                <w:rtl/>
              </w:rPr>
            </w:pPr>
            <w:r>
              <w:rPr>
                <w:rFonts w:hint="cs"/>
                <w:sz w:val="16"/>
                <w:szCs w:val="16"/>
                <w:rtl/>
              </w:rPr>
              <w:t xml:space="preserve"> -</w:t>
            </w:r>
          </w:p>
        </w:tc>
        <w:tc>
          <w:tcPr>
            <w:tcW w:w="713" w:type="dxa"/>
            <w:vAlign w:val="bottom"/>
          </w:tcPr>
          <w:p w14:paraId="53876E68"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0</w:t>
            </w:r>
          </w:p>
        </w:tc>
        <w:tc>
          <w:tcPr>
            <w:tcW w:w="765" w:type="dxa"/>
            <w:vAlign w:val="bottom"/>
          </w:tcPr>
          <w:p w14:paraId="0DA37F79"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0</w:t>
            </w:r>
          </w:p>
        </w:tc>
      </w:tr>
      <w:tr w:rsidR="0030599F" w:rsidRPr="00513F0D" w14:paraId="290ED661" w14:textId="77777777" w:rsidTr="004A1ADA">
        <w:tc>
          <w:tcPr>
            <w:tcW w:w="850" w:type="dxa"/>
          </w:tcPr>
          <w:p w14:paraId="36AB6DFE"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69A785A8" w14:textId="50DD2C41" w:rsidR="004E0E02" w:rsidRPr="00CF2A74" w:rsidRDefault="004E0E02" w:rsidP="00914A73">
            <w:pPr>
              <w:pStyle w:val="-b"/>
              <w:rPr>
                <w:sz w:val="16"/>
                <w:szCs w:val="16"/>
                <w:rtl/>
              </w:rPr>
            </w:pPr>
            <w:r w:rsidRPr="00CF2A74">
              <w:rPr>
                <w:rFonts w:hint="eastAsia"/>
                <w:sz w:val="16"/>
                <w:szCs w:val="16"/>
                <w:rtl/>
              </w:rPr>
              <w:t>יתרה</w:t>
            </w:r>
            <w:r w:rsidRPr="00CF2A74">
              <w:rPr>
                <w:sz w:val="16"/>
                <w:szCs w:val="16"/>
                <w:rtl/>
              </w:rPr>
              <w:t xml:space="preserve"> ליום 30 ביוני </w:t>
            </w:r>
            <w:r w:rsidR="007F0E55" w:rsidRPr="00CC5F7B">
              <w:rPr>
                <w:sz w:val="16"/>
                <w:szCs w:val="16"/>
                <w:rtl/>
              </w:rPr>
              <w:fldChar w:fldCharType="begin"/>
            </w:r>
            <w:r w:rsidR="007F0E55" w:rsidRPr="00CC5F7B">
              <w:rPr>
                <w:sz w:val="16"/>
                <w:szCs w:val="16"/>
                <w:rtl/>
              </w:rPr>
              <w:instrText xml:space="preserve"> </w:instrText>
            </w:r>
            <w:r w:rsidR="007F0E55" w:rsidRPr="00CC5F7B">
              <w:rPr>
                <w:rFonts w:hint="cs"/>
                <w:sz w:val="16"/>
                <w:szCs w:val="16"/>
                <w:rtl/>
              </w:rPr>
              <w:instrText xml:space="preserve">= </w:instrText>
            </w:r>
            <w:r w:rsidR="007F0E55" w:rsidRPr="00CC5F7B">
              <w:rPr>
                <w:rFonts w:hint="cs"/>
                <w:sz w:val="16"/>
                <w:szCs w:val="16"/>
              </w:rPr>
              <w:instrText>CY</w:instrText>
            </w:r>
            <w:r w:rsidR="007F0E55" w:rsidRPr="00CC5F7B">
              <w:rPr>
                <w:sz w:val="16"/>
                <w:szCs w:val="16"/>
              </w:rPr>
              <w:instrText>-1</w:instrText>
            </w:r>
            <w:r w:rsidR="007F0E55" w:rsidRPr="00CC5F7B">
              <w:rPr>
                <w:rFonts w:hint="cs"/>
                <w:sz w:val="16"/>
                <w:szCs w:val="16"/>
              </w:rPr>
              <w:instrText xml:space="preserve"> \* MERGEFORMAT</w:instrText>
            </w:r>
            <w:r w:rsidR="007F0E55" w:rsidRPr="00CC5F7B">
              <w:rPr>
                <w:sz w:val="16"/>
                <w:szCs w:val="16"/>
                <w:rtl/>
              </w:rPr>
              <w:instrText xml:space="preserve"> </w:instrText>
            </w:r>
            <w:r w:rsidR="007F0E55" w:rsidRPr="00CC5F7B">
              <w:rPr>
                <w:sz w:val="16"/>
                <w:szCs w:val="16"/>
                <w:rtl/>
              </w:rPr>
              <w:fldChar w:fldCharType="separate"/>
            </w:r>
            <w:r w:rsidR="003A584F">
              <w:rPr>
                <w:noProof/>
                <w:sz w:val="16"/>
                <w:szCs w:val="16"/>
                <w:rtl/>
              </w:rPr>
              <w:t>2023</w:t>
            </w:r>
            <w:r w:rsidR="007F0E55" w:rsidRPr="00CC5F7B">
              <w:rPr>
                <w:sz w:val="16"/>
                <w:szCs w:val="16"/>
                <w:rtl/>
              </w:rPr>
              <w:fldChar w:fldCharType="end"/>
            </w:r>
          </w:p>
        </w:tc>
        <w:tc>
          <w:tcPr>
            <w:tcW w:w="672" w:type="dxa"/>
            <w:vAlign w:val="bottom"/>
          </w:tcPr>
          <w:p w14:paraId="5ABF7CCF" w14:textId="77777777" w:rsidR="004E0E02" w:rsidRPr="00513F0D" w:rsidRDefault="004E0E02" w:rsidP="004E5809">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852" w:type="dxa"/>
            <w:vAlign w:val="bottom"/>
          </w:tcPr>
          <w:p w14:paraId="7F23F7EC" w14:textId="77777777" w:rsidR="004E0E02" w:rsidRPr="00513F0D" w:rsidRDefault="004E0E02" w:rsidP="004E5809">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963" w:type="dxa"/>
            <w:vAlign w:val="bottom"/>
          </w:tcPr>
          <w:p w14:paraId="21EB1A10" w14:textId="77777777" w:rsidR="004E0E02" w:rsidRPr="00513F0D" w:rsidRDefault="004E0E02" w:rsidP="004E5809">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751" w:type="dxa"/>
            <w:vAlign w:val="bottom"/>
          </w:tcPr>
          <w:p w14:paraId="53539F12" w14:textId="77777777" w:rsidR="004E0E02" w:rsidRPr="00513F0D" w:rsidRDefault="004E0E02" w:rsidP="004E5809">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1072" w:type="dxa"/>
            <w:vAlign w:val="bottom"/>
          </w:tcPr>
          <w:p w14:paraId="4A0A456A" w14:textId="77777777" w:rsidR="004E0E02" w:rsidRPr="009A7E4A" w:rsidRDefault="004E0E02" w:rsidP="004E5809">
            <w:pPr>
              <w:pStyle w:val="-f1"/>
              <w:pBdr>
                <w:top w:val="none" w:sz="0" w:space="0" w:color="auto"/>
                <w:bottom w:val="double" w:sz="4" w:space="1" w:color="auto"/>
              </w:pBdr>
              <w:ind w:left="0" w:firstLine="0"/>
              <w:jc w:val="both"/>
              <w:rPr>
                <w:sz w:val="16"/>
                <w:szCs w:val="16"/>
                <w:rtl/>
              </w:rPr>
            </w:pPr>
            <w:r w:rsidRPr="009A7E4A">
              <w:rPr>
                <w:sz w:val="16"/>
                <w:szCs w:val="16"/>
                <w:rtl/>
              </w:rPr>
              <w:t>0</w:t>
            </w:r>
          </w:p>
        </w:tc>
        <w:tc>
          <w:tcPr>
            <w:tcW w:w="655" w:type="dxa"/>
            <w:vAlign w:val="bottom"/>
          </w:tcPr>
          <w:p w14:paraId="0715BF1D"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767" w:type="dxa"/>
            <w:vAlign w:val="bottom"/>
          </w:tcPr>
          <w:p w14:paraId="68517993" w14:textId="77777777" w:rsidR="004E0E02" w:rsidRPr="00CF2A74" w:rsidRDefault="004E0E02" w:rsidP="004E5809">
            <w:pPr>
              <w:pStyle w:val="-3"/>
              <w:pBdr>
                <w:bottom w:val="double" w:sz="4" w:space="1" w:color="auto"/>
              </w:pBdr>
              <w:jc w:val="left"/>
              <w:rPr>
                <w:b/>
                <w:bCs/>
                <w:sz w:val="16"/>
                <w:szCs w:val="16"/>
                <w:rtl/>
              </w:rPr>
            </w:pPr>
            <w:r w:rsidRPr="00CF2A74">
              <w:rPr>
                <w:sz w:val="16"/>
                <w:szCs w:val="16"/>
                <w:rtl/>
              </w:rPr>
              <w:t>0</w:t>
            </w:r>
          </w:p>
        </w:tc>
        <w:tc>
          <w:tcPr>
            <w:tcW w:w="914" w:type="dxa"/>
            <w:vAlign w:val="bottom"/>
          </w:tcPr>
          <w:p w14:paraId="18B1E588"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838" w:type="dxa"/>
            <w:vAlign w:val="bottom"/>
          </w:tcPr>
          <w:p w14:paraId="7BBF3FCF"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900" w:type="dxa"/>
            <w:vAlign w:val="bottom"/>
          </w:tcPr>
          <w:p w14:paraId="72FFEB3F"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681" w:type="dxa"/>
            <w:vAlign w:val="bottom"/>
          </w:tcPr>
          <w:p w14:paraId="5EF0C440"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1328" w:type="dxa"/>
            <w:vAlign w:val="bottom"/>
          </w:tcPr>
          <w:p w14:paraId="55A5A889"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713" w:type="dxa"/>
            <w:vAlign w:val="bottom"/>
          </w:tcPr>
          <w:p w14:paraId="4F3F6F14"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765" w:type="dxa"/>
            <w:vAlign w:val="bottom"/>
          </w:tcPr>
          <w:p w14:paraId="4F952DE7"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r>
      <w:tr w:rsidR="0030599F" w:rsidRPr="00513F0D" w14:paraId="60F723EF" w14:textId="77777777" w:rsidTr="004A1ADA">
        <w:tc>
          <w:tcPr>
            <w:tcW w:w="850" w:type="dxa"/>
          </w:tcPr>
          <w:p w14:paraId="39430A73" w14:textId="77777777" w:rsidR="004E0E02" w:rsidRPr="00513F0D" w:rsidRDefault="004E0E02" w:rsidP="0084040C">
            <w:pPr>
              <w:pStyle w:val="-7"/>
              <w:bidi w:val="0"/>
              <w:ind w:right="-231"/>
              <w:jc w:val="left"/>
              <w:rPr>
                <w:spacing w:val="-6"/>
                <w:sz w:val="16"/>
                <w:szCs w:val="16"/>
                <w:rtl/>
              </w:rPr>
            </w:pPr>
          </w:p>
        </w:tc>
        <w:tc>
          <w:tcPr>
            <w:tcW w:w="2300" w:type="dxa"/>
            <w:vAlign w:val="bottom"/>
          </w:tcPr>
          <w:p w14:paraId="5BF4B4FE" w14:textId="77777777" w:rsidR="004E0E02" w:rsidRPr="00513F0D" w:rsidRDefault="004E0E02" w:rsidP="0084040C">
            <w:pPr>
              <w:pStyle w:val="-7"/>
              <w:rPr>
                <w:sz w:val="16"/>
                <w:szCs w:val="16"/>
                <w:rtl/>
              </w:rPr>
            </w:pPr>
          </w:p>
        </w:tc>
        <w:tc>
          <w:tcPr>
            <w:tcW w:w="672" w:type="dxa"/>
          </w:tcPr>
          <w:p w14:paraId="55D05E98" w14:textId="77777777" w:rsidR="004E0E02" w:rsidRPr="00513F0D" w:rsidRDefault="004E0E02" w:rsidP="004E5809">
            <w:pPr>
              <w:pStyle w:val="-212"/>
              <w:pBdr>
                <w:top w:val="none" w:sz="0" w:space="0" w:color="auto"/>
              </w:pBdr>
              <w:jc w:val="both"/>
              <w:rPr>
                <w:sz w:val="16"/>
                <w:szCs w:val="16"/>
                <w:rtl/>
              </w:rPr>
            </w:pPr>
          </w:p>
        </w:tc>
        <w:tc>
          <w:tcPr>
            <w:tcW w:w="852" w:type="dxa"/>
          </w:tcPr>
          <w:p w14:paraId="35C9E3C2" w14:textId="77777777" w:rsidR="004E0E02" w:rsidRPr="00513F0D" w:rsidRDefault="004E0E02" w:rsidP="004E5809">
            <w:pPr>
              <w:pStyle w:val="-212"/>
              <w:pBdr>
                <w:top w:val="none" w:sz="0" w:space="0" w:color="auto"/>
              </w:pBdr>
              <w:jc w:val="both"/>
              <w:rPr>
                <w:sz w:val="16"/>
                <w:szCs w:val="16"/>
                <w:rtl/>
              </w:rPr>
            </w:pPr>
          </w:p>
        </w:tc>
        <w:tc>
          <w:tcPr>
            <w:tcW w:w="963" w:type="dxa"/>
          </w:tcPr>
          <w:p w14:paraId="1D334A97" w14:textId="77777777" w:rsidR="004E0E02" w:rsidRPr="00513F0D" w:rsidRDefault="004E0E02" w:rsidP="004E5809">
            <w:pPr>
              <w:pStyle w:val="-212"/>
              <w:pBdr>
                <w:top w:val="none" w:sz="0" w:space="0" w:color="auto"/>
              </w:pBdr>
              <w:jc w:val="both"/>
              <w:rPr>
                <w:sz w:val="16"/>
                <w:szCs w:val="16"/>
                <w:rtl/>
              </w:rPr>
            </w:pPr>
          </w:p>
        </w:tc>
        <w:tc>
          <w:tcPr>
            <w:tcW w:w="751" w:type="dxa"/>
          </w:tcPr>
          <w:p w14:paraId="53C156C6" w14:textId="77777777" w:rsidR="004E0E02" w:rsidRPr="00513F0D" w:rsidRDefault="004E0E02" w:rsidP="004E5809">
            <w:pPr>
              <w:pStyle w:val="-212"/>
              <w:pBdr>
                <w:top w:val="none" w:sz="0" w:space="0" w:color="auto"/>
              </w:pBdr>
              <w:jc w:val="both"/>
              <w:rPr>
                <w:sz w:val="16"/>
                <w:szCs w:val="16"/>
                <w:rtl/>
              </w:rPr>
            </w:pPr>
          </w:p>
        </w:tc>
        <w:tc>
          <w:tcPr>
            <w:tcW w:w="1072" w:type="dxa"/>
          </w:tcPr>
          <w:p w14:paraId="3B2AD48E" w14:textId="77777777" w:rsidR="004E0E02" w:rsidRPr="00513F0D" w:rsidRDefault="004E0E02" w:rsidP="004E5809">
            <w:pPr>
              <w:pStyle w:val="-212"/>
              <w:pBdr>
                <w:top w:val="none" w:sz="0" w:space="0" w:color="auto"/>
              </w:pBdr>
              <w:jc w:val="both"/>
              <w:rPr>
                <w:sz w:val="16"/>
                <w:szCs w:val="16"/>
                <w:rtl/>
              </w:rPr>
            </w:pPr>
          </w:p>
        </w:tc>
        <w:tc>
          <w:tcPr>
            <w:tcW w:w="655" w:type="dxa"/>
          </w:tcPr>
          <w:p w14:paraId="75291144" w14:textId="77777777" w:rsidR="004E0E02" w:rsidRPr="00513F0D" w:rsidRDefault="004E0E02" w:rsidP="004E5809">
            <w:pPr>
              <w:pStyle w:val="-3"/>
              <w:jc w:val="left"/>
              <w:rPr>
                <w:b/>
                <w:bCs/>
                <w:sz w:val="16"/>
                <w:szCs w:val="16"/>
                <w:rtl/>
              </w:rPr>
            </w:pPr>
          </w:p>
        </w:tc>
        <w:tc>
          <w:tcPr>
            <w:tcW w:w="767" w:type="dxa"/>
          </w:tcPr>
          <w:p w14:paraId="43885B0F" w14:textId="77777777" w:rsidR="004E0E02" w:rsidRPr="00513F0D" w:rsidRDefault="004E0E02" w:rsidP="004E5809">
            <w:pPr>
              <w:pStyle w:val="-3"/>
              <w:jc w:val="left"/>
              <w:rPr>
                <w:b/>
                <w:bCs/>
                <w:sz w:val="16"/>
                <w:szCs w:val="16"/>
                <w:rtl/>
              </w:rPr>
            </w:pPr>
          </w:p>
        </w:tc>
        <w:tc>
          <w:tcPr>
            <w:tcW w:w="914" w:type="dxa"/>
          </w:tcPr>
          <w:p w14:paraId="611A23F1" w14:textId="77777777" w:rsidR="004E0E02" w:rsidRPr="00513F0D" w:rsidRDefault="004E0E02" w:rsidP="004E5809">
            <w:pPr>
              <w:pStyle w:val="-3"/>
              <w:jc w:val="left"/>
              <w:rPr>
                <w:b/>
                <w:bCs/>
                <w:sz w:val="16"/>
                <w:szCs w:val="16"/>
                <w:rtl/>
              </w:rPr>
            </w:pPr>
          </w:p>
        </w:tc>
        <w:tc>
          <w:tcPr>
            <w:tcW w:w="838" w:type="dxa"/>
          </w:tcPr>
          <w:p w14:paraId="42E1B80E" w14:textId="77777777" w:rsidR="004E0E02" w:rsidRPr="00513F0D" w:rsidRDefault="004E0E02" w:rsidP="004E5809">
            <w:pPr>
              <w:pStyle w:val="-3"/>
              <w:jc w:val="left"/>
              <w:rPr>
                <w:b/>
                <w:bCs/>
                <w:sz w:val="16"/>
                <w:szCs w:val="16"/>
                <w:rtl/>
              </w:rPr>
            </w:pPr>
          </w:p>
        </w:tc>
        <w:tc>
          <w:tcPr>
            <w:tcW w:w="900" w:type="dxa"/>
          </w:tcPr>
          <w:p w14:paraId="685ED351" w14:textId="77777777" w:rsidR="004E0E02" w:rsidRPr="00513F0D" w:rsidRDefault="004E0E02" w:rsidP="004E5809">
            <w:pPr>
              <w:pStyle w:val="-3"/>
              <w:jc w:val="left"/>
              <w:rPr>
                <w:b/>
                <w:bCs/>
                <w:sz w:val="16"/>
                <w:szCs w:val="16"/>
                <w:rtl/>
              </w:rPr>
            </w:pPr>
          </w:p>
        </w:tc>
        <w:tc>
          <w:tcPr>
            <w:tcW w:w="681" w:type="dxa"/>
          </w:tcPr>
          <w:p w14:paraId="18DDA94A" w14:textId="77777777" w:rsidR="004E0E02" w:rsidRPr="00513F0D" w:rsidRDefault="004E0E02" w:rsidP="004E5809">
            <w:pPr>
              <w:pStyle w:val="-3"/>
              <w:jc w:val="left"/>
              <w:rPr>
                <w:b/>
                <w:bCs/>
                <w:sz w:val="16"/>
                <w:szCs w:val="16"/>
                <w:rtl/>
              </w:rPr>
            </w:pPr>
          </w:p>
        </w:tc>
        <w:tc>
          <w:tcPr>
            <w:tcW w:w="1328" w:type="dxa"/>
          </w:tcPr>
          <w:p w14:paraId="0AB42DB7" w14:textId="77777777" w:rsidR="004E0E02" w:rsidRPr="00513F0D" w:rsidRDefault="004E0E02" w:rsidP="004E5809">
            <w:pPr>
              <w:pStyle w:val="-3"/>
              <w:jc w:val="left"/>
              <w:rPr>
                <w:b/>
                <w:bCs/>
                <w:sz w:val="16"/>
                <w:szCs w:val="16"/>
                <w:rtl/>
              </w:rPr>
            </w:pPr>
          </w:p>
        </w:tc>
        <w:tc>
          <w:tcPr>
            <w:tcW w:w="713" w:type="dxa"/>
          </w:tcPr>
          <w:p w14:paraId="3D4A70F0" w14:textId="77777777" w:rsidR="004E0E02" w:rsidRPr="00513F0D" w:rsidRDefault="004E0E02" w:rsidP="004E5809">
            <w:pPr>
              <w:pStyle w:val="-3"/>
              <w:jc w:val="left"/>
              <w:rPr>
                <w:b/>
                <w:bCs/>
                <w:sz w:val="16"/>
                <w:szCs w:val="16"/>
                <w:rtl/>
              </w:rPr>
            </w:pPr>
          </w:p>
        </w:tc>
        <w:tc>
          <w:tcPr>
            <w:tcW w:w="765" w:type="dxa"/>
          </w:tcPr>
          <w:p w14:paraId="6BDB8E83" w14:textId="77777777" w:rsidR="004E0E02" w:rsidRPr="00513F0D" w:rsidRDefault="004E0E02" w:rsidP="004E5809">
            <w:pPr>
              <w:pStyle w:val="-3"/>
              <w:jc w:val="left"/>
              <w:rPr>
                <w:b/>
                <w:bCs/>
                <w:sz w:val="16"/>
                <w:szCs w:val="16"/>
                <w:rtl/>
              </w:rPr>
            </w:pPr>
          </w:p>
        </w:tc>
      </w:tr>
    </w:tbl>
    <w:p w14:paraId="042A7AD8" w14:textId="77777777" w:rsidR="00F32A2A" w:rsidRDefault="00F32A2A">
      <w:pPr>
        <w:jc w:val="left"/>
        <w:rPr>
          <w:rtl/>
        </w:rPr>
      </w:pPr>
    </w:p>
    <w:p w14:paraId="6CB75CF9" w14:textId="77777777" w:rsidR="00F32A2A" w:rsidRDefault="00F32A2A">
      <w:pPr>
        <w:jc w:val="left"/>
        <w:rPr>
          <w:rtl/>
        </w:rPr>
      </w:pPr>
    </w:p>
    <w:p w14:paraId="462F9FE2" w14:textId="77777777" w:rsidR="004A1ADA" w:rsidRDefault="004A1ADA">
      <w:pPr>
        <w:jc w:val="left"/>
        <w:rPr>
          <w:rtl/>
        </w:rPr>
      </w:pPr>
    </w:p>
    <w:p w14:paraId="3B724E7D" w14:textId="77777777" w:rsidR="004A1ADA" w:rsidRDefault="004A1ADA">
      <w:pPr>
        <w:jc w:val="left"/>
        <w:rPr>
          <w:rtl/>
        </w:rPr>
      </w:pPr>
    </w:p>
    <w:p w14:paraId="3B7D25F6" w14:textId="77777777" w:rsidR="004A1ADA" w:rsidRDefault="004A1ADA">
      <w:pPr>
        <w:jc w:val="left"/>
        <w:rPr>
          <w:rtl/>
        </w:rPr>
      </w:pPr>
    </w:p>
    <w:tbl>
      <w:tblPr>
        <w:bidiVisual/>
        <w:tblW w:w="5000" w:type="pct"/>
        <w:tblLook w:val="04A0" w:firstRow="1" w:lastRow="0" w:firstColumn="1" w:lastColumn="0" w:noHBand="0" w:noVBand="1"/>
      </w:tblPr>
      <w:tblGrid>
        <w:gridCol w:w="917"/>
        <w:gridCol w:w="14215"/>
      </w:tblGrid>
      <w:tr w:rsidR="0084040C" w:rsidRPr="00543C25" w14:paraId="4196FC57" w14:textId="77777777" w:rsidTr="00EF186E">
        <w:trPr>
          <w:trHeight w:val="259"/>
        </w:trPr>
        <w:tc>
          <w:tcPr>
            <w:tcW w:w="917" w:type="dxa"/>
          </w:tcPr>
          <w:p w14:paraId="5176B89D" w14:textId="77777777" w:rsidR="0084040C" w:rsidRPr="00ED6312" w:rsidRDefault="0084040C" w:rsidP="0084040C">
            <w:pPr>
              <w:pStyle w:val="-7"/>
              <w:bidi w:val="0"/>
              <w:ind w:right="-231"/>
              <w:jc w:val="left"/>
              <w:rPr>
                <w:spacing w:val="-6"/>
                <w:sz w:val="14"/>
                <w:szCs w:val="14"/>
                <w:rtl/>
              </w:rPr>
            </w:pPr>
          </w:p>
        </w:tc>
        <w:tc>
          <w:tcPr>
            <w:tcW w:w="14215" w:type="dxa"/>
          </w:tcPr>
          <w:p w14:paraId="52953820" w14:textId="77777777" w:rsidR="0084040C" w:rsidRPr="00543C25" w:rsidRDefault="00DF4EAA" w:rsidP="0084040C">
            <w:pPr>
              <w:rPr>
                <w:rtl/>
              </w:rPr>
            </w:pPr>
            <w:r w:rsidRPr="00543C25">
              <w:rPr>
                <w:b/>
                <w:bCs/>
                <w:rtl/>
              </w:rPr>
              <w:t>הביאורים ל</w:t>
            </w:r>
            <w:r>
              <w:rPr>
                <w:rFonts w:hint="cs"/>
                <w:b/>
                <w:bCs/>
                <w:rtl/>
              </w:rPr>
              <w:t xml:space="preserve">תמצית </w:t>
            </w:r>
            <w:r w:rsidR="00A14188">
              <w:rPr>
                <w:rFonts w:hint="cs"/>
                <w:b/>
                <w:bCs/>
                <w:rtl/>
              </w:rPr>
              <w:t>ה</w:t>
            </w:r>
            <w:r w:rsidRPr="00543C25">
              <w:rPr>
                <w:b/>
                <w:bCs/>
                <w:rtl/>
              </w:rPr>
              <w:t xml:space="preserve">דוחות הכספיים מהווים חלק בלתי נפרד </w:t>
            </w:r>
            <w:r>
              <w:rPr>
                <w:rFonts w:hint="cs"/>
                <w:b/>
                <w:bCs/>
                <w:rtl/>
              </w:rPr>
              <w:t>ממנה.</w:t>
            </w:r>
          </w:p>
        </w:tc>
      </w:tr>
    </w:tbl>
    <w:p w14:paraId="585B71D7" w14:textId="77777777" w:rsidR="0084040C" w:rsidRDefault="0084040C" w:rsidP="00462028">
      <w:pPr>
        <w:jc w:val="left"/>
        <w:rPr>
          <w:b/>
          <w:bCs/>
          <w:sz w:val="22"/>
          <w:szCs w:val="22"/>
          <w:rtl/>
        </w:rPr>
      </w:pPr>
    </w:p>
    <w:p w14:paraId="472B35F3" w14:textId="77777777" w:rsidR="00DE0B68" w:rsidRDefault="00DE0B68" w:rsidP="00462028">
      <w:pPr>
        <w:jc w:val="left"/>
        <w:rPr>
          <w:b/>
          <w:bCs/>
          <w:sz w:val="22"/>
          <w:szCs w:val="22"/>
          <w:rtl/>
        </w:rPr>
      </w:pPr>
    </w:p>
    <w:p w14:paraId="5FC173E2" w14:textId="77777777" w:rsidR="00AF629E" w:rsidRDefault="00AF629E" w:rsidP="00462028">
      <w:pPr>
        <w:jc w:val="left"/>
        <w:rPr>
          <w:b/>
          <w:bCs/>
          <w:sz w:val="22"/>
          <w:szCs w:val="22"/>
          <w:rtl/>
        </w:rPr>
        <w:sectPr w:rsidR="00AF629E" w:rsidSect="00587121">
          <w:headerReference w:type="even" r:id="rId23"/>
          <w:headerReference w:type="default" r:id="rId24"/>
          <w:footnotePr>
            <w:numRestart w:val="eachPage"/>
          </w:footnotePr>
          <w:pgSz w:w="16834" w:h="11909" w:orient="landscape" w:code="9"/>
          <w:pgMar w:top="851" w:right="851" w:bottom="851" w:left="851" w:header="720" w:footer="720" w:gutter="0"/>
          <w:cols w:space="720"/>
          <w:bidi/>
          <w:rtlGutter/>
          <w:docGrid w:linePitch="360"/>
        </w:sectPr>
      </w:pPr>
    </w:p>
    <w:p w14:paraId="1B877F51" w14:textId="77777777" w:rsidR="00977FCF" w:rsidRDefault="00977FCF" w:rsidP="00043825">
      <w:pPr>
        <w:pStyle w:val="-2"/>
        <w:ind w:firstLine="1098"/>
        <w:rPr>
          <w:rtl/>
        </w:rPr>
      </w:pPr>
      <w:r w:rsidRPr="00543C25">
        <w:rPr>
          <w:rFonts w:hint="cs"/>
          <w:rtl/>
        </w:rPr>
        <w:lastRenderedPageBreak/>
        <w:t>בנק</w:t>
      </w:r>
      <w:r w:rsidRPr="00543C25">
        <w:rPr>
          <w:rtl/>
        </w:rPr>
        <w:t xml:space="preserve"> </w:t>
      </w:r>
      <w:r w:rsidRPr="00543C25">
        <w:rPr>
          <w:rFonts w:hint="cs"/>
          <w:rtl/>
        </w:rPr>
        <w:t xml:space="preserve">לדוגמה </w:t>
      </w:r>
      <w:r w:rsidRPr="00543C25">
        <w:rPr>
          <w:rtl/>
        </w:rPr>
        <w:t>בע"מ וחברות מאוחדות שלו</w:t>
      </w:r>
    </w:p>
    <w:p w14:paraId="382C1494" w14:textId="69284C11" w:rsidR="00977FCF" w:rsidRPr="00977FCF" w:rsidRDefault="00977FCF" w:rsidP="00C803FD">
      <w:pPr>
        <w:pStyle w:val="-2"/>
        <w:spacing w:after="80"/>
        <w:ind w:firstLine="1100"/>
        <w:rPr>
          <w:u w:val="single"/>
          <w:rtl/>
        </w:rPr>
      </w:pPr>
      <w:r w:rsidRPr="00977FCF">
        <w:rPr>
          <w:rFonts w:hint="cs"/>
          <w:u w:val="single"/>
          <w:rtl/>
        </w:rPr>
        <w:t xml:space="preserve">תמצית דוח על השינויים בהון מאוחד לשנה שהסתיימה ביום 31 בדצמבר </w:t>
      </w:r>
      <w:r w:rsidR="00C803FD" w:rsidRPr="00C803FD">
        <w:rPr>
          <w:u w:val="single"/>
          <w:rtl/>
        </w:rPr>
        <w:fldChar w:fldCharType="begin"/>
      </w:r>
      <w:r w:rsidR="00C803FD" w:rsidRPr="00C803FD">
        <w:rPr>
          <w:u w:val="single"/>
          <w:rtl/>
        </w:rPr>
        <w:instrText xml:space="preserve"> </w:instrText>
      </w:r>
      <w:r w:rsidR="00C803FD" w:rsidRPr="00C803FD">
        <w:rPr>
          <w:rFonts w:hint="cs"/>
          <w:u w:val="single"/>
          <w:rtl/>
        </w:rPr>
        <w:instrText xml:space="preserve">= </w:instrText>
      </w:r>
      <w:r w:rsidR="00C803FD" w:rsidRPr="00C803FD">
        <w:rPr>
          <w:rFonts w:hint="cs"/>
          <w:u w:val="single"/>
        </w:rPr>
        <w:instrText>CY</w:instrText>
      </w:r>
      <w:r w:rsidR="00C803FD" w:rsidRPr="00C803FD">
        <w:rPr>
          <w:u w:val="single"/>
        </w:rPr>
        <w:instrText>-1</w:instrText>
      </w:r>
      <w:r w:rsidR="00C803FD" w:rsidRPr="00C803FD">
        <w:rPr>
          <w:rFonts w:hint="cs"/>
          <w:u w:val="single"/>
        </w:rPr>
        <w:instrText xml:space="preserve"> \* MERGEFORMAT</w:instrText>
      </w:r>
      <w:r w:rsidR="00C803FD" w:rsidRPr="00C803FD">
        <w:rPr>
          <w:u w:val="single"/>
          <w:rtl/>
        </w:rPr>
        <w:instrText xml:space="preserve"> </w:instrText>
      </w:r>
      <w:r w:rsidR="00C803FD" w:rsidRPr="00C803FD">
        <w:rPr>
          <w:u w:val="single"/>
          <w:rtl/>
        </w:rPr>
        <w:fldChar w:fldCharType="separate"/>
      </w:r>
      <w:r w:rsidR="003A584F">
        <w:rPr>
          <w:noProof/>
          <w:u w:val="single"/>
          <w:rtl/>
        </w:rPr>
        <w:t>2023</w:t>
      </w:r>
      <w:r w:rsidR="00C803FD" w:rsidRPr="00C803FD">
        <w:rPr>
          <w:u w:val="single"/>
          <w:rtl/>
        </w:rPr>
        <w:fldChar w:fldCharType="end"/>
      </w:r>
      <w:r w:rsidR="00C803FD" w:rsidRPr="00C803FD">
        <w:rPr>
          <w:rFonts w:hint="cs"/>
          <w:sz w:val="24"/>
          <w:szCs w:val="24"/>
          <w:u w:val="single"/>
          <w:rtl/>
        </w:rPr>
        <w:t xml:space="preserve"> </w:t>
      </w:r>
      <w:r w:rsidRPr="00977FCF">
        <w:rPr>
          <w:rFonts w:hint="cs"/>
          <w:u w:val="single"/>
          <w:rtl/>
        </w:rPr>
        <w:t>(מבוקר)</w:t>
      </w:r>
    </w:p>
    <w:p w14:paraId="0E1E368E" w14:textId="77777777" w:rsidR="00977FCF" w:rsidRPr="00977FCF" w:rsidRDefault="00977FCF" w:rsidP="00F723B7">
      <w:pPr>
        <w:pStyle w:val="-2"/>
        <w:ind w:firstLine="1100"/>
        <w:rPr>
          <w:b w:val="0"/>
          <w:bCs w:val="0"/>
          <w:sz w:val="20"/>
          <w:szCs w:val="20"/>
          <w:rtl/>
        </w:rPr>
      </w:pPr>
      <w:r w:rsidRPr="00977FCF">
        <w:rPr>
          <w:rFonts w:hint="cs"/>
          <w:b w:val="0"/>
          <w:bCs w:val="0"/>
          <w:sz w:val="20"/>
          <w:szCs w:val="20"/>
          <w:rtl/>
        </w:rPr>
        <w:t>סכומים מדווחים (במיליוני ש"ח)</w:t>
      </w:r>
    </w:p>
    <w:tbl>
      <w:tblPr>
        <w:bidiVisual/>
        <w:tblW w:w="14979" w:type="dxa"/>
        <w:tblInd w:w="192" w:type="dxa"/>
        <w:tblLayout w:type="fixed"/>
        <w:tblLook w:val="04A0" w:firstRow="1" w:lastRow="0" w:firstColumn="1" w:lastColumn="0" w:noHBand="0" w:noVBand="1"/>
      </w:tblPr>
      <w:tblGrid>
        <w:gridCol w:w="850"/>
        <w:gridCol w:w="2203"/>
        <w:gridCol w:w="766"/>
        <w:gridCol w:w="846"/>
        <w:gridCol w:w="957"/>
        <w:gridCol w:w="807"/>
        <w:gridCol w:w="1079"/>
        <w:gridCol w:w="655"/>
        <w:gridCol w:w="794"/>
        <w:gridCol w:w="936"/>
        <w:gridCol w:w="812"/>
        <w:gridCol w:w="870"/>
        <w:gridCol w:w="805"/>
        <w:gridCol w:w="1141"/>
        <w:gridCol w:w="710"/>
        <w:gridCol w:w="748"/>
      </w:tblGrid>
      <w:tr w:rsidR="004E0E02" w:rsidRPr="00513F0D" w14:paraId="2C72FE2E" w14:textId="77777777" w:rsidTr="00106371">
        <w:tc>
          <w:tcPr>
            <w:tcW w:w="850" w:type="dxa"/>
          </w:tcPr>
          <w:p w14:paraId="381F8F52" w14:textId="77777777" w:rsidR="0023113C" w:rsidRDefault="0023113C">
            <w:pPr>
              <w:pStyle w:val="-7"/>
              <w:bidi w:val="0"/>
              <w:spacing w:line="240" w:lineRule="auto"/>
              <w:jc w:val="right"/>
              <w:rPr>
                <w:sz w:val="14"/>
                <w:szCs w:val="14"/>
                <w:rtl/>
              </w:rPr>
            </w:pPr>
          </w:p>
        </w:tc>
        <w:tc>
          <w:tcPr>
            <w:tcW w:w="2203" w:type="dxa"/>
            <w:vAlign w:val="bottom"/>
          </w:tcPr>
          <w:p w14:paraId="2DCA1D4C" w14:textId="77777777" w:rsidR="00F32A2A" w:rsidRDefault="00F32A2A">
            <w:pPr>
              <w:pStyle w:val="-0"/>
              <w:jc w:val="center"/>
              <w:rPr>
                <w:b/>
                <w:bCs/>
                <w:sz w:val="16"/>
                <w:szCs w:val="16"/>
                <w:rtl/>
              </w:rPr>
            </w:pPr>
          </w:p>
        </w:tc>
        <w:tc>
          <w:tcPr>
            <w:tcW w:w="766" w:type="dxa"/>
            <w:vAlign w:val="bottom"/>
          </w:tcPr>
          <w:p w14:paraId="3DD2C4A7" w14:textId="77777777" w:rsidR="00F32A2A" w:rsidRDefault="00F32A2A">
            <w:pPr>
              <w:pStyle w:val="-4"/>
              <w:pBdr>
                <w:bottom w:val="none" w:sz="0" w:space="0" w:color="auto"/>
              </w:pBdr>
              <w:rPr>
                <w:sz w:val="16"/>
                <w:szCs w:val="16"/>
                <w:rtl/>
              </w:rPr>
            </w:pPr>
          </w:p>
        </w:tc>
        <w:tc>
          <w:tcPr>
            <w:tcW w:w="846" w:type="dxa"/>
            <w:vAlign w:val="bottom"/>
          </w:tcPr>
          <w:p w14:paraId="59CEFE8D" w14:textId="77777777" w:rsidR="00F32A2A" w:rsidRDefault="00F32A2A">
            <w:pPr>
              <w:pStyle w:val="-4"/>
              <w:pBdr>
                <w:bottom w:val="none" w:sz="0" w:space="0" w:color="auto"/>
              </w:pBdr>
              <w:rPr>
                <w:sz w:val="16"/>
                <w:szCs w:val="16"/>
                <w:rtl/>
              </w:rPr>
            </w:pPr>
          </w:p>
        </w:tc>
        <w:tc>
          <w:tcPr>
            <w:tcW w:w="957" w:type="dxa"/>
            <w:vAlign w:val="bottom"/>
          </w:tcPr>
          <w:p w14:paraId="750856CA" w14:textId="77777777" w:rsidR="00F32A2A" w:rsidRDefault="00F32A2A">
            <w:pPr>
              <w:pStyle w:val="-4"/>
              <w:pBdr>
                <w:bottom w:val="none" w:sz="0" w:space="0" w:color="auto"/>
              </w:pBdr>
              <w:rPr>
                <w:sz w:val="16"/>
                <w:szCs w:val="16"/>
                <w:rtl/>
              </w:rPr>
            </w:pPr>
          </w:p>
        </w:tc>
        <w:tc>
          <w:tcPr>
            <w:tcW w:w="2541" w:type="dxa"/>
            <w:gridSpan w:val="3"/>
            <w:vAlign w:val="bottom"/>
          </w:tcPr>
          <w:p w14:paraId="5BF66EFA" w14:textId="77777777" w:rsidR="00F32A2A" w:rsidRDefault="004E0E02">
            <w:pPr>
              <w:pStyle w:val="-4"/>
              <w:pBdr>
                <w:bottom w:val="single" w:sz="4" w:space="1" w:color="auto"/>
              </w:pBdr>
              <w:spacing w:line="240" w:lineRule="auto"/>
              <w:ind w:left="-57" w:right="-57"/>
              <w:rPr>
                <w:sz w:val="16"/>
                <w:szCs w:val="16"/>
                <w:rtl/>
              </w:rPr>
            </w:pPr>
            <w:r w:rsidRPr="00CF2A74">
              <w:rPr>
                <w:rFonts w:hint="eastAsia"/>
                <w:sz w:val="16"/>
                <w:szCs w:val="16"/>
                <w:rtl/>
              </w:rPr>
              <w:t>קרנות</w:t>
            </w:r>
            <w:r w:rsidRPr="00CF2A74">
              <w:rPr>
                <w:sz w:val="16"/>
                <w:szCs w:val="16"/>
                <w:rtl/>
              </w:rPr>
              <w:t xml:space="preserve"> </w:t>
            </w:r>
            <w:r w:rsidRPr="00CF2A74">
              <w:rPr>
                <w:rFonts w:hint="eastAsia"/>
                <w:sz w:val="16"/>
                <w:szCs w:val="16"/>
                <w:rtl/>
              </w:rPr>
              <w:t>הון</w:t>
            </w:r>
          </w:p>
        </w:tc>
        <w:tc>
          <w:tcPr>
            <w:tcW w:w="794" w:type="dxa"/>
            <w:vAlign w:val="bottom"/>
          </w:tcPr>
          <w:p w14:paraId="180C66BB" w14:textId="77777777" w:rsidR="00F32A2A" w:rsidRDefault="00F32A2A">
            <w:pPr>
              <w:pStyle w:val="-4"/>
              <w:pBdr>
                <w:bottom w:val="none" w:sz="0" w:space="0" w:color="auto"/>
              </w:pBdr>
              <w:rPr>
                <w:sz w:val="16"/>
                <w:szCs w:val="16"/>
                <w:rtl/>
              </w:rPr>
            </w:pPr>
          </w:p>
        </w:tc>
        <w:tc>
          <w:tcPr>
            <w:tcW w:w="936" w:type="dxa"/>
            <w:vAlign w:val="bottom"/>
          </w:tcPr>
          <w:p w14:paraId="2ECDDBB7" w14:textId="77777777" w:rsidR="00F32A2A" w:rsidRDefault="00F32A2A">
            <w:pPr>
              <w:pStyle w:val="-4"/>
              <w:pBdr>
                <w:bottom w:val="none" w:sz="0" w:space="0" w:color="auto"/>
              </w:pBdr>
              <w:rPr>
                <w:sz w:val="16"/>
                <w:szCs w:val="16"/>
                <w:rtl/>
              </w:rPr>
            </w:pPr>
          </w:p>
        </w:tc>
        <w:tc>
          <w:tcPr>
            <w:tcW w:w="812" w:type="dxa"/>
            <w:vAlign w:val="bottom"/>
          </w:tcPr>
          <w:p w14:paraId="2A72D5C5" w14:textId="77777777" w:rsidR="00F32A2A" w:rsidRDefault="00F32A2A">
            <w:pPr>
              <w:pStyle w:val="-4"/>
              <w:pBdr>
                <w:bottom w:val="none" w:sz="0" w:space="0" w:color="auto"/>
              </w:pBdr>
              <w:rPr>
                <w:sz w:val="16"/>
                <w:szCs w:val="16"/>
                <w:rtl/>
              </w:rPr>
            </w:pPr>
          </w:p>
        </w:tc>
        <w:tc>
          <w:tcPr>
            <w:tcW w:w="870" w:type="dxa"/>
            <w:vAlign w:val="bottom"/>
          </w:tcPr>
          <w:p w14:paraId="127FBBB0" w14:textId="77777777" w:rsidR="00F32A2A" w:rsidRDefault="00F32A2A">
            <w:pPr>
              <w:pStyle w:val="-4"/>
              <w:pBdr>
                <w:bottom w:val="none" w:sz="0" w:space="0" w:color="auto"/>
              </w:pBdr>
              <w:rPr>
                <w:sz w:val="16"/>
                <w:szCs w:val="16"/>
                <w:rtl/>
              </w:rPr>
            </w:pPr>
          </w:p>
        </w:tc>
        <w:tc>
          <w:tcPr>
            <w:tcW w:w="805" w:type="dxa"/>
            <w:vAlign w:val="bottom"/>
          </w:tcPr>
          <w:p w14:paraId="49500F9A" w14:textId="77777777" w:rsidR="00F32A2A" w:rsidRDefault="00F32A2A">
            <w:pPr>
              <w:pStyle w:val="-4"/>
              <w:pBdr>
                <w:bottom w:val="none" w:sz="0" w:space="0" w:color="auto"/>
              </w:pBdr>
              <w:rPr>
                <w:sz w:val="16"/>
                <w:szCs w:val="16"/>
                <w:rtl/>
              </w:rPr>
            </w:pPr>
          </w:p>
        </w:tc>
        <w:tc>
          <w:tcPr>
            <w:tcW w:w="1141" w:type="dxa"/>
            <w:vAlign w:val="bottom"/>
          </w:tcPr>
          <w:p w14:paraId="1F73576C" w14:textId="77777777" w:rsidR="00F32A2A" w:rsidRDefault="00F32A2A">
            <w:pPr>
              <w:pStyle w:val="-4"/>
              <w:pBdr>
                <w:bottom w:val="none" w:sz="0" w:space="0" w:color="auto"/>
              </w:pBdr>
              <w:rPr>
                <w:sz w:val="16"/>
                <w:szCs w:val="16"/>
                <w:rtl/>
              </w:rPr>
            </w:pPr>
          </w:p>
        </w:tc>
        <w:tc>
          <w:tcPr>
            <w:tcW w:w="710" w:type="dxa"/>
            <w:vAlign w:val="bottom"/>
          </w:tcPr>
          <w:p w14:paraId="26ED80DC" w14:textId="77777777" w:rsidR="00F32A2A" w:rsidRDefault="00F32A2A">
            <w:pPr>
              <w:pStyle w:val="-4"/>
              <w:pBdr>
                <w:bottom w:val="none" w:sz="0" w:space="0" w:color="auto"/>
              </w:pBdr>
              <w:rPr>
                <w:sz w:val="16"/>
                <w:szCs w:val="16"/>
                <w:rtl/>
              </w:rPr>
            </w:pPr>
          </w:p>
        </w:tc>
        <w:tc>
          <w:tcPr>
            <w:tcW w:w="748" w:type="dxa"/>
            <w:vAlign w:val="bottom"/>
          </w:tcPr>
          <w:p w14:paraId="00753B5D" w14:textId="77777777" w:rsidR="00F32A2A" w:rsidRDefault="00F32A2A">
            <w:pPr>
              <w:pStyle w:val="-4"/>
              <w:pBdr>
                <w:bottom w:val="none" w:sz="0" w:space="0" w:color="auto"/>
              </w:pBdr>
              <w:rPr>
                <w:sz w:val="16"/>
                <w:szCs w:val="16"/>
                <w:rtl/>
              </w:rPr>
            </w:pPr>
          </w:p>
        </w:tc>
      </w:tr>
      <w:tr w:rsidR="004E0E02" w:rsidRPr="00513F0D" w14:paraId="70B87814" w14:textId="77777777" w:rsidTr="00106371">
        <w:tc>
          <w:tcPr>
            <w:tcW w:w="850" w:type="dxa"/>
          </w:tcPr>
          <w:p w14:paraId="528E08AC" w14:textId="77777777" w:rsidR="00F32A2A" w:rsidRPr="00106371" w:rsidRDefault="004E0E02">
            <w:pPr>
              <w:pStyle w:val="-7"/>
              <w:bidi w:val="0"/>
              <w:spacing w:line="240" w:lineRule="auto"/>
              <w:jc w:val="right"/>
              <w:rPr>
                <w:b/>
                <w:bCs/>
                <w:spacing w:val="-6"/>
                <w:sz w:val="13"/>
                <w:szCs w:val="13"/>
                <w:rtl/>
              </w:rPr>
            </w:pPr>
            <w:r w:rsidRPr="00106371">
              <w:rPr>
                <w:rFonts w:hint="cs"/>
                <w:sz w:val="13"/>
                <w:szCs w:val="13"/>
                <w:rtl/>
              </w:rPr>
              <w:t xml:space="preserve">מתכונת דוח </w:t>
            </w:r>
            <w:r w:rsidRPr="00106371">
              <w:rPr>
                <w:sz w:val="13"/>
                <w:szCs w:val="13"/>
                <w:rtl/>
              </w:rPr>
              <w:br/>
            </w:r>
            <w:r w:rsidRPr="00106371">
              <w:rPr>
                <w:rFonts w:hint="cs"/>
                <w:sz w:val="13"/>
                <w:szCs w:val="13"/>
                <w:rtl/>
              </w:rPr>
              <w:t>עמ' 663-10</w:t>
            </w:r>
          </w:p>
        </w:tc>
        <w:tc>
          <w:tcPr>
            <w:tcW w:w="2203" w:type="dxa"/>
            <w:vAlign w:val="bottom"/>
          </w:tcPr>
          <w:p w14:paraId="2DEF8B49" w14:textId="77777777" w:rsidR="004E0E02" w:rsidRPr="00CF2A74" w:rsidRDefault="004E0E02" w:rsidP="00CF2A74">
            <w:pPr>
              <w:pStyle w:val="-0"/>
              <w:jc w:val="center"/>
              <w:rPr>
                <w:b/>
                <w:bCs/>
                <w:sz w:val="16"/>
                <w:szCs w:val="16"/>
                <w:rtl/>
              </w:rPr>
            </w:pPr>
          </w:p>
        </w:tc>
        <w:tc>
          <w:tcPr>
            <w:tcW w:w="766" w:type="dxa"/>
            <w:vAlign w:val="bottom"/>
          </w:tcPr>
          <w:p w14:paraId="59BF34C1" w14:textId="77777777" w:rsidR="004E0E02" w:rsidRDefault="004E0E02">
            <w:pPr>
              <w:pStyle w:val="-4"/>
              <w:rPr>
                <w:sz w:val="16"/>
                <w:szCs w:val="16"/>
                <w:rtl/>
              </w:rPr>
            </w:pPr>
            <w:r w:rsidRPr="00CF2A74">
              <w:rPr>
                <w:rFonts w:hint="eastAsia"/>
                <w:sz w:val="16"/>
                <w:szCs w:val="16"/>
                <w:rtl/>
              </w:rPr>
              <w:t>הון</w:t>
            </w:r>
            <w:r w:rsidRPr="00CF2A74">
              <w:rPr>
                <w:sz w:val="16"/>
                <w:szCs w:val="16"/>
                <w:rtl/>
              </w:rPr>
              <w:t xml:space="preserve"> </w:t>
            </w:r>
            <w:r w:rsidRPr="00CF2A74">
              <w:rPr>
                <w:rFonts w:hint="eastAsia"/>
                <w:sz w:val="16"/>
                <w:szCs w:val="16"/>
                <w:rtl/>
              </w:rPr>
              <w:t>המניות</w:t>
            </w:r>
            <w:r w:rsidRPr="00CF2A74">
              <w:rPr>
                <w:sz w:val="16"/>
                <w:szCs w:val="16"/>
                <w:rtl/>
              </w:rPr>
              <w:t xml:space="preserve"> </w:t>
            </w:r>
            <w:r w:rsidRPr="00CF2A74">
              <w:rPr>
                <w:rFonts w:hint="eastAsia"/>
                <w:sz w:val="16"/>
                <w:szCs w:val="16"/>
                <w:rtl/>
              </w:rPr>
              <w:t>הנפרע</w:t>
            </w:r>
          </w:p>
        </w:tc>
        <w:tc>
          <w:tcPr>
            <w:tcW w:w="846" w:type="dxa"/>
            <w:vAlign w:val="bottom"/>
          </w:tcPr>
          <w:p w14:paraId="1757A3A9" w14:textId="77777777" w:rsidR="004E0E02" w:rsidRDefault="004E0E02">
            <w:pPr>
              <w:pStyle w:val="-4"/>
              <w:rPr>
                <w:sz w:val="16"/>
                <w:szCs w:val="16"/>
                <w:rtl/>
              </w:rPr>
            </w:pPr>
            <w:r w:rsidRPr="00CF2A74">
              <w:rPr>
                <w:rFonts w:hint="eastAsia"/>
                <w:sz w:val="16"/>
                <w:szCs w:val="16"/>
                <w:rtl/>
              </w:rPr>
              <w:t>תקבולים</w:t>
            </w:r>
            <w:r w:rsidRPr="00CF2A74">
              <w:rPr>
                <w:sz w:val="16"/>
                <w:szCs w:val="16"/>
                <w:rtl/>
              </w:rPr>
              <w:t xml:space="preserve"> </w:t>
            </w:r>
            <w:r w:rsidRPr="00CF2A74">
              <w:rPr>
                <w:rFonts w:hint="eastAsia"/>
                <w:sz w:val="16"/>
                <w:szCs w:val="16"/>
                <w:rtl/>
              </w:rPr>
              <w:t>על</w:t>
            </w:r>
            <w:r w:rsidRPr="00CF2A74">
              <w:rPr>
                <w:sz w:val="16"/>
                <w:szCs w:val="16"/>
                <w:rtl/>
              </w:rPr>
              <w:t xml:space="preserve"> </w:t>
            </w:r>
            <w:r w:rsidRPr="00CF2A74">
              <w:rPr>
                <w:rFonts w:hint="eastAsia"/>
                <w:sz w:val="16"/>
                <w:szCs w:val="16"/>
                <w:rtl/>
              </w:rPr>
              <w:t>חשבון</w:t>
            </w:r>
            <w:r w:rsidRPr="00CF2A74">
              <w:rPr>
                <w:sz w:val="16"/>
                <w:szCs w:val="16"/>
                <w:rtl/>
              </w:rPr>
              <w:t xml:space="preserve"> </w:t>
            </w:r>
            <w:r w:rsidRPr="00CF2A74">
              <w:rPr>
                <w:rFonts w:hint="eastAsia"/>
                <w:sz w:val="16"/>
                <w:szCs w:val="16"/>
                <w:rtl/>
              </w:rPr>
              <w:t>מניות</w:t>
            </w:r>
          </w:p>
        </w:tc>
        <w:tc>
          <w:tcPr>
            <w:tcW w:w="957" w:type="dxa"/>
            <w:vAlign w:val="bottom"/>
          </w:tcPr>
          <w:p w14:paraId="182E522E" w14:textId="77777777" w:rsidR="00F32A2A" w:rsidRDefault="004E0E02">
            <w:pPr>
              <w:pStyle w:val="-4"/>
              <w:rPr>
                <w:sz w:val="16"/>
                <w:szCs w:val="16"/>
                <w:rtl/>
              </w:rPr>
            </w:pPr>
            <w:r w:rsidRPr="00CF2A74">
              <w:rPr>
                <w:rFonts w:hint="eastAsia"/>
                <w:sz w:val="16"/>
                <w:szCs w:val="16"/>
                <w:rtl/>
              </w:rPr>
              <w:t>התחייבויו</w:t>
            </w:r>
            <w:r>
              <w:rPr>
                <w:rFonts w:hint="cs"/>
                <w:sz w:val="16"/>
                <w:szCs w:val="16"/>
                <w:rtl/>
              </w:rPr>
              <w:t>ת</w:t>
            </w:r>
            <w:r w:rsidRPr="00CF2A74">
              <w:rPr>
                <w:sz w:val="16"/>
                <w:szCs w:val="16"/>
                <w:rtl/>
              </w:rPr>
              <w:t xml:space="preserve"> </w:t>
            </w:r>
            <w:r w:rsidRPr="00CF2A74">
              <w:rPr>
                <w:rFonts w:hint="eastAsia"/>
                <w:sz w:val="16"/>
                <w:szCs w:val="16"/>
                <w:rtl/>
              </w:rPr>
              <w:t>צמיתות</w:t>
            </w:r>
          </w:p>
        </w:tc>
        <w:tc>
          <w:tcPr>
            <w:tcW w:w="807" w:type="dxa"/>
            <w:vAlign w:val="bottom"/>
          </w:tcPr>
          <w:p w14:paraId="441362A3" w14:textId="77777777" w:rsidR="004E0E02" w:rsidRDefault="004E0E02">
            <w:pPr>
              <w:pStyle w:val="-4"/>
              <w:rPr>
                <w:sz w:val="16"/>
                <w:szCs w:val="16"/>
                <w:rtl/>
              </w:rPr>
            </w:pPr>
            <w:r w:rsidRPr="00CF2A74">
              <w:rPr>
                <w:rFonts w:hint="eastAsia"/>
                <w:sz w:val="16"/>
                <w:szCs w:val="16"/>
                <w:rtl/>
              </w:rPr>
              <w:t>מפרמיה</w:t>
            </w:r>
          </w:p>
        </w:tc>
        <w:tc>
          <w:tcPr>
            <w:tcW w:w="1079" w:type="dxa"/>
            <w:vAlign w:val="bottom"/>
          </w:tcPr>
          <w:p w14:paraId="36BBDC56" w14:textId="77777777" w:rsidR="004E0E02" w:rsidRPr="009A7E4A" w:rsidRDefault="004E0E02" w:rsidP="0084040C">
            <w:pPr>
              <w:pStyle w:val="-4"/>
              <w:rPr>
                <w:sz w:val="16"/>
                <w:szCs w:val="16"/>
                <w:rtl/>
              </w:rPr>
            </w:pPr>
            <w:r w:rsidRPr="009A7E4A">
              <w:rPr>
                <w:rFonts w:hint="eastAsia"/>
                <w:sz w:val="16"/>
                <w:szCs w:val="16"/>
                <w:rtl/>
              </w:rPr>
              <w:t>מהטבה</w:t>
            </w:r>
            <w:r w:rsidRPr="009A7E4A">
              <w:rPr>
                <w:sz w:val="16"/>
                <w:szCs w:val="16"/>
                <w:rtl/>
              </w:rPr>
              <w:t xml:space="preserve"> </w:t>
            </w:r>
            <w:r w:rsidRPr="009A7E4A">
              <w:rPr>
                <w:rFonts w:hint="eastAsia"/>
                <w:sz w:val="16"/>
                <w:szCs w:val="16"/>
                <w:rtl/>
              </w:rPr>
              <w:t>בשל</w:t>
            </w:r>
            <w:r w:rsidRPr="009A7E4A">
              <w:rPr>
                <w:sz w:val="16"/>
                <w:szCs w:val="16"/>
                <w:rtl/>
              </w:rPr>
              <w:t xml:space="preserve"> </w:t>
            </w:r>
            <w:r w:rsidRPr="009A7E4A">
              <w:rPr>
                <w:rFonts w:hint="eastAsia"/>
                <w:sz w:val="16"/>
                <w:szCs w:val="16"/>
                <w:rtl/>
              </w:rPr>
              <w:t>עסקאות</w:t>
            </w:r>
            <w:r w:rsidRPr="009A7E4A">
              <w:rPr>
                <w:sz w:val="16"/>
                <w:szCs w:val="16"/>
                <w:rtl/>
              </w:rPr>
              <w:t xml:space="preserve"> </w:t>
            </w:r>
            <w:r w:rsidRPr="009A7E4A">
              <w:rPr>
                <w:rFonts w:hint="eastAsia"/>
                <w:sz w:val="16"/>
                <w:szCs w:val="16"/>
                <w:rtl/>
              </w:rPr>
              <w:t>תשלום</w:t>
            </w:r>
            <w:r w:rsidRPr="009A7E4A">
              <w:rPr>
                <w:sz w:val="16"/>
                <w:szCs w:val="16"/>
                <w:rtl/>
              </w:rPr>
              <w:t xml:space="preserve"> </w:t>
            </w:r>
            <w:r w:rsidRPr="009A7E4A">
              <w:rPr>
                <w:rFonts w:hint="eastAsia"/>
                <w:sz w:val="16"/>
                <w:szCs w:val="16"/>
                <w:rtl/>
              </w:rPr>
              <w:t>מבוסס</w:t>
            </w:r>
            <w:r w:rsidRPr="009A7E4A">
              <w:rPr>
                <w:sz w:val="16"/>
                <w:szCs w:val="16"/>
                <w:rtl/>
              </w:rPr>
              <w:t xml:space="preserve"> </w:t>
            </w:r>
            <w:r w:rsidRPr="009A7E4A">
              <w:rPr>
                <w:rFonts w:hint="eastAsia"/>
                <w:sz w:val="16"/>
                <w:szCs w:val="16"/>
                <w:rtl/>
              </w:rPr>
              <w:t>מניות</w:t>
            </w:r>
          </w:p>
        </w:tc>
        <w:tc>
          <w:tcPr>
            <w:tcW w:w="655" w:type="dxa"/>
            <w:vAlign w:val="bottom"/>
          </w:tcPr>
          <w:p w14:paraId="60008FE7" w14:textId="77777777" w:rsidR="004E0E02" w:rsidRDefault="004E0E02">
            <w:pPr>
              <w:pStyle w:val="-4"/>
              <w:spacing w:line="240" w:lineRule="auto"/>
              <w:ind w:left="-57" w:right="-57"/>
              <w:rPr>
                <w:sz w:val="16"/>
                <w:szCs w:val="16"/>
                <w:rtl/>
              </w:rPr>
            </w:pPr>
            <w:r w:rsidRPr="00CF2A74">
              <w:rPr>
                <w:rFonts w:hint="eastAsia"/>
                <w:sz w:val="16"/>
                <w:szCs w:val="16"/>
                <w:rtl/>
              </w:rPr>
              <w:t>אחרות</w:t>
            </w:r>
            <w:r w:rsidRPr="00CF2A74">
              <w:rPr>
                <w:sz w:val="16"/>
                <w:szCs w:val="16"/>
                <w:rtl/>
              </w:rPr>
              <w:t xml:space="preserve"> [פרט]</w:t>
            </w:r>
          </w:p>
        </w:tc>
        <w:tc>
          <w:tcPr>
            <w:tcW w:w="794" w:type="dxa"/>
            <w:vAlign w:val="bottom"/>
          </w:tcPr>
          <w:p w14:paraId="109D87C2" w14:textId="77777777" w:rsidR="004E0E02" w:rsidRPr="00CF2A74" w:rsidRDefault="004E0E02" w:rsidP="0084040C">
            <w:pPr>
              <w:pStyle w:val="-4"/>
              <w:rPr>
                <w:sz w:val="16"/>
                <w:szCs w:val="16"/>
                <w:rtl/>
              </w:rPr>
            </w:pPr>
            <w:r w:rsidRPr="00CF2A74">
              <w:rPr>
                <w:rFonts w:hint="eastAsia"/>
                <w:sz w:val="16"/>
                <w:szCs w:val="16"/>
                <w:rtl/>
              </w:rPr>
              <w:t>מניות</w:t>
            </w:r>
            <w:r w:rsidRPr="00CF2A74">
              <w:rPr>
                <w:sz w:val="16"/>
                <w:szCs w:val="16"/>
                <w:rtl/>
              </w:rPr>
              <w:t xml:space="preserve"> </w:t>
            </w:r>
            <w:r w:rsidRPr="00CF2A74">
              <w:rPr>
                <w:rFonts w:hint="eastAsia"/>
                <w:sz w:val="16"/>
                <w:szCs w:val="16"/>
                <w:rtl/>
              </w:rPr>
              <w:t>באוצר</w:t>
            </w:r>
          </w:p>
        </w:tc>
        <w:tc>
          <w:tcPr>
            <w:tcW w:w="936" w:type="dxa"/>
            <w:vAlign w:val="bottom"/>
          </w:tcPr>
          <w:p w14:paraId="066DD41A" w14:textId="77777777" w:rsidR="004E0E02" w:rsidRPr="00513F0D" w:rsidRDefault="004E0E02" w:rsidP="0084040C">
            <w:pPr>
              <w:pStyle w:val="-4"/>
              <w:rPr>
                <w:sz w:val="16"/>
                <w:szCs w:val="16"/>
                <w:rtl/>
              </w:rPr>
            </w:pPr>
            <w:r w:rsidRPr="00CF2A74">
              <w:rPr>
                <w:rFonts w:hint="eastAsia"/>
                <w:sz w:val="16"/>
                <w:szCs w:val="16"/>
                <w:rtl/>
              </w:rPr>
              <w:t>סך</w:t>
            </w:r>
            <w:r w:rsidRPr="00CF2A74">
              <w:rPr>
                <w:sz w:val="16"/>
                <w:szCs w:val="16"/>
                <w:rtl/>
              </w:rPr>
              <w:t xml:space="preserve"> </w:t>
            </w:r>
            <w:r w:rsidRPr="00CF2A74">
              <w:rPr>
                <w:rFonts w:hint="eastAsia"/>
                <w:sz w:val="16"/>
                <w:szCs w:val="16"/>
                <w:rtl/>
              </w:rPr>
              <w:t>הכל</w:t>
            </w:r>
          </w:p>
          <w:p w14:paraId="3E6EACE2" w14:textId="77777777" w:rsidR="004E0E02" w:rsidRPr="00513F0D" w:rsidRDefault="004E0E02" w:rsidP="0084040C">
            <w:pPr>
              <w:pStyle w:val="-4"/>
              <w:rPr>
                <w:sz w:val="16"/>
                <w:szCs w:val="16"/>
                <w:rtl/>
              </w:rPr>
            </w:pPr>
            <w:r w:rsidRPr="00CF2A74">
              <w:rPr>
                <w:rFonts w:hint="eastAsia"/>
                <w:sz w:val="16"/>
                <w:szCs w:val="16"/>
                <w:rtl/>
              </w:rPr>
              <w:t>הון</w:t>
            </w:r>
            <w:r w:rsidRPr="00CF2A74">
              <w:rPr>
                <w:sz w:val="16"/>
                <w:szCs w:val="16"/>
                <w:rtl/>
              </w:rPr>
              <w:t xml:space="preserve"> </w:t>
            </w:r>
            <w:r w:rsidRPr="00CF2A74">
              <w:rPr>
                <w:rFonts w:hint="eastAsia"/>
                <w:sz w:val="16"/>
                <w:szCs w:val="16"/>
                <w:rtl/>
              </w:rPr>
              <w:t>המניות</w:t>
            </w:r>
            <w:r w:rsidRPr="00CF2A74">
              <w:rPr>
                <w:sz w:val="16"/>
                <w:szCs w:val="16"/>
                <w:rtl/>
              </w:rPr>
              <w:t xml:space="preserve"> </w:t>
            </w:r>
            <w:r w:rsidRPr="00CF2A74">
              <w:rPr>
                <w:rFonts w:hint="eastAsia"/>
                <w:sz w:val="16"/>
                <w:szCs w:val="16"/>
                <w:rtl/>
              </w:rPr>
              <w:t>הנפרע</w:t>
            </w:r>
            <w:r w:rsidRPr="00CF2A74">
              <w:rPr>
                <w:sz w:val="16"/>
                <w:szCs w:val="16"/>
                <w:rtl/>
              </w:rPr>
              <w:t xml:space="preserve"> </w:t>
            </w:r>
            <w:r w:rsidRPr="00CF2A74">
              <w:rPr>
                <w:rFonts w:hint="eastAsia"/>
                <w:sz w:val="16"/>
                <w:szCs w:val="16"/>
                <w:rtl/>
              </w:rPr>
              <w:t>וקרנות</w:t>
            </w:r>
            <w:r w:rsidRPr="00CF2A74">
              <w:rPr>
                <w:sz w:val="16"/>
                <w:szCs w:val="16"/>
                <w:rtl/>
              </w:rPr>
              <w:t xml:space="preserve"> </w:t>
            </w:r>
            <w:r w:rsidRPr="00CF2A74">
              <w:rPr>
                <w:rFonts w:hint="eastAsia"/>
                <w:sz w:val="16"/>
                <w:szCs w:val="16"/>
                <w:rtl/>
              </w:rPr>
              <w:t>הון</w:t>
            </w:r>
          </w:p>
        </w:tc>
        <w:tc>
          <w:tcPr>
            <w:tcW w:w="812" w:type="dxa"/>
            <w:vAlign w:val="bottom"/>
          </w:tcPr>
          <w:p w14:paraId="36EB1FDC" w14:textId="77777777" w:rsidR="004E0E02" w:rsidRPr="00513F0D" w:rsidRDefault="004E0E02" w:rsidP="0084040C">
            <w:pPr>
              <w:pStyle w:val="-4"/>
              <w:rPr>
                <w:sz w:val="16"/>
                <w:szCs w:val="16"/>
                <w:rtl/>
              </w:rPr>
            </w:pPr>
            <w:r w:rsidRPr="00CF2A74">
              <w:rPr>
                <w:rFonts w:hint="eastAsia"/>
                <w:sz w:val="16"/>
                <w:szCs w:val="16"/>
                <w:rtl/>
              </w:rPr>
              <w:t>רווח</w:t>
            </w:r>
            <w:r w:rsidRPr="00CF2A74">
              <w:rPr>
                <w:sz w:val="16"/>
                <w:szCs w:val="16"/>
                <w:rtl/>
              </w:rPr>
              <w:t xml:space="preserve"> </w:t>
            </w:r>
            <w:r w:rsidRPr="00CF2A74">
              <w:rPr>
                <w:rFonts w:hint="eastAsia"/>
                <w:sz w:val="16"/>
                <w:szCs w:val="16"/>
                <w:rtl/>
              </w:rPr>
              <w:t>כולל</w:t>
            </w:r>
            <w:r w:rsidRPr="00CF2A74">
              <w:rPr>
                <w:sz w:val="16"/>
                <w:szCs w:val="16"/>
                <w:rtl/>
              </w:rPr>
              <w:t xml:space="preserve"> </w:t>
            </w:r>
            <w:r w:rsidRPr="00CF2A74">
              <w:rPr>
                <w:rFonts w:hint="eastAsia"/>
                <w:sz w:val="16"/>
                <w:szCs w:val="16"/>
                <w:rtl/>
              </w:rPr>
              <w:t>אחר</w:t>
            </w:r>
            <w:r w:rsidRPr="00CF2A74">
              <w:rPr>
                <w:sz w:val="16"/>
                <w:szCs w:val="16"/>
                <w:rtl/>
              </w:rPr>
              <w:t xml:space="preserve"> </w:t>
            </w:r>
            <w:r w:rsidRPr="00CF2A74">
              <w:rPr>
                <w:rFonts w:hint="eastAsia"/>
                <w:sz w:val="16"/>
                <w:szCs w:val="16"/>
                <w:rtl/>
              </w:rPr>
              <w:t>מצטבר</w:t>
            </w:r>
          </w:p>
        </w:tc>
        <w:tc>
          <w:tcPr>
            <w:tcW w:w="870" w:type="dxa"/>
            <w:vAlign w:val="bottom"/>
          </w:tcPr>
          <w:p w14:paraId="753218E1" w14:textId="77777777" w:rsidR="004E0E02" w:rsidRDefault="004E0E02">
            <w:pPr>
              <w:pStyle w:val="-4"/>
              <w:rPr>
                <w:sz w:val="16"/>
                <w:szCs w:val="16"/>
                <w:rtl/>
              </w:rPr>
            </w:pPr>
            <w:r w:rsidRPr="00CF2A74">
              <w:rPr>
                <w:rFonts w:hint="eastAsia"/>
                <w:sz w:val="16"/>
                <w:szCs w:val="16"/>
                <w:rtl/>
              </w:rPr>
              <w:t>עודפים</w:t>
            </w:r>
            <w:r w:rsidRPr="00CF2A74">
              <w:rPr>
                <w:sz w:val="16"/>
                <w:szCs w:val="16"/>
                <w:rtl/>
              </w:rPr>
              <w:t xml:space="preserve"> (גירעונות) שנצברו</w:t>
            </w:r>
          </w:p>
        </w:tc>
        <w:tc>
          <w:tcPr>
            <w:tcW w:w="805" w:type="dxa"/>
            <w:vAlign w:val="bottom"/>
          </w:tcPr>
          <w:p w14:paraId="1DF16767" w14:textId="77777777" w:rsidR="004E0E02" w:rsidRPr="00513F0D" w:rsidRDefault="004E0E02" w:rsidP="0084040C">
            <w:pPr>
              <w:pStyle w:val="-4"/>
              <w:rPr>
                <w:sz w:val="16"/>
                <w:szCs w:val="16"/>
                <w:rtl/>
              </w:rPr>
            </w:pPr>
            <w:r w:rsidRPr="00CF2A74">
              <w:rPr>
                <w:rFonts w:hint="eastAsia"/>
                <w:sz w:val="16"/>
                <w:szCs w:val="16"/>
                <w:rtl/>
              </w:rPr>
              <w:t>סעיפים</w:t>
            </w:r>
            <w:r w:rsidRPr="00CF2A74">
              <w:rPr>
                <w:sz w:val="16"/>
                <w:szCs w:val="16"/>
                <w:rtl/>
              </w:rPr>
              <w:t xml:space="preserve"> </w:t>
            </w:r>
            <w:r w:rsidRPr="00CF2A74">
              <w:rPr>
                <w:rFonts w:hint="eastAsia"/>
                <w:sz w:val="16"/>
                <w:szCs w:val="16"/>
                <w:rtl/>
              </w:rPr>
              <w:t>הוניים</w:t>
            </w:r>
            <w:r w:rsidRPr="00CF2A74">
              <w:rPr>
                <w:sz w:val="16"/>
                <w:szCs w:val="16"/>
                <w:rtl/>
              </w:rPr>
              <w:t xml:space="preserve"> אחרים</w:t>
            </w:r>
          </w:p>
        </w:tc>
        <w:tc>
          <w:tcPr>
            <w:tcW w:w="1141" w:type="dxa"/>
            <w:vAlign w:val="bottom"/>
          </w:tcPr>
          <w:p w14:paraId="5118910A" w14:textId="77777777" w:rsidR="00F32A2A" w:rsidRDefault="004E0E02">
            <w:pPr>
              <w:pStyle w:val="-4"/>
              <w:rPr>
                <w:color w:val="000000"/>
                <w:sz w:val="16"/>
                <w:szCs w:val="16"/>
                <w:rtl/>
                <w:lang w:eastAsia="he-IL"/>
              </w:rPr>
            </w:pPr>
            <w:r w:rsidRPr="00CF2A74">
              <w:rPr>
                <w:rFonts w:hint="eastAsia"/>
                <w:sz w:val="16"/>
                <w:szCs w:val="16"/>
                <w:rtl/>
              </w:rPr>
              <w:t>סך</w:t>
            </w:r>
            <w:r w:rsidRPr="00CF2A74">
              <w:rPr>
                <w:sz w:val="16"/>
                <w:szCs w:val="16"/>
                <w:rtl/>
              </w:rPr>
              <w:t xml:space="preserve"> </w:t>
            </w:r>
            <w:r>
              <w:rPr>
                <w:rFonts w:hint="cs"/>
                <w:sz w:val="16"/>
                <w:szCs w:val="16"/>
                <w:rtl/>
              </w:rPr>
              <w:t>ה</w:t>
            </w:r>
            <w:r w:rsidRPr="00CF2A74">
              <w:rPr>
                <w:rFonts w:hint="eastAsia"/>
                <w:sz w:val="16"/>
                <w:szCs w:val="16"/>
                <w:rtl/>
              </w:rPr>
              <w:t>כל</w:t>
            </w:r>
            <w:r w:rsidRPr="00CF2A74">
              <w:rPr>
                <w:sz w:val="16"/>
                <w:szCs w:val="16"/>
                <w:rtl/>
              </w:rPr>
              <w:t xml:space="preserve"> </w:t>
            </w:r>
            <w:r w:rsidRPr="00CF2A74">
              <w:rPr>
                <w:rFonts w:hint="eastAsia"/>
                <w:sz w:val="16"/>
                <w:szCs w:val="16"/>
                <w:rtl/>
              </w:rPr>
              <w:t>הון</w:t>
            </w:r>
            <w:r w:rsidRPr="00CF2A74">
              <w:rPr>
                <w:sz w:val="16"/>
                <w:szCs w:val="16"/>
                <w:rtl/>
              </w:rPr>
              <w:t xml:space="preserve"> </w:t>
            </w:r>
            <w:r w:rsidRPr="00CF2A74">
              <w:rPr>
                <w:rFonts w:hint="eastAsia"/>
                <w:sz w:val="16"/>
                <w:szCs w:val="16"/>
                <w:rtl/>
              </w:rPr>
              <w:t>המיוחס</w:t>
            </w:r>
            <w:r w:rsidRPr="00CF2A74">
              <w:rPr>
                <w:sz w:val="16"/>
                <w:szCs w:val="16"/>
                <w:rtl/>
              </w:rPr>
              <w:t xml:space="preserve"> </w:t>
            </w:r>
            <w:r w:rsidRPr="00CF2A74">
              <w:rPr>
                <w:rFonts w:hint="eastAsia"/>
                <w:sz w:val="16"/>
                <w:szCs w:val="16"/>
                <w:rtl/>
              </w:rPr>
              <w:t>לבעלי</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התאגיד</w:t>
            </w:r>
            <w:r w:rsidRPr="00CF2A74">
              <w:rPr>
                <w:sz w:val="16"/>
                <w:szCs w:val="16"/>
                <w:rtl/>
              </w:rPr>
              <w:t xml:space="preserve"> </w:t>
            </w:r>
            <w:r w:rsidRPr="00CF2A74">
              <w:rPr>
                <w:rFonts w:hint="eastAsia"/>
                <w:sz w:val="16"/>
                <w:szCs w:val="16"/>
                <w:rtl/>
              </w:rPr>
              <w:t>הבנקאי</w:t>
            </w:r>
          </w:p>
        </w:tc>
        <w:tc>
          <w:tcPr>
            <w:tcW w:w="710" w:type="dxa"/>
            <w:vAlign w:val="bottom"/>
          </w:tcPr>
          <w:p w14:paraId="3681166F" w14:textId="77777777" w:rsidR="004E0E02" w:rsidRPr="00513F0D" w:rsidRDefault="004E0E02" w:rsidP="0084040C">
            <w:pPr>
              <w:pStyle w:val="-4"/>
              <w:rPr>
                <w:sz w:val="16"/>
                <w:szCs w:val="16"/>
                <w:rtl/>
              </w:rPr>
            </w:pPr>
            <w:r w:rsidRPr="00CF2A74">
              <w:rPr>
                <w:rFonts w:hint="eastAsia"/>
                <w:sz w:val="16"/>
                <w:szCs w:val="16"/>
                <w:rtl/>
              </w:rPr>
              <w:t>זכויות</w:t>
            </w:r>
          </w:p>
          <w:p w14:paraId="11466616" w14:textId="77777777" w:rsidR="004E0E02" w:rsidRPr="00513F0D" w:rsidRDefault="004E0E02" w:rsidP="0084040C">
            <w:pPr>
              <w:pStyle w:val="-4"/>
              <w:rPr>
                <w:sz w:val="16"/>
                <w:szCs w:val="16"/>
                <w:rtl/>
              </w:rPr>
            </w:pPr>
            <w:r w:rsidRPr="00CF2A74">
              <w:rPr>
                <w:rFonts w:hint="eastAsia"/>
                <w:sz w:val="16"/>
                <w:szCs w:val="16"/>
                <w:rtl/>
              </w:rPr>
              <w:t>שאינן</w:t>
            </w:r>
            <w:r w:rsidRPr="00CF2A74">
              <w:rPr>
                <w:sz w:val="16"/>
                <w:szCs w:val="16"/>
                <w:rtl/>
              </w:rPr>
              <w:t xml:space="preserve"> </w:t>
            </w:r>
            <w:r w:rsidRPr="00CF2A74">
              <w:rPr>
                <w:rFonts w:hint="eastAsia"/>
                <w:sz w:val="16"/>
                <w:szCs w:val="16"/>
                <w:rtl/>
              </w:rPr>
              <w:t>מקנות</w:t>
            </w:r>
            <w:r w:rsidRPr="00CF2A74">
              <w:rPr>
                <w:sz w:val="16"/>
                <w:szCs w:val="16"/>
                <w:rtl/>
              </w:rPr>
              <w:t xml:space="preserve"> </w:t>
            </w:r>
            <w:r w:rsidRPr="00CF2A74">
              <w:rPr>
                <w:rFonts w:hint="eastAsia"/>
                <w:sz w:val="16"/>
                <w:szCs w:val="16"/>
                <w:rtl/>
              </w:rPr>
              <w:t>שליטה</w:t>
            </w:r>
          </w:p>
        </w:tc>
        <w:tc>
          <w:tcPr>
            <w:tcW w:w="748" w:type="dxa"/>
            <w:vAlign w:val="bottom"/>
          </w:tcPr>
          <w:p w14:paraId="54C71197" w14:textId="77777777" w:rsidR="004E0E02" w:rsidRPr="00513F0D" w:rsidRDefault="004E0E02" w:rsidP="0084040C">
            <w:pPr>
              <w:pStyle w:val="-4"/>
              <w:rPr>
                <w:sz w:val="16"/>
                <w:szCs w:val="16"/>
                <w:rtl/>
              </w:rPr>
            </w:pPr>
            <w:r w:rsidRPr="00CF2A74">
              <w:rPr>
                <w:rFonts w:hint="eastAsia"/>
                <w:sz w:val="16"/>
                <w:szCs w:val="16"/>
                <w:rtl/>
              </w:rPr>
              <w:t>סך</w:t>
            </w:r>
            <w:r w:rsidRPr="00CF2A74">
              <w:rPr>
                <w:sz w:val="16"/>
                <w:szCs w:val="16"/>
                <w:rtl/>
              </w:rPr>
              <w:t xml:space="preserve"> </w:t>
            </w:r>
            <w:r w:rsidRPr="00CF2A74">
              <w:rPr>
                <w:rFonts w:hint="eastAsia"/>
                <w:sz w:val="16"/>
                <w:szCs w:val="16"/>
                <w:rtl/>
              </w:rPr>
              <w:t>הכל</w:t>
            </w:r>
          </w:p>
          <w:p w14:paraId="73FA9F26" w14:textId="77777777" w:rsidR="004E0E02" w:rsidRPr="00513F0D" w:rsidRDefault="004E0E02" w:rsidP="0084040C">
            <w:pPr>
              <w:pStyle w:val="-4"/>
              <w:rPr>
                <w:sz w:val="16"/>
                <w:szCs w:val="16"/>
                <w:rtl/>
              </w:rPr>
            </w:pPr>
            <w:r w:rsidRPr="00CF2A74">
              <w:rPr>
                <w:rFonts w:hint="eastAsia"/>
                <w:sz w:val="16"/>
                <w:szCs w:val="16"/>
                <w:rtl/>
              </w:rPr>
              <w:t>הון</w:t>
            </w:r>
          </w:p>
        </w:tc>
      </w:tr>
      <w:tr w:rsidR="004E0E02" w:rsidRPr="00513F0D" w14:paraId="7251F20A" w14:textId="77777777" w:rsidTr="00106371">
        <w:tc>
          <w:tcPr>
            <w:tcW w:w="850" w:type="dxa"/>
          </w:tcPr>
          <w:p w14:paraId="6FE37A18" w14:textId="77777777" w:rsidR="004E0E02" w:rsidRPr="00CF2A74" w:rsidRDefault="004E0E02" w:rsidP="00CF2A74">
            <w:pPr>
              <w:pStyle w:val="-7"/>
              <w:bidi w:val="0"/>
              <w:spacing w:line="120" w:lineRule="exact"/>
              <w:ind w:right="-231"/>
              <w:jc w:val="left"/>
              <w:rPr>
                <w:spacing w:val="-6"/>
                <w:sz w:val="16"/>
                <w:szCs w:val="16"/>
                <w:rtl/>
              </w:rPr>
            </w:pPr>
          </w:p>
        </w:tc>
        <w:tc>
          <w:tcPr>
            <w:tcW w:w="2203" w:type="dxa"/>
            <w:vAlign w:val="bottom"/>
          </w:tcPr>
          <w:p w14:paraId="04CFDB0A" w14:textId="77777777" w:rsidR="004E0E02" w:rsidRPr="00CF2A74" w:rsidRDefault="004E0E02" w:rsidP="00CF2A74">
            <w:pPr>
              <w:pStyle w:val="-f"/>
              <w:spacing w:line="120" w:lineRule="exact"/>
              <w:rPr>
                <w:sz w:val="16"/>
                <w:szCs w:val="16"/>
                <w:rtl/>
              </w:rPr>
            </w:pPr>
          </w:p>
        </w:tc>
        <w:tc>
          <w:tcPr>
            <w:tcW w:w="766" w:type="dxa"/>
            <w:vAlign w:val="bottom"/>
          </w:tcPr>
          <w:p w14:paraId="3512CCE6" w14:textId="77777777" w:rsidR="004E0E02" w:rsidRDefault="004E0E02" w:rsidP="00CF2A74">
            <w:pPr>
              <w:spacing w:line="120" w:lineRule="exact"/>
              <w:jc w:val="center"/>
              <w:rPr>
                <w:sz w:val="16"/>
                <w:szCs w:val="16"/>
                <w:rtl/>
              </w:rPr>
            </w:pPr>
          </w:p>
        </w:tc>
        <w:tc>
          <w:tcPr>
            <w:tcW w:w="846" w:type="dxa"/>
            <w:vAlign w:val="bottom"/>
          </w:tcPr>
          <w:p w14:paraId="2D4B6B39" w14:textId="77777777" w:rsidR="004E0E02" w:rsidRDefault="004E0E02" w:rsidP="00CF2A74">
            <w:pPr>
              <w:spacing w:line="120" w:lineRule="exact"/>
              <w:jc w:val="center"/>
              <w:rPr>
                <w:sz w:val="16"/>
                <w:szCs w:val="16"/>
                <w:rtl/>
              </w:rPr>
            </w:pPr>
          </w:p>
        </w:tc>
        <w:tc>
          <w:tcPr>
            <w:tcW w:w="957" w:type="dxa"/>
          </w:tcPr>
          <w:p w14:paraId="415D311D" w14:textId="77777777" w:rsidR="004E0E02" w:rsidRDefault="004E0E02" w:rsidP="00CF2A74">
            <w:pPr>
              <w:spacing w:line="120" w:lineRule="exact"/>
              <w:jc w:val="center"/>
              <w:rPr>
                <w:sz w:val="16"/>
                <w:szCs w:val="16"/>
                <w:rtl/>
              </w:rPr>
            </w:pPr>
          </w:p>
        </w:tc>
        <w:tc>
          <w:tcPr>
            <w:tcW w:w="807" w:type="dxa"/>
            <w:vAlign w:val="bottom"/>
          </w:tcPr>
          <w:p w14:paraId="2F320359" w14:textId="77777777" w:rsidR="004E0E02" w:rsidRDefault="004E0E02" w:rsidP="00CF2A74">
            <w:pPr>
              <w:spacing w:line="120" w:lineRule="exact"/>
              <w:jc w:val="center"/>
              <w:rPr>
                <w:sz w:val="16"/>
                <w:szCs w:val="16"/>
                <w:rtl/>
              </w:rPr>
            </w:pPr>
          </w:p>
        </w:tc>
        <w:tc>
          <w:tcPr>
            <w:tcW w:w="1079" w:type="dxa"/>
          </w:tcPr>
          <w:p w14:paraId="2CB730B2" w14:textId="77777777" w:rsidR="004E0E02" w:rsidRPr="009A7E4A" w:rsidRDefault="004E0E02" w:rsidP="00CF2A74">
            <w:pPr>
              <w:spacing w:line="120" w:lineRule="exact"/>
              <w:jc w:val="center"/>
              <w:rPr>
                <w:sz w:val="16"/>
                <w:szCs w:val="16"/>
                <w:rtl/>
              </w:rPr>
            </w:pPr>
          </w:p>
        </w:tc>
        <w:tc>
          <w:tcPr>
            <w:tcW w:w="655" w:type="dxa"/>
          </w:tcPr>
          <w:p w14:paraId="0AD3DB75" w14:textId="77777777" w:rsidR="004E0E02" w:rsidRDefault="004E0E02" w:rsidP="00CF2A74">
            <w:pPr>
              <w:spacing w:line="120" w:lineRule="exact"/>
              <w:jc w:val="center"/>
              <w:rPr>
                <w:sz w:val="16"/>
                <w:szCs w:val="16"/>
                <w:rtl/>
              </w:rPr>
            </w:pPr>
          </w:p>
        </w:tc>
        <w:tc>
          <w:tcPr>
            <w:tcW w:w="794" w:type="dxa"/>
            <w:vAlign w:val="bottom"/>
          </w:tcPr>
          <w:p w14:paraId="7C96D338" w14:textId="77777777" w:rsidR="004E0E02" w:rsidRDefault="004E0E02" w:rsidP="00CF2A74">
            <w:pPr>
              <w:spacing w:line="120" w:lineRule="exact"/>
              <w:jc w:val="center"/>
              <w:rPr>
                <w:sz w:val="16"/>
                <w:szCs w:val="16"/>
                <w:rtl/>
              </w:rPr>
            </w:pPr>
          </w:p>
        </w:tc>
        <w:tc>
          <w:tcPr>
            <w:tcW w:w="936" w:type="dxa"/>
          </w:tcPr>
          <w:p w14:paraId="413202A1" w14:textId="77777777" w:rsidR="004E0E02" w:rsidRDefault="004E0E02" w:rsidP="00CF2A74">
            <w:pPr>
              <w:spacing w:line="120" w:lineRule="exact"/>
              <w:jc w:val="center"/>
              <w:rPr>
                <w:sz w:val="16"/>
                <w:szCs w:val="16"/>
                <w:rtl/>
              </w:rPr>
            </w:pPr>
          </w:p>
        </w:tc>
        <w:tc>
          <w:tcPr>
            <w:tcW w:w="812" w:type="dxa"/>
          </w:tcPr>
          <w:p w14:paraId="369BBAEC" w14:textId="77777777" w:rsidR="004E0E02" w:rsidRDefault="004E0E02" w:rsidP="00CF2A74">
            <w:pPr>
              <w:spacing w:line="120" w:lineRule="exact"/>
              <w:jc w:val="center"/>
              <w:rPr>
                <w:sz w:val="16"/>
                <w:szCs w:val="16"/>
                <w:rtl/>
              </w:rPr>
            </w:pPr>
          </w:p>
        </w:tc>
        <w:tc>
          <w:tcPr>
            <w:tcW w:w="870" w:type="dxa"/>
          </w:tcPr>
          <w:p w14:paraId="0F5EC0CF" w14:textId="77777777" w:rsidR="004E0E02" w:rsidRDefault="004E0E02" w:rsidP="00CF2A74">
            <w:pPr>
              <w:spacing w:line="120" w:lineRule="exact"/>
              <w:jc w:val="center"/>
              <w:rPr>
                <w:sz w:val="16"/>
                <w:szCs w:val="16"/>
                <w:rtl/>
              </w:rPr>
            </w:pPr>
          </w:p>
        </w:tc>
        <w:tc>
          <w:tcPr>
            <w:tcW w:w="805" w:type="dxa"/>
          </w:tcPr>
          <w:p w14:paraId="41178D35" w14:textId="77777777" w:rsidR="004E0E02" w:rsidRDefault="004E0E02" w:rsidP="00CF2A74">
            <w:pPr>
              <w:spacing w:line="120" w:lineRule="exact"/>
              <w:jc w:val="center"/>
              <w:rPr>
                <w:sz w:val="16"/>
                <w:szCs w:val="16"/>
                <w:rtl/>
              </w:rPr>
            </w:pPr>
          </w:p>
        </w:tc>
        <w:tc>
          <w:tcPr>
            <w:tcW w:w="1141" w:type="dxa"/>
          </w:tcPr>
          <w:p w14:paraId="3F90F316" w14:textId="77777777" w:rsidR="004E0E02" w:rsidRDefault="004E0E02" w:rsidP="00CF2A74">
            <w:pPr>
              <w:spacing w:line="120" w:lineRule="exact"/>
              <w:jc w:val="center"/>
              <w:rPr>
                <w:sz w:val="16"/>
                <w:szCs w:val="16"/>
                <w:rtl/>
              </w:rPr>
            </w:pPr>
          </w:p>
        </w:tc>
        <w:tc>
          <w:tcPr>
            <w:tcW w:w="710" w:type="dxa"/>
          </w:tcPr>
          <w:p w14:paraId="36CA5BC0" w14:textId="77777777" w:rsidR="004E0E02" w:rsidRDefault="004E0E02" w:rsidP="00CF2A74">
            <w:pPr>
              <w:spacing w:line="120" w:lineRule="exact"/>
              <w:jc w:val="center"/>
              <w:rPr>
                <w:sz w:val="16"/>
                <w:szCs w:val="16"/>
                <w:rtl/>
              </w:rPr>
            </w:pPr>
          </w:p>
        </w:tc>
        <w:tc>
          <w:tcPr>
            <w:tcW w:w="748" w:type="dxa"/>
          </w:tcPr>
          <w:p w14:paraId="0C2E968A" w14:textId="77777777" w:rsidR="004E0E02" w:rsidRDefault="004E0E02" w:rsidP="00CF2A74">
            <w:pPr>
              <w:spacing w:line="120" w:lineRule="exact"/>
              <w:jc w:val="center"/>
              <w:rPr>
                <w:sz w:val="16"/>
                <w:szCs w:val="16"/>
                <w:rtl/>
              </w:rPr>
            </w:pPr>
          </w:p>
        </w:tc>
      </w:tr>
      <w:tr w:rsidR="004E0E02" w:rsidRPr="00513F0D" w14:paraId="4253616E" w14:textId="77777777" w:rsidTr="00106371">
        <w:tc>
          <w:tcPr>
            <w:tcW w:w="850" w:type="dxa"/>
          </w:tcPr>
          <w:p w14:paraId="4CBF5587" w14:textId="77777777" w:rsidR="004E0E02" w:rsidRDefault="004E0E02">
            <w:pPr>
              <w:pStyle w:val="-7"/>
              <w:bidi w:val="0"/>
              <w:ind w:right="-231"/>
              <w:jc w:val="left"/>
              <w:rPr>
                <w:spacing w:val="-6"/>
                <w:sz w:val="16"/>
                <w:szCs w:val="16"/>
              </w:rPr>
            </w:pPr>
          </w:p>
        </w:tc>
        <w:tc>
          <w:tcPr>
            <w:tcW w:w="2203" w:type="dxa"/>
            <w:vAlign w:val="bottom"/>
          </w:tcPr>
          <w:p w14:paraId="63410B76" w14:textId="41CD73FB" w:rsidR="004E0E02" w:rsidRDefault="004E0E02" w:rsidP="00914A73">
            <w:pPr>
              <w:pStyle w:val="-0"/>
              <w:rPr>
                <w:b/>
                <w:bCs/>
                <w:sz w:val="16"/>
                <w:szCs w:val="16"/>
                <w:rtl/>
              </w:rPr>
            </w:pPr>
            <w:r w:rsidRPr="00CF2A74">
              <w:rPr>
                <w:rFonts w:hint="eastAsia"/>
                <w:b/>
                <w:bCs/>
                <w:sz w:val="16"/>
                <w:szCs w:val="16"/>
                <w:rtl/>
              </w:rPr>
              <w:t>יתרה</w:t>
            </w:r>
            <w:r w:rsidRPr="00CF2A74">
              <w:rPr>
                <w:b/>
                <w:bCs/>
                <w:sz w:val="16"/>
                <w:szCs w:val="16"/>
                <w:rtl/>
              </w:rPr>
              <w:t xml:space="preserve"> ליום 31 בדצמבר </w:t>
            </w:r>
            <w:r w:rsidR="00C803FD" w:rsidRPr="00C803FD">
              <w:rPr>
                <w:b/>
                <w:bCs/>
                <w:sz w:val="16"/>
                <w:szCs w:val="16"/>
                <w:rtl/>
              </w:rPr>
              <w:fldChar w:fldCharType="begin"/>
            </w:r>
            <w:r w:rsidR="00C803FD" w:rsidRPr="00C803FD">
              <w:rPr>
                <w:b/>
                <w:bCs/>
                <w:sz w:val="16"/>
                <w:szCs w:val="16"/>
                <w:rtl/>
              </w:rPr>
              <w:instrText xml:space="preserve"> </w:instrText>
            </w:r>
            <w:r w:rsidR="00C803FD" w:rsidRPr="00C803FD">
              <w:rPr>
                <w:rFonts w:hint="cs"/>
                <w:b/>
                <w:bCs/>
                <w:sz w:val="16"/>
                <w:szCs w:val="16"/>
                <w:rtl/>
              </w:rPr>
              <w:instrText xml:space="preserve">= </w:instrText>
            </w:r>
            <w:r w:rsidR="00C803FD" w:rsidRPr="00C803FD">
              <w:rPr>
                <w:rFonts w:hint="cs"/>
                <w:b/>
                <w:bCs/>
                <w:sz w:val="16"/>
                <w:szCs w:val="16"/>
              </w:rPr>
              <w:instrText>CY</w:instrText>
            </w:r>
            <w:r w:rsidR="00C803FD" w:rsidRPr="00C803FD">
              <w:rPr>
                <w:b/>
                <w:bCs/>
                <w:sz w:val="16"/>
                <w:szCs w:val="16"/>
              </w:rPr>
              <w:instrText>-2</w:instrText>
            </w:r>
            <w:r w:rsidR="00C803FD" w:rsidRPr="00C803FD">
              <w:rPr>
                <w:rFonts w:hint="cs"/>
                <w:b/>
                <w:bCs/>
                <w:sz w:val="16"/>
                <w:szCs w:val="16"/>
              </w:rPr>
              <w:instrText xml:space="preserve"> \* MERGEFORMAT</w:instrText>
            </w:r>
            <w:r w:rsidR="00C803FD" w:rsidRPr="00C803FD">
              <w:rPr>
                <w:b/>
                <w:bCs/>
                <w:sz w:val="16"/>
                <w:szCs w:val="16"/>
                <w:rtl/>
              </w:rPr>
              <w:instrText xml:space="preserve"> </w:instrText>
            </w:r>
            <w:r w:rsidR="00C803FD" w:rsidRPr="00C803FD">
              <w:rPr>
                <w:b/>
                <w:bCs/>
                <w:sz w:val="16"/>
                <w:szCs w:val="16"/>
                <w:rtl/>
              </w:rPr>
              <w:fldChar w:fldCharType="separate"/>
            </w:r>
            <w:r w:rsidR="003A584F">
              <w:rPr>
                <w:b/>
                <w:bCs/>
                <w:noProof/>
                <w:sz w:val="16"/>
                <w:szCs w:val="16"/>
                <w:rtl/>
              </w:rPr>
              <w:t>2022</w:t>
            </w:r>
            <w:r w:rsidR="00C803FD" w:rsidRPr="00C803FD">
              <w:rPr>
                <w:b/>
                <w:bCs/>
                <w:sz w:val="16"/>
                <w:szCs w:val="16"/>
                <w:rtl/>
              </w:rPr>
              <w:fldChar w:fldCharType="end"/>
            </w:r>
          </w:p>
        </w:tc>
        <w:tc>
          <w:tcPr>
            <w:tcW w:w="766" w:type="dxa"/>
            <w:vAlign w:val="bottom"/>
          </w:tcPr>
          <w:p w14:paraId="51618B87" w14:textId="77777777" w:rsidR="00F32A2A" w:rsidRDefault="004E0E02">
            <w:pPr>
              <w:pStyle w:val="-3"/>
              <w:rPr>
                <w:sz w:val="16"/>
                <w:szCs w:val="16"/>
                <w:rtl/>
              </w:rPr>
            </w:pPr>
            <w:r w:rsidRPr="00CF2A74">
              <w:rPr>
                <w:b/>
                <w:bCs/>
                <w:sz w:val="16"/>
                <w:szCs w:val="16"/>
                <w:rtl/>
              </w:rPr>
              <w:t>0</w:t>
            </w:r>
          </w:p>
        </w:tc>
        <w:tc>
          <w:tcPr>
            <w:tcW w:w="846" w:type="dxa"/>
            <w:vAlign w:val="bottom"/>
          </w:tcPr>
          <w:p w14:paraId="263295D5" w14:textId="77777777" w:rsidR="00F32A2A" w:rsidRDefault="004E0E02">
            <w:pPr>
              <w:pStyle w:val="-3"/>
              <w:rPr>
                <w:sz w:val="16"/>
                <w:szCs w:val="16"/>
                <w:rtl/>
              </w:rPr>
            </w:pPr>
            <w:r w:rsidRPr="00CF2A74">
              <w:rPr>
                <w:b/>
                <w:bCs/>
                <w:sz w:val="16"/>
                <w:szCs w:val="16"/>
                <w:rtl/>
              </w:rPr>
              <w:t>0</w:t>
            </w:r>
          </w:p>
        </w:tc>
        <w:tc>
          <w:tcPr>
            <w:tcW w:w="957" w:type="dxa"/>
            <w:vAlign w:val="bottom"/>
          </w:tcPr>
          <w:p w14:paraId="7DAAD368" w14:textId="77777777" w:rsidR="00F32A2A" w:rsidRDefault="004E0E02">
            <w:pPr>
              <w:pStyle w:val="-3"/>
              <w:rPr>
                <w:sz w:val="16"/>
                <w:szCs w:val="16"/>
                <w:rtl/>
              </w:rPr>
            </w:pPr>
            <w:r w:rsidRPr="00CF2A74">
              <w:rPr>
                <w:b/>
                <w:bCs/>
                <w:sz w:val="16"/>
                <w:szCs w:val="16"/>
                <w:rtl/>
              </w:rPr>
              <w:t>0</w:t>
            </w:r>
          </w:p>
        </w:tc>
        <w:tc>
          <w:tcPr>
            <w:tcW w:w="807" w:type="dxa"/>
            <w:vAlign w:val="bottom"/>
          </w:tcPr>
          <w:p w14:paraId="1D7D447B" w14:textId="77777777" w:rsidR="00F32A2A" w:rsidRDefault="004E0E02">
            <w:pPr>
              <w:pStyle w:val="-3"/>
              <w:rPr>
                <w:sz w:val="16"/>
                <w:szCs w:val="16"/>
                <w:rtl/>
              </w:rPr>
            </w:pPr>
            <w:r w:rsidRPr="00CF2A74">
              <w:rPr>
                <w:b/>
                <w:bCs/>
                <w:sz w:val="16"/>
                <w:szCs w:val="16"/>
                <w:rtl/>
              </w:rPr>
              <w:t>0</w:t>
            </w:r>
          </w:p>
        </w:tc>
        <w:tc>
          <w:tcPr>
            <w:tcW w:w="1079" w:type="dxa"/>
            <w:vAlign w:val="bottom"/>
          </w:tcPr>
          <w:p w14:paraId="69B8D45C" w14:textId="77777777" w:rsidR="00F32A2A" w:rsidRPr="009A7E4A" w:rsidRDefault="004E0E02">
            <w:pPr>
              <w:pStyle w:val="-3"/>
              <w:rPr>
                <w:sz w:val="16"/>
                <w:szCs w:val="16"/>
                <w:rtl/>
              </w:rPr>
            </w:pPr>
            <w:r w:rsidRPr="009A7E4A">
              <w:rPr>
                <w:b/>
                <w:bCs/>
                <w:sz w:val="16"/>
                <w:szCs w:val="16"/>
                <w:rtl/>
              </w:rPr>
              <w:t>0</w:t>
            </w:r>
          </w:p>
        </w:tc>
        <w:tc>
          <w:tcPr>
            <w:tcW w:w="655" w:type="dxa"/>
            <w:vAlign w:val="bottom"/>
          </w:tcPr>
          <w:p w14:paraId="72B7B7AB" w14:textId="77777777" w:rsidR="00F32A2A" w:rsidRDefault="004E0E02">
            <w:pPr>
              <w:pStyle w:val="-3"/>
              <w:jc w:val="left"/>
              <w:rPr>
                <w:sz w:val="16"/>
                <w:szCs w:val="16"/>
                <w:rtl/>
              </w:rPr>
            </w:pPr>
            <w:r w:rsidRPr="00CF2A74">
              <w:rPr>
                <w:b/>
                <w:bCs/>
                <w:sz w:val="16"/>
                <w:szCs w:val="16"/>
                <w:rtl/>
              </w:rPr>
              <w:t xml:space="preserve"> 0</w:t>
            </w:r>
          </w:p>
        </w:tc>
        <w:tc>
          <w:tcPr>
            <w:tcW w:w="794" w:type="dxa"/>
            <w:vAlign w:val="bottom"/>
          </w:tcPr>
          <w:p w14:paraId="0D0E0AB1" w14:textId="77777777" w:rsidR="004E0E02" w:rsidRPr="00CF2A74" w:rsidRDefault="004E0E02">
            <w:pPr>
              <w:pStyle w:val="-3"/>
              <w:jc w:val="left"/>
              <w:rPr>
                <w:b/>
                <w:bCs/>
                <w:sz w:val="16"/>
                <w:szCs w:val="16"/>
                <w:rtl/>
              </w:rPr>
            </w:pPr>
            <w:r w:rsidRPr="00CF2A74">
              <w:rPr>
                <w:b/>
                <w:bCs/>
                <w:sz w:val="16"/>
                <w:szCs w:val="16"/>
                <w:rtl/>
              </w:rPr>
              <w:t>0</w:t>
            </w:r>
          </w:p>
        </w:tc>
        <w:tc>
          <w:tcPr>
            <w:tcW w:w="936" w:type="dxa"/>
            <w:vAlign w:val="bottom"/>
          </w:tcPr>
          <w:p w14:paraId="6EBCED9B" w14:textId="77777777" w:rsidR="00F32A2A" w:rsidRDefault="004E0E02">
            <w:pPr>
              <w:pStyle w:val="-3"/>
              <w:jc w:val="left"/>
              <w:rPr>
                <w:sz w:val="16"/>
                <w:szCs w:val="16"/>
                <w:rtl/>
              </w:rPr>
            </w:pPr>
            <w:r w:rsidRPr="00CF2A74">
              <w:rPr>
                <w:b/>
                <w:bCs/>
                <w:sz w:val="16"/>
                <w:szCs w:val="16"/>
                <w:rtl/>
              </w:rPr>
              <w:t xml:space="preserve"> 0</w:t>
            </w:r>
          </w:p>
        </w:tc>
        <w:tc>
          <w:tcPr>
            <w:tcW w:w="812" w:type="dxa"/>
            <w:vAlign w:val="bottom"/>
          </w:tcPr>
          <w:p w14:paraId="60F4542F" w14:textId="77777777" w:rsidR="00F32A2A" w:rsidRDefault="004E0E02">
            <w:pPr>
              <w:pStyle w:val="-3"/>
              <w:jc w:val="left"/>
              <w:rPr>
                <w:sz w:val="16"/>
                <w:szCs w:val="16"/>
                <w:rtl/>
              </w:rPr>
            </w:pPr>
            <w:r w:rsidRPr="00CF2A74">
              <w:rPr>
                <w:b/>
                <w:bCs/>
                <w:sz w:val="16"/>
                <w:szCs w:val="16"/>
                <w:rtl/>
              </w:rPr>
              <w:t xml:space="preserve"> 0</w:t>
            </w:r>
          </w:p>
        </w:tc>
        <w:tc>
          <w:tcPr>
            <w:tcW w:w="870" w:type="dxa"/>
            <w:vAlign w:val="bottom"/>
          </w:tcPr>
          <w:p w14:paraId="184E791A" w14:textId="77777777" w:rsidR="00F32A2A" w:rsidRDefault="004E0E02">
            <w:pPr>
              <w:pStyle w:val="-3"/>
              <w:jc w:val="left"/>
              <w:rPr>
                <w:sz w:val="16"/>
                <w:szCs w:val="16"/>
                <w:rtl/>
              </w:rPr>
            </w:pPr>
            <w:r w:rsidRPr="00CF2A74">
              <w:rPr>
                <w:b/>
                <w:bCs/>
                <w:sz w:val="16"/>
                <w:szCs w:val="16"/>
                <w:rtl/>
              </w:rPr>
              <w:t xml:space="preserve"> 0</w:t>
            </w:r>
          </w:p>
        </w:tc>
        <w:tc>
          <w:tcPr>
            <w:tcW w:w="805" w:type="dxa"/>
            <w:vAlign w:val="bottom"/>
          </w:tcPr>
          <w:p w14:paraId="15888EC0" w14:textId="77777777" w:rsidR="00F32A2A" w:rsidRDefault="004E0E02">
            <w:pPr>
              <w:pStyle w:val="-3"/>
              <w:jc w:val="left"/>
              <w:rPr>
                <w:sz w:val="16"/>
                <w:szCs w:val="16"/>
                <w:rtl/>
              </w:rPr>
            </w:pPr>
            <w:r w:rsidRPr="00CF2A74">
              <w:rPr>
                <w:b/>
                <w:bCs/>
                <w:sz w:val="16"/>
                <w:szCs w:val="16"/>
                <w:rtl/>
              </w:rPr>
              <w:t xml:space="preserve"> 0</w:t>
            </w:r>
          </w:p>
        </w:tc>
        <w:tc>
          <w:tcPr>
            <w:tcW w:w="1141" w:type="dxa"/>
            <w:vAlign w:val="bottom"/>
          </w:tcPr>
          <w:p w14:paraId="32D906FC" w14:textId="77777777" w:rsidR="00F32A2A" w:rsidRDefault="004E0E02">
            <w:pPr>
              <w:pStyle w:val="-3"/>
              <w:jc w:val="left"/>
              <w:rPr>
                <w:sz w:val="16"/>
                <w:szCs w:val="16"/>
                <w:rtl/>
              </w:rPr>
            </w:pPr>
            <w:r w:rsidRPr="00CF2A74">
              <w:rPr>
                <w:b/>
                <w:bCs/>
                <w:sz w:val="16"/>
                <w:szCs w:val="16"/>
                <w:rtl/>
              </w:rPr>
              <w:t xml:space="preserve"> 0</w:t>
            </w:r>
          </w:p>
        </w:tc>
        <w:tc>
          <w:tcPr>
            <w:tcW w:w="710" w:type="dxa"/>
            <w:vAlign w:val="bottom"/>
          </w:tcPr>
          <w:p w14:paraId="4AEDC3F8" w14:textId="77777777" w:rsidR="00F32A2A" w:rsidRDefault="004E0E02">
            <w:pPr>
              <w:pStyle w:val="-3"/>
              <w:jc w:val="left"/>
              <w:rPr>
                <w:sz w:val="16"/>
                <w:szCs w:val="16"/>
                <w:rtl/>
              </w:rPr>
            </w:pPr>
            <w:r w:rsidRPr="00CF2A74">
              <w:rPr>
                <w:b/>
                <w:bCs/>
                <w:sz w:val="16"/>
                <w:szCs w:val="16"/>
                <w:rtl/>
              </w:rPr>
              <w:t xml:space="preserve"> 0</w:t>
            </w:r>
          </w:p>
        </w:tc>
        <w:tc>
          <w:tcPr>
            <w:tcW w:w="748" w:type="dxa"/>
            <w:vAlign w:val="bottom"/>
          </w:tcPr>
          <w:p w14:paraId="1E83D371" w14:textId="77777777" w:rsidR="00F32A2A" w:rsidRDefault="004E0E02">
            <w:pPr>
              <w:pStyle w:val="-3"/>
              <w:jc w:val="left"/>
              <w:rPr>
                <w:sz w:val="16"/>
                <w:szCs w:val="16"/>
                <w:rtl/>
              </w:rPr>
            </w:pPr>
            <w:r w:rsidRPr="00CF2A74">
              <w:rPr>
                <w:b/>
                <w:bCs/>
                <w:sz w:val="16"/>
                <w:szCs w:val="16"/>
                <w:rtl/>
              </w:rPr>
              <w:t xml:space="preserve"> 0</w:t>
            </w:r>
          </w:p>
        </w:tc>
      </w:tr>
      <w:tr w:rsidR="004E0E02" w:rsidRPr="00513F0D" w14:paraId="71A6312B" w14:textId="77777777" w:rsidTr="00106371">
        <w:tc>
          <w:tcPr>
            <w:tcW w:w="850" w:type="dxa"/>
          </w:tcPr>
          <w:p w14:paraId="13CD8876" w14:textId="77777777" w:rsidR="004E0E02" w:rsidRPr="00513F0D" w:rsidRDefault="004E0E02" w:rsidP="0084040C">
            <w:pPr>
              <w:pStyle w:val="-7"/>
              <w:bidi w:val="0"/>
              <w:ind w:right="-231"/>
              <w:jc w:val="left"/>
              <w:rPr>
                <w:spacing w:val="-6"/>
                <w:sz w:val="16"/>
                <w:szCs w:val="16"/>
              </w:rPr>
            </w:pPr>
          </w:p>
        </w:tc>
        <w:tc>
          <w:tcPr>
            <w:tcW w:w="2203" w:type="dxa"/>
            <w:vAlign w:val="bottom"/>
          </w:tcPr>
          <w:p w14:paraId="4EF8E5FE" w14:textId="77777777" w:rsidR="004E0E02" w:rsidRPr="00513F0D" w:rsidRDefault="004E0E02" w:rsidP="00FD7EFC">
            <w:pPr>
              <w:pStyle w:val="-0"/>
              <w:rPr>
                <w:sz w:val="16"/>
                <w:szCs w:val="16"/>
                <w:rtl/>
              </w:rPr>
            </w:pPr>
            <w:r w:rsidRPr="00CF2A74">
              <w:rPr>
                <w:rFonts w:hint="eastAsia"/>
                <w:sz w:val="16"/>
                <w:szCs w:val="16"/>
                <w:rtl/>
              </w:rPr>
              <w:t>רווח</w:t>
            </w:r>
            <w:r w:rsidRPr="00CF2A74">
              <w:rPr>
                <w:sz w:val="16"/>
                <w:szCs w:val="16"/>
                <w:rtl/>
              </w:rPr>
              <w:t xml:space="preserve"> </w:t>
            </w:r>
            <w:r w:rsidRPr="00CF2A74">
              <w:rPr>
                <w:rFonts w:hint="eastAsia"/>
                <w:sz w:val="16"/>
                <w:szCs w:val="16"/>
                <w:rtl/>
              </w:rPr>
              <w:t>נקי</w:t>
            </w:r>
            <w:r w:rsidRPr="00CF2A74">
              <w:rPr>
                <w:sz w:val="16"/>
                <w:szCs w:val="16"/>
                <w:rtl/>
              </w:rPr>
              <w:t xml:space="preserve"> </w:t>
            </w:r>
            <w:r w:rsidR="00FD7EFC" w:rsidRPr="00CF2A74">
              <w:rPr>
                <w:rFonts w:hint="eastAsia"/>
                <w:sz w:val="16"/>
                <w:szCs w:val="16"/>
                <w:rtl/>
              </w:rPr>
              <w:t>ב</w:t>
            </w:r>
            <w:r w:rsidR="00FD7EFC">
              <w:rPr>
                <w:rFonts w:hint="cs"/>
                <w:sz w:val="16"/>
                <w:szCs w:val="16"/>
                <w:rtl/>
              </w:rPr>
              <w:t>שנה</w:t>
            </w:r>
          </w:p>
        </w:tc>
        <w:tc>
          <w:tcPr>
            <w:tcW w:w="766" w:type="dxa"/>
            <w:vAlign w:val="bottom"/>
          </w:tcPr>
          <w:p w14:paraId="3D9C13EB" w14:textId="77777777" w:rsidR="004E0E02" w:rsidRPr="00513F0D" w:rsidRDefault="004E0E02" w:rsidP="0084040C">
            <w:pPr>
              <w:pStyle w:val="-3"/>
              <w:rPr>
                <w:sz w:val="16"/>
                <w:szCs w:val="16"/>
                <w:rtl/>
              </w:rPr>
            </w:pPr>
            <w:r w:rsidRPr="00CF2A74">
              <w:rPr>
                <w:sz w:val="16"/>
                <w:szCs w:val="16"/>
                <w:rtl/>
              </w:rPr>
              <w:t>-</w:t>
            </w:r>
          </w:p>
        </w:tc>
        <w:tc>
          <w:tcPr>
            <w:tcW w:w="846" w:type="dxa"/>
            <w:vAlign w:val="bottom"/>
          </w:tcPr>
          <w:p w14:paraId="27B505A0" w14:textId="77777777" w:rsidR="004E0E02" w:rsidRPr="00513F0D" w:rsidRDefault="004E0E02" w:rsidP="0084040C">
            <w:pPr>
              <w:pStyle w:val="-3"/>
              <w:rPr>
                <w:sz w:val="16"/>
                <w:szCs w:val="16"/>
                <w:rtl/>
              </w:rPr>
            </w:pPr>
            <w:r w:rsidRPr="00CF2A74">
              <w:rPr>
                <w:sz w:val="16"/>
                <w:szCs w:val="16"/>
                <w:rtl/>
              </w:rPr>
              <w:t>-</w:t>
            </w:r>
          </w:p>
        </w:tc>
        <w:tc>
          <w:tcPr>
            <w:tcW w:w="957" w:type="dxa"/>
            <w:vAlign w:val="bottom"/>
          </w:tcPr>
          <w:p w14:paraId="66A58A23" w14:textId="77777777" w:rsidR="004E0E02" w:rsidRPr="00513F0D" w:rsidRDefault="004E0E02" w:rsidP="0084040C">
            <w:pPr>
              <w:pStyle w:val="-3"/>
              <w:rPr>
                <w:sz w:val="16"/>
                <w:szCs w:val="16"/>
                <w:rtl/>
              </w:rPr>
            </w:pPr>
            <w:r w:rsidRPr="00CF2A74">
              <w:rPr>
                <w:sz w:val="16"/>
                <w:szCs w:val="16"/>
                <w:rtl/>
              </w:rPr>
              <w:t>-</w:t>
            </w:r>
          </w:p>
        </w:tc>
        <w:tc>
          <w:tcPr>
            <w:tcW w:w="807" w:type="dxa"/>
            <w:vAlign w:val="bottom"/>
          </w:tcPr>
          <w:p w14:paraId="77B157B3" w14:textId="77777777" w:rsidR="004E0E02" w:rsidRPr="00513F0D" w:rsidRDefault="004E0E02" w:rsidP="0084040C">
            <w:pPr>
              <w:pStyle w:val="-3"/>
              <w:rPr>
                <w:sz w:val="16"/>
                <w:szCs w:val="16"/>
                <w:rtl/>
              </w:rPr>
            </w:pPr>
            <w:r w:rsidRPr="00CF2A74">
              <w:rPr>
                <w:sz w:val="16"/>
                <w:szCs w:val="16"/>
                <w:rtl/>
              </w:rPr>
              <w:t>-</w:t>
            </w:r>
          </w:p>
        </w:tc>
        <w:tc>
          <w:tcPr>
            <w:tcW w:w="1079" w:type="dxa"/>
            <w:vAlign w:val="bottom"/>
          </w:tcPr>
          <w:p w14:paraId="697E58F3"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2F2743E9" w14:textId="77777777" w:rsidR="004E0E02" w:rsidRPr="00513F0D" w:rsidRDefault="004E0E02" w:rsidP="0084040C">
            <w:pPr>
              <w:pStyle w:val="-3"/>
              <w:jc w:val="left"/>
              <w:rPr>
                <w:sz w:val="16"/>
                <w:szCs w:val="16"/>
                <w:rtl/>
              </w:rPr>
            </w:pPr>
            <w:r w:rsidRPr="00CF2A74">
              <w:rPr>
                <w:sz w:val="16"/>
                <w:szCs w:val="16"/>
                <w:rtl/>
              </w:rPr>
              <w:t xml:space="preserve"> -</w:t>
            </w:r>
          </w:p>
        </w:tc>
        <w:tc>
          <w:tcPr>
            <w:tcW w:w="794" w:type="dxa"/>
            <w:vAlign w:val="bottom"/>
          </w:tcPr>
          <w:p w14:paraId="10650F20" w14:textId="77777777" w:rsidR="004E0E02" w:rsidRPr="00CF2A74" w:rsidRDefault="004E0E02" w:rsidP="0084040C">
            <w:pPr>
              <w:pStyle w:val="-3"/>
              <w:jc w:val="left"/>
              <w:rPr>
                <w:sz w:val="16"/>
                <w:szCs w:val="16"/>
                <w:rtl/>
              </w:rPr>
            </w:pPr>
            <w:r w:rsidRPr="00CF2A74">
              <w:rPr>
                <w:sz w:val="16"/>
                <w:szCs w:val="16"/>
                <w:rtl/>
              </w:rPr>
              <w:t>-</w:t>
            </w:r>
          </w:p>
        </w:tc>
        <w:tc>
          <w:tcPr>
            <w:tcW w:w="936" w:type="dxa"/>
            <w:vAlign w:val="bottom"/>
          </w:tcPr>
          <w:p w14:paraId="1001EB10" w14:textId="77777777" w:rsidR="004E0E02" w:rsidRPr="00513F0D" w:rsidRDefault="004E0E02" w:rsidP="0084040C">
            <w:pPr>
              <w:pStyle w:val="-3"/>
              <w:jc w:val="left"/>
              <w:rPr>
                <w:sz w:val="16"/>
                <w:szCs w:val="16"/>
                <w:rtl/>
              </w:rPr>
            </w:pPr>
            <w:r w:rsidRPr="00CF2A74">
              <w:rPr>
                <w:sz w:val="16"/>
                <w:szCs w:val="16"/>
                <w:rtl/>
              </w:rPr>
              <w:t xml:space="preserve"> -</w:t>
            </w:r>
          </w:p>
        </w:tc>
        <w:tc>
          <w:tcPr>
            <w:tcW w:w="812" w:type="dxa"/>
            <w:vAlign w:val="bottom"/>
          </w:tcPr>
          <w:p w14:paraId="34A36D46" w14:textId="77777777" w:rsidR="004E0E02" w:rsidRPr="00513F0D" w:rsidRDefault="004E0E02" w:rsidP="0084040C">
            <w:pPr>
              <w:pStyle w:val="-3"/>
              <w:jc w:val="left"/>
              <w:rPr>
                <w:sz w:val="16"/>
                <w:szCs w:val="16"/>
                <w:rtl/>
              </w:rPr>
            </w:pPr>
            <w:r w:rsidRPr="00CF2A74">
              <w:rPr>
                <w:sz w:val="16"/>
                <w:szCs w:val="16"/>
                <w:rtl/>
              </w:rPr>
              <w:t xml:space="preserve"> -</w:t>
            </w:r>
          </w:p>
        </w:tc>
        <w:tc>
          <w:tcPr>
            <w:tcW w:w="870" w:type="dxa"/>
            <w:vAlign w:val="bottom"/>
          </w:tcPr>
          <w:p w14:paraId="7CA3F390" w14:textId="77777777" w:rsidR="004E0E02" w:rsidRPr="00513F0D" w:rsidRDefault="004E0E02" w:rsidP="0084040C">
            <w:pPr>
              <w:pStyle w:val="-3"/>
              <w:jc w:val="left"/>
              <w:rPr>
                <w:sz w:val="16"/>
                <w:szCs w:val="16"/>
                <w:rtl/>
              </w:rPr>
            </w:pPr>
            <w:r w:rsidRPr="00CF2A74">
              <w:rPr>
                <w:sz w:val="16"/>
                <w:szCs w:val="16"/>
                <w:rtl/>
              </w:rPr>
              <w:t xml:space="preserve"> 0</w:t>
            </w:r>
          </w:p>
        </w:tc>
        <w:tc>
          <w:tcPr>
            <w:tcW w:w="805" w:type="dxa"/>
            <w:vAlign w:val="bottom"/>
          </w:tcPr>
          <w:p w14:paraId="38C3D30C" w14:textId="77777777" w:rsidR="004E0E02" w:rsidRPr="00513F0D" w:rsidRDefault="004E0E02" w:rsidP="0084040C">
            <w:pPr>
              <w:pStyle w:val="-3"/>
              <w:jc w:val="left"/>
              <w:rPr>
                <w:sz w:val="16"/>
                <w:szCs w:val="16"/>
                <w:rtl/>
              </w:rPr>
            </w:pPr>
            <w:r w:rsidRPr="00CF2A74">
              <w:rPr>
                <w:sz w:val="16"/>
                <w:szCs w:val="16"/>
                <w:rtl/>
              </w:rPr>
              <w:t xml:space="preserve"> -</w:t>
            </w:r>
          </w:p>
        </w:tc>
        <w:tc>
          <w:tcPr>
            <w:tcW w:w="1141" w:type="dxa"/>
            <w:vAlign w:val="bottom"/>
          </w:tcPr>
          <w:p w14:paraId="4B845763" w14:textId="77777777" w:rsidR="004E0E02" w:rsidRPr="00513F0D" w:rsidRDefault="004E0E02" w:rsidP="0084040C">
            <w:pPr>
              <w:pStyle w:val="-3"/>
              <w:jc w:val="left"/>
              <w:rPr>
                <w:sz w:val="16"/>
                <w:szCs w:val="16"/>
                <w:rtl/>
              </w:rPr>
            </w:pPr>
            <w:r w:rsidRPr="00CF2A74">
              <w:rPr>
                <w:sz w:val="16"/>
                <w:szCs w:val="16"/>
                <w:rtl/>
              </w:rPr>
              <w:t xml:space="preserve"> 0</w:t>
            </w:r>
          </w:p>
        </w:tc>
        <w:tc>
          <w:tcPr>
            <w:tcW w:w="710" w:type="dxa"/>
            <w:vAlign w:val="bottom"/>
          </w:tcPr>
          <w:p w14:paraId="2F195D9D" w14:textId="77777777" w:rsidR="004E0E02" w:rsidRPr="00513F0D" w:rsidRDefault="004E0E02" w:rsidP="0084040C">
            <w:pPr>
              <w:pStyle w:val="-3"/>
              <w:jc w:val="left"/>
              <w:rPr>
                <w:sz w:val="16"/>
                <w:szCs w:val="16"/>
                <w:rtl/>
              </w:rPr>
            </w:pPr>
            <w:r w:rsidRPr="00CF2A74">
              <w:rPr>
                <w:sz w:val="16"/>
                <w:szCs w:val="16"/>
                <w:rtl/>
              </w:rPr>
              <w:t xml:space="preserve"> 0</w:t>
            </w:r>
          </w:p>
        </w:tc>
        <w:tc>
          <w:tcPr>
            <w:tcW w:w="748" w:type="dxa"/>
            <w:vAlign w:val="bottom"/>
          </w:tcPr>
          <w:p w14:paraId="7B29120B" w14:textId="77777777" w:rsidR="004E0E02" w:rsidRPr="00513F0D" w:rsidRDefault="004E0E02" w:rsidP="0084040C">
            <w:pPr>
              <w:pStyle w:val="-3"/>
              <w:jc w:val="left"/>
              <w:rPr>
                <w:sz w:val="16"/>
                <w:szCs w:val="16"/>
                <w:rtl/>
              </w:rPr>
            </w:pPr>
            <w:r w:rsidRPr="00CF2A74">
              <w:rPr>
                <w:sz w:val="16"/>
                <w:szCs w:val="16"/>
                <w:rtl/>
              </w:rPr>
              <w:t xml:space="preserve"> 0</w:t>
            </w:r>
          </w:p>
        </w:tc>
      </w:tr>
      <w:tr w:rsidR="004E0E02" w:rsidRPr="00513F0D" w14:paraId="4B04DB67" w14:textId="77777777" w:rsidTr="00106371">
        <w:tc>
          <w:tcPr>
            <w:tcW w:w="850" w:type="dxa"/>
          </w:tcPr>
          <w:p w14:paraId="0FB94485" w14:textId="77777777" w:rsidR="004E0E02" w:rsidRPr="00513F0D" w:rsidRDefault="004E0E02" w:rsidP="00141F15">
            <w:pPr>
              <w:pStyle w:val="-7"/>
              <w:bidi w:val="0"/>
              <w:ind w:right="-231"/>
              <w:jc w:val="left"/>
              <w:rPr>
                <w:spacing w:val="-6"/>
                <w:sz w:val="16"/>
                <w:szCs w:val="16"/>
                <w:rtl/>
              </w:rPr>
            </w:pPr>
          </w:p>
        </w:tc>
        <w:tc>
          <w:tcPr>
            <w:tcW w:w="2203" w:type="dxa"/>
            <w:vAlign w:val="bottom"/>
          </w:tcPr>
          <w:p w14:paraId="51866C92" w14:textId="77777777" w:rsidR="004E0E02" w:rsidRPr="00513F0D" w:rsidRDefault="004E0E02" w:rsidP="00141F15">
            <w:pPr>
              <w:pStyle w:val="-0"/>
              <w:rPr>
                <w:sz w:val="16"/>
                <w:szCs w:val="16"/>
                <w:rtl/>
              </w:rPr>
            </w:pPr>
            <w:r w:rsidRPr="00CF2A74">
              <w:rPr>
                <w:rFonts w:hint="eastAsia"/>
                <w:sz w:val="16"/>
                <w:szCs w:val="16"/>
                <w:rtl/>
              </w:rPr>
              <w:t>רווח</w:t>
            </w:r>
            <w:r w:rsidRPr="00CF2A74">
              <w:rPr>
                <w:sz w:val="16"/>
                <w:szCs w:val="16"/>
                <w:rtl/>
              </w:rPr>
              <w:t xml:space="preserve"> (הפסד) </w:t>
            </w:r>
            <w:r w:rsidRPr="00CF2A74">
              <w:rPr>
                <w:rFonts w:hint="eastAsia"/>
                <w:sz w:val="16"/>
                <w:szCs w:val="16"/>
                <w:rtl/>
              </w:rPr>
              <w:t>כולל</w:t>
            </w:r>
            <w:r w:rsidRPr="00CF2A74">
              <w:rPr>
                <w:sz w:val="16"/>
                <w:szCs w:val="16"/>
                <w:rtl/>
              </w:rPr>
              <w:t xml:space="preserve"> </w:t>
            </w:r>
            <w:r w:rsidRPr="00CF2A74">
              <w:rPr>
                <w:rFonts w:hint="eastAsia"/>
                <w:sz w:val="16"/>
                <w:szCs w:val="16"/>
                <w:rtl/>
              </w:rPr>
              <w:t>אחר</w:t>
            </w:r>
            <w:r w:rsidRPr="00CF2A74">
              <w:rPr>
                <w:sz w:val="16"/>
                <w:szCs w:val="16"/>
                <w:rtl/>
              </w:rPr>
              <w:t xml:space="preserve">, </w:t>
            </w:r>
            <w:r w:rsidRPr="00CF2A74">
              <w:rPr>
                <w:rFonts w:hint="eastAsia"/>
                <w:sz w:val="16"/>
                <w:szCs w:val="16"/>
                <w:rtl/>
              </w:rPr>
              <w:t>נטו</w:t>
            </w:r>
            <w:r w:rsidRPr="00CF2A74">
              <w:rPr>
                <w:sz w:val="16"/>
                <w:szCs w:val="16"/>
                <w:rtl/>
              </w:rPr>
              <w:t xml:space="preserve"> </w:t>
            </w:r>
            <w:r w:rsidRPr="00CF2A74">
              <w:rPr>
                <w:rFonts w:hint="eastAsia"/>
                <w:sz w:val="16"/>
                <w:szCs w:val="16"/>
                <w:rtl/>
              </w:rPr>
              <w:t>לאחר</w:t>
            </w:r>
            <w:r w:rsidRPr="00CF2A74">
              <w:rPr>
                <w:sz w:val="16"/>
                <w:szCs w:val="16"/>
                <w:rtl/>
              </w:rPr>
              <w:t xml:space="preserve"> </w:t>
            </w:r>
            <w:r w:rsidRPr="00CF2A74">
              <w:rPr>
                <w:rFonts w:hint="eastAsia"/>
                <w:sz w:val="16"/>
                <w:szCs w:val="16"/>
                <w:rtl/>
              </w:rPr>
              <w:t>השפעת</w:t>
            </w:r>
            <w:r w:rsidRPr="00CF2A74">
              <w:rPr>
                <w:sz w:val="16"/>
                <w:szCs w:val="16"/>
                <w:rtl/>
              </w:rPr>
              <w:t xml:space="preserve"> </w:t>
            </w:r>
            <w:r w:rsidRPr="00CF2A74">
              <w:rPr>
                <w:rFonts w:hint="eastAsia"/>
                <w:sz w:val="16"/>
                <w:szCs w:val="16"/>
                <w:rtl/>
              </w:rPr>
              <w:t>המס</w:t>
            </w:r>
          </w:p>
        </w:tc>
        <w:tc>
          <w:tcPr>
            <w:tcW w:w="766" w:type="dxa"/>
            <w:vAlign w:val="bottom"/>
          </w:tcPr>
          <w:p w14:paraId="2CFFF71B" w14:textId="77777777" w:rsidR="004E0E02" w:rsidRPr="00513F0D" w:rsidRDefault="004E0E02" w:rsidP="00141F15">
            <w:pPr>
              <w:pStyle w:val="-3"/>
              <w:rPr>
                <w:sz w:val="16"/>
                <w:szCs w:val="16"/>
                <w:rtl/>
              </w:rPr>
            </w:pPr>
            <w:r w:rsidRPr="00CF2A74">
              <w:rPr>
                <w:sz w:val="16"/>
                <w:szCs w:val="16"/>
                <w:rtl/>
              </w:rPr>
              <w:t>-</w:t>
            </w:r>
          </w:p>
        </w:tc>
        <w:tc>
          <w:tcPr>
            <w:tcW w:w="846" w:type="dxa"/>
            <w:vAlign w:val="bottom"/>
          </w:tcPr>
          <w:p w14:paraId="72B78705" w14:textId="77777777" w:rsidR="004E0E02" w:rsidRPr="00513F0D" w:rsidRDefault="004E0E02" w:rsidP="00141F15">
            <w:pPr>
              <w:pStyle w:val="-3"/>
              <w:rPr>
                <w:sz w:val="16"/>
                <w:szCs w:val="16"/>
                <w:rtl/>
              </w:rPr>
            </w:pPr>
            <w:r w:rsidRPr="00CF2A74">
              <w:rPr>
                <w:sz w:val="16"/>
                <w:szCs w:val="16"/>
                <w:rtl/>
              </w:rPr>
              <w:t>-</w:t>
            </w:r>
          </w:p>
        </w:tc>
        <w:tc>
          <w:tcPr>
            <w:tcW w:w="957" w:type="dxa"/>
            <w:vAlign w:val="bottom"/>
          </w:tcPr>
          <w:p w14:paraId="05C3BE36" w14:textId="77777777" w:rsidR="004E0E02" w:rsidRPr="00513F0D" w:rsidRDefault="004E0E02" w:rsidP="00141F15">
            <w:pPr>
              <w:pStyle w:val="-3"/>
              <w:rPr>
                <w:sz w:val="16"/>
                <w:szCs w:val="16"/>
                <w:rtl/>
              </w:rPr>
            </w:pPr>
            <w:r w:rsidRPr="00CF2A74">
              <w:rPr>
                <w:sz w:val="16"/>
                <w:szCs w:val="16"/>
                <w:rtl/>
              </w:rPr>
              <w:t>-</w:t>
            </w:r>
          </w:p>
        </w:tc>
        <w:tc>
          <w:tcPr>
            <w:tcW w:w="807" w:type="dxa"/>
            <w:vAlign w:val="bottom"/>
          </w:tcPr>
          <w:p w14:paraId="4164C69A" w14:textId="77777777" w:rsidR="004E0E02" w:rsidRPr="00513F0D" w:rsidRDefault="004E0E02" w:rsidP="00141F15">
            <w:pPr>
              <w:pStyle w:val="-3"/>
              <w:rPr>
                <w:sz w:val="16"/>
                <w:szCs w:val="16"/>
                <w:rtl/>
              </w:rPr>
            </w:pPr>
            <w:r w:rsidRPr="00CF2A74">
              <w:rPr>
                <w:sz w:val="16"/>
                <w:szCs w:val="16"/>
                <w:rtl/>
              </w:rPr>
              <w:t>-</w:t>
            </w:r>
          </w:p>
        </w:tc>
        <w:tc>
          <w:tcPr>
            <w:tcW w:w="1079" w:type="dxa"/>
            <w:vAlign w:val="bottom"/>
          </w:tcPr>
          <w:p w14:paraId="5223E97F" w14:textId="77777777" w:rsidR="004E0E02" w:rsidRPr="009A7E4A" w:rsidRDefault="004E0E02" w:rsidP="00141F15">
            <w:pPr>
              <w:pStyle w:val="-3"/>
              <w:rPr>
                <w:sz w:val="16"/>
                <w:szCs w:val="16"/>
                <w:rtl/>
              </w:rPr>
            </w:pPr>
            <w:r w:rsidRPr="009A7E4A">
              <w:rPr>
                <w:sz w:val="16"/>
                <w:szCs w:val="16"/>
                <w:rtl/>
              </w:rPr>
              <w:t>-</w:t>
            </w:r>
          </w:p>
        </w:tc>
        <w:tc>
          <w:tcPr>
            <w:tcW w:w="655" w:type="dxa"/>
            <w:vAlign w:val="bottom"/>
          </w:tcPr>
          <w:p w14:paraId="46C18806" w14:textId="77777777" w:rsidR="004E0E02" w:rsidRPr="00513F0D" w:rsidRDefault="004E0E02" w:rsidP="00141F15">
            <w:pPr>
              <w:pStyle w:val="-3"/>
              <w:jc w:val="left"/>
              <w:rPr>
                <w:sz w:val="16"/>
                <w:szCs w:val="16"/>
                <w:rtl/>
              </w:rPr>
            </w:pPr>
            <w:r w:rsidRPr="00CF2A74">
              <w:rPr>
                <w:sz w:val="16"/>
                <w:szCs w:val="16"/>
                <w:rtl/>
              </w:rPr>
              <w:t xml:space="preserve"> -</w:t>
            </w:r>
          </w:p>
        </w:tc>
        <w:tc>
          <w:tcPr>
            <w:tcW w:w="794" w:type="dxa"/>
            <w:vAlign w:val="bottom"/>
          </w:tcPr>
          <w:p w14:paraId="098C34AF" w14:textId="77777777" w:rsidR="004E0E02" w:rsidRPr="00CF2A74" w:rsidRDefault="004E0E02" w:rsidP="00141F15">
            <w:pPr>
              <w:pStyle w:val="-3"/>
              <w:jc w:val="left"/>
              <w:rPr>
                <w:sz w:val="16"/>
                <w:szCs w:val="16"/>
                <w:rtl/>
              </w:rPr>
            </w:pPr>
            <w:r w:rsidRPr="00CF2A74">
              <w:rPr>
                <w:sz w:val="16"/>
                <w:szCs w:val="16"/>
                <w:rtl/>
              </w:rPr>
              <w:t>-</w:t>
            </w:r>
          </w:p>
        </w:tc>
        <w:tc>
          <w:tcPr>
            <w:tcW w:w="936" w:type="dxa"/>
            <w:vAlign w:val="bottom"/>
          </w:tcPr>
          <w:p w14:paraId="62CDE3A1" w14:textId="77777777" w:rsidR="004E0E02" w:rsidRPr="00513F0D" w:rsidRDefault="004E0E02" w:rsidP="00141F15">
            <w:pPr>
              <w:pStyle w:val="-3"/>
              <w:jc w:val="left"/>
              <w:rPr>
                <w:sz w:val="16"/>
                <w:szCs w:val="16"/>
                <w:rtl/>
              </w:rPr>
            </w:pPr>
            <w:r w:rsidRPr="00CF2A74">
              <w:rPr>
                <w:sz w:val="16"/>
                <w:szCs w:val="16"/>
                <w:rtl/>
              </w:rPr>
              <w:t xml:space="preserve"> -</w:t>
            </w:r>
          </w:p>
        </w:tc>
        <w:tc>
          <w:tcPr>
            <w:tcW w:w="812" w:type="dxa"/>
            <w:vAlign w:val="bottom"/>
          </w:tcPr>
          <w:p w14:paraId="0FA29153" w14:textId="77777777" w:rsidR="004E0E02" w:rsidRPr="00513F0D" w:rsidRDefault="004E0E02" w:rsidP="00141F15">
            <w:pPr>
              <w:pStyle w:val="-3"/>
              <w:jc w:val="left"/>
              <w:rPr>
                <w:sz w:val="16"/>
                <w:szCs w:val="16"/>
                <w:rtl/>
              </w:rPr>
            </w:pPr>
            <w:r w:rsidRPr="00CF2A74">
              <w:rPr>
                <w:sz w:val="16"/>
                <w:szCs w:val="16"/>
                <w:rtl/>
              </w:rPr>
              <w:t xml:space="preserve"> 0</w:t>
            </w:r>
          </w:p>
        </w:tc>
        <w:tc>
          <w:tcPr>
            <w:tcW w:w="870" w:type="dxa"/>
            <w:vAlign w:val="bottom"/>
          </w:tcPr>
          <w:p w14:paraId="6AADDDF7" w14:textId="77777777" w:rsidR="004E0E02" w:rsidRPr="00513F0D" w:rsidRDefault="004E0E02" w:rsidP="00141F15">
            <w:pPr>
              <w:pStyle w:val="-3"/>
              <w:jc w:val="left"/>
              <w:rPr>
                <w:sz w:val="16"/>
                <w:szCs w:val="16"/>
                <w:rtl/>
              </w:rPr>
            </w:pPr>
            <w:r w:rsidRPr="00CF2A74">
              <w:rPr>
                <w:sz w:val="16"/>
                <w:szCs w:val="16"/>
                <w:rtl/>
              </w:rPr>
              <w:t xml:space="preserve"> -</w:t>
            </w:r>
          </w:p>
        </w:tc>
        <w:tc>
          <w:tcPr>
            <w:tcW w:w="805" w:type="dxa"/>
            <w:vAlign w:val="bottom"/>
          </w:tcPr>
          <w:p w14:paraId="2B292B24" w14:textId="77777777" w:rsidR="004E0E02" w:rsidRPr="00513F0D" w:rsidRDefault="004E0E02" w:rsidP="00141F15">
            <w:pPr>
              <w:pStyle w:val="-3"/>
              <w:jc w:val="left"/>
              <w:rPr>
                <w:sz w:val="16"/>
                <w:szCs w:val="16"/>
                <w:rtl/>
              </w:rPr>
            </w:pPr>
            <w:r w:rsidRPr="00CF2A74">
              <w:rPr>
                <w:sz w:val="16"/>
                <w:szCs w:val="16"/>
                <w:rtl/>
              </w:rPr>
              <w:t xml:space="preserve"> -</w:t>
            </w:r>
          </w:p>
        </w:tc>
        <w:tc>
          <w:tcPr>
            <w:tcW w:w="1141" w:type="dxa"/>
            <w:vAlign w:val="bottom"/>
          </w:tcPr>
          <w:p w14:paraId="6568D8D2" w14:textId="77777777" w:rsidR="004E0E02" w:rsidRPr="00513F0D" w:rsidRDefault="004E0E02" w:rsidP="00141F15">
            <w:pPr>
              <w:pStyle w:val="-3"/>
              <w:jc w:val="left"/>
              <w:rPr>
                <w:sz w:val="16"/>
                <w:szCs w:val="16"/>
                <w:rtl/>
              </w:rPr>
            </w:pPr>
            <w:r w:rsidRPr="00CF2A74">
              <w:rPr>
                <w:sz w:val="16"/>
                <w:szCs w:val="16"/>
                <w:rtl/>
              </w:rPr>
              <w:t xml:space="preserve"> 0</w:t>
            </w:r>
          </w:p>
        </w:tc>
        <w:tc>
          <w:tcPr>
            <w:tcW w:w="710" w:type="dxa"/>
            <w:vAlign w:val="bottom"/>
          </w:tcPr>
          <w:p w14:paraId="0252DAD7" w14:textId="77777777" w:rsidR="004E0E02" w:rsidRPr="00513F0D" w:rsidRDefault="004E0E02" w:rsidP="00141F15">
            <w:pPr>
              <w:pStyle w:val="-3"/>
              <w:jc w:val="left"/>
              <w:rPr>
                <w:sz w:val="16"/>
                <w:szCs w:val="16"/>
                <w:rtl/>
              </w:rPr>
            </w:pPr>
            <w:r w:rsidRPr="00CF2A74">
              <w:rPr>
                <w:sz w:val="16"/>
                <w:szCs w:val="16"/>
                <w:rtl/>
              </w:rPr>
              <w:t xml:space="preserve"> 0</w:t>
            </w:r>
          </w:p>
        </w:tc>
        <w:tc>
          <w:tcPr>
            <w:tcW w:w="748" w:type="dxa"/>
            <w:vAlign w:val="bottom"/>
          </w:tcPr>
          <w:p w14:paraId="3FA228D2"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24305B80" w14:textId="77777777" w:rsidTr="00106371">
        <w:tc>
          <w:tcPr>
            <w:tcW w:w="850" w:type="dxa"/>
          </w:tcPr>
          <w:p w14:paraId="1461EA78" w14:textId="77777777" w:rsidR="004E0E02" w:rsidRPr="00513F0D" w:rsidRDefault="004E0E02" w:rsidP="0084040C">
            <w:pPr>
              <w:pStyle w:val="-7"/>
              <w:bidi w:val="0"/>
              <w:ind w:right="-231"/>
              <w:jc w:val="left"/>
              <w:rPr>
                <w:spacing w:val="-6"/>
                <w:sz w:val="16"/>
                <w:szCs w:val="16"/>
                <w:rtl/>
              </w:rPr>
            </w:pPr>
          </w:p>
        </w:tc>
        <w:tc>
          <w:tcPr>
            <w:tcW w:w="2203" w:type="dxa"/>
            <w:vAlign w:val="bottom"/>
          </w:tcPr>
          <w:p w14:paraId="0B6CAE3A" w14:textId="77777777" w:rsidR="004E0E02" w:rsidRPr="00513F0D" w:rsidRDefault="004E0E02" w:rsidP="00B33F7D">
            <w:pPr>
              <w:pStyle w:val="-0"/>
              <w:rPr>
                <w:sz w:val="16"/>
                <w:szCs w:val="16"/>
                <w:rtl/>
              </w:rPr>
            </w:pPr>
            <w:r w:rsidRPr="00CF2A74">
              <w:rPr>
                <w:rFonts w:hint="eastAsia"/>
                <w:sz w:val="16"/>
                <w:szCs w:val="16"/>
                <w:rtl/>
              </w:rPr>
              <w:t>דיבידנד</w:t>
            </w:r>
            <w:r w:rsidRPr="00CF2A74">
              <w:rPr>
                <w:sz w:val="16"/>
                <w:szCs w:val="16"/>
                <w:rtl/>
              </w:rPr>
              <w:t xml:space="preserve"> </w:t>
            </w:r>
          </w:p>
        </w:tc>
        <w:tc>
          <w:tcPr>
            <w:tcW w:w="766" w:type="dxa"/>
            <w:vAlign w:val="bottom"/>
          </w:tcPr>
          <w:p w14:paraId="63649620" w14:textId="77777777" w:rsidR="004E0E02" w:rsidRPr="00513F0D" w:rsidRDefault="004E0E02" w:rsidP="0084040C">
            <w:pPr>
              <w:pStyle w:val="-3"/>
              <w:rPr>
                <w:sz w:val="16"/>
                <w:szCs w:val="16"/>
                <w:rtl/>
              </w:rPr>
            </w:pPr>
            <w:r w:rsidRPr="00CF2A74">
              <w:rPr>
                <w:sz w:val="16"/>
                <w:szCs w:val="16"/>
                <w:rtl/>
              </w:rPr>
              <w:t>-</w:t>
            </w:r>
          </w:p>
        </w:tc>
        <w:tc>
          <w:tcPr>
            <w:tcW w:w="846" w:type="dxa"/>
            <w:vAlign w:val="bottom"/>
          </w:tcPr>
          <w:p w14:paraId="24E0262A" w14:textId="77777777" w:rsidR="004E0E02" w:rsidRPr="00513F0D" w:rsidRDefault="004E0E02" w:rsidP="0084040C">
            <w:pPr>
              <w:pStyle w:val="-3"/>
              <w:rPr>
                <w:sz w:val="16"/>
                <w:szCs w:val="16"/>
                <w:rtl/>
              </w:rPr>
            </w:pPr>
            <w:r w:rsidRPr="00CF2A74">
              <w:rPr>
                <w:sz w:val="16"/>
                <w:szCs w:val="16"/>
                <w:rtl/>
              </w:rPr>
              <w:t>-</w:t>
            </w:r>
          </w:p>
        </w:tc>
        <w:tc>
          <w:tcPr>
            <w:tcW w:w="957" w:type="dxa"/>
            <w:vAlign w:val="bottom"/>
          </w:tcPr>
          <w:p w14:paraId="4624D93F" w14:textId="77777777" w:rsidR="004E0E02" w:rsidRPr="00513F0D" w:rsidRDefault="004E0E02" w:rsidP="0084040C">
            <w:pPr>
              <w:pStyle w:val="-3"/>
              <w:rPr>
                <w:sz w:val="16"/>
                <w:szCs w:val="16"/>
                <w:rtl/>
              </w:rPr>
            </w:pPr>
            <w:r w:rsidRPr="00CF2A74">
              <w:rPr>
                <w:sz w:val="16"/>
                <w:szCs w:val="16"/>
                <w:rtl/>
              </w:rPr>
              <w:t>-</w:t>
            </w:r>
          </w:p>
        </w:tc>
        <w:tc>
          <w:tcPr>
            <w:tcW w:w="807" w:type="dxa"/>
            <w:vAlign w:val="bottom"/>
          </w:tcPr>
          <w:p w14:paraId="0EAF2460" w14:textId="77777777" w:rsidR="004E0E02" w:rsidRPr="00513F0D" w:rsidRDefault="004E0E02" w:rsidP="0084040C">
            <w:pPr>
              <w:pStyle w:val="-3"/>
              <w:rPr>
                <w:sz w:val="16"/>
                <w:szCs w:val="16"/>
                <w:rtl/>
              </w:rPr>
            </w:pPr>
            <w:r w:rsidRPr="00CF2A74">
              <w:rPr>
                <w:sz w:val="16"/>
                <w:szCs w:val="16"/>
                <w:rtl/>
              </w:rPr>
              <w:t>-</w:t>
            </w:r>
          </w:p>
        </w:tc>
        <w:tc>
          <w:tcPr>
            <w:tcW w:w="1079" w:type="dxa"/>
            <w:vAlign w:val="bottom"/>
          </w:tcPr>
          <w:p w14:paraId="70132C39"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2A946D23" w14:textId="77777777" w:rsidR="004E0E02" w:rsidRPr="00513F0D" w:rsidRDefault="004E0E02" w:rsidP="0084040C">
            <w:pPr>
              <w:pStyle w:val="-3"/>
              <w:jc w:val="left"/>
              <w:rPr>
                <w:sz w:val="16"/>
                <w:szCs w:val="16"/>
                <w:rtl/>
              </w:rPr>
            </w:pPr>
            <w:r w:rsidRPr="00CF2A74">
              <w:rPr>
                <w:sz w:val="16"/>
                <w:szCs w:val="16"/>
                <w:rtl/>
              </w:rPr>
              <w:t xml:space="preserve"> -</w:t>
            </w:r>
          </w:p>
        </w:tc>
        <w:tc>
          <w:tcPr>
            <w:tcW w:w="794" w:type="dxa"/>
            <w:vAlign w:val="bottom"/>
          </w:tcPr>
          <w:p w14:paraId="1B2B96E2" w14:textId="77777777" w:rsidR="004E0E02" w:rsidRPr="00CF2A74" w:rsidRDefault="004E0E02" w:rsidP="0084040C">
            <w:pPr>
              <w:pStyle w:val="-3"/>
              <w:jc w:val="left"/>
              <w:rPr>
                <w:sz w:val="16"/>
                <w:szCs w:val="16"/>
                <w:rtl/>
              </w:rPr>
            </w:pPr>
            <w:r w:rsidRPr="00CF2A74">
              <w:rPr>
                <w:sz w:val="16"/>
                <w:szCs w:val="16"/>
                <w:rtl/>
              </w:rPr>
              <w:t>-</w:t>
            </w:r>
          </w:p>
        </w:tc>
        <w:tc>
          <w:tcPr>
            <w:tcW w:w="936" w:type="dxa"/>
            <w:vAlign w:val="bottom"/>
          </w:tcPr>
          <w:p w14:paraId="7248144C" w14:textId="77777777" w:rsidR="004E0E02" w:rsidRPr="00513F0D" w:rsidRDefault="004E0E02" w:rsidP="0084040C">
            <w:pPr>
              <w:pStyle w:val="-3"/>
              <w:jc w:val="left"/>
              <w:rPr>
                <w:sz w:val="16"/>
                <w:szCs w:val="16"/>
                <w:rtl/>
              </w:rPr>
            </w:pPr>
            <w:r w:rsidRPr="00CF2A74">
              <w:rPr>
                <w:sz w:val="16"/>
                <w:szCs w:val="16"/>
                <w:rtl/>
              </w:rPr>
              <w:t xml:space="preserve"> -</w:t>
            </w:r>
          </w:p>
        </w:tc>
        <w:tc>
          <w:tcPr>
            <w:tcW w:w="812" w:type="dxa"/>
            <w:vAlign w:val="bottom"/>
          </w:tcPr>
          <w:p w14:paraId="523F8A4A" w14:textId="77777777" w:rsidR="004E0E02" w:rsidRPr="00513F0D" w:rsidRDefault="004E0E02" w:rsidP="0084040C">
            <w:pPr>
              <w:pStyle w:val="-3"/>
              <w:jc w:val="left"/>
              <w:rPr>
                <w:sz w:val="16"/>
                <w:szCs w:val="16"/>
                <w:rtl/>
              </w:rPr>
            </w:pPr>
            <w:r w:rsidRPr="00CF2A74">
              <w:rPr>
                <w:sz w:val="16"/>
                <w:szCs w:val="16"/>
                <w:rtl/>
              </w:rPr>
              <w:t xml:space="preserve"> -</w:t>
            </w:r>
          </w:p>
        </w:tc>
        <w:tc>
          <w:tcPr>
            <w:tcW w:w="870" w:type="dxa"/>
            <w:vAlign w:val="bottom"/>
          </w:tcPr>
          <w:p w14:paraId="6AA91B43" w14:textId="77777777" w:rsidR="004E0E02" w:rsidRPr="00513F0D" w:rsidRDefault="004E0E02" w:rsidP="0084040C">
            <w:pPr>
              <w:pStyle w:val="-3"/>
              <w:jc w:val="left"/>
              <w:rPr>
                <w:sz w:val="16"/>
                <w:szCs w:val="16"/>
                <w:rtl/>
              </w:rPr>
            </w:pPr>
            <w:r w:rsidRPr="00CF2A74">
              <w:rPr>
                <w:sz w:val="16"/>
                <w:szCs w:val="16"/>
                <w:rtl/>
              </w:rPr>
              <w:t xml:space="preserve"> 0</w:t>
            </w:r>
          </w:p>
        </w:tc>
        <w:tc>
          <w:tcPr>
            <w:tcW w:w="805" w:type="dxa"/>
            <w:vAlign w:val="bottom"/>
          </w:tcPr>
          <w:p w14:paraId="7487C622" w14:textId="77777777" w:rsidR="004E0E02" w:rsidRPr="00513F0D" w:rsidRDefault="004E0E02" w:rsidP="0084040C">
            <w:pPr>
              <w:pStyle w:val="-3"/>
              <w:jc w:val="left"/>
              <w:rPr>
                <w:sz w:val="16"/>
                <w:szCs w:val="16"/>
                <w:rtl/>
              </w:rPr>
            </w:pPr>
            <w:r w:rsidRPr="00CF2A74">
              <w:rPr>
                <w:sz w:val="16"/>
                <w:szCs w:val="16"/>
                <w:rtl/>
              </w:rPr>
              <w:t xml:space="preserve"> -</w:t>
            </w:r>
          </w:p>
        </w:tc>
        <w:tc>
          <w:tcPr>
            <w:tcW w:w="1141" w:type="dxa"/>
            <w:vAlign w:val="bottom"/>
          </w:tcPr>
          <w:p w14:paraId="17C8FCAB" w14:textId="77777777" w:rsidR="004E0E02" w:rsidRPr="00513F0D" w:rsidRDefault="004E0E02" w:rsidP="0084040C">
            <w:pPr>
              <w:pStyle w:val="-3"/>
              <w:jc w:val="left"/>
              <w:rPr>
                <w:sz w:val="16"/>
                <w:szCs w:val="16"/>
                <w:rtl/>
              </w:rPr>
            </w:pPr>
            <w:r w:rsidRPr="00CF2A74">
              <w:rPr>
                <w:sz w:val="16"/>
                <w:szCs w:val="16"/>
                <w:rtl/>
              </w:rPr>
              <w:t xml:space="preserve"> 0</w:t>
            </w:r>
          </w:p>
        </w:tc>
        <w:tc>
          <w:tcPr>
            <w:tcW w:w="710" w:type="dxa"/>
            <w:vAlign w:val="bottom"/>
          </w:tcPr>
          <w:p w14:paraId="1491D868" w14:textId="77777777" w:rsidR="004E0E02" w:rsidRPr="00513F0D" w:rsidRDefault="004E0E02" w:rsidP="0084040C">
            <w:pPr>
              <w:pStyle w:val="-3"/>
              <w:jc w:val="left"/>
              <w:rPr>
                <w:sz w:val="16"/>
                <w:szCs w:val="16"/>
                <w:rtl/>
              </w:rPr>
            </w:pPr>
            <w:r w:rsidRPr="00CF2A74">
              <w:rPr>
                <w:sz w:val="16"/>
                <w:szCs w:val="16"/>
                <w:rtl/>
              </w:rPr>
              <w:t xml:space="preserve"> 0</w:t>
            </w:r>
          </w:p>
        </w:tc>
        <w:tc>
          <w:tcPr>
            <w:tcW w:w="748" w:type="dxa"/>
            <w:vAlign w:val="bottom"/>
          </w:tcPr>
          <w:p w14:paraId="3A27CEAB" w14:textId="77777777" w:rsidR="004E0E02" w:rsidRPr="00513F0D" w:rsidRDefault="004E0E02" w:rsidP="0084040C">
            <w:pPr>
              <w:pStyle w:val="-3"/>
              <w:jc w:val="left"/>
              <w:rPr>
                <w:sz w:val="16"/>
                <w:szCs w:val="16"/>
                <w:rtl/>
              </w:rPr>
            </w:pPr>
            <w:r w:rsidRPr="00CF2A74">
              <w:rPr>
                <w:sz w:val="16"/>
                <w:szCs w:val="16"/>
                <w:rtl/>
              </w:rPr>
              <w:t xml:space="preserve"> 0</w:t>
            </w:r>
          </w:p>
        </w:tc>
      </w:tr>
      <w:tr w:rsidR="004E0E02" w:rsidRPr="00513F0D" w14:paraId="3B8B7CC1" w14:textId="77777777" w:rsidTr="00106371">
        <w:tc>
          <w:tcPr>
            <w:tcW w:w="850" w:type="dxa"/>
          </w:tcPr>
          <w:p w14:paraId="6E330E1F" w14:textId="77777777" w:rsidR="004E0E02" w:rsidRPr="00513F0D" w:rsidRDefault="004E0E02" w:rsidP="0084040C">
            <w:pPr>
              <w:pStyle w:val="-7"/>
              <w:bidi w:val="0"/>
              <w:ind w:right="-231"/>
              <w:jc w:val="left"/>
              <w:rPr>
                <w:spacing w:val="-6"/>
                <w:sz w:val="16"/>
                <w:szCs w:val="16"/>
                <w:rtl/>
              </w:rPr>
            </w:pPr>
          </w:p>
        </w:tc>
        <w:tc>
          <w:tcPr>
            <w:tcW w:w="2203" w:type="dxa"/>
            <w:vAlign w:val="bottom"/>
          </w:tcPr>
          <w:p w14:paraId="37B1A62F" w14:textId="77777777" w:rsidR="004E0E02" w:rsidRPr="00513F0D" w:rsidRDefault="004E0E02" w:rsidP="0084040C">
            <w:pPr>
              <w:pStyle w:val="-0"/>
              <w:rPr>
                <w:sz w:val="16"/>
                <w:szCs w:val="16"/>
                <w:rtl/>
              </w:rPr>
            </w:pPr>
            <w:r w:rsidRPr="00CF2A74">
              <w:rPr>
                <w:rFonts w:hint="eastAsia"/>
                <w:sz w:val="16"/>
                <w:szCs w:val="16"/>
                <w:rtl/>
              </w:rPr>
              <w:t>הטבות</w:t>
            </w:r>
            <w:r w:rsidRPr="00CF2A74">
              <w:rPr>
                <w:sz w:val="16"/>
                <w:szCs w:val="16"/>
                <w:rtl/>
              </w:rPr>
              <w:t xml:space="preserve"> </w:t>
            </w:r>
            <w:r w:rsidRPr="00CF2A74">
              <w:rPr>
                <w:rFonts w:hint="eastAsia"/>
                <w:sz w:val="16"/>
                <w:szCs w:val="16"/>
                <w:rtl/>
              </w:rPr>
              <w:t>שניתנו</w:t>
            </w:r>
            <w:r w:rsidRPr="00CF2A74">
              <w:rPr>
                <w:sz w:val="16"/>
                <w:szCs w:val="16"/>
                <w:rtl/>
              </w:rPr>
              <w:t xml:space="preserve"> </w:t>
            </w:r>
            <w:r w:rsidRPr="00CF2A74">
              <w:rPr>
                <w:rFonts w:hint="eastAsia"/>
                <w:sz w:val="16"/>
                <w:szCs w:val="16"/>
                <w:rtl/>
              </w:rPr>
              <w:t>לבעל</w:t>
            </w:r>
            <w:r w:rsidRPr="00CF2A74">
              <w:rPr>
                <w:sz w:val="16"/>
                <w:szCs w:val="16"/>
                <w:rtl/>
              </w:rPr>
              <w:t xml:space="preserve"> </w:t>
            </w:r>
            <w:r w:rsidRPr="00CF2A74">
              <w:rPr>
                <w:rFonts w:hint="eastAsia"/>
                <w:sz w:val="16"/>
                <w:szCs w:val="16"/>
                <w:rtl/>
              </w:rPr>
              <w:t>שליטה</w:t>
            </w:r>
          </w:p>
        </w:tc>
        <w:tc>
          <w:tcPr>
            <w:tcW w:w="766" w:type="dxa"/>
            <w:vAlign w:val="bottom"/>
          </w:tcPr>
          <w:p w14:paraId="35413AB5" w14:textId="77777777" w:rsidR="004E0E02" w:rsidRPr="00513F0D" w:rsidRDefault="004E0E02" w:rsidP="0084040C">
            <w:pPr>
              <w:pStyle w:val="-3"/>
              <w:rPr>
                <w:sz w:val="16"/>
                <w:szCs w:val="16"/>
                <w:rtl/>
              </w:rPr>
            </w:pPr>
            <w:r w:rsidRPr="00CF2A74">
              <w:rPr>
                <w:sz w:val="16"/>
                <w:szCs w:val="16"/>
                <w:rtl/>
              </w:rPr>
              <w:t>-</w:t>
            </w:r>
          </w:p>
        </w:tc>
        <w:tc>
          <w:tcPr>
            <w:tcW w:w="846" w:type="dxa"/>
            <w:vAlign w:val="bottom"/>
          </w:tcPr>
          <w:p w14:paraId="2275FF3B" w14:textId="77777777" w:rsidR="004E0E02" w:rsidRPr="00513F0D" w:rsidRDefault="004E0E02" w:rsidP="0084040C">
            <w:pPr>
              <w:pStyle w:val="-3"/>
              <w:rPr>
                <w:sz w:val="16"/>
                <w:szCs w:val="16"/>
                <w:rtl/>
              </w:rPr>
            </w:pPr>
            <w:r w:rsidRPr="00CF2A74">
              <w:rPr>
                <w:sz w:val="16"/>
                <w:szCs w:val="16"/>
                <w:rtl/>
              </w:rPr>
              <w:t>-</w:t>
            </w:r>
          </w:p>
        </w:tc>
        <w:tc>
          <w:tcPr>
            <w:tcW w:w="957" w:type="dxa"/>
            <w:vAlign w:val="bottom"/>
          </w:tcPr>
          <w:p w14:paraId="23CD4D3B" w14:textId="77777777" w:rsidR="004E0E02" w:rsidRPr="00513F0D" w:rsidRDefault="004E0E02" w:rsidP="0084040C">
            <w:pPr>
              <w:pStyle w:val="-3"/>
              <w:rPr>
                <w:sz w:val="16"/>
                <w:szCs w:val="16"/>
                <w:rtl/>
              </w:rPr>
            </w:pPr>
            <w:r w:rsidRPr="00CF2A74">
              <w:rPr>
                <w:sz w:val="16"/>
                <w:szCs w:val="16"/>
                <w:rtl/>
              </w:rPr>
              <w:t>-</w:t>
            </w:r>
          </w:p>
        </w:tc>
        <w:tc>
          <w:tcPr>
            <w:tcW w:w="807" w:type="dxa"/>
            <w:vAlign w:val="bottom"/>
          </w:tcPr>
          <w:p w14:paraId="16189F43" w14:textId="77777777" w:rsidR="004E0E02" w:rsidRPr="00513F0D" w:rsidRDefault="004E0E02" w:rsidP="0084040C">
            <w:pPr>
              <w:pStyle w:val="-3"/>
              <w:rPr>
                <w:sz w:val="16"/>
                <w:szCs w:val="16"/>
                <w:rtl/>
              </w:rPr>
            </w:pPr>
            <w:r w:rsidRPr="00CF2A74">
              <w:rPr>
                <w:sz w:val="16"/>
                <w:szCs w:val="16"/>
                <w:rtl/>
              </w:rPr>
              <w:t>-</w:t>
            </w:r>
          </w:p>
        </w:tc>
        <w:tc>
          <w:tcPr>
            <w:tcW w:w="1079" w:type="dxa"/>
            <w:vAlign w:val="bottom"/>
          </w:tcPr>
          <w:p w14:paraId="49A2841D"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7AB31DE7" w14:textId="77777777" w:rsidR="004E0E02" w:rsidRPr="00513F0D" w:rsidRDefault="004E0E02" w:rsidP="0084040C">
            <w:pPr>
              <w:pStyle w:val="-3"/>
              <w:jc w:val="left"/>
              <w:rPr>
                <w:sz w:val="16"/>
                <w:szCs w:val="16"/>
                <w:rtl/>
              </w:rPr>
            </w:pPr>
            <w:r w:rsidRPr="00CF2A74">
              <w:rPr>
                <w:sz w:val="16"/>
                <w:szCs w:val="16"/>
                <w:rtl/>
              </w:rPr>
              <w:t xml:space="preserve"> 0</w:t>
            </w:r>
          </w:p>
        </w:tc>
        <w:tc>
          <w:tcPr>
            <w:tcW w:w="794" w:type="dxa"/>
            <w:vAlign w:val="bottom"/>
          </w:tcPr>
          <w:p w14:paraId="448F3129" w14:textId="77777777" w:rsidR="004E0E02" w:rsidRPr="00CF2A74" w:rsidRDefault="004E0E02" w:rsidP="0084040C">
            <w:pPr>
              <w:pStyle w:val="-3"/>
              <w:jc w:val="left"/>
              <w:rPr>
                <w:sz w:val="16"/>
                <w:szCs w:val="16"/>
                <w:rtl/>
              </w:rPr>
            </w:pPr>
            <w:r w:rsidRPr="00CF2A74">
              <w:rPr>
                <w:sz w:val="16"/>
                <w:szCs w:val="16"/>
                <w:rtl/>
              </w:rPr>
              <w:t>-</w:t>
            </w:r>
          </w:p>
        </w:tc>
        <w:tc>
          <w:tcPr>
            <w:tcW w:w="936" w:type="dxa"/>
            <w:vAlign w:val="bottom"/>
          </w:tcPr>
          <w:p w14:paraId="445DD0AE" w14:textId="77777777" w:rsidR="004E0E02" w:rsidRPr="00513F0D" w:rsidRDefault="004E0E02" w:rsidP="0084040C">
            <w:pPr>
              <w:pStyle w:val="-3"/>
              <w:jc w:val="left"/>
              <w:rPr>
                <w:sz w:val="16"/>
                <w:szCs w:val="16"/>
                <w:rtl/>
              </w:rPr>
            </w:pPr>
            <w:r w:rsidRPr="00CF2A74">
              <w:rPr>
                <w:sz w:val="16"/>
                <w:szCs w:val="16"/>
                <w:rtl/>
              </w:rPr>
              <w:t xml:space="preserve"> 0</w:t>
            </w:r>
          </w:p>
        </w:tc>
        <w:tc>
          <w:tcPr>
            <w:tcW w:w="812" w:type="dxa"/>
            <w:vAlign w:val="bottom"/>
          </w:tcPr>
          <w:p w14:paraId="5E1B746F" w14:textId="77777777" w:rsidR="004E0E02" w:rsidRPr="00513F0D" w:rsidRDefault="004E0E02" w:rsidP="0084040C">
            <w:pPr>
              <w:pStyle w:val="-3"/>
              <w:jc w:val="left"/>
              <w:rPr>
                <w:sz w:val="16"/>
                <w:szCs w:val="16"/>
                <w:rtl/>
              </w:rPr>
            </w:pPr>
            <w:r w:rsidRPr="00CF2A74">
              <w:rPr>
                <w:sz w:val="16"/>
                <w:szCs w:val="16"/>
                <w:rtl/>
              </w:rPr>
              <w:t xml:space="preserve"> -</w:t>
            </w:r>
          </w:p>
        </w:tc>
        <w:tc>
          <w:tcPr>
            <w:tcW w:w="870" w:type="dxa"/>
            <w:vAlign w:val="bottom"/>
          </w:tcPr>
          <w:p w14:paraId="5E4E9C44" w14:textId="77777777" w:rsidR="004E0E02" w:rsidRPr="00513F0D" w:rsidRDefault="004E0E02" w:rsidP="0084040C">
            <w:pPr>
              <w:pStyle w:val="-3"/>
              <w:jc w:val="left"/>
              <w:rPr>
                <w:sz w:val="16"/>
                <w:szCs w:val="16"/>
                <w:rtl/>
              </w:rPr>
            </w:pPr>
            <w:r w:rsidRPr="00CF2A74">
              <w:rPr>
                <w:sz w:val="16"/>
                <w:szCs w:val="16"/>
                <w:rtl/>
              </w:rPr>
              <w:t xml:space="preserve"> 0</w:t>
            </w:r>
          </w:p>
        </w:tc>
        <w:tc>
          <w:tcPr>
            <w:tcW w:w="805" w:type="dxa"/>
            <w:vAlign w:val="bottom"/>
          </w:tcPr>
          <w:p w14:paraId="08CDC3A9" w14:textId="77777777" w:rsidR="004E0E02" w:rsidRPr="00513F0D" w:rsidRDefault="004E0E02" w:rsidP="0084040C">
            <w:pPr>
              <w:pStyle w:val="-3"/>
              <w:jc w:val="left"/>
              <w:rPr>
                <w:sz w:val="16"/>
                <w:szCs w:val="16"/>
                <w:rtl/>
              </w:rPr>
            </w:pPr>
            <w:r w:rsidRPr="00CF2A74">
              <w:rPr>
                <w:sz w:val="16"/>
                <w:szCs w:val="16"/>
                <w:rtl/>
              </w:rPr>
              <w:t xml:space="preserve"> -</w:t>
            </w:r>
          </w:p>
        </w:tc>
        <w:tc>
          <w:tcPr>
            <w:tcW w:w="1141" w:type="dxa"/>
            <w:vAlign w:val="bottom"/>
          </w:tcPr>
          <w:p w14:paraId="58D7CD89" w14:textId="77777777" w:rsidR="004E0E02" w:rsidRPr="00513F0D" w:rsidRDefault="004E0E02" w:rsidP="0084040C">
            <w:pPr>
              <w:pStyle w:val="-3"/>
              <w:jc w:val="left"/>
              <w:rPr>
                <w:sz w:val="16"/>
                <w:szCs w:val="16"/>
                <w:rtl/>
              </w:rPr>
            </w:pPr>
            <w:r w:rsidRPr="00CF2A74">
              <w:rPr>
                <w:sz w:val="16"/>
                <w:szCs w:val="16"/>
                <w:rtl/>
              </w:rPr>
              <w:t xml:space="preserve"> 0</w:t>
            </w:r>
          </w:p>
        </w:tc>
        <w:tc>
          <w:tcPr>
            <w:tcW w:w="710" w:type="dxa"/>
            <w:vAlign w:val="bottom"/>
          </w:tcPr>
          <w:p w14:paraId="69F4E1E0" w14:textId="77777777" w:rsidR="004E0E02" w:rsidRPr="00513F0D" w:rsidRDefault="004E0E02" w:rsidP="0084040C">
            <w:pPr>
              <w:pStyle w:val="-3"/>
              <w:jc w:val="left"/>
              <w:rPr>
                <w:sz w:val="16"/>
                <w:szCs w:val="16"/>
                <w:rtl/>
              </w:rPr>
            </w:pPr>
            <w:r w:rsidRPr="00CF2A74">
              <w:rPr>
                <w:sz w:val="16"/>
                <w:szCs w:val="16"/>
                <w:rtl/>
              </w:rPr>
              <w:t xml:space="preserve"> 0</w:t>
            </w:r>
          </w:p>
        </w:tc>
        <w:tc>
          <w:tcPr>
            <w:tcW w:w="748" w:type="dxa"/>
            <w:vAlign w:val="bottom"/>
          </w:tcPr>
          <w:p w14:paraId="728A37CC" w14:textId="77777777" w:rsidR="004E0E02" w:rsidRPr="00513F0D" w:rsidRDefault="004E0E02" w:rsidP="0084040C">
            <w:pPr>
              <w:pStyle w:val="-3"/>
              <w:jc w:val="left"/>
              <w:rPr>
                <w:sz w:val="16"/>
                <w:szCs w:val="16"/>
                <w:rtl/>
              </w:rPr>
            </w:pPr>
            <w:r w:rsidRPr="00CF2A74">
              <w:rPr>
                <w:sz w:val="16"/>
                <w:szCs w:val="16"/>
                <w:rtl/>
              </w:rPr>
              <w:t xml:space="preserve"> 0</w:t>
            </w:r>
          </w:p>
        </w:tc>
      </w:tr>
      <w:tr w:rsidR="004E0E02" w:rsidRPr="00513F0D" w14:paraId="03D8F693" w14:textId="77777777" w:rsidTr="00106371">
        <w:tc>
          <w:tcPr>
            <w:tcW w:w="850" w:type="dxa"/>
          </w:tcPr>
          <w:p w14:paraId="713DC476" w14:textId="77777777" w:rsidR="004E0E02" w:rsidRPr="00513F0D" w:rsidRDefault="004E0E02" w:rsidP="0084040C">
            <w:pPr>
              <w:pStyle w:val="-7"/>
              <w:bidi w:val="0"/>
              <w:ind w:right="-231"/>
              <w:jc w:val="left"/>
              <w:rPr>
                <w:spacing w:val="-6"/>
                <w:sz w:val="16"/>
                <w:szCs w:val="16"/>
                <w:rtl/>
              </w:rPr>
            </w:pPr>
          </w:p>
        </w:tc>
        <w:tc>
          <w:tcPr>
            <w:tcW w:w="2203" w:type="dxa"/>
            <w:vAlign w:val="bottom"/>
          </w:tcPr>
          <w:p w14:paraId="69A6E697" w14:textId="77777777" w:rsidR="004E0E02" w:rsidRPr="00513F0D" w:rsidRDefault="00B44059" w:rsidP="0084040C">
            <w:pPr>
              <w:pStyle w:val="-b"/>
              <w:rPr>
                <w:sz w:val="16"/>
                <w:szCs w:val="16"/>
                <w:rtl/>
              </w:rPr>
            </w:pPr>
            <w:r w:rsidRPr="00B44059">
              <w:rPr>
                <w:rFonts w:hint="eastAsia"/>
                <w:b w:val="0"/>
                <w:bCs w:val="0"/>
                <w:sz w:val="16"/>
                <w:szCs w:val="16"/>
                <w:u w:val="single"/>
                <w:rtl/>
              </w:rPr>
              <w:t>התאמות</w:t>
            </w:r>
            <w:r w:rsidRPr="00B44059">
              <w:rPr>
                <w:b w:val="0"/>
                <w:bCs w:val="0"/>
                <w:sz w:val="16"/>
                <w:szCs w:val="16"/>
                <w:u w:val="single"/>
                <w:rtl/>
              </w:rPr>
              <w:t xml:space="preserve"> </w:t>
            </w:r>
            <w:r w:rsidRPr="00B44059">
              <w:rPr>
                <w:rFonts w:hint="eastAsia"/>
                <w:b w:val="0"/>
                <w:bCs w:val="0"/>
                <w:sz w:val="16"/>
                <w:szCs w:val="16"/>
                <w:u w:val="single"/>
                <w:rtl/>
              </w:rPr>
              <w:t>ושינויים</w:t>
            </w:r>
            <w:r w:rsidRPr="00B44059">
              <w:rPr>
                <w:b w:val="0"/>
                <w:bCs w:val="0"/>
                <w:sz w:val="16"/>
                <w:szCs w:val="16"/>
                <w:u w:val="single"/>
                <w:rtl/>
              </w:rPr>
              <w:t xml:space="preserve"> </w:t>
            </w:r>
            <w:r w:rsidRPr="00B44059">
              <w:rPr>
                <w:rFonts w:hint="eastAsia"/>
                <w:b w:val="0"/>
                <w:bCs w:val="0"/>
                <w:sz w:val="16"/>
                <w:szCs w:val="16"/>
                <w:u w:val="single"/>
                <w:rtl/>
              </w:rPr>
              <w:t>הנובעים</w:t>
            </w:r>
            <w:r w:rsidRPr="00B44059">
              <w:rPr>
                <w:b w:val="0"/>
                <w:bCs w:val="0"/>
                <w:sz w:val="16"/>
                <w:szCs w:val="16"/>
                <w:u w:val="single"/>
                <w:rtl/>
              </w:rPr>
              <w:t xml:space="preserve"> </w:t>
            </w:r>
            <w:r w:rsidRPr="00B44059">
              <w:rPr>
                <w:rFonts w:hint="eastAsia"/>
                <w:b w:val="0"/>
                <w:bCs w:val="0"/>
                <w:sz w:val="16"/>
                <w:szCs w:val="16"/>
                <w:u w:val="single"/>
                <w:rtl/>
              </w:rPr>
              <w:t>מ</w:t>
            </w:r>
            <w:r w:rsidRPr="00B44059">
              <w:rPr>
                <w:b w:val="0"/>
                <w:bCs w:val="0"/>
                <w:sz w:val="16"/>
                <w:szCs w:val="16"/>
                <w:rtl/>
              </w:rPr>
              <w:t>:</w:t>
            </w:r>
          </w:p>
        </w:tc>
        <w:tc>
          <w:tcPr>
            <w:tcW w:w="766" w:type="dxa"/>
            <w:vAlign w:val="bottom"/>
          </w:tcPr>
          <w:p w14:paraId="42E91548" w14:textId="77777777" w:rsidR="004E0E02" w:rsidRPr="00513F0D" w:rsidRDefault="004E0E02" w:rsidP="0084040C">
            <w:pPr>
              <w:pStyle w:val="-3"/>
              <w:rPr>
                <w:sz w:val="16"/>
                <w:szCs w:val="16"/>
                <w:rtl/>
              </w:rPr>
            </w:pPr>
          </w:p>
        </w:tc>
        <w:tc>
          <w:tcPr>
            <w:tcW w:w="846" w:type="dxa"/>
            <w:vAlign w:val="bottom"/>
          </w:tcPr>
          <w:p w14:paraId="02E2509D" w14:textId="77777777" w:rsidR="004E0E02" w:rsidRPr="00513F0D" w:rsidRDefault="004E0E02" w:rsidP="0084040C">
            <w:pPr>
              <w:pStyle w:val="-3"/>
              <w:rPr>
                <w:sz w:val="16"/>
                <w:szCs w:val="16"/>
                <w:rtl/>
              </w:rPr>
            </w:pPr>
          </w:p>
        </w:tc>
        <w:tc>
          <w:tcPr>
            <w:tcW w:w="957" w:type="dxa"/>
            <w:vAlign w:val="bottom"/>
          </w:tcPr>
          <w:p w14:paraId="3F3B4843" w14:textId="77777777" w:rsidR="004E0E02" w:rsidRPr="00513F0D" w:rsidRDefault="004E0E02" w:rsidP="0084040C">
            <w:pPr>
              <w:pStyle w:val="-3"/>
              <w:rPr>
                <w:sz w:val="16"/>
                <w:szCs w:val="16"/>
                <w:rtl/>
              </w:rPr>
            </w:pPr>
          </w:p>
        </w:tc>
        <w:tc>
          <w:tcPr>
            <w:tcW w:w="807" w:type="dxa"/>
            <w:vAlign w:val="bottom"/>
          </w:tcPr>
          <w:p w14:paraId="60501924" w14:textId="77777777" w:rsidR="004E0E02" w:rsidRPr="00513F0D" w:rsidRDefault="004E0E02" w:rsidP="0084040C">
            <w:pPr>
              <w:pStyle w:val="-3"/>
              <w:rPr>
                <w:sz w:val="16"/>
                <w:szCs w:val="16"/>
                <w:rtl/>
              </w:rPr>
            </w:pPr>
          </w:p>
        </w:tc>
        <w:tc>
          <w:tcPr>
            <w:tcW w:w="1079" w:type="dxa"/>
            <w:vAlign w:val="bottom"/>
          </w:tcPr>
          <w:p w14:paraId="7BE17302" w14:textId="77777777" w:rsidR="004E0E02" w:rsidRPr="009A7E4A" w:rsidRDefault="004E0E02" w:rsidP="0084040C">
            <w:pPr>
              <w:pStyle w:val="-3"/>
              <w:rPr>
                <w:sz w:val="16"/>
                <w:szCs w:val="16"/>
                <w:rtl/>
              </w:rPr>
            </w:pPr>
          </w:p>
        </w:tc>
        <w:tc>
          <w:tcPr>
            <w:tcW w:w="655" w:type="dxa"/>
            <w:vAlign w:val="bottom"/>
          </w:tcPr>
          <w:p w14:paraId="13061A60" w14:textId="77777777" w:rsidR="004E0E02" w:rsidRPr="00513F0D" w:rsidRDefault="004E0E02" w:rsidP="0084040C">
            <w:pPr>
              <w:pStyle w:val="-3"/>
              <w:jc w:val="left"/>
              <w:rPr>
                <w:sz w:val="16"/>
                <w:szCs w:val="16"/>
                <w:rtl/>
              </w:rPr>
            </w:pPr>
          </w:p>
        </w:tc>
        <w:tc>
          <w:tcPr>
            <w:tcW w:w="794" w:type="dxa"/>
            <w:vAlign w:val="bottom"/>
          </w:tcPr>
          <w:p w14:paraId="6C2E9815" w14:textId="77777777" w:rsidR="004E0E02" w:rsidRPr="00513F0D" w:rsidRDefault="004E0E02" w:rsidP="0084040C">
            <w:pPr>
              <w:pStyle w:val="-3"/>
              <w:jc w:val="left"/>
              <w:rPr>
                <w:sz w:val="16"/>
                <w:szCs w:val="16"/>
                <w:rtl/>
              </w:rPr>
            </w:pPr>
          </w:p>
        </w:tc>
        <w:tc>
          <w:tcPr>
            <w:tcW w:w="936" w:type="dxa"/>
            <w:vAlign w:val="bottom"/>
          </w:tcPr>
          <w:p w14:paraId="528D5B35" w14:textId="77777777" w:rsidR="004E0E02" w:rsidRPr="00513F0D" w:rsidRDefault="004E0E02" w:rsidP="0084040C">
            <w:pPr>
              <w:pStyle w:val="-3"/>
              <w:jc w:val="left"/>
              <w:rPr>
                <w:sz w:val="16"/>
                <w:szCs w:val="16"/>
                <w:rtl/>
              </w:rPr>
            </w:pPr>
          </w:p>
        </w:tc>
        <w:tc>
          <w:tcPr>
            <w:tcW w:w="812" w:type="dxa"/>
            <w:vAlign w:val="bottom"/>
          </w:tcPr>
          <w:p w14:paraId="13F0EA95" w14:textId="77777777" w:rsidR="004E0E02" w:rsidRPr="00513F0D" w:rsidRDefault="004E0E02" w:rsidP="0084040C">
            <w:pPr>
              <w:pStyle w:val="-3"/>
              <w:jc w:val="left"/>
              <w:rPr>
                <w:sz w:val="16"/>
                <w:szCs w:val="16"/>
                <w:rtl/>
              </w:rPr>
            </w:pPr>
          </w:p>
        </w:tc>
        <w:tc>
          <w:tcPr>
            <w:tcW w:w="870" w:type="dxa"/>
            <w:vAlign w:val="bottom"/>
          </w:tcPr>
          <w:p w14:paraId="1C63FFF1" w14:textId="77777777" w:rsidR="004E0E02" w:rsidRPr="00513F0D" w:rsidRDefault="004E0E02" w:rsidP="0084040C">
            <w:pPr>
              <w:pStyle w:val="-3"/>
              <w:jc w:val="left"/>
              <w:rPr>
                <w:sz w:val="16"/>
                <w:szCs w:val="16"/>
                <w:rtl/>
              </w:rPr>
            </w:pPr>
          </w:p>
        </w:tc>
        <w:tc>
          <w:tcPr>
            <w:tcW w:w="805" w:type="dxa"/>
            <w:vAlign w:val="bottom"/>
          </w:tcPr>
          <w:p w14:paraId="435E81AA" w14:textId="77777777" w:rsidR="004E0E02" w:rsidRPr="00513F0D" w:rsidRDefault="004E0E02" w:rsidP="0084040C">
            <w:pPr>
              <w:pStyle w:val="-3"/>
              <w:jc w:val="left"/>
              <w:rPr>
                <w:sz w:val="16"/>
                <w:szCs w:val="16"/>
                <w:rtl/>
              </w:rPr>
            </w:pPr>
          </w:p>
        </w:tc>
        <w:tc>
          <w:tcPr>
            <w:tcW w:w="1141" w:type="dxa"/>
            <w:vAlign w:val="bottom"/>
          </w:tcPr>
          <w:p w14:paraId="1BA12AAE" w14:textId="77777777" w:rsidR="004E0E02" w:rsidRPr="00513F0D" w:rsidRDefault="004E0E02" w:rsidP="0084040C">
            <w:pPr>
              <w:pStyle w:val="-3"/>
              <w:jc w:val="left"/>
              <w:rPr>
                <w:sz w:val="16"/>
                <w:szCs w:val="16"/>
                <w:rtl/>
              </w:rPr>
            </w:pPr>
          </w:p>
        </w:tc>
        <w:tc>
          <w:tcPr>
            <w:tcW w:w="710" w:type="dxa"/>
            <w:vAlign w:val="bottom"/>
          </w:tcPr>
          <w:p w14:paraId="10EF1979" w14:textId="77777777" w:rsidR="004E0E02" w:rsidRPr="00513F0D" w:rsidRDefault="004E0E02" w:rsidP="0084040C">
            <w:pPr>
              <w:pStyle w:val="-3"/>
              <w:jc w:val="left"/>
              <w:rPr>
                <w:sz w:val="16"/>
                <w:szCs w:val="16"/>
                <w:rtl/>
              </w:rPr>
            </w:pPr>
          </w:p>
        </w:tc>
        <w:tc>
          <w:tcPr>
            <w:tcW w:w="748" w:type="dxa"/>
            <w:vAlign w:val="bottom"/>
          </w:tcPr>
          <w:p w14:paraId="3FB0FCA4" w14:textId="77777777" w:rsidR="004E0E02" w:rsidRPr="00513F0D" w:rsidRDefault="004E0E02" w:rsidP="0084040C">
            <w:pPr>
              <w:pStyle w:val="-3"/>
              <w:jc w:val="left"/>
              <w:rPr>
                <w:sz w:val="16"/>
                <w:szCs w:val="16"/>
                <w:rtl/>
              </w:rPr>
            </w:pPr>
          </w:p>
        </w:tc>
      </w:tr>
      <w:tr w:rsidR="004E0E02" w:rsidRPr="00513F0D" w14:paraId="7A07D58A" w14:textId="77777777" w:rsidTr="00106371">
        <w:tc>
          <w:tcPr>
            <w:tcW w:w="850" w:type="dxa"/>
          </w:tcPr>
          <w:p w14:paraId="35781475" w14:textId="77777777" w:rsidR="004E0E02" w:rsidRPr="00513F0D" w:rsidRDefault="004E0E02" w:rsidP="0084040C">
            <w:pPr>
              <w:pStyle w:val="-7"/>
              <w:bidi w:val="0"/>
              <w:ind w:right="-231"/>
              <w:jc w:val="left"/>
              <w:rPr>
                <w:spacing w:val="-6"/>
                <w:sz w:val="16"/>
                <w:szCs w:val="16"/>
                <w:rtl/>
              </w:rPr>
            </w:pPr>
          </w:p>
        </w:tc>
        <w:tc>
          <w:tcPr>
            <w:tcW w:w="2203" w:type="dxa"/>
            <w:vAlign w:val="bottom"/>
          </w:tcPr>
          <w:p w14:paraId="5AB5A90A" w14:textId="77777777" w:rsidR="004E0E02" w:rsidRPr="00513F0D" w:rsidRDefault="004E0E02" w:rsidP="0084040C">
            <w:pPr>
              <w:pStyle w:val="-0"/>
              <w:rPr>
                <w:sz w:val="16"/>
                <w:szCs w:val="16"/>
                <w:rtl/>
              </w:rPr>
            </w:pPr>
            <w:r w:rsidRPr="00CF2A74">
              <w:rPr>
                <w:rFonts w:hint="eastAsia"/>
                <w:sz w:val="16"/>
                <w:szCs w:val="16"/>
                <w:rtl/>
              </w:rPr>
              <w:t>הנפקת</w:t>
            </w:r>
            <w:r w:rsidRPr="00CF2A74">
              <w:rPr>
                <w:sz w:val="16"/>
                <w:szCs w:val="16"/>
                <w:rtl/>
              </w:rPr>
              <w:t xml:space="preserve"> </w:t>
            </w:r>
            <w:r w:rsidRPr="00CF2A74">
              <w:rPr>
                <w:rFonts w:hint="eastAsia"/>
                <w:sz w:val="16"/>
                <w:szCs w:val="16"/>
                <w:rtl/>
              </w:rPr>
              <w:t>מניות</w:t>
            </w:r>
          </w:p>
        </w:tc>
        <w:tc>
          <w:tcPr>
            <w:tcW w:w="766" w:type="dxa"/>
            <w:vAlign w:val="bottom"/>
          </w:tcPr>
          <w:p w14:paraId="0622CAFD" w14:textId="77777777" w:rsidR="004E0E02" w:rsidRPr="00513F0D" w:rsidRDefault="004E0E02" w:rsidP="0084040C">
            <w:pPr>
              <w:pStyle w:val="-3"/>
              <w:rPr>
                <w:sz w:val="16"/>
                <w:szCs w:val="16"/>
                <w:rtl/>
              </w:rPr>
            </w:pPr>
            <w:r w:rsidRPr="00CF2A74">
              <w:rPr>
                <w:sz w:val="16"/>
                <w:szCs w:val="16"/>
                <w:rtl/>
              </w:rPr>
              <w:t>0</w:t>
            </w:r>
          </w:p>
        </w:tc>
        <w:tc>
          <w:tcPr>
            <w:tcW w:w="846" w:type="dxa"/>
            <w:vAlign w:val="bottom"/>
          </w:tcPr>
          <w:p w14:paraId="7FD20407" w14:textId="77777777" w:rsidR="004E0E02" w:rsidRPr="00513F0D" w:rsidRDefault="004E0E02" w:rsidP="0084040C">
            <w:pPr>
              <w:pStyle w:val="-3"/>
              <w:rPr>
                <w:sz w:val="16"/>
                <w:szCs w:val="16"/>
                <w:rtl/>
              </w:rPr>
            </w:pPr>
            <w:r w:rsidRPr="00CF2A74">
              <w:rPr>
                <w:sz w:val="16"/>
                <w:szCs w:val="16"/>
                <w:rtl/>
              </w:rPr>
              <w:t>-</w:t>
            </w:r>
          </w:p>
        </w:tc>
        <w:tc>
          <w:tcPr>
            <w:tcW w:w="957" w:type="dxa"/>
            <w:vAlign w:val="bottom"/>
          </w:tcPr>
          <w:p w14:paraId="36F1829F" w14:textId="77777777" w:rsidR="004E0E02" w:rsidRPr="00513F0D" w:rsidRDefault="004E0E02" w:rsidP="0084040C">
            <w:pPr>
              <w:pStyle w:val="-3"/>
              <w:rPr>
                <w:sz w:val="16"/>
                <w:szCs w:val="16"/>
                <w:rtl/>
              </w:rPr>
            </w:pPr>
            <w:r>
              <w:rPr>
                <w:rFonts w:hint="cs"/>
                <w:sz w:val="16"/>
                <w:szCs w:val="16"/>
                <w:rtl/>
              </w:rPr>
              <w:t>-</w:t>
            </w:r>
          </w:p>
        </w:tc>
        <w:tc>
          <w:tcPr>
            <w:tcW w:w="807" w:type="dxa"/>
            <w:vAlign w:val="bottom"/>
          </w:tcPr>
          <w:p w14:paraId="6A2CCDD3" w14:textId="77777777" w:rsidR="004E0E02" w:rsidRPr="00513F0D" w:rsidRDefault="004E0E02" w:rsidP="0084040C">
            <w:pPr>
              <w:pStyle w:val="-3"/>
              <w:rPr>
                <w:sz w:val="16"/>
                <w:szCs w:val="16"/>
                <w:rtl/>
              </w:rPr>
            </w:pPr>
            <w:r w:rsidRPr="00CF2A74">
              <w:rPr>
                <w:sz w:val="16"/>
                <w:szCs w:val="16"/>
                <w:rtl/>
              </w:rPr>
              <w:t>0</w:t>
            </w:r>
          </w:p>
        </w:tc>
        <w:tc>
          <w:tcPr>
            <w:tcW w:w="1079" w:type="dxa"/>
            <w:vAlign w:val="bottom"/>
          </w:tcPr>
          <w:p w14:paraId="53E0FD1B"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795ACC66" w14:textId="77777777" w:rsidR="004E0E02" w:rsidRPr="00513F0D" w:rsidRDefault="004E0E02" w:rsidP="0084040C">
            <w:pPr>
              <w:pStyle w:val="-3"/>
              <w:jc w:val="left"/>
              <w:rPr>
                <w:sz w:val="16"/>
                <w:szCs w:val="16"/>
                <w:rtl/>
              </w:rPr>
            </w:pPr>
            <w:r w:rsidRPr="00CF2A74">
              <w:rPr>
                <w:sz w:val="16"/>
                <w:szCs w:val="16"/>
                <w:rtl/>
              </w:rPr>
              <w:t xml:space="preserve"> -</w:t>
            </w:r>
          </w:p>
        </w:tc>
        <w:tc>
          <w:tcPr>
            <w:tcW w:w="794" w:type="dxa"/>
            <w:vAlign w:val="bottom"/>
          </w:tcPr>
          <w:p w14:paraId="2B604BDC" w14:textId="77777777" w:rsidR="004E0E02" w:rsidRPr="00CF2A74" w:rsidRDefault="004E0E02" w:rsidP="0084040C">
            <w:pPr>
              <w:pStyle w:val="-3"/>
              <w:jc w:val="left"/>
              <w:rPr>
                <w:sz w:val="16"/>
                <w:szCs w:val="16"/>
                <w:rtl/>
              </w:rPr>
            </w:pPr>
            <w:r w:rsidRPr="00CF2A74">
              <w:rPr>
                <w:sz w:val="16"/>
                <w:szCs w:val="16"/>
                <w:rtl/>
              </w:rPr>
              <w:t>-</w:t>
            </w:r>
          </w:p>
        </w:tc>
        <w:tc>
          <w:tcPr>
            <w:tcW w:w="936" w:type="dxa"/>
            <w:vAlign w:val="bottom"/>
          </w:tcPr>
          <w:p w14:paraId="284AF27E" w14:textId="77777777" w:rsidR="004E0E02" w:rsidRPr="00513F0D" w:rsidRDefault="004E0E02" w:rsidP="0084040C">
            <w:pPr>
              <w:pStyle w:val="-3"/>
              <w:jc w:val="left"/>
              <w:rPr>
                <w:sz w:val="16"/>
                <w:szCs w:val="16"/>
                <w:rtl/>
              </w:rPr>
            </w:pPr>
            <w:r w:rsidRPr="00CF2A74">
              <w:rPr>
                <w:sz w:val="16"/>
                <w:szCs w:val="16"/>
                <w:rtl/>
              </w:rPr>
              <w:t xml:space="preserve"> 0</w:t>
            </w:r>
          </w:p>
        </w:tc>
        <w:tc>
          <w:tcPr>
            <w:tcW w:w="812" w:type="dxa"/>
            <w:vAlign w:val="bottom"/>
          </w:tcPr>
          <w:p w14:paraId="5E458EC2" w14:textId="77777777" w:rsidR="004E0E02" w:rsidRPr="00513F0D" w:rsidRDefault="004E0E02" w:rsidP="0084040C">
            <w:pPr>
              <w:pStyle w:val="-3"/>
              <w:jc w:val="left"/>
              <w:rPr>
                <w:sz w:val="16"/>
                <w:szCs w:val="16"/>
                <w:rtl/>
              </w:rPr>
            </w:pPr>
            <w:r w:rsidRPr="00CF2A74">
              <w:rPr>
                <w:sz w:val="16"/>
                <w:szCs w:val="16"/>
                <w:rtl/>
              </w:rPr>
              <w:t xml:space="preserve"> -</w:t>
            </w:r>
          </w:p>
        </w:tc>
        <w:tc>
          <w:tcPr>
            <w:tcW w:w="870" w:type="dxa"/>
            <w:vAlign w:val="bottom"/>
          </w:tcPr>
          <w:p w14:paraId="2D829127" w14:textId="77777777" w:rsidR="004E0E02" w:rsidRPr="00513F0D" w:rsidRDefault="004E0E02" w:rsidP="0084040C">
            <w:pPr>
              <w:pStyle w:val="-3"/>
              <w:jc w:val="left"/>
              <w:rPr>
                <w:sz w:val="16"/>
                <w:szCs w:val="16"/>
                <w:rtl/>
              </w:rPr>
            </w:pPr>
            <w:r w:rsidRPr="00CF2A74">
              <w:rPr>
                <w:sz w:val="16"/>
                <w:szCs w:val="16"/>
                <w:rtl/>
              </w:rPr>
              <w:t xml:space="preserve"> -</w:t>
            </w:r>
          </w:p>
        </w:tc>
        <w:tc>
          <w:tcPr>
            <w:tcW w:w="805" w:type="dxa"/>
            <w:vAlign w:val="bottom"/>
          </w:tcPr>
          <w:p w14:paraId="0507557F" w14:textId="77777777" w:rsidR="004E0E02" w:rsidRPr="00513F0D" w:rsidRDefault="004E0E02" w:rsidP="0084040C">
            <w:pPr>
              <w:pStyle w:val="-3"/>
              <w:jc w:val="left"/>
              <w:rPr>
                <w:sz w:val="16"/>
                <w:szCs w:val="16"/>
                <w:rtl/>
              </w:rPr>
            </w:pPr>
            <w:r w:rsidRPr="00CF2A74">
              <w:rPr>
                <w:sz w:val="16"/>
                <w:szCs w:val="16"/>
                <w:rtl/>
              </w:rPr>
              <w:t xml:space="preserve"> 0</w:t>
            </w:r>
          </w:p>
        </w:tc>
        <w:tc>
          <w:tcPr>
            <w:tcW w:w="1141" w:type="dxa"/>
            <w:vAlign w:val="bottom"/>
          </w:tcPr>
          <w:p w14:paraId="056791D4" w14:textId="77777777" w:rsidR="004E0E02" w:rsidRPr="00513F0D" w:rsidRDefault="004E0E02" w:rsidP="00141F15">
            <w:pPr>
              <w:pStyle w:val="-3"/>
              <w:jc w:val="left"/>
              <w:rPr>
                <w:sz w:val="16"/>
                <w:szCs w:val="16"/>
                <w:rtl/>
              </w:rPr>
            </w:pPr>
            <w:r w:rsidRPr="00CF2A74">
              <w:rPr>
                <w:sz w:val="16"/>
                <w:szCs w:val="16"/>
                <w:rtl/>
              </w:rPr>
              <w:t xml:space="preserve"> 0</w:t>
            </w:r>
          </w:p>
        </w:tc>
        <w:tc>
          <w:tcPr>
            <w:tcW w:w="710" w:type="dxa"/>
            <w:vAlign w:val="bottom"/>
          </w:tcPr>
          <w:p w14:paraId="71521754" w14:textId="77777777" w:rsidR="004E0E02" w:rsidRPr="00513F0D" w:rsidRDefault="004E0E02" w:rsidP="00141F15">
            <w:pPr>
              <w:pStyle w:val="-3"/>
              <w:jc w:val="left"/>
              <w:rPr>
                <w:sz w:val="16"/>
                <w:szCs w:val="16"/>
                <w:rtl/>
              </w:rPr>
            </w:pPr>
            <w:r w:rsidRPr="00CF2A74">
              <w:rPr>
                <w:sz w:val="16"/>
                <w:szCs w:val="16"/>
                <w:rtl/>
              </w:rPr>
              <w:t xml:space="preserve"> 0</w:t>
            </w:r>
          </w:p>
        </w:tc>
        <w:tc>
          <w:tcPr>
            <w:tcW w:w="748" w:type="dxa"/>
            <w:vAlign w:val="bottom"/>
          </w:tcPr>
          <w:p w14:paraId="7555DCE3"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17538465" w14:textId="77777777" w:rsidTr="00106371">
        <w:tc>
          <w:tcPr>
            <w:tcW w:w="850" w:type="dxa"/>
          </w:tcPr>
          <w:p w14:paraId="199810B0" w14:textId="77777777" w:rsidR="004E0E02" w:rsidRPr="00513F0D" w:rsidRDefault="004E0E02" w:rsidP="0084040C">
            <w:pPr>
              <w:pStyle w:val="-7"/>
              <w:bidi w:val="0"/>
              <w:ind w:right="-231"/>
              <w:jc w:val="left"/>
              <w:rPr>
                <w:spacing w:val="-6"/>
                <w:sz w:val="16"/>
                <w:szCs w:val="16"/>
                <w:rtl/>
              </w:rPr>
            </w:pPr>
          </w:p>
        </w:tc>
        <w:tc>
          <w:tcPr>
            <w:tcW w:w="2203" w:type="dxa"/>
            <w:vAlign w:val="bottom"/>
          </w:tcPr>
          <w:p w14:paraId="79C4E5A8" w14:textId="77777777" w:rsidR="004E0E02" w:rsidRPr="00513F0D" w:rsidRDefault="004E0E02" w:rsidP="0084040C">
            <w:pPr>
              <w:pStyle w:val="-0"/>
              <w:rPr>
                <w:sz w:val="16"/>
                <w:szCs w:val="16"/>
                <w:rtl/>
              </w:rPr>
            </w:pPr>
            <w:r w:rsidRPr="00CF2A74">
              <w:rPr>
                <w:rFonts w:hint="eastAsia"/>
                <w:sz w:val="16"/>
                <w:szCs w:val="16"/>
                <w:rtl/>
              </w:rPr>
              <w:t>חלוקת</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הטבה</w:t>
            </w:r>
          </w:p>
        </w:tc>
        <w:tc>
          <w:tcPr>
            <w:tcW w:w="766" w:type="dxa"/>
            <w:vAlign w:val="bottom"/>
          </w:tcPr>
          <w:p w14:paraId="11AB674E" w14:textId="77777777" w:rsidR="004E0E02" w:rsidRPr="00513F0D" w:rsidRDefault="004E0E02" w:rsidP="0084040C">
            <w:pPr>
              <w:pStyle w:val="-3"/>
              <w:rPr>
                <w:sz w:val="16"/>
                <w:szCs w:val="16"/>
                <w:rtl/>
              </w:rPr>
            </w:pPr>
            <w:r w:rsidRPr="00CF2A74">
              <w:rPr>
                <w:sz w:val="16"/>
                <w:szCs w:val="16"/>
                <w:rtl/>
              </w:rPr>
              <w:t>0</w:t>
            </w:r>
          </w:p>
        </w:tc>
        <w:tc>
          <w:tcPr>
            <w:tcW w:w="846" w:type="dxa"/>
            <w:vAlign w:val="bottom"/>
          </w:tcPr>
          <w:p w14:paraId="77A6C5D1" w14:textId="77777777" w:rsidR="004E0E02" w:rsidRPr="00513F0D" w:rsidRDefault="004E0E02" w:rsidP="0084040C">
            <w:pPr>
              <w:pStyle w:val="-3"/>
              <w:rPr>
                <w:sz w:val="16"/>
                <w:szCs w:val="16"/>
                <w:rtl/>
              </w:rPr>
            </w:pPr>
            <w:r w:rsidRPr="00CF2A74">
              <w:rPr>
                <w:sz w:val="16"/>
                <w:szCs w:val="16"/>
                <w:rtl/>
              </w:rPr>
              <w:t>-</w:t>
            </w:r>
          </w:p>
        </w:tc>
        <w:tc>
          <w:tcPr>
            <w:tcW w:w="957" w:type="dxa"/>
            <w:vAlign w:val="bottom"/>
          </w:tcPr>
          <w:p w14:paraId="53FFE2C1" w14:textId="77777777" w:rsidR="004E0E02" w:rsidRPr="00513F0D" w:rsidRDefault="004E0E02" w:rsidP="0084040C">
            <w:pPr>
              <w:pStyle w:val="-3"/>
              <w:rPr>
                <w:sz w:val="16"/>
                <w:szCs w:val="16"/>
                <w:rtl/>
              </w:rPr>
            </w:pPr>
            <w:r>
              <w:rPr>
                <w:rFonts w:hint="cs"/>
                <w:sz w:val="16"/>
                <w:szCs w:val="16"/>
                <w:rtl/>
              </w:rPr>
              <w:t>-</w:t>
            </w:r>
          </w:p>
        </w:tc>
        <w:tc>
          <w:tcPr>
            <w:tcW w:w="807" w:type="dxa"/>
            <w:vAlign w:val="bottom"/>
          </w:tcPr>
          <w:p w14:paraId="1AAADB76" w14:textId="77777777" w:rsidR="004E0E02" w:rsidRPr="00513F0D" w:rsidRDefault="004E0E02" w:rsidP="0084040C">
            <w:pPr>
              <w:pStyle w:val="-3"/>
              <w:rPr>
                <w:sz w:val="16"/>
                <w:szCs w:val="16"/>
                <w:rtl/>
              </w:rPr>
            </w:pPr>
            <w:r w:rsidRPr="00CF2A74">
              <w:rPr>
                <w:sz w:val="16"/>
                <w:szCs w:val="16"/>
                <w:rtl/>
              </w:rPr>
              <w:t>0</w:t>
            </w:r>
          </w:p>
        </w:tc>
        <w:tc>
          <w:tcPr>
            <w:tcW w:w="1079" w:type="dxa"/>
            <w:vAlign w:val="bottom"/>
          </w:tcPr>
          <w:p w14:paraId="27B1ED13"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6FE0B602" w14:textId="77777777" w:rsidR="004E0E02" w:rsidRPr="00513F0D" w:rsidRDefault="004E0E02" w:rsidP="0084040C">
            <w:pPr>
              <w:pStyle w:val="-3"/>
              <w:jc w:val="left"/>
              <w:rPr>
                <w:sz w:val="16"/>
                <w:szCs w:val="16"/>
                <w:rtl/>
              </w:rPr>
            </w:pPr>
            <w:r w:rsidRPr="00CF2A74">
              <w:rPr>
                <w:sz w:val="16"/>
                <w:szCs w:val="16"/>
                <w:rtl/>
              </w:rPr>
              <w:t xml:space="preserve"> -</w:t>
            </w:r>
          </w:p>
        </w:tc>
        <w:tc>
          <w:tcPr>
            <w:tcW w:w="794" w:type="dxa"/>
            <w:vAlign w:val="bottom"/>
          </w:tcPr>
          <w:p w14:paraId="1AB36F34" w14:textId="77777777" w:rsidR="004E0E02" w:rsidRPr="00CF2A74" w:rsidDel="00124EB4" w:rsidRDefault="004E0E02" w:rsidP="0084040C">
            <w:pPr>
              <w:pStyle w:val="-3"/>
              <w:jc w:val="left"/>
              <w:rPr>
                <w:sz w:val="16"/>
                <w:szCs w:val="16"/>
                <w:rtl/>
              </w:rPr>
            </w:pPr>
            <w:r w:rsidRPr="00CF2A74">
              <w:rPr>
                <w:sz w:val="16"/>
                <w:szCs w:val="16"/>
                <w:rtl/>
              </w:rPr>
              <w:t>-</w:t>
            </w:r>
          </w:p>
        </w:tc>
        <w:tc>
          <w:tcPr>
            <w:tcW w:w="936" w:type="dxa"/>
            <w:vAlign w:val="bottom"/>
          </w:tcPr>
          <w:p w14:paraId="70BDD6C2" w14:textId="77777777" w:rsidR="004E0E02" w:rsidRPr="00513F0D" w:rsidRDefault="004E0E02" w:rsidP="0084040C">
            <w:pPr>
              <w:pStyle w:val="-3"/>
              <w:jc w:val="left"/>
              <w:rPr>
                <w:sz w:val="16"/>
                <w:szCs w:val="16"/>
                <w:rtl/>
              </w:rPr>
            </w:pPr>
            <w:r>
              <w:rPr>
                <w:rFonts w:hint="cs"/>
                <w:sz w:val="16"/>
                <w:szCs w:val="16"/>
                <w:rtl/>
              </w:rPr>
              <w:t xml:space="preserve"> 0</w:t>
            </w:r>
          </w:p>
        </w:tc>
        <w:tc>
          <w:tcPr>
            <w:tcW w:w="812" w:type="dxa"/>
            <w:vAlign w:val="bottom"/>
          </w:tcPr>
          <w:p w14:paraId="3DE4CB82" w14:textId="77777777" w:rsidR="004E0E02" w:rsidRPr="00513F0D" w:rsidRDefault="004E0E02" w:rsidP="0084040C">
            <w:pPr>
              <w:pStyle w:val="-3"/>
              <w:jc w:val="left"/>
              <w:rPr>
                <w:sz w:val="16"/>
                <w:szCs w:val="16"/>
                <w:rtl/>
              </w:rPr>
            </w:pPr>
            <w:r w:rsidRPr="00CF2A74">
              <w:rPr>
                <w:sz w:val="16"/>
                <w:szCs w:val="16"/>
                <w:rtl/>
              </w:rPr>
              <w:t xml:space="preserve"> -</w:t>
            </w:r>
          </w:p>
        </w:tc>
        <w:tc>
          <w:tcPr>
            <w:tcW w:w="870" w:type="dxa"/>
            <w:vAlign w:val="bottom"/>
          </w:tcPr>
          <w:p w14:paraId="0D601DF6" w14:textId="77777777" w:rsidR="004E0E02" w:rsidRPr="00513F0D" w:rsidRDefault="004E0E02" w:rsidP="0084040C">
            <w:pPr>
              <w:pStyle w:val="-3"/>
              <w:jc w:val="left"/>
              <w:rPr>
                <w:sz w:val="16"/>
                <w:szCs w:val="16"/>
                <w:rtl/>
              </w:rPr>
            </w:pPr>
            <w:r>
              <w:rPr>
                <w:rFonts w:hint="cs"/>
                <w:sz w:val="16"/>
                <w:szCs w:val="16"/>
                <w:rtl/>
              </w:rPr>
              <w:t xml:space="preserve"> 0</w:t>
            </w:r>
          </w:p>
        </w:tc>
        <w:tc>
          <w:tcPr>
            <w:tcW w:w="805" w:type="dxa"/>
            <w:vAlign w:val="bottom"/>
          </w:tcPr>
          <w:p w14:paraId="3B6A10C7" w14:textId="77777777" w:rsidR="004E0E02" w:rsidRPr="00513F0D" w:rsidRDefault="004E0E02" w:rsidP="0084040C">
            <w:pPr>
              <w:pStyle w:val="-3"/>
              <w:jc w:val="left"/>
              <w:rPr>
                <w:sz w:val="16"/>
                <w:szCs w:val="16"/>
                <w:rtl/>
              </w:rPr>
            </w:pPr>
            <w:r w:rsidRPr="00CF2A74">
              <w:rPr>
                <w:sz w:val="16"/>
                <w:szCs w:val="16"/>
                <w:rtl/>
              </w:rPr>
              <w:t xml:space="preserve"> -</w:t>
            </w:r>
          </w:p>
        </w:tc>
        <w:tc>
          <w:tcPr>
            <w:tcW w:w="1141" w:type="dxa"/>
            <w:vAlign w:val="bottom"/>
          </w:tcPr>
          <w:p w14:paraId="6F1274C9" w14:textId="77777777" w:rsidR="004E0E02" w:rsidRPr="00513F0D" w:rsidRDefault="004E0E02" w:rsidP="00141F15">
            <w:pPr>
              <w:pStyle w:val="-3"/>
              <w:jc w:val="left"/>
              <w:rPr>
                <w:sz w:val="16"/>
                <w:szCs w:val="16"/>
                <w:rtl/>
              </w:rPr>
            </w:pPr>
            <w:r w:rsidRPr="00CF2A74">
              <w:rPr>
                <w:sz w:val="16"/>
                <w:szCs w:val="16"/>
                <w:rtl/>
              </w:rPr>
              <w:t xml:space="preserve"> 0</w:t>
            </w:r>
          </w:p>
        </w:tc>
        <w:tc>
          <w:tcPr>
            <w:tcW w:w="710" w:type="dxa"/>
            <w:vAlign w:val="bottom"/>
          </w:tcPr>
          <w:p w14:paraId="321742B3" w14:textId="77777777" w:rsidR="004E0E02" w:rsidRPr="00513F0D" w:rsidRDefault="004E0E02" w:rsidP="00141F15">
            <w:pPr>
              <w:pStyle w:val="-3"/>
              <w:jc w:val="left"/>
              <w:rPr>
                <w:sz w:val="16"/>
                <w:szCs w:val="16"/>
                <w:rtl/>
              </w:rPr>
            </w:pPr>
            <w:r w:rsidRPr="00CF2A74">
              <w:rPr>
                <w:sz w:val="16"/>
                <w:szCs w:val="16"/>
                <w:rtl/>
              </w:rPr>
              <w:t xml:space="preserve"> 0</w:t>
            </w:r>
          </w:p>
        </w:tc>
        <w:tc>
          <w:tcPr>
            <w:tcW w:w="748" w:type="dxa"/>
            <w:vAlign w:val="bottom"/>
          </w:tcPr>
          <w:p w14:paraId="41669449"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7760C462" w14:textId="77777777" w:rsidTr="00106371">
        <w:tc>
          <w:tcPr>
            <w:tcW w:w="850" w:type="dxa"/>
          </w:tcPr>
          <w:p w14:paraId="7A0AE24A" w14:textId="77777777" w:rsidR="004E0E02" w:rsidRPr="00513F0D" w:rsidRDefault="004E0E02" w:rsidP="0084040C">
            <w:pPr>
              <w:pStyle w:val="-7"/>
              <w:bidi w:val="0"/>
              <w:ind w:right="-231"/>
              <w:jc w:val="left"/>
              <w:rPr>
                <w:spacing w:val="-6"/>
                <w:sz w:val="16"/>
                <w:szCs w:val="16"/>
                <w:rtl/>
              </w:rPr>
            </w:pPr>
          </w:p>
        </w:tc>
        <w:tc>
          <w:tcPr>
            <w:tcW w:w="2203" w:type="dxa"/>
            <w:vAlign w:val="bottom"/>
          </w:tcPr>
          <w:p w14:paraId="0E983BA7" w14:textId="77777777" w:rsidR="004E0E02" w:rsidRPr="00513F0D" w:rsidRDefault="004E0E02" w:rsidP="0084040C">
            <w:pPr>
              <w:pStyle w:val="-0"/>
              <w:rPr>
                <w:sz w:val="16"/>
                <w:szCs w:val="16"/>
                <w:rtl/>
              </w:rPr>
            </w:pPr>
            <w:r w:rsidRPr="00CF2A74">
              <w:rPr>
                <w:rFonts w:hint="eastAsia"/>
                <w:sz w:val="16"/>
                <w:szCs w:val="16"/>
                <w:rtl/>
              </w:rPr>
              <w:t>המרה</w:t>
            </w:r>
            <w:r w:rsidRPr="00CF2A74">
              <w:rPr>
                <w:sz w:val="16"/>
                <w:szCs w:val="16"/>
                <w:rtl/>
              </w:rPr>
              <w:t xml:space="preserve"> </w:t>
            </w:r>
            <w:r w:rsidRPr="00CF2A74">
              <w:rPr>
                <w:rFonts w:hint="eastAsia"/>
                <w:sz w:val="16"/>
                <w:szCs w:val="16"/>
                <w:rtl/>
              </w:rPr>
              <w:t>למניות</w:t>
            </w:r>
            <w:r w:rsidRPr="00CF2A74">
              <w:rPr>
                <w:sz w:val="16"/>
                <w:szCs w:val="16"/>
                <w:rtl/>
              </w:rPr>
              <w:t xml:space="preserve"> </w:t>
            </w:r>
            <w:r w:rsidRPr="00CF2A74">
              <w:rPr>
                <w:rFonts w:hint="eastAsia"/>
                <w:sz w:val="16"/>
                <w:szCs w:val="16"/>
                <w:rtl/>
              </w:rPr>
              <w:t>של</w:t>
            </w:r>
            <w:r w:rsidRPr="00CF2A74">
              <w:rPr>
                <w:sz w:val="16"/>
                <w:szCs w:val="16"/>
                <w:rtl/>
              </w:rPr>
              <w:t xml:space="preserve"> </w:t>
            </w:r>
            <w:r w:rsidRPr="00CF2A74">
              <w:rPr>
                <w:rFonts w:hint="eastAsia"/>
                <w:sz w:val="16"/>
                <w:szCs w:val="16"/>
                <w:rtl/>
              </w:rPr>
              <w:t>התחייבויות</w:t>
            </w:r>
            <w:r w:rsidRPr="00CF2A74">
              <w:rPr>
                <w:sz w:val="16"/>
                <w:szCs w:val="16"/>
                <w:rtl/>
              </w:rPr>
              <w:t xml:space="preserve"> </w:t>
            </w:r>
            <w:r w:rsidRPr="00CF2A74">
              <w:rPr>
                <w:rFonts w:hint="eastAsia"/>
                <w:sz w:val="16"/>
                <w:szCs w:val="16"/>
                <w:rtl/>
              </w:rPr>
              <w:t>המירות</w:t>
            </w:r>
          </w:p>
        </w:tc>
        <w:tc>
          <w:tcPr>
            <w:tcW w:w="766" w:type="dxa"/>
            <w:vAlign w:val="bottom"/>
          </w:tcPr>
          <w:p w14:paraId="0135386F" w14:textId="77777777" w:rsidR="004E0E02" w:rsidRPr="00513F0D" w:rsidRDefault="004E0E02" w:rsidP="0084040C">
            <w:pPr>
              <w:pStyle w:val="-3"/>
              <w:rPr>
                <w:sz w:val="16"/>
                <w:szCs w:val="16"/>
                <w:rtl/>
              </w:rPr>
            </w:pPr>
            <w:r w:rsidRPr="00CF2A74">
              <w:rPr>
                <w:sz w:val="16"/>
                <w:szCs w:val="16"/>
                <w:rtl/>
              </w:rPr>
              <w:t>0</w:t>
            </w:r>
          </w:p>
        </w:tc>
        <w:tc>
          <w:tcPr>
            <w:tcW w:w="846" w:type="dxa"/>
            <w:vAlign w:val="bottom"/>
          </w:tcPr>
          <w:p w14:paraId="71C2A7BA" w14:textId="77777777" w:rsidR="004E0E02" w:rsidRPr="00513F0D" w:rsidRDefault="004E0E02" w:rsidP="0084040C">
            <w:pPr>
              <w:pStyle w:val="-3"/>
              <w:rPr>
                <w:sz w:val="16"/>
                <w:szCs w:val="16"/>
                <w:rtl/>
              </w:rPr>
            </w:pPr>
            <w:r w:rsidRPr="00CF2A74">
              <w:rPr>
                <w:sz w:val="16"/>
                <w:szCs w:val="16"/>
                <w:rtl/>
              </w:rPr>
              <w:t>-</w:t>
            </w:r>
          </w:p>
        </w:tc>
        <w:tc>
          <w:tcPr>
            <w:tcW w:w="957" w:type="dxa"/>
            <w:vAlign w:val="bottom"/>
          </w:tcPr>
          <w:p w14:paraId="53A98D9F" w14:textId="77777777" w:rsidR="004E0E02" w:rsidRPr="00513F0D" w:rsidRDefault="004E0E02" w:rsidP="0084040C">
            <w:pPr>
              <w:pStyle w:val="-3"/>
              <w:rPr>
                <w:sz w:val="16"/>
                <w:szCs w:val="16"/>
                <w:rtl/>
              </w:rPr>
            </w:pPr>
            <w:r w:rsidRPr="00CF2A74">
              <w:rPr>
                <w:sz w:val="16"/>
                <w:szCs w:val="16"/>
                <w:rtl/>
              </w:rPr>
              <w:t>-</w:t>
            </w:r>
          </w:p>
        </w:tc>
        <w:tc>
          <w:tcPr>
            <w:tcW w:w="807" w:type="dxa"/>
            <w:vAlign w:val="bottom"/>
          </w:tcPr>
          <w:p w14:paraId="2AAAE64D" w14:textId="77777777" w:rsidR="004E0E02" w:rsidRPr="00513F0D" w:rsidRDefault="004E0E02" w:rsidP="0084040C">
            <w:pPr>
              <w:pStyle w:val="-3"/>
              <w:rPr>
                <w:sz w:val="16"/>
                <w:szCs w:val="16"/>
                <w:rtl/>
              </w:rPr>
            </w:pPr>
            <w:r w:rsidRPr="00CF2A74">
              <w:rPr>
                <w:sz w:val="16"/>
                <w:szCs w:val="16"/>
                <w:rtl/>
              </w:rPr>
              <w:t>-</w:t>
            </w:r>
          </w:p>
        </w:tc>
        <w:tc>
          <w:tcPr>
            <w:tcW w:w="1079" w:type="dxa"/>
            <w:vAlign w:val="bottom"/>
          </w:tcPr>
          <w:p w14:paraId="7951F422"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580FA639" w14:textId="77777777" w:rsidR="004E0E02" w:rsidRPr="00513F0D" w:rsidRDefault="004E0E02" w:rsidP="0084040C">
            <w:pPr>
              <w:pStyle w:val="-3"/>
              <w:jc w:val="left"/>
              <w:rPr>
                <w:sz w:val="16"/>
                <w:szCs w:val="16"/>
                <w:rtl/>
              </w:rPr>
            </w:pPr>
            <w:r w:rsidRPr="00CF2A74">
              <w:rPr>
                <w:sz w:val="16"/>
                <w:szCs w:val="16"/>
                <w:rtl/>
              </w:rPr>
              <w:t xml:space="preserve"> -</w:t>
            </w:r>
          </w:p>
        </w:tc>
        <w:tc>
          <w:tcPr>
            <w:tcW w:w="794" w:type="dxa"/>
            <w:vAlign w:val="bottom"/>
          </w:tcPr>
          <w:p w14:paraId="6B68CBDF" w14:textId="77777777" w:rsidR="004E0E02" w:rsidRPr="00CF2A74" w:rsidRDefault="004E0E02" w:rsidP="0084040C">
            <w:pPr>
              <w:pStyle w:val="-3"/>
              <w:jc w:val="left"/>
              <w:rPr>
                <w:sz w:val="16"/>
                <w:szCs w:val="16"/>
                <w:rtl/>
              </w:rPr>
            </w:pPr>
            <w:r w:rsidRPr="00CF2A74">
              <w:rPr>
                <w:sz w:val="16"/>
                <w:szCs w:val="16"/>
                <w:rtl/>
              </w:rPr>
              <w:t>-</w:t>
            </w:r>
          </w:p>
        </w:tc>
        <w:tc>
          <w:tcPr>
            <w:tcW w:w="936" w:type="dxa"/>
            <w:vAlign w:val="bottom"/>
          </w:tcPr>
          <w:p w14:paraId="2E620AD2" w14:textId="77777777" w:rsidR="004E0E02" w:rsidRPr="00513F0D" w:rsidRDefault="004E0E02" w:rsidP="0084040C">
            <w:pPr>
              <w:pStyle w:val="-3"/>
              <w:jc w:val="left"/>
              <w:rPr>
                <w:sz w:val="16"/>
                <w:szCs w:val="16"/>
                <w:rtl/>
              </w:rPr>
            </w:pPr>
            <w:r w:rsidRPr="00CF2A74">
              <w:rPr>
                <w:sz w:val="16"/>
                <w:szCs w:val="16"/>
                <w:rtl/>
              </w:rPr>
              <w:t xml:space="preserve"> 0</w:t>
            </w:r>
          </w:p>
        </w:tc>
        <w:tc>
          <w:tcPr>
            <w:tcW w:w="812" w:type="dxa"/>
            <w:vAlign w:val="bottom"/>
          </w:tcPr>
          <w:p w14:paraId="0245E7D8" w14:textId="77777777" w:rsidR="004E0E02" w:rsidRPr="00513F0D" w:rsidRDefault="004E0E02" w:rsidP="0084040C">
            <w:pPr>
              <w:pStyle w:val="-3"/>
              <w:jc w:val="left"/>
              <w:rPr>
                <w:sz w:val="16"/>
                <w:szCs w:val="16"/>
                <w:rtl/>
              </w:rPr>
            </w:pPr>
            <w:r w:rsidRPr="00CF2A74">
              <w:rPr>
                <w:sz w:val="16"/>
                <w:szCs w:val="16"/>
                <w:rtl/>
              </w:rPr>
              <w:t xml:space="preserve"> -</w:t>
            </w:r>
          </w:p>
        </w:tc>
        <w:tc>
          <w:tcPr>
            <w:tcW w:w="870" w:type="dxa"/>
            <w:vAlign w:val="bottom"/>
          </w:tcPr>
          <w:p w14:paraId="4EDBFCDE" w14:textId="77777777" w:rsidR="004E0E02" w:rsidRPr="00513F0D" w:rsidRDefault="004E0E02" w:rsidP="0084040C">
            <w:pPr>
              <w:pStyle w:val="-3"/>
              <w:jc w:val="left"/>
              <w:rPr>
                <w:sz w:val="16"/>
                <w:szCs w:val="16"/>
                <w:rtl/>
              </w:rPr>
            </w:pPr>
            <w:r w:rsidRPr="00CF2A74">
              <w:rPr>
                <w:sz w:val="16"/>
                <w:szCs w:val="16"/>
                <w:rtl/>
              </w:rPr>
              <w:t xml:space="preserve"> -</w:t>
            </w:r>
          </w:p>
        </w:tc>
        <w:tc>
          <w:tcPr>
            <w:tcW w:w="805" w:type="dxa"/>
            <w:vAlign w:val="bottom"/>
          </w:tcPr>
          <w:p w14:paraId="6880C1B7" w14:textId="77777777" w:rsidR="004E0E02" w:rsidRPr="00513F0D" w:rsidRDefault="004E0E02" w:rsidP="0084040C">
            <w:pPr>
              <w:pStyle w:val="-3"/>
              <w:jc w:val="left"/>
              <w:rPr>
                <w:sz w:val="16"/>
                <w:szCs w:val="16"/>
                <w:rtl/>
              </w:rPr>
            </w:pPr>
            <w:r w:rsidRPr="00CF2A74">
              <w:rPr>
                <w:sz w:val="16"/>
                <w:szCs w:val="16"/>
                <w:rtl/>
              </w:rPr>
              <w:t xml:space="preserve"> 0</w:t>
            </w:r>
          </w:p>
        </w:tc>
        <w:tc>
          <w:tcPr>
            <w:tcW w:w="1141" w:type="dxa"/>
            <w:vAlign w:val="bottom"/>
          </w:tcPr>
          <w:p w14:paraId="2E947DFF" w14:textId="77777777" w:rsidR="004E0E02" w:rsidRPr="00513F0D" w:rsidRDefault="004E0E02" w:rsidP="00141F15">
            <w:pPr>
              <w:pStyle w:val="-3"/>
              <w:jc w:val="left"/>
              <w:rPr>
                <w:sz w:val="16"/>
                <w:szCs w:val="16"/>
                <w:rtl/>
              </w:rPr>
            </w:pPr>
            <w:r w:rsidRPr="00CF2A74">
              <w:rPr>
                <w:sz w:val="16"/>
                <w:szCs w:val="16"/>
                <w:rtl/>
              </w:rPr>
              <w:t xml:space="preserve"> 0</w:t>
            </w:r>
          </w:p>
        </w:tc>
        <w:tc>
          <w:tcPr>
            <w:tcW w:w="710" w:type="dxa"/>
            <w:vAlign w:val="bottom"/>
          </w:tcPr>
          <w:p w14:paraId="11B2646D" w14:textId="77777777" w:rsidR="004E0E02" w:rsidRPr="00513F0D" w:rsidRDefault="004E0E02" w:rsidP="00141F15">
            <w:pPr>
              <w:pStyle w:val="-3"/>
              <w:jc w:val="left"/>
              <w:rPr>
                <w:sz w:val="16"/>
                <w:szCs w:val="16"/>
                <w:rtl/>
              </w:rPr>
            </w:pPr>
            <w:r w:rsidRPr="00CF2A74">
              <w:rPr>
                <w:sz w:val="16"/>
                <w:szCs w:val="16"/>
                <w:rtl/>
              </w:rPr>
              <w:t xml:space="preserve"> 0</w:t>
            </w:r>
          </w:p>
        </w:tc>
        <w:tc>
          <w:tcPr>
            <w:tcW w:w="748" w:type="dxa"/>
            <w:vAlign w:val="bottom"/>
          </w:tcPr>
          <w:p w14:paraId="03C35356"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7B1DAF9E" w14:textId="77777777" w:rsidTr="00106371">
        <w:tc>
          <w:tcPr>
            <w:tcW w:w="850" w:type="dxa"/>
          </w:tcPr>
          <w:p w14:paraId="565AE201" w14:textId="77777777" w:rsidR="004E0E02" w:rsidRPr="00513F0D" w:rsidRDefault="004E0E02" w:rsidP="0084040C">
            <w:pPr>
              <w:pStyle w:val="-7"/>
              <w:bidi w:val="0"/>
              <w:ind w:right="-231"/>
              <w:jc w:val="left"/>
              <w:rPr>
                <w:spacing w:val="-6"/>
                <w:sz w:val="16"/>
                <w:szCs w:val="16"/>
                <w:rtl/>
              </w:rPr>
            </w:pPr>
          </w:p>
        </w:tc>
        <w:tc>
          <w:tcPr>
            <w:tcW w:w="2203" w:type="dxa"/>
            <w:vAlign w:val="bottom"/>
          </w:tcPr>
          <w:p w14:paraId="779D2AAF" w14:textId="77777777" w:rsidR="004E0E02" w:rsidRDefault="004E0E02">
            <w:pPr>
              <w:pStyle w:val="-0"/>
              <w:rPr>
                <w:sz w:val="16"/>
                <w:szCs w:val="16"/>
                <w:rtl/>
              </w:rPr>
            </w:pPr>
            <w:r w:rsidRPr="009A7E4A">
              <w:rPr>
                <w:rFonts w:hint="eastAsia"/>
                <w:sz w:val="16"/>
                <w:szCs w:val="16"/>
                <w:rtl/>
              </w:rPr>
              <w:t>הטבה</w:t>
            </w:r>
            <w:r w:rsidRPr="009A7E4A">
              <w:rPr>
                <w:sz w:val="16"/>
                <w:szCs w:val="16"/>
                <w:rtl/>
              </w:rPr>
              <w:t xml:space="preserve"> </w:t>
            </w:r>
            <w:r w:rsidRPr="009A7E4A">
              <w:rPr>
                <w:rFonts w:hint="eastAsia"/>
                <w:sz w:val="16"/>
                <w:szCs w:val="16"/>
                <w:rtl/>
              </w:rPr>
              <w:t>בשל</w:t>
            </w:r>
            <w:r w:rsidRPr="009A7E4A">
              <w:rPr>
                <w:sz w:val="16"/>
                <w:szCs w:val="16"/>
                <w:rtl/>
              </w:rPr>
              <w:t xml:space="preserve"> </w:t>
            </w:r>
            <w:r w:rsidRPr="009A7E4A">
              <w:rPr>
                <w:rFonts w:hint="eastAsia"/>
                <w:sz w:val="16"/>
                <w:szCs w:val="16"/>
                <w:rtl/>
              </w:rPr>
              <w:t>עסקאות</w:t>
            </w:r>
            <w:r w:rsidRPr="009A7E4A">
              <w:rPr>
                <w:sz w:val="16"/>
                <w:szCs w:val="16"/>
                <w:rtl/>
              </w:rPr>
              <w:t xml:space="preserve"> </w:t>
            </w:r>
            <w:r w:rsidRPr="009A7E4A">
              <w:rPr>
                <w:rFonts w:hint="eastAsia"/>
                <w:sz w:val="16"/>
                <w:szCs w:val="16"/>
                <w:rtl/>
              </w:rPr>
              <w:t>תשלום</w:t>
            </w:r>
            <w:r w:rsidRPr="009A7E4A">
              <w:rPr>
                <w:sz w:val="16"/>
                <w:szCs w:val="16"/>
                <w:rtl/>
              </w:rPr>
              <w:t xml:space="preserve"> </w:t>
            </w:r>
            <w:r w:rsidRPr="009A7E4A">
              <w:rPr>
                <w:rFonts w:hint="eastAsia"/>
                <w:sz w:val="16"/>
                <w:szCs w:val="16"/>
                <w:rtl/>
              </w:rPr>
              <w:t>מבוסס</w:t>
            </w:r>
            <w:r w:rsidRPr="009A7E4A">
              <w:rPr>
                <w:sz w:val="16"/>
                <w:szCs w:val="16"/>
                <w:rtl/>
              </w:rPr>
              <w:t xml:space="preserve"> </w:t>
            </w:r>
            <w:r w:rsidRPr="009A7E4A">
              <w:rPr>
                <w:rFonts w:hint="eastAsia"/>
                <w:sz w:val="16"/>
                <w:szCs w:val="16"/>
                <w:rtl/>
              </w:rPr>
              <w:t>מניות</w:t>
            </w:r>
          </w:p>
        </w:tc>
        <w:tc>
          <w:tcPr>
            <w:tcW w:w="766" w:type="dxa"/>
            <w:vAlign w:val="bottom"/>
          </w:tcPr>
          <w:p w14:paraId="637B721C" w14:textId="77777777" w:rsidR="004E0E02" w:rsidRPr="00513F0D" w:rsidRDefault="004E0E02" w:rsidP="0084040C">
            <w:pPr>
              <w:pStyle w:val="-3"/>
              <w:rPr>
                <w:sz w:val="16"/>
                <w:szCs w:val="16"/>
                <w:rtl/>
              </w:rPr>
            </w:pPr>
            <w:r w:rsidRPr="00CF2A74">
              <w:rPr>
                <w:sz w:val="16"/>
                <w:szCs w:val="16"/>
                <w:rtl/>
              </w:rPr>
              <w:t>-</w:t>
            </w:r>
          </w:p>
        </w:tc>
        <w:tc>
          <w:tcPr>
            <w:tcW w:w="846" w:type="dxa"/>
            <w:vAlign w:val="bottom"/>
          </w:tcPr>
          <w:p w14:paraId="11D583CD" w14:textId="77777777" w:rsidR="004E0E02" w:rsidRPr="00513F0D" w:rsidRDefault="004E0E02" w:rsidP="0084040C">
            <w:pPr>
              <w:pStyle w:val="-3"/>
              <w:rPr>
                <w:sz w:val="16"/>
                <w:szCs w:val="16"/>
                <w:rtl/>
              </w:rPr>
            </w:pPr>
            <w:r w:rsidRPr="00CF2A74">
              <w:rPr>
                <w:sz w:val="16"/>
                <w:szCs w:val="16"/>
                <w:rtl/>
              </w:rPr>
              <w:t>-</w:t>
            </w:r>
          </w:p>
        </w:tc>
        <w:tc>
          <w:tcPr>
            <w:tcW w:w="957" w:type="dxa"/>
            <w:vAlign w:val="bottom"/>
          </w:tcPr>
          <w:p w14:paraId="472E0AF7" w14:textId="77777777" w:rsidR="004E0E02" w:rsidRPr="00513F0D" w:rsidRDefault="004E0E02" w:rsidP="0084040C">
            <w:pPr>
              <w:pStyle w:val="-3"/>
              <w:rPr>
                <w:sz w:val="16"/>
                <w:szCs w:val="16"/>
                <w:rtl/>
              </w:rPr>
            </w:pPr>
            <w:r w:rsidRPr="00CF2A74">
              <w:rPr>
                <w:sz w:val="16"/>
                <w:szCs w:val="16"/>
                <w:rtl/>
              </w:rPr>
              <w:t>-</w:t>
            </w:r>
          </w:p>
        </w:tc>
        <w:tc>
          <w:tcPr>
            <w:tcW w:w="807" w:type="dxa"/>
            <w:vAlign w:val="bottom"/>
          </w:tcPr>
          <w:p w14:paraId="4C67881C" w14:textId="77777777" w:rsidR="004E0E02" w:rsidRPr="00513F0D" w:rsidRDefault="004E0E02" w:rsidP="0084040C">
            <w:pPr>
              <w:pStyle w:val="-3"/>
              <w:rPr>
                <w:sz w:val="16"/>
                <w:szCs w:val="16"/>
                <w:rtl/>
              </w:rPr>
            </w:pPr>
            <w:r w:rsidRPr="00CF2A74">
              <w:rPr>
                <w:sz w:val="16"/>
                <w:szCs w:val="16"/>
                <w:rtl/>
              </w:rPr>
              <w:t>-</w:t>
            </w:r>
          </w:p>
        </w:tc>
        <w:tc>
          <w:tcPr>
            <w:tcW w:w="1079" w:type="dxa"/>
            <w:vAlign w:val="bottom"/>
          </w:tcPr>
          <w:p w14:paraId="3ADD86F8" w14:textId="77777777" w:rsidR="004E0E02" w:rsidRPr="009A7E4A" w:rsidRDefault="004E0E02" w:rsidP="0084040C">
            <w:pPr>
              <w:pStyle w:val="-3"/>
              <w:rPr>
                <w:sz w:val="16"/>
                <w:szCs w:val="16"/>
                <w:rtl/>
              </w:rPr>
            </w:pPr>
            <w:r w:rsidRPr="009A7E4A">
              <w:rPr>
                <w:sz w:val="16"/>
                <w:szCs w:val="16"/>
                <w:rtl/>
              </w:rPr>
              <w:t>0</w:t>
            </w:r>
          </w:p>
        </w:tc>
        <w:tc>
          <w:tcPr>
            <w:tcW w:w="655" w:type="dxa"/>
            <w:vAlign w:val="bottom"/>
          </w:tcPr>
          <w:p w14:paraId="5F8FA80A" w14:textId="77777777" w:rsidR="004E0E02" w:rsidRPr="00513F0D" w:rsidRDefault="004E0E02" w:rsidP="0084040C">
            <w:pPr>
              <w:pStyle w:val="-3"/>
              <w:jc w:val="left"/>
              <w:rPr>
                <w:sz w:val="16"/>
                <w:szCs w:val="16"/>
                <w:rtl/>
              </w:rPr>
            </w:pPr>
            <w:r w:rsidRPr="00CF2A74">
              <w:rPr>
                <w:sz w:val="16"/>
                <w:szCs w:val="16"/>
                <w:rtl/>
              </w:rPr>
              <w:t xml:space="preserve"> -</w:t>
            </w:r>
          </w:p>
        </w:tc>
        <w:tc>
          <w:tcPr>
            <w:tcW w:w="794" w:type="dxa"/>
            <w:vAlign w:val="bottom"/>
          </w:tcPr>
          <w:p w14:paraId="252E8092" w14:textId="77777777" w:rsidR="004E0E02" w:rsidRPr="00CF2A74" w:rsidDel="00124EB4" w:rsidRDefault="004E0E02">
            <w:pPr>
              <w:pStyle w:val="-3"/>
              <w:jc w:val="left"/>
              <w:rPr>
                <w:sz w:val="16"/>
                <w:szCs w:val="16"/>
                <w:rtl/>
              </w:rPr>
            </w:pPr>
            <w:r w:rsidRPr="00CF2A74">
              <w:rPr>
                <w:sz w:val="16"/>
                <w:szCs w:val="16"/>
                <w:rtl/>
              </w:rPr>
              <w:t>-</w:t>
            </w:r>
          </w:p>
        </w:tc>
        <w:tc>
          <w:tcPr>
            <w:tcW w:w="936" w:type="dxa"/>
            <w:vAlign w:val="bottom"/>
          </w:tcPr>
          <w:p w14:paraId="04071AF6" w14:textId="77777777" w:rsidR="004E0E02" w:rsidRDefault="004E0E02">
            <w:pPr>
              <w:pStyle w:val="-3"/>
              <w:jc w:val="left"/>
              <w:rPr>
                <w:sz w:val="16"/>
                <w:szCs w:val="16"/>
                <w:rtl/>
              </w:rPr>
            </w:pPr>
            <w:r>
              <w:rPr>
                <w:rFonts w:hint="cs"/>
                <w:sz w:val="16"/>
                <w:szCs w:val="16"/>
                <w:rtl/>
              </w:rPr>
              <w:t xml:space="preserve"> 0</w:t>
            </w:r>
          </w:p>
        </w:tc>
        <w:tc>
          <w:tcPr>
            <w:tcW w:w="812" w:type="dxa"/>
            <w:vAlign w:val="bottom"/>
          </w:tcPr>
          <w:p w14:paraId="1FA21281" w14:textId="77777777" w:rsidR="004E0E02" w:rsidRPr="00513F0D" w:rsidRDefault="004E0E02" w:rsidP="0084040C">
            <w:pPr>
              <w:pStyle w:val="-3"/>
              <w:jc w:val="left"/>
              <w:rPr>
                <w:sz w:val="16"/>
                <w:szCs w:val="16"/>
                <w:rtl/>
              </w:rPr>
            </w:pPr>
            <w:r w:rsidRPr="00CF2A74">
              <w:rPr>
                <w:sz w:val="16"/>
                <w:szCs w:val="16"/>
                <w:rtl/>
              </w:rPr>
              <w:t xml:space="preserve"> -</w:t>
            </w:r>
          </w:p>
        </w:tc>
        <w:tc>
          <w:tcPr>
            <w:tcW w:w="870" w:type="dxa"/>
            <w:vAlign w:val="bottom"/>
          </w:tcPr>
          <w:p w14:paraId="27ACAF1D" w14:textId="77777777" w:rsidR="004E0E02" w:rsidRPr="00513F0D" w:rsidRDefault="004E0E02" w:rsidP="0084040C">
            <w:pPr>
              <w:pStyle w:val="-3"/>
              <w:jc w:val="left"/>
              <w:rPr>
                <w:sz w:val="16"/>
                <w:szCs w:val="16"/>
                <w:rtl/>
              </w:rPr>
            </w:pPr>
            <w:r w:rsidRPr="00CF2A74">
              <w:rPr>
                <w:sz w:val="16"/>
                <w:szCs w:val="16"/>
                <w:rtl/>
              </w:rPr>
              <w:t xml:space="preserve"> -</w:t>
            </w:r>
          </w:p>
        </w:tc>
        <w:tc>
          <w:tcPr>
            <w:tcW w:w="805" w:type="dxa"/>
            <w:vAlign w:val="bottom"/>
          </w:tcPr>
          <w:p w14:paraId="26C6B39E" w14:textId="77777777" w:rsidR="004E0E02" w:rsidRPr="00513F0D" w:rsidRDefault="004E0E02" w:rsidP="0084040C">
            <w:pPr>
              <w:pStyle w:val="-3"/>
              <w:jc w:val="left"/>
              <w:rPr>
                <w:sz w:val="16"/>
                <w:szCs w:val="16"/>
                <w:rtl/>
              </w:rPr>
            </w:pPr>
            <w:r w:rsidRPr="00CF2A74">
              <w:rPr>
                <w:sz w:val="16"/>
                <w:szCs w:val="16"/>
                <w:rtl/>
              </w:rPr>
              <w:t xml:space="preserve"> -</w:t>
            </w:r>
          </w:p>
        </w:tc>
        <w:tc>
          <w:tcPr>
            <w:tcW w:w="1141" w:type="dxa"/>
            <w:vAlign w:val="bottom"/>
          </w:tcPr>
          <w:p w14:paraId="2FE58433" w14:textId="77777777" w:rsidR="004E0E02" w:rsidRPr="00513F0D" w:rsidRDefault="004E0E02" w:rsidP="00141F15">
            <w:pPr>
              <w:pStyle w:val="-3"/>
              <w:jc w:val="left"/>
              <w:rPr>
                <w:sz w:val="16"/>
                <w:szCs w:val="16"/>
                <w:rtl/>
              </w:rPr>
            </w:pPr>
            <w:r w:rsidRPr="00CF2A74">
              <w:rPr>
                <w:sz w:val="16"/>
                <w:szCs w:val="16"/>
                <w:rtl/>
              </w:rPr>
              <w:t xml:space="preserve"> 0</w:t>
            </w:r>
          </w:p>
        </w:tc>
        <w:tc>
          <w:tcPr>
            <w:tcW w:w="710" w:type="dxa"/>
            <w:vAlign w:val="bottom"/>
          </w:tcPr>
          <w:p w14:paraId="130D5D2A" w14:textId="77777777" w:rsidR="004E0E02" w:rsidRPr="00513F0D" w:rsidRDefault="004E0E02" w:rsidP="00141F15">
            <w:pPr>
              <w:pStyle w:val="-3"/>
              <w:jc w:val="left"/>
              <w:rPr>
                <w:sz w:val="16"/>
                <w:szCs w:val="16"/>
                <w:rtl/>
              </w:rPr>
            </w:pPr>
            <w:r w:rsidRPr="00CF2A74">
              <w:rPr>
                <w:sz w:val="16"/>
                <w:szCs w:val="16"/>
                <w:rtl/>
              </w:rPr>
              <w:t xml:space="preserve"> 0</w:t>
            </w:r>
          </w:p>
        </w:tc>
        <w:tc>
          <w:tcPr>
            <w:tcW w:w="748" w:type="dxa"/>
            <w:vAlign w:val="bottom"/>
          </w:tcPr>
          <w:p w14:paraId="02BBD66C"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69B532C0" w14:textId="77777777" w:rsidTr="00106371">
        <w:tc>
          <w:tcPr>
            <w:tcW w:w="850" w:type="dxa"/>
          </w:tcPr>
          <w:p w14:paraId="3CE73E0E" w14:textId="77777777" w:rsidR="004E0E02" w:rsidRPr="00513F0D" w:rsidRDefault="004E0E02" w:rsidP="0084040C">
            <w:pPr>
              <w:pStyle w:val="-7"/>
              <w:bidi w:val="0"/>
              <w:ind w:right="-231"/>
              <w:jc w:val="left"/>
              <w:rPr>
                <w:spacing w:val="-6"/>
                <w:sz w:val="16"/>
                <w:szCs w:val="16"/>
                <w:rtl/>
              </w:rPr>
            </w:pPr>
          </w:p>
        </w:tc>
        <w:tc>
          <w:tcPr>
            <w:tcW w:w="2203" w:type="dxa"/>
            <w:vAlign w:val="bottom"/>
          </w:tcPr>
          <w:p w14:paraId="0E448105" w14:textId="77777777" w:rsidR="004E0E02" w:rsidRPr="00513F0D" w:rsidRDefault="004E0E02" w:rsidP="0084040C">
            <w:pPr>
              <w:pStyle w:val="-0"/>
              <w:rPr>
                <w:sz w:val="16"/>
                <w:szCs w:val="16"/>
                <w:rtl/>
              </w:rPr>
            </w:pPr>
            <w:r w:rsidRPr="00CF2A74">
              <w:rPr>
                <w:rFonts w:hint="eastAsia"/>
                <w:sz w:val="16"/>
                <w:szCs w:val="16"/>
                <w:rtl/>
              </w:rPr>
              <w:t>הטבות</w:t>
            </w:r>
            <w:r w:rsidRPr="00CF2A74">
              <w:rPr>
                <w:sz w:val="16"/>
                <w:szCs w:val="16"/>
                <w:rtl/>
              </w:rPr>
              <w:t xml:space="preserve"> </w:t>
            </w:r>
            <w:r w:rsidRPr="00CF2A74">
              <w:rPr>
                <w:rFonts w:hint="eastAsia"/>
                <w:sz w:val="16"/>
                <w:szCs w:val="16"/>
                <w:rtl/>
              </w:rPr>
              <w:t>שהתקבלו</w:t>
            </w:r>
            <w:r w:rsidRPr="00CF2A74">
              <w:rPr>
                <w:sz w:val="16"/>
                <w:szCs w:val="16"/>
                <w:rtl/>
              </w:rPr>
              <w:t xml:space="preserve"> </w:t>
            </w:r>
            <w:r w:rsidRPr="00CF2A74">
              <w:rPr>
                <w:rFonts w:hint="eastAsia"/>
                <w:sz w:val="16"/>
                <w:szCs w:val="16"/>
                <w:rtl/>
              </w:rPr>
              <w:t>מבעל</w:t>
            </w:r>
            <w:r w:rsidRPr="00CF2A74">
              <w:rPr>
                <w:sz w:val="16"/>
                <w:szCs w:val="16"/>
                <w:rtl/>
              </w:rPr>
              <w:t xml:space="preserve"> </w:t>
            </w:r>
            <w:r w:rsidRPr="00CF2A74">
              <w:rPr>
                <w:rFonts w:hint="eastAsia"/>
                <w:sz w:val="16"/>
                <w:szCs w:val="16"/>
                <w:rtl/>
              </w:rPr>
              <w:t>שליטה</w:t>
            </w:r>
          </w:p>
        </w:tc>
        <w:tc>
          <w:tcPr>
            <w:tcW w:w="766" w:type="dxa"/>
            <w:vAlign w:val="bottom"/>
          </w:tcPr>
          <w:p w14:paraId="75165FCD" w14:textId="77777777" w:rsidR="004E0E02" w:rsidRPr="00513F0D" w:rsidRDefault="004E0E02" w:rsidP="0084040C">
            <w:pPr>
              <w:pStyle w:val="-3"/>
              <w:rPr>
                <w:sz w:val="16"/>
                <w:szCs w:val="16"/>
                <w:rtl/>
              </w:rPr>
            </w:pPr>
            <w:r w:rsidRPr="00CF2A74">
              <w:rPr>
                <w:sz w:val="16"/>
                <w:szCs w:val="16"/>
                <w:rtl/>
              </w:rPr>
              <w:t>-</w:t>
            </w:r>
          </w:p>
        </w:tc>
        <w:tc>
          <w:tcPr>
            <w:tcW w:w="846" w:type="dxa"/>
            <w:vAlign w:val="bottom"/>
          </w:tcPr>
          <w:p w14:paraId="76662425" w14:textId="77777777" w:rsidR="004E0E02" w:rsidRPr="00513F0D" w:rsidRDefault="004E0E02" w:rsidP="0084040C">
            <w:pPr>
              <w:pStyle w:val="-3"/>
              <w:rPr>
                <w:sz w:val="16"/>
                <w:szCs w:val="16"/>
                <w:rtl/>
              </w:rPr>
            </w:pPr>
            <w:r w:rsidRPr="00CF2A74">
              <w:rPr>
                <w:sz w:val="16"/>
                <w:szCs w:val="16"/>
                <w:rtl/>
              </w:rPr>
              <w:t>-</w:t>
            </w:r>
          </w:p>
        </w:tc>
        <w:tc>
          <w:tcPr>
            <w:tcW w:w="957" w:type="dxa"/>
            <w:vAlign w:val="bottom"/>
          </w:tcPr>
          <w:p w14:paraId="47859634" w14:textId="77777777" w:rsidR="004E0E02" w:rsidRPr="00513F0D" w:rsidRDefault="004E0E02" w:rsidP="0084040C">
            <w:pPr>
              <w:pStyle w:val="-3"/>
              <w:rPr>
                <w:sz w:val="16"/>
                <w:szCs w:val="16"/>
                <w:rtl/>
              </w:rPr>
            </w:pPr>
            <w:r w:rsidRPr="00CF2A74">
              <w:rPr>
                <w:sz w:val="16"/>
                <w:szCs w:val="16"/>
                <w:rtl/>
              </w:rPr>
              <w:t>-</w:t>
            </w:r>
          </w:p>
        </w:tc>
        <w:tc>
          <w:tcPr>
            <w:tcW w:w="807" w:type="dxa"/>
            <w:vAlign w:val="bottom"/>
          </w:tcPr>
          <w:p w14:paraId="6AE01EFB" w14:textId="77777777" w:rsidR="004E0E02" w:rsidRPr="00513F0D" w:rsidRDefault="004E0E02" w:rsidP="0084040C">
            <w:pPr>
              <w:pStyle w:val="-3"/>
              <w:rPr>
                <w:sz w:val="16"/>
                <w:szCs w:val="16"/>
                <w:rtl/>
              </w:rPr>
            </w:pPr>
            <w:r w:rsidRPr="00CF2A74">
              <w:rPr>
                <w:sz w:val="16"/>
                <w:szCs w:val="16"/>
                <w:rtl/>
              </w:rPr>
              <w:t>-</w:t>
            </w:r>
          </w:p>
        </w:tc>
        <w:tc>
          <w:tcPr>
            <w:tcW w:w="1079" w:type="dxa"/>
            <w:vAlign w:val="bottom"/>
          </w:tcPr>
          <w:p w14:paraId="33117813"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4038322A" w14:textId="77777777" w:rsidR="004E0E02" w:rsidRPr="00513F0D" w:rsidRDefault="004E0E02" w:rsidP="0084040C">
            <w:pPr>
              <w:pStyle w:val="-3"/>
              <w:jc w:val="left"/>
              <w:rPr>
                <w:sz w:val="16"/>
                <w:szCs w:val="16"/>
                <w:rtl/>
              </w:rPr>
            </w:pPr>
            <w:r w:rsidRPr="00CF2A74">
              <w:rPr>
                <w:sz w:val="16"/>
                <w:szCs w:val="16"/>
                <w:rtl/>
              </w:rPr>
              <w:t xml:space="preserve"> 0</w:t>
            </w:r>
          </w:p>
        </w:tc>
        <w:tc>
          <w:tcPr>
            <w:tcW w:w="794" w:type="dxa"/>
            <w:vAlign w:val="bottom"/>
          </w:tcPr>
          <w:p w14:paraId="46E9571D" w14:textId="77777777" w:rsidR="004E0E02" w:rsidRPr="00CF2A74" w:rsidRDefault="004E0E02" w:rsidP="0084040C">
            <w:pPr>
              <w:pStyle w:val="-3"/>
              <w:jc w:val="left"/>
              <w:rPr>
                <w:sz w:val="16"/>
                <w:szCs w:val="16"/>
                <w:rtl/>
              </w:rPr>
            </w:pPr>
            <w:r w:rsidRPr="00CF2A74">
              <w:rPr>
                <w:sz w:val="16"/>
                <w:szCs w:val="16"/>
                <w:rtl/>
              </w:rPr>
              <w:t>-</w:t>
            </w:r>
          </w:p>
        </w:tc>
        <w:tc>
          <w:tcPr>
            <w:tcW w:w="936" w:type="dxa"/>
            <w:vAlign w:val="bottom"/>
          </w:tcPr>
          <w:p w14:paraId="00BFD5EC" w14:textId="77777777" w:rsidR="004E0E02" w:rsidRPr="00513F0D" w:rsidRDefault="004E0E02" w:rsidP="0084040C">
            <w:pPr>
              <w:pStyle w:val="-3"/>
              <w:jc w:val="left"/>
              <w:rPr>
                <w:sz w:val="16"/>
                <w:szCs w:val="16"/>
                <w:rtl/>
              </w:rPr>
            </w:pPr>
            <w:r w:rsidRPr="00CF2A74">
              <w:rPr>
                <w:sz w:val="16"/>
                <w:szCs w:val="16"/>
                <w:rtl/>
              </w:rPr>
              <w:t xml:space="preserve"> 0</w:t>
            </w:r>
          </w:p>
        </w:tc>
        <w:tc>
          <w:tcPr>
            <w:tcW w:w="812" w:type="dxa"/>
            <w:vAlign w:val="bottom"/>
          </w:tcPr>
          <w:p w14:paraId="5A7E5ECD" w14:textId="77777777" w:rsidR="004E0E02" w:rsidRPr="00513F0D" w:rsidRDefault="004E0E02" w:rsidP="0084040C">
            <w:pPr>
              <w:pStyle w:val="-3"/>
              <w:jc w:val="left"/>
              <w:rPr>
                <w:sz w:val="16"/>
                <w:szCs w:val="16"/>
                <w:rtl/>
              </w:rPr>
            </w:pPr>
            <w:r w:rsidRPr="00CF2A74">
              <w:rPr>
                <w:sz w:val="16"/>
                <w:szCs w:val="16"/>
                <w:rtl/>
              </w:rPr>
              <w:t xml:space="preserve"> -</w:t>
            </w:r>
          </w:p>
        </w:tc>
        <w:tc>
          <w:tcPr>
            <w:tcW w:w="870" w:type="dxa"/>
            <w:vAlign w:val="bottom"/>
          </w:tcPr>
          <w:p w14:paraId="3D07D4C9" w14:textId="77777777" w:rsidR="004E0E02" w:rsidRPr="00513F0D" w:rsidRDefault="004E0E02" w:rsidP="0084040C">
            <w:pPr>
              <w:pStyle w:val="-3"/>
              <w:jc w:val="left"/>
              <w:rPr>
                <w:sz w:val="16"/>
                <w:szCs w:val="16"/>
                <w:rtl/>
              </w:rPr>
            </w:pPr>
            <w:r w:rsidRPr="00CF2A74">
              <w:rPr>
                <w:sz w:val="16"/>
                <w:szCs w:val="16"/>
                <w:rtl/>
              </w:rPr>
              <w:t xml:space="preserve"> -</w:t>
            </w:r>
          </w:p>
        </w:tc>
        <w:tc>
          <w:tcPr>
            <w:tcW w:w="805" w:type="dxa"/>
            <w:vAlign w:val="bottom"/>
          </w:tcPr>
          <w:p w14:paraId="707B010D" w14:textId="77777777" w:rsidR="004E0E02" w:rsidRPr="00513F0D" w:rsidRDefault="004E0E02" w:rsidP="0084040C">
            <w:pPr>
              <w:pStyle w:val="-3"/>
              <w:jc w:val="left"/>
              <w:rPr>
                <w:sz w:val="16"/>
                <w:szCs w:val="16"/>
                <w:rtl/>
              </w:rPr>
            </w:pPr>
            <w:r w:rsidRPr="00CF2A74">
              <w:rPr>
                <w:sz w:val="16"/>
                <w:szCs w:val="16"/>
                <w:rtl/>
              </w:rPr>
              <w:t xml:space="preserve"> -</w:t>
            </w:r>
          </w:p>
        </w:tc>
        <w:tc>
          <w:tcPr>
            <w:tcW w:w="1141" w:type="dxa"/>
            <w:vAlign w:val="bottom"/>
          </w:tcPr>
          <w:p w14:paraId="39E44E5A" w14:textId="77777777" w:rsidR="004E0E02" w:rsidRPr="00513F0D" w:rsidRDefault="004E0E02" w:rsidP="0084040C">
            <w:pPr>
              <w:pStyle w:val="-3"/>
              <w:jc w:val="left"/>
              <w:rPr>
                <w:sz w:val="16"/>
                <w:szCs w:val="16"/>
                <w:rtl/>
              </w:rPr>
            </w:pPr>
            <w:r w:rsidRPr="00CF2A74">
              <w:rPr>
                <w:sz w:val="16"/>
                <w:szCs w:val="16"/>
                <w:rtl/>
              </w:rPr>
              <w:t xml:space="preserve"> 0</w:t>
            </w:r>
          </w:p>
        </w:tc>
        <w:tc>
          <w:tcPr>
            <w:tcW w:w="710" w:type="dxa"/>
            <w:vAlign w:val="bottom"/>
          </w:tcPr>
          <w:p w14:paraId="069EABA4" w14:textId="77777777" w:rsidR="004E0E02" w:rsidRPr="00513F0D" w:rsidRDefault="004E0E02" w:rsidP="0084040C">
            <w:pPr>
              <w:pStyle w:val="-3"/>
              <w:jc w:val="left"/>
              <w:rPr>
                <w:sz w:val="16"/>
                <w:szCs w:val="16"/>
                <w:rtl/>
              </w:rPr>
            </w:pPr>
            <w:r w:rsidRPr="00CF2A74">
              <w:rPr>
                <w:sz w:val="16"/>
                <w:szCs w:val="16"/>
                <w:rtl/>
              </w:rPr>
              <w:t xml:space="preserve"> 0</w:t>
            </w:r>
          </w:p>
        </w:tc>
        <w:tc>
          <w:tcPr>
            <w:tcW w:w="748" w:type="dxa"/>
            <w:vAlign w:val="bottom"/>
          </w:tcPr>
          <w:p w14:paraId="102B56FF" w14:textId="77777777" w:rsidR="004E0E02" w:rsidRPr="00513F0D" w:rsidRDefault="004E0E02" w:rsidP="0084040C">
            <w:pPr>
              <w:pStyle w:val="-3"/>
              <w:jc w:val="left"/>
              <w:rPr>
                <w:sz w:val="16"/>
                <w:szCs w:val="16"/>
                <w:rtl/>
              </w:rPr>
            </w:pPr>
            <w:r w:rsidRPr="00CF2A74">
              <w:rPr>
                <w:sz w:val="16"/>
                <w:szCs w:val="16"/>
                <w:rtl/>
              </w:rPr>
              <w:t xml:space="preserve"> 0</w:t>
            </w:r>
          </w:p>
        </w:tc>
      </w:tr>
      <w:tr w:rsidR="004E0E02" w:rsidRPr="00513F0D" w14:paraId="43C4E4A6" w14:textId="77777777" w:rsidTr="00106371">
        <w:tc>
          <w:tcPr>
            <w:tcW w:w="850" w:type="dxa"/>
          </w:tcPr>
          <w:p w14:paraId="6768DFD7" w14:textId="77777777" w:rsidR="004E0E02" w:rsidRPr="00513F0D" w:rsidRDefault="004E0E02" w:rsidP="0084040C">
            <w:pPr>
              <w:pStyle w:val="-7"/>
              <w:bidi w:val="0"/>
              <w:ind w:right="-231"/>
              <w:jc w:val="left"/>
              <w:rPr>
                <w:spacing w:val="-6"/>
                <w:sz w:val="16"/>
                <w:szCs w:val="16"/>
                <w:rtl/>
              </w:rPr>
            </w:pPr>
          </w:p>
        </w:tc>
        <w:tc>
          <w:tcPr>
            <w:tcW w:w="2203" w:type="dxa"/>
            <w:vAlign w:val="bottom"/>
          </w:tcPr>
          <w:p w14:paraId="3D60311E" w14:textId="77777777" w:rsidR="004E0E02" w:rsidRPr="00513F0D" w:rsidRDefault="004E0E02" w:rsidP="0084040C">
            <w:pPr>
              <w:pStyle w:val="-21"/>
              <w:spacing w:before="0"/>
              <w:rPr>
                <w:sz w:val="16"/>
                <w:szCs w:val="16"/>
                <w:rtl/>
              </w:rPr>
            </w:pPr>
            <w:r w:rsidRPr="00CF2A74">
              <w:rPr>
                <w:rFonts w:hint="eastAsia"/>
                <w:sz w:val="16"/>
                <w:szCs w:val="16"/>
                <w:rtl/>
              </w:rPr>
              <w:t>זכויות</w:t>
            </w:r>
            <w:r w:rsidRPr="00CF2A74">
              <w:rPr>
                <w:sz w:val="16"/>
                <w:szCs w:val="16"/>
                <w:rtl/>
              </w:rPr>
              <w:t xml:space="preserve"> </w:t>
            </w:r>
            <w:r w:rsidRPr="00CF2A74">
              <w:rPr>
                <w:rFonts w:hint="eastAsia"/>
                <w:sz w:val="16"/>
                <w:szCs w:val="16"/>
                <w:rtl/>
              </w:rPr>
              <w:t>שאינן</w:t>
            </w:r>
            <w:r w:rsidRPr="00CF2A74">
              <w:rPr>
                <w:sz w:val="16"/>
                <w:szCs w:val="16"/>
                <w:rtl/>
              </w:rPr>
              <w:t xml:space="preserve"> </w:t>
            </w:r>
            <w:r w:rsidRPr="00CF2A74">
              <w:rPr>
                <w:rFonts w:hint="eastAsia"/>
                <w:sz w:val="16"/>
                <w:szCs w:val="16"/>
                <w:rtl/>
              </w:rPr>
              <w:t>מקנות</w:t>
            </w:r>
            <w:r w:rsidRPr="00CF2A74">
              <w:rPr>
                <w:sz w:val="16"/>
                <w:szCs w:val="16"/>
                <w:rtl/>
              </w:rPr>
              <w:t xml:space="preserve"> </w:t>
            </w:r>
            <w:r w:rsidRPr="00CF2A74">
              <w:rPr>
                <w:rFonts w:hint="eastAsia"/>
                <w:sz w:val="16"/>
                <w:szCs w:val="16"/>
                <w:rtl/>
              </w:rPr>
              <w:t>שליטה</w:t>
            </w:r>
            <w:r w:rsidRPr="00CF2A74">
              <w:rPr>
                <w:sz w:val="16"/>
                <w:szCs w:val="16"/>
                <w:rtl/>
              </w:rPr>
              <w:t xml:space="preserve"> </w:t>
            </w:r>
            <w:r w:rsidRPr="00CF2A74">
              <w:rPr>
                <w:rFonts w:hint="eastAsia"/>
                <w:sz w:val="16"/>
                <w:szCs w:val="16"/>
                <w:rtl/>
              </w:rPr>
              <w:t>שנוצרו</w:t>
            </w:r>
            <w:r w:rsidRPr="00CF2A74">
              <w:rPr>
                <w:sz w:val="16"/>
                <w:szCs w:val="16"/>
                <w:rtl/>
              </w:rPr>
              <w:t xml:space="preserve"> </w:t>
            </w:r>
            <w:r w:rsidRPr="00CF2A74">
              <w:rPr>
                <w:rFonts w:hint="eastAsia"/>
                <w:sz w:val="16"/>
                <w:szCs w:val="16"/>
                <w:rtl/>
              </w:rPr>
              <w:t>בצירוף</w:t>
            </w:r>
            <w:r w:rsidRPr="00CF2A74">
              <w:rPr>
                <w:sz w:val="16"/>
                <w:szCs w:val="16"/>
                <w:rtl/>
              </w:rPr>
              <w:t xml:space="preserve"> </w:t>
            </w:r>
            <w:r w:rsidRPr="00CF2A74">
              <w:rPr>
                <w:rFonts w:hint="eastAsia"/>
                <w:sz w:val="16"/>
                <w:szCs w:val="16"/>
                <w:rtl/>
              </w:rPr>
              <w:t>עסקים</w:t>
            </w:r>
          </w:p>
        </w:tc>
        <w:tc>
          <w:tcPr>
            <w:tcW w:w="766" w:type="dxa"/>
            <w:vAlign w:val="bottom"/>
          </w:tcPr>
          <w:p w14:paraId="2E4928F6" w14:textId="77777777" w:rsidR="004E0E02" w:rsidRPr="00513F0D" w:rsidRDefault="004E0E02" w:rsidP="0084040C">
            <w:pPr>
              <w:pStyle w:val="-3"/>
              <w:rPr>
                <w:sz w:val="16"/>
                <w:szCs w:val="16"/>
                <w:rtl/>
              </w:rPr>
            </w:pPr>
            <w:r w:rsidRPr="00CF2A74">
              <w:rPr>
                <w:sz w:val="16"/>
                <w:szCs w:val="16"/>
                <w:rtl/>
              </w:rPr>
              <w:t>-</w:t>
            </w:r>
          </w:p>
        </w:tc>
        <w:tc>
          <w:tcPr>
            <w:tcW w:w="846" w:type="dxa"/>
            <w:vAlign w:val="bottom"/>
          </w:tcPr>
          <w:p w14:paraId="47B52FC5" w14:textId="77777777" w:rsidR="004E0E02" w:rsidRPr="00513F0D" w:rsidRDefault="004E0E02" w:rsidP="0084040C">
            <w:pPr>
              <w:pStyle w:val="-3"/>
              <w:rPr>
                <w:sz w:val="16"/>
                <w:szCs w:val="16"/>
                <w:rtl/>
              </w:rPr>
            </w:pPr>
            <w:r w:rsidRPr="00CF2A74">
              <w:rPr>
                <w:sz w:val="16"/>
                <w:szCs w:val="16"/>
                <w:rtl/>
              </w:rPr>
              <w:t>-</w:t>
            </w:r>
          </w:p>
        </w:tc>
        <w:tc>
          <w:tcPr>
            <w:tcW w:w="957" w:type="dxa"/>
            <w:vAlign w:val="bottom"/>
          </w:tcPr>
          <w:p w14:paraId="0CF68092" w14:textId="77777777" w:rsidR="004E0E02" w:rsidRPr="00513F0D" w:rsidRDefault="004E0E02" w:rsidP="0084040C">
            <w:pPr>
              <w:pStyle w:val="-3"/>
              <w:rPr>
                <w:sz w:val="16"/>
                <w:szCs w:val="16"/>
                <w:rtl/>
              </w:rPr>
            </w:pPr>
            <w:r w:rsidRPr="00CF2A74">
              <w:rPr>
                <w:sz w:val="16"/>
                <w:szCs w:val="16"/>
                <w:rtl/>
              </w:rPr>
              <w:t>-</w:t>
            </w:r>
          </w:p>
        </w:tc>
        <w:tc>
          <w:tcPr>
            <w:tcW w:w="807" w:type="dxa"/>
            <w:vAlign w:val="bottom"/>
          </w:tcPr>
          <w:p w14:paraId="67AF1902" w14:textId="77777777" w:rsidR="004E0E02" w:rsidRPr="00513F0D" w:rsidRDefault="004E0E02" w:rsidP="0084040C">
            <w:pPr>
              <w:pStyle w:val="-3"/>
              <w:rPr>
                <w:sz w:val="16"/>
                <w:szCs w:val="16"/>
                <w:rtl/>
              </w:rPr>
            </w:pPr>
            <w:r w:rsidRPr="00CF2A74">
              <w:rPr>
                <w:sz w:val="16"/>
                <w:szCs w:val="16"/>
                <w:rtl/>
              </w:rPr>
              <w:t>-</w:t>
            </w:r>
          </w:p>
        </w:tc>
        <w:tc>
          <w:tcPr>
            <w:tcW w:w="1079" w:type="dxa"/>
            <w:vAlign w:val="bottom"/>
          </w:tcPr>
          <w:p w14:paraId="435F55DE"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3B6DEDF4" w14:textId="77777777" w:rsidR="004E0E02" w:rsidRPr="00513F0D" w:rsidRDefault="004E0E02" w:rsidP="0084040C">
            <w:pPr>
              <w:pStyle w:val="-3"/>
              <w:jc w:val="left"/>
              <w:rPr>
                <w:sz w:val="16"/>
                <w:szCs w:val="16"/>
                <w:rtl/>
              </w:rPr>
            </w:pPr>
            <w:r w:rsidRPr="00CF2A74">
              <w:rPr>
                <w:sz w:val="16"/>
                <w:szCs w:val="16"/>
                <w:rtl/>
              </w:rPr>
              <w:t xml:space="preserve"> -</w:t>
            </w:r>
          </w:p>
        </w:tc>
        <w:tc>
          <w:tcPr>
            <w:tcW w:w="794" w:type="dxa"/>
            <w:vAlign w:val="bottom"/>
          </w:tcPr>
          <w:p w14:paraId="034E8E59" w14:textId="77777777" w:rsidR="004E0E02" w:rsidRPr="00CF2A74" w:rsidRDefault="004E0E02" w:rsidP="0084040C">
            <w:pPr>
              <w:pStyle w:val="-3"/>
              <w:jc w:val="left"/>
              <w:rPr>
                <w:sz w:val="16"/>
                <w:szCs w:val="16"/>
                <w:rtl/>
              </w:rPr>
            </w:pPr>
            <w:r w:rsidRPr="00CF2A74">
              <w:rPr>
                <w:sz w:val="16"/>
                <w:szCs w:val="16"/>
                <w:rtl/>
              </w:rPr>
              <w:t>-</w:t>
            </w:r>
          </w:p>
        </w:tc>
        <w:tc>
          <w:tcPr>
            <w:tcW w:w="936" w:type="dxa"/>
            <w:vAlign w:val="bottom"/>
          </w:tcPr>
          <w:p w14:paraId="77B7A49A" w14:textId="77777777" w:rsidR="004E0E02" w:rsidRPr="00513F0D" w:rsidRDefault="004E0E02" w:rsidP="0084040C">
            <w:pPr>
              <w:pStyle w:val="-3"/>
              <w:jc w:val="left"/>
              <w:rPr>
                <w:sz w:val="16"/>
                <w:szCs w:val="16"/>
                <w:rtl/>
              </w:rPr>
            </w:pPr>
            <w:r w:rsidRPr="00CF2A74">
              <w:rPr>
                <w:sz w:val="16"/>
                <w:szCs w:val="16"/>
                <w:rtl/>
              </w:rPr>
              <w:t xml:space="preserve"> -</w:t>
            </w:r>
          </w:p>
        </w:tc>
        <w:tc>
          <w:tcPr>
            <w:tcW w:w="812" w:type="dxa"/>
            <w:vAlign w:val="bottom"/>
          </w:tcPr>
          <w:p w14:paraId="5B329198" w14:textId="77777777" w:rsidR="004E0E02" w:rsidRPr="00513F0D" w:rsidRDefault="004E0E02" w:rsidP="0084040C">
            <w:pPr>
              <w:pStyle w:val="-3"/>
              <w:jc w:val="left"/>
              <w:rPr>
                <w:sz w:val="16"/>
                <w:szCs w:val="16"/>
                <w:rtl/>
              </w:rPr>
            </w:pPr>
            <w:r w:rsidRPr="00CF2A74">
              <w:rPr>
                <w:sz w:val="16"/>
                <w:szCs w:val="16"/>
                <w:rtl/>
              </w:rPr>
              <w:t xml:space="preserve"> -</w:t>
            </w:r>
          </w:p>
        </w:tc>
        <w:tc>
          <w:tcPr>
            <w:tcW w:w="870" w:type="dxa"/>
            <w:vAlign w:val="bottom"/>
          </w:tcPr>
          <w:p w14:paraId="3E08697B" w14:textId="77777777" w:rsidR="004E0E02" w:rsidRPr="00513F0D" w:rsidRDefault="004E0E02" w:rsidP="0084040C">
            <w:pPr>
              <w:pStyle w:val="-3"/>
              <w:jc w:val="left"/>
              <w:rPr>
                <w:sz w:val="16"/>
                <w:szCs w:val="16"/>
                <w:rtl/>
              </w:rPr>
            </w:pPr>
            <w:r w:rsidRPr="00CF2A74">
              <w:rPr>
                <w:sz w:val="16"/>
                <w:szCs w:val="16"/>
                <w:rtl/>
              </w:rPr>
              <w:t xml:space="preserve"> -</w:t>
            </w:r>
          </w:p>
        </w:tc>
        <w:tc>
          <w:tcPr>
            <w:tcW w:w="805" w:type="dxa"/>
            <w:vAlign w:val="bottom"/>
          </w:tcPr>
          <w:p w14:paraId="63C377C9" w14:textId="77777777" w:rsidR="004E0E02" w:rsidRPr="00513F0D" w:rsidRDefault="004E0E02" w:rsidP="0084040C">
            <w:pPr>
              <w:pStyle w:val="-3"/>
              <w:jc w:val="left"/>
              <w:rPr>
                <w:sz w:val="16"/>
                <w:szCs w:val="16"/>
                <w:rtl/>
              </w:rPr>
            </w:pPr>
            <w:r w:rsidRPr="00CF2A74">
              <w:rPr>
                <w:sz w:val="16"/>
                <w:szCs w:val="16"/>
                <w:rtl/>
              </w:rPr>
              <w:t xml:space="preserve"> -</w:t>
            </w:r>
          </w:p>
        </w:tc>
        <w:tc>
          <w:tcPr>
            <w:tcW w:w="1141" w:type="dxa"/>
            <w:vAlign w:val="bottom"/>
          </w:tcPr>
          <w:p w14:paraId="5CD74DA2" w14:textId="77777777" w:rsidR="004E0E02" w:rsidRPr="00513F0D" w:rsidRDefault="004E0E02" w:rsidP="00141F15">
            <w:pPr>
              <w:pStyle w:val="-3"/>
              <w:jc w:val="left"/>
              <w:rPr>
                <w:sz w:val="16"/>
                <w:szCs w:val="16"/>
                <w:rtl/>
              </w:rPr>
            </w:pPr>
            <w:r>
              <w:rPr>
                <w:rFonts w:hint="cs"/>
                <w:sz w:val="16"/>
                <w:szCs w:val="16"/>
                <w:rtl/>
              </w:rPr>
              <w:t xml:space="preserve"> -</w:t>
            </w:r>
          </w:p>
        </w:tc>
        <w:tc>
          <w:tcPr>
            <w:tcW w:w="710" w:type="dxa"/>
            <w:vAlign w:val="bottom"/>
          </w:tcPr>
          <w:p w14:paraId="4ACA241B" w14:textId="77777777" w:rsidR="004E0E02" w:rsidRPr="00513F0D" w:rsidRDefault="004E0E02" w:rsidP="00141F15">
            <w:pPr>
              <w:pStyle w:val="-3"/>
              <w:jc w:val="left"/>
              <w:rPr>
                <w:sz w:val="16"/>
                <w:szCs w:val="16"/>
                <w:rtl/>
              </w:rPr>
            </w:pPr>
            <w:r w:rsidRPr="00CF2A74">
              <w:rPr>
                <w:sz w:val="16"/>
                <w:szCs w:val="16"/>
                <w:rtl/>
              </w:rPr>
              <w:t xml:space="preserve"> 0</w:t>
            </w:r>
          </w:p>
        </w:tc>
        <w:tc>
          <w:tcPr>
            <w:tcW w:w="748" w:type="dxa"/>
            <w:vAlign w:val="bottom"/>
          </w:tcPr>
          <w:p w14:paraId="47D7FAFF"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05039D40" w14:textId="77777777" w:rsidTr="00106371">
        <w:tc>
          <w:tcPr>
            <w:tcW w:w="850" w:type="dxa"/>
          </w:tcPr>
          <w:p w14:paraId="7384903D" w14:textId="77777777" w:rsidR="004E0E02" w:rsidRPr="00513F0D" w:rsidRDefault="004E0E02" w:rsidP="0084040C">
            <w:pPr>
              <w:pStyle w:val="-7"/>
              <w:bidi w:val="0"/>
              <w:ind w:right="-231"/>
              <w:jc w:val="left"/>
              <w:rPr>
                <w:spacing w:val="-6"/>
                <w:sz w:val="16"/>
                <w:szCs w:val="16"/>
                <w:rtl/>
              </w:rPr>
            </w:pPr>
          </w:p>
        </w:tc>
        <w:tc>
          <w:tcPr>
            <w:tcW w:w="2203" w:type="dxa"/>
            <w:vAlign w:val="bottom"/>
          </w:tcPr>
          <w:p w14:paraId="3F9E6F7E" w14:textId="77777777" w:rsidR="004E0E02" w:rsidRDefault="004E0E02">
            <w:pPr>
              <w:pStyle w:val="-21"/>
              <w:spacing w:before="0"/>
              <w:rPr>
                <w:sz w:val="16"/>
                <w:szCs w:val="16"/>
                <w:rtl/>
              </w:rPr>
            </w:pPr>
            <w:r w:rsidRPr="00CF2A74">
              <w:rPr>
                <w:rFonts w:hint="eastAsia"/>
                <w:sz w:val="16"/>
                <w:szCs w:val="16"/>
                <w:rtl/>
              </w:rPr>
              <w:t>רכישת</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באוצר</w:t>
            </w:r>
            <w:r w:rsidRPr="00CF2A74">
              <w:rPr>
                <w:sz w:val="16"/>
                <w:szCs w:val="16"/>
                <w:rtl/>
              </w:rPr>
              <w:t xml:space="preserve"> </w:t>
            </w:r>
            <w:r w:rsidRPr="00CF2A74">
              <w:rPr>
                <w:rFonts w:hint="eastAsia"/>
                <w:sz w:val="16"/>
                <w:szCs w:val="16"/>
                <w:rtl/>
              </w:rPr>
              <w:t>על</w:t>
            </w:r>
            <w:r w:rsidRPr="00CF2A74">
              <w:rPr>
                <w:sz w:val="16"/>
                <w:szCs w:val="16"/>
                <w:rtl/>
              </w:rPr>
              <w:t xml:space="preserve"> </w:t>
            </w:r>
            <w:r w:rsidRPr="00CF2A74">
              <w:rPr>
                <w:rFonts w:hint="eastAsia"/>
                <w:sz w:val="16"/>
                <w:szCs w:val="16"/>
                <w:rtl/>
              </w:rPr>
              <w:t>ידי</w:t>
            </w:r>
            <w:r w:rsidRPr="00CF2A74">
              <w:rPr>
                <w:sz w:val="16"/>
                <w:szCs w:val="16"/>
                <w:rtl/>
              </w:rPr>
              <w:t xml:space="preserve"> </w:t>
            </w:r>
            <w:r w:rsidRPr="00CF2A74">
              <w:rPr>
                <w:rFonts w:hint="eastAsia"/>
                <w:sz w:val="16"/>
                <w:szCs w:val="16"/>
                <w:rtl/>
              </w:rPr>
              <w:t>התאגיד</w:t>
            </w:r>
            <w:r w:rsidRPr="00CF2A74">
              <w:rPr>
                <w:sz w:val="16"/>
                <w:szCs w:val="16"/>
                <w:rtl/>
              </w:rPr>
              <w:t xml:space="preserve"> </w:t>
            </w:r>
            <w:r w:rsidRPr="00CF2A74">
              <w:rPr>
                <w:rFonts w:hint="eastAsia"/>
                <w:sz w:val="16"/>
                <w:szCs w:val="16"/>
                <w:rtl/>
              </w:rPr>
              <w:t>הבנקאי</w:t>
            </w:r>
            <w:r w:rsidRPr="00CF2A74">
              <w:rPr>
                <w:sz w:val="16"/>
                <w:szCs w:val="16"/>
                <w:rtl/>
              </w:rPr>
              <w:t>/</w:t>
            </w:r>
            <w:r w:rsidRPr="00CF2A74">
              <w:rPr>
                <w:rFonts w:hint="eastAsia"/>
                <w:sz w:val="16"/>
                <w:szCs w:val="16"/>
                <w:rtl/>
              </w:rPr>
              <w:t>חברה</w:t>
            </w:r>
            <w:r w:rsidRPr="00CF2A74">
              <w:rPr>
                <w:sz w:val="16"/>
                <w:szCs w:val="16"/>
                <w:rtl/>
              </w:rPr>
              <w:t xml:space="preserve"> </w:t>
            </w:r>
            <w:r w:rsidRPr="00CF2A74">
              <w:rPr>
                <w:rFonts w:hint="eastAsia"/>
                <w:sz w:val="16"/>
                <w:szCs w:val="16"/>
                <w:rtl/>
              </w:rPr>
              <w:t>בת</w:t>
            </w:r>
          </w:p>
        </w:tc>
        <w:tc>
          <w:tcPr>
            <w:tcW w:w="766" w:type="dxa"/>
            <w:vAlign w:val="bottom"/>
          </w:tcPr>
          <w:p w14:paraId="3C280E03" w14:textId="77777777" w:rsidR="004E0E02" w:rsidRPr="00513F0D" w:rsidRDefault="004E0E02" w:rsidP="0084040C">
            <w:pPr>
              <w:pStyle w:val="-3"/>
              <w:rPr>
                <w:sz w:val="16"/>
                <w:szCs w:val="16"/>
                <w:rtl/>
              </w:rPr>
            </w:pPr>
            <w:r w:rsidRPr="00CF2A74">
              <w:rPr>
                <w:sz w:val="16"/>
                <w:szCs w:val="16"/>
                <w:rtl/>
              </w:rPr>
              <w:t>-</w:t>
            </w:r>
          </w:p>
        </w:tc>
        <w:tc>
          <w:tcPr>
            <w:tcW w:w="846" w:type="dxa"/>
            <w:vAlign w:val="bottom"/>
          </w:tcPr>
          <w:p w14:paraId="67AE6FBD" w14:textId="77777777" w:rsidR="004E0E02" w:rsidRPr="00513F0D" w:rsidRDefault="004E0E02" w:rsidP="0084040C">
            <w:pPr>
              <w:pStyle w:val="-3"/>
              <w:rPr>
                <w:sz w:val="16"/>
                <w:szCs w:val="16"/>
                <w:rtl/>
              </w:rPr>
            </w:pPr>
            <w:r w:rsidRPr="00CF2A74">
              <w:rPr>
                <w:sz w:val="16"/>
                <w:szCs w:val="16"/>
                <w:rtl/>
              </w:rPr>
              <w:t>-</w:t>
            </w:r>
          </w:p>
        </w:tc>
        <w:tc>
          <w:tcPr>
            <w:tcW w:w="957" w:type="dxa"/>
            <w:vAlign w:val="bottom"/>
          </w:tcPr>
          <w:p w14:paraId="2A01A005" w14:textId="77777777" w:rsidR="004E0E02" w:rsidRPr="00513F0D" w:rsidRDefault="004E0E02" w:rsidP="0084040C">
            <w:pPr>
              <w:pStyle w:val="-3"/>
              <w:rPr>
                <w:sz w:val="16"/>
                <w:szCs w:val="16"/>
                <w:rtl/>
              </w:rPr>
            </w:pPr>
            <w:r w:rsidRPr="00CF2A74">
              <w:rPr>
                <w:sz w:val="16"/>
                <w:szCs w:val="16"/>
                <w:rtl/>
              </w:rPr>
              <w:t>-</w:t>
            </w:r>
          </w:p>
        </w:tc>
        <w:tc>
          <w:tcPr>
            <w:tcW w:w="807" w:type="dxa"/>
            <w:vAlign w:val="bottom"/>
          </w:tcPr>
          <w:p w14:paraId="1B64AB0C" w14:textId="77777777" w:rsidR="004E0E02" w:rsidRPr="00513F0D" w:rsidRDefault="004E0E02" w:rsidP="0084040C">
            <w:pPr>
              <w:pStyle w:val="-3"/>
              <w:rPr>
                <w:sz w:val="16"/>
                <w:szCs w:val="16"/>
                <w:rtl/>
              </w:rPr>
            </w:pPr>
            <w:r w:rsidRPr="00CF2A74">
              <w:rPr>
                <w:sz w:val="16"/>
                <w:szCs w:val="16"/>
                <w:rtl/>
              </w:rPr>
              <w:t>-</w:t>
            </w:r>
          </w:p>
        </w:tc>
        <w:tc>
          <w:tcPr>
            <w:tcW w:w="1079" w:type="dxa"/>
            <w:vAlign w:val="bottom"/>
          </w:tcPr>
          <w:p w14:paraId="0002ACED"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01B0B11B" w14:textId="77777777" w:rsidR="004E0E02" w:rsidRPr="00513F0D" w:rsidRDefault="004E0E02" w:rsidP="0084040C">
            <w:pPr>
              <w:pStyle w:val="-3"/>
              <w:jc w:val="left"/>
              <w:rPr>
                <w:sz w:val="16"/>
                <w:szCs w:val="16"/>
                <w:rtl/>
              </w:rPr>
            </w:pPr>
            <w:r w:rsidRPr="00CF2A74">
              <w:rPr>
                <w:sz w:val="16"/>
                <w:szCs w:val="16"/>
                <w:rtl/>
              </w:rPr>
              <w:t xml:space="preserve"> -</w:t>
            </w:r>
          </w:p>
        </w:tc>
        <w:tc>
          <w:tcPr>
            <w:tcW w:w="794" w:type="dxa"/>
            <w:vAlign w:val="bottom"/>
          </w:tcPr>
          <w:p w14:paraId="72870457" w14:textId="77777777" w:rsidR="004E0E02" w:rsidRPr="00CF2A74" w:rsidRDefault="004E0E02" w:rsidP="0084040C">
            <w:pPr>
              <w:pStyle w:val="-3"/>
              <w:jc w:val="left"/>
              <w:rPr>
                <w:sz w:val="16"/>
                <w:szCs w:val="16"/>
                <w:rtl/>
              </w:rPr>
            </w:pPr>
            <w:r w:rsidRPr="00CF2A74">
              <w:rPr>
                <w:sz w:val="16"/>
                <w:szCs w:val="16"/>
                <w:rtl/>
              </w:rPr>
              <w:t>0</w:t>
            </w:r>
          </w:p>
        </w:tc>
        <w:tc>
          <w:tcPr>
            <w:tcW w:w="936" w:type="dxa"/>
            <w:vAlign w:val="bottom"/>
          </w:tcPr>
          <w:p w14:paraId="40BE79BC" w14:textId="77777777" w:rsidR="004E0E02" w:rsidRPr="00513F0D" w:rsidRDefault="004E0E02" w:rsidP="0084040C">
            <w:pPr>
              <w:pStyle w:val="-3"/>
              <w:jc w:val="left"/>
              <w:rPr>
                <w:sz w:val="16"/>
                <w:szCs w:val="16"/>
                <w:rtl/>
              </w:rPr>
            </w:pPr>
            <w:r w:rsidRPr="00CF2A74">
              <w:rPr>
                <w:sz w:val="16"/>
                <w:szCs w:val="16"/>
                <w:rtl/>
              </w:rPr>
              <w:t xml:space="preserve"> 0</w:t>
            </w:r>
          </w:p>
        </w:tc>
        <w:tc>
          <w:tcPr>
            <w:tcW w:w="812" w:type="dxa"/>
            <w:vAlign w:val="bottom"/>
          </w:tcPr>
          <w:p w14:paraId="665109F8" w14:textId="77777777" w:rsidR="004E0E02" w:rsidRPr="00513F0D" w:rsidRDefault="004E0E02" w:rsidP="0084040C">
            <w:pPr>
              <w:pStyle w:val="-3"/>
              <w:jc w:val="left"/>
              <w:rPr>
                <w:sz w:val="16"/>
                <w:szCs w:val="16"/>
                <w:rtl/>
              </w:rPr>
            </w:pPr>
            <w:r w:rsidRPr="00CF2A74">
              <w:rPr>
                <w:sz w:val="16"/>
                <w:szCs w:val="16"/>
                <w:rtl/>
              </w:rPr>
              <w:t xml:space="preserve"> -</w:t>
            </w:r>
          </w:p>
        </w:tc>
        <w:tc>
          <w:tcPr>
            <w:tcW w:w="870" w:type="dxa"/>
            <w:vAlign w:val="bottom"/>
          </w:tcPr>
          <w:p w14:paraId="4DF865C8" w14:textId="77777777" w:rsidR="004E0E02" w:rsidRPr="00513F0D" w:rsidRDefault="004E0E02" w:rsidP="0084040C">
            <w:pPr>
              <w:pStyle w:val="-3"/>
              <w:jc w:val="left"/>
              <w:rPr>
                <w:sz w:val="16"/>
                <w:szCs w:val="16"/>
                <w:rtl/>
              </w:rPr>
            </w:pPr>
            <w:r w:rsidRPr="00CF2A74">
              <w:rPr>
                <w:sz w:val="16"/>
                <w:szCs w:val="16"/>
                <w:rtl/>
              </w:rPr>
              <w:t xml:space="preserve"> -</w:t>
            </w:r>
          </w:p>
        </w:tc>
        <w:tc>
          <w:tcPr>
            <w:tcW w:w="805" w:type="dxa"/>
            <w:vAlign w:val="bottom"/>
          </w:tcPr>
          <w:p w14:paraId="4D6578B5" w14:textId="77777777" w:rsidR="004E0E02" w:rsidRPr="00513F0D" w:rsidRDefault="004E0E02" w:rsidP="0084040C">
            <w:pPr>
              <w:pStyle w:val="-3"/>
              <w:jc w:val="left"/>
              <w:rPr>
                <w:sz w:val="16"/>
                <w:szCs w:val="16"/>
                <w:rtl/>
              </w:rPr>
            </w:pPr>
            <w:r w:rsidRPr="00CF2A74">
              <w:rPr>
                <w:sz w:val="16"/>
                <w:szCs w:val="16"/>
                <w:rtl/>
              </w:rPr>
              <w:t xml:space="preserve"> -</w:t>
            </w:r>
          </w:p>
        </w:tc>
        <w:tc>
          <w:tcPr>
            <w:tcW w:w="1141" w:type="dxa"/>
            <w:vAlign w:val="bottom"/>
          </w:tcPr>
          <w:p w14:paraId="48D4836E" w14:textId="77777777" w:rsidR="004E0E02" w:rsidRPr="00513F0D" w:rsidRDefault="004E0E02" w:rsidP="00141F15">
            <w:pPr>
              <w:pStyle w:val="-3"/>
              <w:jc w:val="left"/>
              <w:rPr>
                <w:sz w:val="16"/>
                <w:szCs w:val="16"/>
                <w:rtl/>
              </w:rPr>
            </w:pPr>
            <w:r w:rsidRPr="00CF2A74">
              <w:rPr>
                <w:sz w:val="16"/>
                <w:szCs w:val="16"/>
                <w:rtl/>
              </w:rPr>
              <w:t xml:space="preserve"> 0</w:t>
            </w:r>
          </w:p>
        </w:tc>
        <w:tc>
          <w:tcPr>
            <w:tcW w:w="710" w:type="dxa"/>
            <w:vAlign w:val="bottom"/>
          </w:tcPr>
          <w:p w14:paraId="1BC2FE56" w14:textId="77777777" w:rsidR="004E0E02" w:rsidRPr="00513F0D" w:rsidRDefault="004E0E02" w:rsidP="00141F15">
            <w:pPr>
              <w:pStyle w:val="-3"/>
              <w:jc w:val="left"/>
              <w:rPr>
                <w:sz w:val="16"/>
                <w:szCs w:val="16"/>
                <w:rtl/>
              </w:rPr>
            </w:pPr>
            <w:r w:rsidRPr="00CF2A74">
              <w:rPr>
                <w:sz w:val="16"/>
                <w:szCs w:val="16"/>
                <w:rtl/>
              </w:rPr>
              <w:t xml:space="preserve"> 0</w:t>
            </w:r>
          </w:p>
        </w:tc>
        <w:tc>
          <w:tcPr>
            <w:tcW w:w="748" w:type="dxa"/>
            <w:vAlign w:val="bottom"/>
          </w:tcPr>
          <w:p w14:paraId="22A3E7E2"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4D4B3117" w14:textId="77777777" w:rsidTr="00106371">
        <w:tc>
          <w:tcPr>
            <w:tcW w:w="850" w:type="dxa"/>
          </w:tcPr>
          <w:p w14:paraId="76B4530C" w14:textId="77777777" w:rsidR="004E0E02" w:rsidRPr="00513F0D" w:rsidRDefault="004E0E02" w:rsidP="0084040C">
            <w:pPr>
              <w:pStyle w:val="-7"/>
              <w:bidi w:val="0"/>
              <w:ind w:right="-231"/>
              <w:jc w:val="left"/>
              <w:rPr>
                <w:spacing w:val="-6"/>
                <w:sz w:val="16"/>
                <w:szCs w:val="16"/>
                <w:rtl/>
              </w:rPr>
            </w:pPr>
          </w:p>
        </w:tc>
        <w:tc>
          <w:tcPr>
            <w:tcW w:w="2203" w:type="dxa"/>
            <w:vAlign w:val="bottom"/>
          </w:tcPr>
          <w:p w14:paraId="7EE2F967" w14:textId="77777777" w:rsidR="004E0E02" w:rsidRPr="00513F0D" w:rsidRDefault="004E0E02" w:rsidP="0084040C">
            <w:pPr>
              <w:pStyle w:val="-0"/>
              <w:rPr>
                <w:sz w:val="16"/>
                <w:szCs w:val="16"/>
                <w:rtl/>
              </w:rPr>
            </w:pPr>
            <w:r w:rsidRPr="00CF2A74">
              <w:rPr>
                <w:rFonts w:hint="eastAsia"/>
                <w:sz w:val="16"/>
                <w:szCs w:val="16"/>
                <w:rtl/>
              </w:rPr>
              <w:t>רכישה</w:t>
            </w:r>
            <w:r w:rsidRPr="00CF2A74">
              <w:rPr>
                <w:sz w:val="16"/>
                <w:szCs w:val="16"/>
                <w:rtl/>
              </w:rPr>
              <w:t xml:space="preserve"> </w:t>
            </w:r>
            <w:r w:rsidRPr="00CF2A74">
              <w:rPr>
                <w:rFonts w:hint="eastAsia"/>
                <w:sz w:val="16"/>
                <w:szCs w:val="16"/>
                <w:rtl/>
              </w:rPr>
              <w:t>נוספת</w:t>
            </w:r>
            <w:r w:rsidRPr="00CF2A74">
              <w:rPr>
                <w:sz w:val="16"/>
                <w:szCs w:val="16"/>
                <w:rtl/>
              </w:rPr>
              <w:t xml:space="preserve"> </w:t>
            </w:r>
            <w:r w:rsidRPr="00CF2A74">
              <w:rPr>
                <w:rFonts w:hint="eastAsia"/>
                <w:sz w:val="16"/>
                <w:szCs w:val="16"/>
                <w:rtl/>
              </w:rPr>
              <w:t>של</w:t>
            </w:r>
            <w:r w:rsidRPr="00CF2A74">
              <w:rPr>
                <w:sz w:val="16"/>
                <w:szCs w:val="16"/>
                <w:rtl/>
              </w:rPr>
              <w:t xml:space="preserve"> </w:t>
            </w:r>
            <w:r w:rsidRPr="00CF2A74">
              <w:rPr>
                <w:rFonts w:hint="eastAsia"/>
                <w:sz w:val="16"/>
                <w:szCs w:val="16"/>
                <w:rtl/>
              </w:rPr>
              <w:t>מניות</w:t>
            </w:r>
            <w:r w:rsidRPr="00CF2A74">
              <w:rPr>
                <w:sz w:val="16"/>
                <w:szCs w:val="16"/>
                <w:rtl/>
              </w:rPr>
              <w:t xml:space="preserve"> </w:t>
            </w:r>
            <w:r w:rsidRPr="00CF2A74">
              <w:rPr>
                <w:rFonts w:hint="eastAsia"/>
                <w:sz w:val="16"/>
                <w:szCs w:val="16"/>
                <w:rtl/>
              </w:rPr>
              <w:t>חברה</w:t>
            </w:r>
            <w:r w:rsidRPr="00CF2A74">
              <w:rPr>
                <w:sz w:val="16"/>
                <w:szCs w:val="16"/>
                <w:rtl/>
              </w:rPr>
              <w:t xml:space="preserve"> </w:t>
            </w:r>
            <w:r w:rsidRPr="00CF2A74">
              <w:rPr>
                <w:rFonts w:hint="eastAsia"/>
                <w:sz w:val="16"/>
                <w:szCs w:val="16"/>
                <w:rtl/>
              </w:rPr>
              <w:t>בת</w:t>
            </w:r>
          </w:p>
        </w:tc>
        <w:tc>
          <w:tcPr>
            <w:tcW w:w="766" w:type="dxa"/>
            <w:vAlign w:val="bottom"/>
          </w:tcPr>
          <w:p w14:paraId="6486E2F8" w14:textId="77777777" w:rsidR="004E0E02" w:rsidRPr="00513F0D" w:rsidRDefault="004E0E02" w:rsidP="0084040C">
            <w:pPr>
              <w:pStyle w:val="-3"/>
              <w:rPr>
                <w:sz w:val="16"/>
                <w:szCs w:val="16"/>
                <w:rtl/>
              </w:rPr>
            </w:pPr>
            <w:r w:rsidRPr="00CF2A74">
              <w:rPr>
                <w:sz w:val="16"/>
                <w:szCs w:val="16"/>
                <w:rtl/>
              </w:rPr>
              <w:t>-</w:t>
            </w:r>
          </w:p>
        </w:tc>
        <w:tc>
          <w:tcPr>
            <w:tcW w:w="846" w:type="dxa"/>
            <w:vAlign w:val="bottom"/>
          </w:tcPr>
          <w:p w14:paraId="25BE3C5B" w14:textId="77777777" w:rsidR="004E0E02" w:rsidRPr="00513F0D" w:rsidRDefault="004E0E02" w:rsidP="0084040C">
            <w:pPr>
              <w:pStyle w:val="-3"/>
              <w:rPr>
                <w:sz w:val="16"/>
                <w:szCs w:val="16"/>
                <w:rtl/>
              </w:rPr>
            </w:pPr>
            <w:r w:rsidRPr="00CF2A74">
              <w:rPr>
                <w:sz w:val="16"/>
                <w:szCs w:val="16"/>
                <w:rtl/>
              </w:rPr>
              <w:t>-</w:t>
            </w:r>
          </w:p>
        </w:tc>
        <w:tc>
          <w:tcPr>
            <w:tcW w:w="957" w:type="dxa"/>
            <w:vAlign w:val="bottom"/>
          </w:tcPr>
          <w:p w14:paraId="0E1E36FE" w14:textId="77777777" w:rsidR="004E0E02" w:rsidRPr="00513F0D" w:rsidRDefault="004E0E02" w:rsidP="0084040C">
            <w:pPr>
              <w:pStyle w:val="-3"/>
              <w:rPr>
                <w:sz w:val="16"/>
                <w:szCs w:val="16"/>
                <w:rtl/>
              </w:rPr>
            </w:pPr>
            <w:r w:rsidRPr="00CF2A74">
              <w:rPr>
                <w:sz w:val="16"/>
                <w:szCs w:val="16"/>
                <w:rtl/>
              </w:rPr>
              <w:t>-</w:t>
            </w:r>
          </w:p>
        </w:tc>
        <w:tc>
          <w:tcPr>
            <w:tcW w:w="807" w:type="dxa"/>
            <w:vAlign w:val="bottom"/>
          </w:tcPr>
          <w:p w14:paraId="38307023" w14:textId="77777777" w:rsidR="004E0E02" w:rsidRPr="00513F0D" w:rsidRDefault="004E0E02" w:rsidP="0084040C">
            <w:pPr>
              <w:pStyle w:val="-3"/>
              <w:rPr>
                <w:sz w:val="16"/>
                <w:szCs w:val="16"/>
                <w:rtl/>
              </w:rPr>
            </w:pPr>
            <w:r>
              <w:rPr>
                <w:rFonts w:hint="cs"/>
                <w:sz w:val="16"/>
                <w:szCs w:val="16"/>
                <w:rtl/>
              </w:rPr>
              <w:t>0</w:t>
            </w:r>
          </w:p>
        </w:tc>
        <w:tc>
          <w:tcPr>
            <w:tcW w:w="1079" w:type="dxa"/>
            <w:vAlign w:val="bottom"/>
          </w:tcPr>
          <w:p w14:paraId="354ABB98"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0F0B77A2" w14:textId="77777777" w:rsidR="00F32A2A" w:rsidRDefault="004E0E02">
            <w:pPr>
              <w:pStyle w:val="-3"/>
              <w:jc w:val="left"/>
              <w:rPr>
                <w:sz w:val="16"/>
                <w:szCs w:val="16"/>
                <w:rtl/>
              </w:rPr>
            </w:pPr>
            <w:r w:rsidRPr="00CF2A74">
              <w:rPr>
                <w:sz w:val="16"/>
                <w:szCs w:val="16"/>
                <w:rtl/>
              </w:rPr>
              <w:t xml:space="preserve"> </w:t>
            </w:r>
            <w:r>
              <w:rPr>
                <w:rFonts w:hint="cs"/>
                <w:sz w:val="16"/>
                <w:szCs w:val="16"/>
                <w:rtl/>
              </w:rPr>
              <w:t>-</w:t>
            </w:r>
          </w:p>
        </w:tc>
        <w:tc>
          <w:tcPr>
            <w:tcW w:w="794" w:type="dxa"/>
            <w:vAlign w:val="bottom"/>
          </w:tcPr>
          <w:p w14:paraId="45F94B48" w14:textId="77777777" w:rsidR="004E0E02" w:rsidRPr="00CF2A74" w:rsidRDefault="004E0E02" w:rsidP="0084040C">
            <w:pPr>
              <w:pStyle w:val="-3"/>
              <w:jc w:val="left"/>
              <w:rPr>
                <w:sz w:val="16"/>
                <w:szCs w:val="16"/>
                <w:rtl/>
              </w:rPr>
            </w:pPr>
            <w:r w:rsidRPr="00CF2A74">
              <w:rPr>
                <w:sz w:val="16"/>
                <w:szCs w:val="16"/>
                <w:rtl/>
              </w:rPr>
              <w:t>-</w:t>
            </w:r>
          </w:p>
        </w:tc>
        <w:tc>
          <w:tcPr>
            <w:tcW w:w="936" w:type="dxa"/>
            <w:vAlign w:val="bottom"/>
          </w:tcPr>
          <w:p w14:paraId="07C9E34C" w14:textId="77777777" w:rsidR="004E0E02" w:rsidRPr="00513F0D" w:rsidRDefault="004E0E02" w:rsidP="0084040C">
            <w:pPr>
              <w:pStyle w:val="-3"/>
              <w:jc w:val="left"/>
              <w:rPr>
                <w:sz w:val="16"/>
                <w:szCs w:val="16"/>
                <w:rtl/>
              </w:rPr>
            </w:pPr>
            <w:r w:rsidRPr="00CF2A74">
              <w:rPr>
                <w:sz w:val="16"/>
                <w:szCs w:val="16"/>
                <w:rtl/>
              </w:rPr>
              <w:t xml:space="preserve"> 0</w:t>
            </w:r>
          </w:p>
        </w:tc>
        <w:tc>
          <w:tcPr>
            <w:tcW w:w="812" w:type="dxa"/>
            <w:vAlign w:val="bottom"/>
          </w:tcPr>
          <w:p w14:paraId="6721A1CA" w14:textId="77777777" w:rsidR="004E0E02" w:rsidRPr="00513F0D" w:rsidRDefault="004E0E02" w:rsidP="0084040C">
            <w:pPr>
              <w:pStyle w:val="-3"/>
              <w:jc w:val="left"/>
              <w:rPr>
                <w:sz w:val="16"/>
                <w:szCs w:val="16"/>
                <w:rtl/>
              </w:rPr>
            </w:pPr>
            <w:r w:rsidRPr="00CF2A74">
              <w:rPr>
                <w:sz w:val="16"/>
                <w:szCs w:val="16"/>
                <w:rtl/>
              </w:rPr>
              <w:t xml:space="preserve"> -</w:t>
            </w:r>
          </w:p>
        </w:tc>
        <w:tc>
          <w:tcPr>
            <w:tcW w:w="870" w:type="dxa"/>
            <w:vAlign w:val="bottom"/>
          </w:tcPr>
          <w:p w14:paraId="1048B1A8" w14:textId="77777777" w:rsidR="004E0E02" w:rsidRPr="00513F0D" w:rsidRDefault="004E0E02" w:rsidP="0084040C">
            <w:pPr>
              <w:pStyle w:val="-3"/>
              <w:jc w:val="left"/>
              <w:rPr>
                <w:sz w:val="16"/>
                <w:szCs w:val="16"/>
                <w:rtl/>
              </w:rPr>
            </w:pPr>
            <w:r w:rsidRPr="00CF2A74">
              <w:rPr>
                <w:sz w:val="16"/>
                <w:szCs w:val="16"/>
                <w:rtl/>
              </w:rPr>
              <w:t xml:space="preserve"> -</w:t>
            </w:r>
          </w:p>
        </w:tc>
        <w:tc>
          <w:tcPr>
            <w:tcW w:w="805" w:type="dxa"/>
            <w:vAlign w:val="bottom"/>
          </w:tcPr>
          <w:p w14:paraId="4FD42364" w14:textId="77777777" w:rsidR="004E0E02" w:rsidRPr="00513F0D" w:rsidRDefault="004E0E02" w:rsidP="0084040C">
            <w:pPr>
              <w:pStyle w:val="-3"/>
              <w:jc w:val="left"/>
              <w:rPr>
                <w:sz w:val="16"/>
                <w:szCs w:val="16"/>
                <w:rtl/>
              </w:rPr>
            </w:pPr>
            <w:r w:rsidRPr="00CF2A74">
              <w:rPr>
                <w:sz w:val="16"/>
                <w:szCs w:val="16"/>
                <w:rtl/>
              </w:rPr>
              <w:t xml:space="preserve"> -</w:t>
            </w:r>
          </w:p>
        </w:tc>
        <w:tc>
          <w:tcPr>
            <w:tcW w:w="1141" w:type="dxa"/>
            <w:vAlign w:val="bottom"/>
          </w:tcPr>
          <w:p w14:paraId="185E975C" w14:textId="77777777" w:rsidR="004E0E02" w:rsidRPr="00513F0D" w:rsidRDefault="004E0E02" w:rsidP="00141F15">
            <w:pPr>
              <w:pStyle w:val="-3"/>
              <w:jc w:val="left"/>
              <w:rPr>
                <w:sz w:val="16"/>
                <w:szCs w:val="16"/>
                <w:rtl/>
              </w:rPr>
            </w:pPr>
            <w:r w:rsidRPr="00CF2A74">
              <w:rPr>
                <w:sz w:val="16"/>
                <w:szCs w:val="16"/>
                <w:rtl/>
              </w:rPr>
              <w:t xml:space="preserve"> 0</w:t>
            </w:r>
          </w:p>
        </w:tc>
        <w:tc>
          <w:tcPr>
            <w:tcW w:w="710" w:type="dxa"/>
            <w:vAlign w:val="bottom"/>
          </w:tcPr>
          <w:p w14:paraId="7FE16AB3" w14:textId="77777777" w:rsidR="004E0E02" w:rsidRPr="00513F0D" w:rsidRDefault="004E0E02" w:rsidP="00141F15">
            <w:pPr>
              <w:pStyle w:val="-3"/>
              <w:jc w:val="left"/>
              <w:rPr>
                <w:sz w:val="16"/>
                <w:szCs w:val="16"/>
                <w:rtl/>
              </w:rPr>
            </w:pPr>
            <w:r w:rsidRPr="00CF2A74">
              <w:rPr>
                <w:sz w:val="16"/>
                <w:szCs w:val="16"/>
                <w:rtl/>
              </w:rPr>
              <w:t xml:space="preserve"> 0</w:t>
            </w:r>
          </w:p>
        </w:tc>
        <w:tc>
          <w:tcPr>
            <w:tcW w:w="748" w:type="dxa"/>
            <w:vAlign w:val="bottom"/>
          </w:tcPr>
          <w:p w14:paraId="05C763C5" w14:textId="77777777" w:rsidR="004E0E02" w:rsidRPr="00513F0D" w:rsidRDefault="004E0E02" w:rsidP="00141F15">
            <w:pPr>
              <w:pStyle w:val="-3"/>
              <w:jc w:val="left"/>
              <w:rPr>
                <w:sz w:val="16"/>
                <w:szCs w:val="16"/>
                <w:rtl/>
              </w:rPr>
            </w:pPr>
            <w:r w:rsidRPr="00CF2A74">
              <w:rPr>
                <w:sz w:val="16"/>
                <w:szCs w:val="16"/>
                <w:rtl/>
              </w:rPr>
              <w:t xml:space="preserve"> 0</w:t>
            </w:r>
          </w:p>
        </w:tc>
      </w:tr>
      <w:tr w:rsidR="004E0E02" w:rsidRPr="00513F0D" w14:paraId="21CE80FB" w14:textId="77777777" w:rsidTr="00106371">
        <w:tc>
          <w:tcPr>
            <w:tcW w:w="850" w:type="dxa"/>
          </w:tcPr>
          <w:p w14:paraId="58A725DB" w14:textId="77777777" w:rsidR="004E0E02" w:rsidRPr="00513F0D" w:rsidRDefault="004E0E02" w:rsidP="0084040C">
            <w:pPr>
              <w:pStyle w:val="-7"/>
              <w:bidi w:val="0"/>
              <w:ind w:right="-231"/>
              <w:jc w:val="left"/>
              <w:rPr>
                <w:spacing w:val="-6"/>
                <w:sz w:val="16"/>
                <w:szCs w:val="16"/>
                <w:rtl/>
              </w:rPr>
            </w:pPr>
          </w:p>
        </w:tc>
        <w:tc>
          <w:tcPr>
            <w:tcW w:w="2203" w:type="dxa"/>
            <w:vAlign w:val="bottom"/>
          </w:tcPr>
          <w:p w14:paraId="1F642EFB" w14:textId="77777777" w:rsidR="004E0E02" w:rsidRPr="00513F0D" w:rsidRDefault="004E0E02" w:rsidP="0084040C">
            <w:pPr>
              <w:pStyle w:val="-21"/>
              <w:spacing w:before="0"/>
              <w:rPr>
                <w:sz w:val="16"/>
                <w:szCs w:val="16"/>
                <w:rtl/>
              </w:rPr>
            </w:pPr>
            <w:r w:rsidRPr="00CF2A74">
              <w:rPr>
                <w:rFonts w:hint="eastAsia"/>
                <w:sz w:val="16"/>
                <w:szCs w:val="16"/>
                <w:rtl/>
              </w:rPr>
              <w:t>ירידה</w:t>
            </w:r>
            <w:r w:rsidRPr="00CF2A74">
              <w:rPr>
                <w:sz w:val="16"/>
                <w:szCs w:val="16"/>
                <w:rtl/>
              </w:rPr>
              <w:t xml:space="preserve"> </w:t>
            </w:r>
            <w:r w:rsidRPr="00CF2A74">
              <w:rPr>
                <w:rFonts w:hint="eastAsia"/>
                <w:sz w:val="16"/>
                <w:szCs w:val="16"/>
                <w:rtl/>
              </w:rPr>
              <w:t>בשיעור</w:t>
            </w:r>
            <w:r w:rsidRPr="00CF2A74">
              <w:rPr>
                <w:sz w:val="16"/>
                <w:szCs w:val="16"/>
                <w:rtl/>
              </w:rPr>
              <w:t xml:space="preserve"> </w:t>
            </w:r>
            <w:r w:rsidRPr="00CF2A74">
              <w:rPr>
                <w:rFonts w:hint="eastAsia"/>
                <w:sz w:val="16"/>
                <w:szCs w:val="16"/>
                <w:rtl/>
              </w:rPr>
              <w:t>החזקה</w:t>
            </w:r>
            <w:r w:rsidRPr="00CF2A74">
              <w:rPr>
                <w:sz w:val="16"/>
                <w:szCs w:val="16"/>
                <w:rtl/>
              </w:rPr>
              <w:t xml:space="preserve"> </w:t>
            </w:r>
            <w:r w:rsidRPr="00CF2A74">
              <w:rPr>
                <w:rFonts w:hint="eastAsia"/>
                <w:sz w:val="16"/>
                <w:szCs w:val="16"/>
                <w:rtl/>
              </w:rPr>
              <w:t>ללא</w:t>
            </w:r>
            <w:r w:rsidRPr="00CF2A74">
              <w:rPr>
                <w:sz w:val="16"/>
                <w:szCs w:val="16"/>
                <w:rtl/>
              </w:rPr>
              <w:t xml:space="preserve"> </w:t>
            </w:r>
            <w:r w:rsidRPr="00CF2A74">
              <w:rPr>
                <w:rFonts w:hint="eastAsia"/>
                <w:sz w:val="16"/>
                <w:szCs w:val="16"/>
                <w:rtl/>
              </w:rPr>
              <w:t>איבוד</w:t>
            </w:r>
            <w:r w:rsidRPr="00CF2A74">
              <w:rPr>
                <w:sz w:val="16"/>
                <w:szCs w:val="16"/>
                <w:rtl/>
              </w:rPr>
              <w:t xml:space="preserve"> </w:t>
            </w:r>
            <w:r w:rsidRPr="00CF2A74">
              <w:rPr>
                <w:rFonts w:hint="eastAsia"/>
                <w:sz w:val="16"/>
                <w:szCs w:val="16"/>
                <w:rtl/>
              </w:rPr>
              <w:t>שליטה</w:t>
            </w:r>
            <w:r w:rsidRPr="00CF2A74">
              <w:rPr>
                <w:sz w:val="16"/>
                <w:szCs w:val="16"/>
                <w:rtl/>
              </w:rPr>
              <w:t xml:space="preserve"> </w:t>
            </w:r>
            <w:r w:rsidRPr="00CF2A74">
              <w:rPr>
                <w:rFonts w:hint="eastAsia"/>
                <w:sz w:val="16"/>
                <w:szCs w:val="16"/>
                <w:rtl/>
              </w:rPr>
              <w:t>בחברה</w:t>
            </w:r>
            <w:r w:rsidRPr="00CF2A74">
              <w:rPr>
                <w:sz w:val="16"/>
                <w:szCs w:val="16"/>
                <w:rtl/>
              </w:rPr>
              <w:t xml:space="preserve"> </w:t>
            </w:r>
            <w:r w:rsidRPr="00CF2A74">
              <w:rPr>
                <w:rFonts w:hint="eastAsia"/>
                <w:sz w:val="16"/>
                <w:szCs w:val="16"/>
                <w:rtl/>
              </w:rPr>
              <w:t>בת</w:t>
            </w:r>
          </w:p>
        </w:tc>
        <w:tc>
          <w:tcPr>
            <w:tcW w:w="766" w:type="dxa"/>
            <w:vAlign w:val="bottom"/>
          </w:tcPr>
          <w:p w14:paraId="616B26A7" w14:textId="77777777" w:rsidR="004E0E02" w:rsidRPr="00513F0D" w:rsidRDefault="004E0E02" w:rsidP="0084040C">
            <w:pPr>
              <w:pStyle w:val="-3"/>
              <w:rPr>
                <w:sz w:val="16"/>
                <w:szCs w:val="16"/>
                <w:rtl/>
              </w:rPr>
            </w:pPr>
            <w:r w:rsidRPr="00CF2A74">
              <w:rPr>
                <w:sz w:val="16"/>
                <w:szCs w:val="16"/>
                <w:rtl/>
              </w:rPr>
              <w:t>-</w:t>
            </w:r>
          </w:p>
        </w:tc>
        <w:tc>
          <w:tcPr>
            <w:tcW w:w="846" w:type="dxa"/>
            <w:vAlign w:val="bottom"/>
          </w:tcPr>
          <w:p w14:paraId="66B6BBD8" w14:textId="77777777" w:rsidR="004E0E02" w:rsidRPr="00513F0D" w:rsidRDefault="004E0E02" w:rsidP="0084040C">
            <w:pPr>
              <w:pStyle w:val="-3"/>
              <w:rPr>
                <w:sz w:val="16"/>
                <w:szCs w:val="16"/>
                <w:rtl/>
              </w:rPr>
            </w:pPr>
            <w:r w:rsidRPr="00CF2A74">
              <w:rPr>
                <w:sz w:val="16"/>
                <w:szCs w:val="16"/>
                <w:rtl/>
              </w:rPr>
              <w:t>-</w:t>
            </w:r>
          </w:p>
        </w:tc>
        <w:tc>
          <w:tcPr>
            <w:tcW w:w="957" w:type="dxa"/>
            <w:vAlign w:val="bottom"/>
          </w:tcPr>
          <w:p w14:paraId="0B512BE2" w14:textId="77777777" w:rsidR="004E0E02" w:rsidRPr="00513F0D" w:rsidRDefault="004E0E02" w:rsidP="0084040C">
            <w:pPr>
              <w:pStyle w:val="-3"/>
              <w:rPr>
                <w:sz w:val="16"/>
                <w:szCs w:val="16"/>
                <w:rtl/>
              </w:rPr>
            </w:pPr>
            <w:r w:rsidRPr="00CF2A74">
              <w:rPr>
                <w:sz w:val="16"/>
                <w:szCs w:val="16"/>
                <w:rtl/>
              </w:rPr>
              <w:t>-</w:t>
            </w:r>
          </w:p>
        </w:tc>
        <w:tc>
          <w:tcPr>
            <w:tcW w:w="807" w:type="dxa"/>
            <w:vAlign w:val="bottom"/>
          </w:tcPr>
          <w:p w14:paraId="440D2B7B" w14:textId="77777777" w:rsidR="004E0E02" w:rsidRPr="00513F0D" w:rsidRDefault="004E0E02" w:rsidP="0084040C">
            <w:pPr>
              <w:pStyle w:val="-3"/>
              <w:rPr>
                <w:sz w:val="16"/>
                <w:szCs w:val="16"/>
                <w:rtl/>
              </w:rPr>
            </w:pPr>
            <w:r>
              <w:rPr>
                <w:rFonts w:hint="cs"/>
                <w:sz w:val="16"/>
                <w:szCs w:val="16"/>
                <w:rtl/>
              </w:rPr>
              <w:t>0</w:t>
            </w:r>
          </w:p>
        </w:tc>
        <w:tc>
          <w:tcPr>
            <w:tcW w:w="1079" w:type="dxa"/>
            <w:vAlign w:val="bottom"/>
          </w:tcPr>
          <w:p w14:paraId="4849F83B" w14:textId="77777777" w:rsidR="004E0E02" w:rsidRPr="009A7E4A" w:rsidRDefault="004E0E02" w:rsidP="0084040C">
            <w:pPr>
              <w:pStyle w:val="-3"/>
              <w:rPr>
                <w:sz w:val="16"/>
                <w:szCs w:val="16"/>
                <w:rtl/>
              </w:rPr>
            </w:pPr>
            <w:r w:rsidRPr="009A7E4A">
              <w:rPr>
                <w:sz w:val="16"/>
                <w:szCs w:val="16"/>
                <w:rtl/>
              </w:rPr>
              <w:t>-</w:t>
            </w:r>
          </w:p>
        </w:tc>
        <w:tc>
          <w:tcPr>
            <w:tcW w:w="655" w:type="dxa"/>
            <w:vAlign w:val="bottom"/>
          </w:tcPr>
          <w:p w14:paraId="58C4D483" w14:textId="77777777" w:rsidR="00F32A2A" w:rsidRDefault="004E0E02">
            <w:pPr>
              <w:pStyle w:val="-3"/>
              <w:jc w:val="left"/>
              <w:rPr>
                <w:sz w:val="16"/>
                <w:szCs w:val="16"/>
                <w:rtl/>
              </w:rPr>
            </w:pPr>
            <w:r w:rsidRPr="00CF2A74">
              <w:rPr>
                <w:sz w:val="16"/>
                <w:szCs w:val="16"/>
                <w:rtl/>
              </w:rPr>
              <w:t xml:space="preserve"> </w:t>
            </w:r>
            <w:r>
              <w:rPr>
                <w:rFonts w:hint="cs"/>
                <w:sz w:val="16"/>
                <w:szCs w:val="16"/>
                <w:rtl/>
              </w:rPr>
              <w:t>-</w:t>
            </w:r>
          </w:p>
        </w:tc>
        <w:tc>
          <w:tcPr>
            <w:tcW w:w="794" w:type="dxa"/>
            <w:vAlign w:val="bottom"/>
          </w:tcPr>
          <w:p w14:paraId="121980B5" w14:textId="77777777" w:rsidR="004E0E02" w:rsidRPr="00CF2A74" w:rsidRDefault="004E0E02" w:rsidP="0084040C">
            <w:pPr>
              <w:pStyle w:val="-3"/>
              <w:jc w:val="left"/>
              <w:rPr>
                <w:sz w:val="16"/>
                <w:szCs w:val="16"/>
                <w:rtl/>
              </w:rPr>
            </w:pPr>
            <w:r w:rsidRPr="00CF2A74">
              <w:rPr>
                <w:sz w:val="16"/>
                <w:szCs w:val="16"/>
                <w:rtl/>
              </w:rPr>
              <w:t>-</w:t>
            </w:r>
          </w:p>
        </w:tc>
        <w:tc>
          <w:tcPr>
            <w:tcW w:w="936" w:type="dxa"/>
            <w:vAlign w:val="bottom"/>
          </w:tcPr>
          <w:p w14:paraId="776B4E6E" w14:textId="77777777" w:rsidR="004E0E02" w:rsidRPr="00513F0D" w:rsidRDefault="004E0E02" w:rsidP="0084040C">
            <w:pPr>
              <w:pStyle w:val="-3"/>
              <w:jc w:val="left"/>
              <w:rPr>
                <w:sz w:val="16"/>
                <w:szCs w:val="16"/>
                <w:rtl/>
              </w:rPr>
            </w:pPr>
            <w:r w:rsidRPr="00CF2A74">
              <w:rPr>
                <w:sz w:val="16"/>
                <w:szCs w:val="16"/>
                <w:rtl/>
              </w:rPr>
              <w:t xml:space="preserve"> 0</w:t>
            </w:r>
          </w:p>
        </w:tc>
        <w:tc>
          <w:tcPr>
            <w:tcW w:w="812" w:type="dxa"/>
            <w:vAlign w:val="bottom"/>
          </w:tcPr>
          <w:p w14:paraId="6AACD861" w14:textId="77777777" w:rsidR="004E0E02" w:rsidRPr="00513F0D" w:rsidRDefault="004E0E02" w:rsidP="0084040C">
            <w:pPr>
              <w:pStyle w:val="-3"/>
              <w:jc w:val="left"/>
              <w:rPr>
                <w:sz w:val="16"/>
                <w:szCs w:val="16"/>
                <w:rtl/>
              </w:rPr>
            </w:pPr>
            <w:r w:rsidRPr="00CF2A74">
              <w:rPr>
                <w:sz w:val="16"/>
                <w:szCs w:val="16"/>
                <w:rtl/>
              </w:rPr>
              <w:t xml:space="preserve"> -</w:t>
            </w:r>
          </w:p>
        </w:tc>
        <w:tc>
          <w:tcPr>
            <w:tcW w:w="870" w:type="dxa"/>
            <w:vAlign w:val="bottom"/>
          </w:tcPr>
          <w:p w14:paraId="03F5FC59" w14:textId="77777777" w:rsidR="004E0E02" w:rsidRPr="00513F0D" w:rsidRDefault="004E0E02" w:rsidP="0084040C">
            <w:pPr>
              <w:pStyle w:val="-3"/>
              <w:jc w:val="left"/>
              <w:rPr>
                <w:sz w:val="16"/>
                <w:szCs w:val="16"/>
                <w:rtl/>
              </w:rPr>
            </w:pPr>
            <w:r w:rsidRPr="00CF2A74">
              <w:rPr>
                <w:sz w:val="16"/>
                <w:szCs w:val="16"/>
                <w:rtl/>
              </w:rPr>
              <w:t xml:space="preserve"> -</w:t>
            </w:r>
          </w:p>
        </w:tc>
        <w:tc>
          <w:tcPr>
            <w:tcW w:w="805" w:type="dxa"/>
            <w:vAlign w:val="bottom"/>
          </w:tcPr>
          <w:p w14:paraId="0EDEA685" w14:textId="77777777" w:rsidR="004E0E02" w:rsidRPr="00513F0D" w:rsidRDefault="004E0E02" w:rsidP="0084040C">
            <w:pPr>
              <w:pStyle w:val="-3"/>
              <w:jc w:val="left"/>
              <w:rPr>
                <w:sz w:val="16"/>
                <w:szCs w:val="16"/>
                <w:rtl/>
              </w:rPr>
            </w:pPr>
            <w:r w:rsidRPr="00CF2A74">
              <w:rPr>
                <w:sz w:val="16"/>
                <w:szCs w:val="16"/>
                <w:rtl/>
              </w:rPr>
              <w:t xml:space="preserve"> -</w:t>
            </w:r>
          </w:p>
        </w:tc>
        <w:tc>
          <w:tcPr>
            <w:tcW w:w="1141" w:type="dxa"/>
            <w:vAlign w:val="bottom"/>
          </w:tcPr>
          <w:p w14:paraId="0EA6FB09" w14:textId="77777777" w:rsidR="004E0E02" w:rsidRPr="00513F0D" w:rsidRDefault="004E0E02" w:rsidP="0084040C">
            <w:pPr>
              <w:pStyle w:val="-3"/>
              <w:jc w:val="left"/>
              <w:rPr>
                <w:sz w:val="16"/>
                <w:szCs w:val="16"/>
                <w:rtl/>
              </w:rPr>
            </w:pPr>
            <w:r w:rsidRPr="00CF2A74">
              <w:rPr>
                <w:sz w:val="16"/>
                <w:szCs w:val="16"/>
                <w:rtl/>
              </w:rPr>
              <w:t xml:space="preserve"> 0</w:t>
            </w:r>
          </w:p>
        </w:tc>
        <w:tc>
          <w:tcPr>
            <w:tcW w:w="710" w:type="dxa"/>
            <w:vAlign w:val="bottom"/>
          </w:tcPr>
          <w:p w14:paraId="36F93D05" w14:textId="77777777" w:rsidR="004E0E02" w:rsidRPr="00513F0D" w:rsidRDefault="004E0E02" w:rsidP="0084040C">
            <w:pPr>
              <w:pStyle w:val="-3"/>
              <w:jc w:val="left"/>
              <w:rPr>
                <w:sz w:val="16"/>
                <w:szCs w:val="16"/>
                <w:rtl/>
              </w:rPr>
            </w:pPr>
            <w:r w:rsidRPr="00CF2A74">
              <w:rPr>
                <w:sz w:val="16"/>
                <w:szCs w:val="16"/>
                <w:rtl/>
              </w:rPr>
              <w:t xml:space="preserve"> 0</w:t>
            </w:r>
          </w:p>
        </w:tc>
        <w:tc>
          <w:tcPr>
            <w:tcW w:w="748" w:type="dxa"/>
            <w:vAlign w:val="bottom"/>
          </w:tcPr>
          <w:p w14:paraId="12A6BDDD" w14:textId="77777777" w:rsidR="004E0E02" w:rsidRPr="00513F0D" w:rsidRDefault="004E0E02" w:rsidP="0084040C">
            <w:pPr>
              <w:pStyle w:val="-3"/>
              <w:jc w:val="left"/>
              <w:rPr>
                <w:sz w:val="16"/>
                <w:szCs w:val="16"/>
                <w:rtl/>
              </w:rPr>
            </w:pPr>
            <w:r w:rsidRPr="00CF2A74">
              <w:rPr>
                <w:sz w:val="16"/>
                <w:szCs w:val="16"/>
                <w:rtl/>
              </w:rPr>
              <w:t xml:space="preserve"> 0</w:t>
            </w:r>
          </w:p>
        </w:tc>
      </w:tr>
      <w:tr w:rsidR="004E0E02" w:rsidRPr="00513F0D" w14:paraId="7D844C4D" w14:textId="77777777" w:rsidTr="00106371">
        <w:tc>
          <w:tcPr>
            <w:tcW w:w="850" w:type="dxa"/>
          </w:tcPr>
          <w:p w14:paraId="0A36F1C8" w14:textId="77777777" w:rsidR="004E0E02" w:rsidRPr="00513F0D" w:rsidRDefault="004E0E02" w:rsidP="0084040C">
            <w:pPr>
              <w:pStyle w:val="-7"/>
              <w:bidi w:val="0"/>
              <w:ind w:right="-231"/>
              <w:jc w:val="left"/>
              <w:rPr>
                <w:spacing w:val="-6"/>
                <w:sz w:val="16"/>
                <w:szCs w:val="16"/>
                <w:rtl/>
              </w:rPr>
            </w:pPr>
          </w:p>
        </w:tc>
        <w:tc>
          <w:tcPr>
            <w:tcW w:w="2203" w:type="dxa"/>
            <w:vAlign w:val="bottom"/>
          </w:tcPr>
          <w:p w14:paraId="78E63BE7" w14:textId="77777777" w:rsidR="004E0E02" w:rsidRPr="00513F0D" w:rsidRDefault="004E0E02" w:rsidP="0084040C">
            <w:pPr>
              <w:pStyle w:val="-21"/>
              <w:spacing w:before="0"/>
              <w:rPr>
                <w:sz w:val="16"/>
                <w:szCs w:val="16"/>
                <w:rtl/>
              </w:rPr>
            </w:pPr>
            <w:r w:rsidRPr="00CF2A74">
              <w:rPr>
                <w:rFonts w:hint="eastAsia"/>
                <w:sz w:val="16"/>
                <w:szCs w:val="16"/>
                <w:rtl/>
              </w:rPr>
              <w:t>דיבידנד</w:t>
            </w:r>
            <w:r w:rsidRPr="00CF2A74">
              <w:rPr>
                <w:sz w:val="16"/>
                <w:szCs w:val="16"/>
                <w:rtl/>
              </w:rPr>
              <w:t xml:space="preserve"> </w:t>
            </w:r>
            <w:r w:rsidRPr="00CF2A74">
              <w:rPr>
                <w:rFonts w:hint="eastAsia"/>
                <w:sz w:val="16"/>
                <w:szCs w:val="16"/>
                <w:rtl/>
              </w:rPr>
              <w:t>לבעלי</w:t>
            </w:r>
            <w:r w:rsidRPr="00CF2A74">
              <w:rPr>
                <w:sz w:val="16"/>
                <w:szCs w:val="16"/>
                <w:rtl/>
              </w:rPr>
              <w:t xml:space="preserve"> </w:t>
            </w:r>
            <w:r w:rsidRPr="00CF2A74">
              <w:rPr>
                <w:rFonts w:hint="eastAsia"/>
                <w:sz w:val="16"/>
                <w:szCs w:val="16"/>
                <w:rtl/>
              </w:rPr>
              <w:t>זכויות</w:t>
            </w:r>
            <w:r w:rsidRPr="00CF2A74">
              <w:rPr>
                <w:sz w:val="16"/>
                <w:szCs w:val="16"/>
                <w:rtl/>
              </w:rPr>
              <w:t xml:space="preserve"> </w:t>
            </w:r>
            <w:r w:rsidRPr="00CF2A74">
              <w:rPr>
                <w:rFonts w:hint="eastAsia"/>
                <w:sz w:val="16"/>
                <w:szCs w:val="16"/>
                <w:rtl/>
              </w:rPr>
              <w:t>שאינן</w:t>
            </w:r>
            <w:r w:rsidRPr="00CF2A74">
              <w:rPr>
                <w:sz w:val="16"/>
                <w:szCs w:val="16"/>
                <w:rtl/>
              </w:rPr>
              <w:t xml:space="preserve"> </w:t>
            </w:r>
            <w:r w:rsidRPr="00CF2A74">
              <w:rPr>
                <w:rFonts w:hint="eastAsia"/>
                <w:sz w:val="16"/>
                <w:szCs w:val="16"/>
                <w:rtl/>
              </w:rPr>
              <w:t>מקנות</w:t>
            </w:r>
            <w:r w:rsidRPr="00CF2A74">
              <w:rPr>
                <w:sz w:val="16"/>
                <w:szCs w:val="16"/>
                <w:rtl/>
              </w:rPr>
              <w:t xml:space="preserve"> </w:t>
            </w:r>
            <w:r w:rsidRPr="00CF2A74">
              <w:rPr>
                <w:rFonts w:hint="eastAsia"/>
                <w:sz w:val="16"/>
                <w:szCs w:val="16"/>
                <w:rtl/>
              </w:rPr>
              <w:t>שליטה</w:t>
            </w:r>
            <w:r w:rsidRPr="00CF2A74">
              <w:rPr>
                <w:sz w:val="16"/>
                <w:szCs w:val="16"/>
                <w:rtl/>
              </w:rPr>
              <w:t xml:space="preserve"> </w:t>
            </w:r>
            <w:r w:rsidRPr="00CF2A74">
              <w:rPr>
                <w:rFonts w:hint="eastAsia"/>
                <w:sz w:val="16"/>
                <w:szCs w:val="16"/>
                <w:rtl/>
              </w:rPr>
              <w:t>בחברות</w:t>
            </w:r>
            <w:r w:rsidRPr="00CF2A74">
              <w:rPr>
                <w:sz w:val="16"/>
                <w:szCs w:val="16"/>
                <w:rtl/>
              </w:rPr>
              <w:t xml:space="preserve"> </w:t>
            </w:r>
            <w:r w:rsidRPr="00CF2A74">
              <w:rPr>
                <w:rFonts w:hint="eastAsia"/>
                <w:sz w:val="16"/>
                <w:szCs w:val="16"/>
                <w:rtl/>
              </w:rPr>
              <w:t>בנות</w:t>
            </w:r>
          </w:p>
        </w:tc>
        <w:tc>
          <w:tcPr>
            <w:tcW w:w="766" w:type="dxa"/>
            <w:vAlign w:val="bottom"/>
          </w:tcPr>
          <w:p w14:paraId="3394FA3D" w14:textId="77777777" w:rsidR="004E0E02" w:rsidRPr="00513F0D" w:rsidRDefault="004E0E02" w:rsidP="004E5809">
            <w:pPr>
              <w:pStyle w:val="-3"/>
              <w:pBdr>
                <w:bottom w:val="single" w:sz="4" w:space="1" w:color="auto"/>
              </w:pBdr>
              <w:rPr>
                <w:sz w:val="16"/>
                <w:szCs w:val="16"/>
                <w:rtl/>
              </w:rPr>
            </w:pPr>
            <w:r w:rsidRPr="00CF2A74">
              <w:rPr>
                <w:sz w:val="16"/>
                <w:szCs w:val="16"/>
                <w:rtl/>
              </w:rPr>
              <w:t>-</w:t>
            </w:r>
          </w:p>
        </w:tc>
        <w:tc>
          <w:tcPr>
            <w:tcW w:w="846" w:type="dxa"/>
            <w:vAlign w:val="bottom"/>
          </w:tcPr>
          <w:p w14:paraId="7550D098" w14:textId="77777777" w:rsidR="004E0E02" w:rsidRPr="00513F0D" w:rsidRDefault="004E0E02" w:rsidP="004E5809">
            <w:pPr>
              <w:pStyle w:val="-3"/>
              <w:pBdr>
                <w:bottom w:val="single" w:sz="4" w:space="1" w:color="auto"/>
              </w:pBdr>
              <w:rPr>
                <w:sz w:val="16"/>
                <w:szCs w:val="16"/>
                <w:rtl/>
              </w:rPr>
            </w:pPr>
            <w:r w:rsidRPr="00CF2A74">
              <w:rPr>
                <w:sz w:val="16"/>
                <w:szCs w:val="16"/>
                <w:rtl/>
              </w:rPr>
              <w:t>-</w:t>
            </w:r>
          </w:p>
        </w:tc>
        <w:tc>
          <w:tcPr>
            <w:tcW w:w="957" w:type="dxa"/>
            <w:vAlign w:val="bottom"/>
          </w:tcPr>
          <w:p w14:paraId="385F60A3" w14:textId="77777777" w:rsidR="004E0E02" w:rsidRPr="00513F0D" w:rsidRDefault="004E0E02" w:rsidP="004E5809">
            <w:pPr>
              <w:pStyle w:val="-3"/>
              <w:pBdr>
                <w:bottom w:val="single" w:sz="4" w:space="1" w:color="auto"/>
              </w:pBdr>
              <w:rPr>
                <w:sz w:val="16"/>
                <w:szCs w:val="16"/>
                <w:rtl/>
              </w:rPr>
            </w:pPr>
            <w:r w:rsidRPr="00CF2A74">
              <w:rPr>
                <w:sz w:val="16"/>
                <w:szCs w:val="16"/>
                <w:rtl/>
              </w:rPr>
              <w:t>-</w:t>
            </w:r>
          </w:p>
        </w:tc>
        <w:tc>
          <w:tcPr>
            <w:tcW w:w="807" w:type="dxa"/>
            <w:vAlign w:val="bottom"/>
          </w:tcPr>
          <w:p w14:paraId="3E0B2C26" w14:textId="77777777" w:rsidR="004E0E02" w:rsidRPr="00513F0D" w:rsidRDefault="004E0E02" w:rsidP="004E5809">
            <w:pPr>
              <w:pStyle w:val="-3"/>
              <w:pBdr>
                <w:bottom w:val="single" w:sz="4" w:space="1" w:color="auto"/>
              </w:pBdr>
              <w:rPr>
                <w:sz w:val="16"/>
                <w:szCs w:val="16"/>
                <w:rtl/>
              </w:rPr>
            </w:pPr>
            <w:r w:rsidRPr="00CF2A74">
              <w:rPr>
                <w:sz w:val="16"/>
                <w:szCs w:val="16"/>
                <w:rtl/>
              </w:rPr>
              <w:t>-</w:t>
            </w:r>
          </w:p>
        </w:tc>
        <w:tc>
          <w:tcPr>
            <w:tcW w:w="1079" w:type="dxa"/>
            <w:vAlign w:val="bottom"/>
          </w:tcPr>
          <w:p w14:paraId="4DA98CF7" w14:textId="77777777" w:rsidR="004E0E02" w:rsidRPr="009A7E4A" w:rsidRDefault="004E0E02" w:rsidP="004E5809">
            <w:pPr>
              <w:pStyle w:val="-3"/>
              <w:pBdr>
                <w:bottom w:val="single" w:sz="4" w:space="1" w:color="auto"/>
              </w:pBdr>
              <w:rPr>
                <w:sz w:val="16"/>
                <w:szCs w:val="16"/>
                <w:rtl/>
              </w:rPr>
            </w:pPr>
            <w:r w:rsidRPr="009A7E4A">
              <w:rPr>
                <w:sz w:val="16"/>
                <w:szCs w:val="16"/>
                <w:rtl/>
              </w:rPr>
              <w:t>-</w:t>
            </w:r>
          </w:p>
        </w:tc>
        <w:tc>
          <w:tcPr>
            <w:tcW w:w="655" w:type="dxa"/>
            <w:vAlign w:val="bottom"/>
          </w:tcPr>
          <w:p w14:paraId="7C91AD6E"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794" w:type="dxa"/>
            <w:vAlign w:val="bottom"/>
          </w:tcPr>
          <w:p w14:paraId="7BB73CA9" w14:textId="77777777" w:rsidR="004E0E02" w:rsidRPr="00CF2A74" w:rsidRDefault="004E0E02" w:rsidP="004E5809">
            <w:pPr>
              <w:pStyle w:val="-3"/>
              <w:pBdr>
                <w:bottom w:val="single" w:sz="4" w:space="1" w:color="auto"/>
              </w:pBdr>
              <w:jc w:val="left"/>
              <w:rPr>
                <w:sz w:val="16"/>
                <w:szCs w:val="16"/>
                <w:rtl/>
              </w:rPr>
            </w:pPr>
            <w:r w:rsidRPr="00CF2A74">
              <w:rPr>
                <w:sz w:val="16"/>
                <w:szCs w:val="16"/>
                <w:rtl/>
              </w:rPr>
              <w:t>-</w:t>
            </w:r>
          </w:p>
        </w:tc>
        <w:tc>
          <w:tcPr>
            <w:tcW w:w="936" w:type="dxa"/>
            <w:vAlign w:val="bottom"/>
          </w:tcPr>
          <w:p w14:paraId="3F9F0838"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812" w:type="dxa"/>
            <w:vAlign w:val="bottom"/>
          </w:tcPr>
          <w:p w14:paraId="530B2AAD"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870" w:type="dxa"/>
            <w:vAlign w:val="bottom"/>
          </w:tcPr>
          <w:p w14:paraId="6E7122FC"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805" w:type="dxa"/>
            <w:vAlign w:val="bottom"/>
          </w:tcPr>
          <w:p w14:paraId="05580C38"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w:t>
            </w:r>
          </w:p>
        </w:tc>
        <w:tc>
          <w:tcPr>
            <w:tcW w:w="1141" w:type="dxa"/>
            <w:vAlign w:val="bottom"/>
          </w:tcPr>
          <w:p w14:paraId="1DD97EC3" w14:textId="77777777" w:rsidR="004E0E02" w:rsidRDefault="004E0E02">
            <w:pPr>
              <w:pStyle w:val="-3"/>
              <w:pBdr>
                <w:bottom w:val="single" w:sz="4" w:space="1" w:color="auto"/>
              </w:pBdr>
              <w:jc w:val="left"/>
              <w:rPr>
                <w:sz w:val="16"/>
                <w:szCs w:val="16"/>
                <w:rtl/>
              </w:rPr>
            </w:pPr>
            <w:r>
              <w:rPr>
                <w:rFonts w:hint="cs"/>
                <w:sz w:val="16"/>
                <w:szCs w:val="16"/>
                <w:rtl/>
              </w:rPr>
              <w:t xml:space="preserve"> -</w:t>
            </w:r>
          </w:p>
        </w:tc>
        <w:tc>
          <w:tcPr>
            <w:tcW w:w="710" w:type="dxa"/>
            <w:vAlign w:val="bottom"/>
          </w:tcPr>
          <w:p w14:paraId="3BE0BE14"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0</w:t>
            </w:r>
          </w:p>
        </w:tc>
        <w:tc>
          <w:tcPr>
            <w:tcW w:w="748" w:type="dxa"/>
            <w:vAlign w:val="bottom"/>
          </w:tcPr>
          <w:p w14:paraId="37E8EACB" w14:textId="77777777" w:rsidR="004E0E02" w:rsidRPr="00513F0D" w:rsidRDefault="004E0E02" w:rsidP="004E5809">
            <w:pPr>
              <w:pStyle w:val="-3"/>
              <w:pBdr>
                <w:bottom w:val="single" w:sz="4" w:space="1" w:color="auto"/>
              </w:pBdr>
              <w:jc w:val="left"/>
              <w:rPr>
                <w:sz w:val="16"/>
                <w:szCs w:val="16"/>
                <w:rtl/>
              </w:rPr>
            </w:pPr>
            <w:r w:rsidRPr="00CF2A74">
              <w:rPr>
                <w:sz w:val="16"/>
                <w:szCs w:val="16"/>
                <w:rtl/>
              </w:rPr>
              <w:t xml:space="preserve"> 0</w:t>
            </w:r>
          </w:p>
        </w:tc>
      </w:tr>
      <w:tr w:rsidR="004E0E02" w:rsidRPr="00513F0D" w14:paraId="3E57EB2E" w14:textId="77777777" w:rsidTr="00106371">
        <w:trPr>
          <w:trHeight w:val="381"/>
        </w:trPr>
        <w:tc>
          <w:tcPr>
            <w:tcW w:w="850" w:type="dxa"/>
          </w:tcPr>
          <w:p w14:paraId="57702F04" w14:textId="77777777" w:rsidR="004E0E02" w:rsidRPr="00513F0D" w:rsidRDefault="004E0E02" w:rsidP="0084040C">
            <w:pPr>
              <w:pStyle w:val="-7"/>
              <w:bidi w:val="0"/>
              <w:ind w:right="-231"/>
              <w:jc w:val="left"/>
              <w:rPr>
                <w:spacing w:val="-6"/>
                <w:sz w:val="16"/>
                <w:szCs w:val="16"/>
                <w:rtl/>
              </w:rPr>
            </w:pPr>
          </w:p>
        </w:tc>
        <w:tc>
          <w:tcPr>
            <w:tcW w:w="2203" w:type="dxa"/>
            <w:vAlign w:val="bottom"/>
          </w:tcPr>
          <w:p w14:paraId="05C88ED6" w14:textId="203A72BB" w:rsidR="004E0E02" w:rsidRPr="00CF2A74" w:rsidRDefault="004E0E02" w:rsidP="00914A73">
            <w:pPr>
              <w:pStyle w:val="-b"/>
              <w:rPr>
                <w:sz w:val="16"/>
                <w:szCs w:val="16"/>
                <w:rtl/>
              </w:rPr>
            </w:pPr>
            <w:r w:rsidRPr="00CF2A74">
              <w:rPr>
                <w:rFonts w:hint="eastAsia"/>
                <w:sz w:val="16"/>
                <w:szCs w:val="16"/>
                <w:rtl/>
              </w:rPr>
              <w:t>יתרה</w:t>
            </w:r>
            <w:r w:rsidRPr="00CF2A74">
              <w:rPr>
                <w:sz w:val="16"/>
                <w:szCs w:val="16"/>
                <w:rtl/>
              </w:rPr>
              <w:t xml:space="preserve"> ליום 31 בדצמבר </w:t>
            </w:r>
            <w:r w:rsidR="00C803FD" w:rsidRPr="00C803FD">
              <w:rPr>
                <w:sz w:val="16"/>
                <w:szCs w:val="16"/>
                <w:rtl/>
              </w:rPr>
              <w:fldChar w:fldCharType="begin"/>
            </w:r>
            <w:r w:rsidR="00C803FD" w:rsidRPr="00C803FD">
              <w:rPr>
                <w:sz w:val="16"/>
                <w:szCs w:val="16"/>
                <w:rtl/>
              </w:rPr>
              <w:instrText xml:space="preserve"> </w:instrText>
            </w:r>
            <w:r w:rsidR="00C803FD" w:rsidRPr="00C803FD">
              <w:rPr>
                <w:rFonts w:hint="cs"/>
                <w:sz w:val="16"/>
                <w:szCs w:val="16"/>
                <w:rtl/>
              </w:rPr>
              <w:instrText xml:space="preserve">= </w:instrText>
            </w:r>
            <w:r w:rsidR="00C803FD" w:rsidRPr="00C803FD">
              <w:rPr>
                <w:rFonts w:hint="cs"/>
                <w:sz w:val="16"/>
                <w:szCs w:val="16"/>
              </w:rPr>
              <w:instrText>CY</w:instrText>
            </w:r>
            <w:r w:rsidR="00C803FD" w:rsidRPr="00C803FD">
              <w:rPr>
                <w:sz w:val="16"/>
                <w:szCs w:val="16"/>
              </w:rPr>
              <w:instrText>-1</w:instrText>
            </w:r>
            <w:r w:rsidR="00C803FD" w:rsidRPr="00C803FD">
              <w:rPr>
                <w:rFonts w:hint="cs"/>
                <w:sz w:val="16"/>
                <w:szCs w:val="16"/>
              </w:rPr>
              <w:instrText xml:space="preserve"> \* MERGEFORMAT</w:instrText>
            </w:r>
            <w:r w:rsidR="00C803FD" w:rsidRPr="00C803FD">
              <w:rPr>
                <w:sz w:val="16"/>
                <w:szCs w:val="16"/>
                <w:rtl/>
              </w:rPr>
              <w:instrText xml:space="preserve"> </w:instrText>
            </w:r>
            <w:r w:rsidR="00C803FD" w:rsidRPr="00C803FD">
              <w:rPr>
                <w:sz w:val="16"/>
                <w:szCs w:val="16"/>
                <w:rtl/>
              </w:rPr>
              <w:fldChar w:fldCharType="separate"/>
            </w:r>
            <w:r w:rsidR="003A584F">
              <w:rPr>
                <w:noProof/>
                <w:sz w:val="16"/>
                <w:szCs w:val="16"/>
                <w:rtl/>
              </w:rPr>
              <w:t>2023</w:t>
            </w:r>
            <w:r w:rsidR="00C803FD" w:rsidRPr="00C803FD">
              <w:rPr>
                <w:sz w:val="16"/>
                <w:szCs w:val="16"/>
                <w:rtl/>
              </w:rPr>
              <w:fldChar w:fldCharType="end"/>
            </w:r>
          </w:p>
        </w:tc>
        <w:tc>
          <w:tcPr>
            <w:tcW w:w="766" w:type="dxa"/>
            <w:vAlign w:val="bottom"/>
          </w:tcPr>
          <w:p w14:paraId="7A1C6E2C" w14:textId="77777777" w:rsidR="004E0E02" w:rsidRPr="00513F0D" w:rsidRDefault="004E0E02" w:rsidP="004E5809">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846" w:type="dxa"/>
            <w:vAlign w:val="bottom"/>
          </w:tcPr>
          <w:p w14:paraId="2FBB844C" w14:textId="77777777" w:rsidR="004E0E02" w:rsidRPr="00513F0D" w:rsidRDefault="004E0E02" w:rsidP="004E5809">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957" w:type="dxa"/>
            <w:vAlign w:val="bottom"/>
          </w:tcPr>
          <w:p w14:paraId="47CF2A41" w14:textId="77777777" w:rsidR="004E0E02" w:rsidRPr="00513F0D" w:rsidRDefault="004E0E02" w:rsidP="004E5809">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807" w:type="dxa"/>
            <w:vAlign w:val="bottom"/>
          </w:tcPr>
          <w:p w14:paraId="7194E6DD" w14:textId="77777777" w:rsidR="004E0E02" w:rsidRPr="00513F0D" w:rsidRDefault="004E0E02" w:rsidP="004E5809">
            <w:pPr>
              <w:pStyle w:val="-f1"/>
              <w:pBdr>
                <w:top w:val="none" w:sz="0" w:space="0" w:color="auto"/>
                <w:bottom w:val="double" w:sz="4" w:space="1" w:color="auto"/>
              </w:pBdr>
              <w:ind w:left="0" w:firstLine="0"/>
              <w:jc w:val="both"/>
              <w:rPr>
                <w:sz w:val="16"/>
                <w:szCs w:val="16"/>
                <w:rtl/>
              </w:rPr>
            </w:pPr>
            <w:r w:rsidRPr="00CF2A74">
              <w:rPr>
                <w:sz w:val="16"/>
                <w:szCs w:val="16"/>
                <w:rtl/>
              </w:rPr>
              <w:t>0</w:t>
            </w:r>
          </w:p>
        </w:tc>
        <w:tc>
          <w:tcPr>
            <w:tcW w:w="1079" w:type="dxa"/>
            <w:vAlign w:val="bottom"/>
          </w:tcPr>
          <w:p w14:paraId="786991A9" w14:textId="77777777" w:rsidR="004E0E02" w:rsidRPr="009A7E4A" w:rsidRDefault="004E0E02" w:rsidP="004E5809">
            <w:pPr>
              <w:pStyle w:val="-f1"/>
              <w:pBdr>
                <w:top w:val="none" w:sz="0" w:space="0" w:color="auto"/>
                <w:bottom w:val="double" w:sz="4" w:space="1" w:color="auto"/>
              </w:pBdr>
              <w:ind w:left="0" w:firstLine="0"/>
              <w:jc w:val="both"/>
              <w:rPr>
                <w:sz w:val="16"/>
                <w:szCs w:val="16"/>
                <w:rtl/>
              </w:rPr>
            </w:pPr>
            <w:r w:rsidRPr="009A7E4A">
              <w:rPr>
                <w:sz w:val="16"/>
                <w:szCs w:val="16"/>
                <w:rtl/>
              </w:rPr>
              <w:t>0</w:t>
            </w:r>
          </w:p>
        </w:tc>
        <w:tc>
          <w:tcPr>
            <w:tcW w:w="655" w:type="dxa"/>
            <w:vAlign w:val="bottom"/>
          </w:tcPr>
          <w:p w14:paraId="0505F776"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794" w:type="dxa"/>
            <w:vAlign w:val="bottom"/>
          </w:tcPr>
          <w:p w14:paraId="50F30F1B" w14:textId="77777777" w:rsidR="004E0E02" w:rsidRPr="00CF2A74" w:rsidRDefault="004E0E02" w:rsidP="004E5809">
            <w:pPr>
              <w:pStyle w:val="-3"/>
              <w:pBdr>
                <w:bottom w:val="double" w:sz="4" w:space="1" w:color="auto"/>
              </w:pBdr>
              <w:jc w:val="left"/>
              <w:rPr>
                <w:b/>
                <w:bCs/>
                <w:sz w:val="16"/>
                <w:szCs w:val="16"/>
                <w:rtl/>
              </w:rPr>
            </w:pPr>
            <w:r w:rsidRPr="00CF2A74">
              <w:rPr>
                <w:sz w:val="16"/>
                <w:szCs w:val="16"/>
                <w:rtl/>
              </w:rPr>
              <w:t>0</w:t>
            </w:r>
          </w:p>
        </w:tc>
        <w:tc>
          <w:tcPr>
            <w:tcW w:w="936" w:type="dxa"/>
            <w:vAlign w:val="bottom"/>
          </w:tcPr>
          <w:p w14:paraId="17976337"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812" w:type="dxa"/>
            <w:vAlign w:val="bottom"/>
          </w:tcPr>
          <w:p w14:paraId="25C5F7BE"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870" w:type="dxa"/>
            <w:vAlign w:val="bottom"/>
          </w:tcPr>
          <w:p w14:paraId="36BE07CB"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805" w:type="dxa"/>
            <w:vAlign w:val="bottom"/>
          </w:tcPr>
          <w:p w14:paraId="333DD36F"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1141" w:type="dxa"/>
            <w:vAlign w:val="bottom"/>
          </w:tcPr>
          <w:p w14:paraId="65E5173F"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710" w:type="dxa"/>
            <w:vAlign w:val="bottom"/>
          </w:tcPr>
          <w:p w14:paraId="20B9C87F"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c>
          <w:tcPr>
            <w:tcW w:w="748" w:type="dxa"/>
            <w:vAlign w:val="bottom"/>
          </w:tcPr>
          <w:p w14:paraId="124D663D" w14:textId="77777777" w:rsidR="004E0E02" w:rsidRPr="00513F0D" w:rsidRDefault="004E0E02" w:rsidP="004E5809">
            <w:pPr>
              <w:pStyle w:val="-3"/>
              <w:pBdr>
                <w:bottom w:val="double" w:sz="4" w:space="1" w:color="auto"/>
              </w:pBdr>
              <w:jc w:val="left"/>
              <w:rPr>
                <w:b/>
                <w:bCs/>
                <w:sz w:val="16"/>
                <w:szCs w:val="16"/>
                <w:rtl/>
              </w:rPr>
            </w:pPr>
            <w:r w:rsidRPr="00CF2A74">
              <w:rPr>
                <w:b/>
                <w:bCs/>
                <w:sz w:val="16"/>
                <w:szCs w:val="16"/>
                <w:rtl/>
              </w:rPr>
              <w:t xml:space="preserve"> 0</w:t>
            </w:r>
          </w:p>
        </w:tc>
      </w:tr>
      <w:tr w:rsidR="004E0E02" w:rsidRPr="00513F0D" w14:paraId="4936F29D" w14:textId="77777777" w:rsidTr="00106371">
        <w:tc>
          <w:tcPr>
            <w:tcW w:w="850" w:type="dxa"/>
          </w:tcPr>
          <w:p w14:paraId="4DE62651" w14:textId="77777777" w:rsidR="00F32A2A" w:rsidRDefault="00F32A2A">
            <w:pPr>
              <w:pStyle w:val="-7"/>
              <w:bidi w:val="0"/>
              <w:spacing w:line="240" w:lineRule="auto"/>
              <w:ind w:right="-231"/>
              <w:rPr>
                <w:spacing w:val="-6"/>
                <w:sz w:val="16"/>
                <w:szCs w:val="16"/>
                <w:rtl/>
              </w:rPr>
            </w:pPr>
          </w:p>
        </w:tc>
        <w:tc>
          <w:tcPr>
            <w:tcW w:w="2203" w:type="dxa"/>
            <w:vAlign w:val="bottom"/>
          </w:tcPr>
          <w:p w14:paraId="1158CCC4" w14:textId="77777777" w:rsidR="00F32A2A" w:rsidRDefault="00F32A2A">
            <w:pPr>
              <w:pStyle w:val="-7"/>
              <w:bidi w:val="0"/>
              <w:spacing w:line="240" w:lineRule="auto"/>
              <w:rPr>
                <w:sz w:val="16"/>
                <w:szCs w:val="16"/>
                <w:rtl/>
              </w:rPr>
            </w:pPr>
          </w:p>
        </w:tc>
        <w:tc>
          <w:tcPr>
            <w:tcW w:w="766" w:type="dxa"/>
          </w:tcPr>
          <w:p w14:paraId="16B43ECB" w14:textId="77777777" w:rsidR="00F32A2A" w:rsidRDefault="00F32A2A">
            <w:pPr>
              <w:pStyle w:val="-212"/>
              <w:pBdr>
                <w:top w:val="none" w:sz="0" w:space="0" w:color="auto"/>
              </w:pBdr>
              <w:bidi w:val="0"/>
              <w:jc w:val="both"/>
              <w:rPr>
                <w:sz w:val="16"/>
                <w:szCs w:val="16"/>
                <w:rtl/>
              </w:rPr>
            </w:pPr>
          </w:p>
        </w:tc>
        <w:tc>
          <w:tcPr>
            <w:tcW w:w="846" w:type="dxa"/>
          </w:tcPr>
          <w:p w14:paraId="1BD99F15" w14:textId="77777777" w:rsidR="00F32A2A" w:rsidRDefault="00F32A2A">
            <w:pPr>
              <w:pStyle w:val="-212"/>
              <w:pBdr>
                <w:top w:val="none" w:sz="0" w:space="0" w:color="auto"/>
              </w:pBdr>
              <w:bidi w:val="0"/>
              <w:jc w:val="both"/>
              <w:rPr>
                <w:sz w:val="16"/>
                <w:szCs w:val="16"/>
                <w:rtl/>
              </w:rPr>
            </w:pPr>
          </w:p>
        </w:tc>
        <w:tc>
          <w:tcPr>
            <w:tcW w:w="957" w:type="dxa"/>
          </w:tcPr>
          <w:p w14:paraId="06B897FD" w14:textId="77777777" w:rsidR="00F32A2A" w:rsidRDefault="00F32A2A">
            <w:pPr>
              <w:pStyle w:val="-212"/>
              <w:pBdr>
                <w:top w:val="none" w:sz="0" w:space="0" w:color="auto"/>
              </w:pBdr>
              <w:bidi w:val="0"/>
              <w:jc w:val="both"/>
              <w:rPr>
                <w:sz w:val="16"/>
                <w:szCs w:val="16"/>
                <w:rtl/>
              </w:rPr>
            </w:pPr>
          </w:p>
        </w:tc>
        <w:tc>
          <w:tcPr>
            <w:tcW w:w="807" w:type="dxa"/>
          </w:tcPr>
          <w:p w14:paraId="72AB7097" w14:textId="77777777" w:rsidR="00F32A2A" w:rsidRDefault="00F32A2A">
            <w:pPr>
              <w:pStyle w:val="-212"/>
              <w:pBdr>
                <w:top w:val="none" w:sz="0" w:space="0" w:color="auto"/>
              </w:pBdr>
              <w:bidi w:val="0"/>
              <w:jc w:val="both"/>
              <w:rPr>
                <w:sz w:val="16"/>
                <w:szCs w:val="16"/>
                <w:rtl/>
              </w:rPr>
            </w:pPr>
          </w:p>
        </w:tc>
        <w:tc>
          <w:tcPr>
            <w:tcW w:w="1079" w:type="dxa"/>
          </w:tcPr>
          <w:p w14:paraId="360B4D16" w14:textId="77777777" w:rsidR="00F32A2A" w:rsidRDefault="00F32A2A">
            <w:pPr>
              <w:pStyle w:val="-212"/>
              <w:pBdr>
                <w:top w:val="none" w:sz="0" w:space="0" w:color="auto"/>
              </w:pBdr>
              <w:bidi w:val="0"/>
              <w:jc w:val="both"/>
              <w:rPr>
                <w:sz w:val="16"/>
                <w:szCs w:val="16"/>
                <w:rtl/>
              </w:rPr>
            </w:pPr>
          </w:p>
        </w:tc>
        <w:tc>
          <w:tcPr>
            <w:tcW w:w="655" w:type="dxa"/>
          </w:tcPr>
          <w:p w14:paraId="6A99251F" w14:textId="77777777" w:rsidR="00F32A2A" w:rsidRDefault="00F32A2A">
            <w:pPr>
              <w:pStyle w:val="-3"/>
              <w:bidi w:val="0"/>
              <w:spacing w:line="240" w:lineRule="auto"/>
              <w:rPr>
                <w:b/>
                <w:bCs/>
                <w:sz w:val="16"/>
                <w:szCs w:val="16"/>
                <w:rtl/>
              </w:rPr>
            </w:pPr>
          </w:p>
        </w:tc>
        <w:tc>
          <w:tcPr>
            <w:tcW w:w="794" w:type="dxa"/>
          </w:tcPr>
          <w:p w14:paraId="10321831" w14:textId="77777777" w:rsidR="004E0E02" w:rsidRDefault="004E0E02">
            <w:pPr>
              <w:pStyle w:val="-3"/>
              <w:bidi w:val="0"/>
              <w:spacing w:line="240" w:lineRule="auto"/>
              <w:rPr>
                <w:b/>
                <w:bCs/>
                <w:sz w:val="16"/>
                <w:szCs w:val="16"/>
                <w:rtl/>
              </w:rPr>
            </w:pPr>
          </w:p>
        </w:tc>
        <w:tc>
          <w:tcPr>
            <w:tcW w:w="936" w:type="dxa"/>
          </w:tcPr>
          <w:p w14:paraId="6CD6C1ED" w14:textId="77777777" w:rsidR="00F32A2A" w:rsidRDefault="00F32A2A">
            <w:pPr>
              <w:pStyle w:val="-3"/>
              <w:bidi w:val="0"/>
              <w:spacing w:line="240" w:lineRule="auto"/>
              <w:rPr>
                <w:b/>
                <w:bCs/>
                <w:sz w:val="16"/>
                <w:szCs w:val="16"/>
                <w:rtl/>
              </w:rPr>
            </w:pPr>
          </w:p>
        </w:tc>
        <w:tc>
          <w:tcPr>
            <w:tcW w:w="812" w:type="dxa"/>
          </w:tcPr>
          <w:p w14:paraId="05DA8ECC" w14:textId="77777777" w:rsidR="00F32A2A" w:rsidRDefault="00F32A2A">
            <w:pPr>
              <w:pStyle w:val="-3"/>
              <w:bidi w:val="0"/>
              <w:spacing w:line="240" w:lineRule="auto"/>
              <w:rPr>
                <w:b/>
                <w:bCs/>
                <w:sz w:val="16"/>
                <w:szCs w:val="16"/>
                <w:rtl/>
              </w:rPr>
            </w:pPr>
          </w:p>
        </w:tc>
        <w:tc>
          <w:tcPr>
            <w:tcW w:w="870" w:type="dxa"/>
          </w:tcPr>
          <w:p w14:paraId="2CA4D897" w14:textId="77777777" w:rsidR="00F32A2A" w:rsidRDefault="00F32A2A">
            <w:pPr>
              <w:pStyle w:val="-3"/>
              <w:bidi w:val="0"/>
              <w:spacing w:line="240" w:lineRule="auto"/>
              <w:rPr>
                <w:b/>
                <w:bCs/>
                <w:sz w:val="16"/>
                <w:szCs w:val="16"/>
                <w:rtl/>
              </w:rPr>
            </w:pPr>
          </w:p>
        </w:tc>
        <w:tc>
          <w:tcPr>
            <w:tcW w:w="805" w:type="dxa"/>
          </w:tcPr>
          <w:p w14:paraId="4B15E056" w14:textId="77777777" w:rsidR="00F32A2A" w:rsidRDefault="00F32A2A">
            <w:pPr>
              <w:pStyle w:val="-3"/>
              <w:bidi w:val="0"/>
              <w:spacing w:line="240" w:lineRule="auto"/>
              <w:rPr>
                <w:b/>
                <w:bCs/>
                <w:sz w:val="16"/>
                <w:szCs w:val="16"/>
                <w:rtl/>
              </w:rPr>
            </w:pPr>
          </w:p>
        </w:tc>
        <w:tc>
          <w:tcPr>
            <w:tcW w:w="1141" w:type="dxa"/>
          </w:tcPr>
          <w:p w14:paraId="214C2806" w14:textId="77777777" w:rsidR="00F32A2A" w:rsidRDefault="00F32A2A">
            <w:pPr>
              <w:pStyle w:val="-3"/>
              <w:bidi w:val="0"/>
              <w:spacing w:line="240" w:lineRule="auto"/>
              <w:rPr>
                <w:b/>
                <w:bCs/>
                <w:sz w:val="16"/>
                <w:szCs w:val="16"/>
                <w:rtl/>
              </w:rPr>
            </w:pPr>
          </w:p>
        </w:tc>
        <w:tc>
          <w:tcPr>
            <w:tcW w:w="710" w:type="dxa"/>
          </w:tcPr>
          <w:p w14:paraId="01A82D6C" w14:textId="77777777" w:rsidR="00F32A2A" w:rsidRDefault="00F32A2A">
            <w:pPr>
              <w:pStyle w:val="-3"/>
              <w:bidi w:val="0"/>
              <w:spacing w:line="240" w:lineRule="auto"/>
              <w:rPr>
                <w:b/>
                <w:bCs/>
                <w:sz w:val="16"/>
                <w:szCs w:val="16"/>
                <w:rtl/>
              </w:rPr>
            </w:pPr>
          </w:p>
        </w:tc>
        <w:tc>
          <w:tcPr>
            <w:tcW w:w="748" w:type="dxa"/>
          </w:tcPr>
          <w:p w14:paraId="2BE34767" w14:textId="77777777" w:rsidR="00F32A2A" w:rsidRDefault="00F32A2A">
            <w:pPr>
              <w:pStyle w:val="-3"/>
              <w:bidi w:val="0"/>
              <w:spacing w:line="240" w:lineRule="auto"/>
              <w:rPr>
                <w:b/>
                <w:bCs/>
                <w:sz w:val="16"/>
                <w:szCs w:val="16"/>
                <w:rtl/>
              </w:rPr>
            </w:pPr>
          </w:p>
        </w:tc>
      </w:tr>
    </w:tbl>
    <w:p w14:paraId="5C065F37" w14:textId="77777777" w:rsidR="00EF6A08" w:rsidRDefault="00EF6A08">
      <w:pPr>
        <w:rPr>
          <w:rtl/>
        </w:rPr>
      </w:pPr>
    </w:p>
    <w:p w14:paraId="24D1E3AD" w14:textId="77777777" w:rsidR="004A1ADA" w:rsidRDefault="004A1ADA">
      <w:pPr>
        <w:rPr>
          <w:rtl/>
        </w:rPr>
      </w:pPr>
    </w:p>
    <w:tbl>
      <w:tblPr>
        <w:bidiVisual/>
        <w:tblW w:w="4792" w:type="pct"/>
        <w:tblLook w:val="04A0" w:firstRow="1" w:lastRow="0" w:firstColumn="1" w:lastColumn="0" w:noHBand="0" w:noVBand="1"/>
      </w:tblPr>
      <w:tblGrid>
        <w:gridCol w:w="1051"/>
        <w:gridCol w:w="13452"/>
      </w:tblGrid>
      <w:tr w:rsidR="00D12B77" w:rsidRPr="00D851E7" w14:paraId="4841FC99" w14:textId="77777777" w:rsidTr="00C57F10">
        <w:trPr>
          <w:trHeight w:val="259"/>
        </w:trPr>
        <w:tc>
          <w:tcPr>
            <w:tcW w:w="709" w:type="dxa"/>
          </w:tcPr>
          <w:p w14:paraId="769E81B3" w14:textId="77777777" w:rsidR="00D12B77" w:rsidRPr="00ED6312" w:rsidRDefault="00D12B77" w:rsidP="00C57F10">
            <w:pPr>
              <w:pStyle w:val="-7"/>
              <w:bidi w:val="0"/>
              <w:spacing w:line="240" w:lineRule="auto"/>
              <w:ind w:right="-231"/>
              <w:jc w:val="left"/>
              <w:rPr>
                <w:spacing w:val="-6"/>
                <w:sz w:val="14"/>
                <w:szCs w:val="14"/>
                <w:rtl/>
              </w:rPr>
            </w:pPr>
          </w:p>
        </w:tc>
        <w:tc>
          <w:tcPr>
            <w:tcW w:w="9073" w:type="dxa"/>
          </w:tcPr>
          <w:p w14:paraId="39E2AE35" w14:textId="77777777" w:rsidR="00D12B77" w:rsidRPr="004F0CDC" w:rsidRDefault="00D12B77" w:rsidP="00C57F10">
            <w:pPr>
              <w:rPr>
                <w:sz w:val="17"/>
                <w:szCs w:val="17"/>
                <w:rtl/>
              </w:rPr>
            </w:pPr>
            <w:r>
              <w:rPr>
                <w:rFonts w:hint="cs"/>
                <w:sz w:val="17"/>
                <w:szCs w:val="17"/>
                <w:rtl/>
              </w:rPr>
              <w:t xml:space="preserve">* </w:t>
            </w:r>
            <w:r w:rsidRPr="004F0CDC">
              <w:rPr>
                <w:sz w:val="17"/>
                <w:szCs w:val="17"/>
                <w:rtl/>
              </w:rPr>
              <w:t xml:space="preserve">יושם למפרע, </w:t>
            </w:r>
            <w:r w:rsidRPr="004F0CDC">
              <w:rPr>
                <w:rFonts w:hint="cs"/>
                <w:sz w:val="17"/>
                <w:szCs w:val="17"/>
                <w:rtl/>
              </w:rPr>
              <w:t>ראה</w:t>
            </w:r>
            <w:r w:rsidRPr="004F0CDC">
              <w:rPr>
                <w:sz w:val="17"/>
                <w:szCs w:val="17"/>
                <w:rtl/>
              </w:rPr>
              <w:t xml:space="preserve"> ביאור </w:t>
            </w:r>
            <w:r w:rsidRPr="005F709A">
              <w:rPr>
                <w:sz w:val="16"/>
                <w:szCs w:val="16"/>
                <w:rtl/>
              </w:rPr>
              <w:t>1(</w:t>
            </w:r>
            <w:r w:rsidRPr="005F709A">
              <w:rPr>
                <w:rFonts w:hint="cs"/>
                <w:sz w:val="16"/>
                <w:szCs w:val="16"/>
                <w:rtl/>
              </w:rPr>
              <w:t>ה</w:t>
            </w:r>
            <w:r w:rsidRPr="005F709A">
              <w:rPr>
                <w:sz w:val="16"/>
                <w:szCs w:val="16"/>
                <w:rtl/>
              </w:rPr>
              <w:t>)(1)</w:t>
            </w:r>
            <w:r>
              <w:rPr>
                <w:rFonts w:hint="cs"/>
                <w:sz w:val="17"/>
                <w:szCs w:val="17"/>
                <w:rtl/>
              </w:rPr>
              <w:t xml:space="preserve"> / </w:t>
            </w:r>
            <w:r w:rsidRPr="00CE0F9D">
              <w:rPr>
                <w:sz w:val="17"/>
                <w:szCs w:val="17"/>
                <w:rtl/>
              </w:rPr>
              <w:t>**</w:t>
            </w:r>
            <w:r>
              <w:rPr>
                <w:rFonts w:hint="cs"/>
                <w:sz w:val="17"/>
                <w:szCs w:val="17"/>
                <w:rtl/>
              </w:rPr>
              <w:t xml:space="preserve"> </w:t>
            </w:r>
            <w:r w:rsidRPr="00CE0F9D">
              <w:rPr>
                <w:sz w:val="17"/>
                <w:szCs w:val="17"/>
                <w:rtl/>
              </w:rPr>
              <w:t xml:space="preserve">סווג מחדש, ראה ביאור </w:t>
            </w:r>
            <w:r w:rsidRPr="005F709A">
              <w:rPr>
                <w:sz w:val="16"/>
                <w:szCs w:val="16"/>
                <w:rtl/>
              </w:rPr>
              <w:t>1(</w:t>
            </w:r>
            <w:r w:rsidRPr="005F709A">
              <w:rPr>
                <w:rFonts w:hint="cs"/>
                <w:sz w:val="16"/>
                <w:szCs w:val="16"/>
                <w:rtl/>
              </w:rPr>
              <w:t>ה</w:t>
            </w:r>
            <w:r w:rsidRPr="005F709A">
              <w:rPr>
                <w:sz w:val="16"/>
                <w:szCs w:val="16"/>
                <w:rtl/>
              </w:rPr>
              <w:t>)(2)</w:t>
            </w:r>
            <w:r>
              <w:rPr>
                <w:rFonts w:hint="cs"/>
                <w:sz w:val="17"/>
                <w:szCs w:val="17"/>
                <w:rtl/>
              </w:rPr>
              <w:t xml:space="preserve"> / </w:t>
            </w:r>
            <w:r w:rsidRPr="00CE0F9D">
              <w:rPr>
                <w:sz w:val="17"/>
                <w:szCs w:val="17"/>
                <w:rtl/>
              </w:rPr>
              <w:t>***</w:t>
            </w:r>
            <w:r>
              <w:rPr>
                <w:rFonts w:hint="cs"/>
                <w:sz w:val="17"/>
                <w:szCs w:val="17"/>
                <w:rtl/>
              </w:rPr>
              <w:t xml:space="preserve"> ה</w:t>
            </w:r>
            <w:r w:rsidRPr="00CE0F9D">
              <w:rPr>
                <w:sz w:val="17"/>
                <w:szCs w:val="17"/>
                <w:rtl/>
              </w:rPr>
              <w:t xml:space="preserve">וצג מחדש, ראה ביאור </w:t>
            </w:r>
            <w:r w:rsidRPr="005F709A">
              <w:rPr>
                <w:sz w:val="16"/>
                <w:szCs w:val="16"/>
                <w:rtl/>
              </w:rPr>
              <w:t>1(</w:t>
            </w:r>
            <w:r w:rsidRPr="005F709A">
              <w:rPr>
                <w:rFonts w:hint="cs"/>
                <w:sz w:val="16"/>
                <w:szCs w:val="16"/>
                <w:rtl/>
              </w:rPr>
              <w:t>ה</w:t>
            </w:r>
            <w:r w:rsidRPr="005F709A">
              <w:rPr>
                <w:sz w:val="16"/>
                <w:szCs w:val="16"/>
                <w:rtl/>
              </w:rPr>
              <w:t>)(3)</w:t>
            </w:r>
          </w:p>
        </w:tc>
      </w:tr>
    </w:tbl>
    <w:p w14:paraId="71D85895" w14:textId="77777777" w:rsidR="00F32A2A" w:rsidRPr="00D12B77" w:rsidRDefault="00F32A2A">
      <w:pPr>
        <w:rPr>
          <w:rtl/>
        </w:rPr>
      </w:pPr>
    </w:p>
    <w:p w14:paraId="31F2994D" w14:textId="77777777" w:rsidR="004A1ADA" w:rsidRDefault="004A1ADA">
      <w:pPr>
        <w:rPr>
          <w:rtl/>
        </w:rPr>
      </w:pPr>
    </w:p>
    <w:p w14:paraId="77B60153" w14:textId="77777777" w:rsidR="004A1ADA" w:rsidRDefault="004A1ADA">
      <w:pPr>
        <w:rPr>
          <w:rtl/>
        </w:rPr>
      </w:pPr>
    </w:p>
    <w:p w14:paraId="04B57139" w14:textId="77777777" w:rsidR="004A1ADA" w:rsidRDefault="004A1ADA">
      <w:pPr>
        <w:rPr>
          <w:rtl/>
        </w:rPr>
      </w:pPr>
    </w:p>
    <w:tbl>
      <w:tblPr>
        <w:bidiVisual/>
        <w:tblW w:w="5000" w:type="pct"/>
        <w:tblLook w:val="04A0" w:firstRow="1" w:lastRow="0" w:firstColumn="1" w:lastColumn="0" w:noHBand="0" w:noVBand="1"/>
      </w:tblPr>
      <w:tblGrid>
        <w:gridCol w:w="955"/>
        <w:gridCol w:w="14177"/>
      </w:tblGrid>
      <w:tr w:rsidR="0084040C" w:rsidRPr="00543C25" w14:paraId="3BDD4805" w14:textId="77777777" w:rsidTr="003E7BB9">
        <w:trPr>
          <w:trHeight w:val="259"/>
        </w:trPr>
        <w:tc>
          <w:tcPr>
            <w:tcW w:w="955" w:type="dxa"/>
          </w:tcPr>
          <w:p w14:paraId="13CB42F8" w14:textId="77777777" w:rsidR="00F32A2A" w:rsidRDefault="00F32A2A">
            <w:pPr>
              <w:bidi w:val="0"/>
              <w:jc w:val="left"/>
              <w:rPr>
                <w:spacing w:val="-6"/>
                <w:sz w:val="14"/>
                <w:szCs w:val="14"/>
                <w:rtl/>
              </w:rPr>
            </w:pPr>
          </w:p>
        </w:tc>
        <w:tc>
          <w:tcPr>
            <w:tcW w:w="14177" w:type="dxa"/>
          </w:tcPr>
          <w:p w14:paraId="77D4DADD" w14:textId="77777777" w:rsidR="005A51DF" w:rsidRPr="00543C25" w:rsidRDefault="00DF4EAA" w:rsidP="005A51DF">
            <w:pPr>
              <w:rPr>
                <w:rtl/>
              </w:rPr>
            </w:pPr>
            <w:r w:rsidRPr="00543C25">
              <w:rPr>
                <w:b/>
                <w:bCs/>
                <w:rtl/>
              </w:rPr>
              <w:t xml:space="preserve"> הביאורים ל</w:t>
            </w:r>
            <w:r>
              <w:rPr>
                <w:rFonts w:hint="cs"/>
                <w:b/>
                <w:bCs/>
                <w:rtl/>
              </w:rPr>
              <w:t xml:space="preserve">תמצית </w:t>
            </w:r>
            <w:r w:rsidR="00A14188">
              <w:rPr>
                <w:rFonts w:hint="cs"/>
                <w:b/>
                <w:bCs/>
                <w:rtl/>
              </w:rPr>
              <w:t>ה</w:t>
            </w:r>
            <w:r w:rsidRPr="00543C25">
              <w:rPr>
                <w:b/>
                <w:bCs/>
                <w:rtl/>
              </w:rPr>
              <w:t xml:space="preserve">דוחות הכספיים מהווים חלק בלתי נפרד </w:t>
            </w:r>
            <w:r>
              <w:rPr>
                <w:rFonts w:hint="cs"/>
                <w:b/>
                <w:bCs/>
                <w:rtl/>
              </w:rPr>
              <w:t>ממנה.</w:t>
            </w:r>
          </w:p>
        </w:tc>
      </w:tr>
    </w:tbl>
    <w:p w14:paraId="0C390A1E" w14:textId="007FA542" w:rsidR="00A47C44" w:rsidRDefault="00A47C44" w:rsidP="003E7BB9">
      <w:pPr>
        <w:pStyle w:val="-2"/>
        <w:rPr>
          <w:rtl/>
        </w:rPr>
      </w:pPr>
    </w:p>
    <w:p w14:paraId="0345E2EA" w14:textId="77777777" w:rsidR="00DE0B68" w:rsidRDefault="00DE0B68" w:rsidP="008966B2">
      <w:pPr>
        <w:pStyle w:val="-2"/>
        <w:ind w:left="1200"/>
        <w:rPr>
          <w:rtl/>
        </w:rPr>
        <w:sectPr w:rsidR="00DE0B68" w:rsidSect="00587121">
          <w:headerReference w:type="even" r:id="rId25"/>
          <w:headerReference w:type="default" r:id="rId26"/>
          <w:footnotePr>
            <w:numRestart w:val="eachPage"/>
          </w:footnotePr>
          <w:pgSz w:w="16834" w:h="11909" w:orient="landscape" w:code="9"/>
          <w:pgMar w:top="851" w:right="851" w:bottom="851" w:left="851" w:header="720" w:footer="720" w:gutter="0"/>
          <w:cols w:space="720"/>
          <w:bidi/>
          <w:rtlGutter/>
          <w:docGrid w:linePitch="360"/>
        </w:sectPr>
      </w:pPr>
    </w:p>
    <w:p w14:paraId="2B1EDF76" w14:textId="77777777" w:rsidR="00977FCF" w:rsidRDefault="00977FCF" w:rsidP="00106371">
      <w:pPr>
        <w:pStyle w:val="-2"/>
        <w:ind w:firstLine="1135"/>
        <w:rPr>
          <w:rtl/>
        </w:rPr>
      </w:pPr>
      <w:r w:rsidRPr="00543C25">
        <w:rPr>
          <w:rFonts w:hint="cs"/>
          <w:rtl/>
        </w:rPr>
        <w:lastRenderedPageBreak/>
        <w:t>בנק</w:t>
      </w:r>
      <w:r w:rsidRPr="00543C25">
        <w:rPr>
          <w:rtl/>
        </w:rPr>
        <w:t xml:space="preserve"> </w:t>
      </w:r>
      <w:r w:rsidRPr="00543C25">
        <w:rPr>
          <w:rFonts w:hint="cs"/>
          <w:rtl/>
        </w:rPr>
        <w:t xml:space="preserve">לדוגמה </w:t>
      </w:r>
      <w:r w:rsidRPr="00543C25">
        <w:rPr>
          <w:rtl/>
        </w:rPr>
        <w:t>בע"מ וחברות מאוחדות שלו</w:t>
      </w:r>
    </w:p>
    <w:p w14:paraId="5A6F6B0A" w14:textId="148CED5D" w:rsidR="00977FCF" w:rsidRPr="00B23171" w:rsidRDefault="00977FCF" w:rsidP="00106371">
      <w:pPr>
        <w:pStyle w:val="7"/>
        <w:spacing w:after="80"/>
        <w:ind w:firstLine="1135"/>
        <w:rPr>
          <w:u w:val="single"/>
          <w:rtl/>
        </w:rPr>
      </w:pPr>
      <w:bookmarkStart w:id="10" w:name="_Toc160529213"/>
      <w:r w:rsidRPr="00B23171">
        <w:rPr>
          <w:rFonts w:hint="cs"/>
          <w:u w:val="single"/>
          <w:rtl/>
        </w:rPr>
        <w:t xml:space="preserve">תמצית דוח על תזרימי מזומנים מאוחד לתקופות שהסתיימו ביום 30 ביוני </w:t>
      </w:r>
      <w:r w:rsidR="00C803FD" w:rsidRPr="00C803FD">
        <w:rPr>
          <w:sz w:val="22"/>
          <w:u w:val="single"/>
          <w:rtl/>
        </w:rPr>
        <w:fldChar w:fldCharType="begin"/>
      </w:r>
      <w:r w:rsidR="00C803FD" w:rsidRPr="00C803FD">
        <w:rPr>
          <w:sz w:val="22"/>
          <w:u w:val="single"/>
          <w:rtl/>
        </w:rPr>
        <w:instrText xml:space="preserve"> </w:instrText>
      </w:r>
      <w:r w:rsidR="00C803FD" w:rsidRPr="00C803FD">
        <w:rPr>
          <w:rFonts w:hint="cs"/>
          <w:sz w:val="22"/>
          <w:u w:val="single"/>
          <w:rtl/>
        </w:rPr>
        <w:instrText xml:space="preserve">= </w:instrText>
      </w:r>
      <w:r w:rsidR="00C803FD" w:rsidRPr="00C803FD">
        <w:rPr>
          <w:rFonts w:hint="cs"/>
          <w:sz w:val="22"/>
          <w:u w:val="single"/>
        </w:rPr>
        <w:instrText>CY \* MERGEFORMAT</w:instrText>
      </w:r>
      <w:r w:rsidR="00C803FD" w:rsidRPr="00C803FD">
        <w:rPr>
          <w:sz w:val="22"/>
          <w:u w:val="single"/>
          <w:rtl/>
        </w:rPr>
        <w:instrText xml:space="preserve"> </w:instrText>
      </w:r>
      <w:r w:rsidR="00C803FD" w:rsidRPr="00C803FD">
        <w:rPr>
          <w:sz w:val="22"/>
          <w:u w:val="single"/>
          <w:rtl/>
        </w:rPr>
        <w:fldChar w:fldCharType="separate"/>
      </w:r>
      <w:r w:rsidR="003A584F">
        <w:rPr>
          <w:noProof/>
          <w:sz w:val="22"/>
          <w:u w:val="single"/>
          <w:rtl/>
        </w:rPr>
        <w:t>2024</w:t>
      </w:r>
      <w:r w:rsidR="00C803FD" w:rsidRPr="00C803FD">
        <w:rPr>
          <w:sz w:val="22"/>
          <w:u w:val="single"/>
          <w:rtl/>
        </w:rPr>
        <w:fldChar w:fldCharType="end"/>
      </w:r>
      <w:r w:rsidR="00C832B0">
        <w:rPr>
          <w:rFonts w:hint="cs"/>
          <w:u w:val="single"/>
          <w:vertAlign w:val="superscript"/>
          <w:rtl/>
        </w:rPr>
        <w:t xml:space="preserve"> </w:t>
      </w:r>
      <w:r w:rsidR="00320B50" w:rsidRPr="008B319B">
        <w:rPr>
          <w:rStyle w:val="a7"/>
          <w:rtl/>
        </w:rPr>
        <w:footnoteReference w:id="20"/>
      </w:r>
      <w:bookmarkEnd w:id="10"/>
    </w:p>
    <w:p w14:paraId="7F6A3FD0" w14:textId="77777777" w:rsidR="00977FCF" w:rsidRPr="00977FCF" w:rsidRDefault="00977FCF" w:rsidP="00106371">
      <w:pPr>
        <w:pStyle w:val="-2"/>
        <w:ind w:firstLine="1135"/>
        <w:rPr>
          <w:b w:val="0"/>
          <w:bCs w:val="0"/>
          <w:sz w:val="20"/>
          <w:szCs w:val="20"/>
          <w:rtl/>
        </w:rPr>
      </w:pPr>
      <w:r w:rsidRPr="00977FCF">
        <w:rPr>
          <w:rFonts w:hint="cs"/>
          <w:b w:val="0"/>
          <w:bCs w:val="0"/>
          <w:sz w:val="20"/>
          <w:szCs w:val="20"/>
          <w:rtl/>
        </w:rPr>
        <w:t>סכומים מדווחים (במיליוני ש"ח)</w:t>
      </w:r>
    </w:p>
    <w:tbl>
      <w:tblPr>
        <w:bidiVisual/>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70"/>
        <w:gridCol w:w="4366"/>
        <w:gridCol w:w="170"/>
        <w:gridCol w:w="539"/>
        <w:gridCol w:w="170"/>
        <w:gridCol w:w="609"/>
        <w:gridCol w:w="170"/>
        <w:gridCol w:w="671"/>
        <w:gridCol w:w="170"/>
        <w:gridCol w:w="670"/>
        <w:gridCol w:w="170"/>
        <w:gridCol w:w="1227"/>
      </w:tblGrid>
      <w:tr w:rsidR="00421CED" w:rsidRPr="00AB469F" w14:paraId="4DF19E58" w14:textId="77777777" w:rsidTr="00DC6BA9">
        <w:tc>
          <w:tcPr>
            <w:tcW w:w="1417" w:type="dxa"/>
            <w:tcBorders>
              <w:top w:val="nil"/>
              <w:left w:val="nil"/>
              <w:bottom w:val="nil"/>
              <w:right w:val="nil"/>
            </w:tcBorders>
          </w:tcPr>
          <w:p w14:paraId="2A1EFEF5" w14:textId="77777777" w:rsidR="001A66F1" w:rsidRDefault="001A66F1" w:rsidP="00EF075C">
            <w:pPr>
              <w:pStyle w:val="-0"/>
              <w:rPr>
                <w:sz w:val="14"/>
                <w:szCs w:val="14"/>
                <w:rtl/>
              </w:rPr>
            </w:pPr>
            <w:r w:rsidRPr="0063468A">
              <w:rPr>
                <w:rFonts w:hint="eastAsia"/>
                <w:sz w:val="14"/>
                <w:szCs w:val="14"/>
                <w:rtl/>
              </w:rPr>
              <w:t>מתכונת</w:t>
            </w:r>
            <w:r w:rsidRPr="0063468A">
              <w:rPr>
                <w:sz w:val="14"/>
                <w:szCs w:val="14"/>
                <w:rtl/>
              </w:rPr>
              <w:t xml:space="preserve"> </w:t>
            </w:r>
            <w:r>
              <w:rPr>
                <w:rFonts w:hint="eastAsia"/>
                <w:sz w:val="14"/>
                <w:szCs w:val="14"/>
                <w:rtl/>
              </w:rPr>
              <w:t>דו</w:t>
            </w:r>
            <w:r>
              <w:rPr>
                <w:rFonts w:hint="cs"/>
                <w:sz w:val="14"/>
                <w:szCs w:val="14"/>
                <w:rtl/>
              </w:rPr>
              <w:t xml:space="preserve">ח </w:t>
            </w:r>
          </w:p>
          <w:p w14:paraId="0227C22B" w14:textId="77777777" w:rsidR="00421CED" w:rsidRDefault="001A66F1" w:rsidP="00EF075C">
            <w:pPr>
              <w:jc w:val="left"/>
              <w:rPr>
                <w:rtl/>
              </w:rPr>
            </w:pPr>
            <w:r w:rsidRPr="0063468A">
              <w:rPr>
                <w:rFonts w:hint="eastAsia"/>
                <w:sz w:val="14"/>
                <w:szCs w:val="14"/>
                <w:rtl/>
              </w:rPr>
              <w:t>עמ</w:t>
            </w:r>
            <w:r w:rsidRPr="0063468A">
              <w:rPr>
                <w:sz w:val="14"/>
                <w:szCs w:val="14"/>
                <w:rtl/>
              </w:rPr>
              <w:t xml:space="preserve">' </w:t>
            </w:r>
            <w:r>
              <w:rPr>
                <w:sz w:val="14"/>
                <w:szCs w:val="14"/>
              </w:rPr>
              <w:t>663-11</w:t>
            </w:r>
          </w:p>
          <w:p w14:paraId="4A5091D6" w14:textId="77777777" w:rsidR="00F06263" w:rsidRDefault="00F06263" w:rsidP="003F1183">
            <w:pPr>
              <w:jc w:val="left"/>
              <w:rPr>
                <w:rtl/>
              </w:rPr>
            </w:pPr>
          </w:p>
        </w:tc>
        <w:tc>
          <w:tcPr>
            <w:tcW w:w="4536" w:type="dxa"/>
            <w:gridSpan w:val="2"/>
            <w:tcBorders>
              <w:top w:val="nil"/>
              <w:left w:val="nil"/>
              <w:bottom w:val="nil"/>
              <w:right w:val="nil"/>
            </w:tcBorders>
            <w:vAlign w:val="bottom"/>
          </w:tcPr>
          <w:p w14:paraId="0FF78AA6" w14:textId="77777777" w:rsidR="00421CED" w:rsidRPr="00BC2F81" w:rsidRDefault="00421CED" w:rsidP="00421CED">
            <w:pPr>
              <w:pStyle w:val="-7"/>
              <w:spacing w:line="240" w:lineRule="auto"/>
              <w:rPr>
                <w:b/>
                <w:bCs/>
                <w:color w:val="FFFFFF"/>
                <w:rtl/>
              </w:rPr>
            </w:pPr>
          </w:p>
        </w:tc>
        <w:tc>
          <w:tcPr>
            <w:tcW w:w="1488" w:type="dxa"/>
            <w:gridSpan w:val="4"/>
            <w:tcBorders>
              <w:top w:val="nil"/>
              <w:left w:val="nil"/>
              <w:bottom w:val="nil"/>
              <w:right w:val="nil"/>
            </w:tcBorders>
            <w:vAlign w:val="bottom"/>
          </w:tcPr>
          <w:p w14:paraId="268ECCDC" w14:textId="77777777" w:rsidR="00421CED" w:rsidRPr="00DC6BA9" w:rsidRDefault="00421CED" w:rsidP="00421CED">
            <w:pPr>
              <w:pStyle w:val="-4"/>
              <w:spacing w:line="240" w:lineRule="auto"/>
              <w:rPr>
                <w:sz w:val="18"/>
                <w:szCs w:val="18"/>
                <w:rtl/>
              </w:rPr>
            </w:pPr>
            <w:r w:rsidRPr="00DC6BA9">
              <w:rPr>
                <w:rFonts w:hint="eastAsia"/>
                <w:sz w:val="18"/>
                <w:szCs w:val="18"/>
                <w:rtl/>
              </w:rPr>
              <w:t>לשלושה</w:t>
            </w:r>
            <w:r w:rsidRPr="00DC6BA9">
              <w:rPr>
                <w:sz w:val="18"/>
                <w:szCs w:val="18"/>
                <w:rtl/>
              </w:rPr>
              <w:t xml:space="preserve"> חודשים שהסתיימו </w:t>
            </w:r>
          </w:p>
          <w:p w14:paraId="4F55E37F" w14:textId="77777777" w:rsidR="00421CED" w:rsidRPr="00DC6BA9" w:rsidRDefault="00421CED" w:rsidP="00421CED">
            <w:pPr>
              <w:pStyle w:val="-4"/>
              <w:spacing w:line="240" w:lineRule="auto"/>
              <w:rPr>
                <w:sz w:val="18"/>
                <w:szCs w:val="18"/>
                <w:rtl/>
              </w:rPr>
            </w:pPr>
            <w:r w:rsidRPr="00DC6BA9">
              <w:rPr>
                <w:rFonts w:hint="eastAsia"/>
                <w:sz w:val="18"/>
                <w:szCs w:val="18"/>
                <w:rtl/>
              </w:rPr>
              <w:t>ביום</w:t>
            </w:r>
            <w:r w:rsidRPr="00DC6BA9">
              <w:rPr>
                <w:sz w:val="18"/>
                <w:szCs w:val="18"/>
                <w:rtl/>
              </w:rPr>
              <w:t xml:space="preserve"> 30 </w:t>
            </w:r>
            <w:r w:rsidRPr="00DC6BA9">
              <w:rPr>
                <w:rFonts w:hint="eastAsia"/>
                <w:sz w:val="18"/>
                <w:szCs w:val="18"/>
                <w:rtl/>
              </w:rPr>
              <w:t>ביוני</w:t>
            </w:r>
          </w:p>
        </w:tc>
        <w:tc>
          <w:tcPr>
            <w:tcW w:w="1681" w:type="dxa"/>
            <w:gridSpan w:val="4"/>
            <w:tcBorders>
              <w:top w:val="nil"/>
              <w:left w:val="nil"/>
              <w:bottom w:val="nil"/>
              <w:right w:val="nil"/>
            </w:tcBorders>
            <w:tcMar>
              <w:left w:w="58" w:type="dxa"/>
              <w:right w:w="58" w:type="dxa"/>
            </w:tcMar>
            <w:vAlign w:val="bottom"/>
          </w:tcPr>
          <w:p w14:paraId="2D05553B" w14:textId="77777777" w:rsidR="00421CED" w:rsidRPr="00DC6BA9" w:rsidRDefault="00421CED" w:rsidP="00421CED">
            <w:pPr>
              <w:pStyle w:val="-4"/>
              <w:pBdr>
                <w:bottom w:val="single" w:sz="4" w:space="1" w:color="auto"/>
              </w:pBdr>
              <w:spacing w:line="240" w:lineRule="auto"/>
              <w:rPr>
                <w:sz w:val="18"/>
                <w:szCs w:val="18"/>
                <w:rtl/>
              </w:rPr>
            </w:pPr>
            <w:r w:rsidRPr="00DC6BA9">
              <w:rPr>
                <w:rFonts w:hint="eastAsia"/>
                <w:sz w:val="18"/>
                <w:szCs w:val="18"/>
                <w:rtl/>
              </w:rPr>
              <w:t>לשישה</w:t>
            </w:r>
            <w:r w:rsidRPr="00DC6BA9">
              <w:rPr>
                <w:sz w:val="18"/>
                <w:szCs w:val="18"/>
                <w:rtl/>
              </w:rPr>
              <w:t xml:space="preserve"> חודשים שהסתיימו </w:t>
            </w:r>
          </w:p>
          <w:p w14:paraId="40A386F5" w14:textId="77777777" w:rsidR="00421CED" w:rsidRPr="00DC6BA9" w:rsidRDefault="00421CED" w:rsidP="00421CED">
            <w:pPr>
              <w:pStyle w:val="-7"/>
              <w:pBdr>
                <w:bottom w:val="single" w:sz="4" w:space="1" w:color="auto"/>
              </w:pBdr>
              <w:spacing w:line="240" w:lineRule="auto"/>
              <w:jc w:val="center"/>
              <w:rPr>
                <w:b/>
                <w:bCs/>
                <w:sz w:val="18"/>
                <w:szCs w:val="18"/>
                <w:rtl/>
              </w:rPr>
            </w:pPr>
            <w:r w:rsidRPr="00DC6BA9">
              <w:rPr>
                <w:rFonts w:hint="eastAsia"/>
                <w:b/>
                <w:bCs/>
                <w:sz w:val="18"/>
                <w:szCs w:val="18"/>
                <w:rtl/>
              </w:rPr>
              <w:t>ביום</w:t>
            </w:r>
            <w:r w:rsidRPr="00DC6BA9">
              <w:rPr>
                <w:b/>
                <w:bCs/>
                <w:sz w:val="18"/>
                <w:szCs w:val="18"/>
                <w:rtl/>
              </w:rPr>
              <w:t xml:space="preserve"> 30 </w:t>
            </w:r>
            <w:r w:rsidRPr="00DC6BA9">
              <w:rPr>
                <w:rFonts w:hint="eastAsia"/>
                <w:b/>
                <w:bCs/>
                <w:sz w:val="18"/>
                <w:szCs w:val="18"/>
                <w:rtl/>
              </w:rPr>
              <w:t>ביוני</w:t>
            </w:r>
          </w:p>
        </w:tc>
        <w:tc>
          <w:tcPr>
            <w:tcW w:w="1396" w:type="dxa"/>
            <w:gridSpan w:val="2"/>
            <w:tcBorders>
              <w:top w:val="nil"/>
              <w:left w:val="nil"/>
              <w:bottom w:val="nil"/>
              <w:right w:val="nil"/>
            </w:tcBorders>
            <w:vAlign w:val="bottom"/>
          </w:tcPr>
          <w:p w14:paraId="5C7D4CA1" w14:textId="77777777" w:rsidR="00421CED" w:rsidRPr="00DC6BA9" w:rsidRDefault="00421CED" w:rsidP="00421CED">
            <w:pPr>
              <w:pStyle w:val="-4"/>
              <w:spacing w:line="240" w:lineRule="auto"/>
              <w:rPr>
                <w:sz w:val="18"/>
                <w:szCs w:val="18"/>
                <w:rtl/>
              </w:rPr>
            </w:pPr>
            <w:r w:rsidRPr="00DC6BA9">
              <w:rPr>
                <w:rFonts w:hint="eastAsia"/>
                <w:sz w:val="18"/>
                <w:szCs w:val="18"/>
                <w:rtl/>
              </w:rPr>
              <w:t>לשנה</w:t>
            </w:r>
            <w:r w:rsidRPr="00DC6BA9">
              <w:rPr>
                <w:sz w:val="18"/>
                <w:szCs w:val="18"/>
                <w:rtl/>
              </w:rPr>
              <w:t xml:space="preserve"> </w:t>
            </w:r>
            <w:r w:rsidRPr="00DC6BA9">
              <w:rPr>
                <w:rFonts w:hint="eastAsia"/>
                <w:sz w:val="18"/>
                <w:szCs w:val="18"/>
                <w:rtl/>
              </w:rPr>
              <w:t>שהסתיימה</w:t>
            </w:r>
            <w:r w:rsidRPr="00DC6BA9">
              <w:rPr>
                <w:sz w:val="18"/>
                <w:szCs w:val="18"/>
                <w:rtl/>
              </w:rPr>
              <w:t xml:space="preserve"> </w:t>
            </w:r>
            <w:r w:rsidRPr="00DC6BA9">
              <w:rPr>
                <w:rFonts w:hint="eastAsia"/>
                <w:sz w:val="18"/>
                <w:szCs w:val="18"/>
                <w:rtl/>
              </w:rPr>
              <w:t>ביום</w:t>
            </w:r>
            <w:r w:rsidRPr="00DC6BA9">
              <w:rPr>
                <w:rFonts w:hint="cs"/>
                <w:sz w:val="18"/>
                <w:szCs w:val="18"/>
                <w:rtl/>
              </w:rPr>
              <w:t xml:space="preserve"> 31 בדצמבר</w:t>
            </w:r>
          </w:p>
        </w:tc>
      </w:tr>
      <w:tr w:rsidR="00421CED" w:rsidRPr="00AB469F" w14:paraId="67D93B9E" w14:textId="77777777" w:rsidTr="00DC6BA9">
        <w:tc>
          <w:tcPr>
            <w:tcW w:w="1417" w:type="dxa"/>
            <w:tcBorders>
              <w:top w:val="nil"/>
              <w:left w:val="nil"/>
              <w:bottom w:val="nil"/>
              <w:right w:val="nil"/>
            </w:tcBorders>
            <w:vAlign w:val="bottom"/>
          </w:tcPr>
          <w:p w14:paraId="49547859" w14:textId="073B38A7" w:rsidR="00421CED" w:rsidRDefault="00421CED" w:rsidP="00421CED">
            <w:pPr>
              <w:pStyle w:val="-0"/>
              <w:spacing w:line="240" w:lineRule="auto"/>
            </w:pPr>
          </w:p>
        </w:tc>
        <w:tc>
          <w:tcPr>
            <w:tcW w:w="4536" w:type="dxa"/>
            <w:gridSpan w:val="2"/>
            <w:tcBorders>
              <w:top w:val="nil"/>
              <w:left w:val="nil"/>
              <w:bottom w:val="nil"/>
              <w:right w:val="nil"/>
            </w:tcBorders>
            <w:vAlign w:val="bottom"/>
          </w:tcPr>
          <w:p w14:paraId="4899DB21" w14:textId="77777777" w:rsidR="00421CED" w:rsidRDefault="00421CED" w:rsidP="00421CED">
            <w:pPr>
              <w:pStyle w:val="-5"/>
              <w:pBdr>
                <w:bottom w:val="none" w:sz="0" w:space="0" w:color="auto"/>
              </w:pBdr>
              <w:bidi w:val="0"/>
              <w:ind w:left="-113" w:right="-142"/>
              <w:jc w:val="both"/>
            </w:pPr>
          </w:p>
        </w:tc>
        <w:tc>
          <w:tcPr>
            <w:tcW w:w="709" w:type="dxa"/>
            <w:gridSpan w:val="2"/>
            <w:tcBorders>
              <w:top w:val="nil"/>
              <w:left w:val="nil"/>
              <w:bottom w:val="nil"/>
              <w:right w:val="nil"/>
            </w:tcBorders>
            <w:vAlign w:val="bottom"/>
          </w:tcPr>
          <w:p w14:paraId="517850F0" w14:textId="692AA149" w:rsidR="00421CED" w:rsidRPr="00DC6BA9" w:rsidRDefault="00C803FD" w:rsidP="00421CED">
            <w:pPr>
              <w:pStyle w:val="-4"/>
              <w:spacing w:line="240" w:lineRule="auto"/>
              <w:rPr>
                <w:sz w:val="18"/>
                <w:szCs w:val="18"/>
                <w:rtl/>
              </w:rPr>
            </w:pPr>
            <w:r w:rsidRPr="00DC6BA9">
              <w:rPr>
                <w:sz w:val="18"/>
                <w:szCs w:val="18"/>
                <w:rtl/>
              </w:rPr>
              <w:fldChar w:fldCharType="begin"/>
            </w:r>
            <w:r w:rsidRPr="00DC6BA9">
              <w:rPr>
                <w:sz w:val="18"/>
                <w:szCs w:val="18"/>
                <w:rtl/>
              </w:rPr>
              <w:instrText xml:space="preserve"> </w:instrText>
            </w:r>
            <w:r w:rsidRPr="00DC6BA9">
              <w:rPr>
                <w:rFonts w:hint="cs"/>
                <w:sz w:val="18"/>
                <w:szCs w:val="18"/>
                <w:rtl/>
              </w:rPr>
              <w:instrText xml:space="preserve">= </w:instrText>
            </w:r>
            <w:r w:rsidRPr="00DC6BA9">
              <w:rPr>
                <w:rFonts w:hint="cs"/>
                <w:sz w:val="18"/>
                <w:szCs w:val="18"/>
              </w:rPr>
              <w:instrText>CY \* MERGEFORMAT</w:instrText>
            </w:r>
            <w:r w:rsidRPr="00DC6BA9">
              <w:rPr>
                <w:sz w:val="18"/>
                <w:szCs w:val="18"/>
                <w:rtl/>
              </w:rPr>
              <w:instrText xml:space="preserve"> </w:instrText>
            </w:r>
            <w:r w:rsidRPr="00DC6BA9">
              <w:rPr>
                <w:sz w:val="18"/>
                <w:szCs w:val="18"/>
                <w:rtl/>
              </w:rPr>
              <w:fldChar w:fldCharType="separate"/>
            </w:r>
            <w:r w:rsidR="003A584F" w:rsidRPr="00DC6BA9">
              <w:rPr>
                <w:noProof/>
                <w:sz w:val="18"/>
                <w:szCs w:val="18"/>
                <w:rtl/>
              </w:rPr>
              <w:t>2024</w:t>
            </w:r>
            <w:r w:rsidRPr="00DC6BA9">
              <w:rPr>
                <w:sz w:val="18"/>
                <w:szCs w:val="18"/>
                <w:rtl/>
              </w:rPr>
              <w:fldChar w:fldCharType="end"/>
            </w:r>
          </w:p>
        </w:tc>
        <w:tc>
          <w:tcPr>
            <w:tcW w:w="779" w:type="dxa"/>
            <w:gridSpan w:val="2"/>
            <w:tcBorders>
              <w:top w:val="nil"/>
              <w:left w:val="nil"/>
              <w:bottom w:val="nil"/>
              <w:right w:val="nil"/>
            </w:tcBorders>
            <w:vAlign w:val="bottom"/>
          </w:tcPr>
          <w:p w14:paraId="0FC5D9C3" w14:textId="27664B32" w:rsidR="00421CED" w:rsidRPr="00DC6BA9" w:rsidRDefault="00C803FD" w:rsidP="00421CED">
            <w:pPr>
              <w:pStyle w:val="-4"/>
              <w:spacing w:line="240" w:lineRule="auto"/>
              <w:rPr>
                <w:sz w:val="18"/>
                <w:szCs w:val="18"/>
                <w:rtl/>
              </w:rPr>
            </w:pPr>
            <w:r w:rsidRPr="00DC6BA9">
              <w:rPr>
                <w:sz w:val="18"/>
                <w:szCs w:val="18"/>
                <w:rtl/>
              </w:rPr>
              <w:fldChar w:fldCharType="begin"/>
            </w:r>
            <w:r w:rsidRPr="00DC6BA9">
              <w:rPr>
                <w:sz w:val="18"/>
                <w:szCs w:val="18"/>
                <w:rtl/>
              </w:rPr>
              <w:instrText xml:space="preserve"> </w:instrText>
            </w:r>
            <w:r w:rsidRPr="00DC6BA9">
              <w:rPr>
                <w:rFonts w:hint="cs"/>
                <w:sz w:val="18"/>
                <w:szCs w:val="18"/>
                <w:rtl/>
              </w:rPr>
              <w:instrText xml:space="preserve">= </w:instrText>
            </w:r>
            <w:r w:rsidRPr="00DC6BA9">
              <w:rPr>
                <w:rFonts w:hint="cs"/>
                <w:sz w:val="18"/>
                <w:szCs w:val="18"/>
              </w:rPr>
              <w:instrText>CY</w:instrText>
            </w:r>
            <w:r w:rsidRPr="00DC6BA9">
              <w:rPr>
                <w:sz w:val="18"/>
                <w:szCs w:val="18"/>
              </w:rPr>
              <w:instrText>-1</w:instrText>
            </w:r>
            <w:r w:rsidRPr="00DC6BA9">
              <w:rPr>
                <w:rFonts w:hint="cs"/>
                <w:sz w:val="18"/>
                <w:szCs w:val="18"/>
              </w:rPr>
              <w:instrText xml:space="preserve"> \* MERGEFORMAT</w:instrText>
            </w:r>
            <w:r w:rsidRPr="00DC6BA9">
              <w:rPr>
                <w:sz w:val="18"/>
                <w:szCs w:val="18"/>
                <w:rtl/>
              </w:rPr>
              <w:instrText xml:space="preserve"> </w:instrText>
            </w:r>
            <w:r w:rsidRPr="00DC6BA9">
              <w:rPr>
                <w:sz w:val="18"/>
                <w:szCs w:val="18"/>
                <w:rtl/>
              </w:rPr>
              <w:fldChar w:fldCharType="separate"/>
            </w:r>
            <w:r w:rsidR="003A584F" w:rsidRPr="00DC6BA9">
              <w:rPr>
                <w:noProof/>
                <w:sz w:val="18"/>
                <w:szCs w:val="18"/>
                <w:rtl/>
              </w:rPr>
              <w:t>2023</w:t>
            </w:r>
            <w:r w:rsidRPr="00DC6BA9">
              <w:rPr>
                <w:sz w:val="18"/>
                <w:szCs w:val="18"/>
                <w:rtl/>
              </w:rPr>
              <w:fldChar w:fldCharType="end"/>
            </w:r>
          </w:p>
        </w:tc>
        <w:tc>
          <w:tcPr>
            <w:tcW w:w="841" w:type="dxa"/>
            <w:gridSpan w:val="2"/>
            <w:tcBorders>
              <w:top w:val="nil"/>
              <w:left w:val="nil"/>
              <w:bottom w:val="nil"/>
              <w:right w:val="nil"/>
            </w:tcBorders>
            <w:vAlign w:val="bottom"/>
          </w:tcPr>
          <w:p w14:paraId="343FC7C3" w14:textId="5E25AA92" w:rsidR="00421CED" w:rsidRPr="00DC6BA9" w:rsidRDefault="00C803FD" w:rsidP="00421CED">
            <w:pPr>
              <w:pStyle w:val="-4"/>
              <w:spacing w:line="240" w:lineRule="auto"/>
              <w:rPr>
                <w:sz w:val="18"/>
                <w:szCs w:val="18"/>
                <w:rtl/>
              </w:rPr>
            </w:pPr>
            <w:r w:rsidRPr="00DC6BA9">
              <w:rPr>
                <w:sz w:val="18"/>
                <w:szCs w:val="18"/>
                <w:rtl/>
              </w:rPr>
              <w:fldChar w:fldCharType="begin"/>
            </w:r>
            <w:r w:rsidRPr="00DC6BA9">
              <w:rPr>
                <w:sz w:val="18"/>
                <w:szCs w:val="18"/>
                <w:rtl/>
              </w:rPr>
              <w:instrText xml:space="preserve"> </w:instrText>
            </w:r>
            <w:r w:rsidRPr="00DC6BA9">
              <w:rPr>
                <w:rFonts w:hint="cs"/>
                <w:sz w:val="18"/>
                <w:szCs w:val="18"/>
                <w:rtl/>
              </w:rPr>
              <w:instrText xml:space="preserve">= </w:instrText>
            </w:r>
            <w:r w:rsidRPr="00DC6BA9">
              <w:rPr>
                <w:rFonts w:hint="cs"/>
                <w:sz w:val="18"/>
                <w:szCs w:val="18"/>
              </w:rPr>
              <w:instrText>CY \* MERGEFORMAT</w:instrText>
            </w:r>
            <w:r w:rsidRPr="00DC6BA9">
              <w:rPr>
                <w:sz w:val="18"/>
                <w:szCs w:val="18"/>
                <w:rtl/>
              </w:rPr>
              <w:instrText xml:space="preserve"> </w:instrText>
            </w:r>
            <w:r w:rsidRPr="00DC6BA9">
              <w:rPr>
                <w:sz w:val="18"/>
                <w:szCs w:val="18"/>
                <w:rtl/>
              </w:rPr>
              <w:fldChar w:fldCharType="separate"/>
            </w:r>
            <w:r w:rsidR="003A584F" w:rsidRPr="00DC6BA9">
              <w:rPr>
                <w:noProof/>
                <w:sz w:val="18"/>
                <w:szCs w:val="18"/>
                <w:rtl/>
              </w:rPr>
              <w:t>2024</w:t>
            </w:r>
            <w:r w:rsidRPr="00DC6BA9">
              <w:rPr>
                <w:sz w:val="18"/>
                <w:szCs w:val="18"/>
                <w:rtl/>
              </w:rPr>
              <w:fldChar w:fldCharType="end"/>
            </w:r>
          </w:p>
        </w:tc>
        <w:tc>
          <w:tcPr>
            <w:tcW w:w="840" w:type="dxa"/>
            <w:gridSpan w:val="2"/>
            <w:tcBorders>
              <w:top w:val="nil"/>
              <w:left w:val="nil"/>
              <w:bottom w:val="nil"/>
              <w:right w:val="nil"/>
            </w:tcBorders>
            <w:vAlign w:val="bottom"/>
          </w:tcPr>
          <w:p w14:paraId="0DDF46FB" w14:textId="3195F1B8" w:rsidR="00421CED" w:rsidRPr="00DC6BA9" w:rsidRDefault="00C803FD" w:rsidP="00421CED">
            <w:pPr>
              <w:pStyle w:val="-4"/>
              <w:spacing w:line="240" w:lineRule="auto"/>
              <w:rPr>
                <w:sz w:val="18"/>
                <w:szCs w:val="18"/>
                <w:rtl/>
              </w:rPr>
            </w:pPr>
            <w:r w:rsidRPr="00DC6BA9">
              <w:rPr>
                <w:sz w:val="18"/>
                <w:szCs w:val="18"/>
                <w:rtl/>
              </w:rPr>
              <w:fldChar w:fldCharType="begin"/>
            </w:r>
            <w:r w:rsidRPr="00DC6BA9">
              <w:rPr>
                <w:sz w:val="18"/>
                <w:szCs w:val="18"/>
                <w:rtl/>
              </w:rPr>
              <w:instrText xml:space="preserve"> </w:instrText>
            </w:r>
            <w:r w:rsidRPr="00DC6BA9">
              <w:rPr>
                <w:rFonts w:hint="cs"/>
                <w:sz w:val="18"/>
                <w:szCs w:val="18"/>
                <w:rtl/>
              </w:rPr>
              <w:instrText xml:space="preserve">= </w:instrText>
            </w:r>
            <w:r w:rsidRPr="00DC6BA9">
              <w:rPr>
                <w:rFonts w:hint="cs"/>
                <w:sz w:val="18"/>
                <w:szCs w:val="18"/>
              </w:rPr>
              <w:instrText>CY</w:instrText>
            </w:r>
            <w:r w:rsidRPr="00DC6BA9">
              <w:rPr>
                <w:sz w:val="18"/>
                <w:szCs w:val="18"/>
              </w:rPr>
              <w:instrText>-1</w:instrText>
            </w:r>
            <w:r w:rsidRPr="00DC6BA9">
              <w:rPr>
                <w:rFonts w:hint="cs"/>
                <w:sz w:val="18"/>
                <w:szCs w:val="18"/>
              </w:rPr>
              <w:instrText xml:space="preserve"> \* MERGEFORMAT</w:instrText>
            </w:r>
            <w:r w:rsidRPr="00DC6BA9">
              <w:rPr>
                <w:sz w:val="18"/>
                <w:szCs w:val="18"/>
                <w:rtl/>
              </w:rPr>
              <w:instrText xml:space="preserve"> </w:instrText>
            </w:r>
            <w:r w:rsidRPr="00DC6BA9">
              <w:rPr>
                <w:sz w:val="18"/>
                <w:szCs w:val="18"/>
                <w:rtl/>
              </w:rPr>
              <w:fldChar w:fldCharType="separate"/>
            </w:r>
            <w:r w:rsidR="003A584F" w:rsidRPr="00DC6BA9">
              <w:rPr>
                <w:noProof/>
                <w:sz w:val="18"/>
                <w:szCs w:val="18"/>
                <w:rtl/>
              </w:rPr>
              <w:t>2023</w:t>
            </w:r>
            <w:r w:rsidRPr="00DC6BA9">
              <w:rPr>
                <w:sz w:val="18"/>
                <w:szCs w:val="18"/>
                <w:rtl/>
              </w:rPr>
              <w:fldChar w:fldCharType="end"/>
            </w:r>
          </w:p>
        </w:tc>
        <w:tc>
          <w:tcPr>
            <w:tcW w:w="1396" w:type="dxa"/>
            <w:gridSpan w:val="2"/>
            <w:tcBorders>
              <w:top w:val="nil"/>
              <w:left w:val="nil"/>
              <w:bottom w:val="nil"/>
              <w:right w:val="nil"/>
            </w:tcBorders>
            <w:vAlign w:val="bottom"/>
          </w:tcPr>
          <w:p w14:paraId="49B2B511" w14:textId="65B9EBF5" w:rsidR="00421CED" w:rsidRPr="00DC6BA9" w:rsidRDefault="00C803FD" w:rsidP="00421CED">
            <w:pPr>
              <w:pStyle w:val="-4"/>
              <w:spacing w:line="240" w:lineRule="auto"/>
              <w:rPr>
                <w:sz w:val="18"/>
                <w:szCs w:val="18"/>
                <w:rtl/>
              </w:rPr>
            </w:pPr>
            <w:r w:rsidRPr="00DC6BA9">
              <w:rPr>
                <w:sz w:val="18"/>
                <w:szCs w:val="18"/>
                <w:rtl/>
              </w:rPr>
              <w:fldChar w:fldCharType="begin"/>
            </w:r>
            <w:r w:rsidRPr="00DC6BA9">
              <w:rPr>
                <w:sz w:val="18"/>
                <w:szCs w:val="18"/>
                <w:rtl/>
              </w:rPr>
              <w:instrText xml:space="preserve"> </w:instrText>
            </w:r>
            <w:r w:rsidRPr="00DC6BA9">
              <w:rPr>
                <w:rFonts w:hint="cs"/>
                <w:sz w:val="18"/>
                <w:szCs w:val="18"/>
                <w:rtl/>
              </w:rPr>
              <w:instrText xml:space="preserve">= </w:instrText>
            </w:r>
            <w:r w:rsidRPr="00DC6BA9">
              <w:rPr>
                <w:rFonts w:hint="cs"/>
                <w:sz w:val="18"/>
                <w:szCs w:val="18"/>
              </w:rPr>
              <w:instrText>CY</w:instrText>
            </w:r>
            <w:r w:rsidRPr="00DC6BA9">
              <w:rPr>
                <w:sz w:val="18"/>
                <w:szCs w:val="18"/>
              </w:rPr>
              <w:instrText>-1</w:instrText>
            </w:r>
            <w:r w:rsidRPr="00DC6BA9">
              <w:rPr>
                <w:rFonts w:hint="cs"/>
                <w:sz w:val="18"/>
                <w:szCs w:val="18"/>
              </w:rPr>
              <w:instrText xml:space="preserve"> \* MERGEFORMAT</w:instrText>
            </w:r>
            <w:r w:rsidRPr="00DC6BA9">
              <w:rPr>
                <w:sz w:val="18"/>
                <w:szCs w:val="18"/>
                <w:rtl/>
              </w:rPr>
              <w:instrText xml:space="preserve"> </w:instrText>
            </w:r>
            <w:r w:rsidRPr="00DC6BA9">
              <w:rPr>
                <w:sz w:val="18"/>
                <w:szCs w:val="18"/>
                <w:rtl/>
              </w:rPr>
              <w:fldChar w:fldCharType="separate"/>
            </w:r>
            <w:r w:rsidR="003A584F" w:rsidRPr="00DC6BA9">
              <w:rPr>
                <w:noProof/>
                <w:sz w:val="18"/>
                <w:szCs w:val="18"/>
                <w:rtl/>
              </w:rPr>
              <w:t>2023</w:t>
            </w:r>
            <w:r w:rsidRPr="00DC6BA9">
              <w:rPr>
                <w:sz w:val="18"/>
                <w:szCs w:val="18"/>
                <w:rtl/>
              </w:rPr>
              <w:fldChar w:fldCharType="end"/>
            </w:r>
          </w:p>
        </w:tc>
      </w:tr>
      <w:tr w:rsidR="00421CED" w:rsidRPr="00AB469F" w14:paraId="29A15E97" w14:textId="77777777" w:rsidTr="00DC6BA9">
        <w:tc>
          <w:tcPr>
            <w:tcW w:w="1417" w:type="dxa"/>
            <w:tcBorders>
              <w:top w:val="nil"/>
              <w:left w:val="nil"/>
              <w:bottom w:val="nil"/>
              <w:right w:val="nil"/>
            </w:tcBorders>
            <w:vAlign w:val="bottom"/>
          </w:tcPr>
          <w:p w14:paraId="56C1E2F2" w14:textId="1E1EAA83" w:rsidR="00421CED" w:rsidRDefault="004E7B6A" w:rsidP="00006018">
            <w:pPr>
              <w:pStyle w:val="-0"/>
              <w:ind w:left="0" w:firstLine="0"/>
              <w:rPr>
                <w:rtl/>
              </w:rPr>
            </w:pPr>
            <w:r w:rsidRPr="0063468A">
              <w:rPr>
                <w:rFonts w:hint="cs"/>
                <w:sz w:val="14"/>
                <w:szCs w:val="14"/>
              </w:rPr>
              <w:t xml:space="preserve"> </w:t>
            </w:r>
          </w:p>
        </w:tc>
        <w:tc>
          <w:tcPr>
            <w:tcW w:w="4536" w:type="dxa"/>
            <w:gridSpan w:val="2"/>
            <w:tcBorders>
              <w:top w:val="nil"/>
              <w:left w:val="nil"/>
              <w:bottom w:val="nil"/>
              <w:right w:val="nil"/>
            </w:tcBorders>
            <w:vAlign w:val="bottom"/>
          </w:tcPr>
          <w:p w14:paraId="672C4670" w14:textId="77777777" w:rsidR="00421CED" w:rsidRDefault="00421CED" w:rsidP="00421CED">
            <w:pPr>
              <w:pStyle w:val="-5"/>
              <w:pBdr>
                <w:bottom w:val="none" w:sz="0" w:space="0" w:color="auto"/>
              </w:pBdr>
              <w:bidi w:val="0"/>
              <w:ind w:left="-113" w:right="-142"/>
              <w:jc w:val="both"/>
              <w:rPr>
                <w:rtl/>
              </w:rPr>
            </w:pPr>
          </w:p>
        </w:tc>
        <w:tc>
          <w:tcPr>
            <w:tcW w:w="1488" w:type="dxa"/>
            <w:gridSpan w:val="4"/>
            <w:tcBorders>
              <w:top w:val="nil"/>
              <w:left w:val="nil"/>
              <w:bottom w:val="nil"/>
              <w:right w:val="nil"/>
            </w:tcBorders>
            <w:vAlign w:val="bottom"/>
          </w:tcPr>
          <w:p w14:paraId="28971F70" w14:textId="77777777" w:rsidR="00421CED" w:rsidRPr="00DC6BA9" w:rsidRDefault="00421CED" w:rsidP="00421CED">
            <w:pPr>
              <w:pStyle w:val="-4"/>
              <w:spacing w:line="240" w:lineRule="auto"/>
              <w:rPr>
                <w:sz w:val="18"/>
                <w:szCs w:val="18"/>
                <w:rtl/>
              </w:rPr>
            </w:pPr>
            <w:r w:rsidRPr="00DC6BA9">
              <w:rPr>
                <w:rFonts w:hint="eastAsia"/>
                <w:sz w:val="18"/>
                <w:szCs w:val="18"/>
                <w:rtl/>
              </w:rPr>
              <w:t>בלתי</w:t>
            </w:r>
            <w:r w:rsidRPr="00DC6BA9">
              <w:rPr>
                <w:sz w:val="18"/>
                <w:szCs w:val="18"/>
                <w:rtl/>
              </w:rPr>
              <w:t xml:space="preserve"> </w:t>
            </w:r>
            <w:r w:rsidRPr="00DC6BA9">
              <w:rPr>
                <w:rFonts w:hint="eastAsia"/>
                <w:sz w:val="18"/>
                <w:szCs w:val="18"/>
                <w:rtl/>
              </w:rPr>
              <w:t>מבוקר</w:t>
            </w:r>
          </w:p>
        </w:tc>
        <w:tc>
          <w:tcPr>
            <w:tcW w:w="1681" w:type="dxa"/>
            <w:gridSpan w:val="4"/>
            <w:tcBorders>
              <w:top w:val="nil"/>
              <w:left w:val="nil"/>
              <w:bottom w:val="nil"/>
              <w:right w:val="nil"/>
            </w:tcBorders>
            <w:vAlign w:val="bottom"/>
          </w:tcPr>
          <w:p w14:paraId="489DE2FB" w14:textId="77777777" w:rsidR="00421CED" w:rsidRPr="00DC6BA9" w:rsidRDefault="00421CED" w:rsidP="00421CED">
            <w:pPr>
              <w:pStyle w:val="-4"/>
              <w:spacing w:line="240" w:lineRule="auto"/>
              <w:rPr>
                <w:sz w:val="18"/>
                <w:szCs w:val="18"/>
                <w:rtl/>
              </w:rPr>
            </w:pPr>
            <w:r w:rsidRPr="00DC6BA9">
              <w:rPr>
                <w:rFonts w:hint="eastAsia"/>
                <w:sz w:val="18"/>
                <w:szCs w:val="18"/>
                <w:rtl/>
              </w:rPr>
              <w:t>בלתי</w:t>
            </w:r>
            <w:r w:rsidRPr="00DC6BA9">
              <w:rPr>
                <w:sz w:val="18"/>
                <w:szCs w:val="18"/>
                <w:rtl/>
              </w:rPr>
              <w:t xml:space="preserve"> </w:t>
            </w:r>
            <w:r w:rsidRPr="00DC6BA9">
              <w:rPr>
                <w:rFonts w:hint="eastAsia"/>
                <w:sz w:val="18"/>
                <w:szCs w:val="18"/>
                <w:rtl/>
              </w:rPr>
              <w:t>מבוקר</w:t>
            </w:r>
          </w:p>
        </w:tc>
        <w:tc>
          <w:tcPr>
            <w:tcW w:w="1396" w:type="dxa"/>
            <w:gridSpan w:val="2"/>
            <w:tcBorders>
              <w:top w:val="nil"/>
              <w:left w:val="nil"/>
              <w:bottom w:val="nil"/>
              <w:right w:val="nil"/>
            </w:tcBorders>
            <w:vAlign w:val="bottom"/>
          </w:tcPr>
          <w:p w14:paraId="6C19821C" w14:textId="77777777" w:rsidR="00421CED" w:rsidRPr="00DC6BA9" w:rsidRDefault="00421CED" w:rsidP="00421CED">
            <w:pPr>
              <w:pStyle w:val="-4"/>
              <w:spacing w:line="240" w:lineRule="auto"/>
              <w:rPr>
                <w:sz w:val="18"/>
                <w:szCs w:val="18"/>
                <w:rtl/>
              </w:rPr>
            </w:pPr>
            <w:r w:rsidRPr="00DC6BA9">
              <w:rPr>
                <w:rFonts w:hint="eastAsia"/>
                <w:sz w:val="18"/>
                <w:szCs w:val="18"/>
                <w:rtl/>
              </w:rPr>
              <w:t>מבוקר</w:t>
            </w:r>
          </w:p>
        </w:tc>
      </w:tr>
      <w:tr w:rsidR="00421CED" w:rsidRPr="002E0B22" w14:paraId="65B12EA9" w14:textId="77777777" w:rsidTr="00DC6BA9">
        <w:tc>
          <w:tcPr>
            <w:tcW w:w="1417" w:type="dxa"/>
            <w:tcBorders>
              <w:top w:val="nil"/>
              <w:left w:val="nil"/>
              <w:bottom w:val="nil"/>
              <w:right w:val="nil"/>
            </w:tcBorders>
          </w:tcPr>
          <w:p w14:paraId="2EB6886B" w14:textId="77777777" w:rsidR="00421CED" w:rsidRPr="002E0B22" w:rsidRDefault="00421CED" w:rsidP="004E7B6A">
            <w:pPr>
              <w:pStyle w:val="-0"/>
              <w:ind w:left="0" w:firstLine="0"/>
              <w:rPr>
                <w:sz w:val="18"/>
                <w:szCs w:val="18"/>
                <w:rtl/>
              </w:rPr>
            </w:pPr>
          </w:p>
        </w:tc>
        <w:tc>
          <w:tcPr>
            <w:tcW w:w="4536" w:type="dxa"/>
            <w:gridSpan w:val="2"/>
            <w:tcBorders>
              <w:top w:val="nil"/>
              <w:left w:val="nil"/>
              <w:bottom w:val="nil"/>
              <w:right w:val="nil"/>
            </w:tcBorders>
            <w:vAlign w:val="bottom"/>
          </w:tcPr>
          <w:p w14:paraId="2B9C483D" w14:textId="04D4F652" w:rsidR="00421CED" w:rsidRPr="002E0B22" w:rsidRDefault="00421CED" w:rsidP="00320B50">
            <w:pPr>
              <w:pStyle w:val="-f"/>
              <w:rPr>
                <w:rtl/>
              </w:rPr>
            </w:pPr>
            <w:r w:rsidRPr="002E0B22">
              <w:rPr>
                <w:rFonts w:hint="cs"/>
                <w:rtl/>
              </w:rPr>
              <w:t xml:space="preserve">תזרימי מזומנים מפעילות </w:t>
            </w:r>
            <w:r w:rsidR="00320B50">
              <w:rPr>
                <w:rFonts w:hint="cs"/>
                <w:rtl/>
              </w:rPr>
              <w:t>שוטפת</w:t>
            </w:r>
          </w:p>
        </w:tc>
        <w:tc>
          <w:tcPr>
            <w:tcW w:w="709" w:type="dxa"/>
            <w:gridSpan w:val="2"/>
            <w:tcBorders>
              <w:top w:val="nil"/>
              <w:left w:val="nil"/>
              <w:bottom w:val="nil"/>
              <w:right w:val="nil"/>
            </w:tcBorders>
            <w:vAlign w:val="bottom"/>
          </w:tcPr>
          <w:p w14:paraId="258C1E0F" w14:textId="77777777" w:rsidR="00421CED" w:rsidRPr="002E0B22" w:rsidRDefault="00421CED" w:rsidP="00421CED">
            <w:pPr>
              <w:pStyle w:val="-3"/>
              <w:rPr>
                <w:rtl/>
              </w:rPr>
            </w:pPr>
          </w:p>
        </w:tc>
        <w:tc>
          <w:tcPr>
            <w:tcW w:w="779" w:type="dxa"/>
            <w:gridSpan w:val="2"/>
            <w:tcBorders>
              <w:top w:val="nil"/>
              <w:left w:val="nil"/>
              <w:bottom w:val="nil"/>
              <w:right w:val="nil"/>
            </w:tcBorders>
            <w:vAlign w:val="bottom"/>
          </w:tcPr>
          <w:p w14:paraId="0B69ED62" w14:textId="77777777" w:rsidR="00421CED" w:rsidRPr="002E0B22" w:rsidRDefault="00421CED" w:rsidP="00421CED">
            <w:pPr>
              <w:pStyle w:val="-3"/>
              <w:rPr>
                <w:rtl/>
              </w:rPr>
            </w:pPr>
          </w:p>
        </w:tc>
        <w:tc>
          <w:tcPr>
            <w:tcW w:w="841" w:type="dxa"/>
            <w:gridSpan w:val="2"/>
            <w:tcBorders>
              <w:top w:val="nil"/>
              <w:left w:val="nil"/>
              <w:bottom w:val="nil"/>
              <w:right w:val="nil"/>
            </w:tcBorders>
            <w:vAlign w:val="bottom"/>
          </w:tcPr>
          <w:p w14:paraId="79C48A76" w14:textId="77777777" w:rsidR="00421CED" w:rsidRPr="002E0B22" w:rsidRDefault="00421CED" w:rsidP="00421CED">
            <w:pPr>
              <w:pStyle w:val="-3"/>
              <w:rPr>
                <w:rtl/>
              </w:rPr>
            </w:pPr>
          </w:p>
        </w:tc>
        <w:tc>
          <w:tcPr>
            <w:tcW w:w="840" w:type="dxa"/>
            <w:gridSpan w:val="2"/>
            <w:tcBorders>
              <w:top w:val="nil"/>
              <w:left w:val="nil"/>
              <w:bottom w:val="nil"/>
              <w:right w:val="nil"/>
            </w:tcBorders>
            <w:vAlign w:val="bottom"/>
          </w:tcPr>
          <w:p w14:paraId="0400C41C" w14:textId="77777777" w:rsidR="00421CED" w:rsidRPr="002E0B22" w:rsidRDefault="00421CED" w:rsidP="00421CED">
            <w:pPr>
              <w:pStyle w:val="-3"/>
              <w:rPr>
                <w:rtl/>
              </w:rPr>
            </w:pPr>
          </w:p>
        </w:tc>
        <w:tc>
          <w:tcPr>
            <w:tcW w:w="1396" w:type="dxa"/>
            <w:gridSpan w:val="2"/>
            <w:tcBorders>
              <w:top w:val="nil"/>
              <w:left w:val="nil"/>
              <w:bottom w:val="nil"/>
              <w:right w:val="nil"/>
            </w:tcBorders>
            <w:vAlign w:val="bottom"/>
          </w:tcPr>
          <w:p w14:paraId="2C7027BC" w14:textId="77777777" w:rsidR="00421CED" w:rsidRPr="002E0B22" w:rsidRDefault="00421CED" w:rsidP="00421CED">
            <w:pPr>
              <w:pStyle w:val="-3"/>
              <w:rPr>
                <w:rtl/>
              </w:rPr>
            </w:pPr>
          </w:p>
        </w:tc>
      </w:tr>
      <w:tr w:rsidR="00421CED" w:rsidRPr="002E0B22" w14:paraId="18BA3484" w14:textId="77777777" w:rsidTr="00DC6BA9">
        <w:tc>
          <w:tcPr>
            <w:tcW w:w="1417" w:type="dxa"/>
            <w:tcBorders>
              <w:top w:val="nil"/>
              <w:left w:val="nil"/>
              <w:bottom w:val="nil"/>
              <w:right w:val="nil"/>
            </w:tcBorders>
          </w:tcPr>
          <w:p w14:paraId="595801A7" w14:textId="77777777" w:rsidR="00421CED" w:rsidRDefault="00421CED" w:rsidP="00421CED">
            <w:pPr>
              <w:pStyle w:val="-7"/>
              <w:bidi w:val="0"/>
              <w:spacing w:line="60" w:lineRule="exact"/>
              <w:rPr>
                <w:rtl/>
              </w:rPr>
            </w:pPr>
          </w:p>
        </w:tc>
        <w:tc>
          <w:tcPr>
            <w:tcW w:w="4536" w:type="dxa"/>
            <w:gridSpan w:val="2"/>
            <w:tcBorders>
              <w:top w:val="nil"/>
              <w:left w:val="nil"/>
              <w:bottom w:val="nil"/>
              <w:right w:val="nil"/>
            </w:tcBorders>
            <w:vAlign w:val="bottom"/>
          </w:tcPr>
          <w:p w14:paraId="204451F7" w14:textId="77777777" w:rsidR="00421CED" w:rsidRDefault="00421CED" w:rsidP="00421CED">
            <w:pPr>
              <w:pStyle w:val="-0"/>
              <w:bidi w:val="0"/>
              <w:spacing w:line="60" w:lineRule="exact"/>
              <w:jc w:val="both"/>
              <w:rPr>
                <w:rtl/>
              </w:rPr>
            </w:pPr>
          </w:p>
        </w:tc>
        <w:tc>
          <w:tcPr>
            <w:tcW w:w="709" w:type="dxa"/>
            <w:gridSpan w:val="2"/>
            <w:tcBorders>
              <w:top w:val="nil"/>
              <w:left w:val="nil"/>
              <w:bottom w:val="nil"/>
              <w:right w:val="nil"/>
            </w:tcBorders>
            <w:vAlign w:val="bottom"/>
          </w:tcPr>
          <w:p w14:paraId="78093297" w14:textId="77777777" w:rsidR="00421CED" w:rsidRDefault="00421CED" w:rsidP="00421CED">
            <w:pPr>
              <w:pStyle w:val="-7"/>
              <w:bidi w:val="0"/>
              <w:spacing w:line="60" w:lineRule="exact"/>
              <w:rPr>
                <w:rtl/>
              </w:rPr>
            </w:pPr>
          </w:p>
        </w:tc>
        <w:tc>
          <w:tcPr>
            <w:tcW w:w="779" w:type="dxa"/>
            <w:gridSpan w:val="2"/>
            <w:tcBorders>
              <w:top w:val="nil"/>
              <w:left w:val="nil"/>
              <w:bottom w:val="nil"/>
              <w:right w:val="nil"/>
            </w:tcBorders>
            <w:vAlign w:val="bottom"/>
          </w:tcPr>
          <w:p w14:paraId="13E6BE19" w14:textId="77777777" w:rsidR="00421CED" w:rsidRDefault="00421CED" w:rsidP="00421CED">
            <w:pPr>
              <w:pStyle w:val="-7"/>
              <w:bidi w:val="0"/>
              <w:spacing w:line="60" w:lineRule="exact"/>
              <w:rPr>
                <w:rtl/>
              </w:rPr>
            </w:pPr>
          </w:p>
        </w:tc>
        <w:tc>
          <w:tcPr>
            <w:tcW w:w="841" w:type="dxa"/>
            <w:gridSpan w:val="2"/>
            <w:tcBorders>
              <w:top w:val="nil"/>
              <w:left w:val="nil"/>
              <w:bottom w:val="nil"/>
              <w:right w:val="nil"/>
            </w:tcBorders>
            <w:vAlign w:val="bottom"/>
          </w:tcPr>
          <w:p w14:paraId="161786A6" w14:textId="77777777" w:rsidR="00421CED" w:rsidRDefault="00421CED" w:rsidP="00421CED">
            <w:pPr>
              <w:pStyle w:val="-7"/>
              <w:bidi w:val="0"/>
              <w:spacing w:line="60" w:lineRule="exact"/>
              <w:rPr>
                <w:rtl/>
              </w:rPr>
            </w:pPr>
          </w:p>
        </w:tc>
        <w:tc>
          <w:tcPr>
            <w:tcW w:w="840" w:type="dxa"/>
            <w:gridSpan w:val="2"/>
            <w:tcBorders>
              <w:top w:val="nil"/>
              <w:left w:val="nil"/>
              <w:bottom w:val="nil"/>
              <w:right w:val="nil"/>
            </w:tcBorders>
            <w:vAlign w:val="bottom"/>
          </w:tcPr>
          <w:p w14:paraId="1F953F4F" w14:textId="77777777" w:rsidR="00421CED" w:rsidRDefault="00421CED" w:rsidP="00421CED">
            <w:pPr>
              <w:pStyle w:val="-7"/>
              <w:bidi w:val="0"/>
              <w:spacing w:line="60" w:lineRule="exact"/>
              <w:rPr>
                <w:rtl/>
              </w:rPr>
            </w:pPr>
          </w:p>
        </w:tc>
        <w:tc>
          <w:tcPr>
            <w:tcW w:w="1396" w:type="dxa"/>
            <w:gridSpan w:val="2"/>
            <w:tcBorders>
              <w:top w:val="nil"/>
              <w:left w:val="nil"/>
              <w:bottom w:val="nil"/>
              <w:right w:val="nil"/>
            </w:tcBorders>
            <w:vAlign w:val="bottom"/>
          </w:tcPr>
          <w:p w14:paraId="3BAA8B99" w14:textId="77777777" w:rsidR="00421CED" w:rsidRDefault="00421CED" w:rsidP="00421CED">
            <w:pPr>
              <w:pStyle w:val="-7"/>
              <w:bidi w:val="0"/>
              <w:spacing w:line="60" w:lineRule="exact"/>
              <w:rPr>
                <w:rtl/>
              </w:rPr>
            </w:pPr>
          </w:p>
        </w:tc>
      </w:tr>
      <w:tr w:rsidR="00421CED" w:rsidRPr="002E0B22" w14:paraId="7E0E7C08" w14:textId="77777777" w:rsidTr="00DC6BA9">
        <w:tc>
          <w:tcPr>
            <w:tcW w:w="1417" w:type="dxa"/>
            <w:tcBorders>
              <w:top w:val="nil"/>
              <w:left w:val="nil"/>
              <w:bottom w:val="nil"/>
              <w:right w:val="nil"/>
            </w:tcBorders>
          </w:tcPr>
          <w:p w14:paraId="3A7D6DD1" w14:textId="77777777" w:rsidR="00421CED" w:rsidRPr="002E0B22" w:rsidRDefault="00421CED" w:rsidP="00421CED">
            <w:pPr>
              <w:pStyle w:val="-7"/>
              <w:rPr>
                <w:rtl/>
              </w:rPr>
            </w:pPr>
          </w:p>
        </w:tc>
        <w:tc>
          <w:tcPr>
            <w:tcW w:w="4536" w:type="dxa"/>
            <w:gridSpan w:val="2"/>
            <w:tcBorders>
              <w:top w:val="nil"/>
              <w:left w:val="nil"/>
              <w:bottom w:val="nil"/>
              <w:right w:val="nil"/>
            </w:tcBorders>
            <w:vAlign w:val="bottom"/>
          </w:tcPr>
          <w:p w14:paraId="78EAB7CD" w14:textId="77777777" w:rsidR="00421CED" w:rsidRDefault="00421CED" w:rsidP="00421CED">
            <w:pPr>
              <w:pStyle w:val="-0"/>
              <w:rPr>
                <w:rtl/>
              </w:rPr>
            </w:pPr>
            <w:r w:rsidRPr="002E0B22">
              <w:rPr>
                <w:rFonts w:hint="cs"/>
                <w:rtl/>
              </w:rPr>
              <w:t>רווח</w:t>
            </w:r>
            <w:r>
              <w:rPr>
                <w:rFonts w:hint="cs"/>
                <w:rtl/>
              </w:rPr>
              <w:t xml:space="preserve"> (הפסד)</w:t>
            </w:r>
            <w:r w:rsidRPr="002E0B22">
              <w:rPr>
                <w:rFonts w:hint="cs"/>
                <w:rtl/>
              </w:rPr>
              <w:t xml:space="preserve"> נקי </w:t>
            </w:r>
            <w:r>
              <w:rPr>
                <w:rFonts w:hint="cs"/>
                <w:rtl/>
              </w:rPr>
              <w:t>לתקופה</w:t>
            </w:r>
          </w:p>
        </w:tc>
        <w:tc>
          <w:tcPr>
            <w:tcW w:w="709" w:type="dxa"/>
            <w:gridSpan w:val="2"/>
            <w:tcBorders>
              <w:top w:val="nil"/>
              <w:left w:val="nil"/>
              <w:bottom w:val="nil"/>
              <w:right w:val="nil"/>
            </w:tcBorders>
            <w:vAlign w:val="bottom"/>
          </w:tcPr>
          <w:p w14:paraId="5F9A1B3F" w14:textId="77777777" w:rsidR="00421CED" w:rsidRPr="002E0B22" w:rsidRDefault="00421CED" w:rsidP="00421CED">
            <w:pPr>
              <w:pStyle w:val="-7"/>
              <w:rPr>
                <w:rtl/>
              </w:rPr>
            </w:pPr>
            <w:r w:rsidRPr="002E0B22">
              <w:rPr>
                <w:rFonts w:hint="cs"/>
                <w:rtl/>
              </w:rPr>
              <w:t xml:space="preserve"> 0</w:t>
            </w:r>
          </w:p>
        </w:tc>
        <w:tc>
          <w:tcPr>
            <w:tcW w:w="779" w:type="dxa"/>
            <w:gridSpan w:val="2"/>
            <w:tcBorders>
              <w:top w:val="nil"/>
              <w:left w:val="nil"/>
              <w:bottom w:val="nil"/>
              <w:right w:val="nil"/>
            </w:tcBorders>
            <w:vAlign w:val="bottom"/>
          </w:tcPr>
          <w:p w14:paraId="36142FC1" w14:textId="77777777" w:rsidR="00421CED" w:rsidRPr="002E0B22" w:rsidRDefault="00421CED" w:rsidP="00421CED">
            <w:pPr>
              <w:pStyle w:val="-7"/>
              <w:rPr>
                <w:rtl/>
              </w:rPr>
            </w:pPr>
            <w:r w:rsidRPr="002E0B22">
              <w:rPr>
                <w:rFonts w:hint="cs"/>
                <w:rtl/>
              </w:rPr>
              <w:t xml:space="preserve"> 0</w:t>
            </w:r>
          </w:p>
        </w:tc>
        <w:tc>
          <w:tcPr>
            <w:tcW w:w="841" w:type="dxa"/>
            <w:gridSpan w:val="2"/>
            <w:tcBorders>
              <w:top w:val="nil"/>
              <w:left w:val="nil"/>
              <w:bottom w:val="nil"/>
              <w:right w:val="nil"/>
            </w:tcBorders>
            <w:vAlign w:val="bottom"/>
          </w:tcPr>
          <w:p w14:paraId="3F78E039" w14:textId="77777777" w:rsidR="00421CED" w:rsidRPr="002E0B22" w:rsidRDefault="00421CED" w:rsidP="00421CED">
            <w:pPr>
              <w:pStyle w:val="-7"/>
              <w:rPr>
                <w:rtl/>
              </w:rPr>
            </w:pPr>
            <w:r w:rsidRPr="002E0B22">
              <w:rPr>
                <w:rFonts w:hint="cs"/>
                <w:rtl/>
              </w:rPr>
              <w:t xml:space="preserve"> 0</w:t>
            </w:r>
          </w:p>
        </w:tc>
        <w:tc>
          <w:tcPr>
            <w:tcW w:w="840" w:type="dxa"/>
            <w:gridSpan w:val="2"/>
            <w:tcBorders>
              <w:top w:val="nil"/>
              <w:left w:val="nil"/>
              <w:bottom w:val="nil"/>
              <w:right w:val="nil"/>
            </w:tcBorders>
            <w:vAlign w:val="bottom"/>
          </w:tcPr>
          <w:p w14:paraId="1B3EADC5" w14:textId="77777777" w:rsidR="00421CED" w:rsidRPr="002E0B22" w:rsidRDefault="00421CED" w:rsidP="00421CED">
            <w:pPr>
              <w:pStyle w:val="-7"/>
              <w:rPr>
                <w:rtl/>
              </w:rPr>
            </w:pPr>
            <w:r w:rsidRPr="002E0B22">
              <w:rPr>
                <w:rFonts w:hint="cs"/>
                <w:rtl/>
              </w:rPr>
              <w:t xml:space="preserve"> 0</w:t>
            </w:r>
          </w:p>
        </w:tc>
        <w:tc>
          <w:tcPr>
            <w:tcW w:w="1396" w:type="dxa"/>
            <w:gridSpan w:val="2"/>
            <w:tcBorders>
              <w:top w:val="nil"/>
              <w:left w:val="nil"/>
              <w:bottom w:val="nil"/>
              <w:right w:val="nil"/>
            </w:tcBorders>
            <w:vAlign w:val="bottom"/>
          </w:tcPr>
          <w:p w14:paraId="4E9D27D9" w14:textId="77777777" w:rsidR="00421CED" w:rsidRPr="002E0B22" w:rsidRDefault="00421CED" w:rsidP="00421CED">
            <w:pPr>
              <w:pStyle w:val="-7"/>
              <w:rPr>
                <w:rtl/>
              </w:rPr>
            </w:pPr>
            <w:r w:rsidRPr="002E0B22">
              <w:rPr>
                <w:rFonts w:hint="cs"/>
                <w:rtl/>
              </w:rPr>
              <w:t xml:space="preserve"> 0</w:t>
            </w:r>
          </w:p>
        </w:tc>
      </w:tr>
      <w:tr w:rsidR="00421CED" w:rsidRPr="002E0B22" w14:paraId="58191A64" w14:textId="77777777" w:rsidTr="00DC6BA9">
        <w:tc>
          <w:tcPr>
            <w:tcW w:w="1417" w:type="dxa"/>
            <w:tcBorders>
              <w:top w:val="nil"/>
              <w:left w:val="nil"/>
              <w:bottom w:val="nil"/>
              <w:right w:val="nil"/>
            </w:tcBorders>
          </w:tcPr>
          <w:p w14:paraId="0CB934B2" w14:textId="77777777" w:rsidR="00421CED" w:rsidRDefault="00421CED" w:rsidP="00421CED">
            <w:pPr>
              <w:pStyle w:val="-7"/>
              <w:bidi w:val="0"/>
              <w:spacing w:line="60" w:lineRule="exact"/>
              <w:rPr>
                <w:rtl/>
              </w:rPr>
            </w:pPr>
          </w:p>
        </w:tc>
        <w:tc>
          <w:tcPr>
            <w:tcW w:w="4536" w:type="dxa"/>
            <w:gridSpan w:val="2"/>
            <w:tcBorders>
              <w:top w:val="nil"/>
              <w:left w:val="nil"/>
              <w:bottom w:val="nil"/>
              <w:right w:val="nil"/>
            </w:tcBorders>
            <w:vAlign w:val="bottom"/>
          </w:tcPr>
          <w:p w14:paraId="382758D2" w14:textId="77777777" w:rsidR="00421CED" w:rsidRDefault="00421CED" w:rsidP="00421CED">
            <w:pPr>
              <w:pStyle w:val="-7"/>
              <w:bidi w:val="0"/>
              <w:spacing w:line="60" w:lineRule="exact"/>
              <w:rPr>
                <w:sz w:val="18"/>
                <w:szCs w:val="18"/>
                <w:rtl/>
              </w:rPr>
            </w:pPr>
          </w:p>
        </w:tc>
        <w:tc>
          <w:tcPr>
            <w:tcW w:w="709" w:type="dxa"/>
            <w:gridSpan w:val="2"/>
            <w:tcBorders>
              <w:top w:val="nil"/>
              <w:left w:val="nil"/>
              <w:bottom w:val="nil"/>
              <w:right w:val="nil"/>
            </w:tcBorders>
            <w:vAlign w:val="bottom"/>
          </w:tcPr>
          <w:p w14:paraId="5887470E" w14:textId="77777777" w:rsidR="00421CED" w:rsidRDefault="00421CED" w:rsidP="00421CED">
            <w:pPr>
              <w:pStyle w:val="-7"/>
              <w:bidi w:val="0"/>
              <w:spacing w:line="60" w:lineRule="exact"/>
              <w:rPr>
                <w:rtl/>
              </w:rPr>
            </w:pPr>
          </w:p>
        </w:tc>
        <w:tc>
          <w:tcPr>
            <w:tcW w:w="779" w:type="dxa"/>
            <w:gridSpan w:val="2"/>
            <w:tcBorders>
              <w:top w:val="nil"/>
              <w:left w:val="nil"/>
              <w:bottom w:val="nil"/>
              <w:right w:val="nil"/>
            </w:tcBorders>
            <w:vAlign w:val="bottom"/>
          </w:tcPr>
          <w:p w14:paraId="58BDCAF6" w14:textId="77777777" w:rsidR="00421CED" w:rsidRDefault="00421CED" w:rsidP="00421CED">
            <w:pPr>
              <w:pStyle w:val="-7"/>
              <w:bidi w:val="0"/>
              <w:spacing w:line="60" w:lineRule="exact"/>
              <w:rPr>
                <w:rtl/>
              </w:rPr>
            </w:pPr>
          </w:p>
        </w:tc>
        <w:tc>
          <w:tcPr>
            <w:tcW w:w="841" w:type="dxa"/>
            <w:gridSpan w:val="2"/>
            <w:tcBorders>
              <w:top w:val="nil"/>
              <w:left w:val="nil"/>
              <w:bottom w:val="nil"/>
              <w:right w:val="nil"/>
            </w:tcBorders>
            <w:vAlign w:val="bottom"/>
          </w:tcPr>
          <w:p w14:paraId="04202845" w14:textId="77777777" w:rsidR="00421CED" w:rsidRDefault="00421CED" w:rsidP="00421CED">
            <w:pPr>
              <w:pStyle w:val="-7"/>
              <w:bidi w:val="0"/>
              <w:spacing w:line="60" w:lineRule="exact"/>
              <w:rPr>
                <w:rtl/>
              </w:rPr>
            </w:pPr>
          </w:p>
        </w:tc>
        <w:tc>
          <w:tcPr>
            <w:tcW w:w="840" w:type="dxa"/>
            <w:gridSpan w:val="2"/>
            <w:tcBorders>
              <w:top w:val="nil"/>
              <w:left w:val="nil"/>
              <w:bottom w:val="nil"/>
              <w:right w:val="nil"/>
            </w:tcBorders>
            <w:vAlign w:val="bottom"/>
          </w:tcPr>
          <w:p w14:paraId="60B59DEE" w14:textId="77777777" w:rsidR="00421CED" w:rsidRDefault="00421CED" w:rsidP="00421CED">
            <w:pPr>
              <w:pStyle w:val="-7"/>
              <w:bidi w:val="0"/>
              <w:spacing w:line="60" w:lineRule="exact"/>
              <w:rPr>
                <w:rtl/>
              </w:rPr>
            </w:pPr>
          </w:p>
        </w:tc>
        <w:tc>
          <w:tcPr>
            <w:tcW w:w="1396" w:type="dxa"/>
            <w:gridSpan w:val="2"/>
            <w:tcBorders>
              <w:top w:val="nil"/>
              <w:left w:val="nil"/>
              <w:bottom w:val="nil"/>
              <w:right w:val="nil"/>
            </w:tcBorders>
            <w:vAlign w:val="bottom"/>
          </w:tcPr>
          <w:p w14:paraId="32789C83" w14:textId="77777777" w:rsidR="00421CED" w:rsidRDefault="00421CED" w:rsidP="00421CED">
            <w:pPr>
              <w:pStyle w:val="-7"/>
              <w:bidi w:val="0"/>
              <w:spacing w:line="60" w:lineRule="exact"/>
              <w:rPr>
                <w:rtl/>
              </w:rPr>
            </w:pPr>
          </w:p>
        </w:tc>
      </w:tr>
      <w:tr w:rsidR="00421CED" w:rsidRPr="002E0B22" w14:paraId="073E0FA8" w14:textId="77777777" w:rsidTr="00DC6BA9">
        <w:tc>
          <w:tcPr>
            <w:tcW w:w="1417" w:type="dxa"/>
            <w:tcBorders>
              <w:top w:val="nil"/>
              <w:left w:val="nil"/>
              <w:bottom w:val="nil"/>
              <w:right w:val="nil"/>
            </w:tcBorders>
          </w:tcPr>
          <w:p w14:paraId="56164F22" w14:textId="77777777" w:rsidR="00421CED" w:rsidRDefault="00421CED" w:rsidP="00421CED">
            <w:pPr>
              <w:pStyle w:val="-7"/>
              <w:spacing w:before="20"/>
              <w:rPr>
                <w:rtl/>
              </w:rPr>
            </w:pPr>
          </w:p>
        </w:tc>
        <w:tc>
          <w:tcPr>
            <w:tcW w:w="4536" w:type="dxa"/>
            <w:gridSpan w:val="2"/>
            <w:tcBorders>
              <w:top w:val="nil"/>
              <w:left w:val="nil"/>
              <w:bottom w:val="nil"/>
              <w:right w:val="nil"/>
            </w:tcBorders>
            <w:vAlign w:val="bottom"/>
          </w:tcPr>
          <w:p w14:paraId="30E6BF44" w14:textId="77777777" w:rsidR="00421CED" w:rsidRDefault="00421CED" w:rsidP="00421CED">
            <w:pPr>
              <w:pStyle w:val="-b"/>
              <w:spacing w:before="20"/>
              <w:rPr>
                <w:rtl/>
              </w:rPr>
            </w:pPr>
            <w:r w:rsidRPr="008839AD">
              <w:rPr>
                <w:rFonts w:hint="cs"/>
                <w:sz w:val="18"/>
                <w:szCs w:val="18"/>
                <w:rtl/>
              </w:rPr>
              <w:t xml:space="preserve">התאמות הדרושות כדי להציג את המזומנים מפעילות שוטפת: </w:t>
            </w:r>
          </w:p>
        </w:tc>
        <w:tc>
          <w:tcPr>
            <w:tcW w:w="709" w:type="dxa"/>
            <w:gridSpan w:val="2"/>
            <w:tcBorders>
              <w:top w:val="nil"/>
              <w:left w:val="nil"/>
              <w:bottom w:val="nil"/>
              <w:right w:val="nil"/>
            </w:tcBorders>
            <w:vAlign w:val="bottom"/>
          </w:tcPr>
          <w:p w14:paraId="1F446D78" w14:textId="77777777" w:rsidR="00421CED" w:rsidRDefault="00421CED" w:rsidP="00421CED">
            <w:pPr>
              <w:pStyle w:val="-7"/>
              <w:spacing w:before="20"/>
              <w:rPr>
                <w:rtl/>
              </w:rPr>
            </w:pPr>
          </w:p>
        </w:tc>
        <w:tc>
          <w:tcPr>
            <w:tcW w:w="779" w:type="dxa"/>
            <w:gridSpan w:val="2"/>
            <w:tcBorders>
              <w:top w:val="nil"/>
              <w:left w:val="nil"/>
              <w:bottom w:val="nil"/>
              <w:right w:val="nil"/>
            </w:tcBorders>
            <w:vAlign w:val="bottom"/>
          </w:tcPr>
          <w:p w14:paraId="1F285F4D" w14:textId="77777777" w:rsidR="00421CED" w:rsidRDefault="00421CED" w:rsidP="00421CED">
            <w:pPr>
              <w:pStyle w:val="-7"/>
              <w:spacing w:before="20"/>
              <w:rPr>
                <w:rtl/>
              </w:rPr>
            </w:pPr>
          </w:p>
        </w:tc>
        <w:tc>
          <w:tcPr>
            <w:tcW w:w="841" w:type="dxa"/>
            <w:gridSpan w:val="2"/>
            <w:tcBorders>
              <w:top w:val="nil"/>
              <w:left w:val="nil"/>
              <w:bottom w:val="nil"/>
              <w:right w:val="nil"/>
            </w:tcBorders>
            <w:vAlign w:val="bottom"/>
          </w:tcPr>
          <w:p w14:paraId="6ADCC41E" w14:textId="77777777" w:rsidR="00421CED" w:rsidRDefault="00421CED" w:rsidP="00421CED">
            <w:pPr>
              <w:pStyle w:val="-7"/>
              <w:spacing w:before="20"/>
              <w:rPr>
                <w:rtl/>
              </w:rPr>
            </w:pPr>
          </w:p>
        </w:tc>
        <w:tc>
          <w:tcPr>
            <w:tcW w:w="840" w:type="dxa"/>
            <w:gridSpan w:val="2"/>
            <w:tcBorders>
              <w:top w:val="nil"/>
              <w:left w:val="nil"/>
              <w:bottom w:val="nil"/>
              <w:right w:val="nil"/>
            </w:tcBorders>
            <w:vAlign w:val="bottom"/>
          </w:tcPr>
          <w:p w14:paraId="325CA71D" w14:textId="77777777" w:rsidR="00421CED" w:rsidRDefault="00421CED" w:rsidP="00421CED">
            <w:pPr>
              <w:pStyle w:val="-7"/>
              <w:spacing w:before="20"/>
              <w:rPr>
                <w:rtl/>
              </w:rPr>
            </w:pPr>
          </w:p>
        </w:tc>
        <w:tc>
          <w:tcPr>
            <w:tcW w:w="1396" w:type="dxa"/>
            <w:gridSpan w:val="2"/>
            <w:tcBorders>
              <w:top w:val="nil"/>
              <w:left w:val="nil"/>
              <w:bottom w:val="nil"/>
              <w:right w:val="nil"/>
            </w:tcBorders>
            <w:vAlign w:val="bottom"/>
          </w:tcPr>
          <w:p w14:paraId="2783D2E3" w14:textId="77777777" w:rsidR="00421CED" w:rsidRDefault="00421CED" w:rsidP="00421CED">
            <w:pPr>
              <w:pStyle w:val="-7"/>
              <w:spacing w:before="20"/>
              <w:rPr>
                <w:rtl/>
              </w:rPr>
            </w:pPr>
          </w:p>
        </w:tc>
      </w:tr>
      <w:tr w:rsidR="00421CED" w:rsidRPr="002E0B22" w14:paraId="13DE99FF" w14:textId="77777777" w:rsidTr="00DC6BA9">
        <w:tc>
          <w:tcPr>
            <w:tcW w:w="1417" w:type="dxa"/>
            <w:tcBorders>
              <w:top w:val="nil"/>
              <w:left w:val="nil"/>
              <w:bottom w:val="nil"/>
              <w:right w:val="nil"/>
            </w:tcBorders>
          </w:tcPr>
          <w:p w14:paraId="72EB548E" w14:textId="77777777" w:rsidR="00421CED" w:rsidRDefault="00421CED" w:rsidP="00421CED">
            <w:pPr>
              <w:pStyle w:val="-7"/>
              <w:spacing w:before="20"/>
              <w:rPr>
                <w:rtl/>
              </w:rPr>
            </w:pPr>
          </w:p>
        </w:tc>
        <w:tc>
          <w:tcPr>
            <w:tcW w:w="4536" w:type="dxa"/>
            <w:gridSpan w:val="2"/>
            <w:tcBorders>
              <w:top w:val="nil"/>
              <w:left w:val="nil"/>
              <w:bottom w:val="nil"/>
              <w:right w:val="nil"/>
            </w:tcBorders>
            <w:vAlign w:val="bottom"/>
          </w:tcPr>
          <w:p w14:paraId="4917B216" w14:textId="77777777" w:rsidR="00421CED" w:rsidRDefault="00421CED" w:rsidP="00421CED">
            <w:pPr>
              <w:pStyle w:val="-21"/>
              <w:spacing w:before="20"/>
              <w:rPr>
                <w:rtl/>
              </w:rPr>
            </w:pPr>
            <w:r w:rsidRPr="002E0B22">
              <w:rPr>
                <w:rtl/>
              </w:rPr>
              <w:t xml:space="preserve">חלקו של התאגיד הבנקאי </w:t>
            </w:r>
            <w:r w:rsidRPr="002E0B22">
              <w:rPr>
                <w:rFonts w:hint="cs"/>
                <w:rtl/>
              </w:rPr>
              <w:t>(</w:t>
            </w:r>
            <w:r w:rsidRPr="002E0B22">
              <w:rPr>
                <w:rtl/>
              </w:rPr>
              <w:t>ברווחים</w:t>
            </w:r>
            <w:r w:rsidRPr="002E0B22">
              <w:rPr>
                <w:rFonts w:hint="cs"/>
                <w:rtl/>
              </w:rPr>
              <w:t>)</w:t>
            </w:r>
            <w:r w:rsidRPr="002E0B22">
              <w:rPr>
                <w:rtl/>
              </w:rPr>
              <w:t xml:space="preserve"> הפסדים בלתי מחולקים של </w:t>
            </w:r>
            <w:r>
              <w:rPr>
                <w:rFonts w:hint="cs"/>
                <w:rtl/>
              </w:rPr>
              <w:t>חברות כלולות</w:t>
            </w:r>
          </w:p>
        </w:tc>
        <w:tc>
          <w:tcPr>
            <w:tcW w:w="709" w:type="dxa"/>
            <w:gridSpan w:val="2"/>
            <w:tcBorders>
              <w:top w:val="nil"/>
              <w:left w:val="nil"/>
              <w:bottom w:val="nil"/>
              <w:right w:val="nil"/>
            </w:tcBorders>
            <w:vAlign w:val="bottom"/>
          </w:tcPr>
          <w:p w14:paraId="2D17E26A" w14:textId="77777777" w:rsidR="00421CED" w:rsidRDefault="00421CED" w:rsidP="00421CED">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0855CFFB" w14:textId="77777777" w:rsidR="00421CED" w:rsidRDefault="00421CED" w:rsidP="00421CED">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5F1890FF" w14:textId="77777777" w:rsidR="00421CED" w:rsidRDefault="00421CED" w:rsidP="00421CED">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4C7F650C" w14:textId="77777777" w:rsidR="00421CED" w:rsidRDefault="00421CED" w:rsidP="00421CED">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4E54521A" w14:textId="77777777" w:rsidR="00421CED" w:rsidRDefault="00421CED" w:rsidP="00421CED">
            <w:pPr>
              <w:pStyle w:val="-7"/>
              <w:spacing w:before="20"/>
              <w:rPr>
                <w:rtl/>
              </w:rPr>
            </w:pPr>
            <w:r w:rsidRPr="002E0B22">
              <w:rPr>
                <w:rFonts w:hint="cs"/>
                <w:rtl/>
              </w:rPr>
              <w:t xml:space="preserve"> 0</w:t>
            </w:r>
          </w:p>
        </w:tc>
      </w:tr>
      <w:tr w:rsidR="00421CED" w:rsidRPr="002E0B22" w14:paraId="7B21E03F" w14:textId="77777777" w:rsidTr="00DC6BA9">
        <w:tc>
          <w:tcPr>
            <w:tcW w:w="1417" w:type="dxa"/>
            <w:tcBorders>
              <w:top w:val="nil"/>
              <w:left w:val="nil"/>
              <w:bottom w:val="nil"/>
              <w:right w:val="nil"/>
            </w:tcBorders>
          </w:tcPr>
          <w:p w14:paraId="5DC68A5A" w14:textId="77777777" w:rsidR="00421CED" w:rsidRDefault="00421CED" w:rsidP="00421CED">
            <w:pPr>
              <w:pStyle w:val="-7"/>
              <w:spacing w:before="20"/>
              <w:rPr>
                <w:rtl/>
              </w:rPr>
            </w:pPr>
          </w:p>
        </w:tc>
        <w:tc>
          <w:tcPr>
            <w:tcW w:w="4536" w:type="dxa"/>
            <w:gridSpan w:val="2"/>
            <w:tcBorders>
              <w:top w:val="nil"/>
              <w:left w:val="nil"/>
              <w:bottom w:val="nil"/>
              <w:right w:val="nil"/>
            </w:tcBorders>
            <w:vAlign w:val="bottom"/>
          </w:tcPr>
          <w:p w14:paraId="24B679CF" w14:textId="77777777" w:rsidR="00421CED" w:rsidRDefault="00421CED" w:rsidP="00421CED">
            <w:pPr>
              <w:pStyle w:val="-0"/>
              <w:spacing w:before="20"/>
              <w:rPr>
                <w:rtl/>
              </w:rPr>
            </w:pPr>
            <w:r w:rsidRPr="002E0B22">
              <w:rPr>
                <w:rtl/>
              </w:rPr>
              <w:t>פחת על בניינים וציוד</w:t>
            </w:r>
            <w:r w:rsidRPr="002E0B22">
              <w:rPr>
                <w:rFonts w:hint="cs"/>
                <w:rtl/>
              </w:rPr>
              <w:t xml:space="preserve"> (לרבות ירידת ערך)</w:t>
            </w:r>
          </w:p>
        </w:tc>
        <w:tc>
          <w:tcPr>
            <w:tcW w:w="709" w:type="dxa"/>
            <w:gridSpan w:val="2"/>
            <w:tcBorders>
              <w:top w:val="nil"/>
              <w:left w:val="nil"/>
              <w:bottom w:val="nil"/>
              <w:right w:val="nil"/>
            </w:tcBorders>
            <w:vAlign w:val="bottom"/>
          </w:tcPr>
          <w:p w14:paraId="076BCF3F" w14:textId="77777777" w:rsidR="00421CED" w:rsidRDefault="00421CED" w:rsidP="00421CED">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4DFA5D95" w14:textId="77777777" w:rsidR="00421CED" w:rsidRDefault="00421CED" w:rsidP="00421CED">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18E4F1BA" w14:textId="77777777" w:rsidR="00421CED" w:rsidRDefault="00421CED" w:rsidP="00421CED">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221A22D2" w14:textId="77777777" w:rsidR="00421CED" w:rsidRDefault="00421CED" w:rsidP="00421CED">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5FB6993F" w14:textId="77777777" w:rsidR="00421CED" w:rsidRDefault="00421CED" w:rsidP="00421CED">
            <w:pPr>
              <w:pStyle w:val="-7"/>
              <w:spacing w:before="20"/>
              <w:rPr>
                <w:rtl/>
              </w:rPr>
            </w:pPr>
            <w:r w:rsidRPr="002E0B22">
              <w:rPr>
                <w:rFonts w:hint="cs"/>
                <w:rtl/>
              </w:rPr>
              <w:t xml:space="preserve"> 0</w:t>
            </w:r>
          </w:p>
        </w:tc>
      </w:tr>
      <w:tr w:rsidR="00421CED" w:rsidRPr="002E0B22" w14:paraId="66667123" w14:textId="77777777" w:rsidTr="00DC6BA9">
        <w:tc>
          <w:tcPr>
            <w:tcW w:w="1417" w:type="dxa"/>
            <w:tcBorders>
              <w:top w:val="nil"/>
              <w:left w:val="nil"/>
              <w:bottom w:val="nil"/>
              <w:right w:val="nil"/>
            </w:tcBorders>
          </w:tcPr>
          <w:p w14:paraId="5DA4D356" w14:textId="77777777" w:rsidR="00421CED" w:rsidRDefault="00421CED" w:rsidP="00421CED">
            <w:pPr>
              <w:pStyle w:val="-7"/>
              <w:spacing w:before="20"/>
              <w:rPr>
                <w:rtl/>
              </w:rPr>
            </w:pPr>
          </w:p>
        </w:tc>
        <w:tc>
          <w:tcPr>
            <w:tcW w:w="4536" w:type="dxa"/>
            <w:gridSpan w:val="2"/>
            <w:tcBorders>
              <w:top w:val="nil"/>
              <w:left w:val="nil"/>
              <w:bottom w:val="nil"/>
              <w:right w:val="nil"/>
            </w:tcBorders>
            <w:vAlign w:val="bottom"/>
          </w:tcPr>
          <w:p w14:paraId="174C6D3A" w14:textId="77777777" w:rsidR="00421CED" w:rsidRDefault="00421CED" w:rsidP="00421CED">
            <w:pPr>
              <w:pStyle w:val="-0"/>
              <w:spacing w:before="20"/>
              <w:rPr>
                <w:rtl/>
              </w:rPr>
            </w:pPr>
            <w:r w:rsidRPr="002E0B22">
              <w:rPr>
                <w:rtl/>
              </w:rPr>
              <w:t>הפחתות</w:t>
            </w:r>
          </w:p>
        </w:tc>
        <w:tc>
          <w:tcPr>
            <w:tcW w:w="709" w:type="dxa"/>
            <w:gridSpan w:val="2"/>
            <w:tcBorders>
              <w:top w:val="nil"/>
              <w:left w:val="nil"/>
              <w:bottom w:val="nil"/>
              <w:right w:val="nil"/>
            </w:tcBorders>
            <w:vAlign w:val="bottom"/>
          </w:tcPr>
          <w:p w14:paraId="6A06FB85" w14:textId="77777777" w:rsidR="00421CED" w:rsidRDefault="00421CED" w:rsidP="00421CED">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28EC1906" w14:textId="77777777" w:rsidR="00421CED" w:rsidRDefault="00421CED" w:rsidP="00421CED">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0488D0C0" w14:textId="77777777" w:rsidR="00421CED" w:rsidRDefault="00421CED" w:rsidP="00421CED">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0FBD19DD" w14:textId="77777777" w:rsidR="00421CED" w:rsidRDefault="00421CED" w:rsidP="00421CED">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6495EB08" w14:textId="77777777" w:rsidR="00421CED" w:rsidRDefault="00421CED" w:rsidP="00421CED">
            <w:pPr>
              <w:pStyle w:val="-7"/>
              <w:spacing w:before="20"/>
              <w:rPr>
                <w:rtl/>
              </w:rPr>
            </w:pPr>
            <w:r w:rsidRPr="002E0B22">
              <w:rPr>
                <w:rFonts w:hint="cs"/>
                <w:rtl/>
              </w:rPr>
              <w:t xml:space="preserve"> 0</w:t>
            </w:r>
          </w:p>
        </w:tc>
      </w:tr>
      <w:tr w:rsidR="00421CED" w:rsidRPr="002E0B22" w14:paraId="296B4E83" w14:textId="77777777" w:rsidTr="00DC6BA9">
        <w:tc>
          <w:tcPr>
            <w:tcW w:w="1417" w:type="dxa"/>
            <w:tcBorders>
              <w:top w:val="nil"/>
              <w:left w:val="nil"/>
              <w:bottom w:val="nil"/>
              <w:right w:val="nil"/>
            </w:tcBorders>
          </w:tcPr>
          <w:p w14:paraId="030F46C0" w14:textId="77777777" w:rsidR="00421CED" w:rsidRDefault="00421CED" w:rsidP="00421CED">
            <w:pPr>
              <w:pStyle w:val="-7"/>
              <w:spacing w:before="20"/>
              <w:rPr>
                <w:rtl/>
              </w:rPr>
            </w:pPr>
          </w:p>
        </w:tc>
        <w:tc>
          <w:tcPr>
            <w:tcW w:w="4536" w:type="dxa"/>
            <w:gridSpan w:val="2"/>
            <w:tcBorders>
              <w:top w:val="nil"/>
              <w:left w:val="nil"/>
              <w:bottom w:val="nil"/>
              <w:right w:val="nil"/>
            </w:tcBorders>
            <w:vAlign w:val="bottom"/>
          </w:tcPr>
          <w:p w14:paraId="7C19F0F7" w14:textId="77777777" w:rsidR="00421CED" w:rsidRDefault="00421CED" w:rsidP="00421CED">
            <w:pPr>
              <w:pStyle w:val="-0"/>
              <w:spacing w:before="20"/>
              <w:rPr>
                <w:rtl/>
              </w:rPr>
            </w:pPr>
            <w:r w:rsidRPr="002E0B22">
              <w:rPr>
                <w:rFonts w:hint="cs"/>
                <w:rtl/>
              </w:rPr>
              <w:t>הוצאות בגין הפסדי אשראי</w:t>
            </w:r>
          </w:p>
        </w:tc>
        <w:tc>
          <w:tcPr>
            <w:tcW w:w="709" w:type="dxa"/>
            <w:gridSpan w:val="2"/>
            <w:tcBorders>
              <w:top w:val="nil"/>
              <w:left w:val="nil"/>
              <w:bottom w:val="nil"/>
              <w:right w:val="nil"/>
            </w:tcBorders>
            <w:vAlign w:val="bottom"/>
          </w:tcPr>
          <w:p w14:paraId="0A3E1CF0" w14:textId="77777777" w:rsidR="00421CED" w:rsidRDefault="00421CED" w:rsidP="00421CED">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0BE8C848" w14:textId="77777777" w:rsidR="00421CED" w:rsidRDefault="00421CED" w:rsidP="00421CED">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7C582242" w14:textId="77777777" w:rsidR="00421CED" w:rsidRDefault="00421CED" w:rsidP="00421CED">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5C272F57" w14:textId="77777777" w:rsidR="00421CED" w:rsidRDefault="00421CED" w:rsidP="00421CED">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66501610" w14:textId="77777777" w:rsidR="00421CED" w:rsidRDefault="00421CED" w:rsidP="00421CED">
            <w:pPr>
              <w:pStyle w:val="-7"/>
              <w:spacing w:before="20"/>
              <w:rPr>
                <w:rtl/>
              </w:rPr>
            </w:pPr>
            <w:r w:rsidRPr="002E0B22">
              <w:rPr>
                <w:rFonts w:hint="cs"/>
                <w:rtl/>
              </w:rPr>
              <w:t xml:space="preserve"> 0</w:t>
            </w:r>
          </w:p>
        </w:tc>
      </w:tr>
      <w:tr w:rsidR="00421CED" w:rsidRPr="002E0B22" w14:paraId="08366AF8" w14:textId="77777777" w:rsidTr="00DC6BA9">
        <w:tc>
          <w:tcPr>
            <w:tcW w:w="1417" w:type="dxa"/>
            <w:tcBorders>
              <w:top w:val="nil"/>
              <w:left w:val="nil"/>
              <w:bottom w:val="nil"/>
              <w:right w:val="nil"/>
            </w:tcBorders>
          </w:tcPr>
          <w:p w14:paraId="14AFC43F" w14:textId="77777777" w:rsidR="00421CED" w:rsidRDefault="00421CED" w:rsidP="00421CED">
            <w:pPr>
              <w:pStyle w:val="-7"/>
              <w:spacing w:before="20"/>
              <w:rPr>
                <w:rtl/>
              </w:rPr>
            </w:pPr>
          </w:p>
        </w:tc>
        <w:tc>
          <w:tcPr>
            <w:tcW w:w="4536" w:type="dxa"/>
            <w:gridSpan w:val="2"/>
            <w:tcBorders>
              <w:top w:val="nil"/>
              <w:left w:val="nil"/>
              <w:bottom w:val="nil"/>
              <w:right w:val="nil"/>
            </w:tcBorders>
            <w:vAlign w:val="bottom"/>
          </w:tcPr>
          <w:p w14:paraId="36085165" w14:textId="77777777" w:rsidR="00421CED" w:rsidRDefault="00421CED" w:rsidP="00421CED">
            <w:pPr>
              <w:pStyle w:val="-21"/>
              <w:spacing w:before="20"/>
              <w:rPr>
                <w:rtl/>
              </w:rPr>
            </w:pPr>
            <w:r>
              <w:rPr>
                <w:rFonts w:hint="cs"/>
                <w:rtl/>
              </w:rPr>
              <w:t>הפסד (רווח) ממכירת תיקי אשראי</w:t>
            </w:r>
          </w:p>
        </w:tc>
        <w:tc>
          <w:tcPr>
            <w:tcW w:w="709" w:type="dxa"/>
            <w:gridSpan w:val="2"/>
            <w:tcBorders>
              <w:top w:val="nil"/>
              <w:left w:val="nil"/>
              <w:bottom w:val="nil"/>
              <w:right w:val="nil"/>
            </w:tcBorders>
            <w:vAlign w:val="bottom"/>
          </w:tcPr>
          <w:p w14:paraId="7827657B" w14:textId="77777777" w:rsidR="00421CED" w:rsidRDefault="00421CED" w:rsidP="00421CED">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1A6D1F10" w14:textId="77777777" w:rsidR="00421CED" w:rsidRDefault="00421CED" w:rsidP="00421CED">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674D7A8F" w14:textId="77777777" w:rsidR="00421CED" w:rsidRDefault="00421CED" w:rsidP="00421CED">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2263A04F" w14:textId="77777777" w:rsidR="00421CED" w:rsidRDefault="00421CED" w:rsidP="00421CED">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6309C0CD" w14:textId="77777777" w:rsidR="00421CED" w:rsidRDefault="00421CED" w:rsidP="00421CED">
            <w:pPr>
              <w:pStyle w:val="-7"/>
              <w:spacing w:before="20"/>
              <w:rPr>
                <w:rtl/>
              </w:rPr>
            </w:pPr>
            <w:r w:rsidRPr="002E0B22">
              <w:rPr>
                <w:rFonts w:hint="cs"/>
                <w:rtl/>
              </w:rPr>
              <w:t xml:space="preserve"> 0</w:t>
            </w:r>
          </w:p>
        </w:tc>
      </w:tr>
      <w:tr w:rsidR="00421CED" w:rsidRPr="002E0B22" w14:paraId="0ADB5C3A" w14:textId="77777777" w:rsidTr="00DC6BA9">
        <w:tc>
          <w:tcPr>
            <w:tcW w:w="1417" w:type="dxa"/>
            <w:tcBorders>
              <w:top w:val="nil"/>
              <w:left w:val="nil"/>
              <w:bottom w:val="nil"/>
              <w:right w:val="nil"/>
            </w:tcBorders>
          </w:tcPr>
          <w:p w14:paraId="2AB24E30" w14:textId="77777777" w:rsidR="00421CED" w:rsidRDefault="00421CED" w:rsidP="00421CED">
            <w:pPr>
              <w:pStyle w:val="-7"/>
              <w:spacing w:before="20"/>
              <w:rPr>
                <w:rtl/>
              </w:rPr>
            </w:pPr>
          </w:p>
        </w:tc>
        <w:tc>
          <w:tcPr>
            <w:tcW w:w="4536" w:type="dxa"/>
            <w:gridSpan w:val="2"/>
            <w:tcBorders>
              <w:top w:val="nil"/>
              <w:left w:val="nil"/>
              <w:bottom w:val="nil"/>
              <w:right w:val="nil"/>
            </w:tcBorders>
            <w:vAlign w:val="bottom"/>
          </w:tcPr>
          <w:p w14:paraId="156E53B8" w14:textId="77777777" w:rsidR="00421CED" w:rsidRDefault="002F1323" w:rsidP="00302CE5">
            <w:pPr>
              <w:pStyle w:val="-21"/>
              <w:spacing w:before="20"/>
              <w:rPr>
                <w:rtl/>
              </w:rPr>
            </w:pPr>
            <w:r w:rsidRPr="002F1323">
              <w:rPr>
                <w:rtl/>
              </w:rPr>
              <w:t xml:space="preserve">הפסד (רווח) ממכירת ניירות ערך מוחזקים לפדיון, </w:t>
            </w:r>
            <w:r w:rsidR="00A674A4">
              <w:rPr>
                <w:rtl/>
              </w:rPr>
              <w:t>אגרות</w:t>
            </w:r>
            <w:r w:rsidRPr="002F1323">
              <w:rPr>
                <w:rtl/>
              </w:rPr>
              <w:t xml:space="preserve"> חוב זמינות למכירה ומניות שאינן למסחר</w:t>
            </w:r>
          </w:p>
        </w:tc>
        <w:tc>
          <w:tcPr>
            <w:tcW w:w="709" w:type="dxa"/>
            <w:gridSpan w:val="2"/>
            <w:tcBorders>
              <w:top w:val="nil"/>
              <w:left w:val="nil"/>
              <w:bottom w:val="nil"/>
              <w:right w:val="nil"/>
            </w:tcBorders>
            <w:vAlign w:val="bottom"/>
          </w:tcPr>
          <w:p w14:paraId="448E69DF" w14:textId="77777777" w:rsidR="00421CED" w:rsidRDefault="00421CED" w:rsidP="00421CED">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26807A69" w14:textId="77777777" w:rsidR="00421CED" w:rsidRDefault="00421CED" w:rsidP="00421CED">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29E4E54A" w14:textId="77777777" w:rsidR="00421CED" w:rsidRDefault="00421CED" w:rsidP="00421CED">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4D3D04E0" w14:textId="77777777" w:rsidR="00421CED" w:rsidRDefault="00421CED" w:rsidP="00421CED">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38F0D9AC" w14:textId="77777777" w:rsidR="00421CED" w:rsidRDefault="00421CED" w:rsidP="00421CED">
            <w:pPr>
              <w:pStyle w:val="-7"/>
              <w:spacing w:before="20"/>
              <w:rPr>
                <w:rtl/>
              </w:rPr>
            </w:pPr>
            <w:r w:rsidRPr="002E0B22">
              <w:rPr>
                <w:rFonts w:hint="cs"/>
                <w:rtl/>
              </w:rPr>
              <w:t xml:space="preserve"> 0</w:t>
            </w:r>
          </w:p>
        </w:tc>
      </w:tr>
      <w:tr w:rsidR="00421CED" w:rsidRPr="002E0B22" w14:paraId="6257DF59" w14:textId="77777777" w:rsidTr="00DC6BA9">
        <w:tc>
          <w:tcPr>
            <w:tcW w:w="1417" w:type="dxa"/>
            <w:tcBorders>
              <w:top w:val="nil"/>
              <w:left w:val="nil"/>
              <w:bottom w:val="nil"/>
              <w:right w:val="nil"/>
            </w:tcBorders>
          </w:tcPr>
          <w:p w14:paraId="1C6DCE27" w14:textId="77777777" w:rsidR="00421CED" w:rsidRDefault="00421CED" w:rsidP="00421CED">
            <w:pPr>
              <w:pStyle w:val="-7"/>
              <w:spacing w:before="20"/>
              <w:rPr>
                <w:rtl/>
              </w:rPr>
            </w:pPr>
          </w:p>
        </w:tc>
        <w:tc>
          <w:tcPr>
            <w:tcW w:w="4536" w:type="dxa"/>
            <w:gridSpan w:val="2"/>
            <w:tcBorders>
              <w:top w:val="nil"/>
              <w:left w:val="nil"/>
              <w:bottom w:val="nil"/>
              <w:right w:val="nil"/>
            </w:tcBorders>
            <w:vAlign w:val="bottom"/>
          </w:tcPr>
          <w:p w14:paraId="3B8A60AC" w14:textId="77777777" w:rsidR="00421CED" w:rsidRDefault="00421CED" w:rsidP="00421CED">
            <w:pPr>
              <w:pStyle w:val="-21"/>
              <w:spacing w:before="20"/>
              <w:rPr>
                <w:rtl/>
              </w:rPr>
            </w:pPr>
            <w:r w:rsidRPr="002E0B22">
              <w:rPr>
                <w:rtl/>
              </w:rPr>
              <w:t>הפסד (רווח) שמומש ושטרם מומש מהתאמות לשווי הוגן של ני</w:t>
            </w:r>
            <w:r w:rsidRPr="002E0B22">
              <w:rPr>
                <w:rFonts w:hint="cs"/>
                <w:rtl/>
              </w:rPr>
              <w:t>ירות ערך</w:t>
            </w:r>
            <w:r w:rsidRPr="002E0B22">
              <w:rPr>
                <w:rtl/>
              </w:rPr>
              <w:t xml:space="preserve"> למסחר</w:t>
            </w:r>
          </w:p>
        </w:tc>
        <w:tc>
          <w:tcPr>
            <w:tcW w:w="709" w:type="dxa"/>
            <w:gridSpan w:val="2"/>
            <w:tcBorders>
              <w:top w:val="nil"/>
              <w:left w:val="nil"/>
              <w:bottom w:val="nil"/>
              <w:right w:val="nil"/>
            </w:tcBorders>
            <w:vAlign w:val="bottom"/>
          </w:tcPr>
          <w:p w14:paraId="46AB6A4B" w14:textId="77777777" w:rsidR="00421CED" w:rsidRDefault="00421CED" w:rsidP="00421CED">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3919A7D9" w14:textId="77777777" w:rsidR="00421CED" w:rsidRDefault="00421CED" w:rsidP="00421CED">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2848F930" w14:textId="77777777" w:rsidR="00421CED" w:rsidRDefault="00421CED" w:rsidP="00421CED">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128C799C" w14:textId="77777777" w:rsidR="00421CED" w:rsidRDefault="00421CED" w:rsidP="00421CED">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322220FA" w14:textId="77777777" w:rsidR="00421CED" w:rsidRDefault="00421CED" w:rsidP="00421CED">
            <w:pPr>
              <w:pStyle w:val="-7"/>
              <w:spacing w:before="20"/>
              <w:rPr>
                <w:rtl/>
              </w:rPr>
            </w:pPr>
            <w:r w:rsidRPr="002E0B22">
              <w:rPr>
                <w:rFonts w:hint="cs"/>
                <w:rtl/>
              </w:rPr>
              <w:t xml:space="preserve"> 0</w:t>
            </w:r>
          </w:p>
        </w:tc>
      </w:tr>
      <w:tr w:rsidR="00421CED" w:rsidRPr="002E0B22" w14:paraId="20555B6A" w14:textId="77777777" w:rsidTr="00DC6BA9">
        <w:tc>
          <w:tcPr>
            <w:tcW w:w="1417" w:type="dxa"/>
            <w:tcBorders>
              <w:top w:val="nil"/>
              <w:left w:val="nil"/>
              <w:bottom w:val="nil"/>
              <w:right w:val="nil"/>
            </w:tcBorders>
          </w:tcPr>
          <w:p w14:paraId="602052F0" w14:textId="77777777" w:rsidR="00421CED" w:rsidRDefault="00421CED" w:rsidP="00421CED">
            <w:pPr>
              <w:pStyle w:val="-7"/>
              <w:spacing w:before="20"/>
              <w:rPr>
                <w:rtl/>
              </w:rPr>
            </w:pPr>
          </w:p>
        </w:tc>
        <w:tc>
          <w:tcPr>
            <w:tcW w:w="4536" w:type="dxa"/>
            <w:gridSpan w:val="2"/>
            <w:tcBorders>
              <w:top w:val="nil"/>
              <w:left w:val="nil"/>
              <w:bottom w:val="nil"/>
              <w:right w:val="nil"/>
            </w:tcBorders>
            <w:vAlign w:val="bottom"/>
          </w:tcPr>
          <w:p w14:paraId="531AB9D2" w14:textId="77777777" w:rsidR="00421CED" w:rsidRPr="002E0B22" w:rsidRDefault="00421CED" w:rsidP="00EF075C">
            <w:pPr>
              <w:pStyle w:val="-21"/>
              <w:spacing w:before="20"/>
              <w:rPr>
                <w:rtl/>
              </w:rPr>
            </w:pPr>
            <w:r w:rsidRPr="00776AD5">
              <w:rPr>
                <w:rFonts w:hint="cs"/>
                <w:rtl/>
              </w:rPr>
              <w:t>הפסד (רווח) שמומש ושטרם מומש מהתאמות לשווי הוגן של מניות שאינן למסחר</w:t>
            </w:r>
          </w:p>
        </w:tc>
        <w:tc>
          <w:tcPr>
            <w:tcW w:w="709" w:type="dxa"/>
            <w:gridSpan w:val="2"/>
            <w:tcBorders>
              <w:top w:val="nil"/>
              <w:left w:val="nil"/>
              <w:bottom w:val="nil"/>
              <w:right w:val="nil"/>
            </w:tcBorders>
            <w:vAlign w:val="bottom"/>
          </w:tcPr>
          <w:p w14:paraId="43579810" w14:textId="77777777" w:rsidR="00421CED" w:rsidRPr="002E0B22" w:rsidRDefault="00421CED" w:rsidP="00421CED">
            <w:pPr>
              <w:pStyle w:val="-7"/>
              <w:spacing w:before="20"/>
              <w:rPr>
                <w:rtl/>
              </w:rPr>
            </w:pPr>
            <w:r>
              <w:rPr>
                <w:rFonts w:hint="cs"/>
                <w:rtl/>
              </w:rPr>
              <w:t xml:space="preserve"> 0</w:t>
            </w:r>
          </w:p>
        </w:tc>
        <w:tc>
          <w:tcPr>
            <w:tcW w:w="779" w:type="dxa"/>
            <w:gridSpan w:val="2"/>
            <w:tcBorders>
              <w:top w:val="nil"/>
              <w:left w:val="nil"/>
              <w:bottom w:val="nil"/>
              <w:right w:val="nil"/>
            </w:tcBorders>
            <w:vAlign w:val="bottom"/>
          </w:tcPr>
          <w:p w14:paraId="12717170" w14:textId="6A27D268" w:rsidR="00421CED" w:rsidRPr="002E0B22" w:rsidRDefault="00421CED" w:rsidP="004D17F1">
            <w:pPr>
              <w:pStyle w:val="-7"/>
              <w:spacing w:before="20"/>
              <w:rPr>
                <w:rtl/>
              </w:rPr>
            </w:pPr>
            <w:r>
              <w:rPr>
                <w:rFonts w:hint="cs"/>
                <w:rtl/>
              </w:rPr>
              <w:t xml:space="preserve"> </w:t>
            </w:r>
            <w:r w:rsidR="00B2225A">
              <w:rPr>
                <w:rFonts w:hint="cs"/>
                <w:rtl/>
              </w:rPr>
              <w:t>0</w:t>
            </w:r>
          </w:p>
        </w:tc>
        <w:tc>
          <w:tcPr>
            <w:tcW w:w="841" w:type="dxa"/>
            <w:gridSpan w:val="2"/>
            <w:tcBorders>
              <w:top w:val="nil"/>
              <w:left w:val="nil"/>
              <w:bottom w:val="nil"/>
              <w:right w:val="nil"/>
            </w:tcBorders>
            <w:vAlign w:val="bottom"/>
          </w:tcPr>
          <w:p w14:paraId="25197E13" w14:textId="77777777" w:rsidR="00421CED" w:rsidRPr="002E0B22" w:rsidRDefault="00421CED" w:rsidP="00421CED">
            <w:pPr>
              <w:pStyle w:val="-7"/>
              <w:spacing w:before="20"/>
              <w:rPr>
                <w:rtl/>
              </w:rPr>
            </w:pPr>
            <w:r>
              <w:rPr>
                <w:rFonts w:hint="cs"/>
                <w:rtl/>
              </w:rPr>
              <w:t xml:space="preserve"> 0</w:t>
            </w:r>
          </w:p>
        </w:tc>
        <w:tc>
          <w:tcPr>
            <w:tcW w:w="840" w:type="dxa"/>
            <w:gridSpan w:val="2"/>
            <w:tcBorders>
              <w:top w:val="nil"/>
              <w:left w:val="nil"/>
              <w:bottom w:val="nil"/>
              <w:right w:val="nil"/>
            </w:tcBorders>
            <w:vAlign w:val="bottom"/>
          </w:tcPr>
          <w:p w14:paraId="5E067512" w14:textId="20D31DD7" w:rsidR="00421CED" w:rsidRPr="002E0B22" w:rsidRDefault="00421CED" w:rsidP="004D17F1">
            <w:pPr>
              <w:pStyle w:val="-7"/>
              <w:spacing w:before="20"/>
              <w:rPr>
                <w:rtl/>
              </w:rPr>
            </w:pPr>
            <w:r>
              <w:rPr>
                <w:rFonts w:hint="cs"/>
                <w:rtl/>
              </w:rPr>
              <w:t xml:space="preserve"> </w:t>
            </w:r>
            <w:r w:rsidR="00B2225A">
              <w:rPr>
                <w:rFonts w:hint="cs"/>
                <w:rtl/>
              </w:rPr>
              <w:t>0</w:t>
            </w:r>
          </w:p>
        </w:tc>
        <w:tc>
          <w:tcPr>
            <w:tcW w:w="1396" w:type="dxa"/>
            <w:gridSpan w:val="2"/>
            <w:tcBorders>
              <w:top w:val="nil"/>
              <w:left w:val="nil"/>
              <w:bottom w:val="nil"/>
              <w:right w:val="nil"/>
            </w:tcBorders>
            <w:vAlign w:val="bottom"/>
          </w:tcPr>
          <w:p w14:paraId="38C60908" w14:textId="3046B6FD" w:rsidR="00421CED" w:rsidRPr="002E0B22" w:rsidRDefault="004D17F1" w:rsidP="00421CED">
            <w:pPr>
              <w:pStyle w:val="-7"/>
              <w:spacing w:before="20"/>
              <w:rPr>
                <w:rtl/>
              </w:rPr>
            </w:pPr>
            <w:r>
              <w:rPr>
                <w:rFonts w:hint="cs"/>
                <w:rtl/>
              </w:rPr>
              <w:t xml:space="preserve"> </w:t>
            </w:r>
            <w:r w:rsidR="00B2225A">
              <w:rPr>
                <w:rFonts w:hint="cs"/>
                <w:rtl/>
              </w:rPr>
              <w:t>0</w:t>
            </w:r>
          </w:p>
        </w:tc>
      </w:tr>
      <w:tr w:rsidR="00421CED" w:rsidRPr="002E0B22" w14:paraId="0D250824" w14:textId="77777777" w:rsidTr="00DC6BA9">
        <w:tc>
          <w:tcPr>
            <w:tcW w:w="1417" w:type="dxa"/>
            <w:tcBorders>
              <w:top w:val="nil"/>
              <w:left w:val="nil"/>
              <w:bottom w:val="nil"/>
              <w:right w:val="nil"/>
            </w:tcBorders>
          </w:tcPr>
          <w:p w14:paraId="05A0AD61" w14:textId="77777777" w:rsidR="00421CED" w:rsidRDefault="00421CED" w:rsidP="00421CED">
            <w:pPr>
              <w:pStyle w:val="-7"/>
              <w:spacing w:before="20"/>
              <w:rPr>
                <w:rtl/>
              </w:rPr>
            </w:pPr>
          </w:p>
        </w:tc>
        <w:tc>
          <w:tcPr>
            <w:tcW w:w="4536" w:type="dxa"/>
            <w:gridSpan w:val="2"/>
            <w:tcBorders>
              <w:top w:val="nil"/>
              <w:left w:val="nil"/>
              <w:bottom w:val="nil"/>
              <w:right w:val="nil"/>
            </w:tcBorders>
            <w:vAlign w:val="bottom"/>
          </w:tcPr>
          <w:p w14:paraId="00281ABD" w14:textId="77777777" w:rsidR="00421CED" w:rsidRDefault="00421CED" w:rsidP="00421CED">
            <w:pPr>
              <w:pStyle w:val="-0"/>
              <w:spacing w:before="20"/>
              <w:rPr>
                <w:rtl/>
              </w:rPr>
            </w:pPr>
            <w:r w:rsidRPr="002E0B22">
              <w:rPr>
                <w:rtl/>
              </w:rPr>
              <w:t>הפסד (רווח) ממימוש השקעה בחברות מוחזקות</w:t>
            </w:r>
          </w:p>
        </w:tc>
        <w:tc>
          <w:tcPr>
            <w:tcW w:w="709" w:type="dxa"/>
            <w:gridSpan w:val="2"/>
            <w:tcBorders>
              <w:top w:val="nil"/>
              <w:left w:val="nil"/>
              <w:bottom w:val="nil"/>
              <w:right w:val="nil"/>
            </w:tcBorders>
            <w:vAlign w:val="bottom"/>
          </w:tcPr>
          <w:p w14:paraId="1D96767D" w14:textId="77777777" w:rsidR="00421CED" w:rsidRDefault="00421CED" w:rsidP="00421CED">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304C6B3C" w14:textId="77777777" w:rsidR="00421CED" w:rsidRDefault="00421CED" w:rsidP="00421CED">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7EBAAC24" w14:textId="77777777" w:rsidR="00421CED" w:rsidRDefault="00421CED" w:rsidP="00421CED">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5A6AEEFE" w14:textId="77777777" w:rsidR="00421CED" w:rsidRDefault="00421CED" w:rsidP="00421CED">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535F614F" w14:textId="77777777" w:rsidR="00421CED" w:rsidRDefault="00421CED" w:rsidP="00421CED">
            <w:pPr>
              <w:pStyle w:val="-7"/>
              <w:spacing w:before="20"/>
              <w:rPr>
                <w:rtl/>
              </w:rPr>
            </w:pPr>
            <w:r w:rsidRPr="002E0B22">
              <w:rPr>
                <w:rFonts w:hint="cs"/>
                <w:rtl/>
              </w:rPr>
              <w:t xml:space="preserve"> 0</w:t>
            </w:r>
          </w:p>
        </w:tc>
      </w:tr>
      <w:tr w:rsidR="00421CED" w:rsidRPr="002E0B22" w14:paraId="6E7D4271" w14:textId="77777777" w:rsidTr="00DC6BA9">
        <w:tc>
          <w:tcPr>
            <w:tcW w:w="1417" w:type="dxa"/>
            <w:tcBorders>
              <w:top w:val="nil"/>
              <w:left w:val="nil"/>
              <w:bottom w:val="nil"/>
              <w:right w:val="nil"/>
            </w:tcBorders>
          </w:tcPr>
          <w:p w14:paraId="60B60AE4" w14:textId="77777777" w:rsidR="00421CED" w:rsidRDefault="00421CED" w:rsidP="00421CED">
            <w:pPr>
              <w:pStyle w:val="-7"/>
              <w:spacing w:before="20"/>
              <w:rPr>
                <w:rtl/>
              </w:rPr>
            </w:pPr>
          </w:p>
        </w:tc>
        <w:tc>
          <w:tcPr>
            <w:tcW w:w="4536" w:type="dxa"/>
            <w:gridSpan w:val="2"/>
            <w:tcBorders>
              <w:top w:val="nil"/>
              <w:left w:val="nil"/>
              <w:bottom w:val="nil"/>
              <w:right w:val="nil"/>
            </w:tcBorders>
            <w:vAlign w:val="bottom"/>
          </w:tcPr>
          <w:p w14:paraId="42CCC769" w14:textId="77777777" w:rsidR="00421CED" w:rsidRDefault="00421CED" w:rsidP="00421CED">
            <w:pPr>
              <w:pStyle w:val="-0"/>
              <w:spacing w:before="20"/>
              <w:rPr>
                <w:rtl/>
              </w:rPr>
            </w:pPr>
            <w:r w:rsidRPr="002E0B22">
              <w:rPr>
                <w:rtl/>
              </w:rPr>
              <w:t>הפסד (רווח) ממימוש בניינים וציוד</w:t>
            </w:r>
          </w:p>
        </w:tc>
        <w:tc>
          <w:tcPr>
            <w:tcW w:w="709" w:type="dxa"/>
            <w:gridSpan w:val="2"/>
            <w:tcBorders>
              <w:top w:val="nil"/>
              <w:left w:val="nil"/>
              <w:bottom w:val="nil"/>
              <w:right w:val="nil"/>
            </w:tcBorders>
            <w:vAlign w:val="bottom"/>
          </w:tcPr>
          <w:p w14:paraId="450AE747" w14:textId="77777777" w:rsidR="00421CED" w:rsidRDefault="00421CED" w:rsidP="00421CED">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4E576A5B" w14:textId="77777777" w:rsidR="00421CED" w:rsidRDefault="00421CED" w:rsidP="00421CED">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0A97FD8D" w14:textId="77777777" w:rsidR="00421CED" w:rsidRDefault="00421CED" w:rsidP="00421CED">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03E6D18F" w14:textId="77777777" w:rsidR="00421CED" w:rsidRDefault="00421CED" w:rsidP="00421CED">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49020B6D" w14:textId="77777777" w:rsidR="00421CED" w:rsidRDefault="00421CED" w:rsidP="00421CED">
            <w:pPr>
              <w:pStyle w:val="-7"/>
              <w:spacing w:before="20"/>
              <w:rPr>
                <w:rtl/>
              </w:rPr>
            </w:pPr>
            <w:r w:rsidRPr="002E0B22">
              <w:rPr>
                <w:rFonts w:hint="cs"/>
                <w:rtl/>
              </w:rPr>
              <w:t xml:space="preserve"> 0</w:t>
            </w:r>
          </w:p>
        </w:tc>
      </w:tr>
      <w:tr w:rsidR="00421CED" w:rsidRPr="002E0B22" w14:paraId="22DBE50A" w14:textId="77777777" w:rsidTr="00DC6BA9">
        <w:tc>
          <w:tcPr>
            <w:tcW w:w="1417" w:type="dxa"/>
            <w:tcBorders>
              <w:top w:val="nil"/>
              <w:left w:val="nil"/>
              <w:bottom w:val="nil"/>
              <w:right w:val="nil"/>
            </w:tcBorders>
          </w:tcPr>
          <w:p w14:paraId="566ACDD4" w14:textId="77777777" w:rsidR="00421CED" w:rsidRDefault="00421CED" w:rsidP="00421CED">
            <w:pPr>
              <w:pStyle w:val="-7"/>
              <w:spacing w:before="20"/>
              <w:rPr>
                <w:rtl/>
              </w:rPr>
            </w:pPr>
          </w:p>
        </w:tc>
        <w:tc>
          <w:tcPr>
            <w:tcW w:w="4536" w:type="dxa"/>
            <w:gridSpan w:val="2"/>
            <w:tcBorders>
              <w:top w:val="nil"/>
              <w:left w:val="nil"/>
              <w:bottom w:val="nil"/>
              <w:right w:val="nil"/>
            </w:tcBorders>
            <w:vAlign w:val="bottom"/>
          </w:tcPr>
          <w:p w14:paraId="5A6723B1" w14:textId="77777777" w:rsidR="00421CED" w:rsidRDefault="00421CED" w:rsidP="00421CED">
            <w:pPr>
              <w:pStyle w:val="-0"/>
              <w:spacing w:before="20"/>
              <w:rPr>
                <w:rtl/>
              </w:rPr>
            </w:pPr>
            <w:r w:rsidRPr="002E0B22">
              <w:rPr>
                <w:rFonts w:hint="cs"/>
                <w:rtl/>
              </w:rPr>
              <w:t>ירידת ערך של נכסים המוחזקים</w:t>
            </w:r>
            <w:r w:rsidRPr="002E0B22">
              <w:rPr>
                <w:rtl/>
              </w:rPr>
              <w:t xml:space="preserve"> למכירה</w:t>
            </w:r>
          </w:p>
        </w:tc>
        <w:tc>
          <w:tcPr>
            <w:tcW w:w="709" w:type="dxa"/>
            <w:gridSpan w:val="2"/>
            <w:tcBorders>
              <w:top w:val="nil"/>
              <w:left w:val="nil"/>
              <w:bottom w:val="nil"/>
              <w:right w:val="nil"/>
            </w:tcBorders>
            <w:vAlign w:val="bottom"/>
          </w:tcPr>
          <w:p w14:paraId="41D129CC" w14:textId="77777777" w:rsidR="00421CED" w:rsidRDefault="00421CED" w:rsidP="00421CED">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103D518D" w14:textId="77777777" w:rsidR="00421CED" w:rsidRDefault="00421CED" w:rsidP="00421CED">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1B6E4AEB" w14:textId="77777777" w:rsidR="00421CED" w:rsidRDefault="00421CED" w:rsidP="00421CED">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713CD1CA" w14:textId="77777777" w:rsidR="00421CED" w:rsidRDefault="00421CED" w:rsidP="00421CED">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454929F8" w14:textId="77777777" w:rsidR="00421CED" w:rsidRDefault="00421CED" w:rsidP="00421CED">
            <w:pPr>
              <w:pStyle w:val="-7"/>
              <w:spacing w:before="20"/>
              <w:rPr>
                <w:rtl/>
              </w:rPr>
            </w:pPr>
            <w:r w:rsidRPr="002E0B22">
              <w:rPr>
                <w:rFonts w:hint="cs"/>
                <w:rtl/>
              </w:rPr>
              <w:t xml:space="preserve"> 0</w:t>
            </w:r>
          </w:p>
        </w:tc>
      </w:tr>
      <w:tr w:rsidR="00421CED" w:rsidRPr="002E0B22" w14:paraId="601D1D1D" w14:textId="77777777" w:rsidTr="00DC6BA9">
        <w:tc>
          <w:tcPr>
            <w:tcW w:w="1417" w:type="dxa"/>
            <w:tcBorders>
              <w:top w:val="nil"/>
              <w:left w:val="nil"/>
              <w:bottom w:val="nil"/>
              <w:right w:val="nil"/>
            </w:tcBorders>
          </w:tcPr>
          <w:p w14:paraId="68EE7138" w14:textId="77777777" w:rsidR="00421CED" w:rsidRDefault="00421CED" w:rsidP="00421CED">
            <w:pPr>
              <w:pStyle w:val="-7"/>
              <w:spacing w:before="20"/>
              <w:rPr>
                <w:rtl/>
              </w:rPr>
            </w:pPr>
          </w:p>
        </w:tc>
        <w:tc>
          <w:tcPr>
            <w:tcW w:w="4536" w:type="dxa"/>
            <w:gridSpan w:val="2"/>
            <w:tcBorders>
              <w:top w:val="nil"/>
              <w:left w:val="nil"/>
              <w:bottom w:val="nil"/>
              <w:right w:val="nil"/>
            </w:tcBorders>
            <w:vAlign w:val="bottom"/>
          </w:tcPr>
          <w:p w14:paraId="1E7A6137" w14:textId="77777777" w:rsidR="00421CED" w:rsidRDefault="00421CED" w:rsidP="00421CED">
            <w:pPr>
              <w:pStyle w:val="-21"/>
              <w:spacing w:before="20"/>
              <w:rPr>
                <w:rtl/>
              </w:rPr>
            </w:pPr>
            <w:r w:rsidRPr="002E0B22">
              <w:rPr>
                <w:rFonts w:hint="cs"/>
                <w:rtl/>
              </w:rPr>
              <w:t>הוצאות הנובעות מעסקאות תשלום מבוסס מניות</w:t>
            </w:r>
          </w:p>
        </w:tc>
        <w:tc>
          <w:tcPr>
            <w:tcW w:w="709" w:type="dxa"/>
            <w:gridSpan w:val="2"/>
            <w:tcBorders>
              <w:top w:val="nil"/>
              <w:left w:val="nil"/>
              <w:bottom w:val="nil"/>
              <w:right w:val="nil"/>
            </w:tcBorders>
            <w:vAlign w:val="bottom"/>
          </w:tcPr>
          <w:p w14:paraId="57F035B9" w14:textId="77777777" w:rsidR="00421CED" w:rsidRDefault="00421CED" w:rsidP="00421CED">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3549E3A2" w14:textId="77777777" w:rsidR="00421CED" w:rsidRDefault="00421CED" w:rsidP="00421CED">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6EAE8721" w14:textId="77777777" w:rsidR="00421CED" w:rsidRDefault="00421CED" w:rsidP="00421CED">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3882EF8E" w14:textId="77777777" w:rsidR="00421CED" w:rsidRDefault="00421CED" w:rsidP="00421CED">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122CEA17" w14:textId="77777777" w:rsidR="00421CED" w:rsidRDefault="00421CED" w:rsidP="00421CED">
            <w:pPr>
              <w:pStyle w:val="-7"/>
              <w:spacing w:before="20"/>
              <w:rPr>
                <w:rtl/>
              </w:rPr>
            </w:pPr>
            <w:r w:rsidRPr="002E0B22">
              <w:rPr>
                <w:rFonts w:hint="cs"/>
                <w:rtl/>
              </w:rPr>
              <w:t xml:space="preserve"> 0</w:t>
            </w:r>
          </w:p>
        </w:tc>
      </w:tr>
      <w:tr w:rsidR="00421CED" w:rsidRPr="002E0B22" w14:paraId="706E7620" w14:textId="77777777" w:rsidTr="00DC6BA9">
        <w:tc>
          <w:tcPr>
            <w:tcW w:w="1417" w:type="dxa"/>
            <w:tcBorders>
              <w:top w:val="nil"/>
              <w:left w:val="nil"/>
              <w:bottom w:val="nil"/>
              <w:right w:val="nil"/>
            </w:tcBorders>
          </w:tcPr>
          <w:p w14:paraId="57F2DA8B" w14:textId="77777777" w:rsidR="00421CED" w:rsidRDefault="00421CED" w:rsidP="00421CED">
            <w:pPr>
              <w:pStyle w:val="-7"/>
              <w:spacing w:before="20"/>
              <w:rPr>
                <w:rtl/>
              </w:rPr>
            </w:pPr>
          </w:p>
        </w:tc>
        <w:tc>
          <w:tcPr>
            <w:tcW w:w="4536" w:type="dxa"/>
            <w:gridSpan w:val="2"/>
            <w:tcBorders>
              <w:top w:val="nil"/>
              <w:left w:val="nil"/>
              <w:bottom w:val="nil"/>
              <w:right w:val="nil"/>
            </w:tcBorders>
            <w:vAlign w:val="bottom"/>
          </w:tcPr>
          <w:p w14:paraId="1AB6EDC0" w14:textId="640B4705" w:rsidR="00421CED" w:rsidRDefault="00421CED" w:rsidP="00421CED">
            <w:pPr>
              <w:pStyle w:val="-0"/>
              <w:spacing w:before="20"/>
              <w:rPr>
                <w:rtl/>
              </w:rPr>
            </w:pPr>
            <w:r w:rsidRPr="002E0B22">
              <w:rPr>
                <w:rtl/>
              </w:rPr>
              <w:t>מסים נדחים, נטו</w:t>
            </w:r>
          </w:p>
        </w:tc>
        <w:tc>
          <w:tcPr>
            <w:tcW w:w="709" w:type="dxa"/>
            <w:gridSpan w:val="2"/>
            <w:tcBorders>
              <w:top w:val="nil"/>
              <w:left w:val="nil"/>
              <w:bottom w:val="nil"/>
              <w:right w:val="nil"/>
            </w:tcBorders>
            <w:vAlign w:val="bottom"/>
          </w:tcPr>
          <w:p w14:paraId="76CB9DC3" w14:textId="77777777" w:rsidR="00421CED" w:rsidRDefault="00421CED" w:rsidP="00421CED">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7C7038D3" w14:textId="77777777" w:rsidR="00421CED" w:rsidRDefault="00421CED" w:rsidP="00421CED">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7840E192" w14:textId="77777777" w:rsidR="00421CED" w:rsidRDefault="00421CED" w:rsidP="00421CED">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6C1AA608" w14:textId="77777777" w:rsidR="00421CED" w:rsidRDefault="00421CED" w:rsidP="00421CED">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556074D2" w14:textId="77777777" w:rsidR="00421CED" w:rsidRDefault="00421CED" w:rsidP="00421CED">
            <w:pPr>
              <w:pStyle w:val="-7"/>
              <w:spacing w:before="20"/>
              <w:rPr>
                <w:rtl/>
              </w:rPr>
            </w:pPr>
            <w:r w:rsidRPr="002E0B22">
              <w:rPr>
                <w:rFonts w:hint="cs"/>
                <w:rtl/>
              </w:rPr>
              <w:t xml:space="preserve"> 0</w:t>
            </w:r>
          </w:p>
        </w:tc>
      </w:tr>
      <w:tr w:rsidR="00421CED" w:rsidRPr="002E0B22" w14:paraId="6B131639" w14:textId="77777777" w:rsidTr="00DC6BA9">
        <w:tc>
          <w:tcPr>
            <w:tcW w:w="1417" w:type="dxa"/>
            <w:tcBorders>
              <w:top w:val="nil"/>
              <w:left w:val="nil"/>
              <w:bottom w:val="nil"/>
              <w:right w:val="nil"/>
            </w:tcBorders>
          </w:tcPr>
          <w:p w14:paraId="58B6A1A9" w14:textId="77777777" w:rsidR="00421CED" w:rsidRDefault="00421CED" w:rsidP="00421CED">
            <w:pPr>
              <w:pStyle w:val="-7"/>
              <w:spacing w:before="20"/>
              <w:rPr>
                <w:rtl/>
              </w:rPr>
            </w:pPr>
          </w:p>
        </w:tc>
        <w:tc>
          <w:tcPr>
            <w:tcW w:w="4536" w:type="dxa"/>
            <w:gridSpan w:val="2"/>
            <w:tcBorders>
              <w:top w:val="nil"/>
              <w:left w:val="nil"/>
              <w:bottom w:val="nil"/>
              <w:right w:val="nil"/>
            </w:tcBorders>
            <w:vAlign w:val="bottom"/>
          </w:tcPr>
          <w:p w14:paraId="7164A9EE" w14:textId="77777777" w:rsidR="00421CED" w:rsidRPr="00EA192D" w:rsidRDefault="002F1323" w:rsidP="00421CED">
            <w:pPr>
              <w:pStyle w:val="-21"/>
              <w:spacing w:before="20"/>
              <w:rPr>
                <w:color w:val="auto"/>
                <w:rtl/>
              </w:rPr>
            </w:pPr>
            <w:r>
              <w:rPr>
                <w:rFonts w:hint="cs"/>
                <w:color w:val="auto"/>
                <w:rtl/>
              </w:rPr>
              <w:t>שינוי בהתחייבויות נטו בגין זכויות עובדים</w:t>
            </w:r>
          </w:p>
        </w:tc>
        <w:tc>
          <w:tcPr>
            <w:tcW w:w="709" w:type="dxa"/>
            <w:gridSpan w:val="2"/>
            <w:tcBorders>
              <w:top w:val="nil"/>
              <w:left w:val="nil"/>
              <w:bottom w:val="nil"/>
              <w:right w:val="nil"/>
            </w:tcBorders>
            <w:vAlign w:val="bottom"/>
          </w:tcPr>
          <w:p w14:paraId="3DD811FD" w14:textId="77777777" w:rsidR="00421CED" w:rsidRDefault="00421CED" w:rsidP="00421CED">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2536DA93" w14:textId="77777777" w:rsidR="00421CED" w:rsidRDefault="00421CED" w:rsidP="00421CED">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446BEDB4" w14:textId="77777777" w:rsidR="00421CED" w:rsidRDefault="00421CED" w:rsidP="00421CED">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7B8AE3FC" w14:textId="77777777" w:rsidR="00421CED" w:rsidRDefault="00421CED" w:rsidP="00421CED">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1A593355" w14:textId="77777777" w:rsidR="00421CED" w:rsidRDefault="00421CED" w:rsidP="00421CED">
            <w:pPr>
              <w:pStyle w:val="-7"/>
              <w:spacing w:before="20"/>
              <w:rPr>
                <w:rtl/>
              </w:rPr>
            </w:pPr>
            <w:r w:rsidRPr="002E0B22">
              <w:rPr>
                <w:rFonts w:hint="cs"/>
                <w:rtl/>
              </w:rPr>
              <w:t xml:space="preserve"> 0</w:t>
            </w:r>
          </w:p>
        </w:tc>
      </w:tr>
      <w:tr w:rsidR="00421CED" w:rsidRPr="002E0B22" w14:paraId="74FB71AB" w14:textId="77777777" w:rsidTr="00DC6BA9">
        <w:tc>
          <w:tcPr>
            <w:tcW w:w="1417" w:type="dxa"/>
            <w:tcBorders>
              <w:top w:val="nil"/>
              <w:left w:val="nil"/>
              <w:bottom w:val="nil"/>
              <w:right w:val="nil"/>
            </w:tcBorders>
          </w:tcPr>
          <w:p w14:paraId="56487A72" w14:textId="77777777" w:rsidR="00421CED" w:rsidRDefault="00421CED" w:rsidP="00421CED">
            <w:pPr>
              <w:pStyle w:val="-7"/>
              <w:spacing w:before="20"/>
              <w:rPr>
                <w:rtl/>
              </w:rPr>
            </w:pPr>
          </w:p>
        </w:tc>
        <w:tc>
          <w:tcPr>
            <w:tcW w:w="4536" w:type="dxa"/>
            <w:gridSpan w:val="2"/>
            <w:tcBorders>
              <w:top w:val="nil"/>
              <w:left w:val="nil"/>
              <w:bottom w:val="nil"/>
              <w:right w:val="nil"/>
            </w:tcBorders>
            <w:vAlign w:val="bottom"/>
          </w:tcPr>
          <w:p w14:paraId="358E5D6D" w14:textId="77777777" w:rsidR="00421CED" w:rsidRPr="002F1323" w:rsidRDefault="00421CED" w:rsidP="00421CED">
            <w:pPr>
              <w:pStyle w:val="-0"/>
              <w:spacing w:before="20"/>
              <w:rPr>
                <w:highlight w:val="yellow"/>
                <w:rtl/>
              </w:rPr>
            </w:pPr>
            <w:r w:rsidRPr="00EA192D">
              <w:rPr>
                <w:rFonts w:hint="cs"/>
                <w:rtl/>
              </w:rPr>
              <w:t xml:space="preserve">אחר </w:t>
            </w:r>
            <w:r w:rsidRPr="00523FC2">
              <w:rPr>
                <w:rFonts w:hint="cs"/>
                <w:rtl/>
              </w:rPr>
              <w:t>[פרט אם מהותי]</w:t>
            </w:r>
          </w:p>
        </w:tc>
        <w:tc>
          <w:tcPr>
            <w:tcW w:w="709" w:type="dxa"/>
            <w:gridSpan w:val="2"/>
            <w:tcBorders>
              <w:top w:val="nil"/>
              <w:left w:val="nil"/>
              <w:bottom w:val="nil"/>
              <w:right w:val="nil"/>
            </w:tcBorders>
            <w:vAlign w:val="bottom"/>
          </w:tcPr>
          <w:p w14:paraId="31A2FBA9" w14:textId="77777777" w:rsidR="00421CED" w:rsidRDefault="00421CED" w:rsidP="00421CED">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549D4CCC" w14:textId="77777777" w:rsidR="00421CED" w:rsidRDefault="00421CED" w:rsidP="00421CED">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3198161C" w14:textId="77777777" w:rsidR="00421CED" w:rsidRDefault="00421CED" w:rsidP="00421CED">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32950E82" w14:textId="77777777" w:rsidR="00421CED" w:rsidRDefault="00421CED" w:rsidP="00421CED">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1B5A5F01" w14:textId="77777777" w:rsidR="00421CED" w:rsidRDefault="00421CED" w:rsidP="00421CED">
            <w:pPr>
              <w:pStyle w:val="-7"/>
              <w:spacing w:before="20"/>
              <w:rPr>
                <w:rtl/>
              </w:rPr>
            </w:pPr>
            <w:r w:rsidRPr="002E0B22">
              <w:rPr>
                <w:rFonts w:hint="cs"/>
                <w:rtl/>
              </w:rPr>
              <w:t xml:space="preserve"> 0</w:t>
            </w:r>
          </w:p>
        </w:tc>
      </w:tr>
      <w:tr w:rsidR="00DE5E9A" w:rsidRPr="002E0B22" w14:paraId="2A1D4140" w14:textId="77777777" w:rsidTr="00DC6BA9">
        <w:tc>
          <w:tcPr>
            <w:tcW w:w="1417" w:type="dxa"/>
            <w:tcBorders>
              <w:top w:val="nil"/>
              <w:left w:val="nil"/>
              <w:bottom w:val="nil"/>
              <w:right w:val="nil"/>
            </w:tcBorders>
          </w:tcPr>
          <w:p w14:paraId="6D4491D3" w14:textId="77777777" w:rsidR="00DE5E9A" w:rsidRDefault="00DE5E9A" w:rsidP="00DE5E9A">
            <w:pPr>
              <w:pStyle w:val="-7"/>
              <w:spacing w:before="20"/>
              <w:rPr>
                <w:rtl/>
              </w:rPr>
            </w:pPr>
          </w:p>
        </w:tc>
        <w:tc>
          <w:tcPr>
            <w:tcW w:w="4536" w:type="dxa"/>
            <w:gridSpan w:val="2"/>
            <w:tcBorders>
              <w:top w:val="nil"/>
              <w:left w:val="nil"/>
              <w:bottom w:val="nil"/>
              <w:right w:val="nil"/>
            </w:tcBorders>
            <w:vAlign w:val="bottom"/>
          </w:tcPr>
          <w:p w14:paraId="7A9B2A49" w14:textId="4E7E02AE" w:rsidR="00DE5E9A" w:rsidRDefault="00DE5E9A" w:rsidP="00776AD5">
            <w:pPr>
              <w:pStyle w:val="-0"/>
              <w:spacing w:before="20"/>
              <w:rPr>
                <w:rtl/>
              </w:rPr>
            </w:pPr>
            <w:r w:rsidRPr="00DA195F">
              <w:rPr>
                <w:rFonts w:hint="cs"/>
                <w:spacing w:val="-8"/>
                <w:rtl/>
              </w:rPr>
              <w:t>דיבידנדים שהתקבלו מחברות כלולות</w:t>
            </w:r>
            <w:r>
              <w:rPr>
                <w:rFonts w:hint="cs"/>
                <w:rtl/>
              </w:rPr>
              <w:t xml:space="preserve"> </w:t>
            </w:r>
            <w:r>
              <w:rPr>
                <w:rFonts w:hint="cs"/>
                <w:spacing w:val="-8"/>
                <w:rtl/>
              </w:rPr>
              <w:t xml:space="preserve">המטופלות לפי </w:t>
            </w:r>
            <w:r w:rsidRPr="00DA195F">
              <w:rPr>
                <w:rFonts w:hint="cs"/>
                <w:spacing w:val="-8"/>
                <w:rtl/>
              </w:rPr>
              <w:t>שיטת השווי</w:t>
            </w:r>
            <w:r>
              <w:rPr>
                <w:rFonts w:hint="cs"/>
                <w:spacing w:val="-8"/>
                <w:rtl/>
              </w:rPr>
              <w:t xml:space="preserve"> המאזני </w:t>
            </w:r>
          </w:p>
        </w:tc>
        <w:tc>
          <w:tcPr>
            <w:tcW w:w="709" w:type="dxa"/>
            <w:gridSpan w:val="2"/>
            <w:tcBorders>
              <w:top w:val="nil"/>
              <w:left w:val="nil"/>
              <w:bottom w:val="nil"/>
              <w:right w:val="nil"/>
            </w:tcBorders>
            <w:vAlign w:val="bottom"/>
          </w:tcPr>
          <w:p w14:paraId="2DB21C3F" w14:textId="77777777" w:rsidR="00DE5E9A" w:rsidRPr="002E0B22" w:rsidRDefault="00E605B4" w:rsidP="00DE5E9A">
            <w:pPr>
              <w:pStyle w:val="-7"/>
              <w:spacing w:before="20"/>
              <w:rPr>
                <w:rtl/>
              </w:rPr>
            </w:pPr>
            <w:r>
              <w:rPr>
                <w:rFonts w:hint="cs"/>
                <w:rtl/>
              </w:rPr>
              <w:t xml:space="preserve"> 0</w:t>
            </w:r>
          </w:p>
        </w:tc>
        <w:tc>
          <w:tcPr>
            <w:tcW w:w="779" w:type="dxa"/>
            <w:gridSpan w:val="2"/>
            <w:tcBorders>
              <w:top w:val="nil"/>
              <w:left w:val="nil"/>
              <w:bottom w:val="nil"/>
              <w:right w:val="nil"/>
            </w:tcBorders>
            <w:vAlign w:val="bottom"/>
          </w:tcPr>
          <w:p w14:paraId="24F25BC1" w14:textId="77777777" w:rsidR="00DE5E9A" w:rsidRPr="002E0B22" w:rsidRDefault="00E605B4" w:rsidP="00DE5E9A">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00B6BDCE" w14:textId="77777777" w:rsidR="00DE5E9A" w:rsidRPr="002E0B22" w:rsidRDefault="00E605B4" w:rsidP="00DE5E9A">
            <w:pPr>
              <w:pStyle w:val="-7"/>
              <w:spacing w:before="20"/>
              <w:rPr>
                <w:rtl/>
              </w:rPr>
            </w:pPr>
            <w:r>
              <w:rPr>
                <w:rFonts w:hint="cs"/>
                <w:rtl/>
              </w:rPr>
              <w:t xml:space="preserve"> 0</w:t>
            </w:r>
          </w:p>
        </w:tc>
        <w:tc>
          <w:tcPr>
            <w:tcW w:w="840" w:type="dxa"/>
            <w:gridSpan w:val="2"/>
            <w:tcBorders>
              <w:top w:val="nil"/>
              <w:left w:val="nil"/>
              <w:bottom w:val="nil"/>
              <w:right w:val="nil"/>
            </w:tcBorders>
            <w:vAlign w:val="bottom"/>
          </w:tcPr>
          <w:p w14:paraId="7D9C2E45" w14:textId="77777777" w:rsidR="00DE5E9A" w:rsidRPr="002E0B22" w:rsidRDefault="00E605B4" w:rsidP="00DE5E9A">
            <w:pPr>
              <w:pStyle w:val="-7"/>
              <w:spacing w:before="20"/>
              <w:rPr>
                <w:rtl/>
              </w:rPr>
            </w:pPr>
            <w:r>
              <w:rPr>
                <w:rFonts w:hint="cs"/>
                <w:rtl/>
              </w:rPr>
              <w:t xml:space="preserve"> 0</w:t>
            </w:r>
          </w:p>
        </w:tc>
        <w:tc>
          <w:tcPr>
            <w:tcW w:w="1396" w:type="dxa"/>
            <w:gridSpan w:val="2"/>
            <w:tcBorders>
              <w:top w:val="nil"/>
              <w:left w:val="nil"/>
              <w:bottom w:val="nil"/>
              <w:right w:val="nil"/>
            </w:tcBorders>
            <w:vAlign w:val="bottom"/>
          </w:tcPr>
          <w:p w14:paraId="6BA8143C" w14:textId="77777777" w:rsidR="00DE5E9A" w:rsidRPr="002E0B22" w:rsidRDefault="00E605B4" w:rsidP="00DE5E9A">
            <w:pPr>
              <w:pStyle w:val="-7"/>
              <w:spacing w:before="20"/>
              <w:rPr>
                <w:rtl/>
              </w:rPr>
            </w:pPr>
            <w:r>
              <w:rPr>
                <w:rFonts w:hint="cs"/>
                <w:rtl/>
              </w:rPr>
              <w:t xml:space="preserve"> 0</w:t>
            </w:r>
          </w:p>
        </w:tc>
      </w:tr>
      <w:tr w:rsidR="00DE5E9A" w:rsidRPr="002E0B22" w14:paraId="6A30D0BC" w14:textId="77777777" w:rsidTr="00DC6BA9">
        <w:tc>
          <w:tcPr>
            <w:tcW w:w="1417" w:type="dxa"/>
            <w:tcBorders>
              <w:top w:val="nil"/>
              <w:left w:val="nil"/>
              <w:bottom w:val="nil"/>
              <w:right w:val="nil"/>
            </w:tcBorders>
          </w:tcPr>
          <w:p w14:paraId="3F5D0D0A" w14:textId="77777777" w:rsidR="00DE5E9A" w:rsidRDefault="00DE5E9A" w:rsidP="00DE5E9A">
            <w:pPr>
              <w:pStyle w:val="-7"/>
              <w:bidi w:val="0"/>
              <w:spacing w:line="60" w:lineRule="exact"/>
              <w:rPr>
                <w:rtl/>
              </w:rPr>
            </w:pPr>
          </w:p>
        </w:tc>
        <w:tc>
          <w:tcPr>
            <w:tcW w:w="4536" w:type="dxa"/>
            <w:gridSpan w:val="2"/>
            <w:tcBorders>
              <w:top w:val="nil"/>
              <w:left w:val="nil"/>
              <w:bottom w:val="nil"/>
              <w:right w:val="nil"/>
            </w:tcBorders>
            <w:vAlign w:val="bottom"/>
          </w:tcPr>
          <w:p w14:paraId="6FCA1BD6" w14:textId="77777777" w:rsidR="00DE5E9A" w:rsidRDefault="00DE5E9A" w:rsidP="00DE5E9A">
            <w:pPr>
              <w:pStyle w:val="-7"/>
              <w:bidi w:val="0"/>
              <w:spacing w:line="60" w:lineRule="exact"/>
              <w:rPr>
                <w:sz w:val="18"/>
                <w:szCs w:val="18"/>
                <w:rtl/>
              </w:rPr>
            </w:pPr>
          </w:p>
        </w:tc>
        <w:tc>
          <w:tcPr>
            <w:tcW w:w="709" w:type="dxa"/>
            <w:gridSpan w:val="2"/>
            <w:tcBorders>
              <w:top w:val="nil"/>
              <w:left w:val="nil"/>
              <w:bottom w:val="nil"/>
              <w:right w:val="nil"/>
            </w:tcBorders>
            <w:vAlign w:val="bottom"/>
          </w:tcPr>
          <w:p w14:paraId="379ACD77" w14:textId="77777777" w:rsidR="00DE5E9A" w:rsidRDefault="00DE5E9A" w:rsidP="00DE5E9A">
            <w:pPr>
              <w:pStyle w:val="-7"/>
              <w:bidi w:val="0"/>
              <w:spacing w:line="60" w:lineRule="exact"/>
              <w:rPr>
                <w:rtl/>
              </w:rPr>
            </w:pPr>
          </w:p>
        </w:tc>
        <w:tc>
          <w:tcPr>
            <w:tcW w:w="779" w:type="dxa"/>
            <w:gridSpan w:val="2"/>
            <w:tcBorders>
              <w:top w:val="nil"/>
              <w:left w:val="nil"/>
              <w:bottom w:val="nil"/>
              <w:right w:val="nil"/>
            </w:tcBorders>
            <w:vAlign w:val="bottom"/>
          </w:tcPr>
          <w:p w14:paraId="48C91749" w14:textId="77777777" w:rsidR="00DE5E9A" w:rsidRDefault="00DE5E9A" w:rsidP="00DE5E9A">
            <w:pPr>
              <w:pStyle w:val="-7"/>
              <w:bidi w:val="0"/>
              <w:spacing w:line="60" w:lineRule="exact"/>
              <w:rPr>
                <w:rtl/>
              </w:rPr>
            </w:pPr>
          </w:p>
        </w:tc>
        <w:tc>
          <w:tcPr>
            <w:tcW w:w="841" w:type="dxa"/>
            <w:gridSpan w:val="2"/>
            <w:tcBorders>
              <w:top w:val="nil"/>
              <w:left w:val="nil"/>
              <w:bottom w:val="nil"/>
              <w:right w:val="nil"/>
            </w:tcBorders>
            <w:vAlign w:val="bottom"/>
          </w:tcPr>
          <w:p w14:paraId="658F292E" w14:textId="77777777" w:rsidR="00DE5E9A" w:rsidRDefault="00DE5E9A" w:rsidP="00DE5E9A">
            <w:pPr>
              <w:pStyle w:val="-7"/>
              <w:bidi w:val="0"/>
              <w:spacing w:line="60" w:lineRule="exact"/>
              <w:rPr>
                <w:rtl/>
              </w:rPr>
            </w:pPr>
          </w:p>
        </w:tc>
        <w:tc>
          <w:tcPr>
            <w:tcW w:w="840" w:type="dxa"/>
            <w:gridSpan w:val="2"/>
            <w:tcBorders>
              <w:top w:val="nil"/>
              <w:left w:val="nil"/>
              <w:bottom w:val="nil"/>
              <w:right w:val="nil"/>
            </w:tcBorders>
            <w:vAlign w:val="bottom"/>
          </w:tcPr>
          <w:p w14:paraId="402BA580" w14:textId="77777777" w:rsidR="00DE5E9A" w:rsidRDefault="00DE5E9A" w:rsidP="00DE5E9A">
            <w:pPr>
              <w:pStyle w:val="-7"/>
              <w:bidi w:val="0"/>
              <w:spacing w:line="60" w:lineRule="exact"/>
              <w:rPr>
                <w:rtl/>
              </w:rPr>
            </w:pPr>
          </w:p>
        </w:tc>
        <w:tc>
          <w:tcPr>
            <w:tcW w:w="1396" w:type="dxa"/>
            <w:gridSpan w:val="2"/>
            <w:tcBorders>
              <w:top w:val="nil"/>
              <w:left w:val="nil"/>
              <w:bottom w:val="nil"/>
              <w:right w:val="nil"/>
            </w:tcBorders>
            <w:vAlign w:val="bottom"/>
          </w:tcPr>
          <w:p w14:paraId="6578E688" w14:textId="77777777" w:rsidR="00DE5E9A" w:rsidRDefault="00DE5E9A" w:rsidP="00DE5E9A">
            <w:pPr>
              <w:pStyle w:val="-7"/>
              <w:bidi w:val="0"/>
              <w:spacing w:line="60" w:lineRule="exact"/>
              <w:rPr>
                <w:rtl/>
              </w:rPr>
            </w:pPr>
          </w:p>
        </w:tc>
      </w:tr>
      <w:tr w:rsidR="00DE5E9A" w:rsidRPr="002E0B22" w14:paraId="4523437A" w14:textId="77777777" w:rsidTr="00DC6BA9">
        <w:tc>
          <w:tcPr>
            <w:tcW w:w="1417" w:type="dxa"/>
            <w:tcBorders>
              <w:top w:val="nil"/>
              <w:left w:val="nil"/>
              <w:bottom w:val="nil"/>
              <w:right w:val="nil"/>
            </w:tcBorders>
          </w:tcPr>
          <w:p w14:paraId="6DC4BAA0" w14:textId="77777777" w:rsidR="00DE5E9A" w:rsidRDefault="00DE5E9A" w:rsidP="00DE5E9A">
            <w:pPr>
              <w:pStyle w:val="-7"/>
              <w:spacing w:before="20"/>
              <w:rPr>
                <w:rtl/>
              </w:rPr>
            </w:pPr>
          </w:p>
        </w:tc>
        <w:tc>
          <w:tcPr>
            <w:tcW w:w="4536" w:type="dxa"/>
            <w:gridSpan w:val="2"/>
            <w:tcBorders>
              <w:top w:val="nil"/>
              <w:left w:val="nil"/>
              <w:bottom w:val="nil"/>
              <w:right w:val="nil"/>
            </w:tcBorders>
            <w:vAlign w:val="bottom"/>
          </w:tcPr>
          <w:p w14:paraId="2F386F68" w14:textId="5FA87721" w:rsidR="00DE5E9A" w:rsidRDefault="00DE5E9A" w:rsidP="00DE5E9A">
            <w:pPr>
              <w:pStyle w:val="-b"/>
              <w:spacing w:before="20"/>
              <w:rPr>
                <w:rtl/>
              </w:rPr>
            </w:pPr>
            <w:r w:rsidRPr="002E0B22">
              <w:rPr>
                <w:rFonts w:hint="cs"/>
                <w:rtl/>
              </w:rPr>
              <w:t>שינוי נטו בנכסים שוטפים:</w:t>
            </w:r>
          </w:p>
        </w:tc>
        <w:tc>
          <w:tcPr>
            <w:tcW w:w="709" w:type="dxa"/>
            <w:gridSpan w:val="2"/>
            <w:tcBorders>
              <w:top w:val="nil"/>
              <w:left w:val="nil"/>
              <w:bottom w:val="nil"/>
              <w:right w:val="nil"/>
            </w:tcBorders>
            <w:vAlign w:val="bottom"/>
          </w:tcPr>
          <w:p w14:paraId="2316B62F" w14:textId="77777777" w:rsidR="00DE5E9A" w:rsidRDefault="00DE5E9A" w:rsidP="00DE5E9A">
            <w:pPr>
              <w:pStyle w:val="-7"/>
              <w:spacing w:before="20"/>
              <w:rPr>
                <w:rtl/>
              </w:rPr>
            </w:pPr>
          </w:p>
        </w:tc>
        <w:tc>
          <w:tcPr>
            <w:tcW w:w="779" w:type="dxa"/>
            <w:gridSpan w:val="2"/>
            <w:tcBorders>
              <w:top w:val="nil"/>
              <w:left w:val="nil"/>
              <w:bottom w:val="nil"/>
              <w:right w:val="nil"/>
            </w:tcBorders>
            <w:vAlign w:val="bottom"/>
          </w:tcPr>
          <w:p w14:paraId="3957F4E7" w14:textId="77777777" w:rsidR="00DE5E9A" w:rsidRDefault="00DE5E9A" w:rsidP="00DE5E9A">
            <w:pPr>
              <w:pStyle w:val="-7"/>
              <w:spacing w:before="20"/>
              <w:rPr>
                <w:rtl/>
              </w:rPr>
            </w:pPr>
          </w:p>
        </w:tc>
        <w:tc>
          <w:tcPr>
            <w:tcW w:w="841" w:type="dxa"/>
            <w:gridSpan w:val="2"/>
            <w:tcBorders>
              <w:top w:val="nil"/>
              <w:left w:val="nil"/>
              <w:bottom w:val="nil"/>
              <w:right w:val="nil"/>
            </w:tcBorders>
            <w:vAlign w:val="bottom"/>
          </w:tcPr>
          <w:p w14:paraId="7E5B14DC" w14:textId="77777777" w:rsidR="00DE5E9A" w:rsidRDefault="00DE5E9A" w:rsidP="00DE5E9A">
            <w:pPr>
              <w:pStyle w:val="-7"/>
              <w:spacing w:before="20"/>
              <w:rPr>
                <w:rtl/>
              </w:rPr>
            </w:pPr>
          </w:p>
        </w:tc>
        <w:tc>
          <w:tcPr>
            <w:tcW w:w="840" w:type="dxa"/>
            <w:gridSpan w:val="2"/>
            <w:tcBorders>
              <w:top w:val="nil"/>
              <w:left w:val="nil"/>
              <w:bottom w:val="nil"/>
              <w:right w:val="nil"/>
            </w:tcBorders>
            <w:vAlign w:val="bottom"/>
          </w:tcPr>
          <w:p w14:paraId="073C3F0D" w14:textId="77777777" w:rsidR="00DE5E9A" w:rsidRDefault="00DE5E9A" w:rsidP="00DE5E9A">
            <w:pPr>
              <w:pStyle w:val="-7"/>
              <w:spacing w:before="20"/>
              <w:rPr>
                <w:rtl/>
              </w:rPr>
            </w:pPr>
          </w:p>
        </w:tc>
        <w:tc>
          <w:tcPr>
            <w:tcW w:w="1396" w:type="dxa"/>
            <w:gridSpan w:val="2"/>
            <w:tcBorders>
              <w:top w:val="nil"/>
              <w:left w:val="nil"/>
              <w:bottom w:val="nil"/>
              <w:right w:val="nil"/>
            </w:tcBorders>
            <w:vAlign w:val="bottom"/>
          </w:tcPr>
          <w:p w14:paraId="2D4B8468" w14:textId="77777777" w:rsidR="00DE5E9A" w:rsidRDefault="00DE5E9A" w:rsidP="00DE5E9A">
            <w:pPr>
              <w:pStyle w:val="-7"/>
              <w:spacing w:before="20"/>
              <w:rPr>
                <w:rtl/>
              </w:rPr>
            </w:pPr>
          </w:p>
        </w:tc>
      </w:tr>
      <w:tr w:rsidR="00DE5E9A" w:rsidRPr="002E0B22" w14:paraId="54F47C27" w14:textId="77777777" w:rsidTr="00DC6BA9">
        <w:tc>
          <w:tcPr>
            <w:tcW w:w="1417" w:type="dxa"/>
            <w:tcBorders>
              <w:top w:val="nil"/>
              <w:left w:val="nil"/>
              <w:bottom w:val="nil"/>
              <w:right w:val="nil"/>
            </w:tcBorders>
          </w:tcPr>
          <w:p w14:paraId="74E073E9" w14:textId="77777777" w:rsidR="00DE5E9A" w:rsidRDefault="00DE5E9A" w:rsidP="00DE5E9A">
            <w:pPr>
              <w:pStyle w:val="-7"/>
              <w:spacing w:before="20"/>
              <w:rPr>
                <w:rtl/>
              </w:rPr>
            </w:pPr>
          </w:p>
        </w:tc>
        <w:tc>
          <w:tcPr>
            <w:tcW w:w="4536" w:type="dxa"/>
            <w:gridSpan w:val="2"/>
            <w:tcBorders>
              <w:top w:val="nil"/>
              <w:left w:val="nil"/>
              <w:bottom w:val="nil"/>
              <w:right w:val="nil"/>
            </w:tcBorders>
            <w:vAlign w:val="bottom"/>
          </w:tcPr>
          <w:p w14:paraId="61CBB49E" w14:textId="3D3062C4" w:rsidR="00DE5E9A" w:rsidRDefault="00DE5E9A" w:rsidP="00DE5E9A">
            <w:pPr>
              <w:pStyle w:val="-0"/>
              <w:spacing w:before="20"/>
              <w:rPr>
                <w:rtl/>
              </w:rPr>
            </w:pPr>
            <w:r w:rsidRPr="002E0B22">
              <w:rPr>
                <w:rFonts w:hint="cs"/>
                <w:rtl/>
              </w:rPr>
              <w:t>נכסים בגין מכשירים נגזרים</w:t>
            </w:r>
          </w:p>
        </w:tc>
        <w:tc>
          <w:tcPr>
            <w:tcW w:w="709" w:type="dxa"/>
            <w:gridSpan w:val="2"/>
            <w:tcBorders>
              <w:top w:val="nil"/>
              <w:left w:val="nil"/>
              <w:bottom w:val="nil"/>
              <w:right w:val="nil"/>
            </w:tcBorders>
            <w:vAlign w:val="bottom"/>
          </w:tcPr>
          <w:p w14:paraId="5EDCFEB8" w14:textId="77777777" w:rsidR="00DE5E9A" w:rsidRDefault="00DE5E9A" w:rsidP="00DE5E9A">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5F24B335" w14:textId="77777777" w:rsidR="00DE5E9A" w:rsidRDefault="00DE5E9A" w:rsidP="00DE5E9A">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1DFBD458" w14:textId="77777777" w:rsidR="00DE5E9A" w:rsidRDefault="00DE5E9A" w:rsidP="00DE5E9A">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610DF082" w14:textId="77777777" w:rsidR="00DE5E9A" w:rsidRDefault="00DE5E9A" w:rsidP="00DE5E9A">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6ED0A26F" w14:textId="77777777" w:rsidR="00DE5E9A" w:rsidRDefault="00DE5E9A" w:rsidP="00DE5E9A">
            <w:pPr>
              <w:pStyle w:val="-7"/>
              <w:spacing w:before="20"/>
              <w:rPr>
                <w:rtl/>
              </w:rPr>
            </w:pPr>
            <w:r w:rsidRPr="002E0B22">
              <w:rPr>
                <w:rFonts w:hint="cs"/>
                <w:rtl/>
              </w:rPr>
              <w:t xml:space="preserve"> 0</w:t>
            </w:r>
          </w:p>
        </w:tc>
      </w:tr>
      <w:tr w:rsidR="00DE5E9A" w:rsidRPr="002E0B22" w14:paraId="6BBDB1B3" w14:textId="77777777" w:rsidTr="00DC6BA9">
        <w:tc>
          <w:tcPr>
            <w:tcW w:w="1417" w:type="dxa"/>
            <w:tcBorders>
              <w:top w:val="nil"/>
              <w:left w:val="nil"/>
              <w:bottom w:val="nil"/>
              <w:right w:val="nil"/>
            </w:tcBorders>
          </w:tcPr>
          <w:p w14:paraId="424BB983" w14:textId="77777777" w:rsidR="00DE5E9A" w:rsidRDefault="00DE5E9A" w:rsidP="00DE5E9A">
            <w:pPr>
              <w:pStyle w:val="-7"/>
              <w:spacing w:before="20"/>
              <w:rPr>
                <w:rtl/>
              </w:rPr>
            </w:pPr>
          </w:p>
        </w:tc>
        <w:tc>
          <w:tcPr>
            <w:tcW w:w="4536" w:type="dxa"/>
            <w:gridSpan w:val="2"/>
            <w:tcBorders>
              <w:top w:val="nil"/>
              <w:left w:val="nil"/>
              <w:bottom w:val="nil"/>
              <w:right w:val="nil"/>
            </w:tcBorders>
            <w:vAlign w:val="bottom"/>
          </w:tcPr>
          <w:p w14:paraId="6E18AC28" w14:textId="77777777" w:rsidR="00DE5E9A" w:rsidRDefault="00DE5E9A" w:rsidP="00DE5E9A">
            <w:pPr>
              <w:pStyle w:val="-0"/>
              <w:spacing w:before="20"/>
              <w:rPr>
                <w:rtl/>
              </w:rPr>
            </w:pPr>
            <w:r w:rsidRPr="002E0B22">
              <w:rPr>
                <w:rFonts w:hint="cs"/>
                <w:rtl/>
              </w:rPr>
              <w:t>ניירות ערך למסחר</w:t>
            </w:r>
          </w:p>
        </w:tc>
        <w:tc>
          <w:tcPr>
            <w:tcW w:w="709" w:type="dxa"/>
            <w:gridSpan w:val="2"/>
            <w:tcBorders>
              <w:top w:val="nil"/>
              <w:left w:val="nil"/>
              <w:bottom w:val="nil"/>
              <w:right w:val="nil"/>
            </w:tcBorders>
            <w:vAlign w:val="bottom"/>
          </w:tcPr>
          <w:p w14:paraId="43916501" w14:textId="77777777" w:rsidR="00DE5E9A" w:rsidRDefault="00DE5E9A" w:rsidP="00DE5E9A">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3BDCB58C" w14:textId="77777777" w:rsidR="00DE5E9A" w:rsidRDefault="00DE5E9A" w:rsidP="00DE5E9A">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1D2DA210" w14:textId="77777777" w:rsidR="00DE5E9A" w:rsidRDefault="00DE5E9A" w:rsidP="00DE5E9A">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7AAF105B" w14:textId="77777777" w:rsidR="00DE5E9A" w:rsidRDefault="00DE5E9A" w:rsidP="00DE5E9A">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29137D61" w14:textId="77777777" w:rsidR="00DE5E9A" w:rsidRDefault="00DE5E9A" w:rsidP="00DE5E9A">
            <w:pPr>
              <w:pStyle w:val="-7"/>
              <w:spacing w:before="20"/>
              <w:rPr>
                <w:rtl/>
              </w:rPr>
            </w:pPr>
            <w:r w:rsidRPr="002E0B22">
              <w:rPr>
                <w:rFonts w:hint="cs"/>
                <w:rtl/>
              </w:rPr>
              <w:t xml:space="preserve"> 0</w:t>
            </w:r>
          </w:p>
        </w:tc>
      </w:tr>
      <w:tr w:rsidR="00DE5E9A" w:rsidRPr="002E0B22" w14:paraId="29FA847A" w14:textId="77777777" w:rsidTr="00DC6BA9">
        <w:tc>
          <w:tcPr>
            <w:tcW w:w="1417" w:type="dxa"/>
            <w:tcBorders>
              <w:top w:val="nil"/>
              <w:left w:val="nil"/>
              <w:bottom w:val="nil"/>
              <w:right w:val="nil"/>
            </w:tcBorders>
          </w:tcPr>
          <w:p w14:paraId="67571A75" w14:textId="77777777" w:rsidR="00DE5E9A" w:rsidRDefault="00DE5E9A" w:rsidP="00DE5E9A">
            <w:pPr>
              <w:pStyle w:val="-7"/>
              <w:spacing w:before="20"/>
              <w:rPr>
                <w:rtl/>
              </w:rPr>
            </w:pPr>
          </w:p>
        </w:tc>
        <w:tc>
          <w:tcPr>
            <w:tcW w:w="4536" w:type="dxa"/>
            <w:gridSpan w:val="2"/>
            <w:tcBorders>
              <w:top w:val="nil"/>
              <w:left w:val="nil"/>
              <w:bottom w:val="nil"/>
              <w:right w:val="nil"/>
            </w:tcBorders>
            <w:vAlign w:val="bottom"/>
          </w:tcPr>
          <w:p w14:paraId="139EF337" w14:textId="77777777" w:rsidR="00DE5E9A" w:rsidRDefault="00DE5E9A" w:rsidP="00DE5E9A">
            <w:pPr>
              <w:pStyle w:val="-0"/>
              <w:spacing w:before="20"/>
              <w:rPr>
                <w:rtl/>
              </w:rPr>
            </w:pPr>
            <w:r w:rsidRPr="002E0B22">
              <w:rPr>
                <w:rFonts w:hint="cs"/>
                <w:rtl/>
              </w:rPr>
              <w:t>נכסים אחרים</w:t>
            </w:r>
          </w:p>
        </w:tc>
        <w:tc>
          <w:tcPr>
            <w:tcW w:w="709" w:type="dxa"/>
            <w:gridSpan w:val="2"/>
            <w:tcBorders>
              <w:top w:val="nil"/>
              <w:left w:val="nil"/>
              <w:bottom w:val="nil"/>
              <w:right w:val="nil"/>
            </w:tcBorders>
            <w:vAlign w:val="bottom"/>
          </w:tcPr>
          <w:p w14:paraId="53E5505C" w14:textId="77777777" w:rsidR="00DE5E9A" w:rsidRDefault="00DE5E9A" w:rsidP="00DE5E9A">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1F48A8EC" w14:textId="77777777" w:rsidR="00DE5E9A" w:rsidRDefault="00DE5E9A" w:rsidP="00DE5E9A">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418534DC" w14:textId="77777777" w:rsidR="00DE5E9A" w:rsidRDefault="00DE5E9A" w:rsidP="00DE5E9A">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2E49AE92" w14:textId="77777777" w:rsidR="00DE5E9A" w:rsidRDefault="00DE5E9A" w:rsidP="00DE5E9A">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5BBAD7ED" w14:textId="77777777" w:rsidR="00DE5E9A" w:rsidRDefault="00DE5E9A" w:rsidP="00DE5E9A">
            <w:pPr>
              <w:pStyle w:val="-7"/>
              <w:spacing w:before="20"/>
              <w:rPr>
                <w:rtl/>
              </w:rPr>
            </w:pPr>
            <w:r w:rsidRPr="002E0B22">
              <w:rPr>
                <w:rFonts w:hint="cs"/>
                <w:rtl/>
              </w:rPr>
              <w:t xml:space="preserve"> 0</w:t>
            </w:r>
          </w:p>
        </w:tc>
      </w:tr>
      <w:tr w:rsidR="00DE5E9A" w:rsidRPr="002E0B22" w14:paraId="7B2F3EF6" w14:textId="77777777" w:rsidTr="00DC6BA9">
        <w:tc>
          <w:tcPr>
            <w:tcW w:w="1417" w:type="dxa"/>
            <w:tcBorders>
              <w:top w:val="nil"/>
              <w:left w:val="nil"/>
              <w:bottom w:val="nil"/>
              <w:right w:val="nil"/>
            </w:tcBorders>
          </w:tcPr>
          <w:p w14:paraId="0AB90CF2" w14:textId="77777777" w:rsidR="00DE5E9A" w:rsidRDefault="00DE5E9A" w:rsidP="00DE5E9A">
            <w:pPr>
              <w:pStyle w:val="-7"/>
              <w:bidi w:val="0"/>
              <w:spacing w:line="60" w:lineRule="exact"/>
              <w:rPr>
                <w:rtl/>
              </w:rPr>
            </w:pPr>
          </w:p>
        </w:tc>
        <w:tc>
          <w:tcPr>
            <w:tcW w:w="4536" w:type="dxa"/>
            <w:gridSpan w:val="2"/>
            <w:tcBorders>
              <w:top w:val="nil"/>
              <w:left w:val="nil"/>
              <w:bottom w:val="nil"/>
              <w:right w:val="nil"/>
            </w:tcBorders>
            <w:vAlign w:val="bottom"/>
          </w:tcPr>
          <w:p w14:paraId="78326478" w14:textId="77777777" w:rsidR="00DE5E9A" w:rsidRDefault="00DE5E9A" w:rsidP="00DE5E9A">
            <w:pPr>
              <w:pStyle w:val="-7"/>
              <w:bidi w:val="0"/>
              <w:spacing w:line="60" w:lineRule="exact"/>
              <w:rPr>
                <w:sz w:val="18"/>
                <w:szCs w:val="18"/>
                <w:rtl/>
              </w:rPr>
            </w:pPr>
          </w:p>
        </w:tc>
        <w:tc>
          <w:tcPr>
            <w:tcW w:w="709" w:type="dxa"/>
            <w:gridSpan w:val="2"/>
            <w:tcBorders>
              <w:top w:val="nil"/>
              <w:left w:val="nil"/>
              <w:bottom w:val="nil"/>
              <w:right w:val="nil"/>
            </w:tcBorders>
            <w:vAlign w:val="bottom"/>
          </w:tcPr>
          <w:p w14:paraId="40455784" w14:textId="77777777" w:rsidR="00DE5E9A" w:rsidRDefault="00DE5E9A" w:rsidP="00DE5E9A">
            <w:pPr>
              <w:pStyle w:val="-7"/>
              <w:bidi w:val="0"/>
              <w:spacing w:line="60" w:lineRule="exact"/>
              <w:rPr>
                <w:rtl/>
              </w:rPr>
            </w:pPr>
          </w:p>
        </w:tc>
        <w:tc>
          <w:tcPr>
            <w:tcW w:w="779" w:type="dxa"/>
            <w:gridSpan w:val="2"/>
            <w:tcBorders>
              <w:top w:val="nil"/>
              <w:left w:val="nil"/>
              <w:bottom w:val="nil"/>
              <w:right w:val="nil"/>
            </w:tcBorders>
            <w:vAlign w:val="bottom"/>
          </w:tcPr>
          <w:p w14:paraId="3F3B299C" w14:textId="77777777" w:rsidR="00DE5E9A" w:rsidRDefault="00DE5E9A" w:rsidP="00DE5E9A">
            <w:pPr>
              <w:pStyle w:val="-7"/>
              <w:bidi w:val="0"/>
              <w:spacing w:line="60" w:lineRule="exact"/>
              <w:rPr>
                <w:rtl/>
              </w:rPr>
            </w:pPr>
          </w:p>
        </w:tc>
        <w:tc>
          <w:tcPr>
            <w:tcW w:w="841" w:type="dxa"/>
            <w:gridSpan w:val="2"/>
            <w:tcBorders>
              <w:top w:val="nil"/>
              <w:left w:val="nil"/>
              <w:bottom w:val="nil"/>
              <w:right w:val="nil"/>
            </w:tcBorders>
            <w:vAlign w:val="bottom"/>
          </w:tcPr>
          <w:p w14:paraId="5BB82A86" w14:textId="77777777" w:rsidR="00DE5E9A" w:rsidRDefault="00DE5E9A" w:rsidP="00DE5E9A">
            <w:pPr>
              <w:pStyle w:val="-7"/>
              <w:bidi w:val="0"/>
              <w:spacing w:line="60" w:lineRule="exact"/>
              <w:rPr>
                <w:rtl/>
              </w:rPr>
            </w:pPr>
          </w:p>
        </w:tc>
        <w:tc>
          <w:tcPr>
            <w:tcW w:w="840" w:type="dxa"/>
            <w:gridSpan w:val="2"/>
            <w:tcBorders>
              <w:top w:val="nil"/>
              <w:left w:val="nil"/>
              <w:bottom w:val="nil"/>
              <w:right w:val="nil"/>
            </w:tcBorders>
            <w:vAlign w:val="bottom"/>
          </w:tcPr>
          <w:p w14:paraId="43444340" w14:textId="77777777" w:rsidR="00DE5E9A" w:rsidRDefault="00DE5E9A" w:rsidP="00DE5E9A">
            <w:pPr>
              <w:pStyle w:val="-7"/>
              <w:bidi w:val="0"/>
              <w:spacing w:line="60" w:lineRule="exact"/>
              <w:rPr>
                <w:rtl/>
              </w:rPr>
            </w:pPr>
          </w:p>
        </w:tc>
        <w:tc>
          <w:tcPr>
            <w:tcW w:w="1396" w:type="dxa"/>
            <w:gridSpan w:val="2"/>
            <w:tcBorders>
              <w:top w:val="nil"/>
              <w:left w:val="nil"/>
              <w:bottom w:val="nil"/>
              <w:right w:val="nil"/>
            </w:tcBorders>
            <w:vAlign w:val="bottom"/>
          </w:tcPr>
          <w:p w14:paraId="2CD4CFA9" w14:textId="77777777" w:rsidR="00DE5E9A" w:rsidRDefault="00DE5E9A" w:rsidP="00DE5E9A">
            <w:pPr>
              <w:pStyle w:val="-7"/>
              <w:bidi w:val="0"/>
              <w:spacing w:line="60" w:lineRule="exact"/>
              <w:rPr>
                <w:rtl/>
              </w:rPr>
            </w:pPr>
          </w:p>
        </w:tc>
      </w:tr>
      <w:tr w:rsidR="00DE5E9A" w:rsidRPr="002E0B22" w14:paraId="4DEFDC3B" w14:textId="77777777" w:rsidTr="00DC6BA9">
        <w:tc>
          <w:tcPr>
            <w:tcW w:w="1417" w:type="dxa"/>
            <w:tcBorders>
              <w:top w:val="nil"/>
              <w:left w:val="nil"/>
              <w:bottom w:val="nil"/>
              <w:right w:val="nil"/>
            </w:tcBorders>
          </w:tcPr>
          <w:p w14:paraId="5E8F68E3" w14:textId="77777777" w:rsidR="00DE5E9A" w:rsidRDefault="00DE5E9A" w:rsidP="00DE5E9A">
            <w:pPr>
              <w:pStyle w:val="-7"/>
              <w:spacing w:before="20"/>
              <w:rPr>
                <w:rtl/>
              </w:rPr>
            </w:pPr>
          </w:p>
        </w:tc>
        <w:tc>
          <w:tcPr>
            <w:tcW w:w="4536" w:type="dxa"/>
            <w:gridSpan w:val="2"/>
            <w:tcBorders>
              <w:top w:val="nil"/>
              <w:left w:val="nil"/>
              <w:bottom w:val="nil"/>
              <w:right w:val="nil"/>
            </w:tcBorders>
            <w:vAlign w:val="bottom"/>
          </w:tcPr>
          <w:p w14:paraId="3EB7C0AE" w14:textId="77777777" w:rsidR="00DE5E9A" w:rsidRDefault="00DE5E9A" w:rsidP="00DE5E9A">
            <w:pPr>
              <w:pStyle w:val="-b"/>
              <w:spacing w:before="20"/>
              <w:rPr>
                <w:rtl/>
              </w:rPr>
            </w:pPr>
            <w:r w:rsidRPr="002E0B22">
              <w:rPr>
                <w:rFonts w:hint="cs"/>
                <w:rtl/>
              </w:rPr>
              <w:t>שינוי נטו בהתחייבויות שוטפות:</w:t>
            </w:r>
          </w:p>
        </w:tc>
        <w:tc>
          <w:tcPr>
            <w:tcW w:w="709" w:type="dxa"/>
            <w:gridSpan w:val="2"/>
            <w:tcBorders>
              <w:top w:val="nil"/>
              <w:left w:val="nil"/>
              <w:bottom w:val="nil"/>
              <w:right w:val="nil"/>
            </w:tcBorders>
            <w:vAlign w:val="bottom"/>
          </w:tcPr>
          <w:p w14:paraId="2A67A27D" w14:textId="77777777" w:rsidR="00DE5E9A" w:rsidRDefault="00DE5E9A" w:rsidP="00DE5E9A">
            <w:pPr>
              <w:pStyle w:val="-7"/>
              <w:spacing w:before="20"/>
              <w:rPr>
                <w:rtl/>
              </w:rPr>
            </w:pPr>
          </w:p>
        </w:tc>
        <w:tc>
          <w:tcPr>
            <w:tcW w:w="779" w:type="dxa"/>
            <w:gridSpan w:val="2"/>
            <w:tcBorders>
              <w:top w:val="nil"/>
              <w:left w:val="nil"/>
              <w:bottom w:val="nil"/>
              <w:right w:val="nil"/>
            </w:tcBorders>
            <w:vAlign w:val="bottom"/>
          </w:tcPr>
          <w:p w14:paraId="64D14FA1" w14:textId="77777777" w:rsidR="00DE5E9A" w:rsidRDefault="00DE5E9A" w:rsidP="00DE5E9A">
            <w:pPr>
              <w:pStyle w:val="-7"/>
              <w:spacing w:before="20"/>
              <w:rPr>
                <w:rtl/>
              </w:rPr>
            </w:pPr>
          </w:p>
        </w:tc>
        <w:tc>
          <w:tcPr>
            <w:tcW w:w="841" w:type="dxa"/>
            <w:gridSpan w:val="2"/>
            <w:tcBorders>
              <w:top w:val="nil"/>
              <w:left w:val="nil"/>
              <w:bottom w:val="nil"/>
              <w:right w:val="nil"/>
            </w:tcBorders>
            <w:vAlign w:val="bottom"/>
          </w:tcPr>
          <w:p w14:paraId="4CE8B27F" w14:textId="77777777" w:rsidR="00DE5E9A" w:rsidRDefault="00DE5E9A" w:rsidP="00DE5E9A">
            <w:pPr>
              <w:pStyle w:val="-7"/>
              <w:spacing w:before="20"/>
              <w:rPr>
                <w:rtl/>
              </w:rPr>
            </w:pPr>
          </w:p>
        </w:tc>
        <w:tc>
          <w:tcPr>
            <w:tcW w:w="840" w:type="dxa"/>
            <w:gridSpan w:val="2"/>
            <w:tcBorders>
              <w:top w:val="nil"/>
              <w:left w:val="nil"/>
              <w:bottom w:val="nil"/>
              <w:right w:val="nil"/>
            </w:tcBorders>
            <w:vAlign w:val="bottom"/>
          </w:tcPr>
          <w:p w14:paraId="16149844" w14:textId="77777777" w:rsidR="00DE5E9A" w:rsidRDefault="00DE5E9A" w:rsidP="00DE5E9A">
            <w:pPr>
              <w:pStyle w:val="-7"/>
              <w:spacing w:before="20"/>
              <w:rPr>
                <w:rtl/>
              </w:rPr>
            </w:pPr>
          </w:p>
        </w:tc>
        <w:tc>
          <w:tcPr>
            <w:tcW w:w="1396" w:type="dxa"/>
            <w:gridSpan w:val="2"/>
            <w:tcBorders>
              <w:top w:val="nil"/>
              <w:left w:val="nil"/>
              <w:bottom w:val="nil"/>
              <w:right w:val="nil"/>
            </w:tcBorders>
            <w:vAlign w:val="bottom"/>
          </w:tcPr>
          <w:p w14:paraId="2F223249" w14:textId="77777777" w:rsidR="00DE5E9A" w:rsidRDefault="00DE5E9A" w:rsidP="00DE5E9A">
            <w:pPr>
              <w:pStyle w:val="-7"/>
              <w:spacing w:before="20"/>
              <w:rPr>
                <w:rtl/>
              </w:rPr>
            </w:pPr>
          </w:p>
        </w:tc>
      </w:tr>
      <w:tr w:rsidR="00DE5E9A" w:rsidRPr="002E0B22" w14:paraId="5B440762" w14:textId="77777777" w:rsidTr="00DC6BA9">
        <w:tc>
          <w:tcPr>
            <w:tcW w:w="1417" w:type="dxa"/>
            <w:tcBorders>
              <w:top w:val="nil"/>
              <w:left w:val="nil"/>
              <w:bottom w:val="nil"/>
              <w:right w:val="nil"/>
            </w:tcBorders>
          </w:tcPr>
          <w:p w14:paraId="05E0A8BE" w14:textId="77777777" w:rsidR="00DE5E9A" w:rsidRDefault="00DE5E9A" w:rsidP="00DE5E9A">
            <w:pPr>
              <w:pStyle w:val="-7"/>
              <w:spacing w:before="20"/>
              <w:rPr>
                <w:rtl/>
              </w:rPr>
            </w:pPr>
          </w:p>
        </w:tc>
        <w:tc>
          <w:tcPr>
            <w:tcW w:w="4536" w:type="dxa"/>
            <w:gridSpan w:val="2"/>
            <w:tcBorders>
              <w:top w:val="nil"/>
              <w:left w:val="nil"/>
              <w:bottom w:val="nil"/>
              <w:right w:val="nil"/>
            </w:tcBorders>
            <w:vAlign w:val="bottom"/>
          </w:tcPr>
          <w:p w14:paraId="16B62451" w14:textId="5AE76CAB" w:rsidR="00DE5E9A" w:rsidRDefault="00DE5E9A" w:rsidP="001F68BE">
            <w:pPr>
              <w:pStyle w:val="-0"/>
              <w:spacing w:before="20"/>
              <w:rPr>
                <w:rtl/>
              </w:rPr>
            </w:pPr>
            <w:r w:rsidRPr="002E0B22">
              <w:rPr>
                <w:rFonts w:hint="cs"/>
                <w:rtl/>
              </w:rPr>
              <w:t xml:space="preserve">התחייבויות בגין מכשירים </w:t>
            </w:r>
            <w:r w:rsidRPr="00AC1A00">
              <w:rPr>
                <w:rFonts w:hint="cs"/>
                <w:rtl/>
              </w:rPr>
              <w:t>נגזרים</w:t>
            </w:r>
          </w:p>
        </w:tc>
        <w:tc>
          <w:tcPr>
            <w:tcW w:w="709" w:type="dxa"/>
            <w:gridSpan w:val="2"/>
            <w:tcBorders>
              <w:top w:val="nil"/>
              <w:left w:val="nil"/>
              <w:bottom w:val="nil"/>
              <w:right w:val="nil"/>
            </w:tcBorders>
            <w:vAlign w:val="bottom"/>
          </w:tcPr>
          <w:p w14:paraId="649C001B" w14:textId="77777777" w:rsidR="00DE5E9A" w:rsidRDefault="00DE5E9A" w:rsidP="00DE5E9A">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4FBCECFD" w14:textId="77777777" w:rsidR="00DE5E9A" w:rsidRDefault="00DE5E9A" w:rsidP="00DE5E9A">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1DDC964E" w14:textId="77777777" w:rsidR="00DE5E9A" w:rsidRDefault="00DE5E9A" w:rsidP="00DE5E9A">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327EF37F" w14:textId="77777777" w:rsidR="00DE5E9A" w:rsidRDefault="00DE5E9A" w:rsidP="00DE5E9A">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4B501BB7" w14:textId="77777777" w:rsidR="00DE5E9A" w:rsidRDefault="00DE5E9A" w:rsidP="00DE5E9A">
            <w:pPr>
              <w:pStyle w:val="-7"/>
              <w:spacing w:before="20"/>
              <w:rPr>
                <w:rtl/>
              </w:rPr>
            </w:pPr>
            <w:r w:rsidRPr="002E0B22">
              <w:rPr>
                <w:rFonts w:hint="cs"/>
                <w:rtl/>
              </w:rPr>
              <w:t xml:space="preserve"> 0</w:t>
            </w:r>
          </w:p>
        </w:tc>
      </w:tr>
      <w:tr w:rsidR="00B2225A" w:rsidRPr="002E0B22" w14:paraId="69DC6699" w14:textId="77777777" w:rsidTr="00DC6BA9">
        <w:tc>
          <w:tcPr>
            <w:tcW w:w="1417" w:type="dxa"/>
            <w:tcBorders>
              <w:top w:val="nil"/>
              <w:left w:val="nil"/>
              <w:bottom w:val="nil"/>
              <w:right w:val="nil"/>
            </w:tcBorders>
          </w:tcPr>
          <w:p w14:paraId="5BDC1484" w14:textId="77777777" w:rsidR="00B2225A" w:rsidRDefault="00B2225A" w:rsidP="00B2225A">
            <w:pPr>
              <w:pStyle w:val="-7"/>
              <w:spacing w:before="20"/>
              <w:rPr>
                <w:rtl/>
              </w:rPr>
            </w:pPr>
          </w:p>
        </w:tc>
        <w:tc>
          <w:tcPr>
            <w:tcW w:w="4536" w:type="dxa"/>
            <w:gridSpan w:val="2"/>
            <w:tcBorders>
              <w:top w:val="nil"/>
              <w:left w:val="nil"/>
              <w:bottom w:val="nil"/>
              <w:right w:val="nil"/>
            </w:tcBorders>
            <w:vAlign w:val="bottom"/>
          </w:tcPr>
          <w:p w14:paraId="250BE498" w14:textId="77777777" w:rsidR="00B2225A" w:rsidRPr="002E0B22" w:rsidRDefault="00B2225A" w:rsidP="00B2225A">
            <w:pPr>
              <w:pStyle w:val="-0"/>
              <w:spacing w:before="20"/>
              <w:rPr>
                <w:rtl/>
              </w:rPr>
            </w:pPr>
            <w:r>
              <w:rPr>
                <w:rFonts w:hint="cs"/>
                <w:rtl/>
              </w:rPr>
              <w:t>הפרשי צבירה שנכללו בפעולות השקעה ומימון</w:t>
            </w:r>
          </w:p>
        </w:tc>
        <w:tc>
          <w:tcPr>
            <w:tcW w:w="709" w:type="dxa"/>
            <w:gridSpan w:val="2"/>
            <w:tcBorders>
              <w:top w:val="nil"/>
              <w:left w:val="nil"/>
              <w:bottom w:val="nil"/>
              <w:right w:val="nil"/>
            </w:tcBorders>
            <w:vAlign w:val="bottom"/>
          </w:tcPr>
          <w:p w14:paraId="544D707C" w14:textId="27074758" w:rsidR="00B2225A" w:rsidRPr="002E0B22" w:rsidRDefault="00B2225A" w:rsidP="00B2225A">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39E13A03" w14:textId="5D48BE54" w:rsidR="00B2225A" w:rsidRPr="002E0B22" w:rsidRDefault="00B2225A" w:rsidP="00B2225A">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107B4D53" w14:textId="4ABA81AB" w:rsidR="00B2225A" w:rsidRPr="002E0B22" w:rsidRDefault="00B2225A" w:rsidP="00B2225A">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65522086" w14:textId="700D5F33" w:rsidR="00B2225A" w:rsidRPr="002E0B22" w:rsidRDefault="00B2225A" w:rsidP="00B2225A">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1AB69770" w14:textId="4C0A1ED0" w:rsidR="00B2225A" w:rsidRPr="002E0B22" w:rsidRDefault="00B2225A" w:rsidP="00B2225A">
            <w:pPr>
              <w:pStyle w:val="-7"/>
              <w:spacing w:before="20"/>
              <w:rPr>
                <w:rtl/>
              </w:rPr>
            </w:pPr>
            <w:r w:rsidRPr="002E0B22">
              <w:rPr>
                <w:rFonts w:hint="cs"/>
                <w:rtl/>
              </w:rPr>
              <w:t xml:space="preserve"> 0</w:t>
            </w:r>
          </w:p>
        </w:tc>
      </w:tr>
      <w:tr w:rsidR="00B2225A" w:rsidRPr="002E0B22" w14:paraId="163B5685" w14:textId="77777777" w:rsidTr="00DC6BA9">
        <w:tc>
          <w:tcPr>
            <w:tcW w:w="1417" w:type="dxa"/>
            <w:tcBorders>
              <w:top w:val="nil"/>
              <w:left w:val="nil"/>
              <w:bottom w:val="nil"/>
              <w:right w:val="nil"/>
            </w:tcBorders>
          </w:tcPr>
          <w:p w14:paraId="4758DD4A" w14:textId="77777777" w:rsidR="00B2225A" w:rsidRDefault="00B2225A" w:rsidP="00B2225A">
            <w:pPr>
              <w:pStyle w:val="-7"/>
              <w:spacing w:before="20"/>
              <w:rPr>
                <w:rtl/>
              </w:rPr>
            </w:pPr>
          </w:p>
        </w:tc>
        <w:tc>
          <w:tcPr>
            <w:tcW w:w="4536" w:type="dxa"/>
            <w:gridSpan w:val="2"/>
            <w:tcBorders>
              <w:top w:val="nil"/>
              <w:left w:val="nil"/>
              <w:bottom w:val="nil"/>
              <w:right w:val="nil"/>
            </w:tcBorders>
            <w:vAlign w:val="bottom"/>
          </w:tcPr>
          <w:p w14:paraId="372E3454" w14:textId="77777777" w:rsidR="00B2225A" w:rsidRDefault="00B2225A" w:rsidP="00B2225A">
            <w:pPr>
              <w:pStyle w:val="-0"/>
              <w:spacing w:before="20"/>
              <w:rPr>
                <w:rtl/>
              </w:rPr>
            </w:pPr>
            <w:r>
              <w:rPr>
                <w:rFonts w:hint="cs"/>
                <w:rtl/>
              </w:rPr>
              <w:t>התחיבויות אחרות</w:t>
            </w:r>
          </w:p>
        </w:tc>
        <w:tc>
          <w:tcPr>
            <w:tcW w:w="709" w:type="dxa"/>
            <w:gridSpan w:val="2"/>
            <w:tcBorders>
              <w:top w:val="nil"/>
              <w:left w:val="nil"/>
              <w:bottom w:val="nil"/>
              <w:right w:val="nil"/>
            </w:tcBorders>
            <w:vAlign w:val="bottom"/>
          </w:tcPr>
          <w:p w14:paraId="029A4932" w14:textId="0FA04366" w:rsidR="00B2225A" w:rsidRPr="002E0B22" w:rsidRDefault="00B2225A" w:rsidP="00B2225A">
            <w:pPr>
              <w:pStyle w:val="-7"/>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73F6ABFF" w14:textId="12465F86" w:rsidR="00B2225A" w:rsidRPr="002E0B22" w:rsidRDefault="00B2225A" w:rsidP="00B2225A">
            <w:pPr>
              <w:pStyle w:val="-7"/>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5931559E" w14:textId="30CB4563" w:rsidR="00B2225A" w:rsidRPr="002E0B22" w:rsidRDefault="00B2225A" w:rsidP="00B2225A">
            <w:pPr>
              <w:pStyle w:val="-7"/>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54AE623E" w14:textId="0131B92A" w:rsidR="00B2225A" w:rsidRPr="002E0B22" w:rsidRDefault="00B2225A" w:rsidP="00B2225A">
            <w:pPr>
              <w:pStyle w:val="-7"/>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40FBC82E" w14:textId="6B993DB2" w:rsidR="00B2225A" w:rsidRPr="002E0B22" w:rsidRDefault="00B2225A" w:rsidP="00B2225A">
            <w:pPr>
              <w:pStyle w:val="-7"/>
              <w:spacing w:before="20"/>
              <w:rPr>
                <w:rtl/>
              </w:rPr>
            </w:pPr>
            <w:r w:rsidRPr="002E0B22">
              <w:rPr>
                <w:rFonts w:hint="cs"/>
                <w:rtl/>
              </w:rPr>
              <w:t xml:space="preserve"> 0</w:t>
            </w:r>
          </w:p>
        </w:tc>
      </w:tr>
      <w:tr w:rsidR="00DE5E9A" w:rsidRPr="002E0B22" w14:paraId="1AF9AF09" w14:textId="77777777" w:rsidTr="00DC6BA9">
        <w:tc>
          <w:tcPr>
            <w:tcW w:w="1417" w:type="dxa"/>
            <w:tcBorders>
              <w:top w:val="nil"/>
              <w:left w:val="nil"/>
              <w:bottom w:val="nil"/>
              <w:right w:val="nil"/>
            </w:tcBorders>
          </w:tcPr>
          <w:p w14:paraId="7D72DC91" w14:textId="77777777" w:rsidR="00DE5E9A" w:rsidRDefault="00DE5E9A" w:rsidP="00DE5E9A">
            <w:pPr>
              <w:pStyle w:val="-7"/>
              <w:spacing w:before="20"/>
              <w:rPr>
                <w:rtl/>
              </w:rPr>
            </w:pPr>
          </w:p>
        </w:tc>
        <w:tc>
          <w:tcPr>
            <w:tcW w:w="4536" w:type="dxa"/>
            <w:gridSpan w:val="2"/>
            <w:tcBorders>
              <w:top w:val="nil"/>
              <w:left w:val="nil"/>
              <w:bottom w:val="nil"/>
              <w:right w:val="nil"/>
            </w:tcBorders>
            <w:vAlign w:val="bottom"/>
          </w:tcPr>
          <w:p w14:paraId="3A84A5FB" w14:textId="77777777" w:rsidR="00DE5E9A" w:rsidRDefault="002F1323" w:rsidP="00DE5E9A">
            <w:pPr>
              <w:pStyle w:val="-0"/>
              <w:spacing w:before="20"/>
              <w:rPr>
                <w:rtl/>
              </w:rPr>
            </w:pPr>
            <w:r>
              <w:rPr>
                <w:rFonts w:hint="cs"/>
                <w:rtl/>
              </w:rPr>
              <w:t>אחר [פרט אם מהותי]</w:t>
            </w:r>
          </w:p>
        </w:tc>
        <w:tc>
          <w:tcPr>
            <w:tcW w:w="709" w:type="dxa"/>
            <w:gridSpan w:val="2"/>
            <w:tcBorders>
              <w:top w:val="nil"/>
              <w:left w:val="nil"/>
              <w:bottom w:val="nil"/>
              <w:right w:val="nil"/>
            </w:tcBorders>
            <w:vAlign w:val="bottom"/>
          </w:tcPr>
          <w:p w14:paraId="0DE0590A" w14:textId="77777777" w:rsidR="00DE5E9A" w:rsidRDefault="00DE5E9A" w:rsidP="00DE5E9A">
            <w:pPr>
              <w:pStyle w:val="-7"/>
              <w:pBdr>
                <w:bottom w:val="single" w:sz="4" w:space="1" w:color="auto"/>
              </w:pBdr>
              <w:spacing w:before="20"/>
              <w:rPr>
                <w:rtl/>
              </w:rPr>
            </w:pPr>
            <w:r w:rsidRPr="002E0B22">
              <w:rPr>
                <w:rFonts w:hint="cs"/>
                <w:rtl/>
              </w:rPr>
              <w:t xml:space="preserve"> 0</w:t>
            </w:r>
          </w:p>
        </w:tc>
        <w:tc>
          <w:tcPr>
            <w:tcW w:w="779" w:type="dxa"/>
            <w:gridSpan w:val="2"/>
            <w:tcBorders>
              <w:top w:val="nil"/>
              <w:left w:val="nil"/>
              <w:bottom w:val="nil"/>
              <w:right w:val="nil"/>
            </w:tcBorders>
            <w:vAlign w:val="bottom"/>
          </w:tcPr>
          <w:p w14:paraId="72C499B7" w14:textId="77777777" w:rsidR="00DE5E9A" w:rsidRDefault="00DE5E9A" w:rsidP="00DE5E9A">
            <w:pPr>
              <w:pStyle w:val="-7"/>
              <w:pBdr>
                <w:bottom w:val="single" w:sz="4" w:space="1" w:color="auto"/>
              </w:pBdr>
              <w:spacing w:before="20"/>
              <w:rPr>
                <w:rtl/>
              </w:rPr>
            </w:pPr>
            <w:r w:rsidRPr="002E0B22">
              <w:rPr>
                <w:rFonts w:hint="cs"/>
                <w:rtl/>
              </w:rPr>
              <w:t xml:space="preserve"> 0</w:t>
            </w:r>
          </w:p>
        </w:tc>
        <w:tc>
          <w:tcPr>
            <w:tcW w:w="841" w:type="dxa"/>
            <w:gridSpan w:val="2"/>
            <w:tcBorders>
              <w:top w:val="nil"/>
              <w:left w:val="nil"/>
              <w:bottom w:val="nil"/>
              <w:right w:val="nil"/>
            </w:tcBorders>
            <w:vAlign w:val="bottom"/>
          </w:tcPr>
          <w:p w14:paraId="7B49ED73" w14:textId="77777777" w:rsidR="00DE5E9A" w:rsidRDefault="00DE5E9A" w:rsidP="00DE5E9A">
            <w:pPr>
              <w:pStyle w:val="-7"/>
              <w:pBdr>
                <w:bottom w:val="single" w:sz="4" w:space="1" w:color="auto"/>
              </w:pBdr>
              <w:spacing w:before="20"/>
              <w:rPr>
                <w:rtl/>
              </w:rPr>
            </w:pPr>
            <w:r w:rsidRPr="002E0B22">
              <w:rPr>
                <w:rFonts w:hint="cs"/>
                <w:rtl/>
              </w:rPr>
              <w:t xml:space="preserve"> 0</w:t>
            </w:r>
          </w:p>
        </w:tc>
        <w:tc>
          <w:tcPr>
            <w:tcW w:w="840" w:type="dxa"/>
            <w:gridSpan w:val="2"/>
            <w:tcBorders>
              <w:top w:val="nil"/>
              <w:left w:val="nil"/>
              <w:bottom w:val="nil"/>
              <w:right w:val="nil"/>
            </w:tcBorders>
            <w:vAlign w:val="bottom"/>
          </w:tcPr>
          <w:p w14:paraId="5E274B3D" w14:textId="77777777" w:rsidR="00DE5E9A" w:rsidRDefault="00DE5E9A" w:rsidP="00DE5E9A">
            <w:pPr>
              <w:pStyle w:val="-7"/>
              <w:pBdr>
                <w:bottom w:val="single" w:sz="4" w:space="1" w:color="auto"/>
              </w:pBdr>
              <w:spacing w:before="20"/>
              <w:rPr>
                <w:rtl/>
              </w:rPr>
            </w:pPr>
            <w:r w:rsidRPr="002E0B22">
              <w:rPr>
                <w:rFonts w:hint="cs"/>
                <w:rtl/>
              </w:rPr>
              <w:t xml:space="preserve"> 0</w:t>
            </w:r>
          </w:p>
        </w:tc>
        <w:tc>
          <w:tcPr>
            <w:tcW w:w="1396" w:type="dxa"/>
            <w:gridSpan w:val="2"/>
            <w:tcBorders>
              <w:top w:val="nil"/>
              <w:left w:val="nil"/>
              <w:bottom w:val="nil"/>
              <w:right w:val="nil"/>
            </w:tcBorders>
            <w:vAlign w:val="bottom"/>
          </w:tcPr>
          <w:p w14:paraId="247E43BF" w14:textId="77777777" w:rsidR="00DE5E9A" w:rsidRDefault="00DE5E9A" w:rsidP="00DE5E9A">
            <w:pPr>
              <w:pStyle w:val="-7"/>
              <w:pBdr>
                <w:bottom w:val="single" w:sz="4" w:space="1" w:color="auto"/>
              </w:pBdr>
              <w:spacing w:before="20"/>
              <w:rPr>
                <w:rtl/>
              </w:rPr>
            </w:pPr>
            <w:r w:rsidRPr="002E0B22">
              <w:rPr>
                <w:rFonts w:hint="cs"/>
                <w:rtl/>
              </w:rPr>
              <w:t xml:space="preserve"> 0</w:t>
            </w:r>
          </w:p>
        </w:tc>
      </w:tr>
      <w:tr w:rsidR="00DE5E9A" w:rsidRPr="002E0B22" w14:paraId="7F0C8646" w14:textId="77777777" w:rsidTr="00DC6BA9">
        <w:tc>
          <w:tcPr>
            <w:tcW w:w="1417" w:type="dxa"/>
            <w:tcBorders>
              <w:top w:val="nil"/>
              <w:left w:val="nil"/>
              <w:bottom w:val="nil"/>
              <w:right w:val="nil"/>
            </w:tcBorders>
          </w:tcPr>
          <w:p w14:paraId="77BCAC08" w14:textId="77777777" w:rsidR="00DE5E9A" w:rsidRPr="002E0B22" w:rsidRDefault="00DE5E9A" w:rsidP="00DE5E9A">
            <w:pPr>
              <w:pStyle w:val="-7"/>
              <w:bidi w:val="0"/>
              <w:spacing w:line="60" w:lineRule="exact"/>
              <w:rPr>
                <w:rtl/>
              </w:rPr>
            </w:pPr>
          </w:p>
        </w:tc>
        <w:tc>
          <w:tcPr>
            <w:tcW w:w="4536" w:type="dxa"/>
            <w:gridSpan w:val="2"/>
            <w:tcBorders>
              <w:top w:val="nil"/>
              <w:left w:val="nil"/>
              <w:bottom w:val="nil"/>
              <w:right w:val="nil"/>
            </w:tcBorders>
            <w:vAlign w:val="bottom"/>
          </w:tcPr>
          <w:p w14:paraId="1C209EDA" w14:textId="77777777" w:rsidR="00DE5E9A" w:rsidRPr="002E0B22" w:rsidRDefault="00DE5E9A" w:rsidP="00DE5E9A">
            <w:pPr>
              <w:pStyle w:val="-7"/>
              <w:bidi w:val="0"/>
              <w:spacing w:line="60" w:lineRule="exact"/>
              <w:rPr>
                <w:sz w:val="18"/>
                <w:szCs w:val="18"/>
                <w:rtl/>
              </w:rPr>
            </w:pPr>
          </w:p>
        </w:tc>
        <w:tc>
          <w:tcPr>
            <w:tcW w:w="709" w:type="dxa"/>
            <w:gridSpan w:val="2"/>
            <w:tcBorders>
              <w:top w:val="nil"/>
              <w:left w:val="nil"/>
              <w:bottom w:val="nil"/>
              <w:right w:val="nil"/>
            </w:tcBorders>
            <w:vAlign w:val="bottom"/>
          </w:tcPr>
          <w:p w14:paraId="2A7AD30F" w14:textId="77777777" w:rsidR="00DE5E9A" w:rsidRPr="002E0B22" w:rsidRDefault="00DE5E9A" w:rsidP="00DE5E9A">
            <w:pPr>
              <w:pStyle w:val="-7"/>
              <w:bidi w:val="0"/>
              <w:spacing w:line="60" w:lineRule="exact"/>
              <w:rPr>
                <w:rtl/>
              </w:rPr>
            </w:pPr>
          </w:p>
        </w:tc>
        <w:tc>
          <w:tcPr>
            <w:tcW w:w="779" w:type="dxa"/>
            <w:gridSpan w:val="2"/>
            <w:tcBorders>
              <w:top w:val="nil"/>
              <w:left w:val="nil"/>
              <w:bottom w:val="nil"/>
              <w:right w:val="nil"/>
            </w:tcBorders>
            <w:vAlign w:val="bottom"/>
          </w:tcPr>
          <w:p w14:paraId="44FFB353" w14:textId="77777777" w:rsidR="00DE5E9A" w:rsidRPr="002E0B22" w:rsidRDefault="00DE5E9A" w:rsidP="00DE5E9A">
            <w:pPr>
              <w:pStyle w:val="-7"/>
              <w:bidi w:val="0"/>
              <w:spacing w:line="60" w:lineRule="exact"/>
              <w:rPr>
                <w:rtl/>
              </w:rPr>
            </w:pPr>
          </w:p>
        </w:tc>
        <w:tc>
          <w:tcPr>
            <w:tcW w:w="841" w:type="dxa"/>
            <w:gridSpan w:val="2"/>
            <w:tcBorders>
              <w:top w:val="nil"/>
              <w:left w:val="nil"/>
              <w:bottom w:val="nil"/>
              <w:right w:val="nil"/>
            </w:tcBorders>
            <w:vAlign w:val="bottom"/>
          </w:tcPr>
          <w:p w14:paraId="208F5EEE" w14:textId="77777777" w:rsidR="00DE5E9A" w:rsidRPr="002E0B22" w:rsidRDefault="00DE5E9A" w:rsidP="00DE5E9A">
            <w:pPr>
              <w:pStyle w:val="-7"/>
              <w:bidi w:val="0"/>
              <w:spacing w:line="60" w:lineRule="exact"/>
              <w:rPr>
                <w:rtl/>
              </w:rPr>
            </w:pPr>
          </w:p>
        </w:tc>
        <w:tc>
          <w:tcPr>
            <w:tcW w:w="840" w:type="dxa"/>
            <w:gridSpan w:val="2"/>
            <w:tcBorders>
              <w:top w:val="nil"/>
              <w:left w:val="nil"/>
              <w:bottom w:val="nil"/>
              <w:right w:val="nil"/>
            </w:tcBorders>
            <w:vAlign w:val="bottom"/>
          </w:tcPr>
          <w:p w14:paraId="373999E4" w14:textId="77777777" w:rsidR="00DE5E9A" w:rsidRPr="002E0B22" w:rsidRDefault="00DE5E9A" w:rsidP="00DE5E9A">
            <w:pPr>
              <w:pStyle w:val="-7"/>
              <w:bidi w:val="0"/>
              <w:spacing w:line="60" w:lineRule="exact"/>
              <w:rPr>
                <w:rtl/>
              </w:rPr>
            </w:pPr>
          </w:p>
        </w:tc>
        <w:tc>
          <w:tcPr>
            <w:tcW w:w="1396" w:type="dxa"/>
            <w:gridSpan w:val="2"/>
            <w:tcBorders>
              <w:top w:val="nil"/>
              <w:left w:val="nil"/>
              <w:bottom w:val="nil"/>
              <w:right w:val="nil"/>
            </w:tcBorders>
            <w:vAlign w:val="bottom"/>
          </w:tcPr>
          <w:p w14:paraId="37D199F8" w14:textId="77777777" w:rsidR="00DE5E9A" w:rsidRPr="002E0B22" w:rsidRDefault="00DE5E9A" w:rsidP="00DE5E9A">
            <w:pPr>
              <w:pStyle w:val="-7"/>
              <w:bidi w:val="0"/>
              <w:spacing w:line="60" w:lineRule="exact"/>
              <w:rPr>
                <w:rtl/>
              </w:rPr>
            </w:pPr>
          </w:p>
        </w:tc>
      </w:tr>
      <w:tr w:rsidR="00DE5E9A" w:rsidRPr="00543C25" w14:paraId="5AD3B719" w14:textId="77777777" w:rsidTr="00DC6BA9">
        <w:tc>
          <w:tcPr>
            <w:tcW w:w="1417" w:type="dxa"/>
            <w:tcBorders>
              <w:top w:val="nil"/>
              <w:left w:val="nil"/>
              <w:bottom w:val="nil"/>
              <w:right w:val="nil"/>
            </w:tcBorders>
          </w:tcPr>
          <w:p w14:paraId="1E881AB3" w14:textId="77777777" w:rsidR="00DE5E9A" w:rsidRDefault="00DE5E9A" w:rsidP="00DE5E9A">
            <w:pPr>
              <w:pStyle w:val="-7"/>
              <w:rPr>
                <w:rtl/>
              </w:rPr>
            </w:pPr>
          </w:p>
        </w:tc>
        <w:tc>
          <w:tcPr>
            <w:tcW w:w="4536" w:type="dxa"/>
            <w:gridSpan w:val="2"/>
            <w:tcBorders>
              <w:top w:val="nil"/>
              <w:left w:val="nil"/>
              <w:bottom w:val="nil"/>
              <w:right w:val="nil"/>
            </w:tcBorders>
            <w:vAlign w:val="bottom"/>
          </w:tcPr>
          <w:p w14:paraId="667514D3" w14:textId="77777777" w:rsidR="00DE5E9A" w:rsidRDefault="00DE5E9A" w:rsidP="00DE5E9A">
            <w:pPr>
              <w:pStyle w:val="-b"/>
              <w:rPr>
                <w:rtl/>
              </w:rPr>
            </w:pPr>
            <w:r w:rsidRPr="002E0B22">
              <w:rPr>
                <w:rFonts w:hint="cs"/>
                <w:rtl/>
              </w:rPr>
              <w:t>מזומנים נטו מפעילות</w:t>
            </w:r>
            <w:r>
              <w:rPr>
                <w:rFonts w:hint="cs"/>
                <w:rtl/>
              </w:rPr>
              <w:t xml:space="preserve"> (לפעילות)</w:t>
            </w:r>
            <w:r w:rsidRPr="002E0B22">
              <w:rPr>
                <w:rFonts w:hint="cs"/>
                <w:rtl/>
              </w:rPr>
              <w:t xml:space="preserve"> שוטפת</w:t>
            </w:r>
          </w:p>
        </w:tc>
        <w:tc>
          <w:tcPr>
            <w:tcW w:w="709" w:type="dxa"/>
            <w:gridSpan w:val="2"/>
            <w:tcBorders>
              <w:top w:val="nil"/>
              <w:left w:val="nil"/>
              <w:bottom w:val="nil"/>
              <w:right w:val="nil"/>
            </w:tcBorders>
            <w:vAlign w:val="bottom"/>
          </w:tcPr>
          <w:p w14:paraId="34ACCDA7" w14:textId="77777777" w:rsidR="00DE5E9A" w:rsidRDefault="00DE5E9A" w:rsidP="00DE5E9A">
            <w:pPr>
              <w:pStyle w:val="-f1"/>
              <w:pBdr>
                <w:top w:val="none" w:sz="0" w:space="0" w:color="auto"/>
                <w:bottom w:val="double" w:sz="4" w:space="1" w:color="auto"/>
              </w:pBdr>
              <w:rPr>
                <w:rtl/>
              </w:rPr>
            </w:pPr>
            <w:r w:rsidRPr="002E0B22">
              <w:rPr>
                <w:rFonts w:hint="cs"/>
                <w:rtl/>
              </w:rPr>
              <w:t xml:space="preserve"> </w:t>
            </w:r>
            <w:r w:rsidRPr="002E0B22">
              <w:rPr>
                <w:rtl/>
              </w:rPr>
              <w:t>0</w:t>
            </w:r>
          </w:p>
        </w:tc>
        <w:tc>
          <w:tcPr>
            <w:tcW w:w="779" w:type="dxa"/>
            <w:gridSpan w:val="2"/>
            <w:tcBorders>
              <w:top w:val="nil"/>
              <w:left w:val="nil"/>
              <w:bottom w:val="nil"/>
              <w:right w:val="nil"/>
            </w:tcBorders>
            <w:vAlign w:val="bottom"/>
          </w:tcPr>
          <w:p w14:paraId="645A41D4" w14:textId="77777777" w:rsidR="00DE5E9A" w:rsidRDefault="00DE5E9A" w:rsidP="00DE5E9A">
            <w:pPr>
              <w:pStyle w:val="-f1"/>
              <w:pBdr>
                <w:top w:val="none" w:sz="0" w:space="0" w:color="auto"/>
                <w:bottom w:val="double" w:sz="4" w:space="1" w:color="auto"/>
              </w:pBdr>
              <w:rPr>
                <w:rtl/>
              </w:rPr>
            </w:pPr>
            <w:r w:rsidRPr="002E0B22">
              <w:rPr>
                <w:rFonts w:hint="cs"/>
                <w:rtl/>
              </w:rPr>
              <w:t xml:space="preserve"> </w:t>
            </w:r>
            <w:r w:rsidRPr="002E0B22">
              <w:rPr>
                <w:rtl/>
              </w:rPr>
              <w:t>0</w:t>
            </w:r>
          </w:p>
        </w:tc>
        <w:tc>
          <w:tcPr>
            <w:tcW w:w="841" w:type="dxa"/>
            <w:gridSpan w:val="2"/>
            <w:tcBorders>
              <w:top w:val="nil"/>
              <w:left w:val="nil"/>
              <w:bottom w:val="nil"/>
              <w:right w:val="nil"/>
            </w:tcBorders>
            <w:vAlign w:val="bottom"/>
          </w:tcPr>
          <w:p w14:paraId="759C4AC3" w14:textId="77777777" w:rsidR="00DE5E9A" w:rsidRDefault="00DE5E9A" w:rsidP="00DE5E9A">
            <w:pPr>
              <w:pStyle w:val="-f1"/>
              <w:pBdr>
                <w:top w:val="none" w:sz="0" w:space="0" w:color="auto"/>
                <w:bottom w:val="double" w:sz="4" w:space="1" w:color="auto"/>
              </w:pBdr>
              <w:rPr>
                <w:rtl/>
              </w:rPr>
            </w:pPr>
            <w:r w:rsidRPr="002E0B22">
              <w:rPr>
                <w:rFonts w:hint="cs"/>
                <w:rtl/>
              </w:rPr>
              <w:t xml:space="preserve"> </w:t>
            </w:r>
            <w:r w:rsidRPr="002E0B22">
              <w:rPr>
                <w:rtl/>
              </w:rPr>
              <w:t>0</w:t>
            </w:r>
          </w:p>
        </w:tc>
        <w:tc>
          <w:tcPr>
            <w:tcW w:w="840" w:type="dxa"/>
            <w:gridSpan w:val="2"/>
            <w:tcBorders>
              <w:top w:val="nil"/>
              <w:left w:val="nil"/>
              <w:bottom w:val="nil"/>
              <w:right w:val="nil"/>
            </w:tcBorders>
            <w:vAlign w:val="bottom"/>
          </w:tcPr>
          <w:p w14:paraId="07ED1880" w14:textId="77777777" w:rsidR="00DE5E9A" w:rsidRDefault="00DE5E9A" w:rsidP="00DE5E9A">
            <w:pPr>
              <w:pStyle w:val="-f1"/>
              <w:pBdr>
                <w:top w:val="none" w:sz="0" w:space="0" w:color="auto"/>
                <w:bottom w:val="double" w:sz="4" w:space="1" w:color="auto"/>
              </w:pBdr>
              <w:rPr>
                <w:rtl/>
              </w:rPr>
            </w:pPr>
            <w:r w:rsidRPr="002E0B22">
              <w:rPr>
                <w:rFonts w:hint="cs"/>
                <w:rtl/>
              </w:rPr>
              <w:t xml:space="preserve"> </w:t>
            </w:r>
            <w:r w:rsidRPr="002E0B22">
              <w:rPr>
                <w:rtl/>
              </w:rPr>
              <w:t>0</w:t>
            </w:r>
          </w:p>
        </w:tc>
        <w:tc>
          <w:tcPr>
            <w:tcW w:w="1396" w:type="dxa"/>
            <w:gridSpan w:val="2"/>
            <w:tcBorders>
              <w:top w:val="nil"/>
              <w:left w:val="nil"/>
              <w:bottom w:val="nil"/>
              <w:right w:val="nil"/>
            </w:tcBorders>
            <w:vAlign w:val="bottom"/>
          </w:tcPr>
          <w:p w14:paraId="2DD18B24" w14:textId="77777777" w:rsidR="00DE5E9A" w:rsidRDefault="00DE5E9A" w:rsidP="00DE5E9A">
            <w:pPr>
              <w:pStyle w:val="-f1"/>
              <w:pBdr>
                <w:top w:val="none" w:sz="0" w:space="0" w:color="auto"/>
                <w:bottom w:val="double" w:sz="4" w:space="1" w:color="auto"/>
              </w:pBdr>
              <w:rPr>
                <w:rtl/>
              </w:rPr>
            </w:pPr>
            <w:r w:rsidRPr="002E0B22">
              <w:rPr>
                <w:rFonts w:hint="cs"/>
                <w:rtl/>
              </w:rPr>
              <w:t xml:space="preserve"> </w:t>
            </w:r>
            <w:r w:rsidRPr="002E0B22">
              <w:rPr>
                <w:rtl/>
              </w:rPr>
              <w:t>0</w:t>
            </w:r>
          </w:p>
        </w:tc>
      </w:tr>
      <w:tr w:rsidR="00DE5E9A" w:rsidRPr="00543C25" w14:paraId="08268D5C" w14:textId="77777777" w:rsidTr="000F230D">
        <w:tc>
          <w:tcPr>
            <w:tcW w:w="1587" w:type="dxa"/>
            <w:gridSpan w:val="2"/>
            <w:tcBorders>
              <w:top w:val="nil"/>
              <w:left w:val="nil"/>
              <w:bottom w:val="nil"/>
              <w:right w:val="nil"/>
            </w:tcBorders>
          </w:tcPr>
          <w:p w14:paraId="07241DD1" w14:textId="77777777" w:rsidR="00DE5E9A" w:rsidRDefault="00DE5E9A" w:rsidP="00DE5E9A">
            <w:pPr>
              <w:pStyle w:val="-7"/>
              <w:bidi w:val="0"/>
              <w:spacing w:line="60" w:lineRule="exact"/>
              <w:rPr>
                <w:rtl/>
              </w:rPr>
            </w:pPr>
          </w:p>
        </w:tc>
        <w:tc>
          <w:tcPr>
            <w:tcW w:w="4536" w:type="dxa"/>
            <w:gridSpan w:val="2"/>
            <w:tcBorders>
              <w:top w:val="nil"/>
              <w:left w:val="nil"/>
              <w:bottom w:val="nil"/>
              <w:right w:val="nil"/>
            </w:tcBorders>
            <w:vAlign w:val="bottom"/>
          </w:tcPr>
          <w:p w14:paraId="0F988557" w14:textId="77777777" w:rsidR="00DE5E9A" w:rsidRDefault="00DE5E9A" w:rsidP="00DE5E9A">
            <w:pPr>
              <w:pStyle w:val="-7"/>
              <w:bidi w:val="0"/>
              <w:spacing w:line="60" w:lineRule="exact"/>
              <w:rPr>
                <w:sz w:val="18"/>
                <w:szCs w:val="18"/>
                <w:rtl/>
              </w:rPr>
            </w:pPr>
          </w:p>
        </w:tc>
        <w:tc>
          <w:tcPr>
            <w:tcW w:w="709" w:type="dxa"/>
            <w:gridSpan w:val="2"/>
            <w:tcBorders>
              <w:top w:val="nil"/>
              <w:left w:val="nil"/>
              <w:bottom w:val="nil"/>
              <w:right w:val="nil"/>
            </w:tcBorders>
          </w:tcPr>
          <w:p w14:paraId="694006BC" w14:textId="77777777" w:rsidR="00DE5E9A" w:rsidRDefault="00DE5E9A" w:rsidP="00DE5E9A">
            <w:pPr>
              <w:pStyle w:val="-212"/>
              <w:pBdr>
                <w:top w:val="none" w:sz="0" w:space="0" w:color="auto"/>
              </w:pBdr>
              <w:bidi w:val="0"/>
              <w:spacing w:line="60" w:lineRule="exact"/>
              <w:jc w:val="both"/>
              <w:rPr>
                <w:rtl/>
              </w:rPr>
            </w:pPr>
          </w:p>
        </w:tc>
        <w:tc>
          <w:tcPr>
            <w:tcW w:w="779" w:type="dxa"/>
            <w:gridSpan w:val="2"/>
            <w:tcBorders>
              <w:top w:val="nil"/>
              <w:left w:val="nil"/>
              <w:bottom w:val="nil"/>
              <w:right w:val="nil"/>
            </w:tcBorders>
          </w:tcPr>
          <w:p w14:paraId="584F59F9" w14:textId="77777777" w:rsidR="00DE5E9A" w:rsidRDefault="00DE5E9A" w:rsidP="00DE5E9A">
            <w:pPr>
              <w:pStyle w:val="-212"/>
              <w:pBdr>
                <w:top w:val="none" w:sz="0" w:space="0" w:color="auto"/>
              </w:pBdr>
              <w:bidi w:val="0"/>
              <w:spacing w:line="60" w:lineRule="exact"/>
              <w:jc w:val="both"/>
              <w:rPr>
                <w:rtl/>
              </w:rPr>
            </w:pPr>
          </w:p>
        </w:tc>
        <w:tc>
          <w:tcPr>
            <w:tcW w:w="841" w:type="dxa"/>
            <w:gridSpan w:val="2"/>
            <w:tcBorders>
              <w:top w:val="nil"/>
              <w:left w:val="nil"/>
              <w:bottom w:val="nil"/>
              <w:right w:val="nil"/>
            </w:tcBorders>
          </w:tcPr>
          <w:p w14:paraId="773B9313" w14:textId="77777777" w:rsidR="00DE5E9A" w:rsidRDefault="00DE5E9A" w:rsidP="00DE5E9A">
            <w:pPr>
              <w:pStyle w:val="-212"/>
              <w:pBdr>
                <w:top w:val="none" w:sz="0" w:space="0" w:color="auto"/>
              </w:pBdr>
              <w:bidi w:val="0"/>
              <w:spacing w:line="60" w:lineRule="exact"/>
              <w:jc w:val="both"/>
              <w:rPr>
                <w:rtl/>
              </w:rPr>
            </w:pPr>
          </w:p>
        </w:tc>
        <w:tc>
          <w:tcPr>
            <w:tcW w:w="840" w:type="dxa"/>
            <w:gridSpan w:val="2"/>
            <w:tcBorders>
              <w:top w:val="nil"/>
              <w:left w:val="nil"/>
              <w:bottom w:val="nil"/>
              <w:right w:val="nil"/>
            </w:tcBorders>
          </w:tcPr>
          <w:p w14:paraId="43863624" w14:textId="77777777" w:rsidR="00DE5E9A" w:rsidRDefault="00DE5E9A" w:rsidP="00DE5E9A">
            <w:pPr>
              <w:pStyle w:val="-212"/>
              <w:pBdr>
                <w:top w:val="none" w:sz="0" w:space="0" w:color="auto"/>
              </w:pBdr>
              <w:bidi w:val="0"/>
              <w:spacing w:line="60" w:lineRule="exact"/>
              <w:jc w:val="both"/>
              <w:rPr>
                <w:rtl/>
              </w:rPr>
            </w:pPr>
          </w:p>
        </w:tc>
        <w:tc>
          <w:tcPr>
            <w:tcW w:w="1227" w:type="dxa"/>
            <w:tcBorders>
              <w:top w:val="nil"/>
              <w:left w:val="nil"/>
              <w:bottom w:val="nil"/>
              <w:right w:val="nil"/>
            </w:tcBorders>
          </w:tcPr>
          <w:p w14:paraId="0ED7CED5" w14:textId="77777777" w:rsidR="00DE5E9A" w:rsidRDefault="00DE5E9A" w:rsidP="00DE5E9A">
            <w:pPr>
              <w:pStyle w:val="-212"/>
              <w:pBdr>
                <w:top w:val="none" w:sz="0" w:space="0" w:color="auto"/>
              </w:pBdr>
              <w:bidi w:val="0"/>
              <w:spacing w:line="60" w:lineRule="exact"/>
              <w:jc w:val="both"/>
              <w:rPr>
                <w:rtl/>
              </w:rPr>
            </w:pPr>
          </w:p>
        </w:tc>
      </w:tr>
    </w:tbl>
    <w:p w14:paraId="0C70A9FD" w14:textId="77777777" w:rsidR="00106371" w:rsidRDefault="00106371" w:rsidP="008F17A0">
      <w:pPr>
        <w:tabs>
          <w:tab w:val="left" w:pos="1717"/>
        </w:tabs>
        <w:rPr>
          <w:spacing w:val="-6"/>
          <w:sz w:val="14"/>
          <w:szCs w:val="14"/>
          <w:rtl/>
        </w:rPr>
      </w:pPr>
    </w:p>
    <w:p w14:paraId="4AF60FDB" w14:textId="77777777" w:rsidR="00106371" w:rsidRDefault="00106371" w:rsidP="008F17A0">
      <w:pPr>
        <w:tabs>
          <w:tab w:val="left" w:pos="1717"/>
        </w:tabs>
        <w:rPr>
          <w:spacing w:val="-6"/>
          <w:sz w:val="14"/>
          <w:szCs w:val="14"/>
          <w:rtl/>
        </w:rPr>
      </w:pPr>
    </w:p>
    <w:p w14:paraId="57BC1C5B" w14:textId="77777777" w:rsidR="00106371" w:rsidRDefault="00106371" w:rsidP="008F17A0">
      <w:pPr>
        <w:tabs>
          <w:tab w:val="left" w:pos="1717"/>
        </w:tabs>
        <w:rPr>
          <w:spacing w:val="-6"/>
          <w:sz w:val="14"/>
          <w:szCs w:val="14"/>
          <w:rtl/>
        </w:rPr>
      </w:pPr>
    </w:p>
    <w:p w14:paraId="0F10EA87" w14:textId="77777777" w:rsidR="00106371" w:rsidRDefault="00106371" w:rsidP="008F17A0">
      <w:pPr>
        <w:tabs>
          <w:tab w:val="left" w:pos="1717"/>
        </w:tabs>
        <w:rPr>
          <w:spacing w:val="-6"/>
          <w:sz w:val="14"/>
          <w:szCs w:val="14"/>
          <w:rtl/>
        </w:rPr>
      </w:pPr>
    </w:p>
    <w:p w14:paraId="3678E48B" w14:textId="77777777" w:rsidR="00106371" w:rsidRDefault="00106371" w:rsidP="008F17A0">
      <w:pPr>
        <w:tabs>
          <w:tab w:val="left" w:pos="1717"/>
        </w:tabs>
        <w:rPr>
          <w:spacing w:val="-6"/>
          <w:sz w:val="14"/>
          <w:szCs w:val="14"/>
          <w:rtl/>
        </w:rPr>
      </w:pPr>
    </w:p>
    <w:p w14:paraId="0AF5EFD8" w14:textId="3DCE82B3" w:rsidR="008F17A0" w:rsidRDefault="008F17A0" w:rsidP="008F17A0">
      <w:pPr>
        <w:tabs>
          <w:tab w:val="left" w:pos="1717"/>
        </w:tabs>
        <w:rPr>
          <w:spacing w:val="-6"/>
          <w:sz w:val="14"/>
          <w:szCs w:val="14"/>
        </w:rPr>
      </w:pPr>
      <w:r>
        <w:rPr>
          <w:spacing w:val="-6"/>
          <w:sz w:val="14"/>
          <w:szCs w:val="14"/>
          <w:rtl/>
        </w:rPr>
        <w:tab/>
      </w:r>
    </w:p>
    <w:tbl>
      <w:tblPr>
        <w:tblpPr w:leftFromText="180" w:rightFromText="180" w:vertAnchor="text" w:horzAnchor="margin" w:tblpY="-1"/>
        <w:bidiVisual/>
        <w:tblW w:w="5000" w:type="pct"/>
        <w:tblLook w:val="04A0" w:firstRow="1" w:lastRow="0" w:firstColumn="1" w:lastColumn="0" w:noHBand="0" w:noVBand="1"/>
      </w:tblPr>
      <w:tblGrid>
        <w:gridCol w:w="672"/>
        <w:gridCol w:w="9535"/>
      </w:tblGrid>
      <w:tr w:rsidR="008F17A0" w:rsidRPr="00543C25" w14:paraId="4E7BEF0A" w14:textId="77777777" w:rsidTr="008F17A0">
        <w:trPr>
          <w:trHeight w:val="259"/>
        </w:trPr>
        <w:tc>
          <w:tcPr>
            <w:tcW w:w="672" w:type="dxa"/>
          </w:tcPr>
          <w:p w14:paraId="0E185101" w14:textId="77777777" w:rsidR="008F17A0" w:rsidRPr="00ED6312" w:rsidRDefault="008F17A0" w:rsidP="008F17A0">
            <w:pPr>
              <w:pStyle w:val="-7"/>
              <w:bidi w:val="0"/>
              <w:ind w:right="-231"/>
              <w:jc w:val="left"/>
              <w:rPr>
                <w:spacing w:val="-6"/>
                <w:sz w:val="14"/>
                <w:szCs w:val="14"/>
                <w:rtl/>
              </w:rPr>
            </w:pPr>
          </w:p>
        </w:tc>
        <w:tc>
          <w:tcPr>
            <w:tcW w:w="9535" w:type="dxa"/>
          </w:tcPr>
          <w:p w14:paraId="55E85E71" w14:textId="77777777" w:rsidR="008F17A0" w:rsidRPr="00543C25" w:rsidRDefault="008F17A0" w:rsidP="008F17A0">
            <w:pPr>
              <w:rPr>
                <w:rtl/>
              </w:rPr>
            </w:pPr>
            <w:r w:rsidRPr="00543C25">
              <w:rPr>
                <w:b/>
                <w:bCs/>
                <w:rtl/>
              </w:rPr>
              <w:t>הביאורים ל</w:t>
            </w:r>
            <w:r>
              <w:rPr>
                <w:rFonts w:hint="cs"/>
                <w:b/>
                <w:bCs/>
                <w:rtl/>
              </w:rPr>
              <w:t>תמצית ה</w:t>
            </w:r>
            <w:r w:rsidRPr="00543C25">
              <w:rPr>
                <w:b/>
                <w:bCs/>
                <w:rtl/>
              </w:rPr>
              <w:t xml:space="preserve">דוחות הכספיים מהווים חלק בלתי נפרד </w:t>
            </w:r>
            <w:r>
              <w:rPr>
                <w:rFonts w:hint="cs"/>
                <w:b/>
                <w:bCs/>
                <w:rtl/>
              </w:rPr>
              <w:t>ממנה.</w:t>
            </w:r>
          </w:p>
        </w:tc>
      </w:tr>
    </w:tbl>
    <w:p w14:paraId="24C4BC16" w14:textId="77777777" w:rsidR="008F17A0" w:rsidRPr="008F17A0" w:rsidRDefault="008F17A0" w:rsidP="008F17A0">
      <w:pPr>
        <w:tabs>
          <w:tab w:val="left" w:pos="1717"/>
        </w:tabs>
      </w:pPr>
      <w:r>
        <w:rPr>
          <w:rtl/>
        </w:rPr>
        <w:tab/>
      </w:r>
    </w:p>
    <w:p w14:paraId="4A09BCF1" w14:textId="421E703D" w:rsidR="008F17A0" w:rsidRPr="008F17A0" w:rsidRDefault="008F17A0" w:rsidP="008F17A0">
      <w:pPr>
        <w:tabs>
          <w:tab w:val="left" w:pos="1717"/>
        </w:tabs>
        <w:sectPr w:rsidR="008F17A0" w:rsidRPr="008F17A0" w:rsidSect="00587121">
          <w:headerReference w:type="even" r:id="rId27"/>
          <w:headerReference w:type="default" r:id="rId28"/>
          <w:footerReference w:type="default" r:id="rId29"/>
          <w:footnotePr>
            <w:numRestart w:val="eachPage"/>
          </w:footnotePr>
          <w:type w:val="nextColumn"/>
          <w:pgSz w:w="11909" w:h="16834" w:code="9"/>
          <w:pgMar w:top="851" w:right="851" w:bottom="851" w:left="851" w:header="720" w:footer="720" w:gutter="0"/>
          <w:cols w:space="720"/>
          <w:bidi/>
          <w:rtlGutter/>
          <w:docGrid w:linePitch="360"/>
        </w:sectPr>
      </w:pPr>
    </w:p>
    <w:p w14:paraId="72A23E11" w14:textId="77777777" w:rsidR="00F723B7" w:rsidRDefault="00F723B7" w:rsidP="00106371">
      <w:pPr>
        <w:pStyle w:val="-2"/>
        <w:ind w:left="1135"/>
        <w:rPr>
          <w:rtl/>
        </w:rPr>
      </w:pPr>
      <w:r w:rsidRPr="00543C25">
        <w:rPr>
          <w:rFonts w:hint="cs"/>
          <w:rtl/>
        </w:rPr>
        <w:lastRenderedPageBreak/>
        <w:t>בנק</w:t>
      </w:r>
      <w:r w:rsidRPr="00543C25">
        <w:rPr>
          <w:rtl/>
        </w:rPr>
        <w:t xml:space="preserve"> </w:t>
      </w:r>
      <w:r w:rsidRPr="00543C25">
        <w:rPr>
          <w:rFonts w:hint="cs"/>
          <w:rtl/>
        </w:rPr>
        <w:t xml:space="preserve">לדוגמה </w:t>
      </w:r>
      <w:r w:rsidRPr="00543C25">
        <w:rPr>
          <w:rtl/>
        </w:rPr>
        <w:t>בע"מ וחברות מאוחדות שלו</w:t>
      </w:r>
    </w:p>
    <w:p w14:paraId="55340E2E" w14:textId="4FBBEF7C" w:rsidR="00E60D2C" w:rsidRPr="00E60D2C" w:rsidRDefault="00E60D2C" w:rsidP="00106371">
      <w:pPr>
        <w:pStyle w:val="-2"/>
        <w:spacing w:after="80"/>
        <w:ind w:left="1582" w:hanging="447"/>
        <w:rPr>
          <w:u w:val="single"/>
          <w:rtl/>
        </w:rPr>
      </w:pPr>
      <w:r w:rsidRPr="00E60D2C">
        <w:rPr>
          <w:rFonts w:hint="cs"/>
          <w:u w:val="single"/>
          <w:rtl/>
        </w:rPr>
        <w:t xml:space="preserve">תמצית דוח על תזרימי מזומנים מאוחד לתקופות שהסתיימו ביום 30 ביוני </w:t>
      </w:r>
      <w:r w:rsidR="00C803FD" w:rsidRPr="00C803FD">
        <w:rPr>
          <w:u w:val="single"/>
          <w:rtl/>
        </w:rPr>
        <w:fldChar w:fldCharType="begin"/>
      </w:r>
      <w:r w:rsidR="00C803FD" w:rsidRPr="00C803FD">
        <w:rPr>
          <w:u w:val="single"/>
          <w:rtl/>
        </w:rPr>
        <w:instrText xml:space="preserve"> </w:instrText>
      </w:r>
      <w:r w:rsidR="00C803FD" w:rsidRPr="00C803FD">
        <w:rPr>
          <w:rFonts w:hint="cs"/>
          <w:u w:val="single"/>
          <w:rtl/>
        </w:rPr>
        <w:instrText xml:space="preserve">= </w:instrText>
      </w:r>
      <w:r w:rsidR="00C803FD" w:rsidRPr="00C803FD">
        <w:rPr>
          <w:rFonts w:hint="cs"/>
          <w:u w:val="single"/>
        </w:rPr>
        <w:instrText>CY \* MERGEFORMAT</w:instrText>
      </w:r>
      <w:r w:rsidR="00C803FD" w:rsidRPr="00C803FD">
        <w:rPr>
          <w:u w:val="single"/>
          <w:rtl/>
        </w:rPr>
        <w:instrText xml:space="preserve"> </w:instrText>
      </w:r>
      <w:r w:rsidR="00C803FD" w:rsidRPr="00C803FD">
        <w:rPr>
          <w:u w:val="single"/>
          <w:rtl/>
        </w:rPr>
        <w:fldChar w:fldCharType="separate"/>
      </w:r>
      <w:r w:rsidR="003A584F">
        <w:rPr>
          <w:noProof/>
          <w:u w:val="single"/>
          <w:rtl/>
        </w:rPr>
        <w:t>2024</w:t>
      </w:r>
      <w:r w:rsidR="00C803FD" w:rsidRPr="00C803FD">
        <w:rPr>
          <w:u w:val="single"/>
          <w:rtl/>
        </w:rPr>
        <w:fldChar w:fldCharType="end"/>
      </w:r>
      <w:r w:rsidR="00C803FD" w:rsidRPr="00C803FD">
        <w:rPr>
          <w:rFonts w:hint="cs"/>
          <w:szCs w:val="24"/>
          <w:u w:val="single"/>
          <w:rtl/>
        </w:rPr>
        <w:t xml:space="preserve"> </w:t>
      </w:r>
      <w:r w:rsidRPr="00E60D2C">
        <w:rPr>
          <w:rFonts w:hint="cs"/>
          <w:u w:val="single"/>
          <w:rtl/>
        </w:rPr>
        <w:t>(המשך)</w:t>
      </w:r>
    </w:p>
    <w:p w14:paraId="4910EC3A" w14:textId="77777777" w:rsidR="00E60D2C" w:rsidRPr="00E60D2C" w:rsidRDefault="00E60D2C" w:rsidP="00106371">
      <w:pPr>
        <w:pStyle w:val="-2"/>
        <w:ind w:left="1582" w:hanging="447"/>
        <w:rPr>
          <w:b w:val="0"/>
          <w:bCs w:val="0"/>
          <w:sz w:val="20"/>
          <w:szCs w:val="20"/>
          <w:rtl/>
        </w:rPr>
      </w:pPr>
      <w:r w:rsidRPr="00E60D2C">
        <w:rPr>
          <w:rFonts w:hint="cs"/>
          <w:b w:val="0"/>
          <w:bCs w:val="0"/>
          <w:sz w:val="20"/>
          <w:szCs w:val="20"/>
          <w:rtl/>
        </w:rPr>
        <w:t>סכומים מדווחים (במיליוני ש"ח)</w:t>
      </w:r>
    </w:p>
    <w:tbl>
      <w:tblPr>
        <w:bidiVisual/>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3766"/>
        <w:gridCol w:w="422"/>
        <w:gridCol w:w="842"/>
        <w:gridCol w:w="841"/>
        <w:gridCol w:w="842"/>
        <w:gridCol w:w="798"/>
        <w:gridCol w:w="1418"/>
      </w:tblGrid>
      <w:tr w:rsidR="00497430" w:rsidRPr="00AB469F" w14:paraId="1532AA1D" w14:textId="77777777" w:rsidTr="00DC6BA9">
        <w:tc>
          <w:tcPr>
            <w:tcW w:w="1134" w:type="dxa"/>
            <w:tcBorders>
              <w:top w:val="nil"/>
              <w:left w:val="nil"/>
              <w:bottom w:val="nil"/>
              <w:right w:val="nil"/>
            </w:tcBorders>
          </w:tcPr>
          <w:p w14:paraId="29434E07" w14:textId="77777777" w:rsidR="00F06263" w:rsidRDefault="00F06263" w:rsidP="00EF075C">
            <w:pPr>
              <w:jc w:val="left"/>
              <w:rPr>
                <w:sz w:val="14"/>
                <w:szCs w:val="14"/>
              </w:rPr>
            </w:pPr>
          </w:p>
          <w:p w14:paraId="16153E09" w14:textId="77777777" w:rsidR="00F32A2A" w:rsidRDefault="00F000B2" w:rsidP="00EF3E60">
            <w:pPr>
              <w:jc w:val="left"/>
              <w:rPr>
                <w:rtl/>
              </w:rPr>
            </w:pPr>
            <w:r w:rsidRPr="00D35C2A">
              <w:rPr>
                <w:rFonts w:hint="cs"/>
                <w:sz w:val="14"/>
                <w:szCs w:val="14"/>
                <w:rtl/>
              </w:rPr>
              <w:t xml:space="preserve">מתכונת דוח </w:t>
            </w:r>
            <w:r w:rsidRPr="00D35C2A">
              <w:rPr>
                <w:sz w:val="14"/>
                <w:szCs w:val="14"/>
                <w:rtl/>
              </w:rPr>
              <w:br/>
            </w:r>
            <w:r w:rsidRPr="00D35C2A">
              <w:rPr>
                <w:rFonts w:hint="cs"/>
                <w:sz w:val="14"/>
                <w:szCs w:val="14"/>
                <w:rtl/>
              </w:rPr>
              <w:t>עמ' 663-</w:t>
            </w:r>
            <w:r>
              <w:rPr>
                <w:rFonts w:hint="cs"/>
                <w:sz w:val="14"/>
                <w:szCs w:val="14"/>
                <w:rtl/>
              </w:rPr>
              <w:t>12</w:t>
            </w:r>
          </w:p>
          <w:p w14:paraId="47F98A6E" w14:textId="108D225B" w:rsidR="00F06263" w:rsidRPr="008F371D" w:rsidRDefault="00E836A9" w:rsidP="008F371D">
            <w:pPr>
              <w:pStyle w:val="-0"/>
              <w:bidi w:val="0"/>
              <w:spacing w:line="200" w:lineRule="exact"/>
              <w:jc w:val="right"/>
              <w:rPr>
                <w:sz w:val="14"/>
                <w:szCs w:val="14"/>
              </w:rPr>
            </w:pPr>
            <w:r>
              <w:rPr>
                <w:rFonts w:hint="cs"/>
                <w:sz w:val="14"/>
                <w:szCs w:val="14"/>
                <w:rtl/>
              </w:rPr>
              <w:t xml:space="preserve">    </w:t>
            </w:r>
          </w:p>
        </w:tc>
        <w:tc>
          <w:tcPr>
            <w:tcW w:w="3766" w:type="dxa"/>
            <w:tcBorders>
              <w:top w:val="nil"/>
              <w:left w:val="nil"/>
              <w:bottom w:val="nil"/>
              <w:right w:val="nil"/>
            </w:tcBorders>
            <w:vAlign w:val="bottom"/>
          </w:tcPr>
          <w:p w14:paraId="4B40696A" w14:textId="77777777" w:rsidR="00F32A2A" w:rsidRDefault="00F32A2A">
            <w:pPr>
              <w:pStyle w:val="-7"/>
              <w:spacing w:line="240" w:lineRule="auto"/>
              <w:rPr>
                <w:rtl/>
              </w:rPr>
            </w:pPr>
          </w:p>
        </w:tc>
        <w:tc>
          <w:tcPr>
            <w:tcW w:w="422" w:type="dxa"/>
            <w:tcBorders>
              <w:top w:val="nil"/>
              <w:left w:val="nil"/>
              <w:bottom w:val="nil"/>
              <w:right w:val="nil"/>
            </w:tcBorders>
            <w:tcMar>
              <w:left w:w="58" w:type="dxa"/>
              <w:right w:w="58" w:type="dxa"/>
            </w:tcMar>
          </w:tcPr>
          <w:p w14:paraId="0118DDFB" w14:textId="77777777" w:rsidR="00F32A2A" w:rsidRPr="00DC6BA9" w:rsidRDefault="00F32A2A">
            <w:pPr>
              <w:rPr>
                <w:sz w:val="18"/>
                <w:szCs w:val="18"/>
                <w:rtl/>
              </w:rPr>
            </w:pPr>
          </w:p>
        </w:tc>
        <w:tc>
          <w:tcPr>
            <w:tcW w:w="1683" w:type="dxa"/>
            <w:gridSpan w:val="2"/>
            <w:tcBorders>
              <w:top w:val="nil"/>
              <w:left w:val="nil"/>
              <w:bottom w:val="nil"/>
              <w:right w:val="nil"/>
            </w:tcBorders>
            <w:vAlign w:val="bottom"/>
          </w:tcPr>
          <w:p w14:paraId="32088AD3" w14:textId="77777777" w:rsidR="00F32A2A" w:rsidRPr="00DC6BA9" w:rsidRDefault="00865418">
            <w:pPr>
              <w:pStyle w:val="-4"/>
              <w:spacing w:line="240" w:lineRule="auto"/>
              <w:rPr>
                <w:sz w:val="18"/>
                <w:szCs w:val="18"/>
                <w:rtl/>
              </w:rPr>
            </w:pPr>
            <w:r w:rsidRPr="00DC6BA9">
              <w:rPr>
                <w:rFonts w:hint="eastAsia"/>
                <w:sz w:val="18"/>
                <w:szCs w:val="18"/>
                <w:rtl/>
              </w:rPr>
              <w:t>לשלושה</w:t>
            </w:r>
            <w:r w:rsidRPr="00DC6BA9">
              <w:rPr>
                <w:sz w:val="18"/>
                <w:szCs w:val="18"/>
                <w:rtl/>
              </w:rPr>
              <w:t xml:space="preserve"> חודשים שהסתיימו </w:t>
            </w:r>
          </w:p>
          <w:p w14:paraId="0CC293AD" w14:textId="77777777" w:rsidR="00F32A2A" w:rsidRPr="00DC6BA9" w:rsidRDefault="00865418">
            <w:pPr>
              <w:pStyle w:val="-4"/>
              <w:spacing w:line="240" w:lineRule="auto"/>
              <w:rPr>
                <w:sz w:val="18"/>
                <w:szCs w:val="18"/>
                <w:rtl/>
              </w:rPr>
            </w:pPr>
            <w:r w:rsidRPr="00DC6BA9">
              <w:rPr>
                <w:rFonts w:hint="eastAsia"/>
                <w:sz w:val="18"/>
                <w:szCs w:val="18"/>
                <w:rtl/>
              </w:rPr>
              <w:t>ביום</w:t>
            </w:r>
            <w:r w:rsidRPr="00DC6BA9">
              <w:rPr>
                <w:sz w:val="18"/>
                <w:szCs w:val="18"/>
                <w:rtl/>
              </w:rPr>
              <w:t xml:space="preserve"> 30 </w:t>
            </w:r>
            <w:r w:rsidRPr="00DC6BA9">
              <w:rPr>
                <w:rFonts w:hint="eastAsia"/>
                <w:sz w:val="18"/>
                <w:szCs w:val="18"/>
                <w:rtl/>
              </w:rPr>
              <w:t>ביוני</w:t>
            </w:r>
          </w:p>
        </w:tc>
        <w:tc>
          <w:tcPr>
            <w:tcW w:w="1640" w:type="dxa"/>
            <w:gridSpan w:val="2"/>
            <w:tcBorders>
              <w:top w:val="nil"/>
              <w:left w:val="nil"/>
              <w:bottom w:val="nil"/>
              <w:right w:val="nil"/>
            </w:tcBorders>
            <w:tcMar>
              <w:left w:w="58" w:type="dxa"/>
              <w:right w:w="58" w:type="dxa"/>
            </w:tcMar>
            <w:vAlign w:val="bottom"/>
          </w:tcPr>
          <w:p w14:paraId="1FA81CB8" w14:textId="77777777" w:rsidR="00F32A2A" w:rsidRPr="00DC6BA9" w:rsidRDefault="00865418">
            <w:pPr>
              <w:pStyle w:val="-4"/>
              <w:pBdr>
                <w:bottom w:val="single" w:sz="4" w:space="1" w:color="auto"/>
              </w:pBdr>
              <w:spacing w:line="240" w:lineRule="auto"/>
              <w:rPr>
                <w:sz w:val="18"/>
                <w:szCs w:val="18"/>
                <w:rtl/>
              </w:rPr>
            </w:pPr>
            <w:r w:rsidRPr="00DC6BA9">
              <w:rPr>
                <w:rFonts w:hint="eastAsia"/>
                <w:sz w:val="18"/>
                <w:szCs w:val="18"/>
                <w:rtl/>
              </w:rPr>
              <w:t>לשישה</w:t>
            </w:r>
            <w:r w:rsidRPr="00DC6BA9">
              <w:rPr>
                <w:sz w:val="18"/>
                <w:szCs w:val="18"/>
                <w:rtl/>
              </w:rPr>
              <w:t xml:space="preserve"> חודשים שהסתיימו </w:t>
            </w:r>
          </w:p>
          <w:p w14:paraId="0F6277E8" w14:textId="77777777" w:rsidR="00F32A2A" w:rsidRPr="00DC6BA9" w:rsidRDefault="00865418">
            <w:pPr>
              <w:pStyle w:val="-7"/>
              <w:pBdr>
                <w:bottom w:val="single" w:sz="4" w:space="1" w:color="auto"/>
              </w:pBdr>
              <w:spacing w:line="240" w:lineRule="auto"/>
              <w:jc w:val="center"/>
              <w:rPr>
                <w:b/>
                <w:bCs/>
                <w:sz w:val="18"/>
                <w:szCs w:val="18"/>
                <w:rtl/>
              </w:rPr>
            </w:pPr>
            <w:r w:rsidRPr="00DC6BA9">
              <w:rPr>
                <w:rFonts w:hint="eastAsia"/>
                <w:b/>
                <w:bCs/>
                <w:sz w:val="18"/>
                <w:szCs w:val="18"/>
                <w:rtl/>
              </w:rPr>
              <w:t>ביום</w:t>
            </w:r>
            <w:r w:rsidRPr="00DC6BA9">
              <w:rPr>
                <w:b/>
                <w:bCs/>
                <w:sz w:val="18"/>
                <w:szCs w:val="18"/>
                <w:rtl/>
              </w:rPr>
              <w:t xml:space="preserve"> 30 </w:t>
            </w:r>
            <w:r w:rsidRPr="00DC6BA9">
              <w:rPr>
                <w:rFonts w:hint="eastAsia"/>
                <w:b/>
                <w:bCs/>
                <w:sz w:val="18"/>
                <w:szCs w:val="18"/>
                <w:rtl/>
              </w:rPr>
              <w:t>ביוני</w:t>
            </w:r>
          </w:p>
        </w:tc>
        <w:tc>
          <w:tcPr>
            <w:tcW w:w="1418" w:type="dxa"/>
            <w:tcBorders>
              <w:top w:val="nil"/>
              <w:left w:val="nil"/>
              <w:bottom w:val="nil"/>
              <w:right w:val="nil"/>
            </w:tcBorders>
            <w:vAlign w:val="bottom"/>
          </w:tcPr>
          <w:p w14:paraId="4F9EABD3" w14:textId="77777777" w:rsidR="00F32A2A" w:rsidRPr="00DC6BA9" w:rsidRDefault="00865418">
            <w:pPr>
              <w:pStyle w:val="-4"/>
              <w:spacing w:line="240" w:lineRule="auto"/>
              <w:rPr>
                <w:sz w:val="18"/>
                <w:szCs w:val="18"/>
                <w:rtl/>
              </w:rPr>
            </w:pPr>
            <w:r w:rsidRPr="00DC6BA9">
              <w:rPr>
                <w:rFonts w:hint="eastAsia"/>
                <w:sz w:val="18"/>
                <w:szCs w:val="18"/>
                <w:rtl/>
              </w:rPr>
              <w:t>לשנה</w:t>
            </w:r>
            <w:r w:rsidRPr="00DC6BA9">
              <w:rPr>
                <w:sz w:val="18"/>
                <w:szCs w:val="18"/>
                <w:rtl/>
              </w:rPr>
              <w:t xml:space="preserve"> </w:t>
            </w:r>
            <w:r w:rsidRPr="00DC6BA9">
              <w:rPr>
                <w:rFonts w:hint="eastAsia"/>
                <w:sz w:val="18"/>
                <w:szCs w:val="18"/>
                <w:rtl/>
              </w:rPr>
              <w:t>שהסתיימה</w:t>
            </w:r>
            <w:r w:rsidRPr="00DC6BA9">
              <w:rPr>
                <w:sz w:val="18"/>
                <w:szCs w:val="18"/>
                <w:rtl/>
              </w:rPr>
              <w:t xml:space="preserve"> </w:t>
            </w:r>
            <w:r w:rsidRPr="00DC6BA9">
              <w:rPr>
                <w:rFonts w:hint="eastAsia"/>
                <w:sz w:val="18"/>
                <w:szCs w:val="18"/>
                <w:rtl/>
              </w:rPr>
              <w:t>ביום</w:t>
            </w:r>
            <w:r w:rsidR="00162BD5" w:rsidRPr="00DC6BA9">
              <w:rPr>
                <w:rFonts w:hint="cs"/>
                <w:sz w:val="18"/>
                <w:szCs w:val="18"/>
                <w:rtl/>
              </w:rPr>
              <w:t xml:space="preserve"> </w:t>
            </w:r>
            <w:r w:rsidR="00951DC8" w:rsidRPr="00DC6BA9">
              <w:rPr>
                <w:rFonts w:hint="cs"/>
                <w:sz w:val="18"/>
                <w:szCs w:val="18"/>
                <w:rtl/>
              </w:rPr>
              <w:t>31 בדצמבר</w:t>
            </w:r>
          </w:p>
        </w:tc>
      </w:tr>
      <w:tr w:rsidR="00F45D8D" w:rsidRPr="00AB469F" w14:paraId="546A1521" w14:textId="77777777" w:rsidTr="00DC6BA9">
        <w:tc>
          <w:tcPr>
            <w:tcW w:w="1134" w:type="dxa"/>
            <w:tcBorders>
              <w:top w:val="nil"/>
              <w:left w:val="nil"/>
              <w:bottom w:val="nil"/>
              <w:right w:val="nil"/>
            </w:tcBorders>
          </w:tcPr>
          <w:p w14:paraId="5CBFDEB2" w14:textId="5ABE8114" w:rsidR="00F32A2A" w:rsidRPr="000F230D" w:rsidRDefault="00F32A2A" w:rsidP="000F230D">
            <w:pPr>
              <w:pStyle w:val="-0"/>
              <w:spacing w:line="240" w:lineRule="auto"/>
              <w:jc w:val="right"/>
              <w:rPr>
                <w:sz w:val="12"/>
                <w:szCs w:val="12"/>
                <w:rtl/>
              </w:rPr>
            </w:pPr>
          </w:p>
        </w:tc>
        <w:tc>
          <w:tcPr>
            <w:tcW w:w="3766" w:type="dxa"/>
            <w:tcBorders>
              <w:top w:val="nil"/>
              <w:left w:val="nil"/>
              <w:bottom w:val="nil"/>
              <w:right w:val="nil"/>
            </w:tcBorders>
            <w:vAlign w:val="bottom"/>
          </w:tcPr>
          <w:p w14:paraId="47CF4681" w14:textId="77777777" w:rsidR="00F32A2A" w:rsidRDefault="00F32A2A">
            <w:pPr>
              <w:pStyle w:val="-0"/>
              <w:spacing w:line="240" w:lineRule="auto"/>
              <w:rPr>
                <w:rtl/>
              </w:rPr>
            </w:pPr>
          </w:p>
        </w:tc>
        <w:tc>
          <w:tcPr>
            <w:tcW w:w="422" w:type="dxa"/>
            <w:tcBorders>
              <w:top w:val="nil"/>
              <w:left w:val="nil"/>
              <w:bottom w:val="nil"/>
              <w:right w:val="nil"/>
            </w:tcBorders>
            <w:tcMar>
              <w:left w:w="58" w:type="dxa"/>
              <w:right w:w="58" w:type="dxa"/>
            </w:tcMar>
          </w:tcPr>
          <w:p w14:paraId="75D095A8" w14:textId="77777777" w:rsidR="00F32A2A" w:rsidRPr="00DC6BA9" w:rsidRDefault="00F32A2A">
            <w:pPr>
              <w:rPr>
                <w:sz w:val="18"/>
                <w:szCs w:val="18"/>
                <w:rtl/>
              </w:rPr>
            </w:pPr>
          </w:p>
        </w:tc>
        <w:tc>
          <w:tcPr>
            <w:tcW w:w="842" w:type="dxa"/>
            <w:tcBorders>
              <w:top w:val="nil"/>
              <w:left w:val="nil"/>
              <w:bottom w:val="nil"/>
              <w:right w:val="nil"/>
            </w:tcBorders>
            <w:vAlign w:val="bottom"/>
          </w:tcPr>
          <w:p w14:paraId="5E0A4338" w14:textId="48FB49A4" w:rsidR="00F32A2A" w:rsidRPr="00DC6BA9" w:rsidRDefault="00C803FD" w:rsidP="00914A73">
            <w:pPr>
              <w:pStyle w:val="-4"/>
              <w:spacing w:line="240" w:lineRule="auto"/>
              <w:rPr>
                <w:sz w:val="18"/>
                <w:szCs w:val="18"/>
                <w:rtl/>
              </w:rPr>
            </w:pPr>
            <w:r w:rsidRPr="00DC6BA9">
              <w:rPr>
                <w:sz w:val="18"/>
                <w:szCs w:val="18"/>
                <w:rtl/>
              </w:rPr>
              <w:fldChar w:fldCharType="begin"/>
            </w:r>
            <w:r w:rsidRPr="00DC6BA9">
              <w:rPr>
                <w:sz w:val="18"/>
                <w:szCs w:val="18"/>
                <w:rtl/>
              </w:rPr>
              <w:instrText xml:space="preserve"> </w:instrText>
            </w:r>
            <w:r w:rsidRPr="00DC6BA9">
              <w:rPr>
                <w:rFonts w:hint="cs"/>
                <w:sz w:val="18"/>
                <w:szCs w:val="18"/>
                <w:rtl/>
              </w:rPr>
              <w:instrText xml:space="preserve">= </w:instrText>
            </w:r>
            <w:r w:rsidRPr="00DC6BA9">
              <w:rPr>
                <w:rFonts w:hint="cs"/>
                <w:sz w:val="18"/>
                <w:szCs w:val="18"/>
              </w:rPr>
              <w:instrText>CY \* MERGEFORMAT</w:instrText>
            </w:r>
            <w:r w:rsidRPr="00DC6BA9">
              <w:rPr>
                <w:sz w:val="18"/>
                <w:szCs w:val="18"/>
                <w:rtl/>
              </w:rPr>
              <w:instrText xml:space="preserve"> </w:instrText>
            </w:r>
            <w:r w:rsidRPr="00DC6BA9">
              <w:rPr>
                <w:sz w:val="18"/>
                <w:szCs w:val="18"/>
                <w:rtl/>
              </w:rPr>
              <w:fldChar w:fldCharType="separate"/>
            </w:r>
            <w:r w:rsidR="003A584F" w:rsidRPr="00DC6BA9">
              <w:rPr>
                <w:noProof/>
                <w:sz w:val="18"/>
                <w:szCs w:val="18"/>
                <w:rtl/>
              </w:rPr>
              <w:t>2024</w:t>
            </w:r>
            <w:r w:rsidRPr="00DC6BA9">
              <w:rPr>
                <w:sz w:val="18"/>
                <w:szCs w:val="18"/>
                <w:rtl/>
              </w:rPr>
              <w:fldChar w:fldCharType="end"/>
            </w:r>
          </w:p>
        </w:tc>
        <w:tc>
          <w:tcPr>
            <w:tcW w:w="841" w:type="dxa"/>
            <w:tcBorders>
              <w:top w:val="nil"/>
              <w:left w:val="nil"/>
              <w:bottom w:val="nil"/>
              <w:right w:val="nil"/>
            </w:tcBorders>
            <w:vAlign w:val="bottom"/>
          </w:tcPr>
          <w:p w14:paraId="4AC1987B" w14:textId="4D3D59C0" w:rsidR="00F32A2A" w:rsidRPr="00DC6BA9" w:rsidRDefault="00C803FD" w:rsidP="00914A73">
            <w:pPr>
              <w:pStyle w:val="-4"/>
              <w:spacing w:line="240" w:lineRule="auto"/>
              <w:rPr>
                <w:sz w:val="18"/>
                <w:szCs w:val="18"/>
                <w:rtl/>
              </w:rPr>
            </w:pPr>
            <w:r w:rsidRPr="00DC6BA9">
              <w:rPr>
                <w:sz w:val="18"/>
                <w:szCs w:val="18"/>
                <w:rtl/>
              </w:rPr>
              <w:fldChar w:fldCharType="begin"/>
            </w:r>
            <w:r w:rsidRPr="00DC6BA9">
              <w:rPr>
                <w:sz w:val="18"/>
                <w:szCs w:val="18"/>
                <w:rtl/>
              </w:rPr>
              <w:instrText xml:space="preserve"> </w:instrText>
            </w:r>
            <w:r w:rsidRPr="00DC6BA9">
              <w:rPr>
                <w:rFonts w:hint="cs"/>
                <w:sz w:val="18"/>
                <w:szCs w:val="18"/>
                <w:rtl/>
              </w:rPr>
              <w:instrText xml:space="preserve">= </w:instrText>
            </w:r>
            <w:r w:rsidRPr="00DC6BA9">
              <w:rPr>
                <w:rFonts w:hint="cs"/>
                <w:sz w:val="18"/>
                <w:szCs w:val="18"/>
              </w:rPr>
              <w:instrText>CY</w:instrText>
            </w:r>
            <w:r w:rsidRPr="00DC6BA9">
              <w:rPr>
                <w:sz w:val="18"/>
                <w:szCs w:val="18"/>
              </w:rPr>
              <w:instrText>-1</w:instrText>
            </w:r>
            <w:r w:rsidRPr="00DC6BA9">
              <w:rPr>
                <w:rFonts w:hint="cs"/>
                <w:sz w:val="18"/>
                <w:szCs w:val="18"/>
              </w:rPr>
              <w:instrText xml:space="preserve"> \* MERGEFORMAT</w:instrText>
            </w:r>
            <w:r w:rsidRPr="00DC6BA9">
              <w:rPr>
                <w:sz w:val="18"/>
                <w:szCs w:val="18"/>
                <w:rtl/>
              </w:rPr>
              <w:instrText xml:space="preserve"> </w:instrText>
            </w:r>
            <w:r w:rsidRPr="00DC6BA9">
              <w:rPr>
                <w:sz w:val="18"/>
                <w:szCs w:val="18"/>
                <w:rtl/>
              </w:rPr>
              <w:fldChar w:fldCharType="separate"/>
            </w:r>
            <w:r w:rsidR="003A584F" w:rsidRPr="00DC6BA9">
              <w:rPr>
                <w:noProof/>
                <w:sz w:val="18"/>
                <w:szCs w:val="18"/>
                <w:rtl/>
              </w:rPr>
              <w:t>2023</w:t>
            </w:r>
            <w:r w:rsidRPr="00DC6BA9">
              <w:rPr>
                <w:sz w:val="18"/>
                <w:szCs w:val="18"/>
                <w:rtl/>
              </w:rPr>
              <w:fldChar w:fldCharType="end"/>
            </w:r>
          </w:p>
        </w:tc>
        <w:tc>
          <w:tcPr>
            <w:tcW w:w="842" w:type="dxa"/>
            <w:tcBorders>
              <w:top w:val="nil"/>
              <w:left w:val="nil"/>
              <w:bottom w:val="nil"/>
              <w:right w:val="nil"/>
            </w:tcBorders>
            <w:vAlign w:val="bottom"/>
          </w:tcPr>
          <w:p w14:paraId="0003780F" w14:textId="013CEE2F" w:rsidR="00F32A2A" w:rsidRPr="00DC6BA9" w:rsidRDefault="00C803FD" w:rsidP="00593A1A">
            <w:pPr>
              <w:pStyle w:val="-4"/>
              <w:spacing w:line="240" w:lineRule="auto"/>
              <w:rPr>
                <w:sz w:val="18"/>
                <w:szCs w:val="18"/>
                <w:rtl/>
              </w:rPr>
            </w:pPr>
            <w:r w:rsidRPr="00DC6BA9">
              <w:rPr>
                <w:sz w:val="18"/>
                <w:szCs w:val="18"/>
                <w:rtl/>
              </w:rPr>
              <w:fldChar w:fldCharType="begin"/>
            </w:r>
            <w:r w:rsidRPr="00DC6BA9">
              <w:rPr>
                <w:sz w:val="18"/>
                <w:szCs w:val="18"/>
                <w:rtl/>
              </w:rPr>
              <w:instrText xml:space="preserve"> </w:instrText>
            </w:r>
            <w:r w:rsidRPr="00DC6BA9">
              <w:rPr>
                <w:rFonts w:hint="cs"/>
                <w:sz w:val="18"/>
                <w:szCs w:val="18"/>
                <w:rtl/>
              </w:rPr>
              <w:instrText xml:space="preserve">= </w:instrText>
            </w:r>
            <w:r w:rsidRPr="00DC6BA9">
              <w:rPr>
                <w:rFonts w:hint="cs"/>
                <w:sz w:val="18"/>
                <w:szCs w:val="18"/>
              </w:rPr>
              <w:instrText>CY \* MERGEFORMAT</w:instrText>
            </w:r>
            <w:r w:rsidRPr="00DC6BA9">
              <w:rPr>
                <w:sz w:val="18"/>
                <w:szCs w:val="18"/>
                <w:rtl/>
              </w:rPr>
              <w:instrText xml:space="preserve"> </w:instrText>
            </w:r>
            <w:r w:rsidRPr="00DC6BA9">
              <w:rPr>
                <w:sz w:val="18"/>
                <w:szCs w:val="18"/>
                <w:rtl/>
              </w:rPr>
              <w:fldChar w:fldCharType="separate"/>
            </w:r>
            <w:r w:rsidR="003A584F" w:rsidRPr="00DC6BA9">
              <w:rPr>
                <w:noProof/>
                <w:sz w:val="18"/>
                <w:szCs w:val="18"/>
                <w:rtl/>
              </w:rPr>
              <w:t>2024</w:t>
            </w:r>
            <w:r w:rsidRPr="00DC6BA9">
              <w:rPr>
                <w:sz w:val="18"/>
                <w:szCs w:val="18"/>
                <w:rtl/>
              </w:rPr>
              <w:fldChar w:fldCharType="end"/>
            </w:r>
          </w:p>
        </w:tc>
        <w:tc>
          <w:tcPr>
            <w:tcW w:w="798" w:type="dxa"/>
            <w:tcBorders>
              <w:top w:val="nil"/>
              <w:left w:val="nil"/>
              <w:bottom w:val="nil"/>
              <w:right w:val="nil"/>
            </w:tcBorders>
            <w:vAlign w:val="bottom"/>
          </w:tcPr>
          <w:p w14:paraId="202194F8" w14:textId="6306B9D0" w:rsidR="00F32A2A" w:rsidRPr="00DC6BA9" w:rsidRDefault="00C803FD" w:rsidP="00593A1A">
            <w:pPr>
              <w:pStyle w:val="-4"/>
              <w:spacing w:line="240" w:lineRule="auto"/>
              <w:rPr>
                <w:sz w:val="18"/>
                <w:szCs w:val="18"/>
                <w:rtl/>
              </w:rPr>
            </w:pPr>
            <w:r w:rsidRPr="00DC6BA9">
              <w:rPr>
                <w:sz w:val="18"/>
                <w:szCs w:val="18"/>
                <w:rtl/>
              </w:rPr>
              <w:fldChar w:fldCharType="begin"/>
            </w:r>
            <w:r w:rsidRPr="00DC6BA9">
              <w:rPr>
                <w:sz w:val="18"/>
                <w:szCs w:val="18"/>
                <w:rtl/>
              </w:rPr>
              <w:instrText xml:space="preserve"> </w:instrText>
            </w:r>
            <w:r w:rsidRPr="00DC6BA9">
              <w:rPr>
                <w:rFonts w:hint="cs"/>
                <w:sz w:val="18"/>
                <w:szCs w:val="18"/>
                <w:rtl/>
              </w:rPr>
              <w:instrText xml:space="preserve">= </w:instrText>
            </w:r>
            <w:r w:rsidRPr="00DC6BA9">
              <w:rPr>
                <w:rFonts w:hint="cs"/>
                <w:sz w:val="18"/>
                <w:szCs w:val="18"/>
              </w:rPr>
              <w:instrText>CY</w:instrText>
            </w:r>
            <w:r w:rsidRPr="00DC6BA9">
              <w:rPr>
                <w:sz w:val="18"/>
                <w:szCs w:val="18"/>
              </w:rPr>
              <w:instrText>-1</w:instrText>
            </w:r>
            <w:r w:rsidRPr="00DC6BA9">
              <w:rPr>
                <w:rFonts w:hint="cs"/>
                <w:sz w:val="18"/>
                <w:szCs w:val="18"/>
              </w:rPr>
              <w:instrText xml:space="preserve"> \* MERGEFORMAT</w:instrText>
            </w:r>
            <w:r w:rsidRPr="00DC6BA9">
              <w:rPr>
                <w:sz w:val="18"/>
                <w:szCs w:val="18"/>
                <w:rtl/>
              </w:rPr>
              <w:instrText xml:space="preserve"> </w:instrText>
            </w:r>
            <w:r w:rsidRPr="00DC6BA9">
              <w:rPr>
                <w:sz w:val="18"/>
                <w:szCs w:val="18"/>
                <w:rtl/>
              </w:rPr>
              <w:fldChar w:fldCharType="separate"/>
            </w:r>
            <w:r w:rsidR="003A584F" w:rsidRPr="00DC6BA9">
              <w:rPr>
                <w:noProof/>
                <w:sz w:val="18"/>
                <w:szCs w:val="18"/>
                <w:rtl/>
              </w:rPr>
              <w:t>2023</w:t>
            </w:r>
            <w:r w:rsidRPr="00DC6BA9">
              <w:rPr>
                <w:sz w:val="18"/>
                <w:szCs w:val="18"/>
                <w:rtl/>
              </w:rPr>
              <w:fldChar w:fldCharType="end"/>
            </w:r>
          </w:p>
        </w:tc>
        <w:tc>
          <w:tcPr>
            <w:tcW w:w="1418" w:type="dxa"/>
            <w:tcBorders>
              <w:top w:val="nil"/>
              <w:left w:val="nil"/>
              <w:bottom w:val="nil"/>
              <w:right w:val="nil"/>
            </w:tcBorders>
            <w:vAlign w:val="bottom"/>
          </w:tcPr>
          <w:p w14:paraId="435CA671" w14:textId="42620FCB" w:rsidR="00F32A2A" w:rsidRPr="00DC6BA9" w:rsidRDefault="00C803FD" w:rsidP="00593A1A">
            <w:pPr>
              <w:pStyle w:val="-4"/>
              <w:spacing w:line="240" w:lineRule="auto"/>
              <w:rPr>
                <w:sz w:val="18"/>
                <w:szCs w:val="18"/>
                <w:rtl/>
              </w:rPr>
            </w:pPr>
            <w:r w:rsidRPr="00DC6BA9">
              <w:rPr>
                <w:sz w:val="18"/>
                <w:szCs w:val="18"/>
                <w:rtl/>
              </w:rPr>
              <w:fldChar w:fldCharType="begin"/>
            </w:r>
            <w:r w:rsidRPr="00DC6BA9">
              <w:rPr>
                <w:sz w:val="18"/>
                <w:szCs w:val="18"/>
                <w:rtl/>
              </w:rPr>
              <w:instrText xml:space="preserve"> </w:instrText>
            </w:r>
            <w:r w:rsidRPr="00DC6BA9">
              <w:rPr>
                <w:rFonts w:hint="cs"/>
                <w:sz w:val="18"/>
                <w:szCs w:val="18"/>
                <w:rtl/>
              </w:rPr>
              <w:instrText xml:space="preserve">= </w:instrText>
            </w:r>
            <w:r w:rsidRPr="00DC6BA9">
              <w:rPr>
                <w:rFonts w:hint="cs"/>
                <w:sz w:val="18"/>
                <w:szCs w:val="18"/>
              </w:rPr>
              <w:instrText>CY</w:instrText>
            </w:r>
            <w:r w:rsidRPr="00DC6BA9">
              <w:rPr>
                <w:sz w:val="18"/>
                <w:szCs w:val="18"/>
              </w:rPr>
              <w:instrText>-1</w:instrText>
            </w:r>
            <w:r w:rsidRPr="00DC6BA9">
              <w:rPr>
                <w:rFonts w:hint="cs"/>
                <w:sz w:val="18"/>
                <w:szCs w:val="18"/>
              </w:rPr>
              <w:instrText xml:space="preserve"> \* MERGEFORMAT</w:instrText>
            </w:r>
            <w:r w:rsidRPr="00DC6BA9">
              <w:rPr>
                <w:sz w:val="18"/>
                <w:szCs w:val="18"/>
                <w:rtl/>
              </w:rPr>
              <w:instrText xml:space="preserve"> </w:instrText>
            </w:r>
            <w:r w:rsidRPr="00DC6BA9">
              <w:rPr>
                <w:sz w:val="18"/>
                <w:szCs w:val="18"/>
                <w:rtl/>
              </w:rPr>
              <w:fldChar w:fldCharType="separate"/>
            </w:r>
            <w:r w:rsidR="003A584F" w:rsidRPr="00DC6BA9">
              <w:rPr>
                <w:noProof/>
                <w:sz w:val="18"/>
                <w:szCs w:val="18"/>
                <w:rtl/>
              </w:rPr>
              <w:t>2023</w:t>
            </w:r>
            <w:r w:rsidRPr="00DC6BA9">
              <w:rPr>
                <w:sz w:val="18"/>
                <w:szCs w:val="18"/>
                <w:rtl/>
              </w:rPr>
              <w:fldChar w:fldCharType="end"/>
            </w:r>
          </w:p>
        </w:tc>
      </w:tr>
      <w:tr w:rsidR="00E7579C" w:rsidRPr="00AB469F" w14:paraId="1839AA57" w14:textId="77777777" w:rsidTr="00DC6BA9">
        <w:tc>
          <w:tcPr>
            <w:tcW w:w="1134" w:type="dxa"/>
            <w:tcBorders>
              <w:top w:val="nil"/>
              <w:left w:val="nil"/>
              <w:bottom w:val="nil"/>
              <w:right w:val="nil"/>
            </w:tcBorders>
          </w:tcPr>
          <w:p w14:paraId="04B96D81" w14:textId="77777777" w:rsidR="00F32A2A" w:rsidRDefault="00F32A2A">
            <w:pPr>
              <w:pStyle w:val="-0"/>
              <w:spacing w:line="240" w:lineRule="auto"/>
              <w:rPr>
                <w:rtl/>
              </w:rPr>
            </w:pPr>
          </w:p>
        </w:tc>
        <w:tc>
          <w:tcPr>
            <w:tcW w:w="3766" w:type="dxa"/>
            <w:tcBorders>
              <w:top w:val="nil"/>
              <w:left w:val="nil"/>
              <w:bottom w:val="nil"/>
              <w:right w:val="nil"/>
            </w:tcBorders>
            <w:vAlign w:val="bottom"/>
          </w:tcPr>
          <w:p w14:paraId="58AAB186" w14:textId="77777777" w:rsidR="00F32A2A" w:rsidRDefault="00F32A2A">
            <w:pPr>
              <w:pStyle w:val="-0"/>
              <w:spacing w:line="240" w:lineRule="auto"/>
              <w:rPr>
                <w:rtl/>
              </w:rPr>
            </w:pPr>
          </w:p>
        </w:tc>
        <w:tc>
          <w:tcPr>
            <w:tcW w:w="422" w:type="dxa"/>
            <w:tcBorders>
              <w:top w:val="nil"/>
              <w:left w:val="nil"/>
              <w:bottom w:val="nil"/>
              <w:right w:val="nil"/>
            </w:tcBorders>
            <w:tcMar>
              <w:left w:w="58" w:type="dxa"/>
              <w:right w:w="58" w:type="dxa"/>
            </w:tcMar>
          </w:tcPr>
          <w:p w14:paraId="27693C58" w14:textId="77777777" w:rsidR="00F32A2A" w:rsidRPr="00DC6BA9" w:rsidRDefault="00F32A2A">
            <w:pPr>
              <w:rPr>
                <w:sz w:val="18"/>
                <w:szCs w:val="18"/>
                <w:rtl/>
              </w:rPr>
            </w:pPr>
          </w:p>
        </w:tc>
        <w:tc>
          <w:tcPr>
            <w:tcW w:w="1683" w:type="dxa"/>
            <w:gridSpan w:val="2"/>
            <w:tcBorders>
              <w:top w:val="nil"/>
              <w:left w:val="nil"/>
              <w:bottom w:val="nil"/>
              <w:right w:val="nil"/>
            </w:tcBorders>
            <w:vAlign w:val="bottom"/>
          </w:tcPr>
          <w:p w14:paraId="0B3CCD92" w14:textId="77777777" w:rsidR="00F32A2A" w:rsidRPr="00DC6BA9" w:rsidRDefault="003320D9">
            <w:pPr>
              <w:pStyle w:val="-4"/>
              <w:spacing w:line="240" w:lineRule="auto"/>
              <w:rPr>
                <w:sz w:val="18"/>
                <w:szCs w:val="18"/>
                <w:rtl/>
              </w:rPr>
            </w:pPr>
            <w:r w:rsidRPr="00DC6BA9">
              <w:rPr>
                <w:rFonts w:hint="eastAsia"/>
                <w:sz w:val="18"/>
                <w:szCs w:val="18"/>
                <w:rtl/>
              </w:rPr>
              <w:t>בלתי</w:t>
            </w:r>
            <w:r w:rsidRPr="00DC6BA9">
              <w:rPr>
                <w:sz w:val="18"/>
                <w:szCs w:val="18"/>
                <w:rtl/>
              </w:rPr>
              <w:t xml:space="preserve"> </w:t>
            </w:r>
            <w:r w:rsidRPr="00DC6BA9">
              <w:rPr>
                <w:rFonts w:hint="eastAsia"/>
                <w:sz w:val="18"/>
                <w:szCs w:val="18"/>
                <w:rtl/>
              </w:rPr>
              <w:t>מבוקר</w:t>
            </w:r>
          </w:p>
        </w:tc>
        <w:tc>
          <w:tcPr>
            <w:tcW w:w="1640" w:type="dxa"/>
            <w:gridSpan w:val="2"/>
            <w:tcBorders>
              <w:top w:val="nil"/>
              <w:left w:val="nil"/>
              <w:bottom w:val="nil"/>
              <w:right w:val="nil"/>
            </w:tcBorders>
            <w:vAlign w:val="bottom"/>
          </w:tcPr>
          <w:p w14:paraId="36A70619" w14:textId="77777777" w:rsidR="00F32A2A" w:rsidRPr="00DC6BA9" w:rsidRDefault="003320D9">
            <w:pPr>
              <w:pStyle w:val="-4"/>
              <w:spacing w:line="240" w:lineRule="auto"/>
              <w:rPr>
                <w:sz w:val="18"/>
                <w:szCs w:val="18"/>
                <w:rtl/>
              </w:rPr>
            </w:pPr>
            <w:r w:rsidRPr="00DC6BA9">
              <w:rPr>
                <w:rFonts w:hint="eastAsia"/>
                <w:sz w:val="18"/>
                <w:szCs w:val="18"/>
                <w:rtl/>
              </w:rPr>
              <w:t>בלתי</w:t>
            </w:r>
            <w:r w:rsidRPr="00DC6BA9">
              <w:rPr>
                <w:sz w:val="18"/>
                <w:szCs w:val="18"/>
                <w:rtl/>
              </w:rPr>
              <w:t xml:space="preserve"> </w:t>
            </w:r>
            <w:r w:rsidRPr="00DC6BA9">
              <w:rPr>
                <w:rFonts w:hint="eastAsia"/>
                <w:sz w:val="18"/>
                <w:szCs w:val="18"/>
                <w:rtl/>
              </w:rPr>
              <w:t>מבוקר</w:t>
            </w:r>
          </w:p>
        </w:tc>
        <w:tc>
          <w:tcPr>
            <w:tcW w:w="1418" w:type="dxa"/>
            <w:tcBorders>
              <w:top w:val="nil"/>
              <w:left w:val="nil"/>
              <w:bottom w:val="nil"/>
              <w:right w:val="nil"/>
            </w:tcBorders>
            <w:vAlign w:val="bottom"/>
          </w:tcPr>
          <w:p w14:paraId="40A1BF6E" w14:textId="77777777" w:rsidR="00F32A2A" w:rsidRPr="00DC6BA9" w:rsidRDefault="003320D9">
            <w:pPr>
              <w:pStyle w:val="-4"/>
              <w:spacing w:line="240" w:lineRule="auto"/>
              <w:rPr>
                <w:sz w:val="18"/>
                <w:szCs w:val="18"/>
                <w:rtl/>
              </w:rPr>
            </w:pPr>
            <w:r w:rsidRPr="00DC6BA9">
              <w:rPr>
                <w:rFonts w:hint="eastAsia"/>
                <w:sz w:val="18"/>
                <w:szCs w:val="18"/>
                <w:rtl/>
              </w:rPr>
              <w:t>מבוקר</w:t>
            </w:r>
          </w:p>
        </w:tc>
      </w:tr>
      <w:tr w:rsidR="00CD6F8C" w:rsidRPr="00543C25" w14:paraId="6EE12104" w14:textId="77777777" w:rsidTr="00DC6BA9">
        <w:tc>
          <w:tcPr>
            <w:tcW w:w="1134" w:type="dxa"/>
            <w:tcBorders>
              <w:top w:val="nil"/>
              <w:left w:val="nil"/>
              <w:bottom w:val="nil"/>
              <w:right w:val="nil"/>
            </w:tcBorders>
          </w:tcPr>
          <w:p w14:paraId="77489B1A" w14:textId="77777777" w:rsidR="00CD6F8C" w:rsidRDefault="00CD6F8C">
            <w:pPr>
              <w:pStyle w:val="-7"/>
              <w:spacing w:before="20" w:line="240" w:lineRule="exact"/>
              <w:rPr>
                <w:rtl/>
              </w:rPr>
            </w:pPr>
          </w:p>
        </w:tc>
        <w:tc>
          <w:tcPr>
            <w:tcW w:w="3766" w:type="dxa"/>
            <w:tcBorders>
              <w:top w:val="nil"/>
              <w:left w:val="nil"/>
              <w:bottom w:val="nil"/>
              <w:right w:val="nil"/>
            </w:tcBorders>
            <w:vAlign w:val="bottom"/>
          </w:tcPr>
          <w:p w14:paraId="377329EF" w14:textId="77777777" w:rsidR="00CD6F8C" w:rsidRPr="00CD6F8C" w:rsidRDefault="00CD6F8C">
            <w:pPr>
              <w:pStyle w:val="-0"/>
              <w:spacing w:before="20" w:line="240" w:lineRule="exact"/>
              <w:rPr>
                <w:b/>
                <w:bCs/>
                <w:u w:val="single"/>
                <w:rtl/>
              </w:rPr>
            </w:pPr>
            <w:r w:rsidRPr="00CD6F8C">
              <w:rPr>
                <w:rFonts w:hint="cs"/>
                <w:b/>
                <w:bCs/>
                <w:u w:val="single"/>
                <w:rtl/>
              </w:rPr>
              <w:t>תזרימי מזומנים מפעילות השקעה</w:t>
            </w:r>
          </w:p>
        </w:tc>
        <w:tc>
          <w:tcPr>
            <w:tcW w:w="422" w:type="dxa"/>
            <w:tcBorders>
              <w:top w:val="nil"/>
              <w:left w:val="nil"/>
              <w:bottom w:val="nil"/>
              <w:right w:val="nil"/>
            </w:tcBorders>
            <w:tcMar>
              <w:left w:w="58" w:type="dxa"/>
              <w:right w:w="58" w:type="dxa"/>
            </w:tcMar>
          </w:tcPr>
          <w:p w14:paraId="581C8878" w14:textId="77777777" w:rsidR="00CD6F8C" w:rsidRDefault="00CD6F8C">
            <w:pPr>
              <w:pStyle w:val="-7"/>
              <w:spacing w:before="20" w:line="240" w:lineRule="exact"/>
              <w:rPr>
                <w:rtl/>
              </w:rPr>
            </w:pPr>
          </w:p>
        </w:tc>
        <w:tc>
          <w:tcPr>
            <w:tcW w:w="842" w:type="dxa"/>
            <w:tcBorders>
              <w:top w:val="nil"/>
              <w:left w:val="nil"/>
              <w:bottom w:val="nil"/>
              <w:right w:val="nil"/>
            </w:tcBorders>
            <w:vAlign w:val="bottom"/>
          </w:tcPr>
          <w:p w14:paraId="59AC4AD8" w14:textId="77777777" w:rsidR="00CD6F8C" w:rsidRDefault="00CD6F8C">
            <w:pPr>
              <w:pStyle w:val="-7"/>
              <w:spacing w:before="20" w:line="240" w:lineRule="exact"/>
              <w:rPr>
                <w:rtl/>
              </w:rPr>
            </w:pPr>
          </w:p>
        </w:tc>
        <w:tc>
          <w:tcPr>
            <w:tcW w:w="841" w:type="dxa"/>
            <w:tcBorders>
              <w:top w:val="nil"/>
              <w:left w:val="nil"/>
              <w:bottom w:val="nil"/>
              <w:right w:val="nil"/>
            </w:tcBorders>
            <w:vAlign w:val="bottom"/>
          </w:tcPr>
          <w:p w14:paraId="41C025D9" w14:textId="77777777" w:rsidR="00CD6F8C" w:rsidRDefault="00CD6F8C">
            <w:pPr>
              <w:pStyle w:val="-7"/>
              <w:spacing w:before="20" w:line="240" w:lineRule="exact"/>
              <w:rPr>
                <w:rtl/>
              </w:rPr>
            </w:pPr>
          </w:p>
        </w:tc>
        <w:tc>
          <w:tcPr>
            <w:tcW w:w="842" w:type="dxa"/>
            <w:tcBorders>
              <w:top w:val="nil"/>
              <w:left w:val="nil"/>
              <w:bottom w:val="nil"/>
              <w:right w:val="nil"/>
            </w:tcBorders>
            <w:vAlign w:val="bottom"/>
          </w:tcPr>
          <w:p w14:paraId="0378C675" w14:textId="77777777" w:rsidR="00CD6F8C" w:rsidRDefault="00CD6F8C">
            <w:pPr>
              <w:pStyle w:val="-7"/>
              <w:spacing w:before="20" w:line="240" w:lineRule="exact"/>
              <w:rPr>
                <w:rtl/>
              </w:rPr>
            </w:pPr>
          </w:p>
        </w:tc>
        <w:tc>
          <w:tcPr>
            <w:tcW w:w="798" w:type="dxa"/>
            <w:tcBorders>
              <w:top w:val="nil"/>
              <w:left w:val="nil"/>
              <w:bottom w:val="nil"/>
              <w:right w:val="nil"/>
            </w:tcBorders>
            <w:vAlign w:val="bottom"/>
          </w:tcPr>
          <w:p w14:paraId="4B623B10" w14:textId="77777777" w:rsidR="00CD6F8C" w:rsidRDefault="00CD6F8C">
            <w:pPr>
              <w:pStyle w:val="-7"/>
              <w:spacing w:before="20" w:line="240" w:lineRule="exact"/>
              <w:rPr>
                <w:rtl/>
              </w:rPr>
            </w:pPr>
          </w:p>
        </w:tc>
        <w:tc>
          <w:tcPr>
            <w:tcW w:w="1418" w:type="dxa"/>
            <w:tcBorders>
              <w:top w:val="nil"/>
              <w:left w:val="nil"/>
              <w:bottom w:val="nil"/>
              <w:right w:val="nil"/>
            </w:tcBorders>
            <w:vAlign w:val="bottom"/>
          </w:tcPr>
          <w:p w14:paraId="1280B65F" w14:textId="77777777" w:rsidR="00CD6F8C" w:rsidRDefault="00CD6F8C">
            <w:pPr>
              <w:pStyle w:val="-7"/>
              <w:spacing w:before="20" w:line="240" w:lineRule="exact"/>
              <w:rPr>
                <w:rtl/>
              </w:rPr>
            </w:pPr>
          </w:p>
        </w:tc>
      </w:tr>
      <w:tr w:rsidR="00CD6F8C" w:rsidRPr="00543C25" w14:paraId="79A51955" w14:textId="77777777" w:rsidTr="00DC6BA9">
        <w:tc>
          <w:tcPr>
            <w:tcW w:w="1134" w:type="dxa"/>
            <w:tcBorders>
              <w:top w:val="nil"/>
              <w:left w:val="nil"/>
              <w:bottom w:val="nil"/>
              <w:right w:val="nil"/>
            </w:tcBorders>
          </w:tcPr>
          <w:p w14:paraId="4DBC93BC" w14:textId="77777777" w:rsidR="00CD6F8C" w:rsidRDefault="00CD6F8C">
            <w:pPr>
              <w:pStyle w:val="-7"/>
              <w:spacing w:before="20" w:line="240" w:lineRule="exact"/>
              <w:rPr>
                <w:rtl/>
              </w:rPr>
            </w:pPr>
          </w:p>
        </w:tc>
        <w:tc>
          <w:tcPr>
            <w:tcW w:w="3766" w:type="dxa"/>
            <w:tcBorders>
              <w:top w:val="nil"/>
              <w:left w:val="nil"/>
              <w:bottom w:val="nil"/>
              <w:right w:val="nil"/>
            </w:tcBorders>
            <w:vAlign w:val="bottom"/>
          </w:tcPr>
          <w:p w14:paraId="567C61BF" w14:textId="77777777" w:rsidR="00CD6F8C" w:rsidRPr="00CD6F8C" w:rsidRDefault="00CD6F8C">
            <w:pPr>
              <w:pStyle w:val="-0"/>
              <w:spacing w:before="20" w:line="240" w:lineRule="exact"/>
              <w:rPr>
                <w:rtl/>
              </w:rPr>
            </w:pPr>
            <w:r w:rsidRPr="00CD6F8C">
              <w:rPr>
                <w:rFonts w:hint="cs"/>
                <w:rtl/>
              </w:rPr>
              <w:t>שינוי נטו בפיקדונות בבנקים</w:t>
            </w:r>
          </w:p>
        </w:tc>
        <w:tc>
          <w:tcPr>
            <w:tcW w:w="422" w:type="dxa"/>
            <w:tcBorders>
              <w:top w:val="nil"/>
              <w:left w:val="nil"/>
              <w:bottom w:val="nil"/>
              <w:right w:val="nil"/>
            </w:tcBorders>
            <w:tcMar>
              <w:left w:w="58" w:type="dxa"/>
              <w:right w:w="58" w:type="dxa"/>
            </w:tcMar>
          </w:tcPr>
          <w:p w14:paraId="7CBEBD0A" w14:textId="77777777" w:rsidR="00CD6F8C" w:rsidRDefault="00CD6F8C">
            <w:pPr>
              <w:pStyle w:val="-7"/>
              <w:spacing w:before="20" w:line="240" w:lineRule="exact"/>
              <w:rPr>
                <w:rtl/>
              </w:rPr>
            </w:pPr>
          </w:p>
        </w:tc>
        <w:tc>
          <w:tcPr>
            <w:tcW w:w="842" w:type="dxa"/>
            <w:tcBorders>
              <w:top w:val="nil"/>
              <w:left w:val="nil"/>
              <w:bottom w:val="nil"/>
              <w:right w:val="nil"/>
            </w:tcBorders>
            <w:vAlign w:val="bottom"/>
          </w:tcPr>
          <w:p w14:paraId="3C6734F9" w14:textId="77777777" w:rsidR="00CD6F8C" w:rsidRDefault="00CD6F8C">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5E681689" w14:textId="77777777" w:rsidR="00CD6F8C" w:rsidRDefault="00CD6F8C">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5A357D0E" w14:textId="77777777" w:rsidR="00CD6F8C" w:rsidRDefault="00CD6F8C">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510B6285" w14:textId="77777777" w:rsidR="00CD6F8C" w:rsidRDefault="00CD6F8C">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3CCF5964" w14:textId="77777777" w:rsidR="00CD6F8C" w:rsidRDefault="00CD6F8C">
            <w:pPr>
              <w:pStyle w:val="-7"/>
              <w:spacing w:before="20" w:line="240" w:lineRule="exact"/>
              <w:rPr>
                <w:rtl/>
              </w:rPr>
            </w:pPr>
            <w:r>
              <w:rPr>
                <w:rFonts w:hint="cs"/>
                <w:rtl/>
              </w:rPr>
              <w:t xml:space="preserve"> 0</w:t>
            </w:r>
          </w:p>
        </w:tc>
      </w:tr>
      <w:tr w:rsidR="00CD6F8C" w:rsidRPr="00543C25" w14:paraId="1D26D79A" w14:textId="77777777" w:rsidTr="00DC6BA9">
        <w:tc>
          <w:tcPr>
            <w:tcW w:w="1134" w:type="dxa"/>
            <w:tcBorders>
              <w:top w:val="nil"/>
              <w:left w:val="nil"/>
              <w:bottom w:val="nil"/>
              <w:right w:val="nil"/>
            </w:tcBorders>
          </w:tcPr>
          <w:p w14:paraId="4DC9C112" w14:textId="77777777" w:rsidR="00CD6F8C" w:rsidRDefault="00CD6F8C">
            <w:pPr>
              <w:pStyle w:val="-7"/>
              <w:spacing w:before="20" w:line="240" w:lineRule="exact"/>
              <w:rPr>
                <w:rtl/>
              </w:rPr>
            </w:pPr>
          </w:p>
        </w:tc>
        <w:tc>
          <w:tcPr>
            <w:tcW w:w="3766" w:type="dxa"/>
            <w:tcBorders>
              <w:top w:val="nil"/>
              <w:left w:val="nil"/>
              <w:bottom w:val="nil"/>
              <w:right w:val="nil"/>
            </w:tcBorders>
            <w:vAlign w:val="bottom"/>
          </w:tcPr>
          <w:p w14:paraId="5000BEA8" w14:textId="77777777" w:rsidR="00CD6F8C" w:rsidRPr="00CD6F8C" w:rsidRDefault="00CD6F8C">
            <w:pPr>
              <w:pStyle w:val="-0"/>
              <w:spacing w:before="20" w:line="240" w:lineRule="exact"/>
              <w:rPr>
                <w:rtl/>
              </w:rPr>
            </w:pPr>
            <w:r w:rsidRPr="00CD6F8C">
              <w:rPr>
                <w:rFonts w:hint="cs"/>
                <w:rtl/>
              </w:rPr>
              <w:t>שינוי נטו באשראי לציבור</w:t>
            </w:r>
          </w:p>
        </w:tc>
        <w:tc>
          <w:tcPr>
            <w:tcW w:w="422" w:type="dxa"/>
            <w:tcBorders>
              <w:top w:val="nil"/>
              <w:left w:val="nil"/>
              <w:bottom w:val="nil"/>
              <w:right w:val="nil"/>
            </w:tcBorders>
            <w:tcMar>
              <w:left w:w="58" w:type="dxa"/>
              <w:right w:w="58" w:type="dxa"/>
            </w:tcMar>
          </w:tcPr>
          <w:p w14:paraId="479F1B2E" w14:textId="77777777" w:rsidR="00CD6F8C" w:rsidRDefault="00CD6F8C">
            <w:pPr>
              <w:pStyle w:val="-7"/>
              <w:spacing w:before="20" w:line="240" w:lineRule="exact"/>
              <w:rPr>
                <w:rtl/>
              </w:rPr>
            </w:pPr>
          </w:p>
        </w:tc>
        <w:tc>
          <w:tcPr>
            <w:tcW w:w="842" w:type="dxa"/>
            <w:tcBorders>
              <w:top w:val="nil"/>
              <w:left w:val="nil"/>
              <w:bottom w:val="nil"/>
              <w:right w:val="nil"/>
            </w:tcBorders>
            <w:vAlign w:val="bottom"/>
          </w:tcPr>
          <w:p w14:paraId="3DE29FFC" w14:textId="77777777" w:rsidR="00CD6F8C" w:rsidRDefault="00CD6F8C">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3A204C15" w14:textId="77777777" w:rsidR="00CD6F8C" w:rsidRDefault="00CD6F8C">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04138AB0" w14:textId="77777777" w:rsidR="00CD6F8C" w:rsidRDefault="00CD6F8C">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7CBC393B" w14:textId="77777777" w:rsidR="00CD6F8C" w:rsidRDefault="00CD6F8C">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5BEC8E95" w14:textId="77777777" w:rsidR="00CD6F8C" w:rsidRDefault="00CD6F8C">
            <w:pPr>
              <w:pStyle w:val="-7"/>
              <w:spacing w:before="20" w:line="240" w:lineRule="exact"/>
              <w:rPr>
                <w:rtl/>
              </w:rPr>
            </w:pPr>
            <w:r>
              <w:rPr>
                <w:rFonts w:hint="cs"/>
                <w:rtl/>
              </w:rPr>
              <w:t xml:space="preserve"> 0</w:t>
            </w:r>
          </w:p>
        </w:tc>
      </w:tr>
      <w:tr w:rsidR="00CD6F8C" w:rsidRPr="00543C25" w14:paraId="3A1A295A" w14:textId="77777777" w:rsidTr="00DC6BA9">
        <w:tc>
          <w:tcPr>
            <w:tcW w:w="1134" w:type="dxa"/>
            <w:tcBorders>
              <w:top w:val="nil"/>
              <w:left w:val="nil"/>
              <w:bottom w:val="nil"/>
              <w:right w:val="nil"/>
            </w:tcBorders>
          </w:tcPr>
          <w:p w14:paraId="7629F0E1" w14:textId="77777777" w:rsidR="00CD6F8C" w:rsidRDefault="00CD6F8C">
            <w:pPr>
              <w:pStyle w:val="-7"/>
              <w:spacing w:before="20" w:line="240" w:lineRule="exact"/>
              <w:rPr>
                <w:rtl/>
              </w:rPr>
            </w:pPr>
          </w:p>
        </w:tc>
        <w:tc>
          <w:tcPr>
            <w:tcW w:w="3766" w:type="dxa"/>
            <w:tcBorders>
              <w:top w:val="nil"/>
              <w:left w:val="nil"/>
              <w:bottom w:val="nil"/>
              <w:right w:val="nil"/>
            </w:tcBorders>
            <w:vAlign w:val="bottom"/>
          </w:tcPr>
          <w:p w14:paraId="420AE1F2" w14:textId="77777777" w:rsidR="00CD6F8C" w:rsidRPr="00CD6F8C" w:rsidRDefault="00CD6F8C">
            <w:pPr>
              <w:pStyle w:val="-0"/>
              <w:spacing w:before="20" w:line="240" w:lineRule="exact"/>
              <w:rPr>
                <w:rtl/>
              </w:rPr>
            </w:pPr>
            <w:r w:rsidRPr="00CD6F8C">
              <w:rPr>
                <w:rFonts w:hint="cs"/>
                <w:rtl/>
              </w:rPr>
              <w:t>שינוי נטו באשראי לממשלה</w:t>
            </w:r>
          </w:p>
        </w:tc>
        <w:tc>
          <w:tcPr>
            <w:tcW w:w="422" w:type="dxa"/>
            <w:tcBorders>
              <w:top w:val="nil"/>
              <w:left w:val="nil"/>
              <w:bottom w:val="nil"/>
              <w:right w:val="nil"/>
            </w:tcBorders>
            <w:tcMar>
              <w:left w:w="58" w:type="dxa"/>
              <w:right w:w="58" w:type="dxa"/>
            </w:tcMar>
          </w:tcPr>
          <w:p w14:paraId="368AE4A5" w14:textId="77777777" w:rsidR="00CD6F8C" w:rsidRDefault="00CD6F8C">
            <w:pPr>
              <w:pStyle w:val="-7"/>
              <w:spacing w:before="20" w:line="240" w:lineRule="exact"/>
              <w:rPr>
                <w:rtl/>
              </w:rPr>
            </w:pPr>
          </w:p>
        </w:tc>
        <w:tc>
          <w:tcPr>
            <w:tcW w:w="842" w:type="dxa"/>
            <w:tcBorders>
              <w:top w:val="nil"/>
              <w:left w:val="nil"/>
              <w:bottom w:val="nil"/>
              <w:right w:val="nil"/>
            </w:tcBorders>
            <w:vAlign w:val="bottom"/>
          </w:tcPr>
          <w:p w14:paraId="09725EB8" w14:textId="77777777" w:rsidR="00CD6F8C" w:rsidRDefault="00CD6F8C">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03A864FB" w14:textId="77777777" w:rsidR="00CD6F8C" w:rsidRDefault="00CD6F8C">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6E36A422" w14:textId="77777777" w:rsidR="00CD6F8C" w:rsidRDefault="00CD6F8C">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414399F9" w14:textId="77777777" w:rsidR="00CD6F8C" w:rsidRDefault="00CD6F8C">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5976B567" w14:textId="77777777" w:rsidR="00CD6F8C" w:rsidRDefault="00CD6F8C">
            <w:pPr>
              <w:pStyle w:val="-7"/>
              <w:spacing w:before="20" w:line="240" w:lineRule="exact"/>
              <w:rPr>
                <w:rtl/>
              </w:rPr>
            </w:pPr>
            <w:r>
              <w:rPr>
                <w:rFonts w:hint="cs"/>
                <w:rtl/>
              </w:rPr>
              <w:t xml:space="preserve"> 0</w:t>
            </w:r>
          </w:p>
        </w:tc>
      </w:tr>
      <w:tr w:rsidR="00CD6F8C" w:rsidRPr="00543C25" w14:paraId="7895E011" w14:textId="77777777" w:rsidTr="00DC6BA9">
        <w:tc>
          <w:tcPr>
            <w:tcW w:w="1134" w:type="dxa"/>
            <w:tcBorders>
              <w:top w:val="nil"/>
              <w:left w:val="nil"/>
              <w:bottom w:val="nil"/>
              <w:right w:val="nil"/>
            </w:tcBorders>
          </w:tcPr>
          <w:p w14:paraId="18B141FB" w14:textId="77777777" w:rsidR="00CD6F8C" w:rsidRDefault="00CD6F8C">
            <w:pPr>
              <w:pStyle w:val="-7"/>
              <w:spacing w:before="20" w:line="240" w:lineRule="exact"/>
              <w:rPr>
                <w:rtl/>
              </w:rPr>
            </w:pPr>
          </w:p>
        </w:tc>
        <w:tc>
          <w:tcPr>
            <w:tcW w:w="3766" w:type="dxa"/>
            <w:tcBorders>
              <w:top w:val="nil"/>
              <w:left w:val="nil"/>
              <w:bottom w:val="nil"/>
              <w:right w:val="nil"/>
            </w:tcBorders>
            <w:vAlign w:val="bottom"/>
          </w:tcPr>
          <w:p w14:paraId="633CFD51" w14:textId="77777777" w:rsidR="00CD6F8C" w:rsidRPr="00CD6F8C" w:rsidRDefault="00CD6F8C">
            <w:pPr>
              <w:pStyle w:val="-0"/>
              <w:spacing w:before="20" w:line="240" w:lineRule="exact"/>
              <w:rPr>
                <w:rtl/>
              </w:rPr>
            </w:pPr>
            <w:r w:rsidRPr="00CD6F8C">
              <w:rPr>
                <w:rFonts w:hint="cs"/>
                <w:rtl/>
              </w:rPr>
              <w:t>שינוי נטו בניירות ערך שנשאלו או נרכשו במסגרת הסכמי מכר חוזר</w:t>
            </w:r>
          </w:p>
        </w:tc>
        <w:tc>
          <w:tcPr>
            <w:tcW w:w="422" w:type="dxa"/>
            <w:tcBorders>
              <w:top w:val="nil"/>
              <w:left w:val="nil"/>
              <w:bottom w:val="nil"/>
              <w:right w:val="nil"/>
            </w:tcBorders>
            <w:tcMar>
              <w:left w:w="58" w:type="dxa"/>
              <w:right w:w="58" w:type="dxa"/>
            </w:tcMar>
          </w:tcPr>
          <w:p w14:paraId="35CF030A" w14:textId="77777777" w:rsidR="00CD6F8C" w:rsidRDefault="00CD6F8C">
            <w:pPr>
              <w:pStyle w:val="-7"/>
              <w:spacing w:before="20" w:line="240" w:lineRule="exact"/>
              <w:rPr>
                <w:rtl/>
              </w:rPr>
            </w:pPr>
          </w:p>
        </w:tc>
        <w:tc>
          <w:tcPr>
            <w:tcW w:w="842" w:type="dxa"/>
            <w:tcBorders>
              <w:top w:val="nil"/>
              <w:left w:val="nil"/>
              <w:bottom w:val="nil"/>
              <w:right w:val="nil"/>
            </w:tcBorders>
            <w:vAlign w:val="bottom"/>
          </w:tcPr>
          <w:p w14:paraId="61B45EB6" w14:textId="77777777" w:rsidR="00CD6F8C" w:rsidRDefault="00CD6F8C">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5FA26247" w14:textId="77777777" w:rsidR="00CD6F8C" w:rsidRDefault="00CD6F8C">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73A128CA" w14:textId="77777777" w:rsidR="00CD6F8C" w:rsidRDefault="00CD6F8C">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08A6B5E9" w14:textId="77777777" w:rsidR="00CD6F8C" w:rsidRDefault="00CD6F8C">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7E9D6E1A" w14:textId="77777777" w:rsidR="00CD6F8C" w:rsidRDefault="00CD6F8C">
            <w:pPr>
              <w:pStyle w:val="-7"/>
              <w:spacing w:before="20" w:line="240" w:lineRule="exact"/>
              <w:rPr>
                <w:rtl/>
              </w:rPr>
            </w:pPr>
            <w:r>
              <w:rPr>
                <w:rFonts w:hint="cs"/>
                <w:rtl/>
              </w:rPr>
              <w:t xml:space="preserve"> 0</w:t>
            </w:r>
          </w:p>
        </w:tc>
      </w:tr>
      <w:tr w:rsidR="00497430" w:rsidRPr="00543C25" w14:paraId="6BC8BD5F" w14:textId="77777777" w:rsidTr="00DC6BA9">
        <w:tc>
          <w:tcPr>
            <w:tcW w:w="1134" w:type="dxa"/>
            <w:tcBorders>
              <w:top w:val="nil"/>
              <w:left w:val="nil"/>
              <w:bottom w:val="nil"/>
              <w:right w:val="nil"/>
            </w:tcBorders>
          </w:tcPr>
          <w:p w14:paraId="28C1D97F" w14:textId="77777777" w:rsidR="00F32A2A" w:rsidRDefault="00F32A2A">
            <w:pPr>
              <w:pStyle w:val="-7"/>
              <w:spacing w:before="20" w:line="240" w:lineRule="exact"/>
              <w:rPr>
                <w:rtl/>
              </w:rPr>
            </w:pPr>
          </w:p>
        </w:tc>
        <w:tc>
          <w:tcPr>
            <w:tcW w:w="3766" w:type="dxa"/>
            <w:tcBorders>
              <w:top w:val="nil"/>
              <w:left w:val="nil"/>
              <w:bottom w:val="nil"/>
              <w:right w:val="nil"/>
            </w:tcBorders>
            <w:vAlign w:val="bottom"/>
          </w:tcPr>
          <w:p w14:paraId="2FC1B794" w14:textId="77777777" w:rsidR="00F32A2A" w:rsidRDefault="00497430">
            <w:pPr>
              <w:pStyle w:val="-0"/>
              <w:spacing w:before="20" w:line="240" w:lineRule="exact"/>
              <w:rPr>
                <w:sz w:val="24"/>
                <w:szCs w:val="24"/>
                <w:rtl/>
              </w:rPr>
            </w:pPr>
            <w:r w:rsidRPr="00A17355">
              <w:rPr>
                <w:rtl/>
              </w:rPr>
              <w:t xml:space="preserve">רכישת </w:t>
            </w:r>
            <w:r w:rsidR="00A674A4">
              <w:rPr>
                <w:rtl/>
              </w:rPr>
              <w:t>אגרות</w:t>
            </w:r>
            <w:r w:rsidRPr="00A17355">
              <w:rPr>
                <w:rtl/>
              </w:rPr>
              <w:t xml:space="preserve"> חוב מוחזקות לפדיון</w:t>
            </w:r>
          </w:p>
        </w:tc>
        <w:tc>
          <w:tcPr>
            <w:tcW w:w="422" w:type="dxa"/>
            <w:tcBorders>
              <w:top w:val="nil"/>
              <w:left w:val="nil"/>
              <w:bottom w:val="nil"/>
              <w:right w:val="nil"/>
            </w:tcBorders>
            <w:tcMar>
              <w:left w:w="58" w:type="dxa"/>
              <w:right w:w="58" w:type="dxa"/>
            </w:tcMar>
          </w:tcPr>
          <w:p w14:paraId="35AC6575"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31BD184A" w14:textId="77777777" w:rsidR="00F32A2A" w:rsidRDefault="00497430">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3E59A01B" w14:textId="77777777" w:rsidR="00F32A2A" w:rsidRDefault="00497430">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0F6001C1" w14:textId="77777777" w:rsidR="00F32A2A" w:rsidRDefault="00497430">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713009B3" w14:textId="77777777" w:rsidR="00F32A2A" w:rsidRDefault="00497430">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5AF107E5" w14:textId="77777777" w:rsidR="00F32A2A" w:rsidRDefault="00497430">
            <w:pPr>
              <w:pStyle w:val="-7"/>
              <w:spacing w:before="20" w:line="240" w:lineRule="exact"/>
              <w:rPr>
                <w:rtl/>
              </w:rPr>
            </w:pPr>
            <w:r>
              <w:rPr>
                <w:rFonts w:hint="cs"/>
                <w:rtl/>
              </w:rPr>
              <w:t xml:space="preserve"> 0</w:t>
            </w:r>
          </w:p>
        </w:tc>
      </w:tr>
      <w:tr w:rsidR="00497430" w:rsidRPr="00543C25" w14:paraId="5F9D64BE" w14:textId="77777777" w:rsidTr="00DC6BA9">
        <w:tc>
          <w:tcPr>
            <w:tcW w:w="1134" w:type="dxa"/>
            <w:tcBorders>
              <w:top w:val="nil"/>
              <w:left w:val="nil"/>
              <w:bottom w:val="nil"/>
              <w:right w:val="nil"/>
            </w:tcBorders>
          </w:tcPr>
          <w:p w14:paraId="0F15D5E8" w14:textId="77777777" w:rsidR="00F32A2A" w:rsidRDefault="00F32A2A">
            <w:pPr>
              <w:pStyle w:val="-7"/>
              <w:spacing w:before="20" w:line="240" w:lineRule="exact"/>
              <w:rPr>
                <w:rtl/>
              </w:rPr>
            </w:pPr>
          </w:p>
        </w:tc>
        <w:tc>
          <w:tcPr>
            <w:tcW w:w="3766" w:type="dxa"/>
            <w:tcBorders>
              <w:top w:val="nil"/>
              <w:left w:val="nil"/>
              <w:bottom w:val="nil"/>
              <w:right w:val="nil"/>
            </w:tcBorders>
            <w:vAlign w:val="bottom"/>
          </w:tcPr>
          <w:p w14:paraId="53BBEA70" w14:textId="77777777" w:rsidR="00F32A2A" w:rsidRDefault="00497430">
            <w:pPr>
              <w:pStyle w:val="-0"/>
              <w:spacing w:before="20" w:line="240" w:lineRule="exact"/>
              <w:rPr>
                <w:rtl/>
              </w:rPr>
            </w:pPr>
            <w:r w:rsidRPr="00A17355">
              <w:rPr>
                <w:rtl/>
              </w:rPr>
              <w:t xml:space="preserve">תמורה ממכירת </w:t>
            </w:r>
            <w:r w:rsidR="00A674A4">
              <w:rPr>
                <w:rtl/>
              </w:rPr>
              <w:t>אגרות</w:t>
            </w:r>
            <w:r w:rsidRPr="00A17355">
              <w:rPr>
                <w:rtl/>
              </w:rPr>
              <w:t xml:space="preserve"> חוב מוחזקות לפדיון</w:t>
            </w:r>
          </w:p>
        </w:tc>
        <w:tc>
          <w:tcPr>
            <w:tcW w:w="422" w:type="dxa"/>
            <w:tcBorders>
              <w:top w:val="nil"/>
              <w:left w:val="nil"/>
              <w:bottom w:val="nil"/>
              <w:right w:val="nil"/>
            </w:tcBorders>
            <w:tcMar>
              <w:left w:w="58" w:type="dxa"/>
              <w:right w:w="58" w:type="dxa"/>
            </w:tcMar>
          </w:tcPr>
          <w:p w14:paraId="6B1DBDA0"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6F009563" w14:textId="77777777" w:rsidR="00F32A2A" w:rsidRDefault="00497430">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046FF752" w14:textId="77777777" w:rsidR="00F32A2A" w:rsidRDefault="00497430">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566FBE1C" w14:textId="77777777" w:rsidR="00F32A2A" w:rsidRDefault="00497430">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17DD104A" w14:textId="77777777" w:rsidR="00F32A2A" w:rsidRDefault="00497430">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16C6B1BD" w14:textId="77777777" w:rsidR="00F32A2A" w:rsidRDefault="00497430">
            <w:pPr>
              <w:pStyle w:val="-7"/>
              <w:spacing w:before="20" w:line="240" w:lineRule="exact"/>
              <w:rPr>
                <w:rtl/>
              </w:rPr>
            </w:pPr>
            <w:r>
              <w:rPr>
                <w:rFonts w:hint="cs"/>
                <w:rtl/>
              </w:rPr>
              <w:t xml:space="preserve"> 0</w:t>
            </w:r>
          </w:p>
        </w:tc>
      </w:tr>
      <w:tr w:rsidR="00497430" w:rsidRPr="00543C25" w14:paraId="3238AB65" w14:textId="77777777" w:rsidTr="00DC6BA9">
        <w:tc>
          <w:tcPr>
            <w:tcW w:w="1134" w:type="dxa"/>
            <w:tcBorders>
              <w:top w:val="nil"/>
              <w:left w:val="nil"/>
              <w:bottom w:val="nil"/>
              <w:right w:val="nil"/>
            </w:tcBorders>
          </w:tcPr>
          <w:p w14:paraId="342EB8FF" w14:textId="77777777" w:rsidR="00F32A2A" w:rsidRDefault="00F32A2A">
            <w:pPr>
              <w:pStyle w:val="-7"/>
              <w:spacing w:before="20" w:line="240" w:lineRule="exact"/>
              <w:rPr>
                <w:rtl/>
              </w:rPr>
            </w:pPr>
          </w:p>
        </w:tc>
        <w:tc>
          <w:tcPr>
            <w:tcW w:w="3766" w:type="dxa"/>
            <w:tcBorders>
              <w:top w:val="nil"/>
              <w:left w:val="nil"/>
              <w:bottom w:val="nil"/>
              <w:right w:val="nil"/>
            </w:tcBorders>
            <w:vAlign w:val="bottom"/>
          </w:tcPr>
          <w:p w14:paraId="7F7BDEA8" w14:textId="77777777" w:rsidR="00F32A2A" w:rsidRDefault="00497430">
            <w:pPr>
              <w:pStyle w:val="-0"/>
              <w:spacing w:before="20" w:line="240" w:lineRule="exact"/>
              <w:rPr>
                <w:rtl/>
              </w:rPr>
            </w:pPr>
            <w:r w:rsidRPr="00A17355">
              <w:rPr>
                <w:rtl/>
              </w:rPr>
              <w:t xml:space="preserve">תמורה מפדיון </w:t>
            </w:r>
            <w:r w:rsidR="00A674A4">
              <w:rPr>
                <w:rtl/>
              </w:rPr>
              <w:t>אגרות</w:t>
            </w:r>
            <w:r w:rsidRPr="00A17355">
              <w:rPr>
                <w:rtl/>
              </w:rPr>
              <w:t xml:space="preserve"> חוב מוחזקות לפדיון</w:t>
            </w:r>
          </w:p>
        </w:tc>
        <w:tc>
          <w:tcPr>
            <w:tcW w:w="422" w:type="dxa"/>
            <w:tcBorders>
              <w:top w:val="nil"/>
              <w:left w:val="nil"/>
              <w:bottom w:val="nil"/>
              <w:right w:val="nil"/>
            </w:tcBorders>
            <w:tcMar>
              <w:left w:w="58" w:type="dxa"/>
              <w:right w:w="58" w:type="dxa"/>
            </w:tcMar>
          </w:tcPr>
          <w:p w14:paraId="4E19D2EF"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4FBDF70F" w14:textId="77777777" w:rsidR="00F32A2A" w:rsidRDefault="00497430">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45BBEB4B" w14:textId="77777777" w:rsidR="00F32A2A" w:rsidRDefault="00497430">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553E64DA" w14:textId="77777777" w:rsidR="00F32A2A" w:rsidRDefault="00497430">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55AFD968" w14:textId="77777777" w:rsidR="00F32A2A" w:rsidRDefault="00497430">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56345F4B" w14:textId="77777777" w:rsidR="00F32A2A" w:rsidRDefault="00497430">
            <w:pPr>
              <w:pStyle w:val="-7"/>
              <w:spacing w:before="20" w:line="240" w:lineRule="exact"/>
              <w:rPr>
                <w:rtl/>
              </w:rPr>
            </w:pPr>
            <w:r>
              <w:rPr>
                <w:rFonts w:hint="cs"/>
                <w:rtl/>
              </w:rPr>
              <w:t xml:space="preserve"> 0</w:t>
            </w:r>
          </w:p>
        </w:tc>
      </w:tr>
      <w:tr w:rsidR="00497430" w:rsidRPr="00543C25" w14:paraId="086C6626" w14:textId="77777777" w:rsidTr="00DC6BA9">
        <w:tc>
          <w:tcPr>
            <w:tcW w:w="1134" w:type="dxa"/>
            <w:tcBorders>
              <w:top w:val="nil"/>
              <w:left w:val="nil"/>
              <w:bottom w:val="nil"/>
              <w:right w:val="nil"/>
            </w:tcBorders>
          </w:tcPr>
          <w:p w14:paraId="431411CA" w14:textId="77777777" w:rsidR="00F32A2A" w:rsidRDefault="00F32A2A" w:rsidP="00EF075C">
            <w:pPr>
              <w:pStyle w:val="-7"/>
              <w:spacing w:before="20" w:line="240" w:lineRule="exact"/>
              <w:rPr>
                <w:rtl/>
              </w:rPr>
            </w:pPr>
          </w:p>
        </w:tc>
        <w:tc>
          <w:tcPr>
            <w:tcW w:w="3766" w:type="dxa"/>
            <w:tcBorders>
              <w:top w:val="nil"/>
              <w:left w:val="nil"/>
              <w:bottom w:val="nil"/>
              <w:right w:val="nil"/>
            </w:tcBorders>
            <w:vAlign w:val="bottom"/>
          </w:tcPr>
          <w:p w14:paraId="73FB52E3" w14:textId="77777777" w:rsidR="00F32A2A" w:rsidRDefault="00497430" w:rsidP="00320B50">
            <w:pPr>
              <w:pStyle w:val="-0"/>
              <w:spacing w:before="20" w:line="240" w:lineRule="exact"/>
              <w:rPr>
                <w:rtl/>
              </w:rPr>
            </w:pPr>
            <w:r w:rsidRPr="00A17355">
              <w:rPr>
                <w:rtl/>
              </w:rPr>
              <w:t xml:space="preserve">רכישת </w:t>
            </w:r>
            <w:r w:rsidR="00A674A4">
              <w:rPr>
                <w:rFonts w:hint="cs"/>
                <w:rtl/>
              </w:rPr>
              <w:t>אגרות</w:t>
            </w:r>
            <w:r w:rsidR="00421CED">
              <w:rPr>
                <w:rFonts w:hint="cs"/>
                <w:rtl/>
              </w:rPr>
              <w:t xml:space="preserve"> חוב זמינות למכירה ומניות שאינן למסחר</w:t>
            </w:r>
          </w:p>
        </w:tc>
        <w:tc>
          <w:tcPr>
            <w:tcW w:w="422" w:type="dxa"/>
            <w:tcBorders>
              <w:top w:val="nil"/>
              <w:left w:val="nil"/>
              <w:bottom w:val="nil"/>
              <w:right w:val="nil"/>
            </w:tcBorders>
            <w:tcMar>
              <w:left w:w="58" w:type="dxa"/>
              <w:right w:w="58" w:type="dxa"/>
            </w:tcMar>
          </w:tcPr>
          <w:p w14:paraId="0BA7CCDF"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3F6B4AF9" w14:textId="77777777" w:rsidR="00F32A2A" w:rsidRDefault="00497430">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122802A2" w14:textId="77777777" w:rsidR="00F32A2A" w:rsidRDefault="00497430">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23F9C1F7" w14:textId="77777777" w:rsidR="00F32A2A" w:rsidRDefault="00497430">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3F92F4A7" w14:textId="77777777" w:rsidR="00F32A2A" w:rsidRDefault="00497430">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03C06EEF" w14:textId="77777777" w:rsidR="00F32A2A" w:rsidRDefault="00497430">
            <w:pPr>
              <w:pStyle w:val="-7"/>
              <w:spacing w:before="20" w:line="240" w:lineRule="exact"/>
              <w:rPr>
                <w:rtl/>
              </w:rPr>
            </w:pPr>
            <w:r>
              <w:rPr>
                <w:rFonts w:hint="cs"/>
                <w:rtl/>
              </w:rPr>
              <w:t xml:space="preserve"> 0</w:t>
            </w:r>
          </w:p>
        </w:tc>
      </w:tr>
      <w:tr w:rsidR="00497430" w:rsidRPr="00543C25" w14:paraId="25CCE864" w14:textId="77777777" w:rsidTr="00DC6BA9">
        <w:tc>
          <w:tcPr>
            <w:tcW w:w="1134" w:type="dxa"/>
            <w:tcBorders>
              <w:top w:val="nil"/>
              <w:left w:val="nil"/>
              <w:bottom w:val="nil"/>
              <w:right w:val="nil"/>
            </w:tcBorders>
          </w:tcPr>
          <w:p w14:paraId="4197706F" w14:textId="77777777" w:rsidR="00F32A2A" w:rsidRDefault="00F32A2A" w:rsidP="00EF075C">
            <w:pPr>
              <w:pStyle w:val="-7"/>
              <w:spacing w:before="20" w:line="240" w:lineRule="exact"/>
              <w:rPr>
                <w:rtl/>
              </w:rPr>
            </w:pPr>
          </w:p>
        </w:tc>
        <w:tc>
          <w:tcPr>
            <w:tcW w:w="3766" w:type="dxa"/>
            <w:tcBorders>
              <w:top w:val="nil"/>
              <w:left w:val="nil"/>
              <w:bottom w:val="nil"/>
              <w:right w:val="nil"/>
            </w:tcBorders>
            <w:vAlign w:val="bottom"/>
          </w:tcPr>
          <w:p w14:paraId="69C127BE" w14:textId="77777777" w:rsidR="00F32A2A" w:rsidRDefault="00497430" w:rsidP="00320B50">
            <w:pPr>
              <w:pStyle w:val="-0"/>
              <w:spacing w:before="20" w:line="240" w:lineRule="exact"/>
              <w:rPr>
                <w:rtl/>
              </w:rPr>
            </w:pPr>
            <w:r w:rsidRPr="00A17355">
              <w:rPr>
                <w:rtl/>
              </w:rPr>
              <w:t xml:space="preserve">תמורה ממכירת </w:t>
            </w:r>
            <w:r w:rsidR="00A674A4">
              <w:rPr>
                <w:rFonts w:hint="cs"/>
                <w:rtl/>
              </w:rPr>
              <w:t>אגרות</w:t>
            </w:r>
            <w:r w:rsidR="00421CED">
              <w:rPr>
                <w:rFonts w:hint="cs"/>
                <w:rtl/>
              </w:rPr>
              <w:t xml:space="preserve"> חוב זמינות למכירה ומניות שאינן למסחר</w:t>
            </w:r>
          </w:p>
        </w:tc>
        <w:tc>
          <w:tcPr>
            <w:tcW w:w="422" w:type="dxa"/>
            <w:tcBorders>
              <w:top w:val="nil"/>
              <w:left w:val="nil"/>
              <w:bottom w:val="nil"/>
              <w:right w:val="nil"/>
            </w:tcBorders>
            <w:tcMar>
              <w:left w:w="58" w:type="dxa"/>
              <w:right w:w="58" w:type="dxa"/>
            </w:tcMar>
          </w:tcPr>
          <w:p w14:paraId="321E8090"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5736D44D" w14:textId="77777777" w:rsidR="00F32A2A" w:rsidRDefault="00497430">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6D7B6C74" w14:textId="77777777" w:rsidR="00F32A2A" w:rsidRDefault="00497430">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32FCA038" w14:textId="77777777" w:rsidR="00F32A2A" w:rsidRDefault="00497430">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209B4469" w14:textId="77777777" w:rsidR="00F32A2A" w:rsidRDefault="00497430">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7F9C2F3B" w14:textId="77777777" w:rsidR="00F32A2A" w:rsidRDefault="00497430">
            <w:pPr>
              <w:pStyle w:val="-7"/>
              <w:spacing w:before="20" w:line="240" w:lineRule="exact"/>
              <w:rPr>
                <w:rtl/>
              </w:rPr>
            </w:pPr>
            <w:r>
              <w:rPr>
                <w:rFonts w:hint="cs"/>
                <w:rtl/>
              </w:rPr>
              <w:t xml:space="preserve"> 0</w:t>
            </w:r>
          </w:p>
        </w:tc>
      </w:tr>
      <w:tr w:rsidR="009D11AE" w:rsidRPr="00543C25" w14:paraId="0D59B4CF" w14:textId="77777777" w:rsidTr="00DC6BA9">
        <w:tc>
          <w:tcPr>
            <w:tcW w:w="1134" w:type="dxa"/>
            <w:tcBorders>
              <w:top w:val="nil"/>
              <w:left w:val="nil"/>
              <w:bottom w:val="nil"/>
              <w:right w:val="nil"/>
            </w:tcBorders>
          </w:tcPr>
          <w:p w14:paraId="40FC04D7" w14:textId="77777777" w:rsidR="00F32A2A" w:rsidRDefault="00F32A2A" w:rsidP="00EF075C">
            <w:pPr>
              <w:pStyle w:val="-7"/>
              <w:spacing w:before="20" w:line="240" w:lineRule="exact"/>
              <w:rPr>
                <w:rtl/>
              </w:rPr>
            </w:pPr>
          </w:p>
        </w:tc>
        <w:tc>
          <w:tcPr>
            <w:tcW w:w="3766" w:type="dxa"/>
            <w:tcBorders>
              <w:top w:val="nil"/>
              <w:left w:val="nil"/>
              <w:bottom w:val="nil"/>
              <w:right w:val="nil"/>
            </w:tcBorders>
            <w:vAlign w:val="bottom"/>
          </w:tcPr>
          <w:p w14:paraId="1F529502" w14:textId="77777777" w:rsidR="00F32A2A" w:rsidRDefault="009D11AE" w:rsidP="00320B50">
            <w:pPr>
              <w:pStyle w:val="-0"/>
              <w:spacing w:before="20" w:line="240" w:lineRule="exact"/>
              <w:rPr>
                <w:rtl/>
              </w:rPr>
            </w:pPr>
            <w:r w:rsidRPr="00A17355">
              <w:rPr>
                <w:rtl/>
              </w:rPr>
              <w:t xml:space="preserve">תמורה מפדיון </w:t>
            </w:r>
            <w:r w:rsidR="00A674A4">
              <w:rPr>
                <w:rFonts w:hint="cs"/>
                <w:rtl/>
              </w:rPr>
              <w:t>אגרות</w:t>
            </w:r>
            <w:r w:rsidR="00421CED">
              <w:rPr>
                <w:rFonts w:hint="cs"/>
                <w:rtl/>
              </w:rPr>
              <w:t xml:space="preserve"> חוב זמינות למכירה ומניות שאינן למסחר</w:t>
            </w:r>
          </w:p>
        </w:tc>
        <w:tc>
          <w:tcPr>
            <w:tcW w:w="422" w:type="dxa"/>
            <w:tcBorders>
              <w:top w:val="nil"/>
              <w:left w:val="nil"/>
              <w:bottom w:val="nil"/>
              <w:right w:val="nil"/>
            </w:tcBorders>
            <w:tcMar>
              <w:left w:w="58" w:type="dxa"/>
              <w:right w:w="58" w:type="dxa"/>
            </w:tcMar>
          </w:tcPr>
          <w:p w14:paraId="3E2B2C98"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195A85E8" w14:textId="77777777" w:rsidR="00F32A2A" w:rsidRDefault="009D11AE">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40CFE215" w14:textId="77777777" w:rsidR="00F32A2A" w:rsidRDefault="009D11AE">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02212071" w14:textId="77777777" w:rsidR="00F32A2A" w:rsidRDefault="009D11AE">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4BE6363D" w14:textId="77777777" w:rsidR="00F32A2A" w:rsidRDefault="009D11AE">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59BB9BED" w14:textId="77777777" w:rsidR="00F32A2A" w:rsidRDefault="009D11AE">
            <w:pPr>
              <w:pStyle w:val="-7"/>
              <w:spacing w:before="20" w:line="240" w:lineRule="exact"/>
              <w:rPr>
                <w:rtl/>
              </w:rPr>
            </w:pPr>
            <w:r>
              <w:rPr>
                <w:rFonts w:hint="cs"/>
                <w:rtl/>
              </w:rPr>
              <w:t xml:space="preserve"> 0</w:t>
            </w:r>
          </w:p>
        </w:tc>
      </w:tr>
      <w:tr w:rsidR="00310336" w:rsidRPr="00543C25" w14:paraId="017366B1" w14:textId="77777777" w:rsidTr="00DC6BA9">
        <w:tc>
          <w:tcPr>
            <w:tcW w:w="1134" w:type="dxa"/>
            <w:tcBorders>
              <w:top w:val="nil"/>
              <w:left w:val="nil"/>
              <w:bottom w:val="nil"/>
              <w:right w:val="nil"/>
            </w:tcBorders>
          </w:tcPr>
          <w:p w14:paraId="457A1748" w14:textId="77777777" w:rsidR="00F32A2A" w:rsidRDefault="00F32A2A">
            <w:pPr>
              <w:pStyle w:val="-7"/>
              <w:spacing w:before="20" w:line="240" w:lineRule="exact"/>
              <w:rPr>
                <w:rtl/>
              </w:rPr>
            </w:pPr>
          </w:p>
        </w:tc>
        <w:tc>
          <w:tcPr>
            <w:tcW w:w="3766" w:type="dxa"/>
            <w:tcBorders>
              <w:top w:val="nil"/>
              <w:left w:val="nil"/>
              <w:bottom w:val="nil"/>
              <w:right w:val="nil"/>
            </w:tcBorders>
            <w:vAlign w:val="bottom"/>
          </w:tcPr>
          <w:p w14:paraId="77DBF3D4" w14:textId="2F6722C4" w:rsidR="00F32A2A" w:rsidRDefault="00310336" w:rsidP="003F1183">
            <w:pPr>
              <w:pStyle w:val="-0"/>
              <w:spacing w:before="20" w:line="240" w:lineRule="exact"/>
              <w:rPr>
                <w:rtl/>
              </w:rPr>
            </w:pPr>
            <w:r>
              <w:rPr>
                <w:rFonts w:hint="cs"/>
                <w:rtl/>
              </w:rPr>
              <w:t>רכישת תיקי אשראי</w:t>
            </w:r>
          </w:p>
        </w:tc>
        <w:tc>
          <w:tcPr>
            <w:tcW w:w="422" w:type="dxa"/>
            <w:tcBorders>
              <w:top w:val="nil"/>
              <w:left w:val="nil"/>
              <w:bottom w:val="nil"/>
              <w:right w:val="nil"/>
            </w:tcBorders>
            <w:tcMar>
              <w:left w:w="58" w:type="dxa"/>
              <w:right w:w="58" w:type="dxa"/>
            </w:tcMar>
          </w:tcPr>
          <w:p w14:paraId="4C260194"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69176474" w14:textId="77777777" w:rsidR="00F32A2A" w:rsidRDefault="00310336">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4175A03D" w14:textId="77777777" w:rsidR="00F32A2A" w:rsidRDefault="00310336">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589125CA" w14:textId="77777777" w:rsidR="00F32A2A" w:rsidRDefault="00310336">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5363AA39" w14:textId="77777777" w:rsidR="00F32A2A" w:rsidRDefault="00310336">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31861F81" w14:textId="77777777" w:rsidR="00F32A2A" w:rsidRDefault="00310336">
            <w:pPr>
              <w:pStyle w:val="-7"/>
              <w:spacing w:before="20" w:line="240" w:lineRule="exact"/>
              <w:rPr>
                <w:rtl/>
              </w:rPr>
            </w:pPr>
            <w:r>
              <w:rPr>
                <w:rFonts w:hint="cs"/>
                <w:rtl/>
              </w:rPr>
              <w:t xml:space="preserve"> 0</w:t>
            </w:r>
          </w:p>
        </w:tc>
      </w:tr>
      <w:tr w:rsidR="00310336" w:rsidRPr="00543C25" w14:paraId="24EC2751" w14:textId="77777777" w:rsidTr="00DC6BA9">
        <w:tc>
          <w:tcPr>
            <w:tcW w:w="1134" w:type="dxa"/>
            <w:tcBorders>
              <w:top w:val="nil"/>
              <w:left w:val="nil"/>
              <w:bottom w:val="nil"/>
              <w:right w:val="nil"/>
            </w:tcBorders>
          </w:tcPr>
          <w:p w14:paraId="43374B13" w14:textId="77777777" w:rsidR="00F32A2A" w:rsidRDefault="00F32A2A">
            <w:pPr>
              <w:pStyle w:val="-7"/>
              <w:spacing w:before="20" w:line="240" w:lineRule="exact"/>
              <w:rPr>
                <w:rtl/>
              </w:rPr>
            </w:pPr>
          </w:p>
        </w:tc>
        <w:tc>
          <w:tcPr>
            <w:tcW w:w="3766" w:type="dxa"/>
            <w:tcBorders>
              <w:top w:val="nil"/>
              <w:left w:val="nil"/>
              <w:bottom w:val="nil"/>
              <w:right w:val="nil"/>
            </w:tcBorders>
            <w:vAlign w:val="bottom"/>
          </w:tcPr>
          <w:p w14:paraId="3B47E947" w14:textId="5D6D1FBA" w:rsidR="00F32A2A" w:rsidRDefault="00310336" w:rsidP="003F1183">
            <w:pPr>
              <w:pStyle w:val="-0"/>
              <w:spacing w:before="20" w:line="240" w:lineRule="exact"/>
              <w:rPr>
                <w:rtl/>
              </w:rPr>
            </w:pPr>
            <w:r>
              <w:rPr>
                <w:rFonts w:hint="cs"/>
                <w:rtl/>
              </w:rPr>
              <w:t>תמורה ממכירת תיקי אשרא</w:t>
            </w:r>
            <w:r w:rsidRPr="0001523C">
              <w:rPr>
                <w:rFonts w:hint="eastAsia"/>
                <w:sz w:val="18"/>
                <w:szCs w:val="18"/>
                <w:rtl/>
              </w:rPr>
              <w:t>י</w:t>
            </w:r>
          </w:p>
        </w:tc>
        <w:tc>
          <w:tcPr>
            <w:tcW w:w="422" w:type="dxa"/>
            <w:tcBorders>
              <w:top w:val="nil"/>
              <w:left w:val="nil"/>
              <w:bottom w:val="nil"/>
              <w:right w:val="nil"/>
            </w:tcBorders>
            <w:tcMar>
              <w:left w:w="58" w:type="dxa"/>
              <w:right w:w="58" w:type="dxa"/>
            </w:tcMar>
          </w:tcPr>
          <w:p w14:paraId="50CD11C6"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662FAF9F" w14:textId="77777777" w:rsidR="00F32A2A" w:rsidRDefault="00310336">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4E7146AB" w14:textId="77777777" w:rsidR="00F32A2A" w:rsidRDefault="00310336">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6AB0FB24" w14:textId="77777777" w:rsidR="00F32A2A" w:rsidRDefault="00310336">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229F78EF" w14:textId="77777777" w:rsidR="00F32A2A" w:rsidRDefault="00310336">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5AEF2F08" w14:textId="77777777" w:rsidR="00F32A2A" w:rsidRDefault="00310336">
            <w:pPr>
              <w:pStyle w:val="-7"/>
              <w:spacing w:before="20" w:line="240" w:lineRule="exact"/>
              <w:rPr>
                <w:rtl/>
              </w:rPr>
            </w:pPr>
            <w:r>
              <w:rPr>
                <w:rFonts w:hint="cs"/>
                <w:rtl/>
              </w:rPr>
              <w:t xml:space="preserve"> 0</w:t>
            </w:r>
          </w:p>
        </w:tc>
      </w:tr>
      <w:tr w:rsidR="00497430" w:rsidRPr="00543C25" w14:paraId="416FE8F4" w14:textId="77777777" w:rsidTr="00DC6BA9">
        <w:tc>
          <w:tcPr>
            <w:tcW w:w="1134" w:type="dxa"/>
            <w:tcBorders>
              <w:top w:val="nil"/>
              <w:left w:val="nil"/>
              <w:bottom w:val="nil"/>
              <w:right w:val="nil"/>
            </w:tcBorders>
          </w:tcPr>
          <w:p w14:paraId="12AD0700" w14:textId="77777777" w:rsidR="00F32A2A" w:rsidRDefault="00F32A2A">
            <w:pPr>
              <w:pStyle w:val="-7"/>
              <w:spacing w:before="20" w:line="240" w:lineRule="exact"/>
              <w:rPr>
                <w:rtl/>
              </w:rPr>
            </w:pPr>
          </w:p>
        </w:tc>
        <w:tc>
          <w:tcPr>
            <w:tcW w:w="3766" w:type="dxa"/>
            <w:tcBorders>
              <w:top w:val="nil"/>
              <w:left w:val="nil"/>
              <w:bottom w:val="nil"/>
              <w:right w:val="nil"/>
            </w:tcBorders>
            <w:vAlign w:val="bottom"/>
          </w:tcPr>
          <w:p w14:paraId="12F243CC" w14:textId="77777777" w:rsidR="00F32A2A" w:rsidRDefault="00497430">
            <w:pPr>
              <w:pStyle w:val="-0"/>
              <w:spacing w:before="20" w:line="240" w:lineRule="exact"/>
              <w:ind w:right="-144"/>
              <w:rPr>
                <w:rtl/>
              </w:rPr>
            </w:pPr>
            <w:r w:rsidRPr="00A17355">
              <w:rPr>
                <w:rtl/>
              </w:rPr>
              <w:t>רכישת חברות ב</w:t>
            </w:r>
            <w:r w:rsidRPr="00A17355">
              <w:rPr>
                <w:rFonts w:hint="cs"/>
                <w:rtl/>
              </w:rPr>
              <w:t>נו</w:t>
            </w:r>
            <w:r w:rsidRPr="00A17355">
              <w:rPr>
                <w:rtl/>
              </w:rPr>
              <w:t>ת שאוחדו לראשונה</w:t>
            </w:r>
            <w:r w:rsidRPr="00A17355">
              <w:rPr>
                <w:rFonts w:hint="cs"/>
                <w:rtl/>
              </w:rPr>
              <w:t xml:space="preserve"> </w:t>
            </w:r>
            <w:r w:rsidRPr="00A17355">
              <w:rPr>
                <w:rtl/>
              </w:rPr>
              <w:t>(נספח</w:t>
            </w:r>
            <w:r w:rsidRPr="005E583B">
              <w:rPr>
                <w:sz w:val="14"/>
                <w:szCs w:val="14"/>
                <w:rtl/>
              </w:rPr>
              <w:t xml:space="preserve"> </w:t>
            </w:r>
            <w:r w:rsidRPr="00A17355">
              <w:rPr>
                <w:rtl/>
              </w:rPr>
              <w:t>א')</w:t>
            </w:r>
            <w:r w:rsidRPr="00A17355">
              <w:rPr>
                <w:rFonts w:hint="cs"/>
                <w:rtl/>
              </w:rPr>
              <w:t xml:space="preserve"> </w:t>
            </w:r>
          </w:p>
        </w:tc>
        <w:tc>
          <w:tcPr>
            <w:tcW w:w="422" w:type="dxa"/>
            <w:tcBorders>
              <w:top w:val="nil"/>
              <w:left w:val="nil"/>
              <w:bottom w:val="nil"/>
              <w:right w:val="nil"/>
            </w:tcBorders>
            <w:tcMar>
              <w:left w:w="58" w:type="dxa"/>
              <w:right w:w="58" w:type="dxa"/>
            </w:tcMar>
          </w:tcPr>
          <w:p w14:paraId="731FB6CF"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22B50AE7" w14:textId="77777777" w:rsidR="00F32A2A" w:rsidRDefault="00497430">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16700262" w14:textId="77777777" w:rsidR="00F32A2A" w:rsidRDefault="00497430">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6218217F" w14:textId="77777777" w:rsidR="00F32A2A" w:rsidRDefault="00497430">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52C9F24E" w14:textId="77777777" w:rsidR="00F32A2A" w:rsidRDefault="00497430">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28618D21" w14:textId="77777777" w:rsidR="00F32A2A" w:rsidRDefault="00497430">
            <w:pPr>
              <w:pStyle w:val="-7"/>
              <w:spacing w:before="20" w:line="240" w:lineRule="exact"/>
              <w:rPr>
                <w:rtl/>
              </w:rPr>
            </w:pPr>
            <w:r>
              <w:rPr>
                <w:rFonts w:hint="cs"/>
                <w:rtl/>
              </w:rPr>
              <w:t xml:space="preserve"> 0</w:t>
            </w:r>
          </w:p>
        </w:tc>
      </w:tr>
      <w:tr w:rsidR="00497430" w:rsidRPr="00543C25" w14:paraId="0C7A2F7F" w14:textId="77777777" w:rsidTr="00DC6BA9">
        <w:tc>
          <w:tcPr>
            <w:tcW w:w="1134" w:type="dxa"/>
            <w:tcBorders>
              <w:top w:val="nil"/>
              <w:left w:val="nil"/>
              <w:bottom w:val="nil"/>
              <w:right w:val="nil"/>
            </w:tcBorders>
          </w:tcPr>
          <w:p w14:paraId="7D48BACB" w14:textId="77777777" w:rsidR="00F32A2A" w:rsidRDefault="00F32A2A">
            <w:pPr>
              <w:pStyle w:val="-7"/>
              <w:spacing w:before="20" w:line="240" w:lineRule="exact"/>
              <w:rPr>
                <w:rtl/>
              </w:rPr>
            </w:pPr>
          </w:p>
        </w:tc>
        <w:tc>
          <w:tcPr>
            <w:tcW w:w="3766" w:type="dxa"/>
            <w:tcBorders>
              <w:top w:val="nil"/>
              <w:left w:val="nil"/>
              <w:bottom w:val="nil"/>
              <w:right w:val="nil"/>
            </w:tcBorders>
            <w:vAlign w:val="bottom"/>
          </w:tcPr>
          <w:p w14:paraId="6A32FBFF" w14:textId="77777777" w:rsidR="00F32A2A" w:rsidRDefault="00497430">
            <w:pPr>
              <w:pStyle w:val="-21"/>
              <w:spacing w:before="20" w:line="240" w:lineRule="exact"/>
              <w:rPr>
                <w:rtl/>
              </w:rPr>
            </w:pPr>
            <w:r w:rsidRPr="00A17355">
              <w:rPr>
                <w:rtl/>
              </w:rPr>
              <w:t>תמורה ממימוש השקעות בחברות ב</w:t>
            </w:r>
            <w:r w:rsidRPr="00A17355">
              <w:rPr>
                <w:rFonts w:hint="cs"/>
                <w:rtl/>
              </w:rPr>
              <w:t>נות</w:t>
            </w:r>
            <w:r w:rsidRPr="00A17355">
              <w:rPr>
                <w:rtl/>
              </w:rPr>
              <w:t xml:space="preserve"> שיצאו מאיחוד</w:t>
            </w:r>
            <w:r w:rsidRPr="00A17355">
              <w:rPr>
                <w:rFonts w:hint="cs"/>
                <w:rtl/>
              </w:rPr>
              <w:t xml:space="preserve"> </w:t>
            </w:r>
            <w:r w:rsidRPr="00A17355">
              <w:rPr>
                <w:rtl/>
              </w:rPr>
              <w:t>(נספח ב')</w:t>
            </w:r>
            <w:r w:rsidRPr="00A17355">
              <w:rPr>
                <w:rFonts w:hint="cs"/>
                <w:rtl/>
              </w:rPr>
              <w:t xml:space="preserve"> </w:t>
            </w:r>
          </w:p>
        </w:tc>
        <w:tc>
          <w:tcPr>
            <w:tcW w:w="422" w:type="dxa"/>
            <w:tcBorders>
              <w:top w:val="nil"/>
              <w:left w:val="nil"/>
              <w:bottom w:val="nil"/>
              <w:right w:val="nil"/>
            </w:tcBorders>
            <w:tcMar>
              <w:left w:w="58" w:type="dxa"/>
              <w:right w:w="58" w:type="dxa"/>
            </w:tcMar>
          </w:tcPr>
          <w:p w14:paraId="40FA6863"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61837661" w14:textId="77777777" w:rsidR="00F32A2A" w:rsidRDefault="00497430">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0B614DF8" w14:textId="77777777" w:rsidR="00F32A2A" w:rsidRDefault="00497430">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2EF8D7B2" w14:textId="77777777" w:rsidR="00F32A2A" w:rsidRDefault="00497430">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1B778EC6" w14:textId="77777777" w:rsidR="00F32A2A" w:rsidRDefault="00497430">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54AD03DE" w14:textId="77777777" w:rsidR="00F32A2A" w:rsidRDefault="00497430">
            <w:pPr>
              <w:pStyle w:val="-7"/>
              <w:spacing w:before="20" w:line="240" w:lineRule="exact"/>
              <w:rPr>
                <w:rtl/>
              </w:rPr>
            </w:pPr>
            <w:r>
              <w:rPr>
                <w:rFonts w:hint="cs"/>
                <w:rtl/>
              </w:rPr>
              <w:t xml:space="preserve"> 0</w:t>
            </w:r>
          </w:p>
        </w:tc>
      </w:tr>
      <w:tr w:rsidR="00497430" w:rsidRPr="00543C25" w14:paraId="669C9C0C" w14:textId="77777777" w:rsidTr="00DC6BA9">
        <w:tc>
          <w:tcPr>
            <w:tcW w:w="1134" w:type="dxa"/>
            <w:tcBorders>
              <w:top w:val="nil"/>
              <w:left w:val="nil"/>
              <w:bottom w:val="nil"/>
              <w:right w:val="nil"/>
            </w:tcBorders>
          </w:tcPr>
          <w:p w14:paraId="467CD86E" w14:textId="77777777" w:rsidR="00F32A2A" w:rsidRDefault="00F32A2A">
            <w:pPr>
              <w:pStyle w:val="-7"/>
              <w:spacing w:before="20" w:line="240" w:lineRule="exact"/>
              <w:rPr>
                <w:rtl/>
              </w:rPr>
            </w:pPr>
          </w:p>
        </w:tc>
        <w:tc>
          <w:tcPr>
            <w:tcW w:w="3766" w:type="dxa"/>
            <w:tcBorders>
              <w:top w:val="nil"/>
              <w:left w:val="nil"/>
              <w:bottom w:val="nil"/>
              <w:right w:val="nil"/>
            </w:tcBorders>
            <w:vAlign w:val="bottom"/>
          </w:tcPr>
          <w:p w14:paraId="3E87BDC4" w14:textId="77777777" w:rsidR="00F32A2A" w:rsidRDefault="00497430">
            <w:pPr>
              <w:pStyle w:val="-0"/>
              <w:spacing w:before="20" w:line="240" w:lineRule="exact"/>
              <w:rPr>
                <w:rtl/>
              </w:rPr>
            </w:pPr>
            <w:r w:rsidRPr="00A17355">
              <w:rPr>
                <w:rtl/>
              </w:rPr>
              <w:t>רכישת מניות בחברות כלולות</w:t>
            </w:r>
            <w:r w:rsidRPr="00A17355">
              <w:rPr>
                <w:rFonts w:hint="cs"/>
                <w:rtl/>
              </w:rPr>
              <w:t xml:space="preserve"> </w:t>
            </w:r>
          </w:p>
        </w:tc>
        <w:tc>
          <w:tcPr>
            <w:tcW w:w="422" w:type="dxa"/>
            <w:tcBorders>
              <w:top w:val="nil"/>
              <w:left w:val="nil"/>
              <w:bottom w:val="nil"/>
              <w:right w:val="nil"/>
            </w:tcBorders>
            <w:tcMar>
              <w:left w:w="58" w:type="dxa"/>
              <w:right w:w="58" w:type="dxa"/>
            </w:tcMar>
          </w:tcPr>
          <w:p w14:paraId="7887DED1"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0F7BF73B" w14:textId="77777777" w:rsidR="00F32A2A" w:rsidRDefault="00497430">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21C85D4A" w14:textId="77777777" w:rsidR="00F32A2A" w:rsidRDefault="00497430">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1EAFA4F8" w14:textId="77777777" w:rsidR="00F32A2A" w:rsidRDefault="00497430">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535883B4" w14:textId="77777777" w:rsidR="00F32A2A" w:rsidRDefault="00497430">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05C1606B" w14:textId="77777777" w:rsidR="00F32A2A" w:rsidRDefault="00497430">
            <w:pPr>
              <w:pStyle w:val="-7"/>
              <w:spacing w:before="20" w:line="240" w:lineRule="exact"/>
              <w:rPr>
                <w:rtl/>
              </w:rPr>
            </w:pPr>
            <w:r>
              <w:rPr>
                <w:rFonts w:hint="cs"/>
                <w:rtl/>
              </w:rPr>
              <w:t xml:space="preserve"> 0</w:t>
            </w:r>
          </w:p>
        </w:tc>
      </w:tr>
      <w:tr w:rsidR="00497430" w:rsidRPr="00543C25" w14:paraId="018F523C" w14:textId="77777777" w:rsidTr="00DC6BA9">
        <w:tc>
          <w:tcPr>
            <w:tcW w:w="1134" w:type="dxa"/>
            <w:tcBorders>
              <w:top w:val="nil"/>
              <w:left w:val="nil"/>
              <w:bottom w:val="nil"/>
              <w:right w:val="nil"/>
            </w:tcBorders>
          </w:tcPr>
          <w:p w14:paraId="211B5486" w14:textId="77777777" w:rsidR="00F32A2A" w:rsidRDefault="00F32A2A">
            <w:pPr>
              <w:pStyle w:val="-7"/>
              <w:spacing w:before="20" w:line="240" w:lineRule="exact"/>
              <w:rPr>
                <w:rtl/>
              </w:rPr>
            </w:pPr>
          </w:p>
        </w:tc>
        <w:tc>
          <w:tcPr>
            <w:tcW w:w="3766" w:type="dxa"/>
            <w:tcBorders>
              <w:top w:val="nil"/>
              <w:left w:val="nil"/>
              <w:bottom w:val="nil"/>
              <w:right w:val="nil"/>
            </w:tcBorders>
            <w:vAlign w:val="bottom"/>
          </w:tcPr>
          <w:p w14:paraId="30865C31" w14:textId="77777777" w:rsidR="00F32A2A" w:rsidRDefault="00497430">
            <w:pPr>
              <w:pStyle w:val="-0"/>
              <w:spacing w:before="20" w:line="240" w:lineRule="exact"/>
              <w:rPr>
                <w:rtl/>
              </w:rPr>
            </w:pPr>
            <w:r w:rsidRPr="00A17355">
              <w:rPr>
                <w:rtl/>
              </w:rPr>
              <w:t>תמורה ממימוש השקעות בחברות כלולות</w:t>
            </w:r>
            <w:r w:rsidRPr="00A17355">
              <w:rPr>
                <w:rFonts w:hint="cs"/>
                <w:rtl/>
              </w:rPr>
              <w:t xml:space="preserve"> </w:t>
            </w:r>
          </w:p>
        </w:tc>
        <w:tc>
          <w:tcPr>
            <w:tcW w:w="422" w:type="dxa"/>
            <w:tcBorders>
              <w:top w:val="nil"/>
              <w:left w:val="nil"/>
              <w:bottom w:val="nil"/>
              <w:right w:val="nil"/>
            </w:tcBorders>
            <w:tcMar>
              <w:left w:w="58" w:type="dxa"/>
              <w:right w:w="58" w:type="dxa"/>
            </w:tcMar>
          </w:tcPr>
          <w:p w14:paraId="2D8B9087"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5E3464E1" w14:textId="77777777" w:rsidR="00F32A2A" w:rsidRDefault="00497430">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1B0F03C7" w14:textId="77777777" w:rsidR="00F32A2A" w:rsidRDefault="00497430">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2A109C52" w14:textId="77777777" w:rsidR="00F32A2A" w:rsidRDefault="00497430">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5A49C403" w14:textId="77777777" w:rsidR="00F32A2A" w:rsidRDefault="00497430">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5AF19934" w14:textId="77777777" w:rsidR="00F32A2A" w:rsidRDefault="00497430">
            <w:pPr>
              <w:pStyle w:val="-7"/>
              <w:spacing w:before="20" w:line="240" w:lineRule="exact"/>
              <w:rPr>
                <w:rtl/>
              </w:rPr>
            </w:pPr>
            <w:r>
              <w:rPr>
                <w:rFonts w:hint="cs"/>
                <w:rtl/>
              </w:rPr>
              <w:t xml:space="preserve"> 0</w:t>
            </w:r>
          </w:p>
        </w:tc>
      </w:tr>
      <w:tr w:rsidR="00497430" w:rsidRPr="00543C25" w14:paraId="3DDB543B" w14:textId="77777777" w:rsidTr="00DC6BA9">
        <w:tc>
          <w:tcPr>
            <w:tcW w:w="1134" w:type="dxa"/>
            <w:tcBorders>
              <w:top w:val="nil"/>
              <w:left w:val="nil"/>
              <w:bottom w:val="nil"/>
              <w:right w:val="nil"/>
            </w:tcBorders>
          </w:tcPr>
          <w:p w14:paraId="72528250" w14:textId="77777777" w:rsidR="00F32A2A" w:rsidRDefault="00F32A2A">
            <w:pPr>
              <w:pStyle w:val="-7"/>
              <w:spacing w:before="20" w:line="240" w:lineRule="exact"/>
              <w:rPr>
                <w:rtl/>
              </w:rPr>
            </w:pPr>
          </w:p>
        </w:tc>
        <w:tc>
          <w:tcPr>
            <w:tcW w:w="3766" w:type="dxa"/>
            <w:tcBorders>
              <w:top w:val="nil"/>
              <w:left w:val="nil"/>
              <w:bottom w:val="nil"/>
              <w:right w:val="nil"/>
            </w:tcBorders>
            <w:vAlign w:val="bottom"/>
          </w:tcPr>
          <w:p w14:paraId="625E31F2" w14:textId="77777777" w:rsidR="00F32A2A" w:rsidRDefault="00497430">
            <w:pPr>
              <w:pStyle w:val="-0"/>
              <w:spacing w:before="20" w:line="240" w:lineRule="exact"/>
              <w:rPr>
                <w:rtl/>
              </w:rPr>
            </w:pPr>
            <w:r w:rsidRPr="00A17355">
              <w:rPr>
                <w:rtl/>
              </w:rPr>
              <w:t>רכישת בניינים וציוד</w:t>
            </w:r>
            <w:r w:rsidRPr="00A17355">
              <w:rPr>
                <w:rFonts w:hint="cs"/>
                <w:rtl/>
              </w:rPr>
              <w:t xml:space="preserve"> </w:t>
            </w:r>
          </w:p>
        </w:tc>
        <w:tc>
          <w:tcPr>
            <w:tcW w:w="422" w:type="dxa"/>
            <w:tcBorders>
              <w:top w:val="nil"/>
              <w:left w:val="nil"/>
              <w:bottom w:val="nil"/>
              <w:right w:val="nil"/>
            </w:tcBorders>
            <w:tcMar>
              <w:left w:w="58" w:type="dxa"/>
              <w:right w:w="58" w:type="dxa"/>
            </w:tcMar>
          </w:tcPr>
          <w:p w14:paraId="52AEF218"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1C8A731D" w14:textId="77777777" w:rsidR="00F32A2A" w:rsidRDefault="00497430">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066EE4B3" w14:textId="77777777" w:rsidR="00F32A2A" w:rsidRDefault="00497430">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67484D3D" w14:textId="77777777" w:rsidR="00F32A2A" w:rsidRDefault="00497430">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5BC80F6D" w14:textId="77777777" w:rsidR="00F32A2A" w:rsidRDefault="00497430">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2504A283" w14:textId="77777777" w:rsidR="00F32A2A" w:rsidRDefault="00497430">
            <w:pPr>
              <w:pStyle w:val="-7"/>
              <w:spacing w:before="20" w:line="240" w:lineRule="exact"/>
              <w:rPr>
                <w:rtl/>
              </w:rPr>
            </w:pPr>
            <w:r>
              <w:rPr>
                <w:rFonts w:hint="cs"/>
                <w:rtl/>
              </w:rPr>
              <w:t xml:space="preserve"> 0</w:t>
            </w:r>
          </w:p>
        </w:tc>
      </w:tr>
      <w:tr w:rsidR="00497430" w:rsidRPr="00543C25" w14:paraId="1B6D93C8" w14:textId="77777777" w:rsidTr="00DC6BA9">
        <w:tc>
          <w:tcPr>
            <w:tcW w:w="1134" w:type="dxa"/>
            <w:tcBorders>
              <w:top w:val="nil"/>
              <w:left w:val="nil"/>
              <w:bottom w:val="nil"/>
              <w:right w:val="nil"/>
            </w:tcBorders>
          </w:tcPr>
          <w:p w14:paraId="223B30B4" w14:textId="77777777" w:rsidR="00F32A2A" w:rsidRDefault="00F32A2A">
            <w:pPr>
              <w:pStyle w:val="-7"/>
              <w:spacing w:before="20" w:line="240" w:lineRule="exact"/>
              <w:rPr>
                <w:rtl/>
              </w:rPr>
            </w:pPr>
          </w:p>
        </w:tc>
        <w:tc>
          <w:tcPr>
            <w:tcW w:w="3766" w:type="dxa"/>
            <w:tcBorders>
              <w:top w:val="nil"/>
              <w:left w:val="nil"/>
              <w:bottom w:val="nil"/>
              <w:right w:val="nil"/>
            </w:tcBorders>
            <w:vAlign w:val="bottom"/>
          </w:tcPr>
          <w:p w14:paraId="53C837FD" w14:textId="77777777" w:rsidR="00F32A2A" w:rsidRDefault="00497430" w:rsidP="000046BE">
            <w:pPr>
              <w:pStyle w:val="-0"/>
              <w:spacing w:before="20" w:line="240" w:lineRule="exact"/>
              <w:rPr>
                <w:rtl/>
              </w:rPr>
            </w:pPr>
            <w:r w:rsidRPr="00A17355">
              <w:rPr>
                <w:rFonts w:hint="cs"/>
                <w:rtl/>
              </w:rPr>
              <w:t xml:space="preserve">עלויות </w:t>
            </w:r>
            <w:r w:rsidRPr="00701536">
              <w:rPr>
                <w:rFonts w:hint="cs"/>
                <w:rtl/>
              </w:rPr>
              <w:t>פיתוח תוכנה לשימוש עצמי שהוונו</w:t>
            </w:r>
            <w:r w:rsidRPr="004B3DF8">
              <w:rPr>
                <w:rFonts w:hint="cs"/>
                <w:color w:val="FF0000"/>
                <w:rtl/>
              </w:rPr>
              <w:t xml:space="preserve"> </w:t>
            </w:r>
          </w:p>
        </w:tc>
        <w:tc>
          <w:tcPr>
            <w:tcW w:w="422" w:type="dxa"/>
            <w:tcBorders>
              <w:top w:val="nil"/>
              <w:left w:val="nil"/>
              <w:bottom w:val="nil"/>
              <w:right w:val="nil"/>
            </w:tcBorders>
            <w:tcMar>
              <w:left w:w="58" w:type="dxa"/>
              <w:right w:w="58" w:type="dxa"/>
            </w:tcMar>
          </w:tcPr>
          <w:p w14:paraId="4318D381"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2A76D99A" w14:textId="77777777" w:rsidR="00F32A2A" w:rsidRDefault="00497430">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2C86A557" w14:textId="77777777" w:rsidR="00F32A2A" w:rsidRDefault="00497430">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4481BD84" w14:textId="77777777" w:rsidR="00F32A2A" w:rsidRDefault="00497430">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405052A9" w14:textId="77777777" w:rsidR="00F32A2A" w:rsidRDefault="00497430">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647FF1D6" w14:textId="77777777" w:rsidR="00F32A2A" w:rsidRDefault="00497430">
            <w:pPr>
              <w:pStyle w:val="-7"/>
              <w:spacing w:before="20" w:line="240" w:lineRule="exact"/>
              <w:rPr>
                <w:rtl/>
              </w:rPr>
            </w:pPr>
            <w:r>
              <w:rPr>
                <w:rFonts w:hint="cs"/>
                <w:rtl/>
              </w:rPr>
              <w:t xml:space="preserve"> 0</w:t>
            </w:r>
          </w:p>
        </w:tc>
      </w:tr>
      <w:tr w:rsidR="00497430" w:rsidRPr="00543C25" w14:paraId="0503B848" w14:textId="77777777" w:rsidTr="00DC6BA9">
        <w:tc>
          <w:tcPr>
            <w:tcW w:w="1134" w:type="dxa"/>
            <w:tcBorders>
              <w:top w:val="nil"/>
              <w:left w:val="nil"/>
              <w:bottom w:val="nil"/>
              <w:right w:val="nil"/>
            </w:tcBorders>
          </w:tcPr>
          <w:p w14:paraId="55CB2EDB" w14:textId="77777777" w:rsidR="00F32A2A" w:rsidRDefault="00F32A2A">
            <w:pPr>
              <w:pStyle w:val="-7"/>
              <w:spacing w:before="20" w:line="240" w:lineRule="exact"/>
              <w:rPr>
                <w:rtl/>
              </w:rPr>
            </w:pPr>
          </w:p>
        </w:tc>
        <w:tc>
          <w:tcPr>
            <w:tcW w:w="3766" w:type="dxa"/>
            <w:tcBorders>
              <w:top w:val="nil"/>
              <w:left w:val="nil"/>
              <w:bottom w:val="nil"/>
              <w:right w:val="nil"/>
            </w:tcBorders>
            <w:vAlign w:val="bottom"/>
          </w:tcPr>
          <w:p w14:paraId="6ED1612C" w14:textId="77777777" w:rsidR="00F32A2A" w:rsidRDefault="00497430">
            <w:pPr>
              <w:pStyle w:val="-0"/>
              <w:spacing w:before="20" w:line="240" w:lineRule="exact"/>
              <w:rPr>
                <w:rtl/>
              </w:rPr>
            </w:pPr>
            <w:r w:rsidRPr="00A17355">
              <w:rPr>
                <w:rtl/>
              </w:rPr>
              <w:t>תמורה ממימוש בניינים וציוד</w:t>
            </w:r>
            <w:r w:rsidRPr="00A17355">
              <w:rPr>
                <w:rFonts w:hint="cs"/>
                <w:rtl/>
              </w:rPr>
              <w:t xml:space="preserve"> </w:t>
            </w:r>
          </w:p>
        </w:tc>
        <w:tc>
          <w:tcPr>
            <w:tcW w:w="422" w:type="dxa"/>
            <w:tcBorders>
              <w:top w:val="nil"/>
              <w:left w:val="nil"/>
              <w:bottom w:val="nil"/>
              <w:right w:val="nil"/>
            </w:tcBorders>
            <w:tcMar>
              <w:left w:w="58" w:type="dxa"/>
              <w:right w:w="58" w:type="dxa"/>
            </w:tcMar>
          </w:tcPr>
          <w:p w14:paraId="7189B81D"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4B69165D" w14:textId="77777777" w:rsidR="00F32A2A" w:rsidRDefault="00497430">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198BC1EF" w14:textId="77777777" w:rsidR="00F32A2A" w:rsidRDefault="00497430">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219BA0A1" w14:textId="77777777" w:rsidR="00F32A2A" w:rsidRDefault="00497430">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6A6DF9CE" w14:textId="77777777" w:rsidR="00F32A2A" w:rsidRDefault="00497430">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18155251" w14:textId="77777777" w:rsidR="00F32A2A" w:rsidRDefault="00497430">
            <w:pPr>
              <w:pStyle w:val="-7"/>
              <w:spacing w:before="20" w:line="240" w:lineRule="exact"/>
              <w:rPr>
                <w:rtl/>
              </w:rPr>
            </w:pPr>
            <w:r>
              <w:rPr>
                <w:rFonts w:hint="cs"/>
                <w:rtl/>
              </w:rPr>
              <w:t xml:space="preserve"> 0</w:t>
            </w:r>
          </w:p>
        </w:tc>
      </w:tr>
      <w:tr w:rsidR="00497430" w:rsidRPr="00543C25" w14:paraId="00DC5229" w14:textId="77777777" w:rsidTr="00DC6BA9">
        <w:tc>
          <w:tcPr>
            <w:tcW w:w="1134" w:type="dxa"/>
            <w:tcBorders>
              <w:top w:val="nil"/>
              <w:left w:val="nil"/>
              <w:bottom w:val="nil"/>
              <w:right w:val="nil"/>
            </w:tcBorders>
          </w:tcPr>
          <w:p w14:paraId="7AC1673D" w14:textId="77777777" w:rsidR="00F32A2A" w:rsidRDefault="00F32A2A">
            <w:pPr>
              <w:pStyle w:val="-7"/>
              <w:spacing w:before="20" w:line="240" w:lineRule="exact"/>
              <w:rPr>
                <w:rtl/>
              </w:rPr>
            </w:pPr>
          </w:p>
        </w:tc>
        <w:tc>
          <w:tcPr>
            <w:tcW w:w="3766" w:type="dxa"/>
            <w:tcBorders>
              <w:top w:val="nil"/>
              <w:left w:val="nil"/>
              <w:bottom w:val="nil"/>
              <w:right w:val="nil"/>
            </w:tcBorders>
            <w:vAlign w:val="bottom"/>
          </w:tcPr>
          <w:p w14:paraId="68A27B21" w14:textId="77777777" w:rsidR="00F32A2A" w:rsidRPr="00523FC2" w:rsidRDefault="00497430">
            <w:pPr>
              <w:pStyle w:val="-0"/>
              <w:spacing w:before="20" w:line="240" w:lineRule="exact"/>
              <w:rPr>
                <w:rtl/>
              </w:rPr>
            </w:pPr>
            <w:r w:rsidRPr="00523FC2">
              <w:rPr>
                <w:rtl/>
              </w:rPr>
              <w:t xml:space="preserve">רכישת נכסים אחרים </w:t>
            </w:r>
            <w:r w:rsidR="00B44059" w:rsidRPr="00523FC2">
              <w:rPr>
                <w:rtl/>
              </w:rPr>
              <w:t>[</w:t>
            </w:r>
            <w:r w:rsidRPr="00523FC2">
              <w:rPr>
                <w:rtl/>
              </w:rPr>
              <w:t>פרט אם מהותי</w:t>
            </w:r>
            <w:r w:rsidR="00B44059" w:rsidRPr="00523FC2">
              <w:rPr>
                <w:rtl/>
              </w:rPr>
              <w:t xml:space="preserve">] </w:t>
            </w:r>
          </w:p>
        </w:tc>
        <w:tc>
          <w:tcPr>
            <w:tcW w:w="422" w:type="dxa"/>
            <w:tcBorders>
              <w:top w:val="nil"/>
              <w:left w:val="nil"/>
              <w:bottom w:val="nil"/>
              <w:right w:val="nil"/>
            </w:tcBorders>
            <w:tcMar>
              <w:left w:w="58" w:type="dxa"/>
              <w:right w:w="58" w:type="dxa"/>
            </w:tcMar>
          </w:tcPr>
          <w:p w14:paraId="3C5A9773"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7A70F748" w14:textId="77777777" w:rsidR="00F32A2A" w:rsidRDefault="00497430">
            <w:pPr>
              <w:pStyle w:val="-7"/>
              <w:spacing w:before="20" w:line="240" w:lineRule="exact"/>
              <w:rPr>
                <w:rtl/>
              </w:rPr>
            </w:pPr>
            <w:r>
              <w:rPr>
                <w:rFonts w:hint="cs"/>
                <w:rtl/>
              </w:rPr>
              <w:t xml:space="preserve"> 0</w:t>
            </w:r>
          </w:p>
        </w:tc>
        <w:tc>
          <w:tcPr>
            <w:tcW w:w="841" w:type="dxa"/>
            <w:tcBorders>
              <w:top w:val="nil"/>
              <w:left w:val="nil"/>
              <w:bottom w:val="nil"/>
              <w:right w:val="nil"/>
            </w:tcBorders>
            <w:vAlign w:val="bottom"/>
          </w:tcPr>
          <w:p w14:paraId="5ACB838F" w14:textId="77777777" w:rsidR="00F32A2A" w:rsidRDefault="00497430">
            <w:pPr>
              <w:pStyle w:val="-7"/>
              <w:spacing w:before="20" w:line="240" w:lineRule="exact"/>
              <w:rPr>
                <w:rtl/>
              </w:rPr>
            </w:pPr>
            <w:r>
              <w:rPr>
                <w:rFonts w:hint="cs"/>
                <w:rtl/>
              </w:rPr>
              <w:t xml:space="preserve"> 0</w:t>
            </w:r>
          </w:p>
        </w:tc>
        <w:tc>
          <w:tcPr>
            <w:tcW w:w="842" w:type="dxa"/>
            <w:tcBorders>
              <w:top w:val="nil"/>
              <w:left w:val="nil"/>
              <w:bottom w:val="nil"/>
              <w:right w:val="nil"/>
            </w:tcBorders>
            <w:vAlign w:val="bottom"/>
          </w:tcPr>
          <w:p w14:paraId="4C82EF46" w14:textId="77777777" w:rsidR="00F32A2A" w:rsidRDefault="00497430">
            <w:pPr>
              <w:pStyle w:val="-7"/>
              <w:spacing w:before="20" w:line="240" w:lineRule="exact"/>
              <w:rPr>
                <w:rtl/>
              </w:rPr>
            </w:pPr>
            <w:r>
              <w:rPr>
                <w:rFonts w:hint="cs"/>
                <w:rtl/>
              </w:rPr>
              <w:t xml:space="preserve"> 0</w:t>
            </w:r>
          </w:p>
        </w:tc>
        <w:tc>
          <w:tcPr>
            <w:tcW w:w="798" w:type="dxa"/>
            <w:tcBorders>
              <w:top w:val="nil"/>
              <w:left w:val="nil"/>
              <w:bottom w:val="nil"/>
              <w:right w:val="nil"/>
            </w:tcBorders>
            <w:vAlign w:val="bottom"/>
          </w:tcPr>
          <w:p w14:paraId="5622209A" w14:textId="77777777" w:rsidR="00F32A2A" w:rsidRDefault="00497430">
            <w:pPr>
              <w:pStyle w:val="-7"/>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76499B6B" w14:textId="77777777" w:rsidR="00F32A2A" w:rsidRDefault="00497430">
            <w:pPr>
              <w:pStyle w:val="-7"/>
              <w:spacing w:before="20" w:line="240" w:lineRule="exact"/>
              <w:rPr>
                <w:rtl/>
              </w:rPr>
            </w:pPr>
            <w:r>
              <w:rPr>
                <w:rFonts w:hint="cs"/>
                <w:rtl/>
              </w:rPr>
              <w:t xml:space="preserve"> 0</w:t>
            </w:r>
          </w:p>
        </w:tc>
      </w:tr>
      <w:tr w:rsidR="00497430" w:rsidRPr="00543C25" w14:paraId="3CEEB157" w14:textId="77777777" w:rsidTr="00DC6BA9">
        <w:tc>
          <w:tcPr>
            <w:tcW w:w="1134" w:type="dxa"/>
            <w:tcBorders>
              <w:top w:val="nil"/>
              <w:left w:val="nil"/>
              <w:bottom w:val="nil"/>
              <w:right w:val="nil"/>
            </w:tcBorders>
          </w:tcPr>
          <w:p w14:paraId="1F488CCB" w14:textId="77777777" w:rsidR="00F32A2A" w:rsidRDefault="00F32A2A">
            <w:pPr>
              <w:pStyle w:val="-7"/>
              <w:spacing w:before="20" w:line="240" w:lineRule="exact"/>
              <w:rPr>
                <w:rtl/>
              </w:rPr>
            </w:pPr>
          </w:p>
        </w:tc>
        <w:tc>
          <w:tcPr>
            <w:tcW w:w="3766" w:type="dxa"/>
            <w:tcBorders>
              <w:top w:val="nil"/>
              <w:left w:val="nil"/>
              <w:bottom w:val="nil"/>
              <w:right w:val="nil"/>
            </w:tcBorders>
            <w:vAlign w:val="bottom"/>
          </w:tcPr>
          <w:p w14:paraId="3D4E0D6E" w14:textId="77777777" w:rsidR="00F32A2A" w:rsidRPr="00523FC2" w:rsidRDefault="00497430">
            <w:pPr>
              <w:pStyle w:val="-0"/>
              <w:spacing w:before="20" w:line="240" w:lineRule="exact"/>
              <w:ind w:right="-144"/>
              <w:rPr>
                <w:rtl/>
              </w:rPr>
            </w:pPr>
            <w:r w:rsidRPr="00523FC2">
              <w:rPr>
                <w:rtl/>
              </w:rPr>
              <w:t xml:space="preserve">תמורה ממימוש נכסים אחרים </w:t>
            </w:r>
            <w:r w:rsidR="00B44059" w:rsidRPr="00523FC2">
              <w:rPr>
                <w:rtl/>
              </w:rPr>
              <w:t>[</w:t>
            </w:r>
            <w:r w:rsidRPr="00523FC2">
              <w:rPr>
                <w:rtl/>
              </w:rPr>
              <w:t>פרט אם מהותי</w:t>
            </w:r>
            <w:r w:rsidR="00B44059" w:rsidRPr="00523FC2">
              <w:rPr>
                <w:rtl/>
              </w:rPr>
              <w:t>]</w:t>
            </w:r>
            <w:r w:rsidRPr="00523FC2">
              <w:rPr>
                <w:rFonts w:hint="cs"/>
                <w:rtl/>
              </w:rPr>
              <w:t xml:space="preserve"> </w:t>
            </w:r>
          </w:p>
        </w:tc>
        <w:tc>
          <w:tcPr>
            <w:tcW w:w="422" w:type="dxa"/>
            <w:tcBorders>
              <w:top w:val="nil"/>
              <w:left w:val="nil"/>
              <w:bottom w:val="nil"/>
              <w:right w:val="nil"/>
            </w:tcBorders>
            <w:tcMar>
              <w:left w:w="58" w:type="dxa"/>
              <w:right w:w="58" w:type="dxa"/>
            </w:tcMar>
          </w:tcPr>
          <w:p w14:paraId="76661774" w14:textId="77777777" w:rsidR="00F32A2A" w:rsidRDefault="00F32A2A">
            <w:pPr>
              <w:pStyle w:val="-7"/>
              <w:spacing w:before="20" w:line="240" w:lineRule="exact"/>
              <w:rPr>
                <w:rtl/>
              </w:rPr>
            </w:pPr>
          </w:p>
        </w:tc>
        <w:tc>
          <w:tcPr>
            <w:tcW w:w="842" w:type="dxa"/>
            <w:tcBorders>
              <w:top w:val="nil"/>
              <w:left w:val="nil"/>
              <w:bottom w:val="nil"/>
              <w:right w:val="nil"/>
            </w:tcBorders>
            <w:vAlign w:val="bottom"/>
          </w:tcPr>
          <w:p w14:paraId="459EA13F" w14:textId="77777777" w:rsidR="00F32A2A" w:rsidRDefault="00497430">
            <w:pPr>
              <w:pStyle w:val="-7"/>
              <w:pBdr>
                <w:bottom w:val="single" w:sz="4" w:space="1" w:color="auto"/>
              </w:pBdr>
              <w:spacing w:before="20" w:line="240" w:lineRule="exact"/>
              <w:rPr>
                <w:rtl/>
              </w:rPr>
            </w:pPr>
            <w:r>
              <w:rPr>
                <w:rFonts w:hint="cs"/>
                <w:rtl/>
              </w:rPr>
              <w:t xml:space="preserve"> 0</w:t>
            </w:r>
          </w:p>
        </w:tc>
        <w:tc>
          <w:tcPr>
            <w:tcW w:w="841" w:type="dxa"/>
            <w:tcBorders>
              <w:top w:val="nil"/>
              <w:left w:val="nil"/>
              <w:bottom w:val="nil"/>
              <w:right w:val="nil"/>
            </w:tcBorders>
            <w:vAlign w:val="bottom"/>
          </w:tcPr>
          <w:p w14:paraId="719CBB23" w14:textId="77777777" w:rsidR="00F32A2A" w:rsidRDefault="00497430">
            <w:pPr>
              <w:pStyle w:val="-7"/>
              <w:pBdr>
                <w:bottom w:val="single" w:sz="4" w:space="1" w:color="auto"/>
              </w:pBdr>
              <w:spacing w:before="20" w:line="240" w:lineRule="exact"/>
              <w:rPr>
                <w:rtl/>
              </w:rPr>
            </w:pPr>
            <w:r>
              <w:rPr>
                <w:rFonts w:hint="cs"/>
                <w:rtl/>
              </w:rPr>
              <w:t xml:space="preserve"> 0</w:t>
            </w:r>
          </w:p>
        </w:tc>
        <w:tc>
          <w:tcPr>
            <w:tcW w:w="842" w:type="dxa"/>
            <w:tcBorders>
              <w:top w:val="nil"/>
              <w:left w:val="nil"/>
              <w:bottom w:val="nil"/>
              <w:right w:val="nil"/>
            </w:tcBorders>
            <w:vAlign w:val="bottom"/>
          </w:tcPr>
          <w:p w14:paraId="24C411F9" w14:textId="77777777" w:rsidR="00F32A2A" w:rsidRDefault="00497430">
            <w:pPr>
              <w:pStyle w:val="-7"/>
              <w:pBdr>
                <w:bottom w:val="single" w:sz="4" w:space="1" w:color="auto"/>
              </w:pBdr>
              <w:spacing w:before="20" w:line="240" w:lineRule="exact"/>
              <w:rPr>
                <w:rtl/>
              </w:rPr>
            </w:pPr>
            <w:r>
              <w:rPr>
                <w:rFonts w:hint="cs"/>
                <w:rtl/>
              </w:rPr>
              <w:t xml:space="preserve"> 0</w:t>
            </w:r>
          </w:p>
        </w:tc>
        <w:tc>
          <w:tcPr>
            <w:tcW w:w="798" w:type="dxa"/>
            <w:tcBorders>
              <w:top w:val="nil"/>
              <w:left w:val="nil"/>
              <w:bottom w:val="nil"/>
              <w:right w:val="nil"/>
            </w:tcBorders>
            <w:vAlign w:val="bottom"/>
          </w:tcPr>
          <w:p w14:paraId="10F2326F" w14:textId="77777777" w:rsidR="00F32A2A" w:rsidRDefault="00497430">
            <w:pPr>
              <w:pStyle w:val="-7"/>
              <w:pBdr>
                <w:bottom w:val="single" w:sz="4" w:space="1" w:color="auto"/>
              </w:pBdr>
              <w:spacing w:before="20" w:line="240" w:lineRule="exact"/>
              <w:rPr>
                <w:rtl/>
              </w:rPr>
            </w:pPr>
            <w:r>
              <w:rPr>
                <w:rFonts w:hint="cs"/>
                <w:rtl/>
              </w:rPr>
              <w:t xml:space="preserve"> 0</w:t>
            </w:r>
          </w:p>
        </w:tc>
        <w:tc>
          <w:tcPr>
            <w:tcW w:w="1418" w:type="dxa"/>
            <w:tcBorders>
              <w:top w:val="nil"/>
              <w:left w:val="nil"/>
              <w:bottom w:val="nil"/>
              <w:right w:val="nil"/>
            </w:tcBorders>
            <w:vAlign w:val="bottom"/>
          </w:tcPr>
          <w:p w14:paraId="36858FE9" w14:textId="77777777" w:rsidR="00F32A2A" w:rsidRDefault="00497430">
            <w:pPr>
              <w:pStyle w:val="-7"/>
              <w:pBdr>
                <w:bottom w:val="single" w:sz="4" w:space="1" w:color="auto"/>
              </w:pBdr>
              <w:spacing w:before="20" w:line="240" w:lineRule="exact"/>
              <w:rPr>
                <w:rtl/>
              </w:rPr>
            </w:pPr>
            <w:r>
              <w:rPr>
                <w:rFonts w:hint="cs"/>
                <w:rtl/>
              </w:rPr>
              <w:t xml:space="preserve"> 0</w:t>
            </w:r>
          </w:p>
        </w:tc>
      </w:tr>
      <w:tr w:rsidR="00497430" w:rsidRPr="00543C25" w14:paraId="3F103B7D" w14:textId="77777777" w:rsidTr="00DC6BA9">
        <w:tc>
          <w:tcPr>
            <w:tcW w:w="1134" w:type="dxa"/>
            <w:tcBorders>
              <w:top w:val="nil"/>
              <w:left w:val="nil"/>
              <w:bottom w:val="nil"/>
              <w:right w:val="nil"/>
            </w:tcBorders>
          </w:tcPr>
          <w:p w14:paraId="2C162C53" w14:textId="77777777" w:rsidR="00F32A2A" w:rsidRDefault="00F32A2A">
            <w:pPr>
              <w:pStyle w:val="-7"/>
              <w:bidi w:val="0"/>
              <w:spacing w:line="60" w:lineRule="exact"/>
              <w:rPr>
                <w:rtl/>
              </w:rPr>
            </w:pPr>
          </w:p>
        </w:tc>
        <w:tc>
          <w:tcPr>
            <w:tcW w:w="3766" w:type="dxa"/>
            <w:tcBorders>
              <w:top w:val="nil"/>
              <w:left w:val="nil"/>
              <w:bottom w:val="nil"/>
              <w:right w:val="nil"/>
            </w:tcBorders>
            <w:vAlign w:val="bottom"/>
          </w:tcPr>
          <w:p w14:paraId="69AF3E32" w14:textId="77777777" w:rsidR="00F32A2A" w:rsidRDefault="00F32A2A">
            <w:pPr>
              <w:pStyle w:val="-7"/>
              <w:bidi w:val="0"/>
              <w:spacing w:line="60" w:lineRule="exact"/>
              <w:rPr>
                <w:sz w:val="18"/>
                <w:szCs w:val="18"/>
                <w:rtl/>
              </w:rPr>
            </w:pPr>
          </w:p>
        </w:tc>
        <w:tc>
          <w:tcPr>
            <w:tcW w:w="422" w:type="dxa"/>
            <w:tcBorders>
              <w:top w:val="nil"/>
              <w:left w:val="nil"/>
              <w:bottom w:val="nil"/>
              <w:right w:val="nil"/>
            </w:tcBorders>
            <w:tcMar>
              <w:left w:w="58" w:type="dxa"/>
              <w:right w:w="58" w:type="dxa"/>
            </w:tcMar>
          </w:tcPr>
          <w:p w14:paraId="02F20066" w14:textId="77777777" w:rsidR="00F32A2A" w:rsidRDefault="00F32A2A">
            <w:pPr>
              <w:pStyle w:val="-7"/>
              <w:bidi w:val="0"/>
              <w:spacing w:line="60" w:lineRule="exact"/>
              <w:rPr>
                <w:rtl/>
              </w:rPr>
            </w:pPr>
          </w:p>
        </w:tc>
        <w:tc>
          <w:tcPr>
            <w:tcW w:w="842" w:type="dxa"/>
            <w:tcBorders>
              <w:top w:val="nil"/>
              <w:left w:val="nil"/>
              <w:bottom w:val="nil"/>
              <w:right w:val="nil"/>
            </w:tcBorders>
            <w:vAlign w:val="bottom"/>
          </w:tcPr>
          <w:p w14:paraId="190602AD" w14:textId="77777777" w:rsidR="00F32A2A" w:rsidRDefault="00F32A2A">
            <w:pPr>
              <w:pStyle w:val="-7"/>
              <w:bidi w:val="0"/>
              <w:spacing w:line="60" w:lineRule="exact"/>
              <w:rPr>
                <w:rtl/>
              </w:rPr>
            </w:pPr>
          </w:p>
        </w:tc>
        <w:tc>
          <w:tcPr>
            <w:tcW w:w="841" w:type="dxa"/>
            <w:tcBorders>
              <w:top w:val="nil"/>
              <w:left w:val="nil"/>
              <w:bottom w:val="nil"/>
              <w:right w:val="nil"/>
            </w:tcBorders>
            <w:vAlign w:val="bottom"/>
          </w:tcPr>
          <w:p w14:paraId="16A1747B" w14:textId="77777777" w:rsidR="00F32A2A" w:rsidRDefault="00F32A2A">
            <w:pPr>
              <w:pStyle w:val="-7"/>
              <w:bidi w:val="0"/>
              <w:spacing w:line="60" w:lineRule="exact"/>
              <w:rPr>
                <w:rtl/>
              </w:rPr>
            </w:pPr>
          </w:p>
        </w:tc>
        <w:tc>
          <w:tcPr>
            <w:tcW w:w="842" w:type="dxa"/>
            <w:tcBorders>
              <w:top w:val="nil"/>
              <w:left w:val="nil"/>
              <w:bottom w:val="nil"/>
              <w:right w:val="nil"/>
            </w:tcBorders>
            <w:vAlign w:val="bottom"/>
          </w:tcPr>
          <w:p w14:paraId="4AFE3DB1" w14:textId="77777777" w:rsidR="00F32A2A" w:rsidRDefault="00F32A2A">
            <w:pPr>
              <w:pStyle w:val="-7"/>
              <w:bidi w:val="0"/>
              <w:spacing w:line="60" w:lineRule="exact"/>
              <w:rPr>
                <w:rtl/>
              </w:rPr>
            </w:pPr>
          </w:p>
        </w:tc>
        <w:tc>
          <w:tcPr>
            <w:tcW w:w="798" w:type="dxa"/>
            <w:tcBorders>
              <w:top w:val="nil"/>
              <w:left w:val="nil"/>
              <w:bottom w:val="nil"/>
              <w:right w:val="nil"/>
            </w:tcBorders>
            <w:vAlign w:val="bottom"/>
          </w:tcPr>
          <w:p w14:paraId="1691932F" w14:textId="77777777" w:rsidR="00F32A2A" w:rsidRDefault="00F32A2A">
            <w:pPr>
              <w:pStyle w:val="-7"/>
              <w:bidi w:val="0"/>
              <w:spacing w:line="60" w:lineRule="exact"/>
              <w:rPr>
                <w:rtl/>
              </w:rPr>
            </w:pPr>
          </w:p>
        </w:tc>
        <w:tc>
          <w:tcPr>
            <w:tcW w:w="1418" w:type="dxa"/>
            <w:tcBorders>
              <w:top w:val="nil"/>
              <w:left w:val="nil"/>
              <w:bottom w:val="nil"/>
              <w:right w:val="nil"/>
            </w:tcBorders>
            <w:vAlign w:val="bottom"/>
          </w:tcPr>
          <w:p w14:paraId="69C82A6B" w14:textId="77777777" w:rsidR="00F32A2A" w:rsidRDefault="00F32A2A">
            <w:pPr>
              <w:pStyle w:val="-7"/>
              <w:bidi w:val="0"/>
              <w:spacing w:line="60" w:lineRule="exact"/>
              <w:rPr>
                <w:rtl/>
              </w:rPr>
            </w:pPr>
          </w:p>
        </w:tc>
      </w:tr>
      <w:tr w:rsidR="00497430" w:rsidRPr="00543C25" w14:paraId="4482326D" w14:textId="77777777" w:rsidTr="00DC6BA9">
        <w:tc>
          <w:tcPr>
            <w:tcW w:w="1134" w:type="dxa"/>
            <w:tcBorders>
              <w:top w:val="nil"/>
              <w:left w:val="nil"/>
              <w:bottom w:val="nil"/>
              <w:right w:val="nil"/>
            </w:tcBorders>
          </w:tcPr>
          <w:p w14:paraId="6CC70479" w14:textId="77777777" w:rsidR="00497430" w:rsidRPr="009062C2" w:rsidRDefault="00497430" w:rsidP="00701C21">
            <w:pPr>
              <w:pStyle w:val="-7"/>
              <w:rPr>
                <w:rtl/>
              </w:rPr>
            </w:pPr>
          </w:p>
        </w:tc>
        <w:tc>
          <w:tcPr>
            <w:tcW w:w="3766" w:type="dxa"/>
            <w:tcBorders>
              <w:top w:val="nil"/>
              <w:left w:val="nil"/>
              <w:bottom w:val="nil"/>
              <w:right w:val="nil"/>
            </w:tcBorders>
            <w:vAlign w:val="bottom"/>
          </w:tcPr>
          <w:p w14:paraId="2A037C89" w14:textId="77777777" w:rsidR="00497430" w:rsidRPr="007144EE" w:rsidRDefault="00497430" w:rsidP="005E583B">
            <w:pPr>
              <w:pStyle w:val="-b"/>
              <w:rPr>
                <w:rtl/>
              </w:rPr>
            </w:pPr>
            <w:r w:rsidRPr="007144EE">
              <w:rPr>
                <w:rFonts w:hint="cs"/>
                <w:rtl/>
              </w:rPr>
              <w:t>מזומנים נטו מפעילות</w:t>
            </w:r>
            <w:r w:rsidR="00310336">
              <w:rPr>
                <w:rFonts w:hint="cs"/>
                <w:rtl/>
              </w:rPr>
              <w:t xml:space="preserve"> (לפעילות)</w:t>
            </w:r>
            <w:r w:rsidRPr="007144EE">
              <w:rPr>
                <w:rFonts w:hint="cs"/>
                <w:rtl/>
              </w:rPr>
              <w:t xml:space="preserve"> השקעה</w:t>
            </w:r>
          </w:p>
        </w:tc>
        <w:tc>
          <w:tcPr>
            <w:tcW w:w="422" w:type="dxa"/>
            <w:tcBorders>
              <w:top w:val="nil"/>
              <w:left w:val="nil"/>
              <w:bottom w:val="nil"/>
              <w:right w:val="nil"/>
            </w:tcBorders>
            <w:tcMar>
              <w:left w:w="58" w:type="dxa"/>
              <w:right w:w="58" w:type="dxa"/>
            </w:tcMar>
          </w:tcPr>
          <w:p w14:paraId="62CD60DE" w14:textId="77777777" w:rsidR="00497430" w:rsidRPr="009062C2" w:rsidRDefault="00497430" w:rsidP="00AF21EC">
            <w:pPr>
              <w:pStyle w:val="-7"/>
              <w:rPr>
                <w:rtl/>
              </w:rPr>
            </w:pPr>
          </w:p>
        </w:tc>
        <w:tc>
          <w:tcPr>
            <w:tcW w:w="842" w:type="dxa"/>
            <w:tcBorders>
              <w:top w:val="nil"/>
              <w:left w:val="nil"/>
              <w:bottom w:val="nil"/>
              <w:right w:val="nil"/>
            </w:tcBorders>
            <w:vAlign w:val="bottom"/>
          </w:tcPr>
          <w:p w14:paraId="7C0A2153" w14:textId="77777777" w:rsidR="00F32A2A" w:rsidRDefault="00497430">
            <w:pPr>
              <w:pStyle w:val="-f1"/>
              <w:pBdr>
                <w:top w:val="none" w:sz="0" w:space="0" w:color="auto"/>
                <w:bottom w:val="double" w:sz="4" w:space="1" w:color="auto"/>
              </w:pBdr>
              <w:rPr>
                <w:rtl/>
              </w:rPr>
            </w:pPr>
            <w:r>
              <w:rPr>
                <w:rFonts w:hint="cs"/>
                <w:rtl/>
              </w:rPr>
              <w:t xml:space="preserve"> </w:t>
            </w:r>
            <w:r w:rsidRPr="00543C25">
              <w:rPr>
                <w:rtl/>
              </w:rPr>
              <w:t>0</w:t>
            </w:r>
          </w:p>
        </w:tc>
        <w:tc>
          <w:tcPr>
            <w:tcW w:w="841" w:type="dxa"/>
            <w:tcBorders>
              <w:top w:val="nil"/>
              <w:left w:val="nil"/>
              <w:bottom w:val="nil"/>
              <w:right w:val="nil"/>
            </w:tcBorders>
            <w:vAlign w:val="bottom"/>
          </w:tcPr>
          <w:p w14:paraId="2BAD76F2" w14:textId="77777777" w:rsidR="00F32A2A" w:rsidRDefault="00497430">
            <w:pPr>
              <w:pStyle w:val="-f1"/>
              <w:pBdr>
                <w:top w:val="none" w:sz="0" w:space="0" w:color="auto"/>
                <w:bottom w:val="double" w:sz="4" w:space="1" w:color="auto"/>
              </w:pBdr>
              <w:rPr>
                <w:rtl/>
              </w:rPr>
            </w:pPr>
            <w:r>
              <w:rPr>
                <w:rFonts w:hint="cs"/>
                <w:rtl/>
              </w:rPr>
              <w:t xml:space="preserve"> </w:t>
            </w:r>
            <w:r w:rsidRPr="00543C25">
              <w:rPr>
                <w:rtl/>
              </w:rPr>
              <w:t>0</w:t>
            </w:r>
          </w:p>
        </w:tc>
        <w:tc>
          <w:tcPr>
            <w:tcW w:w="842" w:type="dxa"/>
            <w:tcBorders>
              <w:top w:val="nil"/>
              <w:left w:val="nil"/>
              <w:bottom w:val="nil"/>
              <w:right w:val="nil"/>
            </w:tcBorders>
            <w:vAlign w:val="bottom"/>
          </w:tcPr>
          <w:p w14:paraId="38B8FD41" w14:textId="77777777" w:rsidR="00F32A2A" w:rsidRDefault="00497430">
            <w:pPr>
              <w:pStyle w:val="-f1"/>
              <w:pBdr>
                <w:top w:val="none" w:sz="0" w:space="0" w:color="auto"/>
                <w:bottom w:val="double" w:sz="4" w:space="1" w:color="auto"/>
              </w:pBdr>
              <w:rPr>
                <w:rtl/>
              </w:rPr>
            </w:pPr>
            <w:r>
              <w:rPr>
                <w:rFonts w:hint="cs"/>
                <w:rtl/>
              </w:rPr>
              <w:t xml:space="preserve"> </w:t>
            </w:r>
            <w:r w:rsidRPr="00543C25">
              <w:rPr>
                <w:rtl/>
              </w:rPr>
              <w:t>0</w:t>
            </w:r>
          </w:p>
        </w:tc>
        <w:tc>
          <w:tcPr>
            <w:tcW w:w="798" w:type="dxa"/>
            <w:tcBorders>
              <w:top w:val="nil"/>
              <w:left w:val="nil"/>
              <w:bottom w:val="nil"/>
              <w:right w:val="nil"/>
            </w:tcBorders>
            <w:vAlign w:val="bottom"/>
          </w:tcPr>
          <w:p w14:paraId="2BD86A33" w14:textId="77777777" w:rsidR="00F32A2A" w:rsidRDefault="00497430">
            <w:pPr>
              <w:pStyle w:val="-f1"/>
              <w:pBdr>
                <w:top w:val="none" w:sz="0" w:space="0" w:color="auto"/>
                <w:bottom w:val="double" w:sz="4" w:space="1" w:color="auto"/>
              </w:pBdr>
              <w:rPr>
                <w:rtl/>
              </w:rPr>
            </w:pPr>
            <w:r>
              <w:rPr>
                <w:rFonts w:hint="cs"/>
                <w:rtl/>
              </w:rPr>
              <w:t xml:space="preserve"> </w:t>
            </w:r>
            <w:r w:rsidRPr="00543C25">
              <w:rPr>
                <w:rtl/>
              </w:rPr>
              <w:t>0</w:t>
            </w:r>
          </w:p>
        </w:tc>
        <w:tc>
          <w:tcPr>
            <w:tcW w:w="1418" w:type="dxa"/>
            <w:tcBorders>
              <w:top w:val="nil"/>
              <w:left w:val="nil"/>
              <w:bottom w:val="nil"/>
              <w:right w:val="nil"/>
            </w:tcBorders>
            <w:vAlign w:val="bottom"/>
          </w:tcPr>
          <w:p w14:paraId="286EFA39" w14:textId="77777777" w:rsidR="00F32A2A" w:rsidRDefault="00497430">
            <w:pPr>
              <w:pStyle w:val="-f1"/>
              <w:pBdr>
                <w:top w:val="none" w:sz="0" w:space="0" w:color="auto"/>
                <w:bottom w:val="double" w:sz="4" w:space="1" w:color="auto"/>
              </w:pBdr>
              <w:rPr>
                <w:rtl/>
              </w:rPr>
            </w:pPr>
            <w:r>
              <w:rPr>
                <w:rFonts w:hint="cs"/>
                <w:rtl/>
              </w:rPr>
              <w:t xml:space="preserve"> </w:t>
            </w:r>
            <w:r w:rsidRPr="00543C25">
              <w:rPr>
                <w:rtl/>
              </w:rPr>
              <w:t>0</w:t>
            </w:r>
          </w:p>
        </w:tc>
      </w:tr>
      <w:tr w:rsidR="00497430" w:rsidRPr="00543C25" w14:paraId="618DD5AF" w14:textId="77777777" w:rsidTr="00DC6BA9">
        <w:tc>
          <w:tcPr>
            <w:tcW w:w="1134" w:type="dxa"/>
            <w:tcBorders>
              <w:top w:val="nil"/>
              <w:left w:val="nil"/>
              <w:bottom w:val="nil"/>
              <w:right w:val="nil"/>
            </w:tcBorders>
          </w:tcPr>
          <w:p w14:paraId="51D551A5" w14:textId="77777777" w:rsidR="00CF2A74" w:rsidRDefault="00CF2A74">
            <w:pPr>
              <w:pStyle w:val="-7"/>
              <w:rPr>
                <w:rtl/>
              </w:rPr>
            </w:pPr>
          </w:p>
        </w:tc>
        <w:tc>
          <w:tcPr>
            <w:tcW w:w="3766" w:type="dxa"/>
            <w:tcBorders>
              <w:top w:val="nil"/>
              <w:left w:val="nil"/>
              <w:bottom w:val="nil"/>
              <w:right w:val="nil"/>
            </w:tcBorders>
            <w:vAlign w:val="bottom"/>
          </w:tcPr>
          <w:p w14:paraId="7FA9FCCE" w14:textId="77777777" w:rsidR="00CF2A74" w:rsidRDefault="00CF2A74">
            <w:pPr>
              <w:pStyle w:val="-7"/>
              <w:rPr>
                <w:sz w:val="18"/>
                <w:szCs w:val="18"/>
                <w:rtl/>
              </w:rPr>
            </w:pPr>
          </w:p>
        </w:tc>
        <w:tc>
          <w:tcPr>
            <w:tcW w:w="422" w:type="dxa"/>
            <w:tcBorders>
              <w:top w:val="nil"/>
              <w:left w:val="nil"/>
              <w:bottom w:val="nil"/>
              <w:right w:val="nil"/>
            </w:tcBorders>
            <w:tcMar>
              <w:left w:w="58" w:type="dxa"/>
              <w:right w:w="58" w:type="dxa"/>
            </w:tcMar>
          </w:tcPr>
          <w:p w14:paraId="3754712F" w14:textId="77777777" w:rsidR="00CF2A74" w:rsidRDefault="00CF2A74">
            <w:pPr>
              <w:pStyle w:val="-7"/>
              <w:rPr>
                <w:rtl/>
              </w:rPr>
            </w:pPr>
          </w:p>
        </w:tc>
        <w:tc>
          <w:tcPr>
            <w:tcW w:w="842" w:type="dxa"/>
            <w:tcBorders>
              <w:top w:val="nil"/>
              <w:left w:val="nil"/>
              <w:bottom w:val="nil"/>
              <w:right w:val="nil"/>
            </w:tcBorders>
          </w:tcPr>
          <w:p w14:paraId="3D86E5C6" w14:textId="77777777" w:rsidR="00CF2A74" w:rsidRDefault="00CF2A74" w:rsidP="00CF2A74">
            <w:pPr>
              <w:pStyle w:val="-212"/>
              <w:pBdr>
                <w:top w:val="none" w:sz="0" w:space="0" w:color="auto"/>
              </w:pBdr>
              <w:rPr>
                <w:rtl/>
              </w:rPr>
            </w:pPr>
          </w:p>
        </w:tc>
        <w:tc>
          <w:tcPr>
            <w:tcW w:w="841" w:type="dxa"/>
            <w:tcBorders>
              <w:top w:val="nil"/>
              <w:left w:val="nil"/>
              <w:bottom w:val="nil"/>
              <w:right w:val="nil"/>
            </w:tcBorders>
          </w:tcPr>
          <w:p w14:paraId="7B29C4A1" w14:textId="77777777" w:rsidR="00CF2A74" w:rsidRDefault="00CF2A74" w:rsidP="00CF2A74">
            <w:pPr>
              <w:pStyle w:val="-212"/>
              <w:pBdr>
                <w:top w:val="none" w:sz="0" w:space="0" w:color="auto"/>
              </w:pBdr>
              <w:rPr>
                <w:rtl/>
              </w:rPr>
            </w:pPr>
          </w:p>
        </w:tc>
        <w:tc>
          <w:tcPr>
            <w:tcW w:w="842" w:type="dxa"/>
            <w:tcBorders>
              <w:top w:val="nil"/>
              <w:left w:val="nil"/>
              <w:bottom w:val="nil"/>
              <w:right w:val="nil"/>
            </w:tcBorders>
          </w:tcPr>
          <w:p w14:paraId="0C693D51" w14:textId="77777777" w:rsidR="00CF2A74" w:rsidRDefault="00CF2A74" w:rsidP="00CF2A74">
            <w:pPr>
              <w:pStyle w:val="-212"/>
              <w:pBdr>
                <w:top w:val="none" w:sz="0" w:space="0" w:color="auto"/>
              </w:pBdr>
              <w:rPr>
                <w:rtl/>
              </w:rPr>
            </w:pPr>
          </w:p>
        </w:tc>
        <w:tc>
          <w:tcPr>
            <w:tcW w:w="798" w:type="dxa"/>
            <w:tcBorders>
              <w:top w:val="nil"/>
              <w:left w:val="nil"/>
              <w:bottom w:val="nil"/>
              <w:right w:val="nil"/>
            </w:tcBorders>
          </w:tcPr>
          <w:p w14:paraId="3C620466" w14:textId="77777777" w:rsidR="00CF2A74" w:rsidRDefault="00CF2A74" w:rsidP="00CF2A74">
            <w:pPr>
              <w:pStyle w:val="-212"/>
              <w:pBdr>
                <w:top w:val="none" w:sz="0" w:space="0" w:color="auto"/>
              </w:pBdr>
              <w:rPr>
                <w:rtl/>
              </w:rPr>
            </w:pPr>
          </w:p>
        </w:tc>
        <w:tc>
          <w:tcPr>
            <w:tcW w:w="1418" w:type="dxa"/>
            <w:tcBorders>
              <w:top w:val="nil"/>
              <w:left w:val="nil"/>
              <w:bottom w:val="nil"/>
              <w:right w:val="nil"/>
            </w:tcBorders>
          </w:tcPr>
          <w:p w14:paraId="174F8AD5" w14:textId="77777777" w:rsidR="00CF2A74" w:rsidRDefault="00CF2A74" w:rsidP="00CF2A74">
            <w:pPr>
              <w:pStyle w:val="-212"/>
              <w:pBdr>
                <w:top w:val="none" w:sz="0" w:space="0" w:color="auto"/>
              </w:pBdr>
              <w:rPr>
                <w:rtl/>
              </w:rPr>
            </w:pPr>
          </w:p>
        </w:tc>
      </w:tr>
    </w:tbl>
    <w:p w14:paraId="194B7F48" w14:textId="77777777" w:rsidR="00021F48" w:rsidRDefault="00021F48" w:rsidP="00021F48">
      <w:pPr>
        <w:rPr>
          <w:rtl/>
        </w:rPr>
      </w:pPr>
    </w:p>
    <w:p w14:paraId="005EA56E" w14:textId="77777777" w:rsidR="006A61C9" w:rsidRDefault="006A61C9" w:rsidP="000970E3">
      <w:pPr>
        <w:pStyle w:val="-2"/>
        <w:ind w:left="1584"/>
        <w:rPr>
          <w:rtl/>
        </w:rPr>
      </w:pPr>
    </w:p>
    <w:tbl>
      <w:tblPr>
        <w:bidiVisual/>
        <w:tblW w:w="5000" w:type="pct"/>
        <w:tblLook w:val="04A0" w:firstRow="1" w:lastRow="0" w:firstColumn="1" w:lastColumn="0" w:noHBand="0" w:noVBand="1"/>
      </w:tblPr>
      <w:tblGrid>
        <w:gridCol w:w="1387"/>
        <w:gridCol w:w="8820"/>
      </w:tblGrid>
      <w:tr w:rsidR="006A61C9" w:rsidRPr="00543C25" w14:paraId="161F0A21" w14:textId="77777777" w:rsidTr="00EF186E">
        <w:trPr>
          <w:trHeight w:val="259"/>
        </w:trPr>
        <w:tc>
          <w:tcPr>
            <w:tcW w:w="1387" w:type="dxa"/>
          </w:tcPr>
          <w:p w14:paraId="49FD303F" w14:textId="77777777" w:rsidR="006A61C9" w:rsidRPr="00ED6312" w:rsidRDefault="006A61C9" w:rsidP="00B555BC">
            <w:pPr>
              <w:pStyle w:val="-7"/>
              <w:bidi w:val="0"/>
              <w:ind w:right="-231"/>
              <w:jc w:val="left"/>
              <w:rPr>
                <w:spacing w:val="-6"/>
                <w:sz w:val="14"/>
                <w:szCs w:val="14"/>
                <w:rtl/>
              </w:rPr>
            </w:pPr>
          </w:p>
        </w:tc>
        <w:tc>
          <w:tcPr>
            <w:tcW w:w="8820" w:type="dxa"/>
          </w:tcPr>
          <w:p w14:paraId="1130BF14" w14:textId="77777777" w:rsidR="006A61C9" w:rsidRPr="00543C25" w:rsidRDefault="00DF4EAA" w:rsidP="00B555BC">
            <w:pPr>
              <w:rPr>
                <w:rtl/>
              </w:rPr>
            </w:pPr>
            <w:r w:rsidRPr="00543C25">
              <w:rPr>
                <w:b/>
                <w:bCs/>
                <w:rtl/>
              </w:rPr>
              <w:t>הביאורים ל</w:t>
            </w:r>
            <w:r>
              <w:rPr>
                <w:rFonts w:hint="cs"/>
                <w:b/>
                <w:bCs/>
                <w:rtl/>
              </w:rPr>
              <w:t xml:space="preserve">תמצית </w:t>
            </w:r>
            <w:r w:rsidR="00A14188">
              <w:rPr>
                <w:rFonts w:hint="cs"/>
                <w:b/>
                <w:bCs/>
                <w:rtl/>
              </w:rPr>
              <w:t>ה</w:t>
            </w:r>
            <w:r w:rsidRPr="00543C25">
              <w:rPr>
                <w:b/>
                <w:bCs/>
                <w:rtl/>
              </w:rPr>
              <w:t xml:space="preserve">דוחות הכספיים מהווים חלק בלתי נפרד </w:t>
            </w:r>
            <w:r>
              <w:rPr>
                <w:rFonts w:hint="cs"/>
                <w:b/>
                <w:bCs/>
                <w:rtl/>
              </w:rPr>
              <w:t>ממנה.</w:t>
            </w:r>
          </w:p>
        </w:tc>
      </w:tr>
    </w:tbl>
    <w:p w14:paraId="3FD45FBE" w14:textId="77777777" w:rsidR="00DE0B68" w:rsidRDefault="00DE0B68" w:rsidP="002A5096">
      <w:pPr>
        <w:pStyle w:val="-2"/>
        <w:ind w:left="1560"/>
        <w:rPr>
          <w:rtl/>
        </w:rPr>
      </w:pPr>
    </w:p>
    <w:p w14:paraId="5169C800" w14:textId="77777777" w:rsidR="00DE0B68" w:rsidRDefault="00DE0B68" w:rsidP="002A5096">
      <w:pPr>
        <w:pStyle w:val="-2"/>
        <w:ind w:left="1560"/>
        <w:rPr>
          <w:rtl/>
        </w:rPr>
      </w:pPr>
    </w:p>
    <w:p w14:paraId="622A88E1" w14:textId="77777777" w:rsidR="00DE0B68" w:rsidRDefault="00DE0B68" w:rsidP="002A5096">
      <w:pPr>
        <w:pStyle w:val="-2"/>
        <w:ind w:left="1560"/>
        <w:rPr>
          <w:rtl/>
        </w:rPr>
        <w:sectPr w:rsidR="00DE0B68" w:rsidSect="00587121">
          <w:headerReference w:type="even" r:id="rId30"/>
          <w:headerReference w:type="default" r:id="rId31"/>
          <w:footnotePr>
            <w:numRestart w:val="eachPage"/>
          </w:footnotePr>
          <w:pgSz w:w="11909" w:h="16834" w:code="9"/>
          <w:pgMar w:top="851" w:right="851" w:bottom="851" w:left="851" w:header="720" w:footer="720" w:gutter="0"/>
          <w:cols w:space="720"/>
          <w:bidi/>
          <w:rtlGutter/>
          <w:docGrid w:linePitch="360"/>
        </w:sectPr>
      </w:pPr>
    </w:p>
    <w:p w14:paraId="14D21AA0" w14:textId="77777777" w:rsidR="00E60D2C" w:rsidRDefault="00E60D2C" w:rsidP="00106371">
      <w:pPr>
        <w:pStyle w:val="-2"/>
        <w:ind w:left="1135"/>
        <w:rPr>
          <w:rtl/>
        </w:rPr>
      </w:pPr>
      <w:r w:rsidRPr="00543C25">
        <w:rPr>
          <w:rFonts w:hint="cs"/>
          <w:rtl/>
        </w:rPr>
        <w:lastRenderedPageBreak/>
        <w:t>בנק</w:t>
      </w:r>
      <w:r w:rsidRPr="00543C25">
        <w:rPr>
          <w:rtl/>
        </w:rPr>
        <w:t xml:space="preserve"> </w:t>
      </w:r>
      <w:r w:rsidRPr="004D57D2">
        <w:rPr>
          <w:rFonts w:hint="cs"/>
          <w:rtl/>
        </w:rPr>
        <w:t xml:space="preserve">לדוגמה </w:t>
      </w:r>
      <w:r w:rsidRPr="004D57D2">
        <w:rPr>
          <w:rtl/>
        </w:rPr>
        <w:t>בע"מ וחברות מאוחדות שלו</w:t>
      </w:r>
    </w:p>
    <w:p w14:paraId="5B541B67" w14:textId="1B46E2E0" w:rsidR="00E60D2C" w:rsidRPr="00E60D2C" w:rsidRDefault="00E60D2C" w:rsidP="00106371">
      <w:pPr>
        <w:pStyle w:val="-2"/>
        <w:spacing w:after="80"/>
        <w:ind w:left="1582" w:hanging="447"/>
        <w:rPr>
          <w:u w:val="single"/>
          <w:rtl/>
        </w:rPr>
      </w:pPr>
      <w:r w:rsidRPr="00E60D2C">
        <w:rPr>
          <w:rFonts w:hint="cs"/>
          <w:u w:val="single"/>
          <w:rtl/>
        </w:rPr>
        <w:t xml:space="preserve">תמצית דוח על תזרימי מזומנים מאוחד לתקופות שהסתיימו ביום 30 ביוני </w:t>
      </w:r>
      <w:r w:rsidR="00C803FD" w:rsidRPr="00C803FD">
        <w:rPr>
          <w:u w:val="single"/>
          <w:rtl/>
        </w:rPr>
        <w:fldChar w:fldCharType="begin"/>
      </w:r>
      <w:r w:rsidR="00C803FD" w:rsidRPr="00C803FD">
        <w:rPr>
          <w:u w:val="single"/>
          <w:rtl/>
        </w:rPr>
        <w:instrText xml:space="preserve"> </w:instrText>
      </w:r>
      <w:r w:rsidR="00C803FD" w:rsidRPr="00C803FD">
        <w:rPr>
          <w:rFonts w:hint="cs"/>
          <w:u w:val="single"/>
          <w:rtl/>
        </w:rPr>
        <w:instrText xml:space="preserve">= </w:instrText>
      </w:r>
      <w:r w:rsidR="00C803FD" w:rsidRPr="00C803FD">
        <w:rPr>
          <w:rFonts w:hint="cs"/>
          <w:u w:val="single"/>
        </w:rPr>
        <w:instrText>CY \* MERGEFORMAT</w:instrText>
      </w:r>
      <w:r w:rsidR="00C803FD" w:rsidRPr="00C803FD">
        <w:rPr>
          <w:u w:val="single"/>
          <w:rtl/>
        </w:rPr>
        <w:instrText xml:space="preserve"> </w:instrText>
      </w:r>
      <w:r w:rsidR="00C803FD" w:rsidRPr="00C803FD">
        <w:rPr>
          <w:u w:val="single"/>
          <w:rtl/>
        </w:rPr>
        <w:fldChar w:fldCharType="separate"/>
      </w:r>
      <w:r w:rsidR="003A584F">
        <w:rPr>
          <w:noProof/>
          <w:u w:val="single"/>
          <w:rtl/>
        </w:rPr>
        <w:t>2024</w:t>
      </w:r>
      <w:r w:rsidR="00C803FD" w:rsidRPr="00C803FD">
        <w:rPr>
          <w:u w:val="single"/>
          <w:rtl/>
        </w:rPr>
        <w:fldChar w:fldCharType="end"/>
      </w:r>
      <w:r w:rsidR="00C803FD" w:rsidRPr="00C803FD">
        <w:rPr>
          <w:rFonts w:hint="cs"/>
          <w:szCs w:val="24"/>
          <w:u w:val="single"/>
          <w:rtl/>
        </w:rPr>
        <w:t xml:space="preserve"> </w:t>
      </w:r>
      <w:r w:rsidRPr="00E60D2C">
        <w:rPr>
          <w:rFonts w:hint="cs"/>
          <w:u w:val="single"/>
          <w:rtl/>
        </w:rPr>
        <w:t>(המשך)</w:t>
      </w:r>
    </w:p>
    <w:p w14:paraId="44AC2FDC" w14:textId="77777777" w:rsidR="00E60D2C" w:rsidRPr="00E60D2C" w:rsidRDefault="00E60D2C" w:rsidP="00106371">
      <w:pPr>
        <w:pStyle w:val="-2"/>
        <w:ind w:left="1582" w:hanging="447"/>
        <w:rPr>
          <w:b w:val="0"/>
          <w:bCs w:val="0"/>
          <w:sz w:val="20"/>
          <w:szCs w:val="20"/>
          <w:rtl/>
        </w:rPr>
      </w:pPr>
      <w:r w:rsidRPr="00E60D2C">
        <w:rPr>
          <w:rFonts w:hint="cs"/>
          <w:b w:val="0"/>
          <w:bCs w:val="0"/>
          <w:sz w:val="20"/>
          <w:szCs w:val="20"/>
          <w:rtl/>
        </w:rPr>
        <w:t>סכומים מדווחים (במיליוני ש"ח)</w:t>
      </w:r>
    </w:p>
    <w:tbl>
      <w:tblPr>
        <w:bidiVisual/>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82"/>
        <w:gridCol w:w="3584"/>
        <w:gridCol w:w="284"/>
        <w:gridCol w:w="284"/>
        <w:gridCol w:w="557"/>
        <w:gridCol w:w="284"/>
        <w:gridCol w:w="557"/>
        <w:gridCol w:w="284"/>
        <w:gridCol w:w="557"/>
        <w:gridCol w:w="284"/>
        <w:gridCol w:w="557"/>
        <w:gridCol w:w="284"/>
        <w:gridCol w:w="1139"/>
      </w:tblGrid>
      <w:tr w:rsidR="00E20A30" w:rsidRPr="00AB469F" w14:paraId="17031D85" w14:textId="77777777" w:rsidTr="00DC6BA9">
        <w:trPr>
          <w:trHeight w:val="994"/>
        </w:trPr>
        <w:tc>
          <w:tcPr>
            <w:tcW w:w="1133" w:type="dxa"/>
            <w:tcBorders>
              <w:top w:val="nil"/>
              <w:left w:val="nil"/>
              <w:bottom w:val="nil"/>
              <w:right w:val="nil"/>
            </w:tcBorders>
          </w:tcPr>
          <w:p w14:paraId="1CB4E4EA" w14:textId="77777777" w:rsidR="001A66F1" w:rsidRDefault="001A66F1" w:rsidP="008F2663">
            <w:pPr>
              <w:pStyle w:val="-0"/>
              <w:spacing w:line="240" w:lineRule="auto"/>
              <w:rPr>
                <w:sz w:val="14"/>
                <w:szCs w:val="14"/>
                <w:rtl/>
              </w:rPr>
            </w:pPr>
            <w:r w:rsidRPr="00AC1A00">
              <w:rPr>
                <w:rFonts w:hint="eastAsia"/>
                <w:sz w:val="14"/>
                <w:szCs w:val="14"/>
                <w:rtl/>
              </w:rPr>
              <w:t>מתכונת</w:t>
            </w:r>
            <w:r w:rsidRPr="00AC1A00">
              <w:rPr>
                <w:sz w:val="14"/>
                <w:szCs w:val="14"/>
                <w:rtl/>
              </w:rPr>
              <w:t xml:space="preserve"> </w:t>
            </w:r>
            <w:r w:rsidRPr="00AC1A00">
              <w:rPr>
                <w:rFonts w:hint="eastAsia"/>
                <w:sz w:val="14"/>
                <w:szCs w:val="14"/>
                <w:rtl/>
              </w:rPr>
              <w:t>דוח</w:t>
            </w:r>
          </w:p>
          <w:p w14:paraId="62BE9E40" w14:textId="77777777" w:rsidR="001A66F1" w:rsidRDefault="001A66F1" w:rsidP="00EA192D">
            <w:pPr>
              <w:pStyle w:val="-0"/>
              <w:spacing w:line="200" w:lineRule="exact"/>
              <w:rPr>
                <w:sz w:val="14"/>
                <w:szCs w:val="14"/>
                <w:rtl/>
              </w:rPr>
            </w:pPr>
            <w:r w:rsidRPr="00AC1A00">
              <w:rPr>
                <w:rFonts w:hint="eastAsia"/>
                <w:sz w:val="14"/>
                <w:szCs w:val="14"/>
                <w:rtl/>
              </w:rPr>
              <w:t>עמ</w:t>
            </w:r>
            <w:r w:rsidRPr="00AC1A00">
              <w:rPr>
                <w:sz w:val="14"/>
                <w:szCs w:val="14"/>
                <w:rtl/>
              </w:rPr>
              <w:t xml:space="preserve">' </w:t>
            </w:r>
            <w:r>
              <w:rPr>
                <w:rFonts w:hint="cs"/>
                <w:sz w:val="14"/>
                <w:szCs w:val="14"/>
                <w:rtl/>
              </w:rPr>
              <w:t>663-13</w:t>
            </w:r>
          </w:p>
          <w:p w14:paraId="45C9F4C3" w14:textId="77777777" w:rsidR="001A66F1" w:rsidRDefault="001A66F1" w:rsidP="00EA192D">
            <w:pPr>
              <w:pStyle w:val="-0"/>
              <w:spacing w:line="200" w:lineRule="exact"/>
              <w:rPr>
                <w:sz w:val="14"/>
                <w:szCs w:val="14"/>
                <w:rtl/>
              </w:rPr>
            </w:pPr>
          </w:p>
          <w:p w14:paraId="6FBFABD0" w14:textId="11E77948" w:rsidR="00E20A30" w:rsidRPr="00456B1C" w:rsidRDefault="00D562D8" w:rsidP="00C3616E">
            <w:pPr>
              <w:pStyle w:val="-0"/>
              <w:bidi w:val="0"/>
              <w:spacing w:line="200" w:lineRule="exact"/>
              <w:rPr>
                <w:sz w:val="14"/>
                <w:szCs w:val="14"/>
              </w:rPr>
            </w:pPr>
            <w:r>
              <w:rPr>
                <w:sz w:val="14"/>
                <w:szCs w:val="14"/>
              </w:rPr>
              <w:t xml:space="preserve">     </w:t>
            </w:r>
          </w:p>
          <w:p w14:paraId="272F35A3" w14:textId="3A76578C" w:rsidR="00E20A30" w:rsidRDefault="00E20A30" w:rsidP="00C3616E">
            <w:pPr>
              <w:bidi w:val="0"/>
              <w:jc w:val="left"/>
            </w:pPr>
          </w:p>
        </w:tc>
        <w:tc>
          <w:tcPr>
            <w:tcW w:w="3866" w:type="dxa"/>
            <w:gridSpan w:val="2"/>
            <w:tcBorders>
              <w:top w:val="nil"/>
              <w:left w:val="nil"/>
              <w:bottom w:val="nil"/>
              <w:right w:val="nil"/>
            </w:tcBorders>
            <w:vAlign w:val="bottom"/>
          </w:tcPr>
          <w:p w14:paraId="5929776B" w14:textId="77777777" w:rsidR="00E20A30" w:rsidRDefault="00E20A30" w:rsidP="00E20A30">
            <w:pPr>
              <w:pStyle w:val="-7"/>
              <w:spacing w:line="240" w:lineRule="auto"/>
              <w:rPr>
                <w:rtl/>
              </w:rPr>
            </w:pPr>
          </w:p>
        </w:tc>
        <w:tc>
          <w:tcPr>
            <w:tcW w:w="284" w:type="dxa"/>
            <w:tcBorders>
              <w:top w:val="nil"/>
              <w:left w:val="nil"/>
              <w:bottom w:val="nil"/>
              <w:right w:val="nil"/>
            </w:tcBorders>
            <w:tcMar>
              <w:left w:w="58" w:type="dxa"/>
              <w:right w:w="58" w:type="dxa"/>
            </w:tcMar>
          </w:tcPr>
          <w:p w14:paraId="26D72F78" w14:textId="77777777" w:rsidR="00E20A30" w:rsidRDefault="00E20A30" w:rsidP="00E20A30">
            <w:pPr>
              <w:rPr>
                <w:rtl/>
              </w:rPr>
            </w:pPr>
          </w:p>
        </w:tc>
        <w:tc>
          <w:tcPr>
            <w:tcW w:w="1682" w:type="dxa"/>
            <w:gridSpan w:val="4"/>
            <w:tcBorders>
              <w:top w:val="nil"/>
              <w:left w:val="nil"/>
              <w:bottom w:val="nil"/>
              <w:right w:val="nil"/>
            </w:tcBorders>
            <w:vAlign w:val="bottom"/>
          </w:tcPr>
          <w:p w14:paraId="2844E224" w14:textId="77777777" w:rsidR="00E20A30" w:rsidRPr="00DC6BA9" w:rsidRDefault="00E20A30" w:rsidP="00E20A30">
            <w:pPr>
              <w:pStyle w:val="-4"/>
              <w:spacing w:line="240" w:lineRule="auto"/>
              <w:rPr>
                <w:sz w:val="18"/>
                <w:szCs w:val="18"/>
                <w:rtl/>
              </w:rPr>
            </w:pPr>
            <w:r w:rsidRPr="00DC6BA9">
              <w:rPr>
                <w:rFonts w:hint="eastAsia"/>
                <w:sz w:val="18"/>
                <w:szCs w:val="18"/>
                <w:rtl/>
              </w:rPr>
              <w:t>לשלושה</w:t>
            </w:r>
            <w:r w:rsidRPr="00DC6BA9">
              <w:rPr>
                <w:sz w:val="18"/>
                <w:szCs w:val="18"/>
                <w:rtl/>
              </w:rPr>
              <w:t xml:space="preserve"> חודשים שהסתיימו </w:t>
            </w:r>
          </w:p>
          <w:p w14:paraId="75A446DB" w14:textId="77777777" w:rsidR="00E20A30" w:rsidRPr="00DC6BA9" w:rsidRDefault="00E20A30" w:rsidP="00E20A30">
            <w:pPr>
              <w:pStyle w:val="-4"/>
              <w:spacing w:line="240" w:lineRule="auto"/>
              <w:rPr>
                <w:sz w:val="18"/>
                <w:szCs w:val="18"/>
                <w:rtl/>
              </w:rPr>
            </w:pPr>
            <w:r w:rsidRPr="00DC6BA9">
              <w:rPr>
                <w:rFonts w:hint="eastAsia"/>
                <w:sz w:val="18"/>
                <w:szCs w:val="18"/>
                <w:rtl/>
              </w:rPr>
              <w:t>ביום</w:t>
            </w:r>
            <w:r w:rsidRPr="00DC6BA9">
              <w:rPr>
                <w:sz w:val="18"/>
                <w:szCs w:val="18"/>
                <w:rtl/>
              </w:rPr>
              <w:t xml:space="preserve"> 30 </w:t>
            </w:r>
            <w:r w:rsidRPr="00DC6BA9">
              <w:rPr>
                <w:rFonts w:hint="eastAsia"/>
                <w:sz w:val="18"/>
                <w:szCs w:val="18"/>
                <w:rtl/>
              </w:rPr>
              <w:t>ביוני</w:t>
            </w:r>
          </w:p>
        </w:tc>
        <w:tc>
          <w:tcPr>
            <w:tcW w:w="1682" w:type="dxa"/>
            <w:gridSpan w:val="4"/>
            <w:tcBorders>
              <w:top w:val="nil"/>
              <w:left w:val="nil"/>
              <w:bottom w:val="nil"/>
              <w:right w:val="nil"/>
            </w:tcBorders>
            <w:tcMar>
              <w:left w:w="58" w:type="dxa"/>
              <w:right w:w="58" w:type="dxa"/>
            </w:tcMar>
            <w:vAlign w:val="bottom"/>
          </w:tcPr>
          <w:p w14:paraId="3A3F4036" w14:textId="77777777" w:rsidR="00E20A30" w:rsidRPr="00DC6BA9" w:rsidRDefault="00E20A30" w:rsidP="00E20A30">
            <w:pPr>
              <w:pStyle w:val="-4"/>
              <w:pBdr>
                <w:bottom w:val="single" w:sz="4" w:space="1" w:color="auto"/>
              </w:pBdr>
              <w:spacing w:line="240" w:lineRule="auto"/>
              <w:rPr>
                <w:sz w:val="18"/>
                <w:szCs w:val="18"/>
                <w:rtl/>
              </w:rPr>
            </w:pPr>
            <w:r w:rsidRPr="00DC6BA9">
              <w:rPr>
                <w:rFonts w:hint="eastAsia"/>
                <w:sz w:val="18"/>
                <w:szCs w:val="18"/>
                <w:rtl/>
              </w:rPr>
              <w:t>לשישה</w:t>
            </w:r>
            <w:r w:rsidRPr="00DC6BA9">
              <w:rPr>
                <w:sz w:val="18"/>
                <w:szCs w:val="18"/>
                <w:rtl/>
              </w:rPr>
              <w:t xml:space="preserve"> </w:t>
            </w:r>
            <w:r w:rsidRPr="00DC6BA9">
              <w:rPr>
                <w:rFonts w:hint="eastAsia"/>
                <w:sz w:val="18"/>
                <w:szCs w:val="18"/>
                <w:rtl/>
              </w:rPr>
              <w:t>חודשים</w:t>
            </w:r>
            <w:r w:rsidRPr="00DC6BA9">
              <w:rPr>
                <w:sz w:val="18"/>
                <w:szCs w:val="18"/>
                <w:rtl/>
              </w:rPr>
              <w:t xml:space="preserve"> </w:t>
            </w:r>
            <w:r w:rsidRPr="00DC6BA9">
              <w:rPr>
                <w:rFonts w:hint="eastAsia"/>
                <w:sz w:val="18"/>
                <w:szCs w:val="18"/>
                <w:rtl/>
              </w:rPr>
              <w:t>שהסתיימו</w:t>
            </w:r>
            <w:r w:rsidRPr="00DC6BA9">
              <w:rPr>
                <w:sz w:val="18"/>
                <w:szCs w:val="18"/>
                <w:rtl/>
              </w:rPr>
              <w:t xml:space="preserve"> </w:t>
            </w:r>
          </w:p>
          <w:p w14:paraId="278F2CD0" w14:textId="77777777" w:rsidR="00E20A30" w:rsidRPr="00DC6BA9" w:rsidRDefault="00E20A30" w:rsidP="00E20A30">
            <w:pPr>
              <w:pStyle w:val="-7"/>
              <w:pBdr>
                <w:bottom w:val="single" w:sz="4" w:space="1" w:color="auto"/>
              </w:pBdr>
              <w:spacing w:line="240" w:lineRule="auto"/>
              <w:jc w:val="center"/>
              <w:rPr>
                <w:b/>
                <w:bCs/>
                <w:sz w:val="18"/>
                <w:szCs w:val="18"/>
                <w:rtl/>
              </w:rPr>
            </w:pPr>
            <w:r w:rsidRPr="00DC6BA9">
              <w:rPr>
                <w:rFonts w:hint="eastAsia"/>
                <w:b/>
                <w:bCs/>
                <w:sz w:val="18"/>
                <w:szCs w:val="18"/>
                <w:rtl/>
              </w:rPr>
              <w:t>ביום</w:t>
            </w:r>
            <w:r w:rsidRPr="00DC6BA9">
              <w:rPr>
                <w:b/>
                <w:bCs/>
                <w:sz w:val="18"/>
                <w:szCs w:val="18"/>
                <w:rtl/>
              </w:rPr>
              <w:t xml:space="preserve"> 30 </w:t>
            </w:r>
            <w:r w:rsidRPr="00DC6BA9">
              <w:rPr>
                <w:rFonts w:hint="eastAsia"/>
                <w:b/>
                <w:bCs/>
                <w:sz w:val="18"/>
                <w:szCs w:val="18"/>
                <w:rtl/>
              </w:rPr>
              <w:t>ביוני</w:t>
            </w:r>
          </w:p>
        </w:tc>
        <w:tc>
          <w:tcPr>
            <w:tcW w:w="1420" w:type="dxa"/>
            <w:gridSpan w:val="2"/>
            <w:tcBorders>
              <w:top w:val="nil"/>
              <w:left w:val="nil"/>
              <w:bottom w:val="nil"/>
              <w:right w:val="nil"/>
            </w:tcBorders>
            <w:vAlign w:val="bottom"/>
          </w:tcPr>
          <w:p w14:paraId="3AB6EF32" w14:textId="77777777" w:rsidR="00E20A30" w:rsidRPr="00DC6BA9" w:rsidRDefault="00E20A30" w:rsidP="00E20A30">
            <w:pPr>
              <w:pStyle w:val="-4"/>
              <w:spacing w:line="240" w:lineRule="auto"/>
              <w:rPr>
                <w:sz w:val="18"/>
                <w:szCs w:val="18"/>
                <w:rtl/>
              </w:rPr>
            </w:pPr>
            <w:r w:rsidRPr="00DC6BA9">
              <w:rPr>
                <w:rFonts w:hint="eastAsia"/>
                <w:sz w:val="18"/>
                <w:szCs w:val="18"/>
                <w:rtl/>
              </w:rPr>
              <w:t>לשנה</w:t>
            </w:r>
            <w:r w:rsidRPr="00DC6BA9">
              <w:rPr>
                <w:sz w:val="18"/>
                <w:szCs w:val="18"/>
                <w:rtl/>
              </w:rPr>
              <w:t xml:space="preserve"> </w:t>
            </w:r>
            <w:r w:rsidRPr="00DC6BA9">
              <w:rPr>
                <w:rFonts w:hint="eastAsia"/>
                <w:sz w:val="18"/>
                <w:szCs w:val="18"/>
                <w:rtl/>
              </w:rPr>
              <w:t>שהסתיימה</w:t>
            </w:r>
            <w:r w:rsidRPr="00DC6BA9">
              <w:rPr>
                <w:sz w:val="18"/>
                <w:szCs w:val="18"/>
                <w:rtl/>
              </w:rPr>
              <w:t xml:space="preserve"> </w:t>
            </w:r>
            <w:r w:rsidRPr="00DC6BA9">
              <w:rPr>
                <w:rFonts w:hint="eastAsia"/>
                <w:sz w:val="18"/>
                <w:szCs w:val="18"/>
                <w:rtl/>
              </w:rPr>
              <w:t>ביום</w:t>
            </w:r>
            <w:r w:rsidRPr="00DC6BA9">
              <w:rPr>
                <w:rFonts w:hint="cs"/>
                <w:sz w:val="18"/>
                <w:szCs w:val="18"/>
                <w:rtl/>
              </w:rPr>
              <w:t xml:space="preserve"> 31 בדצמבר</w:t>
            </w:r>
          </w:p>
        </w:tc>
      </w:tr>
      <w:tr w:rsidR="00E20A30" w:rsidRPr="00AB469F" w14:paraId="688C7318" w14:textId="77777777" w:rsidTr="00DC6BA9">
        <w:tc>
          <w:tcPr>
            <w:tcW w:w="1133" w:type="dxa"/>
            <w:tcBorders>
              <w:top w:val="nil"/>
              <w:left w:val="nil"/>
              <w:bottom w:val="nil"/>
              <w:right w:val="nil"/>
            </w:tcBorders>
          </w:tcPr>
          <w:p w14:paraId="6D902E50" w14:textId="16299430" w:rsidR="00E20A30" w:rsidRPr="00645A96" w:rsidRDefault="00E20A30" w:rsidP="00645A96">
            <w:pPr>
              <w:pStyle w:val="-0"/>
              <w:spacing w:line="240" w:lineRule="auto"/>
              <w:jc w:val="right"/>
              <w:rPr>
                <w:sz w:val="14"/>
                <w:szCs w:val="14"/>
              </w:rPr>
            </w:pPr>
          </w:p>
        </w:tc>
        <w:tc>
          <w:tcPr>
            <w:tcW w:w="3866" w:type="dxa"/>
            <w:gridSpan w:val="2"/>
            <w:tcBorders>
              <w:top w:val="nil"/>
              <w:left w:val="nil"/>
              <w:bottom w:val="nil"/>
              <w:right w:val="nil"/>
            </w:tcBorders>
            <w:vAlign w:val="bottom"/>
          </w:tcPr>
          <w:p w14:paraId="4F4D9957" w14:textId="77777777" w:rsidR="00E20A30" w:rsidRDefault="00E20A30" w:rsidP="00E20A30">
            <w:pPr>
              <w:pStyle w:val="-0"/>
              <w:spacing w:line="240" w:lineRule="auto"/>
              <w:rPr>
                <w:rtl/>
              </w:rPr>
            </w:pPr>
          </w:p>
        </w:tc>
        <w:tc>
          <w:tcPr>
            <w:tcW w:w="284" w:type="dxa"/>
            <w:tcBorders>
              <w:top w:val="nil"/>
              <w:left w:val="nil"/>
              <w:bottom w:val="nil"/>
              <w:right w:val="nil"/>
            </w:tcBorders>
            <w:tcMar>
              <w:left w:w="58" w:type="dxa"/>
              <w:right w:w="58" w:type="dxa"/>
            </w:tcMar>
          </w:tcPr>
          <w:p w14:paraId="6F007632" w14:textId="77777777" w:rsidR="00E20A30" w:rsidRDefault="00E20A30" w:rsidP="00E20A30">
            <w:pPr>
              <w:rPr>
                <w:rtl/>
              </w:rPr>
            </w:pPr>
          </w:p>
        </w:tc>
        <w:tc>
          <w:tcPr>
            <w:tcW w:w="841" w:type="dxa"/>
            <w:gridSpan w:val="2"/>
            <w:tcBorders>
              <w:top w:val="nil"/>
              <w:left w:val="nil"/>
              <w:bottom w:val="nil"/>
              <w:right w:val="nil"/>
            </w:tcBorders>
            <w:vAlign w:val="bottom"/>
          </w:tcPr>
          <w:p w14:paraId="7FC342F6" w14:textId="3617288F" w:rsidR="00E20A30" w:rsidRPr="002431F0" w:rsidRDefault="00C803FD" w:rsidP="00E20A30">
            <w:pPr>
              <w:pStyle w:val="-4"/>
              <w:spacing w:line="240" w:lineRule="auto"/>
              <w:rPr>
                <w:sz w:val="18"/>
                <w:szCs w:val="18"/>
                <w:rtl/>
              </w:rPr>
            </w:pPr>
            <w:r w:rsidRPr="002431F0">
              <w:rPr>
                <w:sz w:val="18"/>
                <w:szCs w:val="18"/>
                <w:rtl/>
              </w:rPr>
              <w:fldChar w:fldCharType="begin"/>
            </w:r>
            <w:r w:rsidRPr="002431F0">
              <w:rPr>
                <w:sz w:val="18"/>
                <w:szCs w:val="18"/>
                <w:rtl/>
              </w:rPr>
              <w:instrText xml:space="preserve"> </w:instrText>
            </w:r>
            <w:r w:rsidRPr="002431F0">
              <w:rPr>
                <w:rFonts w:hint="cs"/>
                <w:sz w:val="18"/>
                <w:szCs w:val="18"/>
                <w:rtl/>
              </w:rPr>
              <w:instrText xml:space="preserve">= </w:instrText>
            </w:r>
            <w:r w:rsidRPr="002431F0">
              <w:rPr>
                <w:rFonts w:hint="cs"/>
                <w:sz w:val="18"/>
                <w:szCs w:val="18"/>
              </w:rPr>
              <w:instrText>CY \* MERGEFORMAT</w:instrText>
            </w:r>
            <w:r w:rsidRPr="002431F0">
              <w:rPr>
                <w:sz w:val="18"/>
                <w:szCs w:val="18"/>
                <w:rtl/>
              </w:rPr>
              <w:instrText xml:space="preserve"> </w:instrText>
            </w:r>
            <w:r w:rsidRPr="002431F0">
              <w:rPr>
                <w:sz w:val="18"/>
                <w:szCs w:val="18"/>
                <w:rtl/>
              </w:rPr>
              <w:fldChar w:fldCharType="separate"/>
            </w:r>
            <w:r w:rsidR="003A584F" w:rsidRPr="002431F0">
              <w:rPr>
                <w:noProof/>
                <w:sz w:val="18"/>
                <w:szCs w:val="18"/>
                <w:rtl/>
              </w:rPr>
              <w:t>2024</w:t>
            </w:r>
            <w:r w:rsidRPr="002431F0">
              <w:rPr>
                <w:sz w:val="18"/>
                <w:szCs w:val="18"/>
                <w:rtl/>
              </w:rPr>
              <w:fldChar w:fldCharType="end"/>
            </w:r>
          </w:p>
        </w:tc>
        <w:tc>
          <w:tcPr>
            <w:tcW w:w="841" w:type="dxa"/>
            <w:gridSpan w:val="2"/>
            <w:tcBorders>
              <w:top w:val="nil"/>
              <w:left w:val="nil"/>
              <w:bottom w:val="nil"/>
              <w:right w:val="nil"/>
            </w:tcBorders>
            <w:vAlign w:val="bottom"/>
          </w:tcPr>
          <w:p w14:paraId="00ECDFAA" w14:textId="743B9CEF" w:rsidR="00E20A30" w:rsidRPr="002431F0" w:rsidRDefault="00C803FD" w:rsidP="00E20A30">
            <w:pPr>
              <w:pStyle w:val="-4"/>
              <w:spacing w:line="240" w:lineRule="auto"/>
              <w:rPr>
                <w:sz w:val="18"/>
                <w:szCs w:val="18"/>
                <w:rtl/>
              </w:rPr>
            </w:pPr>
            <w:r w:rsidRPr="002431F0">
              <w:rPr>
                <w:sz w:val="18"/>
                <w:szCs w:val="18"/>
                <w:rtl/>
              </w:rPr>
              <w:fldChar w:fldCharType="begin"/>
            </w:r>
            <w:r w:rsidRPr="002431F0">
              <w:rPr>
                <w:sz w:val="18"/>
                <w:szCs w:val="18"/>
                <w:rtl/>
              </w:rPr>
              <w:instrText xml:space="preserve"> </w:instrText>
            </w:r>
            <w:r w:rsidRPr="002431F0">
              <w:rPr>
                <w:rFonts w:hint="cs"/>
                <w:sz w:val="18"/>
                <w:szCs w:val="18"/>
                <w:rtl/>
              </w:rPr>
              <w:instrText xml:space="preserve">= </w:instrText>
            </w:r>
            <w:r w:rsidRPr="002431F0">
              <w:rPr>
                <w:rFonts w:hint="cs"/>
                <w:sz w:val="18"/>
                <w:szCs w:val="18"/>
              </w:rPr>
              <w:instrText>CY</w:instrText>
            </w:r>
            <w:r w:rsidRPr="002431F0">
              <w:rPr>
                <w:sz w:val="18"/>
                <w:szCs w:val="18"/>
              </w:rPr>
              <w:instrText>-1</w:instrText>
            </w:r>
            <w:r w:rsidRPr="002431F0">
              <w:rPr>
                <w:rFonts w:hint="cs"/>
                <w:sz w:val="18"/>
                <w:szCs w:val="18"/>
              </w:rPr>
              <w:instrText xml:space="preserve"> \* MERGEFORMAT</w:instrText>
            </w:r>
            <w:r w:rsidRPr="002431F0">
              <w:rPr>
                <w:sz w:val="18"/>
                <w:szCs w:val="18"/>
                <w:rtl/>
              </w:rPr>
              <w:instrText xml:space="preserve"> </w:instrText>
            </w:r>
            <w:r w:rsidRPr="002431F0">
              <w:rPr>
                <w:sz w:val="18"/>
                <w:szCs w:val="18"/>
                <w:rtl/>
              </w:rPr>
              <w:fldChar w:fldCharType="separate"/>
            </w:r>
            <w:r w:rsidR="003A584F" w:rsidRPr="002431F0">
              <w:rPr>
                <w:noProof/>
                <w:sz w:val="18"/>
                <w:szCs w:val="18"/>
                <w:rtl/>
              </w:rPr>
              <w:t>2023</w:t>
            </w:r>
            <w:r w:rsidRPr="002431F0">
              <w:rPr>
                <w:sz w:val="18"/>
                <w:szCs w:val="18"/>
                <w:rtl/>
              </w:rPr>
              <w:fldChar w:fldCharType="end"/>
            </w:r>
          </w:p>
        </w:tc>
        <w:tc>
          <w:tcPr>
            <w:tcW w:w="841" w:type="dxa"/>
            <w:gridSpan w:val="2"/>
            <w:tcBorders>
              <w:top w:val="nil"/>
              <w:left w:val="nil"/>
              <w:bottom w:val="nil"/>
              <w:right w:val="nil"/>
            </w:tcBorders>
            <w:vAlign w:val="bottom"/>
          </w:tcPr>
          <w:p w14:paraId="1A4D3FD2" w14:textId="61E65D04" w:rsidR="00E20A30" w:rsidRPr="002431F0" w:rsidRDefault="00C803FD" w:rsidP="00E20A30">
            <w:pPr>
              <w:pStyle w:val="-4"/>
              <w:spacing w:line="240" w:lineRule="auto"/>
              <w:rPr>
                <w:sz w:val="18"/>
                <w:szCs w:val="18"/>
                <w:rtl/>
              </w:rPr>
            </w:pPr>
            <w:r w:rsidRPr="002431F0">
              <w:rPr>
                <w:sz w:val="18"/>
                <w:szCs w:val="18"/>
                <w:rtl/>
              </w:rPr>
              <w:fldChar w:fldCharType="begin"/>
            </w:r>
            <w:r w:rsidRPr="002431F0">
              <w:rPr>
                <w:sz w:val="18"/>
                <w:szCs w:val="18"/>
                <w:rtl/>
              </w:rPr>
              <w:instrText xml:space="preserve"> </w:instrText>
            </w:r>
            <w:r w:rsidRPr="002431F0">
              <w:rPr>
                <w:rFonts w:hint="cs"/>
                <w:sz w:val="18"/>
                <w:szCs w:val="18"/>
                <w:rtl/>
              </w:rPr>
              <w:instrText xml:space="preserve">= </w:instrText>
            </w:r>
            <w:r w:rsidRPr="002431F0">
              <w:rPr>
                <w:rFonts w:hint="cs"/>
                <w:sz w:val="18"/>
                <w:szCs w:val="18"/>
              </w:rPr>
              <w:instrText>CY \* MERGEFORMAT</w:instrText>
            </w:r>
            <w:r w:rsidRPr="002431F0">
              <w:rPr>
                <w:sz w:val="18"/>
                <w:szCs w:val="18"/>
                <w:rtl/>
              </w:rPr>
              <w:instrText xml:space="preserve"> </w:instrText>
            </w:r>
            <w:r w:rsidRPr="002431F0">
              <w:rPr>
                <w:sz w:val="18"/>
                <w:szCs w:val="18"/>
                <w:rtl/>
              </w:rPr>
              <w:fldChar w:fldCharType="separate"/>
            </w:r>
            <w:r w:rsidR="003A584F" w:rsidRPr="002431F0">
              <w:rPr>
                <w:noProof/>
                <w:sz w:val="18"/>
                <w:szCs w:val="18"/>
                <w:rtl/>
              </w:rPr>
              <w:t>2024</w:t>
            </w:r>
            <w:r w:rsidRPr="002431F0">
              <w:rPr>
                <w:sz w:val="18"/>
                <w:szCs w:val="18"/>
                <w:rtl/>
              </w:rPr>
              <w:fldChar w:fldCharType="end"/>
            </w:r>
          </w:p>
        </w:tc>
        <w:tc>
          <w:tcPr>
            <w:tcW w:w="841" w:type="dxa"/>
            <w:gridSpan w:val="2"/>
            <w:tcBorders>
              <w:top w:val="nil"/>
              <w:left w:val="nil"/>
              <w:bottom w:val="nil"/>
              <w:right w:val="nil"/>
            </w:tcBorders>
            <w:vAlign w:val="bottom"/>
          </w:tcPr>
          <w:p w14:paraId="20962493" w14:textId="42D3EC90" w:rsidR="00E20A30" w:rsidRPr="002431F0" w:rsidRDefault="00C803FD" w:rsidP="00E20A30">
            <w:pPr>
              <w:pStyle w:val="-4"/>
              <w:spacing w:line="240" w:lineRule="auto"/>
              <w:rPr>
                <w:sz w:val="18"/>
                <w:szCs w:val="18"/>
                <w:rtl/>
              </w:rPr>
            </w:pPr>
            <w:r w:rsidRPr="002431F0">
              <w:rPr>
                <w:sz w:val="18"/>
                <w:szCs w:val="18"/>
                <w:rtl/>
              </w:rPr>
              <w:fldChar w:fldCharType="begin"/>
            </w:r>
            <w:r w:rsidRPr="002431F0">
              <w:rPr>
                <w:sz w:val="18"/>
                <w:szCs w:val="18"/>
                <w:rtl/>
              </w:rPr>
              <w:instrText xml:space="preserve"> </w:instrText>
            </w:r>
            <w:r w:rsidRPr="002431F0">
              <w:rPr>
                <w:rFonts w:hint="cs"/>
                <w:sz w:val="18"/>
                <w:szCs w:val="18"/>
                <w:rtl/>
              </w:rPr>
              <w:instrText xml:space="preserve">= </w:instrText>
            </w:r>
            <w:r w:rsidRPr="002431F0">
              <w:rPr>
                <w:rFonts w:hint="cs"/>
                <w:sz w:val="18"/>
                <w:szCs w:val="18"/>
              </w:rPr>
              <w:instrText>CY</w:instrText>
            </w:r>
            <w:r w:rsidRPr="002431F0">
              <w:rPr>
                <w:sz w:val="18"/>
                <w:szCs w:val="18"/>
              </w:rPr>
              <w:instrText>-1</w:instrText>
            </w:r>
            <w:r w:rsidRPr="002431F0">
              <w:rPr>
                <w:rFonts w:hint="cs"/>
                <w:sz w:val="18"/>
                <w:szCs w:val="18"/>
              </w:rPr>
              <w:instrText xml:space="preserve"> \* MERGEFORMAT</w:instrText>
            </w:r>
            <w:r w:rsidRPr="002431F0">
              <w:rPr>
                <w:sz w:val="18"/>
                <w:szCs w:val="18"/>
                <w:rtl/>
              </w:rPr>
              <w:instrText xml:space="preserve"> </w:instrText>
            </w:r>
            <w:r w:rsidRPr="002431F0">
              <w:rPr>
                <w:sz w:val="18"/>
                <w:szCs w:val="18"/>
                <w:rtl/>
              </w:rPr>
              <w:fldChar w:fldCharType="separate"/>
            </w:r>
            <w:r w:rsidR="003A584F" w:rsidRPr="002431F0">
              <w:rPr>
                <w:noProof/>
                <w:sz w:val="18"/>
                <w:szCs w:val="18"/>
                <w:rtl/>
              </w:rPr>
              <w:t>2023</w:t>
            </w:r>
            <w:r w:rsidRPr="002431F0">
              <w:rPr>
                <w:sz w:val="18"/>
                <w:szCs w:val="18"/>
                <w:rtl/>
              </w:rPr>
              <w:fldChar w:fldCharType="end"/>
            </w:r>
          </w:p>
        </w:tc>
        <w:tc>
          <w:tcPr>
            <w:tcW w:w="1420" w:type="dxa"/>
            <w:gridSpan w:val="2"/>
            <w:tcBorders>
              <w:top w:val="nil"/>
              <w:left w:val="nil"/>
              <w:bottom w:val="nil"/>
              <w:right w:val="nil"/>
            </w:tcBorders>
            <w:vAlign w:val="bottom"/>
          </w:tcPr>
          <w:p w14:paraId="3B05CCBE" w14:textId="14E7C793" w:rsidR="00E20A30" w:rsidRPr="002431F0" w:rsidRDefault="00C803FD" w:rsidP="00E20A30">
            <w:pPr>
              <w:pStyle w:val="-4"/>
              <w:spacing w:line="240" w:lineRule="auto"/>
              <w:rPr>
                <w:sz w:val="18"/>
                <w:szCs w:val="18"/>
                <w:rtl/>
              </w:rPr>
            </w:pPr>
            <w:r w:rsidRPr="002431F0">
              <w:rPr>
                <w:sz w:val="18"/>
                <w:szCs w:val="18"/>
                <w:rtl/>
              </w:rPr>
              <w:fldChar w:fldCharType="begin"/>
            </w:r>
            <w:r w:rsidRPr="002431F0">
              <w:rPr>
                <w:sz w:val="18"/>
                <w:szCs w:val="18"/>
                <w:rtl/>
              </w:rPr>
              <w:instrText xml:space="preserve"> </w:instrText>
            </w:r>
            <w:r w:rsidRPr="002431F0">
              <w:rPr>
                <w:rFonts w:hint="cs"/>
                <w:sz w:val="18"/>
                <w:szCs w:val="18"/>
                <w:rtl/>
              </w:rPr>
              <w:instrText xml:space="preserve">= </w:instrText>
            </w:r>
            <w:r w:rsidRPr="002431F0">
              <w:rPr>
                <w:rFonts w:hint="cs"/>
                <w:sz w:val="18"/>
                <w:szCs w:val="18"/>
              </w:rPr>
              <w:instrText>CY</w:instrText>
            </w:r>
            <w:r w:rsidRPr="002431F0">
              <w:rPr>
                <w:sz w:val="18"/>
                <w:szCs w:val="18"/>
              </w:rPr>
              <w:instrText>-1</w:instrText>
            </w:r>
            <w:r w:rsidRPr="002431F0">
              <w:rPr>
                <w:rFonts w:hint="cs"/>
                <w:sz w:val="18"/>
                <w:szCs w:val="18"/>
              </w:rPr>
              <w:instrText xml:space="preserve"> \* MERGEFORMAT</w:instrText>
            </w:r>
            <w:r w:rsidRPr="002431F0">
              <w:rPr>
                <w:sz w:val="18"/>
                <w:szCs w:val="18"/>
                <w:rtl/>
              </w:rPr>
              <w:instrText xml:space="preserve"> </w:instrText>
            </w:r>
            <w:r w:rsidRPr="002431F0">
              <w:rPr>
                <w:sz w:val="18"/>
                <w:szCs w:val="18"/>
                <w:rtl/>
              </w:rPr>
              <w:fldChar w:fldCharType="separate"/>
            </w:r>
            <w:r w:rsidR="003A584F" w:rsidRPr="002431F0">
              <w:rPr>
                <w:noProof/>
                <w:sz w:val="18"/>
                <w:szCs w:val="18"/>
                <w:rtl/>
              </w:rPr>
              <w:t>2023</w:t>
            </w:r>
            <w:r w:rsidRPr="002431F0">
              <w:rPr>
                <w:sz w:val="18"/>
                <w:szCs w:val="18"/>
                <w:rtl/>
              </w:rPr>
              <w:fldChar w:fldCharType="end"/>
            </w:r>
          </w:p>
        </w:tc>
      </w:tr>
      <w:tr w:rsidR="00E20A30" w:rsidRPr="00AB469F" w14:paraId="3483EA30" w14:textId="77777777" w:rsidTr="00DC6BA9">
        <w:tc>
          <w:tcPr>
            <w:tcW w:w="1133" w:type="dxa"/>
            <w:tcBorders>
              <w:top w:val="nil"/>
              <w:left w:val="nil"/>
              <w:bottom w:val="nil"/>
              <w:right w:val="nil"/>
            </w:tcBorders>
          </w:tcPr>
          <w:p w14:paraId="6F284E9C" w14:textId="77777777" w:rsidR="00E20A30" w:rsidRDefault="00E20A30" w:rsidP="00E20A30">
            <w:pPr>
              <w:pStyle w:val="-0"/>
              <w:spacing w:line="240" w:lineRule="auto"/>
              <w:rPr>
                <w:rtl/>
              </w:rPr>
            </w:pPr>
          </w:p>
        </w:tc>
        <w:tc>
          <w:tcPr>
            <w:tcW w:w="3866" w:type="dxa"/>
            <w:gridSpan w:val="2"/>
            <w:tcBorders>
              <w:top w:val="nil"/>
              <w:left w:val="nil"/>
              <w:bottom w:val="nil"/>
              <w:right w:val="nil"/>
            </w:tcBorders>
            <w:vAlign w:val="bottom"/>
          </w:tcPr>
          <w:p w14:paraId="785CB047" w14:textId="77777777" w:rsidR="00E20A30" w:rsidRDefault="00E20A30" w:rsidP="00E20A30">
            <w:pPr>
              <w:pStyle w:val="-0"/>
              <w:spacing w:line="240" w:lineRule="auto"/>
              <w:rPr>
                <w:rtl/>
              </w:rPr>
            </w:pPr>
          </w:p>
        </w:tc>
        <w:tc>
          <w:tcPr>
            <w:tcW w:w="284" w:type="dxa"/>
            <w:tcBorders>
              <w:top w:val="nil"/>
              <w:left w:val="nil"/>
              <w:bottom w:val="nil"/>
              <w:right w:val="nil"/>
            </w:tcBorders>
            <w:tcMar>
              <w:left w:w="58" w:type="dxa"/>
              <w:right w:w="58" w:type="dxa"/>
            </w:tcMar>
          </w:tcPr>
          <w:p w14:paraId="16E38C81" w14:textId="77777777" w:rsidR="00E20A30" w:rsidRDefault="00E20A30" w:rsidP="00E20A30">
            <w:pPr>
              <w:rPr>
                <w:rtl/>
              </w:rPr>
            </w:pPr>
          </w:p>
        </w:tc>
        <w:tc>
          <w:tcPr>
            <w:tcW w:w="1682" w:type="dxa"/>
            <w:gridSpan w:val="4"/>
            <w:tcBorders>
              <w:top w:val="nil"/>
              <w:left w:val="nil"/>
              <w:bottom w:val="nil"/>
              <w:right w:val="nil"/>
            </w:tcBorders>
            <w:vAlign w:val="bottom"/>
          </w:tcPr>
          <w:p w14:paraId="3291FC51" w14:textId="77777777" w:rsidR="00E20A30" w:rsidRPr="002431F0" w:rsidRDefault="00E20A30" w:rsidP="00E20A30">
            <w:pPr>
              <w:pStyle w:val="-4"/>
              <w:spacing w:line="240" w:lineRule="auto"/>
              <w:rPr>
                <w:sz w:val="18"/>
                <w:szCs w:val="18"/>
                <w:rtl/>
              </w:rPr>
            </w:pPr>
            <w:r w:rsidRPr="002431F0">
              <w:rPr>
                <w:rFonts w:hint="eastAsia"/>
                <w:sz w:val="18"/>
                <w:szCs w:val="18"/>
                <w:rtl/>
              </w:rPr>
              <w:t>בלתי</w:t>
            </w:r>
            <w:r w:rsidRPr="002431F0">
              <w:rPr>
                <w:sz w:val="18"/>
                <w:szCs w:val="18"/>
                <w:rtl/>
              </w:rPr>
              <w:t xml:space="preserve"> </w:t>
            </w:r>
            <w:r w:rsidRPr="002431F0">
              <w:rPr>
                <w:rFonts w:hint="eastAsia"/>
                <w:sz w:val="18"/>
                <w:szCs w:val="18"/>
                <w:rtl/>
              </w:rPr>
              <w:t>מבוקר</w:t>
            </w:r>
          </w:p>
        </w:tc>
        <w:tc>
          <w:tcPr>
            <w:tcW w:w="1682" w:type="dxa"/>
            <w:gridSpan w:val="4"/>
            <w:tcBorders>
              <w:top w:val="nil"/>
              <w:left w:val="nil"/>
              <w:bottom w:val="nil"/>
              <w:right w:val="nil"/>
            </w:tcBorders>
            <w:vAlign w:val="bottom"/>
          </w:tcPr>
          <w:p w14:paraId="258985E5" w14:textId="77777777" w:rsidR="00E20A30" w:rsidRPr="002431F0" w:rsidRDefault="00E20A30" w:rsidP="00E20A30">
            <w:pPr>
              <w:pStyle w:val="-4"/>
              <w:spacing w:line="240" w:lineRule="auto"/>
              <w:rPr>
                <w:sz w:val="18"/>
                <w:szCs w:val="18"/>
                <w:rtl/>
              </w:rPr>
            </w:pPr>
            <w:r w:rsidRPr="002431F0">
              <w:rPr>
                <w:rFonts w:hint="eastAsia"/>
                <w:sz w:val="18"/>
                <w:szCs w:val="18"/>
                <w:rtl/>
              </w:rPr>
              <w:t>בלתי</w:t>
            </w:r>
            <w:r w:rsidRPr="002431F0">
              <w:rPr>
                <w:sz w:val="18"/>
                <w:szCs w:val="18"/>
                <w:rtl/>
              </w:rPr>
              <w:t xml:space="preserve"> </w:t>
            </w:r>
            <w:r w:rsidRPr="002431F0">
              <w:rPr>
                <w:rFonts w:hint="eastAsia"/>
                <w:sz w:val="18"/>
                <w:szCs w:val="18"/>
                <w:rtl/>
              </w:rPr>
              <w:t>מבוקר</w:t>
            </w:r>
          </w:p>
        </w:tc>
        <w:tc>
          <w:tcPr>
            <w:tcW w:w="1420" w:type="dxa"/>
            <w:gridSpan w:val="2"/>
            <w:tcBorders>
              <w:top w:val="nil"/>
              <w:left w:val="nil"/>
              <w:bottom w:val="nil"/>
              <w:right w:val="nil"/>
            </w:tcBorders>
            <w:vAlign w:val="bottom"/>
          </w:tcPr>
          <w:p w14:paraId="27E26D32" w14:textId="77777777" w:rsidR="00E20A30" w:rsidRPr="002431F0" w:rsidRDefault="00E20A30" w:rsidP="00E20A30">
            <w:pPr>
              <w:pStyle w:val="-4"/>
              <w:spacing w:line="240" w:lineRule="auto"/>
              <w:rPr>
                <w:sz w:val="18"/>
                <w:szCs w:val="18"/>
                <w:rtl/>
              </w:rPr>
            </w:pPr>
            <w:r w:rsidRPr="002431F0">
              <w:rPr>
                <w:rFonts w:hint="eastAsia"/>
                <w:sz w:val="18"/>
                <w:szCs w:val="18"/>
                <w:rtl/>
              </w:rPr>
              <w:t>מבוקר</w:t>
            </w:r>
          </w:p>
        </w:tc>
      </w:tr>
      <w:tr w:rsidR="00E20A30" w:rsidRPr="00543C25" w14:paraId="42993B1B" w14:textId="77777777" w:rsidTr="00DC6BA9">
        <w:tc>
          <w:tcPr>
            <w:tcW w:w="1133" w:type="dxa"/>
            <w:tcBorders>
              <w:top w:val="nil"/>
              <w:left w:val="nil"/>
              <w:bottom w:val="nil"/>
              <w:right w:val="nil"/>
            </w:tcBorders>
          </w:tcPr>
          <w:p w14:paraId="43BBF0CE" w14:textId="77777777" w:rsidR="00E20A30" w:rsidRPr="00543C25" w:rsidRDefault="00E20A30" w:rsidP="00E20A30">
            <w:pPr>
              <w:pStyle w:val="-0"/>
              <w:spacing w:line="240" w:lineRule="auto"/>
              <w:rPr>
                <w:sz w:val="18"/>
                <w:szCs w:val="18"/>
                <w:rtl/>
              </w:rPr>
            </w:pPr>
          </w:p>
        </w:tc>
        <w:tc>
          <w:tcPr>
            <w:tcW w:w="3866" w:type="dxa"/>
            <w:gridSpan w:val="2"/>
            <w:tcBorders>
              <w:top w:val="nil"/>
              <w:left w:val="nil"/>
              <w:bottom w:val="nil"/>
              <w:right w:val="nil"/>
            </w:tcBorders>
            <w:vAlign w:val="bottom"/>
          </w:tcPr>
          <w:p w14:paraId="1C11DF9C" w14:textId="77777777" w:rsidR="00E20A30" w:rsidRPr="00B13F74" w:rsidRDefault="00E20A30" w:rsidP="00E20A30">
            <w:pPr>
              <w:pStyle w:val="-f"/>
              <w:rPr>
                <w:rtl/>
              </w:rPr>
            </w:pPr>
            <w:r w:rsidRPr="00B13F74">
              <w:rPr>
                <w:rFonts w:hint="cs"/>
                <w:rtl/>
              </w:rPr>
              <w:t xml:space="preserve">תזרימי מזומנים מפעילות </w:t>
            </w:r>
            <w:r>
              <w:rPr>
                <w:rFonts w:hint="cs"/>
                <w:rtl/>
              </w:rPr>
              <w:t>מימון</w:t>
            </w:r>
          </w:p>
        </w:tc>
        <w:tc>
          <w:tcPr>
            <w:tcW w:w="284" w:type="dxa"/>
            <w:tcBorders>
              <w:top w:val="nil"/>
              <w:left w:val="nil"/>
              <w:bottom w:val="nil"/>
              <w:right w:val="nil"/>
            </w:tcBorders>
            <w:tcMar>
              <w:left w:w="58" w:type="dxa"/>
              <w:right w:w="58" w:type="dxa"/>
            </w:tcMar>
          </w:tcPr>
          <w:p w14:paraId="74BC362A" w14:textId="77777777" w:rsidR="00E20A30" w:rsidRPr="00543C25" w:rsidRDefault="00E20A30" w:rsidP="00E20A30">
            <w:pPr>
              <w:rPr>
                <w:rtl/>
              </w:rPr>
            </w:pPr>
          </w:p>
        </w:tc>
        <w:tc>
          <w:tcPr>
            <w:tcW w:w="841" w:type="dxa"/>
            <w:gridSpan w:val="2"/>
            <w:tcBorders>
              <w:top w:val="nil"/>
              <w:left w:val="nil"/>
              <w:bottom w:val="nil"/>
              <w:right w:val="nil"/>
            </w:tcBorders>
            <w:vAlign w:val="bottom"/>
          </w:tcPr>
          <w:p w14:paraId="7376E8EF" w14:textId="77777777" w:rsidR="00E20A30" w:rsidRPr="00543C25" w:rsidRDefault="00E20A30" w:rsidP="00E20A30">
            <w:pPr>
              <w:pStyle w:val="-3"/>
              <w:spacing w:line="240" w:lineRule="auto"/>
              <w:rPr>
                <w:rtl/>
              </w:rPr>
            </w:pPr>
          </w:p>
        </w:tc>
        <w:tc>
          <w:tcPr>
            <w:tcW w:w="841" w:type="dxa"/>
            <w:gridSpan w:val="2"/>
            <w:tcBorders>
              <w:top w:val="nil"/>
              <w:left w:val="nil"/>
              <w:bottom w:val="nil"/>
              <w:right w:val="nil"/>
            </w:tcBorders>
            <w:vAlign w:val="bottom"/>
          </w:tcPr>
          <w:p w14:paraId="33D30672" w14:textId="77777777" w:rsidR="00E20A30" w:rsidRPr="00543C25" w:rsidRDefault="00E20A30" w:rsidP="00E20A30">
            <w:pPr>
              <w:pStyle w:val="-3"/>
              <w:spacing w:line="240" w:lineRule="auto"/>
              <w:rPr>
                <w:rtl/>
              </w:rPr>
            </w:pPr>
          </w:p>
        </w:tc>
        <w:tc>
          <w:tcPr>
            <w:tcW w:w="841" w:type="dxa"/>
            <w:gridSpan w:val="2"/>
            <w:tcBorders>
              <w:top w:val="nil"/>
              <w:left w:val="nil"/>
              <w:bottom w:val="nil"/>
              <w:right w:val="nil"/>
            </w:tcBorders>
            <w:vAlign w:val="bottom"/>
          </w:tcPr>
          <w:p w14:paraId="41AB135D" w14:textId="77777777" w:rsidR="00E20A30" w:rsidRPr="00543C25" w:rsidRDefault="00E20A30" w:rsidP="00E20A30">
            <w:pPr>
              <w:pStyle w:val="-3"/>
              <w:spacing w:line="240" w:lineRule="auto"/>
              <w:rPr>
                <w:rtl/>
              </w:rPr>
            </w:pPr>
          </w:p>
        </w:tc>
        <w:tc>
          <w:tcPr>
            <w:tcW w:w="841" w:type="dxa"/>
            <w:gridSpan w:val="2"/>
            <w:tcBorders>
              <w:top w:val="nil"/>
              <w:left w:val="nil"/>
              <w:bottom w:val="nil"/>
              <w:right w:val="nil"/>
            </w:tcBorders>
            <w:vAlign w:val="bottom"/>
          </w:tcPr>
          <w:p w14:paraId="5B12A95B" w14:textId="77777777" w:rsidR="00E20A30" w:rsidRPr="00543C25" w:rsidRDefault="00E20A30" w:rsidP="00E20A30">
            <w:pPr>
              <w:pStyle w:val="-3"/>
              <w:spacing w:line="240" w:lineRule="auto"/>
              <w:rPr>
                <w:rtl/>
              </w:rPr>
            </w:pPr>
          </w:p>
        </w:tc>
        <w:tc>
          <w:tcPr>
            <w:tcW w:w="1420" w:type="dxa"/>
            <w:gridSpan w:val="2"/>
            <w:tcBorders>
              <w:top w:val="nil"/>
              <w:left w:val="nil"/>
              <w:bottom w:val="nil"/>
              <w:right w:val="nil"/>
            </w:tcBorders>
            <w:vAlign w:val="bottom"/>
          </w:tcPr>
          <w:p w14:paraId="75F7E857" w14:textId="77777777" w:rsidR="00E20A30" w:rsidRPr="00543C25" w:rsidRDefault="00E20A30" w:rsidP="00E20A30">
            <w:pPr>
              <w:pStyle w:val="-3"/>
              <w:spacing w:line="240" w:lineRule="auto"/>
              <w:rPr>
                <w:rtl/>
              </w:rPr>
            </w:pPr>
          </w:p>
        </w:tc>
      </w:tr>
      <w:tr w:rsidR="00E20A30" w:rsidRPr="00543C25" w14:paraId="408C2AB3" w14:textId="77777777" w:rsidTr="00DC6BA9">
        <w:tc>
          <w:tcPr>
            <w:tcW w:w="1133" w:type="dxa"/>
            <w:tcBorders>
              <w:top w:val="nil"/>
              <w:left w:val="nil"/>
              <w:bottom w:val="nil"/>
              <w:right w:val="nil"/>
            </w:tcBorders>
          </w:tcPr>
          <w:p w14:paraId="0B7D4B0F"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60B54687" w14:textId="77777777" w:rsidR="00E20A30" w:rsidRPr="00CD6F8C" w:rsidRDefault="00E20A30" w:rsidP="00E20A30">
            <w:pPr>
              <w:pStyle w:val="-0"/>
              <w:spacing w:before="20"/>
              <w:rPr>
                <w:rtl/>
              </w:rPr>
            </w:pPr>
            <w:r w:rsidRPr="00CD6F8C">
              <w:rPr>
                <w:rFonts w:hint="cs"/>
                <w:rtl/>
              </w:rPr>
              <w:t>שינוי נטו בפיקדונות הציבור</w:t>
            </w:r>
          </w:p>
        </w:tc>
        <w:tc>
          <w:tcPr>
            <w:tcW w:w="284" w:type="dxa"/>
            <w:tcBorders>
              <w:top w:val="nil"/>
              <w:left w:val="nil"/>
              <w:bottom w:val="nil"/>
              <w:right w:val="nil"/>
            </w:tcBorders>
            <w:tcMar>
              <w:left w:w="58" w:type="dxa"/>
              <w:right w:w="58" w:type="dxa"/>
            </w:tcMar>
          </w:tcPr>
          <w:p w14:paraId="255F9F35"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606B78E3"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160984FE"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063FC6AA"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57B518AF"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5980E2DD" w14:textId="77777777" w:rsidR="00E20A30" w:rsidRDefault="00E20A30" w:rsidP="00E20A30">
            <w:pPr>
              <w:pStyle w:val="-7"/>
              <w:spacing w:before="20"/>
              <w:rPr>
                <w:rtl/>
              </w:rPr>
            </w:pPr>
            <w:r>
              <w:rPr>
                <w:rFonts w:hint="cs"/>
                <w:rtl/>
              </w:rPr>
              <w:t xml:space="preserve"> 0</w:t>
            </w:r>
          </w:p>
        </w:tc>
      </w:tr>
      <w:tr w:rsidR="00E20A30" w:rsidRPr="00543C25" w14:paraId="34537256" w14:textId="77777777" w:rsidTr="00DC6BA9">
        <w:tc>
          <w:tcPr>
            <w:tcW w:w="1133" w:type="dxa"/>
            <w:tcBorders>
              <w:top w:val="nil"/>
              <w:left w:val="nil"/>
              <w:bottom w:val="nil"/>
              <w:right w:val="nil"/>
            </w:tcBorders>
          </w:tcPr>
          <w:p w14:paraId="5C4EFCE0"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5D481423" w14:textId="77777777" w:rsidR="00E20A30" w:rsidRPr="00CD6F8C" w:rsidRDefault="00E20A30" w:rsidP="00E20A30">
            <w:pPr>
              <w:pStyle w:val="-f"/>
              <w:spacing w:line="240" w:lineRule="exact"/>
              <w:rPr>
                <w:b w:val="0"/>
                <w:bCs w:val="0"/>
                <w:rtl/>
              </w:rPr>
            </w:pPr>
            <w:r w:rsidRPr="00CD6F8C">
              <w:rPr>
                <w:rFonts w:hint="cs"/>
                <w:b w:val="0"/>
                <w:bCs w:val="0"/>
                <w:u w:val="none"/>
                <w:rtl/>
              </w:rPr>
              <w:t>שינוי נטו בפיקדונות מבנקים</w:t>
            </w:r>
          </w:p>
        </w:tc>
        <w:tc>
          <w:tcPr>
            <w:tcW w:w="284" w:type="dxa"/>
            <w:tcBorders>
              <w:top w:val="nil"/>
              <w:left w:val="nil"/>
              <w:bottom w:val="nil"/>
              <w:right w:val="nil"/>
            </w:tcBorders>
            <w:tcMar>
              <w:left w:w="58" w:type="dxa"/>
              <w:right w:w="58" w:type="dxa"/>
            </w:tcMar>
          </w:tcPr>
          <w:p w14:paraId="313958BC"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000DEBDC"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311DF5F2"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65710008"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3B1B2672"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1B9EC0B4" w14:textId="77777777" w:rsidR="00E20A30" w:rsidRDefault="00E20A30" w:rsidP="00E20A30">
            <w:pPr>
              <w:pStyle w:val="-7"/>
              <w:spacing w:before="20"/>
              <w:rPr>
                <w:rtl/>
              </w:rPr>
            </w:pPr>
            <w:r>
              <w:rPr>
                <w:rFonts w:hint="cs"/>
                <w:rtl/>
              </w:rPr>
              <w:t xml:space="preserve"> 0</w:t>
            </w:r>
          </w:p>
        </w:tc>
      </w:tr>
      <w:tr w:rsidR="00E20A30" w:rsidRPr="00543C25" w14:paraId="5DE91FE0" w14:textId="77777777" w:rsidTr="00DC6BA9">
        <w:tc>
          <w:tcPr>
            <w:tcW w:w="1133" w:type="dxa"/>
            <w:tcBorders>
              <w:top w:val="nil"/>
              <w:left w:val="nil"/>
              <w:bottom w:val="nil"/>
              <w:right w:val="nil"/>
            </w:tcBorders>
          </w:tcPr>
          <w:p w14:paraId="005628E2"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046B1F33" w14:textId="77777777" w:rsidR="00E20A30" w:rsidRPr="00CD6F8C" w:rsidRDefault="00E20A30" w:rsidP="00E20A30">
            <w:pPr>
              <w:pStyle w:val="-f"/>
              <w:spacing w:line="240" w:lineRule="exact"/>
              <w:rPr>
                <w:b w:val="0"/>
                <w:bCs w:val="0"/>
                <w:rtl/>
              </w:rPr>
            </w:pPr>
            <w:r w:rsidRPr="00CD6F8C">
              <w:rPr>
                <w:rFonts w:hint="cs"/>
                <w:b w:val="0"/>
                <w:bCs w:val="0"/>
                <w:u w:val="none"/>
                <w:rtl/>
              </w:rPr>
              <w:t>שינוי נטו בפיקדונות הממשלה</w:t>
            </w:r>
          </w:p>
        </w:tc>
        <w:tc>
          <w:tcPr>
            <w:tcW w:w="284" w:type="dxa"/>
            <w:tcBorders>
              <w:top w:val="nil"/>
              <w:left w:val="nil"/>
              <w:bottom w:val="nil"/>
              <w:right w:val="nil"/>
            </w:tcBorders>
            <w:tcMar>
              <w:left w:w="58" w:type="dxa"/>
              <w:right w:w="58" w:type="dxa"/>
            </w:tcMar>
          </w:tcPr>
          <w:p w14:paraId="1C98AABE"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27DAFA40"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16BF37E4"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40CFDE5D"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01925E48"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6737ACB2" w14:textId="77777777" w:rsidR="00E20A30" w:rsidRDefault="00E20A30" w:rsidP="00E20A30">
            <w:pPr>
              <w:pStyle w:val="-7"/>
              <w:spacing w:before="20"/>
              <w:rPr>
                <w:rtl/>
              </w:rPr>
            </w:pPr>
            <w:r>
              <w:rPr>
                <w:rFonts w:hint="cs"/>
                <w:rtl/>
              </w:rPr>
              <w:t xml:space="preserve"> 0</w:t>
            </w:r>
          </w:p>
        </w:tc>
      </w:tr>
      <w:tr w:rsidR="00E20A30" w:rsidRPr="00543C25" w14:paraId="0FC576F7" w14:textId="77777777" w:rsidTr="00DC6BA9">
        <w:tc>
          <w:tcPr>
            <w:tcW w:w="1133" w:type="dxa"/>
            <w:tcBorders>
              <w:top w:val="nil"/>
              <w:left w:val="nil"/>
              <w:bottom w:val="nil"/>
              <w:right w:val="nil"/>
            </w:tcBorders>
          </w:tcPr>
          <w:p w14:paraId="5378B94D"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5969B283" w14:textId="77777777" w:rsidR="00E20A30" w:rsidRPr="00CD6F8C" w:rsidRDefault="00E20A30" w:rsidP="00E20A30">
            <w:pPr>
              <w:pStyle w:val="-0"/>
              <w:spacing w:before="20"/>
              <w:rPr>
                <w:rtl/>
              </w:rPr>
            </w:pPr>
            <w:r w:rsidRPr="00CD6F8C">
              <w:rPr>
                <w:rFonts w:hint="cs"/>
                <w:rtl/>
              </w:rPr>
              <w:t>שינוי נטו בניירות ערך שהושאלו או נמכרו במסגרת הסכמי רכש חוזר</w:t>
            </w:r>
          </w:p>
        </w:tc>
        <w:tc>
          <w:tcPr>
            <w:tcW w:w="284" w:type="dxa"/>
            <w:tcBorders>
              <w:top w:val="nil"/>
              <w:left w:val="nil"/>
              <w:bottom w:val="nil"/>
              <w:right w:val="nil"/>
            </w:tcBorders>
            <w:tcMar>
              <w:left w:w="58" w:type="dxa"/>
              <w:right w:w="58" w:type="dxa"/>
            </w:tcMar>
          </w:tcPr>
          <w:p w14:paraId="46F228E0"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5316F8AF"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334F2D36"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7F865013"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5EBAD27A"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4029699D" w14:textId="77777777" w:rsidR="00E20A30" w:rsidRDefault="00E20A30" w:rsidP="00E20A30">
            <w:pPr>
              <w:pStyle w:val="-7"/>
              <w:spacing w:before="20"/>
              <w:rPr>
                <w:rtl/>
              </w:rPr>
            </w:pPr>
            <w:r>
              <w:rPr>
                <w:rFonts w:hint="cs"/>
                <w:rtl/>
              </w:rPr>
              <w:t xml:space="preserve"> 0</w:t>
            </w:r>
          </w:p>
        </w:tc>
      </w:tr>
      <w:tr w:rsidR="00E20A30" w:rsidRPr="00543C25" w14:paraId="551E10A5" w14:textId="77777777" w:rsidTr="00DC6BA9">
        <w:tc>
          <w:tcPr>
            <w:tcW w:w="1133" w:type="dxa"/>
            <w:tcBorders>
              <w:top w:val="nil"/>
              <w:left w:val="nil"/>
              <w:bottom w:val="nil"/>
              <w:right w:val="nil"/>
            </w:tcBorders>
          </w:tcPr>
          <w:p w14:paraId="2571ADC9"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1524B983" w14:textId="77777777" w:rsidR="00E20A30" w:rsidRDefault="00E20A30" w:rsidP="00E20A30">
            <w:pPr>
              <w:pStyle w:val="-0"/>
              <w:spacing w:before="20"/>
              <w:rPr>
                <w:rtl/>
              </w:rPr>
            </w:pPr>
            <w:r w:rsidRPr="00A17355">
              <w:rPr>
                <w:rtl/>
              </w:rPr>
              <w:t xml:space="preserve">הנפקת </w:t>
            </w:r>
            <w:r w:rsidR="00A674A4">
              <w:rPr>
                <w:rtl/>
              </w:rPr>
              <w:t>אגרות</w:t>
            </w:r>
            <w:r w:rsidRPr="00A17355">
              <w:rPr>
                <w:rtl/>
              </w:rPr>
              <w:t xml:space="preserve"> חוב וכתבי התחייבות נדחים</w:t>
            </w:r>
          </w:p>
        </w:tc>
        <w:tc>
          <w:tcPr>
            <w:tcW w:w="284" w:type="dxa"/>
            <w:tcBorders>
              <w:top w:val="nil"/>
              <w:left w:val="nil"/>
              <w:bottom w:val="nil"/>
              <w:right w:val="nil"/>
            </w:tcBorders>
            <w:tcMar>
              <w:left w:w="58" w:type="dxa"/>
              <w:right w:w="58" w:type="dxa"/>
            </w:tcMar>
          </w:tcPr>
          <w:p w14:paraId="3CED80A0"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7E6C5024"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1C4B6300"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1321BC76"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1047BCF5"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2B28BE6C" w14:textId="77777777" w:rsidR="00E20A30" w:rsidRDefault="00E20A30" w:rsidP="00E20A30">
            <w:pPr>
              <w:pStyle w:val="-7"/>
              <w:spacing w:before="20"/>
              <w:rPr>
                <w:rtl/>
              </w:rPr>
            </w:pPr>
            <w:r>
              <w:rPr>
                <w:rFonts w:hint="cs"/>
                <w:rtl/>
              </w:rPr>
              <w:t xml:space="preserve"> 0</w:t>
            </w:r>
          </w:p>
        </w:tc>
      </w:tr>
      <w:tr w:rsidR="00E20A30" w:rsidRPr="00543C25" w14:paraId="304D9DD6" w14:textId="77777777" w:rsidTr="00DC6BA9">
        <w:tc>
          <w:tcPr>
            <w:tcW w:w="1133" w:type="dxa"/>
            <w:tcBorders>
              <w:top w:val="nil"/>
              <w:left w:val="nil"/>
              <w:bottom w:val="nil"/>
              <w:right w:val="nil"/>
            </w:tcBorders>
          </w:tcPr>
          <w:p w14:paraId="7D717ADB"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05831980" w14:textId="77777777" w:rsidR="00E20A30" w:rsidRDefault="00E20A30" w:rsidP="00E20A30">
            <w:pPr>
              <w:pStyle w:val="-0"/>
              <w:spacing w:before="20"/>
              <w:rPr>
                <w:rtl/>
              </w:rPr>
            </w:pPr>
            <w:r w:rsidRPr="00A17355">
              <w:rPr>
                <w:rtl/>
              </w:rPr>
              <w:t xml:space="preserve">פדיון </w:t>
            </w:r>
            <w:r w:rsidR="00A674A4">
              <w:rPr>
                <w:rtl/>
              </w:rPr>
              <w:t>אגרות</w:t>
            </w:r>
            <w:r w:rsidRPr="00A17355">
              <w:rPr>
                <w:rtl/>
              </w:rPr>
              <w:t xml:space="preserve"> חוב וכתבי התחייבות נדחים</w:t>
            </w:r>
          </w:p>
        </w:tc>
        <w:tc>
          <w:tcPr>
            <w:tcW w:w="284" w:type="dxa"/>
            <w:tcBorders>
              <w:top w:val="nil"/>
              <w:left w:val="nil"/>
              <w:bottom w:val="nil"/>
              <w:right w:val="nil"/>
            </w:tcBorders>
            <w:tcMar>
              <w:left w:w="58" w:type="dxa"/>
              <w:right w:w="58" w:type="dxa"/>
            </w:tcMar>
          </w:tcPr>
          <w:p w14:paraId="1175F362"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7506ACB2"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1C1C2E6A"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002D54D4"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661C04F5"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5BF710D5" w14:textId="77777777" w:rsidR="00E20A30" w:rsidRDefault="00E20A30" w:rsidP="00E20A30">
            <w:pPr>
              <w:pStyle w:val="-7"/>
              <w:spacing w:before="20"/>
              <w:rPr>
                <w:rtl/>
              </w:rPr>
            </w:pPr>
            <w:r>
              <w:rPr>
                <w:rFonts w:hint="cs"/>
                <w:rtl/>
              </w:rPr>
              <w:t xml:space="preserve"> 0</w:t>
            </w:r>
          </w:p>
        </w:tc>
      </w:tr>
      <w:tr w:rsidR="00E20A30" w:rsidRPr="00543C25" w14:paraId="345FD28A" w14:textId="77777777" w:rsidTr="00DC6BA9">
        <w:tc>
          <w:tcPr>
            <w:tcW w:w="1133" w:type="dxa"/>
            <w:tcBorders>
              <w:top w:val="nil"/>
              <w:left w:val="nil"/>
              <w:bottom w:val="nil"/>
              <w:right w:val="nil"/>
            </w:tcBorders>
          </w:tcPr>
          <w:p w14:paraId="2CACE825"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00529F46" w14:textId="77777777" w:rsidR="00E20A30" w:rsidRDefault="00E20A30" w:rsidP="00E20A30">
            <w:pPr>
              <w:pStyle w:val="-0"/>
              <w:spacing w:before="20"/>
              <w:rPr>
                <w:rtl/>
              </w:rPr>
            </w:pPr>
            <w:r w:rsidRPr="00A17355">
              <w:rPr>
                <w:rtl/>
              </w:rPr>
              <w:t xml:space="preserve">הנפקת הון </w:t>
            </w:r>
            <w:r w:rsidRPr="00523FC2">
              <w:rPr>
                <w:rtl/>
              </w:rPr>
              <w:t>[פרט]</w:t>
            </w:r>
          </w:p>
        </w:tc>
        <w:tc>
          <w:tcPr>
            <w:tcW w:w="284" w:type="dxa"/>
            <w:tcBorders>
              <w:top w:val="nil"/>
              <w:left w:val="nil"/>
              <w:bottom w:val="nil"/>
              <w:right w:val="nil"/>
            </w:tcBorders>
            <w:tcMar>
              <w:left w:w="58" w:type="dxa"/>
              <w:right w:w="58" w:type="dxa"/>
            </w:tcMar>
          </w:tcPr>
          <w:p w14:paraId="7CB4ED02"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43F568DA"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38C4567A"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5F3653A5"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4233CC2A"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582C3E53" w14:textId="77777777" w:rsidR="00E20A30" w:rsidRDefault="00E20A30" w:rsidP="00E20A30">
            <w:pPr>
              <w:pStyle w:val="-7"/>
              <w:spacing w:before="20"/>
              <w:rPr>
                <w:rtl/>
              </w:rPr>
            </w:pPr>
            <w:r>
              <w:rPr>
                <w:rFonts w:hint="cs"/>
                <w:rtl/>
              </w:rPr>
              <w:t xml:space="preserve"> 0</w:t>
            </w:r>
          </w:p>
        </w:tc>
      </w:tr>
      <w:tr w:rsidR="00E20A30" w:rsidRPr="00543C25" w14:paraId="7B6E390B" w14:textId="77777777" w:rsidTr="00DC6BA9">
        <w:tc>
          <w:tcPr>
            <w:tcW w:w="1133" w:type="dxa"/>
            <w:tcBorders>
              <w:top w:val="nil"/>
              <w:left w:val="nil"/>
              <w:bottom w:val="nil"/>
              <w:right w:val="nil"/>
            </w:tcBorders>
          </w:tcPr>
          <w:p w14:paraId="5B1CD08C"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7B797195" w14:textId="77777777" w:rsidR="00E20A30" w:rsidRDefault="00E20A30" w:rsidP="00E20A30">
            <w:pPr>
              <w:pStyle w:val="-21"/>
              <w:spacing w:before="20"/>
              <w:rPr>
                <w:rtl/>
              </w:rPr>
            </w:pPr>
            <w:r w:rsidRPr="00A17355">
              <w:rPr>
                <w:rtl/>
              </w:rPr>
              <w:t xml:space="preserve">הנפקת הון בחברות </w:t>
            </w:r>
            <w:r>
              <w:rPr>
                <w:rFonts w:hint="cs"/>
                <w:color w:val="auto"/>
                <w:rtl/>
              </w:rPr>
              <w:t>מאוחדות</w:t>
            </w:r>
            <w:r w:rsidRPr="00A17355">
              <w:rPr>
                <w:rtl/>
              </w:rPr>
              <w:t xml:space="preserve"> לבעלי מניות חיצוניים</w:t>
            </w:r>
          </w:p>
        </w:tc>
        <w:tc>
          <w:tcPr>
            <w:tcW w:w="284" w:type="dxa"/>
            <w:tcBorders>
              <w:top w:val="nil"/>
              <w:left w:val="nil"/>
              <w:bottom w:val="nil"/>
              <w:right w:val="nil"/>
            </w:tcBorders>
            <w:tcMar>
              <w:left w:w="58" w:type="dxa"/>
              <w:right w:w="58" w:type="dxa"/>
            </w:tcMar>
          </w:tcPr>
          <w:p w14:paraId="7D076274"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1F58E9C3"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310CADCA"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4E73F0F4"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50EFA0EC"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13FD673D" w14:textId="77777777" w:rsidR="00E20A30" w:rsidRDefault="00E20A30" w:rsidP="00E20A30">
            <w:pPr>
              <w:pStyle w:val="-7"/>
              <w:spacing w:before="20"/>
              <w:rPr>
                <w:rtl/>
              </w:rPr>
            </w:pPr>
            <w:r>
              <w:rPr>
                <w:rFonts w:hint="cs"/>
                <w:rtl/>
              </w:rPr>
              <w:t xml:space="preserve"> 0</w:t>
            </w:r>
          </w:p>
        </w:tc>
      </w:tr>
      <w:tr w:rsidR="00E20A30" w:rsidRPr="00543C25" w14:paraId="34FFC356" w14:textId="77777777" w:rsidTr="00DC6BA9">
        <w:tc>
          <w:tcPr>
            <w:tcW w:w="1133" w:type="dxa"/>
            <w:tcBorders>
              <w:top w:val="nil"/>
              <w:left w:val="nil"/>
              <w:bottom w:val="nil"/>
              <w:right w:val="nil"/>
            </w:tcBorders>
          </w:tcPr>
          <w:p w14:paraId="4E8F4971"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6A0143FF" w14:textId="77777777" w:rsidR="00E20A30" w:rsidRDefault="00E20A30" w:rsidP="00E20A30">
            <w:pPr>
              <w:pStyle w:val="-0"/>
              <w:spacing w:before="20"/>
              <w:rPr>
                <w:rtl/>
              </w:rPr>
            </w:pPr>
            <w:r w:rsidRPr="00A17355">
              <w:rPr>
                <w:rtl/>
              </w:rPr>
              <w:t xml:space="preserve">רכישה נוספת של מניות בחברות </w:t>
            </w:r>
            <w:r>
              <w:rPr>
                <w:rFonts w:hint="cs"/>
                <w:rtl/>
              </w:rPr>
              <w:t>מאוחדות</w:t>
            </w:r>
          </w:p>
        </w:tc>
        <w:tc>
          <w:tcPr>
            <w:tcW w:w="284" w:type="dxa"/>
            <w:tcBorders>
              <w:top w:val="nil"/>
              <w:left w:val="nil"/>
              <w:bottom w:val="nil"/>
              <w:right w:val="nil"/>
            </w:tcBorders>
            <w:tcMar>
              <w:left w:w="58" w:type="dxa"/>
              <w:right w:w="58" w:type="dxa"/>
            </w:tcMar>
          </w:tcPr>
          <w:p w14:paraId="4D9A8692"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3C296F53"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1CA0864A"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554C9521"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7602016E"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45FDCF1F" w14:textId="77777777" w:rsidR="00E20A30" w:rsidRDefault="00E20A30" w:rsidP="00E20A30">
            <w:pPr>
              <w:pStyle w:val="-7"/>
              <w:spacing w:before="20"/>
              <w:rPr>
                <w:rtl/>
              </w:rPr>
            </w:pPr>
            <w:r>
              <w:rPr>
                <w:rFonts w:hint="cs"/>
                <w:rtl/>
              </w:rPr>
              <w:t xml:space="preserve"> 0</w:t>
            </w:r>
          </w:p>
        </w:tc>
      </w:tr>
      <w:tr w:rsidR="00E20A30" w:rsidRPr="00543C25" w14:paraId="1CD53076" w14:textId="77777777" w:rsidTr="00DC6BA9">
        <w:tc>
          <w:tcPr>
            <w:tcW w:w="1133" w:type="dxa"/>
            <w:tcBorders>
              <w:top w:val="nil"/>
              <w:left w:val="nil"/>
              <w:bottom w:val="nil"/>
              <w:right w:val="nil"/>
            </w:tcBorders>
          </w:tcPr>
          <w:p w14:paraId="52F5835F"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2FBDB824" w14:textId="77777777" w:rsidR="00E20A30" w:rsidRDefault="00E20A30" w:rsidP="00E20A30">
            <w:pPr>
              <w:pStyle w:val="-21"/>
              <w:spacing w:before="20"/>
              <w:rPr>
                <w:rtl/>
              </w:rPr>
            </w:pPr>
            <w:r w:rsidRPr="00A17355">
              <w:rPr>
                <w:rtl/>
              </w:rPr>
              <w:t xml:space="preserve">תמורה ממימוש השקעות בחברות </w:t>
            </w:r>
            <w:r>
              <w:rPr>
                <w:rFonts w:hint="cs"/>
                <w:rtl/>
              </w:rPr>
              <w:t>מאוחדות</w:t>
            </w:r>
            <w:r w:rsidRPr="00A17355">
              <w:rPr>
                <w:rFonts w:hint="cs"/>
                <w:rtl/>
              </w:rPr>
              <w:t xml:space="preserve"> ללא איבוד שליטה</w:t>
            </w:r>
          </w:p>
        </w:tc>
        <w:tc>
          <w:tcPr>
            <w:tcW w:w="284" w:type="dxa"/>
            <w:tcBorders>
              <w:top w:val="nil"/>
              <w:left w:val="nil"/>
              <w:bottom w:val="nil"/>
              <w:right w:val="nil"/>
            </w:tcBorders>
            <w:tcMar>
              <w:left w:w="58" w:type="dxa"/>
              <w:right w:w="58" w:type="dxa"/>
            </w:tcMar>
          </w:tcPr>
          <w:p w14:paraId="1C4E14BF"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7A7EAACA"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686B0B8E"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6DA7304F"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41F52BDA"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75A02C6C" w14:textId="77777777" w:rsidR="00E20A30" w:rsidRDefault="00E20A30" w:rsidP="00E20A30">
            <w:pPr>
              <w:pStyle w:val="-7"/>
              <w:spacing w:before="20"/>
              <w:rPr>
                <w:rtl/>
              </w:rPr>
            </w:pPr>
            <w:r>
              <w:rPr>
                <w:rFonts w:hint="cs"/>
                <w:rtl/>
              </w:rPr>
              <w:t xml:space="preserve"> 0</w:t>
            </w:r>
          </w:p>
        </w:tc>
      </w:tr>
      <w:tr w:rsidR="00E20A30" w:rsidRPr="00543C25" w14:paraId="490F59D0" w14:textId="77777777" w:rsidTr="00DC6BA9">
        <w:tc>
          <w:tcPr>
            <w:tcW w:w="1133" w:type="dxa"/>
            <w:tcBorders>
              <w:top w:val="nil"/>
              <w:left w:val="nil"/>
              <w:bottom w:val="nil"/>
              <w:right w:val="nil"/>
            </w:tcBorders>
            <w:vAlign w:val="bottom"/>
          </w:tcPr>
          <w:p w14:paraId="39B0D0D8" w14:textId="77777777" w:rsidR="00E20A30" w:rsidRPr="003009E2" w:rsidRDefault="00E20A30" w:rsidP="00E20A30">
            <w:pPr>
              <w:pStyle w:val="-fa"/>
              <w:spacing w:before="20"/>
              <w:ind w:right="0"/>
              <w:rPr>
                <w:color w:val="FF0000"/>
                <w:rtl/>
              </w:rPr>
            </w:pPr>
          </w:p>
        </w:tc>
        <w:tc>
          <w:tcPr>
            <w:tcW w:w="3866" w:type="dxa"/>
            <w:gridSpan w:val="2"/>
            <w:tcBorders>
              <w:top w:val="nil"/>
              <w:left w:val="nil"/>
              <w:bottom w:val="nil"/>
              <w:right w:val="nil"/>
            </w:tcBorders>
            <w:vAlign w:val="bottom"/>
          </w:tcPr>
          <w:p w14:paraId="4F48CE3A" w14:textId="77777777" w:rsidR="00E20A30" w:rsidRDefault="00E20A30" w:rsidP="00E20A30">
            <w:pPr>
              <w:pStyle w:val="-0"/>
              <w:spacing w:before="20"/>
              <w:rPr>
                <w:rtl/>
              </w:rPr>
            </w:pPr>
            <w:r w:rsidRPr="00A17355">
              <w:rPr>
                <w:rFonts w:hint="cs"/>
                <w:rtl/>
              </w:rPr>
              <w:t>רכישה של מניות באוצר</w:t>
            </w:r>
          </w:p>
        </w:tc>
        <w:tc>
          <w:tcPr>
            <w:tcW w:w="284" w:type="dxa"/>
            <w:tcBorders>
              <w:top w:val="nil"/>
              <w:left w:val="nil"/>
              <w:bottom w:val="nil"/>
              <w:right w:val="nil"/>
            </w:tcBorders>
            <w:tcMar>
              <w:left w:w="58" w:type="dxa"/>
              <w:right w:w="58" w:type="dxa"/>
            </w:tcMar>
          </w:tcPr>
          <w:p w14:paraId="371C6628"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5787D343"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10C09D2A"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485A1658"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43180FC0"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0D21142A" w14:textId="77777777" w:rsidR="00E20A30" w:rsidRDefault="00E20A30" w:rsidP="00E20A30">
            <w:pPr>
              <w:pStyle w:val="-7"/>
              <w:spacing w:before="20"/>
              <w:rPr>
                <w:rtl/>
              </w:rPr>
            </w:pPr>
            <w:r>
              <w:rPr>
                <w:rFonts w:hint="cs"/>
                <w:rtl/>
              </w:rPr>
              <w:t xml:space="preserve"> 0</w:t>
            </w:r>
          </w:p>
        </w:tc>
      </w:tr>
      <w:tr w:rsidR="00E20A30" w:rsidRPr="00543C25" w14:paraId="50CC4D0E" w14:textId="77777777" w:rsidTr="00DC6BA9">
        <w:tc>
          <w:tcPr>
            <w:tcW w:w="1133" w:type="dxa"/>
            <w:tcBorders>
              <w:top w:val="nil"/>
              <w:left w:val="nil"/>
              <w:bottom w:val="nil"/>
              <w:right w:val="nil"/>
            </w:tcBorders>
            <w:vAlign w:val="bottom"/>
          </w:tcPr>
          <w:p w14:paraId="6CF55022" w14:textId="77777777" w:rsidR="00E20A30" w:rsidRPr="003009E2" w:rsidRDefault="00E20A30" w:rsidP="00E20A30">
            <w:pPr>
              <w:pStyle w:val="-fa"/>
              <w:spacing w:before="20"/>
              <w:ind w:right="0"/>
              <w:rPr>
                <w:color w:val="FF0000"/>
                <w:rtl/>
              </w:rPr>
            </w:pPr>
          </w:p>
        </w:tc>
        <w:tc>
          <w:tcPr>
            <w:tcW w:w="3866" w:type="dxa"/>
            <w:gridSpan w:val="2"/>
            <w:tcBorders>
              <w:top w:val="nil"/>
              <w:left w:val="nil"/>
              <w:bottom w:val="nil"/>
              <w:right w:val="nil"/>
            </w:tcBorders>
            <w:vAlign w:val="bottom"/>
          </w:tcPr>
          <w:p w14:paraId="1A1024CF" w14:textId="77777777" w:rsidR="00E20A30" w:rsidRDefault="003D5688" w:rsidP="00E20A30">
            <w:pPr>
              <w:pStyle w:val="-0"/>
              <w:spacing w:before="20"/>
              <w:rPr>
                <w:rtl/>
              </w:rPr>
            </w:pPr>
            <w:r>
              <w:rPr>
                <w:rFonts w:hint="cs"/>
                <w:rtl/>
              </w:rPr>
              <w:t>תמורה מ</w:t>
            </w:r>
            <w:r w:rsidR="00E20A30" w:rsidRPr="00A17355">
              <w:rPr>
                <w:rFonts w:hint="cs"/>
                <w:rtl/>
              </w:rPr>
              <w:t>מכירה של מניות באוצר</w:t>
            </w:r>
          </w:p>
        </w:tc>
        <w:tc>
          <w:tcPr>
            <w:tcW w:w="284" w:type="dxa"/>
            <w:tcBorders>
              <w:top w:val="nil"/>
              <w:left w:val="nil"/>
              <w:bottom w:val="nil"/>
              <w:right w:val="nil"/>
            </w:tcBorders>
            <w:tcMar>
              <w:left w:w="58" w:type="dxa"/>
              <w:right w:w="58" w:type="dxa"/>
            </w:tcMar>
          </w:tcPr>
          <w:p w14:paraId="7860E7CC"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38A96BB4"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5695B620"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4878CC61"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5D458E83"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5079194C" w14:textId="77777777" w:rsidR="00E20A30" w:rsidRDefault="00E20A30" w:rsidP="00E20A30">
            <w:pPr>
              <w:pStyle w:val="-7"/>
              <w:spacing w:before="20"/>
              <w:rPr>
                <w:rtl/>
              </w:rPr>
            </w:pPr>
            <w:r>
              <w:rPr>
                <w:rFonts w:hint="cs"/>
                <w:rtl/>
              </w:rPr>
              <w:t xml:space="preserve"> 0</w:t>
            </w:r>
          </w:p>
        </w:tc>
      </w:tr>
      <w:tr w:rsidR="00E20A30" w:rsidRPr="00543C25" w14:paraId="5FDA13E9" w14:textId="77777777" w:rsidTr="00DC6BA9">
        <w:tc>
          <w:tcPr>
            <w:tcW w:w="1133" w:type="dxa"/>
            <w:tcBorders>
              <w:top w:val="nil"/>
              <w:left w:val="nil"/>
              <w:bottom w:val="nil"/>
              <w:right w:val="nil"/>
            </w:tcBorders>
            <w:vAlign w:val="bottom"/>
          </w:tcPr>
          <w:p w14:paraId="48B4E0C3" w14:textId="77777777" w:rsidR="00E20A30" w:rsidRPr="003009E2" w:rsidRDefault="00E20A30" w:rsidP="00E20A30">
            <w:pPr>
              <w:pStyle w:val="-7"/>
              <w:spacing w:before="20"/>
              <w:jc w:val="left"/>
              <w:rPr>
                <w:color w:val="FF0000"/>
                <w:sz w:val="14"/>
                <w:szCs w:val="14"/>
                <w:rtl/>
              </w:rPr>
            </w:pPr>
          </w:p>
        </w:tc>
        <w:tc>
          <w:tcPr>
            <w:tcW w:w="3866" w:type="dxa"/>
            <w:gridSpan w:val="2"/>
            <w:tcBorders>
              <w:top w:val="nil"/>
              <w:left w:val="nil"/>
              <w:bottom w:val="nil"/>
              <w:right w:val="nil"/>
            </w:tcBorders>
            <w:vAlign w:val="bottom"/>
          </w:tcPr>
          <w:p w14:paraId="5E1F680A" w14:textId="77777777" w:rsidR="00E20A30" w:rsidRDefault="00E20A30" w:rsidP="00E20A30">
            <w:pPr>
              <w:pStyle w:val="-0"/>
              <w:spacing w:before="20"/>
              <w:rPr>
                <w:spacing w:val="-4"/>
                <w:rtl/>
              </w:rPr>
            </w:pPr>
            <w:r w:rsidRPr="00A17355">
              <w:rPr>
                <w:spacing w:val="-4"/>
                <w:rtl/>
              </w:rPr>
              <w:t xml:space="preserve">דיבידנד ששולם לבעלי מניות </w:t>
            </w:r>
          </w:p>
        </w:tc>
        <w:tc>
          <w:tcPr>
            <w:tcW w:w="284" w:type="dxa"/>
            <w:tcBorders>
              <w:top w:val="nil"/>
              <w:left w:val="nil"/>
              <w:bottom w:val="nil"/>
              <w:right w:val="nil"/>
            </w:tcBorders>
            <w:tcMar>
              <w:left w:w="58" w:type="dxa"/>
              <w:right w:w="58" w:type="dxa"/>
            </w:tcMar>
          </w:tcPr>
          <w:p w14:paraId="75E7213E"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3EF35104"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1777EC49"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6EB05A39"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7E823543"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64425595" w14:textId="77777777" w:rsidR="00E20A30" w:rsidRDefault="00E20A30" w:rsidP="00E20A30">
            <w:pPr>
              <w:pStyle w:val="-7"/>
              <w:spacing w:before="20"/>
              <w:rPr>
                <w:rtl/>
              </w:rPr>
            </w:pPr>
            <w:r>
              <w:rPr>
                <w:rFonts w:hint="cs"/>
                <w:rtl/>
              </w:rPr>
              <w:t xml:space="preserve"> 0</w:t>
            </w:r>
          </w:p>
        </w:tc>
      </w:tr>
      <w:tr w:rsidR="00E20A30" w:rsidRPr="00543C25" w14:paraId="49CD9B25" w14:textId="77777777" w:rsidTr="00DC6BA9">
        <w:tc>
          <w:tcPr>
            <w:tcW w:w="1133" w:type="dxa"/>
            <w:tcBorders>
              <w:top w:val="nil"/>
              <w:left w:val="nil"/>
              <w:bottom w:val="nil"/>
              <w:right w:val="nil"/>
            </w:tcBorders>
            <w:vAlign w:val="bottom"/>
          </w:tcPr>
          <w:p w14:paraId="4C3AC93B" w14:textId="77777777" w:rsidR="00E20A30" w:rsidRPr="003009E2" w:rsidRDefault="00E20A30" w:rsidP="00E20A30">
            <w:pPr>
              <w:pStyle w:val="-7"/>
              <w:spacing w:before="20"/>
              <w:jc w:val="left"/>
              <w:rPr>
                <w:color w:val="FF0000"/>
                <w:sz w:val="14"/>
                <w:szCs w:val="14"/>
                <w:rtl/>
              </w:rPr>
            </w:pPr>
          </w:p>
        </w:tc>
        <w:tc>
          <w:tcPr>
            <w:tcW w:w="3866" w:type="dxa"/>
            <w:gridSpan w:val="2"/>
            <w:tcBorders>
              <w:top w:val="nil"/>
              <w:left w:val="nil"/>
              <w:bottom w:val="nil"/>
              <w:right w:val="nil"/>
            </w:tcBorders>
            <w:vAlign w:val="bottom"/>
          </w:tcPr>
          <w:p w14:paraId="0646B261" w14:textId="77777777" w:rsidR="00E20A30" w:rsidRDefault="00E20A30" w:rsidP="00E20A30">
            <w:pPr>
              <w:pStyle w:val="-21"/>
              <w:spacing w:before="20"/>
              <w:rPr>
                <w:rtl/>
              </w:rPr>
            </w:pPr>
            <w:r w:rsidRPr="00A17355">
              <w:rPr>
                <w:rtl/>
              </w:rPr>
              <w:t xml:space="preserve">דיבידנד ששולם לבעלי מניות חיצוניים בחברות </w:t>
            </w:r>
            <w:r>
              <w:rPr>
                <w:rFonts w:hint="cs"/>
                <w:rtl/>
              </w:rPr>
              <w:t>מאוחדות</w:t>
            </w:r>
          </w:p>
        </w:tc>
        <w:tc>
          <w:tcPr>
            <w:tcW w:w="284" w:type="dxa"/>
            <w:tcBorders>
              <w:top w:val="nil"/>
              <w:left w:val="nil"/>
              <w:bottom w:val="nil"/>
              <w:right w:val="nil"/>
            </w:tcBorders>
            <w:tcMar>
              <w:left w:w="58" w:type="dxa"/>
              <w:right w:w="58" w:type="dxa"/>
            </w:tcMar>
          </w:tcPr>
          <w:p w14:paraId="6135F3D3"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6DD7D585"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0C27306D"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567988A8"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0F7C84AD"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36FAAD0D" w14:textId="77777777" w:rsidR="00E20A30" w:rsidRDefault="00E20A30" w:rsidP="00E20A30">
            <w:pPr>
              <w:pStyle w:val="-7"/>
              <w:spacing w:before="20"/>
              <w:rPr>
                <w:rtl/>
              </w:rPr>
            </w:pPr>
            <w:r>
              <w:rPr>
                <w:rFonts w:hint="cs"/>
                <w:rtl/>
              </w:rPr>
              <w:t xml:space="preserve"> 0</w:t>
            </w:r>
          </w:p>
        </w:tc>
      </w:tr>
      <w:tr w:rsidR="00E20A30" w:rsidRPr="00543C25" w14:paraId="2C23766C" w14:textId="77777777" w:rsidTr="00DC6BA9">
        <w:tc>
          <w:tcPr>
            <w:tcW w:w="1133" w:type="dxa"/>
            <w:tcBorders>
              <w:top w:val="nil"/>
              <w:left w:val="nil"/>
              <w:bottom w:val="nil"/>
              <w:right w:val="nil"/>
            </w:tcBorders>
            <w:vAlign w:val="bottom"/>
          </w:tcPr>
          <w:p w14:paraId="6FC5C8F5" w14:textId="77777777" w:rsidR="00E20A30" w:rsidRPr="003009E2" w:rsidRDefault="00E20A30" w:rsidP="00E20A30">
            <w:pPr>
              <w:pStyle w:val="-7"/>
              <w:spacing w:before="20"/>
              <w:jc w:val="left"/>
              <w:rPr>
                <w:color w:val="FF0000"/>
                <w:sz w:val="14"/>
                <w:szCs w:val="14"/>
                <w:rtl/>
              </w:rPr>
            </w:pPr>
          </w:p>
        </w:tc>
        <w:tc>
          <w:tcPr>
            <w:tcW w:w="3866" w:type="dxa"/>
            <w:gridSpan w:val="2"/>
            <w:tcBorders>
              <w:top w:val="nil"/>
              <w:left w:val="nil"/>
              <w:bottom w:val="nil"/>
              <w:right w:val="nil"/>
            </w:tcBorders>
            <w:vAlign w:val="bottom"/>
          </w:tcPr>
          <w:p w14:paraId="11BB5C23" w14:textId="77777777" w:rsidR="00E20A30" w:rsidRDefault="003D5688" w:rsidP="00E20A30">
            <w:pPr>
              <w:pStyle w:val="-0"/>
              <w:spacing w:before="20"/>
              <w:rPr>
                <w:rtl/>
              </w:rPr>
            </w:pPr>
            <w:r>
              <w:rPr>
                <w:rFonts w:hint="cs"/>
                <w:rtl/>
              </w:rPr>
              <w:t>תמורה מ</w:t>
            </w:r>
            <w:r w:rsidR="00E20A30" w:rsidRPr="00A17355">
              <w:rPr>
                <w:rFonts w:hint="cs"/>
                <w:rtl/>
              </w:rPr>
              <w:t>מימוש</w:t>
            </w:r>
            <w:r w:rsidR="00E20A30" w:rsidRPr="005E583B">
              <w:rPr>
                <w:rFonts w:hint="cs"/>
                <w:rtl/>
              </w:rPr>
              <w:t xml:space="preserve"> </w:t>
            </w:r>
            <w:r w:rsidR="00E20A30" w:rsidRPr="00A17355">
              <w:rPr>
                <w:rFonts w:hint="cs"/>
                <w:rtl/>
              </w:rPr>
              <w:t>אופציות לעובדים</w:t>
            </w:r>
          </w:p>
        </w:tc>
        <w:tc>
          <w:tcPr>
            <w:tcW w:w="284" w:type="dxa"/>
            <w:tcBorders>
              <w:top w:val="nil"/>
              <w:left w:val="nil"/>
              <w:bottom w:val="nil"/>
              <w:right w:val="nil"/>
            </w:tcBorders>
            <w:tcMar>
              <w:left w:w="58" w:type="dxa"/>
              <w:right w:w="58" w:type="dxa"/>
            </w:tcMar>
          </w:tcPr>
          <w:p w14:paraId="5BCA6B60"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7F8638B5"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5B3A7B1A"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6D917E51"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01A7DC85"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1FC38DCB" w14:textId="77777777" w:rsidR="00E20A30" w:rsidRDefault="00E20A30" w:rsidP="00E20A30">
            <w:pPr>
              <w:pStyle w:val="-7"/>
              <w:spacing w:before="20"/>
              <w:rPr>
                <w:rtl/>
              </w:rPr>
            </w:pPr>
            <w:r>
              <w:rPr>
                <w:rFonts w:hint="cs"/>
                <w:rtl/>
              </w:rPr>
              <w:t xml:space="preserve"> 0</w:t>
            </w:r>
          </w:p>
        </w:tc>
      </w:tr>
      <w:tr w:rsidR="00E20A30" w:rsidRPr="00543C25" w14:paraId="29E1CA81" w14:textId="77777777" w:rsidTr="00DC6BA9">
        <w:tc>
          <w:tcPr>
            <w:tcW w:w="1133" w:type="dxa"/>
            <w:tcBorders>
              <w:top w:val="nil"/>
              <w:left w:val="nil"/>
              <w:bottom w:val="nil"/>
              <w:right w:val="nil"/>
            </w:tcBorders>
            <w:vAlign w:val="center"/>
          </w:tcPr>
          <w:p w14:paraId="6782CBC3" w14:textId="77777777" w:rsidR="00E20A30" w:rsidRPr="003009E2" w:rsidRDefault="00E20A30" w:rsidP="00E20A30">
            <w:pPr>
              <w:pStyle w:val="-fa"/>
              <w:spacing w:before="20"/>
              <w:ind w:right="0"/>
              <w:rPr>
                <w:color w:val="FF0000"/>
                <w:rtl/>
              </w:rPr>
            </w:pPr>
          </w:p>
        </w:tc>
        <w:tc>
          <w:tcPr>
            <w:tcW w:w="3866" w:type="dxa"/>
            <w:gridSpan w:val="2"/>
            <w:tcBorders>
              <w:top w:val="nil"/>
              <w:left w:val="nil"/>
              <w:bottom w:val="nil"/>
              <w:right w:val="nil"/>
            </w:tcBorders>
            <w:vAlign w:val="bottom"/>
          </w:tcPr>
          <w:p w14:paraId="1FCFD4B7" w14:textId="77777777" w:rsidR="00E20A30" w:rsidRDefault="00E20A30" w:rsidP="00E20A30">
            <w:pPr>
              <w:pStyle w:val="-0"/>
              <w:spacing w:before="20"/>
              <w:rPr>
                <w:rtl/>
              </w:rPr>
            </w:pPr>
            <w:r w:rsidRPr="00A17355">
              <w:rPr>
                <w:rFonts w:hint="cs"/>
                <w:rtl/>
              </w:rPr>
              <w:t>פ</w:t>
            </w:r>
            <w:r>
              <w:rPr>
                <w:rFonts w:hint="cs"/>
                <w:rtl/>
              </w:rPr>
              <w:t>י</w:t>
            </w:r>
            <w:r w:rsidRPr="00A17355">
              <w:rPr>
                <w:rFonts w:hint="cs"/>
                <w:rtl/>
              </w:rPr>
              <w:t>רעון תשלומים בחכירה מימונית</w:t>
            </w:r>
          </w:p>
        </w:tc>
        <w:tc>
          <w:tcPr>
            <w:tcW w:w="284" w:type="dxa"/>
            <w:tcBorders>
              <w:top w:val="nil"/>
              <w:left w:val="nil"/>
              <w:bottom w:val="nil"/>
              <w:right w:val="nil"/>
            </w:tcBorders>
            <w:tcMar>
              <w:left w:w="58" w:type="dxa"/>
              <w:right w:w="58" w:type="dxa"/>
            </w:tcMar>
          </w:tcPr>
          <w:p w14:paraId="03203C9D"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06C1F522"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59E5BF44"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5DE78116"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15502168"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3E1E4249" w14:textId="77777777" w:rsidR="00E20A30" w:rsidRDefault="00E20A30" w:rsidP="00E20A30">
            <w:pPr>
              <w:pStyle w:val="-7"/>
              <w:spacing w:before="20"/>
              <w:rPr>
                <w:rtl/>
              </w:rPr>
            </w:pPr>
            <w:r>
              <w:rPr>
                <w:rFonts w:hint="cs"/>
                <w:rtl/>
              </w:rPr>
              <w:t xml:space="preserve"> 0</w:t>
            </w:r>
          </w:p>
        </w:tc>
      </w:tr>
      <w:tr w:rsidR="00E20A30" w:rsidRPr="00543C25" w14:paraId="49969E58" w14:textId="77777777" w:rsidTr="00DC6BA9">
        <w:tc>
          <w:tcPr>
            <w:tcW w:w="1133" w:type="dxa"/>
            <w:tcBorders>
              <w:top w:val="nil"/>
              <w:left w:val="nil"/>
              <w:bottom w:val="nil"/>
              <w:right w:val="nil"/>
            </w:tcBorders>
            <w:vAlign w:val="center"/>
          </w:tcPr>
          <w:p w14:paraId="5622847D" w14:textId="77777777" w:rsidR="00E20A30" w:rsidRDefault="00E20A30" w:rsidP="00E20A30">
            <w:pPr>
              <w:pStyle w:val="-fa"/>
              <w:spacing w:before="20"/>
              <w:ind w:right="0"/>
              <w:rPr>
                <w:rtl/>
              </w:rPr>
            </w:pPr>
          </w:p>
        </w:tc>
        <w:tc>
          <w:tcPr>
            <w:tcW w:w="3866" w:type="dxa"/>
            <w:gridSpan w:val="2"/>
            <w:tcBorders>
              <w:top w:val="nil"/>
              <w:left w:val="nil"/>
              <w:bottom w:val="nil"/>
              <w:right w:val="nil"/>
            </w:tcBorders>
            <w:vAlign w:val="bottom"/>
          </w:tcPr>
          <w:p w14:paraId="05419026" w14:textId="77777777" w:rsidR="00E20A30" w:rsidRPr="00523FC2" w:rsidRDefault="00E20A30" w:rsidP="00E20A30">
            <w:pPr>
              <w:pStyle w:val="-0"/>
              <w:spacing w:before="20"/>
              <w:rPr>
                <w:rtl/>
              </w:rPr>
            </w:pPr>
            <w:r w:rsidRPr="00523FC2">
              <w:rPr>
                <w:rFonts w:hint="cs"/>
                <w:rtl/>
              </w:rPr>
              <w:t xml:space="preserve">אחר </w:t>
            </w:r>
            <w:r w:rsidRPr="00523FC2">
              <w:rPr>
                <w:rtl/>
              </w:rPr>
              <w:t>[</w:t>
            </w:r>
            <w:r w:rsidRPr="00523FC2">
              <w:rPr>
                <w:rFonts w:hint="cs"/>
                <w:rtl/>
              </w:rPr>
              <w:t>פרט אם מהותי</w:t>
            </w:r>
            <w:r w:rsidRPr="00523FC2">
              <w:rPr>
                <w:rtl/>
              </w:rPr>
              <w:t>]</w:t>
            </w:r>
          </w:p>
        </w:tc>
        <w:tc>
          <w:tcPr>
            <w:tcW w:w="284" w:type="dxa"/>
            <w:tcBorders>
              <w:top w:val="nil"/>
              <w:left w:val="nil"/>
              <w:bottom w:val="nil"/>
              <w:right w:val="nil"/>
            </w:tcBorders>
            <w:tcMar>
              <w:left w:w="58" w:type="dxa"/>
              <w:right w:w="58" w:type="dxa"/>
            </w:tcMar>
          </w:tcPr>
          <w:p w14:paraId="3F43A206"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20AB9E11" w14:textId="77777777" w:rsidR="00E20A30" w:rsidRDefault="00E20A30" w:rsidP="00E20A30">
            <w:pPr>
              <w:pStyle w:val="-7"/>
              <w:pBdr>
                <w:bottom w:val="single" w:sz="4" w:space="1" w:color="auto"/>
              </w:pBdr>
              <w:spacing w:before="20"/>
              <w:rPr>
                <w:rtl/>
              </w:rPr>
            </w:pPr>
            <w:r>
              <w:rPr>
                <w:rFonts w:hint="cs"/>
                <w:rtl/>
              </w:rPr>
              <w:t xml:space="preserve"> 0</w:t>
            </w:r>
          </w:p>
        </w:tc>
        <w:tc>
          <w:tcPr>
            <w:tcW w:w="841" w:type="dxa"/>
            <w:gridSpan w:val="2"/>
            <w:tcBorders>
              <w:top w:val="nil"/>
              <w:left w:val="nil"/>
              <w:bottom w:val="nil"/>
              <w:right w:val="nil"/>
            </w:tcBorders>
            <w:vAlign w:val="bottom"/>
          </w:tcPr>
          <w:p w14:paraId="72DBBC80" w14:textId="77777777" w:rsidR="00E20A30" w:rsidRDefault="00E20A30" w:rsidP="00E20A30">
            <w:pPr>
              <w:pStyle w:val="-7"/>
              <w:pBdr>
                <w:bottom w:val="single" w:sz="4" w:space="1" w:color="auto"/>
              </w:pBdr>
              <w:spacing w:before="20"/>
              <w:rPr>
                <w:rtl/>
              </w:rPr>
            </w:pPr>
            <w:r>
              <w:rPr>
                <w:rFonts w:hint="cs"/>
                <w:rtl/>
              </w:rPr>
              <w:t xml:space="preserve"> 0</w:t>
            </w:r>
          </w:p>
        </w:tc>
        <w:tc>
          <w:tcPr>
            <w:tcW w:w="841" w:type="dxa"/>
            <w:gridSpan w:val="2"/>
            <w:tcBorders>
              <w:top w:val="nil"/>
              <w:left w:val="nil"/>
              <w:bottom w:val="nil"/>
              <w:right w:val="nil"/>
            </w:tcBorders>
            <w:vAlign w:val="bottom"/>
          </w:tcPr>
          <w:p w14:paraId="72DB81E5" w14:textId="77777777" w:rsidR="00E20A30" w:rsidRDefault="00E20A30" w:rsidP="00E20A30">
            <w:pPr>
              <w:pStyle w:val="-7"/>
              <w:pBdr>
                <w:bottom w:val="single" w:sz="4" w:space="1" w:color="auto"/>
              </w:pBdr>
              <w:spacing w:before="20"/>
              <w:rPr>
                <w:rtl/>
              </w:rPr>
            </w:pPr>
            <w:r>
              <w:rPr>
                <w:rFonts w:hint="cs"/>
                <w:rtl/>
              </w:rPr>
              <w:t xml:space="preserve"> 0</w:t>
            </w:r>
          </w:p>
        </w:tc>
        <w:tc>
          <w:tcPr>
            <w:tcW w:w="841" w:type="dxa"/>
            <w:gridSpan w:val="2"/>
            <w:tcBorders>
              <w:top w:val="nil"/>
              <w:left w:val="nil"/>
              <w:bottom w:val="nil"/>
              <w:right w:val="nil"/>
            </w:tcBorders>
            <w:vAlign w:val="bottom"/>
          </w:tcPr>
          <w:p w14:paraId="6A1310B8" w14:textId="77777777" w:rsidR="00E20A30" w:rsidRDefault="00E20A30" w:rsidP="00E20A30">
            <w:pPr>
              <w:pStyle w:val="-7"/>
              <w:pBdr>
                <w:bottom w:val="single" w:sz="4" w:space="1" w:color="auto"/>
              </w:pBdr>
              <w:spacing w:before="20"/>
              <w:rPr>
                <w:rtl/>
              </w:rPr>
            </w:pPr>
            <w:r>
              <w:rPr>
                <w:rFonts w:hint="cs"/>
                <w:rtl/>
              </w:rPr>
              <w:t xml:space="preserve"> 0</w:t>
            </w:r>
          </w:p>
        </w:tc>
        <w:tc>
          <w:tcPr>
            <w:tcW w:w="1420" w:type="dxa"/>
            <w:gridSpan w:val="2"/>
            <w:tcBorders>
              <w:top w:val="nil"/>
              <w:left w:val="nil"/>
              <w:bottom w:val="nil"/>
              <w:right w:val="nil"/>
            </w:tcBorders>
            <w:vAlign w:val="bottom"/>
          </w:tcPr>
          <w:p w14:paraId="78755DA6" w14:textId="77777777" w:rsidR="00E20A30" w:rsidRDefault="00E20A30" w:rsidP="00E20A30">
            <w:pPr>
              <w:pStyle w:val="-7"/>
              <w:pBdr>
                <w:bottom w:val="single" w:sz="4" w:space="1" w:color="auto"/>
              </w:pBdr>
              <w:spacing w:before="20"/>
              <w:rPr>
                <w:rtl/>
              </w:rPr>
            </w:pPr>
            <w:r>
              <w:rPr>
                <w:rFonts w:hint="cs"/>
                <w:rtl/>
              </w:rPr>
              <w:t xml:space="preserve"> 0</w:t>
            </w:r>
          </w:p>
        </w:tc>
      </w:tr>
      <w:tr w:rsidR="00E20A30" w:rsidRPr="00543C25" w14:paraId="3F3611EA" w14:textId="77777777" w:rsidTr="00DC6BA9">
        <w:tc>
          <w:tcPr>
            <w:tcW w:w="1133" w:type="dxa"/>
            <w:tcBorders>
              <w:top w:val="nil"/>
              <w:left w:val="nil"/>
              <w:bottom w:val="nil"/>
              <w:right w:val="nil"/>
            </w:tcBorders>
          </w:tcPr>
          <w:p w14:paraId="32456552" w14:textId="77777777" w:rsidR="00E20A30" w:rsidRDefault="00E20A30" w:rsidP="00E20A30">
            <w:pPr>
              <w:pStyle w:val="-7"/>
              <w:bidi w:val="0"/>
              <w:spacing w:line="60" w:lineRule="exact"/>
              <w:rPr>
                <w:rtl/>
              </w:rPr>
            </w:pPr>
          </w:p>
        </w:tc>
        <w:tc>
          <w:tcPr>
            <w:tcW w:w="3866" w:type="dxa"/>
            <w:gridSpan w:val="2"/>
            <w:tcBorders>
              <w:top w:val="nil"/>
              <w:left w:val="nil"/>
              <w:bottom w:val="nil"/>
              <w:right w:val="nil"/>
            </w:tcBorders>
            <w:vAlign w:val="bottom"/>
          </w:tcPr>
          <w:p w14:paraId="2B4CBBFA" w14:textId="77777777" w:rsidR="00E20A30" w:rsidRDefault="00E20A30" w:rsidP="00E20A30">
            <w:pPr>
              <w:pStyle w:val="-7"/>
              <w:bidi w:val="0"/>
              <w:spacing w:line="60" w:lineRule="exact"/>
              <w:rPr>
                <w:sz w:val="18"/>
                <w:szCs w:val="18"/>
                <w:rtl/>
              </w:rPr>
            </w:pPr>
          </w:p>
        </w:tc>
        <w:tc>
          <w:tcPr>
            <w:tcW w:w="284" w:type="dxa"/>
            <w:tcBorders>
              <w:top w:val="nil"/>
              <w:left w:val="nil"/>
              <w:bottom w:val="nil"/>
              <w:right w:val="nil"/>
            </w:tcBorders>
            <w:tcMar>
              <w:left w:w="58" w:type="dxa"/>
              <w:right w:w="58" w:type="dxa"/>
            </w:tcMar>
          </w:tcPr>
          <w:p w14:paraId="39D440B6" w14:textId="77777777" w:rsidR="00E20A30" w:rsidRDefault="00E20A30" w:rsidP="00E20A30">
            <w:pPr>
              <w:pStyle w:val="-7"/>
              <w:bidi w:val="0"/>
              <w:spacing w:line="60" w:lineRule="exact"/>
              <w:rPr>
                <w:rtl/>
              </w:rPr>
            </w:pPr>
          </w:p>
        </w:tc>
        <w:tc>
          <w:tcPr>
            <w:tcW w:w="841" w:type="dxa"/>
            <w:gridSpan w:val="2"/>
            <w:tcBorders>
              <w:top w:val="nil"/>
              <w:left w:val="nil"/>
              <w:bottom w:val="nil"/>
              <w:right w:val="nil"/>
            </w:tcBorders>
            <w:vAlign w:val="bottom"/>
          </w:tcPr>
          <w:p w14:paraId="1EC34642" w14:textId="77777777" w:rsidR="00E20A30" w:rsidRDefault="00E20A30" w:rsidP="00E20A30">
            <w:pPr>
              <w:pStyle w:val="-7"/>
              <w:bidi w:val="0"/>
              <w:spacing w:line="60" w:lineRule="exact"/>
              <w:rPr>
                <w:rtl/>
              </w:rPr>
            </w:pPr>
          </w:p>
        </w:tc>
        <w:tc>
          <w:tcPr>
            <w:tcW w:w="841" w:type="dxa"/>
            <w:gridSpan w:val="2"/>
            <w:tcBorders>
              <w:top w:val="nil"/>
              <w:left w:val="nil"/>
              <w:bottom w:val="nil"/>
              <w:right w:val="nil"/>
            </w:tcBorders>
            <w:vAlign w:val="bottom"/>
          </w:tcPr>
          <w:p w14:paraId="446B1809" w14:textId="77777777" w:rsidR="00E20A30" w:rsidRDefault="00E20A30" w:rsidP="00E20A30">
            <w:pPr>
              <w:pStyle w:val="-7"/>
              <w:bidi w:val="0"/>
              <w:spacing w:line="60" w:lineRule="exact"/>
              <w:rPr>
                <w:rtl/>
              </w:rPr>
            </w:pPr>
          </w:p>
        </w:tc>
        <w:tc>
          <w:tcPr>
            <w:tcW w:w="841" w:type="dxa"/>
            <w:gridSpan w:val="2"/>
            <w:tcBorders>
              <w:top w:val="nil"/>
              <w:left w:val="nil"/>
              <w:bottom w:val="nil"/>
              <w:right w:val="nil"/>
            </w:tcBorders>
            <w:vAlign w:val="bottom"/>
          </w:tcPr>
          <w:p w14:paraId="5B85E4BD" w14:textId="77777777" w:rsidR="00E20A30" w:rsidRDefault="00E20A30" w:rsidP="00E20A30">
            <w:pPr>
              <w:pStyle w:val="-7"/>
              <w:bidi w:val="0"/>
              <w:spacing w:line="60" w:lineRule="exact"/>
              <w:rPr>
                <w:rtl/>
              </w:rPr>
            </w:pPr>
          </w:p>
        </w:tc>
        <w:tc>
          <w:tcPr>
            <w:tcW w:w="841" w:type="dxa"/>
            <w:gridSpan w:val="2"/>
            <w:tcBorders>
              <w:top w:val="nil"/>
              <w:left w:val="nil"/>
              <w:bottom w:val="nil"/>
              <w:right w:val="nil"/>
            </w:tcBorders>
            <w:vAlign w:val="bottom"/>
          </w:tcPr>
          <w:p w14:paraId="3AA50DD6" w14:textId="77777777" w:rsidR="00E20A30" w:rsidRDefault="00E20A30" w:rsidP="00E20A30">
            <w:pPr>
              <w:pStyle w:val="-7"/>
              <w:bidi w:val="0"/>
              <w:spacing w:line="60" w:lineRule="exact"/>
              <w:rPr>
                <w:rtl/>
              </w:rPr>
            </w:pPr>
          </w:p>
        </w:tc>
        <w:tc>
          <w:tcPr>
            <w:tcW w:w="1420" w:type="dxa"/>
            <w:gridSpan w:val="2"/>
            <w:tcBorders>
              <w:top w:val="nil"/>
              <w:left w:val="nil"/>
              <w:bottom w:val="nil"/>
              <w:right w:val="nil"/>
            </w:tcBorders>
            <w:vAlign w:val="bottom"/>
          </w:tcPr>
          <w:p w14:paraId="6910A926" w14:textId="77777777" w:rsidR="00E20A30" w:rsidRDefault="00E20A30" w:rsidP="00E20A30">
            <w:pPr>
              <w:pStyle w:val="-7"/>
              <w:bidi w:val="0"/>
              <w:spacing w:line="60" w:lineRule="exact"/>
              <w:rPr>
                <w:rtl/>
              </w:rPr>
            </w:pPr>
          </w:p>
        </w:tc>
      </w:tr>
      <w:tr w:rsidR="00E20A30" w:rsidRPr="00543C25" w14:paraId="47E89E93" w14:textId="77777777" w:rsidTr="00DC6BA9">
        <w:tc>
          <w:tcPr>
            <w:tcW w:w="1133" w:type="dxa"/>
            <w:tcBorders>
              <w:top w:val="nil"/>
              <w:left w:val="nil"/>
              <w:bottom w:val="nil"/>
              <w:right w:val="nil"/>
            </w:tcBorders>
          </w:tcPr>
          <w:p w14:paraId="185A0232" w14:textId="77777777" w:rsidR="00E20A30" w:rsidRPr="009062C2" w:rsidRDefault="00E20A30" w:rsidP="00E20A30">
            <w:pPr>
              <w:pStyle w:val="-7"/>
              <w:rPr>
                <w:rtl/>
              </w:rPr>
            </w:pPr>
          </w:p>
        </w:tc>
        <w:tc>
          <w:tcPr>
            <w:tcW w:w="3866" w:type="dxa"/>
            <w:gridSpan w:val="2"/>
            <w:tcBorders>
              <w:top w:val="nil"/>
              <w:left w:val="nil"/>
              <w:bottom w:val="nil"/>
              <w:right w:val="nil"/>
            </w:tcBorders>
            <w:vAlign w:val="bottom"/>
          </w:tcPr>
          <w:p w14:paraId="5012F6E1" w14:textId="77777777" w:rsidR="00E20A30" w:rsidRPr="00B13BCE" w:rsidRDefault="00E20A30" w:rsidP="00E20A30">
            <w:pPr>
              <w:pStyle w:val="-b"/>
              <w:rPr>
                <w:rtl/>
              </w:rPr>
            </w:pPr>
            <w:r w:rsidRPr="00B13BCE">
              <w:rPr>
                <w:rFonts w:hint="cs"/>
                <w:rtl/>
              </w:rPr>
              <w:t>מזומנים נטו מפעילות</w:t>
            </w:r>
            <w:r>
              <w:rPr>
                <w:rFonts w:hint="cs"/>
                <w:rtl/>
              </w:rPr>
              <w:t xml:space="preserve"> (לפעילות)</w:t>
            </w:r>
            <w:r w:rsidRPr="00B13BCE">
              <w:rPr>
                <w:rFonts w:hint="cs"/>
                <w:rtl/>
              </w:rPr>
              <w:t xml:space="preserve"> </w:t>
            </w:r>
            <w:r>
              <w:rPr>
                <w:rFonts w:hint="cs"/>
                <w:rtl/>
              </w:rPr>
              <w:t>מימון</w:t>
            </w:r>
          </w:p>
        </w:tc>
        <w:tc>
          <w:tcPr>
            <w:tcW w:w="284" w:type="dxa"/>
            <w:tcBorders>
              <w:top w:val="nil"/>
              <w:left w:val="nil"/>
              <w:bottom w:val="nil"/>
              <w:right w:val="nil"/>
            </w:tcBorders>
            <w:tcMar>
              <w:left w:w="58" w:type="dxa"/>
              <w:right w:w="58" w:type="dxa"/>
            </w:tcMar>
          </w:tcPr>
          <w:p w14:paraId="0295F0DB" w14:textId="77777777" w:rsidR="00E20A30" w:rsidRPr="009062C2" w:rsidRDefault="00E20A30" w:rsidP="00E20A30">
            <w:pPr>
              <w:pStyle w:val="-7"/>
              <w:rPr>
                <w:rtl/>
              </w:rPr>
            </w:pPr>
          </w:p>
        </w:tc>
        <w:tc>
          <w:tcPr>
            <w:tcW w:w="841" w:type="dxa"/>
            <w:gridSpan w:val="2"/>
            <w:tcBorders>
              <w:top w:val="nil"/>
              <w:left w:val="nil"/>
              <w:bottom w:val="nil"/>
              <w:right w:val="nil"/>
            </w:tcBorders>
            <w:vAlign w:val="bottom"/>
          </w:tcPr>
          <w:p w14:paraId="4D45B03D" w14:textId="77777777" w:rsidR="00E20A30" w:rsidRDefault="00E20A30" w:rsidP="00E20A30">
            <w:pPr>
              <w:pStyle w:val="-f1"/>
              <w:pBdr>
                <w:top w:val="none" w:sz="0" w:space="0" w:color="auto"/>
                <w:bottom w:val="double" w:sz="4" w:space="1" w:color="auto"/>
              </w:pBdr>
              <w:rPr>
                <w:rtl/>
              </w:rPr>
            </w:pPr>
            <w:r>
              <w:rPr>
                <w:rFonts w:hint="cs"/>
                <w:rtl/>
              </w:rPr>
              <w:t xml:space="preserve"> </w:t>
            </w:r>
            <w:r w:rsidRPr="00543C25">
              <w:rPr>
                <w:rtl/>
              </w:rPr>
              <w:t>0</w:t>
            </w:r>
          </w:p>
        </w:tc>
        <w:tc>
          <w:tcPr>
            <w:tcW w:w="841" w:type="dxa"/>
            <w:gridSpan w:val="2"/>
            <w:tcBorders>
              <w:top w:val="nil"/>
              <w:left w:val="nil"/>
              <w:bottom w:val="nil"/>
              <w:right w:val="nil"/>
            </w:tcBorders>
            <w:vAlign w:val="bottom"/>
          </w:tcPr>
          <w:p w14:paraId="0586F439" w14:textId="77777777" w:rsidR="00E20A30" w:rsidRDefault="00E20A30" w:rsidP="00E20A30">
            <w:pPr>
              <w:pStyle w:val="-f1"/>
              <w:pBdr>
                <w:top w:val="none" w:sz="0" w:space="0" w:color="auto"/>
                <w:bottom w:val="double" w:sz="4" w:space="1" w:color="auto"/>
              </w:pBdr>
              <w:rPr>
                <w:rtl/>
              </w:rPr>
            </w:pPr>
            <w:r>
              <w:rPr>
                <w:rFonts w:hint="cs"/>
                <w:rtl/>
              </w:rPr>
              <w:t xml:space="preserve"> </w:t>
            </w:r>
            <w:r w:rsidRPr="00543C25">
              <w:rPr>
                <w:rtl/>
              </w:rPr>
              <w:t>0</w:t>
            </w:r>
          </w:p>
        </w:tc>
        <w:tc>
          <w:tcPr>
            <w:tcW w:w="841" w:type="dxa"/>
            <w:gridSpan w:val="2"/>
            <w:tcBorders>
              <w:top w:val="nil"/>
              <w:left w:val="nil"/>
              <w:bottom w:val="nil"/>
              <w:right w:val="nil"/>
            </w:tcBorders>
            <w:vAlign w:val="bottom"/>
          </w:tcPr>
          <w:p w14:paraId="2553F3F1" w14:textId="77777777" w:rsidR="00E20A30" w:rsidRDefault="00E20A30" w:rsidP="00E20A30">
            <w:pPr>
              <w:pStyle w:val="-f1"/>
              <w:pBdr>
                <w:top w:val="none" w:sz="0" w:space="0" w:color="auto"/>
                <w:bottom w:val="double" w:sz="4" w:space="1" w:color="auto"/>
              </w:pBdr>
              <w:rPr>
                <w:rtl/>
              </w:rPr>
            </w:pPr>
            <w:r>
              <w:rPr>
                <w:rFonts w:hint="cs"/>
                <w:rtl/>
              </w:rPr>
              <w:t xml:space="preserve"> </w:t>
            </w:r>
            <w:r w:rsidRPr="00543C25">
              <w:rPr>
                <w:rtl/>
              </w:rPr>
              <w:t>0</w:t>
            </w:r>
          </w:p>
        </w:tc>
        <w:tc>
          <w:tcPr>
            <w:tcW w:w="841" w:type="dxa"/>
            <w:gridSpan w:val="2"/>
            <w:tcBorders>
              <w:top w:val="nil"/>
              <w:left w:val="nil"/>
              <w:bottom w:val="nil"/>
              <w:right w:val="nil"/>
            </w:tcBorders>
            <w:vAlign w:val="bottom"/>
          </w:tcPr>
          <w:p w14:paraId="20C23819" w14:textId="77777777" w:rsidR="00E20A30" w:rsidRDefault="00E20A30" w:rsidP="00E20A30">
            <w:pPr>
              <w:pStyle w:val="-f1"/>
              <w:pBdr>
                <w:top w:val="none" w:sz="0" w:space="0" w:color="auto"/>
                <w:bottom w:val="double" w:sz="4" w:space="1" w:color="auto"/>
              </w:pBdr>
              <w:rPr>
                <w:rtl/>
              </w:rPr>
            </w:pPr>
            <w:r>
              <w:rPr>
                <w:rFonts w:hint="cs"/>
                <w:rtl/>
              </w:rPr>
              <w:t xml:space="preserve"> </w:t>
            </w:r>
            <w:r w:rsidRPr="00543C25">
              <w:rPr>
                <w:rtl/>
              </w:rPr>
              <w:t>0</w:t>
            </w:r>
          </w:p>
        </w:tc>
        <w:tc>
          <w:tcPr>
            <w:tcW w:w="1420" w:type="dxa"/>
            <w:gridSpan w:val="2"/>
            <w:tcBorders>
              <w:top w:val="nil"/>
              <w:left w:val="nil"/>
              <w:bottom w:val="nil"/>
              <w:right w:val="nil"/>
            </w:tcBorders>
            <w:vAlign w:val="bottom"/>
          </w:tcPr>
          <w:p w14:paraId="55EEDEDD" w14:textId="77777777" w:rsidR="00E20A30" w:rsidRDefault="00E20A30" w:rsidP="00E20A30">
            <w:pPr>
              <w:pStyle w:val="-f1"/>
              <w:pBdr>
                <w:top w:val="none" w:sz="0" w:space="0" w:color="auto"/>
                <w:bottom w:val="double" w:sz="4" w:space="1" w:color="auto"/>
              </w:pBdr>
              <w:rPr>
                <w:rtl/>
              </w:rPr>
            </w:pPr>
            <w:r>
              <w:rPr>
                <w:rFonts w:hint="cs"/>
                <w:rtl/>
              </w:rPr>
              <w:t xml:space="preserve"> </w:t>
            </w:r>
            <w:r w:rsidRPr="00543C25">
              <w:rPr>
                <w:rtl/>
              </w:rPr>
              <w:t>0</w:t>
            </w:r>
          </w:p>
        </w:tc>
      </w:tr>
      <w:tr w:rsidR="00E20A30" w:rsidRPr="00543C25" w14:paraId="431D553A" w14:textId="77777777" w:rsidTr="00DC6BA9">
        <w:tc>
          <w:tcPr>
            <w:tcW w:w="1133" w:type="dxa"/>
            <w:tcBorders>
              <w:top w:val="nil"/>
              <w:left w:val="nil"/>
              <w:bottom w:val="nil"/>
              <w:right w:val="nil"/>
            </w:tcBorders>
          </w:tcPr>
          <w:p w14:paraId="42184285" w14:textId="77777777" w:rsidR="00E20A30" w:rsidRDefault="00E20A30" w:rsidP="00E20A30">
            <w:pPr>
              <w:pStyle w:val="-7"/>
              <w:spacing w:line="120" w:lineRule="exact"/>
              <w:rPr>
                <w:rtl/>
              </w:rPr>
            </w:pPr>
          </w:p>
        </w:tc>
        <w:tc>
          <w:tcPr>
            <w:tcW w:w="3866" w:type="dxa"/>
            <w:gridSpan w:val="2"/>
            <w:tcBorders>
              <w:top w:val="nil"/>
              <w:left w:val="nil"/>
              <w:bottom w:val="nil"/>
              <w:right w:val="nil"/>
            </w:tcBorders>
            <w:vAlign w:val="bottom"/>
          </w:tcPr>
          <w:p w14:paraId="37BCCF58" w14:textId="77777777" w:rsidR="00E20A30" w:rsidRDefault="00E20A30" w:rsidP="00E20A30">
            <w:pPr>
              <w:pStyle w:val="-7"/>
              <w:spacing w:line="120" w:lineRule="exact"/>
              <w:rPr>
                <w:sz w:val="18"/>
                <w:szCs w:val="18"/>
                <w:rtl/>
              </w:rPr>
            </w:pPr>
          </w:p>
        </w:tc>
        <w:tc>
          <w:tcPr>
            <w:tcW w:w="284" w:type="dxa"/>
            <w:tcBorders>
              <w:top w:val="nil"/>
              <w:left w:val="nil"/>
              <w:bottom w:val="nil"/>
              <w:right w:val="nil"/>
            </w:tcBorders>
            <w:tcMar>
              <w:left w:w="58" w:type="dxa"/>
              <w:right w:w="58" w:type="dxa"/>
            </w:tcMar>
          </w:tcPr>
          <w:p w14:paraId="616B3371" w14:textId="77777777" w:rsidR="00E20A30" w:rsidRDefault="00E20A30" w:rsidP="00E20A30">
            <w:pPr>
              <w:pStyle w:val="-7"/>
              <w:spacing w:line="120" w:lineRule="exact"/>
              <w:rPr>
                <w:rtl/>
              </w:rPr>
            </w:pPr>
          </w:p>
        </w:tc>
        <w:tc>
          <w:tcPr>
            <w:tcW w:w="841" w:type="dxa"/>
            <w:gridSpan w:val="2"/>
            <w:tcBorders>
              <w:top w:val="nil"/>
              <w:left w:val="nil"/>
              <w:bottom w:val="nil"/>
              <w:right w:val="nil"/>
            </w:tcBorders>
          </w:tcPr>
          <w:p w14:paraId="68A15309" w14:textId="77777777" w:rsidR="00E20A30" w:rsidRDefault="00E20A30" w:rsidP="00E20A30">
            <w:pPr>
              <w:pStyle w:val="-212"/>
              <w:pBdr>
                <w:top w:val="none" w:sz="0" w:space="0" w:color="auto"/>
              </w:pBdr>
              <w:spacing w:line="120" w:lineRule="exact"/>
              <w:rPr>
                <w:rtl/>
              </w:rPr>
            </w:pPr>
          </w:p>
        </w:tc>
        <w:tc>
          <w:tcPr>
            <w:tcW w:w="841" w:type="dxa"/>
            <w:gridSpan w:val="2"/>
            <w:tcBorders>
              <w:top w:val="nil"/>
              <w:left w:val="nil"/>
              <w:bottom w:val="nil"/>
              <w:right w:val="nil"/>
            </w:tcBorders>
          </w:tcPr>
          <w:p w14:paraId="0FFB6A12" w14:textId="77777777" w:rsidR="00E20A30" w:rsidRDefault="00E20A30" w:rsidP="00E20A30">
            <w:pPr>
              <w:pStyle w:val="-212"/>
              <w:pBdr>
                <w:top w:val="none" w:sz="0" w:space="0" w:color="auto"/>
              </w:pBdr>
              <w:spacing w:line="120" w:lineRule="exact"/>
              <w:rPr>
                <w:rtl/>
              </w:rPr>
            </w:pPr>
          </w:p>
        </w:tc>
        <w:tc>
          <w:tcPr>
            <w:tcW w:w="841" w:type="dxa"/>
            <w:gridSpan w:val="2"/>
            <w:tcBorders>
              <w:top w:val="nil"/>
              <w:left w:val="nil"/>
              <w:bottom w:val="nil"/>
              <w:right w:val="nil"/>
            </w:tcBorders>
          </w:tcPr>
          <w:p w14:paraId="3B20FA4C" w14:textId="77777777" w:rsidR="00E20A30" w:rsidRDefault="00E20A30" w:rsidP="00E20A30">
            <w:pPr>
              <w:pStyle w:val="-212"/>
              <w:pBdr>
                <w:top w:val="none" w:sz="0" w:space="0" w:color="auto"/>
              </w:pBdr>
              <w:spacing w:line="120" w:lineRule="exact"/>
              <w:rPr>
                <w:rtl/>
              </w:rPr>
            </w:pPr>
          </w:p>
        </w:tc>
        <w:tc>
          <w:tcPr>
            <w:tcW w:w="841" w:type="dxa"/>
            <w:gridSpan w:val="2"/>
            <w:tcBorders>
              <w:top w:val="nil"/>
              <w:left w:val="nil"/>
              <w:bottom w:val="nil"/>
              <w:right w:val="nil"/>
            </w:tcBorders>
          </w:tcPr>
          <w:p w14:paraId="7B2F1391" w14:textId="77777777" w:rsidR="00E20A30" w:rsidRDefault="00E20A30" w:rsidP="00E20A30">
            <w:pPr>
              <w:pStyle w:val="-212"/>
              <w:pBdr>
                <w:top w:val="none" w:sz="0" w:space="0" w:color="auto"/>
              </w:pBdr>
              <w:spacing w:line="120" w:lineRule="exact"/>
              <w:rPr>
                <w:rtl/>
              </w:rPr>
            </w:pPr>
          </w:p>
        </w:tc>
        <w:tc>
          <w:tcPr>
            <w:tcW w:w="1420" w:type="dxa"/>
            <w:gridSpan w:val="2"/>
            <w:tcBorders>
              <w:top w:val="nil"/>
              <w:left w:val="nil"/>
              <w:bottom w:val="nil"/>
              <w:right w:val="nil"/>
            </w:tcBorders>
          </w:tcPr>
          <w:p w14:paraId="580E9956" w14:textId="77777777" w:rsidR="00E20A30" w:rsidRDefault="00E20A30" w:rsidP="00E20A30">
            <w:pPr>
              <w:pStyle w:val="-212"/>
              <w:pBdr>
                <w:top w:val="none" w:sz="0" w:space="0" w:color="auto"/>
              </w:pBdr>
              <w:spacing w:line="120" w:lineRule="exact"/>
              <w:rPr>
                <w:rtl/>
              </w:rPr>
            </w:pPr>
          </w:p>
        </w:tc>
      </w:tr>
      <w:tr w:rsidR="00E20A30" w:rsidRPr="00543C25" w14:paraId="12AEF2B7" w14:textId="77777777" w:rsidTr="00DC6BA9">
        <w:tc>
          <w:tcPr>
            <w:tcW w:w="1133" w:type="dxa"/>
            <w:tcBorders>
              <w:top w:val="nil"/>
              <w:left w:val="nil"/>
              <w:bottom w:val="nil"/>
              <w:right w:val="nil"/>
            </w:tcBorders>
          </w:tcPr>
          <w:p w14:paraId="575B7BDE"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6BABDFC5" w14:textId="77777777" w:rsidR="00E20A30" w:rsidRDefault="00E20A30" w:rsidP="00E20A30">
            <w:pPr>
              <w:pStyle w:val="-b"/>
              <w:spacing w:before="20"/>
              <w:rPr>
                <w:rtl/>
              </w:rPr>
            </w:pPr>
            <w:r w:rsidRPr="00B13BCE">
              <w:rPr>
                <w:rtl/>
              </w:rPr>
              <w:t>גידול (קיטון) במזומנים</w:t>
            </w:r>
          </w:p>
        </w:tc>
        <w:tc>
          <w:tcPr>
            <w:tcW w:w="284" w:type="dxa"/>
            <w:tcBorders>
              <w:top w:val="nil"/>
              <w:left w:val="nil"/>
              <w:bottom w:val="nil"/>
              <w:right w:val="nil"/>
            </w:tcBorders>
            <w:tcMar>
              <w:left w:w="58" w:type="dxa"/>
              <w:right w:w="58" w:type="dxa"/>
            </w:tcMar>
          </w:tcPr>
          <w:p w14:paraId="3BB46687"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12CE1A7E" w14:textId="77777777" w:rsidR="00E20A30" w:rsidRDefault="00E20A30" w:rsidP="00E20A30">
            <w:pPr>
              <w:pStyle w:val="-7"/>
              <w:spacing w:before="20"/>
              <w:rPr>
                <w:b/>
                <w:bCs/>
                <w:rtl/>
              </w:rPr>
            </w:pPr>
            <w:r w:rsidRPr="00B13BCE">
              <w:rPr>
                <w:rFonts w:hint="cs"/>
                <w:b/>
                <w:bCs/>
                <w:rtl/>
              </w:rPr>
              <w:t xml:space="preserve"> 0</w:t>
            </w:r>
          </w:p>
        </w:tc>
        <w:tc>
          <w:tcPr>
            <w:tcW w:w="841" w:type="dxa"/>
            <w:gridSpan w:val="2"/>
            <w:tcBorders>
              <w:top w:val="nil"/>
              <w:left w:val="nil"/>
              <w:bottom w:val="nil"/>
              <w:right w:val="nil"/>
            </w:tcBorders>
            <w:vAlign w:val="bottom"/>
          </w:tcPr>
          <w:p w14:paraId="07DB1843" w14:textId="77777777" w:rsidR="00E20A30" w:rsidRDefault="00E20A30" w:rsidP="00E20A30">
            <w:pPr>
              <w:pStyle w:val="-7"/>
              <w:spacing w:before="20"/>
              <w:rPr>
                <w:b/>
                <w:bCs/>
                <w:rtl/>
              </w:rPr>
            </w:pPr>
            <w:r w:rsidRPr="00B13BCE">
              <w:rPr>
                <w:rFonts w:hint="cs"/>
                <w:b/>
                <w:bCs/>
                <w:rtl/>
              </w:rPr>
              <w:t xml:space="preserve"> 0</w:t>
            </w:r>
          </w:p>
        </w:tc>
        <w:tc>
          <w:tcPr>
            <w:tcW w:w="841" w:type="dxa"/>
            <w:gridSpan w:val="2"/>
            <w:tcBorders>
              <w:top w:val="nil"/>
              <w:left w:val="nil"/>
              <w:bottom w:val="nil"/>
              <w:right w:val="nil"/>
            </w:tcBorders>
            <w:vAlign w:val="bottom"/>
          </w:tcPr>
          <w:p w14:paraId="7B3E7690" w14:textId="77777777" w:rsidR="00E20A30" w:rsidRDefault="00E20A30" w:rsidP="00E20A30">
            <w:pPr>
              <w:pStyle w:val="-7"/>
              <w:spacing w:before="20"/>
              <w:rPr>
                <w:b/>
                <w:bCs/>
                <w:rtl/>
              </w:rPr>
            </w:pPr>
            <w:r w:rsidRPr="00B13BCE">
              <w:rPr>
                <w:rFonts w:hint="cs"/>
                <w:b/>
                <w:bCs/>
                <w:rtl/>
              </w:rPr>
              <w:t xml:space="preserve"> 0</w:t>
            </w:r>
          </w:p>
        </w:tc>
        <w:tc>
          <w:tcPr>
            <w:tcW w:w="841" w:type="dxa"/>
            <w:gridSpan w:val="2"/>
            <w:tcBorders>
              <w:top w:val="nil"/>
              <w:left w:val="nil"/>
              <w:bottom w:val="nil"/>
              <w:right w:val="nil"/>
            </w:tcBorders>
            <w:vAlign w:val="bottom"/>
          </w:tcPr>
          <w:p w14:paraId="2657634E" w14:textId="77777777" w:rsidR="00E20A30" w:rsidRDefault="00E20A30" w:rsidP="00E20A30">
            <w:pPr>
              <w:pStyle w:val="-7"/>
              <w:spacing w:before="20"/>
              <w:rPr>
                <w:b/>
                <w:bCs/>
                <w:rtl/>
              </w:rPr>
            </w:pPr>
            <w:r w:rsidRPr="00B13BCE">
              <w:rPr>
                <w:rFonts w:hint="cs"/>
                <w:b/>
                <w:bCs/>
                <w:rtl/>
              </w:rPr>
              <w:t xml:space="preserve"> 0</w:t>
            </w:r>
          </w:p>
        </w:tc>
        <w:tc>
          <w:tcPr>
            <w:tcW w:w="1420" w:type="dxa"/>
            <w:gridSpan w:val="2"/>
            <w:tcBorders>
              <w:top w:val="nil"/>
              <w:left w:val="nil"/>
              <w:bottom w:val="nil"/>
              <w:right w:val="nil"/>
            </w:tcBorders>
            <w:vAlign w:val="bottom"/>
          </w:tcPr>
          <w:p w14:paraId="01897DE2" w14:textId="77777777" w:rsidR="00E20A30" w:rsidRDefault="00E20A30" w:rsidP="00E20A30">
            <w:pPr>
              <w:pStyle w:val="-7"/>
              <w:spacing w:before="20"/>
              <w:rPr>
                <w:b/>
                <w:bCs/>
                <w:rtl/>
              </w:rPr>
            </w:pPr>
            <w:r w:rsidRPr="00B13BCE">
              <w:rPr>
                <w:rFonts w:hint="cs"/>
                <w:b/>
                <w:bCs/>
                <w:rtl/>
              </w:rPr>
              <w:t xml:space="preserve"> 0</w:t>
            </w:r>
          </w:p>
        </w:tc>
      </w:tr>
      <w:tr w:rsidR="00E20A30" w:rsidRPr="00543C25" w14:paraId="28E780B8" w14:textId="77777777" w:rsidTr="00DC6BA9">
        <w:tc>
          <w:tcPr>
            <w:tcW w:w="1133" w:type="dxa"/>
            <w:tcBorders>
              <w:top w:val="nil"/>
              <w:left w:val="nil"/>
              <w:bottom w:val="nil"/>
              <w:right w:val="nil"/>
            </w:tcBorders>
          </w:tcPr>
          <w:p w14:paraId="5CA1FF04"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4DC12C0F" w14:textId="77777777" w:rsidR="00E20A30" w:rsidRDefault="00E20A30" w:rsidP="00E20A30">
            <w:pPr>
              <w:pStyle w:val="-0"/>
              <w:spacing w:before="20"/>
              <w:rPr>
                <w:b/>
                <w:bCs/>
                <w:rtl/>
              </w:rPr>
            </w:pPr>
            <w:r w:rsidRPr="00B13BCE">
              <w:rPr>
                <w:rtl/>
              </w:rPr>
              <w:t xml:space="preserve">יתרת מזומנים לתחילת </w:t>
            </w:r>
            <w:r>
              <w:rPr>
                <w:rFonts w:hint="cs"/>
                <w:rtl/>
              </w:rPr>
              <w:t>תקופה</w:t>
            </w:r>
          </w:p>
        </w:tc>
        <w:tc>
          <w:tcPr>
            <w:tcW w:w="284" w:type="dxa"/>
            <w:tcBorders>
              <w:top w:val="nil"/>
              <w:left w:val="nil"/>
              <w:bottom w:val="nil"/>
              <w:right w:val="nil"/>
            </w:tcBorders>
            <w:tcMar>
              <w:left w:w="58" w:type="dxa"/>
              <w:right w:w="58" w:type="dxa"/>
            </w:tcMar>
          </w:tcPr>
          <w:p w14:paraId="06C41751"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2BBF2610"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5F241106" w14:textId="77777777" w:rsidR="00E20A30" w:rsidRDefault="00E20A30" w:rsidP="00E20A30">
            <w:pPr>
              <w:pStyle w:val="-7"/>
              <w:spacing w:before="20"/>
              <w:rPr>
                <w:color w:val="000000"/>
                <w:sz w:val="24"/>
                <w:szCs w:val="24"/>
                <w:rtl/>
                <w:lang w:eastAsia="he-IL"/>
              </w:rPr>
            </w:pPr>
            <w:r>
              <w:rPr>
                <w:rFonts w:hint="cs"/>
                <w:rtl/>
              </w:rPr>
              <w:t xml:space="preserve"> 0</w:t>
            </w:r>
          </w:p>
        </w:tc>
        <w:tc>
          <w:tcPr>
            <w:tcW w:w="841" w:type="dxa"/>
            <w:gridSpan w:val="2"/>
            <w:tcBorders>
              <w:top w:val="nil"/>
              <w:left w:val="nil"/>
              <w:bottom w:val="nil"/>
              <w:right w:val="nil"/>
            </w:tcBorders>
            <w:vAlign w:val="bottom"/>
          </w:tcPr>
          <w:p w14:paraId="05ADEB86" w14:textId="77777777" w:rsidR="00E20A30" w:rsidRDefault="00E20A30" w:rsidP="00E20A30">
            <w:pPr>
              <w:pStyle w:val="-7"/>
              <w:spacing w:before="20"/>
              <w:rPr>
                <w:color w:val="000000"/>
                <w:sz w:val="24"/>
                <w:szCs w:val="24"/>
                <w:rtl/>
                <w:lang w:eastAsia="he-IL"/>
              </w:rPr>
            </w:pPr>
            <w:r>
              <w:rPr>
                <w:rFonts w:hint="cs"/>
                <w:rtl/>
              </w:rPr>
              <w:t xml:space="preserve"> 0</w:t>
            </w:r>
          </w:p>
        </w:tc>
        <w:tc>
          <w:tcPr>
            <w:tcW w:w="841" w:type="dxa"/>
            <w:gridSpan w:val="2"/>
            <w:tcBorders>
              <w:top w:val="nil"/>
              <w:left w:val="nil"/>
              <w:bottom w:val="nil"/>
              <w:right w:val="nil"/>
            </w:tcBorders>
            <w:vAlign w:val="bottom"/>
          </w:tcPr>
          <w:p w14:paraId="7C312D12" w14:textId="77777777" w:rsidR="00E20A30" w:rsidRDefault="00E20A30" w:rsidP="00E20A30">
            <w:pPr>
              <w:pStyle w:val="-7"/>
              <w:spacing w:before="20"/>
              <w:rPr>
                <w:color w:val="000000"/>
                <w:sz w:val="24"/>
                <w:szCs w:val="24"/>
                <w:rtl/>
                <w:lang w:eastAsia="he-IL"/>
              </w:rPr>
            </w:pPr>
            <w:r>
              <w:rPr>
                <w:rFonts w:hint="cs"/>
                <w:rtl/>
              </w:rPr>
              <w:t xml:space="preserve"> 0</w:t>
            </w:r>
          </w:p>
        </w:tc>
        <w:tc>
          <w:tcPr>
            <w:tcW w:w="1420" w:type="dxa"/>
            <w:gridSpan w:val="2"/>
            <w:tcBorders>
              <w:top w:val="nil"/>
              <w:left w:val="nil"/>
              <w:bottom w:val="nil"/>
              <w:right w:val="nil"/>
            </w:tcBorders>
            <w:vAlign w:val="bottom"/>
          </w:tcPr>
          <w:p w14:paraId="059B10FE" w14:textId="77777777" w:rsidR="00E20A30" w:rsidRDefault="00E20A30" w:rsidP="00E20A30">
            <w:pPr>
              <w:pStyle w:val="-7"/>
              <w:spacing w:before="20"/>
              <w:rPr>
                <w:color w:val="000000"/>
                <w:sz w:val="24"/>
                <w:szCs w:val="24"/>
                <w:rtl/>
                <w:lang w:eastAsia="he-IL"/>
              </w:rPr>
            </w:pPr>
            <w:r>
              <w:rPr>
                <w:rFonts w:hint="cs"/>
                <w:rtl/>
              </w:rPr>
              <w:t xml:space="preserve"> 0</w:t>
            </w:r>
          </w:p>
        </w:tc>
      </w:tr>
      <w:tr w:rsidR="00E20A30" w:rsidRPr="00543C25" w14:paraId="137BBEE5" w14:textId="77777777" w:rsidTr="00DC6BA9">
        <w:tc>
          <w:tcPr>
            <w:tcW w:w="1133" w:type="dxa"/>
            <w:tcBorders>
              <w:top w:val="nil"/>
              <w:left w:val="nil"/>
              <w:bottom w:val="nil"/>
              <w:right w:val="nil"/>
            </w:tcBorders>
          </w:tcPr>
          <w:p w14:paraId="5441DF45"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7E1F3E64" w14:textId="77777777" w:rsidR="00E20A30" w:rsidRDefault="00E20A30" w:rsidP="00C66ED6">
            <w:pPr>
              <w:pStyle w:val="-21"/>
              <w:spacing w:before="20"/>
              <w:rPr>
                <w:b/>
                <w:bCs/>
                <w:rtl/>
              </w:rPr>
            </w:pPr>
            <w:r w:rsidRPr="001E461C">
              <w:rPr>
                <w:rFonts w:hint="cs"/>
                <w:rtl/>
              </w:rPr>
              <w:t xml:space="preserve">השפעת תנועות בשער </w:t>
            </w:r>
            <w:r>
              <w:rPr>
                <w:rFonts w:hint="cs"/>
                <w:rtl/>
              </w:rPr>
              <w:t>ה</w:t>
            </w:r>
            <w:r w:rsidRPr="001E461C">
              <w:rPr>
                <w:rFonts w:hint="cs"/>
                <w:rtl/>
              </w:rPr>
              <w:t>חליפין על יתרות מזומנים</w:t>
            </w:r>
            <w:r w:rsidR="006653C6" w:rsidRPr="0062154C">
              <w:rPr>
                <w:rFonts w:hint="cs"/>
                <w:sz w:val="18"/>
                <w:szCs w:val="18"/>
                <w:vertAlign w:val="superscript"/>
                <w:rtl/>
              </w:rPr>
              <w:t>[</w:t>
            </w:r>
            <w:r w:rsidR="006653C6" w:rsidRPr="0062154C">
              <w:rPr>
                <w:rStyle w:val="a7"/>
                <w:sz w:val="18"/>
                <w:szCs w:val="18"/>
                <w:rtl/>
              </w:rPr>
              <w:footnoteReference w:id="21"/>
            </w:r>
            <w:r w:rsidR="006653C6" w:rsidRPr="0062154C">
              <w:rPr>
                <w:rFonts w:hint="cs"/>
                <w:sz w:val="18"/>
                <w:szCs w:val="18"/>
                <w:vertAlign w:val="superscript"/>
                <w:rtl/>
              </w:rPr>
              <w:t>]</w:t>
            </w:r>
          </w:p>
        </w:tc>
        <w:tc>
          <w:tcPr>
            <w:tcW w:w="284" w:type="dxa"/>
            <w:tcBorders>
              <w:top w:val="nil"/>
              <w:left w:val="nil"/>
              <w:bottom w:val="nil"/>
              <w:right w:val="nil"/>
            </w:tcBorders>
            <w:tcMar>
              <w:left w:w="58" w:type="dxa"/>
              <w:right w:w="58" w:type="dxa"/>
            </w:tcMar>
          </w:tcPr>
          <w:p w14:paraId="0FA98ADA"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76407EDF" w14:textId="77777777" w:rsidR="00E20A30" w:rsidRDefault="00E20A30" w:rsidP="00E20A30">
            <w:pPr>
              <w:pStyle w:val="-7"/>
              <w:pBdr>
                <w:bottom w:val="single" w:sz="4" w:space="1" w:color="auto"/>
              </w:pBdr>
              <w:spacing w:before="20"/>
              <w:rPr>
                <w:rtl/>
              </w:rPr>
            </w:pPr>
            <w:r>
              <w:rPr>
                <w:rFonts w:hint="cs"/>
                <w:rtl/>
              </w:rPr>
              <w:t xml:space="preserve"> 0</w:t>
            </w:r>
          </w:p>
        </w:tc>
        <w:tc>
          <w:tcPr>
            <w:tcW w:w="841" w:type="dxa"/>
            <w:gridSpan w:val="2"/>
            <w:tcBorders>
              <w:top w:val="nil"/>
              <w:left w:val="nil"/>
              <w:bottom w:val="nil"/>
              <w:right w:val="nil"/>
            </w:tcBorders>
            <w:vAlign w:val="bottom"/>
          </w:tcPr>
          <w:p w14:paraId="23501B43" w14:textId="77777777" w:rsidR="00E20A30" w:rsidRDefault="00E20A30" w:rsidP="00E20A30">
            <w:pPr>
              <w:pStyle w:val="-7"/>
              <w:pBdr>
                <w:bottom w:val="single" w:sz="4" w:space="1" w:color="auto"/>
              </w:pBdr>
              <w:spacing w:before="20"/>
              <w:rPr>
                <w:rtl/>
              </w:rPr>
            </w:pPr>
            <w:r>
              <w:rPr>
                <w:rFonts w:hint="cs"/>
                <w:rtl/>
              </w:rPr>
              <w:t xml:space="preserve"> 0</w:t>
            </w:r>
          </w:p>
        </w:tc>
        <w:tc>
          <w:tcPr>
            <w:tcW w:w="841" w:type="dxa"/>
            <w:gridSpan w:val="2"/>
            <w:tcBorders>
              <w:top w:val="nil"/>
              <w:left w:val="nil"/>
              <w:bottom w:val="nil"/>
              <w:right w:val="nil"/>
            </w:tcBorders>
            <w:vAlign w:val="bottom"/>
          </w:tcPr>
          <w:p w14:paraId="5332A2B2" w14:textId="77777777" w:rsidR="00E20A30" w:rsidRDefault="00E20A30" w:rsidP="00E20A30">
            <w:pPr>
              <w:pStyle w:val="-7"/>
              <w:pBdr>
                <w:bottom w:val="single" w:sz="4" w:space="1" w:color="auto"/>
              </w:pBdr>
              <w:spacing w:before="20"/>
              <w:rPr>
                <w:rtl/>
              </w:rPr>
            </w:pPr>
            <w:r>
              <w:rPr>
                <w:rFonts w:hint="cs"/>
                <w:rtl/>
              </w:rPr>
              <w:t xml:space="preserve"> 0</w:t>
            </w:r>
          </w:p>
        </w:tc>
        <w:tc>
          <w:tcPr>
            <w:tcW w:w="841" w:type="dxa"/>
            <w:gridSpan w:val="2"/>
            <w:tcBorders>
              <w:top w:val="nil"/>
              <w:left w:val="nil"/>
              <w:bottom w:val="nil"/>
              <w:right w:val="nil"/>
            </w:tcBorders>
            <w:vAlign w:val="bottom"/>
          </w:tcPr>
          <w:p w14:paraId="589859D5" w14:textId="77777777" w:rsidR="00E20A30" w:rsidRDefault="00E20A30" w:rsidP="00E20A30">
            <w:pPr>
              <w:pStyle w:val="-7"/>
              <w:pBdr>
                <w:bottom w:val="single" w:sz="4" w:space="1" w:color="auto"/>
              </w:pBdr>
              <w:spacing w:before="20"/>
              <w:rPr>
                <w:rtl/>
              </w:rPr>
            </w:pPr>
            <w:r>
              <w:rPr>
                <w:rFonts w:hint="cs"/>
                <w:rtl/>
              </w:rPr>
              <w:t xml:space="preserve"> 0</w:t>
            </w:r>
          </w:p>
        </w:tc>
        <w:tc>
          <w:tcPr>
            <w:tcW w:w="1420" w:type="dxa"/>
            <w:gridSpan w:val="2"/>
            <w:tcBorders>
              <w:top w:val="nil"/>
              <w:left w:val="nil"/>
              <w:bottom w:val="nil"/>
              <w:right w:val="nil"/>
            </w:tcBorders>
            <w:vAlign w:val="bottom"/>
          </w:tcPr>
          <w:p w14:paraId="67BB320B" w14:textId="77777777" w:rsidR="00E20A30" w:rsidRDefault="00E20A30" w:rsidP="00E20A30">
            <w:pPr>
              <w:pStyle w:val="-7"/>
              <w:pBdr>
                <w:bottom w:val="single" w:sz="4" w:space="1" w:color="auto"/>
              </w:pBdr>
              <w:spacing w:before="20"/>
              <w:rPr>
                <w:rtl/>
              </w:rPr>
            </w:pPr>
            <w:r>
              <w:rPr>
                <w:rFonts w:hint="cs"/>
                <w:rtl/>
              </w:rPr>
              <w:t xml:space="preserve"> 0</w:t>
            </w:r>
          </w:p>
        </w:tc>
      </w:tr>
      <w:tr w:rsidR="00E20A30" w:rsidRPr="00543C25" w14:paraId="29DC7769" w14:textId="77777777" w:rsidTr="00DC6BA9">
        <w:tc>
          <w:tcPr>
            <w:tcW w:w="1133" w:type="dxa"/>
            <w:tcBorders>
              <w:top w:val="nil"/>
              <w:left w:val="nil"/>
              <w:bottom w:val="nil"/>
              <w:right w:val="nil"/>
            </w:tcBorders>
          </w:tcPr>
          <w:p w14:paraId="0D570414"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5E441F2C" w14:textId="77777777" w:rsidR="00E20A30" w:rsidRDefault="00E20A30" w:rsidP="00E20A30">
            <w:pPr>
              <w:pStyle w:val="-0"/>
              <w:spacing w:before="20"/>
              <w:rPr>
                <w:b/>
                <w:bCs/>
                <w:sz w:val="24"/>
                <w:szCs w:val="24"/>
                <w:rtl/>
              </w:rPr>
            </w:pPr>
            <w:r w:rsidRPr="00CF2A74">
              <w:rPr>
                <w:b/>
                <w:bCs/>
                <w:rtl/>
              </w:rPr>
              <w:t xml:space="preserve">יתרת מזומנים לסוף </w:t>
            </w:r>
            <w:r w:rsidRPr="00CF2A74">
              <w:rPr>
                <w:rFonts w:hint="eastAsia"/>
                <w:b/>
                <w:bCs/>
                <w:rtl/>
              </w:rPr>
              <w:t>תקופה</w:t>
            </w:r>
          </w:p>
        </w:tc>
        <w:tc>
          <w:tcPr>
            <w:tcW w:w="284" w:type="dxa"/>
            <w:tcBorders>
              <w:top w:val="nil"/>
              <w:left w:val="nil"/>
              <w:bottom w:val="nil"/>
              <w:right w:val="nil"/>
            </w:tcBorders>
            <w:tcMar>
              <w:left w:w="58" w:type="dxa"/>
              <w:right w:w="58" w:type="dxa"/>
            </w:tcMar>
          </w:tcPr>
          <w:p w14:paraId="766CC5C1" w14:textId="77777777" w:rsidR="00E20A30" w:rsidRDefault="00E20A30" w:rsidP="00E20A30">
            <w:pPr>
              <w:pStyle w:val="-7"/>
              <w:spacing w:before="20"/>
              <w:rPr>
                <w:b/>
                <w:bCs/>
                <w:rtl/>
              </w:rPr>
            </w:pPr>
          </w:p>
        </w:tc>
        <w:tc>
          <w:tcPr>
            <w:tcW w:w="841" w:type="dxa"/>
            <w:gridSpan w:val="2"/>
            <w:tcBorders>
              <w:top w:val="nil"/>
              <w:left w:val="nil"/>
              <w:bottom w:val="nil"/>
              <w:right w:val="nil"/>
            </w:tcBorders>
            <w:vAlign w:val="bottom"/>
          </w:tcPr>
          <w:p w14:paraId="45EB7719" w14:textId="77777777" w:rsidR="00E20A30" w:rsidRDefault="00E20A30" w:rsidP="00E20A30">
            <w:pPr>
              <w:pStyle w:val="-3"/>
              <w:pBdr>
                <w:bottom w:val="double" w:sz="4" w:space="1" w:color="auto"/>
              </w:pBdr>
              <w:spacing w:before="20"/>
              <w:rPr>
                <w:b/>
                <w:bCs/>
                <w:rtl/>
              </w:rPr>
            </w:pPr>
            <w:r w:rsidRPr="00CF2A74">
              <w:rPr>
                <w:b/>
                <w:bCs/>
                <w:rtl/>
              </w:rPr>
              <w:t xml:space="preserve"> 0</w:t>
            </w:r>
          </w:p>
        </w:tc>
        <w:tc>
          <w:tcPr>
            <w:tcW w:w="841" w:type="dxa"/>
            <w:gridSpan w:val="2"/>
            <w:tcBorders>
              <w:top w:val="nil"/>
              <w:left w:val="nil"/>
              <w:bottom w:val="nil"/>
              <w:right w:val="nil"/>
            </w:tcBorders>
            <w:vAlign w:val="bottom"/>
          </w:tcPr>
          <w:p w14:paraId="7544C8D4" w14:textId="77777777" w:rsidR="00E20A30" w:rsidRDefault="00E20A30" w:rsidP="00E20A30">
            <w:pPr>
              <w:pStyle w:val="-3"/>
              <w:pBdr>
                <w:bottom w:val="double" w:sz="4" w:space="1" w:color="auto"/>
              </w:pBdr>
              <w:spacing w:before="20"/>
              <w:rPr>
                <w:b/>
                <w:bCs/>
                <w:rtl/>
              </w:rPr>
            </w:pPr>
            <w:r w:rsidRPr="00CF2A74">
              <w:rPr>
                <w:b/>
                <w:bCs/>
                <w:rtl/>
              </w:rPr>
              <w:t xml:space="preserve"> 0</w:t>
            </w:r>
          </w:p>
        </w:tc>
        <w:tc>
          <w:tcPr>
            <w:tcW w:w="841" w:type="dxa"/>
            <w:gridSpan w:val="2"/>
            <w:tcBorders>
              <w:top w:val="nil"/>
              <w:left w:val="nil"/>
              <w:bottom w:val="nil"/>
              <w:right w:val="nil"/>
            </w:tcBorders>
            <w:vAlign w:val="bottom"/>
          </w:tcPr>
          <w:p w14:paraId="6AD9698B" w14:textId="77777777" w:rsidR="00E20A30" w:rsidRDefault="00E20A30" w:rsidP="00E20A30">
            <w:pPr>
              <w:pStyle w:val="-3"/>
              <w:pBdr>
                <w:bottom w:val="double" w:sz="4" w:space="1" w:color="auto"/>
              </w:pBdr>
              <w:spacing w:before="20"/>
              <w:rPr>
                <w:b/>
                <w:bCs/>
                <w:rtl/>
              </w:rPr>
            </w:pPr>
            <w:r w:rsidRPr="00CF2A74">
              <w:rPr>
                <w:b/>
                <w:bCs/>
                <w:rtl/>
              </w:rPr>
              <w:t xml:space="preserve"> 0</w:t>
            </w:r>
          </w:p>
        </w:tc>
        <w:tc>
          <w:tcPr>
            <w:tcW w:w="841" w:type="dxa"/>
            <w:gridSpan w:val="2"/>
            <w:tcBorders>
              <w:top w:val="nil"/>
              <w:left w:val="nil"/>
              <w:bottom w:val="nil"/>
              <w:right w:val="nil"/>
            </w:tcBorders>
            <w:vAlign w:val="bottom"/>
          </w:tcPr>
          <w:p w14:paraId="31B2F581" w14:textId="77777777" w:rsidR="00E20A30" w:rsidRDefault="00E20A30" w:rsidP="00E20A30">
            <w:pPr>
              <w:pStyle w:val="-3"/>
              <w:pBdr>
                <w:bottom w:val="double" w:sz="4" w:space="1" w:color="auto"/>
              </w:pBdr>
              <w:spacing w:before="20"/>
              <w:rPr>
                <w:b/>
                <w:bCs/>
                <w:rtl/>
              </w:rPr>
            </w:pPr>
            <w:r w:rsidRPr="00CF2A74">
              <w:rPr>
                <w:b/>
                <w:bCs/>
                <w:rtl/>
              </w:rPr>
              <w:t xml:space="preserve"> 0</w:t>
            </w:r>
          </w:p>
        </w:tc>
        <w:tc>
          <w:tcPr>
            <w:tcW w:w="1420" w:type="dxa"/>
            <w:gridSpan w:val="2"/>
            <w:tcBorders>
              <w:top w:val="nil"/>
              <w:left w:val="nil"/>
              <w:bottom w:val="nil"/>
              <w:right w:val="nil"/>
            </w:tcBorders>
            <w:vAlign w:val="bottom"/>
          </w:tcPr>
          <w:p w14:paraId="39812104" w14:textId="77777777" w:rsidR="00E20A30" w:rsidRDefault="00E20A30" w:rsidP="00E20A30">
            <w:pPr>
              <w:pStyle w:val="-3"/>
              <w:pBdr>
                <w:bottom w:val="double" w:sz="4" w:space="1" w:color="auto"/>
              </w:pBdr>
              <w:spacing w:before="20"/>
              <w:rPr>
                <w:b/>
                <w:bCs/>
                <w:rtl/>
              </w:rPr>
            </w:pPr>
            <w:r w:rsidRPr="00CF2A74">
              <w:rPr>
                <w:b/>
                <w:bCs/>
                <w:rtl/>
              </w:rPr>
              <w:t xml:space="preserve"> 0</w:t>
            </w:r>
          </w:p>
        </w:tc>
      </w:tr>
      <w:tr w:rsidR="00E20A30" w:rsidRPr="00543C25" w14:paraId="0E779277" w14:textId="77777777" w:rsidTr="00DC6BA9">
        <w:tc>
          <w:tcPr>
            <w:tcW w:w="1415" w:type="dxa"/>
            <w:gridSpan w:val="2"/>
            <w:tcBorders>
              <w:top w:val="nil"/>
              <w:left w:val="nil"/>
              <w:bottom w:val="nil"/>
              <w:right w:val="nil"/>
            </w:tcBorders>
          </w:tcPr>
          <w:p w14:paraId="09DDD2A3" w14:textId="77777777" w:rsidR="00E20A30" w:rsidRDefault="00E20A30" w:rsidP="00E20A30">
            <w:pPr>
              <w:pStyle w:val="-7"/>
              <w:bidi w:val="0"/>
              <w:spacing w:line="60" w:lineRule="exact"/>
              <w:rPr>
                <w:rtl/>
              </w:rPr>
            </w:pPr>
          </w:p>
        </w:tc>
        <w:tc>
          <w:tcPr>
            <w:tcW w:w="3868" w:type="dxa"/>
            <w:gridSpan w:val="2"/>
            <w:tcBorders>
              <w:top w:val="nil"/>
              <w:left w:val="nil"/>
              <w:bottom w:val="nil"/>
              <w:right w:val="nil"/>
            </w:tcBorders>
            <w:vAlign w:val="bottom"/>
          </w:tcPr>
          <w:p w14:paraId="1DE66260" w14:textId="77777777" w:rsidR="00E20A30" w:rsidRDefault="00E20A30" w:rsidP="00E20A30">
            <w:pPr>
              <w:pStyle w:val="-0"/>
              <w:bidi w:val="0"/>
              <w:spacing w:line="60" w:lineRule="exact"/>
              <w:ind w:left="0" w:firstLine="0"/>
              <w:jc w:val="both"/>
              <w:rPr>
                <w:b/>
                <w:bCs/>
                <w:sz w:val="18"/>
                <w:szCs w:val="18"/>
                <w:rtl/>
              </w:rPr>
            </w:pPr>
          </w:p>
        </w:tc>
        <w:tc>
          <w:tcPr>
            <w:tcW w:w="284" w:type="dxa"/>
            <w:tcBorders>
              <w:top w:val="nil"/>
              <w:left w:val="nil"/>
              <w:bottom w:val="nil"/>
              <w:right w:val="nil"/>
            </w:tcBorders>
            <w:tcMar>
              <w:left w:w="58" w:type="dxa"/>
              <w:right w:w="58" w:type="dxa"/>
            </w:tcMar>
          </w:tcPr>
          <w:p w14:paraId="2A58C854" w14:textId="77777777" w:rsidR="00E20A30" w:rsidRDefault="00E20A30" w:rsidP="00E20A30">
            <w:pPr>
              <w:pStyle w:val="-7"/>
              <w:bidi w:val="0"/>
              <w:spacing w:line="60" w:lineRule="exact"/>
              <w:rPr>
                <w:rtl/>
              </w:rPr>
            </w:pPr>
          </w:p>
        </w:tc>
        <w:tc>
          <w:tcPr>
            <w:tcW w:w="841" w:type="dxa"/>
            <w:gridSpan w:val="2"/>
            <w:tcBorders>
              <w:top w:val="nil"/>
              <w:left w:val="nil"/>
              <w:bottom w:val="nil"/>
              <w:right w:val="nil"/>
            </w:tcBorders>
            <w:vAlign w:val="bottom"/>
          </w:tcPr>
          <w:p w14:paraId="2B0A14FC" w14:textId="77777777" w:rsidR="00E20A30" w:rsidRDefault="00E20A30" w:rsidP="00E20A30">
            <w:pPr>
              <w:pStyle w:val="-12"/>
              <w:pBdr>
                <w:top w:val="none" w:sz="0" w:space="0" w:color="auto"/>
              </w:pBdr>
              <w:bidi w:val="0"/>
              <w:spacing w:line="60" w:lineRule="exact"/>
              <w:jc w:val="both"/>
              <w:rPr>
                <w:rtl/>
              </w:rPr>
            </w:pPr>
          </w:p>
        </w:tc>
        <w:tc>
          <w:tcPr>
            <w:tcW w:w="841" w:type="dxa"/>
            <w:gridSpan w:val="2"/>
            <w:tcBorders>
              <w:top w:val="nil"/>
              <w:left w:val="nil"/>
              <w:bottom w:val="nil"/>
              <w:right w:val="nil"/>
            </w:tcBorders>
            <w:vAlign w:val="bottom"/>
          </w:tcPr>
          <w:p w14:paraId="3CD3D28D" w14:textId="77777777" w:rsidR="00E20A30" w:rsidRDefault="00E20A30" w:rsidP="00E20A30">
            <w:pPr>
              <w:pStyle w:val="-12"/>
              <w:pBdr>
                <w:top w:val="none" w:sz="0" w:space="0" w:color="auto"/>
              </w:pBdr>
              <w:bidi w:val="0"/>
              <w:spacing w:line="60" w:lineRule="exact"/>
              <w:jc w:val="both"/>
              <w:rPr>
                <w:rtl/>
              </w:rPr>
            </w:pPr>
          </w:p>
        </w:tc>
        <w:tc>
          <w:tcPr>
            <w:tcW w:w="841" w:type="dxa"/>
            <w:gridSpan w:val="2"/>
            <w:tcBorders>
              <w:top w:val="nil"/>
              <w:left w:val="nil"/>
              <w:bottom w:val="nil"/>
              <w:right w:val="nil"/>
            </w:tcBorders>
            <w:vAlign w:val="bottom"/>
          </w:tcPr>
          <w:p w14:paraId="25413E3F" w14:textId="77777777" w:rsidR="00E20A30" w:rsidRDefault="00E20A30" w:rsidP="00E20A30">
            <w:pPr>
              <w:pStyle w:val="-12"/>
              <w:pBdr>
                <w:top w:val="none" w:sz="0" w:space="0" w:color="auto"/>
              </w:pBdr>
              <w:bidi w:val="0"/>
              <w:spacing w:line="60" w:lineRule="exact"/>
              <w:jc w:val="both"/>
              <w:rPr>
                <w:rtl/>
              </w:rPr>
            </w:pPr>
          </w:p>
        </w:tc>
        <w:tc>
          <w:tcPr>
            <w:tcW w:w="841" w:type="dxa"/>
            <w:gridSpan w:val="2"/>
            <w:tcBorders>
              <w:top w:val="nil"/>
              <w:left w:val="nil"/>
              <w:bottom w:val="nil"/>
              <w:right w:val="nil"/>
            </w:tcBorders>
            <w:vAlign w:val="bottom"/>
          </w:tcPr>
          <w:p w14:paraId="52FDB441" w14:textId="77777777" w:rsidR="00E20A30" w:rsidRDefault="00E20A30" w:rsidP="00E20A30">
            <w:pPr>
              <w:pStyle w:val="-12"/>
              <w:pBdr>
                <w:top w:val="none" w:sz="0" w:space="0" w:color="auto"/>
              </w:pBdr>
              <w:bidi w:val="0"/>
              <w:spacing w:line="60" w:lineRule="exact"/>
              <w:jc w:val="both"/>
              <w:rPr>
                <w:rtl/>
              </w:rPr>
            </w:pPr>
          </w:p>
        </w:tc>
        <w:tc>
          <w:tcPr>
            <w:tcW w:w="1139" w:type="dxa"/>
            <w:tcBorders>
              <w:top w:val="nil"/>
              <w:left w:val="nil"/>
              <w:bottom w:val="nil"/>
              <w:right w:val="nil"/>
            </w:tcBorders>
            <w:vAlign w:val="bottom"/>
          </w:tcPr>
          <w:p w14:paraId="69F8F262" w14:textId="77777777" w:rsidR="00E20A30" w:rsidRDefault="00E20A30" w:rsidP="00E20A30">
            <w:pPr>
              <w:pStyle w:val="-12"/>
              <w:pBdr>
                <w:top w:val="none" w:sz="0" w:space="0" w:color="auto"/>
              </w:pBdr>
              <w:bidi w:val="0"/>
              <w:spacing w:line="60" w:lineRule="exact"/>
              <w:jc w:val="both"/>
              <w:rPr>
                <w:rtl/>
              </w:rPr>
            </w:pPr>
          </w:p>
        </w:tc>
      </w:tr>
      <w:tr w:rsidR="00E20A30" w:rsidRPr="00543C25" w14:paraId="5C0C77AC" w14:textId="77777777" w:rsidTr="00DC6BA9">
        <w:tc>
          <w:tcPr>
            <w:tcW w:w="1415" w:type="dxa"/>
            <w:gridSpan w:val="2"/>
            <w:tcBorders>
              <w:top w:val="nil"/>
              <w:left w:val="nil"/>
              <w:bottom w:val="nil"/>
              <w:right w:val="nil"/>
            </w:tcBorders>
          </w:tcPr>
          <w:p w14:paraId="3DA41C23" w14:textId="77777777" w:rsidR="00E20A30" w:rsidRDefault="00E20A30" w:rsidP="00E20A30">
            <w:pPr>
              <w:pStyle w:val="-7"/>
              <w:spacing w:line="120" w:lineRule="exact"/>
              <w:rPr>
                <w:rtl/>
              </w:rPr>
            </w:pPr>
          </w:p>
          <w:p w14:paraId="1C3A922F" w14:textId="77777777" w:rsidR="00106371" w:rsidRDefault="00106371" w:rsidP="00E20A30">
            <w:pPr>
              <w:pStyle w:val="-7"/>
              <w:spacing w:line="120" w:lineRule="exact"/>
              <w:rPr>
                <w:rtl/>
              </w:rPr>
            </w:pPr>
          </w:p>
        </w:tc>
        <w:tc>
          <w:tcPr>
            <w:tcW w:w="3868" w:type="dxa"/>
            <w:gridSpan w:val="2"/>
            <w:tcBorders>
              <w:top w:val="nil"/>
              <w:left w:val="nil"/>
              <w:bottom w:val="nil"/>
              <w:right w:val="nil"/>
            </w:tcBorders>
            <w:vAlign w:val="bottom"/>
          </w:tcPr>
          <w:p w14:paraId="0E06DC56" w14:textId="77777777" w:rsidR="00E20A30" w:rsidRDefault="00E20A30" w:rsidP="00E20A30">
            <w:pPr>
              <w:pStyle w:val="-0"/>
              <w:spacing w:line="120" w:lineRule="exact"/>
              <w:ind w:left="0" w:firstLine="0"/>
              <w:rPr>
                <w:b/>
                <w:bCs/>
                <w:sz w:val="18"/>
                <w:szCs w:val="18"/>
                <w:rtl/>
              </w:rPr>
            </w:pPr>
          </w:p>
        </w:tc>
        <w:tc>
          <w:tcPr>
            <w:tcW w:w="284" w:type="dxa"/>
            <w:tcBorders>
              <w:top w:val="nil"/>
              <w:left w:val="nil"/>
              <w:bottom w:val="nil"/>
              <w:right w:val="nil"/>
            </w:tcBorders>
            <w:tcMar>
              <w:left w:w="58" w:type="dxa"/>
              <w:right w:w="58" w:type="dxa"/>
            </w:tcMar>
          </w:tcPr>
          <w:p w14:paraId="383F78C1" w14:textId="77777777" w:rsidR="00E20A30" w:rsidRDefault="00E20A30" w:rsidP="00E20A30">
            <w:pPr>
              <w:pStyle w:val="-7"/>
              <w:spacing w:line="120" w:lineRule="exact"/>
              <w:rPr>
                <w:rtl/>
              </w:rPr>
            </w:pPr>
          </w:p>
        </w:tc>
        <w:tc>
          <w:tcPr>
            <w:tcW w:w="841" w:type="dxa"/>
            <w:gridSpan w:val="2"/>
            <w:tcBorders>
              <w:top w:val="nil"/>
              <w:left w:val="nil"/>
              <w:bottom w:val="nil"/>
              <w:right w:val="nil"/>
            </w:tcBorders>
            <w:vAlign w:val="bottom"/>
          </w:tcPr>
          <w:p w14:paraId="76084FB7" w14:textId="77777777" w:rsidR="00E20A30" w:rsidRDefault="00E20A30" w:rsidP="00E20A30">
            <w:pPr>
              <w:pStyle w:val="-12"/>
              <w:pBdr>
                <w:top w:val="none" w:sz="0" w:space="0" w:color="auto"/>
              </w:pBdr>
              <w:spacing w:line="120" w:lineRule="exact"/>
              <w:rPr>
                <w:rtl/>
              </w:rPr>
            </w:pPr>
          </w:p>
        </w:tc>
        <w:tc>
          <w:tcPr>
            <w:tcW w:w="841" w:type="dxa"/>
            <w:gridSpan w:val="2"/>
            <w:tcBorders>
              <w:top w:val="nil"/>
              <w:left w:val="nil"/>
              <w:bottom w:val="nil"/>
              <w:right w:val="nil"/>
            </w:tcBorders>
            <w:vAlign w:val="bottom"/>
          </w:tcPr>
          <w:p w14:paraId="37E703E3" w14:textId="77777777" w:rsidR="00E20A30" w:rsidRDefault="00E20A30" w:rsidP="00E20A30">
            <w:pPr>
              <w:pStyle w:val="-12"/>
              <w:pBdr>
                <w:top w:val="none" w:sz="0" w:space="0" w:color="auto"/>
              </w:pBdr>
              <w:spacing w:line="120" w:lineRule="exact"/>
              <w:rPr>
                <w:rtl/>
              </w:rPr>
            </w:pPr>
          </w:p>
        </w:tc>
        <w:tc>
          <w:tcPr>
            <w:tcW w:w="841" w:type="dxa"/>
            <w:gridSpan w:val="2"/>
            <w:tcBorders>
              <w:top w:val="nil"/>
              <w:left w:val="nil"/>
              <w:bottom w:val="nil"/>
              <w:right w:val="nil"/>
            </w:tcBorders>
            <w:vAlign w:val="bottom"/>
          </w:tcPr>
          <w:p w14:paraId="348CDE3A" w14:textId="77777777" w:rsidR="00E20A30" w:rsidRDefault="00E20A30" w:rsidP="00E20A30">
            <w:pPr>
              <w:pStyle w:val="-12"/>
              <w:pBdr>
                <w:top w:val="none" w:sz="0" w:space="0" w:color="auto"/>
              </w:pBdr>
              <w:spacing w:line="120" w:lineRule="exact"/>
              <w:rPr>
                <w:rtl/>
              </w:rPr>
            </w:pPr>
          </w:p>
        </w:tc>
        <w:tc>
          <w:tcPr>
            <w:tcW w:w="841" w:type="dxa"/>
            <w:gridSpan w:val="2"/>
            <w:tcBorders>
              <w:top w:val="nil"/>
              <w:left w:val="nil"/>
              <w:bottom w:val="nil"/>
              <w:right w:val="nil"/>
            </w:tcBorders>
            <w:vAlign w:val="bottom"/>
          </w:tcPr>
          <w:p w14:paraId="1B362AD8" w14:textId="77777777" w:rsidR="00E20A30" w:rsidRDefault="00E20A30" w:rsidP="00E20A30">
            <w:pPr>
              <w:pStyle w:val="-12"/>
              <w:pBdr>
                <w:top w:val="none" w:sz="0" w:space="0" w:color="auto"/>
              </w:pBdr>
              <w:spacing w:line="120" w:lineRule="exact"/>
              <w:rPr>
                <w:rtl/>
              </w:rPr>
            </w:pPr>
          </w:p>
        </w:tc>
        <w:tc>
          <w:tcPr>
            <w:tcW w:w="1139" w:type="dxa"/>
            <w:tcBorders>
              <w:top w:val="nil"/>
              <w:left w:val="nil"/>
              <w:bottom w:val="nil"/>
              <w:right w:val="nil"/>
            </w:tcBorders>
            <w:vAlign w:val="bottom"/>
          </w:tcPr>
          <w:p w14:paraId="081656CC" w14:textId="77777777" w:rsidR="00E20A30" w:rsidRDefault="00E20A30" w:rsidP="00E20A30">
            <w:pPr>
              <w:pStyle w:val="-12"/>
              <w:pBdr>
                <w:top w:val="none" w:sz="0" w:space="0" w:color="auto"/>
              </w:pBdr>
              <w:spacing w:line="120" w:lineRule="exact"/>
              <w:rPr>
                <w:rtl/>
              </w:rPr>
            </w:pPr>
          </w:p>
        </w:tc>
      </w:tr>
      <w:tr w:rsidR="00E20A30" w:rsidRPr="00543C25" w14:paraId="4F2FE84F" w14:textId="77777777" w:rsidTr="00DC6BA9">
        <w:tc>
          <w:tcPr>
            <w:tcW w:w="1133" w:type="dxa"/>
            <w:tcBorders>
              <w:top w:val="nil"/>
              <w:left w:val="nil"/>
              <w:bottom w:val="nil"/>
              <w:right w:val="nil"/>
            </w:tcBorders>
          </w:tcPr>
          <w:p w14:paraId="6557D7BA" w14:textId="77777777" w:rsidR="00E20A30" w:rsidRPr="00701536" w:rsidRDefault="00E20A30" w:rsidP="00E20A30">
            <w:pPr>
              <w:pStyle w:val="-0"/>
              <w:rPr>
                <w:sz w:val="18"/>
                <w:szCs w:val="18"/>
                <w:rtl/>
              </w:rPr>
            </w:pPr>
          </w:p>
        </w:tc>
        <w:tc>
          <w:tcPr>
            <w:tcW w:w="3866" w:type="dxa"/>
            <w:gridSpan w:val="2"/>
            <w:tcBorders>
              <w:top w:val="nil"/>
              <w:left w:val="nil"/>
              <w:bottom w:val="nil"/>
              <w:right w:val="nil"/>
            </w:tcBorders>
            <w:vAlign w:val="bottom"/>
          </w:tcPr>
          <w:p w14:paraId="75FBD707" w14:textId="77777777" w:rsidR="00E20A30" w:rsidRPr="00701536" w:rsidRDefault="00E20A30" w:rsidP="00E20A30">
            <w:pPr>
              <w:pStyle w:val="-f"/>
              <w:rPr>
                <w:rtl/>
              </w:rPr>
            </w:pPr>
            <w:r w:rsidRPr="00701536">
              <w:rPr>
                <w:rFonts w:hint="cs"/>
                <w:rtl/>
              </w:rPr>
              <w:t>ריבית, דיבידנדים ומסים ששולמו ו/או התקבלו:</w:t>
            </w:r>
          </w:p>
        </w:tc>
        <w:tc>
          <w:tcPr>
            <w:tcW w:w="284" w:type="dxa"/>
            <w:tcBorders>
              <w:top w:val="nil"/>
              <w:left w:val="nil"/>
              <w:bottom w:val="nil"/>
              <w:right w:val="nil"/>
            </w:tcBorders>
            <w:tcMar>
              <w:left w:w="58" w:type="dxa"/>
              <w:right w:w="58" w:type="dxa"/>
            </w:tcMar>
          </w:tcPr>
          <w:p w14:paraId="59752D4A" w14:textId="77777777" w:rsidR="00E20A30" w:rsidRPr="00543C25" w:rsidRDefault="00E20A30" w:rsidP="00E20A30">
            <w:pPr>
              <w:rPr>
                <w:rtl/>
              </w:rPr>
            </w:pPr>
          </w:p>
        </w:tc>
        <w:tc>
          <w:tcPr>
            <w:tcW w:w="841" w:type="dxa"/>
            <w:gridSpan w:val="2"/>
            <w:tcBorders>
              <w:top w:val="nil"/>
              <w:left w:val="nil"/>
              <w:bottom w:val="nil"/>
              <w:right w:val="nil"/>
            </w:tcBorders>
            <w:vAlign w:val="bottom"/>
          </w:tcPr>
          <w:p w14:paraId="7F57528F" w14:textId="77777777" w:rsidR="00E20A30" w:rsidRPr="00543C25" w:rsidRDefault="00E20A30" w:rsidP="00E20A30">
            <w:pPr>
              <w:pStyle w:val="-3"/>
              <w:rPr>
                <w:rtl/>
              </w:rPr>
            </w:pPr>
          </w:p>
        </w:tc>
        <w:tc>
          <w:tcPr>
            <w:tcW w:w="841" w:type="dxa"/>
            <w:gridSpan w:val="2"/>
            <w:tcBorders>
              <w:top w:val="nil"/>
              <w:left w:val="nil"/>
              <w:bottom w:val="nil"/>
              <w:right w:val="nil"/>
            </w:tcBorders>
            <w:vAlign w:val="bottom"/>
          </w:tcPr>
          <w:p w14:paraId="5407409E" w14:textId="77777777" w:rsidR="00E20A30" w:rsidRPr="00543C25" w:rsidRDefault="00E20A30" w:rsidP="00E20A30">
            <w:pPr>
              <w:pStyle w:val="-3"/>
              <w:rPr>
                <w:rtl/>
              </w:rPr>
            </w:pPr>
          </w:p>
        </w:tc>
        <w:tc>
          <w:tcPr>
            <w:tcW w:w="841" w:type="dxa"/>
            <w:gridSpan w:val="2"/>
            <w:tcBorders>
              <w:top w:val="nil"/>
              <w:left w:val="nil"/>
              <w:bottom w:val="nil"/>
              <w:right w:val="nil"/>
            </w:tcBorders>
            <w:vAlign w:val="bottom"/>
          </w:tcPr>
          <w:p w14:paraId="3546D33A" w14:textId="77777777" w:rsidR="00E20A30" w:rsidRPr="00543C25" w:rsidRDefault="00E20A30" w:rsidP="00E20A30">
            <w:pPr>
              <w:pStyle w:val="-3"/>
              <w:rPr>
                <w:rtl/>
              </w:rPr>
            </w:pPr>
          </w:p>
        </w:tc>
        <w:tc>
          <w:tcPr>
            <w:tcW w:w="841" w:type="dxa"/>
            <w:gridSpan w:val="2"/>
            <w:tcBorders>
              <w:top w:val="nil"/>
              <w:left w:val="nil"/>
              <w:bottom w:val="nil"/>
              <w:right w:val="nil"/>
            </w:tcBorders>
            <w:vAlign w:val="bottom"/>
          </w:tcPr>
          <w:p w14:paraId="79222C23" w14:textId="77777777" w:rsidR="00E20A30" w:rsidRPr="00543C25" w:rsidRDefault="00E20A30" w:rsidP="00E20A30">
            <w:pPr>
              <w:pStyle w:val="-3"/>
              <w:rPr>
                <w:rtl/>
              </w:rPr>
            </w:pPr>
          </w:p>
        </w:tc>
        <w:tc>
          <w:tcPr>
            <w:tcW w:w="1420" w:type="dxa"/>
            <w:gridSpan w:val="2"/>
            <w:tcBorders>
              <w:top w:val="nil"/>
              <w:left w:val="nil"/>
              <w:bottom w:val="nil"/>
              <w:right w:val="nil"/>
            </w:tcBorders>
            <w:vAlign w:val="bottom"/>
          </w:tcPr>
          <w:p w14:paraId="2F043347" w14:textId="77777777" w:rsidR="00E20A30" w:rsidRPr="00543C25" w:rsidRDefault="00E20A30" w:rsidP="00E20A30">
            <w:pPr>
              <w:pStyle w:val="-3"/>
              <w:rPr>
                <w:rtl/>
              </w:rPr>
            </w:pPr>
          </w:p>
        </w:tc>
      </w:tr>
      <w:tr w:rsidR="00E20A30" w:rsidRPr="00543C25" w14:paraId="2F914AF7" w14:textId="77777777" w:rsidTr="00DC6BA9">
        <w:tc>
          <w:tcPr>
            <w:tcW w:w="1133" w:type="dxa"/>
            <w:tcBorders>
              <w:top w:val="nil"/>
              <w:left w:val="nil"/>
              <w:bottom w:val="nil"/>
              <w:right w:val="nil"/>
            </w:tcBorders>
          </w:tcPr>
          <w:p w14:paraId="7BEFFD68" w14:textId="77777777" w:rsidR="00E20A30" w:rsidRDefault="00E20A30" w:rsidP="00E20A30">
            <w:pPr>
              <w:pStyle w:val="-7"/>
              <w:bidi w:val="0"/>
              <w:spacing w:line="60" w:lineRule="exact"/>
              <w:rPr>
                <w:rtl/>
              </w:rPr>
            </w:pPr>
          </w:p>
        </w:tc>
        <w:tc>
          <w:tcPr>
            <w:tcW w:w="3866" w:type="dxa"/>
            <w:gridSpan w:val="2"/>
            <w:tcBorders>
              <w:top w:val="nil"/>
              <w:left w:val="nil"/>
              <w:bottom w:val="nil"/>
              <w:right w:val="nil"/>
            </w:tcBorders>
            <w:vAlign w:val="bottom"/>
          </w:tcPr>
          <w:p w14:paraId="40D96F66" w14:textId="77777777" w:rsidR="00E20A30" w:rsidRDefault="00E20A30" w:rsidP="00E20A30">
            <w:pPr>
              <w:pStyle w:val="-7"/>
              <w:bidi w:val="0"/>
              <w:spacing w:line="60" w:lineRule="exact"/>
              <w:rPr>
                <w:sz w:val="18"/>
                <w:szCs w:val="18"/>
                <w:rtl/>
              </w:rPr>
            </w:pPr>
          </w:p>
        </w:tc>
        <w:tc>
          <w:tcPr>
            <w:tcW w:w="284" w:type="dxa"/>
            <w:tcBorders>
              <w:top w:val="nil"/>
              <w:left w:val="nil"/>
              <w:bottom w:val="nil"/>
              <w:right w:val="nil"/>
            </w:tcBorders>
            <w:tcMar>
              <w:left w:w="58" w:type="dxa"/>
              <w:right w:w="58" w:type="dxa"/>
            </w:tcMar>
          </w:tcPr>
          <w:p w14:paraId="70937631" w14:textId="77777777" w:rsidR="00E20A30" w:rsidRDefault="00E20A30" w:rsidP="00E20A30">
            <w:pPr>
              <w:pStyle w:val="-7"/>
              <w:bidi w:val="0"/>
              <w:spacing w:line="60" w:lineRule="exact"/>
              <w:rPr>
                <w:rtl/>
              </w:rPr>
            </w:pPr>
          </w:p>
        </w:tc>
        <w:tc>
          <w:tcPr>
            <w:tcW w:w="841" w:type="dxa"/>
            <w:gridSpan w:val="2"/>
            <w:tcBorders>
              <w:top w:val="nil"/>
              <w:left w:val="nil"/>
              <w:bottom w:val="nil"/>
              <w:right w:val="nil"/>
            </w:tcBorders>
            <w:vAlign w:val="bottom"/>
          </w:tcPr>
          <w:p w14:paraId="642A2358" w14:textId="77777777" w:rsidR="00E20A30" w:rsidRDefault="00E20A30" w:rsidP="00E20A30">
            <w:pPr>
              <w:pStyle w:val="-7"/>
              <w:bidi w:val="0"/>
              <w:spacing w:line="60" w:lineRule="exact"/>
              <w:rPr>
                <w:rtl/>
              </w:rPr>
            </w:pPr>
          </w:p>
        </w:tc>
        <w:tc>
          <w:tcPr>
            <w:tcW w:w="841" w:type="dxa"/>
            <w:gridSpan w:val="2"/>
            <w:tcBorders>
              <w:top w:val="nil"/>
              <w:left w:val="nil"/>
              <w:bottom w:val="nil"/>
              <w:right w:val="nil"/>
            </w:tcBorders>
            <w:vAlign w:val="bottom"/>
          </w:tcPr>
          <w:p w14:paraId="3F9AD663" w14:textId="77777777" w:rsidR="00E20A30" w:rsidRDefault="00E20A30" w:rsidP="00E20A30">
            <w:pPr>
              <w:pStyle w:val="-7"/>
              <w:bidi w:val="0"/>
              <w:spacing w:line="60" w:lineRule="exact"/>
              <w:rPr>
                <w:rtl/>
              </w:rPr>
            </w:pPr>
          </w:p>
        </w:tc>
        <w:tc>
          <w:tcPr>
            <w:tcW w:w="841" w:type="dxa"/>
            <w:gridSpan w:val="2"/>
            <w:tcBorders>
              <w:top w:val="nil"/>
              <w:left w:val="nil"/>
              <w:bottom w:val="nil"/>
              <w:right w:val="nil"/>
            </w:tcBorders>
            <w:vAlign w:val="bottom"/>
          </w:tcPr>
          <w:p w14:paraId="321F71A0" w14:textId="77777777" w:rsidR="00E20A30" w:rsidRDefault="00E20A30" w:rsidP="00E20A30">
            <w:pPr>
              <w:pStyle w:val="-7"/>
              <w:bidi w:val="0"/>
              <w:spacing w:line="60" w:lineRule="exact"/>
              <w:rPr>
                <w:rtl/>
              </w:rPr>
            </w:pPr>
          </w:p>
        </w:tc>
        <w:tc>
          <w:tcPr>
            <w:tcW w:w="841" w:type="dxa"/>
            <w:gridSpan w:val="2"/>
            <w:tcBorders>
              <w:top w:val="nil"/>
              <w:left w:val="nil"/>
              <w:bottom w:val="nil"/>
              <w:right w:val="nil"/>
            </w:tcBorders>
            <w:vAlign w:val="bottom"/>
          </w:tcPr>
          <w:p w14:paraId="7B56E2E9" w14:textId="77777777" w:rsidR="00E20A30" w:rsidRDefault="00E20A30" w:rsidP="00E20A30">
            <w:pPr>
              <w:pStyle w:val="-7"/>
              <w:bidi w:val="0"/>
              <w:spacing w:line="60" w:lineRule="exact"/>
              <w:rPr>
                <w:rtl/>
              </w:rPr>
            </w:pPr>
          </w:p>
        </w:tc>
        <w:tc>
          <w:tcPr>
            <w:tcW w:w="1420" w:type="dxa"/>
            <w:gridSpan w:val="2"/>
            <w:tcBorders>
              <w:top w:val="nil"/>
              <w:left w:val="nil"/>
              <w:bottom w:val="nil"/>
              <w:right w:val="nil"/>
            </w:tcBorders>
            <w:vAlign w:val="bottom"/>
          </w:tcPr>
          <w:p w14:paraId="4F4BF20A" w14:textId="77777777" w:rsidR="00E20A30" w:rsidRDefault="00E20A30" w:rsidP="00E20A30">
            <w:pPr>
              <w:pStyle w:val="-7"/>
              <w:bidi w:val="0"/>
              <w:spacing w:line="60" w:lineRule="exact"/>
              <w:rPr>
                <w:rtl/>
              </w:rPr>
            </w:pPr>
          </w:p>
        </w:tc>
      </w:tr>
      <w:tr w:rsidR="00E20A30" w:rsidRPr="00543C25" w14:paraId="5570BAE3" w14:textId="77777777" w:rsidTr="00DC6BA9">
        <w:tc>
          <w:tcPr>
            <w:tcW w:w="1133" w:type="dxa"/>
            <w:tcBorders>
              <w:top w:val="nil"/>
              <w:left w:val="nil"/>
              <w:bottom w:val="nil"/>
              <w:right w:val="nil"/>
            </w:tcBorders>
          </w:tcPr>
          <w:p w14:paraId="73F5BDB2"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357B38F2" w14:textId="77777777" w:rsidR="00E20A30" w:rsidRPr="00EF3E60" w:rsidRDefault="00E20A30" w:rsidP="00E20A30">
            <w:pPr>
              <w:pStyle w:val="-0"/>
              <w:spacing w:before="20"/>
              <w:rPr>
                <w:rtl/>
              </w:rPr>
            </w:pPr>
            <w:r w:rsidRPr="00EF075C">
              <w:rPr>
                <w:rFonts w:hint="cs"/>
                <w:rtl/>
              </w:rPr>
              <w:t>ריבית שהתקבלה</w:t>
            </w:r>
          </w:p>
        </w:tc>
        <w:tc>
          <w:tcPr>
            <w:tcW w:w="284" w:type="dxa"/>
            <w:tcBorders>
              <w:top w:val="nil"/>
              <w:left w:val="nil"/>
              <w:bottom w:val="nil"/>
              <w:right w:val="nil"/>
            </w:tcBorders>
            <w:tcMar>
              <w:left w:w="58" w:type="dxa"/>
              <w:right w:w="58" w:type="dxa"/>
            </w:tcMar>
          </w:tcPr>
          <w:p w14:paraId="53446950"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02891442"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5FDAD48F"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69194EB6"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0AED8804"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5587CA82" w14:textId="77777777" w:rsidR="00E20A30" w:rsidRDefault="00E20A30" w:rsidP="00E20A30">
            <w:pPr>
              <w:pStyle w:val="-7"/>
              <w:spacing w:before="20"/>
              <w:rPr>
                <w:rtl/>
              </w:rPr>
            </w:pPr>
            <w:r>
              <w:rPr>
                <w:rFonts w:hint="cs"/>
                <w:rtl/>
              </w:rPr>
              <w:t xml:space="preserve"> 0</w:t>
            </w:r>
          </w:p>
        </w:tc>
      </w:tr>
      <w:tr w:rsidR="00E20A30" w:rsidRPr="00543C25" w14:paraId="6B1E8C38" w14:textId="77777777" w:rsidTr="00DC6BA9">
        <w:tc>
          <w:tcPr>
            <w:tcW w:w="1133" w:type="dxa"/>
            <w:tcBorders>
              <w:top w:val="nil"/>
              <w:left w:val="nil"/>
              <w:bottom w:val="nil"/>
              <w:right w:val="nil"/>
            </w:tcBorders>
          </w:tcPr>
          <w:p w14:paraId="60BE7240"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0531EEA6" w14:textId="77777777" w:rsidR="00E20A30" w:rsidRPr="00EF3E60" w:rsidRDefault="00E20A30" w:rsidP="00E20A30">
            <w:pPr>
              <w:pStyle w:val="-0"/>
              <w:spacing w:before="20"/>
              <w:rPr>
                <w:sz w:val="24"/>
                <w:szCs w:val="24"/>
                <w:rtl/>
              </w:rPr>
            </w:pPr>
            <w:r w:rsidRPr="00EF075C">
              <w:rPr>
                <w:rFonts w:hint="cs"/>
                <w:rtl/>
              </w:rPr>
              <w:t>ריבית ששולמה</w:t>
            </w:r>
          </w:p>
        </w:tc>
        <w:tc>
          <w:tcPr>
            <w:tcW w:w="284" w:type="dxa"/>
            <w:tcBorders>
              <w:top w:val="nil"/>
              <w:left w:val="nil"/>
              <w:bottom w:val="nil"/>
              <w:right w:val="nil"/>
            </w:tcBorders>
            <w:tcMar>
              <w:left w:w="58" w:type="dxa"/>
              <w:right w:w="58" w:type="dxa"/>
            </w:tcMar>
          </w:tcPr>
          <w:p w14:paraId="679D1145"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0FAC8266"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68133FF8"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458A00C8"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5A4CE3E1"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52CF05CE" w14:textId="77777777" w:rsidR="00E20A30" w:rsidRDefault="00E20A30" w:rsidP="00E20A30">
            <w:pPr>
              <w:pStyle w:val="-7"/>
              <w:spacing w:before="20"/>
              <w:rPr>
                <w:rtl/>
              </w:rPr>
            </w:pPr>
            <w:r>
              <w:rPr>
                <w:rFonts w:hint="cs"/>
                <w:rtl/>
              </w:rPr>
              <w:t xml:space="preserve"> 0</w:t>
            </w:r>
          </w:p>
        </w:tc>
      </w:tr>
      <w:tr w:rsidR="00E20A30" w:rsidRPr="00543C25" w14:paraId="50976ABF" w14:textId="77777777" w:rsidTr="00DC6BA9">
        <w:tc>
          <w:tcPr>
            <w:tcW w:w="1133" w:type="dxa"/>
            <w:tcBorders>
              <w:top w:val="nil"/>
              <w:left w:val="nil"/>
              <w:bottom w:val="nil"/>
              <w:right w:val="nil"/>
            </w:tcBorders>
          </w:tcPr>
          <w:p w14:paraId="0DF63F20"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3AE06EFD" w14:textId="77777777" w:rsidR="00E20A30" w:rsidRPr="00EF3E60" w:rsidRDefault="00E20A30" w:rsidP="00E20A30">
            <w:pPr>
              <w:pStyle w:val="-0"/>
              <w:spacing w:before="20"/>
              <w:rPr>
                <w:rtl/>
              </w:rPr>
            </w:pPr>
            <w:r w:rsidRPr="00EF075C">
              <w:rPr>
                <w:rFonts w:hint="cs"/>
                <w:rtl/>
              </w:rPr>
              <w:t>דיבידנדים שהתקבלו</w:t>
            </w:r>
          </w:p>
        </w:tc>
        <w:tc>
          <w:tcPr>
            <w:tcW w:w="284" w:type="dxa"/>
            <w:tcBorders>
              <w:top w:val="nil"/>
              <w:left w:val="nil"/>
              <w:bottom w:val="nil"/>
              <w:right w:val="nil"/>
            </w:tcBorders>
            <w:tcMar>
              <w:left w:w="58" w:type="dxa"/>
              <w:right w:w="58" w:type="dxa"/>
            </w:tcMar>
          </w:tcPr>
          <w:p w14:paraId="4F0EBADF"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0323EA7C"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13E758FD"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2D4D8F65"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1382E9FD"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20574FA7" w14:textId="77777777" w:rsidR="00E20A30" w:rsidRDefault="00E20A30" w:rsidP="00E20A30">
            <w:pPr>
              <w:pStyle w:val="-7"/>
              <w:spacing w:before="20"/>
              <w:rPr>
                <w:rtl/>
              </w:rPr>
            </w:pPr>
            <w:r>
              <w:rPr>
                <w:rFonts w:hint="cs"/>
                <w:rtl/>
              </w:rPr>
              <w:t xml:space="preserve"> 0</w:t>
            </w:r>
          </w:p>
        </w:tc>
      </w:tr>
      <w:tr w:rsidR="00E20A30" w:rsidRPr="00543C25" w14:paraId="455ADFE6" w14:textId="77777777" w:rsidTr="00DC6BA9">
        <w:tc>
          <w:tcPr>
            <w:tcW w:w="1133" w:type="dxa"/>
            <w:tcBorders>
              <w:top w:val="nil"/>
              <w:left w:val="nil"/>
              <w:bottom w:val="nil"/>
              <w:right w:val="nil"/>
            </w:tcBorders>
          </w:tcPr>
          <w:p w14:paraId="5BE6FA40"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471B536C" w14:textId="77777777" w:rsidR="00E20A30" w:rsidRDefault="00E20A30" w:rsidP="00E20A30">
            <w:pPr>
              <w:pStyle w:val="-0"/>
              <w:spacing w:before="20"/>
              <w:rPr>
                <w:rtl/>
              </w:rPr>
            </w:pPr>
            <w:r>
              <w:rPr>
                <w:rFonts w:hint="cs"/>
                <w:rtl/>
              </w:rPr>
              <w:t xml:space="preserve">מסים על </w:t>
            </w:r>
            <w:r w:rsidRPr="00701536">
              <w:rPr>
                <w:rFonts w:hint="cs"/>
                <w:rtl/>
              </w:rPr>
              <w:t>הכנסה ששולמו</w:t>
            </w:r>
          </w:p>
        </w:tc>
        <w:tc>
          <w:tcPr>
            <w:tcW w:w="284" w:type="dxa"/>
            <w:tcBorders>
              <w:top w:val="nil"/>
              <w:left w:val="nil"/>
              <w:bottom w:val="nil"/>
              <w:right w:val="nil"/>
            </w:tcBorders>
            <w:tcMar>
              <w:left w:w="58" w:type="dxa"/>
              <w:right w:w="58" w:type="dxa"/>
            </w:tcMar>
          </w:tcPr>
          <w:p w14:paraId="7E5C3ED5"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33E36119"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3510CF54"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60EE9BC9"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3CDB58CB"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45EA375E" w14:textId="77777777" w:rsidR="00E20A30" w:rsidRDefault="00E20A30" w:rsidP="00E20A30">
            <w:pPr>
              <w:pStyle w:val="-7"/>
              <w:spacing w:before="20"/>
              <w:rPr>
                <w:rtl/>
              </w:rPr>
            </w:pPr>
            <w:r>
              <w:rPr>
                <w:rFonts w:hint="cs"/>
                <w:rtl/>
              </w:rPr>
              <w:t xml:space="preserve"> 0</w:t>
            </w:r>
          </w:p>
        </w:tc>
      </w:tr>
      <w:tr w:rsidR="00E20A30" w:rsidRPr="00543C25" w14:paraId="65DC7DBD" w14:textId="77777777" w:rsidTr="00DC6BA9">
        <w:tc>
          <w:tcPr>
            <w:tcW w:w="1133" w:type="dxa"/>
            <w:tcBorders>
              <w:top w:val="nil"/>
              <w:left w:val="nil"/>
              <w:bottom w:val="nil"/>
              <w:right w:val="nil"/>
            </w:tcBorders>
          </w:tcPr>
          <w:p w14:paraId="4A4C50B9" w14:textId="77777777" w:rsidR="00E20A30" w:rsidRDefault="00E20A30" w:rsidP="00E20A30">
            <w:pPr>
              <w:pStyle w:val="-7"/>
              <w:spacing w:before="20"/>
              <w:rPr>
                <w:rtl/>
              </w:rPr>
            </w:pPr>
          </w:p>
        </w:tc>
        <w:tc>
          <w:tcPr>
            <w:tcW w:w="3866" w:type="dxa"/>
            <w:gridSpan w:val="2"/>
            <w:tcBorders>
              <w:top w:val="nil"/>
              <w:left w:val="nil"/>
              <w:bottom w:val="nil"/>
              <w:right w:val="nil"/>
            </w:tcBorders>
            <w:vAlign w:val="bottom"/>
          </w:tcPr>
          <w:p w14:paraId="6CC19EB3" w14:textId="77777777" w:rsidR="00E20A30" w:rsidRDefault="00E20A30" w:rsidP="00E20A30">
            <w:pPr>
              <w:pStyle w:val="-0"/>
              <w:spacing w:before="20"/>
              <w:rPr>
                <w:rtl/>
              </w:rPr>
            </w:pPr>
            <w:r>
              <w:rPr>
                <w:rFonts w:hint="cs"/>
                <w:rtl/>
              </w:rPr>
              <w:t>מסים על הכנסה שהתקבלו</w:t>
            </w:r>
          </w:p>
        </w:tc>
        <w:tc>
          <w:tcPr>
            <w:tcW w:w="284" w:type="dxa"/>
            <w:tcBorders>
              <w:top w:val="nil"/>
              <w:left w:val="nil"/>
              <w:bottom w:val="nil"/>
              <w:right w:val="nil"/>
            </w:tcBorders>
            <w:tcMar>
              <w:left w:w="58" w:type="dxa"/>
              <w:right w:w="58" w:type="dxa"/>
            </w:tcMar>
          </w:tcPr>
          <w:p w14:paraId="5AF21C88" w14:textId="77777777" w:rsidR="00E20A30" w:rsidRDefault="00E20A30" w:rsidP="00E20A30">
            <w:pPr>
              <w:pStyle w:val="-7"/>
              <w:spacing w:before="20"/>
              <w:rPr>
                <w:rtl/>
              </w:rPr>
            </w:pPr>
          </w:p>
        </w:tc>
        <w:tc>
          <w:tcPr>
            <w:tcW w:w="841" w:type="dxa"/>
            <w:gridSpan w:val="2"/>
            <w:tcBorders>
              <w:top w:val="nil"/>
              <w:left w:val="nil"/>
              <w:bottom w:val="nil"/>
              <w:right w:val="nil"/>
            </w:tcBorders>
            <w:vAlign w:val="bottom"/>
          </w:tcPr>
          <w:p w14:paraId="153D6FA4"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70F09F12"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5A137417" w14:textId="77777777" w:rsidR="00E20A30" w:rsidRDefault="00E20A30" w:rsidP="00E20A30">
            <w:pPr>
              <w:pStyle w:val="-7"/>
              <w:spacing w:before="20"/>
              <w:rPr>
                <w:rtl/>
              </w:rPr>
            </w:pPr>
            <w:r>
              <w:rPr>
                <w:rFonts w:hint="cs"/>
                <w:rtl/>
              </w:rPr>
              <w:t xml:space="preserve"> 0</w:t>
            </w:r>
          </w:p>
        </w:tc>
        <w:tc>
          <w:tcPr>
            <w:tcW w:w="841" w:type="dxa"/>
            <w:gridSpan w:val="2"/>
            <w:tcBorders>
              <w:top w:val="nil"/>
              <w:left w:val="nil"/>
              <w:bottom w:val="nil"/>
              <w:right w:val="nil"/>
            </w:tcBorders>
            <w:vAlign w:val="bottom"/>
          </w:tcPr>
          <w:p w14:paraId="37598E9E" w14:textId="77777777" w:rsidR="00E20A30" w:rsidRDefault="00E20A30" w:rsidP="00E20A30">
            <w:pPr>
              <w:pStyle w:val="-7"/>
              <w:spacing w:before="20"/>
              <w:rPr>
                <w:rtl/>
              </w:rPr>
            </w:pPr>
            <w:r>
              <w:rPr>
                <w:rFonts w:hint="cs"/>
                <w:rtl/>
              </w:rPr>
              <w:t xml:space="preserve"> 0</w:t>
            </w:r>
          </w:p>
        </w:tc>
        <w:tc>
          <w:tcPr>
            <w:tcW w:w="1420" w:type="dxa"/>
            <w:gridSpan w:val="2"/>
            <w:tcBorders>
              <w:top w:val="nil"/>
              <w:left w:val="nil"/>
              <w:bottom w:val="nil"/>
              <w:right w:val="nil"/>
            </w:tcBorders>
            <w:vAlign w:val="bottom"/>
          </w:tcPr>
          <w:p w14:paraId="01C10B55" w14:textId="77777777" w:rsidR="00E20A30" w:rsidRDefault="00E20A30" w:rsidP="00E20A30">
            <w:pPr>
              <w:pStyle w:val="-7"/>
              <w:spacing w:before="20"/>
              <w:rPr>
                <w:rtl/>
              </w:rPr>
            </w:pPr>
            <w:r>
              <w:rPr>
                <w:rFonts w:hint="cs"/>
                <w:rtl/>
              </w:rPr>
              <w:t xml:space="preserve"> 0</w:t>
            </w:r>
          </w:p>
        </w:tc>
      </w:tr>
    </w:tbl>
    <w:p w14:paraId="56D0AEE7" w14:textId="77777777" w:rsidR="000970E3" w:rsidRDefault="000970E3" w:rsidP="00021F48">
      <w:pPr>
        <w:rPr>
          <w:rtl/>
        </w:rPr>
      </w:pPr>
    </w:p>
    <w:p w14:paraId="007FDFD2" w14:textId="77777777" w:rsidR="00D12B77" w:rsidRDefault="00D12B77" w:rsidP="00021F48"/>
    <w:tbl>
      <w:tblPr>
        <w:bidiVisual/>
        <w:tblW w:w="4792" w:type="pct"/>
        <w:tblLook w:val="04A0" w:firstRow="1" w:lastRow="0" w:firstColumn="1" w:lastColumn="0" w:noHBand="0" w:noVBand="1"/>
      </w:tblPr>
      <w:tblGrid>
        <w:gridCol w:w="1134"/>
        <w:gridCol w:w="8648"/>
      </w:tblGrid>
      <w:tr w:rsidR="00D12B77" w:rsidRPr="00D851E7" w14:paraId="0DFDB4AD" w14:textId="77777777" w:rsidTr="00D12B77">
        <w:trPr>
          <w:trHeight w:val="259"/>
        </w:trPr>
        <w:tc>
          <w:tcPr>
            <w:tcW w:w="1134" w:type="dxa"/>
          </w:tcPr>
          <w:p w14:paraId="01237C5F" w14:textId="77777777" w:rsidR="00D12B77" w:rsidRPr="00ED6312" w:rsidRDefault="00D12B77" w:rsidP="00C57F10">
            <w:pPr>
              <w:pStyle w:val="-7"/>
              <w:bidi w:val="0"/>
              <w:spacing w:line="240" w:lineRule="auto"/>
              <w:ind w:right="-231"/>
              <w:jc w:val="left"/>
              <w:rPr>
                <w:spacing w:val="-6"/>
                <w:sz w:val="14"/>
                <w:szCs w:val="14"/>
                <w:rtl/>
              </w:rPr>
            </w:pPr>
          </w:p>
        </w:tc>
        <w:tc>
          <w:tcPr>
            <w:tcW w:w="8648" w:type="dxa"/>
          </w:tcPr>
          <w:p w14:paraId="4966F625" w14:textId="77777777" w:rsidR="00D12B77" w:rsidRPr="004F0CDC" w:rsidRDefault="00D12B77" w:rsidP="00C57F10">
            <w:pPr>
              <w:rPr>
                <w:sz w:val="17"/>
                <w:szCs w:val="17"/>
                <w:rtl/>
              </w:rPr>
            </w:pPr>
            <w:r>
              <w:rPr>
                <w:rFonts w:hint="cs"/>
                <w:sz w:val="17"/>
                <w:szCs w:val="17"/>
                <w:rtl/>
              </w:rPr>
              <w:t xml:space="preserve">* </w:t>
            </w:r>
            <w:r w:rsidRPr="004F0CDC">
              <w:rPr>
                <w:sz w:val="17"/>
                <w:szCs w:val="17"/>
                <w:rtl/>
              </w:rPr>
              <w:t xml:space="preserve">יושם למפרע, </w:t>
            </w:r>
            <w:r w:rsidRPr="004F0CDC">
              <w:rPr>
                <w:rFonts w:hint="cs"/>
                <w:sz w:val="17"/>
                <w:szCs w:val="17"/>
                <w:rtl/>
              </w:rPr>
              <w:t>ראה</w:t>
            </w:r>
            <w:r w:rsidRPr="004F0CDC">
              <w:rPr>
                <w:sz w:val="17"/>
                <w:szCs w:val="17"/>
                <w:rtl/>
              </w:rPr>
              <w:t xml:space="preserve"> ביאור </w:t>
            </w:r>
            <w:r w:rsidRPr="005F709A">
              <w:rPr>
                <w:sz w:val="16"/>
                <w:szCs w:val="16"/>
                <w:rtl/>
              </w:rPr>
              <w:t>1(</w:t>
            </w:r>
            <w:r w:rsidRPr="005F709A">
              <w:rPr>
                <w:rFonts w:hint="cs"/>
                <w:sz w:val="16"/>
                <w:szCs w:val="16"/>
                <w:rtl/>
              </w:rPr>
              <w:t>ה</w:t>
            </w:r>
            <w:r w:rsidRPr="005F709A">
              <w:rPr>
                <w:sz w:val="16"/>
                <w:szCs w:val="16"/>
                <w:rtl/>
              </w:rPr>
              <w:t>)(1)</w:t>
            </w:r>
            <w:r>
              <w:rPr>
                <w:rFonts w:hint="cs"/>
                <w:sz w:val="17"/>
                <w:szCs w:val="17"/>
                <w:rtl/>
              </w:rPr>
              <w:t xml:space="preserve"> / </w:t>
            </w:r>
            <w:r w:rsidRPr="00CE0F9D">
              <w:rPr>
                <w:sz w:val="17"/>
                <w:szCs w:val="17"/>
                <w:rtl/>
              </w:rPr>
              <w:t>**</w:t>
            </w:r>
            <w:r>
              <w:rPr>
                <w:rFonts w:hint="cs"/>
                <w:sz w:val="17"/>
                <w:szCs w:val="17"/>
                <w:rtl/>
              </w:rPr>
              <w:t xml:space="preserve"> </w:t>
            </w:r>
            <w:r w:rsidRPr="00CE0F9D">
              <w:rPr>
                <w:sz w:val="17"/>
                <w:szCs w:val="17"/>
                <w:rtl/>
              </w:rPr>
              <w:t xml:space="preserve">סווג מחדש, ראה ביאור </w:t>
            </w:r>
            <w:r w:rsidRPr="005F709A">
              <w:rPr>
                <w:sz w:val="16"/>
                <w:szCs w:val="16"/>
                <w:rtl/>
              </w:rPr>
              <w:t>1(</w:t>
            </w:r>
            <w:r w:rsidRPr="005F709A">
              <w:rPr>
                <w:rFonts w:hint="cs"/>
                <w:sz w:val="16"/>
                <w:szCs w:val="16"/>
                <w:rtl/>
              </w:rPr>
              <w:t>ה</w:t>
            </w:r>
            <w:r w:rsidRPr="005F709A">
              <w:rPr>
                <w:sz w:val="16"/>
                <w:szCs w:val="16"/>
                <w:rtl/>
              </w:rPr>
              <w:t>)(2)</w:t>
            </w:r>
            <w:r>
              <w:rPr>
                <w:rFonts w:hint="cs"/>
                <w:sz w:val="17"/>
                <w:szCs w:val="17"/>
                <w:rtl/>
              </w:rPr>
              <w:t xml:space="preserve"> / </w:t>
            </w:r>
            <w:r w:rsidRPr="00CE0F9D">
              <w:rPr>
                <w:sz w:val="17"/>
                <w:szCs w:val="17"/>
                <w:rtl/>
              </w:rPr>
              <w:t>***</w:t>
            </w:r>
            <w:r>
              <w:rPr>
                <w:rFonts w:hint="cs"/>
                <w:sz w:val="17"/>
                <w:szCs w:val="17"/>
                <w:rtl/>
              </w:rPr>
              <w:t xml:space="preserve"> ה</w:t>
            </w:r>
            <w:r w:rsidRPr="00CE0F9D">
              <w:rPr>
                <w:sz w:val="17"/>
                <w:szCs w:val="17"/>
                <w:rtl/>
              </w:rPr>
              <w:t xml:space="preserve">וצג מחדש, ראה ביאור </w:t>
            </w:r>
            <w:r w:rsidRPr="005F709A">
              <w:rPr>
                <w:sz w:val="16"/>
                <w:szCs w:val="16"/>
                <w:rtl/>
              </w:rPr>
              <w:t>1(</w:t>
            </w:r>
            <w:r w:rsidRPr="005F709A">
              <w:rPr>
                <w:rFonts w:hint="cs"/>
                <w:sz w:val="16"/>
                <w:szCs w:val="16"/>
                <w:rtl/>
              </w:rPr>
              <w:t>ה</w:t>
            </w:r>
            <w:r w:rsidRPr="005F709A">
              <w:rPr>
                <w:sz w:val="16"/>
                <w:szCs w:val="16"/>
                <w:rtl/>
              </w:rPr>
              <w:t>)(3)</w:t>
            </w:r>
          </w:p>
        </w:tc>
      </w:tr>
    </w:tbl>
    <w:p w14:paraId="7B955296" w14:textId="77777777" w:rsidR="00021F48" w:rsidRPr="00D12B77" w:rsidRDefault="00021F48" w:rsidP="00021F48">
      <w:pPr>
        <w:rPr>
          <w:rtl/>
        </w:rPr>
      </w:pPr>
    </w:p>
    <w:p w14:paraId="6EC4A4C3" w14:textId="77777777" w:rsidR="00D12B77" w:rsidRPr="00DC6311" w:rsidRDefault="00D12B77" w:rsidP="00021F48"/>
    <w:tbl>
      <w:tblPr>
        <w:bidiVisual/>
        <w:tblW w:w="5000" w:type="pct"/>
        <w:tblLook w:val="04A0" w:firstRow="1" w:lastRow="0" w:firstColumn="1" w:lastColumn="0" w:noHBand="0" w:noVBand="1"/>
      </w:tblPr>
      <w:tblGrid>
        <w:gridCol w:w="1139"/>
        <w:gridCol w:w="9068"/>
      </w:tblGrid>
      <w:tr w:rsidR="00021F48" w:rsidRPr="00D851E7" w14:paraId="7D3A1D54" w14:textId="77777777" w:rsidTr="00D12B77">
        <w:trPr>
          <w:trHeight w:val="259"/>
        </w:trPr>
        <w:tc>
          <w:tcPr>
            <w:tcW w:w="1139" w:type="dxa"/>
          </w:tcPr>
          <w:p w14:paraId="2A8E4179" w14:textId="77777777" w:rsidR="00021F48" w:rsidRPr="00ED6312" w:rsidRDefault="00021F48" w:rsidP="00701C21">
            <w:pPr>
              <w:pStyle w:val="-7"/>
              <w:bidi w:val="0"/>
              <w:ind w:right="-231"/>
              <w:jc w:val="left"/>
              <w:rPr>
                <w:spacing w:val="-6"/>
                <w:sz w:val="14"/>
                <w:szCs w:val="14"/>
                <w:rtl/>
              </w:rPr>
            </w:pPr>
          </w:p>
        </w:tc>
        <w:tc>
          <w:tcPr>
            <w:tcW w:w="9068" w:type="dxa"/>
          </w:tcPr>
          <w:p w14:paraId="2E7297E6" w14:textId="77777777" w:rsidR="00021F48" w:rsidRPr="00543C25" w:rsidRDefault="00DF4EAA" w:rsidP="00701C21">
            <w:pPr>
              <w:rPr>
                <w:rtl/>
              </w:rPr>
            </w:pPr>
            <w:r w:rsidRPr="00543C25">
              <w:rPr>
                <w:b/>
                <w:bCs/>
                <w:rtl/>
              </w:rPr>
              <w:t xml:space="preserve"> הביאורים ל</w:t>
            </w:r>
            <w:r>
              <w:rPr>
                <w:rFonts w:hint="cs"/>
                <w:b/>
                <w:bCs/>
                <w:rtl/>
              </w:rPr>
              <w:t xml:space="preserve">תמצית </w:t>
            </w:r>
            <w:r w:rsidR="00A14188">
              <w:rPr>
                <w:rFonts w:hint="cs"/>
                <w:b/>
                <w:bCs/>
                <w:rtl/>
              </w:rPr>
              <w:t>ה</w:t>
            </w:r>
            <w:r w:rsidRPr="00543C25">
              <w:rPr>
                <w:b/>
                <w:bCs/>
                <w:rtl/>
              </w:rPr>
              <w:t xml:space="preserve">דוחות הכספיים מהווים חלק בלתי נפרד </w:t>
            </w:r>
            <w:r>
              <w:rPr>
                <w:rFonts w:hint="cs"/>
                <w:b/>
                <w:bCs/>
                <w:rtl/>
              </w:rPr>
              <w:t>ממנה.</w:t>
            </w:r>
          </w:p>
        </w:tc>
      </w:tr>
    </w:tbl>
    <w:p w14:paraId="39842A5C" w14:textId="77777777" w:rsidR="00DE0B68" w:rsidRDefault="00DE0B68" w:rsidP="002A5096">
      <w:pPr>
        <w:pStyle w:val="-2"/>
        <w:ind w:left="1560"/>
        <w:rPr>
          <w:rtl/>
        </w:rPr>
      </w:pPr>
    </w:p>
    <w:p w14:paraId="1E59D53B" w14:textId="77777777" w:rsidR="00DE0B68" w:rsidRDefault="00DE0B68" w:rsidP="002C3501">
      <w:pPr>
        <w:pStyle w:val="-2"/>
        <w:rPr>
          <w:rtl/>
        </w:rPr>
        <w:sectPr w:rsidR="00DE0B68" w:rsidSect="00587121">
          <w:headerReference w:type="default" r:id="rId32"/>
          <w:footnotePr>
            <w:numRestart w:val="eachPage"/>
          </w:footnotePr>
          <w:pgSz w:w="11909" w:h="16834" w:code="9"/>
          <w:pgMar w:top="851" w:right="851" w:bottom="851" w:left="851" w:header="720" w:footer="720" w:gutter="0"/>
          <w:cols w:space="720"/>
          <w:bidi/>
          <w:rtlGutter/>
          <w:docGrid w:linePitch="360"/>
        </w:sectPr>
      </w:pPr>
    </w:p>
    <w:p w14:paraId="7755E8AF" w14:textId="77777777" w:rsidR="00E60D2C" w:rsidRDefault="00E60D2C" w:rsidP="00106371">
      <w:pPr>
        <w:pStyle w:val="-2"/>
        <w:ind w:left="1276" w:hanging="141"/>
        <w:rPr>
          <w:rtl/>
        </w:rPr>
      </w:pPr>
      <w:r w:rsidRPr="00543C25">
        <w:rPr>
          <w:rFonts w:hint="cs"/>
          <w:rtl/>
        </w:rPr>
        <w:lastRenderedPageBreak/>
        <w:t>בנק</w:t>
      </w:r>
      <w:r w:rsidRPr="00543C25">
        <w:rPr>
          <w:rtl/>
        </w:rPr>
        <w:t xml:space="preserve"> </w:t>
      </w:r>
      <w:r w:rsidRPr="004D57D2">
        <w:rPr>
          <w:rFonts w:hint="cs"/>
          <w:rtl/>
        </w:rPr>
        <w:t xml:space="preserve">לדוגמה </w:t>
      </w:r>
      <w:r w:rsidRPr="004D57D2">
        <w:rPr>
          <w:rtl/>
        </w:rPr>
        <w:t>בע"מ וחברות מאוחדות שלו</w:t>
      </w:r>
    </w:p>
    <w:p w14:paraId="35CC80E1" w14:textId="21DADD0E" w:rsidR="00E60D2C" w:rsidRPr="00E60D2C" w:rsidRDefault="00E60D2C" w:rsidP="00106371">
      <w:pPr>
        <w:pStyle w:val="-2"/>
        <w:spacing w:after="80"/>
        <w:ind w:left="1276" w:hanging="141"/>
        <w:rPr>
          <w:u w:val="single"/>
          <w:rtl/>
        </w:rPr>
      </w:pPr>
      <w:r w:rsidRPr="00E60D2C">
        <w:rPr>
          <w:rFonts w:hint="cs"/>
          <w:u w:val="single"/>
          <w:rtl/>
        </w:rPr>
        <w:t xml:space="preserve">תמצית דוח על תזרימי מזומנים מאוחד לתקופות שהסתיימו ביום 30 ביוני </w:t>
      </w:r>
      <w:r w:rsidR="00C803FD" w:rsidRPr="00C803FD">
        <w:rPr>
          <w:u w:val="single"/>
          <w:rtl/>
        </w:rPr>
        <w:fldChar w:fldCharType="begin"/>
      </w:r>
      <w:r w:rsidR="00C803FD" w:rsidRPr="00C803FD">
        <w:rPr>
          <w:u w:val="single"/>
          <w:rtl/>
        </w:rPr>
        <w:instrText xml:space="preserve"> </w:instrText>
      </w:r>
      <w:r w:rsidR="00C803FD" w:rsidRPr="00C803FD">
        <w:rPr>
          <w:rFonts w:hint="cs"/>
          <w:u w:val="single"/>
          <w:rtl/>
        </w:rPr>
        <w:instrText xml:space="preserve">= </w:instrText>
      </w:r>
      <w:r w:rsidR="00C803FD" w:rsidRPr="00C803FD">
        <w:rPr>
          <w:rFonts w:hint="cs"/>
          <w:u w:val="single"/>
        </w:rPr>
        <w:instrText>CY \* MERGEFORMAT</w:instrText>
      </w:r>
      <w:r w:rsidR="00C803FD" w:rsidRPr="00C803FD">
        <w:rPr>
          <w:u w:val="single"/>
          <w:rtl/>
        </w:rPr>
        <w:instrText xml:space="preserve"> </w:instrText>
      </w:r>
      <w:r w:rsidR="00C803FD" w:rsidRPr="00C803FD">
        <w:rPr>
          <w:u w:val="single"/>
          <w:rtl/>
        </w:rPr>
        <w:fldChar w:fldCharType="separate"/>
      </w:r>
      <w:r w:rsidR="003A584F">
        <w:rPr>
          <w:noProof/>
          <w:u w:val="single"/>
          <w:rtl/>
        </w:rPr>
        <w:t>2024</w:t>
      </w:r>
      <w:r w:rsidR="00C803FD" w:rsidRPr="00C803FD">
        <w:rPr>
          <w:u w:val="single"/>
          <w:rtl/>
        </w:rPr>
        <w:fldChar w:fldCharType="end"/>
      </w:r>
      <w:r w:rsidR="00C803FD" w:rsidRPr="00E60D2C">
        <w:rPr>
          <w:rFonts w:hint="cs"/>
          <w:u w:val="single"/>
          <w:rtl/>
        </w:rPr>
        <w:t xml:space="preserve"> </w:t>
      </w:r>
      <w:r w:rsidRPr="00E60D2C">
        <w:rPr>
          <w:rFonts w:hint="cs"/>
          <w:u w:val="single"/>
          <w:rtl/>
        </w:rPr>
        <w:t>(המשך)</w:t>
      </w:r>
    </w:p>
    <w:p w14:paraId="01790299" w14:textId="77777777" w:rsidR="00E60D2C" w:rsidRPr="00E60D2C" w:rsidRDefault="00E60D2C" w:rsidP="00106371">
      <w:pPr>
        <w:pStyle w:val="-2"/>
        <w:spacing w:after="240"/>
        <w:ind w:left="1135"/>
        <w:rPr>
          <w:b w:val="0"/>
          <w:bCs w:val="0"/>
          <w:sz w:val="20"/>
          <w:szCs w:val="20"/>
          <w:rtl/>
        </w:rPr>
      </w:pPr>
      <w:r w:rsidRPr="00E60D2C">
        <w:rPr>
          <w:rFonts w:hint="cs"/>
          <w:b w:val="0"/>
          <w:bCs w:val="0"/>
          <w:sz w:val="20"/>
          <w:szCs w:val="20"/>
          <w:rtl/>
        </w:rPr>
        <w:t>סכומים מדווחים (במיליוני ש"ח)</w:t>
      </w:r>
    </w:p>
    <w:p w14:paraId="3ACF2ED7" w14:textId="77777777" w:rsidR="009B4655" w:rsidRPr="002C3501" w:rsidRDefault="009B4655" w:rsidP="009B4655">
      <w:pPr>
        <w:spacing w:line="96" w:lineRule="auto"/>
        <w:rPr>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4910"/>
        <w:gridCol w:w="698"/>
        <w:gridCol w:w="698"/>
        <w:gridCol w:w="698"/>
        <w:gridCol w:w="697"/>
        <w:gridCol w:w="1394"/>
      </w:tblGrid>
      <w:tr w:rsidR="00276C4F" w:rsidRPr="00906CF9" w14:paraId="7B2985CA" w14:textId="77777777" w:rsidTr="002431F0">
        <w:tc>
          <w:tcPr>
            <w:tcW w:w="1134" w:type="dxa"/>
            <w:tcBorders>
              <w:top w:val="nil"/>
              <w:left w:val="nil"/>
              <w:bottom w:val="nil"/>
              <w:right w:val="nil"/>
            </w:tcBorders>
          </w:tcPr>
          <w:p w14:paraId="3944B404" w14:textId="77777777" w:rsidR="00276C4F" w:rsidRPr="00906CF9" w:rsidRDefault="00276C4F" w:rsidP="00FF5D5E">
            <w:pPr>
              <w:pStyle w:val="-0"/>
              <w:spacing w:line="240" w:lineRule="auto"/>
              <w:ind w:left="0" w:firstLine="0"/>
              <w:rPr>
                <w:b/>
                <w:bCs/>
                <w:sz w:val="14"/>
                <w:szCs w:val="14"/>
                <w:rtl/>
              </w:rPr>
            </w:pPr>
            <w:r w:rsidRPr="00906CF9">
              <w:rPr>
                <w:rFonts w:hint="cs"/>
                <w:color w:val="auto"/>
                <w:sz w:val="14"/>
                <w:szCs w:val="14"/>
                <w:rtl/>
              </w:rPr>
              <w:t xml:space="preserve">מתכונת דוח </w:t>
            </w:r>
            <w:r w:rsidRPr="00906CF9">
              <w:rPr>
                <w:color w:val="auto"/>
                <w:sz w:val="14"/>
                <w:szCs w:val="14"/>
                <w:rtl/>
              </w:rPr>
              <w:br/>
            </w:r>
            <w:r w:rsidRPr="00906CF9">
              <w:rPr>
                <w:rFonts w:hint="cs"/>
                <w:color w:val="auto"/>
                <w:sz w:val="14"/>
                <w:szCs w:val="14"/>
                <w:rtl/>
              </w:rPr>
              <w:t>עמ' 663-14</w:t>
            </w:r>
          </w:p>
        </w:tc>
        <w:tc>
          <w:tcPr>
            <w:tcW w:w="5023" w:type="dxa"/>
            <w:tcBorders>
              <w:top w:val="nil"/>
              <w:left w:val="nil"/>
              <w:bottom w:val="nil"/>
              <w:right w:val="nil"/>
            </w:tcBorders>
          </w:tcPr>
          <w:p w14:paraId="1BBAC2FD" w14:textId="5F08BF9C" w:rsidR="00276C4F" w:rsidRPr="00906CF9" w:rsidRDefault="00906CF9" w:rsidP="00906CF9">
            <w:pPr>
              <w:pStyle w:val="-f4"/>
              <w:spacing w:after="0" w:line="240" w:lineRule="auto"/>
              <w:jc w:val="left"/>
              <w:rPr>
                <w:sz w:val="22"/>
                <w:szCs w:val="22"/>
                <w:u w:val="single"/>
                <w:rtl/>
              </w:rPr>
            </w:pPr>
            <w:r w:rsidRPr="00906CF9">
              <w:rPr>
                <w:rFonts w:hint="cs"/>
                <w:sz w:val="22"/>
                <w:szCs w:val="22"/>
                <w:u w:val="single"/>
                <w:rtl/>
              </w:rPr>
              <w:t>נספחים</w:t>
            </w:r>
            <w:r>
              <w:rPr>
                <w:rFonts w:hint="cs"/>
                <w:sz w:val="22"/>
                <w:szCs w:val="22"/>
                <w:u w:val="single"/>
                <w:rtl/>
              </w:rPr>
              <w:t>:</w:t>
            </w:r>
          </w:p>
        </w:tc>
        <w:tc>
          <w:tcPr>
            <w:tcW w:w="1418" w:type="dxa"/>
            <w:gridSpan w:val="2"/>
            <w:tcBorders>
              <w:top w:val="nil"/>
              <w:left w:val="nil"/>
              <w:bottom w:val="nil"/>
              <w:right w:val="nil"/>
            </w:tcBorders>
            <w:vAlign w:val="bottom"/>
          </w:tcPr>
          <w:p w14:paraId="67E4DD64" w14:textId="77777777" w:rsidR="00276C4F" w:rsidRPr="00906CF9" w:rsidRDefault="00276C4F" w:rsidP="00FF5D5E">
            <w:pPr>
              <w:pStyle w:val="-3"/>
              <w:pBdr>
                <w:bottom w:val="single" w:sz="4" w:space="1" w:color="auto"/>
              </w:pBdr>
              <w:spacing w:line="240" w:lineRule="auto"/>
              <w:jc w:val="center"/>
              <w:rPr>
                <w:b/>
                <w:bCs/>
                <w:sz w:val="18"/>
                <w:szCs w:val="18"/>
                <w:rtl/>
              </w:rPr>
            </w:pPr>
            <w:r w:rsidRPr="00906CF9">
              <w:rPr>
                <w:rFonts w:hint="cs"/>
                <w:b/>
                <w:bCs/>
                <w:sz w:val="18"/>
                <w:szCs w:val="18"/>
                <w:rtl/>
              </w:rPr>
              <w:t xml:space="preserve">לשלושה חודשים </w:t>
            </w:r>
            <w:r w:rsidRPr="00906CF9">
              <w:rPr>
                <w:b/>
                <w:bCs/>
                <w:sz w:val="18"/>
                <w:szCs w:val="18"/>
                <w:rtl/>
              </w:rPr>
              <w:br/>
            </w:r>
            <w:r w:rsidRPr="00906CF9">
              <w:rPr>
                <w:rFonts w:hint="cs"/>
                <w:b/>
                <w:bCs/>
                <w:sz w:val="18"/>
                <w:szCs w:val="18"/>
                <w:rtl/>
              </w:rPr>
              <w:t xml:space="preserve">שהסתיימו </w:t>
            </w:r>
            <w:r w:rsidRPr="00906CF9">
              <w:rPr>
                <w:b/>
                <w:bCs/>
                <w:sz w:val="18"/>
                <w:szCs w:val="18"/>
                <w:rtl/>
              </w:rPr>
              <w:br/>
            </w:r>
            <w:r w:rsidRPr="00906CF9">
              <w:rPr>
                <w:rFonts w:hint="cs"/>
                <w:b/>
                <w:bCs/>
                <w:sz w:val="18"/>
                <w:szCs w:val="18"/>
                <w:rtl/>
              </w:rPr>
              <w:t>ביום 30 ביוני</w:t>
            </w:r>
          </w:p>
        </w:tc>
        <w:tc>
          <w:tcPr>
            <w:tcW w:w="1417" w:type="dxa"/>
            <w:gridSpan w:val="2"/>
            <w:tcBorders>
              <w:top w:val="nil"/>
              <w:left w:val="nil"/>
              <w:bottom w:val="nil"/>
              <w:right w:val="nil"/>
            </w:tcBorders>
            <w:vAlign w:val="bottom"/>
          </w:tcPr>
          <w:p w14:paraId="520E211D" w14:textId="77777777" w:rsidR="00276C4F" w:rsidRPr="00906CF9" w:rsidRDefault="00276C4F" w:rsidP="00FF5D5E">
            <w:pPr>
              <w:pStyle w:val="-3"/>
              <w:pBdr>
                <w:bottom w:val="single" w:sz="4" w:space="1" w:color="auto"/>
              </w:pBdr>
              <w:spacing w:line="240" w:lineRule="auto"/>
              <w:jc w:val="center"/>
              <w:rPr>
                <w:b/>
                <w:bCs/>
                <w:sz w:val="18"/>
                <w:szCs w:val="18"/>
                <w:rtl/>
              </w:rPr>
            </w:pPr>
            <w:r w:rsidRPr="00906CF9">
              <w:rPr>
                <w:rFonts w:hint="cs"/>
                <w:b/>
                <w:bCs/>
                <w:sz w:val="18"/>
                <w:szCs w:val="18"/>
                <w:rtl/>
              </w:rPr>
              <w:t xml:space="preserve">לשישה חודשים </w:t>
            </w:r>
            <w:r w:rsidRPr="00906CF9">
              <w:rPr>
                <w:b/>
                <w:bCs/>
                <w:sz w:val="18"/>
                <w:szCs w:val="18"/>
                <w:rtl/>
              </w:rPr>
              <w:br/>
            </w:r>
            <w:r w:rsidRPr="00906CF9">
              <w:rPr>
                <w:rFonts w:hint="cs"/>
                <w:b/>
                <w:bCs/>
                <w:sz w:val="18"/>
                <w:szCs w:val="18"/>
                <w:rtl/>
              </w:rPr>
              <w:t xml:space="preserve">שהסתיימו </w:t>
            </w:r>
            <w:r w:rsidRPr="00906CF9">
              <w:rPr>
                <w:b/>
                <w:bCs/>
                <w:sz w:val="18"/>
                <w:szCs w:val="18"/>
                <w:rtl/>
              </w:rPr>
              <w:br/>
            </w:r>
            <w:r w:rsidRPr="00906CF9">
              <w:rPr>
                <w:rFonts w:hint="cs"/>
                <w:b/>
                <w:bCs/>
                <w:sz w:val="18"/>
                <w:szCs w:val="18"/>
                <w:rtl/>
              </w:rPr>
              <w:t>ביום 30 ביוני</w:t>
            </w:r>
          </w:p>
        </w:tc>
        <w:tc>
          <w:tcPr>
            <w:tcW w:w="1422" w:type="dxa"/>
            <w:tcBorders>
              <w:top w:val="nil"/>
              <w:left w:val="nil"/>
              <w:bottom w:val="nil"/>
              <w:right w:val="nil"/>
            </w:tcBorders>
            <w:vAlign w:val="bottom"/>
          </w:tcPr>
          <w:p w14:paraId="031942EF" w14:textId="77777777" w:rsidR="00276C4F" w:rsidRPr="00906CF9" w:rsidRDefault="00276C4F" w:rsidP="00FF5D5E">
            <w:pPr>
              <w:pStyle w:val="-3"/>
              <w:pBdr>
                <w:bottom w:val="single" w:sz="4" w:space="1" w:color="auto"/>
              </w:pBdr>
              <w:spacing w:line="240" w:lineRule="auto"/>
              <w:jc w:val="center"/>
              <w:rPr>
                <w:b/>
                <w:bCs/>
                <w:sz w:val="18"/>
                <w:szCs w:val="18"/>
                <w:rtl/>
              </w:rPr>
            </w:pPr>
            <w:r w:rsidRPr="00906CF9">
              <w:rPr>
                <w:rFonts w:hint="cs"/>
                <w:b/>
                <w:bCs/>
                <w:sz w:val="18"/>
                <w:szCs w:val="18"/>
                <w:rtl/>
              </w:rPr>
              <w:t>לשנה שהסתיימה ביום 31 בדצמבר</w:t>
            </w:r>
          </w:p>
        </w:tc>
      </w:tr>
      <w:tr w:rsidR="00276C4F" w:rsidRPr="00906CF9" w14:paraId="2C2E2351" w14:textId="77777777" w:rsidTr="002431F0">
        <w:tc>
          <w:tcPr>
            <w:tcW w:w="1134" w:type="dxa"/>
            <w:tcBorders>
              <w:top w:val="nil"/>
              <w:left w:val="nil"/>
              <w:bottom w:val="nil"/>
              <w:right w:val="nil"/>
            </w:tcBorders>
            <w:vAlign w:val="center"/>
          </w:tcPr>
          <w:p w14:paraId="02FE94B8" w14:textId="77777777" w:rsidR="00276C4F" w:rsidRPr="00906CF9" w:rsidRDefault="00276C4F" w:rsidP="00FF5D5E">
            <w:pPr>
              <w:pStyle w:val="-0"/>
              <w:spacing w:line="240" w:lineRule="auto"/>
              <w:jc w:val="center"/>
              <w:rPr>
                <w:b/>
                <w:bCs/>
                <w:sz w:val="18"/>
                <w:szCs w:val="18"/>
              </w:rPr>
            </w:pPr>
          </w:p>
        </w:tc>
        <w:tc>
          <w:tcPr>
            <w:tcW w:w="5023" w:type="dxa"/>
            <w:tcBorders>
              <w:top w:val="nil"/>
              <w:left w:val="nil"/>
              <w:bottom w:val="nil"/>
              <w:right w:val="nil"/>
            </w:tcBorders>
          </w:tcPr>
          <w:p w14:paraId="7B9C0479" w14:textId="77777777" w:rsidR="00276C4F" w:rsidRPr="00906CF9" w:rsidRDefault="00276C4F" w:rsidP="00FF5D5E">
            <w:pPr>
              <w:pStyle w:val="-f4"/>
              <w:spacing w:after="0" w:line="240" w:lineRule="auto"/>
              <w:jc w:val="center"/>
              <w:rPr>
                <w:sz w:val="18"/>
                <w:szCs w:val="18"/>
                <w:rtl/>
              </w:rPr>
            </w:pPr>
          </w:p>
        </w:tc>
        <w:tc>
          <w:tcPr>
            <w:tcW w:w="709" w:type="dxa"/>
            <w:tcBorders>
              <w:top w:val="nil"/>
              <w:left w:val="nil"/>
              <w:bottom w:val="nil"/>
              <w:right w:val="nil"/>
            </w:tcBorders>
            <w:vAlign w:val="bottom"/>
          </w:tcPr>
          <w:p w14:paraId="4AB104DD" w14:textId="32433F06" w:rsidR="00276C4F" w:rsidRPr="00906CF9" w:rsidRDefault="00276C4F" w:rsidP="00914A73">
            <w:pPr>
              <w:pStyle w:val="-4"/>
              <w:spacing w:line="240" w:lineRule="auto"/>
              <w:rPr>
                <w:sz w:val="18"/>
                <w:szCs w:val="18"/>
                <w:rtl/>
              </w:rPr>
            </w:pPr>
            <w:r w:rsidRPr="00906CF9">
              <w:rPr>
                <w:sz w:val="18"/>
                <w:szCs w:val="18"/>
                <w:rtl/>
              </w:rPr>
              <w:fldChar w:fldCharType="begin"/>
            </w:r>
            <w:r w:rsidRPr="00906CF9">
              <w:rPr>
                <w:sz w:val="18"/>
                <w:szCs w:val="18"/>
                <w:rtl/>
              </w:rPr>
              <w:instrText xml:space="preserve"> </w:instrText>
            </w:r>
            <w:r w:rsidRPr="00906CF9">
              <w:rPr>
                <w:rFonts w:hint="cs"/>
                <w:sz w:val="18"/>
                <w:szCs w:val="18"/>
                <w:rtl/>
              </w:rPr>
              <w:instrText xml:space="preserve">= </w:instrText>
            </w:r>
            <w:r w:rsidRPr="00906CF9">
              <w:rPr>
                <w:rFonts w:hint="cs"/>
                <w:sz w:val="18"/>
                <w:szCs w:val="18"/>
              </w:rPr>
              <w:instrText>CY \* MERGEFORMAT</w:instrText>
            </w:r>
            <w:r w:rsidRPr="00906CF9">
              <w:rPr>
                <w:sz w:val="18"/>
                <w:szCs w:val="18"/>
                <w:rtl/>
              </w:rPr>
              <w:instrText xml:space="preserve"> </w:instrText>
            </w:r>
            <w:r w:rsidRPr="00906CF9">
              <w:rPr>
                <w:sz w:val="18"/>
                <w:szCs w:val="18"/>
                <w:rtl/>
              </w:rPr>
              <w:fldChar w:fldCharType="separate"/>
            </w:r>
            <w:r w:rsidRPr="00906CF9">
              <w:rPr>
                <w:noProof/>
                <w:sz w:val="18"/>
                <w:szCs w:val="18"/>
                <w:rtl/>
              </w:rPr>
              <w:t>2024</w:t>
            </w:r>
            <w:r w:rsidRPr="00906CF9">
              <w:rPr>
                <w:sz w:val="18"/>
                <w:szCs w:val="18"/>
                <w:rtl/>
              </w:rPr>
              <w:fldChar w:fldCharType="end"/>
            </w:r>
          </w:p>
        </w:tc>
        <w:tc>
          <w:tcPr>
            <w:tcW w:w="709" w:type="dxa"/>
            <w:tcBorders>
              <w:top w:val="nil"/>
              <w:left w:val="nil"/>
              <w:bottom w:val="nil"/>
              <w:right w:val="nil"/>
            </w:tcBorders>
            <w:vAlign w:val="bottom"/>
          </w:tcPr>
          <w:p w14:paraId="0414678F" w14:textId="15ADF612" w:rsidR="00276C4F" w:rsidRPr="00906CF9" w:rsidRDefault="00276C4F" w:rsidP="00914A73">
            <w:pPr>
              <w:pStyle w:val="-4"/>
              <w:spacing w:line="240" w:lineRule="auto"/>
              <w:rPr>
                <w:sz w:val="18"/>
                <w:szCs w:val="18"/>
                <w:rtl/>
              </w:rPr>
            </w:pPr>
            <w:r w:rsidRPr="00906CF9">
              <w:rPr>
                <w:sz w:val="18"/>
                <w:szCs w:val="18"/>
                <w:rtl/>
              </w:rPr>
              <w:fldChar w:fldCharType="begin"/>
            </w:r>
            <w:r w:rsidRPr="00906CF9">
              <w:rPr>
                <w:sz w:val="18"/>
                <w:szCs w:val="18"/>
                <w:rtl/>
              </w:rPr>
              <w:instrText xml:space="preserve"> </w:instrText>
            </w:r>
            <w:r w:rsidRPr="00906CF9">
              <w:rPr>
                <w:rFonts w:hint="cs"/>
                <w:sz w:val="18"/>
                <w:szCs w:val="18"/>
                <w:rtl/>
              </w:rPr>
              <w:instrText xml:space="preserve">= </w:instrText>
            </w:r>
            <w:r w:rsidRPr="00906CF9">
              <w:rPr>
                <w:rFonts w:hint="cs"/>
                <w:sz w:val="18"/>
                <w:szCs w:val="18"/>
              </w:rPr>
              <w:instrText>CY</w:instrText>
            </w:r>
            <w:r w:rsidRPr="00906CF9">
              <w:rPr>
                <w:sz w:val="18"/>
                <w:szCs w:val="18"/>
              </w:rPr>
              <w:instrText>-1</w:instrText>
            </w:r>
            <w:r w:rsidRPr="00906CF9">
              <w:rPr>
                <w:rFonts w:hint="cs"/>
                <w:sz w:val="18"/>
                <w:szCs w:val="18"/>
              </w:rPr>
              <w:instrText xml:space="preserve"> \* MERGEFORMAT</w:instrText>
            </w:r>
            <w:r w:rsidRPr="00906CF9">
              <w:rPr>
                <w:sz w:val="18"/>
                <w:szCs w:val="18"/>
                <w:rtl/>
              </w:rPr>
              <w:instrText xml:space="preserve"> </w:instrText>
            </w:r>
            <w:r w:rsidRPr="00906CF9">
              <w:rPr>
                <w:sz w:val="18"/>
                <w:szCs w:val="18"/>
                <w:rtl/>
              </w:rPr>
              <w:fldChar w:fldCharType="separate"/>
            </w:r>
            <w:r w:rsidRPr="00906CF9">
              <w:rPr>
                <w:noProof/>
                <w:sz w:val="18"/>
                <w:szCs w:val="18"/>
                <w:rtl/>
              </w:rPr>
              <w:t>2023</w:t>
            </w:r>
            <w:r w:rsidRPr="00906CF9">
              <w:rPr>
                <w:sz w:val="18"/>
                <w:szCs w:val="18"/>
                <w:rtl/>
              </w:rPr>
              <w:fldChar w:fldCharType="end"/>
            </w:r>
          </w:p>
        </w:tc>
        <w:tc>
          <w:tcPr>
            <w:tcW w:w="709" w:type="dxa"/>
            <w:tcBorders>
              <w:top w:val="nil"/>
              <w:left w:val="nil"/>
              <w:bottom w:val="nil"/>
              <w:right w:val="nil"/>
            </w:tcBorders>
            <w:vAlign w:val="bottom"/>
          </w:tcPr>
          <w:p w14:paraId="1DD58130" w14:textId="38876D68" w:rsidR="00276C4F" w:rsidRPr="00906CF9" w:rsidRDefault="00276C4F" w:rsidP="00593A1A">
            <w:pPr>
              <w:pStyle w:val="-3"/>
              <w:pBdr>
                <w:bottom w:val="single" w:sz="4" w:space="1" w:color="auto"/>
              </w:pBdr>
              <w:spacing w:line="240" w:lineRule="auto"/>
              <w:jc w:val="center"/>
              <w:rPr>
                <w:b/>
                <w:bCs/>
                <w:sz w:val="18"/>
                <w:szCs w:val="18"/>
                <w:rtl/>
              </w:rPr>
            </w:pPr>
            <w:r w:rsidRPr="00906CF9">
              <w:rPr>
                <w:b/>
                <w:bCs/>
                <w:sz w:val="18"/>
                <w:szCs w:val="18"/>
                <w:rtl/>
              </w:rPr>
              <w:fldChar w:fldCharType="begin"/>
            </w:r>
            <w:r w:rsidRPr="00906CF9">
              <w:rPr>
                <w:b/>
                <w:bCs/>
                <w:sz w:val="18"/>
                <w:szCs w:val="18"/>
                <w:rtl/>
              </w:rPr>
              <w:instrText xml:space="preserve"> </w:instrText>
            </w:r>
            <w:r w:rsidRPr="00906CF9">
              <w:rPr>
                <w:rFonts w:hint="cs"/>
                <w:b/>
                <w:bCs/>
                <w:sz w:val="18"/>
                <w:szCs w:val="18"/>
                <w:rtl/>
              </w:rPr>
              <w:instrText xml:space="preserve">= </w:instrText>
            </w:r>
            <w:r w:rsidRPr="00906CF9">
              <w:rPr>
                <w:rFonts w:hint="cs"/>
                <w:b/>
                <w:bCs/>
                <w:sz w:val="18"/>
                <w:szCs w:val="18"/>
              </w:rPr>
              <w:instrText>CY \* MERGEFORMAT</w:instrText>
            </w:r>
            <w:r w:rsidRPr="00906CF9">
              <w:rPr>
                <w:b/>
                <w:bCs/>
                <w:sz w:val="18"/>
                <w:szCs w:val="18"/>
                <w:rtl/>
              </w:rPr>
              <w:instrText xml:space="preserve"> </w:instrText>
            </w:r>
            <w:r w:rsidRPr="00906CF9">
              <w:rPr>
                <w:b/>
                <w:bCs/>
                <w:sz w:val="18"/>
                <w:szCs w:val="18"/>
                <w:rtl/>
              </w:rPr>
              <w:fldChar w:fldCharType="separate"/>
            </w:r>
            <w:r w:rsidRPr="00906CF9">
              <w:rPr>
                <w:b/>
                <w:bCs/>
                <w:noProof/>
                <w:sz w:val="18"/>
                <w:szCs w:val="18"/>
                <w:rtl/>
              </w:rPr>
              <w:t>2024</w:t>
            </w:r>
            <w:r w:rsidRPr="00906CF9">
              <w:rPr>
                <w:b/>
                <w:bCs/>
                <w:sz w:val="18"/>
                <w:szCs w:val="18"/>
                <w:rtl/>
              </w:rPr>
              <w:fldChar w:fldCharType="end"/>
            </w:r>
          </w:p>
        </w:tc>
        <w:tc>
          <w:tcPr>
            <w:tcW w:w="708" w:type="dxa"/>
            <w:tcBorders>
              <w:top w:val="nil"/>
              <w:left w:val="nil"/>
              <w:bottom w:val="nil"/>
              <w:right w:val="nil"/>
            </w:tcBorders>
            <w:vAlign w:val="bottom"/>
          </w:tcPr>
          <w:p w14:paraId="22C9D6AC" w14:textId="5F501B75" w:rsidR="00276C4F" w:rsidRPr="00906CF9" w:rsidRDefault="00276C4F" w:rsidP="00593A1A">
            <w:pPr>
              <w:pStyle w:val="-3"/>
              <w:pBdr>
                <w:bottom w:val="single" w:sz="4" w:space="1" w:color="auto"/>
              </w:pBdr>
              <w:spacing w:line="240" w:lineRule="auto"/>
              <w:jc w:val="center"/>
              <w:rPr>
                <w:b/>
                <w:bCs/>
                <w:sz w:val="18"/>
                <w:szCs w:val="18"/>
                <w:rtl/>
              </w:rPr>
            </w:pPr>
            <w:r w:rsidRPr="00906CF9">
              <w:rPr>
                <w:b/>
                <w:bCs/>
                <w:sz w:val="18"/>
                <w:szCs w:val="18"/>
                <w:rtl/>
              </w:rPr>
              <w:fldChar w:fldCharType="begin"/>
            </w:r>
            <w:r w:rsidRPr="00906CF9">
              <w:rPr>
                <w:b/>
                <w:bCs/>
                <w:sz w:val="18"/>
                <w:szCs w:val="18"/>
                <w:rtl/>
              </w:rPr>
              <w:instrText xml:space="preserve"> </w:instrText>
            </w:r>
            <w:r w:rsidRPr="00906CF9">
              <w:rPr>
                <w:rFonts w:hint="cs"/>
                <w:b/>
                <w:bCs/>
                <w:sz w:val="18"/>
                <w:szCs w:val="18"/>
                <w:rtl/>
              </w:rPr>
              <w:instrText xml:space="preserve">= </w:instrText>
            </w:r>
            <w:r w:rsidRPr="00906CF9">
              <w:rPr>
                <w:rFonts w:hint="cs"/>
                <w:b/>
                <w:bCs/>
                <w:sz w:val="18"/>
                <w:szCs w:val="18"/>
              </w:rPr>
              <w:instrText>CY</w:instrText>
            </w:r>
            <w:r w:rsidRPr="00906CF9">
              <w:rPr>
                <w:b/>
                <w:bCs/>
                <w:sz w:val="18"/>
                <w:szCs w:val="18"/>
              </w:rPr>
              <w:instrText>-1</w:instrText>
            </w:r>
            <w:r w:rsidRPr="00906CF9">
              <w:rPr>
                <w:rFonts w:hint="cs"/>
                <w:b/>
                <w:bCs/>
                <w:sz w:val="18"/>
                <w:szCs w:val="18"/>
              </w:rPr>
              <w:instrText xml:space="preserve"> \* MERGEFORMAT</w:instrText>
            </w:r>
            <w:r w:rsidRPr="00906CF9">
              <w:rPr>
                <w:b/>
                <w:bCs/>
                <w:sz w:val="18"/>
                <w:szCs w:val="18"/>
                <w:rtl/>
              </w:rPr>
              <w:instrText xml:space="preserve"> </w:instrText>
            </w:r>
            <w:r w:rsidRPr="00906CF9">
              <w:rPr>
                <w:b/>
                <w:bCs/>
                <w:sz w:val="18"/>
                <w:szCs w:val="18"/>
                <w:rtl/>
              </w:rPr>
              <w:fldChar w:fldCharType="separate"/>
            </w:r>
            <w:r w:rsidRPr="00906CF9">
              <w:rPr>
                <w:b/>
                <w:bCs/>
                <w:noProof/>
                <w:sz w:val="18"/>
                <w:szCs w:val="18"/>
                <w:rtl/>
              </w:rPr>
              <w:t>2023</w:t>
            </w:r>
            <w:r w:rsidRPr="00906CF9">
              <w:rPr>
                <w:b/>
                <w:bCs/>
                <w:sz w:val="18"/>
                <w:szCs w:val="18"/>
                <w:rtl/>
              </w:rPr>
              <w:fldChar w:fldCharType="end"/>
            </w:r>
          </w:p>
        </w:tc>
        <w:tc>
          <w:tcPr>
            <w:tcW w:w="1422" w:type="dxa"/>
            <w:tcBorders>
              <w:top w:val="nil"/>
              <w:left w:val="nil"/>
              <w:bottom w:val="nil"/>
              <w:right w:val="nil"/>
            </w:tcBorders>
            <w:vAlign w:val="bottom"/>
          </w:tcPr>
          <w:p w14:paraId="343D3BDC" w14:textId="16D72AE5" w:rsidR="00276C4F" w:rsidRPr="00906CF9" w:rsidRDefault="00276C4F" w:rsidP="00FF27C2">
            <w:pPr>
              <w:pStyle w:val="-3"/>
              <w:pBdr>
                <w:bottom w:val="single" w:sz="4" w:space="1" w:color="auto"/>
              </w:pBdr>
              <w:spacing w:line="240" w:lineRule="auto"/>
              <w:jc w:val="center"/>
              <w:rPr>
                <w:b/>
                <w:bCs/>
                <w:sz w:val="18"/>
                <w:szCs w:val="18"/>
                <w:rtl/>
              </w:rPr>
            </w:pPr>
            <w:r w:rsidRPr="00906CF9">
              <w:rPr>
                <w:b/>
                <w:bCs/>
                <w:sz w:val="18"/>
                <w:szCs w:val="18"/>
                <w:rtl/>
              </w:rPr>
              <w:fldChar w:fldCharType="begin"/>
            </w:r>
            <w:r w:rsidRPr="00906CF9">
              <w:rPr>
                <w:b/>
                <w:bCs/>
                <w:sz w:val="18"/>
                <w:szCs w:val="18"/>
                <w:rtl/>
              </w:rPr>
              <w:instrText xml:space="preserve"> </w:instrText>
            </w:r>
            <w:r w:rsidRPr="00906CF9">
              <w:rPr>
                <w:rFonts w:hint="cs"/>
                <w:b/>
                <w:bCs/>
                <w:sz w:val="18"/>
                <w:szCs w:val="18"/>
                <w:rtl/>
              </w:rPr>
              <w:instrText xml:space="preserve">= </w:instrText>
            </w:r>
            <w:r w:rsidRPr="00906CF9">
              <w:rPr>
                <w:rFonts w:hint="cs"/>
                <w:b/>
                <w:bCs/>
                <w:sz w:val="18"/>
                <w:szCs w:val="18"/>
              </w:rPr>
              <w:instrText>CY</w:instrText>
            </w:r>
            <w:r w:rsidRPr="00906CF9">
              <w:rPr>
                <w:b/>
                <w:bCs/>
                <w:sz w:val="18"/>
                <w:szCs w:val="18"/>
              </w:rPr>
              <w:instrText>-1</w:instrText>
            </w:r>
            <w:r w:rsidRPr="00906CF9">
              <w:rPr>
                <w:rFonts w:hint="cs"/>
                <w:b/>
                <w:bCs/>
                <w:sz w:val="18"/>
                <w:szCs w:val="18"/>
              </w:rPr>
              <w:instrText xml:space="preserve"> \* MERGEFORMAT</w:instrText>
            </w:r>
            <w:r w:rsidRPr="00906CF9">
              <w:rPr>
                <w:b/>
                <w:bCs/>
                <w:sz w:val="18"/>
                <w:szCs w:val="18"/>
                <w:rtl/>
              </w:rPr>
              <w:instrText xml:space="preserve"> </w:instrText>
            </w:r>
            <w:r w:rsidRPr="00906CF9">
              <w:rPr>
                <w:b/>
                <w:bCs/>
                <w:sz w:val="18"/>
                <w:szCs w:val="18"/>
                <w:rtl/>
              </w:rPr>
              <w:fldChar w:fldCharType="separate"/>
            </w:r>
            <w:r w:rsidRPr="00906CF9">
              <w:rPr>
                <w:b/>
                <w:bCs/>
                <w:noProof/>
                <w:sz w:val="18"/>
                <w:szCs w:val="18"/>
                <w:rtl/>
              </w:rPr>
              <w:t>2023</w:t>
            </w:r>
            <w:r w:rsidRPr="00906CF9">
              <w:rPr>
                <w:b/>
                <w:bCs/>
                <w:sz w:val="18"/>
                <w:szCs w:val="18"/>
                <w:rtl/>
              </w:rPr>
              <w:fldChar w:fldCharType="end"/>
            </w:r>
          </w:p>
        </w:tc>
      </w:tr>
      <w:tr w:rsidR="00276C4F" w:rsidRPr="00906CF9" w14:paraId="541B8342" w14:textId="77777777" w:rsidTr="002431F0">
        <w:tc>
          <w:tcPr>
            <w:tcW w:w="1134" w:type="dxa"/>
            <w:tcBorders>
              <w:top w:val="nil"/>
              <w:left w:val="nil"/>
              <w:bottom w:val="nil"/>
              <w:right w:val="nil"/>
            </w:tcBorders>
            <w:vAlign w:val="center"/>
          </w:tcPr>
          <w:p w14:paraId="010D9D57" w14:textId="77777777" w:rsidR="00276C4F" w:rsidRPr="00906CF9" w:rsidRDefault="00276C4F" w:rsidP="00FF5D5E">
            <w:pPr>
              <w:pStyle w:val="-0"/>
              <w:spacing w:line="240" w:lineRule="auto"/>
              <w:jc w:val="center"/>
              <w:rPr>
                <w:b/>
                <w:bCs/>
                <w:sz w:val="18"/>
                <w:szCs w:val="18"/>
              </w:rPr>
            </w:pPr>
          </w:p>
        </w:tc>
        <w:tc>
          <w:tcPr>
            <w:tcW w:w="5023" w:type="dxa"/>
            <w:tcBorders>
              <w:top w:val="nil"/>
              <w:left w:val="nil"/>
              <w:bottom w:val="nil"/>
              <w:right w:val="nil"/>
            </w:tcBorders>
          </w:tcPr>
          <w:p w14:paraId="0259CDF4" w14:textId="5B665848" w:rsidR="00276C4F" w:rsidRPr="00906CF9" w:rsidRDefault="00C12846" w:rsidP="00C12846">
            <w:pPr>
              <w:pStyle w:val="-f4"/>
              <w:spacing w:after="0" w:line="240" w:lineRule="auto"/>
              <w:jc w:val="left"/>
              <w:rPr>
                <w:u w:val="single"/>
                <w:rtl/>
              </w:rPr>
            </w:pPr>
            <w:r w:rsidRPr="00906CF9">
              <w:rPr>
                <w:rFonts w:hint="cs"/>
                <w:u w:val="single"/>
                <w:rtl/>
              </w:rPr>
              <w:t xml:space="preserve">נספח א' - רכישת חברות </w:t>
            </w:r>
            <w:r w:rsidR="002C0BD3">
              <w:rPr>
                <w:rFonts w:hint="cs"/>
                <w:u w:val="single"/>
                <w:rtl/>
              </w:rPr>
              <w:t>בנות</w:t>
            </w:r>
            <w:r w:rsidRPr="00906CF9">
              <w:rPr>
                <w:rFonts w:hint="cs"/>
                <w:u w:val="single"/>
                <w:rtl/>
              </w:rPr>
              <w:t xml:space="preserve"> שאוחדו לראשונה</w:t>
            </w:r>
          </w:p>
        </w:tc>
        <w:tc>
          <w:tcPr>
            <w:tcW w:w="1418" w:type="dxa"/>
            <w:gridSpan w:val="2"/>
            <w:tcBorders>
              <w:top w:val="nil"/>
              <w:left w:val="nil"/>
              <w:bottom w:val="nil"/>
              <w:right w:val="nil"/>
            </w:tcBorders>
            <w:vAlign w:val="bottom"/>
          </w:tcPr>
          <w:p w14:paraId="631B0E61" w14:textId="77777777" w:rsidR="00276C4F" w:rsidRPr="00906CF9" w:rsidRDefault="00276C4F" w:rsidP="00FF5D5E">
            <w:pPr>
              <w:pStyle w:val="-3"/>
              <w:pBdr>
                <w:bottom w:val="single" w:sz="4" w:space="1" w:color="auto"/>
              </w:pBdr>
              <w:spacing w:line="240" w:lineRule="auto"/>
              <w:jc w:val="center"/>
              <w:rPr>
                <w:b/>
                <w:bCs/>
                <w:sz w:val="18"/>
                <w:szCs w:val="18"/>
                <w:rtl/>
              </w:rPr>
            </w:pPr>
            <w:r w:rsidRPr="00906CF9">
              <w:rPr>
                <w:rFonts w:hint="cs"/>
                <w:b/>
                <w:bCs/>
                <w:sz w:val="18"/>
                <w:szCs w:val="18"/>
                <w:rtl/>
              </w:rPr>
              <w:t>בלתי מבוקר</w:t>
            </w:r>
          </w:p>
        </w:tc>
        <w:tc>
          <w:tcPr>
            <w:tcW w:w="1417" w:type="dxa"/>
            <w:gridSpan w:val="2"/>
            <w:tcBorders>
              <w:top w:val="nil"/>
              <w:left w:val="nil"/>
              <w:bottom w:val="nil"/>
              <w:right w:val="nil"/>
            </w:tcBorders>
            <w:vAlign w:val="bottom"/>
          </w:tcPr>
          <w:p w14:paraId="20038C7C" w14:textId="77777777" w:rsidR="00276C4F" w:rsidRPr="00906CF9" w:rsidRDefault="00276C4F" w:rsidP="00FF5D5E">
            <w:pPr>
              <w:pStyle w:val="-3"/>
              <w:pBdr>
                <w:bottom w:val="single" w:sz="4" w:space="1" w:color="auto"/>
              </w:pBdr>
              <w:spacing w:line="240" w:lineRule="auto"/>
              <w:jc w:val="center"/>
              <w:rPr>
                <w:b/>
                <w:bCs/>
                <w:sz w:val="18"/>
                <w:szCs w:val="18"/>
                <w:rtl/>
              </w:rPr>
            </w:pPr>
            <w:r w:rsidRPr="00906CF9">
              <w:rPr>
                <w:rFonts w:hint="cs"/>
                <w:b/>
                <w:bCs/>
                <w:sz w:val="18"/>
                <w:szCs w:val="18"/>
                <w:rtl/>
              </w:rPr>
              <w:t>בלתי מבוקר</w:t>
            </w:r>
          </w:p>
        </w:tc>
        <w:tc>
          <w:tcPr>
            <w:tcW w:w="1422" w:type="dxa"/>
            <w:tcBorders>
              <w:top w:val="nil"/>
              <w:left w:val="nil"/>
              <w:bottom w:val="nil"/>
              <w:right w:val="nil"/>
            </w:tcBorders>
            <w:vAlign w:val="bottom"/>
          </w:tcPr>
          <w:p w14:paraId="43314471" w14:textId="77777777" w:rsidR="00276C4F" w:rsidRPr="00906CF9" w:rsidRDefault="00276C4F" w:rsidP="00FF5D5E">
            <w:pPr>
              <w:pStyle w:val="-3"/>
              <w:pBdr>
                <w:bottom w:val="single" w:sz="4" w:space="1" w:color="auto"/>
              </w:pBdr>
              <w:spacing w:line="240" w:lineRule="auto"/>
              <w:jc w:val="center"/>
              <w:rPr>
                <w:b/>
                <w:bCs/>
                <w:sz w:val="18"/>
                <w:szCs w:val="18"/>
                <w:rtl/>
              </w:rPr>
            </w:pPr>
            <w:r w:rsidRPr="00906CF9">
              <w:rPr>
                <w:rFonts w:hint="cs"/>
                <w:b/>
                <w:bCs/>
                <w:sz w:val="18"/>
                <w:szCs w:val="18"/>
                <w:rtl/>
              </w:rPr>
              <w:t>מבוקר</w:t>
            </w:r>
          </w:p>
        </w:tc>
      </w:tr>
      <w:tr w:rsidR="00276C4F" w:rsidRPr="00906CF9" w14:paraId="49C4E49E" w14:textId="77777777" w:rsidTr="002431F0">
        <w:trPr>
          <w:trHeight w:val="259"/>
        </w:trPr>
        <w:tc>
          <w:tcPr>
            <w:tcW w:w="1134" w:type="dxa"/>
            <w:tcBorders>
              <w:top w:val="nil"/>
              <w:left w:val="nil"/>
              <w:bottom w:val="nil"/>
              <w:right w:val="nil"/>
            </w:tcBorders>
            <w:vAlign w:val="center"/>
          </w:tcPr>
          <w:p w14:paraId="3E875D82" w14:textId="77777777" w:rsidR="00276C4F" w:rsidRPr="00906CF9" w:rsidRDefault="00276C4F" w:rsidP="00FF5D5E">
            <w:pPr>
              <w:pStyle w:val="-0"/>
              <w:rPr>
                <w:strike/>
                <w:sz w:val="18"/>
                <w:szCs w:val="18"/>
                <w:rtl/>
              </w:rPr>
            </w:pPr>
          </w:p>
        </w:tc>
        <w:tc>
          <w:tcPr>
            <w:tcW w:w="5023" w:type="dxa"/>
            <w:tcBorders>
              <w:top w:val="nil"/>
              <w:left w:val="nil"/>
              <w:bottom w:val="nil"/>
              <w:right w:val="nil"/>
            </w:tcBorders>
          </w:tcPr>
          <w:p w14:paraId="6A1B1898" w14:textId="4308074B" w:rsidR="00276C4F" w:rsidRPr="00906CF9" w:rsidRDefault="00276C4F" w:rsidP="009B4655">
            <w:pPr>
              <w:pStyle w:val="-f4"/>
              <w:spacing w:after="0" w:line="240" w:lineRule="auto"/>
              <w:jc w:val="left"/>
              <w:rPr>
                <w:sz w:val="18"/>
                <w:szCs w:val="18"/>
                <w:rtl/>
              </w:rPr>
            </w:pPr>
            <w:r w:rsidRPr="00906CF9">
              <w:rPr>
                <w:sz w:val="18"/>
                <w:szCs w:val="18"/>
                <w:rtl/>
              </w:rPr>
              <w:t xml:space="preserve">נכסים והתחייבויות של </w:t>
            </w:r>
            <w:r w:rsidR="002C0BD3">
              <w:rPr>
                <w:rFonts w:hint="cs"/>
                <w:sz w:val="18"/>
                <w:szCs w:val="18"/>
                <w:rtl/>
              </w:rPr>
              <w:t>ה</w:t>
            </w:r>
            <w:r w:rsidRPr="00906CF9">
              <w:rPr>
                <w:sz w:val="18"/>
                <w:szCs w:val="18"/>
                <w:rtl/>
              </w:rPr>
              <w:t xml:space="preserve">חברות </w:t>
            </w:r>
            <w:r w:rsidRPr="00906CF9">
              <w:rPr>
                <w:rFonts w:hint="cs"/>
                <w:sz w:val="18"/>
                <w:szCs w:val="18"/>
                <w:rtl/>
              </w:rPr>
              <w:t>ה</w:t>
            </w:r>
            <w:r w:rsidRPr="00906CF9">
              <w:rPr>
                <w:sz w:val="18"/>
                <w:szCs w:val="18"/>
                <w:rtl/>
              </w:rPr>
              <w:t>ב</w:t>
            </w:r>
            <w:r w:rsidR="002C0BD3">
              <w:rPr>
                <w:rFonts w:hint="cs"/>
                <w:sz w:val="18"/>
                <w:szCs w:val="18"/>
                <w:rtl/>
              </w:rPr>
              <w:t>נות</w:t>
            </w:r>
            <w:r w:rsidRPr="00906CF9">
              <w:rPr>
                <w:sz w:val="18"/>
                <w:szCs w:val="18"/>
                <w:rtl/>
              </w:rPr>
              <w:t xml:space="preserve"> שאוחדו</w:t>
            </w:r>
            <w:r w:rsidRPr="00906CF9">
              <w:rPr>
                <w:rFonts w:hint="cs"/>
                <w:sz w:val="18"/>
                <w:szCs w:val="18"/>
                <w:rtl/>
              </w:rPr>
              <w:t xml:space="preserve"> ליום הרכישה:</w:t>
            </w:r>
          </w:p>
        </w:tc>
        <w:tc>
          <w:tcPr>
            <w:tcW w:w="709" w:type="dxa"/>
            <w:tcBorders>
              <w:top w:val="nil"/>
              <w:left w:val="nil"/>
              <w:bottom w:val="nil"/>
              <w:right w:val="nil"/>
            </w:tcBorders>
            <w:vAlign w:val="bottom"/>
          </w:tcPr>
          <w:p w14:paraId="7BEC8333" w14:textId="77777777" w:rsidR="00276C4F" w:rsidRPr="00906CF9" w:rsidRDefault="00276C4F" w:rsidP="00FF5D5E">
            <w:pPr>
              <w:pStyle w:val="-3"/>
              <w:rPr>
                <w:sz w:val="18"/>
                <w:szCs w:val="18"/>
                <w:rtl/>
              </w:rPr>
            </w:pPr>
          </w:p>
        </w:tc>
        <w:tc>
          <w:tcPr>
            <w:tcW w:w="709" w:type="dxa"/>
            <w:tcBorders>
              <w:top w:val="nil"/>
              <w:left w:val="nil"/>
              <w:bottom w:val="nil"/>
              <w:right w:val="nil"/>
            </w:tcBorders>
            <w:vAlign w:val="bottom"/>
          </w:tcPr>
          <w:p w14:paraId="3B723B21" w14:textId="77777777" w:rsidR="00276C4F" w:rsidRPr="00906CF9" w:rsidRDefault="00276C4F" w:rsidP="00FF5D5E">
            <w:pPr>
              <w:pStyle w:val="-3"/>
              <w:rPr>
                <w:sz w:val="18"/>
                <w:szCs w:val="18"/>
                <w:rtl/>
              </w:rPr>
            </w:pPr>
          </w:p>
        </w:tc>
        <w:tc>
          <w:tcPr>
            <w:tcW w:w="709" w:type="dxa"/>
            <w:tcBorders>
              <w:top w:val="nil"/>
              <w:left w:val="nil"/>
              <w:bottom w:val="nil"/>
              <w:right w:val="nil"/>
            </w:tcBorders>
            <w:vAlign w:val="bottom"/>
          </w:tcPr>
          <w:p w14:paraId="285347B7" w14:textId="77777777" w:rsidR="00276C4F" w:rsidRPr="00906CF9" w:rsidRDefault="00276C4F" w:rsidP="00FF5D5E">
            <w:pPr>
              <w:pStyle w:val="-3"/>
              <w:rPr>
                <w:sz w:val="18"/>
                <w:szCs w:val="18"/>
                <w:rtl/>
              </w:rPr>
            </w:pPr>
          </w:p>
        </w:tc>
        <w:tc>
          <w:tcPr>
            <w:tcW w:w="708" w:type="dxa"/>
            <w:tcBorders>
              <w:top w:val="nil"/>
              <w:left w:val="nil"/>
              <w:bottom w:val="nil"/>
              <w:right w:val="nil"/>
            </w:tcBorders>
            <w:vAlign w:val="bottom"/>
          </w:tcPr>
          <w:p w14:paraId="1DF31272" w14:textId="77777777" w:rsidR="00276C4F" w:rsidRPr="00906CF9" w:rsidRDefault="00276C4F" w:rsidP="00FF5D5E">
            <w:pPr>
              <w:pStyle w:val="-3"/>
              <w:rPr>
                <w:sz w:val="18"/>
                <w:szCs w:val="18"/>
                <w:rtl/>
              </w:rPr>
            </w:pPr>
          </w:p>
        </w:tc>
        <w:tc>
          <w:tcPr>
            <w:tcW w:w="1422" w:type="dxa"/>
            <w:tcBorders>
              <w:top w:val="nil"/>
              <w:left w:val="nil"/>
              <w:bottom w:val="nil"/>
              <w:right w:val="nil"/>
            </w:tcBorders>
            <w:vAlign w:val="bottom"/>
          </w:tcPr>
          <w:p w14:paraId="11176686" w14:textId="77777777" w:rsidR="00276C4F" w:rsidRPr="00906CF9" w:rsidRDefault="00276C4F" w:rsidP="00FF5D5E">
            <w:pPr>
              <w:pStyle w:val="-3"/>
              <w:rPr>
                <w:sz w:val="18"/>
                <w:szCs w:val="18"/>
                <w:rtl/>
              </w:rPr>
            </w:pPr>
          </w:p>
        </w:tc>
      </w:tr>
      <w:tr w:rsidR="00276C4F" w:rsidRPr="00906CF9" w14:paraId="58424642" w14:textId="77777777" w:rsidTr="002431F0">
        <w:trPr>
          <w:trHeight w:val="259"/>
        </w:trPr>
        <w:tc>
          <w:tcPr>
            <w:tcW w:w="1134" w:type="dxa"/>
            <w:tcBorders>
              <w:top w:val="nil"/>
              <w:left w:val="nil"/>
              <w:bottom w:val="nil"/>
              <w:right w:val="nil"/>
            </w:tcBorders>
          </w:tcPr>
          <w:p w14:paraId="2183553F" w14:textId="77777777" w:rsidR="00276C4F" w:rsidRPr="00906CF9" w:rsidRDefault="00276C4F" w:rsidP="00FF5D5E">
            <w:pPr>
              <w:pStyle w:val="-7"/>
              <w:rPr>
                <w:sz w:val="18"/>
                <w:szCs w:val="18"/>
                <w:rtl/>
              </w:rPr>
            </w:pPr>
          </w:p>
        </w:tc>
        <w:tc>
          <w:tcPr>
            <w:tcW w:w="5023" w:type="dxa"/>
            <w:tcBorders>
              <w:top w:val="nil"/>
              <w:left w:val="nil"/>
              <w:bottom w:val="nil"/>
              <w:right w:val="nil"/>
            </w:tcBorders>
          </w:tcPr>
          <w:p w14:paraId="466A0F2E" w14:textId="77777777" w:rsidR="00276C4F" w:rsidRPr="00906CF9" w:rsidRDefault="00276C4F" w:rsidP="00FF5D5E">
            <w:pPr>
              <w:pStyle w:val="-0"/>
              <w:rPr>
                <w:sz w:val="18"/>
                <w:szCs w:val="18"/>
                <w:rtl/>
              </w:rPr>
            </w:pPr>
            <w:r w:rsidRPr="00906CF9">
              <w:rPr>
                <w:rFonts w:hint="cs"/>
                <w:sz w:val="18"/>
                <w:szCs w:val="18"/>
                <w:rtl/>
              </w:rPr>
              <w:t>מזומנים שנרכשו</w:t>
            </w:r>
          </w:p>
        </w:tc>
        <w:tc>
          <w:tcPr>
            <w:tcW w:w="709" w:type="dxa"/>
            <w:tcBorders>
              <w:top w:val="nil"/>
              <w:left w:val="nil"/>
              <w:bottom w:val="nil"/>
              <w:right w:val="nil"/>
            </w:tcBorders>
            <w:vAlign w:val="bottom"/>
          </w:tcPr>
          <w:p w14:paraId="24739B92" w14:textId="77777777" w:rsidR="00276C4F" w:rsidRPr="00906CF9" w:rsidRDefault="00276C4F" w:rsidP="00FF5D5E">
            <w:pPr>
              <w:pStyle w:val="-7"/>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022408FC" w14:textId="77777777" w:rsidR="00276C4F" w:rsidRPr="00906CF9" w:rsidRDefault="00276C4F" w:rsidP="00FF5D5E">
            <w:pPr>
              <w:pStyle w:val="-7"/>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3B794FF6" w14:textId="77777777" w:rsidR="00276C4F" w:rsidRPr="00906CF9" w:rsidRDefault="00276C4F" w:rsidP="00FF5D5E">
            <w:pPr>
              <w:pStyle w:val="-7"/>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37FD74D9" w14:textId="77777777" w:rsidR="00276C4F" w:rsidRPr="00906CF9" w:rsidRDefault="00276C4F" w:rsidP="00FF5D5E">
            <w:pPr>
              <w:pStyle w:val="-7"/>
              <w:rPr>
                <w:sz w:val="18"/>
                <w:szCs w:val="18"/>
                <w:rtl/>
              </w:rPr>
            </w:pPr>
            <w:r w:rsidRPr="00906CF9">
              <w:rPr>
                <w:rFonts w:hint="cs"/>
                <w:sz w:val="18"/>
                <w:szCs w:val="18"/>
                <w:rtl/>
              </w:rPr>
              <w:t xml:space="preserve"> 0</w:t>
            </w:r>
          </w:p>
        </w:tc>
        <w:tc>
          <w:tcPr>
            <w:tcW w:w="1422" w:type="dxa"/>
            <w:tcBorders>
              <w:top w:val="nil"/>
              <w:left w:val="nil"/>
              <w:bottom w:val="nil"/>
              <w:right w:val="nil"/>
            </w:tcBorders>
            <w:vAlign w:val="bottom"/>
          </w:tcPr>
          <w:p w14:paraId="11788991" w14:textId="77777777" w:rsidR="00276C4F" w:rsidRPr="00906CF9" w:rsidRDefault="00276C4F" w:rsidP="00FF5D5E">
            <w:pPr>
              <w:pStyle w:val="-7"/>
              <w:rPr>
                <w:sz w:val="18"/>
                <w:szCs w:val="18"/>
                <w:rtl/>
              </w:rPr>
            </w:pPr>
            <w:r w:rsidRPr="00906CF9">
              <w:rPr>
                <w:rFonts w:hint="cs"/>
                <w:sz w:val="18"/>
                <w:szCs w:val="18"/>
                <w:rtl/>
              </w:rPr>
              <w:t xml:space="preserve"> 0</w:t>
            </w:r>
          </w:p>
        </w:tc>
      </w:tr>
      <w:tr w:rsidR="00276C4F" w:rsidRPr="00906CF9" w14:paraId="3F128A86" w14:textId="77777777" w:rsidTr="002431F0">
        <w:trPr>
          <w:trHeight w:val="259"/>
        </w:trPr>
        <w:tc>
          <w:tcPr>
            <w:tcW w:w="1134" w:type="dxa"/>
            <w:tcBorders>
              <w:top w:val="nil"/>
              <w:left w:val="nil"/>
              <w:bottom w:val="nil"/>
              <w:right w:val="nil"/>
            </w:tcBorders>
          </w:tcPr>
          <w:p w14:paraId="018E2FDE" w14:textId="77777777" w:rsidR="00276C4F" w:rsidRPr="00906CF9" w:rsidRDefault="00276C4F" w:rsidP="00FF5D5E">
            <w:pPr>
              <w:pStyle w:val="-7"/>
              <w:rPr>
                <w:sz w:val="18"/>
                <w:szCs w:val="18"/>
                <w:rtl/>
              </w:rPr>
            </w:pPr>
          </w:p>
        </w:tc>
        <w:tc>
          <w:tcPr>
            <w:tcW w:w="5023" w:type="dxa"/>
            <w:tcBorders>
              <w:top w:val="nil"/>
              <w:left w:val="nil"/>
              <w:bottom w:val="nil"/>
              <w:right w:val="nil"/>
            </w:tcBorders>
          </w:tcPr>
          <w:p w14:paraId="46CEFB9D" w14:textId="77777777" w:rsidR="00276C4F" w:rsidRPr="00906CF9" w:rsidRDefault="00276C4F" w:rsidP="00FF5D5E">
            <w:pPr>
              <w:pStyle w:val="-0"/>
              <w:rPr>
                <w:sz w:val="18"/>
                <w:szCs w:val="18"/>
                <w:rtl/>
              </w:rPr>
            </w:pPr>
            <w:r w:rsidRPr="00906CF9">
              <w:rPr>
                <w:rFonts w:hint="cs"/>
                <w:sz w:val="18"/>
                <w:szCs w:val="18"/>
                <w:rtl/>
              </w:rPr>
              <w:t>נכסים (למעט מזומנים)</w:t>
            </w:r>
          </w:p>
        </w:tc>
        <w:tc>
          <w:tcPr>
            <w:tcW w:w="709" w:type="dxa"/>
            <w:tcBorders>
              <w:top w:val="nil"/>
              <w:left w:val="nil"/>
              <w:bottom w:val="nil"/>
              <w:right w:val="nil"/>
            </w:tcBorders>
            <w:vAlign w:val="bottom"/>
          </w:tcPr>
          <w:p w14:paraId="0B8B5519" w14:textId="77777777" w:rsidR="00276C4F" w:rsidRPr="00906CF9" w:rsidRDefault="00276C4F" w:rsidP="00FF5D5E">
            <w:pPr>
              <w:pStyle w:val="-7"/>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7B4C6576" w14:textId="77777777" w:rsidR="00276C4F" w:rsidRPr="00906CF9" w:rsidRDefault="00276C4F" w:rsidP="00FF5D5E">
            <w:pPr>
              <w:pStyle w:val="-7"/>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3CDD67B6" w14:textId="77777777" w:rsidR="00276C4F" w:rsidRPr="00906CF9" w:rsidRDefault="00276C4F" w:rsidP="00FF5D5E">
            <w:pPr>
              <w:pStyle w:val="-7"/>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14E09719" w14:textId="77777777" w:rsidR="00276C4F" w:rsidRPr="00906CF9" w:rsidRDefault="00276C4F" w:rsidP="00FF5D5E">
            <w:pPr>
              <w:pStyle w:val="-7"/>
              <w:rPr>
                <w:sz w:val="18"/>
                <w:szCs w:val="18"/>
                <w:rtl/>
              </w:rPr>
            </w:pPr>
            <w:r w:rsidRPr="00906CF9">
              <w:rPr>
                <w:rFonts w:hint="cs"/>
                <w:sz w:val="18"/>
                <w:szCs w:val="18"/>
                <w:rtl/>
              </w:rPr>
              <w:t xml:space="preserve"> 0</w:t>
            </w:r>
          </w:p>
        </w:tc>
        <w:tc>
          <w:tcPr>
            <w:tcW w:w="1422" w:type="dxa"/>
            <w:tcBorders>
              <w:top w:val="nil"/>
              <w:left w:val="nil"/>
              <w:bottom w:val="nil"/>
              <w:right w:val="nil"/>
            </w:tcBorders>
            <w:vAlign w:val="bottom"/>
          </w:tcPr>
          <w:p w14:paraId="071155BB" w14:textId="77777777" w:rsidR="00276C4F" w:rsidRPr="00906CF9" w:rsidRDefault="00276C4F" w:rsidP="00FF5D5E">
            <w:pPr>
              <w:pStyle w:val="-7"/>
              <w:rPr>
                <w:sz w:val="18"/>
                <w:szCs w:val="18"/>
                <w:rtl/>
              </w:rPr>
            </w:pPr>
            <w:r w:rsidRPr="00906CF9">
              <w:rPr>
                <w:rFonts w:hint="cs"/>
                <w:sz w:val="18"/>
                <w:szCs w:val="18"/>
                <w:rtl/>
              </w:rPr>
              <w:t xml:space="preserve"> 0</w:t>
            </w:r>
          </w:p>
        </w:tc>
      </w:tr>
      <w:tr w:rsidR="00276C4F" w:rsidRPr="00906CF9" w14:paraId="2CB85D91" w14:textId="77777777" w:rsidTr="002431F0">
        <w:trPr>
          <w:trHeight w:val="259"/>
        </w:trPr>
        <w:tc>
          <w:tcPr>
            <w:tcW w:w="1134" w:type="dxa"/>
            <w:tcBorders>
              <w:top w:val="nil"/>
              <w:left w:val="nil"/>
              <w:bottom w:val="nil"/>
              <w:right w:val="nil"/>
            </w:tcBorders>
          </w:tcPr>
          <w:p w14:paraId="45591B3C" w14:textId="77777777" w:rsidR="00276C4F" w:rsidRPr="00906CF9" w:rsidRDefault="00276C4F" w:rsidP="00FF5D5E">
            <w:pPr>
              <w:pStyle w:val="-7"/>
              <w:rPr>
                <w:sz w:val="18"/>
                <w:szCs w:val="18"/>
                <w:rtl/>
              </w:rPr>
            </w:pPr>
          </w:p>
        </w:tc>
        <w:tc>
          <w:tcPr>
            <w:tcW w:w="5023" w:type="dxa"/>
            <w:tcBorders>
              <w:top w:val="nil"/>
              <w:left w:val="nil"/>
              <w:bottom w:val="nil"/>
              <w:right w:val="nil"/>
            </w:tcBorders>
          </w:tcPr>
          <w:p w14:paraId="06769D80" w14:textId="77777777" w:rsidR="00276C4F" w:rsidRPr="00906CF9" w:rsidRDefault="00276C4F" w:rsidP="009B4655">
            <w:pPr>
              <w:pStyle w:val="-0"/>
              <w:rPr>
                <w:sz w:val="18"/>
                <w:szCs w:val="18"/>
                <w:rtl/>
              </w:rPr>
            </w:pPr>
            <w:r w:rsidRPr="00906CF9">
              <w:rPr>
                <w:rFonts w:hint="cs"/>
                <w:sz w:val="18"/>
                <w:szCs w:val="18"/>
                <w:rtl/>
              </w:rPr>
              <w:t xml:space="preserve">התחייבויות </w:t>
            </w:r>
          </w:p>
        </w:tc>
        <w:tc>
          <w:tcPr>
            <w:tcW w:w="709" w:type="dxa"/>
            <w:tcBorders>
              <w:top w:val="nil"/>
              <w:left w:val="nil"/>
              <w:bottom w:val="nil"/>
              <w:right w:val="nil"/>
            </w:tcBorders>
            <w:vAlign w:val="bottom"/>
          </w:tcPr>
          <w:p w14:paraId="77124331" w14:textId="77777777" w:rsidR="00276C4F" w:rsidRPr="00906CF9" w:rsidRDefault="00276C4F" w:rsidP="00FF5D5E">
            <w:pPr>
              <w:pStyle w:val="-7"/>
              <w:pBdr>
                <w:bottom w:val="single" w:sz="4" w:space="1" w:color="auto"/>
              </w:pBdr>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12A89C0D" w14:textId="77777777" w:rsidR="00276C4F" w:rsidRPr="00906CF9" w:rsidRDefault="00276C4F" w:rsidP="00FF5D5E">
            <w:pPr>
              <w:pStyle w:val="-7"/>
              <w:pBdr>
                <w:bottom w:val="single" w:sz="4" w:space="1" w:color="auto"/>
              </w:pBdr>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69774BE7" w14:textId="77777777" w:rsidR="00276C4F" w:rsidRPr="00906CF9" w:rsidRDefault="00276C4F" w:rsidP="00FF5D5E">
            <w:pPr>
              <w:pStyle w:val="-7"/>
              <w:pBdr>
                <w:bottom w:val="single" w:sz="4" w:space="1" w:color="auto"/>
              </w:pBdr>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20A7CB11" w14:textId="77777777" w:rsidR="00276C4F" w:rsidRPr="00906CF9" w:rsidRDefault="00276C4F" w:rsidP="00FF5D5E">
            <w:pPr>
              <w:pStyle w:val="-7"/>
              <w:pBdr>
                <w:bottom w:val="single" w:sz="4" w:space="1" w:color="auto"/>
              </w:pBdr>
              <w:rPr>
                <w:sz w:val="18"/>
                <w:szCs w:val="18"/>
                <w:rtl/>
              </w:rPr>
            </w:pPr>
            <w:r w:rsidRPr="00906CF9">
              <w:rPr>
                <w:rFonts w:hint="cs"/>
                <w:sz w:val="18"/>
                <w:szCs w:val="18"/>
                <w:rtl/>
              </w:rPr>
              <w:t xml:space="preserve"> 0</w:t>
            </w:r>
          </w:p>
        </w:tc>
        <w:tc>
          <w:tcPr>
            <w:tcW w:w="1422" w:type="dxa"/>
            <w:tcBorders>
              <w:top w:val="nil"/>
              <w:left w:val="nil"/>
              <w:bottom w:val="nil"/>
              <w:right w:val="nil"/>
            </w:tcBorders>
            <w:vAlign w:val="bottom"/>
          </w:tcPr>
          <w:p w14:paraId="6025FF19" w14:textId="77777777" w:rsidR="00276C4F" w:rsidRPr="00906CF9" w:rsidRDefault="00276C4F" w:rsidP="00FF5D5E">
            <w:pPr>
              <w:pStyle w:val="-7"/>
              <w:pBdr>
                <w:bottom w:val="single" w:sz="4" w:space="1" w:color="auto"/>
              </w:pBdr>
              <w:rPr>
                <w:sz w:val="18"/>
                <w:szCs w:val="18"/>
                <w:rtl/>
              </w:rPr>
            </w:pPr>
            <w:r w:rsidRPr="00906CF9">
              <w:rPr>
                <w:rFonts w:hint="cs"/>
                <w:sz w:val="18"/>
                <w:szCs w:val="18"/>
                <w:rtl/>
              </w:rPr>
              <w:t xml:space="preserve"> 0</w:t>
            </w:r>
          </w:p>
        </w:tc>
      </w:tr>
      <w:tr w:rsidR="00276C4F" w:rsidRPr="00906CF9" w14:paraId="5F99A892" w14:textId="77777777" w:rsidTr="002431F0">
        <w:tc>
          <w:tcPr>
            <w:tcW w:w="1134" w:type="dxa"/>
            <w:tcBorders>
              <w:top w:val="nil"/>
              <w:left w:val="nil"/>
              <w:bottom w:val="nil"/>
              <w:right w:val="nil"/>
            </w:tcBorders>
          </w:tcPr>
          <w:p w14:paraId="37EA4457" w14:textId="77777777" w:rsidR="00276C4F" w:rsidRPr="00906CF9" w:rsidRDefault="00276C4F" w:rsidP="00FF5D5E">
            <w:pPr>
              <w:pStyle w:val="-7"/>
              <w:bidi w:val="0"/>
              <w:spacing w:line="60" w:lineRule="exact"/>
              <w:rPr>
                <w:sz w:val="18"/>
                <w:szCs w:val="18"/>
                <w:rtl/>
              </w:rPr>
            </w:pPr>
          </w:p>
        </w:tc>
        <w:tc>
          <w:tcPr>
            <w:tcW w:w="5023" w:type="dxa"/>
            <w:tcBorders>
              <w:top w:val="nil"/>
              <w:left w:val="nil"/>
              <w:bottom w:val="nil"/>
              <w:right w:val="nil"/>
            </w:tcBorders>
          </w:tcPr>
          <w:p w14:paraId="314C8E14" w14:textId="77777777" w:rsidR="00276C4F" w:rsidRPr="00906CF9" w:rsidRDefault="00276C4F" w:rsidP="00FF5D5E">
            <w:pPr>
              <w:pStyle w:val="-0"/>
              <w:bidi w:val="0"/>
              <w:spacing w:line="60" w:lineRule="exact"/>
              <w:jc w:val="both"/>
              <w:rPr>
                <w:b/>
                <w:bCs/>
                <w:sz w:val="18"/>
                <w:szCs w:val="18"/>
                <w:rtl/>
              </w:rPr>
            </w:pPr>
          </w:p>
        </w:tc>
        <w:tc>
          <w:tcPr>
            <w:tcW w:w="709" w:type="dxa"/>
            <w:tcBorders>
              <w:top w:val="nil"/>
              <w:left w:val="nil"/>
              <w:bottom w:val="nil"/>
              <w:right w:val="nil"/>
            </w:tcBorders>
            <w:vAlign w:val="bottom"/>
          </w:tcPr>
          <w:p w14:paraId="7672EB0C" w14:textId="77777777" w:rsidR="00276C4F" w:rsidRPr="00906CF9" w:rsidRDefault="00276C4F"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31B0177B" w14:textId="77777777" w:rsidR="00276C4F" w:rsidRPr="00906CF9" w:rsidRDefault="00276C4F"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4B81A7B8" w14:textId="77777777" w:rsidR="00276C4F" w:rsidRPr="00906CF9" w:rsidRDefault="00276C4F" w:rsidP="00FF5D5E">
            <w:pPr>
              <w:pStyle w:val="-f1"/>
              <w:pBdr>
                <w:top w:val="none" w:sz="0" w:space="0" w:color="auto"/>
              </w:pBdr>
              <w:bidi w:val="0"/>
              <w:spacing w:line="60" w:lineRule="exact"/>
              <w:jc w:val="both"/>
              <w:rPr>
                <w:sz w:val="18"/>
                <w:szCs w:val="18"/>
                <w:rtl/>
              </w:rPr>
            </w:pPr>
          </w:p>
        </w:tc>
        <w:tc>
          <w:tcPr>
            <w:tcW w:w="708" w:type="dxa"/>
            <w:tcBorders>
              <w:top w:val="nil"/>
              <w:left w:val="nil"/>
              <w:bottom w:val="nil"/>
              <w:right w:val="nil"/>
            </w:tcBorders>
            <w:vAlign w:val="bottom"/>
          </w:tcPr>
          <w:p w14:paraId="480C161C" w14:textId="77777777" w:rsidR="00276C4F" w:rsidRPr="00906CF9" w:rsidRDefault="00276C4F" w:rsidP="00FF5D5E">
            <w:pPr>
              <w:pStyle w:val="-f1"/>
              <w:pBdr>
                <w:top w:val="none" w:sz="0" w:space="0" w:color="auto"/>
              </w:pBdr>
              <w:bidi w:val="0"/>
              <w:spacing w:line="60" w:lineRule="exact"/>
              <w:jc w:val="both"/>
              <w:rPr>
                <w:sz w:val="18"/>
                <w:szCs w:val="18"/>
                <w:rtl/>
              </w:rPr>
            </w:pPr>
          </w:p>
        </w:tc>
        <w:tc>
          <w:tcPr>
            <w:tcW w:w="1422" w:type="dxa"/>
            <w:tcBorders>
              <w:top w:val="nil"/>
              <w:left w:val="nil"/>
              <w:bottom w:val="nil"/>
              <w:right w:val="nil"/>
            </w:tcBorders>
            <w:vAlign w:val="bottom"/>
          </w:tcPr>
          <w:p w14:paraId="12B908F7" w14:textId="77777777" w:rsidR="00276C4F" w:rsidRPr="00906CF9" w:rsidRDefault="00276C4F" w:rsidP="00FF5D5E">
            <w:pPr>
              <w:pStyle w:val="-f1"/>
              <w:pBdr>
                <w:top w:val="none" w:sz="0" w:space="0" w:color="auto"/>
              </w:pBdr>
              <w:bidi w:val="0"/>
              <w:spacing w:line="60" w:lineRule="exact"/>
              <w:jc w:val="both"/>
              <w:rPr>
                <w:sz w:val="18"/>
                <w:szCs w:val="18"/>
                <w:rtl/>
              </w:rPr>
            </w:pPr>
          </w:p>
        </w:tc>
      </w:tr>
      <w:tr w:rsidR="00276C4F" w:rsidRPr="00906CF9" w14:paraId="6968A3E3" w14:textId="77777777" w:rsidTr="002431F0">
        <w:trPr>
          <w:trHeight w:val="259"/>
        </w:trPr>
        <w:tc>
          <w:tcPr>
            <w:tcW w:w="1134" w:type="dxa"/>
            <w:tcBorders>
              <w:top w:val="nil"/>
              <w:left w:val="nil"/>
              <w:bottom w:val="nil"/>
              <w:right w:val="nil"/>
            </w:tcBorders>
          </w:tcPr>
          <w:p w14:paraId="24E4D5C3" w14:textId="77777777" w:rsidR="00276C4F" w:rsidRPr="00906CF9" w:rsidRDefault="00276C4F" w:rsidP="00FF5D5E">
            <w:pPr>
              <w:pStyle w:val="-7"/>
              <w:rPr>
                <w:sz w:val="18"/>
                <w:szCs w:val="18"/>
                <w:rtl/>
              </w:rPr>
            </w:pPr>
          </w:p>
        </w:tc>
        <w:tc>
          <w:tcPr>
            <w:tcW w:w="5023" w:type="dxa"/>
            <w:tcBorders>
              <w:top w:val="nil"/>
              <w:left w:val="nil"/>
              <w:bottom w:val="nil"/>
              <w:right w:val="nil"/>
            </w:tcBorders>
          </w:tcPr>
          <w:p w14:paraId="79E962D1" w14:textId="77777777" w:rsidR="00276C4F" w:rsidRPr="00906CF9" w:rsidRDefault="00276C4F" w:rsidP="00FF5D5E">
            <w:pPr>
              <w:pStyle w:val="-b"/>
              <w:rPr>
                <w:sz w:val="18"/>
                <w:szCs w:val="18"/>
                <w:rtl/>
              </w:rPr>
            </w:pPr>
            <w:r w:rsidRPr="00906CF9">
              <w:rPr>
                <w:rFonts w:hint="cs"/>
                <w:sz w:val="18"/>
                <w:szCs w:val="18"/>
                <w:rtl/>
              </w:rPr>
              <w:t>נכסים והתחייבויות מזוהים</w:t>
            </w:r>
          </w:p>
        </w:tc>
        <w:tc>
          <w:tcPr>
            <w:tcW w:w="709" w:type="dxa"/>
            <w:tcBorders>
              <w:top w:val="nil"/>
              <w:left w:val="nil"/>
              <w:bottom w:val="nil"/>
              <w:right w:val="nil"/>
            </w:tcBorders>
            <w:vAlign w:val="bottom"/>
          </w:tcPr>
          <w:p w14:paraId="3176C52B" w14:textId="77777777" w:rsidR="00276C4F" w:rsidRPr="00906CF9" w:rsidRDefault="00276C4F" w:rsidP="00FF5D5E">
            <w:pPr>
              <w:pStyle w:val="-f1"/>
              <w:pBdr>
                <w:top w:val="none" w:sz="0" w:space="0" w:color="auto"/>
              </w:pBdr>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3476D03F" w14:textId="77777777" w:rsidR="00276C4F" w:rsidRPr="00906CF9" w:rsidRDefault="00276C4F" w:rsidP="00FF5D5E">
            <w:pPr>
              <w:pStyle w:val="-f1"/>
              <w:pBdr>
                <w:top w:val="none" w:sz="0" w:space="0" w:color="auto"/>
              </w:pBdr>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4D1FE19E" w14:textId="77777777" w:rsidR="00276C4F" w:rsidRPr="00906CF9" w:rsidRDefault="00276C4F" w:rsidP="00FF5D5E">
            <w:pPr>
              <w:pStyle w:val="-f1"/>
              <w:pBdr>
                <w:top w:val="none" w:sz="0" w:space="0" w:color="auto"/>
              </w:pBdr>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5B1F5758" w14:textId="77777777" w:rsidR="00276C4F" w:rsidRPr="00906CF9" w:rsidRDefault="00276C4F" w:rsidP="00FF5D5E">
            <w:pPr>
              <w:pStyle w:val="-f1"/>
              <w:pBdr>
                <w:top w:val="none" w:sz="0" w:space="0" w:color="auto"/>
              </w:pBdr>
              <w:rPr>
                <w:sz w:val="18"/>
                <w:szCs w:val="18"/>
                <w:rtl/>
              </w:rPr>
            </w:pPr>
            <w:r w:rsidRPr="00906CF9">
              <w:rPr>
                <w:rFonts w:hint="cs"/>
                <w:sz w:val="18"/>
                <w:szCs w:val="18"/>
                <w:rtl/>
              </w:rPr>
              <w:t xml:space="preserve"> 0</w:t>
            </w:r>
          </w:p>
        </w:tc>
        <w:tc>
          <w:tcPr>
            <w:tcW w:w="1422" w:type="dxa"/>
            <w:tcBorders>
              <w:top w:val="nil"/>
              <w:left w:val="nil"/>
              <w:bottom w:val="nil"/>
              <w:right w:val="nil"/>
            </w:tcBorders>
            <w:vAlign w:val="bottom"/>
          </w:tcPr>
          <w:p w14:paraId="5C66A8DA" w14:textId="77777777" w:rsidR="00276C4F" w:rsidRPr="00906CF9" w:rsidRDefault="00276C4F" w:rsidP="00FF5D5E">
            <w:pPr>
              <w:pStyle w:val="-f1"/>
              <w:pBdr>
                <w:top w:val="none" w:sz="0" w:space="0" w:color="auto"/>
              </w:pBdr>
              <w:rPr>
                <w:sz w:val="18"/>
                <w:szCs w:val="18"/>
                <w:rtl/>
              </w:rPr>
            </w:pPr>
            <w:r w:rsidRPr="00906CF9">
              <w:rPr>
                <w:rFonts w:hint="cs"/>
                <w:sz w:val="18"/>
                <w:szCs w:val="18"/>
                <w:rtl/>
              </w:rPr>
              <w:t xml:space="preserve"> 0</w:t>
            </w:r>
          </w:p>
        </w:tc>
      </w:tr>
      <w:tr w:rsidR="00276C4F" w:rsidRPr="00906CF9" w14:paraId="4013A761" w14:textId="77777777" w:rsidTr="002431F0">
        <w:trPr>
          <w:trHeight w:val="259"/>
        </w:trPr>
        <w:tc>
          <w:tcPr>
            <w:tcW w:w="1134" w:type="dxa"/>
            <w:tcBorders>
              <w:top w:val="nil"/>
              <w:left w:val="nil"/>
              <w:bottom w:val="nil"/>
              <w:right w:val="nil"/>
            </w:tcBorders>
          </w:tcPr>
          <w:p w14:paraId="6E641C7F" w14:textId="77777777" w:rsidR="00276C4F" w:rsidRPr="00906CF9" w:rsidRDefault="00276C4F" w:rsidP="00FF5D5E">
            <w:pPr>
              <w:pStyle w:val="-7"/>
              <w:spacing w:before="20"/>
              <w:rPr>
                <w:sz w:val="18"/>
                <w:szCs w:val="18"/>
                <w:rtl/>
              </w:rPr>
            </w:pPr>
          </w:p>
        </w:tc>
        <w:tc>
          <w:tcPr>
            <w:tcW w:w="5023" w:type="dxa"/>
            <w:tcBorders>
              <w:top w:val="nil"/>
              <w:left w:val="nil"/>
              <w:bottom w:val="nil"/>
              <w:right w:val="nil"/>
            </w:tcBorders>
          </w:tcPr>
          <w:p w14:paraId="11A61698" w14:textId="77777777" w:rsidR="00276C4F" w:rsidRPr="00906CF9" w:rsidRDefault="00276C4F" w:rsidP="009B4655">
            <w:pPr>
              <w:pStyle w:val="-0"/>
              <w:spacing w:before="20"/>
              <w:rPr>
                <w:sz w:val="18"/>
                <w:szCs w:val="18"/>
                <w:rtl/>
              </w:rPr>
            </w:pPr>
            <w:r w:rsidRPr="00906CF9">
              <w:rPr>
                <w:rFonts w:hint="cs"/>
                <w:sz w:val="18"/>
                <w:szCs w:val="18"/>
                <w:rtl/>
              </w:rPr>
              <w:t xml:space="preserve">מוניטין </w:t>
            </w:r>
          </w:p>
        </w:tc>
        <w:tc>
          <w:tcPr>
            <w:tcW w:w="709" w:type="dxa"/>
            <w:tcBorders>
              <w:top w:val="nil"/>
              <w:left w:val="nil"/>
              <w:bottom w:val="nil"/>
              <w:right w:val="nil"/>
            </w:tcBorders>
            <w:vAlign w:val="bottom"/>
          </w:tcPr>
          <w:p w14:paraId="22B46955" w14:textId="77777777" w:rsidR="00276C4F" w:rsidRPr="00906CF9" w:rsidRDefault="00276C4F"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7E39AC94" w14:textId="77777777" w:rsidR="00276C4F" w:rsidRPr="00906CF9" w:rsidRDefault="00276C4F"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059EADA5" w14:textId="77777777" w:rsidR="00276C4F" w:rsidRPr="00906CF9" w:rsidRDefault="00276C4F"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33783A6E" w14:textId="77777777" w:rsidR="00276C4F" w:rsidRPr="00906CF9" w:rsidRDefault="00276C4F" w:rsidP="00FF5D5E">
            <w:pPr>
              <w:pStyle w:val="-7"/>
              <w:pBdr>
                <w:bottom w:val="single" w:sz="4" w:space="1" w:color="auto"/>
              </w:pBdr>
              <w:spacing w:before="20"/>
              <w:rPr>
                <w:sz w:val="18"/>
                <w:szCs w:val="18"/>
                <w:rtl/>
              </w:rPr>
            </w:pPr>
            <w:r w:rsidRPr="00906CF9">
              <w:rPr>
                <w:rFonts w:hint="cs"/>
                <w:sz w:val="18"/>
                <w:szCs w:val="18"/>
                <w:rtl/>
              </w:rPr>
              <w:t xml:space="preserve"> 0</w:t>
            </w:r>
          </w:p>
        </w:tc>
        <w:tc>
          <w:tcPr>
            <w:tcW w:w="1422" w:type="dxa"/>
            <w:tcBorders>
              <w:top w:val="nil"/>
              <w:left w:val="nil"/>
              <w:bottom w:val="nil"/>
              <w:right w:val="nil"/>
            </w:tcBorders>
            <w:vAlign w:val="bottom"/>
          </w:tcPr>
          <w:p w14:paraId="26665D3D" w14:textId="77777777" w:rsidR="00276C4F" w:rsidRPr="00906CF9" w:rsidRDefault="00276C4F" w:rsidP="00FF5D5E">
            <w:pPr>
              <w:pStyle w:val="-7"/>
              <w:pBdr>
                <w:bottom w:val="single" w:sz="4" w:space="1" w:color="auto"/>
              </w:pBdr>
              <w:spacing w:before="20"/>
              <w:rPr>
                <w:sz w:val="18"/>
                <w:szCs w:val="18"/>
                <w:rtl/>
              </w:rPr>
            </w:pPr>
            <w:r w:rsidRPr="00906CF9">
              <w:rPr>
                <w:rFonts w:hint="cs"/>
                <w:sz w:val="18"/>
                <w:szCs w:val="18"/>
                <w:rtl/>
              </w:rPr>
              <w:t xml:space="preserve"> 0</w:t>
            </w:r>
          </w:p>
        </w:tc>
      </w:tr>
      <w:tr w:rsidR="00276C4F" w:rsidRPr="00906CF9" w14:paraId="7767F4DD" w14:textId="77777777" w:rsidTr="002431F0">
        <w:tc>
          <w:tcPr>
            <w:tcW w:w="1134" w:type="dxa"/>
            <w:tcBorders>
              <w:top w:val="nil"/>
              <w:left w:val="nil"/>
              <w:bottom w:val="nil"/>
              <w:right w:val="nil"/>
            </w:tcBorders>
          </w:tcPr>
          <w:p w14:paraId="4D09133F" w14:textId="77777777" w:rsidR="00276C4F" w:rsidRPr="00906CF9" w:rsidRDefault="00276C4F" w:rsidP="00FF5D5E">
            <w:pPr>
              <w:pStyle w:val="-7"/>
              <w:bidi w:val="0"/>
              <w:spacing w:line="60" w:lineRule="exact"/>
              <w:rPr>
                <w:sz w:val="18"/>
                <w:szCs w:val="18"/>
                <w:rtl/>
              </w:rPr>
            </w:pPr>
          </w:p>
        </w:tc>
        <w:tc>
          <w:tcPr>
            <w:tcW w:w="5023" w:type="dxa"/>
            <w:tcBorders>
              <w:top w:val="nil"/>
              <w:left w:val="nil"/>
              <w:bottom w:val="nil"/>
              <w:right w:val="nil"/>
            </w:tcBorders>
          </w:tcPr>
          <w:p w14:paraId="70343E03" w14:textId="77777777" w:rsidR="00276C4F" w:rsidRPr="00906CF9" w:rsidRDefault="00276C4F" w:rsidP="00FF5D5E">
            <w:pPr>
              <w:pStyle w:val="-0"/>
              <w:bidi w:val="0"/>
              <w:spacing w:line="60" w:lineRule="exact"/>
              <w:jc w:val="both"/>
              <w:rPr>
                <w:b/>
                <w:bCs/>
                <w:sz w:val="18"/>
                <w:szCs w:val="18"/>
                <w:rtl/>
              </w:rPr>
            </w:pPr>
          </w:p>
        </w:tc>
        <w:tc>
          <w:tcPr>
            <w:tcW w:w="709" w:type="dxa"/>
            <w:tcBorders>
              <w:top w:val="nil"/>
              <w:left w:val="nil"/>
              <w:bottom w:val="nil"/>
              <w:right w:val="nil"/>
            </w:tcBorders>
            <w:vAlign w:val="bottom"/>
          </w:tcPr>
          <w:p w14:paraId="5867C021" w14:textId="77777777" w:rsidR="00276C4F" w:rsidRPr="00906CF9" w:rsidRDefault="00276C4F"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1F42A53B" w14:textId="77777777" w:rsidR="00276C4F" w:rsidRPr="00906CF9" w:rsidRDefault="00276C4F"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5AC989D8" w14:textId="77777777" w:rsidR="00276C4F" w:rsidRPr="00906CF9" w:rsidRDefault="00276C4F" w:rsidP="00FF5D5E">
            <w:pPr>
              <w:pStyle w:val="-f1"/>
              <w:pBdr>
                <w:top w:val="none" w:sz="0" w:space="0" w:color="auto"/>
              </w:pBdr>
              <w:bidi w:val="0"/>
              <w:spacing w:line="60" w:lineRule="exact"/>
              <w:jc w:val="both"/>
              <w:rPr>
                <w:sz w:val="18"/>
                <w:szCs w:val="18"/>
                <w:rtl/>
              </w:rPr>
            </w:pPr>
          </w:p>
        </w:tc>
        <w:tc>
          <w:tcPr>
            <w:tcW w:w="708" w:type="dxa"/>
            <w:tcBorders>
              <w:top w:val="nil"/>
              <w:left w:val="nil"/>
              <w:bottom w:val="nil"/>
              <w:right w:val="nil"/>
            </w:tcBorders>
            <w:vAlign w:val="bottom"/>
          </w:tcPr>
          <w:p w14:paraId="00BA1344" w14:textId="77777777" w:rsidR="00276C4F" w:rsidRPr="00906CF9" w:rsidRDefault="00276C4F" w:rsidP="00FF5D5E">
            <w:pPr>
              <w:pStyle w:val="-f1"/>
              <w:pBdr>
                <w:top w:val="none" w:sz="0" w:space="0" w:color="auto"/>
              </w:pBdr>
              <w:bidi w:val="0"/>
              <w:spacing w:line="60" w:lineRule="exact"/>
              <w:jc w:val="both"/>
              <w:rPr>
                <w:sz w:val="18"/>
                <w:szCs w:val="18"/>
                <w:rtl/>
              </w:rPr>
            </w:pPr>
          </w:p>
        </w:tc>
        <w:tc>
          <w:tcPr>
            <w:tcW w:w="1422" w:type="dxa"/>
            <w:tcBorders>
              <w:top w:val="nil"/>
              <w:left w:val="nil"/>
              <w:bottom w:val="nil"/>
              <w:right w:val="nil"/>
            </w:tcBorders>
            <w:vAlign w:val="bottom"/>
          </w:tcPr>
          <w:p w14:paraId="7D81CB7A" w14:textId="77777777" w:rsidR="00276C4F" w:rsidRPr="00906CF9" w:rsidRDefault="00276C4F" w:rsidP="00FF5D5E">
            <w:pPr>
              <w:pStyle w:val="-f1"/>
              <w:pBdr>
                <w:top w:val="none" w:sz="0" w:space="0" w:color="auto"/>
              </w:pBdr>
              <w:bidi w:val="0"/>
              <w:spacing w:line="60" w:lineRule="exact"/>
              <w:jc w:val="both"/>
              <w:rPr>
                <w:sz w:val="18"/>
                <w:szCs w:val="18"/>
                <w:rtl/>
              </w:rPr>
            </w:pPr>
          </w:p>
        </w:tc>
      </w:tr>
      <w:tr w:rsidR="00276C4F" w:rsidRPr="00906CF9" w14:paraId="1FCB9885" w14:textId="77777777" w:rsidTr="002431F0">
        <w:trPr>
          <w:trHeight w:val="259"/>
        </w:trPr>
        <w:tc>
          <w:tcPr>
            <w:tcW w:w="1134" w:type="dxa"/>
            <w:tcBorders>
              <w:top w:val="nil"/>
              <w:left w:val="nil"/>
              <w:bottom w:val="nil"/>
              <w:right w:val="nil"/>
            </w:tcBorders>
          </w:tcPr>
          <w:p w14:paraId="6A29BD17" w14:textId="77777777" w:rsidR="00276C4F" w:rsidRPr="00906CF9" w:rsidRDefault="00276C4F" w:rsidP="00FF5D5E">
            <w:pPr>
              <w:pStyle w:val="-7"/>
              <w:spacing w:before="20"/>
              <w:rPr>
                <w:sz w:val="18"/>
                <w:szCs w:val="18"/>
                <w:rtl/>
              </w:rPr>
            </w:pPr>
          </w:p>
        </w:tc>
        <w:tc>
          <w:tcPr>
            <w:tcW w:w="5023" w:type="dxa"/>
            <w:tcBorders>
              <w:top w:val="nil"/>
              <w:left w:val="nil"/>
              <w:bottom w:val="nil"/>
              <w:right w:val="nil"/>
            </w:tcBorders>
          </w:tcPr>
          <w:p w14:paraId="5E481078" w14:textId="77777777" w:rsidR="00276C4F" w:rsidRPr="00906CF9" w:rsidRDefault="00276C4F" w:rsidP="00FF5D5E">
            <w:pPr>
              <w:pStyle w:val="-23"/>
              <w:spacing w:before="20"/>
              <w:rPr>
                <w:sz w:val="18"/>
                <w:szCs w:val="18"/>
                <w:rtl/>
              </w:rPr>
            </w:pPr>
            <w:r w:rsidRPr="00906CF9">
              <w:rPr>
                <w:rFonts w:hint="cs"/>
                <w:sz w:val="18"/>
                <w:szCs w:val="18"/>
                <w:rtl/>
              </w:rPr>
              <w:t>סה"כ עלות הרכישה</w:t>
            </w:r>
          </w:p>
        </w:tc>
        <w:tc>
          <w:tcPr>
            <w:tcW w:w="709" w:type="dxa"/>
            <w:tcBorders>
              <w:top w:val="nil"/>
              <w:left w:val="nil"/>
              <w:bottom w:val="nil"/>
              <w:right w:val="nil"/>
            </w:tcBorders>
            <w:vAlign w:val="bottom"/>
          </w:tcPr>
          <w:p w14:paraId="32C68B56" w14:textId="77777777" w:rsidR="00276C4F" w:rsidRPr="00906CF9" w:rsidRDefault="00276C4F" w:rsidP="00FF5D5E">
            <w:pPr>
              <w:pStyle w:val="-f1"/>
              <w:pBdr>
                <w:top w:val="none" w:sz="0" w:space="0"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05DC1F63" w14:textId="77777777" w:rsidR="00276C4F" w:rsidRPr="00906CF9" w:rsidRDefault="00276C4F" w:rsidP="00FF5D5E">
            <w:pPr>
              <w:pStyle w:val="-f1"/>
              <w:pBdr>
                <w:top w:val="none" w:sz="0" w:space="0"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68ACD4D5" w14:textId="77777777" w:rsidR="00276C4F" w:rsidRPr="00906CF9" w:rsidRDefault="00276C4F" w:rsidP="00FF5D5E">
            <w:pPr>
              <w:pStyle w:val="-f1"/>
              <w:pBdr>
                <w:top w:val="none" w:sz="0" w:space="0" w:color="auto"/>
              </w:pBdr>
              <w:spacing w:before="20"/>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496DCE3D" w14:textId="77777777" w:rsidR="00276C4F" w:rsidRPr="00906CF9" w:rsidRDefault="00276C4F" w:rsidP="00FF5D5E">
            <w:pPr>
              <w:pStyle w:val="-f1"/>
              <w:pBdr>
                <w:top w:val="none" w:sz="0" w:space="0" w:color="auto"/>
              </w:pBdr>
              <w:spacing w:before="20"/>
              <w:rPr>
                <w:sz w:val="18"/>
                <w:szCs w:val="18"/>
                <w:rtl/>
              </w:rPr>
            </w:pPr>
            <w:r w:rsidRPr="00906CF9">
              <w:rPr>
                <w:rFonts w:hint="cs"/>
                <w:sz w:val="18"/>
                <w:szCs w:val="18"/>
                <w:rtl/>
              </w:rPr>
              <w:t xml:space="preserve"> 0</w:t>
            </w:r>
          </w:p>
        </w:tc>
        <w:tc>
          <w:tcPr>
            <w:tcW w:w="1422" w:type="dxa"/>
            <w:tcBorders>
              <w:top w:val="nil"/>
              <w:left w:val="nil"/>
              <w:bottom w:val="nil"/>
              <w:right w:val="nil"/>
            </w:tcBorders>
            <w:vAlign w:val="bottom"/>
          </w:tcPr>
          <w:p w14:paraId="148DD25B" w14:textId="77777777" w:rsidR="00276C4F" w:rsidRPr="00906CF9" w:rsidRDefault="00276C4F" w:rsidP="00FF5D5E">
            <w:pPr>
              <w:pStyle w:val="-f1"/>
              <w:pBdr>
                <w:top w:val="none" w:sz="0" w:space="0" w:color="auto"/>
              </w:pBdr>
              <w:spacing w:before="20"/>
              <w:rPr>
                <w:sz w:val="18"/>
                <w:szCs w:val="18"/>
                <w:rtl/>
              </w:rPr>
            </w:pPr>
            <w:r w:rsidRPr="00906CF9">
              <w:rPr>
                <w:rFonts w:hint="cs"/>
                <w:sz w:val="18"/>
                <w:szCs w:val="18"/>
                <w:rtl/>
              </w:rPr>
              <w:t xml:space="preserve"> 0</w:t>
            </w:r>
          </w:p>
        </w:tc>
      </w:tr>
      <w:tr w:rsidR="00276C4F" w:rsidRPr="00906CF9" w14:paraId="234E4580" w14:textId="77777777" w:rsidTr="002431F0">
        <w:trPr>
          <w:trHeight w:val="259"/>
        </w:trPr>
        <w:tc>
          <w:tcPr>
            <w:tcW w:w="1134" w:type="dxa"/>
            <w:tcBorders>
              <w:top w:val="nil"/>
              <w:left w:val="nil"/>
              <w:bottom w:val="nil"/>
              <w:right w:val="nil"/>
            </w:tcBorders>
          </w:tcPr>
          <w:p w14:paraId="60A6E747" w14:textId="77777777" w:rsidR="00276C4F" w:rsidRPr="00906CF9" w:rsidRDefault="00276C4F" w:rsidP="00FF5D5E">
            <w:pPr>
              <w:pStyle w:val="-7"/>
              <w:spacing w:before="20"/>
              <w:rPr>
                <w:sz w:val="18"/>
                <w:szCs w:val="18"/>
                <w:rtl/>
              </w:rPr>
            </w:pPr>
          </w:p>
        </w:tc>
        <w:tc>
          <w:tcPr>
            <w:tcW w:w="5023" w:type="dxa"/>
            <w:tcBorders>
              <w:top w:val="nil"/>
              <w:left w:val="nil"/>
              <w:bottom w:val="nil"/>
              <w:right w:val="nil"/>
            </w:tcBorders>
          </w:tcPr>
          <w:p w14:paraId="7E037B23" w14:textId="36C6B91B" w:rsidR="00276C4F" w:rsidRPr="00906CF9" w:rsidRDefault="00276C4F" w:rsidP="00FF5D5E">
            <w:pPr>
              <w:pStyle w:val="-0"/>
              <w:spacing w:before="20"/>
              <w:rPr>
                <w:sz w:val="18"/>
                <w:szCs w:val="18"/>
                <w:rtl/>
              </w:rPr>
            </w:pPr>
            <w:r w:rsidRPr="00906CF9">
              <w:rPr>
                <w:rFonts w:hint="cs"/>
                <w:sz w:val="18"/>
                <w:szCs w:val="18"/>
                <w:rtl/>
              </w:rPr>
              <w:t xml:space="preserve">בניכוי - תמורה שלא במזומן לרכישת חברות </w:t>
            </w:r>
            <w:r w:rsidR="00D14432">
              <w:rPr>
                <w:rFonts w:hint="cs"/>
                <w:sz w:val="18"/>
                <w:szCs w:val="18"/>
                <w:rtl/>
              </w:rPr>
              <w:t>בנות</w:t>
            </w:r>
            <w:r w:rsidRPr="00906CF9">
              <w:rPr>
                <w:rFonts w:hint="cs"/>
                <w:sz w:val="18"/>
                <w:szCs w:val="18"/>
                <w:rtl/>
              </w:rPr>
              <w:t xml:space="preserve"> </w:t>
            </w:r>
          </w:p>
        </w:tc>
        <w:tc>
          <w:tcPr>
            <w:tcW w:w="709" w:type="dxa"/>
            <w:tcBorders>
              <w:top w:val="nil"/>
              <w:left w:val="nil"/>
              <w:bottom w:val="nil"/>
              <w:right w:val="nil"/>
            </w:tcBorders>
            <w:vAlign w:val="bottom"/>
          </w:tcPr>
          <w:p w14:paraId="6B8F7923" w14:textId="77777777" w:rsidR="00276C4F" w:rsidRPr="00906CF9" w:rsidRDefault="00276C4F" w:rsidP="009B4655">
            <w:pPr>
              <w:pStyle w:val="-7"/>
              <w:pBdr>
                <w:bottom w:val="single" w:sz="4" w:space="1"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7A2718B7" w14:textId="77777777" w:rsidR="00276C4F" w:rsidRPr="00906CF9" w:rsidRDefault="00276C4F" w:rsidP="009B4655">
            <w:pPr>
              <w:pStyle w:val="-7"/>
              <w:pBdr>
                <w:bottom w:val="single" w:sz="4" w:space="1"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48EC1EFD" w14:textId="77777777" w:rsidR="00276C4F" w:rsidRPr="00906CF9" w:rsidRDefault="00276C4F" w:rsidP="009B4655">
            <w:pPr>
              <w:pStyle w:val="-7"/>
              <w:pBdr>
                <w:bottom w:val="single" w:sz="4" w:space="1" w:color="auto"/>
              </w:pBdr>
              <w:spacing w:before="20"/>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256DA927" w14:textId="77777777" w:rsidR="00276C4F" w:rsidRPr="00906CF9" w:rsidRDefault="00276C4F" w:rsidP="009B4655">
            <w:pPr>
              <w:pStyle w:val="-7"/>
              <w:pBdr>
                <w:bottom w:val="single" w:sz="4" w:space="1" w:color="auto"/>
              </w:pBdr>
              <w:spacing w:before="20"/>
              <w:rPr>
                <w:sz w:val="18"/>
                <w:szCs w:val="18"/>
                <w:rtl/>
              </w:rPr>
            </w:pPr>
            <w:r w:rsidRPr="00906CF9">
              <w:rPr>
                <w:rFonts w:hint="cs"/>
                <w:sz w:val="18"/>
                <w:szCs w:val="18"/>
                <w:rtl/>
              </w:rPr>
              <w:t xml:space="preserve"> 0</w:t>
            </w:r>
          </w:p>
        </w:tc>
        <w:tc>
          <w:tcPr>
            <w:tcW w:w="1422" w:type="dxa"/>
            <w:tcBorders>
              <w:top w:val="nil"/>
              <w:left w:val="nil"/>
              <w:bottom w:val="nil"/>
              <w:right w:val="nil"/>
            </w:tcBorders>
            <w:vAlign w:val="bottom"/>
          </w:tcPr>
          <w:p w14:paraId="7AFEFD74" w14:textId="77777777" w:rsidR="00276C4F" w:rsidRPr="00906CF9" w:rsidRDefault="00276C4F" w:rsidP="009B4655">
            <w:pPr>
              <w:pStyle w:val="-7"/>
              <w:pBdr>
                <w:bottom w:val="single" w:sz="4" w:space="1" w:color="auto"/>
              </w:pBdr>
              <w:spacing w:before="20"/>
              <w:rPr>
                <w:sz w:val="18"/>
                <w:szCs w:val="18"/>
                <w:rtl/>
              </w:rPr>
            </w:pPr>
            <w:r w:rsidRPr="00906CF9">
              <w:rPr>
                <w:rFonts w:hint="cs"/>
                <w:sz w:val="18"/>
                <w:szCs w:val="18"/>
                <w:rtl/>
              </w:rPr>
              <w:t xml:space="preserve"> 0</w:t>
            </w:r>
          </w:p>
        </w:tc>
      </w:tr>
      <w:tr w:rsidR="00276C4F" w:rsidRPr="00906CF9" w14:paraId="6A41F75C" w14:textId="77777777" w:rsidTr="002431F0">
        <w:tc>
          <w:tcPr>
            <w:tcW w:w="1134" w:type="dxa"/>
            <w:tcBorders>
              <w:top w:val="nil"/>
              <w:left w:val="nil"/>
              <w:bottom w:val="nil"/>
              <w:right w:val="nil"/>
            </w:tcBorders>
          </w:tcPr>
          <w:p w14:paraId="0CCD0ACE" w14:textId="77777777" w:rsidR="00276C4F" w:rsidRPr="00906CF9" w:rsidRDefault="00276C4F" w:rsidP="00FF5D5E">
            <w:pPr>
              <w:pStyle w:val="-7"/>
              <w:bidi w:val="0"/>
              <w:spacing w:line="60" w:lineRule="exact"/>
              <w:rPr>
                <w:sz w:val="18"/>
                <w:szCs w:val="18"/>
                <w:rtl/>
              </w:rPr>
            </w:pPr>
          </w:p>
        </w:tc>
        <w:tc>
          <w:tcPr>
            <w:tcW w:w="5023" w:type="dxa"/>
            <w:tcBorders>
              <w:top w:val="nil"/>
              <w:left w:val="nil"/>
              <w:bottom w:val="nil"/>
              <w:right w:val="nil"/>
            </w:tcBorders>
          </w:tcPr>
          <w:p w14:paraId="3124495E" w14:textId="77777777" w:rsidR="00276C4F" w:rsidRPr="00906CF9" w:rsidRDefault="00276C4F" w:rsidP="00FF5D5E">
            <w:pPr>
              <w:pStyle w:val="-0"/>
              <w:bidi w:val="0"/>
              <w:spacing w:line="60" w:lineRule="exact"/>
              <w:jc w:val="both"/>
              <w:rPr>
                <w:b/>
                <w:bCs/>
                <w:sz w:val="18"/>
                <w:szCs w:val="18"/>
                <w:rtl/>
              </w:rPr>
            </w:pPr>
          </w:p>
        </w:tc>
        <w:tc>
          <w:tcPr>
            <w:tcW w:w="709" w:type="dxa"/>
            <w:tcBorders>
              <w:top w:val="nil"/>
              <w:left w:val="nil"/>
              <w:bottom w:val="nil"/>
              <w:right w:val="nil"/>
            </w:tcBorders>
            <w:vAlign w:val="bottom"/>
          </w:tcPr>
          <w:p w14:paraId="48DAEAF6" w14:textId="77777777" w:rsidR="00276C4F" w:rsidRPr="00906CF9" w:rsidRDefault="00276C4F"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1174CA25" w14:textId="77777777" w:rsidR="00276C4F" w:rsidRPr="00906CF9" w:rsidRDefault="00276C4F"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487B9AB3" w14:textId="77777777" w:rsidR="00276C4F" w:rsidRPr="00906CF9" w:rsidRDefault="00276C4F" w:rsidP="00FF5D5E">
            <w:pPr>
              <w:pStyle w:val="-f1"/>
              <w:pBdr>
                <w:top w:val="none" w:sz="0" w:space="0" w:color="auto"/>
              </w:pBdr>
              <w:bidi w:val="0"/>
              <w:spacing w:line="60" w:lineRule="exact"/>
              <w:jc w:val="both"/>
              <w:rPr>
                <w:sz w:val="18"/>
                <w:szCs w:val="18"/>
                <w:rtl/>
              </w:rPr>
            </w:pPr>
          </w:p>
        </w:tc>
        <w:tc>
          <w:tcPr>
            <w:tcW w:w="708" w:type="dxa"/>
            <w:tcBorders>
              <w:top w:val="nil"/>
              <w:left w:val="nil"/>
              <w:bottom w:val="nil"/>
              <w:right w:val="nil"/>
            </w:tcBorders>
            <w:vAlign w:val="bottom"/>
          </w:tcPr>
          <w:p w14:paraId="48EA93C7" w14:textId="77777777" w:rsidR="00276C4F" w:rsidRPr="00906CF9" w:rsidRDefault="00276C4F" w:rsidP="00FF5D5E">
            <w:pPr>
              <w:pStyle w:val="-f1"/>
              <w:pBdr>
                <w:top w:val="none" w:sz="0" w:space="0" w:color="auto"/>
              </w:pBdr>
              <w:bidi w:val="0"/>
              <w:spacing w:line="60" w:lineRule="exact"/>
              <w:jc w:val="both"/>
              <w:rPr>
                <w:sz w:val="18"/>
                <w:szCs w:val="18"/>
                <w:rtl/>
              </w:rPr>
            </w:pPr>
          </w:p>
        </w:tc>
        <w:tc>
          <w:tcPr>
            <w:tcW w:w="1422" w:type="dxa"/>
            <w:tcBorders>
              <w:top w:val="nil"/>
              <w:left w:val="nil"/>
              <w:bottom w:val="nil"/>
              <w:right w:val="nil"/>
            </w:tcBorders>
            <w:vAlign w:val="bottom"/>
          </w:tcPr>
          <w:p w14:paraId="6A340F75" w14:textId="77777777" w:rsidR="00276C4F" w:rsidRPr="00906CF9" w:rsidRDefault="00276C4F" w:rsidP="00FF5D5E">
            <w:pPr>
              <w:pStyle w:val="-f1"/>
              <w:pBdr>
                <w:top w:val="none" w:sz="0" w:space="0" w:color="auto"/>
              </w:pBdr>
              <w:bidi w:val="0"/>
              <w:spacing w:line="60" w:lineRule="exact"/>
              <w:jc w:val="both"/>
              <w:rPr>
                <w:sz w:val="18"/>
                <w:szCs w:val="18"/>
                <w:rtl/>
              </w:rPr>
            </w:pPr>
          </w:p>
        </w:tc>
      </w:tr>
      <w:tr w:rsidR="00276C4F" w:rsidRPr="00906CF9" w14:paraId="7E9920A2" w14:textId="77777777" w:rsidTr="002431F0">
        <w:trPr>
          <w:trHeight w:val="259"/>
        </w:trPr>
        <w:tc>
          <w:tcPr>
            <w:tcW w:w="1134" w:type="dxa"/>
            <w:tcBorders>
              <w:top w:val="nil"/>
              <w:left w:val="nil"/>
              <w:bottom w:val="nil"/>
              <w:right w:val="nil"/>
            </w:tcBorders>
          </w:tcPr>
          <w:p w14:paraId="7FBB67EC" w14:textId="77777777" w:rsidR="00276C4F" w:rsidRPr="00906CF9" w:rsidRDefault="00276C4F" w:rsidP="00FF5D5E">
            <w:pPr>
              <w:pStyle w:val="-7"/>
              <w:spacing w:before="20"/>
              <w:rPr>
                <w:sz w:val="18"/>
                <w:szCs w:val="18"/>
                <w:rtl/>
              </w:rPr>
            </w:pPr>
          </w:p>
        </w:tc>
        <w:tc>
          <w:tcPr>
            <w:tcW w:w="5023" w:type="dxa"/>
            <w:tcBorders>
              <w:top w:val="nil"/>
              <w:left w:val="nil"/>
              <w:bottom w:val="nil"/>
              <w:right w:val="nil"/>
            </w:tcBorders>
          </w:tcPr>
          <w:p w14:paraId="538ED154" w14:textId="77777777" w:rsidR="00276C4F" w:rsidRPr="00906CF9" w:rsidRDefault="00276C4F" w:rsidP="00FF5D5E">
            <w:pPr>
              <w:pStyle w:val="-0"/>
              <w:spacing w:before="20"/>
              <w:rPr>
                <w:b/>
                <w:bCs/>
                <w:sz w:val="18"/>
                <w:szCs w:val="18"/>
                <w:rtl/>
              </w:rPr>
            </w:pPr>
            <w:r w:rsidRPr="00906CF9">
              <w:rPr>
                <w:rFonts w:hint="cs"/>
                <w:b/>
                <w:bCs/>
                <w:sz w:val="18"/>
                <w:szCs w:val="18"/>
                <w:rtl/>
              </w:rPr>
              <w:t>תמורה ששולמה במזומן</w:t>
            </w:r>
          </w:p>
        </w:tc>
        <w:tc>
          <w:tcPr>
            <w:tcW w:w="709" w:type="dxa"/>
            <w:tcBorders>
              <w:top w:val="nil"/>
              <w:left w:val="nil"/>
              <w:bottom w:val="nil"/>
              <w:right w:val="nil"/>
            </w:tcBorders>
            <w:vAlign w:val="bottom"/>
          </w:tcPr>
          <w:p w14:paraId="352AB4F0" w14:textId="77777777" w:rsidR="00276C4F" w:rsidRPr="00906CF9" w:rsidRDefault="00276C4F" w:rsidP="00FF5D5E">
            <w:pPr>
              <w:pStyle w:val="-7"/>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426C28E3" w14:textId="77777777" w:rsidR="00276C4F" w:rsidRPr="00906CF9" w:rsidRDefault="00276C4F" w:rsidP="00FF5D5E">
            <w:pPr>
              <w:pStyle w:val="-7"/>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4A69742A" w14:textId="77777777" w:rsidR="00276C4F" w:rsidRPr="00906CF9" w:rsidRDefault="00276C4F" w:rsidP="00FF5D5E">
            <w:pPr>
              <w:pStyle w:val="-7"/>
              <w:spacing w:before="20"/>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4A9A5815" w14:textId="77777777" w:rsidR="00276C4F" w:rsidRPr="00906CF9" w:rsidRDefault="00276C4F" w:rsidP="00FF5D5E">
            <w:pPr>
              <w:pStyle w:val="-7"/>
              <w:spacing w:before="20"/>
              <w:rPr>
                <w:sz w:val="18"/>
                <w:szCs w:val="18"/>
                <w:rtl/>
              </w:rPr>
            </w:pPr>
            <w:r w:rsidRPr="00906CF9">
              <w:rPr>
                <w:rFonts w:hint="cs"/>
                <w:sz w:val="18"/>
                <w:szCs w:val="18"/>
                <w:rtl/>
              </w:rPr>
              <w:t xml:space="preserve"> 0</w:t>
            </w:r>
          </w:p>
        </w:tc>
        <w:tc>
          <w:tcPr>
            <w:tcW w:w="1422" w:type="dxa"/>
            <w:tcBorders>
              <w:top w:val="nil"/>
              <w:left w:val="nil"/>
              <w:bottom w:val="nil"/>
              <w:right w:val="nil"/>
            </w:tcBorders>
            <w:vAlign w:val="bottom"/>
          </w:tcPr>
          <w:p w14:paraId="1E31FBE4" w14:textId="77777777" w:rsidR="00276C4F" w:rsidRPr="00906CF9" w:rsidRDefault="00276C4F" w:rsidP="00FF5D5E">
            <w:pPr>
              <w:pStyle w:val="-7"/>
              <w:spacing w:before="20"/>
              <w:rPr>
                <w:sz w:val="18"/>
                <w:szCs w:val="18"/>
                <w:rtl/>
              </w:rPr>
            </w:pPr>
            <w:r w:rsidRPr="00906CF9">
              <w:rPr>
                <w:rFonts w:hint="cs"/>
                <w:sz w:val="18"/>
                <w:szCs w:val="18"/>
                <w:rtl/>
              </w:rPr>
              <w:t xml:space="preserve"> 0</w:t>
            </w:r>
          </w:p>
        </w:tc>
      </w:tr>
      <w:tr w:rsidR="00276C4F" w:rsidRPr="00906CF9" w14:paraId="6D1E4447" w14:textId="77777777" w:rsidTr="002431F0">
        <w:trPr>
          <w:trHeight w:val="259"/>
        </w:trPr>
        <w:tc>
          <w:tcPr>
            <w:tcW w:w="1134" w:type="dxa"/>
            <w:tcBorders>
              <w:top w:val="nil"/>
              <w:left w:val="nil"/>
              <w:bottom w:val="nil"/>
              <w:right w:val="nil"/>
            </w:tcBorders>
          </w:tcPr>
          <w:p w14:paraId="5385D9A4" w14:textId="77777777" w:rsidR="00276C4F" w:rsidRPr="00906CF9" w:rsidRDefault="00276C4F" w:rsidP="00FF5D5E">
            <w:pPr>
              <w:pStyle w:val="-7"/>
              <w:spacing w:before="20"/>
              <w:rPr>
                <w:sz w:val="18"/>
                <w:szCs w:val="18"/>
                <w:rtl/>
              </w:rPr>
            </w:pPr>
          </w:p>
        </w:tc>
        <w:tc>
          <w:tcPr>
            <w:tcW w:w="5023" w:type="dxa"/>
            <w:tcBorders>
              <w:top w:val="nil"/>
              <w:left w:val="nil"/>
              <w:bottom w:val="nil"/>
              <w:right w:val="nil"/>
            </w:tcBorders>
          </w:tcPr>
          <w:p w14:paraId="50FB4CE8" w14:textId="77777777" w:rsidR="00276C4F" w:rsidRPr="00906CF9" w:rsidRDefault="00276C4F" w:rsidP="00FF5D5E">
            <w:pPr>
              <w:pStyle w:val="-0"/>
              <w:spacing w:before="20"/>
              <w:rPr>
                <w:sz w:val="18"/>
                <w:szCs w:val="18"/>
                <w:rtl/>
              </w:rPr>
            </w:pPr>
            <w:r w:rsidRPr="00906CF9">
              <w:rPr>
                <w:rFonts w:hint="cs"/>
                <w:sz w:val="18"/>
                <w:szCs w:val="18"/>
                <w:rtl/>
              </w:rPr>
              <w:t>בניכוי - מזומנים שנרכשו</w:t>
            </w:r>
          </w:p>
        </w:tc>
        <w:tc>
          <w:tcPr>
            <w:tcW w:w="709" w:type="dxa"/>
            <w:tcBorders>
              <w:top w:val="nil"/>
              <w:left w:val="nil"/>
              <w:bottom w:val="nil"/>
              <w:right w:val="nil"/>
            </w:tcBorders>
            <w:vAlign w:val="bottom"/>
          </w:tcPr>
          <w:p w14:paraId="5E7B9A94" w14:textId="77777777" w:rsidR="00276C4F" w:rsidRPr="00906CF9" w:rsidRDefault="00276C4F"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46E5FC14" w14:textId="77777777" w:rsidR="00276C4F" w:rsidRPr="00906CF9" w:rsidRDefault="00276C4F"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00045CB8" w14:textId="77777777" w:rsidR="00276C4F" w:rsidRPr="00906CF9" w:rsidRDefault="00276C4F"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42659CF7" w14:textId="77777777" w:rsidR="00276C4F" w:rsidRPr="00906CF9" w:rsidRDefault="00276C4F" w:rsidP="00FF5D5E">
            <w:pPr>
              <w:pStyle w:val="-7"/>
              <w:pBdr>
                <w:bottom w:val="single" w:sz="4" w:space="1" w:color="auto"/>
              </w:pBdr>
              <w:spacing w:before="20"/>
              <w:rPr>
                <w:sz w:val="18"/>
                <w:szCs w:val="18"/>
                <w:rtl/>
              </w:rPr>
            </w:pPr>
            <w:r w:rsidRPr="00906CF9">
              <w:rPr>
                <w:rFonts w:hint="cs"/>
                <w:sz w:val="18"/>
                <w:szCs w:val="18"/>
                <w:rtl/>
              </w:rPr>
              <w:t xml:space="preserve"> 0</w:t>
            </w:r>
          </w:p>
        </w:tc>
        <w:tc>
          <w:tcPr>
            <w:tcW w:w="1422" w:type="dxa"/>
            <w:tcBorders>
              <w:top w:val="nil"/>
              <w:left w:val="nil"/>
              <w:bottom w:val="nil"/>
              <w:right w:val="nil"/>
            </w:tcBorders>
            <w:vAlign w:val="bottom"/>
          </w:tcPr>
          <w:p w14:paraId="4F438A52" w14:textId="77777777" w:rsidR="00276C4F" w:rsidRPr="00906CF9" w:rsidRDefault="00276C4F" w:rsidP="00FF5D5E">
            <w:pPr>
              <w:pStyle w:val="-7"/>
              <w:pBdr>
                <w:bottom w:val="single" w:sz="4" w:space="1" w:color="auto"/>
              </w:pBdr>
              <w:spacing w:before="20"/>
              <w:rPr>
                <w:sz w:val="18"/>
                <w:szCs w:val="18"/>
                <w:rtl/>
              </w:rPr>
            </w:pPr>
            <w:r w:rsidRPr="00906CF9">
              <w:rPr>
                <w:rFonts w:hint="cs"/>
                <w:sz w:val="18"/>
                <w:szCs w:val="18"/>
                <w:rtl/>
              </w:rPr>
              <w:t xml:space="preserve"> 0</w:t>
            </w:r>
          </w:p>
        </w:tc>
      </w:tr>
      <w:tr w:rsidR="00276C4F" w:rsidRPr="00906CF9" w14:paraId="79748BCE" w14:textId="77777777" w:rsidTr="002431F0">
        <w:tc>
          <w:tcPr>
            <w:tcW w:w="1134" w:type="dxa"/>
            <w:tcBorders>
              <w:top w:val="nil"/>
              <w:left w:val="nil"/>
              <w:bottom w:val="nil"/>
              <w:right w:val="nil"/>
            </w:tcBorders>
          </w:tcPr>
          <w:p w14:paraId="3D2E457D" w14:textId="77777777" w:rsidR="00276C4F" w:rsidRPr="00906CF9" w:rsidRDefault="00276C4F" w:rsidP="00FF5D5E">
            <w:pPr>
              <w:pStyle w:val="-7"/>
              <w:bidi w:val="0"/>
              <w:spacing w:line="60" w:lineRule="exact"/>
              <w:rPr>
                <w:sz w:val="18"/>
                <w:szCs w:val="18"/>
                <w:rtl/>
              </w:rPr>
            </w:pPr>
          </w:p>
        </w:tc>
        <w:tc>
          <w:tcPr>
            <w:tcW w:w="5023" w:type="dxa"/>
            <w:tcBorders>
              <w:top w:val="nil"/>
              <w:left w:val="nil"/>
              <w:bottom w:val="nil"/>
              <w:right w:val="nil"/>
            </w:tcBorders>
          </w:tcPr>
          <w:p w14:paraId="332CA341" w14:textId="77777777" w:rsidR="00276C4F" w:rsidRPr="00906CF9" w:rsidRDefault="00276C4F" w:rsidP="00FF5D5E">
            <w:pPr>
              <w:pStyle w:val="-0"/>
              <w:bidi w:val="0"/>
              <w:spacing w:line="60" w:lineRule="exact"/>
              <w:jc w:val="both"/>
              <w:rPr>
                <w:b/>
                <w:bCs/>
                <w:sz w:val="18"/>
                <w:szCs w:val="18"/>
                <w:rtl/>
              </w:rPr>
            </w:pPr>
          </w:p>
        </w:tc>
        <w:tc>
          <w:tcPr>
            <w:tcW w:w="709" w:type="dxa"/>
            <w:tcBorders>
              <w:top w:val="nil"/>
              <w:left w:val="nil"/>
              <w:bottom w:val="nil"/>
              <w:right w:val="nil"/>
            </w:tcBorders>
            <w:vAlign w:val="bottom"/>
          </w:tcPr>
          <w:p w14:paraId="095FC980" w14:textId="77777777" w:rsidR="00276C4F" w:rsidRPr="00906CF9" w:rsidRDefault="00276C4F"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3AC1F2BD" w14:textId="77777777" w:rsidR="00276C4F" w:rsidRPr="00906CF9" w:rsidRDefault="00276C4F"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3D8A2230" w14:textId="77777777" w:rsidR="00276C4F" w:rsidRPr="00906CF9" w:rsidRDefault="00276C4F" w:rsidP="00FF5D5E">
            <w:pPr>
              <w:pStyle w:val="-f1"/>
              <w:pBdr>
                <w:top w:val="none" w:sz="0" w:space="0" w:color="auto"/>
              </w:pBdr>
              <w:bidi w:val="0"/>
              <w:spacing w:line="60" w:lineRule="exact"/>
              <w:jc w:val="both"/>
              <w:rPr>
                <w:sz w:val="18"/>
                <w:szCs w:val="18"/>
                <w:rtl/>
              </w:rPr>
            </w:pPr>
          </w:p>
        </w:tc>
        <w:tc>
          <w:tcPr>
            <w:tcW w:w="708" w:type="dxa"/>
            <w:tcBorders>
              <w:top w:val="nil"/>
              <w:left w:val="nil"/>
              <w:bottom w:val="nil"/>
              <w:right w:val="nil"/>
            </w:tcBorders>
            <w:vAlign w:val="bottom"/>
          </w:tcPr>
          <w:p w14:paraId="774E69FE" w14:textId="77777777" w:rsidR="00276C4F" w:rsidRPr="00906CF9" w:rsidRDefault="00276C4F" w:rsidP="00FF5D5E">
            <w:pPr>
              <w:pStyle w:val="-f1"/>
              <w:pBdr>
                <w:top w:val="none" w:sz="0" w:space="0" w:color="auto"/>
              </w:pBdr>
              <w:bidi w:val="0"/>
              <w:spacing w:line="60" w:lineRule="exact"/>
              <w:jc w:val="both"/>
              <w:rPr>
                <w:sz w:val="18"/>
                <w:szCs w:val="18"/>
                <w:rtl/>
              </w:rPr>
            </w:pPr>
          </w:p>
        </w:tc>
        <w:tc>
          <w:tcPr>
            <w:tcW w:w="1422" w:type="dxa"/>
            <w:tcBorders>
              <w:top w:val="nil"/>
              <w:left w:val="nil"/>
              <w:bottom w:val="nil"/>
              <w:right w:val="nil"/>
            </w:tcBorders>
            <w:vAlign w:val="bottom"/>
          </w:tcPr>
          <w:p w14:paraId="16453E52" w14:textId="77777777" w:rsidR="00276C4F" w:rsidRPr="00906CF9" w:rsidRDefault="00276C4F" w:rsidP="00FF5D5E">
            <w:pPr>
              <w:pStyle w:val="-f1"/>
              <w:pBdr>
                <w:top w:val="none" w:sz="0" w:space="0" w:color="auto"/>
              </w:pBdr>
              <w:bidi w:val="0"/>
              <w:spacing w:line="60" w:lineRule="exact"/>
              <w:jc w:val="both"/>
              <w:rPr>
                <w:sz w:val="18"/>
                <w:szCs w:val="18"/>
                <w:rtl/>
              </w:rPr>
            </w:pPr>
          </w:p>
        </w:tc>
      </w:tr>
      <w:tr w:rsidR="00276C4F" w:rsidRPr="00906CF9" w14:paraId="5CBFDB13" w14:textId="77777777" w:rsidTr="002431F0">
        <w:trPr>
          <w:trHeight w:val="259"/>
        </w:trPr>
        <w:tc>
          <w:tcPr>
            <w:tcW w:w="1134" w:type="dxa"/>
            <w:tcBorders>
              <w:top w:val="nil"/>
              <w:left w:val="nil"/>
              <w:bottom w:val="nil"/>
              <w:right w:val="nil"/>
            </w:tcBorders>
          </w:tcPr>
          <w:p w14:paraId="07244AA3" w14:textId="77777777" w:rsidR="00276C4F" w:rsidRPr="00906CF9" w:rsidRDefault="00276C4F" w:rsidP="00FF5D5E">
            <w:pPr>
              <w:pStyle w:val="-7"/>
              <w:rPr>
                <w:sz w:val="18"/>
                <w:szCs w:val="18"/>
                <w:rtl/>
              </w:rPr>
            </w:pPr>
          </w:p>
        </w:tc>
        <w:tc>
          <w:tcPr>
            <w:tcW w:w="5023" w:type="dxa"/>
            <w:tcBorders>
              <w:top w:val="nil"/>
              <w:left w:val="nil"/>
              <w:bottom w:val="nil"/>
              <w:right w:val="nil"/>
            </w:tcBorders>
          </w:tcPr>
          <w:p w14:paraId="164FF8CE" w14:textId="267F6AC7" w:rsidR="00276C4F" w:rsidRPr="00906CF9" w:rsidRDefault="00276C4F" w:rsidP="009B4655">
            <w:pPr>
              <w:pStyle w:val="-0"/>
              <w:rPr>
                <w:b/>
                <w:bCs/>
                <w:sz w:val="18"/>
                <w:szCs w:val="18"/>
                <w:rtl/>
              </w:rPr>
            </w:pPr>
            <w:r w:rsidRPr="00906CF9">
              <w:rPr>
                <w:rFonts w:hint="cs"/>
                <w:b/>
                <w:bCs/>
                <w:sz w:val="18"/>
                <w:szCs w:val="18"/>
                <w:rtl/>
              </w:rPr>
              <w:t xml:space="preserve">זרימת מזומנים לרכישת חברות </w:t>
            </w:r>
            <w:r w:rsidR="00D14432">
              <w:rPr>
                <w:rFonts w:hint="cs"/>
                <w:b/>
                <w:bCs/>
                <w:sz w:val="18"/>
                <w:szCs w:val="18"/>
                <w:rtl/>
              </w:rPr>
              <w:t>בנות</w:t>
            </w:r>
            <w:r w:rsidRPr="00906CF9">
              <w:rPr>
                <w:rFonts w:hint="cs"/>
                <w:b/>
                <w:bCs/>
                <w:sz w:val="18"/>
                <w:szCs w:val="18"/>
                <w:rtl/>
              </w:rPr>
              <w:t xml:space="preserve"> שאוחדו לראשונה</w:t>
            </w:r>
          </w:p>
        </w:tc>
        <w:tc>
          <w:tcPr>
            <w:tcW w:w="709" w:type="dxa"/>
            <w:tcBorders>
              <w:top w:val="nil"/>
              <w:left w:val="nil"/>
              <w:bottom w:val="nil"/>
              <w:right w:val="nil"/>
            </w:tcBorders>
            <w:vAlign w:val="bottom"/>
          </w:tcPr>
          <w:p w14:paraId="0763BD48" w14:textId="77777777" w:rsidR="00276C4F" w:rsidRPr="00906CF9" w:rsidRDefault="00276C4F" w:rsidP="00FF5D5E">
            <w:pPr>
              <w:pStyle w:val="-f1"/>
              <w:pBdr>
                <w:top w:val="none" w:sz="0" w:space="0" w:color="auto"/>
                <w:bottom w:val="double" w:sz="4" w:space="1" w:color="auto"/>
              </w:pBdr>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1861364B" w14:textId="77777777" w:rsidR="00276C4F" w:rsidRPr="00906CF9" w:rsidRDefault="00276C4F" w:rsidP="00FF5D5E">
            <w:pPr>
              <w:pStyle w:val="-f1"/>
              <w:pBdr>
                <w:top w:val="none" w:sz="0" w:space="0" w:color="auto"/>
                <w:bottom w:val="double" w:sz="4" w:space="1" w:color="auto"/>
              </w:pBdr>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646CAB7E" w14:textId="77777777" w:rsidR="00276C4F" w:rsidRPr="00906CF9" w:rsidRDefault="00276C4F" w:rsidP="00FF5D5E">
            <w:pPr>
              <w:pStyle w:val="-f1"/>
              <w:pBdr>
                <w:top w:val="none" w:sz="0" w:space="0" w:color="auto"/>
                <w:bottom w:val="double" w:sz="4" w:space="1" w:color="auto"/>
              </w:pBdr>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37FBEF38" w14:textId="77777777" w:rsidR="00276C4F" w:rsidRPr="00906CF9" w:rsidRDefault="00276C4F" w:rsidP="00FF5D5E">
            <w:pPr>
              <w:pStyle w:val="-f1"/>
              <w:pBdr>
                <w:top w:val="none" w:sz="0" w:space="0" w:color="auto"/>
                <w:bottom w:val="double" w:sz="4" w:space="1" w:color="auto"/>
              </w:pBdr>
              <w:rPr>
                <w:sz w:val="18"/>
                <w:szCs w:val="18"/>
                <w:rtl/>
              </w:rPr>
            </w:pPr>
            <w:r w:rsidRPr="00906CF9">
              <w:rPr>
                <w:rFonts w:hint="cs"/>
                <w:sz w:val="18"/>
                <w:szCs w:val="18"/>
                <w:rtl/>
              </w:rPr>
              <w:t xml:space="preserve"> 0</w:t>
            </w:r>
          </w:p>
        </w:tc>
        <w:tc>
          <w:tcPr>
            <w:tcW w:w="1422" w:type="dxa"/>
            <w:tcBorders>
              <w:top w:val="nil"/>
              <w:left w:val="nil"/>
              <w:bottom w:val="nil"/>
              <w:right w:val="nil"/>
            </w:tcBorders>
            <w:vAlign w:val="bottom"/>
          </w:tcPr>
          <w:p w14:paraId="57150724" w14:textId="77777777" w:rsidR="00276C4F" w:rsidRPr="00906CF9" w:rsidRDefault="00276C4F" w:rsidP="00FF5D5E">
            <w:pPr>
              <w:pStyle w:val="-f1"/>
              <w:pBdr>
                <w:top w:val="none" w:sz="0" w:space="0" w:color="auto"/>
                <w:bottom w:val="double" w:sz="4" w:space="1" w:color="auto"/>
              </w:pBdr>
              <w:rPr>
                <w:sz w:val="18"/>
                <w:szCs w:val="18"/>
                <w:rtl/>
              </w:rPr>
            </w:pPr>
            <w:r w:rsidRPr="00906CF9">
              <w:rPr>
                <w:rFonts w:hint="cs"/>
                <w:sz w:val="18"/>
                <w:szCs w:val="18"/>
                <w:rtl/>
              </w:rPr>
              <w:t xml:space="preserve"> 0</w:t>
            </w:r>
          </w:p>
        </w:tc>
      </w:tr>
    </w:tbl>
    <w:p w14:paraId="306B6EED" w14:textId="77777777" w:rsidR="009B4655" w:rsidRPr="002C3501" w:rsidRDefault="009B4655" w:rsidP="009B4655">
      <w:pPr>
        <w:spacing w:line="96" w:lineRule="auto"/>
        <w:rPr>
          <w:rtl/>
        </w:rPr>
      </w:pPr>
    </w:p>
    <w:tbl>
      <w:tblPr>
        <w:bidiVisual/>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032"/>
        <w:gridCol w:w="709"/>
        <w:gridCol w:w="709"/>
        <w:gridCol w:w="709"/>
        <w:gridCol w:w="708"/>
        <w:gridCol w:w="1135"/>
      </w:tblGrid>
      <w:tr w:rsidR="00C12846" w:rsidRPr="00906CF9" w14:paraId="42180138" w14:textId="77777777" w:rsidTr="00E7566D">
        <w:tc>
          <w:tcPr>
            <w:tcW w:w="1136" w:type="dxa"/>
            <w:tcBorders>
              <w:top w:val="nil"/>
              <w:left w:val="nil"/>
              <w:bottom w:val="nil"/>
              <w:right w:val="nil"/>
            </w:tcBorders>
            <w:vAlign w:val="center"/>
          </w:tcPr>
          <w:p w14:paraId="48B4672A" w14:textId="77777777" w:rsidR="00C12846" w:rsidRPr="00906CF9" w:rsidRDefault="00C12846" w:rsidP="00FF5D5E">
            <w:pPr>
              <w:pStyle w:val="-0"/>
              <w:spacing w:line="240" w:lineRule="auto"/>
              <w:ind w:left="-57" w:right="-57"/>
              <w:rPr>
                <w:sz w:val="18"/>
                <w:szCs w:val="18"/>
              </w:rPr>
            </w:pPr>
          </w:p>
        </w:tc>
        <w:tc>
          <w:tcPr>
            <w:tcW w:w="9002" w:type="dxa"/>
            <w:gridSpan w:val="6"/>
            <w:tcBorders>
              <w:top w:val="nil"/>
              <w:left w:val="nil"/>
              <w:bottom w:val="nil"/>
              <w:right w:val="nil"/>
            </w:tcBorders>
          </w:tcPr>
          <w:p w14:paraId="1CA51E17" w14:textId="717A610D" w:rsidR="00C12846" w:rsidRPr="00906CF9" w:rsidRDefault="00C12846" w:rsidP="00C12846">
            <w:pPr>
              <w:pStyle w:val="-3"/>
              <w:spacing w:before="60" w:line="240" w:lineRule="auto"/>
              <w:jc w:val="left"/>
              <w:rPr>
                <w:b/>
                <w:bCs/>
                <w:u w:val="single"/>
                <w:rtl/>
              </w:rPr>
            </w:pPr>
            <w:r w:rsidRPr="00906CF9">
              <w:rPr>
                <w:rFonts w:hint="cs"/>
                <w:b/>
                <w:bCs/>
                <w:u w:val="single"/>
                <w:rtl/>
              </w:rPr>
              <w:t xml:space="preserve">נספח ב' - תמורה ממימוש השקעות בחברות </w:t>
            </w:r>
            <w:r w:rsidR="002C0BD3">
              <w:rPr>
                <w:rFonts w:hint="cs"/>
                <w:b/>
                <w:bCs/>
                <w:u w:val="single"/>
                <w:rtl/>
              </w:rPr>
              <w:t>בנות</w:t>
            </w:r>
            <w:r w:rsidRPr="00906CF9">
              <w:rPr>
                <w:rFonts w:hint="cs"/>
                <w:b/>
                <w:bCs/>
                <w:u w:val="single"/>
                <w:rtl/>
              </w:rPr>
              <w:t xml:space="preserve"> </w:t>
            </w:r>
          </w:p>
          <w:p w14:paraId="6C1D7B81" w14:textId="37B4581D" w:rsidR="00C12846" w:rsidRPr="00906CF9" w:rsidRDefault="00C12846" w:rsidP="00C12846">
            <w:pPr>
              <w:pStyle w:val="-3"/>
              <w:spacing w:line="240" w:lineRule="auto"/>
              <w:jc w:val="left"/>
              <w:rPr>
                <w:b/>
                <w:bCs/>
                <w:rtl/>
              </w:rPr>
            </w:pPr>
            <w:r w:rsidRPr="00906CF9">
              <w:rPr>
                <w:rFonts w:hint="cs"/>
                <w:b/>
                <w:bCs/>
                <w:u w:val="single"/>
                <w:rtl/>
              </w:rPr>
              <w:t>שאוחדו בעבר</w:t>
            </w:r>
          </w:p>
        </w:tc>
      </w:tr>
      <w:tr w:rsidR="00C12846" w:rsidRPr="00906CF9" w14:paraId="4D810EFC" w14:textId="77777777" w:rsidTr="00E7566D">
        <w:trPr>
          <w:trHeight w:val="259"/>
        </w:trPr>
        <w:tc>
          <w:tcPr>
            <w:tcW w:w="1136" w:type="dxa"/>
            <w:tcBorders>
              <w:top w:val="nil"/>
              <w:left w:val="nil"/>
              <w:bottom w:val="nil"/>
              <w:right w:val="nil"/>
            </w:tcBorders>
            <w:vAlign w:val="center"/>
          </w:tcPr>
          <w:p w14:paraId="2DF396D7" w14:textId="77777777" w:rsidR="00C12846" w:rsidRPr="00906CF9" w:rsidRDefault="00C12846" w:rsidP="00FF5D5E">
            <w:pPr>
              <w:pStyle w:val="-0"/>
              <w:rPr>
                <w:strike/>
                <w:sz w:val="18"/>
                <w:szCs w:val="18"/>
                <w:rtl/>
              </w:rPr>
            </w:pPr>
          </w:p>
        </w:tc>
        <w:tc>
          <w:tcPr>
            <w:tcW w:w="5032" w:type="dxa"/>
            <w:tcBorders>
              <w:top w:val="nil"/>
              <w:left w:val="nil"/>
              <w:bottom w:val="nil"/>
              <w:right w:val="nil"/>
            </w:tcBorders>
          </w:tcPr>
          <w:p w14:paraId="74EE733E" w14:textId="6880FA4B" w:rsidR="00C12846" w:rsidRPr="00906CF9" w:rsidRDefault="00C12846" w:rsidP="00C12846">
            <w:pPr>
              <w:pStyle w:val="-f4"/>
              <w:spacing w:after="0" w:line="216" w:lineRule="auto"/>
              <w:ind w:right="-142"/>
              <w:jc w:val="left"/>
              <w:rPr>
                <w:sz w:val="18"/>
                <w:szCs w:val="18"/>
                <w:rtl/>
              </w:rPr>
            </w:pPr>
            <w:r w:rsidRPr="00906CF9">
              <w:rPr>
                <w:sz w:val="18"/>
                <w:szCs w:val="18"/>
                <w:rtl/>
              </w:rPr>
              <w:t xml:space="preserve">נכסים והתחייבויות של </w:t>
            </w:r>
            <w:r w:rsidR="00D14432">
              <w:rPr>
                <w:rFonts w:hint="cs"/>
                <w:sz w:val="18"/>
                <w:szCs w:val="18"/>
                <w:rtl/>
              </w:rPr>
              <w:t>ה</w:t>
            </w:r>
            <w:r w:rsidR="00D14432" w:rsidRPr="00906CF9">
              <w:rPr>
                <w:sz w:val="18"/>
                <w:szCs w:val="18"/>
                <w:rtl/>
              </w:rPr>
              <w:t xml:space="preserve">חברות </w:t>
            </w:r>
            <w:r w:rsidR="00D14432" w:rsidRPr="00906CF9">
              <w:rPr>
                <w:rFonts w:hint="cs"/>
                <w:sz w:val="18"/>
                <w:szCs w:val="18"/>
                <w:rtl/>
              </w:rPr>
              <w:t>ה</w:t>
            </w:r>
            <w:r w:rsidR="00D14432" w:rsidRPr="00906CF9">
              <w:rPr>
                <w:sz w:val="18"/>
                <w:szCs w:val="18"/>
                <w:rtl/>
              </w:rPr>
              <w:t>ב</w:t>
            </w:r>
            <w:r w:rsidR="00D14432">
              <w:rPr>
                <w:rFonts w:hint="cs"/>
                <w:sz w:val="18"/>
                <w:szCs w:val="18"/>
                <w:rtl/>
              </w:rPr>
              <w:t>נות</w:t>
            </w:r>
            <w:r w:rsidR="00D14432" w:rsidRPr="00906CF9">
              <w:rPr>
                <w:sz w:val="18"/>
                <w:szCs w:val="18"/>
                <w:rtl/>
              </w:rPr>
              <w:t xml:space="preserve"> </w:t>
            </w:r>
            <w:r w:rsidRPr="00906CF9">
              <w:rPr>
                <w:sz w:val="18"/>
                <w:szCs w:val="18"/>
                <w:rtl/>
              </w:rPr>
              <w:t>שאוחדו</w:t>
            </w:r>
            <w:r w:rsidRPr="00906CF9">
              <w:rPr>
                <w:rFonts w:hint="cs"/>
                <w:sz w:val="18"/>
                <w:szCs w:val="18"/>
                <w:rtl/>
              </w:rPr>
              <w:t xml:space="preserve"> בעבר ליום </w:t>
            </w:r>
            <w:r w:rsidR="002C0BD3">
              <w:rPr>
                <w:rFonts w:hint="cs"/>
                <w:sz w:val="18"/>
                <w:szCs w:val="18"/>
                <w:rtl/>
              </w:rPr>
              <w:t>המימוש</w:t>
            </w:r>
            <w:r w:rsidRPr="00906CF9">
              <w:rPr>
                <w:rFonts w:hint="cs"/>
                <w:sz w:val="18"/>
                <w:szCs w:val="18"/>
                <w:rtl/>
              </w:rPr>
              <w:t>:</w:t>
            </w:r>
          </w:p>
        </w:tc>
        <w:tc>
          <w:tcPr>
            <w:tcW w:w="709" w:type="dxa"/>
            <w:tcBorders>
              <w:top w:val="nil"/>
              <w:left w:val="nil"/>
              <w:bottom w:val="nil"/>
              <w:right w:val="nil"/>
            </w:tcBorders>
            <w:vAlign w:val="bottom"/>
          </w:tcPr>
          <w:p w14:paraId="699ECFD5" w14:textId="77777777" w:rsidR="00C12846" w:rsidRPr="00906CF9" w:rsidRDefault="00C12846" w:rsidP="00FF5D5E">
            <w:pPr>
              <w:pStyle w:val="-3"/>
              <w:rPr>
                <w:sz w:val="18"/>
                <w:szCs w:val="18"/>
                <w:rtl/>
              </w:rPr>
            </w:pPr>
          </w:p>
        </w:tc>
        <w:tc>
          <w:tcPr>
            <w:tcW w:w="709" w:type="dxa"/>
            <w:tcBorders>
              <w:top w:val="nil"/>
              <w:left w:val="nil"/>
              <w:bottom w:val="nil"/>
              <w:right w:val="nil"/>
            </w:tcBorders>
            <w:vAlign w:val="bottom"/>
          </w:tcPr>
          <w:p w14:paraId="0C97FD9E" w14:textId="77777777" w:rsidR="00C12846" w:rsidRPr="00906CF9" w:rsidRDefault="00C12846" w:rsidP="00FF5D5E">
            <w:pPr>
              <w:pStyle w:val="-3"/>
              <w:rPr>
                <w:sz w:val="18"/>
                <w:szCs w:val="18"/>
                <w:rtl/>
              </w:rPr>
            </w:pPr>
          </w:p>
        </w:tc>
        <w:tc>
          <w:tcPr>
            <w:tcW w:w="709" w:type="dxa"/>
            <w:tcBorders>
              <w:top w:val="nil"/>
              <w:left w:val="nil"/>
              <w:bottom w:val="nil"/>
              <w:right w:val="nil"/>
            </w:tcBorders>
            <w:vAlign w:val="bottom"/>
          </w:tcPr>
          <w:p w14:paraId="3DE944B4" w14:textId="77777777" w:rsidR="00C12846" w:rsidRPr="00906CF9" w:rsidRDefault="00C12846" w:rsidP="00FF5D5E">
            <w:pPr>
              <w:pStyle w:val="-3"/>
              <w:rPr>
                <w:sz w:val="18"/>
                <w:szCs w:val="18"/>
                <w:rtl/>
              </w:rPr>
            </w:pPr>
          </w:p>
        </w:tc>
        <w:tc>
          <w:tcPr>
            <w:tcW w:w="708" w:type="dxa"/>
            <w:tcBorders>
              <w:top w:val="nil"/>
              <w:left w:val="nil"/>
              <w:bottom w:val="nil"/>
              <w:right w:val="nil"/>
            </w:tcBorders>
            <w:vAlign w:val="bottom"/>
          </w:tcPr>
          <w:p w14:paraId="38FD90F9" w14:textId="77777777" w:rsidR="00C12846" w:rsidRPr="00906CF9" w:rsidRDefault="00C12846" w:rsidP="00FF5D5E">
            <w:pPr>
              <w:pStyle w:val="-3"/>
              <w:rPr>
                <w:sz w:val="18"/>
                <w:szCs w:val="18"/>
                <w:rtl/>
              </w:rPr>
            </w:pPr>
          </w:p>
        </w:tc>
        <w:tc>
          <w:tcPr>
            <w:tcW w:w="1135" w:type="dxa"/>
            <w:tcBorders>
              <w:top w:val="nil"/>
              <w:left w:val="nil"/>
              <w:bottom w:val="nil"/>
              <w:right w:val="nil"/>
            </w:tcBorders>
            <w:vAlign w:val="bottom"/>
          </w:tcPr>
          <w:p w14:paraId="72AF634A" w14:textId="77777777" w:rsidR="00C12846" w:rsidRPr="00906CF9" w:rsidRDefault="00C12846" w:rsidP="00FF5D5E">
            <w:pPr>
              <w:pStyle w:val="-3"/>
              <w:rPr>
                <w:sz w:val="18"/>
                <w:szCs w:val="18"/>
                <w:rtl/>
              </w:rPr>
            </w:pPr>
          </w:p>
        </w:tc>
      </w:tr>
      <w:tr w:rsidR="00C12846" w:rsidRPr="00906CF9" w14:paraId="74C5413A" w14:textId="77777777" w:rsidTr="00E7566D">
        <w:trPr>
          <w:trHeight w:val="259"/>
        </w:trPr>
        <w:tc>
          <w:tcPr>
            <w:tcW w:w="1136" w:type="dxa"/>
            <w:tcBorders>
              <w:top w:val="nil"/>
              <w:left w:val="nil"/>
              <w:bottom w:val="nil"/>
              <w:right w:val="nil"/>
            </w:tcBorders>
          </w:tcPr>
          <w:p w14:paraId="6B28B22F" w14:textId="77777777" w:rsidR="00C12846" w:rsidRPr="00906CF9" w:rsidRDefault="00C12846" w:rsidP="00FF5D5E">
            <w:pPr>
              <w:pStyle w:val="-7"/>
              <w:spacing w:before="20"/>
              <w:rPr>
                <w:sz w:val="18"/>
                <w:szCs w:val="18"/>
                <w:rtl/>
              </w:rPr>
            </w:pPr>
          </w:p>
        </w:tc>
        <w:tc>
          <w:tcPr>
            <w:tcW w:w="5032" w:type="dxa"/>
            <w:tcBorders>
              <w:top w:val="nil"/>
              <w:left w:val="nil"/>
              <w:bottom w:val="nil"/>
              <w:right w:val="nil"/>
            </w:tcBorders>
          </w:tcPr>
          <w:p w14:paraId="1348B0B5" w14:textId="77777777" w:rsidR="00C12846" w:rsidRPr="00906CF9" w:rsidRDefault="00C12846" w:rsidP="00FF5D5E">
            <w:pPr>
              <w:pStyle w:val="-0"/>
              <w:spacing w:before="20"/>
              <w:rPr>
                <w:sz w:val="18"/>
                <w:szCs w:val="18"/>
                <w:rtl/>
              </w:rPr>
            </w:pPr>
            <w:r w:rsidRPr="00906CF9">
              <w:rPr>
                <w:rFonts w:hint="cs"/>
                <w:sz w:val="18"/>
                <w:szCs w:val="18"/>
                <w:rtl/>
              </w:rPr>
              <w:t>מזומנים שנגרעו</w:t>
            </w:r>
          </w:p>
        </w:tc>
        <w:tc>
          <w:tcPr>
            <w:tcW w:w="709" w:type="dxa"/>
            <w:tcBorders>
              <w:top w:val="nil"/>
              <w:left w:val="nil"/>
              <w:bottom w:val="nil"/>
              <w:right w:val="nil"/>
            </w:tcBorders>
            <w:vAlign w:val="bottom"/>
          </w:tcPr>
          <w:p w14:paraId="03F7D109" w14:textId="77777777" w:rsidR="00C12846" w:rsidRPr="00906CF9" w:rsidRDefault="00C12846" w:rsidP="00FF5D5E">
            <w:pPr>
              <w:pStyle w:val="-7"/>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551AF566" w14:textId="77777777" w:rsidR="00C12846" w:rsidRPr="00906CF9" w:rsidRDefault="00C12846" w:rsidP="00FF5D5E">
            <w:pPr>
              <w:pStyle w:val="-7"/>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06452D90" w14:textId="77777777" w:rsidR="00C12846" w:rsidRPr="00906CF9" w:rsidRDefault="00C12846" w:rsidP="00FF5D5E">
            <w:pPr>
              <w:pStyle w:val="-7"/>
              <w:spacing w:before="20"/>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26F1A92F" w14:textId="77777777" w:rsidR="00C12846" w:rsidRPr="00906CF9" w:rsidRDefault="00C12846" w:rsidP="00FF5D5E">
            <w:pPr>
              <w:pStyle w:val="-7"/>
              <w:spacing w:before="20"/>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1FF42893" w14:textId="77777777" w:rsidR="00C12846" w:rsidRPr="00906CF9" w:rsidRDefault="00C12846" w:rsidP="00FF5D5E">
            <w:pPr>
              <w:pStyle w:val="-7"/>
              <w:spacing w:before="20"/>
              <w:rPr>
                <w:sz w:val="18"/>
                <w:szCs w:val="18"/>
                <w:rtl/>
              </w:rPr>
            </w:pPr>
            <w:r w:rsidRPr="00906CF9">
              <w:rPr>
                <w:rFonts w:hint="cs"/>
                <w:sz w:val="18"/>
                <w:szCs w:val="18"/>
                <w:rtl/>
              </w:rPr>
              <w:t xml:space="preserve"> 0</w:t>
            </w:r>
          </w:p>
        </w:tc>
      </w:tr>
      <w:tr w:rsidR="00C12846" w:rsidRPr="00906CF9" w14:paraId="6F7987E4" w14:textId="77777777" w:rsidTr="00E7566D">
        <w:trPr>
          <w:trHeight w:val="259"/>
        </w:trPr>
        <w:tc>
          <w:tcPr>
            <w:tcW w:w="1136" w:type="dxa"/>
            <w:tcBorders>
              <w:top w:val="nil"/>
              <w:left w:val="nil"/>
              <w:bottom w:val="nil"/>
              <w:right w:val="nil"/>
            </w:tcBorders>
          </w:tcPr>
          <w:p w14:paraId="4E644641" w14:textId="77777777" w:rsidR="00C12846" w:rsidRPr="00906CF9" w:rsidRDefault="00C12846" w:rsidP="00FF5D5E">
            <w:pPr>
              <w:pStyle w:val="-7"/>
              <w:spacing w:before="20"/>
              <w:rPr>
                <w:sz w:val="18"/>
                <w:szCs w:val="18"/>
                <w:rtl/>
              </w:rPr>
            </w:pPr>
          </w:p>
        </w:tc>
        <w:tc>
          <w:tcPr>
            <w:tcW w:w="5032" w:type="dxa"/>
            <w:tcBorders>
              <w:top w:val="nil"/>
              <w:left w:val="nil"/>
              <w:bottom w:val="nil"/>
              <w:right w:val="nil"/>
            </w:tcBorders>
          </w:tcPr>
          <w:p w14:paraId="77E812F0" w14:textId="77777777" w:rsidR="00C12846" w:rsidRPr="00906CF9" w:rsidRDefault="00C12846" w:rsidP="00FF5D5E">
            <w:pPr>
              <w:pStyle w:val="-0"/>
              <w:spacing w:before="20"/>
              <w:rPr>
                <w:sz w:val="18"/>
                <w:szCs w:val="18"/>
                <w:rtl/>
              </w:rPr>
            </w:pPr>
            <w:r w:rsidRPr="00906CF9">
              <w:rPr>
                <w:rFonts w:hint="cs"/>
                <w:sz w:val="18"/>
                <w:szCs w:val="18"/>
                <w:rtl/>
              </w:rPr>
              <w:t>נכסים (למעט מזומנים)</w:t>
            </w:r>
          </w:p>
        </w:tc>
        <w:tc>
          <w:tcPr>
            <w:tcW w:w="709" w:type="dxa"/>
            <w:tcBorders>
              <w:top w:val="nil"/>
              <w:left w:val="nil"/>
              <w:bottom w:val="nil"/>
              <w:right w:val="nil"/>
            </w:tcBorders>
            <w:vAlign w:val="bottom"/>
          </w:tcPr>
          <w:p w14:paraId="2615ED6C" w14:textId="77777777" w:rsidR="00C12846" w:rsidRPr="00906CF9" w:rsidRDefault="00C12846" w:rsidP="00FF5D5E">
            <w:pPr>
              <w:pStyle w:val="-7"/>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32421B1B" w14:textId="77777777" w:rsidR="00C12846" w:rsidRPr="00906CF9" w:rsidRDefault="00C12846" w:rsidP="00FF5D5E">
            <w:pPr>
              <w:pStyle w:val="-7"/>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2D16B09A" w14:textId="77777777" w:rsidR="00C12846" w:rsidRPr="00906CF9" w:rsidRDefault="00C12846" w:rsidP="00FF5D5E">
            <w:pPr>
              <w:pStyle w:val="-7"/>
              <w:spacing w:before="20"/>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5A81DCF5" w14:textId="77777777" w:rsidR="00C12846" w:rsidRPr="00906CF9" w:rsidRDefault="00C12846" w:rsidP="00FF5D5E">
            <w:pPr>
              <w:pStyle w:val="-7"/>
              <w:spacing w:before="20"/>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43069B1D" w14:textId="77777777" w:rsidR="00C12846" w:rsidRPr="00906CF9" w:rsidRDefault="00C12846" w:rsidP="00FF5D5E">
            <w:pPr>
              <w:pStyle w:val="-7"/>
              <w:spacing w:before="20"/>
              <w:rPr>
                <w:sz w:val="18"/>
                <w:szCs w:val="18"/>
                <w:rtl/>
              </w:rPr>
            </w:pPr>
            <w:r w:rsidRPr="00906CF9">
              <w:rPr>
                <w:rFonts w:hint="cs"/>
                <w:sz w:val="18"/>
                <w:szCs w:val="18"/>
                <w:rtl/>
              </w:rPr>
              <w:t xml:space="preserve"> 0</w:t>
            </w:r>
          </w:p>
        </w:tc>
      </w:tr>
      <w:tr w:rsidR="00C12846" w:rsidRPr="00906CF9" w14:paraId="3325AAD6" w14:textId="77777777" w:rsidTr="00E7566D">
        <w:trPr>
          <w:trHeight w:val="259"/>
        </w:trPr>
        <w:tc>
          <w:tcPr>
            <w:tcW w:w="1136" w:type="dxa"/>
            <w:tcBorders>
              <w:top w:val="nil"/>
              <w:left w:val="nil"/>
              <w:bottom w:val="nil"/>
              <w:right w:val="nil"/>
            </w:tcBorders>
          </w:tcPr>
          <w:p w14:paraId="245F264C" w14:textId="77777777" w:rsidR="00C12846" w:rsidRPr="00906CF9" w:rsidRDefault="00C12846" w:rsidP="00FF5D5E">
            <w:pPr>
              <w:pStyle w:val="-7"/>
              <w:spacing w:before="20"/>
              <w:rPr>
                <w:sz w:val="18"/>
                <w:szCs w:val="18"/>
                <w:rtl/>
              </w:rPr>
            </w:pPr>
          </w:p>
        </w:tc>
        <w:tc>
          <w:tcPr>
            <w:tcW w:w="5032" w:type="dxa"/>
            <w:tcBorders>
              <w:top w:val="nil"/>
              <w:left w:val="nil"/>
              <w:bottom w:val="nil"/>
              <w:right w:val="nil"/>
            </w:tcBorders>
          </w:tcPr>
          <w:p w14:paraId="714CFDCF" w14:textId="77777777" w:rsidR="00C12846" w:rsidRPr="00906CF9" w:rsidRDefault="00C12846" w:rsidP="009B4655">
            <w:pPr>
              <w:pStyle w:val="-0"/>
              <w:spacing w:before="20"/>
              <w:rPr>
                <w:sz w:val="18"/>
                <w:szCs w:val="18"/>
                <w:rtl/>
              </w:rPr>
            </w:pPr>
            <w:r w:rsidRPr="00906CF9">
              <w:rPr>
                <w:rFonts w:hint="cs"/>
                <w:sz w:val="18"/>
                <w:szCs w:val="18"/>
                <w:rtl/>
              </w:rPr>
              <w:t>התחייבויות</w:t>
            </w:r>
          </w:p>
        </w:tc>
        <w:tc>
          <w:tcPr>
            <w:tcW w:w="709" w:type="dxa"/>
            <w:tcBorders>
              <w:top w:val="nil"/>
              <w:left w:val="nil"/>
              <w:bottom w:val="nil"/>
              <w:right w:val="nil"/>
            </w:tcBorders>
            <w:vAlign w:val="bottom"/>
          </w:tcPr>
          <w:p w14:paraId="10842912"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392847F2"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595CCF6D"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588E717F"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6BA4FA5D"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r>
      <w:tr w:rsidR="00C12846" w:rsidRPr="00906CF9" w14:paraId="72CE5C2D" w14:textId="77777777" w:rsidTr="00E7566D">
        <w:tc>
          <w:tcPr>
            <w:tcW w:w="1136" w:type="dxa"/>
            <w:tcBorders>
              <w:top w:val="nil"/>
              <w:left w:val="nil"/>
              <w:bottom w:val="nil"/>
              <w:right w:val="nil"/>
            </w:tcBorders>
          </w:tcPr>
          <w:p w14:paraId="4717A0B2" w14:textId="77777777" w:rsidR="00C12846" w:rsidRPr="00906CF9" w:rsidRDefault="00C12846" w:rsidP="00FF5D5E">
            <w:pPr>
              <w:pStyle w:val="-7"/>
              <w:bidi w:val="0"/>
              <w:spacing w:line="60" w:lineRule="exact"/>
              <w:rPr>
                <w:sz w:val="18"/>
                <w:szCs w:val="18"/>
                <w:rtl/>
              </w:rPr>
            </w:pPr>
          </w:p>
        </w:tc>
        <w:tc>
          <w:tcPr>
            <w:tcW w:w="5032" w:type="dxa"/>
            <w:tcBorders>
              <w:top w:val="nil"/>
              <w:left w:val="nil"/>
              <w:bottom w:val="nil"/>
              <w:right w:val="nil"/>
            </w:tcBorders>
          </w:tcPr>
          <w:p w14:paraId="707C950B" w14:textId="77777777" w:rsidR="00C12846" w:rsidRPr="00906CF9" w:rsidRDefault="00C12846" w:rsidP="00FF5D5E">
            <w:pPr>
              <w:pStyle w:val="-b"/>
              <w:bidi w:val="0"/>
              <w:spacing w:line="60" w:lineRule="exact"/>
              <w:jc w:val="both"/>
              <w:rPr>
                <w:sz w:val="18"/>
                <w:szCs w:val="18"/>
                <w:rtl/>
              </w:rPr>
            </w:pPr>
          </w:p>
        </w:tc>
        <w:tc>
          <w:tcPr>
            <w:tcW w:w="709" w:type="dxa"/>
            <w:tcBorders>
              <w:top w:val="nil"/>
              <w:left w:val="nil"/>
              <w:bottom w:val="nil"/>
              <w:right w:val="nil"/>
            </w:tcBorders>
            <w:vAlign w:val="bottom"/>
          </w:tcPr>
          <w:p w14:paraId="0FC924B6"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329224D2"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2B9B69CD"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708" w:type="dxa"/>
            <w:tcBorders>
              <w:top w:val="nil"/>
              <w:left w:val="nil"/>
              <w:bottom w:val="nil"/>
              <w:right w:val="nil"/>
            </w:tcBorders>
            <w:vAlign w:val="bottom"/>
          </w:tcPr>
          <w:p w14:paraId="0436AB54"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1135" w:type="dxa"/>
            <w:tcBorders>
              <w:top w:val="nil"/>
              <w:left w:val="nil"/>
              <w:bottom w:val="nil"/>
              <w:right w:val="nil"/>
            </w:tcBorders>
            <w:vAlign w:val="bottom"/>
          </w:tcPr>
          <w:p w14:paraId="40575E6D" w14:textId="77777777" w:rsidR="00C12846" w:rsidRPr="00906CF9" w:rsidRDefault="00C12846" w:rsidP="00FF5D5E">
            <w:pPr>
              <w:pStyle w:val="-f1"/>
              <w:pBdr>
                <w:top w:val="none" w:sz="0" w:space="0" w:color="auto"/>
              </w:pBdr>
              <w:bidi w:val="0"/>
              <w:spacing w:line="60" w:lineRule="exact"/>
              <w:jc w:val="both"/>
              <w:rPr>
                <w:sz w:val="18"/>
                <w:szCs w:val="18"/>
                <w:rtl/>
              </w:rPr>
            </w:pPr>
          </w:p>
        </w:tc>
      </w:tr>
      <w:tr w:rsidR="00C12846" w:rsidRPr="00906CF9" w14:paraId="78AB3553" w14:textId="77777777" w:rsidTr="00E7566D">
        <w:trPr>
          <w:trHeight w:val="259"/>
        </w:trPr>
        <w:tc>
          <w:tcPr>
            <w:tcW w:w="1136" w:type="dxa"/>
            <w:tcBorders>
              <w:top w:val="nil"/>
              <w:left w:val="nil"/>
              <w:bottom w:val="nil"/>
              <w:right w:val="nil"/>
            </w:tcBorders>
          </w:tcPr>
          <w:p w14:paraId="71B32FB8" w14:textId="77777777" w:rsidR="00C12846" w:rsidRPr="00906CF9" w:rsidRDefault="00C12846" w:rsidP="00FF5D5E">
            <w:pPr>
              <w:pStyle w:val="-7"/>
              <w:spacing w:before="20"/>
              <w:rPr>
                <w:sz w:val="18"/>
                <w:szCs w:val="18"/>
                <w:rtl/>
              </w:rPr>
            </w:pPr>
          </w:p>
        </w:tc>
        <w:tc>
          <w:tcPr>
            <w:tcW w:w="5032" w:type="dxa"/>
            <w:tcBorders>
              <w:top w:val="nil"/>
              <w:left w:val="nil"/>
              <w:bottom w:val="nil"/>
              <w:right w:val="nil"/>
            </w:tcBorders>
          </w:tcPr>
          <w:p w14:paraId="023A8BFA" w14:textId="77777777" w:rsidR="00C12846" w:rsidRPr="00906CF9" w:rsidRDefault="00C12846" w:rsidP="00FF5D5E">
            <w:pPr>
              <w:pStyle w:val="-b"/>
              <w:spacing w:before="20"/>
              <w:rPr>
                <w:sz w:val="18"/>
                <w:szCs w:val="18"/>
                <w:rtl/>
              </w:rPr>
            </w:pPr>
            <w:r w:rsidRPr="00906CF9">
              <w:rPr>
                <w:rFonts w:hint="cs"/>
                <w:sz w:val="18"/>
                <w:szCs w:val="18"/>
                <w:rtl/>
              </w:rPr>
              <w:t>נכסים והתחייבויות מזוהים</w:t>
            </w:r>
          </w:p>
        </w:tc>
        <w:tc>
          <w:tcPr>
            <w:tcW w:w="709" w:type="dxa"/>
            <w:tcBorders>
              <w:top w:val="nil"/>
              <w:left w:val="nil"/>
              <w:bottom w:val="nil"/>
              <w:right w:val="nil"/>
            </w:tcBorders>
            <w:vAlign w:val="bottom"/>
          </w:tcPr>
          <w:p w14:paraId="19B6B638" w14:textId="77777777" w:rsidR="00C12846" w:rsidRPr="00906CF9" w:rsidRDefault="00C12846" w:rsidP="00FF5D5E">
            <w:pPr>
              <w:pStyle w:val="-f1"/>
              <w:pBdr>
                <w:top w:val="none" w:sz="0" w:space="0"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1179542B" w14:textId="77777777" w:rsidR="00C12846" w:rsidRPr="00906CF9" w:rsidRDefault="00C12846" w:rsidP="00FF5D5E">
            <w:pPr>
              <w:pStyle w:val="-f1"/>
              <w:pBdr>
                <w:top w:val="none" w:sz="0" w:space="0"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769EB695" w14:textId="77777777" w:rsidR="00C12846" w:rsidRPr="00906CF9" w:rsidRDefault="00C12846" w:rsidP="00FF5D5E">
            <w:pPr>
              <w:pStyle w:val="-f1"/>
              <w:pBdr>
                <w:top w:val="none" w:sz="0" w:space="0" w:color="auto"/>
              </w:pBdr>
              <w:spacing w:before="20"/>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41CF5E7A" w14:textId="77777777" w:rsidR="00C12846" w:rsidRPr="00906CF9" w:rsidRDefault="00C12846" w:rsidP="00FF5D5E">
            <w:pPr>
              <w:pStyle w:val="-f1"/>
              <w:pBdr>
                <w:top w:val="none" w:sz="0" w:space="0" w:color="auto"/>
              </w:pBdr>
              <w:spacing w:before="20"/>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4B683AF9" w14:textId="77777777" w:rsidR="00C12846" w:rsidRPr="00906CF9" w:rsidRDefault="00C12846" w:rsidP="00FF5D5E">
            <w:pPr>
              <w:pStyle w:val="-f1"/>
              <w:pBdr>
                <w:top w:val="none" w:sz="0" w:space="0" w:color="auto"/>
              </w:pBdr>
              <w:spacing w:before="20"/>
              <w:rPr>
                <w:sz w:val="18"/>
                <w:szCs w:val="18"/>
                <w:rtl/>
              </w:rPr>
            </w:pPr>
            <w:r w:rsidRPr="00906CF9">
              <w:rPr>
                <w:rFonts w:hint="cs"/>
                <w:sz w:val="18"/>
                <w:szCs w:val="18"/>
                <w:rtl/>
              </w:rPr>
              <w:t xml:space="preserve"> 0</w:t>
            </w:r>
          </w:p>
        </w:tc>
      </w:tr>
      <w:tr w:rsidR="00C12846" w:rsidRPr="00906CF9" w14:paraId="46024A92" w14:textId="77777777" w:rsidTr="00E7566D">
        <w:trPr>
          <w:trHeight w:val="259"/>
        </w:trPr>
        <w:tc>
          <w:tcPr>
            <w:tcW w:w="1136" w:type="dxa"/>
            <w:tcBorders>
              <w:top w:val="nil"/>
              <w:left w:val="nil"/>
              <w:bottom w:val="nil"/>
              <w:right w:val="nil"/>
            </w:tcBorders>
          </w:tcPr>
          <w:p w14:paraId="5B29AD4F" w14:textId="77777777" w:rsidR="00C12846" w:rsidRPr="00906CF9" w:rsidRDefault="00C12846" w:rsidP="00FF5D5E">
            <w:pPr>
              <w:pStyle w:val="-7"/>
              <w:spacing w:before="20"/>
              <w:rPr>
                <w:sz w:val="18"/>
                <w:szCs w:val="18"/>
                <w:rtl/>
              </w:rPr>
            </w:pPr>
          </w:p>
        </w:tc>
        <w:tc>
          <w:tcPr>
            <w:tcW w:w="5032" w:type="dxa"/>
            <w:tcBorders>
              <w:top w:val="nil"/>
              <w:left w:val="nil"/>
              <w:bottom w:val="nil"/>
              <w:right w:val="nil"/>
            </w:tcBorders>
          </w:tcPr>
          <w:p w14:paraId="68EA88C9" w14:textId="77777777" w:rsidR="00C12846" w:rsidRPr="00906CF9" w:rsidRDefault="00C12846" w:rsidP="00FF5D5E">
            <w:pPr>
              <w:pStyle w:val="-0"/>
              <w:spacing w:before="20"/>
              <w:rPr>
                <w:sz w:val="18"/>
                <w:szCs w:val="18"/>
                <w:rtl/>
              </w:rPr>
            </w:pPr>
            <w:r w:rsidRPr="00906CF9">
              <w:rPr>
                <w:rFonts w:hint="cs"/>
                <w:sz w:val="18"/>
                <w:szCs w:val="18"/>
                <w:rtl/>
              </w:rPr>
              <w:t>מוניטין</w:t>
            </w:r>
          </w:p>
        </w:tc>
        <w:tc>
          <w:tcPr>
            <w:tcW w:w="709" w:type="dxa"/>
            <w:tcBorders>
              <w:top w:val="nil"/>
              <w:left w:val="nil"/>
              <w:bottom w:val="nil"/>
              <w:right w:val="nil"/>
            </w:tcBorders>
            <w:vAlign w:val="bottom"/>
          </w:tcPr>
          <w:p w14:paraId="5EBB4951"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51F89944"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491CB4AC"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6D4C04B2"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185D152E"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r>
      <w:tr w:rsidR="00C12846" w:rsidRPr="00906CF9" w14:paraId="2C4919B5" w14:textId="77777777" w:rsidTr="00E7566D">
        <w:tc>
          <w:tcPr>
            <w:tcW w:w="1136" w:type="dxa"/>
            <w:tcBorders>
              <w:top w:val="nil"/>
              <w:left w:val="nil"/>
              <w:bottom w:val="nil"/>
              <w:right w:val="nil"/>
            </w:tcBorders>
          </w:tcPr>
          <w:p w14:paraId="60F39A1B" w14:textId="77777777" w:rsidR="00C12846" w:rsidRPr="00906CF9" w:rsidRDefault="00C12846" w:rsidP="00FF5D5E">
            <w:pPr>
              <w:pStyle w:val="-7"/>
              <w:bidi w:val="0"/>
              <w:spacing w:line="60" w:lineRule="exact"/>
              <w:rPr>
                <w:sz w:val="18"/>
                <w:szCs w:val="18"/>
                <w:rtl/>
              </w:rPr>
            </w:pPr>
          </w:p>
        </w:tc>
        <w:tc>
          <w:tcPr>
            <w:tcW w:w="5032" w:type="dxa"/>
            <w:tcBorders>
              <w:top w:val="nil"/>
              <w:left w:val="nil"/>
              <w:bottom w:val="nil"/>
              <w:right w:val="nil"/>
            </w:tcBorders>
          </w:tcPr>
          <w:p w14:paraId="7C6BDA31" w14:textId="77777777" w:rsidR="00C12846" w:rsidRPr="00906CF9" w:rsidRDefault="00C12846" w:rsidP="00FF5D5E">
            <w:pPr>
              <w:pStyle w:val="-b"/>
              <w:bidi w:val="0"/>
              <w:spacing w:line="60" w:lineRule="exact"/>
              <w:jc w:val="both"/>
              <w:rPr>
                <w:sz w:val="18"/>
                <w:szCs w:val="18"/>
                <w:rtl/>
              </w:rPr>
            </w:pPr>
          </w:p>
        </w:tc>
        <w:tc>
          <w:tcPr>
            <w:tcW w:w="709" w:type="dxa"/>
            <w:tcBorders>
              <w:top w:val="nil"/>
              <w:left w:val="nil"/>
              <w:bottom w:val="nil"/>
              <w:right w:val="nil"/>
            </w:tcBorders>
            <w:vAlign w:val="bottom"/>
          </w:tcPr>
          <w:p w14:paraId="6CEA7C7D"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7AB6C8BC"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513FC1EB"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708" w:type="dxa"/>
            <w:tcBorders>
              <w:top w:val="nil"/>
              <w:left w:val="nil"/>
              <w:bottom w:val="nil"/>
              <w:right w:val="nil"/>
            </w:tcBorders>
            <w:vAlign w:val="bottom"/>
          </w:tcPr>
          <w:p w14:paraId="15FF2453"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1135" w:type="dxa"/>
            <w:tcBorders>
              <w:top w:val="nil"/>
              <w:left w:val="nil"/>
              <w:bottom w:val="nil"/>
              <w:right w:val="nil"/>
            </w:tcBorders>
            <w:vAlign w:val="bottom"/>
          </w:tcPr>
          <w:p w14:paraId="7821305B" w14:textId="77777777" w:rsidR="00C12846" w:rsidRPr="00906CF9" w:rsidRDefault="00C12846" w:rsidP="00FF5D5E">
            <w:pPr>
              <w:pStyle w:val="-f1"/>
              <w:pBdr>
                <w:top w:val="none" w:sz="0" w:space="0" w:color="auto"/>
              </w:pBdr>
              <w:bidi w:val="0"/>
              <w:spacing w:line="60" w:lineRule="exact"/>
              <w:jc w:val="both"/>
              <w:rPr>
                <w:sz w:val="18"/>
                <w:szCs w:val="18"/>
                <w:rtl/>
              </w:rPr>
            </w:pPr>
          </w:p>
        </w:tc>
      </w:tr>
      <w:tr w:rsidR="00C12846" w:rsidRPr="00906CF9" w14:paraId="06911B14" w14:textId="77777777" w:rsidTr="00E7566D">
        <w:trPr>
          <w:trHeight w:val="259"/>
        </w:trPr>
        <w:tc>
          <w:tcPr>
            <w:tcW w:w="1136" w:type="dxa"/>
            <w:tcBorders>
              <w:top w:val="nil"/>
              <w:left w:val="nil"/>
              <w:bottom w:val="nil"/>
              <w:right w:val="nil"/>
            </w:tcBorders>
          </w:tcPr>
          <w:p w14:paraId="0B6BF7F8" w14:textId="77777777" w:rsidR="00C12846" w:rsidRPr="00906CF9" w:rsidRDefault="00C12846" w:rsidP="00FF5D5E">
            <w:pPr>
              <w:pStyle w:val="-7"/>
              <w:rPr>
                <w:sz w:val="18"/>
                <w:szCs w:val="18"/>
                <w:rtl/>
              </w:rPr>
            </w:pPr>
          </w:p>
        </w:tc>
        <w:tc>
          <w:tcPr>
            <w:tcW w:w="5032" w:type="dxa"/>
            <w:tcBorders>
              <w:top w:val="nil"/>
              <w:left w:val="nil"/>
              <w:bottom w:val="nil"/>
              <w:right w:val="nil"/>
            </w:tcBorders>
          </w:tcPr>
          <w:p w14:paraId="481495F2" w14:textId="77777777" w:rsidR="00C12846" w:rsidRPr="00906CF9" w:rsidRDefault="00C12846" w:rsidP="00FF5D5E">
            <w:pPr>
              <w:pStyle w:val="-23"/>
              <w:spacing w:before="20"/>
              <w:rPr>
                <w:sz w:val="18"/>
                <w:szCs w:val="18"/>
                <w:rtl/>
              </w:rPr>
            </w:pPr>
            <w:r w:rsidRPr="00906CF9">
              <w:rPr>
                <w:rFonts w:hint="cs"/>
                <w:sz w:val="18"/>
                <w:szCs w:val="18"/>
                <w:rtl/>
              </w:rPr>
              <w:t>נכסים והתחייבויות שנגרעו</w:t>
            </w:r>
          </w:p>
        </w:tc>
        <w:tc>
          <w:tcPr>
            <w:tcW w:w="709" w:type="dxa"/>
            <w:tcBorders>
              <w:top w:val="nil"/>
              <w:left w:val="nil"/>
              <w:bottom w:val="nil"/>
              <w:right w:val="nil"/>
            </w:tcBorders>
            <w:vAlign w:val="bottom"/>
          </w:tcPr>
          <w:p w14:paraId="3DF1A755" w14:textId="77777777" w:rsidR="00C12846" w:rsidRPr="00906CF9" w:rsidRDefault="00C12846" w:rsidP="00FF5D5E">
            <w:pPr>
              <w:pStyle w:val="-f1"/>
              <w:pBdr>
                <w:top w:val="none" w:sz="0" w:space="0" w:color="auto"/>
              </w:pBdr>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7AAD4F5A" w14:textId="77777777" w:rsidR="00C12846" w:rsidRPr="00906CF9" w:rsidRDefault="00C12846" w:rsidP="00FF5D5E">
            <w:pPr>
              <w:pStyle w:val="-f1"/>
              <w:pBdr>
                <w:top w:val="none" w:sz="0" w:space="0" w:color="auto"/>
              </w:pBdr>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65CA29FA" w14:textId="77777777" w:rsidR="00C12846" w:rsidRPr="00906CF9" w:rsidRDefault="00C12846" w:rsidP="00FF5D5E">
            <w:pPr>
              <w:pStyle w:val="-f1"/>
              <w:pBdr>
                <w:top w:val="none" w:sz="0" w:space="0" w:color="auto"/>
              </w:pBdr>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17B94672" w14:textId="77777777" w:rsidR="00C12846" w:rsidRPr="00906CF9" w:rsidRDefault="00C12846" w:rsidP="00FF5D5E">
            <w:pPr>
              <w:pStyle w:val="-f1"/>
              <w:pBdr>
                <w:top w:val="none" w:sz="0" w:space="0" w:color="auto"/>
              </w:pBdr>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39D04919" w14:textId="77777777" w:rsidR="00C12846" w:rsidRPr="00906CF9" w:rsidRDefault="00C12846" w:rsidP="00FF5D5E">
            <w:pPr>
              <w:pStyle w:val="-f1"/>
              <w:pBdr>
                <w:top w:val="none" w:sz="0" w:space="0" w:color="auto"/>
              </w:pBdr>
              <w:rPr>
                <w:sz w:val="18"/>
                <w:szCs w:val="18"/>
                <w:rtl/>
              </w:rPr>
            </w:pPr>
            <w:r w:rsidRPr="00906CF9">
              <w:rPr>
                <w:rFonts w:hint="cs"/>
                <w:sz w:val="18"/>
                <w:szCs w:val="18"/>
                <w:rtl/>
              </w:rPr>
              <w:t xml:space="preserve"> 0</w:t>
            </w:r>
          </w:p>
        </w:tc>
      </w:tr>
      <w:tr w:rsidR="00C12846" w:rsidRPr="00906CF9" w14:paraId="0041B6D9" w14:textId="77777777" w:rsidTr="00E7566D">
        <w:trPr>
          <w:trHeight w:val="259"/>
        </w:trPr>
        <w:tc>
          <w:tcPr>
            <w:tcW w:w="1136" w:type="dxa"/>
            <w:tcBorders>
              <w:top w:val="nil"/>
              <w:left w:val="nil"/>
              <w:bottom w:val="nil"/>
              <w:right w:val="nil"/>
            </w:tcBorders>
          </w:tcPr>
          <w:p w14:paraId="07C87D53" w14:textId="77777777" w:rsidR="00C12846" w:rsidRPr="00906CF9" w:rsidRDefault="00C12846" w:rsidP="00FF5D5E">
            <w:pPr>
              <w:pStyle w:val="-7"/>
              <w:spacing w:before="20"/>
              <w:rPr>
                <w:sz w:val="18"/>
                <w:szCs w:val="18"/>
                <w:rtl/>
              </w:rPr>
            </w:pPr>
          </w:p>
        </w:tc>
        <w:tc>
          <w:tcPr>
            <w:tcW w:w="5032" w:type="dxa"/>
            <w:tcBorders>
              <w:top w:val="nil"/>
              <w:left w:val="nil"/>
              <w:bottom w:val="nil"/>
              <w:right w:val="nil"/>
            </w:tcBorders>
          </w:tcPr>
          <w:p w14:paraId="317C8F54" w14:textId="0F73B2D6" w:rsidR="00C12846" w:rsidRPr="00906CF9" w:rsidRDefault="00C12846" w:rsidP="00FF5D5E">
            <w:pPr>
              <w:pStyle w:val="-0"/>
              <w:spacing w:before="20"/>
              <w:rPr>
                <w:sz w:val="18"/>
                <w:szCs w:val="18"/>
                <w:rtl/>
              </w:rPr>
            </w:pPr>
            <w:r w:rsidRPr="00906CF9">
              <w:rPr>
                <w:rFonts w:hint="cs"/>
                <w:sz w:val="18"/>
                <w:szCs w:val="18"/>
                <w:rtl/>
              </w:rPr>
              <w:t>רווח הון ממימוש השקעות בחברות</w:t>
            </w:r>
            <w:r w:rsidR="00D14432" w:rsidRPr="00906CF9">
              <w:rPr>
                <w:rFonts w:hint="cs"/>
                <w:sz w:val="18"/>
                <w:szCs w:val="18"/>
                <w:rtl/>
              </w:rPr>
              <w:t xml:space="preserve"> </w:t>
            </w:r>
            <w:r w:rsidR="00D14432">
              <w:rPr>
                <w:rFonts w:hint="cs"/>
                <w:sz w:val="18"/>
                <w:szCs w:val="18"/>
                <w:rtl/>
              </w:rPr>
              <w:t>בנות</w:t>
            </w:r>
          </w:p>
        </w:tc>
        <w:tc>
          <w:tcPr>
            <w:tcW w:w="709" w:type="dxa"/>
            <w:tcBorders>
              <w:top w:val="nil"/>
              <w:left w:val="nil"/>
              <w:bottom w:val="nil"/>
              <w:right w:val="nil"/>
            </w:tcBorders>
            <w:vAlign w:val="bottom"/>
          </w:tcPr>
          <w:p w14:paraId="3777B859"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06E80A0C"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0ED62E6D"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49BFCAB0"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5DCF9987"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r>
      <w:tr w:rsidR="00C12846" w:rsidRPr="00906CF9" w14:paraId="5E5BC3ED" w14:textId="77777777" w:rsidTr="00E7566D">
        <w:tc>
          <w:tcPr>
            <w:tcW w:w="1136" w:type="dxa"/>
            <w:tcBorders>
              <w:top w:val="nil"/>
              <w:left w:val="nil"/>
              <w:bottom w:val="nil"/>
              <w:right w:val="nil"/>
            </w:tcBorders>
          </w:tcPr>
          <w:p w14:paraId="74105E66" w14:textId="77777777" w:rsidR="00C12846" w:rsidRPr="00906CF9" w:rsidRDefault="00C12846" w:rsidP="00FF5D5E">
            <w:pPr>
              <w:pStyle w:val="-7"/>
              <w:bidi w:val="0"/>
              <w:spacing w:line="60" w:lineRule="exact"/>
              <w:rPr>
                <w:sz w:val="18"/>
                <w:szCs w:val="18"/>
                <w:rtl/>
              </w:rPr>
            </w:pPr>
          </w:p>
        </w:tc>
        <w:tc>
          <w:tcPr>
            <w:tcW w:w="5032" w:type="dxa"/>
            <w:tcBorders>
              <w:top w:val="nil"/>
              <w:left w:val="nil"/>
              <w:bottom w:val="nil"/>
              <w:right w:val="nil"/>
            </w:tcBorders>
          </w:tcPr>
          <w:p w14:paraId="33025868" w14:textId="77777777" w:rsidR="00C12846" w:rsidRPr="00906CF9" w:rsidRDefault="00C12846" w:rsidP="00FF5D5E">
            <w:pPr>
              <w:pStyle w:val="-b"/>
              <w:bidi w:val="0"/>
              <w:spacing w:line="60" w:lineRule="exact"/>
              <w:jc w:val="both"/>
              <w:rPr>
                <w:sz w:val="18"/>
                <w:szCs w:val="18"/>
                <w:rtl/>
              </w:rPr>
            </w:pPr>
          </w:p>
        </w:tc>
        <w:tc>
          <w:tcPr>
            <w:tcW w:w="709" w:type="dxa"/>
            <w:tcBorders>
              <w:top w:val="nil"/>
              <w:left w:val="nil"/>
              <w:bottom w:val="nil"/>
              <w:right w:val="nil"/>
            </w:tcBorders>
            <w:vAlign w:val="bottom"/>
          </w:tcPr>
          <w:p w14:paraId="1B636037"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4E6ED50D"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0CF040F9"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708" w:type="dxa"/>
            <w:tcBorders>
              <w:top w:val="nil"/>
              <w:left w:val="nil"/>
              <w:bottom w:val="nil"/>
              <w:right w:val="nil"/>
            </w:tcBorders>
            <w:vAlign w:val="bottom"/>
          </w:tcPr>
          <w:p w14:paraId="77F93D7C"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1135" w:type="dxa"/>
            <w:tcBorders>
              <w:top w:val="nil"/>
              <w:left w:val="nil"/>
              <w:bottom w:val="nil"/>
              <w:right w:val="nil"/>
            </w:tcBorders>
            <w:vAlign w:val="bottom"/>
          </w:tcPr>
          <w:p w14:paraId="2FB8C49F" w14:textId="77777777" w:rsidR="00C12846" w:rsidRPr="00906CF9" w:rsidRDefault="00C12846" w:rsidP="00FF5D5E">
            <w:pPr>
              <w:pStyle w:val="-f1"/>
              <w:pBdr>
                <w:top w:val="none" w:sz="0" w:space="0" w:color="auto"/>
              </w:pBdr>
              <w:bidi w:val="0"/>
              <w:spacing w:line="60" w:lineRule="exact"/>
              <w:jc w:val="both"/>
              <w:rPr>
                <w:sz w:val="18"/>
                <w:szCs w:val="18"/>
                <w:rtl/>
              </w:rPr>
            </w:pPr>
          </w:p>
        </w:tc>
      </w:tr>
      <w:tr w:rsidR="00C12846" w:rsidRPr="00906CF9" w14:paraId="0CE6095D" w14:textId="77777777" w:rsidTr="00E7566D">
        <w:trPr>
          <w:trHeight w:val="259"/>
        </w:trPr>
        <w:tc>
          <w:tcPr>
            <w:tcW w:w="1136" w:type="dxa"/>
            <w:tcBorders>
              <w:top w:val="nil"/>
              <w:left w:val="nil"/>
              <w:bottom w:val="nil"/>
              <w:right w:val="nil"/>
            </w:tcBorders>
          </w:tcPr>
          <w:p w14:paraId="017855D6" w14:textId="77777777" w:rsidR="00C12846" w:rsidRPr="00906CF9" w:rsidRDefault="00C12846" w:rsidP="00FF5D5E">
            <w:pPr>
              <w:pStyle w:val="-7"/>
              <w:rPr>
                <w:sz w:val="18"/>
                <w:szCs w:val="18"/>
                <w:rtl/>
              </w:rPr>
            </w:pPr>
          </w:p>
        </w:tc>
        <w:tc>
          <w:tcPr>
            <w:tcW w:w="5032" w:type="dxa"/>
            <w:tcBorders>
              <w:top w:val="nil"/>
              <w:left w:val="nil"/>
              <w:bottom w:val="nil"/>
              <w:right w:val="nil"/>
            </w:tcBorders>
          </w:tcPr>
          <w:p w14:paraId="00819417" w14:textId="31E88EA1" w:rsidR="00C12846" w:rsidRPr="00906CF9" w:rsidRDefault="00C12846" w:rsidP="00FF5D5E">
            <w:pPr>
              <w:pStyle w:val="-23"/>
              <w:spacing w:before="20"/>
              <w:rPr>
                <w:sz w:val="18"/>
                <w:szCs w:val="18"/>
                <w:rtl/>
              </w:rPr>
            </w:pPr>
            <w:r w:rsidRPr="00906CF9">
              <w:rPr>
                <w:rFonts w:hint="cs"/>
                <w:sz w:val="18"/>
                <w:szCs w:val="18"/>
                <w:rtl/>
              </w:rPr>
              <w:t>סה"כ תמור</w:t>
            </w:r>
            <w:r w:rsidR="00D14432">
              <w:rPr>
                <w:rFonts w:hint="cs"/>
                <w:sz w:val="18"/>
                <w:szCs w:val="18"/>
                <w:rtl/>
              </w:rPr>
              <w:t>ת המימוש</w:t>
            </w:r>
          </w:p>
        </w:tc>
        <w:tc>
          <w:tcPr>
            <w:tcW w:w="709" w:type="dxa"/>
            <w:tcBorders>
              <w:top w:val="nil"/>
              <w:left w:val="nil"/>
              <w:bottom w:val="nil"/>
              <w:right w:val="nil"/>
            </w:tcBorders>
            <w:vAlign w:val="bottom"/>
          </w:tcPr>
          <w:p w14:paraId="508F58CD" w14:textId="77777777" w:rsidR="00C12846" w:rsidRPr="00906CF9" w:rsidRDefault="00C12846" w:rsidP="00FF5D5E">
            <w:pPr>
              <w:pStyle w:val="-f1"/>
              <w:pBdr>
                <w:top w:val="none" w:sz="0" w:space="0" w:color="auto"/>
              </w:pBdr>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264E8EC8" w14:textId="77777777" w:rsidR="00C12846" w:rsidRPr="00906CF9" w:rsidRDefault="00C12846" w:rsidP="00FF5D5E">
            <w:pPr>
              <w:pStyle w:val="-f1"/>
              <w:pBdr>
                <w:top w:val="none" w:sz="0" w:space="0" w:color="auto"/>
              </w:pBdr>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2EC85504" w14:textId="77777777" w:rsidR="00C12846" w:rsidRPr="00906CF9" w:rsidRDefault="00C12846" w:rsidP="00FF5D5E">
            <w:pPr>
              <w:pStyle w:val="-f1"/>
              <w:pBdr>
                <w:top w:val="none" w:sz="0" w:space="0" w:color="auto"/>
              </w:pBdr>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5672436F" w14:textId="77777777" w:rsidR="00C12846" w:rsidRPr="00906CF9" w:rsidRDefault="00C12846" w:rsidP="00FF5D5E">
            <w:pPr>
              <w:pStyle w:val="-f1"/>
              <w:pBdr>
                <w:top w:val="none" w:sz="0" w:space="0" w:color="auto"/>
              </w:pBdr>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7891D003" w14:textId="77777777" w:rsidR="00C12846" w:rsidRPr="00906CF9" w:rsidRDefault="00C12846" w:rsidP="00FF5D5E">
            <w:pPr>
              <w:pStyle w:val="-f1"/>
              <w:pBdr>
                <w:top w:val="none" w:sz="0" w:space="0" w:color="auto"/>
              </w:pBdr>
              <w:rPr>
                <w:sz w:val="18"/>
                <w:szCs w:val="18"/>
                <w:rtl/>
              </w:rPr>
            </w:pPr>
            <w:r w:rsidRPr="00906CF9">
              <w:rPr>
                <w:rFonts w:hint="cs"/>
                <w:sz w:val="18"/>
                <w:szCs w:val="18"/>
                <w:rtl/>
              </w:rPr>
              <w:t xml:space="preserve"> 0</w:t>
            </w:r>
          </w:p>
        </w:tc>
      </w:tr>
      <w:tr w:rsidR="00C12846" w:rsidRPr="00906CF9" w14:paraId="2A90AB1E" w14:textId="77777777" w:rsidTr="00E7566D">
        <w:trPr>
          <w:trHeight w:val="259"/>
        </w:trPr>
        <w:tc>
          <w:tcPr>
            <w:tcW w:w="1136" w:type="dxa"/>
            <w:tcBorders>
              <w:top w:val="nil"/>
              <w:left w:val="nil"/>
              <w:bottom w:val="nil"/>
              <w:right w:val="nil"/>
            </w:tcBorders>
          </w:tcPr>
          <w:p w14:paraId="7001FB71" w14:textId="77777777" w:rsidR="00C12846" w:rsidRPr="00906CF9" w:rsidRDefault="00C12846" w:rsidP="00FF5D5E">
            <w:pPr>
              <w:pStyle w:val="-7"/>
              <w:spacing w:before="20"/>
              <w:rPr>
                <w:sz w:val="18"/>
                <w:szCs w:val="18"/>
                <w:rtl/>
              </w:rPr>
            </w:pPr>
          </w:p>
        </w:tc>
        <w:tc>
          <w:tcPr>
            <w:tcW w:w="5032" w:type="dxa"/>
            <w:tcBorders>
              <w:top w:val="nil"/>
              <w:left w:val="nil"/>
              <w:bottom w:val="nil"/>
              <w:right w:val="nil"/>
            </w:tcBorders>
          </w:tcPr>
          <w:p w14:paraId="171802E8" w14:textId="6BA13EC7" w:rsidR="00C12846" w:rsidRPr="00906CF9" w:rsidRDefault="00C12846" w:rsidP="00FF5D5E">
            <w:pPr>
              <w:pStyle w:val="-0"/>
              <w:spacing w:before="20"/>
              <w:rPr>
                <w:sz w:val="18"/>
                <w:szCs w:val="18"/>
                <w:rtl/>
              </w:rPr>
            </w:pPr>
            <w:r w:rsidRPr="00906CF9">
              <w:rPr>
                <w:rFonts w:hint="cs"/>
                <w:sz w:val="18"/>
                <w:szCs w:val="18"/>
                <w:rtl/>
              </w:rPr>
              <w:t xml:space="preserve">בניכוי - תמורה שלא במזומן ממימוש </w:t>
            </w:r>
            <w:r w:rsidR="00D14432" w:rsidRPr="00906CF9">
              <w:rPr>
                <w:rFonts w:hint="cs"/>
                <w:sz w:val="18"/>
                <w:szCs w:val="18"/>
                <w:rtl/>
              </w:rPr>
              <w:t xml:space="preserve">חברות </w:t>
            </w:r>
            <w:r w:rsidR="00D14432">
              <w:rPr>
                <w:rFonts w:hint="cs"/>
                <w:sz w:val="18"/>
                <w:szCs w:val="18"/>
                <w:rtl/>
              </w:rPr>
              <w:t>בנות</w:t>
            </w:r>
          </w:p>
        </w:tc>
        <w:tc>
          <w:tcPr>
            <w:tcW w:w="709" w:type="dxa"/>
            <w:tcBorders>
              <w:top w:val="nil"/>
              <w:left w:val="nil"/>
              <w:bottom w:val="nil"/>
              <w:right w:val="nil"/>
            </w:tcBorders>
            <w:vAlign w:val="bottom"/>
          </w:tcPr>
          <w:p w14:paraId="633A108E"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459A14A4"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4316B77D"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5989FD11"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1DBE5A08" w14:textId="77777777" w:rsidR="00C12846" w:rsidRPr="00906CF9" w:rsidRDefault="00C12846" w:rsidP="00FF5D5E">
            <w:pPr>
              <w:pStyle w:val="-7"/>
              <w:pBdr>
                <w:bottom w:val="single" w:sz="4" w:space="1" w:color="auto"/>
              </w:pBdr>
              <w:spacing w:before="20"/>
              <w:rPr>
                <w:sz w:val="18"/>
                <w:szCs w:val="18"/>
                <w:rtl/>
              </w:rPr>
            </w:pPr>
            <w:r w:rsidRPr="00906CF9">
              <w:rPr>
                <w:rFonts w:hint="cs"/>
                <w:sz w:val="18"/>
                <w:szCs w:val="18"/>
                <w:rtl/>
              </w:rPr>
              <w:t xml:space="preserve"> 0</w:t>
            </w:r>
          </w:p>
        </w:tc>
      </w:tr>
      <w:tr w:rsidR="00C12846" w:rsidRPr="00906CF9" w14:paraId="7D8E9B60" w14:textId="77777777" w:rsidTr="00E7566D">
        <w:tc>
          <w:tcPr>
            <w:tcW w:w="1136" w:type="dxa"/>
            <w:tcBorders>
              <w:top w:val="nil"/>
              <w:left w:val="nil"/>
              <w:bottom w:val="nil"/>
              <w:right w:val="nil"/>
            </w:tcBorders>
          </w:tcPr>
          <w:p w14:paraId="0B0158F2" w14:textId="77777777" w:rsidR="00C12846" w:rsidRPr="00906CF9" w:rsidRDefault="00C12846" w:rsidP="00FF5D5E">
            <w:pPr>
              <w:pStyle w:val="-7"/>
              <w:bidi w:val="0"/>
              <w:spacing w:line="60" w:lineRule="exact"/>
              <w:rPr>
                <w:sz w:val="18"/>
                <w:szCs w:val="18"/>
                <w:rtl/>
              </w:rPr>
            </w:pPr>
          </w:p>
        </w:tc>
        <w:tc>
          <w:tcPr>
            <w:tcW w:w="5032" w:type="dxa"/>
            <w:tcBorders>
              <w:top w:val="nil"/>
              <w:left w:val="nil"/>
              <w:bottom w:val="nil"/>
              <w:right w:val="nil"/>
            </w:tcBorders>
          </w:tcPr>
          <w:p w14:paraId="4DBDF47C" w14:textId="77777777" w:rsidR="00C12846" w:rsidRPr="00906CF9" w:rsidRDefault="00C12846" w:rsidP="00FF5D5E">
            <w:pPr>
              <w:pStyle w:val="-b"/>
              <w:bidi w:val="0"/>
              <w:spacing w:line="60" w:lineRule="exact"/>
              <w:jc w:val="both"/>
              <w:rPr>
                <w:sz w:val="18"/>
                <w:szCs w:val="18"/>
                <w:rtl/>
              </w:rPr>
            </w:pPr>
          </w:p>
        </w:tc>
        <w:tc>
          <w:tcPr>
            <w:tcW w:w="709" w:type="dxa"/>
            <w:tcBorders>
              <w:top w:val="nil"/>
              <w:left w:val="nil"/>
              <w:bottom w:val="nil"/>
              <w:right w:val="nil"/>
            </w:tcBorders>
            <w:vAlign w:val="bottom"/>
          </w:tcPr>
          <w:p w14:paraId="740276F4"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1D9A5658"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44EF306E"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708" w:type="dxa"/>
            <w:tcBorders>
              <w:top w:val="nil"/>
              <w:left w:val="nil"/>
              <w:bottom w:val="nil"/>
              <w:right w:val="nil"/>
            </w:tcBorders>
            <w:vAlign w:val="bottom"/>
          </w:tcPr>
          <w:p w14:paraId="2721CA39"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1135" w:type="dxa"/>
            <w:tcBorders>
              <w:top w:val="nil"/>
              <w:left w:val="nil"/>
              <w:bottom w:val="nil"/>
              <w:right w:val="nil"/>
            </w:tcBorders>
            <w:vAlign w:val="bottom"/>
          </w:tcPr>
          <w:p w14:paraId="5657B383" w14:textId="77777777" w:rsidR="00C12846" w:rsidRPr="00906CF9" w:rsidRDefault="00C12846" w:rsidP="00FF5D5E">
            <w:pPr>
              <w:pStyle w:val="-f1"/>
              <w:pBdr>
                <w:top w:val="none" w:sz="0" w:space="0" w:color="auto"/>
              </w:pBdr>
              <w:bidi w:val="0"/>
              <w:spacing w:line="60" w:lineRule="exact"/>
              <w:jc w:val="both"/>
              <w:rPr>
                <w:sz w:val="18"/>
                <w:szCs w:val="18"/>
                <w:rtl/>
              </w:rPr>
            </w:pPr>
          </w:p>
        </w:tc>
      </w:tr>
      <w:tr w:rsidR="00C12846" w:rsidRPr="00906CF9" w14:paraId="7557FB9E" w14:textId="77777777" w:rsidTr="00E7566D">
        <w:trPr>
          <w:trHeight w:val="259"/>
        </w:trPr>
        <w:tc>
          <w:tcPr>
            <w:tcW w:w="1136" w:type="dxa"/>
            <w:tcBorders>
              <w:top w:val="nil"/>
              <w:left w:val="nil"/>
              <w:bottom w:val="nil"/>
              <w:right w:val="nil"/>
            </w:tcBorders>
          </w:tcPr>
          <w:p w14:paraId="62EBBC91" w14:textId="77777777" w:rsidR="00C12846" w:rsidRPr="00906CF9" w:rsidRDefault="00C12846" w:rsidP="00FF5D5E">
            <w:pPr>
              <w:pStyle w:val="-7"/>
              <w:rPr>
                <w:sz w:val="18"/>
                <w:szCs w:val="18"/>
                <w:rtl/>
              </w:rPr>
            </w:pPr>
          </w:p>
        </w:tc>
        <w:tc>
          <w:tcPr>
            <w:tcW w:w="5032" w:type="dxa"/>
            <w:tcBorders>
              <w:top w:val="nil"/>
              <w:left w:val="nil"/>
              <w:bottom w:val="nil"/>
              <w:right w:val="nil"/>
            </w:tcBorders>
          </w:tcPr>
          <w:p w14:paraId="08ADE8E9" w14:textId="77777777" w:rsidR="00C12846" w:rsidRPr="00906CF9" w:rsidRDefault="00C12846" w:rsidP="009B4655">
            <w:pPr>
              <w:pStyle w:val="-23"/>
              <w:spacing w:before="20"/>
              <w:rPr>
                <w:sz w:val="18"/>
                <w:szCs w:val="18"/>
                <w:rtl/>
              </w:rPr>
            </w:pPr>
            <w:r w:rsidRPr="00906CF9">
              <w:rPr>
                <w:rFonts w:hint="cs"/>
                <w:sz w:val="18"/>
                <w:szCs w:val="18"/>
                <w:rtl/>
              </w:rPr>
              <w:t>תמורה שהתקבלה במזומן</w:t>
            </w:r>
          </w:p>
        </w:tc>
        <w:tc>
          <w:tcPr>
            <w:tcW w:w="709" w:type="dxa"/>
            <w:tcBorders>
              <w:top w:val="nil"/>
              <w:left w:val="nil"/>
              <w:bottom w:val="nil"/>
              <w:right w:val="nil"/>
            </w:tcBorders>
            <w:vAlign w:val="bottom"/>
          </w:tcPr>
          <w:p w14:paraId="5A659C44" w14:textId="77777777" w:rsidR="00C12846" w:rsidRPr="00906CF9" w:rsidRDefault="00C12846" w:rsidP="00FF5D5E">
            <w:pPr>
              <w:pStyle w:val="-f1"/>
              <w:pBdr>
                <w:top w:val="none" w:sz="0" w:space="0" w:color="auto"/>
              </w:pBdr>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0728D4E4" w14:textId="77777777" w:rsidR="00C12846" w:rsidRPr="00906CF9" w:rsidRDefault="00C12846" w:rsidP="00FF5D5E">
            <w:pPr>
              <w:pStyle w:val="-f1"/>
              <w:pBdr>
                <w:top w:val="none" w:sz="0" w:space="0" w:color="auto"/>
              </w:pBdr>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447BEFCA" w14:textId="77777777" w:rsidR="00C12846" w:rsidRPr="00906CF9" w:rsidRDefault="00C12846" w:rsidP="00FF5D5E">
            <w:pPr>
              <w:pStyle w:val="-f1"/>
              <w:pBdr>
                <w:top w:val="none" w:sz="0" w:space="0" w:color="auto"/>
              </w:pBdr>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61AB04BA" w14:textId="77777777" w:rsidR="00C12846" w:rsidRPr="00906CF9" w:rsidRDefault="00C12846" w:rsidP="00FF5D5E">
            <w:pPr>
              <w:pStyle w:val="-f1"/>
              <w:pBdr>
                <w:top w:val="none" w:sz="0" w:space="0" w:color="auto"/>
              </w:pBdr>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78E1466F" w14:textId="77777777" w:rsidR="00C12846" w:rsidRPr="00906CF9" w:rsidRDefault="00C12846" w:rsidP="00FF5D5E">
            <w:pPr>
              <w:pStyle w:val="-f1"/>
              <w:pBdr>
                <w:top w:val="none" w:sz="0" w:space="0" w:color="auto"/>
              </w:pBdr>
              <w:rPr>
                <w:sz w:val="18"/>
                <w:szCs w:val="18"/>
                <w:rtl/>
              </w:rPr>
            </w:pPr>
            <w:r w:rsidRPr="00906CF9">
              <w:rPr>
                <w:rFonts w:hint="cs"/>
                <w:sz w:val="18"/>
                <w:szCs w:val="18"/>
                <w:rtl/>
              </w:rPr>
              <w:t xml:space="preserve"> 0</w:t>
            </w:r>
          </w:p>
        </w:tc>
      </w:tr>
      <w:tr w:rsidR="00C12846" w:rsidRPr="00906CF9" w14:paraId="247F62E1" w14:textId="77777777" w:rsidTr="00E7566D">
        <w:trPr>
          <w:trHeight w:val="259"/>
        </w:trPr>
        <w:tc>
          <w:tcPr>
            <w:tcW w:w="1136" w:type="dxa"/>
            <w:tcBorders>
              <w:top w:val="nil"/>
              <w:left w:val="nil"/>
              <w:bottom w:val="nil"/>
              <w:right w:val="nil"/>
            </w:tcBorders>
          </w:tcPr>
          <w:p w14:paraId="4B5CE0CC" w14:textId="77777777" w:rsidR="00C12846" w:rsidRPr="00906CF9" w:rsidRDefault="00C12846" w:rsidP="00FF5D5E">
            <w:pPr>
              <w:pStyle w:val="-7"/>
              <w:spacing w:before="20"/>
              <w:rPr>
                <w:sz w:val="18"/>
                <w:szCs w:val="18"/>
                <w:rtl/>
              </w:rPr>
            </w:pPr>
          </w:p>
        </w:tc>
        <w:tc>
          <w:tcPr>
            <w:tcW w:w="5032" w:type="dxa"/>
            <w:tcBorders>
              <w:top w:val="nil"/>
              <w:left w:val="nil"/>
              <w:bottom w:val="nil"/>
              <w:right w:val="nil"/>
            </w:tcBorders>
          </w:tcPr>
          <w:p w14:paraId="4528CA73" w14:textId="77777777" w:rsidR="00C12846" w:rsidRPr="00906CF9" w:rsidRDefault="00C12846" w:rsidP="00FF5D5E">
            <w:pPr>
              <w:pStyle w:val="-0"/>
              <w:spacing w:before="20"/>
              <w:rPr>
                <w:sz w:val="18"/>
                <w:szCs w:val="18"/>
                <w:rtl/>
              </w:rPr>
            </w:pPr>
            <w:r w:rsidRPr="00906CF9">
              <w:rPr>
                <w:rFonts w:hint="cs"/>
                <w:sz w:val="18"/>
                <w:szCs w:val="18"/>
                <w:rtl/>
              </w:rPr>
              <w:t>בניכוי - מזומנים שנגרעו</w:t>
            </w:r>
          </w:p>
        </w:tc>
        <w:tc>
          <w:tcPr>
            <w:tcW w:w="709" w:type="dxa"/>
            <w:tcBorders>
              <w:top w:val="nil"/>
              <w:left w:val="nil"/>
              <w:bottom w:val="nil"/>
              <w:right w:val="nil"/>
            </w:tcBorders>
            <w:vAlign w:val="bottom"/>
          </w:tcPr>
          <w:p w14:paraId="0D3BCFDB" w14:textId="77777777" w:rsidR="00C12846" w:rsidRPr="00906CF9" w:rsidRDefault="00C12846" w:rsidP="009B4655">
            <w:pPr>
              <w:pStyle w:val="-7"/>
              <w:pBdr>
                <w:bottom w:val="single" w:sz="4" w:space="1"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4AA1CB4A" w14:textId="77777777" w:rsidR="00C12846" w:rsidRPr="00906CF9" w:rsidRDefault="00C12846" w:rsidP="009B4655">
            <w:pPr>
              <w:pStyle w:val="-7"/>
              <w:pBdr>
                <w:bottom w:val="single" w:sz="4" w:space="1" w:color="auto"/>
              </w:pBdr>
              <w:spacing w:before="20"/>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3C00C1B5" w14:textId="77777777" w:rsidR="00C12846" w:rsidRPr="00906CF9" w:rsidRDefault="00C12846" w:rsidP="009B4655">
            <w:pPr>
              <w:pStyle w:val="-7"/>
              <w:pBdr>
                <w:bottom w:val="single" w:sz="4" w:space="1" w:color="auto"/>
              </w:pBdr>
              <w:spacing w:before="20"/>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0413FED8" w14:textId="77777777" w:rsidR="00C12846" w:rsidRPr="00906CF9" w:rsidRDefault="00C12846" w:rsidP="009B4655">
            <w:pPr>
              <w:pStyle w:val="-7"/>
              <w:pBdr>
                <w:bottom w:val="single" w:sz="4" w:space="1" w:color="auto"/>
              </w:pBdr>
              <w:spacing w:before="20"/>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0E245FE4" w14:textId="77777777" w:rsidR="00C12846" w:rsidRPr="00906CF9" w:rsidRDefault="00C12846" w:rsidP="009B4655">
            <w:pPr>
              <w:pStyle w:val="-7"/>
              <w:pBdr>
                <w:bottom w:val="single" w:sz="4" w:space="1" w:color="auto"/>
              </w:pBdr>
              <w:spacing w:before="20"/>
              <w:rPr>
                <w:sz w:val="18"/>
                <w:szCs w:val="18"/>
                <w:rtl/>
              </w:rPr>
            </w:pPr>
            <w:r w:rsidRPr="00906CF9">
              <w:rPr>
                <w:rFonts w:hint="cs"/>
                <w:sz w:val="18"/>
                <w:szCs w:val="18"/>
                <w:rtl/>
              </w:rPr>
              <w:t xml:space="preserve"> 0</w:t>
            </w:r>
          </w:p>
        </w:tc>
      </w:tr>
      <w:tr w:rsidR="00C12846" w:rsidRPr="00906CF9" w14:paraId="19F8EDBF" w14:textId="77777777" w:rsidTr="00E7566D">
        <w:tc>
          <w:tcPr>
            <w:tcW w:w="1136" w:type="dxa"/>
            <w:tcBorders>
              <w:top w:val="nil"/>
              <w:left w:val="nil"/>
              <w:bottom w:val="nil"/>
              <w:right w:val="nil"/>
            </w:tcBorders>
          </w:tcPr>
          <w:p w14:paraId="46011C4B" w14:textId="77777777" w:rsidR="00C12846" w:rsidRPr="00906CF9" w:rsidRDefault="00C12846" w:rsidP="00FF5D5E">
            <w:pPr>
              <w:pStyle w:val="-7"/>
              <w:bidi w:val="0"/>
              <w:spacing w:line="60" w:lineRule="exact"/>
              <w:rPr>
                <w:sz w:val="18"/>
                <w:szCs w:val="18"/>
                <w:rtl/>
              </w:rPr>
            </w:pPr>
          </w:p>
        </w:tc>
        <w:tc>
          <w:tcPr>
            <w:tcW w:w="5032" w:type="dxa"/>
            <w:tcBorders>
              <w:top w:val="nil"/>
              <w:left w:val="nil"/>
              <w:bottom w:val="nil"/>
              <w:right w:val="nil"/>
            </w:tcBorders>
          </w:tcPr>
          <w:p w14:paraId="33A738D2" w14:textId="77777777" w:rsidR="00C12846" w:rsidRPr="00906CF9" w:rsidRDefault="00C12846" w:rsidP="00FF5D5E">
            <w:pPr>
              <w:pStyle w:val="-b"/>
              <w:bidi w:val="0"/>
              <w:spacing w:line="60" w:lineRule="exact"/>
              <w:jc w:val="both"/>
              <w:rPr>
                <w:sz w:val="18"/>
                <w:szCs w:val="18"/>
                <w:rtl/>
              </w:rPr>
            </w:pPr>
          </w:p>
        </w:tc>
        <w:tc>
          <w:tcPr>
            <w:tcW w:w="709" w:type="dxa"/>
            <w:tcBorders>
              <w:top w:val="nil"/>
              <w:left w:val="nil"/>
              <w:bottom w:val="nil"/>
              <w:right w:val="nil"/>
            </w:tcBorders>
            <w:vAlign w:val="bottom"/>
          </w:tcPr>
          <w:p w14:paraId="586ACC20"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1425CF41"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709" w:type="dxa"/>
            <w:tcBorders>
              <w:top w:val="nil"/>
              <w:left w:val="nil"/>
              <w:bottom w:val="nil"/>
              <w:right w:val="nil"/>
            </w:tcBorders>
            <w:vAlign w:val="bottom"/>
          </w:tcPr>
          <w:p w14:paraId="098CAC1C"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708" w:type="dxa"/>
            <w:tcBorders>
              <w:top w:val="nil"/>
              <w:left w:val="nil"/>
              <w:bottom w:val="nil"/>
              <w:right w:val="nil"/>
            </w:tcBorders>
            <w:vAlign w:val="bottom"/>
          </w:tcPr>
          <w:p w14:paraId="74B36A30" w14:textId="77777777" w:rsidR="00C12846" w:rsidRPr="00906CF9" w:rsidRDefault="00C12846" w:rsidP="00FF5D5E">
            <w:pPr>
              <w:pStyle w:val="-f1"/>
              <w:pBdr>
                <w:top w:val="none" w:sz="0" w:space="0" w:color="auto"/>
              </w:pBdr>
              <w:bidi w:val="0"/>
              <w:spacing w:line="60" w:lineRule="exact"/>
              <w:jc w:val="both"/>
              <w:rPr>
                <w:sz w:val="18"/>
                <w:szCs w:val="18"/>
                <w:rtl/>
              </w:rPr>
            </w:pPr>
          </w:p>
        </w:tc>
        <w:tc>
          <w:tcPr>
            <w:tcW w:w="1135" w:type="dxa"/>
            <w:tcBorders>
              <w:top w:val="nil"/>
              <w:left w:val="nil"/>
              <w:bottom w:val="nil"/>
              <w:right w:val="nil"/>
            </w:tcBorders>
            <w:vAlign w:val="bottom"/>
          </w:tcPr>
          <w:p w14:paraId="21FDA03C" w14:textId="77777777" w:rsidR="00C12846" w:rsidRPr="00906CF9" w:rsidRDefault="00C12846" w:rsidP="00FF5D5E">
            <w:pPr>
              <w:pStyle w:val="-f1"/>
              <w:pBdr>
                <w:top w:val="none" w:sz="0" w:space="0" w:color="auto"/>
              </w:pBdr>
              <w:bidi w:val="0"/>
              <w:spacing w:line="60" w:lineRule="exact"/>
              <w:jc w:val="both"/>
              <w:rPr>
                <w:sz w:val="18"/>
                <w:szCs w:val="18"/>
                <w:rtl/>
              </w:rPr>
            </w:pPr>
          </w:p>
        </w:tc>
      </w:tr>
      <w:tr w:rsidR="00C12846" w:rsidRPr="00906CF9" w14:paraId="56B858AA" w14:textId="77777777" w:rsidTr="00E7566D">
        <w:trPr>
          <w:trHeight w:val="239"/>
        </w:trPr>
        <w:tc>
          <w:tcPr>
            <w:tcW w:w="1136" w:type="dxa"/>
            <w:tcBorders>
              <w:top w:val="nil"/>
              <w:left w:val="nil"/>
              <w:bottom w:val="nil"/>
              <w:right w:val="nil"/>
            </w:tcBorders>
          </w:tcPr>
          <w:p w14:paraId="7DC58AF4" w14:textId="77777777" w:rsidR="00C12846" w:rsidRPr="00906CF9" w:rsidRDefault="00C12846" w:rsidP="00FF5D5E">
            <w:pPr>
              <w:pStyle w:val="-7"/>
              <w:rPr>
                <w:sz w:val="18"/>
                <w:szCs w:val="18"/>
                <w:rtl/>
              </w:rPr>
            </w:pPr>
          </w:p>
        </w:tc>
        <w:tc>
          <w:tcPr>
            <w:tcW w:w="5032" w:type="dxa"/>
            <w:tcBorders>
              <w:top w:val="nil"/>
              <w:left w:val="nil"/>
              <w:bottom w:val="nil"/>
              <w:right w:val="nil"/>
            </w:tcBorders>
          </w:tcPr>
          <w:p w14:paraId="1E70B94A" w14:textId="27724645" w:rsidR="00C12846" w:rsidRPr="00906CF9" w:rsidRDefault="00C12846" w:rsidP="009B4655">
            <w:pPr>
              <w:pStyle w:val="-0"/>
              <w:rPr>
                <w:b/>
                <w:bCs/>
                <w:sz w:val="18"/>
                <w:szCs w:val="18"/>
                <w:rtl/>
              </w:rPr>
            </w:pPr>
            <w:r w:rsidRPr="00906CF9">
              <w:rPr>
                <w:rFonts w:hint="cs"/>
                <w:b/>
                <w:bCs/>
                <w:sz w:val="18"/>
                <w:szCs w:val="18"/>
                <w:rtl/>
              </w:rPr>
              <w:t xml:space="preserve">זרימת מזומנים ממימוש השקעות בחברות </w:t>
            </w:r>
            <w:r w:rsidR="00D14432">
              <w:rPr>
                <w:rFonts w:hint="cs"/>
                <w:b/>
                <w:bCs/>
                <w:sz w:val="18"/>
                <w:szCs w:val="18"/>
                <w:rtl/>
              </w:rPr>
              <w:t>בנות</w:t>
            </w:r>
            <w:r w:rsidRPr="00906CF9">
              <w:rPr>
                <w:rFonts w:hint="cs"/>
                <w:b/>
                <w:bCs/>
                <w:sz w:val="18"/>
                <w:szCs w:val="18"/>
                <w:rtl/>
              </w:rPr>
              <w:t xml:space="preserve"> שיצאו מאיחוד</w:t>
            </w:r>
          </w:p>
        </w:tc>
        <w:tc>
          <w:tcPr>
            <w:tcW w:w="709" w:type="dxa"/>
            <w:tcBorders>
              <w:top w:val="nil"/>
              <w:left w:val="nil"/>
              <w:bottom w:val="nil"/>
              <w:right w:val="nil"/>
            </w:tcBorders>
            <w:vAlign w:val="bottom"/>
          </w:tcPr>
          <w:p w14:paraId="232CE2F0" w14:textId="77777777" w:rsidR="00C12846" w:rsidRPr="00906CF9" w:rsidRDefault="00C12846" w:rsidP="00FF5D5E">
            <w:pPr>
              <w:pStyle w:val="-f1"/>
              <w:pBdr>
                <w:top w:val="none" w:sz="0" w:space="0" w:color="auto"/>
                <w:bottom w:val="double" w:sz="4" w:space="1" w:color="auto"/>
              </w:pBdr>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0C0AD527" w14:textId="77777777" w:rsidR="00C12846" w:rsidRPr="00906CF9" w:rsidRDefault="00C12846" w:rsidP="00FF5D5E">
            <w:pPr>
              <w:pStyle w:val="-f1"/>
              <w:pBdr>
                <w:top w:val="none" w:sz="0" w:space="0" w:color="auto"/>
                <w:bottom w:val="double" w:sz="4" w:space="1" w:color="auto"/>
              </w:pBdr>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169FE2FB" w14:textId="77777777" w:rsidR="00C12846" w:rsidRPr="00906CF9" w:rsidRDefault="00C12846" w:rsidP="00FF5D5E">
            <w:pPr>
              <w:pStyle w:val="-f1"/>
              <w:pBdr>
                <w:top w:val="none" w:sz="0" w:space="0" w:color="auto"/>
                <w:bottom w:val="double" w:sz="4" w:space="1" w:color="auto"/>
              </w:pBdr>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0ED3784D" w14:textId="77777777" w:rsidR="00C12846" w:rsidRPr="00906CF9" w:rsidRDefault="00C12846" w:rsidP="00FF5D5E">
            <w:pPr>
              <w:pStyle w:val="-f1"/>
              <w:pBdr>
                <w:top w:val="none" w:sz="0" w:space="0" w:color="auto"/>
                <w:bottom w:val="double" w:sz="4" w:space="1" w:color="auto"/>
              </w:pBdr>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61BACF87" w14:textId="77777777" w:rsidR="00C12846" w:rsidRPr="00906CF9" w:rsidRDefault="00C12846" w:rsidP="00FF5D5E">
            <w:pPr>
              <w:pStyle w:val="-f1"/>
              <w:pBdr>
                <w:top w:val="none" w:sz="0" w:space="0" w:color="auto"/>
                <w:bottom w:val="double" w:sz="4" w:space="1" w:color="auto"/>
              </w:pBdr>
              <w:rPr>
                <w:sz w:val="18"/>
                <w:szCs w:val="18"/>
                <w:rtl/>
              </w:rPr>
            </w:pPr>
            <w:r w:rsidRPr="00906CF9">
              <w:rPr>
                <w:rFonts w:hint="cs"/>
                <w:sz w:val="18"/>
                <w:szCs w:val="18"/>
                <w:rtl/>
              </w:rPr>
              <w:t xml:space="preserve"> 0</w:t>
            </w:r>
          </w:p>
        </w:tc>
      </w:tr>
    </w:tbl>
    <w:p w14:paraId="056C3BB0" w14:textId="77777777" w:rsidR="009B4655" w:rsidRPr="002C3501" w:rsidRDefault="009B4655" w:rsidP="009B4655">
      <w:pPr>
        <w:spacing w:line="96" w:lineRule="auto"/>
        <w:rPr>
          <w:rtl/>
        </w:rPr>
      </w:pPr>
    </w:p>
    <w:tbl>
      <w:tblPr>
        <w:bidiVisual/>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042"/>
        <w:gridCol w:w="709"/>
        <w:gridCol w:w="709"/>
        <w:gridCol w:w="709"/>
        <w:gridCol w:w="708"/>
        <w:gridCol w:w="1135"/>
      </w:tblGrid>
      <w:tr w:rsidR="00906CF9" w:rsidRPr="00906CF9" w14:paraId="44CBADFC" w14:textId="77777777" w:rsidTr="00F35C41">
        <w:trPr>
          <w:trHeight w:val="259"/>
        </w:trPr>
        <w:tc>
          <w:tcPr>
            <w:tcW w:w="1135" w:type="dxa"/>
            <w:tcBorders>
              <w:top w:val="nil"/>
              <w:left w:val="nil"/>
              <w:bottom w:val="nil"/>
              <w:right w:val="nil"/>
            </w:tcBorders>
          </w:tcPr>
          <w:p w14:paraId="5C1B0DEF" w14:textId="77777777" w:rsidR="00906CF9" w:rsidRPr="00906CF9" w:rsidRDefault="00906CF9" w:rsidP="00FF5D5E">
            <w:pPr>
              <w:pStyle w:val="-7"/>
              <w:jc w:val="center"/>
              <w:rPr>
                <w:b/>
                <w:bCs/>
                <w:sz w:val="18"/>
                <w:szCs w:val="18"/>
                <w:rtl/>
              </w:rPr>
            </w:pPr>
          </w:p>
        </w:tc>
        <w:tc>
          <w:tcPr>
            <w:tcW w:w="9012" w:type="dxa"/>
            <w:gridSpan w:val="6"/>
            <w:tcBorders>
              <w:top w:val="nil"/>
              <w:left w:val="nil"/>
              <w:bottom w:val="nil"/>
              <w:right w:val="nil"/>
            </w:tcBorders>
            <w:vAlign w:val="bottom"/>
          </w:tcPr>
          <w:p w14:paraId="0D42D4DD" w14:textId="77777777" w:rsidR="00906CF9" w:rsidRDefault="00906CF9" w:rsidP="00906CF9">
            <w:pPr>
              <w:pStyle w:val="-7"/>
              <w:spacing w:before="120" w:line="240" w:lineRule="auto"/>
              <w:jc w:val="left"/>
              <w:rPr>
                <w:b/>
                <w:bCs/>
                <w:u w:val="single"/>
                <w:rtl/>
              </w:rPr>
            </w:pPr>
            <w:r w:rsidRPr="00906CF9">
              <w:rPr>
                <w:rFonts w:hint="cs"/>
                <w:b/>
                <w:bCs/>
                <w:u w:val="single"/>
                <w:rtl/>
              </w:rPr>
              <w:t xml:space="preserve">נספח ג' - פעולות השקעה ומימון שאינן כרוכות </w:t>
            </w:r>
          </w:p>
          <w:p w14:paraId="4B6D8D1F" w14:textId="03AC8A50" w:rsidR="00906CF9" w:rsidRPr="00906CF9" w:rsidRDefault="00906CF9" w:rsidP="00906CF9">
            <w:pPr>
              <w:pStyle w:val="-7"/>
              <w:jc w:val="left"/>
              <w:rPr>
                <w:b/>
                <w:bCs/>
                <w:sz w:val="18"/>
                <w:szCs w:val="18"/>
                <w:rtl/>
              </w:rPr>
            </w:pPr>
            <w:r w:rsidRPr="00906CF9">
              <w:rPr>
                <w:rFonts w:hint="cs"/>
                <w:b/>
                <w:bCs/>
                <w:u w:val="single"/>
                <w:rtl/>
              </w:rPr>
              <w:t>בתזרימי מזומנים</w:t>
            </w:r>
          </w:p>
        </w:tc>
      </w:tr>
      <w:tr w:rsidR="00906CF9" w:rsidRPr="00906CF9" w14:paraId="744CED07" w14:textId="77777777" w:rsidTr="00F35C41">
        <w:trPr>
          <w:trHeight w:val="259"/>
        </w:trPr>
        <w:tc>
          <w:tcPr>
            <w:tcW w:w="1135" w:type="dxa"/>
            <w:tcBorders>
              <w:top w:val="nil"/>
              <w:left w:val="nil"/>
              <w:bottom w:val="nil"/>
              <w:right w:val="nil"/>
            </w:tcBorders>
          </w:tcPr>
          <w:p w14:paraId="2863574B" w14:textId="77777777" w:rsidR="00906CF9" w:rsidRPr="00906CF9" w:rsidRDefault="00906CF9" w:rsidP="00FF5D5E">
            <w:pPr>
              <w:pStyle w:val="-7"/>
              <w:rPr>
                <w:sz w:val="18"/>
                <w:szCs w:val="18"/>
                <w:rtl/>
              </w:rPr>
            </w:pPr>
          </w:p>
        </w:tc>
        <w:tc>
          <w:tcPr>
            <w:tcW w:w="5042" w:type="dxa"/>
            <w:tcBorders>
              <w:top w:val="nil"/>
              <w:left w:val="nil"/>
              <w:bottom w:val="nil"/>
              <w:right w:val="nil"/>
            </w:tcBorders>
            <w:vAlign w:val="bottom"/>
          </w:tcPr>
          <w:p w14:paraId="0618946B" w14:textId="77777777" w:rsidR="00906CF9" w:rsidRPr="00906CF9" w:rsidRDefault="00906CF9" w:rsidP="00FF5D5E">
            <w:pPr>
              <w:pStyle w:val="-0"/>
              <w:rPr>
                <w:sz w:val="18"/>
                <w:szCs w:val="18"/>
                <w:rtl/>
              </w:rPr>
            </w:pPr>
            <w:r w:rsidRPr="00906CF9">
              <w:rPr>
                <w:rFonts w:hint="cs"/>
                <w:sz w:val="18"/>
                <w:szCs w:val="18"/>
                <w:rtl/>
              </w:rPr>
              <w:t>השאלת ניירות ערך</w:t>
            </w:r>
          </w:p>
        </w:tc>
        <w:tc>
          <w:tcPr>
            <w:tcW w:w="709" w:type="dxa"/>
            <w:tcBorders>
              <w:top w:val="nil"/>
              <w:left w:val="nil"/>
              <w:bottom w:val="nil"/>
              <w:right w:val="nil"/>
            </w:tcBorders>
            <w:vAlign w:val="bottom"/>
          </w:tcPr>
          <w:p w14:paraId="1230D173" w14:textId="77777777" w:rsidR="00906CF9" w:rsidRPr="00906CF9" w:rsidRDefault="00906CF9" w:rsidP="00FF5D5E">
            <w:pPr>
              <w:pStyle w:val="-7"/>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75DFD5CE" w14:textId="77777777" w:rsidR="00906CF9" w:rsidRPr="00906CF9" w:rsidRDefault="00906CF9" w:rsidP="00FF5D5E">
            <w:pPr>
              <w:pStyle w:val="-7"/>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271A4669" w14:textId="77777777" w:rsidR="00906CF9" w:rsidRPr="00906CF9" w:rsidRDefault="00906CF9" w:rsidP="00FF5D5E">
            <w:pPr>
              <w:pStyle w:val="-7"/>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360BE650" w14:textId="77777777" w:rsidR="00906CF9" w:rsidRPr="00906CF9" w:rsidRDefault="00906CF9" w:rsidP="00FF5D5E">
            <w:pPr>
              <w:pStyle w:val="-7"/>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018F5F70" w14:textId="77777777" w:rsidR="00906CF9" w:rsidRPr="00906CF9" w:rsidRDefault="00906CF9" w:rsidP="00FF5D5E">
            <w:pPr>
              <w:pStyle w:val="-7"/>
              <w:rPr>
                <w:sz w:val="18"/>
                <w:szCs w:val="18"/>
                <w:rtl/>
              </w:rPr>
            </w:pPr>
            <w:r w:rsidRPr="00906CF9">
              <w:rPr>
                <w:rFonts w:hint="cs"/>
                <w:sz w:val="18"/>
                <w:szCs w:val="18"/>
                <w:rtl/>
              </w:rPr>
              <w:t xml:space="preserve"> 0</w:t>
            </w:r>
          </w:p>
        </w:tc>
      </w:tr>
      <w:tr w:rsidR="00906CF9" w:rsidRPr="00906CF9" w14:paraId="27CD6EAA" w14:textId="77777777" w:rsidTr="00F35C41">
        <w:trPr>
          <w:trHeight w:val="259"/>
        </w:trPr>
        <w:tc>
          <w:tcPr>
            <w:tcW w:w="1135" w:type="dxa"/>
            <w:tcBorders>
              <w:top w:val="nil"/>
              <w:left w:val="nil"/>
              <w:bottom w:val="nil"/>
              <w:right w:val="nil"/>
            </w:tcBorders>
          </w:tcPr>
          <w:p w14:paraId="462E1F3A" w14:textId="77777777" w:rsidR="00906CF9" w:rsidRPr="00906CF9" w:rsidRDefault="00906CF9" w:rsidP="00FF5D5E">
            <w:pPr>
              <w:pStyle w:val="-7"/>
              <w:rPr>
                <w:sz w:val="18"/>
                <w:szCs w:val="18"/>
                <w:rtl/>
              </w:rPr>
            </w:pPr>
          </w:p>
        </w:tc>
        <w:tc>
          <w:tcPr>
            <w:tcW w:w="5042" w:type="dxa"/>
            <w:tcBorders>
              <w:top w:val="nil"/>
              <w:left w:val="nil"/>
              <w:bottom w:val="nil"/>
              <w:right w:val="nil"/>
            </w:tcBorders>
            <w:vAlign w:val="bottom"/>
          </w:tcPr>
          <w:p w14:paraId="7270D8D9" w14:textId="77777777" w:rsidR="00906CF9" w:rsidRPr="00906CF9" w:rsidRDefault="00906CF9" w:rsidP="00FF5D5E">
            <w:pPr>
              <w:pStyle w:val="-0"/>
              <w:rPr>
                <w:sz w:val="18"/>
                <w:szCs w:val="18"/>
                <w:rtl/>
              </w:rPr>
            </w:pPr>
            <w:r w:rsidRPr="00906CF9">
              <w:rPr>
                <w:rFonts w:hint="cs"/>
                <w:sz w:val="18"/>
                <w:szCs w:val="18"/>
                <w:rtl/>
              </w:rPr>
              <w:t>רכישת רכוש קבוע כנגד התחייבות לספקים</w:t>
            </w:r>
          </w:p>
        </w:tc>
        <w:tc>
          <w:tcPr>
            <w:tcW w:w="709" w:type="dxa"/>
            <w:tcBorders>
              <w:top w:val="nil"/>
              <w:left w:val="nil"/>
              <w:bottom w:val="nil"/>
              <w:right w:val="nil"/>
            </w:tcBorders>
            <w:vAlign w:val="bottom"/>
          </w:tcPr>
          <w:p w14:paraId="0A6AA1DB" w14:textId="77777777" w:rsidR="00906CF9" w:rsidRPr="00906CF9" w:rsidRDefault="00906CF9" w:rsidP="00FF5D5E">
            <w:pPr>
              <w:pStyle w:val="-7"/>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37D006D5" w14:textId="77777777" w:rsidR="00906CF9" w:rsidRPr="00906CF9" w:rsidRDefault="00906CF9" w:rsidP="00FF5D5E">
            <w:pPr>
              <w:pStyle w:val="-7"/>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42A2DCAA" w14:textId="77777777" w:rsidR="00906CF9" w:rsidRPr="00906CF9" w:rsidRDefault="00906CF9" w:rsidP="00FF5D5E">
            <w:pPr>
              <w:pStyle w:val="-7"/>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7CF843F0" w14:textId="77777777" w:rsidR="00906CF9" w:rsidRPr="00906CF9" w:rsidRDefault="00906CF9" w:rsidP="00FF5D5E">
            <w:pPr>
              <w:pStyle w:val="-7"/>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5B535AC0" w14:textId="77777777" w:rsidR="00906CF9" w:rsidRPr="00906CF9" w:rsidRDefault="00906CF9" w:rsidP="00FF5D5E">
            <w:pPr>
              <w:pStyle w:val="-7"/>
              <w:rPr>
                <w:sz w:val="18"/>
                <w:szCs w:val="18"/>
                <w:rtl/>
              </w:rPr>
            </w:pPr>
            <w:r w:rsidRPr="00906CF9">
              <w:rPr>
                <w:rFonts w:hint="cs"/>
                <w:sz w:val="18"/>
                <w:szCs w:val="18"/>
                <w:rtl/>
              </w:rPr>
              <w:t xml:space="preserve"> 0</w:t>
            </w:r>
          </w:p>
        </w:tc>
      </w:tr>
      <w:tr w:rsidR="00906CF9" w:rsidRPr="00906CF9" w14:paraId="37485C46" w14:textId="77777777" w:rsidTr="00F35C41">
        <w:trPr>
          <w:trHeight w:val="259"/>
        </w:trPr>
        <w:tc>
          <w:tcPr>
            <w:tcW w:w="1135" w:type="dxa"/>
            <w:tcBorders>
              <w:top w:val="nil"/>
              <w:left w:val="nil"/>
              <w:bottom w:val="nil"/>
              <w:right w:val="nil"/>
            </w:tcBorders>
          </w:tcPr>
          <w:p w14:paraId="0F1B2D5A" w14:textId="77777777" w:rsidR="00906CF9" w:rsidRPr="00906CF9" w:rsidRDefault="00906CF9" w:rsidP="00FF5D5E">
            <w:pPr>
              <w:pStyle w:val="-7"/>
              <w:rPr>
                <w:sz w:val="18"/>
                <w:szCs w:val="18"/>
                <w:rtl/>
              </w:rPr>
            </w:pPr>
          </w:p>
        </w:tc>
        <w:tc>
          <w:tcPr>
            <w:tcW w:w="5042" w:type="dxa"/>
            <w:tcBorders>
              <w:top w:val="nil"/>
              <w:left w:val="nil"/>
              <w:bottom w:val="nil"/>
              <w:right w:val="nil"/>
            </w:tcBorders>
            <w:vAlign w:val="bottom"/>
          </w:tcPr>
          <w:p w14:paraId="20A79503" w14:textId="77777777" w:rsidR="00906CF9" w:rsidRPr="00906CF9" w:rsidRDefault="00906CF9" w:rsidP="00FF5D5E">
            <w:pPr>
              <w:pStyle w:val="-0"/>
              <w:rPr>
                <w:sz w:val="18"/>
                <w:szCs w:val="18"/>
                <w:rtl/>
              </w:rPr>
            </w:pPr>
            <w:r w:rsidRPr="00906CF9">
              <w:rPr>
                <w:rFonts w:hint="cs"/>
                <w:sz w:val="18"/>
                <w:szCs w:val="18"/>
                <w:rtl/>
              </w:rPr>
              <w:t>דיבידנד שהוכרז בתקופה וטרם שולם</w:t>
            </w:r>
          </w:p>
        </w:tc>
        <w:tc>
          <w:tcPr>
            <w:tcW w:w="709" w:type="dxa"/>
            <w:tcBorders>
              <w:top w:val="nil"/>
              <w:left w:val="nil"/>
              <w:bottom w:val="nil"/>
              <w:right w:val="nil"/>
            </w:tcBorders>
            <w:vAlign w:val="bottom"/>
          </w:tcPr>
          <w:p w14:paraId="6CEE1725" w14:textId="77777777" w:rsidR="00906CF9" w:rsidRPr="00906CF9" w:rsidRDefault="00906CF9" w:rsidP="00FF5D5E">
            <w:pPr>
              <w:pStyle w:val="-7"/>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04FAC980" w14:textId="77777777" w:rsidR="00906CF9" w:rsidRPr="00906CF9" w:rsidRDefault="00906CF9" w:rsidP="00FF5D5E">
            <w:pPr>
              <w:pStyle w:val="-7"/>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2410EC13" w14:textId="77777777" w:rsidR="00906CF9" w:rsidRPr="00906CF9" w:rsidRDefault="00906CF9" w:rsidP="00FF5D5E">
            <w:pPr>
              <w:pStyle w:val="-7"/>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383D4DB3" w14:textId="77777777" w:rsidR="00906CF9" w:rsidRPr="00906CF9" w:rsidRDefault="00906CF9" w:rsidP="00FF5D5E">
            <w:pPr>
              <w:pStyle w:val="-7"/>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22DA99BB" w14:textId="77777777" w:rsidR="00906CF9" w:rsidRPr="00906CF9" w:rsidRDefault="00906CF9" w:rsidP="00FF5D5E">
            <w:pPr>
              <w:pStyle w:val="-7"/>
              <w:rPr>
                <w:sz w:val="18"/>
                <w:szCs w:val="18"/>
                <w:rtl/>
              </w:rPr>
            </w:pPr>
            <w:r w:rsidRPr="00906CF9">
              <w:rPr>
                <w:rFonts w:hint="cs"/>
                <w:sz w:val="18"/>
                <w:szCs w:val="18"/>
                <w:rtl/>
              </w:rPr>
              <w:t xml:space="preserve"> 0</w:t>
            </w:r>
          </w:p>
        </w:tc>
      </w:tr>
      <w:tr w:rsidR="00906CF9" w:rsidRPr="00906CF9" w14:paraId="0C8A8A69" w14:textId="77777777" w:rsidTr="00F35C41">
        <w:trPr>
          <w:trHeight w:val="259"/>
        </w:trPr>
        <w:tc>
          <w:tcPr>
            <w:tcW w:w="1135" w:type="dxa"/>
            <w:tcBorders>
              <w:top w:val="nil"/>
              <w:left w:val="nil"/>
              <w:bottom w:val="nil"/>
              <w:right w:val="nil"/>
            </w:tcBorders>
          </w:tcPr>
          <w:p w14:paraId="6E08ABE3" w14:textId="77777777" w:rsidR="00906CF9" w:rsidRPr="00906CF9" w:rsidRDefault="00906CF9" w:rsidP="00FF5D5E">
            <w:pPr>
              <w:pStyle w:val="-7"/>
              <w:rPr>
                <w:sz w:val="18"/>
                <w:szCs w:val="18"/>
                <w:rtl/>
              </w:rPr>
            </w:pPr>
          </w:p>
        </w:tc>
        <w:tc>
          <w:tcPr>
            <w:tcW w:w="5042" w:type="dxa"/>
            <w:tcBorders>
              <w:top w:val="nil"/>
              <w:left w:val="nil"/>
              <w:bottom w:val="nil"/>
              <w:right w:val="nil"/>
            </w:tcBorders>
            <w:vAlign w:val="bottom"/>
          </w:tcPr>
          <w:p w14:paraId="5DB72816" w14:textId="77777777" w:rsidR="00906CF9" w:rsidRPr="00906CF9" w:rsidRDefault="00906CF9" w:rsidP="00FF5D5E">
            <w:pPr>
              <w:pStyle w:val="-0"/>
              <w:rPr>
                <w:sz w:val="18"/>
                <w:szCs w:val="18"/>
                <w:rtl/>
              </w:rPr>
            </w:pPr>
            <w:r w:rsidRPr="00906CF9">
              <w:rPr>
                <w:rFonts w:hint="cs"/>
                <w:sz w:val="18"/>
                <w:szCs w:val="18"/>
                <w:rtl/>
              </w:rPr>
              <w:t>חייבים בגין מימוש חברות בנות</w:t>
            </w:r>
          </w:p>
        </w:tc>
        <w:tc>
          <w:tcPr>
            <w:tcW w:w="709" w:type="dxa"/>
            <w:tcBorders>
              <w:top w:val="nil"/>
              <w:left w:val="nil"/>
              <w:bottom w:val="nil"/>
              <w:right w:val="nil"/>
            </w:tcBorders>
            <w:vAlign w:val="bottom"/>
          </w:tcPr>
          <w:p w14:paraId="7DC9F46C" w14:textId="77777777" w:rsidR="00906CF9" w:rsidRPr="00906CF9" w:rsidRDefault="00906CF9" w:rsidP="00FF5D5E">
            <w:pPr>
              <w:pStyle w:val="-7"/>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47B2D5AF" w14:textId="77777777" w:rsidR="00906CF9" w:rsidRPr="00906CF9" w:rsidRDefault="00906CF9" w:rsidP="00FF5D5E">
            <w:pPr>
              <w:pStyle w:val="-7"/>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32BC7D8E" w14:textId="77777777" w:rsidR="00906CF9" w:rsidRPr="00906CF9" w:rsidRDefault="00906CF9" w:rsidP="00FF5D5E">
            <w:pPr>
              <w:pStyle w:val="-7"/>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04298868" w14:textId="77777777" w:rsidR="00906CF9" w:rsidRPr="00906CF9" w:rsidRDefault="00906CF9" w:rsidP="00FF5D5E">
            <w:pPr>
              <w:pStyle w:val="-7"/>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4862ACC3" w14:textId="77777777" w:rsidR="00906CF9" w:rsidRPr="00906CF9" w:rsidRDefault="00906CF9" w:rsidP="00FF5D5E">
            <w:pPr>
              <w:pStyle w:val="-7"/>
              <w:rPr>
                <w:sz w:val="18"/>
                <w:szCs w:val="18"/>
                <w:rtl/>
              </w:rPr>
            </w:pPr>
            <w:r w:rsidRPr="00906CF9">
              <w:rPr>
                <w:rFonts w:hint="cs"/>
                <w:sz w:val="18"/>
                <w:szCs w:val="18"/>
                <w:rtl/>
              </w:rPr>
              <w:t xml:space="preserve"> 0</w:t>
            </w:r>
          </w:p>
        </w:tc>
      </w:tr>
      <w:tr w:rsidR="00906CF9" w:rsidRPr="00906CF9" w14:paraId="7886C889" w14:textId="77777777" w:rsidTr="00F35C41">
        <w:trPr>
          <w:trHeight w:val="259"/>
        </w:trPr>
        <w:tc>
          <w:tcPr>
            <w:tcW w:w="1135" w:type="dxa"/>
            <w:tcBorders>
              <w:top w:val="nil"/>
              <w:left w:val="nil"/>
              <w:bottom w:val="nil"/>
              <w:right w:val="nil"/>
            </w:tcBorders>
          </w:tcPr>
          <w:p w14:paraId="39ECA241" w14:textId="77777777" w:rsidR="00906CF9" w:rsidRPr="00906CF9" w:rsidRDefault="00906CF9" w:rsidP="00FF5D5E">
            <w:pPr>
              <w:pStyle w:val="-7"/>
              <w:rPr>
                <w:sz w:val="18"/>
                <w:szCs w:val="18"/>
                <w:rtl/>
              </w:rPr>
            </w:pPr>
          </w:p>
        </w:tc>
        <w:tc>
          <w:tcPr>
            <w:tcW w:w="5042" w:type="dxa"/>
            <w:tcBorders>
              <w:top w:val="nil"/>
              <w:left w:val="nil"/>
              <w:bottom w:val="nil"/>
              <w:right w:val="nil"/>
            </w:tcBorders>
            <w:vAlign w:val="bottom"/>
          </w:tcPr>
          <w:p w14:paraId="461975B9" w14:textId="77777777" w:rsidR="00906CF9" w:rsidRPr="00906CF9" w:rsidRDefault="00906CF9" w:rsidP="00FF5D5E">
            <w:pPr>
              <w:pStyle w:val="-0"/>
              <w:rPr>
                <w:sz w:val="18"/>
                <w:szCs w:val="18"/>
                <w:highlight w:val="yellow"/>
                <w:rtl/>
              </w:rPr>
            </w:pPr>
            <w:r w:rsidRPr="00906CF9">
              <w:rPr>
                <w:sz w:val="18"/>
                <w:szCs w:val="18"/>
                <w:rtl/>
              </w:rPr>
              <w:t>נכס</w:t>
            </w:r>
            <w:r w:rsidRPr="00906CF9">
              <w:rPr>
                <w:rFonts w:hint="cs"/>
                <w:sz w:val="18"/>
                <w:szCs w:val="18"/>
                <w:rtl/>
              </w:rPr>
              <w:t>י</w:t>
            </w:r>
            <w:r w:rsidRPr="00906CF9">
              <w:rPr>
                <w:sz w:val="18"/>
                <w:szCs w:val="18"/>
                <w:rtl/>
              </w:rPr>
              <w:t xml:space="preserve"> זכות שימוש והתחייבויות חכירה שהוכרו בגין</w:t>
            </w:r>
            <w:r w:rsidRPr="00906CF9">
              <w:rPr>
                <w:rFonts w:hint="cs"/>
                <w:sz w:val="18"/>
                <w:szCs w:val="18"/>
                <w:rtl/>
              </w:rPr>
              <w:t xml:space="preserve"> </w:t>
            </w:r>
            <w:r w:rsidRPr="00906CF9">
              <w:rPr>
                <w:sz w:val="18"/>
                <w:szCs w:val="18"/>
                <w:rtl/>
              </w:rPr>
              <w:t>חכירות תפעוליות</w:t>
            </w:r>
          </w:p>
        </w:tc>
        <w:tc>
          <w:tcPr>
            <w:tcW w:w="709" w:type="dxa"/>
            <w:tcBorders>
              <w:top w:val="nil"/>
              <w:left w:val="nil"/>
              <w:bottom w:val="nil"/>
              <w:right w:val="nil"/>
            </w:tcBorders>
            <w:vAlign w:val="bottom"/>
          </w:tcPr>
          <w:p w14:paraId="1FCAD8B9" w14:textId="77777777" w:rsidR="00906CF9" w:rsidRPr="00906CF9" w:rsidRDefault="00906CF9" w:rsidP="00FF5D5E">
            <w:pPr>
              <w:pStyle w:val="-7"/>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43E8EE6C" w14:textId="77777777" w:rsidR="00906CF9" w:rsidRPr="00906CF9" w:rsidRDefault="00906CF9" w:rsidP="00FF5D5E">
            <w:pPr>
              <w:pStyle w:val="-7"/>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5A0F8E6F" w14:textId="77777777" w:rsidR="00906CF9" w:rsidRPr="00906CF9" w:rsidRDefault="00906CF9" w:rsidP="00FF5D5E">
            <w:pPr>
              <w:pStyle w:val="-7"/>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21D81311" w14:textId="77777777" w:rsidR="00906CF9" w:rsidRPr="00906CF9" w:rsidRDefault="00906CF9" w:rsidP="00FF5D5E">
            <w:pPr>
              <w:pStyle w:val="-7"/>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79602560" w14:textId="77777777" w:rsidR="00906CF9" w:rsidRPr="00906CF9" w:rsidRDefault="00906CF9" w:rsidP="00FF5D5E">
            <w:pPr>
              <w:pStyle w:val="-7"/>
              <w:rPr>
                <w:sz w:val="18"/>
                <w:szCs w:val="18"/>
                <w:rtl/>
              </w:rPr>
            </w:pPr>
            <w:r w:rsidRPr="00906CF9">
              <w:rPr>
                <w:rFonts w:hint="cs"/>
                <w:sz w:val="18"/>
                <w:szCs w:val="18"/>
                <w:rtl/>
              </w:rPr>
              <w:t xml:space="preserve"> 0</w:t>
            </w:r>
          </w:p>
        </w:tc>
      </w:tr>
      <w:tr w:rsidR="00906CF9" w:rsidRPr="00906CF9" w14:paraId="06EF53F4" w14:textId="77777777" w:rsidTr="00F35C41">
        <w:trPr>
          <w:trHeight w:val="259"/>
        </w:trPr>
        <w:tc>
          <w:tcPr>
            <w:tcW w:w="1135" w:type="dxa"/>
            <w:tcBorders>
              <w:top w:val="nil"/>
              <w:left w:val="nil"/>
              <w:bottom w:val="nil"/>
              <w:right w:val="nil"/>
            </w:tcBorders>
          </w:tcPr>
          <w:p w14:paraId="65C828ED" w14:textId="77777777" w:rsidR="00906CF9" w:rsidRPr="00906CF9" w:rsidRDefault="00906CF9" w:rsidP="00FF5D5E">
            <w:pPr>
              <w:pStyle w:val="-7"/>
              <w:rPr>
                <w:sz w:val="18"/>
                <w:szCs w:val="18"/>
                <w:rtl/>
              </w:rPr>
            </w:pPr>
          </w:p>
        </w:tc>
        <w:tc>
          <w:tcPr>
            <w:tcW w:w="5042" w:type="dxa"/>
            <w:tcBorders>
              <w:top w:val="nil"/>
              <w:left w:val="nil"/>
              <w:bottom w:val="nil"/>
              <w:right w:val="nil"/>
            </w:tcBorders>
            <w:vAlign w:val="bottom"/>
          </w:tcPr>
          <w:p w14:paraId="4AD7015C" w14:textId="77777777" w:rsidR="00906CF9" w:rsidRPr="00906CF9" w:rsidRDefault="00906CF9" w:rsidP="00FF5D5E">
            <w:pPr>
              <w:pStyle w:val="-0"/>
              <w:rPr>
                <w:sz w:val="18"/>
                <w:szCs w:val="18"/>
                <w:rtl/>
              </w:rPr>
            </w:pPr>
            <w:r w:rsidRPr="00906CF9">
              <w:rPr>
                <w:rFonts w:hint="cs"/>
                <w:sz w:val="18"/>
                <w:szCs w:val="18"/>
                <w:rtl/>
              </w:rPr>
              <w:t>.................</w:t>
            </w:r>
          </w:p>
        </w:tc>
        <w:tc>
          <w:tcPr>
            <w:tcW w:w="709" w:type="dxa"/>
            <w:tcBorders>
              <w:top w:val="nil"/>
              <w:left w:val="nil"/>
              <w:bottom w:val="nil"/>
              <w:right w:val="nil"/>
            </w:tcBorders>
            <w:vAlign w:val="bottom"/>
          </w:tcPr>
          <w:p w14:paraId="270CAA4C" w14:textId="77777777" w:rsidR="00906CF9" w:rsidRPr="00906CF9" w:rsidRDefault="00906CF9" w:rsidP="00FF5D5E">
            <w:pPr>
              <w:pStyle w:val="-7"/>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2BEDE380" w14:textId="77777777" w:rsidR="00906CF9" w:rsidRPr="00906CF9" w:rsidRDefault="00906CF9" w:rsidP="00FF5D5E">
            <w:pPr>
              <w:pStyle w:val="-7"/>
              <w:rPr>
                <w:sz w:val="18"/>
                <w:szCs w:val="18"/>
                <w:rtl/>
              </w:rPr>
            </w:pPr>
            <w:r w:rsidRPr="00906CF9">
              <w:rPr>
                <w:rFonts w:hint="cs"/>
                <w:sz w:val="18"/>
                <w:szCs w:val="18"/>
                <w:rtl/>
              </w:rPr>
              <w:t xml:space="preserve"> 0</w:t>
            </w:r>
          </w:p>
        </w:tc>
        <w:tc>
          <w:tcPr>
            <w:tcW w:w="709" w:type="dxa"/>
            <w:tcBorders>
              <w:top w:val="nil"/>
              <w:left w:val="nil"/>
              <w:bottom w:val="nil"/>
              <w:right w:val="nil"/>
            </w:tcBorders>
            <w:vAlign w:val="bottom"/>
          </w:tcPr>
          <w:p w14:paraId="603D80B0" w14:textId="77777777" w:rsidR="00906CF9" w:rsidRPr="00906CF9" w:rsidRDefault="00906CF9" w:rsidP="00FF5D5E">
            <w:pPr>
              <w:pStyle w:val="-7"/>
              <w:rPr>
                <w:sz w:val="18"/>
                <w:szCs w:val="18"/>
                <w:rtl/>
              </w:rPr>
            </w:pPr>
            <w:r w:rsidRPr="00906CF9">
              <w:rPr>
                <w:rFonts w:hint="cs"/>
                <w:sz w:val="18"/>
                <w:szCs w:val="18"/>
                <w:rtl/>
              </w:rPr>
              <w:t xml:space="preserve"> 0</w:t>
            </w:r>
          </w:p>
        </w:tc>
        <w:tc>
          <w:tcPr>
            <w:tcW w:w="708" w:type="dxa"/>
            <w:tcBorders>
              <w:top w:val="nil"/>
              <w:left w:val="nil"/>
              <w:bottom w:val="nil"/>
              <w:right w:val="nil"/>
            </w:tcBorders>
            <w:vAlign w:val="bottom"/>
          </w:tcPr>
          <w:p w14:paraId="327EBBF3" w14:textId="77777777" w:rsidR="00906CF9" w:rsidRPr="00906CF9" w:rsidRDefault="00906CF9" w:rsidP="00FF5D5E">
            <w:pPr>
              <w:pStyle w:val="-7"/>
              <w:rPr>
                <w:sz w:val="18"/>
                <w:szCs w:val="18"/>
                <w:rtl/>
              </w:rPr>
            </w:pPr>
            <w:r w:rsidRPr="00906CF9">
              <w:rPr>
                <w:rFonts w:hint="cs"/>
                <w:sz w:val="18"/>
                <w:szCs w:val="18"/>
                <w:rtl/>
              </w:rPr>
              <w:t xml:space="preserve"> 0</w:t>
            </w:r>
          </w:p>
        </w:tc>
        <w:tc>
          <w:tcPr>
            <w:tcW w:w="1135" w:type="dxa"/>
            <w:tcBorders>
              <w:top w:val="nil"/>
              <w:left w:val="nil"/>
              <w:bottom w:val="nil"/>
              <w:right w:val="nil"/>
            </w:tcBorders>
            <w:vAlign w:val="bottom"/>
          </w:tcPr>
          <w:p w14:paraId="42FD3537" w14:textId="77777777" w:rsidR="00906CF9" w:rsidRPr="00906CF9" w:rsidRDefault="00906CF9" w:rsidP="00FF5D5E">
            <w:pPr>
              <w:pStyle w:val="-7"/>
              <w:rPr>
                <w:sz w:val="18"/>
                <w:szCs w:val="18"/>
                <w:rtl/>
              </w:rPr>
            </w:pPr>
            <w:r w:rsidRPr="00906CF9">
              <w:rPr>
                <w:rFonts w:hint="cs"/>
                <w:sz w:val="18"/>
                <w:szCs w:val="18"/>
                <w:rtl/>
              </w:rPr>
              <w:t xml:space="preserve"> 0</w:t>
            </w:r>
          </w:p>
        </w:tc>
      </w:tr>
    </w:tbl>
    <w:p w14:paraId="26746A5E" w14:textId="77777777" w:rsidR="009B4655" w:rsidRDefault="009B4655" w:rsidP="009B4655">
      <w:pPr>
        <w:rPr>
          <w:rtl/>
        </w:rPr>
        <w:sectPr w:rsidR="009B4655" w:rsidSect="00587121">
          <w:headerReference w:type="even" r:id="rId33"/>
          <w:footnotePr>
            <w:numRestart w:val="eachPage"/>
          </w:footnotePr>
          <w:pgSz w:w="11909" w:h="16834" w:code="9"/>
          <w:pgMar w:top="851" w:right="851" w:bottom="851" w:left="851" w:header="720" w:footer="720" w:gutter="0"/>
          <w:cols w:space="720"/>
          <w:bidi/>
          <w:rtlGutter/>
          <w:docGrid w:linePitch="360"/>
        </w:sectPr>
      </w:pPr>
    </w:p>
    <w:p w14:paraId="2CF3AA86" w14:textId="77777777" w:rsidR="003B363F" w:rsidRDefault="003B363F" w:rsidP="00D70790">
      <w:pPr>
        <w:pStyle w:val="5"/>
        <w:spacing w:before="100"/>
        <w:ind w:firstLine="993"/>
      </w:pPr>
      <w:bookmarkStart w:id="11" w:name="_Toc160529214"/>
      <w:r w:rsidRPr="00543C25">
        <w:rPr>
          <w:rFonts w:hint="cs"/>
          <w:rtl/>
        </w:rPr>
        <w:lastRenderedPageBreak/>
        <w:t>ביאור 1  -  עיקרי המדיניות החשבונאית</w:t>
      </w:r>
      <w:r w:rsidR="004C7D2F">
        <w:rPr>
          <w:rFonts w:hint="cs"/>
          <w:rtl/>
        </w:rPr>
        <w:t>:</w:t>
      </w:r>
      <w:bookmarkEnd w:id="11"/>
    </w:p>
    <w:p w14:paraId="1AE1A129" w14:textId="77777777" w:rsidR="002A0211" w:rsidRDefault="002A0211" w:rsidP="00EB5088">
      <w:pPr>
        <w:pStyle w:val="a"/>
        <w:numPr>
          <w:ilvl w:val="0"/>
          <w:numId w:val="0"/>
        </w:numPr>
        <w:spacing w:line="192" w:lineRule="auto"/>
        <w:ind w:firstLine="1559"/>
        <w:rPr>
          <w:rFonts w:ascii="Arial" w:hAnsi="Arial" w:cs="Arial"/>
          <w:b/>
          <w:bCs/>
          <w:sz w:val="20"/>
          <w:szCs w:val="20"/>
          <w:rtl/>
        </w:rPr>
      </w:pPr>
    </w:p>
    <w:p w14:paraId="5CF06A80" w14:textId="1F18FA92" w:rsidR="002A0211" w:rsidRPr="002A0211" w:rsidRDefault="00C743DB" w:rsidP="000F230D">
      <w:pPr>
        <w:pStyle w:val="7"/>
        <w:numPr>
          <w:ilvl w:val="1"/>
          <w:numId w:val="10"/>
        </w:numPr>
        <w:spacing w:after="60"/>
        <w:ind w:left="1276" w:hanging="283"/>
      </w:pPr>
      <w:r>
        <w:rPr>
          <w:rFonts w:hint="cs"/>
          <w:sz w:val="18"/>
          <w:szCs w:val="20"/>
          <w:rtl/>
        </w:rPr>
        <w:t xml:space="preserve"> </w:t>
      </w:r>
      <w:bookmarkStart w:id="12" w:name="_Toc160529215"/>
      <w:r w:rsidR="00D92403" w:rsidRPr="00D92403">
        <w:rPr>
          <w:sz w:val="18"/>
          <w:szCs w:val="20"/>
          <w:rtl/>
        </w:rPr>
        <w:t>עקרונות הדיווח</w:t>
      </w:r>
      <w:r w:rsidR="004C7D2F">
        <w:rPr>
          <w:rFonts w:hint="cs"/>
          <w:sz w:val="18"/>
          <w:szCs w:val="20"/>
          <w:rtl/>
        </w:rPr>
        <w:t>:</w:t>
      </w:r>
      <w:bookmarkEnd w:id="12"/>
    </w:p>
    <w:tbl>
      <w:tblPr>
        <w:bidiVisual/>
        <w:tblW w:w="4861" w:type="pct"/>
        <w:tblLook w:val="01E0" w:firstRow="1" w:lastRow="1" w:firstColumn="1" w:lastColumn="1" w:noHBand="0" w:noVBand="0"/>
      </w:tblPr>
      <w:tblGrid>
        <w:gridCol w:w="1276"/>
        <w:gridCol w:w="8647"/>
      </w:tblGrid>
      <w:tr w:rsidR="000F230D" w:rsidRPr="004C16A9" w14:paraId="43707850" w14:textId="77777777" w:rsidTr="000F230D">
        <w:tc>
          <w:tcPr>
            <w:tcW w:w="1276" w:type="dxa"/>
          </w:tcPr>
          <w:p w14:paraId="0E328AB8" w14:textId="77777777" w:rsidR="000F230D" w:rsidRPr="004C16A9" w:rsidRDefault="000F230D">
            <w:pPr>
              <w:pStyle w:val="-f8"/>
              <w:spacing w:before="40"/>
              <w:rPr>
                <w:rtl/>
              </w:rPr>
            </w:pPr>
          </w:p>
        </w:tc>
        <w:tc>
          <w:tcPr>
            <w:tcW w:w="8647" w:type="dxa"/>
          </w:tcPr>
          <w:p w14:paraId="5CEE77A2" w14:textId="55163ACF" w:rsidR="000F230D" w:rsidRPr="004C16A9" w:rsidRDefault="000F230D" w:rsidP="00EB5088">
            <w:pPr>
              <w:pStyle w:val="-10"/>
              <w:spacing w:before="40" w:line="240" w:lineRule="auto"/>
              <w:rPr>
                <w:rtl/>
              </w:rPr>
            </w:pPr>
            <w:r w:rsidRPr="004C16A9">
              <w:rPr>
                <w:rFonts w:hint="cs"/>
                <w:rtl/>
              </w:rPr>
              <w:t xml:space="preserve">תמצית </w:t>
            </w:r>
            <w:r w:rsidRPr="004C16A9">
              <w:rPr>
                <w:rtl/>
              </w:rPr>
              <w:t xml:space="preserve">הדוחות הכספיים </w:t>
            </w:r>
            <w:r>
              <w:rPr>
                <w:rFonts w:hint="cs"/>
                <w:rtl/>
              </w:rPr>
              <w:t xml:space="preserve">המאוחדים </w:t>
            </w:r>
            <w:r w:rsidRPr="004C16A9">
              <w:rPr>
                <w:rFonts w:hint="eastAsia"/>
                <w:rtl/>
              </w:rPr>
              <w:t>ביניים</w:t>
            </w:r>
            <w:r w:rsidRPr="004C16A9">
              <w:rPr>
                <w:rFonts w:hint="cs"/>
                <w:rtl/>
              </w:rPr>
              <w:t xml:space="preserve"> </w:t>
            </w:r>
            <w:r>
              <w:rPr>
                <w:rFonts w:hint="cs"/>
                <w:rtl/>
              </w:rPr>
              <w:t xml:space="preserve">ליום 30 ביוני </w:t>
            </w:r>
            <w:r w:rsidRPr="00141F9A">
              <w:rPr>
                <w:rtl/>
              </w:rPr>
              <w:fldChar w:fldCharType="begin"/>
            </w:r>
            <w:r w:rsidRPr="00141F9A">
              <w:rPr>
                <w:rtl/>
              </w:rPr>
              <w:instrText xml:space="preserve"> = </w:instrText>
            </w:r>
            <w:r w:rsidRPr="00141F9A">
              <w:instrText>CY \* MERGEFORMAT</w:instrText>
            </w:r>
            <w:r w:rsidRPr="00141F9A">
              <w:rPr>
                <w:rtl/>
              </w:rPr>
              <w:instrText xml:space="preserve"> </w:instrText>
            </w:r>
            <w:r w:rsidRPr="00141F9A">
              <w:rPr>
                <w:rtl/>
              </w:rPr>
              <w:fldChar w:fldCharType="separate"/>
            </w:r>
            <w:r>
              <w:rPr>
                <w:noProof/>
                <w:rtl/>
              </w:rPr>
              <w:t>2024</w:t>
            </w:r>
            <w:r w:rsidRPr="00141F9A">
              <w:rPr>
                <w:rtl/>
              </w:rPr>
              <w:fldChar w:fldCharType="end"/>
            </w:r>
            <w:r>
              <w:rPr>
                <w:rFonts w:hint="cs"/>
                <w:rtl/>
              </w:rPr>
              <w:t xml:space="preserve"> </w:t>
            </w:r>
            <w:r w:rsidRPr="004C16A9">
              <w:rPr>
                <w:rtl/>
              </w:rPr>
              <w:t>ערוכ</w:t>
            </w:r>
            <w:r>
              <w:rPr>
                <w:rFonts w:hint="cs"/>
                <w:rtl/>
              </w:rPr>
              <w:t>ה</w:t>
            </w:r>
            <w:r w:rsidRPr="004C16A9">
              <w:rPr>
                <w:rtl/>
              </w:rPr>
              <w:t xml:space="preserve"> בהתאם להוראות המפקח על הבנקים והנחיותיו</w:t>
            </w:r>
            <w:r>
              <w:rPr>
                <w:rFonts w:hint="cs"/>
                <w:rtl/>
              </w:rPr>
              <w:t xml:space="preserve">. </w:t>
            </w:r>
            <w:r w:rsidRPr="00654EA5">
              <w:rPr>
                <w:rtl/>
              </w:rPr>
              <w:t>בעיקר הנושאים, הוראות אלה מבוססות על כללי החשבונאות המקובלים בבנקים בארה"ב</w:t>
            </w:r>
            <w:r w:rsidRPr="00B84919">
              <w:rPr>
                <w:sz w:val="17"/>
                <w:szCs w:val="17"/>
              </w:rPr>
              <w:t xml:space="preserve">US GAAP) </w:t>
            </w:r>
            <w:r w:rsidRPr="00B84919">
              <w:rPr>
                <w:sz w:val="17"/>
                <w:szCs w:val="17"/>
                <w:rtl/>
              </w:rPr>
              <w:t>).</w:t>
            </w:r>
          </w:p>
        </w:tc>
      </w:tr>
      <w:tr w:rsidR="000F230D" w:rsidRPr="004C16A9" w14:paraId="2E94C029" w14:textId="77777777" w:rsidTr="000F230D">
        <w:tc>
          <w:tcPr>
            <w:tcW w:w="1276" w:type="dxa"/>
          </w:tcPr>
          <w:p w14:paraId="4CC47592" w14:textId="77777777" w:rsidR="000F230D" w:rsidRPr="004C16A9" w:rsidRDefault="000F230D">
            <w:pPr>
              <w:pStyle w:val="-f8"/>
              <w:spacing w:before="40"/>
              <w:rPr>
                <w:rtl/>
              </w:rPr>
            </w:pPr>
          </w:p>
        </w:tc>
        <w:tc>
          <w:tcPr>
            <w:tcW w:w="8647" w:type="dxa"/>
          </w:tcPr>
          <w:p w14:paraId="39C3FB84" w14:textId="7BEA8C74" w:rsidR="000F230D" w:rsidRPr="004C16A9" w:rsidRDefault="000F230D" w:rsidP="00EB5088">
            <w:pPr>
              <w:pStyle w:val="-10"/>
              <w:spacing w:before="40" w:line="240" w:lineRule="auto"/>
              <w:rPr>
                <w:rtl/>
              </w:rPr>
            </w:pPr>
            <w:r w:rsidRPr="00654EA5">
              <w:rPr>
                <w:rtl/>
              </w:rPr>
              <w:t>כללי החשבונא</w:t>
            </w:r>
            <w:r>
              <w:rPr>
                <w:rFonts w:hint="cs"/>
                <w:rtl/>
              </w:rPr>
              <w:t>ות</w:t>
            </w:r>
            <w:r w:rsidRPr="00654EA5">
              <w:rPr>
                <w:rtl/>
              </w:rPr>
              <w:t xml:space="preserve"> שיושמו בעריכת </w:t>
            </w:r>
            <w:r w:rsidRPr="004C16A9">
              <w:rPr>
                <w:rFonts w:hint="cs"/>
                <w:rtl/>
              </w:rPr>
              <w:t xml:space="preserve">תמצית </w:t>
            </w:r>
            <w:r w:rsidRPr="004C16A9">
              <w:rPr>
                <w:rtl/>
              </w:rPr>
              <w:t xml:space="preserve">דוחות כספיים </w:t>
            </w:r>
            <w:r>
              <w:rPr>
                <w:rFonts w:hint="cs"/>
                <w:rtl/>
              </w:rPr>
              <w:t>ביניים אלה</w:t>
            </w:r>
            <w:r w:rsidRPr="00654EA5">
              <w:rPr>
                <w:rtl/>
              </w:rPr>
              <w:t xml:space="preserve"> הינם עקביים לכללים ששימשו בעריכת הדוחות הכספיים המבוקרים ליום 31 בדצמבר </w:t>
            </w:r>
            <w:r w:rsidRPr="00141F9A">
              <w:rPr>
                <w:rtl/>
              </w:rPr>
              <w:fldChar w:fldCharType="begin"/>
            </w:r>
            <w:r w:rsidRPr="00141F9A">
              <w:rPr>
                <w:rtl/>
              </w:rPr>
              <w:instrText xml:space="preserve"> = </w:instrText>
            </w:r>
            <w:r w:rsidRPr="00141F9A">
              <w:instrText>CY-1 \* MERGEFORMAT</w:instrText>
            </w:r>
            <w:r w:rsidRPr="00141F9A">
              <w:rPr>
                <w:rtl/>
              </w:rPr>
              <w:instrText xml:space="preserve"> </w:instrText>
            </w:r>
            <w:r w:rsidRPr="00141F9A">
              <w:rPr>
                <w:rtl/>
              </w:rPr>
              <w:fldChar w:fldCharType="separate"/>
            </w:r>
            <w:r>
              <w:rPr>
                <w:noProof/>
                <w:rtl/>
              </w:rPr>
              <w:t>2023</w:t>
            </w:r>
            <w:r w:rsidRPr="00141F9A">
              <w:rPr>
                <w:rtl/>
              </w:rPr>
              <w:fldChar w:fldCharType="end"/>
            </w:r>
            <w:r w:rsidRPr="00654EA5">
              <w:rPr>
                <w:rtl/>
              </w:rPr>
              <w:t>,</w:t>
            </w:r>
            <w:r>
              <w:rPr>
                <w:rFonts w:hint="cs"/>
                <w:rtl/>
              </w:rPr>
              <w:t xml:space="preserve"> </w:t>
            </w:r>
            <w:r w:rsidRPr="00654EA5">
              <w:rPr>
                <w:rtl/>
              </w:rPr>
              <w:t xml:space="preserve">פרט לאמור בסעיף </w:t>
            </w:r>
            <w:r>
              <w:rPr>
                <w:rFonts w:hint="cs"/>
                <w:rtl/>
              </w:rPr>
              <w:t>__ להלן</w:t>
            </w:r>
            <w:r w:rsidRPr="00654EA5">
              <w:rPr>
                <w:rtl/>
              </w:rPr>
              <w:t>.</w:t>
            </w:r>
          </w:p>
        </w:tc>
      </w:tr>
      <w:tr w:rsidR="000F230D" w:rsidRPr="004C16A9" w14:paraId="4F39AD83" w14:textId="77777777" w:rsidTr="000F230D">
        <w:tc>
          <w:tcPr>
            <w:tcW w:w="1276" w:type="dxa"/>
          </w:tcPr>
          <w:p w14:paraId="1B9CAA21" w14:textId="77777777" w:rsidR="000F230D" w:rsidRPr="004C16A9" w:rsidRDefault="000F230D">
            <w:pPr>
              <w:pStyle w:val="-f8"/>
              <w:spacing w:before="40"/>
              <w:rPr>
                <w:rtl/>
              </w:rPr>
            </w:pPr>
          </w:p>
        </w:tc>
        <w:tc>
          <w:tcPr>
            <w:tcW w:w="8647" w:type="dxa"/>
          </w:tcPr>
          <w:p w14:paraId="41575A8D" w14:textId="6124FCDA" w:rsidR="000F230D" w:rsidRPr="004C16A9" w:rsidRDefault="000F230D" w:rsidP="00EB5088">
            <w:pPr>
              <w:pStyle w:val="-10"/>
              <w:spacing w:before="40" w:after="240" w:line="259" w:lineRule="auto"/>
              <w:rPr>
                <w:rtl/>
              </w:rPr>
            </w:pPr>
            <w:r w:rsidRPr="00A345CE">
              <w:rPr>
                <w:rtl/>
              </w:rPr>
              <w:t xml:space="preserve">תמצית הדוחות הכספיים </w:t>
            </w:r>
            <w:r>
              <w:rPr>
                <w:rFonts w:hint="cs"/>
                <w:rtl/>
              </w:rPr>
              <w:t xml:space="preserve">ביניים </w:t>
            </w:r>
            <w:r w:rsidRPr="00A345CE">
              <w:rPr>
                <w:rtl/>
              </w:rPr>
              <w:t xml:space="preserve">אושרה לפרסום על-ידי דירקטוריון הבנק ביום </w:t>
            </w:r>
            <w:r>
              <w:rPr>
                <w:rFonts w:hint="cs"/>
                <w:rtl/>
              </w:rPr>
              <w:t>__</w:t>
            </w:r>
            <w:r w:rsidRPr="00A345CE">
              <w:rPr>
                <w:rtl/>
              </w:rPr>
              <w:t xml:space="preserve"> </w:t>
            </w:r>
            <w:r>
              <w:rPr>
                <w:rFonts w:hint="cs"/>
                <w:rtl/>
              </w:rPr>
              <w:t>באוגוסט</w:t>
            </w:r>
            <w:r w:rsidRPr="00A345CE">
              <w:rPr>
                <w:rtl/>
              </w:rPr>
              <w:t xml:space="preserve"> </w:t>
            </w:r>
            <w:r w:rsidRPr="00141F9A">
              <w:rPr>
                <w:rtl/>
              </w:rPr>
              <w:fldChar w:fldCharType="begin"/>
            </w:r>
            <w:r w:rsidRPr="00141F9A">
              <w:rPr>
                <w:rtl/>
              </w:rPr>
              <w:instrText xml:space="preserve"> = </w:instrText>
            </w:r>
            <w:r w:rsidRPr="00141F9A">
              <w:instrText>CY \* MERGEFORMAT</w:instrText>
            </w:r>
            <w:r w:rsidRPr="00141F9A">
              <w:rPr>
                <w:rtl/>
              </w:rPr>
              <w:instrText xml:space="preserve"> </w:instrText>
            </w:r>
            <w:r w:rsidRPr="00141F9A">
              <w:rPr>
                <w:rtl/>
              </w:rPr>
              <w:fldChar w:fldCharType="separate"/>
            </w:r>
            <w:r>
              <w:rPr>
                <w:noProof/>
                <w:rtl/>
              </w:rPr>
              <w:t>2024</w:t>
            </w:r>
            <w:r w:rsidRPr="00141F9A">
              <w:rPr>
                <w:rtl/>
              </w:rPr>
              <w:fldChar w:fldCharType="end"/>
            </w:r>
            <w:r w:rsidRPr="00A345CE">
              <w:rPr>
                <w:rtl/>
              </w:rPr>
              <w:t>.</w:t>
            </w:r>
          </w:p>
        </w:tc>
      </w:tr>
    </w:tbl>
    <w:p w14:paraId="72C24FB5" w14:textId="1CE037E2" w:rsidR="00730D21" w:rsidRPr="00C743DB" w:rsidRDefault="00C743DB" w:rsidP="000F230D">
      <w:pPr>
        <w:pStyle w:val="7"/>
        <w:numPr>
          <w:ilvl w:val="1"/>
          <w:numId w:val="10"/>
        </w:numPr>
        <w:spacing w:after="60"/>
        <w:ind w:left="1276" w:hanging="283"/>
        <w:rPr>
          <w:sz w:val="18"/>
          <w:szCs w:val="20"/>
        </w:rPr>
      </w:pPr>
      <w:r>
        <w:rPr>
          <w:rFonts w:hint="cs"/>
          <w:sz w:val="18"/>
          <w:szCs w:val="20"/>
          <w:rtl/>
        </w:rPr>
        <w:t xml:space="preserve"> </w:t>
      </w:r>
      <w:bookmarkStart w:id="13" w:name="_Toc160529216"/>
      <w:r w:rsidR="00D92403" w:rsidRPr="00D92403">
        <w:rPr>
          <w:sz w:val="18"/>
          <w:szCs w:val="20"/>
          <w:rtl/>
        </w:rPr>
        <w:t>שימוש באומדנים</w:t>
      </w:r>
      <w:r w:rsidR="00D92403">
        <w:rPr>
          <w:rFonts w:hint="cs"/>
          <w:sz w:val="18"/>
          <w:szCs w:val="20"/>
          <w:rtl/>
        </w:rPr>
        <w:t>:</w:t>
      </w:r>
      <w:bookmarkEnd w:id="13"/>
    </w:p>
    <w:tbl>
      <w:tblPr>
        <w:bidiVisual/>
        <w:tblW w:w="4861" w:type="pct"/>
        <w:tblLook w:val="01E0" w:firstRow="1" w:lastRow="1" w:firstColumn="1" w:lastColumn="1" w:noHBand="0" w:noVBand="0"/>
      </w:tblPr>
      <w:tblGrid>
        <w:gridCol w:w="1276"/>
        <w:gridCol w:w="8647"/>
      </w:tblGrid>
      <w:tr w:rsidR="000F230D" w:rsidRPr="004C16A9" w14:paraId="6264E825" w14:textId="77777777" w:rsidTr="000F230D">
        <w:tc>
          <w:tcPr>
            <w:tcW w:w="1276" w:type="dxa"/>
          </w:tcPr>
          <w:p w14:paraId="2378B9C8" w14:textId="77777777" w:rsidR="000F230D" w:rsidRPr="004C16A9" w:rsidRDefault="000F230D">
            <w:pPr>
              <w:pStyle w:val="-f8"/>
              <w:spacing w:before="40"/>
              <w:rPr>
                <w:rtl/>
              </w:rPr>
            </w:pPr>
          </w:p>
        </w:tc>
        <w:tc>
          <w:tcPr>
            <w:tcW w:w="8647" w:type="dxa"/>
          </w:tcPr>
          <w:p w14:paraId="1DBCF166" w14:textId="5C6F04A9" w:rsidR="000F230D" w:rsidRDefault="000F230D" w:rsidP="00EB5088">
            <w:pPr>
              <w:pStyle w:val="-10"/>
              <w:spacing w:before="40" w:line="259" w:lineRule="auto"/>
              <w:rPr>
                <w:rtl/>
              </w:rPr>
            </w:pPr>
            <w:r w:rsidRPr="00724C2D">
              <w:rPr>
                <w:rtl/>
              </w:rPr>
              <w:t>ב</w:t>
            </w:r>
            <w:r>
              <w:rPr>
                <w:rFonts w:hint="cs"/>
                <w:rtl/>
              </w:rPr>
              <w:t xml:space="preserve">עת </w:t>
            </w:r>
            <w:r w:rsidRPr="00724C2D">
              <w:rPr>
                <w:rtl/>
              </w:rPr>
              <w:t xml:space="preserve">עריכת תמצית הדוחות הכספיים </w:t>
            </w:r>
            <w:r>
              <w:rPr>
                <w:rFonts w:hint="cs"/>
                <w:rtl/>
              </w:rPr>
              <w:t xml:space="preserve">המאוחדים </w:t>
            </w:r>
            <w:r w:rsidRPr="00724C2D">
              <w:rPr>
                <w:rtl/>
              </w:rPr>
              <w:t xml:space="preserve">ביניים </w:t>
            </w:r>
            <w:r w:rsidRPr="000904B4">
              <w:rPr>
                <w:rtl/>
              </w:rPr>
              <w:t>נדרש</w:t>
            </w:r>
            <w:r>
              <w:rPr>
                <w:rFonts w:hint="cs"/>
                <w:rtl/>
              </w:rPr>
              <w:t>ת</w:t>
            </w:r>
            <w:r w:rsidRPr="000904B4">
              <w:rPr>
                <w:rtl/>
              </w:rPr>
              <w:t xml:space="preserve"> הנהל</w:t>
            </w:r>
            <w:r>
              <w:rPr>
                <w:rFonts w:hint="cs"/>
                <w:rtl/>
              </w:rPr>
              <w:t>ת</w:t>
            </w:r>
            <w:r w:rsidRPr="000904B4">
              <w:rPr>
                <w:rtl/>
              </w:rPr>
              <w:t xml:space="preserve"> </w:t>
            </w:r>
            <w:r>
              <w:rPr>
                <w:rFonts w:hint="cs"/>
                <w:rtl/>
              </w:rPr>
              <w:t xml:space="preserve">הבנק </w:t>
            </w:r>
            <w:r w:rsidRPr="000904B4">
              <w:rPr>
                <w:rtl/>
              </w:rPr>
              <w:t>להפעיל שיקול דעת ולעשות שימוש</w:t>
            </w:r>
            <w:r w:rsidRPr="00724C2D">
              <w:rPr>
                <w:rtl/>
              </w:rPr>
              <w:t xml:space="preserve"> בהערכות, אומדנים והנחות</w:t>
            </w:r>
            <w:r>
              <w:rPr>
                <w:rFonts w:hint="cs"/>
                <w:rtl/>
              </w:rPr>
              <w:t>,</w:t>
            </w:r>
            <w:r w:rsidRPr="00724C2D">
              <w:rPr>
                <w:rtl/>
              </w:rPr>
              <w:t xml:space="preserve"> אשר משפיעים על יישום המדיניות</w:t>
            </w:r>
            <w:r>
              <w:rPr>
                <w:rFonts w:hint="cs"/>
                <w:rtl/>
              </w:rPr>
              <w:t xml:space="preserve"> החשבונאית</w:t>
            </w:r>
            <w:r w:rsidRPr="00724C2D">
              <w:rPr>
                <w:rtl/>
              </w:rPr>
              <w:t xml:space="preserve"> ועל הסכומים </w:t>
            </w:r>
            <w:r>
              <w:rPr>
                <w:rFonts w:hint="cs"/>
                <w:rtl/>
              </w:rPr>
              <w:t xml:space="preserve">המדווחים </w:t>
            </w:r>
            <w:r w:rsidRPr="00724C2D">
              <w:rPr>
                <w:rtl/>
              </w:rPr>
              <w:t xml:space="preserve">של </w:t>
            </w:r>
            <w:r>
              <w:rPr>
                <w:rFonts w:hint="cs"/>
                <w:rtl/>
              </w:rPr>
              <w:t>ה</w:t>
            </w:r>
            <w:r w:rsidRPr="00724C2D">
              <w:rPr>
                <w:rtl/>
              </w:rPr>
              <w:t>נכסים</w:t>
            </w:r>
            <w:r>
              <w:rPr>
                <w:rFonts w:hint="cs"/>
                <w:rtl/>
              </w:rPr>
              <w:t>,</w:t>
            </w:r>
            <w:r w:rsidRPr="00724C2D">
              <w:rPr>
                <w:rtl/>
              </w:rPr>
              <w:t xml:space="preserve"> </w:t>
            </w:r>
            <w:r>
              <w:rPr>
                <w:rFonts w:hint="cs"/>
                <w:rtl/>
              </w:rPr>
              <w:t>ה</w:t>
            </w:r>
            <w:r w:rsidRPr="00724C2D">
              <w:rPr>
                <w:rtl/>
              </w:rPr>
              <w:t xml:space="preserve">התחייבויות </w:t>
            </w:r>
            <w:r>
              <w:rPr>
                <w:rFonts w:hint="cs"/>
                <w:rtl/>
              </w:rPr>
              <w:t>והתוצאות של הבנק. התממשות ההערכות והאומדנים ב</w:t>
            </w:r>
            <w:r w:rsidRPr="00724C2D">
              <w:rPr>
                <w:rtl/>
              </w:rPr>
              <w:t>פועל</w:t>
            </w:r>
            <w:r>
              <w:rPr>
                <w:rFonts w:hint="cs"/>
                <w:rtl/>
              </w:rPr>
              <w:t>,</w:t>
            </w:r>
            <w:r w:rsidRPr="00724C2D">
              <w:rPr>
                <w:rtl/>
              </w:rPr>
              <w:t xml:space="preserve"> </w:t>
            </w:r>
            <w:r>
              <w:rPr>
                <w:rFonts w:hint="cs"/>
                <w:rtl/>
              </w:rPr>
              <w:t>עשויה</w:t>
            </w:r>
            <w:r w:rsidRPr="00724C2D">
              <w:rPr>
                <w:rtl/>
              </w:rPr>
              <w:t xml:space="preserve"> להיות שונ</w:t>
            </w:r>
            <w:r>
              <w:rPr>
                <w:rFonts w:hint="cs"/>
                <w:rtl/>
              </w:rPr>
              <w:t xml:space="preserve">ה מכפי שהוערכה. </w:t>
            </w:r>
            <w:r w:rsidRPr="00724C2D">
              <w:rPr>
                <w:rtl/>
              </w:rPr>
              <w:t xml:space="preserve"> </w:t>
            </w:r>
          </w:p>
          <w:p w14:paraId="54D3F4D8" w14:textId="2ABFC9F1" w:rsidR="000F230D" w:rsidRPr="004C16A9" w:rsidRDefault="000F230D" w:rsidP="00EB5088">
            <w:pPr>
              <w:pStyle w:val="-10"/>
              <w:spacing w:before="40" w:after="0" w:line="259" w:lineRule="auto"/>
              <w:rPr>
                <w:rtl/>
              </w:rPr>
            </w:pPr>
            <w:r>
              <w:rPr>
                <w:rFonts w:hint="cs"/>
                <w:rtl/>
              </w:rPr>
              <w:t>ב</w:t>
            </w:r>
            <w:r w:rsidRPr="00724C2D">
              <w:rPr>
                <w:rtl/>
              </w:rPr>
              <w:t>גיבושם של אומדנים חשבונאיים</w:t>
            </w:r>
            <w:r>
              <w:rPr>
                <w:rFonts w:hint="cs"/>
                <w:rtl/>
              </w:rPr>
              <w:t>,</w:t>
            </w:r>
            <w:r w:rsidRPr="00724C2D">
              <w:rPr>
                <w:rtl/>
              </w:rPr>
              <w:t xml:space="preserve"> </w:t>
            </w:r>
            <w:r>
              <w:rPr>
                <w:rFonts w:hint="cs"/>
                <w:rtl/>
              </w:rPr>
              <w:t xml:space="preserve">מתבססת הנהלת הבנק על הנחות והערכות </w:t>
            </w:r>
            <w:r w:rsidRPr="00724C2D">
              <w:rPr>
                <w:rtl/>
              </w:rPr>
              <w:t xml:space="preserve">באשר לנסיבות </w:t>
            </w:r>
            <w:r>
              <w:rPr>
                <w:rFonts w:hint="cs"/>
                <w:rtl/>
              </w:rPr>
              <w:t>ו</w:t>
            </w:r>
            <w:r w:rsidRPr="00724C2D">
              <w:rPr>
                <w:rtl/>
              </w:rPr>
              <w:t xml:space="preserve">לאירועים הכרוכים באי ודאות משמעותית. בשיקול דעתה בקביעת האומדנים, מתבססת </w:t>
            </w:r>
            <w:r>
              <w:rPr>
                <w:rFonts w:hint="cs"/>
                <w:rtl/>
              </w:rPr>
              <w:t>ה</w:t>
            </w:r>
            <w:r w:rsidRPr="00724C2D">
              <w:rPr>
                <w:rtl/>
              </w:rPr>
              <w:t>הנהל</w:t>
            </w:r>
            <w:r>
              <w:rPr>
                <w:rFonts w:hint="cs"/>
                <w:rtl/>
              </w:rPr>
              <w:t>ה</w:t>
            </w:r>
            <w:r w:rsidRPr="00724C2D">
              <w:rPr>
                <w:rtl/>
              </w:rPr>
              <w:t xml:space="preserve"> על ניסיון העבר, עובדות </w:t>
            </w:r>
            <w:r>
              <w:rPr>
                <w:rFonts w:hint="cs"/>
                <w:rtl/>
              </w:rPr>
              <w:t xml:space="preserve">ומצגים </w:t>
            </w:r>
            <w:r w:rsidRPr="00724C2D">
              <w:rPr>
                <w:rtl/>
              </w:rPr>
              <w:t>שונ</w:t>
            </w:r>
            <w:r>
              <w:rPr>
                <w:rFonts w:hint="cs"/>
                <w:rtl/>
              </w:rPr>
              <w:t>ים</w:t>
            </w:r>
            <w:r w:rsidRPr="00724C2D">
              <w:rPr>
                <w:rtl/>
              </w:rPr>
              <w:t xml:space="preserve">, </w:t>
            </w:r>
            <w:r>
              <w:rPr>
                <w:rFonts w:hint="cs"/>
                <w:rtl/>
              </w:rPr>
              <w:t xml:space="preserve">ניתוחים וסקירות, </w:t>
            </w:r>
            <w:r w:rsidRPr="00724C2D">
              <w:rPr>
                <w:rtl/>
              </w:rPr>
              <w:t>ועל הנחות סבירות בהתאם לנסיבות</w:t>
            </w:r>
            <w:r>
              <w:rPr>
                <w:rFonts w:hint="cs"/>
                <w:rtl/>
              </w:rPr>
              <w:t>.</w:t>
            </w:r>
            <w:r w:rsidRPr="00724C2D">
              <w:rPr>
                <w:rtl/>
              </w:rPr>
              <w:t xml:space="preserve"> האומדנים וההנחות שבבסיסם</w:t>
            </w:r>
            <w:r>
              <w:rPr>
                <w:rFonts w:hint="cs"/>
                <w:rtl/>
              </w:rPr>
              <w:t>,</w:t>
            </w:r>
            <w:r w:rsidRPr="00724C2D">
              <w:rPr>
                <w:rtl/>
              </w:rPr>
              <w:t xml:space="preserve"> נסקרים באופן שוטף</w:t>
            </w:r>
            <w:r>
              <w:rPr>
                <w:rFonts w:hint="cs"/>
                <w:rtl/>
              </w:rPr>
              <w:t>;</w:t>
            </w:r>
            <w:r w:rsidRPr="00724C2D">
              <w:rPr>
                <w:rtl/>
              </w:rPr>
              <w:t xml:space="preserve"> שינויים באומדנים חשבונאיים מוכרים בתקופה שבה </w:t>
            </w:r>
            <w:r>
              <w:rPr>
                <w:rFonts w:hint="cs"/>
                <w:rtl/>
              </w:rPr>
              <w:t>עודכנו</w:t>
            </w:r>
            <w:r w:rsidRPr="00724C2D">
              <w:rPr>
                <w:rtl/>
              </w:rPr>
              <w:t xml:space="preserve"> האומדנים ובכל תקופה עתידית מושפעת.</w:t>
            </w:r>
            <w:r w:rsidRPr="00EB5088">
              <w:rPr>
                <w:vertAlign w:val="superscript"/>
                <w:rtl/>
              </w:rPr>
              <w:t>[</w:t>
            </w:r>
            <w:r w:rsidRPr="000D6419">
              <w:rPr>
                <w:rStyle w:val="a7"/>
                <w:rtl/>
              </w:rPr>
              <w:footnoteReference w:id="22"/>
            </w:r>
            <w:r w:rsidRPr="00EB5088">
              <w:rPr>
                <w:vertAlign w:val="superscript"/>
                <w:rtl/>
              </w:rPr>
              <w:t>]</w:t>
            </w:r>
          </w:p>
        </w:tc>
      </w:tr>
      <w:tr w:rsidR="000F230D" w:rsidRPr="004C16A9" w14:paraId="39F4E07F" w14:textId="77777777" w:rsidTr="000F230D">
        <w:tc>
          <w:tcPr>
            <w:tcW w:w="1276" w:type="dxa"/>
          </w:tcPr>
          <w:p w14:paraId="542ABFF0" w14:textId="77777777" w:rsidR="000F230D" w:rsidRPr="004C16A9" w:rsidRDefault="000F230D">
            <w:pPr>
              <w:pStyle w:val="-f8"/>
              <w:spacing w:before="40"/>
              <w:rPr>
                <w:rtl/>
              </w:rPr>
            </w:pPr>
          </w:p>
        </w:tc>
        <w:tc>
          <w:tcPr>
            <w:tcW w:w="8647" w:type="dxa"/>
          </w:tcPr>
          <w:p w14:paraId="6079C12E" w14:textId="77777777" w:rsidR="000F230D" w:rsidRDefault="000F230D" w:rsidP="00EB5088">
            <w:pPr>
              <w:pStyle w:val="-10"/>
              <w:spacing w:before="40" w:after="0" w:line="240" w:lineRule="auto"/>
              <w:rPr>
                <w:rtl/>
              </w:rPr>
            </w:pPr>
          </w:p>
        </w:tc>
      </w:tr>
    </w:tbl>
    <w:p w14:paraId="0255395D" w14:textId="77777777" w:rsidR="00730D21" w:rsidRPr="00F44EEA" w:rsidRDefault="00C743DB" w:rsidP="000F230D">
      <w:pPr>
        <w:pStyle w:val="7"/>
        <w:numPr>
          <w:ilvl w:val="1"/>
          <w:numId w:val="10"/>
        </w:numPr>
        <w:spacing w:after="60"/>
        <w:ind w:left="1276" w:hanging="283"/>
      </w:pPr>
      <w:r>
        <w:rPr>
          <w:rFonts w:hint="cs"/>
          <w:sz w:val="18"/>
          <w:szCs w:val="20"/>
          <w:rtl/>
        </w:rPr>
        <w:t xml:space="preserve"> </w:t>
      </w:r>
      <w:bookmarkStart w:id="14" w:name="_Toc160529217"/>
      <w:r w:rsidR="00730D21" w:rsidRPr="00F44EEA">
        <w:rPr>
          <w:sz w:val="18"/>
          <w:szCs w:val="20"/>
          <w:rtl/>
        </w:rPr>
        <w:t>מטבע חוץ והצמדה</w:t>
      </w:r>
      <w:bookmarkEnd w:id="14"/>
    </w:p>
    <w:tbl>
      <w:tblPr>
        <w:bidiVisual/>
        <w:tblW w:w="4861" w:type="pct"/>
        <w:tblLayout w:type="fixed"/>
        <w:tblLook w:val="01E0" w:firstRow="1" w:lastRow="1" w:firstColumn="1" w:lastColumn="1" w:noHBand="0" w:noVBand="0"/>
      </w:tblPr>
      <w:tblGrid>
        <w:gridCol w:w="1276"/>
        <w:gridCol w:w="8647"/>
      </w:tblGrid>
      <w:tr w:rsidR="000F230D" w:rsidRPr="006653C6" w14:paraId="0AEC7AAA" w14:textId="77777777" w:rsidTr="000F230D">
        <w:tc>
          <w:tcPr>
            <w:tcW w:w="1276" w:type="dxa"/>
          </w:tcPr>
          <w:p w14:paraId="1A86545E" w14:textId="77777777" w:rsidR="000F230D" w:rsidRPr="0001523C" w:rsidRDefault="000F230D" w:rsidP="00EB5088">
            <w:pPr>
              <w:spacing w:before="40" w:after="40"/>
              <w:rPr>
                <w:rtl/>
              </w:rPr>
            </w:pPr>
          </w:p>
        </w:tc>
        <w:tc>
          <w:tcPr>
            <w:tcW w:w="8647" w:type="dxa"/>
          </w:tcPr>
          <w:p w14:paraId="1B28E52C" w14:textId="77777777" w:rsidR="000F230D" w:rsidRPr="0001523C" w:rsidRDefault="000F230D" w:rsidP="00EB5088">
            <w:pPr>
              <w:pStyle w:val="-10"/>
              <w:tabs>
                <w:tab w:val="left" w:pos="446"/>
              </w:tabs>
              <w:spacing w:before="40" w:after="40" w:line="240" w:lineRule="auto"/>
              <w:rPr>
                <w:b/>
                <w:bCs/>
                <w:rtl/>
              </w:rPr>
            </w:pPr>
            <w:r w:rsidRPr="0001523C">
              <w:rPr>
                <w:b/>
                <w:bCs/>
                <w:rtl/>
              </w:rPr>
              <w:t>פרטים בדבר שערי מטבע חוץ ומדד המחירים לצרכן:</w:t>
            </w:r>
          </w:p>
        </w:tc>
      </w:tr>
      <w:tr w:rsidR="000F230D" w:rsidRPr="006653C6" w14:paraId="6C25342D" w14:textId="77777777" w:rsidTr="000F230D">
        <w:tc>
          <w:tcPr>
            <w:tcW w:w="1276" w:type="dxa"/>
          </w:tcPr>
          <w:p w14:paraId="2D2A8FA5" w14:textId="77777777" w:rsidR="000F230D" w:rsidRPr="00483FA5" w:rsidRDefault="000F230D">
            <w:pPr>
              <w:rPr>
                <w:rtl/>
              </w:rPr>
            </w:pPr>
          </w:p>
        </w:tc>
        <w:tc>
          <w:tcPr>
            <w:tcW w:w="8647" w:type="dxa"/>
          </w:tcPr>
          <w:p w14:paraId="1C22550A" w14:textId="77777777" w:rsidR="000F230D" w:rsidRPr="0001523C" w:rsidRDefault="000F230D">
            <w:pPr>
              <w:pStyle w:val="-20"/>
              <w:spacing w:before="0" w:line="240" w:lineRule="auto"/>
              <w:ind w:left="0"/>
              <w:rPr>
                <w:rtl/>
              </w:rPr>
            </w:pPr>
            <w:r w:rsidRPr="0001523C">
              <w:rPr>
                <w:rtl/>
              </w:rPr>
              <w:t>להלן פרטים על מדדי המחירים לצרכן</w:t>
            </w:r>
            <w:r w:rsidRPr="0001523C">
              <w:rPr>
                <w:vertAlign w:val="superscript"/>
                <w:rtl/>
              </w:rPr>
              <w:t>[</w:t>
            </w:r>
            <w:r w:rsidRPr="0001523C">
              <w:rPr>
                <w:rStyle w:val="a7"/>
                <w:rtl/>
              </w:rPr>
              <w:footnoteReference w:id="23"/>
            </w:r>
            <w:r w:rsidRPr="0001523C">
              <w:rPr>
                <w:vertAlign w:val="superscript"/>
                <w:rtl/>
              </w:rPr>
              <w:t>]</w:t>
            </w:r>
            <w:r w:rsidRPr="0001523C">
              <w:rPr>
                <w:rtl/>
              </w:rPr>
              <w:t>, שערי החליפין של מטבעות עיקריים ושיעורי השינוי בהם:</w:t>
            </w:r>
          </w:p>
        </w:tc>
      </w:tr>
    </w:tbl>
    <w:p w14:paraId="6A4F907D" w14:textId="77777777" w:rsidR="000B2FAA" w:rsidRPr="0001523C" w:rsidRDefault="000B2FAA">
      <w:pPr>
        <w:rPr>
          <w:sz w:val="2"/>
          <w:szCs w:val="2"/>
          <w:rtl/>
        </w:rPr>
      </w:pPr>
    </w:p>
    <w:tbl>
      <w:tblPr>
        <w:bidiVisual/>
        <w:tblW w:w="4834" w:type="pct"/>
        <w:tblLayout w:type="fixed"/>
        <w:tblCellMar>
          <w:left w:w="57" w:type="dxa"/>
          <w:right w:w="57" w:type="dxa"/>
        </w:tblCellMar>
        <w:tblLook w:val="01E0" w:firstRow="1" w:lastRow="1" w:firstColumn="1" w:lastColumn="1" w:noHBand="0" w:noVBand="0"/>
      </w:tblPr>
      <w:tblGrid>
        <w:gridCol w:w="1361"/>
        <w:gridCol w:w="5866"/>
        <w:gridCol w:w="840"/>
        <w:gridCol w:w="817"/>
        <w:gridCol w:w="984"/>
      </w:tblGrid>
      <w:tr w:rsidR="002C4D78" w:rsidRPr="006653C6" w14:paraId="4331189B" w14:textId="77777777" w:rsidTr="000F230D">
        <w:trPr>
          <w:trHeight w:val="259"/>
        </w:trPr>
        <w:tc>
          <w:tcPr>
            <w:tcW w:w="1361" w:type="dxa"/>
          </w:tcPr>
          <w:p w14:paraId="09670C37" w14:textId="77777777" w:rsidR="002C4D78" w:rsidRPr="0001523C" w:rsidRDefault="002C4D78">
            <w:pPr>
              <w:pStyle w:val="-0"/>
              <w:spacing w:line="216" w:lineRule="auto"/>
              <w:ind w:left="0" w:firstLine="0"/>
              <w:jc w:val="center"/>
            </w:pPr>
          </w:p>
        </w:tc>
        <w:tc>
          <w:tcPr>
            <w:tcW w:w="5867" w:type="dxa"/>
            <w:vAlign w:val="bottom"/>
          </w:tcPr>
          <w:p w14:paraId="78A5E344" w14:textId="77777777" w:rsidR="002C4D78" w:rsidRPr="00EB5088" w:rsidRDefault="002C4D78">
            <w:pPr>
              <w:pStyle w:val="-0"/>
              <w:spacing w:line="216" w:lineRule="auto"/>
              <w:ind w:left="0" w:firstLine="0"/>
              <w:jc w:val="center"/>
              <w:rPr>
                <w:sz w:val="18"/>
                <w:szCs w:val="18"/>
                <w:rtl/>
              </w:rPr>
            </w:pPr>
          </w:p>
        </w:tc>
        <w:tc>
          <w:tcPr>
            <w:tcW w:w="1657" w:type="dxa"/>
            <w:gridSpan w:val="2"/>
            <w:vAlign w:val="bottom"/>
          </w:tcPr>
          <w:p w14:paraId="0F0C9F4B" w14:textId="77777777" w:rsidR="002C4D78" w:rsidRPr="00EB5088" w:rsidRDefault="002C4D78">
            <w:pPr>
              <w:pStyle w:val="-4"/>
              <w:spacing w:line="216" w:lineRule="auto"/>
              <w:rPr>
                <w:sz w:val="19"/>
                <w:szCs w:val="19"/>
                <w:rtl/>
              </w:rPr>
            </w:pPr>
            <w:r w:rsidRPr="00EB5088">
              <w:rPr>
                <w:rFonts w:hint="eastAsia"/>
                <w:sz w:val="19"/>
                <w:szCs w:val="19"/>
                <w:rtl/>
              </w:rPr>
              <w:t>ליום</w:t>
            </w:r>
            <w:r w:rsidRPr="00EB5088">
              <w:rPr>
                <w:sz w:val="19"/>
                <w:szCs w:val="19"/>
                <w:rtl/>
              </w:rPr>
              <w:t xml:space="preserve"> 30 </w:t>
            </w:r>
            <w:r w:rsidRPr="00EB5088">
              <w:rPr>
                <w:rFonts w:hint="eastAsia"/>
                <w:sz w:val="19"/>
                <w:szCs w:val="19"/>
                <w:rtl/>
              </w:rPr>
              <w:t>ביוני</w:t>
            </w:r>
          </w:p>
        </w:tc>
        <w:tc>
          <w:tcPr>
            <w:tcW w:w="984" w:type="dxa"/>
            <w:vAlign w:val="bottom"/>
          </w:tcPr>
          <w:p w14:paraId="7247AFD3" w14:textId="77777777" w:rsidR="002C4D78" w:rsidRPr="00EB5088" w:rsidRDefault="002C4D78">
            <w:pPr>
              <w:pStyle w:val="-4"/>
              <w:spacing w:line="216" w:lineRule="auto"/>
              <w:rPr>
                <w:sz w:val="19"/>
                <w:szCs w:val="19"/>
                <w:rtl/>
              </w:rPr>
            </w:pPr>
            <w:r w:rsidRPr="00EB5088">
              <w:rPr>
                <w:rFonts w:hint="eastAsia"/>
                <w:sz w:val="19"/>
                <w:szCs w:val="19"/>
                <w:rtl/>
              </w:rPr>
              <w:t>ליום</w:t>
            </w:r>
            <w:r w:rsidRPr="00EB5088">
              <w:rPr>
                <w:sz w:val="19"/>
                <w:szCs w:val="19"/>
                <w:rtl/>
              </w:rPr>
              <w:t xml:space="preserve"> 31 </w:t>
            </w:r>
            <w:r w:rsidRPr="00EB5088">
              <w:rPr>
                <w:rFonts w:hint="eastAsia"/>
                <w:sz w:val="19"/>
                <w:szCs w:val="19"/>
                <w:rtl/>
              </w:rPr>
              <w:t>בדצמבר</w:t>
            </w:r>
          </w:p>
        </w:tc>
      </w:tr>
      <w:tr w:rsidR="002C4D78" w:rsidRPr="006653C6" w14:paraId="3262B6BF" w14:textId="77777777" w:rsidTr="000F230D">
        <w:trPr>
          <w:trHeight w:val="259"/>
        </w:trPr>
        <w:tc>
          <w:tcPr>
            <w:tcW w:w="1361" w:type="dxa"/>
          </w:tcPr>
          <w:p w14:paraId="4D89BBF6" w14:textId="77777777" w:rsidR="002C4D78" w:rsidRPr="0001523C" w:rsidRDefault="002C4D78">
            <w:pPr>
              <w:pStyle w:val="-0"/>
              <w:spacing w:line="216" w:lineRule="auto"/>
              <w:ind w:left="0" w:firstLine="0"/>
              <w:jc w:val="center"/>
            </w:pPr>
          </w:p>
        </w:tc>
        <w:tc>
          <w:tcPr>
            <w:tcW w:w="5867" w:type="dxa"/>
            <w:vAlign w:val="bottom"/>
          </w:tcPr>
          <w:p w14:paraId="75AE8C53" w14:textId="77777777" w:rsidR="002C4D78" w:rsidRPr="00EB5088" w:rsidRDefault="002C4D78">
            <w:pPr>
              <w:pStyle w:val="-0"/>
              <w:spacing w:line="216" w:lineRule="auto"/>
              <w:ind w:left="0" w:firstLine="0"/>
              <w:jc w:val="center"/>
              <w:rPr>
                <w:sz w:val="18"/>
                <w:szCs w:val="18"/>
              </w:rPr>
            </w:pPr>
          </w:p>
        </w:tc>
        <w:tc>
          <w:tcPr>
            <w:tcW w:w="840" w:type="dxa"/>
            <w:vAlign w:val="bottom"/>
          </w:tcPr>
          <w:p w14:paraId="444A3C8B" w14:textId="5545CE1D" w:rsidR="002C4D78" w:rsidRPr="00EB5088" w:rsidRDefault="002C4D78" w:rsidP="00FF27C2">
            <w:pPr>
              <w:pStyle w:val="-4"/>
              <w:spacing w:line="216" w:lineRule="auto"/>
              <w:rPr>
                <w:sz w:val="19"/>
                <w:szCs w:val="19"/>
                <w:rtl/>
              </w:rPr>
            </w:pPr>
            <w:r w:rsidRPr="00EB5088">
              <w:rPr>
                <w:sz w:val="19"/>
                <w:szCs w:val="19"/>
                <w:rtl/>
              </w:rPr>
              <w:fldChar w:fldCharType="begin"/>
            </w:r>
            <w:r w:rsidRPr="00EB5088">
              <w:rPr>
                <w:sz w:val="19"/>
                <w:szCs w:val="19"/>
                <w:rtl/>
              </w:rPr>
              <w:instrText xml:space="preserve"> = </w:instrText>
            </w:r>
            <w:r w:rsidRPr="00EB5088">
              <w:rPr>
                <w:sz w:val="19"/>
                <w:szCs w:val="19"/>
              </w:rPr>
              <w:instrText>CY \* MERGEFORMAT</w:instrText>
            </w:r>
            <w:r w:rsidRPr="00EB5088">
              <w:rPr>
                <w:sz w:val="19"/>
                <w:szCs w:val="19"/>
                <w:rtl/>
              </w:rPr>
              <w:instrText xml:space="preserve"> </w:instrText>
            </w:r>
            <w:r w:rsidRPr="00EB5088">
              <w:rPr>
                <w:sz w:val="19"/>
                <w:szCs w:val="19"/>
                <w:rtl/>
              </w:rPr>
              <w:fldChar w:fldCharType="separate"/>
            </w:r>
            <w:r>
              <w:rPr>
                <w:noProof/>
                <w:sz w:val="19"/>
                <w:szCs w:val="19"/>
                <w:rtl/>
              </w:rPr>
              <w:t>2024</w:t>
            </w:r>
            <w:r w:rsidRPr="00EB5088">
              <w:rPr>
                <w:sz w:val="19"/>
                <w:szCs w:val="19"/>
                <w:rtl/>
              </w:rPr>
              <w:fldChar w:fldCharType="end"/>
            </w:r>
          </w:p>
        </w:tc>
        <w:tc>
          <w:tcPr>
            <w:tcW w:w="817" w:type="dxa"/>
            <w:vAlign w:val="bottom"/>
          </w:tcPr>
          <w:p w14:paraId="6F018C04" w14:textId="2BA86830" w:rsidR="002C4D78" w:rsidRPr="00EB5088" w:rsidRDefault="002C4D78" w:rsidP="00FF27C2">
            <w:pPr>
              <w:pStyle w:val="-4"/>
              <w:spacing w:line="216" w:lineRule="auto"/>
              <w:rPr>
                <w:sz w:val="19"/>
                <w:szCs w:val="19"/>
                <w:rtl/>
              </w:rPr>
            </w:pPr>
            <w:r w:rsidRPr="00EB5088">
              <w:rPr>
                <w:sz w:val="19"/>
                <w:szCs w:val="19"/>
                <w:rtl/>
              </w:rPr>
              <w:fldChar w:fldCharType="begin"/>
            </w:r>
            <w:r w:rsidRPr="00EB5088">
              <w:rPr>
                <w:sz w:val="19"/>
                <w:szCs w:val="19"/>
                <w:rtl/>
              </w:rPr>
              <w:instrText xml:space="preserve"> = </w:instrText>
            </w:r>
            <w:r w:rsidRPr="00EB5088">
              <w:rPr>
                <w:sz w:val="19"/>
                <w:szCs w:val="19"/>
              </w:rPr>
              <w:instrText>CY-1 \* MERGEFORMAT</w:instrText>
            </w:r>
            <w:r w:rsidRPr="00EB5088">
              <w:rPr>
                <w:sz w:val="19"/>
                <w:szCs w:val="19"/>
                <w:rtl/>
              </w:rPr>
              <w:instrText xml:space="preserve"> </w:instrText>
            </w:r>
            <w:r w:rsidRPr="00EB5088">
              <w:rPr>
                <w:sz w:val="19"/>
                <w:szCs w:val="19"/>
                <w:rtl/>
              </w:rPr>
              <w:fldChar w:fldCharType="separate"/>
            </w:r>
            <w:r>
              <w:rPr>
                <w:noProof/>
                <w:sz w:val="19"/>
                <w:szCs w:val="19"/>
                <w:rtl/>
              </w:rPr>
              <w:t>2023</w:t>
            </w:r>
            <w:r w:rsidRPr="00EB5088">
              <w:rPr>
                <w:sz w:val="19"/>
                <w:szCs w:val="19"/>
                <w:rtl/>
              </w:rPr>
              <w:fldChar w:fldCharType="end"/>
            </w:r>
          </w:p>
        </w:tc>
        <w:tc>
          <w:tcPr>
            <w:tcW w:w="984" w:type="dxa"/>
            <w:vAlign w:val="bottom"/>
          </w:tcPr>
          <w:p w14:paraId="29656865" w14:textId="1D09333B" w:rsidR="002C4D78" w:rsidRPr="00EB5088" w:rsidRDefault="002C4D78" w:rsidP="00302CE5">
            <w:pPr>
              <w:pStyle w:val="-4"/>
              <w:spacing w:line="216" w:lineRule="auto"/>
              <w:rPr>
                <w:sz w:val="19"/>
                <w:szCs w:val="19"/>
                <w:rtl/>
              </w:rPr>
            </w:pPr>
            <w:r w:rsidRPr="00EB5088">
              <w:rPr>
                <w:sz w:val="19"/>
                <w:szCs w:val="19"/>
                <w:rtl/>
              </w:rPr>
              <w:fldChar w:fldCharType="begin"/>
            </w:r>
            <w:r w:rsidRPr="00EB5088">
              <w:rPr>
                <w:sz w:val="19"/>
                <w:szCs w:val="19"/>
                <w:rtl/>
              </w:rPr>
              <w:instrText xml:space="preserve"> = </w:instrText>
            </w:r>
            <w:r w:rsidRPr="00EB5088">
              <w:rPr>
                <w:sz w:val="19"/>
                <w:szCs w:val="19"/>
              </w:rPr>
              <w:instrText>CY-1 \* MERGEFORMAT</w:instrText>
            </w:r>
            <w:r w:rsidRPr="00EB5088">
              <w:rPr>
                <w:sz w:val="19"/>
                <w:szCs w:val="19"/>
                <w:rtl/>
              </w:rPr>
              <w:instrText xml:space="preserve"> </w:instrText>
            </w:r>
            <w:r w:rsidRPr="00EB5088">
              <w:rPr>
                <w:sz w:val="19"/>
                <w:szCs w:val="19"/>
                <w:rtl/>
              </w:rPr>
              <w:fldChar w:fldCharType="separate"/>
            </w:r>
            <w:r>
              <w:rPr>
                <w:noProof/>
                <w:sz w:val="19"/>
                <w:szCs w:val="19"/>
                <w:rtl/>
              </w:rPr>
              <w:t>2023</w:t>
            </w:r>
            <w:r w:rsidRPr="00EB5088">
              <w:rPr>
                <w:sz w:val="19"/>
                <w:szCs w:val="19"/>
                <w:rtl/>
              </w:rPr>
              <w:fldChar w:fldCharType="end"/>
            </w:r>
          </w:p>
        </w:tc>
      </w:tr>
      <w:tr w:rsidR="002C4D78" w:rsidRPr="006653C6" w14:paraId="7DB26499" w14:textId="77777777" w:rsidTr="000F230D">
        <w:trPr>
          <w:trHeight w:val="259"/>
        </w:trPr>
        <w:tc>
          <w:tcPr>
            <w:tcW w:w="1361" w:type="dxa"/>
          </w:tcPr>
          <w:p w14:paraId="10097EE1" w14:textId="77777777" w:rsidR="002C4D78" w:rsidRPr="0001523C" w:rsidRDefault="002C4D78" w:rsidP="00EC7DF0">
            <w:pPr>
              <w:pStyle w:val="-0"/>
              <w:spacing w:line="240" w:lineRule="auto"/>
              <w:ind w:left="0" w:firstLine="0"/>
              <w:rPr>
                <w:rtl/>
              </w:rPr>
            </w:pPr>
          </w:p>
        </w:tc>
        <w:tc>
          <w:tcPr>
            <w:tcW w:w="5867" w:type="dxa"/>
            <w:vAlign w:val="bottom"/>
          </w:tcPr>
          <w:p w14:paraId="78E3ACF2" w14:textId="77777777" w:rsidR="002C4D78" w:rsidRPr="0001523C" w:rsidRDefault="002C4D78" w:rsidP="009A39CF">
            <w:pPr>
              <w:pStyle w:val="-0"/>
              <w:spacing w:line="240" w:lineRule="auto"/>
              <w:ind w:left="364" w:hanging="364"/>
            </w:pPr>
            <w:r w:rsidRPr="0001523C">
              <w:rPr>
                <w:rtl/>
              </w:rPr>
              <w:t>מדד המחירים לצרכן (בנקודות):</w:t>
            </w:r>
          </w:p>
        </w:tc>
        <w:tc>
          <w:tcPr>
            <w:tcW w:w="840" w:type="dxa"/>
            <w:vAlign w:val="bottom"/>
          </w:tcPr>
          <w:p w14:paraId="516EADD5" w14:textId="77777777" w:rsidR="002C4D78" w:rsidRPr="00141F9A" w:rsidRDefault="002C4D78" w:rsidP="000B2FAA">
            <w:pPr>
              <w:pStyle w:val="-3"/>
            </w:pPr>
          </w:p>
        </w:tc>
        <w:tc>
          <w:tcPr>
            <w:tcW w:w="817" w:type="dxa"/>
            <w:vAlign w:val="bottom"/>
          </w:tcPr>
          <w:p w14:paraId="1E0FB034" w14:textId="77777777" w:rsidR="002C4D78" w:rsidRPr="00141F9A" w:rsidRDefault="002C4D78" w:rsidP="000B2FAA">
            <w:pPr>
              <w:pStyle w:val="-3"/>
              <w:rPr>
                <w:rtl/>
              </w:rPr>
            </w:pPr>
          </w:p>
        </w:tc>
        <w:tc>
          <w:tcPr>
            <w:tcW w:w="984" w:type="dxa"/>
            <w:vAlign w:val="bottom"/>
          </w:tcPr>
          <w:p w14:paraId="5AE77CFA" w14:textId="77777777" w:rsidR="002C4D78" w:rsidRPr="0001523C" w:rsidRDefault="002C4D78" w:rsidP="000B2FAA">
            <w:pPr>
              <w:pStyle w:val="-3"/>
              <w:rPr>
                <w:rtl/>
              </w:rPr>
            </w:pPr>
          </w:p>
        </w:tc>
      </w:tr>
      <w:tr w:rsidR="00F105D8" w:rsidRPr="006653C6" w14:paraId="2E279F1F" w14:textId="77777777" w:rsidTr="000F230D">
        <w:trPr>
          <w:trHeight w:val="259"/>
        </w:trPr>
        <w:tc>
          <w:tcPr>
            <w:tcW w:w="1361" w:type="dxa"/>
          </w:tcPr>
          <w:p w14:paraId="3FCA435C" w14:textId="77777777" w:rsidR="00F105D8" w:rsidRPr="0001523C" w:rsidRDefault="00F105D8" w:rsidP="00F105D8">
            <w:pPr>
              <w:pStyle w:val="-0"/>
              <w:spacing w:line="240" w:lineRule="auto"/>
              <w:ind w:left="216" w:firstLine="0"/>
              <w:rPr>
                <w:rtl/>
              </w:rPr>
            </w:pPr>
          </w:p>
        </w:tc>
        <w:tc>
          <w:tcPr>
            <w:tcW w:w="5867" w:type="dxa"/>
            <w:vAlign w:val="bottom"/>
          </w:tcPr>
          <w:p w14:paraId="4BF14865" w14:textId="77777777" w:rsidR="00F105D8" w:rsidRPr="0001523C" w:rsidRDefault="00F105D8" w:rsidP="00F105D8">
            <w:pPr>
              <w:pStyle w:val="-0"/>
              <w:spacing w:line="240" w:lineRule="auto"/>
              <w:ind w:left="506" w:firstLine="0"/>
            </w:pPr>
            <w:r w:rsidRPr="0001523C">
              <w:rPr>
                <w:rFonts w:hint="eastAsia"/>
                <w:rtl/>
              </w:rPr>
              <w:t>לפי</w:t>
            </w:r>
            <w:r w:rsidRPr="0001523C">
              <w:rPr>
                <w:rtl/>
              </w:rPr>
              <w:t xml:space="preserve"> </w:t>
            </w:r>
            <w:r w:rsidRPr="0001523C">
              <w:rPr>
                <w:rFonts w:hint="eastAsia"/>
                <w:rtl/>
              </w:rPr>
              <w:t>מדד</w:t>
            </w:r>
            <w:r w:rsidRPr="0001523C">
              <w:rPr>
                <w:rtl/>
              </w:rPr>
              <w:t xml:space="preserve"> </w:t>
            </w:r>
            <w:r w:rsidRPr="0001523C">
              <w:rPr>
                <w:rFonts w:hint="eastAsia"/>
                <w:rtl/>
              </w:rPr>
              <w:t>בגין</w:t>
            </w:r>
          </w:p>
        </w:tc>
        <w:tc>
          <w:tcPr>
            <w:tcW w:w="840" w:type="dxa"/>
            <w:vAlign w:val="bottom"/>
          </w:tcPr>
          <w:p w14:paraId="027320CA" w14:textId="41BDA7D7" w:rsidR="00F105D8" w:rsidRPr="00141F9A" w:rsidRDefault="00F105D8" w:rsidP="00F105D8">
            <w:pPr>
              <w:pStyle w:val="-3"/>
            </w:pPr>
          </w:p>
        </w:tc>
        <w:tc>
          <w:tcPr>
            <w:tcW w:w="817" w:type="dxa"/>
            <w:shd w:val="clear" w:color="auto" w:fill="auto"/>
          </w:tcPr>
          <w:p w14:paraId="15BD8D8C" w14:textId="60849AC7" w:rsidR="00F105D8" w:rsidRPr="00141F9A" w:rsidRDefault="00F105D8" w:rsidP="00F105D8">
            <w:pPr>
              <w:pStyle w:val="-3"/>
              <w:rPr>
                <w:rtl/>
              </w:rPr>
            </w:pPr>
            <w:r>
              <w:rPr>
                <w:rFonts w:hint="cs"/>
                <w:color w:val="404040"/>
                <w:rtl/>
              </w:rPr>
              <w:t>104.2</w:t>
            </w:r>
          </w:p>
        </w:tc>
        <w:tc>
          <w:tcPr>
            <w:tcW w:w="984" w:type="dxa"/>
          </w:tcPr>
          <w:p w14:paraId="23EBF520" w14:textId="507AC5E6" w:rsidR="00F105D8" w:rsidRPr="0001523C" w:rsidRDefault="00F105D8" w:rsidP="00F105D8">
            <w:pPr>
              <w:pStyle w:val="-3"/>
            </w:pPr>
            <w:r>
              <w:rPr>
                <w:rFonts w:asciiTheme="minorBidi" w:hAnsiTheme="minorBidi" w:cstheme="minorBidi" w:hint="cs"/>
                <w:rtl/>
              </w:rPr>
              <w:t>105.0</w:t>
            </w:r>
          </w:p>
        </w:tc>
      </w:tr>
      <w:tr w:rsidR="00F105D8" w:rsidRPr="006653C6" w14:paraId="6E0F5BB3" w14:textId="77777777" w:rsidTr="000F230D">
        <w:trPr>
          <w:trHeight w:val="259"/>
        </w:trPr>
        <w:tc>
          <w:tcPr>
            <w:tcW w:w="1361" w:type="dxa"/>
          </w:tcPr>
          <w:p w14:paraId="41104194" w14:textId="77777777" w:rsidR="00F105D8" w:rsidRPr="0001523C" w:rsidRDefault="00F105D8" w:rsidP="00F105D8">
            <w:pPr>
              <w:pStyle w:val="-0"/>
              <w:spacing w:line="240" w:lineRule="auto"/>
              <w:ind w:left="216" w:firstLine="0"/>
              <w:rPr>
                <w:rtl/>
              </w:rPr>
            </w:pPr>
          </w:p>
        </w:tc>
        <w:tc>
          <w:tcPr>
            <w:tcW w:w="5867" w:type="dxa"/>
            <w:vAlign w:val="bottom"/>
          </w:tcPr>
          <w:p w14:paraId="3BDEC00E" w14:textId="77777777" w:rsidR="00F105D8" w:rsidRPr="0001523C" w:rsidRDefault="00F105D8" w:rsidP="00F105D8">
            <w:pPr>
              <w:pStyle w:val="-0"/>
              <w:spacing w:line="240" w:lineRule="auto"/>
              <w:ind w:left="506" w:firstLine="0"/>
            </w:pPr>
            <w:r w:rsidRPr="0001523C">
              <w:rPr>
                <w:rFonts w:hint="eastAsia"/>
                <w:rtl/>
              </w:rPr>
              <w:t>לפי</w:t>
            </w:r>
            <w:r w:rsidRPr="0001523C">
              <w:rPr>
                <w:rtl/>
              </w:rPr>
              <w:t xml:space="preserve"> </w:t>
            </w:r>
            <w:r w:rsidRPr="0001523C">
              <w:rPr>
                <w:rFonts w:hint="eastAsia"/>
                <w:rtl/>
              </w:rPr>
              <w:t>מדד</w:t>
            </w:r>
            <w:r w:rsidRPr="0001523C">
              <w:rPr>
                <w:rtl/>
              </w:rPr>
              <w:t xml:space="preserve"> </w:t>
            </w:r>
            <w:r w:rsidRPr="0001523C">
              <w:rPr>
                <w:rFonts w:hint="eastAsia"/>
                <w:rtl/>
              </w:rPr>
              <w:t>ידוע</w:t>
            </w:r>
          </w:p>
        </w:tc>
        <w:tc>
          <w:tcPr>
            <w:tcW w:w="840" w:type="dxa"/>
            <w:vAlign w:val="bottom"/>
          </w:tcPr>
          <w:p w14:paraId="6B7AA4B0" w14:textId="77777777" w:rsidR="00F105D8" w:rsidRPr="00141F9A" w:rsidRDefault="00F105D8" w:rsidP="00F105D8">
            <w:pPr>
              <w:pStyle w:val="-3"/>
            </w:pPr>
          </w:p>
        </w:tc>
        <w:tc>
          <w:tcPr>
            <w:tcW w:w="817" w:type="dxa"/>
          </w:tcPr>
          <w:p w14:paraId="5B0CD857" w14:textId="64E05964" w:rsidR="00F105D8" w:rsidRPr="00141F9A" w:rsidRDefault="00F105D8" w:rsidP="00F105D8">
            <w:pPr>
              <w:pStyle w:val="-3"/>
            </w:pPr>
            <w:r>
              <w:rPr>
                <w:rFonts w:hint="cs"/>
                <w:color w:val="404040"/>
                <w:rtl/>
              </w:rPr>
              <w:t>104.2</w:t>
            </w:r>
          </w:p>
        </w:tc>
        <w:tc>
          <w:tcPr>
            <w:tcW w:w="984" w:type="dxa"/>
          </w:tcPr>
          <w:p w14:paraId="16D46ABC" w14:textId="520538E5" w:rsidR="00F105D8" w:rsidRPr="0001523C" w:rsidRDefault="00F105D8" w:rsidP="00F105D8">
            <w:pPr>
              <w:pStyle w:val="-3"/>
            </w:pPr>
            <w:r>
              <w:rPr>
                <w:rFonts w:asciiTheme="minorBidi" w:hAnsiTheme="minorBidi" w:cstheme="minorBidi" w:hint="cs"/>
                <w:rtl/>
              </w:rPr>
              <w:t>105.1</w:t>
            </w:r>
          </w:p>
        </w:tc>
      </w:tr>
      <w:tr w:rsidR="002C4D78" w:rsidRPr="006653C6" w14:paraId="41CFD8C9" w14:textId="77777777" w:rsidTr="000F230D">
        <w:trPr>
          <w:trHeight w:val="259"/>
        </w:trPr>
        <w:tc>
          <w:tcPr>
            <w:tcW w:w="1361" w:type="dxa"/>
          </w:tcPr>
          <w:p w14:paraId="5E3DE513" w14:textId="77777777" w:rsidR="002C4D78" w:rsidRPr="0001523C" w:rsidRDefault="002C4D78" w:rsidP="00FF04B3">
            <w:pPr>
              <w:pStyle w:val="-0"/>
              <w:spacing w:before="120" w:line="240" w:lineRule="auto"/>
              <w:ind w:left="0" w:firstLine="0"/>
              <w:rPr>
                <w:rtl/>
              </w:rPr>
            </w:pPr>
          </w:p>
        </w:tc>
        <w:tc>
          <w:tcPr>
            <w:tcW w:w="5867" w:type="dxa"/>
            <w:vAlign w:val="bottom"/>
          </w:tcPr>
          <w:p w14:paraId="53EC53EA" w14:textId="77777777" w:rsidR="002C4D78" w:rsidRPr="0001523C" w:rsidRDefault="002C4D78" w:rsidP="00FF04B3">
            <w:pPr>
              <w:pStyle w:val="-0"/>
              <w:spacing w:before="120" w:line="240" w:lineRule="auto"/>
              <w:ind w:left="0" w:firstLine="0"/>
            </w:pPr>
            <w:r w:rsidRPr="0001523C">
              <w:rPr>
                <w:rFonts w:hint="eastAsia"/>
                <w:rtl/>
              </w:rPr>
              <w:t>שער</w:t>
            </w:r>
            <w:r w:rsidRPr="0001523C">
              <w:rPr>
                <w:rtl/>
              </w:rPr>
              <w:t xml:space="preserve"> </w:t>
            </w:r>
            <w:r w:rsidRPr="0001523C">
              <w:rPr>
                <w:rFonts w:hint="eastAsia"/>
                <w:rtl/>
              </w:rPr>
              <w:t>החליפין</w:t>
            </w:r>
            <w:r w:rsidRPr="0001523C">
              <w:rPr>
                <w:rtl/>
              </w:rPr>
              <w:t xml:space="preserve"> </w:t>
            </w:r>
            <w:r w:rsidRPr="0001523C">
              <w:rPr>
                <w:rFonts w:hint="eastAsia"/>
                <w:rtl/>
              </w:rPr>
              <w:t>היציג</w:t>
            </w:r>
            <w:r w:rsidRPr="0001523C">
              <w:rPr>
                <w:rtl/>
              </w:rPr>
              <w:t xml:space="preserve"> (בש"ח):</w:t>
            </w:r>
          </w:p>
        </w:tc>
        <w:tc>
          <w:tcPr>
            <w:tcW w:w="840" w:type="dxa"/>
            <w:vAlign w:val="bottom"/>
          </w:tcPr>
          <w:p w14:paraId="2C5C105A" w14:textId="77777777" w:rsidR="002C4D78" w:rsidRPr="00141F9A" w:rsidRDefault="002C4D78" w:rsidP="00FF04B3">
            <w:pPr>
              <w:pStyle w:val="-3"/>
              <w:spacing w:before="120"/>
            </w:pPr>
          </w:p>
        </w:tc>
        <w:tc>
          <w:tcPr>
            <w:tcW w:w="817" w:type="dxa"/>
            <w:vAlign w:val="bottom"/>
          </w:tcPr>
          <w:p w14:paraId="62EC0617" w14:textId="77777777" w:rsidR="002C4D78" w:rsidRPr="00141F9A" w:rsidRDefault="002C4D78" w:rsidP="00FF04B3">
            <w:pPr>
              <w:pStyle w:val="-3"/>
              <w:spacing w:before="120"/>
              <w:rPr>
                <w:rtl/>
              </w:rPr>
            </w:pPr>
          </w:p>
        </w:tc>
        <w:tc>
          <w:tcPr>
            <w:tcW w:w="984" w:type="dxa"/>
            <w:vAlign w:val="bottom"/>
          </w:tcPr>
          <w:p w14:paraId="13B27F71" w14:textId="77777777" w:rsidR="002C4D78" w:rsidRPr="0001523C" w:rsidRDefault="002C4D78" w:rsidP="00FF04B3">
            <w:pPr>
              <w:pStyle w:val="-3"/>
              <w:spacing w:before="120"/>
              <w:rPr>
                <w:rtl/>
              </w:rPr>
            </w:pPr>
          </w:p>
        </w:tc>
      </w:tr>
      <w:tr w:rsidR="00F105D8" w:rsidRPr="00F105D8" w14:paraId="1B2CA3B8" w14:textId="77777777" w:rsidTr="000F230D">
        <w:trPr>
          <w:trHeight w:val="259"/>
        </w:trPr>
        <w:tc>
          <w:tcPr>
            <w:tcW w:w="1361" w:type="dxa"/>
          </w:tcPr>
          <w:p w14:paraId="5DBC5C7A" w14:textId="77777777" w:rsidR="00F105D8" w:rsidRPr="0001523C" w:rsidRDefault="00F105D8" w:rsidP="00F105D8">
            <w:pPr>
              <w:pStyle w:val="-0"/>
              <w:spacing w:line="240" w:lineRule="auto"/>
              <w:ind w:left="0" w:firstLine="0"/>
              <w:rPr>
                <w:rtl/>
              </w:rPr>
            </w:pPr>
          </w:p>
        </w:tc>
        <w:tc>
          <w:tcPr>
            <w:tcW w:w="5867" w:type="dxa"/>
            <w:vAlign w:val="bottom"/>
          </w:tcPr>
          <w:p w14:paraId="636F1359" w14:textId="77777777" w:rsidR="00F105D8" w:rsidRPr="00F105D8" w:rsidRDefault="00F105D8" w:rsidP="00F105D8">
            <w:pPr>
              <w:pStyle w:val="-0"/>
              <w:spacing w:line="240" w:lineRule="auto"/>
              <w:ind w:left="283" w:firstLine="0"/>
            </w:pPr>
            <w:r w:rsidRPr="00F105D8">
              <w:rPr>
                <w:rtl/>
              </w:rPr>
              <w:t>דולר של ארה"ב (בש"ח ל-1 דולר)</w:t>
            </w:r>
          </w:p>
        </w:tc>
        <w:tc>
          <w:tcPr>
            <w:tcW w:w="840" w:type="dxa"/>
            <w:vAlign w:val="bottom"/>
          </w:tcPr>
          <w:p w14:paraId="374618BF" w14:textId="77777777" w:rsidR="00F105D8" w:rsidRPr="00F105D8" w:rsidRDefault="00F105D8" w:rsidP="00F105D8">
            <w:pPr>
              <w:pStyle w:val="-3"/>
            </w:pPr>
          </w:p>
        </w:tc>
        <w:tc>
          <w:tcPr>
            <w:tcW w:w="817" w:type="dxa"/>
            <w:vAlign w:val="bottom"/>
          </w:tcPr>
          <w:p w14:paraId="173021F1" w14:textId="74FC612B" w:rsidR="00F105D8" w:rsidRPr="00F105D8" w:rsidRDefault="00F105D8" w:rsidP="00F105D8">
            <w:pPr>
              <w:pStyle w:val="-3"/>
            </w:pPr>
            <w:r w:rsidRPr="00F105D8">
              <w:rPr>
                <w:rFonts w:hint="cs"/>
                <w:color w:val="404040"/>
                <w:rtl/>
              </w:rPr>
              <w:t>3.7000</w:t>
            </w:r>
          </w:p>
        </w:tc>
        <w:tc>
          <w:tcPr>
            <w:tcW w:w="984" w:type="dxa"/>
            <w:vAlign w:val="bottom"/>
          </w:tcPr>
          <w:p w14:paraId="2C92EA20" w14:textId="3BA1B253" w:rsidR="00F105D8" w:rsidRPr="00F105D8" w:rsidRDefault="00F105D8" w:rsidP="00F105D8">
            <w:pPr>
              <w:pStyle w:val="-3"/>
            </w:pPr>
            <w:r w:rsidRPr="00F105D8">
              <w:rPr>
                <w:rFonts w:asciiTheme="minorBidi" w:hAnsiTheme="minorBidi" w:cstheme="minorBidi" w:hint="cs"/>
                <w:rtl/>
              </w:rPr>
              <w:t>3.6270</w:t>
            </w:r>
          </w:p>
        </w:tc>
      </w:tr>
      <w:tr w:rsidR="00F105D8" w:rsidRPr="00F105D8" w14:paraId="7DB7DD02" w14:textId="77777777" w:rsidTr="000F230D">
        <w:trPr>
          <w:trHeight w:val="259"/>
        </w:trPr>
        <w:tc>
          <w:tcPr>
            <w:tcW w:w="1361" w:type="dxa"/>
          </w:tcPr>
          <w:p w14:paraId="1A91985F" w14:textId="77777777" w:rsidR="00F105D8" w:rsidRPr="00F105D8" w:rsidRDefault="00F105D8" w:rsidP="00F105D8">
            <w:pPr>
              <w:pStyle w:val="-0"/>
              <w:spacing w:line="240" w:lineRule="auto"/>
              <w:ind w:left="0" w:firstLine="0"/>
              <w:rPr>
                <w:rtl/>
              </w:rPr>
            </w:pPr>
          </w:p>
        </w:tc>
        <w:tc>
          <w:tcPr>
            <w:tcW w:w="5867" w:type="dxa"/>
            <w:vAlign w:val="bottom"/>
          </w:tcPr>
          <w:p w14:paraId="370ECEC9" w14:textId="77777777" w:rsidR="00F105D8" w:rsidRPr="00F105D8" w:rsidRDefault="00F105D8" w:rsidP="00F105D8">
            <w:pPr>
              <w:pStyle w:val="-0"/>
              <w:spacing w:line="240" w:lineRule="auto"/>
              <w:ind w:left="283" w:firstLine="0"/>
            </w:pPr>
            <w:r w:rsidRPr="00F105D8">
              <w:rPr>
                <w:rtl/>
              </w:rPr>
              <w:t>לירה שטרלינג (בש"ח ל-1 לי</w:t>
            </w:r>
            <w:r w:rsidRPr="00F105D8">
              <w:rPr>
                <w:rFonts w:hint="eastAsia"/>
                <w:rtl/>
              </w:rPr>
              <w:t>ש</w:t>
            </w:r>
            <w:r w:rsidRPr="00F105D8">
              <w:rPr>
                <w:rtl/>
              </w:rPr>
              <w:t>"</w:t>
            </w:r>
            <w:r w:rsidRPr="00F105D8">
              <w:rPr>
                <w:rFonts w:hint="eastAsia"/>
                <w:rtl/>
              </w:rPr>
              <w:t>ט</w:t>
            </w:r>
            <w:r w:rsidRPr="00F105D8">
              <w:rPr>
                <w:rtl/>
              </w:rPr>
              <w:t>)</w:t>
            </w:r>
          </w:p>
        </w:tc>
        <w:tc>
          <w:tcPr>
            <w:tcW w:w="840" w:type="dxa"/>
            <w:vAlign w:val="bottom"/>
          </w:tcPr>
          <w:p w14:paraId="4E1FD766" w14:textId="77777777" w:rsidR="00F105D8" w:rsidRPr="00F105D8" w:rsidRDefault="00F105D8" w:rsidP="00F105D8">
            <w:pPr>
              <w:pStyle w:val="-3"/>
            </w:pPr>
          </w:p>
        </w:tc>
        <w:tc>
          <w:tcPr>
            <w:tcW w:w="817" w:type="dxa"/>
            <w:vAlign w:val="bottom"/>
          </w:tcPr>
          <w:p w14:paraId="369750DA" w14:textId="5FED303A" w:rsidR="00F105D8" w:rsidRPr="00F105D8" w:rsidRDefault="00F105D8" w:rsidP="00F105D8">
            <w:pPr>
              <w:pStyle w:val="-3"/>
            </w:pPr>
            <w:r w:rsidRPr="00F105D8">
              <w:rPr>
                <w:color w:val="404040"/>
                <w:rtl/>
              </w:rPr>
              <w:t>4.6707</w:t>
            </w:r>
          </w:p>
        </w:tc>
        <w:tc>
          <w:tcPr>
            <w:tcW w:w="984" w:type="dxa"/>
            <w:vAlign w:val="bottom"/>
          </w:tcPr>
          <w:p w14:paraId="66058B24" w14:textId="32E7FC58" w:rsidR="00F105D8" w:rsidRPr="00F105D8" w:rsidRDefault="00F105D8" w:rsidP="00F105D8">
            <w:pPr>
              <w:pStyle w:val="-3"/>
            </w:pPr>
            <w:r w:rsidRPr="00F105D8">
              <w:rPr>
                <w:rFonts w:asciiTheme="minorBidi" w:hAnsiTheme="minorBidi" w:cstheme="minorBidi" w:hint="cs"/>
                <w:rtl/>
              </w:rPr>
              <w:t>4.6209</w:t>
            </w:r>
          </w:p>
        </w:tc>
      </w:tr>
      <w:tr w:rsidR="00F105D8" w:rsidRPr="00F105D8" w14:paraId="6CEDDCAD" w14:textId="77777777" w:rsidTr="000F230D">
        <w:trPr>
          <w:trHeight w:val="259"/>
        </w:trPr>
        <w:tc>
          <w:tcPr>
            <w:tcW w:w="1361" w:type="dxa"/>
          </w:tcPr>
          <w:p w14:paraId="11A69C60" w14:textId="77777777" w:rsidR="00F105D8" w:rsidRPr="00F105D8" w:rsidRDefault="00F105D8" w:rsidP="00F105D8">
            <w:pPr>
              <w:pStyle w:val="-0"/>
              <w:spacing w:line="240" w:lineRule="auto"/>
              <w:ind w:left="0" w:firstLine="0"/>
              <w:rPr>
                <w:rtl/>
              </w:rPr>
            </w:pPr>
          </w:p>
        </w:tc>
        <w:tc>
          <w:tcPr>
            <w:tcW w:w="5867" w:type="dxa"/>
            <w:vAlign w:val="bottom"/>
          </w:tcPr>
          <w:p w14:paraId="3C8D6D36" w14:textId="77777777" w:rsidR="00F105D8" w:rsidRPr="00F105D8" w:rsidRDefault="00F105D8" w:rsidP="00F105D8">
            <w:pPr>
              <w:pStyle w:val="-0"/>
              <w:spacing w:line="240" w:lineRule="auto"/>
              <w:ind w:left="283" w:firstLine="0"/>
            </w:pPr>
            <w:r w:rsidRPr="00F105D8">
              <w:rPr>
                <w:rtl/>
              </w:rPr>
              <w:t>אירו (בש"ח ל-1 אירו)</w:t>
            </w:r>
          </w:p>
        </w:tc>
        <w:tc>
          <w:tcPr>
            <w:tcW w:w="840" w:type="dxa"/>
            <w:vAlign w:val="bottom"/>
          </w:tcPr>
          <w:p w14:paraId="18A37494" w14:textId="77777777" w:rsidR="00F105D8" w:rsidRPr="00F105D8" w:rsidRDefault="00F105D8" w:rsidP="00F105D8">
            <w:pPr>
              <w:pStyle w:val="-3"/>
            </w:pPr>
          </w:p>
        </w:tc>
        <w:tc>
          <w:tcPr>
            <w:tcW w:w="817" w:type="dxa"/>
            <w:vAlign w:val="bottom"/>
          </w:tcPr>
          <w:p w14:paraId="51BC21F0" w14:textId="64151833" w:rsidR="00F105D8" w:rsidRPr="00F105D8" w:rsidRDefault="00F105D8" w:rsidP="00F105D8">
            <w:pPr>
              <w:pStyle w:val="-3"/>
            </w:pPr>
            <w:r w:rsidRPr="00F105D8">
              <w:rPr>
                <w:color w:val="404040"/>
                <w:rtl/>
              </w:rPr>
              <w:t>4.0185</w:t>
            </w:r>
          </w:p>
        </w:tc>
        <w:tc>
          <w:tcPr>
            <w:tcW w:w="984" w:type="dxa"/>
            <w:vAlign w:val="bottom"/>
          </w:tcPr>
          <w:p w14:paraId="396EDBAA" w14:textId="12BD7126" w:rsidR="00F105D8" w:rsidRPr="00F105D8" w:rsidRDefault="00F105D8" w:rsidP="00F105D8">
            <w:pPr>
              <w:pStyle w:val="-3"/>
            </w:pPr>
            <w:r w:rsidRPr="00F105D8">
              <w:rPr>
                <w:rFonts w:asciiTheme="minorBidi" w:hAnsiTheme="minorBidi" w:cstheme="minorBidi" w:hint="cs"/>
                <w:rtl/>
              </w:rPr>
              <w:t>4.0116</w:t>
            </w:r>
          </w:p>
        </w:tc>
      </w:tr>
    </w:tbl>
    <w:p w14:paraId="7C37C378" w14:textId="77777777" w:rsidR="0069005F" w:rsidRPr="00F105D8" w:rsidRDefault="0069005F"/>
    <w:tbl>
      <w:tblPr>
        <w:bidiVisual/>
        <w:tblW w:w="4878" w:type="pct"/>
        <w:tblLayout w:type="fixed"/>
        <w:tblCellMar>
          <w:left w:w="57" w:type="dxa"/>
          <w:right w:w="57" w:type="dxa"/>
        </w:tblCellMar>
        <w:tblLook w:val="01E0" w:firstRow="1" w:lastRow="1" w:firstColumn="1" w:lastColumn="1" w:noHBand="0" w:noVBand="0"/>
      </w:tblPr>
      <w:tblGrid>
        <w:gridCol w:w="1361"/>
        <w:gridCol w:w="3635"/>
        <w:gridCol w:w="709"/>
        <w:gridCol w:w="851"/>
        <w:gridCol w:w="850"/>
        <w:gridCol w:w="992"/>
        <w:gridCol w:w="1560"/>
      </w:tblGrid>
      <w:tr w:rsidR="002C4D78" w:rsidRPr="00F105D8" w14:paraId="285CA5EE" w14:textId="77777777" w:rsidTr="000F230D">
        <w:trPr>
          <w:trHeight w:val="122"/>
        </w:trPr>
        <w:tc>
          <w:tcPr>
            <w:tcW w:w="1361" w:type="dxa"/>
            <w:vAlign w:val="bottom"/>
          </w:tcPr>
          <w:p w14:paraId="0252BEB8" w14:textId="77777777" w:rsidR="002C4D78" w:rsidRPr="00F105D8" w:rsidRDefault="002C4D78">
            <w:pPr>
              <w:pStyle w:val="-0"/>
              <w:spacing w:line="216" w:lineRule="auto"/>
              <w:ind w:left="0" w:firstLine="0"/>
              <w:jc w:val="center"/>
            </w:pPr>
          </w:p>
        </w:tc>
        <w:tc>
          <w:tcPr>
            <w:tcW w:w="3635" w:type="dxa"/>
            <w:vAlign w:val="bottom"/>
          </w:tcPr>
          <w:p w14:paraId="1EFCB039" w14:textId="77777777" w:rsidR="002C4D78" w:rsidRPr="00F105D8" w:rsidRDefault="002C4D78">
            <w:pPr>
              <w:pStyle w:val="-0"/>
              <w:spacing w:line="216" w:lineRule="auto"/>
              <w:ind w:left="893" w:firstLine="0"/>
              <w:jc w:val="center"/>
            </w:pPr>
          </w:p>
        </w:tc>
        <w:tc>
          <w:tcPr>
            <w:tcW w:w="1560" w:type="dxa"/>
            <w:gridSpan w:val="2"/>
            <w:vAlign w:val="bottom"/>
          </w:tcPr>
          <w:p w14:paraId="5F014423" w14:textId="77777777" w:rsidR="002C4D78" w:rsidRPr="00F105D8" w:rsidRDefault="002C4D78">
            <w:pPr>
              <w:pStyle w:val="-4"/>
              <w:spacing w:line="216" w:lineRule="auto"/>
              <w:rPr>
                <w:sz w:val="19"/>
                <w:szCs w:val="19"/>
                <w:rtl/>
              </w:rPr>
            </w:pPr>
            <w:r w:rsidRPr="00F105D8">
              <w:rPr>
                <w:rFonts w:hint="eastAsia"/>
                <w:sz w:val="19"/>
                <w:szCs w:val="19"/>
                <w:rtl/>
              </w:rPr>
              <w:t>לשישה</w:t>
            </w:r>
            <w:r w:rsidRPr="00F105D8">
              <w:rPr>
                <w:sz w:val="19"/>
                <w:szCs w:val="19"/>
                <w:rtl/>
              </w:rPr>
              <w:t xml:space="preserve"> חודשים </w:t>
            </w:r>
            <w:r w:rsidRPr="00F105D8">
              <w:rPr>
                <w:rFonts w:hint="eastAsia"/>
                <w:sz w:val="19"/>
                <w:szCs w:val="19"/>
                <w:rtl/>
              </w:rPr>
              <w:t>שהסתיימו</w:t>
            </w:r>
            <w:r w:rsidRPr="00F105D8">
              <w:rPr>
                <w:sz w:val="19"/>
                <w:szCs w:val="19"/>
                <w:rtl/>
              </w:rPr>
              <w:t xml:space="preserve"> </w:t>
            </w:r>
            <w:r w:rsidRPr="00F105D8">
              <w:rPr>
                <w:sz w:val="19"/>
                <w:szCs w:val="19"/>
                <w:rtl/>
              </w:rPr>
              <w:br/>
            </w:r>
            <w:r w:rsidRPr="00F105D8">
              <w:rPr>
                <w:rFonts w:hint="eastAsia"/>
                <w:sz w:val="19"/>
                <w:szCs w:val="19"/>
                <w:rtl/>
              </w:rPr>
              <w:t>ביום</w:t>
            </w:r>
            <w:r w:rsidRPr="00F105D8">
              <w:rPr>
                <w:sz w:val="19"/>
                <w:szCs w:val="19"/>
                <w:rtl/>
              </w:rPr>
              <w:t xml:space="preserve"> 30 </w:t>
            </w:r>
            <w:r w:rsidRPr="00F105D8">
              <w:rPr>
                <w:rFonts w:hint="eastAsia"/>
                <w:sz w:val="19"/>
                <w:szCs w:val="19"/>
                <w:rtl/>
              </w:rPr>
              <w:t>ביוני</w:t>
            </w:r>
          </w:p>
        </w:tc>
        <w:tc>
          <w:tcPr>
            <w:tcW w:w="1842" w:type="dxa"/>
            <w:gridSpan w:val="2"/>
            <w:vAlign w:val="bottom"/>
          </w:tcPr>
          <w:p w14:paraId="4E9FCCDA" w14:textId="77777777" w:rsidR="002C4D78" w:rsidRPr="00F105D8" w:rsidRDefault="002C4D78">
            <w:pPr>
              <w:pStyle w:val="-4"/>
              <w:spacing w:line="216" w:lineRule="auto"/>
              <w:rPr>
                <w:sz w:val="19"/>
                <w:szCs w:val="19"/>
                <w:rtl/>
              </w:rPr>
            </w:pPr>
            <w:r w:rsidRPr="00F105D8">
              <w:rPr>
                <w:rFonts w:hint="eastAsia"/>
                <w:sz w:val="19"/>
                <w:szCs w:val="19"/>
                <w:rtl/>
              </w:rPr>
              <w:t>לשלושה</w:t>
            </w:r>
            <w:r w:rsidRPr="00F105D8">
              <w:rPr>
                <w:sz w:val="19"/>
                <w:szCs w:val="19"/>
                <w:rtl/>
              </w:rPr>
              <w:t xml:space="preserve"> </w:t>
            </w:r>
            <w:r w:rsidRPr="00F105D8">
              <w:rPr>
                <w:rFonts w:hint="eastAsia"/>
                <w:sz w:val="19"/>
                <w:szCs w:val="19"/>
                <w:rtl/>
              </w:rPr>
              <w:t>חודשים</w:t>
            </w:r>
            <w:r w:rsidRPr="00F105D8">
              <w:rPr>
                <w:sz w:val="19"/>
                <w:szCs w:val="19"/>
                <w:rtl/>
              </w:rPr>
              <w:t xml:space="preserve"> </w:t>
            </w:r>
            <w:r w:rsidRPr="00F105D8">
              <w:rPr>
                <w:rFonts w:hint="eastAsia"/>
                <w:sz w:val="19"/>
                <w:szCs w:val="19"/>
                <w:rtl/>
              </w:rPr>
              <w:t>שהסתיימו</w:t>
            </w:r>
            <w:r w:rsidRPr="00F105D8">
              <w:rPr>
                <w:sz w:val="19"/>
                <w:szCs w:val="19"/>
                <w:rtl/>
              </w:rPr>
              <w:t xml:space="preserve"> </w:t>
            </w:r>
            <w:r w:rsidRPr="00F105D8">
              <w:rPr>
                <w:sz w:val="19"/>
                <w:szCs w:val="19"/>
                <w:rtl/>
              </w:rPr>
              <w:br/>
            </w:r>
            <w:r w:rsidRPr="00F105D8">
              <w:rPr>
                <w:rFonts w:hint="eastAsia"/>
                <w:sz w:val="19"/>
                <w:szCs w:val="19"/>
                <w:rtl/>
              </w:rPr>
              <w:t>ביום</w:t>
            </w:r>
            <w:r w:rsidRPr="00F105D8">
              <w:rPr>
                <w:sz w:val="19"/>
                <w:szCs w:val="19"/>
                <w:rtl/>
              </w:rPr>
              <w:t xml:space="preserve"> 30 </w:t>
            </w:r>
            <w:r w:rsidRPr="00F105D8">
              <w:rPr>
                <w:rFonts w:hint="eastAsia"/>
                <w:sz w:val="19"/>
                <w:szCs w:val="19"/>
                <w:rtl/>
              </w:rPr>
              <w:t>ביוני</w:t>
            </w:r>
          </w:p>
        </w:tc>
        <w:tc>
          <w:tcPr>
            <w:tcW w:w="1560" w:type="dxa"/>
            <w:vAlign w:val="bottom"/>
          </w:tcPr>
          <w:p w14:paraId="6382B4BD" w14:textId="77777777" w:rsidR="002C4D78" w:rsidRPr="00F105D8" w:rsidRDefault="002C4D78">
            <w:pPr>
              <w:pStyle w:val="-4"/>
              <w:spacing w:line="216" w:lineRule="auto"/>
              <w:rPr>
                <w:sz w:val="19"/>
                <w:szCs w:val="19"/>
                <w:rtl/>
              </w:rPr>
            </w:pPr>
            <w:r w:rsidRPr="00F105D8">
              <w:rPr>
                <w:rFonts w:hint="eastAsia"/>
                <w:sz w:val="19"/>
                <w:szCs w:val="19"/>
                <w:rtl/>
              </w:rPr>
              <w:t>לשנה</w:t>
            </w:r>
            <w:r w:rsidRPr="00F105D8">
              <w:rPr>
                <w:sz w:val="19"/>
                <w:szCs w:val="19"/>
                <w:rtl/>
              </w:rPr>
              <w:t xml:space="preserve"> </w:t>
            </w:r>
            <w:r w:rsidRPr="00F105D8">
              <w:rPr>
                <w:rFonts w:hint="eastAsia"/>
                <w:sz w:val="19"/>
                <w:szCs w:val="19"/>
                <w:rtl/>
              </w:rPr>
              <w:t>שהסתיימה</w:t>
            </w:r>
            <w:r w:rsidRPr="00F105D8">
              <w:rPr>
                <w:sz w:val="19"/>
                <w:szCs w:val="19"/>
                <w:rtl/>
              </w:rPr>
              <w:t xml:space="preserve"> </w:t>
            </w:r>
            <w:r w:rsidRPr="00F105D8">
              <w:rPr>
                <w:rFonts w:hint="eastAsia"/>
                <w:sz w:val="19"/>
                <w:szCs w:val="19"/>
                <w:rtl/>
              </w:rPr>
              <w:t>ביום</w:t>
            </w:r>
            <w:r w:rsidRPr="00F105D8">
              <w:rPr>
                <w:sz w:val="19"/>
                <w:szCs w:val="19"/>
                <w:rtl/>
              </w:rPr>
              <w:t xml:space="preserve"> 31 </w:t>
            </w:r>
            <w:r w:rsidRPr="00F105D8">
              <w:rPr>
                <w:rFonts w:hint="eastAsia"/>
                <w:sz w:val="19"/>
                <w:szCs w:val="19"/>
                <w:rtl/>
              </w:rPr>
              <w:t>בדצמבר</w:t>
            </w:r>
          </w:p>
        </w:tc>
      </w:tr>
      <w:tr w:rsidR="002C4D78" w:rsidRPr="00F105D8" w14:paraId="7E2B5324" w14:textId="77777777" w:rsidTr="000F230D">
        <w:trPr>
          <w:trHeight w:val="122"/>
        </w:trPr>
        <w:tc>
          <w:tcPr>
            <w:tcW w:w="1361" w:type="dxa"/>
            <w:vAlign w:val="bottom"/>
          </w:tcPr>
          <w:p w14:paraId="05566B30" w14:textId="77777777" w:rsidR="002C4D78" w:rsidRPr="00F105D8" w:rsidRDefault="002C4D78">
            <w:pPr>
              <w:pStyle w:val="-0"/>
              <w:spacing w:line="216" w:lineRule="auto"/>
              <w:ind w:left="0" w:firstLine="0"/>
              <w:jc w:val="center"/>
            </w:pPr>
          </w:p>
        </w:tc>
        <w:tc>
          <w:tcPr>
            <w:tcW w:w="3635" w:type="dxa"/>
            <w:vAlign w:val="bottom"/>
          </w:tcPr>
          <w:p w14:paraId="39A1A818" w14:textId="77777777" w:rsidR="002C4D78" w:rsidRPr="00F105D8" w:rsidRDefault="002C4D78">
            <w:pPr>
              <w:pStyle w:val="-0"/>
              <w:spacing w:line="216" w:lineRule="auto"/>
              <w:ind w:left="893" w:firstLine="0"/>
              <w:jc w:val="center"/>
            </w:pPr>
          </w:p>
        </w:tc>
        <w:tc>
          <w:tcPr>
            <w:tcW w:w="709" w:type="dxa"/>
            <w:vAlign w:val="bottom"/>
          </w:tcPr>
          <w:p w14:paraId="09BA62BC" w14:textId="47C9700B" w:rsidR="002C4D78" w:rsidRPr="00F105D8" w:rsidRDefault="002C4D78" w:rsidP="00FF27C2">
            <w:pPr>
              <w:pStyle w:val="-4"/>
              <w:spacing w:line="216" w:lineRule="auto"/>
              <w:rPr>
                <w:sz w:val="19"/>
                <w:szCs w:val="19"/>
                <w:rtl/>
              </w:rPr>
            </w:pPr>
            <w:r w:rsidRPr="00F105D8">
              <w:rPr>
                <w:sz w:val="19"/>
                <w:szCs w:val="19"/>
                <w:rtl/>
              </w:rPr>
              <w:fldChar w:fldCharType="begin"/>
            </w:r>
            <w:r w:rsidRPr="00F105D8">
              <w:rPr>
                <w:sz w:val="19"/>
                <w:szCs w:val="19"/>
                <w:rtl/>
              </w:rPr>
              <w:instrText xml:space="preserve"> = </w:instrText>
            </w:r>
            <w:r w:rsidRPr="00F105D8">
              <w:rPr>
                <w:sz w:val="19"/>
                <w:szCs w:val="19"/>
              </w:rPr>
              <w:instrText>CY \* MERGEFORMAT</w:instrText>
            </w:r>
            <w:r w:rsidRPr="00F105D8">
              <w:rPr>
                <w:sz w:val="19"/>
                <w:szCs w:val="19"/>
                <w:rtl/>
              </w:rPr>
              <w:instrText xml:space="preserve"> </w:instrText>
            </w:r>
            <w:r w:rsidRPr="00F105D8">
              <w:rPr>
                <w:sz w:val="19"/>
                <w:szCs w:val="19"/>
                <w:rtl/>
              </w:rPr>
              <w:fldChar w:fldCharType="separate"/>
            </w:r>
            <w:r w:rsidRPr="00F105D8">
              <w:rPr>
                <w:noProof/>
                <w:sz w:val="19"/>
                <w:szCs w:val="19"/>
                <w:rtl/>
              </w:rPr>
              <w:t>2024</w:t>
            </w:r>
            <w:r w:rsidRPr="00F105D8">
              <w:rPr>
                <w:sz w:val="19"/>
                <w:szCs w:val="19"/>
                <w:rtl/>
              </w:rPr>
              <w:fldChar w:fldCharType="end"/>
            </w:r>
          </w:p>
        </w:tc>
        <w:tc>
          <w:tcPr>
            <w:tcW w:w="851" w:type="dxa"/>
            <w:vAlign w:val="bottom"/>
          </w:tcPr>
          <w:p w14:paraId="4E6A7ABF" w14:textId="38B1529C" w:rsidR="002C4D78" w:rsidRPr="00F105D8" w:rsidRDefault="002C4D78" w:rsidP="00FF27C2">
            <w:pPr>
              <w:pStyle w:val="-4"/>
              <w:spacing w:line="216" w:lineRule="auto"/>
              <w:rPr>
                <w:sz w:val="19"/>
                <w:szCs w:val="19"/>
                <w:rtl/>
              </w:rPr>
            </w:pPr>
            <w:r w:rsidRPr="00F105D8">
              <w:rPr>
                <w:sz w:val="19"/>
                <w:szCs w:val="19"/>
                <w:rtl/>
              </w:rPr>
              <w:fldChar w:fldCharType="begin"/>
            </w:r>
            <w:r w:rsidRPr="00F105D8">
              <w:rPr>
                <w:sz w:val="19"/>
                <w:szCs w:val="19"/>
                <w:rtl/>
              </w:rPr>
              <w:instrText xml:space="preserve"> = </w:instrText>
            </w:r>
            <w:r w:rsidRPr="00F105D8">
              <w:rPr>
                <w:sz w:val="19"/>
                <w:szCs w:val="19"/>
              </w:rPr>
              <w:instrText>CY-1 \* MERGEFORMAT</w:instrText>
            </w:r>
            <w:r w:rsidRPr="00F105D8">
              <w:rPr>
                <w:sz w:val="19"/>
                <w:szCs w:val="19"/>
                <w:rtl/>
              </w:rPr>
              <w:instrText xml:space="preserve"> </w:instrText>
            </w:r>
            <w:r w:rsidRPr="00F105D8">
              <w:rPr>
                <w:sz w:val="19"/>
                <w:szCs w:val="19"/>
                <w:rtl/>
              </w:rPr>
              <w:fldChar w:fldCharType="separate"/>
            </w:r>
            <w:r w:rsidRPr="00F105D8">
              <w:rPr>
                <w:noProof/>
                <w:sz w:val="19"/>
                <w:szCs w:val="19"/>
                <w:rtl/>
              </w:rPr>
              <w:t>2023</w:t>
            </w:r>
            <w:r w:rsidRPr="00F105D8">
              <w:rPr>
                <w:sz w:val="19"/>
                <w:szCs w:val="19"/>
                <w:rtl/>
              </w:rPr>
              <w:fldChar w:fldCharType="end"/>
            </w:r>
          </w:p>
        </w:tc>
        <w:tc>
          <w:tcPr>
            <w:tcW w:w="850" w:type="dxa"/>
            <w:vAlign w:val="bottom"/>
          </w:tcPr>
          <w:p w14:paraId="65F3D0EB" w14:textId="6F3F0E93" w:rsidR="002C4D78" w:rsidRPr="00F105D8" w:rsidRDefault="002C4D78" w:rsidP="00302CE5">
            <w:pPr>
              <w:pStyle w:val="-3"/>
              <w:pBdr>
                <w:bottom w:val="single" w:sz="4" w:space="1" w:color="auto"/>
              </w:pBdr>
              <w:spacing w:line="216" w:lineRule="auto"/>
              <w:jc w:val="center"/>
              <w:rPr>
                <w:b/>
                <w:bCs/>
                <w:sz w:val="19"/>
                <w:szCs w:val="19"/>
                <w:rtl/>
              </w:rPr>
            </w:pPr>
            <w:r w:rsidRPr="00F105D8">
              <w:rPr>
                <w:b/>
                <w:bCs/>
                <w:sz w:val="19"/>
                <w:szCs w:val="19"/>
                <w:rtl/>
              </w:rPr>
              <w:fldChar w:fldCharType="begin"/>
            </w:r>
            <w:r w:rsidRPr="00F105D8">
              <w:rPr>
                <w:b/>
                <w:bCs/>
                <w:sz w:val="19"/>
                <w:szCs w:val="19"/>
                <w:rtl/>
              </w:rPr>
              <w:instrText xml:space="preserve"> = </w:instrText>
            </w:r>
            <w:r w:rsidRPr="00F105D8">
              <w:rPr>
                <w:b/>
                <w:bCs/>
                <w:sz w:val="19"/>
                <w:szCs w:val="19"/>
              </w:rPr>
              <w:instrText>CY \* MERGEFORMAT</w:instrText>
            </w:r>
            <w:r w:rsidRPr="00F105D8">
              <w:rPr>
                <w:b/>
                <w:bCs/>
                <w:sz w:val="19"/>
                <w:szCs w:val="19"/>
                <w:rtl/>
              </w:rPr>
              <w:instrText xml:space="preserve"> </w:instrText>
            </w:r>
            <w:r w:rsidRPr="00F105D8">
              <w:rPr>
                <w:b/>
                <w:bCs/>
                <w:sz w:val="19"/>
                <w:szCs w:val="19"/>
                <w:rtl/>
              </w:rPr>
              <w:fldChar w:fldCharType="separate"/>
            </w:r>
            <w:r w:rsidRPr="00F105D8">
              <w:rPr>
                <w:b/>
                <w:bCs/>
                <w:noProof/>
                <w:sz w:val="19"/>
                <w:szCs w:val="19"/>
                <w:rtl/>
              </w:rPr>
              <w:t>2024</w:t>
            </w:r>
            <w:r w:rsidRPr="00F105D8">
              <w:rPr>
                <w:b/>
                <w:bCs/>
                <w:sz w:val="19"/>
                <w:szCs w:val="19"/>
                <w:rtl/>
              </w:rPr>
              <w:fldChar w:fldCharType="end"/>
            </w:r>
          </w:p>
        </w:tc>
        <w:tc>
          <w:tcPr>
            <w:tcW w:w="992" w:type="dxa"/>
            <w:vAlign w:val="bottom"/>
          </w:tcPr>
          <w:p w14:paraId="55A2B7EA" w14:textId="7FB46C97" w:rsidR="002C4D78" w:rsidRPr="00F105D8" w:rsidRDefault="002C4D78" w:rsidP="00DE6CA3">
            <w:pPr>
              <w:pStyle w:val="-3"/>
              <w:pBdr>
                <w:bottom w:val="single" w:sz="4" w:space="1" w:color="auto"/>
              </w:pBdr>
              <w:spacing w:line="216" w:lineRule="auto"/>
              <w:jc w:val="center"/>
              <w:rPr>
                <w:b/>
                <w:bCs/>
                <w:sz w:val="19"/>
                <w:szCs w:val="19"/>
                <w:rtl/>
              </w:rPr>
            </w:pPr>
            <w:r w:rsidRPr="00F105D8">
              <w:rPr>
                <w:b/>
                <w:bCs/>
                <w:sz w:val="19"/>
                <w:szCs w:val="19"/>
                <w:rtl/>
              </w:rPr>
              <w:fldChar w:fldCharType="begin"/>
            </w:r>
            <w:r w:rsidRPr="00F105D8">
              <w:rPr>
                <w:b/>
                <w:bCs/>
                <w:sz w:val="19"/>
                <w:szCs w:val="19"/>
                <w:rtl/>
              </w:rPr>
              <w:instrText xml:space="preserve"> = </w:instrText>
            </w:r>
            <w:r w:rsidRPr="00F105D8">
              <w:rPr>
                <w:b/>
                <w:bCs/>
                <w:sz w:val="19"/>
                <w:szCs w:val="19"/>
              </w:rPr>
              <w:instrText>CY-1 \* MERGEFORMAT</w:instrText>
            </w:r>
            <w:r w:rsidRPr="00F105D8">
              <w:rPr>
                <w:b/>
                <w:bCs/>
                <w:sz w:val="19"/>
                <w:szCs w:val="19"/>
                <w:rtl/>
              </w:rPr>
              <w:instrText xml:space="preserve"> </w:instrText>
            </w:r>
            <w:r w:rsidRPr="00F105D8">
              <w:rPr>
                <w:b/>
                <w:bCs/>
                <w:sz w:val="19"/>
                <w:szCs w:val="19"/>
                <w:rtl/>
              </w:rPr>
              <w:fldChar w:fldCharType="separate"/>
            </w:r>
            <w:r w:rsidRPr="00F105D8">
              <w:rPr>
                <w:b/>
                <w:bCs/>
                <w:noProof/>
                <w:sz w:val="19"/>
                <w:szCs w:val="19"/>
                <w:rtl/>
              </w:rPr>
              <w:t>2023</w:t>
            </w:r>
            <w:r w:rsidRPr="00F105D8">
              <w:rPr>
                <w:b/>
                <w:bCs/>
                <w:sz w:val="19"/>
                <w:szCs w:val="19"/>
                <w:rtl/>
              </w:rPr>
              <w:fldChar w:fldCharType="end"/>
            </w:r>
          </w:p>
        </w:tc>
        <w:tc>
          <w:tcPr>
            <w:tcW w:w="1560" w:type="dxa"/>
            <w:vAlign w:val="bottom"/>
          </w:tcPr>
          <w:p w14:paraId="5E765F1A" w14:textId="4BB04C9D" w:rsidR="002C4D78" w:rsidRPr="00F105D8" w:rsidRDefault="002C4D78" w:rsidP="004D3594">
            <w:pPr>
              <w:pStyle w:val="-3"/>
              <w:pBdr>
                <w:bottom w:val="single" w:sz="4" w:space="1" w:color="auto"/>
              </w:pBdr>
              <w:spacing w:line="216" w:lineRule="auto"/>
              <w:jc w:val="center"/>
              <w:rPr>
                <w:b/>
                <w:bCs/>
                <w:sz w:val="19"/>
                <w:szCs w:val="19"/>
                <w:rtl/>
              </w:rPr>
            </w:pPr>
            <w:r w:rsidRPr="00F105D8">
              <w:rPr>
                <w:b/>
                <w:bCs/>
                <w:sz w:val="19"/>
                <w:szCs w:val="19"/>
                <w:rtl/>
              </w:rPr>
              <w:fldChar w:fldCharType="begin"/>
            </w:r>
            <w:r w:rsidRPr="00F105D8">
              <w:rPr>
                <w:b/>
                <w:bCs/>
                <w:sz w:val="19"/>
                <w:szCs w:val="19"/>
                <w:rtl/>
              </w:rPr>
              <w:instrText xml:space="preserve"> = </w:instrText>
            </w:r>
            <w:r w:rsidRPr="00F105D8">
              <w:rPr>
                <w:b/>
                <w:bCs/>
                <w:sz w:val="19"/>
                <w:szCs w:val="19"/>
              </w:rPr>
              <w:instrText>CY-1 \* MERGEFORMAT</w:instrText>
            </w:r>
            <w:r w:rsidRPr="00F105D8">
              <w:rPr>
                <w:b/>
                <w:bCs/>
                <w:sz w:val="19"/>
                <w:szCs w:val="19"/>
                <w:rtl/>
              </w:rPr>
              <w:instrText xml:space="preserve"> </w:instrText>
            </w:r>
            <w:r w:rsidRPr="00F105D8">
              <w:rPr>
                <w:b/>
                <w:bCs/>
                <w:sz w:val="19"/>
                <w:szCs w:val="19"/>
                <w:rtl/>
              </w:rPr>
              <w:fldChar w:fldCharType="separate"/>
            </w:r>
            <w:r w:rsidRPr="00F105D8">
              <w:rPr>
                <w:b/>
                <w:bCs/>
                <w:noProof/>
                <w:sz w:val="19"/>
                <w:szCs w:val="19"/>
                <w:rtl/>
              </w:rPr>
              <w:t>2023</w:t>
            </w:r>
            <w:r w:rsidRPr="00F105D8">
              <w:rPr>
                <w:b/>
                <w:bCs/>
                <w:sz w:val="19"/>
                <w:szCs w:val="19"/>
                <w:rtl/>
              </w:rPr>
              <w:fldChar w:fldCharType="end"/>
            </w:r>
          </w:p>
        </w:tc>
      </w:tr>
      <w:tr w:rsidR="002C4D78" w:rsidRPr="00F105D8" w14:paraId="18C02DF4" w14:textId="77777777" w:rsidTr="000F230D">
        <w:trPr>
          <w:trHeight w:val="122"/>
        </w:trPr>
        <w:tc>
          <w:tcPr>
            <w:tcW w:w="1361" w:type="dxa"/>
            <w:vAlign w:val="bottom"/>
          </w:tcPr>
          <w:p w14:paraId="5F217F17" w14:textId="77777777" w:rsidR="002C4D78" w:rsidRPr="00F105D8" w:rsidRDefault="002C4D78">
            <w:pPr>
              <w:pStyle w:val="-0"/>
              <w:spacing w:line="216" w:lineRule="auto"/>
              <w:ind w:left="0" w:firstLine="0"/>
              <w:jc w:val="center"/>
            </w:pPr>
          </w:p>
        </w:tc>
        <w:tc>
          <w:tcPr>
            <w:tcW w:w="3635" w:type="dxa"/>
            <w:vAlign w:val="bottom"/>
          </w:tcPr>
          <w:p w14:paraId="0D0EEC86" w14:textId="77777777" w:rsidR="002C4D78" w:rsidRPr="00F105D8" w:rsidRDefault="002C4D78">
            <w:pPr>
              <w:pStyle w:val="-0"/>
              <w:spacing w:line="216" w:lineRule="auto"/>
              <w:ind w:left="893" w:firstLine="0"/>
              <w:jc w:val="center"/>
            </w:pPr>
          </w:p>
        </w:tc>
        <w:tc>
          <w:tcPr>
            <w:tcW w:w="709" w:type="dxa"/>
            <w:vAlign w:val="bottom"/>
          </w:tcPr>
          <w:p w14:paraId="10947F37" w14:textId="77777777" w:rsidR="002C4D78" w:rsidRPr="00F105D8" w:rsidRDefault="002C4D78">
            <w:pPr>
              <w:pStyle w:val="-4"/>
              <w:spacing w:line="216" w:lineRule="auto"/>
              <w:rPr>
                <w:b w:val="0"/>
                <w:bCs w:val="0"/>
                <w:sz w:val="18"/>
                <w:szCs w:val="18"/>
                <w:rtl/>
              </w:rPr>
            </w:pPr>
            <w:r w:rsidRPr="00F105D8">
              <w:rPr>
                <w:b w:val="0"/>
                <w:bCs w:val="0"/>
                <w:sz w:val="18"/>
                <w:szCs w:val="18"/>
                <w:rtl/>
              </w:rPr>
              <w:t>%</w:t>
            </w:r>
          </w:p>
        </w:tc>
        <w:tc>
          <w:tcPr>
            <w:tcW w:w="851" w:type="dxa"/>
            <w:vAlign w:val="bottom"/>
          </w:tcPr>
          <w:p w14:paraId="2BE10CBD" w14:textId="77777777" w:rsidR="002C4D78" w:rsidRPr="00F105D8" w:rsidRDefault="002C4D78">
            <w:pPr>
              <w:pStyle w:val="-4"/>
              <w:spacing w:line="216" w:lineRule="auto"/>
              <w:rPr>
                <w:b w:val="0"/>
                <w:bCs w:val="0"/>
                <w:sz w:val="18"/>
                <w:szCs w:val="18"/>
                <w:rtl/>
              </w:rPr>
            </w:pPr>
            <w:r w:rsidRPr="00F105D8">
              <w:rPr>
                <w:b w:val="0"/>
                <w:bCs w:val="0"/>
                <w:sz w:val="18"/>
                <w:szCs w:val="18"/>
                <w:rtl/>
              </w:rPr>
              <w:t>%</w:t>
            </w:r>
          </w:p>
        </w:tc>
        <w:tc>
          <w:tcPr>
            <w:tcW w:w="850" w:type="dxa"/>
            <w:vAlign w:val="bottom"/>
          </w:tcPr>
          <w:p w14:paraId="73B28B7E" w14:textId="77777777" w:rsidR="002C4D78" w:rsidRPr="00F105D8" w:rsidRDefault="002C4D78">
            <w:pPr>
              <w:pStyle w:val="-4"/>
              <w:spacing w:line="216" w:lineRule="auto"/>
              <w:rPr>
                <w:b w:val="0"/>
                <w:bCs w:val="0"/>
                <w:sz w:val="18"/>
                <w:szCs w:val="18"/>
                <w:rtl/>
              </w:rPr>
            </w:pPr>
            <w:r w:rsidRPr="00F105D8">
              <w:rPr>
                <w:b w:val="0"/>
                <w:bCs w:val="0"/>
                <w:sz w:val="18"/>
                <w:szCs w:val="18"/>
                <w:rtl/>
              </w:rPr>
              <w:t>%</w:t>
            </w:r>
          </w:p>
        </w:tc>
        <w:tc>
          <w:tcPr>
            <w:tcW w:w="992" w:type="dxa"/>
            <w:vAlign w:val="bottom"/>
          </w:tcPr>
          <w:p w14:paraId="239E6300" w14:textId="77777777" w:rsidR="002C4D78" w:rsidRPr="00F105D8" w:rsidRDefault="002C4D78">
            <w:pPr>
              <w:pStyle w:val="-4"/>
              <w:spacing w:line="216" w:lineRule="auto"/>
              <w:rPr>
                <w:b w:val="0"/>
                <w:bCs w:val="0"/>
                <w:sz w:val="18"/>
                <w:szCs w:val="18"/>
                <w:rtl/>
              </w:rPr>
            </w:pPr>
            <w:r w:rsidRPr="00F105D8">
              <w:rPr>
                <w:b w:val="0"/>
                <w:bCs w:val="0"/>
                <w:sz w:val="18"/>
                <w:szCs w:val="18"/>
                <w:rtl/>
              </w:rPr>
              <w:t>%</w:t>
            </w:r>
          </w:p>
        </w:tc>
        <w:tc>
          <w:tcPr>
            <w:tcW w:w="1560" w:type="dxa"/>
            <w:vAlign w:val="bottom"/>
          </w:tcPr>
          <w:p w14:paraId="0E48C527" w14:textId="77777777" w:rsidR="002C4D78" w:rsidRPr="00F105D8" w:rsidRDefault="002C4D78">
            <w:pPr>
              <w:pStyle w:val="-4"/>
              <w:spacing w:line="216" w:lineRule="auto"/>
              <w:rPr>
                <w:b w:val="0"/>
                <w:bCs w:val="0"/>
                <w:sz w:val="18"/>
                <w:szCs w:val="18"/>
                <w:rtl/>
              </w:rPr>
            </w:pPr>
            <w:r w:rsidRPr="00F105D8">
              <w:rPr>
                <w:b w:val="0"/>
                <w:bCs w:val="0"/>
                <w:sz w:val="18"/>
                <w:szCs w:val="18"/>
                <w:rtl/>
              </w:rPr>
              <w:t>%</w:t>
            </w:r>
          </w:p>
        </w:tc>
      </w:tr>
      <w:tr w:rsidR="002C4D78" w:rsidRPr="00F105D8" w14:paraId="27671B44" w14:textId="77777777" w:rsidTr="000F230D">
        <w:trPr>
          <w:trHeight w:val="259"/>
        </w:trPr>
        <w:tc>
          <w:tcPr>
            <w:tcW w:w="1361" w:type="dxa"/>
          </w:tcPr>
          <w:p w14:paraId="1FAFB9BE" w14:textId="77777777" w:rsidR="002C4D78" w:rsidRPr="00F105D8" w:rsidRDefault="002C4D78" w:rsidP="007C3674">
            <w:pPr>
              <w:pStyle w:val="-0"/>
              <w:spacing w:line="240" w:lineRule="auto"/>
              <w:ind w:left="0" w:firstLine="0"/>
              <w:rPr>
                <w:rtl/>
              </w:rPr>
            </w:pPr>
          </w:p>
        </w:tc>
        <w:tc>
          <w:tcPr>
            <w:tcW w:w="3635" w:type="dxa"/>
            <w:vAlign w:val="bottom"/>
          </w:tcPr>
          <w:p w14:paraId="3A2A11AA" w14:textId="77777777" w:rsidR="002C4D78" w:rsidRPr="00F105D8" w:rsidRDefault="002C4D78" w:rsidP="0062154C">
            <w:pPr>
              <w:pStyle w:val="-0"/>
              <w:spacing w:line="240" w:lineRule="auto"/>
              <w:ind w:left="89" w:hanging="89"/>
            </w:pPr>
            <w:r w:rsidRPr="00F105D8">
              <w:rPr>
                <w:rtl/>
              </w:rPr>
              <w:t>מדד המחירים לצרכן:</w:t>
            </w:r>
          </w:p>
        </w:tc>
        <w:tc>
          <w:tcPr>
            <w:tcW w:w="709" w:type="dxa"/>
          </w:tcPr>
          <w:p w14:paraId="7AF46AA4" w14:textId="77777777" w:rsidR="002C4D78" w:rsidRPr="00F105D8" w:rsidRDefault="002C4D78" w:rsidP="000B2FAA">
            <w:pPr>
              <w:pStyle w:val="-3"/>
            </w:pPr>
          </w:p>
        </w:tc>
        <w:tc>
          <w:tcPr>
            <w:tcW w:w="851" w:type="dxa"/>
          </w:tcPr>
          <w:p w14:paraId="0DAC0526" w14:textId="77777777" w:rsidR="002C4D78" w:rsidRPr="00F105D8" w:rsidRDefault="002C4D78" w:rsidP="000B2FAA">
            <w:pPr>
              <w:pStyle w:val="-3"/>
            </w:pPr>
          </w:p>
        </w:tc>
        <w:tc>
          <w:tcPr>
            <w:tcW w:w="850" w:type="dxa"/>
            <w:vAlign w:val="bottom"/>
          </w:tcPr>
          <w:p w14:paraId="1B4E481E" w14:textId="77777777" w:rsidR="002C4D78" w:rsidRPr="00F105D8" w:rsidRDefault="002C4D78" w:rsidP="000B2FAA">
            <w:pPr>
              <w:pStyle w:val="-3"/>
            </w:pPr>
          </w:p>
        </w:tc>
        <w:tc>
          <w:tcPr>
            <w:tcW w:w="992" w:type="dxa"/>
            <w:vAlign w:val="bottom"/>
          </w:tcPr>
          <w:p w14:paraId="25315B0D" w14:textId="77777777" w:rsidR="002C4D78" w:rsidRPr="00F105D8" w:rsidRDefault="002C4D78" w:rsidP="000B2FAA">
            <w:pPr>
              <w:pStyle w:val="-3"/>
            </w:pPr>
          </w:p>
        </w:tc>
        <w:tc>
          <w:tcPr>
            <w:tcW w:w="1560" w:type="dxa"/>
            <w:vAlign w:val="bottom"/>
          </w:tcPr>
          <w:p w14:paraId="717EC561" w14:textId="77777777" w:rsidR="002C4D78" w:rsidRPr="00F105D8" w:rsidRDefault="002C4D78" w:rsidP="000B2FAA">
            <w:pPr>
              <w:pStyle w:val="-3"/>
            </w:pPr>
          </w:p>
        </w:tc>
      </w:tr>
      <w:tr w:rsidR="00F105D8" w:rsidRPr="00F105D8" w14:paraId="7EF2CA8B" w14:textId="77777777" w:rsidTr="000F230D">
        <w:trPr>
          <w:trHeight w:val="259"/>
        </w:trPr>
        <w:tc>
          <w:tcPr>
            <w:tcW w:w="1361" w:type="dxa"/>
          </w:tcPr>
          <w:p w14:paraId="398DD173" w14:textId="77777777" w:rsidR="00F105D8" w:rsidRPr="00F105D8" w:rsidRDefault="00F105D8" w:rsidP="00F105D8">
            <w:pPr>
              <w:pStyle w:val="-0"/>
              <w:spacing w:line="240" w:lineRule="auto"/>
              <w:ind w:left="216" w:firstLine="0"/>
              <w:rPr>
                <w:rtl/>
              </w:rPr>
            </w:pPr>
          </w:p>
        </w:tc>
        <w:tc>
          <w:tcPr>
            <w:tcW w:w="3635" w:type="dxa"/>
            <w:vAlign w:val="bottom"/>
          </w:tcPr>
          <w:p w14:paraId="3FD04DD2" w14:textId="77777777" w:rsidR="00F105D8" w:rsidRPr="00F105D8" w:rsidRDefault="00F105D8" w:rsidP="00F105D8">
            <w:pPr>
              <w:pStyle w:val="-0"/>
              <w:spacing w:line="240" w:lineRule="auto"/>
              <w:ind w:left="372" w:hanging="89"/>
            </w:pPr>
            <w:r w:rsidRPr="00F105D8">
              <w:rPr>
                <w:rFonts w:hint="eastAsia"/>
                <w:rtl/>
              </w:rPr>
              <w:t>לפי</w:t>
            </w:r>
            <w:r w:rsidRPr="00F105D8">
              <w:rPr>
                <w:rtl/>
              </w:rPr>
              <w:t xml:space="preserve"> </w:t>
            </w:r>
            <w:r w:rsidRPr="00F105D8">
              <w:rPr>
                <w:rFonts w:hint="eastAsia"/>
                <w:rtl/>
              </w:rPr>
              <w:t>מדד</w:t>
            </w:r>
            <w:r w:rsidRPr="00F105D8">
              <w:rPr>
                <w:rtl/>
              </w:rPr>
              <w:t xml:space="preserve"> </w:t>
            </w:r>
            <w:r w:rsidRPr="00F105D8">
              <w:rPr>
                <w:rFonts w:hint="eastAsia"/>
                <w:rtl/>
              </w:rPr>
              <w:t>בגין</w:t>
            </w:r>
          </w:p>
        </w:tc>
        <w:tc>
          <w:tcPr>
            <w:tcW w:w="709" w:type="dxa"/>
            <w:vAlign w:val="bottom"/>
          </w:tcPr>
          <w:p w14:paraId="35463D6B" w14:textId="77777777" w:rsidR="00F105D8" w:rsidRPr="00F105D8" w:rsidRDefault="00F105D8" w:rsidP="00F105D8">
            <w:pPr>
              <w:pStyle w:val="-3"/>
              <w:jc w:val="left"/>
            </w:pPr>
          </w:p>
        </w:tc>
        <w:tc>
          <w:tcPr>
            <w:tcW w:w="851" w:type="dxa"/>
          </w:tcPr>
          <w:p w14:paraId="62AEFA53" w14:textId="0E571229" w:rsidR="00F105D8" w:rsidRPr="00F105D8" w:rsidRDefault="00F105D8" w:rsidP="00F105D8">
            <w:pPr>
              <w:pStyle w:val="-3"/>
              <w:jc w:val="left"/>
            </w:pPr>
            <w:r w:rsidRPr="00F105D8">
              <w:rPr>
                <w:rFonts w:hint="cs"/>
                <w:color w:val="404040"/>
                <w:rtl/>
              </w:rPr>
              <w:t>2.17</w:t>
            </w:r>
          </w:p>
        </w:tc>
        <w:tc>
          <w:tcPr>
            <w:tcW w:w="850" w:type="dxa"/>
            <w:vAlign w:val="bottom"/>
          </w:tcPr>
          <w:p w14:paraId="6DC634CA" w14:textId="77777777" w:rsidR="00F105D8" w:rsidRPr="00F105D8" w:rsidRDefault="00F105D8" w:rsidP="00F105D8">
            <w:pPr>
              <w:pStyle w:val="-3"/>
              <w:jc w:val="left"/>
            </w:pPr>
          </w:p>
        </w:tc>
        <w:tc>
          <w:tcPr>
            <w:tcW w:w="992" w:type="dxa"/>
          </w:tcPr>
          <w:p w14:paraId="67E42623" w14:textId="7F1B29F6" w:rsidR="00F105D8" w:rsidRPr="00F105D8" w:rsidRDefault="00F105D8" w:rsidP="00F105D8">
            <w:pPr>
              <w:pStyle w:val="-3"/>
              <w:jc w:val="left"/>
            </w:pPr>
            <w:r w:rsidRPr="00F105D8">
              <w:rPr>
                <w:rFonts w:hint="cs"/>
                <w:color w:val="404040"/>
                <w:rtl/>
              </w:rPr>
              <w:t>0.97</w:t>
            </w:r>
          </w:p>
        </w:tc>
        <w:tc>
          <w:tcPr>
            <w:tcW w:w="1560" w:type="dxa"/>
          </w:tcPr>
          <w:p w14:paraId="3697F730" w14:textId="10C0C07D" w:rsidR="00F105D8" w:rsidRPr="00F105D8" w:rsidRDefault="00F105D8" w:rsidP="00F105D8">
            <w:pPr>
              <w:pStyle w:val="-3"/>
              <w:jc w:val="left"/>
            </w:pPr>
            <w:r w:rsidRPr="00F105D8">
              <w:rPr>
                <w:rFonts w:asciiTheme="minorBidi" w:hAnsiTheme="minorBidi" w:cstheme="minorBidi" w:hint="cs"/>
                <w:rtl/>
              </w:rPr>
              <w:t>2.96</w:t>
            </w:r>
          </w:p>
        </w:tc>
      </w:tr>
      <w:tr w:rsidR="00F105D8" w:rsidRPr="00F105D8" w14:paraId="2A9DA8F0" w14:textId="77777777" w:rsidTr="000F230D">
        <w:trPr>
          <w:trHeight w:val="259"/>
        </w:trPr>
        <w:tc>
          <w:tcPr>
            <w:tcW w:w="1361" w:type="dxa"/>
          </w:tcPr>
          <w:p w14:paraId="43513C18" w14:textId="77777777" w:rsidR="00F105D8" w:rsidRPr="00F105D8" w:rsidRDefault="00F105D8" w:rsidP="00F105D8">
            <w:pPr>
              <w:pStyle w:val="-0"/>
              <w:spacing w:line="240" w:lineRule="auto"/>
              <w:ind w:left="216" w:firstLine="0"/>
              <w:rPr>
                <w:rtl/>
              </w:rPr>
            </w:pPr>
          </w:p>
        </w:tc>
        <w:tc>
          <w:tcPr>
            <w:tcW w:w="3635" w:type="dxa"/>
            <w:vAlign w:val="bottom"/>
          </w:tcPr>
          <w:p w14:paraId="78584E69" w14:textId="77777777" w:rsidR="00F105D8" w:rsidRPr="00F105D8" w:rsidRDefault="00F105D8" w:rsidP="00F105D8">
            <w:pPr>
              <w:pStyle w:val="-0"/>
              <w:spacing w:line="240" w:lineRule="auto"/>
              <w:ind w:left="372" w:hanging="89"/>
            </w:pPr>
            <w:r w:rsidRPr="00F105D8">
              <w:rPr>
                <w:rFonts w:hint="eastAsia"/>
                <w:rtl/>
              </w:rPr>
              <w:t>לפי</w:t>
            </w:r>
            <w:r w:rsidRPr="00F105D8">
              <w:rPr>
                <w:rtl/>
              </w:rPr>
              <w:t xml:space="preserve"> </w:t>
            </w:r>
            <w:r w:rsidRPr="00F105D8">
              <w:rPr>
                <w:rFonts w:hint="eastAsia"/>
                <w:rtl/>
              </w:rPr>
              <w:t>מדד</w:t>
            </w:r>
            <w:r w:rsidRPr="00F105D8">
              <w:rPr>
                <w:rtl/>
              </w:rPr>
              <w:t xml:space="preserve"> </w:t>
            </w:r>
            <w:r w:rsidRPr="00F105D8">
              <w:rPr>
                <w:rFonts w:hint="eastAsia"/>
                <w:rtl/>
              </w:rPr>
              <w:t>ידוע</w:t>
            </w:r>
          </w:p>
        </w:tc>
        <w:tc>
          <w:tcPr>
            <w:tcW w:w="709" w:type="dxa"/>
            <w:vAlign w:val="bottom"/>
          </w:tcPr>
          <w:p w14:paraId="6EC51D95" w14:textId="77777777" w:rsidR="00F105D8" w:rsidRPr="00F105D8" w:rsidRDefault="00F105D8" w:rsidP="00F105D8">
            <w:pPr>
              <w:pStyle w:val="-3"/>
              <w:jc w:val="left"/>
            </w:pPr>
          </w:p>
        </w:tc>
        <w:tc>
          <w:tcPr>
            <w:tcW w:w="851" w:type="dxa"/>
          </w:tcPr>
          <w:p w14:paraId="1B0CDEAF" w14:textId="3751352C" w:rsidR="00F105D8" w:rsidRPr="00F105D8" w:rsidRDefault="00F105D8" w:rsidP="00F105D8">
            <w:pPr>
              <w:pStyle w:val="-3"/>
              <w:jc w:val="left"/>
            </w:pPr>
            <w:r w:rsidRPr="00F105D8">
              <w:rPr>
                <w:rFonts w:hint="cs"/>
                <w:color w:val="404040"/>
                <w:rtl/>
              </w:rPr>
              <w:t>2.46</w:t>
            </w:r>
          </w:p>
        </w:tc>
        <w:tc>
          <w:tcPr>
            <w:tcW w:w="850" w:type="dxa"/>
            <w:vAlign w:val="bottom"/>
          </w:tcPr>
          <w:p w14:paraId="57C7954C" w14:textId="77777777" w:rsidR="00F105D8" w:rsidRPr="00F105D8" w:rsidRDefault="00F105D8" w:rsidP="00F105D8">
            <w:pPr>
              <w:pStyle w:val="-3"/>
              <w:jc w:val="left"/>
            </w:pPr>
          </w:p>
        </w:tc>
        <w:tc>
          <w:tcPr>
            <w:tcW w:w="992" w:type="dxa"/>
          </w:tcPr>
          <w:p w14:paraId="1EB76784" w14:textId="552D1B32" w:rsidR="00F105D8" w:rsidRPr="00F105D8" w:rsidRDefault="00F105D8" w:rsidP="00F105D8">
            <w:pPr>
              <w:pStyle w:val="-3"/>
              <w:jc w:val="left"/>
            </w:pPr>
            <w:r w:rsidRPr="00F105D8">
              <w:rPr>
                <w:rFonts w:hint="cs"/>
                <w:color w:val="404040"/>
                <w:rtl/>
              </w:rPr>
              <w:t>1.36</w:t>
            </w:r>
          </w:p>
        </w:tc>
        <w:tc>
          <w:tcPr>
            <w:tcW w:w="1560" w:type="dxa"/>
          </w:tcPr>
          <w:p w14:paraId="7D0B03CC" w14:textId="5765F0B8" w:rsidR="00F105D8" w:rsidRPr="00F105D8" w:rsidRDefault="00F105D8" w:rsidP="00F105D8">
            <w:pPr>
              <w:pStyle w:val="-3"/>
              <w:jc w:val="left"/>
              <w:rPr>
                <w:rtl/>
              </w:rPr>
            </w:pPr>
            <w:r w:rsidRPr="00F105D8">
              <w:rPr>
                <w:rFonts w:asciiTheme="minorBidi" w:hAnsiTheme="minorBidi" w:cstheme="minorBidi" w:hint="cs"/>
                <w:rtl/>
              </w:rPr>
              <w:t>3.34</w:t>
            </w:r>
          </w:p>
        </w:tc>
      </w:tr>
      <w:tr w:rsidR="002C4D78" w:rsidRPr="00F105D8" w14:paraId="4B3DBC79" w14:textId="77777777" w:rsidTr="000F230D">
        <w:trPr>
          <w:trHeight w:val="259"/>
        </w:trPr>
        <w:tc>
          <w:tcPr>
            <w:tcW w:w="1361" w:type="dxa"/>
          </w:tcPr>
          <w:p w14:paraId="7D66D487" w14:textId="77777777" w:rsidR="002C4D78" w:rsidRPr="00F105D8" w:rsidRDefault="002C4D78">
            <w:pPr>
              <w:pStyle w:val="-0"/>
              <w:spacing w:before="120" w:line="240" w:lineRule="auto"/>
              <w:ind w:left="0" w:firstLine="0"/>
              <w:rPr>
                <w:rtl/>
              </w:rPr>
            </w:pPr>
          </w:p>
        </w:tc>
        <w:tc>
          <w:tcPr>
            <w:tcW w:w="3635" w:type="dxa"/>
            <w:vAlign w:val="bottom"/>
          </w:tcPr>
          <w:p w14:paraId="70874D14" w14:textId="77777777" w:rsidR="002C4D78" w:rsidRPr="00F105D8" w:rsidRDefault="002C4D78">
            <w:pPr>
              <w:pStyle w:val="-0"/>
              <w:spacing w:before="120" w:line="240" w:lineRule="auto"/>
              <w:ind w:left="89" w:hanging="89"/>
              <w:rPr>
                <w:rtl/>
              </w:rPr>
            </w:pPr>
            <w:r w:rsidRPr="00F105D8">
              <w:rPr>
                <w:rFonts w:hint="eastAsia"/>
                <w:rtl/>
              </w:rPr>
              <w:t>שער</w:t>
            </w:r>
            <w:r w:rsidRPr="00F105D8">
              <w:rPr>
                <w:rtl/>
              </w:rPr>
              <w:t xml:space="preserve"> </w:t>
            </w:r>
            <w:r w:rsidRPr="00F105D8">
              <w:rPr>
                <w:rFonts w:hint="eastAsia"/>
                <w:rtl/>
              </w:rPr>
              <w:t>החליפין</w:t>
            </w:r>
            <w:r w:rsidRPr="00F105D8">
              <w:rPr>
                <w:rtl/>
              </w:rPr>
              <w:t xml:space="preserve"> </w:t>
            </w:r>
            <w:r w:rsidRPr="00F105D8">
              <w:rPr>
                <w:rFonts w:hint="eastAsia"/>
                <w:rtl/>
              </w:rPr>
              <w:t>היציג</w:t>
            </w:r>
            <w:r w:rsidRPr="00F105D8">
              <w:rPr>
                <w:rtl/>
              </w:rPr>
              <w:t>:</w:t>
            </w:r>
          </w:p>
        </w:tc>
        <w:tc>
          <w:tcPr>
            <w:tcW w:w="709" w:type="dxa"/>
            <w:vAlign w:val="bottom"/>
          </w:tcPr>
          <w:p w14:paraId="11A4E464" w14:textId="77777777" w:rsidR="002C4D78" w:rsidRPr="00F105D8" w:rsidRDefault="002C4D78" w:rsidP="003809E8">
            <w:pPr>
              <w:pStyle w:val="-3"/>
              <w:spacing w:before="120"/>
              <w:jc w:val="left"/>
              <w:rPr>
                <w:rtl/>
              </w:rPr>
            </w:pPr>
          </w:p>
        </w:tc>
        <w:tc>
          <w:tcPr>
            <w:tcW w:w="851" w:type="dxa"/>
            <w:vAlign w:val="bottom"/>
          </w:tcPr>
          <w:p w14:paraId="7DDA87FF" w14:textId="77777777" w:rsidR="002C4D78" w:rsidRPr="00F105D8" w:rsidRDefault="002C4D78" w:rsidP="003809E8">
            <w:pPr>
              <w:pStyle w:val="-3"/>
              <w:spacing w:before="120"/>
              <w:jc w:val="left"/>
              <w:rPr>
                <w:rtl/>
              </w:rPr>
            </w:pPr>
          </w:p>
        </w:tc>
        <w:tc>
          <w:tcPr>
            <w:tcW w:w="850" w:type="dxa"/>
            <w:vAlign w:val="bottom"/>
          </w:tcPr>
          <w:p w14:paraId="43A04044" w14:textId="77777777" w:rsidR="002C4D78" w:rsidRPr="00F105D8" w:rsidRDefault="002C4D78" w:rsidP="003809E8">
            <w:pPr>
              <w:pStyle w:val="-3"/>
              <w:spacing w:before="120"/>
              <w:jc w:val="left"/>
            </w:pPr>
          </w:p>
        </w:tc>
        <w:tc>
          <w:tcPr>
            <w:tcW w:w="992" w:type="dxa"/>
            <w:vAlign w:val="bottom"/>
          </w:tcPr>
          <w:p w14:paraId="75CE49A4" w14:textId="77777777" w:rsidR="002C4D78" w:rsidRPr="00F105D8" w:rsidRDefault="002C4D78" w:rsidP="003809E8">
            <w:pPr>
              <w:pStyle w:val="-3"/>
              <w:spacing w:before="120"/>
              <w:jc w:val="left"/>
              <w:rPr>
                <w:rtl/>
              </w:rPr>
            </w:pPr>
          </w:p>
        </w:tc>
        <w:tc>
          <w:tcPr>
            <w:tcW w:w="1560" w:type="dxa"/>
            <w:vAlign w:val="bottom"/>
          </w:tcPr>
          <w:p w14:paraId="05EC09B9" w14:textId="77777777" w:rsidR="002C4D78" w:rsidRPr="00F105D8" w:rsidRDefault="002C4D78" w:rsidP="003809E8">
            <w:pPr>
              <w:pStyle w:val="-3"/>
              <w:spacing w:before="120"/>
              <w:jc w:val="left"/>
              <w:rPr>
                <w:rtl/>
              </w:rPr>
            </w:pPr>
          </w:p>
        </w:tc>
      </w:tr>
      <w:tr w:rsidR="00F105D8" w:rsidRPr="00F105D8" w14:paraId="15260396" w14:textId="77777777" w:rsidTr="000F230D">
        <w:trPr>
          <w:trHeight w:val="259"/>
        </w:trPr>
        <w:tc>
          <w:tcPr>
            <w:tcW w:w="1361" w:type="dxa"/>
          </w:tcPr>
          <w:p w14:paraId="1A7445A0" w14:textId="77777777" w:rsidR="00F105D8" w:rsidRPr="00F105D8" w:rsidRDefault="00F105D8" w:rsidP="00F105D8">
            <w:pPr>
              <w:pStyle w:val="-0"/>
              <w:spacing w:line="240" w:lineRule="auto"/>
              <w:ind w:left="0" w:firstLine="0"/>
              <w:rPr>
                <w:rtl/>
              </w:rPr>
            </w:pPr>
          </w:p>
        </w:tc>
        <w:tc>
          <w:tcPr>
            <w:tcW w:w="3635" w:type="dxa"/>
            <w:vAlign w:val="bottom"/>
          </w:tcPr>
          <w:p w14:paraId="035C8938" w14:textId="77777777" w:rsidR="00F105D8" w:rsidRPr="00F105D8" w:rsidRDefault="00F105D8" w:rsidP="00F105D8">
            <w:pPr>
              <w:pStyle w:val="-0"/>
              <w:spacing w:line="240" w:lineRule="auto"/>
              <w:ind w:left="372" w:hanging="89"/>
            </w:pPr>
            <w:r w:rsidRPr="00F105D8">
              <w:rPr>
                <w:rtl/>
              </w:rPr>
              <w:t>דולר של ארה"ב (בש"ח ל-1 דולר)</w:t>
            </w:r>
          </w:p>
        </w:tc>
        <w:tc>
          <w:tcPr>
            <w:tcW w:w="709" w:type="dxa"/>
            <w:vAlign w:val="bottom"/>
          </w:tcPr>
          <w:p w14:paraId="1008ECB5" w14:textId="77777777" w:rsidR="00F105D8" w:rsidRPr="00F105D8" w:rsidRDefault="00F105D8" w:rsidP="00F105D8">
            <w:pPr>
              <w:pStyle w:val="-3"/>
              <w:jc w:val="left"/>
              <w:rPr>
                <w:rtl/>
              </w:rPr>
            </w:pPr>
          </w:p>
        </w:tc>
        <w:tc>
          <w:tcPr>
            <w:tcW w:w="851" w:type="dxa"/>
          </w:tcPr>
          <w:p w14:paraId="416D9A8B" w14:textId="129FD6C4" w:rsidR="00F105D8" w:rsidRPr="00F105D8" w:rsidRDefault="00F105D8" w:rsidP="00F105D8">
            <w:pPr>
              <w:pStyle w:val="-3"/>
              <w:jc w:val="left"/>
              <w:rPr>
                <w:rtl/>
              </w:rPr>
            </w:pPr>
            <w:r w:rsidRPr="00F105D8">
              <w:rPr>
                <w:rFonts w:hint="cs"/>
                <w:color w:val="404040"/>
                <w:rtl/>
              </w:rPr>
              <w:t>5.14</w:t>
            </w:r>
          </w:p>
        </w:tc>
        <w:tc>
          <w:tcPr>
            <w:tcW w:w="850" w:type="dxa"/>
            <w:vAlign w:val="bottom"/>
          </w:tcPr>
          <w:p w14:paraId="24CEA894" w14:textId="77777777" w:rsidR="00F105D8" w:rsidRPr="00F105D8" w:rsidRDefault="00F105D8" w:rsidP="00F105D8">
            <w:pPr>
              <w:pStyle w:val="-3"/>
              <w:jc w:val="left"/>
            </w:pPr>
          </w:p>
        </w:tc>
        <w:tc>
          <w:tcPr>
            <w:tcW w:w="992" w:type="dxa"/>
          </w:tcPr>
          <w:p w14:paraId="272606B1" w14:textId="52717063" w:rsidR="00F105D8" w:rsidRPr="00F105D8" w:rsidRDefault="00F105D8" w:rsidP="00F105D8">
            <w:pPr>
              <w:pStyle w:val="-3"/>
              <w:jc w:val="left"/>
            </w:pPr>
            <w:r w:rsidRPr="00F105D8">
              <w:rPr>
                <w:rFonts w:hint="cs"/>
                <w:color w:val="404040"/>
                <w:rtl/>
              </w:rPr>
              <w:t>2.35</w:t>
            </w:r>
          </w:p>
        </w:tc>
        <w:tc>
          <w:tcPr>
            <w:tcW w:w="1560" w:type="dxa"/>
          </w:tcPr>
          <w:p w14:paraId="78DB6E5E" w14:textId="36B2AB11" w:rsidR="00F105D8" w:rsidRPr="00F105D8" w:rsidRDefault="00F105D8" w:rsidP="00F105D8">
            <w:pPr>
              <w:pStyle w:val="-3"/>
              <w:jc w:val="left"/>
            </w:pPr>
            <w:r w:rsidRPr="00F105D8">
              <w:rPr>
                <w:rFonts w:asciiTheme="minorBidi" w:hAnsiTheme="minorBidi" w:cstheme="minorBidi" w:hint="cs"/>
                <w:rtl/>
              </w:rPr>
              <w:t>3.07</w:t>
            </w:r>
          </w:p>
        </w:tc>
      </w:tr>
      <w:tr w:rsidR="00F105D8" w:rsidRPr="00F105D8" w14:paraId="31D4A4E7" w14:textId="77777777" w:rsidTr="000F230D">
        <w:trPr>
          <w:trHeight w:val="259"/>
        </w:trPr>
        <w:tc>
          <w:tcPr>
            <w:tcW w:w="1361" w:type="dxa"/>
          </w:tcPr>
          <w:p w14:paraId="6E6459A5" w14:textId="77777777" w:rsidR="00F105D8" w:rsidRPr="00F105D8" w:rsidRDefault="00F105D8" w:rsidP="00F105D8">
            <w:pPr>
              <w:pStyle w:val="-0"/>
              <w:spacing w:line="240" w:lineRule="auto"/>
              <w:ind w:left="0" w:firstLine="0"/>
              <w:rPr>
                <w:rtl/>
              </w:rPr>
            </w:pPr>
          </w:p>
        </w:tc>
        <w:tc>
          <w:tcPr>
            <w:tcW w:w="3635" w:type="dxa"/>
            <w:vAlign w:val="bottom"/>
          </w:tcPr>
          <w:p w14:paraId="3A6BF591" w14:textId="77777777" w:rsidR="00F105D8" w:rsidRPr="00F105D8" w:rsidRDefault="00F105D8" w:rsidP="00F105D8">
            <w:pPr>
              <w:pStyle w:val="-0"/>
              <w:spacing w:line="240" w:lineRule="auto"/>
              <w:ind w:left="372" w:hanging="89"/>
            </w:pPr>
            <w:r w:rsidRPr="00F105D8">
              <w:rPr>
                <w:rtl/>
              </w:rPr>
              <w:t>לירה שטרלינג (בש"ח ל-1 לי</w:t>
            </w:r>
            <w:r w:rsidRPr="00F105D8">
              <w:rPr>
                <w:rFonts w:hint="eastAsia"/>
                <w:rtl/>
              </w:rPr>
              <w:t>ש</w:t>
            </w:r>
            <w:r w:rsidRPr="00F105D8">
              <w:rPr>
                <w:rtl/>
              </w:rPr>
              <w:t>"</w:t>
            </w:r>
            <w:r w:rsidRPr="00F105D8">
              <w:rPr>
                <w:rFonts w:hint="eastAsia"/>
                <w:rtl/>
              </w:rPr>
              <w:t>ט</w:t>
            </w:r>
            <w:r w:rsidRPr="00F105D8">
              <w:rPr>
                <w:rtl/>
              </w:rPr>
              <w:t>)</w:t>
            </w:r>
          </w:p>
        </w:tc>
        <w:tc>
          <w:tcPr>
            <w:tcW w:w="709" w:type="dxa"/>
            <w:vAlign w:val="bottom"/>
          </w:tcPr>
          <w:p w14:paraId="5AB88C26" w14:textId="77777777" w:rsidR="00F105D8" w:rsidRPr="00F105D8" w:rsidRDefault="00F105D8" w:rsidP="00F105D8">
            <w:pPr>
              <w:pStyle w:val="-3"/>
              <w:jc w:val="left"/>
              <w:rPr>
                <w:rtl/>
              </w:rPr>
            </w:pPr>
          </w:p>
        </w:tc>
        <w:tc>
          <w:tcPr>
            <w:tcW w:w="851" w:type="dxa"/>
          </w:tcPr>
          <w:p w14:paraId="74E56ACA" w14:textId="03368DC6" w:rsidR="00F105D8" w:rsidRPr="00F105D8" w:rsidRDefault="00F105D8" w:rsidP="00F105D8">
            <w:pPr>
              <w:pStyle w:val="-3"/>
              <w:jc w:val="left"/>
              <w:rPr>
                <w:rtl/>
              </w:rPr>
            </w:pPr>
            <w:r w:rsidRPr="00F105D8">
              <w:rPr>
                <w:rFonts w:hint="cs"/>
                <w:color w:val="404040"/>
                <w:rtl/>
              </w:rPr>
              <w:t>10.22</w:t>
            </w:r>
          </w:p>
        </w:tc>
        <w:tc>
          <w:tcPr>
            <w:tcW w:w="850" w:type="dxa"/>
            <w:vAlign w:val="bottom"/>
          </w:tcPr>
          <w:p w14:paraId="203EB12F" w14:textId="77777777" w:rsidR="00F105D8" w:rsidRPr="00F105D8" w:rsidRDefault="00F105D8" w:rsidP="00F105D8">
            <w:pPr>
              <w:pStyle w:val="-3"/>
              <w:jc w:val="left"/>
            </w:pPr>
          </w:p>
        </w:tc>
        <w:tc>
          <w:tcPr>
            <w:tcW w:w="992" w:type="dxa"/>
          </w:tcPr>
          <w:p w14:paraId="20201DD6" w14:textId="19F55F05" w:rsidR="00F105D8" w:rsidRPr="00F105D8" w:rsidRDefault="00F105D8" w:rsidP="00F105D8">
            <w:pPr>
              <w:pStyle w:val="-3"/>
              <w:jc w:val="left"/>
            </w:pPr>
            <w:r w:rsidRPr="00F105D8">
              <w:rPr>
                <w:rFonts w:hint="cs"/>
                <w:color w:val="404040"/>
                <w:rtl/>
              </w:rPr>
              <w:t>4.56</w:t>
            </w:r>
          </w:p>
        </w:tc>
        <w:tc>
          <w:tcPr>
            <w:tcW w:w="1560" w:type="dxa"/>
          </w:tcPr>
          <w:p w14:paraId="0B255258" w14:textId="24938731" w:rsidR="00F105D8" w:rsidRPr="00F105D8" w:rsidRDefault="00F105D8" w:rsidP="00F105D8">
            <w:pPr>
              <w:pStyle w:val="-3"/>
              <w:jc w:val="left"/>
            </w:pPr>
            <w:r w:rsidRPr="00F105D8">
              <w:rPr>
                <w:rFonts w:asciiTheme="minorBidi" w:hAnsiTheme="minorBidi" w:cstheme="minorBidi" w:hint="cs"/>
                <w:rtl/>
              </w:rPr>
              <w:t>9.05</w:t>
            </w:r>
          </w:p>
        </w:tc>
      </w:tr>
      <w:tr w:rsidR="00F105D8" w:rsidRPr="007C3674" w14:paraId="339B3E79" w14:textId="77777777" w:rsidTr="000F230D">
        <w:trPr>
          <w:trHeight w:val="259"/>
        </w:trPr>
        <w:tc>
          <w:tcPr>
            <w:tcW w:w="1361" w:type="dxa"/>
          </w:tcPr>
          <w:p w14:paraId="45C70ED4" w14:textId="77777777" w:rsidR="00F105D8" w:rsidRPr="00F105D8" w:rsidRDefault="00F105D8" w:rsidP="00F105D8">
            <w:pPr>
              <w:pStyle w:val="-0"/>
              <w:spacing w:line="240" w:lineRule="auto"/>
              <w:ind w:left="0" w:firstLine="0"/>
              <w:rPr>
                <w:rtl/>
              </w:rPr>
            </w:pPr>
          </w:p>
        </w:tc>
        <w:tc>
          <w:tcPr>
            <w:tcW w:w="3635" w:type="dxa"/>
            <w:vAlign w:val="bottom"/>
          </w:tcPr>
          <w:p w14:paraId="4BCFF7B6" w14:textId="77777777" w:rsidR="00F105D8" w:rsidRPr="00F105D8" w:rsidRDefault="00F105D8" w:rsidP="00F105D8">
            <w:pPr>
              <w:pStyle w:val="-0"/>
              <w:spacing w:line="240" w:lineRule="auto"/>
              <w:ind w:left="372" w:hanging="89"/>
            </w:pPr>
            <w:r w:rsidRPr="00F105D8">
              <w:rPr>
                <w:rtl/>
              </w:rPr>
              <w:t>אירו (בש"ח ל-1 אירו)</w:t>
            </w:r>
          </w:p>
        </w:tc>
        <w:tc>
          <w:tcPr>
            <w:tcW w:w="709" w:type="dxa"/>
            <w:vAlign w:val="bottom"/>
          </w:tcPr>
          <w:p w14:paraId="045EDEB5" w14:textId="77777777" w:rsidR="00F105D8" w:rsidRPr="00F105D8" w:rsidRDefault="00F105D8" w:rsidP="00F105D8">
            <w:pPr>
              <w:pStyle w:val="-3"/>
              <w:jc w:val="left"/>
              <w:rPr>
                <w:rtl/>
              </w:rPr>
            </w:pPr>
          </w:p>
        </w:tc>
        <w:tc>
          <w:tcPr>
            <w:tcW w:w="851" w:type="dxa"/>
          </w:tcPr>
          <w:p w14:paraId="46927FAC" w14:textId="42FE7A27" w:rsidR="00F105D8" w:rsidRPr="00F105D8" w:rsidRDefault="00F105D8" w:rsidP="00F105D8">
            <w:pPr>
              <w:pStyle w:val="-3"/>
              <w:jc w:val="left"/>
              <w:rPr>
                <w:rtl/>
              </w:rPr>
            </w:pPr>
            <w:r w:rsidRPr="00F105D8">
              <w:rPr>
                <w:rFonts w:hint="cs"/>
                <w:color w:val="404040"/>
                <w:rtl/>
              </w:rPr>
              <w:t>7.07</w:t>
            </w:r>
          </w:p>
        </w:tc>
        <w:tc>
          <w:tcPr>
            <w:tcW w:w="850" w:type="dxa"/>
            <w:vAlign w:val="bottom"/>
          </w:tcPr>
          <w:p w14:paraId="7D38D2FB" w14:textId="77777777" w:rsidR="00F105D8" w:rsidRPr="00F105D8" w:rsidRDefault="00F105D8" w:rsidP="00F105D8">
            <w:pPr>
              <w:pStyle w:val="-3"/>
              <w:jc w:val="left"/>
            </w:pPr>
          </w:p>
        </w:tc>
        <w:tc>
          <w:tcPr>
            <w:tcW w:w="992" w:type="dxa"/>
          </w:tcPr>
          <w:p w14:paraId="0802DDCC" w14:textId="5AFF2893" w:rsidR="00F105D8" w:rsidRPr="00F105D8" w:rsidRDefault="00F105D8" w:rsidP="00F105D8">
            <w:pPr>
              <w:pStyle w:val="-3"/>
              <w:jc w:val="left"/>
            </w:pPr>
            <w:r w:rsidRPr="00F105D8">
              <w:rPr>
                <w:rFonts w:hint="cs"/>
                <w:color w:val="404040"/>
                <w:rtl/>
              </w:rPr>
              <w:t>2.19</w:t>
            </w:r>
          </w:p>
        </w:tc>
        <w:tc>
          <w:tcPr>
            <w:tcW w:w="1560" w:type="dxa"/>
          </w:tcPr>
          <w:p w14:paraId="7103A343" w14:textId="4AE28107" w:rsidR="00F105D8" w:rsidRPr="00F105D8" w:rsidRDefault="00F105D8" w:rsidP="00F105D8">
            <w:pPr>
              <w:pStyle w:val="-3"/>
              <w:jc w:val="left"/>
            </w:pPr>
            <w:r w:rsidRPr="00F105D8">
              <w:rPr>
                <w:rFonts w:asciiTheme="minorBidi" w:hAnsiTheme="minorBidi" w:cstheme="minorBidi" w:hint="cs"/>
                <w:rtl/>
              </w:rPr>
              <w:t>6.89</w:t>
            </w:r>
          </w:p>
        </w:tc>
      </w:tr>
    </w:tbl>
    <w:p w14:paraId="32478BD6" w14:textId="43CC9F8A" w:rsidR="00193405" w:rsidRDefault="00193405">
      <w:pPr>
        <w:rPr>
          <w:rtl/>
        </w:rPr>
      </w:pPr>
    </w:p>
    <w:p w14:paraId="1C114607" w14:textId="77777777" w:rsidR="00193405" w:rsidRDefault="00193405">
      <w:pPr>
        <w:bidi w:val="0"/>
        <w:jc w:val="left"/>
      </w:pPr>
      <w:r>
        <w:rPr>
          <w:rtl/>
        </w:rPr>
        <w:br w:type="page"/>
      </w:r>
    </w:p>
    <w:tbl>
      <w:tblPr>
        <w:bidiVisual/>
        <w:tblW w:w="4799" w:type="pct"/>
        <w:tblInd w:w="-14" w:type="dxa"/>
        <w:tblLook w:val="04A0" w:firstRow="1" w:lastRow="0" w:firstColumn="1" w:lastColumn="0" w:noHBand="0" w:noVBand="1"/>
      </w:tblPr>
      <w:tblGrid>
        <w:gridCol w:w="964"/>
        <w:gridCol w:w="8833"/>
      </w:tblGrid>
      <w:tr w:rsidR="00604A76" w:rsidRPr="00FF27C2" w14:paraId="44A37CDE" w14:textId="77777777" w:rsidTr="000F230D">
        <w:trPr>
          <w:trHeight w:val="259"/>
        </w:trPr>
        <w:tc>
          <w:tcPr>
            <w:tcW w:w="964" w:type="dxa"/>
          </w:tcPr>
          <w:p w14:paraId="5E20D431" w14:textId="77777777" w:rsidR="00604A76" w:rsidRPr="001028D5" w:rsidRDefault="00604A76" w:rsidP="000F230D">
            <w:pPr>
              <w:spacing w:after="60"/>
              <w:ind w:left="454" w:hanging="381"/>
              <w:jc w:val="left"/>
              <w:rPr>
                <w:spacing w:val="-6"/>
                <w:rtl/>
              </w:rPr>
            </w:pPr>
            <w:r>
              <w:rPr>
                <w:rtl/>
              </w:rPr>
              <w:lastRenderedPageBreak/>
              <w:br w:type="page"/>
            </w:r>
            <w:r w:rsidRPr="001028D5">
              <w:rPr>
                <w:rFonts w:hint="cs"/>
                <w:i/>
                <w:iCs/>
                <w:rtl/>
              </w:rPr>
              <w:t>[עודכן]</w:t>
            </w:r>
          </w:p>
        </w:tc>
        <w:tc>
          <w:tcPr>
            <w:tcW w:w="8832" w:type="dxa"/>
          </w:tcPr>
          <w:p w14:paraId="2C794D9E" w14:textId="77777777" w:rsidR="00604A76" w:rsidRPr="00FF27C2" w:rsidRDefault="00604A76" w:rsidP="00400DD1">
            <w:pPr>
              <w:spacing w:after="60"/>
              <w:rPr>
                <w:b/>
                <w:bCs/>
                <w:sz w:val="22"/>
                <w:szCs w:val="22"/>
                <w:rtl/>
              </w:rPr>
            </w:pPr>
            <w:r w:rsidRPr="00FF27C2">
              <w:rPr>
                <w:rFonts w:hint="cs"/>
                <w:b/>
                <w:bCs/>
                <w:sz w:val="22"/>
                <w:szCs w:val="22"/>
                <w:rtl/>
              </w:rPr>
              <w:t>ביאור 1  -  עיקרי המדיניות החשבונאית (המשך):</w:t>
            </w:r>
          </w:p>
        </w:tc>
      </w:tr>
    </w:tbl>
    <w:p w14:paraId="0EC2B513" w14:textId="01AE4688" w:rsidR="00564BBC" w:rsidRPr="001D1748" w:rsidRDefault="00880B6D" w:rsidP="000F230D">
      <w:pPr>
        <w:pStyle w:val="7"/>
        <w:numPr>
          <w:ilvl w:val="1"/>
          <w:numId w:val="10"/>
        </w:numPr>
        <w:spacing w:after="60"/>
        <w:ind w:left="1276" w:hanging="141"/>
        <w:rPr>
          <w:sz w:val="18"/>
          <w:szCs w:val="20"/>
        </w:rPr>
      </w:pPr>
      <w:bookmarkStart w:id="15" w:name="_Toc160529218"/>
      <w:r>
        <w:rPr>
          <w:rFonts w:hint="cs"/>
          <w:b/>
          <w:szCs w:val="20"/>
          <w:rtl/>
        </w:rPr>
        <w:t xml:space="preserve">עדכונים של </w:t>
      </w:r>
      <w:r w:rsidR="001D1748" w:rsidRPr="001D1748">
        <w:rPr>
          <w:b/>
          <w:szCs w:val="20"/>
          <w:rtl/>
        </w:rPr>
        <w:t>כללי חשבונאות מקובלים בבנקים בארה"ב והוראות המפקח על הבנקים</w:t>
      </w:r>
      <w:r w:rsidR="004C7D2F" w:rsidRPr="001D1748">
        <w:rPr>
          <w:rFonts w:hint="cs"/>
          <w:sz w:val="18"/>
          <w:szCs w:val="20"/>
          <w:rtl/>
        </w:rPr>
        <w:t>:</w:t>
      </w:r>
      <w:bookmarkEnd w:id="15"/>
    </w:p>
    <w:tbl>
      <w:tblPr>
        <w:tblpPr w:leftFromText="180" w:rightFromText="180" w:vertAnchor="text" w:horzAnchor="margin" w:tblpY="19"/>
        <w:bidiVisual/>
        <w:tblW w:w="5001" w:type="pct"/>
        <w:tblLook w:val="04A0" w:firstRow="1" w:lastRow="0" w:firstColumn="1" w:lastColumn="0" w:noHBand="0" w:noVBand="1"/>
      </w:tblPr>
      <w:tblGrid>
        <w:gridCol w:w="1020"/>
        <w:gridCol w:w="9189"/>
      </w:tblGrid>
      <w:tr w:rsidR="00880B6D" w:rsidRPr="001B4EFB" w14:paraId="32A55FDB" w14:textId="77777777" w:rsidTr="00245CB1">
        <w:tc>
          <w:tcPr>
            <w:tcW w:w="1020" w:type="dxa"/>
          </w:tcPr>
          <w:p w14:paraId="79CCD667" w14:textId="77777777" w:rsidR="00880B6D" w:rsidRPr="001B4EFB" w:rsidRDefault="00880B6D" w:rsidP="00880B6D">
            <w:pPr>
              <w:spacing w:before="120"/>
              <w:ind w:right="-142"/>
              <w:jc w:val="left"/>
              <w:rPr>
                <w:spacing w:val="-6"/>
                <w:rtl/>
              </w:rPr>
            </w:pPr>
          </w:p>
        </w:tc>
        <w:tc>
          <w:tcPr>
            <w:tcW w:w="9189" w:type="dxa"/>
          </w:tcPr>
          <w:p w14:paraId="424A2CCC" w14:textId="2693A826" w:rsidR="00880B6D" w:rsidRPr="00880B6D" w:rsidRDefault="00880B6D" w:rsidP="00245CB1">
            <w:pPr>
              <w:spacing w:before="120"/>
              <w:ind w:left="6" w:hanging="6"/>
              <w:rPr>
                <w:b/>
                <w:bCs/>
                <w:rtl/>
              </w:rPr>
            </w:pPr>
            <w:r w:rsidRPr="005E18B4">
              <w:rPr>
                <w:rFonts w:hint="cs"/>
                <w:b/>
                <w:bCs/>
                <w:i/>
                <w:iCs/>
                <w:u w:val="single"/>
                <w:rtl/>
              </w:rPr>
              <w:t xml:space="preserve">עדכונים </w:t>
            </w:r>
            <w:r>
              <w:rPr>
                <w:rFonts w:hint="cs"/>
                <w:b/>
                <w:bCs/>
                <w:i/>
                <w:iCs/>
                <w:u w:val="single"/>
                <w:rtl/>
              </w:rPr>
              <w:t xml:space="preserve">שיושמו לראשונה </w:t>
            </w:r>
            <w:r w:rsidRPr="005E18B4">
              <w:rPr>
                <w:rFonts w:hint="cs"/>
                <w:b/>
                <w:bCs/>
                <w:i/>
                <w:iCs/>
                <w:u w:val="single"/>
                <w:rtl/>
              </w:rPr>
              <w:t>בתקופ</w:t>
            </w:r>
            <w:r>
              <w:rPr>
                <w:rFonts w:hint="cs"/>
                <w:b/>
                <w:bCs/>
                <w:i/>
                <w:iCs/>
                <w:u w:val="single"/>
                <w:rtl/>
              </w:rPr>
              <w:t xml:space="preserve">ת הדיווח </w:t>
            </w:r>
          </w:p>
        </w:tc>
      </w:tr>
      <w:tr w:rsidR="003C2877" w:rsidRPr="001B4EFB" w14:paraId="3BBBF4CE" w14:textId="77777777" w:rsidTr="00245CB1">
        <w:tc>
          <w:tcPr>
            <w:tcW w:w="1020" w:type="dxa"/>
          </w:tcPr>
          <w:p w14:paraId="5E3ED75D" w14:textId="77777777" w:rsidR="003C2877" w:rsidRPr="001B4EFB" w:rsidRDefault="003C2877" w:rsidP="00B10CB3">
            <w:pPr>
              <w:spacing w:before="120"/>
              <w:ind w:right="-142"/>
              <w:jc w:val="left"/>
              <w:rPr>
                <w:spacing w:val="-6"/>
                <w:rtl/>
              </w:rPr>
            </w:pPr>
          </w:p>
        </w:tc>
        <w:tc>
          <w:tcPr>
            <w:tcW w:w="9189" w:type="dxa"/>
          </w:tcPr>
          <w:p w14:paraId="2BD8EAFF" w14:textId="1BEAA002" w:rsidR="003C2877" w:rsidRPr="001D1748" w:rsidRDefault="001D1748" w:rsidP="00880B6D">
            <w:pPr>
              <w:pStyle w:val="ac"/>
              <w:numPr>
                <w:ilvl w:val="0"/>
                <w:numId w:val="22"/>
              </w:numPr>
              <w:spacing w:before="120" w:line="240" w:lineRule="auto"/>
              <w:ind w:left="313" w:hanging="283"/>
              <w:contextualSpacing w:val="0"/>
              <w:rPr>
                <w:rFonts w:ascii="Arial" w:hAnsi="Arial" w:cs="Arial"/>
                <w:b/>
                <w:bCs/>
                <w:color w:val="auto"/>
                <w:sz w:val="20"/>
                <w:szCs w:val="20"/>
                <w:rtl/>
                <w:lang w:eastAsia="en-US"/>
              </w:rPr>
            </w:pPr>
            <w:r w:rsidRPr="001D1748">
              <w:rPr>
                <w:rFonts w:ascii="Arial" w:hAnsi="Arial" w:cs="Arial"/>
                <w:b/>
                <w:bCs/>
                <w:color w:val="auto"/>
                <w:sz w:val="20"/>
                <w:szCs w:val="20"/>
                <w:rtl/>
                <w:lang w:eastAsia="en-US"/>
              </w:rPr>
              <w:t xml:space="preserve">חוזר הפיקוח </w:t>
            </w:r>
            <w:r w:rsidR="00880B6D">
              <w:rPr>
                <w:rFonts w:ascii="Arial" w:hAnsi="Arial" w:cs="Arial" w:hint="cs"/>
                <w:b/>
                <w:bCs/>
                <w:color w:val="auto"/>
                <w:sz w:val="20"/>
                <w:szCs w:val="20"/>
                <w:rtl/>
                <w:lang w:eastAsia="en-US"/>
              </w:rPr>
              <w:t xml:space="preserve">על הבנקים </w:t>
            </w:r>
            <w:r w:rsidRPr="001D1748">
              <w:rPr>
                <w:rFonts w:ascii="Arial" w:hAnsi="Arial" w:cs="Arial"/>
                <w:b/>
                <w:bCs/>
                <w:color w:val="auto"/>
                <w:sz w:val="20"/>
                <w:szCs w:val="20"/>
                <w:rtl/>
                <w:lang w:eastAsia="en-US"/>
              </w:rPr>
              <w:t xml:space="preserve">בנושא </w:t>
            </w:r>
            <w:r w:rsidR="00880B6D">
              <w:rPr>
                <w:rFonts w:ascii="Arial" w:hAnsi="Arial" w:cs="Arial" w:hint="cs"/>
                <w:b/>
                <w:bCs/>
                <w:color w:val="auto"/>
                <w:sz w:val="20"/>
                <w:szCs w:val="20"/>
                <w:rtl/>
                <w:lang w:eastAsia="en-US"/>
              </w:rPr>
              <w:t>"</w:t>
            </w:r>
            <w:r w:rsidRPr="001D1748">
              <w:rPr>
                <w:rFonts w:ascii="Arial" w:hAnsi="Arial" w:cs="Arial"/>
                <w:b/>
                <w:bCs/>
                <w:color w:val="auto"/>
                <w:sz w:val="20"/>
                <w:szCs w:val="20"/>
                <w:rtl/>
                <w:lang w:eastAsia="en-US"/>
              </w:rPr>
              <w:t>שינויים בתנאים של חובות של לווים בקשיים פיננסיים</w:t>
            </w:r>
            <w:r w:rsidR="00880B6D">
              <w:rPr>
                <w:rFonts w:ascii="Arial" w:hAnsi="Arial" w:cs="Arial" w:hint="cs"/>
                <w:b/>
                <w:bCs/>
                <w:color w:val="auto"/>
                <w:sz w:val="20"/>
                <w:szCs w:val="20"/>
                <w:rtl/>
                <w:lang w:eastAsia="en-US"/>
              </w:rPr>
              <w:t>"</w:t>
            </w:r>
          </w:p>
        </w:tc>
      </w:tr>
      <w:tr w:rsidR="001D1748" w:rsidRPr="001B4EFB" w14:paraId="47CAD7B0" w14:textId="77777777" w:rsidTr="00245CB1">
        <w:trPr>
          <w:trHeight w:val="1532"/>
        </w:trPr>
        <w:tc>
          <w:tcPr>
            <w:tcW w:w="1020" w:type="dxa"/>
          </w:tcPr>
          <w:p w14:paraId="34AB5735" w14:textId="77777777" w:rsidR="001D1748" w:rsidRPr="001B4EFB" w:rsidRDefault="001D1748" w:rsidP="00B10CB3">
            <w:pPr>
              <w:ind w:right="-144"/>
              <w:jc w:val="left"/>
              <w:rPr>
                <w:spacing w:val="-6"/>
                <w:rtl/>
              </w:rPr>
            </w:pPr>
          </w:p>
        </w:tc>
        <w:tc>
          <w:tcPr>
            <w:tcW w:w="9189" w:type="dxa"/>
          </w:tcPr>
          <w:p w14:paraId="299850B1" w14:textId="20DB2A73" w:rsidR="001D1748" w:rsidRPr="00B37522" w:rsidRDefault="001D1748" w:rsidP="00853C72">
            <w:pPr>
              <w:spacing w:before="80" w:line="259" w:lineRule="auto"/>
              <w:ind w:left="313"/>
              <w:rPr>
                <w:rtl/>
              </w:rPr>
            </w:pPr>
            <w:bookmarkStart w:id="16" w:name="_Hlk160520374"/>
            <w:r w:rsidRPr="00B37522">
              <w:rPr>
                <w:rtl/>
              </w:rPr>
              <w:t xml:space="preserve">חוזר </w:t>
            </w:r>
            <w:r w:rsidRPr="00B37522">
              <w:rPr>
                <w:rFonts w:hint="cs"/>
                <w:rtl/>
              </w:rPr>
              <w:t xml:space="preserve">הפיקוח </w:t>
            </w:r>
            <w:r w:rsidR="00880B6D">
              <w:rPr>
                <w:rFonts w:hint="cs"/>
                <w:rtl/>
              </w:rPr>
              <w:t>שפורסם בחודש</w:t>
            </w:r>
            <w:r w:rsidR="00DF7623">
              <w:rPr>
                <w:rFonts w:hint="cs"/>
                <w:rtl/>
              </w:rPr>
              <w:t xml:space="preserve"> אוקטובר</w:t>
            </w:r>
            <w:r w:rsidR="00880B6D">
              <w:rPr>
                <w:rFonts w:hint="cs"/>
                <w:rtl/>
              </w:rPr>
              <w:t xml:space="preserve"> 2023 עדכן את </w:t>
            </w:r>
            <w:r w:rsidRPr="00B37522">
              <w:rPr>
                <w:rtl/>
              </w:rPr>
              <w:t>הוראות הדיווח לציבור</w:t>
            </w:r>
            <w:r w:rsidRPr="00B37522">
              <w:rPr>
                <w:rFonts w:hint="cs"/>
                <w:rtl/>
              </w:rPr>
              <w:t xml:space="preserve"> בעקבות </w:t>
            </w:r>
            <w:r w:rsidR="00880B6D">
              <w:rPr>
                <w:rFonts w:hint="cs"/>
                <w:rtl/>
              </w:rPr>
              <w:t xml:space="preserve">יישום תיקון </w:t>
            </w:r>
            <w:r w:rsidR="00880B6D" w:rsidRPr="00880B6D">
              <w:rPr>
                <w:rFonts w:asciiTheme="majorBidi" w:hAnsiTheme="majorBidi" w:cstheme="majorBidi"/>
              </w:rPr>
              <w:t>ASU2022-02</w:t>
            </w:r>
            <w:r w:rsidR="00880B6D">
              <w:rPr>
                <w:rFonts w:hint="cs"/>
                <w:rtl/>
              </w:rPr>
              <w:t xml:space="preserve"> בנושא</w:t>
            </w:r>
            <w:r w:rsidR="00880B6D" w:rsidRPr="00880B6D">
              <w:t>Troubled Debt Restructurings and Vintage</w:t>
            </w:r>
            <w:r w:rsidR="00880B6D">
              <w:t xml:space="preserve"> Disclosures</w:t>
            </w:r>
            <w:r w:rsidR="00880B6D" w:rsidRPr="00880B6D">
              <w:t xml:space="preserve">" </w:t>
            </w:r>
            <w:r w:rsidR="00880B6D">
              <w:rPr>
                <w:rFonts w:hint="cs"/>
                <w:rtl/>
              </w:rPr>
              <w:t>". התיקון</w:t>
            </w:r>
            <w:r w:rsidR="00853C72">
              <w:t xml:space="preserve"> </w:t>
            </w:r>
            <w:r w:rsidR="00853C72" w:rsidRPr="00B37522">
              <w:rPr>
                <w:rtl/>
              </w:rPr>
              <w:t xml:space="preserve">מבטל את </w:t>
            </w:r>
            <w:r w:rsidR="00853C72" w:rsidRPr="00B37522">
              <w:rPr>
                <w:rFonts w:hint="cs"/>
                <w:rtl/>
              </w:rPr>
              <w:t>ה</w:t>
            </w:r>
            <w:r w:rsidR="00853C72" w:rsidRPr="00B37522">
              <w:rPr>
                <w:rtl/>
              </w:rPr>
              <w:t xml:space="preserve">הנחיות </w:t>
            </w:r>
            <w:r w:rsidR="00853C72" w:rsidRPr="00B37522">
              <w:rPr>
                <w:rFonts w:hint="cs"/>
                <w:rtl/>
              </w:rPr>
              <w:t xml:space="preserve">שחלו </w:t>
            </w:r>
            <w:r w:rsidR="00853C72" w:rsidRPr="00B37522">
              <w:rPr>
                <w:rtl/>
              </w:rPr>
              <w:t>לגבי ארגון מחדש של חובות בעיתיים</w:t>
            </w:r>
            <w:r w:rsidR="00853C72" w:rsidRPr="00B37522">
              <w:rPr>
                <w:rFonts w:hint="cs"/>
                <w:rtl/>
              </w:rPr>
              <w:t xml:space="preserve"> </w:t>
            </w:r>
            <w:r w:rsidR="00853C72" w:rsidRPr="0060494B">
              <w:rPr>
                <w:rFonts w:ascii="Calibri" w:eastAsia="Calibri" w:hAnsi="Calibri"/>
                <w:kern w:val="2"/>
              </w:rPr>
              <w:t xml:space="preserve"> </w:t>
            </w:r>
            <w:r w:rsidR="00853C72">
              <w:rPr>
                <w:rFonts w:ascii="Calibri" w:eastAsia="Calibri" w:hAnsi="Calibri"/>
                <w:kern w:val="2"/>
              </w:rPr>
              <w:t>,</w:t>
            </w:r>
            <w:r w:rsidR="00853C72" w:rsidRPr="0060494B">
              <w:rPr>
                <w:rFonts w:ascii="Calibri" w:eastAsia="Calibri" w:hAnsi="Calibri"/>
                <w:kern w:val="2"/>
              </w:rPr>
              <w:t>(TDR)</w:t>
            </w:r>
            <w:r w:rsidRPr="00B37522">
              <w:rPr>
                <w:rFonts w:hint="cs"/>
                <w:rtl/>
              </w:rPr>
              <w:t xml:space="preserve"> </w:t>
            </w:r>
            <w:r w:rsidR="00853C72">
              <w:rPr>
                <w:rFonts w:hint="cs"/>
                <w:rtl/>
              </w:rPr>
              <w:t xml:space="preserve">וקובע </w:t>
            </w:r>
            <w:r w:rsidR="00B2225A">
              <w:rPr>
                <w:rFonts w:hint="cs"/>
                <w:rtl/>
              </w:rPr>
              <w:t>את ה</w:t>
            </w:r>
            <w:r w:rsidRPr="00B37522">
              <w:rPr>
                <w:rFonts w:hint="cs"/>
                <w:rtl/>
              </w:rPr>
              <w:t>ט</w:t>
            </w:r>
            <w:r w:rsidRPr="00B37522">
              <w:rPr>
                <w:rtl/>
              </w:rPr>
              <w:t xml:space="preserve">יפול </w:t>
            </w:r>
            <w:r w:rsidR="00B2225A">
              <w:rPr>
                <w:rFonts w:hint="cs"/>
                <w:rtl/>
              </w:rPr>
              <w:t>ה</w:t>
            </w:r>
            <w:r w:rsidRPr="00B37522">
              <w:rPr>
                <w:rtl/>
              </w:rPr>
              <w:t xml:space="preserve">חשבונאי </w:t>
            </w:r>
            <w:r w:rsidR="00853C72">
              <w:rPr>
                <w:rFonts w:hint="cs"/>
                <w:rtl/>
              </w:rPr>
              <w:t xml:space="preserve">ודרישות </w:t>
            </w:r>
            <w:r w:rsidR="00B2225A">
              <w:rPr>
                <w:rFonts w:hint="cs"/>
                <w:rtl/>
              </w:rPr>
              <w:t>ה</w:t>
            </w:r>
            <w:r w:rsidR="00853C72">
              <w:rPr>
                <w:rFonts w:hint="cs"/>
                <w:rtl/>
              </w:rPr>
              <w:t xml:space="preserve">גילוי לגבי </w:t>
            </w:r>
            <w:r w:rsidRPr="00B37522">
              <w:rPr>
                <w:rtl/>
              </w:rPr>
              <w:t xml:space="preserve">חובות </w:t>
            </w:r>
            <w:r w:rsidRPr="00B37522">
              <w:rPr>
                <w:rFonts w:hint="cs"/>
                <w:rtl/>
              </w:rPr>
              <w:t>של לווים בקשיים פיננסיים שעברו שינוי תנאים</w:t>
            </w:r>
            <w:r w:rsidR="00853C72">
              <w:rPr>
                <w:rFonts w:hint="cs"/>
                <w:rtl/>
              </w:rPr>
              <w:t>.</w:t>
            </w:r>
            <w:r w:rsidRPr="00B37522">
              <w:rPr>
                <w:rFonts w:hint="cs"/>
                <w:rtl/>
              </w:rPr>
              <w:t xml:space="preserve"> </w:t>
            </w:r>
          </w:p>
          <w:p w14:paraId="535C56E3" w14:textId="77777777" w:rsidR="001D1748" w:rsidRPr="0060494B" w:rsidRDefault="001D1748" w:rsidP="00880B6D">
            <w:pPr>
              <w:spacing w:before="80" w:line="259" w:lineRule="auto"/>
              <w:ind w:left="313"/>
              <w:rPr>
                <w:rFonts w:ascii="Calibri" w:eastAsia="Calibri" w:hAnsi="Calibri"/>
                <w:kern w:val="2"/>
                <w:rtl/>
              </w:rPr>
            </w:pPr>
            <w:r w:rsidRPr="00880B6D">
              <w:rPr>
                <w:rtl/>
              </w:rPr>
              <w:t>להלן</w:t>
            </w:r>
            <w:r w:rsidRPr="0060494B">
              <w:rPr>
                <w:rFonts w:ascii="Calibri" w:eastAsia="Calibri" w:hAnsi="Calibri"/>
                <w:kern w:val="2"/>
                <w:rtl/>
              </w:rPr>
              <w:t xml:space="preserve"> </w:t>
            </w:r>
            <w:r w:rsidRPr="0060494B">
              <w:rPr>
                <w:rFonts w:ascii="Calibri" w:eastAsia="Calibri" w:hAnsi="Calibri" w:hint="cs"/>
                <w:kern w:val="2"/>
                <w:rtl/>
              </w:rPr>
              <w:t xml:space="preserve">העדכונים העיקריים בעקבות </w:t>
            </w:r>
            <w:r w:rsidRPr="0060494B">
              <w:rPr>
                <w:rFonts w:ascii="Calibri" w:eastAsia="Calibri" w:hAnsi="Calibri"/>
                <w:kern w:val="2"/>
                <w:rtl/>
              </w:rPr>
              <w:t>התיקון:</w:t>
            </w:r>
          </w:p>
          <w:p w14:paraId="187E3256" w14:textId="77777777" w:rsidR="001D1748" w:rsidRPr="0060494B" w:rsidRDefault="001D1748" w:rsidP="00880B6D">
            <w:pPr>
              <w:numPr>
                <w:ilvl w:val="0"/>
                <w:numId w:val="37"/>
              </w:numPr>
              <w:spacing w:after="40" w:line="259" w:lineRule="auto"/>
              <w:ind w:left="597" w:hanging="284"/>
              <w:rPr>
                <w:rFonts w:ascii="Calibri" w:eastAsia="Calibri" w:hAnsi="Calibri"/>
                <w:kern w:val="2"/>
              </w:rPr>
            </w:pPr>
            <w:r w:rsidRPr="0060494B">
              <w:rPr>
                <w:rFonts w:ascii="Calibri" w:eastAsia="Calibri" w:hAnsi="Calibri"/>
                <w:kern w:val="2"/>
                <w:rtl/>
              </w:rPr>
              <w:t>המונח "חובות שעברו ארגון מחדש של חוב בעייתי" שונה ל"שינויים בתנאים של חובות של לווים בקשיים פיננסיים".</w:t>
            </w:r>
          </w:p>
          <w:p w14:paraId="3C5DC7FD" w14:textId="10D9E73A" w:rsidR="001D1748" w:rsidRPr="0060494B" w:rsidRDefault="001D1748" w:rsidP="00880B6D">
            <w:pPr>
              <w:numPr>
                <w:ilvl w:val="0"/>
                <w:numId w:val="37"/>
              </w:numPr>
              <w:spacing w:after="40" w:line="259" w:lineRule="auto"/>
              <w:ind w:left="597" w:hanging="284"/>
              <w:rPr>
                <w:rFonts w:ascii="Calibri" w:eastAsia="Calibri" w:hAnsi="Calibri"/>
                <w:kern w:val="2"/>
              </w:rPr>
            </w:pPr>
            <w:r w:rsidRPr="0060494B">
              <w:rPr>
                <w:rFonts w:ascii="Calibri" w:eastAsia="Calibri" w:hAnsi="Calibri"/>
                <w:kern w:val="2"/>
                <w:rtl/>
              </w:rPr>
              <w:t>ב</w:t>
            </w:r>
            <w:r w:rsidRPr="0060494B">
              <w:rPr>
                <w:rFonts w:ascii="Calibri" w:eastAsia="Calibri" w:hAnsi="Calibri" w:hint="cs"/>
                <w:kern w:val="2"/>
                <w:rtl/>
              </w:rPr>
              <w:t>ו</w:t>
            </w:r>
            <w:r w:rsidRPr="0060494B">
              <w:rPr>
                <w:rFonts w:ascii="Calibri" w:eastAsia="Calibri" w:hAnsi="Calibri"/>
                <w:kern w:val="2"/>
                <w:rtl/>
              </w:rPr>
              <w:t>טל</w:t>
            </w:r>
            <w:r w:rsidRPr="0060494B">
              <w:rPr>
                <w:rFonts w:ascii="Calibri" w:eastAsia="Calibri" w:hAnsi="Calibri" w:hint="cs"/>
                <w:kern w:val="2"/>
                <w:rtl/>
              </w:rPr>
              <w:t>ו</w:t>
            </w:r>
            <w:r w:rsidRPr="0060494B">
              <w:rPr>
                <w:rFonts w:ascii="Calibri" w:eastAsia="Calibri" w:hAnsi="Calibri"/>
                <w:kern w:val="2"/>
                <w:rtl/>
              </w:rPr>
              <w:t xml:space="preserve"> </w:t>
            </w:r>
            <w:r w:rsidRPr="0060494B">
              <w:rPr>
                <w:rFonts w:ascii="Calibri" w:eastAsia="Calibri" w:hAnsi="Calibri" w:hint="cs"/>
                <w:kern w:val="2"/>
                <w:rtl/>
              </w:rPr>
              <w:t>ה</w:t>
            </w:r>
            <w:r w:rsidRPr="0060494B">
              <w:rPr>
                <w:rFonts w:ascii="Calibri" w:eastAsia="Calibri" w:hAnsi="Calibri"/>
                <w:kern w:val="2"/>
                <w:rtl/>
              </w:rPr>
              <w:t xml:space="preserve">הנחיות לטיפול </w:t>
            </w:r>
            <w:r w:rsidR="00880B6D" w:rsidRPr="00880B6D">
              <w:rPr>
                <w:rFonts w:ascii="Calibri" w:eastAsia="Calibri" w:hAnsi="Calibri" w:hint="cs"/>
                <w:kern w:val="2"/>
                <w:rtl/>
              </w:rPr>
              <w:t xml:space="preserve">בשינויים שבוצעו במסגרת </w:t>
            </w:r>
            <w:r w:rsidR="00880B6D" w:rsidRPr="00880B6D">
              <w:rPr>
                <w:rFonts w:ascii="Calibri" w:eastAsia="Calibri" w:hAnsi="Calibri"/>
                <w:kern w:val="2"/>
                <w:rtl/>
              </w:rPr>
              <w:t>ארגון מחדש של חובות בעיתיים</w:t>
            </w:r>
            <w:r w:rsidR="00880B6D" w:rsidRPr="00880B6D">
              <w:rPr>
                <w:rFonts w:ascii="Calibri" w:eastAsia="Calibri" w:hAnsi="Calibri" w:hint="cs"/>
                <w:kern w:val="2"/>
                <w:rtl/>
              </w:rPr>
              <w:t xml:space="preserve"> </w:t>
            </w:r>
            <w:r w:rsidR="00880B6D" w:rsidRPr="00880B6D">
              <w:rPr>
                <w:rFonts w:ascii="Calibri" w:eastAsia="Calibri" w:hAnsi="Calibri"/>
                <w:kern w:val="2"/>
              </w:rPr>
              <w:t xml:space="preserve"> TDR</w:t>
            </w:r>
            <w:r w:rsidR="00880B6D" w:rsidRPr="00880B6D">
              <w:rPr>
                <w:rFonts w:ascii="Calibri" w:eastAsia="Calibri" w:hAnsi="Calibri" w:hint="cs"/>
                <w:kern w:val="2"/>
                <w:rtl/>
              </w:rPr>
              <w:t>(</w:t>
            </w:r>
            <w:r w:rsidR="00880B6D" w:rsidRPr="00880B6D">
              <w:rPr>
                <w:rFonts w:ascii="Calibri" w:eastAsia="Calibri" w:hAnsi="Calibri"/>
                <w:kern w:val="2"/>
              </w:rPr>
              <w:t>ASC310-40</w:t>
            </w:r>
            <w:r w:rsidR="00880B6D" w:rsidRPr="00880B6D">
              <w:rPr>
                <w:rFonts w:ascii="Calibri" w:eastAsia="Calibri" w:hAnsi="Calibri" w:hint="cs"/>
                <w:kern w:val="2"/>
                <w:rtl/>
              </w:rPr>
              <w:t>)</w:t>
            </w:r>
            <w:r w:rsidR="00880B6D" w:rsidRPr="00880B6D">
              <w:rPr>
                <w:rFonts w:ascii="Calibri" w:eastAsia="Calibri" w:hAnsi="Calibri"/>
                <w:kern w:val="2"/>
                <w:rtl/>
              </w:rPr>
              <w:t>;</w:t>
            </w:r>
            <w:r w:rsidRPr="0060494B">
              <w:rPr>
                <w:rFonts w:ascii="Calibri" w:eastAsia="Calibri" w:hAnsi="Calibri" w:hint="cs"/>
                <w:kern w:val="2"/>
                <w:rtl/>
              </w:rPr>
              <w:t xml:space="preserve"> </w:t>
            </w:r>
            <w:r w:rsidRPr="0060494B">
              <w:rPr>
                <w:rFonts w:ascii="Calibri" w:eastAsia="Calibri" w:hAnsi="Calibri"/>
                <w:kern w:val="2"/>
                <w:rtl/>
              </w:rPr>
              <w:t>כל הש</w:t>
            </w:r>
            <w:r w:rsidRPr="0060494B">
              <w:rPr>
                <w:rFonts w:ascii="Calibri" w:eastAsia="Calibri" w:hAnsi="Calibri" w:hint="cs"/>
                <w:kern w:val="2"/>
                <w:rtl/>
              </w:rPr>
              <w:t>י</w:t>
            </w:r>
            <w:r w:rsidRPr="0060494B">
              <w:rPr>
                <w:rFonts w:ascii="Calibri" w:eastAsia="Calibri" w:hAnsi="Calibri"/>
                <w:kern w:val="2"/>
                <w:rtl/>
              </w:rPr>
              <w:t>נויים שמבוצעים ב</w:t>
            </w:r>
            <w:r w:rsidRPr="0060494B">
              <w:rPr>
                <w:rFonts w:ascii="Calibri" w:eastAsia="Calibri" w:hAnsi="Calibri" w:hint="cs"/>
                <w:kern w:val="2"/>
                <w:rtl/>
              </w:rPr>
              <w:t xml:space="preserve">תנאי </w:t>
            </w:r>
            <w:r w:rsidRPr="0060494B">
              <w:rPr>
                <w:rFonts w:ascii="Calibri" w:eastAsia="Calibri" w:hAnsi="Calibri"/>
                <w:kern w:val="2"/>
                <w:rtl/>
              </w:rPr>
              <w:t>חובות</w:t>
            </w:r>
            <w:r w:rsidRPr="0060494B">
              <w:rPr>
                <w:rFonts w:ascii="Calibri" w:eastAsia="Calibri" w:hAnsi="Calibri" w:hint="cs"/>
                <w:kern w:val="2"/>
                <w:rtl/>
              </w:rPr>
              <w:t xml:space="preserve"> של לווים</w:t>
            </w:r>
            <w:r w:rsidRPr="0060494B">
              <w:rPr>
                <w:rFonts w:ascii="Calibri" w:eastAsia="Calibri" w:hAnsi="Calibri"/>
                <w:kern w:val="2"/>
                <w:rtl/>
              </w:rPr>
              <w:t xml:space="preserve"> (בין אם הלווה בעייתי ובין אם לאו) יהיו כפופים ל</w:t>
            </w:r>
            <w:r w:rsidRPr="0060494B">
              <w:rPr>
                <w:rFonts w:ascii="Calibri" w:eastAsia="Calibri" w:hAnsi="Calibri" w:hint="cs"/>
                <w:kern w:val="2"/>
                <w:rtl/>
              </w:rPr>
              <w:t xml:space="preserve">אותן </w:t>
            </w:r>
            <w:r w:rsidRPr="0060494B">
              <w:rPr>
                <w:rFonts w:ascii="Calibri" w:eastAsia="Calibri" w:hAnsi="Calibri"/>
                <w:kern w:val="2"/>
                <w:rtl/>
              </w:rPr>
              <w:t>הנחיות</w:t>
            </w:r>
            <w:r w:rsidRPr="0060494B">
              <w:rPr>
                <w:rFonts w:ascii="Calibri" w:eastAsia="Calibri" w:hAnsi="Calibri"/>
                <w:kern w:val="2"/>
              </w:rPr>
              <w:t xml:space="preserve">(ASC310-20) </w:t>
            </w:r>
            <w:r w:rsidRPr="0060494B">
              <w:rPr>
                <w:rFonts w:ascii="Calibri" w:eastAsia="Calibri" w:hAnsi="Calibri"/>
                <w:kern w:val="2"/>
                <w:rtl/>
              </w:rPr>
              <w:t xml:space="preserve">, כדי לקבוע האם השינוי יטופל כהלוואה חדשה או כהמשך הלוואה קיימת. </w:t>
            </w:r>
          </w:p>
          <w:p w14:paraId="74CDF7F8" w14:textId="77777777" w:rsidR="001D1748" w:rsidRPr="0060494B" w:rsidRDefault="001D1748" w:rsidP="00880B6D">
            <w:pPr>
              <w:numPr>
                <w:ilvl w:val="0"/>
                <w:numId w:val="37"/>
              </w:numPr>
              <w:spacing w:after="40" w:line="259" w:lineRule="auto"/>
              <w:ind w:left="597" w:hanging="284"/>
              <w:rPr>
                <w:rFonts w:ascii="Calibri" w:eastAsia="Calibri" w:hAnsi="Calibri"/>
                <w:kern w:val="2"/>
              </w:rPr>
            </w:pPr>
            <w:r w:rsidRPr="0060494B">
              <w:rPr>
                <w:rFonts w:ascii="Calibri" w:eastAsia="Calibri" w:hAnsi="Calibri"/>
                <w:kern w:val="2"/>
                <w:rtl/>
              </w:rPr>
              <w:t xml:space="preserve">נוספו דרישות גילוי נרחבות לגבי שינויים שבוצעו בתנאי הלוואות ללווים אשר חווים קשיים פיננסיים. </w:t>
            </w:r>
            <w:r w:rsidRPr="0060494B">
              <w:rPr>
                <w:rFonts w:ascii="Calibri" w:eastAsia="Calibri" w:hAnsi="Calibri" w:hint="cs"/>
                <w:kern w:val="2"/>
                <w:rtl/>
              </w:rPr>
              <w:t>עיקרן:</w:t>
            </w:r>
          </w:p>
          <w:p w14:paraId="1CAED4BD" w14:textId="77777777" w:rsidR="001D1748" w:rsidRPr="0060494B" w:rsidRDefault="001D1748" w:rsidP="00880B6D">
            <w:pPr>
              <w:tabs>
                <w:tab w:val="left" w:pos="788"/>
              </w:tabs>
              <w:spacing w:after="20"/>
              <w:ind w:left="738"/>
              <w:rPr>
                <w:rFonts w:ascii="Calibri" w:eastAsia="Calibri" w:hAnsi="Calibri"/>
                <w:kern w:val="2"/>
              </w:rPr>
            </w:pPr>
            <w:r w:rsidRPr="0060494B">
              <w:rPr>
                <w:rFonts w:ascii="Calibri" w:eastAsia="Calibri" w:hAnsi="Calibri"/>
                <w:kern w:val="2"/>
                <w:rtl/>
              </w:rPr>
              <w:t>-</w:t>
            </w:r>
            <w:r w:rsidRPr="0060494B">
              <w:rPr>
                <w:rFonts w:ascii="Calibri" w:eastAsia="Calibri" w:hAnsi="Calibri"/>
                <w:kern w:val="2"/>
                <w:rtl/>
              </w:rPr>
              <w:tab/>
              <w:t xml:space="preserve">סוגי שינויים (וויתור על קרן, הפחתת </w:t>
            </w:r>
            <w:r w:rsidRPr="0060494B">
              <w:rPr>
                <w:rFonts w:ascii="Calibri" w:eastAsia="Calibri" w:hAnsi="Calibri" w:hint="cs"/>
                <w:kern w:val="2"/>
                <w:rtl/>
              </w:rPr>
              <w:t xml:space="preserve">שיעור </w:t>
            </w:r>
            <w:r w:rsidRPr="0060494B">
              <w:rPr>
                <w:rFonts w:ascii="Calibri" w:eastAsia="Calibri" w:hAnsi="Calibri"/>
                <w:kern w:val="2"/>
                <w:rtl/>
              </w:rPr>
              <w:t xml:space="preserve">ריבית, </w:t>
            </w:r>
            <w:r w:rsidRPr="0060494B">
              <w:rPr>
                <w:rFonts w:ascii="Calibri" w:eastAsia="Calibri" w:hAnsi="Calibri" w:hint="cs"/>
                <w:kern w:val="2"/>
                <w:rtl/>
              </w:rPr>
              <w:t>עיכוב תשלום שאינו זניח</w:t>
            </w:r>
            <w:r w:rsidRPr="0060494B">
              <w:rPr>
                <w:rFonts w:ascii="Calibri" w:eastAsia="Calibri" w:hAnsi="Calibri"/>
                <w:kern w:val="2"/>
                <w:rtl/>
              </w:rPr>
              <w:t>, הארכת תקופה).</w:t>
            </w:r>
          </w:p>
          <w:p w14:paraId="7A242302" w14:textId="77777777" w:rsidR="001D1748" w:rsidRPr="0060494B" w:rsidRDefault="001D1748" w:rsidP="00880B6D">
            <w:pPr>
              <w:tabs>
                <w:tab w:val="left" w:pos="788"/>
              </w:tabs>
              <w:spacing w:after="20"/>
              <w:ind w:left="738"/>
              <w:rPr>
                <w:rFonts w:ascii="Calibri" w:eastAsia="Calibri" w:hAnsi="Calibri"/>
                <w:kern w:val="2"/>
                <w:rtl/>
              </w:rPr>
            </w:pPr>
            <w:r w:rsidRPr="0060494B">
              <w:rPr>
                <w:rFonts w:ascii="Calibri" w:eastAsia="Calibri" w:hAnsi="Calibri"/>
                <w:kern w:val="2"/>
                <w:rtl/>
              </w:rPr>
              <w:t>-</w:t>
            </w:r>
            <w:r w:rsidRPr="0060494B">
              <w:rPr>
                <w:rFonts w:ascii="Calibri" w:eastAsia="Calibri" w:hAnsi="Calibri"/>
                <w:kern w:val="2"/>
                <w:rtl/>
              </w:rPr>
              <w:tab/>
              <w:t>ההשפעה הפיננסית של השינויים לפי סוג השינוי.</w:t>
            </w:r>
          </w:p>
          <w:p w14:paraId="57600773" w14:textId="0F8BC7F8" w:rsidR="001D1748" w:rsidRPr="0060494B" w:rsidRDefault="001D1748" w:rsidP="00880B6D">
            <w:pPr>
              <w:spacing w:after="20"/>
              <w:ind w:left="880" w:hanging="142"/>
              <w:rPr>
                <w:rFonts w:ascii="Calibri" w:eastAsia="Calibri" w:hAnsi="Calibri"/>
                <w:kern w:val="2"/>
              </w:rPr>
            </w:pPr>
            <w:r w:rsidRPr="0060494B">
              <w:rPr>
                <w:rFonts w:ascii="Calibri" w:eastAsia="Calibri" w:hAnsi="Calibri"/>
                <w:kern w:val="2"/>
                <w:rtl/>
              </w:rPr>
              <w:t>-</w:t>
            </w:r>
            <w:r w:rsidRPr="0060494B">
              <w:rPr>
                <w:rFonts w:ascii="Calibri" w:eastAsia="Calibri" w:hAnsi="Calibri"/>
                <w:kern w:val="2"/>
                <w:rtl/>
              </w:rPr>
              <w:tab/>
              <w:t>ביצועי</w:t>
            </w:r>
            <w:r w:rsidRPr="0060494B">
              <w:rPr>
                <w:rFonts w:ascii="Calibri" w:eastAsia="Calibri" w:hAnsi="Calibri" w:hint="cs"/>
                <w:kern w:val="2"/>
                <w:rtl/>
              </w:rPr>
              <w:t xml:space="preserve"> פירעון של החוב </w:t>
            </w:r>
            <w:r w:rsidRPr="0060494B">
              <w:rPr>
                <w:rFonts w:ascii="Calibri" w:eastAsia="Calibri" w:hAnsi="Calibri"/>
                <w:kern w:val="2"/>
                <w:rtl/>
              </w:rPr>
              <w:t>ב-12 החודשים שלאחר השינוי</w:t>
            </w:r>
            <w:r w:rsidRPr="0060494B">
              <w:rPr>
                <w:rFonts w:ascii="Calibri" w:eastAsia="Calibri" w:hAnsi="Calibri" w:hint="cs"/>
                <w:kern w:val="2"/>
                <w:rtl/>
              </w:rPr>
              <w:t>; וכן מידע על כשל תשלום של חובות שבוצע בהם שינוי</w:t>
            </w:r>
            <w:r w:rsidR="00880B6D">
              <w:rPr>
                <w:rFonts w:ascii="Calibri" w:eastAsia="Calibri" w:hAnsi="Calibri" w:hint="cs"/>
                <w:kern w:val="2"/>
                <w:rtl/>
              </w:rPr>
              <w:t xml:space="preserve">       </w:t>
            </w:r>
            <w:r w:rsidRPr="0060494B">
              <w:rPr>
                <w:rFonts w:ascii="Calibri" w:eastAsia="Calibri" w:hAnsi="Calibri" w:hint="cs"/>
                <w:kern w:val="2"/>
                <w:rtl/>
              </w:rPr>
              <w:t>במהלך 12 חודשים שקדמו לכשל</w:t>
            </w:r>
            <w:r w:rsidRPr="0060494B">
              <w:rPr>
                <w:rFonts w:ascii="Calibri" w:eastAsia="Calibri" w:hAnsi="Calibri"/>
                <w:kern w:val="2"/>
                <w:rtl/>
              </w:rPr>
              <w:t>.</w:t>
            </w:r>
          </w:p>
          <w:p w14:paraId="1A0AAD35" w14:textId="77777777" w:rsidR="001D1748" w:rsidRPr="0060494B" w:rsidRDefault="001D1748" w:rsidP="00880B6D">
            <w:pPr>
              <w:tabs>
                <w:tab w:val="left" w:pos="788"/>
              </w:tabs>
              <w:spacing w:after="100"/>
              <w:ind w:left="737"/>
              <w:rPr>
                <w:rFonts w:ascii="Calibri" w:eastAsia="Calibri" w:hAnsi="Calibri"/>
                <w:kern w:val="2"/>
              </w:rPr>
            </w:pPr>
            <w:r w:rsidRPr="0060494B">
              <w:rPr>
                <w:rFonts w:ascii="Calibri" w:eastAsia="Calibri" w:hAnsi="Calibri"/>
                <w:kern w:val="2"/>
                <w:rtl/>
              </w:rPr>
              <w:t>-</w:t>
            </w:r>
            <w:r w:rsidRPr="0060494B">
              <w:rPr>
                <w:rFonts w:ascii="Calibri" w:eastAsia="Calibri" w:hAnsi="Calibri"/>
                <w:kern w:val="2"/>
                <w:rtl/>
              </w:rPr>
              <w:tab/>
              <w:t xml:space="preserve">מידע איכותי, </w:t>
            </w:r>
            <w:r w:rsidRPr="0060494B">
              <w:rPr>
                <w:rFonts w:ascii="Calibri" w:eastAsia="Calibri" w:hAnsi="Calibri" w:hint="cs"/>
                <w:kern w:val="2"/>
                <w:rtl/>
              </w:rPr>
              <w:t>לגבי</w:t>
            </w:r>
            <w:r w:rsidRPr="0060494B">
              <w:rPr>
                <w:rFonts w:ascii="Calibri" w:eastAsia="Calibri" w:hAnsi="Calibri"/>
                <w:kern w:val="2"/>
                <w:rtl/>
              </w:rPr>
              <w:t xml:space="preserve"> האופן שבו השינויים וביצועי</w:t>
            </w:r>
            <w:r w:rsidRPr="0060494B">
              <w:rPr>
                <w:rFonts w:ascii="Calibri" w:eastAsia="Calibri" w:hAnsi="Calibri" w:hint="cs"/>
                <w:kern w:val="2"/>
                <w:rtl/>
              </w:rPr>
              <w:t xml:space="preserve"> הלווים </w:t>
            </w:r>
            <w:r w:rsidRPr="0060494B">
              <w:rPr>
                <w:rFonts w:ascii="Calibri" w:eastAsia="Calibri" w:hAnsi="Calibri"/>
                <w:kern w:val="2"/>
                <w:rtl/>
              </w:rPr>
              <w:t xml:space="preserve">נכללים בהערכת ההפרשה להפסדי אשראי. </w:t>
            </w:r>
          </w:p>
          <w:p w14:paraId="26A38958" w14:textId="02DCC9A4" w:rsidR="001D1748" w:rsidRPr="0060494B" w:rsidRDefault="001D1748" w:rsidP="00880B6D">
            <w:pPr>
              <w:numPr>
                <w:ilvl w:val="0"/>
                <w:numId w:val="37"/>
              </w:numPr>
              <w:spacing w:after="40"/>
              <w:ind w:left="596" w:hanging="284"/>
              <w:rPr>
                <w:rFonts w:ascii="Calibri" w:eastAsia="Calibri" w:hAnsi="Calibri"/>
                <w:kern w:val="2"/>
              </w:rPr>
            </w:pPr>
            <w:r w:rsidRPr="0060494B">
              <w:rPr>
                <w:rFonts w:ascii="Calibri" w:eastAsia="Calibri" w:hAnsi="Calibri" w:hint="cs"/>
                <w:kern w:val="2"/>
                <w:rtl/>
              </w:rPr>
              <w:t>בוטלה הדרישה ל</w:t>
            </w:r>
            <w:r w:rsidRPr="0060494B">
              <w:rPr>
                <w:rFonts w:ascii="Calibri" w:eastAsia="Calibri" w:hAnsi="Calibri"/>
                <w:kern w:val="2"/>
                <w:rtl/>
              </w:rPr>
              <w:t>הערכת הפסדי אשראי צפויים</w:t>
            </w:r>
            <w:r w:rsidRPr="0060494B">
              <w:rPr>
                <w:rFonts w:ascii="Calibri" w:eastAsia="Calibri" w:hAnsi="Calibri" w:hint="cs"/>
                <w:kern w:val="2"/>
                <w:rtl/>
              </w:rPr>
              <w:t xml:space="preserve"> לפי </w:t>
            </w:r>
            <w:r w:rsidRPr="0060494B">
              <w:rPr>
                <w:rFonts w:ascii="Calibri" w:eastAsia="Calibri" w:hAnsi="Calibri"/>
                <w:kern w:val="2"/>
                <w:rtl/>
              </w:rPr>
              <w:t>שיטת היוון תזרים מזומנים (</w:t>
            </w:r>
            <w:r w:rsidRPr="0060494B">
              <w:rPr>
                <w:rFonts w:ascii="Calibri" w:eastAsia="Calibri" w:hAnsi="Calibri"/>
                <w:kern w:val="2"/>
              </w:rPr>
              <w:t>DCF</w:t>
            </w:r>
            <w:r w:rsidRPr="0060494B">
              <w:rPr>
                <w:rFonts w:ascii="Calibri" w:eastAsia="Calibri" w:hAnsi="Calibri"/>
                <w:kern w:val="2"/>
                <w:rtl/>
              </w:rPr>
              <w:t xml:space="preserve">) עבור חובות </w:t>
            </w:r>
            <w:r w:rsidRPr="0060494B">
              <w:rPr>
                <w:rFonts w:ascii="Calibri" w:eastAsia="Calibri" w:hAnsi="Calibri" w:hint="cs"/>
                <w:kern w:val="2"/>
                <w:rtl/>
              </w:rPr>
              <w:t xml:space="preserve">שעברו שינוי </w:t>
            </w:r>
            <w:r w:rsidR="00C819D6">
              <w:rPr>
                <w:rFonts w:ascii="Calibri" w:eastAsia="Calibri" w:hAnsi="Calibri" w:hint="cs"/>
                <w:kern w:val="2"/>
                <w:rtl/>
              </w:rPr>
              <w:t xml:space="preserve">תנאים </w:t>
            </w:r>
            <w:r w:rsidRPr="0060494B">
              <w:rPr>
                <w:rFonts w:ascii="Calibri" w:eastAsia="Calibri" w:hAnsi="Calibri"/>
                <w:kern w:val="2"/>
                <w:rtl/>
              </w:rPr>
              <w:t>במסגרת</w:t>
            </w:r>
            <w:r w:rsidR="00C819D6">
              <w:rPr>
                <w:rFonts w:ascii="Calibri" w:eastAsia="Calibri" w:hAnsi="Calibri" w:hint="cs"/>
                <w:kern w:val="2"/>
                <w:rtl/>
              </w:rPr>
              <w:t xml:space="preserve"> הסדר חובות בעייתיים (בע</w:t>
            </w:r>
            <w:r w:rsidR="00C819D6" w:rsidRPr="00DF2215">
              <w:rPr>
                <w:rFonts w:ascii="Calibri" w:eastAsia="Calibri" w:hAnsi="Calibri" w:hint="cs"/>
                <w:kern w:val="2"/>
                <w:rtl/>
              </w:rPr>
              <w:t>בר</w:t>
            </w:r>
            <w:r w:rsidRPr="00DF2215">
              <w:rPr>
                <w:rFonts w:ascii="Calibri" w:eastAsia="Calibri" w:hAnsi="Calibri"/>
                <w:kern w:val="2"/>
                <w:rtl/>
              </w:rPr>
              <w:t xml:space="preserve"> </w:t>
            </w:r>
            <w:r w:rsidRPr="00DF2215">
              <w:rPr>
                <w:rFonts w:ascii="Calibri" w:eastAsia="Calibri" w:hAnsi="Calibri"/>
                <w:kern w:val="2"/>
              </w:rPr>
              <w:t>TDR</w:t>
            </w:r>
            <w:r w:rsidR="00C819D6" w:rsidRPr="00DF2215">
              <w:rPr>
                <w:rFonts w:ascii="Calibri" w:eastAsia="Calibri" w:hAnsi="Calibri" w:hint="cs"/>
                <w:kern w:val="2"/>
                <w:rtl/>
              </w:rPr>
              <w:t>)</w:t>
            </w:r>
            <w:r w:rsidR="00DF2215" w:rsidRPr="00DF2215">
              <w:rPr>
                <w:rFonts w:ascii="Calibri" w:eastAsia="Calibri" w:hAnsi="Calibri" w:hint="cs"/>
                <w:kern w:val="2"/>
                <w:rtl/>
              </w:rPr>
              <w:t>.</w:t>
            </w:r>
          </w:p>
          <w:p w14:paraId="6AD8CC8F" w14:textId="2D1788AB" w:rsidR="001D1748" w:rsidRPr="0060494B" w:rsidRDefault="002A0973" w:rsidP="00880B6D">
            <w:pPr>
              <w:numPr>
                <w:ilvl w:val="0"/>
                <w:numId w:val="37"/>
              </w:numPr>
              <w:spacing w:after="40" w:line="259" w:lineRule="auto"/>
              <w:ind w:left="597" w:hanging="284"/>
              <w:rPr>
                <w:rFonts w:ascii="Calibri" w:eastAsia="Calibri" w:hAnsi="Calibri"/>
                <w:kern w:val="2"/>
              </w:rPr>
            </w:pPr>
            <w:r>
              <w:rPr>
                <w:rFonts w:ascii="Calibri" w:eastAsia="Calibri" w:hAnsi="Calibri" w:hint="cs"/>
                <w:kern w:val="2"/>
                <w:rtl/>
              </w:rPr>
              <w:t xml:space="preserve">מתן </w:t>
            </w:r>
            <w:r w:rsidR="001D1748" w:rsidRPr="0060494B">
              <w:rPr>
                <w:rFonts w:ascii="Calibri" w:eastAsia="Calibri" w:hAnsi="Calibri"/>
                <w:kern w:val="2"/>
                <w:rtl/>
              </w:rPr>
              <w:t>גילוי למחיקות ברוטו בתקופת הדיווח, לפי שנת העמדת אשראי (</w:t>
            </w:r>
            <w:r w:rsidR="001D1748" w:rsidRPr="0060494B">
              <w:rPr>
                <w:rFonts w:ascii="Calibri" w:eastAsia="Calibri" w:hAnsi="Calibri"/>
                <w:kern w:val="2"/>
              </w:rPr>
              <w:t>Vintage Disclosures</w:t>
            </w:r>
            <w:r w:rsidR="001D1748" w:rsidRPr="0060494B">
              <w:rPr>
                <w:rFonts w:ascii="Calibri" w:eastAsia="Calibri" w:hAnsi="Calibri"/>
                <w:kern w:val="2"/>
                <w:rtl/>
              </w:rPr>
              <w:t xml:space="preserve">). </w:t>
            </w:r>
          </w:p>
          <w:bookmarkEnd w:id="16"/>
          <w:p w14:paraId="3E82A72B" w14:textId="77777777" w:rsidR="001D1748" w:rsidRDefault="001D1748" w:rsidP="0047477B">
            <w:pPr>
              <w:spacing w:line="160" w:lineRule="exact"/>
              <w:ind w:left="754"/>
              <w:jc w:val="left"/>
              <w:rPr>
                <w:rFonts w:ascii="Calibri" w:eastAsia="Calibri" w:hAnsi="Calibri"/>
                <w:kern w:val="2"/>
                <w:rtl/>
              </w:rPr>
            </w:pPr>
          </w:p>
          <w:p w14:paraId="1A2C70C1" w14:textId="5D526F3F" w:rsidR="001D1748" w:rsidRPr="001D1748" w:rsidRDefault="001D1748" w:rsidP="00880B6D">
            <w:pPr>
              <w:spacing w:line="259" w:lineRule="auto"/>
              <w:ind w:left="455" w:hanging="142"/>
              <w:jc w:val="left"/>
              <w:rPr>
                <w:rFonts w:ascii="Calibri" w:eastAsia="Calibri" w:hAnsi="Calibri"/>
                <w:kern w:val="2"/>
                <w:u w:val="single"/>
              </w:rPr>
            </w:pPr>
            <w:r w:rsidRPr="001D1748">
              <w:rPr>
                <w:rFonts w:ascii="Calibri" w:eastAsia="Calibri" w:hAnsi="Calibri"/>
                <w:kern w:val="2"/>
                <w:u w:val="single"/>
                <w:rtl/>
              </w:rPr>
              <w:t>תחולה והוראות מעבר:</w:t>
            </w:r>
          </w:p>
          <w:p w14:paraId="2C3D53F6" w14:textId="122B9537" w:rsidR="001D1748" w:rsidRPr="00842E85" w:rsidRDefault="001D1748" w:rsidP="0047477B">
            <w:pPr>
              <w:spacing w:after="80" w:line="259" w:lineRule="auto"/>
              <w:ind w:left="312"/>
              <w:rPr>
                <w:rFonts w:ascii="Calibri" w:eastAsia="Calibri" w:hAnsi="Calibri"/>
                <w:kern w:val="2"/>
                <w:rtl/>
              </w:rPr>
            </w:pPr>
            <w:r w:rsidRPr="0060494B">
              <w:rPr>
                <w:rFonts w:ascii="Calibri" w:eastAsia="Calibri" w:hAnsi="Calibri"/>
                <w:kern w:val="2"/>
                <w:rtl/>
              </w:rPr>
              <w:t xml:space="preserve">ההוראות </w:t>
            </w:r>
            <w:r w:rsidR="00996898">
              <w:rPr>
                <w:rFonts w:ascii="Calibri" w:eastAsia="Calibri" w:hAnsi="Calibri" w:hint="cs"/>
                <w:kern w:val="2"/>
                <w:rtl/>
              </w:rPr>
              <w:t xml:space="preserve">מיושמות לראשונה </w:t>
            </w:r>
            <w:r w:rsidRPr="0060494B">
              <w:rPr>
                <w:rFonts w:ascii="Calibri" w:eastAsia="Calibri" w:hAnsi="Calibri"/>
                <w:kern w:val="2"/>
                <w:rtl/>
              </w:rPr>
              <w:t xml:space="preserve">על </w:t>
            </w:r>
            <w:r w:rsidR="00996898">
              <w:rPr>
                <w:rFonts w:ascii="Calibri" w:eastAsia="Calibri" w:hAnsi="Calibri" w:hint="cs"/>
                <w:kern w:val="2"/>
                <w:rtl/>
              </w:rPr>
              <w:t xml:space="preserve">ידי </w:t>
            </w:r>
            <w:r w:rsidRPr="0060494B">
              <w:rPr>
                <w:rFonts w:ascii="Calibri" w:eastAsia="Calibri" w:hAnsi="Calibri" w:hint="cs"/>
                <w:kern w:val="2"/>
                <w:rtl/>
              </w:rPr>
              <w:t xml:space="preserve">התאגיד הבנקאי </w:t>
            </w:r>
            <w:r w:rsidRPr="0060494B">
              <w:rPr>
                <w:rFonts w:ascii="Calibri" w:eastAsia="Calibri" w:hAnsi="Calibri"/>
                <w:kern w:val="2"/>
                <w:rtl/>
              </w:rPr>
              <w:t>החל מיום 1.1.2024 ואילך</w:t>
            </w:r>
            <w:r w:rsidR="00996898">
              <w:rPr>
                <w:rFonts w:ascii="Calibri" w:eastAsia="Calibri" w:hAnsi="Calibri" w:hint="cs"/>
                <w:kern w:val="2"/>
                <w:rtl/>
              </w:rPr>
              <w:t xml:space="preserve">, </w:t>
            </w:r>
            <w:r w:rsidR="00020F59" w:rsidRPr="00020F59">
              <w:rPr>
                <w:rFonts w:ascii="Calibri" w:eastAsia="Calibri" w:hAnsi="Calibri"/>
                <w:kern w:val="2"/>
                <w:rtl/>
              </w:rPr>
              <w:t>בדרך של "מכאן ואילך" לגבי שינויים בתנאי חוב שיבוצעו לאחר מועד</w:t>
            </w:r>
            <w:r w:rsidR="00996898">
              <w:rPr>
                <w:rFonts w:ascii="Calibri" w:eastAsia="Calibri" w:hAnsi="Calibri" w:hint="cs"/>
                <w:kern w:val="2"/>
                <w:rtl/>
              </w:rPr>
              <w:t xml:space="preserve"> זה.</w:t>
            </w:r>
            <w:r w:rsidR="00020F59">
              <w:rPr>
                <w:rFonts w:ascii="Calibri" w:eastAsia="Calibri" w:hAnsi="Calibri" w:hint="cs"/>
                <w:kern w:val="2"/>
                <w:rtl/>
              </w:rPr>
              <w:t xml:space="preserve"> </w:t>
            </w:r>
            <w:r w:rsidR="00996898">
              <w:rPr>
                <w:rFonts w:ascii="Calibri" w:eastAsia="Calibri" w:hAnsi="Calibri" w:hint="cs"/>
                <w:kern w:val="2"/>
                <w:rtl/>
              </w:rPr>
              <w:t xml:space="preserve">ליישום ההוראות אין </w:t>
            </w:r>
            <w:r w:rsidR="00020F59">
              <w:rPr>
                <w:rFonts w:ascii="Calibri" w:eastAsia="Calibri" w:hAnsi="Calibri" w:hint="cs"/>
                <w:kern w:val="2"/>
                <w:rtl/>
              </w:rPr>
              <w:t xml:space="preserve">השפעה </w:t>
            </w:r>
            <w:r w:rsidR="00996898">
              <w:rPr>
                <w:rFonts w:ascii="Calibri" w:eastAsia="Calibri" w:hAnsi="Calibri" w:hint="cs"/>
                <w:kern w:val="2"/>
                <w:rtl/>
              </w:rPr>
              <w:t xml:space="preserve">על יתרת העודפים </w:t>
            </w:r>
            <w:r w:rsidR="00020F59">
              <w:rPr>
                <w:rFonts w:ascii="Calibri" w:eastAsia="Calibri" w:hAnsi="Calibri" w:hint="cs"/>
                <w:kern w:val="2"/>
                <w:rtl/>
              </w:rPr>
              <w:t>ליום 1.1.2024</w:t>
            </w:r>
            <w:r w:rsidR="00996898">
              <w:rPr>
                <w:rFonts w:ascii="Calibri" w:eastAsia="Calibri" w:hAnsi="Calibri" w:hint="cs"/>
                <w:kern w:val="2"/>
                <w:rtl/>
              </w:rPr>
              <w:t>.</w:t>
            </w:r>
            <w:r w:rsidR="00020F59">
              <w:rPr>
                <w:rFonts w:ascii="Calibri" w:eastAsia="Calibri" w:hAnsi="Calibri" w:hint="cs"/>
                <w:kern w:val="2"/>
                <w:rtl/>
              </w:rPr>
              <w:t xml:space="preserve"> </w:t>
            </w:r>
            <w:r w:rsidR="001946C0">
              <w:rPr>
                <w:rFonts w:ascii="Calibri" w:eastAsia="Calibri" w:hAnsi="Calibri" w:hint="cs"/>
                <w:kern w:val="2"/>
                <w:rtl/>
              </w:rPr>
              <w:t>[</w:t>
            </w:r>
            <w:r w:rsidR="00020F59" w:rsidRPr="001946C0">
              <w:rPr>
                <w:rFonts w:ascii="Calibri" w:eastAsia="Calibri" w:hAnsi="Calibri" w:hint="cs"/>
                <w:b/>
                <w:bCs/>
                <w:kern w:val="2"/>
                <w:sz w:val="18"/>
                <w:szCs w:val="18"/>
                <w:rtl/>
              </w:rPr>
              <w:t xml:space="preserve">/ </w:t>
            </w:r>
            <w:r w:rsidR="00996898" w:rsidRPr="001946C0">
              <w:rPr>
                <w:rFonts w:ascii="Calibri" w:eastAsia="Calibri" w:hAnsi="Calibri" w:hint="cs"/>
                <w:i/>
                <w:iCs/>
                <w:kern w:val="2"/>
                <w:sz w:val="18"/>
                <w:szCs w:val="18"/>
                <w:rtl/>
              </w:rPr>
              <w:t>לחילופין:</w:t>
            </w:r>
            <w:r w:rsidR="00996898" w:rsidRPr="001946C0">
              <w:rPr>
                <w:rFonts w:ascii="Calibri" w:eastAsia="Calibri" w:hAnsi="Calibri" w:hint="cs"/>
                <w:kern w:val="2"/>
                <w:sz w:val="18"/>
                <w:szCs w:val="18"/>
                <w:rtl/>
              </w:rPr>
              <w:t xml:space="preserve"> </w:t>
            </w:r>
            <w:r w:rsidR="00020F59" w:rsidRPr="001946C0">
              <w:rPr>
                <w:rFonts w:ascii="Calibri" w:eastAsia="Calibri" w:hAnsi="Calibri"/>
                <w:kern w:val="2"/>
                <w:sz w:val="18"/>
                <w:szCs w:val="18"/>
                <w:rtl/>
              </w:rPr>
              <w:t xml:space="preserve">ההשפעה ליום 1.1.2024 </w:t>
            </w:r>
            <w:r w:rsidR="00020F59" w:rsidRPr="001946C0">
              <w:rPr>
                <w:rFonts w:ascii="Calibri" w:eastAsia="Calibri" w:hAnsi="Calibri" w:hint="cs"/>
                <w:kern w:val="2"/>
                <w:sz w:val="18"/>
                <w:szCs w:val="18"/>
                <w:rtl/>
              </w:rPr>
              <w:t>של יישום</w:t>
            </w:r>
            <w:r w:rsidR="00020F59" w:rsidRPr="001946C0">
              <w:rPr>
                <w:rFonts w:ascii="Calibri" w:eastAsia="Calibri" w:hAnsi="Calibri"/>
                <w:kern w:val="2"/>
                <w:sz w:val="18"/>
                <w:szCs w:val="18"/>
                <w:rtl/>
              </w:rPr>
              <w:t xml:space="preserve"> </w:t>
            </w:r>
            <w:r w:rsidR="00996898" w:rsidRPr="001946C0">
              <w:rPr>
                <w:rFonts w:ascii="Calibri" w:eastAsia="Calibri" w:hAnsi="Calibri" w:hint="cs"/>
                <w:kern w:val="2"/>
                <w:sz w:val="18"/>
                <w:szCs w:val="18"/>
                <w:rtl/>
              </w:rPr>
              <w:t>ההוראות</w:t>
            </w:r>
            <w:r w:rsidR="00020F59" w:rsidRPr="001946C0">
              <w:rPr>
                <w:rFonts w:ascii="Calibri" w:eastAsia="Calibri" w:hAnsi="Calibri"/>
                <w:kern w:val="2"/>
                <w:sz w:val="18"/>
                <w:szCs w:val="18"/>
                <w:rtl/>
              </w:rPr>
              <w:t xml:space="preserve"> על</w:t>
            </w:r>
            <w:r w:rsidR="00020F59" w:rsidRPr="001946C0">
              <w:rPr>
                <w:rFonts w:ascii="Calibri" w:eastAsia="Calibri" w:hAnsi="Calibri" w:hint="cs"/>
                <w:kern w:val="2"/>
                <w:sz w:val="18"/>
                <w:szCs w:val="18"/>
                <w:rtl/>
              </w:rPr>
              <w:t xml:space="preserve"> </w:t>
            </w:r>
            <w:r w:rsidR="00020F59" w:rsidRPr="001946C0">
              <w:rPr>
                <w:rFonts w:ascii="Calibri" w:eastAsia="Calibri" w:hAnsi="Calibri"/>
                <w:kern w:val="2"/>
                <w:sz w:val="18"/>
                <w:szCs w:val="18"/>
                <w:rtl/>
              </w:rPr>
              <w:t>ההפרשה להפסדי אשראי בגין אשראי מסחרי, אשראי לדיור, ואשראי פרטי אחר</w:t>
            </w:r>
            <w:r w:rsidR="00996898" w:rsidRPr="001946C0">
              <w:rPr>
                <w:rFonts w:ascii="Calibri" w:eastAsia="Calibri" w:hAnsi="Calibri" w:hint="cs"/>
                <w:kern w:val="2"/>
                <w:sz w:val="18"/>
                <w:szCs w:val="18"/>
                <w:rtl/>
              </w:rPr>
              <w:t>,</w:t>
            </w:r>
            <w:r w:rsidR="00020F59" w:rsidRPr="001946C0">
              <w:rPr>
                <w:rFonts w:ascii="Calibri" w:eastAsia="Calibri" w:hAnsi="Calibri" w:hint="cs"/>
                <w:kern w:val="2"/>
                <w:sz w:val="18"/>
                <w:szCs w:val="18"/>
                <w:rtl/>
              </w:rPr>
              <w:t xml:space="preserve"> אינה מהותית.</w:t>
            </w:r>
            <w:r w:rsidR="001946C0">
              <w:rPr>
                <w:rFonts w:ascii="Calibri" w:eastAsia="Calibri" w:hAnsi="Calibri" w:hint="cs"/>
                <w:kern w:val="2"/>
                <w:rtl/>
              </w:rPr>
              <w:t>]</w:t>
            </w:r>
          </w:p>
        </w:tc>
      </w:tr>
      <w:tr w:rsidR="00996898" w:rsidRPr="001B4EFB" w14:paraId="2CFBE536" w14:textId="77777777" w:rsidTr="00245CB1">
        <w:trPr>
          <w:trHeight w:val="1532"/>
        </w:trPr>
        <w:tc>
          <w:tcPr>
            <w:tcW w:w="1020" w:type="dxa"/>
          </w:tcPr>
          <w:p w14:paraId="59EF7E54" w14:textId="77777777" w:rsidR="00996898" w:rsidRPr="001B4EFB" w:rsidRDefault="00996898" w:rsidP="00B10CB3">
            <w:pPr>
              <w:ind w:right="-144"/>
              <w:jc w:val="left"/>
              <w:rPr>
                <w:spacing w:val="-6"/>
                <w:rtl/>
              </w:rPr>
            </w:pPr>
          </w:p>
        </w:tc>
        <w:tc>
          <w:tcPr>
            <w:tcW w:w="9189" w:type="dxa"/>
          </w:tcPr>
          <w:p w14:paraId="29F36A59" w14:textId="77777777" w:rsidR="00996898" w:rsidRPr="00AD3D83" w:rsidRDefault="00A579B4" w:rsidP="00876218">
            <w:pPr>
              <w:pStyle w:val="ac"/>
              <w:numPr>
                <w:ilvl w:val="0"/>
                <w:numId w:val="22"/>
              </w:numPr>
              <w:spacing w:before="120" w:line="240" w:lineRule="auto"/>
              <w:ind w:left="313" w:hanging="283"/>
              <w:contextualSpacing w:val="0"/>
              <w:rPr>
                <w:rFonts w:ascii="Arial" w:hAnsi="Arial" w:cs="Arial"/>
                <w:b/>
                <w:bCs/>
                <w:color w:val="auto"/>
                <w:sz w:val="20"/>
                <w:szCs w:val="20"/>
                <w:lang w:eastAsia="en-US"/>
              </w:rPr>
            </w:pPr>
            <w:r w:rsidRPr="00AD3D83">
              <w:rPr>
                <w:rFonts w:ascii="Arial" w:hAnsi="Arial" w:cs="Arial" w:hint="cs"/>
                <w:b/>
                <w:bCs/>
                <w:color w:val="auto"/>
                <w:sz w:val="20"/>
                <w:szCs w:val="20"/>
                <w:rtl/>
                <w:lang w:eastAsia="en-US"/>
              </w:rPr>
              <w:t>חרבות ברזל</w:t>
            </w:r>
          </w:p>
          <w:p w14:paraId="67EF82E8" w14:textId="4BF10E2A" w:rsidR="00876218" w:rsidRDefault="00876218" w:rsidP="007F6B7A">
            <w:pPr>
              <w:spacing w:before="80" w:line="259" w:lineRule="auto"/>
              <w:ind w:left="313"/>
              <w:rPr>
                <w:rtl/>
              </w:rPr>
            </w:pPr>
            <w:bookmarkStart w:id="17" w:name="_Hlk161239560"/>
            <w:r>
              <w:rPr>
                <w:rtl/>
              </w:rPr>
              <w:t xml:space="preserve">ביום 15 באוקטובר 2023 פרסם בנק ישראל מתווה מקיף רוחבי להקלה על נטל האשראי והעמלות לקבוצות לקוחות שהוגדרו (לקוחות מעגל ראשון - אוכלוסייה שנפגעה מהמלחמה, לקוחות מעגל שני - כל יתר לקוחות הבנק); ביום 8 בנובמבר 2023 </w:t>
            </w:r>
            <w:r w:rsidR="007F6B7A">
              <w:rPr>
                <w:rFonts w:hint="cs"/>
                <w:rtl/>
              </w:rPr>
              <w:t xml:space="preserve">הורחבה תחולת </w:t>
            </w:r>
            <w:r>
              <w:rPr>
                <w:rtl/>
              </w:rPr>
              <w:t xml:space="preserve">לקוחות המעגל הראשון </w:t>
            </w:r>
            <w:r w:rsidR="007F6B7A">
              <w:rPr>
                <w:rFonts w:hint="cs"/>
                <w:rtl/>
              </w:rPr>
              <w:t>גם ל</w:t>
            </w:r>
            <w:r>
              <w:rPr>
                <w:rtl/>
              </w:rPr>
              <w:t xml:space="preserve">אוכלוסייה </w:t>
            </w:r>
            <w:r w:rsidR="007F6B7A">
              <w:rPr>
                <w:rFonts w:hint="cs"/>
                <w:rtl/>
              </w:rPr>
              <w:t xml:space="preserve">ובעלי עסקים </w:t>
            </w:r>
            <w:r>
              <w:rPr>
                <w:rtl/>
              </w:rPr>
              <w:t xml:space="preserve">ביישובי צפון הארץ, אשר פונו על ידי </w:t>
            </w:r>
            <w:r w:rsidR="007F6B7A">
              <w:rPr>
                <w:rFonts w:hint="cs"/>
                <w:rtl/>
              </w:rPr>
              <w:t xml:space="preserve">המדינה. </w:t>
            </w:r>
          </w:p>
          <w:p w14:paraId="3CC6C5AD" w14:textId="33A5E802" w:rsidR="00876218" w:rsidRDefault="00876218" w:rsidP="007F6B7A">
            <w:pPr>
              <w:spacing w:before="80" w:line="259" w:lineRule="auto"/>
              <w:ind w:left="313"/>
              <w:rPr>
                <w:rtl/>
              </w:rPr>
            </w:pPr>
            <w:bookmarkStart w:id="18" w:name="_Hlk162850386"/>
            <w:r>
              <w:rPr>
                <w:rtl/>
              </w:rPr>
              <w:t xml:space="preserve">בעקבות התפתחויות המלחמה והימשכותה, ביום 17.12.23 פרסם בנק ישראל הרחבה למתווה הסיוע ובהתאם הוארך תוקף המתווה ב- 3 חודשים נוספים לשתי קבוצות האוכלוסייה כאמור. הרחבת המתווה </w:t>
            </w:r>
            <w:r w:rsidR="007F6B7A">
              <w:rPr>
                <w:rFonts w:hint="cs"/>
                <w:rtl/>
              </w:rPr>
              <w:t>נכנסה</w:t>
            </w:r>
            <w:r>
              <w:rPr>
                <w:rtl/>
              </w:rPr>
              <w:t xml:space="preserve"> לתוקף בתאריך 1.1.24</w:t>
            </w:r>
            <w:r w:rsidR="007F6B7A">
              <w:rPr>
                <w:rFonts w:hint="cs"/>
                <w:rtl/>
              </w:rPr>
              <w:t>.</w:t>
            </w:r>
          </w:p>
          <w:bookmarkEnd w:id="17"/>
          <w:bookmarkEnd w:id="18"/>
          <w:p w14:paraId="0FC53EC3" w14:textId="4C0056DA" w:rsidR="00876218" w:rsidRDefault="007F6B7A" w:rsidP="00A26724">
            <w:pPr>
              <w:spacing w:before="80" w:after="40" w:line="259" w:lineRule="auto"/>
              <w:ind w:left="312"/>
              <w:rPr>
                <w:rtl/>
              </w:rPr>
            </w:pPr>
            <w:r w:rsidRPr="007F6B7A">
              <w:rPr>
                <w:rtl/>
              </w:rPr>
              <w:t>ביום 4.3.2024</w:t>
            </w:r>
            <w:r>
              <w:rPr>
                <w:rFonts w:hint="cs"/>
                <w:rtl/>
              </w:rPr>
              <w:t>,</w:t>
            </w:r>
            <w:r w:rsidRPr="007F6B7A">
              <w:rPr>
                <w:rtl/>
              </w:rPr>
              <w:t xml:space="preserve"> </w:t>
            </w:r>
            <w:r w:rsidR="00876218">
              <w:rPr>
                <w:rtl/>
              </w:rPr>
              <w:t>לאור הימשכות המלחמה ומתוך רצון להעניק הקלות ייחודיות לחיילי המילואים, הודיע בנק ישראל</w:t>
            </w:r>
            <w:r w:rsidR="00FE03DC">
              <w:rPr>
                <w:rFonts w:hint="cs"/>
                <w:rtl/>
              </w:rPr>
              <w:t>, בפעם השלישית,</w:t>
            </w:r>
            <w:r w:rsidR="00876218">
              <w:rPr>
                <w:rtl/>
              </w:rPr>
              <w:t xml:space="preserve"> על הארכת המתווה </w:t>
            </w:r>
            <w:r w:rsidR="00FE03DC">
              <w:rPr>
                <w:rFonts w:hint="cs"/>
                <w:rtl/>
              </w:rPr>
              <w:t>הקיים</w:t>
            </w:r>
            <w:r w:rsidR="00876218">
              <w:rPr>
                <w:rtl/>
              </w:rPr>
              <w:t xml:space="preserve"> </w:t>
            </w:r>
            <w:r w:rsidR="00FE03DC">
              <w:rPr>
                <w:rFonts w:hint="cs"/>
                <w:rtl/>
              </w:rPr>
              <w:t>ו</w:t>
            </w:r>
            <w:r w:rsidR="00876218">
              <w:rPr>
                <w:rtl/>
              </w:rPr>
              <w:t>הרחבתו לאוכלוסיות נוספות</w:t>
            </w:r>
            <w:r w:rsidR="00FE03DC">
              <w:rPr>
                <w:rFonts w:hint="cs"/>
                <w:rtl/>
              </w:rPr>
              <w:t xml:space="preserve">, </w:t>
            </w:r>
            <w:r w:rsidR="00A26724">
              <w:rPr>
                <w:rFonts w:hint="cs"/>
                <w:rtl/>
              </w:rPr>
              <w:t>שעיקריו:</w:t>
            </w:r>
          </w:p>
          <w:p w14:paraId="1D057ED5" w14:textId="54EC3A9C" w:rsidR="00876218" w:rsidRDefault="00876218" w:rsidP="00A26724">
            <w:pPr>
              <w:numPr>
                <w:ilvl w:val="0"/>
                <w:numId w:val="32"/>
              </w:numPr>
              <w:spacing w:after="60"/>
              <w:ind w:left="738" w:hanging="425"/>
              <w:rPr>
                <w:rtl/>
              </w:rPr>
            </w:pPr>
            <w:r>
              <w:rPr>
                <w:rtl/>
              </w:rPr>
              <w:t xml:space="preserve">הארכת תוקף המתווה הקיים, בשלושה חודשים נוספים, החל מתאריך 1.4.24 </w:t>
            </w:r>
          </w:p>
          <w:p w14:paraId="5423110B" w14:textId="7069249B" w:rsidR="00876218" w:rsidRDefault="00876218" w:rsidP="00A26724">
            <w:pPr>
              <w:numPr>
                <w:ilvl w:val="0"/>
                <w:numId w:val="32"/>
              </w:numPr>
              <w:spacing w:after="60"/>
              <w:ind w:left="738" w:hanging="425"/>
              <w:rPr>
                <w:rtl/>
              </w:rPr>
            </w:pPr>
            <w:r>
              <w:rPr>
                <w:rtl/>
              </w:rPr>
              <w:t>לאוכלוסיית המעגל הראשון יתווספו:</w:t>
            </w:r>
            <w:r w:rsidR="007F6B7A">
              <w:rPr>
                <w:rFonts w:hint="cs"/>
                <w:rtl/>
              </w:rPr>
              <w:t xml:space="preserve"> </w:t>
            </w:r>
            <w:r>
              <w:rPr>
                <w:rtl/>
              </w:rPr>
              <w:t xml:space="preserve">תושבי 8 ישובים </w:t>
            </w:r>
            <w:r w:rsidR="007F6B7A">
              <w:rPr>
                <w:rFonts w:hint="cs"/>
                <w:rtl/>
              </w:rPr>
              <w:t xml:space="preserve">נוספים </w:t>
            </w:r>
            <w:r>
              <w:rPr>
                <w:rtl/>
              </w:rPr>
              <w:t>בצפון שה</w:t>
            </w:r>
            <w:r w:rsidR="007F6B7A">
              <w:rPr>
                <w:rFonts w:hint="cs"/>
                <w:rtl/>
              </w:rPr>
              <w:t xml:space="preserve">וחלט לפנותם; וכן </w:t>
            </w:r>
            <w:r>
              <w:rPr>
                <w:rtl/>
              </w:rPr>
              <w:t>חיילי מילואים שאושפזו בבית חולים (למשך שבוע לפחות) בשל פציעה במהלך המלחמה.</w:t>
            </w:r>
          </w:p>
          <w:p w14:paraId="05AFAB6A" w14:textId="74DE0662" w:rsidR="00876218" w:rsidRDefault="00A26724" w:rsidP="00375161">
            <w:pPr>
              <w:numPr>
                <w:ilvl w:val="0"/>
                <w:numId w:val="32"/>
              </w:numPr>
              <w:spacing w:before="80" w:after="60" w:line="259" w:lineRule="auto"/>
              <w:ind w:left="738" w:hanging="425"/>
              <w:rPr>
                <w:rtl/>
              </w:rPr>
            </w:pPr>
            <w:r>
              <w:rPr>
                <w:rFonts w:hint="cs"/>
                <w:rtl/>
              </w:rPr>
              <w:t xml:space="preserve">הרחבת </w:t>
            </w:r>
            <w:r w:rsidR="00876218">
              <w:rPr>
                <w:rtl/>
              </w:rPr>
              <w:t>תנאי המתווה בהתייחס לחיילי מילואים באוכלוסיית המעגל הראשון</w:t>
            </w:r>
            <w:r>
              <w:rPr>
                <w:rFonts w:hint="cs"/>
                <w:rtl/>
              </w:rPr>
              <w:t>,</w:t>
            </w:r>
            <w:r w:rsidR="00876218">
              <w:rPr>
                <w:rtl/>
              </w:rPr>
              <w:t xml:space="preserve"> </w:t>
            </w:r>
            <w:r>
              <w:rPr>
                <w:rFonts w:hint="cs"/>
                <w:rtl/>
              </w:rPr>
              <w:t xml:space="preserve">במהלך </w:t>
            </w:r>
            <w:r w:rsidR="00876218">
              <w:rPr>
                <w:rtl/>
              </w:rPr>
              <w:t xml:space="preserve">חודשים </w:t>
            </w:r>
            <w:r>
              <w:rPr>
                <w:rFonts w:hint="cs"/>
                <w:rtl/>
              </w:rPr>
              <w:t>4-6/2024</w:t>
            </w:r>
            <w:r w:rsidR="00DD33FC">
              <w:rPr>
                <w:rFonts w:hint="cs"/>
                <w:rtl/>
              </w:rPr>
              <w:t xml:space="preserve"> </w:t>
            </w:r>
            <w:r>
              <w:rPr>
                <w:rFonts w:hint="cs"/>
                <w:rtl/>
              </w:rPr>
              <w:t>(</w:t>
            </w:r>
            <w:r w:rsidR="00876218">
              <w:rPr>
                <w:rtl/>
              </w:rPr>
              <w:t>פטור מעמלות וריבית</w:t>
            </w:r>
            <w:r w:rsidR="00DD33FC">
              <w:rPr>
                <w:rFonts w:hint="cs"/>
                <w:rtl/>
              </w:rPr>
              <w:t xml:space="preserve"> על</w:t>
            </w:r>
            <w:r w:rsidR="00876218">
              <w:rPr>
                <w:rtl/>
              </w:rPr>
              <w:t xml:space="preserve"> יתרת חובה בעו"ש ובחשבון עסקי</w:t>
            </w:r>
            <w:r>
              <w:rPr>
                <w:rFonts w:hint="cs"/>
                <w:rtl/>
              </w:rPr>
              <w:t>).</w:t>
            </w:r>
          </w:p>
          <w:p w14:paraId="0AC9511D" w14:textId="77777777" w:rsidR="001946C0" w:rsidRDefault="001946C0" w:rsidP="001946C0">
            <w:pPr>
              <w:spacing w:line="120" w:lineRule="auto"/>
              <w:ind w:left="312"/>
              <w:rPr>
                <w:rtl/>
              </w:rPr>
            </w:pPr>
          </w:p>
          <w:p w14:paraId="53CE50BB" w14:textId="34DDBE31" w:rsidR="00876218" w:rsidRPr="00B37522" w:rsidRDefault="001946C0" w:rsidP="001946C0">
            <w:pPr>
              <w:spacing w:before="120" w:line="259" w:lineRule="auto"/>
              <w:ind w:left="312"/>
              <w:rPr>
                <w:rtl/>
              </w:rPr>
            </w:pPr>
            <w:r>
              <w:rPr>
                <w:rFonts w:hint="cs"/>
                <w:rtl/>
              </w:rPr>
              <w:t>ביום 17 במרץ 2024 פורסם</w:t>
            </w:r>
            <w:r w:rsidR="00DF7623">
              <w:rPr>
                <w:rFonts w:hint="cs"/>
                <w:rtl/>
              </w:rPr>
              <w:t xml:space="preserve"> ברשומות</w:t>
            </w:r>
            <w:r>
              <w:rPr>
                <w:rFonts w:hint="cs"/>
                <w:rtl/>
              </w:rPr>
              <w:t xml:space="preserve"> "</w:t>
            </w:r>
            <w:r w:rsidRPr="001946C0">
              <w:rPr>
                <w:rtl/>
              </w:rPr>
              <w:t>חוק תשלום מיוחד לשם השגת יעדי התקציב (הוראת שעה - חרבות ברזל), התשפ"ד-2024</w:t>
            </w:r>
            <w:r>
              <w:rPr>
                <w:rFonts w:hint="cs"/>
                <w:rtl/>
              </w:rPr>
              <w:t xml:space="preserve">". באשר לעיקרי החוק והשפעתו ראה ביאור 15. </w:t>
            </w:r>
          </w:p>
        </w:tc>
      </w:tr>
    </w:tbl>
    <w:p w14:paraId="22E12EC9" w14:textId="314320D1" w:rsidR="00DB0062" w:rsidRDefault="00DB0062" w:rsidP="0047477B">
      <w:pPr>
        <w:tabs>
          <w:tab w:val="left" w:pos="2012"/>
        </w:tabs>
        <w:spacing w:after="60" w:line="20" w:lineRule="exact"/>
        <w:ind w:right="-142"/>
        <w:jc w:val="left"/>
        <w:rPr>
          <w:spacing w:val="-6"/>
          <w:rtl/>
        </w:rPr>
      </w:pPr>
    </w:p>
    <w:p w14:paraId="774EB835" w14:textId="77777777" w:rsidR="00DB0062" w:rsidRDefault="00DB0062">
      <w:pPr>
        <w:bidi w:val="0"/>
        <w:jc w:val="left"/>
        <w:rPr>
          <w:spacing w:val="-6"/>
          <w:rtl/>
        </w:rPr>
      </w:pPr>
      <w:r>
        <w:rPr>
          <w:spacing w:val="-6"/>
          <w:rtl/>
        </w:rPr>
        <w:br w:type="page"/>
      </w:r>
    </w:p>
    <w:tbl>
      <w:tblPr>
        <w:bidiVisual/>
        <w:tblW w:w="5000" w:type="pct"/>
        <w:tblInd w:w="-14" w:type="dxa"/>
        <w:tblLook w:val="04A0" w:firstRow="1" w:lastRow="0" w:firstColumn="1" w:lastColumn="0" w:noHBand="0" w:noVBand="1"/>
      </w:tblPr>
      <w:tblGrid>
        <w:gridCol w:w="1002"/>
        <w:gridCol w:w="9205"/>
      </w:tblGrid>
      <w:tr w:rsidR="00DB0062" w:rsidRPr="00F24FEB" w14:paraId="54AAD3ED" w14:textId="77777777" w:rsidTr="003155E3">
        <w:trPr>
          <w:trHeight w:val="259"/>
        </w:trPr>
        <w:tc>
          <w:tcPr>
            <w:tcW w:w="1002" w:type="dxa"/>
          </w:tcPr>
          <w:p w14:paraId="0942FEBE" w14:textId="77777777" w:rsidR="00DB0062" w:rsidRPr="00F24FEB" w:rsidRDefault="00DB0062" w:rsidP="003155E3">
            <w:pPr>
              <w:spacing w:after="60"/>
              <w:ind w:left="454" w:hanging="381"/>
              <w:jc w:val="left"/>
              <w:rPr>
                <w:spacing w:val="-6"/>
                <w:sz w:val="19"/>
                <w:szCs w:val="19"/>
                <w:rtl/>
              </w:rPr>
            </w:pPr>
          </w:p>
        </w:tc>
        <w:tc>
          <w:tcPr>
            <w:tcW w:w="9205" w:type="dxa"/>
          </w:tcPr>
          <w:p w14:paraId="6A337F62" w14:textId="77777777" w:rsidR="00DB0062" w:rsidRPr="00F24FEB" w:rsidRDefault="00DB0062" w:rsidP="00245CB1">
            <w:pPr>
              <w:spacing w:after="60"/>
              <w:ind w:left="159" w:hanging="141"/>
              <w:rPr>
                <w:b/>
                <w:bCs/>
                <w:sz w:val="19"/>
                <w:szCs w:val="19"/>
                <w:rtl/>
              </w:rPr>
            </w:pPr>
            <w:r w:rsidRPr="00F24FEB">
              <w:rPr>
                <w:rFonts w:hint="cs"/>
                <w:b/>
                <w:bCs/>
                <w:sz w:val="19"/>
                <w:szCs w:val="19"/>
                <w:rtl/>
              </w:rPr>
              <w:t>ביאור 1  -  עיקרי המדיניות החשבונאית (המשך):</w:t>
            </w:r>
          </w:p>
        </w:tc>
      </w:tr>
      <w:tr w:rsidR="00DB0062" w:rsidRPr="00F24FEB" w14:paraId="0B76FCAB" w14:textId="77777777" w:rsidTr="003155E3">
        <w:trPr>
          <w:trHeight w:val="259"/>
        </w:trPr>
        <w:tc>
          <w:tcPr>
            <w:tcW w:w="1002" w:type="dxa"/>
          </w:tcPr>
          <w:p w14:paraId="38911892" w14:textId="77777777" w:rsidR="00DB0062" w:rsidRPr="00F24FEB" w:rsidRDefault="00DB0062" w:rsidP="003155E3">
            <w:pPr>
              <w:spacing w:after="60"/>
              <w:ind w:left="454" w:hanging="381"/>
              <w:jc w:val="left"/>
              <w:rPr>
                <w:spacing w:val="-6"/>
                <w:sz w:val="19"/>
                <w:szCs w:val="19"/>
                <w:rtl/>
              </w:rPr>
            </w:pPr>
          </w:p>
        </w:tc>
        <w:tc>
          <w:tcPr>
            <w:tcW w:w="9205" w:type="dxa"/>
          </w:tcPr>
          <w:p w14:paraId="31685AFA" w14:textId="77777777" w:rsidR="00DB0062" w:rsidRPr="00F24FEB" w:rsidRDefault="00DB0062" w:rsidP="003155E3">
            <w:pPr>
              <w:spacing w:after="60"/>
              <w:ind w:left="181"/>
              <w:rPr>
                <w:b/>
                <w:bCs/>
                <w:sz w:val="19"/>
                <w:szCs w:val="19"/>
                <w:rtl/>
              </w:rPr>
            </w:pPr>
            <w:r w:rsidRPr="00F24FEB">
              <w:rPr>
                <w:b/>
                <w:bCs/>
                <w:sz w:val="19"/>
                <w:szCs w:val="19"/>
                <w:rtl/>
              </w:rPr>
              <w:t>ד.</w:t>
            </w:r>
            <w:r w:rsidRPr="00F24FEB">
              <w:rPr>
                <w:rFonts w:hint="cs"/>
                <w:b/>
                <w:bCs/>
                <w:sz w:val="19"/>
                <w:szCs w:val="19"/>
                <w:rtl/>
              </w:rPr>
              <w:t xml:space="preserve"> </w:t>
            </w:r>
            <w:r w:rsidRPr="00F24FEB">
              <w:rPr>
                <w:b/>
                <w:bCs/>
                <w:sz w:val="19"/>
                <w:szCs w:val="19"/>
                <w:rtl/>
              </w:rPr>
              <w:t>עדכונים של כללי חשבונאות מקובלים בבנקים בארה"ב והוראות המפקח על הבנקים:</w:t>
            </w:r>
            <w:r w:rsidRPr="00F24FEB">
              <w:rPr>
                <w:rFonts w:hint="cs"/>
                <w:b/>
                <w:bCs/>
                <w:sz w:val="19"/>
                <w:szCs w:val="19"/>
                <w:rtl/>
              </w:rPr>
              <w:t xml:space="preserve"> </w:t>
            </w:r>
            <w:r w:rsidRPr="00F24FEB">
              <w:rPr>
                <w:rFonts w:hint="cs"/>
                <w:sz w:val="19"/>
                <w:szCs w:val="19"/>
                <w:rtl/>
              </w:rPr>
              <w:t>(המשך)</w:t>
            </w:r>
          </w:p>
        </w:tc>
      </w:tr>
      <w:tr w:rsidR="00DB0062" w:rsidRPr="00F24FEB" w14:paraId="1F0640C2" w14:textId="77777777" w:rsidTr="003155E3">
        <w:trPr>
          <w:trHeight w:val="259"/>
        </w:trPr>
        <w:tc>
          <w:tcPr>
            <w:tcW w:w="1002" w:type="dxa"/>
          </w:tcPr>
          <w:p w14:paraId="6EC7E969" w14:textId="77777777" w:rsidR="00DB0062" w:rsidRPr="00F24FEB" w:rsidRDefault="00DB0062" w:rsidP="003155E3">
            <w:pPr>
              <w:spacing w:after="60"/>
              <w:ind w:left="454" w:hanging="381"/>
              <w:jc w:val="left"/>
              <w:rPr>
                <w:spacing w:val="-6"/>
                <w:sz w:val="19"/>
                <w:szCs w:val="19"/>
                <w:rtl/>
              </w:rPr>
            </w:pPr>
          </w:p>
        </w:tc>
        <w:tc>
          <w:tcPr>
            <w:tcW w:w="9205" w:type="dxa"/>
          </w:tcPr>
          <w:p w14:paraId="06525151" w14:textId="661AD185" w:rsidR="00DB0062" w:rsidRPr="00F24FEB" w:rsidRDefault="00DB0062" w:rsidP="00245CB1">
            <w:pPr>
              <w:spacing w:after="60"/>
              <w:ind w:left="159"/>
              <w:rPr>
                <w:b/>
                <w:bCs/>
                <w:sz w:val="19"/>
                <w:szCs w:val="19"/>
                <w:rtl/>
              </w:rPr>
            </w:pPr>
            <w:r w:rsidRPr="00F24FEB">
              <w:rPr>
                <w:rFonts w:hint="cs"/>
                <w:sz w:val="19"/>
                <w:szCs w:val="19"/>
                <w:rtl/>
              </w:rPr>
              <w:t xml:space="preserve">  </w:t>
            </w:r>
            <w:r w:rsidRPr="00816292">
              <w:rPr>
                <w:rFonts w:hint="cs"/>
                <w:b/>
                <w:bCs/>
                <w:i/>
                <w:iCs/>
                <w:u w:val="single"/>
                <w:rtl/>
              </w:rPr>
              <w:t>עדכונים בתקופה שלפני יישומם:</w:t>
            </w:r>
            <w:r w:rsidRPr="00F24FEB">
              <w:rPr>
                <w:rFonts w:hint="cs"/>
                <w:b/>
                <w:bCs/>
                <w:sz w:val="19"/>
                <w:szCs w:val="19"/>
                <w:rtl/>
              </w:rPr>
              <w:t xml:space="preserve"> </w:t>
            </w:r>
          </w:p>
        </w:tc>
      </w:tr>
      <w:tr w:rsidR="00DB0062" w:rsidRPr="00F24FEB" w14:paraId="6A50E5E2" w14:textId="77777777" w:rsidTr="003155E3">
        <w:trPr>
          <w:trHeight w:val="259"/>
        </w:trPr>
        <w:tc>
          <w:tcPr>
            <w:tcW w:w="1002" w:type="dxa"/>
          </w:tcPr>
          <w:p w14:paraId="0A4DF9FC" w14:textId="77777777" w:rsidR="00DB0062" w:rsidRPr="00F24FEB" w:rsidRDefault="00DB0062" w:rsidP="003155E3">
            <w:pPr>
              <w:spacing w:after="60"/>
              <w:ind w:left="454" w:hanging="381"/>
              <w:jc w:val="left"/>
              <w:rPr>
                <w:spacing w:val="-6"/>
                <w:sz w:val="19"/>
                <w:szCs w:val="19"/>
                <w:rtl/>
              </w:rPr>
            </w:pPr>
          </w:p>
        </w:tc>
        <w:tc>
          <w:tcPr>
            <w:tcW w:w="9205" w:type="dxa"/>
          </w:tcPr>
          <w:p w14:paraId="6C7BF41D" w14:textId="3468C53A" w:rsidR="00DB0062" w:rsidRPr="00DB0062" w:rsidRDefault="00DB0062" w:rsidP="00245CB1">
            <w:pPr>
              <w:pStyle w:val="ac"/>
              <w:numPr>
                <w:ilvl w:val="0"/>
                <w:numId w:val="22"/>
              </w:numPr>
              <w:spacing w:beforeLines="20" w:before="48" w:afterLines="20" w:after="48" w:line="288" w:lineRule="auto"/>
              <w:ind w:left="585" w:hanging="284"/>
              <w:contextualSpacing w:val="0"/>
              <w:rPr>
                <w:b/>
                <w:bCs/>
                <w:sz w:val="20"/>
                <w:szCs w:val="20"/>
                <w:rtl/>
              </w:rPr>
            </w:pPr>
            <w:r w:rsidRPr="00C94E5B">
              <w:rPr>
                <w:rFonts w:asciiTheme="minorBidi" w:hAnsiTheme="minorBidi" w:cstheme="minorBidi"/>
                <w:b/>
                <w:bCs/>
                <w:sz w:val="19"/>
                <w:szCs w:val="19"/>
                <w:rtl/>
              </w:rPr>
              <w:t>סיכון ריבית בתיק הבנקאי</w:t>
            </w:r>
          </w:p>
        </w:tc>
      </w:tr>
      <w:tr w:rsidR="00DB0062" w:rsidRPr="00F24FEB" w14:paraId="5B0CF4B5" w14:textId="77777777" w:rsidTr="003155E3">
        <w:trPr>
          <w:trHeight w:val="259"/>
        </w:trPr>
        <w:tc>
          <w:tcPr>
            <w:tcW w:w="1002" w:type="dxa"/>
          </w:tcPr>
          <w:p w14:paraId="052D8F33" w14:textId="77777777" w:rsidR="00DB0062" w:rsidRPr="00F24FEB" w:rsidRDefault="00DB0062" w:rsidP="003155E3">
            <w:pPr>
              <w:spacing w:after="60"/>
              <w:ind w:left="454" w:hanging="381"/>
              <w:jc w:val="left"/>
              <w:rPr>
                <w:spacing w:val="-6"/>
                <w:sz w:val="19"/>
                <w:szCs w:val="19"/>
                <w:rtl/>
              </w:rPr>
            </w:pPr>
          </w:p>
        </w:tc>
        <w:tc>
          <w:tcPr>
            <w:tcW w:w="9205" w:type="dxa"/>
          </w:tcPr>
          <w:p w14:paraId="474040FA" w14:textId="77777777" w:rsidR="00DB0062" w:rsidRPr="00DB0062" w:rsidRDefault="00DB0062" w:rsidP="00245CB1">
            <w:pPr>
              <w:pStyle w:val="ac"/>
              <w:spacing w:beforeLines="20" w:before="48" w:afterLines="20" w:after="48" w:line="288" w:lineRule="auto"/>
              <w:ind w:left="585"/>
              <w:rPr>
                <w:sz w:val="19"/>
                <w:szCs w:val="19"/>
                <w:rtl/>
              </w:rPr>
            </w:pPr>
            <w:r w:rsidRPr="00DB0062">
              <w:rPr>
                <w:rFonts w:cs="Arial"/>
                <w:sz w:val="19"/>
                <w:szCs w:val="19"/>
                <w:rtl/>
              </w:rPr>
              <w:t>ביום 20 בדצמבר 2023 פורסם חוזר הפיקוח בנושא: "סיכון ריבית בתיק הבנקאי" (הוראת נב"ת 333), אשר מחליף את הוראת נב"ת 333 הקיימת "ניהול סיכון ריבית". עדכון ההוראה משקף את אימוץ המסמך המעודכן של ועדת באזל בנושא סיכון ריבית בתיק הבנקאי. מועד תחילת התיקונים להוראה ביום 1.7.2025.</w:t>
            </w:r>
          </w:p>
          <w:p w14:paraId="07098DAA" w14:textId="77777777" w:rsidR="00DB0062" w:rsidRPr="00DB0062" w:rsidRDefault="00DB0062" w:rsidP="00245CB1">
            <w:pPr>
              <w:pStyle w:val="ac"/>
              <w:spacing w:beforeLines="20" w:before="48" w:afterLines="20" w:after="48" w:line="288" w:lineRule="auto"/>
              <w:ind w:left="585"/>
              <w:rPr>
                <w:sz w:val="19"/>
                <w:szCs w:val="19"/>
                <w:rtl/>
              </w:rPr>
            </w:pPr>
            <w:r w:rsidRPr="00DB0062">
              <w:rPr>
                <w:rFonts w:cs="Arial"/>
                <w:sz w:val="19"/>
                <w:szCs w:val="19"/>
                <w:rtl/>
              </w:rPr>
              <w:t xml:space="preserve">ההוראה קובעת עקרונות על פיהם נדרש תאגיד בנקאי לנהל את סיכון הריבית בתיק הבנקאי ובפרט דרישות לנקיטת פעולות אקטיביות לזיהוי, מדידה, ניטור, בקרה וגילוי אודות הסיכון. </w:t>
            </w:r>
          </w:p>
          <w:p w14:paraId="3FDB4C5A" w14:textId="7DCF04A5" w:rsidR="00DB0062" w:rsidRPr="00DB0062" w:rsidRDefault="00DB0062" w:rsidP="00245CB1">
            <w:pPr>
              <w:pStyle w:val="ac"/>
              <w:spacing w:beforeLines="20" w:before="48" w:afterLines="20" w:after="48" w:line="288" w:lineRule="auto"/>
              <w:ind w:left="585"/>
              <w:rPr>
                <w:rFonts w:cs="Arial"/>
                <w:sz w:val="19"/>
                <w:szCs w:val="19"/>
                <w:rtl/>
              </w:rPr>
            </w:pPr>
            <w:r w:rsidRPr="00DB0062">
              <w:rPr>
                <w:rFonts w:cs="Arial"/>
                <w:sz w:val="19"/>
                <w:szCs w:val="19"/>
                <w:rtl/>
              </w:rPr>
              <w:t xml:space="preserve">העדכונים העיקריים לעקרונות ניהול סיכון הריבית כוללים: הנחיות מפורטות יותר בנוגע לאופן ניהול סיכון הריבית בתיק הבנקאי (ובפרט </w:t>
            </w:r>
            <w:r w:rsidR="001B1F5C">
              <w:rPr>
                <w:rFonts w:cs="Arial" w:hint="cs"/>
                <w:sz w:val="19"/>
                <w:szCs w:val="19"/>
                <w:rtl/>
              </w:rPr>
              <w:t xml:space="preserve">לגבי </w:t>
            </w:r>
            <w:r w:rsidRPr="00DB0062">
              <w:rPr>
                <w:rFonts w:cs="Arial"/>
                <w:sz w:val="19"/>
                <w:szCs w:val="19"/>
                <w:rtl/>
              </w:rPr>
              <w:t>פיתוח תרחישי זעזוע וקיצון במדידת סיכון ריבית, הנחות התנהגותיות והנחות המודל לניהול סיכון הריבית, ותהליך התיקוף הפנימי עבור מערכות מדידה פנימיות ו</w:t>
            </w:r>
            <w:r w:rsidR="00187388">
              <w:rPr>
                <w:rFonts w:cs="Arial" w:hint="cs"/>
                <w:sz w:val="19"/>
                <w:szCs w:val="19"/>
                <w:rtl/>
              </w:rPr>
              <w:t>ה</w:t>
            </w:r>
            <w:r w:rsidRPr="00DB0062">
              <w:rPr>
                <w:rFonts w:cs="Arial"/>
                <w:sz w:val="19"/>
                <w:szCs w:val="19"/>
                <w:rtl/>
              </w:rPr>
              <w:t xml:space="preserve">מודלים); מסגרת סטנדרטית לניהול סיכון הריבית בתיק (אופציונאלית או מחייבת, לפי החלטת המפקח על הבנקים); </w:t>
            </w:r>
            <w:r w:rsidR="001B1F5C">
              <w:rPr>
                <w:rFonts w:cs="Arial" w:hint="cs"/>
                <w:sz w:val="19"/>
                <w:szCs w:val="19"/>
                <w:rtl/>
              </w:rPr>
              <w:t>הגדרה</w:t>
            </w:r>
            <w:r w:rsidRPr="00DB0062">
              <w:rPr>
                <w:rFonts w:cs="Arial"/>
                <w:sz w:val="19"/>
                <w:szCs w:val="19"/>
                <w:rtl/>
              </w:rPr>
              <w:t xml:space="preserve"> מחדש </w:t>
            </w:r>
            <w:r w:rsidR="001B1F5C">
              <w:rPr>
                <w:rFonts w:cs="Arial" w:hint="cs"/>
                <w:sz w:val="19"/>
                <w:szCs w:val="19"/>
                <w:rtl/>
              </w:rPr>
              <w:t xml:space="preserve">של </w:t>
            </w:r>
            <w:r w:rsidRPr="00DB0062">
              <w:rPr>
                <w:rFonts w:cs="Arial"/>
                <w:sz w:val="19"/>
                <w:szCs w:val="19"/>
                <w:rtl/>
              </w:rPr>
              <w:t>מבחן "תאגיד בנקאי חריג".</w:t>
            </w:r>
          </w:p>
        </w:tc>
      </w:tr>
      <w:tr w:rsidR="009906EF" w:rsidRPr="00F24FEB" w14:paraId="09210D23" w14:textId="77777777" w:rsidTr="003155E3">
        <w:trPr>
          <w:trHeight w:val="259"/>
        </w:trPr>
        <w:tc>
          <w:tcPr>
            <w:tcW w:w="1002" w:type="dxa"/>
          </w:tcPr>
          <w:p w14:paraId="666D9ADC" w14:textId="77777777" w:rsidR="009906EF" w:rsidRPr="009906EF" w:rsidRDefault="009906EF" w:rsidP="009906EF">
            <w:pPr>
              <w:spacing w:beforeLines="20" w:before="48" w:afterLines="20" w:after="48" w:line="288" w:lineRule="auto"/>
              <w:ind w:left="311"/>
              <w:rPr>
                <w:b/>
                <w:bCs/>
                <w:rtl/>
              </w:rPr>
            </w:pPr>
          </w:p>
        </w:tc>
        <w:tc>
          <w:tcPr>
            <w:tcW w:w="9205" w:type="dxa"/>
          </w:tcPr>
          <w:p w14:paraId="15DAE21C" w14:textId="13003CE2" w:rsidR="009906EF" w:rsidRPr="009906EF" w:rsidRDefault="009906EF" w:rsidP="00245CB1">
            <w:pPr>
              <w:pStyle w:val="ac"/>
              <w:numPr>
                <w:ilvl w:val="0"/>
                <w:numId w:val="22"/>
              </w:numPr>
              <w:spacing w:beforeLines="20" w:before="48" w:afterLines="20" w:after="48" w:line="288" w:lineRule="auto"/>
              <w:ind w:left="585" w:hanging="284"/>
              <w:contextualSpacing w:val="0"/>
              <w:rPr>
                <w:rFonts w:asciiTheme="minorBidi" w:hAnsiTheme="minorBidi" w:cstheme="minorBidi"/>
                <w:b/>
                <w:bCs/>
                <w:sz w:val="19"/>
                <w:szCs w:val="19"/>
                <w:rtl/>
              </w:rPr>
            </w:pPr>
            <w:r w:rsidRPr="009906EF">
              <w:rPr>
                <w:rFonts w:asciiTheme="minorBidi" w:hAnsiTheme="minorBidi" w:cstheme="minorBidi"/>
                <w:b/>
                <w:bCs/>
                <w:sz w:val="19"/>
                <w:szCs w:val="19"/>
                <w:rtl/>
              </w:rPr>
              <w:t>2023-</w:t>
            </w:r>
            <w:r w:rsidRPr="00C94E5B">
              <w:rPr>
                <w:rFonts w:asciiTheme="minorBidi" w:hAnsiTheme="minorBidi" w:cstheme="minorBidi"/>
                <w:b/>
                <w:bCs/>
                <w:sz w:val="19"/>
                <w:szCs w:val="19"/>
                <w:rtl/>
              </w:rPr>
              <w:t>07</w:t>
            </w:r>
            <w:r w:rsidRPr="009906EF">
              <w:rPr>
                <w:rFonts w:asciiTheme="minorBidi" w:hAnsiTheme="minorBidi" w:cstheme="minorBidi"/>
                <w:b/>
                <w:bCs/>
                <w:sz w:val="19"/>
                <w:szCs w:val="19"/>
                <w:rtl/>
              </w:rPr>
              <w:t xml:space="preserve"> </w:t>
            </w:r>
            <w:r w:rsidRPr="009906EF">
              <w:rPr>
                <w:rFonts w:asciiTheme="minorBidi" w:hAnsiTheme="minorBidi" w:cstheme="minorBidi"/>
                <w:b/>
                <w:bCs/>
                <w:sz w:val="19"/>
                <w:szCs w:val="19"/>
              </w:rPr>
              <w:t>ASU</w:t>
            </w:r>
            <w:r w:rsidRPr="009906EF">
              <w:rPr>
                <w:rFonts w:asciiTheme="minorBidi" w:hAnsiTheme="minorBidi" w:cstheme="minorBidi"/>
                <w:b/>
                <w:bCs/>
                <w:sz w:val="19"/>
                <w:szCs w:val="19"/>
                <w:rtl/>
              </w:rPr>
              <w:t xml:space="preserve"> </w:t>
            </w:r>
            <w:r>
              <w:rPr>
                <w:rFonts w:asciiTheme="minorBidi" w:hAnsiTheme="minorBidi" w:cstheme="minorBidi" w:hint="cs"/>
                <w:b/>
                <w:bCs/>
                <w:sz w:val="19"/>
                <w:szCs w:val="19"/>
                <w:rtl/>
              </w:rPr>
              <w:t>- תיקון בנושא</w:t>
            </w:r>
            <w:r w:rsidRPr="009906EF">
              <w:rPr>
                <w:rFonts w:asciiTheme="minorBidi" w:hAnsiTheme="minorBidi" w:cstheme="minorBidi"/>
                <w:b/>
                <w:bCs/>
                <w:sz w:val="19"/>
                <w:szCs w:val="19"/>
                <w:rtl/>
              </w:rPr>
              <w:t xml:space="preserve"> שיפורים לגילויים לגבי מגזרי פעילות ברי דיווח</w:t>
            </w:r>
          </w:p>
        </w:tc>
      </w:tr>
      <w:tr w:rsidR="009906EF" w:rsidRPr="00F24FEB" w14:paraId="01FA6E09" w14:textId="77777777" w:rsidTr="003155E3">
        <w:trPr>
          <w:trHeight w:val="259"/>
        </w:trPr>
        <w:tc>
          <w:tcPr>
            <w:tcW w:w="1002" w:type="dxa"/>
          </w:tcPr>
          <w:p w14:paraId="5F2450F3" w14:textId="77777777" w:rsidR="009906EF" w:rsidRPr="00F24FEB" w:rsidRDefault="009906EF" w:rsidP="003155E3">
            <w:pPr>
              <w:spacing w:after="60"/>
              <w:ind w:left="454" w:hanging="381"/>
              <w:jc w:val="left"/>
              <w:rPr>
                <w:spacing w:val="-6"/>
                <w:sz w:val="19"/>
                <w:szCs w:val="19"/>
                <w:rtl/>
              </w:rPr>
            </w:pPr>
          </w:p>
        </w:tc>
        <w:tc>
          <w:tcPr>
            <w:tcW w:w="9205" w:type="dxa"/>
          </w:tcPr>
          <w:p w14:paraId="4E76537E" w14:textId="08718D15" w:rsidR="009906EF" w:rsidRPr="009906EF" w:rsidRDefault="009906EF" w:rsidP="00245CB1">
            <w:pPr>
              <w:pStyle w:val="ac"/>
              <w:spacing w:beforeLines="20" w:before="48" w:afterLines="20" w:after="48" w:line="288" w:lineRule="auto"/>
              <w:ind w:left="585"/>
              <w:rPr>
                <w:rFonts w:cs="Arial"/>
                <w:sz w:val="19"/>
                <w:szCs w:val="19"/>
                <w:rtl/>
              </w:rPr>
            </w:pPr>
            <w:r w:rsidRPr="009906EF">
              <w:rPr>
                <w:rFonts w:asciiTheme="minorBidi" w:hAnsiTheme="minorBidi" w:cs="Arial"/>
                <w:sz w:val="19"/>
                <w:szCs w:val="19"/>
                <w:rtl/>
              </w:rPr>
              <w:t>ביום</w:t>
            </w:r>
            <w:r w:rsidRPr="009906EF">
              <w:rPr>
                <w:rFonts w:cs="Arial"/>
                <w:sz w:val="19"/>
                <w:szCs w:val="19"/>
                <w:rtl/>
              </w:rPr>
              <w:t xml:space="preserve"> 27 בנובמבר 2023 פרס</w:t>
            </w:r>
            <w:r w:rsidR="00C443FB">
              <w:rPr>
                <w:rFonts w:cs="Arial" w:hint="cs"/>
                <w:sz w:val="19"/>
                <w:szCs w:val="19"/>
                <w:rtl/>
              </w:rPr>
              <w:t>מה</w:t>
            </w:r>
            <w:r w:rsidRPr="009906EF">
              <w:rPr>
                <w:rFonts w:cs="Arial"/>
                <w:sz w:val="19"/>
                <w:szCs w:val="19"/>
                <w:rtl/>
              </w:rPr>
              <w:t xml:space="preserve"> ה-</w:t>
            </w:r>
            <w:r w:rsidRPr="009906EF">
              <w:rPr>
                <w:rFonts w:cs="Arial"/>
                <w:sz w:val="19"/>
                <w:szCs w:val="19"/>
              </w:rPr>
              <w:t>FASB</w:t>
            </w:r>
            <w:r w:rsidRPr="009906EF">
              <w:rPr>
                <w:rFonts w:cs="Arial"/>
                <w:sz w:val="19"/>
                <w:szCs w:val="19"/>
                <w:rtl/>
              </w:rPr>
              <w:t xml:space="preserve"> </w:t>
            </w:r>
            <w:r>
              <w:rPr>
                <w:rFonts w:cs="Arial" w:hint="cs"/>
                <w:sz w:val="19"/>
                <w:szCs w:val="19"/>
                <w:rtl/>
              </w:rPr>
              <w:t xml:space="preserve">תיקון אשר </w:t>
            </w:r>
            <w:r w:rsidRPr="009906EF">
              <w:rPr>
                <w:rFonts w:cs="Arial"/>
                <w:sz w:val="19"/>
                <w:szCs w:val="19"/>
                <w:rtl/>
              </w:rPr>
              <w:t xml:space="preserve">נועד לשפר את איכות הדיווח המגזרי של </w:t>
            </w:r>
            <w:r w:rsidRPr="009906EF">
              <w:rPr>
                <w:rFonts w:cs="Arial"/>
                <w:sz w:val="19"/>
                <w:szCs w:val="19"/>
              </w:rPr>
              <w:t>ASC280</w:t>
            </w:r>
            <w:r w:rsidRPr="009906EF">
              <w:rPr>
                <w:rFonts w:cs="Arial"/>
                <w:sz w:val="19"/>
                <w:szCs w:val="19"/>
                <w:rtl/>
              </w:rPr>
              <w:t xml:space="preserve">, באמצעות הרחבת היקף הגילויים לגבי מגזרי פעילות, ובפרט: </w:t>
            </w:r>
          </w:p>
          <w:p w14:paraId="2C6DE217" w14:textId="7A84D2B4" w:rsidR="009906EF" w:rsidRPr="009906EF" w:rsidRDefault="009906EF" w:rsidP="00245CB1">
            <w:pPr>
              <w:numPr>
                <w:ilvl w:val="0"/>
                <w:numId w:val="44"/>
              </w:numPr>
              <w:spacing w:after="40" w:line="259" w:lineRule="auto"/>
              <w:ind w:left="868" w:hanging="283"/>
              <w:rPr>
                <w:sz w:val="19"/>
                <w:szCs w:val="19"/>
                <w:rtl/>
              </w:rPr>
            </w:pPr>
            <w:r w:rsidRPr="009906EF">
              <w:rPr>
                <w:rFonts w:asciiTheme="minorBidi" w:hAnsiTheme="minorBidi"/>
                <w:sz w:val="19"/>
                <w:szCs w:val="19"/>
                <w:rtl/>
              </w:rPr>
              <w:t>גילוי</w:t>
            </w:r>
            <w:r w:rsidRPr="009906EF">
              <w:rPr>
                <w:sz w:val="19"/>
                <w:szCs w:val="19"/>
                <w:rtl/>
              </w:rPr>
              <w:t xml:space="preserve"> בדבר הוצאות משמעותיות המיוחסות למגזר (</w:t>
            </w:r>
            <w:r w:rsidRPr="009906EF">
              <w:rPr>
                <w:sz w:val="19"/>
                <w:szCs w:val="19"/>
              </w:rPr>
              <w:t>expenses segment significant</w:t>
            </w:r>
            <w:r w:rsidRPr="009906EF">
              <w:rPr>
                <w:sz w:val="19"/>
                <w:szCs w:val="19"/>
                <w:rtl/>
              </w:rPr>
              <w:t xml:space="preserve">), ככל שהן מדווחות ל"מקבל ההחלטות התפעוליות הראשי" </w:t>
            </w:r>
            <w:r w:rsidRPr="009906EF">
              <w:rPr>
                <w:sz w:val="19"/>
                <w:szCs w:val="19"/>
              </w:rPr>
              <w:t>CODM</w:t>
            </w:r>
            <w:r w:rsidRPr="009906EF">
              <w:rPr>
                <w:sz w:val="19"/>
                <w:szCs w:val="19"/>
                <w:rtl/>
              </w:rPr>
              <w:t xml:space="preserve"> ונכללות ברווח או ההפסד המגזרי המדווח; </w:t>
            </w:r>
          </w:p>
          <w:p w14:paraId="0E87539E" w14:textId="3CBF7E09" w:rsidR="009906EF" w:rsidRPr="009906EF" w:rsidRDefault="009906EF" w:rsidP="00245CB1">
            <w:pPr>
              <w:numPr>
                <w:ilvl w:val="0"/>
                <w:numId w:val="44"/>
              </w:numPr>
              <w:spacing w:after="40" w:line="259" w:lineRule="auto"/>
              <w:ind w:left="868" w:hanging="283"/>
              <w:rPr>
                <w:sz w:val="19"/>
                <w:szCs w:val="19"/>
                <w:rtl/>
              </w:rPr>
            </w:pPr>
            <w:r w:rsidRPr="00245CB1">
              <w:rPr>
                <w:rFonts w:asciiTheme="minorBidi" w:hAnsiTheme="minorBidi"/>
                <w:sz w:val="19"/>
                <w:szCs w:val="19"/>
                <w:rtl/>
              </w:rPr>
              <w:t>גילוי</w:t>
            </w:r>
            <w:r w:rsidRPr="009906EF">
              <w:rPr>
                <w:sz w:val="19"/>
                <w:szCs w:val="19"/>
                <w:rtl/>
              </w:rPr>
              <w:t xml:space="preserve"> לסכום של פריטי מגזר אחרים לפי מגזר בר דיווח וכן גילוי איכותי להרכב פריטים אלו (לרבות מהות וסוג). סכום זה מייצג את ההפרש בין הכנסות המגזר המדווחות לבין הרווח או ההפסד המדווח של המגזר, בניכוי הוצאות המגזר המשמעותיות) שניתן להן גילוי.</w:t>
            </w:r>
          </w:p>
          <w:p w14:paraId="789F7DE8" w14:textId="3D833B19" w:rsidR="009906EF" w:rsidRPr="009906EF" w:rsidRDefault="009906EF" w:rsidP="00245CB1">
            <w:pPr>
              <w:numPr>
                <w:ilvl w:val="0"/>
                <w:numId w:val="44"/>
              </w:numPr>
              <w:spacing w:after="40" w:line="259" w:lineRule="auto"/>
              <w:ind w:left="868" w:hanging="283"/>
              <w:rPr>
                <w:sz w:val="19"/>
                <w:szCs w:val="19"/>
                <w:rtl/>
              </w:rPr>
            </w:pPr>
            <w:r w:rsidRPr="00245CB1">
              <w:rPr>
                <w:rFonts w:asciiTheme="minorBidi" w:hAnsiTheme="minorBidi"/>
                <w:sz w:val="19"/>
                <w:szCs w:val="19"/>
                <w:rtl/>
              </w:rPr>
              <w:t>גילויים</w:t>
            </w:r>
            <w:r w:rsidRPr="009906EF">
              <w:rPr>
                <w:sz w:val="19"/>
                <w:szCs w:val="19"/>
                <w:rtl/>
              </w:rPr>
              <w:t xml:space="preserve"> הקשורים ל-</w:t>
            </w:r>
            <w:r w:rsidRPr="009906EF">
              <w:rPr>
                <w:sz w:val="19"/>
                <w:szCs w:val="19"/>
              </w:rPr>
              <w:t>CODM</w:t>
            </w:r>
            <w:r>
              <w:rPr>
                <w:rFonts w:hint="cs"/>
                <w:sz w:val="19"/>
                <w:szCs w:val="19"/>
                <w:rtl/>
              </w:rPr>
              <w:t>:</w:t>
            </w:r>
            <w:r w:rsidRPr="009906EF">
              <w:rPr>
                <w:sz w:val="19"/>
                <w:szCs w:val="19"/>
                <w:rtl/>
              </w:rPr>
              <w:t xml:space="preserve"> התואר והתפקיד של בעלי התפקיד/ הוועדה שזוהו כ</w:t>
            </w:r>
            <w:r>
              <w:rPr>
                <w:rFonts w:hint="cs"/>
                <w:sz w:val="19"/>
                <w:szCs w:val="19"/>
                <w:rtl/>
              </w:rPr>
              <w:t xml:space="preserve">- </w:t>
            </w:r>
            <w:r w:rsidRPr="009906EF">
              <w:rPr>
                <w:sz w:val="19"/>
                <w:szCs w:val="19"/>
              </w:rPr>
              <w:t>CODM</w:t>
            </w:r>
            <w:r w:rsidRPr="009906EF">
              <w:rPr>
                <w:sz w:val="19"/>
                <w:szCs w:val="19"/>
                <w:rtl/>
              </w:rPr>
              <w:t xml:space="preserve"> וכיצד ה-</w:t>
            </w:r>
            <w:r w:rsidRPr="009906EF">
              <w:rPr>
                <w:sz w:val="19"/>
                <w:szCs w:val="19"/>
              </w:rPr>
              <w:t>CODM</w:t>
            </w:r>
            <w:r w:rsidRPr="009906EF">
              <w:rPr>
                <w:sz w:val="19"/>
                <w:szCs w:val="19"/>
                <w:rtl/>
              </w:rPr>
              <w:t xml:space="preserve">  משתמש במדדי הרווח או ההפסד המגזרי המדווחים בהערכת ביצועי המגזרים ובהחלטה כיצד להקצות משאבים.</w:t>
            </w:r>
          </w:p>
          <w:p w14:paraId="19AE1F40" w14:textId="4566BE4D" w:rsidR="009906EF" w:rsidRPr="009906EF" w:rsidRDefault="009906EF" w:rsidP="00245CB1">
            <w:pPr>
              <w:numPr>
                <w:ilvl w:val="0"/>
                <w:numId w:val="44"/>
              </w:numPr>
              <w:spacing w:after="40" w:line="259" w:lineRule="auto"/>
              <w:ind w:left="868" w:hanging="283"/>
              <w:rPr>
                <w:sz w:val="19"/>
                <w:szCs w:val="19"/>
                <w:rtl/>
              </w:rPr>
            </w:pPr>
            <w:r w:rsidRPr="009906EF">
              <w:rPr>
                <w:sz w:val="19"/>
                <w:szCs w:val="19"/>
                <w:rtl/>
              </w:rPr>
              <w:t>אם ה</w:t>
            </w:r>
            <w:r>
              <w:rPr>
                <w:rFonts w:hint="cs"/>
                <w:sz w:val="19"/>
                <w:szCs w:val="19"/>
                <w:rtl/>
              </w:rPr>
              <w:t>-</w:t>
            </w:r>
            <w:r w:rsidRPr="009906EF">
              <w:rPr>
                <w:sz w:val="19"/>
                <w:szCs w:val="19"/>
                <w:rtl/>
              </w:rPr>
              <w:t xml:space="preserve"> </w:t>
            </w:r>
            <w:r w:rsidRPr="009906EF">
              <w:rPr>
                <w:sz w:val="19"/>
                <w:szCs w:val="19"/>
              </w:rPr>
              <w:t>CODM</w:t>
            </w:r>
            <w:r w:rsidRPr="009906EF">
              <w:rPr>
                <w:sz w:val="19"/>
                <w:szCs w:val="19"/>
                <w:rtl/>
              </w:rPr>
              <w:t xml:space="preserve"> משתמש ביותר ממדד אחד של רווח או הפסד מגזרי כדי להעריך את הביצועים של המגזר וכדי לקבל החלטות לגבי משאבים שיוקצו למגזר, התאגיד הבנקאי רשאי לדווח על אחד או יותר מאותם מדדי רווחיות נוספים, בתנאים מסוימים.</w:t>
            </w:r>
          </w:p>
          <w:p w14:paraId="0F426A73" w14:textId="27257C8E" w:rsidR="009906EF" w:rsidRPr="00DB0062" w:rsidRDefault="009906EF" w:rsidP="00245CB1">
            <w:pPr>
              <w:pStyle w:val="ac"/>
              <w:spacing w:beforeLines="20" w:before="48" w:afterLines="20" w:after="48" w:line="288" w:lineRule="auto"/>
              <w:ind w:left="585"/>
              <w:rPr>
                <w:rFonts w:cs="Arial"/>
                <w:sz w:val="19"/>
                <w:szCs w:val="19"/>
                <w:rtl/>
              </w:rPr>
            </w:pPr>
            <w:r w:rsidRPr="009906EF">
              <w:rPr>
                <w:rFonts w:cs="Arial"/>
                <w:sz w:val="19"/>
                <w:szCs w:val="19"/>
                <w:rtl/>
              </w:rPr>
              <w:t xml:space="preserve">מועד תחולת </w:t>
            </w:r>
            <w:r w:rsidR="00187388">
              <w:rPr>
                <w:rFonts w:asciiTheme="minorBidi" w:hAnsiTheme="minorBidi" w:cstheme="minorBidi" w:hint="cs"/>
                <w:sz w:val="19"/>
                <w:szCs w:val="19"/>
                <w:rtl/>
              </w:rPr>
              <w:t xml:space="preserve">התיקון </w:t>
            </w:r>
            <w:r w:rsidRPr="009906EF">
              <w:rPr>
                <w:rFonts w:cs="Arial"/>
                <w:sz w:val="19"/>
                <w:szCs w:val="19"/>
                <w:rtl/>
              </w:rPr>
              <w:t xml:space="preserve">הינו בתקופות שנתיות המתחילות לאחר ה-15 בדצמבר 2023 ותקופות ביניים המתחילות לאחר ה-15 בדצמבר 2024. </w:t>
            </w:r>
            <w:r w:rsidR="00187388">
              <w:rPr>
                <w:rFonts w:asciiTheme="minorBidi" w:hAnsiTheme="minorBidi" w:cstheme="minorBidi" w:hint="cs"/>
                <w:sz w:val="19"/>
                <w:szCs w:val="19"/>
                <w:rtl/>
              </w:rPr>
              <w:t xml:space="preserve">התיקון </w:t>
            </w:r>
            <w:r w:rsidRPr="009906EF">
              <w:rPr>
                <w:rFonts w:cs="Arial"/>
                <w:sz w:val="19"/>
                <w:szCs w:val="19"/>
                <w:rtl/>
              </w:rPr>
              <w:t>ייושם למפרע, אלא אם הדבר אינו מעשי.</w:t>
            </w:r>
          </w:p>
        </w:tc>
      </w:tr>
      <w:tr w:rsidR="008C5083" w:rsidRPr="00F24FEB" w14:paraId="7AF85816" w14:textId="77777777" w:rsidTr="00AE6A3F">
        <w:trPr>
          <w:trHeight w:val="259"/>
        </w:trPr>
        <w:tc>
          <w:tcPr>
            <w:tcW w:w="1002" w:type="dxa"/>
          </w:tcPr>
          <w:p w14:paraId="7483ECD0" w14:textId="77777777" w:rsidR="008C5083" w:rsidRPr="00F24FEB" w:rsidRDefault="008C5083" w:rsidP="00DB0062">
            <w:pPr>
              <w:spacing w:beforeLines="20" w:before="48" w:afterLines="20" w:after="48" w:line="288" w:lineRule="auto"/>
              <w:jc w:val="left"/>
              <w:rPr>
                <w:rFonts w:asciiTheme="minorBidi" w:hAnsiTheme="minorBidi" w:cstheme="minorBidi"/>
                <w:spacing w:val="-6"/>
                <w:sz w:val="19"/>
                <w:szCs w:val="19"/>
                <w:rtl/>
              </w:rPr>
            </w:pPr>
          </w:p>
        </w:tc>
        <w:tc>
          <w:tcPr>
            <w:tcW w:w="9205" w:type="dxa"/>
          </w:tcPr>
          <w:p w14:paraId="0420D782" w14:textId="1119904E" w:rsidR="008C5083" w:rsidRPr="00F24FEB" w:rsidRDefault="0028459F" w:rsidP="00245CB1">
            <w:pPr>
              <w:pStyle w:val="ac"/>
              <w:numPr>
                <w:ilvl w:val="0"/>
                <w:numId w:val="22"/>
              </w:numPr>
              <w:spacing w:beforeLines="20" w:before="48" w:afterLines="20" w:after="48" w:line="288" w:lineRule="auto"/>
              <w:ind w:left="585" w:hanging="284"/>
              <w:contextualSpacing w:val="0"/>
              <w:rPr>
                <w:rFonts w:asciiTheme="minorBidi" w:hAnsiTheme="minorBidi" w:cstheme="minorBidi"/>
                <w:sz w:val="19"/>
                <w:szCs w:val="19"/>
                <w:rtl/>
              </w:rPr>
            </w:pPr>
            <w:r>
              <w:rPr>
                <w:rFonts w:asciiTheme="minorBidi" w:hAnsiTheme="minorBidi" w:cstheme="minorBidi"/>
                <w:b/>
                <w:bCs/>
                <w:sz w:val="19"/>
                <w:szCs w:val="19"/>
              </w:rPr>
              <w:t>ASU</w:t>
            </w:r>
            <w:r w:rsidR="008C5083" w:rsidRPr="00F24FEB">
              <w:rPr>
                <w:rFonts w:asciiTheme="minorBidi" w:hAnsiTheme="minorBidi" w:cstheme="minorBidi"/>
                <w:b/>
                <w:bCs/>
                <w:sz w:val="19"/>
                <w:szCs w:val="19"/>
              </w:rPr>
              <w:t xml:space="preserve"> 2023-</w:t>
            </w:r>
            <w:r w:rsidR="008C5083" w:rsidRPr="00C94E5B">
              <w:rPr>
                <w:rFonts w:asciiTheme="minorBidi" w:hAnsiTheme="minorBidi" w:cstheme="minorBidi"/>
                <w:b/>
                <w:bCs/>
                <w:sz w:val="19"/>
                <w:szCs w:val="19"/>
              </w:rPr>
              <w:t>08</w:t>
            </w:r>
            <w:r w:rsidR="008C5083" w:rsidRPr="00F24FEB">
              <w:rPr>
                <w:rFonts w:asciiTheme="minorBidi" w:hAnsiTheme="minorBidi" w:cstheme="minorBidi"/>
                <w:b/>
                <w:bCs/>
                <w:sz w:val="19"/>
                <w:szCs w:val="19"/>
                <w:rtl/>
              </w:rPr>
              <w:t xml:space="preserve"> </w:t>
            </w:r>
            <w:r>
              <w:rPr>
                <w:rFonts w:asciiTheme="minorBidi" w:hAnsiTheme="minorBidi" w:cstheme="minorBidi"/>
                <w:b/>
                <w:bCs/>
                <w:sz w:val="19"/>
                <w:szCs w:val="19"/>
              </w:rPr>
              <w:t>-</w:t>
            </w:r>
            <w:r w:rsidR="008C5083" w:rsidRPr="00F24FEB">
              <w:rPr>
                <w:rFonts w:asciiTheme="minorBidi" w:hAnsiTheme="minorBidi" w:cstheme="minorBidi"/>
                <w:b/>
                <w:bCs/>
                <w:sz w:val="19"/>
                <w:szCs w:val="19"/>
                <w:rtl/>
              </w:rPr>
              <w:t xml:space="preserve"> תיקון בנושא </w:t>
            </w:r>
            <w:r>
              <w:rPr>
                <w:rFonts w:asciiTheme="minorBidi" w:hAnsiTheme="minorBidi" w:cstheme="minorBidi" w:hint="cs"/>
                <w:b/>
                <w:bCs/>
                <w:sz w:val="19"/>
                <w:szCs w:val="19"/>
                <w:rtl/>
              </w:rPr>
              <w:t>הטיפול החשבונאי ודרישות גילוי של נכסי</w:t>
            </w:r>
            <w:r w:rsidR="00B21851">
              <w:rPr>
                <w:rFonts w:asciiTheme="minorBidi" w:hAnsiTheme="minorBidi" w:cstheme="minorBidi" w:hint="cs"/>
                <w:b/>
                <w:bCs/>
                <w:sz w:val="19"/>
                <w:szCs w:val="19"/>
                <w:rtl/>
              </w:rPr>
              <w:t>ם</w:t>
            </w:r>
            <w:r>
              <w:rPr>
                <w:rFonts w:asciiTheme="minorBidi" w:hAnsiTheme="minorBidi" w:cstheme="minorBidi" w:hint="cs"/>
                <w:b/>
                <w:bCs/>
                <w:sz w:val="19"/>
                <w:szCs w:val="19"/>
                <w:rtl/>
              </w:rPr>
              <w:t xml:space="preserve"> קריפטוגרפים</w:t>
            </w:r>
          </w:p>
        </w:tc>
      </w:tr>
      <w:tr w:rsidR="008C5083" w:rsidRPr="00F24FEB" w14:paraId="48FCA024" w14:textId="77777777" w:rsidTr="00AE6A3F">
        <w:trPr>
          <w:trHeight w:val="259"/>
        </w:trPr>
        <w:tc>
          <w:tcPr>
            <w:tcW w:w="1002" w:type="dxa"/>
          </w:tcPr>
          <w:p w14:paraId="33457653" w14:textId="77777777" w:rsidR="008C5083" w:rsidRPr="00F24FEB" w:rsidRDefault="008C5083" w:rsidP="0064480C">
            <w:pPr>
              <w:spacing w:beforeLines="20" w:before="48" w:afterLines="20" w:after="48" w:line="288" w:lineRule="auto"/>
              <w:ind w:left="454" w:hanging="381"/>
              <w:jc w:val="left"/>
              <w:rPr>
                <w:rFonts w:asciiTheme="minorBidi" w:hAnsiTheme="minorBidi" w:cstheme="minorBidi"/>
                <w:spacing w:val="-6"/>
                <w:sz w:val="19"/>
                <w:szCs w:val="19"/>
                <w:rtl/>
              </w:rPr>
            </w:pPr>
          </w:p>
        </w:tc>
        <w:tc>
          <w:tcPr>
            <w:tcW w:w="9205" w:type="dxa"/>
          </w:tcPr>
          <w:p w14:paraId="18D1D8E1" w14:textId="15B43AC6" w:rsidR="00F00A1C" w:rsidRPr="00F24FEB" w:rsidRDefault="00F00A1C" w:rsidP="00245CB1">
            <w:pPr>
              <w:pStyle w:val="ac"/>
              <w:spacing w:beforeLines="20" w:before="48" w:afterLines="20" w:after="48" w:line="288" w:lineRule="auto"/>
              <w:ind w:left="585"/>
              <w:rPr>
                <w:rFonts w:asciiTheme="minorBidi" w:hAnsiTheme="minorBidi" w:cstheme="minorBidi"/>
                <w:sz w:val="19"/>
                <w:szCs w:val="19"/>
                <w:rtl/>
              </w:rPr>
            </w:pPr>
            <w:r w:rsidRPr="00F24FEB">
              <w:rPr>
                <w:rFonts w:asciiTheme="minorBidi" w:hAnsiTheme="minorBidi" w:cs="Arial"/>
                <w:sz w:val="19"/>
                <w:szCs w:val="19"/>
                <w:rtl/>
              </w:rPr>
              <w:t xml:space="preserve">בחודש דצמבר 2023 </w:t>
            </w:r>
            <w:r w:rsidR="009906EF">
              <w:rPr>
                <w:rFonts w:asciiTheme="minorBidi" w:hAnsiTheme="minorBidi" w:cs="Arial" w:hint="cs"/>
                <w:sz w:val="19"/>
                <w:szCs w:val="19"/>
                <w:rtl/>
              </w:rPr>
              <w:t>פרס</w:t>
            </w:r>
            <w:r w:rsidR="00C443FB">
              <w:rPr>
                <w:rFonts w:asciiTheme="minorBidi" w:hAnsiTheme="minorBidi" w:cs="Arial" w:hint="cs"/>
                <w:sz w:val="19"/>
                <w:szCs w:val="19"/>
                <w:rtl/>
              </w:rPr>
              <w:t>מה</w:t>
            </w:r>
            <w:r w:rsidR="009906EF">
              <w:rPr>
                <w:rFonts w:asciiTheme="minorBidi" w:hAnsiTheme="minorBidi" w:cs="Arial" w:hint="cs"/>
                <w:sz w:val="19"/>
                <w:szCs w:val="19"/>
                <w:rtl/>
              </w:rPr>
              <w:t xml:space="preserve"> ה- </w:t>
            </w:r>
            <w:r w:rsidR="009906EF">
              <w:rPr>
                <w:rFonts w:asciiTheme="minorBidi" w:hAnsiTheme="minorBidi" w:cs="Arial"/>
                <w:sz w:val="19"/>
                <w:szCs w:val="19"/>
              </w:rPr>
              <w:t>FASB</w:t>
            </w:r>
            <w:r w:rsidR="009906EF">
              <w:rPr>
                <w:rFonts w:asciiTheme="minorBidi" w:hAnsiTheme="minorBidi" w:cs="Arial" w:hint="cs"/>
                <w:sz w:val="19"/>
                <w:szCs w:val="19"/>
                <w:rtl/>
              </w:rPr>
              <w:t xml:space="preserve"> </w:t>
            </w:r>
            <w:r w:rsidRPr="00F24FEB">
              <w:rPr>
                <w:rFonts w:asciiTheme="minorBidi" w:hAnsiTheme="minorBidi" w:cs="Arial"/>
                <w:sz w:val="19"/>
                <w:szCs w:val="19"/>
                <w:rtl/>
              </w:rPr>
              <w:t>תיקון</w:t>
            </w:r>
            <w:r w:rsidRPr="00F24FEB">
              <w:rPr>
                <w:rFonts w:asciiTheme="minorBidi" w:hAnsiTheme="minorBidi" w:cstheme="minorBidi"/>
                <w:sz w:val="19"/>
                <w:szCs w:val="19"/>
                <w:vertAlign w:val="superscript"/>
                <w:rtl/>
              </w:rPr>
              <w:t>[</w:t>
            </w:r>
            <w:r w:rsidRPr="00F24FEB">
              <w:rPr>
                <w:rStyle w:val="a7"/>
                <w:rFonts w:asciiTheme="minorBidi" w:hAnsiTheme="minorBidi" w:cstheme="minorBidi"/>
                <w:sz w:val="19"/>
                <w:szCs w:val="19"/>
                <w:rtl/>
              </w:rPr>
              <w:footnoteReference w:id="24"/>
            </w:r>
            <w:r w:rsidRPr="00F24FEB">
              <w:rPr>
                <w:rFonts w:asciiTheme="minorBidi" w:hAnsiTheme="minorBidi" w:cstheme="minorBidi"/>
                <w:sz w:val="19"/>
                <w:szCs w:val="19"/>
                <w:vertAlign w:val="superscript"/>
                <w:rtl/>
              </w:rPr>
              <w:t>]</w:t>
            </w:r>
            <w:r w:rsidRPr="00F24FEB">
              <w:rPr>
                <w:rFonts w:asciiTheme="minorBidi" w:hAnsiTheme="minorBidi" w:cs="Arial"/>
                <w:sz w:val="19"/>
                <w:szCs w:val="19"/>
                <w:rtl/>
              </w:rPr>
              <w:t xml:space="preserve"> </w:t>
            </w:r>
            <w:r w:rsidR="0028459F">
              <w:rPr>
                <w:rFonts w:asciiTheme="minorBidi" w:hAnsiTheme="minorBidi" w:cs="Arial" w:hint="cs"/>
                <w:sz w:val="19"/>
                <w:szCs w:val="19"/>
                <w:rtl/>
              </w:rPr>
              <w:t xml:space="preserve">אשר כלל במסגרת </w:t>
            </w:r>
            <w:r w:rsidR="0028459F">
              <w:rPr>
                <w:rFonts w:asciiTheme="minorBidi" w:hAnsiTheme="minorBidi" w:cs="Arial"/>
                <w:sz w:val="19"/>
                <w:szCs w:val="19"/>
              </w:rPr>
              <w:t>ASC350-60</w:t>
            </w:r>
            <w:r w:rsidR="0028459F">
              <w:rPr>
                <w:rFonts w:asciiTheme="minorBidi" w:hAnsiTheme="minorBidi" w:cs="Arial" w:hint="cs"/>
                <w:sz w:val="19"/>
                <w:szCs w:val="19"/>
                <w:rtl/>
              </w:rPr>
              <w:t xml:space="preserve"> </w:t>
            </w:r>
            <w:r w:rsidR="00B21851">
              <w:rPr>
                <w:rFonts w:asciiTheme="minorBidi" w:hAnsiTheme="minorBidi" w:cs="Arial" w:hint="cs"/>
                <w:sz w:val="19"/>
                <w:szCs w:val="19"/>
                <w:rtl/>
              </w:rPr>
              <w:t xml:space="preserve">הוראות </w:t>
            </w:r>
            <w:r w:rsidRPr="00F24FEB">
              <w:rPr>
                <w:rFonts w:asciiTheme="minorBidi" w:hAnsiTheme="minorBidi" w:cs="Arial"/>
                <w:sz w:val="19"/>
                <w:szCs w:val="19"/>
                <w:rtl/>
              </w:rPr>
              <w:t xml:space="preserve">בדבר הטיפול החשבונאי בנכסי </w:t>
            </w:r>
            <w:r w:rsidRPr="00245CB1">
              <w:rPr>
                <w:rFonts w:cs="Arial"/>
                <w:sz w:val="19"/>
                <w:szCs w:val="19"/>
                <w:rtl/>
              </w:rPr>
              <w:t>קריפטו</w:t>
            </w:r>
            <w:r w:rsidR="00B21851">
              <w:rPr>
                <w:rFonts w:asciiTheme="minorBidi" w:hAnsiTheme="minorBidi" w:cs="Arial" w:hint="cs"/>
                <w:sz w:val="19"/>
                <w:szCs w:val="19"/>
                <w:rtl/>
              </w:rPr>
              <w:t xml:space="preserve"> אשר </w:t>
            </w:r>
            <w:r w:rsidRPr="00F24FEB">
              <w:rPr>
                <w:rFonts w:asciiTheme="minorBidi" w:hAnsiTheme="minorBidi" w:cs="Arial"/>
                <w:sz w:val="19"/>
                <w:szCs w:val="19"/>
                <w:rtl/>
              </w:rPr>
              <w:t xml:space="preserve">עומדים בהגדרת נכס בלתי מוחשי ותנאים נוספים המאפיינים נכסי קריפטו </w:t>
            </w:r>
            <w:r w:rsidRPr="00F24FEB">
              <w:rPr>
                <w:rFonts w:asciiTheme="minorBidi" w:hAnsiTheme="minorBidi" w:cs="Arial" w:hint="cs"/>
                <w:sz w:val="19"/>
                <w:szCs w:val="19"/>
                <w:vertAlign w:val="superscript"/>
                <w:rtl/>
              </w:rPr>
              <w:t>[</w:t>
            </w:r>
            <w:r w:rsidRPr="00F24FEB">
              <w:rPr>
                <w:rFonts w:ascii="Aptos" w:eastAsia="Aptos" w:hAnsi="Aptos" w:cs="Arial"/>
                <w:color w:val="auto"/>
                <w:kern w:val="2"/>
                <w:sz w:val="19"/>
                <w:szCs w:val="19"/>
                <w:vertAlign w:val="superscript"/>
                <w:rtl/>
                <w:lang w:eastAsia="en-US"/>
                <w14:ligatures w14:val="standardContextual"/>
              </w:rPr>
              <w:footnoteReference w:id="25"/>
            </w:r>
            <w:r w:rsidRPr="00F24FEB">
              <w:rPr>
                <w:rFonts w:ascii="Aptos" w:eastAsia="Aptos" w:hAnsi="Aptos" w:cs="Arial" w:hint="cs"/>
                <w:color w:val="auto"/>
                <w:kern w:val="2"/>
                <w:sz w:val="19"/>
                <w:szCs w:val="19"/>
                <w:vertAlign w:val="superscript"/>
                <w:rtl/>
                <w:lang w:eastAsia="en-US"/>
                <w14:ligatures w14:val="standardContextual"/>
              </w:rPr>
              <w:t>]</w:t>
            </w:r>
            <w:r w:rsidRPr="00F24FEB">
              <w:rPr>
                <w:rFonts w:asciiTheme="minorBidi" w:hAnsiTheme="minorBidi" w:cstheme="minorBidi" w:hint="cs"/>
                <w:sz w:val="19"/>
                <w:szCs w:val="19"/>
                <w:rtl/>
              </w:rPr>
              <w:t>.</w:t>
            </w:r>
          </w:p>
          <w:p w14:paraId="4579FF76" w14:textId="5D112870" w:rsidR="00F00A1C" w:rsidRPr="00F24FEB" w:rsidRDefault="00F00A1C" w:rsidP="00F00A1C">
            <w:pPr>
              <w:pStyle w:val="ac"/>
              <w:spacing w:beforeLines="20" w:before="48" w:afterLines="20" w:after="48" w:line="288" w:lineRule="auto"/>
              <w:ind w:left="679"/>
              <w:rPr>
                <w:rFonts w:asciiTheme="minorBidi" w:hAnsiTheme="minorBidi" w:cstheme="minorBidi"/>
                <w:sz w:val="19"/>
                <w:szCs w:val="19"/>
                <w:rtl/>
              </w:rPr>
            </w:pPr>
            <w:r w:rsidRPr="00F24FEB">
              <w:rPr>
                <w:rFonts w:asciiTheme="minorBidi" w:hAnsiTheme="minorBidi" w:cs="Arial"/>
                <w:sz w:val="19"/>
                <w:szCs w:val="19"/>
                <w:rtl/>
              </w:rPr>
              <w:t>נכסי קריפטו בתחולת התיקון ימדדו בשווי הוגן</w:t>
            </w:r>
            <w:r w:rsidR="0028459F">
              <w:rPr>
                <w:rFonts w:asciiTheme="minorBidi" w:hAnsiTheme="minorBidi" w:cs="Arial" w:hint="cs"/>
                <w:sz w:val="19"/>
                <w:szCs w:val="19"/>
                <w:rtl/>
              </w:rPr>
              <w:t xml:space="preserve"> </w:t>
            </w:r>
            <w:r w:rsidRPr="00F24FEB">
              <w:rPr>
                <w:rFonts w:asciiTheme="minorBidi" w:hAnsiTheme="minorBidi" w:cs="Arial"/>
                <w:sz w:val="19"/>
                <w:szCs w:val="19"/>
                <w:rtl/>
              </w:rPr>
              <w:t xml:space="preserve">כאשר שינויים בשווי ההוגן יזקפו באופן שוטף לרווח והפסד. </w:t>
            </w:r>
          </w:p>
          <w:p w14:paraId="744A35E5" w14:textId="452DAE99" w:rsidR="00F00A1C" w:rsidRPr="00F24FEB" w:rsidRDefault="00F00A1C" w:rsidP="00245CB1">
            <w:pPr>
              <w:pStyle w:val="ac"/>
              <w:spacing w:beforeLines="20" w:before="48" w:afterLines="20" w:after="48" w:line="288" w:lineRule="auto"/>
              <w:ind w:left="585"/>
              <w:rPr>
                <w:rFonts w:asciiTheme="minorBidi" w:hAnsiTheme="minorBidi" w:cstheme="minorBidi"/>
                <w:sz w:val="19"/>
                <w:szCs w:val="19"/>
                <w:rtl/>
              </w:rPr>
            </w:pPr>
            <w:r w:rsidRPr="00F24FEB">
              <w:rPr>
                <w:rFonts w:asciiTheme="minorBidi" w:hAnsiTheme="minorBidi" w:cs="Arial"/>
                <w:sz w:val="19"/>
                <w:szCs w:val="19"/>
                <w:rtl/>
              </w:rPr>
              <w:t xml:space="preserve">התיקון </w:t>
            </w:r>
            <w:r w:rsidRPr="00245CB1">
              <w:rPr>
                <w:rFonts w:cs="Arial"/>
                <w:sz w:val="19"/>
                <w:szCs w:val="19"/>
                <w:rtl/>
              </w:rPr>
              <w:t>דורש</w:t>
            </w:r>
            <w:r w:rsidRPr="00F24FEB">
              <w:rPr>
                <w:rFonts w:asciiTheme="minorBidi" w:hAnsiTheme="minorBidi" w:cs="Arial"/>
                <w:sz w:val="19"/>
                <w:szCs w:val="19"/>
                <w:rtl/>
              </w:rPr>
              <w:t xml:space="preserve"> הצגה </w:t>
            </w:r>
            <w:r w:rsidR="0028459F">
              <w:rPr>
                <w:rFonts w:asciiTheme="minorBidi" w:hAnsiTheme="minorBidi" w:cs="Arial" w:hint="cs"/>
                <w:sz w:val="19"/>
                <w:szCs w:val="19"/>
                <w:rtl/>
              </w:rPr>
              <w:t xml:space="preserve">בנפרד </w:t>
            </w:r>
            <w:r w:rsidRPr="00F24FEB">
              <w:rPr>
                <w:rFonts w:asciiTheme="minorBidi" w:hAnsiTheme="minorBidi" w:cs="Arial"/>
                <w:sz w:val="19"/>
                <w:szCs w:val="19"/>
                <w:rtl/>
              </w:rPr>
              <w:t>במאזן של נכסי קריפטו הנמדדים בשווי הוגן</w:t>
            </w:r>
            <w:r w:rsidR="0028459F">
              <w:rPr>
                <w:rFonts w:asciiTheme="minorBidi" w:hAnsiTheme="minorBidi" w:cs="Arial" w:hint="cs"/>
                <w:sz w:val="19"/>
                <w:szCs w:val="19"/>
                <w:rtl/>
              </w:rPr>
              <w:t xml:space="preserve">; </w:t>
            </w:r>
            <w:r w:rsidRPr="00F24FEB">
              <w:rPr>
                <w:rFonts w:asciiTheme="minorBidi" w:hAnsiTheme="minorBidi" w:cs="Arial"/>
                <w:sz w:val="19"/>
                <w:szCs w:val="19"/>
                <w:rtl/>
              </w:rPr>
              <w:t>וכן הצגה ברווח והפסד של השינויים בשווי</w:t>
            </w:r>
            <w:r w:rsidR="0028459F">
              <w:rPr>
                <w:rFonts w:asciiTheme="minorBidi" w:hAnsiTheme="minorBidi" w:cs="Arial" w:hint="cs"/>
                <w:sz w:val="19"/>
                <w:szCs w:val="19"/>
                <w:rtl/>
              </w:rPr>
              <w:t>ם</w:t>
            </w:r>
            <w:r w:rsidRPr="00F24FEB">
              <w:rPr>
                <w:rFonts w:asciiTheme="minorBidi" w:hAnsiTheme="minorBidi" w:cs="Arial"/>
                <w:sz w:val="19"/>
                <w:szCs w:val="19"/>
                <w:rtl/>
              </w:rPr>
              <w:t xml:space="preserve"> ההוגן, בנפרד משינויים בערך בספרים (למשל, ירידת ערך והפחתות) של נכסים בלתי מוחשיים אחרים, לרבות נכסים דיגיטליים אחרים שאינם נמדדים בשווי הוגן.</w:t>
            </w:r>
          </w:p>
          <w:p w14:paraId="5E027ED6" w14:textId="598E87BC" w:rsidR="00F00A1C" w:rsidRPr="00F24FEB" w:rsidRDefault="00F00A1C" w:rsidP="00245CB1">
            <w:pPr>
              <w:pStyle w:val="ac"/>
              <w:spacing w:beforeLines="20" w:before="48" w:afterLines="20" w:after="48" w:line="288" w:lineRule="auto"/>
              <w:ind w:left="585"/>
              <w:rPr>
                <w:rFonts w:asciiTheme="minorBidi" w:hAnsiTheme="minorBidi" w:cstheme="minorBidi"/>
                <w:sz w:val="19"/>
                <w:szCs w:val="19"/>
                <w:rtl/>
              </w:rPr>
            </w:pPr>
            <w:r w:rsidRPr="00F24FEB">
              <w:rPr>
                <w:rFonts w:asciiTheme="minorBidi" w:hAnsiTheme="minorBidi" w:cs="Arial"/>
                <w:sz w:val="19"/>
                <w:szCs w:val="19"/>
                <w:rtl/>
              </w:rPr>
              <w:t xml:space="preserve">דרישות הגילוי כוללות תיאור של החזקות משמעותיות בנכסי קריפטו, לתקופות שנתיות ותקופות ביניים (ובפרט שם, בסיס העלות, השווי </w:t>
            </w:r>
            <w:r w:rsidRPr="00245CB1">
              <w:rPr>
                <w:rFonts w:cs="Arial"/>
                <w:sz w:val="19"/>
                <w:szCs w:val="19"/>
                <w:rtl/>
              </w:rPr>
              <w:t>ההוגן</w:t>
            </w:r>
            <w:r w:rsidRPr="00F24FEB">
              <w:rPr>
                <w:rFonts w:asciiTheme="minorBidi" w:hAnsiTheme="minorBidi" w:cs="Arial"/>
                <w:sz w:val="19"/>
                <w:szCs w:val="19"/>
                <w:rtl/>
              </w:rPr>
              <w:t xml:space="preserve"> ומספר היחידות עבור כל נכס קריפטו משמעותי); וכן ביאור התאמה שנתית המפרט את התנועות ביתרות נכסים אלו [תוספות; גריעות; סך כל רווחים והפסדים מצטברים שמומשו במהלך התקופה; וכן רווחים והפסדים שנזקפו לרווח הנקי בתקופה המתייחסת</w:t>
            </w:r>
            <w:r w:rsidR="0028459F">
              <w:rPr>
                <w:rFonts w:asciiTheme="minorBidi" w:hAnsiTheme="minorBidi" w:cs="Arial" w:hint="cs"/>
                <w:sz w:val="19"/>
                <w:szCs w:val="19"/>
                <w:rtl/>
              </w:rPr>
              <w:t>]</w:t>
            </w:r>
            <w:r w:rsidRPr="00F24FEB">
              <w:rPr>
                <w:rFonts w:asciiTheme="minorBidi" w:hAnsiTheme="minorBidi" w:cs="Arial"/>
                <w:sz w:val="19"/>
                <w:szCs w:val="19"/>
                <w:rtl/>
              </w:rPr>
              <w:t xml:space="preserve">. </w:t>
            </w:r>
          </w:p>
          <w:p w14:paraId="0AD92F6A" w14:textId="7F0C3112" w:rsidR="008C5083" w:rsidRPr="00F24FEB" w:rsidRDefault="00F00A1C" w:rsidP="00245CB1">
            <w:pPr>
              <w:pStyle w:val="ac"/>
              <w:spacing w:beforeLines="20" w:before="48" w:afterLines="20" w:after="48" w:line="288" w:lineRule="auto"/>
              <w:ind w:left="585"/>
              <w:rPr>
                <w:rFonts w:asciiTheme="minorBidi" w:hAnsiTheme="minorBidi" w:cstheme="minorBidi"/>
                <w:sz w:val="19"/>
                <w:szCs w:val="19"/>
                <w:rtl/>
              </w:rPr>
            </w:pPr>
            <w:r w:rsidRPr="00F24FEB">
              <w:rPr>
                <w:rFonts w:asciiTheme="minorBidi" w:hAnsiTheme="minorBidi" w:cs="Arial"/>
                <w:sz w:val="19"/>
                <w:szCs w:val="19"/>
                <w:rtl/>
              </w:rPr>
              <w:t xml:space="preserve">עבור נכסי קריפטו הכפופים למגבלות מכירה חוזיות נכון לתאריך המאזן, נדרש לגלות את (1) השווי ההוגן של אותם </w:t>
            </w:r>
            <w:r w:rsidRPr="00245CB1">
              <w:rPr>
                <w:rFonts w:cs="Arial"/>
                <w:sz w:val="19"/>
                <w:szCs w:val="19"/>
                <w:rtl/>
              </w:rPr>
              <w:t>נכסים</w:t>
            </w:r>
            <w:r w:rsidRPr="00F24FEB">
              <w:rPr>
                <w:rFonts w:asciiTheme="minorBidi" w:hAnsiTheme="minorBidi" w:cs="Arial"/>
                <w:sz w:val="19"/>
                <w:szCs w:val="19"/>
                <w:rtl/>
              </w:rPr>
              <w:t>, (2) אופי ותקופת ההגבלות הנותר</w:t>
            </w:r>
            <w:r w:rsidR="0028459F">
              <w:rPr>
                <w:rFonts w:asciiTheme="minorBidi" w:hAnsiTheme="minorBidi" w:cs="Arial" w:hint="cs"/>
                <w:sz w:val="19"/>
                <w:szCs w:val="19"/>
                <w:rtl/>
              </w:rPr>
              <w:t>ת</w:t>
            </w:r>
            <w:r w:rsidRPr="00F24FEB">
              <w:rPr>
                <w:rFonts w:asciiTheme="minorBidi" w:hAnsiTheme="minorBidi" w:cs="Arial"/>
                <w:sz w:val="19"/>
                <w:szCs w:val="19"/>
                <w:rtl/>
              </w:rPr>
              <w:t>, ו-(3) נסיבות שבהן ההגבלות יכול לפוג.</w:t>
            </w:r>
          </w:p>
        </w:tc>
      </w:tr>
      <w:tr w:rsidR="00A9443E" w:rsidRPr="00F24FEB" w14:paraId="5457384C" w14:textId="77777777" w:rsidTr="00AE6A3F">
        <w:trPr>
          <w:trHeight w:val="259"/>
        </w:trPr>
        <w:tc>
          <w:tcPr>
            <w:tcW w:w="1002" w:type="dxa"/>
          </w:tcPr>
          <w:p w14:paraId="25260823" w14:textId="77777777" w:rsidR="00A9443E" w:rsidRPr="00F24FEB" w:rsidRDefault="00A9443E" w:rsidP="0064480C">
            <w:pPr>
              <w:spacing w:beforeLines="20" w:before="48" w:afterLines="20" w:after="48" w:line="288" w:lineRule="auto"/>
              <w:ind w:left="454" w:hanging="381"/>
              <w:jc w:val="left"/>
              <w:rPr>
                <w:rFonts w:asciiTheme="minorBidi" w:hAnsiTheme="minorBidi" w:cstheme="minorBidi"/>
                <w:spacing w:val="-6"/>
                <w:sz w:val="19"/>
                <w:szCs w:val="19"/>
                <w:rtl/>
              </w:rPr>
            </w:pPr>
          </w:p>
        </w:tc>
        <w:tc>
          <w:tcPr>
            <w:tcW w:w="9205" w:type="dxa"/>
          </w:tcPr>
          <w:p w14:paraId="3F12EE92" w14:textId="2785FCBC" w:rsidR="00A9443E" w:rsidRPr="00F24FEB" w:rsidRDefault="0028459F" w:rsidP="00245CB1">
            <w:pPr>
              <w:pStyle w:val="ac"/>
              <w:spacing w:beforeLines="20" w:before="48" w:afterLines="20" w:after="48" w:line="288" w:lineRule="auto"/>
              <w:ind w:left="585"/>
              <w:rPr>
                <w:rFonts w:asciiTheme="minorBidi" w:hAnsiTheme="minorBidi" w:cstheme="minorBidi"/>
                <w:sz w:val="19"/>
                <w:szCs w:val="19"/>
                <w:rtl/>
              </w:rPr>
            </w:pPr>
            <w:r>
              <w:rPr>
                <w:rFonts w:asciiTheme="minorBidi" w:hAnsiTheme="minorBidi" w:cstheme="minorBidi" w:hint="cs"/>
                <w:sz w:val="19"/>
                <w:szCs w:val="19"/>
                <w:rtl/>
              </w:rPr>
              <w:t>מועד התחולה של התיקון הינו ב</w:t>
            </w:r>
            <w:r w:rsidR="005446B2" w:rsidRPr="00F24FEB">
              <w:rPr>
                <w:rFonts w:asciiTheme="minorBidi" w:hAnsiTheme="minorBidi" w:cstheme="minorBidi"/>
                <w:sz w:val="19"/>
                <w:szCs w:val="19"/>
                <w:rtl/>
              </w:rPr>
              <w:t>תקופות שנתיות ותקופות ביניים החל מיום 15 בדצמבר 2024</w:t>
            </w:r>
            <w:r>
              <w:rPr>
                <w:rFonts w:asciiTheme="minorBidi" w:hAnsiTheme="minorBidi" w:cstheme="minorBidi" w:hint="cs"/>
                <w:sz w:val="19"/>
                <w:szCs w:val="19"/>
                <w:rtl/>
              </w:rPr>
              <w:t xml:space="preserve">, </w:t>
            </w:r>
            <w:r w:rsidR="005446B2" w:rsidRPr="00F24FEB">
              <w:rPr>
                <w:rFonts w:asciiTheme="minorBidi" w:hAnsiTheme="minorBidi" w:cstheme="minorBidi"/>
                <w:sz w:val="19"/>
                <w:szCs w:val="19"/>
                <w:rtl/>
              </w:rPr>
              <w:t xml:space="preserve">לפי שיטת יישום למפרע </w:t>
            </w:r>
            <w:r w:rsidR="005446B2" w:rsidRPr="00245CB1">
              <w:rPr>
                <w:rFonts w:cs="Arial"/>
                <w:sz w:val="19"/>
                <w:szCs w:val="19"/>
                <w:rtl/>
              </w:rPr>
              <w:t>מותאם</w:t>
            </w:r>
            <w:r w:rsidR="005446B2" w:rsidRPr="00F24FEB">
              <w:rPr>
                <w:rFonts w:asciiTheme="minorBidi" w:hAnsiTheme="minorBidi" w:cstheme="minorBidi"/>
                <w:sz w:val="19"/>
                <w:szCs w:val="19"/>
                <w:rtl/>
              </w:rPr>
              <w:t xml:space="preserve"> (</w:t>
            </w:r>
            <w:r w:rsidR="005446B2" w:rsidRPr="00F24FEB">
              <w:rPr>
                <w:rFonts w:asciiTheme="minorBidi" w:hAnsiTheme="minorBidi" w:cstheme="minorBidi"/>
                <w:sz w:val="19"/>
                <w:szCs w:val="19"/>
              </w:rPr>
              <w:t>modified retrospective</w:t>
            </w:r>
            <w:r w:rsidR="005446B2" w:rsidRPr="00F24FEB">
              <w:rPr>
                <w:rFonts w:asciiTheme="minorBidi" w:hAnsiTheme="minorBidi" w:cstheme="minorBidi"/>
                <w:sz w:val="19"/>
                <w:szCs w:val="19"/>
                <w:rtl/>
              </w:rPr>
              <w:t xml:space="preserve">), באמצעות התאמת השפעה מצטברת </w:t>
            </w:r>
            <w:r>
              <w:rPr>
                <w:rFonts w:asciiTheme="minorBidi" w:hAnsiTheme="minorBidi" w:cstheme="minorBidi" w:hint="cs"/>
                <w:sz w:val="19"/>
                <w:szCs w:val="19"/>
                <w:rtl/>
              </w:rPr>
              <w:t xml:space="preserve">של </w:t>
            </w:r>
            <w:r w:rsidR="005446B2" w:rsidRPr="00F24FEB">
              <w:rPr>
                <w:rFonts w:asciiTheme="minorBidi" w:hAnsiTheme="minorBidi" w:cstheme="minorBidi"/>
                <w:sz w:val="19"/>
                <w:szCs w:val="19"/>
                <w:rtl/>
              </w:rPr>
              <w:t xml:space="preserve">יתרת </w:t>
            </w:r>
            <w:r>
              <w:rPr>
                <w:rFonts w:asciiTheme="minorBidi" w:hAnsiTheme="minorBidi" w:cstheme="minorBidi" w:hint="cs"/>
                <w:sz w:val="19"/>
                <w:szCs w:val="19"/>
                <w:rtl/>
              </w:rPr>
              <w:t>ה</w:t>
            </w:r>
            <w:r w:rsidR="005446B2" w:rsidRPr="00F24FEB">
              <w:rPr>
                <w:rFonts w:asciiTheme="minorBidi" w:hAnsiTheme="minorBidi" w:cstheme="minorBidi"/>
                <w:sz w:val="19"/>
                <w:szCs w:val="19"/>
                <w:rtl/>
              </w:rPr>
              <w:t xml:space="preserve">עודפים במועד </w:t>
            </w:r>
            <w:r w:rsidR="0006033F" w:rsidRPr="00F24FEB">
              <w:rPr>
                <w:rFonts w:asciiTheme="minorBidi" w:hAnsiTheme="minorBidi" w:cstheme="minorBidi"/>
                <w:sz w:val="19"/>
                <w:szCs w:val="19"/>
                <w:rtl/>
              </w:rPr>
              <w:t>היישום</w:t>
            </w:r>
            <w:r w:rsidR="005446B2" w:rsidRPr="00F24FEB">
              <w:rPr>
                <w:rFonts w:asciiTheme="minorBidi" w:hAnsiTheme="minorBidi" w:cstheme="minorBidi"/>
                <w:sz w:val="19"/>
                <w:szCs w:val="19"/>
                <w:rtl/>
              </w:rPr>
              <w:t xml:space="preserve">. </w:t>
            </w:r>
          </w:p>
        </w:tc>
      </w:tr>
    </w:tbl>
    <w:p w14:paraId="6F27955F" w14:textId="77777777" w:rsidR="00842E85" w:rsidRPr="00842E85" w:rsidRDefault="00842E85" w:rsidP="00842E85">
      <w:pPr>
        <w:rPr>
          <w:rtl/>
        </w:rPr>
      </w:pPr>
    </w:p>
    <w:p w14:paraId="6E3A36B5" w14:textId="41DAE834" w:rsidR="00842E85" w:rsidRPr="00842E85" w:rsidRDefault="00842E85" w:rsidP="00842E85">
      <w:pPr>
        <w:sectPr w:rsidR="00842E85" w:rsidRPr="00842E85" w:rsidSect="00587121">
          <w:headerReference w:type="default" r:id="rId34"/>
          <w:footerReference w:type="default" r:id="rId35"/>
          <w:footnotePr>
            <w:numRestart w:val="eachPage"/>
          </w:footnotePr>
          <w:pgSz w:w="11909" w:h="16834" w:code="9"/>
          <w:pgMar w:top="426" w:right="851" w:bottom="567" w:left="851" w:header="515" w:footer="600" w:gutter="0"/>
          <w:paperSrc w:first="15" w:other="15"/>
          <w:cols w:space="720"/>
          <w:docGrid w:linePitch="360"/>
        </w:sectPr>
      </w:pPr>
    </w:p>
    <w:tbl>
      <w:tblPr>
        <w:bidiVisual/>
        <w:tblW w:w="4729" w:type="pct"/>
        <w:tblInd w:w="-31" w:type="dxa"/>
        <w:tblLook w:val="04A0" w:firstRow="1" w:lastRow="0" w:firstColumn="1" w:lastColumn="0" w:noHBand="0" w:noVBand="1"/>
      </w:tblPr>
      <w:tblGrid>
        <w:gridCol w:w="1637"/>
        <w:gridCol w:w="12675"/>
      </w:tblGrid>
      <w:tr w:rsidR="00043221" w:rsidRPr="00043221" w14:paraId="04B11D12" w14:textId="77777777" w:rsidTr="001E5034">
        <w:tc>
          <w:tcPr>
            <w:tcW w:w="572" w:type="pct"/>
          </w:tcPr>
          <w:p w14:paraId="4A51A96D" w14:textId="77777777" w:rsidR="00043221" w:rsidRPr="00EF7E0A" w:rsidRDefault="00043221" w:rsidP="00897439">
            <w:pPr>
              <w:spacing w:after="60" w:line="259" w:lineRule="auto"/>
              <w:jc w:val="left"/>
              <w:rPr>
                <w:rFonts w:ascii="Calibri" w:eastAsia="Calibri" w:hAnsi="Calibri"/>
                <w:b/>
                <w:bCs/>
                <w:sz w:val="14"/>
                <w:szCs w:val="14"/>
                <w:rtl/>
              </w:rPr>
            </w:pPr>
          </w:p>
        </w:tc>
        <w:tc>
          <w:tcPr>
            <w:tcW w:w="4428" w:type="pct"/>
          </w:tcPr>
          <w:p w14:paraId="39DD9530" w14:textId="77777777" w:rsidR="00043221" w:rsidRPr="00674CC7" w:rsidRDefault="00043221" w:rsidP="00897439">
            <w:pPr>
              <w:spacing w:line="276" w:lineRule="auto"/>
              <w:jc w:val="left"/>
              <w:rPr>
                <w:rFonts w:eastAsia="Calibri"/>
                <w:b/>
                <w:bCs/>
                <w:rtl/>
              </w:rPr>
            </w:pPr>
            <w:r w:rsidRPr="00674CC7">
              <w:rPr>
                <w:rFonts w:eastAsia="Calibri"/>
                <w:b/>
                <w:bCs/>
                <w:rtl/>
              </w:rPr>
              <w:t>ביאור 1 - עיקרי המדיניות החשבונאית (המשך):</w:t>
            </w:r>
          </w:p>
        </w:tc>
      </w:tr>
    </w:tbl>
    <w:p w14:paraId="0D3BF7D4" w14:textId="77777777" w:rsidR="00C832B0" w:rsidRPr="00C832B0" w:rsidRDefault="00C832B0" w:rsidP="00400DD1">
      <w:pPr>
        <w:pStyle w:val="7"/>
        <w:numPr>
          <w:ilvl w:val="1"/>
          <w:numId w:val="10"/>
        </w:numPr>
        <w:tabs>
          <w:tab w:val="left" w:pos="1949"/>
        </w:tabs>
        <w:spacing w:after="60"/>
        <w:ind w:left="1276" w:firstLine="389"/>
        <w:rPr>
          <w:sz w:val="18"/>
          <w:szCs w:val="20"/>
        </w:rPr>
      </w:pPr>
      <w:bookmarkStart w:id="19" w:name="_Toc160529219"/>
      <w:r w:rsidRPr="00C832B0">
        <w:rPr>
          <w:rFonts w:hint="cs"/>
          <w:sz w:val="18"/>
          <w:szCs w:val="20"/>
          <w:rtl/>
        </w:rPr>
        <w:t>ש</w:t>
      </w:r>
      <w:r w:rsidRPr="00C832B0">
        <w:rPr>
          <w:rFonts w:hint="eastAsia"/>
          <w:sz w:val="18"/>
          <w:szCs w:val="20"/>
          <w:rtl/>
        </w:rPr>
        <w:t>ינויים</w:t>
      </w:r>
      <w:r w:rsidRPr="00C832B0">
        <w:rPr>
          <w:sz w:val="18"/>
          <w:szCs w:val="20"/>
          <w:rtl/>
        </w:rPr>
        <w:t xml:space="preserve"> חשבונאיים</w:t>
      </w:r>
      <w:bookmarkEnd w:id="19"/>
    </w:p>
    <w:tbl>
      <w:tblPr>
        <w:bidiVisual/>
        <w:tblW w:w="4699" w:type="pct"/>
        <w:tblInd w:w="-31" w:type="dxa"/>
        <w:tblLook w:val="01E0" w:firstRow="1" w:lastRow="1" w:firstColumn="1" w:lastColumn="1" w:noHBand="0" w:noVBand="0"/>
      </w:tblPr>
      <w:tblGrid>
        <w:gridCol w:w="1635"/>
        <w:gridCol w:w="12586"/>
      </w:tblGrid>
      <w:tr w:rsidR="00043221" w:rsidRPr="00043221" w14:paraId="1088ABD4" w14:textId="77777777" w:rsidTr="007A1B2F">
        <w:trPr>
          <w:trHeight w:val="165"/>
        </w:trPr>
        <w:tc>
          <w:tcPr>
            <w:tcW w:w="575" w:type="pct"/>
          </w:tcPr>
          <w:p w14:paraId="509F3DC1" w14:textId="63742723" w:rsidR="00043221" w:rsidRPr="00EF7E0A" w:rsidRDefault="00043221" w:rsidP="007A1B2F">
            <w:pPr>
              <w:spacing w:after="20" w:line="300" w:lineRule="auto"/>
              <w:ind w:right="-113"/>
              <w:jc w:val="left"/>
              <w:rPr>
                <w:rFonts w:ascii="Calibri" w:eastAsia="Calibri" w:hAnsi="Calibri"/>
                <w:spacing w:val="-4"/>
                <w:sz w:val="14"/>
                <w:szCs w:val="14"/>
                <w:rtl/>
              </w:rPr>
            </w:pPr>
          </w:p>
        </w:tc>
        <w:tc>
          <w:tcPr>
            <w:tcW w:w="4425" w:type="pct"/>
          </w:tcPr>
          <w:p w14:paraId="081108BB" w14:textId="21E6FF1D" w:rsidR="00043221" w:rsidRPr="00674CC7" w:rsidRDefault="00043221" w:rsidP="009F608F">
            <w:pPr>
              <w:spacing w:line="276" w:lineRule="auto"/>
              <w:ind w:left="656" w:hanging="656"/>
              <w:rPr>
                <w:b/>
                <w:bCs/>
                <w:rtl/>
              </w:rPr>
            </w:pPr>
            <w:r w:rsidRPr="00674CC7">
              <w:rPr>
                <w:rFonts w:hint="cs"/>
                <w:b/>
                <w:bCs/>
                <w:rtl/>
              </w:rPr>
              <w:t xml:space="preserve">    1. </w:t>
            </w:r>
            <w:r w:rsidR="00493610">
              <w:rPr>
                <w:rFonts w:hint="cs"/>
                <w:b/>
                <w:bCs/>
                <w:rtl/>
              </w:rPr>
              <w:t xml:space="preserve">  </w:t>
            </w:r>
            <w:r w:rsidRPr="00674CC7">
              <w:rPr>
                <w:rFonts w:hint="cs"/>
                <w:b/>
                <w:bCs/>
                <w:rtl/>
              </w:rPr>
              <w:t>שינויים במדיניות חשבונאית:</w:t>
            </w:r>
            <w:r w:rsidRPr="00A7545E">
              <w:rPr>
                <w:b/>
                <w:bCs/>
                <w:vertAlign w:val="superscript"/>
                <w:rtl/>
              </w:rPr>
              <w:t xml:space="preserve"> </w:t>
            </w:r>
          </w:p>
        </w:tc>
      </w:tr>
      <w:tr w:rsidR="00043221" w:rsidRPr="00043221" w14:paraId="26ECF6D6" w14:textId="77777777" w:rsidTr="007A1B2F">
        <w:trPr>
          <w:trHeight w:val="170"/>
        </w:trPr>
        <w:tc>
          <w:tcPr>
            <w:tcW w:w="575" w:type="pct"/>
          </w:tcPr>
          <w:p w14:paraId="663498D7" w14:textId="77777777" w:rsidR="00043221" w:rsidRPr="00EF7E0A" w:rsidRDefault="00043221" w:rsidP="007A1B2F">
            <w:pPr>
              <w:spacing w:after="20" w:line="300" w:lineRule="auto"/>
              <w:ind w:right="-113"/>
              <w:jc w:val="left"/>
              <w:rPr>
                <w:rFonts w:ascii="Calibri" w:eastAsia="Calibri" w:hAnsi="Calibri"/>
                <w:color w:val="000000"/>
                <w:spacing w:val="-4"/>
                <w:sz w:val="14"/>
                <w:szCs w:val="14"/>
              </w:rPr>
            </w:pPr>
          </w:p>
        </w:tc>
        <w:tc>
          <w:tcPr>
            <w:tcW w:w="4425" w:type="pct"/>
          </w:tcPr>
          <w:p w14:paraId="0AD84C1F" w14:textId="0CC5613A" w:rsidR="00043221" w:rsidRPr="009F608F" w:rsidRDefault="00043221" w:rsidP="009F608F">
            <w:pPr>
              <w:spacing w:line="276" w:lineRule="auto"/>
              <w:ind w:left="1081" w:hanging="879"/>
              <w:rPr>
                <w:b/>
                <w:bCs/>
                <w:sz w:val="18"/>
                <w:szCs w:val="18"/>
                <w:rtl/>
              </w:rPr>
            </w:pPr>
            <w:r w:rsidRPr="009F608F">
              <w:rPr>
                <w:b/>
                <w:bCs/>
                <w:sz w:val="18"/>
                <w:szCs w:val="18"/>
              </w:rPr>
              <w:t xml:space="preserve">       </w:t>
            </w:r>
            <w:r w:rsidRPr="009F608F">
              <w:rPr>
                <w:rFonts w:hint="cs"/>
                <w:b/>
                <w:bCs/>
                <w:sz w:val="18"/>
                <w:szCs w:val="18"/>
                <w:rtl/>
              </w:rPr>
              <w:t>א</w:t>
            </w:r>
            <w:r w:rsidR="00165536" w:rsidRPr="009F608F">
              <w:rPr>
                <w:rFonts w:hint="cs"/>
                <w:b/>
                <w:bCs/>
                <w:sz w:val="18"/>
                <w:szCs w:val="18"/>
                <w:rtl/>
              </w:rPr>
              <w:t>)</w:t>
            </w:r>
            <w:r w:rsidRPr="009F608F">
              <w:rPr>
                <w:rFonts w:hint="cs"/>
                <w:b/>
                <w:bCs/>
                <w:sz w:val="18"/>
                <w:szCs w:val="18"/>
                <w:rtl/>
              </w:rPr>
              <w:t xml:space="preserve"> </w:t>
            </w:r>
            <w:r w:rsidR="00493610" w:rsidRPr="009F608F">
              <w:rPr>
                <w:rFonts w:hint="cs"/>
                <w:b/>
                <w:bCs/>
                <w:sz w:val="18"/>
                <w:szCs w:val="18"/>
                <w:rtl/>
              </w:rPr>
              <w:t xml:space="preserve"> </w:t>
            </w:r>
            <w:r w:rsidRPr="009F608F">
              <w:rPr>
                <w:rFonts w:hint="cs"/>
                <w:b/>
                <w:bCs/>
                <w:sz w:val="18"/>
                <w:szCs w:val="18"/>
                <w:rtl/>
              </w:rPr>
              <w:t>שיטת יישום למפרע מלא</w:t>
            </w:r>
            <w:r w:rsidR="00223C6B" w:rsidRPr="009F608F">
              <w:rPr>
                <w:sz w:val="18"/>
                <w:szCs w:val="18"/>
                <w:vertAlign w:val="superscript"/>
                <w:rtl/>
              </w:rPr>
              <w:t>[</w:t>
            </w:r>
            <w:r w:rsidR="00223C6B" w:rsidRPr="009F608F">
              <w:rPr>
                <w:sz w:val="18"/>
                <w:szCs w:val="18"/>
                <w:vertAlign w:val="superscript"/>
                <w:rtl/>
              </w:rPr>
              <w:footnoteReference w:id="26"/>
            </w:r>
            <w:r w:rsidR="00223C6B" w:rsidRPr="009F608F">
              <w:rPr>
                <w:sz w:val="18"/>
                <w:szCs w:val="18"/>
                <w:vertAlign w:val="superscript"/>
                <w:rtl/>
              </w:rPr>
              <w:t>]</w:t>
            </w:r>
            <w:r w:rsidRPr="009F608F">
              <w:rPr>
                <w:rFonts w:hint="cs"/>
                <w:b/>
                <w:bCs/>
                <w:sz w:val="18"/>
                <w:szCs w:val="18"/>
                <w:rtl/>
              </w:rPr>
              <w:t>:</w:t>
            </w:r>
          </w:p>
        </w:tc>
      </w:tr>
    </w:tbl>
    <w:tbl>
      <w:tblPr>
        <w:tblpPr w:leftFromText="180" w:rightFromText="180" w:vertAnchor="text" w:horzAnchor="margin" w:tblpXSpec="right" w:tblpY="130"/>
        <w:bidiVisual/>
        <w:tblW w:w="4764" w:type="pct"/>
        <w:tblLayout w:type="fixed"/>
        <w:tblLook w:val="04A0" w:firstRow="1" w:lastRow="0" w:firstColumn="1" w:lastColumn="0" w:noHBand="0" w:noVBand="1"/>
      </w:tblPr>
      <w:tblGrid>
        <w:gridCol w:w="683"/>
        <w:gridCol w:w="3008"/>
        <w:gridCol w:w="1194"/>
        <w:gridCol w:w="1194"/>
        <w:gridCol w:w="1104"/>
        <w:gridCol w:w="1283"/>
        <w:gridCol w:w="1194"/>
        <w:gridCol w:w="1067"/>
        <w:gridCol w:w="1318"/>
        <w:gridCol w:w="1191"/>
        <w:gridCol w:w="1182"/>
      </w:tblGrid>
      <w:tr w:rsidR="000A2883" w:rsidRPr="00EC46DF" w14:paraId="4C07E2BD" w14:textId="77777777" w:rsidTr="000A2883">
        <w:tc>
          <w:tcPr>
            <w:tcW w:w="237" w:type="pct"/>
          </w:tcPr>
          <w:p w14:paraId="0549F2CC" w14:textId="77777777" w:rsidR="007A1B2F" w:rsidRPr="00242631" w:rsidRDefault="007A1B2F" w:rsidP="007A1B2F">
            <w:pPr>
              <w:spacing w:line="259" w:lineRule="auto"/>
              <w:jc w:val="left"/>
              <w:rPr>
                <w:rFonts w:eastAsia="Calibri"/>
                <w:sz w:val="18"/>
                <w:szCs w:val="18"/>
              </w:rPr>
            </w:pPr>
          </w:p>
        </w:tc>
        <w:tc>
          <w:tcPr>
            <w:tcW w:w="1043" w:type="pct"/>
          </w:tcPr>
          <w:p w14:paraId="00F42C38" w14:textId="77777777" w:rsidR="007A1B2F" w:rsidRPr="00EC46DF" w:rsidRDefault="007A1B2F" w:rsidP="007A1B2F">
            <w:pPr>
              <w:spacing w:line="259" w:lineRule="auto"/>
              <w:jc w:val="left"/>
              <w:rPr>
                <w:rFonts w:eastAsia="Calibri"/>
                <w:b/>
                <w:bCs/>
                <w:sz w:val="18"/>
                <w:szCs w:val="18"/>
                <w:rtl/>
              </w:rPr>
            </w:pPr>
          </w:p>
        </w:tc>
        <w:tc>
          <w:tcPr>
            <w:tcW w:w="1211" w:type="pct"/>
            <w:gridSpan w:val="3"/>
            <w:vMerge w:val="restart"/>
          </w:tcPr>
          <w:p w14:paraId="325104FC" w14:textId="77777777" w:rsidR="007A1B2F" w:rsidRPr="00EC46DF" w:rsidRDefault="007A1B2F" w:rsidP="007A1B2F">
            <w:pPr>
              <w:pBdr>
                <w:bottom w:val="single" w:sz="4" w:space="1" w:color="auto"/>
              </w:pBdr>
              <w:jc w:val="center"/>
              <w:rPr>
                <w:rFonts w:eastAsia="Calibri"/>
                <w:b/>
                <w:bCs/>
                <w:sz w:val="18"/>
                <w:szCs w:val="18"/>
                <w:rtl/>
              </w:rPr>
            </w:pPr>
            <w:r w:rsidRPr="00EC46DF">
              <w:rPr>
                <w:rFonts w:eastAsia="Calibri"/>
                <w:b/>
                <w:bCs/>
                <w:sz w:val="18"/>
                <w:szCs w:val="18"/>
                <w:rtl/>
              </w:rPr>
              <w:t>לשלושה חודשים שהסתיימו ביום</w:t>
            </w:r>
            <w:r w:rsidRPr="00EC46DF">
              <w:rPr>
                <w:rFonts w:eastAsia="Calibri"/>
                <w:b/>
                <w:bCs/>
                <w:sz w:val="18"/>
                <w:szCs w:val="18"/>
                <w:rtl/>
              </w:rPr>
              <w:br/>
              <w:t xml:space="preserve">30 ביוני </w:t>
            </w:r>
            <w:r w:rsidRPr="00EC46DF">
              <w:rPr>
                <w:b/>
                <w:bCs/>
                <w:sz w:val="18"/>
                <w:szCs w:val="18"/>
                <w:rtl/>
              </w:rPr>
              <w:fldChar w:fldCharType="begin"/>
            </w:r>
            <w:r w:rsidRPr="00EC46DF">
              <w:rPr>
                <w:b/>
                <w:bCs/>
                <w:sz w:val="18"/>
                <w:szCs w:val="18"/>
                <w:rtl/>
              </w:rPr>
              <w:instrText xml:space="preserve"> </w:instrText>
            </w:r>
            <w:r w:rsidRPr="00EC46DF">
              <w:rPr>
                <w:rFonts w:hint="cs"/>
                <w:b/>
                <w:bCs/>
                <w:sz w:val="18"/>
                <w:szCs w:val="18"/>
                <w:rtl/>
              </w:rPr>
              <w:instrText xml:space="preserve">= </w:instrText>
            </w:r>
            <w:r w:rsidRPr="00EC46DF">
              <w:rPr>
                <w:rFonts w:hint="cs"/>
                <w:b/>
                <w:bCs/>
                <w:sz w:val="18"/>
                <w:szCs w:val="18"/>
              </w:rPr>
              <w:instrText>CY</w:instrText>
            </w:r>
            <w:r w:rsidRPr="00EC46DF">
              <w:rPr>
                <w:b/>
                <w:bCs/>
                <w:sz w:val="18"/>
                <w:szCs w:val="18"/>
              </w:rPr>
              <w:instrText>-1</w:instrText>
            </w:r>
            <w:r w:rsidRPr="00EC46DF">
              <w:rPr>
                <w:rFonts w:hint="cs"/>
                <w:b/>
                <w:bCs/>
                <w:sz w:val="18"/>
                <w:szCs w:val="18"/>
              </w:rPr>
              <w:instrText xml:space="preserve"> \* MERGEFORMAT</w:instrText>
            </w:r>
            <w:r w:rsidRPr="00EC46DF">
              <w:rPr>
                <w:b/>
                <w:bCs/>
                <w:sz w:val="18"/>
                <w:szCs w:val="18"/>
                <w:rtl/>
              </w:rPr>
              <w:instrText xml:space="preserve"> </w:instrText>
            </w:r>
            <w:r w:rsidRPr="00EC46DF">
              <w:rPr>
                <w:b/>
                <w:bCs/>
                <w:sz w:val="18"/>
                <w:szCs w:val="18"/>
                <w:rtl/>
              </w:rPr>
              <w:fldChar w:fldCharType="separate"/>
            </w:r>
            <w:r w:rsidRPr="00EC46DF">
              <w:rPr>
                <w:b/>
                <w:bCs/>
                <w:noProof/>
                <w:sz w:val="18"/>
                <w:szCs w:val="18"/>
                <w:rtl/>
              </w:rPr>
              <w:t>2023</w:t>
            </w:r>
            <w:r w:rsidRPr="00EC46DF">
              <w:rPr>
                <w:b/>
                <w:bCs/>
                <w:sz w:val="18"/>
                <w:szCs w:val="18"/>
                <w:rtl/>
              </w:rPr>
              <w:fldChar w:fldCharType="end"/>
            </w:r>
            <w:r w:rsidRPr="00EC46DF">
              <w:rPr>
                <w:rFonts w:eastAsia="Calibri"/>
                <w:b/>
                <w:bCs/>
                <w:sz w:val="18"/>
                <w:szCs w:val="18"/>
                <w:rtl/>
              </w:rPr>
              <w:t xml:space="preserve"> </w:t>
            </w:r>
            <w:r w:rsidRPr="00242631">
              <w:rPr>
                <w:rFonts w:eastAsia="Calibri"/>
                <w:sz w:val="18"/>
                <w:szCs w:val="18"/>
                <w:rtl/>
              </w:rPr>
              <w:t>(בלתי מבוקר)</w:t>
            </w:r>
          </w:p>
        </w:tc>
        <w:tc>
          <w:tcPr>
            <w:tcW w:w="1229" w:type="pct"/>
            <w:gridSpan w:val="3"/>
            <w:vMerge w:val="restart"/>
          </w:tcPr>
          <w:p w14:paraId="69390A91" w14:textId="77777777" w:rsidR="007A1B2F" w:rsidRPr="00EC46DF" w:rsidRDefault="007A1B2F" w:rsidP="007A1B2F">
            <w:pPr>
              <w:pBdr>
                <w:bottom w:val="single" w:sz="4" w:space="1" w:color="auto"/>
              </w:pBdr>
              <w:jc w:val="center"/>
              <w:rPr>
                <w:rFonts w:eastAsia="Calibri"/>
                <w:b/>
                <w:bCs/>
                <w:sz w:val="18"/>
                <w:szCs w:val="18"/>
                <w:rtl/>
              </w:rPr>
            </w:pPr>
            <w:r w:rsidRPr="00EC46DF">
              <w:rPr>
                <w:rFonts w:eastAsia="Calibri"/>
                <w:b/>
                <w:bCs/>
                <w:sz w:val="18"/>
                <w:szCs w:val="18"/>
                <w:rtl/>
              </w:rPr>
              <w:t xml:space="preserve">לשישה חודשים שהסתיימו ביום </w:t>
            </w:r>
            <w:r w:rsidRPr="00EC46DF">
              <w:rPr>
                <w:rFonts w:eastAsia="Calibri"/>
                <w:b/>
                <w:bCs/>
                <w:sz w:val="18"/>
                <w:szCs w:val="18"/>
                <w:rtl/>
              </w:rPr>
              <w:br/>
              <w:t xml:space="preserve">30 ביוני </w:t>
            </w:r>
            <w:r w:rsidRPr="00EC46DF">
              <w:rPr>
                <w:b/>
                <w:bCs/>
                <w:sz w:val="18"/>
                <w:szCs w:val="18"/>
                <w:rtl/>
              </w:rPr>
              <w:fldChar w:fldCharType="begin"/>
            </w:r>
            <w:r w:rsidRPr="00EC46DF">
              <w:rPr>
                <w:b/>
                <w:bCs/>
                <w:sz w:val="18"/>
                <w:szCs w:val="18"/>
                <w:rtl/>
              </w:rPr>
              <w:instrText xml:space="preserve"> </w:instrText>
            </w:r>
            <w:r w:rsidRPr="00EC46DF">
              <w:rPr>
                <w:rFonts w:hint="cs"/>
                <w:b/>
                <w:bCs/>
                <w:sz w:val="18"/>
                <w:szCs w:val="18"/>
                <w:rtl/>
              </w:rPr>
              <w:instrText xml:space="preserve">= </w:instrText>
            </w:r>
            <w:r w:rsidRPr="00EC46DF">
              <w:rPr>
                <w:rFonts w:hint="cs"/>
                <w:b/>
                <w:bCs/>
                <w:sz w:val="18"/>
                <w:szCs w:val="18"/>
              </w:rPr>
              <w:instrText>CY</w:instrText>
            </w:r>
            <w:r w:rsidRPr="00EC46DF">
              <w:rPr>
                <w:b/>
                <w:bCs/>
                <w:sz w:val="18"/>
                <w:szCs w:val="18"/>
              </w:rPr>
              <w:instrText>-1</w:instrText>
            </w:r>
            <w:r w:rsidRPr="00EC46DF">
              <w:rPr>
                <w:rFonts w:hint="cs"/>
                <w:b/>
                <w:bCs/>
                <w:sz w:val="18"/>
                <w:szCs w:val="18"/>
              </w:rPr>
              <w:instrText xml:space="preserve"> \* MERGEFORMAT</w:instrText>
            </w:r>
            <w:r w:rsidRPr="00EC46DF">
              <w:rPr>
                <w:b/>
                <w:bCs/>
                <w:sz w:val="18"/>
                <w:szCs w:val="18"/>
                <w:rtl/>
              </w:rPr>
              <w:instrText xml:space="preserve"> </w:instrText>
            </w:r>
            <w:r w:rsidRPr="00EC46DF">
              <w:rPr>
                <w:b/>
                <w:bCs/>
                <w:sz w:val="18"/>
                <w:szCs w:val="18"/>
                <w:rtl/>
              </w:rPr>
              <w:fldChar w:fldCharType="separate"/>
            </w:r>
            <w:r w:rsidRPr="00EC46DF">
              <w:rPr>
                <w:b/>
                <w:bCs/>
                <w:noProof/>
                <w:sz w:val="18"/>
                <w:szCs w:val="18"/>
                <w:rtl/>
              </w:rPr>
              <w:t>2023</w:t>
            </w:r>
            <w:r w:rsidRPr="00EC46DF">
              <w:rPr>
                <w:b/>
                <w:bCs/>
                <w:sz w:val="18"/>
                <w:szCs w:val="18"/>
                <w:rtl/>
              </w:rPr>
              <w:fldChar w:fldCharType="end"/>
            </w:r>
            <w:r w:rsidRPr="00EC46DF">
              <w:rPr>
                <w:rFonts w:eastAsia="Calibri"/>
                <w:b/>
                <w:bCs/>
                <w:sz w:val="18"/>
                <w:szCs w:val="18"/>
                <w:rtl/>
              </w:rPr>
              <w:t xml:space="preserve"> </w:t>
            </w:r>
            <w:r w:rsidRPr="00242631">
              <w:rPr>
                <w:rFonts w:eastAsia="Calibri"/>
                <w:sz w:val="18"/>
                <w:szCs w:val="18"/>
                <w:rtl/>
              </w:rPr>
              <w:t>(בלתי מבוקר)</w:t>
            </w:r>
          </w:p>
        </w:tc>
        <w:tc>
          <w:tcPr>
            <w:tcW w:w="1280" w:type="pct"/>
            <w:gridSpan w:val="3"/>
            <w:vMerge w:val="restart"/>
          </w:tcPr>
          <w:p w14:paraId="4C574BE8" w14:textId="77777777" w:rsidR="007A1B2F" w:rsidRPr="00EC46DF" w:rsidRDefault="007A1B2F" w:rsidP="007A1B2F">
            <w:pPr>
              <w:pBdr>
                <w:bottom w:val="single" w:sz="4" w:space="1" w:color="auto"/>
              </w:pBdr>
              <w:jc w:val="center"/>
              <w:rPr>
                <w:rFonts w:eastAsia="Calibri"/>
                <w:b/>
                <w:bCs/>
                <w:sz w:val="18"/>
                <w:szCs w:val="18"/>
                <w:rtl/>
              </w:rPr>
            </w:pPr>
            <w:r w:rsidRPr="00EC46DF">
              <w:rPr>
                <w:rFonts w:eastAsia="Calibri"/>
                <w:b/>
                <w:bCs/>
                <w:sz w:val="18"/>
                <w:szCs w:val="18"/>
                <w:rtl/>
              </w:rPr>
              <w:t xml:space="preserve">לשנה שהסתיימה ביום </w:t>
            </w:r>
            <w:r w:rsidRPr="00EC46DF">
              <w:rPr>
                <w:rFonts w:eastAsia="Calibri"/>
                <w:b/>
                <w:bCs/>
                <w:sz w:val="18"/>
                <w:szCs w:val="18"/>
                <w:rtl/>
              </w:rPr>
              <w:br/>
              <w:t xml:space="preserve">31 בדצמבר </w:t>
            </w:r>
            <w:r w:rsidRPr="00EC46DF">
              <w:rPr>
                <w:b/>
                <w:bCs/>
                <w:sz w:val="18"/>
                <w:szCs w:val="18"/>
                <w:rtl/>
              </w:rPr>
              <w:fldChar w:fldCharType="begin"/>
            </w:r>
            <w:r w:rsidRPr="00EC46DF">
              <w:rPr>
                <w:b/>
                <w:bCs/>
                <w:sz w:val="18"/>
                <w:szCs w:val="18"/>
                <w:rtl/>
              </w:rPr>
              <w:instrText xml:space="preserve"> </w:instrText>
            </w:r>
            <w:r w:rsidRPr="00EC46DF">
              <w:rPr>
                <w:rFonts w:hint="cs"/>
                <w:b/>
                <w:bCs/>
                <w:sz w:val="18"/>
                <w:szCs w:val="18"/>
                <w:rtl/>
              </w:rPr>
              <w:instrText xml:space="preserve">= </w:instrText>
            </w:r>
            <w:r w:rsidRPr="00EC46DF">
              <w:rPr>
                <w:rFonts w:hint="cs"/>
                <w:b/>
                <w:bCs/>
                <w:sz w:val="18"/>
                <w:szCs w:val="18"/>
              </w:rPr>
              <w:instrText>CY</w:instrText>
            </w:r>
            <w:r w:rsidRPr="00EC46DF">
              <w:rPr>
                <w:b/>
                <w:bCs/>
                <w:sz w:val="18"/>
                <w:szCs w:val="18"/>
              </w:rPr>
              <w:instrText>-1</w:instrText>
            </w:r>
            <w:r w:rsidRPr="00EC46DF">
              <w:rPr>
                <w:rFonts w:hint="cs"/>
                <w:b/>
                <w:bCs/>
                <w:sz w:val="18"/>
                <w:szCs w:val="18"/>
              </w:rPr>
              <w:instrText xml:space="preserve"> \* MERGEFORMAT</w:instrText>
            </w:r>
            <w:r w:rsidRPr="00EC46DF">
              <w:rPr>
                <w:b/>
                <w:bCs/>
                <w:sz w:val="18"/>
                <w:szCs w:val="18"/>
                <w:rtl/>
              </w:rPr>
              <w:instrText xml:space="preserve"> </w:instrText>
            </w:r>
            <w:r w:rsidRPr="00EC46DF">
              <w:rPr>
                <w:b/>
                <w:bCs/>
                <w:sz w:val="18"/>
                <w:szCs w:val="18"/>
                <w:rtl/>
              </w:rPr>
              <w:fldChar w:fldCharType="separate"/>
            </w:r>
            <w:r w:rsidRPr="00EC46DF">
              <w:rPr>
                <w:b/>
                <w:bCs/>
                <w:noProof/>
                <w:sz w:val="18"/>
                <w:szCs w:val="18"/>
                <w:rtl/>
              </w:rPr>
              <w:t>2023</w:t>
            </w:r>
            <w:r w:rsidRPr="00EC46DF">
              <w:rPr>
                <w:b/>
                <w:bCs/>
                <w:sz w:val="18"/>
                <w:szCs w:val="18"/>
                <w:rtl/>
              </w:rPr>
              <w:fldChar w:fldCharType="end"/>
            </w:r>
            <w:r w:rsidRPr="00EC46DF">
              <w:rPr>
                <w:rFonts w:eastAsia="Calibri" w:hint="cs"/>
                <w:b/>
                <w:bCs/>
                <w:sz w:val="18"/>
                <w:szCs w:val="18"/>
                <w:rtl/>
              </w:rPr>
              <w:t xml:space="preserve"> </w:t>
            </w:r>
            <w:r w:rsidRPr="00242631">
              <w:rPr>
                <w:rFonts w:eastAsia="Calibri" w:hint="cs"/>
                <w:sz w:val="18"/>
                <w:szCs w:val="18"/>
                <w:rtl/>
              </w:rPr>
              <w:t>(מבוקר)</w:t>
            </w:r>
          </w:p>
        </w:tc>
      </w:tr>
      <w:tr w:rsidR="000A2883" w:rsidRPr="00EC46DF" w14:paraId="20701BDC" w14:textId="77777777" w:rsidTr="000A2883">
        <w:trPr>
          <w:trHeight w:val="170"/>
        </w:trPr>
        <w:tc>
          <w:tcPr>
            <w:tcW w:w="237" w:type="pct"/>
          </w:tcPr>
          <w:p w14:paraId="6592563B" w14:textId="77777777" w:rsidR="007A1B2F" w:rsidRPr="00EC46DF" w:rsidRDefault="007A1B2F" w:rsidP="007A1B2F">
            <w:pPr>
              <w:spacing w:line="259" w:lineRule="auto"/>
              <w:jc w:val="left"/>
              <w:rPr>
                <w:rFonts w:eastAsia="Calibri"/>
                <w:sz w:val="18"/>
                <w:szCs w:val="18"/>
              </w:rPr>
            </w:pPr>
          </w:p>
        </w:tc>
        <w:tc>
          <w:tcPr>
            <w:tcW w:w="1043" w:type="pct"/>
          </w:tcPr>
          <w:p w14:paraId="3A031304" w14:textId="77777777" w:rsidR="007A1B2F" w:rsidRPr="00EC46DF" w:rsidRDefault="007A1B2F" w:rsidP="007A1B2F">
            <w:pPr>
              <w:spacing w:line="259" w:lineRule="auto"/>
              <w:jc w:val="left"/>
              <w:rPr>
                <w:rFonts w:eastAsia="Calibri"/>
                <w:b/>
                <w:bCs/>
                <w:sz w:val="18"/>
                <w:szCs w:val="18"/>
                <w:rtl/>
              </w:rPr>
            </w:pPr>
          </w:p>
        </w:tc>
        <w:tc>
          <w:tcPr>
            <w:tcW w:w="1211" w:type="pct"/>
            <w:gridSpan w:val="3"/>
            <w:vMerge/>
          </w:tcPr>
          <w:p w14:paraId="22FD446A" w14:textId="77777777" w:rsidR="007A1B2F" w:rsidRPr="00EC46DF" w:rsidRDefault="007A1B2F" w:rsidP="007A1B2F">
            <w:pPr>
              <w:spacing w:line="259" w:lineRule="auto"/>
              <w:jc w:val="left"/>
              <w:rPr>
                <w:rFonts w:eastAsia="Calibri"/>
                <w:b/>
                <w:bCs/>
                <w:sz w:val="18"/>
                <w:szCs w:val="18"/>
                <w:rtl/>
              </w:rPr>
            </w:pPr>
          </w:p>
        </w:tc>
        <w:tc>
          <w:tcPr>
            <w:tcW w:w="1229" w:type="pct"/>
            <w:gridSpan w:val="3"/>
            <w:vMerge/>
          </w:tcPr>
          <w:p w14:paraId="693666AE" w14:textId="77777777" w:rsidR="007A1B2F" w:rsidRPr="00EC46DF" w:rsidRDefault="007A1B2F" w:rsidP="007A1B2F">
            <w:pPr>
              <w:spacing w:line="259" w:lineRule="auto"/>
              <w:jc w:val="left"/>
              <w:rPr>
                <w:rFonts w:eastAsia="Calibri"/>
                <w:b/>
                <w:bCs/>
                <w:sz w:val="18"/>
                <w:szCs w:val="18"/>
                <w:rtl/>
              </w:rPr>
            </w:pPr>
          </w:p>
        </w:tc>
        <w:tc>
          <w:tcPr>
            <w:tcW w:w="1280" w:type="pct"/>
            <w:gridSpan w:val="3"/>
            <w:vMerge/>
          </w:tcPr>
          <w:p w14:paraId="670E08AF" w14:textId="77777777" w:rsidR="007A1B2F" w:rsidRPr="00EC46DF" w:rsidRDefault="007A1B2F" w:rsidP="007A1B2F">
            <w:pPr>
              <w:spacing w:line="259" w:lineRule="auto"/>
              <w:jc w:val="left"/>
              <w:rPr>
                <w:rFonts w:eastAsia="Calibri"/>
                <w:b/>
                <w:bCs/>
                <w:sz w:val="18"/>
                <w:szCs w:val="18"/>
                <w:rtl/>
              </w:rPr>
            </w:pPr>
          </w:p>
        </w:tc>
      </w:tr>
      <w:tr w:rsidR="007A1B2F" w:rsidRPr="00EC46DF" w14:paraId="5C889D50" w14:textId="77777777" w:rsidTr="000A2883">
        <w:tc>
          <w:tcPr>
            <w:tcW w:w="237" w:type="pct"/>
          </w:tcPr>
          <w:p w14:paraId="07E98B2F" w14:textId="77777777" w:rsidR="007A1B2F" w:rsidRPr="00EC46DF" w:rsidRDefault="007A1B2F" w:rsidP="007A1B2F">
            <w:pPr>
              <w:spacing w:line="259" w:lineRule="auto"/>
              <w:jc w:val="left"/>
              <w:rPr>
                <w:rFonts w:eastAsia="Calibri"/>
                <w:sz w:val="18"/>
                <w:szCs w:val="18"/>
              </w:rPr>
            </w:pPr>
          </w:p>
        </w:tc>
        <w:tc>
          <w:tcPr>
            <w:tcW w:w="1043" w:type="pct"/>
          </w:tcPr>
          <w:p w14:paraId="258D4FC2" w14:textId="77777777" w:rsidR="007A1B2F" w:rsidRPr="00EC46DF" w:rsidRDefault="007A1B2F" w:rsidP="007A1B2F">
            <w:pPr>
              <w:spacing w:line="259" w:lineRule="auto"/>
              <w:jc w:val="left"/>
              <w:rPr>
                <w:rFonts w:eastAsia="Calibri"/>
                <w:b/>
                <w:bCs/>
                <w:sz w:val="18"/>
                <w:szCs w:val="18"/>
                <w:rtl/>
              </w:rPr>
            </w:pPr>
          </w:p>
        </w:tc>
        <w:tc>
          <w:tcPr>
            <w:tcW w:w="414" w:type="pct"/>
          </w:tcPr>
          <w:p w14:paraId="4C8A3A08" w14:textId="77777777" w:rsidR="00EC46DF" w:rsidRDefault="00EC46DF" w:rsidP="007A1B2F">
            <w:pPr>
              <w:pBdr>
                <w:bottom w:val="single" w:sz="4" w:space="1" w:color="auto"/>
              </w:pBdr>
              <w:jc w:val="center"/>
              <w:rPr>
                <w:rFonts w:eastAsia="Calibri"/>
                <w:b/>
                <w:bCs/>
                <w:sz w:val="18"/>
                <w:szCs w:val="18"/>
                <w:rtl/>
              </w:rPr>
            </w:pPr>
          </w:p>
          <w:p w14:paraId="39399C78" w14:textId="5DF64A38" w:rsidR="007A1B2F" w:rsidRPr="00EC46DF" w:rsidRDefault="007A1B2F" w:rsidP="007A1B2F">
            <w:pPr>
              <w:pBdr>
                <w:bottom w:val="single" w:sz="4" w:space="1" w:color="auto"/>
              </w:pBdr>
              <w:jc w:val="center"/>
              <w:rPr>
                <w:rFonts w:eastAsia="Calibri"/>
                <w:b/>
                <w:bCs/>
                <w:sz w:val="18"/>
                <w:szCs w:val="18"/>
                <w:rtl/>
              </w:rPr>
            </w:pPr>
            <w:r w:rsidRPr="00EC46DF">
              <w:rPr>
                <w:rFonts w:eastAsia="Calibri"/>
                <w:b/>
                <w:bCs/>
                <w:sz w:val="18"/>
                <w:szCs w:val="18"/>
                <w:rtl/>
              </w:rPr>
              <w:t>טרם היישום למפרע</w:t>
            </w:r>
          </w:p>
        </w:tc>
        <w:tc>
          <w:tcPr>
            <w:tcW w:w="414" w:type="pct"/>
          </w:tcPr>
          <w:p w14:paraId="72347D02" w14:textId="77777777" w:rsidR="007A1B2F" w:rsidRPr="00EC46DF" w:rsidRDefault="007A1B2F" w:rsidP="007A1B2F">
            <w:pPr>
              <w:pBdr>
                <w:bottom w:val="single" w:sz="4" w:space="1" w:color="auto"/>
              </w:pBdr>
              <w:jc w:val="center"/>
              <w:rPr>
                <w:rFonts w:eastAsia="Calibri"/>
                <w:b/>
                <w:bCs/>
                <w:sz w:val="18"/>
                <w:szCs w:val="18"/>
                <w:rtl/>
              </w:rPr>
            </w:pPr>
            <w:r w:rsidRPr="00EC46DF">
              <w:rPr>
                <w:rFonts w:eastAsia="Calibri"/>
                <w:b/>
                <w:bCs/>
                <w:sz w:val="18"/>
                <w:szCs w:val="18"/>
                <w:rtl/>
              </w:rPr>
              <w:t>השפעת היישום למפרע</w:t>
            </w:r>
          </w:p>
        </w:tc>
        <w:tc>
          <w:tcPr>
            <w:tcW w:w="383" w:type="pct"/>
          </w:tcPr>
          <w:p w14:paraId="62ACB8A0" w14:textId="77777777" w:rsidR="007A1B2F" w:rsidRPr="00EC46DF" w:rsidRDefault="007A1B2F" w:rsidP="007A1B2F">
            <w:pPr>
              <w:pBdr>
                <w:bottom w:val="single" w:sz="4" w:space="1" w:color="auto"/>
              </w:pBdr>
              <w:jc w:val="center"/>
              <w:rPr>
                <w:rFonts w:eastAsia="Calibri"/>
                <w:b/>
                <w:bCs/>
                <w:sz w:val="18"/>
                <w:szCs w:val="18"/>
                <w:rtl/>
              </w:rPr>
            </w:pPr>
            <w:r w:rsidRPr="00EC46DF">
              <w:rPr>
                <w:rFonts w:eastAsia="Calibri"/>
                <w:b/>
                <w:bCs/>
                <w:sz w:val="18"/>
                <w:szCs w:val="18"/>
                <w:rtl/>
              </w:rPr>
              <w:t>לאחר היישום למפרע</w:t>
            </w:r>
          </w:p>
        </w:tc>
        <w:tc>
          <w:tcPr>
            <w:tcW w:w="445" w:type="pct"/>
          </w:tcPr>
          <w:p w14:paraId="175BB178" w14:textId="77777777" w:rsidR="00EC46DF" w:rsidRDefault="00EC46DF" w:rsidP="007A1B2F">
            <w:pPr>
              <w:pBdr>
                <w:bottom w:val="single" w:sz="4" w:space="1" w:color="auto"/>
              </w:pBdr>
              <w:jc w:val="center"/>
              <w:rPr>
                <w:rFonts w:eastAsia="Calibri"/>
                <w:b/>
                <w:bCs/>
                <w:sz w:val="18"/>
                <w:szCs w:val="18"/>
                <w:rtl/>
              </w:rPr>
            </w:pPr>
          </w:p>
          <w:p w14:paraId="1733B88E" w14:textId="47F83024" w:rsidR="007A1B2F" w:rsidRPr="00EC46DF" w:rsidRDefault="007A1B2F" w:rsidP="007A1B2F">
            <w:pPr>
              <w:pBdr>
                <w:bottom w:val="single" w:sz="4" w:space="1" w:color="auto"/>
              </w:pBdr>
              <w:jc w:val="center"/>
              <w:rPr>
                <w:rFonts w:eastAsia="Calibri"/>
                <w:b/>
                <w:bCs/>
                <w:sz w:val="18"/>
                <w:szCs w:val="18"/>
                <w:rtl/>
              </w:rPr>
            </w:pPr>
            <w:r w:rsidRPr="00EC46DF">
              <w:rPr>
                <w:rFonts w:eastAsia="Calibri"/>
                <w:b/>
                <w:bCs/>
                <w:sz w:val="18"/>
                <w:szCs w:val="18"/>
                <w:rtl/>
              </w:rPr>
              <w:t>טרם היישום  למפרע</w:t>
            </w:r>
          </w:p>
        </w:tc>
        <w:tc>
          <w:tcPr>
            <w:tcW w:w="414" w:type="pct"/>
          </w:tcPr>
          <w:p w14:paraId="363BDEAD" w14:textId="77777777" w:rsidR="007A1B2F" w:rsidRPr="00EC46DF" w:rsidRDefault="007A1B2F" w:rsidP="007A1B2F">
            <w:pPr>
              <w:pBdr>
                <w:bottom w:val="single" w:sz="4" w:space="1" w:color="auto"/>
              </w:pBdr>
              <w:jc w:val="center"/>
              <w:rPr>
                <w:rFonts w:eastAsia="Calibri"/>
                <w:b/>
                <w:bCs/>
                <w:sz w:val="18"/>
                <w:szCs w:val="18"/>
                <w:rtl/>
              </w:rPr>
            </w:pPr>
            <w:r w:rsidRPr="00EC46DF">
              <w:rPr>
                <w:rFonts w:eastAsia="Calibri"/>
                <w:b/>
                <w:bCs/>
                <w:sz w:val="18"/>
                <w:szCs w:val="18"/>
                <w:rtl/>
              </w:rPr>
              <w:t>השפעת היישום למפרע</w:t>
            </w:r>
          </w:p>
        </w:tc>
        <w:tc>
          <w:tcPr>
            <w:tcW w:w="370" w:type="pct"/>
          </w:tcPr>
          <w:p w14:paraId="31DA6A71" w14:textId="77777777" w:rsidR="007A1B2F" w:rsidRPr="00EC46DF" w:rsidRDefault="007A1B2F" w:rsidP="007A1B2F">
            <w:pPr>
              <w:pBdr>
                <w:bottom w:val="single" w:sz="4" w:space="1" w:color="auto"/>
              </w:pBdr>
              <w:jc w:val="center"/>
              <w:rPr>
                <w:rFonts w:eastAsia="Calibri"/>
                <w:b/>
                <w:bCs/>
                <w:sz w:val="18"/>
                <w:szCs w:val="18"/>
                <w:rtl/>
              </w:rPr>
            </w:pPr>
            <w:r w:rsidRPr="00EC46DF">
              <w:rPr>
                <w:rFonts w:eastAsia="Calibri"/>
                <w:b/>
                <w:bCs/>
                <w:sz w:val="18"/>
                <w:szCs w:val="18"/>
                <w:rtl/>
              </w:rPr>
              <w:t>לאחר היישום למפרע</w:t>
            </w:r>
          </w:p>
        </w:tc>
        <w:tc>
          <w:tcPr>
            <w:tcW w:w="457" w:type="pct"/>
          </w:tcPr>
          <w:p w14:paraId="5243A34E" w14:textId="77777777" w:rsidR="00EC46DF" w:rsidRDefault="00EC46DF" w:rsidP="007A1B2F">
            <w:pPr>
              <w:pBdr>
                <w:bottom w:val="single" w:sz="4" w:space="1" w:color="auto"/>
              </w:pBdr>
              <w:jc w:val="center"/>
              <w:rPr>
                <w:rFonts w:eastAsia="Calibri"/>
                <w:b/>
                <w:bCs/>
                <w:sz w:val="18"/>
                <w:szCs w:val="18"/>
                <w:rtl/>
              </w:rPr>
            </w:pPr>
          </w:p>
          <w:p w14:paraId="2332317E" w14:textId="522AE297" w:rsidR="007A1B2F" w:rsidRPr="00EC46DF" w:rsidRDefault="007A1B2F" w:rsidP="007A1B2F">
            <w:pPr>
              <w:pBdr>
                <w:bottom w:val="single" w:sz="4" w:space="1" w:color="auto"/>
              </w:pBdr>
              <w:jc w:val="center"/>
              <w:rPr>
                <w:rFonts w:eastAsia="Calibri"/>
                <w:b/>
                <w:bCs/>
                <w:sz w:val="18"/>
                <w:szCs w:val="18"/>
                <w:rtl/>
              </w:rPr>
            </w:pPr>
            <w:r w:rsidRPr="00EC46DF">
              <w:rPr>
                <w:rFonts w:eastAsia="Calibri"/>
                <w:b/>
                <w:bCs/>
                <w:sz w:val="18"/>
                <w:szCs w:val="18"/>
                <w:rtl/>
              </w:rPr>
              <w:t>טרם היישום  למפרע</w:t>
            </w:r>
          </w:p>
        </w:tc>
        <w:tc>
          <w:tcPr>
            <w:tcW w:w="413" w:type="pct"/>
          </w:tcPr>
          <w:p w14:paraId="57A16A57" w14:textId="77777777" w:rsidR="007A1B2F" w:rsidRPr="00EC46DF" w:rsidRDefault="007A1B2F" w:rsidP="007A1B2F">
            <w:pPr>
              <w:pBdr>
                <w:bottom w:val="single" w:sz="4" w:space="1" w:color="auto"/>
              </w:pBdr>
              <w:jc w:val="center"/>
              <w:rPr>
                <w:rFonts w:eastAsia="Calibri"/>
                <w:b/>
                <w:bCs/>
                <w:sz w:val="18"/>
                <w:szCs w:val="18"/>
                <w:rtl/>
              </w:rPr>
            </w:pPr>
            <w:r w:rsidRPr="00EC46DF">
              <w:rPr>
                <w:rFonts w:eastAsia="Calibri"/>
                <w:b/>
                <w:bCs/>
                <w:sz w:val="18"/>
                <w:szCs w:val="18"/>
                <w:rtl/>
              </w:rPr>
              <w:t>השפעת היישום למפרע</w:t>
            </w:r>
          </w:p>
        </w:tc>
        <w:tc>
          <w:tcPr>
            <w:tcW w:w="410" w:type="pct"/>
          </w:tcPr>
          <w:p w14:paraId="1A48F40F" w14:textId="77777777" w:rsidR="00EC46DF" w:rsidRDefault="00EC46DF" w:rsidP="007A1B2F">
            <w:pPr>
              <w:pBdr>
                <w:bottom w:val="single" w:sz="4" w:space="1" w:color="auto"/>
              </w:pBdr>
              <w:jc w:val="center"/>
              <w:rPr>
                <w:rFonts w:eastAsia="Calibri"/>
                <w:b/>
                <w:bCs/>
                <w:sz w:val="18"/>
                <w:szCs w:val="18"/>
                <w:rtl/>
              </w:rPr>
            </w:pPr>
          </w:p>
          <w:p w14:paraId="667974F4" w14:textId="335335F0" w:rsidR="007A1B2F" w:rsidRPr="00EC46DF" w:rsidRDefault="007A1B2F" w:rsidP="007A1B2F">
            <w:pPr>
              <w:pBdr>
                <w:bottom w:val="single" w:sz="4" w:space="1" w:color="auto"/>
              </w:pBdr>
              <w:jc w:val="center"/>
              <w:rPr>
                <w:rFonts w:eastAsia="Calibri"/>
                <w:b/>
                <w:bCs/>
                <w:sz w:val="18"/>
                <w:szCs w:val="18"/>
                <w:rtl/>
              </w:rPr>
            </w:pPr>
            <w:r w:rsidRPr="00EC46DF">
              <w:rPr>
                <w:rFonts w:eastAsia="Calibri"/>
                <w:b/>
                <w:bCs/>
                <w:sz w:val="18"/>
                <w:szCs w:val="18"/>
                <w:rtl/>
              </w:rPr>
              <w:t>לאחר היישום למפרע</w:t>
            </w:r>
          </w:p>
        </w:tc>
      </w:tr>
      <w:tr w:rsidR="007A1B2F" w:rsidRPr="00EC46DF" w14:paraId="1FDBF6F4" w14:textId="77777777" w:rsidTr="000A2883">
        <w:tc>
          <w:tcPr>
            <w:tcW w:w="237" w:type="pct"/>
          </w:tcPr>
          <w:p w14:paraId="642718D0" w14:textId="77777777" w:rsidR="007A1B2F" w:rsidRPr="00EC46DF" w:rsidRDefault="007A1B2F" w:rsidP="007A1B2F">
            <w:pPr>
              <w:spacing w:line="259" w:lineRule="auto"/>
              <w:jc w:val="left"/>
              <w:rPr>
                <w:rFonts w:eastAsia="Calibri"/>
                <w:sz w:val="18"/>
                <w:szCs w:val="18"/>
              </w:rPr>
            </w:pPr>
          </w:p>
        </w:tc>
        <w:tc>
          <w:tcPr>
            <w:tcW w:w="1043" w:type="pct"/>
          </w:tcPr>
          <w:p w14:paraId="4AEFC8F1" w14:textId="77777777" w:rsidR="007A1B2F" w:rsidRPr="00EC46DF" w:rsidRDefault="007A1B2F" w:rsidP="007A1B2F">
            <w:pPr>
              <w:spacing w:line="259" w:lineRule="auto"/>
              <w:jc w:val="left"/>
              <w:rPr>
                <w:rFonts w:eastAsia="Calibri"/>
                <w:b/>
                <w:bCs/>
                <w:sz w:val="18"/>
                <w:szCs w:val="18"/>
                <w:rtl/>
              </w:rPr>
            </w:pPr>
            <w:r w:rsidRPr="00EC46DF">
              <w:rPr>
                <w:rFonts w:eastAsia="Calibri"/>
                <w:b/>
                <w:bCs/>
                <w:sz w:val="18"/>
                <w:szCs w:val="18"/>
                <w:rtl/>
              </w:rPr>
              <w:t>רווח והפסד</w:t>
            </w:r>
          </w:p>
        </w:tc>
        <w:tc>
          <w:tcPr>
            <w:tcW w:w="414" w:type="pct"/>
          </w:tcPr>
          <w:p w14:paraId="6BFC962C" w14:textId="77777777" w:rsidR="007A1B2F" w:rsidRPr="00EC46DF" w:rsidRDefault="007A1B2F" w:rsidP="007A1B2F">
            <w:pPr>
              <w:spacing w:line="259" w:lineRule="auto"/>
              <w:jc w:val="left"/>
              <w:rPr>
                <w:rFonts w:eastAsia="Calibri"/>
                <w:sz w:val="18"/>
                <w:szCs w:val="18"/>
                <w:rtl/>
              </w:rPr>
            </w:pPr>
          </w:p>
        </w:tc>
        <w:tc>
          <w:tcPr>
            <w:tcW w:w="414" w:type="pct"/>
          </w:tcPr>
          <w:p w14:paraId="541A00E8" w14:textId="77777777" w:rsidR="007A1B2F" w:rsidRPr="00EC46DF" w:rsidRDefault="007A1B2F" w:rsidP="007A1B2F">
            <w:pPr>
              <w:spacing w:line="259" w:lineRule="auto"/>
              <w:jc w:val="left"/>
              <w:rPr>
                <w:rFonts w:eastAsia="Calibri"/>
                <w:sz w:val="18"/>
                <w:szCs w:val="18"/>
                <w:rtl/>
              </w:rPr>
            </w:pPr>
          </w:p>
        </w:tc>
        <w:tc>
          <w:tcPr>
            <w:tcW w:w="383" w:type="pct"/>
          </w:tcPr>
          <w:p w14:paraId="04A1A5EB" w14:textId="77777777" w:rsidR="007A1B2F" w:rsidRPr="00EC46DF" w:rsidRDefault="007A1B2F" w:rsidP="007A1B2F">
            <w:pPr>
              <w:spacing w:line="259" w:lineRule="auto"/>
              <w:jc w:val="left"/>
              <w:rPr>
                <w:rFonts w:eastAsia="Calibri"/>
                <w:sz w:val="18"/>
                <w:szCs w:val="18"/>
                <w:rtl/>
              </w:rPr>
            </w:pPr>
          </w:p>
        </w:tc>
        <w:tc>
          <w:tcPr>
            <w:tcW w:w="445" w:type="pct"/>
          </w:tcPr>
          <w:p w14:paraId="4866CF7C" w14:textId="77777777" w:rsidR="007A1B2F" w:rsidRPr="00EC46DF" w:rsidRDefault="007A1B2F" w:rsidP="007A1B2F">
            <w:pPr>
              <w:spacing w:line="259" w:lineRule="auto"/>
              <w:jc w:val="left"/>
              <w:rPr>
                <w:rFonts w:eastAsia="Calibri"/>
                <w:sz w:val="18"/>
                <w:szCs w:val="18"/>
                <w:rtl/>
              </w:rPr>
            </w:pPr>
          </w:p>
        </w:tc>
        <w:tc>
          <w:tcPr>
            <w:tcW w:w="414" w:type="pct"/>
          </w:tcPr>
          <w:p w14:paraId="2B329AD8" w14:textId="77777777" w:rsidR="007A1B2F" w:rsidRPr="00EC46DF" w:rsidRDefault="007A1B2F" w:rsidP="007A1B2F">
            <w:pPr>
              <w:spacing w:line="259" w:lineRule="auto"/>
              <w:jc w:val="left"/>
              <w:rPr>
                <w:rFonts w:eastAsia="Calibri"/>
                <w:sz w:val="18"/>
                <w:szCs w:val="18"/>
                <w:rtl/>
              </w:rPr>
            </w:pPr>
          </w:p>
        </w:tc>
        <w:tc>
          <w:tcPr>
            <w:tcW w:w="370" w:type="pct"/>
          </w:tcPr>
          <w:p w14:paraId="4F6B1F4B" w14:textId="77777777" w:rsidR="007A1B2F" w:rsidRPr="00EC46DF" w:rsidRDefault="007A1B2F" w:rsidP="007A1B2F">
            <w:pPr>
              <w:spacing w:line="259" w:lineRule="auto"/>
              <w:jc w:val="left"/>
              <w:rPr>
                <w:rFonts w:eastAsia="Calibri"/>
                <w:sz w:val="18"/>
                <w:szCs w:val="18"/>
                <w:rtl/>
              </w:rPr>
            </w:pPr>
          </w:p>
        </w:tc>
        <w:tc>
          <w:tcPr>
            <w:tcW w:w="457" w:type="pct"/>
          </w:tcPr>
          <w:p w14:paraId="5B9C5D61" w14:textId="77777777" w:rsidR="007A1B2F" w:rsidRPr="00EC46DF" w:rsidRDefault="007A1B2F" w:rsidP="007A1B2F">
            <w:pPr>
              <w:spacing w:line="259" w:lineRule="auto"/>
              <w:jc w:val="left"/>
              <w:rPr>
                <w:rFonts w:eastAsia="Calibri"/>
                <w:sz w:val="18"/>
                <w:szCs w:val="18"/>
                <w:rtl/>
              </w:rPr>
            </w:pPr>
          </w:p>
        </w:tc>
        <w:tc>
          <w:tcPr>
            <w:tcW w:w="413" w:type="pct"/>
          </w:tcPr>
          <w:p w14:paraId="18B749FA" w14:textId="77777777" w:rsidR="007A1B2F" w:rsidRPr="00EC46DF" w:rsidRDefault="007A1B2F" w:rsidP="007A1B2F">
            <w:pPr>
              <w:spacing w:line="259" w:lineRule="auto"/>
              <w:jc w:val="left"/>
              <w:rPr>
                <w:rFonts w:eastAsia="Calibri"/>
                <w:sz w:val="18"/>
                <w:szCs w:val="18"/>
                <w:rtl/>
              </w:rPr>
            </w:pPr>
          </w:p>
        </w:tc>
        <w:tc>
          <w:tcPr>
            <w:tcW w:w="410" w:type="pct"/>
          </w:tcPr>
          <w:p w14:paraId="4A9DB956" w14:textId="77777777" w:rsidR="007A1B2F" w:rsidRPr="00EC46DF" w:rsidRDefault="007A1B2F" w:rsidP="007A1B2F">
            <w:pPr>
              <w:spacing w:line="259" w:lineRule="auto"/>
              <w:jc w:val="left"/>
              <w:rPr>
                <w:rFonts w:eastAsia="Calibri"/>
                <w:sz w:val="18"/>
                <w:szCs w:val="18"/>
                <w:rtl/>
              </w:rPr>
            </w:pPr>
          </w:p>
        </w:tc>
      </w:tr>
      <w:tr w:rsidR="007A1B2F" w:rsidRPr="00EC46DF" w14:paraId="75689606" w14:textId="77777777" w:rsidTr="000A2883">
        <w:tc>
          <w:tcPr>
            <w:tcW w:w="237" w:type="pct"/>
          </w:tcPr>
          <w:p w14:paraId="549DB8E5" w14:textId="77777777" w:rsidR="007A1B2F" w:rsidRPr="00EC46DF" w:rsidRDefault="007A1B2F" w:rsidP="007A1B2F">
            <w:pPr>
              <w:spacing w:line="259" w:lineRule="auto"/>
              <w:jc w:val="left"/>
              <w:rPr>
                <w:rFonts w:eastAsia="Calibri"/>
                <w:sz w:val="18"/>
                <w:szCs w:val="18"/>
              </w:rPr>
            </w:pPr>
          </w:p>
        </w:tc>
        <w:tc>
          <w:tcPr>
            <w:tcW w:w="1043" w:type="pct"/>
          </w:tcPr>
          <w:p w14:paraId="41CB0341" w14:textId="77777777" w:rsidR="007A1B2F" w:rsidRPr="00EC46DF" w:rsidRDefault="007A1B2F" w:rsidP="007A1B2F">
            <w:pPr>
              <w:spacing w:line="259" w:lineRule="auto"/>
              <w:ind w:left="267" w:hanging="267"/>
              <w:jc w:val="left"/>
              <w:rPr>
                <w:rFonts w:eastAsia="Calibri"/>
                <w:sz w:val="18"/>
                <w:szCs w:val="18"/>
                <w:rtl/>
              </w:rPr>
            </w:pPr>
            <w:r w:rsidRPr="00EC46DF">
              <w:rPr>
                <w:rFonts w:eastAsia="Calibri"/>
                <w:sz w:val="18"/>
                <w:szCs w:val="18"/>
              </w:rPr>
              <w:t xml:space="preserve"> </w:t>
            </w:r>
            <w:r w:rsidRPr="00EC46DF">
              <w:rPr>
                <w:rFonts w:eastAsia="Calibri"/>
                <w:sz w:val="18"/>
                <w:szCs w:val="18"/>
                <w:rtl/>
              </w:rPr>
              <w:t>[פרט כל סעיף המושפע מהשינוי]</w:t>
            </w:r>
          </w:p>
        </w:tc>
        <w:tc>
          <w:tcPr>
            <w:tcW w:w="414" w:type="pct"/>
          </w:tcPr>
          <w:p w14:paraId="2448BB31"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154213D4"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83" w:type="pct"/>
          </w:tcPr>
          <w:p w14:paraId="22FF7B5E"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45" w:type="pct"/>
          </w:tcPr>
          <w:p w14:paraId="3E2C8656"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4D2A6C21"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70" w:type="pct"/>
          </w:tcPr>
          <w:p w14:paraId="6F83147D"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57" w:type="pct"/>
          </w:tcPr>
          <w:p w14:paraId="12B5EBD6"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3" w:type="pct"/>
          </w:tcPr>
          <w:p w14:paraId="68251DEC"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0" w:type="pct"/>
          </w:tcPr>
          <w:p w14:paraId="72F9D4E0"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r>
      <w:tr w:rsidR="007A1B2F" w:rsidRPr="00EC46DF" w14:paraId="65F4A2D9" w14:textId="77777777" w:rsidTr="000A2883">
        <w:tc>
          <w:tcPr>
            <w:tcW w:w="237" w:type="pct"/>
          </w:tcPr>
          <w:p w14:paraId="48505FBC" w14:textId="77777777" w:rsidR="007A1B2F" w:rsidRPr="00EC46DF" w:rsidRDefault="007A1B2F" w:rsidP="007A1B2F">
            <w:pPr>
              <w:spacing w:line="259" w:lineRule="auto"/>
              <w:jc w:val="left"/>
              <w:rPr>
                <w:rFonts w:eastAsia="Calibri"/>
                <w:sz w:val="18"/>
                <w:szCs w:val="18"/>
              </w:rPr>
            </w:pPr>
          </w:p>
        </w:tc>
        <w:tc>
          <w:tcPr>
            <w:tcW w:w="1043" w:type="pct"/>
          </w:tcPr>
          <w:p w14:paraId="4E759D5E"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Pr>
              <w:t xml:space="preserve"> </w:t>
            </w:r>
            <w:r w:rsidRPr="00EC46DF">
              <w:rPr>
                <w:rFonts w:eastAsia="Calibri"/>
                <w:sz w:val="18"/>
                <w:szCs w:val="18"/>
                <w:rtl/>
              </w:rPr>
              <w:t>רווח בסיסי למניה</w:t>
            </w:r>
          </w:p>
        </w:tc>
        <w:tc>
          <w:tcPr>
            <w:tcW w:w="414" w:type="pct"/>
          </w:tcPr>
          <w:p w14:paraId="1122F279"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04BCBED6"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83" w:type="pct"/>
          </w:tcPr>
          <w:p w14:paraId="57F1D808"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45" w:type="pct"/>
          </w:tcPr>
          <w:p w14:paraId="73F97EE6"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45862F25"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70" w:type="pct"/>
          </w:tcPr>
          <w:p w14:paraId="47CB865E"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57" w:type="pct"/>
          </w:tcPr>
          <w:p w14:paraId="65EE9B83"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3" w:type="pct"/>
          </w:tcPr>
          <w:p w14:paraId="0DD0E8DA"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0" w:type="pct"/>
          </w:tcPr>
          <w:p w14:paraId="2281BB21"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r>
      <w:tr w:rsidR="007A1B2F" w:rsidRPr="00EC46DF" w14:paraId="2FC6AD22" w14:textId="77777777" w:rsidTr="000A2883">
        <w:tc>
          <w:tcPr>
            <w:tcW w:w="237" w:type="pct"/>
          </w:tcPr>
          <w:p w14:paraId="75185212" w14:textId="77777777" w:rsidR="007A1B2F" w:rsidRPr="00EC46DF" w:rsidRDefault="007A1B2F" w:rsidP="007A1B2F">
            <w:pPr>
              <w:spacing w:line="259" w:lineRule="auto"/>
              <w:jc w:val="left"/>
              <w:rPr>
                <w:rFonts w:eastAsia="Calibri"/>
                <w:sz w:val="18"/>
                <w:szCs w:val="18"/>
              </w:rPr>
            </w:pPr>
          </w:p>
        </w:tc>
        <w:tc>
          <w:tcPr>
            <w:tcW w:w="1043" w:type="pct"/>
          </w:tcPr>
          <w:p w14:paraId="41116451"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Pr>
              <w:t xml:space="preserve"> </w:t>
            </w:r>
            <w:r w:rsidRPr="00EC46DF">
              <w:rPr>
                <w:rFonts w:eastAsia="Calibri"/>
                <w:sz w:val="18"/>
                <w:szCs w:val="18"/>
                <w:rtl/>
              </w:rPr>
              <w:t>רווח מדולל למניה</w:t>
            </w:r>
          </w:p>
        </w:tc>
        <w:tc>
          <w:tcPr>
            <w:tcW w:w="414" w:type="pct"/>
          </w:tcPr>
          <w:p w14:paraId="534240EE"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2FC1CB92"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83" w:type="pct"/>
          </w:tcPr>
          <w:p w14:paraId="38AB631A"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45" w:type="pct"/>
          </w:tcPr>
          <w:p w14:paraId="2205A5BA"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4DB39CC6"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70" w:type="pct"/>
          </w:tcPr>
          <w:p w14:paraId="7E92275A"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57" w:type="pct"/>
          </w:tcPr>
          <w:p w14:paraId="47FC9637"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3" w:type="pct"/>
          </w:tcPr>
          <w:p w14:paraId="401B92D3"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0" w:type="pct"/>
          </w:tcPr>
          <w:p w14:paraId="7CDC7021"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r>
      <w:tr w:rsidR="007A1B2F" w:rsidRPr="00EC46DF" w14:paraId="0D063B60" w14:textId="77777777" w:rsidTr="000A2883">
        <w:tc>
          <w:tcPr>
            <w:tcW w:w="237" w:type="pct"/>
          </w:tcPr>
          <w:p w14:paraId="1BBDBB77" w14:textId="77777777" w:rsidR="007A1B2F" w:rsidRPr="00EC46DF" w:rsidRDefault="007A1B2F" w:rsidP="007A1B2F">
            <w:pPr>
              <w:spacing w:line="259" w:lineRule="auto"/>
              <w:jc w:val="left"/>
              <w:rPr>
                <w:rFonts w:eastAsia="Calibri"/>
                <w:sz w:val="18"/>
                <w:szCs w:val="18"/>
              </w:rPr>
            </w:pPr>
          </w:p>
        </w:tc>
        <w:tc>
          <w:tcPr>
            <w:tcW w:w="1043" w:type="pct"/>
          </w:tcPr>
          <w:p w14:paraId="58CD93BA" w14:textId="77777777" w:rsidR="007A1B2F" w:rsidRPr="00EC46DF" w:rsidRDefault="007A1B2F" w:rsidP="008740C5">
            <w:pPr>
              <w:spacing w:before="240" w:line="259" w:lineRule="auto"/>
              <w:jc w:val="left"/>
              <w:rPr>
                <w:rFonts w:eastAsia="Calibri"/>
                <w:b/>
                <w:bCs/>
                <w:sz w:val="18"/>
                <w:szCs w:val="18"/>
                <w:rtl/>
              </w:rPr>
            </w:pPr>
            <w:r w:rsidRPr="00EC46DF">
              <w:rPr>
                <w:rFonts w:eastAsia="Calibri"/>
                <w:b/>
                <w:bCs/>
                <w:sz w:val="18"/>
                <w:szCs w:val="18"/>
                <w:rtl/>
              </w:rPr>
              <w:t xml:space="preserve">רווח כולל </w:t>
            </w:r>
          </w:p>
        </w:tc>
        <w:tc>
          <w:tcPr>
            <w:tcW w:w="414" w:type="pct"/>
          </w:tcPr>
          <w:p w14:paraId="61A93C0E" w14:textId="77777777" w:rsidR="007A1B2F" w:rsidRPr="00EC46DF" w:rsidRDefault="007A1B2F" w:rsidP="007A1B2F">
            <w:pPr>
              <w:spacing w:line="259" w:lineRule="auto"/>
              <w:jc w:val="left"/>
              <w:rPr>
                <w:rFonts w:eastAsia="Calibri"/>
                <w:sz w:val="18"/>
                <w:szCs w:val="18"/>
                <w:rtl/>
              </w:rPr>
            </w:pPr>
          </w:p>
        </w:tc>
        <w:tc>
          <w:tcPr>
            <w:tcW w:w="414" w:type="pct"/>
          </w:tcPr>
          <w:p w14:paraId="3471DE19" w14:textId="77777777" w:rsidR="007A1B2F" w:rsidRPr="00EC46DF" w:rsidRDefault="007A1B2F" w:rsidP="007A1B2F">
            <w:pPr>
              <w:spacing w:line="259" w:lineRule="auto"/>
              <w:jc w:val="left"/>
              <w:rPr>
                <w:rFonts w:eastAsia="Calibri"/>
                <w:sz w:val="18"/>
                <w:szCs w:val="18"/>
                <w:rtl/>
              </w:rPr>
            </w:pPr>
          </w:p>
        </w:tc>
        <w:tc>
          <w:tcPr>
            <w:tcW w:w="383" w:type="pct"/>
          </w:tcPr>
          <w:p w14:paraId="0F6225F9" w14:textId="77777777" w:rsidR="007A1B2F" w:rsidRPr="00EC46DF" w:rsidRDefault="007A1B2F" w:rsidP="007A1B2F">
            <w:pPr>
              <w:spacing w:line="259" w:lineRule="auto"/>
              <w:jc w:val="left"/>
              <w:rPr>
                <w:rFonts w:eastAsia="Calibri"/>
                <w:sz w:val="18"/>
                <w:szCs w:val="18"/>
                <w:rtl/>
              </w:rPr>
            </w:pPr>
          </w:p>
        </w:tc>
        <w:tc>
          <w:tcPr>
            <w:tcW w:w="445" w:type="pct"/>
          </w:tcPr>
          <w:p w14:paraId="43578079" w14:textId="77777777" w:rsidR="007A1B2F" w:rsidRPr="00EC46DF" w:rsidRDefault="007A1B2F" w:rsidP="007A1B2F">
            <w:pPr>
              <w:spacing w:line="259" w:lineRule="auto"/>
              <w:jc w:val="left"/>
              <w:rPr>
                <w:rFonts w:eastAsia="Calibri"/>
                <w:sz w:val="18"/>
                <w:szCs w:val="18"/>
                <w:rtl/>
              </w:rPr>
            </w:pPr>
          </w:p>
        </w:tc>
        <w:tc>
          <w:tcPr>
            <w:tcW w:w="414" w:type="pct"/>
          </w:tcPr>
          <w:p w14:paraId="0EE87295" w14:textId="77777777" w:rsidR="007A1B2F" w:rsidRPr="00EC46DF" w:rsidRDefault="007A1B2F" w:rsidP="007A1B2F">
            <w:pPr>
              <w:spacing w:line="259" w:lineRule="auto"/>
              <w:jc w:val="left"/>
              <w:rPr>
                <w:rFonts w:eastAsia="Calibri"/>
                <w:sz w:val="18"/>
                <w:szCs w:val="18"/>
                <w:rtl/>
              </w:rPr>
            </w:pPr>
          </w:p>
        </w:tc>
        <w:tc>
          <w:tcPr>
            <w:tcW w:w="370" w:type="pct"/>
          </w:tcPr>
          <w:p w14:paraId="068082B1" w14:textId="77777777" w:rsidR="007A1B2F" w:rsidRPr="00EC46DF" w:rsidRDefault="007A1B2F" w:rsidP="007A1B2F">
            <w:pPr>
              <w:spacing w:line="259" w:lineRule="auto"/>
              <w:jc w:val="left"/>
              <w:rPr>
                <w:rFonts w:eastAsia="Calibri"/>
                <w:sz w:val="18"/>
                <w:szCs w:val="18"/>
                <w:rtl/>
              </w:rPr>
            </w:pPr>
          </w:p>
        </w:tc>
        <w:tc>
          <w:tcPr>
            <w:tcW w:w="457" w:type="pct"/>
          </w:tcPr>
          <w:p w14:paraId="0B227B7F" w14:textId="77777777" w:rsidR="007A1B2F" w:rsidRPr="00EC46DF" w:rsidRDefault="007A1B2F" w:rsidP="007A1B2F">
            <w:pPr>
              <w:spacing w:line="259" w:lineRule="auto"/>
              <w:jc w:val="left"/>
              <w:rPr>
                <w:rFonts w:eastAsia="Calibri"/>
                <w:sz w:val="18"/>
                <w:szCs w:val="18"/>
                <w:rtl/>
              </w:rPr>
            </w:pPr>
          </w:p>
        </w:tc>
        <w:tc>
          <w:tcPr>
            <w:tcW w:w="413" w:type="pct"/>
          </w:tcPr>
          <w:p w14:paraId="44E87DA5" w14:textId="77777777" w:rsidR="007A1B2F" w:rsidRPr="00EC46DF" w:rsidRDefault="007A1B2F" w:rsidP="007A1B2F">
            <w:pPr>
              <w:spacing w:line="259" w:lineRule="auto"/>
              <w:jc w:val="left"/>
              <w:rPr>
                <w:rFonts w:eastAsia="Calibri"/>
                <w:sz w:val="18"/>
                <w:szCs w:val="18"/>
                <w:rtl/>
              </w:rPr>
            </w:pPr>
          </w:p>
        </w:tc>
        <w:tc>
          <w:tcPr>
            <w:tcW w:w="410" w:type="pct"/>
          </w:tcPr>
          <w:p w14:paraId="2628F9DC" w14:textId="77777777" w:rsidR="007A1B2F" w:rsidRPr="00EC46DF" w:rsidRDefault="007A1B2F" w:rsidP="007A1B2F">
            <w:pPr>
              <w:spacing w:line="259" w:lineRule="auto"/>
              <w:jc w:val="left"/>
              <w:rPr>
                <w:rFonts w:eastAsia="Calibri"/>
                <w:sz w:val="18"/>
                <w:szCs w:val="18"/>
                <w:rtl/>
              </w:rPr>
            </w:pPr>
          </w:p>
        </w:tc>
      </w:tr>
      <w:tr w:rsidR="007A1B2F" w:rsidRPr="00EC46DF" w14:paraId="77247C26" w14:textId="77777777" w:rsidTr="000A2883">
        <w:tc>
          <w:tcPr>
            <w:tcW w:w="237" w:type="pct"/>
          </w:tcPr>
          <w:p w14:paraId="43208C2B" w14:textId="77777777" w:rsidR="007A1B2F" w:rsidRPr="00EC46DF" w:rsidRDefault="007A1B2F" w:rsidP="007A1B2F">
            <w:pPr>
              <w:spacing w:line="259" w:lineRule="auto"/>
              <w:jc w:val="left"/>
              <w:rPr>
                <w:rFonts w:eastAsia="Calibri"/>
                <w:sz w:val="18"/>
                <w:szCs w:val="18"/>
              </w:rPr>
            </w:pPr>
          </w:p>
        </w:tc>
        <w:tc>
          <w:tcPr>
            <w:tcW w:w="1043" w:type="pct"/>
          </w:tcPr>
          <w:p w14:paraId="52AE3399" w14:textId="77777777" w:rsidR="007A1B2F" w:rsidRPr="00EC46DF" w:rsidRDefault="007A1B2F" w:rsidP="007A1B2F">
            <w:pPr>
              <w:spacing w:line="259" w:lineRule="auto"/>
              <w:ind w:left="267" w:hanging="267"/>
              <w:jc w:val="left"/>
              <w:rPr>
                <w:rFonts w:eastAsia="Calibri"/>
                <w:sz w:val="18"/>
                <w:szCs w:val="18"/>
                <w:rtl/>
              </w:rPr>
            </w:pPr>
            <w:r w:rsidRPr="00EC46DF">
              <w:rPr>
                <w:rFonts w:eastAsia="Calibri"/>
                <w:sz w:val="18"/>
                <w:szCs w:val="18"/>
              </w:rPr>
              <w:t xml:space="preserve"> </w:t>
            </w:r>
            <w:r w:rsidRPr="00EC46DF">
              <w:rPr>
                <w:rFonts w:eastAsia="Calibri"/>
                <w:sz w:val="18"/>
                <w:szCs w:val="18"/>
                <w:rtl/>
              </w:rPr>
              <w:t>[פרט כל סעיף המושפע מהשינוי]</w:t>
            </w:r>
          </w:p>
        </w:tc>
        <w:tc>
          <w:tcPr>
            <w:tcW w:w="414" w:type="pct"/>
          </w:tcPr>
          <w:p w14:paraId="7FFE5696"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5B4CA8CF"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83" w:type="pct"/>
          </w:tcPr>
          <w:p w14:paraId="26F4F1D4"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45" w:type="pct"/>
          </w:tcPr>
          <w:p w14:paraId="1DEE29AF"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54C1E5FB"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70" w:type="pct"/>
          </w:tcPr>
          <w:p w14:paraId="2DA0ABFF"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57" w:type="pct"/>
          </w:tcPr>
          <w:p w14:paraId="07F31900"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3" w:type="pct"/>
          </w:tcPr>
          <w:p w14:paraId="1412D3CB"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0" w:type="pct"/>
          </w:tcPr>
          <w:p w14:paraId="3153CE77"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r>
      <w:tr w:rsidR="007A1B2F" w:rsidRPr="00EC46DF" w14:paraId="3EA8DFC5" w14:textId="77777777" w:rsidTr="000A2883">
        <w:tc>
          <w:tcPr>
            <w:tcW w:w="237" w:type="pct"/>
          </w:tcPr>
          <w:p w14:paraId="58BB3799" w14:textId="77777777" w:rsidR="007A1B2F" w:rsidRPr="00EC46DF" w:rsidRDefault="007A1B2F" w:rsidP="007A1B2F">
            <w:pPr>
              <w:spacing w:line="259" w:lineRule="auto"/>
              <w:jc w:val="left"/>
              <w:rPr>
                <w:rFonts w:eastAsia="Calibri"/>
                <w:sz w:val="18"/>
                <w:szCs w:val="18"/>
              </w:rPr>
            </w:pPr>
          </w:p>
        </w:tc>
        <w:tc>
          <w:tcPr>
            <w:tcW w:w="1043" w:type="pct"/>
          </w:tcPr>
          <w:p w14:paraId="2150C904" w14:textId="77777777" w:rsidR="007A1B2F" w:rsidRPr="00EC46DF" w:rsidRDefault="007A1B2F" w:rsidP="008740C5">
            <w:pPr>
              <w:spacing w:before="240" w:line="259" w:lineRule="auto"/>
              <w:ind w:left="266" w:hanging="266"/>
              <w:jc w:val="left"/>
              <w:rPr>
                <w:rFonts w:eastAsia="Calibri"/>
                <w:sz w:val="18"/>
                <w:szCs w:val="18"/>
              </w:rPr>
            </w:pPr>
            <w:r w:rsidRPr="00EC46DF">
              <w:rPr>
                <w:rFonts w:eastAsia="Calibri"/>
                <w:b/>
                <w:bCs/>
                <w:sz w:val="18"/>
                <w:szCs w:val="18"/>
                <w:rtl/>
              </w:rPr>
              <w:t>תזרים מזומנים</w:t>
            </w:r>
          </w:p>
        </w:tc>
        <w:tc>
          <w:tcPr>
            <w:tcW w:w="414" w:type="pct"/>
          </w:tcPr>
          <w:p w14:paraId="333C6F87" w14:textId="77777777" w:rsidR="007A1B2F" w:rsidRPr="00EC46DF" w:rsidRDefault="007A1B2F" w:rsidP="007A1B2F">
            <w:pPr>
              <w:spacing w:line="259" w:lineRule="auto"/>
              <w:jc w:val="left"/>
              <w:rPr>
                <w:rFonts w:eastAsia="Calibri"/>
                <w:sz w:val="18"/>
                <w:szCs w:val="18"/>
                <w:rtl/>
              </w:rPr>
            </w:pPr>
          </w:p>
        </w:tc>
        <w:tc>
          <w:tcPr>
            <w:tcW w:w="414" w:type="pct"/>
          </w:tcPr>
          <w:p w14:paraId="308F560D" w14:textId="77777777" w:rsidR="007A1B2F" w:rsidRPr="00EC46DF" w:rsidRDefault="007A1B2F" w:rsidP="007A1B2F">
            <w:pPr>
              <w:spacing w:line="259" w:lineRule="auto"/>
              <w:jc w:val="left"/>
              <w:rPr>
                <w:rFonts w:eastAsia="Calibri"/>
                <w:sz w:val="18"/>
                <w:szCs w:val="18"/>
                <w:rtl/>
              </w:rPr>
            </w:pPr>
          </w:p>
        </w:tc>
        <w:tc>
          <w:tcPr>
            <w:tcW w:w="383" w:type="pct"/>
          </w:tcPr>
          <w:p w14:paraId="05E4F98F" w14:textId="77777777" w:rsidR="007A1B2F" w:rsidRPr="00EC46DF" w:rsidRDefault="007A1B2F" w:rsidP="007A1B2F">
            <w:pPr>
              <w:spacing w:line="259" w:lineRule="auto"/>
              <w:jc w:val="left"/>
              <w:rPr>
                <w:rFonts w:eastAsia="Calibri"/>
                <w:sz w:val="18"/>
                <w:szCs w:val="18"/>
                <w:rtl/>
              </w:rPr>
            </w:pPr>
          </w:p>
        </w:tc>
        <w:tc>
          <w:tcPr>
            <w:tcW w:w="445" w:type="pct"/>
          </w:tcPr>
          <w:p w14:paraId="3C468558" w14:textId="77777777" w:rsidR="007A1B2F" w:rsidRPr="00EC46DF" w:rsidRDefault="007A1B2F" w:rsidP="007A1B2F">
            <w:pPr>
              <w:spacing w:line="259" w:lineRule="auto"/>
              <w:jc w:val="left"/>
              <w:rPr>
                <w:rFonts w:eastAsia="Calibri"/>
                <w:sz w:val="18"/>
                <w:szCs w:val="18"/>
                <w:rtl/>
              </w:rPr>
            </w:pPr>
          </w:p>
        </w:tc>
        <w:tc>
          <w:tcPr>
            <w:tcW w:w="414" w:type="pct"/>
          </w:tcPr>
          <w:p w14:paraId="787642C1" w14:textId="77777777" w:rsidR="007A1B2F" w:rsidRPr="00EC46DF" w:rsidRDefault="007A1B2F" w:rsidP="007A1B2F">
            <w:pPr>
              <w:spacing w:line="259" w:lineRule="auto"/>
              <w:jc w:val="left"/>
              <w:rPr>
                <w:rFonts w:eastAsia="Calibri"/>
                <w:sz w:val="18"/>
                <w:szCs w:val="18"/>
                <w:rtl/>
              </w:rPr>
            </w:pPr>
          </w:p>
        </w:tc>
        <w:tc>
          <w:tcPr>
            <w:tcW w:w="370" w:type="pct"/>
          </w:tcPr>
          <w:p w14:paraId="6BEBD262" w14:textId="77777777" w:rsidR="007A1B2F" w:rsidRPr="00EC46DF" w:rsidRDefault="007A1B2F" w:rsidP="007A1B2F">
            <w:pPr>
              <w:spacing w:line="259" w:lineRule="auto"/>
              <w:jc w:val="left"/>
              <w:rPr>
                <w:rFonts w:eastAsia="Calibri"/>
                <w:sz w:val="18"/>
                <w:szCs w:val="18"/>
                <w:rtl/>
              </w:rPr>
            </w:pPr>
          </w:p>
        </w:tc>
        <w:tc>
          <w:tcPr>
            <w:tcW w:w="457" w:type="pct"/>
          </w:tcPr>
          <w:p w14:paraId="50F2E593" w14:textId="77777777" w:rsidR="007A1B2F" w:rsidRPr="00EC46DF" w:rsidRDefault="007A1B2F" w:rsidP="007A1B2F">
            <w:pPr>
              <w:spacing w:line="259" w:lineRule="auto"/>
              <w:jc w:val="left"/>
              <w:rPr>
                <w:rFonts w:eastAsia="Calibri"/>
                <w:sz w:val="18"/>
                <w:szCs w:val="18"/>
                <w:rtl/>
              </w:rPr>
            </w:pPr>
          </w:p>
        </w:tc>
        <w:tc>
          <w:tcPr>
            <w:tcW w:w="413" w:type="pct"/>
          </w:tcPr>
          <w:p w14:paraId="115E0881" w14:textId="77777777" w:rsidR="007A1B2F" w:rsidRPr="00EC46DF" w:rsidRDefault="007A1B2F" w:rsidP="007A1B2F">
            <w:pPr>
              <w:spacing w:line="259" w:lineRule="auto"/>
              <w:jc w:val="left"/>
              <w:rPr>
                <w:rFonts w:eastAsia="Calibri"/>
                <w:sz w:val="18"/>
                <w:szCs w:val="18"/>
                <w:rtl/>
              </w:rPr>
            </w:pPr>
          </w:p>
        </w:tc>
        <w:tc>
          <w:tcPr>
            <w:tcW w:w="410" w:type="pct"/>
          </w:tcPr>
          <w:p w14:paraId="5F78F702" w14:textId="77777777" w:rsidR="007A1B2F" w:rsidRPr="00EC46DF" w:rsidRDefault="007A1B2F" w:rsidP="007A1B2F">
            <w:pPr>
              <w:spacing w:line="259" w:lineRule="auto"/>
              <w:jc w:val="left"/>
              <w:rPr>
                <w:rFonts w:eastAsia="Calibri"/>
                <w:sz w:val="18"/>
                <w:szCs w:val="18"/>
                <w:rtl/>
              </w:rPr>
            </w:pPr>
          </w:p>
        </w:tc>
      </w:tr>
      <w:tr w:rsidR="007A1B2F" w:rsidRPr="00EC46DF" w14:paraId="4AC51491" w14:textId="77777777" w:rsidTr="000A2883">
        <w:tc>
          <w:tcPr>
            <w:tcW w:w="237" w:type="pct"/>
          </w:tcPr>
          <w:p w14:paraId="6F9D4C73" w14:textId="77777777" w:rsidR="007A1B2F" w:rsidRPr="00EC46DF" w:rsidRDefault="007A1B2F" w:rsidP="007A1B2F">
            <w:pPr>
              <w:spacing w:line="259" w:lineRule="auto"/>
              <w:jc w:val="left"/>
              <w:rPr>
                <w:rFonts w:eastAsia="Calibri"/>
                <w:sz w:val="18"/>
                <w:szCs w:val="18"/>
              </w:rPr>
            </w:pPr>
          </w:p>
        </w:tc>
        <w:tc>
          <w:tcPr>
            <w:tcW w:w="1043" w:type="pct"/>
          </w:tcPr>
          <w:p w14:paraId="008AC75A" w14:textId="77777777" w:rsidR="007A1B2F" w:rsidRPr="00EC46DF" w:rsidRDefault="007A1B2F" w:rsidP="007A1B2F">
            <w:pPr>
              <w:spacing w:line="259" w:lineRule="auto"/>
              <w:ind w:left="267" w:hanging="267"/>
              <w:jc w:val="left"/>
              <w:rPr>
                <w:rFonts w:eastAsia="Calibri"/>
                <w:sz w:val="18"/>
                <w:szCs w:val="18"/>
              </w:rPr>
            </w:pPr>
            <w:r w:rsidRPr="00EC46DF">
              <w:rPr>
                <w:rFonts w:eastAsia="Calibri"/>
                <w:sz w:val="18"/>
                <w:szCs w:val="18"/>
                <w:rtl/>
              </w:rPr>
              <w:t>מזומנים נטו מפעילות (לפעילות) שוטפת</w:t>
            </w:r>
          </w:p>
        </w:tc>
        <w:tc>
          <w:tcPr>
            <w:tcW w:w="414" w:type="pct"/>
          </w:tcPr>
          <w:p w14:paraId="670E66A3"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2E847C18"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83" w:type="pct"/>
          </w:tcPr>
          <w:p w14:paraId="2B9973D8"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45" w:type="pct"/>
          </w:tcPr>
          <w:p w14:paraId="38FDF81E"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022457CA"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70" w:type="pct"/>
          </w:tcPr>
          <w:p w14:paraId="47489F66"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57" w:type="pct"/>
          </w:tcPr>
          <w:p w14:paraId="4817DCAE"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3" w:type="pct"/>
          </w:tcPr>
          <w:p w14:paraId="5679DAC6"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0" w:type="pct"/>
          </w:tcPr>
          <w:p w14:paraId="1BCAB66C"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r>
      <w:tr w:rsidR="007A1B2F" w:rsidRPr="00EC46DF" w14:paraId="0C06F5BE" w14:textId="77777777" w:rsidTr="000A2883">
        <w:tc>
          <w:tcPr>
            <w:tcW w:w="237" w:type="pct"/>
          </w:tcPr>
          <w:p w14:paraId="05B2D586" w14:textId="77777777" w:rsidR="007A1B2F" w:rsidRPr="00EC46DF" w:rsidRDefault="007A1B2F" w:rsidP="007A1B2F">
            <w:pPr>
              <w:spacing w:line="259" w:lineRule="auto"/>
              <w:jc w:val="left"/>
              <w:rPr>
                <w:rFonts w:eastAsia="Calibri"/>
                <w:sz w:val="18"/>
                <w:szCs w:val="18"/>
              </w:rPr>
            </w:pPr>
          </w:p>
        </w:tc>
        <w:tc>
          <w:tcPr>
            <w:tcW w:w="1043" w:type="pct"/>
          </w:tcPr>
          <w:p w14:paraId="38B616CC" w14:textId="77777777" w:rsidR="007A1B2F" w:rsidRPr="00EC46DF" w:rsidRDefault="007A1B2F" w:rsidP="007A1B2F">
            <w:pPr>
              <w:spacing w:line="259" w:lineRule="auto"/>
              <w:ind w:left="267" w:hanging="267"/>
              <w:jc w:val="left"/>
              <w:rPr>
                <w:rFonts w:eastAsia="Calibri"/>
                <w:sz w:val="18"/>
                <w:szCs w:val="18"/>
              </w:rPr>
            </w:pPr>
            <w:r w:rsidRPr="00EC46DF">
              <w:rPr>
                <w:rFonts w:eastAsia="Calibri"/>
                <w:sz w:val="18"/>
                <w:szCs w:val="18"/>
                <w:rtl/>
              </w:rPr>
              <w:t>מזומנים נטו מפעילות (לפעילות) השקעה</w:t>
            </w:r>
          </w:p>
        </w:tc>
        <w:tc>
          <w:tcPr>
            <w:tcW w:w="414" w:type="pct"/>
          </w:tcPr>
          <w:p w14:paraId="3C9574E3"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4CB20E11"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83" w:type="pct"/>
          </w:tcPr>
          <w:p w14:paraId="65D287B4"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45" w:type="pct"/>
          </w:tcPr>
          <w:p w14:paraId="58ACE2F3"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7B8B66F4"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70" w:type="pct"/>
          </w:tcPr>
          <w:p w14:paraId="2DF9A750"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57" w:type="pct"/>
          </w:tcPr>
          <w:p w14:paraId="5D946786"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3" w:type="pct"/>
          </w:tcPr>
          <w:p w14:paraId="21547A1D"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0" w:type="pct"/>
          </w:tcPr>
          <w:p w14:paraId="40DD7CBB"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r>
      <w:tr w:rsidR="007A1B2F" w:rsidRPr="00EC46DF" w14:paraId="283B95E7" w14:textId="77777777" w:rsidTr="000A2883">
        <w:tc>
          <w:tcPr>
            <w:tcW w:w="237" w:type="pct"/>
          </w:tcPr>
          <w:p w14:paraId="020E2B68" w14:textId="77777777" w:rsidR="007A1B2F" w:rsidRPr="00EC46DF" w:rsidRDefault="007A1B2F" w:rsidP="007A1B2F">
            <w:pPr>
              <w:spacing w:line="259" w:lineRule="auto"/>
              <w:jc w:val="left"/>
              <w:rPr>
                <w:rFonts w:eastAsia="Calibri"/>
                <w:sz w:val="18"/>
                <w:szCs w:val="18"/>
              </w:rPr>
            </w:pPr>
          </w:p>
        </w:tc>
        <w:tc>
          <w:tcPr>
            <w:tcW w:w="1043" w:type="pct"/>
          </w:tcPr>
          <w:p w14:paraId="74A3DCCA" w14:textId="77777777" w:rsidR="007A1B2F" w:rsidRPr="00EC46DF" w:rsidRDefault="007A1B2F" w:rsidP="007A1B2F">
            <w:pPr>
              <w:spacing w:line="259" w:lineRule="auto"/>
              <w:ind w:left="267" w:hanging="267"/>
              <w:jc w:val="left"/>
              <w:rPr>
                <w:rFonts w:eastAsia="Calibri"/>
                <w:sz w:val="18"/>
                <w:szCs w:val="18"/>
              </w:rPr>
            </w:pPr>
            <w:r w:rsidRPr="00EC46DF">
              <w:rPr>
                <w:rFonts w:eastAsia="Calibri"/>
                <w:sz w:val="18"/>
                <w:szCs w:val="18"/>
                <w:rtl/>
              </w:rPr>
              <w:t>מזומנים נטו מפעילות (לפעילות) מימון</w:t>
            </w:r>
          </w:p>
        </w:tc>
        <w:tc>
          <w:tcPr>
            <w:tcW w:w="414" w:type="pct"/>
          </w:tcPr>
          <w:p w14:paraId="4D5A3170"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1827706E"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83" w:type="pct"/>
          </w:tcPr>
          <w:p w14:paraId="3C10DE2A"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45" w:type="pct"/>
          </w:tcPr>
          <w:p w14:paraId="6E27BF8E"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05ECA3AD"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70" w:type="pct"/>
          </w:tcPr>
          <w:p w14:paraId="624FC557"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57" w:type="pct"/>
          </w:tcPr>
          <w:p w14:paraId="29527BDD"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3" w:type="pct"/>
          </w:tcPr>
          <w:p w14:paraId="5C669E48"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0" w:type="pct"/>
          </w:tcPr>
          <w:p w14:paraId="67D3178E"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r>
      <w:tr w:rsidR="007A1B2F" w:rsidRPr="00EC46DF" w14:paraId="7CDE0937" w14:textId="77777777" w:rsidTr="000A2883">
        <w:tc>
          <w:tcPr>
            <w:tcW w:w="237" w:type="pct"/>
          </w:tcPr>
          <w:p w14:paraId="7722BE7B" w14:textId="77777777" w:rsidR="007A1B2F" w:rsidRPr="00EC46DF" w:rsidRDefault="007A1B2F" w:rsidP="007A1B2F">
            <w:pPr>
              <w:spacing w:line="259" w:lineRule="auto"/>
              <w:jc w:val="left"/>
              <w:rPr>
                <w:rFonts w:eastAsia="Calibri"/>
                <w:sz w:val="18"/>
                <w:szCs w:val="18"/>
              </w:rPr>
            </w:pPr>
          </w:p>
        </w:tc>
        <w:tc>
          <w:tcPr>
            <w:tcW w:w="1043" w:type="pct"/>
          </w:tcPr>
          <w:p w14:paraId="0AF25A11" w14:textId="77777777" w:rsidR="007A1B2F" w:rsidRPr="00EC46DF" w:rsidRDefault="007A1B2F" w:rsidP="008740C5">
            <w:pPr>
              <w:spacing w:before="240" w:line="259" w:lineRule="auto"/>
              <w:ind w:left="266" w:hanging="266"/>
              <w:jc w:val="left"/>
              <w:rPr>
                <w:rFonts w:eastAsia="Calibri"/>
                <w:sz w:val="18"/>
                <w:szCs w:val="18"/>
              </w:rPr>
            </w:pPr>
            <w:r w:rsidRPr="00EC46DF">
              <w:rPr>
                <w:rFonts w:eastAsia="Calibri"/>
                <w:b/>
                <w:bCs/>
                <w:sz w:val="18"/>
                <w:szCs w:val="18"/>
                <w:rtl/>
              </w:rPr>
              <w:t>דוח על השינויים בהון</w:t>
            </w:r>
          </w:p>
        </w:tc>
        <w:tc>
          <w:tcPr>
            <w:tcW w:w="414" w:type="pct"/>
          </w:tcPr>
          <w:p w14:paraId="0E75E883" w14:textId="77777777" w:rsidR="007A1B2F" w:rsidRPr="00EC46DF" w:rsidRDefault="007A1B2F" w:rsidP="007A1B2F">
            <w:pPr>
              <w:spacing w:line="259" w:lineRule="auto"/>
              <w:jc w:val="left"/>
              <w:rPr>
                <w:rFonts w:eastAsia="Calibri"/>
                <w:sz w:val="18"/>
                <w:szCs w:val="18"/>
                <w:rtl/>
              </w:rPr>
            </w:pPr>
          </w:p>
        </w:tc>
        <w:tc>
          <w:tcPr>
            <w:tcW w:w="414" w:type="pct"/>
          </w:tcPr>
          <w:p w14:paraId="5C65B51E" w14:textId="77777777" w:rsidR="007A1B2F" w:rsidRPr="00EC46DF" w:rsidRDefault="007A1B2F" w:rsidP="007A1B2F">
            <w:pPr>
              <w:spacing w:line="259" w:lineRule="auto"/>
              <w:jc w:val="left"/>
              <w:rPr>
                <w:rFonts w:eastAsia="Calibri"/>
                <w:sz w:val="18"/>
                <w:szCs w:val="18"/>
                <w:rtl/>
              </w:rPr>
            </w:pPr>
          </w:p>
        </w:tc>
        <w:tc>
          <w:tcPr>
            <w:tcW w:w="383" w:type="pct"/>
          </w:tcPr>
          <w:p w14:paraId="44E21D56" w14:textId="77777777" w:rsidR="007A1B2F" w:rsidRPr="00EC46DF" w:rsidRDefault="007A1B2F" w:rsidP="007A1B2F">
            <w:pPr>
              <w:spacing w:line="259" w:lineRule="auto"/>
              <w:jc w:val="left"/>
              <w:rPr>
                <w:rFonts w:eastAsia="Calibri"/>
                <w:sz w:val="18"/>
                <w:szCs w:val="18"/>
                <w:rtl/>
              </w:rPr>
            </w:pPr>
          </w:p>
        </w:tc>
        <w:tc>
          <w:tcPr>
            <w:tcW w:w="445" w:type="pct"/>
          </w:tcPr>
          <w:p w14:paraId="318C3320" w14:textId="77777777" w:rsidR="007A1B2F" w:rsidRPr="00EC46DF" w:rsidRDefault="007A1B2F" w:rsidP="007A1B2F">
            <w:pPr>
              <w:spacing w:line="259" w:lineRule="auto"/>
              <w:jc w:val="left"/>
              <w:rPr>
                <w:rFonts w:eastAsia="Calibri"/>
                <w:sz w:val="18"/>
                <w:szCs w:val="18"/>
                <w:rtl/>
              </w:rPr>
            </w:pPr>
          </w:p>
        </w:tc>
        <w:tc>
          <w:tcPr>
            <w:tcW w:w="414" w:type="pct"/>
          </w:tcPr>
          <w:p w14:paraId="6A922605" w14:textId="77777777" w:rsidR="007A1B2F" w:rsidRPr="00EC46DF" w:rsidRDefault="007A1B2F" w:rsidP="007A1B2F">
            <w:pPr>
              <w:spacing w:line="259" w:lineRule="auto"/>
              <w:jc w:val="left"/>
              <w:rPr>
                <w:rFonts w:eastAsia="Calibri"/>
                <w:sz w:val="18"/>
                <w:szCs w:val="18"/>
                <w:rtl/>
              </w:rPr>
            </w:pPr>
          </w:p>
        </w:tc>
        <w:tc>
          <w:tcPr>
            <w:tcW w:w="370" w:type="pct"/>
          </w:tcPr>
          <w:p w14:paraId="03C96E07" w14:textId="77777777" w:rsidR="007A1B2F" w:rsidRPr="00EC46DF" w:rsidRDefault="007A1B2F" w:rsidP="007A1B2F">
            <w:pPr>
              <w:spacing w:line="259" w:lineRule="auto"/>
              <w:jc w:val="left"/>
              <w:rPr>
                <w:rFonts w:eastAsia="Calibri"/>
                <w:sz w:val="18"/>
                <w:szCs w:val="18"/>
                <w:rtl/>
              </w:rPr>
            </w:pPr>
          </w:p>
        </w:tc>
        <w:tc>
          <w:tcPr>
            <w:tcW w:w="457" w:type="pct"/>
          </w:tcPr>
          <w:p w14:paraId="618EBEB5" w14:textId="77777777" w:rsidR="007A1B2F" w:rsidRPr="00EC46DF" w:rsidRDefault="007A1B2F" w:rsidP="007A1B2F">
            <w:pPr>
              <w:spacing w:line="259" w:lineRule="auto"/>
              <w:jc w:val="left"/>
              <w:rPr>
                <w:rFonts w:eastAsia="Calibri"/>
                <w:sz w:val="18"/>
                <w:szCs w:val="18"/>
                <w:rtl/>
              </w:rPr>
            </w:pPr>
          </w:p>
        </w:tc>
        <w:tc>
          <w:tcPr>
            <w:tcW w:w="413" w:type="pct"/>
          </w:tcPr>
          <w:p w14:paraId="3C37207D" w14:textId="77777777" w:rsidR="007A1B2F" w:rsidRPr="00EC46DF" w:rsidRDefault="007A1B2F" w:rsidP="007A1B2F">
            <w:pPr>
              <w:spacing w:line="259" w:lineRule="auto"/>
              <w:jc w:val="left"/>
              <w:rPr>
                <w:rFonts w:eastAsia="Calibri"/>
                <w:sz w:val="18"/>
                <w:szCs w:val="18"/>
                <w:rtl/>
              </w:rPr>
            </w:pPr>
          </w:p>
        </w:tc>
        <w:tc>
          <w:tcPr>
            <w:tcW w:w="410" w:type="pct"/>
          </w:tcPr>
          <w:p w14:paraId="29E6231E" w14:textId="77777777" w:rsidR="007A1B2F" w:rsidRPr="00EC46DF" w:rsidRDefault="007A1B2F" w:rsidP="007A1B2F">
            <w:pPr>
              <w:spacing w:line="259" w:lineRule="auto"/>
              <w:jc w:val="left"/>
              <w:rPr>
                <w:rFonts w:eastAsia="Calibri"/>
                <w:sz w:val="18"/>
                <w:szCs w:val="18"/>
                <w:rtl/>
              </w:rPr>
            </w:pPr>
          </w:p>
        </w:tc>
      </w:tr>
      <w:tr w:rsidR="007A1B2F" w:rsidRPr="00EC46DF" w14:paraId="6BEB4B01" w14:textId="77777777" w:rsidTr="000A2883">
        <w:tc>
          <w:tcPr>
            <w:tcW w:w="237" w:type="pct"/>
          </w:tcPr>
          <w:p w14:paraId="6D148295" w14:textId="77777777" w:rsidR="007A1B2F" w:rsidRPr="00EC46DF" w:rsidRDefault="007A1B2F" w:rsidP="007A1B2F">
            <w:pPr>
              <w:spacing w:line="259" w:lineRule="auto"/>
              <w:jc w:val="left"/>
              <w:rPr>
                <w:rFonts w:eastAsia="Calibri"/>
                <w:sz w:val="18"/>
                <w:szCs w:val="18"/>
              </w:rPr>
            </w:pPr>
          </w:p>
        </w:tc>
        <w:tc>
          <w:tcPr>
            <w:tcW w:w="1043" w:type="pct"/>
          </w:tcPr>
          <w:p w14:paraId="46E274DB" w14:textId="77777777" w:rsidR="007A1B2F" w:rsidRPr="00EC46DF" w:rsidRDefault="007A1B2F" w:rsidP="007A1B2F">
            <w:pPr>
              <w:spacing w:line="259" w:lineRule="auto"/>
              <w:ind w:left="267" w:hanging="267"/>
              <w:jc w:val="left"/>
              <w:rPr>
                <w:rFonts w:eastAsia="Calibri"/>
                <w:sz w:val="18"/>
                <w:szCs w:val="18"/>
              </w:rPr>
            </w:pPr>
            <w:r w:rsidRPr="00EC46DF">
              <w:rPr>
                <w:rFonts w:eastAsia="Calibri"/>
                <w:sz w:val="18"/>
                <w:szCs w:val="18"/>
                <w:rtl/>
              </w:rPr>
              <w:t>רווח כולל אחר מצטבר:</w:t>
            </w:r>
          </w:p>
        </w:tc>
        <w:tc>
          <w:tcPr>
            <w:tcW w:w="414" w:type="pct"/>
          </w:tcPr>
          <w:p w14:paraId="78A9D098" w14:textId="77777777" w:rsidR="007A1B2F" w:rsidRPr="00EC46DF" w:rsidRDefault="007A1B2F" w:rsidP="007A1B2F">
            <w:pPr>
              <w:spacing w:line="259" w:lineRule="auto"/>
              <w:jc w:val="left"/>
              <w:rPr>
                <w:rFonts w:eastAsia="Calibri"/>
                <w:sz w:val="18"/>
                <w:szCs w:val="18"/>
                <w:rtl/>
              </w:rPr>
            </w:pPr>
          </w:p>
        </w:tc>
        <w:tc>
          <w:tcPr>
            <w:tcW w:w="414" w:type="pct"/>
          </w:tcPr>
          <w:p w14:paraId="25B44BA9" w14:textId="77777777" w:rsidR="007A1B2F" w:rsidRPr="00EC46DF" w:rsidRDefault="007A1B2F" w:rsidP="007A1B2F">
            <w:pPr>
              <w:spacing w:line="259" w:lineRule="auto"/>
              <w:jc w:val="left"/>
              <w:rPr>
                <w:rFonts w:eastAsia="Calibri"/>
                <w:sz w:val="18"/>
                <w:szCs w:val="18"/>
                <w:rtl/>
              </w:rPr>
            </w:pPr>
          </w:p>
        </w:tc>
        <w:tc>
          <w:tcPr>
            <w:tcW w:w="383" w:type="pct"/>
          </w:tcPr>
          <w:p w14:paraId="10C7505D" w14:textId="77777777" w:rsidR="007A1B2F" w:rsidRPr="00EC46DF" w:rsidRDefault="007A1B2F" w:rsidP="007A1B2F">
            <w:pPr>
              <w:spacing w:line="259" w:lineRule="auto"/>
              <w:jc w:val="left"/>
              <w:rPr>
                <w:rFonts w:eastAsia="Calibri"/>
                <w:sz w:val="18"/>
                <w:szCs w:val="18"/>
                <w:rtl/>
              </w:rPr>
            </w:pPr>
          </w:p>
        </w:tc>
        <w:tc>
          <w:tcPr>
            <w:tcW w:w="445" w:type="pct"/>
          </w:tcPr>
          <w:p w14:paraId="4962BB94" w14:textId="77777777" w:rsidR="007A1B2F" w:rsidRPr="00EC46DF" w:rsidRDefault="007A1B2F" w:rsidP="007A1B2F">
            <w:pPr>
              <w:spacing w:line="259" w:lineRule="auto"/>
              <w:jc w:val="left"/>
              <w:rPr>
                <w:rFonts w:eastAsia="Calibri"/>
                <w:sz w:val="18"/>
                <w:szCs w:val="18"/>
                <w:rtl/>
              </w:rPr>
            </w:pPr>
          </w:p>
        </w:tc>
        <w:tc>
          <w:tcPr>
            <w:tcW w:w="414" w:type="pct"/>
          </w:tcPr>
          <w:p w14:paraId="6BC2F4A7" w14:textId="77777777" w:rsidR="007A1B2F" w:rsidRPr="00EC46DF" w:rsidRDefault="007A1B2F" w:rsidP="007A1B2F">
            <w:pPr>
              <w:spacing w:line="259" w:lineRule="auto"/>
              <w:jc w:val="left"/>
              <w:rPr>
                <w:rFonts w:eastAsia="Calibri"/>
                <w:sz w:val="18"/>
                <w:szCs w:val="18"/>
                <w:rtl/>
              </w:rPr>
            </w:pPr>
          </w:p>
        </w:tc>
        <w:tc>
          <w:tcPr>
            <w:tcW w:w="370" w:type="pct"/>
          </w:tcPr>
          <w:p w14:paraId="3130AD58" w14:textId="77777777" w:rsidR="007A1B2F" w:rsidRPr="00EC46DF" w:rsidRDefault="007A1B2F" w:rsidP="007A1B2F">
            <w:pPr>
              <w:spacing w:line="259" w:lineRule="auto"/>
              <w:jc w:val="left"/>
              <w:rPr>
                <w:rFonts w:eastAsia="Calibri"/>
                <w:sz w:val="18"/>
                <w:szCs w:val="18"/>
                <w:rtl/>
              </w:rPr>
            </w:pPr>
          </w:p>
        </w:tc>
        <w:tc>
          <w:tcPr>
            <w:tcW w:w="457" w:type="pct"/>
          </w:tcPr>
          <w:p w14:paraId="3376DA6B" w14:textId="77777777" w:rsidR="007A1B2F" w:rsidRPr="00EC46DF" w:rsidRDefault="007A1B2F" w:rsidP="007A1B2F">
            <w:pPr>
              <w:spacing w:line="259" w:lineRule="auto"/>
              <w:jc w:val="left"/>
              <w:rPr>
                <w:rFonts w:eastAsia="Calibri"/>
                <w:sz w:val="18"/>
                <w:szCs w:val="18"/>
                <w:rtl/>
              </w:rPr>
            </w:pPr>
          </w:p>
        </w:tc>
        <w:tc>
          <w:tcPr>
            <w:tcW w:w="413" w:type="pct"/>
          </w:tcPr>
          <w:p w14:paraId="71A5FF5A" w14:textId="77777777" w:rsidR="007A1B2F" w:rsidRPr="00EC46DF" w:rsidRDefault="007A1B2F" w:rsidP="007A1B2F">
            <w:pPr>
              <w:spacing w:line="259" w:lineRule="auto"/>
              <w:jc w:val="left"/>
              <w:rPr>
                <w:rFonts w:eastAsia="Calibri"/>
                <w:sz w:val="18"/>
                <w:szCs w:val="18"/>
                <w:rtl/>
              </w:rPr>
            </w:pPr>
          </w:p>
        </w:tc>
        <w:tc>
          <w:tcPr>
            <w:tcW w:w="410" w:type="pct"/>
          </w:tcPr>
          <w:p w14:paraId="084220A7" w14:textId="77777777" w:rsidR="007A1B2F" w:rsidRPr="00EC46DF" w:rsidRDefault="007A1B2F" w:rsidP="007A1B2F">
            <w:pPr>
              <w:spacing w:line="259" w:lineRule="auto"/>
              <w:jc w:val="left"/>
              <w:rPr>
                <w:rFonts w:eastAsia="Calibri"/>
                <w:sz w:val="18"/>
                <w:szCs w:val="18"/>
                <w:rtl/>
              </w:rPr>
            </w:pPr>
          </w:p>
        </w:tc>
      </w:tr>
      <w:tr w:rsidR="007A1B2F" w:rsidRPr="00EC46DF" w14:paraId="0BD657F1" w14:textId="77777777" w:rsidTr="000A2883">
        <w:tc>
          <w:tcPr>
            <w:tcW w:w="237" w:type="pct"/>
          </w:tcPr>
          <w:p w14:paraId="3CA9693D" w14:textId="77777777" w:rsidR="007A1B2F" w:rsidRPr="00EC46DF" w:rsidRDefault="007A1B2F" w:rsidP="007A1B2F">
            <w:pPr>
              <w:spacing w:line="259" w:lineRule="auto"/>
              <w:jc w:val="left"/>
              <w:rPr>
                <w:rFonts w:eastAsia="Calibri"/>
                <w:sz w:val="18"/>
                <w:szCs w:val="18"/>
              </w:rPr>
            </w:pPr>
          </w:p>
        </w:tc>
        <w:tc>
          <w:tcPr>
            <w:tcW w:w="1043" w:type="pct"/>
          </w:tcPr>
          <w:p w14:paraId="4A371703" w14:textId="77777777" w:rsidR="007A1B2F" w:rsidRPr="00EC46DF" w:rsidRDefault="007A1B2F" w:rsidP="007A1B2F">
            <w:pPr>
              <w:spacing w:line="259" w:lineRule="auto"/>
              <w:ind w:left="267" w:hanging="267"/>
              <w:jc w:val="left"/>
              <w:rPr>
                <w:rFonts w:eastAsia="Calibri"/>
                <w:sz w:val="18"/>
                <w:szCs w:val="18"/>
              </w:rPr>
            </w:pPr>
            <w:r w:rsidRPr="00EC46DF">
              <w:rPr>
                <w:rFonts w:eastAsia="Calibri"/>
                <w:sz w:val="18"/>
                <w:szCs w:val="18"/>
                <w:rtl/>
              </w:rPr>
              <w:t xml:space="preserve">  </w:t>
            </w:r>
            <w:r w:rsidRPr="00EC46DF">
              <w:rPr>
                <w:rFonts w:eastAsia="Calibri" w:hint="cs"/>
                <w:sz w:val="18"/>
                <w:szCs w:val="18"/>
                <w:rtl/>
              </w:rPr>
              <w:t xml:space="preserve"> </w:t>
            </w:r>
            <w:r w:rsidRPr="00EC46DF">
              <w:rPr>
                <w:rFonts w:eastAsia="Calibri"/>
                <w:sz w:val="18"/>
                <w:szCs w:val="18"/>
                <w:rtl/>
              </w:rPr>
              <w:t>יתרה לתחילת תקופה</w:t>
            </w:r>
          </w:p>
        </w:tc>
        <w:tc>
          <w:tcPr>
            <w:tcW w:w="414" w:type="pct"/>
          </w:tcPr>
          <w:p w14:paraId="3E7A9D5D"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00F3D95F"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83" w:type="pct"/>
          </w:tcPr>
          <w:p w14:paraId="25E6CA29"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45" w:type="pct"/>
          </w:tcPr>
          <w:p w14:paraId="21E646A9"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1A31967A"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70" w:type="pct"/>
          </w:tcPr>
          <w:p w14:paraId="7B6696AD"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57" w:type="pct"/>
          </w:tcPr>
          <w:p w14:paraId="29AF76EE"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3" w:type="pct"/>
          </w:tcPr>
          <w:p w14:paraId="4B723EEF"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0" w:type="pct"/>
          </w:tcPr>
          <w:p w14:paraId="78E532AF"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r>
      <w:tr w:rsidR="007A1B2F" w:rsidRPr="00EC46DF" w14:paraId="7ECFA504" w14:textId="77777777" w:rsidTr="000A2883">
        <w:tc>
          <w:tcPr>
            <w:tcW w:w="237" w:type="pct"/>
          </w:tcPr>
          <w:p w14:paraId="38F86F79" w14:textId="77777777" w:rsidR="007A1B2F" w:rsidRPr="00EC46DF" w:rsidRDefault="007A1B2F" w:rsidP="007A1B2F">
            <w:pPr>
              <w:spacing w:line="259" w:lineRule="auto"/>
              <w:jc w:val="left"/>
              <w:rPr>
                <w:rFonts w:eastAsia="Calibri"/>
                <w:sz w:val="18"/>
                <w:szCs w:val="18"/>
              </w:rPr>
            </w:pPr>
          </w:p>
        </w:tc>
        <w:tc>
          <w:tcPr>
            <w:tcW w:w="1043" w:type="pct"/>
          </w:tcPr>
          <w:p w14:paraId="2DD95444" w14:textId="77777777" w:rsidR="007A1B2F" w:rsidRPr="00EC46DF" w:rsidRDefault="007A1B2F" w:rsidP="007A1B2F">
            <w:pPr>
              <w:spacing w:line="259" w:lineRule="auto"/>
              <w:ind w:left="267" w:hanging="267"/>
              <w:jc w:val="left"/>
              <w:rPr>
                <w:rFonts w:eastAsia="Calibri"/>
                <w:sz w:val="18"/>
                <w:szCs w:val="18"/>
              </w:rPr>
            </w:pPr>
            <w:r w:rsidRPr="00EC46DF">
              <w:rPr>
                <w:rFonts w:eastAsia="Calibri"/>
                <w:sz w:val="18"/>
                <w:szCs w:val="18"/>
                <w:rtl/>
              </w:rPr>
              <w:t xml:space="preserve">  </w:t>
            </w:r>
            <w:r w:rsidRPr="00EC46DF">
              <w:rPr>
                <w:rFonts w:eastAsia="Calibri" w:hint="cs"/>
                <w:sz w:val="18"/>
                <w:szCs w:val="18"/>
                <w:rtl/>
              </w:rPr>
              <w:t xml:space="preserve"> </w:t>
            </w:r>
            <w:r w:rsidRPr="00EC46DF">
              <w:rPr>
                <w:rFonts w:eastAsia="Calibri"/>
                <w:sz w:val="18"/>
                <w:szCs w:val="18"/>
                <w:rtl/>
              </w:rPr>
              <w:t>יתרה לסוף תקופה</w:t>
            </w:r>
          </w:p>
        </w:tc>
        <w:tc>
          <w:tcPr>
            <w:tcW w:w="414" w:type="pct"/>
          </w:tcPr>
          <w:p w14:paraId="05829058"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7CE83910"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83" w:type="pct"/>
          </w:tcPr>
          <w:p w14:paraId="73E20462"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45" w:type="pct"/>
          </w:tcPr>
          <w:p w14:paraId="40CF2142"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653BABFA"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70" w:type="pct"/>
          </w:tcPr>
          <w:p w14:paraId="3D418F34"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57" w:type="pct"/>
          </w:tcPr>
          <w:p w14:paraId="171FA19F"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3" w:type="pct"/>
          </w:tcPr>
          <w:p w14:paraId="33882189"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0" w:type="pct"/>
          </w:tcPr>
          <w:p w14:paraId="087B5745"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r>
      <w:tr w:rsidR="007A1B2F" w:rsidRPr="00EC46DF" w14:paraId="719FF495" w14:textId="77777777" w:rsidTr="000A2883">
        <w:tc>
          <w:tcPr>
            <w:tcW w:w="237" w:type="pct"/>
          </w:tcPr>
          <w:p w14:paraId="7EFA7812" w14:textId="77777777" w:rsidR="007A1B2F" w:rsidRPr="00EC46DF" w:rsidRDefault="007A1B2F" w:rsidP="007A1B2F">
            <w:pPr>
              <w:spacing w:line="259" w:lineRule="auto"/>
              <w:jc w:val="left"/>
              <w:rPr>
                <w:rFonts w:eastAsia="Calibri"/>
                <w:sz w:val="18"/>
                <w:szCs w:val="18"/>
              </w:rPr>
            </w:pPr>
          </w:p>
        </w:tc>
        <w:tc>
          <w:tcPr>
            <w:tcW w:w="1043" w:type="pct"/>
          </w:tcPr>
          <w:p w14:paraId="69DD40D9" w14:textId="77777777" w:rsidR="007A1B2F" w:rsidRPr="00EC46DF" w:rsidRDefault="007A1B2F" w:rsidP="007A1B2F">
            <w:pPr>
              <w:spacing w:line="259" w:lineRule="auto"/>
              <w:ind w:left="267" w:hanging="267"/>
              <w:jc w:val="left"/>
              <w:rPr>
                <w:rFonts w:eastAsia="Calibri"/>
                <w:sz w:val="18"/>
                <w:szCs w:val="18"/>
              </w:rPr>
            </w:pPr>
            <w:r w:rsidRPr="00EC46DF">
              <w:rPr>
                <w:rFonts w:eastAsia="Calibri"/>
                <w:sz w:val="18"/>
                <w:szCs w:val="18"/>
                <w:rtl/>
              </w:rPr>
              <w:t>עודפים (גירעונות) שנצברו:</w:t>
            </w:r>
          </w:p>
        </w:tc>
        <w:tc>
          <w:tcPr>
            <w:tcW w:w="414" w:type="pct"/>
          </w:tcPr>
          <w:p w14:paraId="680DBDD7" w14:textId="77777777" w:rsidR="007A1B2F" w:rsidRPr="00EC46DF" w:rsidRDefault="007A1B2F" w:rsidP="007A1B2F">
            <w:pPr>
              <w:spacing w:line="259" w:lineRule="auto"/>
              <w:jc w:val="left"/>
              <w:rPr>
                <w:rFonts w:eastAsia="Calibri"/>
                <w:sz w:val="18"/>
                <w:szCs w:val="18"/>
                <w:rtl/>
              </w:rPr>
            </w:pPr>
          </w:p>
        </w:tc>
        <w:tc>
          <w:tcPr>
            <w:tcW w:w="414" w:type="pct"/>
          </w:tcPr>
          <w:p w14:paraId="7238C85B" w14:textId="77777777" w:rsidR="007A1B2F" w:rsidRPr="00EC46DF" w:rsidRDefault="007A1B2F" w:rsidP="007A1B2F">
            <w:pPr>
              <w:spacing w:line="259" w:lineRule="auto"/>
              <w:jc w:val="left"/>
              <w:rPr>
                <w:rFonts w:eastAsia="Calibri"/>
                <w:sz w:val="18"/>
                <w:szCs w:val="18"/>
                <w:rtl/>
              </w:rPr>
            </w:pPr>
          </w:p>
        </w:tc>
        <w:tc>
          <w:tcPr>
            <w:tcW w:w="383" w:type="pct"/>
          </w:tcPr>
          <w:p w14:paraId="076B3071" w14:textId="77777777" w:rsidR="007A1B2F" w:rsidRPr="00EC46DF" w:rsidRDefault="007A1B2F" w:rsidP="007A1B2F">
            <w:pPr>
              <w:spacing w:line="259" w:lineRule="auto"/>
              <w:jc w:val="left"/>
              <w:rPr>
                <w:rFonts w:eastAsia="Calibri"/>
                <w:sz w:val="18"/>
                <w:szCs w:val="18"/>
                <w:rtl/>
              </w:rPr>
            </w:pPr>
          </w:p>
        </w:tc>
        <w:tc>
          <w:tcPr>
            <w:tcW w:w="445" w:type="pct"/>
          </w:tcPr>
          <w:p w14:paraId="362E0963" w14:textId="77777777" w:rsidR="007A1B2F" w:rsidRPr="00EC46DF" w:rsidRDefault="007A1B2F" w:rsidP="007A1B2F">
            <w:pPr>
              <w:spacing w:line="259" w:lineRule="auto"/>
              <w:jc w:val="left"/>
              <w:rPr>
                <w:rFonts w:eastAsia="Calibri"/>
                <w:sz w:val="18"/>
                <w:szCs w:val="18"/>
                <w:rtl/>
              </w:rPr>
            </w:pPr>
          </w:p>
        </w:tc>
        <w:tc>
          <w:tcPr>
            <w:tcW w:w="414" w:type="pct"/>
          </w:tcPr>
          <w:p w14:paraId="1F2AE67F" w14:textId="77777777" w:rsidR="007A1B2F" w:rsidRPr="00EC46DF" w:rsidRDefault="007A1B2F" w:rsidP="007A1B2F">
            <w:pPr>
              <w:spacing w:line="259" w:lineRule="auto"/>
              <w:jc w:val="left"/>
              <w:rPr>
                <w:rFonts w:eastAsia="Calibri"/>
                <w:sz w:val="18"/>
                <w:szCs w:val="18"/>
                <w:rtl/>
              </w:rPr>
            </w:pPr>
          </w:p>
        </w:tc>
        <w:tc>
          <w:tcPr>
            <w:tcW w:w="370" w:type="pct"/>
          </w:tcPr>
          <w:p w14:paraId="4BD94D35" w14:textId="77777777" w:rsidR="007A1B2F" w:rsidRPr="00EC46DF" w:rsidRDefault="007A1B2F" w:rsidP="007A1B2F">
            <w:pPr>
              <w:spacing w:line="259" w:lineRule="auto"/>
              <w:jc w:val="left"/>
              <w:rPr>
                <w:rFonts w:eastAsia="Calibri"/>
                <w:sz w:val="18"/>
                <w:szCs w:val="18"/>
                <w:rtl/>
              </w:rPr>
            </w:pPr>
          </w:p>
        </w:tc>
        <w:tc>
          <w:tcPr>
            <w:tcW w:w="457" w:type="pct"/>
          </w:tcPr>
          <w:p w14:paraId="6A73D77F" w14:textId="77777777" w:rsidR="007A1B2F" w:rsidRPr="00EC46DF" w:rsidRDefault="007A1B2F" w:rsidP="007A1B2F">
            <w:pPr>
              <w:spacing w:line="259" w:lineRule="auto"/>
              <w:jc w:val="left"/>
              <w:rPr>
                <w:rFonts w:eastAsia="Calibri"/>
                <w:sz w:val="18"/>
                <w:szCs w:val="18"/>
                <w:rtl/>
              </w:rPr>
            </w:pPr>
          </w:p>
        </w:tc>
        <w:tc>
          <w:tcPr>
            <w:tcW w:w="413" w:type="pct"/>
          </w:tcPr>
          <w:p w14:paraId="791F1CE4" w14:textId="77777777" w:rsidR="007A1B2F" w:rsidRPr="00EC46DF" w:rsidRDefault="007A1B2F" w:rsidP="007A1B2F">
            <w:pPr>
              <w:spacing w:line="259" w:lineRule="auto"/>
              <w:jc w:val="left"/>
              <w:rPr>
                <w:rFonts w:eastAsia="Calibri"/>
                <w:sz w:val="18"/>
                <w:szCs w:val="18"/>
                <w:rtl/>
              </w:rPr>
            </w:pPr>
          </w:p>
        </w:tc>
        <w:tc>
          <w:tcPr>
            <w:tcW w:w="410" w:type="pct"/>
          </w:tcPr>
          <w:p w14:paraId="39A45D66" w14:textId="77777777" w:rsidR="007A1B2F" w:rsidRPr="00EC46DF" w:rsidRDefault="007A1B2F" w:rsidP="007A1B2F">
            <w:pPr>
              <w:spacing w:line="259" w:lineRule="auto"/>
              <w:jc w:val="left"/>
              <w:rPr>
                <w:rFonts w:eastAsia="Calibri"/>
                <w:sz w:val="18"/>
                <w:szCs w:val="18"/>
                <w:rtl/>
              </w:rPr>
            </w:pPr>
          </w:p>
        </w:tc>
      </w:tr>
      <w:tr w:rsidR="007A1B2F" w:rsidRPr="00EC46DF" w14:paraId="3E9A26AD" w14:textId="77777777" w:rsidTr="000A2883">
        <w:tc>
          <w:tcPr>
            <w:tcW w:w="237" w:type="pct"/>
          </w:tcPr>
          <w:p w14:paraId="2076F2DD" w14:textId="77777777" w:rsidR="007A1B2F" w:rsidRPr="00EC46DF" w:rsidRDefault="007A1B2F" w:rsidP="007A1B2F">
            <w:pPr>
              <w:spacing w:line="259" w:lineRule="auto"/>
              <w:jc w:val="left"/>
              <w:rPr>
                <w:rFonts w:eastAsia="Calibri"/>
                <w:sz w:val="18"/>
                <w:szCs w:val="18"/>
              </w:rPr>
            </w:pPr>
          </w:p>
        </w:tc>
        <w:tc>
          <w:tcPr>
            <w:tcW w:w="1043" w:type="pct"/>
          </w:tcPr>
          <w:p w14:paraId="0E4FD025" w14:textId="77777777" w:rsidR="007A1B2F" w:rsidRPr="00EC46DF" w:rsidRDefault="007A1B2F" w:rsidP="007A1B2F">
            <w:pPr>
              <w:spacing w:line="259" w:lineRule="auto"/>
              <w:ind w:left="267" w:hanging="267"/>
              <w:jc w:val="left"/>
              <w:rPr>
                <w:rFonts w:eastAsia="Calibri"/>
                <w:sz w:val="18"/>
                <w:szCs w:val="18"/>
              </w:rPr>
            </w:pPr>
            <w:r w:rsidRPr="00EC46DF">
              <w:rPr>
                <w:rFonts w:eastAsia="Calibri"/>
                <w:sz w:val="18"/>
                <w:szCs w:val="18"/>
                <w:rtl/>
              </w:rPr>
              <w:t xml:space="preserve">   יתרה לתחילת תקופה</w:t>
            </w:r>
          </w:p>
        </w:tc>
        <w:tc>
          <w:tcPr>
            <w:tcW w:w="414" w:type="pct"/>
          </w:tcPr>
          <w:p w14:paraId="26F0D656"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005B723E"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83" w:type="pct"/>
          </w:tcPr>
          <w:p w14:paraId="4F3A7590"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45" w:type="pct"/>
          </w:tcPr>
          <w:p w14:paraId="10BCE245"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39412179"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70" w:type="pct"/>
          </w:tcPr>
          <w:p w14:paraId="12ADDF79"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57" w:type="pct"/>
          </w:tcPr>
          <w:p w14:paraId="3362E77F"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3" w:type="pct"/>
          </w:tcPr>
          <w:p w14:paraId="7457B200"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0" w:type="pct"/>
          </w:tcPr>
          <w:p w14:paraId="6354930C"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r>
      <w:tr w:rsidR="007A1B2F" w:rsidRPr="00EC46DF" w14:paraId="5E836E11" w14:textId="77777777" w:rsidTr="000A2883">
        <w:tc>
          <w:tcPr>
            <w:tcW w:w="237" w:type="pct"/>
          </w:tcPr>
          <w:p w14:paraId="3ACA833B" w14:textId="77777777" w:rsidR="007A1B2F" w:rsidRPr="00EC46DF" w:rsidRDefault="007A1B2F" w:rsidP="007A1B2F">
            <w:pPr>
              <w:spacing w:line="259" w:lineRule="auto"/>
              <w:jc w:val="left"/>
              <w:rPr>
                <w:rFonts w:eastAsia="Calibri"/>
                <w:sz w:val="18"/>
                <w:szCs w:val="18"/>
              </w:rPr>
            </w:pPr>
          </w:p>
        </w:tc>
        <w:tc>
          <w:tcPr>
            <w:tcW w:w="1043" w:type="pct"/>
          </w:tcPr>
          <w:p w14:paraId="061933BF" w14:textId="77777777" w:rsidR="007A1B2F" w:rsidRPr="00EC46DF" w:rsidRDefault="007A1B2F" w:rsidP="007A1B2F">
            <w:pPr>
              <w:spacing w:line="259" w:lineRule="auto"/>
              <w:ind w:left="267" w:hanging="267"/>
              <w:jc w:val="left"/>
              <w:rPr>
                <w:rFonts w:eastAsia="Calibri"/>
                <w:sz w:val="18"/>
                <w:szCs w:val="18"/>
              </w:rPr>
            </w:pPr>
            <w:r w:rsidRPr="00EC46DF">
              <w:rPr>
                <w:rFonts w:eastAsia="Calibri"/>
                <w:sz w:val="18"/>
                <w:szCs w:val="18"/>
                <w:rtl/>
              </w:rPr>
              <w:t xml:space="preserve">   יתרה לסוף תקופה</w:t>
            </w:r>
          </w:p>
        </w:tc>
        <w:tc>
          <w:tcPr>
            <w:tcW w:w="414" w:type="pct"/>
          </w:tcPr>
          <w:p w14:paraId="0FE2DA8A"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0CE6A3CC"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83" w:type="pct"/>
          </w:tcPr>
          <w:p w14:paraId="07267D6A"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45" w:type="pct"/>
          </w:tcPr>
          <w:p w14:paraId="6AA5F6BD"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4" w:type="pct"/>
          </w:tcPr>
          <w:p w14:paraId="7BF7A971"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370" w:type="pct"/>
          </w:tcPr>
          <w:p w14:paraId="672C4CC2"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57" w:type="pct"/>
          </w:tcPr>
          <w:p w14:paraId="2989A04B"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3" w:type="pct"/>
          </w:tcPr>
          <w:p w14:paraId="1FD733B7"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c>
          <w:tcPr>
            <w:tcW w:w="410" w:type="pct"/>
          </w:tcPr>
          <w:p w14:paraId="1DE7BE7C" w14:textId="77777777" w:rsidR="007A1B2F" w:rsidRPr="00EC46DF" w:rsidRDefault="007A1B2F" w:rsidP="007A1B2F">
            <w:pPr>
              <w:spacing w:line="259" w:lineRule="auto"/>
              <w:jc w:val="left"/>
              <w:rPr>
                <w:rFonts w:eastAsia="Calibri"/>
                <w:sz w:val="18"/>
                <w:szCs w:val="18"/>
                <w:rtl/>
              </w:rPr>
            </w:pPr>
            <w:r w:rsidRPr="00EC46DF">
              <w:rPr>
                <w:rFonts w:eastAsia="Calibri"/>
                <w:sz w:val="18"/>
                <w:szCs w:val="18"/>
                <w:rtl/>
              </w:rPr>
              <w:t>0</w:t>
            </w:r>
          </w:p>
        </w:tc>
      </w:tr>
      <w:tr w:rsidR="009F608F" w:rsidRPr="00EC46DF" w14:paraId="231C7ECA" w14:textId="77777777" w:rsidTr="008740C5">
        <w:trPr>
          <w:trHeight w:val="343"/>
        </w:trPr>
        <w:tc>
          <w:tcPr>
            <w:tcW w:w="237" w:type="pct"/>
          </w:tcPr>
          <w:p w14:paraId="7AFCC068" w14:textId="77777777" w:rsidR="009F608F" w:rsidRPr="00EC46DF" w:rsidRDefault="009F608F" w:rsidP="007A1B2F">
            <w:pPr>
              <w:spacing w:line="259" w:lineRule="auto"/>
              <w:jc w:val="left"/>
              <w:rPr>
                <w:rFonts w:eastAsia="Calibri"/>
                <w:sz w:val="18"/>
                <w:szCs w:val="18"/>
              </w:rPr>
            </w:pPr>
          </w:p>
        </w:tc>
        <w:tc>
          <w:tcPr>
            <w:tcW w:w="1043" w:type="pct"/>
          </w:tcPr>
          <w:p w14:paraId="4D6E4B32" w14:textId="77777777" w:rsidR="009F608F" w:rsidRPr="00EC46DF" w:rsidRDefault="009F608F" w:rsidP="008740C5">
            <w:pPr>
              <w:spacing w:line="259" w:lineRule="auto"/>
              <w:ind w:left="266" w:hanging="266"/>
              <w:jc w:val="left"/>
              <w:rPr>
                <w:rFonts w:eastAsia="Calibri"/>
                <w:sz w:val="18"/>
                <w:szCs w:val="18"/>
                <w:rtl/>
              </w:rPr>
            </w:pPr>
          </w:p>
        </w:tc>
        <w:tc>
          <w:tcPr>
            <w:tcW w:w="414" w:type="pct"/>
          </w:tcPr>
          <w:p w14:paraId="1B4788EB" w14:textId="77777777" w:rsidR="009F608F" w:rsidRPr="00EC46DF" w:rsidRDefault="009F608F" w:rsidP="007A1B2F">
            <w:pPr>
              <w:spacing w:line="259" w:lineRule="auto"/>
              <w:jc w:val="left"/>
              <w:rPr>
                <w:rFonts w:eastAsia="Calibri"/>
                <w:sz w:val="18"/>
                <w:szCs w:val="18"/>
                <w:rtl/>
              </w:rPr>
            </w:pPr>
          </w:p>
        </w:tc>
        <w:tc>
          <w:tcPr>
            <w:tcW w:w="414" w:type="pct"/>
          </w:tcPr>
          <w:p w14:paraId="225C6B5A" w14:textId="77777777" w:rsidR="009F608F" w:rsidRPr="00EC46DF" w:rsidRDefault="009F608F" w:rsidP="007A1B2F">
            <w:pPr>
              <w:spacing w:line="259" w:lineRule="auto"/>
              <w:jc w:val="left"/>
              <w:rPr>
                <w:rFonts w:eastAsia="Calibri"/>
                <w:sz w:val="18"/>
                <w:szCs w:val="18"/>
                <w:rtl/>
              </w:rPr>
            </w:pPr>
          </w:p>
        </w:tc>
        <w:tc>
          <w:tcPr>
            <w:tcW w:w="383" w:type="pct"/>
          </w:tcPr>
          <w:p w14:paraId="4E8F1637" w14:textId="77777777" w:rsidR="009F608F" w:rsidRPr="00EC46DF" w:rsidRDefault="009F608F" w:rsidP="007A1B2F">
            <w:pPr>
              <w:spacing w:line="259" w:lineRule="auto"/>
              <w:jc w:val="left"/>
              <w:rPr>
                <w:rFonts w:eastAsia="Calibri"/>
                <w:sz w:val="18"/>
                <w:szCs w:val="18"/>
                <w:rtl/>
              </w:rPr>
            </w:pPr>
          </w:p>
        </w:tc>
        <w:tc>
          <w:tcPr>
            <w:tcW w:w="445" w:type="pct"/>
          </w:tcPr>
          <w:p w14:paraId="6254107F" w14:textId="77777777" w:rsidR="009F608F" w:rsidRPr="00EC46DF" w:rsidRDefault="009F608F" w:rsidP="007A1B2F">
            <w:pPr>
              <w:spacing w:line="259" w:lineRule="auto"/>
              <w:jc w:val="left"/>
              <w:rPr>
                <w:rFonts w:eastAsia="Calibri"/>
                <w:sz w:val="18"/>
                <w:szCs w:val="18"/>
                <w:rtl/>
              </w:rPr>
            </w:pPr>
          </w:p>
        </w:tc>
        <w:tc>
          <w:tcPr>
            <w:tcW w:w="414" w:type="pct"/>
          </w:tcPr>
          <w:p w14:paraId="4E09D424" w14:textId="77777777" w:rsidR="009F608F" w:rsidRPr="00EC46DF" w:rsidRDefault="009F608F" w:rsidP="007A1B2F">
            <w:pPr>
              <w:spacing w:line="259" w:lineRule="auto"/>
              <w:jc w:val="left"/>
              <w:rPr>
                <w:rFonts w:eastAsia="Calibri"/>
                <w:sz w:val="18"/>
                <w:szCs w:val="18"/>
                <w:rtl/>
              </w:rPr>
            </w:pPr>
          </w:p>
        </w:tc>
        <w:tc>
          <w:tcPr>
            <w:tcW w:w="370" w:type="pct"/>
          </w:tcPr>
          <w:p w14:paraId="6A1C5A84" w14:textId="77777777" w:rsidR="009F608F" w:rsidRPr="00EC46DF" w:rsidRDefault="009F608F" w:rsidP="007A1B2F">
            <w:pPr>
              <w:spacing w:line="259" w:lineRule="auto"/>
              <w:jc w:val="left"/>
              <w:rPr>
                <w:rFonts w:eastAsia="Calibri"/>
                <w:sz w:val="18"/>
                <w:szCs w:val="18"/>
                <w:rtl/>
              </w:rPr>
            </w:pPr>
          </w:p>
        </w:tc>
        <w:tc>
          <w:tcPr>
            <w:tcW w:w="457" w:type="pct"/>
          </w:tcPr>
          <w:p w14:paraId="5CC97A4E" w14:textId="77777777" w:rsidR="009F608F" w:rsidRPr="00EC46DF" w:rsidRDefault="009F608F" w:rsidP="007A1B2F">
            <w:pPr>
              <w:spacing w:line="259" w:lineRule="auto"/>
              <w:jc w:val="left"/>
              <w:rPr>
                <w:rFonts w:eastAsia="Calibri"/>
                <w:sz w:val="18"/>
                <w:szCs w:val="18"/>
                <w:rtl/>
              </w:rPr>
            </w:pPr>
          </w:p>
        </w:tc>
        <w:tc>
          <w:tcPr>
            <w:tcW w:w="413" w:type="pct"/>
          </w:tcPr>
          <w:p w14:paraId="3865E1F2" w14:textId="77777777" w:rsidR="009F608F" w:rsidRPr="00EC46DF" w:rsidRDefault="009F608F" w:rsidP="007A1B2F">
            <w:pPr>
              <w:spacing w:line="259" w:lineRule="auto"/>
              <w:jc w:val="left"/>
              <w:rPr>
                <w:rFonts w:eastAsia="Calibri"/>
                <w:sz w:val="18"/>
                <w:szCs w:val="18"/>
                <w:rtl/>
              </w:rPr>
            </w:pPr>
          </w:p>
        </w:tc>
        <w:tc>
          <w:tcPr>
            <w:tcW w:w="410" w:type="pct"/>
          </w:tcPr>
          <w:p w14:paraId="3799D210" w14:textId="77777777" w:rsidR="009F608F" w:rsidRPr="00EC46DF" w:rsidRDefault="009F608F" w:rsidP="007A1B2F">
            <w:pPr>
              <w:spacing w:line="259" w:lineRule="auto"/>
              <w:jc w:val="left"/>
              <w:rPr>
                <w:rFonts w:eastAsia="Calibri"/>
                <w:sz w:val="18"/>
                <w:szCs w:val="18"/>
                <w:rtl/>
              </w:rPr>
            </w:pPr>
          </w:p>
        </w:tc>
      </w:tr>
      <w:tr w:rsidR="003E1BCF" w:rsidRPr="00EC46DF" w14:paraId="695071EA" w14:textId="77777777" w:rsidTr="003F769F">
        <w:tc>
          <w:tcPr>
            <w:tcW w:w="237" w:type="pct"/>
          </w:tcPr>
          <w:p w14:paraId="1738D018" w14:textId="77777777" w:rsidR="003E1BCF" w:rsidRPr="00EC46DF" w:rsidRDefault="003E1BCF" w:rsidP="003E1BCF">
            <w:pPr>
              <w:spacing w:line="259" w:lineRule="auto"/>
              <w:jc w:val="left"/>
              <w:rPr>
                <w:rFonts w:eastAsia="Calibri"/>
                <w:sz w:val="18"/>
                <w:szCs w:val="18"/>
              </w:rPr>
            </w:pPr>
          </w:p>
        </w:tc>
        <w:tc>
          <w:tcPr>
            <w:tcW w:w="1043" w:type="pct"/>
          </w:tcPr>
          <w:p w14:paraId="7993F1D8" w14:textId="54FA9061" w:rsidR="003E1BCF" w:rsidRPr="00EC46DF" w:rsidRDefault="003E1BCF" w:rsidP="003E1BCF">
            <w:pPr>
              <w:spacing w:line="259" w:lineRule="auto"/>
              <w:ind w:left="267" w:hanging="267"/>
              <w:jc w:val="left"/>
              <w:rPr>
                <w:rFonts w:eastAsia="Calibri"/>
                <w:b/>
                <w:bCs/>
                <w:sz w:val="18"/>
                <w:szCs w:val="18"/>
                <w:rtl/>
              </w:rPr>
            </w:pPr>
            <w:r w:rsidRPr="00EC46DF">
              <w:rPr>
                <w:rFonts w:eastAsia="Calibri" w:hint="cs"/>
                <w:b/>
                <w:bCs/>
                <w:sz w:val="18"/>
                <w:szCs w:val="18"/>
                <w:rtl/>
              </w:rPr>
              <w:t>מאזן</w:t>
            </w:r>
          </w:p>
        </w:tc>
        <w:tc>
          <w:tcPr>
            <w:tcW w:w="1211" w:type="pct"/>
            <w:gridSpan w:val="3"/>
            <w:tcBorders>
              <w:bottom w:val="single" w:sz="4" w:space="0" w:color="auto"/>
            </w:tcBorders>
          </w:tcPr>
          <w:p w14:paraId="4877030C" w14:textId="0430D910" w:rsidR="003E1BCF" w:rsidRPr="00EC46DF" w:rsidRDefault="003E1BCF" w:rsidP="003E1BCF">
            <w:pPr>
              <w:spacing w:line="259" w:lineRule="auto"/>
              <w:jc w:val="center"/>
              <w:rPr>
                <w:rFonts w:eastAsia="Calibri"/>
                <w:b/>
                <w:bCs/>
                <w:sz w:val="18"/>
                <w:szCs w:val="18"/>
                <w:rtl/>
              </w:rPr>
            </w:pPr>
            <w:r w:rsidRPr="00EC46DF">
              <w:rPr>
                <w:rFonts w:eastAsia="Calibri" w:hint="cs"/>
                <w:b/>
                <w:bCs/>
                <w:sz w:val="18"/>
                <w:szCs w:val="18"/>
                <w:rtl/>
              </w:rPr>
              <w:t xml:space="preserve">ליום </w:t>
            </w:r>
            <w:r w:rsidR="00941039">
              <w:rPr>
                <w:rFonts w:eastAsia="Calibri" w:hint="cs"/>
                <w:b/>
                <w:bCs/>
                <w:sz w:val="18"/>
                <w:szCs w:val="18"/>
                <w:rtl/>
              </w:rPr>
              <w:t>30</w:t>
            </w:r>
            <w:r w:rsidRPr="00EC46DF">
              <w:rPr>
                <w:rFonts w:eastAsia="Calibri" w:hint="cs"/>
                <w:b/>
                <w:bCs/>
                <w:sz w:val="18"/>
                <w:szCs w:val="18"/>
                <w:rtl/>
              </w:rPr>
              <w:t xml:space="preserve"> </w:t>
            </w:r>
            <w:r w:rsidR="00941039">
              <w:rPr>
                <w:rFonts w:eastAsia="Calibri" w:hint="cs"/>
                <w:b/>
                <w:bCs/>
                <w:sz w:val="18"/>
                <w:szCs w:val="18"/>
                <w:rtl/>
              </w:rPr>
              <w:t>ביוני</w:t>
            </w:r>
            <w:r w:rsidRPr="00EC46DF">
              <w:rPr>
                <w:rFonts w:eastAsia="Calibri" w:hint="cs"/>
                <w:b/>
                <w:bCs/>
                <w:sz w:val="18"/>
                <w:szCs w:val="18"/>
                <w:rtl/>
              </w:rPr>
              <w:t xml:space="preserve"> </w:t>
            </w:r>
            <w:r w:rsidRPr="00EC46DF">
              <w:rPr>
                <w:b/>
                <w:bCs/>
                <w:sz w:val="18"/>
                <w:szCs w:val="18"/>
                <w:rtl/>
              </w:rPr>
              <w:fldChar w:fldCharType="begin"/>
            </w:r>
            <w:r w:rsidRPr="00EC46DF">
              <w:rPr>
                <w:b/>
                <w:bCs/>
                <w:sz w:val="18"/>
                <w:szCs w:val="18"/>
                <w:rtl/>
              </w:rPr>
              <w:instrText xml:space="preserve"> </w:instrText>
            </w:r>
            <w:r w:rsidRPr="00EC46DF">
              <w:rPr>
                <w:rFonts w:hint="cs"/>
                <w:b/>
                <w:bCs/>
                <w:sz w:val="18"/>
                <w:szCs w:val="18"/>
                <w:rtl/>
              </w:rPr>
              <w:instrText xml:space="preserve">= </w:instrText>
            </w:r>
            <w:r w:rsidRPr="00EC46DF">
              <w:rPr>
                <w:rFonts w:hint="cs"/>
                <w:b/>
                <w:bCs/>
                <w:sz w:val="18"/>
                <w:szCs w:val="18"/>
              </w:rPr>
              <w:instrText>CY</w:instrText>
            </w:r>
            <w:r w:rsidR="008740C5">
              <w:rPr>
                <w:b/>
                <w:bCs/>
                <w:sz w:val="18"/>
                <w:szCs w:val="18"/>
              </w:rPr>
              <w:instrText>-1</w:instrText>
            </w:r>
            <w:r w:rsidRPr="00EC46DF">
              <w:rPr>
                <w:rFonts w:hint="cs"/>
                <w:b/>
                <w:bCs/>
                <w:sz w:val="18"/>
                <w:szCs w:val="18"/>
              </w:rPr>
              <w:instrText xml:space="preserve"> \* MERGEFORMAT</w:instrText>
            </w:r>
            <w:r w:rsidRPr="00EC46DF">
              <w:rPr>
                <w:b/>
                <w:bCs/>
                <w:sz w:val="18"/>
                <w:szCs w:val="18"/>
                <w:rtl/>
              </w:rPr>
              <w:instrText xml:space="preserve"> </w:instrText>
            </w:r>
            <w:r w:rsidRPr="00EC46DF">
              <w:rPr>
                <w:b/>
                <w:bCs/>
                <w:sz w:val="18"/>
                <w:szCs w:val="18"/>
                <w:rtl/>
              </w:rPr>
              <w:fldChar w:fldCharType="separate"/>
            </w:r>
            <w:r w:rsidR="008740C5">
              <w:rPr>
                <w:b/>
                <w:bCs/>
                <w:noProof/>
                <w:sz w:val="18"/>
                <w:szCs w:val="18"/>
                <w:rtl/>
              </w:rPr>
              <w:t>2023</w:t>
            </w:r>
            <w:r w:rsidRPr="00EC46DF">
              <w:rPr>
                <w:b/>
                <w:bCs/>
                <w:sz w:val="18"/>
                <w:szCs w:val="18"/>
                <w:rtl/>
              </w:rPr>
              <w:fldChar w:fldCharType="end"/>
            </w:r>
            <w:r w:rsidRPr="00EC46DF">
              <w:rPr>
                <w:rFonts w:eastAsia="Calibri"/>
                <w:b/>
                <w:bCs/>
                <w:sz w:val="18"/>
                <w:szCs w:val="18"/>
                <w:rtl/>
              </w:rPr>
              <w:t xml:space="preserve"> </w:t>
            </w:r>
            <w:r w:rsidRPr="00941039">
              <w:rPr>
                <w:rFonts w:eastAsia="Calibri" w:hint="cs"/>
                <w:sz w:val="18"/>
                <w:szCs w:val="18"/>
                <w:rtl/>
              </w:rPr>
              <w:t>(</w:t>
            </w:r>
            <w:r w:rsidR="00941039" w:rsidRPr="00941039">
              <w:rPr>
                <w:rFonts w:eastAsia="Calibri" w:hint="cs"/>
                <w:sz w:val="18"/>
                <w:szCs w:val="18"/>
                <w:rtl/>
              </w:rPr>
              <w:t xml:space="preserve">בלתי </w:t>
            </w:r>
            <w:r w:rsidRPr="00941039">
              <w:rPr>
                <w:rFonts w:eastAsia="Calibri" w:hint="cs"/>
                <w:sz w:val="18"/>
                <w:szCs w:val="18"/>
                <w:rtl/>
              </w:rPr>
              <w:t>מבוקר)</w:t>
            </w:r>
          </w:p>
        </w:tc>
        <w:tc>
          <w:tcPr>
            <w:tcW w:w="445" w:type="pct"/>
          </w:tcPr>
          <w:p w14:paraId="18BCBD0D" w14:textId="77777777" w:rsidR="003E1BCF" w:rsidRPr="00EC46DF" w:rsidRDefault="003E1BCF" w:rsidP="003E1BCF">
            <w:pPr>
              <w:spacing w:line="259" w:lineRule="auto"/>
              <w:jc w:val="left"/>
              <w:rPr>
                <w:rFonts w:eastAsia="Calibri"/>
                <w:sz w:val="18"/>
                <w:szCs w:val="18"/>
                <w:rtl/>
              </w:rPr>
            </w:pPr>
          </w:p>
        </w:tc>
        <w:tc>
          <w:tcPr>
            <w:tcW w:w="414" w:type="pct"/>
          </w:tcPr>
          <w:p w14:paraId="1BAD5F76" w14:textId="77777777" w:rsidR="003E1BCF" w:rsidRPr="00EC46DF" w:rsidRDefault="003E1BCF" w:rsidP="003E1BCF">
            <w:pPr>
              <w:spacing w:line="259" w:lineRule="auto"/>
              <w:jc w:val="left"/>
              <w:rPr>
                <w:rFonts w:eastAsia="Calibri"/>
                <w:sz w:val="18"/>
                <w:szCs w:val="18"/>
                <w:rtl/>
              </w:rPr>
            </w:pPr>
          </w:p>
        </w:tc>
        <w:tc>
          <w:tcPr>
            <w:tcW w:w="370" w:type="pct"/>
          </w:tcPr>
          <w:p w14:paraId="6533ED22" w14:textId="77777777" w:rsidR="003E1BCF" w:rsidRPr="00EC46DF" w:rsidRDefault="003E1BCF" w:rsidP="003E1BCF">
            <w:pPr>
              <w:spacing w:line="259" w:lineRule="auto"/>
              <w:jc w:val="left"/>
              <w:rPr>
                <w:rFonts w:eastAsia="Calibri"/>
                <w:sz w:val="18"/>
                <w:szCs w:val="18"/>
                <w:rtl/>
              </w:rPr>
            </w:pPr>
          </w:p>
        </w:tc>
        <w:tc>
          <w:tcPr>
            <w:tcW w:w="1280" w:type="pct"/>
            <w:gridSpan w:val="3"/>
            <w:tcBorders>
              <w:bottom w:val="single" w:sz="4" w:space="0" w:color="auto"/>
            </w:tcBorders>
          </w:tcPr>
          <w:p w14:paraId="59E60B68" w14:textId="0165CFBD" w:rsidR="003E1BCF" w:rsidRPr="00EC46DF" w:rsidRDefault="003E1BCF" w:rsidP="003E1BCF">
            <w:pPr>
              <w:spacing w:line="259" w:lineRule="auto"/>
              <w:jc w:val="center"/>
              <w:rPr>
                <w:rFonts w:eastAsia="Calibri"/>
                <w:sz w:val="18"/>
                <w:szCs w:val="18"/>
                <w:rtl/>
              </w:rPr>
            </w:pPr>
            <w:r w:rsidRPr="00EC46DF">
              <w:rPr>
                <w:rFonts w:eastAsia="Calibri" w:hint="cs"/>
                <w:b/>
                <w:bCs/>
                <w:sz w:val="18"/>
                <w:szCs w:val="18"/>
                <w:rtl/>
              </w:rPr>
              <w:t xml:space="preserve">ליום 31 בדצמבר </w:t>
            </w:r>
            <w:r w:rsidRPr="00EC46DF">
              <w:rPr>
                <w:b/>
                <w:bCs/>
                <w:sz w:val="18"/>
                <w:szCs w:val="18"/>
                <w:rtl/>
              </w:rPr>
              <w:fldChar w:fldCharType="begin"/>
            </w:r>
            <w:r w:rsidRPr="00EC46DF">
              <w:rPr>
                <w:b/>
                <w:bCs/>
                <w:sz w:val="18"/>
                <w:szCs w:val="18"/>
                <w:rtl/>
              </w:rPr>
              <w:instrText xml:space="preserve"> </w:instrText>
            </w:r>
            <w:r w:rsidRPr="00EC46DF">
              <w:rPr>
                <w:rFonts w:hint="cs"/>
                <w:b/>
                <w:bCs/>
                <w:sz w:val="18"/>
                <w:szCs w:val="18"/>
                <w:rtl/>
              </w:rPr>
              <w:instrText xml:space="preserve">= </w:instrText>
            </w:r>
            <w:r w:rsidRPr="00EC46DF">
              <w:rPr>
                <w:rFonts w:hint="cs"/>
                <w:b/>
                <w:bCs/>
                <w:sz w:val="18"/>
                <w:szCs w:val="18"/>
              </w:rPr>
              <w:instrText>CY</w:instrText>
            </w:r>
            <w:r w:rsidRPr="00EC46DF">
              <w:rPr>
                <w:b/>
                <w:bCs/>
                <w:sz w:val="18"/>
                <w:szCs w:val="18"/>
              </w:rPr>
              <w:instrText>-1</w:instrText>
            </w:r>
            <w:r w:rsidRPr="00EC46DF">
              <w:rPr>
                <w:rFonts w:hint="cs"/>
                <w:b/>
                <w:bCs/>
                <w:sz w:val="18"/>
                <w:szCs w:val="18"/>
              </w:rPr>
              <w:instrText xml:space="preserve"> \* MERGEFORMAT</w:instrText>
            </w:r>
            <w:r w:rsidRPr="00EC46DF">
              <w:rPr>
                <w:b/>
                <w:bCs/>
                <w:sz w:val="18"/>
                <w:szCs w:val="18"/>
                <w:rtl/>
              </w:rPr>
              <w:instrText xml:space="preserve"> </w:instrText>
            </w:r>
            <w:r w:rsidRPr="00EC46DF">
              <w:rPr>
                <w:b/>
                <w:bCs/>
                <w:sz w:val="18"/>
                <w:szCs w:val="18"/>
                <w:rtl/>
              </w:rPr>
              <w:fldChar w:fldCharType="separate"/>
            </w:r>
            <w:r w:rsidRPr="00EC46DF">
              <w:rPr>
                <w:b/>
                <w:bCs/>
                <w:noProof/>
                <w:sz w:val="18"/>
                <w:szCs w:val="18"/>
                <w:rtl/>
              </w:rPr>
              <w:t>2023</w:t>
            </w:r>
            <w:r w:rsidRPr="00EC46DF">
              <w:rPr>
                <w:b/>
                <w:bCs/>
                <w:sz w:val="18"/>
                <w:szCs w:val="18"/>
                <w:rtl/>
              </w:rPr>
              <w:fldChar w:fldCharType="end"/>
            </w:r>
            <w:r w:rsidRPr="00EC46DF">
              <w:rPr>
                <w:rFonts w:eastAsia="Calibri"/>
                <w:b/>
                <w:bCs/>
                <w:sz w:val="18"/>
                <w:szCs w:val="18"/>
                <w:rtl/>
              </w:rPr>
              <w:t xml:space="preserve"> </w:t>
            </w:r>
            <w:r w:rsidRPr="00941039">
              <w:rPr>
                <w:rFonts w:eastAsia="Calibri" w:hint="cs"/>
                <w:sz w:val="18"/>
                <w:szCs w:val="18"/>
                <w:rtl/>
              </w:rPr>
              <w:t>(מבוקר)</w:t>
            </w:r>
          </w:p>
        </w:tc>
      </w:tr>
      <w:tr w:rsidR="003E1BCF" w:rsidRPr="00EC46DF" w14:paraId="321EEB56" w14:textId="77777777" w:rsidTr="000A2883">
        <w:tc>
          <w:tcPr>
            <w:tcW w:w="237" w:type="pct"/>
          </w:tcPr>
          <w:p w14:paraId="4E2F15BE" w14:textId="77777777" w:rsidR="003E1BCF" w:rsidRPr="00EC46DF" w:rsidRDefault="003E1BCF" w:rsidP="003E1BCF">
            <w:pPr>
              <w:spacing w:line="259" w:lineRule="auto"/>
              <w:jc w:val="left"/>
              <w:rPr>
                <w:rFonts w:eastAsia="Calibri"/>
                <w:sz w:val="18"/>
                <w:szCs w:val="18"/>
              </w:rPr>
            </w:pPr>
          </w:p>
        </w:tc>
        <w:tc>
          <w:tcPr>
            <w:tcW w:w="1043" w:type="pct"/>
          </w:tcPr>
          <w:p w14:paraId="7F61FDE6" w14:textId="002BC15D" w:rsidR="003E1BCF" w:rsidRPr="00EC46DF" w:rsidRDefault="003E1BCF" w:rsidP="003E1BCF">
            <w:pPr>
              <w:spacing w:line="259" w:lineRule="auto"/>
              <w:ind w:left="267" w:hanging="267"/>
              <w:jc w:val="left"/>
              <w:rPr>
                <w:rFonts w:eastAsia="Calibri"/>
                <w:sz w:val="18"/>
                <w:szCs w:val="18"/>
                <w:rtl/>
              </w:rPr>
            </w:pPr>
            <w:r w:rsidRPr="00EC46DF">
              <w:rPr>
                <w:rFonts w:eastAsia="Calibri" w:hint="cs"/>
                <w:sz w:val="18"/>
                <w:szCs w:val="18"/>
                <w:rtl/>
              </w:rPr>
              <w:t>[פרט כל סעיף המושפע מהשינוי]</w:t>
            </w:r>
          </w:p>
        </w:tc>
        <w:tc>
          <w:tcPr>
            <w:tcW w:w="414" w:type="pct"/>
          </w:tcPr>
          <w:p w14:paraId="6D5665A0" w14:textId="2D9C02BA" w:rsidR="003E1BCF" w:rsidRPr="00EC46DF" w:rsidRDefault="003E1BCF" w:rsidP="003E1BCF">
            <w:pPr>
              <w:spacing w:line="259" w:lineRule="auto"/>
              <w:jc w:val="left"/>
              <w:rPr>
                <w:rFonts w:eastAsia="Calibri"/>
                <w:sz w:val="18"/>
                <w:szCs w:val="18"/>
                <w:rtl/>
              </w:rPr>
            </w:pPr>
            <w:r w:rsidRPr="00EC46DF">
              <w:rPr>
                <w:rFonts w:eastAsia="Calibri"/>
                <w:sz w:val="18"/>
                <w:szCs w:val="18"/>
                <w:rtl/>
              </w:rPr>
              <w:t>0</w:t>
            </w:r>
          </w:p>
        </w:tc>
        <w:tc>
          <w:tcPr>
            <w:tcW w:w="414" w:type="pct"/>
          </w:tcPr>
          <w:p w14:paraId="26859BBE" w14:textId="55215596" w:rsidR="003E1BCF" w:rsidRPr="00EC46DF" w:rsidRDefault="003E1BCF" w:rsidP="003E1BCF">
            <w:pPr>
              <w:spacing w:line="259" w:lineRule="auto"/>
              <w:jc w:val="left"/>
              <w:rPr>
                <w:rFonts w:eastAsia="Calibri"/>
                <w:sz w:val="18"/>
                <w:szCs w:val="18"/>
                <w:rtl/>
              </w:rPr>
            </w:pPr>
            <w:r w:rsidRPr="00EC46DF">
              <w:rPr>
                <w:rFonts w:eastAsia="Calibri"/>
                <w:sz w:val="18"/>
                <w:szCs w:val="18"/>
                <w:rtl/>
              </w:rPr>
              <w:t>0</w:t>
            </w:r>
          </w:p>
        </w:tc>
        <w:tc>
          <w:tcPr>
            <w:tcW w:w="383" w:type="pct"/>
          </w:tcPr>
          <w:p w14:paraId="6EB4A229" w14:textId="7ADD4849" w:rsidR="003E1BCF" w:rsidRPr="00EC46DF" w:rsidRDefault="003E1BCF" w:rsidP="003E1BCF">
            <w:pPr>
              <w:spacing w:line="259" w:lineRule="auto"/>
              <w:jc w:val="left"/>
              <w:rPr>
                <w:rFonts w:eastAsia="Calibri"/>
                <w:sz w:val="18"/>
                <w:szCs w:val="18"/>
                <w:rtl/>
              </w:rPr>
            </w:pPr>
            <w:r w:rsidRPr="00EC46DF">
              <w:rPr>
                <w:rFonts w:eastAsia="Calibri"/>
                <w:sz w:val="18"/>
                <w:szCs w:val="18"/>
                <w:rtl/>
              </w:rPr>
              <w:t>0</w:t>
            </w:r>
          </w:p>
        </w:tc>
        <w:tc>
          <w:tcPr>
            <w:tcW w:w="445" w:type="pct"/>
          </w:tcPr>
          <w:p w14:paraId="22BDEC71" w14:textId="77777777" w:rsidR="003E1BCF" w:rsidRPr="00EC46DF" w:rsidRDefault="003E1BCF" w:rsidP="003E1BCF">
            <w:pPr>
              <w:spacing w:line="259" w:lineRule="auto"/>
              <w:jc w:val="left"/>
              <w:rPr>
                <w:rFonts w:eastAsia="Calibri"/>
                <w:sz w:val="18"/>
                <w:szCs w:val="18"/>
                <w:rtl/>
              </w:rPr>
            </w:pPr>
          </w:p>
        </w:tc>
        <w:tc>
          <w:tcPr>
            <w:tcW w:w="414" w:type="pct"/>
          </w:tcPr>
          <w:p w14:paraId="6B24741B" w14:textId="51BC92DC" w:rsidR="003E1BCF" w:rsidRPr="00EC46DF" w:rsidRDefault="003E1BCF" w:rsidP="003E1BCF">
            <w:pPr>
              <w:spacing w:line="259" w:lineRule="auto"/>
              <w:jc w:val="left"/>
              <w:rPr>
                <w:rFonts w:eastAsia="Calibri"/>
                <w:sz w:val="18"/>
                <w:szCs w:val="18"/>
                <w:rtl/>
              </w:rPr>
            </w:pPr>
          </w:p>
        </w:tc>
        <w:tc>
          <w:tcPr>
            <w:tcW w:w="370" w:type="pct"/>
          </w:tcPr>
          <w:p w14:paraId="70870D77" w14:textId="6766F186" w:rsidR="003E1BCF" w:rsidRPr="00EC46DF" w:rsidRDefault="003E1BCF" w:rsidP="003E1BCF">
            <w:pPr>
              <w:spacing w:line="259" w:lineRule="auto"/>
              <w:jc w:val="left"/>
              <w:rPr>
                <w:rFonts w:eastAsia="Calibri"/>
                <w:sz w:val="18"/>
                <w:szCs w:val="18"/>
                <w:rtl/>
              </w:rPr>
            </w:pPr>
          </w:p>
        </w:tc>
        <w:tc>
          <w:tcPr>
            <w:tcW w:w="457" w:type="pct"/>
          </w:tcPr>
          <w:p w14:paraId="081C9089" w14:textId="53B0B6E1" w:rsidR="003E1BCF" w:rsidRPr="00EC46DF" w:rsidRDefault="003E1BCF" w:rsidP="003E1BCF">
            <w:pPr>
              <w:spacing w:line="259" w:lineRule="auto"/>
              <w:jc w:val="left"/>
              <w:rPr>
                <w:rFonts w:eastAsia="Calibri"/>
                <w:sz w:val="18"/>
                <w:szCs w:val="18"/>
                <w:rtl/>
              </w:rPr>
            </w:pPr>
            <w:r w:rsidRPr="00EC46DF">
              <w:rPr>
                <w:rFonts w:eastAsia="Calibri"/>
                <w:sz w:val="18"/>
                <w:szCs w:val="18"/>
                <w:rtl/>
              </w:rPr>
              <w:t>0</w:t>
            </w:r>
          </w:p>
        </w:tc>
        <w:tc>
          <w:tcPr>
            <w:tcW w:w="413" w:type="pct"/>
          </w:tcPr>
          <w:p w14:paraId="4AE18673" w14:textId="78FC9C65" w:rsidR="003E1BCF" w:rsidRPr="00EC46DF" w:rsidRDefault="003E1BCF" w:rsidP="003E1BCF">
            <w:pPr>
              <w:spacing w:line="259" w:lineRule="auto"/>
              <w:jc w:val="left"/>
              <w:rPr>
                <w:rFonts w:eastAsia="Calibri"/>
                <w:sz w:val="18"/>
                <w:szCs w:val="18"/>
                <w:rtl/>
              </w:rPr>
            </w:pPr>
            <w:r w:rsidRPr="00EC46DF">
              <w:rPr>
                <w:rFonts w:eastAsia="Calibri"/>
                <w:sz w:val="18"/>
                <w:szCs w:val="18"/>
                <w:rtl/>
              </w:rPr>
              <w:t>0</w:t>
            </w:r>
          </w:p>
        </w:tc>
        <w:tc>
          <w:tcPr>
            <w:tcW w:w="410" w:type="pct"/>
          </w:tcPr>
          <w:p w14:paraId="48EFC9D6" w14:textId="2902E36D" w:rsidR="003E1BCF" w:rsidRPr="00EC46DF" w:rsidRDefault="003E1BCF" w:rsidP="003E1BCF">
            <w:pPr>
              <w:spacing w:line="259" w:lineRule="auto"/>
              <w:jc w:val="left"/>
              <w:rPr>
                <w:rFonts w:eastAsia="Calibri"/>
                <w:sz w:val="18"/>
                <w:szCs w:val="18"/>
                <w:rtl/>
              </w:rPr>
            </w:pPr>
            <w:r w:rsidRPr="00EC46DF">
              <w:rPr>
                <w:rFonts w:eastAsia="Calibri"/>
                <w:sz w:val="18"/>
                <w:szCs w:val="18"/>
                <w:rtl/>
              </w:rPr>
              <w:t>0</w:t>
            </w:r>
          </w:p>
        </w:tc>
      </w:tr>
    </w:tbl>
    <w:p w14:paraId="25FA9634" w14:textId="77777777" w:rsidR="00043221" w:rsidRDefault="00043221" w:rsidP="00043221">
      <w:pPr>
        <w:tabs>
          <w:tab w:val="left" w:pos="820"/>
        </w:tabs>
        <w:rPr>
          <w:rtl/>
        </w:rPr>
      </w:pPr>
    </w:p>
    <w:p w14:paraId="3F8186C0" w14:textId="77777777" w:rsidR="004547C2" w:rsidRDefault="004547C2" w:rsidP="002E51B7">
      <w:pPr>
        <w:rPr>
          <w:sz w:val="2"/>
          <w:szCs w:val="2"/>
          <w:rtl/>
        </w:rPr>
      </w:pPr>
    </w:p>
    <w:p w14:paraId="0DDCF1D0" w14:textId="123DF4BE" w:rsidR="009F608F" w:rsidRDefault="009F608F" w:rsidP="002E51B7">
      <w:pPr>
        <w:rPr>
          <w:sz w:val="2"/>
          <w:szCs w:val="2"/>
          <w:rtl/>
        </w:rPr>
        <w:sectPr w:rsidR="009F608F" w:rsidSect="00587121">
          <w:headerReference w:type="even" r:id="rId36"/>
          <w:headerReference w:type="default" r:id="rId37"/>
          <w:footerReference w:type="default" r:id="rId38"/>
          <w:footnotePr>
            <w:numRestart w:val="eachPage"/>
          </w:footnotePr>
          <w:pgSz w:w="16834" w:h="11909" w:orient="landscape" w:code="9"/>
          <w:pgMar w:top="851" w:right="851" w:bottom="851" w:left="851" w:header="720" w:footer="720" w:gutter="0"/>
          <w:cols w:space="720"/>
          <w:bidi/>
          <w:rtlGutter/>
          <w:docGrid w:linePitch="360"/>
        </w:sectPr>
      </w:pPr>
    </w:p>
    <w:p w14:paraId="11239774" w14:textId="77777777" w:rsidR="00D6403C" w:rsidRPr="00EF7E0A" w:rsidRDefault="00D6403C" w:rsidP="002E51B7">
      <w:pPr>
        <w:rPr>
          <w:sz w:val="2"/>
          <w:szCs w:val="2"/>
          <w:rtl/>
        </w:rPr>
      </w:pPr>
    </w:p>
    <w:tbl>
      <w:tblPr>
        <w:bidiVisual/>
        <w:tblW w:w="4720" w:type="pct"/>
        <w:tblLook w:val="04A0" w:firstRow="1" w:lastRow="0" w:firstColumn="1" w:lastColumn="0" w:noHBand="0" w:noVBand="1"/>
      </w:tblPr>
      <w:tblGrid>
        <w:gridCol w:w="997"/>
        <w:gridCol w:w="363"/>
        <w:gridCol w:w="154"/>
        <w:gridCol w:w="994"/>
        <w:gridCol w:w="2980"/>
        <w:gridCol w:w="1274"/>
        <w:gridCol w:w="2126"/>
        <w:gridCol w:w="1277"/>
        <w:gridCol w:w="3966"/>
        <w:gridCol w:w="154"/>
      </w:tblGrid>
      <w:tr w:rsidR="001E5034" w:rsidRPr="00D6403C" w14:paraId="4D97A468" w14:textId="77777777" w:rsidTr="00C149F3">
        <w:tc>
          <w:tcPr>
            <w:tcW w:w="530" w:type="pct"/>
            <w:gridSpan w:val="3"/>
          </w:tcPr>
          <w:p w14:paraId="68D2E6EE" w14:textId="77777777" w:rsidR="001E5034" w:rsidRPr="00EF7E0A" w:rsidRDefault="001E5034" w:rsidP="0008394B">
            <w:pPr>
              <w:spacing w:line="360" w:lineRule="auto"/>
              <w:jc w:val="left"/>
              <w:rPr>
                <w:rFonts w:ascii="Calibri" w:eastAsia="Calibri" w:hAnsi="Calibri"/>
                <w:b/>
                <w:bCs/>
                <w:sz w:val="14"/>
                <w:szCs w:val="14"/>
                <w:rtl/>
              </w:rPr>
            </w:pPr>
            <w:r w:rsidRPr="00EF7E0A">
              <w:rPr>
                <w:rFonts w:ascii="Calibri" w:eastAsia="Calibri" w:hAnsi="Calibri" w:hint="cs"/>
                <w:b/>
                <w:bCs/>
                <w:sz w:val="14"/>
                <w:szCs w:val="14"/>
                <w:rtl/>
              </w:rPr>
              <w:t xml:space="preserve">  </w:t>
            </w:r>
          </w:p>
        </w:tc>
        <w:tc>
          <w:tcPr>
            <w:tcW w:w="4470" w:type="pct"/>
            <w:gridSpan w:val="7"/>
          </w:tcPr>
          <w:p w14:paraId="7DF2258E" w14:textId="77777777" w:rsidR="001E5034" w:rsidRPr="00D6403C" w:rsidRDefault="001E5034" w:rsidP="00C149F3">
            <w:pPr>
              <w:spacing w:line="276" w:lineRule="auto"/>
              <w:jc w:val="left"/>
              <w:rPr>
                <w:rFonts w:eastAsia="Calibri"/>
                <w:b/>
                <w:bCs/>
                <w:sz w:val="22"/>
                <w:szCs w:val="22"/>
                <w:rtl/>
              </w:rPr>
            </w:pPr>
            <w:r w:rsidRPr="00D6403C">
              <w:rPr>
                <w:rFonts w:eastAsia="Calibri"/>
                <w:b/>
                <w:bCs/>
                <w:sz w:val="22"/>
                <w:szCs w:val="22"/>
                <w:rtl/>
              </w:rPr>
              <w:t>ביאור 1 - עיקרי המדיניות החשבונאית (המשך):</w:t>
            </w:r>
          </w:p>
        </w:tc>
      </w:tr>
      <w:tr w:rsidR="009F608F" w:rsidRPr="00D6403C" w14:paraId="1630DA49" w14:textId="77777777" w:rsidTr="00C149F3">
        <w:tblPrEx>
          <w:tblLook w:val="01E0" w:firstRow="1" w:lastRow="1" w:firstColumn="1" w:lastColumn="1" w:noHBand="0" w:noVBand="0"/>
        </w:tblPrEx>
        <w:tc>
          <w:tcPr>
            <w:tcW w:w="530" w:type="pct"/>
            <w:gridSpan w:val="3"/>
          </w:tcPr>
          <w:p w14:paraId="4D8B124E" w14:textId="77777777" w:rsidR="009F608F" w:rsidRPr="00EF7E0A" w:rsidRDefault="009F608F" w:rsidP="009F608F">
            <w:pPr>
              <w:spacing w:line="360" w:lineRule="auto"/>
              <w:jc w:val="left"/>
              <w:rPr>
                <w:rFonts w:eastAsia="Calibri"/>
                <w:sz w:val="14"/>
                <w:szCs w:val="14"/>
              </w:rPr>
            </w:pPr>
          </w:p>
        </w:tc>
        <w:tc>
          <w:tcPr>
            <w:tcW w:w="4470" w:type="pct"/>
            <w:gridSpan w:val="7"/>
          </w:tcPr>
          <w:p w14:paraId="6B4A2315" w14:textId="26042135" w:rsidR="009F608F" w:rsidRPr="009F608F" w:rsidRDefault="009F608F" w:rsidP="009F608F">
            <w:pPr>
              <w:spacing w:line="276" w:lineRule="auto"/>
              <w:ind w:left="454" w:hanging="454"/>
              <w:rPr>
                <w:b/>
                <w:bCs/>
                <w:rtl/>
              </w:rPr>
            </w:pPr>
            <w:r w:rsidRPr="009F608F">
              <w:rPr>
                <w:rFonts w:hint="cs"/>
                <w:b/>
                <w:bCs/>
                <w:sz w:val="18"/>
                <w:rtl/>
              </w:rPr>
              <w:t>ה. ש</w:t>
            </w:r>
            <w:r w:rsidRPr="009F608F">
              <w:rPr>
                <w:rFonts w:hint="eastAsia"/>
                <w:b/>
                <w:bCs/>
                <w:sz w:val="18"/>
                <w:rtl/>
              </w:rPr>
              <w:t>ינויים</w:t>
            </w:r>
            <w:r w:rsidRPr="009F608F">
              <w:rPr>
                <w:b/>
                <w:bCs/>
                <w:sz w:val="18"/>
                <w:rtl/>
              </w:rPr>
              <w:t xml:space="preserve"> חשבונאיים</w:t>
            </w:r>
            <w:r w:rsidRPr="009F608F">
              <w:rPr>
                <w:rFonts w:hint="cs"/>
                <w:b/>
                <w:bCs/>
                <w:rtl/>
              </w:rPr>
              <w:t xml:space="preserve"> (המשך)</w:t>
            </w:r>
          </w:p>
        </w:tc>
      </w:tr>
      <w:tr w:rsidR="009F608F" w:rsidRPr="00D6403C" w14:paraId="6F5AB6C1" w14:textId="77777777" w:rsidTr="00EC46DF">
        <w:tblPrEx>
          <w:tblLook w:val="01E0" w:firstRow="1" w:lastRow="1" w:firstColumn="1" w:lastColumn="1" w:noHBand="0" w:noVBand="0"/>
        </w:tblPrEx>
        <w:trPr>
          <w:gridAfter w:val="1"/>
          <w:wAfter w:w="54" w:type="pct"/>
        </w:trPr>
        <w:tc>
          <w:tcPr>
            <w:tcW w:w="476" w:type="pct"/>
            <w:gridSpan w:val="2"/>
          </w:tcPr>
          <w:p w14:paraId="6B32ED85" w14:textId="77777777" w:rsidR="009F608F" w:rsidRPr="00EF7E0A" w:rsidRDefault="009F608F" w:rsidP="009F608F">
            <w:pPr>
              <w:spacing w:line="360" w:lineRule="auto"/>
              <w:ind w:right="-113"/>
              <w:jc w:val="left"/>
              <w:rPr>
                <w:rFonts w:eastAsia="Calibri"/>
                <w:spacing w:val="-4"/>
                <w:sz w:val="14"/>
                <w:szCs w:val="14"/>
                <w:rtl/>
              </w:rPr>
            </w:pPr>
          </w:p>
        </w:tc>
        <w:tc>
          <w:tcPr>
            <w:tcW w:w="4470" w:type="pct"/>
            <w:gridSpan w:val="7"/>
          </w:tcPr>
          <w:tbl>
            <w:tblPr>
              <w:bidiVisual/>
              <w:tblW w:w="4699" w:type="pct"/>
              <w:tblLook w:val="01E0" w:firstRow="1" w:lastRow="1" w:firstColumn="1" w:lastColumn="1" w:noHBand="0" w:noVBand="0"/>
            </w:tblPr>
            <w:tblGrid>
              <w:gridCol w:w="11799"/>
            </w:tblGrid>
            <w:tr w:rsidR="009F608F" w:rsidRPr="00B86BAF" w14:paraId="28299830" w14:textId="77777777" w:rsidTr="009F608F">
              <w:trPr>
                <w:trHeight w:val="165"/>
              </w:trPr>
              <w:tc>
                <w:tcPr>
                  <w:tcW w:w="5000" w:type="pct"/>
                </w:tcPr>
                <w:p w14:paraId="2FFD6C1E" w14:textId="359BD6C2" w:rsidR="009F608F" w:rsidRPr="00B86BAF" w:rsidRDefault="009F608F" w:rsidP="009F608F">
                  <w:pPr>
                    <w:spacing w:line="276" w:lineRule="auto"/>
                    <w:ind w:left="656" w:hanging="656"/>
                    <w:rPr>
                      <w:b/>
                      <w:bCs/>
                      <w:rtl/>
                    </w:rPr>
                  </w:pPr>
                  <w:r w:rsidRPr="00B86BAF">
                    <w:rPr>
                      <w:rFonts w:hint="cs"/>
                      <w:b/>
                      <w:bCs/>
                      <w:rtl/>
                    </w:rPr>
                    <w:t xml:space="preserve">    </w:t>
                  </w:r>
                  <w:r w:rsidRPr="009F608F">
                    <w:rPr>
                      <w:rFonts w:hint="cs"/>
                      <w:b/>
                      <w:bCs/>
                      <w:sz w:val="19"/>
                      <w:szCs w:val="19"/>
                      <w:rtl/>
                    </w:rPr>
                    <w:t>1.</w:t>
                  </w:r>
                  <w:r w:rsidRPr="00B86BAF">
                    <w:rPr>
                      <w:rFonts w:hint="cs"/>
                      <w:b/>
                      <w:bCs/>
                      <w:rtl/>
                    </w:rPr>
                    <w:t xml:space="preserve">   שינויים במדיניות חשבונאית:</w:t>
                  </w:r>
                  <w:r w:rsidRPr="00B86BAF">
                    <w:rPr>
                      <w:b/>
                      <w:bCs/>
                      <w:vertAlign w:val="superscript"/>
                      <w:rtl/>
                    </w:rPr>
                    <w:t xml:space="preserve"> </w:t>
                  </w:r>
                  <w:r>
                    <w:rPr>
                      <w:rFonts w:hint="cs"/>
                      <w:b/>
                      <w:bCs/>
                      <w:rtl/>
                    </w:rPr>
                    <w:t>(המשך)</w:t>
                  </w:r>
                </w:p>
              </w:tc>
            </w:tr>
          </w:tbl>
          <w:p w14:paraId="1BCF00B4" w14:textId="4F94BE23" w:rsidR="009F608F" w:rsidRPr="00D6403C" w:rsidRDefault="009F608F" w:rsidP="009F608F">
            <w:pPr>
              <w:spacing w:line="276" w:lineRule="auto"/>
              <w:ind w:left="1319" w:hanging="851"/>
              <w:rPr>
                <w:rtl/>
              </w:rPr>
            </w:pPr>
          </w:p>
        </w:tc>
      </w:tr>
      <w:tr w:rsidR="001E5034" w:rsidRPr="00D6403C" w14:paraId="70592671" w14:textId="77777777" w:rsidTr="00EC46DF">
        <w:tblPrEx>
          <w:tblLook w:val="01E0" w:firstRow="1" w:lastRow="1" w:firstColumn="1" w:lastColumn="1" w:noHBand="0" w:noVBand="0"/>
        </w:tblPrEx>
        <w:trPr>
          <w:gridAfter w:val="1"/>
          <w:wAfter w:w="54" w:type="pct"/>
        </w:trPr>
        <w:tc>
          <w:tcPr>
            <w:tcW w:w="476" w:type="pct"/>
            <w:gridSpan w:val="2"/>
          </w:tcPr>
          <w:p w14:paraId="06220141" w14:textId="77777777" w:rsidR="001E5034" w:rsidRPr="00EF7E0A" w:rsidRDefault="001E5034" w:rsidP="0008394B">
            <w:pPr>
              <w:spacing w:line="360" w:lineRule="auto"/>
              <w:ind w:right="-113"/>
              <w:jc w:val="left"/>
              <w:rPr>
                <w:rFonts w:ascii="Calibri" w:eastAsia="Calibri" w:hAnsi="Calibri"/>
                <w:color w:val="000000"/>
                <w:spacing w:val="-4"/>
                <w:sz w:val="14"/>
                <w:szCs w:val="14"/>
              </w:rPr>
            </w:pPr>
          </w:p>
        </w:tc>
        <w:tc>
          <w:tcPr>
            <w:tcW w:w="4470" w:type="pct"/>
            <w:gridSpan w:val="7"/>
          </w:tcPr>
          <w:p w14:paraId="6196C6E5" w14:textId="5057D513" w:rsidR="001E5034" w:rsidRPr="00D6403C" w:rsidRDefault="001E5034" w:rsidP="00EC46DF">
            <w:pPr>
              <w:spacing w:line="276" w:lineRule="auto"/>
              <w:ind w:left="1475" w:hanging="844"/>
              <w:rPr>
                <w:b/>
                <w:bCs/>
                <w:rtl/>
              </w:rPr>
            </w:pPr>
            <w:r>
              <w:rPr>
                <w:b/>
                <w:bCs/>
                <w:rtl/>
              </w:rPr>
              <w:t>ב</w:t>
            </w:r>
            <w:r>
              <w:rPr>
                <w:rFonts w:hint="cs"/>
                <w:b/>
                <w:bCs/>
                <w:rtl/>
              </w:rPr>
              <w:t>)</w:t>
            </w:r>
            <w:r w:rsidRPr="000A1B36">
              <w:rPr>
                <w:b/>
                <w:bCs/>
                <w:rtl/>
              </w:rPr>
              <w:t xml:space="preserve">  </w:t>
            </w:r>
            <w:r w:rsidR="00995DD5" w:rsidRPr="000A1B36">
              <w:rPr>
                <w:b/>
                <w:bCs/>
                <w:rtl/>
              </w:rPr>
              <w:t>שיטת יישום למפרע מותאם</w:t>
            </w:r>
            <w:r w:rsidR="00995DD5" w:rsidRPr="00E3523D">
              <w:rPr>
                <w:rFonts w:hint="cs"/>
                <w:b/>
                <w:bCs/>
                <w:rtl/>
              </w:rPr>
              <w:t>:</w:t>
            </w:r>
          </w:p>
        </w:tc>
      </w:tr>
      <w:tr w:rsidR="00EF7E0A" w:rsidRPr="00D6403C" w14:paraId="7C7719F0" w14:textId="77777777" w:rsidTr="00C149F3">
        <w:tblPrEx>
          <w:tblLook w:val="01E0" w:firstRow="1" w:lastRow="1" w:firstColumn="1" w:lastColumn="1" w:noHBand="0" w:noVBand="0"/>
        </w:tblPrEx>
        <w:trPr>
          <w:gridBefore w:val="1"/>
          <w:gridAfter w:val="2"/>
          <w:wBefore w:w="349" w:type="pct"/>
          <w:wAfter w:w="1442" w:type="pct"/>
        </w:trPr>
        <w:tc>
          <w:tcPr>
            <w:tcW w:w="529" w:type="pct"/>
            <w:gridSpan w:val="3"/>
            <w:shd w:val="clear" w:color="auto" w:fill="auto"/>
          </w:tcPr>
          <w:p w14:paraId="437826A9" w14:textId="77777777" w:rsidR="00EF7E0A" w:rsidRPr="00C149F3" w:rsidRDefault="00EF7E0A" w:rsidP="00913EC4">
            <w:pPr>
              <w:spacing w:before="120"/>
              <w:ind w:right="-113"/>
              <w:jc w:val="left"/>
              <w:rPr>
                <w:sz w:val="18"/>
                <w:szCs w:val="18"/>
              </w:rPr>
            </w:pPr>
            <w:bookmarkStart w:id="20" w:name="_Hlk158721367"/>
          </w:p>
        </w:tc>
        <w:tc>
          <w:tcPr>
            <w:tcW w:w="1043" w:type="pct"/>
          </w:tcPr>
          <w:p w14:paraId="736FECEB" w14:textId="77777777" w:rsidR="00EF7E0A" w:rsidRPr="00C149F3" w:rsidRDefault="00EF7E0A" w:rsidP="00EF7E0A">
            <w:pPr>
              <w:spacing w:before="120"/>
              <w:ind w:right="-113"/>
              <w:jc w:val="left"/>
              <w:rPr>
                <w:sz w:val="18"/>
                <w:szCs w:val="18"/>
              </w:rPr>
            </w:pPr>
          </w:p>
        </w:tc>
        <w:tc>
          <w:tcPr>
            <w:tcW w:w="1637" w:type="pct"/>
            <w:gridSpan w:val="3"/>
            <w:shd w:val="clear" w:color="auto" w:fill="auto"/>
          </w:tcPr>
          <w:p w14:paraId="27E0F72C" w14:textId="2B9BB8B9" w:rsidR="00EF7E0A" w:rsidRPr="00C149F3" w:rsidRDefault="00EF7E0A" w:rsidP="00390079">
            <w:pPr>
              <w:pBdr>
                <w:bottom w:val="single" w:sz="4" w:space="1" w:color="auto"/>
              </w:pBdr>
              <w:spacing w:after="20"/>
              <w:jc w:val="center"/>
              <w:rPr>
                <w:rFonts w:eastAsia="Calibri"/>
                <w:b/>
                <w:bCs/>
                <w:sz w:val="18"/>
                <w:szCs w:val="18"/>
                <w:rtl/>
              </w:rPr>
            </w:pPr>
            <w:r w:rsidRPr="00C149F3">
              <w:rPr>
                <w:rFonts w:eastAsia="Calibri"/>
                <w:b/>
                <w:bCs/>
                <w:sz w:val="18"/>
                <w:szCs w:val="18"/>
                <w:rtl/>
              </w:rPr>
              <w:t>ליום 1 ב</w:t>
            </w:r>
            <w:r w:rsidR="00390079" w:rsidRPr="00C149F3">
              <w:rPr>
                <w:rFonts w:eastAsia="Calibri" w:hint="cs"/>
                <w:b/>
                <w:bCs/>
                <w:sz w:val="18"/>
                <w:szCs w:val="18"/>
                <w:rtl/>
              </w:rPr>
              <w:t>ינוא</w:t>
            </w:r>
            <w:r w:rsidRPr="00C149F3">
              <w:rPr>
                <w:rFonts w:eastAsia="Calibri"/>
                <w:b/>
                <w:bCs/>
                <w:sz w:val="18"/>
                <w:szCs w:val="18"/>
                <w:rtl/>
              </w:rPr>
              <w:t xml:space="preserve">ר </w:t>
            </w:r>
            <w:r w:rsidR="008D7F4E" w:rsidRPr="00C149F3">
              <w:rPr>
                <w:b/>
                <w:bCs/>
                <w:sz w:val="18"/>
                <w:szCs w:val="18"/>
                <w:rtl/>
              </w:rPr>
              <w:fldChar w:fldCharType="begin"/>
            </w:r>
            <w:r w:rsidR="008D7F4E" w:rsidRPr="00C149F3">
              <w:rPr>
                <w:b/>
                <w:bCs/>
                <w:sz w:val="18"/>
                <w:szCs w:val="18"/>
                <w:rtl/>
              </w:rPr>
              <w:instrText xml:space="preserve"> </w:instrText>
            </w:r>
            <w:r w:rsidR="008D7F4E" w:rsidRPr="00C149F3">
              <w:rPr>
                <w:rFonts w:hint="cs"/>
                <w:b/>
                <w:bCs/>
                <w:sz w:val="18"/>
                <w:szCs w:val="18"/>
                <w:rtl/>
              </w:rPr>
              <w:instrText xml:space="preserve">= </w:instrText>
            </w:r>
            <w:r w:rsidR="008D7F4E" w:rsidRPr="00C149F3">
              <w:rPr>
                <w:rFonts w:hint="cs"/>
                <w:b/>
                <w:bCs/>
                <w:sz w:val="18"/>
                <w:szCs w:val="18"/>
              </w:rPr>
              <w:instrText>CY \* MERGEFORMAT</w:instrText>
            </w:r>
            <w:r w:rsidR="008D7F4E" w:rsidRPr="00C149F3">
              <w:rPr>
                <w:b/>
                <w:bCs/>
                <w:sz w:val="18"/>
                <w:szCs w:val="18"/>
                <w:rtl/>
              </w:rPr>
              <w:instrText xml:space="preserve"> </w:instrText>
            </w:r>
            <w:r w:rsidR="008D7F4E" w:rsidRPr="00C149F3">
              <w:rPr>
                <w:b/>
                <w:bCs/>
                <w:sz w:val="18"/>
                <w:szCs w:val="18"/>
                <w:rtl/>
              </w:rPr>
              <w:fldChar w:fldCharType="separate"/>
            </w:r>
            <w:r w:rsidR="003A584F">
              <w:rPr>
                <w:b/>
                <w:bCs/>
                <w:noProof/>
                <w:sz w:val="18"/>
                <w:szCs w:val="18"/>
                <w:rtl/>
              </w:rPr>
              <w:t>2024</w:t>
            </w:r>
            <w:r w:rsidR="008D7F4E" w:rsidRPr="00C149F3">
              <w:rPr>
                <w:b/>
                <w:bCs/>
                <w:sz w:val="18"/>
                <w:szCs w:val="18"/>
                <w:rtl/>
              </w:rPr>
              <w:fldChar w:fldCharType="end"/>
            </w:r>
          </w:p>
        </w:tc>
      </w:tr>
      <w:tr w:rsidR="00EF7E0A" w:rsidRPr="00D6403C" w14:paraId="1393E92C" w14:textId="77777777" w:rsidTr="00C149F3">
        <w:tblPrEx>
          <w:tblLook w:val="01E0" w:firstRow="1" w:lastRow="1" w:firstColumn="1" w:lastColumn="1" w:noHBand="0" w:noVBand="0"/>
        </w:tblPrEx>
        <w:trPr>
          <w:gridBefore w:val="1"/>
          <w:gridAfter w:val="2"/>
          <w:wBefore w:w="349" w:type="pct"/>
          <w:wAfter w:w="1442" w:type="pct"/>
        </w:trPr>
        <w:tc>
          <w:tcPr>
            <w:tcW w:w="529" w:type="pct"/>
            <w:gridSpan w:val="3"/>
            <w:shd w:val="clear" w:color="auto" w:fill="auto"/>
          </w:tcPr>
          <w:p w14:paraId="002B0CEB" w14:textId="77777777" w:rsidR="00EF7E0A" w:rsidRPr="00C149F3" w:rsidRDefault="00EF7E0A" w:rsidP="00EF7E0A">
            <w:pPr>
              <w:spacing w:line="259" w:lineRule="auto"/>
              <w:jc w:val="left"/>
              <w:rPr>
                <w:rFonts w:eastAsia="Calibri"/>
                <w:sz w:val="18"/>
                <w:szCs w:val="18"/>
                <w:rtl/>
              </w:rPr>
            </w:pPr>
          </w:p>
        </w:tc>
        <w:tc>
          <w:tcPr>
            <w:tcW w:w="1043" w:type="pct"/>
            <w:shd w:val="clear" w:color="auto" w:fill="auto"/>
          </w:tcPr>
          <w:p w14:paraId="0E9B493F" w14:textId="77777777" w:rsidR="00EF7E0A" w:rsidRPr="00C149F3" w:rsidRDefault="00EF7E0A" w:rsidP="00EF7E0A">
            <w:pPr>
              <w:spacing w:line="259" w:lineRule="auto"/>
              <w:jc w:val="left"/>
              <w:rPr>
                <w:rFonts w:eastAsia="Calibri"/>
                <w:sz w:val="18"/>
                <w:szCs w:val="18"/>
                <w:rtl/>
              </w:rPr>
            </w:pPr>
          </w:p>
        </w:tc>
        <w:tc>
          <w:tcPr>
            <w:tcW w:w="446" w:type="pct"/>
            <w:vMerge w:val="restart"/>
            <w:shd w:val="clear" w:color="auto" w:fill="auto"/>
          </w:tcPr>
          <w:p w14:paraId="7655C05D" w14:textId="77777777" w:rsidR="00EF7E0A" w:rsidRPr="00C149F3" w:rsidRDefault="00EF7E0A" w:rsidP="00C149F3">
            <w:pPr>
              <w:pBdr>
                <w:bottom w:val="single" w:sz="4" w:space="1" w:color="auto"/>
              </w:pBdr>
              <w:spacing w:after="20"/>
              <w:jc w:val="center"/>
              <w:rPr>
                <w:rFonts w:eastAsia="Calibri"/>
                <w:b/>
                <w:bCs/>
                <w:sz w:val="18"/>
                <w:szCs w:val="18"/>
                <w:rtl/>
              </w:rPr>
            </w:pPr>
            <w:r w:rsidRPr="00C149F3">
              <w:rPr>
                <w:rFonts w:eastAsia="Calibri"/>
                <w:b/>
                <w:bCs/>
                <w:sz w:val="18"/>
                <w:szCs w:val="18"/>
                <w:rtl/>
              </w:rPr>
              <w:t>טרם היישום למפרע</w:t>
            </w:r>
          </w:p>
        </w:tc>
        <w:tc>
          <w:tcPr>
            <w:tcW w:w="744" w:type="pct"/>
            <w:vMerge w:val="restart"/>
            <w:shd w:val="clear" w:color="auto" w:fill="auto"/>
          </w:tcPr>
          <w:p w14:paraId="52C1AD1F" w14:textId="4FA04E82" w:rsidR="00EF7E0A" w:rsidRPr="00C149F3" w:rsidRDefault="00EF7E0A" w:rsidP="00C149F3">
            <w:pPr>
              <w:pBdr>
                <w:bottom w:val="single" w:sz="4" w:space="1" w:color="auto"/>
              </w:pBdr>
              <w:spacing w:after="20"/>
              <w:jc w:val="center"/>
              <w:rPr>
                <w:rFonts w:eastAsia="Calibri"/>
                <w:b/>
                <w:bCs/>
                <w:sz w:val="18"/>
                <w:szCs w:val="18"/>
                <w:rtl/>
              </w:rPr>
            </w:pPr>
            <w:r w:rsidRPr="00C149F3">
              <w:rPr>
                <w:rFonts w:eastAsia="Calibri"/>
                <w:b/>
                <w:bCs/>
                <w:sz w:val="18"/>
                <w:szCs w:val="18"/>
                <w:rtl/>
              </w:rPr>
              <w:t>השפע</w:t>
            </w:r>
            <w:r w:rsidR="00390079" w:rsidRPr="00C149F3">
              <w:rPr>
                <w:rFonts w:eastAsia="Calibri" w:hint="cs"/>
                <w:b/>
                <w:bCs/>
                <w:sz w:val="18"/>
                <w:szCs w:val="18"/>
                <w:rtl/>
              </w:rPr>
              <w:t>ה מצטברת בשל</w:t>
            </w:r>
            <w:r w:rsidRPr="00C149F3">
              <w:rPr>
                <w:rFonts w:eastAsia="Calibri"/>
                <w:b/>
                <w:bCs/>
                <w:sz w:val="18"/>
                <w:szCs w:val="18"/>
                <w:rtl/>
              </w:rPr>
              <w:t xml:space="preserve"> יישום למפרע</w:t>
            </w:r>
            <w:r w:rsidR="0002510F" w:rsidRPr="00C149F3">
              <w:rPr>
                <w:rFonts w:eastAsia="Calibri" w:hint="cs"/>
                <w:b/>
                <w:bCs/>
                <w:sz w:val="18"/>
                <w:szCs w:val="18"/>
              </w:rPr>
              <w:t xml:space="preserve"> </w:t>
            </w:r>
            <w:r w:rsidR="0002510F" w:rsidRPr="00C149F3">
              <w:rPr>
                <w:rFonts w:eastAsia="Calibri" w:hint="cs"/>
                <w:b/>
                <w:bCs/>
                <w:sz w:val="18"/>
                <w:szCs w:val="18"/>
                <w:rtl/>
              </w:rPr>
              <w:t xml:space="preserve"> מותאם</w:t>
            </w:r>
          </w:p>
        </w:tc>
        <w:tc>
          <w:tcPr>
            <w:tcW w:w="447" w:type="pct"/>
            <w:vMerge w:val="restart"/>
            <w:shd w:val="clear" w:color="auto" w:fill="auto"/>
          </w:tcPr>
          <w:p w14:paraId="6B1B5B8C" w14:textId="77777777" w:rsidR="00EF7E0A" w:rsidRPr="00C149F3" w:rsidRDefault="00EF7E0A" w:rsidP="00C149F3">
            <w:pPr>
              <w:pBdr>
                <w:bottom w:val="single" w:sz="4" w:space="1" w:color="auto"/>
              </w:pBdr>
              <w:spacing w:after="20"/>
              <w:jc w:val="center"/>
              <w:rPr>
                <w:rFonts w:eastAsia="Calibri"/>
                <w:b/>
                <w:bCs/>
                <w:sz w:val="18"/>
                <w:szCs w:val="18"/>
                <w:rtl/>
              </w:rPr>
            </w:pPr>
            <w:r w:rsidRPr="00C149F3">
              <w:rPr>
                <w:rFonts w:eastAsia="Calibri"/>
                <w:b/>
                <w:bCs/>
                <w:sz w:val="18"/>
                <w:szCs w:val="18"/>
                <w:rtl/>
              </w:rPr>
              <w:t>לאחר היישום</w:t>
            </w:r>
            <w:r w:rsidRPr="00C149F3">
              <w:rPr>
                <w:rFonts w:eastAsia="Calibri"/>
                <w:b/>
                <w:bCs/>
                <w:sz w:val="18"/>
                <w:szCs w:val="18"/>
                <w:u w:val="single"/>
                <w:rtl/>
              </w:rPr>
              <w:t xml:space="preserve"> </w:t>
            </w:r>
            <w:r w:rsidRPr="00C149F3">
              <w:rPr>
                <w:rFonts w:eastAsia="Calibri"/>
                <w:b/>
                <w:bCs/>
                <w:sz w:val="18"/>
                <w:szCs w:val="18"/>
                <w:rtl/>
              </w:rPr>
              <w:t>למפרע</w:t>
            </w:r>
          </w:p>
        </w:tc>
      </w:tr>
      <w:tr w:rsidR="00EF7E0A" w:rsidRPr="00D6403C" w14:paraId="472F8000" w14:textId="77777777" w:rsidTr="00C149F3">
        <w:tblPrEx>
          <w:tblLook w:val="01E0" w:firstRow="1" w:lastRow="1" w:firstColumn="1" w:lastColumn="1" w:noHBand="0" w:noVBand="0"/>
        </w:tblPrEx>
        <w:trPr>
          <w:gridBefore w:val="1"/>
          <w:gridAfter w:val="2"/>
          <w:wBefore w:w="349" w:type="pct"/>
          <w:wAfter w:w="1442" w:type="pct"/>
        </w:trPr>
        <w:tc>
          <w:tcPr>
            <w:tcW w:w="529" w:type="pct"/>
            <w:gridSpan w:val="3"/>
            <w:shd w:val="clear" w:color="auto" w:fill="auto"/>
          </w:tcPr>
          <w:p w14:paraId="2C64F243" w14:textId="77777777" w:rsidR="00EF7E0A" w:rsidRPr="00C149F3" w:rsidRDefault="00EF7E0A" w:rsidP="00EF7E0A">
            <w:pPr>
              <w:spacing w:line="259" w:lineRule="auto"/>
              <w:jc w:val="left"/>
              <w:rPr>
                <w:rFonts w:eastAsia="Calibri"/>
                <w:sz w:val="18"/>
                <w:szCs w:val="18"/>
                <w:rtl/>
              </w:rPr>
            </w:pPr>
          </w:p>
        </w:tc>
        <w:tc>
          <w:tcPr>
            <w:tcW w:w="1043" w:type="pct"/>
            <w:shd w:val="clear" w:color="auto" w:fill="auto"/>
          </w:tcPr>
          <w:p w14:paraId="37AEAD70" w14:textId="77777777" w:rsidR="00EF7E0A" w:rsidRPr="00C149F3" w:rsidRDefault="00EF7E0A" w:rsidP="00EF7E0A">
            <w:pPr>
              <w:spacing w:line="259" w:lineRule="auto"/>
              <w:jc w:val="left"/>
              <w:rPr>
                <w:rFonts w:eastAsia="Calibri"/>
                <w:sz w:val="18"/>
                <w:szCs w:val="18"/>
                <w:rtl/>
              </w:rPr>
            </w:pPr>
          </w:p>
        </w:tc>
        <w:tc>
          <w:tcPr>
            <w:tcW w:w="446" w:type="pct"/>
            <w:vMerge/>
            <w:tcBorders>
              <w:top w:val="single" w:sz="4" w:space="0" w:color="auto"/>
            </w:tcBorders>
            <w:shd w:val="clear" w:color="auto" w:fill="auto"/>
          </w:tcPr>
          <w:p w14:paraId="434064E6" w14:textId="77777777" w:rsidR="00EF7E0A" w:rsidRPr="00C149F3" w:rsidRDefault="00EF7E0A" w:rsidP="00C149F3">
            <w:pPr>
              <w:spacing w:after="160"/>
              <w:jc w:val="left"/>
              <w:rPr>
                <w:rFonts w:ascii="Calibri" w:eastAsia="Calibri" w:hAnsi="Calibri"/>
                <w:sz w:val="18"/>
                <w:szCs w:val="18"/>
                <w:rtl/>
              </w:rPr>
            </w:pPr>
          </w:p>
        </w:tc>
        <w:tc>
          <w:tcPr>
            <w:tcW w:w="744" w:type="pct"/>
            <w:vMerge/>
            <w:tcBorders>
              <w:top w:val="single" w:sz="4" w:space="0" w:color="auto"/>
            </w:tcBorders>
            <w:shd w:val="clear" w:color="auto" w:fill="auto"/>
          </w:tcPr>
          <w:p w14:paraId="186BA2C6" w14:textId="77777777" w:rsidR="00EF7E0A" w:rsidRPr="00C149F3" w:rsidRDefault="00EF7E0A" w:rsidP="00C149F3">
            <w:pPr>
              <w:jc w:val="left"/>
              <w:rPr>
                <w:rFonts w:eastAsia="Calibri"/>
                <w:b/>
                <w:bCs/>
                <w:sz w:val="18"/>
                <w:szCs w:val="18"/>
                <w:rtl/>
              </w:rPr>
            </w:pPr>
          </w:p>
        </w:tc>
        <w:tc>
          <w:tcPr>
            <w:tcW w:w="447" w:type="pct"/>
            <w:vMerge/>
            <w:shd w:val="clear" w:color="auto" w:fill="auto"/>
          </w:tcPr>
          <w:p w14:paraId="745049E3" w14:textId="77777777" w:rsidR="00EF7E0A" w:rsidRPr="00C149F3" w:rsidRDefault="00EF7E0A" w:rsidP="00C149F3">
            <w:pPr>
              <w:pBdr>
                <w:bottom w:val="single" w:sz="4" w:space="1" w:color="auto"/>
              </w:pBdr>
              <w:spacing w:after="20"/>
              <w:jc w:val="center"/>
              <w:rPr>
                <w:rFonts w:ascii="Calibri" w:eastAsia="Calibri" w:hAnsi="Calibri"/>
                <w:b/>
                <w:bCs/>
                <w:sz w:val="18"/>
                <w:szCs w:val="18"/>
                <w:rtl/>
              </w:rPr>
            </w:pPr>
          </w:p>
        </w:tc>
      </w:tr>
      <w:tr w:rsidR="00EF7E0A" w:rsidRPr="00D6403C" w14:paraId="6CE7A4E7" w14:textId="77777777" w:rsidTr="00C149F3">
        <w:tblPrEx>
          <w:tblLook w:val="01E0" w:firstRow="1" w:lastRow="1" w:firstColumn="1" w:lastColumn="1" w:noHBand="0" w:noVBand="0"/>
        </w:tblPrEx>
        <w:trPr>
          <w:gridBefore w:val="1"/>
          <w:gridAfter w:val="2"/>
          <w:wBefore w:w="349" w:type="pct"/>
          <w:wAfter w:w="1442" w:type="pct"/>
        </w:trPr>
        <w:tc>
          <w:tcPr>
            <w:tcW w:w="529" w:type="pct"/>
            <w:gridSpan w:val="3"/>
            <w:shd w:val="clear" w:color="auto" w:fill="auto"/>
          </w:tcPr>
          <w:p w14:paraId="359D3227" w14:textId="77777777" w:rsidR="00EF7E0A" w:rsidRPr="00C149F3" w:rsidRDefault="00EF7E0A" w:rsidP="00EF7E0A">
            <w:pPr>
              <w:spacing w:line="259" w:lineRule="auto"/>
              <w:jc w:val="left"/>
              <w:rPr>
                <w:rFonts w:eastAsia="Calibri"/>
                <w:sz w:val="18"/>
                <w:szCs w:val="18"/>
                <w:rtl/>
              </w:rPr>
            </w:pPr>
          </w:p>
        </w:tc>
        <w:tc>
          <w:tcPr>
            <w:tcW w:w="1043" w:type="pct"/>
            <w:shd w:val="clear" w:color="auto" w:fill="auto"/>
          </w:tcPr>
          <w:p w14:paraId="6A99C6CD" w14:textId="416D6E17" w:rsidR="00EF7E0A" w:rsidRPr="00C149F3" w:rsidRDefault="00EF7E0A" w:rsidP="00EF7E0A">
            <w:pPr>
              <w:spacing w:line="259" w:lineRule="auto"/>
              <w:jc w:val="left"/>
              <w:rPr>
                <w:rFonts w:eastAsia="Calibri"/>
                <w:b/>
                <w:bCs/>
                <w:sz w:val="18"/>
                <w:szCs w:val="18"/>
                <w:rtl/>
              </w:rPr>
            </w:pPr>
            <w:r w:rsidRPr="00C149F3">
              <w:rPr>
                <w:rFonts w:eastAsia="Calibri"/>
                <w:sz w:val="18"/>
                <w:szCs w:val="18"/>
                <w:rtl/>
              </w:rPr>
              <w:t xml:space="preserve">  </w:t>
            </w:r>
            <w:r w:rsidR="005A676E" w:rsidRPr="00C149F3">
              <w:rPr>
                <w:rFonts w:eastAsia="Calibri" w:hint="cs"/>
                <w:b/>
                <w:bCs/>
                <w:sz w:val="18"/>
                <w:szCs w:val="18"/>
                <w:rtl/>
              </w:rPr>
              <w:t>מאזן:</w:t>
            </w:r>
          </w:p>
        </w:tc>
        <w:tc>
          <w:tcPr>
            <w:tcW w:w="446" w:type="pct"/>
            <w:shd w:val="clear" w:color="auto" w:fill="auto"/>
          </w:tcPr>
          <w:p w14:paraId="286C8F00" w14:textId="77777777" w:rsidR="00EF7E0A" w:rsidRPr="00C149F3" w:rsidRDefault="00EF7E0A" w:rsidP="00EF7E0A">
            <w:pPr>
              <w:spacing w:line="259" w:lineRule="auto"/>
              <w:jc w:val="left"/>
              <w:rPr>
                <w:rFonts w:eastAsia="Calibri"/>
                <w:sz w:val="18"/>
                <w:szCs w:val="18"/>
                <w:rtl/>
              </w:rPr>
            </w:pPr>
          </w:p>
        </w:tc>
        <w:tc>
          <w:tcPr>
            <w:tcW w:w="744" w:type="pct"/>
            <w:shd w:val="clear" w:color="auto" w:fill="auto"/>
          </w:tcPr>
          <w:p w14:paraId="67B6B562" w14:textId="77777777" w:rsidR="00EF7E0A" w:rsidRPr="00C149F3" w:rsidRDefault="00EF7E0A" w:rsidP="00EF7E0A">
            <w:pPr>
              <w:spacing w:line="259" w:lineRule="auto"/>
              <w:jc w:val="left"/>
              <w:rPr>
                <w:rFonts w:eastAsia="Calibri"/>
                <w:sz w:val="18"/>
                <w:szCs w:val="18"/>
                <w:rtl/>
              </w:rPr>
            </w:pPr>
          </w:p>
        </w:tc>
        <w:tc>
          <w:tcPr>
            <w:tcW w:w="447" w:type="pct"/>
            <w:shd w:val="clear" w:color="auto" w:fill="auto"/>
          </w:tcPr>
          <w:p w14:paraId="67596E41" w14:textId="77777777" w:rsidR="00EF7E0A" w:rsidRPr="00C149F3" w:rsidRDefault="00EF7E0A" w:rsidP="00EF7E0A">
            <w:pPr>
              <w:spacing w:line="259" w:lineRule="auto"/>
              <w:jc w:val="left"/>
              <w:rPr>
                <w:rFonts w:eastAsia="Calibri"/>
                <w:sz w:val="18"/>
                <w:szCs w:val="18"/>
                <w:rtl/>
              </w:rPr>
            </w:pPr>
          </w:p>
        </w:tc>
      </w:tr>
      <w:tr w:rsidR="00EF7E0A" w:rsidRPr="00D6403C" w14:paraId="1B88CDFB" w14:textId="77777777" w:rsidTr="00C149F3">
        <w:tblPrEx>
          <w:tblLook w:val="01E0" w:firstRow="1" w:lastRow="1" w:firstColumn="1" w:lastColumn="1" w:noHBand="0" w:noVBand="0"/>
        </w:tblPrEx>
        <w:trPr>
          <w:gridBefore w:val="1"/>
          <w:gridAfter w:val="2"/>
          <w:wBefore w:w="349" w:type="pct"/>
          <w:wAfter w:w="1442" w:type="pct"/>
        </w:trPr>
        <w:tc>
          <w:tcPr>
            <w:tcW w:w="529" w:type="pct"/>
            <w:gridSpan w:val="3"/>
            <w:shd w:val="clear" w:color="auto" w:fill="auto"/>
          </w:tcPr>
          <w:p w14:paraId="0F054E0F" w14:textId="77777777" w:rsidR="00EF7E0A" w:rsidRPr="00C149F3" w:rsidRDefault="00EF7E0A" w:rsidP="00EF7E0A">
            <w:pPr>
              <w:spacing w:line="259" w:lineRule="auto"/>
              <w:jc w:val="left"/>
              <w:rPr>
                <w:rFonts w:eastAsia="Calibri"/>
                <w:sz w:val="18"/>
                <w:szCs w:val="18"/>
                <w:rtl/>
              </w:rPr>
            </w:pPr>
          </w:p>
        </w:tc>
        <w:tc>
          <w:tcPr>
            <w:tcW w:w="1043" w:type="pct"/>
            <w:shd w:val="clear" w:color="auto" w:fill="auto"/>
          </w:tcPr>
          <w:p w14:paraId="59905031" w14:textId="6593EB47" w:rsidR="00EF7E0A" w:rsidRPr="00C149F3" w:rsidRDefault="00EF7E0A" w:rsidP="00493610">
            <w:pPr>
              <w:spacing w:line="259" w:lineRule="auto"/>
              <w:ind w:left="179" w:hanging="71"/>
              <w:jc w:val="left"/>
              <w:rPr>
                <w:rFonts w:eastAsia="Calibri"/>
                <w:sz w:val="18"/>
                <w:szCs w:val="18"/>
                <w:rtl/>
              </w:rPr>
            </w:pPr>
            <w:r w:rsidRPr="00C149F3">
              <w:rPr>
                <w:rFonts w:eastAsia="Calibri"/>
                <w:sz w:val="18"/>
                <w:szCs w:val="18"/>
                <w:rtl/>
              </w:rPr>
              <w:t>[פרט כל סעיף המושפע מהשינוי]</w:t>
            </w:r>
          </w:p>
        </w:tc>
        <w:tc>
          <w:tcPr>
            <w:tcW w:w="446" w:type="pct"/>
            <w:shd w:val="clear" w:color="auto" w:fill="auto"/>
            <w:vAlign w:val="bottom"/>
          </w:tcPr>
          <w:p w14:paraId="1061513A" w14:textId="77777777" w:rsidR="00EF7E0A" w:rsidRPr="00C149F3" w:rsidRDefault="00EF7E0A" w:rsidP="00EF7E0A">
            <w:pPr>
              <w:spacing w:line="259" w:lineRule="auto"/>
              <w:jc w:val="left"/>
              <w:rPr>
                <w:rFonts w:eastAsia="Calibri"/>
                <w:sz w:val="18"/>
                <w:szCs w:val="18"/>
                <w:rtl/>
              </w:rPr>
            </w:pPr>
            <w:r w:rsidRPr="00C149F3">
              <w:rPr>
                <w:rFonts w:eastAsia="Calibri"/>
                <w:sz w:val="18"/>
                <w:szCs w:val="18"/>
                <w:rtl/>
              </w:rPr>
              <w:t>0</w:t>
            </w:r>
          </w:p>
        </w:tc>
        <w:tc>
          <w:tcPr>
            <w:tcW w:w="744" w:type="pct"/>
            <w:shd w:val="clear" w:color="auto" w:fill="auto"/>
            <w:vAlign w:val="bottom"/>
          </w:tcPr>
          <w:p w14:paraId="0075E75B" w14:textId="77777777" w:rsidR="00EF7E0A" w:rsidRPr="00C149F3" w:rsidRDefault="00EF7E0A" w:rsidP="00EF7E0A">
            <w:pPr>
              <w:spacing w:line="259" w:lineRule="auto"/>
              <w:jc w:val="left"/>
              <w:rPr>
                <w:rFonts w:eastAsia="Calibri"/>
                <w:sz w:val="18"/>
                <w:szCs w:val="18"/>
                <w:rtl/>
              </w:rPr>
            </w:pPr>
            <w:r w:rsidRPr="00C149F3">
              <w:rPr>
                <w:rFonts w:eastAsia="Calibri"/>
                <w:sz w:val="18"/>
                <w:szCs w:val="18"/>
                <w:rtl/>
              </w:rPr>
              <w:t>0</w:t>
            </w:r>
          </w:p>
        </w:tc>
        <w:tc>
          <w:tcPr>
            <w:tcW w:w="447" w:type="pct"/>
            <w:shd w:val="clear" w:color="auto" w:fill="auto"/>
            <w:vAlign w:val="bottom"/>
          </w:tcPr>
          <w:p w14:paraId="463933E6" w14:textId="77777777" w:rsidR="00EF7E0A" w:rsidRPr="00C149F3" w:rsidRDefault="00EF7E0A" w:rsidP="00EF7E0A">
            <w:pPr>
              <w:spacing w:line="259" w:lineRule="auto"/>
              <w:jc w:val="left"/>
              <w:rPr>
                <w:rFonts w:eastAsia="Calibri"/>
                <w:sz w:val="18"/>
                <w:szCs w:val="18"/>
                <w:rtl/>
              </w:rPr>
            </w:pPr>
            <w:r w:rsidRPr="00C149F3">
              <w:rPr>
                <w:rFonts w:eastAsia="Calibri"/>
                <w:sz w:val="18"/>
                <w:szCs w:val="18"/>
                <w:rtl/>
              </w:rPr>
              <w:t>0</w:t>
            </w:r>
          </w:p>
        </w:tc>
      </w:tr>
      <w:bookmarkEnd w:id="20"/>
      <w:tr w:rsidR="00EF7E0A" w:rsidRPr="00D6403C" w14:paraId="6557C132" w14:textId="77777777" w:rsidTr="00C149F3">
        <w:tblPrEx>
          <w:tblLook w:val="01E0" w:firstRow="1" w:lastRow="1" w:firstColumn="1" w:lastColumn="1" w:noHBand="0" w:noVBand="0"/>
        </w:tblPrEx>
        <w:trPr>
          <w:gridBefore w:val="1"/>
          <w:gridAfter w:val="2"/>
          <w:wBefore w:w="349" w:type="pct"/>
          <w:wAfter w:w="1442" w:type="pct"/>
          <w:trHeight w:hRule="exact" w:val="113"/>
        </w:trPr>
        <w:tc>
          <w:tcPr>
            <w:tcW w:w="529" w:type="pct"/>
            <w:gridSpan w:val="3"/>
            <w:shd w:val="clear" w:color="auto" w:fill="auto"/>
          </w:tcPr>
          <w:p w14:paraId="6A52E9CD" w14:textId="77777777" w:rsidR="00EF7E0A" w:rsidRPr="00C149F3" w:rsidRDefault="00EF7E0A" w:rsidP="00C149F3">
            <w:pPr>
              <w:spacing w:line="120" w:lineRule="auto"/>
              <w:jc w:val="left"/>
              <w:rPr>
                <w:rFonts w:eastAsia="Calibri"/>
                <w:sz w:val="18"/>
                <w:szCs w:val="18"/>
                <w:rtl/>
              </w:rPr>
            </w:pPr>
          </w:p>
        </w:tc>
        <w:tc>
          <w:tcPr>
            <w:tcW w:w="1043" w:type="pct"/>
            <w:shd w:val="clear" w:color="auto" w:fill="auto"/>
          </w:tcPr>
          <w:p w14:paraId="09E05297" w14:textId="77777777" w:rsidR="00EF7E0A" w:rsidRPr="00C149F3" w:rsidRDefault="00EF7E0A" w:rsidP="00EF7E0A">
            <w:pPr>
              <w:spacing w:line="259" w:lineRule="auto"/>
              <w:jc w:val="left"/>
              <w:rPr>
                <w:rFonts w:eastAsia="Calibri"/>
                <w:sz w:val="18"/>
                <w:szCs w:val="18"/>
                <w:rtl/>
              </w:rPr>
            </w:pPr>
          </w:p>
        </w:tc>
        <w:tc>
          <w:tcPr>
            <w:tcW w:w="446" w:type="pct"/>
            <w:shd w:val="clear" w:color="auto" w:fill="auto"/>
            <w:vAlign w:val="bottom"/>
          </w:tcPr>
          <w:p w14:paraId="7DCD1AA8" w14:textId="77777777" w:rsidR="00EF7E0A" w:rsidRPr="00C149F3" w:rsidRDefault="00EF7E0A" w:rsidP="00EF7E0A">
            <w:pPr>
              <w:spacing w:line="259" w:lineRule="auto"/>
              <w:jc w:val="left"/>
              <w:rPr>
                <w:rFonts w:eastAsia="Calibri"/>
                <w:sz w:val="18"/>
                <w:szCs w:val="18"/>
                <w:rtl/>
              </w:rPr>
            </w:pPr>
          </w:p>
        </w:tc>
        <w:tc>
          <w:tcPr>
            <w:tcW w:w="744" w:type="pct"/>
            <w:shd w:val="clear" w:color="auto" w:fill="auto"/>
            <w:vAlign w:val="bottom"/>
          </w:tcPr>
          <w:p w14:paraId="40849AE3" w14:textId="77777777" w:rsidR="00EF7E0A" w:rsidRPr="00C149F3" w:rsidRDefault="00EF7E0A" w:rsidP="00EF7E0A">
            <w:pPr>
              <w:spacing w:line="259" w:lineRule="auto"/>
              <w:jc w:val="left"/>
              <w:rPr>
                <w:rFonts w:eastAsia="Calibri"/>
                <w:sz w:val="18"/>
                <w:szCs w:val="18"/>
                <w:rtl/>
              </w:rPr>
            </w:pPr>
          </w:p>
        </w:tc>
        <w:tc>
          <w:tcPr>
            <w:tcW w:w="447" w:type="pct"/>
            <w:shd w:val="clear" w:color="auto" w:fill="auto"/>
            <w:vAlign w:val="bottom"/>
          </w:tcPr>
          <w:p w14:paraId="3A36DA0C" w14:textId="77777777" w:rsidR="00EF7E0A" w:rsidRPr="00C149F3" w:rsidRDefault="00EF7E0A" w:rsidP="00EF7E0A">
            <w:pPr>
              <w:spacing w:line="259" w:lineRule="auto"/>
              <w:jc w:val="left"/>
              <w:rPr>
                <w:rFonts w:eastAsia="Calibri"/>
                <w:sz w:val="18"/>
                <w:szCs w:val="18"/>
                <w:rtl/>
              </w:rPr>
            </w:pPr>
          </w:p>
        </w:tc>
      </w:tr>
      <w:tr w:rsidR="00EF7E0A" w:rsidRPr="00D6403C" w14:paraId="5445C636" w14:textId="77777777" w:rsidTr="00C149F3">
        <w:tblPrEx>
          <w:tblLook w:val="01E0" w:firstRow="1" w:lastRow="1" w:firstColumn="1" w:lastColumn="1" w:noHBand="0" w:noVBand="0"/>
        </w:tblPrEx>
        <w:trPr>
          <w:gridBefore w:val="1"/>
          <w:gridAfter w:val="2"/>
          <w:wBefore w:w="349" w:type="pct"/>
          <w:wAfter w:w="1442" w:type="pct"/>
        </w:trPr>
        <w:tc>
          <w:tcPr>
            <w:tcW w:w="529" w:type="pct"/>
            <w:gridSpan w:val="3"/>
            <w:shd w:val="clear" w:color="auto" w:fill="auto"/>
          </w:tcPr>
          <w:p w14:paraId="729B75E6" w14:textId="77777777" w:rsidR="00EF7E0A" w:rsidRPr="00C149F3" w:rsidRDefault="00EF7E0A" w:rsidP="00EF7E0A">
            <w:pPr>
              <w:spacing w:line="259" w:lineRule="auto"/>
              <w:jc w:val="left"/>
              <w:rPr>
                <w:rFonts w:eastAsia="Calibri"/>
                <w:sz w:val="18"/>
                <w:szCs w:val="18"/>
                <w:rtl/>
              </w:rPr>
            </w:pPr>
          </w:p>
        </w:tc>
        <w:tc>
          <w:tcPr>
            <w:tcW w:w="1043" w:type="pct"/>
            <w:shd w:val="clear" w:color="auto" w:fill="auto"/>
          </w:tcPr>
          <w:p w14:paraId="5106F77C" w14:textId="3B2280D9" w:rsidR="00EF7E0A" w:rsidRPr="00C149F3" w:rsidRDefault="00EF7E0A" w:rsidP="00EF7E0A">
            <w:pPr>
              <w:spacing w:line="259" w:lineRule="auto"/>
              <w:jc w:val="left"/>
              <w:rPr>
                <w:rFonts w:eastAsia="Calibri"/>
                <w:b/>
                <w:bCs/>
                <w:sz w:val="18"/>
                <w:szCs w:val="18"/>
                <w:rtl/>
              </w:rPr>
            </w:pPr>
            <w:r w:rsidRPr="00C149F3">
              <w:rPr>
                <w:rFonts w:eastAsia="Calibri"/>
                <w:b/>
                <w:bCs/>
                <w:sz w:val="18"/>
                <w:szCs w:val="18"/>
                <w:rtl/>
              </w:rPr>
              <w:t xml:space="preserve">  </w:t>
            </w:r>
            <w:r w:rsidR="00493610" w:rsidRPr="00C149F3">
              <w:rPr>
                <w:rFonts w:eastAsia="Calibri" w:hint="cs"/>
                <w:b/>
                <w:bCs/>
                <w:sz w:val="18"/>
                <w:szCs w:val="18"/>
                <w:rtl/>
              </w:rPr>
              <w:t>ד</w:t>
            </w:r>
            <w:r w:rsidR="005A676E" w:rsidRPr="00C149F3">
              <w:rPr>
                <w:rFonts w:eastAsia="Calibri" w:hint="cs"/>
                <w:b/>
                <w:bCs/>
                <w:sz w:val="18"/>
                <w:szCs w:val="18"/>
                <w:rtl/>
              </w:rPr>
              <w:t>וח על השינויים בהון</w:t>
            </w:r>
            <w:r w:rsidRPr="00C149F3">
              <w:rPr>
                <w:rFonts w:eastAsia="Calibri"/>
                <w:b/>
                <w:bCs/>
                <w:sz w:val="18"/>
                <w:szCs w:val="18"/>
                <w:rtl/>
              </w:rPr>
              <w:t>:</w:t>
            </w:r>
          </w:p>
        </w:tc>
        <w:tc>
          <w:tcPr>
            <w:tcW w:w="446" w:type="pct"/>
            <w:shd w:val="clear" w:color="auto" w:fill="auto"/>
            <w:vAlign w:val="bottom"/>
          </w:tcPr>
          <w:p w14:paraId="13511E80" w14:textId="77777777" w:rsidR="00EF7E0A" w:rsidRPr="00C149F3" w:rsidRDefault="00EF7E0A" w:rsidP="00EF7E0A">
            <w:pPr>
              <w:spacing w:line="259" w:lineRule="auto"/>
              <w:jc w:val="left"/>
              <w:rPr>
                <w:rFonts w:eastAsia="Calibri"/>
                <w:sz w:val="18"/>
                <w:szCs w:val="18"/>
                <w:rtl/>
              </w:rPr>
            </w:pPr>
          </w:p>
        </w:tc>
        <w:tc>
          <w:tcPr>
            <w:tcW w:w="744" w:type="pct"/>
            <w:shd w:val="clear" w:color="auto" w:fill="auto"/>
            <w:vAlign w:val="bottom"/>
          </w:tcPr>
          <w:p w14:paraId="2A0BCECC" w14:textId="77777777" w:rsidR="00EF7E0A" w:rsidRPr="00C149F3" w:rsidRDefault="00EF7E0A" w:rsidP="00EF7E0A">
            <w:pPr>
              <w:spacing w:line="259" w:lineRule="auto"/>
              <w:jc w:val="left"/>
              <w:rPr>
                <w:rFonts w:eastAsia="Calibri"/>
                <w:sz w:val="18"/>
                <w:szCs w:val="18"/>
                <w:rtl/>
              </w:rPr>
            </w:pPr>
          </w:p>
        </w:tc>
        <w:tc>
          <w:tcPr>
            <w:tcW w:w="447" w:type="pct"/>
            <w:shd w:val="clear" w:color="auto" w:fill="auto"/>
            <w:vAlign w:val="bottom"/>
          </w:tcPr>
          <w:p w14:paraId="220927BA" w14:textId="77777777" w:rsidR="00EF7E0A" w:rsidRPr="00C149F3" w:rsidRDefault="00EF7E0A" w:rsidP="00EF7E0A">
            <w:pPr>
              <w:spacing w:line="259" w:lineRule="auto"/>
              <w:jc w:val="left"/>
              <w:rPr>
                <w:rFonts w:eastAsia="Calibri"/>
                <w:sz w:val="18"/>
                <w:szCs w:val="18"/>
                <w:rtl/>
              </w:rPr>
            </w:pPr>
          </w:p>
        </w:tc>
      </w:tr>
      <w:tr w:rsidR="00EF7E0A" w:rsidRPr="00D6403C" w14:paraId="33649225" w14:textId="77777777" w:rsidTr="00C149F3">
        <w:tblPrEx>
          <w:tblLook w:val="01E0" w:firstRow="1" w:lastRow="1" w:firstColumn="1" w:lastColumn="1" w:noHBand="0" w:noVBand="0"/>
        </w:tblPrEx>
        <w:trPr>
          <w:gridBefore w:val="1"/>
          <w:gridAfter w:val="2"/>
          <w:wBefore w:w="349" w:type="pct"/>
          <w:wAfter w:w="1442" w:type="pct"/>
        </w:trPr>
        <w:tc>
          <w:tcPr>
            <w:tcW w:w="529" w:type="pct"/>
            <w:gridSpan w:val="3"/>
            <w:shd w:val="clear" w:color="auto" w:fill="auto"/>
          </w:tcPr>
          <w:p w14:paraId="13D1F5F0" w14:textId="77777777" w:rsidR="00EF7E0A" w:rsidRPr="00C149F3" w:rsidRDefault="00EF7E0A" w:rsidP="00EF7E0A">
            <w:pPr>
              <w:spacing w:line="259" w:lineRule="auto"/>
              <w:jc w:val="left"/>
              <w:rPr>
                <w:rFonts w:eastAsia="Calibri"/>
                <w:sz w:val="18"/>
                <w:szCs w:val="18"/>
                <w:rtl/>
              </w:rPr>
            </w:pPr>
          </w:p>
        </w:tc>
        <w:tc>
          <w:tcPr>
            <w:tcW w:w="1043" w:type="pct"/>
            <w:shd w:val="clear" w:color="auto" w:fill="auto"/>
          </w:tcPr>
          <w:p w14:paraId="78D4B660" w14:textId="46236563" w:rsidR="00EF7E0A" w:rsidRPr="00C149F3" w:rsidRDefault="00EF7E0A" w:rsidP="00EF7E0A">
            <w:pPr>
              <w:spacing w:line="259" w:lineRule="auto"/>
              <w:jc w:val="left"/>
              <w:rPr>
                <w:rFonts w:eastAsia="Calibri"/>
                <w:sz w:val="18"/>
                <w:szCs w:val="18"/>
                <w:rtl/>
              </w:rPr>
            </w:pPr>
            <w:r w:rsidRPr="00C149F3">
              <w:rPr>
                <w:rFonts w:eastAsia="Calibri"/>
                <w:sz w:val="18"/>
                <w:szCs w:val="18"/>
                <w:rtl/>
              </w:rPr>
              <w:t xml:space="preserve">  </w:t>
            </w:r>
            <w:r w:rsidR="005A676E" w:rsidRPr="00C149F3">
              <w:rPr>
                <w:rFonts w:eastAsia="Calibri"/>
                <w:sz w:val="18"/>
                <w:szCs w:val="18"/>
                <w:rtl/>
              </w:rPr>
              <w:t>עודפים (גירעונות) שנצברו</w:t>
            </w:r>
          </w:p>
        </w:tc>
        <w:tc>
          <w:tcPr>
            <w:tcW w:w="446" w:type="pct"/>
            <w:shd w:val="clear" w:color="auto" w:fill="auto"/>
            <w:vAlign w:val="bottom"/>
          </w:tcPr>
          <w:p w14:paraId="136577F0" w14:textId="77777777" w:rsidR="00EF7E0A" w:rsidRPr="00C149F3" w:rsidRDefault="00EF7E0A" w:rsidP="00EF7E0A">
            <w:pPr>
              <w:spacing w:line="259" w:lineRule="auto"/>
              <w:jc w:val="left"/>
              <w:rPr>
                <w:rFonts w:eastAsia="Calibri"/>
                <w:sz w:val="18"/>
                <w:szCs w:val="18"/>
                <w:rtl/>
              </w:rPr>
            </w:pPr>
            <w:r w:rsidRPr="00C149F3">
              <w:rPr>
                <w:rFonts w:eastAsia="Calibri"/>
                <w:sz w:val="18"/>
                <w:szCs w:val="18"/>
                <w:rtl/>
              </w:rPr>
              <w:t>0</w:t>
            </w:r>
          </w:p>
        </w:tc>
        <w:tc>
          <w:tcPr>
            <w:tcW w:w="744" w:type="pct"/>
            <w:shd w:val="clear" w:color="auto" w:fill="auto"/>
            <w:vAlign w:val="bottom"/>
          </w:tcPr>
          <w:p w14:paraId="36B6FDCB" w14:textId="77777777" w:rsidR="00EF7E0A" w:rsidRPr="00C149F3" w:rsidRDefault="00EF7E0A" w:rsidP="00EF7E0A">
            <w:pPr>
              <w:spacing w:line="259" w:lineRule="auto"/>
              <w:jc w:val="left"/>
              <w:rPr>
                <w:rFonts w:eastAsia="Calibri"/>
                <w:sz w:val="18"/>
                <w:szCs w:val="18"/>
                <w:rtl/>
              </w:rPr>
            </w:pPr>
            <w:r w:rsidRPr="00C149F3">
              <w:rPr>
                <w:rFonts w:eastAsia="Calibri"/>
                <w:sz w:val="18"/>
                <w:szCs w:val="18"/>
                <w:rtl/>
              </w:rPr>
              <w:t>0</w:t>
            </w:r>
          </w:p>
        </w:tc>
        <w:tc>
          <w:tcPr>
            <w:tcW w:w="447" w:type="pct"/>
            <w:shd w:val="clear" w:color="auto" w:fill="auto"/>
            <w:vAlign w:val="bottom"/>
          </w:tcPr>
          <w:p w14:paraId="253312CA" w14:textId="77777777" w:rsidR="00EF7E0A" w:rsidRPr="00C149F3" w:rsidRDefault="00EF7E0A" w:rsidP="00EF7E0A">
            <w:pPr>
              <w:spacing w:line="259" w:lineRule="auto"/>
              <w:jc w:val="left"/>
              <w:rPr>
                <w:rFonts w:eastAsia="Calibri"/>
                <w:sz w:val="18"/>
                <w:szCs w:val="18"/>
                <w:rtl/>
              </w:rPr>
            </w:pPr>
            <w:r w:rsidRPr="00C149F3">
              <w:rPr>
                <w:rFonts w:eastAsia="Calibri"/>
                <w:sz w:val="18"/>
                <w:szCs w:val="18"/>
                <w:rtl/>
              </w:rPr>
              <w:t>0</w:t>
            </w:r>
          </w:p>
        </w:tc>
      </w:tr>
    </w:tbl>
    <w:p w14:paraId="34476936" w14:textId="77777777" w:rsidR="00D6403C" w:rsidRDefault="00D6403C" w:rsidP="00D6403C">
      <w:pPr>
        <w:rPr>
          <w:rtl/>
        </w:rPr>
      </w:pPr>
    </w:p>
    <w:tbl>
      <w:tblPr>
        <w:bidiVisual/>
        <w:tblW w:w="14057" w:type="dxa"/>
        <w:tblInd w:w="87" w:type="dxa"/>
        <w:tblLayout w:type="fixed"/>
        <w:tblLook w:val="01E0" w:firstRow="1" w:lastRow="1" w:firstColumn="1" w:lastColumn="1" w:noHBand="0" w:noVBand="0"/>
      </w:tblPr>
      <w:tblGrid>
        <w:gridCol w:w="1587"/>
        <w:gridCol w:w="12470"/>
      </w:tblGrid>
      <w:tr w:rsidR="00C149F3" w:rsidRPr="00C149F3" w14:paraId="260B30E8" w14:textId="77777777" w:rsidTr="00EC46DF">
        <w:tc>
          <w:tcPr>
            <w:tcW w:w="1587" w:type="dxa"/>
          </w:tcPr>
          <w:p w14:paraId="7531EBE3" w14:textId="07F0E442" w:rsidR="00C149F3" w:rsidRPr="00C149F3" w:rsidRDefault="00C149F3" w:rsidP="00400DD1">
            <w:pPr>
              <w:spacing w:before="60" w:after="60"/>
              <w:jc w:val="right"/>
              <w:rPr>
                <w:sz w:val="14"/>
                <w:szCs w:val="14"/>
                <w:rtl/>
              </w:rPr>
            </w:pPr>
          </w:p>
        </w:tc>
        <w:tc>
          <w:tcPr>
            <w:tcW w:w="12470" w:type="dxa"/>
          </w:tcPr>
          <w:p w14:paraId="17334C84" w14:textId="77777777" w:rsidR="00C149F3" w:rsidRPr="00C149F3" w:rsidRDefault="00C149F3" w:rsidP="009F608F">
            <w:pPr>
              <w:pStyle w:val="-24"/>
              <w:tabs>
                <w:tab w:val="clear" w:pos="893"/>
              </w:tabs>
              <w:spacing w:before="120" w:line="240" w:lineRule="auto"/>
              <w:ind w:left="310" w:hanging="310"/>
              <w:rPr>
                <w:b/>
                <w:bCs/>
                <w:sz w:val="19"/>
                <w:szCs w:val="19"/>
                <w:rtl/>
              </w:rPr>
            </w:pPr>
            <w:r w:rsidRPr="00C149F3">
              <w:rPr>
                <w:rFonts w:hint="cs"/>
                <w:b/>
                <w:bCs/>
                <w:sz w:val="19"/>
                <w:szCs w:val="19"/>
                <w:rtl/>
              </w:rPr>
              <w:t>2.</w:t>
            </w:r>
            <w:r w:rsidRPr="00C149F3">
              <w:rPr>
                <w:b/>
                <w:bCs/>
                <w:sz w:val="19"/>
                <w:szCs w:val="19"/>
                <w:rtl/>
              </w:rPr>
              <w:tab/>
            </w:r>
            <w:r w:rsidRPr="00C149F3">
              <w:rPr>
                <w:rFonts w:hint="cs"/>
                <w:b/>
                <w:bCs/>
                <w:sz w:val="19"/>
                <w:szCs w:val="19"/>
                <w:rtl/>
              </w:rPr>
              <w:t>סיווג מחדש:</w:t>
            </w:r>
            <w:r w:rsidRPr="00C149F3">
              <w:rPr>
                <w:b/>
                <w:bCs/>
                <w:sz w:val="19"/>
                <w:szCs w:val="19"/>
                <w:vertAlign w:val="superscript"/>
                <w:rtl/>
              </w:rPr>
              <w:t>[</w:t>
            </w:r>
            <w:r w:rsidRPr="00C149F3">
              <w:rPr>
                <w:b/>
                <w:bCs/>
                <w:sz w:val="19"/>
                <w:szCs w:val="19"/>
                <w:vertAlign w:val="superscript"/>
                <w:rtl/>
              </w:rPr>
              <w:footnoteReference w:id="27"/>
            </w:r>
            <w:r w:rsidRPr="00C149F3">
              <w:rPr>
                <w:b/>
                <w:bCs/>
                <w:sz w:val="19"/>
                <w:szCs w:val="19"/>
                <w:vertAlign w:val="superscript"/>
                <w:rtl/>
              </w:rPr>
              <w:t>]</w:t>
            </w:r>
          </w:p>
        </w:tc>
      </w:tr>
      <w:tr w:rsidR="00C149F3" w:rsidRPr="00C149F3" w14:paraId="682DBAF5" w14:textId="77777777" w:rsidTr="00EC46DF">
        <w:tc>
          <w:tcPr>
            <w:tcW w:w="1587" w:type="dxa"/>
          </w:tcPr>
          <w:p w14:paraId="7B6CCB10" w14:textId="77777777" w:rsidR="00C149F3" w:rsidRPr="00C149F3" w:rsidRDefault="00C149F3" w:rsidP="00400DD1">
            <w:pPr>
              <w:rPr>
                <w:sz w:val="14"/>
                <w:szCs w:val="14"/>
                <w:rtl/>
              </w:rPr>
            </w:pPr>
          </w:p>
        </w:tc>
        <w:tc>
          <w:tcPr>
            <w:tcW w:w="12470" w:type="dxa"/>
          </w:tcPr>
          <w:p w14:paraId="17B725B1" w14:textId="7FDC61E0" w:rsidR="00C149F3" w:rsidRPr="00C149F3" w:rsidRDefault="00C149F3" w:rsidP="009F608F">
            <w:pPr>
              <w:pStyle w:val="-24"/>
              <w:tabs>
                <w:tab w:val="clear" w:pos="893"/>
              </w:tabs>
              <w:spacing w:before="20" w:line="240" w:lineRule="auto"/>
              <w:ind w:left="310" w:firstLine="0"/>
              <w:rPr>
                <w:b/>
                <w:bCs/>
                <w:sz w:val="19"/>
                <w:szCs w:val="19"/>
              </w:rPr>
            </w:pPr>
            <w:r w:rsidRPr="00C149F3">
              <w:rPr>
                <w:sz w:val="19"/>
                <w:szCs w:val="19"/>
                <w:rtl/>
              </w:rPr>
              <w:t xml:space="preserve">התאגיד הבנקאי </w:t>
            </w:r>
            <w:r w:rsidRPr="00C149F3">
              <w:rPr>
                <w:rFonts w:hint="cs"/>
                <w:sz w:val="19"/>
                <w:szCs w:val="19"/>
                <w:rtl/>
              </w:rPr>
              <w:t xml:space="preserve">סיווג </w:t>
            </w:r>
            <w:r w:rsidRPr="00C149F3">
              <w:rPr>
                <w:sz w:val="19"/>
                <w:szCs w:val="19"/>
                <w:rtl/>
              </w:rPr>
              <w:t>מחדש</w:t>
            </w:r>
            <w:r w:rsidRPr="00C149F3">
              <w:rPr>
                <w:rFonts w:hint="cs"/>
                <w:sz w:val="19"/>
                <w:szCs w:val="19"/>
                <w:rtl/>
              </w:rPr>
              <w:t xml:space="preserve"> בדוח רווח והפסד</w:t>
            </w:r>
            <w:r w:rsidRPr="00C149F3">
              <w:rPr>
                <w:sz w:val="19"/>
                <w:szCs w:val="19"/>
                <w:rtl/>
              </w:rPr>
              <w:t xml:space="preserve"> את מספרי</w:t>
            </w:r>
            <w:r w:rsidRPr="00C149F3">
              <w:rPr>
                <w:rFonts w:hint="cs"/>
                <w:sz w:val="19"/>
                <w:szCs w:val="19"/>
                <w:rtl/>
              </w:rPr>
              <w:t xml:space="preserve"> ההשוואה</w:t>
            </w:r>
            <w:r w:rsidRPr="00C149F3">
              <w:rPr>
                <w:sz w:val="19"/>
                <w:szCs w:val="19"/>
                <w:rtl/>
              </w:rPr>
              <w:t xml:space="preserve"> </w:t>
            </w:r>
            <w:r w:rsidRPr="00C149F3">
              <w:rPr>
                <w:rFonts w:hint="cs"/>
                <w:sz w:val="19"/>
                <w:szCs w:val="19"/>
                <w:rtl/>
              </w:rPr>
              <w:t xml:space="preserve">לתקופות של שלושה ושישה </w:t>
            </w:r>
            <w:r w:rsidRPr="00C149F3">
              <w:rPr>
                <w:sz w:val="19"/>
                <w:szCs w:val="19"/>
                <w:rtl/>
              </w:rPr>
              <w:t xml:space="preserve">חודשים שהסתיימו ביום 30 ביוני </w:t>
            </w:r>
            <w:r w:rsidRPr="00C149F3">
              <w:rPr>
                <w:sz w:val="19"/>
                <w:szCs w:val="19"/>
                <w:rtl/>
              </w:rPr>
              <w:fldChar w:fldCharType="begin"/>
            </w:r>
            <w:r w:rsidRPr="00C149F3">
              <w:rPr>
                <w:sz w:val="19"/>
                <w:szCs w:val="19"/>
                <w:rtl/>
              </w:rPr>
              <w:instrText xml:space="preserve"> </w:instrText>
            </w:r>
            <w:r w:rsidRPr="00C149F3">
              <w:rPr>
                <w:rFonts w:hint="cs"/>
                <w:sz w:val="19"/>
                <w:szCs w:val="19"/>
                <w:rtl/>
              </w:rPr>
              <w:instrText xml:space="preserve">= </w:instrText>
            </w:r>
            <w:r w:rsidRPr="00C149F3">
              <w:rPr>
                <w:rFonts w:hint="cs"/>
                <w:sz w:val="19"/>
                <w:szCs w:val="19"/>
              </w:rPr>
              <w:instrText>CY</w:instrText>
            </w:r>
            <w:r w:rsidRPr="00C149F3">
              <w:rPr>
                <w:sz w:val="19"/>
                <w:szCs w:val="19"/>
              </w:rPr>
              <w:instrText>-1</w:instrText>
            </w:r>
            <w:r w:rsidRPr="00C149F3">
              <w:rPr>
                <w:rFonts w:hint="cs"/>
                <w:sz w:val="19"/>
                <w:szCs w:val="19"/>
              </w:rPr>
              <w:instrText xml:space="preserve"> \* MERGEFORMAT</w:instrText>
            </w:r>
            <w:r w:rsidRPr="00C149F3">
              <w:rPr>
                <w:sz w:val="19"/>
                <w:szCs w:val="19"/>
                <w:rtl/>
              </w:rPr>
              <w:instrText xml:space="preserve"> </w:instrText>
            </w:r>
            <w:r w:rsidRPr="00C149F3">
              <w:rPr>
                <w:sz w:val="19"/>
                <w:szCs w:val="19"/>
                <w:rtl/>
              </w:rPr>
              <w:fldChar w:fldCharType="separate"/>
            </w:r>
            <w:r w:rsidR="003A584F">
              <w:rPr>
                <w:noProof/>
                <w:sz w:val="19"/>
                <w:szCs w:val="19"/>
                <w:rtl/>
              </w:rPr>
              <w:t>2023</w:t>
            </w:r>
            <w:r w:rsidRPr="00C149F3">
              <w:rPr>
                <w:sz w:val="19"/>
                <w:szCs w:val="19"/>
                <w:rtl/>
              </w:rPr>
              <w:fldChar w:fldCharType="end"/>
            </w:r>
            <w:r w:rsidRPr="00C149F3">
              <w:rPr>
                <w:rFonts w:hint="cs"/>
                <w:sz w:val="19"/>
                <w:szCs w:val="19"/>
                <w:rtl/>
              </w:rPr>
              <w:t xml:space="preserve"> ולשנה </w:t>
            </w:r>
            <w:r w:rsidRPr="00C149F3">
              <w:rPr>
                <w:rFonts w:hint="eastAsia"/>
                <w:sz w:val="19"/>
                <w:szCs w:val="19"/>
                <w:rtl/>
              </w:rPr>
              <w:t>שהסתיימה</w:t>
            </w:r>
            <w:r w:rsidRPr="00C149F3">
              <w:rPr>
                <w:sz w:val="19"/>
                <w:szCs w:val="19"/>
                <w:rtl/>
              </w:rPr>
              <w:t xml:space="preserve"> </w:t>
            </w:r>
            <w:r w:rsidRPr="00C149F3">
              <w:rPr>
                <w:rFonts w:hint="eastAsia"/>
                <w:sz w:val="19"/>
                <w:szCs w:val="19"/>
                <w:rtl/>
              </w:rPr>
              <w:t>ביום</w:t>
            </w:r>
            <w:r w:rsidRPr="00C149F3">
              <w:rPr>
                <w:sz w:val="19"/>
                <w:szCs w:val="19"/>
                <w:rtl/>
              </w:rPr>
              <w:t xml:space="preserve"> 31 </w:t>
            </w:r>
            <w:r w:rsidRPr="00C149F3">
              <w:rPr>
                <w:rFonts w:hint="eastAsia"/>
                <w:sz w:val="19"/>
                <w:szCs w:val="19"/>
                <w:rtl/>
              </w:rPr>
              <w:t>בדצמבר</w:t>
            </w:r>
            <w:r w:rsidRPr="00C149F3">
              <w:rPr>
                <w:sz w:val="19"/>
                <w:szCs w:val="19"/>
                <w:rtl/>
              </w:rPr>
              <w:t xml:space="preserve"> </w:t>
            </w:r>
            <w:r w:rsidRPr="00C149F3">
              <w:rPr>
                <w:sz w:val="19"/>
                <w:szCs w:val="19"/>
                <w:rtl/>
              </w:rPr>
              <w:fldChar w:fldCharType="begin"/>
            </w:r>
            <w:r w:rsidRPr="00C149F3">
              <w:rPr>
                <w:sz w:val="19"/>
                <w:szCs w:val="19"/>
                <w:rtl/>
              </w:rPr>
              <w:instrText xml:space="preserve"> </w:instrText>
            </w:r>
            <w:r w:rsidRPr="00C149F3">
              <w:rPr>
                <w:rFonts w:hint="cs"/>
                <w:sz w:val="19"/>
                <w:szCs w:val="19"/>
                <w:rtl/>
              </w:rPr>
              <w:instrText xml:space="preserve">= </w:instrText>
            </w:r>
            <w:r w:rsidRPr="00C149F3">
              <w:rPr>
                <w:rFonts w:hint="cs"/>
                <w:sz w:val="19"/>
                <w:szCs w:val="19"/>
              </w:rPr>
              <w:instrText>CY</w:instrText>
            </w:r>
            <w:r w:rsidRPr="00C149F3">
              <w:rPr>
                <w:sz w:val="19"/>
                <w:szCs w:val="19"/>
              </w:rPr>
              <w:instrText>-1</w:instrText>
            </w:r>
            <w:r w:rsidRPr="00C149F3">
              <w:rPr>
                <w:rFonts w:hint="cs"/>
                <w:sz w:val="19"/>
                <w:szCs w:val="19"/>
              </w:rPr>
              <w:instrText xml:space="preserve"> \* MERGEFORMAT</w:instrText>
            </w:r>
            <w:r w:rsidRPr="00C149F3">
              <w:rPr>
                <w:sz w:val="19"/>
                <w:szCs w:val="19"/>
                <w:rtl/>
              </w:rPr>
              <w:instrText xml:space="preserve"> </w:instrText>
            </w:r>
            <w:r w:rsidRPr="00C149F3">
              <w:rPr>
                <w:sz w:val="19"/>
                <w:szCs w:val="19"/>
                <w:rtl/>
              </w:rPr>
              <w:fldChar w:fldCharType="separate"/>
            </w:r>
            <w:r w:rsidR="003A584F">
              <w:rPr>
                <w:noProof/>
                <w:sz w:val="19"/>
                <w:szCs w:val="19"/>
                <w:rtl/>
              </w:rPr>
              <w:t>2023</w:t>
            </w:r>
            <w:r w:rsidRPr="00C149F3">
              <w:rPr>
                <w:sz w:val="19"/>
                <w:szCs w:val="19"/>
                <w:rtl/>
              </w:rPr>
              <w:fldChar w:fldCharType="end"/>
            </w:r>
            <w:r w:rsidRPr="00C149F3">
              <w:rPr>
                <w:rFonts w:hint="cs"/>
                <w:sz w:val="19"/>
                <w:szCs w:val="19"/>
                <w:rtl/>
              </w:rPr>
              <w:t xml:space="preserve"> </w:t>
            </w:r>
            <w:r w:rsidRPr="00C149F3">
              <w:rPr>
                <w:sz w:val="19"/>
                <w:szCs w:val="19"/>
                <w:rtl/>
              </w:rPr>
              <w:t>בסך _</w:t>
            </w:r>
            <w:r w:rsidRPr="00C149F3">
              <w:rPr>
                <w:rFonts w:hint="cs"/>
                <w:sz w:val="19"/>
                <w:szCs w:val="19"/>
                <w:rtl/>
              </w:rPr>
              <w:t>_</w:t>
            </w:r>
            <w:r w:rsidRPr="00C149F3">
              <w:rPr>
                <w:sz w:val="19"/>
                <w:szCs w:val="19"/>
                <w:rtl/>
              </w:rPr>
              <w:t>_ מיליוני ש"ח, _</w:t>
            </w:r>
            <w:r w:rsidRPr="00C149F3">
              <w:rPr>
                <w:rFonts w:hint="cs"/>
                <w:sz w:val="19"/>
                <w:szCs w:val="19"/>
                <w:rtl/>
              </w:rPr>
              <w:t>_</w:t>
            </w:r>
            <w:r w:rsidRPr="00C149F3">
              <w:rPr>
                <w:sz w:val="19"/>
                <w:szCs w:val="19"/>
                <w:rtl/>
              </w:rPr>
              <w:t>_</w:t>
            </w:r>
            <w:r w:rsidRPr="00C149F3">
              <w:rPr>
                <w:rFonts w:hint="cs"/>
                <w:sz w:val="19"/>
                <w:szCs w:val="19"/>
                <w:rtl/>
              </w:rPr>
              <w:t xml:space="preserve"> מיליוני ש"ח ו-___ מיליוני ש"ח, בהתאמה, מסעיף _____ לסעיף _______ מאחר ו___</w:t>
            </w:r>
            <w:r w:rsidRPr="00C149F3">
              <w:rPr>
                <w:rFonts w:hint="cs"/>
                <w:b/>
                <w:bCs/>
                <w:sz w:val="19"/>
                <w:szCs w:val="19"/>
                <w:rtl/>
              </w:rPr>
              <w:t xml:space="preserve">  </w:t>
            </w:r>
            <w:r w:rsidRPr="00C149F3">
              <w:rPr>
                <w:rFonts w:hint="cs"/>
                <w:sz w:val="19"/>
                <w:szCs w:val="19"/>
                <w:rtl/>
              </w:rPr>
              <w:t>[</w:t>
            </w:r>
            <w:r w:rsidRPr="00C149F3">
              <w:rPr>
                <w:rFonts w:hint="cs"/>
                <w:i/>
                <w:iCs/>
                <w:sz w:val="19"/>
                <w:szCs w:val="19"/>
                <w:rtl/>
              </w:rPr>
              <w:t>יינתן גילוי למהות הסיווג מחדש ותפורטנה הסיבות לסיווג מחדש</w:t>
            </w:r>
            <w:r w:rsidRPr="00C149F3">
              <w:rPr>
                <w:rFonts w:hint="cs"/>
                <w:sz w:val="19"/>
                <w:szCs w:val="19"/>
                <w:rtl/>
              </w:rPr>
              <w:t>]</w:t>
            </w:r>
            <w:r w:rsidRPr="00C149F3">
              <w:rPr>
                <w:rFonts w:hint="cs"/>
                <w:i/>
                <w:iCs/>
                <w:sz w:val="19"/>
                <w:szCs w:val="19"/>
                <w:rtl/>
              </w:rPr>
              <w:t>.</w:t>
            </w:r>
          </w:p>
        </w:tc>
      </w:tr>
      <w:tr w:rsidR="00C149F3" w:rsidRPr="00C149F3" w14:paraId="096883DF" w14:textId="77777777" w:rsidTr="00EC46DF">
        <w:tc>
          <w:tcPr>
            <w:tcW w:w="1587" w:type="dxa"/>
          </w:tcPr>
          <w:p w14:paraId="31A6E681" w14:textId="13C05F51" w:rsidR="00C149F3" w:rsidRPr="00C149F3" w:rsidRDefault="00C149F3" w:rsidP="00400DD1">
            <w:pPr>
              <w:spacing w:after="60"/>
              <w:jc w:val="right"/>
              <w:rPr>
                <w:b/>
                <w:bCs/>
                <w:sz w:val="14"/>
                <w:szCs w:val="14"/>
                <w:rtl/>
              </w:rPr>
            </w:pPr>
          </w:p>
        </w:tc>
        <w:tc>
          <w:tcPr>
            <w:tcW w:w="12470" w:type="dxa"/>
            <w:vAlign w:val="bottom"/>
          </w:tcPr>
          <w:p w14:paraId="6AE5B548" w14:textId="77777777" w:rsidR="00C149F3" w:rsidRPr="00C149F3" w:rsidRDefault="00C149F3" w:rsidP="009F608F">
            <w:pPr>
              <w:pStyle w:val="-24"/>
              <w:tabs>
                <w:tab w:val="clear" w:pos="893"/>
              </w:tabs>
              <w:spacing w:before="120" w:line="240" w:lineRule="auto"/>
              <w:ind w:left="310" w:hanging="310"/>
              <w:rPr>
                <w:b/>
                <w:bCs/>
                <w:sz w:val="19"/>
                <w:szCs w:val="19"/>
                <w:rtl/>
              </w:rPr>
            </w:pPr>
            <w:r w:rsidRPr="00C149F3">
              <w:rPr>
                <w:rFonts w:hint="cs"/>
                <w:b/>
                <w:bCs/>
                <w:sz w:val="19"/>
                <w:szCs w:val="19"/>
                <w:rtl/>
              </w:rPr>
              <w:t>3.</w:t>
            </w:r>
            <w:r w:rsidRPr="00C149F3">
              <w:rPr>
                <w:b/>
                <w:bCs/>
                <w:sz w:val="19"/>
                <w:szCs w:val="19"/>
                <w:rtl/>
              </w:rPr>
              <w:tab/>
            </w:r>
            <w:r w:rsidRPr="00C149F3">
              <w:rPr>
                <w:rFonts w:hint="cs"/>
                <w:b/>
                <w:bCs/>
                <w:sz w:val="19"/>
                <w:szCs w:val="19"/>
                <w:rtl/>
              </w:rPr>
              <w:t>הצגה מחדש בשל תיקון טעות:</w:t>
            </w:r>
          </w:p>
        </w:tc>
      </w:tr>
      <w:tr w:rsidR="00C149F3" w:rsidRPr="00C149F3" w14:paraId="0362EA04" w14:textId="77777777" w:rsidTr="00EC46DF">
        <w:tc>
          <w:tcPr>
            <w:tcW w:w="1587" w:type="dxa"/>
          </w:tcPr>
          <w:p w14:paraId="0997A71B" w14:textId="5615563B" w:rsidR="00C149F3" w:rsidRPr="00C149F3" w:rsidRDefault="00C149F3" w:rsidP="00400DD1">
            <w:pPr>
              <w:spacing w:before="20" w:after="60"/>
              <w:jc w:val="right"/>
              <w:rPr>
                <w:b/>
                <w:bCs/>
                <w:sz w:val="14"/>
                <w:szCs w:val="14"/>
                <w:rtl/>
              </w:rPr>
            </w:pPr>
          </w:p>
        </w:tc>
        <w:tc>
          <w:tcPr>
            <w:tcW w:w="12470" w:type="dxa"/>
          </w:tcPr>
          <w:p w14:paraId="19F266EA" w14:textId="77777777" w:rsidR="00C149F3" w:rsidRPr="00C149F3" w:rsidRDefault="00C149F3" w:rsidP="009F608F">
            <w:pPr>
              <w:pStyle w:val="-24"/>
              <w:tabs>
                <w:tab w:val="clear" w:pos="893"/>
              </w:tabs>
              <w:spacing w:before="20" w:line="240" w:lineRule="auto"/>
              <w:ind w:left="310" w:firstLine="0"/>
              <w:rPr>
                <w:b/>
                <w:bCs/>
                <w:color w:val="000000"/>
                <w:sz w:val="19"/>
                <w:szCs w:val="19"/>
                <w:rtl/>
                <w:lang w:eastAsia="he-IL"/>
              </w:rPr>
            </w:pPr>
            <w:r w:rsidRPr="00C149F3">
              <w:rPr>
                <w:sz w:val="19"/>
                <w:szCs w:val="19"/>
                <w:rtl/>
              </w:rPr>
              <w:t xml:space="preserve">התאגיד הבנקאי הציג מחדש את </w:t>
            </w:r>
            <w:r w:rsidRPr="00C149F3">
              <w:rPr>
                <w:rFonts w:hint="cs"/>
                <w:sz w:val="19"/>
                <w:szCs w:val="19"/>
                <w:rtl/>
              </w:rPr>
              <w:t>מספרי</w:t>
            </w:r>
            <w:r w:rsidRPr="00C149F3">
              <w:rPr>
                <w:sz w:val="19"/>
                <w:szCs w:val="19"/>
                <w:rtl/>
              </w:rPr>
              <w:t xml:space="preserve"> ההשוואה המתייחסים לתקופות קודמות, על מנת לשקף תיקון טעות </w:t>
            </w:r>
            <w:r w:rsidRPr="00C149F3">
              <w:rPr>
                <w:rFonts w:hint="cs"/>
                <w:sz w:val="19"/>
                <w:szCs w:val="19"/>
                <w:rtl/>
              </w:rPr>
              <w:t>שנבעה</w:t>
            </w:r>
            <w:r w:rsidRPr="00C149F3">
              <w:rPr>
                <w:sz w:val="19"/>
                <w:szCs w:val="19"/>
                <w:rtl/>
              </w:rPr>
              <w:t xml:space="preserve"> בשל </w:t>
            </w:r>
            <w:r w:rsidRPr="00C149F3">
              <w:rPr>
                <w:rFonts w:hint="cs"/>
                <w:sz w:val="19"/>
                <w:szCs w:val="19"/>
                <w:rtl/>
              </w:rPr>
              <w:t xml:space="preserve">___ </w:t>
            </w:r>
            <w:r w:rsidRPr="00C149F3">
              <w:rPr>
                <w:sz w:val="19"/>
                <w:szCs w:val="19"/>
                <w:rtl/>
              </w:rPr>
              <w:t>[</w:t>
            </w:r>
            <w:r w:rsidRPr="00C149F3">
              <w:rPr>
                <w:i/>
                <w:iCs/>
                <w:sz w:val="19"/>
                <w:szCs w:val="19"/>
                <w:rtl/>
              </w:rPr>
              <w:t>תוסבר מהותה של הצגה מחדש בדוח כספי רבעוני</w:t>
            </w:r>
            <w:r w:rsidRPr="00C149F3">
              <w:rPr>
                <w:rFonts w:hint="cs"/>
                <w:i/>
                <w:iCs/>
                <w:sz w:val="19"/>
                <w:szCs w:val="19"/>
                <w:rtl/>
              </w:rPr>
              <w:t xml:space="preserve"> ו</w:t>
            </w:r>
            <w:r w:rsidRPr="00C149F3">
              <w:rPr>
                <w:i/>
                <w:iCs/>
                <w:sz w:val="19"/>
                <w:szCs w:val="19"/>
                <w:rtl/>
              </w:rPr>
              <w:t>יפורטו הנימוקים לה</w:t>
            </w:r>
            <w:r w:rsidRPr="00C149F3">
              <w:rPr>
                <w:sz w:val="19"/>
                <w:szCs w:val="19"/>
                <w:rtl/>
              </w:rPr>
              <w:t>].</w:t>
            </w:r>
          </w:p>
        </w:tc>
      </w:tr>
      <w:tr w:rsidR="00C149F3" w:rsidRPr="00C149F3" w14:paraId="735A97B0" w14:textId="77777777" w:rsidTr="00EC46DF">
        <w:tc>
          <w:tcPr>
            <w:tcW w:w="1587" w:type="dxa"/>
          </w:tcPr>
          <w:p w14:paraId="04B8481D" w14:textId="3F7175DE" w:rsidR="00C149F3" w:rsidRPr="00C149F3" w:rsidRDefault="00C149F3" w:rsidP="00400DD1">
            <w:pPr>
              <w:spacing w:before="20" w:after="60"/>
              <w:jc w:val="left"/>
              <w:rPr>
                <w:sz w:val="14"/>
                <w:szCs w:val="14"/>
                <w:rtl/>
              </w:rPr>
            </w:pPr>
          </w:p>
        </w:tc>
        <w:tc>
          <w:tcPr>
            <w:tcW w:w="12470" w:type="dxa"/>
          </w:tcPr>
          <w:p w14:paraId="2CB33DE7" w14:textId="66DA6294" w:rsidR="00C149F3" w:rsidRPr="00C149F3" w:rsidRDefault="00C149F3" w:rsidP="009F608F">
            <w:pPr>
              <w:spacing w:before="20" w:after="60"/>
              <w:ind w:left="310"/>
              <w:rPr>
                <w:b/>
                <w:bCs/>
                <w:sz w:val="19"/>
                <w:szCs w:val="19"/>
                <w:rtl/>
              </w:rPr>
            </w:pPr>
            <w:r w:rsidRPr="00C149F3">
              <w:rPr>
                <w:rFonts w:hint="cs"/>
                <w:sz w:val="19"/>
                <w:szCs w:val="19"/>
                <w:rtl/>
              </w:rPr>
              <w:t xml:space="preserve">להשפעת ההצגה מחדש על הדוחות הכספיים, ראה </w:t>
            </w:r>
            <w:r w:rsidRPr="00C149F3">
              <w:rPr>
                <w:sz w:val="19"/>
                <w:szCs w:val="19"/>
                <w:rtl/>
              </w:rPr>
              <w:t>ביאור 1.</w:t>
            </w:r>
            <w:r w:rsidR="00EC46DF">
              <w:rPr>
                <w:rFonts w:hint="cs"/>
                <w:sz w:val="19"/>
                <w:szCs w:val="19"/>
                <w:rtl/>
              </w:rPr>
              <w:t>ה.</w:t>
            </w:r>
            <w:r w:rsidRPr="00C149F3">
              <w:rPr>
                <w:sz w:val="19"/>
                <w:szCs w:val="19"/>
                <w:rtl/>
              </w:rPr>
              <w:t>1. א) לעיל</w:t>
            </w:r>
            <w:r w:rsidRPr="00C149F3">
              <w:rPr>
                <w:rFonts w:hint="cs"/>
                <w:b/>
                <w:bCs/>
                <w:sz w:val="19"/>
                <w:szCs w:val="19"/>
                <w:rtl/>
              </w:rPr>
              <w:t xml:space="preserve">.  </w:t>
            </w:r>
            <w:r w:rsidRPr="00C149F3">
              <w:rPr>
                <w:rFonts w:hint="cs"/>
                <w:sz w:val="19"/>
                <w:szCs w:val="19"/>
                <w:rtl/>
              </w:rPr>
              <w:t>[</w:t>
            </w:r>
            <w:r w:rsidRPr="00C149F3">
              <w:rPr>
                <w:rFonts w:hint="cs"/>
                <w:i/>
                <w:iCs/>
                <w:sz w:val="19"/>
                <w:szCs w:val="19"/>
                <w:rtl/>
              </w:rPr>
              <w:t>ת</w:t>
            </w:r>
            <w:r w:rsidRPr="00C149F3">
              <w:rPr>
                <w:i/>
                <w:iCs/>
                <w:sz w:val="19"/>
                <w:szCs w:val="19"/>
                <w:rtl/>
              </w:rPr>
              <w:t xml:space="preserve">צוין, בסכומים, </w:t>
            </w:r>
            <w:r w:rsidRPr="00C149F3">
              <w:rPr>
                <w:rFonts w:hint="cs"/>
                <w:i/>
                <w:iCs/>
                <w:sz w:val="19"/>
                <w:szCs w:val="19"/>
                <w:rtl/>
              </w:rPr>
              <w:t>ה</w:t>
            </w:r>
            <w:r w:rsidRPr="00C149F3">
              <w:rPr>
                <w:i/>
                <w:iCs/>
                <w:sz w:val="19"/>
                <w:szCs w:val="19"/>
                <w:rtl/>
              </w:rPr>
              <w:t>השפעה על כל אחד מהסעיפים שהוצגו מחדש בדוחות, על הרווח הנקי ועל הרווח למניה</w:t>
            </w:r>
            <w:r w:rsidRPr="00C149F3">
              <w:rPr>
                <w:rFonts w:hint="cs"/>
                <w:i/>
                <w:iCs/>
                <w:sz w:val="19"/>
                <w:szCs w:val="19"/>
                <w:rtl/>
              </w:rPr>
              <w:t>, ב</w:t>
            </w:r>
            <w:r w:rsidRPr="00C149F3">
              <w:rPr>
                <w:i/>
                <w:iCs/>
                <w:sz w:val="19"/>
                <w:szCs w:val="19"/>
                <w:rtl/>
              </w:rPr>
              <w:t>מספרי השוואה לתקופות קודמות</w:t>
            </w:r>
            <w:r w:rsidRPr="00C149F3">
              <w:rPr>
                <w:rFonts w:hint="cs"/>
                <w:sz w:val="19"/>
                <w:szCs w:val="19"/>
                <w:rtl/>
              </w:rPr>
              <w:t>].</w:t>
            </w:r>
            <w:r w:rsidRPr="00C149F3">
              <w:rPr>
                <w:rFonts w:hint="cs"/>
                <w:sz w:val="19"/>
                <w:szCs w:val="19"/>
                <w:vertAlign w:val="superscript"/>
                <w:rtl/>
              </w:rPr>
              <w:t>[</w:t>
            </w:r>
            <w:r w:rsidRPr="00C149F3">
              <w:rPr>
                <w:sz w:val="19"/>
                <w:szCs w:val="19"/>
                <w:vertAlign w:val="superscript"/>
                <w:rtl/>
              </w:rPr>
              <w:footnoteReference w:id="28"/>
            </w:r>
            <w:r w:rsidRPr="00C149F3">
              <w:rPr>
                <w:rFonts w:hint="cs"/>
                <w:sz w:val="19"/>
                <w:szCs w:val="19"/>
                <w:vertAlign w:val="superscript"/>
                <w:rtl/>
              </w:rPr>
              <w:t>]</w:t>
            </w:r>
          </w:p>
        </w:tc>
      </w:tr>
      <w:tr w:rsidR="00C149F3" w:rsidRPr="00C149F3" w14:paraId="6D60E6CC" w14:textId="77777777" w:rsidTr="00EC46DF">
        <w:tc>
          <w:tcPr>
            <w:tcW w:w="1587" w:type="dxa"/>
          </w:tcPr>
          <w:p w14:paraId="757A33CB" w14:textId="65E934F0" w:rsidR="00C149F3" w:rsidRPr="00C149F3" w:rsidRDefault="00C149F3" w:rsidP="00400DD1">
            <w:pPr>
              <w:spacing w:before="120" w:after="60"/>
              <w:jc w:val="right"/>
              <w:rPr>
                <w:b/>
                <w:bCs/>
                <w:sz w:val="14"/>
                <w:szCs w:val="14"/>
              </w:rPr>
            </w:pPr>
          </w:p>
        </w:tc>
        <w:tc>
          <w:tcPr>
            <w:tcW w:w="12470" w:type="dxa"/>
          </w:tcPr>
          <w:p w14:paraId="6C21F27F" w14:textId="77777777" w:rsidR="00C149F3" w:rsidRPr="00C149F3" w:rsidRDefault="00C149F3" w:rsidP="009F608F">
            <w:pPr>
              <w:pStyle w:val="-24"/>
              <w:tabs>
                <w:tab w:val="clear" w:pos="893"/>
                <w:tab w:val="left" w:pos="310"/>
              </w:tabs>
              <w:spacing w:before="120" w:line="240" w:lineRule="auto"/>
              <w:ind w:left="452" w:hanging="452"/>
              <w:rPr>
                <w:b/>
                <w:bCs/>
                <w:sz w:val="19"/>
                <w:szCs w:val="19"/>
                <w:highlight w:val="yellow"/>
                <w:rtl/>
              </w:rPr>
            </w:pPr>
            <w:r w:rsidRPr="00C149F3">
              <w:rPr>
                <w:rFonts w:hint="cs"/>
                <w:b/>
                <w:bCs/>
                <w:sz w:val="19"/>
                <w:szCs w:val="19"/>
                <w:rtl/>
              </w:rPr>
              <w:t>4.</w:t>
            </w:r>
            <w:r w:rsidRPr="00C149F3">
              <w:rPr>
                <w:b/>
                <w:bCs/>
                <w:sz w:val="19"/>
                <w:szCs w:val="19"/>
                <w:rtl/>
              </w:rPr>
              <w:tab/>
            </w:r>
            <w:r w:rsidRPr="00C149F3">
              <w:rPr>
                <w:rFonts w:hint="cs"/>
                <w:b/>
                <w:bCs/>
                <w:sz w:val="19"/>
                <w:szCs w:val="19"/>
                <w:rtl/>
              </w:rPr>
              <w:t>שינוי אומדן:</w:t>
            </w:r>
            <w:r w:rsidRPr="00C149F3">
              <w:rPr>
                <w:b/>
                <w:bCs/>
                <w:sz w:val="19"/>
                <w:szCs w:val="19"/>
                <w:vertAlign w:val="superscript"/>
                <w:rtl/>
              </w:rPr>
              <w:t>[</w:t>
            </w:r>
            <w:r w:rsidRPr="00C149F3">
              <w:rPr>
                <w:b/>
                <w:bCs/>
                <w:sz w:val="19"/>
                <w:szCs w:val="19"/>
                <w:vertAlign w:val="superscript"/>
                <w:rtl/>
              </w:rPr>
              <w:footnoteReference w:id="29"/>
            </w:r>
            <w:r w:rsidRPr="00C149F3">
              <w:rPr>
                <w:b/>
                <w:bCs/>
                <w:sz w:val="19"/>
                <w:szCs w:val="19"/>
                <w:vertAlign w:val="superscript"/>
                <w:rtl/>
              </w:rPr>
              <w:t>][</w:t>
            </w:r>
            <w:r w:rsidRPr="00C149F3">
              <w:rPr>
                <w:b/>
                <w:bCs/>
                <w:sz w:val="19"/>
                <w:szCs w:val="19"/>
                <w:vertAlign w:val="superscript"/>
                <w:rtl/>
              </w:rPr>
              <w:footnoteReference w:id="30"/>
            </w:r>
            <w:r w:rsidRPr="00C149F3">
              <w:rPr>
                <w:b/>
                <w:bCs/>
                <w:sz w:val="19"/>
                <w:szCs w:val="19"/>
                <w:vertAlign w:val="superscript"/>
                <w:rtl/>
              </w:rPr>
              <w:t>]</w:t>
            </w:r>
          </w:p>
        </w:tc>
      </w:tr>
      <w:tr w:rsidR="00C149F3" w:rsidRPr="00C149F3" w14:paraId="7A7BF9D5" w14:textId="77777777" w:rsidTr="00EC46DF">
        <w:tc>
          <w:tcPr>
            <w:tcW w:w="1587" w:type="dxa"/>
          </w:tcPr>
          <w:p w14:paraId="39831945" w14:textId="7EC3A0D5" w:rsidR="00C149F3" w:rsidRPr="00C149F3" w:rsidRDefault="00C149F3" w:rsidP="00400DD1">
            <w:pPr>
              <w:spacing w:before="20" w:after="60"/>
              <w:jc w:val="left"/>
              <w:rPr>
                <w:sz w:val="14"/>
                <w:szCs w:val="14"/>
                <w:rtl/>
              </w:rPr>
            </w:pPr>
          </w:p>
        </w:tc>
        <w:tc>
          <w:tcPr>
            <w:tcW w:w="12470" w:type="dxa"/>
          </w:tcPr>
          <w:p w14:paraId="756D3AF7" w14:textId="77777777" w:rsidR="00C149F3" w:rsidRPr="00C149F3" w:rsidRDefault="00C149F3" w:rsidP="009F608F">
            <w:pPr>
              <w:pStyle w:val="-24"/>
              <w:tabs>
                <w:tab w:val="clear" w:pos="893"/>
              </w:tabs>
              <w:spacing w:before="20" w:line="240" w:lineRule="auto"/>
              <w:ind w:left="310" w:firstLine="0"/>
              <w:rPr>
                <w:sz w:val="19"/>
                <w:szCs w:val="19"/>
                <w:rtl/>
              </w:rPr>
            </w:pPr>
            <w:r w:rsidRPr="00C149F3">
              <w:rPr>
                <w:rFonts w:hint="cs"/>
                <w:sz w:val="19"/>
                <w:szCs w:val="19"/>
                <w:rtl/>
              </w:rPr>
              <w:t>[</w:t>
            </w:r>
            <w:r w:rsidRPr="00C149F3">
              <w:rPr>
                <w:sz w:val="19"/>
                <w:szCs w:val="19"/>
                <w:rtl/>
              </w:rPr>
              <w:t xml:space="preserve">שונה ברבעון אומדן חשבונאי ולשינוי יש השפעה על הדוח ברבעון </w:t>
            </w:r>
            <w:r w:rsidRPr="00C149F3">
              <w:rPr>
                <w:rFonts w:hint="cs"/>
                <w:sz w:val="19"/>
                <w:szCs w:val="19"/>
                <w:rtl/>
              </w:rPr>
              <w:t xml:space="preserve">ו/או </w:t>
            </w:r>
            <w:r w:rsidRPr="00C149F3">
              <w:rPr>
                <w:sz w:val="19"/>
                <w:szCs w:val="19"/>
                <w:rtl/>
              </w:rPr>
              <w:t>ברבעונים הבאים בשנת החשבון, תוסבר מהות השינוי, יפורטו הנימוקים לו ותצוין בסכומים השפעתו על סעיפי המאזן ודוח הרווח וההפסד לרבות הרווח למניה</w:t>
            </w:r>
            <w:r w:rsidRPr="00C149F3">
              <w:rPr>
                <w:sz w:val="19"/>
                <w:szCs w:val="19"/>
              </w:rPr>
              <w:t>.</w:t>
            </w:r>
            <w:r w:rsidRPr="00C149F3">
              <w:rPr>
                <w:rFonts w:hint="cs"/>
                <w:sz w:val="19"/>
                <w:szCs w:val="19"/>
                <w:rtl/>
              </w:rPr>
              <w:t>]</w:t>
            </w:r>
          </w:p>
        </w:tc>
      </w:tr>
    </w:tbl>
    <w:p w14:paraId="16D98905" w14:textId="77777777" w:rsidR="00C149F3" w:rsidRDefault="00C149F3" w:rsidP="004A4663">
      <w:pPr>
        <w:tabs>
          <w:tab w:val="left" w:pos="1947"/>
        </w:tabs>
        <w:rPr>
          <w:rtl/>
        </w:rPr>
      </w:pPr>
    </w:p>
    <w:p w14:paraId="1D8C7C52" w14:textId="77777777" w:rsidR="004547C2" w:rsidRDefault="004547C2" w:rsidP="004547C2">
      <w:pPr>
        <w:tabs>
          <w:tab w:val="left" w:pos="1070"/>
        </w:tabs>
        <w:rPr>
          <w:rtl/>
        </w:rPr>
        <w:sectPr w:rsidR="004547C2" w:rsidSect="00587121">
          <w:footnotePr>
            <w:numRestart w:val="eachPage"/>
          </w:footnotePr>
          <w:pgSz w:w="16834" w:h="11909" w:orient="landscape" w:code="9"/>
          <w:pgMar w:top="851" w:right="851" w:bottom="851" w:left="851" w:header="720" w:footer="720" w:gutter="0"/>
          <w:cols w:space="720"/>
          <w:bidi/>
          <w:rtlGutter/>
          <w:docGrid w:linePitch="360"/>
        </w:sectPr>
      </w:pPr>
      <w:r>
        <w:rPr>
          <w:rtl/>
        </w:rPr>
        <w:tab/>
      </w:r>
    </w:p>
    <w:tbl>
      <w:tblPr>
        <w:bidiVisual/>
        <w:tblW w:w="749" w:type="pct"/>
        <w:tblLook w:val="04A0" w:firstRow="1" w:lastRow="0" w:firstColumn="1" w:lastColumn="0" w:noHBand="0" w:noVBand="1"/>
      </w:tblPr>
      <w:tblGrid>
        <w:gridCol w:w="1529"/>
      </w:tblGrid>
      <w:tr w:rsidR="00C832B0" w:rsidRPr="00543C25" w14:paraId="21AC40CD" w14:textId="77777777" w:rsidTr="00C149F3">
        <w:trPr>
          <w:trHeight w:val="259"/>
        </w:trPr>
        <w:tc>
          <w:tcPr>
            <w:tcW w:w="1529" w:type="dxa"/>
          </w:tcPr>
          <w:p w14:paraId="6DC46038" w14:textId="58F0F05E" w:rsidR="00C832B0" w:rsidRPr="00B44059" w:rsidRDefault="00C832B0">
            <w:pPr>
              <w:pStyle w:val="-fa"/>
              <w:rPr>
                <w:spacing w:val="0"/>
                <w:rtl/>
              </w:rPr>
            </w:pPr>
            <w:r w:rsidRPr="00B44059">
              <w:rPr>
                <w:rFonts w:hint="eastAsia"/>
                <w:spacing w:val="0"/>
                <w:rtl/>
              </w:rPr>
              <w:lastRenderedPageBreak/>
              <w:t>ה</w:t>
            </w:r>
            <w:r w:rsidRPr="00B44059">
              <w:rPr>
                <w:spacing w:val="0"/>
                <w:rtl/>
              </w:rPr>
              <w:t xml:space="preserve">. </w:t>
            </w:r>
            <w:r w:rsidRPr="00B44059">
              <w:rPr>
                <w:rFonts w:hint="eastAsia"/>
                <w:spacing w:val="0"/>
                <w:rtl/>
              </w:rPr>
              <w:t>המפקח</w:t>
            </w:r>
            <w:r w:rsidRPr="00B44059">
              <w:rPr>
                <w:spacing w:val="0"/>
                <w:rtl/>
              </w:rPr>
              <w:t xml:space="preserve"> </w:t>
            </w:r>
            <w:r w:rsidRPr="00B44059">
              <w:rPr>
                <w:rFonts w:hint="eastAsia"/>
                <w:spacing w:val="0"/>
                <w:rtl/>
              </w:rPr>
              <w:t>ס</w:t>
            </w:r>
            <w:r w:rsidRPr="00B44059">
              <w:rPr>
                <w:spacing w:val="0"/>
                <w:rtl/>
              </w:rPr>
              <w:t>' 65</w:t>
            </w:r>
          </w:p>
        </w:tc>
      </w:tr>
    </w:tbl>
    <w:p w14:paraId="683EC712" w14:textId="62190B87" w:rsidR="00C832B0" w:rsidRDefault="00C832B0" w:rsidP="009F608F">
      <w:pPr>
        <w:pStyle w:val="5"/>
        <w:ind w:firstLine="1135"/>
      </w:pPr>
      <w:bookmarkStart w:id="21" w:name="_Toc160529220"/>
      <w:r w:rsidRPr="007369EE">
        <w:rPr>
          <w:rFonts w:eastAsia="Arial Unicode MS"/>
          <w:rtl/>
        </w:rPr>
        <w:t xml:space="preserve">ביאור </w:t>
      </w:r>
      <w:r>
        <w:rPr>
          <w:rFonts w:eastAsia="Arial Unicode MS" w:hint="cs"/>
          <w:rtl/>
        </w:rPr>
        <w:t>2</w:t>
      </w:r>
      <w:r w:rsidRPr="007369EE">
        <w:rPr>
          <w:rFonts w:eastAsia="Arial Unicode MS" w:hint="cs"/>
          <w:rtl/>
        </w:rPr>
        <w:t xml:space="preserve">  </w:t>
      </w:r>
      <w:r w:rsidRPr="007369EE">
        <w:rPr>
          <w:rFonts w:eastAsia="Arial Unicode MS"/>
          <w:rtl/>
        </w:rPr>
        <w:t>-</w:t>
      </w:r>
      <w:r w:rsidRPr="007369EE">
        <w:rPr>
          <w:rFonts w:eastAsia="Arial Unicode MS" w:hint="cs"/>
          <w:rtl/>
        </w:rPr>
        <w:t xml:space="preserve"> </w:t>
      </w:r>
      <w:r w:rsidRPr="007369EE">
        <w:rPr>
          <w:rFonts w:eastAsia="Arial Unicode MS"/>
          <w:rtl/>
        </w:rPr>
        <w:t xml:space="preserve"> </w:t>
      </w:r>
      <w:r>
        <w:rPr>
          <w:rFonts w:hint="cs"/>
          <w:rtl/>
        </w:rPr>
        <w:t>הכנסות והוצאות ריבית</w:t>
      </w:r>
      <w:r w:rsidRPr="001E5034">
        <w:rPr>
          <w:rStyle w:val="a7"/>
          <w:b w:val="0"/>
          <w:bCs w:val="0"/>
          <w:rtl/>
        </w:rPr>
        <w:footnoteReference w:id="31"/>
      </w:r>
      <w:bookmarkEnd w:id="21"/>
      <w:r w:rsidR="007F5961">
        <w:rPr>
          <w:rFonts w:hint="cs"/>
          <w:rtl/>
        </w:rPr>
        <w:t xml:space="preserve"> </w:t>
      </w:r>
    </w:p>
    <w:p w14:paraId="4B67EC22" w14:textId="77777777" w:rsidR="00D0470C" w:rsidRPr="001A1793" w:rsidRDefault="00D0470C" w:rsidP="00D0470C">
      <w:pPr>
        <w:rPr>
          <w:sz w:val="2"/>
          <w:szCs w:val="2"/>
          <w:rtl/>
        </w:rPr>
      </w:pPr>
    </w:p>
    <w:tbl>
      <w:tblPr>
        <w:bidiVisual/>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4601"/>
        <w:gridCol w:w="1022"/>
        <w:gridCol w:w="1106"/>
        <w:gridCol w:w="1064"/>
        <w:gridCol w:w="1036"/>
      </w:tblGrid>
      <w:tr w:rsidR="00D0470C" w:rsidRPr="00543C25" w14:paraId="26CACEAC" w14:textId="77777777" w:rsidTr="00EC46DF">
        <w:trPr>
          <w:trHeight w:val="259"/>
        </w:trPr>
        <w:tc>
          <w:tcPr>
            <w:tcW w:w="1247" w:type="dxa"/>
            <w:tcBorders>
              <w:top w:val="nil"/>
              <w:left w:val="nil"/>
              <w:bottom w:val="nil"/>
              <w:right w:val="nil"/>
            </w:tcBorders>
          </w:tcPr>
          <w:p w14:paraId="6CDAB216" w14:textId="77777777" w:rsidR="00F32A2A" w:rsidRDefault="00B44059" w:rsidP="00E02831">
            <w:pPr>
              <w:pStyle w:val="-fa"/>
              <w:ind w:left="245"/>
            </w:pPr>
            <w:r w:rsidRPr="00B44059">
              <w:rPr>
                <w:rFonts w:hint="eastAsia"/>
                <w:rtl/>
              </w:rPr>
              <w:t>מתכונת</w:t>
            </w:r>
            <w:r w:rsidRPr="00B44059">
              <w:rPr>
                <w:rtl/>
              </w:rPr>
              <w:t xml:space="preserve"> ביאור </w:t>
            </w:r>
            <w:r w:rsidRPr="00B44059">
              <w:rPr>
                <w:rtl/>
              </w:rPr>
              <w:br/>
            </w:r>
            <w:r w:rsidRPr="00B44059">
              <w:rPr>
                <w:rFonts w:hint="eastAsia"/>
                <w:rtl/>
              </w:rPr>
              <w:t>עמ</w:t>
            </w:r>
            <w:r w:rsidRPr="00B44059">
              <w:rPr>
                <w:rtl/>
              </w:rPr>
              <w:t>' 663-15</w:t>
            </w:r>
          </w:p>
        </w:tc>
        <w:tc>
          <w:tcPr>
            <w:tcW w:w="4601" w:type="dxa"/>
            <w:tcBorders>
              <w:top w:val="nil"/>
              <w:left w:val="nil"/>
              <w:bottom w:val="nil"/>
              <w:right w:val="nil"/>
            </w:tcBorders>
            <w:vAlign w:val="bottom"/>
          </w:tcPr>
          <w:p w14:paraId="1CEED8C0" w14:textId="77777777" w:rsidR="00F32A2A" w:rsidRPr="00561E19" w:rsidRDefault="00F32A2A" w:rsidP="00EA192D">
            <w:pPr>
              <w:pStyle w:val="-0"/>
              <w:spacing w:line="192" w:lineRule="auto"/>
              <w:rPr>
                <w:rtl/>
              </w:rPr>
            </w:pPr>
          </w:p>
        </w:tc>
        <w:tc>
          <w:tcPr>
            <w:tcW w:w="2128" w:type="dxa"/>
            <w:gridSpan w:val="2"/>
            <w:tcBorders>
              <w:top w:val="nil"/>
              <w:left w:val="nil"/>
              <w:bottom w:val="nil"/>
              <w:right w:val="nil"/>
            </w:tcBorders>
            <w:vAlign w:val="bottom"/>
          </w:tcPr>
          <w:p w14:paraId="11FE00D0" w14:textId="77777777" w:rsidR="00F32A2A" w:rsidRPr="00345D83" w:rsidRDefault="00B44059" w:rsidP="00EA192D">
            <w:pPr>
              <w:pStyle w:val="-4"/>
              <w:spacing w:line="192" w:lineRule="auto"/>
              <w:rPr>
                <w:rtl/>
              </w:rPr>
            </w:pPr>
            <w:r w:rsidRPr="00561E19">
              <w:rPr>
                <w:rFonts w:hint="eastAsia"/>
                <w:rtl/>
              </w:rPr>
              <w:t>לשלושה</w:t>
            </w:r>
            <w:r w:rsidRPr="00561E19">
              <w:rPr>
                <w:rtl/>
              </w:rPr>
              <w:t xml:space="preserve"> </w:t>
            </w:r>
            <w:r w:rsidRPr="00561E19">
              <w:rPr>
                <w:rFonts w:hint="eastAsia"/>
                <w:rtl/>
              </w:rPr>
              <w:t>חו</w:t>
            </w:r>
            <w:r w:rsidRPr="00345D83">
              <w:rPr>
                <w:rFonts w:hint="eastAsia"/>
                <w:rtl/>
              </w:rPr>
              <w:t>דשים</w:t>
            </w:r>
            <w:r w:rsidRPr="00345D83">
              <w:rPr>
                <w:rtl/>
              </w:rPr>
              <w:t xml:space="preserve"> </w:t>
            </w:r>
            <w:r w:rsidRPr="00345D83">
              <w:rPr>
                <w:rFonts w:hint="eastAsia"/>
                <w:rtl/>
              </w:rPr>
              <w:t>שהסתיימו</w:t>
            </w:r>
            <w:r w:rsidRPr="00345D83">
              <w:rPr>
                <w:rtl/>
              </w:rPr>
              <w:t xml:space="preserve"> </w:t>
            </w:r>
            <w:r w:rsidRPr="00345D83">
              <w:rPr>
                <w:rFonts w:hint="eastAsia"/>
                <w:rtl/>
              </w:rPr>
              <w:t>ביום</w:t>
            </w:r>
            <w:r w:rsidRPr="00345D83">
              <w:rPr>
                <w:rtl/>
              </w:rPr>
              <w:t xml:space="preserve"> 30 </w:t>
            </w:r>
            <w:r w:rsidRPr="00345D83">
              <w:rPr>
                <w:rFonts w:hint="eastAsia"/>
                <w:rtl/>
              </w:rPr>
              <w:t>ביוני</w:t>
            </w:r>
          </w:p>
        </w:tc>
        <w:tc>
          <w:tcPr>
            <w:tcW w:w="2100" w:type="dxa"/>
            <w:gridSpan w:val="2"/>
            <w:tcBorders>
              <w:top w:val="nil"/>
              <w:left w:val="nil"/>
              <w:bottom w:val="nil"/>
              <w:right w:val="nil"/>
            </w:tcBorders>
            <w:tcMar>
              <w:left w:w="58" w:type="dxa"/>
              <w:right w:w="58" w:type="dxa"/>
            </w:tcMar>
            <w:vAlign w:val="bottom"/>
          </w:tcPr>
          <w:p w14:paraId="5871F4D7" w14:textId="77777777" w:rsidR="00F32A2A" w:rsidRPr="00F40A0B" w:rsidRDefault="00B44059" w:rsidP="00EA192D">
            <w:pPr>
              <w:pStyle w:val="-4"/>
              <w:pBdr>
                <w:bottom w:val="single" w:sz="4" w:space="1" w:color="auto"/>
              </w:pBdr>
              <w:spacing w:line="192" w:lineRule="auto"/>
              <w:rPr>
                <w:b w:val="0"/>
                <w:bCs w:val="0"/>
                <w:rtl/>
              </w:rPr>
            </w:pPr>
            <w:r w:rsidRPr="00345D83">
              <w:rPr>
                <w:rFonts w:hint="eastAsia"/>
                <w:rtl/>
              </w:rPr>
              <w:t>לשישה</w:t>
            </w:r>
            <w:r w:rsidRPr="00345D83">
              <w:rPr>
                <w:rtl/>
              </w:rPr>
              <w:t xml:space="preserve"> </w:t>
            </w:r>
            <w:r w:rsidRPr="004266AC">
              <w:rPr>
                <w:rFonts w:hint="eastAsia"/>
                <w:rtl/>
              </w:rPr>
              <w:t>חודשים</w:t>
            </w:r>
            <w:r w:rsidRPr="004266AC">
              <w:rPr>
                <w:rtl/>
              </w:rPr>
              <w:t xml:space="preserve"> </w:t>
            </w:r>
            <w:r w:rsidRPr="004266AC">
              <w:rPr>
                <w:rFonts w:hint="eastAsia"/>
                <w:rtl/>
              </w:rPr>
              <w:t>שהסתיימו</w:t>
            </w:r>
            <w:r w:rsidRPr="004266AC">
              <w:rPr>
                <w:rtl/>
              </w:rPr>
              <w:t xml:space="preserve"> </w:t>
            </w:r>
            <w:r w:rsidRPr="004266AC">
              <w:rPr>
                <w:rFonts w:hint="eastAsia"/>
                <w:rtl/>
              </w:rPr>
              <w:t>ביום</w:t>
            </w:r>
            <w:r w:rsidRPr="00F40A0B">
              <w:rPr>
                <w:b w:val="0"/>
                <w:bCs w:val="0"/>
                <w:rtl/>
              </w:rPr>
              <w:t xml:space="preserve"> </w:t>
            </w:r>
            <w:r w:rsidRPr="00F40A0B">
              <w:rPr>
                <w:rtl/>
              </w:rPr>
              <w:t xml:space="preserve">30 </w:t>
            </w:r>
            <w:r w:rsidRPr="00F40A0B">
              <w:rPr>
                <w:rFonts w:hint="eastAsia"/>
                <w:rtl/>
              </w:rPr>
              <w:t>ביוני</w:t>
            </w:r>
          </w:p>
        </w:tc>
      </w:tr>
      <w:tr w:rsidR="00D0470C" w:rsidRPr="00543C25" w14:paraId="13EBB0E2" w14:textId="77777777" w:rsidTr="00EC46DF">
        <w:trPr>
          <w:trHeight w:val="259"/>
        </w:trPr>
        <w:tc>
          <w:tcPr>
            <w:tcW w:w="1247" w:type="dxa"/>
            <w:tcBorders>
              <w:top w:val="nil"/>
              <w:left w:val="nil"/>
              <w:bottom w:val="nil"/>
              <w:right w:val="nil"/>
            </w:tcBorders>
          </w:tcPr>
          <w:p w14:paraId="4D676BE8" w14:textId="77777777" w:rsidR="00F32A2A" w:rsidRPr="00EA192D" w:rsidRDefault="00F32A2A">
            <w:pPr>
              <w:pStyle w:val="-0"/>
              <w:spacing w:line="240" w:lineRule="auto"/>
              <w:ind w:left="0" w:firstLine="0"/>
              <w:rPr>
                <w:b/>
                <w:bCs/>
                <w:i/>
                <w:iCs/>
                <w:color w:val="FF0000"/>
                <w:rtl/>
              </w:rPr>
            </w:pPr>
          </w:p>
        </w:tc>
        <w:tc>
          <w:tcPr>
            <w:tcW w:w="4601" w:type="dxa"/>
            <w:tcBorders>
              <w:top w:val="nil"/>
              <w:left w:val="nil"/>
              <w:bottom w:val="nil"/>
              <w:right w:val="nil"/>
            </w:tcBorders>
            <w:vAlign w:val="bottom"/>
          </w:tcPr>
          <w:p w14:paraId="13A391CE" w14:textId="77777777" w:rsidR="00F32A2A" w:rsidRPr="00561E19" w:rsidRDefault="00F32A2A" w:rsidP="00EA192D">
            <w:pPr>
              <w:pStyle w:val="-0"/>
              <w:spacing w:line="192" w:lineRule="auto"/>
              <w:rPr>
                <w:rtl/>
              </w:rPr>
            </w:pPr>
          </w:p>
        </w:tc>
        <w:tc>
          <w:tcPr>
            <w:tcW w:w="1022" w:type="dxa"/>
            <w:tcBorders>
              <w:top w:val="nil"/>
              <w:left w:val="nil"/>
              <w:bottom w:val="nil"/>
              <w:right w:val="nil"/>
            </w:tcBorders>
            <w:vAlign w:val="bottom"/>
          </w:tcPr>
          <w:p w14:paraId="051D3C3E" w14:textId="587E54DD" w:rsidR="00F32A2A" w:rsidRPr="008D7F4E" w:rsidRDefault="008D7F4E" w:rsidP="00EA192D">
            <w:pPr>
              <w:pStyle w:val="-4"/>
              <w:spacing w:line="192" w:lineRule="auto"/>
              <w:rPr>
                <w:rtl/>
              </w:rPr>
            </w:pPr>
            <w:r w:rsidRPr="008D7F4E">
              <w:rPr>
                <w:sz w:val="16"/>
                <w:szCs w:val="16"/>
                <w:rtl/>
              </w:rPr>
              <w:fldChar w:fldCharType="begin"/>
            </w:r>
            <w:r w:rsidRPr="008D7F4E">
              <w:rPr>
                <w:sz w:val="16"/>
                <w:szCs w:val="16"/>
                <w:rtl/>
              </w:rPr>
              <w:instrText xml:space="preserve"> </w:instrText>
            </w:r>
            <w:r w:rsidRPr="008D7F4E">
              <w:rPr>
                <w:rFonts w:hint="cs"/>
                <w:sz w:val="16"/>
                <w:szCs w:val="16"/>
                <w:rtl/>
              </w:rPr>
              <w:instrText xml:space="preserve">= </w:instrText>
            </w:r>
            <w:r w:rsidRPr="008D7F4E">
              <w:rPr>
                <w:rFonts w:hint="cs"/>
                <w:sz w:val="16"/>
                <w:szCs w:val="16"/>
              </w:rPr>
              <w:instrText>CY \* MERGEFORMAT</w:instrText>
            </w:r>
            <w:r w:rsidRPr="008D7F4E">
              <w:rPr>
                <w:sz w:val="16"/>
                <w:szCs w:val="16"/>
                <w:rtl/>
              </w:rPr>
              <w:instrText xml:space="preserve"> </w:instrText>
            </w:r>
            <w:r w:rsidRPr="008D7F4E">
              <w:rPr>
                <w:sz w:val="16"/>
                <w:szCs w:val="16"/>
                <w:rtl/>
              </w:rPr>
              <w:fldChar w:fldCharType="separate"/>
            </w:r>
            <w:r w:rsidR="003A584F" w:rsidRPr="003A584F">
              <w:rPr>
                <w:noProof/>
                <w:rtl/>
              </w:rPr>
              <w:t>2024</w:t>
            </w:r>
            <w:r w:rsidRPr="008D7F4E">
              <w:rPr>
                <w:sz w:val="16"/>
                <w:szCs w:val="16"/>
                <w:rtl/>
              </w:rPr>
              <w:fldChar w:fldCharType="end"/>
            </w:r>
          </w:p>
        </w:tc>
        <w:tc>
          <w:tcPr>
            <w:tcW w:w="1106" w:type="dxa"/>
            <w:tcBorders>
              <w:top w:val="nil"/>
              <w:left w:val="nil"/>
              <w:bottom w:val="nil"/>
              <w:right w:val="nil"/>
            </w:tcBorders>
            <w:vAlign w:val="bottom"/>
          </w:tcPr>
          <w:p w14:paraId="4D9CD709" w14:textId="394FC338" w:rsidR="00F32A2A" w:rsidRPr="008D7F4E" w:rsidRDefault="008D7F4E" w:rsidP="00EA192D">
            <w:pPr>
              <w:pStyle w:val="-4"/>
              <w:spacing w:line="192" w:lineRule="auto"/>
              <w:rPr>
                <w:rtl/>
              </w:rPr>
            </w:pPr>
            <w:r w:rsidRPr="008D7F4E">
              <w:rPr>
                <w:sz w:val="16"/>
                <w:szCs w:val="16"/>
                <w:rtl/>
              </w:rPr>
              <w:fldChar w:fldCharType="begin"/>
            </w:r>
            <w:r w:rsidRPr="008D7F4E">
              <w:rPr>
                <w:sz w:val="16"/>
                <w:szCs w:val="16"/>
                <w:rtl/>
              </w:rPr>
              <w:instrText xml:space="preserve"> </w:instrText>
            </w:r>
            <w:r w:rsidRPr="008D7F4E">
              <w:rPr>
                <w:rFonts w:hint="cs"/>
                <w:sz w:val="16"/>
                <w:szCs w:val="16"/>
                <w:rtl/>
              </w:rPr>
              <w:instrText xml:space="preserve">= </w:instrText>
            </w:r>
            <w:r w:rsidRPr="008D7F4E">
              <w:rPr>
                <w:rFonts w:hint="cs"/>
                <w:sz w:val="16"/>
                <w:szCs w:val="16"/>
              </w:rPr>
              <w:instrText>CY</w:instrText>
            </w:r>
            <w:r w:rsidRPr="008D7F4E">
              <w:rPr>
                <w:sz w:val="16"/>
                <w:szCs w:val="16"/>
              </w:rPr>
              <w:instrText>-1</w:instrText>
            </w:r>
            <w:r w:rsidRPr="008D7F4E">
              <w:rPr>
                <w:rFonts w:hint="cs"/>
                <w:sz w:val="16"/>
                <w:szCs w:val="16"/>
              </w:rPr>
              <w:instrText xml:space="preserve"> \* MERGEFORMAT</w:instrText>
            </w:r>
            <w:r w:rsidRPr="008D7F4E">
              <w:rPr>
                <w:sz w:val="16"/>
                <w:szCs w:val="16"/>
                <w:rtl/>
              </w:rPr>
              <w:instrText xml:space="preserve"> </w:instrText>
            </w:r>
            <w:r w:rsidRPr="008D7F4E">
              <w:rPr>
                <w:sz w:val="16"/>
                <w:szCs w:val="16"/>
                <w:rtl/>
              </w:rPr>
              <w:fldChar w:fldCharType="separate"/>
            </w:r>
            <w:r w:rsidR="003A584F" w:rsidRPr="003A584F">
              <w:rPr>
                <w:noProof/>
                <w:rtl/>
              </w:rPr>
              <w:t>2023</w:t>
            </w:r>
            <w:r w:rsidRPr="008D7F4E">
              <w:rPr>
                <w:sz w:val="16"/>
                <w:szCs w:val="16"/>
                <w:rtl/>
              </w:rPr>
              <w:fldChar w:fldCharType="end"/>
            </w:r>
          </w:p>
        </w:tc>
        <w:tc>
          <w:tcPr>
            <w:tcW w:w="1064" w:type="dxa"/>
            <w:tcBorders>
              <w:top w:val="nil"/>
              <w:left w:val="nil"/>
              <w:bottom w:val="nil"/>
              <w:right w:val="nil"/>
            </w:tcBorders>
            <w:vAlign w:val="bottom"/>
          </w:tcPr>
          <w:p w14:paraId="14F25D2C" w14:textId="783D6D37" w:rsidR="00F32A2A" w:rsidRPr="008D7F4E" w:rsidRDefault="008D7F4E" w:rsidP="00EA192D">
            <w:pPr>
              <w:pStyle w:val="-4"/>
              <w:spacing w:line="192" w:lineRule="auto"/>
              <w:ind w:right="-28"/>
            </w:pPr>
            <w:r w:rsidRPr="008D7F4E">
              <w:rPr>
                <w:sz w:val="16"/>
                <w:szCs w:val="16"/>
                <w:rtl/>
              </w:rPr>
              <w:fldChar w:fldCharType="begin"/>
            </w:r>
            <w:r w:rsidRPr="008D7F4E">
              <w:rPr>
                <w:sz w:val="16"/>
                <w:szCs w:val="16"/>
                <w:rtl/>
              </w:rPr>
              <w:instrText xml:space="preserve"> </w:instrText>
            </w:r>
            <w:r w:rsidRPr="008D7F4E">
              <w:rPr>
                <w:rFonts w:hint="cs"/>
                <w:sz w:val="16"/>
                <w:szCs w:val="16"/>
                <w:rtl/>
              </w:rPr>
              <w:instrText xml:space="preserve">= </w:instrText>
            </w:r>
            <w:r w:rsidRPr="008D7F4E">
              <w:rPr>
                <w:rFonts w:hint="cs"/>
                <w:sz w:val="16"/>
                <w:szCs w:val="16"/>
              </w:rPr>
              <w:instrText>CY \* MERGEFORMAT</w:instrText>
            </w:r>
            <w:r w:rsidRPr="008D7F4E">
              <w:rPr>
                <w:sz w:val="16"/>
                <w:szCs w:val="16"/>
                <w:rtl/>
              </w:rPr>
              <w:instrText xml:space="preserve"> </w:instrText>
            </w:r>
            <w:r w:rsidRPr="008D7F4E">
              <w:rPr>
                <w:sz w:val="16"/>
                <w:szCs w:val="16"/>
                <w:rtl/>
              </w:rPr>
              <w:fldChar w:fldCharType="separate"/>
            </w:r>
            <w:r w:rsidR="003A584F" w:rsidRPr="003A584F">
              <w:rPr>
                <w:noProof/>
                <w:rtl/>
              </w:rPr>
              <w:t>2024</w:t>
            </w:r>
            <w:r w:rsidRPr="008D7F4E">
              <w:rPr>
                <w:sz w:val="16"/>
                <w:szCs w:val="16"/>
                <w:rtl/>
              </w:rPr>
              <w:fldChar w:fldCharType="end"/>
            </w:r>
          </w:p>
        </w:tc>
        <w:tc>
          <w:tcPr>
            <w:tcW w:w="1036" w:type="dxa"/>
            <w:tcBorders>
              <w:top w:val="nil"/>
              <w:left w:val="nil"/>
              <w:bottom w:val="nil"/>
              <w:right w:val="nil"/>
            </w:tcBorders>
            <w:vAlign w:val="bottom"/>
          </w:tcPr>
          <w:p w14:paraId="30ED1FDA" w14:textId="2E53F095" w:rsidR="00F32A2A" w:rsidRPr="00345D83" w:rsidRDefault="008D7F4E" w:rsidP="00EA192D">
            <w:pPr>
              <w:pStyle w:val="-4"/>
              <w:spacing w:line="192" w:lineRule="auto"/>
              <w:ind w:right="-57"/>
              <w:rPr>
                <w:rtl/>
              </w:rPr>
            </w:pPr>
            <w:r w:rsidRPr="008D7F4E">
              <w:rPr>
                <w:sz w:val="16"/>
                <w:szCs w:val="16"/>
                <w:rtl/>
              </w:rPr>
              <w:fldChar w:fldCharType="begin"/>
            </w:r>
            <w:r w:rsidRPr="008D7F4E">
              <w:rPr>
                <w:sz w:val="16"/>
                <w:szCs w:val="16"/>
                <w:rtl/>
              </w:rPr>
              <w:instrText xml:space="preserve"> </w:instrText>
            </w:r>
            <w:r w:rsidRPr="008D7F4E">
              <w:rPr>
                <w:rFonts w:hint="cs"/>
                <w:sz w:val="16"/>
                <w:szCs w:val="16"/>
                <w:rtl/>
              </w:rPr>
              <w:instrText xml:space="preserve">= </w:instrText>
            </w:r>
            <w:r w:rsidRPr="008D7F4E">
              <w:rPr>
                <w:rFonts w:hint="cs"/>
                <w:sz w:val="16"/>
                <w:szCs w:val="16"/>
              </w:rPr>
              <w:instrText>CY</w:instrText>
            </w:r>
            <w:r w:rsidRPr="008D7F4E">
              <w:rPr>
                <w:sz w:val="16"/>
                <w:szCs w:val="16"/>
              </w:rPr>
              <w:instrText>-1</w:instrText>
            </w:r>
            <w:r w:rsidRPr="008D7F4E">
              <w:rPr>
                <w:rFonts w:hint="cs"/>
                <w:sz w:val="16"/>
                <w:szCs w:val="16"/>
              </w:rPr>
              <w:instrText xml:space="preserve"> \* MERGEFORMAT</w:instrText>
            </w:r>
            <w:r w:rsidRPr="008D7F4E">
              <w:rPr>
                <w:sz w:val="16"/>
                <w:szCs w:val="16"/>
                <w:rtl/>
              </w:rPr>
              <w:instrText xml:space="preserve"> </w:instrText>
            </w:r>
            <w:r w:rsidRPr="008D7F4E">
              <w:rPr>
                <w:sz w:val="16"/>
                <w:szCs w:val="16"/>
                <w:rtl/>
              </w:rPr>
              <w:fldChar w:fldCharType="separate"/>
            </w:r>
            <w:r w:rsidR="003A584F" w:rsidRPr="003A584F">
              <w:rPr>
                <w:noProof/>
                <w:rtl/>
              </w:rPr>
              <w:t>2023</w:t>
            </w:r>
            <w:r w:rsidRPr="008D7F4E">
              <w:rPr>
                <w:sz w:val="16"/>
                <w:szCs w:val="16"/>
                <w:rtl/>
              </w:rPr>
              <w:fldChar w:fldCharType="end"/>
            </w:r>
          </w:p>
        </w:tc>
      </w:tr>
      <w:tr w:rsidR="00D0470C" w:rsidRPr="00543C25" w14:paraId="5139FF3F" w14:textId="77777777" w:rsidTr="00EC46DF">
        <w:trPr>
          <w:trHeight w:val="259"/>
        </w:trPr>
        <w:tc>
          <w:tcPr>
            <w:tcW w:w="1247" w:type="dxa"/>
            <w:tcBorders>
              <w:top w:val="nil"/>
              <w:left w:val="nil"/>
              <w:bottom w:val="nil"/>
              <w:right w:val="nil"/>
            </w:tcBorders>
          </w:tcPr>
          <w:p w14:paraId="53ED9AE7" w14:textId="77777777" w:rsidR="00D0470C" w:rsidRPr="008849A2" w:rsidRDefault="00D0470C" w:rsidP="006F3019">
            <w:pPr>
              <w:pStyle w:val="-0"/>
              <w:spacing w:line="240" w:lineRule="auto"/>
              <w:ind w:left="0" w:right="-28" w:firstLine="0"/>
              <w:rPr>
                <w:sz w:val="14"/>
                <w:szCs w:val="14"/>
                <w:rtl/>
              </w:rPr>
            </w:pPr>
          </w:p>
        </w:tc>
        <w:tc>
          <w:tcPr>
            <w:tcW w:w="4601" w:type="dxa"/>
            <w:tcBorders>
              <w:top w:val="nil"/>
              <w:left w:val="nil"/>
              <w:bottom w:val="nil"/>
              <w:right w:val="nil"/>
            </w:tcBorders>
            <w:vAlign w:val="bottom"/>
          </w:tcPr>
          <w:p w14:paraId="5D5C70B9" w14:textId="77777777" w:rsidR="00D0470C" w:rsidRPr="00561E19" w:rsidRDefault="00D0470C" w:rsidP="00EA192D">
            <w:pPr>
              <w:pStyle w:val="-0"/>
              <w:spacing w:line="192" w:lineRule="auto"/>
              <w:rPr>
                <w:rtl/>
              </w:rPr>
            </w:pPr>
          </w:p>
        </w:tc>
        <w:tc>
          <w:tcPr>
            <w:tcW w:w="2128" w:type="dxa"/>
            <w:gridSpan w:val="2"/>
            <w:tcBorders>
              <w:top w:val="nil"/>
              <w:left w:val="nil"/>
              <w:bottom w:val="nil"/>
              <w:right w:val="nil"/>
            </w:tcBorders>
            <w:vAlign w:val="bottom"/>
          </w:tcPr>
          <w:p w14:paraId="3E5D5D1F" w14:textId="77777777" w:rsidR="00D0470C" w:rsidRPr="00561E19" w:rsidRDefault="00D0470C" w:rsidP="00EA192D">
            <w:pPr>
              <w:pStyle w:val="-4"/>
              <w:spacing w:line="192" w:lineRule="auto"/>
              <w:rPr>
                <w:rtl/>
              </w:rPr>
            </w:pPr>
            <w:r w:rsidRPr="00561E19">
              <w:rPr>
                <w:rFonts w:hint="cs"/>
                <w:rtl/>
              </w:rPr>
              <w:t>בלתי מבוקר</w:t>
            </w:r>
          </w:p>
        </w:tc>
        <w:tc>
          <w:tcPr>
            <w:tcW w:w="2100" w:type="dxa"/>
            <w:gridSpan w:val="2"/>
            <w:tcBorders>
              <w:top w:val="nil"/>
              <w:left w:val="nil"/>
              <w:bottom w:val="nil"/>
              <w:right w:val="nil"/>
            </w:tcBorders>
            <w:vAlign w:val="bottom"/>
          </w:tcPr>
          <w:p w14:paraId="1ECA4807" w14:textId="77777777" w:rsidR="00D0470C" w:rsidRPr="00345D83" w:rsidRDefault="00D0470C" w:rsidP="00EA192D">
            <w:pPr>
              <w:pStyle w:val="-4"/>
              <w:spacing w:line="192" w:lineRule="auto"/>
              <w:ind w:right="-57"/>
              <w:rPr>
                <w:rtl/>
              </w:rPr>
            </w:pPr>
            <w:r w:rsidRPr="00561E19">
              <w:rPr>
                <w:rFonts w:hint="cs"/>
                <w:rtl/>
              </w:rPr>
              <w:t>בלתי מבוקר</w:t>
            </w:r>
          </w:p>
        </w:tc>
      </w:tr>
      <w:tr w:rsidR="00D0470C" w:rsidRPr="00543C25" w14:paraId="16C526FB" w14:textId="77777777" w:rsidTr="00EC46DF">
        <w:trPr>
          <w:trHeight w:val="259"/>
        </w:trPr>
        <w:tc>
          <w:tcPr>
            <w:tcW w:w="1247" w:type="dxa"/>
            <w:tcBorders>
              <w:top w:val="nil"/>
              <w:left w:val="nil"/>
              <w:bottom w:val="nil"/>
              <w:right w:val="nil"/>
            </w:tcBorders>
          </w:tcPr>
          <w:p w14:paraId="3901F166" w14:textId="53655A06" w:rsidR="00D0470C" w:rsidRPr="008849A2" w:rsidRDefault="00D0470C" w:rsidP="00EF3E60">
            <w:pPr>
              <w:pStyle w:val="-0"/>
              <w:spacing w:before="60" w:line="240" w:lineRule="auto"/>
              <w:ind w:left="0" w:firstLine="0"/>
              <w:rPr>
                <w:sz w:val="14"/>
                <w:szCs w:val="14"/>
                <w:rtl/>
              </w:rPr>
            </w:pPr>
          </w:p>
        </w:tc>
        <w:tc>
          <w:tcPr>
            <w:tcW w:w="4601" w:type="dxa"/>
            <w:tcBorders>
              <w:top w:val="nil"/>
              <w:left w:val="nil"/>
              <w:bottom w:val="nil"/>
              <w:right w:val="nil"/>
            </w:tcBorders>
            <w:vAlign w:val="bottom"/>
          </w:tcPr>
          <w:p w14:paraId="1A96A3E8" w14:textId="77777777" w:rsidR="00D0470C" w:rsidRPr="00561E19" w:rsidRDefault="00D0470C" w:rsidP="000F5659">
            <w:pPr>
              <w:pStyle w:val="-0"/>
              <w:tabs>
                <w:tab w:val="left" w:pos="356"/>
              </w:tabs>
              <w:spacing w:line="240" w:lineRule="auto"/>
              <w:rPr>
                <w:b/>
                <w:bCs/>
                <w:rtl/>
              </w:rPr>
            </w:pPr>
            <w:r w:rsidRPr="00561E19">
              <w:rPr>
                <w:b/>
                <w:bCs/>
                <w:rtl/>
              </w:rPr>
              <w:t xml:space="preserve">1. </w:t>
            </w:r>
            <w:r w:rsidRPr="00561E19">
              <w:rPr>
                <w:b/>
                <w:bCs/>
                <w:rtl/>
              </w:rPr>
              <w:tab/>
            </w:r>
            <w:r w:rsidRPr="00561E19">
              <w:rPr>
                <w:rFonts w:hint="eastAsia"/>
                <w:b/>
                <w:bCs/>
                <w:rtl/>
              </w:rPr>
              <w:t>הכנסות</w:t>
            </w:r>
            <w:r w:rsidRPr="00561E19">
              <w:rPr>
                <w:b/>
                <w:bCs/>
                <w:rtl/>
              </w:rPr>
              <w:t xml:space="preserve"> </w:t>
            </w:r>
            <w:r w:rsidRPr="00561E19">
              <w:rPr>
                <w:rFonts w:hint="eastAsia"/>
                <w:b/>
                <w:bCs/>
                <w:rtl/>
              </w:rPr>
              <w:t>ריבית</w:t>
            </w:r>
            <w:r w:rsidRPr="00345D83">
              <w:rPr>
                <w:rFonts w:hint="cs"/>
                <w:b/>
                <w:bCs/>
                <w:rtl/>
              </w:rPr>
              <w:t>:</w:t>
            </w:r>
            <w:r w:rsidRPr="00345D83">
              <w:rPr>
                <w:b/>
                <w:bCs/>
                <w:vertAlign w:val="superscript"/>
                <w:rtl/>
              </w:rPr>
              <w:t>(א)</w:t>
            </w:r>
            <w:r w:rsidR="00D562D8" w:rsidRPr="00345D83">
              <w:rPr>
                <w:rFonts w:hint="cs"/>
                <w:b/>
                <w:bCs/>
                <w:vertAlign w:val="superscript"/>
                <w:rtl/>
              </w:rPr>
              <w:t>[</w:t>
            </w:r>
            <w:r w:rsidR="00F33831" w:rsidRPr="00561E19">
              <w:rPr>
                <w:rStyle w:val="a7"/>
                <w:b/>
                <w:bCs/>
                <w:rtl/>
              </w:rPr>
              <w:footnoteReference w:id="32"/>
            </w:r>
            <w:r w:rsidR="00D562D8" w:rsidRPr="00561E19">
              <w:rPr>
                <w:rFonts w:hint="cs"/>
                <w:b/>
                <w:bCs/>
                <w:vertAlign w:val="superscript"/>
                <w:rtl/>
              </w:rPr>
              <w:t>]</w:t>
            </w:r>
          </w:p>
        </w:tc>
        <w:tc>
          <w:tcPr>
            <w:tcW w:w="1022" w:type="dxa"/>
            <w:tcBorders>
              <w:top w:val="nil"/>
              <w:left w:val="nil"/>
              <w:bottom w:val="nil"/>
              <w:right w:val="nil"/>
            </w:tcBorders>
            <w:vAlign w:val="bottom"/>
          </w:tcPr>
          <w:p w14:paraId="201ACA8F" w14:textId="77777777" w:rsidR="00D0470C" w:rsidRPr="00561E19" w:rsidRDefault="00D0470C" w:rsidP="00EA192D">
            <w:pPr>
              <w:pStyle w:val="-0"/>
              <w:spacing w:line="192" w:lineRule="auto"/>
              <w:rPr>
                <w:rtl/>
              </w:rPr>
            </w:pPr>
          </w:p>
        </w:tc>
        <w:tc>
          <w:tcPr>
            <w:tcW w:w="1106" w:type="dxa"/>
            <w:tcBorders>
              <w:top w:val="nil"/>
              <w:left w:val="nil"/>
              <w:bottom w:val="nil"/>
              <w:right w:val="nil"/>
            </w:tcBorders>
            <w:vAlign w:val="bottom"/>
          </w:tcPr>
          <w:p w14:paraId="3ED98A2B" w14:textId="77777777" w:rsidR="00D0470C" w:rsidRPr="00561E19" w:rsidRDefault="00D0470C" w:rsidP="00EA192D">
            <w:pPr>
              <w:pStyle w:val="-0"/>
              <w:spacing w:line="192" w:lineRule="auto"/>
              <w:rPr>
                <w:rtl/>
              </w:rPr>
            </w:pPr>
          </w:p>
        </w:tc>
        <w:tc>
          <w:tcPr>
            <w:tcW w:w="1064" w:type="dxa"/>
            <w:tcBorders>
              <w:top w:val="nil"/>
              <w:left w:val="nil"/>
              <w:bottom w:val="nil"/>
              <w:right w:val="nil"/>
            </w:tcBorders>
            <w:vAlign w:val="bottom"/>
          </w:tcPr>
          <w:p w14:paraId="3A9672A1" w14:textId="77777777" w:rsidR="00D0470C" w:rsidRPr="00345D83" w:rsidRDefault="00D0470C" w:rsidP="00EA192D">
            <w:pPr>
              <w:pStyle w:val="-0"/>
              <w:spacing w:line="192" w:lineRule="auto"/>
              <w:rPr>
                <w:rtl/>
              </w:rPr>
            </w:pPr>
          </w:p>
        </w:tc>
        <w:tc>
          <w:tcPr>
            <w:tcW w:w="1036" w:type="dxa"/>
            <w:tcBorders>
              <w:top w:val="nil"/>
              <w:left w:val="nil"/>
              <w:bottom w:val="nil"/>
              <w:right w:val="nil"/>
            </w:tcBorders>
            <w:vAlign w:val="bottom"/>
          </w:tcPr>
          <w:p w14:paraId="38B8709E" w14:textId="77777777" w:rsidR="00D0470C" w:rsidRPr="00345D83" w:rsidRDefault="00D0470C" w:rsidP="00EA192D">
            <w:pPr>
              <w:pStyle w:val="-0"/>
              <w:spacing w:line="192" w:lineRule="auto"/>
              <w:rPr>
                <w:rtl/>
              </w:rPr>
            </w:pPr>
          </w:p>
        </w:tc>
      </w:tr>
      <w:tr w:rsidR="00D0470C" w:rsidRPr="00543C25" w14:paraId="33ECC807" w14:textId="77777777" w:rsidTr="00EC46DF">
        <w:trPr>
          <w:trHeight w:val="259"/>
        </w:trPr>
        <w:tc>
          <w:tcPr>
            <w:tcW w:w="1247" w:type="dxa"/>
            <w:tcBorders>
              <w:top w:val="nil"/>
              <w:left w:val="nil"/>
              <w:bottom w:val="nil"/>
              <w:right w:val="nil"/>
            </w:tcBorders>
          </w:tcPr>
          <w:p w14:paraId="24752CE6"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3E48327F" w14:textId="77777777" w:rsidR="00F32A2A" w:rsidRPr="00561E19" w:rsidRDefault="00D0470C" w:rsidP="000F5659">
            <w:pPr>
              <w:pStyle w:val="-0"/>
              <w:spacing w:line="192" w:lineRule="auto"/>
              <w:ind w:left="498"/>
              <w:rPr>
                <w:rtl/>
              </w:rPr>
            </w:pPr>
            <w:r w:rsidRPr="00561E19">
              <w:rPr>
                <w:rtl/>
              </w:rPr>
              <w:t>מאשראי לציבור</w:t>
            </w:r>
            <w:r w:rsidRPr="00561E19">
              <w:rPr>
                <w:rFonts w:hint="cs"/>
                <w:rtl/>
              </w:rPr>
              <w:t xml:space="preserve"> </w:t>
            </w:r>
          </w:p>
        </w:tc>
        <w:tc>
          <w:tcPr>
            <w:tcW w:w="1022" w:type="dxa"/>
            <w:tcBorders>
              <w:top w:val="nil"/>
              <w:left w:val="nil"/>
              <w:bottom w:val="nil"/>
              <w:right w:val="nil"/>
            </w:tcBorders>
            <w:vAlign w:val="bottom"/>
          </w:tcPr>
          <w:p w14:paraId="72C5FBCA" w14:textId="77777777" w:rsidR="00D0470C" w:rsidRPr="00345D83" w:rsidRDefault="00D0470C" w:rsidP="00EA192D">
            <w:pPr>
              <w:pStyle w:val="-0"/>
              <w:spacing w:line="192" w:lineRule="auto"/>
              <w:rPr>
                <w:rtl/>
              </w:rPr>
            </w:pPr>
            <w:r w:rsidRPr="00561E19">
              <w:rPr>
                <w:rFonts w:hint="cs"/>
                <w:rtl/>
              </w:rPr>
              <w:t>0</w:t>
            </w:r>
          </w:p>
        </w:tc>
        <w:tc>
          <w:tcPr>
            <w:tcW w:w="1106" w:type="dxa"/>
            <w:tcBorders>
              <w:top w:val="nil"/>
              <w:left w:val="nil"/>
              <w:bottom w:val="nil"/>
              <w:right w:val="nil"/>
            </w:tcBorders>
            <w:vAlign w:val="bottom"/>
          </w:tcPr>
          <w:p w14:paraId="3059636E" w14:textId="77777777" w:rsidR="00D0470C" w:rsidRPr="00345D83" w:rsidRDefault="00D0470C" w:rsidP="00EA192D">
            <w:pPr>
              <w:pStyle w:val="-0"/>
              <w:spacing w:line="192" w:lineRule="auto"/>
              <w:rPr>
                <w:rtl/>
              </w:rPr>
            </w:pPr>
            <w:r w:rsidRPr="00345D83">
              <w:rPr>
                <w:rFonts w:hint="cs"/>
                <w:rtl/>
              </w:rPr>
              <w:t>0</w:t>
            </w:r>
          </w:p>
        </w:tc>
        <w:tc>
          <w:tcPr>
            <w:tcW w:w="1064" w:type="dxa"/>
            <w:tcBorders>
              <w:top w:val="nil"/>
              <w:left w:val="nil"/>
              <w:bottom w:val="nil"/>
              <w:right w:val="nil"/>
            </w:tcBorders>
            <w:vAlign w:val="bottom"/>
          </w:tcPr>
          <w:p w14:paraId="70482DED"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1C16DB6E" w14:textId="77777777" w:rsidR="00D0470C" w:rsidRPr="00345D83" w:rsidRDefault="00D0470C" w:rsidP="00EA192D">
            <w:pPr>
              <w:pStyle w:val="-0"/>
              <w:spacing w:line="192" w:lineRule="auto"/>
              <w:rPr>
                <w:rtl/>
              </w:rPr>
            </w:pPr>
            <w:r w:rsidRPr="00345D83">
              <w:rPr>
                <w:rFonts w:hint="cs"/>
                <w:rtl/>
              </w:rPr>
              <w:t>0</w:t>
            </w:r>
          </w:p>
        </w:tc>
      </w:tr>
      <w:tr w:rsidR="00D0470C" w:rsidRPr="00543C25" w14:paraId="5AF6D2C0" w14:textId="77777777" w:rsidTr="00EC46DF">
        <w:trPr>
          <w:trHeight w:val="259"/>
        </w:trPr>
        <w:tc>
          <w:tcPr>
            <w:tcW w:w="1247" w:type="dxa"/>
            <w:tcBorders>
              <w:top w:val="nil"/>
              <w:left w:val="nil"/>
              <w:bottom w:val="nil"/>
              <w:right w:val="nil"/>
            </w:tcBorders>
          </w:tcPr>
          <w:p w14:paraId="1DC28FCF"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4C13B4D1" w14:textId="77777777" w:rsidR="00D0470C" w:rsidRPr="00561E19" w:rsidRDefault="00D0470C" w:rsidP="000F5659">
            <w:pPr>
              <w:pStyle w:val="-0"/>
              <w:spacing w:line="192" w:lineRule="auto"/>
              <w:ind w:left="498"/>
              <w:rPr>
                <w:rtl/>
              </w:rPr>
            </w:pPr>
            <w:r w:rsidRPr="00561E19">
              <w:rPr>
                <w:rtl/>
              </w:rPr>
              <w:t>מאשראי לממשלה</w:t>
            </w:r>
          </w:p>
        </w:tc>
        <w:tc>
          <w:tcPr>
            <w:tcW w:w="1022" w:type="dxa"/>
            <w:tcBorders>
              <w:top w:val="nil"/>
              <w:left w:val="nil"/>
              <w:bottom w:val="nil"/>
              <w:right w:val="nil"/>
            </w:tcBorders>
            <w:vAlign w:val="bottom"/>
          </w:tcPr>
          <w:p w14:paraId="2B0C8DBE" w14:textId="77777777" w:rsidR="00D0470C" w:rsidRPr="00561E19" w:rsidRDefault="00D0470C" w:rsidP="00EA192D">
            <w:pPr>
              <w:pStyle w:val="-0"/>
              <w:spacing w:line="192" w:lineRule="auto"/>
              <w:rPr>
                <w:rtl/>
              </w:rPr>
            </w:pPr>
            <w:r w:rsidRPr="00561E19">
              <w:rPr>
                <w:rFonts w:hint="cs"/>
                <w:rtl/>
              </w:rPr>
              <w:t>0</w:t>
            </w:r>
          </w:p>
        </w:tc>
        <w:tc>
          <w:tcPr>
            <w:tcW w:w="1106" w:type="dxa"/>
            <w:tcBorders>
              <w:top w:val="nil"/>
              <w:left w:val="nil"/>
              <w:bottom w:val="nil"/>
              <w:right w:val="nil"/>
            </w:tcBorders>
            <w:vAlign w:val="bottom"/>
          </w:tcPr>
          <w:p w14:paraId="1BA6875F" w14:textId="77777777" w:rsidR="00D0470C" w:rsidRPr="00345D83" w:rsidRDefault="00D0470C" w:rsidP="00EA192D">
            <w:pPr>
              <w:pStyle w:val="-0"/>
              <w:spacing w:line="192" w:lineRule="auto"/>
              <w:rPr>
                <w:rtl/>
              </w:rPr>
            </w:pPr>
            <w:r w:rsidRPr="00561E19">
              <w:rPr>
                <w:rFonts w:hint="cs"/>
                <w:rtl/>
              </w:rPr>
              <w:t>0</w:t>
            </w:r>
          </w:p>
        </w:tc>
        <w:tc>
          <w:tcPr>
            <w:tcW w:w="1064" w:type="dxa"/>
            <w:tcBorders>
              <w:top w:val="nil"/>
              <w:left w:val="nil"/>
              <w:bottom w:val="nil"/>
              <w:right w:val="nil"/>
            </w:tcBorders>
            <w:vAlign w:val="bottom"/>
          </w:tcPr>
          <w:p w14:paraId="5EA3F6B7"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533CB4F4" w14:textId="77777777" w:rsidR="00D0470C" w:rsidRPr="00345D83" w:rsidRDefault="00D0470C" w:rsidP="00EA192D">
            <w:pPr>
              <w:pStyle w:val="-0"/>
              <w:spacing w:line="192" w:lineRule="auto"/>
              <w:rPr>
                <w:rtl/>
              </w:rPr>
            </w:pPr>
            <w:r w:rsidRPr="00345D83">
              <w:rPr>
                <w:rFonts w:hint="cs"/>
                <w:rtl/>
              </w:rPr>
              <w:t>0</w:t>
            </w:r>
          </w:p>
        </w:tc>
      </w:tr>
      <w:tr w:rsidR="00D0470C" w:rsidRPr="00543C25" w14:paraId="2430E351" w14:textId="77777777" w:rsidTr="00EC46DF">
        <w:trPr>
          <w:trHeight w:val="259"/>
        </w:trPr>
        <w:tc>
          <w:tcPr>
            <w:tcW w:w="1247" w:type="dxa"/>
            <w:tcBorders>
              <w:top w:val="nil"/>
              <w:left w:val="nil"/>
              <w:bottom w:val="nil"/>
              <w:right w:val="nil"/>
            </w:tcBorders>
          </w:tcPr>
          <w:p w14:paraId="49FFEEFC"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7A800E36" w14:textId="77777777" w:rsidR="00D0470C" w:rsidRPr="00561E19" w:rsidRDefault="00D0470C" w:rsidP="000F5659">
            <w:pPr>
              <w:pStyle w:val="-0"/>
              <w:spacing w:line="192" w:lineRule="auto"/>
              <w:ind w:left="498"/>
              <w:rPr>
                <w:rtl/>
              </w:rPr>
            </w:pPr>
            <w:r w:rsidRPr="00561E19">
              <w:rPr>
                <w:rtl/>
              </w:rPr>
              <w:t>מפ</w:t>
            </w:r>
            <w:r w:rsidRPr="00561E19">
              <w:rPr>
                <w:rFonts w:hint="cs"/>
                <w:rtl/>
              </w:rPr>
              <w:t>י</w:t>
            </w:r>
            <w:r w:rsidRPr="00561E19">
              <w:rPr>
                <w:rtl/>
              </w:rPr>
              <w:t>קדונות בבנק ישראל וממזומנים</w:t>
            </w:r>
          </w:p>
        </w:tc>
        <w:tc>
          <w:tcPr>
            <w:tcW w:w="1022" w:type="dxa"/>
            <w:tcBorders>
              <w:top w:val="nil"/>
              <w:left w:val="nil"/>
              <w:bottom w:val="nil"/>
              <w:right w:val="nil"/>
            </w:tcBorders>
            <w:vAlign w:val="bottom"/>
          </w:tcPr>
          <w:p w14:paraId="1DAE3790" w14:textId="77777777" w:rsidR="00D0470C" w:rsidRPr="00345D83" w:rsidRDefault="00D0470C" w:rsidP="00EA192D">
            <w:pPr>
              <w:pStyle w:val="-0"/>
              <w:spacing w:line="192" w:lineRule="auto"/>
              <w:rPr>
                <w:rtl/>
              </w:rPr>
            </w:pPr>
            <w:r w:rsidRPr="00561E19">
              <w:rPr>
                <w:rFonts w:hint="cs"/>
                <w:rtl/>
              </w:rPr>
              <w:t>0</w:t>
            </w:r>
          </w:p>
        </w:tc>
        <w:tc>
          <w:tcPr>
            <w:tcW w:w="1106" w:type="dxa"/>
            <w:tcBorders>
              <w:top w:val="nil"/>
              <w:left w:val="nil"/>
              <w:bottom w:val="nil"/>
              <w:right w:val="nil"/>
            </w:tcBorders>
            <w:vAlign w:val="bottom"/>
          </w:tcPr>
          <w:p w14:paraId="3F965239" w14:textId="77777777" w:rsidR="00D0470C" w:rsidRPr="00345D83" w:rsidRDefault="00D0470C" w:rsidP="00EA192D">
            <w:pPr>
              <w:pStyle w:val="-0"/>
              <w:spacing w:line="192" w:lineRule="auto"/>
              <w:rPr>
                <w:rtl/>
              </w:rPr>
            </w:pPr>
            <w:r w:rsidRPr="00345D83">
              <w:rPr>
                <w:rFonts w:hint="cs"/>
                <w:rtl/>
              </w:rPr>
              <w:t>0</w:t>
            </w:r>
          </w:p>
        </w:tc>
        <w:tc>
          <w:tcPr>
            <w:tcW w:w="1064" w:type="dxa"/>
            <w:tcBorders>
              <w:top w:val="nil"/>
              <w:left w:val="nil"/>
              <w:bottom w:val="nil"/>
              <w:right w:val="nil"/>
            </w:tcBorders>
            <w:vAlign w:val="bottom"/>
          </w:tcPr>
          <w:p w14:paraId="04DD366B"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357D54F4" w14:textId="77777777" w:rsidR="00D0470C" w:rsidRPr="00345D83" w:rsidRDefault="00D0470C" w:rsidP="00EA192D">
            <w:pPr>
              <w:pStyle w:val="-0"/>
              <w:spacing w:line="192" w:lineRule="auto"/>
              <w:rPr>
                <w:rtl/>
              </w:rPr>
            </w:pPr>
            <w:r w:rsidRPr="00345D83">
              <w:rPr>
                <w:rFonts w:hint="cs"/>
                <w:rtl/>
              </w:rPr>
              <w:t>0</w:t>
            </w:r>
          </w:p>
        </w:tc>
      </w:tr>
      <w:tr w:rsidR="00D0470C" w:rsidRPr="00543C25" w14:paraId="5DCF7E6A" w14:textId="77777777" w:rsidTr="00EC46DF">
        <w:trPr>
          <w:trHeight w:val="259"/>
        </w:trPr>
        <w:tc>
          <w:tcPr>
            <w:tcW w:w="1247" w:type="dxa"/>
            <w:tcBorders>
              <w:top w:val="nil"/>
              <w:left w:val="nil"/>
              <w:bottom w:val="nil"/>
              <w:right w:val="nil"/>
            </w:tcBorders>
          </w:tcPr>
          <w:p w14:paraId="028D69A1"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0619F8BE" w14:textId="77777777" w:rsidR="00D0470C" w:rsidRPr="00561E19" w:rsidRDefault="00D0470C" w:rsidP="000F5659">
            <w:pPr>
              <w:pStyle w:val="-0"/>
              <w:spacing w:line="192" w:lineRule="auto"/>
              <w:ind w:left="498"/>
              <w:rPr>
                <w:rtl/>
              </w:rPr>
            </w:pPr>
            <w:r w:rsidRPr="00561E19">
              <w:rPr>
                <w:rtl/>
              </w:rPr>
              <w:t>מפ</w:t>
            </w:r>
            <w:r w:rsidRPr="00561E19">
              <w:rPr>
                <w:rFonts w:hint="cs"/>
                <w:rtl/>
              </w:rPr>
              <w:t>י</w:t>
            </w:r>
            <w:r w:rsidRPr="00561E19">
              <w:rPr>
                <w:rtl/>
              </w:rPr>
              <w:t>קדונות בבנקים</w:t>
            </w:r>
          </w:p>
        </w:tc>
        <w:tc>
          <w:tcPr>
            <w:tcW w:w="1022" w:type="dxa"/>
            <w:tcBorders>
              <w:top w:val="nil"/>
              <w:left w:val="nil"/>
              <w:bottom w:val="nil"/>
              <w:right w:val="nil"/>
            </w:tcBorders>
            <w:vAlign w:val="bottom"/>
          </w:tcPr>
          <w:p w14:paraId="2D684DCB" w14:textId="77777777" w:rsidR="00D0470C" w:rsidRPr="00345D83" w:rsidRDefault="00D0470C" w:rsidP="00EA192D">
            <w:pPr>
              <w:pStyle w:val="-0"/>
              <w:spacing w:line="192" w:lineRule="auto"/>
              <w:rPr>
                <w:rtl/>
              </w:rPr>
            </w:pPr>
            <w:r w:rsidRPr="00561E19">
              <w:rPr>
                <w:rFonts w:hint="cs"/>
                <w:rtl/>
              </w:rPr>
              <w:t>0</w:t>
            </w:r>
          </w:p>
        </w:tc>
        <w:tc>
          <w:tcPr>
            <w:tcW w:w="1106" w:type="dxa"/>
            <w:tcBorders>
              <w:top w:val="nil"/>
              <w:left w:val="nil"/>
              <w:bottom w:val="nil"/>
              <w:right w:val="nil"/>
            </w:tcBorders>
            <w:vAlign w:val="bottom"/>
          </w:tcPr>
          <w:p w14:paraId="157D3B22" w14:textId="77777777" w:rsidR="00D0470C" w:rsidRPr="00345D83" w:rsidRDefault="00D0470C" w:rsidP="00EA192D">
            <w:pPr>
              <w:pStyle w:val="-0"/>
              <w:spacing w:line="192" w:lineRule="auto"/>
              <w:rPr>
                <w:rtl/>
              </w:rPr>
            </w:pPr>
            <w:r w:rsidRPr="00345D83">
              <w:rPr>
                <w:rFonts w:hint="cs"/>
                <w:rtl/>
              </w:rPr>
              <w:t>0</w:t>
            </w:r>
          </w:p>
        </w:tc>
        <w:tc>
          <w:tcPr>
            <w:tcW w:w="1064" w:type="dxa"/>
            <w:tcBorders>
              <w:top w:val="nil"/>
              <w:left w:val="nil"/>
              <w:bottom w:val="nil"/>
              <w:right w:val="nil"/>
            </w:tcBorders>
            <w:vAlign w:val="bottom"/>
          </w:tcPr>
          <w:p w14:paraId="00523C25"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6DD9F66C" w14:textId="77777777" w:rsidR="00D0470C" w:rsidRPr="00345D83" w:rsidRDefault="00D0470C" w:rsidP="00EA192D">
            <w:pPr>
              <w:pStyle w:val="-0"/>
              <w:spacing w:line="192" w:lineRule="auto"/>
              <w:rPr>
                <w:rtl/>
              </w:rPr>
            </w:pPr>
            <w:r w:rsidRPr="00345D83">
              <w:rPr>
                <w:rFonts w:hint="cs"/>
                <w:rtl/>
              </w:rPr>
              <w:t>0</w:t>
            </w:r>
          </w:p>
        </w:tc>
      </w:tr>
      <w:tr w:rsidR="00D0470C" w:rsidRPr="00543C25" w14:paraId="3F04A667" w14:textId="77777777" w:rsidTr="00EC46DF">
        <w:trPr>
          <w:trHeight w:val="259"/>
        </w:trPr>
        <w:tc>
          <w:tcPr>
            <w:tcW w:w="1247" w:type="dxa"/>
            <w:tcBorders>
              <w:top w:val="nil"/>
              <w:left w:val="nil"/>
              <w:bottom w:val="nil"/>
              <w:right w:val="nil"/>
            </w:tcBorders>
          </w:tcPr>
          <w:p w14:paraId="7C318BC9"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13CC91B6" w14:textId="77777777" w:rsidR="00D0470C" w:rsidRPr="00561E19" w:rsidRDefault="00D0470C" w:rsidP="000F5659">
            <w:pPr>
              <w:pStyle w:val="-21"/>
              <w:spacing w:line="192" w:lineRule="auto"/>
              <w:ind w:left="498"/>
              <w:rPr>
                <w:rtl/>
              </w:rPr>
            </w:pPr>
            <w:r w:rsidRPr="00561E19">
              <w:rPr>
                <w:rFonts w:hint="cs"/>
                <w:rtl/>
              </w:rPr>
              <w:t>מניירות ערך שנשאלו או נרכשו במסגרת הסכמי מכר חוזר</w:t>
            </w:r>
          </w:p>
        </w:tc>
        <w:tc>
          <w:tcPr>
            <w:tcW w:w="1022" w:type="dxa"/>
            <w:tcBorders>
              <w:top w:val="nil"/>
              <w:left w:val="nil"/>
              <w:bottom w:val="nil"/>
              <w:right w:val="nil"/>
            </w:tcBorders>
            <w:vAlign w:val="bottom"/>
          </w:tcPr>
          <w:p w14:paraId="29FEB7FA" w14:textId="77777777" w:rsidR="00D0470C" w:rsidRPr="00561E19" w:rsidRDefault="00D0470C" w:rsidP="00EA192D">
            <w:pPr>
              <w:pStyle w:val="-0"/>
              <w:spacing w:line="192" w:lineRule="auto"/>
              <w:rPr>
                <w:rtl/>
              </w:rPr>
            </w:pPr>
            <w:r w:rsidRPr="00561E19">
              <w:rPr>
                <w:rFonts w:hint="cs"/>
                <w:rtl/>
              </w:rPr>
              <w:t>0</w:t>
            </w:r>
          </w:p>
        </w:tc>
        <w:tc>
          <w:tcPr>
            <w:tcW w:w="1106" w:type="dxa"/>
            <w:tcBorders>
              <w:top w:val="nil"/>
              <w:left w:val="nil"/>
              <w:bottom w:val="nil"/>
              <w:right w:val="nil"/>
            </w:tcBorders>
            <w:vAlign w:val="bottom"/>
          </w:tcPr>
          <w:p w14:paraId="2BE4C8E3" w14:textId="77777777" w:rsidR="00D0470C" w:rsidRPr="00345D83" w:rsidRDefault="00D0470C" w:rsidP="00EA192D">
            <w:pPr>
              <w:pStyle w:val="-0"/>
              <w:spacing w:line="192" w:lineRule="auto"/>
              <w:rPr>
                <w:rtl/>
              </w:rPr>
            </w:pPr>
            <w:r w:rsidRPr="00345D83">
              <w:rPr>
                <w:rFonts w:hint="cs"/>
                <w:rtl/>
              </w:rPr>
              <w:t>0</w:t>
            </w:r>
          </w:p>
        </w:tc>
        <w:tc>
          <w:tcPr>
            <w:tcW w:w="1064" w:type="dxa"/>
            <w:tcBorders>
              <w:top w:val="nil"/>
              <w:left w:val="nil"/>
              <w:bottom w:val="nil"/>
              <w:right w:val="nil"/>
            </w:tcBorders>
            <w:vAlign w:val="bottom"/>
          </w:tcPr>
          <w:p w14:paraId="02FB88DB"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06BDEB9D" w14:textId="77777777" w:rsidR="00D0470C" w:rsidRPr="00345D83" w:rsidRDefault="00D0470C" w:rsidP="00EA192D">
            <w:pPr>
              <w:pStyle w:val="-0"/>
              <w:spacing w:line="192" w:lineRule="auto"/>
              <w:rPr>
                <w:rtl/>
              </w:rPr>
            </w:pPr>
            <w:r w:rsidRPr="00345D83">
              <w:rPr>
                <w:rFonts w:hint="cs"/>
                <w:rtl/>
              </w:rPr>
              <w:t>0</w:t>
            </w:r>
          </w:p>
        </w:tc>
      </w:tr>
      <w:tr w:rsidR="00D0470C" w:rsidRPr="00543C25" w14:paraId="6B11DF3C" w14:textId="77777777" w:rsidTr="00EC46DF">
        <w:trPr>
          <w:trHeight w:val="259"/>
        </w:trPr>
        <w:tc>
          <w:tcPr>
            <w:tcW w:w="1247" w:type="dxa"/>
            <w:tcBorders>
              <w:top w:val="nil"/>
              <w:left w:val="nil"/>
              <w:bottom w:val="nil"/>
              <w:right w:val="nil"/>
            </w:tcBorders>
          </w:tcPr>
          <w:p w14:paraId="30708903"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68450D35" w14:textId="77777777" w:rsidR="00F32A2A" w:rsidRPr="00345D83" w:rsidRDefault="00D0470C" w:rsidP="000F5659">
            <w:pPr>
              <w:pStyle w:val="-0"/>
              <w:spacing w:line="192" w:lineRule="auto"/>
              <w:ind w:left="498"/>
              <w:rPr>
                <w:rtl/>
              </w:rPr>
            </w:pPr>
            <w:r w:rsidRPr="00561E19">
              <w:rPr>
                <w:rtl/>
              </w:rPr>
              <w:t>מ</w:t>
            </w:r>
            <w:r w:rsidR="00A674A4">
              <w:rPr>
                <w:rtl/>
              </w:rPr>
              <w:t>אגרות</w:t>
            </w:r>
            <w:r w:rsidRPr="00561E19">
              <w:rPr>
                <w:rtl/>
              </w:rPr>
              <w:t xml:space="preserve"> חוב</w:t>
            </w:r>
            <w:r w:rsidRPr="00561E19">
              <w:rPr>
                <w:rFonts w:hint="cs"/>
                <w:vertAlign w:val="superscript"/>
                <w:rtl/>
              </w:rPr>
              <w:t>(ב)</w:t>
            </w:r>
          </w:p>
        </w:tc>
        <w:tc>
          <w:tcPr>
            <w:tcW w:w="1022" w:type="dxa"/>
            <w:tcBorders>
              <w:top w:val="nil"/>
              <w:left w:val="nil"/>
              <w:bottom w:val="nil"/>
              <w:right w:val="nil"/>
            </w:tcBorders>
            <w:vAlign w:val="bottom"/>
          </w:tcPr>
          <w:p w14:paraId="3C189148" w14:textId="77777777" w:rsidR="00D0470C" w:rsidRPr="00345D83" w:rsidRDefault="00D0470C" w:rsidP="00EA192D">
            <w:pPr>
              <w:pStyle w:val="-0"/>
              <w:spacing w:line="192" w:lineRule="auto"/>
              <w:rPr>
                <w:rtl/>
              </w:rPr>
            </w:pPr>
            <w:r w:rsidRPr="00345D83">
              <w:rPr>
                <w:rFonts w:hint="cs"/>
                <w:rtl/>
              </w:rPr>
              <w:t>0</w:t>
            </w:r>
          </w:p>
        </w:tc>
        <w:tc>
          <w:tcPr>
            <w:tcW w:w="1106" w:type="dxa"/>
            <w:tcBorders>
              <w:top w:val="nil"/>
              <w:left w:val="nil"/>
              <w:bottom w:val="nil"/>
              <w:right w:val="nil"/>
            </w:tcBorders>
            <w:vAlign w:val="bottom"/>
          </w:tcPr>
          <w:p w14:paraId="158A47A2" w14:textId="77777777" w:rsidR="00D0470C" w:rsidRPr="00345D83" w:rsidRDefault="00D0470C" w:rsidP="00EA192D">
            <w:pPr>
              <w:pStyle w:val="-0"/>
              <w:spacing w:line="192" w:lineRule="auto"/>
              <w:rPr>
                <w:rtl/>
              </w:rPr>
            </w:pPr>
            <w:r w:rsidRPr="00345D83">
              <w:rPr>
                <w:rFonts w:hint="cs"/>
                <w:rtl/>
              </w:rPr>
              <w:t>0</w:t>
            </w:r>
          </w:p>
        </w:tc>
        <w:tc>
          <w:tcPr>
            <w:tcW w:w="1064" w:type="dxa"/>
            <w:tcBorders>
              <w:top w:val="nil"/>
              <w:left w:val="nil"/>
              <w:bottom w:val="nil"/>
              <w:right w:val="nil"/>
            </w:tcBorders>
            <w:vAlign w:val="bottom"/>
          </w:tcPr>
          <w:p w14:paraId="74EAC879"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6E19B3C1" w14:textId="77777777" w:rsidR="00D0470C" w:rsidRPr="00345D83" w:rsidRDefault="00D0470C" w:rsidP="00EA192D">
            <w:pPr>
              <w:pStyle w:val="-0"/>
              <w:spacing w:line="192" w:lineRule="auto"/>
              <w:rPr>
                <w:rtl/>
              </w:rPr>
            </w:pPr>
            <w:r w:rsidRPr="00345D83">
              <w:rPr>
                <w:rFonts w:hint="cs"/>
                <w:rtl/>
              </w:rPr>
              <w:t>0</w:t>
            </w:r>
          </w:p>
        </w:tc>
      </w:tr>
      <w:tr w:rsidR="00D0470C" w:rsidRPr="00543C25" w14:paraId="7D111DB7" w14:textId="77777777" w:rsidTr="00EC46DF">
        <w:trPr>
          <w:trHeight w:val="259"/>
        </w:trPr>
        <w:tc>
          <w:tcPr>
            <w:tcW w:w="1247" w:type="dxa"/>
            <w:tcBorders>
              <w:top w:val="nil"/>
              <w:left w:val="nil"/>
              <w:bottom w:val="nil"/>
              <w:right w:val="nil"/>
            </w:tcBorders>
          </w:tcPr>
          <w:p w14:paraId="27ADDED5"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544A69B8" w14:textId="77777777" w:rsidR="00D0470C" w:rsidRPr="00561E19" w:rsidRDefault="00D0470C" w:rsidP="000F5659">
            <w:pPr>
              <w:pStyle w:val="-0"/>
              <w:spacing w:line="192" w:lineRule="auto"/>
              <w:ind w:left="498"/>
              <w:rPr>
                <w:rtl/>
              </w:rPr>
            </w:pPr>
            <w:r w:rsidRPr="00561E19">
              <w:rPr>
                <w:rtl/>
              </w:rPr>
              <w:t>מנכסים אחרים</w:t>
            </w:r>
          </w:p>
        </w:tc>
        <w:tc>
          <w:tcPr>
            <w:tcW w:w="1022" w:type="dxa"/>
            <w:tcBorders>
              <w:top w:val="nil"/>
              <w:left w:val="nil"/>
              <w:bottom w:val="nil"/>
              <w:right w:val="nil"/>
            </w:tcBorders>
            <w:vAlign w:val="bottom"/>
          </w:tcPr>
          <w:p w14:paraId="45C6979A" w14:textId="77777777" w:rsidR="00D0470C" w:rsidRPr="00561E19" w:rsidRDefault="00D0470C" w:rsidP="00EA192D">
            <w:pPr>
              <w:pStyle w:val="-0"/>
              <w:pBdr>
                <w:bottom w:val="single" w:sz="4" w:space="1" w:color="auto"/>
              </w:pBdr>
              <w:spacing w:line="192" w:lineRule="auto"/>
              <w:rPr>
                <w:rtl/>
              </w:rPr>
            </w:pPr>
            <w:r w:rsidRPr="00561E19">
              <w:rPr>
                <w:rFonts w:hint="cs"/>
                <w:rtl/>
              </w:rPr>
              <w:t>0</w:t>
            </w:r>
          </w:p>
        </w:tc>
        <w:tc>
          <w:tcPr>
            <w:tcW w:w="1106" w:type="dxa"/>
            <w:tcBorders>
              <w:top w:val="nil"/>
              <w:left w:val="nil"/>
              <w:bottom w:val="nil"/>
              <w:right w:val="nil"/>
            </w:tcBorders>
            <w:vAlign w:val="bottom"/>
          </w:tcPr>
          <w:p w14:paraId="6EB2CE07" w14:textId="77777777" w:rsidR="00D0470C" w:rsidRPr="00345D83" w:rsidRDefault="00D0470C" w:rsidP="00EA192D">
            <w:pPr>
              <w:pStyle w:val="-0"/>
              <w:pBdr>
                <w:bottom w:val="single" w:sz="4" w:space="1" w:color="auto"/>
              </w:pBdr>
              <w:spacing w:line="192" w:lineRule="auto"/>
              <w:rPr>
                <w:rtl/>
              </w:rPr>
            </w:pPr>
            <w:r w:rsidRPr="00561E19">
              <w:rPr>
                <w:rFonts w:hint="cs"/>
                <w:rtl/>
              </w:rPr>
              <w:t>0</w:t>
            </w:r>
          </w:p>
        </w:tc>
        <w:tc>
          <w:tcPr>
            <w:tcW w:w="1064" w:type="dxa"/>
            <w:tcBorders>
              <w:top w:val="nil"/>
              <w:left w:val="nil"/>
              <w:bottom w:val="nil"/>
              <w:right w:val="nil"/>
            </w:tcBorders>
            <w:vAlign w:val="bottom"/>
          </w:tcPr>
          <w:p w14:paraId="5C96CFA3" w14:textId="77777777" w:rsidR="00D0470C" w:rsidRPr="00345D83" w:rsidRDefault="00D0470C" w:rsidP="00EA192D">
            <w:pPr>
              <w:pStyle w:val="-0"/>
              <w:pBdr>
                <w:bottom w:val="single" w:sz="4" w:space="1" w:color="auto"/>
              </w:pBdr>
              <w:spacing w:line="192" w:lineRule="auto"/>
              <w:rPr>
                <w:rtl/>
              </w:rPr>
            </w:pPr>
            <w:r w:rsidRPr="00345D83">
              <w:rPr>
                <w:rFonts w:hint="cs"/>
                <w:rtl/>
              </w:rPr>
              <w:t>0</w:t>
            </w:r>
          </w:p>
        </w:tc>
        <w:tc>
          <w:tcPr>
            <w:tcW w:w="1036" w:type="dxa"/>
            <w:tcBorders>
              <w:top w:val="nil"/>
              <w:left w:val="nil"/>
              <w:bottom w:val="nil"/>
              <w:right w:val="nil"/>
            </w:tcBorders>
            <w:vAlign w:val="bottom"/>
          </w:tcPr>
          <w:p w14:paraId="20A88C0A" w14:textId="77777777" w:rsidR="00D0470C" w:rsidRPr="00345D83" w:rsidRDefault="00D0470C" w:rsidP="00EA192D">
            <w:pPr>
              <w:pStyle w:val="-0"/>
              <w:pBdr>
                <w:bottom w:val="single" w:sz="4" w:space="1" w:color="auto"/>
              </w:pBdr>
              <w:spacing w:line="192" w:lineRule="auto"/>
              <w:rPr>
                <w:rtl/>
              </w:rPr>
            </w:pPr>
            <w:r w:rsidRPr="00345D83">
              <w:rPr>
                <w:rFonts w:hint="cs"/>
                <w:rtl/>
              </w:rPr>
              <w:t>0</w:t>
            </w:r>
          </w:p>
        </w:tc>
      </w:tr>
      <w:tr w:rsidR="00D0470C" w:rsidRPr="00543C25" w14:paraId="5F57099D" w14:textId="77777777" w:rsidTr="00EC46DF">
        <w:trPr>
          <w:trHeight w:val="259"/>
        </w:trPr>
        <w:tc>
          <w:tcPr>
            <w:tcW w:w="1247" w:type="dxa"/>
            <w:tcBorders>
              <w:top w:val="nil"/>
              <w:left w:val="nil"/>
              <w:bottom w:val="nil"/>
              <w:right w:val="nil"/>
            </w:tcBorders>
          </w:tcPr>
          <w:p w14:paraId="14ADFDA1"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71E7BE9C" w14:textId="77777777" w:rsidR="00D0470C" w:rsidRPr="00561E19" w:rsidRDefault="00D0470C" w:rsidP="00EA192D">
            <w:pPr>
              <w:pStyle w:val="-b"/>
              <w:spacing w:line="192" w:lineRule="auto"/>
              <w:ind w:left="590"/>
              <w:rPr>
                <w:rtl/>
              </w:rPr>
            </w:pPr>
            <w:r w:rsidRPr="00561E19">
              <w:rPr>
                <w:rFonts w:hint="cs"/>
                <w:rtl/>
              </w:rPr>
              <w:t>סך כל הכנסות הריבית</w:t>
            </w:r>
          </w:p>
        </w:tc>
        <w:tc>
          <w:tcPr>
            <w:tcW w:w="1022" w:type="dxa"/>
            <w:tcBorders>
              <w:top w:val="nil"/>
              <w:left w:val="nil"/>
              <w:bottom w:val="nil"/>
              <w:right w:val="nil"/>
            </w:tcBorders>
            <w:vAlign w:val="bottom"/>
          </w:tcPr>
          <w:p w14:paraId="62885E8E" w14:textId="77777777" w:rsidR="00F32A2A" w:rsidRPr="00561E19" w:rsidRDefault="00D0470C" w:rsidP="00EA192D">
            <w:pPr>
              <w:pStyle w:val="-0"/>
              <w:spacing w:line="192" w:lineRule="auto"/>
              <w:rPr>
                <w:b/>
                <w:bCs/>
                <w:rtl/>
              </w:rPr>
            </w:pPr>
            <w:r w:rsidRPr="00561E19">
              <w:rPr>
                <w:b/>
                <w:bCs/>
                <w:rtl/>
              </w:rPr>
              <w:t>0</w:t>
            </w:r>
          </w:p>
        </w:tc>
        <w:tc>
          <w:tcPr>
            <w:tcW w:w="1106" w:type="dxa"/>
            <w:tcBorders>
              <w:top w:val="nil"/>
              <w:left w:val="nil"/>
              <w:bottom w:val="nil"/>
              <w:right w:val="nil"/>
            </w:tcBorders>
            <w:vAlign w:val="bottom"/>
          </w:tcPr>
          <w:p w14:paraId="24A05F67" w14:textId="77777777" w:rsidR="00F32A2A" w:rsidRPr="00345D83" w:rsidRDefault="00D0470C" w:rsidP="00EA192D">
            <w:pPr>
              <w:pStyle w:val="-0"/>
              <w:spacing w:line="192" w:lineRule="auto"/>
              <w:rPr>
                <w:b/>
                <w:bCs/>
                <w:rtl/>
              </w:rPr>
            </w:pPr>
            <w:r w:rsidRPr="00345D83">
              <w:rPr>
                <w:b/>
                <w:bCs/>
                <w:rtl/>
              </w:rPr>
              <w:t>0</w:t>
            </w:r>
          </w:p>
        </w:tc>
        <w:tc>
          <w:tcPr>
            <w:tcW w:w="1064" w:type="dxa"/>
            <w:tcBorders>
              <w:top w:val="nil"/>
              <w:left w:val="nil"/>
              <w:bottom w:val="nil"/>
              <w:right w:val="nil"/>
            </w:tcBorders>
            <w:vAlign w:val="bottom"/>
          </w:tcPr>
          <w:p w14:paraId="3778C8E3" w14:textId="77777777" w:rsidR="00F32A2A" w:rsidRPr="00345D83" w:rsidRDefault="00D0470C" w:rsidP="00EA192D">
            <w:pPr>
              <w:pStyle w:val="-0"/>
              <w:spacing w:line="192" w:lineRule="auto"/>
              <w:rPr>
                <w:b/>
                <w:bCs/>
                <w:rtl/>
              </w:rPr>
            </w:pPr>
            <w:r w:rsidRPr="00345D83">
              <w:rPr>
                <w:b/>
                <w:bCs/>
                <w:rtl/>
              </w:rPr>
              <w:t>0</w:t>
            </w:r>
          </w:p>
        </w:tc>
        <w:tc>
          <w:tcPr>
            <w:tcW w:w="1036" w:type="dxa"/>
            <w:tcBorders>
              <w:top w:val="nil"/>
              <w:left w:val="nil"/>
              <w:bottom w:val="nil"/>
              <w:right w:val="nil"/>
            </w:tcBorders>
            <w:vAlign w:val="bottom"/>
          </w:tcPr>
          <w:p w14:paraId="2FBF7778" w14:textId="77777777" w:rsidR="00F32A2A" w:rsidRPr="00345D83" w:rsidRDefault="00D0470C" w:rsidP="00EA192D">
            <w:pPr>
              <w:pStyle w:val="-0"/>
              <w:spacing w:line="192" w:lineRule="auto"/>
              <w:rPr>
                <w:b/>
                <w:bCs/>
                <w:rtl/>
              </w:rPr>
            </w:pPr>
            <w:r w:rsidRPr="00345D83">
              <w:rPr>
                <w:b/>
                <w:bCs/>
                <w:rtl/>
              </w:rPr>
              <w:t>0</w:t>
            </w:r>
          </w:p>
        </w:tc>
      </w:tr>
      <w:tr w:rsidR="00D0470C" w:rsidRPr="00543C25" w14:paraId="5A144F82" w14:textId="77777777" w:rsidTr="00EC46DF">
        <w:trPr>
          <w:trHeight w:hRule="exact" w:val="66"/>
        </w:trPr>
        <w:tc>
          <w:tcPr>
            <w:tcW w:w="1247" w:type="dxa"/>
            <w:tcBorders>
              <w:top w:val="nil"/>
              <w:left w:val="nil"/>
              <w:bottom w:val="nil"/>
              <w:right w:val="nil"/>
            </w:tcBorders>
          </w:tcPr>
          <w:p w14:paraId="2918AFC4" w14:textId="77777777" w:rsidR="00D0470C" w:rsidRPr="008849A2" w:rsidRDefault="00D0470C" w:rsidP="006F3019">
            <w:pPr>
              <w:pStyle w:val="-0"/>
              <w:bidi w:val="0"/>
              <w:spacing w:line="60" w:lineRule="exact"/>
              <w:ind w:left="0" w:firstLine="0"/>
              <w:jc w:val="both"/>
              <w:rPr>
                <w:sz w:val="14"/>
                <w:szCs w:val="14"/>
                <w:rtl/>
              </w:rPr>
            </w:pPr>
          </w:p>
        </w:tc>
        <w:tc>
          <w:tcPr>
            <w:tcW w:w="4601" w:type="dxa"/>
            <w:tcBorders>
              <w:top w:val="nil"/>
              <w:left w:val="nil"/>
              <w:bottom w:val="nil"/>
              <w:right w:val="nil"/>
            </w:tcBorders>
            <w:vAlign w:val="bottom"/>
          </w:tcPr>
          <w:p w14:paraId="331BC2FA" w14:textId="77777777" w:rsidR="00D0470C" w:rsidRPr="00561E19" w:rsidRDefault="00D0470C" w:rsidP="00EA192D">
            <w:pPr>
              <w:pStyle w:val="-0"/>
              <w:bidi w:val="0"/>
              <w:spacing w:line="192" w:lineRule="auto"/>
              <w:ind w:left="590"/>
              <w:jc w:val="both"/>
              <w:rPr>
                <w:rtl/>
              </w:rPr>
            </w:pPr>
          </w:p>
        </w:tc>
        <w:tc>
          <w:tcPr>
            <w:tcW w:w="1022" w:type="dxa"/>
            <w:tcBorders>
              <w:top w:val="nil"/>
              <w:left w:val="nil"/>
              <w:bottom w:val="nil"/>
              <w:right w:val="nil"/>
            </w:tcBorders>
            <w:vAlign w:val="bottom"/>
          </w:tcPr>
          <w:p w14:paraId="4B13C351" w14:textId="77777777" w:rsidR="00D0470C" w:rsidRPr="00561E19" w:rsidRDefault="00D0470C" w:rsidP="00EA192D">
            <w:pPr>
              <w:pStyle w:val="-0"/>
              <w:bidi w:val="0"/>
              <w:spacing w:line="192" w:lineRule="auto"/>
              <w:jc w:val="both"/>
              <w:rPr>
                <w:rtl/>
              </w:rPr>
            </w:pPr>
          </w:p>
        </w:tc>
        <w:tc>
          <w:tcPr>
            <w:tcW w:w="1106" w:type="dxa"/>
            <w:tcBorders>
              <w:top w:val="nil"/>
              <w:left w:val="nil"/>
              <w:bottom w:val="nil"/>
              <w:right w:val="nil"/>
            </w:tcBorders>
            <w:vAlign w:val="bottom"/>
          </w:tcPr>
          <w:p w14:paraId="5038D3BD" w14:textId="77777777" w:rsidR="00D0470C" w:rsidRPr="00561E19" w:rsidRDefault="00D0470C" w:rsidP="00EA192D">
            <w:pPr>
              <w:pStyle w:val="-0"/>
              <w:bidi w:val="0"/>
              <w:spacing w:line="192" w:lineRule="auto"/>
              <w:jc w:val="both"/>
              <w:rPr>
                <w:rtl/>
              </w:rPr>
            </w:pPr>
          </w:p>
        </w:tc>
        <w:tc>
          <w:tcPr>
            <w:tcW w:w="1064" w:type="dxa"/>
            <w:tcBorders>
              <w:top w:val="nil"/>
              <w:left w:val="nil"/>
              <w:bottom w:val="nil"/>
              <w:right w:val="nil"/>
            </w:tcBorders>
            <w:vAlign w:val="bottom"/>
          </w:tcPr>
          <w:p w14:paraId="2F1FE748" w14:textId="77777777" w:rsidR="00D0470C" w:rsidRPr="00561E19" w:rsidRDefault="00D0470C" w:rsidP="00EA192D">
            <w:pPr>
              <w:pStyle w:val="-0"/>
              <w:bidi w:val="0"/>
              <w:spacing w:line="192" w:lineRule="auto"/>
              <w:jc w:val="both"/>
              <w:rPr>
                <w:rtl/>
              </w:rPr>
            </w:pPr>
          </w:p>
        </w:tc>
        <w:tc>
          <w:tcPr>
            <w:tcW w:w="1036" w:type="dxa"/>
            <w:tcBorders>
              <w:top w:val="nil"/>
              <w:left w:val="nil"/>
              <w:bottom w:val="nil"/>
              <w:right w:val="nil"/>
            </w:tcBorders>
            <w:vAlign w:val="bottom"/>
          </w:tcPr>
          <w:p w14:paraId="75F88507" w14:textId="77777777" w:rsidR="00D0470C" w:rsidRPr="00345D83" w:rsidRDefault="00D0470C" w:rsidP="00EA192D">
            <w:pPr>
              <w:pStyle w:val="-0"/>
              <w:bidi w:val="0"/>
              <w:spacing w:line="192" w:lineRule="auto"/>
              <w:jc w:val="both"/>
              <w:rPr>
                <w:rtl/>
              </w:rPr>
            </w:pPr>
          </w:p>
        </w:tc>
      </w:tr>
      <w:tr w:rsidR="00D0470C" w:rsidRPr="00543C25" w14:paraId="45CE47C8" w14:textId="77777777" w:rsidTr="00EC46DF">
        <w:trPr>
          <w:trHeight w:val="259"/>
        </w:trPr>
        <w:tc>
          <w:tcPr>
            <w:tcW w:w="1247" w:type="dxa"/>
            <w:tcBorders>
              <w:top w:val="nil"/>
              <w:left w:val="nil"/>
              <w:bottom w:val="nil"/>
              <w:right w:val="nil"/>
            </w:tcBorders>
          </w:tcPr>
          <w:p w14:paraId="583B12B4" w14:textId="723B881F" w:rsidR="00D0470C" w:rsidRPr="008849A2" w:rsidRDefault="00D0470C" w:rsidP="00EF3E60">
            <w:pPr>
              <w:pStyle w:val="-0"/>
              <w:ind w:left="0" w:firstLine="0"/>
              <w:rPr>
                <w:sz w:val="14"/>
                <w:szCs w:val="14"/>
                <w:rtl/>
              </w:rPr>
            </w:pPr>
          </w:p>
        </w:tc>
        <w:tc>
          <w:tcPr>
            <w:tcW w:w="4601" w:type="dxa"/>
            <w:tcBorders>
              <w:top w:val="nil"/>
              <w:left w:val="nil"/>
              <w:bottom w:val="nil"/>
              <w:right w:val="nil"/>
            </w:tcBorders>
            <w:vAlign w:val="bottom"/>
          </w:tcPr>
          <w:p w14:paraId="6D49737B" w14:textId="3671B15F" w:rsidR="00D0470C" w:rsidRPr="00345D83" w:rsidRDefault="00D0470C" w:rsidP="000F5659">
            <w:pPr>
              <w:pStyle w:val="-0"/>
              <w:tabs>
                <w:tab w:val="left" w:pos="356"/>
              </w:tabs>
              <w:spacing w:line="240" w:lineRule="auto"/>
              <w:rPr>
                <w:b/>
                <w:bCs/>
                <w:rtl/>
              </w:rPr>
            </w:pPr>
            <w:r w:rsidRPr="00561E19">
              <w:rPr>
                <w:b/>
                <w:bCs/>
                <w:rtl/>
              </w:rPr>
              <w:t xml:space="preserve">2. </w:t>
            </w:r>
            <w:r w:rsidRPr="00561E19">
              <w:rPr>
                <w:b/>
                <w:bCs/>
                <w:rtl/>
              </w:rPr>
              <w:tab/>
            </w:r>
            <w:r w:rsidRPr="00561E19">
              <w:rPr>
                <w:rFonts w:hint="eastAsia"/>
                <w:b/>
                <w:bCs/>
                <w:rtl/>
              </w:rPr>
              <w:t>הוצאות</w:t>
            </w:r>
            <w:r w:rsidRPr="00561E19">
              <w:rPr>
                <w:b/>
                <w:bCs/>
                <w:rtl/>
              </w:rPr>
              <w:t xml:space="preserve"> </w:t>
            </w:r>
            <w:r w:rsidRPr="00561E19">
              <w:rPr>
                <w:rFonts w:hint="eastAsia"/>
                <w:b/>
                <w:bCs/>
                <w:rtl/>
              </w:rPr>
              <w:t>ריבית</w:t>
            </w:r>
            <w:r w:rsidRPr="00345D83">
              <w:rPr>
                <w:rFonts w:hint="cs"/>
                <w:b/>
                <w:bCs/>
                <w:rtl/>
              </w:rPr>
              <w:t>:</w:t>
            </w:r>
            <w:r w:rsidRPr="00345D83">
              <w:rPr>
                <w:b/>
                <w:bCs/>
                <w:vertAlign w:val="superscript"/>
                <w:rtl/>
              </w:rPr>
              <w:t>(א)</w:t>
            </w:r>
            <w:r w:rsidR="007C7AF5" w:rsidRPr="00345D83">
              <w:rPr>
                <w:rFonts w:hint="cs"/>
                <w:b/>
                <w:bCs/>
                <w:vertAlign w:val="superscript"/>
                <w:rtl/>
              </w:rPr>
              <w:t>[</w:t>
            </w:r>
            <w:r w:rsidR="00D6656C">
              <w:rPr>
                <w:rFonts w:hint="cs"/>
                <w:b/>
                <w:bCs/>
                <w:vertAlign w:val="superscript"/>
                <w:rtl/>
              </w:rPr>
              <w:t>2</w:t>
            </w:r>
            <w:r w:rsidR="007C7AF5" w:rsidRPr="00345D83">
              <w:rPr>
                <w:rFonts w:hint="cs"/>
                <w:b/>
                <w:bCs/>
                <w:vertAlign w:val="superscript"/>
                <w:rtl/>
              </w:rPr>
              <w:t>]</w:t>
            </w:r>
          </w:p>
        </w:tc>
        <w:tc>
          <w:tcPr>
            <w:tcW w:w="1022" w:type="dxa"/>
            <w:tcBorders>
              <w:top w:val="nil"/>
              <w:left w:val="nil"/>
              <w:bottom w:val="nil"/>
              <w:right w:val="nil"/>
            </w:tcBorders>
            <w:vAlign w:val="bottom"/>
          </w:tcPr>
          <w:p w14:paraId="35E02BB2" w14:textId="77777777" w:rsidR="00D0470C" w:rsidRPr="00345D83" w:rsidRDefault="00D0470C" w:rsidP="00EA192D">
            <w:pPr>
              <w:pStyle w:val="-0"/>
              <w:spacing w:line="192" w:lineRule="auto"/>
              <w:rPr>
                <w:rtl/>
              </w:rPr>
            </w:pPr>
          </w:p>
        </w:tc>
        <w:tc>
          <w:tcPr>
            <w:tcW w:w="1106" w:type="dxa"/>
            <w:tcBorders>
              <w:top w:val="nil"/>
              <w:left w:val="nil"/>
              <w:bottom w:val="nil"/>
              <w:right w:val="nil"/>
            </w:tcBorders>
            <w:vAlign w:val="bottom"/>
          </w:tcPr>
          <w:p w14:paraId="73F928CC" w14:textId="77777777" w:rsidR="00D0470C" w:rsidRPr="00345D83" w:rsidRDefault="00D0470C" w:rsidP="00EA192D">
            <w:pPr>
              <w:pStyle w:val="-0"/>
              <w:spacing w:line="192" w:lineRule="auto"/>
              <w:rPr>
                <w:rtl/>
              </w:rPr>
            </w:pPr>
          </w:p>
        </w:tc>
        <w:tc>
          <w:tcPr>
            <w:tcW w:w="1064" w:type="dxa"/>
            <w:tcBorders>
              <w:top w:val="nil"/>
              <w:left w:val="nil"/>
              <w:bottom w:val="nil"/>
              <w:right w:val="nil"/>
            </w:tcBorders>
            <w:vAlign w:val="bottom"/>
          </w:tcPr>
          <w:p w14:paraId="389F11D8" w14:textId="77777777" w:rsidR="00D0470C" w:rsidRPr="00345D83" w:rsidRDefault="00D0470C" w:rsidP="00EA192D">
            <w:pPr>
              <w:pStyle w:val="-0"/>
              <w:spacing w:line="192" w:lineRule="auto"/>
              <w:rPr>
                <w:rtl/>
              </w:rPr>
            </w:pPr>
          </w:p>
        </w:tc>
        <w:tc>
          <w:tcPr>
            <w:tcW w:w="1036" w:type="dxa"/>
            <w:tcBorders>
              <w:top w:val="nil"/>
              <w:left w:val="nil"/>
              <w:bottom w:val="nil"/>
              <w:right w:val="nil"/>
            </w:tcBorders>
            <w:vAlign w:val="bottom"/>
          </w:tcPr>
          <w:p w14:paraId="497C6F7F" w14:textId="77777777" w:rsidR="00D0470C" w:rsidRPr="00345D83" w:rsidRDefault="00D0470C" w:rsidP="00EA192D">
            <w:pPr>
              <w:pStyle w:val="-0"/>
              <w:spacing w:line="192" w:lineRule="auto"/>
              <w:rPr>
                <w:rtl/>
              </w:rPr>
            </w:pPr>
          </w:p>
        </w:tc>
      </w:tr>
      <w:tr w:rsidR="00D0470C" w:rsidRPr="00543C25" w14:paraId="5592379D" w14:textId="77777777" w:rsidTr="00EC46DF">
        <w:trPr>
          <w:trHeight w:val="259"/>
        </w:trPr>
        <w:tc>
          <w:tcPr>
            <w:tcW w:w="1247" w:type="dxa"/>
            <w:tcBorders>
              <w:top w:val="nil"/>
              <w:left w:val="nil"/>
              <w:bottom w:val="nil"/>
              <w:right w:val="nil"/>
            </w:tcBorders>
          </w:tcPr>
          <w:p w14:paraId="15A4AC09"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696889B8" w14:textId="77777777" w:rsidR="00D0470C" w:rsidRPr="00561E19" w:rsidRDefault="00D0470C" w:rsidP="000F5659">
            <w:pPr>
              <w:pStyle w:val="-0"/>
              <w:spacing w:line="192" w:lineRule="auto"/>
              <w:ind w:left="498"/>
              <w:rPr>
                <w:rtl/>
              </w:rPr>
            </w:pPr>
            <w:r w:rsidRPr="00561E19">
              <w:rPr>
                <w:rtl/>
              </w:rPr>
              <w:t>על פ</w:t>
            </w:r>
            <w:r w:rsidRPr="00561E19">
              <w:rPr>
                <w:rFonts w:hint="cs"/>
                <w:rtl/>
              </w:rPr>
              <w:t>י</w:t>
            </w:r>
            <w:r w:rsidRPr="00561E19">
              <w:rPr>
                <w:rtl/>
              </w:rPr>
              <w:t>קדונות הציבור</w:t>
            </w:r>
          </w:p>
        </w:tc>
        <w:tc>
          <w:tcPr>
            <w:tcW w:w="1022" w:type="dxa"/>
            <w:tcBorders>
              <w:top w:val="nil"/>
              <w:left w:val="nil"/>
              <w:bottom w:val="nil"/>
              <w:right w:val="nil"/>
            </w:tcBorders>
            <w:vAlign w:val="bottom"/>
          </w:tcPr>
          <w:p w14:paraId="6A783760" w14:textId="77777777" w:rsidR="00D0470C" w:rsidRPr="00345D83" w:rsidRDefault="00D0470C" w:rsidP="00EA192D">
            <w:pPr>
              <w:pStyle w:val="-0"/>
              <w:spacing w:line="192" w:lineRule="auto"/>
              <w:rPr>
                <w:rtl/>
              </w:rPr>
            </w:pPr>
            <w:r w:rsidRPr="00561E19">
              <w:rPr>
                <w:rFonts w:hint="cs"/>
                <w:rtl/>
              </w:rPr>
              <w:t>0</w:t>
            </w:r>
          </w:p>
        </w:tc>
        <w:tc>
          <w:tcPr>
            <w:tcW w:w="1106" w:type="dxa"/>
            <w:tcBorders>
              <w:top w:val="nil"/>
              <w:left w:val="nil"/>
              <w:bottom w:val="nil"/>
              <w:right w:val="nil"/>
            </w:tcBorders>
            <w:vAlign w:val="bottom"/>
          </w:tcPr>
          <w:p w14:paraId="20F14E6B" w14:textId="77777777" w:rsidR="00D0470C" w:rsidRPr="00345D83" w:rsidRDefault="00D0470C" w:rsidP="00EA192D">
            <w:pPr>
              <w:pStyle w:val="-0"/>
              <w:spacing w:line="192" w:lineRule="auto"/>
              <w:rPr>
                <w:rtl/>
              </w:rPr>
            </w:pPr>
            <w:r w:rsidRPr="00345D83">
              <w:rPr>
                <w:rFonts w:hint="cs"/>
                <w:rtl/>
              </w:rPr>
              <w:t>0</w:t>
            </w:r>
          </w:p>
        </w:tc>
        <w:tc>
          <w:tcPr>
            <w:tcW w:w="1064" w:type="dxa"/>
            <w:tcBorders>
              <w:top w:val="nil"/>
              <w:left w:val="nil"/>
              <w:bottom w:val="nil"/>
              <w:right w:val="nil"/>
            </w:tcBorders>
            <w:vAlign w:val="bottom"/>
          </w:tcPr>
          <w:p w14:paraId="645A31F7"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733BBB6D" w14:textId="77777777" w:rsidR="00D0470C" w:rsidRPr="00345D83" w:rsidRDefault="00D0470C" w:rsidP="00EA192D">
            <w:pPr>
              <w:pStyle w:val="-0"/>
              <w:spacing w:line="192" w:lineRule="auto"/>
              <w:rPr>
                <w:rtl/>
              </w:rPr>
            </w:pPr>
            <w:r w:rsidRPr="00345D83">
              <w:rPr>
                <w:rFonts w:hint="cs"/>
                <w:rtl/>
              </w:rPr>
              <w:t>0</w:t>
            </w:r>
          </w:p>
        </w:tc>
      </w:tr>
      <w:tr w:rsidR="00D0470C" w:rsidRPr="00543C25" w14:paraId="1DF909EA" w14:textId="77777777" w:rsidTr="00EC46DF">
        <w:trPr>
          <w:trHeight w:val="259"/>
        </w:trPr>
        <w:tc>
          <w:tcPr>
            <w:tcW w:w="1247" w:type="dxa"/>
            <w:tcBorders>
              <w:top w:val="nil"/>
              <w:left w:val="nil"/>
              <w:bottom w:val="nil"/>
              <w:right w:val="nil"/>
            </w:tcBorders>
          </w:tcPr>
          <w:p w14:paraId="656C54FB"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0804FDF3" w14:textId="77777777" w:rsidR="00D0470C" w:rsidRPr="00561E19" w:rsidRDefault="00D0470C" w:rsidP="000F5659">
            <w:pPr>
              <w:pStyle w:val="-0"/>
              <w:spacing w:line="192" w:lineRule="auto"/>
              <w:ind w:left="498"/>
              <w:rPr>
                <w:rtl/>
              </w:rPr>
            </w:pPr>
            <w:r w:rsidRPr="00561E19">
              <w:rPr>
                <w:rtl/>
              </w:rPr>
              <w:t>על פ</w:t>
            </w:r>
            <w:r w:rsidRPr="00561E19">
              <w:rPr>
                <w:rFonts w:hint="cs"/>
                <w:rtl/>
              </w:rPr>
              <w:t>י</w:t>
            </w:r>
            <w:r w:rsidRPr="00561E19">
              <w:rPr>
                <w:rtl/>
              </w:rPr>
              <w:t>קדונות הממשלה</w:t>
            </w:r>
          </w:p>
        </w:tc>
        <w:tc>
          <w:tcPr>
            <w:tcW w:w="1022" w:type="dxa"/>
            <w:tcBorders>
              <w:top w:val="nil"/>
              <w:left w:val="nil"/>
              <w:bottom w:val="nil"/>
              <w:right w:val="nil"/>
            </w:tcBorders>
            <w:vAlign w:val="bottom"/>
          </w:tcPr>
          <w:p w14:paraId="428F01CF" w14:textId="77777777" w:rsidR="00D0470C" w:rsidRPr="00345D83" w:rsidRDefault="00D0470C" w:rsidP="00EA192D">
            <w:pPr>
              <w:pStyle w:val="-0"/>
              <w:spacing w:line="192" w:lineRule="auto"/>
              <w:rPr>
                <w:rtl/>
              </w:rPr>
            </w:pPr>
            <w:r w:rsidRPr="00345D83">
              <w:rPr>
                <w:rFonts w:hint="cs"/>
                <w:rtl/>
              </w:rPr>
              <w:t>0</w:t>
            </w:r>
          </w:p>
        </w:tc>
        <w:tc>
          <w:tcPr>
            <w:tcW w:w="1106" w:type="dxa"/>
            <w:tcBorders>
              <w:top w:val="nil"/>
              <w:left w:val="nil"/>
              <w:bottom w:val="nil"/>
              <w:right w:val="nil"/>
            </w:tcBorders>
            <w:vAlign w:val="bottom"/>
          </w:tcPr>
          <w:p w14:paraId="03453453" w14:textId="77777777" w:rsidR="00D0470C" w:rsidRPr="00345D83" w:rsidRDefault="00D0470C" w:rsidP="00EA192D">
            <w:pPr>
              <w:pStyle w:val="-0"/>
              <w:spacing w:line="192" w:lineRule="auto"/>
              <w:rPr>
                <w:rtl/>
              </w:rPr>
            </w:pPr>
            <w:r w:rsidRPr="00345D83">
              <w:rPr>
                <w:rFonts w:hint="cs"/>
                <w:rtl/>
              </w:rPr>
              <w:t>0</w:t>
            </w:r>
          </w:p>
        </w:tc>
        <w:tc>
          <w:tcPr>
            <w:tcW w:w="1064" w:type="dxa"/>
            <w:tcBorders>
              <w:top w:val="nil"/>
              <w:left w:val="nil"/>
              <w:bottom w:val="nil"/>
              <w:right w:val="nil"/>
            </w:tcBorders>
            <w:vAlign w:val="bottom"/>
          </w:tcPr>
          <w:p w14:paraId="10F50AA1"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23A577FE" w14:textId="77777777" w:rsidR="00D0470C" w:rsidRPr="00345D83" w:rsidRDefault="00D0470C" w:rsidP="00EA192D">
            <w:pPr>
              <w:pStyle w:val="-0"/>
              <w:spacing w:line="192" w:lineRule="auto"/>
              <w:rPr>
                <w:rtl/>
              </w:rPr>
            </w:pPr>
            <w:r w:rsidRPr="00345D83">
              <w:rPr>
                <w:rFonts w:hint="cs"/>
                <w:rtl/>
              </w:rPr>
              <w:t>0</w:t>
            </w:r>
          </w:p>
        </w:tc>
      </w:tr>
      <w:tr w:rsidR="00D0470C" w:rsidRPr="00543C25" w14:paraId="035BA771" w14:textId="77777777" w:rsidTr="00EC46DF">
        <w:trPr>
          <w:trHeight w:val="259"/>
        </w:trPr>
        <w:tc>
          <w:tcPr>
            <w:tcW w:w="1247" w:type="dxa"/>
            <w:tcBorders>
              <w:top w:val="nil"/>
              <w:left w:val="nil"/>
              <w:bottom w:val="nil"/>
              <w:right w:val="nil"/>
            </w:tcBorders>
          </w:tcPr>
          <w:p w14:paraId="75FE2A26"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32A3F355" w14:textId="77777777" w:rsidR="00D0470C" w:rsidRPr="00561E19" w:rsidRDefault="00D0470C" w:rsidP="000F5659">
            <w:pPr>
              <w:pStyle w:val="-0"/>
              <w:spacing w:line="192" w:lineRule="auto"/>
              <w:ind w:left="498"/>
              <w:rPr>
                <w:rtl/>
              </w:rPr>
            </w:pPr>
            <w:r w:rsidRPr="00561E19">
              <w:rPr>
                <w:rtl/>
              </w:rPr>
              <w:t>על פ</w:t>
            </w:r>
            <w:r w:rsidRPr="00561E19">
              <w:rPr>
                <w:rFonts w:hint="cs"/>
                <w:rtl/>
              </w:rPr>
              <w:t>י</w:t>
            </w:r>
            <w:r w:rsidRPr="00561E19">
              <w:rPr>
                <w:rtl/>
              </w:rPr>
              <w:t>קדונות מבנק ישראל וממזומנים</w:t>
            </w:r>
          </w:p>
        </w:tc>
        <w:tc>
          <w:tcPr>
            <w:tcW w:w="1022" w:type="dxa"/>
            <w:tcBorders>
              <w:top w:val="nil"/>
              <w:left w:val="nil"/>
              <w:bottom w:val="nil"/>
              <w:right w:val="nil"/>
            </w:tcBorders>
            <w:vAlign w:val="bottom"/>
          </w:tcPr>
          <w:p w14:paraId="56BAE3B6" w14:textId="77777777" w:rsidR="00D0470C" w:rsidRPr="00345D83" w:rsidRDefault="00D0470C" w:rsidP="00EA192D">
            <w:pPr>
              <w:pStyle w:val="-0"/>
              <w:spacing w:line="192" w:lineRule="auto"/>
              <w:rPr>
                <w:rtl/>
              </w:rPr>
            </w:pPr>
            <w:r w:rsidRPr="00561E19">
              <w:rPr>
                <w:rFonts w:hint="cs"/>
                <w:rtl/>
              </w:rPr>
              <w:t>0</w:t>
            </w:r>
          </w:p>
        </w:tc>
        <w:tc>
          <w:tcPr>
            <w:tcW w:w="1106" w:type="dxa"/>
            <w:tcBorders>
              <w:top w:val="nil"/>
              <w:left w:val="nil"/>
              <w:bottom w:val="nil"/>
              <w:right w:val="nil"/>
            </w:tcBorders>
            <w:vAlign w:val="bottom"/>
          </w:tcPr>
          <w:p w14:paraId="5ABEA32B" w14:textId="77777777" w:rsidR="00D0470C" w:rsidRPr="00345D83" w:rsidRDefault="00D0470C" w:rsidP="00EA192D">
            <w:pPr>
              <w:pStyle w:val="-0"/>
              <w:spacing w:line="192" w:lineRule="auto"/>
              <w:rPr>
                <w:rtl/>
              </w:rPr>
            </w:pPr>
            <w:r w:rsidRPr="00345D83">
              <w:rPr>
                <w:rFonts w:hint="cs"/>
                <w:rtl/>
              </w:rPr>
              <w:t>0</w:t>
            </w:r>
          </w:p>
        </w:tc>
        <w:tc>
          <w:tcPr>
            <w:tcW w:w="1064" w:type="dxa"/>
            <w:tcBorders>
              <w:top w:val="nil"/>
              <w:left w:val="nil"/>
              <w:bottom w:val="nil"/>
              <w:right w:val="nil"/>
            </w:tcBorders>
            <w:vAlign w:val="bottom"/>
          </w:tcPr>
          <w:p w14:paraId="5E869198"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6B8C606A" w14:textId="77777777" w:rsidR="00D0470C" w:rsidRPr="00345D83" w:rsidRDefault="00D0470C" w:rsidP="00EA192D">
            <w:pPr>
              <w:pStyle w:val="-0"/>
              <w:spacing w:line="192" w:lineRule="auto"/>
              <w:rPr>
                <w:rtl/>
              </w:rPr>
            </w:pPr>
            <w:r w:rsidRPr="00345D83">
              <w:rPr>
                <w:rFonts w:hint="cs"/>
                <w:rtl/>
              </w:rPr>
              <w:t>0</w:t>
            </w:r>
          </w:p>
        </w:tc>
      </w:tr>
      <w:tr w:rsidR="00D0470C" w:rsidRPr="00543C25" w14:paraId="4099DF38" w14:textId="77777777" w:rsidTr="00EC46DF">
        <w:trPr>
          <w:trHeight w:val="259"/>
        </w:trPr>
        <w:tc>
          <w:tcPr>
            <w:tcW w:w="1247" w:type="dxa"/>
            <w:tcBorders>
              <w:top w:val="nil"/>
              <w:left w:val="nil"/>
              <w:bottom w:val="nil"/>
              <w:right w:val="nil"/>
            </w:tcBorders>
          </w:tcPr>
          <w:p w14:paraId="6E3340F0"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3F4F1B71" w14:textId="77777777" w:rsidR="00D0470C" w:rsidRPr="00561E19" w:rsidRDefault="00D0470C" w:rsidP="000F5659">
            <w:pPr>
              <w:pStyle w:val="-0"/>
              <w:tabs>
                <w:tab w:val="left" w:pos="788"/>
              </w:tabs>
              <w:spacing w:line="192" w:lineRule="auto"/>
              <w:ind w:left="498"/>
              <w:rPr>
                <w:rtl/>
              </w:rPr>
            </w:pPr>
            <w:r w:rsidRPr="00561E19">
              <w:rPr>
                <w:rtl/>
              </w:rPr>
              <w:t>על פ</w:t>
            </w:r>
            <w:r w:rsidRPr="00561E19">
              <w:rPr>
                <w:rFonts w:hint="cs"/>
                <w:rtl/>
              </w:rPr>
              <w:t>י</w:t>
            </w:r>
            <w:r w:rsidRPr="00561E19">
              <w:rPr>
                <w:rtl/>
              </w:rPr>
              <w:t>קדונות מבנקים</w:t>
            </w:r>
          </w:p>
        </w:tc>
        <w:tc>
          <w:tcPr>
            <w:tcW w:w="1022" w:type="dxa"/>
            <w:tcBorders>
              <w:top w:val="nil"/>
              <w:left w:val="nil"/>
              <w:bottom w:val="nil"/>
              <w:right w:val="nil"/>
            </w:tcBorders>
            <w:vAlign w:val="bottom"/>
          </w:tcPr>
          <w:p w14:paraId="58DC9963" w14:textId="77777777" w:rsidR="00D0470C" w:rsidRPr="00345D83" w:rsidRDefault="00D0470C" w:rsidP="00EA192D">
            <w:pPr>
              <w:pStyle w:val="-0"/>
              <w:spacing w:line="192" w:lineRule="auto"/>
              <w:rPr>
                <w:rtl/>
              </w:rPr>
            </w:pPr>
            <w:r w:rsidRPr="00561E19">
              <w:rPr>
                <w:rFonts w:hint="cs"/>
                <w:rtl/>
              </w:rPr>
              <w:t>0</w:t>
            </w:r>
          </w:p>
        </w:tc>
        <w:tc>
          <w:tcPr>
            <w:tcW w:w="1106" w:type="dxa"/>
            <w:tcBorders>
              <w:top w:val="nil"/>
              <w:left w:val="nil"/>
              <w:bottom w:val="nil"/>
              <w:right w:val="nil"/>
            </w:tcBorders>
            <w:vAlign w:val="bottom"/>
          </w:tcPr>
          <w:p w14:paraId="21F554EA" w14:textId="77777777" w:rsidR="00D0470C" w:rsidRPr="00345D83" w:rsidRDefault="00D0470C" w:rsidP="00EA192D">
            <w:pPr>
              <w:pStyle w:val="-0"/>
              <w:spacing w:line="192" w:lineRule="auto"/>
              <w:rPr>
                <w:rtl/>
              </w:rPr>
            </w:pPr>
            <w:r w:rsidRPr="00345D83">
              <w:rPr>
                <w:rFonts w:hint="cs"/>
                <w:rtl/>
              </w:rPr>
              <w:t>0</w:t>
            </w:r>
          </w:p>
        </w:tc>
        <w:tc>
          <w:tcPr>
            <w:tcW w:w="1064" w:type="dxa"/>
            <w:tcBorders>
              <w:top w:val="nil"/>
              <w:left w:val="nil"/>
              <w:bottom w:val="nil"/>
              <w:right w:val="nil"/>
            </w:tcBorders>
            <w:vAlign w:val="bottom"/>
          </w:tcPr>
          <w:p w14:paraId="5BC768B4"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0C08971D" w14:textId="77777777" w:rsidR="00D0470C" w:rsidRPr="00345D83" w:rsidRDefault="00D0470C" w:rsidP="00EA192D">
            <w:pPr>
              <w:pStyle w:val="-0"/>
              <w:spacing w:line="192" w:lineRule="auto"/>
              <w:rPr>
                <w:rtl/>
              </w:rPr>
            </w:pPr>
            <w:r w:rsidRPr="00345D83">
              <w:rPr>
                <w:rFonts w:hint="cs"/>
                <w:rtl/>
              </w:rPr>
              <w:t>0</w:t>
            </w:r>
          </w:p>
        </w:tc>
      </w:tr>
      <w:tr w:rsidR="00D0470C" w:rsidRPr="00543C25" w14:paraId="22FBCDA7" w14:textId="77777777" w:rsidTr="00EC46DF">
        <w:trPr>
          <w:trHeight w:val="259"/>
        </w:trPr>
        <w:tc>
          <w:tcPr>
            <w:tcW w:w="1247" w:type="dxa"/>
            <w:tcBorders>
              <w:top w:val="nil"/>
              <w:left w:val="nil"/>
              <w:bottom w:val="nil"/>
              <w:right w:val="nil"/>
            </w:tcBorders>
          </w:tcPr>
          <w:p w14:paraId="6A153D36"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4BDA209A" w14:textId="77777777" w:rsidR="00D0470C" w:rsidRPr="00561E19" w:rsidRDefault="00D0470C" w:rsidP="000F5659">
            <w:pPr>
              <w:pStyle w:val="-21"/>
              <w:spacing w:line="192" w:lineRule="auto"/>
              <w:ind w:left="498"/>
              <w:rPr>
                <w:rtl/>
              </w:rPr>
            </w:pPr>
            <w:r w:rsidRPr="00561E19">
              <w:rPr>
                <w:rFonts w:hint="cs"/>
                <w:rtl/>
              </w:rPr>
              <w:t>על ניירות ערך שהושאלו או נמכרו במסגרת הסכמי רכש חוזר</w:t>
            </w:r>
          </w:p>
        </w:tc>
        <w:tc>
          <w:tcPr>
            <w:tcW w:w="1022" w:type="dxa"/>
            <w:tcBorders>
              <w:top w:val="nil"/>
              <w:left w:val="nil"/>
              <w:bottom w:val="nil"/>
              <w:right w:val="nil"/>
            </w:tcBorders>
            <w:vAlign w:val="bottom"/>
          </w:tcPr>
          <w:p w14:paraId="0A218193" w14:textId="77777777" w:rsidR="00D0470C" w:rsidRPr="00561E19" w:rsidRDefault="00D0470C" w:rsidP="00EA192D">
            <w:pPr>
              <w:pStyle w:val="-0"/>
              <w:spacing w:line="192" w:lineRule="auto"/>
              <w:rPr>
                <w:rtl/>
              </w:rPr>
            </w:pPr>
            <w:r w:rsidRPr="00561E19">
              <w:rPr>
                <w:rFonts w:hint="cs"/>
                <w:rtl/>
              </w:rPr>
              <w:t>0</w:t>
            </w:r>
          </w:p>
        </w:tc>
        <w:tc>
          <w:tcPr>
            <w:tcW w:w="1106" w:type="dxa"/>
            <w:tcBorders>
              <w:top w:val="nil"/>
              <w:left w:val="nil"/>
              <w:bottom w:val="nil"/>
              <w:right w:val="nil"/>
            </w:tcBorders>
            <w:vAlign w:val="bottom"/>
          </w:tcPr>
          <w:p w14:paraId="42749EC6" w14:textId="77777777" w:rsidR="00D0470C" w:rsidRPr="00345D83" w:rsidRDefault="00D0470C" w:rsidP="00EA192D">
            <w:pPr>
              <w:pStyle w:val="-0"/>
              <w:spacing w:line="192" w:lineRule="auto"/>
              <w:rPr>
                <w:rtl/>
              </w:rPr>
            </w:pPr>
            <w:r w:rsidRPr="00345D83">
              <w:rPr>
                <w:rFonts w:hint="cs"/>
                <w:rtl/>
              </w:rPr>
              <w:t>0</w:t>
            </w:r>
          </w:p>
        </w:tc>
        <w:tc>
          <w:tcPr>
            <w:tcW w:w="1064" w:type="dxa"/>
            <w:tcBorders>
              <w:top w:val="nil"/>
              <w:left w:val="nil"/>
              <w:bottom w:val="nil"/>
              <w:right w:val="nil"/>
            </w:tcBorders>
            <w:vAlign w:val="bottom"/>
          </w:tcPr>
          <w:p w14:paraId="0EFBD884"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6EADF779" w14:textId="77777777" w:rsidR="00D0470C" w:rsidRPr="00345D83" w:rsidRDefault="00D0470C" w:rsidP="00EA192D">
            <w:pPr>
              <w:pStyle w:val="-0"/>
              <w:spacing w:line="192" w:lineRule="auto"/>
              <w:rPr>
                <w:rtl/>
              </w:rPr>
            </w:pPr>
            <w:r w:rsidRPr="00345D83">
              <w:rPr>
                <w:rFonts w:hint="cs"/>
                <w:rtl/>
              </w:rPr>
              <w:t>0</w:t>
            </w:r>
          </w:p>
        </w:tc>
      </w:tr>
      <w:tr w:rsidR="00D0470C" w:rsidRPr="00543C25" w14:paraId="65AC25AF" w14:textId="77777777" w:rsidTr="00EC46DF">
        <w:trPr>
          <w:trHeight w:val="259"/>
        </w:trPr>
        <w:tc>
          <w:tcPr>
            <w:tcW w:w="1247" w:type="dxa"/>
            <w:tcBorders>
              <w:top w:val="nil"/>
              <w:left w:val="nil"/>
              <w:bottom w:val="nil"/>
              <w:right w:val="nil"/>
            </w:tcBorders>
          </w:tcPr>
          <w:p w14:paraId="310D3A57"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6383D7B2" w14:textId="77777777" w:rsidR="00D0470C" w:rsidRPr="00561E19" w:rsidRDefault="00D0470C" w:rsidP="000F5659">
            <w:pPr>
              <w:pStyle w:val="-0"/>
              <w:spacing w:line="192" w:lineRule="auto"/>
              <w:ind w:left="498"/>
              <w:rPr>
                <w:rtl/>
              </w:rPr>
            </w:pPr>
            <w:r w:rsidRPr="00561E19">
              <w:rPr>
                <w:rtl/>
              </w:rPr>
              <w:t xml:space="preserve">על </w:t>
            </w:r>
            <w:r w:rsidR="00A674A4">
              <w:rPr>
                <w:rtl/>
              </w:rPr>
              <w:t>אגרות</w:t>
            </w:r>
            <w:r w:rsidRPr="00561E19">
              <w:rPr>
                <w:rtl/>
              </w:rPr>
              <w:t xml:space="preserve"> חוב</w:t>
            </w:r>
          </w:p>
        </w:tc>
        <w:tc>
          <w:tcPr>
            <w:tcW w:w="1022" w:type="dxa"/>
            <w:tcBorders>
              <w:top w:val="nil"/>
              <w:left w:val="nil"/>
              <w:bottom w:val="nil"/>
              <w:right w:val="nil"/>
            </w:tcBorders>
            <w:vAlign w:val="bottom"/>
          </w:tcPr>
          <w:p w14:paraId="53F6BB6D" w14:textId="77777777" w:rsidR="00D0470C" w:rsidRPr="00345D83" w:rsidRDefault="00D0470C" w:rsidP="00EA192D">
            <w:pPr>
              <w:pStyle w:val="-0"/>
              <w:spacing w:line="192" w:lineRule="auto"/>
              <w:rPr>
                <w:rtl/>
              </w:rPr>
            </w:pPr>
            <w:r w:rsidRPr="00561E19">
              <w:rPr>
                <w:rFonts w:hint="cs"/>
                <w:rtl/>
              </w:rPr>
              <w:t>0</w:t>
            </w:r>
          </w:p>
        </w:tc>
        <w:tc>
          <w:tcPr>
            <w:tcW w:w="1106" w:type="dxa"/>
            <w:tcBorders>
              <w:top w:val="nil"/>
              <w:left w:val="nil"/>
              <w:bottom w:val="nil"/>
              <w:right w:val="nil"/>
            </w:tcBorders>
            <w:vAlign w:val="bottom"/>
          </w:tcPr>
          <w:p w14:paraId="3B8136CA" w14:textId="77777777" w:rsidR="00D0470C" w:rsidRPr="00345D83" w:rsidRDefault="00D0470C" w:rsidP="00EA192D">
            <w:pPr>
              <w:pStyle w:val="-0"/>
              <w:spacing w:line="192" w:lineRule="auto"/>
              <w:rPr>
                <w:rtl/>
              </w:rPr>
            </w:pPr>
            <w:r w:rsidRPr="00345D83">
              <w:rPr>
                <w:rFonts w:hint="cs"/>
                <w:rtl/>
              </w:rPr>
              <w:t>0</w:t>
            </w:r>
          </w:p>
        </w:tc>
        <w:tc>
          <w:tcPr>
            <w:tcW w:w="1064" w:type="dxa"/>
            <w:tcBorders>
              <w:top w:val="nil"/>
              <w:left w:val="nil"/>
              <w:bottom w:val="nil"/>
              <w:right w:val="nil"/>
            </w:tcBorders>
            <w:vAlign w:val="bottom"/>
          </w:tcPr>
          <w:p w14:paraId="671FB654"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46A29147" w14:textId="77777777" w:rsidR="00D0470C" w:rsidRPr="00345D83" w:rsidRDefault="00D0470C" w:rsidP="00EA192D">
            <w:pPr>
              <w:pStyle w:val="-0"/>
              <w:spacing w:line="192" w:lineRule="auto"/>
              <w:rPr>
                <w:rtl/>
              </w:rPr>
            </w:pPr>
            <w:r w:rsidRPr="00345D83">
              <w:rPr>
                <w:rFonts w:hint="cs"/>
                <w:rtl/>
              </w:rPr>
              <w:t>0</w:t>
            </w:r>
          </w:p>
        </w:tc>
      </w:tr>
      <w:tr w:rsidR="00D0470C" w:rsidRPr="00543C25" w14:paraId="3B2D15C5" w14:textId="77777777" w:rsidTr="00EC46DF">
        <w:trPr>
          <w:trHeight w:val="259"/>
        </w:trPr>
        <w:tc>
          <w:tcPr>
            <w:tcW w:w="1247" w:type="dxa"/>
            <w:tcBorders>
              <w:top w:val="nil"/>
              <w:left w:val="nil"/>
              <w:bottom w:val="nil"/>
              <w:right w:val="nil"/>
            </w:tcBorders>
          </w:tcPr>
          <w:p w14:paraId="182EA310"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50325349" w14:textId="77777777" w:rsidR="00D0470C" w:rsidRPr="00561E19" w:rsidRDefault="00D0470C" w:rsidP="000F5659">
            <w:pPr>
              <w:pStyle w:val="-0"/>
              <w:spacing w:line="192" w:lineRule="auto"/>
              <w:ind w:left="498"/>
              <w:rPr>
                <w:rtl/>
              </w:rPr>
            </w:pPr>
            <w:r w:rsidRPr="00561E19">
              <w:rPr>
                <w:rtl/>
              </w:rPr>
              <w:t>על התחייבויות אחרות</w:t>
            </w:r>
          </w:p>
        </w:tc>
        <w:tc>
          <w:tcPr>
            <w:tcW w:w="1022" w:type="dxa"/>
            <w:tcBorders>
              <w:top w:val="nil"/>
              <w:left w:val="nil"/>
              <w:bottom w:val="nil"/>
              <w:right w:val="nil"/>
            </w:tcBorders>
            <w:vAlign w:val="bottom"/>
          </w:tcPr>
          <w:p w14:paraId="35B1F362" w14:textId="77777777" w:rsidR="00D0470C" w:rsidRPr="00561E19" w:rsidRDefault="00D0470C" w:rsidP="00EA192D">
            <w:pPr>
              <w:pStyle w:val="-0"/>
              <w:spacing w:line="192" w:lineRule="auto"/>
              <w:rPr>
                <w:rtl/>
              </w:rPr>
            </w:pPr>
            <w:r w:rsidRPr="00561E19">
              <w:rPr>
                <w:rFonts w:hint="cs"/>
                <w:rtl/>
              </w:rPr>
              <w:t>0</w:t>
            </w:r>
          </w:p>
        </w:tc>
        <w:tc>
          <w:tcPr>
            <w:tcW w:w="1106" w:type="dxa"/>
            <w:tcBorders>
              <w:top w:val="nil"/>
              <w:left w:val="nil"/>
              <w:bottom w:val="nil"/>
              <w:right w:val="nil"/>
            </w:tcBorders>
            <w:vAlign w:val="bottom"/>
          </w:tcPr>
          <w:p w14:paraId="06D2C49B" w14:textId="77777777" w:rsidR="00D0470C" w:rsidRPr="00345D83" w:rsidRDefault="00D0470C" w:rsidP="00EA192D">
            <w:pPr>
              <w:pStyle w:val="-0"/>
              <w:spacing w:line="192" w:lineRule="auto"/>
              <w:rPr>
                <w:rtl/>
              </w:rPr>
            </w:pPr>
            <w:r w:rsidRPr="00561E19">
              <w:rPr>
                <w:rFonts w:hint="cs"/>
                <w:rtl/>
              </w:rPr>
              <w:t>0</w:t>
            </w:r>
          </w:p>
        </w:tc>
        <w:tc>
          <w:tcPr>
            <w:tcW w:w="1064" w:type="dxa"/>
            <w:tcBorders>
              <w:top w:val="nil"/>
              <w:left w:val="nil"/>
              <w:bottom w:val="nil"/>
              <w:right w:val="nil"/>
            </w:tcBorders>
            <w:vAlign w:val="bottom"/>
          </w:tcPr>
          <w:p w14:paraId="5ECD2528"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7F1747DE" w14:textId="77777777" w:rsidR="00D0470C" w:rsidRPr="00345D83" w:rsidRDefault="00D0470C" w:rsidP="00EA192D">
            <w:pPr>
              <w:pStyle w:val="-0"/>
              <w:spacing w:line="192" w:lineRule="auto"/>
              <w:rPr>
                <w:rtl/>
              </w:rPr>
            </w:pPr>
            <w:r w:rsidRPr="00345D83">
              <w:rPr>
                <w:rFonts w:hint="cs"/>
                <w:rtl/>
              </w:rPr>
              <w:t>0</w:t>
            </w:r>
          </w:p>
        </w:tc>
      </w:tr>
      <w:tr w:rsidR="00D0470C" w:rsidRPr="00543C25" w14:paraId="13897D65" w14:textId="77777777" w:rsidTr="00EC46DF">
        <w:trPr>
          <w:trHeight w:val="259"/>
        </w:trPr>
        <w:tc>
          <w:tcPr>
            <w:tcW w:w="1247" w:type="dxa"/>
            <w:tcBorders>
              <w:top w:val="nil"/>
              <w:left w:val="nil"/>
              <w:bottom w:val="nil"/>
              <w:right w:val="nil"/>
            </w:tcBorders>
          </w:tcPr>
          <w:p w14:paraId="4BA905CD"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2E505E25" w14:textId="77777777" w:rsidR="00D0470C" w:rsidRPr="00561E19" w:rsidRDefault="00D0470C" w:rsidP="00EA192D">
            <w:pPr>
              <w:pStyle w:val="-b"/>
              <w:spacing w:line="192" w:lineRule="auto"/>
              <w:ind w:left="590"/>
              <w:rPr>
                <w:rtl/>
              </w:rPr>
            </w:pPr>
            <w:r w:rsidRPr="00561E19">
              <w:rPr>
                <w:rFonts w:hint="cs"/>
                <w:rtl/>
              </w:rPr>
              <w:t>סך כל הוצאות הריבית</w:t>
            </w:r>
          </w:p>
        </w:tc>
        <w:tc>
          <w:tcPr>
            <w:tcW w:w="1022" w:type="dxa"/>
            <w:tcBorders>
              <w:top w:val="nil"/>
              <w:left w:val="nil"/>
              <w:bottom w:val="nil"/>
              <w:right w:val="nil"/>
            </w:tcBorders>
            <w:vAlign w:val="bottom"/>
          </w:tcPr>
          <w:p w14:paraId="5C386EA8" w14:textId="77777777" w:rsidR="00D0470C" w:rsidRPr="00561E19" w:rsidRDefault="00D0470C" w:rsidP="00EA192D">
            <w:pPr>
              <w:pStyle w:val="-0"/>
              <w:pBdr>
                <w:top w:val="single" w:sz="4" w:space="1" w:color="auto"/>
              </w:pBdr>
              <w:spacing w:line="192" w:lineRule="auto"/>
              <w:rPr>
                <w:b/>
                <w:bCs/>
                <w:rtl/>
              </w:rPr>
            </w:pPr>
            <w:r w:rsidRPr="00561E19">
              <w:rPr>
                <w:b/>
                <w:bCs/>
                <w:rtl/>
              </w:rPr>
              <w:t>0</w:t>
            </w:r>
          </w:p>
        </w:tc>
        <w:tc>
          <w:tcPr>
            <w:tcW w:w="1106" w:type="dxa"/>
            <w:tcBorders>
              <w:top w:val="nil"/>
              <w:left w:val="nil"/>
              <w:bottom w:val="nil"/>
              <w:right w:val="nil"/>
            </w:tcBorders>
            <w:vAlign w:val="bottom"/>
          </w:tcPr>
          <w:p w14:paraId="7BFA0C3A" w14:textId="77777777" w:rsidR="00D0470C" w:rsidRPr="00561E19" w:rsidRDefault="00D0470C" w:rsidP="00EA192D">
            <w:pPr>
              <w:pStyle w:val="-0"/>
              <w:pBdr>
                <w:top w:val="single" w:sz="4" w:space="1" w:color="auto"/>
              </w:pBdr>
              <w:spacing w:line="192" w:lineRule="auto"/>
              <w:rPr>
                <w:b/>
                <w:bCs/>
                <w:rtl/>
              </w:rPr>
            </w:pPr>
            <w:r w:rsidRPr="00561E19">
              <w:rPr>
                <w:b/>
                <w:bCs/>
                <w:rtl/>
              </w:rPr>
              <w:t>0</w:t>
            </w:r>
          </w:p>
        </w:tc>
        <w:tc>
          <w:tcPr>
            <w:tcW w:w="1064" w:type="dxa"/>
            <w:tcBorders>
              <w:top w:val="nil"/>
              <w:left w:val="nil"/>
              <w:bottom w:val="nil"/>
              <w:right w:val="nil"/>
            </w:tcBorders>
            <w:vAlign w:val="bottom"/>
          </w:tcPr>
          <w:p w14:paraId="42B40E2C" w14:textId="77777777" w:rsidR="00D0470C" w:rsidRPr="00345D83" w:rsidRDefault="00D0470C" w:rsidP="00EA192D">
            <w:pPr>
              <w:pStyle w:val="-0"/>
              <w:pBdr>
                <w:top w:val="single" w:sz="4" w:space="1" w:color="auto"/>
              </w:pBdr>
              <w:spacing w:line="192" w:lineRule="auto"/>
              <w:rPr>
                <w:b/>
                <w:bCs/>
                <w:rtl/>
              </w:rPr>
            </w:pPr>
            <w:r w:rsidRPr="00345D83">
              <w:rPr>
                <w:b/>
                <w:bCs/>
                <w:rtl/>
              </w:rPr>
              <w:t>0</w:t>
            </w:r>
          </w:p>
        </w:tc>
        <w:tc>
          <w:tcPr>
            <w:tcW w:w="1036" w:type="dxa"/>
            <w:tcBorders>
              <w:top w:val="nil"/>
              <w:left w:val="nil"/>
              <w:bottom w:val="nil"/>
              <w:right w:val="nil"/>
            </w:tcBorders>
            <w:vAlign w:val="bottom"/>
          </w:tcPr>
          <w:p w14:paraId="109086A1" w14:textId="77777777" w:rsidR="00D0470C" w:rsidRPr="00345D83" w:rsidRDefault="00D0470C" w:rsidP="00EA192D">
            <w:pPr>
              <w:pStyle w:val="-0"/>
              <w:pBdr>
                <w:top w:val="single" w:sz="4" w:space="1" w:color="auto"/>
              </w:pBdr>
              <w:spacing w:line="192" w:lineRule="auto"/>
              <w:rPr>
                <w:b/>
                <w:bCs/>
                <w:rtl/>
              </w:rPr>
            </w:pPr>
            <w:r w:rsidRPr="00345D83">
              <w:rPr>
                <w:b/>
                <w:bCs/>
                <w:rtl/>
              </w:rPr>
              <w:t>0</w:t>
            </w:r>
          </w:p>
        </w:tc>
      </w:tr>
      <w:tr w:rsidR="00D0470C" w:rsidRPr="00543C25" w14:paraId="0B16DB5D" w14:textId="77777777" w:rsidTr="00EC46DF">
        <w:trPr>
          <w:trHeight w:hRule="exact" w:val="66"/>
        </w:trPr>
        <w:tc>
          <w:tcPr>
            <w:tcW w:w="1247" w:type="dxa"/>
            <w:tcBorders>
              <w:top w:val="nil"/>
              <w:left w:val="nil"/>
              <w:bottom w:val="nil"/>
              <w:right w:val="nil"/>
            </w:tcBorders>
          </w:tcPr>
          <w:p w14:paraId="1C9C5A4B" w14:textId="77777777" w:rsidR="00D0470C" w:rsidRPr="008849A2" w:rsidRDefault="00D0470C" w:rsidP="006F3019">
            <w:pPr>
              <w:pStyle w:val="-0"/>
              <w:bidi w:val="0"/>
              <w:spacing w:line="60" w:lineRule="exact"/>
              <w:ind w:left="0" w:firstLine="0"/>
              <w:jc w:val="both"/>
              <w:rPr>
                <w:sz w:val="14"/>
                <w:szCs w:val="14"/>
                <w:rtl/>
              </w:rPr>
            </w:pPr>
          </w:p>
        </w:tc>
        <w:tc>
          <w:tcPr>
            <w:tcW w:w="4601" w:type="dxa"/>
            <w:tcBorders>
              <w:top w:val="nil"/>
              <w:left w:val="nil"/>
              <w:bottom w:val="nil"/>
              <w:right w:val="nil"/>
            </w:tcBorders>
            <w:vAlign w:val="bottom"/>
          </w:tcPr>
          <w:p w14:paraId="3540B77A" w14:textId="77777777" w:rsidR="00D0470C" w:rsidRPr="00561E19" w:rsidRDefault="00D0470C" w:rsidP="00EA192D">
            <w:pPr>
              <w:pStyle w:val="-0"/>
              <w:bidi w:val="0"/>
              <w:spacing w:line="192" w:lineRule="auto"/>
              <w:ind w:left="590"/>
              <w:jc w:val="both"/>
              <w:rPr>
                <w:rtl/>
              </w:rPr>
            </w:pPr>
          </w:p>
        </w:tc>
        <w:tc>
          <w:tcPr>
            <w:tcW w:w="1022" w:type="dxa"/>
            <w:tcBorders>
              <w:top w:val="nil"/>
              <w:left w:val="nil"/>
              <w:bottom w:val="nil"/>
              <w:right w:val="nil"/>
            </w:tcBorders>
            <w:vAlign w:val="bottom"/>
          </w:tcPr>
          <w:p w14:paraId="0ECBA10F" w14:textId="77777777" w:rsidR="00D0470C" w:rsidRPr="00561E19" w:rsidRDefault="00D0470C" w:rsidP="00EA192D">
            <w:pPr>
              <w:pStyle w:val="-0"/>
              <w:bidi w:val="0"/>
              <w:spacing w:line="192" w:lineRule="auto"/>
              <w:jc w:val="both"/>
              <w:rPr>
                <w:rtl/>
              </w:rPr>
            </w:pPr>
          </w:p>
        </w:tc>
        <w:tc>
          <w:tcPr>
            <w:tcW w:w="1106" w:type="dxa"/>
            <w:tcBorders>
              <w:top w:val="nil"/>
              <w:left w:val="nil"/>
              <w:bottom w:val="nil"/>
              <w:right w:val="nil"/>
            </w:tcBorders>
            <w:vAlign w:val="bottom"/>
          </w:tcPr>
          <w:p w14:paraId="34EE78D8" w14:textId="77777777" w:rsidR="00D0470C" w:rsidRPr="00561E19" w:rsidRDefault="00D0470C" w:rsidP="00EA192D">
            <w:pPr>
              <w:pStyle w:val="-0"/>
              <w:bidi w:val="0"/>
              <w:spacing w:line="192" w:lineRule="auto"/>
              <w:jc w:val="both"/>
              <w:rPr>
                <w:rtl/>
              </w:rPr>
            </w:pPr>
          </w:p>
        </w:tc>
        <w:tc>
          <w:tcPr>
            <w:tcW w:w="1064" w:type="dxa"/>
            <w:tcBorders>
              <w:top w:val="nil"/>
              <w:left w:val="nil"/>
              <w:bottom w:val="nil"/>
              <w:right w:val="nil"/>
            </w:tcBorders>
            <w:vAlign w:val="bottom"/>
          </w:tcPr>
          <w:p w14:paraId="3B9EB961" w14:textId="77777777" w:rsidR="00D0470C" w:rsidRPr="00561E19" w:rsidRDefault="00D0470C" w:rsidP="00EA192D">
            <w:pPr>
              <w:pStyle w:val="-0"/>
              <w:bidi w:val="0"/>
              <w:spacing w:line="192" w:lineRule="auto"/>
              <w:jc w:val="both"/>
              <w:rPr>
                <w:rtl/>
              </w:rPr>
            </w:pPr>
          </w:p>
        </w:tc>
        <w:tc>
          <w:tcPr>
            <w:tcW w:w="1036" w:type="dxa"/>
            <w:tcBorders>
              <w:top w:val="nil"/>
              <w:left w:val="nil"/>
              <w:bottom w:val="nil"/>
              <w:right w:val="nil"/>
            </w:tcBorders>
            <w:vAlign w:val="bottom"/>
          </w:tcPr>
          <w:p w14:paraId="533A9FF2" w14:textId="77777777" w:rsidR="00D0470C" w:rsidRPr="00345D83" w:rsidRDefault="00D0470C" w:rsidP="00EA192D">
            <w:pPr>
              <w:pStyle w:val="-0"/>
              <w:bidi w:val="0"/>
              <w:spacing w:line="192" w:lineRule="auto"/>
              <w:jc w:val="both"/>
              <w:rPr>
                <w:rtl/>
              </w:rPr>
            </w:pPr>
          </w:p>
        </w:tc>
      </w:tr>
      <w:tr w:rsidR="00D0470C" w:rsidRPr="00543C25" w14:paraId="7F4389C5" w14:textId="77777777" w:rsidTr="00EC46DF">
        <w:trPr>
          <w:trHeight w:val="259"/>
        </w:trPr>
        <w:tc>
          <w:tcPr>
            <w:tcW w:w="1247" w:type="dxa"/>
            <w:tcBorders>
              <w:top w:val="nil"/>
              <w:left w:val="nil"/>
              <w:bottom w:val="nil"/>
              <w:right w:val="nil"/>
            </w:tcBorders>
          </w:tcPr>
          <w:p w14:paraId="06EA271A"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5FEAB948" w14:textId="77777777" w:rsidR="00D0470C" w:rsidRPr="00561E19" w:rsidRDefault="00D0470C" w:rsidP="000F5659">
            <w:pPr>
              <w:pStyle w:val="-b"/>
              <w:spacing w:line="192" w:lineRule="auto"/>
              <w:ind w:left="498"/>
              <w:rPr>
                <w:rtl/>
              </w:rPr>
            </w:pPr>
            <w:r w:rsidRPr="00561E19">
              <w:rPr>
                <w:rFonts w:hint="cs"/>
                <w:rtl/>
              </w:rPr>
              <w:t>סך הכנסות (הוצאות) ריבית, נטו</w:t>
            </w:r>
          </w:p>
        </w:tc>
        <w:tc>
          <w:tcPr>
            <w:tcW w:w="1022" w:type="dxa"/>
            <w:tcBorders>
              <w:top w:val="nil"/>
              <w:left w:val="nil"/>
              <w:bottom w:val="nil"/>
              <w:right w:val="nil"/>
            </w:tcBorders>
            <w:vAlign w:val="bottom"/>
          </w:tcPr>
          <w:p w14:paraId="4AD2D8C5" w14:textId="77777777" w:rsidR="00D0470C" w:rsidRPr="00561E19" w:rsidRDefault="00D0470C" w:rsidP="00EA192D">
            <w:pPr>
              <w:pStyle w:val="-0"/>
              <w:pBdr>
                <w:top w:val="single" w:sz="4" w:space="1" w:color="auto"/>
              </w:pBdr>
              <w:spacing w:line="192" w:lineRule="auto"/>
              <w:rPr>
                <w:b/>
                <w:bCs/>
                <w:rtl/>
              </w:rPr>
            </w:pPr>
            <w:r w:rsidRPr="00561E19">
              <w:rPr>
                <w:b/>
                <w:bCs/>
                <w:rtl/>
              </w:rPr>
              <w:t>0</w:t>
            </w:r>
          </w:p>
        </w:tc>
        <w:tc>
          <w:tcPr>
            <w:tcW w:w="1106" w:type="dxa"/>
            <w:tcBorders>
              <w:top w:val="nil"/>
              <w:left w:val="nil"/>
              <w:bottom w:val="nil"/>
              <w:right w:val="nil"/>
            </w:tcBorders>
            <w:vAlign w:val="bottom"/>
          </w:tcPr>
          <w:p w14:paraId="15D2E0B3" w14:textId="77777777" w:rsidR="00D0470C" w:rsidRPr="00345D83" w:rsidRDefault="00D0470C" w:rsidP="00EA192D">
            <w:pPr>
              <w:pStyle w:val="-0"/>
              <w:pBdr>
                <w:top w:val="single" w:sz="4" w:space="1" w:color="auto"/>
              </w:pBdr>
              <w:spacing w:line="192" w:lineRule="auto"/>
              <w:rPr>
                <w:b/>
                <w:bCs/>
                <w:rtl/>
              </w:rPr>
            </w:pPr>
            <w:r w:rsidRPr="00345D83">
              <w:rPr>
                <w:b/>
                <w:bCs/>
                <w:rtl/>
              </w:rPr>
              <w:t>0</w:t>
            </w:r>
          </w:p>
        </w:tc>
        <w:tc>
          <w:tcPr>
            <w:tcW w:w="1064" w:type="dxa"/>
            <w:tcBorders>
              <w:top w:val="nil"/>
              <w:left w:val="nil"/>
              <w:bottom w:val="nil"/>
              <w:right w:val="nil"/>
            </w:tcBorders>
            <w:vAlign w:val="bottom"/>
          </w:tcPr>
          <w:p w14:paraId="5602F26A" w14:textId="77777777" w:rsidR="00D0470C" w:rsidRPr="00345D83" w:rsidRDefault="00D0470C" w:rsidP="00EA192D">
            <w:pPr>
              <w:pStyle w:val="-0"/>
              <w:pBdr>
                <w:top w:val="single" w:sz="4" w:space="1" w:color="auto"/>
              </w:pBdr>
              <w:spacing w:line="192" w:lineRule="auto"/>
              <w:rPr>
                <w:b/>
                <w:bCs/>
                <w:rtl/>
              </w:rPr>
            </w:pPr>
            <w:r w:rsidRPr="00345D83">
              <w:rPr>
                <w:b/>
                <w:bCs/>
                <w:rtl/>
              </w:rPr>
              <w:t>0</w:t>
            </w:r>
          </w:p>
        </w:tc>
        <w:tc>
          <w:tcPr>
            <w:tcW w:w="1036" w:type="dxa"/>
            <w:tcBorders>
              <w:top w:val="nil"/>
              <w:left w:val="nil"/>
              <w:bottom w:val="nil"/>
              <w:right w:val="nil"/>
            </w:tcBorders>
            <w:vAlign w:val="bottom"/>
          </w:tcPr>
          <w:p w14:paraId="4A1ABFF9" w14:textId="77777777" w:rsidR="00D0470C" w:rsidRPr="00345D83" w:rsidRDefault="00D0470C" w:rsidP="00EA192D">
            <w:pPr>
              <w:pStyle w:val="-0"/>
              <w:pBdr>
                <w:top w:val="single" w:sz="4" w:space="1" w:color="auto"/>
              </w:pBdr>
              <w:spacing w:line="192" w:lineRule="auto"/>
              <w:rPr>
                <w:b/>
                <w:bCs/>
                <w:rtl/>
              </w:rPr>
            </w:pPr>
            <w:r w:rsidRPr="00345D83">
              <w:rPr>
                <w:b/>
                <w:bCs/>
                <w:rtl/>
              </w:rPr>
              <w:t>0</w:t>
            </w:r>
          </w:p>
        </w:tc>
      </w:tr>
      <w:tr w:rsidR="00D0470C" w:rsidRPr="00543C25" w14:paraId="759ABC28" w14:textId="77777777" w:rsidTr="00EC46DF">
        <w:trPr>
          <w:trHeight w:val="66"/>
        </w:trPr>
        <w:tc>
          <w:tcPr>
            <w:tcW w:w="1247" w:type="dxa"/>
            <w:tcBorders>
              <w:top w:val="nil"/>
              <w:left w:val="nil"/>
              <w:bottom w:val="nil"/>
              <w:right w:val="nil"/>
            </w:tcBorders>
          </w:tcPr>
          <w:p w14:paraId="5D09545C" w14:textId="77777777" w:rsidR="00D0470C" w:rsidRDefault="00D0470C" w:rsidP="00EA192D">
            <w:pPr>
              <w:pStyle w:val="-0"/>
              <w:bidi w:val="0"/>
              <w:spacing w:line="144" w:lineRule="auto"/>
              <w:ind w:left="0" w:firstLine="0"/>
              <w:jc w:val="both"/>
              <w:rPr>
                <w:sz w:val="14"/>
                <w:szCs w:val="14"/>
                <w:rtl/>
              </w:rPr>
            </w:pPr>
          </w:p>
        </w:tc>
        <w:tc>
          <w:tcPr>
            <w:tcW w:w="4601" w:type="dxa"/>
            <w:tcBorders>
              <w:top w:val="nil"/>
              <w:left w:val="nil"/>
              <w:bottom w:val="nil"/>
              <w:right w:val="nil"/>
            </w:tcBorders>
            <w:vAlign w:val="bottom"/>
          </w:tcPr>
          <w:p w14:paraId="49F628C2" w14:textId="77777777" w:rsidR="00D0470C" w:rsidRPr="00EA192D" w:rsidRDefault="00D0470C" w:rsidP="00EA192D">
            <w:pPr>
              <w:pStyle w:val="-0"/>
              <w:bidi w:val="0"/>
              <w:spacing w:line="144" w:lineRule="auto"/>
              <w:ind w:left="590"/>
              <w:jc w:val="both"/>
              <w:rPr>
                <w:rtl/>
              </w:rPr>
            </w:pPr>
          </w:p>
        </w:tc>
        <w:tc>
          <w:tcPr>
            <w:tcW w:w="1022" w:type="dxa"/>
            <w:tcBorders>
              <w:top w:val="nil"/>
              <w:left w:val="nil"/>
              <w:bottom w:val="nil"/>
              <w:right w:val="nil"/>
            </w:tcBorders>
          </w:tcPr>
          <w:p w14:paraId="0386846E" w14:textId="77777777" w:rsidR="00D0470C" w:rsidRPr="00EA192D" w:rsidRDefault="00D0470C" w:rsidP="00EA192D">
            <w:pPr>
              <w:pStyle w:val="-212"/>
              <w:bidi w:val="0"/>
              <w:spacing w:line="192" w:lineRule="auto"/>
              <w:jc w:val="both"/>
              <w:rPr>
                <w:rtl/>
              </w:rPr>
            </w:pPr>
          </w:p>
        </w:tc>
        <w:tc>
          <w:tcPr>
            <w:tcW w:w="1106" w:type="dxa"/>
            <w:tcBorders>
              <w:top w:val="nil"/>
              <w:left w:val="nil"/>
              <w:bottom w:val="nil"/>
              <w:right w:val="nil"/>
            </w:tcBorders>
          </w:tcPr>
          <w:p w14:paraId="5A931D4B" w14:textId="77777777" w:rsidR="00D0470C" w:rsidRPr="00EA192D" w:rsidRDefault="00D0470C" w:rsidP="00EA192D">
            <w:pPr>
              <w:pStyle w:val="-212"/>
              <w:bidi w:val="0"/>
              <w:spacing w:line="192" w:lineRule="auto"/>
              <w:jc w:val="both"/>
              <w:rPr>
                <w:rtl/>
              </w:rPr>
            </w:pPr>
          </w:p>
        </w:tc>
        <w:tc>
          <w:tcPr>
            <w:tcW w:w="1064" w:type="dxa"/>
            <w:tcBorders>
              <w:top w:val="nil"/>
              <w:left w:val="nil"/>
              <w:bottom w:val="nil"/>
              <w:right w:val="nil"/>
            </w:tcBorders>
          </w:tcPr>
          <w:p w14:paraId="58D79BF6" w14:textId="77777777" w:rsidR="00D0470C" w:rsidRPr="00EA192D" w:rsidRDefault="00D0470C" w:rsidP="00EA192D">
            <w:pPr>
              <w:pStyle w:val="-212"/>
              <w:bidi w:val="0"/>
              <w:spacing w:line="192" w:lineRule="auto"/>
              <w:jc w:val="both"/>
              <w:rPr>
                <w:rtl/>
              </w:rPr>
            </w:pPr>
          </w:p>
        </w:tc>
        <w:tc>
          <w:tcPr>
            <w:tcW w:w="1036" w:type="dxa"/>
            <w:tcBorders>
              <w:top w:val="nil"/>
              <w:left w:val="nil"/>
              <w:bottom w:val="nil"/>
              <w:right w:val="nil"/>
            </w:tcBorders>
          </w:tcPr>
          <w:p w14:paraId="628724C6" w14:textId="77777777" w:rsidR="00D0470C" w:rsidRPr="00EA192D" w:rsidRDefault="00D0470C" w:rsidP="00EA192D">
            <w:pPr>
              <w:pStyle w:val="-212"/>
              <w:bidi w:val="0"/>
              <w:spacing w:line="192" w:lineRule="auto"/>
              <w:jc w:val="both"/>
              <w:rPr>
                <w:rtl/>
              </w:rPr>
            </w:pPr>
          </w:p>
        </w:tc>
      </w:tr>
      <w:tr w:rsidR="00D0470C" w:rsidRPr="00543C25" w14:paraId="3B32ABCA" w14:textId="77777777" w:rsidTr="00EC46DF">
        <w:trPr>
          <w:trHeight w:val="259"/>
        </w:trPr>
        <w:tc>
          <w:tcPr>
            <w:tcW w:w="1247" w:type="dxa"/>
            <w:tcBorders>
              <w:top w:val="nil"/>
              <w:left w:val="nil"/>
              <w:bottom w:val="nil"/>
              <w:right w:val="nil"/>
            </w:tcBorders>
          </w:tcPr>
          <w:p w14:paraId="4C3150E1" w14:textId="77777777" w:rsidR="00D0470C" w:rsidRPr="008849A2" w:rsidRDefault="00D0470C" w:rsidP="006F3019">
            <w:pPr>
              <w:pStyle w:val="-0"/>
              <w:ind w:left="0" w:firstLine="0"/>
              <w:rPr>
                <w:b/>
                <w:bCs/>
                <w:sz w:val="14"/>
                <w:szCs w:val="14"/>
                <w:rtl/>
              </w:rPr>
            </w:pPr>
          </w:p>
        </w:tc>
        <w:tc>
          <w:tcPr>
            <w:tcW w:w="7793" w:type="dxa"/>
            <w:gridSpan w:val="4"/>
            <w:tcBorders>
              <w:top w:val="nil"/>
              <w:left w:val="nil"/>
              <w:bottom w:val="nil"/>
              <w:right w:val="nil"/>
            </w:tcBorders>
            <w:vAlign w:val="bottom"/>
          </w:tcPr>
          <w:p w14:paraId="1AF89571" w14:textId="77777777" w:rsidR="00F32A2A" w:rsidRPr="002236DD" w:rsidRDefault="00D0470C" w:rsidP="000F5659">
            <w:pPr>
              <w:pStyle w:val="-0"/>
              <w:tabs>
                <w:tab w:val="left" w:pos="356"/>
              </w:tabs>
              <w:spacing w:line="240" w:lineRule="auto"/>
              <w:rPr>
                <w:b/>
                <w:bCs/>
                <w:rtl/>
              </w:rPr>
            </w:pPr>
            <w:r w:rsidRPr="00561E19">
              <w:rPr>
                <w:rFonts w:hint="cs"/>
                <w:b/>
                <w:bCs/>
                <w:rtl/>
              </w:rPr>
              <w:t>3.</w:t>
            </w:r>
            <w:r w:rsidRPr="00561E19">
              <w:rPr>
                <w:b/>
                <w:bCs/>
                <w:rtl/>
              </w:rPr>
              <w:tab/>
            </w:r>
            <w:r w:rsidRPr="00561E19">
              <w:rPr>
                <w:rFonts w:hint="cs"/>
                <w:b/>
                <w:bCs/>
                <w:rtl/>
              </w:rPr>
              <w:t xml:space="preserve">פירוט ההשפעה נטו של מכשירים נגזרים מגדרים </w:t>
            </w:r>
            <w:r w:rsidRPr="00561E19">
              <w:rPr>
                <w:b/>
                <w:bCs/>
                <w:rtl/>
              </w:rPr>
              <w:br/>
            </w:r>
            <w:r w:rsidRPr="002236DD">
              <w:rPr>
                <w:rFonts w:hint="cs"/>
                <w:b/>
                <w:bCs/>
                <w:rtl/>
              </w:rPr>
              <w:tab/>
              <w:t xml:space="preserve">  על הכנסות והוצאות ריבית:</w:t>
            </w:r>
            <w:r w:rsidR="00B44059" w:rsidRPr="002236DD">
              <w:rPr>
                <w:b/>
                <w:bCs/>
                <w:vertAlign w:val="superscript"/>
                <w:rtl/>
              </w:rPr>
              <w:t>(ג)</w:t>
            </w:r>
          </w:p>
        </w:tc>
        <w:tc>
          <w:tcPr>
            <w:tcW w:w="1036" w:type="dxa"/>
            <w:tcBorders>
              <w:top w:val="nil"/>
              <w:left w:val="nil"/>
              <w:bottom w:val="nil"/>
              <w:right w:val="nil"/>
            </w:tcBorders>
            <w:vAlign w:val="bottom"/>
          </w:tcPr>
          <w:p w14:paraId="4D89D163" w14:textId="77777777" w:rsidR="00D0470C" w:rsidRPr="002236DD" w:rsidRDefault="00D0470C" w:rsidP="00EA192D">
            <w:pPr>
              <w:pStyle w:val="-0"/>
              <w:spacing w:line="192" w:lineRule="auto"/>
              <w:rPr>
                <w:rtl/>
              </w:rPr>
            </w:pPr>
          </w:p>
        </w:tc>
      </w:tr>
      <w:tr w:rsidR="00D0470C" w:rsidRPr="00543C25" w14:paraId="602C2D38" w14:textId="77777777" w:rsidTr="00EC46DF">
        <w:trPr>
          <w:trHeight w:val="259"/>
        </w:trPr>
        <w:tc>
          <w:tcPr>
            <w:tcW w:w="1247" w:type="dxa"/>
            <w:tcBorders>
              <w:top w:val="nil"/>
              <w:left w:val="nil"/>
              <w:bottom w:val="nil"/>
              <w:right w:val="nil"/>
            </w:tcBorders>
          </w:tcPr>
          <w:p w14:paraId="21F542A5"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590A7ABF" w14:textId="1B87F1A3" w:rsidR="00D0470C" w:rsidRPr="00561E19" w:rsidRDefault="00D0470C" w:rsidP="000F5659">
            <w:pPr>
              <w:pStyle w:val="-0"/>
              <w:spacing w:line="192" w:lineRule="auto"/>
              <w:ind w:left="73" w:firstLine="281"/>
              <w:rPr>
                <w:rtl/>
              </w:rPr>
            </w:pPr>
            <w:r w:rsidRPr="00561E19">
              <w:rPr>
                <w:rFonts w:hint="cs"/>
                <w:rtl/>
              </w:rPr>
              <w:t xml:space="preserve">הכנסות ריבית </w:t>
            </w:r>
          </w:p>
        </w:tc>
        <w:tc>
          <w:tcPr>
            <w:tcW w:w="1022" w:type="dxa"/>
            <w:tcBorders>
              <w:top w:val="nil"/>
              <w:left w:val="nil"/>
              <w:bottom w:val="nil"/>
              <w:right w:val="nil"/>
            </w:tcBorders>
            <w:vAlign w:val="bottom"/>
          </w:tcPr>
          <w:p w14:paraId="0213E42E" w14:textId="77777777" w:rsidR="00D0470C" w:rsidRPr="00345D83" w:rsidRDefault="00D0470C" w:rsidP="00EA192D">
            <w:pPr>
              <w:pStyle w:val="-0"/>
              <w:spacing w:line="192" w:lineRule="auto"/>
              <w:rPr>
                <w:rtl/>
              </w:rPr>
            </w:pPr>
            <w:r w:rsidRPr="00345D83">
              <w:rPr>
                <w:rFonts w:hint="cs"/>
                <w:rtl/>
              </w:rPr>
              <w:t>0</w:t>
            </w:r>
          </w:p>
        </w:tc>
        <w:tc>
          <w:tcPr>
            <w:tcW w:w="1106" w:type="dxa"/>
            <w:tcBorders>
              <w:top w:val="nil"/>
              <w:left w:val="nil"/>
              <w:bottom w:val="nil"/>
              <w:right w:val="nil"/>
            </w:tcBorders>
            <w:vAlign w:val="bottom"/>
          </w:tcPr>
          <w:p w14:paraId="502576AD" w14:textId="77777777" w:rsidR="00D0470C" w:rsidRPr="00345D83" w:rsidRDefault="00D0470C" w:rsidP="00EA192D">
            <w:pPr>
              <w:pStyle w:val="-0"/>
              <w:spacing w:line="192" w:lineRule="auto"/>
              <w:rPr>
                <w:rtl/>
              </w:rPr>
            </w:pPr>
            <w:r w:rsidRPr="00345D83">
              <w:rPr>
                <w:rFonts w:hint="cs"/>
                <w:rtl/>
              </w:rPr>
              <w:t>0</w:t>
            </w:r>
          </w:p>
        </w:tc>
        <w:tc>
          <w:tcPr>
            <w:tcW w:w="1064" w:type="dxa"/>
            <w:tcBorders>
              <w:top w:val="nil"/>
              <w:left w:val="nil"/>
              <w:bottom w:val="nil"/>
              <w:right w:val="nil"/>
            </w:tcBorders>
            <w:vAlign w:val="bottom"/>
          </w:tcPr>
          <w:p w14:paraId="4846AD02"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5A67EE42" w14:textId="77777777" w:rsidR="00D0470C" w:rsidRPr="00345D83" w:rsidRDefault="00D0470C" w:rsidP="00EA192D">
            <w:pPr>
              <w:pStyle w:val="-0"/>
              <w:spacing w:line="192" w:lineRule="auto"/>
              <w:rPr>
                <w:rtl/>
              </w:rPr>
            </w:pPr>
            <w:r w:rsidRPr="00345D83">
              <w:rPr>
                <w:rFonts w:hint="cs"/>
                <w:rtl/>
              </w:rPr>
              <w:t>0</w:t>
            </w:r>
          </w:p>
        </w:tc>
      </w:tr>
      <w:tr w:rsidR="00D0470C" w:rsidRPr="00543C25" w14:paraId="75AA7B50" w14:textId="77777777" w:rsidTr="00EC46DF">
        <w:trPr>
          <w:trHeight w:val="259"/>
        </w:trPr>
        <w:tc>
          <w:tcPr>
            <w:tcW w:w="1247" w:type="dxa"/>
            <w:tcBorders>
              <w:top w:val="nil"/>
              <w:left w:val="nil"/>
              <w:bottom w:val="nil"/>
              <w:right w:val="nil"/>
            </w:tcBorders>
          </w:tcPr>
          <w:p w14:paraId="19CFB5FB"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50852298" w14:textId="77777777" w:rsidR="00D0470C" w:rsidRPr="00561E19" w:rsidRDefault="00D0470C" w:rsidP="000F5659">
            <w:pPr>
              <w:pStyle w:val="-0"/>
              <w:spacing w:line="192" w:lineRule="auto"/>
              <w:ind w:left="73" w:firstLine="281"/>
              <w:rPr>
                <w:rtl/>
              </w:rPr>
            </w:pPr>
            <w:r w:rsidRPr="00561E19">
              <w:rPr>
                <w:rFonts w:hint="cs"/>
                <w:rtl/>
              </w:rPr>
              <w:t>הוצאות ריבית</w:t>
            </w:r>
          </w:p>
        </w:tc>
        <w:tc>
          <w:tcPr>
            <w:tcW w:w="1022" w:type="dxa"/>
            <w:tcBorders>
              <w:top w:val="nil"/>
              <w:left w:val="nil"/>
              <w:bottom w:val="nil"/>
              <w:right w:val="nil"/>
            </w:tcBorders>
            <w:vAlign w:val="bottom"/>
          </w:tcPr>
          <w:p w14:paraId="1E8CF4D7" w14:textId="77777777" w:rsidR="00D0470C" w:rsidRPr="00561E19" w:rsidRDefault="00D0470C" w:rsidP="00EA192D">
            <w:pPr>
              <w:pStyle w:val="-0"/>
              <w:spacing w:line="192" w:lineRule="auto"/>
              <w:rPr>
                <w:rtl/>
              </w:rPr>
            </w:pPr>
            <w:r w:rsidRPr="00561E19">
              <w:rPr>
                <w:rFonts w:hint="cs"/>
                <w:rtl/>
              </w:rPr>
              <w:t>0</w:t>
            </w:r>
          </w:p>
        </w:tc>
        <w:tc>
          <w:tcPr>
            <w:tcW w:w="1106" w:type="dxa"/>
            <w:tcBorders>
              <w:top w:val="nil"/>
              <w:left w:val="nil"/>
              <w:bottom w:val="nil"/>
              <w:right w:val="nil"/>
            </w:tcBorders>
            <w:vAlign w:val="bottom"/>
          </w:tcPr>
          <w:p w14:paraId="2099AADB" w14:textId="77777777" w:rsidR="00D0470C" w:rsidRPr="00345D83" w:rsidRDefault="00D0470C" w:rsidP="00EA192D">
            <w:pPr>
              <w:pStyle w:val="-0"/>
              <w:spacing w:line="192" w:lineRule="auto"/>
              <w:rPr>
                <w:rtl/>
              </w:rPr>
            </w:pPr>
            <w:r w:rsidRPr="00345D83">
              <w:rPr>
                <w:rFonts w:hint="cs"/>
                <w:rtl/>
              </w:rPr>
              <w:t>0</w:t>
            </w:r>
          </w:p>
        </w:tc>
        <w:tc>
          <w:tcPr>
            <w:tcW w:w="1064" w:type="dxa"/>
            <w:tcBorders>
              <w:top w:val="nil"/>
              <w:left w:val="nil"/>
              <w:bottom w:val="nil"/>
              <w:right w:val="nil"/>
            </w:tcBorders>
            <w:vAlign w:val="bottom"/>
          </w:tcPr>
          <w:p w14:paraId="423C69BA"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22B0DA11" w14:textId="77777777" w:rsidR="00D0470C" w:rsidRPr="00345D83" w:rsidRDefault="00D0470C" w:rsidP="00EA192D">
            <w:pPr>
              <w:pStyle w:val="-0"/>
              <w:spacing w:line="192" w:lineRule="auto"/>
              <w:rPr>
                <w:rtl/>
              </w:rPr>
            </w:pPr>
            <w:r w:rsidRPr="00345D83">
              <w:rPr>
                <w:rFonts w:hint="cs"/>
                <w:rtl/>
              </w:rPr>
              <w:t>0</w:t>
            </w:r>
          </w:p>
        </w:tc>
      </w:tr>
      <w:tr w:rsidR="00D0470C" w:rsidRPr="00543C25" w14:paraId="3610D8FC" w14:textId="77777777" w:rsidTr="00EC46DF">
        <w:trPr>
          <w:trHeight w:val="157"/>
        </w:trPr>
        <w:tc>
          <w:tcPr>
            <w:tcW w:w="1247" w:type="dxa"/>
            <w:tcBorders>
              <w:top w:val="nil"/>
              <w:left w:val="nil"/>
              <w:bottom w:val="nil"/>
              <w:right w:val="nil"/>
            </w:tcBorders>
          </w:tcPr>
          <w:p w14:paraId="2849B4A9" w14:textId="77777777" w:rsidR="00D0470C" w:rsidRDefault="00D0470C" w:rsidP="00EA192D">
            <w:pPr>
              <w:pStyle w:val="-0"/>
              <w:bidi w:val="0"/>
              <w:spacing w:line="144" w:lineRule="auto"/>
              <w:ind w:left="0" w:firstLine="0"/>
              <w:jc w:val="both"/>
              <w:rPr>
                <w:sz w:val="14"/>
                <w:szCs w:val="14"/>
                <w:rtl/>
              </w:rPr>
            </w:pPr>
          </w:p>
        </w:tc>
        <w:tc>
          <w:tcPr>
            <w:tcW w:w="4601" w:type="dxa"/>
            <w:tcBorders>
              <w:top w:val="nil"/>
              <w:left w:val="nil"/>
              <w:bottom w:val="nil"/>
              <w:right w:val="nil"/>
            </w:tcBorders>
            <w:vAlign w:val="bottom"/>
          </w:tcPr>
          <w:p w14:paraId="2EA46FF7" w14:textId="77777777" w:rsidR="00D0470C" w:rsidRPr="00EA192D" w:rsidRDefault="00D0470C" w:rsidP="00EA192D">
            <w:pPr>
              <w:pStyle w:val="-0"/>
              <w:bidi w:val="0"/>
              <w:spacing w:line="144" w:lineRule="auto"/>
              <w:ind w:left="590"/>
              <w:jc w:val="both"/>
              <w:rPr>
                <w:rtl/>
              </w:rPr>
            </w:pPr>
          </w:p>
        </w:tc>
        <w:tc>
          <w:tcPr>
            <w:tcW w:w="1022" w:type="dxa"/>
            <w:tcBorders>
              <w:top w:val="nil"/>
              <w:left w:val="nil"/>
              <w:bottom w:val="nil"/>
              <w:right w:val="nil"/>
            </w:tcBorders>
          </w:tcPr>
          <w:p w14:paraId="756835E3" w14:textId="77777777" w:rsidR="00D0470C" w:rsidRPr="00EA192D" w:rsidRDefault="00D0470C" w:rsidP="00EA192D">
            <w:pPr>
              <w:pStyle w:val="-7"/>
              <w:bidi w:val="0"/>
              <w:spacing w:line="192" w:lineRule="auto"/>
              <w:rPr>
                <w:rtl/>
              </w:rPr>
            </w:pPr>
          </w:p>
        </w:tc>
        <w:tc>
          <w:tcPr>
            <w:tcW w:w="1106" w:type="dxa"/>
            <w:tcBorders>
              <w:top w:val="nil"/>
              <w:left w:val="nil"/>
              <w:bottom w:val="nil"/>
              <w:right w:val="nil"/>
            </w:tcBorders>
          </w:tcPr>
          <w:p w14:paraId="39E83988" w14:textId="77777777" w:rsidR="00D0470C" w:rsidRPr="00EA192D" w:rsidRDefault="00D0470C" w:rsidP="00EA192D">
            <w:pPr>
              <w:pStyle w:val="-7"/>
              <w:bidi w:val="0"/>
              <w:spacing w:line="192" w:lineRule="auto"/>
              <w:rPr>
                <w:rtl/>
              </w:rPr>
            </w:pPr>
          </w:p>
        </w:tc>
        <w:tc>
          <w:tcPr>
            <w:tcW w:w="1064" w:type="dxa"/>
            <w:tcBorders>
              <w:top w:val="nil"/>
              <w:left w:val="nil"/>
              <w:bottom w:val="nil"/>
              <w:right w:val="nil"/>
            </w:tcBorders>
          </w:tcPr>
          <w:p w14:paraId="1CF3D7D2" w14:textId="77777777" w:rsidR="00D0470C" w:rsidRPr="00EA192D" w:rsidRDefault="00D0470C" w:rsidP="00EA192D">
            <w:pPr>
              <w:pStyle w:val="-7"/>
              <w:bidi w:val="0"/>
              <w:spacing w:line="192" w:lineRule="auto"/>
              <w:rPr>
                <w:rtl/>
              </w:rPr>
            </w:pPr>
          </w:p>
        </w:tc>
        <w:tc>
          <w:tcPr>
            <w:tcW w:w="1036" w:type="dxa"/>
            <w:tcBorders>
              <w:top w:val="nil"/>
              <w:left w:val="nil"/>
              <w:bottom w:val="nil"/>
              <w:right w:val="nil"/>
            </w:tcBorders>
          </w:tcPr>
          <w:p w14:paraId="51AB5CB8" w14:textId="77777777" w:rsidR="00D0470C" w:rsidRPr="00EA192D" w:rsidRDefault="00D0470C" w:rsidP="00EA192D">
            <w:pPr>
              <w:pStyle w:val="-7"/>
              <w:bidi w:val="0"/>
              <w:spacing w:line="192" w:lineRule="auto"/>
              <w:rPr>
                <w:rtl/>
              </w:rPr>
            </w:pPr>
          </w:p>
        </w:tc>
      </w:tr>
      <w:tr w:rsidR="00D0470C" w:rsidRPr="00543C25" w14:paraId="21A01EA5" w14:textId="77777777" w:rsidTr="00EC46DF">
        <w:trPr>
          <w:trHeight w:val="259"/>
        </w:trPr>
        <w:tc>
          <w:tcPr>
            <w:tcW w:w="1247" w:type="dxa"/>
            <w:tcBorders>
              <w:top w:val="nil"/>
              <w:left w:val="nil"/>
              <w:bottom w:val="nil"/>
              <w:right w:val="nil"/>
            </w:tcBorders>
          </w:tcPr>
          <w:p w14:paraId="3F6102BB" w14:textId="77777777" w:rsidR="00D0470C" w:rsidRPr="008849A2" w:rsidRDefault="00D0470C" w:rsidP="006F3019">
            <w:pPr>
              <w:pStyle w:val="-0"/>
              <w:ind w:left="0" w:firstLine="0"/>
              <w:rPr>
                <w:b/>
                <w:bCs/>
                <w:sz w:val="14"/>
                <w:szCs w:val="14"/>
                <w:rtl/>
              </w:rPr>
            </w:pPr>
          </w:p>
        </w:tc>
        <w:tc>
          <w:tcPr>
            <w:tcW w:w="6729" w:type="dxa"/>
            <w:gridSpan w:val="3"/>
            <w:tcBorders>
              <w:top w:val="nil"/>
              <w:left w:val="nil"/>
              <w:bottom w:val="nil"/>
              <w:right w:val="nil"/>
            </w:tcBorders>
            <w:vAlign w:val="bottom"/>
          </w:tcPr>
          <w:p w14:paraId="07B288D8" w14:textId="77777777" w:rsidR="00D0470C" w:rsidRPr="00561E19" w:rsidRDefault="00D0470C" w:rsidP="000F5659">
            <w:pPr>
              <w:pStyle w:val="-0"/>
              <w:tabs>
                <w:tab w:val="left" w:pos="356"/>
              </w:tabs>
              <w:spacing w:line="240" w:lineRule="auto"/>
              <w:rPr>
                <w:b/>
                <w:bCs/>
                <w:rtl/>
              </w:rPr>
            </w:pPr>
            <w:r w:rsidRPr="00561E19">
              <w:rPr>
                <w:rFonts w:hint="cs"/>
                <w:b/>
                <w:bCs/>
                <w:rtl/>
              </w:rPr>
              <w:t>4.</w:t>
            </w:r>
            <w:r w:rsidRPr="00561E19">
              <w:rPr>
                <w:b/>
                <w:bCs/>
                <w:rtl/>
              </w:rPr>
              <w:tab/>
            </w:r>
            <w:r w:rsidRPr="00561E19">
              <w:rPr>
                <w:rFonts w:hint="cs"/>
                <w:b/>
                <w:bCs/>
                <w:rtl/>
              </w:rPr>
              <w:t>פירוט הכנסות ריבית על בסיס צבירה מ</w:t>
            </w:r>
            <w:r w:rsidR="00A674A4">
              <w:rPr>
                <w:rFonts w:hint="cs"/>
                <w:b/>
                <w:bCs/>
                <w:rtl/>
              </w:rPr>
              <w:t>אגרות</w:t>
            </w:r>
            <w:r w:rsidRPr="00561E19">
              <w:rPr>
                <w:rFonts w:hint="cs"/>
                <w:b/>
                <w:bCs/>
                <w:rtl/>
              </w:rPr>
              <w:t xml:space="preserve"> חוב:</w:t>
            </w:r>
          </w:p>
        </w:tc>
        <w:tc>
          <w:tcPr>
            <w:tcW w:w="1064" w:type="dxa"/>
            <w:tcBorders>
              <w:top w:val="nil"/>
              <w:left w:val="nil"/>
              <w:bottom w:val="nil"/>
              <w:right w:val="nil"/>
            </w:tcBorders>
            <w:vAlign w:val="bottom"/>
          </w:tcPr>
          <w:p w14:paraId="67386FD4" w14:textId="77777777" w:rsidR="00D0470C" w:rsidRPr="00345D83" w:rsidRDefault="00D0470C" w:rsidP="00EA192D">
            <w:pPr>
              <w:pStyle w:val="-0"/>
              <w:spacing w:line="192" w:lineRule="auto"/>
              <w:rPr>
                <w:rtl/>
              </w:rPr>
            </w:pPr>
          </w:p>
        </w:tc>
        <w:tc>
          <w:tcPr>
            <w:tcW w:w="1036" w:type="dxa"/>
            <w:tcBorders>
              <w:top w:val="nil"/>
              <w:left w:val="nil"/>
              <w:bottom w:val="nil"/>
              <w:right w:val="nil"/>
            </w:tcBorders>
            <w:vAlign w:val="bottom"/>
          </w:tcPr>
          <w:p w14:paraId="7B26FC0B" w14:textId="77777777" w:rsidR="00D0470C" w:rsidRPr="00345D83" w:rsidRDefault="00D0470C" w:rsidP="00EA192D">
            <w:pPr>
              <w:pStyle w:val="-0"/>
              <w:spacing w:line="192" w:lineRule="auto"/>
              <w:rPr>
                <w:rtl/>
              </w:rPr>
            </w:pPr>
          </w:p>
        </w:tc>
      </w:tr>
      <w:tr w:rsidR="00D0470C" w:rsidRPr="00543C25" w14:paraId="3F431BEA" w14:textId="77777777" w:rsidTr="00EC46DF">
        <w:trPr>
          <w:trHeight w:val="259"/>
        </w:trPr>
        <w:tc>
          <w:tcPr>
            <w:tcW w:w="1247" w:type="dxa"/>
            <w:tcBorders>
              <w:top w:val="nil"/>
              <w:left w:val="nil"/>
              <w:bottom w:val="nil"/>
              <w:right w:val="nil"/>
            </w:tcBorders>
          </w:tcPr>
          <w:p w14:paraId="16C4621B"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06F46833" w14:textId="77777777" w:rsidR="00D0470C" w:rsidRPr="00561E19" w:rsidRDefault="00D0470C" w:rsidP="000F5659">
            <w:pPr>
              <w:pStyle w:val="-0"/>
              <w:spacing w:line="192" w:lineRule="auto"/>
              <w:ind w:left="498"/>
              <w:rPr>
                <w:rtl/>
              </w:rPr>
            </w:pPr>
            <w:r w:rsidRPr="00561E19">
              <w:rPr>
                <w:rFonts w:hint="cs"/>
                <w:rtl/>
              </w:rPr>
              <w:t>מוחזקות לפדיון</w:t>
            </w:r>
          </w:p>
        </w:tc>
        <w:tc>
          <w:tcPr>
            <w:tcW w:w="1022" w:type="dxa"/>
            <w:tcBorders>
              <w:top w:val="nil"/>
              <w:left w:val="nil"/>
              <w:bottom w:val="nil"/>
              <w:right w:val="nil"/>
            </w:tcBorders>
            <w:vAlign w:val="bottom"/>
          </w:tcPr>
          <w:p w14:paraId="694E1D74" w14:textId="77777777" w:rsidR="00D0470C" w:rsidRPr="00561E19" w:rsidRDefault="00D0470C" w:rsidP="00EA192D">
            <w:pPr>
              <w:pStyle w:val="-0"/>
              <w:spacing w:line="192" w:lineRule="auto"/>
              <w:rPr>
                <w:rtl/>
              </w:rPr>
            </w:pPr>
            <w:r w:rsidRPr="00561E19">
              <w:rPr>
                <w:rFonts w:hint="cs"/>
                <w:rtl/>
              </w:rPr>
              <w:t>0</w:t>
            </w:r>
          </w:p>
        </w:tc>
        <w:tc>
          <w:tcPr>
            <w:tcW w:w="1106" w:type="dxa"/>
            <w:tcBorders>
              <w:top w:val="nil"/>
              <w:left w:val="nil"/>
              <w:bottom w:val="nil"/>
              <w:right w:val="nil"/>
            </w:tcBorders>
            <w:vAlign w:val="bottom"/>
          </w:tcPr>
          <w:p w14:paraId="74CCDC6E" w14:textId="77777777" w:rsidR="00D0470C" w:rsidRPr="00345D83" w:rsidRDefault="00D0470C" w:rsidP="00EA192D">
            <w:pPr>
              <w:pStyle w:val="-0"/>
              <w:spacing w:line="192" w:lineRule="auto"/>
              <w:rPr>
                <w:rtl/>
              </w:rPr>
            </w:pPr>
            <w:r w:rsidRPr="00345D83">
              <w:rPr>
                <w:rFonts w:hint="cs"/>
                <w:rtl/>
              </w:rPr>
              <w:t>0</w:t>
            </w:r>
          </w:p>
        </w:tc>
        <w:tc>
          <w:tcPr>
            <w:tcW w:w="1064" w:type="dxa"/>
            <w:tcBorders>
              <w:top w:val="nil"/>
              <w:left w:val="nil"/>
              <w:bottom w:val="nil"/>
              <w:right w:val="nil"/>
            </w:tcBorders>
            <w:vAlign w:val="bottom"/>
          </w:tcPr>
          <w:p w14:paraId="72315A60"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6A64FCCC" w14:textId="77777777" w:rsidR="00D0470C" w:rsidRPr="00345D83" w:rsidRDefault="00D0470C" w:rsidP="00EA192D">
            <w:pPr>
              <w:pStyle w:val="-0"/>
              <w:spacing w:line="192" w:lineRule="auto"/>
              <w:rPr>
                <w:rtl/>
              </w:rPr>
            </w:pPr>
            <w:r w:rsidRPr="00345D83">
              <w:rPr>
                <w:rFonts w:hint="cs"/>
                <w:rtl/>
              </w:rPr>
              <w:t>0</w:t>
            </w:r>
          </w:p>
        </w:tc>
      </w:tr>
      <w:tr w:rsidR="00D0470C" w:rsidRPr="00543C25" w14:paraId="56D6BC6E" w14:textId="77777777" w:rsidTr="00EC46DF">
        <w:trPr>
          <w:trHeight w:val="259"/>
        </w:trPr>
        <w:tc>
          <w:tcPr>
            <w:tcW w:w="1247" w:type="dxa"/>
            <w:tcBorders>
              <w:top w:val="nil"/>
              <w:left w:val="nil"/>
              <w:bottom w:val="nil"/>
              <w:right w:val="nil"/>
            </w:tcBorders>
          </w:tcPr>
          <w:p w14:paraId="0C92B8E0"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73CB2D2F" w14:textId="77777777" w:rsidR="00D0470C" w:rsidRPr="00561E19" w:rsidRDefault="00D0470C" w:rsidP="000F5659">
            <w:pPr>
              <w:pStyle w:val="-0"/>
              <w:spacing w:line="192" w:lineRule="auto"/>
              <w:ind w:left="498"/>
              <w:rPr>
                <w:rtl/>
              </w:rPr>
            </w:pPr>
            <w:r w:rsidRPr="00561E19">
              <w:rPr>
                <w:rFonts w:hint="cs"/>
                <w:rtl/>
              </w:rPr>
              <w:t>זמינות למכירה</w:t>
            </w:r>
          </w:p>
        </w:tc>
        <w:tc>
          <w:tcPr>
            <w:tcW w:w="1022" w:type="dxa"/>
            <w:tcBorders>
              <w:top w:val="nil"/>
              <w:left w:val="nil"/>
              <w:bottom w:val="nil"/>
              <w:right w:val="nil"/>
            </w:tcBorders>
            <w:vAlign w:val="bottom"/>
          </w:tcPr>
          <w:p w14:paraId="54914CAC" w14:textId="77777777" w:rsidR="00D0470C" w:rsidRPr="00345D83" w:rsidRDefault="00D0470C" w:rsidP="00EA192D">
            <w:pPr>
              <w:pStyle w:val="-0"/>
              <w:spacing w:line="192" w:lineRule="auto"/>
              <w:rPr>
                <w:rtl/>
              </w:rPr>
            </w:pPr>
            <w:r w:rsidRPr="00561E19">
              <w:rPr>
                <w:rFonts w:hint="cs"/>
                <w:rtl/>
              </w:rPr>
              <w:t>0</w:t>
            </w:r>
          </w:p>
        </w:tc>
        <w:tc>
          <w:tcPr>
            <w:tcW w:w="1106" w:type="dxa"/>
            <w:tcBorders>
              <w:top w:val="nil"/>
              <w:left w:val="nil"/>
              <w:bottom w:val="nil"/>
              <w:right w:val="nil"/>
            </w:tcBorders>
            <w:vAlign w:val="bottom"/>
          </w:tcPr>
          <w:p w14:paraId="65375233" w14:textId="77777777" w:rsidR="00D0470C" w:rsidRPr="00345D83" w:rsidRDefault="00D0470C" w:rsidP="00EA192D">
            <w:pPr>
              <w:pStyle w:val="-0"/>
              <w:spacing w:line="192" w:lineRule="auto"/>
              <w:rPr>
                <w:rtl/>
              </w:rPr>
            </w:pPr>
            <w:r w:rsidRPr="00345D83">
              <w:rPr>
                <w:rFonts w:hint="cs"/>
                <w:rtl/>
              </w:rPr>
              <w:t>0</w:t>
            </w:r>
          </w:p>
        </w:tc>
        <w:tc>
          <w:tcPr>
            <w:tcW w:w="1064" w:type="dxa"/>
            <w:tcBorders>
              <w:top w:val="nil"/>
              <w:left w:val="nil"/>
              <w:bottom w:val="nil"/>
              <w:right w:val="nil"/>
            </w:tcBorders>
            <w:vAlign w:val="bottom"/>
          </w:tcPr>
          <w:p w14:paraId="16596810" w14:textId="77777777" w:rsidR="00D0470C" w:rsidRPr="00345D83" w:rsidRDefault="00D0470C" w:rsidP="00EA192D">
            <w:pPr>
              <w:pStyle w:val="-0"/>
              <w:spacing w:line="192" w:lineRule="auto"/>
              <w:rPr>
                <w:rtl/>
              </w:rPr>
            </w:pPr>
            <w:r w:rsidRPr="00345D83">
              <w:rPr>
                <w:rFonts w:hint="cs"/>
                <w:rtl/>
              </w:rPr>
              <w:t>0</w:t>
            </w:r>
          </w:p>
        </w:tc>
        <w:tc>
          <w:tcPr>
            <w:tcW w:w="1036" w:type="dxa"/>
            <w:tcBorders>
              <w:top w:val="nil"/>
              <w:left w:val="nil"/>
              <w:bottom w:val="nil"/>
              <w:right w:val="nil"/>
            </w:tcBorders>
            <w:vAlign w:val="bottom"/>
          </w:tcPr>
          <w:p w14:paraId="7EF9F91D" w14:textId="77777777" w:rsidR="00D0470C" w:rsidRPr="00345D83" w:rsidRDefault="00D0470C" w:rsidP="00EA192D">
            <w:pPr>
              <w:pStyle w:val="-0"/>
              <w:spacing w:line="192" w:lineRule="auto"/>
              <w:rPr>
                <w:rtl/>
              </w:rPr>
            </w:pPr>
            <w:r w:rsidRPr="00345D83">
              <w:rPr>
                <w:rFonts w:hint="cs"/>
                <w:rtl/>
              </w:rPr>
              <w:t>0</w:t>
            </w:r>
          </w:p>
        </w:tc>
      </w:tr>
      <w:tr w:rsidR="00D0470C" w:rsidRPr="00543C25" w14:paraId="2B6757AD" w14:textId="77777777" w:rsidTr="00EC46DF">
        <w:trPr>
          <w:trHeight w:val="259"/>
        </w:trPr>
        <w:tc>
          <w:tcPr>
            <w:tcW w:w="1247" w:type="dxa"/>
            <w:tcBorders>
              <w:top w:val="nil"/>
              <w:left w:val="nil"/>
              <w:bottom w:val="nil"/>
              <w:right w:val="nil"/>
            </w:tcBorders>
          </w:tcPr>
          <w:p w14:paraId="07079B36"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49DA1286" w14:textId="77777777" w:rsidR="00D0470C" w:rsidRPr="00561E19" w:rsidRDefault="00D0470C" w:rsidP="000F5659">
            <w:pPr>
              <w:pStyle w:val="-0"/>
              <w:spacing w:line="192" w:lineRule="auto"/>
              <w:ind w:left="498"/>
              <w:rPr>
                <w:rtl/>
              </w:rPr>
            </w:pPr>
            <w:r w:rsidRPr="00561E19">
              <w:rPr>
                <w:rFonts w:hint="cs"/>
                <w:rtl/>
              </w:rPr>
              <w:t>למסחר</w:t>
            </w:r>
          </w:p>
        </w:tc>
        <w:tc>
          <w:tcPr>
            <w:tcW w:w="1022" w:type="dxa"/>
            <w:tcBorders>
              <w:top w:val="nil"/>
              <w:left w:val="nil"/>
              <w:bottom w:val="nil"/>
              <w:right w:val="nil"/>
            </w:tcBorders>
            <w:vAlign w:val="bottom"/>
          </w:tcPr>
          <w:p w14:paraId="4E058974" w14:textId="77777777" w:rsidR="00D0470C" w:rsidRPr="00EA192D" w:rsidRDefault="00D0470C" w:rsidP="00EA192D">
            <w:pPr>
              <w:pStyle w:val="-0"/>
              <w:pBdr>
                <w:bottom w:val="single" w:sz="4" w:space="1" w:color="auto"/>
              </w:pBdr>
              <w:spacing w:line="192" w:lineRule="auto"/>
              <w:rPr>
                <w:rtl/>
              </w:rPr>
            </w:pPr>
            <w:r w:rsidRPr="00561E19">
              <w:rPr>
                <w:rFonts w:hint="cs"/>
                <w:rtl/>
              </w:rPr>
              <w:t>0</w:t>
            </w:r>
          </w:p>
        </w:tc>
        <w:tc>
          <w:tcPr>
            <w:tcW w:w="1106" w:type="dxa"/>
            <w:tcBorders>
              <w:top w:val="nil"/>
              <w:left w:val="nil"/>
              <w:bottom w:val="nil"/>
              <w:right w:val="nil"/>
            </w:tcBorders>
            <w:vAlign w:val="bottom"/>
          </w:tcPr>
          <w:p w14:paraId="4576FAC3" w14:textId="77777777" w:rsidR="00D0470C" w:rsidRPr="00EA192D" w:rsidRDefault="00D0470C" w:rsidP="00EA192D">
            <w:pPr>
              <w:pStyle w:val="-0"/>
              <w:pBdr>
                <w:bottom w:val="single" w:sz="4" w:space="1" w:color="auto"/>
              </w:pBdr>
              <w:spacing w:line="192" w:lineRule="auto"/>
              <w:rPr>
                <w:rtl/>
              </w:rPr>
            </w:pPr>
            <w:r w:rsidRPr="00561E19">
              <w:rPr>
                <w:rFonts w:hint="cs"/>
                <w:rtl/>
              </w:rPr>
              <w:t>0</w:t>
            </w:r>
          </w:p>
        </w:tc>
        <w:tc>
          <w:tcPr>
            <w:tcW w:w="1064" w:type="dxa"/>
            <w:tcBorders>
              <w:top w:val="nil"/>
              <w:left w:val="nil"/>
              <w:bottom w:val="nil"/>
              <w:right w:val="nil"/>
            </w:tcBorders>
            <w:vAlign w:val="bottom"/>
          </w:tcPr>
          <w:p w14:paraId="007ED998" w14:textId="77777777" w:rsidR="00D0470C" w:rsidRPr="00EA192D" w:rsidRDefault="00D0470C" w:rsidP="00EA192D">
            <w:pPr>
              <w:pStyle w:val="-0"/>
              <w:pBdr>
                <w:bottom w:val="single" w:sz="4" w:space="1" w:color="auto"/>
              </w:pBdr>
              <w:spacing w:line="192" w:lineRule="auto"/>
              <w:rPr>
                <w:rtl/>
              </w:rPr>
            </w:pPr>
            <w:r w:rsidRPr="00561E19">
              <w:rPr>
                <w:rFonts w:hint="cs"/>
                <w:rtl/>
              </w:rPr>
              <w:t>0</w:t>
            </w:r>
          </w:p>
        </w:tc>
        <w:tc>
          <w:tcPr>
            <w:tcW w:w="1036" w:type="dxa"/>
            <w:tcBorders>
              <w:top w:val="nil"/>
              <w:left w:val="nil"/>
              <w:bottom w:val="nil"/>
              <w:right w:val="nil"/>
            </w:tcBorders>
            <w:vAlign w:val="bottom"/>
          </w:tcPr>
          <w:p w14:paraId="1D6E4C07" w14:textId="77777777" w:rsidR="00D0470C" w:rsidRPr="00EA192D" w:rsidRDefault="00D0470C" w:rsidP="00EA192D">
            <w:pPr>
              <w:pStyle w:val="-0"/>
              <w:pBdr>
                <w:bottom w:val="single" w:sz="4" w:space="1" w:color="auto"/>
              </w:pBdr>
              <w:spacing w:line="192" w:lineRule="auto"/>
              <w:rPr>
                <w:rtl/>
              </w:rPr>
            </w:pPr>
            <w:r w:rsidRPr="00561E19">
              <w:rPr>
                <w:rFonts w:hint="cs"/>
                <w:rtl/>
              </w:rPr>
              <w:t>0</w:t>
            </w:r>
          </w:p>
        </w:tc>
      </w:tr>
      <w:tr w:rsidR="00D0470C" w:rsidRPr="00543C25" w14:paraId="6D04BAAB" w14:textId="77777777" w:rsidTr="00EC46DF">
        <w:trPr>
          <w:trHeight w:val="259"/>
        </w:trPr>
        <w:tc>
          <w:tcPr>
            <w:tcW w:w="1247" w:type="dxa"/>
            <w:tcBorders>
              <w:top w:val="nil"/>
              <w:left w:val="nil"/>
              <w:bottom w:val="nil"/>
              <w:right w:val="nil"/>
            </w:tcBorders>
          </w:tcPr>
          <w:p w14:paraId="369B507E" w14:textId="77777777" w:rsidR="00D0470C" w:rsidRPr="008849A2" w:rsidRDefault="00D0470C" w:rsidP="006F3019">
            <w:pPr>
              <w:pStyle w:val="-0"/>
              <w:ind w:left="0" w:firstLine="0"/>
              <w:rPr>
                <w:sz w:val="14"/>
                <w:szCs w:val="14"/>
                <w:rtl/>
              </w:rPr>
            </w:pPr>
          </w:p>
        </w:tc>
        <w:tc>
          <w:tcPr>
            <w:tcW w:w="4601" w:type="dxa"/>
            <w:tcBorders>
              <w:top w:val="nil"/>
              <w:left w:val="nil"/>
              <w:bottom w:val="nil"/>
              <w:right w:val="nil"/>
            </w:tcBorders>
            <w:vAlign w:val="bottom"/>
          </w:tcPr>
          <w:p w14:paraId="7F6BBC49" w14:textId="77777777" w:rsidR="00D0470C" w:rsidRPr="00345D83" w:rsidRDefault="00D0470C" w:rsidP="00EA192D">
            <w:pPr>
              <w:pStyle w:val="-0"/>
              <w:spacing w:line="192" w:lineRule="auto"/>
              <w:ind w:left="590"/>
              <w:rPr>
                <w:b/>
                <w:bCs/>
                <w:rtl/>
              </w:rPr>
            </w:pPr>
            <w:r w:rsidRPr="00561E19">
              <w:rPr>
                <w:b/>
                <w:bCs/>
                <w:rtl/>
              </w:rPr>
              <w:t xml:space="preserve">סך </w:t>
            </w:r>
            <w:r w:rsidRPr="00561E19">
              <w:rPr>
                <w:rFonts w:hint="cs"/>
                <w:b/>
                <w:bCs/>
                <w:rtl/>
              </w:rPr>
              <w:t>ה</w:t>
            </w:r>
            <w:r w:rsidRPr="00561E19">
              <w:rPr>
                <w:b/>
                <w:bCs/>
                <w:rtl/>
              </w:rPr>
              <w:t>כל</w:t>
            </w:r>
            <w:r w:rsidRPr="00561E19">
              <w:rPr>
                <w:rFonts w:hint="cs"/>
                <w:b/>
                <w:bCs/>
                <w:rtl/>
              </w:rPr>
              <w:t xml:space="preserve"> כלול בהכנסות ריבית</w:t>
            </w:r>
            <w:r w:rsidRPr="00345D83" w:rsidDel="00EE1DFF">
              <w:rPr>
                <w:rFonts w:hint="cs"/>
                <w:b/>
                <w:bCs/>
                <w:rtl/>
              </w:rPr>
              <w:t xml:space="preserve"> </w:t>
            </w:r>
          </w:p>
        </w:tc>
        <w:tc>
          <w:tcPr>
            <w:tcW w:w="1022" w:type="dxa"/>
            <w:tcBorders>
              <w:top w:val="nil"/>
              <w:left w:val="nil"/>
              <w:bottom w:val="nil"/>
              <w:right w:val="nil"/>
            </w:tcBorders>
            <w:vAlign w:val="bottom"/>
          </w:tcPr>
          <w:p w14:paraId="63234231" w14:textId="77777777" w:rsidR="00D0470C" w:rsidRPr="00EA192D" w:rsidRDefault="00D0470C" w:rsidP="00EA192D">
            <w:pPr>
              <w:pStyle w:val="-0"/>
              <w:pBdr>
                <w:bottom w:val="double" w:sz="4" w:space="1" w:color="auto"/>
              </w:pBdr>
              <w:spacing w:line="192" w:lineRule="auto"/>
              <w:rPr>
                <w:b/>
                <w:bCs/>
                <w:rtl/>
              </w:rPr>
            </w:pPr>
            <w:r w:rsidRPr="00345D83">
              <w:rPr>
                <w:rFonts w:hint="cs"/>
                <w:b/>
                <w:bCs/>
                <w:rtl/>
              </w:rPr>
              <w:t>0</w:t>
            </w:r>
          </w:p>
        </w:tc>
        <w:tc>
          <w:tcPr>
            <w:tcW w:w="1106" w:type="dxa"/>
            <w:tcBorders>
              <w:top w:val="nil"/>
              <w:left w:val="nil"/>
              <w:bottom w:val="nil"/>
              <w:right w:val="nil"/>
            </w:tcBorders>
            <w:vAlign w:val="bottom"/>
          </w:tcPr>
          <w:p w14:paraId="5AAF2D70" w14:textId="77777777" w:rsidR="00D0470C" w:rsidRPr="00EA192D" w:rsidRDefault="00D0470C" w:rsidP="00EA192D">
            <w:pPr>
              <w:pStyle w:val="-0"/>
              <w:pBdr>
                <w:bottom w:val="double" w:sz="4" w:space="1" w:color="auto"/>
              </w:pBdr>
              <w:spacing w:line="192" w:lineRule="auto"/>
              <w:rPr>
                <w:b/>
                <w:bCs/>
                <w:rtl/>
              </w:rPr>
            </w:pPr>
            <w:r w:rsidRPr="00561E19">
              <w:rPr>
                <w:rFonts w:hint="cs"/>
                <w:b/>
                <w:bCs/>
                <w:rtl/>
              </w:rPr>
              <w:t>0</w:t>
            </w:r>
          </w:p>
        </w:tc>
        <w:tc>
          <w:tcPr>
            <w:tcW w:w="1064" w:type="dxa"/>
            <w:tcBorders>
              <w:top w:val="nil"/>
              <w:left w:val="nil"/>
              <w:bottom w:val="nil"/>
              <w:right w:val="nil"/>
            </w:tcBorders>
            <w:vAlign w:val="bottom"/>
          </w:tcPr>
          <w:p w14:paraId="0D6F0126" w14:textId="77777777" w:rsidR="00D0470C" w:rsidRPr="00EA192D" w:rsidRDefault="00D0470C" w:rsidP="00EA192D">
            <w:pPr>
              <w:pStyle w:val="-0"/>
              <w:pBdr>
                <w:bottom w:val="double" w:sz="4" w:space="1" w:color="auto"/>
              </w:pBdr>
              <w:spacing w:line="192" w:lineRule="auto"/>
              <w:rPr>
                <w:b/>
                <w:bCs/>
                <w:rtl/>
              </w:rPr>
            </w:pPr>
            <w:r w:rsidRPr="00561E19">
              <w:rPr>
                <w:rFonts w:hint="cs"/>
                <w:b/>
                <w:bCs/>
                <w:rtl/>
              </w:rPr>
              <w:t>0</w:t>
            </w:r>
          </w:p>
        </w:tc>
        <w:tc>
          <w:tcPr>
            <w:tcW w:w="1036" w:type="dxa"/>
            <w:tcBorders>
              <w:top w:val="nil"/>
              <w:left w:val="nil"/>
              <w:bottom w:val="nil"/>
              <w:right w:val="nil"/>
            </w:tcBorders>
            <w:vAlign w:val="bottom"/>
          </w:tcPr>
          <w:p w14:paraId="768BD203" w14:textId="77777777" w:rsidR="00D0470C" w:rsidRPr="00EA192D" w:rsidRDefault="00D0470C" w:rsidP="00EA192D">
            <w:pPr>
              <w:pStyle w:val="-0"/>
              <w:pBdr>
                <w:bottom w:val="double" w:sz="4" w:space="1" w:color="auto"/>
              </w:pBdr>
              <w:spacing w:line="192" w:lineRule="auto"/>
              <w:rPr>
                <w:b/>
                <w:bCs/>
                <w:rtl/>
              </w:rPr>
            </w:pPr>
            <w:r w:rsidRPr="00561E19">
              <w:rPr>
                <w:rFonts w:hint="cs"/>
                <w:b/>
                <w:bCs/>
                <w:rtl/>
              </w:rPr>
              <w:t>0</w:t>
            </w:r>
          </w:p>
        </w:tc>
      </w:tr>
      <w:tr w:rsidR="00D0470C" w:rsidRPr="00543C25" w14:paraId="6F7F7827" w14:textId="77777777" w:rsidTr="00EC46DF">
        <w:trPr>
          <w:trHeight w:val="337"/>
        </w:trPr>
        <w:tc>
          <w:tcPr>
            <w:tcW w:w="1247" w:type="dxa"/>
            <w:tcBorders>
              <w:top w:val="nil"/>
              <w:left w:val="nil"/>
              <w:bottom w:val="nil"/>
              <w:right w:val="nil"/>
            </w:tcBorders>
          </w:tcPr>
          <w:p w14:paraId="6B0E309B" w14:textId="77777777" w:rsidR="00F32A2A" w:rsidRDefault="00F32A2A">
            <w:pPr>
              <w:pStyle w:val="-0"/>
              <w:spacing w:line="120" w:lineRule="exact"/>
              <w:ind w:left="0" w:firstLine="0"/>
              <w:rPr>
                <w:sz w:val="14"/>
                <w:szCs w:val="14"/>
                <w:rtl/>
              </w:rPr>
            </w:pPr>
          </w:p>
          <w:p w14:paraId="697A1C71" w14:textId="2743B1F1" w:rsidR="009871A4" w:rsidRDefault="009871A4">
            <w:pPr>
              <w:pStyle w:val="-0"/>
              <w:spacing w:line="120" w:lineRule="exact"/>
              <w:ind w:left="0" w:firstLine="0"/>
              <w:rPr>
                <w:sz w:val="14"/>
                <w:szCs w:val="14"/>
                <w:rtl/>
              </w:rPr>
            </w:pPr>
          </w:p>
        </w:tc>
        <w:tc>
          <w:tcPr>
            <w:tcW w:w="4601" w:type="dxa"/>
            <w:tcBorders>
              <w:top w:val="nil"/>
              <w:left w:val="nil"/>
              <w:bottom w:val="nil"/>
              <w:right w:val="nil"/>
            </w:tcBorders>
            <w:vAlign w:val="bottom"/>
          </w:tcPr>
          <w:p w14:paraId="58127CCA" w14:textId="77777777" w:rsidR="00F32A2A" w:rsidRDefault="00F32A2A">
            <w:pPr>
              <w:pStyle w:val="-0"/>
              <w:spacing w:line="120" w:lineRule="exact"/>
              <w:ind w:left="590"/>
              <w:rPr>
                <w:b/>
                <w:bCs/>
                <w:rtl/>
              </w:rPr>
            </w:pPr>
          </w:p>
          <w:p w14:paraId="0CA211AA" w14:textId="0D963F99" w:rsidR="009871A4" w:rsidRDefault="009871A4">
            <w:pPr>
              <w:pStyle w:val="-0"/>
              <w:spacing w:line="120" w:lineRule="exact"/>
              <w:ind w:left="590"/>
              <w:rPr>
                <w:b/>
                <w:bCs/>
                <w:rtl/>
              </w:rPr>
            </w:pPr>
          </w:p>
        </w:tc>
        <w:tc>
          <w:tcPr>
            <w:tcW w:w="1022" w:type="dxa"/>
            <w:tcBorders>
              <w:top w:val="nil"/>
              <w:left w:val="nil"/>
              <w:bottom w:val="nil"/>
              <w:right w:val="nil"/>
            </w:tcBorders>
            <w:vAlign w:val="bottom"/>
          </w:tcPr>
          <w:p w14:paraId="408C6ED7" w14:textId="77777777" w:rsidR="00F32A2A" w:rsidRDefault="00F32A2A">
            <w:pPr>
              <w:pStyle w:val="-0"/>
              <w:spacing w:line="120" w:lineRule="exact"/>
              <w:rPr>
                <w:b/>
                <w:bCs/>
                <w:sz w:val="24"/>
                <w:szCs w:val="24"/>
                <w:rtl/>
              </w:rPr>
            </w:pPr>
          </w:p>
        </w:tc>
        <w:tc>
          <w:tcPr>
            <w:tcW w:w="1106" w:type="dxa"/>
            <w:tcBorders>
              <w:top w:val="nil"/>
              <w:left w:val="nil"/>
              <w:bottom w:val="nil"/>
              <w:right w:val="nil"/>
            </w:tcBorders>
            <w:vAlign w:val="bottom"/>
          </w:tcPr>
          <w:p w14:paraId="6684FDE7" w14:textId="77777777" w:rsidR="00F32A2A" w:rsidRDefault="00F32A2A">
            <w:pPr>
              <w:pStyle w:val="-0"/>
              <w:spacing w:line="120" w:lineRule="exact"/>
              <w:rPr>
                <w:b/>
                <w:bCs/>
                <w:sz w:val="24"/>
                <w:szCs w:val="24"/>
                <w:rtl/>
              </w:rPr>
            </w:pPr>
          </w:p>
        </w:tc>
        <w:tc>
          <w:tcPr>
            <w:tcW w:w="1064" w:type="dxa"/>
            <w:tcBorders>
              <w:top w:val="nil"/>
              <w:left w:val="nil"/>
              <w:bottom w:val="nil"/>
              <w:right w:val="nil"/>
            </w:tcBorders>
            <w:vAlign w:val="bottom"/>
          </w:tcPr>
          <w:p w14:paraId="170D71EB" w14:textId="77777777" w:rsidR="00F32A2A" w:rsidRDefault="00F32A2A">
            <w:pPr>
              <w:pStyle w:val="-0"/>
              <w:spacing w:line="120" w:lineRule="exact"/>
              <w:rPr>
                <w:b/>
                <w:bCs/>
                <w:sz w:val="24"/>
                <w:szCs w:val="24"/>
                <w:rtl/>
              </w:rPr>
            </w:pPr>
          </w:p>
        </w:tc>
        <w:tc>
          <w:tcPr>
            <w:tcW w:w="1036" w:type="dxa"/>
            <w:tcBorders>
              <w:top w:val="nil"/>
              <w:left w:val="nil"/>
              <w:bottom w:val="nil"/>
              <w:right w:val="nil"/>
            </w:tcBorders>
            <w:vAlign w:val="bottom"/>
          </w:tcPr>
          <w:p w14:paraId="79D80688" w14:textId="77777777" w:rsidR="00F32A2A" w:rsidRDefault="00F32A2A">
            <w:pPr>
              <w:pStyle w:val="-0"/>
              <w:spacing w:line="120" w:lineRule="exact"/>
              <w:rPr>
                <w:b/>
                <w:bCs/>
                <w:sz w:val="24"/>
                <w:szCs w:val="24"/>
                <w:rtl/>
              </w:rPr>
            </w:pPr>
          </w:p>
        </w:tc>
      </w:tr>
    </w:tbl>
    <w:p w14:paraId="31C618D7" w14:textId="77777777" w:rsidR="00F17776" w:rsidRDefault="00F17776"/>
    <w:tbl>
      <w:tblPr>
        <w:bidiVisual/>
        <w:tblW w:w="10011" w:type="dxa"/>
        <w:tblLayout w:type="fixed"/>
        <w:tblLook w:val="01E0" w:firstRow="1" w:lastRow="1" w:firstColumn="1" w:lastColumn="1" w:noHBand="0" w:noVBand="0"/>
      </w:tblPr>
      <w:tblGrid>
        <w:gridCol w:w="1304"/>
        <w:gridCol w:w="429"/>
        <w:gridCol w:w="8278"/>
      </w:tblGrid>
      <w:tr w:rsidR="00F17776" w:rsidRPr="00EC46DF" w14:paraId="077E6965" w14:textId="77777777" w:rsidTr="00EC46DF">
        <w:trPr>
          <w:trHeight w:val="245"/>
        </w:trPr>
        <w:tc>
          <w:tcPr>
            <w:tcW w:w="1304" w:type="dxa"/>
          </w:tcPr>
          <w:p w14:paraId="08316DFA" w14:textId="77777777" w:rsidR="00F17776" w:rsidRDefault="00F17776">
            <w:pPr>
              <w:spacing w:line="240" w:lineRule="exact"/>
              <w:ind w:right="-432"/>
              <w:rPr>
                <w:b/>
                <w:bCs/>
                <w:sz w:val="18"/>
                <w:szCs w:val="18"/>
                <w:rtl/>
              </w:rPr>
            </w:pPr>
          </w:p>
        </w:tc>
        <w:tc>
          <w:tcPr>
            <w:tcW w:w="429" w:type="dxa"/>
          </w:tcPr>
          <w:p w14:paraId="2DB28DD6" w14:textId="77777777" w:rsidR="00F17776" w:rsidRPr="00EC46DF" w:rsidRDefault="00F17776">
            <w:pPr>
              <w:pStyle w:val="-fc"/>
              <w:spacing w:after="0" w:line="240" w:lineRule="exact"/>
              <w:rPr>
                <w:b w:val="0"/>
                <w:bCs w:val="0"/>
                <w:rtl/>
              </w:rPr>
            </w:pPr>
            <w:r w:rsidRPr="00EC46DF">
              <w:rPr>
                <w:b w:val="0"/>
                <w:bCs w:val="0"/>
                <w:rtl/>
              </w:rPr>
              <w:t>(א)</w:t>
            </w:r>
          </w:p>
        </w:tc>
        <w:tc>
          <w:tcPr>
            <w:tcW w:w="8278" w:type="dxa"/>
          </w:tcPr>
          <w:p w14:paraId="35F80902" w14:textId="77777777" w:rsidR="00F17776" w:rsidRPr="00EC46DF" w:rsidRDefault="00F17776" w:rsidP="00A674A4">
            <w:pPr>
              <w:pStyle w:val="-a"/>
              <w:spacing w:after="0" w:line="240" w:lineRule="exact"/>
              <w:rPr>
                <w:rtl/>
              </w:rPr>
            </w:pPr>
            <w:r w:rsidRPr="00EC46DF">
              <w:rPr>
                <w:rtl/>
              </w:rPr>
              <w:t xml:space="preserve">כולל </w:t>
            </w:r>
            <w:r w:rsidRPr="00EC46DF">
              <w:rPr>
                <w:rFonts w:hint="cs"/>
                <w:rtl/>
              </w:rPr>
              <w:t xml:space="preserve">השפעת יחסי גידור. </w:t>
            </w:r>
          </w:p>
        </w:tc>
      </w:tr>
      <w:tr w:rsidR="00F17776" w:rsidRPr="00EC46DF" w14:paraId="5E5C71F4" w14:textId="77777777" w:rsidTr="00EC46DF">
        <w:trPr>
          <w:trHeight w:val="245"/>
        </w:trPr>
        <w:tc>
          <w:tcPr>
            <w:tcW w:w="1304" w:type="dxa"/>
          </w:tcPr>
          <w:p w14:paraId="179E0F1A" w14:textId="77777777" w:rsidR="00F17776" w:rsidRDefault="00F17776">
            <w:pPr>
              <w:spacing w:line="240" w:lineRule="exact"/>
              <w:ind w:right="-432"/>
              <w:rPr>
                <w:b/>
                <w:bCs/>
                <w:sz w:val="18"/>
                <w:szCs w:val="18"/>
                <w:rtl/>
              </w:rPr>
            </w:pPr>
          </w:p>
        </w:tc>
        <w:tc>
          <w:tcPr>
            <w:tcW w:w="429" w:type="dxa"/>
          </w:tcPr>
          <w:p w14:paraId="548C878D" w14:textId="77777777" w:rsidR="00F17776" w:rsidRPr="00EC46DF" w:rsidRDefault="00F17776">
            <w:pPr>
              <w:pStyle w:val="-fc"/>
              <w:spacing w:after="0" w:line="240" w:lineRule="exact"/>
              <w:rPr>
                <w:b w:val="0"/>
                <w:bCs w:val="0"/>
                <w:rtl/>
              </w:rPr>
            </w:pPr>
            <w:r w:rsidRPr="00EC46DF">
              <w:rPr>
                <w:b w:val="0"/>
                <w:bCs w:val="0"/>
                <w:rtl/>
              </w:rPr>
              <w:t>(</w:t>
            </w:r>
            <w:r w:rsidRPr="00EC46DF">
              <w:rPr>
                <w:rFonts w:hint="eastAsia"/>
                <w:b w:val="0"/>
                <w:bCs w:val="0"/>
                <w:rtl/>
              </w:rPr>
              <w:t>ב</w:t>
            </w:r>
            <w:r w:rsidRPr="00EC46DF">
              <w:rPr>
                <w:b w:val="0"/>
                <w:bCs w:val="0"/>
                <w:rtl/>
              </w:rPr>
              <w:t>)</w:t>
            </w:r>
          </w:p>
        </w:tc>
        <w:tc>
          <w:tcPr>
            <w:tcW w:w="8278" w:type="dxa"/>
          </w:tcPr>
          <w:p w14:paraId="2E391161" w14:textId="613229A5" w:rsidR="00F17776" w:rsidRPr="00EC46DF" w:rsidRDefault="00F17776" w:rsidP="001977FC">
            <w:pPr>
              <w:pStyle w:val="-a"/>
              <w:spacing w:after="0" w:line="240" w:lineRule="exact"/>
              <w:rPr>
                <w:color w:val="000000"/>
                <w:rtl/>
                <w:lang w:eastAsia="he-IL"/>
              </w:rPr>
            </w:pPr>
            <w:r w:rsidRPr="00EC46DF">
              <w:rPr>
                <w:rFonts w:hint="eastAsia"/>
                <w:rtl/>
              </w:rPr>
              <w:t>כולל</w:t>
            </w:r>
            <w:r w:rsidRPr="00EC46DF">
              <w:rPr>
                <w:rtl/>
              </w:rPr>
              <w:t xml:space="preserve"> ריבית בגין אגרות חוב מגובות משכנתאות </w:t>
            </w:r>
            <w:r w:rsidRPr="00EC46DF">
              <w:rPr>
                <w:rFonts w:hint="eastAsia"/>
                <w:rtl/>
              </w:rPr>
              <w:t>בתקופות</w:t>
            </w:r>
            <w:r w:rsidRPr="00EC46DF">
              <w:rPr>
                <w:rtl/>
              </w:rPr>
              <w:t xml:space="preserve"> </w:t>
            </w:r>
            <w:r w:rsidRPr="00EC46DF">
              <w:rPr>
                <w:rFonts w:hint="eastAsia"/>
                <w:rtl/>
              </w:rPr>
              <w:t>של</w:t>
            </w:r>
            <w:r w:rsidRPr="00EC46DF">
              <w:rPr>
                <w:rtl/>
              </w:rPr>
              <w:t xml:space="preserve"> </w:t>
            </w:r>
            <w:r w:rsidRPr="00EC46DF">
              <w:rPr>
                <w:rFonts w:hint="eastAsia"/>
                <w:rtl/>
              </w:rPr>
              <w:t>שלושה</w:t>
            </w:r>
            <w:r w:rsidRPr="00EC46DF">
              <w:rPr>
                <w:rtl/>
              </w:rPr>
              <w:t xml:space="preserve"> חודשים </w:t>
            </w:r>
            <w:r w:rsidRPr="00EC46DF">
              <w:rPr>
                <w:rFonts w:hint="cs"/>
                <w:rtl/>
              </w:rPr>
              <w:t xml:space="preserve">ושישה חודשים </w:t>
            </w:r>
            <w:r w:rsidRPr="00EC46DF">
              <w:rPr>
                <w:rtl/>
              </w:rPr>
              <w:t xml:space="preserve">שהסתיימו ביום 30 ביוני </w:t>
            </w:r>
            <w:r w:rsidRPr="00EC46DF">
              <w:rPr>
                <w:sz w:val="16"/>
                <w:szCs w:val="16"/>
                <w:rtl/>
              </w:rPr>
              <w:fldChar w:fldCharType="begin"/>
            </w:r>
            <w:r w:rsidRPr="00EC46DF">
              <w:rPr>
                <w:sz w:val="16"/>
                <w:szCs w:val="16"/>
                <w:rtl/>
              </w:rPr>
              <w:instrText xml:space="preserve"> </w:instrText>
            </w:r>
            <w:r w:rsidRPr="00EC46DF">
              <w:rPr>
                <w:rFonts w:hint="cs"/>
                <w:sz w:val="16"/>
                <w:szCs w:val="16"/>
                <w:rtl/>
              </w:rPr>
              <w:instrText xml:space="preserve">= </w:instrText>
            </w:r>
            <w:r w:rsidRPr="00EC46DF">
              <w:rPr>
                <w:rFonts w:hint="cs"/>
                <w:sz w:val="16"/>
                <w:szCs w:val="16"/>
              </w:rPr>
              <w:instrText>CY \* MERGEFORMAT</w:instrText>
            </w:r>
            <w:r w:rsidRPr="00EC46DF">
              <w:rPr>
                <w:sz w:val="16"/>
                <w:szCs w:val="16"/>
                <w:rtl/>
              </w:rPr>
              <w:instrText xml:space="preserve"> </w:instrText>
            </w:r>
            <w:r w:rsidRPr="00EC46DF">
              <w:rPr>
                <w:sz w:val="16"/>
                <w:szCs w:val="16"/>
                <w:rtl/>
              </w:rPr>
              <w:fldChar w:fldCharType="separate"/>
            </w:r>
            <w:r w:rsidR="003A584F" w:rsidRPr="00EC46DF">
              <w:rPr>
                <w:noProof/>
                <w:rtl/>
              </w:rPr>
              <w:t>2024</w:t>
            </w:r>
            <w:r w:rsidRPr="00EC46DF">
              <w:rPr>
                <w:sz w:val="16"/>
                <w:szCs w:val="16"/>
                <w:rtl/>
              </w:rPr>
              <w:fldChar w:fldCharType="end"/>
            </w:r>
            <w:r w:rsidRPr="00EC46DF">
              <w:rPr>
                <w:rFonts w:hint="cs"/>
                <w:rtl/>
              </w:rPr>
              <w:t xml:space="preserve"> </w:t>
            </w:r>
            <w:r w:rsidRPr="00EC46DF">
              <w:rPr>
                <w:rFonts w:hint="eastAsia"/>
                <w:rtl/>
              </w:rPr>
              <w:t>בסך</w:t>
            </w:r>
            <w:r w:rsidRPr="00EC46DF">
              <w:rPr>
                <w:rtl/>
              </w:rPr>
              <w:t xml:space="preserve"> ___, ___ </w:t>
            </w:r>
            <w:r w:rsidRPr="00EC46DF">
              <w:rPr>
                <w:rFonts w:hint="eastAsia"/>
                <w:rtl/>
              </w:rPr>
              <w:t>מיליוני</w:t>
            </w:r>
            <w:r w:rsidRPr="00EC46DF">
              <w:rPr>
                <w:rtl/>
              </w:rPr>
              <w:t xml:space="preserve"> </w:t>
            </w:r>
            <w:r w:rsidRPr="00EC46DF">
              <w:rPr>
                <w:rFonts w:hint="eastAsia"/>
                <w:rtl/>
              </w:rPr>
              <w:t>ש</w:t>
            </w:r>
            <w:r w:rsidRPr="00EC46DF">
              <w:rPr>
                <w:rtl/>
              </w:rPr>
              <w:t xml:space="preserve">"ח, </w:t>
            </w:r>
            <w:r w:rsidRPr="00EC46DF">
              <w:rPr>
                <w:rFonts w:hint="eastAsia"/>
                <w:rtl/>
              </w:rPr>
              <w:t>בהתאמה</w:t>
            </w:r>
            <w:r w:rsidRPr="00EC46DF">
              <w:rPr>
                <w:rtl/>
              </w:rPr>
              <w:t xml:space="preserve"> (</w:t>
            </w:r>
            <w:r w:rsidRPr="00EC46DF">
              <w:rPr>
                <w:rFonts w:hint="eastAsia"/>
                <w:rtl/>
              </w:rPr>
              <w:t>בתקופות</w:t>
            </w:r>
            <w:r w:rsidRPr="00EC46DF">
              <w:rPr>
                <w:rtl/>
              </w:rPr>
              <w:t xml:space="preserve"> </w:t>
            </w:r>
            <w:r w:rsidRPr="00EC46DF">
              <w:rPr>
                <w:rFonts w:hint="eastAsia"/>
                <w:rtl/>
              </w:rPr>
              <w:t>של</w:t>
            </w:r>
            <w:r w:rsidRPr="00EC46DF">
              <w:rPr>
                <w:rtl/>
              </w:rPr>
              <w:t xml:space="preserve"> </w:t>
            </w:r>
            <w:r w:rsidRPr="00EC46DF">
              <w:rPr>
                <w:rFonts w:hint="cs"/>
                <w:rtl/>
              </w:rPr>
              <w:t>שלושה חודשים ו</w:t>
            </w:r>
            <w:r w:rsidRPr="00EC46DF">
              <w:rPr>
                <w:rFonts w:hint="eastAsia"/>
                <w:rtl/>
              </w:rPr>
              <w:t>שישה</w:t>
            </w:r>
            <w:r w:rsidRPr="00EC46DF">
              <w:rPr>
                <w:rtl/>
              </w:rPr>
              <w:t xml:space="preserve"> חודשים שהסתיימו ביום</w:t>
            </w:r>
            <w:r w:rsidRPr="00EC46DF">
              <w:rPr>
                <w:rFonts w:hint="cs"/>
                <w:rtl/>
              </w:rPr>
              <w:t xml:space="preserve"> </w:t>
            </w:r>
            <w:r w:rsidRPr="00EC46DF">
              <w:rPr>
                <w:rtl/>
              </w:rPr>
              <w:t xml:space="preserve">30 ביוני </w:t>
            </w:r>
            <w:r w:rsidRPr="00EC46DF">
              <w:rPr>
                <w:sz w:val="16"/>
                <w:szCs w:val="16"/>
                <w:rtl/>
              </w:rPr>
              <w:fldChar w:fldCharType="begin"/>
            </w:r>
            <w:r w:rsidRPr="00EC46DF">
              <w:rPr>
                <w:sz w:val="16"/>
                <w:szCs w:val="16"/>
                <w:rtl/>
              </w:rPr>
              <w:instrText xml:space="preserve"> </w:instrText>
            </w:r>
            <w:r w:rsidRPr="00EC46DF">
              <w:rPr>
                <w:rFonts w:hint="cs"/>
                <w:sz w:val="16"/>
                <w:szCs w:val="16"/>
                <w:rtl/>
              </w:rPr>
              <w:instrText xml:space="preserve">= </w:instrText>
            </w:r>
            <w:r w:rsidRPr="00EC46DF">
              <w:rPr>
                <w:rFonts w:hint="cs"/>
                <w:sz w:val="16"/>
                <w:szCs w:val="16"/>
              </w:rPr>
              <w:instrText>CY</w:instrText>
            </w:r>
            <w:r w:rsidRPr="00EC46DF">
              <w:rPr>
                <w:sz w:val="16"/>
                <w:szCs w:val="16"/>
              </w:rPr>
              <w:instrText>-1</w:instrText>
            </w:r>
            <w:r w:rsidRPr="00EC46DF">
              <w:rPr>
                <w:rFonts w:hint="cs"/>
                <w:sz w:val="16"/>
                <w:szCs w:val="16"/>
              </w:rPr>
              <w:instrText xml:space="preserve"> \* MERGEFORMAT</w:instrText>
            </w:r>
            <w:r w:rsidRPr="00EC46DF">
              <w:rPr>
                <w:sz w:val="16"/>
                <w:szCs w:val="16"/>
                <w:rtl/>
              </w:rPr>
              <w:instrText xml:space="preserve"> </w:instrText>
            </w:r>
            <w:r w:rsidRPr="00EC46DF">
              <w:rPr>
                <w:sz w:val="16"/>
                <w:szCs w:val="16"/>
                <w:rtl/>
              </w:rPr>
              <w:fldChar w:fldCharType="separate"/>
            </w:r>
            <w:r w:rsidR="003A584F" w:rsidRPr="00EC46DF">
              <w:rPr>
                <w:noProof/>
                <w:rtl/>
              </w:rPr>
              <w:t>2023</w:t>
            </w:r>
            <w:r w:rsidRPr="00EC46DF">
              <w:rPr>
                <w:sz w:val="16"/>
                <w:szCs w:val="16"/>
                <w:rtl/>
              </w:rPr>
              <w:fldChar w:fldCharType="end"/>
            </w:r>
            <w:r w:rsidRPr="00EC46DF">
              <w:rPr>
                <w:rFonts w:hint="cs"/>
                <w:rtl/>
              </w:rPr>
              <w:t xml:space="preserve"> </w:t>
            </w:r>
            <w:r w:rsidRPr="00EC46DF">
              <w:rPr>
                <w:rFonts w:hint="eastAsia"/>
                <w:rtl/>
              </w:rPr>
              <w:t>בסך</w:t>
            </w:r>
            <w:r w:rsidRPr="00EC46DF">
              <w:rPr>
                <w:rtl/>
              </w:rPr>
              <w:t xml:space="preserve"> ___, ___ </w:t>
            </w:r>
            <w:r w:rsidRPr="00EC46DF">
              <w:rPr>
                <w:rFonts w:hint="eastAsia"/>
                <w:rtl/>
              </w:rPr>
              <w:t>מיליוני</w:t>
            </w:r>
            <w:r w:rsidRPr="00EC46DF">
              <w:rPr>
                <w:rtl/>
              </w:rPr>
              <w:t xml:space="preserve"> </w:t>
            </w:r>
            <w:r w:rsidRPr="00EC46DF">
              <w:rPr>
                <w:rFonts w:hint="eastAsia"/>
                <w:rtl/>
              </w:rPr>
              <w:t>ש</w:t>
            </w:r>
            <w:r w:rsidRPr="00EC46DF">
              <w:rPr>
                <w:rtl/>
              </w:rPr>
              <w:t xml:space="preserve">"ח, בהתאמה). </w:t>
            </w:r>
          </w:p>
        </w:tc>
      </w:tr>
      <w:tr w:rsidR="00F17776" w:rsidRPr="00EC46DF" w14:paraId="03E4B6E1" w14:textId="77777777" w:rsidTr="00EC46DF">
        <w:trPr>
          <w:trHeight w:val="245"/>
        </w:trPr>
        <w:tc>
          <w:tcPr>
            <w:tcW w:w="1304" w:type="dxa"/>
          </w:tcPr>
          <w:p w14:paraId="1B8C94EE" w14:textId="77777777" w:rsidR="00F17776" w:rsidRDefault="00F17776">
            <w:pPr>
              <w:spacing w:line="240" w:lineRule="exact"/>
              <w:ind w:right="-432"/>
              <w:rPr>
                <w:b/>
                <w:bCs/>
                <w:sz w:val="18"/>
                <w:szCs w:val="18"/>
                <w:rtl/>
              </w:rPr>
            </w:pPr>
          </w:p>
        </w:tc>
        <w:tc>
          <w:tcPr>
            <w:tcW w:w="429" w:type="dxa"/>
          </w:tcPr>
          <w:p w14:paraId="0131BA7C" w14:textId="77777777" w:rsidR="00F17776" w:rsidRPr="00EC46DF" w:rsidRDefault="00F17776">
            <w:pPr>
              <w:pStyle w:val="-fc"/>
              <w:spacing w:after="0" w:line="240" w:lineRule="exact"/>
              <w:rPr>
                <w:b w:val="0"/>
                <w:bCs w:val="0"/>
                <w:rtl/>
              </w:rPr>
            </w:pPr>
            <w:r w:rsidRPr="00EC46DF">
              <w:rPr>
                <w:b w:val="0"/>
                <w:bCs w:val="0"/>
                <w:rtl/>
              </w:rPr>
              <w:t>(ג)</w:t>
            </w:r>
          </w:p>
        </w:tc>
        <w:tc>
          <w:tcPr>
            <w:tcW w:w="8278" w:type="dxa"/>
          </w:tcPr>
          <w:p w14:paraId="6BCBC8D6" w14:textId="77777777" w:rsidR="00F17776" w:rsidRPr="00EC46DF" w:rsidRDefault="00F17776">
            <w:pPr>
              <w:pStyle w:val="-a"/>
              <w:spacing w:after="0" w:line="240" w:lineRule="exact"/>
            </w:pPr>
            <w:r w:rsidRPr="00EC46DF">
              <w:rPr>
                <w:rFonts w:hint="eastAsia"/>
                <w:rtl/>
              </w:rPr>
              <w:t>פירוט</w:t>
            </w:r>
            <w:r w:rsidRPr="00EC46DF">
              <w:rPr>
                <w:rtl/>
              </w:rPr>
              <w:t xml:space="preserve"> </w:t>
            </w:r>
            <w:r w:rsidRPr="00EC46DF">
              <w:rPr>
                <w:rFonts w:hint="eastAsia"/>
                <w:rtl/>
              </w:rPr>
              <w:t>של</w:t>
            </w:r>
            <w:r w:rsidRPr="00EC46DF">
              <w:rPr>
                <w:rtl/>
              </w:rPr>
              <w:t xml:space="preserve"> </w:t>
            </w:r>
            <w:r w:rsidRPr="00EC46DF">
              <w:rPr>
                <w:rFonts w:hint="eastAsia"/>
                <w:rtl/>
              </w:rPr>
              <w:t>השפעת</w:t>
            </w:r>
            <w:r w:rsidRPr="00EC46DF">
              <w:rPr>
                <w:rtl/>
              </w:rPr>
              <w:t xml:space="preserve"> </w:t>
            </w:r>
            <w:r w:rsidRPr="00EC46DF">
              <w:rPr>
                <w:rFonts w:hint="eastAsia"/>
                <w:rtl/>
              </w:rPr>
              <w:t>מכשירים</w:t>
            </w:r>
            <w:r w:rsidRPr="00EC46DF">
              <w:rPr>
                <w:rtl/>
              </w:rPr>
              <w:t xml:space="preserve"> </w:t>
            </w:r>
            <w:r w:rsidRPr="00EC46DF">
              <w:rPr>
                <w:rFonts w:hint="eastAsia"/>
                <w:rtl/>
              </w:rPr>
              <w:t>נגזרים</w:t>
            </w:r>
            <w:r w:rsidRPr="00EC46DF">
              <w:rPr>
                <w:rtl/>
              </w:rPr>
              <w:t xml:space="preserve"> </w:t>
            </w:r>
            <w:r w:rsidRPr="00EC46DF">
              <w:rPr>
                <w:rFonts w:hint="eastAsia"/>
                <w:rtl/>
              </w:rPr>
              <w:t>מגדרים</w:t>
            </w:r>
            <w:r w:rsidRPr="00EC46DF">
              <w:rPr>
                <w:rtl/>
              </w:rPr>
              <w:t xml:space="preserve"> </w:t>
            </w:r>
            <w:r w:rsidRPr="00EC46DF">
              <w:rPr>
                <w:rFonts w:hint="eastAsia"/>
                <w:rtl/>
              </w:rPr>
              <w:t>על</w:t>
            </w:r>
            <w:r w:rsidRPr="00EC46DF">
              <w:rPr>
                <w:rtl/>
              </w:rPr>
              <w:t xml:space="preserve"> </w:t>
            </w:r>
            <w:r w:rsidRPr="00EC46DF">
              <w:rPr>
                <w:rFonts w:hint="eastAsia"/>
                <w:rtl/>
              </w:rPr>
              <w:t>סעיפי</w:t>
            </w:r>
            <w:r w:rsidRPr="00EC46DF">
              <w:rPr>
                <w:rtl/>
              </w:rPr>
              <w:t xml:space="preserve"> </w:t>
            </w:r>
            <w:r w:rsidRPr="00EC46DF">
              <w:rPr>
                <w:rFonts w:hint="eastAsia"/>
                <w:rtl/>
              </w:rPr>
              <w:t>משנה</w:t>
            </w:r>
            <w:r w:rsidRPr="00EC46DF">
              <w:rPr>
                <w:rtl/>
              </w:rPr>
              <w:t xml:space="preserve"> 1 </w:t>
            </w:r>
            <w:r w:rsidRPr="00EC46DF">
              <w:rPr>
                <w:rFonts w:hint="eastAsia"/>
                <w:rtl/>
              </w:rPr>
              <w:t>ו</w:t>
            </w:r>
            <w:r w:rsidRPr="00EC46DF">
              <w:rPr>
                <w:rtl/>
              </w:rPr>
              <w:t>-2.</w:t>
            </w:r>
          </w:p>
        </w:tc>
      </w:tr>
    </w:tbl>
    <w:p w14:paraId="78487B6D" w14:textId="77777777" w:rsidR="00C832B0" w:rsidRPr="00357908" w:rsidRDefault="00C832B0">
      <w:pPr>
        <w:rPr>
          <w:sz w:val="2"/>
          <w:szCs w:val="2"/>
          <w:rtl/>
        </w:rPr>
      </w:pPr>
    </w:p>
    <w:p w14:paraId="0FB3EC74" w14:textId="77777777" w:rsidR="00047595" w:rsidRDefault="00047595">
      <w:pPr>
        <w:bidi w:val="0"/>
        <w:jc w:val="left"/>
        <w:rPr>
          <w:rFonts w:ascii="Calibri" w:eastAsia="Arial Unicode MS" w:hAnsi="Calibri"/>
          <w:b/>
          <w:bCs/>
          <w:i/>
          <w:sz w:val="26"/>
          <w:szCs w:val="22"/>
        </w:rPr>
      </w:pPr>
      <w:r>
        <w:rPr>
          <w:rFonts w:eastAsia="Arial Unicode MS"/>
          <w:rtl/>
        </w:rPr>
        <w:br w:type="page"/>
      </w:r>
    </w:p>
    <w:p w14:paraId="0482C854" w14:textId="1BE9409D" w:rsidR="00C832B0" w:rsidRDefault="00C832B0" w:rsidP="00EC46DF">
      <w:pPr>
        <w:pStyle w:val="5"/>
        <w:spacing w:line="264" w:lineRule="auto"/>
        <w:ind w:firstLine="1135"/>
      </w:pPr>
      <w:bookmarkStart w:id="22" w:name="_Toc160529221"/>
      <w:r w:rsidRPr="004B08B3">
        <w:rPr>
          <w:rFonts w:eastAsia="Arial Unicode MS"/>
          <w:rtl/>
        </w:rPr>
        <w:lastRenderedPageBreak/>
        <w:t xml:space="preserve">ביאור </w:t>
      </w:r>
      <w:r w:rsidRPr="004B08B3">
        <w:rPr>
          <w:rFonts w:eastAsia="Arial Unicode MS" w:hint="cs"/>
          <w:rtl/>
        </w:rPr>
        <w:t xml:space="preserve">3  </w:t>
      </w:r>
      <w:r w:rsidRPr="004B08B3">
        <w:rPr>
          <w:rFonts w:eastAsia="Arial Unicode MS"/>
          <w:rtl/>
        </w:rPr>
        <w:t>-</w:t>
      </w:r>
      <w:r w:rsidRPr="004B08B3">
        <w:rPr>
          <w:rFonts w:eastAsia="Arial Unicode MS" w:hint="cs"/>
          <w:rtl/>
        </w:rPr>
        <w:t xml:space="preserve"> </w:t>
      </w:r>
      <w:r w:rsidRPr="004B08B3">
        <w:rPr>
          <w:rFonts w:eastAsia="Arial Unicode MS"/>
          <w:rtl/>
        </w:rPr>
        <w:t xml:space="preserve"> </w:t>
      </w:r>
      <w:r w:rsidR="007B6EF7" w:rsidRPr="004B08B3">
        <w:rPr>
          <w:rFonts w:hint="cs"/>
          <w:rtl/>
        </w:rPr>
        <w:t>הכנסות מימון שאינן מריבית</w:t>
      </w:r>
      <w:bookmarkEnd w:id="22"/>
      <w:r w:rsidR="00357908" w:rsidRPr="004B08B3">
        <w:rPr>
          <w:rFonts w:hint="cs"/>
          <w:rtl/>
        </w:rPr>
        <w:t xml:space="preserve"> </w:t>
      </w:r>
    </w:p>
    <w:tbl>
      <w:tblPr>
        <w:bidiVisual/>
        <w:tblW w:w="3995" w:type="pct"/>
        <w:tblInd w:w="1034" w:type="dxa"/>
        <w:tblLayout w:type="fixed"/>
        <w:tblLook w:val="0000" w:firstRow="0" w:lastRow="0" w:firstColumn="0" w:lastColumn="0" w:noHBand="0" w:noVBand="0"/>
      </w:tblPr>
      <w:tblGrid>
        <w:gridCol w:w="8155"/>
      </w:tblGrid>
      <w:tr w:rsidR="00EC46DF" w:rsidRPr="007363C7" w14:paraId="0E4FB0F0" w14:textId="77777777" w:rsidTr="00EC46DF">
        <w:trPr>
          <w:trHeight w:val="245"/>
        </w:trPr>
        <w:tc>
          <w:tcPr>
            <w:tcW w:w="8156" w:type="dxa"/>
          </w:tcPr>
          <w:p w14:paraId="34C1EA8B" w14:textId="3A116D05" w:rsidR="00EC46DF" w:rsidRPr="00EC46DF" w:rsidRDefault="00EC46DF" w:rsidP="00277071">
            <w:pPr>
              <w:pStyle w:val="-f4"/>
              <w:tabs>
                <w:tab w:val="left" w:pos="206"/>
              </w:tabs>
              <w:spacing w:after="40" w:line="240" w:lineRule="auto"/>
              <w:ind w:left="964" w:hanging="964"/>
              <w:jc w:val="left"/>
              <w:rPr>
                <w:rtl/>
              </w:rPr>
            </w:pPr>
            <w:r w:rsidRPr="00EC46DF">
              <w:rPr>
                <w:rFonts w:hint="cs"/>
                <w:rtl/>
              </w:rPr>
              <w:t>א. הכנסות מימון שאינן מריבית בגין פעילויות שאינן למטרות מסחר:</w:t>
            </w:r>
          </w:p>
        </w:tc>
      </w:tr>
    </w:tbl>
    <w:p w14:paraId="2243A3E2" w14:textId="77777777" w:rsidR="00D0470C" w:rsidRPr="00F310AE" w:rsidRDefault="00D0470C" w:rsidP="00D0470C">
      <w:pPr>
        <w:rPr>
          <w:sz w:val="4"/>
          <w:szCs w:val="4"/>
        </w:rPr>
      </w:pPr>
    </w:p>
    <w:tbl>
      <w:tblPr>
        <w:bidiVisual/>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659"/>
        <w:gridCol w:w="4158"/>
        <w:gridCol w:w="852"/>
        <w:gridCol w:w="1132"/>
        <w:gridCol w:w="952"/>
        <w:gridCol w:w="1071"/>
        <w:gridCol w:w="112"/>
      </w:tblGrid>
      <w:tr w:rsidR="00D0470C" w:rsidRPr="00CB02F8" w14:paraId="4E3521E1" w14:textId="77777777" w:rsidTr="00277071">
        <w:trPr>
          <w:gridAfter w:val="1"/>
          <w:wAfter w:w="112" w:type="dxa"/>
        </w:trPr>
        <w:tc>
          <w:tcPr>
            <w:tcW w:w="1055" w:type="dxa"/>
            <w:tcBorders>
              <w:top w:val="nil"/>
              <w:left w:val="nil"/>
              <w:bottom w:val="nil"/>
              <w:right w:val="nil"/>
            </w:tcBorders>
          </w:tcPr>
          <w:p w14:paraId="17F2CD86" w14:textId="77777777" w:rsidR="00F32A2A" w:rsidRDefault="00D0470C">
            <w:pPr>
              <w:pStyle w:val="-0"/>
              <w:spacing w:line="240" w:lineRule="auto"/>
              <w:ind w:left="0" w:firstLine="0"/>
              <w:rPr>
                <w:sz w:val="14"/>
                <w:szCs w:val="14"/>
                <w:rtl/>
              </w:rPr>
            </w:pPr>
            <w:r w:rsidRPr="00F21F88">
              <w:rPr>
                <w:rFonts w:hint="cs"/>
                <w:sz w:val="14"/>
                <w:szCs w:val="14"/>
                <w:rtl/>
              </w:rPr>
              <w:t xml:space="preserve">מתכונת ביאור </w:t>
            </w:r>
            <w:r w:rsidRPr="00F21F88">
              <w:rPr>
                <w:sz w:val="14"/>
                <w:szCs w:val="14"/>
                <w:rtl/>
              </w:rPr>
              <w:br/>
            </w:r>
            <w:r w:rsidRPr="00F21F88">
              <w:rPr>
                <w:rFonts w:hint="cs"/>
                <w:sz w:val="14"/>
                <w:szCs w:val="14"/>
                <w:rtl/>
              </w:rPr>
              <w:t>עמ' 663-</w:t>
            </w:r>
            <w:r>
              <w:rPr>
                <w:rFonts w:hint="cs"/>
                <w:sz w:val="14"/>
                <w:szCs w:val="14"/>
                <w:rtl/>
              </w:rPr>
              <w:t>16</w:t>
            </w:r>
          </w:p>
        </w:tc>
        <w:tc>
          <w:tcPr>
            <w:tcW w:w="4817" w:type="dxa"/>
            <w:gridSpan w:val="2"/>
            <w:tcBorders>
              <w:top w:val="nil"/>
              <w:left w:val="nil"/>
              <w:bottom w:val="nil"/>
              <w:right w:val="nil"/>
            </w:tcBorders>
            <w:vAlign w:val="bottom"/>
          </w:tcPr>
          <w:p w14:paraId="58C35EE7" w14:textId="77777777" w:rsidR="00F32A2A" w:rsidRDefault="00F32A2A" w:rsidP="00F264BA">
            <w:pPr>
              <w:pStyle w:val="-0"/>
              <w:spacing w:line="200" w:lineRule="exact"/>
              <w:rPr>
                <w:rtl/>
              </w:rPr>
            </w:pPr>
          </w:p>
        </w:tc>
        <w:tc>
          <w:tcPr>
            <w:tcW w:w="1984" w:type="dxa"/>
            <w:gridSpan w:val="2"/>
            <w:tcBorders>
              <w:top w:val="nil"/>
              <w:left w:val="nil"/>
              <w:bottom w:val="nil"/>
              <w:right w:val="nil"/>
            </w:tcBorders>
            <w:vAlign w:val="bottom"/>
          </w:tcPr>
          <w:p w14:paraId="5A1C99DC" w14:textId="77777777" w:rsidR="00F32A2A" w:rsidRDefault="00D0470C" w:rsidP="00A674A4">
            <w:pPr>
              <w:pStyle w:val="-4"/>
              <w:spacing w:line="200" w:lineRule="exact"/>
              <w:rPr>
                <w:rtl/>
              </w:rPr>
            </w:pPr>
            <w:r w:rsidRPr="00CB02F8">
              <w:rPr>
                <w:rFonts w:hint="eastAsia"/>
                <w:rtl/>
              </w:rPr>
              <w:t>לשלושה</w:t>
            </w:r>
            <w:r w:rsidRPr="00CB02F8">
              <w:rPr>
                <w:rtl/>
              </w:rPr>
              <w:t xml:space="preserve"> חודשים</w:t>
            </w:r>
            <w:r>
              <w:rPr>
                <w:rFonts w:hint="cs"/>
                <w:rtl/>
              </w:rPr>
              <w:t xml:space="preserve"> </w:t>
            </w:r>
            <w:r w:rsidRPr="00CB02F8">
              <w:rPr>
                <w:rFonts w:hint="eastAsia"/>
                <w:rtl/>
              </w:rPr>
              <w:t>שהסתיימו</w:t>
            </w:r>
            <w:r w:rsidRPr="00CB02F8">
              <w:rPr>
                <w:rtl/>
              </w:rPr>
              <w:t xml:space="preserve"> </w:t>
            </w:r>
            <w:r w:rsidRPr="00CB02F8">
              <w:rPr>
                <w:rFonts w:hint="eastAsia"/>
                <w:rtl/>
              </w:rPr>
              <w:t>ביום</w:t>
            </w:r>
            <w:r>
              <w:rPr>
                <w:rFonts w:hint="cs"/>
                <w:rtl/>
              </w:rPr>
              <w:t xml:space="preserve"> </w:t>
            </w:r>
            <w:r w:rsidR="007F4B61">
              <w:rPr>
                <w:rtl/>
              </w:rPr>
              <w:br/>
            </w:r>
            <w:r w:rsidRPr="00CB02F8">
              <w:rPr>
                <w:rtl/>
              </w:rPr>
              <w:t xml:space="preserve">30 </w:t>
            </w:r>
            <w:r w:rsidRPr="00CB02F8">
              <w:rPr>
                <w:rFonts w:hint="eastAsia"/>
                <w:rtl/>
              </w:rPr>
              <w:t>ביוני</w:t>
            </w:r>
          </w:p>
        </w:tc>
        <w:tc>
          <w:tcPr>
            <w:tcW w:w="2023" w:type="dxa"/>
            <w:gridSpan w:val="2"/>
            <w:tcBorders>
              <w:top w:val="nil"/>
              <w:left w:val="nil"/>
              <w:bottom w:val="nil"/>
              <w:right w:val="nil"/>
            </w:tcBorders>
            <w:vAlign w:val="bottom"/>
          </w:tcPr>
          <w:p w14:paraId="164773E0" w14:textId="77777777" w:rsidR="00F32A2A" w:rsidRDefault="00D0470C" w:rsidP="001A3A57">
            <w:pPr>
              <w:pStyle w:val="-4"/>
              <w:pBdr>
                <w:bottom w:val="single" w:sz="4" w:space="1" w:color="auto"/>
              </w:pBdr>
              <w:spacing w:line="200" w:lineRule="exact"/>
              <w:rPr>
                <w:b w:val="0"/>
                <w:bCs w:val="0"/>
                <w:rtl/>
              </w:rPr>
            </w:pPr>
            <w:r w:rsidRPr="00CB02F8">
              <w:rPr>
                <w:rFonts w:hint="eastAsia"/>
                <w:rtl/>
              </w:rPr>
              <w:t>לשישה</w:t>
            </w:r>
            <w:r w:rsidRPr="00CB02F8">
              <w:rPr>
                <w:rtl/>
              </w:rPr>
              <w:t xml:space="preserve"> חודשים</w:t>
            </w:r>
            <w:r>
              <w:rPr>
                <w:rFonts w:hint="cs"/>
                <w:rtl/>
              </w:rPr>
              <w:t xml:space="preserve"> </w:t>
            </w:r>
            <w:r w:rsidRPr="00CB02F8">
              <w:rPr>
                <w:rFonts w:hint="eastAsia"/>
                <w:rtl/>
              </w:rPr>
              <w:t>שהסתיימו</w:t>
            </w:r>
            <w:r w:rsidRPr="00CB02F8">
              <w:rPr>
                <w:rtl/>
              </w:rPr>
              <w:t xml:space="preserve"> </w:t>
            </w:r>
            <w:r w:rsidRPr="00CB02F8">
              <w:rPr>
                <w:rFonts w:hint="eastAsia"/>
                <w:rtl/>
              </w:rPr>
              <w:t>ביום</w:t>
            </w:r>
            <w:r>
              <w:rPr>
                <w:rFonts w:hint="cs"/>
                <w:rtl/>
              </w:rPr>
              <w:t xml:space="preserve"> </w:t>
            </w:r>
            <w:r w:rsidR="007F4B61">
              <w:rPr>
                <w:rtl/>
              </w:rPr>
              <w:br/>
            </w:r>
            <w:r w:rsidRPr="00CB02F8">
              <w:rPr>
                <w:rtl/>
              </w:rPr>
              <w:t xml:space="preserve">30 </w:t>
            </w:r>
            <w:r w:rsidRPr="00CB02F8">
              <w:rPr>
                <w:rFonts w:hint="eastAsia"/>
                <w:rtl/>
              </w:rPr>
              <w:t>ביוני</w:t>
            </w:r>
          </w:p>
        </w:tc>
      </w:tr>
      <w:tr w:rsidR="00D0470C" w:rsidRPr="00CB02F8" w14:paraId="2DF303AF" w14:textId="77777777" w:rsidTr="00277071">
        <w:trPr>
          <w:gridAfter w:val="1"/>
          <w:wAfter w:w="112" w:type="dxa"/>
        </w:trPr>
        <w:tc>
          <w:tcPr>
            <w:tcW w:w="1055" w:type="dxa"/>
            <w:tcBorders>
              <w:top w:val="nil"/>
              <w:left w:val="nil"/>
              <w:bottom w:val="nil"/>
              <w:right w:val="nil"/>
            </w:tcBorders>
          </w:tcPr>
          <w:p w14:paraId="676195D8" w14:textId="77777777" w:rsidR="00D0470C" w:rsidRDefault="00D0470C" w:rsidP="006F3019">
            <w:pPr>
              <w:pStyle w:val="-0"/>
              <w:spacing w:line="200" w:lineRule="exact"/>
              <w:ind w:left="0" w:firstLine="0"/>
              <w:rPr>
                <w:sz w:val="14"/>
                <w:szCs w:val="14"/>
                <w:rtl/>
              </w:rPr>
            </w:pPr>
          </w:p>
        </w:tc>
        <w:tc>
          <w:tcPr>
            <w:tcW w:w="4817" w:type="dxa"/>
            <w:gridSpan w:val="2"/>
            <w:tcBorders>
              <w:top w:val="nil"/>
              <w:left w:val="nil"/>
              <w:bottom w:val="nil"/>
              <w:right w:val="nil"/>
            </w:tcBorders>
            <w:vAlign w:val="bottom"/>
          </w:tcPr>
          <w:p w14:paraId="25BE68E5" w14:textId="77777777" w:rsidR="00F32A2A" w:rsidRDefault="00F32A2A" w:rsidP="00F264BA">
            <w:pPr>
              <w:pStyle w:val="-0"/>
              <w:spacing w:line="200" w:lineRule="exact"/>
              <w:rPr>
                <w:rtl/>
              </w:rPr>
            </w:pPr>
          </w:p>
        </w:tc>
        <w:tc>
          <w:tcPr>
            <w:tcW w:w="852" w:type="dxa"/>
            <w:tcBorders>
              <w:top w:val="nil"/>
              <w:left w:val="nil"/>
              <w:bottom w:val="nil"/>
              <w:right w:val="nil"/>
            </w:tcBorders>
            <w:vAlign w:val="bottom"/>
          </w:tcPr>
          <w:p w14:paraId="14CAE279" w14:textId="7D7AE91B" w:rsidR="00F32A2A" w:rsidRDefault="008D7F4E" w:rsidP="00F264BA">
            <w:pPr>
              <w:pStyle w:val="-4"/>
              <w:spacing w:line="200" w:lineRule="exact"/>
              <w:rPr>
                <w:rtl/>
              </w:rPr>
            </w:pPr>
            <w:r w:rsidRPr="008D7F4E">
              <w:rPr>
                <w:sz w:val="16"/>
                <w:szCs w:val="16"/>
                <w:rtl/>
              </w:rPr>
              <w:fldChar w:fldCharType="begin"/>
            </w:r>
            <w:r w:rsidRPr="008D7F4E">
              <w:rPr>
                <w:sz w:val="16"/>
                <w:szCs w:val="16"/>
                <w:rtl/>
              </w:rPr>
              <w:instrText xml:space="preserve"> </w:instrText>
            </w:r>
            <w:r w:rsidRPr="008D7F4E">
              <w:rPr>
                <w:rFonts w:hint="cs"/>
                <w:sz w:val="16"/>
                <w:szCs w:val="16"/>
                <w:rtl/>
              </w:rPr>
              <w:instrText xml:space="preserve">= </w:instrText>
            </w:r>
            <w:r w:rsidRPr="008D7F4E">
              <w:rPr>
                <w:rFonts w:hint="cs"/>
                <w:sz w:val="16"/>
                <w:szCs w:val="16"/>
              </w:rPr>
              <w:instrText>CY \* MERGEFORMAT</w:instrText>
            </w:r>
            <w:r w:rsidRPr="008D7F4E">
              <w:rPr>
                <w:sz w:val="16"/>
                <w:szCs w:val="16"/>
                <w:rtl/>
              </w:rPr>
              <w:instrText xml:space="preserve"> </w:instrText>
            </w:r>
            <w:r w:rsidRPr="008D7F4E">
              <w:rPr>
                <w:sz w:val="16"/>
                <w:szCs w:val="16"/>
                <w:rtl/>
              </w:rPr>
              <w:fldChar w:fldCharType="separate"/>
            </w:r>
            <w:r w:rsidR="003A584F" w:rsidRPr="003A584F">
              <w:rPr>
                <w:noProof/>
                <w:rtl/>
              </w:rPr>
              <w:t>2024</w:t>
            </w:r>
            <w:r w:rsidRPr="008D7F4E">
              <w:rPr>
                <w:sz w:val="16"/>
                <w:szCs w:val="16"/>
                <w:rtl/>
              </w:rPr>
              <w:fldChar w:fldCharType="end"/>
            </w:r>
          </w:p>
        </w:tc>
        <w:tc>
          <w:tcPr>
            <w:tcW w:w="1132" w:type="dxa"/>
            <w:tcBorders>
              <w:top w:val="nil"/>
              <w:left w:val="nil"/>
              <w:bottom w:val="nil"/>
              <w:right w:val="nil"/>
            </w:tcBorders>
            <w:vAlign w:val="bottom"/>
          </w:tcPr>
          <w:p w14:paraId="465F0829" w14:textId="12C8EF0D" w:rsidR="00F32A2A" w:rsidRDefault="00D20E55" w:rsidP="00F264BA">
            <w:pPr>
              <w:pStyle w:val="-4"/>
              <w:spacing w:line="200" w:lineRule="exact"/>
              <w:rPr>
                <w:rtl/>
              </w:rPr>
            </w:pPr>
            <w:r w:rsidRPr="008D7F4E">
              <w:rPr>
                <w:sz w:val="16"/>
                <w:szCs w:val="16"/>
                <w:rtl/>
              </w:rPr>
              <w:fldChar w:fldCharType="begin"/>
            </w:r>
            <w:r w:rsidRPr="008D7F4E">
              <w:rPr>
                <w:sz w:val="16"/>
                <w:szCs w:val="16"/>
                <w:rtl/>
              </w:rPr>
              <w:instrText xml:space="preserve"> </w:instrText>
            </w:r>
            <w:r w:rsidRPr="008D7F4E">
              <w:rPr>
                <w:rFonts w:hint="cs"/>
                <w:sz w:val="16"/>
                <w:szCs w:val="16"/>
                <w:rtl/>
              </w:rPr>
              <w:instrText xml:space="preserve">= </w:instrText>
            </w:r>
            <w:r w:rsidRPr="008D7F4E">
              <w:rPr>
                <w:rFonts w:hint="cs"/>
                <w:sz w:val="16"/>
                <w:szCs w:val="16"/>
              </w:rPr>
              <w:instrText>CY</w:instrText>
            </w:r>
            <w:r w:rsidRPr="008D7F4E">
              <w:rPr>
                <w:sz w:val="16"/>
                <w:szCs w:val="16"/>
              </w:rPr>
              <w:instrText>-1</w:instrText>
            </w:r>
            <w:r w:rsidRPr="008D7F4E">
              <w:rPr>
                <w:rFonts w:hint="cs"/>
                <w:sz w:val="16"/>
                <w:szCs w:val="16"/>
              </w:rPr>
              <w:instrText xml:space="preserve"> \* MERGEFORMAT</w:instrText>
            </w:r>
            <w:r w:rsidRPr="008D7F4E">
              <w:rPr>
                <w:sz w:val="16"/>
                <w:szCs w:val="16"/>
                <w:rtl/>
              </w:rPr>
              <w:instrText xml:space="preserve"> </w:instrText>
            </w:r>
            <w:r w:rsidRPr="008D7F4E">
              <w:rPr>
                <w:sz w:val="16"/>
                <w:szCs w:val="16"/>
                <w:rtl/>
              </w:rPr>
              <w:fldChar w:fldCharType="separate"/>
            </w:r>
            <w:r w:rsidR="003A584F" w:rsidRPr="003A584F">
              <w:rPr>
                <w:noProof/>
                <w:rtl/>
              </w:rPr>
              <w:t>2023</w:t>
            </w:r>
            <w:r w:rsidRPr="008D7F4E">
              <w:rPr>
                <w:sz w:val="16"/>
                <w:szCs w:val="16"/>
                <w:rtl/>
              </w:rPr>
              <w:fldChar w:fldCharType="end"/>
            </w:r>
          </w:p>
        </w:tc>
        <w:tc>
          <w:tcPr>
            <w:tcW w:w="952" w:type="dxa"/>
            <w:tcBorders>
              <w:top w:val="nil"/>
              <w:left w:val="nil"/>
              <w:bottom w:val="nil"/>
              <w:right w:val="nil"/>
            </w:tcBorders>
            <w:vAlign w:val="bottom"/>
          </w:tcPr>
          <w:p w14:paraId="46C8DC52" w14:textId="03BA7CCB" w:rsidR="00F32A2A" w:rsidRDefault="008D7F4E" w:rsidP="00F264BA">
            <w:pPr>
              <w:pStyle w:val="-4"/>
              <w:spacing w:line="200" w:lineRule="exact"/>
              <w:rPr>
                <w:rtl/>
              </w:rPr>
            </w:pPr>
            <w:r w:rsidRPr="008D7F4E">
              <w:rPr>
                <w:sz w:val="16"/>
                <w:szCs w:val="16"/>
                <w:rtl/>
              </w:rPr>
              <w:fldChar w:fldCharType="begin"/>
            </w:r>
            <w:r w:rsidRPr="008D7F4E">
              <w:rPr>
                <w:sz w:val="16"/>
                <w:szCs w:val="16"/>
                <w:rtl/>
              </w:rPr>
              <w:instrText xml:space="preserve"> </w:instrText>
            </w:r>
            <w:r w:rsidRPr="008D7F4E">
              <w:rPr>
                <w:rFonts w:hint="cs"/>
                <w:sz w:val="16"/>
                <w:szCs w:val="16"/>
                <w:rtl/>
              </w:rPr>
              <w:instrText xml:space="preserve">= </w:instrText>
            </w:r>
            <w:r w:rsidRPr="008D7F4E">
              <w:rPr>
                <w:rFonts w:hint="cs"/>
                <w:sz w:val="16"/>
                <w:szCs w:val="16"/>
              </w:rPr>
              <w:instrText>CY \* MERGEFORMAT</w:instrText>
            </w:r>
            <w:r w:rsidRPr="008D7F4E">
              <w:rPr>
                <w:sz w:val="16"/>
                <w:szCs w:val="16"/>
                <w:rtl/>
              </w:rPr>
              <w:instrText xml:space="preserve"> </w:instrText>
            </w:r>
            <w:r w:rsidRPr="008D7F4E">
              <w:rPr>
                <w:sz w:val="16"/>
                <w:szCs w:val="16"/>
                <w:rtl/>
              </w:rPr>
              <w:fldChar w:fldCharType="separate"/>
            </w:r>
            <w:r w:rsidR="003A584F" w:rsidRPr="003A584F">
              <w:rPr>
                <w:noProof/>
                <w:rtl/>
              </w:rPr>
              <w:t>2024</w:t>
            </w:r>
            <w:r w:rsidRPr="008D7F4E">
              <w:rPr>
                <w:sz w:val="16"/>
                <w:szCs w:val="16"/>
                <w:rtl/>
              </w:rPr>
              <w:fldChar w:fldCharType="end"/>
            </w:r>
          </w:p>
        </w:tc>
        <w:tc>
          <w:tcPr>
            <w:tcW w:w="1071" w:type="dxa"/>
            <w:tcBorders>
              <w:top w:val="nil"/>
              <w:left w:val="nil"/>
              <w:bottom w:val="nil"/>
              <w:right w:val="nil"/>
            </w:tcBorders>
            <w:vAlign w:val="bottom"/>
          </w:tcPr>
          <w:p w14:paraId="22B8FDF2" w14:textId="7D00D604" w:rsidR="00F32A2A" w:rsidRDefault="00D20E55" w:rsidP="00F264BA">
            <w:pPr>
              <w:pStyle w:val="-4"/>
              <w:spacing w:line="200" w:lineRule="exact"/>
              <w:rPr>
                <w:rtl/>
              </w:rPr>
            </w:pPr>
            <w:r w:rsidRPr="008D7F4E">
              <w:rPr>
                <w:sz w:val="16"/>
                <w:szCs w:val="16"/>
                <w:rtl/>
              </w:rPr>
              <w:fldChar w:fldCharType="begin"/>
            </w:r>
            <w:r w:rsidRPr="008D7F4E">
              <w:rPr>
                <w:sz w:val="16"/>
                <w:szCs w:val="16"/>
                <w:rtl/>
              </w:rPr>
              <w:instrText xml:space="preserve"> </w:instrText>
            </w:r>
            <w:r w:rsidRPr="008D7F4E">
              <w:rPr>
                <w:rFonts w:hint="cs"/>
                <w:sz w:val="16"/>
                <w:szCs w:val="16"/>
                <w:rtl/>
              </w:rPr>
              <w:instrText xml:space="preserve">= </w:instrText>
            </w:r>
            <w:r w:rsidRPr="008D7F4E">
              <w:rPr>
                <w:rFonts w:hint="cs"/>
                <w:sz w:val="16"/>
                <w:szCs w:val="16"/>
              </w:rPr>
              <w:instrText>CY</w:instrText>
            </w:r>
            <w:r w:rsidRPr="008D7F4E">
              <w:rPr>
                <w:sz w:val="16"/>
                <w:szCs w:val="16"/>
              </w:rPr>
              <w:instrText>-1</w:instrText>
            </w:r>
            <w:r w:rsidRPr="008D7F4E">
              <w:rPr>
                <w:rFonts w:hint="cs"/>
                <w:sz w:val="16"/>
                <w:szCs w:val="16"/>
              </w:rPr>
              <w:instrText xml:space="preserve"> \* MERGEFORMAT</w:instrText>
            </w:r>
            <w:r w:rsidRPr="008D7F4E">
              <w:rPr>
                <w:sz w:val="16"/>
                <w:szCs w:val="16"/>
                <w:rtl/>
              </w:rPr>
              <w:instrText xml:space="preserve"> </w:instrText>
            </w:r>
            <w:r w:rsidRPr="008D7F4E">
              <w:rPr>
                <w:sz w:val="16"/>
                <w:szCs w:val="16"/>
                <w:rtl/>
              </w:rPr>
              <w:fldChar w:fldCharType="separate"/>
            </w:r>
            <w:r w:rsidR="003A584F" w:rsidRPr="003A584F">
              <w:rPr>
                <w:noProof/>
                <w:rtl/>
              </w:rPr>
              <w:t>2023</w:t>
            </w:r>
            <w:r w:rsidRPr="008D7F4E">
              <w:rPr>
                <w:sz w:val="16"/>
                <w:szCs w:val="16"/>
                <w:rtl/>
              </w:rPr>
              <w:fldChar w:fldCharType="end"/>
            </w:r>
          </w:p>
        </w:tc>
      </w:tr>
      <w:tr w:rsidR="00D0470C" w:rsidRPr="00CB02F8" w14:paraId="601F1A63" w14:textId="77777777" w:rsidTr="00277071">
        <w:trPr>
          <w:gridAfter w:val="1"/>
          <w:wAfter w:w="112" w:type="dxa"/>
        </w:trPr>
        <w:tc>
          <w:tcPr>
            <w:tcW w:w="1055" w:type="dxa"/>
            <w:tcBorders>
              <w:top w:val="nil"/>
              <w:left w:val="nil"/>
              <w:bottom w:val="nil"/>
              <w:right w:val="nil"/>
            </w:tcBorders>
          </w:tcPr>
          <w:p w14:paraId="5EE11116" w14:textId="77777777" w:rsidR="00D0470C" w:rsidRDefault="00D0470C" w:rsidP="006F3019">
            <w:pPr>
              <w:pStyle w:val="-0"/>
              <w:spacing w:line="200" w:lineRule="exact"/>
              <w:ind w:left="0" w:firstLine="0"/>
              <w:rPr>
                <w:sz w:val="14"/>
                <w:szCs w:val="14"/>
                <w:rtl/>
              </w:rPr>
            </w:pPr>
          </w:p>
        </w:tc>
        <w:tc>
          <w:tcPr>
            <w:tcW w:w="4817" w:type="dxa"/>
            <w:gridSpan w:val="2"/>
            <w:tcBorders>
              <w:top w:val="nil"/>
              <w:left w:val="nil"/>
              <w:bottom w:val="nil"/>
              <w:right w:val="nil"/>
            </w:tcBorders>
            <w:vAlign w:val="bottom"/>
          </w:tcPr>
          <w:p w14:paraId="7B5961E3" w14:textId="77777777" w:rsidR="00D0470C" w:rsidRPr="00CB02F8" w:rsidRDefault="00D0470C" w:rsidP="00F264BA">
            <w:pPr>
              <w:pStyle w:val="-0"/>
              <w:spacing w:line="200" w:lineRule="exact"/>
              <w:rPr>
                <w:rtl/>
              </w:rPr>
            </w:pPr>
          </w:p>
        </w:tc>
        <w:tc>
          <w:tcPr>
            <w:tcW w:w="1984" w:type="dxa"/>
            <w:gridSpan w:val="2"/>
            <w:tcBorders>
              <w:top w:val="nil"/>
              <w:left w:val="nil"/>
              <w:bottom w:val="nil"/>
              <w:right w:val="nil"/>
            </w:tcBorders>
            <w:vAlign w:val="bottom"/>
          </w:tcPr>
          <w:p w14:paraId="2F0D4D0F" w14:textId="77777777" w:rsidR="00D0470C" w:rsidRPr="00CB02F8" w:rsidRDefault="00D0470C" w:rsidP="00F264BA">
            <w:pPr>
              <w:pStyle w:val="-4"/>
              <w:spacing w:line="200" w:lineRule="exact"/>
              <w:rPr>
                <w:rtl/>
              </w:rPr>
            </w:pPr>
            <w:r w:rsidRPr="00CB02F8">
              <w:rPr>
                <w:rFonts w:hint="eastAsia"/>
                <w:rtl/>
              </w:rPr>
              <w:t>בלתי</w:t>
            </w:r>
            <w:r w:rsidRPr="00CB02F8">
              <w:rPr>
                <w:rtl/>
              </w:rPr>
              <w:t xml:space="preserve"> </w:t>
            </w:r>
            <w:r w:rsidRPr="00CB02F8">
              <w:rPr>
                <w:rFonts w:hint="eastAsia"/>
                <w:rtl/>
              </w:rPr>
              <w:t>מבוקר</w:t>
            </w:r>
          </w:p>
        </w:tc>
        <w:tc>
          <w:tcPr>
            <w:tcW w:w="2023" w:type="dxa"/>
            <w:gridSpan w:val="2"/>
            <w:tcBorders>
              <w:top w:val="nil"/>
              <w:left w:val="nil"/>
              <w:bottom w:val="nil"/>
              <w:right w:val="nil"/>
            </w:tcBorders>
            <w:vAlign w:val="bottom"/>
          </w:tcPr>
          <w:p w14:paraId="2C51FB36" w14:textId="77777777" w:rsidR="00D0470C" w:rsidRPr="00CB02F8" w:rsidRDefault="00D0470C" w:rsidP="00F264BA">
            <w:pPr>
              <w:pStyle w:val="-4"/>
              <w:spacing w:line="200" w:lineRule="exact"/>
              <w:rPr>
                <w:rtl/>
              </w:rPr>
            </w:pPr>
            <w:r w:rsidRPr="00CB02F8">
              <w:rPr>
                <w:rFonts w:hint="eastAsia"/>
                <w:rtl/>
              </w:rPr>
              <w:t>בלתי</w:t>
            </w:r>
            <w:r w:rsidRPr="00CB02F8">
              <w:rPr>
                <w:rtl/>
              </w:rPr>
              <w:t xml:space="preserve"> </w:t>
            </w:r>
            <w:r w:rsidRPr="00CB02F8">
              <w:rPr>
                <w:rFonts w:hint="eastAsia"/>
                <w:rtl/>
              </w:rPr>
              <w:t>מבוקר</w:t>
            </w:r>
          </w:p>
        </w:tc>
      </w:tr>
      <w:tr w:rsidR="00D0470C" w:rsidRPr="00CB02F8" w14:paraId="0F0C3B3C" w14:textId="77777777" w:rsidTr="00277071">
        <w:trPr>
          <w:gridAfter w:val="1"/>
          <w:wAfter w:w="112" w:type="dxa"/>
          <w:trHeight w:val="259"/>
        </w:trPr>
        <w:tc>
          <w:tcPr>
            <w:tcW w:w="1055" w:type="dxa"/>
            <w:tcBorders>
              <w:top w:val="nil"/>
              <w:left w:val="nil"/>
              <w:bottom w:val="nil"/>
              <w:right w:val="nil"/>
            </w:tcBorders>
          </w:tcPr>
          <w:p w14:paraId="244424A7" w14:textId="246BF33B" w:rsidR="00F32A2A" w:rsidRDefault="00F32A2A">
            <w:pPr>
              <w:pStyle w:val="-0"/>
              <w:spacing w:before="60" w:line="240" w:lineRule="auto"/>
              <w:ind w:left="0" w:firstLine="0"/>
              <w:rPr>
                <w:sz w:val="14"/>
                <w:szCs w:val="14"/>
                <w:rtl/>
              </w:rPr>
            </w:pPr>
          </w:p>
        </w:tc>
        <w:tc>
          <w:tcPr>
            <w:tcW w:w="4817" w:type="dxa"/>
            <w:gridSpan w:val="2"/>
            <w:tcBorders>
              <w:top w:val="nil"/>
              <w:left w:val="nil"/>
              <w:bottom w:val="nil"/>
              <w:right w:val="nil"/>
            </w:tcBorders>
            <w:vAlign w:val="bottom"/>
          </w:tcPr>
          <w:p w14:paraId="653EE897" w14:textId="24C8907A" w:rsidR="00F32A2A" w:rsidRDefault="00D0470C" w:rsidP="00277071">
            <w:pPr>
              <w:pStyle w:val="-0"/>
              <w:spacing w:line="240" w:lineRule="auto"/>
              <w:ind w:left="500" w:hanging="430"/>
              <w:rPr>
                <w:b/>
                <w:bCs/>
                <w:rtl/>
              </w:rPr>
            </w:pPr>
            <w:r w:rsidRPr="00CB02F8">
              <w:rPr>
                <w:b/>
                <w:bCs/>
                <w:rtl/>
              </w:rPr>
              <w:t xml:space="preserve">1. </w:t>
            </w:r>
            <w:r w:rsidRPr="00CB02F8">
              <w:rPr>
                <w:rFonts w:hint="eastAsia"/>
                <w:b/>
                <w:bCs/>
                <w:rtl/>
              </w:rPr>
              <w:t>מפעילות</w:t>
            </w:r>
            <w:r w:rsidRPr="00CB02F8">
              <w:rPr>
                <w:b/>
                <w:bCs/>
                <w:rtl/>
              </w:rPr>
              <w:t xml:space="preserve"> </w:t>
            </w:r>
            <w:r w:rsidRPr="00CB02F8">
              <w:rPr>
                <w:rFonts w:hint="eastAsia"/>
                <w:b/>
                <w:bCs/>
                <w:rtl/>
              </w:rPr>
              <w:t>במכשירים</w:t>
            </w:r>
            <w:r w:rsidRPr="00CB02F8">
              <w:rPr>
                <w:b/>
                <w:bCs/>
                <w:rtl/>
              </w:rPr>
              <w:t xml:space="preserve"> </w:t>
            </w:r>
            <w:r w:rsidRPr="00CB02F8">
              <w:rPr>
                <w:rFonts w:hint="eastAsia"/>
                <w:b/>
                <w:bCs/>
                <w:rtl/>
              </w:rPr>
              <w:t>נגזרים</w:t>
            </w:r>
            <w:r w:rsidRPr="0070315D">
              <w:rPr>
                <w:rFonts w:hint="cs"/>
                <w:vertAlign w:val="superscript"/>
                <w:rtl/>
              </w:rPr>
              <w:t>:</w:t>
            </w:r>
            <w:r w:rsidR="00FD137A">
              <w:rPr>
                <w:rFonts w:hint="cs"/>
                <w:b/>
                <w:bCs/>
                <w:rtl/>
              </w:rPr>
              <w:t>שאינם למסחר</w:t>
            </w:r>
          </w:p>
        </w:tc>
        <w:tc>
          <w:tcPr>
            <w:tcW w:w="852" w:type="dxa"/>
            <w:tcBorders>
              <w:top w:val="nil"/>
              <w:left w:val="nil"/>
              <w:bottom w:val="nil"/>
              <w:right w:val="nil"/>
            </w:tcBorders>
            <w:vAlign w:val="bottom"/>
          </w:tcPr>
          <w:p w14:paraId="396DE576" w14:textId="77777777" w:rsidR="00F32A2A" w:rsidRDefault="00F32A2A">
            <w:pPr>
              <w:pStyle w:val="-0"/>
              <w:spacing w:line="240" w:lineRule="auto"/>
              <w:rPr>
                <w:rtl/>
              </w:rPr>
            </w:pPr>
          </w:p>
        </w:tc>
        <w:tc>
          <w:tcPr>
            <w:tcW w:w="1132" w:type="dxa"/>
            <w:tcBorders>
              <w:top w:val="nil"/>
              <w:left w:val="nil"/>
              <w:bottom w:val="nil"/>
              <w:right w:val="nil"/>
            </w:tcBorders>
            <w:vAlign w:val="bottom"/>
          </w:tcPr>
          <w:p w14:paraId="4808BC54" w14:textId="77777777" w:rsidR="00F32A2A" w:rsidRDefault="00F32A2A">
            <w:pPr>
              <w:pStyle w:val="-0"/>
              <w:spacing w:line="240" w:lineRule="auto"/>
              <w:rPr>
                <w:rtl/>
              </w:rPr>
            </w:pPr>
          </w:p>
        </w:tc>
        <w:tc>
          <w:tcPr>
            <w:tcW w:w="952" w:type="dxa"/>
            <w:tcBorders>
              <w:top w:val="nil"/>
              <w:left w:val="nil"/>
              <w:bottom w:val="nil"/>
              <w:right w:val="nil"/>
            </w:tcBorders>
            <w:vAlign w:val="bottom"/>
          </w:tcPr>
          <w:p w14:paraId="122DC1E7" w14:textId="77777777" w:rsidR="00F32A2A" w:rsidRDefault="00F32A2A">
            <w:pPr>
              <w:pStyle w:val="-0"/>
              <w:spacing w:line="240" w:lineRule="auto"/>
              <w:rPr>
                <w:rtl/>
              </w:rPr>
            </w:pPr>
          </w:p>
        </w:tc>
        <w:tc>
          <w:tcPr>
            <w:tcW w:w="1071" w:type="dxa"/>
            <w:tcBorders>
              <w:top w:val="nil"/>
              <w:left w:val="nil"/>
              <w:bottom w:val="nil"/>
              <w:right w:val="nil"/>
            </w:tcBorders>
            <w:vAlign w:val="bottom"/>
          </w:tcPr>
          <w:p w14:paraId="0074772A" w14:textId="77777777" w:rsidR="00F32A2A" w:rsidRDefault="00F32A2A">
            <w:pPr>
              <w:pStyle w:val="-0"/>
              <w:spacing w:line="240" w:lineRule="auto"/>
              <w:rPr>
                <w:rtl/>
              </w:rPr>
            </w:pPr>
          </w:p>
        </w:tc>
      </w:tr>
      <w:tr w:rsidR="00D0470C" w:rsidRPr="00CB02F8" w14:paraId="1F9CFA1D" w14:textId="77777777" w:rsidTr="00277071">
        <w:trPr>
          <w:gridAfter w:val="1"/>
          <w:wAfter w:w="112" w:type="dxa"/>
          <w:trHeight w:val="259"/>
        </w:trPr>
        <w:tc>
          <w:tcPr>
            <w:tcW w:w="1055" w:type="dxa"/>
            <w:tcBorders>
              <w:top w:val="nil"/>
              <w:left w:val="nil"/>
              <w:bottom w:val="nil"/>
              <w:right w:val="nil"/>
            </w:tcBorders>
          </w:tcPr>
          <w:p w14:paraId="63493062" w14:textId="77777777" w:rsidR="00F32A2A" w:rsidRDefault="00F32A2A">
            <w:pPr>
              <w:pStyle w:val="-0"/>
              <w:spacing w:line="240" w:lineRule="auto"/>
              <w:ind w:left="0" w:firstLine="0"/>
              <w:rPr>
                <w:sz w:val="14"/>
                <w:szCs w:val="14"/>
                <w:rtl/>
              </w:rPr>
            </w:pPr>
          </w:p>
        </w:tc>
        <w:tc>
          <w:tcPr>
            <w:tcW w:w="4817" w:type="dxa"/>
            <w:gridSpan w:val="2"/>
            <w:tcBorders>
              <w:top w:val="nil"/>
              <w:left w:val="nil"/>
              <w:bottom w:val="nil"/>
              <w:right w:val="nil"/>
            </w:tcBorders>
            <w:vAlign w:val="bottom"/>
          </w:tcPr>
          <w:p w14:paraId="09D1FECD" w14:textId="77777777" w:rsidR="00F32A2A" w:rsidRPr="00277071" w:rsidRDefault="00BE5889" w:rsidP="00277071">
            <w:pPr>
              <w:pStyle w:val="-b"/>
              <w:spacing w:line="240" w:lineRule="auto"/>
              <w:ind w:left="676" w:hanging="321"/>
              <w:rPr>
                <w:rtl/>
              </w:rPr>
            </w:pPr>
            <w:r w:rsidRPr="0070315D">
              <w:rPr>
                <w:rFonts w:hint="cs"/>
                <w:rtl/>
              </w:rPr>
              <w:t>סך הכל מפעילות במכשירים נגזרים</w:t>
            </w:r>
            <w:r w:rsidR="0036606B" w:rsidRPr="00277071">
              <w:rPr>
                <w:rFonts w:hint="cs"/>
                <w:b w:val="0"/>
                <w:bCs w:val="0"/>
                <w:vertAlign w:val="superscript"/>
                <w:rtl/>
              </w:rPr>
              <w:t>(א)</w:t>
            </w:r>
            <w:r w:rsidR="00A61FD1" w:rsidRPr="00277071">
              <w:rPr>
                <w:rFonts w:hint="cs"/>
                <w:b w:val="0"/>
                <w:bCs w:val="0"/>
                <w:vertAlign w:val="superscript"/>
                <w:rtl/>
              </w:rPr>
              <w:t>[</w:t>
            </w:r>
            <w:r w:rsidR="001E060F" w:rsidRPr="00277071">
              <w:rPr>
                <w:b w:val="0"/>
                <w:bCs w:val="0"/>
                <w:vertAlign w:val="superscript"/>
                <w:rtl/>
              </w:rPr>
              <w:footnoteReference w:id="33"/>
            </w:r>
            <w:r w:rsidR="00A61FD1" w:rsidRPr="00277071">
              <w:rPr>
                <w:rFonts w:hint="cs"/>
                <w:b w:val="0"/>
                <w:bCs w:val="0"/>
                <w:vertAlign w:val="superscript"/>
                <w:rtl/>
              </w:rPr>
              <w:t>]</w:t>
            </w:r>
          </w:p>
        </w:tc>
        <w:tc>
          <w:tcPr>
            <w:tcW w:w="852" w:type="dxa"/>
            <w:tcBorders>
              <w:top w:val="nil"/>
              <w:left w:val="nil"/>
              <w:bottom w:val="nil"/>
              <w:right w:val="nil"/>
            </w:tcBorders>
            <w:vAlign w:val="bottom"/>
          </w:tcPr>
          <w:p w14:paraId="5828BC83" w14:textId="77777777" w:rsidR="00F32A2A" w:rsidRPr="0070315D" w:rsidRDefault="00D0470C">
            <w:pPr>
              <w:pStyle w:val="-0"/>
              <w:spacing w:line="240" w:lineRule="auto"/>
              <w:rPr>
                <w:b/>
                <w:bCs/>
                <w:rtl/>
              </w:rPr>
            </w:pPr>
            <w:r w:rsidRPr="0070315D">
              <w:rPr>
                <w:b/>
                <w:bCs/>
                <w:rtl/>
              </w:rPr>
              <w:t>0</w:t>
            </w:r>
          </w:p>
        </w:tc>
        <w:tc>
          <w:tcPr>
            <w:tcW w:w="1132" w:type="dxa"/>
            <w:tcBorders>
              <w:top w:val="nil"/>
              <w:left w:val="nil"/>
              <w:bottom w:val="nil"/>
              <w:right w:val="nil"/>
            </w:tcBorders>
            <w:vAlign w:val="bottom"/>
          </w:tcPr>
          <w:p w14:paraId="2DD4D6B7" w14:textId="77777777" w:rsidR="00F32A2A" w:rsidRPr="0070315D" w:rsidRDefault="00D0470C">
            <w:pPr>
              <w:pStyle w:val="-0"/>
              <w:spacing w:line="240" w:lineRule="auto"/>
              <w:rPr>
                <w:b/>
                <w:bCs/>
                <w:rtl/>
              </w:rPr>
            </w:pPr>
            <w:r w:rsidRPr="0070315D">
              <w:rPr>
                <w:b/>
                <w:bCs/>
                <w:rtl/>
              </w:rPr>
              <w:t>0</w:t>
            </w:r>
          </w:p>
        </w:tc>
        <w:tc>
          <w:tcPr>
            <w:tcW w:w="952" w:type="dxa"/>
            <w:tcBorders>
              <w:top w:val="nil"/>
              <w:left w:val="nil"/>
              <w:bottom w:val="nil"/>
              <w:right w:val="nil"/>
            </w:tcBorders>
            <w:vAlign w:val="bottom"/>
          </w:tcPr>
          <w:p w14:paraId="593DFE40" w14:textId="77777777" w:rsidR="00F32A2A" w:rsidRPr="0070315D" w:rsidRDefault="00D0470C">
            <w:pPr>
              <w:pStyle w:val="-0"/>
              <w:spacing w:line="240" w:lineRule="auto"/>
              <w:rPr>
                <w:b/>
                <w:bCs/>
                <w:rtl/>
              </w:rPr>
            </w:pPr>
            <w:r w:rsidRPr="0070315D">
              <w:rPr>
                <w:b/>
                <w:bCs/>
                <w:rtl/>
              </w:rPr>
              <w:t>0</w:t>
            </w:r>
          </w:p>
        </w:tc>
        <w:tc>
          <w:tcPr>
            <w:tcW w:w="1071" w:type="dxa"/>
            <w:tcBorders>
              <w:top w:val="nil"/>
              <w:left w:val="nil"/>
              <w:bottom w:val="nil"/>
              <w:right w:val="nil"/>
            </w:tcBorders>
            <w:vAlign w:val="bottom"/>
          </w:tcPr>
          <w:p w14:paraId="3A4FB9F0" w14:textId="77777777" w:rsidR="00F32A2A" w:rsidRPr="0070315D" w:rsidRDefault="00D0470C">
            <w:pPr>
              <w:pStyle w:val="-0"/>
              <w:spacing w:line="240" w:lineRule="auto"/>
              <w:rPr>
                <w:b/>
                <w:bCs/>
                <w:rtl/>
              </w:rPr>
            </w:pPr>
            <w:r w:rsidRPr="0070315D">
              <w:rPr>
                <w:b/>
                <w:bCs/>
                <w:rtl/>
              </w:rPr>
              <w:t>0</w:t>
            </w:r>
          </w:p>
        </w:tc>
      </w:tr>
      <w:tr w:rsidR="00D0470C" w:rsidRPr="00CB02F8" w14:paraId="6A744E13" w14:textId="77777777" w:rsidTr="00277071">
        <w:trPr>
          <w:gridAfter w:val="1"/>
          <w:wAfter w:w="112" w:type="dxa"/>
          <w:trHeight w:hRule="exact" w:val="98"/>
        </w:trPr>
        <w:tc>
          <w:tcPr>
            <w:tcW w:w="1055" w:type="dxa"/>
            <w:tcBorders>
              <w:top w:val="nil"/>
              <w:left w:val="nil"/>
              <w:bottom w:val="nil"/>
              <w:right w:val="nil"/>
            </w:tcBorders>
          </w:tcPr>
          <w:p w14:paraId="643400C7" w14:textId="77777777" w:rsidR="00D0470C" w:rsidRDefault="00D0470C" w:rsidP="006F3019">
            <w:pPr>
              <w:pStyle w:val="-7"/>
              <w:rPr>
                <w:sz w:val="14"/>
                <w:szCs w:val="14"/>
                <w:rtl/>
              </w:rPr>
            </w:pPr>
          </w:p>
        </w:tc>
        <w:tc>
          <w:tcPr>
            <w:tcW w:w="4817" w:type="dxa"/>
            <w:gridSpan w:val="2"/>
            <w:tcBorders>
              <w:top w:val="nil"/>
              <w:left w:val="nil"/>
              <w:bottom w:val="nil"/>
              <w:right w:val="nil"/>
            </w:tcBorders>
            <w:vAlign w:val="bottom"/>
          </w:tcPr>
          <w:p w14:paraId="3A0EAEC1" w14:textId="77777777" w:rsidR="00D0470C" w:rsidRPr="00AD3EEB" w:rsidRDefault="00D0470C" w:rsidP="00AD3EEB">
            <w:pPr>
              <w:pStyle w:val="-0"/>
              <w:spacing w:line="240" w:lineRule="auto"/>
              <w:ind w:left="500" w:hanging="284"/>
              <w:rPr>
                <w:b/>
                <w:bCs/>
                <w:rtl/>
              </w:rPr>
            </w:pPr>
          </w:p>
        </w:tc>
        <w:tc>
          <w:tcPr>
            <w:tcW w:w="852" w:type="dxa"/>
            <w:tcBorders>
              <w:top w:val="nil"/>
              <w:left w:val="nil"/>
              <w:bottom w:val="nil"/>
              <w:right w:val="nil"/>
            </w:tcBorders>
            <w:vAlign w:val="bottom"/>
          </w:tcPr>
          <w:p w14:paraId="6053017F" w14:textId="77777777" w:rsidR="00D0470C" w:rsidRPr="00CB02F8" w:rsidRDefault="00D0470C" w:rsidP="006F3019">
            <w:pPr>
              <w:pStyle w:val="-7"/>
              <w:rPr>
                <w:rtl/>
              </w:rPr>
            </w:pPr>
          </w:p>
        </w:tc>
        <w:tc>
          <w:tcPr>
            <w:tcW w:w="1132" w:type="dxa"/>
            <w:tcBorders>
              <w:top w:val="nil"/>
              <w:left w:val="nil"/>
              <w:bottom w:val="nil"/>
              <w:right w:val="nil"/>
            </w:tcBorders>
            <w:vAlign w:val="bottom"/>
          </w:tcPr>
          <w:p w14:paraId="6B6D47BD" w14:textId="77777777" w:rsidR="00D0470C" w:rsidRPr="00CB02F8" w:rsidRDefault="00D0470C" w:rsidP="006F3019">
            <w:pPr>
              <w:pStyle w:val="-7"/>
              <w:rPr>
                <w:rtl/>
              </w:rPr>
            </w:pPr>
          </w:p>
        </w:tc>
        <w:tc>
          <w:tcPr>
            <w:tcW w:w="952" w:type="dxa"/>
            <w:tcBorders>
              <w:top w:val="nil"/>
              <w:left w:val="nil"/>
              <w:bottom w:val="nil"/>
              <w:right w:val="nil"/>
            </w:tcBorders>
            <w:vAlign w:val="bottom"/>
          </w:tcPr>
          <w:p w14:paraId="5A661F5C" w14:textId="77777777" w:rsidR="00D0470C" w:rsidRPr="00CB02F8" w:rsidRDefault="00D0470C" w:rsidP="006F3019">
            <w:pPr>
              <w:pStyle w:val="-7"/>
              <w:rPr>
                <w:rtl/>
              </w:rPr>
            </w:pPr>
          </w:p>
        </w:tc>
        <w:tc>
          <w:tcPr>
            <w:tcW w:w="1071" w:type="dxa"/>
            <w:tcBorders>
              <w:top w:val="nil"/>
              <w:left w:val="nil"/>
              <w:bottom w:val="nil"/>
              <w:right w:val="nil"/>
            </w:tcBorders>
            <w:vAlign w:val="bottom"/>
          </w:tcPr>
          <w:p w14:paraId="1ACDF673" w14:textId="77777777" w:rsidR="00D0470C" w:rsidRPr="00CB02F8" w:rsidRDefault="00D0470C" w:rsidP="006F3019">
            <w:pPr>
              <w:pStyle w:val="-7"/>
              <w:rPr>
                <w:rtl/>
              </w:rPr>
            </w:pPr>
          </w:p>
        </w:tc>
      </w:tr>
      <w:tr w:rsidR="00D0470C" w:rsidRPr="00CB02F8" w14:paraId="3FD010E9" w14:textId="77777777" w:rsidTr="00277071">
        <w:trPr>
          <w:gridAfter w:val="1"/>
          <w:wAfter w:w="112" w:type="dxa"/>
        </w:trPr>
        <w:tc>
          <w:tcPr>
            <w:tcW w:w="1055" w:type="dxa"/>
            <w:tcBorders>
              <w:top w:val="nil"/>
              <w:left w:val="nil"/>
              <w:bottom w:val="nil"/>
              <w:right w:val="nil"/>
            </w:tcBorders>
          </w:tcPr>
          <w:p w14:paraId="0AE426DE" w14:textId="5C5ED2E2" w:rsidR="00F32A2A" w:rsidRDefault="00F32A2A">
            <w:pPr>
              <w:pStyle w:val="-0"/>
              <w:spacing w:before="60" w:line="240" w:lineRule="auto"/>
              <w:ind w:left="0" w:firstLine="0"/>
              <w:rPr>
                <w:sz w:val="14"/>
                <w:szCs w:val="14"/>
                <w:rtl/>
              </w:rPr>
            </w:pPr>
          </w:p>
        </w:tc>
        <w:tc>
          <w:tcPr>
            <w:tcW w:w="4817" w:type="dxa"/>
            <w:gridSpan w:val="2"/>
            <w:tcBorders>
              <w:top w:val="nil"/>
              <w:left w:val="nil"/>
              <w:bottom w:val="nil"/>
              <w:right w:val="nil"/>
            </w:tcBorders>
            <w:vAlign w:val="bottom"/>
          </w:tcPr>
          <w:p w14:paraId="6DB3BEB4" w14:textId="4C8D63AF" w:rsidR="00F32A2A" w:rsidRDefault="00D0470C" w:rsidP="00277071">
            <w:pPr>
              <w:pStyle w:val="-0"/>
              <w:spacing w:line="240" w:lineRule="auto"/>
              <w:ind w:left="500" w:hanging="430"/>
              <w:rPr>
                <w:b/>
                <w:bCs/>
                <w:rtl/>
              </w:rPr>
            </w:pPr>
            <w:r w:rsidRPr="00CB02F8">
              <w:rPr>
                <w:b/>
                <w:bCs/>
                <w:rtl/>
              </w:rPr>
              <w:t xml:space="preserve">2. </w:t>
            </w:r>
            <w:r w:rsidRPr="00CB02F8">
              <w:rPr>
                <w:rFonts w:hint="eastAsia"/>
                <w:b/>
                <w:bCs/>
                <w:rtl/>
              </w:rPr>
              <w:t>מהשקעה</w:t>
            </w:r>
            <w:r w:rsidRPr="00CB02F8">
              <w:rPr>
                <w:b/>
                <w:bCs/>
                <w:rtl/>
              </w:rPr>
              <w:t xml:space="preserve"> </w:t>
            </w:r>
            <w:r w:rsidRPr="00CB02F8">
              <w:rPr>
                <w:rFonts w:hint="eastAsia"/>
                <w:b/>
                <w:bCs/>
                <w:rtl/>
              </w:rPr>
              <w:t>ב</w:t>
            </w:r>
            <w:r w:rsidR="00A674A4">
              <w:rPr>
                <w:rFonts w:hint="eastAsia"/>
                <w:b/>
                <w:bCs/>
                <w:rtl/>
              </w:rPr>
              <w:t>אגרות</w:t>
            </w:r>
            <w:r w:rsidRPr="00CB02F8">
              <w:rPr>
                <w:b/>
                <w:bCs/>
                <w:rtl/>
              </w:rPr>
              <w:t xml:space="preserve"> </w:t>
            </w:r>
            <w:r w:rsidRPr="00CB02F8">
              <w:rPr>
                <w:rFonts w:hint="eastAsia"/>
                <w:b/>
                <w:bCs/>
                <w:rtl/>
              </w:rPr>
              <w:t>חוב</w:t>
            </w:r>
            <w:r w:rsidR="00FA10AC" w:rsidRPr="00FA10AC">
              <w:rPr>
                <w:rFonts w:hint="cs"/>
                <w:b/>
                <w:bCs/>
                <w:vertAlign w:val="superscript"/>
                <w:rtl/>
              </w:rPr>
              <w:t>[</w:t>
            </w:r>
            <w:r w:rsidR="00FA10AC" w:rsidRPr="00FA10AC">
              <w:rPr>
                <w:rStyle w:val="a7"/>
                <w:b/>
                <w:bCs/>
                <w:rtl/>
              </w:rPr>
              <w:footnoteReference w:id="34"/>
            </w:r>
            <w:r w:rsidR="00FA10AC" w:rsidRPr="00FA10AC">
              <w:rPr>
                <w:rFonts w:hint="cs"/>
                <w:b/>
                <w:bCs/>
                <w:vertAlign w:val="superscript"/>
                <w:rtl/>
              </w:rPr>
              <w:t>]</w:t>
            </w:r>
            <w:r w:rsidRPr="00CB02F8">
              <w:rPr>
                <w:b/>
                <w:bCs/>
                <w:rtl/>
              </w:rPr>
              <w:t>:</w:t>
            </w:r>
          </w:p>
        </w:tc>
        <w:tc>
          <w:tcPr>
            <w:tcW w:w="852" w:type="dxa"/>
            <w:tcBorders>
              <w:top w:val="nil"/>
              <w:left w:val="nil"/>
              <w:bottom w:val="nil"/>
              <w:right w:val="nil"/>
            </w:tcBorders>
            <w:vAlign w:val="bottom"/>
          </w:tcPr>
          <w:p w14:paraId="23A7F81A" w14:textId="77777777" w:rsidR="00F32A2A" w:rsidRDefault="00F32A2A">
            <w:pPr>
              <w:pStyle w:val="-0"/>
              <w:spacing w:line="240" w:lineRule="auto"/>
              <w:rPr>
                <w:rtl/>
              </w:rPr>
            </w:pPr>
          </w:p>
        </w:tc>
        <w:tc>
          <w:tcPr>
            <w:tcW w:w="1132" w:type="dxa"/>
            <w:tcBorders>
              <w:top w:val="nil"/>
              <w:left w:val="nil"/>
              <w:bottom w:val="nil"/>
              <w:right w:val="nil"/>
            </w:tcBorders>
            <w:vAlign w:val="bottom"/>
          </w:tcPr>
          <w:p w14:paraId="7DE5C8E5" w14:textId="77777777" w:rsidR="00F32A2A" w:rsidRDefault="00F32A2A">
            <w:pPr>
              <w:pStyle w:val="-0"/>
              <w:spacing w:line="240" w:lineRule="auto"/>
              <w:rPr>
                <w:rtl/>
              </w:rPr>
            </w:pPr>
          </w:p>
        </w:tc>
        <w:tc>
          <w:tcPr>
            <w:tcW w:w="952" w:type="dxa"/>
            <w:tcBorders>
              <w:top w:val="nil"/>
              <w:left w:val="nil"/>
              <w:bottom w:val="nil"/>
              <w:right w:val="nil"/>
            </w:tcBorders>
            <w:vAlign w:val="bottom"/>
          </w:tcPr>
          <w:p w14:paraId="7358F605" w14:textId="77777777" w:rsidR="00F32A2A" w:rsidRDefault="00F32A2A">
            <w:pPr>
              <w:pStyle w:val="-0"/>
              <w:spacing w:line="240" w:lineRule="auto"/>
              <w:rPr>
                <w:rtl/>
              </w:rPr>
            </w:pPr>
          </w:p>
        </w:tc>
        <w:tc>
          <w:tcPr>
            <w:tcW w:w="1071" w:type="dxa"/>
            <w:tcBorders>
              <w:top w:val="nil"/>
              <w:left w:val="nil"/>
              <w:bottom w:val="nil"/>
              <w:right w:val="nil"/>
            </w:tcBorders>
            <w:vAlign w:val="bottom"/>
          </w:tcPr>
          <w:p w14:paraId="36E30F55" w14:textId="77777777" w:rsidR="00F32A2A" w:rsidRDefault="00F32A2A">
            <w:pPr>
              <w:pStyle w:val="-0"/>
              <w:spacing w:line="240" w:lineRule="auto"/>
              <w:rPr>
                <w:rtl/>
              </w:rPr>
            </w:pPr>
          </w:p>
        </w:tc>
      </w:tr>
      <w:tr w:rsidR="00D0470C" w:rsidRPr="00CB02F8" w14:paraId="31280402" w14:textId="77777777" w:rsidTr="00277071">
        <w:trPr>
          <w:gridAfter w:val="1"/>
          <w:wAfter w:w="112" w:type="dxa"/>
          <w:trHeight w:val="259"/>
        </w:trPr>
        <w:tc>
          <w:tcPr>
            <w:tcW w:w="1055" w:type="dxa"/>
            <w:tcBorders>
              <w:top w:val="nil"/>
              <w:left w:val="nil"/>
              <w:bottom w:val="nil"/>
              <w:right w:val="nil"/>
            </w:tcBorders>
          </w:tcPr>
          <w:p w14:paraId="2C259D1A" w14:textId="77777777" w:rsidR="00F32A2A" w:rsidRDefault="00F32A2A">
            <w:pPr>
              <w:pStyle w:val="-0"/>
              <w:spacing w:line="240" w:lineRule="auto"/>
              <w:ind w:left="0" w:firstLine="0"/>
              <w:rPr>
                <w:sz w:val="14"/>
                <w:szCs w:val="14"/>
                <w:rtl/>
              </w:rPr>
            </w:pPr>
          </w:p>
        </w:tc>
        <w:tc>
          <w:tcPr>
            <w:tcW w:w="4817" w:type="dxa"/>
            <w:gridSpan w:val="2"/>
            <w:tcBorders>
              <w:top w:val="nil"/>
              <w:left w:val="nil"/>
              <w:bottom w:val="nil"/>
              <w:right w:val="nil"/>
            </w:tcBorders>
            <w:vAlign w:val="bottom"/>
          </w:tcPr>
          <w:p w14:paraId="3A08BBD9" w14:textId="77777777" w:rsidR="00F32A2A" w:rsidRDefault="00D0470C" w:rsidP="00277071">
            <w:pPr>
              <w:pStyle w:val="-0"/>
              <w:spacing w:line="240" w:lineRule="auto"/>
              <w:ind w:left="676" w:hanging="323"/>
              <w:rPr>
                <w:rtl/>
              </w:rPr>
            </w:pPr>
            <w:r w:rsidRPr="00CB02F8">
              <w:rPr>
                <w:rFonts w:hint="eastAsia"/>
                <w:rtl/>
              </w:rPr>
              <w:t>רווחים</w:t>
            </w:r>
            <w:r w:rsidRPr="00CB02F8">
              <w:rPr>
                <w:rtl/>
              </w:rPr>
              <w:t xml:space="preserve"> ממכירת אג"ח מוחזקות לפדיון </w:t>
            </w:r>
          </w:p>
        </w:tc>
        <w:tc>
          <w:tcPr>
            <w:tcW w:w="852" w:type="dxa"/>
            <w:tcBorders>
              <w:top w:val="nil"/>
              <w:left w:val="nil"/>
              <w:bottom w:val="nil"/>
              <w:right w:val="nil"/>
            </w:tcBorders>
            <w:vAlign w:val="bottom"/>
          </w:tcPr>
          <w:p w14:paraId="7C1B3FA8" w14:textId="77777777" w:rsidR="00F32A2A" w:rsidRDefault="00D0470C">
            <w:pPr>
              <w:pStyle w:val="-0"/>
              <w:spacing w:line="240" w:lineRule="auto"/>
              <w:rPr>
                <w:rtl/>
              </w:rPr>
            </w:pPr>
            <w:r w:rsidRPr="00CB02F8">
              <w:rPr>
                <w:rtl/>
              </w:rPr>
              <w:t>0</w:t>
            </w:r>
          </w:p>
        </w:tc>
        <w:tc>
          <w:tcPr>
            <w:tcW w:w="1132" w:type="dxa"/>
            <w:tcBorders>
              <w:top w:val="nil"/>
              <w:left w:val="nil"/>
              <w:bottom w:val="nil"/>
              <w:right w:val="nil"/>
            </w:tcBorders>
            <w:vAlign w:val="bottom"/>
          </w:tcPr>
          <w:p w14:paraId="3C660957" w14:textId="77777777" w:rsidR="00F32A2A" w:rsidRDefault="00D0470C">
            <w:pPr>
              <w:pStyle w:val="-0"/>
              <w:spacing w:line="240" w:lineRule="auto"/>
              <w:rPr>
                <w:rtl/>
              </w:rPr>
            </w:pPr>
            <w:r w:rsidRPr="00CB02F8">
              <w:rPr>
                <w:rtl/>
              </w:rPr>
              <w:t>0</w:t>
            </w:r>
          </w:p>
        </w:tc>
        <w:tc>
          <w:tcPr>
            <w:tcW w:w="952" w:type="dxa"/>
            <w:tcBorders>
              <w:top w:val="nil"/>
              <w:left w:val="nil"/>
              <w:bottom w:val="nil"/>
              <w:right w:val="nil"/>
            </w:tcBorders>
            <w:vAlign w:val="bottom"/>
          </w:tcPr>
          <w:p w14:paraId="31812B71" w14:textId="77777777" w:rsidR="00F32A2A" w:rsidRDefault="00D0470C">
            <w:pPr>
              <w:pStyle w:val="-0"/>
              <w:spacing w:line="240" w:lineRule="auto"/>
              <w:rPr>
                <w:rtl/>
              </w:rPr>
            </w:pPr>
            <w:r w:rsidRPr="00CB02F8">
              <w:rPr>
                <w:rtl/>
              </w:rPr>
              <w:t>0</w:t>
            </w:r>
          </w:p>
        </w:tc>
        <w:tc>
          <w:tcPr>
            <w:tcW w:w="1071" w:type="dxa"/>
            <w:tcBorders>
              <w:top w:val="nil"/>
              <w:left w:val="nil"/>
              <w:bottom w:val="nil"/>
              <w:right w:val="nil"/>
            </w:tcBorders>
            <w:vAlign w:val="bottom"/>
          </w:tcPr>
          <w:p w14:paraId="436C69EA" w14:textId="77777777" w:rsidR="00F32A2A" w:rsidRDefault="00D0470C">
            <w:pPr>
              <w:pStyle w:val="-0"/>
              <w:spacing w:line="240" w:lineRule="auto"/>
              <w:rPr>
                <w:rtl/>
              </w:rPr>
            </w:pPr>
            <w:r w:rsidRPr="00CB02F8">
              <w:rPr>
                <w:rtl/>
              </w:rPr>
              <w:t>0</w:t>
            </w:r>
          </w:p>
        </w:tc>
      </w:tr>
      <w:tr w:rsidR="00D0470C" w:rsidRPr="00CB02F8" w14:paraId="5761B3F0" w14:textId="77777777" w:rsidTr="00277071">
        <w:trPr>
          <w:gridAfter w:val="1"/>
          <w:wAfter w:w="112" w:type="dxa"/>
          <w:trHeight w:val="259"/>
        </w:trPr>
        <w:tc>
          <w:tcPr>
            <w:tcW w:w="1055" w:type="dxa"/>
            <w:tcBorders>
              <w:top w:val="nil"/>
              <w:left w:val="nil"/>
              <w:bottom w:val="nil"/>
              <w:right w:val="nil"/>
            </w:tcBorders>
          </w:tcPr>
          <w:p w14:paraId="672E9DEF" w14:textId="77777777" w:rsidR="00F32A2A" w:rsidRDefault="00F32A2A">
            <w:pPr>
              <w:pStyle w:val="-0"/>
              <w:spacing w:line="240" w:lineRule="auto"/>
              <w:ind w:left="0" w:firstLine="0"/>
              <w:rPr>
                <w:sz w:val="14"/>
                <w:szCs w:val="14"/>
                <w:rtl/>
              </w:rPr>
            </w:pPr>
          </w:p>
        </w:tc>
        <w:tc>
          <w:tcPr>
            <w:tcW w:w="4817" w:type="dxa"/>
            <w:gridSpan w:val="2"/>
            <w:tcBorders>
              <w:top w:val="nil"/>
              <w:left w:val="nil"/>
              <w:bottom w:val="nil"/>
              <w:right w:val="nil"/>
            </w:tcBorders>
            <w:vAlign w:val="bottom"/>
          </w:tcPr>
          <w:p w14:paraId="026DD888" w14:textId="77777777" w:rsidR="00F32A2A" w:rsidRDefault="00D0470C" w:rsidP="00277071">
            <w:pPr>
              <w:pStyle w:val="-21"/>
              <w:spacing w:before="0" w:line="240" w:lineRule="auto"/>
              <w:ind w:left="676" w:hanging="323"/>
              <w:rPr>
                <w:rtl/>
              </w:rPr>
            </w:pPr>
            <w:r w:rsidRPr="00CB02F8">
              <w:rPr>
                <w:rFonts w:hint="eastAsia"/>
                <w:rtl/>
              </w:rPr>
              <w:t>הפסדים</w:t>
            </w:r>
            <w:r w:rsidRPr="00CB02F8">
              <w:rPr>
                <w:rtl/>
              </w:rPr>
              <w:t xml:space="preserve"> </w:t>
            </w:r>
            <w:r w:rsidRPr="00CB02F8">
              <w:rPr>
                <w:rFonts w:hint="eastAsia"/>
                <w:rtl/>
              </w:rPr>
              <w:t>ממכירת</w:t>
            </w:r>
            <w:r w:rsidRPr="00CB02F8">
              <w:rPr>
                <w:rtl/>
              </w:rPr>
              <w:t xml:space="preserve"> </w:t>
            </w:r>
            <w:r w:rsidRPr="00CB02F8">
              <w:rPr>
                <w:rFonts w:hint="eastAsia"/>
                <w:rtl/>
              </w:rPr>
              <w:t>אג</w:t>
            </w:r>
            <w:r w:rsidRPr="00CB02F8">
              <w:rPr>
                <w:rtl/>
              </w:rPr>
              <w:t xml:space="preserve">"ח </w:t>
            </w:r>
            <w:r w:rsidRPr="00CB02F8">
              <w:rPr>
                <w:rFonts w:hint="eastAsia"/>
                <w:rtl/>
              </w:rPr>
              <w:t>מוחזקות</w:t>
            </w:r>
            <w:r w:rsidRPr="00CB02F8">
              <w:rPr>
                <w:rtl/>
              </w:rPr>
              <w:t xml:space="preserve"> </w:t>
            </w:r>
            <w:r w:rsidRPr="00CB02F8">
              <w:rPr>
                <w:rFonts w:hint="eastAsia"/>
                <w:rtl/>
              </w:rPr>
              <w:t>לפדיון</w:t>
            </w:r>
            <w:r w:rsidRPr="00CB02F8">
              <w:rPr>
                <w:vertAlign w:val="superscript"/>
                <w:rtl/>
              </w:rPr>
              <w:t>(</w:t>
            </w:r>
            <w:r w:rsidR="00BE5889">
              <w:rPr>
                <w:rFonts w:hint="cs"/>
                <w:vertAlign w:val="superscript"/>
                <w:rtl/>
              </w:rPr>
              <w:t>ב</w:t>
            </w:r>
            <w:r w:rsidRPr="00CB02F8">
              <w:rPr>
                <w:vertAlign w:val="superscript"/>
                <w:rtl/>
              </w:rPr>
              <w:t>)</w:t>
            </w:r>
          </w:p>
        </w:tc>
        <w:tc>
          <w:tcPr>
            <w:tcW w:w="852" w:type="dxa"/>
            <w:tcBorders>
              <w:top w:val="nil"/>
              <w:left w:val="nil"/>
              <w:bottom w:val="nil"/>
              <w:right w:val="nil"/>
            </w:tcBorders>
            <w:vAlign w:val="bottom"/>
          </w:tcPr>
          <w:p w14:paraId="4B1892CD" w14:textId="77777777" w:rsidR="00F32A2A" w:rsidRDefault="00D0470C">
            <w:pPr>
              <w:pStyle w:val="-0"/>
              <w:spacing w:line="240" w:lineRule="auto"/>
              <w:rPr>
                <w:sz w:val="24"/>
                <w:szCs w:val="24"/>
                <w:rtl/>
              </w:rPr>
            </w:pPr>
            <w:r w:rsidRPr="00CB02F8">
              <w:rPr>
                <w:rtl/>
              </w:rPr>
              <w:t>0</w:t>
            </w:r>
          </w:p>
        </w:tc>
        <w:tc>
          <w:tcPr>
            <w:tcW w:w="1132" w:type="dxa"/>
            <w:tcBorders>
              <w:top w:val="nil"/>
              <w:left w:val="nil"/>
              <w:bottom w:val="nil"/>
              <w:right w:val="nil"/>
            </w:tcBorders>
            <w:vAlign w:val="bottom"/>
          </w:tcPr>
          <w:p w14:paraId="08C4A190" w14:textId="77777777" w:rsidR="00F32A2A" w:rsidRDefault="00D0470C">
            <w:pPr>
              <w:pStyle w:val="-0"/>
              <w:spacing w:line="240" w:lineRule="auto"/>
              <w:rPr>
                <w:sz w:val="24"/>
                <w:szCs w:val="24"/>
                <w:rtl/>
              </w:rPr>
            </w:pPr>
            <w:r w:rsidRPr="00CB02F8">
              <w:rPr>
                <w:rtl/>
              </w:rPr>
              <w:t>0</w:t>
            </w:r>
          </w:p>
        </w:tc>
        <w:tc>
          <w:tcPr>
            <w:tcW w:w="952" w:type="dxa"/>
            <w:tcBorders>
              <w:top w:val="nil"/>
              <w:left w:val="nil"/>
              <w:bottom w:val="nil"/>
              <w:right w:val="nil"/>
            </w:tcBorders>
            <w:vAlign w:val="bottom"/>
          </w:tcPr>
          <w:p w14:paraId="7A76C8AE" w14:textId="77777777" w:rsidR="00F32A2A" w:rsidRDefault="00D0470C">
            <w:pPr>
              <w:pStyle w:val="-0"/>
              <w:spacing w:line="240" w:lineRule="auto"/>
              <w:rPr>
                <w:sz w:val="24"/>
                <w:szCs w:val="24"/>
                <w:rtl/>
              </w:rPr>
            </w:pPr>
            <w:r w:rsidRPr="00CB02F8">
              <w:rPr>
                <w:rtl/>
              </w:rPr>
              <w:t>0</w:t>
            </w:r>
          </w:p>
        </w:tc>
        <w:tc>
          <w:tcPr>
            <w:tcW w:w="1071" w:type="dxa"/>
            <w:tcBorders>
              <w:top w:val="nil"/>
              <w:left w:val="nil"/>
              <w:bottom w:val="nil"/>
              <w:right w:val="nil"/>
            </w:tcBorders>
            <w:vAlign w:val="bottom"/>
          </w:tcPr>
          <w:p w14:paraId="39FDC455" w14:textId="77777777" w:rsidR="00F32A2A" w:rsidRDefault="00D0470C">
            <w:pPr>
              <w:pStyle w:val="-0"/>
              <w:spacing w:line="240" w:lineRule="auto"/>
              <w:rPr>
                <w:sz w:val="24"/>
                <w:szCs w:val="24"/>
                <w:rtl/>
              </w:rPr>
            </w:pPr>
            <w:r w:rsidRPr="00CB02F8">
              <w:rPr>
                <w:rtl/>
              </w:rPr>
              <w:t>0</w:t>
            </w:r>
          </w:p>
        </w:tc>
      </w:tr>
      <w:tr w:rsidR="00D0470C" w:rsidRPr="00CB02F8" w14:paraId="63E73DE0" w14:textId="77777777" w:rsidTr="00277071">
        <w:trPr>
          <w:gridAfter w:val="1"/>
          <w:wAfter w:w="112" w:type="dxa"/>
          <w:trHeight w:val="259"/>
        </w:trPr>
        <w:tc>
          <w:tcPr>
            <w:tcW w:w="1055" w:type="dxa"/>
            <w:tcBorders>
              <w:top w:val="nil"/>
              <w:left w:val="nil"/>
              <w:bottom w:val="nil"/>
              <w:right w:val="nil"/>
            </w:tcBorders>
          </w:tcPr>
          <w:p w14:paraId="5A40EDD4" w14:textId="77777777" w:rsidR="00F32A2A" w:rsidRDefault="00F32A2A">
            <w:pPr>
              <w:pStyle w:val="-0"/>
              <w:spacing w:line="240" w:lineRule="auto"/>
              <w:ind w:left="0" w:firstLine="0"/>
              <w:rPr>
                <w:sz w:val="14"/>
                <w:szCs w:val="14"/>
                <w:rtl/>
              </w:rPr>
            </w:pPr>
          </w:p>
        </w:tc>
        <w:tc>
          <w:tcPr>
            <w:tcW w:w="4817" w:type="dxa"/>
            <w:gridSpan w:val="2"/>
            <w:tcBorders>
              <w:top w:val="nil"/>
              <w:left w:val="nil"/>
              <w:bottom w:val="nil"/>
              <w:right w:val="nil"/>
            </w:tcBorders>
            <w:vAlign w:val="bottom"/>
          </w:tcPr>
          <w:p w14:paraId="07F0D096" w14:textId="77777777" w:rsidR="00F32A2A" w:rsidRDefault="00D0470C" w:rsidP="00277071">
            <w:pPr>
              <w:pStyle w:val="-0"/>
              <w:spacing w:line="240" w:lineRule="auto"/>
              <w:ind w:left="676" w:hanging="323"/>
              <w:rPr>
                <w:rtl/>
              </w:rPr>
            </w:pPr>
            <w:r w:rsidRPr="00CB02F8">
              <w:rPr>
                <w:rFonts w:hint="eastAsia"/>
                <w:rtl/>
              </w:rPr>
              <w:t>רווחים</w:t>
            </w:r>
            <w:r w:rsidRPr="00CB02F8">
              <w:rPr>
                <w:rtl/>
              </w:rPr>
              <w:t xml:space="preserve"> </w:t>
            </w:r>
            <w:r w:rsidRPr="00CB02F8">
              <w:rPr>
                <w:rFonts w:hint="eastAsia"/>
                <w:rtl/>
              </w:rPr>
              <w:t>ממכירת</w:t>
            </w:r>
            <w:r w:rsidRPr="00CB02F8">
              <w:rPr>
                <w:rtl/>
              </w:rPr>
              <w:t xml:space="preserve"> </w:t>
            </w:r>
            <w:r w:rsidRPr="00CB02F8">
              <w:rPr>
                <w:rFonts w:hint="eastAsia"/>
                <w:rtl/>
              </w:rPr>
              <w:t>אג</w:t>
            </w:r>
            <w:r w:rsidRPr="00CB02F8">
              <w:rPr>
                <w:rtl/>
              </w:rPr>
              <w:t xml:space="preserve">"ח </w:t>
            </w:r>
            <w:r w:rsidRPr="00CB02F8">
              <w:rPr>
                <w:rFonts w:hint="eastAsia"/>
                <w:rtl/>
              </w:rPr>
              <w:t>זמינות</w:t>
            </w:r>
            <w:r w:rsidRPr="00CB02F8">
              <w:rPr>
                <w:rtl/>
              </w:rPr>
              <w:t xml:space="preserve"> </w:t>
            </w:r>
            <w:r w:rsidRPr="00CB02F8">
              <w:rPr>
                <w:rFonts w:hint="eastAsia"/>
                <w:rtl/>
              </w:rPr>
              <w:t>למכירה</w:t>
            </w:r>
            <w:r w:rsidRPr="00CB02F8">
              <w:rPr>
                <w:rFonts w:hint="cs"/>
                <w:vertAlign w:val="superscript"/>
                <w:rtl/>
              </w:rPr>
              <w:t>(ד)</w:t>
            </w:r>
          </w:p>
        </w:tc>
        <w:tc>
          <w:tcPr>
            <w:tcW w:w="852" w:type="dxa"/>
            <w:tcBorders>
              <w:top w:val="nil"/>
              <w:left w:val="nil"/>
              <w:bottom w:val="nil"/>
              <w:right w:val="nil"/>
            </w:tcBorders>
            <w:vAlign w:val="bottom"/>
          </w:tcPr>
          <w:p w14:paraId="3C7EB38E" w14:textId="77777777" w:rsidR="00F32A2A" w:rsidRDefault="00D0470C">
            <w:pPr>
              <w:pStyle w:val="-0"/>
              <w:spacing w:line="240" w:lineRule="auto"/>
              <w:rPr>
                <w:rtl/>
              </w:rPr>
            </w:pPr>
            <w:r w:rsidRPr="00CB02F8">
              <w:rPr>
                <w:rtl/>
              </w:rPr>
              <w:t>0</w:t>
            </w:r>
          </w:p>
        </w:tc>
        <w:tc>
          <w:tcPr>
            <w:tcW w:w="1132" w:type="dxa"/>
            <w:tcBorders>
              <w:top w:val="nil"/>
              <w:left w:val="nil"/>
              <w:bottom w:val="nil"/>
              <w:right w:val="nil"/>
            </w:tcBorders>
            <w:vAlign w:val="bottom"/>
          </w:tcPr>
          <w:p w14:paraId="63BB16BD" w14:textId="77777777" w:rsidR="00F32A2A" w:rsidRDefault="00D0470C">
            <w:pPr>
              <w:pStyle w:val="-0"/>
              <w:spacing w:line="240" w:lineRule="auto"/>
              <w:rPr>
                <w:rtl/>
              </w:rPr>
            </w:pPr>
            <w:r w:rsidRPr="00CB02F8">
              <w:rPr>
                <w:rtl/>
              </w:rPr>
              <w:t>0</w:t>
            </w:r>
          </w:p>
        </w:tc>
        <w:tc>
          <w:tcPr>
            <w:tcW w:w="952" w:type="dxa"/>
            <w:tcBorders>
              <w:top w:val="nil"/>
              <w:left w:val="nil"/>
              <w:bottom w:val="nil"/>
              <w:right w:val="nil"/>
            </w:tcBorders>
            <w:vAlign w:val="bottom"/>
          </w:tcPr>
          <w:p w14:paraId="1B644DCB" w14:textId="77777777" w:rsidR="00F32A2A" w:rsidRDefault="00D0470C">
            <w:pPr>
              <w:pStyle w:val="-0"/>
              <w:spacing w:line="240" w:lineRule="auto"/>
              <w:rPr>
                <w:rtl/>
              </w:rPr>
            </w:pPr>
            <w:r w:rsidRPr="00CB02F8">
              <w:rPr>
                <w:rtl/>
              </w:rPr>
              <w:t>0</w:t>
            </w:r>
          </w:p>
        </w:tc>
        <w:tc>
          <w:tcPr>
            <w:tcW w:w="1071" w:type="dxa"/>
            <w:tcBorders>
              <w:top w:val="nil"/>
              <w:left w:val="nil"/>
              <w:bottom w:val="nil"/>
              <w:right w:val="nil"/>
            </w:tcBorders>
            <w:vAlign w:val="bottom"/>
          </w:tcPr>
          <w:p w14:paraId="72092542" w14:textId="77777777" w:rsidR="00F32A2A" w:rsidRDefault="00D0470C">
            <w:pPr>
              <w:pStyle w:val="-0"/>
              <w:spacing w:line="240" w:lineRule="auto"/>
              <w:rPr>
                <w:rtl/>
              </w:rPr>
            </w:pPr>
            <w:r w:rsidRPr="00CB02F8">
              <w:rPr>
                <w:rtl/>
              </w:rPr>
              <w:t>0</w:t>
            </w:r>
          </w:p>
        </w:tc>
      </w:tr>
      <w:tr w:rsidR="00D0470C" w:rsidRPr="00CB02F8" w14:paraId="34284918" w14:textId="77777777" w:rsidTr="006A357B">
        <w:trPr>
          <w:gridAfter w:val="1"/>
          <w:wAfter w:w="112" w:type="dxa"/>
          <w:trHeight w:val="259"/>
        </w:trPr>
        <w:tc>
          <w:tcPr>
            <w:tcW w:w="1055" w:type="dxa"/>
            <w:tcBorders>
              <w:top w:val="nil"/>
              <w:left w:val="nil"/>
              <w:bottom w:val="nil"/>
              <w:right w:val="nil"/>
            </w:tcBorders>
          </w:tcPr>
          <w:p w14:paraId="393D9F9B" w14:textId="77777777" w:rsidR="00F32A2A" w:rsidRDefault="00F32A2A">
            <w:pPr>
              <w:pStyle w:val="-0"/>
              <w:spacing w:line="240" w:lineRule="auto"/>
              <w:ind w:left="0" w:firstLine="0"/>
              <w:rPr>
                <w:sz w:val="14"/>
                <w:szCs w:val="14"/>
                <w:rtl/>
              </w:rPr>
            </w:pPr>
          </w:p>
        </w:tc>
        <w:tc>
          <w:tcPr>
            <w:tcW w:w="4817" w:type="dxa"/>
            <w:gridSpan w:val="2"/>
            <w:tcBorders>
              <w:top w:val="nil"/>
              <w:left w:val="nil"/>
              <w:bottom w:val="nil"/>
              <w:right w:val="nil"/>
            </w:tcBorders>
            <w:vAlign w:val="bottom"/>
          </w:tcPr>
          <w:p w14:paraId="0C20C000" w14:textId="77777777" w:rsidR="00F32A2A" w:rsidRDefault="00D0470C" w:rsidP="00277071">
            <w:pPr>
              <w:pStyle w:val="-0"/>
              <w:spacing w:line="240" w:lineRule="auto"/>
              <w:ind w:left="676" w:hanging="323"/>
              <w:rPr>
                <w:rtl/>
              </w:rPr>
            </w:pPr>
            <w:r w:rsidRPr="00CB02F8">
              <w:rPr>
                <w:rFonts w:hint="cs"/>
                <w:rtl/>
              </w:rPr>
              <w:t>הפרשה לירידת ערך בגין אג"ח זמין למכירה</w:t>
            </w:r>
            <w:r w:rsidRPr="00CB02F8">
              <w:rPr>
                <w:rFonts w:hint="cs"/>
                <w:vertAlign w:val="superscript"/>
                <w:rtl/>
              </w:rPr>
              <w:t>(ד)</w:t>
            </w:r>
          </w:p>
        </w:tc>
        <w:tc>
          <w:tcPr>
            <w:tcW w:w="852" w:type="dxa"/>
            <w:tcBorders>
              <w:top w:val="nil"/>
              <w:left w:val="nil"/>
              <w:bottom w:val="nil"/>
              <w:right w:val="nil"/>
            </w:tcBorders>
            <w:vAlign w:val="bottom"/>
          </w:tcPr>
          <w:p w14:paraId="5F726670" w14:textId="77777777" w:rsidR="00F32A2A" w:rsidRDefault="00D0470C">
            <w:pPr>
              <w:pStyle w:val="-0"/>
              <w:spacing w:line="240" w:lineRule="auto"/>
              <w:rPr>
                <w:rtl/>
              </w:rPr>
            </w:pPr>
            <w:r w:rsidRPr="00CB02F8">
              <w:rPr>
                <w:rtl/>
              </w:rPr>
              <w:t>0</w:t>
            </w:r>
          </w:p>
        </w:tc>
        <w:tc>
          <w:tcPr>
            <w:tcW w:w="1132" w:type="dxa"/>
            <w:tcBorders>
              <w:top w:val="nil"/>
              <w:left w:val="nil"/>
              <w:bottom w:val="nil"/>
              <w:right w:val="nil"/>
            </w:tcBorders>
            <w:vAlign w:val="bottom"/>
          </w:tcPr>
          <w:p w14:paraId="42D0B77F" w14:textId="77777777" w:rsidR="00F32A2A" w:rsidRDefault="00D0470C">
            <w:pPr>
              <w:pStyle w:val="-0"/>
              <w:spacing w:line="240" w:lineRule="auto"/>
              <w:rPr>
                <w:rtl/>
              </w:rPr>
            </w:pPr>
            <w:r w:rsidRPr="00CB02F8">
              <w:rPr>
                <w:rtl/>
              </w:rPr>
              <w:t>0</w:t>
            </w:r>
          </w:p>
        </w:tc>
        <w:tc>
          <w:tcPr>
            <w:tcW w:w="952" w:type="dxa"/>
            <w:tcBorders>
              <w:top w:val="nil"/>
              <w:left w:val="nil"/>
              <w:bottom w:val="nil"/>
              <w:right w:val="nil"/>
            </w:tcBorders>
            <w:vAlign w:val="bottom"/>
          </w:tcPr>
          <w:p w14:paraId="5C1C50B0" w14:textId="77777777" w:rsidR="00F32A2A" w:rsidRDefault="00D0470C">
            <w:pPr>
              <w:pStyle w:val="-0"/>
              <w:spacing w:line="240" w:lineRule="auto"/>
              <w:rPr>
                <w:rtl/>
              </w:rPr>
            </w:pPr>
            <w:r w:rsidRPr="00CB02F8">
              <w:rPr>
                <w:rtl/>
              </w:rPr>
              <w:t>0</w:t>
            </w:r>
          </w:p>
        </w:tc>
        <w:tc>
          <w:tcPr>
            <w:tcW w:w="1071" w:type="dxa"/>
            <w:tcBorders>
              <w:top w:val="nil"/>
              <w:left w:val="nil"/>
              <w:bottom w:val="nil"/>
              <w:right w:val="nil"/>
            </w:tcBorders>
            <w:vAlign w:val="bottom"/>
          </w:tcPr>
          <w:p w14:paraId="455049B4" w14:textId="77777777" w:rsidR="00F32A2A" w:rsidRDefault="00D0470C">
            <w:pPr>
              <w:pStyle w:val="-0"/>
              <w:spacing w:line="240" w:lineRule="auto"/>
              <w:rPr>
                <w:rtl/>
              </w:rPr>
            </w:pPr>
            <w:r w:rsidRPr="00CB02F8">
              <w:rPr>
                <w:rtl/>
              </w:rPr>
              <w:t>0</w:t>
            </w:r>
          </w:p>
        </w:tc>
      </w:tr>
      <w:tr w:rsidR="00D0470C" w:rsidRPr="00CB02F8" w14:paraId="6A9B2CC7" w14:textId="77777777" w:rsidTr="006A357B">
        <w:trPr>
          <w:gridAfter w:val="1"/>
          <w:wAfter w:w="112" w:type="dxa"/>
          <w:trHeight w:val="259"/>
        </w:trPr>
        <w:tc>
          <w:tcPr>
            <w:tcW w:w="1055" w:type="dxa"/>
            <w:tcBorders>
              <w:top w:val="nil"/>
              <w:left w:val="nil"/>
              <w:bottom w:val="nil"/>
              <w:right w:val="nil"/>
            </w:tcBorders>
          </w:tcPr>
          <w:p w14:paraId="0888FB3C" w14:textId="77777777" w:rsidR="00F32A2A" w:rsidRDefault="00F32A2A">
            <w:pPr>
              <w:pStyle w:val="-0"/>
              <w:spacing w:line="240" w:lineRule="auto"/>
              <w:ind w:left="0" w:firstLine="0"/>
              <w:rPr>
                <w:sz w:val="14"/>
                <w:szCs w:val="14"/>
                <w:rtl/>
              </w:rPr>
            </w:pPr>
          </w:p>
        </w:tc>
        <w:tc>
          <w:tcPr>
            <w:tcW w:w="4817" w:type="dxa"/>
            <w:gridSpan w:val="2"/>
            <w:tcBorders>
              <w:top w:val="nil"/>
              <w:left w:val="nil"/>
              <w:bottom w:val="nil"/>
              <w:right w:val="nil"/>
            </w:tcBorders>
            <w:vAlign w:val="bottom"/>
          </w:tcPr>
          <w:p w14:paraId="0A1AD44A" w14:textId="77777777" w:rsidR="00F32A2A" w:rsidRDefault="00D0470C" w:rsidP="00277071">
            <w:pPr>
              <w:pStyle w:val="-21"/>
              <w:spacing w:before="0" w:line="240" w:lineRule="auto"/>
              <w:ind w:left="676" w:hanging="323"/>
              <w:rPr>
                <w:rtl/>
              </w:rPr>
            </w:pPr>
            <w:r w:rsidRPr="00CB02F8">
              <w:rPr>
                <w:rFonts w:hint="eastAsia"/>
                <w:rtl/>
              </w:rPr>
              <w:t>הפסדים</w:t>
            </w:r>
            <w:r w:rsidRPr="00CB02F8">
              <w:rPr>
                <w:rtl/>
              </w:rPr>
              <w:t xml:space="preserve"> </w:t>
            </w:r>
            <w:r w:rsidRPr="00CB02F8">
              <w:rPr>
                <w:rFonts w:hint="eastAsia"/>
                <w:rtl/>
              </w:rPr>
              <w:t>ממכירת</w:t>
            </w:r>
            <w:r w:rsidRPr="00CB02F8">
              <w:rPr>
                <w:rtl/>
              </w:rPr>
              <w:t xml:space="preserve"> </w:t>
            </w:r>
            <w:r w:rsidRPr="00CB02F8">
              <w:rPr>
                <w:rFonts w:hint="eastAsia"/>
                <w:rtl/>
              </w:rPr>
              <w:t>אג</w:t>
            </w:r>
            <w:r w:rsidRPr="00CB02F8">
              <w:rPr>
                <w:rtl/>
              </w:rPr>
              <w:t xml:space="preserve">"ח </w:t>
            </w:r>
            <w:r w:rsidRPr="00CB02F8">
              <w:rPr>
                <w:rFonts w:hint="eastAsia"/>
                <w:rtl/>
              </w:rPr>
              <w:t>זמינות</w:t>
            </w:r>
            <w:r w:rsidRPr="00CB02F8">
              <w:rPr>
                <w:rtl/>
              </w:rPr>
              <w:t xml:space="preserve"> </w:t>
            </w:r>
            <w:r w:rsidRPr="00CB02F8">
              <w:rPr>
                <w:rFonts w:hint="eastAsia"/>
                <w:rtl/>
              </w:rPr>
              <w:t>למכירה</w:t>
            </w:r>
            <w:r w:rsidRPr="00CB02F8">
              <w:rPr>
                <w:rFonts w:hint="cs"/>
                <w:vertAlign w:val="superscript"/>
                <w:rtl/>
              </w:rPr>
              <w:t>(</w:t>
            </w:r>
            <w:r w:rsidR="00BE5889">
              <w:rPr>
                <w:rFonts w:hint="cs"/>
                <w:vertAlign w:val="superscript"/>
                <w:rtl/>
              </w:rPr>
              <w:t>ג</w:t>
            </w:r>
            <w:r w:rsidRPr="00CB02F8">
              <w:rPr>
                <w:rFonts w:hint="cs"/>
                <w:vertAlign w:val="superscript"/>
                <w:rtl/>
              </w:rPr>
              <w:t>)</w:t>
            </w:r>
            <w:r w:rsidRPr="00CB02F8">
              <w:rPr>
                <w:vertAlign w:val="superscript"/>
                <w:rtl/>
              </w:rPr>
              <w:t>(</w:t>
            </w:r>
            <w:r w:rsidR="00BE5889">
              <w:rPr>
                <w:rFonts w:hint="cs"/>
                <w:vertAlign w:val="superscript"/>
                <w:rtl/>
              </w:rPr>
              <w:t>ד</w:t>
            </w:r>
            <w:r w:rsidRPr="00CB02F8">
              <w:rPr>
                <w:vertAlign w:val="superscript"/>
                <w:rtl/>
              </w:rPr>
              <w:t>)</w:t>
            </w:r>
          </w:p>
        </w:tc>
        <w:tc>
          <w:tcPr>
            <w:tcW w:w="852" w:type="dxa"/>
            <w:tcBorders>
              <w:top w:val="nil"/>
              <w:left w:val="nil"/>
              <w:bottom w:val="nil"/>
              <w:right w:val="nil"/>
            </w:tcBorders>
            <w:vAlign w:val="bottom"/>
          </w:tcPr>
          <w:p w14:paraId="424EC3CB" w14:textId="77777777" w:rsidR="00F32A2A" w:rsidRDefault="00D0470C">
            <w:pPr>
              <w:pStyle w:val="-0"/>
              <w:spacing w:line="240" w:lineRule="auto"/>
              <w:rPr>
                <w:rtl/>
              </w:rPr>
            </w:pPr>
            <w:r w:rsidRPr="00CB02F8">
              <w:rPr>
                <w:rtl/>
              </w:rPr>
              <w:t>0</w:t>
            </w:r>
          </w:p>
        </w:tc>
        <w:tc>
          <w:tcPr>
            <w:tcW w:w="1132" w:type="dxa"/>
            <w:tcBorders>
              <w:top w:val="nil"/>
              <w:left w:val="nil"/>
              <w:bottom w:val="nil"/>
              <w:right w:val="nil"/>
            </w:tcBorders>
            <w:vAlign w:val="bottom"/>
          </w:tcPr>
          <w:p w14:paraId="62BA2354" w14:textId="77777777" w:rsidR="00F32A2A" w:rsidRDefault="00D0470C">
            <w:pPr>
              <w:pStyle w:val="-0"/>
              <w:spacing w:line="240" w:lineRule="auto"/>
              <w:rPr>
                <w:rtl/>
              </w:rPr>
            </w:pPr>
            <w:r w:rsidRPr="00CB02F8">
              <w:rPr>
                <w:rtl/>
              </w:rPr>
              <w:t>0</w:t>
            </w:r>
          </w:p>
        </w:tc>
        <w:tc>
          <w:tcPr>
            <w:tcW w:w="952" w:type="dxa"/>
            <w:tcBorders>
              <w:top w:val="nil"/>
              <w:left w:val="nil"/>
              <w:bottom w:val="nil"/>
              <w:right w:val="nil"/>
            </w:tcBorders>
            <w:vAlign w:val="bottom"/>
          </w:tcPr>
          <w:p w14:paraId="19EA2C87" w14:textId="77777777" w:rsidR="00F32A2A" w:rsidRDefault="00D0470C">
            <w:pPr>
              <w:pStyle w:val="-0"/>
              <w:spacing w:line="240" w:lineRule="auto"/>
              <w:rPr>
                <w:rtl/>
              </w:rPr>
            </w:pPr>
            <w:r w:rsidRPr="00CB02F8">
              <w:rPr>
                <w:rtl/>
              </w:rPr>
              <w:t>0</w:t>
            </w:r>
          </w:p>
        </w:tc>
        <w:tc>
          <w:tcPr>
            <w:tcW w:w="1071" w:type="dxa"/>
            <w:tcBorders>
              <w:top w:val="nil"/>
              <w:left w:val="nil"/>
              <w:bottom w:val="nil"/>
              <w:right w:val="nil"/>
            </w:tcBorders>
            <w:vAlign w:val="bottom"/>
          </w:tcPr>
          <w:p w14:paraId="47BAF6CF" w14:textId="77777777" w:rsidR="00F32A2A" w:rsidRDefault="00D0470C">
            <w:pPr>
              <w:pStyle w:val="-0"/>
              <w:spacing w:line="240" w:lineRule="auto"/>
              <w:rPr>
                <w:rtl/>
              </w:rPr>
            </w:pPr>
            <w:r w:rsidRPr="00CB02F8">
              <w:rPr>
                <w:rtl/>
              </w:rPr>
              <w:t>0</w:t>
            </w:r>
          </w:p>
        </w:tc>
      </w:tr>
      <w:tr w:rsidR="00D0470C" w:rsidRPr="00CB02F8" w14:paraId="7F38B0E9" w14:textId="77777777" w:rsidTr="006A357B">
        <w:trPr>
          <w:gridAfter w:val="1"/>
          <w:wAfter w:w="112" w:type="dxa"/>
          <w:trHeight w:val="259"/>
        </w:trPr>
        <w:tc>
          <w:tcPr>
            <w:tcW w:w="1055" w:type="dxa"/>
            <w:tcBorders>
              <w:top w:val="nil"/>
              <w:left w:val="nil"/>
              <w:bottom w:val="nil"/>
              <w:right w:val="nil"/>
            </w:tcBorders>
          </w:tcPr>
          <w:p w14:paraId="5E11B65E" w14:textId="77777777" w:rsidR="00F32A2A" w:rsidRDefault="00F32A2A">
            <w:pPr>
              <w:pStyle w:val="-0"/>
              <w:spacing w:line="240" w:lineRule="auto"/>
              <w:ind w:left="0" w:firstLine="0"/>
              <w:rPr>
                <w:sz w:val="14"/>
                <w:szCs w:val="14"/>
                <w:rtl/>
              </w:rPr>
            </w:pPr>
          </w:p>
        </w:tc>
        <w:tc>
          <w:tcPr>
            <w:tcW w:w="4817" w:type="dxa"/>
            <w:gridSpan w:val="2"/>
            <w:tcBorders>
              <w:top w:val="nil"/>
              <w:left w:val="nil"/>
              <w:bottom w:val="nil"/>
              <w:right w:val="nil"/>
            </w:tcBorders>
            <w:vAlign w:val="bottom"/>
          </w:tcPr>
          <w:p w14:paraId="688E1973" w14:textId="77777777" w:rsidR="00F32A2A" w:rsidRDefault="00D0470C" w:rsidP="00EC46DF">
            <w:pPr>
              <w:pStyle w:val="-b"/>
              <w:spacing w:line="240" w:lineRule="auto"/>
              <w:ind w:left="676" w:hanging="321"/>
              <w:rPr>
                <w:rtl/>
              </w:rPr>
            </w:pPr>
            <w:r w:rsidRPr="00CB02F8">
              <w:rPr>
                <w:rFonts w:hint="eastAsia"/>
                <w:rtl/>
              </w:rPr>
              <w:t>סך</w:t>
            </w:r>
            <w:r w:rsidRPr="00CB02F8">
              <w:rPr>
                <w:rtl/>
              </w:rPr>
              <w:t xml:space="preserve"> </w:t>
            </w:r>
            <w:r w:rsidRPr="00CB02F8">
              <w:rPr>
                <w:rFonts w:hint="eastAsia"/>
                <w:rtl/>
              </w:rPr>
              <w:t>הכל</w:t>
            </w:r>
            <w:r w:rsidRPr="00CB02F8">
              <w:rPr>
                <w:rtl/>
              </w:rPr>
              <w:t xml:space="preserve"> </w:t>
            </w:r>
            <w:r w:rsidRPr="00CB02F8">
              <w:rPr>
                <w:rFonts w:hint="eastAsia"/>
                <w:rtl/>
              </w:rPr>
              <w:t>מהשקעה</w:t>
            </w:r>
            <w:r w:rsidRPr="00CB02F8">
              <w:rPr>
                <w:rtl/>
              </w:rPr>
              <w:t xml:space="preserve"> </w:t>
            </w:r>
            <w:r w:rsidRPr="00CB02F8">
              <w:rPr>
                <w:rFonts w:hint="cs"/>
                <w:rtl/>
              </w:rPr>
              <w:t>באג"ח</w:t>
            </w:r>
          </w:p>
        </w:tc>
        <w:tc>
          <w:tcPr>
            <w:tcW w:w="852" w:type="dxa"/>
            <w:tcBorders>
              <w:top w:val="nil"/>
              <w:left w:val="nil"/>
              <w:bottom w:val="nil"/>
              <w:right w:val="nil"/>
            </w:tcBorders>
            <w:vAlign w:val="bottom"/>
          </w:tcPr>
          <w:p w14:paraId="2E7340CC" w14:textId="77777777" w:rsidR="00F32A2A" w:rsidRDefault="00D0470C">
            <w:pPr>
              <w:pStyle w:val="-0"/>
              <w:pBdr>
                <w:top w:val="single" w:sz="4" w:space="1" w:color="auto"/>
              </w:pBdr>
              <w:spacing w:line="240" w:lineRule="auto"/>
              <w:rPr>
                <w:b/>
                <w:bCs/>
                <w:rtl/>
              </w:rPr>
            </w:pPr>
            <w:r w:rsidRPr="00CB02F8">
              <w:rPr>
                <w:b/>
                <w:bCs/>
                <w:rtl/>
              </w:rPr>
              <w:t>0</w:t>
            </w:r>
          </w:p>
        </w:tc>
        <w:tc>
          <w:tcPr>
            <w:tcW w:w="1132" w:type="dxa"/>
            <w:tcBorders>
              <w:top w:val="nil"/>
              <w:left w:val="nil"/>
              <w:bottom w:val="nil"/>
              <w:right w:val="nil"/>
            </w:tcBorders>
            <w:vAlign w:val="bottom"/>
          </w:tcPr>
          <w:p w14:paraId="16899ACB" w14:textId="77777777" w:rsidR="00F32A2A" w:rsidRDefault="00D0470C">
            <w:pPr>
              <w:pStyle w:val="-0"/>
              <w:pBdr>
                <w:top w:val="single" w:sz="4" w:space="1" w:color="auto"/>
              </w:pBdr>
              <w:spacing w:line="240" w:lineRule="auto"/>
              <w:rPr>
                <w:b/>
                <w:bCs/>
                <w:rtl/>
              </w:rPr>
            </w:pPr>
            <w:r w:rsidRPr="00CB02F8">
              <w:rPr>
                <w:b/>
                <w:bCs/>
                <w:rtl/>
              </w:rPr>
              <w:t>0</w:t>
            </w:r>
          </w:p>
        </w:tc>
        <w:tc>
          <w:tcPr>
            <w:tcW w:w="952" w:type="dxa"/>
            <w:tcBorders>
              <w:top w:val="nil"/>
              <w:left w:val="nil"/>
              <w:bottom w:val="nil"/>
              <w:right w:val="nil"/>
            </w:tcBorders>
            <w:vAlign w:val="bottom"/>
          </w:tcPr>
          <w:p w14:paraId="38041891" w14:textId="77777777" w:rsidR="00F32A2A" w:rsidRDefault="00D0470C">
            <w:pPr>
              <w:pStyle w:val="-0"/>
              <w:pBdr>
                <w:top w:val="single" w:sz="4" w:space="1" w:color="auto"/>
              </w:pBdr>
              <w:spacing w:line="240" w:lineRule="auto"/>
              <w:rPr>
                <w:b/>
                <w:bCs/>
                <w:rtl/>
              </w:rPr>
            </w:pPr>
            <w:r w:rsidRPr="00CB02F8">
              <w:rPr>
                <w:b/>
                <w:bCs/>
                <w:rtl/>
              </w:rPr>
              <w:t>0</w:t>
            </w:r>
          </w:p>
        </w:tc>
        <w:tc>
          <w:tcPr>
            <w:tcW w:w="1071" w:type="dxa"/>
            <w:tcBorders>
              <w:top w:val="nil"/>
              <w:left w:val="nil"/>
              <w:bottom w:val="nil"/>
              <w:right w:val="nil"/>
            </w:tcBorders>
            <w:vAlign w:val="bottom"/>
          </w:tcPr>
          <w:p w14:paraId="102F3CB5" w14:textId="77777777" w:rsidR="00F32A2A" w:rsidRDefault="00D0470C">
            <w:pPr>
              <w:pStyle w:val="-0"/>
              <w:pBdr>
                <w:top w:val="single" w:sz="4" w:space="1" w:color="auto"/>
              </w:pBdr>
              <w:spacing w:line="240" w:lineRule="auto"/>
              <w:rPr>
                <w:b/>
                <w:bCs/>
                <w:rtl/>
              </w:rPr>
            </w:pPr>
            <w:r w:rsidRPr="00CB02F8">
              <w:rPr>
                <w:b/>
                <w:bCs/>
                <w:rtl/>
              </w:rPr>
              <w:t>0</w:t>
            </w:r>
          </w:p>
        </w:tc>
      </w:tr>
      <w:tr w:rsidR="00D0470C" w:rsidRPr="00CB02F8" w14:paraId="167861EA" w14:textId="77777777" w:rsidTr="00277071">
        <w:trPr>
          <w:gridAfter w:val="1"/>
          <w:wAfter w:w="112" w:type="dxa"/>
          <w:trHeight w:hRule="exact" w:val="72"/>
        </w:trPr>
        <w:tc>
          <w:tcPr>
            <w:tcW w:w="1055" w:type="dxa"/>
            <w:tcBorders>
              <w:top w:val="nil"/>
              <w:left w:val="nil"/>
              <w:bottom w:val="nil"/>
              <w:right w:val="nil"/>
            </w:tcBorders>
          </w:tcPr>
          <w:p w14:paraId="3CE7CD96" w14:textId="77777777" w:rsidR="00D0470C" w:rsidRDefault="00D0470C" w:rsidP="006F3019">
            <w:pPr>
              <w:pStyle w:val="-0"/>
              <w:ind w:left="0" w:firstLine="0"/>
              <w:rPr>
                <w:sz w:val="14"/>
                <w:szCs w:val="14"/>
                <w:rtl/>
              </w:rPr>
            </w:pPr>
          </w:p>
        </w:tc>
        <w:tc>
          <w:tcPr>
            <w:tcW w:w="4817" w:type="dxa"/>
            <w:gridSpan w:val="2"/>
            <w:tcBorders>
              <w:top w:val="nil"/>
              <w:left w:val="nil"/>
              <w:bottom w:val="nil"/>
              <w:right w:val="nil"/>
            </w:tcBorders>
            <w:vAlign w:val="bottom"/>
          </w:tcPr>
          <w:p w14:paraId="23C6BF8C" w14:textId="77777777" w:rsidR="00D0470C" w:rsidRPr="00CB02F8" w:rsidRDefault="00D0470C" w:rsidP="00AD3EEB">
            <w:pPr>
              <w:pStyle w:val="-0"/>
              <w:spacing w:line="240" w:lineRule="auto"/>
              <w:ind w:left="676" w:hanging="460"/>
              <w:rPr>
                <w:rtl/>
              </w:rPr>
            </w:pPr>
          </w:p>
        </w:tc>
        <w:tc>
          <w:tcPr>
            <w:tcW w:w="852" w:type="dxa"/>
            <w:tcBorders>
              <w:top w:val="nil"/>
              <w:left w:val="nil"/>
              <w:bottom w:val="nil"/>
              <w:right w:val="nil"/>
            </w:tcBorders>
            <w:vAlign w:val="bottom"/>
          </w:tcPr>
          <w:p w14:paraId="1AAF1F59" w14:textId="77777777" w:rsidR="00D0470C" w:rsidRPr="00CB02F8" w:rsidRDefault="00D0470C" w:rsidP="006F3019">
            <w:pPr>
              <w:pStyle w:val="-0"/>
              <w:rPr>
                <w:rtl/>
              </w:rPr>
            </w:pPr>
          </w:p>
        </w:tc>
        <w:tc>
          <w:tcPr>
            <w:tcW w:w="1132" w:type="dxa"/>
            <w:tcBorders>
              <w:top w:val="nil"/>
              <w:left w:val="nil"/>
              <w:bottom w:val="nil"/>
              <w:right w:val="nil"/>
            </w:tcBorders>
            <w:vAlign w:val="bottom"/>
          </w:tcPr>
          <w:p w14:paraId="4B5269BB" w14:textId="77777777" w:rsidR="00D0470C" w:rsidRPr="00CB02F8" w:rsidRDefault="00D0470C" w:rsidP="006F3019">
            <w:pPr>
              <w:pStyle w:val="-0"/>
              <w:rPr>
                <w:rtl/>
              </w:rPr>
            </w:pPr>
          </w:p>
        </w:tc>
        <w:tc>
          <w:tcPr>
            <w:tcW w:w="952" w:type="dxa"/>
            <w:tcBorders>
              <w:top w:val="nil"/>
              <w:left w:val="nil"/>
              <w:bottom w:val="nil"/>
              <w:right w:val="nil"/>
            </w:tcBorders>
            <w:vAlign w:val="bottom"/>
          </w:tcPr>
          <w:p w14:paraId="33AF00F4" w14:textId="77777777" w:rsidR="00D0470C" w:rsidRPr="00CB02F8" w:rsidRDefault="00D0470C" w:rsidP="006F3019">
            <w:pPr>
              <w:pStyle w:val="-0"/>
              <w:rPr>
                <w:rtl/>
              </w:rPr>
            </w:pPr>
          </w:p>
        </w:tc>
        <w:tc>
          <w:tcPr>
            <w:tcW w:w="1071" w:type="dxa"/>
            <w:tcBorders>
              <w:top w:val="nil"/>
              <w:left w:val="nil"/>
              <w:bottom w:val="nil"/>
              <w:right w:val="nil"/>
            </w:tcBorders>
            <w:vAlign w:val="bottom"/>
          </w:tcPr>
          <w:p w14:paraId="5BC45832" w14:textId="77777777" w:rsidR="00D0470C" w:rsidRPr="00CB02F8" w:rsidRDefault="00D0470C" w:rsidP="006F3019">
            <w:pPr>
              <w:pStyle w:val="-0"/>
              <w:rPr>
                <w:rtl/>
              </w:rPr>
            </w:pPr>
          </w:p>
        </w:tc>
      </w:tr>
      <w:tr w:rsidR="00D0470C" w:rsidRPr="00CB02F8" w14:paraId="12EDCD51" w14:textId="77777777" w:rsidTr="00277071">
        <w:trPr>
          <w:gridAfter w:val="1"/>
          <w:wAfter w:w="112" w:type="dxa"/>
        </w:trPr>
        <w:tc>
          <w:tcPr>
            <w:tcW w:w="1055" w:type="dxa"/>
            <w:tcBorders>
              <w:top w:val="nil"/>
              <w:left w:val="nil"/>
              <w:bottom w:val="nil"/>
              <w:right w:val="nil"/>
            </w:tcBorders>
          </w:tcPr>
          <w:p w14:paraId="23510921" w14:textId="3CCD07A3" w:rsidR="00F32A2A" w:rsidRDefault="00F32A2A">
            <w:pPr>
              <w:pStyle w:val="-0"/>
              <w:spacing w:before="60" w:line="240" w:lineRule="auto"/>
              <w:ind w:left="0" w:firstLine="0"/>
              <w:rPr>
                <w:sz w:val="14"/>
                <w:szCs w:val="14"/>
                <w:rtl/>
              </w:rPr>
            </w:pPr>
          </w:p>
        </w:tc>
        <w:tc>
          <w:tcPr>
            <w:tcW w:w="4817" w:type="dxa"/>
            <w:gridSpan w:val="2"/>
            <w:tcBorders>
              <w:top w:val="nil"/>
              <w:left w:val="nil"/>
              <w:bottom w:val="nil"/>
              <w:right w:val="nil"/>
            </w:tcBorders>
            <w:vAlign w:val="bottom"/>
          </w:tcPr>
          <w:p w14:paraId="76D7F686" w14:textId="10F7246D" w:rsidR="00D0470C" w:rsidRPr="00CB02F8" w:rsidRDefault="00D0470C" w:rsidP="00277071">
            <w:pPr>
              <w:pStyle w:val="-0"/>
              <w:spacing w:line="240" w:lineRule="auto"/>
              <w:ind w:left="500" w:hanging="430"/>
              <w:rPr>
                <w:b/>
                <w:bCs/>
                <w:rtl/>
              </w:rPr>
            </w:pPr>
            <w:r w:rsidRPr="00CB02F8">
              <w:rPr>
                <w:b/>
                <w:bCs/>
                <w:rtl/>
              </w:rPr>
              <w:t xml:space="preserve">3. </w:t>
            </w:r>
            <w:r w:rsidRPr="00CB02F8">
              <w:rPr>
                <w:rFonts w:hint="eastAsia"/>
                <w:b/>
                <w:bCs/>
                <w:rtl/>
              </w:rPr>
              <w:t>הפרשי</w:t>
            </w:r>
            <w:r w:rsidRPr="00CB02F8">
              <w:rPr>
                <w:b/>
                <w:bCs/>
                <w:rtl/>
              </w:rPr>
              <w:t xml:space="preserve"> </w:t>
            </w:r>
            <w:r w:rsidRPr="00CB02F8">
              <w:rPr>
                <w:rFonts w:hint="eastAsia"/>
                <w:b/>
                <w:bCs/>
                <w:rtl/>
              </w:rPr>
              <w:t>שער</w:t>
            </w:r>
            <w:r w:rsidRPr="00CB02F8">
              <w:rPr>
                <w:b/>
                <w:bCs/>
                <w:rtl/>
              </w:rPr>
              <w:t xml:space="preserve">, </w:t>
            </w:r>
            <w:r w:rsidRPr="00CB02F8">
              <w:rPr>
                <w:rFonts w:hint="eastAsia"/>
                <w:b/>
                <w:bCs/>
                <w:rtl/>
              </w:rPr>
              <w:t>נטו</w:t>
            </w:r>
            <w:r w:rsidRPr="00A704B0">
              <w:rPr>
                <w:b/>
                <w:bCs/>
                <w:sz w:val="18"/>
                <w:szCs w:val="18"/>
                <w:vertAlign w:val="superscript"/>
                <w:rtl/>
              </w:rPr>
              <w:t>[</w:t>
            </w:r>
            <w:r w:rsidRPr="00A704B0">
              <w:rPr>
                <w:rStyle w:val="a7"/>
                <w:b/>
                <w:bCs/>
                <w:sz w:val="18"/>
                <w:szCs w:val="18"/>
                <w:rtl/>
              </w:rPr>
              <w:footnoteReference w:id="35"/>
            </w:r>
            <w:r w:rsidRPr="00A704B0">
              <w:rPr>
                <w:b/>
                <w:bCs/>
                <w:sz w:val="18"/>
                <w:szCs w:val="18"/>
                <w:vertAlign w:val="superscript"/>
                <w:rtl/>
              </w:rPr>
              <w:t>]</w:t>
            </w:r>
          </w:p>
        </w:tc>
        <w:tc>
          <w:tcPr>
            <w:tcW w:w="852" w:type="dxa"/>
            <w:tcBorders>
              <w:top w:val="nil"/>
              <w:left w:val="nil"/>
              <w:bottom w:val="nil"/>
              <w:right w:val="nil"/>
            </w:tcBorders>
            <w:vAlign w:val="bottom"/>
          </w:tcPr>
          <w:p w14:paraId="56197414" w14:textId="77777777" w:rsidR="00D0470C" w:rsidRPr="00CB02F8" w:rsidRDefault="00D0470C" w:rsidP="006F3019">
            <w:pPr>
              <w:pStyle w:val="-0"/>
              <w:spacing w:before="20"/>
              <w:rPr>
                <w:b/>
                <w:bCs/>
                <w:rtl/>
              </w:rPr>
            </w:pPr>
            <w:r w:rsidRPr="00CB02F8">
              <w:rPr>
                <w:b/>
                <w:bCs/>
                <w:rtl/>
              </w:rPr>
              <w:t>0</w:t>
            </w:r>
          </w:p>
        </w:tc>
        <w:tc>
          <w:tcPr>
            <w:tcW w:w="1132" w:type="dxa"/>
            <w:tcBorders>
              <w:top w:val="nil"/>
              <w:left w:val="nil"/>
              <w:bottom w:val="nil"/>
              <w:right w:val="nil"/>
            </w:tcBorders>
            <w:vAlign w:val="bottom"/>
          </w:tcPr>
          <w:p w14:paraId="298717C8" w14:textId="77777777" w:rsidR="00D0470C" w:rsidRPr="00CB02F8" w:rsidRDefault="00D0470C" w:rsidP="006F3019">
            <w:pPr>
              <w:pStyle w:val="-0"/>
              <w:spacing w:before="20"/>
              <w:rPr>
                <w:b/>
                <w:bCs/>
                <w:rtl/>
              </w:rPr>
            </w:pPr>
            <w:r w:rsidRPr="00CB02F8">
              <w:rPr>
                <w:b/>
                <w:bCs/>
                <w:rtl/>
              </w:rPr>
              <w:t>0</w:t>
            </w:r>
          </w:p>
        </w:tc>
        <w:tc>
          <w:tcPr>
            <w:tcW w:w="952" w:type="dxa"/>
            <w:tcBorders>
              <w:top w:val="nil"/>
              <w:left w:val="nil"/>
              <w:bottom w:val="nil"/>
              <w:right w:val="nil"/>
            </w:tcBorders>
            <w:vAlign w:val="bottom"/>
          </w:tcPr>
          <w:p w14:paraId="3EA81871" w14:textId="77777777" w:rsidR="00D0470C" w:rsidRPr="00CB02F8" w:rsidRDefault="00D0470C" w:rsidP="006F3019">
            <w:pPr>
              <w:pStyle w:val="-0"/>
              <w:spacing w:before="20"/>
              <w:rPr>
                <w:b/>
                <w:bCs/>
                <w:rtl/>
              </w:rPr>
            </w:pPr>
            <w:r w:rsidRPr="00CB02F8">
              <w:rPr>
                <w:b/>
                <w:bCs/>
                <w:rtl/>
              </w:rPr>
              <w:t>0</w:t>
            </w:r>
          </w:p>
        </w:tc>
        <w:tc>
          <w:tcPr>
            <w:tcW w:w="1071" w:type="dxa"/>
            <w:tcBorders>
              <w:top w:val="nil"/>
              <w:left w:val="nil"/>
              <w:bottom w:val="nil"/>
              <w:right w:val="nil"/>
            </w:tcBorders>
            <w:vAlign w:val="bottom"/>
          </w:tcPr>
          <w:p w14:paraId="51BE7726" w14:textId="77777777" w:rsidR="00D0470C" w:rsidRPr="00CB02F8" w:rsidRDefault="00D0470C" w:rsidP="006F3019">
            <w:pPr>
              <w:pStyle w:val="-0"/>
              <w:spacing w:before="20"/>
              <w:rPr>
                <w:b/>
                <w:bCs/>
                <w:rtl/>
              </w:rPr>
            </w:pPr>
            <w:r w:rsidRPr="00CB02F8">
              <w:rPr>
                <w:b/>
                <w:bCs/>
                <w:rtl/>
              </w:rPr>
              <w:t>0</w:t>
            </w:r>
          </w:p>
        </w:tc>
      </w:tr>
      <w:tr w:rsidR="00D0470C" w:rsidRPr="00CB02F8" w14:paraId="5E227E87" w14:textId="77777777" w:rsidTr="00277071">
        <w:trPr>
          <w:gridAfter w:val="1"/>
          <w:wAfter w:w="112" w:type="dxa"/>
          <w:trHeight w:hRule="exact" w:val="72"/>
        </w:trPr>
        <w:tc>
          <w:tcPr>
            <w:tcW w:w="1055" w:type="dxa"/>
            <w:tcBorders>
              <w:top w:val="nil"/>
              <w:left w:val="nil"/>
              <w:bottom w:val="nil"/>
              <w:right w:val="nil"/>
            </w:tcBorders>
          </w:tcPr>
          <w:p w14:paraId="47EA4E1A" w14:textId="77777777" w:rsidR="00D0470C" w:rsidRDefault="00D0470C" w:rsidP="006F3019">
            <w:pPr>
              <w:pStyle w:val="-0"/>
              <w:ind w:left="0" w:firstLine="0"/>
              <w:rPr>
                <w:sz w:val="14"/>
                <w:szCs w:val="14"/>
                <w:rtl/>
              </w:rPr>
            </w:pPr>
          </w:p>
        </w:tc>
        <w:tc>
          <w:tcPr>
            <w:tcW w:w="4817" w:type="dxa"/>
            <w:gridSpan w:val="2"/>
            <w:tcBorders>
              <w:top w:val="nil"/>
              <w:left w:val="nil"/>
              <w:bottom w:val="nil"/>
              <w:right w:val="nil"/>
            </w:tcBorders>
            <w:vAlign w:val="bottom"/>
          </w:tcPr>
          <w:p w14:paraId="02C325B3" w14:textId="77777777" w:rsidR="00D0470C" w:rsidRPr="00CB02F8" w:rsidRDefault="00D0470C" w:rsidP="00AD3EEB">
            <w:pPr>
              <w:pStyle w:val="-0"/>
              <w:spacing w:line="240" w:lineRule="auto"/>
              <w:ind w:left="676" w:hanging="460"/>
              <w:rPr>
                <w:rtl/>
              </w:rPr>
            </w:pPr>
          </w:p>
        </w:tc>
        <w:tc>
          <w:tcPr>
            <w:tcW w:w="852" w:type="dxa"/>
            <w:tcBorders>
              <w:top w:val="nil"/>
              <w:left w:val="nil"/>
              <w:bottom w:val="nil"/>
              <w:right w:val="nil"/>
            </w:tcBorders>
            <w:vAlign w:val="bottom"/>
          </w:tcPr>
          <w:p w14:paraId="1389E6DF" w14:textId="77777777" w:rsidR="00D0470C" w:rsidRPr="00CB02F8" w:rsidRDefault="00D0470C" w:rsidP="006F3019">
            <w:pPr>
              <w:pStyle w:val="-0"/>
              <w:rPr>
                <w:rtl/>
              </w:rPr>
            </w:pPr>
          </w:p>
        </w:tc>
        <w:tc>
          <w:tcPr>
            <w:tcW w:w="1132" w:type="dxa"/>
            <w:tcBorders>
              <w:top w:val="nil"/>
              <w:left w:val="nil"/>
              <w:bottom w:val="nil"/>
              <w:right w:val="nil"/>
            </w:tcBorders>
            <w:vAlign w:val="bottom"/>
          </w:tcPr>
          <w:p w14:paraId="2C6ABE40" w14:textId="77777777" w:rsidR="00D0470C" w:rsidRPr="00CB02F8" w:rsidRDefault="00D0470C" w:rsidP="006F3019">
            <w:pPr>
              <w:pStyle w:val="-0"/>
              <w:rPr>
                <w:rtl/>
              </w:rPr>
            </w:pPr>
          </w:p>
        </w:tc>
        <w:tc>
          <w:tcPr>
            <w:tcW w:w="952" w:type="dxa"/>
            <w:tcBorders>
              <w:top w:val="nil"/>
              <w:left w:val="nil"/>
              <w:bottom w:val="nil"/>
              <w:right w:val="nil"/>
            </w:tcBorders>
            <w:vAlign w:val="bottom"/>
          </w:tcPr>
          <w:p w14:paraId="16116170" w14:textId="77777777" w:rsidR="00D0470C" w:rsidRPr="00CB02F8" w:rsidRDefault="00D0470C" w:rsidP="006F3019">
            <w:pPr>
              <w:pStyle w:val="-0"/>
              <w:rPr>
                <w:rtl/>
              </w:rPr>
            </w:pPr>
          </w:p>
        </w:tc>
        <w:tc>
          <w:tcPr>
            <w:tcW w:w="1071" w:type="dxa"/>
            <w:tcBorders>
              <w:top w:val="nil"/>
              <w:left w:val="nil"/>
              <w:bottom w:val="nil"/>
              <w:right w:val="nil"/>
            </w:tcBorders>
            <w:vAlign w:val="bottom"/>
          </w:tcPr>
          <w:p w14:paraId="33D3C467" w14:textId="77777777" w:rsidR="00D0470C" w:rsidRPr="00CB02F8" w:rsidRDefault="00D0470C" w:rsidP="006F3019">
            <w:pPr>
              <w:pStyle w:val="-0"/>
              <w:rPr>
                <w:rtl/>
              </w:rPr>
            </w:pPr>
          </w:p>
        </w:tc>
      </w:tr>
      <w:tr w:rsidR="00D0470C" w:rsidRPr="00CB02F8" w14:paraId="73B7FC3F" w14:textId="77777777" w:rsidTr="00277071">
        <w:trPr>
          <w:gridAfter w:val="1"/>
          <w:wAfter w:w="112" w:type="dxa"/>
        </w:trPr>
        <w:tc>
          <w:tcPr>
            <w:tcW w:w="1055" w:type="dxa"/>
            <w:tcBorders>
              <w:top w:val="nil"/>
              <w:left w:val="nil"/>
              <w:bottom w:val="nil"/>
              <w:right w:val="nil"/>
            </w:tcBorders>
          </w:tcPr>
          <w:p w14:paraId="6C5CFC73" w14:textId="20AAC265" w:rsidR="00F32A2A" w:rsidRDefault="00F32A2A">
            <w:pPr>
              <w:pStyle w:val="-0"/>
              <w:spacing w:before="60" w:line="240" w:lineRule="auto"/>
              <w:ind w:left="0" w:firstLine="0"/>
              <w:rPr>
                <w:sz w:val="14"/>
                <w:szCs w:val="14"/>
                <w:rtl/>
              </w:rPr>
            </w:pPr>
          </w:p>
        </w:tc>
        <w:tc>
          <w:tcPr>
            <w:tcW w:w="4817" w:type="dxa"/>
            <w:gridSpan w:val="2"/>
            <w:tcBorders>
              <w:top w:val="nil"/>
              <w:left w:val="nil"/>
              <w:bottom w:val="nil"/>
              <w:right w:val="nil"/>
            </w:tcBorders>
            <w:vAlign w:val="bottom"/>
          </w:tcPr>
          <w:p w14:paraId="464DA7D6" w14:textId="4DE04314" w:rsidR="00F32A2A" w:rsidRDefault="00D0470C" w:rsidP="00277071">
            <w:pPr>
              <w:pStyle w:val="-0"/>
              <w:spacing w:line="240" w:lineRule="auto"/>
              <w:ind w:left="500" w:hanging="430"/>
              <w:rPr>
                <w:b/>
                <w:bCs/>
                <w:rtl/>
              </w:rPr>
            </w:pPr>
            <w:r w:rsidRPr="00CB02F8">
              <w:rPr>
                <w:b/>
                <w:bCs/>
                <w:rtl/>
              </w:rPr>
              <w:t xml:space="preserve">4. </w:t>
            </w:r>
            <w:r w:rsidRPr="00CB02F8">
              <w:rPr>
                <w:rFonts w:hint="eastAsia"/>
                <w:b/>
                <w:bCs/>
                <w:rtl/>
              </w:rPr>
              <w:t>רווחים</w:t>
            </w:r>
            <w:r w:rsidRPr="00CB02F8">
              <w:rPr>
                <w:b/>
                <w:bCs/>
                <w:rtl/>
              </w:rPr>
              <w:t xml:space="preserve"> (הפסדים) </w:t>
            </w:r>
            <w:r w:rsidRPr="00CB02F8">
              <w:rPr>
                <w:rFonts w:hint="eastAsia"/>
                <w:b/>
                <w:bCs/>
                <w:rtl/>
              </w:rPr>
              <w:t>מהשקעה</w:t>
            </w:r>
            <w:r w:rsidRPr="00CB02F8">
              <w:rPr>
                <w:b/>
                <w:bCs/>
                <w:rtl/>
              </w:rPr>
              <w:t xml:space="preserve"> </w:t>
            </w:r>
            <w:r w:rsidRPr="00CB02F8">
              <w:rPr>
                <w:rFonts w:hint="eastAsia"/>
                <w:b/>
                <w:bCs/>
                <w:rtl/>
              </w:rPr>
              <w:t>במניות</w:t>
            </w:r>
            <w:r w:rsidR="00FA10AC" w:rsidRPr="00FA10AC">
              <w:rPr>
                <w:rFonts w:hint="cs"/>
                <w:vertAlign w:val="superscript"/>
                <w:rtl/>
              </w:rPr>
              <w:t>[</w:t>
            </w:r>
            <w:r w:rsidR="00D6656C">
              <w:rPr>
                <w:rFonts w:hint="cs"/>
                <w:vertAlign w:val="superscript"/>
                <w:rtl/>
              </w:rPr>
              <w:t>2</w:t>
            </w:r>
            <w:r w:rsidR="00FA10AC" w:rsidRPr="00FA10AC">
              <w:rPr>
                <w:rFonts w:hint="cs"/>
                <w:vertAlign w:val="superscript"/>
                <w:rtl/>
              </w:rPr>
              <w:t>]</w:t>
            </w:r>
            <w:r w:rsidRPr="00CB02F8">
              <w:rPr>
                <w:b/>
                <w:bCs/>
                <w:rtl/>
              </w:rPr>
              <w:t>:</w:t>
            </w:r>
          </w:p>
        </w:tc>
        <w:tc>
          <w:tcPr>
            <w:tcW w:w="852" w:type="dxa"/>
            <w:tcBorders>
              <w:top w:val="nil"/>
              <w:left w:val="nil"/>
              <w:bottom w:val="nil"/>
              <w:right w:val="nil"/>
            </w:tcBorders>
            <w:vAlign w:val="bottom"/>
          </w:tcPr>
          <w:p w14:paraId="2C2C917D" w14:textId="77777777" w:rsidR="00F32A2A" w:rsidRDefault="00F32A2A">
            <w:pPr>
              <w:pStyle w:val="-0"/>
              <w:spacing w:line="240" w:lineRule="auto"/>
              <w:rPr>
                <w:rtl/>
              </w:rPr>
            </w:pPr>
          </w:p>
        </w:tc>
        <w:tc>
          <w:tcPr>
            <w:tcW w:w="1132" w:type="dxa"/>
            <w:tcBorders>
              <w:top w:val="nil"/>
              <w:left w:val="nil"/>
              <w:bottom w:val="nil"/>
              <w:right w:val="nil"/>
            </w:tcBorders>
            <w:vAlign w:val="bottom"/>
          </w:tcPr>
          <w:p w14:paraId="44D62C98" w14:textId="77777777" w:rsidR="00F32A2A" w:rsidRDefault="00F32A2A">
            <w:pPr>
              <w:pStyle w:val="-0"/>
              <w:spacing w:line="240" w:lineRule="auto"/>
              <w:rPr>
                <w:rtl/>
              </w:rPr>
            </w:pPr>
          </w:p>
        </w:tc>
        <w:tc>
          <w:tcPr>
            <w:tcW w:w="952" w:type="dxa"/>
            <w:tcBorders>
              <w:top w:val="nil"/>
              <w:left w:val="nil"/>
              <w:bottom w:val="nil"/>
              <w:right w:val="nil"/>
            </w:tcBorders>
            <w:vAlign w:val="bottom"/>
          </w:tcPr>
          <w:p w14:paraId="6779A84C" w14:textId="77777777" w:rsidR="00F32A2A" w:rsidRDefault="00F32A2A">
            <w:pPr>
              <w:pStyle w:val="-0"/>
              <w:spacing w:line="240" w:lineRule="auto"/>
              <w:rPr>
                <w:rtl/>
              </w:rPr>
            </w:pPr>
          </w:p>
        </w:tc>
        <w:tc>
          <w:tcPr>
            <w:tcW w:w="1071" w:type="dxa"/>
            <w:tcBorders>
              <w:top w:val="nil"/>
              <w:left w:val="nil"/>
              <w:bottom w:val="nil"/>
              <w:right w:val="nil"/>
            </w:tcBorders>
            <w:vAlign w:val="bottom"/>
          </w:tcPr>
          <w:p w14:paraId="413A46B9" w14:textId="77777777" w:rsidR="00F32A2A" w:rsidRDefault="00F32A2A">
            <w:pPr>
              <w:pStyle w:val="-0"/>
              <w:spacing w:line="240" w:lineRule="auto"/>
              <w:rPr>
                <w:rtl/>
              </w:rPr>
            </w:pPr>
          </w:p>
        </w:tc>
      </w:tr>
      <w:tr w:rsidR="00D0470C" w:rsidRPr="00CB02F8" w14:paraId="576FD396" w14:textId="77777777" w:rsidTr="00277071">
        <w:trPr>
          <w:gridAfter w:val="1"/>
          <w:wAfter w:w="112" w:type="dxa"/>
          <w:trHeight w:val="259"/>
        </w:trPr>
        <w:tc>
          <w:tcPr>
            <w:tcW w:w="1055" w:type="dxa"/>
            <w:tcBorders>
              <w:top w:val="nil"/>
              <w:left w:val="nil"/>
              <w:bottom w:val="nil"/>
              <w:right w:val="nil"/>
            </w:tcBorders>
          </w:tcPr>
          <w:p w14:paraId="7455034E" w14:textId="77777777" w:rsidR="00F32A2A" w:rsidRDefault="00F32A2A">
            <w:pPr>
              <w:pStyle w:val="-0"/>
              <w:spacing w:line="240" w:lineRule="auto"/>
              <w:ind w:left="0" w:firstLine="0"/>
              <w:rPr>
                <w:sz w:val="14"/>
                <w:szCs w:val="14"/>
                <w:rtl/>
              </w:rPr>
            </w:pPr>
          </w:p>
        </w:tc>
        <w:tc>
          <w:tcPr>
            <w:tcW w:w="4817" w:type="dxa"/>
            <w:gridSpan w:val="2"/>
            <w:tcBorders>
              <w:top w:val="nil"/>
              <w:left w:val="nil"/>
              <w:bottom w:val="nil"/>
              <w:right w:val="nil"/>
            </w:tcBorders>
            <w:vAlign w:val="bottom"/>
          </w:tcPr>
          <w:p w14:paraId="7C6CC271" w14:textId="77777777" w:rsidR="00F32A2A" w:rsidRDefault="00D0470C" w:rsidP="00277071">
            <w:pPr>
              <w:pStyle w:val="-0"/>
              <w:spacing w:line="240" w:lineRule="auto"/>
              <w:ind w:left="676" w:hanging="323"/>
            </w:pPr>
            <w:r w:rsidRPr="00CB02F8">
              <w:rPr>
                <w:rFonts w:hint="eastAsia"/>
                <w:rtl/>
              </w:rPr>
              <w:t>רווחים</w:t>
            </w:r>
            <w:r w:rsidRPr="00CB02F8">
              <w:rPr>
                <w:rtl/>
              </w:rPr>
              <w:t xml:space="preserve"> </w:t>
            </w:r>
            <w:r w:rsidRPr="00CB02F8">
              <w:rPr>
                <w:rFonts w:hint="eastAsia"/>
                <w:rtl/>
              </w:rPr>
              <w:t>ממכירת</w:t>
            </w:r>
            <w:r w:rsidRPr="00CB02F8">
              <w:rPr>
                <w:rtl/>
              </w:rPr>
              <w:t xml:space="preserve"> </w:t>
            </w:r>
            <w:r w:rsidRPr="00CB02F8">
              <w:rPr>
                <w:rFonts w:hint="eastAsia"/>
                <w:rtl/>
              </w:rPr>
              <w:t>מניות</w:t>
            </w:r>
            <w:r w:rsidRPr="00CB02F8">
              <w:rPr>
                <w:rtl/>
              </w:rPr>
              <w:t xml:space="preserve"> </w:t>
            </w:r>
            <w:r w:rsidR="00781D0E">
              <w:rPr>
                <w:rFonts w:hint="cs"/>
                <w:rtl/>
              </w:rPr>
              <w:t>שאינן למסחר</w:t>
            </w:r>
            <w:r w:rsidR="00562E38">
              <w:rPr>
                <w:rFonts w:hint="cs"/>
                <w:rtl/>
              </w:rPr>
              <w:t xml:space="preserve"> </w:t>
            </w:r>
          </w:p>
        </w:tc>
        <w:tc>
          <w:tcPr>
            <w:tcW w:w="852" w:type="dxa"/>
            <w:tcBorders>
              <w:top w:val="nil"/>
              <w:left w:val="nil"/>
              <w:bottom w:val="nil"/>
              <w:right w:val="nil"/>
            </w:tcBorders>
            <w:vAlign w:val="bottom"/>
          </w:tcPr>
          <w:p w14:paraId="736C53AC" w14:textId="77777777" w:rsidR="00F32A2A" w:rsidRDefault="00D0470C">
            <w:pPr>
              <w:pStyle w:val="-0"/>
              <w:spacing w:line="240" w:lineRule="auto"/>
              <w:rPr>
                <w:rtl/>
              </w:rPr>
            </w:pPr>
            <w:r w:rsidRPr="00CB02F8">
              <w:rPr>
                <w:rtl/>
              </w:rPr>
              <w:t>0</w:t>
            </w:r>
          </w:p>
        </w:tc>
        <w:tc>
          <w:tcPr>
            <w:tcW w:w="1132" w:type="dxa"/>
            <w:tcBorders>
              <w:top w:val="nil"/>
              <w:left w:val="nil"/>
              <w:bottom w:val="nil"/>
              <w:right w:val="nil"/>
            </w:tcBorders>
            <w:vAlign w:val="bottom"/>
          </w:tcPr>
          <w:p w14:paraId="1DD2D99C" w14:textId="77777777" w:rsidR="00F32A2A" w:rsidRDefault="00D0470C">
            <w:pPr>
              <w:pStyle w:val="-0"/>
              <w:spacing w:line="240" w:lineRule="auto"/>
              <w:rPr>
                <w:rtl/>
              </w:rPr>
            </w:pPr>
            <w:r w:rsidRPr="00CB02F8">
              <w:rPr>
                <w:rtl/>
              </w:rPr>
              <w:t>0</w:t>
            </w:r>
          </w:p>
        </w:tc>
        <w:tc>
          <w:tcPr>
            <w:tcW w:w="952" w:type="dxa"/>
            <w:tcBorders>
              <w:top w:val="nil"/>
              <w:left w:val="nil"/>
              <w:bottom w:val="nil"/>
              <w:right w:val="nil"/>
            </w:tcBorders>
            <w:vAlign w:val="bottom"/>
          </w:tcPr>
          <w:p w14:paraId="3CF2ED58" w14:textId="77777777" w:rsidR="00F32A2A" w:rsidRDefault="00D0470C">
            <w:pPr>
              <w:pStyle w:val="-0"/>
              <w:spacing w:line="240" w:lineRule="auto"/>
              <w:rPr>
                <w:rtl/>
              </w:rPr>
            </w:pPr>
            <w:r w:rsidRPr="00CB02F8">
              <w:rPr>
                <w:rtl/>
              </w:rPr>
              <w:t>0</w:t>
            </w:r>
          </w:p>
        </w:tc>
        <w:tc>
          <w:tcPr>
            <w:tcW w:w="1071" w:type="dxa"/>
            <w:tcBorders>
              <w:top w:val="nil"/>
              <w:left w:val="nil"/>
              <w:bottom w:val="nil"/>
              <w:right w:val="nil"/>
            </w:tcBorders>
            <w:vAlign w:val="bottom"/>
          </w:tcPr>
          <w:p w14:paraId="4E88213C" w14:textId="77777777" w:rsidR="00F32A2A" w:rsidRDefault="00D0470C">
            <w:pPr>
              <w:pStyle w:val="-0"/>
              <w:spacing w:line="240" w:lineRule="auto"/>
              <w:rPr>
                <w:rtl/>
              </w:rPr>
            </w:pPr>
            <w:r w:rsidRPr="00CB02F8">
              <w:rPr>
                <w:rtl/>
              </w:rPr>
              <w:t>0</w:t>
            </w:r>
          </w:p>
        </w:tc>
      </w:tr>
      <w:tr w:rsidR="00D0470C" w:rsidRPr="00CB02F8" w14:paraId="61004E39" w14:textId="77777777" w:rsidTr="00277071">
        <w:trPr>
          <w:gridAfter w:val="1"/>
          <w:wAfter w:w="112" w:type="dxa"/>
          <w:trHeight w:val="259"/>
        </w:trPr>
        <w:tc>
          <w:tcPr>
            <w:tcW w:w="1055" w:type="dxa"/>
            <w:tcBorders>
              <w:top w:val="nil"/>
              <w:left w:val="nil"/>
              <w:bottom w:val="nil"/>
              <w:right w:val="nil"/>
            </w:tcBorders>
          </w:tcPr>
          <w:p w14:paraId="781504B2" w14:textId="13E0EA31" w:rsidR="00F32A2A" w:rsidRDefault="00F32A2A" w:rsidP="003B3612">
            <w:pPr>
              <w:pStyle w:val="-0"/>
              <w:spacing w:line="240" w:lineRule="auto"/>
              <w:ind w:left="0" w:firstLine="0"/>
              <w:rPr>
                <w:sz w:val="14"/>
                <w:szCs w:val="14"/>
                <w:rtl/>
              </w:rPr>
            </w:pPr>
          </w:p>
        </w:tc>
        <w:tc>
          <w:tcPr>
            <w:tcW w:w="4817" w:type="dxa"/>
            <w:gridSpan w:val="2"/>
            <w:tcBorders>
              <w:top w:val="nil"/>
              <w:left w:val="nil"/>
              <w:bottom w:val="nil"/>
              <w:right w:val="nil"/>
            </w:tcBorders>
            <w:vAlign w:val="bottom"/>
          </w:tcPr>
          <w:p w14:paraId="59620D62" w14:textId="77777777" w:rsidR="00F32A2A" w:rsidRDefault="00D0470C" w:rsidP="00277071">
            <w:pPr>
              <w:pStyle w:val="-0"/>
              <w:spacing w:line="240" w:lineRule="auto"/>
              <w:ind w:left="676" w:hanging="323"/>
              <w:rPr>
                <w:rtl/>
              </w:rPr>
            </w:pPr>
            <w:r w:rsidRPr="00CB02F8">
              <w:rPr>
                <w:rFonts w:hint="cs"/>
                <w:rtl/>
              </w:rPr>
              <w:t xml:space="preserve">הפרשה לירידת ערך בגין מניות </w:t>
            </w:r>
            <w:r w:rsidR="00781D0E">
              <w:rPr>
                <w:rFonts w:hint="cs"/>
                <w:rtl/>
              </w:rPr>
              <w:t>שאינן למסחר</w:t>
            </w:r>
            <w:r w:rsidR="00562E38">
              <w:rPr>
                <w:rFonts w:hint="cs"/>
                <w:rtl/>
              </w:rPr>
              <w:t xml:space="preserve"> </w:t>
            </w:r>
          </w:p>
        </w:tc>
        <w:tc>
          <w:tcPr>
            <w:tcW w:w="852" w:type="dxa"/>
            <w:tcBorders>
              <w:top w:val="nil"/>
              <w:left w:val="nil"/>
              <w:bottom w:val="nil"/>
              <w:right w:val="nil"/>
            </w:tcBorders>
            <w:vAlign w:val="bottom"/>
          </w:tcPr>
          <w:p w14:paraId="21A85806" w14:textId="77777777" w:rsidR="00F32A2A" w:rsidRDefault="00D0470C">
            <w:pPr>
              <w:pStyle w:val="-0"/>
              <w:spacing w:line="240" w:lineRule="auto"/>
              <w:rPr>
                <w:rtl/>
              </w:rPr>
            </w:pPr>
            <w:r w:rsidRPr="00CB02F8">
              <w:rPr>
                <w:rtl/>
              </w:rPr>
              <w:t>0</w:t>
            </w:r>
          </w:p>
        </w:tc>
        <w:tc>
          <w:tcPr>
            <w:tcW w:w="1132" w:type="dxa"/>
            <w:tcBorders>
              <w:top w:val="nil"/>
              <w:left w:val="nil"/>
              <w:bottom w:val="nil"/>
              <w:right w:val="nil"/>
            </w:tcBorders>
            <w:vAlign w:val="bottom"/>
          </w:tcPr>
          <w:p w14:paraId="5245957A" w14:textId="77777777" w:rsidR="00F32A2A" w:rsidRDefault="00D0470C">
            <w:pPr>
              <w:pStyle w:val="-0"/>
              <w:spacing w:line="240" w:lineRule="auto"/>
              <w:rPr>
                <w:rtl/>
              </w:rPr>
            </w:pPr>
            <w:r w:rsidRPr="00CB02F8">
              <w:rPr>
                <w:rtl/>
              </w:rPr>
              <w:t>0</w:t>
            </w:r>
          </w:p>
        </w:tc>
        <w:tc>
          <w:tcPr>
            <w:tcW w:w="952" w:type="dxa"/>
            <w:tcBorders>
              <w:top w:val="nil"/>
              <w:left w:val="nil"/>
              <w:bottom w:val="nil"/>
              <w:right w:val="nil"/>
            </w:tcBorders>
            <w:vAlign w:val="bottom"/>
          </w:tcPr>
          <w:p w14:paraId="5284451B" w14:textId="77777777" w:rsidR="00F32A2A" w:rsidRDefault="00D0470C">
            <w:pPr>
              <w:pStyle w:val="-0"/>
              <w:spacing w:line="240" w:lineRule="auto"/>
              <w:rPr>
                <w:rtl/>
              </w:rPr>
            </w:pPr>
            <w:r w:rsidRPr="00CB02F8">
              <w:rPr>
                <w:rtl/>
              </w:rPr>
              <w:t>0</w:t>
            </w:r>
          </w:p>
        </w:tc>
        <w:tc>
          <w:tcPr>
            <w:tcW w:w="1071" w:type="dxa"/>
            <w:tcBorders>
              <w:top w:val="nil"/>
              <w:left w:val="nil"/>
              <w:bottom w:val="nil"/>
              <w:right w:val="nil"/>
            </w:tcBorders>
            <w:vAlign w:val="bottom"/>
          </w:tcPr>
          <w:p w14:paraId="375C0A34" w14:textId="77777777" w:rsidR="00F32A2A" w:rsidRDefault="00D0470C">
            <w:pPr>
              <w:pStyle w:val="-0"/>
              <w:spacing w:line="240" w:lineRule="auto"/>
              <w:rPr>
                <w:rtl/>
              </w:rPr>
            </w:pPr>
            <w:r w:rsidRPr="00CB02F8">
              <w:rPr>
                <w:rtl/>
              </w:rPr>
              <w:t>0</w:t>
            </w:r>
          </w:p>
        </w:tc>
      </w:tr>
      <w:tr w:rsidR="00D0470C" w:rsidRPr="00CB02F8" w14:paraId="07693C0F" w14:textId="77777777" w:rsidTr="00277071">
        <w:trPr>
          <w:gridAfter w:val="1"/>
          <w:wAfter w:w="112" w:type="dxa"/>
          <w:trHeight w:val="259"/>
        </w:trPr>
        <w:tc>
          <w:tcPr>
            <w:tcW w:w="1055" w:type="dxa"/>
            <w:tcBorders>
              <w:top w:val="nil"/>
              <w:left w:val="nil"/>
              <w:bottom w:val="nil"/>
              <w:right w:val="nil"/>
            </w:tcBorders>
          </w:tcPr>
          <w:p w14:paraId="63C5B8AC" w14:textId="77777777" w:rsidR="00F32A2A" w:rsidRDefault="00F32A2A">
            <w:pPr>
              <w:pStyle w:val="-0"/>
              <w:spacing w:line="240" w:lineRule="auto"/>
              <w:ind w:left="0" w:firstLine="0"/>
              <w:rPr>
                <w:sz w:val="14"/>
                <w:szCs w:val="14"/>
                <w:rtl/>
              </w:rPr>
            </w:pPr>
          </w:p>
        </w:tc>
        <w:tc>
          <w:tcPr>
            <w:tcW w:w="4817" w:type="dxa"/>
            <w:gridSpan w:val="2"/>
            <w:tcBorders>
              <w:top w:val="nil"/>
              <w:left w:val="nil"/>
              <w:bottom w:val="nil"/>
              <w:right w:val="nil"/>
            </w:tcBorders>
            <w:vAlign w:val="bottom"/>
          </w:tcPr>
          <w:p w14:paraId="334A81C4" w14:textId="77777777" w:rsidR="00F32A2A" w:rsidRDefault="00D0470C" w:rsidP="00277071">
            <w:pPr>
              <w:pStyle w:val="-21"/>
              <w:spacing w:before="0" w:line="240" w:lineRule="auto"/>
              <w:ind w:left="676" w:hanging="323"/>
              <w:rPr>
                <w:rtl/>
              </w:rPr>
            </w:pPr>
            <w:r w:rsidRPr="00CB02F8">
              <w:rPr>
                <w:rFonts w:hint="eastAsia"/>
                <w:rtl/>
              </w:rPr>
              <w:t>הפסדים</w:t>
            </w:r>
            <w:r w:rsidRPr="00CB02F8">
              <w:rPr>
                <w:rtl/>
              </w:rPr>
              <w:t xml:space="preserve"> </w:t>
            </w:r>
            <w:r w:rsidRPr="00CB02F8">
              <w:rPr>
                <w:rFonts w:hint="eastAsia"/>
                <w:rtl/>
              </w:rPr>
              <w:t>ממכירת</w:t>
            </w:r>
            <w:r w:rsidRPr="00CB02F8">
              <w:rPr>
                <w:rtl/>
              </w:rPr>
              <w:t xml:space="preserve"> </w:t>
            </w:r>
            <w:r w:rsidRPr="00CB02F8">
              <w:rPr>
                <w:rFonts w:hint="eastAsia"/>
                <w:rtl/>
              </w:rPr>
              <w:t>מניות</w:t>
            </w:r>
            <w:r w:rsidRPr="00CB02F8">
              <w:rPr>
                <w:rtl/>
              </w:rPr>
              <w:t xml:space="preserve"> </w:t>
            </w:r>
            <w:r w:rsidR="00781D0E">
              <w:rPr>
                <w:rFonts w:hint="cs"/>
                <w:rtl/>
              </w:rPr>
              <w:t>שאינן למסחר</w:t>
            </w:r>
            <w:r w:rsidR="00562E38">
              <w:rPr>
                <w:rFonts w:hint="cs"/>
                <w:rtl/>
              </w:rPr>
              <w:t xml:space="preserve"> </w:t>
            </w:r>
          </w:p>
        </w:tc>
        <w:tc>
          <w:tcPr>
            <w:tcW w:w="852" w:type="dxa"/>
            <w:tcBorders>
              <w:top w:val="nil"/>
              <w:left w:val="nil"/>
              <w:bottom w:val="nil"/>
              <w:right w:val="nil"/>
            </w:tcBorders>
            <w:vAlign w:val="bottom"/>
          </w:tcPr>
          <w:p w14:paraId="4C610987" w14:textId="77777777" w:rsidR="00F32A2A" w:rsidRDefault="00D0470C">
            <w:pPr>
              <w:pStyle w:val="-0"/>
              <w:spacing w:line="240" w:lineRule="auto"/>
              <w:rPr>
                <w:sz w:val="24"/>
                <w:szCs w:val="24"/>
                <w:rtl/>
              </w:rPr>
            </w:pPr>
            <w:r w:rsidRPr="00CB02F8">
              <w:rPr>
                <w:rtl/>
              </w:rPr>
              <w:t>0</w:t>
            </w:r>
          </w:p>
        </w:tc>
        <w:tc>
          <w:tcPr>
            <w:tcW w:w="1132" w:type="dxa"/>
            <w:tcBorders>
              <w:top w:val="nil"/>
              <w:left w:val="nil"/>
              <w:bottom w:val="nil"/>
              <w:right w:val="nil"/>
            </w:tcBorders>
            <w:vAlign w:val="bottom"/>
          </w:tcPr>
          <w:p w14:paraId="41B76B44" w14:textId="77777777" w:rsidR="00F32A2A" w:rsidRDefault="00D0470C">
            <w:pPr>
              <w:pStyle w:val="-0"/>
              <w:spacing w:line="240" w:lineRule="auto"/>
              <w:rPr>
                <w:sz w:val="24"/>
                <w:szCs w:val="24"/>
                <w:rtl/>
              </w:rPr>
            </w:pPr>
            <w:r w:rsidRPr="00CB02F8">
              <w:rPr>
                <w:rtl/>
              </w:rPr>
              <w:t>0</w:t>
            </w:r>
          </w:p>
        </w:tc>
        <w:tc>
          <w:tcPr>
            <w:tcW w:w="952" w:type="dxa"/>
            <w:tcBorders>
              <w:top w:val="nil"/>
              <w:left w:val="nil"/>
              <w:bottom w:val="nil"/>
              <w:right w:val="nil"/>
            </w:tcBorders>
            <w:vAlign w:val="bottom"/>
          </w:tcPr>
          <w:p w14:paraId="349AE6C5" w14:textId="77777777" w:rsidR="00F32A2A" w:rsidRDefault="00D0470C">
            <w:pPr>
              <w:pStyle w:val="-0"/>
              <w:spacing w:line="240" w:lineRule="auto"/>
              <w:rPr>
                <w:sz w:val="24"/>
                <w:szCs w:val="24"/>
                <w:rtl/>
              </w:rPr>
            </w:pPr>
            <w:r w:rsidRPr="00CB02F8">
              <w:rPr>
                <w:rtl/>
              </w:rPr>
              <w:t>0</w:t>
            </w:r>
          </w:p>
        </w:tc>
        <w:tc>
          <w:tcPr>
            <w:tcW w:w="1071" w:type="dxa"/>
            <w:tcBorders>
              <w:top w:val="nil"/>
              <w:left w:val="nil"/>
              <w:bottom w:val="nil"/>
              <w:right w:val="nil"/>
            </w:tcBorders>
            <w:vAlign w:val="bottom"/>
          </w:tcPr>
          <w:p w14:paraId="3593EFF4" w14:textId="77777777" w:rsidR="00F32A2A" w:rsidRDefault="00D0470C">
            <w:pPr>
              <w:pStyle w:val="-0"/>
              <w:spacing w:line="240" w:lineRule="auto"/>
              <w:rPr>
                <w:sz w:val="24"/>
                <w:szCs w:val="24"/>
                <w:rtl/>
              </w:rPr>
            </w:pPr>
            <w:r w:rsidRPr="00CB02F8">
              <w:rPr>
                <w:rtl/>
              </w:rPr>
              <w:t>0</w:t>
            </w:r>
          </w:p>
        </w:tc>
      </w:tr>
      <w:tr w:rsidR="00D0470C" w:rsidRPr="00CB02F8" w14:paraId="5E7516A3" w14:textId="77777777" w:rsidTr="00277071">
        <w:trPr>
          <w:gridAfter w:val="1"/>
          <w:wAfter w:w="112" w:type="dxa"/>
          <w:trHeight w:val="259"/>
        </w:trPr>
        <w:tc>
          <w:tcPr>
            <w:tcW w:w="1055" w:type="dxa"/>
            <w:tcBorders>
              <w:top w:val="nil"/>
              <w:left w:val="nil"/>
              <w:bottom w:val="nil"/>
              <w:right w:val="nil"/>
            </w:tcBorders>
          </w:tcPr>
          <w:p w14:paraId="6B31CBCF" w14:textId="77777777" w:rsidR="00F32A2A" w:rsidRDefault="00F32A2A">
            <w:pPr>
              <w:pStyle w:val="-0"/>
              <w:spacing w:line="240" w:lineRule="auto"/>
              <w:ind w:left="0" w:firstLine="0"/>
              <w:rPr>
                <w:sz w:val="14"/>
                <w:szCs w:val="14"/>
                <w:rtl/>
              </w:rPr>
            </w:pPr>
          </w:p>
        </w:tc>
        <w:tc>
          <w:tcPr>
            <w:tcW w:w="4817" w:type="dxa"/>
            <w:gridSpan w:val="2"/>
            <w:tcBorders>
              <w:top w:val="nil"/>
              <w:left w:val="nil"/>
              <w:bottom w:val="nil"/>
              <w:right w:val="nil"/>
            </w:tcBorders>
            <w:vAlign w:val="bottom"/>
          </w:tcPr>
          <w:p w14:paraId="7064C586" w14:textId="77777777" w:rsidR="00F32A2A" w:rsidRDefault="00D0470C" w:rsidP="00277071">
            <w:pPr>
              <w:pStyle w:val="-0"/>
              <w:spacing w:line="240" w:lineRule="auto"/>
              <w:ind w:left="676" w:hanging="323"/>
              <w:rPr>
                <w:rtl/>
              </w:rPr>
            </w:pPr>
            <w:r w:rsidRPr="00CB02F8">
              <w:rPr>
                <w:rFonts w:hint="eastAsia"/>
                <w:rtl/>
              </w:rPr>
              <w:t>דיבידנד</w:t>
            </w:r>
            <w:r w:rsidRPr="00CB02F8">
              <w:rPr>
                <w:rtl/>
              </w:rPr>
              <w:t xml:space="preserve"> </w:t>
            </w:r>
            <w:r w:rsidRPr="00CB02F8">
              <w:rPr>
                <w:rFonts w:hint="eastAsia"/>
                <w:rtl/>
              </w:rPr>
              <w:t>ממניות</w:t>
            </w:r>
            <w:r w:rsidRPr="00CB02F8">
              <w:rPr>
                <w:rtl/>
              </w:rPr>
              <w:t xml:space="preserve"> </w:t>
            </w:r>
            <w:r w:rsidR="00781D0E">
              <w:rPr>
                <w:rFonts w:hint="cs"/>
                <w:rtl/>
              </w:rPr>
              <w:t>שאינן למסחר</w:t>
            </w:r>
            <w:r w:rsidR="00562E38">
              <w:rPr>
                <w:rFonts w:hint="cs"/>
                <w:rtl/>
              </w:rPr>
              <w:t xml:space="preserve"> </w:t>
            </w:r>
          </w:p>
        </w:tc>
        <w:tc>
          <w:tcPr>
            <w:tcW w:w="852" w:type="dxa"/>
            <w:tcBorders>
              <w:top w:val="nil"/>
              <w:left w:val="nil"/>
              <w:bottom w:val="nil"/>
              <w:right w:val="nil"/>
            </w:tcBorders>
            <w:vAlign w:val="bottom"/>
          </w:tcPr>
          <w:p w14:paraId="64FA934C" w14:textId="77777777" w:rsidR="00F32A2A" w:rsidRDefault="00D0470C">
            <w:pPr>
              <w:pStyle w:val="-0"/>
              <w:spacing w:line="240" w:lineRule="auto"/>
              <w:rPr>
                <w:rtl/>
              </w:rPr>
            </w:pPr>
            <w:r w:rsidRPr="00CB02F8">
              <w:rPr>
                <w:rtl/>
              </w:rPr>
              <w:t>0</w:t>
            </w:r>
          </w:p>
        </w:tc>
        <w:tc>
          <w:tcPr>
            <w:tcW w:w="1132" w:type="dxa"/>
            <w:tcBorders>
              <w:top w:val="nil"/>
              <w:left w:val="nil"/>
              <w:bottom w:val="nil"/>
              <w:right w:val="nil"/>
            </w:tcBorders>
            <w:vAlign w:val="bottom"/>
          </w:tcPr>
          <w:p w14:paraId="7BF1C0EB" w14:textId="77777777" w:rsidR="00F32A2A" w:rsidRDefault="00D0470C">
            <w:pPr>
              <w:pStyle w:val="-0"/>
              <w:spacing w:line="240" w:lineRule="auto"/>
              <w:rPr>
                <w:rtl/>
              </w:rPr>
            </w:pPr>
            <w:r w:rsidRPr="00CB02F8">
              <w:rPr>
                <w:rtl/>
              </w:rPr>
              <w:t>0</w:t>
            </w:r>
          </w:p>
        </w:tc>
        <w:tc>
          <w:tcPr>
            <w:tcW w:w="952" w:type="dxa"/>
            <w:tcBorders>
              <w:top w:val="nil"/>
              <w:left w:val="nil"/>
              <w:bottom w:val="nil"/>
              <w:right w:val="nil"/>
            </w:tcBorders>
            <w:vAlign w:val="bottom"/>
          </w:tcPr>
          <w:p w14:paraId="0482F04F" w14:textId="77777777" w:rsidR="00F32A2A" w:rsidRDefault="00D0470C">
            <w:pPr>
              <w:pStyle w:val="-0"/>
              <w:spacing w:line="240" w:lineRule="auto"/>
              <w:rPr>
                <w:rtl/>
              </w:rPr>
            </w:pPr>
            <w:r w:rsidRPr="00CB02F8">
              <w:rPr>
                <w:rtl/>
              </w:rPr>
              <w:t>0</w:t>
            </w:r>
          </w:p>
        </w:tc>
        <w:tc>
          <w:tcPr>
            <w:tcW w:w="1071" w:type="dxa"/>
            <w:tcBorders>
              <w:top w:val="nil"/>
              <w:left w:val="nil"/>
              <w:bottom w:val="nil"/>
              <w:right w:val="nil"/>
            </w:tcBorders>
            <w:vAlign w:val="bottom"/>
          </w:tcPr>
          <w:p w14:paraId="2E49C0C5" w14:textId="77777777" w:rsidR="00F32A2A" w:rsidRDefault="00D0470C">
            <w:pPr>
              <w:pStyle w:val="-0"/>
              <w:spacing w:line="240" w:lineRule="auto"/>
              <w:rPr>
                <w:rtl/>
              </w:rPr>
            </w:pPr>
            <w:r w:rsidRPr="00CB02F8">
              <w:rPr>
                <w:rtl/>
              </w:rPr>
              <w:t>0</w:t>
            </w:r>
          </w:p>
        </w:tc>
      </w:tr>
      <w:tr w:rsidR="00781D0E" w:rsidRPr="00CB02F8" w14:paraId="289FA4DE" w14:textId="77777777" w:rsidTr="00277071">
        <w:trPr>
          <w:gridAfter w:val="1"/>
          <w:wAfter w:w="112" w:type="dxa"/>
          <w:trHeight w:val="259"/>
        </w:trPr>
        <w:tc>
          <w:tcPr>
            <w:tcW w:w="1055" w:type="dxa"/>
            <w:tcBorders>
              <w:top w:val="nil"/>
              <w:left w:val="nil"/>
              <w:bottom w:val="nil"/>
              <w:right w:val="nil"/>
            </w:tcBorders>
          </w:tcPr>
          <w:p w14:paraId="4CF25995" w14:textId="77777777" w:rsidR="00781D0E" w:rsidRDefault="00781D0E">
            <w:pPr>
              <w:pStyle w:val="-0"/>
              <w:spacing w:line="240" w:lineRule="auto"/>
              <w:ind w:left="0" w:firstLine="0"/>
              <w:rPr>
                <w:sz w:val="14"/>
                <w:szCs w:val="14"/>
                <w:rtl/>
              </w:rPr>
            </w:pPr>
          </w:p>
        </w:tc>
        <w:tc>
          <w:tcPr>
            <w:tcW w:w="4817" w:type="dxa"/>
            <w:gridSpan w:val="2"/>
            <w:tcBorders>
              <w:top w:val="nil"/>
              <w:left w:val="nil"/>
              <w:bottom w:val="nil"/>
              <w:right w:val="nil"/>
            </w:tcBorders>
            <w:vAlign w:val="bottom"/>
          </w:tcPr>
          <w:p w14:paraId="08639854" w14:textId="77777777" w:rsidR="00781D0E" w:rsidRPr="00CB02F8" w:rsidRDefault="00781D0E" w:rsidP="00277071">
            <w:pPr>
              <w:pStyle w:val="-0"/>
              <w:spacing w:line="240" w:lineRule="auto"/>
              <w:ind w:left="676" w:hanging="323"/>
              <w:rPr>
                <w:rtl/>
              </w:rPr>
            </w:pPr>
            <w:r>
              <w:rPr>
                <w:rFonts w:hint="cs"/>
                <w:rtl/>
              </w:rPr>
              <w:t>רווחים והפסדים שטרם מומשו</w:t>
            </w:r>
            <w:r w:rsidR="0090342E">
              <w:rPr>
                <w:rFonts w:hint="cs"/>
                <w:vertAlign w:val="superscript"/>
                <w:rtl/>
              </w:rPr>
              <w:t>(</w:t>
            </w:r>
            <w:r w:rsidR="00BE5889">
              <w:rPr>
                <w:rFonts w:hint="cs"/>
                <w:vertAlign w:val="superscript"/>
                <w:rtl/>
              </w:rPr>
              <w:t>ה</w:t>
            </w:r>
            <w:r w:rsidR="0090342E">
              <w:rPr>
                <w:rFonts w:hint="cs"/>
                <w:vertAlign w:val="superscript"/>
                <w:rtl/>
              </w:rPr>
              <w:t>)</w:t>
            </w:r>
          </w:p>
        </w:tc>
        <w:tc>
          <w:tcPr>
            <w:tcW w:w="852" w:type="dxa"/>
            <w:tcBorders>
              <w:top w:val="nil"/>
              <w:left w:val="nil"/>
              <w:bottom w:val="nil"/>
              <w:right w:val="nil"/>
            </w:tcBorders>
            <w:vAlign w:val="bottom"/>
          </w:tcPr>
          <w:p w14:paraId="6FD770E8" w14:textId="77777777" w:rsidR="00781D0E" w:rsidRPr="00CB02F8" w:rsidRDefault="00683E6C" w:rsidP="00683E6C">
            <w:pPr>
              <w:pStyle w:val="-0"/>
              <w:spacing w:line="240" w:lineRule="auto"/>
              <w:rPr>
                <w:rtl/>
              </w:rPr>
            </w:pPr>
            <w:r w:rsidRPr="00683E6C">
              <w:rPr>
                <w:rtl/>
              </w:rPr>
              <w:t>0</w:t>
            </w:r>
          </w:p>
        </w:tc>
        <w:tc>
          <w:tcPr>
            <w:tcW w:w="1132" w:type="dxa"/>
            <w:tcBorders>
              <w:top w:val="nil"/>
              <w:left w:val="nil"/>
              <w:bottom w:val="nil"/>
              <w:right w:val="nil"/>
            </w:tcBorders>
            <w:vAlign w:val="bottom"/>
          </w:tcPr>
          <w:p w14:paraId="37135C6F" w14:textId="77777777" w:rsidR="00781D0E" w:rsidRPr="00CB02F8" w:rsidRDefault="00683E6C" w:rsidP="00683E6C">
            <w:pPr>
              <w:pStyle w:val="-0"/>
              <w:spacing w:line="240" w:lineRule="auto"/>
              <w:rPr>
                <w:rtl/>
              </w:rPr>
            </w:pPr>
            <w:r w:rsidRPr="00683E6C">
              <w:rPr>
                <w:rtl/>
              </w:rPr>
              <w:t>0</w:t>
            </w:r>
          </w:p>
        </w:tc>
        <w:tc>
          <w:tcPr>
            <w:tcW w:w="952" w:type="dxa"/>
            <w:tcBorders>
              <w:top w:val="nil"/>
              <w:left w:val="nil"/>
              <w:bottom w:val="nil"/>
              <w:right w:val="nil"/>
            </w:tcBorders>
            <w:vAlign w:val="bottom"/>
          </w:tcPr>
          <w:p w14:paraId="7CCDD461" w14:textId="77777777" w:rsidR="00781D0E" w:rsidRPr="00CB02F8" w:rsidRDefault="00683E6C" w:rsidP="00683E6C">
            <w:pPr>
              <w:pStyle w:val="-0"/>
              <w:spacing w:line="240" w:lineRule="auto"/>
              <w:rPr>
                <w:rtl/>
              </w:rPr>
            </w:pPr>
            <w:r w:rsidRPr="00683E6C">
              <w:rPr>
                <w:rtl/>
              </w:rPr>
              <w:t>0</w:t>
            </w:r>
          </w:p>
        </w:tc>
        <w:tc>
          <w:tcPr>
            <w:tcW w:w="1071" w:type="dxa"/>
            <w:tcBorders>
              <w:top w:val="nil"/>
              <w:left w:val="nil"/>
              <w:bottom w:val="nil"/>
              <w:right w:val="nil"/>
            </w:tcBorders>
            <w:vAlign w:val="bottom"/>
          </w:tcPr>
          <w:p w14:paraId="7F598711" w14:textId="77777777" w:rsidR="00781D0E" w:rsidRPr="00CB02F8" w:rsidRDefault="00683E6C" w:rsidP="00683E6C">
            <w:pPr>
              <w:pStyle w:val="-0"/>
              <w:spacing w:line="240" w:lineRule="auto"/>
              <w:rPr>
                <w:rtl/>
              </w:rPr>
            </w:pPr>
            <w:r w:rsidRPr="00683E6C">
              <w:rPr>
                <w:rtl/>
              </w:rPr>
              <w:t>0</w:t>
            </w:r>
          </w:p>
        </w:tc>
      </w:tr>
      <w:tr w:rsidR="00946C9B" w:rsidRPr="00CB02F8" w14:paraId="6DA52DE0" w14:textId="77777777" w:rsidTr="006A357B">
        <w:trPr>
          <w:gridAfter w:val="1"/>
          <w:wAfter w:w="112" w:type="dxa"/>
          <w:trHeight w:val="259"/>
        </w:trPr>
        <w:tc>
          <w:tcPr>
            <w:tcW w:w="1055" w:type="dxa"/>
            <w:vMerge w:val="restart"/>
            <w:tcBorders>
              <w:top w:val="nil"/>
              <w:left w:val="nil"/>
              <w:bottom w:val="nil"/>
              <w:right w:val="nil"/>
            </w:tcBorders>
            <w:vAlign w:val="center"/>
          </w:tcPr>
          <w:p w14:paraId="0F849EB6" w14:textId="31C420F1" w:rsidR="00946C9B" w:rsidRDefault="00946C9B" w:rsidP="009C5847">
            <w:pPr>
              <w:pStyle w:val="-0"/>
              <w:spacing w:line="240" w:lineRule="auto"/>
              <w:ind w:left="0" w:firstLine="0"/>
              <w:rPr>
                <w:sz w:val="14"/>
                <w:szCs w:val="14"/>
                <w:rtl/>
              </w:rPr>
            </w:pPr>
          </w:p>
        </w:tc>
        <w:tc>
          <w:tcPr>
            <w:tcW w:w="4817" w:type="dxa"/>
            <w:gridSpan w:val="2"/>
            <w:tcBorders>
              <w:top w:val="nil"/>
              <w:left w:val="nil"/>
              <w:bottom w:val="nil"/>
              <w:right w:val="nil"/>
            </w:tcBorders>
            <w:vAlign w:val="bottom"/>
          </w:tcPr>
          <w:p w14:paraId="6DC95939" w14:textId="77777777" w:rsidR="00946C9B" w:rsidRDefault="00946C9B" w:rsidP="00277071">
            <w:pPr>
              <w:pStyle w:val="-21"/>
              <w:spacing w:before="0" w:line="240" w:lineRule="auto"/>
              <w:ind w:left="676" w:hanging="323"/>
              <w:rPr>
                <w:rtl/>
              </w:rPr>
            </w:pPr>
            <w:r w:rsidRPr="00CB02F8">
              <w:rPr>
                <w:rFonts w:hint="eastAsia"/>
                <w:rtl/>
              </w:rPr>
              <w:t>רווח</w:t>
            </w:r>
            <w:r w:rsidRPr="00CB02F8">
              <w:rPr>
                <w:rtl/>
              </w:rPr>
              <w:t xml:space="preserve"> </w:t>
            </w:r>
            <w:r w:rsidRPr="00CB02F8">
              <w:rPr>
                <w:rFonts w:hint="eastAsia"/>
                <w:rtl/>
              </w:rPr>
              <w:t>ממכירת</w:t>
            </w:r>
            <w:r w:rsidRPr="00CB02F8">
              <w:rPr>
                <w:rtl/>
              </w:rPr>
              <w:t xml:space="preserve"> </w:t>
            </w:r>
            <w:r w:rsidRPr="00CB02F8">
              <w:rPr>
                <w:rFonts w:hint="eastAsia"/>
                <w:rtl/>
              </w:rPr>
              <w:t>מניות</w:t>
            </w:r>
            <w:r w:rsidRPr="00CB02F8">
              <w:rPr>
                <w:rtl/>
              </w:rPr>
              <w:t xml:space="preserve"> </w:t>
            </w:r>
            <w:r w:rsidRPr="00CB02F8">
              <w:rPr>
                <w:rFonts w:hint="eastAsia"/>
                <w:rtl/>
              </w:rPr>
              <w:t>של</w:t>
            </w:r>
            <w:r w:rsidRPr="00CB02F8">
              <w:rPr>
                <w:rtl/>
              </w:rPr>
              <w:t xml:space="preserve"> </w:t>
            </w:r>
            <w:r w:rsidRPr="00CB02F8">
              <w:rPr>
                <w:rFonts w:hint="eastAsia"/>
                <w:rtl/>
              </w:rPr>
              <w:t>חברות</w:t>
            </w:r>
            <w:r>
              <w:rPr>
                <w:rFonts w:hint="cs"/>
                <w:rtl/>
              </w:rPr>
              <w:t xml:space="preserve"> מוחזקות</w:t>
            </w:r>
            <w:r w:rsidR="00604F4E" w:rsidRPr="000D6704">
              <w:rPr>
                <w:rFonts w:hint="cs"/>
                <w:vertAlign w:val="superscript"/>
                <w:rtl/>
              </w:rPr>
              <w:t>[</w:t>
            </w:r>
            <w:r w:rsidR="00604F4E" w:rsidRPr="000D6704">
              <w:rPr>
                <w:rStyle w:val="a7"/>
                <w:rtl/>
              </w:rPr>
              <w:footnoteReference w:id="36"/>
            </w:r>
            <w:r w:rsidR="00604F4E" w:rsidRPr="000D6704">
              <w:rPr>
                <w:rFonts w:hint="cs"/>
                <w:vertAlign w:val="superscript"/>
                <w:rtl/>
              </w:rPr>
              <w:t>]</w:t>
            </w:r>
            <w:r w:rsidRPr="000D6704">
              <w:rPr>
                <w:vertAlign w:val="superscript"/>
                <w:rtl/>
              </w:rPr>
              <w:t>[</w:t>
            </w:r>
            <w:r w:rsidRPr="000D6704">
              <w:rPr>
                <w:rStyle w:val="a7"/>
                <w:rtl/>
              </w:rPr>
              <w:footnoteReference w:id="37"/>
            </w:r>
            <w:r w:rsidRPr="000D6704">
              <w:rPr>
                <w:vertAlign w:val="superscript"/>
                <w:rtl/>
              </w:rPr>
              <w:t>]</w:t>
            </w:r>
          </w:p>
        </w:tc>
        <w:tc>
          <w:tcPr>
            <w:tcW w:w="852" w:type="dxa"/>
            <w:tcBorders>
              <w:top w:val="nil"/>
              <w:left w:val="nil"/>
              <w:bottom w:val="nil"/>
              <w:right w:val="nil"/>
            </w:tcBorders>
            <w:vAlign w:val="bottom"/>
          </w:tcPr>
          <w:p w14:paraId="6070C6E2" w14:textId="77777777" w:rsidR="00946C9B" w:rsidRDefault="00946C9B">
            <w:pPr>
              <w:pStyle w:val="-0"/>
              <w:spacing w:line="240" w:lineRule="auto"/>
              <w:rPr>
                <w:rtl/>
              </w:rPr>
            </w:pPr>
            <w:r w:rsidRPr="00CB02F8">
              <w:rPr>
                <w:rtl/>
              </w:rPr>
              <w:t>0</w:t>
            </w:r>
          </w:p>
        </w:tc>
        <w:tc>
          <w:tcPr>
            <w:tcW w:w="1132" w:type="dxa"/>
            <w:tcBorders>
              <w:top w:val="nil"/>
              <w:left w:val="nil"/>
              <w:bottom w:val="nil"/>
              <w:right w:val="nil"/>
            </w:tcBorders>
            <w:vAlign w:val="bottom"/>
          </w:tcPr>
          <w:p w14:paraId="618AAA96" w14:textId="77777777" w:rsidR="00946C9B" w:rsidRDefault="00946C9B">
            <w:pPr>
              <w:pStyle w:val="-0"/>
              <w:spacing w:line="240" w:lineRule="auto"/>
              <w:rPr>
                <w:rtl/>
              </w:rPr>
            </w:pPr>
            <w:r w:rsidRPr="00CB02F8">
              <w:rPr>
                <w:rtl/>
              </w:rPr>
              <w:t>0</w:t>
            </w:r>
          </w:p>
        </w:tc>
        <w:tc>
          <w:tcPr>
            <w:tcW w:w="952" w:type="dxa"/>
            <w:tcBorders>
              <w:top w:val="nil"/>
              <w:left w:val="nil"/>
              <w:bottom w:val="nil"/>
              <w:right w:val="nil"/>
            </w:tcBorders>
            <w:vAlign w:val="bottom"/>
          </w:tcPr>
          <w:p w14:paraId="1FBF1835" w14:textId="77777777" w:rsidR="00946C9B" w:rsidRDefault="00946C9B">
            <w:pPr>
              <w:pStyle w:val="-0"/>
              <w:spacing w:line="240" w:lineRule="auto"/>
              <w:rPr>
                <w:rtl/>
              </w:rPr>
            </w:pPr>
            <w:r w:rsidRPr="00CB02F8">
              <w:rPr>
                <w:rtl/>
              </w:rPr>
              <w:t>0</w:t>
            </w:r>
          </w:p>
        </w:tc>
        <w:tc>
          <w:tcPr>
            <w:tcW w:w="1071" w:type="dxa"/>
            <w:tcBorders>
              <w:top w:val="nil"/>
              <w:left w:val="nil"/>
              <w:bottom w:val="nil"/>
              <w:right w:val="nil"/>
            </w:tcBorders>
            <w:vAlign w:val="bottom"/>
          </w:tcPr>
          <w:p w14:paraId="01106952" w14:textId="77777777" w:rsidR="00946C9B" w:rsidRDefault="00946C9B">
            <w:pPr>
              <w:pStyle w:val="-0"/>
              <w:spacing w:line="240" w:lineRule="auto"/>
              <w:rPr>
                <w:rtl/>
              </w:rPr>
            </w:pPr>
            <w:r w:rsidRPr="00CB02F8">
              <w:rPr>
                <w:rtl/>
              </w:rPr>
              <w:t>0</w:t>
            </w:r>
          </w:p>
        </w:tc>
      </w:tr>
      <w:tr w:rsidR="00946C9B" w:rsidRPr="00CB02F8" w14:paraId="57E770F0" w14:textId="77777777" w:rsidTr="006A357B">
        <w:trPr>
          <w:gridAfter w:val="1"/>
          <w:wAfter w:w="112" w:type="dxa"/>
          <w:trHeight w:val="259"/>
        </w:trPr>
        <w:tc>
          <w:tcPr>
            <w:tcW w:w="1055" w:type="dxa"/>
            <w:vMerge/>
            <w:tcBorders>
              <w:top w:val="nil"/>
              <w:left w:val="nil"/>
              <w:bottom w:val="nil"/>
              <w:right w:val="nil"/>
            </w:tcBorders>
          </w:tcPr>
          <w:p w14:paraId="74DDE854" w14:textId="77777777" w:rsidR="00946C9B" w:rsidRDefault="00946C9B">
            <w:pPr>
              <w:pStyle w:val="-0"/>
              <w:spacing w:line="240" w:lineRule="auto"/>
              <w:ind w:left="0" w:firstLine="0"/>
              <w:rPr>
                <w:sz w:val="14"/>
                <w:szCs w:val="14"/>
                <w:rtl/>
              </w:rPr>
            </w:pPr>
          </w:p>
        </w:tc>
        <w:tc>
          <w:tcPr>
            <w:tcW w:w="4817" w:type="dxa"/>
            <w:gridSpan w:val="2"/>
            <w:tcBorders>
              <w:top w:val="nil"/>
              <w:left w:val="nil"/>
              <w:bottom w:val="nil"/>
              <w:right w:val="nil"/>
            </w:tcBorders>
            <w:vAlign w:val="bottom"/>
          </w:tcPr>
          <w:p w14:paraId="0026D0EF" w14:textId="439DE247" w:rsidR="00946C9B" w:rsidRDefault="00946C9B" w:rsidP="00277071">
            <w:pPr>
              <w:pStyle w:val="-21"/>
              <w:spacing w:before="0" w:line="240" w:lineRule="auto"/>
              <w:ind w:left="676" w:hanging="323"/>
              <w:rPr>
                <w:rtl/>
              </w:rPr>
            </w:pPr>
            <w:r w:rsidRPr="00CB02F8">
              <w:rPr>
                <w:rFonts w:hint="eastAsia"/>
                <w:rtl/>
              </w:rPr>
              <w:t>הפסד</w:t>
            </w:r>
            <w:r w:rsidRPr="00CB02F8">
              <w:rPr>
                <w:rtl/>
              </w:rPr>
              <w:t xml:space="preserve"> </w:t>
            </w:r>
            <w:r w:rsidRPr="00CB02F8">
              <w:rPr>
                <w:rFonts w:hint="eastAsia"/>
                <w:rtl/>
              </w:rPr>
              <w:t>ממכירת</w:t>
            </w:r>
            <w:r w:rsidRPr="00CB02F8">
              <w:rPr>
                <w:rtl/>
              </w:rPr>
              <w:t xml:space="preserve"> </w:t>
            </w:r>
            <w:r w:rsidRPr="00CB02F8">
              <w:rPr>
                <w:rFonts w:hint="eastAsia"/>
                <w:rtl/>
              </w:rPr>
              <w:t>מניות</w:t>
            </w:r>
            <w:r w:rsidRPr="00CB02F8">
              <w:rPr>
                <w:rtl/>
              </w:rPr>
              <w:t xml:space="preserve"> </w:t>
            </w:r>
            <w:r w:rsidRPr="00CB02F8">
              <w:rPr>
                <w:rFonts w:hint="eastAsia"/>
                <w:rtl/>
              </w:rPr>
              <w:t>של</w:t>
            </w:r>
            <w:r w:rsidRPr="00CB02F8">
              <w:rPr>
                <w:rtl/>
              </w:rPr>
              <w:t xml:space="preserve"> </w:t>
            </w:r>
            <w:r w:rsidRPr="00CB02F8">
              <w:rPr>
                <w:rFonts w:hint="eastAsia"/>
                <w:rtl/>
              </w:rPr>
              <w:t>חברות</w:t>
            </w:r>
            <w:r w:rsidRPr="00CB02F8">
              <w:rPr>
                <w:rFonts w:hint="cs"/>
                <w:rtl/>
              </w:rPr>
              <w:t xml:space="preserve"> </w:t>
            </w:r>
            <w:r>
              <w:rPr>
                <w:rFonts w:hint="cs"/>
                <w:rtl/>
              </w:rPr>
              <w:t>מוחזקות</w:t>
            </w:r>
            <w:r w:rsidRPr="000D6704">
              <w:rPr>
                <w:vertAlign w:val="superscript"/>
                <w:rtl/>
              </w:rPr>
              <w:t>[</w:t>
            </w:r>
            <w:r w:rsidR="00D6656C" w:rsidRPr="000D6704">
              <w:rPr>
                <w:rFonts w:hint="cs"/>
                <w:vertAlign w:val="superscript"/>
                <w:rtl/>
              </w:rPr>
              <w:t>4</w:t>
            </w:r>
            <w:r w:rsidRPr="000D6704">
              <w:rPr>
                <w:vertAlign w:val="superscript"/>
                <w:rtl/>
              </w:rPr>
              <w:t>]</w:t>
            </w:r>
            <w:r w:rsidR="00604F4E" w:rsidRPr="000D6704">
              <w:rPr>
                <w:rFonts w:hint="cs"/>
                <w:vertAlign w:val="superscript"/>
                <w:rtl/>
              </w:rPr>
              <w:t>[</w:t>
            </w:r>
            <w:r w:rsidR="00D6656C" w:rsidRPr="000D6704">
              <w:rPr>
                <w:rFonts w:hint="cs"/>
                <w:vertAlign w:val="superscript"/>
                <w:rtl/>
              </w:rPr>
              <w:t>5</w:t>
            </w:r>
            <w:r w:rsidR="00604F4E" w:rsidRPr="000D6704">
              <w:rPr>
                <w:rFonts w:hint="cs"/>
                <w:vertAlign w:val="superscript"/>
                <w:rtl/>
              </w:rPr>
              <w:t>]</w:t>
            </w:r>
          </w:p>
        </w:tc>
        <w:tc>
          <w:tcPr>
            <w:tcW w:w="852" w:type="dxa"/>
            <w:tcBorders>
              <w:top w:val="nil"/>
              <w:left w:val="nil"/>
              <w:bottom w:val="nil"/>
              <w:right w:val="nil"/>
            </w:tcBorders>
            <w:vAlign w:val="bottom"/>
          </w:tcPr>
          <w:p w14:paraId="6C2A2262" w14:textId="77777777" w:rsidR="00946C9B" w:rsidRDefault="00946C9B">
            <w:pPr>
              <w:pStyle w:val="-0"/>
              <w:spacing w:line="240" w:lineRule="auto"/>
              <w:rPr>
                <w:rtl/>
              </w:rPr>
            </w:pPr>
            <w:r w:rsidRPr="00CB02F8">
              <w:rPr>
                <w:rtl/>
              </w:rPr>
              <w:t>0</w:t>
            </w:r>
          </w:p>
        </w:tc>
        <w:tc>
          <w:tcPr>
            <w:tcW w:w="1132" w:type="dxa"/>
            <w:tcBorders>
              <w:top w:val="nil"/>
              <w:left w:val="nil"/>
              <w:bottom w:val="nil"/>
              <w:right w:val="nil"/>
            </w:tcBorders>
            <w:vAlign w:val="bottom"/>
          </w:tcPr>
          <w:p w14:paraId="27760756" w14:textId="77777777" w:rsidR="00946C9B" w:rsidRDefault="00946C9B">
            <w:pPr>
              <w:pStyle w:val="-0"/>
              <w:spacing w:line="240" w:lineRule="auto"/>
              <w:rPr>
                <w:rtl/>
              </w:rPr>
            </w:pPr>
            <w:r w:rsidRPr="00CB02F8">
              <w:rPr>
                <w:rtl/>
              </w:rPr>
              <w:t>0</w:t>
            </w:r>
          </w:p>
        </w:tc>
        <w:tc>
          <w:tcPr>
            <w:tcW w:w="952" w:type="dxa"/>
            <w:tcBorders>
              <w:top w:val="nil"/>
              <w:left w:val="nil"/>
              <w:bottom w:val="nil"/>
              <w:right w:val="nil"/>
            </w:tcBorders>
            <w:vAlign w:val="bottom"/>
          </w:tcPr>
          <w:p w14:paraId="76042829" w14:textId="77777777" w:rsidR="00946C9B" w:rsidRDefault="00946C9B">
            <w:pPr>
              <w:pStyle w:val="-0"/>
              <w:spacing w:line="240" w:lineRule="auto"/>
              <w:rPr>
                <w:rtl/>
              </w:rPr>
            </w:pPr>
            <w:r w:rsidRPr="00CB02F8">
              <w:rPr>
                <w:rtl/>
              </w:rPr>
              <w:t>0</w:t>
            </w:r>
          </w:p>
        </w:tc>
        <w:tc>
          <w:tcPr>
            <w:tcW w:w="1071" w:type="dxa"/>
            <w:tcBorders>
              <w:top w:val="nil"/>
              <w:left w:val="nil"/>
              <w:bottom w:val="nil"/>
              <w:right w:val="nil"/>
            </w:tcBorders>
            <w:vAlign w:val="bottom"/>
          </w:tcPr>
          <w:p w14:paraId="18859665" w14:textId="77777777" w:rsidR="00946C9B" w:rsidRDefault="00946C9B">
            <w:pPr>
              <w:pStyle w:val="-0"/>
              <w:spacing w:line="240" w:lineRule="auto"/>
              <w:rPr>
                <w:rtl/>
              </w:rPr>
            </w:pPr>
            <w:r w:rsidRPr="00CB02F8">
              <w:rPr>
                <w:rtl/>
              </w:rPr>
              <w:t>0</w:t>
            </w:r>
          </w:p>
        </w:tc>
      </w:tr>
      <w:tr w:rsidR="00D0470C" w:rsidRPr="00CB02F8" w14:paraId="02E6BC69" w14:textId="77777777" w:rsidTr="006A357B">
        <w:trPr>
          <w:gridAfter w:val="1"/>
          <w:wAfter w:w="112" w:type="dxa"/>
          <w:trHeight w:val="259"/>
        </w:trPr>
        <w:tc>
          <w:tcPr>
            <w:tcW w:w="1055" w:type="dxa"/>
            <w:tcBorders>
              <w:top w:val="nil"/>
              <w:left w:val="nil"/>
              <w:bottom w:val="nil"/>
              <w:right w:val="nil"/>
            </w:tcBorders>
          </w:tcPr>
          <w:p w14:paraId="64E495A1" w14:textId="77777777" w:rsidR="00F32A2A" w:rsidRDefault="00F32A2A">
            <w:pPr>
              <w:pStyle w:val="-0"/>
              <w:spacing w:line="240" w:lineRule="auto"/>
              <w:ind w:left="0" w:firstLine="0"/>
              <w:rPr>
                <w:sz w:val="14"/>
                <w:szCs w:val="14"/>
                <w:rtl/>
              </w:rPr>
            </w:pPr>
          </w:p>
        </w:tc>
        <w:tc>
          <w:tcPr>
            <w:tcW w:w="4817" w:type="dxa"/>
            <w:gridSpan w:val="2"/>
            <w:tcBorders>
              <w:top w:val="nil"/>
              <w:left w:val="nil"/>
              <w:bottom w:val="nil"/>
              <w:right w:val="nil"/>
            </w:tcBorders>
            <w:vAlign w:val="bottom"/>
          </w:tcPr>
          <w:p w14:paraId="304D37A7" w14:textId="77777777" w:rsidR="00F32A2A" w:rsidRDefault="00D0470C" w:rsidP="00EC46DF">
            <w:pPr>
              <w:pStyle w:val="-b"/>
              <w:spacing w:line="240" w:lineRule="auto"/>
              <w:ind w:left="676" w:hanging="321"/>
              <w:rPr>
                <w:rtl/>
              </w:rPr>
            </w:pPr>
            <w:r w:rsidRPr="00CB02F8">
              <w:rPr>
                <w:rFonts w:hint="eastAsia"/>
                <w:rtl/>
              </w:rPr>
              <w:t>סך</w:t>
            </w:r>
            <w:r w:rsidRPr="00CB02F8">
              <w:rPr>
                <w:rtl/>
              </w:rPr>
              <w:t xml:space="preserve"> </w:t>
            </w:r>
            <w:r w:rsidRPr="00CB02F8">
              <w:rPr>
                <w:rFonts w:hint="eastAsia"/>
                <w:rtl/>
              </w:rPr>
              <w:t>הכל</w:t>
            </w:r>
            <w:r w:rsidRPr="00CB02F8">
              <w:rPr>
                <w:rtl/>
              </w:rPr>
              <w:t xml:space="preserve"> </w:t>
            </w:r>
            <w:r w:rsidRPr="00CB02F8">
              <w:rPr>
                <w:rFonts w:hint="eastAsia"/>
                <w:rtl/>
              </w:rPr>
              <w:t>מהשקעה</w:t>
            </w:r>
            <w:r w:rsidRPr="00CB02F8">
              <w:rPr>
                <w:rtl/>
              </w:rPr>
              <w:t xml:space="preserve"> </w:t>
            </w:r>
            <w:r w:rsidRPr="00CB02F8">
              <w:rPr>
                <w:rFonts w:hint="eastAsia"/>
                <w:rtl/>
              </w:rPr>
              <w:t>במניות</w:t>
            </w:r>
          </w:p>
        </w:tc>
        <w:tc>
          <w:tcPr>
            <w:tcW w:w="852" w:type="dxa"/>
            <w:tcBorders>
              <w:top w:val="nil"/>
              <w:left w:val="nil"/>
              <w:bottom w:val="nil"/>
              <w:right w:val="nil"/>
            </w:tcBorders>
            <w:vAlign w:val="bottom"/>
          </w:tcPr>
          <w:p w14:paraId="1D5CC64E" w14:textId="77777777" w:rsidR="00F32A2A" w:rsidRDefault="00D0470C">
            <w:pPr>
              <w:pStyle w:val="-0"/>
              <w:pBdr>
                <w:top w:val="single" w:sz="4" w:space="1" w:color="auto"/>
              </w:pBdr>
              <w:spacing w:line="240" w:lineRule="auto"/>
              <w:rPr>
                <w:b/>
                <w:bCs/>
                <w:rtl/>
              </w:rPr>
            </w:pPr>
            <w:r w:rsidRPr="00CB02F8">
              <w:rPr>
                <w:b/>
                <w:bCs/>
                <w:rtl/>
              </w:rPr>
              <w:t>0</w:t>
            </w:r>
          </w:p>
        </w:tc>
        <w:tc>
          <w:tcPr>
            <w:tcW w:w="1132" w:type="dxa"/>
            <w:tcBorders>
              <w:top w:val="nil"/>
              <w:left w:val="nil"/>
              <w:bottom w:val="nil"/>
              <w:right w:val="nil"/>
            </w:tcBorders>
            <w:vAlign w:val="bottom"/>
          </w:tcPr>
          <w:p w14:paraId="0B306080" w14:textId="77777777" w:rsidR="00F32A2A" w:rsidRDefault="00D0470C">
            <w:pPr>
              <w:pStyle w:val="-0"/>
              <w:pBdr>
                <w:top w:val="single" w:sz="4" w:space="1" w:color="auto"/>
              </w:pBdr>
              <w:spacing w:line="240" w:lineRule="auto"/>
              <w:rPr>
                <w:b/>
                <w:bCs/>
                <w:rtl/>
              </w:rPr>
            </w:pPr>
            <w:r w:rsidRPr="00CB02F8">
              <w:rPr>
                <w:b/>
                <w:bCs/>
                <w:rtl/>
              </w:rPr>
              <w:t>0</w:t>
            </w:r>
          </w:p>
        </w:tc>
        <w:tc>
          <w:tcPr>
            <w:tcW w:w="952" w:type="dxa"/>
            <w:tcBorders>
              <w:top w:val="nil"/>
              <w:left w:val="nil"/>
              <w:bottom w:val="nil"/>
              <w:right w:val="nil"/>
            </w:tcBorders>
            <w:vAlign w:val="bottom"/>
          </w:tcPr>
          <w:p w14:paraId="59F2D0E3" w14:textId="77777777" w:rsidR="00F32A2A" w:rsidRDefault="00D0470C">
            <w:pPr>
              <w:pStyle w:val="-0"/>
              <w:pBdr>
                <w:top w:val="single" w:sz="4" w:space="1" w:color="auto"/>
              </w:pBdr>
              <w:spacing w:line="240" w:lineRule="auto"/>
              <w:rPr>
                <w:b/>
                <w:bCs/>
                <w:rtl/>
              </w:rPr>
            </w:pPr>
            <w:r w:rsidRPr="00CB02F8">
              <w:rPr>
                <w:b/>
                <w:bCs/>
                <w:rtl/>
              </w:rPr>
              <w:t>0</w:t>
            </w:r>
          </w:p>
        </w:tc>
        <w:tc>
          <w:tcPr>
            <w:tcW w:w="1071" w:type="dxa"/>
            <w:tcBorders>
              <w:top w:val="nil"/>
              <w:left w:val="nil"/>
              <w:bottom w:val="nil"/>
              <w:right w:val="nil"/>
            </w:tcBorders>
            <w:vAlign w:val="bottom"/>
          </w:tcPr>
          <w:p w14:paraId="53446BC1" w14:textId="77777777" w:rsidR="00F32A2A" w:rsidRDefault="00D0470C">
            <w:pPr>
              <w:pStyle w:val="-0"/>
              <w:pBdr>
                <w:top w:val="single" w:sz="4" w:space="1" w:color="auto"/>
              </w:pBdr>
              <w:spacing w:line="240" w:lineRule="auto"/>
              <w:rPr>
                <w:b/>
                <w:bCs/>
                <w:rtl/>
              </w:rPr>
            </w:pPr>
            <w:r w:rsidRPr="00CB02F8">
              <w:rPr>
                <w:b/>
                <w:bCs/>
                <w:rtl/>
              </w:rPr>
              <w:t>0</w:t>
            </w:r>
          </w:p>
        </w:tc>
      </w:tr>
      <w:tr w:rsidR="00D0470C" w:rsidRPr="00CB02F8" w14:paraId="0E422CEF" w14:textId="77777777" w:rsidTr="00277071">
        <w:trPr>
          <w:gridAfter w:val="1"/>
          <w:wAfter w:w="112" w:type="dxa"/>
          <w:trHeight w:hRule="exact" w:val="72"/>
        </w:trPr>
        <w:tc>
          <w:tcPr>
            <w:tcW w:w="1055" w:type="dxa"/>
            <w:tcBorders>
              <w:top w:val="nil"/>
              <w:left w:val="nil"/>
              <w:bottom w:val="nil"/>
              <w:right w:val="nil"/>
            </w:tcBorders>
          </w:tcPr>
          <w:p w14:paraId="68D6ADD5" w14:textId="77777777" w:rsidR="00D0470C" w:rsidRDefault="00D0470C" w:rsidP="006F3019">
            <w:pPr>
              <w:pStyle w:val="-0"/>
              <w:ind w:left="0" w:firstLine="0"/>
              <w:rPr>
                <w:sz w:val="14"/>
                <w:szCs w:val="14"/>
                <w:rtl/>
              </w:rPr>
            </w:pPr>
          </w:p>
        </w:tc>
        <w:tc>
          <w:tcPr>
            <w:tcW w:w="4817" w:type="dxa"/>
            <w:gridSpan w:val="2"/>
            <w:tcBorders>
              <w:top w:val="nil"/>
              <w:left w:val="nil"/>
              <w:bottom w:val="nil"/>
              <w:right w:val="nil"/>
            </w:tcBorders>
            <w:vAlign w:val="bottom"/>
          </w:tcPr>
          <w:p w14:paraId="0ED7AC3C" w14:textId="77777777" w:rsidR="00D0470C" w:rsidRPr="00CB02F8" w:rsidRDefault="00D0470C" w:rsidP="00AD3EEB">
            <w:pPr>
              <w:pStyle w:val="-0"/>
              <w:spacing w:line="240" w:lineRule="auto"/>
              <w:ind w:left="676" w:hanging="460"/>
              <w:rPr>
                <w:rtl/>
              </w:rPr>
            </w:pPr>
          </w:p>
        </w:tc>
        <w:tc>
          <w:tcPr>
            <w:tcW w:w="852" w:type="dxa"/>
            <w:tcBorders>
              <w:top w:val="nil"/>
              <w:left w:val="nil"/>
              <w:bottom w:val="nil"/>
              <w:right w:val="nil"/>
            </w:tcBorders>
            <w:vAlign w:val="bottom"/>
          </w:tcPr>
          <w:p w14:paraId="02F73AD7" w14:textId="77777777" w:rsidR="00D0470C" w:rsidRPr="00CB02F8" w:rsidRDefault="00D0470C" w:rsidP="006F3019">
            <w:pPr>
              <w:pStyle w:val="-0"/>
              <w:rPr>
                <w:rtl/>
              </w:rPr>
            </w:pPr>
          </w:p>
        </w:tc>
        <w:tc>
          <w:tcPr>
            <w:tcW w:w="1132" w:type="dxa"/>
            <w:tcBorders>
              <w:top w:val="nil"/>
              <w:left w:val="nil"/>
              <w:bottom w:val="nil"/>
              <w:right w:val="nil"/>
            </w:tcBorders>
            <w:vAlign w:val="bottom"/>
          </w:tcPr>
          <w:p w14:paraId="6198F0B1" w14:textId="77777777" w:rsidR="00D0470C" w:rsidRPr="00CB02F8" w:rsidRDefault="00D0470C" w:rsidP="006F3019">
            <w:pPr>
              <w:pStyle w:val="-0"/>
              <w:rPr>
                <w:rtl/>
              </w:rPr>
            </w:pPr>
          </w:p>
        </w:tc>
        <w:tc>
          <w:tcPr>
            <w:tcW w:w="952" w:type="dxa"/>
            <w:tcBorders>
              <w:top w:val="nil"/>
              <w:left w:val="nil"/>
              <w:bottom w:val="nil"/>
              <w:right w:val="nil"/>
            </w:tcBorders>
            <w:vAlign w:val="bottom"/>
          </w:tcPr>
          <w:p w14:paraId="4356A50C" w14:textId="77777777" w:rsidR="00D0470C" w:rsidRPr="00CB02F8" w:rsidRDefault="00D0470C" w:rsidP="006F3019">
            <w:pPr>
              <w:pStyle w:val="-0"/>
              <w:rPr>
                <w:rtl/>
              </w:rPr>
            </w:pPr>
          </w:p>
        </w:tc>
        <w:tc>
          <w:tcPr>
            <w:tcW w:w="1071" w:type="dxa"/>
            <w:tcBorders>
              <w:top w:val="nil"/>
              <w:left w:val="nil"/>
              <w:bottom w:val="nil"/>
              <w:right w:val="nil"/>
            </w:tcBorders>
            <w:vAlign w:val="bottom"/>
          </w:tcPr>
          <w:p w14:paraId="6E0699AB" w14:textId="77777777" w:rsidR="00D0470C" w:rsidRPr="00CB02F8" w:rsidRDefault="00D0470C" w:rsidP="006F3019">
            <w:pPr>
              <w:pStyle w:val="-0"/>
              <w:rPr>
                <w:rtl/>
              </w:rPr>
            </w:pPr>
          </w:p>
        </w:tc>
      </w:tr>
      <w:tr w:rsidR="00D0470C" w:rsidRPr="00CB02F8" w14:paraId="0C8C42FC" w14:textId="77777777" w:rsidTr="00277071">
        <w:trPr>
          <w:gridAfter w:val="1"/>
          <w:wAfter w:w="112" w:type="dxa"/>
        </w:trPr>
        <w:tc>
          <w:tcPr>
            <w:tcW w:w="1055" w:type="dxa"/>
            <w:tcBorders>
              <w:top w:val="nil"/>
              <w:left w:val="nil"/>
              <w:bottom w:val="nil"/>
              <w:right w:val="nil"/>
            </w:tcBorders>
          </w:tcPr>
          <w:p w14:paraId="1BC29163" w14:textId="535241A2" w:rsidR="00F32A2A" w:rsidRDefault="00F32A2A">
            <w:pPr>
              <w:pStyle w:val="-0"/>
              <w:spacing w:before="60" w:line="240" w:lineRule="auto"/>
              <w:ind w:left="0" w:firstLine="0"/>
              <w:rPr>
                <w:sz w:val="14"/>
                <w:szCs w:val="14"/>
                <w:rtl/>
              </w:rPr>
            </w:pPr>
          </w:p>
        </w:tc>
        <w:tc>
          <w:tcPr>
            <w:tcW w:w="4817" w:type="dxa"/>
            <w:gridSpan w:val="2"/>
            <w:tcBorders>
              <w:top w:val="nil"/>
              <w:left w:val="nil"/>
              <w:bottom w:val="nil"/>
              <w:right w:val="nil"/>
            </w:tcBorders>
            <w:vAlign w:val="bottom"/>
          </w:tcPr>
          <w:p w14:paraId="12503E29" w14:textId="77777777" w:rsidR="00D0470C" w:rsidRPr="00CB02F8" w:rsidRDefault="00D0470C" w:rsidP="00277071">
            <w:pPr>
              <w:pStyle w:val="-0"/>
              <w:spacing w:line="240" w:lineRule="auto"/>
              <w:ind w:left="353" w:hanging="283"/>
              <w:rPr>
                <w:b/>
                <w:bCs/>
                <w:rtl/>
              </w:rPr>
            </w:pPr>
            <w:r w:rsidRPr="00CB02F8">
              <w:rPr>
                <w:b/>
                <w:bCs/>
                <w:rtl/>
              </w:rPr>
              <w:t xml:space="preserve">5. </w:t>
            </w:r>
            <w:r w:rsidRPr="00CB02F8">
              <w:rPr>
                <w:b/>
                <w:bCs/>
                <w:rtl/>
              </w:rPr>
              <w:tab/>
            </w:r>
            <w:r w:rsidRPr="00CB02F8">
              <w:rPr>
                <w:rFonts w:hint="eastAsia"/>
                <w:b/>
                <w:bCs/>
                <w:rtl/>
              </w:rPr>
              <w:t>רווחים</w:t>
            </w:r>
            <w:r w:rsidRPr="00CB02F8">
              <w:rPr>
                <w:b/>
                <w:bCs/>
                <w:rtl/>
              </w:rPr>
              <w:t xml:space="preserve"> (הפסדים) </w:t>
            </w:r>
            <w:r w:rsidRPr="00CB02F8">
              <w:rPr>
                <w:rFonts w:hint="eastAsia"/>
                <w:b/>
                <w:bCs/>
                <w:rtl/>
              </w:rPr>
              <w:t>נטו</w:t>
            </w:r>
            <w:r w:rsidRPr="00CB02F8">
              <w:rPr>
                <w:b/>
                <w:bCs/>
                <w:rtl/>
              </w:rPr>
              <w:t xml:space="preserve"> </w:t>
            </w:r>
            <w:r w:rsidRPr="00CB02F8">
              <w:rPr>
                <w:rFonts w:hint="eastAsia"/>
                <w:b/>
                <w:bCs/>
                <w:rtl/>
              </w:rPr>
              <w:t>בגין</w:t>
            </w:r>
            <w:r w:rsidRPr="00CB02F8">
              <w:rPr>
                <w:b/>
                <w:bCs/>
                <w:rtl/>
              </w:rPr>
              <w:t xml:space="preserve"> </w:t>
            </w:r>
            <w:r w:rsidRPr="00CB02F8">
              <w:rPr>
                <w:rFonts w:hint="eastAsia"/>
                <w:b/>
                <w:bCs/>
                <w:rtl/>
              </w:rPr>
              <w:t>עסקאות</w:t>
            </w:r>
            <w:r w:rsidRPr="00CB02F8">
              <w:rPr>
                <w:b/>
                <w:bCs/>
                <w:rtl/>
              </w:rPr>
              <w:t xml:space="preserve"> </w:t>
            </w:r>
            <w:r w:rsidRPr="00CB02F8">
              <w:rPr>
                <w:rFonts w:hint="eastAsia"/>
                <w:b/>
                <w:bCs/>
                <w:rtl/>
              </w:rPr>
              <w:t>איגוח</w:t>
            </w:r>
          </w:p>
        </w:tc>
        <w:tc>
          <w:tcPr>
            <w:tcW w:w="852" w:type="dxa"/>
            <w:tcBorders>
              <w:top w:val="nil"/>
              <w:left w:val="nil"/>
              <w:bottom w:val="nil"/>
              <w:right w:val="nil"/>
            </w:tcBorders>
            <w:vAlign w:val="bottom"/>
          </w:tcPr>
          <w:p w14:paraId="2B6D7167" w14:textId="77777777" w:rsidR="00D0470C" w:rsidRPr="00CB02F8" w:rsidRDefault="00D0470C" w:rsidP="006F3019">
            <w:pPr>
              <w:pStyle w:val="-0"/>
              <w:rPr>
                <w:b/>
                <w:bCs/>
                <w:rtl/>
              </w:rPr>
            </w:pPr>
            <w:r w:rsidRPr="00CB02F8">
              <w:rPr>
                <w:b/>
                <w:bCs/>
                <w:rtl/>
              </w:rPr>
              <w:t>0</w:t>
            </w:r>
          </w:p>
        </w:tc>
        <w:tc>
          <w:tcPr>
            <w:tcW w:w="1132" w:type="dxa"/>
            <w:tcBorders>
              <w:top w:val="nil"/>
              <w:left w:val="nil"/>
              <w:bottom w:val="nil"/>
              <w:right w:val="nil"/>
            </w:tcBorders>
            <w:vAlign w:val="bottom"/>
          </w:tcPr>
          <w:p w14:paraId="20A45356" w14:textId="77777777" w:rsidR="00D0470C" w:rsidRPr="00CB02F8" w:rsidRDefault="00D0470C" w:rsidP="006F3019">
            <w:pPr>
              <w:pStyle w:val="-0"/>
              <w:rPr>
                <w:b/>
                <w:bCs/>
                <w:rtl/>
              </w:rPr>
            </w:pPr>
            <w:r w:rsidRPr="00CB02F8">
              <w:rPr>
                <w:b/>
                <w:bCs/>
                <w:rtl/>
              </w:rPr>
              <w:t>0</w:t>
            </w:r>
          </w:p>
        </w:tc>
        <w:tc>
          <w:tcPr>
            <w:tcW w:w="952" w:type="dxa"/>
            <w:tcBorders>
              <w:top w:val="nil"/>
              <w:left w:val="nil"/>
              <w:bottom w:val="nil"/>
              <w:right w:val="nil"/>
            </w:tcBorders>
            <w:vAlign w:val="bottom"/>
          </w:tcPr>
          <w:p w14:paraId="5B1DD8B1" w14:textId="77777777" w:rsidR="00D0470C" w:rsidRPr="00CB02F8" w:rsidRDefault="00D0470C" w:rsidP="006F3019">
            <w:pPr>
              <w:pStyle w:val="-0"/>
              <w:rPr>
                <w:b/>
                <w:bCs/>
                <w:rtl/>
              </w:rPr>
            </w:pPr>
            <w:r w:rsidRPr="00CB02F8">
              <w:rPr>
                <w:b/>
                <w:bCs/>
                <w:rtl/>
              </w:rPr>
              <w:t>0</w:t>
            </w:r>
          </w:p>
        </w:tc>
        <w:tc>
          <w:tcPr>
            <w:tcW w:w="1071" w:type="dxa"/>
            <w:tcBorders>
              <w:top w:val="nil"/>
              <w:left w:val="nil"/>
              <w:bottom w:val="nil"/>
              <w:right w:val="nil"/>
            </w:tcBorders>
            <w:vAlign w:val="bottom"/>
          </w:tcPr>
          <w:p w14:paraId="230EDEF6" w14:textId="77777777" w:rsidR="00D0470C" w:rsidRPr="00CB02F8" w:rsidRDefault="00D0470C" w:rsidP="006F3019">
            <w:pPr>
              <w:pStyle w:val="-0"/>
              <w:rPr>
                <w:b/>
                <w:bCs/>
                <w:rtl/>
              </w:rPr>
            </w:pPr>
            <w:r w:rsidRPr="00CB02F8">
              <w:rPr>
                <w:b/>
                <w:bCs/>
                <w:rtl/>
              </w:rPr>
              <w:t>0</w:t>
            </w:r>
          </w:p>
        </w:tc>
      </w:tr>
      <w:tr w:rsidR="00D0470C" w:rsidRPr="00CB02F8" w14:paraId="30E9A580" w14:textId="77777777" w:rsidTr="00277071">
        <w:trPr>
          <w:gridAfter w:val="1"/>
          <w:wAfter w:w="112" w:type="dxa"/>
          <w:trHeight w:hRule="exact" w:val="72"/>
        </w:trPr>
        <w:tc>
          <w:tcPr>
            <w:tcW w:w="1055" w:type="dxa"/>
            <w:tcBorders>
              <w:top w:val="nil"/>
              <w:left w:val="nil"/>
              <w:bottom w:val="nil"/>
              <w:right w:val="nil"/>
            </w:tcBorders>
          </w:tcPr>
          <w:p w14:paraId="7BF27930" w14:textId="77777777" w:rsidR="00D0470C" w:rsidRDefault="00D0470C" w:rsidP="006F3019">
            <w:pPr>
              <w:pStyle w:val="-0"/>
              <w:ind w:left="0" w:firstLine="0"/>
              <w:rPr>
                <w:sz w:val="14"/>
                <w:szCs w:val="14"/>
                <w:rtl/>
              </w:rPr>
            </w:pPr>
          </w:p>
        </w:tc>
        <w:tc>
          <w:tcPr>
            <w:tcW w:w="4817" w:type="dxa"/>
            <w:gridSpan w:val="2"/>
            <w:tcBorders>
              <w:top w:val="nil"/>
              <w:left w:val="nil"/>
              <w:bottom w:val="nil"/>
              <w:right w:val="nil"/>
            </w:tcBorders>
            <w:vAlign w:val="bottom"/>
          </w:tcPr>
          <w:p w14:paraId="202016C2" w14:textId="77777777" w:rsidR="00D0470C" w:rsidRPr="00CB02F8" w:rsidRDefault="00D0470C" w:rsidP="00AD3EEB">
            <w:pPr>
              <w:pStyle w:val="-0"/>
              <w:spacing w:line="240" w:lineRule="auto"/>
              <w:ind w:left="676" w:hanging="460"/>
              <w:rPr>
                <w:rtl/>
              </w:rPr>
            </w:pPr>
          </w:p>
        </w:tc>
        <w:tc>
          <w:tcPr>
            <w:tcW w:w="852" w:type="dxa"/>
            <w:tcBorders>
              <w:top w:val="nil"/>
              <w:left w:val="nil"/>
              <w:bottom w:val="nil"/>
              <w:right w:val="nil"/>
            </w:tcBorders>
            <w:vAlign w:val="bottom"/>
          </w:tcPr>
          <w:p w14:paraId="0A15CEBF" w14:textId="77777777" w:rsidR="00D0470C" w:rsidRPr="00CB02F8" w:rsidRDefault="00D0470C" w:rsidP="006F3019">
            <w:pPr>
              <w:pStyle w:val="-0"/>
              <w:rPr>
                <w:rtl/>
              </w:rPr>
            </w:pPr>
          </w:p>
        </w:tc>
        <w:tc>
          <w:tcPr>
            <w:tcW w:w="1132" w:type="dxa"/>
            <w:tcBorders>
              <w:top w:val="nil"/>
              <w:left w:val="nil"/>
              <w:bottom w:val="nil"/>
              <w:right w:val="nil"/>
            </w:tcBorders>
            <w:vAlign w:val="bottom"/>
          </w:tcPr>
          <w:p w14:paraId="01A926B2" w14:textId="77777777" w:rsidR="00D0470C" w:rsidRPr="00CB02F8" w:rsidRDefault="00D0470C" w:rsidP="006F3019">
            <w:pPr>
              <w:pStyle w:val="-0"/>
              <w:rPr>
                <w:rtl/>
              </w:rPr>
            </w:pPr>
          </w:p>
        </w:tc>
        <w:tc>
          <w:tcPr>
            <w:tcW w:w="952" w:type="dxa"/>
            <w:tcBorders>
              <w:top w:val="nil"/>
              <w:left w:val="nil"/>
              <w:bottom w:val="nil"/>
              <w:right w:val="nil"/>
            </w:tcBorders>
            <w:vAlign w:val="bottom"/>
          </w:tcPr>
          <w:p w14:paraId="513E1BB5" w14:textId="77777777" w:rsidR="00D0470C" w:rsidRPr="00CB02F8" w:rsidRDefault="00D0470C" w:rsidP="006F3019">
            <w:pPr>
              <w:pStyle w:val="-0"/>
              <w:rPr>
                <w:rtl/>
              </w:rPr>
            </w:pPr>
          </w:p>
        </w:tc>
        <w:tc>
          <w:tcPr>
            <w:tcW w:w="1071" w:type="dxa"/>
            <w:tcBorders>
              <w:top w:val="nil"/>
              <w:left w:val="nil"/>
              <w:bottom w:val="nil"/>
              <w:right w:val="nil"/>
            </w:tcBorders>
            <w:vAlign w:val="bottom"/>
          </w:tcPr>
          <w:p w14:paraId="56B9CC90" w14:textId="77777777" w:rsidR="00D0470C" w:rsidRPr="00CB02F8" w:rsidRDefault="00D0470C" w:rsidP="006F3019">
            <w:pPr>
              <w:pStyle w:val="-0"/>
              <w:rPr>
                <w:rtl/>
              </w:rPr>
            </w:pPr>
          </w:p>
        </w:tc>
      </w:tr>
      <w:tr w:rsidR="00D0470C" w:rsidRPr="00CB02F8" w14:paraId="4696F869" w14:textId="77777777" w:rsidTr="00277071">
        <w:trPr>
          <w:gridAfter w:val="1"/>
          <w:wAfter w:w="112" w:type="dxa"/>
        </w:trPr>
        <w:tc>
          <w:tcPr>
            <w:tcW w:w="1055" w:type="dxa"/>
            <w:tcBorders>
              <w:top w:val="nil"/>
              <w:left w:val="nil"/>
              <w:bottom w:val="nil"/>
              <w:right w:val="nil"/>
            </w:tcBorders>
          </w:tcPr>
          <w:p w14:paraId="0E7EFCA4" w14:textId="15ACD11A" w:rsidR="00F32A2A" w:rsidRDefault="00F32A2A">
            <w:pPr>
              <w:pStyle w:val="-0"/>
              <w:spacing w:before="60" w:line="240" w:lineRule="auto"/>
              <w:ind w:left="0" w:firstLine="0"/>
              <w:rPr>
                <w:sz w:val="14"/>
                <w:szCs w:val="14"/>
                <w:rtl/>
              </w:rPr>
            </w:pPr>
          </w:p>
        </w:tc>
        <w:tc>
          <w:tcPr>
            <w:tcW w:w="4817" w:type="dxa"/>
            <w:gridSpan w:val="2"/>
            <w:tcBorders>
              <w:top w:val="nil"/>
              <w:left w:val="nil"/>
              <w:bottom w:val="nil"/>
              <w:right w:val="nil"/>
            </w:tcBorders>
            <w:vAlign w:val="bottom"/>
          </w:tcPr>
          <w:p w14:paraId="38AECA96" w14:textId="77777777" w:rsidR="00D0470C" w:rsidRPr="00CB02F8" w:rsidRDefault="00D0470C" w:rsidP="00277071">
            <w:pPr>
              <w:pStyle w:val="-0"/>
              <w:spacing w:line="240" w:lineRule="auto"/>
              <w:ind w:left="353" w:hanging="283"/>
              <w:rPr>
                <w:b/>
                <w:bCs/>
                <w:rtl/>
              </w:rPr>
            </w:pPr>
            <w:r w:rsidRPr="00CB02F8">
              <w:rPr>
                <w:b/>
                <w:bCs/>
                <w:rtl/>
              </w:rPr>
              <w:t xml:space="preserve">6. </w:t>
            </w:r>
            <w:r w:rsidRPr="00CB02F8">
              <w:rPr>
                <w:b/>
                <w:bCs/>
                <w:rtl/>
              </w:rPr>
              <w:tab/>
            </w:r>
            <w:r w:rsidRPr="00CB02F8">
              <w:rPr>
                <w:rFonts w:hint="eastAsia"/>
                <w:b/>
                <w:bCs/>
                <w:rtl/>
              </w:rPr>
              <w:t>רווחים</w:t>
            </w:r>
            <w:r w:rsidRPr="00CB02F8">
              <w:rPr>
                <w:b/>
                <w:bCs/>
                <w:rtl/>
              </w:rPr>
              <w:t xml:space="preserve"> (הפסדים) נטו בגין הלוואות שנמכרו </w:t>
            </w:r>
          </w:p>
        </w:tc>
        <w:tc>
          <w:tcPr>
            <w:tcW w:w="852" w:type="dxa"/>
            <w:tcBorders>
              <w:top w:val="nil"/>
              <w:left w:val="nil"/>
              <w:bottom w:val="nil"/>
              <w:right w:val="nil"/>
            </w:tcBorders>
            <w:vAlign w:val="bottom"/>
          </w:tcPr>
          <w:p w14:paraId="249EC060" w14:textId="77777777" w:rsidR="00F32A2A" w:rsidRDefault="00D0470C">
            <w:pPr>
              <w:pStyle w:val="-0"/>
              <w:pBdr>
                <w:bottom w:val="single" w:sz="4" w:space="1" w:color="auto"/>
              </w:pBdr>
              <w:rPr>
                <w:b/>
                <w:bCs/>
                <w:rtl/>
              </w:rPr>
            </w:pPr>
            <w:r w:rsidRPr="00CB02F8">
              <w:rPr>
                <w:b/>
                <w:bCs/>
                <w:rtl/>
              </w:rPr>
              <w:t>0</w:t>
            </w:r>
          </w:p>
        </w:tc>
        <w:tc>
          <w:tcPr>
            <w:tcW w:w="1132" w:type="dxa"/>
            <w:tcBorders>
              <w:top w:val="nil"/>
              <w:left w:val="nil"/>
              <w:bottom w:val="nil"/>
              <w:right w:val="nil"/>
            </w:tcBorders>
            <w:vAlign w:val="bottom"/>
          </w:tcPr>
          <w:p w14:paraId="7946DB38" w14:textId="77777777" w:rsidR="00F32A2A" w:rsidRDefault="00D0470C">
            <w:pPr>
              <w:pStyle w:val="-0"/>
              <w:pBdr>
                <w:bottom w:val="single" w:sz="4" w:space="1" w:color="auto"/>
              </w:pBdr>
              <w:rPr>
                <w:b/>
                <w:bCs/>
                <w:rtl/>
              </w:rPr>
            </w:pPr>
            <w:r w:rsidRPr="00CB02F8">
              <w:rPr>
                <w:b/>
                <w:bCs/>
                <w:rtl/>
              </w:rPr>
              <w:t>0</w:t>
            </w:r>
          </w:p>
        </w:tc>
        <w:tc>
          <w:tcPr>
            <w:tcW w:w="952" w:type="dxa"/>
            <w:tcBorders>
              <w:top w:val="nil"/>
              <w:left w:val="nil"/>
              <w:bottom w:val="nil"/>
              <w:right w:val="nil"/>
            </w:tcBorders>
            <w:vAlign w:val="bottom"/>
          </w:tcPr>
          <w:p w14:paraId="2E54E3F6" w14:textId="77777777" w:rsidR="00F32A2A" w:rsidRDefault="00D0470C">
            <w:pPr>
              <w:pStyle w:val="-0"/>
              <w:pBdr>
                <w:bottom w:val="single" w:sz="4" w:space="1" w:color="auto"/>
              </w:pBdr>
              <w:rPr>
                <w:b/>
                <w:bCs/>
                <w:rtl/>
              </w:rPr>
            </w:pPr>
            <w:r w:rsidRPr="00CB02F8">
              <w:rPr>
                <w:b/>
                <w:bCs/>
                <w:rtl/>
              </w:rPr>
              <w:t>0</w:t>
            </w:r>
          </w:p>
        </w:tc>
        <w:tc>
          <w:tcPr>
            <w:tcW w:w="1071" w:type="dxa"/>
            <w:tcBorders>
              <w:top w:val="nil"/>
              <w:left w:val="nil"/>
              <w:bottom w:val="nil"/>
              <w:right w:val="nil"/>
            </w:tcBorders>
            <w:vAlign w:val="bottom"/>
          </w:tcPr>
          <w:p w14:paraId="09BA2E82" w14:textId="77777777" w:rsidR="00F32A2A" w:rsidRDefault="00D0470C">
            <w:pPr>
              <w:pStyle w:val="-0"/>
              <w:pBdr>
                <w:bottom w:val="single" w:sz="4" w:space="1" w:color="auto"/>
              </w:pBdr>
              <w:rPr>
                <w:b/>
                <w:bCs/>
                <w:rtl/>
              </w:rPr>
            </w:pPr>
            <w:r w:rsidRPr="00CB02F8">
              <w:rPr>
                <w:b/>
                <w:bCs/>
                <w:rtl/>
              </w:rPr>
              <w:t>0</w:t>
            </w:r>
          </w:p>
        </w:tc>
      </w:tr>
      <w:tr w:rsidR="00D0470C" w:rsidRPr="00CB02F8" w14:paraId="5C8BF6BA" w14:textId="77777777" w:rsidTr="00277071">
        <w:trPr>
          <w:gridAfter w:val="1"/>
          <w:wAfter w:w="112" w:type="dxa"/>
        </w:trPr>
        <w:tc>
          <w:tcPr>
            <w:tcW w:w="1055" w:type="dxa"/>
            <w:tcBorders>
              <w:top w:val="nil"/>
              <w:left w:val="nil"/>
              <w:bottom w:val="nil"/>
              <w:right w:val="nil"/>
            </w:tcBorders>
          </w:tcPr>
          <w:p w14:paraId="28C49D0D" w14:textId="77777777" w:rsidR="00F32A2A" w:rsidRDefault="00F32A2A">
            <w:pPr>
              <w:pStyle w:val="-0"/>
              <w:bidi w:val="0"/>
              <w:spacing w:line="60" w:lineRule="exact"/>
              <w:ind w:left="0" w:firstLine="0"/>
              <w:jc w:val="both"/>
              <w:rPr>
                <w:sz w:val="14"/>
                <w:szCs w:val="14"/>
                <w:rtl/>
              </w:rPr>
            </w:pPr>
          </w:p>
        </w:tc>
        <w:tc>
          <w:tcPr>
            <w:tcW w:w="4817" w:type="dxa"/>
            <w:gridSpan w:val="2"/>
            <w:tcBorders>
              <w:top w:val="nil"/>
              <w:left w:val="nil"/>
              <w:bottom w:val="nil"/>
              <w:right w:val="nil"/>
            </w:tcBorders>
            <w:vAlign w:val="bottom"/>
          </w:tcPr>
          <w:p w14:paraId="19C9CB73" w14:textId="77777777" w:rsidR="00F32A2A" w:rsidRDefault="00F32A2A">
            <w:pPr>
              <w:pStyle w:val="-0"/>
              <w:bidi w:val="0"/>
              <w:spacing w:line="60" w:lineRule="exact"/>
              <w:ind w:left="590"/>
              <w:jc w:val="both"/>
              <w:rPr>
                <w:rtl/>
              </w:rPr>
            </w:pPr>
          </w:p>
        </w:tc>
        <w:tc>
          <w:tcPr>
            <w:tcW w:w="852" w:type="dxa"/>
            <w:tcBorders>
              <w:top w:val="nil"/>
              <w:left w:val="nil"/>
              <w:bottom w:val="nil"/>
              <w:right w:val="nil"/>
            </w:tcBorders>
            <w:vAlign w:val="bottom"/>
          </w:tcPr>
          <w:p w14:paraId="6D8EB871" w14:textId="77777777" w:rsidR="00F32A2A" w:rsidRDefault="00F32A2A">
            <w:pPr>
              <w:pStyle w:val="-0"/>
              <w:bidi w:val="0"/>
              <w:spacing w:line="60" w:lineRule="exact"/>
              <w:jc w:val="both"/>
              <w:rPr>
                <w:rtl/>
              </w:rPr>
            </w:pPr>
          </w:p>
        </w:tc>
        <w:tc>
          <w:tcPr>
            <w:tcW w:w="1132" w:type="dxa"/>
            <w:tcBorders>
              <w:top w:val="nil"/>
              <w:left w:val="nil"/>
              <w:bottom w:val="nil"/>
              <w:right w:val="nil"/>
            </w:tcBorders>
            <w:vAlign w:val="bottom"/>
          </w:tcPr>
          <w:p w14:paraId="1746B3B3" w14:textId="77777777" w:rsidR="00F32A2A" w:rsidRDefault="00F32A2A">
            <w:pPr>
              <w:pStyle w:val="-0"/>
              <w:bidi w:val="0"/>
              <w:spacing w:line="60" w:lineRule="exact"/>
              <w:jc w:val="both"/>
              <w:rPr>
                <w:rtl/>
              </w:rPr>
            </w:pPr>
          </w:p>
        </w:tc>
        <w:tc>
          <w:tcPr>
            <w:tcW w:w="952" w:type="dxa"/>
            <w:tcBorders>
              <w:top w:val="nil"/>
              <w:left w:val="nil"/>
              <w:bottom w:val="nil"/>
              <w:right w:val="nil"/>
            </w:tcBorders>
            <w:vAlign w:val="bottom"/>
          </w:tcPr>
          <w:p w14:paraId="0E689C31" w14:textId="77777777" w:rsidR="00F32A2A" w:rsidRDefault="00F32A2A">
            <w:pPr>
              <w:pStyle w:val="-0"/>
              <w:bidi w:val="0"/>
              <w:spacing w:line="60" w:lineRule="exact"/>
              <w:jc w:val="both"/>
              <w:rPr>
                <w:rtl/>
              </w:rPr>
            </w:pPr>
          </w:p>
        </w:tc>
        <w:tc>
          <w:tcPr>
            <w:tcW w:w="1071" w:type="dxa"/>
            <w:tcBorders>
              <w:top w:val="nil"/>
              <w:left w:val="nil"/>
              <w:bottom w:val="nil"/>
              <w:right w:val="nil"/>
            </w:tcBorders>
            <w:vAlign w:val="bottom"/>
          </w:tcPr>
          <w:p w14:paraId="5E3CC630" w14:textId="77777777" w:rsidR="00F32A2A" w:rsidRDefault="00F32A2A">
            <w:pPr>
              <w:pStyle w:val="-0"/>
              <w:bidi w:val="0"/>
              <w:spacing w:line="60" w:lineRule="exact"/>
              <w:jc w:val="both"/>
              <w:rPr>
                <w:rtl/>
              </w:rPr>
            </w:pPr>
          </w:p>
        </w:tc>
      </w:tr>
      <w:tr w:rsidR="00D0470C" w:rsidRPr="00CB02F8" w14:paraId="1F28DDEB" w14:textId="77777777" w:rsidTr="00277071">
        <w:trPr>
          <w:gridAfter w:val="1"/>
          <w:wAfter w:w="112" w:type="dxa"/>
          <w:trHeight w:val="259"/>
        </w:trPr>
        <w:tc>
          <w:tcPr>
            <w:tcW w:w="1055" w:type="dxa"/>
            <w:tcBorders>
              <w:top w:val="nil"/>
              <w:left w:val="nil"/>
              <w:bottom w:val="nil"/>
              <w:right w:val="nil"/>
            </w:tcBorders>
          </w:tcPr>
          <w:p w14:paraId="00852EDE" w14:textId="77777777" w:rsidR="00F32A2A" w:rsidRDefault="00F32A2A">
            <w:pPr>
              <w:pStyle w:val="-0"/>
              <w:spacing w:line="240" w:lineRule="auto"/>
              <w:ind w:left="0" w:firstLine="0"/>
              <w:rPr>
                <w:sz w:val="14"/>
                <w:szCs w:val="14"/>
                <w:rtl/>
              </w:rPr>
            </w:pPr>
          </w:p>
        </w:tc>
        <w:tc>
          <w:tcPr>
            <w:tcW w:w="4817" w:type="dxa"/>
            <w:gridSpan w:val="2"/>
            <w:tcBorders>
              <w:top w:val="nil"/>
              <w:left w:val="nil"/>
              <w:bottom w:val="nil"/>
              <w:right w:val="nil"/>
            </w:tcBorders>
            <w:vAlign w:val="bottom"/>
          </w:tcPr>
          <w:p w14:paraId="1063A057" w14:textId="77777777" w:rsidR="00F32A2A" w:rsidRDefault="00D0470C" w:rsidP="00277071">
            <w:pPr>
              <w:pStyle w:val="-b"/>
              <w:spacing w:before="60" w:line="240" w:lineRule="auto"/>
              <w:ind w:left="0" w:firstLine="0"/>
              <w:rPr>
                <w:rtl/>
              </w:rPr>
            </w:pPr>
            <w:r w:rsidRPr="00CB02F8">
              <w:rPr>
                <w:rFonts w:hint="eastAsia"/>
                <w:rtl/>
              </w:rPr>
              <w:t>סך</w:t>
            </w:r>
            <w:r w:rsidRPr="00CB02F8">
              <w:rPr>
                <w:rtl/>
              </w:rPr>
              <w:t xml:space="preserve"> </w:t>
            </w:r>
            <w:r w:rsidRPr="00CB02F8">
              <w:rPr>
                <w:rFonts w:hint="eastAsia"/>
                <w:rtl/>
              </w:rPr>
              <w:t>כל</w:t>
            </w:r>
            <w:r w:rsidRPr="00CB02F8">
              <w:rPr>
                <w:rtl/>
              </w:rPr>
              <w:t xml:space="preserve"> </w:t>
            </w:r>
            <w:r w:rsidRPr="00CB02F8">
              <w:rPr>
                <w:rFonts w:hint="eastAsia"/>
                <w:rtl/>
              </w:rPr>
              <w:t>הכנסות</w:t>
            </w:r>
            <w:r w:rsidRPr="00CB02F8">
              <w:rPr>
                <w:rtl/>
              </w:rPr>
              <w:t xml:space="preserve"> </w:t>
            </w:r>
            <w:r w:rsidRPr="00CB02F8">
              <w:rPr>
                <w:rFonts w:hint="eastAsia"/>
                <w:rtl/>
              </w:rPr>
              <w:t>מימון</w:t>
            </w:r>
            <w:r w:rsidRPr="00CB02F8">
              <w:rPr>
                <w:rtl/>
              </w:rPr>
              <w:t xml:space="preserve"> </w:t>
            </w:r>
            <w:r w:rsidRPr="00CB02F8">
              <w:rPr>
                <w:rFonts w:hint="eastAsia"/>
                <w:rtl/>
              </w:rPr>
              <w:t>שאינן</w:t>
            </w:r>
            <w:r w:rsidRPr="00CB02F8">
              <w:rPr>
                <w:rtl/>
              </w:rPr>
              <w:t xml:space="preserve"> </w:t>
            </w:r>
            <w:r w:rsidRPr="00CB02F8">
              <w:rPr>
                <w:rFonts w:hint="eastAsia"/>
                <w:rtl/>
              </w:rPr>
              <w:t>מריבית</w:t>
            </w:r>
            <w:r w:rsidRPr="00CB02F8">
              <w:rPr>
                <w:rtl/>
              </w:rPr>
              <w:t xml:space="preserve"> </w:t>
            </w:r>
            <w:r w:rsidRPr="00CB02F8">
              <w:rPr>
                <w:rFonts w:hint="eastAsia"/>
                <w:rtl/>
              </w:rPr>
              <w:t>בגין</w:t>
            </w:r>
            <w:r w:rsidRPr="00CB02F8">
              <w:rPr>
                <w:rtl/>
              </w:rPr>
              <w:t xml:space="preserve"> </w:t>
            </w:r>
            <w:r w:rsidRPr="00CB02F8">
              <w:rPr>
                <w:rFonts w:hint="eastAsia"/>
                <w:rtl/>
              </w:rPr>
              <w:t>פעילויות</w:t>
            </w:r>
            <w:r w:rsidRPr="00CB02F8">
              <w:rPr>
                <w:rtl/>
              </w:rPr>
              <w:t xml:space="preserve"> </w:t>
            </w:r>
            <w:r w:rsidRPr="00CB02F8">
              <w:rPr>
                <w:rFonts w:hint="eastAsia"/>
                <w:rtl/>
              </w:rPr>
              <w:t>שאינן</w:t>
            </w:r>
            <w:r w:rsidRPr="00CB02F8">
              <w:rPr>
                <w:rtl/>
              </w:rPr>
              <w:t xml:space="preserve"> </w:t>
            </w:r>
            <w:r>
              <w:rPr>
                <w:rFonts w:hint="cs"/>
                <w:rtl/>
              </w:rPr>
              <w:t>למטרות</w:t>
            </w:r>
            <w:r w:rsidRPr="00CB02F8">
              <w:rPr>
                <w:rtl/>
              </w:rPr>
              <w:t xml:space="preserve"> </w:t>
            </w:r>
            <w:r w:rsidRPr="00CB02F8">
              <w:rPr>
                <w:rFonts w:hint="eastAsia"/>
                <w:rtl/>
              </w:rPr>
              <w:t>מסחר</w:t>
            </w:r>
          </w:p>
        </w:tc>
        <w:tc>
          <w:tcPr>
            <w:tcW w:w="852" w:type="dxa"/>
            <w:tcBorders>
              <w:top w:val="nil"/>
              <w:left w:val="nil"/>
              <w:bottom w:val="nil"/>
              <w:right w:val="nil"/>
            </w:tcBorders>
            <w:vAlign w:val="bottom"/>
          </w:tcPr>
          <w:p w14:paraId="590AEB18" w14:textId="77777777" w:rsidR="00F32A2A" w:rsidRDefault="00D0470C">
            <w:pPr>
              <w:pStyle w:val="-0"/>
              <w:pBdr>
                <w:bottom w:val="double" w:sz="4" w:space="1" w:color="auto"/>
              </w:pBdr>
              <w:spacing w:line="240" w:lineRule="auto"/>
              <w:rPr>
                <w:b/>
                <w:bCs/>
                <w:rtl/>
              </w:rPr>
            </w:pPr>
            <w:r w:rsidRPr="00CB02F8">
              <w:rPr>
                <w:b/>
                <w:bCs/>
                <w:rtl/>
              </w:rPr>
              <w:t>0</w:t>
            </w:r>
          </w:p>
        </w:tc>
        <w:tc>
          <w:tcPr>
            <w:tcW w:w="1132" w:type="dxa"/>
            <w:tcBorders>
              <w:top w:val="nil"/>
              <w:left w:val="nil"/>
              <w:bottom w:val="nil"/>
              <w:right w:val="nil"/>
            </w:tcBorders>
            <w:vAlign w:val="bottom"/>
          </w:tcPr>
          <w:p w14:paraId="12E9D39F" w14:textId="77777777" w:rsidR="00F32A2A" w:rsidRDefault="00D0470C">
            <w:pPr>
              <w:pStyle w:val="-0"/>
              <w:pBdr>
                <w:bottom w:val="double" w:sz="4" w:space="1" w:color="auto"/>
              </w:pBdr>
              <w:spacing w:line="240" w:lineRule="auto"/>
              <w:rPr>
                <w:b/>
                <w:bCs/>
                <w:rtl/>
              </w:rPr>
            </w:pPr>
            <w:r w:rsidRPr="00CB02F8">
              <w:rPr>
                <w:b/>
                <w:bCs/>
                <w:rtl/>
              </w:rPr>
              <w:t>0</w:t>
            </w:r>
          </w:p>
        </w:tc>
        <w:tc>
          <w:tcPr>
            <w:tcW w:w="952" w:type="dxa"/>
            <w:tcBorders>
              <w:top w:val="nil"/>
              <w:left w:val="nil"/>
              <w:bottom w:val="nil"/>
              <w:right w:val="nil"/>
            </w:tcBorders>
            <w:vAlign w:val="bottom"/>
          </w:tcPr>
          <w:p w14:paraId="2F68391A" w14:textId="77777777" w:rsidR="00F32A2A" w:rsidRDefault="00D0470C">
            <w:pPr>
              <w:pStyle w:val="-0"/>
              <w:pBdr>
                <w:bottom w:val="double" w:sz="4" w:space="1" w:color="auto"/>
              </w:pBdr>
              <w:spacing w:line="240" w:lineRule="auto"/>
              <w:rPr>
                <w:b/>
                <w:bCs/>
                <w:rtl/>
              </w:rPr>
            </w:pPr>
            <w:r w:rsidRPr="00CB02F8">
              <w:rPr>
                <w:b/>
                <w:bCs/>
                <w:rtl/>
              </w:rPr>
              <w:t>0</w:t>
            </w:r>
          </w:p>
        </w:tc>
        <w:tc>
          <w:tcPr>
            <w:tcW w:w="1071" w:type="dxa"/>
            <w:tcBorders>
              <w:top w:val="nil"/>
              <w:left w:val="nil"/>
              <w:bottom w:val="nil"/>
              <w:right w:val="nil"/>
            </w:tcBorders>
            <w:vAlign w:val="bottom"/>
          </w:tcPr>
          <w:p w14:paraId="4C637914" w14:textId="77777777" w:rsidR="00F32A2A" w:rsidRDefault="00D0470C">
            <w:pPr>
              <w:pStyle w:val="-0"/>
              <w:pBdr>
                <w:bottom w:val="double" w:sz="4" w:space="1" w:color="auto"/>
              </w:pBdr>
              <w:spacing w:line="240" w:lineRule="auto"/>
              <w:rPr>
                <w:b/>
                <w:bCs/>
                <w:rtl/>
              </w:rPr>
            </w:pPr>
            <w:r w:rsidRPr="00CB02F8">
              <w:rPr>
                <w:b/>
                <w:bCs/>
                <w:rtl/>
              </w:rPr>
              <w:t>0</w:t>
            </w:r>
          </w:p>
        </w:tc>
      </w:tr>
      <w:tr w:rsidR="00D0470C" w:rsidRPr="00F264BA" w14:paraId="3E4EF165" w14:textId="77777777" w:rsidTr="00277071">
        <w:trPr>
          <w:gridAfter w:val="1"/>
          <w:wAfter w:w="112" w:type="dxa"/>
        </w:trPr>
        <w:tc>
          <w:tcPr>
            <w:tcW w:w="1055" w:type="dxa"/>
            <w:tcBorders>
              <w:top w:val="nil"/>
              <w:left w:val="nil"/>
              <w:bottom w:val="nil"/>
              <w:right w:val="nil"/>
            </w:tcBorders>
          </w:tcPr>
          <w:p w14:paraId="7E28980A" w14:textId="77777777" w:rsidR="00F32A2A" w:rsidRDefault="00F32A2A">
            <w:pPr>
              <w:pStyle w:val="-0"/>
              <w:bidi w:val="0"/>
              <w:spacing w:line="120" w:lineRule="exact"/>
              <w:ind w:left="0" w:firstLine="0"/>
              <w:jc w:val="both"/>
              <w:rPr>
                <w:sz w:val="8"/>
                <w:szCs w:val="8"/>
              </w:rPr>
            </w:pPr>
          </w:p>
          <w:p w14:paraId="692EE291" w14:textId="77777777" w:rsidR="009871A4" w:rsidRDefault="009871A4" w:rsidP="009871A4">
            <w:pPr>
              <w:pStyle w:val="-0"/>
              <w:bidi w:val="0"/>
              <w:spacing w:line="120" w:lineRule="exact"/>
              <w:ind w:left="0" w:firstLine="0"/>
              <w:jc w:val="both"/>
              <w:rPr>
                <w:sz w:val="8"/>
                <w:szCs w:val="8"/>
              </w:rPr>
            </w:pPr>
          </w:p>
          <w:p w14:paraId="7DD63830" w14:textId="021E8DB4" w:rsidR="009871A4" w:rsidRPr="00F264BA" w:rsidRDefault="009871A4" w:rsidP="009871A4">
            <w:pPr>
              <w:pStyle w:val="-0"/>
              <w:bidi w:val="0"/>
              <w:spacing w:line="120" w:lineRule="exact"/>
              <w:ind w:left="0" w:firstLine="0"/>
              <w:jc w:val="both"/>
              <w:rPr>
                <w:sz w:val="8"/>
                <w:szCs w:val="8"/>
                <w:rtl/>
              </w:rPr>
            </w:pPr>
          </w:p>
        </w:tc>
        <w:tc>
          <w:tcPr>
            <w:tcW w:w="4817" w:type="dxa"/>
            <w:gridSpan w:val="2"/>
            <w:tcBorders>
              <w:top w:val="nil"/>
              <w:left w:val="nil"/>
              <w:bottom w:val="nil"/>
              <w:right w:val="nil"/>
            </w:tcBorders>
            <w:vAlign w:val="bottom"/>
          </w:tcPr>
          <w:p w14:paraId="1E369601" w14:textId="77777777" w:rsidR="00F32A2A" w:rsidRPr="00F264BA" w:rsidRDefault="00F32A2A">
            <w:pPr>
              <w:pStyle w:val="-0"/>
              <w:bidi w:val="0"/>
              <w:spacing w:line="120" w:lineRule="exact"/>
              <w:ind w:left="590"/>
              <w:jc w:val="both"/>
              <w:rPr>
                <w:sz w:val="8"/>
                <w:szCs w:val="8"/>
                <w:rtl/>
              </w:rPr>
            </w:pPr>
          </w:p>
        </w:tc>
        <w:tc>
          <w:tcPr>
            <w:tcW w:w="852" w:type="dxa"/>
            <w:tcBorders>
              <w:top w:val="nil"/>
              <w:left w:val="nil"/>
              <w:bottom w:val="nil"/>
              <w:right w:val="nil"/>
            </w:tcBorders>
          </w:tcPr>
          <w:p w14:paraId="2F2574EA" w14:textId="77777777" w:rsidR="00F32A2A" w:rsidRPr="00F264BA" w:rsidRDefault="00F32A2A">
            <w:pPr>
              <w:pStyle w:val="-212"/>
              <w:pBdr>
                <w:top w:val="none" w:sz="0" w:space="0" w:color="auto"/>
              </w:pBdr>
              <w:bidi w:val="0"/>
              <w:spacing w:line="120" w:lineRule="exact"/>
              <w:jc w:val="both"/>
              <w:rPr>
                <w:sz w:val="8"/>
                <w:szCs w:val="8"/>
                <w:rtl/>
              </w:rPr>
            </w:pPr>
          </w:p>
        </w:tc>
        <w:tc>
          <w:tcPr>
            <w:tcW w:w="1132" w:type="dxa"/>
            <w:tcBorders>
              <w:top w:val="nil"/>
              <w:left w:val="nil"/>
              <w:bottom w:val="nil"/>
              <w:right w:val="nil"/>
            </w:tcBorders>
          </w:tcPr>
          <w:p w14:paraId="4B02F299" w14:textId="77777777" w:rsidR="00F32A2A" w:rsidRPr="00F264BA" w:rsidRDefault="00F32A2A">
            <w:pPr>
              <w:pStyle w:val="-212"/>
              <w:pBdr>
                <w:top w:val="none" w:sz="0" w:space="0" w:color="auto"/>
              </w:pBdr>
              <w:bidi w:val="0"/>
              <w:spacing w:line="120" w:lineRule="exact"/>
              <w:jc w:val="both"/>
              <w:rPr>
                <w:sz w:val="8"/>
                <w:szCs w:val="8"/>
                <w:rtl/>
              </w:rPr>
            </w:pPr>
          </w:p>
        </w:tc>
        <w:tc>
          <w:tcPr>
            <w:tcW w:w="952" w:type="dxa"/>
            <w:tcBorders>
              <w:top w:val="nil"/>
              <w:left w:val="nil"/>
              <w:bottom w:val="nil"/>
              <w:right w:val="nil"/>
            </w:tcBorders>
          </w:tcPr>
          <w:p w14:paraId="4B21BD42" w14:textId="77777777" w:rsidR="00F32A2A" w:rsidRPr="00F264BA" w:rsidRDefault="00F32A2A">
            <w:pPr>
              <w:pStyle w:val="-212"/>
              <w:pBdr>
                <w:top w:val="none" w:sz="0" w:space="0" w:color="auto"/>
              </w:pBdr>
              <w:bidi w:val="0"/>
              <w:spacing w:line="120" w:lineRule="exact"/>
              <w:jc w:val="both"/>
              <w:rPr>
                <w:sz w:val="8"/>
                <w:szCs w:val="8"/>
                <w:rtl/>
              </w:rPr>
            </w:pPr>
          </w:p>
        </w:tc>
        <w:tc>
          <w:tcPr>
            <w:tcW w:w="1071" w:type="dxa"/>
            <w:tcBorders>
              <w:top w:val="nil"/>
              <w:left w:val="nil"/>
              <w:bottom w:val="nil"/>
              <w:right w:val="nil"/>
            </w:tcBorders>
          </w:tcPr>
          <w:p w14:paraId="68667978" w14:textId="77777777" w:rsidR="00F32A2A" w:rsidRPr="00F264BA" w:rsidRDefault="00F32A2A">
            <w:pPr>
              <w:pStyle w:val="-212"/>
              <w:pBdr>
                <w:top w:val="none" w:sz="0" w:space="0" w:color="auto"/>
              </w:pBdr>
              <w:bidi w:val="0"/>
              <w:spacing w:line="120" w:lineRule="exact"/>
              <w:jc w:val="both"/>
              <w:rPr>
                <w:sz w:val="8"/>
                <w:szCs w:val="8"/>
                <w:rtl/>
              </w:rPr>
            </w:pPr>
          </w:p>
        </w:tc>
      </w:tr>
      <w:tr w:rsidR="00F264BA" w:rsidRPr="00062F6A" w14:paraId="16329412" w14:textId="77777777" w:rsidTr="00277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1055" w:type="dxa"/>
          </w:tcPr>
          <w:p w14:paraId="758F92BE" w14:textId="77777777" w:rsidR="00F264BA" w:rsidRPr="0070315D" w:rsidRDefault="00F264BA" w:rsidP="006F3019">
            <w:pPr>
              <w:rPr>
                <w:sz w:val="14"/>
                <w:szCs w:val="14"/>
                <w:rtl/>
              </w:rPr>
            </w:pPr>
          </w:p>
        </w:tc>
        <w:tc>
          <w:tcPr>
            <w:tcW w:w="659" w:type="dxa"/>
          </w:tcPr>
          <w:p w14:paraId="1FFD882C" w14:textId="77777777" w:rsidR="00F264BA" w:rsidRPr="00EC46DF" w:rsidRDefault="00F264BA" w:rsidP="006F3019">
            <w:pPr>
              <w:pStyle w:val="-fc"/>
              <w:spacing w:after="0"/>
              <w:rPr>
                <w:b w:val="0"/>
                <w:bCs w:val="0"/>
                <w:rtl/>
              </w:rPr>
            </w:pPr>
            <w:r w:rsidRPr="00EC46DF">
              <w:rPr>
                <w:b w:val="0"/>
                <w:bCs w:val="0"/>
                <w:rtl/>
              </w:rPr>
              <w:t>(א)</w:t>
            </w:r>
          </w:p>
        </w:tc>
        <w:tc>
          <w:tcPr>
            <w:tcW w:w="8277" w:type="dxa"/>
            <w:gridSpan w:val="6"/>
          </w:tcPr>
          <w:p w14:paraId="5C5DD148" w14:textId="77777777" w:rsidR="00F264BA" w:rsidRDefault="00F264BA" w:rsidP="00A674A4">
            <w:pPr>
              <w:pStyle w:val="-a"/>
              <w:spacing w:after="0"/>
              <w:rPr>
                <w:rtl/>
              </w:rPr>
            </w:pPr>
            <w:r w:rsidRPr="00CF2A74">
              <w:rPr>
                <w:rFonts w:hint="eastAsia"/>
                <w:rtl/>
              </w:rPr>
              <w:t>למעט</w:t>
            </w:r>
            <w:r w:rsidRPr="00CF2A74">
              <w:rPr>
                <w:rtl/>
              </w:rPr>
              <w:t xml:space="preserve"> </w:t>
            </w:r>
            <w:r>
              <w:rPr>
                <w:rFonts w:hint="cs"/>
                <w:rtl/>
              </w:rPr>
              <w:t>השפעת יחסי גידור</w:t>
            </w:r>
            <w:r w:rsidR="008C2FE2">
              <w:rPr>
                <w:rFonts w:hint="cs"/>
                <w:rtl/>
              </w:rPr>
              <w:t>.</w:t>
            </w:r>
          </w:p>
        </w:tc>
      </w:tr>
      <w:tr w:rsidR="00F264BA" w:rsidRPr="00062F6A" w14:paraId="2F15C616" w14:textId="77777777" w:rsidTr="00277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1055" w:type="dxa"/>
          </w:tcPr>
          <w:p w14:paraId="2D673302" w14:textId="77777777" w:rsidR="00F264BA" w:rsidRPr="00CF2A74" w:rsidRDefault="00F264BA" w:rsidP="00BE5889">
            <w:pPr>
              <w:rPr>
                <w:sz w:val="18"/>
                <w:szCs w:val="18"/>
                <w:rtl/>
              </w:rPr>
            </w:pPr>
          </w:p>
        </w:tc>
        <w:tc>
          <w:tcPr>
            <w:tcW w:w="659" w:type="dxa"/>
          </w:tcPr>
          <w:p w14:paraId="6B1C9D9B" w14:textId="77777777" w:rsidR="00F264BA" w:rsidRPr="00EC46DF" w:rsidRDefault="00F264BA" w:rsidP="00BE5889">
            <w:pPr>
              <w:pStyle w:val="-fc"/>
              <w:spacing w:after="0"/>
              <w:rPr>
                <w:b w:val="0"/>
                <w:bCs w:val="0"/>
                <w:rtl/>
              </w:rPr>
            </w:pPr>
            <w:r w:rsidRPr="00EC46DF">
              <w:rPr>
                <w:b w:val="0"/>
                <w:bCs w:val="0"/>
                <w:rtl/>
              </w:rPr>
              <w:t>(</w:t>
            </w:r>
            <w:r w:rsidRPr="00EC46DF">
              <w:rPr>
                <w:rFonts w:hint="eastAsia"/>
                <w:b w:val="0"/>
                <w:bCs w:val="0"/>
                <w:rtl/>
              </w:rPr>
              <w:t>ב</w:t>
            </w:r>
            <w:r w:rsidRPr="00EC46DF">
              <w:rPr>
                <w:b w:val="0"/>
                <w:bCs w:val="0"/>
                <w:rtl/>
              </w:rPr>
              <w:t>)</w:t>
            </w:r>
          </w:p>
        </w:tc>
        <w:tc>
          <w:tcPr>
            <w:tcW w:w="8277" w:type="dxa"/>
            <w:gridSpan w:val="6"/>
          </w:tcPr>
          <w:p w14:paraId="43D720E5" w14:textId="5AE667F0" w:rsidR="00F264BA" w:rsidRPr="00CF2A74" w:rsidRDefault="00F264BA" w:rsidP="00BE5889">
            <w:pPr>
              <w:pStyle w:val="-a"/>
              <w:spacing w:after="0"/>
              <w:rPr>
                <w:rtl/>
              </w:rPr>
            </w:pPr>
            <w:r w:rsidRPr="00CF2A74">
              <w:rPr>
                <w:rFonts w:hint="eastAsia"/>
                <w:rtl/>
              </w:rPr>
              <w:t>לרבות</w:t>
            </w:r>
            <w:r w:rsidRPr="00CF2A74">
              <w:rPr>
                <w:rtl/>
              </w:rPr>
              <w:t xml:space="preserve"> </w:t>
            </w:r>
            <w:r w:rsidRPr="00CF2A74">
              <w:rPr>
                <w:rFonts w:hint="eastAsia"/>
                <w:rtl/>
              </w:rPr>
              <w:t>הפרשות</w:t>
            </w:r>
            <w:r w:rsidRPr="00CF2A74">
              <w:rPr>
                <w:rtl/>
              </w:rPr>
              <w:t xml:space="preserve"> </w:t>
            </w:r>
            <w:r w:rsidRPr="00CF2A74">
              <w:rPr>
                <w:rFonts w:hint="eastAsia"/>
                <w:rtl/>
              </w:rPr>
              <w:t>לירידת</w:t>
            </w:r>
            <w:r w:rsidRPr="00CF2A74">
              <w:rPr>
                <w:rtl/>
              </w:rPr>
              <w:t xml:space="preserve"> </w:t>
            </w:r>
            <w:r w:rsidRPr="00CF2A74">
              <w:rPr>
                <w:rFonts w:hint="eastAsia"/>
                <w:rtl/>
              </w:rPr>
              <w:t>ערך</w:t>
            </w:r>
            <w:r w:rsidRPr="00CF2A74">
              <w:rPr>
                <w:rtl/>
              </w:rPr>
              <w:t xml:space="preserve"> </w:t>
            </w:r>
            <w:r w:rsidR="00D6656C" w:rsidRPr="00B44059">
              <w:rPr>
                <w:rFonts w:hint="eastAsia"/>
                <w:rtl/>
              </w:rPr>
              <w:t>בתקופות</w:t>
            </w:r>
            <w:r w:rsidR="00D6656C" w:rsidRPr="00B44059">
              <w:rPr>
                <w:rtl/>
              </w:rPr>
              <w:t xml:space="preserve"> </w:t>
            </w:r>
            <w:r w:rsidR="00D6656C" w:rsidRPr="00B44059">
              <w:rPr>
                <w:rFonts w:hint="eastAsia"/>
                <w:rtl/>
              </w:rPr>
              <w:t>של</w:t>
            </w:r>
            <w:r w:rsidR="00D6656C" w:rsidRPr="00B44059">
              <w:rPr>
                <w:rtl/>
              </w:rPr>
              <w:t xml:space="preserve"> </w:t>
            </w:r>
            <w:r w:rsidR="00D6656C" w:rsidRPr="00B44059">
              <w:rPr>
                <w:rFonts w:hint="eastAsia"/>
                <w:rtl/>
              </w:rPr>
              <w:t>שלושה</w:t>
            </w:r>
            <w:r w:rsidR="00D6656C" w:rsidRPr="00B44059">
              <w:rPr>
                <w:rtl/>
              </w:rPr>
              <w:t xml:space="preserve"> חודשים </w:t>
            </w:r>
            <w:r w:rsidR="00D6656C">
              <w:rPr>
                <w:rFonts w:hint="cs"/>
                <w:rtl/>
              </w:rPr>
              <w:t xml:space="preserve">ושישה חודשים </w:t>
            </w:r>
            <w:r w:rsidR="00D6656C" w:rsidRPr="00B44059">
              <w:rPr>
                <w:rtl/>
              </w:rPr>
              <w:t xml:space="preserve">שהסתיימו ביום 30 ביוני </w:t>
            </w:r>
            <w:r w:rsidR="00D6656C" w:rsidRPr="008D7F4E">
              <w:rPr>
                <w:sz w:val="16"/>
                <w:szCs w:val="16"/>
                <w:rtl/>
              </w:rPr>
              <w:fldChar w:fldCharType="begin"/>
            </w:r>
            <w:r w:rsidR="00D6656C" w:rsidRPr="008D7F4E">
              <w:rPr>
                <w:sz w:val="16"/>
                <w:szCs w:val="16"/>
                <w:rtl/>
              </w:rPr>
              <w:instrText xml:space="preserve"> </w:instrText>
            </w:r>
            <w:r w:rsidR="00D6656C" w:rsidRPr="008D7F4E">
              <w:rPr>
                <w:rFonts w:hint="cs"/>
                <w:sz w:val="16"/>
                <w:szCs w:val="16"/>
                <w:rtl/>
              </w:rPr>
              <w:instrText xml:space="preserve">= </w:instrText>
            </w:r>
            <w:r w:rsidR="00D6656C" w:rsidRPr="008D7F4E">
              <w:rPr>
                <w:rFonts w:hint="cs"/>
                <w:sz w:val="16"/>
                <w:szCs w:val="16"/>
              </w:rPr>
              <w:instrText>CY \* MERGEFORMAT</w:instrText>
            </w:r>
            <w:r w:rsidR="00D6656C" w:rsidRPr="008D7F4E">
              <w:rPr>
                <w:sz w:val="16"/>
                <w:szCs w:val="16"/>
                <w:rtl/>
              </w:rPr>
              <w:instrText xml:space="preserve"> </w:instrText>
            </w:r>
            <w:r w:rsidR="00D6656C" w:rsidRPr="008D7F4E">
              <w:rPr>
                <w:sz w:val="16"/>
                <w:szCs w:val="16"/>
                <w:rtl/>
              </w:rPr>
              <w:fldChar w:fldCharType="separate"/>
            </w:r>
            <w:r w:rsidR="003A584F" w:rsidRPr="003A584F">
              <w:rPr>
                <w:noProof/>
                <w:rtl/>
              </w:rPr>
              <w:t>2024</w:t>
            </w:r>
            <w:r w:rsidR="00D6656C" w:rsidRPr="008D7F4E">
              <w:rPr>
                <w:sz w:val="16"/>
                <w:szCs w:val="16"/>
                <w:rtl/>
              </w:rPr>
              <w:fldChar w:fldCharType="end"/>
            </w:r>
            <w:r w:rsidR="00D6656C">
              <w:rPr>
                <w:rFonts w:hint="cs"/>
                <w:rtl/>
              </w:rPr>
              <w:t xml:space="preserve"> </w:t>
            </w:r>
            <w:r w:rsidR="00D6656C" w:rsidRPr="00B44059">
              <w:rPr>
                <w:rFonts w:hint="eastAsia"/>
                <w:rtl/>
              </w:rPr>
              <w:t>בסך</w:t>
            </w:r>
            <w:r w:rsidR="00D6656C" w:rsidRPr="00B44059">
              <w:rPr>
                <w:rtl/>
              </w:rPr>
              <w:t xml:space="preserve"> ___, ___ </w:t>
            </w:r>
            <w:r w:rsidR="00D6656C" w:rsidRPr="00B44059">
              <w:rPr>
                <w:rFonts w:hint="eastAsia"/>
                <w:rtl/>
              </w:rPr>
              <w:t>מיליוני</w:t>
            </w:r>
            <w:r w:rsidR="00D6656C" w:rsidRPr="00B44059">
              <w:rPr>
                <w:rtl/>
              </w:rPr>
              <w:t xml:space="preserve"> </w:t>
            </w:r>
            <w:r w:rsidR="00D6656C" w:rsidRPr="00B44059">
              <w:rPr>
                <w:rFonts w:hint="eastAsia"/>
                <w:rtl/>
              </w:rPr>
              <w:t>ש</w:t>
            </w:r>
            <w:r w:rsidR="00D6656C" w:rsidRPr="00B44059">
              <w:rPr>
                <w:rtl/>
              </w:rPr>
              <w:t xml:space="preserve">"ח, </w:t>
            </w:r>
            <w:r w:rsidR="00D6656C" w:rsidRPr="00B44059">
              <w:rPr>
                <w:rFonts w:hint="eastAsia"/>
                <w:rtl/>
              </w:rPr>
              <w:t>בהתאמה</w:t>
            </w:r>
            <w:r w:rsidR="00D6656C" w:rsidRPr="00B44059">
              <w:rPr>
                <w:rtl/>
              </w:rPr>
              <w:t xml:space="preserve"> (</w:t>
            </w:r>
            <w:r w:rsidR="00D6656C" w:rsidRPr="00B44059">
              <w:rPr>
                <w:rFonts w:hint="eastAsia"/>
                <w:rtl/>
              </w:rPr>
              <w:t>בתקופות</w:t>
            </w:r>
            <w:r w:rsidR="00D6656C" w:rsidRPr="00B44059">
              <w:rPr>
                <w:rtl/>
              </w:rPr>
              <w:t xml:space="preserve"> </w:t>
            </w:r>
            <w:r w:rsidR="00D6656C" w:rsidRPr="00B44059">
              <w:rPr>
                <w:rFonts w:hint="eastAsia"/>
                <w:rtl/>
              </w:rPr>
              <w:t>של</w:t>
            </w:r>
            <w:r w:rsidR="00D6656C" w:rsidRPr="00B44059">
              <w:rPr>
                <w:rtl/>
              </w:rPr>
              <w:t xml:space="preserve"> </w:t>
            </w:r>
            <w:r w:rsidR="00D6656C">
              <w:rPr>
                <w:rFonts w:hint="cs"/>
                <w:rtl/>
              </w:rPr>
              <w:t>שלושה חודשים ו</w:t>
            </w:r>
            <w:r w:rsidR="00D6656C" w:rsidRPr="00B44059">
              <w:rPr>
                <w:rFonts w:hint="eastAsia"/>
                <w:rtl/>
              </w:rPr>
              <w:t>שישה</w:t>
            </w:r>
            <w:r w:rsidR="00D6656C" w:rsidRPr="00B44059">
              <w:rPr>
                <w:rtl/>
              </w:rPr>
              <w:t xml:space="preserve"> חודשים שהסתיימו ביום</w:t>
            </w:r>
            <w:r w:rsidR="00D6656C">
              <w:rPr>
                <w:rFonts w:hint="cs"/>
                <w:rtl/>
              </w:rPr>
              <w:t xml:space="preserve"> </w:t>
            </w:r>
            <w:r w:rsidR="00D6656C" w:rsidRPr="00B44059">
              <w:rPr>
                <w:rtl/>
              </w:rPr>
              <w:t xml:space="preserve">30 ביוני </w:t>
            </w:r>
            <w:r w:rsidR="00D6656C" w:rsidRPr="008D7F4E">
              <w:rPr>
                <w:sz w:val="16"/>
                <w:szCs w:val="16"/>
                <w:rtl/>
              </w:rPr>
              <w:fldChar w:fldCharType="begin"/>
            </w:r>
            <w:r w:rsidR="00D6656C" w:rsidRPr="008D7F4E">
              <w:rPr>
                <w:sz w:val="16"/>
                <w:szCs w:val="16"/>
                <w:rtl/>
              </w:rPr>
              <w:instrText xml:space="preserve"> </w:instrText>
            </w:r>
            <w:r w:rsidR="00D6656C" w:rsidRPr="008D7F4E">
              <w:rPr>
                <w:rFonts w:hint="cs"/>
                <w:sz w:val="16"/>
                <w:szCs w:val="16"/>
                <w:rtl/>
              </w:rPr>
              <w:instrText xml:space="preserve">= </w:instrText>
            </w:r>
            <w:r w:rsidR="00D6656C" w:rsidRPr="008D7F4E">
              <w:rPr>
                <w:rFonts w:hint="cs"/>
                <w:sz w:val="16"/>
                <w:szCs w:val="16"/>
              </w:rPr>
              <w:instrText>CY</w:instrText>
            </w:r>
            <w:r w:rsidR="00D6656C" w:rsidRPr="008D7F4E">
              <w:rPr>
                <w:sz w:val="16"/>
                <w:szCs w:val="16"/>
              </w:rPr>
              <w:instrText>-1</w:instrText>
            </w:r>
            <w:r w:rsidR="00D6656C" w:rsidRPr="008D7F4E">
              <w:rPr>
                <w:rFonts w:hint="cs"/>
                <w:sz w:val="16"/>
                <w:szCs w:val="16"/>
              </w:rPr>
              <w:instrText xml:space="preserve"> \* MERGEFORMAT</w:instrText>
            </w:r>
            <w:r w:rsidR="00D6656C" w:rsidRPr="008D7F4E">
              <w:rPr>
                <w:sz w:val="16"/>
                <w:szCs w:val="16"/>
                <w:rtl/>
              </w:rPr>
              <w:instrText xml:space="preserve"> </w:instrText>
            </w:r>
            <w:r w:rsidR="00D6656C" w:rsidRPr="008D7F4E">
              <w:rPr>
                <w:sz w:val="16"/>
                <w:szCs w:val="16"/>
                <w:rtl/>
              </w:rPr>
              <w:fldChar w:fldCharType="separate"/>
            </w:r>
            <w:r w:rsidR="003A584F" w:rsidRPr="003A584F">
              <w:rPr>
                <w:noProof/>
                <w:rtl/>
              </w:rPr>
              <w:t>2023</w:t>
            </w:r>
            <w:r w:rsidR="00D6656C" w:rsidRPr="008D7F4E">
              <w:rPr>
                <w:sz w:val="16"/>
                <w:szCs w:val="16"/>
                <w:rtl/>
              </w:rPr>
              <w:fldChar w:fldCharType="end"/>
            </w:r>
            <w:r w:rsidR="00D6656C">
              <w:rPr>
                <w:rFonts w:hint="cs"/>
                <w:rtl/>
              </w:rPr>
              <w:t xml:space="preserve"> </w:t>
            </w:r>
            <w:r w:rsidR="00D6656C" w:rsidRPr="00B44059">
              <w:rPr>
                <w:rFonts w:hint="eastAsia"/>
                <w:rtl/>
              </w:rPr>
              <w:t>בסך</w:t>
            </w:r>
            <w:r w:rsidR="00D6656C" w:rsidRPr="00B44059">
              <w:rPr>
                <w:rtl/>
              </w:rPr>
              <w:t xml:space="preserve"> ___, ___ </w:t>
            </w:r>
            <w:r w:rsidR="00D6656C" w:rsidRPr="00B44059">
              <w:rPr>
                <w:rFonts w:hint="eastAsia"/>
                <w:rtl/>
              </w:rPr>
              <w:t>מיליוני</w:t>
            </w:r>
            <w:r w:rsidR="00D6656C" w:rsidRPr="00B44059">
              <w:rPr>
                <w:rtl/>
              </w:rPr>
              <w:t xml:space="preserve"> </w:t>
            </w:r>
            <w:r w:rsidR="00D6656C" w:rsidRPr="00B44059">
              <w:rPr>
                <w:rFonts w:hint="eastAsia"/>
                <w:rtl/>
              </w:rPr>
              <w:t>ש</w:t>
            </w:r>
            <w:r w:rsidR="00D6656C" w:rsidRPr="00B44059">
              <w:rPr>
                <w:rtl/>
              </w:rPr>
              <w:t>"ח, בהתאמה).</w:t>
            </w:r>
          </w:p>
        </w:tc>
      </w:tr>
      <w:tr w:rsidR="00F264BA" w:rsidRPr="00062F6A" w14:paraId="455AA1BF" w14:textId="77777777" w:rsidTr="00277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1055" w:type="dxa"/>
          </w:tcPr>
          <w:p w14:paraId="715D0C1C" w14:textId="77777777" w:rsidR="00F264BA" w:rsidRPr="00CF2A74" w:rsidRDefault="00F264BA" w:rsidP="00BE5889">
            <w:pPr>
              <w:rPr>
                <w:sz w:val="18"/>
                <w:szCs w:val="18"/>
                <w:rtl/>
              </w:rPr>
            </w:pPr>
          </w:p>
        </w:tc>
        <w:tc>
          <w:tcPr>
            <w:tcW w:w="659" w:type="dxa"/>
          </w:tcPr>
          <w:p w14:paraId="19A69160" w14:textId="77777777" w:rsidR="00F264BA" w:rsidRPr="00EC46DF" w:rsidRDefault="00F264BA" w:rsidP="00BE5889">
            <w:pPr>
              <w:pStyle w:val="-fc"/>
              <w:spacing w:after="0"/>
              <w:rPr>
                <w:b w:val="0"/>
                <w:bCs w:val="0"/>
                <w:rtl/>
              </w:rPr>
            </w:pPr>
            <w:r w:rsidRPr="00EC46DF">
              <w:rPr>
                <w:b w:val="0"/>
                <w:bCs w:val="0"/>
                <w:rtl/>
              </w:rPr>
              <w:t>(</w:t>
            </w:r>
            <w:r w:rsidRPr="00EC46DF">
              <w:rPr>
                <w:rFonts w:hint="eastAsia"/>
                <w:b w:val="0"/>
                <w:bCs w:val="0"/>
                <w:rtl/>
              </w:rPr>
              <w:t>ג</w:t>
            </w:r>
            <w:r w:rsidRPr="00EC46DF">
              <w:rPr>
                <w:b w:val="0"/>
                <w:bCs w:val="0"/>
                <w:rtl/>
              </w:rPr>
              <w:t>)</w:t>
            </w:r>
          </w:p>
        </w:tc>
        <w:tc>
          <w:tcPr>
            <w:tcW w:w="8277" w:type="dxa"/>
            <w:gridSpan w:val="6"/>
          </w:tcPr>
          <w:p w14:paraId="2623C573" w14:textId="4B507DBA" w:rsidR="00F264BA" w:rsidRPr="00CF2A74" w:rsidRDefault="00F264BA" w:rsidP="00BE5889">
            <w:pPr>
              <w:pStyle w:val="-a"/>
              <w:spacing w:after="0"/>
              <w:rPr>
                <w:rtl/>
              </w:rPr>
            </w:pPr>
            <w:r w:rsidRPr="00CF2A74">
              <w:rPr>
                <w:rFonts w:hint="eastAsia"/>
                <w:rtl/>
              </w:rPr>
              <w:t>מזה</w:t>
            </w:r>
            <w:r w:rsidRPr="00CF2A74">
              <w:rPr>
                <w:rtl/>
              </w:rPr>
              <w:t xml:space="preserve">: </w:t>
            </w:r>
            <w:r w:rsidRPr="00CF2A74">
              <w:rPr>
                <w:rFonts w:hint="eastAsia"/>
                <w:rtl/>
              </w:rPr>
              <w:t>בגין</w:t>
            </w:r>
            <w:r w:rsidRPr="00CF2A74">
              <w:rPr>
                <w:rtl/>
              </w:rPr>
              <w:t xml:space="preserve"> </w:t>
            </w:r>
            <w:r w:rsidRPr="00CF2A74">
              <w:rPr>
                <w:rFonts w:hint="eastAsia"/>
                <w:rtl/>
              </w:rPr>
              <w:t>העברת</w:t>
            </w:r>
            <w:r w:rsidRPr="00CF2A74">
              <w:rPr>
                <w:rtl/>
              </w:rPr>
              <w:t xml:space="preserve"> </w:t>
            </w:r>
            <w:r w:rsidR="00A674A4">
              <w:rPr>
                <w:rFonts w:hint="eastAsia"/>
                <w:rtl/>
              </w:rPr>
              <w:t>אגרות</w:t>
            </w:r>
            <w:r w:rsidRPr="00CF2A74">
              <w:rPr>
                <w:rtl/>
              </w:rPr>
              <w:t xml:space="preserve"> </w:t>
            </w:r>
            <w:r w:rsidRPr="00CF2A74">
              <w:rPr>
                <w:rFonts w:hint="eastAsia"/>
                <w:rtl/>
              </w:rPr>
              <w:t>חוב</w:t>
            </w:r>
            <w:r w:rsidRPr="00CF2A74">
              <w:rPr>
                <w:rtl/>
              </w:rPr>
              <w:t xml:space="preserve"> </w:t>
            </w:r>
            <w:r w:rsidRPr="00CF2A74">
              <w:rPr>
                <w:rFonts w:hint="eastAsia"/>
                <w:rtl/>
              </w:rPr>
              <w:t>לתיק</w:t>
            </w:r>
            <w:r w:rsidRPr="00CF2A74">
              <w:rPr>
                <w:rtl/>
              </w:rPr>
              <w:t xml:space="preserve"> </w:t>
            </w:r>
            <w:r w:rsidRPr="00CF2A74">
              <w:rPr>
                <w:rFonts w:hint="eastAsia"/>
                <w:rtl/>
              </w:rPr>
              <w:t>למסחר</w:t>
            </w:r>
            <w:r w:rsidRPr="00CF2A74">
              <w:rPr>
                <w:rtl/>
              </w:rPr>
              <w:t xml:space="preserve"> </w:t>
            </w:r>
            <w:r w:rsidR="00D6656C" w:rsidRPr="00B44059">
              <w:rPr>
                <w:rFonts w:hint="eastAsia"/>
                <w:rtl/>
              </w:rPr>
              <w:t>בתקופות</w:t>
            </w:r>
            <w:r w:rsidR="00D6656C" w:rsidRPr="00B44059">
              <w:rPr>
                <w:rtl/>
              </w:rPr>
              <w:t xml:space="preserve"> </w:t>
            </w:r>
            <w:r w:rsidR="00D6656C" w:rsidRPr="00B44059">
              <w:rPr>
                <w:rFonts w:hint="eastAsia"/>
                <w:rtl/>
              </w:rPr>
              <w:t>של</w:t>
            </w:r>
            <w:r w:rsidR="00D6656C" w:rsidRPr="00B44059">
              <w:rPr>
                <w:rtl/>
              </w:rPr>
              <w:t xml:space="preserve"> </w:t>
            </w:r>
            <w:r w:rsidR="00D6656C" w:rsidRPr="00B44059">
              <w:rPr>
                <w:rFonts w:hint="eastAsia"/>
                <w:rtl/>
              </w:rPr>
              <w:t>שלושה</w:t>
            </w:r>
            <w:r w:rsidR="00D6656C" w:rsidRPr="00B44059">
              <w:rPr>
                <w:rtl/>
              </w:rPr>
              <w:t xml:space="preserve"> חודשים </w:t>
            </w:r>
            <w:r w:rsidR="00D6656C">
              <w:rPr>
                <w:rFonts w:hint="cs"/>
                <w:rtl/>
              </w:rPr>
              <w:t xml:space="preserve">ושישה חודשים </w:t>
            </w:r>
            <w:r w:rsidR="00D6656C" w:rsidRPr="00B44059">
              <w:rPr>
                <w:rtl/>
              </w:rPr>
              <w:t xml:space="preserve">שהסתיימו ביום 30 ביוני </w:t>
            </w:r>
            <w:r w:rsidR="00D6656C" w:rsidRPr="008D7F4E">
              <w:rPr>
                <w:sz w:val="16"/>
                <w:szCs w:val="16"/>
                <w:rtl/>
              </w:rPr>
              <w:fldChar w:fldCharType="begin"/>
            </w:r>
            <w:r w:rsidR="00D6656C" w:rsidRPr="008D7F4E">
              <w:rPr>
                <w:sz w:val="16"/>
                <w:szCs w:val="16"/>
                <w:rtl/>
              </w:rPr>
              <w:instrText xml:space="preserve"> </w:instrText>
            </w:r>
            <w:r w:rsidR="00D6656C" w:rsidRPr="008D7F4E">
              <w:rPr>
                <w:rFonts w:hint="cs"/>
                <w:sz w:val="16"/>
                <w:szCs w:val="16"/>
                <w:rtl/>
              </w:rPr>
              <w:instrText xml:space="preserve">= </w:instrText>
            </w:r>
            <w:r w:rsidR="00D6656C" w:rsidRPr="008D7F4E">
              <w:rPr>
                <w:rFonts w:hint="cs"/>
                <w:sz w:val="16"/>
                <w:szCs w:val="16"/>
              </w:rPr>
              <w:instrText>CY \* MERGEFORMAT</w:instrText>
            </w:r>
            <w:r w:rsidR="00D6656C" w:rsidRPr="008D7F4E">
              <w:rPr>
                <w:sz w:val="16"/>
                <w:szCs w:val="16"/>
                <w:rtl/>
              </w:rPr>
              <w:instrText xml:space="preserve"> </w:instrText>
            </w:r>
            <w:r w:rsidR="00D6656C" w:rsidRPr="008D7F4E">
              <w:rPr>
                <w:sz w:val="16"/>
                <w:szCs w:val="16"/>
                <w:rtl/>
              </w:rPr>
              <w:fldChar w:fldCharType="separate"/>
            </w:r>
            <w:r w:rsidR="003A584F" w:rsidRPr="003A584F">
              <w:rPr>
                <w:noProof/>
                <w:rtl/>
              </w:rPr>
              <w:t>2024</w:t>
            </w:r>
            <w:r w:rsidR="00D6656C" w:rsidRPr="008D7F4E">
              <w:rPr>
                <w:sz w:val="16"/>
                <w:szCs w:val="16"/>
                <w:rtl/>
              </w:rPr>
              <w:fldChar w:fldCharType="end"/>
            </w:r>
            <w:r w:rsidR="00D6656C">
              <w:rPr>
                <w:rFonts w:hint="cs"/>
                <w:rtl/>
              </w:rPr>
              <w:t xml:space="preserve"> </w:t>
            </w:r>
            <w:r w:rsidR="00D6656C" w:rsidRPr="00B44059">
              <w:rPr>
                <w:rFonts w:hint="eastAsia"/>
                <w:rtl/>
              </w:rPr>
              <w:t>בסך</w:t>
            </w:r>
            <w:r w:rsidR="00D6656C" w:rsidRPr="00B44059">
              <w:rPr>
                <w:rtl/>
              </w:rPr>
              <w:t xml:space="preserve"> ___, ___ </w:t>
            </w:r>
            <w:r w:rsidR="00D6656C" w:rsidRPr="00B44059">
              <w:rPr>
                <w:rFonts w:hint="eastAsia"/>
                <w:rtl/>
              </w:rPr>
              <w:t>מיליוני</w:t>
            </w:r>
            <w:r w:rsidR="00D6656C" w:rsidRPr="00B44059">
              <w:rPr>
                <w:rtl/>
              </w:rPr>
              <w:t xml:space="preserve"> </w:t>
            </w:r>
            <w:r w:rsidR="00D6656C" w:rsidRPr="00B44059">
              <w:rPr>
                <w:rFonts w:hint="eastAsia"/>
                <w:rtl/>
              </w:rPr>
              <w:t>ש</w:t>
            </w:r>
            <w:r w:rsidR="00D6656C" w:rsidRPr="00B44059">
              <w:rPr>
                <w:rtl/>
              </w:rPr>
              <w:t xml:space="preserve">"ח, </w:t>
            </w:r>
            <w:r w:rsidR="00D6656C" w:rsidRPr="00B44059">
              <w:rPr>
                <w:rFonts w:hint="eastAsia"/>
                <w:rtl/>
              </w:rPr>
              <w:t>בהתאמה</w:t>
            </w:r>
            <w:r w:rsidR="00D6656C" w:rsidRPr="00B44059">
              <w:rPr>
                <w:rtl/>
              </w:rPr>
              <w:t xml:space="preserve"> (</w:t>
            </w:r>
            <w:r w:rsidR="00D6656C" w:rsidRPr="00B44059">
              <w:rPr>
                <w:rFonts w:hint="eastAsia"/>
                <w:rtl/>
              </w:rPr>
              <w:t>בתקופות</w:t>
            </w:r>
            <w:r w:rsidR="00D6656C" w:rsidRPr="00B44059">
              <w:rPr>
                <w:rtl/>
              </w:rPr>
              <w:t xml:space="preserve"> </w:t>
            </w:r>
            <w:r w:rsidR="00D6656C" w:rsidRPr="00B44059">
              <w:rPr>
                <w:rFonts w:hint="eastAsia"/>
                <w:rtl/>
              </w:rPr>
              <w:t>של</w:t>
            </w:r>
            <w:r w:rsidR="00D6656C" w:rsidRPr="00B44059">
              <w:rPr>
                <w:rtl/>
              </w:rPr>
              <w:t xml:space="preserve"> </w:t>
            </w:r>
            <w:r w:rsidR="00D6656C">
              <w:rPr>
                <w:rFonts w:hint="cs"/>
                <w:rtl/>
              </w:rPr>
              <w:t>שלושה חודשים ו</w:t>
            </w:r>
            <w:r w:rsidR="00D6656C" w:rsidRPr="00B44059">
              <w:rPr>
                <w:rFonts w:hint="eastAsia"/>
                <w:rtl/>
              </w:rPr>
              <w:t>שישה</w:t>
            </w:r>
            <w:r w:rsidR="00D6656C" w:rsidRPr="00B44059">
              <w:rPr>
                <w:rtl/>
              </w:rPr>
              <w:t xml:space="preserve"> חודשים שהסתיימו ביום</w:t>
            </w:r>
            <w:r w:rsidR="00D6656C">
              <w:rPr>
                <w:rFonts w:hint="cs"/>
                <w:rtl/>
              </w:rPr>
              <w:t xml:space="preserve"> </w:t>
            </w:r>
            <w:r w:rsidR="00D6656C" w:rsidRPr="00B44059">
              <w:rPr>
                <w:rtl/>
              </w:rPr>
              <w:t xml:space="preserve">30 ביוני </w:t>
            </w:r>
            <w:r w:rsidR="00D6656C" w:rsidRPr="008D7F4E">
              <w:rPr>
                <w:sz w:val="16"/>
                <w:szCs w:val="16"/>
                <w:rtl/>
              </w:rPr>
              <w:fldChar w:fldCharType="begin"/>
            </w:r>
            <w:r w:rsidR="00D6656C" w:rsidRPr="008D7F4E">
              <w:rPr>
                <w:sz w:val="16"/>
                <w:szCs w:val="16"/>
                <w:rtl/>
              </w:rPr>
              <w:instrText xml:space="preserve"> </w:instrText>
            </w:r>
            <w:r w:rsidR="00D6656C" w:rsidRPr="008D7F4E">
              <w:rPr>
                <w:rFonts w:hint="cs"/>
                <w:sz w:val="16"/>
                <w:szCs w:val="16"/>
                <w:rtl/>
              </w:rPr>
              <w:instrText xml:space="preserve">= </w:instrText>
            </w:r>
            <w:r w:rsidR="00D6656C" w:rsidRPr="008D7F4E">
              <w:rPr>
                <w:rFonts w:hint="cs"/>
                <w:sz w:val="16"/>
                <w:szCs w:val="16"/>
              </w:rPr>
              <w:instrText>CY</w:instrText>
            </w:r>
            <w:r w:rsidR="00D6656C" w:rsidRPr="008D7F4E">
              <w:rPr>
                <w:sz w:val="16"/>
                <w:szCs w:val="16"/>
              </w:rPr>
              <w:instrText>-1</w:instrText>
            </w:r>
            <w:r w:rsidR="00D6656C" w:rsidRPr="008D7F4E">
              <w:rPr>
                <w:rFonts w:hint="cs"/>
                <w:sz w:val="16"/>
                <w:szCs w:val="16"/>
              </w:rPr>
              <w:instrText xml:space="preserve"> \* MERGEFORMAT</w:instrText>
            </w:r>
            <w:r w:rsidR="00D6656C" w:rsidRPr="008D7F4E">
              <w:rPr>
                <w:sz w:val="16"/>
                <w:szCs w:val="16"/>
                <w:rtl/>
              </w:rPr>
              <w:instrText xml:space="preserve"> </w:instrText>
            </w:r>
            <w:r w:rsidR="00D6656C" w:rsidRPr="008D7F4E">
              <w:rPr>
                <w:sz w:val="16"/>
                <w:szCs w:val="16"/>
                <w:rtl/>
              </w:rPr>
              <w:fldChar w:fldCharType="separate"/>
            </w:r>
            <w:r w:rsidR="003A584F" w:rsidRPr="003A584F">
              <w:rPr>
                <w:noProof/>
                <w:rtl/>
              </w:rPr>
              <w:t>2023</w:t>
            </w:r>
            <w:r w:rsidR="00D6656C" w:rsidRPr="008D7F4E">
              <w:rPr>
                <w:sz w:val="16"/>
                <w:szCs w:val="16"/>
                <w:rtl/>
              </w:rPr>
              <w:fldChar w:fldCharType="end"/>
            </w:r>
            <w:r w:rsidR="00D6656C">
              <w:rPr>
                <w:rFonts w:hint="cs"/>
                <w:rtl/>
              </w:rPr>
              <w:t xml:space="preserve"> </w:t>
            </w:r>
            <w:r w:rsidR="00D6656C" w:rsidRPr="00B44059">
              <w:rPr>
                <w:rFonts w:hint="eastAsia"/>
                <w:rtl/>
              </w:rPr>
              <w:t>בסך</w:t>
            </w:r>
            <w:r w:rsidR="00D6656C" w:rsidRPr="00B44059">
              <w:rPr>
                <w:rtl/>
              </w:rPr>
              <w:t xml:space="preserve"> ___, ___ </w:t>
            </w:r>
            <w:r w:rsidR="00D6656C" w:rsidRPr="00B44059">
              <w:rPr>
                <w:rFonts w:hint="eastAsia"/>
                <w:rtl/>
              </w:rPr>
              <w:t>מיליוני</w:t>
            </w:r>
            <w:r w:rsidR="00D6656C" w:rsidRPr="00B44059">
              <w:rPr>
                <w:rtl/>
              </w:rPr>
              <w:t xml:space="preserve"> </w:t>
            </w:r>
            <w:r w:rsidR="00D6656C" w:rsidRPr="00B44059">
              <w:rPr>
                <w:rFonts w:hint="eastAsia"/>
                <w:rtl/>
              </w:rPr>
              <w:t>ש</w:t>
            </w:r>
            <w:r w:rsidR="00D6656C" w:rsidRPr="00B44059">
              <w:rPr>
                <w:rtl/>
              </w:rPr>
              <w:t>"ח, בהתאמה).</w:t>
            </w:r>
          </w:p>
        </w:tc>
      </w:tr>
      <w:tr w:rsidR="00F264BA" w:rsidRPr="00062F6A" w14:paraId="7C4938B4" w14:textId="77777777" w:rsidTr="00277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1055" w:type="dxa"/>
          </w:tcPr>
          <w:p w14:paraId="40FBF57A" w14:textId="77777777" w:rsidR="00F264BA" w:rsidRPr="00CF2A74" w:rsidRDefault="00F264BA" w:rsidP="00BE5889">
            <w:pPr>
              <w:rPr>
                <w:sz w:val="18"/>
                <w:szCs w:val="18"/>
                <w:rtl/>
              </w:rPr>
            </w:pPr>
          </w:p>
        </w:tc>
        <w:tc>
          <w:tcPr>
            <w:tcW w:w="659" w:type="dxa"/>
          </w:tcPr>
          <w:p w14:paraId="1D05220A" w14:textId="77777777" w:rsidR="00F264BA" w:rsidRPr="00EC46DF" w:rsidRDefault="00F264BA" w:rsidP="00BE5889">
            <w:pPr>
              <w:pStyle w:val="-fc"/>
              <w:spacing w:after="0"/>
              <w:rPr>
                <w:b w:val="0"/>
                <w:bCs w:val="0"/>
                <w:rtl/>
              </w:rPr>
            </w:pPr>
            <w:r w:rsidRPr="00EC46DF">
              <w:rPr>
                <w:b w:val="0"/>
                <w:bCs w:val="0"/>
                <w:rtl/>
              </w:rPr>
              <w:t>(</w:t>
            </w:r>
            <w:r w:rsidRPr="00EC46DF">
              <w:rPr>
                <w:rFonts w:hint="eastAsia"/>
                <w:b w:val="0"/>
                <w:bCs w:val="0"/>
                <w:rtl/>
              </w:rPr>
              <w:t>ד</w:t>
            </w:r>
            <w:r w:rsidRPr="00EC46DF">
              <w:rPr>
                <w:b w:val="0"/>
                <w:bCs w:val="0"/>
                <w:rtl/>
              </w:rPr>
              <w:t>)</w:t>
            </w:r>
          </w:p>
        </w:tc>
        <w:tc>
          <w:tcPr>
            <w:tcW w:w="8277" w:type="dxa"/>
            <w:gridSpan w:val="6"/>
          </w:tcPr>
          <w:p w14:paraId="68F78F81" w14:textId="77777777" w:rsidR="00F264BA" w:rsidRPr="00CF2A74" w:rsidRDefault="00F264BA" w:rsidP="00BE5889">
            <w:pPr>
              <w:pStyle w:val="-a"/>
              <w:spacing w:after="0"/>
              <w:rPr>
                <w:rtl/>
              </w:rPr>
            </w:pPr>
            <w:r w:rsidRPr="00CF2A74">
              <w:rPr>
                <w:rFonts w:hint="eastAsia"/>
                <w:rtl/>
              </w:rPr>
              <w:t>סווג</w:t>
            </w:r>
            <w:r w:rsidRPr="00CF2A74">
              <w:rPr>
                <w:rtl/>
              </w:rPr>
              <w:t xml:space="preserve"> </w:t>
            </w:r>
            <w:r w:rsidRPr="00CF2A74">
              <w:rPr>
                <w:rFonts w:hint="eastAsia"/>
                <w:rtl/>
              </w:rPr>
              <w:t>מחדש</w:t>
            </w:r>
            <w:r w:rsidRPr="00CF2A74">
              <w:rPr>
                <w:rtl/>
              </w:rPr>
              <w:t xml:space="preserve"> מרווח כולל אחר מצטבר</w:t>
            </w:r>
            <w:r>
              <w:rPr>
                <w:rFonts w:hint="cs"/>
                <w:rtl/>
              </w:rPr>
              <w:t>.</w:t>
            </w:r>
          </w:p>
        </w:tc>
      </w:tr>
      <w:tr w:rsidR="00F264BA" w:rsidRPr="00062F6A" w14:paraId="4D60D99C" w14:textId="77777777" w:rsidTr="002770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1055" w:type="dxa"/>
          </w:tcPr>
          <w:p w14:paraId="2011405D" w14:textId="77777777" w:rsidR="00F264BA" w:rsidRPr="00CF2A74" w:rsidRDefault="00F264BA" w:rsidP="00BE5889">
            <w:pPr>
              <w:rPr>
                <w:sz w:val="18"/>
                <w:szCs w:val="18"/>
                <w:rtl/>
              </w:rPr>
            </w:pPr>
          </w:p>
        </w:tc>
        <w:tc>
          <w:tcPr>
            <w:tcW w:w="659" w:type="dxa"/>
          </w:tcPr>
          <w:p w14:paraId="50DEE3B6" w14:textId="77777777" w:rsidR="00F264BA" w:rsidRPr="00EC46DF" w:rsidRDefault="00F264BA" w:rsidP="00BE5889">
            <w:pPr>
              <w:pStyle w:val="-fc"/>
              <w:spacing w:after="0"/>
              <w:rPr>
                <w:b w:val="0"/>
                <w:bCs w:val="0"/>
                <w:rtl/>
              </w:rPr>
            </w:pPr>
            <w:r w:rsidRPr="00EC46DF">
              <w:rPr>
                <w:b w:val="0"/>
                <w:bCs w:val="0"/>
                <w:rtl/>
              </w:rPr>
              <w:t>(</w:t>
            </w:r>
            <w:r w:rsidRPr="00EC46DF">
              <w:rPr>
                <w:rFonts w:hint="eastAsia"/>
                <w:b w:val="0"/>
                <w:bCs w:val="0"/>
                <w:rtl/>
              </w:rPr>
              <w:t>ה</w:t>
            </w:r>
            <w:r w:rsidRPr="00EC46DF">
              <w:rPr>
                <w:b w:val="0"/>
                <w:bCs w:val="0"/>
                <w:rtl/>
              </w:rPr>
              <w:t>)</w:t>
            </w:r>
          </w:p>
        </w:tc>
        <w:tc>
          <w:tcPr>
            <w:tcW w:w="8277" w:type="dxa"/>
            <w:gridSpan w:val="6"/>
          </w:tcPr>
          <w:p w14:paraId="1BE5F851" w14:textId="3242BD6B" w:rsidR="003A0847" w:rsidRDefault="00F264BA" w:rsidP="00523DDF">
            <w:pPr>
              <w:pStyle w:val="-a"/>
              <w:spacing w:after="0"/>
              <w:rPr>
                <w:rtl/>
              </w:rPr>
            </w:pPr>
            <w:r w:rsidRPr="00B47366">
              <w:rPr>
                <w:rFonts w:hint="cs"/>
                <w:rtl/>
              </w:rPr>
              <w:t>לרבות רווחים והפסדים ממדידה לפי שווי הוגן של מניות ש</w:t>
            </w:r>
            <w:r w:rsidR="00411801">
              <w:rPr>
                <w:rFonts w:hint="cs"/>
                <w:rtl/>
              </w:rPr>
              <w:t>קיים</w:t>
            </w:r>
            <w:r w:rsidRPr="00B47366">
              <w:rPr>
                <w:rFonts w:hint="cs"/>
                <w:rtl/>
              </w:rPr>
              <w:t xml:space="preserve"> לגביהן שווי הוגן זמין וכן </w:t>
            </w:r>
            <w:r w:rsidR="00523DDF">
              <w:rPr>
                <w:rFonts w:hint="cs"/>
                <w:rtl/>
              </w:rPr>
              <w:t>לגבי מנ</w:t>
            </w:r>
            <w:r w:rsidRPr="00B47366">
              <w:rPr>
                <w:rFonts w:hint="cs"/>
                <w:rtl/>
              </w:rPr>
              <w:t xml:space="preserve">יות שלא </w:t>
            </w:r>
            <w:r w:rsidR="00411801">
              <w:rPr>
                <w:rFonts w:hint="cs"/>
                <w:rtl/>
              </w:rPr>
              <w:t>קיים</w:t>
            </w:r>
            <w:r w:rsidRPr="00B47366">
              <w:rPr>
                <w:rFonts w:hint="cs"/>
                <w:rtl/>
              </w:rPr>
              <w:t xml:space="preserve"> לגביהן שווי הוגן זמין</w:t>
            </w:r>
            <w:r w:rsidR="00523DDF">
              <w:rPr>
                <w:rFonts w:hint="cs"/>
                <w:rtl/>
              </w:rPr>
              <w:t xml:space="preserve"> </w:t>
            </w:r>
            <w:r w:rsidR="00523DDF">
              <w:rPr>
                <w:rtl/>
              </w:rPr>
              <w:t>–</w:t>
            </w:r>
            <w:r w:rsidR="00523DDF">
              <w:rPr>
                <w:rFonts w:hint="cs"/>
                <w:rtl/>
              </w:rPr>
              <w:t xml:space="preserve"> התאמות לשווי הוגן בגין שינויים במחירים נצפים, אם זוהו</w:t>
            </w:r>
            <w:r w:rsidRPr="00B47366">
              <w:rPr>
                <w:rFonts w:hint="cs"/>
                <w:rtl/>
              </w:rPr>
              <w:t xml:space="preserve"> (פרט אם מהותי).</w:t>
            </w:r>
            <w:r>
              <w:rPr>
                <w:rFonts w:hint="cs"/>
                <w:rtl/>
              </w:rPr>
              <w:t xml:space="preserve"> </w:t>
            </w:r>
          </w:p>
          <w:p w14:paraId="1416E521" w14:textId="6270C943" w:rsidR="00793FA6" w:rsidRPr="00CF2A74" w:rsidRDefault="00793FA6" w:rsidP="00231CE6">
            <w:pPr>
              <w:pStyle w:val="-a"/>
              <w:spacing w:after="0"/>
              <w:rPr>
                <w:rtl/>
              </w:rPr>
            </w:pPr>
          </w:p>
        </w:tc>
      </w:tr>
    </w:tbl>
    <w:p w14:paraId="41EBE1AA" w14:textId="77777777" w:rsidR="00D6656C" w:rsidRDefault="00D6656C">
      <w:pPr>
        <w:bidi w:val="0"/>
        <w:jc w:val="left"/>
      </w:pPr>
      <w:r>
        <w:rPr>
          <w:rtl/>
        </w:rPr>
        <w:br w:type="page"/>
      </w:r>
    </w:p>
    <w:tbl>
      <w:tblPr>
        <w:bidiVisual/>
        <w:tblW w:w="4727" w:type="pct"/>
        <w:tblLayout w:type="fixed"/>
        <w:tblLook w:val="04A0" w:firstRow="1" w:lastRow="0" w:firstColumn="1" w:lastColumn="0" w:noHBand="0" w:noVBand="1"/>
      </w:tblPr>
      <w:tblGrid>
        <w:gridCol w:w="1134"/>
        <w:gridCol w:w="8492"/>
        <w:gridCol w:w="24"/>
      </w:tblGrid>
      <w:tr w:rsidR="00D0470C" w:rsidRPr="00543C25" w14:paraId="0B709C5B" w14:textId="77777777" w:rsidTr="00EC46DF">
        <w:trPr>
          <w:trHeight w:val="259"/>
        </w:trPr>
        <w:tc>
          <w:tcPr>
            <w:tcW w:w="1134" w:type="dxa"/>
          </w:tcPr>
          <w:p w14:paraId="02892AB8" w14:textId="77777777" w:rsidR="00D0470C" w:rsidRPr="00543C25" w:rsidRDefault="0036606B" w:rsidP="006F3019">
            <w:pPr>
              <w:pStyle w:val="-fa"/>
              <w:spacing w:before="0" w:after="60"/>
            </w:pPr>
            <w:r w:rsidRPr="00EA192D">
              <w:rPr>
                <w:b/>
                <w:bCs/>
              </w:rPr>
              <w:lastRenderedPageBreak/>
              <w:br w:type="page"/>
            </w:r>
          </w:p>
        </w:tc>
        <w:tc>
          <w:tcPr>
            <w:tcW w:w="8516" w:type="dxa"/>
            <w:gridSpan w:val="2"/>
          </w:tcPr>
          <w:p w14:paraId="63388C70" w14:textId="77777777" w:rsidR="00F32A2A" w:rsidRDefault="00D0470C">
            <w:pPr>
              <w:pStyle w:val="-8"/>
              <w:rPr>
                <w:rtl/>
              </w:rPr>
            </w:pPr>
            <w:r w:rsidRPr="007369EE">
              <w:rPr>
                <w:rFonts w:eastAsia="Arial Unicode MS"/>
                <w:rtl/>
              </w:rPr>
              <w:t xml:space="preserve">ביאור </w:t>
            </w:r>
            <w:r>
              <w:rPr>
                <w:rFonts w:eastAsia="Arial Unicode MS" w:hint="cs"/>
                <w:rtl/>
              </w:rPr>
              <w:t>3</w:t>
            </w:r>
            <w:r w:rsidRPr="007369EE">
              <w:rPr>
                <w:rFonts w:eastAsia="Arial Unicode MS" w:hint="cs"/>
                <w:rtl/>
              </w:rPr>
              <w:t xml:space="preserve">  </w:t>
            </w:r>
            <w:r w:rsidRPr="007369EE">
              <w:rPr>
                <w:rFonts w:eastAsia="Arial Unicode MS"/>
                <w:rtl/>
              </w:rPr>
              <w:t>-</w:t>
            </w:r>
            <w:r w:rsidRPr="007369EE">
              <w:rPr>
                <w:rFonts w:eastAsia="Arial Unicode MS" w:hint="cs"/>
                <w:rtl/>
              </w:rPr>
              <w:t xml:space="preserve"> </w:t>
            </w:r>
            <w:r w:rsidRPr="007369EE">
              <w:rPr>
                <w:rFonts w:eastAsia="Arial Unicode MS"/>
                <w:rtl/>
              </w:rPr>
              <w:t xml:space="preserve"> </w:t>
            </w:r>
            <w:r>
              <w:rPr>
                <w:rFonts w:hint="cs"/>
                <w:rtl/>
              </w:rPr>
              <w:t>הכנסות מימון שאינן מריבית (המשך):</w:t>
            </w:r>
          </w:p>
        </w:tc>
      </w:tr>
      <w:tr w:rsidR="003765C0" w:rsidRPr="007363C7" w14:paraId="390CAEC4" w14:textId="77777777" w:rsidTr="00C24C73">
        <w:tblPrEx>
          <w:jc w:val="right"/>
          <w:tblLook w:val="0000" w:firstRow="0" w:lastRow="0" w:firstColumn="0" w:lastColumn="0" w:noHBand="0" w:noVBand="0"/>
        </w:tblPrEx>
        <w:trPr>
          <w:gridAfter w:val="1"/>
          <w:wAfter w:w="24" w:type="dxa"/>
          <w:trHeight w:val="245"/>
          <w:jc w:val="right"/>
        </w:trPr>
        <w:tc>
          <w:tcPr>
            <w:tcW w:w="1134" w:type="dxa"/>
            <w:vAlign w:val="center"/>
          </w:tcPr>
          <w:p w14:paraId="7A2AF63E" w14:textId="5FD5620F" w:rsidR="003765C0" w:rsidRDefault="003765C0">
            <w:pPr>
              <w:pStyle w:val="-7"/>
              <w:spacing w:before="100" w:after="40" w:line="240" w:lineRule="auto"/>
              <w:rPr>
                <w:sz w:val="14"/>
                <w:szCs w:val="14"/>
                <w:rtl/>
              </w:rPr>
            </w:pPr>
          </w:p>
        </w:tc>
        <w:tc>
          <w:tcPr>
            <w:tcW w:w="8492" w:type="dxa"/>
            <w:vAlign w:val="bottom"/>
          </w:tcPr>
          <w:p w14:paraId="6E93D985" w14:textId="5859160C" w:rsidR="003765C0" w:rsidRDefault="003765C0" w:rsidP="003765C0">
            <w:pPr>
              <w:pStyle w:val="-f4"/>
              <w:spacing w:after="40" w:line="240" w:lineRule="auto"/>
              <w:jc w:val="left"/>
              <w:rPr>
                <w:rtl/>
              </w:rPr>
            </w:pPr>
            <w:r>
              <w:rPr>
                <w:rFonts w:hint="cs"/>
                <w:rtl/>
              </w:rPr>
              <w:t xml:space="preserve">ב. </w:t>
            </w:r>
            <w:r w:rsidRPr="00CF2A74">
              <w:rPr>
                <w:rFonts w:hint="eastAsia"/>
                <w:rtl/>
              </w:rPr>
              <w:t>הכנסות</w:t>
            </w:r>
            <w:r w:rsidRPr="00CF2A74">
              <w:rPr>
                <w:rtl/>
              </w:rPr>
              <w:t xml:space="preserve"> </w:t>
            </w:r>
            <w:r w:rsidRPr="00CF2A74">
              <w:rPr>
                <w:rFonts w:hint="eastAsia"/>
                <w:rtl/>
              </w:rPr>
              <w:t>מימון</w:t>
            </w:r>
            <w:r w:rsidRPr="00CF2A74">
              <w:rPr>
                <w:rtl/>
              </w:rPr>
              <w:t xml:space="preserve"> </w:t>
            </w:r>
            <w:r w:rsidRPr="00CF2A74">
              <w:rPr>
                <w:rFonts w:hint="eastAsia"/>
                <w:rtl/>
              </w:rPr>
              <w:t>שאינן</w:t>
            </w:r>
            <w:r w:rsidRPr="00CF2A74">
              <w:rPr>
                <w:rtl/>
              </w:rPr>
              <w:t xml:space="preserve"> </w:t>
            </w:r>
            <w:r w:rsidRPr="00CF2A74">
              <w:rPr>
                <w:rFonts w:hint="eastAsia"/>
                <w:rtl/>
              </w:rPr>
              <w:t>מריבית</w:t>
            </w:r>
            <w:r w:rsidRPr="00CF2A74">
              <w:rPr>
                <w:rtl/>
              </w:rPr>
              <w:t xml:space="preserve"> </w:t>
            </w:r>
            <w:r w:rsidRPr="00CF2A74">
              <w:rPr>
                <w:rFonts w:hint="eastAsia"/>
                <w:rtl/>
              </w:rPr>
              <w:t>בגין</w:t>
            </w:r>
            <w:r w:rsidRPr="00CF2A74">
              <w:rPr>
                <w:rtl/>
              </w:rPr>
              <w:t xml:space="preserve"> </w:t>
            </w:r>
            <w:r w:rsidRPr="00CF2A74">
              <w:rPr>
                <w:rFonts w:hint="eastAsia"/>
                <w:rtl/>
              </w:rPr>
              <w:t>פעילויות</w:t>
            </w:r>
            <w:r w:rsidRPr="00CF2A74">
              <w:rPr>
                <w:rtl/>
              </w:rPr>
              <w:t xml:space="preserve"> </w:t>
            </w:r>
            <w:r w:rsidRPr="00CF2A74">
              <w:rPr>
                <w:rFonts w:hint="eastAsia"/>
                <w:rtl/>
              </w:rPr>
              <w:t>למטרת</w:t>
            </w:r>
            <w:r w:rsidRPr="00CF2A74">
              <w:rPr>
                <w:rtl/>
              </w:rPr>
              <w:t xml:space="preserve"> </w:t>
            </w:r>
            <w:r w:rsidRPr="00CF2A74">
              <w:rPr>
                <w:rFonts w:hint="eastAsia"/>
                <w:rtl/>
              </w:rPr>
              <w:t>מסחר</w:t>
            </w:r>
            <w:r>
              <w:rPr>
                <w:rFonts w:hint="cs"/>
                <w:rtl/>
              </w:rPr>
              <w:t>:</w:t>
            </w:r>
            <w:r w:rsidRPr="00CF2A74">
              <w:rPr>
                <w:vertAlign w:val="superscript"/>
                <w:rtl/>
              </w:rPr>
              <w:t>(א)</w:t>
            </w:r>
            <w:r>
              <w:rPr>
                <w:rFonts w:hint="cs"/>
                <w:vertAlign w:val="superscript"/>
                <w:rtl/>
              </w:rPr>
              <w:t xml:space="preserve"> </w:t>
            </w:r>
          </w:p>
        </w:tc>
      </w:tr>
    </w:tbl>
    <w:p w14:paraId="36995AF6" w14:textId="77777777" w:rsidR="00D0470C" w:rsidRDefault="00D0470C" w:rsidP="00D0470C">
      <w:pPr>
        <w:bidi w:val="0"/>
        <w:spacing w:line="60" w:lineRule="exact"/>
      </w:pPr>
    </w:p>
    <w:tbl>
      <w:tblPr>
        <w:bidiVisual/>
        <w:tblW w:w="10416"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375"/>
        <w:gridCol w:w="4053"/>
        <w:gridCol w:w="375"/>
        <w:gridCol w:w="742"/>
        <w:gridCol w:w="375"/>
        <w:gridCol w:w="675"/>
        <w:gridCol w:w="375"/>
        <w:gridCol w:w="689"/>
        <w:gridCol w:w="375"/>
        <w:gridCol w:w="703"/>
        <w:gridCol w:w="375"/>
      </w:tblGrid>
      <w:tr w:rsidR="00D0470C" w:rsidRPr="00543C25" w14:paraId="105FCB44" w14:textId="77777777" w:rsidTr="00EC46DF">
        <w:trPr>
          <w:gridAfter w:val="1"/>
          <w:wAfter w:w="375" w:type="dxa"/>
          <w:trHeight w:val="259"/>
        </w:trPr>
        <w:tc>
          <w:tcPr>
            <w:tcW w:w="1304" w:type="dxa"/>
            <w:tcBorders>
              <w:top w:val="nil"/>
              <w:left w:val="nil"/>
              <w:bottom w:val="nil"/>
              <w:right w:val="nil"/>
            </w:tcBorders>
          </w:tcPr>
          <w:p w14:paraId="34436D54" w14:textId="77777777" w:rsidR="00F32A2A" w:rsidRDefault="00D0470C" w:rsidP="00072D2C">
            <w:pPr>
              <w:pStyle w:val="-0"/>
              <w:spacing w:line="240" w:lineRule="auto"/>
              <w:ind w:left="245" w:firstLine="0"/>
              <w:rPr>
                <w:sz w:val="14"/>
                <w:szCs w:val="14"/>
                <w:rtl/>
              </w:rPr>
            </w:pPr>
            <w:r w:rsidRPr="00F21F88">
              <w:rPr>
                <w:rFonts w:hint="cs"/>
                <w:sz w:val="14"/>
                <w:szCs w:val="14"/>
                <w:rtl/>
              </w:rPr>
              <w:t xml:space="preserve">מתכונת ביאור </w:t>
            </w:r>
            <w:r w:rsidRPr="00F21F88">
              <w:rPr>
                <w:sz w:val="14"/>
                <w:szCs w:val="14"/>
                <w:rtl/>
              </w:rPr>
              <w:br/>
            </w:r>
            <w:r w:rsidRPr="00F21F88">
              <w:rPr>
                <w:rFonts w:hint="cs"/>
                <w:sz w:val="14"/>
                <w:szCs w:val="14"/>
                <w:rtl/>
              </w:rPr>
              <w:t>עמ' 663-</w:t>
            </w:r>
            <w:r>
              <w:rPr>
                <w:rFonts w:hint="cs"/>
                <w:sz w:val="14"/>
                <w:szCs w:val="14"/>
                <w:rtl/>
              </w:rPr>
              <w:t>17</w:t>
            </w:r>
          </w:p>
        </w:tc>
        <w:tc>
          <w:tcPr>
            <w:tcW w:w="4428" w:type="dxa"/>
            <w:gridSpan w:val="2"/>
            <w:tcBorders>
              <w:top w:val="nil"/>
              <w:left w:val="nil"/>
              <w:bottom w:val="nil"/>
              <w:right w:val="nil"/>
            </w:tcBorders>
            <w:vAlign w:val="bottom"/>
          </w:tcPr>
          <w:p w14:paraId="19C600D1" w14:textId="77777777" w:rsidR="00D0470C" w:rsidRPr="000825CF" w:rsidRDefault="00D0470C" w:rsidP="006F3019">
            <w:pPr>
              <w:pStyle w:val="-0"/>
              <w:rPr>
                <w:rtl/>
              </w:rPr>
            </w:pPr>
          </w:p>
        </w:tc>
        <w:tc>
          <w:tcPr>
            <w:tcW w:w="2167" w:type="dxa"/>
            <w:gridSpan w:val="4"/>
            <w:tcBorders>
              <w:top w:val="nil"/>
              <w:left w:val="nil"/>
              <w:bottom w:val="nil"/>
              <w:right w:val="nil"/>
            </w:tcBorders>
            <w:vAlign w:val="bottom"/>
          </w:tcPr>
          <w:p w14:paraId="5C1A0879" w14:textId="77777777" w:rsidR="00F32A2A" w:rsidRDefault="00B44059">
            <w:pPr>
              <w:pStyle w:val="-4"/>
              <w:rPr>
                <w:rtl/>
              </w:rPr>
            </w:pPr>
            <w:r w:rsidRPr="00F94904">
              <w:rPr>
                <w:rFonts w:hint="eastAsia"/>
                <w:rtl/>
              </w:rPr>
              <w:t>לשלושה</w:t>
            </w:r>
            <w:r w:rsidRPr="00F94904">
              <w:rPr>
                <w:rtl/>
              </w:rPr>
              <w:t xml:space="preserve"> חודשים שהסתיימו ביום</w:t>
            </w:r>
            <w:r w:rsidRPr="00B44059">
              <w:rPr>
                <w:b w:val="0"/>
                <w:bCs w:val="0"/>
                <w:rtl/>
              </w:rPr>
              <w:t xml:space="preserve"> </w:t>
            </w:r>
            <w:r w:rsidRPr="00B44059">
              <w:rPr>
                <w:rtl/>
              </w:rPr>
              <w:t xml:space="preserve">30 </w:t>
            </w:r>
            <w:r w:rsidRPr="00B44059">
              <w:rPr>
                <w:rFonts w:hint="eastAsia"/>
                <w:rtl/>
              </w:rPr>
              <w:t>ביוני</w:t>
            </w:r>
          </w:p>
        </w:tc>
        <w:tc>
          <w:tcPr>
            <w:tcW w:w="2142" w:type="dxa"/>
            <w:gridSpan w:val="4"/>
            <w:tcBorders>
              <w:top w:val="nil"/>
              <w:left w:val="nil"/>
              <w:bottom w:val="nil"/>
              <w:right w:val="nil"/>
            </w:tcBorders>
            <w:vAlign w:val="bottom"/>
          </w:tcPr>
          <w:p w14:paraId="6DC3ECC9" w14:textId="77777777" w:rsidR="00F32A2A" w:rsidRDefault="00B44059">
            <w:pPr>
              <w:pStyle w:val="-4"/>
              <w:pBdr>
                <w:bottom w:val="single" w:sz="4" w:space="1" w:color="auto"/>
              </w:pBdr>
              <w:rPr>
                <w:b w:val="0"/>
                <w:bCs w:val="0"/>
                <w:rtl/>
              </w:rPr>
            </w:pPr>
            <w:r w:rsidRPr="00F94904">
              <w:rPr>
                <w:rFonts w:hint="eastAsia"/>
                <w:rtl/>
              </w:rPr>
              <w:t>לשישה</w:t>
            </w:r>
            <w:r w:rsidRPr="00F94904">
              <w:rPr>
                <w:rtl/>
              </w:rPr>
              <w:t xml:space="preserve"> חודשים </w:t>
            </w:r>
            <w:r w:rsidRPr="00F94904">
              <w:rPr>
                <w:rtl/>
              </w:rPr>
              <w:br/>
            </w:r>
            <w:r w:rsidRPr="00F94904">
              <w:rPr>
                <w:rFonts w:hint="eastAsia"/>
                <w:rtl/>
              </w:rPr>
              <w:t>שהסתיימו</w:t>
            </w:r>
            <w:r w:rsidRPr="00F94904">
              <w:rPr>
                <w:rtl/>
              </w:rPr>
              <w:t xml:space="preserve"> ביום</w:t>
            </w:r>
            <w:r w:rsidRPr="00B44059">
              <w:rPr>
                <w:b w:val="0"/>
                <w:bCs w:val="0"/>
                <w:rtl/>
              </w:rPr>
              <w:t xml:space="preserve"> </w:t>
            </w:r>
            <w:r w:rsidRPr="00B44059">
              <w:rPr>
                <w:rtl/>
              </w:rPr>
              <w:t xml:space="preserve">30 </w:t>
            </w:r>
            <w:r w:rsidRPr="00B44059">
              <w:rPr>
                <w:rFonts w:hint="eastAsia"/>
                <w:rtl/>
              </w:rPr>
              <w:t>ביוני</w:t>
            </w:r>
          </w:p>
        </w:tc>
      </w:tr>
      <w:tr w:rsidR="00D0470C" w:rsidRPr="00543C25" w14:paraId="06153FA5" w14:textId="77777777" w:rsidTr="00EC46DF">
        <w:trPr>
          <w:gridAfter w:val="1"/>
          <w:wAfter w:w="375" w:type="dxa"/>
          <w:trHeight w:val="259"/>
        </w:trPr>
        <w:tc>
          <w:tcPr>
            <w:tcW w:w="1304" w:type="dxa"/>
            <w:tcBorders>
              <w:top w:val="nil"/>
              <w:left w:val="nil"/>
              <w:bottom w:val="nil"/>
              <w:right w:val="nil"/>
            </w:tcBorders>
          </w:tcPr>
          <w:p w14:paraId="4605A713" w14:textId="77777777" w:rsidR="00D0470C" w:rsidRPr="0022479C" w:rsidRDefault="00D0470C" w:rsidP="006F3019">
            <w:pPr>
              <w:pStyle w:val="-0"/>
              <w:rPr>
                <w:sz w:val="14"/>
                <w:szCs w:val="14"/>
                <w:rtl/>
              </w:rPr>
            </w:pPr>
          </w:p>
        </w:tc>
        <w:tc>
          <w:tcPr>
            <w:tcW w:w="4428" w:type="dxa"/>
            <w:gridSpan w:val="2"/>
            <w:tcBorders>
              <w:top w:val="nil"/>
              <w:left w:val="nil"/>
              <w:bottom w:val="nil"/>
              <w:right w:val="nil"/>
            </w:tcBorders>
            <w:vAlign w:val="bottom"/>
          </w:tcPr>
          <w:p w14:paraId="61E766A8" w14:textId="77777777" w:rsidR="00D0470C" w:rsidRPr="00CD6407" w:rsidRDefault="00D0470C" w:rsidP="006F3019">
            <w:pPr>
              <w:pStyle w:val="-0"/>
              <w:rPr>
                <w:rtl/>
              </w:rPr>
            </w:pPr>
          </w:p>
        </w:tc>
        <w:tc>
          <w:tcPr>
            <w:tcW w:w="1117" w:type="dxa"/>
            <w:gridSpan w:val="2"/>
            <w:tcBorders>
              <w:top w:val="nil"/>
              <w:left w:val="nil"/>
              <w:bottom w:val="nil"/>
              <w:right w:val="nil"/>
            </w:tcBorders>
            <w:vAlign w:val="bottom"/>
          </w:tcPr>
          <w:p w14:paraId="055A244F" w14:textId="5790B407" w:rsidR="00D0470C" w:rsidRPr="00543C25" w:rsidRDefault="00D20E55" w:rsidP="00EF075C">
            <w:pPr>
              <w:pStyle w:val="-4"/>
              <w:rPr>
                <w:rtl/>
              </w:rPr>
            </w:pPr>
            <w:r w:rsidRPr="00D20E55">
              <w:rPr>
                <w:sz w:val="16"/>
                <w:szCs w:val="16"/>
                <w:rtl/>
              </w:rPr>
              <w:fldChar w:fldCharType="begin"/>
            </w:r>
            <w:r w:rsidRPr="00D20E55">
              <w:rPr>
                <w:sz w:val="16"/>
                <w:szCs w:val="16"/>
                <w:rtl/>
              </w:rPr>
              <w:instrText xml:space="preserve"> </w:instrText>
            </w:r>
            <w:r w:rsidRPr="00D20E55">
              <w:rPr>
                <w:rFonts w:hint="cs"/>
                <w:sz w:val="16"/>
                <w:szCs w:val="16"/>
                <w:rtl/>
              </w:rPr>
              <w:instrText xml:space="preserve">= </w:instrText>
            </w:r>
            <w:r w:rsidRPr="00D20E55">
              <w:rPr>
                <w:rFonts w:hint="cs"/>
                <w:sz w:val="16"/>
                <w:szCs w:val="16"/>
              </w:rPr>
              <w:instrText>CY \* MERGEFORMAT</w:instrText>
            </w:r>
            <w:r w:rsidRPr="00D20E55">
              <w:rPr>
                <w:sz w:val="16"/>
                <w:szCs w:val="16"/>
                <w:rtl/>
              </w:rPr>
              <w:instrText xml:space="preserve"> </w:instrText>
            </w:r>
            <w:r w:rsidRPr="00D20E55">
              <w:rPr>
                <w:sz w:val="16"/>
                <w:szCs w:val="16"/>
                <w:rtl/>
              </w:rPr>
              <w:fldChar w:fldCharType="separate"/>
            </w:r>
            <w:r w:rsidR="003A584F" w:rsidRPr="003A584F">
              <w:rPr>
                <w:noProof/>
                <w:rtl/>
              </w:rPr>
              <w:t>2024</w:t>
            </w:r>
            <w:r w:rsidRPr="00D20E55">
              <w:rPr>
                <w:sz w:val="16"/>
                <w:szCs w:val="16"/>
                <w:rtl/>
              </w:rPr>
              <w:fldChar w:fldCharType="end"/>
            </w:r>
          </w:p>
        </w:tc>
        <w:tc>
          <w:tcPr>
            <w:tcW w:w="1050" w:type="dxa"/>
            <w:gridSpan w:val="2"/>
            <w:tcBorders>
              <w:top w:val="nil"/>
              <w:left w:val="nil"/>
              <w:bottom w:val="nil"/>
              <w:right w:val="nil"/>
            </w:tcBorders>
            <w:vAlign w:val="bottom"/>
          </w:tcPr>
          <w:p w14:paraId="6E2FA60A" w14:textId="63FADEAC" w:rsidR="00D0470C" w:rsidRPr="00543C25" w:rsidRDefault="00D20E55" w:rsidP="00EF3E60">
            <w:pPr>
              <w:pStyle w:val="-4"/>
              <w:rPr>
                <w:rtl/>
              </w:rPr>
            </w:pPr>
            <w:r w:rsidRPr="008D7F4E">
              <w:rPr>
                <w:sz w:val="16"/>
                <w:szCs w:val="16"/>
                <w:rtl/>
              </w:rPr>
              <w:fldChar w:fldCharType="begin"/>
            </w:r>
            <w:r w:rsidRPr="008D7F4E">
              <w:rPr>
                <w:sz w:val="16"/>
                <w:szCs w:val="16"/>
                <w:rtl/>
              </w:rPr>
              <w:instrText xml:space="preserve"> </w:instrText>
            </w:r>
            <w:r w:rsidRPr="008D7F4E">
              <w:rPr>
                <w:rFonts w:hint="cs"/>
                <w:sz w:val="16"/>
                <w:szCs w:val="16"/>
                <w:rtl/>
              </w:rPr>
              <w:instrText xml:space="preserve">= </w:instrText>
            </w:r>
            <w:r w:rsidRPr="008D7F4E">
              <w:rPr>
                <w:rFonts w:hint="cs"/>
                <w:sz w:val="16"/>
                <w:szCs w:val="16"/>
              </w:rPr>
              <w:instrText>CY</w:instrText>
            </w:r>
            <w:r w:rsidRPr="008D7F4E">
              <w:rPr>
                <w:sz w:val="16"/>
                <w:szCs w:val="16"/>
              </w:rPr>
              <w:instrText>-1</w:instrText>
            </w:r>
            <w:r w:rsidRPr="008D7F4E">
              <w:rPr>
                <w:rFonts w:hint="cs"/>
                <w:sz w:val="16"/>
                <w:szCs w:val="16"/>
              </w:rPr>
              <w:instrText xml:space="preserve"> \* MERGEFORMAT</w:instrText>
            </w:r>
            <w:r w:rsidRPr="008D7F4E">
              <w:rPr>
                <w:sz w:val="16"/>
                <w:szCs w:val="16"/>
                <w:rtl/>
              </w:rPr>
              <w:instrText xml:space="preserve"> </w:instrText>
            </w:r>
            <w:r w:rsidRPr="008D7F4E">
              <w:rPr>
                <w:sz w:val="16"/>
                <w:szCs w:val="16"/>
                <w:rtl/>
              </w:rPr>
              <w:fldChar w:fldCharType="separate"/>
            </w:r>
            <w:r w:rsidR="003A584F" w:rsidRPr="003A584F">
              <w:rPr>
                <w:noProof/>
                <w:rtl/>
              </w:rPr>
              <w:t>2023</w:t>
            </w:r>
            <w:r w:rsidRPr="008D7F4E">
              <w:rPr>
                <w:sz w:val="16"/>
                <w:szCs w:val="16"/>
                <w:rtl/>
              </w:rPr>
              <w:fldChar w:fldCharType="end"/>
            </w:r>
          </w:p>
        </w:tc>
        <w:tc>
          <w:tcPr>
            <w:tcW w:w="1064" w:type="dxa"/>
            <w:gridSpan w:val="2"/>
            <w:tcBorders>
              <w:top w:val="nil"/>
              <w:left w:val="nil"/>
              <w:bottom w:val="nil"/>
              <w:right w:val="nil"/>
            </w:tcBorders>
            <w:vAlign w:val="bottom"/>
          </w:tcPr>
          <w:p w14:paraId="3501C871" w14:textId="0F20E8E7" w:rsidR="00D0470C" w:rsidRPr="00543C25" w:rsidRDefault="00D20E55" w:rsidP="008F7608">
            <w:pPr>
              <w:pStyle w:val="-4"/>
              <w:rPr>
                <w:rtl/>
              </w:rPr>
            </w:pPr>
            <w:r w:rsidRPr="008D7F4E">
              <w:rPr>
                <w:sz w:val="16"/>
                <w:szCs w:val="16"/>
                <w:rtl/>
              </w:rPr>
              <w:fldChar w:fldCharType="begin"/>
            </w:r>
            <w:r w:rsidRPr="008D7F4E">
              <w:rPr>
                <w:sz w:val="16"/>
                <w:szCs w:val="16"/>
                <w:rtl/>
              </w:rPr>
              <w:instrText xml:space="preserve"> </w:instrText>
            </w:r>
            <w:r w:rsidRPr="008D7F4E">
              <w:rPr>
                <w:rFonts w:hint="cs"/>
                <w:sz w:val="16"/>
                <w:szCs w:val="16"/>
                <w:rtl/>
              </w:rPr>
              <w:instrText xml:space="preserve">= </w:instrText>
            </w:r>
            <w:r w:rsidRPr="008D7F4E">
              <w:rPr>
                <w:rFonts w:hint="cs"/>
                <w:sz w:val="16"/>
                <w:szCs w:val="16"/>
              </w:rPr>
              <w:instrText>CY \* MERGEFORMAT</w:instrText>
            </w:r>
            <w:r w:rsidRPr="008D7F4E">
              <w:rPr>
                <w:sz w:val="16"/>
                <w:szCs w:val="16"/>
                <w:rtl/>
              </w:rPr>
              <w:instrText xml:space="preserve"> </w:instrText>
            </w:r>
            <w:r w:rsidRPr="008D7F4E">
              <w:rPr>
                <w:sz w:val="16"/>
                <w:szCs w:val="16"/>
                <w:rtl/>
              </w:rPr>
              <w:fldChar w:fldCharType="separate"/>
            </w:r>
            <w:r w:rsidR="003A584F" w:rsidRPr="003A584F">
              <w:rPr>
                <w:noProof/>
                <w:rtl/>
              </w:rPr>
              <w:t>2024</w:t>
            </w:r>
            <w:r w:rsidRPr="008D7F4E">
              <w:rPr>
                <w:sz w:val="16"/>
                <w:szCs w:val="16"/>
                <w:rtl/>
              </w:rPr>
              <w:fldChar w:fldCharType="end"/>
            </w:r>
          </w:p>
        </w:tc>
        <w:tc>
          <w:tcPr>
            <w:tcW w:w="1078" w:type="dxa"/>
            <w:gridSpan w:val="2"/>
            <w:tcBorders>
              <w:top w:val="nil"/>
              <w:left w:val="nil"/>
              <w:bottom w:val="nil"/>
              <w:right w:val="nil"/>
            </w:tcBorders>
            <w:vAlign w:val="bottom"/>
          </w:tcPr>
          <w:p w14:paraId="207365CD" w14:textId="4373C041" w:rsidR="00D0470C" w:rsidRPr="00543C25" w:rsidRDefault="00D20E55" w:rsidP="009C6672">
            <w:pPr>
              <w:pStyle w:val="-4"/>
              <w:rPr>
                <w:rtl/>
              </w:rPr>
            </w:pPr>
            <w:r w:rsidRPr="008D7F4E">
              <w:rPr>
                <w:sz w:val="16"/>
                <w:szCs w:val="16"/>
                <w:rtl/>
              </w:rPr>
              <w:fldChar w:fldCharType="begin"/>
            </w:r>
            <w:r w:rsidRPr="008D7F4E">
              <w:rPr>
                <w:sz w:val="16"/>
                <w:szCs w:val="16"/>
                <w:rtl/>
              </w:rPr>
              <w:instrText xml:space="preserve"> </w:instrText>
            </w:r>
            <w:r w:rsidRPr="008D7F4E">
              <w:rPr>
                <w:rFonts w:hint="cs"/>
                <w:sz w:val="16"/>
                <w:szCs w:val="16"/>
                <w:rtl/>
              </w:rPr>
              <w:instrText xml:space="preserve">= </w:instrText>
            </w:r>
            <w:r w:rsidRPr="008D7F4E">
              <w:rPr>
                <w:rFonts w:hint="cs"/>
                <w:sz w:val="16"/>
                <w:szCs w:val="16"/>
              </w:rPr>
              <w:instrText>CY</w:instrText>
            </w:r>
            <w:r w:rsidRPr="008D7F4E">
              <w:rPr>
                <w:sz w:val="16"/>
                <w:szCs w:val="16"/>
              </w:rPr>
              <w:instrText>-1</w:instrText>
            </w:r>
            <w:r w:rsidRPr="008D7F4E">
              <w:rPr>
                <w:rFonts w:hint="cs"/>
                <w:sz w:val="16"/>
                <w:szCs w:val="16"/>
              </w:rPr>
              <w:instrText xml:space="preserve"> \* MERGEFORMAT</w:instrText>
            </w:r>
            <w:r w:rsidRPr="008D7F4E">
              <w:rPr>
                <w:sz w:val="16"/>
                <w:szCs w:val="16"/>
                <w:rtl/>
              </w:rPr>
              <w:instrText xml:space="preserve"> </w:instrText>
            </w:r>
            <w:r w:rsidRPr="008D7F4E">
              <w:rPr>
                <w:sz w:val="16"/>
                <w:szCs w:val="16"/>
                <w:rtl/>
              </w:rPr>
              <w:fldChar w:fldCharType="separate"/>
            </w:r>
            <w:r w:rsidR="003A584F" w:rsidRPr="003A584F">
              <w:rPr>
                <w:noProof/>
                <w:rtl/>
              </w:rPr>
              <w:t>2023</w:t>
            </w:r>
            <w:r w:rsidRPr="008D7F4E">
              <w:rPr>
                <w:sz w:val="16"/>
                <w:szCs w:val="16"/>
                <w:rtl/>
              </w:rPr>
              <w:fldChar w:fldCharType="end"/>
            </w:r>
          </w:p>
        </w:tc>
      </w:tr>
      <w:tr w:rsidR="00D0470C" w:rsidRPr="00543C25" w14:paraId="514A1786" w14:textId="77777777" w:rsidTr="00EC46DF">
        <w:trPr>
          <w:gridAfter w:val="1"/>
          <w:wAfter w:w="375" w:type="dxa"/>
          <w:trHeight w:val="259"/>
        </w:trPr>
        <w:tc>
          <w:tcPr>
            <w:tcW w:w="1304" w:type="dxa"/>
            <w:tcBorders>
              <w:top w:val="nil"/>
              <w:left w:val="nil"/>
              <w:bottom w:val="nil"/>
              <w:right w:val="nil"/>
            </w:tcBorders>
          </w:tcPr>
          <w:p w14:paraId="78374C11" w14:textId="77777777" w:rsidR="00D0470C" w:rsidRPr="0022479C" w:rsidRDefault="00D0470C" w:rsidP="006F3019">
            <w:pPr>
              <w:pStyle w:val="-0"/>
              <w:rPr>
                <w:sz w:val="14"/>
                <w:szCs w:val="14"/>
                <w:rtl/>
              </w:rPr>
            </w:pPr>
          </w:p>
        </w:tc>
        <w:tc>
          <w:tcPr>
            <w:tcW w:w="4428" w:type="dxa"/>
            <w:gridSpan w:val="2"/>
            <w:tcBorders>
              <w:top w:val="nil"/>
              <w:left w:val="nil"/>
              <w:bottom w:val="nil"/>
              <w:right w:val="nil"/>
            </w:tcBorders>
            <w:vAlign w:val="bottom"/>
          </w:tcPr>
          <w:p w14:paraId="7C6E320A" w14:textId="77777777" w:rsidR="00D0470C" w:rsidRPr="00CD6407" w:rsidRDefault="00D0470C" w:rsidP="006F3019">
            <w:pPr>
              <w:pStyle w:val="-0"/>
              <w:rPr>
                <w:rtl/>
              </w:rPr>
            </w:pPr>
          </w:p>
        </w:tc>
        <w:tc>
          <w:tcPr>
            <w:tcW w:w="2167" w:type="dxa"/>
            <w:gridSpan w:val="4"/>
            <w:tcBorders>
              <w:top w:val="nil"/>
              <w:left w:val="nil"/>
              <w:bottom w:val="nil"/>
              <w:right w:val="nil"/>
            </w:tcBorders>
            <w:vAlign w:val="bottom"/>
          </w:tcPr>
          <w:p w14:paraId="2A82B23B" w14:textId="77777777" w:rsidR="00D0470C" w:rsidRPr="00543C25" w:rsidRDefault="00D0470C" w:rsidP="006F3019">
            <w:pPr>
              <w:pStyle w:val="-4"/>
              <w:rPr>
                <w:rtl/>
              </w:rPr>
            </w:pPr>
            <w:r>
              <w:rPr>
                <w:rFonts w:hint="cs"/>
                <w:rtl/>
              </w:rPr>
              <w:t>בלתי מבוקר</w:t>
            </w:r>
          </w:p>
        </w:tc>
        <w:tc>
          <w:tcPr>
            <w:tcW w:w="2142" w:type="dxa"/>
            <w:gridSpan w:val="4"/>
            <w:tcBorders>
              <w:top w:val="nil"/>
              <w:left w:val="nil"/>
              <w:bottom w:val="nil"/>
              <w:right w:val="nil"/>
            </w:tcBorders>
            <w:vAlign w:val="bottom"/>
          </w:tcPr>
          <w:p w14:paraId="72FC3A00" w14:textId="77777777" w:rsidR="00D0470C" w:rsidRDefault="00D0470C" w:rsidP="006F3019">
            <w:pPr>
              <w:pStyle w:val="-4"/>
              <w:rPr>
                <w:rtl/>
              </w:rPr>
            </w:pPr>
            <w:r>
              <w:rPr>
                <w:rFonts w:hint="cs"/>
                <w:rtl/>
              </w:rPr>
              <w:t>בלתי מבוקר</w:t>
            </w:r>
          </w:p>
        </w:tc>
      </w:tr>
      <w:tr w:rsidR="00D0470C" w:rsidRPr="00543C25" w14:paraId="1996A5D2" w14:textId="77777777" w:rsidTr="00EC46DF">
        <w:trPr>
          <w:gridAfter w:val="1"/>
          <w:wAfter w:w="375" w:type="dxa"/>
          <w:trHeight w:hRule="exact" w:val="144"/>
        </w:trPr>
        <w:tc>
          <w:tcPr>
            <w:tcW w:w="1304" w:type="dxa"/>
            <w:tcBorders>
              <w:top w:val="nil"/>
              <w:left w:val="nil"/>
              <w:bottom w:val="nil"/>
              <w:right w:val="nil"/>
            </w:tcBorders>
          </w:tcPr>
          <w:p w14:paraId="22753D88" w14:textId="77777777" w:rsidR="00D0470C" w:rsidRPr="0022479C" w:rsidRDefault="00D0470C" w:rsidP="006F3019">
            <w:pPr>
              <w:pStyle w:val="-7"/>
              <w:rPr>
                <w:sz w:val="14"/>
                <w:szCs w:val="14"/>
                <w:rtl/>
              </w:rPr>
            </w:pPr>
          </w:p>
        </w:tc>
        <w:tc>
          <w:tcPr>
            <w:tcW w:w="4428" w:type="dxa"/>
            <w:gridSpan w:val="2"/>
            <w:tcBorders>
              <w:top w:val="nil"/>
              <w:left w:val="nil"/>
              <w:bottom w:val="nil"/>
              <w:right w:val="nil"/>
            </w:tcBorders>
            <w:vAlign w:val="bottom"/>
          </w:tcPr>
          <w:p w14:paraId="06C659AF" w14:textId="77777777" w:rsidR="00D0470C" w:rsidRPr="00B16ED3" w:rsidRDefault="00D0470C" w:rsidP="006F3019">
            <w:pPr>
              <w:pStyle w:val="-7"/>
              <w:rPr>
                <w:b/>
                <w:bCs/>
                <w:rtl/>
              </w:rPr>
            </w:pPr>
          </w:p>
        </w:tc>
        <w:tc>
          <w:tcPr>
            <w:tcW w:w="1117" w:type="dxa"/>
            <w:gridSpan w:val="2"/>
            <w:tcBorders>
              <w:top w:val="nil"/>
              <w:left w:val="nil"/>
              <w:bottom w:val="nil"/>
              <w:right w:val="nil"/>
            </w:tcBorders>
            <w:vAlign w:val="bottom"/>
          </w:tcPr>
          <w:p w14:paraId="026B48CC" w14:textId="77777777" w:rsidR="00D0470C" w:rsidRPr="00543C25" w:rsidRDefault="00D0470C" w:rsidP="006F3019">
            <w:pPr>
              <w:pStyle w:val="-7"/>
              <w:rPr>
                <w:rtl/>
              </w:rPr>
            </w:pPr>
          </w:p>
        </w:tc>
        <w:tc>
          <w:tcPr>
            <w:tcW w:w="1050" w:type="dxa"/>
            <w:gridSpan w:val="2"/>
            <w:tcBorders>
              <w:top w:val="nil"/>
              <w:left w:val="nil"/>
              <w:bottom w:val="nil"/>
              <w:right w:val="nil"/>
            </w:tcBorders>
            <w:vAlign w:val="bottom"/>
          </w:tcPr>
          <w:p w14:paraId="68D472C1" w14:textId="77777777" w:rsidR="00D0470C" w:rsidRPr="00543C25" w:rsidRDefault="00D0470C" w:rsidP="006F3019">
            <w:pPr>
              <w:pStyle w:val="-7"/>
              <w:rPr>
                <w:rtl/>
              </w:rPr>
            </w:pPr>
          </w:p>
        </w:tc>
        <w:tc>
          <w:tcPr>
            <w:tcW w:w="1064" w:type="dxa"/>
            <w:gridSpan w:val="2"/>
            <w:tcBorders>
              <w:top w:val="nil"/>
              <w:left w:val="nil"/>
              <w:bottom w:val="nil"/>
              <w:right w:val="nil"/>
            </w:tcBorders>
            <w:vAlign w:val="bottom"/>
          </w:tcPr>
          <w:p w14:paraId="39433C3E" w14:textId="77777777" w:rsidR="00D0470C" w:rsidRPr="00543C25" w:rsidRDefault="00D0470C" w:rsidP="006F3019">
            <w:pPr>
              <w:pStyle w:val="-7"/>
              <w:rPr>
                <w:rtl/>
              </w:rPr>
            </w:pPr>
          </w:p>
        </w:tc>
        <w:tc>
          <w:tcPr>
            <w:tcW w:w="1078" w:type="dxa"/>
            <w:gridSpan w:val="2"/>
            <w:tcBorders>
              <w:top w:val="nil"/>
              <w:left w:val="nil"/>
              <w:bottom w:val="nil"/>
              <w:right w:val="nil"/>
            </w:tcBorders>
            <w:vAlign w:val="bottom"/>
          </w:tcPr>
          <w:p w14:paraId="636AF71B" w14:textId="77777777" w:rsidR="00D0470C" w:rsidRPr="00543C25" w:rsidRDefault="00D0470C" w:rsidP="006F3019">
            <w:pPr>
              <w:pStyle w:val="-7"/>
              <w:rPr>
                <w:rtl/>
              </w:rPr>
            </w:pPr>
          </w:p>
        </w:tc>
      </w:tr>
      <w:tr w:rsidR="00D0470C" w:rsidRPr="00543C25" w14:paraId="166480EC" w14:textId="77777777" w:rsidTr="00EC46DF">
        <w:trPr>
          <w:gridAfter w:val="1"/>
          <w:wAfter w:w="375" w:type="dxa"/>
          <w:trHeight w:val="259"/>
        </w:trPr>
        <w:tc>
          <w:tcPr>
            <w:tcW w:w="1304" w:type="dxa"/>
            <w:tcBorders>
              <w:top w:val="nil"/>
              <w:left w:val="nil"/>
              <w:bottom w:val="nil"/>
              <w:right w:val="nil"/>
            </w:tcBorders>
          </w:tcPr>
          <w:p w14:paraId="4364290E" w14:textId="77777777" w:rsidR="00F32A2A" w:rsidRDefault="00F32A2A" w:rsidP="00CA482D">
            <w:pPr>
              <w:pStyle w:val="-0"/>
              <w:spacing w:before="20" w:after="20" w:line="240" w:lineRule="auto"/>
              <w:ind w:hanging="142"/>
              <w:rPr>
                <w:sz w:val="14"/>
                <w:szCs w:val="14"/>
                <w:rtl/>
              </w:rPr>
            </w:pPr>
          </w:p>
        </w:tc>
        <w:tc>
          <w:tcPr>
            <w:tcW w:w="4428" w:type="dxa"/>
            <w:gridSpan w:val="2"/>
            <w:tcBorders>
              <w:top w:val="nil"/>
              <w:left w:val="nil"/>
              <w:bottom w:val="nil"/>
              <w:right w:val="nil"/>
            </w:tcBorders>
            <w:vAlign w:val="bottom"/>
          </w:tcPr>
          <w:p w14:paraId="7487C7AA" w14:textId="77777777" w:rsidR="00F32A2A" w:rsidRDefault="00D0470C" w:rsidP="00277071">
            <w:pPr>
              <w:pStyle w:val="-21"/>
              <w:spacing w:before="20" w:after="20" w:line="240" w:lineRule="auto"/>
              <w:ind w:left="425" w:right="-144" w:hanging="425"/>
              <w:rPr>
                <w:rtl/>
              </w:rPr>
            </w:pPr>
            <w:r>
              <w:rPr>
                <w:rFonts w:hint="cs"/>
                <w:rtl/>
              </w:rPr>
              <w:t xml:space="preserve">הכנסות (הוצאות) נטו בגין מכשירים נגזרים </w:t>
            </w:r>
            <w:r w:rsidR="00930E5D">
              <w:rPr>
                <w:rFonts w:hint="cs"/>
                <w:rtl/>
              </w:rPr>
              <w:t>למסחר</w:t>
            </w:r>
          </w:p>
        </w:tc>
        <w:tc>
          <w:tcPr>
            <w:tcW w:w="1117" w:type="dxa"/>
            <w:gridSpan w:val="2"/>
            <w:tcBorders>
              <w:top w:val="nil"/>
              <w:left w:val="nil"/>
              <w:bottom w:val="nil"/>
              <w:right w:val="nil"/>
            </w:tcBorders>
            <w:vAlign w:val="bottom"/>
          </w:tcPr>
          <w:p w14:paraId="1803ACD6" w14:textId="77777777" w:rsidR="00F32A2A" w:rsidRDefault="00D0470C" w:rsidP="00CA482D">
            <w:pPr>
              <w:pStyle w:val="-0"/>
              <w:spacing w:before="20" w:after="20" w:line="240" w:lineRule="auto"/>
              <w:ind w:hanging="142"/>
              <w:rPr>
                <w:rtl/>
              </w:rPr>
            </w:pPr>
            <w:r w:rsidRPr="00543C25">
              <w:rPr>
                <w:rFonts w:hint="cs"/>
                <w:rtl/>
              </w:rPr>
              <w:t>0</w:t>
            </w:r>
          </w:p>
        </w:tc>
        <w:tc>
          <w:tcPr>
            <w:tcW w:w="1050" w:type="dxa"/>
            <w:gridSpan w:val="2"/>
            <w:tcBorders>
              <w:top w:val="nil"/>
              <w:left w:val="nil"/>
              <w:bottom w:val="nil"/>
              <w:right w:val="nil"/>
            </w:tcBorders>
            <w:vAlign w:val="bottom"/>
          </w:tcPr>
          <w:p w14:paraId="600A4CC1" w14:textId="77777777" w:rsidR="00F32A2A" w:rsidRDefault="00D0470C" w:rsidP="00CA482D">
            <w:pPr>
              <w:pStyle w:val="-0"/>
              <w:spacing w:before="20" w:after="20" w:line="240" w:lineRule="auto"/>
              <w:ind w:hanging="142"/>
              <w:rPr>
                <w:rtl/>
              </w:rPr>
            </w:pPr>
            <w:r w:rsidRPr="00543C25">
              <w:rPr>
                <w:rFonts w:hint="cs"/>
                <w:rtl/>
              </w:rPr>
              <w:t>0</w:t>
            </w:r>
          </w:p>
        </w:tc>
        <w:tc>
          <w:tcPr>
            <w:tcW w:w="1064" w:type="dxa"/>
            <w:gridSpan w:val="2"/>
            <w:tcBorders>
              <w:top w:val="nil"/>
              <w:left w:val="nil"/>
              <w:bottom w:val="nil"/>
              <w:right w:val="nil"/>
            </w:tcBorders>
            <w:vAlign w:val="bottom"/>
          </w:tcPr>
          <w:p w14:paraId="062F7F1A" w14:textId="77777777" w:rsidR="00F32A2A" w:rsidRDefault="00D0470C" w:rsidP="00CA482D">
            <w:pPr>
              <w:pStyle w:val="-0"/>
              <w:spacing w:before="20" w:after="20" w:line="240" w:lineRule="auto"/>
              <w:ind w:hanging="142"/>
              <w:rPr>
                <w:rtl/>
              </w:rPr>
            </w:pPr>
            <w:r w:rsidRPr="00543C25">
              <w:rPr>
                <w:rFonts w:hint="cs"/>
                <w:rtl/>
              </w:rPr>
              <w:t>0</w:t>
            </w:r>
          </w:p>
        </w:tc>
        <w:tc>
          <w:tcPr>
            <w:tcW w:w="1078" w:type="dxa"/>
            <w:gridSpan w:val="2"/>
            <w:tcBorders>
              <w:top w:val="nil"/>
              <w:left w:val="nil"/>
              <w:bottom w:val="nil"/>
              <w:right w:val="nil"/>
            </w:tcBorders>
            <w:vAlign w:val="bottom"/>
          </w:tcPr>
          <w:p w14:paraId="672BCD01" w14:textId="77777777" w:rsidR="00F32A2A" w:rsidRDefault="00D0470C" w:rsidP="00CA482D">
            <w:pPr>
              <w:pStyle w:val="-0"/>
              <w:spacing w:before="20" w:after="20" w:line="240" w:lineRule="auto"/>
              <w:ind w:hanging="142"/>
              <w:rPr>
                <w:rtl/>
              </w:rPr>
            </w:pPr>
            <w:r w:rsidRPr="00543C25">
              <w:rPr>
                <w:rFonts w:hint="cs"/>
                <w:rtl/>
              </w:rPr>
              <w:t>0</w:t>
            </w:r>
          </w:p>
        </w:tc>
      </w:tr>
      <w:tr w:rsidR="00D0470C" w:rsidRPr="00543C25" w14:paraId="2F709189" w14:textId="77777777" w:rsidTr="00EC46DF">
        <w:trPr>
          <w:gridAfter w:val="1"/>
          <w:wAfter w:w="375" w:type="dxa"/>
          <w:trHeight w:val="259"/>
        </w:trPr>
        <w:tc>
          <w:tcPr>
            <w:tcW w:w="1304" w:type="dxa"/>
            <w:tcBorders>
              <w:top w:val="nil"/>
              <w:left w:val="nil"/>
              <w:bottom w:val="nil"/>
              <w:right w:val="nil"/>
            </w:tcBorders>
          </w:tcPr>
          <w:p w14:paraId="28B2A43E" w14:textId="77777777" w:rsidR="00F32A2A" w:rsidRDefault="00F32A2A" w:rsidP="00CA482D">
            <w:pPr>
              <w:pStyle w:val="-0"/>
              <w:spacing w:before="20" w:after="20" w:line="240" w:lineRule="auto"/>
              <w:ind w:hanging="142"/>
              <w:rPr>
                <w:sz w:val="14"/>
                <w:szCs w:val="14"/>
                <w:rtl/>
              </w:rPr>
            </w:pPr>
          </w:p>
        </w:tc>
        <w:tc>
          <w:tcPr>
            <w:tcW w:w="4428" w:type="dxa"/>
            <w:gridSpan w:val="2"/>
            <w:tcBorders>
              <w:top w:val="nil"/>
              <w:left w:val="nil"/>
              <w:bottom w:val="nil"/>
              <w:right w:val="nil"/>
            </w:tcBorders>
            <w:vAlign w:val="bottom"/>
          </w:tcPr>
          <w:p w14:paraId="6853B570" w14:textId="77777777" w:rsidR="00F32A2A" w:rsidRDefault="00D0470C" w:rsidP="00277071">
            <w:pPr>
              <w:pStyle w:val="-21"/>
              <w:spacing w:before="20" w:after="20" w:line="240" w:lineRule="auto"/>
              <w:ind w:left="141" w:hanging="141"/>
              <w:rPr>
                <w:rtl/>
              </w:rPr>
            </w:pPr>
            <w:r>
              <w:rPr>
                <w:rFonts w:hint="cs"/>
                <w:rtl/>
              </w:rPr>
              <w:t>רווחים (הפסדים) שמומשו ושטרם מומשו מהתאמות לשווי הוגן של אג"ח למסחר, נטו</w:t>
            </w:r>
            <w:r w:rsidRPr="00B14379">
              <w:rPr>
                <w:rFonts w:hint="cs"/>
                <w:vertAlign w:val="superscript"/>
                <w:rtl/>
              </w:rPr>
              <w:t>(</w:t>
            </w:r>
            <w:r>
              <w:rPr>
                <w:rFonts w:hint="cs"/>
                <w:vertAlign w:val="superscript"/>
                <w:rtl/>
              </w:rPr>
              <w:t>ב</w:t>
            </w:r>
            <w:r w:rsidRPr="00B14379">
              <w:rPr>
                <w:rFonts w:hint="cs"/>
                <w:vertAlign w:val="superscript"/>
                <w:rtl/>
              </w:rPr>
              <w:t>)</w:t>
            </w:r>
          </w:p>
        </w:tc>
        <w:tc>
          <w:tcPr>
            <w:tcW w:w="1117" w:type="dxa"/>
            <w:gridSpan w:val="2"/>
            <w:tcBorders>
              <w:top w:val="nil"/>
              <w:left w:val="nil"/>
              <w:bottom w:val="nil"/>
              <w:right w:val="nil"/>
            </w:tcBorders>
            <w:vAlign w:val="bottom"/>
          </w:tcPr>
          <w:p w14:paraId="6E647E80" w14:textId="77777777" w:rsidR="00F32A2A" w:rsidRDefault="00D0470C" w:rsidP="00CA482D">
            <w:pPr>
              <w:pStyle w:val="-0"/>
              <w:spacing w:before="20" w:after="20" w:line="240" w:lineRule="auto"/>
              <w:ind w:hanging="142"/>
              <w:rPr>
                <w:rtl/>
              </w:rPr>
            </w:pPr>
            <w:r w:rsidRPr="00543C25">
              <w:rPr>
                <w:rFonts w:hint="cs"/>
                <w:rtl/>
              </w:rPr>
              <w:t>0</w:t>
            </w:r>
          </w:p>
        </w:tc>
        <w:tc>
          <w:tcPr>
            <w:tcW w:w="1050" w:type="dxa"/>
            <w:gridSpan w:val="2"/>
            <w:tcBorders>
              <w:top w:val="nil"/>
              <w:left w:val="nil"/>
              <w:bottom w:val="nil"/>
              <w:right w:val="nil"/>
            </w:tcBorders>
            <w:vAlign w:val="bottom"/>
          </w:tcPr>
          <w:p w14:paraId="2055D529" w14:textId="77777777" w:rsidR="00F32A2A" w:rsidRDefault="00D0470C" w:rsidP="00CA482D">
            <w:pPr>
              <w:pStyle w:val="-0"/>
              <w:spacing w:before="20" w:after="20" w:line="240" w:lineRule="auto"/>
              <w:ind w:hanging="142"/>
              <w:rPr>
                <w:rtl/>
              </w:rPr>
            </w:pPr>
            <w:r w:rsidRPr="00543C25">
              <w:rPr>
                <w:rFonts w:hint="cs"/>
                <w:rtl/>
              </w:rPr>
              <w:t>0</w:t>
            </w:r>
          </w:p>
        </w:tc>
        <w:tc>
          <w:tcPr>
            <w:tcW w:w="1064" w:type="dxa"/>
            <w:gridSpan w:val="2"/>
            <w:tcBorders>
              <w:top w:val="nil"/>
              <w:left w:val="nil"/>
              <w:bottom w:val="nil"/>
              <w:right w:val="nil"/>
            </w:tcBorders>
            <w:vAlign w:val="bottom"/>
          </w:tcPr>
          <w:p w14:paraId="17DF45A9" w14:textId="77777777" w:rsidR="00F32A2A" w:rsidRDefault="00D0470C" w:rsidP="00CA482D">
            <w:pPr>
              <w:pStyle w:val="-0"/>
              <w:spacing w:before="20" w:after="20" w:line="240" w:lineRule="auto"/>
              <w:ind w:hanging="142"/>
              <w:rPr>
                <w:rtl/>
              </w:rPr>
            </w:pPr>
            <w:r w:rsidRPr="00543C25">
              <w:rPr>
                <w:rFonts w:hint="cs"/>
                <w:rtl/>
              </w:rPr>
              <w:t>0</w:t>
            </w:r>
          </w:p>
        </w:tc>
        <w:tc>
          <w:tcPr>
            <w:tcW w:w="1078" w:type="dxa"/>
            <w:gridSpan w:val="2"/>
            <w:tcBorders>
              <w:top w:val="nil"/>
              <w:left w:val="nil"/>
              <w:bottom w:val="nil"/>
              <w:right w:val="nil"/>
            </w:tcBorders>
            <w:vAlign w:val="bottom"/>
          </w:tcPr>
          <w:p w14:paraId="6B802DF9" w14:textId="77777777" w:rsidR="00F32A2A" w:rsidRDefault="00D0470C" w:rsidP="00CA482D">
            <w:pPr>
              <w:pStyle w:val="-0"/>
              <w:spacing w:before="20" w:after="20" w:line="240" w:lineRule="auto"/>
              <w:ind w:hanging="142"/>
              <w:rPr>
                <w:rtl/>
              </w:rPr>
            </w:pPr>
            <w:r w:rsidRPr="00543C25">
              <w:rPr>
                <w:rFonts w:hint="cs"/>
                <w:rtl/>
              </w:rPr>
              <w:t>0</w:t>
            </w:r>
          </w:p>
        </w:tc>
      </w:tr>
      <w:tr w:rsidR="00D0470C" w:rsidRPr="00543C25" w14:paraId="7CB2CE62" w14:textId="77777777" w:rsidTr="00EC46DF">
        <w:trPr>
          <w:gridAfter w:val="1"/>
          <w:wAfter w:w="375" w:type="dxa"/>
          <w:trHeight w:val="259"/>
        </w:trPr>
        <w:tc>
          <w:tcPr>
            <w:tcW w:w="1304" w:type="dxa"/>
            <w:tcBorders>
              <w:top w:val="nil"/>
              <w:left w:val="nil"/>
              <w:bottom w:val="nil"/>
              <w:right w:val="nil"/>
            </w:tcBorders>
          </w:tcPr>
          <w:p w14:paraId="0C8BF3CA" w14:textId="77777777" w:rsidR="00F32A2A" w:rsidRDefault="00F32A2A" w:rsidP="00CA482D">
            <w:pPr>
              <w:pStyle w:val="-0"/>
              <w:spacing w:before="20" w:after="20" w:line="240" w:lineRule="auto"/>
              <w:ind w:hanging="142"/>
              <w:rPr>
                <w:sz w:val="14"/>
                <w:szCs w:val="14"/>
                <w:rtl/>
              </w:rPr>
            </w:pPr>
          </w:p>
        </w:tc>
        <w:tc>
          <w:tcPr>
            <w:tcW w:w="4428" w:type="dxa"/>
            <w:gridSpan w:val="2"/>
            <w:tcBorders>
              <w:top w:val="nil"/>
              <w:left w:val="nil"/>
              <w:bottom w:val="nil"/>
              <w:right w:val="nil"/>
            </w:tcBorders>
            <w:vAlign w:val="bottom"/>
          </w:tcPr>
          <w:p w14:paraId="701436A4" w14:textId="77777777" w:rsidR="00F32A2A" w:rsidRDefault="00D0470C" w:rsidP="00277071">
            <w:pPr>
              <w:pStyle w:val="-21"/>
              <w:spacing w:before="20" w:after="20" w:line="240" w:lineRule="auto"/>
              <w:ind w:left="141" w:hanging="141"/>
              <w:rPr>
                <w:rtl/>
              </w:rPr>
            </w:pPr>
            <w:r>
              <w:rPr>
                <w:rFonts w:hint="cs"/>
                <w:rtl/>
              </w:rPr>
              <w:t>רווחים (הפסדים) שמומשו ושטרם מומשו מהתאמות לשווי הוגן של מניות למסחר, נטו</w:t>
            </w:r>
            <w:r w:rsidRPr="00B14379">
              <w:rPr>
                <w:rFonts w:hint="cs"/>
                <w:vertAlign w:val="superscript"/>
                <w:rtl/>
              </w:rPr>
              <w:t>(</w:t>
            </w:r>
            <w:r>
              <w:rPr>
                <w:rFonts w:hint="cs"/>
                <w:vertAlign w:val="superscript"/>
                <w:rtl/>
              </w:rPr>
              <w:t>ג</w:t>
            </w:r>
            <w:r w:rsidRPr="00B14379">
              <w:rPr>
                <w:rFonts w:hint="cs"/>
                <w:vertAlign w:val="superscript"/>
                <w:rtl/>
              </w:rPr>
              <w:t>)</w:t>
            </w:r>
          </w:p>
        </w:tc>
        <w:tc>
          <w:tcPr>
            <w:tcW w:w="1117" w:type="dxa"/>
            <w:gridSpan w:val="2"/>
            <w:tcBorders>
              <w:top w:val="nil"/>
              <w:left w:val="nil"/>
              <w:bottom w:val="nil"/>
              <w:right w:val="nil"/>
            </w:tcBorders>
            <w:vAlign w:val="bottom"/>
          </w:tcPr>
          <w:p w14:paraId="52811C80" w14:textId="77777777" w:rsidR="00F32A2A" w:rsidRDefault="00D0470C" w:rsidP="00CA482D">
            <w:pPr>
              <w:pStyle w:val="-0"/>
              <w:spacing w:before="20" w:after="20" w:line="240" w:lineRule="auto"/>
              <w:ind w:hanging="142"/>
              <w:rPr>
                <w:rtl/>
              </w:rPr>
            </w:pPr>
            <w:r w:rsidRPr="00543C25">
              <w:rPr>
                <w:rFonts w:hint="cs"/>
                <w:rtl/>
              </w:rPr>
              <w:t>0</w:t>
            </w:r>
          </w:p>
        </w:tc>
        <w:tc>
          <w:tcPr>
            <w:tcW w:w="1050" w:type="dxa"/>
            <w:gridSpan w:val="2"/>
            <w:tcBorders>
              <w:top w:val="nil"/>
              <w:left w:val="nil"/>
              <w:bottom w:val="nil"/>
              <w:right w:val="nil"/>
            </w:tcBorders>
            <w:vAlign w:val="bottom"/>
          </w:tcPr>
          <w:p w14:paraId="3E2F3C22" w14:textId="77777777" w:rsidR="00F32A2A" w:rsidRDefault="00D0470C" w:rsidP="00CA482D">
            <w:pPr>
              <w:pStyle w:val="-0"/>
              <w:spacing w:before="20" w:after="20" w:line="240" w:lineRule="auto"/>
              <w:ind w:hanging="142"/>
              <w:rPr>
                <w:rtl/>
              </w:rPr>
            </w:pPr>
            <w:r w:rsidRPr="00543C25">
              <w:rPr>
                <w:rFonts w:hint="cs"/>
                <w:rtl/>
              </w:rPr>
              <w:t>0</w:t>
            </w:r>
          </w:p>
        </w:tc>
        <w:tc>
          <w:tcPr>
            <w:tcW w:w="1064" w:type="dxa"/>
            <w:gridSpan w:val="2"/>
            <w:tcBorders>
              <w:top w:val="nil"/>
              <w:left w:val="nil"/>
              <w:bottom w:val="nil"/>
              <w:right w:val="nil"/>
            </w:tcBorders>
            <w:vAlign w:val="bottom"/>
          </w:tcPr>
          <w:p w14:paraId="3522B1D4" w14:textId="77777777" w:rsidR="00F32A2A" w:rsidRDefault="00D0470C" w:rsidP="00CA482D">
            <w:pPr>
              <w:pStyle w:val="-0"/>
              <w:spacing w:before="20" w:after="20" w:line="240" w:lineRule="auto"/>
              <w:ind w:hanging="142"/>
              <w:rPr>
                <w:rtl/>
              </w:rPr>
            </w:pPr>
            <w:r w:rsidRPr="00543C25">
              <w:rPr>
                <w:rFonts w:hint="cs"/>
                <w:rtl/>
              </w:rPr>
              <w:t>0</w:t>
            </w:r>
          </w:p>
        </w:tc>
        <w:tc>
          <w:tcPr>
            <w:tcW w:w="1078" w:type="dxa"/>
            <w:gridSpan w:val="2"/>
            <w:tcBorders>
              <w:top w:val="nil"/>
              <w:left w:val="nil"/>
              <w:bottom w:val="nil"/>
              <w:right w:val="nil"/>
            </w:tcBorders>
            <w:vAlign w:val="bottom"/>
          </w:tcPr>
          <w:p w14:paraId="0F0CE4D1" w14:textId="77777777" w:rsidR="00F32A2A" w:rsidRDefault="00D0470C" w:rsidP="00CA482D">
            <w:pPr>
              <w:pStyle w:val="-0"/>
              <w:spacing w:before="20" w:after="20" w:line="240" w:lineRule="auto"/>
              <w:ind w:hanging="142"/>
              <w:rPr>
                <w:rtl/>
              </w:rPr>
            </w:pPr>
            <w:r w:rsidRPr="00543C25">
              <w:rPr>
                <w:rFonts w:hint="cs"/>
                <w:rtl/>
              </w:rPr>
              <w:t>0</w:t>
            </w:r>
          </w:p>
        </w:tc>
      </w:tr>
      <w:tr w:rsidR="00D0470C" w:rsidRPr="00543C25" w14:paraId="2D399A70" w14:textId="77777777" w:rsidTr="00EC46DF">
        <w:trPr>
          <w:gridAfter w:val="1"/>
          <w:wAfter w:w="375" w:type="dxa"/>
          <w:trHeight w:val="259"/>
        </w:trPr>
        <w:tc>
          <w:tcPr>
            <w:tcW w:w="1304" w:type="dxa"/>
            <w:tcBorders>
              <w:top w:val="nil"/>
              <w:left w:val="nil"/>
              <w:bottom w:val="nil"/>
              <w:right w:val="nil"/>
            </w:tcBorders>
          </w:tcPr>
          <w:p w14:paraId="72A48919" w14:textId="77777777" w:rsidR="00F32A2A" w:rsidRDefault="00F32A2A" w:rsidP="00CA482D">
            <w:pPr>
              <w:pStyle w:val="-0"/>
              <w:spacing w:before="20" w:after="20" w:line="240" w:lineRule="auto"/>
              <w:ind w:hanging="142"/>
              <w:rPr>
                <w:sz w:val="14"/>
                <w:szCs w:val="14"/>
                <w:rtl/>
              </w:rPr>
            </w:pPr>
          </w:p>
        </w:tc>
        <w:tc>
          <w:tcPr>
            <w:tcW w:w="4428" w:type="dxa"/>
            <w:gridSpan w:val="2"/>
            <w:tcBorders>
              <w:top w:val="nil"/>
              <w:left w:val="nil"/>
              <w:bottom w:val="nil"/>
              <w:right w:val="nil"/>
            </w:tcBorders>
            <w:vAlign w:val="bottom"/>
          </w:tcPr>
          <w:p w14:paraId="2D2C7BE5" w14:textId="77777777" w:rsidR="00F32A2A" w:rsidRDefault="00D0470C" w:rsidP="00277071">
            <w:pPr>
              <w:pStyle w:val="-0"/>
              <w:spacing w:before="20" w:after="20" w:line="240" w:lineRule="auto"/>
              <w:ind w:left="425" w:hanging="425"/>
              <w:rPr>
                <w:rtl/>
              </w:rPr>
            </w:pPr>
            <w:r>
              <w:rPr>
                <w:rFonts w:hint="cs"/>
                <w:rtl/>
              </w:rPr>
              <w:t>דיבידנדים שהתקבלו ממניות למסחר</w:t>
            </w:r>
          </w:p>
        </w:tc>
        <w:tc>
          <w:tcPr>
            <w:tcW w:w="1117" w:type="dxa"/>
            <w:gridSpan w:val="2"/>
            <w:tcBorders>
              <w:top w:val="nil"/>
              <w:left w:val="nil"/>
              <w:bottom w:val="nil"/>
              <w:right w:val="nil"/>
            </w:tcBorders>
            <w:vAlign w:val="bottom"/>
          </w:tcPr>
          <w:p w14:paraId="1E99C4C1" w14:textId="77777777" w:rsidR="00F32A2A" w:rsidRDefault="00D0470C" w:rsidP="00CA482D">
            <w:pPr>
              <w:pStyle w:val="-0"/>
              <w:spacing w:before="20" w:after="20" w:line="240" w:lineRule="auto"/>
              <w:ind w:hanging="142"/>
              <w:rPr>
                <w:rtl/>
              </w:rPr>
            </w:pPr>
            <w:r w:rsidRPr="00543C25">
              <w:rPr>
                <w:rFonts w:hint="cs"/>
                <w:rtl/>
              </w:rPr>
              <w:t>0</w:t>
            </w:r>
          </w:p>
        </w:tc>
        <w:tc>
          <w:tcPr>
            <w:tcW w:w="1050" w:type="dxa"/>
            <w:gridSpan w:val="2"/>
            <w:tcBorders>
              <w:top w:val="nil"/>
              <w:left w:val="nil"/>
              <w:bottom w:val="nil"/>
              <w:right w:val="nil"/>
            </w:tcBorders>
            <w:vAlign w:val="bottom"/>
          </w:tcPr>
          <w:p w14:paraId="0C1DDB4F" w14:textId="77777777" w:rsidR="00F32A2A" w:rsidRDefault="00D0470C" w:rsidP="00CA482D">
            <w:pPr>
              <w:pStyle w:val="-0"/>
              <w:spacing w:before="20" w:after="20" w:line="240" w:lineRule="auto"/>
              <w:ind w:hanging="142"/>
              <w:rPr>
                <w:rtl/>
              </w:rPr>
            </w:pPr>
            <w:r w:rsidRPr="00543C25">
              <w:rPr>
                <w:rFonts w:hint="cs"/>
                <w:rtl/>
              </w:rPr>
              <w:t>0</w:t>
            </w:r>
          </w:p>
        </w:tc>
        <w:tc>
          <w:tcPr>
            <w:tcW w:w="1064" w:type="dxa"/>
            <w:gridSpan w:val="2"/>
            <w:tcBorders>
              <w:top w:val="nil"/>
              <w:left w:val="nil"/>
              <w:bottom w:val="nil"/>
              <w:right w:val="nil"/>
            </w:tcBorders>
            <w:vAlign w:val="bottom"/>
          </w:tcPr>
          <w:p w14:paraId="70732C34" w14:textId="77777777" w:rsidR="00F32A2A" w:rsidRDefault="00D0470C" w:rsidP="00CA482D">
            <w:pPr>
              <w:pStyle w:val="-0"/>
              <w:spacing w:before="20" w:after="20" w:line="240" w:lineRule="auto"/>
              <w:ind w:hanging="142"/>
              <w:rPr>
                <w:rtl/>
              </w:rPr>
            </w:pPr>
            <w:r w:rsidRPr="00543C25">
              <w:rPr>
                <w:rFonts w:hint="cs"/>
                <w:rtl/>
              </w:rPr>
              <w:t>0</w:t>
            </w:r>
          </w:p>
        </w:tc>
        <w:tc>
          <w:tcPr>
            <w:tcW w:w="1078" w:type="dxa"/>
            <w:gridSpan w:val="2"/>
            <w:tcBorders>
              <w:top w:val="nil"/>
              <w:left w:val="nil"/>
              <w:bottom w:val="nil"/>
              <w:right w:val="nil"/>
            </w:tcBorders>
            <w:vAlign w:val="bottom"/>
          </w:tcPr>
          <w:p w14:paraId="0D73C42D" w14:textId="77777777" w:rsidR="00F32A2A" w:rsidRDefault="00D0470C" w:rsidP="00CA482D">
            <w:pPr>
              <w:pStyle w:val="-0"/>
              <w:spacing w:before="20" w:after="20" w:line="240" w:lineRule="auto"/>
              <w:ind w:hanging="142"/>
              <w:rPr>
                <w:rtl/>
              </w:rPr>
            </w:pPr>
            <w:r w:rsidRPr="00543C25">
              <w:rPr>
                <w:rFonts w:hint="cs"/>
                <w:rtl/>
              </w:rPr>
              <w:t>0</w:t>
            </w:r>
          </w:p>
        </w:tc>
      </w:tr>
      <w:tr w:rsidR="00D0470C" w:rsidRPr="00543C25" w14:paraId="7D083866" w14:textId="77777777" w:rsidTr="00EC46DF">
        <w:trPr>
          <w:gridAfter w:val="1"/>
          <w:wAfter w:w="375" w:type="dxa"/>
          <w:trHeight w:val="259"/>
        </w:trPr>
        <w:tc>
          <w:tcPr>
            <w:tcW w:w="1304" w:type="dxa"/>
            <w:tcBorders>
              <w:top w:val="nil"/>
              <w:left w:val="nil"/>
              <w:bottom w:val="nil"/>
              <w:right w:val="nil"/>
            </w:tcBorders>
          </w:tcPr>
          <w:p w14:paraId="15E674FC" w14:textId="77777777" w:rsidR="00F32A2A" w:rsidRDefault="00F32A2A" w:rsidP="00CA482D">
            <w:pPr>
              <w:pStyle w:val="-0"/>
              <w:spacing w:before="20" w:after="20" w:line="240" w:lineRule="auto"/>
              <w:ind w:hanging="142"/>
              <w:rPr>
                <w:sz w:val="14"/>
                <w:szCs w:val="14"/>
                <w:rtl/>
              </w:rPr>
            </w:pPr>
          </w:p>
        </w:tc>
        <w:tc>
          <w:tcPr>
            <w:tcW w:w="4428" w:type="dxa"/>
            <w:gridSpan w:val="2"/>
            <w:tcBorders>
              <w:top w:val="nil"/>
              <w:left w:val="nil"/>
              <w:bottom w:val="nil"/>
              <w:right w:val="nil"/>
            </w:tcBorders>
            <w:vAlign w:val="bottom"/>
          </w:tcPr>
          <w:p w14:paraId="4522A729" w14:textId="77777777" w:rsidR="00F32A2A" w:rsidRDefault="00D0470C" w:rsidP="00277071">
            <w:pPr>
              <w:pStyle w:val="-23"/>
              <w:spacing w:before="20" w:after="20" w:line="240" w:lineRule="auto"/>
              <w:ind w:left="425" w:hanging="425"/>
              <w:rPr>
                <w:rtl/>
              </w:rPr>
            </w:pPr>
            <w:r w:rsidRPr="00CF2A74">
              <w:rPr>
                <w:rFonts w:hint="eastAsia"/>
                <w:rtl/>
              </w:rPr>
              <w:t>סך</w:t>
            </w:r>
            <w:r w:rsidRPr="00CF2A74">
              <w:rPr>
                <w:rtl/>
              </w:rPr>
              <w:t xml:space="preserve"> </w:t>
            </w:r>
            <w:r>
              <w:rPr>
                <w:rFonts w:hint="cs"/>
                <w:rtl/>
              </w:rPr>
              <w:t>הכל מפעילויות מסחר</w:t>
            </w:r>
            <w:r w:rsidRPr="00CF2A74">
              <w:rPr>
                <w:vertAlign w:val="superscript"/>
                <w:rtl/>
              </w:rPr>
              <w:t>(ד)</w:t>
            </w:r>
          </w:p>
        </w:tc>
        <w:tc>
          <w:tcPr>
            <w:tcW w:w="1117" w:type="dxa"/>
            <w:gridSpan w:val="2"/>
            <w:tcBorders>
              <w:top w:val="nil"/>
              <w:left w:val="nil"/>
              <w:bottom w:val="nil"/>
              <w:right w:val="nil"/>
            </w:tcBorders>
            <w:vAlign w:val="bottom"/>
          </w:tcPr>
          <w:p w14:paraId="5D73B1E6" w14:textId="77777777" w:rsidR="00F32A2A" w:rsidRDefault="00D0470C" w:rsidP="00CA482D">
            <w:pPr>
              <w:pStyle w:val="-0"/>
              <w:pBdr>
                <w:top w:val="single" w:sz="4" w:space="1" w:color="auto"/>
              </w:pBdr>
              <w:spacing w:before="20" w:after="20" w:line="240" w:lineRule="auto"/>
              <w:ind w:hanging="142"/>
              <w:rPr>
                <w:b/>
                <w:bCs/>
                <w:rtl/>
              </w:rPr>
            </w:pPr>
            <w:r w:rsidRPr="00003A57">
              <w:rPr>
                <w:b/>
                <w:bCs/>
                <w:rtl/>
              </w:rPr>
              <w:t>0</w:t>
            </w:r>
          </w:p>
        </w:tc>
        <w:tc>
          <w:tcPr>
            <w:tcW w:w="1050" w:type="dxa"/>
            <w:gridSpan w:val="2"/>
            <w:tcBorders>
              <w:top w:val="nil"/>
              <w:left w:val="nil"/>
              <w:bottom w:val="nil"/>
              <w:right w:val="nil"/>
            </w:tcBorders>
            <w:vAlign w:val="bottom"/>
          </w:tcPr>
          <w:p w14:paraId="3A7CB4DF" w14:textId="77777777" w:rsidR="00F32A2A" w:rsidRDefault="00D0470C" w:rsidP="00CA482D">
            <w:pPr>
              <w:pStyle w:val="-0"/>
              <w:pBdr>
                <w:top w:val="single" w:sz="4" w:space="1" w:color="auto"/>
              </w:pBdr>
              <w:spacing w:before="20" w:after="20" w:line="240" w:lineRule="auto"/>
              <w:ind w:hanging="142"/>
              <w:rPr>
                <w:b/>
                <w:bCs/>
                <w:rtl/>
              </w:rPr>
            </w:pPr>
            <w:r w:rsidRPr="00003A57">
              <w:rPr>
                <w:b/>
                <w:bCs/>
                <w:rtl/>
              </w:rPr>
              <w:t>0</w:t>
            </w:r>
          </w:p>
        </w:tc>
        <w:tc>
          <w:tcPr>
            <w:tcW w:w="1064" w:type="dxa"/>
            <w:gridSpan w:val="2"/>
            <w:tcBorders>
              <w:top w:val="nil"/>
              <w:left w:val="nil"/>
              <w:bottom w:val="nil"/>
              <w:right w:val="nil"/>
            </w:tcBorders>
            <w:vAlign w:val="bottom"/>
          </w:tcPr>
          <w:p w14:paraId="5D33B390" w14:textId="77777777" w:rsidR="00F32A2A" w:rsidRDefault="00D0470C" w:rsidP="00CA482D">
            <w:pPr>
              <w:pStyle w:val="-0"/>
              <w:pBdr>
                <w:top w:val="single" w:sz="4" w:space="1" w:color="auto"/>
              </w:pBdr>
              <w:spacing w:before="20" w:after="20" w:line="240" w:lineRule="auto"/>
              <w:ind w:hanging="142"/>
              <w:rPr>
                <w:b/>
                <w:bCs/>
                <w:rtl/>
              </w:rPr>
            </w:pPr>
            <w:r w:rsidRPr="00003A57">
              <w:rPr>
                <w:b/>
                <w:bCs/>
                <w:rtl/>
              </w:rPr>
              <w:t>0</w:t>
            </w:r>
          </w:p>
        </w:tc>
        <w:tc>
          <w:tcPr>
            <w:tcW w:w="1078" w:type="dxa"/>
            <w:gridSpan w:val="2"/>
            <w:tcBorders>
              <w:top w:val="nil"/>
              <w:left w:val="nil"/>
              <w:bottom w:val="nil"/>
              <w:right w:val="nil"/>
            </w:tcBorders>
            <w:vAlign w:val="bottom"/>
          </w:tcPr>
          <w:p w14:paraId="237C9260" w14:textId="77777777" w:rsidR="00F32A2A" w:rsidRDefault="00D0470C" w:rsidP="00CA482D">
            <w:pPr>
              <w:pStyle w:val="-0"/>
              <w:pBdr>
                <w:top w:val="single" w:sz="4" w:space="1" w:color="auto"/>
              </w:pBdr>
              <w:spacing w:before="20" w:after="20" w:line="240" w:lineRule="auto"/>
              <w:ind w:hanging="142"/>
              <w:rPr>
                <w:b/>
                <w:bCs/>
                <w:rtl/>
              </w:rPr>
            </w:pPr>
            <w:r w:rsidRPr="00003A57">
              <w:rPr>
                <w:b/>
                <w:bCs/>
                <w:rtl/>
              </w:rPr>
              <w:t>0</w:t>
            </w:r>
          </w:p>
        </w:tc>
      </w:tr>
      <w:tr w:rsidR="00D0470C" w:rsidRPr="00543C25" w14:paraId="1BA4B204" w14:textId="77777777" w:rsidTr="00EC46DF">
        <w:trPr>
          <w:gridAfter w:val="1"/>
          <w:wAfter w:w="375" w:type="dxa"/>
          <w:trHeight w:val="259"/>
        </w:trPr>
        <w:tc>
          <w:tcPr>
            <w:tcW w:w="1304" w:type="dxa"/>
            <w:tcBorders>
              <w:top w:val="nil"/>
              <w:left w:val="nil"/>
              <w:bottom w:val="nil"/>
              <w:right w:val="nil"/>
            </w:tcBorders>
          </w:tcPr>
          <w:p w14:paraId="3F68A4DB" w14:textId="77777777" w:rsidR="00D0470C" w:rsidRPr="0022479C" w:rsidRDefault="00D0470C" w:rsidP="00CA482D">
            <w:pPr>
              <w:pStyle w:val="-0"/>
              <w:spacing w:before="20" w:after="20" w:line="240" w:lineRule="auto"/>
              <w:rPr>
                <w:sz w:val="14"/>
                <w:szCs w:val="14"/>
                <w:rtl/>
              </w:rPr>
            </w:pPr>
          </w:p>
        </w:tc>
        <w:tc>
          <w:tcPr>
            <w:tcW w:w="4428" w:type="dxa"/>
            <w:gridSpan w:val="2"/>
            <w:tcBorders>
              <w:top w:val="nil"/>
              <w:left w:val="nil"/>
              <w:bottom w:val="nil"/>
              <w:right w:val="nil"/>
            </w:tcBorders>
            <w:vAlign w:val="bottom"/>
          </w:tcPr>
          <w:p w14:paraId="2C892C84" w14:textId="77777777" w:rsidR="00D0470C" w:rsidRPr="002B505C" w:rsidRDefault="00D0470C" w:rsidP="00CA482D">
            <w:pPr>
              <w:pStyle w:val="-0"/>
              <w:spacing w:before="20" w:after="20" w:line="240" w:lineRule="auto"/>
              <w:ind w:left="590"/>
              <w:rPr>
                <w:rtl/>
              </w:rPr>
            </w:pPr>
          </w:p>
        </w:tc>
        <w:tc>
          <w:tcPr>
            <w:tcW w:w="1117" w:type="dxa"/>
            <w:gridSpan w:val="2"/>
            <w:tcBorders>
              <w:top w:val="nil"/>
              <w:left w:val="nil"/>
              <w:bottom w:val="nil"/>
              <w:right w:val="nil"/>
            </w:tcBorders>
          </w:tcPr>
          <w:p w14:paraId="257D9E52" w14:textId="77777777" w:rsidR="00D0470C" w:rsidRPr="00543C25" w:rsidRDefault="00D0470C" w:rsidP="00CA482D">
            <w:pPr>
              <w:pStyle w:val="-212"/>
              <w:spacing w:before="20" w:after="20"/>
              <w:jc w:val="center"/>
              <w:rPr>
                <w:rtl/>
              </w:rPr>
            </w:pPr>
          </w:p>
        </w:tc>
        <w:tc>
          <w:tcPr>
            <w:tcW w:w="1050" w:type="dxa"/>
            <w:gridSpan w:val="2"/>
            <w:tcBorders>
              <w:top w:val="nil"/>
              <w:left w:val="nil"/>
              <w:bottom w:val="nil"/>
              <w:right w:val="nil"/>
            </w:tcBorders>
          </w:tcPr>
          <w:p w14:paraId="5F2F6583" w14:textId="77777777" w:rsidR="00D0470C" w:rsidRPr="00543C25" w:rsidRDefault="00D0470C" w:rsidP="00CA482D">
            <w:pPr>
              <w:pStyle w:val="-212"/>
              <w:spacing w:before="20" w:after="20"/>
              <w:jc w:val="center"/>
              <w:rPr>
                <w:rtl/>
              </w:rPr>
            </w:pPr>
          </w:p>
        </w:tc>
        <w:tc>
          <w:tcPr>
            <w:tcW w:w="1064" w:type="dxa"/>
            <w:gridSpan w:val="2"/>
            <w:tcBorders>
              <w:top w:val="nil"/>
              <w:left w:val="nil"/>
              <w:bottom w:val="nil"/>
              <w:right w:val="nil"/>
            </w:tcBorders>
          </w:tcPr>
          <w:p w14:paraId="3856357F" w14:textId="77777777" w:rsidR="00D0470C" w:rsidRPr="00543C25" w:rsidRDefault="00D0470C" w:rsidP="00CA482D">
            <w:pPr>
              <w:pStyle w:val="-212"/>
              <w:spacing w:before="20" w:after="20"/>
              <w:jc w:val="center"/>
              <w:rPr>
                <w:rtl/>
              </w:rPr>
            </w:pPr>
          </w:p>
        </w:tc>
        <w:tc>
          <w:tcPr>
            <w:tcW w:w="1078" w:type="dxa"/>
            <w:gridSpan w:val="2"/>
            <w:tcBorders>
              <w:top w:val="nil"/>
              <w:left w:val="nil"/>
              <w:bottom w:val="nil"/>
              <w:right w:val="nil"/>
            </w:tcBorders>
          </w:tcPr>
          <w:p w14:paraId="5E4F19FC" w14:textId="77777777" w:rsidR="00D0470C" w:rsidRPr="00543C25" w:rsidRDefault="00D0470C" w:rsidP="00CA482D">
            <w:pPr>
              <w:pStyle w:val="-212"/>
              <w:spacing w:before="20" w:after="20"/>
              <w:jc w:val="center"/>
              <w:rPr>
                <w:rtl/>
              </w:rPr>
            </w:pPr>
          </w:p>
        </w:tc>
      </w:tr>
      <w:tr w:rsidR="00D0470C" w:rsidRPr="00543C25" w14:paraId="25E97A18" w14:textId="77777777" w:rsidTr="00EC46DF">
        <w:trPr>
          <w:gridAfter w:val="1"/>
          <w:wAfter w:w="375" w:type="dxa"/>
          <w:trHeight w:val="259"/>
        </w:trPr>
        <w:tc>
          <w:tcPr>
            <w:tcW w:w="1304" w:type="dxa"/>
            <w:tcBorders>
              <w:top w:val="nil"/>
              <w:left w:val="nil"/>
              <w:bottom w:val="nil"/>
              <w:right w:val="nil"/>
            </w:tcBorders>
          </w:tcPr>
          <w:p w14:paraId="184DF249" w14:textId="77777777" w:rsidR="00F32A2A" w:rsidRDefault="00F32A2A" w:rsidP="00CA482D">
            <w:pPr>
              <w:pStyle w:val="-0"/>
              <w:spacing w:before="20" w:after="20" w:line="240" w:lineRule="auto"/>
              <w:ind w:hanging="142"/>
              <w:rPr>
                <w:sz w:val="14"/>
                <w:szCs w:val="14"/>
                <w:rtl/>
              </w:rPr>
            </w:pPr>
          </w:p>
        </w:tc>
        <w:tc>
          <w:tcPr>
            <w:tcW w:w="4428" w:type="dxa"/>
            <w:gridSpan w:val="2"/>
            <w:tcBorders>
              <w:top w:val="nil"/>
              <w:left w:val="nil"/>
              <w:bottom w:val="nil"/>
              <w:right w:val="nil"/>
            </w:tcBorders>
            <w:vAlign w:val="bottom"/>
          </w:tcPr>
          <w:p w14:paraId="0154A228" w14:textId="77777777" w:rsidR="00F32A2A" w:rsidRDefault="00D0470C" w:rsidP="00277071">
            <w:pPr>
              <w:pStyle w:val="-0"/>
              <w:spacing w:before="20" w:after="20" w:line="240" w:lineRule="auto"/>
              <w:ind w:left="19" w:right="-144" w:hanging="19"/>
              <w:rPr>
                <w:b/>
                <w:bCs/>
                <w:rtl/>
              </w:rPr>
            </w:pPr>
            <w:r w:rsidRPr="00CB02F8">
              <w:rPr>
                <w:rFonts w:hint="eastAsia"/>
                <w:b/>
                <w:bCs/>
                <w:rtl/>
              </w:rPr>
              <w:t>פירוט</w:t>
            </w:r>
            <w:r w:rsidRPr="00CB02F8">
              <w:rPr>
                <w:b/>
                <w:bCs/>
                <w:rtl/>
              </w:rPr>
              <w:t xml:space="preserve"> </w:t>
            </w:r>
            <w:r w:rsidRPr="00CB02F8">
              <w:rPr>
                <w:rFonts w:hint="eastAsia"/>
                <w:b/>
                <w:bCs/>
                <w:rtl/>
              </w:rPr>
              <w:t>על</w:t>
            </w:r>
            <w:r w:rsidRPr="00CB02F8">
              <w:rPr>
                <w:b/>
                <w:bCs/>
                <w:rtl/>
              </w:rPr>
              <w:t xml:space="preserve"> </w:t>
            </w:r>
            <w:r w:rsidRPr="00CB02F8">
              <w:rPr>
                <w:rFonts w:hint="eastAsia"/>
                <w:b/>
                <w:bCs/>
                <w:rtl/>
              </w:rPr>
              <w:t>הכנסות</w:t>
            </w:r>
            <w:r w:rsidRPr="00CB02F8">
              <w:rPr>
                <w:b/>
                <w:bCs/>
                <w:rtl/>
              </w:rPr>
              <w:t xml:space="preserve"> </w:t>
            </w:r>
            <w:r w:rsidRPr="00CB02F8">
              <w:rPr>
                <w:rFonts w:hint="eastAsia"/>
                <w:b/>
                <w:bCs/>
                <w:rtl/>
              </w:rPr>
              <w:t>מימון</w:t>
            </w:r>
            <w:r w:rsidRPr="00CB02F8">
              <w:rPr>
                <w:b/>
                <w:bCs/>
                <w:rtl/>
              </w:rPr>
              <w:t xml:space="preserve"> </w:t>
            </w:r>
            <w:r w:rsidRPr="00CB02F8">
              <w:rPr>
                <w:rFonts w:hint="eastAsia"/>
                <w:b/>
                <w:bCs/>
                <w:rtl/>
              </w:rPr>
              <w:t>שאינן</w:t>
            </w:r>
            <w:r w:rsidRPr="00CB02F8">
              <w:rPr>
                <w:b/>
                <w:bCs/>
                <w:rtl/>
              </w:rPr>
              <w:t xml:space="preserve"> </w:t>
            </w:r>
            <w:r w:rsidRPr="00CB02F8">
              <w:rPr>
                <w:rFonts w:hint="eastAsia"/>
                <w:b/>
                <w:bCs/>
                <w:rtl/>
              </w:rPr>
              <w:t>מריבית</w:t>
            </w:r>
            <w:r w:rsidRPr="00CB02F8">
              <w:rPr>
                <w:b/>
                <w:bCs/>
                <w:rtl/>
              </w:rPr>
              <w:t xml:space="preserve"> </w:t>
            </w:r>
            <w:r w:rsidRPr="00CB02F8">
              <w:rPr>
                <w:rFonts w:hint="eastAsia"/>
                <w:b/>
                <w:bCs/>
                <w:rtl/>
              </w:rPr>
              <w:t>בגין</w:t>
            </w:r>
            <w:r w:rsidRPr="00CB02F8">
              <w:rPr>
                <w:b/>
                <w:bCs/>
                <w:rtl/>
              </w:rPr>
              <w:t xml:space="preserve"> </w:t>
            </w:r>
            <w:r w:rsidRPr="00CB02F8">
              <w:rPr>
                <w:rFonts w:hint="eastAsia"/>
                <w:b/>
                <w:bCs/>
                <w:rtl/>
              </w:rPr>
              <w:t>פעילויות</w:t>
            </w:r>
            <w:r w:rsidRPr="00CB02F8">
              <w:rPr>
                <w:b/>
                <w:bCs/>
                <w:rtl/>
              </w:rPr>
              <w:t xml:space="preserve"> </w:t>
            </w:r>
            <w:r w:rsidRPr="00CB02F8">
              <w:rPr>
                <w:rFonts w:hint="eastAsia"/>
                <w:b/>
                <w:bCs/>
                <w:rtl/>
              </w:rPr>
              <w:t>למטרת</w:t>
            </w:r>
            <w:r w:rsidRPr="00CB02F8">
              <w:rPr>
                <w:b/>
                <w:bCs/>
                <w:rtl/>
              </w:rPr>
              <w:t xml:space="preserve"> </w:t>
            </w:r>
            <w:r w:rsidRPr="00CB02F8">
              <w:rPr>
                <w:rFonts w:hint="eastAsia"/>
                <w:b/>
                <w:bCs/>
                <w:rtl/>
              </w:rPr>
              <w:t>מסחר</w:t>
            </w:r>
            <w:r w:rsidRPr="00CB02F8">
              <w:rPr>
                <w:b/>
                <w:bCs/>
                <w:rtl/>
              </w:rPr>
              <w:t xml:space="preserve">, </w:t>
            </w:r>
            <w:r w:rsidRPr="00CB02F8">
              <w:rPr>
                <w:rFonts w:hint="eastAsia"/>
                <w:b/>
                <w:bCs/>
                <w:rtl/>
              </w:rPr>
              <w:t>לפי</w:t>
            </w:r>
            <w:r w:rsidRPr="00CB02F8">
              <w:rPr>
                <w:b/>
                <w:bCs/>
                <w:rtl/>
              </w:rPr>
              <w:t xml:space="preserve"> </w:t>
            </w:r>
            <w:r w:rsidRPr="00CB02F8">
              <w:rPr>
                <w:rFonts w:hint="eastAsia"/>
                <w:b/>
                <w:bCs/>
                <w:rtl/>
              </w:rPr>
              <w:t>חשיפת</w:t>
            </w:r>
            <w:r w:rsidRPr="00CB02F8">
              <w:rPr>
                <w:b/>
                <w:bCs/>
                <w:rtl/>
              </w:rPr>
              <w:t xml:space="preserve"> </w:t>
            </w:r>
            <w:r w:rsidRPr="00CB02F8">
              <w:rPr>
                <w:rFonts w:hint="eastAsia"/>
                <w:b/>
                <w:bCs/>
                <w:rtl/>
              </w:rPr>
              <w:t>סיכון</w:t>
            </w:r>
            <w:r>
              <w:rPr>
                <w:rFonts w:hint="cs"/>
                <w:b/>
                <w:bCs/>
                <w:rtl/>
              </w:rPr>
              <w:t>:</w:t>
            </w:r>
            <w:r w:rsidRPr="00A704B0">
              <w:rPr>
                <w:b/>
                <w:bCs/>
                <w:sz w:val="18"/>
                <w:szCs w:val="18"/>
                <w:vertAlign w:val="superscript"/>
                <w:rtl/>
              </w:rPr>
              <w:t>[</w:t>
            </w:r>
            <w:r w:rsidRPr="00A704B0">
              <w:rPr>
                <w:rStyle w:val="a7"/>
                <w:b/>
                <w:bCs/>
                <w:sz w:val="18"/>
                <w:szCs w:val="18"/>
                <w:rtl/>
              </w:rPr>
              <w:footnoteReference w:id="38"/>
            </w:r>
            <w:r w:rsidRPr="00A704B0">
              <w:rPr>
                <w:b/>
                <w:bCs/>
                <w:sz w:val="18"/>
                <w:szCs w:val="18"/>
                <w:vertAlign w:val="superscript"/>
                <w:rtl/>
              </w:rPr>
              <w:t>][</w:t>
            </w:r>
            <w:r w:rsidRPr="00A704B0">
              <w:rPr>
                <w:rStyle w:val="a7"/>
                <w:b/>
                <w:bCs/>
                <w:sz w:val="18"/>
                <w:szCs w:val="18"/>
                <w:rtl/>
              </w:rPr>
              <w:footnoteReference w:id="39"/>
            </w:r>
            <w:r w:rsidRPr="00A704B0">
              <w:rPr>
                <w:b/>
                <w:bCs/>
                <w:sz w:val="18"/>
                <w:szCs w:val="18"/>
                <w:vertAlign w:val="superscript"/>
                <w:rtl/>
              </w:rPr>
              <w:t>]</w:t>
            </w:r>
          </w:p>
        </w:tc>
        <w:tc>
          <w:tcPr>
            <w:tcW w:w="1117" w:type="dxa"/>
            <w:gridSpan w:val="2"/>
            <w:tcBorders>
              <w:top w:val="nil"/>
              <w:left w:val="nil"/>
              <w:bottom w:val="nil"/>
              <w:right w:val="nil"/>
            </w:tcBorders>
            <w:vAlign w:val="bottom"/>
          </w:tcPr>
          <w:p w14:paraId="26DD7E86" w14:textId="77777777" w:rsidR="00F32A2A" w:rsidRDefault="00F32A2A" w:rsidP="00CA482D">
            <w:pPr>
              <w:pStyle w:val="-0"/>
              <w:spacing w:before="20" w:after="20" w:line="240" w:lineRule="auto"/>
              <w:ind w:hanging="142"/>
              <w:rPr>
                <w:rtl/>
              </w:rPr>
            </w:pPr>
          </w:p>
        </w:tc>
        <w:tc>
          <w:tcPr>
            <w:tcW w:w="1050" w:type="dxa"/>
            <w:gridSpan w:val="2"/>
            <w:tcBorders>
              <w:top w:val="nil"/>
              <w:left w:val="nil"/>
              <w:bottom w:val="nil"/>
              <w:right w:val="nil"/>
            </w:tcBorders>
            <w:vAlign w:val="bottom"/>
          </w:tcPr>
          <w:p w14:paraId="1A4B91AE" w14:textId="77777777" w:rsidR="00F32A2A" w:rsidRDefault="00F32A2A" w:rsidP="00CA482D">
            <w:pPr>
              <w:pStyle w:val="-0"/>
              <w:spacing w:before="20" w:after="20" w:line="240" w:lineRule="auto"/>
              <w:ind w:hanging="142"/>
              <w:rPr>
                <w:rtl/>
              </w:rPr>
            </w:pPr>
          </w:p>
        </w:tc>
        <w:tc>
          <w:tcPr>
            <w:tcW w:w="1064" w:type="dxa"/>
            <w:gridSpan w:val="2"/>
            <w:tcBorders>
              <w:top w:val="nil"/>
              <w:left w:val="nil"/>
              <w:bottom w:val="nil"/>
              <w:right w:val="nil"/>
            </w:tcBorders>
            <w:vAlign w:val="bottom"/>
          </w:tcPr>
          <w:p w14:paraId="60208BA0" w14:textId="77777777" w:rsidR="00F32A2A" w:rsidRDefault="00F32A2A" w:rsidP="00CA482D">
            <w:pPr>
              <w:pStyle w:val="-0"/>
              <w:spacing w:before="20" w:after="20" w:line="240" w:lineRule="auto"/>
              <w:ind w:hanging="142"/>
              <w:rPr>
                <w:rtl/>
              </w:rPr>
            </w:pPr>
          </w:p>
        </w:tc>
        <w:tc>
          <w:tcPr>
            <w:tcW w:w="1078" w:type="dxa"/>
            <w:gridSpan w:val="2"/>
            <w:tcBorders>
              <w:top w:val="nil"/>
              <w:left w:val="nil"/>
              <w:bottom w:val="nil"/>
              <w:right w:val="nil"/>
            </w:tcBorders>
            <w:vAlign w:val="bottom"/>
          </w:tcPr>
          <w:p w14:paraId="5B995F4A" w14:textId="77777777" w:rsidR="00F32A2A" w:rsidRDefault="00F32A2A" w:rsidP="00CA482D">
            <w:pPr>
              <w:pStyle w:val="-0"/>
              <w:spacing w:before="20" w:after="20" w:line="240" w:lineRule="auto"/>
              <w:ind w:hanging="142"/>
              <w:rPr>
                <w:rtl/>
              </w:rPr>
            </w:pPr>
          </w:p>
        </w:tc>
      </w:tr>
      <w:tr w:rsidR="00D0470C" w:rsidRPr="00543C25" w14:paraId="6A812D0B" w14:textId="77777777" w:rsidTr="00EC46DF">
        <w:trPr>
          <w:gridAfter w:val="1"/>
          <w:wAfter w:w="375" w:type="dxa"/>
          <w:trHeight w:val="259"/>
        </w:trPr>
        <w:tc>
          <w:tcPr>
            <w:tcW w:w="1304" w:type="dxa"/>
            <w:tcBorders>
              <w:top w:val="nil"/>
              <w:left w:val="nil"/>
              <w:bottom w:val="nil"/>
              <w:right w:val="nil"/>
            </w:tcBorders>
          </w:tcPr>
          <w:p w14:paraId="08FDA6E4" w14:textId="77777777" w:rsidR="00F32A2A" w:rsidRDefault="00F32A2A" w:rsidP="00CA482D">
            <w:pPr>
              <w:pStyle w:val="-0"/>
              <w:spacing w:before="20" w:after="20" w:line="240" w:lineRule="auto"/>
              <w:ind w:hanging="142"/>
              <w:rPr>
                <w:sz w:val="14"/>
                <w:szCs w:val="14"/>
                <w:rtl/>
              </w:rPr>
            </w:pPr>
          </w:p>
        </w:tc>
        <w:tc>
          <w:tcPr>
            <w:tcW w:w="4428" w:type="dxa"/>
            <w:gridSpan w:val="2"/>
            <w:tcBorders>
              <w:top w:val="nil"/>
              <w:left w:val="nil"/>
              <w:bottom w:val="nil"/>
              <w:right w:val="nil"/>
            </w:tcBorders>
            <w:vAlign w:val="bottom"/>
          </w:tcPr>
          <w:p w14:paraId="05F826D7" w14:textId="77777777" w:rsidR="00F32A2A" w:rsidRDefault="00D0470C" w:rsidP="00277071">
            <w:pPr>
              <w:pStyle w:val="-0"/>
              <w:spacing w:before="20" w:after="20" w:line="240" w:lineRule="auto"/>
              <w:ind w:left="142" w:hanging="142"/>
              <w:rPr>
                <w:rtl/>
              </w:rPr>
            </w:pPr>
            <w:r>
              <w:rPr>
                <w:rFonts w:hint="cs"/>
                <w:rtl/>
              </w:rPr>
              <w:t xml:space="preserve">חשיפת ריבית </w:t>
            </w:r>
          </w:p>
        </w:tc>
        <w:tc>
          <w:tcPr>
            <w:tcW w:w="1117" w:type="dxa"/>
            <w:gridSpan w:val="2"/>
            <w:tcBorders>
              <w:top w:val="nil"/>
              <w:left w:val="nil"/>
              <w:bottom w:val="nil"/>
              <w:right w:val="nil"/>
            </w:tcBorders>
            <w:vAlign w:val="bottom"/>
          </w:tcPr>
          <w:p w14:paraId="1BF6A773" w14:textId="77777777" w:rsidR="00F32A2A" w:rsidRDefault="00D0470C" w:rsidP="00CA482D">
            <w:pPr>
              <w:pStyle w:val="-0"/>
              <w:spacing w:before="20" w:after="20" w:line="240" w:lineRule="auto"/>
              <w:ind w:hanging="142"/>
              <w:rPr>
                <w:rtl/>
              </w:rPr>
            </w:pPr>
            <w:r w:rsidRPr="00543C25">
              <w:rPr>
                <w:rFonts w:hint="cs"/>
                <w:rtl/>
              </w:rPr>
              <w:t>0</w:t>
            </w:r>
          </w:p>
        </w:tc>
        <w:tc>
          <w:tcPr>
            <w:tcW w:w="1050" w:type="dxa"/>
            <w:gridSpan w:val="2"/>
            <w:tcBorders>
              <w:top w:val="nil"/>
              <w:left w:val="nil"/>
              <w:bottom w:val="nil"/>
              <w:right w:val="nil"/>
            </w:tcBorders>
            <w:vAlign w:val="bottom"/>
          </w:tcPr>
          <w:p w14:paraId="6082BA19" w14:textId="77777777" w:rsidR="00F32A2A" w:rsidRDefault="00D0470C" w:rsidP="00CA482D">
            <w:pPr>
              <w:pStyle w:val="-0"/>
              <w:spacing w:before="20" w:after="20" w:line="240" w:lineRule="auto"/>
              <w:ind w:hanging="142"/>
              <w:rPr>
                <w:rtl/>
              </w:rPr>
            </w:pPr>
            <w:r w:rsidRPr="00543C25">
              <w:rPr>
                <w:rFonts w:hint="cs"/>
                <w:rtl/>
              </w:rPr>
              <w:t>0</w:t>
            </w:r>
          </w:p>
        </w:tc>
        <w:tc>
          <w:tcPr>
            <w:tcW w:w="1064" w:type="dxa"/>
            <w:gridSpan w:val="2"/>
            <w:tcBorders>
              <w:top w:val="nil"/>
              <w:left w:val="nil"/>
              <w:bottom w:val="nil"/>
              <w:right w:val="nil"/>
            </w:tcBorders>
            <w:vAlign w:val="bottom"/>
          </w:tcPr>
          <w:p w14:paraId="122A2A53" w14:textId="77777777" w:rsidR="00F32A2A" w:rsidRDefault="00D0470C" w:rsidP="00CA482D">
            <w:pPr>
              <w:pStyle w:val="-0"/>
              <w:spacing w:before="20" w:after="20" w:line="240" w:lineRule="auto"/>
              <w:ind w:hanging="142"/>
              <w:rPr>
                <w:rtl/>
              </w:rPr>
            </w:pPr>
            <w:r w:rsidRPr="00543C25">
              <w:rPr>
                <w:rFonts w:hint="cs"/>
                <w:rtl/>
              </w:rPr>
              <w:t>0</w:t>
            </w:r>
          </w:p>
        </w:tc>
        <w:tc>
          <w:tcPr>
            <w:tcW w:w="1078" w:type="dxa"/>
            <w:gridSpan w:val="2"/>
            <w:tcBorders>
              <w:top w:val="nil"/>
              <w:left w:val="nil"/>
              <w:bottom w:val="nil"/>
              <w:right w:val="nil"/>
            </w:tcBorders>
            <w:vAlign w:val="bottom"/>
          </w:tcPr>
          <w:p w14:paraId="76A67270" w14:textId="77777777" w:rsidR="00F32A2A" w:rsidRDefault="00D0470C" w:rsidP="00CA482D">
            <w:pPr>
              <w:pStyle w:val="-0"/>
              <w:spacing w:before="20" w:after="20" w:line="240" w:lineRule="auto"/>
              <w:ind w:hanging="142"/>
              <w:rPr>
                <w:rtl/>
              </w:rPr>
            </w:pPr>
            <w:r w:rsidRPr="00543C25">
              <w:rPr>
                <w:rFonts w:hint="cs"/>
                <w:rtl/>
              </w:rPr>
              <w:t>0</w:t>
            </w:r>
          </w:p>
        </w:tc>
      </w:tr>
      <w:tr w:rsidR="00D0470C" w:rsidRPr="00543C25" w14:paraId="078BC644" w14:textId="77777777" w:rsidTr="00EC46DF">
        <w:trPr>
          <w:gridAfter w:val="1"/>
          <w:wAfter w:w="375" w:type="dxa"/>
          <w:trHeight w:val="259"/>
        </w:trPr>
        <w:tc>
          <w:tcPr>
            <w:tcW w:w="1304" w:type="dxa"/>
            <w:tcBorders>
              <w:top w:val="nil"/>
              <w:left w:val="nil"/>
              <w:bottom w:val="nil"/>
              <w:right w:val="nil"/>
            </w:tcBorders>
          </w:tcPr>
          <w:p w14:paraId="78A9F0A9" w14:textId="77777777" w:rsidR="00F32A2A" w:rsidRDefault="00F32A2A" w:rsidP="00CA482D">
            <w:pPr>
              <w:pStyle w:val="-0"/>
              <w:spacing w:before="20" w:after="20" w:line="240" w:lineRule="auto"/>
              <w:ind w:hanging="142"/>
              <w:rPr>
                <w:sz w:val="14"/>
                <w:szCs w:val="14"/>
                <w:rtl/>
              </w:rPr>
            </w:pPr>
          </w:p>
        </w:tc>
        <w:tc>
          <w:tcPr>
            <w:tcW w:w="4428" w:type="dxa"/>
            <w:gridSpan w:val="2"/>
            <w:tcBorders>
              <w:top w:val="nil"/>
              <w:left w:val="nil"/>
              <w:bottom w:val="nil"/>
              <w:right w:val="nil"/>
            </w:tcBorders>
            <w:vAlign w:val="bottom"/>
          </w:tcPr>
          <w:p w14:paraId="2A82724A" w14:textId="77777777" w:rsidR="00F32A2A" w:rsidRDefault="00D0470C" w:rsidP="00277071">
            <w:pPr>
              <w:pStyle w:val="-0"/>
              <w:spacing w:before="20" w:after="20" w:line="240" w:lineRule="auto"/>
              <w:ind w:left="142" w:hanging="142"/>
              <w:rPr>
                <w:rtl/>
              </w:rPr>
            </w:pPr>
            <w:r>
              <w:rPr>
                <w:rFonts w:hint="cs"/>
                <w:rtl/>
              </w:rPr>
              <w:t>חשיפת מטבע חוץ</w:t>
            </w:r>
          </w:p>
        </w:tc>
        <w:tc>
          <w:tcPr>
            <w:tcW w:w="1117" w:type="dxa"/>
            <w:gridSpan w:val="2"/>
            <w:tcBorders>
              <w:top w:val="nil"/>
              <w:left w:val="nil"/>
              <w:bottom w:val="nil"/>
              <w:right w:val="nil"/>
            </w:tcBorders>
            <w:vAlign w:val="bottom"/>
          </w:tcPr>
          <w:p w14:paraId="69675420" w14:textId="77777777" w:rsidR="00F32A2A" w:rsidRDefault="00D0470C" w:rsidP="00CA482D">
            <w:pPr>
              <w:pStyle w:val="-0"/>
              <w:spacing w:before="20" w:after="20" w:line="240" w:lineRule="auto"/>
              <w:ind w:hanging="142"/>
              <w:rPr>
                <w:rtl/>
              </w:rPr>
            </w:pPr>
            <w:r w:rsidRPr="00543C25">
              <w:rPr>
                <w:rFonts w:hint="cs"/>
                <w:rtl/>
              </w:rPr>
              <w:t>0</w:t>
            </w:r>
          </w:p>
        </w:tc>
        <w:tc>
          <w:tcPr>
            <w:tcW w:w="1050" w:type="dxa"/>
            <w:gridSpan w:val="2"/>
            <w:tcBorders>
              <w:top w:val="nil"/>
              <w:left w:val="nil"/>
              <w:bottom w:val="nil"/>
              <w:right w:val="nil"/>
            </w:tcBorders>
            <w:vAlign w:val="bottom"/>
          </w:tcPr>
          <w:p w14:paraId="3C134843" w14:textId="77777777" w:rsidR="00F32A2A" w:rsidRDefault="00D0470C" w:rsidP="00CA482D">
            <w:pPr>
              <w:pStyle w:val="-0"/>
              <w:spacing w:before="20" w:after="20" w:line="240" w:lineRule="auto"/>
              <w:ind w:hanging="142"/>
              <w:rPr>
                <w:rtl/>
              </w:rPr>
            </w:pPr>
            <w:r w:rsidRPr="00543C25">
              <w:rPr>
                <w:rFonts w:hint="cs"/>
                <w:rtl/>
              </w:rPr>
              <w:t>0</w:t>
            </w:r>
          </w:p>
        </w:tc>
        <w:tc>
          <w:tcPr>
            <w:tcW w:w="1064" w:type="dxa"/>
            <w:gridSpan w:val="2"/>
            <w:tcBorders>
              <w:top w:val="nil"/>
              <w:left w:val="nil"/>
              <w:bottom w:val="nil"/>
              <w:right w:val="nil"/>
            </w:tcBorders>
            <w:vAlign w:val="bottom"/>
          </w:tcPr>
          <w:p w14:paraId="4AC7F6C0" w14:textId="77777777" w:rsidR="00F32A2A" w:rsidRDefault="00D0470C" w:rsidP="00CA482D">
            <w:pPr>
              <w:pStyle w:val="-0"/>
              <w:spacing w:before="20" w:after="20" w:line="240" w:lineRule="auto"/>
              <w:ind w:hanging="142"/>
              <w:rPr>
                <w:rtl/>
              </w:rPr>
            </w:pPr>
            <w:r w:rsidRPr="00543C25">
              <w:rPr>
                <w:rFonts w:hint="cs"/>
                <w:rtl/>
              </w:rPr>
              <w:t>0</w:t>
            </w:r>
          </w:p>
        </w:tc>
        <w:tc>
          <w:tcPr>
            <w:tcW w:w="1078" w:type="dxa"/>
            <w:gridSpan w:val="2"/>
            <w:tcBorders>
              <w:top w:val="nil"/>
              <w:left w:val="nil"/>
              <w:bottom w:val="nil"/>
              <w:right w:val="nil"/>
            </w:tcBorders>
            <w:vAlign w:val="bottom"/>
          </w:tcPr>
          <w:p w14:paraId="7451F75E" w14:textId="77777777" w:rsidR="00F32A2A" w:rsidRDefault="00D0470C" w:rsidP="00CA482D">
            <w:pPr>
              <w:pStyle w:val="-0"/>
              <w:spacing w:before="20" w:after="20" w:line="240" w:lineRule="auto"/>
              <w:ind w:hanging="142"/>
              <w:rPr>
                <w:rtl/>
              </w:rPr>
            </w:pPr>
            <w:r w:rsidRPr="00543C25">
              <w:rPr>
                <w:rFonts w:hint="cs"/>
                <w:rtl/>
              </w:rPr>
              <w:t>0</w:t>
            </w:r>
          </w:p>
        </w:tc>
      </w:tr>
      <w:tr w:rsidR="00D0470C" w:rsidRPr="00543C25" w14:paraId="4E7A2626" w14:textId="77777777" w:rsidTr="00EC46DF">
        <w:trPr>
          <w:gridAfter w:val="1"/>
          <w:wAfter w:w="375" w:type="dxa"/>
          <w:trHeight w:val="259"/>
        </w:trPr>
        <w:tc>
          <w:tcPr>
            <w:tcW w:w="1304" w:type="dxa"/>
            <w:tcBorders>
              <w:top w:val="nil"/>
              <w:left w:val="nil"/>
              <w:bottom w:val="nil"/>
              <w:right w:val="nil"/>
            </w:tcBorders>
          </w:tcPr>
          <w:p w14:paraId="1841CE96" w14:textId="77777777" w:rsidR="00F32A2A" w:rsidRDefault="00F32A2A" w:rsidP="00CA482D">
            <w:pPr>
              <w:pStyle w:val="-0"/>
              <w:spacing w:before="20" w:after="20" w:line="240" w:lineRule="auto"/>
              <w:ind w:hanging="142"/>
              <w:rPr>
                <w:sz w:val="14"/>
                <w:szCs w:val="14"/>
                <w:rtl/>
              </w:rPr>
            </w:pPr>
          </w:p>
        </w:tc>
        <w:tc>
          <w:tcPr>
            <w:tcW w:w="4428" w:type="dxa"/>
            <w:gridSpan w:val="2"/>
            <w:tcBorders>
              <w:top w:val="nil"/>
              <w:left w:val="nil"/>
              <w:bottom w:val="nil"/>
              <w:right w:val="nil"/>
            </w:tcBorders>
            <w:vAlign w:val="bottom"/>
          </w:tcPr>
          <w:p w14:paraId="2F9F0697" w14:textId="77777777" w:rsidR="00F32A2A" w:rsidRDefault="00D0470C" w:rsidP="00277071">
            <w:pPr>
              <w:pStyle w:val="-0"/>
              <w:spacing w:before="20" w:after="20" w:line="240" w:lineRule="auto"/>
              <w:ind w:left="142" w:hanging="142"/>
              <w:rPr>
                <w:rtl/>
              </w:rPr>
            </w:pPr>
            <w:r>
              <w:rPr>
                <w:rFonts w:hint="cs"/>
                <w:rtl/>
              </w:rPr>
              <w:t>חשיפה למניות</w:t>
            </w:r>
          </w:p>
        </w:tc>
        <w:tc>
          <w:tcPr>
            <w:tcW w:w="1117" w:type="dxa"/>
            <w:gridSpan w:val="2"/>
            <w:tcBorders>
              <w:top w:val="nil"/>
              <w:left w:val="nil"/>
              <w:bottom w:val="nil"/>
              <w:right w:val="nil"/>
            </w:tcBorders>
            <w:vAlign w:val="bottom"/>
          </w:tcPr>
          <w:p w14:paraId="02CCAE3E" w14:textId="77777777" w:rsidR="00F32A2A" w:rsidRDefault="00D0470C" w:rsidP="00CA482D">
            <w:pPr>
              <w:pStyle w:val="-0"/>
              <w:spacing w:before="20" w:after="20" w:line="240" w:lineRule="auto"/>
              <w:ind w:hanging="142"/>
              <w:rPr>
                <w:rtl/>
              </w:rPr>
            </w:pPr>
            <w:r w:rsidRPr="00543C25">
              <w:rPr>
                <w:rFonts w:hint="cs"/>
                <w:rtl/>
              </w:rPr>
              <w:t>0</w:t>
            </w:r>
          </w:p>
        </w:tc>
        <w:tc>
          <w:tcPr>
            <w:tcW w:w="1050" w:type="dxa"/>
            <w:gridSpan w:val="2"/>
            <w:tcBorders>
              <w:top w:val="nil"/>
              <w:left w:val="nil"/>
              <w:bottom w:val="nil"/>
              <w:right w:val="nil"/>
            </w:tcBorders>
            <w:vAlign w:val="bottom"/>
          </w:tcPr>
          <w:p w14:paraId="01453CC5" w14:textId="77777777" w:rsidR="00F32A2A" w:rsidRDefault="00D0470C" w:rsidP="00CA482D">
            <w:pPr>
              <w:pStyle w:val="-0"/>
              <w:spacing w:before="20" w:after="20" w:line="240" w:lineRule="auto"/>
              <w:ind w:hanging="142"/>
              <w:rPr>
                <w:rtl/>
              </w:rPr>
            </w:pPr>
            <w:r w:rsidRPr="00543C25">
              <w:rPr>
                <w:rFonts w:hint="cs"/>
                <w:rtl/>
              </w:rPr>
              <w:t>0</w:t>
            </w:r>
          </w:p>
        </w:tc>
        <w:tc>
          <w:tcPr>
            <w:tcW w:w="1064" w:type="dxa"/>
            <w:gridSpan w:val="2"/>
            <w:tcBorders>
              <w:top w:val="nil"/>
              <w:left w:val="nil"/>
              <w:bottom w:val="nil"/>
              <w:right w:val="nil"/>
            </w:tcBorders>
            <w:vAlign w:val="bottom"/>
          </w:tcPr>
          <w:p w14:paraId="5839068B" w14:textId="77777777" w:rsidR="00F32A2A" w:rsidRDefault="00D0470C" w:rsidP="00CA482D">
            <w:pPr>
              <w:pStyle w:val="-0"/>
              <w:spacing w:before="20" w:after="20" w:line="240" w:lineRule="auto"/>
              <w:ind w:hanging="142"/>
              <w:rPr>
                <w:rtl/>
              </w:rPr>
            </w:pPr>
            <w:r w:rsidRPr="00543C25">
              <w:rPr>
                <w:rFonts w:hint="cs"/>
                <w:rtl/>
              </w:rPr>
              <w:t>0</w:t>
            </w:r>
          </w:p>
        </w:tc>
        <w:tc>
          <w:tcPr>
            <w:tcW w:w="1078" w:type="dxa"/>
            <w:gridSpan w:val="2"/>
            <w:tcBorders>
              <w:top w:val="nil"/>
              <w:left w:val="nil"/>
              <w:bottom w:val="nil"/>
              <w:right w:val="nil"/>
            </w:tcBorders>
            <w:vAlign w:val="bottom"/>
          </w:tcPr>
          <w:p w14:paraId="1EBCDD15" w14:textId="77777777" w:rsidR="00F32A2A" w:rsidRDefault="00D0470C" w:rsidP="00CA482D">
            <w:pPr>
              <w:pStyle w:val="-0"/>
              <w:spacing w:before="20" w:after="20" w:line="240" w:lineRule="auto"/>
              <w:ind w:hanging="142"/>
              <w:rPr>
                <w:rtl/>
              </w:rPr>
            </w:pPr>
            <w:r w:rsidRPr="00543C25">
              <w:rPr>
                <w:rFonts w:hint="cs"/>
                <w:rtl/>
              </w:rPr>
              <w:t>0</w:t>
            </w:r>
          </w:p>
        </w:tc>
      </w:tr>
      <w:tr w:rsidR="00D0470C" w:rsidRPr="00543C25" w14:paraId="3049C878" w14:textId="77777777" w:rsidTr="00EC46DF">
        <w:trPr>
          <w:gridAfter w:val="1"/>
          <w:wAfter w:w="375" w:type="dxa"/>
          <w:trHeight w:val="259"/>
        </w:trPr>
        <w:tc>
          <w:tcPr>
            <w:tcW w:w="1304" w:type="dxa"/>
            <w:tcBorders>
              <w:top w:val="nil"/>
              <w:left w:val="nil"/>
              <w:bottom w:val="nil"/>
              <w:right w:val="nil"/>
            </w:tcBorders>
          </w:tcPr>
          <w:p w14:paraId="3F16707F" w14:textId="77777777" w:rsidR="00F32A2A" w:rsidRDefault="00F32A2A" w:rsidP="00CA482D">
            <w:pPr>
              <w:pStyle w:val="-0"/>
              <w:spacing w:before="20" w:after="20" w:line="240" w:lineRule="auto"/>
              <w:ind w:hanging="142"/>
              <w:rPr>
                <w:sz w:val="14"/>
                <w:szCs w:val="14"/>
                <w:rtl/>
              </w:rPr>
            </w:pPr>
          </w:p>
        </w:tc>
        <w:tc>
          <w:tcPr>
            <w:tcW w:w="4428" w:type="dxa"/>
            <w:gridSpan w:val="2"/>
            <w:tcBorders>
              <w:top w:val="nil"/>
              <w:left w:val="nil"/>
              <w:bottom w:val="nil"/>
              <w:right w:val="nil"/>
            </w:tcBorders>
            <w:vAlign w:val="bottom"/>
          </w:tcPr>
          <w:p w14:paraId="5AE6992B" w14:textId="77777777" w:rsidR="00F32A2A" w:rsidRDefault="00D0470C" w:rsidP="00277071">
            <w:pPr>
              <w:pStyle w:val="-0"/>
              <w:spacing w:before="20" w:after="20" w:line="240" w:lineRule="auto"/>
              <w:ind w:left="142" w:hanging="142"/>
              <w:rPr>
                <w:rtl/>
              </w:rPr>
            </w:pPr>
            <w:r>
              <w:rPr>
                <w:rFonts w:hint="cs"/>
                <w:rtl/>
              </w:rPr>
              <w:t>חשיפה לסחורות ואחרים</w:t>
            </w:r>
          </w:p>
        </w:tc>
        <w:tc>
          <w:tcPr>
            <w:tcW w:w="1117" w:type="dxa"/>
            <w:gridSpan w:val="2"/>
            <w:tcBorders>
              <w:top w:val="nil"/>
              <w:left w:val="nil"/>
              <w:bottom w:val="nil"/>
              <w:right w:val="nil"/>
            </w:tcBorders>
            <w:vAlign w:val="bottom"/>
          </w:tcPr>
          <w:p w14:paraId="5B8EE913" w14:textId="77777777" w:rsidR="00F32A2A" w:rsidRDefault="00D0470C" w:rsidP="00CA482D">
            <w:pPr>
              <w:pStyle w:val="-0"/>
              <w:pBdr>
                <w:bottom w:val="single" w:sz="4" w:space="1" w:color="auto"/>
              </w:pBdr>
              <w:spacing w:before="20" w:after="20" w:line="240" w:lineRule="auto"/>
              <w:ind w:hanging="142"/>
              <w:rPr>
                <w:rtl/>
              </w:rPr>
            </w:pPr>
            <w:r w:rsidRPr="00543C25">
              <w:rPr>
                <w:rFonts w:hint="cs"/>
                <w:rtl/>
              </w:rPr>
              <w:t>0</w:t>
            </w:r>
          </w:p>
        </w:tc>
        <w:tc>
          <w:tcPr>
            <w:tcW w:w="1050" w:type="dxa"/>
            <w:gridSpan w:val="2"/>
            <w:tcBorders>
              <w:top w:val="nil"/>
              <w:left w:val="nil"/>
              <w:bottom w:val="nil"/>
              <w:right w:val="nil"/>
            </w:tcBorders>
            <w:vAlign w:val="bottom"/>
          </w:tcPr>
          <w:p w14:paraId="149071AB" w14:textId="77777777" w:rsidR="00F32A2A" w:rsidRDefault="00D0470C" w:rsidP="00CA482D">
            <w:pPr>
              <w:pStyle w:val="-0"/>
              <w:pBdr>
                <w:bottom w:val="single" w:sz="4" w:space="1" w:color="auto"/>
              </w:pBdr>
              <w:spacing w:before="20" w:after="20" w:line="240" w:lineRule="auto"/>
              <w:ind w:hanging="142"/>
              <w:rPr>
                <w:rtl/>
              </w:rPr>
            </w:pPr>
            <w:r w:rsidRPr="00543C25">
              <w:rPr>
                <w:rFonts w:hint="cs"/>
                <w:rtl/>
              </w:rPr>
              <w:t>0</w:t>
            </w:r>
          </w:p>
        </w:tc>
        <w:tc>
          <w:tcPr>
            <w:tcW w:w="1064" w:type="dxa"/>
            <w:gridSpan w:val="2"/>
            <w:tcBorders>
              <w:top w:val="nil"/>
              <w:left w:val="nil"/>
              <w:bottom w:val="nil"/>
              <w:right w:val="nil"/>
            </w:tcBorders>
            <w:vAlign w:val="bottom"/>
          </w:tcPr>
          <w:p w14:paraId="046578F4" w14:textId="77777777" w:rsidR="00F32A2A" w:rsidRDefault="00D0470C" w:rsidP="00CA482D">
            <w:pPr>
              <w:pStyle w:val="-0"/>
              <w:pBdr>
                <w:bottom w:val="single" w:sz="4" w:space="1" w:color="auto"/>
              </w:pBdr>
              <w:spacing w:before="20" w:after="20" w:line="240" w:lineRule="auto"/>
              <w:ind w:hanging="142"/>
              <w:rPr>
                <w:rtl/>
              </w:rPr>
            </w:pPr>
            <w:r w:rsidRPr="00543C25">
              <w:rPr>
                <w:rFonts w:hint="cs"/>
                <w:rtl/>
              </w:rPr>
              <w:t>0</w:t>
            </w:r>
          </w:p>
        </w:tc>
        <w:tc>
          <w:tcPr>
            <w:tcW w:w="1078" w:type="dxa"/>
            <w:gridSpan w:val="2"/>
            <w:tcBorders>
              <w:top w:val="nil"/>
              <w:left w:val="nil"/>
              <w:bottom w:val="nil"/>
              <w:right w:val="nil"/>
            </w:tcBorders>
            <w:vAlign w:val="bottom"/>
          </w:tcPr>
          <w:p w14:paraId="43DDD539" w14:textId="77777777" w:rsidR="00F32A2A" w:rsidRDefault="00D0470C" w:rsidP="00CA482D">
            <w:pPr>
              <w:pStyle w:val="-0"/>
              <w:pBdr>
                <w:bottom w:val="single" w:sz="4" w:space="1" w:color="auto"/>
              </w:pBdr>
              <w:spacing w:before="20" w:after="20" w:line="240" w:lineRule="auto"/>
              <w:ind w:hanging="142"/>
              <w:rPr>
                <w:rtl/>
              </w:rPr>
            </w:pPr>
            <w:r w:rsidRPr="00543C25">
              <w:rPr>
                <w:rFonts w:hint="cs"/>
                <w:rtl/>
              </w:rPr>
              <w:t>0</w:t>
            </w:r>
          </w:p>
        </w:tc>
      </w:tr>
      <w:tr w:rsidR="00D0470C" w:rsidRPr="00543C25" w14:paraId="3556EDE4" w14:textId="77777777" w:rsidTr="00EC46DF">
        <w:trPr>
          <w:gridAfter w:val="1"/>
          <w:wAfter w:w="375" w:type="dxa"/>
          <w:trHeight w:val="259"/>
        </w:trPr>
        <w:tc>
          <w:tcPr>
            <w:tcW w:w="1304" w:type="dxa"/>
            <w:tcBorders>
              <w:top w:val="nil"/>
              <w:left w:val="nil"/>
              <w:bottom w:val="nil"/>
              <w:right w:val="nil"/>
            </w:tcBorders>
          </w:tcPr>
          <w:p w14:paraId="199C787D" w14:textId="77777777" w:rsidR="00F32A2A" w:rsidRDefault="00F32A2A" w:rsidP="00CA482D">
            <w:pPr>
              <w:pStyle w:val="-0"/>
              <w:spacing w:before="20" w:after="20" w:line="240" w:lineRule="auto"/>
              <w:ind w:hanging="142"/>
              <w:rPr>
                <w:sz w:val="14"/>
                <w:szCs w:val="14"/>
                <w:rtl/>
              </w:rPr>
            </w:pPr>
          </w:p>
        </w:tc>
        <w:tc>
          <w:tcPr>
            <w:tcW w:w="4428" w:type="dxa"/>
            <w:gridSpan w:val="2"/>
            <w:tcBorders>
              <w:top w:val="nil"/>
              <w:left w:val="nil"/>
              <w:bottom w:val="nil"/>
              <w:right w:val="nil"/>
            </w:tcBorders>
            <w:vAlign w:val="bottom"/>
          </w:tcPr>
          <w:p w14:paraId="22C72589" w14:textId="77777777" w:rsidR="00F32A2A" w:rsidRDefault="00D0470C" w:rsidP="00277071">
            <w:pPr>
              <w:pStyle w:val="-b"/>
              <w:spacing w:before="20" w:after="20" w:line="240" w:lineRule="auto"/>
              <w:ind w:left="374" w:hanging="374"/>
              <w:rPr>
                <w:rtl/>
              </w:rPr>
            </w:pPr>
            <w:r w:rsidRPr="00CD24E2">
              <w:rPr>
                <w:rFonts w:hint="cs"/>
                <w:rtl/>
              </w:rPr>
              <w:t xml:space="preserve">סך </w:t>
            </w:r>
            <w:r>
              <w:rPr>
                <w:rFonts w:hint="cs"/>
                <w:rtl/>
              </w:rPr>
              <w:t>הכל</w:t>
            </w:r>
          </w:p>
        </w:tc>
        <w:tc>
          <w:tcPr>
            <w:tcW w:w="1117" w:type="dxa"/>
            <w:gridSpan w:val="2"/>
            <w:tcBorders>
              <w:top w:val="nil"/>
              <w:left w:val="nil"/>
              <w:bottom w:val="nil"/>
              <w:right w:val="nil"/>
            </w:tcBorders>
            <w:vAlign w:val="bottom"/>
          </w:tcPr>
          <w:p w14:paraId="4CF7AF3E" w14:textId="77777777" w:rsidR="00F32A2A" w:rsidRDefault="00D0470C" w:rsidP="00CA482D">
            <w:pPr>
              <w:pStyle w:val="-0"/>
              <w:pBdr>
                <w:bottom w:val="double" w:sz="4" w:space="1" w:color="auto"/>
              </w:pBdr>
              <w:spacing w:before="20" w:after="20" w:line="240" w:lineRule="auto"/>
              <w:ind w:hanging="142"/>
              <w:rPr>
                <w:b/>
                <w:bCs/>
                <w:rtl/>
              </w:rPr>
            </w:pPr>
            <w:r w:rsidRPr="00003A57">
              <w:rPr>
                <w:b/>
                <w:bCs/>
                <w:rtl/>
              </w:rPr>
              <w:t>0</w:t>
            </w:r>
          </w:p>
        </w:tc>
        <w:tc>
          <w:tcPr>
            <w:tcW w:w="1050" w:type="dxa"/>
            <w:gridSpan w:val="2"/>
            <w:tcBorders>
              <w:top w:val="nil"/>
              <w:left w:val="nil"/>
              <w:bottom w:val="nil"/>
              <w:right w:val="nil"/>
            </w:tcBorders>
            <w:vAlign w:val="bottom"/>
          </w:tcPr>
          <w:p w14:paraId="550AB962" w14:textId="77777777" w:rsidR="00F32A2A" w:rsidRDefault="00D0470C" w:rsidP="00CA482D">
            <w:pPr>
              <w:pStyle w:val="-0"/>
              <w:pBdr>
                <w:bottom w:val="double" w:sz="4" w:space="1" w:color="auto"/>
              </w:pBdr>
              <w:spacing w:before="20" w:after="20" w:line="240" w:lineRule="auto"/>
              <w:ind w:hanging="142"/>
              <w:rPr>
                <w:b/>
                <w:bCs/>
                <w:rtl/>
              </w:rPr>
            </w:pPr>
            <w:r w:rsidRPr="00003A57">
              <w:rPr>
                <w:b/>
                <w:bCs/>
                <w:rtl/>
              </w:rPr>
              <w:t>0</w:t>
            </w:r>
          </w:p>
        </w:tc>
        <w:tc>
          <w:tcPr>
            <w:tcW w:w="1064" w:type="dxa"/>
            <w:gridSpan w:val="2"/>
            <w:tcBorders>
              <w:top w:val="nil"/>
              <w:left w:val="nil"/>
              <w:bottom w:val="nil"/>
              <w:right w:val="nil"/>
            </w:tcBorders>
            <w:vAlign w:val="bottom"/>
          </w:tcPr>
          <w:p w14:paraId="1776D8F8" w14:textId="77777777" w:rsidR="00F32A2A" w:rsidRDefault="00D0470C" w:rsidP="00CA482D">
            <w:pPr>
              <w:pStyle w:val="-0"/>
              <w:pBdr>
                <w:bottom w:val="double" w:sz="4" w:space="1" w:color="auto"/>
              </w:pBdr>
              <w:spacing w:before="20" w:after="20" w:line="240" w:lineRule="auto"/>
              <w:ind w:hanging="142"/>
              <w:rPr>
                <w:b/>
                <w:bCs/>
                <w:rtl/>
              </w:rPr>
            </w:pPr>
            <w:r w:rsidRPr="00003A57">
              <w:rPr>
                <w:b/>
                <w:bCs/>
                <w:rtl/>
              </w:rPr>
              <w:t>0</w:t>
            </w:r>
          </w:p>
        </w:tc>
        <w:tc>
          <w:tcPr>
            <w:tcW w:w="1078" w:type="dxa"/>
            <w:gridSpan w:val="2"/>
            <w:tcBorders>
              <w:top w:val="nil"/>
              <w:left w:val="nil"/>
              <w:bottom w:val="nil"/>
              <w:right w:val="nil"/>
            </w:tcBorders>
            <w:vAlign w:val="bottom"/>
          </w:tcPr>
          <w:p w14:paraId="456E58F1" w14:textId="77777777" w:rsidR="00F32A2A" w:rsidRDefault="00D0470C" w:rsidP="00CA482D">
            <w:pPr>
              <w:pStyle w:val="-0"/>
              <w:pBdr>
                <w:bottom w:val="double" w:sz="4" w:space="1" w:color="auto"/>
              </w:pBdr>
              <w:spacing w:before="20" w:after="20" w:line="240" w:lineRule="auto"/>
              <w:ind w:hanging="142"/>
              <w:rPr>
                <w:b/>
                <w:bCs/>
                <w:rtl/>
              </w:rPr>
            </w:pPr>
            <w:r w:rsidRPr="00003A57">
              <w:rPr>
                <w:b/>
                <w:bCs/>
                <w:rtl/>
              </w:rPr>
              <w:t>0</w:t>
            </w:r>
          </w:p>
        </w:tc>
      </w:tr>
      <w:tr w:rsidR="00D0470C" w:rsidRPr="00543C25" w14:paraId="66B82A25" w14:textId="77777777" w:rsidTr="00CA482D">
        <w:trPr>
          <w:trHeight w:hRule="exact" w:val="144"/>
        </w:trPr>
        <w:tc>
          <w:tcPr>
            <w:tcW w:w="1679" w:type="dxa"/>
            <w:gridSpan w:val="2"/>
            <w:tcBorders>
              <w:top w:val="nil"/>
              <w:left w:val="nil"/>
              <w:bottom w:val="nil"/>
              <w:right w:val="nil"/>
            </w:tcBorders>
          </w:tcPr>
          <w:p w14:paraId="62F12396" w14:textId="77777777" w:rsidR="00D0470C" w:rsidRDefault="00D0470C" w:rsidP="006F3019">
            <w:pPr>
              <w:pStyle w:val="-0"/>
              <w:rPr>
                <w:sz w:val="14"/>
                <w:szCs w:val="14"/>
                <w:rtl/>
              </w:rPr>
            </w:pPr>
          </w:p>
        </w:tc>
        <w:tc>
          <w:tcPr>
            <w:tcW w:w="4428" w:type="dxa"/>
            <w:gridSpan w:val="2"/>
            <w:tcBorders>
              <w:top w:val="nil"/>
              <w:left w:val="nil"/>
              <w:bottom w:val="nil"/>
              <w:right w:val="nil"/>
            </w:tcBorders>
            <w:vAlign w:val="bottom"/>
          </w:tcPr>
          <w:p w14:paraId="57EF1093" w14:textId="77777777" w:rsidR="00D0470C" w:rsidRDefault="00D0470C" w:rsidP="006F3019">
            <w:pPr>
              <w:pStyle w:val="-b"/>
              <w:spacing w:line="240" w:lineRule="auto"/>
              <w:ind w:left="590"/>
              <w:rPr>
                <w:rtl/>
              </w:rPr>
            </w:pPr>
          </w:p>
        </w:tc>
        <w:tc>
          <w:tcPr>
            <w:tcW w:w="1117" w:type="dxa"/>
            <w:gridSpan w:val="2"/>
            <w:tcBorders>
              <w:top w:val="nil"/>
              <w:left w:val="nil"/>
              <w:bottom w:val="nil"/>
              <w:right w:val="nil"/>
            </w:tcBorders>
          </w:tcPr>
          <w:p w14:paraId="095BC480" w14:textId="77777777" w:rsidR="00D0470C" w:rsidRDefault="00D0470C" w:rsidP="006F3019">
            <w:pPr>
              <w:pStyle w:val="-12"/>
              <w:pBdr>
                <w:top w:val="none" w:sz="0" w:space="0" w:color="auto"/>
              </w:pBdr>
              <w:jc w:val="center"/>
              <w:rPr>
                <w:rtl/>
              </w:rPr>
            </w:pPr>
          </w:p>
        </w:tc>
        <w:tc>
          <w:tcPr>
            <w:tcW w:w="1050" w:type="dxa"/>
            <w:gridSpan w:val="2"/>
            <w:tcBorders>
              <w:top w:val="nil"/>
              <w:left w:val="nil"/>
              <w:bottom w:val="nil"/>
              <w:right w:val="nil"/>
            </w:tcBorders>
          </w:tcPr>
          <w:p w14:paraId="208E27F6" w14:textId="77777777" w:rsidR="00D0470C" w:rsidRDefault="00D0470C" w:rsidP="006F3019">
            <w:pPr>
              <w:pStyle w:val="-12"/>
              <w:pBdr>
                <w:top w:val="none" w:sz="0" w:space="0" w:color="auto"/>
              </w:pBdr>
              <w:jc w:val="center"/>
              <w:rPr>
                <w:rtl/>
              </w:rPr>
            </w:pPr>
          </w:p>
        </w:tc>
        <w:tc>
          <w:tcPr>
            <w:tcW w:w="1064" w:type="dxa"/>
            <w:gridSpan w:val="2"/>
            <w:tcBorders>
              <w:top w:val="nil"/>
              <w:left w:val="nil"/>
              <w:bottom w:val="nil"/>
              <w:right w:val="nil"/>
            </w:tcBorders>
          </w:tcPr>
          <w:p w14:paraId="089FCA75" w14:textId="77777777" w:rsidR="00D0470C" w:rsidRDefault="00D0470C" w:rsidP="006F3019">
            <w:pPr>
              <w:pStyle w:val="-12"/>
              <w:pBdr>
                <w:top w:val="none" w:sz="0" w:space="0" w:color="auto"/>
              </w:pBdr>
              <w:jc w:val="center"/>
              <w:rPr>
                <w:rtl/>
              </w:rPr>
            </w:pPr>
          </w:p>
        </w:tc>
        <w:tc>
          <w:tcPr>
            <w:tcW w:w="1078" w:type="dxa"/>
            <w:gridSpan w:val="2"/>
            <w:tcBorders>
              <w:top w:val="nil"/>
              <w:left w:val="nil"/>
              <w:bottom w:val="nil"/>
              <w:right w:val="nil"/>
            </w:tcBorders>
          </w:tcPr>
          <w:p w14:paraId="7526A5EB" w14:textId="77777777" w:rsidR="00D0470C" w:rsidRDefault="00D0470C" w:rsidP="006F3019">
            <w:pPr>
              <w:pStyle w:val="-12"/>
              <w:pBdr>
                <w:top w:val="none" w:sz="0" w:space="0" w:color="auto"/>
              </w:pBdr>
              <w:jc w:val="center"/>
              <w:rPr>
                <w:rtl/>
              </w:rPr>
            </w:pPr>
          </w:p>
        </w:tc>
      </w:tr>
    </w:tbl>
    <w:p w14:paraId="4235BE5C" w14:textId="73763EF4" w:rsidR="00D0470C" w:rsidRDefault="00D0470C" w:rsidP="00D0470C">
      <w:pPr>
        <w:rPr>
          <w:rtl/>
        </w:rPr>
      </w:pPr>
    </w:p>
    <w:p w14:paraId="1A5A1798" w14:textId="77777777" w:rsidR="009871A4" w:rsidRDefault="009871A4" w:rsidP="00D0470C">
      <w:pPr>
        <w:rPr>
          <w:rtl/>
        </w:rPr>
      </w:pPr>
    </w:p>
    <w:tbl>
      <w:tblPr>
        <w:bidiVisual/>
        <w:tblW w:w="4793" w:type="pct"/>
        <w:tblInd w:w="-226" w:type="dxa"/>
        <w:tblLook w:val="01E0" w:firstRow="1" w:lastRow="1" w:firstColumn="1" w:lastColumn="1" w:noHBand="0" w:noVBand="0"/>
      </w:tblPr>
      <w:tblGrid>
        <w:gridCol w:w="1361"/>
        <w:gridCol w:w="441"/>
        <w:gridCol w:w="7982"/>
      </w:tblGrid>
      <w:tr w:rsidR="00EC46DF" w:rsidRPr="00543C25" w14:paraId="25D931D9" w14:textId="77777777" w:rsidTr="00EC46DF">
        <w:trPr>
          <w:trHeight w:val="245"/>
        </w:trPr>
        <w:tc>
          <w:tcPr>
            <w:tcW w:w="1361" w:type="dxa"/>
          </w:tcPr>
          <w:p w14:paraId="22D49EFF" w14:textId="77777777" w:rsidR="00EC46DF" w:rsidRPr="0022479C" w:rsidRDefault="00EC46DF" w:rsidP="00CA482D">
            <w:pPr>
              <w:spacing w:before="40"/>
              <w:ind w:right="-432"/>
              <w:rPr>
                <w:sz w:val="14"/>
                <w:szCs w:val="14"/>
                <w:rtl/>
              </w:rPr>
            </w:pPr>
          </w:p>
        </w:tc>
        <w:tc>
          <w:tcPr>
            <w:tcW w:w="441" w:type="dxa"/>
          </w:tcPr>
          <w:p w14:paraId="44123E75" w14:textId="77777777" w:rsidR="00EC46DF" w:rsidRPr="00EC46DF" w:rsidRDefault="00EC46DF" w:rsidP="00CA482D">
            <w:pPr>
              <w:pStyle w:val="-fc"/>
              <w:spacing w:before="40"/>
              <w:rPr>
                <w:b w:val="0"/>
                <w:bCs w:val="0"/>
                <w:rtl/>
              </w:rPr>
            </w:pPr>
            <w:r w:rsidRPr="00EC46DF">
              <w:rPr>
                <w:rFonts w:hint="cs"/>
                <w:b w:val="0"/>
                <w:bCs w:val="0"/>
                <w:rtl/>
              </w:rPr>
              <w:t>(א)</w:t>
            </w:r>
          </w:p>
        </w:tc>
        <w:tc>
          <w:tcPr>
            <w:tcW w:w="7982" w:type="dxa"/>
          </w:tcPr>
          <w:p w14:paraId="0AF2F622" w14:textId="77777777" w:rsidR="00EC46DF" w:rsidRDefault="00EC46DF" w:rsidP="00CA482D">
            <w:pPr>
              <w:pStyle w:val="-a"/>
              <w:spacing w:before="40"/>
              <w:rPr>
                <w:rtl/>
              </w:rPr>
            </w:pPr>
            <w:r>
              <w:rPr>
                <w:rFonts w:hint="cs"/>
                <w:rtl/>
              </w:rPr>
              <w:t>כולל הפרשי שער שנבעו מפעילות מסחר.</w:t>
            </w:r>
          </w:p>
        </w:tc>
      </w:tr>
      <w:tr w:rsidR="00EC46DF" w:rsidRPr="00543C25" w14:paraId="66F55542" w14:textId="77777777" w:rsidTr="00EC46DF">
        <w:trPr>
          <w:trHeight w:val="245"/>
        </w:trPr>
        <w:tc>
          <w:tcPr>
            <w:tcW w:w="1361" w:type="dxa"/>
          </w:tcPr>
          <w:p w14:paraId="185A0DDA" w14:textId="77777777" w:rsidR="00EC46DF" w:rsidRPr="0022479C" w:rsidRDefault="00EC46DF" w:rsidP="00CA482D">
            <w:pPr>
              <w:spacing w:before="40"/>
              <w:ind w:right="-432"/>
              <w:rPr>
                <w:sz w:val="14"/>
                <w:szCs w:val="14"/>
                <w:rtl/>
              </w:rPr>
            </w:pPr>
          </w:p>
        </w:tc>
        <w:tc>
          <w:tcPr>
            <w:tcW w:w="441" w:type="dxa"/>
          </w:tcPr>
          <w:p w14:paraId="06BA3271" w14:textId="77777777" w:rsidR="00EC46DF" w:rsidRPr="00EC46DF" w:rsidRDefault="00EC46DF" w:rsidP="00CA482D">
            <w:pPr>
              <w:pStyle w:val="-fc"/>
              <w:spacing w:before="40"/>
              <w:rPr>
                <w:b w:val="0"/>
                <w:bCs w:val="0"/>
                <w:rtl/>
              </w:rPr>
            </w:pPr>
            <w:r w:rsidRPr="00EC46DF">
              <w:rPr>
                <w:rFonts w:hint="cs"/>
                <w:b w:val="0"/>
                <w:bCs w:val="0"/>
                <w:rtl/>
              </w:rPr>
              <w:t>(ב)</w:t>
            </w:r>
          </w:p>
        </w:tc>
        <w:tc>
          <w:tcPr>
            <w:tcW w:w="7982" w:type="dxa"/>
          </w:tcPr>
          <w:p w14:paraId="302DC543" w14:textId="72E53158" w:rsidR="00EC46DF" w:rsidRPr="00921460" w:rsidRDefault="00EC46DF" w:rsidP="00CA482D">
            <w:pPr>
              <w:pStyle w:val="-a"/>
              <w:spacing w:before="40"/>
              <w:rPr>
                <w:rtl/>
              </w:rPr>
            </w:pPr>
            <w:r w:rsidRPr="00921460">
              <w:rPr>
                <w:rFonts w:hint="eastAsia"/>
                <w:rtl/>
              </w:rPr>
              <w:t>מזה</w:t>
            </w:r>
            <w:r w:rsidRPr="00921460">
              <w:rPr>
                <w:rtl/>
              </w:rPr>
              <w:t xml:space="preserve">: חלק הרווחים (הפסדים) </w:t>
            </w:r>
            <w:r w:rsidRPr="00921460">
              <w:rPr>
                <w:rFonts w:hint="eastAsia"/>
                <w:rtl/>
              </w:rPr>
              <w:t>הקשורים</w:t>
            </w:r>
            <w:r w:rsidRPr="00921460">
              <w:rPr>
                <w:rtl/>
              </w:rPr>
              <w:t xml:space="preserve"> </w:t>
            </w:r>
            <w:r w:rsidRPr="00921460">
              <w:rPr>
                <w:rFonts w:hint="eastAsia"/>
                <w:rtl/>
              </w:rPr>
              <w:t>ל</w:t>
            </w:r>
            <w:r>
              <w:rPr>
                <w:rFonts w:hint="eastAsia"/>
                <w:rtl/>
              </w:rPr>
              <w:t>אגרות</w:t>
            </w:r>
            <w:r w:rsidRPr="00921460">
              <w:rPr>
                <w:rtl/>
              </w:rPr>
              <w:t xml:space="preserve"> </w:t>
            </w:r>
            <w:r w:rsidRPr="00921460">
              <w:rPr>
                <w:rFonts w:hint="eastAsia"/>
                <w:rtl/>
              </w:rPr>
              <w:t>חוב</w:t>
            </w:r>
            <w:r w:rsidRPr="00921460">
              <w:rPr>
                <w:rtl/>
              </w:rPr>
              <w:t xml:space="preserve"> </w:t>
            </w:r>
            <w:r w:rsidRPr="00921460">
              <w:rPr>
                <w:rFonts w:hint="eastAsia"/>
                <w:rtl/>
              </w:rPr>
              <w:t>למסחר</w:t>
            </w:r>
            <w:r w:rsidRPr="00921460">
              <w:rPr>
                <w:rtl/>
              </w:rPr>
              <w:t xml:space="preserve"> </w:t>
            </w:r>
            <w:r w:rsidRPr="00921460">
              <w:rPr>
                <w:rFonts w:hint="eastAsia"/>
                <w:rtl/>
              </w:rPr>
              <w:t>שעדיין</w:t>
            </w:r>
            <w:r w:rsidRPr="00921460">
              <w:rPr>
                <w:rtl/>
              </w:rPr>
              <w:t xml:space="preserve"> </w:t>
            </w:r>
            <w:r w:rsidRPr="00921460">
              <w:rPr>
                <w:rFonts w:hint="eastAsia"/>
                <w:rtl/>
              </w:rPr>
              <w:t>מוחזקות</w:t>
            </w:r>
            <w:r w:rsidRPr="00921460">
              <w:rPr>
                <w:rtl/>
              </w:rPr>
              <w:t xml:space="preserve"> </w:t>
            </w:r>
            <w:r w:rsidRPr="00921460">
              <w:rPr>
                <w:rFonts w:hint="cs"/>
                <w:rtl/>
              </w:rPr>
              <w:t>ליום המאזן</w:t>
            </w:r>
            <w:r w:rsidRPr="00921460">
              <w:rPr>
                <w:rtl/>
              </w:rPr>
              <w:t xml:space="preserve"> </w:t>
            </w:r>
            <w:r w:rsidRPr="00921460">
              <w:rPr>
                <w:rFonts w:hint="eastAsia"/>
                <w:rtl/>
              </w:rPr>
              <w:t>בסך</w:t>
            </w:r>
            <w:r w:rsidRPr="00921460">
              <w:rPr>
                <w:rtl/>
              </w:rPr>
              <w:t xml:space="preserve"> ___ </w:t>
            </w:r>
            <w:r w:rsidRPr="00921460">
              <w:rPr>
                <w:rFonts w:hint="eastAsia"/>
                <w:rtl/>
              </w:rPr>
              <w:t>מיליוני</w:t>
            </w:r>
            <w:r w:rsidRPr="00921460">
              <w:rPr>
                <w:rtl/>
              </w:rPr>
              <w:t xml:space="preserve"> </w:t>
            </w:r>
            <w:r w:rsidRPr="00921460">
              <w:rPr>
                <w:rFonts w:hint="eastAsia"/>
                <w:rtl/>
              </w:rPr>
              <w:t>ש</w:t>
            </w:r>
            <w:r w:rsidRPr="00921460">
              <w:rPr>
                <w:rtl/>
              </w:rPr>
              <w:t>"ח (</w:t>
            </w:r>
            <w:r w:rsidRPr="00921460">
              <w:rPr>
                <w:rFonts w:hint="cs"/>
                <w:rtl/>
              </w:rPr>
              <w:t xml:space="preserve">ליום 30 ביוני </w:t>
            </w:r>
            <w:r w:rsidRPr="008D7F4E">
              <w:rPr>
                <w:sz w:val="16"/>
                <w:szCs w:val="16"/>
                <w:rtl/>
              </w:rPr>
              <w:fldChar w:fldCharType="begin"/>
            </w:r>
            <w:r w:rsidRPr="008D7F4E">
              <w:rPr>
                <w:sz w:val="16"/>
                <w:szCs w:val="16"/>
                <w:rtl/>
              </w:rPr>
              <w:instrText xml:space="preserve"> </w:instrText>
            </w:r>
            <w:r w:rsidRPr="008D7F4E">
              <w:rPr>
                <w:rFonts w:hint="cs"/>
                <w:sz w:val="16"/>
                <w:szCs w:val="16"/>
                <w:rtl/>
              </w:rPr>
              <w:instrText xml:space="preserve">= </w:instrText>
            </w:r>
            <w:r w:rsidRPr="008D7F4E">
              <w:rPr>
                <w:rFonts w:hint="cs"/>
                <w:sz w:val="16"/>
                <w:szCs w:val="16"/>
              </w:rPr>
              <w:instrText>CY</w:instrText>
            </w:r>
            <w:r w:rsidRPr="008D7F4E">
              <w:rPr>
                <w:sz w:val="16"/>
                <w:szCs w:val="16"/>
              </w:rPr>
              <w:instrText>-1</w:instrText>
            </w:r>
            <w:r w:rsidRPr="008D7F4E">
              <w:rPr>
                <w:rFonts w:hint="cs"/>
                <w:sz w:val="16"/>
                <w:szCs w:val="16"/>
              </w:rPr>
              <w:instrText xml:space="preserve"> \* MERGEFORMAT</w:instrText>
            </w:r>
            <w:r w:rsidRPr="008D7F4E">
              <w:rPr>
                <w:sz w:val="16"/>
                <w:szCs w:val="16"/>
                <w:rtl/>
              </w:rPr>
              <w:instrText xml:space="preserve"> </w:instrText>
            </w:r>
            <w:r w:rsidRPr="008D7F4E">
              <w:rPr>
                <w:sz w:val="16"/>
                <w:szCs w:val="16"/>
                <w:rtl/>
              </w:rPr>
              <w:fldChar w:fldCharType="separate"/>
            </w:r>
            <w:r w:rsidRPr="003A584F">
              <w:rPr>
                <w:noProof/>
                <w:rtl/>
              </w:rPr>
              <w:t>2023</w:t>
            </w:r>
            <w:r w:rsidRPr="008D7F4E">
              <w:rPr>
                <w:sz w:val="16"/>
                <w:szCs w:val="16"/>
                <w:rtl/>
              </w:rPr>
              <w:fldChar w:fldCharType="end"/>
            </w:r>
            <w:r>
              <w:rPr>
                <w:rFonts w:hint="cs"/>
              </w:rPr>
              <w:t xml:space="preserve"> </w:t>
            </w:r>
            <w:r w:rsidRPr="00921460">
              <w:rPr>
                <w:rFonts w:hint="cs"/>
                <w:rtl/>
              </w:rPr>
              <w:t xml:space="preserve">בסך </w:t>
            </w:r>
            <w:r w:rsidRPr="00921460">
              <w:rPr>
                <w:rtl/>
              </w:rPr>
              <w:t>_</w:t>
            </w:r>
            <w:r w:rsidRPr="00921460">
              <w:rPr>
                <w:rFonts w:hint="cs"/>
                <w:rtl/>
              </w:rPr>
              <w:t>_</w:t>
            </w:r>
            <w:r w:rsidRPr="00921460">
              <w:rPr>
                <w:rtl/>
              </w:rPr>
              <w:t xml:space="preserve">_ </w:t>
            </w:r>
            <w:r w:rsidRPr="00921460">
              <w:rPr>
                <w:rFonts w:hint="eastAsia"/>
                <w:rtl/>
              </w:rPr>
              <w:t>מיליוני</w:t>
            </w:r>
            <w:r w:rsidRPr="00921460">
              <w:rPr>
                <w:rtl/>
              </w:rPr>
              <w:t xml:space="preserve"> </w:t>
            </w:r>
            <w:r w:rsidRPr="00921460">
              <w:rPr>
                <w:rFonts w:hint="cs"/>
                <w:rtl/>
              </w:rPr>
              <w:t xml:space="preserve">ש"ח וליום 31 בדצמבר </w:t>
            </w:r>
            <w:r w:rsidRPr="008D7F4E">
              <w:rPr>
                <w:sz w:val="16"/>
                <w:szCs w:val="16"/>
                <w:rtl/>
              </w:rPr>
              <w:fldChar w:fldCharType="begin"/>
            </w:r>
            <w:r w:rsidRPr="008D7F4E">
              <w:rPr>
                <w:sz w:val="16"/>
                <w:szCs w:val="16"/>
                <w:rtl/>
              </w:rPr>
              <w:instrText xml:space="preserve"> </w:instrText>
            </w:r>
            <w:r w:rsidRPr="008D7F4E">
              <w:rPr>
                <w:rFonts w:hint="cs"/>
                <w:sz w:val="16"/>
                <w:szCs w:val="16"/>
                <w:rtl/>
              </w:rPr>
              <w:instrText xml:space="preserve">= </w:instrText>
            </w:r>
            <w:r w:rsidRPr="008D7F4E">
              <w:rPr>
                <w:rFonts w:hint="cs"/>
                <w:sz w:val="16"/>
                <w:szCs w:val="16"/>
              </w:rPr>
              <w:instrText>CY</w:instrText>
            </w:r>
            <w:r w:rsidRPr="008D7F4E">
              <w:rPr>
                <w:sz w:val="16"/>
                <w:szCs w:val="16"/>
              </w:rPr>
              <w:instrText>-1</w:instrText>
            </w:r>
            <w:r w:rsidRPr="008D7F4E">
              <w:rPr>
                <w:rFonts w:hint="cs"/>
                <w:sz w:val="16"/>
                <w:szCs w:val="16"/>
              </w:rPr>
              <w:instrText xml:space="preserve"> \* MERGEFORMAT</w:instrText>
            </w:r>
            <w:r w:rsidRPr="008D7F4E">
              <w:rPr>
                <w:sz w:val="16"/>
                <w:szCs w:val="16"/>
                <w:rtl/>
              </w:rPr>
              <w:instrText xml:space="preserve"> </w:instrText>
            </w:r>
            <w:r w:rsidRPr="008D7F4E">
              <w:rPr>
                <w:sz w:val="16"/>
                <w:szCs w:val="16"/>
                <w:rtl/>
              </w:rPr>
              <w:fldChar w:fldCharType="separate"/>
            </w:r>
            <w:r w:rsidRPr="003A584F">
              <w:rPr>
                <w:noProof/>
                <w:rtl/>
              </w:rPr>
              <w:t>2023</w:t>
            </w:r>
            <w:r w:rsidRPr="008D7F4E">
              <w:rPr>
                <w:sz w:val="16"/>
                <w:szCs w:val="16"/>
                <w:rtl/>
              </w:rPr>
              <w:fldChar w:fldCharType="end"/>
            </w:r>
            <w:r>
              <w:rPr>
                <w:rFonts w:hint="cs"/>
              </w:rPr>
              <w:t xml:space="preserve"> </w:t>
            </w:r>
            <w:r w:rsidRPr="00921460">
              <w:rPr>
                <w:rFonts w:hint="cs"/>
                <w:rtl/>
              </w:rPr>
              <w:t>בסך ___ מיליוני ש"ח).</w:t>
            </w:r>
            <w:r w:rsidRPr="00921460">
              <w:rPr>
                <w:rtl/>
              </w:rPr>
              <w:t xml:space="preserve"> </w:t>
            </w:r>
          </w:p>
        </w:tc>
      </w:tr>
      <w:tr w:rsidR="00EC46DF" w:rsidRPr="00543C25" w14:paraId="38064C57" w14:textId="77777777" w:rsidTr="00EC46DF">
        <w:trPr>
          <w:trHeight w:val="94"/>
        </w:trPr>
        <w:tc>
          <w:tcPr>
            <w:tcW w:w="1361" w:type="dxa"/>
          </w:tcPr>
          <w:p w14:paraId="6CD4AE79" w14:textId="77777777" w:rsidR="00EC46DF" w:rsidRPr="0022479C" w:rsidRDefault="00EC46DF" w:rsidP="00CA482D">
            <w:pPr>
              <w:spacing w:before="40"/>
              <w:ind w:right="-432"/>
              <w:rPr>
                <w:sz w:val="14"/>
                <w:szCs w:val="14"/>
                <w:rtl/>
              </w:rPr>
            </w:pPr>
          </w:p>
        </w:tc>
        <w:tc>
          <w:tcPr>
            <w:tcW w:w="441" w:type="dxa"/>
          </w:tcPr>
          <w:p w14:paraId="5C70FF32" w14:textId="77777777" w:rsidR="00EC46DF" w:rsidRPr="00EC46DF" w:rsidRDefault="00EC46DF" w:rsidP="00CA482D">
            <w:pPr>
              <w:pStyle w:val="-fc"/>
              <w:spacing w:before="40"/>
              <w:rPr>
                <w:b w:val="0"/>
                <w:bCs w:val="0"/>
                <w:rtl/>
              </w:rPr>
            </w:pPr>
            <w:r w:rsidRPr="00EC46DF">
              <w:rPr>
                <w:rFonts w:hint="cs"/>
                <w:b w:val="0"/>
                <w:bCs w:val="0"/>
                <w:rtl/>
              </w:rPr>
              <w:t>(ג)</w:t>
            </w:r>
          </w:p>
        </w:tc>
        <w:tc>
          <w:tcPr>
            <w:tcW w:w="7982" w:type="dxa"/>
          </w:tcPr>
          <w:p w14:paraId="75FAF7EE" w14:textId="28A02AEB" w:rsidR="00EC46DF" w:rsidRPr="00921460" w:rsidRDefault="00EC46DF" w:rsidP="00CA482D">
            <w:pPr>
              <w:pStyle w:val="-a"/>
              <w:spacing w:before="40"/>
              <w:rPr>
                <w:rtl/>
              </w:rPr>
            </w:pPr>
            <w:r w:rsidRPr="00921460">
              <w:rPr>
                <w:rFonts w:hint="eastAsia"/>
                <w:rtl/>
              </w:rPr>
              <w:t>מזה</w:t>
            </w:r>
            <w:r w:rsidRPr="00921460">
              <w:rPr>
                <w:rtl/>
              </w:rPr>
              <w:t xml:space="preserve">: חלק הרווחים (הפסדים) </w:t>
            </w:r>
            <w:r w:rsidRPr="00921460">
              <w:rPr>
                <w:rFonts w:hint="cs"/>
                <w:rtl/>
              </w:rPr>
              <w:t>הקשורים</w:t>
            </w:r>
            <w:r w:rsidRPr="00921460">
              <w:rPr>
                <w:rtl/>
              </w:rPr>
              <w:t xml:space="preserve"> למניות למסחר שעדיין מוחזקות </w:t>
            </w:r>
            <w:r w:rsidRPr="00921460">
              <w:rPr>
                <w:rFonts w:hint="cs"/>
                <w:rtl/>
              </w:rPr>
              <w:t>ליום המאזן</w:t>
            </w:r>
            <w:r w:rsidRPr="00921460">
              <w:rPr>
                <w:rtl/>
              </w:rPr>
              <w:t xml:space="preserve"> בסך ___ מיליוני ש"ח (</w:t>
            </w:r>
            <w:r w:rsidRPr="00921460">
              <w:rPr>
                <w:rFonts w:hint="cs"/>
                <w:rtl/>
              </w:rPr>
              <w:t xml:space="preserve">ליום 30 ביוני </w:t>
            </w:r>
            <w:r w:rsidRPr="008D7F4E">
              <w:rPr>
                <w:sz w:val="16"/>
                <w:szCs w:val="16"/>
                <w:rtl/>
              </w:rPr>
              <w:fldChar w:fldCharType="begin"/>
            </w:r>
            <w:r w:rsidRPr="008D7F4E">
              <w:rPr>
                <w:sz w:val="16"/>
                <w:szCs w:val="16"/>
                <w:rtl/>
              </w:rPr>
              <w:instrText xml:space="preserve"> </w:instrText>
            </w:r>
            <w:r w:rsidRPr="008D7F4E">
              <w:rPr>
                <w:rFonts w:hint="cs"/>
                <w:sz w:val="16"/>
                <w:szCs w:val="16"/>
                <w:rtl/>
              </w:rPr>
              <w:instrText xml:space="preserve">= </w:instrText>
            </w:r>
            <w:r w:rsidRPr="008D7F4E">
              <w:rPr>
                <w:rFonts w:hint="cs"/>
                <w:sz w:val="16"/>
                <w:szCs w:val="16"/>
              </w:rPr>
              <w:instrText>CY</w:instrText>
            </w:r>
            <w:r w:rsidRPr="008D7F4E">
              <w:rPr>
                <w:sz w:val="16"/>
                <w:szCs w:val="16"/>
              </w:rPr>
              <w:instrText>-1</w:instrText>
            </w:r>
            <w:r w:rsidRPr="008D7F4E">
              <w:rPr>
                <w:rFonts w:hint="cs"/>
                <w:sz w:val="16"/>
                <w:szCs w:val="16"/>
              </w:rPr>
              <w:instrText xml:space="preserve"> \* MERGEFORMAT</w:instrText>
            </w:r>
            <w:r w:rsidRPr="008D7F4E">
              <w:rPr>
                <w:sz w:val="16"/>
                <w:szCs w:val="16"/>
                <w:rtl/>
              </w:rPr>
              <w:instrText xml:space="preserve"> </w:instrText>
            </w:r>
            <w:r w:rsidRPr="008D7F4E">
              <w:rPr>
                <w:sz w:val="16"/>
                <w:szCs w:val="16"/>
                <w:rtl/>
              </w:rPr>
              <w:fldChar w:fldCharType="separate"/>
            </w:r>
            <w:r w:rsidRPr="003A584F">
              <w:rPr>
                <w:noProof/>
                <w:rtl/>
              </w:rPr>
              <w:t>2023</w:t>
            </w:r>
            <w:r w:rsidRPr="008D7F4E">
              <w:rPr>
                <w:sz w:val="16"/>
                <w:szCs w:val="16"/>
                <w:rtl/>
              </w:rPr>
              <w:fldChar w:fldCharType="end"/>
            </w:r>
            <w:r>
              <w:rPr>
                <w:rFonts w:hint="cs"/>
              </w:rPr>
              <w:t xml:space="preserve"> </w:t>
            </w:r>
            <w:r w:rsidRPr="00921460">
              <w:rPr>
                <w:rFonts w:hint="cs"/>
                <w:rtl/>
              </w:rPr>
              <w:t xml:space="preserve">בסך </w:t>
            </w:r>
            <w:r w:rsidRPr="00921460">
              <w:rPr>
                <w:rtl/>
              </w:rPr>
              <w:t>_</w:t>
            </w:r>
            <w:r w:rsidRPr="00921460">
              <w:rPr>
                <w:rFonts w:hint="cs"/>
                <w:rtl/>
              </w:rPr>
              <w:t>_</w:t>
            </w:r>
            <w:r w:rsidRPr="00921460">
              <w:rPr>
                <w:rtl/>
              </w:rPr>
              <w:t xml:space="preserve">_ מיליוני </w:t>
            </w:r>
            <w:r w:rsidRPr="00921460">
              <w:rPr>
                <w:rFonts w:hint="cs"/>
                <w:rtl/>
              </w:rPr>
              <w:t xml:space="preserve">ש"ח וליום 31 בדצמבר </w:t>
            </w:r>
            <w:r w:rsidRPr="008D7F4E">
              <w:rPr>
                <w:sz w:val="16"/>
                <w:szCs w:val="16"/>
                <w:rtl/>
              </w:rPr>
              <w:fldChar w:fldCharType="begin"/>
            </w:r>
            <w:r w:rsidRPr="008D7F4E">
              <w:rPr>
                <w:sz w:val="16"/>
                <w:szCs w:val="16"/>
                <w:rtl/>
              </w:rPr>
              <w:instrText xml:space="preserve"> </w:instrText>
            </w:r>
            <w:r w:rsidRPr="008D7F4E">
              <w:rPr>
                <w:rFonts w:hint="cs"/>
                <w:sz w:val="16"/>
                <w:szCs w:val="16"/>
                <w:rtl/>
              </w:rPr>
              <w:instrText xml:space="preserve">= </w:instrText>
            </w:r>
            <w:r w:rsidRPr="008D7F4E">
              <w:rPr>
                <w:rFonts w:hint="cs"/>
                <w:sz w:val="16"/>
                <w:szCs w:val="16"/>
              </w:rPr>
              <w:instrText>CY</w:instrText>
            </w:r>
            <w:r w:rsidRPr="008D7F4E">
              <w:rPr>
                <w:sz w:val="16"/>
                <w:szCs w:val="16"/>
              </w:rPr>
              <w:instrText>-1</w:instrText>
            </w:r>
            <w:r w:rsidRPr="008D7F4E">
              <w:rPr>
                <w:rFonts w:hint="cs"/>
                <w:sz w:val="16"/>
                <w:szCs w:val="16"/>
              </w:rPr>
              <w:instrText xml:space="preserve"> \* MERGEFORMAT</w:instrText>
            </w:r>
            <w:r w:rsidRPr="008D7F4E">
              <w:rPr>
                <w:sz w:val="16"/>
                <w:szCs w:val="16"/>
                <w:rtl/>
              </w:rPr>
              <w:instrText xml:space="preserve"> </w:instrText>
            </w:r>
            <w:r w:rsidRPr="008D7F4E">
              <w:rPr>
                <w:sz w:val="16"/>
                <w:szCs w:val="16"/>
                <w:rtl/>
              </w:rPr>
              <w:fldChar w:fldCharType="separate"/>
            </w:r>
            <w:r w:rsidRPr="003A584F">
              <w:rPr>
                <w:noProof/>
                <w:rtl/>
              </w:rPr>
              <w:t>2023</w:t>
            </w:r>
            <w:r w:rsidRPr="008D7F4E">
              <w:rPr>
                <w:sz w:val="16"/>
                <w:szCs w:val="16"/>
                <w:rtl/>
              </w:rPr>
              <w:fldChar w:fldCharType="end"/>
            </w:r>
            <w:r>
              <w:rPr>
                <w:rFonts w:hint="cs"/>
              </w:rPr>
              <w:t xml:space="preserve"> </w:t>
            </w:r>
            <w:r w:rsidRPr="00921460">
              <w:rPr>
                <w:rFonts w:hint="cs"/>
                <w:rtl/>
              </w:rPr>
              <w:t>בסך ___ מיליוני ש"ח).</w:t>
            </w:r>
          </w:p>
        </w:tc>
      </w:tr>
      <w:tr w:rsidR="00EC46DF" w:rsidRPr="00543C25" w14:paraId="21196C62" w14:textId="77777777" w:rsidTr="00EC46DF">
        <w:trPr>
          <w:trHeight w:val="245"/>
        </w:trPr>
        <w:tc>
          <w:tcPr>
            <w:tcW w:w="1361" w:type="dxa"/>
          </w:tcPr>
          <w:p w14:paraId="64AB6837" w14:textId="77777777" w:rsidR="00EC46DF" w:rsidRPr="0022479C" w:rsidRDefault="00EC46DF" w:rsidP="00CA482D">
            <w:pPr>
              <w:spacing w:before="40"/>
              <w:ind w:right="-432"/>
              <w:rPr>
                <w:sz w:val="14"/>
                <w:szCs w:val="14"/>
                <w:rtl/>
              </w:rPr>
            </w:pPr>
          </w:p>
        </w:tc>
        <w:tc>
          <w:tcPr>
            <w:tcW w:w="441" w:type="dxa"/>
          </w:tcPr>
          <w:p w14:paraId="445C8D47" w14:textId="77777777" w:rsidR="00EC46DF" w:rsidRPr="00EC46DF" w:rsidRDefault="00EC46DF" w:rsidP="00CA482D">
            <w:pPr>
              <w:pStyle w:val="-fc"/>
              <w:spacing w:before="40"/>
              <w:rPr>
                <w:b w:val="0"/>
                <w:bCs w:val="0"/>
                <w:rtl/>
              </w:rPr>
            </w:pPr>
            <w:r w:rsidRPr="00EC46DF">
              <w:rPr>
                <w:rFonts w:hint="cs"/>
                <w:b w:val="0"/>
                <w:bCs w:val="0"/>
                <w:rtl/>
              </w:rPr>
              <w:t>(ד)</w:t>
            </w:r>
          </w:p>
        </w:tc>
        <w:tc>
          <w:tcPr>
            <w:tcW w:w="7982" w:type="dxa"/>
          </w:tcPr>
          <w:p w14:paraId="2DA4A9F8" w14:textId="77777777" w:rsidR="00EC46DF" w:rsidRDefault="00EC46DF" w:rsidP="00CA482D">
            <w:pPr>
              <w:pStyle w:val="-a"/>
              <w:spacing w:before="40"/>
              <w:rPr>
                <w:rtl/>
              </w:rPr>
            </w:pPr>
            <w:r w:rsidRPr="00865418">
              <w:rPr>
                <w:rFonts w:hint="eastAsia"/>
                <w:rtl/>
              </w:rPr>
              <w:t>להכנסות</w:t>
            </w:r>
            <w:r w:rsidRPr="00865418">
              <w:rPr>
                <w:rtl/>
              </w:rPr>
              <w:t xml:space="preserve"> ריבית מהשקעה באג</w:t>
            </w:r>
            <w:r>
              <w:rPr>
                <w:rFonts w:hint="cs"/>
                <w:rtl/>
              </w:rPr>
              <w:t>"</w:t>
            </w:r>
            <w:r w:rsidRPr="00865418">
              <w:rPr>
                <w:rtl/>
              </w:rPr>
              <w:t xml:space="preserve">ח למסחר ראה </w:t>
            </w:r>
            <w:r w:rsidRPr="00865418">
              <w:rPr>
                <w:rFonts w:hint="eastAsia"/>
                <w:rtl/>
              </w:rPr>
              <w:t>ביאור</w:t>
            </w:r>
            <w:r w:rsidRPr="00865418">
              <w:rPr>
                <w:rtl/>
              </w:rPr>
              <w:t xml:space="preserve"> </w:t>
            </w:r>
            <w:r>
              <w:rPr>
                <w:rFonts w:hint="cs"/>
                <w:rtl/>
              </w:rPr>
              <w:t xml:space="preserve">2 </w:t>
            </w:r>
            <w:r w:rsidRPr="00CF2A74">
              <w:rPr>
                <w:rFonts w:hint="eastAsia"/>
                <w:i/>
                <w:iCs/>
                <w:rtl/>
              </w:rPr>
              <w:t>הכנסות</w:t>
            </w:r>
            <w:r w:rsidRPr="00CF2A74">
              <w:rPr>
                <w:i/>
                <w:iCs/>
                <w:rtl/>
              </w:rPr>
              <w:t xml:space="preserve"> </w:t>
            </w:r>
            <w:r w:rsidRPr="00CF2A74">
              <w:rPr>
                <w:rFonts w:hint="eastAsia"/>
                <w:i/>
                <w:iCs/>
                <w:rtl/>
              </w:rPr>
              <w:t>והוצאות</w:t>
            </w:r>
            <w:r w:rsidRPr="00CF2A74">
              <w:rPr>
                <w:i/>
                <w:iCs/>
                <w:rtl/>
              </w:rPr>
              <w:t xml:space="preserve"> </w:t>
            </w:r>
            <w:r w:rsidRPr="00CF2A74">
              <w:rPr>
                <w:rFonts w:hint="eastAsia"/>
                <w:i/>
                <w:iCs/>
                <w:rtl/>
              </w:rPr>
              <w:t>ריבית</w:t>
            </w:r>
            <w:r w:rsidRPr="00865418">
              <w:rPr>
                <w:rtl/>
              </w:rPr>
              <w:t>.</w:t>
            </w:r>
          </w:p>
        </w:tc>
      </w:tr>
    </w:tbl>
    <w:p w14:paraId="675FA48C" w14:textId="77777777" w:rsidR="00D0470C" w:rsidRDefault="00D0470C" w:rsidP="00D0470C">
      <w:pPr>
        <w:rPr>
          <w:rtl/>
        </w:rPr>
      </w:pPr>
    </w:p>
    <w:p w14:paraId="5B386A7F" w14:textId="77777777" w:rsidR="00D0470C" w:rsidRDefault="00D0470C" w:rsidP="00D0470C">
      <w:pPr>
        <w:bidi w:val="0"/>
        <w:jc w:val="left"/>
      </w:pPr>
    </w:p>
    <w:p w14:paraId="1E5A6999" w14:textId="77777777" w:rsidR="002B5BC3" w:rsidRDefault="002B5BC3" w:rsidP="002B5BC3">
      <w:pPr>
        <w:bidi w:val="0"/>
        <w:jc w:val="left"/>
      </w:pPr>
    </w:p>
    <w:p w14:paraId="0D91D5CC" w14:textId="77777777" w:rsidR="002B5BC3" w:rsidRDefault="002B5BC3" w:rsidP="002B5BC3">
      <w:pPr>
        <w:bidi w:val="0"/>
        <w:jc w:val="left"/>
      </w:pPr>
    </w:p>
    <w:p w14:paraId="2EC3A3F7" w14:textId="77777777" w:rsidR="002B5BC3" w:rsidRDefault="002B5BC3" w:rsidP="002B5BC3">
      <w:pPr>
        <w:bidi w:val="0"/>
        <w:jc w:val="left"/>
      </w:pPr>
    </w:p>
    <w:p w14:paraId="2275FEB1" w14:textId="77777777" w:rsidR="002B5BC3" w:rsidRPr="002B5BC3" w:rsidRDefault="002B5BC3" w:rsidP="002B5BC3">
      <w:pPr>
        <w:pStyle w:val="-a"/>
        <w:rPr>
          <w:sz w:val="2"/>
          <w:szCs w:val="2"/>
          <w:rtl/>
        </w:rPr>
      </w:pPr>
      <w:r>
        <w:br w:type="page"/>
      </w:r>
    </w:p>
    <w:p w14:paraId="1969AA67" w14:textId="77777777" w:rsidR="007B6EF7" w:rsidRDefault="007B6EF7" w:rsidP="00EC46DF">
      <w:pPr>
        <w:pStyle w:val="5"/>
        <w:ind w:firstLine="1135"/>
      </w:pPr>
      <w:bookmarkStart w:id="23" w:name="_Toc160529222"/>
      <w:r w:rsidRPr="00223329">
        <w:rPr>
          <w:rFonts w:eastAsia="Arial Unicode MS"/>
          <w:rtl/>
        </w:rPr>
        <w:lastRenderedPageBreak/>
        <w:t xml:space="preserve">ביאור </w:t>
      </w:r>
      <w:r>
        <w:rPr>
          <w:rFonts w:eastAsia="Arial Unicode MS" w:hint="cs"/>
          <w:rtl/>
        </w:rPr>
        <w:t>4</w:t>
      </w:r>
      <w:r w:rsidRPr="00223329">
        <w:rPr>
          <w:rFonts w:eastAsia="Arial Unicode MS" w:hint="cs"/>
          <w:rtl/>
        </w:rPr>
        <w:t xml:space="preserve">  </w:t>
      </w:r>
      <w:r w:rsidRPr="00223329">
        <w:rPr>
          <w:rFonts w:eastAsia="Arial Unicode MS"/>
          <w:rtl/>
        </w:rPr>
        <w:t>-</w:t>
      </w:r>
      <w:r w:rsidRPr="00223329">
        <w:rPr>
          <w:rFonts w:eastAsia="Arial Unicode MS" w:hint="cs"/>
          <w:rtl/>
        </w:rPr>
        <w:t xml:space="preserve"> </w:t>
      </w:r>
      <w:r w:rsidRPr="00223329">
        <w:rPr>
          <w:rFonts w:eastAsia="Arial Unicode MS"/>
          <w:rtl/>
        </w:rPr>
        <w:t xml:space="preserve"> </w:t>
      </w:r>
      <w:r w:rsidRPr="00223329">
        <w:rPr>
          <w:rFonts w:hint="cs"/>
          <w:rtl/>
        </w:rPr>
        <w:t>רווח</w:t>
      </w:r>
      <w:r>
        <w:rPr>
          <w:rFonts w:hint="cs"/>
          <w:rtl/>
        </w:rPr>
        <w:t xml:space="preserve"> (הפסד) כולל אחר מצטבר</w:t>
      </w:r>
      <w:bookmarkEnd w:id="23"/>
    </w:p>
    <w:tbl>
      <w:tblPr>
        <w:bidiVisual/>
        <w:tblW w:w="4764" w:type="pct"/>
        <w:tblLook w:val="04A0" w:firstRow="1" w:lastRow="0" w:firstColumn="1" w:lastColumn="0" w:noHBand="0" w:noVBand="1"/>
      </w:tblPr>
      <w:tblGrid>
        <w:gridCol w:w="1077"/>
        <w:gridCol w:w="389"/>
        <w:gridCol w:w="8259"/>
      </w:tblGrid>
      <w:tr w:rsidR="004F0CD1" w:rsidRPr="00543C25" w14:paraId="298D2104" w14:textId="77777777" w:rsidTr="00EC46DF">
        <w:tc>
          <w:tcPr>
            <w:tcW w:w="1077" w:type="dxa"/>
          </w:tcPr>
          <w:p w14:paraId="05BAE6B2" w14:textId="77777777" w:rsidR="004F0CD1" w:rsidRDefault="004F0CD1" w:rsidP="004F0CD1">
            <w:pPr>
              <w:pStyle w:val="-f4"/>
              <w:spacing w:before="0" w:after="0"/>
              <w:jc w:val="left"/>
              <w:rPr>
                <w:b w:val="0"/>
                <w:bCs w:val="0"/>
                <w:sz w:val="14"/>
                <w:szCs w:val="14"/>
                <w:highlight w:val="yellow"/>
                <w:rtl/>
              </w:rPr>
            </w:pPr>
            <w:r w:rsidRPr="00865418">
              <w:rPr>
                <w:rFonts w:hint="eastAsia"/>
                <w:b w:val="0"/>
                <w:bCs w:val="0"/>
                <w:sz w:val="14"/>
                <w:szCs w:val="14"/>
                <w:rtl/>
              </w:rPr>
              <w:t>מתכונת</w:t>
            </w:r>
            <w:r w:rsidRPr="00865418">
              <w:rPr>
                <w:b w:val="0"/>
                <w:bCs w:val="0"/>
                <w:sz w:val="14"/>
                <w:szCs w:val="14"/>
                <w:rtl/>
              </w:rPr>
              <w:t xml:space="preserve"> </w:t>
            </w:r>
            <w:r w:rsidRPr="00865418">
              <w:rPr>
                <w:rFonts w:hint="eastAsia"/>
                <w:b w:val="0"/>
                <w:bCs w:val="0"/>
                <w:sz w:val="14"/>
                <w:szCs w:val="14"/>
                <w:rtl/>
              </w:rPr>
              <w:t>ביאור</w:t>
            </w:r>
            <w:r w:rsidRPr="00865418">
              <w:rPr>
                <w:b w:val="0"/>
                <w:bCs w:val="0"/>
                <w:sz w:val="14"/>
                <w:szCs w:val="14"/>
                <w:rtl/>
              </w:rPr>
              <w:t xml:space="preserve"> </w:t>
            </w:r>
            <w:r>
              <w:rPr>
                <w:b w:val="0"/>
                <w:bCs w:val="0"/>
                <w:sz w:val="14"/>
                <w:szCs w:val="14"/>
                <w:rtl/>
              </w:rPr>
              <w:br/>
            </w:r>
            <w:r w:rsidRPr="00865418">
              <w:rPr>
                <w:rFonts w:hint="eastAsia"/>
                <w:b w:val="0"/>
                <w:bCs w:val="0"/>
                <w:sz w:val="14"/>
                <w:szCs w:val="14"/>
                <w:rtl/>
              </w:rPr>
              <w:t>עמ</w:t>
            </w:r>
            <w:r w:rsidRPr="00865418">
              <w:rPr>
                <w:b w:val="0"/>
                <w:bCs w:val="0"/>
                <w:sz w:val="14"/>
                <w:szCs w:val="14"/>
                <w:rtl/>
              </w:rPr>
              <w:t>' 6</w:t>
            </w:r>
            <w:r>
              <w:rPr>
                <w:rFonts w:hint="cs"/>
                <w:b w:val="0"/>
                <w:bCs w:val="0"/>
                <w:sz w:val="14"/>
                <w:szCs w:val="14"/>
                <w:rtl/>
              </w:rPr>
              <w:t>63-18</w:t>
            </w:r>
          </w:p>
        </w:tc>
        <w:tc>
          <w:tcPr>
            <w:tcW w:w="389" w:type="dxa"/>
            <w:vAlign w:val="bottom"/>
          </w:tcPr>
          <w:p w14:paraId="6E30F3C2" w14:textId="77777777" w:rsidR="004F0CD1" w:rsidRPr="00543C25" w:rsidRDefault="004F0CD1" w:rsidP="003B2017">
            <w:pPr>
              <w:pStyle w:val="-f4"/>
              <w:ind w:right="-617"/>
              <w:jc w:val="left"/>
              <w:rPr>
                <w:rtl/>
              </w:rPr>
            </w:pPr>
            <w:r>
              <w:rPr>
                <w:rFonts w:hint="cs"/>
                <w:rtl/>
              </w:rPr>
              <w:t>א.</w:t>
            </w:r>
          </w:p>
        </w:tc>
        <w:tc>
          <w:tcPr>
            <w:tcW w:w="8259" w:type="dxa"/>
            <w:vAlign w:val="bottom"/>
          </w:tcPr>
          <w:p w14:paraId="6704430C" w14:textId="77777777" w:rsidR="004F0CD1" w:rsidRPr="00543C25" w:rsidRDefault="004F0CD1" w:rsidP="004F0CD1">
            <w:pPr>
              <w:pStyle w:val="-f4"/>
              <w:jc w:val="left"/>
              <w:rPr>
                <w:rtl/>
              </w:rPr>
            </w:pPr>
            <w:r>
              <w:rPr>
                <w:rFonts w:hint="cs"/>
                <w:rtl/>
              </w:rPr>
              <w:t>שינויים ברווח (הפסד) כולל אחר מצטבר, לאחר השפעת מס:</w:t>
            </w:r>
          </w:p>
        </w:tc>
      </w:tr>
      <w:tr w:rsidR="004F0CD1" w:rsidRPr="00543C25" w14:paraId="2E80ACB7" w14:textId="77777777" w:rsidTr="00EC46DF">
        <w:tc>
          <w:tcPr>
            <w:tcW w:w="1077" w:type="dxa"/>
          </w:tcPr>
          <w:p w14:paraId="26386162" w14:textId="77777777" w:rsidR="004F0CD1" w:rsidRPr="00865418" w:rsidRDefault="004F0CD1" w:rsidP="004F0CD1">
            <w:pPr>
              <w:pStyle w:val="-f4"/>
              <w:spacing w:before="0" w:after="0"/>
              <w:jc w:val="left"/>
              <w:rPr>
                <w:b w:val="0"/>
                <w:bCs w:val="0"/>
                <w:sz w:val="14"/>
                <w:szCs w:val="14"/>
                <w:rtl/>
              </w:rPr>
            </w:pPr>
          </w:p>
        </w:tc>
        <w:tc>
          <w:tcPr>
            <w:tcW w:w="389" w:type="dxa"/>
            <w:vAlign w:val="bottom"/>
          </w:tcPr>
          <w:p w14:paraId="5BFCB8A7" w14:textId="77777777" w:rsidR="004F0CD1" w:rsidRDefault="004F0CD1" w:rsidP="004F0CD1">
            <w:pPr>
              <w:pStyle w:val="-f4"/>
              <w:jc w:val="left"/>
              <w:rPr>
                <w:rtl/>
              </w:rPr>
            </w:pPr>
          </w:p>
        </w:tc>
        <w:tc>
          <w:tcPr>
            <w:tcW w:w="8259" w:type="dxa"/>
            <w:vAlign w:val="bottom"/>
          </w:tcPr>
          <w:p w14:paraId="0944C686" w14:textId="02065BDD" w:rsidR="004F0CD1" w:rsidRPr="003765C0" w:rsidRDefault="004F0CD1" w:rsidP="0059280D">
            <w:pPr>
              <w:pStyle w:val="-f4"/>
              <w:ind w:left="214" w:hanging="214"/>
              <w:rPr>
                <w:sz w:val="18"/>
                <w:szCs w:val="18"/>
                <w:rtl/>
              </w:rPr>
            </w:pPr>
            <w:r w:rsidRPr="003765C0">
              <w:rPr>
                <w:rFonts w:hint="cs"/>
                <w:sz w:val="18"/>
                <w:szCs w:val="18"/>
                <w:rtl/>
              </w:rPr>
              <w:t>1.</w:t>
            </w:r>
            <w:r w:rsidRPr="003765C0">
              <w:rPr>
                <w:sz w:val="18"/>
                <w:szCs w:val="18"/>
                <w:rtl/>
              </w:rPr>
              <w:tab/>
            </w:r>
            <w:r w:rsidRPr="003765C0">
              <w:rPr>
                <w:rFonts w:hint="cs"/>
                <w:sz w:val="18"/>
                <w:szCs w:val="18"/>
                <w:rtl/>
              </w:rPr>
              <w:t xml:space="preserve">לתקופות של שלושה חודשים שהסתיימו בימים 30 ביוני </w:t>
            </w:r>
            <w:r w:rsidR="006F1E84" w:rsidRPr="003765C0">
              <w:rPr>
                <w:sz w:val="18"/>
                <w:szCs w:val="18"/>
                <w:rtl/>
              </w:rPr>
              <w:fldChar w:fldCharType="begin"/>
            </w:r>
            <w:r w:rsidR="006F1E84" w:rsidRPr="003765C0">
              <w:rPr>
                <w:sz w:val="18"/>
                <w:szCs w:val="18"/>
                <w:rtl/>
              </w:rPr>
              <w:instrText xml:space="preserve"> </w:instrText>
            </w:r>
            <w:r w:rsidR="006F1E84" w:rsidRPr="003765C0">
              <w:rPr>
                <w:rFonts w:hint="cs"/>
                <w:sz w:val="18"/>
                <w:szCs w:val="18"/>
                <w:rtl/>
              </w:rPr>
              <w:instrText xml:space="preserve">= </w:instrText>
            </w:r>
            <w:r w:rsidR="006F1E84" w:rsidRPr="003765C0">
              <w:rPr>
                <w:rFonts w:hint="cs"/>
                <w:sz w:val="18"/>
                <w:szCs w:val="18"/>
              </w:rPr>
              <w:instrText>CY \* MERGEFORMAT</w:instrText>
            </w:r>
            <w:r w:rsidR="006F1E84" w:rsidRPr="003765C0">
              <w:rPr>
                <w:sz w:val="18"/>
                <w:szCs w:val="18"/>
                <w:rtl/>
              </w:rPr>
              <w:instrText xml:space="preserve"> </w:instrText>
            </w:r>
            <w:r w:rsidR="006F1E84" w:rsidRPr="003765C0">
              <w:rPr>
                <w:sz w:val="18"/>
                <w:szCs w:val="18"/>
                <w:rtl/>
              </w:rPr>
              <w:fldChar w:fldCharType="separate"/>
            </w:r>
            <w:r w:rsidR="003A584F" w:rsidRPr="003765C0">
              <w:rPr>
                <w:noProof/>
                <w:sz w:val="18"/>
                <w:szCs w:val="18"/>
                <w:rtl/>
              </w:rPr>
              <w:t>2024</w:t>
            </w:r>
            <w:r w:rsidR="006F1E84" w:rsidRPr="003765C0">
              <w:rPr>
                <w:sz w:val="18"/>
                <w:szCs w:val="18"/>
                <w:rtl/>
              </w:rPr>
              <w:fldChar w:fldCharType="end"/>
            </w:r>
            <w:r w:rsidR="006F1E84" w:rsidRPr="003765C0">
              <w:rPr>
                <w:rFonts w:hint="cs"/>
                <w:sz w:val="18"/>
                <w:szCs w:val="18"/>
                <w:rtl/>
              </w:rPr>
              <w:t xml:space="preserve"> </w:t>
            </w:r>
            <w:r w:rsidRPr="003765C0">
              <w:rPr>
                <w:rFonts w:hint="cs"/>
                <w:sz w:val="18"/>
                <w:szCs w:val="18"/>
                <w:rtl/>
              </w:rPr>
              <w:t xml:space="preserve">ו-30 ביוני </w:t>
            </w:r>
            <w:r w:rsidR="006F1E84" w:rsidRPr="003765C0">
              <w:rPr>
                <w:sz w:val="18"/>
                <w:szCs w:val="18"/>
                <w:rtl/>
              </w:rPr>
              <w:fldChar w:fldCharType="begin"/>
            </w:r>
            <w:r w:rsidR="006F1E84" w:rsidRPr="003765C0">
              <w:rPr>
                <w:sz w:val="18"/>
                <w:szCs w:val="18"/>
                <w:rtl/>
              </w:rPr>
              <w:instrText xml:space="preserve"> </w:instrText>
            </w:r>
            <w:r w:rsidR="006F1E84" w:rsidRPr="003765C0">
              <w:rPr>
                <w:rFonts w:hint="cs"/>
                <w:sz w:val="18"/>
                <w:szCs w:val="18"/>
                <w:rtl/>
              </w:rPr>
              <w:instrText xml:space="preserve">= </w:instrText>
            </w:r>
            <w:r w:rsidR="006F1E84" w:rsidRPr="003765C0">
              <w:rPr>
                <w:rFonts w:hint="cs"/>
                <w:sz w:val="18"/>
                <w:szCs w:val="18"/>
              </w:rPr>
              <w:instrText>CY</w:instrText>
            </w:r>
            <w:r w:rsidR="006F1E84" w:rsidRPr="003765C0">
              <w:rPr>
                <w:sz w:val="18"/>
                <w:szCs w:val="18"/>
              </w:rPr>
              <w:instrText>-1</w:instrText>
            </w:r>
            <w:r w:rsidR="006F1E84" w:rsidRPr="003765C0">
              <w:rPr>
                <w:rFonts w:hint="cs"/>
                <w:sz w:val="18"/>
                <w:szCs w:val="18"/>
              </w:rPr>
              <w:instrText xml:space="preserve"> \* MERGEFORMAT</w:instrText>
            </w:r>
            <w:r w:rsidR="006F1E84" w:rsidRPr="003765C0">
              <w:rPr>
                <w:sz w:val="18"/>
                <w:szCs w:val="18"/>
                <w:rtl/>
              </w:rPr>
              <w:instrText xml:space="preserve"> </w:instrText>
            </w:r>
            <w:r w:rsidR="006F1E84" w:rsidRPr="003765C0">
              <w:rPr>
                <w:sz w:val="18"/>
                <w:szCs w:val="18"/>
                <w:rtl/>
              </w:rPr>
              <w:fldChar w:fldCharType="separate"/>
            </w:r>
            <w:r w:rsidR="003A584F" w:rsidRPr="003765C0">
              <w:rPr>
                <w:noProof/>
                <w:sz w:val="18"/>
                <w:szCs w:val="18"/>
                <w:rtl/>
              </w:rPr>
              <w:t>2023</w:t>
            </w:r>
            <w:r w:rsidR="006F1E84" w:rsidRPr="003765C0">
              <w:rPr>
                <w:sz w:val="18"/>
                <w:szCs w:val="18"/>
                <w:rtl/>
              </w:rPr>
              <w:fldChar w:fldCharType="end"/>
            </w:r>
            <w:r w:rsidR="006F1E84" w:rsidRPr="003765C0">
              <w:rPr>
                <w:rFonts w:hint="cs"/>
                <w:sz w:val="18"/>
                <w:szCs w:val="18"/>
                <w:rtl/>
              </w:rPr>
              <w:t xml:space="preserve"> </w:t>
            </w:r>
            <w:r w:rsidRPr="003765C0">
              <w:rPr>
                <w:rFonts w:hint="cs"/>
                <w:sz w:val="18"/>
                <w:szCs w:val="18"/>
                <w:rtl/>
              </w:rPr>
              <w:t>(בלתי מבוקר):</w:t>
            </w:r>
          </w:p>
        </w:tc>
      </w:tr>
    </w:tbl>
    <w:p w14:paraId="196EBE80" w14:textId="77777777" w:rsidR="00F32A2A" w:rsidRPr="006C017A" w:rsidRDefault="00F32A2A">
      <w:pPr>
        <w:bidi w:val="0"/>
        <w:spacing w:line="120" w:lineRule="exact"/>
        <w:rPr>
          <w:sz w:val="4"/>
          <w:szCs w:val="4"/>
        </w:rPr>
      </w:pPr>
    </w:p>
    <w:tbl>
      <w:tblPr>
        <w:bidiVisual/>
        <w:tblW w:w="5177" w:type="pct"/>
        <w:tblInd w:w="-75" w:type="dxa"/>
        <w:tblBorders>
          <w:right w:val="single" w:sz="4" w:space="0" w:color="auto"/>
        </w:tblBorders>
        <w:tblLook w:val="04A0" w:firstRow="1" w:lastRow="0" w:firstColumn="1" w:lastColumn="0" w:noHBand="0" w:noVBand="1"/>
      </w:tblPr>
      <w:tblGrid>
        <w:gridCol w:w="2314"/>
        <w:gridCol w:w="1192"/>
        <w:gridCol w:w="987"/>
        <w:gridCol w:w="1135"/>
        <w:gridCol w:w="1234"/>
        <w:gridCol w:w="774"/>
        <w:gridCol w:w="554"/>
        <w:gridCol w:w="1120"/>
        <w:gridCol w:w="1258"/>
      </w:tblGrid>
      <w:tr w:rsidR="00DF5D61" w:rsidRPr="000035FE" w14:paraId="6CFE5A60" w14:textId="77777777" w:rsidTr="006A357B">
        <w:trPr>
          <w:trHeight w:val="259"/>
        </w:trPr>
        <w:tc>
          <w:tcPr>
            <w:tcW w:w="1095" w:type="pct"/>
            <w:tcBorders>
              <w:bottom w:val="nil"/>
            </w:tcBorders>
            <w:vAlign w:val="bottom"/>
          </w:tcPr>
          <w:p w14:paraId="488EFC0E" w14:textId="77777777" w:rsidR="009A10F5" w:rsidRPr="000035FE" w:rsidRDefault="009A10F5" w:rsidP="004F0CD1">
            <w:pPr>
              <w:pStyle w:val="-0"/>
              <w:ind w:left="0" w:firstLine="0"/>
              <w:rPr>
                <w:b/>
                <w:bCs/>
                <w:sz w:val="18"/>
                <w:szCs w:val="18"/>
                <w:rtl/>
              </w:rPr>
            </w:pPr>
          </w:p>
        </w:tc>
        <w:tc>
          <w:tcPr>
            <w:tcW w:w="564" w:type="pct"/>
          </w:tcPr>
          <w:p w14:paraId="306890D6" w14:textId="77777777" w:rsidR="009A10F5" w:rsidRPr="00FD6E97" w:rsidRDefault="009A10F5" w:rsidP="00EA192D">
            <w:pPr>
              <w:pStyle w:val="-3"/>
              <w:jc w:val="center"/>
              <w:rPr>
                <w:b/>
                <w:bCs/>
                <w:sz w:val="17"/>
                <w:szCs w:val="17"/>
                <w:rtl/>
              </w:rPr>
            </w:pPr>
          </w:p>
        </w:tc>
        <w:tc>
          <w:tcPr>
            <w:tcW w:w="2216" w:type="pct"/>
            <w:gridSpan w:val="5"/>
            <w:tcMar>
              <w:left w:w="58" w:type="dxa"/>
              <w:right w:w="58" w:type="dxa"/>
            </w:tcMar>
            <w:vAlign w:val="bottom"/>
          </w:tcPr>
          <w:p w14:paraId="36891CDD" w14:textId="77777777" w:rsidR="009A10F5" w:rsidRPr="00FD6E97" w:rsidRDefault="009A10F5" w:rsidP="00CA1378">
            <w:pPr>
              <w:pStyle w:val="-3"/>
              <w:pBdr>
                <w:bottom w:val="single" w:sz="4" w:space="1" w:color="auto"/>
              </w:pBdr>
              <w:spacing w:after="40" w:line="240" w:lineRule="auto"/>
              <w:jc w:val="center"/>
              <w:rPr>
                <w:sz w:val="17"/>
                <w:szCs w:val="17"/>
                <w:rtl/>
              </w:rPr>
            </w:pPr>
            <w:r w:rsidRPr="00FD6E97">
              <w:rPr>
                <w:rFonts w:hint="eastAsia"/>
                <w:b/>
                <w:bCs/>
                <w:sz w:val="17"/>
                <w:szCs w:val="17"/>
                <w:rtl/>
              </w:rPr>
              <w:t>רווח</w:t>
            </w:r>
            <w:r w:rsidRPr="00FD6E97">
              <w:rPr>
                <w:b/>
                <w:bCs/>
                <w:sz w:val="17"/>
                <w:szCs w:val="17"/>
                <w:rtl/>
              </w:rPr>
              <w:t xml:space="preserve"> </w:t>
            </w:r>
            <w:r w:rsidRPr="00FD6E97">
              <w:rPr>
                <w:rFonts w:hint="eastAsia"/>
                <w:b/>
                <w:bCs/>
                <w:sz w:val="17"/>
                <w:szCs w:val="17"/>
                <w:rtl/>
              </w:rPr>
              <w:t>כולל</w:t>
            </w:r>
            <w:r w:rsidRPr="00FD6E97">
              <w:rPr>
                <w:b/>
                <w:bCs/>
                <w:sz w:val="17"/>
                <w:szCs w:val="17"/>
                <w:rtl/>
              </w:rPr>
              <w:t xml:space="preserve"> </w:t>
            </w:r>
            <w:r w:rsidRPr="00FD6E97">
              <w:rPr>
                <w:rFonts w:hint="eastAsia"/>
                <w:b/>
                <w:bCs/>
                <w:sz w:val="17"/>
                <w:szCs w:val="17"/>
                <w:rtl/>
              </w:rPr>
              <w:t>אחר</w:t>
            </w:r>
            <w:r w:rsidRPr="00FD6E97">
              <w:rPr>
                <w:b/>
                <w:bCs/>
                <w:sz w:val="17"/>
                <w:szCs w:val="17"/>
                <w:rtl/>
              </w:rPr>
              <w:t xml:space="preserve"> </w:t>
            </w:r>
            <w:r w:rsidRPr="00FD6E97">
              <w:rPr>
                <w:rFonts w:hint="eastAsia"/>
                <w:b/>
                <w:bCs/>
                <w:sz w:val="17"/>
                <w:szCs w:val="17"/>
                <w:rtl/>
              </w:rPr>
              <w:t>לפני</w:t>
            </w:r>
            <w:r w:rsidRPr="00FD6E97">
              <w:rPr>
                <w:b/>
                <w:bCs/>
                <w:sz w:val="17"/>
                <w:szCs w:val="17"/>
                <w:rtl/>
              </w:rPr>
              <w:t xml:space="preserve"> </w:t>
            </w:r>
            <w:r w:rsidRPr="00FD6E97">
              <w:rPr>
                <w:rFonts w:hint="eastAsia"/>
                <w:b/>
                <w:bCs/>
                <w:sz w:val="17"/>
                <w:szCs w:val="17"/>
                <w:rtl/>
              </w:rPr>
              <w:t>ייחוס</w:t>
            </w:r>
            <w:r w:rsidRPr="00FD6E97">
              <w:rPr>
                <w:b/>
                <w:bCs/>
                <w:sz w:val="17"/>
                <w:szCs w:val="17"/>
                <w:rtl/>
              </w:rPr>
              <w:t xml:space="preserve"> </w:t>
            </w:r>
            <w:r w:rsidRPr="00FD6E97">
              <w:rPr>
                <w:rFonts w:hint="eastAsia"/>
                <w:b/>
                <w:bCs/>
                <w:sz w:val="17"/>
                <w:szCs w:val="17"/>
                <w:rtl/>
              </w:rPr>
              <w:t>לבעלי</w:t>
            </w:r>
            <w:r w:rsidRPr="00FD6E97">
              <w:rPr>
                <w:b/>
                <w:bCs/>
                <w:sz w:val="17"/>
                <w:szCs w:val="17"/>
                <w:rtl/>
              </w:rPr>
              <w:t xml:space="preserve"> </w:t>
            </w:r>
            <w:r w:rsidRPr="00FD6E97">
              <w:rPr>
                <w:rFonts w:hint="eastAsia"/>
                <w:b/>
                <w:bCs/>
                <w:sz w:val="17"/>
                <w:szCs w:val="17"/>
                <w:rtl/>
              </w:rPr>
              <w:t>זכויות</w:t>
            </w:r>
            <w:r w:rsidRPr="00FD6E97">
              <w:rPr>
                <w:b/>
                <w:bCs/>
                <w:sz w:val="17"/>
                <w:szCs w:val="17"/>
                <w:rtl/>
              </w:rPr>
              <w:t xml:space="preserve"> </w:t>
            </w:r>
            <w:r w:rsidRPr="00FD6E97">
              <w:rPr>
                <w:rFonts w:hint="eastAsia"/>
                <w:b/>
                <w:bCs/>
                <w:sz w:val="17"/>
                <w:szCs w:val="17"/>
                <w:rtl/>
              </w:rPr>
              <w:t>שאינן</w:t>
            </w:r>
            <w:r w:rsidRPr="00FD6E97">
              <w:rPr>
                <w:b/>
                <w:bCs/>
                <w:sz w:val="17"/>
                <w:szCs w:val="17"/>
                <w:rtl/>
              </w:rPr>
              <w:t xml:space="preserve"> </w:t>
            </w:r>
            <w:r w:rsidRPr="00FD6E97">
              <w:rPr>
                <w:rFonts w:hint="eastAsia"/>
                <w:b/>
                <w:bCs/>
                <w:sz w:val="17"/>
                <w:szCs w:val="17"/>
                <w:rtl/>
              </w:rPr>
              <w:t>מקנות</w:t>
            </w:r>
            <w:r w:rsidRPr="00FD6E97">
              <w:rPr>
                <w:b/>
                <w:bCs/>
                <w:sz w:val="17"/>
                <w:szCs w:val="17"/>
                <w:rtl/>
              </w:rPr>
              <w:t xml:space="preserve"> </w:t>
            </w:r>
            <w:r w:rsidRPr="00FD6E97">
              <w:rPr>
                <w:rFonts w:hint="eastAsia"/>
                <w:b/>
                <w:bCs/>
                <w:sz w:val="17"/>
                <w:szCs w:val="17"/>
                <w:rtl/>
              </w:rPr>
              <w:t>שליטה</w:t>
            </w:r>
          </w:p>
        </w:tc>
        <w:tc>
          <w:tcPr>
            <w:tcW w:w="530" w:type="pct"/>
            <w:vMerge w:val="restart"/>
            <w:vAlign w:val="bottom"/>
          </w:tcPr>
          <w:p w14:paraId="452509D3" w14:textId="77777777" w:rsidR="009A10F5" w:rsidRPr="00FD6E97" w:rsidRDefault="009A10F5" w:rsidP="0001523C">
            <w:pPr>
              <w:pStyle w:val="-3"/>
              <w:pBdr>
                <w:bottom w:val="single" w:sz="4" w:space="1" w:color="auto"/>
              </w:pBdr>
              <w:spacing w:line="259" w:lineRule="auto"/>
              <w:jc w:val="center"/>
              <w:rPr>
                <w:sz w:val="17"/>
                <w:szCs w:val="17"/>
                <w:rtl/>
              </w:rPr>
            </w:pPr>
            <w:r w:rsidRPr="00FD6E97">
              <w:rPr>
                <w:rFonts w:hint="eastAsia"/>
                <w:b/>
                <w:bCs/>
                <w:sz w:val="17"/>
                <w:szCs w:val="17"/>
                <w:rtl/>
              </w:rPr>
              <w:t>רווח</w:t>
            </w:r>
            <w:r w:rsidRPr="00FD6E97">
              <w:rPr>
                <w:b/>
                <w:bCs/>
                <w:sz w:val="17"/>
                <w:szCs w:val="17"/>
                <w:rtl/>
              </w:rPr>
              <w:t xml:space="preserve"> </w:t>
            </w:r>
            <w:r w:rsidRPr="00FD6E97">
              <w:rPr>
                <w:rFonts w:hint="eastAsia"/>
                <w:b/>
                <w:bCs/>
                <w:sz w:val="17"/>
                <w:szCs w:val="17"/>
                <w:rtl/>
              </w:rPr>
              <w:t>כולל</w:t>
            </w:r>
            <w:r w:rsidRPr="00FD6E97">
              <w:rPr>
                <w:b/>
                <w:bCs/>
                <w:sz w:val="17"/>
                <w:szCs w:val="17"/>
                <w:rtl/>
              </w:rPr>
              <w:t xml:space="preserve"> </w:t>
            </w:r>
            <w:r w:rsidRPr="00FD6E97">
              <w:rPr>
                <w:rFonts w:hint="eastAsia"/>
                <w:b/>
                <w:bCs/>
                <w:sz w:val="17"/>
                <w:szCs w:val="17"/>
                <w:rtl/>
              </w:rPr>
              <w:t>אחר</w:t>
            </w:r>
            <w:r w:rsidRPr="00FD6E97">
              <w:rPr>
                <w:b/>
                <w:bCs/>
                <w:sz w:val="17"/>
                <w:szCs w:val="17"/>
                <w:rtl/>
              </w:rPr>
              <w:t xml:space="preserve"> </w:t>
            </w:r>
            <w:r w:rsidRPr="00FD6E97">
              <w:rPr>
                <w:rFonts w:hint="eastAsia"/>
                <w:b/>
                <w:bCs/>
                <w:sz w:val="17"/>
                <w:szCs w:val="17"/>
                <w:rtl/>
              </w:rPr>
              <w:t>המיוחס</w:t>
            </w:r>
            <w:r w:rsidRPr="00FD6E97">
              <w:rPr>
                <w:b/>
                <w:bCs/>
                <w:sz w:val="17"/>
                <w:szCs w:val="17"/>
                <w:rtl/>
              </w:rPr>
              <w:t xml:space="preserve"> </w:t>
            </w:r>
            <w:r w:rsidRPr="00FD6E97">
              <w:rPr>
                <w:rFonts w:hint="eastAsia"/>
                <w:b/>
                <w:bCs/>
                <w:sz w:val="17"/>
                <w:szCs w:val="17"/>
                <w:rtl/>
              </w:rPr>
              <w:t>לבעלי</w:t>
            </w:r>
            <w:r w:rsidRPr="00FD6E97">
              <w:rPr>
                <w:b/>
                <w:bCs/>
                <w:sz w:val="17"/>
                <w:szCs w:val="17"/>
                <w:rtl/>
              </w:rPr>
              <w:t xml:space="preserve"> </w:t>
            </w:r>
            <w:r w:rsidRPr="00FD6E97">
              <w:rPr>
                <w:rFonts w:hint="eastAsia"/>
                <w:b/>
                <w:bCs/>
                <w:sz w:val="17"/>
                <w:szCs w:val="17"/>
                <w:rtl/>
              </w:rPr>
              <w:t>זכויות</w:t>
            </w:r>
            <w:r w:rsidRPr="00FD6E97">
              <w:rPr>
                <w:b/>
                <w:bCs/>
                <w:sz w:val="17"/>
                <w:szCs w:val="17"/>
                <w:rtl/>
              </w:rPr>
              <w:t xml:space="preserve"> </w:t>
            </w:r>
            <w:r w:rsidRPr="00FD6E97">
              <w:rPr>
                <w:rFonts w:hint="eastAsia"/>
                <w:b/>
                <w:bCs/>
                <w:sz w:val="17"/>
                <w:szCs w:val="17"/>
                <w:rtl/>
              </w:rPr>
              <w:t>שאינן</w:t>
            </w:r>
            <w:r w:rsidRPr="00FD6E97">
              <w:rPr>
                <w:b/>
                <w:bCs/>
                <w:sz w:val="17"/>
                <w:szCs w:val="17"/>
                <w:rtl/>
              </w:rPr>
              <w:t xml:space="preserve"> </w:t>
            </w:r>
            <w:r w:rsidRPr="00FD6E97">
              <w:rPr>
                <w:rFonts w:hint="eastAsia"/>
                <w:b/>
                <w:bCs/>
                <w:sz w:val="17"/>
                <w:szCs w:val="17"/>
                <w:rtl/>
              </w:rPr>
              <w:t>מקנות</w:t>
            </w:r>
            <w:r w:rsidRPr="00FD6E97">
              <w:rPr>
                <w:b/>
                <w:bCs/>
                <w:sz w:val="17"/>
                <w:szCs w:val="17"/>
                <w:rtl/>
              </w:rPr>
              <w:t xml:space="preserve"> </w:t>
            </w:r>
            <w:r w:rsidRPr="00FD6E97">
              <w:rPr>
                <w:rFonts w:hint="eastAsia"/>
                <w:b/>
                <w:bCs/>
                <w:sz w:val="17"/>
                <w:szCs w:val="17"/>
                <w:rtl/>
              </w:rPr>
              <w:t>שליטה</w:t>
            </w:r>
          </w:p>
        </w:tc>
        <w:tc>
          <w:tcPr>
            <w:tcW w:w="596" w:type="pct"/>
            <w:vMerge w:val="restart"/>
            <w:tcBorders>
              <w:right w:val="nil"/>
            </w:tcBorders>
            <w:vAlign w:val="bottom"/>
          </w:tcPr>
          <w:p w14:paraId="38F6BEB1" w14:textId="77777777" w:rsidR="009A10F5" w:rsidRPr="00FD6E97" w:rsidRDefault="009A10F5" w:rsidP="0001523C">
            <w:pPr>
              <w:pStyle w:val="-3"/>
              <w:pBdr>
                <w:bottom w:val="single" w:sz="4" w:space="1" w:color="auto"/>
              </w:pBdr>
              <w:spacing w:line="259" w:lineRule="auto"/>
              <w:jc w:val="center"/>
              <w:rPr>
                <w:sz w:val="17"/>
                <w:szCs w:val="17"/>
                <w:rtl/>
              </w:rPr>
            </w:pPr>
            <w:r w:rsidRPr="00FD6E97">
              <w:rPr>
                <w:rFonts w:hint="eastAsia"/>
                <w:b/>
                <w:bCs/>
                <w:sz w:val="17"/>
                <w:szCs w:val="17"/>
                <w:rtl/>
              </w:rPr>
              <w:t>רווח</w:t>
            </w:r>
            <w:r w:rsidRPr="00FD6E97">
              <w:rPr>
                <w:b/>
                <w:bCs/>
                <w:sz w:val="17"/>
                <w:szCs w:val="17"/>
                <w:rtl/>
              </w:rPr>
              <w:t xml:space="preserve"> </w:t>
            </w:r>
            <w:r w:rsidRPr="00FD6E97">
              <w:rPr>
                <w:rFonts w:hint="eastAsia"/>
                <w:b/>
                <w:bCs/>
                <w:sz w:val="17"/>
                <w:szCs w:val="17"/>
                <w:rtl/>
              </w:rPr>
              <w:t>כולל</w:t>
            </w:r>
            <w:r w:rsidRPr="00FD6E97">
              <w:rPr>
                <w:b/>
                <w:bCs/>
                <w:sz w:val="17"/>
                <w:szCs w:val="17"/>
                <w:rtl/>
              </w:rPr>
              <w:t xml:space="preserve"> </w:t>
            </w:r>
            <w:r w:rsidRPr="00FD6E97">
              <w:rPr>
                <w:rFonts w:hint="eastAsia"/>
                <w:b/>
                <w:bCs/>
                <w:sz w:val="17"/>
                <w:szCs w:val="17"/>
                <w:rtl/>
              </w:rPr>
              <w:t>אחר</w:t>
            </w:r>
            <w:r w:rsidRPr="00FD6E97">
              <w:rPr>
                <w:b/>
                <w:bCs/>
                <w:sz w:val="17"/>
                <w:szCs w:val="17"/>
                <w:rtl/>
              </w:rPr>
              <w:t xml:space="preserve"> </w:t>
            </w:r>
            <w:r w:rsidRPr="00FD6E97">
              <w:rPr>
                <w:rFonts w:hint="eastAsia"/>
                <w:b/>
                <w:bCs/>
                <w:sz w:val="17"/>
                <w:szCs w:val="17"/>
                <w:rtl/>
              </w:rPr>
              <w:t>המיוחס</w:t>
            </w:r>
            <w:r w:rsidRPr="00FD6E97">
              <w:rPr>
                <w:b/>
                <w:bCs/>
                <w:sz w:val="17"/>
                <w:szCs w:val="17"/>
                <w:rtl/>
              </w:rPr>
              <w:t xml:space="preserve"> </w:t>
            </w:r>
            <w:r w:rsidRPr="00FD6E97">
              <w:rPr>
                <w:rFonts w:hint="eastAsia"/>
                <w:b/>
                <w:bCs/>
                <w:sz w:val="17"/>
                <w:szCs w:val="17"/>
                <w:rtl/>
              </w:rPr>
              <w:t>לבעלי</w:t>
            </w:r>
            <w:r w:rsidRPr="00FD6E97">
              <w:rPr>
                <w:b/>
                <w:bCs/>
                <w:sz w:val="17"/>
                <w:szCs w:val="17"/>
                <w:rtl/>
              </w:rPr>
              <w:t xml:space="preserve"> </w:t>
            </w:r>
            <w:r w:rsidRPr="00FD6E97">
              <w:rPr>
                <w:rFonts w:hint="eastAsia"/>
                <w:b/>
                <w:bCs/>
                <w:sz w:val="17"/>
                <w:szCs w:val="17"/>
                <w:rtl/>
              </w:rPr>
              <w:t>מניות</w:t>
            </w:r>
            <w:r w:rsidRPr="00FD6E97">
              <w:rPr>
                <w:b/>
                <w:bCs/>
                <w:sz w:val="17"/>
                <w:szCs w:val="17"/>
                <w:rtl/>
              </w:rPr>
              <w:t xml:space="preserve"> </w:t>
            </w:r>
            <w:r w:rsidRPr="00FD6E97">
              <w:rPr>
                <w:rFonts w:hint="eastAsia"/>
                <w:b/>
                <w:bCs/>
                <w:sz w:val="17"/>
                <w:szCs w:val="17"/>
                <w:rtl/>
              </w:rPr>
              <w:t>התאגיד</w:t>
            </w:r>
            <w:r w:rsidRPr="00FD6E97">
              <w:rPr>
                <w:b/>
                <w:bCs/>
                <w:sz w:val="17"/>
                <w:szCs w:val="17"/>
                <w:rtl/>
              </w:rPr>
              <w:t xml:space="preserve"> </w:t>
            </w:r>
            <w:r w:rsidRPr="00FD6E97">
              <w:rPr>
                <w:rFonts w:hint="eastAsia"/>
                <w:b/>
                <w:bCs/>
                <w:sz w:val="17"/>
                <w:szCs w:val="17"/>
                <w:rtl/>
              </w:rPr>
              <w:t>הבנקאי</w:t>
            </w:r>
          </w:p>
        </w:tc>
      </w:tr>
      <w:tr w:rsidR="00A674A4" w:rsidRPr="000035FE" w14:paraId="40E45375" w14:textId="77777777" w:rsidTr="006A357B">
        <w:trPr>
          <w:trHeight w:val="259"/>
        </w:trPr>
        <w:tc>
          <w:tcPr>
            <w:tcW w:w="1095" w:type="pct"/>
            <w:tcBorders>
              <w:left w:val="nil"/>
            </w:tcBorders>
            <w:vAlign w:val="bottom"/>
          </w:tcPr>
          <w:p w14:paraId="74DDF90D" w14:textId="77777777" w:rsidR="009A10F5" w:rsidRPr="000035FE" w:rsidRDefault="009A10F5" w:rsidP="004F0CD1">
            <w:pPr>
              <w:pStyle w:val="-0"/>
              <w:ind w:left="0" w:firstLine="0"/>
              <w:jc w:val="center"/>
              <w:rPr>
                <w:b/>
                <w:bCs/>
                <w:sz w:val="18"/>
                <w:szCs w:val="18"/>
                <w:rtl/>
              </w:rPr>
            </w:pPr>
          </w:p>
        </w:tc>
        <w:tc>
          <w:tcPr>
            <w:tcW w:w="564" w:type="pct"/>
            <w:tcMar>
              <w:left w:w="58" w:type="dxa"/>
              <w:right w:w="58" w:type="dxa"/>
            </w:tcMar>
            <w:vAlign w:val="bottom"/>
          </w:tcPr>
          <w:p w14:paraId="02A86262" w14:textId="443531EB" w:rsidR="009A10F5" w:rsidRPr="00FD6E97" w:rsidRDefault="009A10F5" w:rsidP="0001523C">
            <w:pPr>
              <w:pStyle w:val="-3"/>
              <w:pBdr>
                <w:bottom w:val="single" w:sz="4" w:space="1" w:color="auto"/>
              </w:pBdr>
              <w:spacing w:line="259" w:lineRule="auto"/>
              <w:jc w:val="center"/>
              <w:rPr>
                <w:b/>
                <w:bCs/>
                <w:sz w:val="17"/>
                <w:szCs w:val="17"/>
                <w:rtl/>
              </w:rPr>
            </w:pPr>
            <w:r w:rsidRPr="00FD6E97">
              <w:rPr>
                <w:rFonts w:hint="eastAsia"/>
                <w:b/>
                <w:bCs/>
                <w:sz w:val="17"/>
                <w:szCs w:val="17"/>
                <w:rtl/>
              </w:rPr>
              <w:t>התאמות</w:t>
            </w:r>
            <w:r w:rsidRPr="00FD6E97">
              <w:rPr>
                <w:b/>
                <w:bCs/>
                <w:sz w:val="17"/>
                <w:szCs w:val="17"/>
                <w:rtl/>
              </w:rPr>
              <w:t xml:space="preserve"> </w:t>
            </w:r>
            <w:r w:rsidRPr="00FD6E97">
              <w:rPr>
                <w:rFonts w:hint="eastAsia"/>
                <w:b/>
                <w:bCs/>
                <w:sz w:val="17"/>
                <w:szCs w:val="17"/>
                <w:rtl/>
              </w:rPr>
              <w:t>בגין</w:t>
            </w:r>
            <w:r w:rsidRPr="00FD6E97">
              <w:rPr>
                <w:b/>
                <w:bCs/>
                <w:sz w:val="17"/>
                <w:szCs w:val="17"/>
                <w:rtl/>
              </w:rPr>
              <w:t xml:space="preserve"> </w:t>
            </w:r>
            <w:r w:rsidRPr="00FD6E97">
              <w:rPr>
                <w:rFonts w:hint="eastAsia"/>
                <w:b/>
                <w:bCs/>
                <w:sz w:val="17"/>
                <w:szCs w:val="17"/>
                <w:rtl/>
              </w:rPr>
              <w:t>הצגת</w:t>
            </w:r>
            <w:r w:rsidRPr="00FD6E97">
              <w:rPr>
                <w:b/>
                <w:bCs/>
                <w:sz w:val="17"/>
                <w:szCs w:val="17"/>
                <w:rtl/>
              </w:rPr>
              <w:t xml:space="preserve"> </w:t>
            </w:r>
            <w:r w:rsidR="00A674A4" w:rsidRPr="00FD6E97">
              <w:rPr>
                <w:rFonts w:hint="cs"/>
                <w:b/>
                <w:bCs/>
                <w:sz w:val="17"/>
                <w:szCs w:val="17"/>
                <w:rtl/>
              </w:rPr>
              <w:t>אגרות</w:t>
            </w:r>
            <w:r w:rsidRPr="00FD6E97">
              <w:rPr>
                <w:rFonts w:hint="cs"/>
                <w:b/>
                <w:bCs/>
                <w:sz w:val="17"/>
                <w:szCs w:val="17"/>
                <w:rtl/>
              </w:rPr>
              <w:t xml:space="preserve"> חוב</w:t>
            </w:r>
            <w:r w:rsidRPr="00FD6E97">
              <w:rPr>
                <w:b/>
                <w:bCs/>
                <w:sz w:val="17"/>
                <w:szCs w:val="17"/>
                <w:rtl/>
              </w:rPr>
              <w:t xml:space="preserve"> </w:t>
            </w:r>
            <w:r w:rsidRPr="00FD6E97">
              <w:rPr>
                <w:rFonts w:hint="eastAsia"/>
                <w:b/>
                <w:bCs/>
                <w:sz w:val="17"/>
                <w:szCs w:val="17"/>
                <w:rtl/>
              </w:rPr>
              <w:t>זמינ</w:t>
            </w:r>
            <w:r w:rsidR="00561C4C" w:rsidRPr="00FD6E97">
              <w:rPr>
                <w:rFonts w:hint="cs"/>
                <w:b/>
                <w:bCs/>
                <w:sz w:val="17"/>
                <w:szCs w:val="17"/>
                <w:rtl/>
              </w:rPr>
              <w:t>ות</w:t>
            </w:r>
            <w:r w:rsidRPr="00FD6E97">
              <w:rPr>
                <w:b/>
                <w:bCs/>
                <w:sz w:val="17"/>
                <w:szCs w:val="17"/>
                <w:rtl/>
              </w:rPr>
              <w:t xml:space="preserve"> </w:t>
            </w:r>
            <w:r w:rsidRPr="00FD6E97">
              <w:rPr>
                <w:rFonts w:hint="eastAsia"/>
                <w:b/>
                <w:bCs/>
                <w:sz w:val="17"/>
                <w:szCs w:val="17"/>
                <w:rtl/>
              </w:rPr>
              <w:t>למכירה</w:t>
            </w:r>
            <w:r w:rsidR="00F97BEA" w:rsidRPr="00FD6E97">
              <w:rPr>
                <w:rFonts w:hint="cs"/>
                <w:b/>
                <w:bCs/>
                <w:sz w:val="17"/>
                <w:szCs w:val="17"/>
                <w:rtl/>
              </w:rPr>
              <w:t xml:space="preserve"> </w:t>
            </w:r>
            <w:r w:rsidRPr="00FD6E97">
              <w:rPr>
                <w:rFonts w:hint="eastAsia"/>
                <w:b/>
                <w:bCs/>
                <w:sz w:val="17"/>
                <w:szCs w:val="17"/>
                <w:rtl/>
              </w:rPr>
              <w:t>לפי</w:t>
            </w:r>
            <w:r w:rsidRPr="00FD6E97">
              <w:rPr>
                <w:b/>
                <w:bCs/>
                <w:sz w:val="17"/>
                <w:szCs w:val="17"/>
                <w:rtl/>
              </w:rPr>
              <w:t xml:space="preserve"> </w:t>
            </w:r>
            <w:r w:rsidRPr="00FD6E97">
              <w:rPr>
                <w:rFonts w:hint="eastAsia"/>
                <w:b/>
                <w:bCs/>
                <w:sz w:val="17"/>
                <w:szCs w:val="17"/>
                <w:rtl/>
              </w:rPr>
              <w:t>שווי</w:t>
            </w:r>
            <w:r w:rsidRPr="00FD6E97">
              <w:rPr>
                <w:b/>
                <w:bCs/>
                <w:sz w:val="17"/>
                <w:szCs w:val="17"/>
                <w:rtl/>
              </w:rPr>
              <w:t xml:space="preserve"> </w:t>
            </w:r>
            <w:r w:rsidRPr="00FD6E97">
              <w:rPr>
                <w:rFonts w:hint="eastAsia"/>
                <w:b/>
                <w:bCs/>
                <w:sz w:val="17"/>
                <w:szCs w:val="17"/>
                <w:rtl/>
              </w:rPr>
              <w:t>הוגן</w:t>
            </w:r>
            <w:r w:rsidR="00287440" w:rsidRPr="00FD6E97">
              <w:rPr>
                <w:rFonts w:hint="cs"/>
                <w:sz w:val="17"/>
                <w:szCs w:val="17"/>
                <w:vertAlign w:val="superscript"/>
                <w:rtl/>
              </w:rPr>
              <w:t>(א)</w:t>
            </w:r>
          </w:p>
        </w:tc>
        <w:tc>
          <w:tcPr>
            <w:tcW w:w="467" w:type="pct"/>
            <w:vAlign w:val="bottom"/>
          </w:tcPr>
          <w:p w14:paraId="10D30A6B" w14:textId="7B3EB03A" w:rsidR="009A10F5" w:rsidRPr="00FD6E97" w:rsidRDefault="009A10F5" w:rsidP="0001523C">
            <w:pPr>
              <w:pStyle w:val="-4"/>
              <w:pBdr>
                <w:bottom w:val="single" w:sz="4" w:space="1" w:color="auto"/>
              </w:pBdr>
              <w:spacing w:line="259" w:lineRule="auto"/>
              <w:rPr>
                <w:sz w:val="17"/>
                <w:szCs w:val="17"/>
                <w:rtl/>
              </w:rPr>
            </w:pPr>
            <w:r w:rsidRPr="00FD6E97">
              <w:rPr>
                <w:rFonts w:hint="eastAsia"/>
                <w:sz w:val="17"/>
                <w:szCs w:val="17"/>
                <w:rtl/>
              </w:rPr>
              <w:t>התאמות</w:t>
            </w:r>
            <w:r w:rsidRPr="00FD6E97">
              <w:rPr>
                <w:sz w:val="17"/>
                <w:szCs w:val="17"/>
                <w:rtl/>
              </w:rPr>
              <w:t xml:space="preserve"> </w:t>
            </w:r>
            <w:r w:rsidRPr="00FD6E97">
              <w:rPr>
                <w:rFonts w:hint="eastAsia"/>
                <w:sz w:val="17"/>
                <w:szCs w:val="17"/>
                <w:rtl/>
              </w:rPr>
              <w:t>מתרגום</w:t>
            </w:r>
            <w:r w:rsidRPr="00FD6E97">
              <w:rPr>
                <w:sz w:val="17"/>
                <w:szCs w:val="17"/>
                <w:rtl/>
              </w:rPr>
              <w:t>,</w:t>
            </w:r>
            <w:r w:rsidRPr="00FD6E97">
              <w:rPr>
                <w:rFonts w:hint="cs"/>
                <w:sz w:val="17"/>
                <w:szCs w:val="17"/>
                <w:vertAlign w:val="superscript"/>
                <w:rtl/>
              </w:rPr>
              <w:t>(</w:t>
            </w:r>
            <w:r w:rsidR="00287440" w:rsidRPr="00FD6E97">
              <w:rPr>
                <w:rFonts w:hint="cs"/>
                <w:sz w:val="17"/>
                <w:szCs w:val="17"/>
                <w:vertAlign w:val="superscript"/>
                <w:rtl/>
              </w:rPr>
              <w:t>ב</w:t>
            </w:r>
            <w:r w:rsidRPr="00FD6E97">
              <w:rPr>
                <w:rFonts w:hint="cs"/>
                <w:sz w:val="17"/>
                <w:szCs w:val="17"/>
                <w:vertAlign w:val="superscript"/>
                <w:rtl/>
              </w:rPr>
              <w:t xml:space="preserve">) </w:t>
            </w:r>
            <w:r w:rsidRPr="00FD6E97">
              <w:rPr>
                <w:rFonts w:hint="eastAsia"/>
                <w:sz w:val="17"/>
                <w:szCs w:val="17"/>
                <w:rtl/>
              </w:rPr>
              <w:t>נטו</w:t>
            </w:r>
            <w:r w:rsidRPr="00FD6E97">
              <w:rPr>
                <w:sz w:val="17"/>
                <w:szCs w:val="17"/>
                <w:rtl/>
              </w:rPr>
              <w:t xml:space="preserve"> </w:t>
            </w:r>
            <w:r w:rsidRPr="00FD6E97">
              <w:rPr>
                <w:rFonts w:hint="eastAsia"/>
                <w:sz w:val="17"/>
                <w:szCs w:val="17"/>
                <w:rtl/>
              </w:rPr>
              <w:t>לאחר</w:t>
            </w:r>
            <w:r w:rsidRPr="00FD6E97">
              <w:rPr>
                <w:sz w:val="17"/>
                <w:szCs w:val="17"/>
                <w:rtl/>
              </w:rPr>
              <w:t xml:space="preserve"> השפעת גידורים</w:t>
            </w:r>
            <w:r w:rsidRPr="00FD6E97">
              <w:rPr>
                <w:rFonts w:hint="cs"/>
                <w:sz w:val="17"/>
                <w:szCs w:val="17"/>
                <w:vertAlign w:val="superscript"/>
                <w:rtl/>
              </w:rPr>
              <w:t>(</w:t>
            </w:r>
            <w:r w:rsidR="00287440" w:rsidRPr="00FD6E97">
              <w:rPr>
                <w:rFonts w:hint="cs"/>
                <w:sz w:val="17"/>
                <w:szCs w:val="17"/>
                <w:vertAlign w:val="superscript"/>
                <w:rtl/>
              </w:rPr>
              <w:t>ג</w:t>
            </w:r>
            <w:r w:rsidRPr="00FD6E97">
              <w:rPr>
                <w:rFonts w:hint="cs"/>
                <w:sz w:val="17"/>
                <w:szCs w:val="17"/>
                <w:vertAlign w:val="superscript"/>
                <w:rtl/>
              </w:rPr>
              <w:t>)</w:t>
            </w:r>
          </w:p>
        </w:tc>
        <w:tc>
          <w:tcPr>
            <w:tcW w:w="537" w:type="pct"/>
          </w:tcPr>
          <w:p w14:paraId="56020961" w14:textId="77777777" w:rsidR="009A10F5" w:rsidRPr="00FD6E97" w:rsidRDefault="008C32E9" w:rsidP="0001523C">
            <w:pPr>
              <w:pStyle w:val="-3"/>
              <w:pBdr>
                <w:bottom w:val="single" w:sz="4" w:space="1" w:color="auto"/>
              </w:pBdr>
              <w:spacing w:line="259" w:lineRule="auto"/>
              <w:jc w:val="center"/>
              <w:rPr>
                <w:b/>
                <w:bCs/>
                <w:sz w:val="17"/>
                <w:szCs w:val="17"/>
                <w:rtl/>
              </w:rPr>
            </w:pPr>
            <w:r w:rsidRPr="00FD6E97">
              <w:rPr>
                <w:b/>
                <w:bCs/>
                <w:sz w:val="17"/>
                <w:szCs w:val="17"/>
                <w:rtl/>
              </w:rPr>
              <w:t>רווחים (הפסדים) נטו בגין גידורי תזרים מזומנים</w:t>
            </w:r>
          </w:p>
        </w:tc>
        <w:tc>
          <w:tcPr>
            <w:tcW w:w="584" w:type="pct"/>
            <w:vAlign w:val="bottom"/>
          </w:tcPr>
          <w:p w14:paraId="272EB425" w14:textId="77777777" w:rsidR="009A10F5" w:rsidRPr="00FD6E97" w:rsidRDefault="008C32E9" w:rsidP="0001523C">
            <w:pPr>
              <w:pStyle w:val="-3"/>
              <w:pBdr>
                <w:bottom w:val="single" w:sz="4" w:space="1" w:color="auto"/>
              </w:pBdr>
              <w:spacing w:line="259" w:lineRule="auto"/>
              <w:jc w:val="center"/>
              <w:rPr>
                <w:b/>
                <w:bCs/>
                <w:sz w:val="17"/>
                <w:szCs w:val="17"/>
                <w:rtl/>
              </w:rPr>
            </w:pPr>
            <w:r w:rsidRPr="00FD6E97">
              <w:rPr>
                <w:b/>
                <w:bCs/>
                <w:sz w:val="17"/>
                <w:szCs w:val="17"/>
                <w:rtl/>
              </w:rPr>
              <w:t xml:space="preserve">התאמות בגין </w:t>
            </w:r>
            <w:r w:rsidR="00F33F7E" w:rsidRPr="00FD6E97">
              <w:rPr>
                <w:rFonts w:hint="cs"/>
                <w:b/>
                <w:bCs/>
                <w:sz w:val="17"/>
                <w:szCs w:val="17"/>
                <w:rtl/>
              </w:rPr>
              <w:t xml:space="preserve">רכיבים שלא נכללו בהערכת אפקטיביות </w:t>
            </w:r>
            <w:r w:rsidRPr="00FD6E97">
              <w:rPr>
                <w:b/>
                <w:bCs/>
                <w:sz w:val="17"/>
                <w:szCs w:val="17"/>
                <w:rtl/>
              </w:rPr>
              <w:t>גידור שווי הוגן</w:t>
            </w:r>
          </w:p>
        </w:tc>
        <w:tc>
          <w:tcPr>
            <w:tcW w:w="366" w:type="pct"/>
            <w:vAlign w:val="bottom"/>
          </w:tcPr>
          <w:p w14:paraId="45C1A41E" w14:textId="77777777" w:rsidR="009A10F5" w:rsidRPr="00FD6E97" w:rsidRDefault="009A10F5" w:rsidP="0001523C">
            <w:pPr>
              <w:pStyle w:val="-3"/>
              <w:pBdr>
                <w:bottom w:val="single" w:sz="4" w:space="1" w:color="auto"/>
              </w:pBdr>
              <w:spacing w:line="259" w:lineRule="auto"/>
              <w:ind w:left="-28" w:right="-28"/>
              <w:jc w:val="center"/>
              <w:rPr>
                <w:b/>
                <w:bCs/>
                <w:sz w:val="17"/>
                <w:szCs w:val="17"/>
                <w:rtl/>
              </w:rPr>
            </w:pPr>
            <w:r w:rsidRPr="00FD6E97">
              <w:rPr>
                <w:rFonts w:hint="eastAsia"/>
                <w:b/>
                <w:bCs/>
                <w:sz w:val="17"/>
                <w:szCs w:val="17"/>
                <w:rtl/>
              </w:rPr>
              <w:t>התאמות</w:t>
            </w:r>
            <w:r w:rsidRPr="00FD6E97">
              <w:rPr>
                <w:b/>
                <w:bCs/>
                <w:sz w:val="17"/>
                <w:szCs w:val="17"/>
                <w:rtl/>
              </w:rPr>
              <w:t xml:space="preserve"> </w:t>
            </w:r>
            <w:r w:rsidRPr="00FD6E97">
              <w:rPr>
                <w:rFonts w:hint="eastAsia"/>
                <w:b/>
                <w:bCs/>
                <w:sz w:val="17"/>
                <w:szCs w:val="17"/>
                <w:rtl/>
              </w:rPr>
              <w:t>בגין</w:t>
            </w:r>
            <w:r w:rsidRPr="00FD6E97">
              <w:rPr>
                <w:b/>
                <w:bCs/>
                <w:sz w:val="17"/>
                <w:szCs w:val="17"/>
                <w:rtl/>
              </w:rPr>
              <w:t xml:space="preserve"> </w:t>
            </w:r>
            <w:r w:rsidRPr="00FD6E97">
              <w:rPr>
                <w:rFonts w:hint="eastAsia"/>
                <w:b/>
                <w:bCs/>
                <w:sz w:val="17"/>
                <w:szCs w:val="17"/>
                <w:rtl/>
              </w:rPr>
              <w:t>הטבות</w:t>
            </w:r>
            <w:r w:rsidRPr="00FD6E97">
              <w:rPr>
                <w:b/>
                <w:bCs/>
                <w:sz w:val="17"/>
                <w:szCs w:val="17"/>
                <w:rtl/>
              </w:rPr>
              <w:t xml:space="preserve"> </w:t>
            </w:r>
            <w:r w:rsidRPr="00FD6E97">
              <w:rPr>
                <w:rFonts w:hint="eastAsia"/>
                <w:b/>
                <w:bCs/>
                <w:sz w:val="17"/>
                <w:szCs w:val="17"/>
                <w:rtl/>
              </w:rPr>
              <w:t>לעובדים</w:t>
            </w:r>
          </w:p>
        </w:tc>
        <w:tc>
          <w:tcPr>
            <w:tcW w:w="262" w:type="pct"/>
            <w:tcMar>
              <w:left w:w="58" w:type="dxa"/>
              <w:right w:w="58" w:type="dxa"/>
            </w:tcMar>
            <w:vAlign w:val="bottom"/>
          </w:tcPr>
          <w:p w14:paraId="30C1E0FA" w14:textId="77777777" w:rsidR="009A10F5" w:rsidRPr="00FD6E97" w:rsidRDefault="009A10F5" w:rsidP="0001523C">
            <w:pPr>
              <w:pStyle w:val="-3"/>
              <w:pBdr>
                <w:bottom w:val="single" w:sz="4" w:space="1" w:color="auto"/>
              </w:pBdr>
              <w:spacing w:line="259" w:lineRule="auto"/>
              <w:jc w:val="center"/>
              <w:rPr>
                <w:b/>
                <w:bCs/>
                <w:sz w:val="17"/>
                <w:szCs w:val="17"/>
              </w:rPr>
            </w:pPr>
            <w:r w:rsidRPr="00FD6E97">
              <w:rPr>
                <w:rFonts w:hint="eastAsia"/>
                <w:b/>
                <w:bCs/>
                <w:sz w:val="17"/>
                <w:szCs w:val="17"/>
                <w:rtl/>
              </w:rPr>
              <w:t>סה</w:t>
            </w:r>
            <w:r w:rsidRPr="00FD6E97">
              <w:rPr>
                <w:b/>
                <w:bCs/>
                <w:sz w:val="17"/>
                <w:szCs w:val="17"/>
                <w:rtl/>
              </w:rPr>
              <w:t>"כ</w:t>
            </w:r>
          </w:p>
        </w:tc>
        <w:tc>
          <w:tcPr>
            <w:tcW w:w="530" w:type="pct"/>
            <w:vMerge/>
            <w:vAlign w:val="bottom"/>
          </w:tcPr>
          <w:p w14:paraId="18E094A4" w14:textId="77777777" w:rsidR="009A10F5" w:rsidRPr="00FD6E97" w:rsidRDefault="009A10F5" w:rsidP="004F0CD1">
            <w:pPr>
              <w:pStyle w:val="-3"/>
              <w:pBdr>
                <w:bottom w:val="single" w:sz="4" w:space="1" w:color="auto"/>
              </w:pBdr>
              <w:jc w:val="center"/>
              <w:rPr>
                <w:b/>
                <w:bCs/>
                <w:sz w:val="17"/>
                <w:szCs w:val="17"/>
                <w:rtl/>
              </w:rPr>
            </w:pPr>
          </w:p>
        </w:tc>
        <w:tc>
          <w:tcPr>
            <w:tcW w:w="596" w:type="pct"/>
            <w:vMerge/>
            <w:tcBorders>
              <w:right w:val="nil"/>
            </w:tcBorders>
            <w:vAlign w:val="bottom"/>
          </w:tcPr>
          <w:p w14:paraId="7AB3056E" w14:textId="77777777" w:rsidR="009A10F5" w:rsidRPr="00FD6E97" w:rsidRDefault="009A10F5" w:rsidP="004F0CD1">
            <w:pPr>
              <w:pStyle w:val="-3"/>
              <w:pBdr>
                <w:bottom w:val="single" w:sz="4" w:space="1" w:color="auto"/>
              </w:pBdr>
              <w:jc w:val="center"/>
              <w:rPr>
                <w:b/>
                <w:bCs/>
                <w:sz w:val="17"/>
                <w:szCs w:val="17"/>
                <w:rtl/>
              </w:rPr>
            </w:pPr>
          </w:p>
        </w:tc>
      </w:tr>
      <w:tr w:rsidR="00A674A4" w:rsidRPr="000035FE" w14:paraId="0DC37077" w14:textId="77777777" w:rsidTr="006A357B">
        <w:tc>
          <w:tcPr>
            <w:tcW w:w="1095" w:type="pct"/>
            <w:vAlign w:val="bottom"/>
          </w:tcPr>
          <w:p w14:paraId="12628B25" w14:textId="77777777" w:rsidR="009A10F5" w:rsidRPr="000035FE" w:rsidRDefault="009A10F5" w:rsidP="004F0CD1">
            <w:pPr>
              <w:pStyle w:val="-0"/>
              <w:spacing w:line="120" w:lineRule="exact"/>
              <w:ind w:left="0" w:firstLine="0"/>
              <w:jc w:val="center"/>
              <w:rPr>
                <w:b/>
                <w:bCs/>
                <w:sz w:val="18"/>
                <w:szCs w:val="18"/>
                <w:rtl/>
              </w:rPr>
            </w:pPr>
          </w:p>
        </w:tc>
        <w:tc>
          <w:tcPr>
            <w:tcW w:w="564" w:type="pct"/>
            <w:tcMar>
              <w:left w:w="58" w:type="dxa"/>
              <w:right w:w="58" w:type="dxa"/>
            </w:tcMar>
            <w:vAlign w:val="bottom"/>
          </w:tcPr>
          <w:p w14:paraId="6980C389" w14:textId="77777777" w:rsidR="009A10F5" w:rsidRPr="000035FE" w:rsidRDefault="009A10F5" w:rsidP="004F0CD1">
            <w:pPr>
              <w:pStyle w:val="-3"/>
              <w:spacing w:line="120" w:lineRule="exact"/>
              <w:jc w:val="center"/>
              <w:rPr>
                <w:b/>
                <w:bCs/>
                <w:sz w:val="18"/>
                <w:szCs w:val="18"/>
                <w:rtl/>
              </w:rPr>
            </w:pPr>
          </w:p>
        </w:tc>
        <w:tc>
          <w:tcPr>
            <w:tcW w:w="467" w:type="pct"/>
            <w:vAlign w:val="bottom"/>
          </w:tcPr>
          <w:p w14:paraId="0BDA4859" w14:textId="77777777" w:rsidR="009A10F5" w:rsidRPr="000035FE" w:rsidRDefault="009A10F5" w:rsidP="004F0CD1">
            <w:pPr>
              <w:pStyle w:val="-3"/>
              <w:spacing w:line="120" w:lineRule="exact"/>
              <w:jc w:val="center"/>
              <w:rPr>
                <w:b/>
                <w:bCs/>
                <w:sz w:val="18"/>
                <w:szCs w:val="18"/>
                <w:rtl/>
              </w:rPr>
            </w:pPr>
          </w:p>
        </w:tc>
        <w:tc>
          <w:tcPr>
            <w:tcW w:w="537" w:type="pct"/>
          </w:tcPr>
          <w:p w14:paraId="50162F2F" w14:textId="77777777" w:rsidR="009A10F5" w:rsidRPr="000035FE" w:rsidRDefault="009A10F5" w:rsidP="004F0CD1">
            <w:pPr>
              <w:pStyle w:val="-3"/>
              <w:spacing w:line="120" w:lineRule="exact"/>
              <w:jc w:val="center"/>
              <w:rPr>
                <w:b/>
                <w:bCs/>
                <w:sz w:val="18"/>
                <w:szCs w:val="18"/>
                <w:rtl/>
              </w:rPr>
            </w:pPr>
          </w:p>
        </w:tc>
        <w:tc>
          <w:tcPr>
            <w:tcW w:w="584" w:type="pct"/>
            <w:vAlign w:val="bottom"/>
          </w:tcPr>
          <w:p w14:paraId="7E1D0865" w14:textId="77777777" w:rsidR="009A10F5" w:rsidRPr="000035FE" w:rsidRDefault="009A10F5" w:rsidP="004F0CD1">
            <w:pPr>
              <w:pStyle w:val="-3"/>
              <w:spacing w:line="120" w:lineRule="exact"/>
              <w:jc w:val="center"/>
              <w:rPr>
                <w:b/>
                <w:bCs/>
                <w:sz w:val="18"/>
                <w:szCs w:val="18"/>
                <w:rtl/>
              </w:rPr>
            </w:pPr>
          </w:p>
        </w:tc>
        <w:tc>
          <w:tcPr>
            <w:tcW w:w="366" w:type="pct"/>
            <w:vAlign w:val="bottom"/>
          </w:tcPr>
          <w:p w14:paraId="3AD8013B" w14:textId="77777777" w:rsidR="009A10F5" w:rsidRPr="000035FE" w:rsidRDefault="009A10F5" w:rsidP="004F0CD1">
            <w:pPr>
              <w:pStyle w:val="-3"/>
              <w:spacing w:line="120" w:lineRule="exact"/>
              <w:jc w:val="center"/>
              <w:rPr>
                <w:b/>
                <w:bCs/>
                <w:sz w:val="18"/>
                <w:szCs w:val="18"/>
                <w:rtl/>
              </w:rPr>
            </w:pPr>
          </w:p>
        </w:tc>
        <w:tc>
          <w:tcPr>
            <w:tcW w:w="262" w:type="pct"/>
            <w:tcMar>
              <w:left w:w="58" w:type="dxa"/>
              <w:right w:w="58" w:type="dxa"/>
            </w:tcMar>
            <w:vAlign w:val="bottom"/>
          </w:tcPr>
          <w:p w14:paraId="0BB3F5B3" w14:textId="77777777" w:rsidR="009A10F5" w:rsidRPr="000035FE" w:rsidRDefault="009A10F5" w:rsidP="004F0CD1">
            <w:pPr>
              <w:pStyle w:val="-3"/>
              <w:spacing w:line="120" w:lineRule="exact"/>
              <w:jc w:val="center"/>
              <w:rPr>
                <w:b/>
                <w:bCs/>
                <w:sz w:val="18"/>
                <w:szCs w:val="18"/>
                <w:rtl/>
              </w:rPr>
            </w:pPr>
          </w:p>
        </w:tc>
        <w:tc>
          <w:tcPr>
            <w:tcW w:w="530" w:type="pct"/>
            <w:vAlign w:val="bottom"/>
          </w:tcPr>
          <w:p w14:paraId="11E58F86" w14:textId="77777777" w:rsidR="009A10F5" w:rsidRPr="000035FE" w:rsidRDefault="009A10F5" w:rsidP="004F0CD1">
            <w:pPr>
              <w:pStyle w:val="-3"/>
              <w:spacing w:line="120" w:lineRule="exact"/>
              <w:jc w:val="center"/>
              <w:rPr>
                <w:b/>
                <w:bCs/>
                <w:sz w:val="18"/>
                <w:szCs w:val="18"/>
                <w:rtl/>
              </w:rPr>
            </w:pPr>
          </w:p>
        </w:tc>
        <w:tc>
          <w:tcPr>
            <w:tcW w:w="596" w:type="pct"/>
            <w:tcBorders>
              <w:right w:val="nil"/>
            </w:tcBorders>
            <w:vAlign w:val="bottom"/>
          </w:tcPr>
          <w:p w14:paraId="2EBFC3B3" w14:textId="77777777" w:rsidR="009A10F5" w:rsidRPr="000035FE" w:rsidRDefault="009A10F5" w:rsidP="004F0CD1">
            <w:pPr>
              <w:pStyle w:val="-3"/>
              <w:spacing w:line="120" w:lineRule="exact"/>
              <w:jc w:val="center"/>
              <w:rPr>
                <w:b/>
                <w:bCs/>
                <w:sz w:val="18"/>
                <w:szCs w:val="18"/>
                <w:rtl/>
              </w:rPr>
            </w:pPr>
          </w:p>
        </w:tc>
      </w:tr>
      <w:tr w:rsidR="00A674A4" w:rsidRPr="000035FE" w14:paraId="7375AEB4" w14:textId="77777777" w:rsidTr="006A357B">
        <w:trPr>
          <w:trHeight w:val="259"/>
        </w:trPr>
        <w:tc>
          <w:tcPr>
            <w:tcW w:w="1095" w:type="pct"/>
            <w:vAlign w:val="bottom"/>
          </w:tcPr>
          <w:p w14:paraId="1DBE2ED1" w14:textId="725DE8E7" w:rsidR="00ED1082" w:rsidRPr="000035FE" w:rsidRDefault="00ED1082" w:rsidP="00ED1082">
            <w:pPr>
              <w:pStyle w:val="-0"/>
              <w:ind w:left="0" w:firstLine="0"/>
              <w:rPr>
                <w:b/>
                <w:bCs/>
                <w:sz w:val="18"/>
                <w:szCs w:val="18"/>
                <w:rtl/>
              </w:rPr>
            </w:pPr>
            <w:r w:rsidRPr="000035FE">
              <w:rPr>
                <w:rFonts w:hint="cs"/>
                <w:b/>
                <w:bCs/>
                <w:sz w:val="18"/>
                <w:szCs w:val="18"/>
                <w:rtl/>
              </w:rPr>
              <w:t xml:space="preserve">יתרה ליום 31 במרץ </w:t>
            </w:r>
            <w:r w:rsidR="006F1E84" w:rsidRPr="006F1E84">
              <w:rPr>
                <w:b/>
                <w:bCs/>
                <w:sz w:val="18"/>
                <w:szCs w:val="18"/>
                <w:rtl/>
              </w:rPr>
              <w:fldChar w:fldCharType="begin"/>
            </w:r>
            <w:r w:rsidR="006F1E84" w:rsidRPr="006F1E84">
              <w:rPr>
                <w:b/>
                <w:bCs/>
                <w:sz w:val="18"/>
                <w:szCs w:val="18"/>
                <w:rtl/>
              </w:rPr>
              <w:instrText xml:space="preserve"> </w:instrText>
            </w:r>
            <w:r w:rsidR="006F1E84" w:rsidRPr="006F1E84">
              <w:rPr>
                <w:rFonts w:hint="cs"/>
                <w:b/>
                <w:bCs/>
                <w:sz w:val="18"/>
                <w:szCs w:val="18"/>
                <w:rtl/>
              </w:rPr>
              <w:instrText xml:space="preserve">= </w:instrText>
            </w:r>
            <w:r w:rsidR="006F1E84" w:rsidRPr="006F1E84">
              <w:rPr>
                <w:rFonts w:hint="cs"/>
                <w:b/>
                <w:bCs/>
                <w:sz w:val="18"/>
                <w:szCs w:val="18"/>
              </w:rPr>
              <w:instrText>CY \* MERGEFORMAT</w:instrText>
            </w:r>
            <w:r w:rsidR="006F1E84" w:rsidRPr="006F1E84">
              <w:rPr>
                <w:b/>
                <w:bCs/>
                <w:sz w:val="18"/>
                <w:szCs w:val="18"/>
                <w:rtl/>
              </w:rPr>
              <w:instrText xml:space="preserve"> </w:instrText>
            </w:r>
            <w:r w:rsidR="006F1E84" w:rsidRPr="006F1E84">
              <w:rPr>
                <w:b/>
                <w:bCs/>
                <w:sz w:val="18"/>
                <w:szCs w:val="18"/>
                <w:rtl/>
              </w:rPr>
              <w:fldChar w:fldCharType="separate"/>
            </w:r>
            <w:r w:rsidR="003A584F">
              <w:rPr>
                <w:b/>
                <w:bCs/>
                <w:noProof/>
                <w:sz w:val="18"/>
                <w:szCs w:val="18"/>
                <w:rtl/>
              </w:rPr>
              <w:t>2024</w:t>
            </w:r>
            <w:r w:rsidR="006F1E84" w:rsidRPr="006F1E84">
              <w:rPr>
                <w:b/>
                <w:bCs/>
                <w:sz w:val="18"/>
                <w:szCs w:val="18"/>
                <w:rtl/>
              </w:rPr>
              <w:fldChar w:fldCharType="end"/>
            </w:r>
          </w:p>
        </w:tc>
        <w:tc>
          <w:tcPr>
            <w:tcW w:w="564" w:type="pct"/>
            <w:tcMar>
              <w:left w:w="58" w:type="dxa"/>
              <w:right w:w="58" w:type="dxa"/>
            </w:tcMar>
            <w:vAlign w:val="bottom"/>
          </w:tcPr>
          <w:p w14:paraId="2416DA80" w14:textId="77777777" w:rsidR="00ED1082" w:rsidRPr="000035FE" w:rsidRDefault="00ED1082" w:rsidP="00807378">
            <w:pPr>
              <w:pStyle w:val="-3"/>
              <w:spacing w:after="100" w:afterAutospacing="1"/>
              <w:rPr>
                <w:sz w:val="18"/>
                <w:szCs w:val="18"/>
                <w:rtl/>
              </w:rPr>
            </w:pPr>
            <w:r>
              <w:rPr>
                <w:rFonts w:hint="cs"/>
                <w:sz w:val="18"/>
                <w:szCs w:val="18"/>
                <w:rtl/>
              </w:rPr>
              <w:t>0</w:t>
            </w:r>
          </w:p>
        </w:tc>
        <w:tc>
          <w:tcPr>
            <w:tcW w:w="467" w:type="pct"/>
            <w:vAlign w:val="bottom"/>
          </w:tcPr>
          <w:p w14:paraId="1BC91A6C" w14:textId="77777777" w:rsidR="00ED1082" w:rsidRPr="000035FE" w:rsidRDefault="00ED1082" w:rsidP="00ED1082">
            <w:pPr>
              <w:pStyle w:val="-3"/>
              <w:rPr>
                <w:sz w:val="18"/>
                <w:szCs w:val="18"/>
                <w:rtl/>
              </w:rPr>
            </w:pPr>
            <w:r>
              <w:rPr>
                <w:rFonts w:hint="cs"/>
                <w:sz w:val="18"/>
                <w:szCs w:val="18"/>
                <w:rtl/>
              </w:rPr>
              <w:t>0</w:t>
            </w:r>
          </w:p>
        </w:tc>
        <w:tc>
          <w:tcPr>
            <w:tcW w:w="537" w:type="pct"/>
            <w:vAlign w:val="bottom"/>
          </w:tcPr>
          <w:p w14:paraId="0D076460" w14:textId="77777777" w:rsidR="00ED1082" w:rsidRPr="000035FE" w:rsidRDefault="00ED1082" w:rsidP="006A0255">
            <w:pPr>
              <w:pStyle w:val="-3"/>
              <w:rPr>
                <w:sz w:val="18"/>
                <w:szCs w:val="18"/>
                <w:rtl/>
              </w:rPr>
            </w:pPr>
            <w:r>
              <w:rPr>
                <w:rFonts w:hint="cs"/>
                <w:sz w:val="18"/>
                <w:szCs w:val="18"/>
                <w:rtl/>
              </w:rPr>
              <w:t>0</w:t>
            </w:r>
          </w:p>
        </w:tc>
        <w:tc>
          <w:tcPr>
            <w:tcW w:w="584" w:type="pct"/>
            <w:vAlign w:val="bottom"/>
          </w:tcPr>
          <w:p w14:paraId="6FA260C2" w14:textId="77777777" w:rsidR="00ED1082" w:rsidRPr="000035FE" w:rsidRDefault="00ED1082" w:rsidP="00ED1082">
            <w:pPr>
              <w:pStyle w:val="-3"/>
              <w:rPr>
                <w:sz w:val="18"/>
                <w:szCs w:val="18"/>
                <w:rtl/>
              </w:rPr>
            </w:pPr>
            <w:r>
              <w:rPr>
                <w:rFonts w:hint="cs"/>
                <w:sz w:val="18"/>
                <w:szCs w:val="18"/>
                <w:rtl/>
              </w:rPr>
              <w:t>0</w:t>
            </w:r>
          </w:p>
        </w:tc>
        <w:tc>
          <w:tcPr>
            <w:tcW w:w="366" w:type="pct"/>
            <w:vAlign w:val="bottom"/>
          </w:tcPr>
          <w:p w14:paraId="4366E0EC" w14:textId="77777777" w:rsidR="00ED1082" w:rsidRPr="000035FE" w:rsidRDefault="00ED1082" w:rsidP="00ED1082">
            <w:pPr>
              <w:pStyle w:val="-3"/>
              <w:jc w:val="left"/>
              <w:rPr>
                <w:sz w:val="18"/>
                <w:szCs w:val="18"/>
                <w:rtl/>
              </w:rPr>
            </w:pPr>
            <w:r>
              <w:rPr>
                <w:rFonts w:hint="cs"/>
                <w:sz w:val="18"/>
                <w:szCs w:val="18"/>
                <w:rtl/>
              </w:rPr>
              <w:t>0</w:t>
            </w:r>
          </w:p>
        </w:tc>
        <w:tc>
          <w:tcPr>
            <w:tcW w:w="262" w:type="pct"/>
            <w:tcMar>
              <w:left w:w="58" w:type="dxa"/>
              <w:right w:w="58" w:type="dxa"/>
            </w:tcMar>
            <w:vAlign w:val="bottom"/>
          </w:tcPr>
          <w:p w14:paraId="5CCF8DAE" w14:textId="77777777" w:rsidR="00ED1082" w:rsidRPr="000035FE" w:rsidRDefault="00ED1082" w:rsidP="00ED1082">
            <w:pPr>
              <w:pStyle w:val="-3"/>
              <w:rPr>
                <w:sz w:val="18"/>
                <w:szCs w:val="18"/>
                <w:rtl/>
              </w:rPr>
            </w:pPr>
            <w:r>
              <w:rPr>
                <w:rFonts w:hint="cs"/>
                <w:sz w:val="18"/>
                <w:szCs w:val="18"/>
                <w:rtl/>
              </w:rPr>
              <w:t>0</w:t>
            </w:r>
          </w:p>
        </w:tc>
        <w:tc>
          <w:tcPr>
            <w:tcW w:w="530" w:type="pct"/>
            <w:vAlign w:val="bottom"/>
          </w:tcPr>
          <w:p w14:paraId="217B4526" w14:textId="77777777" w:rsidR="00ED1082" w:rsidRPr="000035FE" w:rsidRDefault="00ED1082" w:rsidP="00ED1082">
            <w:pPr>
              <w:pStyle w:val="-3"/>
              <w:rPr>
                <w:sz w:val="18"/>
                <w:szCs w:val="18"/>
                <w:rtl/>
              </w:rPr>
            </w:pPr>
            <w:r>
              <w:rPr>
                <w:rFonts w:hint="cs"/>
                <w:sz w:val="18"/>
                <w:szCs w:val="18"/>
                <w:rtl/>
              </w:rPr>
              <w:t>0</w:t>
            </w:r>
          </w:p>
        </w:tc>
        <w:tc>
          <w:tcPr>
            <w:tcW w:w="596" w:type="pct"/>
            <w:tcBorders>
              <w:right w:val="nil"/>
            </w:tcBorders>
            <w:vAlign w:val="bottom"/>
          </w:tcPr>
          <w:p w14:paraId="11187CBA" w14:textId="77777777" w:rsidR="00ED1082" w:rsidRPr="000035FE" w:rsidRDefault="00ED1082" w:rsidP="00ED1082">
            <w:pPr>
              <w:pStyle w:val="-3"/>
              <w:rPr>
                <w:sz w:val="18"/>
                <w:szCs w:val="18"/>
                <w:rtl/>
              </w:rPr>
            </w:pPr>
            <w:r>
              <w:rPr>
                <w:rFonts w:hint="cs"/>
                <w:sz w:val="18"/>
                <w:szCs w:val="18"/>
                <w:rtl/>
              </w:rPr>
              <w:t>0</w:t>
            </w:r>
          </w:p>
        </w:tc>
      </w:tr>
      <w:tr w:rsidR="00A674A4" w:rsidRPr="000035FE" w14:paraId="7A427AD6" w14:textId="77777777" w:rsidTr="006A357B">
        <w:trPr>
          <w:trHeight w:val="259"/>
        </w:trPr>
        <w:tc>
          <w:tcPr>
            <w:tcW w:w="1095" w:type="pct"/>
            <w:vAlign w:val="bottom"/>
          </w:tcPr>
          <w:p w14:paraId="04BC2602" w14:textId="77777777" w:rsidR="00ED1082" w:rsidRPr="000035FE" w:rsidRDefault="00ED1082" w:rsidP="00ED1082">
            <w:pPr>
              <w:pStyle w:val="-0"/>
              <w:ind w:left="0" w:firstLine="0"/>
              <w:rPr>
                <w:sz w:val="18"/>
                <w:szCs w:val="18"/>
                <w:rtl/>
              </w:rPr>
            </w:pPr>
            <w:r w:rsidRPr="000035FE">
              <w:rPr>
                <w:rFonts w:hint="cs"/>
                <w:sz w:val="18"/>
                <w:szCs w:val="18"/>
                <w:rtl/>
              </w:rPr>
              <w:t>שינוי נטו במהלך התקופה</w:t>
            </w:r>
          </w:p>
        </w:tc>
        <w:tc>
          <w:tcPr>
            <w:tcW w:w="564" w:type="pct"/>
            <w:tcMar>
              <w:left w:w="58" w:type="dxa"/>
              <w:right w:w="58" w:type="dxa"/>
            </w:tcMar>
            <w:vAlign w:val="bottom"/>
          </w:tcPr>
          <w:p w14:paraId="410ABC85" w14:textId="77777777" w:rsidR="00ED1082" w:rsidRPr="000035FE" w:rsidRDefault="00ED1082" w:rsidP="00ED1082">
            <w:pPr>
              <w:pStyle w:val="-3"/>
              <w:rPr>
                <w:sz w:val="18"/>
                <w:szCs w:val="18"/>
                <w:rtl/>
              </w:rPr>
            </w:pPr>
            <w:r>
              <w:rPr>
                <w:rFonts w:hint="cs"/>
                <w:sz w:val="18"/>
                <w:szCs w:val="18"/>
                <w:rtl/>
              </w:rPr>
              <w:t>0</w:t>
            </w:r>
          </w:p>
        </w:tc>
        <w:tc>
          <w:tcPr>
            <w:tcW w:w="467" w:type="pct"/>
            <w:vAlign w:val="bottom"/>
          </w:tcPr>
          <w:p w14:paraId="53EF1115" w14:textId="77777777" w:rsidR="00ED1082" w:rsidRPr="000035FE" w:rsidRDefault="00ED1082" w:rsidP="00ED1082">
            <w:pPr>
              <w:pStyle w:val="-3"/>
              <w:rPr>
                <w:sz w:val="18"/>
                <w:szCs w:val="18"/>
                <w:rtl/>
              </w:rPr>
            </w:pPr>
            <w:r>
              <w:rPr>
                <w:rFonts w:hint="cs"/>
                <w:sz w:val="18"/>
                <w:szCs w:val="18"/>
                <w:rtl/>
              </w:rPr>
              <w:t>0</w:t>
            </w:r>
          </w:p>
        </w:tc>
        <w:tc>
          <w:tcPr>
            <w:tcW w:w="537" w:type="pct"/>
            <w:vAlign w:val="bottom"/>
          </w:tcPr>
          <w:p w14:paraId="156F3982" w14:textId="77777777" w:rsidR="00ED1082" w:rsidRPr="000035FE" w:rsidRDefault="00ED1082" w:rsidP="006A0255">
            <w:pPr>
              <w:pStyle w:val="-3"/>
              <w:rPr>
                <w:sz w:val="18"/>
                <w:szCs w:val="18"/>
                <w:rtl/>
              </w:rPr>
            </w:pPr>
            <w:r>
              <w:rPr>
                <w:rFonts w:hint="cs"/>
                <w:sz w:val="18"/>
                <w:szCs w:val="18"/>
                <w:rtl/>
              </w:rPr>
              <w:t>0</w:t>
            </w:r>
          </w:p>
        </w:tc>
        <w:tc>
          <w:tcPr>
            <w:tcW w:w="584" w:type="pct"/>
            <w:vAlign w:val="bottom"/>
          </w:tcPr>
          <w:p w14:paraId="66FDF2C3" w14:textId="77777777" w:rsidR="00ED1082" w:rsidRPr="000035FE" w:rsidRDefault="00ED1082" w:rsidP="00ED1082">
            <w:pPr>
              <w:pStyle w:val="-3"/>
              <w:rPr>
                <w:sz w:val="18"/>
                <w:szCs w:val="18"/>
                <w:rtl/>
              </w:rPr>
            </w:pPr>
            <w:r>
              <w:rPr>
                <w:rFonts w:hint="cs"/>
                <w:sz w:val="18"/>
                <w:szCs w:val="18"/>
                <w:rtl/>
              </w:rPr>
              <w:t>0</w:t>
            </w:r>
          </w:p>
        </w:tc>
        <w:tc>
          <w:tcPr>
            <w:tcW w:w="366" w:type="pct"/>
            <w:vAlign w:val="bottom"/>
          </w:tcPr>
          <w:p w14:paraId="37570812" w14:textId="77777777" w:rsidR="00ED1082" w:rsidRPr="000035FE" w:rsidRDefault="00ED1082" w:rsidP="00ED1082">
            <w:pPr>
              <w:pStyle w:val="-3"/>
              <w:jc w:val="left"/>
              <w:rPr>
                <w:sz w:val="18"/>
                <w:szCs w:val="18"/>
                <w:rtl/>
              </w:rPr>
            </w:pPr>
            <w:r>
              <w:rPr>
                <w:rFonts w:hint="cs"/>
                <w:sz w:val="18"/>
                <w:szCs w:val="18"/>
                <w:rtl/>
              </w:rPr>
              <w:t>0</w:t>
            </w:r>
          </w:p>
        </w:tc>
        <w:tc>
          <w:tcPr>
            <w:tcW w:w="262" w:type="pct"/>
            <w:tcMar>
              <w:left w:w="58" w:type="dxa"/>
              <w:right w:w="58" w:type="dxa"/>
            </w:tcMar>
            <w:vAlign w:val="bottom"/>
          </w:tcPr>
          <w:p w14:paraId="20DD5D3A" w14:textId="77777777" w:rsidR="00ED1082" w:rsidRPr="000035FE" w:rsidRDefault="00ED1082" w:rsidP="00ED1082">
            <w:pPr>
              <w:pStyle w:val="-3"/>
              <w:rPr>
                <w:sz w:val="18"/>
                <w:szCs w:val="18"/>
                <w:rtl/>
              </w:rPr>
            </w:pPr>
            <w:r>
              <w:rPr>
                <w:rFonts w:hint="cs"/>
                <w:sz w:val="18"/>
                <w:szCs w:val="18"/>
                <w:rtl/>
              </w:rPr>
              <w:t>0</w:t>
            </w:r>
          </w:p>
        </w:tc>
        <w:tc>
          <w:tcPr>
            <w:tcW w:w="530" w:type="pct"/>
            <w:vAlign w:val="bottom"/>
          </w:tcPr>
          <w:p w14:paraId="674E46DF" w14:textId="77777777" w:rsidR="00ED1082" w:rsidRPr="000035FE" w:rsidRDefault="00ED1082" w:rsidP="00ED1082">
            <w:pPr>
              <w:pStyle w:val="-3"/>
              <w:rPr>
                <w:sz w:val="18"/>
                <w:szCs w:val="18"/>
                <w:rtl/>
              </w:rPr>
            </w:pPr>
            <w:r>
              <w:rPr>
                <w:rFonts w:hint="cs"/>
                <w:sz w:val="18"/>
                <w:szCs w:val="18"/>
                <w:rtl/>
              </w:rPr>
              <w:t>0</w:t>
            </w:r>
          </w:p>
        </w:tc>
        <w:tc>
          <w:tcPr>
            <w:tcW w:w="596" w:type="pct"/>
            <w:tcBorders>
              <w:right w:val="nil"/>
            </w:tcBorders>
            <w:vAlign w:val="bottom"/>
          </w:tcPr>
          <w:p w14:paraId="4101B9D2" w14:textId="77777777" w:rsidR="00ED1082" w:rsidRPr="000035FE" w:rsidRDefault="00ED1082" w:rsidP="00ED1082">
            <w:pPr>
              <w:pStyle w:val="-3"/>
              <w:rPr>
                <w:sz w:val="18"/>
                <w:szCs w:val="18"/>
                <w:rtl/>
              </w:rPr>
            </w:pPr>
            <w:r>
              <w:rPr>
                <w:rFonts w:hint="cs"/>
                <w:sz w:val="18"/>
                <w:szCs w:val="18"/>
                <w:rtl/>
              </w:rPr>
              <w:t>0</w:t>
            </w:r>
          </w:p>
        </w:tc>
      </w:tr>
      <w:tr w:rsidR="00A674A4" w:rsidRPr="000035FE" w14:paraId="0180173F" w14:textId="77777777" w:rsidTr="006A357B">
        <w:trPr>
          <w:trHeight w:val="257"/>
        </w:trPr>
        <w:tc>
          <w:tcPr>
            <w:tcW w:w="1095" w:type="pct"/>
            <w:vAlign w:val="bottom"/>
          </w:tcPr>
          <w:p w14:paraId="636F63DE" w14:textId="43DDD021" w:rsidR="00ED1082" w:rsidRPr="000035FE" w:rsidRDefault="00ED1082" w:rsidP="00ED1082">
            <w:pPr>
              <w:pStyle w:val="-0"/>
              <w:ind w:left="0" w:firstLine="0"/>
              <w:rPr>
                <w:b/>
                <w:bCs/>
                <w:sz w:val="18"/>
                <w:szCs w:val="18"/>
                <w:rtl/>
              </w:rPr>
            </w:pPr>
            <w:r w:rsidRPr="000035FE">
              <w:rPr>
                <w:rFonts w:hint="cs"/>
                <w:b/>
                <w:bCs/>
                <w:sz w:val="18"/>
                <w:szCs w:val="18"/>
                <w:rtl/>
              </w:rPr>
              <w:t xml:space="preserve">יתרה ליום 30 ביוני </w:t>
            </w:r>
            <w:r w:rsidR="006F1E84" w:rsidRPr="006F1E84">
              <w:rPr>
                <w:b/>
                <w:bCs/>
                <w:sz w:val="18"/>
                <w:szCs w:val="18"/>
                <w:rtl/>
              </w:rPr>
              <w:fldChar w:fldCharType="begin"/>
            </w:r>
            <w:r w:rsidR="006F1E84" w:rsidRPr="006F1E84">
              <w:rPr>
                <w:b/>
                <w:bCs/>
                <w:sz w:val="18"/>
                <w:szCs w:val="18"/>
                <w:rtl/>
              </w:rPr>
              <w:instrText xml:space="preserve"> </w:instrText>
            </w:r>
            <w:r w:rsidR="006F1E84" w:rsidRPr="006F1E84">
              <w:rPr>
                <w:rFonts w:hint="cs"/>
                <w:b/>
                <w:bCs/>
                <w:sz w:val="18"/>
                <w:szCs w:val="18"/>
                <w:rtl/>
              </w:rPr>
              <w:instrText xml:space="preserve">= </w:instrText>
            </w:r>
            <w:r w:rsidR="006F1E84" w:rsidRPr="006F1E84">
              <w:rPr>
                <w:rFonts w:hint="cs"/>
                <w:b/>
                <w:bCs/>
                <w:sz w:val="18"/>
                <w:szCs w:val="18"/>
              </w:rPr>
              <w:instrText>CY \* MERGEFORMAT</w:instrText>
            </w:r>
            <w:r w:rsidR="006F1E84" w:rsidRPr="006F1E84">
              <w:rPr>
                <w:b/>
                <w:bCs/>
                <w:sz w:val="18"/>
                <w:szCs w:val="18"/>
                <w:rtl/>
              </w:rPr>
              <w:instrText xml:space="preserve"> </w:instrText>
            </w:r>
            <w:r w:rsidR="006F1E84" w:rsidRPr="006F1E84">
              <w:rPr>
                <w:b/>
                <w:bCs/>
                <w:sz w:val="18"/>
                <w:szCs w:val="18"/>
                <w:rtl/>
              </w:rPr>
              <w:fldChar w:fldCharType="separate"/>
            </w:r>
            <w:r w:rsidR="003A584F">
              <w:rPr>
                <w:b/>
                <w:bCs/>
                <w:noProof/>
                <w:sz w:val="18"/>
                <w:szCs w:val="18"/>
                <w:rtl/>
              </w:rPr>
              <w:t>2024</w:t>
            </w:r>
            <w:r w:rsidR="006F1E84" w:rsidRPr="006F1E84">
              <w:rPr>
                <w:b/>
                <w:bCs/>
                <w:sz w:val="18"/>
                <w:szCs w:val="18"/>
                <w:rtl/>
              </w:rPr>
              <w:fldChar w:fldCharType="end"/>
            </w:r>
          </w:p>
        </w:tc>
        <w:tc>
          <w:tcPr>
            <w:tcW w:w="564" w:type="pct"/>
            <w:tcMar>
              <w:left w:w="58" w:type="dxa"/>
              <w:right w:w="58" w:type="dxa"/>
            </w:tcMar>
            <w:vAlign w:val="bottom"/>
          </w:tcPr>
          <w:p w14:paraId="43572CDD" w14:textId="77777777" w:rsidR="00ED1082" w:rsidRPr="006A357B" w:rsidRDefault="00ED1082" w:rsidP="00ED1082">
            <w:pPr>
              <w:pStyle w:val="-3"/>
              <w:rPr>
                <w:b/>
                <w:bCs/>
                <w:sz w:val="18"/>
                <w:szCs w:val="18"/>
                <w:rtl/>
              </w:rPr>
            </w:pPr>
            <w:r w:rsidRPr="006A357B">
              <w:rPr>
                <w:rFonts w:hint="cs"/>
                <w:b/>
                <w:bCs/>
                <w:sz w:val="18"/>
                <w:szCs w:val="18"/>
                <w:rtl/>
              </w:rPr>
              <w:t>0</w:t>
            </w:r>
          </w:p>
        </w:tc>
        <w:tc>
          <w:tcPr>
            <w:tcW w:w="467" w:type="pct"/>
            <w:vAlign w:val="bottom"/>
          </w:tcPr>
          <w:p w14:paraId="026105BD" w14:textId="77777777" w:rsidR="00ED1082" w:rsidRPr="006A357B" w:rsidRDefault="00ED1082" w:rsidP="00ED1082">
            <w:pPr>
              <w:pStyle w:val="-3"/>
              <w:rPr>
                <w:b/>
                <w:bCs/>
                <w:sz w:val="18"/>
                <w:szCs w:val="18"/>
                <w:rtl/>
              </w:rPr>
            </w:pPr>
            <w:r w:rsidRPr="006A357B">
              <w:rPr>
                <w:rFonts w:hint="cs"/>
                <w:b/>
                <w:bCs/>
                <w:sz w:val="18"/>
                <w:szCs w:val="18"/>
                <w:rtl/>
              </w:rPr>
              <w:t>0</w:t>
            </w:r>
          </w:p>
        </w:tc>
        <w:tc>
          <w:tcPr>
            <w:tcW w:w="537" w:type="pct"/>
            <w:vAlign w:val="bottom"/>
          </w:tcPr>
          <w:p w14:paraId="5F25C2E7" w14:textId="77777777" w:rsidR="00ED1082" w:rsidRPr="006A357B" w:rsidRDefault="00ED1082" w:rsidP="00ED1082">
            <w:pPr>
              <w:pStyle w:val="-3"/>
              <w:rPr>
                <w:b/>
                <w:bCs/>
                <w:sz w:val="18"/>
                <w:szCs w:val="18"/>
                <w:rtl/>
              </w:rPr>
            </w:pPr>
            <w:r w:rsidRPr="006A357B">
              <w:rPr>
                <w:rFonts w:hint="cs"/>
                <w:b/>
                <w:bCs/>
                <w:sz w:val="18"/>
                <w:szCs w:val="18"/>
                <w:rtl/>
              </w:rPr>
              <w:t>0</w:t>
            </w:r>
          </w:p>
        </w:tc>
        <w:tc>
          <w:tcPr>
            <w:tcW w:w="584" w:type="pct"/>
            <w:vAlign w:val="bottom"/>
          </w:tcPr>
          <w:p w14:paraId="46B30E4F" w14:textId="77777777" w:rsidR="00ED1082" w:rsidRPr="006A357B" w:rsidRDefault="00ED1082" w:rsidP="00ED1082">
            <w:pPr>
              <w:pStyle w:val="-3"/>
              <w:rPr>
                <w:b/>
                <w:bCs/>
                <w:sz w:val="18"/>
                <w:szCs w:val="18"/>
                <w:rtl/>
              </w:rPr>
            </w:pPr>
            <w:r w:rsidRPr="006A357B">
              <w:rPr>
                <w:rFonts w:hint="cs"/>
                <w:b/>
                <w:bCs/>
                <w:sz w:val="18"/>
                <w:szCs w:val="18"/>
                <w:rtl/>
              </w:rPr>
              <w:t>0</w:t>
            </w:r>
          </w:p>
        </w:tc>
        <w:tc>
          <w:tcPr>
            <w:tcW w:w="366" w:type="pct"/>
            <w:vAlign w:val="bottom"/>
          </w:tcPr>
          <w:p w14:paraId="5E38B6E0" w14:textId="77777777" w:rsidR="00ED1082" w:rsidRPr="006A357B" w:rsidRDefault="00ED1082" w:rsidP="00ED1082">
            <w:pPr>
              <w:pStyle w:val="-3"/>
              <w:jc w:val="left"/>
              <w:rPr>
                <w:b/>
                <w:bCs/>
                <w:sz w:val="18"/>
                <w:szCs w:val="18"/>
                <w:rtl/>
              </w:rPr>
            </w:pPr>
            <w:r w:rsidRPr="006A357B">
              <w:rPr>
                <w:rFonts w:hint="cs"/>
                <w:b/>
                <w:bCs/>
                <w:sz w:val="18"/>
                <w:szCs w:val="18"/>
                <w:rtl/>
              </w:rPr>
              <w:t>0</w:t>
            </w:r>
          </w:p>
        </w:tc>
        <w:tc>
          <w:tcPr>
            <w:tcW w:w="262" w:type="pct"/>
            <w:tcMar>
              <w:left w:w="58" w:type="dxa"/>
              <w:right w:w="58" w:type="dxa"/>
            </w:tcMar>
            <w:vAlign w:val="bottom"/>
          </w:tcPr>
          <w:p w14:paraId="40CCA8D6" w14:textId="77777777" w:rsidR="00ED1082" w:rsidRPr="006A357B" w:rsidRDefault="00ED1082" w:rsidP="00ED1082">
            <w:pPr>
              <w:pStyle w:val="-3"/>
              <w:rPr>
                <w:b/>
                <w:bCs/>
                <w:sz w:val="18"/>
                <w:szCs w:val="18"/>
                <w:rtl/>
              </w:rPr>
            </w:pPr>
            <w:r w:rsidRPr="006A357B">
              <w:rPr>
                <w:rFonts w:hint="cs"/>
                <w:b/>
                <w:bCs/>
                <w:sz w:val="18"/>
                <w:szCs w:val="18"/>
                <w:rtl/>
              </w:rPr>
              <w:t>0</w:t>
            </w:r>
          </w:p>
        </w:tc>
        <w:tc>
          <w:tcPr>
            <w:tcW w:w="530" w:type="pct"/>
            <w:vAlign w:val="bottom"/>
          </w:tcPr>
          <w:p w14:paraId="0675DE15" w14:textId="77777777" w:rsidR="00ED1082" w:rsidRPr="006A357B" w:rsidRDefault="00ED1082" w:rsidP="00ED1082">
            <w:pPr>
              <w:pStyle w:val="-3"/>
              <w:rPr>
                <w:b/>
                <w:bCs/>
                <w:sz w:val="18"/>
                <w:szCs w:val="18"/>
                <w:rtl/>
              </w:rPr>
            </w:pPr>
            <w:r w:rsidRPr="006A357B">
              <w:rPr>
                <w:rFonts w:hint="cs"/>
                <w:b/>
                <w:bCs/>
                <w:sz w:val="18"/>
                <w:szCs w:val="18"/>
                <w:rtl/>
              </w:rPr>
              <w:t>0</w:t>
            </w:r>
          </w:p>
        </w:tc>
        <w:tc>
          <w:tcPr>
            <w:tcW w:w="596" w:type="pct"/>
            <w:tcBorders>
              <w:right w:val="nil"/>
            </w:tcBorders>
            <w:vAlign w:val="bottom"/>
          </w:tcPr>
          <w:p w14:paraId="72D571EA" w14:textId="77777777" w:rsidR="00ED1082" w:rsidRPr="006A357B" w:rsidRDefault="00ED1082" w:rsidP="00ED1082">
            <w:pPr>
              <w:pStyle w:val="-3"/>
              <w:rPr>
                <w:b/>
                <w:bCs/>
                <w:sz w:val="18"/>
                <w:szCs w:val="18"/>
                <w:rtl/>
              </w:rPr>
            </w:pPr>
            <w:r w:rsidRPr="006A357B">
              <w:rPr>
                <w:rFonts w:hint="cs"/>
                <w:b/>
                <w:bCs/>
                <w:sz w:val="18"/>
                <w:szCs w:val="18"/>
                <w:rtl/>
              </w:rPr>
              <w:t>0</w:t>
            </w:r>
          </w:p>
        </w:tc>
      </w:tr>
      <w:tr w:rsidR="00A674A4" w:rsidRPr="000035FE" w14:paraId="7A26B70E" w14:textId="77777777" w:rsidTr="006A357B">
        <w:tc>
          <w:tcPr>
            <w:tcW w:w="1095" w:type="pct"/>
            <w:vAlign w:val="bottom"/>
          </w:tcPr>
          <w:p w14:paraId="2A087B78" w14:textId="77777777" w:rsidR="009A10F5" w:rsidRPr="000035FE" w:rsidRDefault="009A10F5" w:rsidP="006C017A">
            <w:pPr>
              <w:pStyle w:val="-0"/>
              <w:spacing w:line="160" w:lineRule="exact"/>
              <w:ind w:left="0" w:firstLine="0"/>
              <w:rPr>
                <w:b/>
                <w:bCs/>
                <w:sz w:val="18"/>
                <w:szCs w:val="18"/>
                <w:rtl/>
              </w:rPr>
            </w:pPr>
          </w:p>
        </w:tc>
        <w:tc>
          <w:tcPr>
            <w:tcW w:w="564" w:type="pct"/>
            <w:tcMar>
              <w:left w:w="58" w:type="dxa"/>
              <w:right w:w="58" w:type="dxa"/>
            </w:tcMar>
            <w:vAlign w:val="bottom"/>
          </w:tcPr>
          <w:p w14:paraId="22756B2F" w14:textId="77777777" w:rsidR="009A10F5" w:rsidRPr="000035FE" w:rsidRDefault="009A10F5" w:rsidP="006C017A">
            <w:pPr>
              <w:pStyle w:val="-3"/>
              <w:spacing w:line="160" w:lineRule="exact"/>
              <w:rPr>
                <w:sz w:val="18"/>
                <w:szCs w:val="18"/>
                <w:rtl/>
              </w:rPr>
            </w:pPr>
          </w:p>
        </w:tc>
        <w:tc>
          <w:tcPr>
            <w:tcW w:w="467" w:type="pct"/>
            <w:vAlign w:val="bottom"/>
          </w:tcPr>
          <w:p w14:paraId="0D9DBF15" w14:textId="77777777" w:rsidR="009A10F5" w:rsidRPr="000035FE" w:rsidRDefault="009A10F5" w:rsidP="006C017A">
            <w:pPr>
              <w:pStyle w:val="-3"/>
              <w:spacing w:line="160" w:lineRule="exact"/>
              <w:rPr>
                <w:sz w:val="18"/>
                <w:szCs w:val="18"/>
                <w:rtl/>
              </w:rPr>
            </w:pPr>
          </w:p>
        </w:tc>
        <w:tc>
          <w:tcPr>
            <w:tcW w:w="537" w:type="pct"/>
          </w:tcPr>
          <w:p w14:paraId="77B85205" w14:textId="77777777" w:rsidR="009A10F5" w:rsidRPr="000035FE" w:rsidRDefault="009A10F5" w:rsidP="006C017A">
            <w:pPr>
              <w:pStyle w:val="-3"/>
              <w:spacing w:line="160" w:lineRule="exact"/>
              <w:rPr>
                <w:sz w:val="18"/>
                <w:szCs w:val="18"/>
                <w:rtl/>
              </w:rPr>
            </w:pPr>
          </w:p>
        </w:tc>
        <w:tc>
          <w:tcPr>
            <w:tcW w:w="584" w:type="pct"/>
            <w:vAlign w:val="bottom"/>
          </w:tcPr>
          <w:p w14:paraId="752F73A6" w14:textId="77777777" w:rsidR="009A10F5" w:rsidRPr="000035FE" w:rsidRDefault="009A10F5" w:rsidP="006C017A">
            <w:pPr>
              <w:pStyle w:val="-3"/>
              <w:spacing w:line="160" w:lineRule="exact"/>
              <w:rPr>
                <w:sz w:val="18"/>
                <w:szCs w:val="18"/>
                <w:rtl/>
              </w:rPr>
            </w:pPr>
          </w:p>
        </w:tc>
        <w:tc>
          <w:tcPr>
            <w:tcW w:w="366" w:type="pct"/>
            <w:vAlign w:val="bottom"/>
          </w:tcPr>
          <w:p w14:paraId="3874AA35" w14:textId="77777777" w:rsidR="009A10F5" w:rsidRPr="000035FE" w:rsidRDefault="009A10F5" w:rsidP="006C017A">
            <w:pPr>
              <w:pStyle w:val="-3"/>
              <w:spacing w:line="160" w:lineRule="exact"/>
              <w:jc w:val="left"/>
              <w:rPr>
                <w:sz w:val="18"/>
                <w:szCs w:val="18"/>
                <w:rtl/>
              </w:rPr>
            </w:pPr>
          </w:p>
        </w:tc>
        <w:tc>
          <w:tcPr>
            <w:tcW w:w="262" w:type="pct"/>
            <w:tcMar>
              <w:left w:w="58" w:type="dxa"/>
              <w:right w:w="58" w:type="dxa"/>
            </w:tcMar>
            <w:vAlign w:val="bottom"/>
          </w:tcPr>
          <w:p w14:paraId="6EB27351" w14:textId="77777777" w:rsidR="009A10F5" w:rsidRPr="000035FE" w:rsidRDefault="009A10F5" w:rsidP="006C017A">
            <w:pPr>
              <w:pStyle w:val="-3"/>
              <w:spacing w:line="160" w:lineRule="exact"/>
              <w:rPr>
                <w:sz w:val="18"/>
                <w:szCs w:val="18"/>
                <w:rtl/>
              </w:rPr>
            </w:pPr>
          </w:p>
        </w:tc>
        <w:tc>
          <w:tcPr>
            <w:tcW w:w="530" w:type="pct"/>
            <w:vAlign w:val="bottom"/>
          </w:tcPr>
          <w:p w14:paraId="4EFECFE1" w14:textId="77777777" w:rsidR="009A10F5" w:rsidRPr="000035FE" w:rsidRDefault="009A10F5" w:rsidP="006C017A">
            <w:pPr>
              <w:pStyle w:val="-3"/>
              <w:spacing w:line="160" w:lineRule="exact"/>
              <w:rPr>
                <w:sz w:val="18"/>
                <w:szCs w:val="18"/>
                <w:rtl/>
              </w:rPr>
            </w:pPr>
          </w:p>
        </w:tc>
        <w:tc>
          <w:tcPr>
            <w:tcW w:w="596" w:type="pct"/>
            <w:tcBorders>
              <w:right w:val="nil"/>
            </w:tcBorders>
            <w:vAlign w:val="bottom"/>
          </w:tcPr>
          <w:p w14:paraId="2079C27B" w14:textId="77777777" w:rsidR="009A10F5" w:rsidRPr="000035FE" w:rsidRDefault="009A10F5" w:rsidP="006C017A">
            <w:pPr>
              <w:pStyle w:val="-3"/>
              <w:spacing w:line="160" w:lineRule="exact"/>
              <w:rPr>
                <w:sz w:val="18"/>
                <w:szCs w:val="18"/>
                <w:rtl/>
              </w:rPr>
            </w:pPr>
          </w:p>
        </w:tc>
      </w:tr>
      <w:tr w:rsidR="00A674A4" w:rsidRPr="000035FE" w14:paraId="356DD987" w14:textId="77777777" w:rsidTr="006A357B">
        <w:trPr>
          <w:trHeight w:val="259"/>
        </w:trPr>
        <w:tc>
          <w:tcPr>
            <w:tcW w:w="1095" w:type="pct"/>
            <w:vAlign w:val="bottom"/>
          </w:tcPr>
          <w:p w14:paraId="3A499424" w14:textId="52D66AA8" w:rsidR="00ED1082" w:rsidRPr="000035FE" w:rsidRDefault="00ED1082" w:rsidP="00ED1082">
            <w:pPr>
              <w:pStyle w:val="-0"/>
              <w:spacing w:before="22" w:after="22" w:line="240" w:lineRule="auto"/>
              <w:ind w:left="0" w:firstLine="0"/>
              <w:rPr>
                <w:b/>
                <w:bCs/>
                <w:sz w:val="18"/>
                <w:szCs w:val="18"/>
                <w:rtl/>
              </w:rPr>
            </w:pPr>
            <w:r w:rsidRPr="000035FE">
              <w:rPr>
                <w:rFonts w:hint="cs"/>
                <w:b/>
                <w:bCs/>
                <w:sz w:val="18"/>
                <w:szCs w:val="18"/>
                <w:rtl/>
              </w:rPr>
              <w:t xml:space="preserve">יתרה ליום 31 במרץ </w:t>
            </w:r>
            <w:r w:rsidR="006F1E84" w:rsidRPr="006F1E84">
              <w:rPr>
                <w:b/>
                <w:bCs/>
                <w:sz w:val="14"/>
                <w:szCs w:val="14"/>
                <w:rtl/>
              </w:rPr>
              <w:fldChar w:fldCharType="begin"/>
            </w:r>
            <w:r w:rsidR="006F1E84" w:rsidRPr="006F1E84">
              <w:rPr>
                <w:b/>
                <w:bCs/>
                <w:sz w:val="14"/>
                <w:szCs w:val="14"/>
                <w:rtl/>
              </w:rPr>
              <w:instrText xml:space="preserve"> </w:instrText>
            </w:r>
            <w:r w:rsidR="006F1E84" w:rsidRPr="006F1E84">
              <w:rPr>
                <w:rFonts w:hint="cs"/>
                <w:b/>
                <w:bCs/>
                <w:sz w:val="14"/>
                <w:szCs w:val="14"/>
                <w:rtl/>
              </w:rPr>
              <w:instrText xml:space="preserve">= </w:instrText>
            </w:r>
            <w:r w:rsidR="006F1E84" w:rsidRPr="006F1E84">
              <w:rPr>
                <w:rFonts w:hint="cs"/>
                <w:b/>
                <w:bCs/>
                <w:sz w:val="14"/>
                <w:szCs w:val="14"/>
              </w:rPr>
              <w:instrText>CY</w:instrText>
            </w:r>
            <w:r w:rsidR="006F1E84" w:rsidRPr="006F1E84">
              <w:rPr>
                <w:b/>
                <w:bCs/>
                <w:sz w:val="14"/>
                <w:szCs w:val="14"/>
              </w:rPr>
              <w:instrText>-1</w:instrText>
            </w:r>
            <w:r w:rsidR="006F1E84" w:rsidRPr="006F1E84">
              <w:rPr>
                <w:rFonts w:hint="cs"/>
                <w:b/>
                <w:bCs/>
                <w:sz w:val="14"/>
                <w:szCs w:val="14"/>
              </w:rPr>
              <w:instrText xml:space="preserve"> \* MERGEFORMAT</w:instrText>
            </w:r>
            <w:r w:rsidR="006F1E84" w:rsidRPr="006F1E84">
              <w:rPr>
                <w:b/>
                <w:bCs/>
                <w:sz w:val="14"/>
                <w:szCs w:val="14"/>
                <w:rtl/>
              </w:rPr>
              <w:instrText xml:space="preserve"> </w:instrText>
            </w:r>
            <w:r w:rsidR="006F1E84" w:rsidRPr="006F1E84">
              <w:rPr>
                <w:b/>
                <w:bCs/>
                <w:sz w:val="14"/>
                <w:szCs w:val="14"/>
                <w:rtl/>
              </w:rPr>
              <w:fldChar w:fldCharType="separate"/>
            </w:r>
            <w:r w:rsidR="003A584F" w:rsidRPr="003A584F">
              <w:rPr>
                <w:b/>
                <w:bCs/>
                <w:noProof/>
                <w:sz w:val="18"/>
                <w:szCs w:val="18"/>
                <w:rtl/>
              </w:rPr>
              <w:t>2023</w:t>
            </w:r>
            <w:r w:rsidR="006F1E84" w:rsidRPr="006F1E84">
              <w:rPr>
                <w:b/>
                <w:bCs/>
                <w:sz w:val="14"/>
                <w:szCs w:val="14"/>
                <w:rtl/>
              </w:rPr>
              <w:fldChar w:fldCharType="end"/>
            </w:r>
          </w:p>
        </w:tc>
        <w:tc>
          <w:tcPr>
            <w:tcW w:w="564" w:type="pct"/>
            <w:tcMar>
              <w:left w:w="58" w:type="dxa"/>
              <w:right w:w="58" w:type="dxa"/>
            </w:tcMar>
            <w:vAlign w:val="bottom"/>
          </w:tcPr>
          <w:p w14:paraId="33C4ECE4" w14:textId="77777777" w:rsidR="00ED1082" w:rsidRPr="000035FE" w:rsidRDefault="00ED1082" w:rsidP="00ED1082">
            <w:pPr>
              <w:pStyle w:val="-3"/>
              <w:spacing w:before="22" w:after="22" w:line="240" w:lineRule="auto"/>
              <w:rPr>
                <w:sz w:val="18"/>
                <w:szCs w:val="18"/>
                <w:rtl/>
              </w:rPr>
            </w:pPr>
            <w:r>
              <w:rPr>
                <w:rFonts w:hint="cs"/>
                <w:sz w:val="18"/>
                <w:szCs w:val="18"/>
                <w:rtl/>
              </w:rPr>
              <w:t>0</w:t>
            </w:r>
          </w:p>
        </w:tc>
        <w:tc>
          <w:tcPr>
            <w:tcW w:w="467" w:type="pct"/>
            <w:vAlign w:val="bottom"/>
          </w:tcPr>
          <w:p w14:paraId="24C0A911" w14:textId="77777777" w:rsidR="00ED1082" w:rsidRPr="000035FE" w:rsidRDefault="00ED1082" w:rsidP="00ED1082">
            <w:pPr>
              <w:pStyle w:val="-3"/>
              <w:spacing w:before="22" w:after="22" w:line="240" w:lineRule="auto"/>
              <w:rPr>
                <w:sz w:val="18"/>
                <w:szCs w:val="18"/>
                <w:rtl/>
              </w:rPr>
            </w:pPr>
            <w:r>
              <w:rPr>
                <w:rFonts w:hint="cs"/>
                <w:sz w:val="18"/>
                <w:szCs w:val="18"/>
                <w:rtl/>
              </w:rPr>
              <w:t>0</w:t>
            </w:r>
          </w:p>
        </w:tc>
        <w:tc>
          <w:tcPr>
            <w:tcW w:w="537" w:type="pct"/>
            <w:vAlign w:val="bottom"/>
          </w:tcPr>
          <w:p w14:paraId="0E22BA89" w14:textId="77777777" w:rsidR="00ED1082" w:rsidRPr="000035FE" w:rsidRDefault="00ED1082" w:rsidP="00ED1082">
            <w:pPr>
              <w:pStyle w:val="-3"/>
              <w:spacing w:before="22" w:after="22" w:line="240" w:lineRule="auto"/>
              <w:rPr>
                <w:sz w:val="18"/>
                <w:szCs w:val="18"/>
                <w:rtl/>
              </w:rPr>
            </w:pPr>
            <w:r>
              <w:rPr>
                <w:rFonts w:hint="cs"/>
                <w:sz w:val="18"/>
                <w:szCs w:val="18"/>
                <w:rtl/>
              </w:rPr>
              <w:t>0</w:t>
            </w:r>
          </w:p>
        </w:tc>
        <w:tc>
          <w:tcPr>
            <w:tcW w:w="584" w:type="pct"/>
            <w:vAlign w:val="bottom"/>
          </w:tcPr>
          <w:p w14:paraId="655AC693" w14:textId="77777777" w:rsidR="00ED1082" w:rsidRPr="000035FE" w:rsidRDefault="0006190E" w:rsidP="00ED1082">
            <w:pPr>
              <w:pStyle w:val="-3"/>
              <w:spacing w:before="22" w:after="22" w:line="240" w:lineRule="auto"/>
              <w:rPr>
                <w:sz w:val="18"/>
                <w:szCs w:val="18"/>
                <w:rtl/>
              </w:rPr>
            </w:pPr>
            <w:r>
              <w:rPr>
                <w:rFonts w:hint="cs"/>
                <w:sz w:val="18"/>
                <w:szCs w:val="18"/>
                <w:rtl/>
              </w:rPr>
              <w:t>0</w:t>
            </w:r>
          </w:p>
        </w:tc>
        <w:tc>
          <w:tcPr>
            <w:tcW w:w="366" w:type="pct"/>
            <w:vAlign w:val="bottom"/>
          </w:tcPr>
          <w:p w14:paraId="6680E711" w14:textId="77777777" w:rsidR="00ED1082" w:rsidRPr="000035FE" w:rsidRDefault="00ED1082" w:rsidP="00ED1082">
            <w:pPr>
              <w:pStyle w:val="-3"/>
              <w:spacing w:before="22" w:after="22" w:line="240" w:lineRule="auto"/>
              <w:jc w:val="left"/>
              <w:rPr>
                <w:sz w:val="18"/>
                <w:szCs w:val="18"/>
                <w:rtl/>
              </w:rPr>
            </w:pPr>
            <w:r>
              <w:rPr>
                <w:rFonts w:hint="cs"/>
                <w:sz w:val="18"/>
                <w:szCs w:val="18"/>
                <w:rtl/>
              </w:rPr>
              <w:t>0</w:t>
            </w:r>
          </w:p>
        </w:tc>
        <w:tc>
          <w:tcPr>
            <w:tcW w:w="262" w:type="pct"/>
            <w:tcMar>
              <w:left w:w="58" w:type="dxa"/>
              <w:right w:w="58" w:type="dxa"/>
            </w:tcMar>
            <w:vAlign w:val="bottom"/>
          </w:tcPr>
          <w:p w14:paraId="7A2D6611" w14:textId="77777777" w:rsidR="00ED1082" w:rsidRPr="000035FE" w:rsidRDefault="00ED1082" w:rsidP="00ED1082">
            <w:pPr>
              <w:pStyle w:val="-3"/>
              <w:spacing w:before="22" w:after="22" w:line="240" w:lineRule="auto"/>
              <w:rPr>
                <w:sz w:val="18"/>
                <w:szCs w:val="18"/>
                <w:rtl/>
              </w:rPr>
            </w:pPr>
            <w:r>
              <w:rPr>
                <w:rFonts w:hint="cs"/>
                <w:sz w:val="18"/>
                <w:szCs w:val="18"/>
                <w:rtl/>
              </w:rPr>
              <w:t>0</w:t>
            </w:r>
          </w:p>
        </w:tc>
        <w:tc>
          <w:tcPr>
            <w:tcW w:w="530" w:type="pct"/>
            <w:vAlign w:val="bottom"/>
          </w:tcPr>
          <w:p w14:paraId="3AB193C9" w14:textId="77777777" w:rsidR="00ED1082" w:rsidRPr="000035FE" w:rsidRDefault="00ED1082" w:rsidP="00ED1082">
            <w:pPr>
              <w:pStyle w:val="-3"/>
              <w:spacing w:before="22" w:after="22" w:line="240" w:lineRule="auto"/>
              <w:rPr>
                <w:sz w:val="18"/>
                <w:szCs w:val="18"/>
                <w:rtl/>
              </w:rPr>
            </w:pPr>
            <w:r>
              <w:rPr>
                <w:rFonts w:hint="cs"/>
                <w:sz w:val="18"/>
                <w:szCs w:val="18"/>
                <w:rtl/>
              </w:rPr>
              <w:t>0</w:t>
            </w:r>
          </w:p>
        </w:tc>
        <w:tc>
          <w:tcPr>
            <w:tcW w:w="596" w:type="pct"/>
            <w:tcBorders>
              <w:right w:val="nil"/>
            </w:tcBorders>
            <w:vAlign w:val="bottom"/>
          </w:tcPr>
          <w:p w14:paraId="497F585E" w14:textId="77777777" w:rsidR="00ED1082" w:rsidRPr="000035FE" w:rsidRDefault="00ED1082" w:rsidP="00ED1082">
            <w:pPr>
              <w:pStyle w:val="-3"/>
              <w:spacing w:before="22" w:after="22" w:line="240" w:lineRule="auto"/>
              <w:rPr>
                <w:sz w:val="18"/>
                <w:szCs w:val="18"/>
                <w:rtl/>
              </w:rPr>
            </w:pPr>
            <w:r>
              <w:rPr>
                <w:rFonts w:hint="cs"/>
                <w:sz w:val="18"/>
                <w:szCs w:val="18"/>
                <w:rtl/>
              </w:rPr>
              <w:t>0</w:t>
            </w:r>
          </w:p>
        </w:tc>
      </w:tr>
      <w:tr w:rsidR="00A674A4" w:rsidRPr="000035FE" w14:paraId="256E7E6C" w14:textId="77777777" w:rsidTr="006A357B">
        <w:trPr>
          <w:trHeight w:val="259"/>
        </w:trPr>
        <w:tc>
          <w:tcPr>
            <w:tcW w:w="1095" w:type="pct"/>
            <w:vAlign w:val="bottom"/>
          </w:tcPr>
          <w:p w14:paraId="523EDF8B" w14:textId="77777777" w:rsidR="00ED1082" w:rsidRPr="000035FE" w:rsidRDefault="00ED1082" w:rsidP="00ED1082">
            <w:pPr>
              <w:pStyle w:val="-0"/>
              <w:spacing w:before="22" w:after="22" w:line="240" w:lineRule="auto"/>
              <w:ind w:left="0" w:firstLine="0"/>
              <w:rPr>
                <w:sz w:val="18"/>
                <w:szCs w:val="18"/>
                <w:rtl/>
              </w:rPr>
            </w:pPr>
            <w:r w:rsidRPr="000035FE">
              <w:rPr>
                <w:rFonts w:hint="cs"/>
                <w:sz w:val="18"/>
                <w:szCs w:val="18"/>
                <w:rtl/>
              </w:rPr>
              <w:t>שינוי נטו במהלך התקופה</w:t>
            </w:r>
          </w:p>
        </w:tc>
        <w:tc>
          <w:tcPr>
            <w:tcW w:w="564" w:type="pct"/>
            <w:tcMar>
              <w:left w:w="58" w:type="dxa"/>
              <w:right w:w="58" w:type="dxa"/>
            </w:tcMar>
            <w:vAlign w:val="bottom"/>
          </w:tcPr>
          <w:p w14:paraId="5112A69F" w14:textId="77777777" w:rsidR="00ED1082" w:rsidRPr="000035FE" w:rsidRDefault="00ED1082" w:rsidP="00ED1082">
            <w:pPr>
              <w:pStyle w:val="-3"/>
              <w:spacing w:before="22" w:after="22" w:line="240" w:lineRule="auto"/>
              <w:rPr>
                <w:sz w:val="18"/>
                <w:szCs w:val="18"/>
                <w:rtl/>
              </w:rPr>
            </w:pPr>
            <w:r>
              <w:rPr>
                <w:rFonts w:hint="cs"/>
                <w:sz w:val="18"/>
                <w:szCs w:val="18"/>
                <w:rtl/>
              </w:rPr>
              <w:t>0</w:t>
            </w:r>
          </w:p>
        </w:tc>
        <w:tc>
          <w:tcPr>
            <w:tcW w:w="467" w:type="pct"/>
            <w:vAlign w:val="bottom"/>
          </w:tcPr>
          <w:p w14:paraId="538EF468" w14:textId="77777777" w:rsidR="00ED1082" w:rsidRPr="000035FE" w:rsidRDefault="00ED1082" w:rsidP="00ED1082">
            <w:pPr>
              <w:pStyle w:val="-3"/>
              <w:spacing w:before="22" w:after="22" w:line="240" w:lineRule="auto"/>
              <w:rPr>
                <w:sz w:val="18"/>
                <w:szCs w:val="18"/>
                <w:rtl/>
              </w:rPr>
            </w:pPr>
            <w:r>
              <w:rPr>
                <w:rFonts w:hint="cs"/>
                <w:sz w:val="18"/>
                <w:szCs w:val="18"/>
                <w:rtl/>
              </w:rPr>
              <w:t>0</w:t>
            </w:r>
          </w:p>
        </w:tc>
        <w:tc>
          <w:tcPr>
            <w:tcW w:w="537" w:type="pct"/>
            <w:vAlign w:val="bottom"/>
          </w:tcPr>
          <w:p w14:paraId="2E432109" w14:textId="77777777" w:rsidR="00ED1082" w:rsidRPr="000035FE" w:rsidRDefault="00ED1082" w:rsidP="00ED1082">
            <w:pPr>
              <w:pStyle w:val="-3"/>
              <w:spacing w:before="22" w:after="22" w:line="240" w:lineRule="auto"/>
              <w:rPr>
                <w:sz w:val="18"/>
                <w:szCs w:val="18"/>
                <w:rtl/>
              </w:rPr>
            </w:pPr>
            <w:r>
              <w:rPr>
                <w:rFonts w:hint="cs"/>
                <w:sz w:val="18"/>
                <w:szCs w:val="18"/>
                <w:rtl/>
              </w:rPr>
              <w:t>0</w:t>
            </w:r>
          </w:p>
        </w:tc>
        <w:tc>
          <w:tcPr>
            <w:tcW w:w="584" w:type="pct"/>
            <w:vAlign w:val="bottom"/>
          </w:tcPr>
          <w:p w14:paraId="60571548" w14:textId="77777777" w:rsidR="00ED1082" w:rsidRPr="000035FE" w:rsidRDefault="0006190E" w:rsidP="00ED1082">
            <w:pPr>
              <w:pStyle w:val="-3"/>
              <w:spacing w:before="22" w:after="22" w:line="240" w:lineRule="auto"/>
              <w:rPr>
                <w:sz w:val="18"/>
                <w:szCs w:val="18"/>
                <w:rtl/>
              </w:rPr>
            </w:pPr>
            <w:r>
              <w:rPr>
                <w:rFonts w:hint="cs"/>
                <w:sz w:val="18"/>
                <w:szCs w:val="18"/>
                <w:rtl/>
              </w:rPr>
              <w:t>0</w:t>
            </w:r>
          </w:p>
        </w:tc>
        <w:tc>
          <w:tcPr>
            <w:tcW w:w="366" w:type="pct"/>
            <w:vAlign w:val="bottom"/>
          </w:tcPr>
          <w:p w14:paraId="07D86225" w14:textId="77777777" w:rsidR="00ED1082" w:rsidRPr="000035FE" w:rsidRDefault="00ED1082" w:rsidP="00ED1082">
            <w:pPr>
              <w:pStyle w:val="-3"/>
              <w:spacing w:before="22" w:after="22" w:line="240" w:lineRule="auto"/>
              <w:jc w:val="left"/>
              <w:rPr>
                <w:sz w:val="18"/>
                <w:szCs w:val="18"/>
                <w:rtl/>
              </w:rPr>
            </w:pPr>
            <w:r>
              <w:rPr>
                <w:rFonts w:hint="cs"/>
                <w:sz w:val="18"/>
                <w:szCs w:val="18"/>
                <w:rtl/>
              </w:rPr>
              <w:t>0</w:t>
            </w:r>
          </w:p>
        </w:tc>
        <w:tc>
          <w:tcPr>
            <w:tcW w:w="262" w:type="pct"/>
            <w:tcMar>
              <w:left w:w="58" w:type="dxa"/>
              <w:right w:w="58" w:type="dxa"/>
            </w:tcMar>
            <w:vAlign w:val="bottom"/>
          </w:tcPr>
          <w:p w14:paraId="1339EA01" w14:textId="77777777" w:rsidR="00ED1082" w:rsidRPr="000035FE" w:rsidRDefault="00ED1082" w:rsidP="00ED1082">
            <w:pPr>
              <w:pStyle w:val="-3"/>
              <w:spacing w:before="22" w:after="22" w:line="240" w:lineRule="auto"/>
              <w:rPr>
                <w:sz w:val="18"/>
                <w:szCs w:val="18"/>
                <w:rtl/>
              </w:rPr>
            </w:pPr>
            <w:r>
              <w:rPr>
                <w:rFonts w:hint="cs"/>
                <w:sz w:val="18"/>
                <w:szCs w:val="18"/>
                <w:rtl/>
              </w:rPr>
              <w:t>0</w:t>
            </w:r>
          </w:p>
        </w:tc>
        <w:tc>
          <w:tcPr>
            <w:tcW w:w="530" w:type="pct"/>
            <w:vAlign w:val="bottom"/>
          </w:tcPr>
          <w:p w14:paraId="2FD2E38F" w14:textId="77777777" w:rsidR="00ED1082" w:rsidRPr="000035FE" w:rsidRDefault="00ED1082" w:rsidP="00ED1082">
            <w:pPr>
              <w:pStyle w:val="-3"/>
              <w:spacing w:before="22" w:after="22" w:line="240" w:lineRule="auto"/>
              <w:rPr>
                <w:sz w:val="18"/>
                <w:szCs w:val="18"/>
                <w:rtl/>
              </w:rPr>
            </w:pPr>
            <w:r>
              <w:rPr>
                <w:rFonts w:hint="cs"/>
                <w:sz w:val="18"/>
                <w:szCs w:val="18"/>
                <w:rtl/>
              </w:rPr>
              <w:t>0</w:t>
            </w:r>
          </w:p>
        </w:tc>
        <w:tc>
          <w:tcPr>
            <w:tcW w:w="596" w:type="pct"/>
            <w:tcBorders>
              <w:right w:val="nil"/>
            </w:tcBorders>
            <w:vAlign w:val="bottom"/>
          </w:tcPr>
          <w:p w14:paraId="4870AB75" w14:textId="77777777" w:rsidR="00ED1082" w:rsidRPr="000035FE" w:rsidRDefault="00ED1082" w:rsidP="00ED1082">
            <w:pPr>
              <w:pStyle w:val="-3"/>
              <w:spacing w:before="22" w:after="22" w:line="240" w:lineRule="auto"/>
              <w:rPr>
                <w:sz w:val="18"/>
                <w:szCs w:val="18"/>
                <w:rtl/>
              </w:rPr>
            </w:pPr>
            <w:r>
              <w:rPr>
                <w:rFonts w:hint="cs"/>
                <w:sz w:val="18"/>
                <w:szCs w:val="18"/>
                <w:rtl/>
              </w:rPr>
              <w:t>0</w:t>
            </w:r>
          </w:p>
        </w:tc>
      </w:tr>
      <w:tr w:rsidR="00A674A4" w:rsidRPr="000035FE" w14:paraId="706DC55E" w14:textId="77777777" w:rsidTr="006A357B">
        <w:trPr>
          <w:trHeight w:val="259"/>
        </w:trPr>
        <w:tc>
          <w:tcPr>
            <w:tcW w:w="1095" w:type="pct"/>
            <w:vAlign w:val="bottom"/>
          </w:tcPr>
          <w:p w14:paraId="0D6669B3" w14:textId="0C94211F" w:rsidR="00ED1082" w:rsidRPr="000035FE" w:rsidRDefault="00ED1082" w:rsidP="00ED1082">
            <w:pPr>
              <w:pStyle w:val="-0"/>
              <w:ind w:left="0" w:firstLine="0"/>
              <w:rPr>
                <w:b/>
                <w:bCs/>
                <w:sz w:val="18"/>
                <w:szCs w:val="18"/>
                <w:rtl/>
              </w:rPr>
            </w:pPr>
            <w:r w:rsidRPr="000035FE">
              <w:rPr>
                <w:rFonts w:hint="cs"/>
                <w:b/>
                <w:bCs/>
                <w:sz w:val="18"/>
                <w:szCs w:val="18"/>
                <w:rtl/>
              </w:rPr>
              <w:t xml:space="preserve">יתרה ליום 30 ביוני </w:t>
            </w:r>
            <w:r w:rsidR="006F1E84" w:rsidRPr="006F1E84">
              <w:rPr>
                <w:b/>
                <w:bCs/>
                <w:sz w:val="14"/>
                <w:szCs w:val="14"/>
                <w:rtl/>
              </w:rPr>
              <w:fldChar w:fldCharType="begin"/>
            </w:r>
            <w:r w:rsidR="006F1E84" w:rsidRPr="006F1E84">
              <w:rPr>
                <w:b/>
                <w:bCs/>
                <w:sz w:val="14"/>
                <w:szCs w:val="14"/>
                <w:rtl/>
              </w:rPr>
              <w:instrText xml:space="preserve"> </w:instrText>
            </w:r>
            <w:r w:rsidR="006F1E84" w:rsidRPr="006F1E84">
              <w:rPr>
                <w:rFonts w:hint="cs"/>
                <w:b/>
                <w:bCs/>
                <w:sz w:val="14"/>
                <w:szCs w:val="14"/>
                <w:rtl/>
              </w:rPr>
              <w:instrText xml:space="preserve">= </w:instrText>
            </w:r>
            <w:r w:rsidR="006F1E84" w:rsidRPr="006F1E84">
              <w:rPr>
                <w:rFonts w:hint="cs"/>
                <w:b/>
                <w:bCs/>
                <w:sz w:val="14"/>
                <w:szCs w:val="14"/>
              </w:rPr>
              <w:instrText>CY</w:instrText>
            </w:r>
            <w:r w:rsidR="006F1E84" w:rsidRPr="006F1E84">
              <w:rPr>
                <w:b/>
                <w:bCs/>
                <w:sz w:val="14"/>
                <w:szCs w:val="14"/>
              </w:rPr>
              <w:instrText>-1</w:instrText>
            </w:r>
            <w:r w:rsidR="006F1E84" w:rsidRPr="006F1E84">
              <w:rPr>
                <w:rFonts w:hint="cs"/>
                <w:b/>
                <w:bCs/>
                <w:sz w:val="14"/>
                <w:szCs w:val="14"/>
              </w:rPr>
              <w:instrText xml:space="preserve"> \* MERGEFORMAT</w:instrText>
            </w:r>
            <w:r w:rsidR="006F1E84" w:rsidRPr="006F1E84">
              <w:rPr>
                <w:b/>
                <w:bCs/>
                <w:sz w:val="14"/>
                <w:szCs w:val="14"/>
                <w:rtl/>
              </w:rPr>
              <w:instrText xml:space="preserve"> </w:instrText>
            </w:r>
            <w:r w:rsidR="006F1E84" w:rsidRPr="006F1E84">
              <w:rPr>
                <w:b/>
                <w:bCs/>
                <w:sz w:val="14"/>
                <w:szCs w:val="14"/>
                <w:rtl/>
              </w:rPr>
              <w:fldChar w:fldCharType="separate"/>
            </w:r>
            <w:r w:rsidR="003A584F" w:rsidRPr="003A584F">
              <w:rPr>
                <w:b/>
                <w:bCs/>
                <w:noProof/>
                <w:sz w:val="18"/>
                <w:szCs w:val="18"/>
                <w:rtl/>
              </w:rPr>
              <w:t>2023</w:t>
            </w:r>
            <w:r w:rsidR="006F1E84" w:rsidRPr="006F1E84">
              <w:rPr>
                <w:b/>
                <w:bCs/>
                <w:sz w:val="14"/>
                <w:szCs w:val="14"/>
                <w:rtl/>
              </w:rPr>
              <w:fldChar w:fldCharType="end"/>
            </w:r>
          </w:p>
        </w:tc>
        <w:tc>
          <w:tcPr>
            <w:tcW w:w="564" w:type="pct"/>
            <w:tcMar>
              <w:left w:w="58" w:type="dxa"/>
              <w:right w:w="58" w:type="dxa"/>
            </w:tcMar>
            <w:vAlign w:val="bottom"/>
          </w:tcPr>
          <w:p w14:paraId="2CF1B1E0" w14:textId="77777777" w:rsidR="00ED1082" w:rsidRPr="006A357B" w:rsidRDefault="00ED1082" w:rsidP="00ED1082">
            <w:pPr>
              <w:pStyle w:val="-3"/>
              <w:rPr>
                <w:b/>
                <w:bCs/>
                <w:sz w:val="18"/>
                <w:szCs w:val="18"/>
                <w:rtl/>
              </w:rPr>
            </w:pPr>
            <w:r w:rsidRPr="006A357B">
              <w:rPr>
                <w:rFonts w:hint="cs"/>
                <w:b/>
                <w:bCs/>
                <w:sz w:val="18"/>
                <w:szCs w:val="18"/>
                <w:rtl/>
              </w:rPr>
              <w:t>0</w:t>
            </w:r>
          </w:p>
        </w:tc>
        <w:tc>
          <w:tcPr>
            <w:tcW w:w="467" w:type="pct"/>
            <w:vAlign w:val="bottom"/>
          </w:tcPr>
          <w:p w14:paraId="4F419A8B" w14:textId="77777777" w:rsidR="00ED1082" w:rsidRPr="006A357B" w:rsidRDefault="00ED1082" w:rsidP="00ED1082">
            <w:pPr>
              <w:pStyle w:val="-3"/>
              <w:rPr>
                <w:b/>
                <w:bCs/>
                <w:sz w:val="18"/>
                <w:szCs w:val="18"/>
                <w:rtl/>
              </w:rPr>
            </w:pPr>
            <w:r w:rsidRPr="006A357B">
              <w:rPr>
                <w:rFonts w:hint="cs"/>
                <w:b/>
                <w:bCs/>
                <w:sz w:val="18"/>
                <w:szCs w:val="18"/>
                <w:rtl/>
              </w:rPr>
              <w:t>0</w:t>
            </w:r>
          </w:p>
        </w:tc>
        <w:tc>
          <w:tcPr>
            <w:tcW w:w="537" w:type="pct"/>
            <w:vAlign w:val="bottom"/>
          </w:tcPr>
          <w:p w14:paraId="22D29ADE" w14:textId="77777777" w:rsidR="00ED1082" w:rsidRPr="006A357B" w:rsidRDefault="00ED1082" w:rsidP="00ED1082">
            <w:pPr>
              <w:pStyle w:val="-3"/>
              <w:rPr>
                <w:b/>
                <w:bCs/>
                <w:sz w:val="18"/>
                <w:szCs w:val="18"/>
                <w:rtl/>
              </w:rPr>
            </w:pPr>
            <w:r w:rsidRPr="006A357B">
              <w:rPr>
                <w:rFonts w:hint="cs"/>
                <w:b/>
                <w:bCs/>
                <w:sz w:val="18"/>
                <w:szCs w:val="18"/>
                <w:rtl/>
              </w:rPr>
              <w:t>0</w:t>
            </w:r>
          </w:p>
        </w:tc>
        <w:tc>
          <w:tcPr>
            <w:tcW w:w="584" w:type="pct"/>
            <w:vAlign w:val="bottom"/>
          </w:tcPr>
          <w:p w14:paraId="048BFE5C" w14:textId="77777777" w:rsidR="00ED1082" w:rsidRPr="006A357B" w:rsidRDefault="0006190E" w:rsidP="00ED1082">
            <w:pPr>
              <w:pStyle w:val="-3"/>
              <w:rPr>
                <w:b/>
                <w:bCs/>
                <w:sz w:val="18"/>
                <w:szCs w:val="18"/>
                <w:rtl/>
              </w:rPr>
            </w:pPr>
            <w:r w:rsidRPr="006A357B">
              <w:rPr>
                <w:rFonts w:hint="cs"/>
                <w:b/>
                <w:bCs/>
                <w:sz w:val="18"/>
                <w:szCs w:val="18"/>
                <w:rtl/>
              </w:rPr>
              <w:t>0</w:t>
            </w:r>
          </w:p>
        </w:tc>
        <w:tc>
          <w:tcPr>
            <w:tcW w:w="366" w:type="pct"/>
            <w:vAlign w:val="bottom"/>
          </w:tcPr>
          <w:p w14:paraId="09A9BC62" w14:textId="77777777" w:rsidR="00ED1082" w:rsidRPr="006A357B" w:rsidRDefault="00ED1082" w:rsidP="00ED1082">
            <w:pPr>
              <w:pStyle w:val="-3"/>
              <w:jc w:val="left"/>
              <w:rPr>
                <w:b/>
                <w:bCs/>
                <w:sz w:val="18"/>
                <w:szCs w:val="18"/>
                <w:rtl/>
              </w:rPr>
            </w:pPr>
            <w:r w:rsidRPr="006A357B">
              <w:rPr>
                <w:rFonts w:hint="cs"/>
                <w:b/>
                <w:bCs/>
                <w:sz w:val="18"/>
                <w:szCs w:val="18"/>
                <w:rtl/>
              </w:rPr>
              <w:t>0</w:t>
            </w:r>
          </w:p>
        </w:tc>
        <w:tc>
          <w:tcPr>
            <w:tcW w:w="262" w:type="pct"/>
            <w:tcMar>
              <w:left w:w="58" w:type="dxa"/>
              <w:right w:w="58" w:type="dxa"/>
            </w:tcMar>
            <w:vAlign w:val="bottom"/>
          </w:tcPr>
          <w:p w14:paraId="4FACAE7A" w14:textId="77777777" w:rsidR="00ED1082" w:rsidRPr="006A357B" w:rsidRDefault="00ED1082" w:rsidP="00ED1082">
            <w:pPr>
              <w:pStyle w:val="-3"/>
              <w:rPr>
                <w:b/>
                <w:bCs/>
                <w:sz w:val="18"/>
                <w:szCs w:val="18"/>
                <w:rtl/>
              </w:rPr>
            </w:pPr>
            <w:r w:rsidRPr="006A357B">
              <w:rPr>
                <w:rFonts w:hint="cs"/>
                <w:b/>
                <w:bCs/>
                <w:sz w:val="18"/>
                <w:szCs w:val="18"/>
                <w:rtl/>
              </w:rPr>
              <w:t>0</w:t>
            </w:r>
          </w:p>
        </w:tc>
        <w:tc>
          <w:tcPr>
            <w:tcW w:w="530" w:type="pct"/>
            <w:vAlign w:val="bottom"/>
          </w:tcPr>
          <w:p w14:paraId="2EAE64F9" w14:textId="77777777" w:rsidR="00ED1082" w:rsidRPr="006A357B" w:rsidRDefault="00ED1082" w:rsidP="00ED1082">
            <w:pPr>
              <w:pStyle w:val="-3"/>
              <w:rPr>
                <w:b/>
                <w:bCs/>
                <w:sz w:val="18"/>
                <w:szCs w:val="18"/>
                <w:rtl/>
              </w:rPr>
            </w:pPr>
            <w:r w:rsidRPr="006A357B">
              <w:rPr>
                <w:rFonts w:hint="cs"/>
                <w:b/>
                <w:bCs/>
                <w:sz w:val="18"/>
                <w:szCs w:val="18"/>
                <w:rtl/>
              </w:rPr>
              <w:t>0</w:t>
            </w:r>
          </w:p>
        </w:tc>
        <w:tc>
          <w:tcPr>
            <w:tcW w:w="596" w:type="pct"/>
            <w:tcBorders>
              <w:right w:val="nil"/>
            </w:tcBorders>
            <w:vAlign w:val="bottom"/>
          </w:tcPr>
          <w:p w14:paraId="73647873" w14:textId="77777777" w:rsidR="00ED1082" w:rsidRPr="006A357B" w:rsidRDefault="00ED1082" w:rsidP="00ED1082">
            <w:pPr>
              <w:pStyle w:val="-3"/>
              <w:rPr>
                <w:b/>
                <w:bCs/>
                <w:sz w:val="18"/>
                <w:szCs w:val="18"/>
                <w:rtl/>
              </w:rPr>
            </w:pPr>
            <w:r w:rsidRPr="006A357B">
              <w:rPr>
                <w:rFonts w:hint="cs"/>
                <w:b/>
                <w:bCs/>
                <w:sz w:val="18"/>
                <w:szCs w:val="18"/>
                <w:rtl/>
              </w:rPr>
              <w:t>0</w:t>
            </w:r>
          </w:p>
        </w:tc>
      </w:tr>
    </w:tbl>
    <w:p w14:paraId="3E398F13" w14:textId="77777777" w:rsidR="00143C73" w:rsidRDefault="00143C73" w:rsidP="00CA1378">
      <w:pPr>
        <w:spacing w:after="120"/>
      </w:pPr>
    </w:p>
    <w:tbl>
      <w:tblPr>
        <w:bidiVisual/>
        <w:tblW w:w="4763" w:type="pct"/>
        <w:tblInd w:w="-60" w:type="dxa"/>
        <w:tblLook w:val="01E0" w:firstRow="1" w:lastRow="1" w:firstColumn="1" w:lastColumn="1" w:noHBand="0" w:noVBand="0"/>
      </w:tblPr>
      <w:tblGrid>
        <w:gridCol w:w="762"/>
        <w:gridCol w:w="737"/>
        <w:gridCol w:w="8224"/>
      </w:tblGrid>
      <w:tr w:rsidR="00EC46DF" w:rsidRPr="00011265" w14:paraId="47B6E1D3" w14:textId="77777777" w:rsidTr="00EC46DF">
        <w:trPr>
          <w:trHeight w:val="259"/>
        </w:trPr>
        <w:tc>
          <w:tcPr>
            <w:tcW w:w="392" w:type="pct"/>
          </w:tcPr>
          <w:p w14:paraId="4132A358" w14:textId="77777777" w:rsidR="004F0CD1" w:rsidRPr="00011265" w:rsidRDefault="004F0CD1" w:rsidP="004F0CD1">
            <w:pPr>
              <w:pStyle w:val="-7"/>
              <w:rPr>
                <w:rtl/>
              </w:rPr>
            </w:pPr>
          </w:p>
        </w:tc>
        <w:tc>
          <w:tcPr>
            <w:tcW w:w="379" w:type="pct"/>
            <w:vAlign w:val="bottom"/>
          </w:tcPr>
          <w:p w14:paraId="4EB13FD5" w14:textId="77777777" w:rsidR="004F0CD1" w:rsidRPr="00011265" w:rsidRDefault="004F0CD1" w:rsidP="004F0CD1">
            <w:pPr>
              <w:pStyle w:val="-7"/>
              <w:rPr>
                <w:rtl/>
              </w:rPr>
            </w:pPr>
          </w:p>
        </w:tc>
        <w:tc>
          <w:tcPr>
            <w:tcW w:w="4229" w:type="pct"/>
            <w:vAlign w:val="bottom"/>
          </w:tcPr>
          <w:p w14:paraId="00EAB88E" w14:textId="5C184EB9" w:rsidR="004F0CD1" w:rsidRPr="003765C0" w:rsidRDefault="004F0CD1" w:rsidP="0059280D">
            <w:pPr>
              <w:pStyle w:val="-f4"/>
              <w:ind w:left="214" w:hanging="214"/>
              <w:rPr>
                <w:sz w:val="18"/>
                <w:szCs w:val="18"/>
                <w:rtl/>
              </w:rPr>
            </w:pPr>
            <w:r w:rsidRPr="003765C0">
              <w:rPr>
                <w:rFonts w:hint="cs"/>
                <w:sz w:val="18"/>
                <w:szCs w:val="18"/>
                <w:rtl/>
              </w:rPr>
              <w:t>2.</w:t>
            </w:r>
            <w:r w:rsidRPr="003765C0">
              <w:rPr>
                <w:sz w:val="18"/>
                <w:szCs w:val="18"/>
                <w:rtl/>
              </w:rPr>
              <w:tab/>
            </w:r>
            <w:r w:rsidRPr="003765C0">
              <w:rPr>
                <w:rFonts w:hint="cs"/>
                <w:sz w:val="18"/>
                <w:szCs w:val="18"/>
                <w:rtl/>
              </w:rPr>
              <w:t xml:space="preserve">לתקופות של שישה חודשים שהסתיימו בימים 30 ביוני </w:t>
            </w:r>
            <w:r w:rsidR="008E75F9" w:rsidRPr="003765C0">
              <w:rPr>
                <w:sz w:val="18"/>
                <w:szCs w:val="18"/>
                <w:rtl/>
              </w:rPr>
              <w:fldChar w:fldCharType="begin"/>
            </w:r>
            <w:r w:rsidR="008E75F9" w:rsidRPr="003765C0">
              <w:rPr>
                <w:sz w:val="18"/>
                <w:szCs w:val="18"/>
                <w:rtl/>
              </w:rPr>
              <w:instrText xml:space="preserve"> </w:instrText>
            </w:r>
            <w:r w:rsidR="008E75F9" w:rsidRPr="003765C0">
              <w:rPr>
                <w:rFonts w:hint="cs"/>
                <w:sz w:val="18"/>
                <w:szCs w:val="18"/>
                <w:rtl/>
              </w:rPr>
              <w:instrText xml:space="preserve">= </w:instrText>
            </w:r>
            <w:r w:rsidR="008E75F9" w:rsidRPr="003765C0">
              <w:rPr>
                <w:rFonts w:hint="cs"/>
                <w:sz w:val="18"/>
                <w:szCs w:val="18"/>
              </w:rPr>
              <w:instrText>CY \* MERGEFORMAT</w:instrText>
            </w:r>
            <w:r w:rsidR="008E75F9" w:rsidRPr="003765C0">
              <w:rPr>
                <w:sz w:val="18"/>
                <w:szCs w:val="18"/>
                <w:rtl/>
              </w:rPr>
              <w:instrText xml:space="preserve"> </w:instrText>
            </w:r>
            <w:r w:rsidR="008E75F9" w:rsidRPr="003765C0">
              <w:rPr>
                <w:sz w:val="18"/>
                <w:szCs w:val="18"/>
                <w:rtl/>
              </w:rPr>
              <w:fldChar w:fldCharType="separate"/>
            </w:r>
            <w:r w:rsidR="003A584F" w:rsidRPr="003765C0">
              <w:rPr>
                <w:noProof/>
                <w:sz w:val="18"/>
                <w:szCs w:val="18"/>
                <w:rtl/>
              </w:rPr>
              <w:t>2024</w:t>
            </w:r>
            <w:r w:rsidR="008E75F9" w:rsidRPr="003765C0">
              <w:rPr>
                <w:sz w:val="18"/>
                <w:szCs w:val="18"/>
                <w:rtl/>
              </w:rPr>
              <w:fldChar w:fldCharType="end"/>
            </w:r>
            <w:r w:rsidR="00D90825" w:rsidRPr="003765C0">
              <w:rPr>
                <w:sz w:val="18"/>
                <w:szCs w:val="18"/>
              </w:rPr>
              <w:t xml:space="preserve"> </w:t>
            </w:r>
            <w:r w:rsidRPr="003765C0">
              <w:rPr>
                <w:rFonts w:hint="cs"/>
                <w:sz w:val="18"/>
                <w:szCs w:val="18"/>
                <w:rtl/>
              </w:rPr>
              <w:t xml:space="preserve">ו-30 ביוני </w:t>
            </w:r>
            <w:r w:rsidR="008E75F9" w:rsidRPr="003765C0">
              <w:rPr>
                <w:sz w:val="18"/>
                <w:szCs w:val="18"/>
                <w:rtl/>
              </w:rPr>
              <w:fldChar w:fldCharType="begin"/>
            </w:r>
            <w:r w:rsidR="008E75F9" w:rsidRPr="003765C0">
              <w:rPr>
                <w:sz w:val="18"/>
                <w:szCs w:val="18"/>
                <w:rtl/>
              </w:rPr>
              <w:instrText xml:space="preserve"> </w:instrText>
            </w:r>
            <w:r w:rsidR="008E75F9" w:rsidRPr="003765C0">
              <w:rPr>
                <w:rFonts w:hint="cs"/>
                <w:sz w:val="18"/>
                <w:szCs w:val="18"/>
                <w:rtl/>
              </w:rPr>
              <w:instrText xml:space="preserve">= </w:instrText>
            </w:r>
            <w:r w:rsidR="008E75F9" w:rsidRPr="003765C0">
              <w:rPr>
                <w:rFonts w:hint="cs"/>
                <w:sz w:val="18"/>
                <w:szCs w:val="18"/>
              </w:rPr>
              <w:instrText>CY</w:instrText>
            </w:r>
            <w:r w:rsidR="008E75F9" w:rsidRPr="003765C0">
              <w:rPr>
                <w:sz w:val="18"/>
                <w:szCs w:val="18"/>
              </w:rPr>
              <w:instrText>-1</w:instrText>
            </w:r>
            <w:r w:rsidR="008E75F9" w:rsidRPr="003765C0">
              <w:rPr>
                <w:rFonts w:hint="cs"/>
                <w:sz w:val="18"/>
                <w:szCs w:val="18"/>
              </w:rPr>
              <w:instrText xml:space="preserve"> \* MERGEFORMAT</w:instrText>
            </w:r>
            <w:r w:rsidR="008E75F9" w:rsidRPr="003765C0">
              <w:rPr>
                <w:sz w:val="18"/>
                <w:szCs w:val="18"/>
                <w:rtl/>
              </w:rPr>
              <w:instrText xml:space="preserve"> </w:instrText>
            </w:r>
            <w:r w:rsidR="008E75F9" w:rsidRPr="003765C0">
              <w:rPr>
                <w:sz w:val="18"/>
                <w:szCs w:val="18"/>
                <w:rtl/>
              </w:rPr>
              <w:fldChar w:fldCharType="separate"/>
            </w:r>
            <w:r w:rsidR="003A584F" w:rsidRPr="003765C0">
              <w:rPr>
                <w:noProof/>
                <w:sz w:val="18"/>
                <w:szCs w:val="18"/>
                <w:rtl/>
              </w:rPr>
              <w:t>2023</w:t>
            </w:r>
            <w:r w:rsidR="008E75F9" w:rsidRPr="003765C0">
              <w:rPr>
                <w:sz w:val="18"/>
                <w:szCs w:val="18"/>
                <w:rtl/>
              </w:rPr>
              <w:fldChar w:fldCharType="end"/>
            </w:r>
            <w:r w:rsidR="008E75F9" w:rsidRPr="003765C0">
              <w:rPr>
                <w:rFonts w:hint="cs"/>
                <w:sz w:val="18"/>
                <w:szCs w:val="18"/>
                <w:rtl/>
              </w:rPr>
              <w:t xml:space="preserve"> </w:t>
            </w:r>
            <w:r w:rsidRPr="003765C0">
              <w:rPr>
                <w:rFonts w:hint="cs"/>
                <w:sz w:val="18"/>
                <w:szCs w:val="18"/>
                <w:rtl/>
              </w:rPr>
              <w:t>(בלתי מבוקר):</w:t>
            </w:r>
          </w:p>
        </w:tc>
      </w:tr>
    </w:tbl>
    <w:p w14:paraId="4E022502" w14:textId="77777777" w:rsidR="00F32A2A" w:rsidRPr="006C017A" w:rsidRDefault="00F32A2A">
      <w:pPr>
        <w:bidi w:val="0"/>
        <w:spacing w:line="120" w:lineRule="exact"/>
        <w:rPr>
          <w:sz w:val="8"/>
          <w:szCs w:val="8"/>
          <w:rtl/>
        </w:rPr>
      </w:pPr>
    </w:p>
    <w:tbl>
      <w:tblPr>
        <w:bidiVisual/>
        <w:tblW w:w="5183" w:type="pct"/>
        <w:tblInd w:w="-95" w:type="dxa"/>
        <w:tblBorders>
          <w:right w:val="single" w:sz="4" w:space="0" w:color="auto"/>
        </w:tblBorders>
        <w:tblLook w:val="04A0" w:firstRow="1" w:lastRow="0" w:firstColumn="1" w:lastColumn="0" w:noHBand="0" w:noVBand="1"/>
      </w:tblPr>
      <w:tblGrid>
        <w:gridCol w:w="2302"/>
        <w:gridCol w:w="1132"/>
        <w:gridCol w:w="1003"/>
        <w:gridCol w:w="1139"/>
        <w:gridCol w:w="1272"/>
        <w:gridCol w:w="777"/>
        <w:gridCol w:w="542"/>
        <w:gridCol w:w="1134"/>
        <w:gridCol w:w="1280"/>
      </w:tblGrid>
      <w:tr w:rsidR="00FD6E97" w:rsidRPr="000035FE" w14:paraId="473F7C41" w14:textId="77777777" w:rsidTr="006A357B">
        <w:trPr>
          <w:trHeight w:val="259"/>
        </w:trPr>
        <w:tc>
          <w:tcPr>
            <w:tcW w:w="1088" w:type="pct"/>
            <w:tcBorders>
              <w:bottom w:val="nil"/>
            </w:tcBorders>
            <w:vAlign w:val="bottom"/>
          </w:tcPr>
          <w:p w14:paraId="43529C5C" w14:textId="77777777" w:rsidR="00ED1082" w:rsidRPr="000035FE" w:rsidRDefault="00ED1082" w:rsidP="004F0CD1">
            <w:pPr>
              <w:pStyle w:val="-0"/>
              <w:ind w:left="0" w:firstLine="0"/>
              <w:rPr>
                <w:b/>
                <w:bCs/>
                <w:sz w:val="18"/>
                <w:szCs w:val="18"/>
                <w:rtl/>
              </w:rPr>
            </w:pPr>
          </w:p>
        </w:tc>
        <w:tc>
          <w:tcPr>
            <w:tcW w:w="535" w:type="pct"/>
          </w:tcPr>
          <w:p w14:paraId="53455F12" w14:textId="77777777" w:rsidR="00ED1082" w:rsidRPr="00FD6E97" w:rsidRDefault="00ED1082" w:rsidP="00EA192D">
            <w:pPr>
              <w:pStyle w:val="-3"/>
              <w:jc w:val="center"/>
              <w:rPr>
                <w:b/>
                <w:bCs/>
                <w:sz w:val="17"/>
                <w:szCs w:val="17"/>
                <w:rtl/>
              </w:rPr>
            </w:pPr>
          </w:p>
        </w:tc>
        <w:tc>
          <w:tcPr>
            <w:tcW w:w="2236" w:type="pct"/>
            <w:gridSpan w:val="5"/>
            <w:tcMar>
              <w:left w:w="58" w:type="dxa"/>
              <w:right w:w="58" w:type="dxa"/>
            </w:tcMar>
            <w:vAlign w:val="bottom"/>
          </w:tcPr>
          <w:p w14:paraId="275D13BA" w14:textId="77777777" w:rsidR="00ED1082" w:rsidRPr="00FD6E97" w:rsidRDefault="00ED1082" w:rsidP="00CA1378">
            <w:pPr>
              <w:pStyle w:val="-3"/>
              <w:pBdr>
                <w:bottom w:val="single" w:sz="4" w:space="1" w:color="auto"/>
              </w:pBdr>
              <w:spacing w:after="40" w:line="240" w:lineRule="auto"/>
              <w:jc w:val="center"/>
              <w:rPr>
                <w:sz w:val="17"/>
                <w:szCs w:val="17"/>
                <w:rtl/>
              </w:rPr>
            </w:pPr>
            <w:r w:rsidRPr="00FD6E97">
              <w:rPr>
                <w:rFonts w:hint="eastAsia"/>
                <w:b/>
                <w:bCs/>
                <w:sz w:val="17"/>
                <w:szCs w:val="17"/>
                <w:rtl/>
              </w:rPr>
              <w:t>רווח</w:t>
            </w:r>
            <w:r w:rsidRPr="00FD6E97">
              <w:rPr>
                <w:b/>
                <w:bCs/>
                <w:sz w:val="17"/>
                <w:szCs w:val="17"/>
                <w:rtl/>
              </w:rPr>
              <w:t xml:space="preserve"> </w:t>
            </w:r>
            <w:r w:rsidRPr="00FD6E97">
              <w:rPr>
                <w:rFonts w:hint="eastAsia"/>
                <w:b/>
                <w:bCs/>
                <w:sz w:val="17"/>
                <w:szCs w:val="17"/>
                <w:rtl/>
              </w:rPr>
              <w:t>כולל</w:t>
            </w:r>
            <w:r w:rsidRPr="00FD6E97">
              <w:rPr>
                <w:b/>
                <w:bCs/>
                <w:sz w:val="17"/>
                <w:szCs w:val="17"/>
                <w:rtl/>
              </w:rPr>
              <w:t xml:space="preserve"> </w:t>
            </w:r>
            <w:r w:rsidRPr="00FD6E97">
              <w:rPr>
                <w:rFonts w:hint="eastAsia"/>
                <w:b/>
                <w:bCs/>
                <w:sz w:val="17"/>
                <w:szCs w:val="17"/>
                <w:rtl/>
              </w:rPr>
              <w:t>אחר</w:t>
            </w:r>
            <w:r w:rsidRPr="00FD6E97">
              <w:rPr>
                <w:b/>
                <w:bCs/>
                <w:sz w:val="17"/>
                <w:szCs w:val="17"/>
                <w:rtl/>
              </w:rPr>
              <w:t xml:space="preserve"> </w:t>
            </w:r>
            <w:r w:rsidRPr="00FD6E97">
              <w:rPr>
                <w:rFonts w:hint="eastAsia"/>
                <w:b/>
                <w:bCs/>
                <w:sz w:val="17"/>
                <w:szCs w:val="17"/>
                <w:rtl/>
              </w:rPr>
              <w:t>לפני</w:t>
            </w:r>
            <w:r w:rsidRPr="00FD6E97">
              <w:rPr>
                <w:b/>
                <w:bCs/>
                <w:sz w:val="17"/>
                <w:szCs w:val="17"/>
                <w:rtl/>
              </w:rPr>
              <w:t xml:space="preserve"> </w:t>
            </w:r>
            <w:r w:rsidRPr="00FD6E97">
              <w:rPr>
                <w:rFonts w:hint="eastAsia"/>
                <w:b/>
                <w:bCs/>
                <w:sz w:val="17"/>
                <w:szCs w:val="17"/>
                <w:rtl/>
              </w:rPr>
              <w:t>ייחוס</w:t>
            </w:r>
            <w:r w:rsidRPr="00FD6E97">
              <w:rPr>
                <w:b/>
                <w:bCs/>
                <w:sz w:val="17"/>
                <w:szCs w:val="17"/>
                <w:rtl/>
              </w:rPr>
              <w:t xml:space="preserve"> </w:t>
            </w:r>
            <w:r w:rsidRPr="00FD6E97">
              <w:rPr>
                <w:rFonts w:hint="eastAsia"/>
                <w:b/>
                <w:bCs/>
                <w:sz w:val="17"/>
                <w:szCs w:val="17"/>
                <w:rtl/>
              </w:rPr>
              <w:t>לבעלי</w:t>
            </w:r>
            <w:r w:rsidRPr="00FD6E97">
              <w:rPr>
                <w:b/>
                <w:bCs/>
                <w:sz w:val="17"/>
                <w:szCs w:val="17"/>
                <w:rtl/>
              </w:rPr>
              <w:t xml:space="preserve"> </w:t>
            </w:r>
            <w:r w:rsidRPr="00FD6E97">
              <w:rPr>
                <w:rFonts w:hint="eastAsia"/>
                <w:b/>
                <w:bCs/>
                <w:sz w:val="17"/>
                <w:szCs w:val="17"/>
                <w:rtl/>
              </w:rPr>
              <w:t>זכויות</w:t>
            </w:r>
            <w:r w:rsidRPr="00FD6E97">
              <w:rPr>
                <w:b/>
                <w:bCs/>
                <w:sz w:val="17"/>
                <w:szCs w:val="17"/>
                <w:rtl/>
              </w:rPr>
              <w:t xml:space="preserve"> </w:t>
            </w:r>
            <w:r w:rsidRPr="00FD6E97">
              <w:rPr>
                <w:rFonts w:hint="eastAsia"/>
                <w:b/>
                <w:bCs/>
                <w:sz w:val="17"/>
                <w:szCs w:val="17"/>
                <w:rtl/>
              </w:rPr>
              <w:t>שאינן</w:t>
            </w:r>
            <w:r w:rsidRPr="00FD6E97">
              <w:rPr>
                <w:b/>
                <w:bCs/>
                <w:sz w:val="17"/>
                <w:szCs w:val="17"/>
                <w:rtl/>
              </w:rPr>
              <w:t xml:space="preserve"> </w:t>
            </w:r>
            <w:r w:rsidRPr="00FD6E97">
              <w:rPr>
                <w:rFonts w:hint="eastAsia"/>
                <w:b/>
                <w:bCs/>
                <w:sz w:val="17"/>
                <w:szCs w:val="17"/>
                <w:rtl/>
              </w:rPr>
              <w:t>מקנות</w:t>
            </w:r>
            <w:r w:rsidRPr="00FD6E97">
              <w:rPr>
                <w:b/>
                <w:bCs/>
                <w:sz w:val="17"/>
                <w:szCs w:val="17"/>
                <w:rtl/>
              </w:rPr>
              <w:t xml:space="preserve"> </w:t>
            </w:r>
            <w:r w:rsidRPr="00FD6E97">
              <w:rPr>
                <w:rFonts w:hint="eastAsia"/>
                <w:b/>
                <w:bCs/>
                <w:sz w:val="17"/>
                <w:szCs w:val="17"/>
                <w:rtl/>
              </w:rPr>
              <w:t>שליטה</w:t>
            </w:r>
          </w:p>
        </w:tc>
        <w:tc>
          <w:tcPr>
            <w:tcW w:w="536" w:type="pct"/>
            <w:vMerge w:val="restart"/>
            <w:vAlign w:val="bottom"/>
          </w:tcPr>
          <w:p w14:paraId="38CA8669" w14:textId="77777777" w:rsidR="00ED1082" w:rsidRPr="00FD6E97" w:rsidRDefault="00ED1082" w:rsidP="004F0CD1">
            <w:pPr>
              <w:pStyle w:val="-3"/>
              <w:pBdr>
                <w:bottom w:val="single" w:sz="4" w:space="1" w:color="auto"/>
              </w:pBdr>
              <w:spacing w:line="240" w:lineRule="auto"/>
              <w:jc w:val="center"/>
              <w:rPr>
                <w:sz w:val="17"/>
                <w:szCs w:val="17"/>
                <w:rtl/>
              </w:rPr>
            </w:pPr>
            <w:r w:rsidRPr="00FD6E97">
              <w:rPr>
                <w:rFonts w:hint="eastAsia"/>
                <w:b/>
                <w:bCs/>
                <w:sz w:val="17"/>
                <w:szCs w:val="17"/>
                <w:rtl/>
              </w:rPr>
              <w:t>רווח</w:t>
            </w:r>
            <w:r w:rsidRPr="00FD6E97">
              <w:rPr>
                <w:b/>
                <w:bCs/>
                <w:sz w:val="17"/>
                <w:szCs w:val="17"/>
                <w:rtl/>
              </w:rPr>
              <w:t xml:space="preserve"> </w:t>
            </w:r>
            <w:r w:rsidRPr="00FD6E97">
              <w:rPr>
                <w:rFonts w:hint="eastAsia"/>
                <w:b/>
                <w:bCs/>
                <w:sz w:val="17"/>
                <w:szCs w:val="17"/>
                <w:rtl/>
              </w:rPr>
              <w:t>כולל</w:t>
            </w:r>
            <w:r w:rsidRPr="00FD6E97">
              <w:rPr>
                <w:b/>
                <w:bCs/>
                <w:sz w:val="17"/>
                <w:szCs w:val="17"/>
                <w:rtl/>
              </w:rPr>
              <w:t xml:space="preserve"> </w:t>
            </w:r>
            <w:r w:rsidRPr="00FD6E97">
              <w:rPr>
                <w:rFonts w:hint="eastAsia"/>
                <w:b/>
                <w:bCs/>
                <w:sz w:val="17"/>
                <w:szCs w:val="17"/>
                <w:rtl/>
              </w:rPr>
              <w:t>אחר</w:t>
            </w:r>
            <w:r w:rsidRPr="00FD6E97">
              <w:rPr>
                <w:b/>
                <w:bCs/>
                <w:sz w:val="17"/>
                <w:szCs w:val="17"/>
                <w:rtl/>
              </w:rPr>
              <w:t xml:space="preserve"> </w:t>
            </w:r>
            <w:r w:rsidRPr="00FD6E97">
              <w:rPr>
                <w:rFonts w:hint="eastAsia"/>
                <w:b/>
                <w:bCs/>
                <w:sz w:val="17"/>
                <w:szCs w:val="17"/>
                <w:rtl/>
              </w:rPr>
              <w:t>המיוחס</w:t>
            </w:r>
            <w:r w:rsidRPr="00FD6E97">
              <w:rPr>
                <w:b/>
                <w:bCs/>
                <w:sz w:val="17"/>
                <w:szCs w:val="17"/>
                <w:rtl/>
              </w:rPr>
              <w:t xml:space="preserve"> </w:t>
            </w:r>
            <w:r w:rsidRPr="00FD6E97">
              <w:rPr>
                <w:rFonts w:hint="eastAsia"/>
                <w:b/>
                <w:bCs/>
                <w:sz w:val="17"/>
                <w:szCs w:val="17"/>
                <w:rtl/>
              </w:rPr>
              <w:t>לבעלי</w:t>
            </w:r>
            <w:r w:rsidRPr="00FD6E97">
              <w:rPr>
                <w:b/>
                <w:bCs/>
                <w:sz w:val="17"/>
                <w:szCs w:val="17"/>
                <w:rtl/>
              </w:rPr>
              <w:t xml:space="preserve"> </w:t>
            </w:r>
            <w:r w:rsidRPr="00FD6E97">
              <w:rPr>
                <w:rFonts w:hint="eastAsia"/>
                <w:b/>
                <w:bCs/>
                <w:sz w:val="17"/>
                <w:szCs w:val="17"/>
                <w:rtl/>
              </w:rPr>
              <w:t>זכויות</w:t>
            </w:r>
            <w:r w:rsidRPr="00FD6E97">
              <w:rPr>
                <w:b/>
                <w:bCs/>
                <w:sz w:val="17"/>
                <w:szCs w:val="17"/>
                <w:rtl/>
              </w:rPr>
              <w:t xml:space="preserve"> </w:t>
            </w:r>
            <w:r w:rsidRPr="00FD6E97">
              <w:rPr>
                <w:rFonts w:hint="eastAsia"/>
                <w:b/>
                <w:bCs/>
                <w:sz w:val="17"/>
                <w:szCs w:val="17"/>
                <w:rtl/>
              </w:rPr>
              <w:t>שאינן</w:t>
            </w:r>
            <w:r w:rsidRPr="00FD6E97">
              <w:rPr>
                <w:b/>
                <w:bCs/>
                <w:sz w:val="17"/>
                <w:szCs w:val="17"/>
                <w:rtl/>
              </w:rPr>
              <w:t xml:space="preserve"> </w:t>
            </w:r>
            <w:r w:rsidRPr="00FD6E97">
              <w:rPr>
                <w:rFonts w:hint="eastAsia"/>
                <w:b/>
                <w:bCs/>
                <w:sz w:val="17"/>
                <w:szCs w:val="17"/>
                <w:rtl/>
              </w:rPr>
              <w:t>מקנות</w:t>
            </w:r>
            <w:r w:rsidRPr="00FD6E97">
              <w:rPr>
                <w:b/>
                <w:bCs/>
                <w:sz w:val="17"/>
                <w:szCs w:val="17"/>
                <w:rtl/>
              </w:rPr>
              <w:t xml:space="preserve"> </w:t>
            </w:r>
            <w:r w:rsidRPr="00FD6E97">
              <w:rPr>
                <w:rFonts w:hint="eastAsia"/>
                <w:b/>
                <w:bCs/>
                <w:sz w:val="17"/>
                <w:szCs w:val="17"/>
                <w:rtl/>
              </w:rPr>
              <w:t>שליטה</w:t>
            </w:r>
          </w:p>
        </w:tc>
        <w:tc>
          <w:tcPr>
            <w:tcW w:w="605" w:type="pct"/>
            <w:vMerge w:val="restart"/>
            <w:tcBorders>
              <w:right w:val="nil"/>
            </w:tcBorders>
            <w:vAlign w:val="bottom"/>
          </w:tcPr>
          <w:p w14:paraId="4C933AB1" w14:textId="77777777" w:rsidR="00ED1082" w:rsidRPr="00FD6E97" w:rsidRDefault="00ED1082" w:rsidP="004F0CD1">
            <w:pPr>
              <w:pStyle w:val="-3"/>
              <w:pBdr>
                <w:bottom w:val="single" w:sz="4" w:space="1" w:color="auto"/>
              </w:pBdr>
              <w:spacing w:line="240" w:lineRule="auto"/>
              <w:jc w:val="center"/>
              <w:rPr>
                <w:sz w:val="17"/>
                <w:szCs w:val="17"/>
                <w:rtl/>
              </w:rPr>
            </w:pPr>
            <w:r w:rsidRPr="00FD6E97">
              <w:rPr>
                <w:rFonts w:hint="eastAsia"/>
                <w:b/>
                <w:bCs/>
                <w:sz w:val="17"/>
                <w:szCs w:val="17"/>
                <w:rtl/>
              </w:rPr>
              <w:t>רווח</w:t>
            </w:r>
            <w:r w:rsidRPr="00FD6E97">
              <w:rPr>
                <w:b/>
                <w:bCs/>
                <w:sz w:val="17"/>
                <w:szCs w:val="17"/>
                <w:rtl/>
              </w:rPr>
              <w:t xml:space="preserve"> </w:t>
            </w:r>
            <w:r w:rsidRPr="00FD6E97">
              <w:rPr>
                <w:rFonts w:hint="eastAsia"/>
                <w:b/>
                <w:bCs/>
                <w:sz w:val="17"/>
                <w:szCs w:val="17"/>
                <w:rtl/>
              </w:rPr>
              <w:t>כולל</w:t>
            </w:r>
            <w:r w:rsidRPr="00FD6E97">
              <w:rPr>
                <w:b/>
                <w:bCs/>
                <w:sz w:val="17"/>
                <w:szCs w:val="17"/>
                <w:rtl/>
              </w:rPr>
              <w:t xml:space="preserve"> </w:t>
            </w:r>
            <w:r w:rsidRPr="00FD6E97">
              <w:rPr>
                <w:rFonts w:hint="eastAsia"/>
                <w:b/>
                <w:bCs/>
                <w:sz w:val="17"/>
                <w:szCs w:val="17"/>
                <w:rtl/>
              </w:rPr>
              <w:t>אחר</w:t>
            </w:r>
            <w:r w:rsidRPr="00FD6E97">
              <w:rPr>
                <w:b/>
                <w:bCs/>
                <w:sz w:val="17"/>
                <w:szCs w:val="17"/>
                <w:rtl/>
              </w:rPr>
              <w:t xml:space="preserve"> </w:t>
            </w:r>
            <w:r w:rsidRPr="00FD6E97">
              <w:rPr>
                <w:rFonts w:hint="eastAsia"/>
                <w:b/>
                <w:bCs/>
                <w:sz w:val="17"/>
                <w:szCs w:val="17"/>
                <w:rtl/>
              </w:rPr>
              <w:t>המיוחס</w:t>
            </w:r>
            <w:r w:rsidRPr="00FD6E97">
              <w:rPr>
                <w:b/>
                <w:bCs/>
                <w:sz w:val="17"/>
                <w:szCs w:val="17"/>
                <w:rtl/>
              </w:rPr>
              <w:t xml:space="preserve"> </w:t>
            </w:r>
            <w:r w:rsidRPr="00FD6E97">
              <w:rPr>
                <w:rFonts w:hint="eastAsia"/>
                <w:b/>
                <w:bCs/>
                <w:sz w:val="17"/>
                <w:szCs w:val="17"/>
                <w:rtl/>
              </w:rPr>
              <w:t>לבעלי</w:t>
            </w:r>
            <w:r w:rsidRPr="00FD6E97">
              <w:rPr>
                <w:b/>
                <w:bCs/>
                <w:sz w:val="17"/>
                <w:szCs w:val="17"/>
                <w:rtl/>
              </w:rPr>
              <w:t xml:space="preserve"> </w:t>
            </w:r>
            <w:r w:rsidRPr="00FD6E97">
              <w:rPr>
                <w:rFonts w:hint="eastAsia"/>
                <w:b/>
                <w:bCs/>
                <w:sz w:val="17"/>
                <w:szCs w:val="17"/>
                <w:rtl/>
              </w:rPr>
              <w:t>מניות</w:t>
            </w:r>
            <w:r w:rsidRPr="00FD6E97">
              <w:rPr>
                <w:b/>
                <w:bCs/>
                <w:sz w:val="17"/>
                <w:szCs w:val="17"/>
                <w:rtl/>
              </w:rPr>
              <w:t xml:space="preserve"> </w:t>
            </w:r>
            <w:r w:rsidRPr="00FD6E97">
              <w:rPr>
                <w:rFonts w:hint="eastAsia"/>
                <w:b/>
                <w:bCs/>
                <w:sz w:val="17"/>
                <w:szCs w:val="17"/>
                <w:rtl/>
              </w:rPr>
              <w:t>התאגיד</w:t>
            </w:r>
            <w:r w:rsidRPr="00FD6E97">
              <w:rPr>
                <w:b/>
                <w:bCs/>
                <w:sz w:val="17"/>
                <w:szCs w:val="17"/>
                <w:rtl/>
              </w:rPr>
              <w:t xml:space="preserve"> </w:t>
            </w:r>
            <w:r w:rsidRPr="00FD6E97">
              <w:rPr>
                <w:rFonts w:hint="eastAsia"/>
                <w:b/>
                <w:bCs/>
                <w:sz w:val="17"/>
                <w:szCs w:val="17"/>
                <w:rtl/>
              </w:rPr>
              <w:t>הבנקאי</w:t>
            </w:r>
          </w:p>
        </w:tc>
      </w:tr>
      <w:tr w:rsidR="00FD6E97" w:rsidRPr="000035FE" w14:paraId="1C6A7F52" w14:textId="77777777" w:rsidTr="006A357B">
        <w:trPr>
          <w:trHeight w:val="259"/>
        </w:trPr>
        <w:tc>
          <w:tcPr>
            <w:tcW w:w="1088" w:type="pct"/>
            <w:tcBorders>
              <w:left w:val="nil"/>
            </w:tcBorders>
            <w:vAlign w:val="bottom"/>
          </w:tcPr>
          <w:p w14:paraId="698EAF4A" w14:textId="77777777" w:rsidR="008C32E9" w:rsidRPr="000035FE" w:rsidRDefault="008C32E9" w:rsidP="008C32E9">
            <w:pPr>
              <w:pStyle w:val="-0"/>
              <w:ind w:left="0" w:firstLine="0"/>
              <w:jc w:val="center"/>
              <w:rPr>
                <w:b/>
                <w:bCs/>
                <w:sz w:val="18"/>
                <w:szCs w:val="18"/>
                <w:rtl/>
              </w:rPr>
            </w:pPr>
          </w:p>
        </w:tc>
        <w:tc>
          <w:tcPr>
            <w:tcW w:w="535" w:type="pct"/>
            <w:tcMar>
              <w:left w:w="58" w:type="dxa"/>
              <w:right w:w="58" w:type="dxa"/>
            </w:tcMar>
            <w:vAlign w:val="bottom"/>
          </w:tcPr>
          <w:p w14:paraId="21E79662" w14:textId="633DF554" w:rsidR="008C32E9" w:rsidRPr="00FD6E97" w:rsidRDefault="00F97BEA" w:rsidP="00A674A4">
            <w:pPr>
              <w:pStyle w:val="-3"/>
              <w:pBdr>
                <w:bottom w:val="single" w:sz="4" w:space="1" w:color="auto"/>
              </w:pBdr>
              <w:jc w:val="center"/>
              <w:rPr>
                <w:b/>
                <w:bCs/>
                <w:sz w:val="17"/>
                <w:szCs w:val="17"/>
                <w:rtl/>
              </w:rPr>
            </w:pPr>
            <w:r w:rsidRPr="00FD6E97">
              <w:rPr>
                <w:rFonts w:hint="eastAsia"/>
                <w:b/>
                <w:bCs/>
                <w:sz w:val="17"/>
                <w:szCs w:val="17"/>
                <w:rtl/>
              </w:rPr>
              <w:t>התאמות</w:t>
            </w:r>
            <w:r w:rsidRPr="00FD6E97">
              <w:rPr>
                <w:b/>
                <w:bCs/>
                <w:sz w:val="17"/>
                <w:szCs w:val="17"/>
                <w:rtl/>
              </w:rPr>
              <w:t xml:space="preserve"> </w:t>
            </w:r>
            <w:r w:rsidRPr="00FD6E97">
              <w:rPr>
                <w:rFonts w:hint="eastAsia"/>
                <w:b/>
                <w:bCs/>
                <w:sz w:val="17"/>
                <w:szCs w:val="17"/>
                <w:rtl/>
              </w:rPr>
              <w:t>בגין</w:t>
            </w:r>
            <w:r w:rsidRPr="00FD6E97">
              <w:rPr>
                <w:b/>
                <w:bCs/>
                <w:sz w:val="17"/>
                <w:szCs w:val="17"/>
                <w:rtl/>
              </w:rPr>
              <w:t xml:space="preserve"> </w:t>
            </w:r>
            <w:r w:rsidRPr="00FD6E97">
              <w:rPr>
                <w:rFonts w:hint="eastAsia"/>
                <w:b/>
                <w:bCs/>
                <w:sz w:val="17"/>
                <w:szCs w:val="17"/>
                <w:rtl/>
              </w:rPr>
              <w:t>הצגת</w:t>
            </w:r>
            <w:r w:rsidRPr="00FD6E97">
              <w:rPr>
                <w:b/>
                <w:bCs/>
                <w:sz w:val="17"/>
                <w:szCs w:val="17"/>
                <w:rtl/>
              </w:rPr>
              <w:t xml:space="preserve"> </w:t>
            </w:r>
            <w:r w:rsidR="00A674A4" w:rsidRPr="00FD6E97">
              <w:rPr>
                <w:rFonts w:hint="cs"/>
                <w:b/>
                <w:bCs/>
                <w:sz w:val="17"/>
                <w:szCs w:val="17"/>
                <w:rtl/>
              </w:rPr>
              <w:t>אגרות</w:t>
            </w:r>
            <w:r w:rsidRPr="00FD6E97">
              <w:rPr>
                <w:rFonts w:hint="cs"/>
                <w:b/>
                <w:bCs/>
                <w:sz w:val="17"/>
                <w:szCs w:val="17"/>
                <w:rtl/>
              </w:rPr>
              <w:t xml:space="preserve"> חוב</w:t>
            </w:r>
            <w:r w:rsidRPr="00FD6E97">
              <w:rPr>
                <w:b/>
                <w:bCs/>
                <w:sz w:val="17"/>
                <w:szCs w:val="17"/>
                <w:rtl/>
              </w:rPr>
              <w:t xml:space="preserve"> </w:t>
            </w:r>
            <w:r w:rsidRPr="00FD6E97">
              <w:rPr>
                <w:rFonts w:hint="eastAsia"/>
                <w:b/>
                <w:bCs/>
                <w:sz w:val="17"/>
                <w:szCs w:val="17"/>
                <w:rtl/>
              </w:rPr>
              <w:t>זמינ</w:t>
            </w:r>
            <w:r w:rsidRPr="00FD6E97">
              <w:rPr>
                <w:rFonts w:hint="cs"/>
                <w:b/>
                <w:bCs/>
                <w:sz w:val="17"/>
                <w:szCs w:val="17"/>
                <w:rtl/>
              </w:rPr>
              <w:t>ות</w:t>
            </w:r>
            <w:r w:rsidRPr="00FD6E97">
              <w:rPr>
                <w:b/>
                <w:bCs/>
                <w:sz w:val="17"/>
                <w:szCs w:val="17"/>
                <w:rtl/>
              </w:rPr>
              <w:t xml:space="preserve"> </w:t>
            </w:r>
            <w:r w:rsidRPr="00FD6E97">
              <w:rPr>
                <w:rFonts w:hint="eastAsia"/>
                <w:b/>
                <w:bCs/>
                <w:sz w:val="17"/>
                <w:szCs w:val="17"/>
                <w:rtl/>
              </w:rPr>
              <w:t>למכירה</w:t>
            </w:r>
            <w:r w:rsidRPr="00FD6E97">
              <w:rPr>
                <w:rFonts w:hint="cs"/>
                <w:b/>
                <w:bCs/>
                <w:sz w:val="17"/>
                <w:szCs w:val="17"/>
                <w:rtl/>
              </w:rPr>
              <w:t xml:space="preserve"> </w:t>
            </w:r>
            <w:r w:rsidRPr="00FD6E97">
              <w:rPr>
                <w:rFonts w:hint="eastAsia"/>
                <w:b/>
                <w:bCs/>
                <w:sz w:val="17"/>
                <w:szCs w:val="17"/>
                <w:rtl/>
              </w:rPr>
              <w:t>לפי</w:t>
            </w:r>
            <w:r w:rsidRPr="00FD6E97">
              <w:rPr>
                <w:b/>
                <w:bCs/>
                <w:sz w:val="17"/>
                <w:szCs w:val="17"/>
                <w:rtl/>
              </w:rPr>
              <w:t xml:space="preserve"> </w:t>
            </w:r>
            <w:r w:rsidRPr="00FD6E97">
              <w:rPr>
                <w:rFonts w:hint="eastAsia"/>
                <w:b/>
                <w:bCs/>
                <w:sz w:val="17"/>
                <w:szCs w:val="17"/>
                <w:rtl/>
              </w:rPr>
              <w:t>שווי</w:t>
            </w:r>
            <w:r w:rsidRPr="00FD6E97">
              <w:rPr>
                <w:b/>
                <w:bCs/>
                <w:sz w:val="17"/>
                <w:szCs w:val="17"/>
                <w:rtl/>
              </w:rPr>
              <w:t xml:space="preserve"> </w:t>
            </w:r>
            <w:r w:rsidRPr="00FD6E97">
              <w:rPr>
                <w:rFonts w:hint="eastAsia"/>
                <w:b/>
                <w:bCs/>
                <w:sz w:val="17"/>
                <w:szCs w:val="17"/>
                <w:rtl/>
              </w:rPr>
              <w:t>הוגן</w:t>
            </w:r>
            <w:r w:rsidR="00287440" w:rsidRPr="00FD6E97">
              <w:rPr>
                <w:rFonts w:hint="cs"/>
                <w:sz w:val="17"/>
                <w:szCs w:val="17"/>
                <w:vertAlign w:val="superscript"/>
                <w:rtl/>
              </w:rPr>
              <w:t>(א)</w:t>
            </w:r>
          </w:p>
        </w:tc>
        <w:tc>
          <w:tcPr>
            <w:tcW w:w="474" w:type="pct"/>
            <w:vAlign w:val="bottom"/>
          </w:tcPr>
          <w:p w14:paraId="4C80E1AD" w14:textId="24DED95E" w:rsidR="008C32E9" w:rsidRPr="00FD6E97" w:rsidRDefault="008C32E9" w:rsidP="008C32E9">
            <w:pPr>
              <w:pStyle w:val="-4"/>
              <w:pBdr>
                <w:bottom w:val="single" w:sz="4" w:space="1" w:color="auto"/>
              </w:pBdr>
              <w:spacing w:line="240" w:lineRule="auto"/>
              <w:rPr>
                <w:sz w:val="17"/>
                <w:szCs w:val="17"/>
                <w:rtl/>
              </w:rPr>
            </w:pPr>
            <w:r w:rsidRPr="00FD6E97">
              <w:rPr>
                <w:rFonts w:hint="eastAsia"/>
                <w:sz w:val="17"/>
                <w:szCs w:val="17"/>
                <w:rtl/>
              </w:rPr>
              <w:t>התאמות</w:t>
            </w:r>
            <w:r w:rsidRPr="00FD6E97">
              <w:rPr>
                <w:sz w:val="17"/>
                <w:szCs w:val="17"/>
                <w:rtl/>
              </w:rPr>
              <w:t xml:space="preserve"> </w:t>
            </w:r>
            <w:r w:rsidRPr="00FD6E97">
              <w:rPr>
                <w:rFonts w:hint="eastAsia"/>
                <w:sz w:val="17"/>
                <w:szCs w:val="17"/>
                <w:rtl/>
              </w:rPr>
              <w:t>מתרגום</w:t>
            </w:r>
            <w:r w:rsidRPr="00FD6E97">
              <w:rPr>
                <w:sz w:val="17"/>
                <w:szCs w:val="17"/>
                <w:rtl/>
              </w:rPr>
              <w:t>,</w:t>
            </w:r>
            <w:r w:rsidRPr="00FD6E97">
              <w:rPr>
                <w:rFonts w:hint="cs"/>
                <w:sz w:val="17"/>
                <w:szCs w:val="17"/>
                <w:vertAlign w:val="superscript"/>
                <w:rtl/>
              </w:rPr>
              <w:t>(</w:t>
            </w:r>
            <w:r w:rsidR="006A7E78" w:rsidRPr="00FD6E97">
              <w:rPr>
                <w:rFonts w:hint="cs"/>
                <w:sz w:val="17"/>
                <w:szCs w:val="17"/>
                <w:vertAlign w:val="superscript"/>
                <w:rtl/>
              </w:rPr>
              <w:t>ב</w:t>
            </w:r>
            <w:r w:rsidRPr="00FD6E97">
              <w:rPr>
                <w:rFonts w:hint="cs"/>
                <w:sz w:val="17"/>
                <w:szCs w:val="17"/>
                <w:vertAlign w:val="superscript"/>
                <w:rtl/>
              </w:rPr>
              <w:t xml:space="preserve">) </w:t>
            </w:r>
            <w:r w:rsidRPr="00FD6E97">
              <w:rPr>
                <w:rFonts w:hint="eastAsia"/>
                <w:sz w:val="17"/>
                <w:szCs w:val="17"/>
                <w:rtl/>
              </w:rPr>
              <w:t>נטו</w:t>
            </w:r>
            <w:r w:rsidRPr="00FD6E97">
              <w:rPr>
                <w:sz w:val="17"/>
                <w:szCs w:val="17"/>
                <w:rtl/>
              </w:rPr>
              <w:t xml:space="preserve"> </w:t>
            </w:r>
            <w:r w:rsidRPr="00FD6E97">
              <w:rPr>
                <w:rFonts w:hint="eastAsia"/>
                <w:sz w:val="17"/>
                <w:szCs w:val="17"/>
                <w:rtl/>
              </w:rPr>
              <w:t>לאחר</w:t>
            </w:r>
            <w:r w:rsidRPr="00FD6E97">
              <w:rPr>
                <w:sz w:val="17"/>
                <w:szCs w:val="17"/>
                <w:rtl/>
              </w:rPr>
              <w:t xml:space="preserve"> השפעת גידורים</w:t>
            </w:r>
            <w:r w:rsidRPr="00FD6E97">
              <w:rPr>
                <w:rFonts w:hint="cs"/>
                <w:sz w:val="17"/>
                <w:szCs w:val="17"/>
                <w:vertAlign w:val="superscript"/>
                <w:rtl/>
              </w:rPr>
              <w:t>(</w:t>
            </w:r>
            <w:r w:rsidR="006A7E78" w:rsidRPr="00FD6E97">
              <w:rPr>
                <w:rFonts w:hint="cs"/>
                <w:sz w:val="17"/>
                <w:szCs w:val="17"/>
                <w:vertAlign w:val="superscript"/>
                <w:rtl/>
              </w:rPr>
              <w:t>ג</w:t>
            </w:r>
            <w:r w:rsidRPr="00FD6E97">
              <w:rPr>
                <w:rFonts w:hint="cs"/>
                <w:sz w:val="17"/>
                <w:szCs w:val="17"/>
                <w:vertAlign w:val="superscript"/>
                <w:rtl/>
              </w:rPr>
              <w:t>)</w:t>
            </w:r>
          </w:p>
        </w:tc>
        <w:tc>
          <w:tcPr>
            <w:tcW w:w="538" w:type="pct"/>
          </w:tcPr>
          <w:p w14:paraId="1267C29E" w14:textId="77777777" w:rsidR="008C32E9" w:rsidRPr="00FD6E97" w:rsidRDefault="008C32E9" w:rsidP="008C32E9">
            <w:pPr>
              <w:pStyle w:val="-3"/>
              <w:pBdr>
                <w:bottom w:val="single" w:sz="4" w:space="1" w:color="auto"/>
              </w:pBdr>
              <w:jc w:val="center"/>
              <w:rPr>
                <w:b/>
                <w:bCs/>
                <w:sz w:val="17"/>
                <w:szCs w:val="17"/>
                <w:rtl/>
              </w:rPr>
            </w:pPr>
            <w:r w:rsidRPr="00FD6E97">
              <w:rPr>
                <w:b/>
                <w:bCs/>
                <w:sz w:val="17"/>
                <w:szCs w:val="17"/>
                <w:rtl/>
              </w:rPr>
              <w:t>רווחים (הפסדים) נטו בגין גידורי תזרים מזומנים</w:t>
            </w:r>
          </w:p>
        </w:tc>
        <w:tc>
          <w:tcPr>
            <w:tcW w:w="601" w:type="pct"/>
            <w:vAlign w:val="bottom"/>
          </w:tcPr>
          <w:p w14:paraId="31A1D6FB" w14:textId="77777777" w:rsidR="008C32E9" w:rsidRPr="00FD6E97" w:rsidRDefault="00F33F7E" w:rsidP="008C32E9">
            <w:pPr>
              <w:pStyle w:val="-3"/>
              <w:pBdr>
                <w:bottom w:val="single" w:sz="4" w:space="1" w:color="auto"/>
              </w:pBdr>
              <w:jc w:val="center"/>
              <w:rPr>
                <w:b/>
                <w:bCs/>
                <w:sz w:val="17"/>
                <w:szCs w:val="17"/>
                <w:rtl/>
              </w:rPr>
            </w:pPr>
            <w:r w:rsidRPr="00FD6E97">
              <w:rPr>
                <w:b/>
                <w:bCs/>
                <w:sz w:val="17"/>
                <w:szCs w:val="17"/>
                <w:rtl/>
              </w:rPr>
              <w:t xml:space="preserve">התאמות בגין </w:t>
            </w:r>
            <w:r w:rsidRPr="00FD6E97">
              <w:rPr>
                <w:rFonts w:hint="cs"/>
                <w:b/>
                <w:bCs/>
                <w:sz w:val="17"/>
                <w:szCs w:val="17"/>
                <w:rtl/>
              </w:rPr>
              <w:t xml:space="preserve">רכיבים שלא נכללו בהערכת אפקטיביות </w:t>
            </w:r>
            <w:r w:rsidRPr="00FD6E97">
              <w:rPr>
                <w:b/>
                <w:bCs/>
                <w:sz w:val="17"/>
                <w:szCs w:val="17"/>
                <w:rtl/>
              </w:rPr>
              <w:t>גידור שווי הוגן</w:t>
            </w:r>
          </w:p>
        </w:tc>
        <w:tc>
          <w:tcPr>
            <w:tcW w:w="367" w:type="pct"/>
            <w:vAlign w:val="bottom"/>
          </w:tcPr>
          <w:p w14:paraId="28C11BC6" w14:textId="77777777" w:rsidR="008C32E9" w:rsidRPr="00FD6E97" w:rsidRDefault="008C32E9" w:rsidP="008C32E9">
            <w:pPr>
              <w:pStyle w:val="-3"/>
              <w:pBdr>
                <w:bottom w:val="single" w:sz="4" w:space="1" w:color="auto"/>
              </w:pBdr>
              <w:spacing w:line="240" w:lineRule="auto"/>
              <w:ind w:left="-28" w:right="-28"/>
              <w:jc w:val="center"/>
              <w:rPr>
                <w:b/>
                <w:bCs/>
                <w:color w:val="000000"/>
                <w:sz w:val="17"/>
                <w:szCs w:val="17"/>
                <w:rtl/>
                <w:lang w:eastAsia="he-IL"/>
              </w:rPr>
            </w:pPr>
            <w:r w:rsidRPr="00FD6E97">
              <w:rPr>
                <w:rFonts w:hint="eastAsia"/>
                <w:b/>
                <w:bCs/>
                <w:sz w:val="17"/>
                <w:szCs w:val="17"/>
                <w:rtl/>
              </w:rPr>
              <w:t>התאמות</w:t>
            </w:r>
            <w:r w:rsidRPr="00FD6E97">
              <w:rPr>
                <w:b/>
                <w:bCs/>
                <w:sz w:val="17"/>
                <w:szCs w:val="17"/>
                <w:rtl/>
              </w:rPr>
              <w:t xml:space="preserve"> </w:t>
            </w:r>
            <w:r w:rsidRPr="00FD6E97">
              <w:rPr>
                <w:rFonts w:hint="eastAsia"/>
                <w:b/>
                <w:bCs/>
                <w:sz w:val="17"/>
                <w:szCs w:val="17"/>
                <w:rtl/>
              </w:rPr>
              <w:t>בגין</w:t>
            </w:r>
            <w:r w:rsidRPr="00FD6E97">
              <w:rPr>
                <w:b/>
                <w:bCs/>
                <w:sz w:val="17"/>
                <w:szCs w:val="17"/>
                <w:rtl/>
              </w:rPr>
              <w:t xml:space="preserve"> </w:t>
            </w:r>
            <w:r w:rsidRPr="00FD6E97">
              <w:rPr>
                <w:rFonts w:hint="eastAsia"/>
                <w:b/>
                <w:bCs/>
                <w:sz w:val="17"/>
                <w:szCs w:val="17"/>
                <w:rtl/>
              </w:rPr>
              <w:t>הטבות</w:t>
            </w:r>
            <w:r w:rsidRPr="00FD6E97">
              <w:rPr>
                <w:b/>
                <w:bCs/>
                <w:sz w:val="17"/>
                <w:szCs w:val="17"/>
                <w:rtl/>
              </w:rPr>
              <w:t xml:space="preserve"> </w:t>
            </w:r>
            <w:r w:rsidRPr="00FD6E97">
              <w:rPr>
                <w:rFonts w:hint="eastAsia"/>
                <w:b/>
                <w:bCs/>
                <w:sz w:val="17"/>
                <w:szCs w:val="17"/>
                <w:rtl/>
              </w:rPr>
              <w:t>לעובדים</w:t>
            </w:r>
          </w:p>
        </w:tc>
        <w:tc>
          <w:tcPr>
            <w:tcW w:w="256" w:type="pct"/>
            <w:tcMar>
              <w:left w:w="58" w:type="dxa"/>
              <w:right w:w="58" w:type="dxa"/>
            </w:tcMar>
            <w:vAlign w:val="bottom"/>
          </w:tcPr>
          <w:p w14:paraId="13534470" w14:textId="77777777" w:rsidR="008C32E9" w:rsidRPr="00FD6E97" w:rsidRDefault="008C32E9" w:rsidP="008C32E9">
            <w:pPr>
              <w:pStyle w:val="-3"/>
              <w:pBdr>
                <w:bottom w:val="single" w:sz="4" w:space="1" w:color="auto"/>
              </w:pBdr>
              <w:jc w:val="center"/>
              <w:rPr>
                <w:b/>
                <w:bCs/>
                <w:sz w:val="17"/>
                <w:szCs w:val="17"/>
              </w:rPr>
            </w:pPr>
            <w:r w:rsidRPr="00FD6E97">
              <w:rPr>
                <w:rFonts w:hint="eastAsia"/>
                <w:b/>
                <w:bCs/>
                <w:sz w:val="17"/>
                <w:szCs w:val="17"/>
                <w:rtl/>
              </w:rPr>
              <w:t>סה</w:t>
            </w:r>
            <w:r w:rsidRPr="00FD6E97">
              <w:rPr>
                <w:b/>
                <w:bCs/>
                <w:sz w:val="17"/>
                <w:szCs w:val="17"/>
                <w:rtl/>
              </w:rPr>
              <w:t>"כ</w:t>
            </w:r>
          </w:p>
        </w:tc>
        <w:tc>
          <w:tcPr>
            <w:tcW w:w="536" w:type="pct"/>
            <w:vMerge/>
            <w:vAlign w:val="bottom"/>
          </w:tcPr>
          <w:p w14:paraId="7C75376E" w14:textId="77777777" w:rsidR="008C32E9" w:rsidRPr="00FD6E97" w:rsidRDefault="008C32E9" w:rsidP="008C32E9">
            <w:pPr>
              <w:pStyle w:val="-3"/>
              <w:pBdr>
                <w:bottom w:val="single" w:sz="4" w:space="1" w:color="auto"/>
              </w:pBdr>
              <w:jc w:val="center"/>
              <w:rPr>
                <w:b/>
                <w:bCs/>
                <w:sz w:val="17"/>
                <w:szCs w:val="17"/>
                <w:rtl/>
              </w:rPr>
            </w:pPr>
          </w:p>
        </w:tc>
        <w:tc>
          <w:tcPr>
            <w:tcW w:w="605" w:type="pct"/>
            <w:vMerge/>
            <w:tcBorders>
              <w:right w:val="nil"/>
            </w:tcBorders>
            <w:vAlign w:val="bottom"/>
          </w:tcPr>
          <w:p w14:paraId="37DC6063" w14:textId="77777777" w:rsidR="008C32E9" w:rsidRPr="00FD6E97" w:rsidRDefault="008C32E9" w:rsidP="008C32E9">
            <w:pPr>
              <w:pStyle w:val="-3"/>
              <w:pBdr>
                <w:bottom w:val="single" w:sz="4" w:space="1" w:color="auto"/>
              </w:pBdr>
              <w:jc w:val="center"/>
              <w:rPr>
                <w:b/>
                <w:bCs/>
                <w:sz w:val="17"/>
                <w:szCs w:val="17"/>
                <w:rtl/>
              </w:rPr>
            </w:pPr>
          </w:p>
        </w:tc>
      </w:tr>
      <w:tr w:rsidR="00FD6E97" w:rsidRPr="000035FE" w14:paraId="676E95E2" w14:textId="77777777" w:rsidTr="006A357B">
        <w:tc>
          <w:tcPr>
            <w:tcW w:w="1088" w:type="pct"/>
            <w:vAlign w:val="bottom"/>
          </w:tcPr>
          <w:p w14:paraId="3CA33FF6" w14:textId="77777777" w:rsidR="00ED1082" w:rsidRPr="000035FE" w:rsidRDefault="00ED1082" w:rsidP="004F0CD1">
            <w:pPr>
              <w:pStyle w:val="-0"/>
              <w:spacing w:line="120" w:lineRule="exact"/>
              <w:ind w:left="0" w:firstLine="0"/>
              <w:jc w:val="center"/>
              <w:rPr>
                <w:b/>
                <w:bCs/>
                <w:sz w:val="18"/>
                <w:szCs w:val="18"/>
                <w:rtl/>
              </w:rPr>
            </w:pPr>
          </w:p>
        </w:tc>
        <w:tc>
          <w:tcPr>
            <w:tcW w:w="535" w:type="pct"/>
            <w:tcMar>
              <w:left w:w="58" w:type="dxa"/>
              <w:right w:w="58" w:type="dxa"/>
            </w:tcMar>
            <w:vAlign w:val="bottom"/>
          </w:tcPr>
          <w:p w14:paraId="5DD98BAB" w14:textId="77777777" w:rsidR="00ED1082" w:rsidRPr="000035FE" w:rsidRDefault="00ED1082" w:rsidP="004F0CD1">
            <w:pPr>
              <w:pStyle w:val="-3"/>
              <w:spacing w:line="120" w:lineRule="exact"/>
              <w:jc w:val="center"/>
              <w:rPr>
                <w:b/>
                <w:bCs/>
                <w:sz w:val="18"/>
                <w:szCs w:val="18"/>
                <w:rtl/>
              </w:rPr>
            </w:pPr>
          </w:p>
        </w:tc>
        <w:tc>
          <w:tcPr>
            <w:tcW w:w="474" w:type="pct"/>
            <w:vAlign w:val="bottom"/>
          </w:tcPr>
          <w:p w14:paraId="7DD00E03" w14:textId="77777777" w:rsidR="00ED1082" w:rsidRPr="000035FE" w:rsidRDefault="00ED1082" w:rsidP="004F0CD1">
            <w:pPr>
              <w:pStyle w:val="-3"/>
              <w:spacing w:line="120" w:lineRule="exact"/>
              <w:jc w:val="center"/>
              <w:rPr>
                <w:b/>
                <w:bCs/>
                <w:sz w:val="18"/>
                <w:szCs w:val="18"/>
                <w:rtl/>
              </w:rPr>
            </w:pPr>
          </w:p>
        </w:tc>
        <w:tc>
          <w:tcPr>
            <w:tcW w:w="538" w:type="pct"/>
          </w:tcPr>
          <w:p w14:paraId="31B682B3" w14:textId="77777777" w:rsidR="00ED1082" w:rsidRPr="000035FE" w:rsidRDefault="00ED1082" w:rsidP="004F0CD1">
            <w:pPr>
              <w:pStyle w:val="-3"/>
              <w:spacing w:line="120" w:lineRule="exact"/>
              <w:jc w:val="center"/>
              <w:rPr>
                <w:b/>
                <w:bCs/>
                <w:sz w:val="18"/>
                <w:szCs w:val="18"/>
                <w:rtl/>
              </w:rPr>
            </w:pPr>
          </w:p>
        </w:tc>
        <w:tc>
          <w:tcPr>
            <w:tcW w:w="601" w:type="pct"/>
            <w:vAlign w:val="bottom"/>
          </w:tcPr>
          <w:p w14:paraId="41C0DF60" w14:textId="77777777" w:rsidR="00ED1082" w:rsidRPr="000035FE" w:rsidRDefault="00ED1082" w:rsidP="004F0CD1">
            <w:pPr>
              <w:pStyle w:val="-3"/>
              <w:spacing w:line="120" w:lineRule="exact"/>
              <w:jc w:val="center"/>
              <w:rPr>
                <w:b/>
                <w:bCs/>
                <w:sz w:val="18"/>
                <w:szCs w:val="18"/>
                <w:rtl/>
              </w:rPr>
            </w:pPr>
          </w:p>
        </w:tc>
        <w:tc>
          <w:tcPr>
            <w:tcW w:w="367" w:type="pct"/>
            <w:vAlign w:val="bottom"/>
          </w:tcPr>
          <w:p w14:paraId="1F463141" w14:textId="77777777" w:rsidR="00ED1082" w:rsidRPr="000035FE" w:rsidRDefault="00ED1082" w:rsidP="004F0CD1">
            <w:pPr>
              <w:pStyle w:val="-3"/>
              <w:spacing w:line="120" w:lineRule="exact"/>
              <w:jc w:val="center"/>
              <w:rPr>
                <w:b/>
                <w:bCs/>
                <w:sz w:val="18"/>
                <w:szCs w:val="18"/>
                <w:rtl/>
              </w:rPr>
            </w:pPr>
          </w:p>
        </w:tc>
        <w:tc>
          <w:tcPr>
            <w:tcW w:w="256" w:type="pct"/>
            <w:tcMar>
              <w:left w:w="58" w:type="dxa"/>
              <w:right w:w="58" w:type="dxa"/>
            </w:tcMar>
            <w:vAlign w:val="bottom"/>
          </w:tcPr>
          <w:p w14:paraId="62DC5A1C" w14:textId="77777777" w:rsidR="00ED1082" w:rsidRPr="000035FE" w:rsidRDefault="00ED1082" w:rsidP="004F0CD1">
            <w:pPr>
              <w:pStyle w:val="-3"/>
              <w:spacing w:line="120" w:lineRule="exact"/>
              <w:jc w:val="center"/>
              <w:rPr>
                <w:b/>
                <w:bCs/>
                <w:sz w:val="18"/>
                <w:szCs w:val="18"/>
                <w:rtl/>
              </w:rPr>
            </w:pPr>
          </w:p>
        </w:tc>
        <w:tc>
          <w:tcPr>
            <w:tcW w:w="536" w:type="pct"/>
            <w:vAlign w:val="bottom"/>
          </w:tcPr>
          <w:p w14:paraId="3A79D9A9" w14:textId="77777777" w:rsidR="00ED1082" w:rsidRPr="000035FE" w:rsidRDefault="00ED1082" w:rsidP="004F0CD1">
            <w:pPr>
              <w:pStyle w:val="-3"/>
              <w:spacing w:line="120" w:lineRule="exact"/>
              <w:jc w:val="center"/>
              <w:rPr>
                <w:b/>
                <w:bCs/>
                <w:sz w:val="18"/>
                <w:szCs w:val="18"/>
                <w:rtl/>
              </w:rPr>
            </w:pPr>
          </w:p>
        </w:tc>
        <w:tc>
          <w:tcPr>
            <w:tcW w:w="605" w:type="pct"/>
            <w:tcBorders>
              <w:right w:val="nil"/>
            </w:tcBorders>
            <w:vAlign w:val="bottom"/>
          </w:tcPr>
          <w:p w14:paraId="6F9FFB0A" w14:textId="77777777" w:rsidR="00ED1082" w:rsidRPr="000035FE" w:rsidRDefault="00ED1082" w:rsidP="004F0CD1">
            <w:pPr>
              <w:pStyle w:val="-3"/>
              <w:spacing w:line="120" w:lineRule="exact"/>
              <w:jc w:val="center"/>
              <w:rPr>
                <w:b/>
                <w:bCs/>
                <w:sz w:val="18"/>
                <w:szCs w:val="18"/>
                <w:rtl/>
              </w:rPr>
            </w:pPr>
          </w:p>
        </w:tc>
      </w:tr>
      <w:tr w:rsidR="00FD6E97" w:rsidRPr="000035FE" w14:paraId="58A26EEA" w14:textId="77777777" w:rsidTr="006A357B">
        <w:trPr>
          <w:trHeight w:val="259"/>
        </w:trPr>
        <w:tc>
          <w:tcPr>
            <w:tcW w:w="1088" w:type="pct"/>
            <w:vAlign w:val="bottom"/>
          </w:tcPr>
          <w:p w14:paraId="1878E4A2" w14:textId="74CCFA8D" w:rsidR="00ED1082" w:rsidRPr="000035FE" w:rsidRDefault="00ED1082" w:rsidP="00ED1082">
            <w:pPr>
              <w:pStyle w:val="-0"/>
              <w:ind w:left="0" w:firstLine="0"/>
              <w:rPr>
                <w:b/>
                <w:bCs/>
                <w:sz w:val="18"/>
                <w:szCs w:val="18"/>
                <w:rtl/>
              </w:rPr>
            </w:pPr>
            <w:r w:rsidRPr="000035FE">
              <w:rPr>
                <w:rFonts w:hint="cs"/>
                <w:b/>
                <w:bCs/>
                <w:sz w:val="18"/>
                <w:szCs w:val="18"/>
                <w:rtl/>
              </w:rPr>
              <w:t xml:space="preserve">יתרה ליום </w:t>
            </w:r>
            <w:r>
              <w:rPr>
                <w:rFonts w:hint="cs"/>
                <w:b/>
                <w:bCs/>
                <w:sz w:val="18"/>
                <w:szCs w:val="18"/>
                <w:rtl/>
              </w:rPr>
              <w:t xml:space="preserve">31 בדצמבר </w:t>
            </w:r>
            <w:r w:rsidR="00890250" w:rsidRPr="006F1E84">
              <w:rPr>
                <w:b/>
                <w:bCs/>
                <w:sz w:val="14"/>
                <w:szCs w:val="14"/>
                <w:rtl/>
              </w:rPr>
              <w:fldChar w:fldCharType="begin"/>
            </w:r>
            <w:r w:rsidR="00890250" w:rsidRPr="006F1E84">
              <w:rPr>
                <w:b/>
                <w:bCs/>
                <w:sz w:val="14"/>
                <w:szCs w:val="14"/>
                <w:rtl/>
              </w:rPr>
              <w:instrText xml:space="preserve"> </w:instrText>
            </w:r>
            <w:r w:rsidR="00890250" w:rsidRPr="006F1E84">
              <w:rPr>
                <w:rFonts w:hint="cs"/>
                <w:b/>
                <w:bCs/>
                <w:sz w:val="14"/>
                <w:szCs w:val="14"/>
                <w:rtl/>
              </w:rPr>
              <w:instrText xml:space="preserve">= </w:instrText>
            </w:r>
            <w:r w:rsidR="00890250" w:rsidRPr="006F1E84">
              <w:rPr>
                <w:rFonts w:hint="cs"/>
                <w:b/>
                <w:bCs/>
                <w:sz w:val="14"/>
                <w:szCs w:val="14"/>
              </w:rPr>
              <w:instrText>CY</w:instrText>
            </w:r>
            <w:r w:rsidR="00890250" w:rsidRPr="006F1E84">
              <w:rPr>
                <w:b/>
                <w:bCs/>
                <w:sz w:val="14"/>
                <w:szCs w:val="14"/>
              </w:rPr>
              <w:instrText>-1</w:instrText>
            </w:r>
            <w:r w:rsidR="00890250" w:rsidRPr="006F1E84">
              <w:rPr>
                <w:rFonts w:hint="cs"/>
                <w:b/>
                <w:bCs/>
                <w:sz w:val="14"/>
                <w:szCs w:val="14"/>
              </w:rPr>
              <w:instrText xml:space="preserve"> \* MERGEFORMAT</w:instrText>
            </w:r>
            <w:r w:rsidR="00890250" w:rsidRPr="006F1E84">
              <w:rPr>
                <w:b/>
                <w:bCs/>
                <w:sz w:val="14"/>
                <w:szCs w:val="14"/>
                <w:rtl/>
              </w:rPr>
              <w:instrText xml:space="preserve"> </w:instrText>
            </w:r>
            <w:r w:rsidR="00890250" w:rsidRPr="006F1E84">
              <w:rPr>
                <w:b/>
                <w:bCs/>
                <w:sz w:val="14"/>
                <w:szCs w:val="14"/>
                <w:rtl/>
              </w:rPr>
              <w:fldChar w:fldCharType="separate"/>
            </w:r>
            <w:r w:rsidR="003A584F" w:rsidRPr="003A584F">
              <w:rPr>
                <w:b/>
                <w:bCs/>
                <w:noProof/>
                <w:sz w:val="18"/>
                <w:szCs w:val="18"/>
                <w:rtl/>
              </w:rPr>
              <w:t>2023</w:t>
            </w:r>
            <w:r w:rsidR="00890250" w:rsidRPr="006F1E84">
              <w:rPr>
                <w:b/>
                <w:bCs/>
                <w:sz w:val="14"/>
                <w:szCs w:val="14"/>
                <w:rtl/>
              </w:rPr>
              <w:fldChar w:fldCharType="end"/>
            </w:r>
          </w:p>
        </w:tc>
        <w:tc>
          <w:tcPr>
            <w:tcW w:w="535" w:type="pct"/>
            <w:tcMar>
              <w:left w:w="58" w:type="dxa"/>
              <w:right w:w="58" w:type="dxa"/>
            </w:tcMar>
            <w:vAlign w:val="bottom"/>
          </w:tcPr>
          <w:p w14:paraId="70E7D30C" w14:textId="77777777" w:rsidR="00ED1082" w:rsidRPr="000035FE" w:rsidRDefault="00ED1082" w:rsidP="00ED1082">
            <w:pPr>
              <w:pStyle w:val="-3"/>
              <w:rPr>
                <w:sz w:val="18"/>
                <w:szCs w:val="18"/>
                <w:rtl/>
              </w:rPr>
            </w:pPr>
            <w:r w:rsidRPr="000035FE">
              <w:rPr>
                <w:rFonts w:hint="cs"/>
                <w:sz w:val="18"/>
                <w:szCs w:val="18"/>
                <w:rtl/>
              </w:rPr>
              <w:t xml:space="preserve"> </w:t>
            </w:r>
            <w:r w:rsidRPr="000035FE">
              <w:rPr>
                <w:sz w:val="18"/>
                <w:szCs w:val="18"/>
                <w:rtl/>
              </w:rPr>
              <w:t>0</w:t>
            </w:r>
          </w:p>
        </w:tc>
        <w:tc>
          <w:tcPr>
            <w:tcW w:w="474" w:type="pct"/>
            <w:vAlign w:val="bottom"/>
          </w:tcPr>
          <w:p w14:paraId="0898560B" w14:textId="77777777" w:rsidR="00ED1082" w:rsidRPr="000035FE" w:rsidRDefault="00ED1082" w:rsidP="00ED1082">
            <w:pPr>
              <w:pStyle w:val="-3"/>
              <w:rPr>
                <w:sz w:val="18"/>
                <w:szCs w:val="18"/>
                <w:rtl/>
              </w:rPr>
            </w:pPr>
            <w:r w:rsidRPr="000035FE">
              <w:rPr>
                <w:rFonts w:hint="cs"/>
                <w:sz w:val="18"/>
                <w:szCs w:val="18"/>
                <w:rtl/>
              </w:rPr>
              <w:t xml:space="preserve"> </w:t>
            </w:r>
            <w:r w:rsidRPr="000035FE">
              <w:rPr>
                <w:sz w:val="18"/>
                <w:szCs w:val="18"/>
                <w:rtl/>
              </w:rPr>
              <w:t>0</w:t>
            </w:r>
          </w:p>
        </w:tc>
        <w:tc>
          <w:tcPr>
            <w:tcW w:w="538" w:type="pct"/>
            <w:vAlign w:val="bottom"/>
          </w:tcPr>
          <w:p w14:paraId="5729A003" w14:textId="77777777" w:rsidR="00ED1082" w:rsidRPr="000035FE" w:rsidRDefault="00ED1082" w:rsidP="00ED1082">
            <w:pPr>
              <w:pStyle w:val="-3"/>
              <w:rPr>
                <w:sz w:val="18"/>
                <w:szCs w:val="18"/>
                <w:rtl/>
              </w:rPr>
            </w:pPr>
            <w:r w:rsidRPr="000035FE">
              <w:rPr>
                <w:rFonts w:hint="cs"/>
                <w:sz w:val="18"/>
                <w:szCs w:val="18"/>
                <w:rtl/>
              </w:rPr>
              <w:t xml:space="preserve"> </w:t>
            </w:r>
            <w:r w:rsidRPr="000035FE">
              <w:rPr>
                <w:sz w:val="18"/>
                <w:szCs w:val="18"/>
                <w:rtl/>
              </w:rPr>
              <w:t>0</w:t>
            </w:r>
          </w:p>
        </w:tc>
        <w:tc>
          <w:tcPr>
            <w:tcW w:w="601" w:type="pct"/>
            <w:vAlign w:val="bottom"/>
          </w:tcPr>
          <w:p w14:paraId="72EC7FE2" w14:textId="77777777" w:rsidR="00ED1082" w:rsidRPr="000035FE" w:rsidRDefault="00ED1082" w:rsidP="00ED1082">
            <w:pPr>
              <w:pStyle w:val="-3"/>
              <w:rPr>
                <w:sz w:val="18"/>
                <w:szCs w:val="18"/>
                <w:rtl/>
              </w:rPr>
            </w:pPr>
            <w:r w:rsidRPr="000035FE">
              <w:rPr>
                <w:rFonts w:hint="cs"/>
                <w:sz w:val="18"/>
                <w:szCs w:val="18"/>
                <w:rtl/>
              </w:rPr>
              <w:t xml:space="preserve"> </w:t>
            </w:r>
            <w:r w:rsidRPr="000035FE">
              <w:rPr>
                <w:sz w:val="18"/>
                <w:szCs w:val="18"/>
                <w:rtl/>
              </w:rPr>
              <w:t>0</w:t>
            </w:r>
          </w:p>
        </w:tc>
        <w:tc>
          <w:tcPr>
            <w:tcW w:w="367" w:type="pct"/>
            <w:vAlign w:val="bottom"/>
          </w:tcPr>
          <w:p w14:paraId="75F2F769" w14:textId="77777777" w:rsidR="00ED1082" w:rsidRPr="000035FE" w:rsidRDefault="00ED1082" w:rsidP="00ED1082">
            <w:pPr>
              <w:pStyle w:val="-3"/>
              <w:jc w:val="left"/>
              <w:rPr>
                <w:sz w:val="18"/>
                <w:szCs w:val="18"/>
                <w:rtl/>
              </w:rPr>
            </w:pPr>
            <w:r w:rsidRPr="000035FE">
              <w:rPr>
                <w:rFonts w:hint="cs"/>
                <w:sz w:val="18"/>
                <w:szCs w:val="18"/>
                <w:rtl/>
              </w:rPr>
              <w:t xml:space="preserve"> </w:t>
            </w:r>
            <w:r w:rsidRPr="000035FE">
              <w:rPr>
                <w:sz w:val="18"/>
                <w:szCs w:val="18"/>
                <w:rtl/>
              </w:rPr>
              <w:t>0</w:t>
            </w:r>
          </w:p>
        </w:tc>
        <w:tc>
          <w:tcPr>
            <w:tcW w:w="256" w:type="pct"/>
            <w:tcMar>
              <w:left w:w="58" w:type="dxa"/>
              <w:right w:w="58" w:type="dxa"/>
            </w:tcMar>
            <w:vAlign w:val="bottom"/>
          </w:tcPr>
          <w:p w14:paraId="050A7028" w14:textId="77777777" w:rsidR="00ED1082" w:rsidRPr="000035FE" w:rsidRDefault="00ED1082" w:rsidP="00ED1082">
            <w:pPr>
              <w:pStyle w:val="-3"/>
              <w:rPr>
                <w:sz w:val="18"/>
                <w:szCs w:val="18"/>
                <w:rtl/>
              </w:rPr>
            </w:pPr>
            <w:r w:rsidRPr="000035FE">
              <w:rPr>
                <w:rFonts w:hint="cs"/>
                <w:sz w:val="18"/>
                <w:szCs w:val="18"/>
                <w:rtl/>
              </w:rPr>
              <w:t xml:space="preserve"> </w:t>
            </w:r>
            <w:r w:rsidRPr="000035FE">
              <w:rPr>
                <w:sz w:val="18"/>
                <w:szCs w:val="18"/>
                <w:rtl/>
              </w:rPr>
              <w:t>0</w:t>
            </w:r>
          </w:p>
        </w:tc>
        <w:tc>
          <w:tcPr>
            <w:tcW w:w="536" w:type="pct"/>
            <w:vAlign w:val="bottom"/>
          </w:tcPr>
          <w:p w14:paraId="7C7D6F7E" w14:textId="77777777" w:rsidR="00ED1082" w:rsidRPr="000035FE" w:rsidRDefault="00ED1082" w:rsidP="00ED1082">
            <w:pPr>
              <w:pStyle w:val="-3"/>
              <w:rPr>
                <w:sz w:val="18"/>
                <w:szCs w:val="18"/>
                <w:rtl/>
              </w:rPr>
            </w:pPr>
            <w:r w:rsidRPr="000035FE">
              <w:rPr>
                <w:rFonts w:hint="cs"/>
                <w:sz w:val="18"/>
                <w:szCs w:val="18"/>
                <w:rtl/>
              </w:rPr>
              <w:t xml:space="preserve"> </w:t>
            </w:r>
            <w:r w:rsidRPr="000035FE">
              <w:rPr>
                <w:sz w:val="18"/>
                <w:szCs w:val="18"/>
                <w:rtl/>
              </w:rPr>
              <w:t>0</w:t>
            </w:r>
          </w:p>
        </w:tc>
        <w:tc>
          <w:tcPr>
            <w:tcW w:w="605" w:type="pct"/>
            <w:tcBorders>
              <w:right w:val="nil"/>
            </w:tcBorders>
            <w:vAlign w:val="bottom"/>
          </w:tcPr>
          <w:p w14:paraId="732B211E" w14:textId="77777777" w:rsidR="00ED1082" w:rsidRPr="000035FE" w:rsidRDefault="00ED1082" w:rsidP="00ED1082">
            <w:pPr>
              <w:pStyle w:val="-3"/>
              <w:rPr>
                <w:sz w:val="18"/>
                <w:szCs w:val="18"/>
                <w:rtl/>
              </w:rPr>
            </w:pPr>
            <w:r w:rsidRPr="000035FE">
              <w:rPr>
                <w:rFonts w:hint="cs"/>
                <w:sz w:val="18"/>
                <w:szCs w:val="18"/>
                <w:rtl/>
              </w:rPr>
              <w:t xml:space="preserve"> </w:t>
            </w:r>
            <w:r w:rsidRPr="000035FE">
              <w:rPr>
                <w:sz w:val="18"/>
                <w:szCs w:val="18"/>
                <w:rtl/>
              </w:rPr>
              <w:t>0</w:t>
            </w:r>
          </w:p>
        </w:tc>
      </w:tr>
      <w:tr w:rsidR="00FD6E97" w:rsidRPr="000035FE" w14:paraId="6FAC1B4C" w14:textId="77777777" w:rsidTr="006A357B">
        <w:trPr>
          <w:trHeight w:val="259"/>
        </w:trPr>
        <w:tc>
          <w:tcPr>
            <w:tcW w:w="1088" w:type="pct"/>
            <w:vAlign w:val="bottom"/>
          </w:tcPr>
          <w:p w14:paraId="6A85D9F3" w14:textId="77777777" w:rsidR="00ED1082" w:rsidRPr="000035FE" w:rsidRDefault="00ED1082" w:rsidP="00ED1082">
            <w:pPr>
              <w:pStyle w:val="-0"/>
              <w:ind w:left="0" w:firstLine="0"/>
              <w:rPr>
                <w:sz w:val="18"/>
                <w:szCs w:val="18"/>
                <w:rtl/>
              </w:rPr>
            </w:pPr>
            <w:r w:rsidRPr="000035FE">
              <w:rPr>
                <w:rFonts w:hint="cs"/>
                <w:sz w:val="18"/>
                <w:szCs w:val="18"/>
                <w:rtl/>
              </w:rPr>
              <w:t>שינוי נטו במהלך התקופה</w:t>
            </w:r>
          </w:p>
        </w:tc>
        <w:tc>
          <w:tcPr>
            <w:tcW w:w="535" w:type="pct"/>
            <w:tcMar>
              <w:left w:w="58" w:type="dxa"/>
              <w:right w:w="58" w:type="dxa"/>
            </w:tcMar>
            <w:vAlign w:val="bottom"/>
          </w:tcPr>
          <w:p w14:paraId="2C074267" w14:textId="77777777" w:rsidR="00ED1082" w:rsidRPr="000035FE" w:rsidRDefault="00ED1082" w:rsidP="00ED1082">
            <w:pPr>
              <w:pStyle w:val="-3"/>
              <w:rPr>
                <w:sz w:val="18"/>
                <w:szCs w:val="18"/>
                <w:rtl/>
              </w:rPr>
            </w:pPr>
            <w:r w:rsidRPr="000035FE">
              <w:rPr>
                <w:rFonts w:hint="cs"/>
                <w:sz w:val="18"/>
                <w:szCs w:val="18"/>
                <w:rtl/>
              </w:rPr>
              <w:t xml:space="preserve"> </w:t>
            </w:r>
            <w:r w:rsidRPr="000035FE">
              <w:rPr>
                <w:sz w:val="18"/>
                <w:szCs w:val="18"/>
                <w:rtl/>
              </w:rPr>
              <w:t>0</w:t>
            </w:r>
          </w:p>
        </w:tc>
        <w:tc>
          <w:tcPr>
            <w:tcW w:w="474" w:type="pct"/>
            <w:vAlign w:val="bottom"/>
          </w:tcPr>
          <w:p w14:paraId="2D8B3E50" w14:textId="77777777" w:rsidR="00ED1082" w:rsidRPr="000035FE" w:rsidRDefault="00ED1082" w:rsidP="00ED1082">
            <w:pPr>
              <w:pStyle w:val="-3"/>
              <w:rPr>
                <w:sz w:val="18"/>
                <w:szCs w:val="18"/>
                <w:rtl/>
              </w:rPr>
            </w:pPr>
            <w:r w:rsidRPr="000035FE">
              <w:rPr>
                <w:rFonts w:hint="cs"/>
                <w:sz w:val="18"/>
                <w:szCs w:val="18"/>
                <w:rtl/>
              </w:rPr>
              <w:t xml:space="preserve"> </w:t>
            </w:r>
            <w:r w:rsidRPr="000035FE">
              <w:rPr>
                <w:sz w:val="18"/>
                <w:szCs w:val="18"/>
                <w:rtl/>
              </w:rPr>
              <w:t>0</w:t>
            </w:r>
          </w:p>
        </w:tc>
        <w:tc>
          <w:tcPr>
            <w:tcW w:w="538" w:type="pct"/>
            <w:vAlign w:val="bottom"/>
          </w:tcPr>
          <w:p w14:paraId="51E2552F" w14:textId="77777777" w:rsidR="00ED1082" w:rsidRPr="000035FE" w:rsidRDefault="00ED1082" w:rsidP="00ED1082">
            <w:pPr>
              <w:pStyle w:val="-3"/>
              <w:rPr>
                <w:sz w:val="18"/>
                <w:szCs w:val="18"/>
                <w:rtl/>
              </w:rPr>
            </w:pPr>
            <w:r w:rsidRPr="000035FE">
              <w:rPr>
                <w:rFonts w:hint="cs"/>
                <w:sz w:val="18"/>
                <w:szCs w:val="18"/>
                <w:rtl/>
              </w:rPr>
              <w:t xml:space="preserve"> </w:t>
            </w:r>
            <w:r w:rsidRPr="000035FE">
              <w:rPr>
                <w:sz w:val="18"/>
                <w:szCs w:val="18"/>
                <w:rtl/>
              </w:rPr>
              <w:t>0</w:t>
            </w:r>
          </w:p>
        </w:tc>
        <w:tc>
          <w:tcPr>
            <w:tcW w:w="601" w:type="pct"/>
            <w:vAlign w:val="bottom"/>
          </w:tcPr>
          <w:p w14:paraId="72EAC8E8" w14:textId="77777777" w:rsidR="00ED1082" w:rsidRPr="000035FE" w:rsidRDefault="00ED1082" w:rsidP="00ED1082">
            <w:pPr>
              <w:pStyle w:val="-3"/>
              <w:rPr>
                <w:sz w:val="18"/>
                <w:szCs w:val="18"/>
                <w:rtl/>
              </w:rPr>
            </w:pPr>
            <w:r w:rsidRPr="000035FE">
              <w:rPr>
                <w:rFonts w:hint="cs"/>
                <w:sz w:val="18"/>
                <w:szCs w:val="18"/>
                <w:rtl/>
              </w:rPr>
              <w:t xml:space="preserve"> 0</w:t>
            </w:r>
          </w:p>
        </w:tc>
        <w:tc>
          <w:tcPr>
            <w:tcW w:w="367" w:type="pct"/>
            <w:vAlign w:val="bottom"/>
          </w:tcPr>
          <w:p w14:paraId="342A6E82" w14:textId="77777777" w:rsidR="00ED1082" w:rsidRPr="000035FE" w:rsidRDefault="00ED1082" w:rsidP="00ED1082">
            <w:pPr>
              <w:pStyle w:val="-3"/>
              <w:jc w:val="left"/>
              <w:rPr>
                <w:sz w:val="18"/>
                <w:szCs w:val="18"/>
                <w:rtl/>
              </w:rPr>
            </w:pPr>
            <w:r w:rsidRPr="000035FE">
              <w:rPr>
                <w:rFonts w:hint="cs"/>
                <w:sz w:val="18"/>
                <w:szCs w:val="18"/>
                <w:rtl/>
              </w:rPr>
              <w:t xml:space="preserve"> 0</w:t>
            </w:r>
          </w:p>
        </w:tc>
        <w:tc>
          <w:tcPr>
            <w:tcW w:w="256" w:type="pct"/>
            <w:tcMar>
              <w:left w:w="58" w:type="dxa"/>
              <w:right w:w="58" w:type="dxa"/>
            </w:tcMar>
            <w:vAlign w:val="bottom"/>
          </w:tcPr>
          <w:p w14:paraId="5ADE3F60" w14:textId="77777777" w:rsidR="00ED1082" w:rsidRPr="000035FE" w:rsidRDefault="00ED1082" w:rsidP="00ED1082">
            <w:pPr>
              <w:pStyle w:val="-3"/>
              <w:rPr>
                <w:sz w:val="18"/>
                <w:szCs w:val="18"/>
                <w:rtl/>
              </w:rPr>
            </w:pPr>
            <w:r w:rsidRPr="000035FE">
              <w:rPr>
                <w:rFonts w:hint="cs"/>
                <w:sz w:val="18"/>
                <w:szCs w:val="18"/>
                <w:rtl/>
              </w:rPr>
              <w:t xml:space="preserve"> </w:t>
            </w:r>
            <w:r w:rsidRPr="000035FE">
              <w:rPr>
                <w:sz w:val="18"/>
                <w:szCs w:val="18"/>
                <w:rtl/>
              </w:rPr>
              <w:t>0</w:t>
            </w:r>
          </w:p>
        </w:tc>
        <w:tc>
          <w:tcPr>
            <w:tcW w:w="536" w:type="pct"/>
            <w:vAlign w:val="bottom"/>
          </w:tcPr>
          <w:p w14:paraId="1B323106" w14:textId="77777777" w:rsidR="00ED1082" w:rsidRPr="000035FE" w:rsidRDefault="00ED1082" w:rsidP="00ED1082">
            <w:pPr>
              <w:pStyle w:val="-3"/>
              <w:rPr>
                <w:sz w:val="18"/>
                <w:szCs w:val="18"/>
                <w:rtl/>
              </w:rPr>
            </w:pPr>
            <w:r w:rsidRPr="000035FE">
              <w:rPr>
                <w:rFonts w:hint="cs"/>
                <w:sz w:val="18"/>
                <w:szCs w:val="18"/>
                <w:rtl/>
              </w:rPr>
              <w:t xml:space="preserve"> </w:t>
            </w:r>
            <w:r w:rsidRPr="000035FE">
              <w:rPr>
                <w:sz w:val="18"/>
                <w:szCs w:val="18"/>
                <w:rtl/>
              </w:rPr>
              <w:t>0</w:t>
            </w:r>
          </w:p>
        </w:tc>
        <w:tc>
          <w:tcPr>
            <w:tcW w:w="605" w:type="pct"/>
            <w:tcBorders>
              <w:right w:val="nil"/>
            </w:tcBorders>
            <w:vAlign w:val="bottom"/>
          </w:tcPr>
          <w:p w14:paraId="6F8F8347" w14:textId="77777777" w:rsidR="00ED1082" w:rsidRPr="000035FE" w:rsidRDefault="00ED1082" w:rsidP="00ED1082">
            <w:pPr>
              <w:pStyle w:val="-3"/>
              <w:rPr>
                <w:sz w:val="18"/>
                <w:szCs w:val="18"/>
                <w:rtl/>
              </w:rPr>
            </w:pPr>
            <w:r w:rsidRPr="000035FE">
              <w:rPr>
                <w:rFonts w:hint="cs"/>
                <w:sz w:val="18"/>
                <w:szCs w:val="18"/>
                <w:rtl/>
              </w:rPr>
              <w:t xml:space="preserve"> </w:t>
            </w:r>
            <w:r w:rsidRPr="000035FE">
              <w:rPr>
                <w:sz w:val="18"/>
                <w:szCs w:val="18"/>
                <w:rtl/>
              </w:rPr>
              <w:t>0</w:t>
            </w:r>
          </w:p>
        </w:tc>
      </w:tr>
      <w:tr w:rsidR="00FD6E97" w:rsidRPr="000035FE" w14:paraId="7B466B14" w14:textId="77777777" w:rsidTr="006A357B">
        <w:trPr>
          <w:trHeight w:val="259"/>
        </w:trPr>
        <w:tc>
          <w:tcPr>
            <w:tcW w:w="1088" w:type="pct"/>
            <w:vAlign w:val="bottom"/>
          </w:tcPr>
          <w:p w14:paraId="15DF37B2" w14:textId="13453874" w:rsidR="00ED1082" w:rsidRPr="000035FE" w:rsidRDefault="00ED1082" w:rsidP="00ED1082">
            <w:pPr>
              <w:pStyle w:val="-0"/>
              <w:ind w:left="0" w:firstLine="0"/>
              <w:rPr>
                <w:b/>
                <w:bCs/>
                <w:sz w:val="18"/>
                <w:szCs w:val="18"/>
                <w:rtl/>
              </w:rPr>
            </w:pPr>
            <w:r w:rsidRPr="000035FE">
              <w:rPr>
                <w:rFonts w:hint="cs"/>
                <w:b/>
                <w:bCs/>
                <w:sz w:val="18"/>
                <w:szCs w:val="18"/>
                <w:rtl/>
              </w:rPr>
              <w:t xml:space="preserve">יתרה ליום 30 ביוני </w:t>
            </w:r>
            <w:r w:rsidR="006F1E84" w:rsidRPr="006F1E84">
              <w:rPr>
                <w:b/>
                <w:bCs/>
                <w:sz w:val="18"/>
                <w:szCs w:val="18"/>
                <w:rtl/>
              </w:rPr>
              <w:fldChar w:fldCharType="begin"/>
            </w:r>
            <w:r w:rsidR="006F1E84" w:rsidRPr="006F1E84">
              <w:rPr>
                <w:b/>
                <w:bCs/>
                <w:sz w:val="18"/>
                <w:szCs w:val="18"/>
                <w:rtl/>
              </w:rPr>
              <w:instrText xml:space="preserve"> </w:instrText>
            </w:r>
            <w:r w:rsidR="006F1E84" w:rsidRPr="006F1E84">
              <w:rPr>
                <w:rFonts w:hint="cs"/>
                <w:b/>
                <w:bCs/>
                <w:sz w:val="18"/>
                <w:szCs w:val="18"/>
                <w:rtl/>
              </w:rPr>
              <w:instrText xml:space="preserve">= </w:instrText>
            </w:r>
            <w:r w:rsidR="006F1E84" w:rsidRPr="006F1E84">
              <w:rPr>
                <w:rFonts w:hint="cs"/>
                <w:b/>
                <w:bCs/>
                <w:sz w:val="18"/>
                <w:szCs w:val="18"/>
              </w:rPr>
              <w:instrText>CY \* MERGEFORMAT</w:instrText>
            </w:r>
            <w:r w:rsidR="006F1E84" w:rsidRPr="006F1E84">
              <w:rPr>
                <w:b/>
                <w:bCs/>
                <w:sz w:val="18"/>
                <w:szCs w:val="18"/>
                <w:rtl/>
              </w:rPr>
              <w:instrText xml:space="preserve"> </w:instrText>
            </w:r>
            <w:r w:rsidR="006F1E84" w:rsidRPr="006F1E84">
              <w:rPr>
                <w:b/>
                <w:bCs/>
                <w:sz w:val="18"/>
                <w:szCs w:val="18"/>
                <w:rtl/>
              </w:rPr>
              <w:fldChar w:fldCharType="separate"/>
            </w:r>
            <w:r w:rsidR="003A584F">
              <w:rPr>
                <w:b/>
                <w:bCs/>
                <w:noProof/>
                <w:sz w:val="18"/>
                <w:szCs w:val="18"/>
                <w:rtl/>
              </w:rPr>
              <w:t>2024</w:t>
            </w:r>
            <w:r w:rsidR="006F1E84" w:rsidRPr="006F1E84">
              <w:rPr>
                <w:b/>
                <w:bCs/>
                <w:sz w:val="18"/>
                <w:szCs w:val="18"/>
                <w:rtl/>
              </w:rPr>
              <w:fldChar w:fldCharType="end"/>
            </w:r>
          </w:p>
        </w:tc>
        <w:tc>
          <w:tcPr>
            <w:tcW w:w="535" w:type="pct"/>
            <w:tcMar>
              <w:left w:w="58" w:type="dxa"/>
              <w:right w:w="58" w:type="dxa"/>
            </w:tcMar>
            <w:vAlign w:val="bottom"/>
          </w:tcPr>
          <w:p w14:paraId="2F68634F" w14:textId="77777777" w:rsidR="00ED1082" w:rsidRPr="006A357B" w:rsidRDefault="00ED1082" w:rsidP="00ED1082">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474" w:type="pct"/>
            <w:vAlign w:val="bottom"/>
          </w:tcPr>
          <w:p w14:paraId="52B697A7" w14:textId="77777777" w:rsidR="00ED1082" w:rsidRPr="006A357B" w:rsidRDefault="00ED1082" w:rsidP="00ED1082">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538" w:type="pct"/>
            <w:vAlign w:val="bottom"/>
          </w:tcPr>
          <w:p w14:paraId="41E4C639" w14:textId="77777777" w:rsidR="00ED1082" w:rsidRPr="006A357B" w:rsidRDefault="00ED1082" w:rsidP="00ED1082">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601" w:type="pct"/>
            <w:vAlign w:val="bottom"/>
          </w:tcPr>
          <w:p w14:paraId="00954969" w14:textId="77777777" w:rsidR="00ED1082" w:rsidRPr="006A357B" w:rsidRDefault="00ED1082" w:rsidP="00ED1082">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367" w:type="pct"/>
            <w:vAlign w:val="bottom"/>
          </w:tcPr>
          <w:p w14:paraId="7A2DE64E" w14:textId="77777777" w:rsidR="00ED1082" w:rsidRPr="006A357B" w:rsidRDefault="00ED1082" w:rsidP="00ED1082">
            <w:pPr>
              <w:pStyle w:val="-3"/>
              <w:jc w:val="left"/>
              <w:rPr>
                <w:b/>
                <w:bCs/>
                <w:sz w:val="18"/>
                <w:szCs w:val="18"/>
                <w:rtl/>
              </w:rPr>
            </w:pPr>
            <w:r w:rsidRPr="006A357B">
              <w:rPr>
                <w:rFonts w:hint="cs"/>
                <w:b/>
                <w:bCs/>
                <w:sz w:val="18"/>
                <w:szCs w:val="18"/>
                <w:rtl/>
              </w:rPr>
              <w:t xml:space="preserve"> </w:t>
            </w:r>
            <w:r w:rsidRPr="006A357B">
              <w:rPr>
                <w:b/>
                <w:bCs/>
                <w:sz w:val="18"/>
                <w:szCs w:val="18"/>
                <w:rtl/>
              </w:rPr>
              <w:t>0</w:t>
            </w:r>
          </w:p>
        </w:tc>
        <w:tc>
          <w:tcPr>
            <w:tcW w:w="256" w:type="pct"/>
            <w:tcMar>
              <w:left w:w="58" w:type="dxa"/>
              <w:right w:w="58" w:type="dxa"/>
            </w:tcMar>
            <w:vAlign w:val="bottom"/>
          </w:tcPr>
          <w:p w14:paraId="4DE94223" w14:textId="77777777" w:rsidR="00ED1082" w:rsidRPr="006A357B" w:rsidRDefault="00ED1082" w:rsidP="00ED1082">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536" w:type="pct"/>
            <w:vAlign w:val="bottom"/>
          </w:tcPr>
          <w:p w14:paraId="089B0B37" w14:textId="77777777" w:rsidR="00ED1082" w:rsidRPr="006A357B" w:rsidRDefault="00ED1082" w:rsidP="00ED1082">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605" w:type="pct"/>
            <w:tcBorders>
              <w:right w:val="nil"/>
            </w:tcBorders>
            <w:vAlign w:val="bottom"/>
          </w:tcPr>
          <w:p w14:paraId="3F09EFEF" w14:textId="77777777" w:rsidR="00ED1082" w:rsidRPr="006A357B" w:rsidRDefault="00ED1082" w:rsidP="00ED1082">
            <w:pPr>
              <w:pStyle w:val="-3"/>
              <w:rPr>
                <w:b/>
                <w:bCs/>
                <w:sz w:val="18"/>
                <w:szCs w:val="18"/>
                <w:rtl/>
              </w:rPr>
            </w:pPr>
            <w:r w:rsidRPr="006A357B">
              <w:rPr>
                <w:rFonts w:hint="cs"/>
                <w:b/>
                <w:bCs/>
                <w:sz w:val="18"/>
                <w:szCs w:val="18"/>
                <w:rtl/>
              </w:rPr>
              <w:t xml:space="preserve"> 0</w:t>
            </w:r>
          </w:p>
        </w:tc>
      </w:tr>
      <w:tr w:rsidR="00FD6E97" w:rsidRPr="000035FE" w14:paraId="2FC0C5A3" w14:textId="77777777" w:rsidTr="006A357B">
        <w:trPr>
          <w:trHeight w:hRule="exact" w:val="193"/>
        </w:trPr>
        <w:tc>
          <w:tcPr>
            <w:tcW w:w="1088" w:type="pct"/>
            <w:vAlign w:val="bottom"/>
          </w:tcPr>
          <w:p w14:paraId="5786D480" w14:textId="77777777" w:rsidR="00ED1082" w:rsidRPr="000035FE" w:rsidRDefault="00ED1082" w:rsidP="006C017A">
            <w:pPr>
              <w:pStyle w:val="-0"/>
              <w:spacing w:line="160" w:lineRule="exact"/>
              <w:ind w:left="0" w:firstLine="0"/>
              <w:rPr>
                <w:b/>
                <w:bCs/>
                <w:sz w:val="18"/>
                <w:szCs w:val="18"/>
                <w:rtl/>
              </w:rPr>
            </w:pPr>
          </w:p>
        </w:tc>
        <w:tc>
          <w:tcPr>
            <w:tcW w:w="535" w:type="pct"/>
            <w:tcMar>
              <w:left w:w="58" w:type="dxa"/>
              <w:right w:w="58" w:type="dxa"/>
            </w:tcMar>
            <w:vAlign w:val="bottom"/>
          </w:tcPr>
          <w:p w14:paraId="6A93249D" w14:textId="77777777" w:rsidR="00ED1082" w:rsidRPr="000035FE" w:rsidRDefault="00ED1082" w:rsidP="006C017A">
            <w:pPr>
              <w:pStyle w:val="-3"/>
              <w:spacing w:line="160" w:lineRule="exact"/>
              <w:rPr>
                <w:sz w:val="18"/>
                <w:szCs w:val="18"/>
                <w:rtl/>
              </w:rPr>
            </w:pPr>
          </w:p>
        </w:tc>
        <w:tc>
          <w:tcPr>
            <w:tcW w:w="474" w:type="pct"/>
            <w:vAlign w:val="bottom"/>
          </w:tcPr>
          <w:p w14:paraId="29F08D61" w14:textId="77777777" w:rsidR="00ED1082" w:rsidRPr="000035FE" w:rsidRDefault="00ED1082" w:rsidP="006C017A">
            <w:pPr>
              <w:pStyle w:val="-3"/>
              <w:spacing w:line="160" w:lineRule="exact"/>
              <w:rPr>
                <w:sz w:val="18"/>
                <w:szCs w:val="18"/>
                <w:rtl/>
              </w:rPr>
            </w:pPr>
          </w:p>
        </w:tc>
        <w:tc>
          <w:tcPr>
            <w:tcW w:w="538" w:type="pct"/>
            <w:vAlign w:val="bottom"/>
          </w:tcPr>
          <w:p w14:paraId="0C6C7CC3" w14:textId="77777777" w:rsidR="00ED1082" w:rsidRPr="000035FE" w:rsidRDefault="00ED1082" w:rsidP="006C017A">
            <w:pPr>
              <w:pStyle w:val="-3"/>
              <w:spacing w:line="160" w:lineRule="exact"/>
              <w:rPr>
                <w:sz w:val="18"/>
                <w:szCs w:val="18"/>
                <w:rtl/>
              </w:rPr>
            </w:pPr>
          </w:p>
        </w:tc>
        <w:tc>
          <w:tcPr>
            <w:tcW w:w="601" w:type="pct"/>
            <w:vAlign w:val="bottom"/>
          </w:tcPr>
          <w:p w14:paraId="38FAF2FF" w14:textId="77777777" w:rsidR="00ED1082" w:rsidRPr="000035FE" w:rsidRDefault="00ED1082" w:rsidP="006C017A">
            <w:pPr>
              <w:pStyle w:val="-3"/>
              <w:spacing w:line="160" w:lineRule="exact"/>
              <w:rPr>
                <w:sz w:val="18"/>
                <w:szCs w:val="18"/>
                <w:rtl/>
              </w:rPr>
            </w:pPr>
          </w:p>
        </w:tc>
        <w:tc>
          <w:tcPr>
            <w:tcW w:w="367" w:type="pct"/>
            <w:vAlign w:val="bottom"/>
          </w:tcPr>
          <w:p w14:paraId="0E48F648" w14:textId="77777777" w:rsidR="00ED1082" w:rsidRPr="000035FE" w:rsidRDefault="00ED1082" w:rsidP="006C017A">
            <w:pPr>
              <w:pStyle w:val="-3"/>
              <w:spacing w:line="160" w:lineRule="exact"/>
              <w:jc w:val="left"/>
              <w:rPr>
                <w:sz w:val="18"/>
                <w:szCs w:val="18"/>
                <w:rtl/>
              </w:rPr>
            </w:pPr>
          </w:p>
        </w:tc>
        <w:tc>
          <w:tcPr>
            <w:tcW w:w="256" w:type="pct"/>
            <w:tcMar>
              <w:left w:w="58" w:type="dxa"/>
              <w:right w:w="58" w:type="dxa"/>
            </w:tcMar>
            <w:vAlign w:val="bottom"/>
          </w:tcPr>
          <w:p w14:paraId="201CF33D" w14:textId="77777777" w:rsidR="00ED1082" w:rsidRPr="000035FE" w:rsidRDefault="00ED1082" w:rsidP="006C017A">
            <w:pPr>
              <w:pStyle w:val="-3"/>
              <w:spacing w:line="160" w:lineRule="exact"/>
              <w:rPr>
                <w:sz w:val="18"/>
                <w:szCs w:val="18"/>
                <w:rtl/>
              </w:rPr>
            </w:pPr>
          </w:p>
        </w:tc>
        <w:tc>
          <w:tcPr>
            <w:tcW w:w="536" w:type="pct"/>
            <w:vAlign w:val="bottom"/>
          </w:tcPr>
          <w:p w14:paraId="11AC1ECA" w14:textId="77777777" w:rsidR="00ED1082" w:rsidRPr="000035FE" w:rsidRDefault="00ED1082" w:rsidP="006C017A">
            <w:pPr>
              <w:pStyle w:val="-3"/>
              <w:spacing w:line="160" w:lineRule="exact"/>
              <w:rPr>
                <w:sz w:val="18"/>
                <w:szCs w:val="18"/>
                <w:rtl/>
              </w:rPr>
            </w:pPr>
          </w:p>
        </w:tc>
        <w:tc>
          <w:tcPr>
            <w:tcW w:w="605" w:type="pct"/>
            <w:tcBorders>
              <w:right w:val="nil"/>
            </w:tcBorders>
            <w:vAlign w:val="bottom"/>
          </w:tcPr>
          <w:p w14:paraId="1325E4A2" w14:textId="77777777" w:rsidR="00ED1082" w:rsidRPr="000035FE" w:rsidRDefault="00ED1082" w:rsidP="006C017A">
            <w:pPr>
              <w:pStyle w:val="-3"/>
              <w:spacing w:line="160" w:lineRule="exact"/>
              <w:rPr>
                <w:sz w:val="18"/>
                <w:szCs w:val="18"/>
                <w:rtl/>
              </w:rPr>
            </w:pPr>
          </w:p>
        </w:tc>
      </w:tr>
      <w:tr w:rsidR="00FD6E97" w:rsidRPr="000035FE" w14:paraId="4479A2C8" w14:textId="77777777" w:rsidTr="006A357B">
        <w:trPr>
          <w:trHeight w:val="259"/>
        </w:trPr>
        <w:tc>
          <w:tcPr>
            <w:tcW w:w="1088" w:type="pct"/>
            <w:vAlign w:val="bottom"/>
          </w:tcPr>
          <w:p w14:paraId="116ACD31" w14:textId="7168067B" w:rsidR="00ED1082" w:rsidRPr="006F1E84" w:rsidRDefault="00ED1082" w:rsidP="006F1E84">
            <w:pPr>
              <w:pStyle w:val="-0"/>
              <w:spacing w:before="22" w:after="22" w:line="240" w:lineRule="auto"/>
              <w:ind w:left="0" w:firstLine="0"/>
              <w:rPr>
                <w:b/>
                <w:bCs/>
                <w:sz w:val="18"/>
                <w:szCs w:val="18"/>
                <w:rtl/>
              </w:rPr>
            </w:pPr>
            <w:r w:rsidRPr="006F1E84">
              <w:rPr>
                <w:rFonts w:hint="cs"/>
                <w:b/>
                <w:bCs/>
                <w:sz w:val="18"/>
                <w:szCs w:val="18"/>
                <w:rtl/>
              </w:rPr>
              <w:t xml:space="preserve">יתרה ליום 31 בדצמבר </w:t>
            </w:r>
            <w:r w:rsidR="006F1E84" w:rsidRPr="006F1E84">
              <w:rPr>
                <w:b/>
                <w:bCs/>
                <w:sz w:val="14"/>
                <w:szCs w:val="14"/>
                <w:rtl/>
              </w:rPr>
              <w:fldChar w:fldCharType="begin"/>
            </w:r>
            <w:r w:rsidR="006F1E84" w:rsidRPr="006F1E84">
              <w:rPr>
                <w:b/>
                <w:bCs/>
                <w:sz w:val="14"/>
                <w:szCs w:val="14"/>
                <w:rtl/>
              </w:rPr>
              <w:instrText xml:space="preserve"> </w:instrText>
            </w:r>
            <w:r w:rsidR="006F1E84" w:rsidRPr="006F1E84">
              <w:rPr>
                <w:rFonts w:hint="cs"/>
                <w:b/>
                <w:bCs/>
                <w:sz w:val="14"/>
                <w:szCs w:val="14"/>
                <w:rtl/>
              </w:rPr>
              <w:instrText xml:space="preserve">= </w:instrText>
            </w:r>
            <w:r w:rsidR="006F1E84" w:rsidRPr="006F1E84">
              <w:rPr>
                <w:rFonts w:hint="cs"/>
                <w:b/>
                <w:bCs/>
                <w:sz w:val="14"/>
                <w:szCs w:val="14"/>
              </w:rPr>
              <w:instrText>CY</w:instrText>
            </w:r>
            <w:r w:rsidR="006F1E84" w:rsidRPr="006F1E84">
              <w:rPr>
                <w:b/>
                <w:bCs/>
                <w:sz w:val="14"/>
                <w:szCs w:val="14"/>
              </w:rPr>
              <w:instrText>-2</w:instrText>
            </w:r>
            <w:r w:rsidR="006F1E84" w:rsidRPr="006F1E84">
              <w:rPr>
                <w:rFonts w:hint="cs"/>
                <w:b/>
                <w:bCs/>
                <w:sz w:val="14"/>
                <w:szCs w:val="14"/>
              </w:rPr>
              <w:instrText xml:space="preserve"> \* MERGEFORMAT</w:instrText>
            </w:r>
            <w:r w:rsidR="006F1E84" w:rsidRPr="006F1E84">
              <w:rPr>
                <w:b/>
                <w:bCs/>
                <w:sz w:val="14"/>
                <w:szCs w:val="14"/>
                <w:rtl/>
              </w:rPr>
              <w:instrText xml:space="preserve"> </w:instrText>
            </w:r>
            <w:r w:rsidR="006F1E84" w:rsidRPr="006F1E84">
              <w:rPr>
                <w:b/>
                <w:bCs/>
                <w:sz w:val="14"/>
                <w:szCs w:val="14"/>
                <w:rtl/>
              </w:rPr>
              <w:fldChar w:fldCharType="separate"/>
            </w:r>
            <w:r w:rsidR="003A584F" w:rsidRPr="003A584F">
              <w:rPr>
                <w:b/>
                <w:bCs/>
                <w:noProof/>
                <w:sz w:val="18"/>
                <w:szCs w:val="18"/>
                <w:rtl/>
              </w:rPr>
              <w:t>2022</w:t>
            </w:r>
            <w:r w:rsidR="006F1E84" w:rsidRPr="006F1E84">
              <w:rPr>
                <w:b/>
                <w:bCs/>
                <w:sz w:val="14"/>
                <w:szCs w:val="14"/>
                <w:rtl/>
              </w:rPr>
              <w:fldChar w:fldCharType="end"/>
            </w:r>
          </w:p>
        </w:tc>
        <w:tc>
          <w:tcPr>
            <w:tcW w:w="535" w:type="pct"/>
            <w:tcMar>
              <w:left w:w="58" w:type="dxa"/>
              <w:right w:w="58" w:type="dxa"/>
            </w:tcMar>
            <w:vAlign w:val="bottom"/>
          </w:tcPr>
          <w:p w14:paraId="494E9583" w14:textId="77777777" w:rsidR="00ED1082" w:rsidRPr="006F1E84" w:rsidRDefault="00ED1082" w:rsidP="00ED1082">
            <w:pPr>
              <w:pStyle w:val="-3"/>
              <w:spacing w:before="22" w:after="22" w:line="240" w:lineRule="auto"/>
              <w:rPr>
                <w:sz w:val="18"/>
                <w:szCs w:val="18"/>
                <w:rtl/>
              </w:rPr>
            </w:pPr>
            <w:r w:rsidRPr="006F1E84">
              <w:rPr>
                <w:rFonts w:hint="cs"/>
                <w:sz w:val="18"/>
                <w:szCs w:val="18"/>
                <w:rtl/>
              </w:rPr>
              <w:t xml:space="preserve"> </w:t>
            </w:r>
            <w:r w:rsidRPr="006F1E84">
              <w:rPr>
                <w:sz w:val="18"/>
                <w:szCs w:val="18"/>
                <w:rtl/>
              </w:rPr>
              <w:t>0</w:t>
            </w:r>
          </w:p>
        </w:tc>
        <w:tc>
          <w:tcPr>
            <w:tcW w:w="474" w:type="pct"/>
            <w:vAlign w:val="bottom"/>
          </w:tcPr>
          <w:p w14:paraId="66CA8BB8" w14:textId="77777777" w:rsidR="00ED1082" w:rsidRPr="006F1E84" w:rsidRDefault="00ED1082" w:rsidP="00ED1082">
            <w:pPr>
              <w:pStyle w:val="-3"/>
              <w:spacing w:before="22" w:after="22" w:line="240" w:lineRule="auto"/>
              <w:rPr>
                <w:sz w:val="18"/>
                <w:szCs w:val="18"/>
                <w:rtl/>
              </w:rPr>
            </w:pPr>
            <w:r w:rsidRPr="006F1E84">
              <w:rPr>
                <w:rFonts w:hint="cs"/>
                <w:sz w:val="18"/>
                <w:szCs w:val="18"/>
                <w:rtl/>
              </w:rPr>
              <w:t xml:space="preserve"> </w:t>
            </w:r>
            <w:r w:rsidRPr="006F1E84">
              <w:rPr>
                <w:sz w:val="18"/>
                <w:szCs w:val="18"/>
                <w:rtl/>
              </w:rPr>
              <w:t>0</w:t>
            </w:r>
          </w:p>
        </w:tc>
        <w:tc>
          <w:tcPr>
            <w:tcW w:w="538" w:type="pct"/>
            <w:vAlign w:val="bottom"/>
          </w:tcPr>
          <w:p w14:paraId="035EF67A" w14:textId="77777777" w:rsidR="00ED1082" w:rsidRPr="006F1E84" w:rsidRDefault="00ED1082" w:rsidP="00ED1082">
            <w:pPr>
              <w:pStyle w:val="-3"/>
              <w:spacing w:before="22" w:after="22" w:line="240" w:lineRule="auto"/>
              <w:rPr>
                <w:sz w:val="18"/>
                <w:szCs w:val="18"/>
                <w:rtl/>
              </w:rPr>
            </w:pPr>
            <w:r w:rsidRPr="006F1E84">
              <w:rPr>
                <w:rFonts w:hint="cs"/>
                <w:sz w:val="18"/>
                <w:szCs w:val="18"/>
                <w:rtl/>
              </w:rPr>
              <w:t xml:space="preserve"> </w:t>
            </w:r>
            <w:r w:rsidRPr="006F1E84">
              <w:rPr>
                <w:sz w:val="18"/>
                <w:szCs w:val="18"/>
                <w:rtl/>
              </w:rPr>
              <w:t>0</w:t>
            </w:r>
          </w:p>
        </w:tc>
        <w:tc>
          <w:tcPr>
            <w:tcW w:w="601" w:type="pct"/>
            <w:vAlign w:val="bottom"/>
          </w:tcPr>
          <w:p w14:paraId="6D22579F" w14:textId="77777777" w:rsidR="00ED1082" w:rsidRPr="006F1E84" w:rsidRDefault="00ED1082" w:rsidP="0006190E">
            <w:pPr>
              <w:pStyle w:val="-3"/>
              <w:spacing w:before="22" w:after="22" w:line="240" w:lineRule="auto"/>
              <w:rPr>
                <w:sz w:val="18"/>
                <w:szCs w:val="18"/>
                <w:rtl/>
              </w:rPr>
            </w:pPr>
            <w:r w:rsidRPr="006F1E84">
              <w:rPr>
                <w:rFonts w:hint="cs"/>
                <w:sz w:val="18"/>
                <w:szCs w:val="18"/>
                <w:rtl/>
              </w:rPr>
              <w:t xml:space="preserve"> </w:t>
            </w:r>
            <w:r w:rsidR="0006190E">
              <w:rPr>
                <w:rFonts w:hint="cs"/>
                <w:sz w:val="18"/>
                <w:szCs w:val="18"/>
                <w:rtl/>
              </w:rPr>
              <w:t>0</w:t>
            </w:r>
          </w:p>
        </w:tc>
        <w:tc>
          <w:tcPr>
            <w:tcW w:w="367" w:type="pct"/>
            <w:vAlign w:val="bottom"/>
          </w:tcPr>
          <w:p w14:paraId="59885C88" w14:textId="77777777" w:rsidR="00ED1082" w:rsidRPr="006F1E84" w:rsidRDefault="00ED1082" w:rsidP="00ED1082">
            <w:pPr>
              <w:pStyle w:val="-3"/>
              <w:spacing w:before="22" w:after="22" w:line="240" w:lineRule="auto"/>
              <w:jc w:val="left"/>
              <w:rPr>
                <w:sz w:val="18"/>
                <w:szCs w:val="18"/>
                <w:rtl/>
              </w:rPr>
            </w:pPr>
            <w:r w:rsidRPr="006F1E84">
              <w:rPr>
                <w:rFonts w:hint="cs"/>
                <w:sz w:val="18"/>
                <w:szCs w:val="18"/>
                <w:rtl/>
              </w:rPr>
              <w:t xml:space="preserve"> </w:t>
            </w:r>
            <w:r w:rsidRPr="006F1E84">
              <w:rPr>
                <w:sz w:val="18"/>
                <w:szCs w:val="18"/>
                <w:rtl/>
              </w:rPr>
              <w:t>0</w:t>
            </w:r>
          </w:p>
        </w:tc>
        <w:tc>
          <w:tcPr>
            <w:tcW w:w="256" w:type="pct"/>
            <w:tcMar>
              <w:left w:w="58" w:type="dxa"/>
              <w:right w:w="58" w:type="dxa"/>
            </w:tcMar>
            <w:vAlign w:val="bottom"/>
          </w:tcPr>
          <w:p w14:paraId="5F52AB4A" w14:textId="77777777" w:rsidR="00ED1082" w:rsidRPr="006F1E84" w:rsidRDefault="00ED1082" w:rsidP="00ED1082">
            <w:pPr>
              <w:pStyle w:val="-3"/>
              <w:spacing w:before="22" w:after="22" w:line="240" w:lineRule="auto"/>
              <w:rPr>
                <w:sz w:val="18"/>
                <w:szCs w:val="18"/>
                <w:rtl/>
              </w:rPr>
            </w:pPr>
            <w:r w:rsidRPr="006F1E84">
              <w:rPr>
                <w:rFonts w:hint="cs"/>
                <w:sz w:val="18"/>
                <w:szCs w:val="18"/>
                <w:rtl/>
              </w:rPr>
              <w:t xml:space="preserve"> </w:t>
            </w:r>
            <w:r w:rsidRPr="006F1E84">
              <w:rPr>
                <w:sz w:val="18"/>
                <w:szCs w:val="18"/>
                <w:rtl/>
              </w:rPr>
              <w:t>0</w:t>
            </w:r>
          </w:p>
        </w:tc>
        <w:tc>
          <w:tcPr>
            <w:tcW w:w="536" w:type="pct"/>
            <w:vAlign w:val="bottom"/>
          </w:tcPr>
          <w:p w14:paraId="01822694" w14:textId="77777777" w:rsidR="00ED1082" w:rsidRPr="006F1E84" w:rsidRDefault="00ED1082" w:rsidP="00ED1082">
            <w:pPr>
              <w:pStyle w:val="-3"/>
              <w:spacing w:before="22" w:after="22" w:line="240" w:lineRule="auto"/>
              <w:rPr>
                <w:sz w:val="18"/>
                <w:szCs w:val="18"/>
                <w:rtl/>
              </w:rPr>
            </w:pPr>
            <w:r w:rsidRPr="006F1E84">
              <w:rPr>
                <w:rFonts w:hint="cs"/>
                <w:sz w:val="18"/>
                <w:szCs w:val="18"/>
                <w:rtl/>
              </w:rPr>
              <w:t xml:space="preserve"> </w:t>
            </w:r>
            <w:r w:rsidRPr="006F1E84">
              <w:rPr>
                <w:sz w:val="18"/>
                <w:szCs w:val="18"/>
                <w:rtl/>
              </w:rPr>
              <w:t>0</w:t>
            </w:r>
          </w:p>
        </w:tc>
        <w:tc>
          <w:tcPr>
            <w:tcW w:w="605" w:type="pct"/>
            <w:tcBorders>
              <w:right w:val="nil"/>
            </w:tcBorders>
            <w:vAlign w:val="bottom"/>
          </w:tcPr>
          <w:p w14:paraId="790EB66E" w14:textId="77777777" w:rsidR="00ED1082" w:rsidRPr="000035FE" w:rsidRDefault="00ED1082" w:rsidP="00ED1082">
            <w:pPr>
              <w:pStyle w:val="-3"/>
              <w:spacing w:before="22" w:after="22" w:line="240" w:lineRule="auto"/>
              <w:rPr>
                <w:sz w:val="18"/>
                <w:szCs w:val="18"/>
                <w:rtl/>
              </w:rPr>
            </w:pPr>
            <w:r w:rsidRPr="006F1E84">
              <w:rPr>
                <w:rFonts w:hint="cs"/>
                <w:sz w:val="18"/>
                <w:szCs w:val="18"/>
                <w:rtl/>
              </w:rPr>
              <w:t xml:space="preserve"> </w:t>
            </w:r>
            <w:r w:rsidRPr="006F1E84">
              <w:rPr>
                <w:sz w:val="18"/>
                <w:szCs w:val="18"/>
                <w:rtl/>
              </w:rPr>
              <w:t>0</w:t>
            </w:r>
          </w:p>
        </w:tc>
      </w:tr>
      <w:tr w:rsidR="00FD6E97" w:rsidRPr="000035FE" w14:paraId="1D1360FC" w14:textId="77777777" w:rsidTr="006A357B">
        <w:trPr>
          <w:trHeight w:val="259"/>
        </w:trPr>
        <w:tc>
          <w:tcPr>
            <w:tcW w:w="1088" w:type="pct"/>
            <w:vAlign w:val="bottom"/>
          </w:tcPr>
          <w:p w14:paraId="0966AB9A" w14:textId="77777777" w:rsidR="00ED1082" w:rsidRPr="000035FE" w:rsidRDefault="00ED1082" w:rsidP="00ED1082">
            <w:pPr>
              <w:pStyle w:val="-0"/>
              <w:spacing w:before="22" w:after="22" w:line="240" w:lineRule="auto"/>
              <w:ind w:left="0" w:firstLine="0"/>
              <w:rPr>
                <w:sz w:val="18"/>
                <w:szCs w:val="18"/>
                <w:rtl/>
              </w:rPr>
            </w:pPr>
            <w:r w:rsidRPr="000035FE">
              <w:rPr>
                <w:rFonts w:hint="cs"/>
                <w:sz w:val="18"/>
                <w:szCs w:val="18"/>
                <w:rtl/>
              </w:rPr>
              <w:t>שינוי נטו במהלך התקופה</w:t>
            </w:r>
          </w:p>
        </w:tc>
        <w:tc>
          <w:tcPr>
            <w:tcW w:w="535" w:type="pct"/>
            <w:tcMar>
              <w:left w:w="58" w:type="dxa"/>
              <w:right w:w="58" w:type="dxa"/>
            </w:tcMar>
            <w:vAlign w:val="bottom"/>
          </w:tcPr>
          <w:p w14:paraId="42D1D75C" w14:textId="77777777" w:rsidR="00ED1082" w:rsidRPr="000035FE" w:rsidRDefault="00ED1082" w:rsidP="00ED1082">
            <w:pPr>
              <w:pStyle w:val="-3"/>
              <w:spacing w:before="22" w:after="22" w:line="240" w:lineRule="auto"/>
              <w:rPr>
                <w:sz w:val="18"/>
                <w:szCs w:val="18"/>
                <w:rtl/>
              </w:rPr>
            </w:pPr>
            <w:r w:rsidRPr="000035FE">
              <w:rPr>
                <w:rFonts w:hint="cs"/>
                <w:sz w:val="18"/>
                <w:szCs w:val="18"/>
                <w:rtl/>
              </w:rPr>
              <w:t xml:space="preserve"> </w:t>
            </w:r>
            <w:r w:rsidRPr="000035FE">
              <w:rPr>
                <w:sz w:val="18"/>
                <w:szCs w:val="18"/>
                <w:rtl/>
              </w:rPr>
              <w:t>0</w:t>
            </w:r>
          </w:p>
        </w:tc>
        <w:tc>
          <w:tcPr>
            <w:tcW w:w="474" w:type="pct"/>
            <w:vAlign w:val="bottom"/>
          </w:tcPr>
          <w:p w14:paraId="073FC8E8" w14:textId="77777777" w:rsidR="00ED1082" w:rsidRPr="000035FE" w:rsidRDefault="00ED1082" w:rsidP="00ED1082">
            <w:pPr>
              <w:pStyle w:val="-3"/>
              <w:spacing w:before="22" w:after="22" w:line="240" w:lineRule="auto"/>
              <w:rPr>
                <w:sz w:val="18"/>
                <w:szCs w:val="18"/>
                <w:rtl/>
              </w:rPr>
            </w:pPr>
            <w:r w:rsidRPr="000035FE">
              <w:rPr>
                <w:rFonts w:hint="cs"/>
                <w:sz w:val="18"/>
                <w:szCs w:val="18"/>
                <w:rtl/>
              </w:rPr>
              <w:t xml:space="preserve"> </w:t>
            </w:r>
            <w:r w:rsidRPr="000035FE">
              <w:rPr>
                <w:sz w:val="18"/>
                <w:szCs w:val="18"/>
                <w:rtl/>
              </w:rPr>
              <w:t>0</w:t>
            </w:r>
          </w:p>
        </w:tc>
        <w:tc>
          <w:tcPr>
            <w:tcW w:w="538" w:type="pct"/>
            <w:vAlign w:val="bottom"/>
          </w:tcPr>
          <w:p w14:paraId="350B0FA6" w14:textId="77777777" w:rsidR="00ED1082" w:rsidRPr="000035FE" w:rsidRDefault="00ED1082" w:rsidP="00ED1082">
            <w:pPr>
              <w:pStyle w:val="-3"/>
              <w:spacing w:before="22" w:after="22" w:line="240" w:lineRule="auto"/>
              <w:rPr>
                <w:sz w:val="18"/>
                <w:szCs w:val="18"/>
                <w:rtl/>
              </w:rPr>
            </w:pPr>
            <w:r w:rsidRPr="000035FE">
              <w:rPr>
                <w:rFonts w:hint="cs"/>
                <w:sz w:val="18"/>
                <w:szCs w:val="18"/>
                <w:rtl/>
              </w:rPr>
              <w:t xml:space="preserve"> </w:t>
            </w:r>
            <w:r w:rsidRPr="000035FE">
              <w:rPr>
                <w:sz w:val="18"/>
                <w:szCs w:val="18"/>
                <w:rtl/>
              </w:rPr>
              <w:t>0</w:t>
            </w:r>
          </w:p>
        </w:tc>
        <w:tc>
          <w:tcPr>
            <w:tcW w:w="601" w:type="pct"/>
            <w:vAlign w:val="bottom"/>
          </w:tcPr>
          <w:p w14:paraId="046422F5" w14:textId="77777777" w:rsidR="00ED1082" w:rsidRPr="000035FE" w:rsidRDefault="00ED1082" w:rsidP="0006190E">
            <w:pPr>
              <w:pStyle w:val="-3"/>
              <w:spacing w:before="22" w:after="22" w:line="240" w:lineRule="auto"/>
              <w:rPr>
                <w:sz w:val="18"/>
                <w:szCs w:val="18"/>
                <w:rtl/>
              </w:rPr>
            </w:pPr>
            <w:r w:rsidRPr="000035FE">
              <w:rPr>
                <w:rFonts w:hint="cs"/>
                <w:sz w:val="18"/>
                <w:szCs w:val="18"/>
                <w:rtl/>
              </w:rPr>
              <w:t xml:space="preserve"> </w:t>
            </w:r>
            <w:r w:rsidR="0006190E">
              <w:rPr>
                <w:rFonts w:hint="cs"/>
                <w:sz w:val="18"/>
                <w:szCs w:val="18"/>
                <w:rtl/>
              </w:rPr>
              <w:t>0</w:t>
            </w:r>
          </w:p>
        </w:tc>
        <w:tc>
          <w:tcPr>
            <w:tcW w:w="367" w:type="pct"/>
            <w:vAlign w:val="bottom"/>
          </w:tcPr>
          <w:p w14:paraId="109DC7B4" w14:textId="77777777" w:rsidR="00ED1082" w:rsidRPr="000035FE" w:rsidRDefault="00ED1082" w:rsidP="00ED1082">
            <w:pPr>
              <w:pStyle w:val="-3"/>
              <w:spacing w:before="22" w:after="22" w:line="240" w:lineRule="auto"/>
              <w:jc w:val="left"/>
              <w:rPr>
                <w:sz w:val="18"/>
                <w:szCs w:val="18"/>
                <w:rtl/>
              </w:rPr>
            </w:pPr>
            <w:r w:rsidRPr="000035FE">
              <w:rPr>
                <w:rFonts w:hint="cs"/>
                <w:sz w:val="18"/>
                <w:szCs w:val="18"/>
                <w:rtl/>
              </w:rPr>
              <w:t xml:space="preserve"> 0</w:t>
            </w:r>
          </w:p>
        </w:tc>
        <w:tc>
          <w:tcPr>
            <w:tcW w:w="256" w:type="pct"/>
            <w:tcMar>
              <w:left w:w="58" w:type="dxa"/>
              <w:right w:w="58" w:type="dxa"/>
            </w:tcMar>
            <w:vAlign w:val="bottom"/>
          </w:tcPr>
          <w:p w14:paraId="10030ECC" w14:textId="77777777" w:rsidR="00ED1082" w:rsidRPr="000035FE" w:rsidRDefault="00ED1082" w:rsidP="00ED1082">
            <w:pPr>
              <w:pStyle w:val="-3"/>
              <w:spacing w:before="22" w:after="22" w:line="240" w:lineRule="auto"/>
              <w:rPr>
                <w:sz w:val="18"/>
                <w:szCs w:val="18"/>
                <w:rtl/>
              </w:rPr>
            </w:pPr>
            <w:r w:rsidRPr="000035FE">
              <w:rPr>
                <w:rFonts w:hint="cs"/>
                <w:sz w:val="18"/>
                <w:szCs w:val="18"/>
                <w:rtl/>
              </w:rPr>
              <w:t xml:space="preserve"> </w:t>
            </w:r>
            <w:r w:rsidRPr="000035FE">
              <w:rPr>
                <w:sz w:val="18"/>
                <w:szCs w:val="18"/>
                <w:rtl/>
              </w:rPr>
              <w:t>0</w:t>
            </w:r>
          </w:p>
        </w:tc>
        <w:tc>
          <w:tcPr>
            <w:tcW w:w="536" w:type="pct"/>
            <w:vAlign w:val="bottom"/>
          </w:tcPr>
          <w:p w14:paraId="605B69BF" w14:textId="77777777" w:rsidR="00ED1082" w:rsidRPr="000035FE" w:rsidRDefault="00ED1082" w:rsidP="00ED1082">
            <w:pPr>
              <w:pStyle w:val="-3"/>
              <w:spacing w:before="22" w:after="22" w:line="240" w:lineRule="auto"/>
              <w:rPr>
                <w:sz w:val="18"/>
                <w:szCs w:val="18"/>
                <w:rtl/>
              </w:rPr>
            </w:pPr>
            <w:r w:rsidRPr="000035FE">
              <w:rPr>
                <w:rFonts w:hint="cs"/>
                <w:sz w:val="18"/>
                <w:szCs w:val="18"/>
                <w:rtl/>
              </w:rPr>
              <w:t xml:space="preserve"> </w:t>
            </w:r>
            <w:r w:rsidRPr="000035FE">
              <w:rPr>
                <w:sz w:val="18"/>
                <w:szCs w:val="18"/>
                <w:rtl/>
              </w:rPr>
              <w:t>0</w:t>
            </w:r>
          </w:p>
        </w:tc>
        <w:tc>
          <w:tcPr>
            <w:tcW w:w="605" w:type="pct"/>
            <w:tcBorders>
              <w:right w:val="nil"/>
            </w:tcBorders>
            <w:vAlign w:val="bottom"/>
          </w:tcPr>
          <w:p w14:paraId="2DF4A2B9" w14:textId="77777777" w:rsidR="00ED1082" w:rsidRPr="000035FE" w:rsidRDefault="00ED1082" w:rsidP="00ED1082">
            <w:pPr>
              <w:pStyle w:val="-3"/>
              <w:spacing w:before="22" w:after="22" w:line="240" w:lineRule="auto"/>
              <w:rPr>
                <w:sz w:val="18"/>
                <w:szCs w:val="18"/>
                <w:rtl/>
              </w:rPr>
            </w:pPr>
            <w:r w:rsidRPr="000035FE">
              <w:rPr>
                <w:rFonts w:hint="cs"/>
                <w:sz w:val="18"/>
                <w:szCs w:val="18"/>
                <w:rtl/>
              </w:rPr>
              <w:t xml:space="preserve"> </w:t>
            </w:r>
            <w:r w:rsidRPr="000035FE">
              <w:rPr>
                <w:sz w:val="18"/>
                <w:szCs w:val="18"/>
                <w:rtl/>
              </w:rPr>
              <w:t>0</w:t>
            </w:r>
          </w:p>
        </w:tc>
      </w:tr>
      <w:tr w:rsidR="00FD6E97" w:rsidRPr="000035FE" w14:paraId="7CE90E3B" w14:textId="77777777" w:rsidTr="006A357B">
        <w:trPr>
          <w:trHeight w:val="259"/>
        </w:trPr>
        <w:tc>
          <w:tcPr>
            <w:tcW w:w="1088" w:type="pct"/>
            <w:vAlign w:val="bottom"/>
          </w:tcPr>
          <w:p w14:paraId="16B9D651" w14:textId="6D766B56" w:rsidR="00ED1082" w:rsidRPr="000035FE" w:rsidRDefault="00ED1082" w:rsidP="00ED1082">
            <w:pPr>
              <w:pStyle w:val="-0"/>
              <w:ind w:left="0" w:firstLine="0"/>
              <w:rPr>
                <w:b/>
                <w:bCs/>
                <w:sz w:val="18"/>
                <w:szCs w:val="18"/>
                <w:rtl/>
              </w:rPr>
            </w:pPr>
            <w:r w:rsidRPr="000035FE">
              <w:rPr>
                <w:rFonts w:hint="cs"/>
                <w:b/>
                <w:bCs/>
                <w:sz w:val="18"/>
                <w:szCs w:val="18"/>
                <w:rtl/>
              </w:rPr>
              <w:t xml:space="preserve">יתרה ליום 30 ביוני </w:t>
            </w:r>
            <w:r w:rsidR="006F1E84" w:rsidRPr="006F1E84">
              <w:rPr>
                <w:b/>
                <w:bCs/>
                <w:sz w:val="14"/>
                <w:szCs w:val="14"/>
                <w:rtl/>
              </w:rPr>
              <w:fldChar w:fldCharType="begin"/>
            </w:r>
            <w:r w:rsidR="006F1E84" w:rsidRPr="006F1E84">
              <w:rPr>
                <w:b/>
                <w:bCs/>
                <w:sz w:val="14"/>
                <w:szCs w:val="14"/>
                <w:rtl/>
              </w:rPr>
              <w:instrText xml:space="preserve"> </w:instrText>
            </w:r>
            <w:r w:rsidR="006F1E84" w:rsidRPr="006F1E84">
              <w:rPr>
                <w:rFonts w:hint="cs"/>
                <w:b/>
                <w:bCs/>
                <w:sz w:val="14"/>
                <w:szCs w:val="14"/>
                <w:rtl/>
              </w:rPr>
              <w:instrText xml:space="preserve">= </w:instrText>
            </w:r>
            <w:r w:rsidR="006F1E84" w:rsidRPr="006F1E84">
              <w:rPr>
                <w:rFonts w:hint="cs"/>
                <w:b/>
                <w:bCs/>
                <w:sz w:val="14"/>
                <w:szCs w:val="14"/>
              </w:rPr>
              <w:instrText>CY</w:instrText>
            </w:r>
            <w:r w:rsidR="006F1E84" w:rsidRPr="006F1E84">
              <w:rPr>
                <w:b/>
                <w:bCs/>
                <w:sz w:val="14"/>
                <w:szCs w:val="14"/>
              </w:rPr>
              <w:instrText>-1</w:instrText>
            </w:r>
            <w:r w:rsidR="006F1E84" w:rsidRPr="006F1E84">
              <w:rPr>
                <w:rFonts w:hint="cs"/>
                <w:b/>
                <w:bCs/>
                <w:sz w:val="14"/>
                <w:szCs w:val="14"/>
              </w:rPr>
              <w:instrText xml:space="preserve"> \* MERGEFORMAT</w:instrText>
            </w:r>
            <w:r w:rsidR="006F1E84" w:rsidRPr="006F1E84">
              <w:rPr>
                <w:b/>
                <w:bCs/>
                <w:sz w:val="14"/>
                <w:szCs w:val="14"/>
                <w:rtl/>
              </w:rPr>
              <w:instrText xml:space="preserve"> </w:instrText>
            </w:r>
            <w:r w:rsidR="006F1E84" w:rsidRPr="006F1E84">
              <w:rPr>
                <w:b/>
                <w:bCs/>
                <w:sz w:val="14"/>
                <w:szCs w:val="14"/>
                <w:rtl/>
              </w:rPr>
              <w:fldChar w:fldCharType="separate"/>
            </w:r>
            <w:r w:rsidR="003A584F" w:rsidRPr="003A584F">
              <w:rPr>
                <w:b/>
                <w:bCs/>
                <w:noProof/>
                <w:sz w:val="18"/>
                <w:szCs w:val="18"/>
                <w:rtl/>
              </w:rPr>
              <w:t>2023</w:t>
            </w:r>
            <w:r w:rsidR="006F1E84" w:rsidRPr="006F1E84">
              <w:rPr>
                <w:b/>
                <w:bCs/>
                <w:sz w:val="14"/>
                <w:szCs w:val="14"/>
                <w:rtl/>
              </w:rPr>
              <w:fldChar w:fldCharType="end"/>
            </w:r>
          </w:p>
        </w:tc>
        <w:tc>
          <w:tcPr>
            <w:tcW w:w="535" w:type="pct"/>
            <w:tcMar>
              <w:left w:w="58" w:type="dxa"/>
              <w:right w:w="58" w:type="dxa"/>
            </w:tcMar>
            <w:vAlign w:val="bottom"/>
          </w:tcPr>
          <w:p w14:paraId="725FA156" w14:textId="77777777" w:rsidR="00ED1082" w:rsidRPr="006A357B" w:rsidRDefault="00ED1082" w:rsidP="00ED1082">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474" w:type="pct"/>
            <w:vAlign w:val="bottom"/>
          </w:tcPr>
          <w:p w14:paraId="59BD5E1F" w14:textId="77777777" w:rsidR="00ED1082" w:rsidRPr="006A357B" w:rsidRDefault="00ED1082" w:rsidP="00ED1082">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538" w:type="pct"/>
            <w:vAlign w:val="bottom"/>
          </w:tcPr>
          <w:p w14:paraId="50D0AB18" w14:textId="77777777" w:rsidR="00ED1082" w:rsidRPr="006A357B" w:rsidRDefault="00ED1082" w:rsidP="00ED1082">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601" w:type="pct"/>
            <w:vAlign w:val="bottom"/>
          </w:tcPr>
          <w:p w14:paraId="70409DC5" w14:textId="77777777" w:rsidR="00ED1082" w:rsidRPr="006A357B" w:rsidRDefault="00ED1082" w:rsidP="0006190E">
            <w:pPr>
              <w:pStyle w:val="-3"/>
              <w:rPr>
                <w:b/>
                <w:bCs/>
                <w:sz w:val="18"/>
                <w:szCs w:val="18"/>
                <w:rtl/>
              </w:rPr>
            </w:pPr>
            <w:r w:rsidRPr="006A357B">
              <w:rPr>
                <w:rFonts w:hint="cs"/>
                <w:b/>
                <w:bCs/>
                <w:sz w:val="18"/>
                <w:szCs w:val="18"/>
                <w:rtl/>
              </w:rPr>
              <w:t xml:space="preserve"> </w:t>
            </w:r>
            <w:r w:rsidR="0006190E" w:rsidRPr="006A357B">
              <w:rPr>
                <w:rFonts w:hint="cs"/>
                <w:b/>
                <w:bCs/>
                <w:sz w:val="18"/>
                <w:szCs w:val="18"/>
                <w:rtl/>
              </w:rPr>
              <w:t>0</w:t>
            </w:r>
          </w:p>
        </w:tc>
        <w:tc>
          <w:tcPr>
            <w:tcW w:w="367" w:type="pct"/>
            <w:vAlign w:val="bottom"/>
          </w:tcPr>
          <w:p w14:paraId="79F1778A" w14:textId="77777777" w:rsidR="00ED1082" w:rsidRPr="006A357B" w:rsidRDefault="00ED1082" w:rsidP="00ED1082">
            <w:pPr>
              <w:pStyle w:val="-3"/>
              <w:jc w:val="left"/>
              <w:rPr>
                <w:b/>
                <w:bCs/>
                <w:sz w:val="18"/>
                <w:szCs w:val="18"/>
                <w:rtl/>
              </w:rPr>
            </w:pPr>
            <w:r w:rsidRPr="006A357B">
              <w:rPr>
                <w:rFonts w:hint="cs"/>
                <w:b/>
                <w:bCs/>
                <w:sz w:val="18"/>
                <w:szCs w:val="18"/>
                <w:rtl/>
              </w:rPr>
              <w:t xml:space="preserve"> </w:t>
            </w:r>
            <w:r w:rsidRPr="006A357B">
              <w:rPr>
                <w:b/>
                <w:bCs/>
                <w:sz w:val="18"/>
                <w:szCs w:val="18"/>
                <w:rtl/>
              </w:rPr>
              <w:t>0</w:t>
            </w:r>
          </w:p>
        </w:tc>
        <w:tc>
          <w:tcPr>
            <w:tcW w:w="256" w:type="pct"/>
            <w:tcMar>
              <w:left w:w="58" w:type="dxa"/>
              <w:right w:w="58" w:type="dxa"/>
            </w:tcMar>
            <w:vAlign w:val="bottom"/>
          </w:tcPr>
          <w:p w14:paraId="3F83D568" w14:textId="77777777" w:rsidR="00ED1082" w:rsidRPr="006A357B" w:rsidRDefault="00ED1082" w:rsidP="00ED1082">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536" w:type="pct"/>
            <w:vAlign w:val="bottom"/>
          </w:tcPr>
          <w:p w14:paraId="3F9EBC64" w14:textId="77777777" w:rsidR="00ED1082" w:rsidRPr="006A357B" w:rsidRDefault="00ED1082" w:rsidP="00ED1082">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605" w:type="pct"/>
            <w:tcBorders>
              <w:right w:val="nil"/>
            </w:tcBorders>
            <w:vAlign w:val="bottom"/>
          </w:tcPr>
          <w:p w14:paraId="47AE185A" w14:textId="77777777" w:rsidR="00ED1082" w:rsidRPr="006A357B" w:rsidRDefault="00ED1082" w:rsidP="00ED1082">
            <w:pPr>
              <w:pStyle w:val="-3"/>
              <w:rPr>
                <w:b/>
                <w:bCs/>
                <w:sz w:val="18"/>
                <w:szCs w:val="18"/>
                <w:rtl/>
              </w:rPr>
            </w:pPr>
            <w:r w:rsidRPr="006A357B">
              <w:rPr>
                <w:rFonts w:hint="cs"/>
                <w:b/>
                <w:bCs/>
                <w:sz w:val="18"/>
                <w:szCs w:val="18"/>
                <w:rtl/>
              </w:rPr>
              <w:t xml:space="preserve"> 0</w:t>
            </w:r>
          </w:p>
        </w:tc>
      </w:tr>
    </w:tbl>
    <w:p w14:paraId="13D3EFF6" w14:textId="77777777" w:rsidR="00027D6F" w:rsidRDefault="00027D6F" w:rsidP="00CA1378">
      <w:pPr>
        <w:spacing w:after="120"/>
        <w:rPr>
          <w:rtl/>
        </w:rPr>
      </w:pPr>
    </w:p>
    <w:tbl>
      <w:tblPr>
        <w:bidiVisual/>
        <w:tblW w:w="4763" w:type="pct"/>
        <w:tblInd w:w="-60" w:type="dxa"/>
        <w:tblLook w:val="01E0" w:firstRow="1" w:lastRow="1" w:firstColumn="1" w:lastColumn="1" w:noHBand="0" w:noVBand="0"/>
      </w:tblPr>
      <w:tblGrid>
        <w:gridCol w:w="762"/>
        <w:gridCol w:w="737"/>
        <w:gridCol w:w="8224"/>
      </w:tblGrid>
      <w:tr w:rsidR="00EC46DF" w:rsidRPr="00011265" w14:paraId="2F59549F" w14:textId="77777777" w:rsidTr="00153736">
        <w:trPr>
          <w:trHeight w:val="259"/>
        </w:trPr>
        <w:tc>
          <w:tcPr>
            <w:tcW w:w="392" w:type="pct"/>
          </w:tcPr>
          <w:p w14:paraId="4BDB48D3" w14:textId="77777777" w:rsidR="00EC46DF" w:rsidRPr="00011265" w:rsidRDefault="00EC46DF" w:rsidP="00153736">
            <w:pPr>
              <w:pStyle w:val="-7"/>
              <w:rPr>
                <w:rtl/>
              </w:rPr>
            </w:pPr>
          </w:p>
        </w:tc>
        <w:tc>
          <w:tcPr>
            <w:tcW w:w="379" w:type="pct"/>
            <w:vAlign w:val="bottom"/>
          </w:tcPr>
          <w:p w14:paraId="3685A6C9" w14:textId="77777777" w:rsidR="00EC46DF" w:rsidRPr="00011265" w:rsidRDefault="00EC46DF" w:rsidP="00153736">
            <w:pPr>
              <w:pStyle w:val="-7"/>
              <w:rPr>
                <w:rtl/>
              </w:rPr>
            </w:pPr>
          </w:p>
        </w:tc>
        <w:tc>
          <w:tcPr>
            <w:tcW w:w="4229" w:type="pct"/>
            <w:vAlign w:val="bottom"/>
          </w:tcPr>
          <w:p w14:paraId="405C4895" w14:textId="64FFC917" w:rsidR="00EC46DF" w:rsidRPr="003765C0" w:rsidRDefault="00EC46DF" w:rsidP="00153736">
            <w:pPr>
              <w:pStyle w:val="-f4"/>
              <w:ind w:left="214" w:hanging="214"/>
              <w:rPr>
                <w:sz w:val="18"/>
                <w:szCs w:val="18"/>
                <w:rtl/>
              </w:rPr>
            </w:pPr>
            <w:r w:rsidRPr="003765C0">
              <w:rPr>
                <w:rFonts w:hint="cs"/>
                <w:sz w:val="18"/>
                <w:szCs w:val="18"/>
                <w:rtl/>
              </w:rPr>
              <w:t>3.</w:t>
            </w:r>
            <w:r w:rsidRPr="003765C0">
              <w:rPr>
                <w:sz w:val="18"/>
                <w:szCs w:val="18"/>
                <w:rtl/>
              </w:rPr>
              <w:tab/>
            </w:r>
            <w:r w:rsidRPr="003765C0">
              <w:rPr>
                <w:rFonts w:hint="cs"/>
                <w:sz w:val="18"/>
                <w:szCs w:val="18"/>
                <w:rtl/>
              </w:rPr>
              <w:t xml:space="preserve">לשנת </w:t>
            </w:r>
            <w:r w:rsidRPr="003765C0">
              <w:rPr>
                <w:sz w:val="18"/>
                <w:szCs w:val="18"/>
                <w:rtl/>
              </w:rPr>
              <w:fldChar w:fldCharType="begin"/>
            </w:r>
            <w:r w:rsidRPr="003765C0">
              <w:rPr>
                <w:sz w:val="18"/>
                <w:szCs w:val="18"/>
                <w:rtl/>
              </w:rPr>
              <w:instrText xml:space="preserve"> </w:instrText>
            </w:r>
            <w:r w:rsidRPr="003765C0">
              <w:rPr>
                <w:rFonts w:hint="cs"/>
                <w:sz w:val="18"/>
                <w:szCs w:val="18"/>
                <w:rtl/>
              </w:rPr>
              <w:instrText xml:space="preserve">= </w:instrText>
            </w:r>
            <w:r w:rsidRPr="003765C0">
              <w:rPr>
                <w:rFonts w:hint="cs"/>
                <w:sz w:val="18"/>
                <w:szCs w:val="18"/>
              </w:rPr>
              <w:instrText>CY</w:instrText>
            </w:r>
            <w:r w:rsidRPr="003765C0">
              <w:rPr>
                <w:sz w:val="18"/>
                <w:szCs w:val="18"/>
              </w:rPr>
              <w:instrText>-1</w:instrText>
            </w:r>
            <w:r w:rsidRPr="003765C0">
              <w:rPr>
                <w:rFonts w:hint="cs"/>
                <w:sz w:val="18"/>
                <w:szCs w:val="18"/>
              </w:rPr>
              <w:instrText xml:space="preserve"> \* MERGEFORMAT</w:instrText>
            </w:r>
            <w:r w:rsidRPr="003765C0">
              <w:rPr>
                <w:sz w:val="18"/>
                <w:szCs w:val="18"/>
                <w:rtl/>
              </w:rPr>
              <w:instrText xml:space="preserve"> </w:instrText>
            </w:r>
            <w:r w:rsidRPr="003765C0">
              <w:rPr>
                <w:sz w:val="18"/>
                <w:szCs w:val="18"/>
                <w:rtl/>
              </w:rPr>
              <w:fldChar w:fldCharType="separate"/>
            </w:r>
            <w:r w:rsidRPr="003765C0">
              <w:rPr>
                <w:noProof/>
                <w:sz w:val="18"/>
                <w:szCs w:val="18"/>
                <w:rtl/>
              </w:rPr>
              <w:t>2023</w:t>
            </w:r>
            <w:r w:rsidRPr="003765C0">
              <w:rPr>
                <w:sz w:val="18"/>
                <w:szCs w:val="18"/>
                <w:rtl/>
              </w:rPr>
              <w:fldChar w:fldCharType="end"/>
            </w:r>
            <w:r w:rsidRPr="003765C0">
              <w:rPr>
                <w:rFonts w:hint="cs"/>
                <w:sz w:val="18"/>
                <w:szCs w:val="18"/>
                <w:rtl/>
              </w:rPr>
              <w:t xml:space="preserve"> (מבוקר):</w:t>
            </w:r>
          </w:p>
        </w:tc>
      </w:tr>
    </w:tbl>
    <w:p w14:paraId="6DC9D2EF" w14:textId="77777777" w:rsidR="00EC46DF" w:rsidRDefault="00EC46DF"/>
    <w:tbl>
      <w:tblPr>
        <w:bidiVisual/>
        <w:tblW w:w="5183" w:type="pct"/>
        <w:tblInd w:w="-95" w:type="dxa"/>
        <w:tblBorders>
          <w:right w:val="single" w:sz="4" w:space="0" w:color="auto"/>
        </w:tblBorders>
        <w:tblLook w:val="04A0" w:firstRow="1" w:lastRow="0" w:firstColumn="1" w:lastColumn="0" w:noHBand="0" w:noVBand="1"/>
      </w:tblPr>
      <w:tblGrid>
        <w:gridCol w:w="2302"/>
        <w:gridCol w:w="1132"/>
        <w:gridCol w:w="1003"/>
        <w:gridCol w:w="1139"/>
        <w:gridCol w:w="1272"/>
        <w:gridCol w:w="777"/>
        <w:gridCol w:w="542"/>
        <w:gridCol w:w="1134"/>
        <w:gridCol w:w="1280"/>
      </w:tblGrid>
      <w:tr w:rsidR="00CA1378" w:rsidRPr="000035FE" w14:paraId="6ED181EF" w14:textId="77777777" w:rsidTr="006A357B">
        <w:trPr>
          <w:trHeight w:val="259"/>
        </w:trPr>
        <w:tc>
          <w:tcPr>
            <w:tcW w:w="1088" w:type="pct"/>
            <w:tcBorders>
              <w:bottom w:val="nil"/>
            </w:tcBorders>
            <w:vAlign w:val="bottom"/>
          </w:tcPr>
          <w:p w14:paraId="65679A05" w14:textId="1FCD97AD" w:rsidR="00CA1378" w:rsidRPr="000035FE" w:rsidRDefault="00CA1378" w:rsidP="00400DD1">
            <w:pPr>
              <w:pStyle w:val="-0"/>
              <w:ind w:left="0" w:firstLine="0"/>
              <w:rPr>
                <w:b/>
                <w:bCs/>
                <w:sz w:val="18"/>
                <w:szCs w:val="18"/>
                <w:rtl/>
              </w:rPr>
            </w:pPr>
          </w:p>
        </w:tc>
        <w:tc>
          <w:tcPr>
            <w:tcW w:w="535" w:type="pct"/>
          </w:tcPr>
          <w:p w14:paraId="528C9266" w14:textId="77777777" w:rsidR="00CA1378" w:rsidRPr="00FD6E97" w:rsidRDefault="00CA1378" w:rsidP="00400DD1">
            <w:pPr>
              <w:pStyle w:val="-3"/>
              <w:jc w:val="center"/>
              <w:rPr>
                <w:b/>
                <w:bCs/>
                <w:sz w:val="17"/>
                <w:szCs w:val="17"/>
                <w:rtl/>
              </w:rPr>
            </w:pPr>
          </w:p>
        </w:tc>
        <w:tc>
          <w:tcPr>
            <w:tcW w:w="2236" w:type="pct"/>
            <w:gridSpan w:val="5"/>
            <w:tcMar>
              <w:left w:w="58" w:type="dxa"/>
              <w:right w:w="58" w:type="dxa"/>
            </w:tcMar>
            <w:vAlign w:val="bottom"/>
          </w:tcPr>
          <w:p w14:paraId="75D93210" w14:textId="77777777" w:rsidR="00CA1378" w:rsidRPr="00FD6E97" w:rsidRDefault="00CA1378" w:rsidP="00400DD1">
            <w:pPr>
              <w:pStyle w:val="-3"/>
              <w:pBdr>
                <w:bottom w:val="single" w:sz="4" w:space="1" w:color="auto"/>
              </w:pBdr>
              <w:spacing w:after="40" w:line="240" w:lineRule="auto"/>
              <w:jc w:val="center"/>
              <w:rPr>
                <w:sz w:val="17"/>
                <w:szCs w:val="17"/>
                <w:rtl/>
              </w:rPr>
            </w:pPr>
            <w:r w:rsidRPr="00FD6E97">
              <w:rPr>
                <w:rFonts w:hint="eastAsia"/>
                <w:b/>
                <w:bCs/>
                <w:sz w:val="17"/>
                <w:szCs w:val="17"/>
                <w:rtl/>
              </w:rPr>
              <w:t>רווח</w:t>
            </w:r>
            <w:r w:rsidRPr="00FD6E97">
              <w:rPr>
                <w:b/>
                <w:bCs/>
                <w:sz w:val="17"/>
                <w:szCs w:val="17"/>
                <w:rtl/>
              </w:rPr>
              <w:t xml:space="preserve"> </w:t>
            </w:r>
            <w:r w:rsidRPr="00FD6E97">
              <w:rPr>
                <w:rFonts w:hint="eastAsia"/>
                <w:b/>
                <w:bCs/>
                <w:sz w:val="17"/>
                <w:szCs w:val="17"/>
                <w:rtl/>
              </w:rPr>
              <w:t>כולל</w:t>
            </w:r>
            <w:r w:rsidRPr="00FD6E97">
              <w:rPr>
                <w:b/>
                <w:bCs/>
                <w:sz w:val="17"/>
                <w:szCs w:val="17"/>
                <w:rtl/>
              </w:rPr>
              <w:t xml:space="preserve"> </w:t>
            </w:r>
            <w:r w:rsidRPr="00FD6E97">
              <w:rPr>
                <w:rFonts w:hint="eastAsia"/>
                <w:b/>
                <w:bCs/>
                <w:sz w:val="17"/>
                <w:szCs w:val="17"/>
                <w:rtl/>
              </w:rPr>
              <w:t>אחר</w:t>
            </w:r>
            <w:r w:rsidRPr="00FD6E97">
              <w:rPr>
                <w:b/>
                <w:bCs/>
                <w:sz w:val="17"/>
                <w:szCs w:val="17"/>
                <w:rtl/>
              </w:rPr>
              <w:t xml:space="preserve"> </w:t>
            </w:r>
            <w:r w:rsidRPr="00FD6E97">
              <w:rPr>
                <w:rFonts w:hint="eastAsia"/>
                <w:b/>
                <w:bCs/>
                <w:sz w:val="17"/>
                <w:szCs w:val="17"/>
                <w:rtl/>
              </w:rPr>
              <w:t>לפני</w:t>
            </w:r>
            <w:r w:rsidRPr="00FD6E97">
              <w:rPr>
                <w:b/>
                <w:bCs/>
                <w:sz w:val="17"/>
                <w:szCs w:val="17"/>
                <w:rtl/>
              </w:rPr>
              <w:t xml:space="preserve"> </w:t>
            </w:r>
            <w:r w:rsidRPr="00FD6E97">
              <w:rPr>
                <w:rFonts w:hint="eastAsia"/>
                <w:b/>
                <w:bCs/>
                <w:sz w:val="17"/>
                <w:szCs w:val="17"/>
                <w:rtl/>
              </w:rPr>
              <w:t>ייחוס</w:t>
            </w:r>
            <w:r w:rsidRPr="00FD6E97">
              <w:rPr>
                <w:b/>
                <w:bCs/>
                <w:sz w:val="17"/>
                <w:szCs w:val="17"/>
                <w:rtl/>
              </w:rPr>
              <w:t xml:space="preserve"> </w:t>
            </w:r>
            <w:r w:rsidRPr="00FD6E97">
              <w:rPr>
                <w:rFonts w:hint="eastAsia"/>
                <w:b/>
                <w:bCs/>
                <w:sz w:val="17"/>
                <w:szCs w:val="17"/>
                <w:rtl/>
              </w:rPr>
              <w:t>לבעלי</w:t>
            </w:r>
            <w:r w:rsidRPr="00FD6E97">
              <w:rPr>
                <w:b/>
                <w:bCs/>
                <w:sz w:val="17"/>
                <w:szCs w:val="17"/>
                <w:rtl/>
              </w:rPr>
              <w:t xml:space="preserve"> </w:t>
            </w:r>
            <w:r w:rsidRPr="00FD6E97">
              <w:rPr>
                <w:rFonts w:hint="eastAsia"/>
                <w:b/>
                <w:bCs/>
                <w:sz w:val="17"/>
                <w:szCs w:val="17"/>
                <w:rtl/>
              </w:rPr>
              <w:t>זכויות</w:t>
            </w:r>
            <w:r w:rsidRPr="00FD6E97">
              <w:rPr>
                <w:b/>
                <w:bCs/>
                <w:sz w:val="17"/>
                <w:szCs w:val="17"/>
                <w:rtl/>
              </w:rPr>
              <w:t xml:space="preserve"> </w:t>
            </w:r>
            <w:r w:rsidRPr="00FD6E97">
              <w:rPr>
                <w:rFonts w:hint="eastAsia"/>
                <w:b/>
                <w:bCs/>
                <w:sz w:val="17"/>
                <w:szCs w:val="17"/>
                <w:rtl/>
              </w:rPr>
              <w:t>שאינן</w:t>
            </w:r>
            <w:r w:rsidRPr="00FD6E97">
              <w:rPr>
                <w:b/>
                <w:bCs/>
                <w:sz w:val="17"/>
                <w:szCs w:val="17"/>
                <w:rtl/>
              </w:rPr>
              <w:t xml:space="preserve"> </w:t>
            </w:r>
            <w:r w:rsidRPr="00FD6E97">
              <w:rPr>
                <w:rFonts w:hint="eastAsia"/>
                <w:b/>
                <w:bCs/>
                <w:sz w:val="17"/>
                <w:szCs w:val="17"/>
                <w:rtl/>
              </w:rPr>
              <w:t>מקנות</w:t>
            </w:r>
            <w:r w:rsidRPr="00FD6E97">
              <w:rPr>
                <w:b/>
                <w:bCs/>
                <w:sz w:val="17"/>
                <w:szCs w:val="17"/>
                <w:rtl/>
              </w:rPr>
              <w:t xml:space="preserve"> </w:t>
            </w:r>
            <w:r w:rsidRPr="00FD6E97">
              <w:rPr>
                <w:rFonts w:hint="eastAsia"/>
                <w:b/>
                <w:bCs/>
                <w:sz w:val="17"/>
                <w:szCs w:val="17"/>
                <w:rtl/>
              </w:rPr>
              <w:t>שליטה</w:t>
            </w:r>
          </w:p>
        </w:tc>
        <w:tc>
          <w:tcPr>
            <w:tcW w:w="536" w:type="pct"/>
            <w:vMerge w:val="restart"/>
            <w:vAlign w:val="bottom"/>
          </w:tcPr>
          <w:p w14:paraId="286275F1" w14:textId="77777777" w:rsidR="00CA1378" w:rsidRPr="00FD6E97" w:rsidRDefault="00CA1378" w:rsidP="00400DD1">
            <w:pPr>
              <w:pStyle w:val="-3"/>
              <w:pBdr>
                <w:bottom w:val="single" w:sz="4" w:space="1" w:color="auto"/>
              </w:pBdr>
              <w:spacing w:line="240" w:lineRule="auto"/>
              <w:jc w:val="center"/>
              <w:rPr>
                <w:sz w:val="17"/>
                <w:szCs w:val="17"/>
                <w:rtl/>
              </w:rPr>
            </w:pPr>
            <w:r w:rsidRPr="00FD6E97">
              <w:rPr>
                <w:rFonts w:hint="eastAsia"/>
                <w:b/>
                <w:bCs/>
                <w:sz w:val="17"/>
                <w:szCs w:val="17"/>
                <w:rtl/>
              </w:rPr>
              <w:t>רווח</w:t>
            </w:r>
            <w:r w:rsidRPr="00FD6E97">
              <w:rPr>
                <w:b/>
                <w:bCs/>
                <w:sz w:val="17"/>
                <w:szCs w:val="17"/>
                <w:rtl/>
              </w:rPr>
              <w:t xml:space="preserve"> </w:t>
            </w:r>
            <w:r w:rsidRPr="00FD6E97">
              <w:rPr>
                <w:rFonts w:hint="eastAsia"/>
                <w:b/>
                <w:bCs/>
                <w:sz w:val="17"/>
                <w:szCs w:val="17"/>
                <w:rtl/>
              </w:rPr>
              <w:t>כולל</w:t>
            </w:r>
            <w:r w:rsidRPr="00FD6E97">
              <w:rPr>
                <w:b/>
                <w:bCs/>
                <w:sz w:val="17"/>
                <w:szCs w:val="17"/>
                <w:rtl/>
              </w:rPr>
              <w:t xml:space="preserve"> </w:t>
            </w:r>
            <w:r w:rsidRPr="00FD6E97">
              <w:rPr>
                <w:rFonts w:hint="eastAsia"/>
                <w:b/>
                <w:bCs/>
                <w:sz w:val="17"/>
                <w:szCs w:val="17"/>
                <w:rtl/>
              </w:rPr>
              <w:t>אחר</w:t>
            </w:r>
            <w:r w:rsidRPr="00FD6E97">
              <w:rPr>
                <w:b/>
                <w:bCs/>
                <w:sz w:val="17"/>
                <w:szCs w:val="17"/>
                <w:rtl/>
              </w:rPr>
              <w:t xml:space="preserve"> </w:t>
            </w:r>
            <w:r w:rsidRPr="00FD6E97">
              <w:rPr>
                <w:rFonts w:hint="eastAsia"/>
                <w:b/>
                <w:bCs/>
                <w:sz w:val="17"/>
                <w:szCs w:val="17"/>
                <w:rtl/>
              </w:rPr>
              <w:t>המיוחס</w:t>
            </w:r>
            <w:r w:rsidRPr="00FD6E97">
              <w:rPr>
                <w:b/>
                <w:bCs/>
                <w:sz w:val="17"/>
                <w:szCs w:val="17"/>
                <w:rtl/>
              </w:rPr>
              <w:t xml:space="preserve"> </w:t>
            </w:r>
            <w:r w:rsidRPr="00FD6E97">
              <w:rPr>
                <w:rFonts w:hint="eastAsia"/>
                <w:b/>
                <w:bCs/>
                <w:sz w:val="17"/>
                <w:szCs w:val="17"/>
                <w:rtl/>
              </w:rPr>
              <w:t>לבעלי</w:t>
            </w:r>
            <w:r w:rsidRPr="00FD6E97">
              <w:rPr>
                <w:b/>
                <w:bCs/>
                <w:sz w:val="17"/>
                <w:szCs w:val="17"/>
                <w:rtl/>
              </w:rPr>
              <w:t xml:space="preserve"> </w:t>
            </w:r>
            <w:r w:rsidRPr="00FD6E97">
              <w:rPr>
                <w:rFonts w:hint="eastAsia"/>
                <w:b/>
                <w:bCs/>
                <w:sz w:val="17"/>
                <w:szCs w:val="17"/>
                <w:rtl/>
              </w:rPr>
              <w:t>זכויות</w:t>
            </w:r>
            <w:r w:rsidRPr="00FD6E97">
              <w:rPr>
                <w:b/>
                <w:bCs/>
                <w:sz w:val="17"/>
                <w:szCs w:val="17"/>
                <w:rtl/>
              </w:rPr>
              <w:t xml:space="preserve"> </w:t>
            </w:r>
            <w:r w:rsidRPr="00FD6E97">
              <w:rPr>
                <w:rFonts w:hint="eastAsia"/>
                <w:b/>
                <w:bCs/>
                <w:sz w:val="17"/>
                <w:szCs w:val="17"/>
                <w:rtl/>
              </w:rPr>
              <w:t>שאינן</w:t>
            </w:r>
            <w:r w:rsidRPr="00FD6E97">
              <w:rPr>
                <w:b/>
                <w:bCs/>
                <w:sz w:val="17"/>
                <w:szCs w:val="17"/>
                <w:rtl/>
              </w:rPr>
              <w:t xml:space="preserve"> </w:t>
            </w:r>
            <w:r w:rsidRPr="00FD6E97">
              <w:rPr>
                <w:rFonts w:hint="eastAsia"/>
                <w:b/>
                <w:bCs/>
                <w:sz w:val="17"/>
                <w:szCs w:val="17"/>
                <w:rtl/>
              </w:rPr>
              <w:t>מקנות</w:t>
            </w:r>
            <w:r w:rsidRPr="00FD6E97">
              <w:rPr>
                <w:b/>
                <w:bCs/>
                <w:sz w:val="17"/>
                <w:szCs w:val="17"/>
                <w:rtl/>
              </w:rPr>
              <w:t xml:space="preserve"> </w:t>
            </w:r>
            <w:r w:rsidRPr="00FD6E97">
              <w:rPr>
                <w:rFonts w:hint="eastAsia"/>
                <w:b/>
                <w:bCs/>
                <w:sz w:val="17"/>
                <w:szCs w:val="17"/>
                <w:rtl/>
              </w:rPr>
              <w:t>שליטה</w:t>
            </w:r>
          </w:p>
        </w:tc>
        <w:tc>
          <w:tcPr>
            <w:tcW w:w="605" w:type="pct"/>
            <w:vMerge w:val="restart"/>
            <w:tcBorders>
              <w:right w:val="nil"/>
            </w:tcBorders>
            <w:vAlign w:val="bottom"/>
          </w:tcPr>
          <w:p w14:paraId="64536834" w14:textId="77777777" w:rsidR="00CA1378" w:rsidRPr="00FD6E97" w:rsidRDefault="00CA1378" w:rsidP="00400DD1">
            <w:pPr>
              <w:pStyle w:val="-3"/>
              <w:pBdr>
                <w:bottom w:val="single" w:sz="4" w:space="1" w:color="auto"/>
              </w:pBdr>
              <w:spacing w:line="240" w:lineRule="auto"/>
              <w:jc w:val="center"/>
              <w:rPr>
                <w:sz w:val="17"/>
                <w:szCs w:val="17"/>
                <w:rtl/>
              </w:rPr>
            </w:pPr>
            <w:r w:rsidRPr="00FD6E97">
              <w:rPr>
                <w:rFonts w:hint="eastAsia"/>
                <w:b/>
                <w:bCs/>
                <w:sz w:val="17"/>
                <w:szCs w:val="17"/>
                <w:rtl/>
              </w:rPr>
              <w:t>רווח</w:t>
            </w:r>
            <w:r w:rsidRPr="00FD6E97">
              <w:rPr>
                <w:b/>
                <w:bCs/>
                <w:sz w:val="17"/>
                <w:szCs w:val="17"/>
                <w:rtl/>
              </w:rPr>
              <w:t xml:space="preserve"> </w:t>
            </w:r>
            <w:r w:rsidRPr="00FD6E97">
              <w:rPr>
                <w:rFonts w:hint="eastAsia"/>
                <w:b/>
                <w:bCs/>
                <w:sz w:val="17"/>
                <w:szCs w:val="17"/>
                <w:rtl/>
              </w:rPr>
              <w:t>כולל</w:t>
            </w:r>
            <w:r w:rsidRPr="00FD6E97">
              <w:rPr>
                <w:b/>
                <w:bCs/>
                <w:sz w:val="17"/>
                <w:szCs w:val="17"/>
                <w:rtl/>
              </w:rPr>
              <w:t xml:space="preserve"> </w:t>
            </w:r>
            <w:r w:rsidRPr="00FD6E97">
              <w:rPr>
                <w:rFonts w:hint="eastAsia"/>
                <w:b/>
                <w:bCs/>
                <w:sz w:val="17"/>
                <w:szCs w:val="17"/>
                <w:rtl/>
              </w:rPr>
              <w:t>אחר</w:t>
            </w:r>
            <w:r w:rsidRPr="00FD6E97">
              <w:rPr>
                <w:b/>
                <w:bCs/>
                <w:sz w:val="17"/>
                <w:szCs w:val="17"/>
                <w:rtl/>
              </w:rPr>
              <w:t xml:space="preserve"> </w:t>
            </w:r>
            <w:r w:rsidRPr="00FD6E97">
              <w:rPr>
                <w:rFonts w:hint="eastAsia"/>
                <w:b/>
                <w:bCs/>
                <w:sz w:val="17"/>
                <w:szCs w:val="17"/>
                <w:rtl/>
              </w:rPr>
              <w:t>המיוחס</w:t>
            </w:r>
            <w:r w:rsidRPr="00FD6E97">
              <w:rPr>
                <w:b/>
                <w:bCs/>
                <w:sz w:val="17"/>
                <w:szCs w:val="17"/>
                <w:rtl/>
              </w:rPr>
              <w:t xml:space="preserve"> </w:t>
            </w:r>
            <w:r w:rsidRPr="00FD6E97">
              <w:rPr>
                <w:rFonts w:hint="eastAsia"/>
                <w:b/>
                <w:bCs/>
                <w:sz w:val="17"/>
                <w:szCs w:val="17"/>
                <w:rtl/>
              </w:rPr>
              <w:t>לבעלי</w:t>
            </w:r>
            <w:r w:rsidRPr="00FD6E97">
              <w:rPr>
                <w:b/>
                <w:bCs/>
                <w:sz w:val="17"/>
                <w:szCs w:val="17"/>
                <w:rtl/>
              </w:rPr>
              <w:t xml:space="preserve"> </w:t>
            </w:r>
            <w:r w:rsidRPr="00FD6E97">
              <w:rPr>
                <w:rFonts w:hint="eastAsia"/>
                <w:b/>
                <w:bCs/>
                <w:sz w:val="17"/>
                <w:szCs w:val="17"/>
                <w:rtl/>
              </w:rPr>
              <w:t>מניות</w:t>
            </w:r>
            <w:r w:rsidRPr="00FD6E97">
              <w:rPr>
                <w:b/>
                <w:bCs/>
                <w:sz w:val="17"/>
                <w:szCs w:val="17"/>
                <w:rtl/>
              </w:rPr>
              <w:t xml:space="preserve"> </w:t>
            </w:r>
            <w:r w:rsidRPr="00FD6E97">
              <w:rPr>
                <w:rFonts w:hint="eastAsia"/>
                <w:b/>
                <w:bCs/>
                <w:sz w:val="17"/>
                <w:szCs w:val="17"/>
                <w:rtl/>
              </w:rPr>
              <w:t>התאגיד</w:t>
            </w:r>
            <w:r w:rsidRPr="00FD6E97">
              <w:rPr>
                <w:b/>
                <w:bCs/>
                <w:sz w:val="17"/>
                <w:szCs w:val="17"/>
                <w:rtl/>
              </w:rPr>
              <w:t xml:space="preserve"> </w:t>
            </w:r>
            <w:r w:rsidRPr="00FD6E97">
              <w:rPr>
                <w:rFonts w:hint="eastAsia"/>
                <w:b/>
                <w:bCs/>
                <w:sz w:val="17"/>
                <w:szCs w:val="17"/>
                <w:rtl/>
              </w:rPr>
              <w:t>הבנקאי</w:t>
            </w:r>
          </w:p>
        </w:tc>
      </w:tr>
      <w:tr w:rsidR="00CA1378" w:rsidRPr="000035FE" w14:paraId="0FF65C13" w14:textId="77777777" w:rsidTr="006A357B">
        <w:trPr>
          <w:trHeight w:val="259"/>
        </w:trPr>
        <w:tc>
          <w:tcPr>
            <w:tcW w:w="1088" w:type="pct"/>
            <w:tcBorders>
              <w:left w:val="nil"/>
            </w:tcBorders>
            <w:vAlign w:val="bottom"/>
          </w:tcPr>
          <w:p w14:paraId="76728F01" w14:textId="77777777" w:rsidR="00CA1378" w:rsidRPr="000035FE" w:rsidRDefault="00CA1378" w:rsidP="00400DD1">
            <w:pPr>
              <w:pStyle w:val="-0"/>
              <w:ind w:left="0" w:firstLine="0"/>
              <w:jc w:val="center"/>
              <w:rPr>
                <w:b/>
                <w:bCs/>
                <w:sz w:val="18"/>
                <w:szCs w:val="18"/>
                <w:rtl/>
              </w:rPr>
            </w:pPr>
          </w:p>
        </w:tc>
        <w:tc>
          <w:tcPr>
            <w:tcW w:w="535" w:type="pct"/>
            <w:tcMar>
              <w:left w:w="58" w:type="dxa"/>
              <w:right w:w="58" w:type="dxa"/>
            </w:tcMar>
            <w:vAlign w:val="bottom"/>
          </w:tcPr>
          <w:p w14:paraId="23E509D5" w14:textId="77777777" w:rsidR="00CA1378" w:rsidRPr="00FD6E97" w:rsidRDefault="00CA1378" w:rsidP="00400DD1">
            <w:pPr>
              <w:pStyle w:val="-3"/>
              <w:pBdr>
                <w:bottom w:val="single" w:sz="4" w:space="1" w:color="auto"/>
              </w:pBdr>
              <w:jc w:val="center"/>
              <w:rPr>
                <w:b/>
                <w:bCs/>
                <w:sz w:val="17"/>
                <w:szCs w:val="17"/>
                <w:rtl/>
              </w:rPr>
            </w:pPr>
            <w:r w:rsidRPr="00FD6E97">
              <w:rPr>
                <w:rFonts w:hint="eastAsia"/>
                <w:b/>
                <w:bCs/>
                <w:sz w:val="17"/>
                <w:szCs w:val="17"/>
                <w:rtl/>
              </w:rPr>
              <w:t>התאמות</w:t>
            </w:r>
            <w:r w:rsidRPr="00FD6E97">
              <w:rPr>
                <w:b/>
                <w:bCs/>
                <w:sz w:val="17"/>
                <w:szCs w:val="17"/>
                <w:rtl/>
              </w:rPr>
              <w:t xml:space="preserve"> </w:t>
            </w:r>
            <w:r w:rsidRPr="00FD6E97">
              <w:rPr>
                <w:rFonts w:hint="eastAsia"/>
                <w:b/>
                <w:bCs/>
                <w:sz w:val="17"/>
                <w:szCs w:val="17"/>
                <w:rtl/>
              </w:rPr>
              <w:t>בגין</w:t>
            </w:r>
            <w:r w:rsidRPr="00FD6E97">
              <w:rPr>
                <w:b/>
                <w:bCs/>
                <w:sz w:val="17"/>
                <w:szCs w:val="17"/>
                <w:rtl/>
              </w:rPr>
              <w:t xml:space="preserve"> </w:t>
            </w:r>
            <w:r w:rsidRPr="00FD6E97">
              <w:rPr>
                <w:rFonts w:hint="eastAsia"/>
                <w:b/>
                <w:bCs/>
                <w:sz w:val="17"/>
                <w:szCs w:val="17"/>
                <w:rtl/>
              </w:rPr>
              <w:t>הצגת</w:t>
            </w:r>
            <w:r w:rsidRPr="00FD6E97">
              <w:rPr>
                <w:b/>
                <w:bCs/>
                <w:sz w:val="17"/>
                <w:szCs w:val="17"/>
                <w:rtl/>
              </w:rPr>
              <w:t xml:space="preserve"> </w:t>
            </w:r>
            <w:r w:rsidRPr="00FD6E97">
              <w:rPr>
                <w:rFonts w:hint="cs"/>
                <w:b/>
                <w:bCs/>
                <w:sz w:val="17"/>
                <w:szCs w:val="17"/>
                <w:rtl/>
              </w:rPr>
              <w:t>אגרות חוב</w:t>
            </w:r>
            <w:r w:rsidRPr="00FD6E97">
              <w:rPr>
                <w:b/>
                <w:bCs/>
                <w:sz w:val="17"/>
                <w:szCs w:val="17"/>
                <w:rtl/>
              </w:rPr>
              <w:t xml:space="preserve"> </w:t>
            </w:r>
            <w:r w:rsidRPr="00FD6E97">
              <w:rPr>
                <w:rFonts w:hint="eastAsia"/>
                <w:b/>
                <w:bCs/>
                <w:sz w:val="17"/>
                <w:szCs w:val="17"/>
                <w:rtl/>
              </w:rPr>
              <w:t>זמינ</w:t>
            </w:r>
            <w:r w:rsidRPr="00FD6E97">
              <w:rPr>
                <w:rFonts w:hint="cs"/>
                <w:b/>
                <w:bCs/>
                <w:sz w:val="17"/>
                <w:szCs w:val="17"/>
                <w:rtl/>
              </w:rPr>
              <w:t>ות</w:t>
            </w:r>
            <w:r w:rsidRPr="00FD6E97">
              <w:rPr>
                <w:b/>
                <w:bCs/>
                <w:sz w:val="17"/>
                <w:szCs w:val="17"/>
                <w:rtl/>
              </w:rPr>
              <w:t xml:space="preserve"> </w:t>
            </w:r>
            <w:r w:rsidRPr="00FD6E97">
              <w:rPr>
                <w:rFonts w:hint="eastAsia"/>
                <w:b/>
                <w:bCs/>
                <w:sz w:val="17"/>
                <w:szCs w:val="17"/>
                <w:rtl/>
              </w:rPr>
              <w:t>למכירה</w:t>
            </w:r>
            <w:r w:rsidRPr="00FD6E97">
              <w:rPr>
                <w:rFonts w:hint="cs"/>
                <w:b/>
                <w:bCs/>
                <w:sz w:val="17"/>
                <w:szCs w:val="17"/>
                <w:rtl/>
              </w:rPr>
              <w:t xml:space="preserve"> </w:t>
            </w:r>
            <w:r w:rsidRPr="00FD6E97">
              <w:rPr>
                <w:rFonts w:hint="eastAsia"/>
                <w:b/>
                <w:bCs/>
                <w:sz w:val="17"/>
                <w:szCs w:val="17"/>
                <w:rtl/>
              </w:rPr>
              <w:t>לפי</w:t>
            </w:r>
            <w:r w:rsidRPr="00FD6E97">
              <w:rPr>
                <w:b/>
                <w:bCs/>
                <w:sz w:val="17"/>
                <w:szCs w:val="17"/>
                <w:rtl/>
              </w:rPr>
              <w:t xml:space="preserve"> </w:t>
            </w:r>
            <w:r w:rsidRPr="00FD6E97">
              <w:rPr>
                <w:rFonts w:hint="eastAsia"/>
                <w:b/>
                <w:bCs/>
                <w:sz w:val="17"/>
                <w:szCs w:val="17"/>
                <w:rtl/>
              </w:rPr>
              <w:t>שווי</w:t>
            </w:r>
            <w:r w:rsidRPr="00FD6E97">
              <w:rPr>
                <w:b/>
                <w:bCs/>
                <w:sz w:val="17"/>
                <w:szCs w:val="17"/>
                <w:rtl/>
              </w:rPr>
              <w:t xml:space="preserve"> </w:t>
            </w:r>
            <w:r w:rsidRPr="00FD6E97">
              <w:rPr>
                <w:rFonts w:hint="eastAsia"/>
                <w:b/>
                <w:bCs/>
                <w:sz w:val="17"/>
                <w:szCs w:val="17"/>
                <w:rtl/>
              </w:rPr>
              <w:t>הוגן</w:t>
            </w:r>
            <w:r w:rsidRPr="00FD6E97">
              <w:rPr>
                <w:rFonts w:hint="cs"/>
                <w:sz w:val="17"/>
                <w:szCs w:val="17"/>
                <w:vertAlign w:val="superscript"/>
                <w:rtl/>
              </w:rPr>
              <w:t>(א)</w:t>
            </w:r>
          </w:p>
        </w:tc>
        <w:tc>
          <w:tcPr>
            <w:tcW w:w="474" w:type="pct"/>
            <w:vAlign w:val="bottom"/>
          </w:tcPr>
          <w:p w14:paraId="24B6FC95" w14:textId="77777777" w:rsidR="00CA1378" w:rsidRPr="00FD6E97" w:rsidRDefault="00CA1378" w:rsidP="00400DD1">
            <w:pPr>
              <w:pStyle w:val="-4"/>
              <w:pBdr>
                <w:bottom w:val="single" w:sz="4" w:space="1" w:color="auto"/>
              </w:pBdr>
              <w:spacing w:line="240" w:lineRule="auto"/>
              <w:rPr>
                <w:sz w:val="17"/>
                <w:szCs w:val="17"/>
                <w:rtl/>
              </w:rPr>
            </w:pPr>
            <w:r w:rsidRPr="00FD6E97">
              <w:rPr>
                <w:rFonts w:hint="eastAsia"/>
                <w:sz w:val="17"/>
                <w:szCs w:val="17"/>
                <w:rtl/>
              </w:rPr>
              <w:t>התאמות</w:t>
            </w:r>
            <w:r w:rsidRPr="00FD6E97">
              <w:rPr>
                <w:sz w:val="17"/>
                <w:szCs w:val="17"/>
                <w:rtl/>
              </w:rPr>
              <w:t xml:space="preserve"> </w:t>
            </w:r>
            <w:r w:rsidRPr="00FD6E97">
              <w:rPr>
                <w:rFonts w:hint="eastAsia"/>
                <w:sz w:val="17"/>
                <w:szCs w:val="17"/>
                <w:rtl/>
              </w:rPr>
              <w:t>מתרגום</w:t>
            </w:r>
            <w:r w:rsidRPr="00FD6E97">
              <w:rPr>
                <w:sz w:val="17"/>
                <w:szCs w:val="17"/>
                <w:rtl/>
              </w:rPr>
              <w:t>,</w:t>
            </w:r>
            <w:r w:rsidRPr="00FD6E97">
              <w:rPr>
                <w:rFonts w:hint="cs"/>
                <w:sz w:val="17"/>
                <w:szCs w:val="17"/>
                <w:vertAlign w:val="superscript"/>
                <w:rtl/>
              </w:rPr>
              <w:t xml:space="preserve">(ב) </w:t>
            </w:r>
            <w:r w:rsidRPr="00FD6E97">
              <w:rPr>
                <w:rFonts w:hint="eastAsia"/>
                <w:sz w:val="17"/>
                <w:szCs w:val="17"/>
                <w:rtl/>
              </w:rPr>
              <w:t>נטו</w:t>
            </w:r>
            <w:r w:rsidRPr="00FD6E97">
              <w:rPr>
                <w:sz w:val="17"/>
                <w:szCs w:val="17"/>
                <w:rtl/>
              </w:rPr>
              <w:t xml:space="preserve"> </w:t>
            </w:r>
            <w:r w:rsidRPr="00FD6E97">
              <w:rPr>
                <w:rFonts w:hint="eastAsia"/>
                <w:sz w:val="17"/>
                <w:szCs w:val="17"/>
                <w:rtl/>
              </w:rPr>
              <w:t>לאחר</w:t>
            </w:r>
            <w:r w:rsidRPr="00FD6E97">
              <w:rPr>
                <w:sz w:val="17"/>
                <w:szCs w:val="17"/>
                <w:rtl/>
              </w:rPr>
              <w:t xml:space="preserve"> השפעת גידורים</w:t>
            </w:r>
            <w:r w:rsidRPr="00FD6E97">
              <w:rPr>
                <w:rFonts w:hint="cs"/>
                <w:sz w:val="17"/>
                <w:szCs w:val="17"/>
                <w:vertAlign w:val="superscript"/>
                <w:rtl/>
              </w:rPr>
              <w:t>(ג)</w:t>
            </w:r>
          </w:p>
        </w:tc>
        <w:tc>
          <w:tcPr>
            <w:tcW w:w="538" w:type="pct"/>
          </w:tcPr>
          <w:p w14:paraId="1B04AF8E" w14:textId="77777777" w:rsidR="00CA1378" w:rsidRPr="00FD6E97" w:rsidRDefault="00CA1378" w:rsidP="00400DD1">
            <w:pPr>
              <w:pStyle w:val="-3"/>
              <w:pBdr>
                <w:bottom w:val="single" w:sz="4" w:space="1" w:color="auto"/>
              </w:pBdr>
              <w:jc w:val="center"/>
              <w:rPr>
                <w:b/>
                <w:bCs/>
                <w:sz w:val="17"/>
                <w:szCs w:val="17"/>
                <w:rtl/>
              </w:rPr>
            </w:pPr>
            <w:r w:rsidRPr="00FD6E97">
              <w:rPr>
                <w:b/>
                <w:bCs/>
                <w:sz w:val="17"/>
                <w:szCs w:val="17"/>
                <w:rtl/>
              </w:rPr>
              <w:t>רווחים (הפסדים) נטו בגין גידורי תזרים מזומנים</w:t>
            </w:r>
          </w:p>
        </w:tc>
        <w:tc>
          <w:tcPr>
            <w:tcW w:w="601" w:type="pct"/>
            <w:vAlign w:val="bottom"/>
          </w:tcPr>
          <w:p w14:paraId="1DCFA2BF" w14:textId="77777777" w:rsidR="00CA1378" w:rsidRPr="00FD6E97" w:rsidRDefault="00CA1378" w:rsidP="00400DD1">
            <w:pPr>
              <w:pStyle w:val="-3"/>
              <w:pBdr>
                <w:bottom w:val="single" w:sz="4" w:space="1" w:color="auto"/>
              </w:pBdr>
              <w:jc w:val="center"/>
              <w:rPr>
                <w:b/>
                <w:bCs/>
                <w:sz w:val="17"/>
                <w:szCs w:val="17"/>
                <w:rtl/>
              </w:rPr>
            </w:pPr>
            <w:r w:rsidRPr="00FD6E97">
              <w:rPr>
                <w:b/>
                <w:bCs/>
                <w:sz w:val="17"/>
                <w:szCs w:val="17"/>
                <w:rtl/>
              </w:rPr>
              <w:t xml:space="preserve">התאמות בגין </w:t>
            </w:r>
            <w:r w:rsidRPr="00FD6E97">
              <w:rPr>
                <w:rFonts w:hint="cs"/>
                <w:b/>
                <w:bCs/>
                <w:sz w:val="17"/>
                <w:szCs w:val="17"/>
                <w:rtl/>
              </w:rPr>
              <w:t xml:space="preserve">רכיבים שלא נכללו בהערכת אפקטיביות </w:t>
            </w:r>
            <w:r w:rsidRPr="00FD6E97">
              <w:rPr>
                <w:b/>
                <w:bCs/>
                <w:sz w:val="17"/>
                <w:szCs w:val="17"/>
                <w:rtl/>
              </w:rPr>
              <w:t>גידור שווי הוגן</w:t>
            </w:r>
          </w:p>
        </w:tc>
        <w:tc>
          <w:tcPr>
            <w:tcW w:w="367" w:type="pct"/>
            <w:vAlign w:val="bottom"/>
          </w:tcPr>
          <w:p w14:paraId="41A329CA" w14:textId="77777777" w:rsidR="00CA1378" w:rsidRPr="00FD6E97" w:rsidRDefault="00CA1378" w:rsidP="00400DD1">
            <w:pPr>
              <w:pStyle w:val="-3"/>
              <w:pBdr>
                <w:bottom w:val="single" w:sz="4" w:space="1" w:color="auto"/>
              </w:pBdr>
              <w:spacing w:line="240" w:lineRule="auto"/>
              <w:ind w:left="-28" w:right="-28"/>
              <w:jc w:val="center"/>
              <w:rPr>
                <w:b/>
                <w:bCs/>
                <w:color w:val="000000"/>
                <w:sz w:val="17"/>
                <w:szCs w:val="17"/>
                <w:rtl/>
                <w:lang w:eastAsia="he-IL"/>
              </w:rPr>
            </w:pPr>
            <w:r w:rsidRPr="00FD6E97">
              <w:rPr>
                <w:rFonts w:hint="eastAsia"/>
                <w:b/>
                <w:bCs/>
                <w:sz w:val="17"/>
                <w:szCs w:val="17"/>
                <w:rtl/>
              </w:rPr>
              <w:t>התאמות</w:t>
            </w:r>
            <w:r w:rsidRPr="00FD6E97">
              <w:rPr>
                <w:b/>
                <w:bCs/>
                <w:sz w:val="17"/>
                <w:szCs w:val="17"/>
                <w:rtl/>
              </w:rPr>
              <w:t xml:space="preserve"> </w:t>
            </w:r>
            <w:r w:rsidRPr="00FD6E97">
              <w:rPr>
                <w:rFonts w:hint="eastAsia"/>
                <w:b/>
                <w:bCs/>
                <w:sz w:val="17"/>
                <w:szCs w:val="17"/>
                <w:rtl/>
              </w:rPr>
              <w:t>בגין</w:t>
            </w:r>
            <w:r w:rsidRPr="00FD6E97">
              <w:rPr>
                <w:b/>
                <w:bCs/>
                <w:sz w:val="17"/>
                <w:szCs w:val="17"/>
                <w:rtl/>
              </w:rPr>
              <w:t xml:space="preserve"> </w:t>
            </w:r>
            <w:r w:rsidRPr="00FD6E97">
              <w:rPr>
                <w:rFonts w:hint="eastAsia"/>
                <w:b/>
                <w:bCs/>
                <w:sz w:val="17"/>
                <w:szCs w:val="17"/>
                <w:rtl/>
              </w:rPr>
              <w:t>הטבות</w:t>
            </w:r>
            <w:r w:rsidRPr="00FD6E97">
              <w:rPr>
                <w:b/>
                <w:bCs/>
                <w:sz w:val="17"/>
                <w:szCs w:val="17"/>
                <w:rtl/>
              </w:rPr>
              <w:t xml:space="preserve"> </w:t>
            </w:r>
            <w:r w:rsidRPr="00FD6E97">
              <w:rPr>
                <w:rFonts w:hint="eastAsia"/>
                <w:b/>
                <w:bCs/>
                <w:sz w:val="17"/>
                <w:szCs w:val="17"/>
                <w:rtl/>
              </w:rPr>
              <w:t>לעובדים</w:t>
            </w:r>
          </w:p>
        </w:tc>
        <w:tc>
          <w:tcPr>
            <w:tcW w:w="256" w:type="pct"/>
            <w:tcMar>
              <w:left w:w="58" w:type="dxa"/>
              <w:right w:w="58" w:type="dxa"/>
            </w:tcMar>
            <w:vAlign w:val="bottom"/>
          </w:tcPr>
          <w:p w14:paraId="2B871143" w14:textId="77777777" w:rsidR="00CA1378" w:rsidRPr="00FD6E97" w:rsidRDefault="00CA1378" w:rsidP="00400DD1">
            <w:pPr>
              <w:pStyle w:val="-3"/>
              <w:pBdr>
                <w:bottom w:val="single" w:sz="4" w:space="1" w:color="auto"/>
              </w:pBdr>
              <w:jc w:val="center"/>
              <w:rPr>
                <w:b/>
                <w:bCs/>
                <w:sz w:val="17"/>
                <w:szCs w:val="17"/>
              </w:rPr>
            </w:pPr>
            <w:r w:rsidRPr="00FD6E97">
              <w:rPr>
                <w:rFonts w:hint="eastAsia"/>
                <w:b/>
                <w:bCs/>
                <w:sz w:val="17"/>
                <w:szCs w:val="17"/>
                <w:rtl/>
              </w:rPr>
              <w:t>סה</w:t>
            </w:r>
            <w:r w:rsidRPr="00FD6E97">
              <w:rPr>
                <w:b/>
                <w:bCs/>
                <w:sz w:val="17"/>
                <w:szCs w:val="17"/>
                <w:rtl/>
              </w:rPr>
              <w:t>"כ</w:t>
            </w:r>
          </w:p>
        </w:tc>
        <w:tc>
          <w:tcPr>
            <w:tcW w:w="536" w:type="pct"/>
            <w:vMerge/>
            <w:vAlign w:val="bottom"/>
          </w:tcPr>
          <w:p w14:paraId="77ADF9E0" w14:textId="77777777" w:rsidR="00CA1378" w:rsidRPr="00FD6E97" w:rsidRDefault="00CA1378" w:rsidP="00400DD1">
            <w:pPr>
              <w:pStyle w:val="-3"/>
              <w:pBdr>
                <w:bottom w:val="single" w:sz="4" w:space="1" w:color="auto"/>
              </w:pBdr>
              <w:jc w:val="center"/>
              <w:rPr>
                <w:b/>
                <w:bCs/>
                <w:sz w:val="17"/>
                <w:szCs w:val="17"/>
                <w:rtl/>
              </w:rPr>
            </w:pPr>
          </w:p>
        </w:tc>
        <w:tc>
          <w:tcPr>
            <w:tcW w:w="605" w:type="pct"/>
            <w:vMerge/>
            <w:tcBorders>
              <w:right w:val="nil"/>
            </w:tcBorders>
            <w:vAlign w:val="bottom"/>
          </w:tcPr>
          <w:p w14:paraId="6857EB9A" w14:textId="77777777" w:rsidR="00CA1378" w:rsidRPr="00FD6E97" w:rsidRDefault="00CA1378" w:rsidP="00400DD1">
            <w:pPr>
              <w:pStyle w:val="-3"/>
              <w:pBdr>
                <w:bottom w:val="single" w:sz="4" w:space="1" w:color="auto"/>
              </w:pBdr>
              <w:jc w:val="center"/>
              <w:rPr>
                <w:b/>
                <w:bCs/>
                <w:sz w:val="17"/>
                <w:szCs w:val="17"/>
                <w:rtl/>
              </w:rPr>
            </w:pPr>
          </w:p>
        </w:tc>
      </w:tr>
      <w:tr w:rsidR="00CA1378" w:rsidRPr="000035FE" w14:paraId="03976A9B" w14:textId="77777777" w:rsidTr="006A357B">
        <w:tc>
          <w:tcPr>
            <w:tcW w:w="1088" w:type="pct"/>
            <w:vAlign w:val="bottom"/>
          </w:tcPr>
          <w:p w14:paraId="7936F24E" w14:textId="77777777" w:rsidR="00CA1378" w:rsidRPr="000035FE" w:rsidRDefault="00CA1378" w:rsidP="00400DD1">
            <w:pPr>
              <w:pStyle w:val="-0"/>
              <w:spacing w:line="120" w:lineRule="exact"/>
              <w:ind w:left="0" w:firstLine="0"/>
              <w:jc w:val="center"/>
              <w:rPr>
                <w:b/>
                <w:bCs/>
                <w:sz w:val="18"/>
                <w:szCs w:val="18"/>
                <w:rtl/>
              </w:rPr>
            </w:pPr>
          </w:p>
        </w:tc>
        <w:tc>
          <w:tcPr>
            <w:tcW w:w="535" w:type="pct"/>
            <w:tcMar>
              <w:left w:w="58" w:type="dxa"/>
              <w:right w:w="58" w:type="dxa"/>
            </w:tcMar>
            <w:vAlign w:val="bottom"/>
          </w:tcPr>
          <w:p w14:paraId="4BFA9D63" w14:textId="77777777" w:rsidR="00CA1378" w:rsidRPr="000035FE" w:rsidRDefault="00CA1378" w:rsidP="00400DD1">
            <w:pPr>
              <w:pStyle w:val="-3"/>
              <w:spacing w:line="120" w:lineRule="exact"/>
              <w:jc w:val="center"/>
              <w:rPr>
                <w:b/>
                <w:bCs/>
                <w:sz w:val="18"/>
                <w:szCs w:val="18"/>
                <w:rtl/>
              </w:rPr>
            </w:pPr>
          </w:p>
        </w:tc>
        <w:tc>
          <w:tcPr>
            <w:tcW w:w="474" w:type="pct"/>
            <w:vAlign w:val="bottom"/>
          </w:tcPr>
          <w:p w14:paraId="6874ACF7" w14:textId="77777777" w:rsidR="00CA1378" w:rsidRPr="000035FE" w:rsidRDefault="00CA1378" w:rsidP="00400DD1">
            <w:pPr>
              <w:pStyle w:val="-3"/>
              <w:spacing w:line="120" w:lineRule="exact"/>
              <w:jc w:val="center"/>
              <w:rPr>
                <w:b/>
                <w:bCs/>
                <w:sz w:val="18"/>
                <w:szCs w:val="18"/>
                <w:rtl/>
              </w:rPr>
            </w:pPr>
          </w:p>
        </w:tc>
        <w:tc>
          <w:tcPr>
            <w:tcW w:w="538" w:type="pct"/>
          </w:tcPr>
          <w:p w14:paraId="5F1C5CF1" w14:textId="77777777" w:rsidR="00CA1378" w:rsidRPr="000035FE" w:rsidRDefault="00CA1378" w:rsidP="00400DD1">
            <w:pPr>
              <w:pStyle w:val="-3"/>
              <w:spacing w:line="120" w:lineRule="exact"/>
              <w:jc w:val="center"/>
              <w:rPr>
                <w:b/>
                <w:bCs/>
                <w:sz w:val="18"/>
                <w:szCs w:val="18"/>
                <w:rtl/>
              </w:rPr>
            </w:pPr>
          </w:p>
        </w:tc>
        <w:tc>
          <w:tcPr>
            <w:tcW w:w="601" w:type="pct"/>
            <w:vAlign w:val="bottom"/>
          </w:tcPr>
          <w:p w14:paraId="5E2661E4" w14:textId="77777777" w:rsidR="00CA1378" w:rsidRPr="000035FE" w:rsidRDefault="00CA1378" w:rsidP="00400DD1">
            <w:pPr>
              <w:pStyle w:val="-3"/>
              <w:spacing w:line="120" w:lineRule="exact"/>
              <w:jc w:val="center"/>
              <w:rPr>
                <w:b/>
                <w:bCs/>
                <w:sz w:val="18"/>
                <w:szCs w:val="18"/>
                <w:rtl/>
              </w:rPr>
            </w:pPr>
          </w:p>
        </w:tc>
        <w:tc>
          <w:tcPr>
            <w:tcW w:w="367" w:type="pct"/>
            <w:vAlign w:val="bottom"/>
          </w:tcPr>
          <w:p w14:paraId="01864797" w14:textId="77777777" w:rsidR="00CA1378" w:rsidRPr="000035FE" w:rsidRDefault="00CA1378" w:rsidP="00400DD1">
            <w:pPr>
              <w:pStyle w:val="-3"/>
              <w:spacing w:line="120" w:lineRule="exact"/>
              <w:jc w:val="center"/>
              <w:rPr>
                <w:b/>
                <w:bCs/>
                <w:sz w:val="18"/>
                <w:szCs w:val="18"/>
                <w:rtl/>
              </w:rPr>
            </w:pPr>
          </w:p>
        </w:tc>
        <w:tc>
          <w:tcPr>
            <w:tcW w:w="256" w:type="pct"/>
            <w:tcMar>
              <w:left w:w="58" w:type="dxa"/>
              <w:right w:w="58" w:type="dxa"/>
            </w:tcMar>
            <w:vAlign w:val="bottom"/>
          </w:tcPr>
          <w:p w14:paraId="17752494" w14:textId="77777777" w:rsidR="00CA1378" w:rsidRPr="000035FE" w:rsidRDefault="00CA1378" w:rsidP="00400DD1">
            <w:pPr>
              <w:pStyle w:val="-3"/>
              <w:spacing w:line="120" w:lineRule="exact"/>
              <w:jc w:val="center"/>
              <w:rPr>
                <w:b/>
                <w:bCs/>
                <w:sz w:val="18"/>
                <w:szCs w:val="18"/>
                <w:rtl/>
              </w:rPr>
            </w:pPr>
          </w:p>
        </w:tc>
        <w:tc>
          <w:tcPr>
            <w:tcW w:w="536" w:type="pct"/>
            <w:vAlign w:val="bottom"/>
          </w:tcPr>
          <w:p w14:paraId="04090881" w14:textId="77777777" w:rsidR="00CA1378" w:rsidRPr="000035FE" w:rsidRDefault="00CA1378" w:rsidP="00400DD1">
            <w:pPr>
              <w:pStyle w:val="-3"/>
              <w:spacing w:line="120" w:lineRule="exact"/>
              <w:jc w:val="center"/>
              <w:rPr>
                <w:b/>
                <w:bCs/>
                <w:sz w:val="18"/>
                <w:szCs w:val="18"/>
                <w:rtl/>
              </w:rPr>
            </w:pPr>
          </w:p>
        </w:tc>
        <w:tc>
          <w:tcPr>
            <w:tcW w:w="605" w:type="pct"/>
            <w:tcBorders>
              <w:right w:val="nil"/>
            </w:tcBorders>
            <w:vAlign w:val="bottom"/>
          </w:tcPr>
          <w:p w14:paraId="6997E775" w14:textId="77777777" w:rsidR="00CA1378" w:rsidRPr="000035FE" w:rsidRDefault="00CA1378" w:rsidP="00400DD1">
            <w:pPr>
              <w:pStyle w:val="-3"/>
              <w:spacing w:line="120" w:lineRule="exact"/>
              <w:jc w:val="center"/>
              <w:rPr>
                <w:b/>
                <w:bCs/>
                <w:sz w:val="18"/>
                <w:szCs w:val="18"/>
                <w:rtl/>
              </w:rPr>
            </w:pPr>
          </w:p>
        </w:tc>
      </w:tr>
      <w:tr w:rsidR="00CA1378" w:rsidRPr="000035FE" w14:paraId="4241EA97" w14:textId="77777777" w:rsidTr="006A357B">
        <w:trPr>
          <w:trHeight w:val="259"/>
        </w:trPr>
        <w:tc>
          <w:tcPr>
            <w:tcW w:w="1088" w:type="pct"/>
            <w:vAlign w:val="bottom"/>
          </w:tcPr>
          <w:p w14:paraId="62E17819" w14:textId="5DD38239" w:rsidR="00CA1378" w:rsidRPr="000035FE" w:rsidRDefault="00CA1378" w:rsidP="00400DD1">
            <w:pPr>
              <w:pStyle w:val="-0"/>
              <w:ind w:left="0" w:firstLine="0"/>
              <w:rPr>
                <w:b/>
                <w:bCs/>
                <w:sz w:val="18"/>
                <w:szCs w:val="18"/>
                <w:rtl/>
              </w:rPr>
            </w:pPr>
            <w:r w:rsidRPr="000035FE">
              <w:rPr>
                <w:rFonts w:hint="cs"/>
                <w:b/>
                <w:bCs/>
                <w:sz w:val="18"/>
                <w:szCs w:val="18"/>
                <w:rtl/>
              </w:rPr>
              <w:t xml:space="preserve">יתרה ליום </w:t>
            </w:r>
            <w:r>
              <w:rPr>
                <w:rFonts w:hint="cs"/>
                <w:b/>
                <w:bCs/>
                <w:sz w:val="18"/>
                <w:szCs w:val="18"/>
                <w:rtl/>
              </w:rPr>
              <w:t xml:space="preserve">31 בדצמבר </w:t>
            </w:r>
            <w:r w:rsidRPr="006F1E84">
              <w:rPr>
                <w:b/>
                <w:bCs/>
                <w:sz w:val="14"/>
                <w:szCs w:val="14"/>
                <w:rtl/>
              </w:rPr>
              <w:fldChar w:fldCharType="begin"/>
            </w:r>
            <w:r w:rsidRPr="006F1E84">
              <w:rPr>
                <w:b/>
                <w:bCs/>
                <w:sz w:val="14"/>
                <w:szCs w:val="14"/>
                <w:rtl/>
              </w:rPr>
              <w:instrText xml:space="preserve"> </w:instrText>
            </w:r>
            <w:r w:rsidRPr="006F1E84">
              <w:rPr>
                <w:rFonts w:hint="cs"/>
                <w:b/>
                <w:bCs/>
                <w:sz w:val="14"/>
                <w:szCs w:val="14"/>
                <w:rtl/>
              </w:rPr>
              <w:instrText xml:space="preserve">= </w:instrText>
            </w:r>
            <w:r w:rsidRPr="006F1E84">
              <w:rPr>
                <w:rFonts w:hint="cs"/>
                <w:b/>
                <w:bCs/>
                <w:sz w:val="14"/>
                <w:szCs w:val="14"/>
              </w:rPr>
              <w:instrText>CY</w:instrText>
            </w:r>
            <w:r w:rsidRPr="006F1E84">
              <w:rPr>
                <w:b/>
                <w:bCs/>
                <w:sz w:val="14"/>
                <w:szCs w:val="14"/>
              </w:rPr>
              <w:instrText>-</w:instrText>
            </w:r>
            <w:r>
              <w:rPr>
                <w:rFonts w:hint="cs"/>
                <w:b/>
                <w:bCs/>
                <w:sz w:val="14"/>
                <w:szCs w:val="14"/>
                <w:rtl/>
              </w:rPr>
              <w:instrText>2</w:instrText>
            </w:r>
            <w:r w:rsidRPr="006F1E84">
              <w:rPr>
                <w:rFonts w:hint="cs"/>
                <w:b/>
                <w:bCs/>
                <w:sz w:val="14"/>
                <w:szCs w:val="14"/>
              </w:rPr>
              <w:instrText xml:space="preserve"> \* MERGEFORMAT</w:instrText>
            </w:r>
            <w:r w:rsidRPr="006F1E84">
              <w:rPr>
                <w:b/>
                <w:bCs/>
                <w:sz w:val="14"/>
                <w:szCs w:val="14"/>
                <w:rtl/>
              </w:rPr>
              <w:instrText xml:space="preserve"> </w:instrText>
            </w:r>
            <w:r w:rsidRPr="006F1E84">
              <w:rPr>
                <w:b/>
                <w:bCs/>
                <w:sz w:val="14"/>
                <w:szCs w:val="14"/>
                <w:rtl/>
              </w:rPr>
              <w:fldChar w:fldCharType="separate"/>
            </w:r>
            <w:r w:rsidR="003A584F" w:rsidRPr="003A584F">
              <w:rPr>
                <w:b/>
                <w:bCs/>
                <w:noProof/>
                <w:sz w:val="18"/>
                <w:szCs w:val="18"/>
                <w:rtl/>
              </w:rPr>
              <w:t>2022</w:t>
            </w:r>
            <w:r w:rsidRPr="006F1E84">
              <w:rPr>
                <w:b/>
                <w:bCs/>
                <w:sz w:val="14"/>
                <w:szCs w:val="14"/>
                <w:rtl/>
              </w:rPr>
              <w:fldChar w:fldCharType="end"/>
            </w:r>
          </w:p>
        </w:tc>
        <w:tc>
          <w:tcPr>
            <w:tcW w:w="535" w:type="pct"/>
            <w:tcMar>
              <w:left w:w="58" w:type="dxa"/>
              <w:right w:w="58" w:type="dxa"/>
            </w:tcMar>
            <w:vAlign w:val="bottom"/>
          </w:tcPr>
          <w:p w14:paraId="7EC95555" w14:textId="77777777" w:rsidR="00CA1378" w:rsidRPr="000035FE" w:rsidRDefault="00CA1378" w:rsidP="00400DD1">
            <w:pPr>
              <w:pStyle w:val="-3"/>
              <w:rPr>
                <w:sz w:val="18"/>
                <w:szCs w:val="18"/>
                <w:rtl/>
              </w:rPr>
            </w:pPr>
            <w:r w:rsidRPr="000035FE">
              <w:rPr>
                <w:rFonts w:hint="cs"/>
                <w:sz w:val="18"/>
                <w:szCs w:val="18"/>
                <w:rtl/>
              </w:rPr>
              <w:t xml:space="preserve"> </w:t>
            </w:r>
            <w:r w:rsidRPr="000035FE">
              <w:rPr>
                <w:sz w:val="18"/>
                <w:szCs w:val="18"/>
                <w:rtl/>
              </w:rPr>
              <w:t>0</w:t>
            </w:r>
          </w:p>
        </w:tc>
        <w:tc>
          <w:tcPr>
            <w:tcW w:w="474" w:type="pct"/>
            <w:vAlign w:val="bottom"/>
          </w:tcPr>
          <w:p w14:paraId="0CDBA08F" w14:textId="77777777" w:rsidR="00CA1378" w:rsidRPr="000035FE" w:rsidRDefault="00CA1378" w:rsidP="00400DD1">
            <w:pPr>
              <w:pStyle w:val="-3"/>
              <w:rPr>
                <w:sz w:val="18"/>
                <w:szCs w:val="18"/>
                <w:rtl/>
              </w:rPr>
            </w:pPr>
            <w:r w:rsidRPr="000035FE">
              <w:rPr>
                <w:rFonts w:hint="cs"/>
                <w:sz w:val="18"/>
                <w:szCs w:val="18"/>
                <w:rtl/>
              </w:rPr>
              <w:t xml:space="preserve"> </w:t>
            </w:r>
            <w:r w:rsidRPr="000035FE">
              <w:rPr>
                <w:sz w:val="18"/>
                <w:szCs w:val="18"/>
                <w:rtl/>
              </w:rPr>
              <w:t>0</w:t>
            </w:r>
          </w:p>
        </w:tc>
        <w:tc>
          <w:tcPr>
            <w:tcW w:w="538" w:type="pct"/>
            <w:vAlign w:val="bottom"/>
          </w:tcPr>
          <w:p w14:paraId="60AB3908" w14:textId="77777777" w:rsidR="00CA1378" w:rsidRPr="000035FE" w:rsidRDefault="00CA1378" w:rsidP="00400DD1">
            <w:pPr>
              <w:pStyle w:val="-3"/>
              <w:rPr>
                <w:sz w:val="18"/>
                <w:szCs w:val="18"/>
                <w:rtl/>
              </w:rPr>
            </w:pPr>
            <w:r w:rsidRPr="000035FE">
              <w:rPr>
                <w:rFonts w:hint="cs"/>
                <w:sz w:val="18"/>
                <w:szCs w:val="18"/>
                <w:rtl/>
              </w:rPr>
              <w:t xml:space="preserve"> </w:t>
            </w:r>
            <w:r w:rsidRPr="000035FE">
              <w:rPr>
                <w:sz w:val="18"/>
                <w:szCs w:val="18"/>
                <w:rtl/>
              </w:rPr>
              <w:t>0</w:t>
            </w:r>
          </w:p>
        </w:tc>
        <w:tc>
          <w:tcPr>
            <w:tcW w:w="601" w:type="pct"/>
            <w:vAlign w:val="bottom"/>
          </w:tcPr>
          <w:p w14:paraId="23B7D2C2" w14:textId="77777777" w:rsidR="00CA1378" w:rsidRPr="000035FE" w:rsidRDefault="00CA1378" w:rsidP="00400DD1">
            <w:pPr>
              <w:pStyle w:val="-3"/>
              <w:rPr>
                <w:sz w:val="18"/>
                <w:szCs w:val="18"/>
                <w:rtl/>
              </w:rPr>
            </w:pPr>
            <w:r w:rsidRPr="000035FE">
              <w:rPr>
                <w:rFonts w:hint="cs"/>
                <w:sz w:val="18"/>
                <w:szCs w:val="18"/>
                <w:rtl/>
              </w:rPr>
              <w:t xml:space="preserve"> </w:t>
            </w:r>
            <w:r w:rsidRPr="000035FE">
              <w:rPr>
                <w:sz w:val="18"/>
                <w:szCs w:val="18"/>
                <w:rtl/>
              </w:rPr>
              <w:t>0</w:t>
            </w:r>
          </w:p>
        </w:tc>
        <w:tc>
          <w:tcPr>
            <w:tcW w:w="367" w:type="pct"/>
            <w:vAlign w:val="bottom"/>
          </w:tcPr>
          <w:p w14:paraId="5E1D10B3" w14:textId="77777777" w:rsidR="00CA1378" w:rsidRPr="000035FE" w:rsidRDefault="00CA1378" w:rsidP="00400DD1">
            <w:pPr>
              <w:pStyle w:val="-3"/>
              <w:jc w:val="left"/>
              <w:rPr>
                <w:sz w:val="18"/>
                <w:szCs w:val="18"/>
                <w:rtl/>
              </w:rPr>
            </w:pPr>
            <w:r w:rsidRPr="000035FE">
              <w:rPr>
                <w:rFonts w:hint="cs"/>
                <w:sz w:val="18"/>
                <w:szCs w:val="18"/>
                <w:rtl/>
              </w:rPr>
              <w:t xml:space="preserve"> </w:t>
            </w:r>
            <w:r w:rsidRPr="000035FE">
              <w:rPr>
                <w:sz w:val="18"/>
                <w:szCs w:val="18"/>
                <w:rtl/>
              </w:rPr>
              <w:t>0</w:t>
            </w:r>
          </w:p>
        </w:tc>
        <w:tc>
          <w:tcPr>
            <w:tcW w:w="256" w:type="pct"/>
            <w:tcMar>
              <w:left w:w="58" w:type="dxa"/>
              <w:right w:w="58" w:type="dxa"/>
            </w:tcMar>
            <w:vAlign w:val="bottom"/>
          </w:tcPr>
          <w:p w14:paraId="1C169406" w14:textId="77777777" w:rsidR="00CA1378" w:rsidRPr="000035FE" w:rsidRDefault="00CA1378" w:rsidP="00400DD1">
            <w:pPr>
              <w:pStyle w:val="-3"/>
              <w:rPr>
                <w:sz w:val="18"/>
                <w:szCs w:val="18"/>
                <w:rtl/>
              </w:rPr>
            </w:pPr>
            <w:r w:rsidRPr="000035FE">
              <w:rPr>
                <w:rFonts w:hint="cs"/>
                <w:sz w:val="18"/>
                <w:szCs w:val="18"/>
                <w:rtl/>
              </w:rPr>
              <w:t xml:space="preserve"> </w:t>
            </w:r>
            <w:r w:rsidRPr="000035FE">
              <w:rPr>
                <w:sz w:val="18"/>
                <w:szCs w:val="18"/>
                <w:rtl/>
              </w:rPr>
              <w:t>0</w:t>
            </w:r>
          </w:p>
        </w:tc>
        <w:tc>
          <w:tcPr>
            <w:tcW w:w="536" w:type="pct"/>
            <w:vAlign w:val="bottom"/>
          </w:tcPr>
          <w:p w14:paraId="29395A5C" w14:textId="77777777" w:rsidR="00CA1378" w:rsidRPr="000035FE" w:rsidRDefault="00CA1378" w:rsidP="00400DD1">
            <w:pPr>
              <w:pStyle w:val="-3"/>
              <w:rPr>
                <w:sz w:val="18"/>
                <w:szCs w:val="18"/>
                <w:rtl/>
              </w:rPr>
            </w:pPr>
            <w:r w:rsidRPr="000035FE">
              <w:rPr>
                <w:rFonts w:hint="cs"/>
                <w:sz w:val="18"/>
                <w:szCs w:val="18"/>
                <w:rtl/>
              </w:rPr>
              <w:t xml:space="preserve"> </w:t>
            </w:r>
            <w:r w:rsidRPr="000035FE">
              <w:rPr>
                <w:sz w:val="18"/>
                <w:szCs w:val="18"/>
                <w:rtl/>
              </w:rPr>
              <w:t>0</w:t>
            </w:r>
          </w:p>
        </w:tc>
        <w:tc>
          <w:tcPr>
            <w:tcW w:w="605" w:type="pct"/>
            <w:tcBorders>
              <w:right w:val="nil"/>
            </w:tcBorders>
            <w:vAlign w:val="bottom"/>
          </w:tcPr>
          <w:p w14:paraId="184C4D65" w14:textId="77777777" w:rsidR="00CA1378" w:rsidRPr="000035FE" w:rsidRDefault="00CA1378" w:rsidP="00400DD1">
            <w:pPr>
              <w:pStyle w:val="-3"/>
              <w:rPr>
                <w:sz w:val="18"/>
                <w:szCs w:val="18"/>
                <w:rtl/>
              </w:rPr>
            </w:pPr>
            <w:r w:rsidRPr="000035FE">
              <w:rPr>
                <w:rFonts w:hint="cs"/>
                <w:sz w:val="18"/>
                <w:szCs w:val="18"/>
                <w:rtl/>
              </w:rPr>
              <w:t xml:space="preserve"> </w:t>
            </w:r>
            <w:r w:rsidRPr="000035FE">
              <w:rPr>
                <w:sz w:val="18"/>
                <w:szCs w:val="18"/>
                <w:rtl/>
              </w:rPr>
              <w:t>0</w:t>
            </w:r>
          </w:p>
        </w:tc>
      </w:tr>
      <w:tr w:rsidR="00CA1378" w:rsidRPr="000035FE" w14:paraId="22D8BFAA" w14:textId="77777777" w:rsidTr="006A357B">
        <w:trPr>
          <w:trHeight w:val="259"/>
        </w:trPr>
        <w:tc>
          <w:tcPr>
            <w:tcW w:w="1088" w:type="pct"/>
            <w:vAlign w:val="bottom"/>
          </w:tcPr>
          <w:p w14:paraId="75D186F5" w14:textId="77777777" w:rsidR="00CA1378" w:rsidRPr="000035FE" w:rsidRDefault="00CA1378" w:rsidP="00400DD1">
            <w:pPr>
              <w:pStyle w:val="-0"/>
              <w:ind w:left="0" w:firstLine="0"/>
              <w:rPr>
                <w:sz w:val="18"/>
                <w:szCs w:val="18"/>
                <w:rtl/>
              </w:rPr>
            </w:pPr>
            <w:r w:rsidRPr="000035FE">
              <w:rPr>
                <w:rFonts w:hint="cs"/>
                <w:sz w:val="18"/>
                <w:szCs w:val="18"/>
                <w:rtl/>
              </w:rPr>
              <w:t>שינוי נטו במהלך התקופה</w:t>
            </w:r>
          </w:p>
        </w:tc>
        <w:tc>
          <w:tcPr>
            <w:tcW w:w="535" w:type="pct"/>
            <w:tcMar>
              <w:left w:w="58" w:type="dxa"/>
              <w:right w:w="58" w:type="dxa"/>
            </w:tcMar>
            <w:vAlign w:val="bottom"/>
          </w:tcPr>
          <w:p w14:paraId="0233589F" w14:textId="77777777" w:rsidR="00CA1378" w:rsidRPr="000035FE" w:rsidRDefault="00CA1378" w:rsidP="00400DD1">
            <w:pPr>
              <w:pStyle w:val="-3"/>
              <w:rPr>
                <w:sz w:val="18"/>
                <w:szCs w:val="18"/>
                <w:rtl/>
              </w:rPr>
            </w:pPr>
            <w:r w:rsidRPr="000035FE">
              <w:rPr>
                <w:rFonts w:hint="cs"/>
                <w:sz w:val="18"/>
                <w:szCs w:val="18"/>
                <w:rtl/>
              </w:rPr>
              <w:t xml:space="preserve"> </w:t>
            </w:r>
            <w:r w:rsidRPr="000035FE">
              <w:rPr>
                <w:sz w:val="18"/>
                <w:szCs w:val="18"/>
                <w:rtl/>
              </w:rPr>
              <w:t>0</w:t>
            </w:r>
          </w:p>
        </w:tc>
        <w:tc>
          <w:tcPr>
            <w:tcW w:w="474" w:type="pct"/>
            <w:vAlign w:val="bottom"/>
          </w:tcPr>
          <w:p w14:paraId="06DB89BB" w14:textId="77777777" w:rsidR="00CA1378" w:rsidRPr="000035FE" w:rsidRDefault="00CA1378" w:rsidP="00400DD1">
            <w:pPr>
              <w:pStyle w:val="-3"/>
              <w:rPr>
                <w:sz w:val="18"/>
                <w:szCs w:val="18"/>
                <w:rtl/>
              </w:rPr>
            </w:pPr>
            <w:r w:rsidRPr="000035FE">
              <w:rPr>
                <w:rFonts w:hint="cs"/>
                <w:sz w:val="18"/>
                <w:szCs w:val="18"/>
                <w:rtl/>
              </w:rPr>
              <w:t xml:space="preserve"> </w:t>
            </w:r>
            <w:r w:rsidRPr="000035FE">
              <w:rPr>
                <w:sz w:val="18"/>
                <w:szCs w:val="18"/>
                <w:rtl/>
              </w:rPr>
              <w:t>0</w:t>
            </w:r>
          </w:p>
        </w:tc>
        <w:tc>
          <w:tcPr>
            <w:tcW w:w="538" w:type="pct"/>
            <w:vAlign w:val="bottom"/>
          </w:tcPr>
          <w:p w14:paraId="2F3F86BB" w14:textId="77777777" w:rsidR="00CA1378" w:rsidRPr="000035FE" w:rsidRDefault="00CA1378" w:rsidP="00400DD1">
            <w:pPr>
              <w:pStyle w:val="-3"/>
              <w:rPr>
                <w:sz w:val="18"/>
                <w:szCs w:val="18"/>
                <w:rtl/>
              </w:rPr>
            </w:pPr>
            <w:r w:rsidRPr="000035FE">
              <w:rPr>
                <w:rFonts w:hint="cs"/>
                <w:sz w:val="18"/>
                <w:szCs w:val="18"/>
                <w:rtl/>
              </w:rPr>
              <w:t xml:space="preserve"> </w:t>
            </w:r>
            <w:r w:rsidRPr="000035FE">
              <w:rPr>
                <w:sz w:val="18"/>
                <w:szCs w:val="18"/>
                <w:rtl/>
              </w:rPr>
              <w:t>0</w:t>
            </w:r>
          </w:p>
        </w:tc>
        <w:tc>
          <w:tcPr>
            <w:tcW w:w="601" w:type="pct"/>
            <w:vAlign w:val="bottom"/>
          </w:tcPr>
          <w:p w14:paraId="33207C75" w14:textId="77777777" w:rsidR="00CA1378" w:rsidRPr="000035FE" w:rsidRDefault="00CA1378" w:rsidP="00400DD1">
            <w:pPr>
              <w:pStyle w:val="-3"/>
              <w:rPr>
                <w:sz w:val="18"/>
                <w:szCs w:val="18"/>
                <w:rtl/>
              </w:rPr>
            </w:pPr>
            <w:r w:rsidRPr="000035FE">
              <w:rPr>
                <w:rFonts w:hint="cs"/>
                <w:sz w:val="18"/>
                <w:szCs w:val="18"/>
                <w:rtl/>
              </w:rPr>
              <w:t xml:space="preserve"> 0</w:t>
            </w:r>
          </w:p>
        </w:tc>
        <w:tc>
          <w:tcPr>
            <w:tcW w:w="367" w:type="pct"/>
            <w:vAlign w:val="bottom"/>
          </w:tcPr>
          <w:p w14:paraId="00535881" w14:textId="77777777" w:rsidR="00CA1378" w:rsidRPr="000035FE" w:rsidRDefault="00CA1378" w:rsidP="00400DD1">
            <w:pPr>
              <w:pStyle w:val="-3"/>
              <w:jc w:val="left"/>
              <w:rPr>
                <w:sz w:val="18"/>
                <w:szCs w:val="18"/>
                <w:rtl/>
              </w:rPr>
            </w:pPr>
            <w:r w:rsidRPr="000035FE">
              <w:rPr>
                <w:rFonts w:hint="cs"/>
                <w:sz w:val="18"/>
                <w:szCs w:val="18"/>
                <w:rtl/>
              </w:rPr>
              <w:t xml:space="preserve"> 0</w:t>
            </w:r>
          </w:p>
        </w:tc>
        <w:tc>
          <w:tcPr>
            <w:tcW w:w="256" w:type="pct"/>
            <w:tcMar>
              <w:left w:w="58" w:type="dxa"/>
              <w:right w:w="58" w:type="dxa"/>
            </w:tcMar>
            <w:vAlign w:val="bottom"/>
          </w:tcPr>
          <w:p w14:paraId="18770D58" w14:textId="77777777" w:rsidR="00CA1378" w:rsidRPr="000035FE" w:rsidRDefault="00CA1378" w:rsidP="00400DD1">
            <w:pPr>
              <w:pStyle w:val="-3"/>
              <w:rPr>
                <w:sz w:val="18"/>
                <w:szCs w:val="18"/>
                <w:rtl/>
              </w:rPr>
            </w:pPr>
            <w:r w:rsidRPr="000035FE">
              <w:rPr>
                <w:rFonts w:hint="cs"/>
                <w:sz w:val="18"/>
                <w:szCs w:val="18"/>
                <w:rtl/>
              </w:rPr>
              <w:t xml:space="preserve"> </w:t>
            </w:r>
            <w:r w:rsidRPr="000035FE">
              <w:rPr>
                <w:sz w:val="18"/>
                <w:szCs w:val="18"/>
                <w:rtl/>
              </w:rPr>
              <w:t>0</w:t>
            </w:r>
          </w:p>
        </w:tc>
        <w:tc>
          <w:tcPr>
            <w:tcW w:w="536" w:type="pct"/>
            <w:vAlign w:val="bottom"/>
          </w:tcPr>
          <w:p w14:paraId="2A4794D8" w14:textId="77777777" w:rsidR="00CA1378" w:rsidRPr="000035FE" w:rsidRDefault="00CA1378" w:rsidP="00400DD1">
            <w:pPr>
              <w:pStyle w:val="-3"/>
              <w:rPr>
                <w:sz w:val="18"/>
                <w:szCs w:val="18"/>
                <w:rtl/>
              </w:rPr>
            </w:pPr>
            <w:r w:rsidRPr="000035FE">
              <w:rPr>
                <w:rFonts w:hint="cs"/>
                <w:sz w:val="18"/>
                <w:szCs w:val="18"/>
                <w:rtl/>
              </w:rPr>
              <w:t xml:space="preserve"> </w:t>
            </w:r>
            <w:r w:rsidRPr="000035FE">
              <w:rPr>
                <w:sz w:val="18"/>
                <w:szCs w:val="18"/>
                <w:rtl/>
              </w:rPr>
              <w:t>0</w:t>
            </w:r>
          </w:p>
        </w:tc>
        <w:tc>
          <w:tcPr>
            <w:tcW w:w="605" w:type="pct"/>
            <w:tcBorders>
              <w:right w:val="nil"/>
            </w:tcBorders>
            <w:vAlign w:val="bottom"/>
          </w:tcPr>
          <w:p w14:paraId="1725DE95" w14:textId="77777777" w:rsidR="00CA1378" w:rsidRPr="000035FE" w:rsidRDefault="00CA1378" w:rsidP="00400DD1">
            <w:pPr>
              <w:pStyle w:val="-3"/>
              <w:rPr>
                <w:sz w:val="18"/>
                <w:szCs w:val="18"/>
                <w:rtl/>
              </w:rPr>
            </w:pPr>
            <w:r w:rsidRPr="000035FE">
              <w:rPr>
                <w:rFonts w:hint="cs"/>
                <w:sz w:val="18"/>
                <w:szCs w:val="18"/>
                <w:rtl/>
              </w:rPr>
              <w:t xml:space="preserve"> </w:t>
            </w:r>
            <w:r w:rsidRPr="000035FE">
              <w:rPr>
                <w:sz w:val="18"/>
                <w:szCs w:val="18"/>
                <w:rtl/>
              </w:rPr>
              <w:t>0</w:t>
            </w:r>
          </w:p>
        </w:tc>
      </w:tr>
      <w:tr w:rsidR="00CA1378" w:rsidRPr="000035FE" w14:paraId="32D0847B" w14:textId="77777777" w:rsidTr="006A357B">
        <w:trPr>
          <w:trHeight w:val="80"/>
        </w:trPr>
        <w:tc>
          <w:tcPr>
            <w:tcW w:w="1088" w:type="pct"/>
            <w:vAlign w:val="bottom"/>
          </w:tcPr>
          <w:p w14:paraId="703DA5CF" w14:textId="77777777" w:rsidR="00CA1378" w:rsidRPr="000035FE" w:rsidRDefault="00CA1378" w:rsidP="00400DD1">
            <w:pPr>
              <w:pStyle w:val="-0"/>
              <w:bidi w:val="0"/>
              <w:spacing w:line="60" w:lineRule="exact"/>
              <w:ind w:left="0" w:firstLine="0"/>
              <w:jc w:val="both"/>
              <w:rPr>
                <w:b/>
                <w:bCs/>
                <w:sz w:val="18"/>
                <w:szCs w:val="18"/>
                <w:rtl/>
              </w:rPr>
            </w:pPr>
          </w:p>
        </w:tc>
        <w:tc>
          <w:tcPr>
            <w:tcW w:w="535" w:type="pct"/>
            <w:tcMar>
              <w:left w:w="58" w:type="dxa"/>
              <w:right w:w="58" w:type="dxa"/>
            </w:tcMar>
            <w:vAlign w:val="bottom"/>
          </w:tcPr>
          <w:p w14:paraId="080EFA3A" w14:textId="77777777" w:rsidR="00CA1378" w:rsidRPr="000035FE" w:rsidRDefault="00CA1378" w:rsidP="00400DD1">
            <w:pPr>
              <w:pStyle w:val="-3"/>
              <w:bidi w:val="0"/>
              <w:spacing w:line="60" w:lineRule="exact"/>
              <w:rPr>
                <w:sz w:val="18"/>
                <w:szCs w:val="18"/>
                <w:rtl/>
              </w:rPr>
            </w:pPr>
          </w:p>
        </w:tc>
        <w:tc>
          <w:tcPr>
            <w:tcW w:w="474" w:type="pct"/>
            <w:vAlign w:val="bottom"/>
          </w:tcPr>
          <w:p w14:paraId="41A238A5" w14:textId="77777777" w:rsidR="00CA1378" w:rsidRPr="000035FE" w:rsidRDefault="00CA1378" w:rsidP="00400DD1">
            <w:pPr>
              <w:pStyle w:val="-3"/>
              <w:bidi w:val="0"/>
              <w:spacing w:line="60" w:lineRule="exact"/>
              <w:rPr>
                <w:sz w:val="18"/>
                <w:szCs w:val="18"/>
                <w:rtl/>
              </w:rPr>
            </w:pPr>
          </w:p>
        </w:tc>
        <w:tc>
          <w:tcPr>
            <w:tcW w:w="538" w:type="pct"/>
            <w:vAlign w:val="bottom"/>
          </w:tcPr>
          <w:p w14:paraId="0763E6EA" w14:textId="77777777" w:rsidR="00CA1378" w:rsidRPr="000035FE" w:rsidRDefault="00CA1378" w:rsidP="00400DD1">
            <w:pPr>
              <w:pStyle w:val="-3"/>
              <w:bidi w:val="0"/>
              <w:spacing w:line="60" w:lineRule="exact"/>
              <w:rPr>
                <w:sz w:val="18"/>
                <w:szCs w:val="18"/>
                <w:rtl/>
              </w:rPr>
            </w:pPr>
          </w:p>
        </w:tc>
        <w:tc>
          <w:tcPr>
            <w:tcW w:w="601" w:type="pct"/>
            <w:vAlign w:val="bottom"/>
          </w:tcPr>
          <w:p w14:paraId="1E9E51BD" w14:textId="77777777" w:rsidR="00CA1378" w:rsidRPr="000035FE" w:rsidRDefault="00CA1378" w:rsidP="00400DD1">
            <w:pPr>
              <w:pStyle w:val="-3"/>
              <w:bidi w:val="0"/>
              <w:spacing w:line="60" w:lineRule="exact"/>
              <w:rPr>
                <w:sz w:val="18"/>
                <w:szCs w:val="18"/>
                <w:rtl/>
              </w:rPr>
            </w:pPr>
          </w:p>
        </w:tc>
        <w:tc>
          <w:tcPr>
            <w:tcW w:w="367" w:type="pct"/>
            <w:vAlign w:val="bottom"/>
          </w:tcPr>
          <w:p w14:paraId="3AB27203" w14:textId="77777777" w:rsidR="00CA1378" w:rsidRPr="000035FE" w:rsidRDefault="00CA1378" w:rsidP="00400DD1">
            <w:pPr>
              <w:pStyle w:val="-3"/>
              <w:bidi w:val="0"/>
              <w:spacing w:line="60" w:lineRule="exact"/>
              <w:jc w:val="left"/>
              <w:rPr>
                <w:sz w:val="18"/>
                <w:szCs w:val="18"/>
                <w:rtl/>
              </w:rPr>
            </w:pPr>
          </w:p>
        </w:tc>
        <w:tc>
          <w:tcPr>
            <w:tcW w:w="256" w:type="pct"/>
            <w:tcMar>
              <w:left w:w="58" w:type="dxa"/>
              <w:right w:w="58" w:type="dxa"/>
            </w:tcMar>
            <w:vAlign w:val="bottom"/>
          </w:tcPr>
          <w:p w14:paraId="6ACCB953" w14:textId="77777777" w:rsidR="00CA1378" w:rsidRPr="000035FE" w:rsidRDefault="00CA1378" w:rsidP="00400DD1">
            <w:pPr>
              <w:pStyle w:val="-3"/>
              <w:bidi w:val="0"/>
              <w:spacing w:line="60" w:lineRule="exact"/>
              <w:rPr>
                <w:sz w:val="18"/>
                <w:szCs w:val="18"/>
                <w:rtl/>
              </w:rPr>
            </w:pPr>
          </w:p>
        </w:tc>
        <w:tc>
          <w:tcPr>
            <w:tcW w:w="536" w:type="pct"/>
            <w:vAlign w:val="bottom"/>
          </w:tcPr>
          <w:p w14:paraId="4AEE95FE" w14:textId="77777777" w:rsidR="00CA1378" w:rsidRPr="000035FE" w:rsidRDefault="00CA1378" w:rsidP="00400DD1">
            <w:pPr>
              <w:pStyle w:val="-3"/>
              <w:bidi w:val="0"/>
              <w:spacing w:line="60" w:lineRule="exact"/>
              <w:rPr>
                <w:sz w:val="18"/>
                <w:szCs w:val="18"/>
                <w:rtl/>
              </w:rPr>
            </w:pPr>
          </w:p>
        </w:tc>
        <w:tc>
          <w:tcPr>
            <w:tcW w:w="605" w:type="pct"/>
            <w:tcBorders>
              <w:right w:val="nil"/>
            </w:tcBorders>
            <w:vAlign w:val="bottom"/>
          </w:tcPr>
          <w:p w14:paraId="3DFD2064" w14:textId="77777777" w:rsidR="00CA1378" w:rsidRPr="000035FE" w:rsidRDefault="00CA1378" w:rsidP="00400DD1">
            <w:pPr>
              <w:pStyle w:val="-3"/>
              <w:bidi w:val="0"/>
              <w:spacing w:line="60" w:lineRule="exact"/>
              <w:rPr>
                <w:sz w:val="18"/>
                <w:szCs w:val="18"/>
                <w:rtl/>
              </w:rPr>
            </w:pPr>
          </w:p>
        </w:tc>
      </w:tr>
      <w:tr w:rsidR="00CA1378" w:rsidRPr="000035FE" w14:paraId="286C658A" w14:textId="77777777" w:rsidTr="006A357B">
        <w:trPr>
          <w:trHeight w:val="259"/>
        </w:trPr>
        <w:tc>
          <w:tcPr>
            <w:tcW w:w="1088" w:type="pct"/>
            <w:vAlign w:val="bottom"/>
          </w:tcPr>
          <w:p w14:paraId="04772898" w14:textId="6FE6C5BA" w:rsidR="00CA1378" w:rsidRPr="000035FE" w:rsidRDefault="00CA1378" w:rsidP="00CA1378">
            <w:pPr>
              <w:pStyle w:val="-0"/>
              <w:ind w:left="0" w:firstLine="0"/>
              <w:rPr>
                <w:b/>
                <w:bCs/>
                <w:sz w:val="18"/>
                <w:szCs w:val="18"/>
                <w:rtl/>
              </w:rPr>
            </w:pPr>
            <w:r w:rsidRPr="000035FE">
              <w:rPr>
                <w:rFonts w:hint="cs"/>
                <w:b/>
                <w:bCs/>
                <w:sz w:val="18"/>
                <w:szCs w:val="18"/>
                <w:rtl/>
              </w:rPr>
              <w:t xml:space="preserve">יתרה ליום </w:t>
            </w:r>
            <w:r>
              <w:rPr>
                <w:rFonts w:hint="cs"/>
                <w:b/>
                <w:bCs/>
                <w:sz w:val="18"/>
                <w:szCs w:val="18"/>
                <w:rtl/>
              </w:rPr>
              <w:t xml:space="preserve">31 בדצמבר </w:t>
            </w:r>
            <w:r w:rsidRPr="006F1E84">
              <w:rPr>
                <w:b/>
                <w:bCs/>
                <w:sz w:val="14"/>
                <w:szCs w:val="14"/>
                <w:rtl/>
              </w:rPr>
              <w:fldChar w:fldCharType="begin"/>
            </w:r>
            <w:r w:rsidRPr="006F1E84">
              <w:rPr>
                <w:b/>
                <w:bCs/>
                <w:sz w:val="14"/>
                <w:szCs w:val="14"/>
                <w:rtl/>
              </w:rPr>
              <w:instrText xml:space="preserve"> </w:instrText>
            </w:r>
            <w:r w:rsidRPr="006F1E84">
              <w:rPr>
                <w:rFonts w:hint="cs"/>
                <w:b/>
                <w:bCs/>
                <w:sz w:val="14"/>
                <w:szCs w:val="14"/>
                <w:rtl/>
              </w:rPr>
              <w:instrText xml:space="preserve">= </w:instrText>
            </w:r>
            <w:r w:rsidRPr="006F1E84">
              <w:rPr>
                <w:rFonts w:hint="cs"/>
                <w:b/>
                <w:bCs/>
                <w:sz w:val="14"/>
                <w:szCs w:val="14"/>
              </w:rPr>
              <w:instrText>CY</w:instrText>
            </w:r>
            <w:r w:rsidRPr="006F1E84">
              <w:rPr>
                <w:b/>
                <w:bCs/>
                <w:sz w:val="14"/>
                <w:szCs w:val="14"/>
              </w:rPr>
              <w:instrText>-1</w:instrText>
            </w:r>
            <w:r w:rsidRPr="006F1E84">
              <w:rPr>
                <w:rFonts w:hint="cs"/>
                <w:b/>
                <w:bCs/>
                <w:sz w:val="14"/>
                <w:szCs w:val="14"/>
              </w:rPr>
              <w:instrText xml:space="preserve"> \* MERGEFORMAT</w:instrText>
            </w:r>
            <w:r w:rsidRPr="006F1E84">
              <w:rPr>
                <w:b/>
                <w:bCs/>
                <w:sz w:val="14"/>
                <w:szCs w:val="14"/>
                <w:rtl/>
              </w:rPr>
              <w:instrText xml:space="preserve"> </w:instrText>
            </w:r>
            <w:r w:rsidRPr="006F1E84">
              <w:rPr>
                <w:b/>
                <w:bCs/>
                <w:sz w:val="14"/>
                <w:szCs w:val="14"/>
                <w:rtl/>
              </w:rPr>
              <w:fldChar w:fldCharType="separate"/>
            </w:r>
            <w:r w:rsidR="003A584F" w:rsidRPr="003A584F">
              <w:rPr>
                <w:b/>
                <w:bCs/>
                <w:noProof/>
                <w:sz w:val="18"/>
                <w:szCs w:val="18"/>
                <w:rtl/>
              </w:rPr>
              <w:t>2023</w:t>
            </w:r>
            <w:r w:rsidRPr="006F1E84">
              <w:rPr>
                <w:b/>
                <w:bCs/>
                <w:sz w:val="14"/>
                <w:szCs w:val="14"/>
                <w:rtl/>
              </w:rPr>
              <w:fldChar w:fldCharType="end"/>
            </w:r>
          </w:p>
        </w:tc>
        <w:tc>
          <w:tcPr>
            <w:tcW w:w="535" w:type="pct"/>
            <w:tcMar>
              <w:left w:w="58" w:type="dxa"/>
              <w:right w:w="58" w:type="dxa"/>
            </w:tcMar>
            <w:vAlign w:val="bottom"/>
          </w:tcPr>
          <w:p w14:paraId="6A5D14C0" w14:textId="77777777" w:rsidR="00CA1378" w:rsidRPr="006A357B" w:rsidRDefault="00CA1378" w:rsidP="00CA1378">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474" w:type="pct"/>
            <w:vAlign w:val="bottom"/>
          </w:tcPr>
          <w:p w14:paraId="0FF1F92C" w14:textId="77777777" w:rsidR="00CA1378" w:rsidRPr="006A357B" w:rsidRDefault="00CA1378" w:rsidP="00CA1378">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538" w:type="pct"/>
            <w:vAlign w:val="bottom"/>
          </w:tcPr>
          <w:p w14:paraId="50F0C448" w14:textId="77777777" w:rsidR="00CA1378" w:rsidRPr="006A357B" w:rsidRDefault="00CA1378" w:rsidP="00CA1378">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601" w:type="pct"/>
            <w:vAlign w:val="bottom"/>
          </w:tcPr>
          <w:p w14:paraId="3FA6D9F2" w14:textId="77777777" w:rsidR="00CA1378" w:rsidRPr="006A357B" w:rsidRDefault="00CA1378" w:rsidP="00CA1378">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367" w:type="pct"/>
            <w:vAlign w:val="bottom"/>
          </w:tcPr>
          <w:p w14:paraId="7F03DFF1" w14:textId="77777777" w:rsidR="00CA1378" w:rsidRPr="006A357B" w:rsidRDefault="00CA1378" w:rsidP="00CA1378">
            <w:pPr>
              <w:pStyle w:val="-3"/>
              <w:jc w:val="left"/>
              <w:rPr>
                <w:b/>
                <w:bCs/>
                <w:sz w:val="18"/>
                <w:szCs w:val="18"/>
                <w:rtl/>
              </w:rPr>
            </w:pPr>
            <w:r w:rsidRPr="006A357B">
              <w:rPr>
                <w:rFonts w:hint="cs"/>
                <w:b/>
                <w:bCs/>
                <w:sz w:val="18"/>
                <w:szCs w:val="18"/>
                <w:rtl/>
              </w:rPr>
              <w:t xml:space="preserve"> </w:t>
            </w:r>
            <w:r w:rsidRPr="006A357B">
              <w:rPr>
                <w:b/>
                <w:bCs/>
                <w:sz w:val="18"/>
                <w:szCs w:val="18"/>
                <w:rtl/>
              </w:rPr>
              <w:t>0</w:t>
            </w:r>
          </w:p>
        </w:tc>
        <w:tc>
          <w:tcPr>
            <w:tcW w:w="256" w:type="pct"/>
            <w:tcMar>
              <w:left w:w="58" w:type="dxa"/>
              <w:right w:w="58" w:type="dxa"/>
            </w:tcMar>
            <w:vAlign w:val="bottom"/>
          </w:tcPr>
          <w:p w14:paraId="52B3283F" w14:textId="77777777" w:rsidR="00CA1378" w:rsidRPr="006A357B" w:rsidRDefault="00CA1378" w:rsidP="00CA1378">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536" w:type="pct"/>
            <w:vAlign w:val="bottom"/>
          </w:tcPr>
          <w:p w14:paraId="3E1BD0EE" w14:textId="77777777" w:rsidR="00CA1378" w:rsidRPr="006A357B" w:rsidRDefault="00CA1378" w:rsidP="00CA1378">
            <w:pPr>
              <w:pStyle w:val="-3"/>
              <w:rPr>
                <w:b/>
                <w:bCs/>
                <w:sz w:val="18"/>
                <w:szCs w:val="18"/>
                <w:rtl/>
              </w:rPr>
            </w:pPr>
            <w:r w:rsidRPr="006A357B">
              <w:rPr>
                <w:rFonts w:hint="cs"/>
                <w:b/>
                <w:bCs/>
                <w:sz w:val="18"/>
                <w:szCs w:val="18"/>
                <w:rtl/>
              </w:rPr>
              <w:t xml:space="preserve"> </w:t>
            </w:r>
            <w:r w:rsidRPr="006A357B">
              <w:rPr>
                <w:b/>
                <w:bCs/>
                <w:sz w:val="18"/>
                <w:szCs w:val="18"/>
                <w:rtl/>
              </w:rPr>
              <w:t>0</w:t>
            </w:r>
          </w:p>
        </w:tc>
        <w:tc>
          <w:tcPr>
            <w:tcW w:w="605" w:type="pct"/>
            <w:tcBorders>
              <w:right w:val="nil"/>
            </w:tcBorders>
            <w:vAlign w:val="bottom"/>
          </w:tcPr>
          <w:p w14:paraId="4C2AFE58" w14:textId="77777777" w:rsidR="00CA1378" w:rsidRPr="006A357B" w:rsidRDefault="00CA1378" w:rsidP="00CA1378">
            <w:pPr>
              <w:pStyle w:val="-3"/>
              <w:rPr>
                <w:b/>
                <w:bCs/>
                <w:sz w:val="18"/>
                <w:szCs w:val="18"/>
                <w:rtl/>
              </w:rPr>
            </w:pPr>
            <w:r w:rsidRPr="006A357B">
              <w:rPr>
                <w:rFonts w:hint="cs"/>
                <w:b/>
                <w:bCs/>
                <w:sz w:val="18"/>
                <w:szCs w:val="18"/>
                <w:rtl/>
              </w:rPr>
              <w:t xml:space="preserve"> 0</w:t>
            </w:r>
          </w:p>
        </w:tc>
      </w:tr>
    </w:tbl>
    <w:p w14:paraId="0A97C464" w14:textId="77777777" w:rsidR="00CA1378" w:rsidRDefault="00CA1378"/>
    <w:p w14:paraId="7A7E3345" w14:textId="77777777" w:rsidR="0006190E" w:rsidRPr="00027D6F" w:rsidRDefault="0006190E" w:rsidP="00027D6F">
      <w:pPr>
        <w:rPr>
          <w:vanish/>
        </w:rPr>
      </w:pPr>
    </w:p>
    <w:p w14:paraId="5681C637" w14:textId="77777777" w:rsidR="006C017A" w:rsidRPr="006C017A" w:rsidRDefault="006C017A">
      <w:pPr>
        <w:rPr>
          <w:sz w:val="14"/>
          <w:szCs w:val="14"/>
        </w:rPr>
      </w:pPr>
    </w:p>
    <w:tbl>
      <w:tblPr>
        <w:bidiVisual/>
        <w:tblW w:w="5000" w:type="pct"/>
        <w:tblInd w:w="316" w:type="dxa"/>
        <w:tblLook w:val="04A0" w:firstRow="1" w:lastRow="0" w:firstColumn="1" w:lastColumn="0" w:noHBand="0" w:noVBand="1"/>
      </w:tblPr>
      <w:tblGrid>
        <w:gridCol w:w="10207"/>
      </w:tblGrid>
      <w:tr w:rsidR="00287440" w:rsidRPr="000035FE" w14:paraId="61D4F0A6" w14:textId="77777777" w:rsidTr="006B5749">
        <w:trPr>
          <w:trHeight w:val="259"/>
        </w:trPr>
        <w:tc>
          <w:tcPr>
            <w:tcW w:w="5000" w:type="pct"/>
            <w:vAlign w:val="bottom"/>
          </w:tcPr>
          <w:p w14:paraId="450166E3" w14:textId="7FF89D60" w:rsidR="00287440" w:rsidRPr="001C6BB3" w:rsidRDefault="00287440" w:rsidP="00CA1378">
            <w:pPr>
              <w:pStyle w:val="-3"/>
              <w:numPr>
                <w:ilvl w:val="0"/>
                <w:numId w:val="12"/>
              </w:numPr>
              <w:spacing w:before="40" w:after="20" w:line="240" w:lineRule="auto"/>
              <w:ind w:left="518" w:hanging="428"/>
              <w:rPr>
                <w:sz w:val="16"/>
                <w:szCs w:val="16"/>
                <w:rtl/>
              </w:rPr>
            </w:pPr>
            <w:r w:rsidRPr="001C6BB3">
              <w:rPr>
                <w:sz w:val="16"/>
                <w:szCs w:val="16"/>
                <w:rtl/>
              </w:rPr>
              <w:t>אם מהותי, יינתן גילוי לסכומים שנרשמו בגין אגרות חוב זמינות למכירה שנרשמה בגינן הפרשה להפסדי אשראי.</w:t>
            </w:r>
          </w:p>
        </w:tc>
      </w:tr>
      <w:tr w:rsidR="004672C2" w:rsidRPr="000035FE" w14:paraId="0B1AFAE4" w14:textId="77777777" w:rsidTr="00A44548">
        <w:trPr>
          <w:trHeight w:val="259"/>
        </w:trPr>
        <w:tc>
          <w:tcPr>
            <w:tcW w:w="5000" w:type="pct"/>
            <w:vAlign w:val="bottom"/>
          </w:tcPr>
          <w:p w14:paraId="4B9E1867" w14:textId="77777777" w:rsidR="004672C2" w:rsidRPr="00287440" w:rsidRDefault="004672C2" w:rsidP="00CA1378">
            <w:pPr>
              <w:pStyle w:val="-3"/>
              <w:numPr>
                <w:ilvl w:val="0"/>
                <w:numId w:val="12"/>
              </w:numPr>
              <w:spacing w:before="40" w:after="20" w:line="240" w:lineRule="auto"/>
              <w:ind w:left="518" w:hanging="428"/>
              <w:rPr>
                <w:sz w:val="16"/>
                <w:szCs w:val="16"/>
                <w:rtl/>
              </w:rPr>
            </w:pPr>
            <w:r w:rsidRPr="00287440">
              <w:rPr>
                <w:rFonts w:hint="cs"/>
                <w:sz w:val="16"/>
                <w:szCs w:val="16"/>
                <w:rtl/>
              </w:rPr>
              <w:t>התאמות מתרגום דוחות כספיים של פעילויות חוץ שמטבע הפעילות שלהן שונה ממטבע הפעילות של התאגיד הבנקאי, לרבות התאמות בגין חברות כלולות</w:t>
            </w:r>
            <w:r w:rsidR="00A35060" w:rsidRPr="00287440">
              <w:rPr>
                <w:rFonts w:hint="cs"/>
                <w:sz w:val="16"/>
                <w:szCs w:val="16"/>
                <w:rtl/>
              </w:rPr>
              <w:t>.</w:t>
            </w:r>
            <w:r w:rsidR="008666B3" w:rsidRPr="00287440">
              <w:rPr>
                <w:rFonts w:hint="cs"/>
                <w:sz w:val="16"/>
                <w:szCs w:val="16"/>
                <w:rtl/>
              </w:rPr>
              <w:t xml:space="preserve"> </w:t>
            </w:r>
            <w:r w:rsidR="00A35060" w:rsidRPr="00287440">
              <w:rPr>
                <w:rFonts w:hint="cs"/>
                <w:sz w:val="16"/>
                <w:szCs w:val="16"/>
                <w:rtl/>
              </w:rPr>
              <w:t>אם מהותי,</w:t>
            </w:r>
            <w:r w:rsidR="008666B3" w:rsidRPr="00287440">
              <w:rPr>
                <w:rFonts w:hint="cs"/>
                <w:sz w:val="16"/>
                <w:szCs w:val="16"/>
                <w:rtl/>
              </w:rPr>
              <w:t xml:space="preserve"> יינתן גילוי נפרד לסכום ההתאמות בגין חברות כלולות.</w:t>
            </w:r>
          </w:p>
        </w:tc>
      </w:tr>
      <w:tr w:rsidR="004672C2" w:rsidRPr="000035FE" w14:paraId="1AD31AFE" w14:textId="77777777" w:rsidTr="00A44548">
        <w:trPr>
          <w:trHeight w:val="259"/>
        </w:trPr>
        <w:tc>
          <w:tcPr>
            <w:tcW w:w="5000" w:type="pct"/>
            <w:vAlign w:val="bottom"/>
          </w:tcPr>
          <w:p w14:paraId="2517BDA5" w14:textId="77777777" w:rsidR="0089240B" w:rsidRPr="00287440" w:rsidRDefault="004672C2" w:rsidP="00CA1378">
            <w:pPr>
              <w:pStyle w:val="-3"/>
              <w:numPr>
                <w:ilvl w:val="0"/>
                <w:numId w:val="12"/>
              </w:numPr>
              <w:spacing w:before="40" w:after="20" w:line="240" w:lineRule="auto"/>
              <w:rPr>
                <w:sz w:val="16"/>
                <w:szCs w:val="16"/>
                <w:rtl/>
              </w:rPr>
            </w:pPr>
            <w:r w:rsidRPr="00287440">
              <w:rPr>
                <w:rFonts w:hint="cs"/>
                <w:sz w:val="16"/>
                <w:szCs w:val="16"/>
                <w:rtl/>
              </w:rPr>
              <w:t xml:space="preserve"> רווחים (הפסדים) נטו בגין גידור השקעה נטו במטבע חוץ.</w:t>
            </w:r>
          </w:p>
        </w:tc>
      </w:tr>
    </w:tbl>
    <w:p w14:paraId="25009ECE" w14:textId="74C24986" w:rsidR="00CA1378" w:rsidRDefault="00CA1378">
      <w:pPr>
        <w:rPr>
          <w:rtl/>
        </w:rPr>
      </w:pPr>
    </w:p>
    <w:p w14:paraId="5C8B8BA5" w14:textId="77777777" w:rsidR="00CA1378" w:rsidRDefault="00CA1378">
      <w:pPr>
        <w:bidi w:val="0"/>
        <w:jc w:val="left"/>
        <w:rPr>
          <w:rtl/>
        </w:rPr>
      </w:pPr>
      <w:r>
        <w:rPr>
          <w:rtl/>
        </w:rPr>
        <w:br w:type="page"/>
      </w:r>
    </w:p>
    <w:tbl>
      <w:tblPr>
        <w:bidiVisual/>
        <w:tblW w:w="4928" w:type="pct"/>
        <w:tblInd w:w="68" w:type="dxa"/>
        <w:tblLook w:val="04A0" w:firstRow="1" w:lastRow="0" w:firstColumn="1" w:lastColumn="0" w:noHBand="0" w:noVBand="1"/>
      </w:tblPr>
      <w:tblGrid>
        <w:gridCol w:w="986"/>
        <w:gridCol w:w="423"/>
        <w:gridCol w:w="8464"/>
        <w:gridCol w:w="187"/>
      </w:tblGrid>
      <w:tr w:rsidR="009474DD" w:rsidRPr="009474DD" w14:paraId="13E1FA91" w14:textId="77777777" w:rsidTr="00EC46DF">
        <w:trPr>
          <w:gridAfter w:val="1"/>
          <w:wAfter w:w="93" w:type="pct"/>
          <w:trHeight w:val="245"/>
        </w:trPr>
        <w:tc>
          <w:tcPr>
            <w:tcW w:w="490" w:type="pct"/>
          </w:tcPr>
          <w:p w14:paraId="54BA6137" w14:textId="77777777" w:rsidR="00F32A2A" w:rsidRDefault="00F32A2A">
            <w:pPr>
              <w:spacing w:after="60" w:line="264" w:lineRule="auto"/>
              <w:jc w:val="left"/>
              <w:rPr>
                <w:b/>
                <w:bCs/>
                <w:rtl/>
              </w:rPr>
            </w:pPr>
          </w:p>
        </w:tc>
        <w:tc>
          <w:tcPr>
            <w:tcW w:w="4417" w:type="pct"/>
            <w:gridSpan w:val="2"/>
          </w:tcPr>
          <w:p w14:paraId="0D306010" w14:textId="77777777" w:rsidR="00F32A2A" w:rsidRDefault="00B44059">
            <w:pPr>
              <w:spacing w:after="60" w:line="264" w:lineRule="auto"/>
              <w:rPr>
                <w:b/>
                <w:bCs/>
                <w:sz w:val="22"/>
                <w:szCs w:val="22"/>
                <w:rtl/>
              </w:rPr>
            </w:pPr>
            <w:r w:rsidRPr="00B44059">
              <w:rPr>
                <w:rFonts w:eastAsia="Arial Unicode MS"/>
                <w:b/>
                <w:bCs/>
                <w:sz w:val="22"/>
                <w:szCs w:val="22"/>
                <w:rtl/>
              </w:rPr>
              <w:t xml:space="preserve">ביאור 4  -  </w:t>
            </w:r>
            <w:r w:rsidRPr="00B44059">
              <w:rPr>
                <w:rFonts w:hint="eastAsia"/>
                <w:b/>
                <w:bCs/>
                <w:sz w:val="22"/>
                <w:szCs w:val="22"/>
                <w:rtl/>
              </w:rPr>
              <w:t>רווח</w:t>
            </w:r>
            <w:r w:rsidRPr="00B44059">
              <w:rPr>
                <w:b/>
                <w:bCs/>
                <w:sz w:val="22"/>
                <w:szCs w:val="22"/>
                <w:rtl/>
              </w:rPr>
              <w:t xml:space="preserve"> (הפסד) </w:t>
            </w:r>
            <w:r w:rsidRPr="00B44059">
              <w:rPr>
                <w:rFonts w:hint="eastAsia"/>
                <w:b/>
                <w:bCs/>
                <w:sz w:val="22"/>
                <w:szCs w:val="22"/>
                <w:rtl/>
              </w:rPr>
              <w:t>כולל</w:t>
            </w:r>
            <w:r w:rsidRPr="00B44059">
              <w:rPr>
                <w:b/>
                <w:bCs/>
                <w:sz w:val="22"/>
                <w:szCs w:val="22"/>
                <w:rtl/>
              </w:rPr>
              <w:t xml:space="preserve"> </w:t>
            </w:r>
            <w:r w:rsidRPr="00B44059">
              <w:rPr>
                <w:rFonts w:hint="eastAsia"/>
                <w:b/>
                <w:bCs/>
                <w:sz w:val="22"/>
                <w:szCs w:val="22"/>
                <w:rtl/>
              </w:rPr>
              <w:t>אחר</w:t>
            </w:r>
            <w:r w:rsidRPr="00B44059">
              <w:rPr>
                <w:b/>
                <w:bCs/>
                <w:sz w:val="22"/>
                <w:szCs w:val="22"/>
                <w:rtl/>
              </w:rPr>
              <w:t xml:space="preserve"> </w:t>
            </w:r>
            <w:r w:rsidRPr="00B44059">
              <w:rPr>
                <w:rFonts w:hint="eastAsia"/>
                <w:b/>
                <w:bCs/>
                <w:sz w:val="22"/>
                <w:szCs w:val="22"/>
                <w:rtl/>
              </w:rPr>
              <w:t>מצטבר</w:t>
            </w:r>
            <w:r w:rsidR="009474DD">
              <w:rPr>
                <w:rFonts w:hint="cs"/>
                <w:b/>
                <w:bCs/>
                <w:sz w:val="22"/>
                <w:szCs w:val="22"/>
                <w:rtl/>
              </w:rPr>
              <w:t xml:space="preserve"> (המשך)</w:t>
            </w:r>
            <w:r w:rsidRPr="00B44059">
              <w:rPr>
                <w:b/>
                <w:bCs/>
                <w:sz w:val="22"/>
                <w:szCs w:val="22"/>
                <w:rtl/>
              </w:rPr>
              <w:t>:</w:t>
            </w:r>
          </w:p>
        </w:tc>
      </w:tr>
      <w:tr w:rsidR="00EC46DF" w:rsidRPr="00F33BB6" w14:paraId="760BE762" w14:textId="77777777" w:rsidTr="00EC46DF">
        <w:trPr>
          <w:trHeight w:val="245"/>
        </w:trPr>
        <w:tc>
          <w:tcPr>
            <w:tcW w:w="490" w:type="pct"/>
          </w:tcPr>
          <w:p w14:paraId="5F563B5B" w14:textId="77777777" w:rsidR="00D0470C" w:rsidRPr="00EC46DF" w:rsidRDefault="00D0470C" w:rsidP="006F3019">
            <w:pPr>
              <w:spacing w:before="60" w:line="264" w:lineRule="auto"/>
              <w:jc w:val="left"/>
              <w:rPr>
                <w:b/>
                <w:bCs/>
                <w:sz w:val="13"/>
                <w:szCs w:val="13"/>
                <w:rtl/>
              </w:rPr>
            </w:pPr>
            <w:r w:rsidRPr="00EC46DF">
              <w:rPr>
                <w:rFonts w:hint="eastAsia"/>
                <w:sz w:val="13"/>
                <w:szCs w:val="13"/>
                <w:rtl/>
              </w:rPr>
              <w:t>מתכונת</w:t>
            </w:r>
            <w:r w:rsidRPr="00EC46DF">
              <w:rPr>
                <w:sz w:val="13"/>
                <w:szCs w:val="13"/>
                <w:rtl/>
              </w:rPr>
              <w:t xml:space="preserve"> ביאור </w:t>
            </w:r>
            <w:r w:rsidRPr="00EC46DF">
              <w:rPr>
                <w:sz w:val="13"/>
                <w:szCs w:val="13"/>
                <w:rtl/>
              </w:rPr>
              <w:br/>
            </w:r>
            <w:r w:rsidRPr="00EC46DF">
              <w:rPr>
                <w:rFonts w:hint="eastAsia"/>
                <w:sz w:val="13"/>
                <w:szCs w:val="13"/>
                <w:rtl/>
              </w:rPr>
              <w:t>עמ</w:t>
            </w:r>
            <w:r w:rsidRPr="00EC46DF">
              <w:rPr>
                <w:sz w:val="13"/>
                <w:szCs w:val="13"/>
                <w:rtl/>
              </w:rPr>
              <w:t xml:space="preserve">' </w:t>
            </w:r>
            <w:r w:rsidRPr="00EC46DF">
              <w:rPr>
                <w:rFonts w:hint="cs"/>
                <w:sz w:val="13"/>
                <w:szCs w:val="13"/>
                <w:rtl/>
              </w:rPr>
              <w:t>663-19</w:t>
            </w:r>
          </w:p>
        </w:tc>
        <w:tc>
          <w:tcPr>
            <w:tcW w:w="210" w:type="pct"/>
          </w:tcPr>
          <w:p w14:paraId="0A2FF21F" w14:textId="77777777" w:rsidR="00D0470C" w:rsidRPr="00F33BB6" w:rsidRDefault="00D0470C" w:rsidP="006F3019">
            <w:pPr>
              <w:spacing w:before="60" w:line="264" w:lineRule="auto"/>
              <w:rPr>
                <w:b/>
                <w:bCs/>
                <w:rtl/>
              </w:rPr>
            </w:pPr>
            <w:r w:rsidRPr="00F33BB6">
              <w:rPr>
                <w:rFonts w:hint="cs"/>
                <w:b/>
                <w:bCs/>
                <w:rtl/>
              </w:rPr>
              <w:t>ב.</w:t>
            </w:r>
          </w:p>
        </w:tc>
        <w:tc>
          <w:tcPr>
            <w:tcW w:w="4300" w:type="pct"/>
            <w:gridSpan w:val="2"/>
          </w:tcPr>
          <w:p w14:paraId="6C683D7D" w14:textId="16AC07BC" w:rsidR="00D0470C" w:rsidRPr="00F33BB6" w:rsidRDefault="00D0470C" w:rsidP="006F3019">
            <w:pPr>
              <w:spacing w:before="60" w:line="264" w:lineRule="auto"/>
              <w:rPr>
                <w:b/>
                <w:bCs/>
                <w:rtl/>
              </w:rPr>
            </w:pPr>
            <w:r w:rsidRPr="00F33BB6">
              <w:rPr>
                <w:rFonts w:hint="cs"/>
                <w:b/>
                <w:bCs/>
                <w:rtl/>
              </w:rPr>
              <w:t>שינויים במרכיבי רווח (הפסד) כולל אחר מצטבר, לפני ואחרי השפעת מס:</w:t>
            </w:r>
          </w:p>
        </w:tc>
      </w:tr>
      <w:tr w:rsidR="00EC46DF" w:rsidRPr="00F33BB6" w14:paraId="46AAA86B" w14:textId="77777777" w:rsidTr="00EC46DF">
        <w:tblPrEx>
          <w:tblLook w:val="01E0" w:firstRow="1" w:lastRow="1" w:firstColumn="1" w:lastColumn="1" w:noHBand="0" w:noVBand="0"/>
        </w:tblPrEx>
        <w:trPr>
          <w:trHeight w:val="256"/>
        </w:trPr>
        <w:tc>
          <w:tcPr>
            <w:tcW w:w="490" w:type="pct"/>
          </w:tcPr>
          <w:p w14:paraId="41B887EC" w14:textId="77777777" w:rsidR="00D0470C" w:rsidRPr="00F33BB6" w:rsidRDefault="00D0470C" w:rsidP="006F3019">
            <w:pPr>
              <w:rPr>
                <w:rtl/>
              </w:rPr>
            </w:pPr>
          </w:p>
        </w:tc>
        <w:tc>
          <w:tcPr>
            <w:tcW w:w="210" w:type="pct"/>
            <w:vAlign w:val="bottom"/>
          </w:tcPr>
          <w:p w14:paraId="5F43432C" w14:textId="77777777" w:rsidR="00D0470C" w:rsidRPr="00F33BB6" w:rsidRDefault="00D0470C" w:rsidP="006F3019">
            <w:pPr>
              <w:rPr>
                <w:rtl/>
              </w:rPr>
            </w:pPr>
          </w:p>
        </w:tc>
        <w:tc>
          <w:tcPr>
            <w:tcW w:w="4300" w:type="pct"/>
            <w:gridSpan w:val="2"/>
            <w:vAlign w:val="bottom"/>
          </w:tcPr>
          <w:p w14:paraId="3274D20A" w14:textId="15FC835C" w:rsidR="00F32A2A" w:rsidRPr="003765C0" w:rsidRDefault="00D0470C" w:rsidP="0059280D">
            <w:pPr>
              <w:pStyle w:val="-f4"/>
              <w:ind w:left="214" w:hanging="214"/>
              <w:rPr>
                <w:sz w:val="18"/>
                <w:szCs w:val="18"/>
                <w:rtl/>
              </w:rPr>
            </w:pPr>
            <w:r w:rsidRPr="003765C0">
              <w:rPr>
                <w:sz w:val="18"/>
                <w:szCs w:val="18"/>
                <w:rtl/>
              </w:rPr>
              <w:t>1.</w:t>
            </w:r>
            <w:r w:rsidRPr="003765C0">
              <w:rPr>
                <w:sz w:val="18"/>
                <w:szCs w:val="18"/>
                <w:rtl/>
              </w:rPr>
              <w:tab/>
              <w:t>לתקופות</w:t>
            </w:r>
            <w:r w:rsidRPr="003765C0">
              <w:rPr>
                <w:spacing w:val="-20"/>
                <w:sz w:val="18"/>
                <w:szCs w:val="18"/>
                <w:rtl/>
              </w:rPr>
              <w:t xml:space="preserve"> </w:t>
            </w:r>
            <w:r w:rsidRPr="003765C0">
              <w:rPr>
                <w:sz w:val="18"/>
                <w:szCs w:val="18"/>
                <w:rtl/>
              </w:rPr>
              <w:t>של</w:t>
            </w:r>
            <w:r w:rsidRPr="003765C0">
              <w:rPr>
                <w:spacing w:val="-20"/>
                <w:sz w:val="18"/>
                <w:szCs w:val="18"/>
                <w:rtl/>
              </w:rPr>
              <w:t xml:space="preserve"> </w:t>
            </w:r>
            <w:r w:rsidRPr="003765C0">
              <w:rPr>
                <w:sz w:val="18"/>
                <w:szCs w:val="18"/>
                <w:rtl/>
              </w:rPr>
              <w:t xml:space="preserve">שלושה חודשים שהסתיימו </w:t>
            </w:r>
            <w:r w:rsidRPr="003765C0">
              <w:rPr>
                <w:rFonts w:hint="cs"/>
                <w:sz w:val="18"/>
                <w:szCs w:val="18"/>
                <w:rtl/>
              </w:rPr>
              <w:t>בימים</w:t>
            </w:r>
            <w:r w:rsidRPr="003765C0">
              <w:rPr>
                <w:sz w:val="18"/>
                <w:szCs w:val="18"/>
                <w:rtl/>
              </w:rPr>
              <w:t xml:space="preserve"> 30 ביוני </w:t>
            </w:r>
            <w:r w:rsidR="006F1E84" w:rsidRPr="003765C0">
              <w:rPr>
                <w:sz w:val="18"/>
                <w:szCs w:val="18"/>
                <w:rtl/>
              </w:rPr>
              <w:fldChar w:fldCharType="begin"/>
            </w:r>
            <w:r w:rsidR="006F1E84" w:rsidRPr="003765C0">
              <w:rPr>
                <w:sz w:val="18"/>
                <w:szCs w:val="18"/>
                <w:rtl/>
              </w:rPr>
              <w:instrText xml:space="preserve"> </w:instrText>
            </w:r>
            <w:r w:rsidR="006F1E84" w:rsidRPr="003765C0">
              <w:rPr>
                <w:rFonts w:hint="cs"/>
                <w:sz w:val="18"/>
                <w:szCs w:val="18"/>
                <w:rtl/>
              </w:rPr>
              <w:instrText xml:space="preserve">= </w:instrText>
            </w:r>
            <w:r w:rsidR="006F1E84" w:rsidRPr="003765C0">
              <w:rPr>
                <w:rFonts w:hint="cs"/>
                <w:sz w:val="18"/>
                <w:szCs w:val="18"/>
              </w:rPr>
              <w:instrText>CY \* MERGEFORMAT</w:instrText>
            </w:r>
            <w:r w:rsidR="006F1E84" w:rsidRPr="003765C0">
              <w:rPr>
                <w:sz w:val="18"/>
                <w:szCs w:val="18"/>
                <w:rtl/>
              </w:rPr>
              <w:instrText xml:space="preserve"> </w:instrText>
            </w:r>
            <w:r w:rsidR="006F1E84" w:rsidRPr="003765C0">
              <w:rPr>
                <w:sz w:val="18"/>
                <w:szCs w:val="18"/>
                <w:rtl/>
              </w:rPr>
              <w:fldChar w:fldCharType="separate"/>
            </w:r>
            <w:r w:rsidR="003A584F" w:rsidRPr="003765C0">
              <w:rPr>
                <w:noProof/>
                <w:sz w:val="18"/>
                <w:szCs w:val="18"/>
                <w:rtl/>
              </w:rPr>
              <w:t>2024</w:t>
            </w:r>
            <w:r w:rsidR="006F1E84" w:rsidRPr="003765C0">
              <w:rPr>
                <w:sz w:val="18"/>
                <w:szCs w:val="18"/>
                <w:rtl/>
              </w:rPr>
              <w:fldChar w:fldCharType="end"/>
            </w:r>
            <w:r w:rsidR="00223D86" w:rsidRPr="003765C0">
              <w:rPr>
                <w:rFonts w:hint="cs"/>
                <w:sz w:val="18"/>
                <w:szCs w:val="18"/>
                <w:rtl/>
              </w:rPr>
              <w:t xml:space="preserve"> </w:t>
            </w:r>
            <w:r w:rsidRPr="003765C0">
              <w:rPr>
                <w:sz w:val="18"/>
                <w:szCs w:val="18"/>
                <w:rtl/>
              </w:rPr>
              <w:t>ו</w:t>
            </w:r>
            <w:r w:rsidRPr="003765C0">
              <w:rPr>
                <w:rFonts w:hint="cs"/>
                <w:sz w:val="18"/>
                <w:szCs w:val="18"/>
                <w:rtl/>
              </w:rPr>
              <w:t>-</w:t>
            </w:r>
            <w:r w:rsidRPr="003765C0">
              <w:rPr>
                <w:sz w:val="18"/>
                <w:szCs w:val="18"/>
                <w:rtl/>
              </w:rPr>
              <w:t xml:space="preserve">30 ביוני </w:t>
            </w:r>
            <w:r w:rsidR="006F1E84" w:rsidRPr="003765C0">
              <w:rPr>
                <w:sz w:val="18"/>
                <w:szCs w:val="18"/>
                <w:rtl/>
              </w:rPr>
              <w:fldChar w:fldCharType="begin"/>
            </w:r>
            <w:r w:rsidR="006F1E84" w:rsidRPr="003765C0">
              <w:rPr>
                <w:sz w:val="18"/>
                <w:szCs w:val="18"/>
                <w:rtl/>
              </w:rPr>
              <w:instrText xml:space="preserve"> </w:instrText>
            </w:r>
            <w:r w:rsidR="006F1E84" w:rsidRPr="003765C0">
              <w:rPr>
                <w:rFonts w:hint="cs"/>
                <w:sz w:val="18"/>
                <w:szCs w:val="18"/>
                <w:rtl/>
              </w:rPr>
              <w:instrText xml:space="preserve">= </w:instrText>
            </w:r>
            <w:r w:rsidR="006F1E84" w:rsidRPr="003765C0">
              <w:rPr>
                <w:rFonts w:hint="cs"/>
                <w:sz w:val="18"/>
                <w:szCs w:val="18"/>
              </w:rPr>
              <w:instrText>CY</w:instrText>
            </w:r>
            <w:r w:rsidR="006F1E84" w:rsidRPr="003765C0">
              <w:rPr>
                <w:sz w:val="18"/>
                <w:szCs w:val="18"/>
              </w:rPr>
              <w:instrText>-1</w:instrText>
            </w:r>
            <w:r w:rsidR="006F1E84" w:rsidRPr="003765C0">
              <w:rPr>
                <w:rFonts w:hint="cs"/>
                <w:sz w:val="18"/>
                <w:szCs w:val="18"/>
              </w:rPr>
              <w:instrText xml:space="preserve"> \* MERGEFORMAT</w:instrText>
            </w:r>
            <w:r w:rsidR="006F1E84" w:rsidRPr="003765C0">
              <w:rPr>
                <w:sz w:val="18"/>
                <w:szCs w:val="18"/>
                <w:rtl/>
              </w:rPr>
              <w:instrText xml:space="preserve"> </w:instrText>
            </w:r>
            <w:r w:rsidR="006F1E84" w:rsidRPr="003765C0">
              <w:rPr>
                <w:sz w:val="18"/>
                <w:szCs w:val="18"/>
                <w:rtl/>
              </w:rPr>
              <w:fldChar w:fldCharType="separate"/>
            </w:r>
            <w:r w:rsidR="003A584F" w:rsidRPr="003765C0">
              <w:rPr>
                <w:noProof/>
                <w:sz w:val="18"/>
                <w:szCs w:val="18"/>
                <w:rtl/>
              </w:rPr>
              <w:t>2023</w:t>
            </w:r>
            <w:r w:rsidR="006F1E84" w:rsidRPr="003765C0">
              <w:rPr>
                <w:sz w:val="18"/>
                <w:szCs w:val="18"/>
                <w:rtl/>
              </w:rPr>
              <w:fldChar w:fldCharType="end"/>
            </w:r>
            <w:r w:rsidR="006F1E84" w:rsidRPr="003765C0">
              <w:rPr>
                <w:sz w:val="18"/>
                <w:szCs w:val="18"/>
                <w:rtl/>
              </w:rPr>
              <w:t xml:space="preserve"> </w:t>
            </w:r>
            <w:r w:rsidRPr="003765C0">
              <w:rPr>
                <w:sz w:val="18"/>
                <w:szCs w:val="18"/>
                <w:rtl/>
              </w:rPr>
              <w:t>(</w:t>
            </w:r>
            <w:r w:rsidRPr="003765C0">
              <w:rPr>
                <w:rFonts w:hint="cs"/>
                <w:sz w:val="18"/>
                <w:szCs w:val="18"/>
                <w:rtl/>
              </w:rPr>
              <w:t>בלתי</w:t>
            </w:r>
            <w:r w:rsidRPr="003765C0">
              <w:rPr>
                <w:sz w:val="18"/>
                <w:szCs w:val="18"/>
                <w:rtl/>
              </w:rPr>
              <w:t xml:space="preserve"> מבוקר):</w:t>
            </w:r>
          </w:p>
        </w:tc>
      </w:tr>
    </w:tbl>
    <w:p w14:paraId="1C0BE219" w14:textId="77777777" w:rsidR="00D0470C" w:rsidRDefault="00D0470C" w:rsidP="00D0470C">
      <w:pPr>
        <w:bidi w:val="0"/>
        <w:spacing w:line="120" w:lineRule="exact"/>
      </w:pPr>
      <w:r w:rsidRPr="00F33BB6">
        <w:rPr>
          <w:rtl/>
        </w:rPr>
        <w:tab/>
      </w:r>
      <w:r w:rsidRPr="00F33BB6">
        <w:rPr>
          <w:rFonts w:hint="cs"/>
          <w:rtl/>
        </w:rPr>
        <w:tab/>
      </w:r>
      <w:r w:rsidRPr="00F33BB6">
        <w:rPr>
          <w:rtl/>
        </w:rPr>
        <w:tab/>
      </w:r>
      <w:r w:rsidRPr="00F33BB6">
        <w:rPr>
          <w:rFonts w:hint="cs"/>
          <w:rtl/>
        </w:rPr>
        <w:tab/>
        <w:t xml:space="preserve">    </w:t>
      </w:r>
    </w:p>
    <w:tbl>
      <w:tblPr>
        <w:bidiVisual/>
        <w:tblW w:w="5002" w:type="pct"/>
        <w:jc w:val="right"/>
        <w:tblBorders>
          <w:right w:val="single" w:sz="4" w:space="0" w:color="auto"/>
        </w:tblBorders>
        <w:tblLayout w:type="fixed"/>
        <w:tblLook w:val="04A0" w:firstRow="1" w:lastRow="0" w:firstColumn="1" w:lastColumn="0" w:noHBand="0" w:noVBand="1"/>
      </w:tblPr>
      <w:tblGrid>
        <w:gridCol w:w="5806"/>
        <w:gridCol w:w="686"/>
        <w:gridCol w:w="827"/>
        <w:gridCol w:w="689"/>
        <w:gridCol w:w="687"/>
        <w:gridCol w:w="827"/>
        <w:gridCol w:w="689"/>
      </w:tblGrid>
      <w:tr w:rsidR="00D0470C" w:rsidRPr="00A10E01" w14:paraId="18FD67DA" w14:textId="77777777" w:rsidTr="003765C0">
        <w:trPr>
          <w:trHeight w:val="259"/>
          <w:jc w:val="right"/>
        </w:trPr>
        <w:tc>
          <w:tcPr>
            <w:tcW w:w="5803" w:type="dxa"/>
            <w:vAlign w:val="bottom"/>
          </w:tcPr>
          <w:p w14:paraId="0EED88AA" w14:textId="77777777" w:rsidR="00D0470C" w:rsidRPr="00A10E01" w:rsidRDefault="00D0470C" w:rsidP="0030379B">
            <w:pPr>
              <w:spacing w:line="200" w:lineRule="exact"/>
              <w:ind w:hanging="144"/>
              <w:jc w:val="left"/>
              <w:rPr>
                <w:color w:val="000000"/>
                <w:sz w:val="18"/>
                <w:szCs w:val="18"/>
                <w:rtl/>
                <w:lang w:eastAsia="he-IL"/>
              </w:rPr>
            </w:pPr>
          </w:p>
        </w:tc>
        <w:tc>
          <w:tcPr>
            <w:tcW w:w="2201" w:type="dxa"/>
            <w:gridSpan w:val="3"/>
            <w:tcBorders>
              <w:bottom w:val="nil"/>
            </w:tcBorders>
            <w:tcMar>
              <w:left w:w="58" w:type="dxa"/>
              <w:right w:w="58" w:type="dxa"/>
            </w:tcMar>
            <w:vAlign w:val="bottom"/>
          </w:tcPr>
          <w:p w14:paraId="49A0A259" w14:textId="4DEE3EB6" w:rsidR="00D0470C" w:rsidRPr="00A10E01" w:rsidRDefault="00D0470C" w:rsidP="001977FC">
            <w:pPr>
              <w:pBdr>
                <w:bottom w:val="single" w:sz="4" w:space="1" w:color="auto"/>
              </w:pBdr>
              <w:spacing w:line="200" w:lineRule="exact"/>
              <w:jc w:val="center"/>
              <w:rPr>
                <w:b/>
                <w:bCs/>
                <w:sz w:val="18"/>
                <w:szCs w:val="18"/>
                <w:rtl/>
              </w:rPr>
            </w:pPr>
            <w:r>
              <w:rPr>
                <w:rFonts w:hint="cs"/>
                <w:b/>
                <w:bCs/>
                <w:sz w:val="18"/>
                <w:szCs w:val="18"/>
                <w:rtl/>
              </w:rPr>
              <w:t xml:space="preserve">לשלושה חודשים שהסתיימו ביום 30 ביוני </w:t>
            </w:r>
            <w:r w:rsidR="006F1E84" w:rsidRPr="006F1E84">
              <w:rPr>
                <w:b/>
                <w:bCs/>
                <w:sz w:val="18"/>
                <w:szCs w:val="18"/>
                <w:rtl/>
              </w:rPr>
              <w:fldChar w:fldCharType="begin"/>
            </w:r>
            <w:r w:rsidR="006F1E84" w:rsidRPr="006F1E84">
              <w:rPr>
                <w:b/>
                <w:bCs/>
                <w:sz w:val="18"/>
                <w:szCs w:val="18"/>
                <w:rtl/>
              </w:rPr>
              <w:instrText xml:space="preserve"> </w:instrText>
            </w:r>
            <w:r w:rsidR="006F1E84" w:rsidRPr="006F1E84">
              <w:rPr>
                <w:rFonts w:hint="cs"/>
                <w:b/>
                <w:bCs/>
                <w:sz w:val="18"/>
                <w:szCs w:val="18"/>
                <w:rtl/>
              </w:rPr>
              <w:instrText xml:space="preserve">= </w:instrText>
            </w:r>
            <w:r w:rsidR="006F1E84" w:rsidRPr="006F1E84">
              <w:rPr>
                <w:rFonts w:hint="cs"/>
                <w:b/>
                <w:bCs/>
                <w:sz w:val="18"/>
                <w:szCs w:val="18"/>
              </w:rPr>
              <w:instrText>CY \* MERGEFORMAT</w:instrText>
            </w:r>
            <w:r w:rsidR="006F1E84" w:rsidRPr="006F1E84">
              <w:rPr>
                <w:b/>
                <w:bCs/>
                <w:sz w:val="18"/>
                <w:szCs w:val="18"/>
                <w:rtl/>
              </w:rPr>
              <w:instrText xml:space="preserve"> </w:instrText>
            </w:r>
            <w:r w:rsidR="006F1E84" w:rsidRPr="006F1E84">
              <w:rPr>
                <w:b/>
                <w:bCs/>
                <w:sz w:val="18"/>
                <w:szCs w:val="18"/>
                <w:rtl/>
              </w:rPr>
              <w:fldChar w:fldCharType="separate"/>
            </w:r>
            <w:r w:rsidR="003A584F">
              <w:rPr>
                <w:b/>
                <w:bCs/>
                <w:noProof/>
                <w:sz w:val="18"/>
                <w:szCs w:val="18"/>
                <w:rtl/>
              </w:rPr>
              <w:t>2024</w:t>
            </w:r>
            <w:r w:rsidR="006F1E84" w:rsidRPr="006F1E84">
              <w:rPr>
                <w:b/>
                <w:bCs/>
                <w:sz w:val="18"/>
                <w:szCs w:val="18"/>
                <w:rtl/>
              </w:rPr>
              <w:fldChar w:fldCharType="end"/>
            </w:r>
          </w:p>
        </w:tc>
        <w:tc>
          <w:tcPr>
            <w:tcW w:w="2203" w:type="dxa"/>
            <w:gridSpan w:val="3"/>
            <w:tcBorders>
              <w:bottom w:val="nil"/>
              <w:right w:val="nil"/>
            </w:tcBorders>
            <w:tcMar>
              <w:left w:w="58" w:type="dxa"/>
              <w:right w:w="58" w:type="dxa"/>
            </w:tcMar>
            <w:vAlign w:val="bottom"/>
          </w:tcPr>
          <w:p w14:paraId="3280F9D6" w14:textId="43503862" w:rsidR="00F32A2A" w:rsidRDefault="00D0470C" w:rsidP="008B4121">
            <w:pPr>
              <w:pBdr>
                <w:bottom w:val="single" w:sz="4" w:space="1" w:color="auto"/>
              </w:pBdr>
              <w:spacing w:line="200" w:lineRule="exact"/>
              <w:jc w:val="center"/>
              <w:rPr>
                <w:b/>
                <w:bCs/>
                <w:sz w:val="18"/>
                <w:szCs w:val="18"/>
                <w:rtl/>
              </w:rPr>
            </w:pPr>
            <w:r>
              <w:rPr>
                <w:rFonts w:hint="cs"/>
                <w:b/>
                <w:bCs/>
                <w:sz w:val="18"/>
                <w:szCs w:val="18"/>
                <w:rtl/>
              </w:rPr>
              <w:t xml:space="preserve">לשלושה חודשים שהסתיימו ביום 30 ביוני </w:t>
            </w:r>
            <w:r w:rsidR="006F1E84" w:rsidRPr="006F1E84">
              <w:rPr>
                <w:b/>
                <w:bCs/>
                <w:sz w:val="14"/>
                <w:szCs w:val="14"/>
                <w:rtl/>
              </w:rPr>
              <w:fldChar w:fldCharType="begin"/>
            </w:r>
            <w:r w:rsidR="006F1E84" w:rsidRPr="006F1E84">
              <w:rPr>
                <w:b/>
                <w:bCs/>
                <w:sz w:val="14"/>
                <w:szCs w:val="14"/>
                <w:rtl/>
              </w:rPr>
              <w:instrText xml:space="preserve"> </w:instrText>
            </w:r>
            <w:r w:rsidR="006F1E84" w:rsidRPr="006F1E84">
              <w:rPr>
                <w:rFonts w:hint="cs"/>
                <w:b/>
                <w:bCs/>
                <w:sz w:val="14"/>
                <w:szCs w:val="14"/>
                <w:rtl/>
              </w:rPr>
              <w:instrText xml:space="preserve">= </w:instrText>
            </w:r>
            <w:r w:rsidR="006F1E84" w:rsidRPr="006F1E84">
              <w:rPr>
                <w:rFonts w:hint="cs"/>
                <w:b/>
                <w:bCs/>
                <w:sz w:val="14"/>
                <w:szCs w:val="14"/>
              </w:rPr>
              <w:instrText>CY</w:instrText>
            </w:r>
            <w:r w:rsidR="006F1E84" w:rsidRPr="006F1E84">
              <w:rPr>
                <w:b/>
                <w:bCs/>
                <w:sz w:val="14"/>
                <w:szCs w:val="14"/>
              </w:rPr>
              <w:instrText>-1</w:instrText>
            </w:r>
            <w:r w:rsidR="006F1E84" w:rsidRPr="006F1E84">
              <w:rPr>
                <w:rFonts w:hint="cs"/>
                <w:b/>
                <w:bCs/>
                <w:sz w:val="14"/>
                <w:szCs w:val="14"/>
              </w:rPr>
              <w:instrText xml:space="preserve"> \* MERGEFORMAT</w:instrText>
            </w:r>
            <w:r w:rsidR="006F1E84" w:rsidRPr="006F1E84">
              <w:rPr>
                <w:b/>
                <w:bCs/>
                <w:sz w:val="14"/>
                <w:szCs w:val="14"/>
                <w:rtl/>
              </w:rPr>
              <w:instrText xml:space="preserve"> </w:instrText>
            </w:r>
            <w:r w:rsidR="006F1E84" w:rsidRPr="006F1E84">
              <w:rPr>
                <w:b/>
                <w:bCs/>
                <w:sz w:val="14"/>
                <w:szCs w:val="14"/>
                <w:rtl/>
              </w:rPr>
              <w:fldChar w:fldCharType="separate"/>
            </w:r>
            <w:r w:rsidR="003A584F" w:rsidRPr="003A584F">
              <w:rPr>
                <w:b/>
                <w:bCs/>
                <w:noProof/>
                <w:sz w:val="18"/>
                <w:szCs w:val="18"/>
                <w:rtl/>
              </w:rPr>
              <w:t>2023</w:t>
            </w:r>
            <w:r w:rsidR="006F1E84" w:rsidRPr="006F1E84">
              <w:rPr>
                <w:b/>
                <w:bCs/>
                <w:sz w:val="14"/>
                <w:szCs w:val="14"/>
                <w:rtl/>
              </w:rPr>
              <w:fldChar w:fldCharType="end"/>
            </w:r>
          </w:p>
        </w:tc>
      </w:tr>
      <w:tr w:rsidR="003C2920" w:rsidRPr="00A10E01" w14:paraId="5BC2B0F3" w14:textId="77777777" w:rsidTr="003765C0">
        <w:trPr>
          <w:trHeight w:val="259"/>
          <w:jc w:val="right"/>
        </w:trPr>
        <w:tc>
          <w:tcPr>
            <w:tcW w:w="5803" w:type="dxa"/>
            <w:vAlign w:val="bottom"/>
          </w:tcPr>
          <w:p w14:paraId="4C85D941" w14:textId="77777777" w:rsidR="003C2920" w:rsidRPr="00A10E01" w:rsidRDefault="003C2920" w:rsidP="003C2920">
            <w:pPr>
              <w:spacing w:after="20" w:line="200" w:lineRule="exact"/>
              <w:ind w:hanging="144"/>
              <w:jc w:val="left"/>
              <w:rPr>
                <w:color w:val="000000"/>
                <w:sz w:val="18"/>
                <w:szCs w:val="18"/>
                <w:rtl/>
                <w:lang w:eastAsia="he-IL"/>
              </w:rPr>
            </w:pPr>
          </w:p>
        </w:tc>
        <w:tc>
          <w:tcPr>
            <w:tcW w:w="685" w:type="dxa"/>
            <w:tcBorders>
              <w:bottom w:val="nil"/>
            </w:tcBorders>
            <w:tcMar>
              <w:left w:w="58" w:type="dxa"/>
              <w:right w:w="58" w:type="dxa"/>
            </w:tcMar>
            <w:vAlign w:val="bottom"/>
          </w:tcPr>
          <w:p w14:paraId="45EC8242" w14:textId="77777777" w:rsidR="003C2920" w:rsidRPr="00A10E01" w:rsidRDefault="003C2920" w:rsidP="003C2920">
            <w:pPr>
              <w:pBdr>
                <w:bottom w:val="single" w:sz="4" w:space="1" w:color="auto"/>
              </w:pBdr>
              <w:spacing w:after="20" w:line="200" w:lineRule="exact"/>
              <w:jc w:val="center"/>
              <w:rPr>
                <w:b/>
                <w:bCs/>
                <w:sz w:val="18"/>
                <w:szCs w:val="18"/>
                <w:rtl/>
              </w:rPr>
            </w:pPr>
            <w:r w:rsidRPr="00A10E01">
              <w:rPr>
                <w:rFonts w:hint="eastAsia"/>
                <w:b/>
                <w:bCs/>
                <w:sz w:val="18"/>
                <w:szCs w:val="18"/>
                <w:rtl/>
              </w:rPr>
              <w:t>לפני</w:t>
            </w:r>
          </w:p>
          <w:p w14:paraId="1D4DEA2E" w14:textId="77777777" w:rsidR="003C2920" w:rsidRPr="00A10E01" w:rsidRDefault="003C2920" w:rsidP="003C2920">
            <w:pPr>
              <w:pBdr>
                <w:bottom w:val="single" w:sz="4" w:space="1" w:color="auto"/>
              </w:pBdr>
              <w:spacing w:after="20" w:line="200" w:lineRule="exact"/>
              <w:jc w:val="center"/>
              <w:rPr>
                <w:sz w:val="18"/>
                <w:szCs w:val="18"/>
                <w:rtl/>
              </w:rPr>
            </w:pPr>
            <w:r w:rsidRPr="00A10E01">
              <w:rPr>
                <w:rFonts w:hint="eastAsia"/>
                <w:b/>
                <w:bCs/>
                <w:sz w:val="18"/>
                <w:szCs w:val="18"/>
                <w:rtl/>
              </w:rPr>
              <w:t>מס</w:t>
            </w:r>
          </w:p>
        </w:tc>
        <w:tc>
          <w:tcPr>
            <w:tcW w:w="827" w:type="dxa"/>
            <w:tcBorders>
              <w:bottom w:val="nil"/>
            </w:tcBorders>
            <w:vAlign w:val="bottom"/>
          </w:tcPr>
          <w:p w14:paraId="511DB622" w14:textId="77777777" w:rsidR="003C2920" w:rsidRPr="00A10E01" w:rsidRDefault="003C2920" w:rsidP="003C2920">
            <w:pPr>
              <w:pBdr>
                <w:bottom w:val="single" w:sz="4" w:space="1" w:color="auto"/>
              </w:pBdr>
              <w:spacing w:after="20" w:line="200" w:lineRule="exact"/>
              <w:jc w:val="center"/>
              <w:rPr>
                <w:b/>
                <w:bCs/>
                <w:sz w:val="18"/>
                <w:szCs w:val="18"/>
                <w:rtl/>
              </w:rPr>
            </w:pPr>
            <w:r w:rsidRPr="00A10E01">
              <w:rPr>
                <w:rFonts w:hint="eastAsia"/>
                <w:b/>
                <w:bCs/>
                <w:sz w:val="18"/>
                <w:szCs w:val="18"/>
                <w:rtl/>
              </w:rPr>
              <w:t>השפעת</w:t>
            </w:r>
            <w:r w:rsidRPr="00A10E01">
              <w:rPr>
                <w:b/>
                <w:bCs/>
                <w:sz w:val="18"/>
                <w:szCs w:val="18"/>
                <w:rtl/>
              </w:rPr>
              <w:t xml:space="preserve"> </w:t>
            </w:r>
            <w:r w:rsidRPr="00A10E01">
              <w:rPr>
                <w:rFonts w:hint="eastAsia"/>
                <w:b/>
                <w:bCs/>
                <w:sz w:val="18"/>
                <w:szCs w:val="18"/>
                <w:rtl/>
              </w:rPr>
              <w:t>מס</w:t>
            </w:r>
          </w:p>
        </w:tc>
        <w:tc>
          <w:tcPr>
            <w:tcW w:w="689" w:type="dxa"/>
            <w:tcBorders>
              <w:bottom w:val="nil"/>
            </w:tcBorders>
            <w:vAlign w:val="bottom"/>
          </w:tcPr>
          <w:p w14:paraId="7BE124DE" w14:textId="77777777" w:rsidR="003C2920" w:rsidRPr="00A10E01" w:rsidRDefault="003C2920" w:rsidP="003C2920">
            <w:pPr>
              <w:pBdr>
                <w:bottom w:val="single" w:sz="4" w:space="1" w:color="auto"/>
              </w:pBdr>
              <w:spacing w:after="20" w:line="200" w:lineRule="exact"/>
              <w:jc w:val="center"/>
              <w:rPr>
                <w:b/>
                <w:bCs/>
                <w:sz w:val="18"/>
                <w:szCs w:val="18"/>
                <w:rtl/>
              </w:rPr>
            </w:pPr>
            <w:r w:rsidRPr="00A10E01">
              <w:rPr>
                <w:rFonts w:hint="eastAsia"/>
                <w:b/>
                <w:bCs/>
                <w:sz w:val="18"/>
                <w:szCs w:val="18"/>
                <w:rtl/>
              </w:rPr>
              <w:t>לאחר</w:t>
            </w:r>
            <w:r w:rsidRPr="00A10E01">
              <w:rPr>
                <w:b/>
                <w:bCs/>
                <w:sz w:val="18"/>
                <w:szCs w:val="18"/>
                <w:rtl/>
              </w:rPr>
              <w:t xml:space="preserve"> </w:t>
            </w:r>
            <w:r w:rsidRPr="00A10E01">
              <w:rPr>
                <w:rFonts w:hint="eastAsia"/>
                <w:b/>
                <w:bCs/>
                <w:sz w:val="18"/>
                <w:szCs w:val="18"/>
                <w:rtl/>
              </w:rPr>
              <w:t>מס</w:t>
            </w:r>
          </w:p>
        </w:tc>
        <w:tc>
          <w:tcPr>
            <w:tcW w:w="687" w:type="dxa"/>
            <w:tcBorders>
              <w:bottom w:val="nil"/>
            </w:tcBorders>
            <w:tcMar>
              <w:left w:w="58" w:type="dxa"/>
              <w:right w:w="58" w:type="dxa"/>
            </w:tcMar>
            <w:vAlign w:val="bottom"/>
          </w:tcPr>
          <w:p w14:paraId="075055C8" w14:textId="77777777" w:rsidR="003C2920" w:rsidRPr="00A10E01" w:rsidRDefault="003C2920" w:rsidP="003C2920">
            <w:pPr>
              <w:pBdr>
                <w:bottom w:val="single" w:sz="4" w:space="1" w:color="auto"/>
              </w:pBdr>
              <w:spacing w:after="20" w:line="200" w:lineRule="exact"/>
              <w:jc w:val="center"/>
              <w:rPr>
                <w:b/>
                <w:bCs/>
                <w:sz w:val="18"/>
                <w:szCs w:val="18"/>
                <w:rtl/>
              </w:rPr>
            </w:pPr>
            <w:r w:rsidRPr="00A10E01">
              <w:rPr>
                <w:rFonts w:hint="eastAsia"/>
                <w:b/>
                <w:bCs/>
                <w:sz w:val="18"/>
                <w:szCs w:val="18"/>
                <w:rtl/>
              </w:rPr>
              <w:t>לפני</w:t>
            </w:r>
          </w:p>
          <w:p w14:paraId="2FF79A52" w14:textId="77777777" w:rsidR="003C2920" w:rsidRPr="00A10E01" w:rsidRDefault="003C2920" w:rsidP="003C2920">
            <w:pPr>
              <w:pBdr>
                <w:bottom w:val="single" w:sz="4" w:space="1" w:color="auto"/>
              </w:pBdr>
              <w:spacing w:after="20" w:line="200" w:lineRule="exact"/>
              <w:jc w:val="center"/>
              <w:rPr>
                <w:sz w:val="18"/>
                <w:szCs w:val="18"/>
                <w:rtl/>
              </w:rPr>
            </w:pPr>
            <w:r w:rsidRPr="00A10E01">
              <w:rPr>
                <w:rFonts w:hint="eastAsia"/>
                <w:b/>
                <w:bCs/>
                <w:sz w:val="18"/>
                <w:szCs w:val="18"/>
                <w:rtl/>
              </w:rPr>
              <w:t>מס</w:t>
            </w:r>
          </w:p>
        </w:tc>
        <w:tc>
          <w:tcPr>
            <w:tcW w:w="827" w:type="dxa"/>
            <w:tcBorders>
              <w:bottom w:val="nil"/>
            </w:tcBorders>
            <w:vAlign w:val="bottom"/>
          </w:tcPr>
          <w:p w14:paraId="48E80C43" w14:textId="77777777" w:rsidR="003C2920" w:rsidRPr="00A10E01" w:rsidRDefault="003C2920" w:rsidP="003C2920">
            <w:pPr>
              <w:pBdr>
                <w:bottom w:val="single" w:sz="4" w:space="1" w:color="auto"/>
              </w:pBdr>
              <w:spacing w:after="20" w:line="200" w:lineRule="exact"/>
              <w:jc w:val="center"/>
              <w:rPr>
                <w:b/>
                <w:bCs/>
                <w:sz w:val="18"/>
                <w:szCs w:val="18"/>
                <w:rtl/>
              </w:rPr>
            </w:pPr>
            <w:r w:rsidRPr="00A10E01">
              <w:rPr>
                <w:rFonts w:hint="eastAsia"/>
                <w:b/>
                <w:bCs/>
                <w:sz w:val="18"/>
                <w:szCs w:val="18"/>
                <w:rtl/>
              </w:rPr>
              <w:t>השפעת</w:t>
            </w:r>
            <w:r w:rsidRPr="00A10E01">
              <w:rPr>
                <w:b/>
                <w:bCs/>
                <w:sz w:val="18"/>
                <w:szCs w:val="18"/>
                <w:rtl/>
              </w:rPr>
              <w:t xml:space="preserve"> </w:t>
            </w:r>
            <w:r w:rsidRPr="00A10E01">
              <w:rPr>
                <w:rFonts w:hint="eastAsia"/>
                <w:b/>
                <w:bCs/>
                <w:sz w:val="18"/>
                <w:szCs w:val="18"/>
                <w:rtl/>
              </w:rPr>
              <w:t>מס</w:t>
            </w:r>
          </w:p>
        </w:tc>
        <w:tc>
          <w:tcPr>
            <w:tcW w:w="689" w:type="dxa"/>
            <w:tcBorders>
              <w:bottom w:val="nil"/>
              <w:right w:val="nil"/>
            </w:tcBorders>
            <w:vAlign w:val="bottom"/>
          </w:tcPr>
          <w:p w14:paraId="092B4354" w14:textId="77777777" w:rsidR="003C2920" w:rsidRPr="00A10E01" w:rsidRDefault="003C2920" w:rsidP="003C2920">
            <w:pPr>
              <w:pBdr>
                <w:bottom w:val="single" w:sz="4" w:space="1" w:color="auto"/>
              </w:pBdr>
              <w:spacing w:after="20" w:line="200" w:lineRule="exact"/>
              <w:jc w:val="center"/>
              <w:rPr>
                <w:b/>
                <w:bCs/>
                <w:sz w:val="18"/>
                <w:szCs w:val="18"/>
                <w:rtl/>
              </w:rPr>
            </w:pPr>
            <w:r w:rsidRPr="00A10E01">
              <w:rPr>
                <w:rFonts w:hint="eastAsia"/>
                <w:b/>
                <w:bCs/>
                <w:sz w:val="18"/>
                <w:szCs w:val="18"/>
                <w:rtl/>
              </w:rPr>
              <w:t>לאחר</w:t>
            </w:r>
            <w:r w:rsidRPr="00A10E01">
              <w:rPr>
                <w:b/>
                <w:bCs/>
                <w:sz w:val="18"/>
                <w:szCs w:val="18"/>
                <w:rtl/>
              </w:rPr>
              <w:t xml:space="preserve"> </w:t>
            </w:r>
            <w:r w:rsidRPr="00A10E01">
              <w:rPr>
                <w:rFonts w:hint="eastAsia"/>
                <w:b/>
                <w:bCs/>
                <w:sz w:val="18"/>
                <w:szCs w:val="18"/>
                <w:rtl/>
              </w:rPr>
              <w:t>מס</w:t>
            </w:r>
          </w:p>
        </w:tc>
      </w:tr>
      <w:tr w:rsidR="00D0470C" w:rsidRPr="00A10E01" w14:paraId="5AE1871A" w14:textId="77777777" w:rsidTr="003765C0">
        <w:trPr>
          <w:trHeight w:val="259"/>
          <w:jc w:val="right"/>
        </w:trPr>
        <w:tc>
          <w:tcPr>
            <w:tcW w:w="5803" w:type="dxa"/>
            <w:tcBorders>
              <w:bottom w:val="nil"/>
            </w:tcBorders>
            <w:vAlign w:val="bottom"/>
          </w:tcPr>
          <w:p w14:paraId="570B4666" w14:textId="77777777" w:rsidR="00F32A2A" w:rsidRDefault="00D0470C" w:rsidP="004C69D8">
            <w:pPr>
              <w:spacing w:line="220" w:lineRule="exact"/>
              <w:ind w:left="319"/>
              <w:jc w:val="left"/>
              <w:rPr>
                <w:b/>
                <w:bCs/>
                <w:color w:val="000000"/>
                <w:sz w:val="18"/>
                <w:szCs w:val="18"/>
                <w:rtl/>
                <w:lang w:eastAsia="he-IL"/>
              </w:rPr>
            </w:pPr>
            <w:r w:rsidRPr="00A10E01">
              <w:rPr>
                <w:rFonts w:hint="eastAsia"/>
                <w:b/>
                <w:bCs/>
                <w:color w:val="000000"/>
                <w:sz w:val="18"/>
                <w:szCs w:val="18"/>
                <w:u w:val="single"/>
                <w:rtl/>
                <w:lang w:eastAsia="he-IL"/>
              </w:rPr>
              <w:t>השינויים</w:t>
            </w:r>
            <w:r w:rsidRPr="00A10E01">
              <w:rPr>
                <w:b/>
                <w:bCs/>
                <w:color w:val="000000"/>
                <w:sz w:val="18"/>
                <w:szCs w:val="18"/>
                <w:u w:val="single"/>
                <w:rtl/>
                <w:lang w:eastAsia="he-IL"/>
              </w:rPr>
              <w:t xml:space="preserve"> </w:t>
            </w:r>
            <w:r w:rsidRPr="00A10E01">
              <w:rPr>
                <w:rFonts w:hint="eastAsia"/>
                <w:b/>
                <w:bCs/>
                <w:color w:val="000000"/>
                <w:sz w:val="18"/>
                <w:szCs w:val="18"/>
                <w:u w:val="single"/>
                <w:rtl/>
                <w:lang w:eastAsia="he-IL"/>
              </w:rPr>
              <w:t>במרכיבי</w:t>
            </w:r>
            <w:r w:rsidRPr="00A10E01">
              <w:rPr>
                <w:b/>
                <w:bCs/>
                <w:color w:val="000000"/>
                <w:sz w:val="18"/>
                <w:szCs w:val="18"/>
                <w:u w:val="single"/>
                <w:rtl/>
                <w:lang w:eastAsia="he-IL"/>
              </w:rPr>
              <w:t xml:space="preserve"> </w:t>
            </w:r>
            <w:r w:rsidRPr="00A10E01">
              <w:rPr>
                <w:rFonts w:hint="eastAsia"/>
                <w:b/>
                <w:bCs/>
                <w:color w:val="000000"/>
                <w:sz w:val="18"/>
                <w:szCs w:val="18"/>
                <w:u w:val="single"/>
                <w:rtl/>
                <w:lang w:eastAsia="he-IL"/>
              </w:rPr>
              <w:t>רווח</w:t>
            </w:r>
            <w:r w:rsidRPr="00A10E01">
              <w:rPr>
                <w:b/>
                <w:bCs/>
                <w:color w:val="000000"/>
                <w:sz w:val="18"/>
                <w:szCs w:val="18"/>
                <w:u w:val="single"/>
                <w:rtl/>
                <w:lang w:eastAsia="he-IL"/>
              </w:rPr>
              <w:t xml:space="preserve"> (הפסד) </w:t>
            </w:r>
            <w:r w:rsidRPr="00A10E01">
              <w:rPr>
                <w:rFonts w:hint="eastAsia"/>
                <w:b/>
                <w:bCs/>
                <w:color w:val="000000"/>
                <w:sz w:val="18"/>
                <w:szCs w:val="18"/>
                <w:u w:val="single"/>
                <w:rtl/>
                <w:lang w:eastAsia="he-IL"/>
              </w:rPr>
              <w:t>כולל</w:t>
            </w:r>
            <w:r w:rsidRPr="00A10E01">
              <w:rPr>
                <w:b/>
                <w:bCs/>
                <w:color w:val="000000"/>
                <w:sz w:val="18"/>
                <w:szCs w:val="18"/>
                <w:u w:val="single"/>
                <w:rtl/>
                <w:lang w:eastAsia="he-IL"/>
              </w:rPr>
              <w:t xml:space="preserve"> </w:t>
            </w:r>
            <w:r w:rsidRPr="00A10E01">
              <w:rPr>
                <w:rFonts w:hint="eastAsia"/>
                <w:b/>
                <w:bCs/>
                <w:color w:val="000000"/>
                <w:sz w:val="18"/>
                <w:szCs w:val="18"/>
                <w:u w:val="single"/>
                <w:rtl/>
                <w:lang w:eastAsia="he-IL"/>
              </w:rPr>
              <w:t>אחר</w:t>
            </w:r>
            <w:r w:rsidRPr="00A10E01">
              <w:rPr>
                <w:b/>
                <w:bCs/>
                <w:color w:val="000000"/>
                <w:sz w:val="18"/>
                <w:szCs w:val="18"/>
                <w:u w:val="single"/>
                <w:rtl/>
                <w:lang w:eastAsia="he-IL"/>
              </w:rPr>
              <w:t xml:space="preserve"> לפני ייחוס לבעלי זכויות </w:t>
            </w:r>
            <w:r>
              <w:rPr>
                <w:rFonts w:hint="cs"/>
                <w:b/>
                <w:bCs/>
                <w:color w:val="000000"/>
                <w:sz w:val="18"/>
                <w:szCs w:val="18"/>
                <w:u w:val="single"/>
                <w:rtl/>
                <w:lang w:eastAsia="he-IL"/>
              </w:rPr>
              <w:br/>
            </w:r>
            <w:r w:rsidRPr="00A10E01">
              <w:rPr>
                <w:b/>
                <w:bCs/>
                <w:color w:val="000000"/>
                <w:sz w:val="18"/>
                <w:szCs w:val="18"/>
                <w:u w:val="single"/>
                <w:rtl/>
                <w:lang w:eastAsia="he-IL"/>
              </w:rPr>
              <w:t>שאינן מקנות שליטה</w:t>
            </w:r>
            <w:r w:rsidRPr="00A10E01">
              <w:rPr>
                <w:b/>
                <w:bCs/>
                <w:color w:val="000000"/>
                <w:sz w:val="18"/>
                <w:szCs w:val="18"/>
                <w:rtl/>
                <w:lang w:eastAsia="he-IL"/>
              </w:rPr>
              <w:t>:</w:t>
            </w:r>
          </w:p>
        </w:tc>
        <w:tc>
          <w:tcPr>
            <w:tcW w:w="685" w:type="dxa"/>
            <w:tcBorders>
              <w:top w:val="nil"/>
            </w:tcBorders>
            <w:tcMar>
              <w:left w:w="58" w:type="dxa"/>
              <w:right w:w="58" w:type="dxa"/>
            </w:tcMar>
            <w:vAlign w:val="bottom"/>
          </w:tcPr>
          <w:p w14:paraId="66989503" w14:textId="77777777" w:rsidR="00F32A2A" w:rsidRDefault="00F32A2A">
            <w:pPr>
              <w:spacing w:line="220" w:lineRule="exact"/>
              <w:rPr>
                <w:sz w:val="18"/>
                <w:szCs w:val="18"/>
                <w:rtl/>
              </w:rPr>
            </w:pPr>
          </w:p>
        </w:tc>
        <w:tc>
          <w:tcPr>
            <w:tcW w:w="827" w:type="dxa"/>
            <w:tcBorders>
              <w:top w:val="nil"/>
            </w:tcBorders>
            <w:vAlign w:val="bottom"/>
          </w:tcPr>
          <w:p w14:paraId="06998BC1" w14:textId="77777777" w:rsidR="00F32A2A" w:rsidRDefault="00F32A2A">
            <w:pPr>
              <w:spacing w:line="220" w:lineRule="exact"/>
              <w:rPr>
                <w:sz w:val="18"/>
                <w:szCs w:val="18"/>
                <w:rtl/>
              </w:rPr>
            </w:pPr>
          </w:p>
        </w:tc>
        <w:tc>
          <w:tcPr>
            <w:tcW w:w="689" w:type="dxa"/>
            <w:tcBorders>
              <w:top w:val="nil"/>
            </w:tcBorders>
            <w:vAlign w:val="bottom"/>
          </w:tcPr>
          <w:p w14:paraId="4B9321A9" w14:textId="77777777" w:rsidR="00F32A2A" w:rsidRDefault="00F32A2A">
            <w:pPr>
              <w:spacing w:line="220" w:lineRule="exact"/>
              <w:rPr>
                <w:sz w:val="18"/>
                <w:szCs w:val="18"/>
                <w:rtl/>
              </w:rPr>
            </w:pPr>
          </w:p>
        </w:tc>
        <w:tc>
          <w:tcPr>
            <w:tcW w:w="687" w:type="dxa"/>
            <w:tcBorders>
              <w:top w:val="nil"/>
            </w:tcBorders>
            <w:tcMar>
              <w:left w:w="58" w:type="dxa"/>
              <w:right w:w="58" w:type="dxa"/>
            </w:tcMar>
            <w:vAlign w:val="bottom"/>
          </w:tcPr>
          <w:p w14:paraId="667F3339" w14:textId="77777777" w:rsidR="00F32A2A" w:rsidRDefault="00F32A2A">
            <w:pPr>
              <w:spacing w:line="220" w:lineRule="exact"/>
              <w:rPr>
                <w:sz w:val="18"/>
                <w:szCs w:val="18"/>
                <w:rtl/>
              </w:rPr>
            </w:pPr>
          </w:p>
        </w:tc>
        <w:tc>
          <w:tcPr>
            <w:tcW w:w="827" w:type="dxa"/>
            <w:tcBorders>
              <w:top w:val="nil"/>
            </w:tcBorders>
            <w:vAlign w:val="bottom"/>
          </w:tcPr>
          <w:p w14:paraId="38DD01F3" w14:textId="77777777" w:rsidR="00F32A2A" w:rsidRDefault="00F32A2A">
            <w:pPr>
              <w:spacing w:line="220" w:lineRule="exact"/>
              <w:rPr>
                <w:sz w:val="18"/>
                <w:szCs w:val="18"/>
                <w:rtl/>
              </w:rPr>
            </w:pPr>
          </w:p>
        </w:tc>
        <w:tc>
          <w:tcPr>
            <w:tcW w:w="689" w:type="dxa"/>
            <w:tcBorders>
              <w:top w:val="nil"/>
              <w:right w:val="nil"/>
            </w:tcBorders>
            <w:vAlign w:val="bottom"/>
          </w:tcPr>
          <w:p w14:paraId="11A0A4DE" w14:textId="77777777" w:rsidR="00F32A2A" w:rsidRDefault="00F32A2A">
            <w:pPr>
              <w:spacing w:line="220" w:lineRule="exact"/>
              <w:rPr>
                <w:sz w:val="18"/>
                <w:szCs w:val="18"/>
                <w:rtl/>
              </w:rPr>
            </w:pPr>
          </w:p>
        </w:tc>
      </w:tr>
      <w:tr w:rsidR="00D0470C" w:rsidRPr="00A10E01" w14:paraId="1AEEC019" w14:textId="77777777" w:rsidTr="003765C0">
        <w:trPr>
          <w:trHeight w:val="259"/>
          <w:jc w:val="right"/>
        </w:trPr>
        <w:tc>
          <w:tcPr>
            <w:tcW w:w="5803" w:type="dxa"/>
            <w:tcBorders>
              <w:left w:val="nil"/>
            </w:tcBorders>
            <w:vAlign w:val="bottom"/>
          </w:tcPr>
          <w:p w14:paraId="1908E1F7" w14:textId="77777777" w:rsidR="00F32A2A" w:rsidRDefault="00D0470C" w:rsidP="004C69D8">
            <w:pPr>
              <w:spacing w:before="20" w:line="220" w:lineRule="exact"/>
              <w:ind w:left="35" w:firstLine="284"/>
              <w:jc w:val="left"/>
              <w:rPr>
                <w:b/>
                <w:bCs/>
                <w:color w:val="000000"/>
                <w:sz w:val="18"/>
                <w:szCs w:val="18"/>
                <w:rtl/>
                <w:lang w:eastAsia="he-IL"/>
              </w:rPr>
            </w:pPr>
            <w:r w:rsidRPr="00A10E01">
              <w:rPr>
                <w:rFonts w:hint="eastAsia"/>
                <w:b/>
                <w:bCs/>
                <w:color w:val="000000"/>
                <w:sz w:val="18"/>
                <w:szCs w:val="18"/>
                <w:rtl/>
                <w:lang w:eastAsia="he-IL"/>
              </w:rPr>
              <w:t>התאמות</w:t>
            </w:r>
            <w:r w:rsidRPr="00A10E01">
              <w:rPr>
                <w:b/>
                <w:bCs/>
                <w:color w:val="000000"/>
                <w:sz w:val="18"/>
                <w:szCs w:val="18"/>
                <w:rtl/>
                <w:lang w:eastAsia="he-IL"/>
              </w:rPr>
              <w:t xml:space="preserve"> </w:t>
            </w:r>
            <w:r w:rsidRPr="00A10E01">
              <w:rPr>
                <w:rFonts w:hint="eastAsia"/>
                <w:b/>
                <w:bCs/>
                <w:color w:val="000000"/>
                <w:sz w:val="18"/>
                <w:szCs w:val="18"/>
                <w:rtl/>
                <w:lang w:eastAsia="he-IL"/>
              </w:rPr>
              <w:t>בגין</w:t>
            </w:r>
            <w:r w:rsidRPr="00A10E01">
              <w:rPr>
                <w:b/>
                <w:bCs/>
                <w:color w:val="000000"/>
                <w:sz w:val="18"/>
                <w:szCs w:val="18"/>
                <w:rtl/>
                <w:lang w:eastAsia="he-IL"/>
              </w:rPr>
              <w:t xml:space="preserve"> </w:t>
            </w:r>
            <w:r w:rsidR="00DF5B53">
              <w:rPr>
                <w:rFonts w:hint="cs"/>
                <w:b/>
                <w:bCs/>
                <w:color w:val="000000"/>
                <w:sz w:val="18"/>
                <w:szCs w:val="18"/>
                <w:rtl/>
                <w:lang w:eastAsia="he-IL"/>
              </w:rPr>
              <w:t xml:space="preserve">הצגת </w:t>
            </w:r>
            <w:r w:rsidR="00A674A4">
              <w:rPr>
                <w:rFonts w:hint="cs"/>
                <w:b/>
                <w:bCs/>
                <w:color w:val="000000"/>
                <w:sz w:val="18"/>
                <w:szCs w:val="18"/>
                <w:rtl/>
                <w:lang w:eastAsia="he-IL"/>
              </w:rPr>
              <w:t>אגרות</w:t>
            </w:r>
            <w:r w:rsidR="00DF5B53">
              <w:rPr>
                <w:rFonts w:hint="cs"/>
                <w:b/>
                <w:bCs/>
                <w:color w:val="000000"/>
                <w:sz w:val="18"/>
                <w:szCs w:val="18"/>
                <w:rtl/>
                <w:lang w:eastAsia="he-IL"/>
              </w:rPr>
              <w:t xml:space="preserve"> חוב זמינות</w:t>
            </w:r>
            <w:r w:rsidRPr="00A10E01">
              <w:rPr>
                <w:b/>
                <w:bCs/>
                <w:color w:val="000000"/>
                <w:sz w:val="18"/>
                <w:szCs w:val="18"/>
                <w:rtl/>
                <w:lang w:eastAsia="he-IL"/>
              </w:rPr>
              <w:t xml:space="preserve"> </w:t>
            </w:r>
            <w:r w:rsidRPr="00A10E01">
              <w:rPr>
                <w:rFonts w:hint="eastAsia"/>
                <w:b/>
                <w:bCs/>
                <w:color w:val="000000"/>
                <w:sz w:val="18"/>
                <w:szCs w:val="18"/>
                <w:rtl/>
                <w:lang w:eastAsia="he-IL"/>
              </w:rPr>
              <w:t>למכירה</w:t>
            </w:r>
            <w:r w:rsidR="00A7539F">
              <w:rPr>
                <w:rFonts w:hint="cs"/>
                <w:b/>
                <w:bCs/>
                <w:color w:val="000000"/>
                <w:sz w:val="18"/>
                <w:szCs w:val="18"/>
                <w:rtl/>
                <w:lang w:eastAsia="he-IL"/>
              </w:rPr>
              <w:t xml:space="preserve"> </w:t>
            </w:r>
            <w:r w:rsidRPr="00A10E01">
              <w:rPr>
                <w:rFonts w:hint="eastAsia"/>
                <w:b/>
                <w:bCs/>
                <w:color w:val="000000"/>
                <w:sz w:val="18"/>
                <w:szCs w:val="18"/>
                <w:rtl/>
                <w:lang w:eastAsia="he-IL"/>
              </w:rPr>
              <w:t>לפי</w:t>
            </w:r>
            <w:r w:rsidRPr="00A10E01">
              <w:rPr>
                <w:b/>
                <w:bCs/>
                <w:color w:val="000000"/>
                <w:sz w:val="18"/>
                <w:szCs w:val="18"/>
                <w:rtl/>
                <w:lang w:eastAsia="he-IL"/>
              </w:rPr>
              <w:t xml:space="preserve"> </w:t>
            </w:r>
            <w:r w:rsidRPr="00A10E01">
              <w:rPr>
                <w:rFonts w:hint="eastAsia"/>
                <w:b/>
                <w:bCs/>
                <w:color w:val="000000"/>
                <w:sz w:val="18"/>
                <w:szCs w:val="18"/>
                <w:rtl/>
                <w:lang w:eastAsia="he-IL"/>
              </w:rPr>
              <w:t>שווי</w:t>
            </w:r>
            <w:r w:rsidRPr="00A10E01">
              <w:rPr>
                <w:b/>
                <w:bCs/>
                <w:color w:val="000000"/>
                <w:sz w:val="18"/>
                <w:szCs w:val="18"/>
                <w:rtl/>
                <w:lang w:eastAsia="he-IL"/>
              </w:rPr>
              <w:t xml:space="preserve"> </w:t>
            </w:r>
            <w:r w:rsidRPr="00A10E01">
              <w:rPr>
                <w:rFonts w:hint="eastAsia"/>
                <w:b/>
                <w:bCs/>
                <w:color w:val="000000"/>
                <w:sz w:val="18"/>
                <w:szCs w:val="18"/>
                <w:rtl/>
                <w:lang w:eastAsia="he-IL"/>
              </w:rPr>
              <w:t>הוגן</w:t>
            </w:r>
            <w:r w:rsidRPr="00A10E01">
              <w:rPr>
                <w:b/>
                <w:bCs/>
                <w:color w:val="000000"/>
                <w:sz w:val="18"/>
                <w:szCs w:val="18"/>
                <w:rtl/>
                <w:lang w:eastAsia="he-IL"/>
              </w:rPr>
              <w:t>:</w:t>
            </w:r>
          </w:p>
        </w:tc>
        <w:tc>
          <w:tcPr>
            <w:tcW w:w="685" w:type="dxa"/>
            <w:tcMar>
              <w:left w:w="58" w:type="dxa"/>
              <w:right w:w="58" w:type="dxa"/>
            </w:tcMar>
            <w:vAlign w:val="bottom"/>
          </w:tcPr>
          <w:p w14:paraId="04D17B54" w14:textId="77777777" w:rsidR="00D0470C" w:rsidRPr="00A10E01" w:rsidRDefault="00D0470C" w:rsidP="006F3019">
            <w:pPr>
              <w:spacing w:before="20" w:line="220" w:lineRule="exact"/>
              <w:rPr>
                <w:sz w:val="18"/>
                <w:szCs w:val="18"/>
                <w:rtl/>
              </w:rPr>
            </w:pPr>
          </w:p>
        </w:tc>
        <w:tc>
          <w:tcPr>
            <w:tcW w:w="827" w:type="dxa"/>
            <w:vAlign w:val="bottom"/>
          </w:tcPr>
          <w:p w14:paraId="7374FAA3" w14:textId="77777777" w:rsidR="00D0470C" w:rsidRPr="00A10E01" w:rsidRDefault="00D0470C" w:rsidP="006F3019">
            <w:pPr>
              <w:spacing w:before="20" w:line="220" w:lineRule="exact"/>
              <w:rPr>
                <w:sz w:val="18"/>
                <w:szCs w:val="18"/>
                <w:rtl/>
              </w:rPr>
            </w:pPr>
          </w:p>
        </w:tc>
        <w:tc>
          <w:tcPr>
            <w:tcW w:w="689" w:type="dxa"/>
            <w:vAlign w:val="bottom"/>
          </w:tcPr>
          <w:p w14:paraId="69C03719" w14:textId="77777777" w:rsidR="00D0470C" w:rsidRPr="00A10E01" w:rsidRDefault="00D0470C" w:rsidP="006F3019">
            <w:pPr>
              <w:spacing w:before="20" w:line="220" w:lineRule="exact"/>
              <w:rPr>
                <w:sz w:val="18"/>
                <w:szCs w:val="18"/>
                <w:rtl/>
              </w:rPr>
            </w:pPr>
          </w:p>
        </w:tc>
        <w:tc>
          <w:tcPr>
            <w:tcW w:w="687" w:type="dxa"/>
            <w:tcMar>
              <w:left w:w="58" w:type="dxa"/>
              <w:right w:w="58" w:type="dxa"/>
            </w:tcMar>
            <w:vAlign w:val="bottom"/>
          </w:tcPr>
          <w:p w14:paraId="0E0EABE7" w14:textId="77777777" w:rsidR="00D0470C" w:rsidRPr="00A10E01" w:rsidRDefault="00D0470C" w:rsidP="006F3019">
            <w:pPr>
              <w:spacing w:before="20" w:line="220" w:lineRule="exact"/>
              <w:rPr>
                <w:sz w:val="18"/>
                <w:szCs w:val="18"/>
                <w:rtl/>
              </w:rPr>
            </w:pPr>
          </w:p>
        </w:tc>
        <w:tc>
          <w:tcPr>
            <w:tcW w:w="827" w:type="dxa"/>
            <w:vAlign w:val="bottom"/>
          </w:tcPr>
          <w:p w14:paraId="63E56D05" w14:textId="77777777" w:rsidR="00D0470C" w:rsidRPr="00A10E01" w:rsidRDefault="00D0470C" w:rsidP="006F3019">
            <w:pPr>
              <w:spacing w:before="20" w:line="220" w:lineRule="exact"/>
              <w:rPr>
                <w:sz w:val="18"/>
                <w:szCs w:val="18"/>
                <w:rtl/>
              </w:rPr>
            </w:pPr>
          </w:p>
        </w:tc>
        <w:tc>
          <w:tcPr>
            <w:tcW w:w="689" w:type="dxa"/>
            <w:tcBorders>
              <w:right w:val="nil"/>
            </w:tcBorders>
            <w:vAlign w:val="bottom"/>
          </w:tcPr>
          <w:p w14:paraId="73944A2E" w14:textId="77777777" w:rsidR="00D0470C" w:rsidRPr="00A10E01" w:rsidRDefault="00D0470C" w:rsidP="006F3019">
            <w:pPr>
              <w:spacing w:before="20" w:line="220" w:lineRule="exact"/>
              <w:rPr>
                <w:sz w:val="18"/>
                <w:szCs w:val="18"/>
                <w:rtl/>
              </w:rPr>
            </w:pPr>
          </w:p>
        </w:tc>
      </w:tr>
      <w:tr w:rsidR="00D0470C" w:rsidRPr="00A10E01" w14:paraId="2A5F9DFD" w14:textId="77777777" w:rsidTr="003765C0">
        <w:trPr>
          <w:trHeight w:val="259"/>
          <w:jc w:val="right"/>
        </w:trPr>
        <w:tc>
          <w:tcPr>
            <w:tcW w:w="5803" w:type="dxa"/>
            <w:tcBorders>
              <w:bottom w:val="nil"/>
            </w:tcBorders>
            <w:vAlign w:val="bottom"/>
          </w:tcPr>
          <w:p w14:paraId="544C3C73" w14:textId="3A7B7518" w:rsidR="00F32A2A" w:rsidRDefault="00D0470C" w:rsidP="004C69D8">
            <w:pPr>
              <w:spacing w:before="20" w:line="220" w:lineRule="exact"/>
              <w:ind w:left="461" w:hanging="142"/>
              <w:jc w:val="left"/>
              <w:rPr>
                <w:color w:val="000000"/>
                <w:sz w:val="18"/>
                <w:szCs w:val="18"/>
                <w:rtl/>
                <w:lang w:eastAsia="he-IL"/>
              </w:rPr>
            </w:pPr>
            <w:r w:rsidRPr="00A10E01">
              <w:rPr>
                <w:color w:val="000000"/>
                <w:sz w:val="18"/>
                <w:szCs w:val="18"/>
                <w:rtl/>
                <w:lang w:eastAsia="he-IL"/>
              </w:rPr>
              <w:t>רווחים (הפסדים) נטו שטרם מומשו מהתאמות לשווי הוגן</w:t>
            </w:r>
            <w:r w:rsidR="00287440" w:rsidRPr="00287440">
              <w:rPr>
                <w:rFonts w:hint="cs"/>
                <w:color w:val="000000"/>
                <w:sz w:val="18"/>
                <w:szCs w:val="18"/>
                <w:vertAlign w:val="superscript"/>
                <w:rtl/>
                <w:lang w:eastAsia="he-IL"/>
              </w:rPr>
              <w:t>(א)</w:t>
            </w:r>
          </w:p>
        </w:tc>
        <w:tc>
          <w:tcPr>
            <w:tcW w:w="685" w:type="dxa"/>
            <w:tcMar>
              <w:left w:w="58" w:type="dxa"/>
              <w:right w:w="58" w:type="dxa"/>
            </w:tcMar>
            <w:vAlign w:val="bottom"/>
          </w:tcPr>
          <w:p w14:paraId="0BB7D88E" w14:textId="77777777" w:rsidR="00D0470C" w:rsidRPr="00A10E01" w:rsidRDefault="00D0470C" w:rsidP="006F3019">
            <w:pPr>
              <w:spacing w:before="20" w:line="220" w:lineRule="exact"/>
              <w:rPr>
                <w:sz w:val="18"/>
                <w:szCs w:val="18"/>
                <w:rtl/>
              </w:rPr>
            </w:pPr>
            <w:r w:rsidRPr="00A10E01">
              <w:rPr>
                <w:sz w:val="18"/>
                <w:szCs w:val="18"/>
                <w:rtl/>
              </w:rPr>
              <w:t xml:space="preserve"> 0</w:t>
            </w:r>
          </w:p>
        </w:tc>
        <w:tc>
          <w:tcPr>
            <w:tcW w:w="827" w:type="dxa"/>
            <w:vAlign w:val="bottom"/>
          </w:tcPr>
          <w:p w14:paraId="26FB6BB8" w14:textId="77777777" w:rsidR="00D0470C" w:rsidRPr="00A10E01" w:rsidRDefault="00D0470C" w:rsidP="006F3019">
            <w:pPr>
              <w:spacing w:before="20" w:line="220" w:lineRule="exact"/>
              <w:rPr>
                <w:sz w:val="18"/>
                <w:szCs w:val="18"/>
                <w:rtl/>
              </w:rPr>
            </w:pPr>
            <w:r w:rsidRPr="00A10E01">
              <w:rPr>
                <w:sz w:val="18"/>
                <w:szCs w:val="18"/>
                <w:rtl/>
              </w:rPr>
              <w:t xml:space="preserve"> 0</w:t>
            </w:r>
          </w:p>
        </w:tc>
        <w:tc>
          <w:tcPr>
            <w:tcW w:w="689" w:type="dxa"/>
            <w:vAlign w:val="bottom"/>
          </w:tcPr>
          <w:p w14:paraId="16604B29" w14:textId="77777777" w:rsidR="00D0470C" w:rsidRPr="00A10E01" w:rsidRDefault="00D0470C" w:rsidP="006F3019">
            <w:pPr>
              <w:spacing w:before="20" w:line="220" w:lineRule="exact"/>
              <w:rPr>
                <w:sz w:val="18"/>
                <w:szCs w:val="18"/>
                <w:rtl/>
              </w:rPr>
            </w:pPr>
            <w:r w:rsidRPr="00A10E01">
              <w:rPr>
                <w:sz w:val="18"/>
                <w:szCs w:val="18"/>
                <w:rtl/>
              </w:rPr>
              <w:t xml:space="preserve"> 0</w:t>
            </w:r>
          </w:p>
        </w:tc>
        <w:tc>
          <w:tcPr>
            <w:tcW w:w="687" w:type="dxa"/>
            <w:tcMar>
              <w:left w:w="58" w:type="dxa"/>
              <w:right w:w="58" w:type="dxa"/>
            </w:tcMar>
            <w:vAlign w:val="bottom"/>
          </w:tcPr>
          <w:p w14:paraId="07302B28" w14:textId="77777777" w:rsidR="00D0470C" w:rsidRPr="00A10E01" w:rsidRDefault="00D0470C" w:rsidP="006F3019">
            <w:pPr>
              <w:spacing w:before="20" w:line="220" w:lineRule="exact"/>
              <w:rPr>
                <w:sz w:val="18"/>
                <w:szCs w:val="18"/>
                <w:rtl/>
              </w:rPr>
            </w:pPr>
            <w:r w:rsidRPr="00A10E01">
              <w:rPr>
                <w:sz w:val="18"/>
                <w:szCs w:val="18"/>
                <w:rtl/>
              </w:rPr>
              <w:t xml:space="preserve"> 0</w:t>
            </w:r>
          </w:p>
        </w:tc>
        <w:tc>
          <w:tcPr>
            <w:tcW w:w="827" w:type="dxa"/>
            <w:vAlign w:val="bottom"/>
          </w:tcPr>
          <w:p w14:paraId="5DF4470A" w14:textId="77777777" w:rsidR="00D0470C" w:rsidRPr="00A10E01" w:rsidRDefault="00D0470C" w:rsidP="006F3019">
            <w:pPr>
              <w:spacing w:before="20" w:line="220" w:lineRule="exact"/>
              <w:rPr>
                <w:sz w:val="18"/>
                <w:szCs w:val="18"/>
                <w:rtl/>
              </w:rPr>
            </w:pPr>
            <w:r w:rsidRPr="00A10E01">
              <w:rPr>
                <w:sz w:val="18"/>
                <w:szCs w:val="18"/>
                <w:rtl/>
              </w:rPr>
              <w:t xml:space="preserve"> 0</w:t>
            </w:r>
          </w:p>
        </w:tc>
        <w:tc>
          <w:tcPr>
            <w:tcW w:w="689" w:type="dxa"/>
            <w:tcBorders>
              <w:right w:val="nil"/>
            </w:tcBorders>
            <w:vAlign w:val="bottom"/>
          </w:tcPr>
          <w:p w14:paraId="7F563C98" w14:textId="77777777" w:rsidR="00D0470C" w:rsidRPr="00A10E01" w:rsidRDefault="00D0470C" w:rsidP="006F3019">
            <w:pPr>
              <w:spacing w:before="20" w:line="220" w:lineRule="exact"/>
              <w:rPr>
                <w:sz w:val="18"/>
                <w:szCs w:val="18"/>
                <w:rtl/>
              </w:rPr>
            </w:pPr>
            <w:r w:rsidRPr="00A10E01">
              <w:rPr>
                <w:sz w:val="18"/>
                <w:szCs w:val="18"/>
                <w:rtl/>
              </w:rPr>
              <w:t xml:space="preserve"> 0</w:t>
            </w:r>
          </w:p>
        </w:tc>
      </w:tr>
      <w:tr w:rsidR="00D0470C" w:rsidRPr="00A10E01" w14:paraId="70DC1BDC" w14:textId="77777777" w:rsidTr="003765C0">
        <w:trPr>
          <w:trHeight w:val="259"/>
          <w:jc w:val="right"/>
        </w:trPr>
        <w:tc>
          <w:tcPr>
            <w:tcW w:w="5803" w:type="dxa"/>
            <w:tcBorders>
              <w:left w:val="nil"/>
            </w:tcBorders>
            <w:vAlign w:val="bottom"/>
          </w:tcPr>
          <w:p w14:paraId="313CB5AC" w14:textId="5609B54E" w:rsidR="00F32A2A" w:rsidRDefault="00D0470C" w:rsidP="004C69D8">
            <w:pPr>
              <w:spacing w:before="20" w:line="220" w:lineRule="exact"/>
              <w:ind w:left="319"/>
              <w:jc w:val="left"/>
              <w:rPr>
                <w:color w:val="000000"/>
                <w:sz w:val="18"/>
                <w:szCs w:val="18"/>
                <w:rtl/>
                <w:lang w:eastAsia="he-IL"/>
              </w:rPr>
            </w:pPr>
            <w:r w:rsidRPr="00A10E01">
              <w:rPr>
                <w:color w:val="000000"/>
                <w:sz w:val="18"/>
                <w:szCs w:val="18"/>
                <w:rtl/>
                <w:lang w:eastAsia="he-IL"/>
              </w:rPr>
              <w:t xml:space="preserve">(רווחים) </w:t>
            </w:r>
            <w:r w:rsidRPr="00A10E01">
              <w:rPr>
                <w:rFonts w:hint="eastAsia"/>
                <w:color w:val="000000"/>
                <w:sz w:val="18"/>
                <w:szCs w:val="18"/>
                <w:rtl/>
                <w:lang w:eastAsia="he-IL"/>
              </w:rPr>
              <w:t>הפסדים</w:t>
            </w:r>
            <w:r w:rsidRPr="00A10E01">
              <w:rPr>
                <w:color w:val="000000"/>
                <w:sz w:val="18"/>
                <w:szCs w:val="18"/>
                <w:rtl/>
                <w:lang w:eastAsia="he-IL"/>
              </w:rPr>
              <w:t xml:space="preserve"> בגין </w:t>
            </w:r>
            <w:r w:rsidR="00A674A4">
              <w:rPr>
                <w:rFonts w:hint="cs"/>
                <w:color w:val="000000"/>
                <w:sz w:val="18"/>
                <w:szCs w:val="18"/>
                <w:rtl/>
                <w:lang w:eastAsia="he-IL"/>
              </w:rPr>
              <w:t>אגרות</w:t>
            </w:r>
            <w:r w:rsidR="00DF5B53">
              <w:rPr>
                <w:rFonts w:hint="cs"/>
                <w:color w:val="000000"/>
                <w:sz w:val="18"/>
                <w:szCs w:val="18"/>
                <w:rtl/>
                <w:lang w:eastAsia="he-IL"/>
              </w:rPr>
              <w:t xml:space="preserve"> חוב</w:t>
            </w:r>
            <w:r w:rsidRPr="00A10E01">
              <w:rPr>
                <w:color w:val="000000"/>
                <w:sz w:val="18"/>
                <w:szCs w:val="18"/>
                <w:rtl/>
                <w:lang w:eastAsia="he-IL"/>
              </w:rPr>
              <w:t xml:space="preserve"> זמינ</w:t>
            </w:r>
            <w:r w:rsidR="00DF5B53">
              <w:rPr>
                <w:rFonts w:hint="cs"/>
                <w:color w:val="000000"/>
                <w:sz w:val="18"/>
                <w:szCs w:val="18"/>
                <w:rtl/>
                <w:lang w:eastAsia="he-IL"/>
              </w:rPr>
              <w:t>ות</w:t>
            </w:r>
            <w:r w:rsidRPr="00A10E01">
              <w:rPr>
                <w:color w:val="000000"/>
                <w:sz w:val="18"/>
                <w:szCs w:val="18"/>
                <w:rtl/>
                <w:lang w:eastAsia="he-IL"/>
              </w:rPr>
              <w:t xml:space="preserve"> למכירה </w:t>
            </w:r>
            <w:r w:rsidRPr="00A10E01">
              <w:rPr>
                <w:rFonts w:hint="eastAsia"/>
                <w:color w:val="000000"/>
                <w:sz w:val="18"/>
                <w:szCs w:val="18"/>
                <w:rtl/>
                <w:lang w:eastAsia="he-IL"/>
              </w:rPr>
              <w:t>שסווגו</w:t>
            </w:r>
            <w:r w:rsidRPr="00A10E01">
              <w:rPr>
                <w:color w:val="000000"/>
                <w:sz w:val="18"/>
                <w:szCs w:val="18"/>
                <w:rtl/>
                <w:lang w:eastAsia="he-IL"/>
              </w:rPr>
              <w:t xml:space="preserve"> </w:t>
            </w:r>
            <w:r w:rsidRPr="00A10E01">
              <w:rPr>
                <w:rFonts w:hint="eastAsia"/>
                <w:color w:val="000000"/>
                <w:sz w:val="18"/>
                <w:szCs w:val="18"/>
                <w:rtl/>
                <w:lang w:eastAsia="he-IL"/>
              </w:rPr>
              <w:t>מחדש</w:t>
            </w:r>
            <w:r w:rsidRPr="00A10E01">
              <w:rPr>
                <w:color w:val="000000"/>
                <w:sz w:val="18"/>
                <w:szCs w:val="18"/>
                <w:rtl/>
                <w:lang w:eastAsia="he-IL"/>
              </w:rPr>
              <w:t xml:space="preserve"> </w:t>
            </w:r>
            <w:r w:rsidRPr="00A10E01">
              <w:rPr>
                <w:rFonts w:hint="eastAsia"/>
                <w:color w:val="000000"/>
                <w:sz w:val="18"/>
                <w:szCs w:val="18"/>
                <w:rtl/>
                <w:lang w:eastAsia="he-IL"/>
              </w:rPr>
              <w:t>לדוח</w:t>
            </w:r>
            <w:r w:rsidRPr="00A10E01">
              <w:rPr>
                <w:color w:val="000000"/>
                <w:sz w:val="18"/>
                <w:szCs w:val="18"/>
                <w:rtl/>
                <w:lang w:eastAsia="he-IL"/>
              </w:rPr>
              <w:t xml:space="preserve"> </w:t>
            </w:r>
            <w:r w:rsidRPr="00A10E01">
              <w:rPr>
                <w:rFonts w:hint="eastAsia"/>
                <w:color w:val="000000"/>
                <w:sz w:val="18"/>
                <w:szCs w:val="18"/>
                <w:rtl/>
                <w:lang w:eastAsia="he-IL"/>
              </w:rPr>
              <w:t>רווח</w:t>
            </w:r>
            <w:r w:rsidRPr="00A10E01">
              <w:rPr>
                <w:color w:val="000000"/>
                <w:sz w:val="18"/>
                <w:szCs w:val="18"/>
                <w:rtl/>
                <w:lang w:eastAsia="he-IL"/>
              </w:rPr>
              <w:t xml:space="preserve"> </w:t>
            </w:r>
            <w:r w:rsidRPr="00A10E01">
              <w:rPr>
                <w:rFonts w:hint="eastAsia"/>
                <w:color w:val="000000"/>
                <w:sz w:val="18"/>
                <w:szCs w:val="18"/>
                <w:rtl/>
                <w:lang w:eastAsia="he-IL"/>
              </w:rPr>
              <w:t>והפסד</w:t>
            </w:r>
            <w:r w:rsidR="00287440">
              <w:rPr>
                <w:rFonts w:hint="cs"/>
                <w:color w:val="000000"/>
                <w:sz w:val="18"/>
                <w:szCs w:val="18"/>
                <w:vertAlign w:val="superscript"/>
                <w:rtl/>
                <w:lang w:eastAsia="he-IL"/>
              </w:rPr>
              <w:t>(א)</w:t>
            </w:r>
            <w:r w:rsidRPr="00A10E01">
              <w:rPr>
                <w:color w:val="000000"/>
                <w:sz w:val="18"/>
                <w:szCs w:val="18"/>
                <w:vertAlign w:val="superscript"/>
                <w:rtl/>
                <w:lang w:eastAsia="he-IL"/>
              </w:rPr>
              <w:t>(</w:t>
            </w:r>
            <w:r w:rsidR="00287440">
              <w:rPr>
                <w:rFonts w:hint="cs"/>
                <w:color w:val="000000"/>
                <w:sz w:val="18"/>
                <w:szCs w:val="18"/>
                <w:vertAlign w:val="superscript"/>
                <w:rtl/>
                <w:lang w:eastAsia="he-IL"/>
              </w:rPr>
              <w:t>ב</w:t>
            </w:r>
            <w:r w:rsidRPr="00A10E01">
              <w:rPr>
                <w:color w:val="000000"/>
                <w:sz w:val="18"/>
                <w:szCs w:val="18"/>
                <w:vertAlign w:val="superscript"/>
                <w:rtl/>
                <w:lang w:eastAsia="he-IL"/>
              </w:rPr>
              <w:t>)</w:t>
            </w:r>
          </w:p>
        </w:tc>
        <w:tc>
          <w:tcPr>
            <w:tcW w:w="685" w:type="dxa"/>
            <w:tcMar>
              <w:left w:w="58" w:type="dxa"/>
              <w:right w:w="58" w:type="dxa"/>
            </w:tcMar>
            <w:vAlign w:val="bottom"/>
          </w:tcPr>
          <w:p w14:paraId="01125B42" w14:textId="77777777" w:rsidR="00D0470C" w:rsidRPr="00A10E01" w:rsidRDefault="00D0470C" w:rsidP="006F3019">
            <w:pPr>
              <w:pBdr>
                <w:bottom w:val="single" w:sz="4" w:space="1" w:color="auto"/>
              </w:pBdr>
              <w:spacing w:before="20" w:line="220" w:lineRule="exact"/>
              <w:rPr>
                <w:sz w:val="18"/>
                <w:szCs w:val="18"/>
                <w:rtl/>
              </w:rPr>
            </w:pPr>
            <w:r w:rsidRPr="00A10E01">
              <w:rPr>
                <w:sz w:val="18"/>
                <w:szCs w:val="18"/>
                <w:rtl/>
              </w:rPr>
              <w:t xml:space="preserve"> 0</w:t>
            </w:r>
          </w:p>
        </w:tc>
        <w:tc>
          <w:tcPr>
            <w:tcW w:w="827" w:type="dxa"/>
            <w:vAlign w:val="bottom"/>
          </w:tcPr>
          <w:p w14:paraId="3843A94D" w14:textId="77777777" w:rsidR="00D0470C" w:rsidRPr="00A10E01" w:rsidRDefault="00D0470C" w:rsidP="006F3019">
            <w:pPr>
              <w:pBdr>
                <w:bottom w:val="single" w:sz="4" w:space="1" w:color="auto"/>
              </w:pBdr>
              <w:spacing w:before="20" w:line="220" w:lineRule="exact"/>
              <w:rPr>
                <w:sz w:val="18"/>
                <w:szCs w:val="18"/>
                <w:rtl/>
              </w:rPr>
            </w:pPr>
            <w:r w:rsidRPr="00A10E01">
              <w:rPr>
                <w:sz w:val="18"/>
                <w:szCs w:val="18"/>
                <w:rtl/>
              </w:rPr>
              <w:t xml:space="preserve"> 0</w:t>
            </w:r>
          </w:p>
        </w:tc>
        <w:tc>
          <w:tcPr>
            <w:tcW w:w="689" w:type="dxa"/>
            <w:vAlign w:val="bottom"/>
          </w:tcPr>
          <w:p w14:paraId="16C2BCE7" w14:textId="77777777" w:rsidR="00D0470C" w:rsidRPr="00A10E01" w:rsidRDefault="00D0470C" w:rsidP="006F3019">
            <w:pPr>
              <w:pBdr>
                <w:bottom w:val="single" w:sz="4" w:space="1" w:color="auto"/>
              </w:pBdr>
              <w:spacing w:before="20" w:line="220" w:lineRule="exact"/>
              <w:rPr>
                <w:sz w:val="18"/>
                <w:szCs w:val="18"/>
                <w:rtl/>
              </w:rPr>
            </w:pPr>
            <w:r w:rsidRPr="00A10E01">
              <w:rPr>
                <w:sz w:val="18"/>
                <w:szCs w:val="18"/>
                <w:rtl/>
              </w:rPr>
              <w:t xml:space="preserve"> 0</w:t>
            </w:r>
          </w:p>
        </w:tc>
        <w:tc>
          <w:tcPr>
            <w:tcW w:w="687" w:type="dxa"/>
            <w:tcMar>
              <w:left w:w="58" w:type="dxa"/>
              <w:right w:w="58" w:type="dxa"/>
            </w:tcMar>
            <w:vAlign w:val="bottom"/>
          </w:tcPr>
          <w:p w14:paraId="47D5A543" w14:textId="77777777" w:rsidR="00D0470C" w:rsidRPr="00A10E01" w:rsidRDefault="00D0470C" w:rsidP="006F3019">
            <w:pPr>
              <w:pBdr>
                <w:bottom w:val="single" w:sz="4" w:space="1" w:color="auto"/>
              </w:pBdr>
              <w:spacing w:before="20" w:line="220" w:lineRule="exact"/>
              <w:rPr>
                <w:sz w:val="18"/>
                <w:szCs w:val="18"/>
                <w:rtl/>
              </w:rPr>
            </w:pPr>
            <w:r w:rsidRPr="00A10E01">
              <w:rPr>
                <w:sz w:val="18"/>
                <w:szCs w:val="18"/>
                <w:rtl/>
              </w:rPr>
              <w:t xml:space="preserve"> 0</w:t>
            </w:r>
          </w:p>
        </w:tc>
        <w:tc>
          <w:tcPr>
            <w:tcW w:w="827" w:type="dxa"/>
            <w:vAlign w:val="bottom"/>
          </w:tcPr>
          <w:p w14:paraId="6A31CFC8" w14:textId="77777777" w:rsidR="00D0470C" w:rsidRPr="00A10E01" w:rsidRDefault="00D0470C" w:rsidP="006F3019">
            <w:pPr>
              <w:pBdr>
                <w:bottom w:val="single" w:sz="4" w:space="1" w:color="auto"/>
              </w:pBdr>
              <w:spacing w:before="20" w:line="220" w:lineRule="exact"/>
              <w:rPr>
                <w:sz w:val="18"/>
                <w:szCs w:val="18"/>
                <w:rtl/>
              </w:rPr>
            </w:pPr>
            <w:r w:rsidRPr="00A10E01">
              <w:rPr>
                <w:sz w:val="18"/>
                <w:szCs w:val="18"/>
                <w:rtl/>
              </w:rPr>
              <w:t xml:space="preserve"> 0</w:t>
            </w:r>
          </w:p>
        </w:tc>
        <w:tc>
          <w:tcPr>
            <w:tcW w:w="689" w:type="dxa"/>
            <w:tcBorders>
              <w:right w:val="nil"/>
            </w:tcBorders>
            <w:vAlign w:val="bottom"/>
          </w:tcPr>
          <w:p w14:paraId="13FD20B2" w14:textId="77777777" w:rsidR="00D0470C" w:rsidRPr="00A10E01" w:rsidRDefault="00D0470C" w:rsidP="006F3019">
            <w:pPr>
              <w:pBdr>
                <w:bottom w:val="single" w:sz="4" w:space="1" w:color="auto"/>
              </w:pBdr>
              <w:spacing w:before="20" w:line="220" w:lineRule="exact"/>
              <w:rPr>
                <w:sz w:val="18"/>
                <w:szCs w:val="18"/>
                <w:rtl/>
              </w:rPr>
            </w:pPr>
            <w:r w:rsidRPr="00A10E01">
              <w:rPr>
                <w:sz w:val="18"/>
                <w:szCs w:val="18"/>
                <w:rtl/>
              </w:rPr>
              <w:t xml:space="preserve"> 0</w:t>
            </w:r>
          </w:p>
        </w:tc>
      </w:tr>
      <w:tr w:rsidR="00D0470C" w:rsidRPr="00A10E01" w14:paraId="2A99AC77" w14:textId="77777777" w:rsidTr="003765C0">
        <w:trPr>
          <w:trHeight w:val="259"/>
          <w:jc w:val="right"/>
        </w:trPr>
        <w:tc>
          <w:tcPr>
            <w:tcW w:w="5803" w:type="dxa"/>
            <w:vAlign w:val="bottom"/>
          </w:tcPr>
          <w:p w14:paraId="4725C6E6" w14:textId="77777777" w:rsidR="00F32A2A" w:rsidRDefault="00D0470C" w:rsidP="004C69D8">
            <w:pPr>
              <w:spacing w:before="20" w:line="220" w:lineRule="exact"/>
              <w:ind w:left="35" w:firstLine="284"/>
              <w:jc w:val="left"/>
              <w:rPr>
                <w:b/>
                <w:bCs/>
                <w:color w:val="000000"/>
                <w:sz w:val="18"/>
                <w:szCs w:val="18"/>
                <w:rtl/>
                <w:lang w:eastAsia="he-IL"/>
              </w:rPr>
            </w:pPr>
            <w:r w:rsidRPr="00A10E01">
              <w:rPr>
                <w:b/>
                <w:bCs/>
                <w:color w:val="000000"/>
                <w:sz w:val="18"/>
                <w:szCs w:val="18"/>
                <w:rtl/>
                <w:lang w:eastAsia="he-IL"/>
              </w:rPr>
              <w:t xml:space="preserve">שינוי נטו במהלך </w:t>
            </w:r>
            <w:r>
              <w:rPr>
                <w:rFonts w:hint="cs"/>
                <w:b/>
                <w:bCs/>
                <w:color w:val="000000"/>
                <w:sz w:val="18"/>
                <w:szCs w:val="18"/>
                <w:rtl/>
                <w:lang w:eastAsia="he-IL"/>
              </w:rPr>
              <w:t>התקופה</w:t>
            </w:r>
          </w:p>
        </w:tc>
        <w:tc>
          <w:tcPr>
            <w:tcW w:w="685" w:type="dxa"/>
            <w:tcMar>
              <w:left w:w="58" w:type="dxa"/>
              <w:right w:w="58" w:type="dxa"/>
            </w:tcMar>
            <w:vAlign w:val="bottom"/>
          </w:tcPr>
          <w:p w14:paraId="0F4C48B0"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7" w:type="dxa"/>
            <w:vAlign w:val="bottom"/>
          </w:tcPr>
          <w:p w14:paraId="7C8D4753"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9" w:type="dxa"/>
            <w:vAlign w:val="bottom"/>
          </w:tcPr>
          <w:p w14:paraId="52F62E9E"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7" w:type="dxa"/>
            <w:tcMar>
              <w:left w:w="58" w:type="dxa"/>
              <w:right w:w="58" w:type="dxa"/>
            </w:tcMar>
            <w:vAlign w:val="bottom"/>
          </w:tcPr>
          <w:p w14:paraId="496739CA"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7" w:type="dxa"/>
            <w:vAlign w:val="bottom"/>
          </w:tcPr>
          <w:p w14:paraId="1820E4C9"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9" w:type="dxa"/>
            <w:tcBorders>
              <w:right w:val="nil"/>
            </w:tcBorders>
            <w:vAlign w:val="bottom"/>
          </w:tcPr>
          <w:p w14:paraId="40F5A3CC"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r>
      <w:tr w:rsidR="00D0470C" w:rsidRPr="00A10E01" w14:paraId="03B855F3" w14:textId="77777777" w:rsidTr="003765C0">
        <w:trPr>
          <w:jc w:val="right"/>
        </w:trPr>
        <w:tc>
          <w:tcPr>
            <w:tcW w:w="5803" w:type="dxa"/>
            <w:vAlign w:val="bottom"/>
          </w:tcPr>
          <w:p w14:paraId="647A2586" w14:textId="77777777" w:rsidR="00F32A2A" w:rsidRDefault="00F32A2A" w:rsidP="004C69D8">
            <w:pPr>
              <w:spacing w:line="40" w:lineRule="exact"/>
              <w:ind w:left="461" w:hanging="79"/>
              <w:jc w:val="left"/>
              <w:rPr>
                <w:b/>
                <w:bCs/>
                <w:color w:val="000000"/>
                <w:sz w:val="18"/>
                <w:szCs w:val="18"/>
                <w:rtl/>
                <w:lang w:eastAsia="he-IL"/>
              </w:rPr>
            </w:pPr>
          </w:p>
        </w:tc>
        <w:tc>
          <w:tcPr>
            <w:tcW w:w="685" w:type="dxa"/>
            <w:tcMar>
              <w:left w:w="58" w:type="dxa"/>
              <w:right w:w="58" w:type="dxa"/>
            </w:tcMar>
            <w:vAlign w:val="bottom"/>
          </w:tcPr>
          <w:p w14:paraId="3CFE6CC8" w14:textId="77777777" w:rsidR="00F32A2A" w:rsidRDefault="00F32A2A">
            <w:pPr>
              <w:spacing w:line="40" w:lineRule="exact"/>
              <w:rPr>
                <w:sz w:val="18"/>
                <w:szCs w:val="18"/>
                <w:rtl/>
              </w:rPr>
            </w:pPr>
          </w:p>
        </w:tc>
        <w:tc>
          <w:tcPr>
            <w:tcW w:w="827" w:type="dxa"/>
            <w:vAlign w:val="bottom"/>
          </w:tcPr>
          <w:p w14:paraId="07A00C1A" w14:textId="77777777" w:rsidR="00F32A2A" w:rsidRDefault="00F32A2A">
            <w:pPr>
              <w:spacing w:line="40" w:lineRule="exact"/>
              <w:rPr>
                <w:sz w:val="18"/>
                <w:szCs w:val="18"/>
                <w:rtl/>
              </w:rPr>
            </w:pPr>
          </w:p>
        </w:tc>
        <w:tc>
          <w:tcPr>
            <w:tcW w:w="689" w:type="dxa"/>
            <w:vAlign w:val="bottom"/>
          </w:tcPr>
          <w:p w14:paraId="21FCF3F3" w14:textId="77777777" w:rsidR="00F32A2A" w:rsidRDefault="00F32A2A">
            <w:pPr>
              <w:spacing w:line="40" w:lineRule="exact"/>
              <w:rPr>
                <w:sz w:val="18"/>
                <w:szCs w:val="18"/>
                <w:rtl/>
              </w:rPr>
            </w:pPr>
          </w:p>
        </w:tc>
        <w:tc>
          <w:tcPr>
            <w:tcW w:w="687" w:type="dxa"/>
            <w:tcMar>
              <w:left w:w="58" w:type="dxa"/>
              <w:right w:w="58" w:type="dxa"/>
            </w:tcMar>
            <w:vAlign w:val="bottom"/>
          </w:tcPr>
          <w:p w14:paraId="00277517" w14:textId="77777777" w:rsidR="00F32A2A" w:rsidRDefault="00F32A2A">
            <w:pPr>
              <w:spacing w:line="40" w:lineRule="exact"/>
              <w:rPr>
                <w:sz w:val="18"/>
                <w:szCs w:val="18"/>
                <w:rtl/>
              </w:rPr>
            </w:pPr>
          </w:p>
        </w:tc>
        <w:tc>
          <w:tcPr>
            <w:tcW w:w="827" w:type="dxa"/>
            <w:vAlign w:val="bottom"/>
          </w:tcPr>
          <w:p w14:paraId="04C3B599" w14:textId="77777777" w:rsidR="00F32A2A" w:rsidRDefault="00F32A2A">
            <w:pPr>
              <w:spacing w:line="40" w:lineRule="exact"/>
              <w:rPr>
                <w:sz w:val="18"/>
                <w:szCs w:val="18"/>
                <w:rtl/>
              </w:rPr>
            </w:pPr>
          </w:p>
        </w:tc>
        <w:tc>
          <w:tcPr>
            <w:tcW w:w="689" w:type="dxa"/>
            <w:tcBorders>
              <w:right w:val="nil"/>
            </w:tcBorders>
            <w:vAlign w:val="bottom"/>
          </w:tcPr>
          <w:p w14:paraId="631A5193" w14:textId="77777777" w:rsidR="00F32A2A" w:rsidRDefault="00F32A2A">
            <w:pPr>
              <w:spacing w:line="40" w:lineRule="exact"/>
              <w:rPr>
                <w:sz w:val="18"/>
                <w:szCs w:val="18"/>
                <w:rtl/>
              </w:rPr>
            </w:pPr>
          </w:p>
        </w:tc>
      </w:tr>
      <w:tr w:rsidR="00D0470C" w:rsidRPr="00A10E01" w14:paraId="7E2C2F28" w14:textId="77777777" w:rsidTr="003765C0">
        <w:trPr>
          <w:trHeight w:val="259"/>
          <w:jc w:val="right"/>
        </w:trPr>
        <w:tc>
          <w:tcPr>
            <w:tcW w:w="5803" w:type="dxa"/>
            <w:vAlign w:val="bottom"/>
          </w:tcPr>
          <w:p w14:paraId="51C5FAEE" w14:textId="49CBDDC9" w:rsidR="00F32A2A" w:rsidRDefault="00D0470C" w:rsidP="004C69D8">
            <w:pPr>
              <w:spacing w:before="20" w:line="220" w:lineRule="exact"/>
              <w:ind w:left="35" w:firstLine="284"/>
              <w:jc w:val="left"/>
              <w:rPr>
                <w:b/>
                <w:bCs/>
                <w:color w:val="000000"/>
                <w:sz w:val="18"/>
                <w:szCs w:val="18"/>
                <w:rtl/>
                <w:lang w:eastAsia="he-IL"/>
              </w:rPr>
            </w:pPr>
            <w:r w:rsidRPr="00A10E01">
              <w:rPr>
                <w:rFonts w:hint="eastAsia"/>
                <w:b/>
                <w:bCs/>
                <w:color w:val="000000"/>
                <w:sz w:val="18"/>
                <w:szCs w:val="18"/>
                <w:rtl/>
                <w:lang w:eastAsia="he-IL"/>
              </w:rPr>
              <w:t>התאמות</w:t>
            </w:r>
            <w:r w:rsidRPr="00A10E01">
              <w:rPr>
                <w:b/>
                <w:bCs/>
                <w:color w:val="000000"/>
                <w:sz w:val="18"/>
                <w:szCs w:val="18"/>
                <w:rtl/>
                <w:lang w:eastAsia="he-IL"/>
              </w:rPr>
              <w:t xml:space="preserve"> </w:t>
            </w:r>
            <w:r w:rsidRPr="00A10E01">
              <w:rPr>
                <w:rFonts w:hint="eastAsia"/>
                <w:b/>
                <w:bCs/>
                <w:color w:val="000000"/>
                <w:sz w:val="18"/>
                <w:szCs w:val="18"/>
                <w:rtl/>
                <w:lang w:eastAsia="he-IL"/>
              </w:rPr>
              <w:t>מתרגום</w:t>
            </w:r>
            <w:r w:rsidRPr="00A10E01">
              <w:rPr>
                <w:b/>
                <w:bCs/>
                <w:color w:val="000000"/>
                <w:sz w:val="18"/>
                <w:szCs w:val="18"/>
                <w:rtl/>
                <w:lang w:eastAsia="he-IL"/>
              </w:rPr>
              <w:t>:</w:t>
            </w:r>
            <w:r w:rsidRPr="00A10E01">
              <w:rPr>
                <w:b/>
                <w:bCs/>
                <w:color w:val="000000"/>
                <w:sz w:val="18"/>
                <w:szCs w:val="18"/>
                <w:vertAlign w:val="superscript"/>
                <w:rtl/>
                <w:lang w:eastAsia="he-IL"/>
              </w:rPr>
              <w:t>(</w:t>
            </w:r>
            <w:r w:rsidR="00287440">
              <w:rPr>
                <w:rFonts w:hint="cs"/>
                <w:b/>
                <w:bCs/>
                <w:color w:val="000000"/>
                <w:sz w:val="18"/>
                <w:szCs w:val="18"/>
                <w:vertAlign w:val="superscript"/>
                <w:rtl/>
                <w:lang w:eastAsia="he-IL"/>
              </w:rPr>
              <w:t>ג</w:t>
            </w:r>
            <w:r w:rsidRPr="00A10E01">
              <w:rPr>
                <w:b/>
                <w:bCs/>
                <w:color w:val="000000"/>
                <w:sz w:val="18"/>
                <w:szCs w:val="18"/>
                <w:vertAlign w:val="superscript"/>
                <w:rtl/>
                <w:lang w:eastAsia="he-IL"/>
              </w:rPr>
              <w:t>)</w:t>
            </w:r>
          </w:p>
        </w:tc>
        <w:tc>
          <w:tcPr>
            <w:tcW w:w="685" w:type="dxa"/>
            <w:tcMar>
              <w:left w:w="58" w:type="dxa"/>
              <w:right w:w="58" w:type="dxa"/>
            </w:tcMar>
            <w:vAlign w:val="bottom"/>
          </w:tcPr>
          <w:p w14:paraId="33386A62" w14:textId="77777777" w:rsidR="00D0470C" w:rsidRPr="00A10E01" w:rsidRDefault="00D0470C" w:rsidP="006F3019">
            <w:pPr>
              <w:spacing w:line="220" w:lineRule="exact"/>
              <w:rPr>
                <w:sz w:val="18"/>
                <w:szCs w:val="18"/>
                <w:rtl/>
              </w:rPr>
            </w:pPr>
          </w:p>
        </w:tc>
        <w:tc>
          <w:tcPr>
            <w:tcW w:w="827" w:type="dxa"/>
            <w:vAlign w:val="bottom"/>
          </w:tcPr>
          <w:p w14:paraId="1655F6FD" w14:textId="77777777" w:rsidR="00D0470C" w:rsidRPr="00A10E01" w:rsidRDefault="00D0470C" w:rsidP="006F3019">
            <w:pPr>
              <w:spacing w:line="220" w:lineRule="exact"/>
              <w:rPr>
                <w:sz w:val="18"/>
                <w:szCs w:val="18"/>
                <w:rtl/>
              </w:rPr>
            </w:pPr>
          </w:p>
        </w:tc>
        <w:tc>
          <w:tcPr>
            <w:tcW w:w="689" w:type="dxa"/>
            <w:vAlign w:val="bottom"/>
          </w:tcPr>
          <w:p w14:paraId="7AF10306" w14:textId="77777777" w:rsidR="00D0470C" w:rsidRPr="00A10E01" w:rsidRDefault="00D0470C" w:rsidP="006F3019">
            <w:pPr>
              <w:spacing w:line="220" w:lineRule="exact"/>
              <w:rPr>
                <w:sz w:val="18"/>
                <w:szCs w:val="18"/>
                <w:rtl/>
              </w:rPr>
            </w:pPr>
          </w:p>
        </w:tc>
        <w:tc>
          <w:tcPr>
            <w:tcW w:w="687" w:type="dxa"/>
            <w:tcMar>
              <w:left w:w="58" w:type="dxa"/>
              <w:right w:w="58" w:type="dxa"/>
            </w:tcMar>
            <w:vAlign w:val="bottom"/>
          </w:tcPr>
          <w:p w14:paraId="0B0E0973" w14:textId="77777777" w:rsidR="00D0470C" w:rsidRPr="00A10E01" w:rsidRDefault="00D0470C" w:rsidP="006F3019">
            <w:pPr>
              <w:spacing w:line="220" w:lineRule="exact"/>
              <w:rPr>
                <w:sz w:val="18"/>
                <w:szCs w:val="18"/>
                <w:rtl/>
              </w:rPr>
            </w:pPr>
          </w:p>
        </w:tc>
        <w:tc>
          <w:tcPr>
            <w:tcW w:w="827" w:type="dxa"/>
            <w:vAlign w:val="bottom"/>
          </w:tcPr>
          <w:p w14:paraId="348D3574" w14:textId="77777777" w:rsidR="00D0470C" w:rsidRPr="00A10E01" w:rsidRDefault="00D0470C" w:rsidP="006F3019">
            <w:pPr>
              <w:spacing w:line="220" w:lineRule="exact"/>
              <w:rPr>
                <w:sz w:val="18"/>
                <w:szCs w:val="18"/>
                <w:rtl/>
              </w:rPr>
            </w:pPr>
          </w:p>
        </w:tc>
        <w:tc>
          <w:tcPr>
            <w:tcW w:w="689" w:type="dxa"/>
            <w:tcBorders>
              <w:right w:val="nil"/>
            </w:tcBorders>
            <w:vAlign w:val="bottom"/>
          </w:tcPr>
          <w:p w14:paraId="28487138" w14:textId="77777777" w:rsidR="00D0470C" w:rsidRPr="00A10E01" w:rsidRDefault="00D0470C" w:rsidP="006F3019">
            <w:pPr>
              <w:spacing w:line="220" w:lineRule="exact"/>
              <w:rPr>
                <w:sz w:val="18"/>
                <w:szCs w:val="18"/>
                <w:rtl/>
              </w:rPr>
            </w:pPr>
          </w:p>
        </w:tc>
      </w:tr>
      <w:tr w:rsidR="00D0470C" w:rsidRPr="00A10E01" w14:paraId="16019C33" w14:textId="77777777" w:rsidTr="003765C0">
        <w:trPr>
          <w:trHeight w:val="259"/>
          <w:jc w:val="right"/>
        </w:trPr>
        <w:tc>
          <w:tcPr>
            <w:tcW w:w="5803" w:type="dxa"/>
            <w:vAlign w:val="bottom"/>
          </w:tcPr>
          <w:p w14:paraId="001A0C1E" w14:textId="77777777" w:rsidR="00F32A2A" w:rsidRDefault="00D0470C" w:rsidP="004C69D8">
            <w:pPr>
              <w:spacing w:before="20" w:line="220" w:lineRule="exact"/>
              <w:ind w:left="461" w:hanging="142"/>
              <w:jc w:val="left"/>
              <w:rPr>
                <w:color w:val="000000"/>
                <w:sz w:val="18"/>
                <w:szCs w:val="18"/>
                <w:rtl/>
                <w:lang w:eastAsia="he-IL"/>
              </w:rPr>
            </w:pPr>
            <w:r w:rsidRPr="00A10E01">
              <w:rPr>
                <w:rFonts w:hint="eastAsia"/>
                <w:color w:val="000000"/>
                <w:sz w:val="18"/>
                <w:szCs w:val="18"/>
                <w:rtl/>
                <w:lang w:eastAsia="he-IL"/>
              </w:rPr>
              <w:t>התאמות</w:t>
            </w:r>
            <w:r w:rsidRPr="00A10E01">
              <w:rPr>
                <w:color w:val="000000"/>
                <w:sz w:val="18"/>
                <w:szCs w:val="18"/>
                <w:rtl/>
                <w:lang w:eastAsia="he-IL"/>
              </w:rPr>
              <w:t xml:space="preserve"> מתרגום דוחות כספיים</w:t>
            </w:r>
          </w:p>
        </w:tc>
        <w:tc>
          <w:tcPr>
            <w:tcW w:w="685" w:type="dxa"/>
            <w:tcMar>
              <w:left w:w="58" w:type="dxa"/>
              <w:right w:w="58" w:type="dxa"/>
            </w:tcMar>
            <w:vAlign w:val="bottom"/>
          </w:tcPr>
          <w:p w14:paraId="024F94AC"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7" w:type="dxa"/>
            <w:vAlign w:val="bottom"/>
          </w:tcPr>
          <w:p w14:paraId="42073FAF"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9" w:type="dxa"/>
            <w:vAlign w:val="bottom"/>
          </w:tcPr>
          <w:p w14:paraId="2B230371"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7" w:type="dxa"/>
            <w:tcMar>
              <w:left w:w="58" w:type="dxa"/>
              <w:right w:w="58" w:type="dxa"/>
            </w:tcMar>
            <w:vAlign w:val="bottom"/>
          </w:tcPr>
          <w:p w14:paraId="7947C8A9"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7" w:type="dxa"/>
            <w:vAlign w:val="bottom"/>
          </w:tcPr>
          <w:p w14:paraId="51E9E797"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9" w:type="dxa"/>
            <w:tcBorders>
              <w:right w:val="nil"/>
            </w:tcBorders>
            <w:vAlign w:val="bottom"/>
          </w:tcPr>
          <w:p w14:paraId="156670C9" w14:textId="77777777" w:rsidR="00D0470C" w:rsidRPr="00A10E01" w:rsidRDefault="00D0470C" w:rsidP="006F3019">
            <w:pPr>
              <w:spacing w:line="220" w:lineRule="exact"/>
              <w:rPr>
                <w:sz w:val="18"/>
                <w:szCs w:val="18"/>
                <w:rtl/>
              </w:rPr>
            </w:pPr>
            <w:r w:rsidRPr="00A10E01">
              <w:rPr>
                <w:sz w:val="18"/>
                <w:szCs w:val="18"/>
                <w:rtl/>
              </w:rPr>
              <w:t xml:space="preserve"> 0</w:t>
            </w:r>
          </w:p>
        </w:tc>
      </w:tr>
      <w:tr w:rsidR="00D0470C" w:rsidRPr="00A10E01" w14:paraId="6EB7E306" w14:textId="77777777" w:rsidTr="003765C0">
        <w:trPr>
          <w:trHeight w:val="259"/>
          <w:jc w:val="right"/>
        </w:trPr>
        <w:tc>
          <w:tcPr>
            <w:tcW w:w="5803" w:type="dxa"/>
            <w:vAlign w:val="bottom"/>
          </w:tcPr>
          <w:p w14:paraId="56D20773" w14:textId="19F4E3ED" w:rsidR="00F32A2A" w:rsidRDefault="00D0470C" w:rsidP="004C69D8">
            <w:pPr>
              <w:spacing w:before="20" w:line="220" w:lineRule="exact"/>
              <w:ind w:left="461" w:hanging="142"/>
              <w:jc w:val="left"/>
              <w:rPr>
                <w:color w:val="000000"/>
                <w:sz w:val="18"/>
                <w:szCs w:val="18"/>
                <w:rtl/>
                <w:lang w:eastAsia="he-IL"/>
              </w:rPr>
            </w:pPr>
            <w:r w:rsidRPr="00A10E01">
              <w:rPr>
                <w:color w:val="000000"/>
                <w:sz w:val="18"/>
                <w:szCs w:val="18"/>
                <w:rtl/>
                <w:lang w:eastAsia="he-IL"/>
              </w:rPr>
              <w:t>גידורים</w:t>
            </w:r>
            <w:r w:rsidRPr="00A10E01">
              <w:rPr>
                <w:color w:val="000000"/>
                <w:sz w:val="18"/>
                <w:szCs w:val="18"/>
                <w:vertAlign w:val="superscript"/>
                <w:rtl/>
                <w:lang w:eastAsia="he-IL"/>
              </w:rPr>
              <w:t>(</w:t>
            </w:r>
            <w:r w:rsidR="00287440">
              <w:rPr>
                <w:rFonts w:hint="cs"/>
                <w:color w:val="000000"/>
                <w:sz w:val="18"/>
                <w:szCs w:val="18"/>
                <w:vertAlign w:val="superscript"/>
                <w:rtl/>
                <w:lang w:eastAsia="he-IL"/>
              </w:rPr>
              <w:t>ד</w:t>
            </w:r>
            <w:r w:rsidRPr="00A10E01">
              <w:rPr>
                <w:color w:val="000000"/>
                <w:sz w:val="18"/>
                <w:szCs w:val="18"/>
                <w:vertAlign w:val="superscript"/>
                <w:rtl/>
                <w:lang w:eastAsia="he-IL"/>
              </w:rPr>
              <w:t>)</w:t>
            </w:r>
          </w:p>
        </w:tc>
        <w:tc>
          <w:tcPr>
            <w:tcW w:w="685" w:type="dxa"/>
            <w:tcMar>
              <w:left w:w="58" w:type="dxa"/>
              <w:right w:w="58" w:type="dxa"/>
            </w:tcMar>
            <w:vAlign w:val="bottom"/>
          </w:tcPr>
          <w:p w14:paraId="5274A616"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7" w:type="dxa"/>
            <w:vAlign w:val="bottom"/>
          </w:tcPr>
          <w:p w14:paraId="601475A1"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9" w:type="dxa"/>
            <w:vAlign w:val="bottom"/>
          </w:tcPr>
          <w:p w14:paraId="0BF180F3"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7" w:type="dxa"/>
            <w:tcMar>
              <w:left w:w="58" w:type="dxa"/>
              <w:right w:w="58" w:type="dxa"/>
            </w:tcMar>
            <w:vAlign w:val="bottom"/>
          </w:tcPr>
          <w:p w14:paraId="4AECAD7D"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7" w:type="dxa"/>
            <w:vAlign w:val="bottom"/>
          </w:tcPr>
          <w:p w14:paraId="74C86BA0"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9" w:type="dxa"/>
            <w:tcBorders>
              <w:right w:val="nil"/>
            </w:tcBorders>
            <w:vAlign w:val="bottom"/>
          </w:tcPr>
          <w:p w14:paraId="47D5C373" w14:textId="77777777" w:rsidR="00D0470C" w:rsidRPr="00A10E01" w:rsidRDefault="00D0470C" w:rsidP="006F3019">
            <w:pPr>
              <w:spacing w:line="220" w:lineRule="exact"/>
              <w:rPr>
                <w:sz w:val="18"/>
                <w:szCs w:val="18"/>
                <w:rtl/>
              </w:rPr>
            </w:pPr>
            <w:r w:rsidRPr="00A10E01">
              <w:rPr>
                <w:sz w:val="18"/>
                <w:szCs w:val="18"/>
                <w:rtl/>
              </w:rPr>
              <w:t xml:space="preserve"> 0</w:t>
            </w:r>
          </w:p>
        </w:tc>
      </w:tr>
      <w:tr w:rsidR="00D0470C" w:rsidRPr="00A10E01" w14:paraId="6F4CCE2E" w14:textId="77777777" w:rsidTr="003765C0">
        <w:trPr>
          <w:trHeight w:val="259"/>
          <w:jc w:val="right"/>
        </w:trPr>
        <w:tc>
          <w:tcPr>
            <w:tcW w:w="5803" w:type="dxa"/>
            <w:vAlign w:val="bottom"/>
          </w:tcPr>
          <w:p w14:paraId="1F8D4BA0" w14:textId="6DF89DCD" w:rsidR="00F32A2A" w:rsidRDefault="00D0470C" w:rsidP="004C69D8">
            <w:pPr>
              <w:spacing w:before="20" w:line="220" w:lineRule="exact"/>
              <w:ind w:left="461" w:hanging="142"/>
              <w:jc w:val="left"/>
              <w:rPr>
                <w:color w:val="000000"/>
                <w:sz w:val="18"/>
                <w:szCs w:val="18"/>
                <w:rtl/>
                <w:lang w:eastAsia="he-IL"/>
              </w:rPr>
            </w:pPr>
            <w:r w:rsidRPr="00A10E01">
              <w:rPr>
                <w:color w:val="000000"/>
                <w:sz w:val="18"/>
                <w:szCs w:val="18"/>
                <w:rtl/>
                <w:lang w:eastAsia="he-IL"/>
              </w:rPr>
              <w:t xml:space="preserve">(רווחים) </w:t>
            </w:r>
            <w:r w:rsidRPr="00A10E01">
              <w:rPr>
                <w:rFonts w:hint="eastAsia"/>
                <w:color w:val="000000"/>
                <w:sz w:val="18"/>
                <w:szCs w:val="18"/>
                <w:rtl/>
                <w:lang w:eastAsia="he-IL"/>
              </w:rPr>
              <w:t>הפסדים</w:t>
            </w:r>
            <w:r w:rsidRPr="00A10E01">
              <w:rPr>
                <w:color w:val="000000"/>
                <w:sz w:val="18"/>
                <w:szCs w:val="18"/>
                <w:rtl/>
                <w:lang w:eastAsia="he-IL"/>
              </w:rPr>
              <w:t xml:space="preserve"> </w:t>
            </w:r>
            <w:r w:rsidRPr="00A10E01">
              <w:rPr>
                <w:rFonts w:hint="eastAsia"/>
                <w:color w:val="000000"/>
                <w:sz w:val="18"/>
                <w:szCs w:val="18"/>
                <w:rtl/>
                <w:lang w:eastAsia="he-IL"/>
              </w:rPr>
              <w:t>נטו</w:t>
            </w:r>
            <w:r w:rsidRPr="00A10E01">
              <w:rPr>
                <w:color w:val="000000"/>
                <w:sz w:val="18"/>
                <w:szCs w:val="18"/>
                <w:rtl/>
                <w:lang w:eastAsia="he-IL"/>
              </w:rPr>
              <w:t xml:space="preserve"> </w:t>
            </w:r>
            <w:r w:rsidRPr="00A10E01">
              <w:rPr>
                <w:rFonts w:hint="eastAsia"/>
                <w:color w:val="000000"/>
                <w:sz w:val="18"/>
                <w:szCs w:val="18"/>
                <w:rtl/>
                <w:lang w:eastAsia="he-IL"/>
              </w:rPr>
              <w:t>שסווגו</w:t>
            </w:r>
            <w:r w:rsidRPr="00A10E01">
              <w:rPr>
                <w:color w:val="000000"/>
                <w:sz w:val="18"/>
                <w:szCs w:val="18"/>
                <w:rtl/>
                <w:lang w:eastAsia="he-IL"/>
              </w:rPr>
              <w:t xml:space="preserve"> </w:t>
            </w:r>
            <w:r w:rsidRPr="00A10E01">
              <w:rPr>
                <w:rFonts w:hint="eastAsia"/>
                <w:color w:val="000000"/>
                <w:sz w:val="18"/>
                <w:szCs w:val="18"/>
                <w:rtl/>
                <w:lang w:eastAsia="he-IL"/>
              </w:rPr>
              <w:t>מחדש</w:t>
            </w:r>
            <w:r w:rsidRPr="00A10E01">
              <w:rPr>
                <w:color w:val="000000"/>
                <w:sz w:val="18"/>
                <w:szCs w:val="18"/>
                <w:rtl/>
                <w:lang w:eastAsia="he-IL"/>
              </w:rPr>
              <w:t xml:space="preserve"> </w:t>
            </w:r>
            <w:r w:rsidRPr="00A10E01">
              <w:rPr>
                <w:rFonts w:hint="eastAsia"/>
                <w:color w:val="000000"/>
                <w:sz w:val="18"/>
                <w:szCs w:val="18"/>
                <w:rtl/>
                <w:lang w:eastAsia="he-IL"/>
              </w:rPr>
              <w:t>לדוח</w:t>
            </w:r>
            <w:r w:rsidRPr="00A10E01">
              <w:rPr>
                <w:color w:val="000000"/>
                <w:sz w:val="18"/>
                <w:szCs w:val="18"/>
                <w:rtl/>
                <w:lang w:eastAsia="he-IL"/>
              </w:rPr>
              <w:t xml:space="preserve"> </w:t>
            </w:r>
            <w:r w:rsidRPr="00A10E01">
              <w:rPr>
                <w:rFonts w:hint="eastAsia"/>
                <w:color w:val="000000"/>
                <w:sz w:val="18"/>
                <w:szCs w:val="18"/>
                <w:rtl/>
                <w:lang w:eastAsia="he-IL"/>
              </w:rPr>
              <w:t>רווח</w:t>
            </w:r>
            <w:r w:rsidRPr="00A10E01">
              <w:rPr>
                <w:color w:val="000000"/>
                <w:sz w:val="18"/>
                <w:szCs w:val="18"/>
                <w:rtl/>
                <w:lang w:eastAsia="he-IL"/>
              </w:rPr>
              <w:t xml:space="preserve"> </w:t>
            </w:r>
            <w:r w:rsidRPr="00A10E01">
              <w:rPr>
                <w:rFonts w:hint="eastAsia"/>
                <w:color w:val="000000"/>
                <w:sz w:val="18"/>
                <w:szCs w:val="18"/>
                <w:rtl/>
                <w:lang w:eastAsia="he-IL"/>
              </w:rPr>
              <w:t>והפסד</w:t>
            </w:r>
            <w:r w:rsidRPr="00A10E01">
              <w:rPr>
                <w:color w:val="000000"/>
                <w:sz w:val="18"/>
                <w:szCs w:val="18"/>
                <w:rtl/>
                <w:lang w:eastAsia="he-IL"/>
              </w:rPr>
              <w:t>,</w:t>
            </w:r>
            <w:r w:rsidRPr="00A10E01">
              <w:rPr>
                <w:color w:val="000000"/>
                <w:sz w:val="18"/>
                <w:szCs w:val="18"/>
                <w:vertAlign w:val="superscript"/>
                <w:rtl/>
                <w:lang w:eastAsia="he-IL"/>
              </w:rPr>
              <w:t>(</w:t>
            </w:r>
            <w:r w:rsidR="00287440">
              <w:rPr>
                <w:rFonts w:hint="cs"/>
                <w:color w:val="000000"/>
                <w:sz w:val="18"/>
                <w:szCs w:val="18"/>
                <w:vertAlign w:val="superscript"/>
                <w:rtl/>
                <w:lang w:eastAsia="he-IL"/>
              </w:rPr>
              <w:t>ב</w:t>
            </w:r>
            <w:r w:rsidRPr="00A10E01">
              <w:rPr>
                <w:color w:val="000000"/>
                <w:sz w:val="18"/>
                <w:szCs w:val="18"/>
                <w:vertAlign w:val="superscript"/>
                <w:rtl/>
                <w:lang w:eastAsia="he-IL"/>
              </w:rPr>
              <w:t>)</w:t>
            </w:r>
            <w:r w:rsidRPr="00A10E01">
              <w:rPr>
                <w:color w:val="000000"/>
                <w:sz w:val="18"/>
                <w:szCs w:val="18"/>
                <w:rtl/>
                <w:lang w:eastAsia="he-IL"/>
              </w:rPr>
              <w:t xml:space="preserve"> </w:t>
            </w:r>
            <w:r w:rsidRPr="00A10E01">
              <w:rPr>
                <w:rFonts w:hint="eastAsia"/>
                <w:color w:val="000000"/>
                <w:sz w:val="18"/>
                <w:szCs w:val="18"/>
                <w:rtl/>
                <w:lang w:eastAsia="he-IL"/>
              </w:rPr>
              <w:t>לרבות</w:t>
            </w:r>
            <w:r w:rsidRPr="00A10E01">
              <w:rPr>
                <w:color w:val="000000"/>
                <w:sz w:val="18"/>
                <w:szCs w:val="18"/>
                <w:rtl/>
                <w:lang w:eastAsia="he-IL"/>
              </w:rPr>
              <w:t xml:space="preserve"> בגין </w:t>
            </w:r>
            <w:r>
              <w:rPr>
                <w:color w:val="000000"/>
                <w:sz w:val="18"/>
                <w:szCs w:val="18"/>
                <w:rtl/>
                <w:lang w:eastAsia="he-IL"/>
              </w:rPr>
              <w:br/>
            </w:r>
            <w:r w:rsidRPr="00A10E01">
              <w:rPr>
                <w:rFonts w:hint="eastAsia"/>
                <w:color w:val="000000"/>
                <w:sz w:val="18"/>
                <w:szCs w:val="18"/>
                <w:rtl/>
                <w:lang w:eastAsia="he-IL"/>
              </w:rPr>
              <w:t>מימוש</w:t>
            </w:r>
            <w:r w:rsidRPr="00A10E01">
              <w:rPr>
                <w:color w:val="000000"/>
                <w:sz w:val="18"/>
                <w:szCs w:val="18"/>
                <w:rtl/>
                <w:lang w:eastAsia="he-IL"/>
              </w:rPr>
              <w:t xml:space="preserve"> </w:t>
            </w:r>
            <w:r w:rsidRPr="00A10E01">
              <w:rPr>
                <w:rFonts w:hint="eastAsia"/>
                <w:color w:val="000000"/>
                <w:sz w:val="18"/>
                <w:szCs w:val="18"/>
                <w:rtl/>
                <w:lang w:eastAsia="he-IL"/>
              </w:rPr>
              <w:t>פעילות</w:t>
            </w:r>
          </w:p>
        </w:tc>
        <w:tc>
          <w:tcPr>
            <w:tcW w:w="685" w:type="dxa"/>
            <w:tcMar>
              <w:left w:w="58" w:type="dxa"/>
              <w:right w:w="58" w:type="dxa"/>
            </w:tcMar>
            <w:vAlign w:val="bottom"/>
          </w:tcPr>
          <w:p w14:paraId="0A9B0914"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827" w:type="dxa"/>
            <w:vAlign w:val="bottom"/>
          </w:tcPr>
          <w:p w14:paraId="78B7F078"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9" w:type="dxa"/>
            <w:vAlign w:val="bottom"/>
          </w:tcPr>
          <w:p w14:paraId="4391323D"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7" w:type="dxa"/>
            <w:tcMar>
              <w:left w:w="58" w:type="dxa"/>
              <w:right w:w="58" w:type="dxa"/>
            </w:tcMar>
            <w:vAlign w:val="bottom"/>
          </w:tcPr>
          <w:p w14:paraId="344137BC"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827" w:type="dxa"/>
            <w:vAlign w:val="bottom"/>
          </w:tcPr>
          <w:p w14:paraId="4503FE83"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9" w:type="dxa"/>
            <w:tcBorders>
              <w:right w:val="nil"/>
            </w:tcBorders>
            <w:vAlign w:val="bottom"/>
          </w:tcPr>
          <w:p w14:paraId="4547D1EA"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r>
      <w:tr w:rsidR="00D0470C" w:rsidRPr="00A10E01" w14:paraId="1199D30B" w14:textId="77777777" w:rsidTr="003765C0">
        <w:trPr>
          <w:trHeight w:val="259"/>
          <w:jc w:val="right"/>
        </w:trPr>
        <w:tc>
          <w:tcPr>
            <w:tcW w:w="5803" w:type="dxa"/>
            <w:vAlign w:val="bottom"/>
          </w:tcPr>
          <w:p w14:paraId="708EA22F" w14:textId="77777777" w:rsidR="00F32A2A" w:rsidRDefault="00D0470C" w:rsidP="004C69D8">
            <w:pPr>
              <w:spacing w:before="20" w:line="220" w:lineRule="exact"/>
              <w:ind w:left="35" w:firstLine="284"/>
              <w:jc w:val="left"/>
              <w:rPr>
                <w:b/>
                <w:bCs/>
                <w:color w:val="000000"/>
                <w:sz w:val="18"/>
                <w:szCs w:val="18"/>
                <w:rtl/>
                <w:lang w:eastAsia="he-IL"/>
              </w:rPr>
            </w:pPr>
            <w:r w:rsidRPr="00A10E01">
              <w:rPr>
                <w:b/>
                <w:bCs/>
                <w:color w:val="000000"/>
                <w:sz w:val="18"/>
                <w:szCs w:val="18"/>
                <w:rtl/>
                <w:lang w:eastAsia="he-IL"/>
              </w:rPr>
              <w:t xml:space="preserve">שינוי נטו במהלך </w:t>
            </w:r>
            <w:r>
              <w:rPr>
                <w:rFonts w:hint="cs"/>
                <w:b/>
                <w:bCs/>
                <w:color w:val="000000"/>
                <w:sz w:val="18"/>
                <w:szCs w:val="18"/>
                <w:rtl/>
                <w:lang w:eastAsia="he-IL"/>
              </w:rPr>
              <w:t>התקופה</w:t>
            </w:r>
          </w:p>
        </w:tc>
        <w:tc>
          <w:tcPr>
            <w:tcW w:w="685" w:type="dxa"/>
            <w:tcBorders>
              <w:bottom w:val="nil"/>
            </w:tcBorders>
            <w:tcMar>
              <w:left w:w="58" w:type="dxa"/>
              <w:right w:w="58" w:type="dxa"/>
            </w:tcMar>
            <w:vAlign w:val="bottom"/>
          </w:tcPr>
          <w:p w14:paraId="2AF0DF6F"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7" w:type="dxa"/>
            <w:tcBorders>
              <w:bottom w:val="nil"/>
            </w:tcBorders>
            <w:vAlign w:val="bottom"/>
          </w:tcPr>
          <w:p w14:paraId="75B870A0"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9" w:type="dxa"/>
            <w:tcBorders>
              <w:bottom w:val="nil"/>
            </w:tcBorders>
            <w:vAlign w:val="bottom"/>
          </w:tcPr>
          <w:p w14:paraId="3FC59905"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7" w:type="dxa"/>
            <w:tcBorders>
              <w:bottom w:val="nil"/>
            </w:tcBorders>
            <w:tcMar>
              <w:left w:w="58" w:type="dxa"/>
              <w:right w:w="58" w:type="dxa"/>
            </w:tcMar>
            <w:vAlign w:val="bottom"/>
          </w:tcPr>
          <w:p w14:paraId="1A8C2810"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7" w:type="dxa"/>
            <w:tcBorders>
              <w:bottom w:val="nil"/>
            </w:tcBorders>
            <w:vAlign w:val="bottom"/>
          </w:tcPr>
          <w:p w14:paraId="0DE9C016"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9" w:type="dxa"/>
            <w:tcBorders>
              <w:bottom w:val="nil"/>
              <w:right w:val="nil"/>
            </w:tcBorders>
            <w:vAlign w:val="bottom"/>
          </w:tcPr>
          <w:p w14:paraId="5B7AD066"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r>
      <w:tr w:rsidR="00D0470C" w:rsidRPr="00A10E01" w14:paraId="6EEF95C9" w14:textId="77777777" w:rsidTr="003765C0">
        <w:trPr>
          <w:jc w:val="right"/>
        </w:trPr>
        <w:tc>
          <w:tcPr>
            <w:tcW w:w="5803" w:type="dxa"/>
            <w:tcBorders>
              <w:bottom w:val="nil"/>
            </w:tcBorders>
            <w:vAlign w:val="bottom"/>
          </w:tcPr>
          <w:p w14:paraId="5541F562" w14:textId="77777777" w:rsidR="00F32A2A" w:rsidRDefault="00F32A2A" w:rsidP="004C69D8">
            <w:pPr>
              <w:spacing w:line="40" w:lineRule="exact"/>
              <w:ind w:left="461" w:hanging="79"/>
              <w:jc w:val="left"/>
              <w:rPr>
                <w:b/>
                <w:bCs/>
                <w:color w:val="000000"/>
                <w:sz w:val="18"/>
                <w:szCs w:val="18"/>
                <w:rtl/>
                <w:lang w:eastAsia="he-IL"/>
              </w:rPr>
            </w:pPr>
          </w:p>
        </w:tc>
        <w:tc>
          <w:tcPr>
            <w:tcW w:w="685" w:type="dxa"/>
            <w:tcMar>
              <w:left w:w="58" w:type="dxa"/>
              <w:right w:w="58" w:type="dxa"/>
            </w:tcMar>
            <w:vAlign w:val="bottom"/>
          </w:tcPr>
          <w:p w14:paraId="5E6F86C4" w14:textId="77777777" w:rsidR="00F32A2A" w:rsidRDefault="00F32A2A">
            <w:pPr>
              <w:spacing w:line="40" w:lineRule="exact"/>
              <w:rPr>
                <w:sz w:val="18"/>
                <w:szCs w:val="18"/>
                <w:rtl/>
              </w:rPr>
            </w:pPr>
          </w:p>
        </w:tc>
        <w:tc>
          <w:tcPr>
            <w:tcW w:w="827" w:type="dxa"/>
            <w:vAlign w:val="bottom"/>
          </w:tcPr>
          <w:p w14:paraId="7792090E" w14:textId="77777777" w:rsidR="00F32A2A" w:rsidRDefault="00F32A2A">
            <w:pPr>
              <w:spacing w:line="40" w:lineRule="exact"/>
              <w:rPr>
                <w:sz w:val="18"/>
                <w:szCs w:val="18"/>
                <w:rtl/>
              </w:rPr>
            </w:pPr>
          </w:p>
        </w:tc>
        <w:tc>
          <w:tcPr>
            <w:tcW w:w="689" w:type="dxa"/>
            <w:vAlign w:val="bottom"/>
          </w:tcPr>
          <w:p w14:paraId="387267F4" w14:textId="77777777" w:rsidR="00F32A2A" w:rsidRDefault="00F32A2A">
            <w:pPr>
              <w:spacing w:line="40" w:lineRule="exact"/>
              <w:rPr>
                <w:sz w:val="18"/>
                <w:szCs w:val="18"/>
                <w:rtl/>
              </w:rPr>
            </w:pPr>
          </w:p>
        </w:tc>
        <w:tc>
          <w:tcPr>
            <w:tcW w:w="687" w:type="dxa"/>
            <w:tcMar>
              <w:left w:w="58" w:type="dxa"/>
              <w:right w:w="58" w:type="dxa"/>
            </w:tcMar>
            <w:vAlign w:val="bottom"/>
          </w:tcPr>
          <w:p w14:paraId="180ADDE0" w14:textId="77777777" w:rsidR="00F32A2A" w:rsidRDefault="00F32A2A">
            <w:pPr>
              <w:spacing w:line="40" w:lineRule="exact"/>
              <w:rPr>
                <w:sz w:val="18"/>
                <w:szCs w:val="18"/>
                <w:rtl/>
              </w:rPr>
            </w:pPr>
          </w:p>
        </w:tc>
        <w:tc>
          <w:tcPr>
            <w:tcW w:w="827" w:type="dxa"/>
            <w:vAlign w:val="bottom"/>
          </w:tcPr>
          <w:p w14:paraId="73EE92DE" w14:textId="77777777" w:rsidR="00F32A2A" w:rsidRDefault="00F32A2A">
            <w:pPr>
              <w:spacing w:line="40" w:lineRule="exact"/>
              <w:rPr>
                <w:sz w:val="18"/>
                <w:szCs w:val="18"/>
                <w:rtl/>
              </w:rPr>
            </w:pPr>
          </w:p>
        </w:tc>
        <w:tc>
          <w:tcPr>
            <w:tcW w:w="689" w:type="dxa"/>
            <w:tcBorders>
              <w:right w:val="nil"/>
            </w:tcBorders>
            <w:vAlign w:val="bottom"/>
          </w:tcPr>
          <w:p w14:paraId="22854D34" w14:textId="77777777" w:rsidR="00F32A2A" w:rsidRDefault="00F32A2A">
            <w:pPr>
              <w:spacing w:line="40" w:lineRule="exact"/>
              <w:rPr>
                <w:sz w:val="18"/>
                <w:szCs w:val="18"/>
                <w:rtl/>
              </w:rPr>
            </w:pPr>
          </w:p>
        </w:tc>
      </w:tr>
      <w:tr w:rsidR="00B24CA9" w:rsidRPr="00A10E01" w14:paraId="7B0B4541" w14:textId="77777777" w:rsidTr="004836CE">
        <w:trPr>
          <w:trHeight w:val="259"/>
          <w:jc w:val="right"/>
        </w:trPr>
        <w:tc>
          <w:tcPr>
            <w:tcW w:w="5803" w:type="dxa"/>
            <w:tcBorders>
              <w:left w:val="nil"/>
            </w:tcBorders>
            <w:vAlign w:val="bottom"/>
          </w:tcPr>
          <w:p w14:paraId="78522E50" w14:textId="77777777" w:rsidR="00B24CA9" w:rsidRPr="00B24CA9" w:rsidRDefault="00B24CA9" w:rsidP="004C69D8">
            <w:pPr>
              <w:spacing w:before="20" w:line="220" w:lineRule="exact"/>
              <w:ind w:left="35" w:firstLine="284"/>
              <w:jc w:val="left"/>
              <w:rPr>
                <w:b/>
                <w:bCs/>
                <w:color w:val="000000"/>
                <w:sz w:val="18"/>
                <w:szCs w:val="18"/>
                <w:rtl/>
                <w:lang w:eastAsia="he-IL"/>
              </w:rPr>
            </w:pPr>
            <w:r w:rsidRPr="004C69D8">
              <w:rPr>
                <w:rFonts w:hint="cs"/>
                <w:b/>
                <w:bCs/>
                <w:color w:val="000000"/>
                <w:sz w:val="18"/>
                <w:szCs w:val="18"/>
                <w:rtl/>
                <w:lang w:eastAsia="he-IL"/>
              </w:rPr>
              <w:t>התאמות</w:t>
            </w:r>
            <w:r w:rsidRPr="00EA192D">
              <w:rPr>
                <w:rFonts w:hint="cs"/>
                <w:b/>
                <w:bCs/>
                <w:sz w:val="18"/>
                <w:szCs w:val="18"/>
                <w:rtl/>
              </w:rPr>
              <w:t xml:space="preserve"> בגין גידורי שווי הוגן</w:t>
            </w:r>
            <w:r>
              <w:rPr>
                <w:rFonts w:hint="cs"/>
                <w:b/>
                <w:bCs/>
                <w:color w:val="000000"/>
                <w:sz w:val="18"/>
                <w:szCs w:val="18"/>
                <w:rtl/>
                <w:lang w:eastAsia="he-IL"/>
              </w:rPr>
              <w:t>:</w:t>
            </w:r>
          </w:p>
        </w:tc>
        <w:tc>
          <w:tcPr>
            <w:tcW w:w="685" w:type="dxa"/>
            <w:tcMar>
              <w:left w:w="58" w:type="dxa"/>
              <w:right w:w="58" w:type="dxa"/>
            </w:tcMar>
            <w:vAlign w:val="bottom"/>
          </w:tcPr>
          <w:p w14:paraId="03C79B4B" w14:textId="77777777" w:rsidR="00B24CA9" w:rsidRPr="00A10E01" w:rsidRDefault="00B24CA9" w:rsidP="006F3019">
            <w:pPr>
              <w:spacing w:line="220" w:lineRule="exact"/>
              <w:rPr>
                <w:sz w:val="18"/>
                <w:szCs w:val="18"/>
                <w:rtl/>
              </w:rPr>
            </w:pPr>
          </w:p>
        </w:tc>
        <w:tc>
          <w:tcPr>
            <w:tcW w:w="827" w:type="dxa"/>
            <w:vAlign w:val="bottom"/>
          </w:tcPr>
          <w:p w14:paraId="1B9D32D6" w14:textId="77777777" w:rsidR="00B24CA9" w:rsidRPr="00A10E01" w:rsidRDefault="00B24CA9" w:rsidP="006F3019">
            <w:pPr>
              <w:spacing w:line="220" w:lineRule="exact"/>
              <w:rPr>
                <w:sz w:val="18"/>
                <w:szCs w:val="18"/>
                <w:rtl/>
              </w:rPr>
            </w:pPr>
          </w:p>
        </w:tc>
        <w:tc>
          <w:tcPr>
            <w:tcW w:w="689" w:type="dxa"/>
            <w:vAlign w:val="bottom"/>
          </w:tcPr>
          <w:p w14:paraId="78B4041F" w14:textId="77777777" w:rsidR="00B24CA9" w:rsidRPr="00A10E01" w:rsidRDefault="00B24CA9" w:rsidP="006F3019">
            <w:pPr>
              <w:spacing w:line="220" w:lineRule="exact"/>
              <w:rPr>
                <w:sz w:val="18"/>
                <w:szCs w:val="18"/>
                <w:rtl/>
              </w:rPr>
            </w:pPr>
          </w:p>
        </w:tc>
        <w:tc>
          <w:tcPr>
            <w:tcW w:w="687" w:type="dxa"/>
            <w:tcMar>
              <w:left w:w="58" w:type="dxa"/>
              <w:right w:w="58" w:type="dxa"/>
            </w:tcMar>
            <w:vAlign w:val="bottom"/>
          </w:tcPr>
          <w:p w14:paraId="2D0F04EF" w14:textId="77777777" w:rsidR="00B24CA9" w:rsidRPr="00A10E01" w:rsidRDefault="00B24CA9" w:rsidP="006F3019">
            <w:pPr>
              <w:spacing w:line="220" w:lineRule="exact"/>
              <w:rPr>
                <w:sz w:val="18"/>
                <w:szCs w:val="18"/>
                <w:rtl/>
              </w:rPr>
            </w:pPr>
          </w:p>
        </w:tc>
        <w:tc>
          <w:tcPr>
            <w:tcW w:w="827" w:type="dxa"/>
            <w:vAlign w:val="bottom"/>
          </w:tcPr>
          <w:p w14:paraId="343D1F6A" w14:textId="77777777" w:rsidR="00B24CA9" w:rsidRPr="00A10E01" w:rsidRDefault="00B24CA9" w:rsidP="006F3019">
            <w:pPr>
              <w:spacing w:line="220" w:lineRule="exact"/>
              <w:rPr>
                <w:sz w:val="18"/>
                <w:szCs w:val="18"/>
                <w:rtl/>
              </w:rPr>
            </w:pPr>
          </w:p>
        </w:tc>
        <w:tc>
          <w:tcPr>
            <w:tcW w:w="689" w:type="dxa"/>
            <w:tcBorders>
              <w:bottom w:val="nil"/>
              <w:right w:val="nil"/>
            </w:tcBorders>
            <w:vAlign w:val="bottom"/>
          </w:tcPr>
          <w:p w14:paraId="27EAF023" w14:textId="77777777" w:rsidR="00B24CA9" w:rsidRPr="00A10E01" w:rsidRDefault="00B24CA9" w:rsidP="006F3019">
            <w:pPr>
              <w:spacing w:line="220" w:lineRule="exact"/>
              <w:rPr>
                <w:sz w:val="18"/>
                <w:szCs w:val="18"/>
                <w:rtl/>
              </w:rPr>
            </w:pPr>
          </w:p>
        </w:tc>
      </w:tr>
      <w:tr w:rsidR="003765C0" w:rsidRPr="00A10E01" w14:paraId="5812016A" w14:textId="77777777" w:rsidTr="004836CE">
        <w:trPr>
          <w:trHeight w:val="259"/>
          <w:jc w:val="right"/>
        </w:trPr>
        <w:tc>
          <w:tcPr>
            <w:tcW w:w="5803" w:type="dxa"/>
            <w:tcBorders>
              <w:left w:val="nil"/>
            </w:tcBorders>
            <w:vAlign w:val="bottom"/>
          </w:tcPr>
          <w:p w14:paraId="7A6CC6F2" w14:textId="77777777" w:rsidR="003765C0" w:rsidRPr="00B24CA9" w:rsidRDefault="003765C0" w:rsidP="003765C0">
            <w:pPr>
              <w:spacing w:before="22" w:after="22" w:line="220" w:lineRule="exact"/>
              <w:ind w:left="461" w:hanging="79"/>
              <w:jc w:val="left"/>
              <w:rPr>
                <w:b/>
                <w:bCs/>
                <w:sz w:val="18"/>
                <w:szCs w:val="18"/>
                <w:rtl/>
              </w:rPr>
            </w:pPr>
            <w:r w:rsidRPr="0019460D">
              <w:rPr>
                <w:rFonts w:hint="cs"/>
                <w:sz w:val="18"/>
                <w:szCs w:val="18"/>
                <w:rtl/>
              </w:rPr>
              <w:t xml:space="preserve">השינוי נטו במרכיב שלא נכלל בהערכת אפקטיביות הגידור </w:t>
            </w:r>
          </w:p>
        </w:tc>
        <w:tc>
          <w:tcPr>
            <w:tcW w:w="685" w:type="dxa"/>
            <w:tcMar>
              <w:left w:w="58" w:type="dxa"/>
              <w:right w:w="58" w:type="dxa"/>
            </w:tcMar>
            <w:vAlign w:val="bottom"/>
          </w:tcPr>
          <w:p w14:paraId="3A192754" w14:textId="77777777" w:rsidR="003765C0" w:rsidRPr="00A10E01" w:rsidRDefault="003765C0" w:rsidP="003765C0">
            <w:pPr>
              <w:spacing w:after="20" w:line="220" w:lineRule="exact"/>
              <w:rPr>
                <w:sz w:val="18"/>
                <w:szCs w:val="18"/>
                <w:rtl/>
              </w:rPr>
            </w:pPr>
            <w:r w:rsidRPr="00A10E01">
              <w:rPr>
                <w:sz w:val="18"/>
                <w:szCs w:val="18"/>
                <w:rtl/>
              </w:rPr>
              <w:t xml:space="preserve"> 0</w:t>
            </w:r>
          </w:p>
        </w:tc>
        <w:tc>
          <w:tcPr>
            <w:tcW w:w="827" w:type="dxa"/>
            <w:vAlign w:val="bottom"/>
          </w:tcPr>
          <w:p w14:paraId="72068D44" w14:textId="77777777" w:rsidR="003765C0" w:rsidRPr="00A10E01" w:rsidRDefault="003765C0" w:rsidP="003765C0">
            <w:pPr>
              <w:spacing w:after="20" w:line="220" w:lineRule="exact"/>
              <w:rPr>
                <w:sz w:val="18"/>
                <w:szCs w:val="18"/>
                <w:rtl/>
              </w:rPr>
            </w:pPr>
            <w:r w:rsidRPr="00A10E01">
              <w:rPr>
                <w:sz w:val="18"/>
                <w:szCs w:val="18"/>
                <w:rtl/>
              </w:rPr>
              <w:t xml:space="preserve"> 0</w:t>
            </w:r>
          </w:p>
        </w:tc>
        <w:tc>
          <w:tcPr>
            <w:tcW w:w="689" w:type="dxa"/>
            <w:vAlign w:val="bottom"/>
          </w:tcPr>
          <w:p w14:paraId="00665C0C" w14:textId="77777777" w:rsidR="003765C0" w:rsidRPr="00A10E01" w:rsidRDefault="003765C0" w:rsidP="003765C0">
            <w:pPr>
              <w:spacing w:after="20" w:line="220" w:lineRule="exact"/>
              <w:rPr>
                <w:sz w:val="18"/>
                <w:szCs w:val="18"/>
                <w:rtl/>
              </w:rPr>
            </w:pPr>
            <w:r w:rsidRPr="00A10E01">
              <w:rPr>
                <w:sz w:val="18"/>
                <w:szCs w:val="18"/>
                <w:rtl/>
              </w:rPr>
              <w:t xml:space="preserve"> 0</w:t>
            </w:r>
          </w:p>
        </w:tc>
        <w:tc>
          <w:tcPr>
            <w:tcW w:w="687" w:type="dxa"/>
            <w:tcMar>
              <w:left w:w="58" w:type="dxa"/>
              <w:right w:w="58" w:type="dxa"/>
            </w:tcMar>
            <w:vAlign w:val="bottom"/>
          </w:tcPr>
          <w:p w14:paraId="71E5F307" w14:textId="08D8BDEA" w:rsidR="003765C0" w:rsidRPr="00A10E01" w:rsidRDefault="003765C0" w:rsidP="003765C0">
            <w:pPr>
              <w:spacing w:after="20" w:line="220" w:lineRule="exact"/>
              <w:rPr>
                <w:sz w:val="18"/>
                <w:szCs w:val="18"/>
                <w:rtl/>
              </w:rPr>
            </w:pPr>
            <w:r w:rsidRPr="00A10E01">
              <w:rPr>
                <w:sz w:val="18"/>
                <w:szCs w:val="18"/>
                <w:rtl/>
              </w:rPr>
              <w:t xml:space="preserve"> 0</w:t>
            </w:r>
          </w:p>
        </w:tc>
        <w:tc>
          <w:tcPr>
            <w:tcW w:w="827" w:type="dxa"/>
            <w:vAlign w:val="bottom"/>
          </w:tcPr>
          <w:p w14:paraId="1DA93601" w14:textId="0D18AAC5" w:rsidR="003765C0" w:rsidRPr="00A10E01" w:rsidRDefault="003765C0" w:rsidP="003765C0">
            <w:pPr>
              <w:spacing w:after="20" w:line="220" w:lineRule="exact"/>
              <w:rPr>
                <w:sz w:val="18"/>
                <w:szCs w:val="18"/>
                <w:rtl/>
              </w:rPr>
            </w:pPr>
            <w:r w:rsidRPr="00A10E01">
              <w:rPr>
                <w:sz w:val="18"/>
                <w:szCs w:val="18"/>
                <w:rtl/>
              </w:rPr>
              <w:t xml:space="preserve"> 0</w:t>
            </w:r>
          </w:p>
        </w:tc>
        <w:tc>
          <w:tcPr>
            <w:tcW w:w="689" w:type="dxa"/>
            <w:tcBorders>
              <w:right w:val="nil"/>
            </w:tcBorders>
            <w:vAlign w:val="bottom"/>
          </w:tcPr>
          <w:p w14:paraId="7F8979C9" w14:textId="1518FFE0" w:rsidR="003765C0" w:rsidRPr="00A10E01" w:rsidRDefault="003765C0" w:rsidP="003765C0">
            <w:pPr>
              <w:spacing w:after="20" w:line="220" w:lineRule="exact"/>
              <w:rPr>
                <w:sz w:val="18"/>
                <w:szCs w:val="18"/>
                <w:rtl/>
              </w:rPr>
            </w:pPr>
            <w:r w:rsidRPr="00A10E01">
              <w:rPr>
                <w:sz w:val="18"/>
                <w:szCs w:val="18"/>
                <w:rtl/>
              </w:rPr>
              <w:t xml:space="preserve"> 0</w:t>
            </w:r>
          </w:p>
        </w:tc>
      </w:tr>
      <w:tr w:rsidR="00D0470C" w:rsidRPr="00A10E01" w14:paraId="1E354505" w14:textId="77777777" w:rsidTr="003765C0">
        <w:trPr>
          <w:trHeight w:val="259"/>
          <w:jc w:val="right"/>
        </w:trPr>
        <w:tc>
          <w:tcPr>
            <w:tcW w:w="5803" w:type="dxa"/>
            <w:vAlign w:val="bottom"/>
          </w:tcPr>
          <w:p w14:paraId="45CD20D7" w14:textId="77777777" w:rsidR="00F32A2A" w:rsidRDefault="00D0470C" w:rsidP="004C69D8">
            <w:pPr>
              <w:spacing w:before="20" w:line="220" w:lineRule="exact"/>
              <w:ind w:left="35" w:firstLine="284"/>
              <w:jc w:val="left"/>
              <w:rPr>
                <w:b/>
                <w:bCs/>
                <w:color w:val="000000"/>
                <w:sz w:val="18"/>
                <w:szCs w:val="18"/>
                <w:rtl/>
                <w:lang w:eastAsia="he-IL"/>
              </w:rPr>
            </w:pPr>
            <w:r w:rsidRPr="00A10E01">
              <w:rPr>
                <w:rFonts w:hint="eastAsia"/>
                <w:b/>
                <w:bCs/>
                <w:color w:val="000000"/>
                <w:sz w:val="18"/>
                <w:szCs w:val="18"/>
                <w:rtl/>
                <w:lang w:eastAsia="he-IL"/>
              </w:rPr>
              <w:t>גידור</w:t>
            </w:r>
            <w:r w:rsidRPr="00A10E01">
              <w:rPr>
                <w:b/>
                <w:bCs/>
                <w:color w:val="000000"/>
                <w:sz w:val="18"/>
                <w:szCs w:val="18"/>
                <w:rtl/>
                <w:lang w:eastAsia="he-IL"/>
              </w:rPr>
              <w:t xml:space="preserve"> </w:t>
            </w:r>
            <w:r w:rsidRPr="00A10E01">
              <w:rPr>
                <w:rFonts w:hint="eastAsia"/>
                <w:b/>
                <w:bCs/>
                <w:color w:val="000000"/>
                <w:sz w:val="18"/>
                <w:szCs w:val="18"/>
                <w:rtl/>
                <w:lang w:eastAsia="he-IL"/>
              </w:rPr>
              <w:t>תזרימי</w:t>
            </w:r>
            <w:r w:rsidRPr="00A10E01">
              <w:rPr>
                <w:b/>
                <w:bCs/>
                <w:color w:val="000000"/>
                <w:sz w:val="18"/>
                <w:szCs w:val="18"/>
                <w:rtl/>
                <w:lang w:eastAsia="he-IL"/>
              </w:rPr>
              <w:t xml:space="preserve"> </w:t>
            </w:r>
            <w:r w:rsidRPr="00A10E01">
              <w:rPr>
                <w:rFonts w:hint="eastAsia"/>
                <w:b/>
                <w:bCs/>
                <w:color w:val="000000"/>
                <w:sz w:val="18"/>
                <w:szCs w:val="18"/>
                <w:rtl/>
                <w:lang w:eastAsia="he-IL"/>
              </w:rPr>
              <w:t>מזומנים</w:t>
            </w:r>
            <w:r w:rsidRPr="00A10E01">
              <w:rPr>
                <w:b/>
                <w:bCs/>
                <w:color w:val="000000"/>
                <w:sz w:val="18"/>
                <w:szCs w:val="18"/>
                <w:rtl/>
                <w:lang w:eastAsia="he-IL"/>
              </w:rPr>
              <w:t>:</w:t>
            </w:r>
          </w:p>
        </w:tc>
        <w:tc>
          <w:tcPr>
            <w:tcW w:w="685" w:type="dxa"/>
            <w:tcMar>
              <w:left w:w="58" w:type="dxa"/>
              <w:right w:w="58" w:type="dxa"/>
            </w:tcMar>
            <w:vAlign w:val="bottom"/>
          </w:tcPr>
          <w:p w14:paraId="6971B012" w14:textId="77777777" w:rsidR="00D0470C" w:rsidRPr="00A10E01" w:rsidRDefault="00D0470C" w:rsidP="006F3019">
            <w:pPr>
              <w:spacing w:line="220" w:lineRule="exact"/>
              <w:rPr>
                <w:sz w:val="18"/>
                <w:szCs w:val="18"/>
                <w:rtl/>
              </w:rPr>
            </w:pPr>
          </w:p>
        </w:tc>
        <w:tc>
          <w:tcPr>
            <w:tcW w:w="827" w:type="dxa"/>
            <w:vAlign w:val="bottom"/>
          </w:tcPr>
          <w:p w14:paraId="497C85D2" w14:textId="77777777" w:rsidR="00D0470C" w:rsidRPr="00A10E01" w:rsidRDefault="00D0470C" w:rsidP="006F3019">
            <w:pPr>
              <w:spacing w:line="220" w:lineRule="exact"/>
              <w:rPr>
                <w:sz w:val="18"/>
                <w:szCs w:val="18"/>
                <w:rtl/>
              </w:rPr>
            </w:pPr>
          </w:p>
        </w:tc>
        <w:tc>
          <w:tcPr>
            <w:tcW w:w="689" w:type="dxa"/>
            <w:vAlign w:val="bottom"/>
          </w:tcPr>
          <w:p w14:paraId="4926969D" w14:textId="77777777" w:rsidR="00D0470C" w:rsidRPr="00A10E01" w:rsidRDefault="00D0470C" w:rsidP="006F3019">
            <w:pPr>
              <w:spacing w:line="220" w:lineRule="exact"/>
              <w:rPr>
                <w:sz w:val="18"/>
                <w:szCs w:val="18"/>
                <w:rtl/>
              </w:rPr>
            </w:pPr>
          </w:p>
        </w:tc>
        <w:tc>
          <w:tcPr>
            <w:tcW w:w="687" w:type="dxa"/>
            <w:tcMar>
              <w:left w:w="58" w:type="dxa"/>
              <w:right w:w="58" w:type="dxa"/>
            </w:tcMar>
            <w:vAlign w:val="bottom"/>
          </w:tcPr>
          <w:p w14:paraId="686CF041" w14:textId="77777777" w:rsidR="00D0470C" w:rsidRPr="00A10E01" w:rsidRDefault="00D0470C" w:rsidP="006F3019">
            <w:pPr>
              <w:spacing w:line="220" w:lineRule="exact"/>
              <w:rPr>
                <w:sz w:val="18"/>
                <w:szCs w:val="18"/>
                <w:rtl/>
              </w:rPr>
            </w:pPr>
          </w:p>
        </w:tc>
        <w:tc>
          <w:tcPr>
            <w:tcW w:w="827" w:type="dxa"/>
            <w:vAlign w:val="bottom"/>
          </w:tcPr>
          <w:p w14:paraId="3649EB0B" w14:textId="77777777" w:rsidR="00D0470C" w:rsidRPr="00A10E01" w:rsidRDefault="00D0470C" w:rsidP="006F3019">
            <w:pPr>
              <w:spacing w:line="220" w:lineRule="exact"/>
              <w:rPr>
                <w:sz w:val="18"/>
                <w:szCs w:val="18"/>
                <w:rtl/>
              </w:rPr>
            </w:pPr>
          </w:p>
        </w:tc>
        <w:tc>
          <w:tcPr>
            <w:tcW w:w="689" w:type="dxa"/>
            <w:tcBorders>
              <w:right w:val="nil"/>
            </w:tcBorders>
            <w:vAlign w:val="bottom"/>
          </w:tcPr>
          <w:p w14:paraId="4CCAE162" w14:textId="77777777" w:rsidR="00D0470C" w:rsidRPr="00A10E01" w:rsidRDefault="00D0470C" w:rsidP="006F3019">
            <w:pPr>
              <w:spacing w:line="220" w:lineRule="exact"/>
              <w:rPr>
                <w:sz w:val="18"/>
                <w:szCs w:val="18"/>
                <w:rtl/>
              </w:rPr>
            </w:pPr>
          </w:p>
        </w:tc>
      </w:tr>
      <w:tr w:rsidR="00D0470C" w:rsidRPr="00A10E01" w14:paraId="55CCCF84" w14:textId="77777777" w:rsidTr="003765C0">
        <w:trPr>
          <w:trHeight w:val="259"/>
          <w:jc w:val="right"/>
        </w:trPr>
        <w:tc>
          <w:tcPr>
            <w:tcW w:w="5803" w:type="dxa"/>
            <w:vAlign w:val="bottom"/>
          </w:tcPr>
          <w:p w14:paraId="7CA5912D" w14:textId="77777777" w:rsidR="00F32A2A" w:rsidRDefault="00D0470C" w:rsidP="004C69D8">
            <w:pPr>
              <w:spacing w:before="20" w:line="220" w:lineRule="exact"/>
              <w:ind w:left="461" w:hanging="142"/>
              <w:jc w:val="left"/>
              <w:rPr>
                <w:color w:val="000000"/>
                <w:sz w:val="18"/>
                <w:szCs w:val="18"/>
                <w:rtl/>
                <w:lang w:eastAsia="he-IL"/>
              </w:rPr>
            </w:pPr>
            <w:r w:rsidRPr="00A10E01">
              <w:rPr>
                <w:color w:val="000000"/>
                <w:sz w:val="18"/>
                <w:szCs w:val="18"/>
                <w:rtl/>
                <w:lang w:eastAsia="he-IL"/>
              </w:rPr>
              <w:t>רווחים (הפסדים) נטו בגין גידורי</w:t>
            </w:r>
            <w:r w:rsidRPr="00A10E01">
              <w:rPr>
                <w:rFonts w:hint="cs"/>
                <w:color w:val="000000"/>
                <w:sz w:val="18"/>
                <w:szCs w:val="18"/>
                <w:rtl/>
                <w:lang w:eastAsia="he-IL"/>
              </w:rPr>
              <w:t xml:space="preserve"> </w:t>
            </w:r>
            <w:r w:rsidRPr="00A10E01">
              <w:rPr>
                <w:color w:val="000000"/>
                <w:sz w:val="18"/>
                <w:szCs w:val="18"/>
                <w:rtl/>
                <w:lang w:eastAsia="he-IL"/>
              </w:rPr>
              <w:t>תזרים מזומנים</w:t>
            </w:r>
          </w:p>
        </w:tc>
        <w:tc>
          <w:tcPr>
            <w:tcW w:w="685" w:type="dxa"/>
            <w:tcMar>
              <w:left w:w="58" w:type="dxa"/>
              <w:right w:w="58" w:type="dxa"/>
            </w:tcMar>
            <w:vAlign w:val="bottom"/>
          </w:tcPr>
          <w:p w14:paraId="76BF6CAC" w14:textId="77777777" w:rsidR="00D0470C" w:rsidRPr="00A10E01" w:rsidRDefault="00D0470C" w:rsidP="006F3019">
            <w:pPr>
              <w:spacing w:after="20" w:line="220" w:lineRule="exact"/>
              <w:rPr>
                <w:sz w:val="18"/>
                <w:szCs w:val="18"/>
                <w:rtl/>
              </w:rPr>
            </w:pPr>
            <w:r w:rsidRPr="00A10E01">
              <w:rPr>
                <w:sz w:val="18"/>
                <w:szCs w:val="18"/>
                <w:rtl/>
              </w:rPr>
              <w:t xml:space="preserve"> 0</w:t>
            </w:r>
          </w:p>
        </w:tc>
        <w:tc>
          <w:tcPr>
            <w:tcW w:w="827" w:type="dxa"/>
            <w:vAlign w:val="bottom"/>
          </w:tcPr>
          <w:p w14:paraId="28B8F01B" w14:textId="77777777" w:rsidR="00D0470C" w:rsidRPr="00A10E01" w:rsidRDefault="00D0470C" w:rsidP="006F3019">
            <w:pPr>
              <w:spacing w:after="20" w:line="220" w:lineRule="exact"/>
              <w:rPr>
                <w:sz w:val="18"/>
                <w:szCs w:val="18"/>
                <w:rtl/>
              </w:rPr>
            </w:pPr>
            <w:r w:rsidRPr="00A10E01">
              <w:rPr>
                <w:sz w:val="18"/>
                <w:szCs w:val="18"/>
                <w:rtl/>
              </w:rPr>
              <w:t xml:space="preserve"> 0</w:t>
            </w:r>
          </w:p>
        </w:tc>
        <w:tc>
          <w:tcPr>
            <w:tcW w:w="689" w:type="dxa"/>
            <w:vAlign w:val="bottom"/>
          </w:tcPr>
          <w:p w14:paraId="59E00BC1" w14:textId="77777777" w:rsidR="00D0470C" w:rsidRPr="00A10E01" w:rsidRDefault="00D0470C" w:rsidP="006F3019">
            <w:pPr>
              <w:spacing w:after="20" w:line="220" w:lineRule="exact"/>
              <w:rPr>
                <w:sz w:val="18"/>
                <w:szCs w:val="18"/>
                <w:rtl/>
              </w:rPr>
            </w:pPr>
            <w:r w:rsidRPr="00A10E01">
              <w:rPr>
                <w:sz w:val="18"/>
                <w:szCs w:val="18"/>
                <w:rtl/>
              </w:rPr>
              <w:t xml:space="preserve"> 0</w:t>
            </w:r>
          </w:p>
        </w:tc>
        <w:tc>
          <w:tcPr>
            <w:tcW w:w="687" w:type="dxa"/>
            <w:tcMar>
              <w:left w:w="58" w:type="dxa"/>
              <w:right w:w="58" w:type="dxa"/>
            </w:tcMar>
            <w:vAlign w:val="bottom"/>
          </w:tcPr>
          <w:p w14:paraId="032FE40D" w14:textId="77777777" w:rsidR="00D0470C" w:rsidRPr="00A10E01" w:rsidRDefault="00D0470C" w:rsidP="006F3019">
            <w:pPr>
              <w:spacing w:after="20" w:line="220" w:lineRule="exact"/>
              <w:rPr>
                <w:sz w:val="18"/>
                <w:szCs w:val="18"/>
                <w:rtl/>
              </w:rPr>
            </w:pPr>
            <w:r w:rsidRPr="00A10E01">
              <w:rPr>
                <w:sz w:val="18"/>
                <w:szCs w:val="18"/>
                <w:rtl/>
              </w:rPr>
              <w:t xml:space="preserve"> 0</w:t>
            </w:r>
          </w:p>
        </w:tc>
        <w:tc>
          <w:tcPr>
            <w:tcW w:w="827" w:type="dxa"/>
            <w:vAlign w:val="bottom"/>
          </w:tcPr>
          <w:p w14:paraId="5F4C80A4" w14:textId="77777777" w:rsidR="00D0470C" w:rsidRPr="00A10E01" w:rsidRDefault="00D0470C" w:rsidP="006F3019">
            <w:pPr>
              <w:spacing w:after="20" w:line="220" w:lineRule="exact"/>
              <w:rPr>
                <w:sz w:val="18"/>
                <w:szCs w:val="18"/>
                <w:rtl/>
              </w:rPr>
            </w:pPr>
            <w:r w:rsidRPr="00A10E01">
              <w:rPr>
                <w:sz w:val="18"/>
                <w:szCs w:val="18"/>
                <w:rtl/>
              </w:rPr>
              <w:t xml:space="preserve"> 0</w:t>
            </w:r>
          </w:p>
        </w:tc>
        <w:tc>
          <w:tcPr>
            <w:tcW w:w="689" w:type="dxa"/>
            <w:tcBorders>
              <w:right w:val="nil"/>
            </w:tcBorders>
            <w:vAlign w:val="bottom"/>
          </w:tcPr>
          <w:p w14:paraId="14EFFD15" w14:textId="77777777" w:rsidR="00D0470C" w:rsidRPr="00A10E01" w:rsidRDefault="00D0470C" w:rsidP="006F3019">
            <w:pPr>
              <w:spacing w:after="20" w:line="220" w:lineRule="exact"/>
              <w:rPr>
                <w:sz w:val="18"/>
                <w:szCs w:val="18"/>
                <w:rtl/>
              </w:rPr>
            </w:pPr>
            <w:r w:rsidRPr="00A10E01">
              <w:rPr>
                <w:sz w:val="18"/>
                <w:szCs w:val="18"/>
                <w:rtl/>
              </w:rPr>
              <w:t xml:space="preserve"> 0</w:t>
            </w:r>
          </w:p>
        </w:tc>
      </w:tr>
      <w:tr w:rsidR="00D0470C" w:rsidRPr="00A10E01" w14:paraId="70EF4D37" w14:textId="77777777" w:rsidTr="003765C0">
        <w:trPr>
          <w:trHeight w:val="259"/>
          <w:jc w:val="right"/>
        </w:trPr>
        <w:tc>
          <w:tcPr>
            <w:tcW w:w="5803" w:type="dxa"/>
            <w:vAlign w:val="bottom"/>
          </w:tcPr>
          <w:p w14:paraId="2D41E055" w14:textId="4AC86DED" w:rsidR="00F32A2A" w:rsidRDefault="00D0470C" w:rsidP="004C69D8">
            <w:pPr>
              <w:spacing w:before="20" w:line="220" w:lineRule="exact"/>
              <w:ind w:left="461" w:hanging="142"/>
              <w:jc w:val="left"/>
              <w:rPr>
                <w:color w:val="000000"/>
                <w:sz w:val="18"/>
                <w:szCs w:val="18"/>
                <w:rtl/>
                <w:lang w:eastAsia="he-IL"/>
              </w:rPr>
            </w:pPr>
            <w:r w:rsidRPr="00A10E01">
              <w:rPr>
                <w:color w:val="000000"/>
                <w:sz w:val="18"/>
                <w:szCs w:val="18"/>
                <w:rtl/>
                <w:lang w:eastAsia="he-IL"/>
              </w:rPr>
              <w:t xml:space="preserve">(רווחים) הפסדים נטו בגין גידורי תזרים מזומנים שסווגו מחדש לדוח </w:t>
            </w:r>
            <w:r>
              <w:rPr>
                <w:rFonts w:hint="cs"/>
                <w:color w:val="000000"/>
                <w:sz w:val="18"/>
                <w:szCs w:val="18"/>
                <w:rtl/>
                <w:lang w:eastAsia="he-IL"/>
              </w:rPr>
              <w:br/>
            </w:r>
            <w:r w:rsidRPr="00A10E01">
              <w:rPr>
                <w:color w:val="000000"/>
                <w:sz w:val="18"/>
                <w:szCs w:val="18"/>
                <w:rtl/>
                <w:lang w:eastAsia="he-IL"/>
              </w:rPr>
              <w:t>רווח והפסד</w:t>
            </w:r>
            <w:r w:rsidRPr="00A10E01">
              <w:rPr>
                <w:color w:val="000000"/>
                <w:sz w:val="18"/>
                <w:szCs w:val="18"/>
                <w:vertAlign w:val="superscript"/>
                <w:rtl/>
                <w:lang w:eastAsia="he-IL"/>
              </w:rPr>
              <w:t>(</w:t>
            </w:r>
            <w:r w:rsidR="00287440">
              <w:rPr>
                <w:rFonts w:hint="cs"/>
                <w:color w:val="000000"/>
                <w:sz w:val="18"/>
                <w:szCs w:val="18"/>
                <w:vertAlign w:val="superscript"/>
                <w:rtl/>
                <w:lang w:eastAsia="he-IL"/>
              </w:rPr>
              <w:t>ה</w:t>
            </w:r>
            <w:r w:rsidRPr="00A10E01">
              <w:rPr>
                <w:color w:val="000000"/>
                <w:sz w:val="18"/>
                <w:szCs w:val="18"/>
                <w:vertAlign w:val="superscript"/>
                <w:rtl/>
                <w:lang w:eastAsia="he-IL"/>
              </w:rPr>
              <w:t>)</w:t>
            </w:r>
          </w:p>
        </w:tc>
        <w:tc>
          <w:tcPr>
            <w:tcW w:w="685" w:type="dxa"/>
            <w:tcMar>
              <w:left w:w="58" w:type="dxa"/>
              <w:right w:w="58" w:type="dxa"/>
            </w:tcMar>
            <w:vAlign w:val="bottom"/>
          </w:tcPr>
          <w:p w14:paraId="5347ED80"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827" w:type="dxa"/>
            <w:vAlign w:val="bottom"/>
          </w:tcPr>
          <w:p w14:paraId="096F326D"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9" w:type="dxa"/>
            <w:vAlign w:val="bottom"/>
          </w:tcPr>
          <w:p w14:paraId="09EE3ACB"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7" w:type="dxa"/>
            <w:tcMar>
              <w:left w:w="58" w:type="dxa"/>
              <w:right w:w="58" w:type="dxa"/>
            </w:tcMar>
            <w:vAlign w:val="bottom"/>
          </w:tcPr>
          <w:p w14:paraId="13524442"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827" w:type="dxa"/>
            <w:vAlign w:val="bottom"/>
          </w:tcPr>
          <w:p w14:paraId="56114887"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9" w:type="dxa"/>
            <w:tcBorders>
              <w:right w:val="nil"/>
            </w:tcBorders>
            <w:vAlign w:val="bottom"/>
          </w:tcPr>
          <w:p w14:paraId="701857DB"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r>
      <w:tr w:rsidR="00D0470C" w:rsidRPr="00A10E01" w14:paraId="659BE42D" w14:textId="77777777" w:rsidTr="003765C0">
        <w:trPr>
          <w:trHeight w:val="259"/>
          <w:jc w:val="right"/>
        </w:trPr>
        <w:tc>
          <w:tcPr>
            <w:tcW w:w="5803" w:type="dxa"/>
            <w:vAlign w:val="bottom"/>
          </w:tcPr>
          <w:p w14:paraId="27721D1C" w14:textId="77777777" w:rsidR="00F32A2A" w:rsidRDefault="00D0470C" w:rsidP="004C69D8">
            <w:pPr>
              <w:spacing w:before="20" w:line="220" w:lineRule="exact"/>
              <w:ind w:left="35" w:firstLine="284"/>
              <w:jc w:val="left"/>
              <w:rPr>
                <w:b/>
                <w:bCs/>
                <w:color w:val="000000"/>
                <w:sz w:val="18"/>
                <w:szCs w:val="18"/>
                <w:rtl/>
                <w:lang w:eastAsia="he-IL"/>
              </w:rPr>
            </w:pPr>
            <w:r w:rsidRPr="00A10E01">
              <w:rPr>
                <w:b/>
                <w:bCs/>
                <w:color w:val="000000"/>
                <w:sz w:val="18"/>
                <w:szCs w:val="18"/>
                <w:rtl/>
                <w:lang w:eastAsia="he-IL"/>
              </w:rPr>
              <w:t xml:space="preserve">שינוי נטו במהלך </w:t>
            </w:r>
            <w:r>
              <w:rPr>
                <w:rFonts w:hint="cs"/>
                <w:b/>
                <w:bCs/>
                <w:color w:val="000000"/>
                <w:sz w:val="18"/>
                <w:szCs w:val="18"/>
                <w:rtl/>
                <w:lang w:eastAsia="he-IL"/>
              </w:rPr>
              <w:t>התקופה</w:t>
            </w:r>
          </w:p>
        </w:tc>
        <w:tc>
          <w:tcPr>
            <w:tcW w:w="685" w:type="dxa"/>
            <w:tcMar>
              <w:left w:w="58" w:type="dxa"/>
              <w:right w:w="58" w:type="dxa"/>
            </w:tcMar>
            <w:vAlign w:val="bottom"/>
          </w:tcPr>
          <w:p w14:paraId="5FD384D3"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7" w:type="dxa"/>
            <w:vAlign w:val="bottom"/>
          </w:tcPr>
          <w:p w14:paraId="509B81B2"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9" w:type="dxa"/>
            <w:vAlign w:val="bottom"/>
          </w:tcPr>
          <w:p w14:paraId="78CB6AD8"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7" w:type="dxa"/>
            <w:tcMar>
              <w:left w:w="58" w:type="dxa"/>
              <w:right w:w="58" w:type="dxa"/>
            </w:tcMar>
            <w:vAlign w:val="bottom"/>
          </w:tcPr>
          <w:p w14:paraId="2ECED0DD"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7" w:type="dxa"/>
            <w:vAlign w:val="bottom"/>
          </w:tcPr>
          <w:p w14:paraId="4F2F7372"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9" w:type="dxa"/>
            <w:tcBorders>
              <w:right w:val="nil"/>
            </w:tcBorders>
            <w:vAlign w:val="bottom"/>
          </w:tcPr>
          <w:p w14:paraId="6A6CA8FD"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r>
      <w:tr w:rsidR="00D0470C" w:rsidRPr="00A10E01" w14:paraId="64FC8A44" w14:textId="77777777" w:rsidTr="003765C0">
        <w:trPr>
          <w:jc w:val="right"/>
        </w:trPr>
        <w:tc>
          <w:tcPr>
            <w:tcW w:w="5803" w:type="dxa"/>
            <w:vAlign w:val="bottom"/>
          </w:tcPr>
          <w:p w14:paraId="288D6C43" w14:textId="77777777" w:rsidR="00F32A2A" w:rsidRDefault="00F32A2A" w:rsidP="004C69D8">
            <w:pPr>
              <w:spacing w:line="40" w:lineRule="exact"/>
              <w:ind w:left="461" w:hanging="79"/>
              <w:jc w:val="left"/>
              <w:rPr>
                <w:b/>
                <w:bCs/>
                <w:color w:val="000000"/>
                <w:sz w:val="18"/>
                <w:szCs w:val="18"/>
                <w:rtl/>
                <w:lang w:eastAsia="he-IL"/>
              </w:rPr>
            </w:pPr>
          </w:p>
        </w:tc>
        <w:tc>
          <w:tcPr>
            <w:tcW w:w="685" w:type="dxa"/>
            <w:tcMar>
              <w:left w:w="58" w:type="dxa"/>
              <w:right w:w="58" w:type="dxa"/>
            </w:tcMar>
            <w:vAlign w:val="bottom"/>
          </w:tcPr>
          <w:p w14:paraId="547F1EFB" w14:textId="77777777" w:rsidR="00F32A2A" w:rsidRDefault="00F32A2A">
            <w:pPr>
              <w:spacing w:line="40" w:lineRule="exact"/>
              <w:rPr>
                <w:sz w:val="18"/>
                <w:szCs w:val="18"/>
                <w:rtl/>
              </w:rPr>
            </w:pPr>
          </w:p>
        </w:tc>
        <w:tc>
          <w:tcPr>
            <w:tcW w:w="827" w:type="dxa"/>
            <w:vAlign w:val="bottom"/>
          </w:tcPr>
          <w:p w14:paraId="2BD45874" w14:textId="77777777" w:rsidR="00F32A2A" w:rsidRDefault="00F32A2A">
            <w:pPr>
              <w:spacing w:line="40" w:lineRule="exact"/>
              <w:rPr>
                <w:sz w:val="18"/>
                <w:szCs w:val="18"/>
                <w:rtl/>
              </w:rPr>
            </w:pPr>
          </w:p>
        </w:tc>
        <w:tc>
          <w:tcPr>
            <w:tcW w:w="689" w:type="dxa"/>
            <w:vAlign w:val="bottom"/>
          </w:tcPr>
          <w:p w14:paraId="0C5228BE" w14:textId="77777777" w:rsidR="00F32A2A" w:rsidRDefault="00F32A2A">
            <w:pPr>
              <w:spacing w:line="40" w:lineRule="exact"/>
              <w:rPr>
                <w:sz w:val="18"/>
                <w:szCs w:val="18"/>
                <w:rtl/>
              </w:rPr>
            </w:pPr>
          </w:p>
        </w:tc>
        <w:tc>
          <w:tcPr>
            <w:tcW w:w="687" w:type="dxa"/>
            <w:tcMar>
              <w:left w:w="58" w:type="dxa"/>
              <w:right w:w="58" w:type="dxa"/>
            </w:tcMar>
            <w:vAlign w:val="bottom"/>
          </w:tcPr>
          <w:p w14:paraId="46F1C941" w14:textId="77777777" w:rsidR="00F32A2A" w:rsidRDefault="00F32A2A">
            <w:pPr>
              <w:spacing w:line="40" w:lineRule="exact"/>
              <w:rPr>
                <w:sz w:val="18"/>
                <w:szCs w:val="18"/>
                <w:rtl/>
              </w:rPr>
            </w:pPr>
          </w:p>
        </w:tc>
        <w:tc>
          <w:tcPr>
            <w:tcW w:w="827" w:type="dxa"/>
            <w:vAlign w:val="bottom"/>
          </w:tcPr>
          <w:p w14:paraId="44C2A059" w14:textId="77777777" w:rsidR="00F32A2A" w:rsidRDefault="00F32A2A">
            <w:pPr>
              <w:spacing w:line="40" w:lineRule="exact"/>
              <w:rPr>
                <w:sz w:val="18"/>
                <w:szCs w:val="18"/>
                <w:rtl/>
              </w:rPr>
            </w:pPr>
          </w:p>
        </w:tc>
        <w:tc>
          <w:tcPr>
            <w:tcW w:w="689" w:type="dxa"/>
            <w:tcBorders>
              <w:right w:val="nil"/>
            </w:tcBorders>
            <w:vAlign w:val="bottom"/>
          </w:tcPr>
          <w:p w14:paraId="798E5916" w14:textId="77777777" w:rsidR="00F32A2A" w:rsidRDefault="00F32A2A">
            <w:pPr>
              <w:spacing w:line="40" w:lineRule="exact"/>
              <w:rPr>
                <w:sz w:val="18"/>
                <w:szCs w:val="18"/>
                <w:rtl/>
              </w:rPr>
            </w:pPr>
          </w:p>
        </w:tc>
      </w:tr>
      <w:tr w:rsidR="00D0470C" w:rsidRPr="00A10E01" w14:paraId="5D5553A8" w14:textId="77777777" w:rsidTr="003765C0">
        <w:trPr>
          <w:trHeight w:val="259"/>
          <w:jc w:val="right"/>
        </w:trPr>
        <w:tc>
          <w:tcPr>
            <w:tcW w:w="5803" w:type="dxa"/>
            <w:vAlign w:val="bottom"/>
          </w:tcPr>
          <w:p w14:paraId="4751347C" w14:textId="77777777" w:rsidR="00F32A2A" w:rsidRDefault="00D0470C" w:rsidP="004C69D8">
            <w:pPr>
              <w:spacing w:before="20" w:line="220" w:lineRule="exact"/>
              <w:ind w:left="35" w:firstLine="284"/>
              <w:jc w:val="left"/>
              <w:rPr>
                <w:b/>
                <w:bCs/>
                <w:color w:val="000000"/>
                <w:sz w:val="18"/>
                <w:szCs w:val="18"/>
                <w:rtl/>
                <w:lang w:eastAsia="he-IL"/>
              </w:rPr>
            </w:pPr>
            <w:r w:rsidRPr="00A10E01">
              <w:rPr>
                <w:rFonts w:hint="eastAsia"/>
                <w:b/>
                <w:bCs/>
                <w:color w:val="000000"/>
                <w:sz w:val="18"/>
                <w:szCs w:val="18"/>
                <w:rtl/>
                <w:lang w:eastAsia="he-IL"/>
              </w:rPr>
              <w:t>הטבות</w:t>
            </w:r>
            <w:r w:rsidRPr="00A10E01">
              <w:rPr>
                <w:b/>
                <w:bCs/>
                <w:color w:val="000000"/>
                <w:sz w:val="18"/>
                <w:szCs w:val="18"/>
                <w:rtl/>
                <w:lang w:eastAsia="he-IL"/>
              </w:rPr>
              <w:t xml:space="preserve"> </w:t>
            </w:r>
            <w:r w:rsidRPr="00A10E01">
              <w:rPr>
                <w:rFonts w:hint="eastAsia"/>
                <w:b/>
                <w:bCs/>
                <w:color w:val="000000"/>
                <w:sz w:val="18"/>
                <w:szCs w:val="18"/>
                <w:rtl/>
                <w:lang w:eastAsia="he-IL"/>
              </w:rPr>
              <w:t>לעובדים</w:t>
            </w:r>
            <w:r w:rsidRPr="00A10E01">
              <w:rPr>
                <w:b/>
                <w:bCs/>
                <w:color w:val="000000"/>
                <w:sz w:val="18"/>
                <w:szCs w:val="18"/>
                <w:rtl/>
                <w:lang w:eastAsia="he-IL"/>
              </w:rPr>
              <w:t>:</w:t>
            </w:r>
          </w:p>
        </w:tc>
        <w:tc>
          <w:tcPr>
            <w:tcW w:w="685" w:type="dxa"/>
            <w:tcMar>
              <w:left w:w="58" w:type="dxa"/>
              <w:right w:w="58" w:type="dxa"/>
            </w:tcMar>
            <w:vAlign w:val="bottom"/>
          </w:tcPr>
          <w:p w14:paraId="11575476" w14:textId="77777777" w:rsidR="00D0470C" w:rsidRPr="00A10E01" w:rsidRDefault="00D0470C" w:rsidP="006F3019">
            <w:pPr>
              <w:spacing w:line="220" w:lineRule="exact"/>
              <w:rPr>
                <w:sz w:val="18"/>
                <w:szCs w:val="18"/>
                <w:rtl/>
              </w:rPr>
            </w:pPr>
          </w:p>
        </w:tc>
        <w:tc>
          <w:tcPr>
            <w:tcW w:w="827" w:type="dxa"/>
            <w:vAlign w:val="bottom"/>
          </w:tcPr>
          <w:p w14:paraId="5E4FFD6B" w14:textId="77777777" w:rsidR="00D0470C" w:rsidRPr="00A10E01" w:rsidRDefault="00D0470C" w:rsidP="006F3019">
            <w:pPr>
              <w:spacing w:line="220" w:lineRule="exact"/>
              <w:rPr>
                <w:sz w:val="18"/>
                <w:szCs w:val="18"/>
                <w:rtl/>
              </w:rPr>
            </w:pPr>
          </w:p>
        </w:tc>
        <w:tc>
          <w:tcPr>
            <w:tcW w:w="689" w:type="dxa"/>
            <w:vAlign w:val="bottom"/>
          </w:tcPr>
          <w:p w14:paraId="3DB9E7CF" w14:textId="77777777" w:rsidR="00D0470C" w:rsidRPr="00A10E01" w:rsidRDefault="00D0470C" w:rsidP="006F3019">
            <w:pPr>
              <w:spacing w:line="220" w:lineRule="exact"/>
              <w:rPr>
                <w:sz w:val="18"/>
                <w:szCs w:val="18"/>
                <w:rtl/>
              </w:rPr>
            </w:pPr>
          </w:p>
        </w:tc>
        <w:tc>
          <w:tcPr>
            <w:tcW w:w="687" w:type="dxa"/>
            <w:tcMar>
              <w:left w:w="58" w:type="dxa"/>
              <w:right w:w="58" w:type="dxa"/>
            </w:tcMar>
            <w:vAlign w:val="bottom"/>
          </w:tcPr>
          <w:p w14:paraId="1FFEC64B" w14:textId="77777777" w:rsidR="00D0470C" w:rsidRPr="00A10E01" w:rsidRDefault="00D0470C" w:rsidP="006F3019">
            <w:pPr>
              <w:spacing w:line="220" w:lineRule="exact"/>
              <w:rPr>
                <w:sz w:val="18"/>
                <w:szCs w:val="18"/>
                <w:rtl/>
              </w:rPr>
            </w:pPr>
          </w:p>
        </w:tc>
        <w:tc>
          <w:tcPr>
            <w:tcW w:w="827" w:type="dxa"/>
            <w:vAlign w:val="bottom"/>
          </w:tcPr>
          <w:p w14:paraId="0C09F9C6" w14:textId="77777777" w:rsidR="00D0470C" w:rsidRPr="00A10E01" w:rsidRDefault="00D0470C" w:rsidP="006F3019">
            <w:pPr>
              <w:spacing w:line="220" w:lineRule="exact"/>
              <w:rPr>
                <w:sz w:val="18"/>
                <w:szCs w:val="18"/>
                <w:rtl/>
              </w:rPr>
            </w:pPr>
          </w:p>
        </w:tc>
        <w:tc>
          <w:tcPr>
            <w:tcW w:w="689" w:type="dxa"/>
            <w:tcBorders>
              <w:right w:val="nil"/>
            </w:tcBorders>
            <w:vAlign w:val="bottom"/>
          </w:tcPr>
          <w:p w14:paraId="75BFE230" w14:textId="77777777" w:rsidR="00D0470C" w:rsidRPr="00A10E01" w:rsidRDefault="00D0470C" w:rsidP="006F3019">
            <w:pPr>
              <w:spacing w:line="220" w:lineRule="exact"/>
              <w:rPr>
                <w:sz w:val="18"/>
                <w:szCs w:val="18"/>
                <w:rtl/>
              </w:rPr>
            </w:pPr>
          </w:p>
        </w:tc>
      </w:tr>
      <w:tr w:rsidR="00D0470C" w:rsidRPr="00A10E01" w14:paraId="05791CC8" w14:textId="77777777" w:rsidTr="003765C0">
        <w:trPr>
          <w:trHeight w:val="259"/>
          <w:jc w:val="right"/>
        </w:trPr>
        <w:tc>
          <w:tcPr>
            <w:tcW w:w="5803" w:type="dxa"/>
            <w:vAlign w:val="bottom"/>
          </w:tcPr>
          <w:p w14:paraId="2D773690" w14:textId="77777777" w:rsidR="00F32A2A" w:rsidRDefault="00D0470C" w:rsidP="004C69D8">
            <w:pPr>
              <w:spacing w:before="20" w:line="220" w:lineRule="exact"/>
              <w:ind w:left="461" w:hanging="142"/>
              <w:jc w:val="left"/>
              <w:rPr>
                <w:color w:val="000000"/>
                <w:sz w:val="18"/>
                <w:szCs w:val="18"/>
                <w:rtl/>
                <w:lang w:eastAsia="he-IL"/>
              </w:rPr>
            </w:pPr>
            <w:r w:rsidRPr="00A10E01">
              <w:rPr>
                <w:color w:val="000000"/>
                <w:sz w:val="18"/>
                <w:szCs w:val="18"/>
                <w:rtl/>
                <w:lang w:eastAsia="he-IL"/>
              </w:rPr>
              <w:t xml:space="preserve">רווח (הפסד) </w:t>
            </w:r>
            <w:r w:rsidRPr="00A10E01">
              <w:rPr>
                <w:rFonts w:hint="eastAsia"/>
                <w:color w:val="000000"/>
                <w:sz w:val="18"/>
                <w:szCs w:val="18"/>
                <w:rtl/>
                <w:lang w:eastAsia="he-IL"/>
              </w:rPr>
              <w:t>אקטוארי</w:t>
            </w:r>
            <w:r w:rsidRPr="00A10E01">
              <w:rPr>
                <w:color w:val="000000"/>
                <w:sz w:val="18"/>
                <w:szCs w:val="18"/>
                <w:rtl/>
                <w:lang w:eastAsia="he-IL"/>
              </w:rPr>
              <w:t xml:space="preserve"> נטו </w:t>
            </w:r>
            <w:r>
              <w:rPr>
                <w:rFonts w:hint="cs"/>
                <w:color w:val="000000"/>
                <w:sz w:val="18"/>
                <w:szCs w:val="18"/>
                <w:rtl/>
                <w:lang w:eastAsia="he-IL"/>
              </w:rPr>
              <w:t>התקופה</w:t>
            </w:r>
          </w:p>
        </w:tc>
        <w:tc>
          <w:tcPr>
            <w:tcW w:w="685" w:type="dxa"/>
            <w:tcMar>
              <w:left w:w="58" w:type="dxa"/>
              <w:right w:w="58" w:type="dxa"/>
            </w:tcMar>
            <w:vAlign w:val="bottom"/>
          </w:tcPr>
          <w:p w14:paraId="517506AE"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7" w:type="dxa"/>
            <w:vAlign w:val="bottom"/>
          </w:tcPr>
          <w:p w14:paraId="118E2F49"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9" w:type="dxa"/>
            <w:vAlign w:val="bottom"/>
          </w:tcPr>
          <w:p w14:paraId="16B8B07B"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7" w:type="dxa"/>
            <w:tcMar>
              <w:left w:w="58" w:type="dxa"/>
              <w:right w:w="58" w:type="dxa"/>
            </w:tcMar>
            <w:vAlign w:val="bottom"/>
          </w:tcPr>
          <w:p w14:paraId="4657118F"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7" w:type="dxa"/>
            <w:vAlign w:val="bottom"/>
          </w:tcPr>
          <w:p w14:paraId="1549819B"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9" w:type="dxa"/>
            <w:tcBorders>
              <w:right w:val="nil"/>
            </w:tcBorders>
            <w:vAlign w:val="bottom"/>
          </w:tcPr>
          <w:p w14:paraId="3FFDC4F1" w14:textId="77777777" w:rsidR="00D0470C" w:rsidRPr="00A10E01" w:rsidRDefault="00D0470C" w:rsidP="006F3019">
            <w:pPr>
              <w:spacing w:line="220" w:lineRule="exact"/>
              <w:rPr>
                <w:sz w:val="18"/>
                <w:szCs w:val="18"/>
                <w:rtl/>
              </w:rPr>
            </w:pPr>
            <w:r w:rsidRPr="00A10E01">
              <w:rPr>
                <w:sz w:val="18"/>
                <w:szCs w:val="18"/>
                <w:rtl/>
              </w:rPr>
              <w:t xml:space="preserve"> 0</w:t>
            </w:r>
          </w:p>
        </w:tc>
      </w:tr>
      <w:tr w:rsidR="00D0470C" w:rsidRPr="00A10E01" w14:paraId="457D3B1B" w14:textId="77777777" w:rsidTr="003765C0">
        <w:trPr>
          <w:trHeight w:val="259"/>
          <w:jc w:val="right"/>
        </w:trPr>
        <w:tc>
          <w:tcPr>
            <w:tcW w:w="5803" w:type="dxa"/>
            <w:vAlign w:val="bottom"/>
          </w:tcPr>
          <w:p w14:paraId="1251E639" w14:textId="77777777" w:rsidR="00F32A2A" w:rsidRDefault="00D0470C" w:rsidP="004C69D8">
            <w:pPr>
              <w:spacing w:before="20" w:line="220" w:lineRule="exact"/>
              <w:ind w:left="461" w:hanging="142"/>
              <w:jc w:val="left"/>
              <w:rPr>
                <w:color w:val="000000"/>
                <w:sz w:val="18"/>
                <w:szCs w:val="18"/>
                <w:rtl/>
                <w:lang w:eastAsia="he-IL"/>
              </w:rPr>
            </w:pPr>
            <w:r w:rsidRPr="00A10E01">
              <w:rPr>
                <w:rFonts w:hint="eastAsia"/>
                <w:color w:val="000000"/>
                <w:sz w:val="18"/>
                <w:szCs w:val="18"/>
                <w:rtl/>
                <w:lang w:eastAsia="he-IL"/>
              </w:rPr>
              <w:t>זיכוי</w:t>
            </w:r>
            <w:r w:rsidRPr="00A10E01">
              <w:rPr>
                <w:color w:val="000000"/>
                <w:sz w:val="18"/>
                <w:szCs w:val="18"/>
                <w:rtl/>
                <w:lang w:eastAsia="he-IL"/>
              </w:rPr>
              <w:t xml:space="preserve"> (עלות) </w:t>
            </w:r>
            <w:r w:rsidRPr="00A10E01">
              <w:rPr>
                <w:rFonts w:hint="eastAsia"/>
                <w:color w:val="000000"/>
                <w:sz w:val="18"/>
                <w:szCs w:val="18"/>
                <w:rtl/>
                <w:lang w:eastAsia="he-IL"/>
              </w:rPr>
              <w:t>בגין</w:t>
            </w:r>
            <w:r w:rsidRPr="00A10E01">
              <w:rPr>
                <w:color w:val="000000"/>
                <w:sz w:val="18"/>
                <w:szCs w:val="18"/>
                <w:rtl/>
                <w:lang w:eastAsia="he-IL"/>
              </w:rPr>
              <w:t xml:space="preserve"> </w:t>
            </w:r>
            <w:r w:rsidRPr="00A10E01">
              <w:rPr>
                <w:rFonts w:hint="eastAsia"/>
                <w:color w:val="000000"/>
                <w:sz w:val="18"/>
                <w:szCs w:val="18"/>
                <w:rtl/>
                <w:lang w:eastAsia="he-IL"/>
              </w:rPr>
              <w:t>שירות</w:t>
            </w:r>
            <w:r w:rsidRPr="00A10E01">
              <w:rPr>
                <w:color w:val="000000"/>
                <w:sz w:val="18"/>
                <w:szCs w:val="18"/>
                <w:rtl/>
                <w:lang w:eastAsia="he-IL"/>
              </w:rPr>
              <w:t xml:space="preserve"> </w:t>
            </w:r>
            <w:r w:rsidRPr="00A10E01">
              <w:rPr>
                <w:rFonts w:hint="eastAsia"/>
                <w:color w:val="000000"/>
                <w:sz w:val="18"/>
                <w:szCs w:val="18"/>
                <w:rtl/>
                <w:lang w:eastAsia="he-IL"/>
              </w:rPr>
              <w:t>קודם</w:t>
            </w:r>
            <w:r w:rsidRPr="00A10E01">
              <w:rPr>
                <w:color w:val="000000"/>
                <w:sz w:val="18"/>
                <w:szCs w:val="18"/>
                <w:rtl/>
                <w:lang w:eastAsia="he-IL"/>
              </w:rPr>
              <w:t xml:space="preserve"> </w:t>
            </w:r>
            <w:r>
              <w:rPr>
                <w:rFonts w:hint="cs"/>
                <w:color w:val="000000"/>
                <w:sz w:val="18"/>
                <w:szCs w:val="18"/>
                <w:rtl/>
                <w:lang w:eastAsia="he-IL"/>
              </w:rPr>
              <w:t>התקופה</w:t>
            </w:r>
          </w:p>
        </w:tc>
        <w:tc>
          <w:tcPr>
            <w:tcW w:w="685" w:type="dxa"/>
            <w:tcMar>
              <w:left w:w="58" w:type="dxa"/>
              <w:right w:w="58" w:type="dxa"/>
            </w:tcMar>
            <w:vAlign w:val="bottom"/>
          </w:tcPr>
          <w:p w14:paraId="6AF9C9B5"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7" w:type="dxa"/>
            <w:vAlign w:val="bottom"/>
          </w:tcPr>
          <w:p w14:paraId="0BBC1D04"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9" w:type="dxa"/>
            <w:vAlign w:val="bottom"/>
          </w:tcPr>
          <w:p w14:paraId="4AB1EA75"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7" w:type="dxa"/>
            <w:tcMar>
              <w:left w:w="58" w:type="dxa"/>
              <w:right w:w="58" w:type="dxa"/>
            </w:tcMar>
            <w:vAlign w:val="bottom"/>
          </w:tcPr>
          <w:p w14:paraId="267C79B3"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7" w:type="dxa"/>
            <w:vAlign w:val="bottom"/>
          </w:tcPr>
          <w:p w14:paraId="105590C9"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9" w:type="dxa"/>
            <w:tcBorders>
              <w:right w:val="nil"/>
            </w:tcBorders>
            <w:vAlign w:val="bottom"/>
          </w:tcPr>
          <w:p w14:paraId="3DA030CF" w14:textId="77777777" w:rsidR="00D0470C" w:rsidRPr="00A10E01" w:rsidRDefault="00D0470C" w:rsidP="006F3019">
            <w:pPr>
              <w:spacing w:line="220" w:lineRule="exact"/>
              <w:rPr>
                <w:sz w:val="18"/>
                <w:szCs w:val="18"/>
                <w:rtl/>
              </w:rPr>
            </w:pPr>
            <w:r w:rsidRPr="00A10E01">
              <w:rPr>
                <w:sz w:val="18"/>
                <w:szCs w:val="18"/>
                <w:rtl/>
              </w:rPr>
              <w:t xml:space="preserve"> 0</w:t>
            </w:r>
          </w:p>
        </w:tc>
      </w:tr>
      <w:tr w:rsidR="00D0470C" w:rsidRPr="00A10E01" w14:paraId="0B843DC5" w14:textId="77777777" w:rsidTr="003765C0">
        <w:trPr>
          <w:trHeight w:val="259"/>
          <w:jc w:val="right"/>
        </w:trPr>
        <w:tc>
          <w:tcPr>
            <w:tcW w:w="5803" w:type="dxa"/>
            <w:vAlign w:val="bottom"/>
          </w:tcPr>
          <w:p w14:paraId="705166B4" w14:textId="3F978F8F" w:rsidR="00F32A2A" w:rsidRDefault="00D0470C" w:rsidP="004C69D8">
            <w:pPr>
              <w:spacing w:before="20" w:line="220" w:lineRule="exact"/>
              <w:ind w:left="461" w:hanging="142"/>
              <w:jc w:val="left"/>
              <w:rPr>
                <w:color w:val="000000"/>
                <w:sz w:val="18"/>
                <w:szCs w:val="18"/>
                <w:rtl/>
                <w:lang w:eastAsia="he-IL"/>
              </w:rPr>
            </w:pPr>
            <w:r w:rsidRPr="00A10E01">
              <w:rPr>
                <w:color w:val="000000"/>
                <w:sz w:val="18"/>
                <w:szCs w:val="18"/>
                <w:rtl/>
                <w:lang w:eastAsia="he-IL"/>
              </w:rPr>
              <w:t xml:space="preserve">(רווחים) </w:t>
            </w:r>
            <w:r w:rsidRPr="00A10E01">
              <w:rPr>
                <w:rFonts w:hint="eastAsia"/>
                <w:color w:val="000000"/>
                <w:sz w:val="18"/>
                <w:szCs w:val="18"/>
                <w:rtl/>
                <w:lang w:eastAsia="he-IL"/>
              </w:rPr>
              <w:t>הפסדים</w:t>
            </w:r>
            <w:r w:rsidRPr="00A10E01">
              <w:rPr>
                <w:color w:val="000000"/>
                <w:sz w:val="18"/>
                <w:szCs w:val="18"/>
                <w:rtl/>
                <w:lang w:eastAsia="he-IL"/>
              </w:rPr>
              <w:t xml:space="preserve"> </w:t>
            </w:r>
            <w:r w:rsidRPr="00A10E01">
              <w:rPr>
                <w:rFonts w:hint="eastAsia"/>
                <w:color w:val="000000"/>
                <w:sz w:val="18"/>
                <w:szCs w:val="18"/>
                <w:rtl/>
                <w:lang w:eastAsia="he-IL"/>
              </w:rPr>
              <w:t>נטו</w:t>
            </w:r>
            <w:r w:rsidRPr="00A10E01">
              <w:rPr>
                <w:color w:val="000000"/>
                <w:sz w:val="18"/>
                <w:szCs w:val="18"/>
                <w:rtl/>
                <w:lang w:eastAsia="he-IL"/>
              </w:rPr>
              <w:t xml:space="preserve"> </w:t>
            </w:r>
            <w:r w:rsidRPr="00A10E01">
              <w:rPr>
                <w:rFonts w:hint="eastAsia"/>
                <w:color w:val="000000"/>
                <w:sz w:val="18"/>
                <w:szCs w:val="18"/>
                <w:rtl/>
                <w:lang w:eastAsia="he-IL"/>
              </w:rPr>
              <w:t>שסווגו</w:t>
            </w:r>
            <w:r w:rsidRPr="00A10E01">
              <w:rPr>
                <w:color w:val="000000"/>
                <w:sz w:val="18"/>
                <w:szCs w:val="18"/>
                <w:rtl/>
                <w:lang w:eastAsia="he-IL"/>
              </w:rPr>
              <w:t xml:space="preserve"> מחדש לדוח רווח והפסד</w:t>
            </w:r>
            <w:r w:rsidRPr="00A10E01">
              <w:rPr>
                <w:color w:val="000000"/>
                <w:sz w:val="18"/>
                <w:szCs w:val="18"/>
                <w:vertAlign w:val="superscript"/>
                <w:rtl/>
                <w:lang w:eastAsia="he-IL"/>
              </w:rPr>
              <w:t>(</w:t>
            </w:r>
            <w:r w:rsidR="00287440">
              <w:rPr>
                <w:rFonts w:hint="cs"/>
                <w:color w:val="000000"/>
                <w:sz w:val="18"/>
                <w:szCs w:val="18"/>
                <w:vertAlign w:val="superscript"/>
                <w:rtl/>
                <w:lang w:eastAsia="he-IL"/>
              </w:rPr>
              <w:t>ו</w:t>
            </w:r>
            <w:r w:rsidRPr="00A10E01">
              <w:rPr>
                <w:color w:val="000000"/>
                <w:sz w:val="18"/>
                <w:szCs w:val="18"/>
                <w:vertAlign w:val="superscript"/>
                <w:rtl/>
                <w:lang w:eastAsia="he-IL"/>
              </w:rPr>
              <w:t>)</w:t>
            </w:r>
          </w:p>
        </w:tc>
        <w:tc>
          <w:tcPr>
            <w:tcW w:w="685" w:type="dxa"/>
            <w:tcMar>
              <w:left w:w="58" w:type="dxa"/>
              <w:right w:w="58" w:type="dxa"/>
            </w:tcMar>
            <w:vAlign w:val="bottom"/>
          </w:tcPr>
          <w:p w14:paraId="7DDDF6CE"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7" w:type="dxa"/>
            <w:vAlign w:val="bottom"/>
          </w:tcPr>
          <w:p w14:paraId="475240EF"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9" w:type="dxa"/>
            <w:vAlign w:val="bottom"/>
          </w:tcPr>
          <w:p w14:paraId="3991F3A8"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7" w:type="dxa"/>
            <w:tcMar>
              <w:left w:w="58" w:type="dxa"/>
              <w:right w:w="58" w:type="dxa"/>
            </w:tcMar>
            <w:vAlign w:val="bottom"/>
          </w:tcPr>
          <w:p w14:paraId="2F3D3DE9"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7" w:type="dxa"/>
            <w:vAlign w:val="bottom"/>
          </w:tcPr>
          <w:p w14:paraId="5B7CF13B"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9" w:type="dxa"/>
            <w:tcBorders>
              <w:right w:val="nil"/>
            </w:tcBorders>
            <w:vAlign w:val="bottom"/>
          </w:tcPr>
          <w:p w14:paraId="633F3940" w14:textId="77777777" w:rsidR="00D0470C" w:rsidRPr="00A10E01" w:rsidRDefault="00D0470C" w:rsidP="006F3019">
            <w:pPr>
              <w:spacing w:line="220" w:lineRule="exact"/>
              <w:rPr>
                <w:sz w:val="18"/>
                <w:szCs w:val="18"/>
                <w:rtl/>
              </w:rPr>
            </w:pPr>
            <w:r w:rsidRPr="00A10E01">
              <w:rPr>
                <w:sz w:val="18"/>
                <w:szCs w:val="18"/>
                <w:rtl/>
              </w:rPr>
              <w:t xml:space="preserve"> 0</w:t>
            </w:r>
          </w:p>
        </w:tc>
      </w:tr>
      <w:tr w:rsidR="00D0470C" w:rsidRPr="00A10E01" w14:paraId="14FBE348" w14:textId="77777777" w:rsidTr="003765C0">
        <w:trPr>
          <w:trHeight w:val="259"/>
          <w:jc w:val="right"/>
        </w:trPr>
        <w:tc>
          <w:tcPr>
            <w:tcW w:w="5803" w:type="dxa"/>
            <w:vAlign w:val="bottom"/>
          </w:tcPr>
          <w:p w14:paraId="6B426928" w14:textId="77777777" w:rsidR="00F32A2A" w:rsidRDefault="00D0470C" w:rsidP="004C69D8">
            <w:pPr>
              <w:spacing w:before="20" w:line="220" w:lineRule="exact"/>
              <w:ind w:left="461" w:hanging="142"/>
              <w:jc w:val="left"/>
              <w:rPr>
                <w:color w:val="000000"/>
                <w:sz w:val="18"/>
                <w:szCs w:val="18"/>
                <w:rtl/>
                <w:lang w:eastAsia="he-IL"/>
              </w:rPr>
            </w:pPr>
            <w:r w:rsidRPr="00A10E01">
              <w:rPr>
                <w:rFonts w:hint="eastAsia"/>
                <w:color w:val="000000"/>
                <w:sz w:val="18"/>
                <w:szCs w:val="18"/>
                <w:rtl/>
                <w:lang w:eastAsia="he-IL"/>
              </w:rPr>
              <w:t>אחר</w:t>
            </w:r>
            <w:r w:rsidRPr="00A10E01">
              <w:rPr>
                <w:color w:val="000000"/>
                <w:sz w:val="18"/>
                <w:szCs w:val="18"/>
                <w:rtl/>
                <w:lang w:eastAsia="he-IL"/>
              </w:rPr>
              <w:t xml:space="preserve"> </w:t>
            </w:r>
            <w:r w:rsidRPr="00F77EFF">
              <w:rPr>
                <w:color w:val="000000"/>
                <w:sz w:val="18"/>
                <w:szCs w:val="18"/>
                <w:rtl/>
                <w:lang w:eastAsia="he-IL"/>
              </w:rPr>
              <w:t>[</w:t>
            </w:r>
            <w:r w:rsidRPr="00F77EFF">
              <w:rPr>
                <w:rFonts w:hint="eastAsia"/>
                <w:color w:val="000000"/>
                <w:sz w:val="18"/>
                <w:szCs w:val="18"/>
                <w:rtl/>
                <w:lang w:eastAsia="he-IL"/>
              </w:rPr>
              <w:t>פרט</w:t>
            </w:r>
            <w:r w:rsidRPr="00F77EFF">
              <w:rPr>
                <w:color w:val="000000"/>
                <w:sz w:val="18"/>
                <w:szCs w:val="18"/>
                <w:rtl/>
                <w:lang w:eastAsia="he-IL"/>
              </w:rPr>
              <w:t xml:space="preserve"> </w:t>
            </w:r>
            <w:r w:rsidRPr="00F77EFF">
              <w:rPr>
                <w:rFonts w:hint="eastAsia"/>
                <w:color w:val="000000"/>
                <w:sz w:val="18"/>
                <w:szCs w:val="18"/>
                <w:rtl/>
                <w:lang w:eastAsia="he-IL"/>
              </w:rPr>
              <w:t>אם</w:t>
            </w:r>
            <w:r w:rsidRPr="00F77EFF">
              <w:rPr>
                <w:color w:val="000000"/>
                <w:sz w:val="18"/>
                <w:szCs w:val="18"/>
                <w:rtl/>
                <w:lang w:eastAsia="he-IL"/>
              </w:rPr>
              <w:t xml:space="preserve"> </w:t>
            </w:r>
            <w:r w:rsidRPr="00F77EFF">
              <w:rPr>
                <w:rFonts w:hint="eastAsia"/>
                <w:color w:val="000000"/>
                <w:sz w:val="18"/>
                <w:szCs w:val="18"/>
                <w:rtl/>
                <w:lang w:eastAsia="he-IL"/>
              </w:rPr>
              <w:t>מהותי</w:t>
            </w:r>
            <w:r w:rsidRPr="00F77EFF">
              <w:rPr>
                <w:color w:val="000000"/>
                <w:sz w:val="18"/>
                <w:szCs w:val="18"/>
                <w:rtl/>
                <w:lang w:eastAsia="he-IL"/>
              </w:rPr>
              <w:t>]</w:t>
            </w:r>
          </w:p>
        </w:tc>
        <w:tc>
          <w:tcPr>
            <w:tcW w:w="685" w:type="dxa"/>
            <w:tcMar>
              <w:left w:w="58" w:type="dxa"/>
              <w:right w:w="58" w:type="dxa"/>
            </w:tcMar>
            <w:vAlign w:val="bottom"/>
          </w:tcPr>
          <w:p w14:paraId="6DC92561"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827" w:type="dxa"/>
            <w:vAlign w:val="bottom"/>
          </w:tcPr>
          <w:p w14:paraId="58ABF233"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9" w:type="dxa"/>
            <w:vAlign w:val="bottom"/>
          </w:tcPr>
          <w:p w14:paraId="57776106"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7" w:type="dxa"/>
            <w:tcMar>
              <w:left w:w="58" w:type="dxa"/>
              <w:right w:w="58" w:type="dxa"/>
            </w:tcMar>
            <w:vAlign w:val="bottom"/>
          </w:tcPr>
          <w:p w14:paraId="19D1FC7F"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827" w:type="dxa"/>
            <w:vAlign w:val="bottom"/>
          </w:tcPr>
          <w:p w14:paraId="27D05B65"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9" w:type="dxa"/>
            <w:tcBorders>
              <w:right w:val="nil"/>
            </w:tcBorders>
            <w:vAlign w:val="bottom"/>
          </w:tcPr>
          <w:p w14:paraId="7F4F0190"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r>
      <w:tr w:rsidR="00D0470C" w:rsidRPr="00A10E01" w14:paraId="5D4627C6" w14:textId="77777777" w:rsidTr="003765C0">
        <w:trPr>
          <w:trHeight w:val="259"/>
          <w:jc w:val="right"/>
        </w:trPr>
        <w:tc>
          <w:tcPr>
            <w:tcW w:w="5803" w:type="dxa"/>
            <w:vAlign w:val="bottom"/>
          </w:tcPr>
          <w:p w14:paraId="1E4AFF46" w14:textId="77777777" w:rsidR="00F32A2A" w:rsidRDefault="00D0470C" w:rsidP="004C69D8">
            <w:pPr>
              <w:spacing w:before="20" w:line="220" w:lineRule="exact"/>
              <w:ind w:left="35" w:firstLine="284"/>
              <w:jc w:val="left"/>
              <w:rPr>
                <w:b/>
                <w:bCs/>
                <w:color w:val="000000"/>
                <w:sz w:val="18"/>
                <w:szCs w:val="18"/>
                <w:rtl/>
                <w:lang w:eastAsia="he-IL"/>
              </w:rPr>
            </w:pPr>
            <w:r w:rsidRPr="00A10E01">
              <w:rPr>
                <w:b/>
                <w:bCs/>
                <w:color w:val="000000"/>
                <w:sz w:val="18"/>
                <w:szCs w:val="18"/>
                <w:rtl/>
                <w:lang w:eastAsia="he-IL"/>
              </w:rPr>
              <w:t xml:space="preserve">שינוי נטו במהלך </w:t>
            </w:r>
            <w:r>
              <w:rPr>
                <w:rFonts w:hint="cs"/>
                <w:b/>
                <w:bCs/>
                <w:color w:val="000000"/>
                <w:sz w:val="18"/>
                <w:szCs w:val="18"/>
                <w:rtl/>
                <w:lang w:eastAsia="he-IL"/>
              </w:rPr>
              <w:t>התקופה</w:t>
            </w:r>
          </w:p>
        </w:tc>
        <w:tc>
          <w:tcPr>
            <w:tcW w:w="685" w:type="dxa"/>
            <w:tcMar>
              <w:left w:w="58" w:type="dxa"/>
              <w:right w:w="58" w:type="dxa"/>
            </w:tcMar>
            <w:vAlign w:val="bottom"/>
          </w:tcPr>
          <w:p w14:paraId="3E2FEA29"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7" w:type="dxa"/>
            <w:vAlign w:val="bottom"/>
          </w:tcPr>
          <w:p w14:paraId="4F36F68B"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9" w:type="dxa"/>
            <w:vAlign w:val="bottom"/>
          </w:tcPr>
          <w:p w14:paraId="0A9D0F90"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7" w:type="dxa"/>
            <w:tcMar>
              <w:left w:w="58" w:type="dxa"/>
              <w:right w:w="58" w:type="dxa"/>
            </w:tcMar>
            <w:vAlign w:val="bottom"/>
          </w:tcPr>
          <w:p w14:paraId="466AAB5A"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7" w:type="dxa"/>
            <w:vAlign w:val="bottom"/>
          </w:tcPr>
          <w:p w14:paraId="053C83B3"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9" w:type="dxa"/>
            <w:tcBorders>
              <w:right w:val="nil"/>
            </w:tcBorders>
            <w:vAlign w:val="bottom"/>
          </w:tcPr>
          <w:p w14:paraId="7D9521FF"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r>
      <w:tr w:rsidR="00D0470C" w:rsidRPr="00A10E01" w14:paraId="2C017268" w14:textId="77777777" w:rsidTr="003765C0">
        <w:trPr>
          <w:jc w:val="right"/>
        </w:trPr>
        <w:tc>
          <w:tcPr>
            <w:tcW w:w="5803" w:type="dxa"/>
            <w:vAlign w:val="bottom"/>
          </w:tcPr>
          <w:p w14:paraId="6770C5BF" w14:textId="77777777" w:rsidR="00F32A2A" w:rsidRDefault="00F32A2A" w:rsidP="004C69D8">
            <w:pPr>
              <w:spacing w:line="40" w:lineRule="exact"/>
              <w:ind w:left="461" w:hanging="79"/>
              <w:jc w:val="left"/>
              <w:rPr>
                <w:b/>
                <w:bCs/>
                <w:color w:val="000000"/>
                <w:sz w:val="18"/>
                <w:szCs w:val="18"/>
                <w:rtl/>
                <w:lang w:eastAsia="he-IL"/>
              </w:rPr>
            </w:pPr>
          </w:p>
        </w:tc>
        <w:tc>
          <w:tcPr>
            <w:tcW w:w="685" w:type="dxa"/>
            <w:tcMar>
              <w:left w:w="58" w:type="dxa"/>
              <w:right w:w="58" w:type="dxa"/>
            </w:tcMar>
            <w:vAlign w:val="bottom"/>
          </w:tcPr>
          <w:p w14:paraId="6C5F2306" w14:textId="77777777" w:rsidR="00F32A2A" w:rsidRDefault="00F32A2A">
            <w:pPr>
              <w:spacing w:line="40" w:lineRule="exact"/>
              <w:rPr>
                <w:sz w:val="18"/>
                <w:szCs w:val="18"/>
                <w:rtl/>
              </w:rPr>
            </w:pPr>
          </w:p>
        </w:tc>
        <w:tc>
          <w:tcPr>
            <w:tcW w:w="827" w:type="dxa"/>
            <w:vAlign w:val="bottom"/>
          </w:tcPr>
          <w:p w14:paraId="18CF99F0" w14:textId="77777777" w:rsidR="00F32A2A" w:rsidRDefault="00F32A2A">
            <w:pPr>
              <w:spacing w:line="40" w:lineRule="exact"/>
              <w:rPr>
                <w:sz w:val="18"/>
                <w:szCs w:val="18"/>
                <w:rtl/>
              </w:rPr>
            </w:pPr>
          </w:p>
        </w:tc>
        <w:tc>
          <w:tcPr>
            <w:tcW w:w="689" w:type="dxa"/>
            <w:vAlign w:val="bottom"/>
          </w:tcPr>
          <w:p w14:paraId="6F51504B" w14:textId="77777777" w:rsidR="00F32A2A" w:rsidRDefault="00F32A2A">
            <w:pPr>
              <w:spacing w:line="40" w:lineRule="exact"/>
              <w:rPr>
                <w:sz w:val="18"/>
                <w:szCs w:val="18"/>
                <w:rtl/>
              </w:rPr>
            </w:pPr>
          </w:p>
        </w:tc>
        <w:tc>
          <w:tcPr>
            <w:tcW w:w="687" w:type="dxa"/>
            <w:tcMar>
              <w:left w:w="58" w:type="dxa"/>
              <w:right w:w="58" w:type="dxa"/>
            </w:tcMar>
            <w:vAlign w:val="bottom"/>
          </w:tcPr>
          <w:p w14:paraId="1D8251B9" w14:textId="77777777" w:rsidR="00F32A2A" w:rsidRDefault="00F32A2A">
            <w:pPr>
              <w:spacing w:line="40" w:lineRule="exact"/>
              <w:rPr>
                <w:sz w:val="18"/>
                <w:szCs w:val="18"/>
                <w:rtl/>
              </w:rPr>
            </w:pPr>
          </w:p>
        </w:tc>
        <w:tc>
          <w:tcPr>
            <w:tcW w:w="827" w:type="dxa"/>
            <w:vAlign w:val="bottom"/>
          </w:tcPr>
          <w:p w14:paraId="2B85DF14" w14:textId="77777777" w:rsidR="00F32A2A" w:rsidRDefault="00F32A2A">
            <w:pPr>
              <w:spacing w:line="40" w:lineRule="exact"/>
              <w:rPr>
                <w:sz w:val="18"/>
                <w:szCs w:val="18"/>
                <w:rtl/>
              </w:rPr>
            </w:pPr>
          </w:p>
        </w:tc>
        <w:tc>
          <w:tcPr>
            <w:tcW w:w="689" w:type="dxa"/>
            <w:tcBorders>
              <w:right w:val="nil"/>
            </w:tcBorders>
            <w:vAlign w:val="bottom"/>
          </w:tcPr>
          <w:p w14:paraId="49CBD6EF" w14:textId="77777777" w:rsidR="00F32A2A" w:rsidRDefault="00F32A2A">
            <w:pPr>
              <w:spacing w:line="40" w:lineRule="exact"/>
              <w:rPr>
                <w:sz w:val="18"/>
                <w:szCs w:val="18"/>
                <w:rtl/>
              </w:rPr>
            </w:pPr>
          </w:p>
        </w:tc>
      </w:tr>
      <w:tr w:rsidR="00D0470C" w:rsidRPr="00A10E01" w14:paraId="2383B935" w14:textId="77777777" w:rsidTr="003765C0">
        <w:trPr>
          <w:trHeight w:val="259"/>
          <w:jc w:val="right"/>
        </w:trPr>
        <w:tc>
          <w:tcPr>
            <w:tcW w:w="5803" w:type="dxa"/>
            <w:vAlign w:val="bottom"/>
          </w:tcPr>
          <w:p w14:paraId="4E8EC29E" w14:textId="77777777" w:rsidR="00F32A2A" w:rsidRDefault="00D0470C" w:rsidP="004C69D8">
            <w:pPr>
              <w:spacing w:before="20" w:line="220" w:lineRule="exact"/>
              <w:ind w:left="35" w:firstLine="284"/>
              <w:jc w:val="left"/>
              <w:rPr>
                <w:b/>
                <w:bCs/>
                <w:color w:val="000000"/>
                <w:sz w:val="18"/>
                <w:szCs w:val="18"/>
                <w:rtl/>
                <w:lang w:eastAsia="he-IL"/>
              </w:rPr>
            </w:pPr>
            <w:r w:rsidRPr="00A10E01">
              <w:rPr>
                <w:rFonts w:hint="eastAsia"/>
                <w:b/>
                <w:bCs/>
                <w:color w:val="000000"/>
                <w:sz w:val="18"/>
                <w:szCs w:val="18"/>
                <w:rtl/>
                <w:lang w:eastAsia="he-IL"/>
              </w:rPr>
              <w:t>סה</w:t>
            </w:r>
            <w:r w:rsidRPr="00A10E01">
              <w:rPr>
                <w:b/>
                <w:bCs/>
                <w:color w:val="000000"/>
                <w:sz w:val="18"/>
                <w:szCs w:val="18"/>
                <w:rtl/>
                <w:lang w:eastAsia="he-IL"/>
              </w:rPr>
              <w:t xml:space="preserve">"כ </w:t>
            </w:r>
            <w:r w:rsidRPr="00A10E01">
              <w:rPr>
                <w:rFonts w:hint="eastAsia"/>
                <w:b/>
                <w:bCs/>
                <w:color w:val="000000"/>
                <w:sz w:val="18"/>
                <w:szCs w:val="18"/>
                <w:rtl/>
                <w:lang w:eastAsia="he-IL"/>
              </w:rPr>
              <w:t>השינוי</w:t>
            </w:r>
            <w:r w:rsidRPr="00A10E01">
              <w:rPr>
                <w:b/>
                <w:bCs/>
                <w:color w:val="000000"/>
                <w:sz w:val="18"/>
                <w:szCs w:val="18"/>
                <w:rtl/>
                <w:lang w:eastAsia="he-IL"/>
              </w:rPr>
              <w:t xml:space="preserve"> </w:t>
            </w:r>
            <w:r w:rsidRPr="00A10E01">
              <w:rPr>
                <w:rFonts w:hint="eastAsia"/>
                <w:b/>
                <w:bCs/>
                <w:color w:val="000000"/>
                <w:sz w:val="18"/>
                <w:szCs w:val="18"/>
                <w:rtl/>
                <w:lang w:eastAsia="he-IL"/>
              </w:rPr>
              <w:t>נטו</w:t>
            </w:r>
            <w:r w:rsidRPr="00A10E01">
              <w:rPr>
                <w:b/>
                <w:bCs/>
                <w:color w:val="000000"/>
                <w:sz w:val="18"/>
                <w:szCs w:val="18"/>
                <w:rtl/>
                <w:lang w:eastAsia="he-IL"/>
              </w:rPr>
              <w:t xml:space="preserve"> </w:t>
            </w:r>
            <w:r w:rsidRPr="00A10E01">
              <w:rPr>
                <w:rFonts w:hint="eastAsia"/>
                <w:b/>
                <w:bCs/>
                <w:color w:val="000000"/>
                <w:sz w:val="18"/>
                <w:szCs w:val="18"/>
                <w:rtl/>
                <w:lang w:eastAsia="he-IL"/>
              </w:rPr>
              <w:t>במהלך</w:t>
            </w:r>
            <w:r w:rsidRPr="00A10E01">
              <w:rPr>
                <w:b/>
                <w:bCs/>
                <w:color w:val="000000"/>
                <w:sz w:val="18"/>
                <w:szCs w:val="18"/>
                <w:rtl/>
                <w:lang w:eastAsia="he-IL"/>
              </w:rPr>
              <w:t xml:space="preserve"> </w:t>
            </w:r>
            <w:r>
              <w:rPr>
                <w:rFonts w:hint="cs"/>
                <w:b/>
                <w:bCs/>
                <w:color w:val="000000"/>
                <w:sz w:val="18"/>
                <w:szCs w:val="18"/>
                <w:rtl/>
                <w:lang w:eastAsia="he-IL"/>
              </w:rPr>
              <w:t>התקופה</w:t>
            </w:r>
          </w:p>
        </w:tc>
        <w:tc>
          <w:tcPr>
            <w:tcW w:w="685" w:type="dxa"/>
            <w:tcMar>
              <w:left w:w="58" w:type="dxa"/>
              <w:right w:w="58" w:type="dxa"/>
            </w:tcMar>
            <w:vAlign w:val="bottom"/>
          </w:tcPr>
          <w:p w14:paraId="55CD0223"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7" w:type="dxa"/>
            <w:vAlign w:val="bottom"/>
          </w:tcPr>
          <w:p w14:paraId="34D7D148"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9" w:type="dxa"/>
            <w:vAlign w:val="bottom"/>
          </w:tcPr>
          <w:p w14:paraId="56848575"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7" w:type="dxa"/>
            <w:tcMar>
              <w:left w:w="58" w:type="dxa"/>
              <w:right w:w="58" w:type="dxa"/>
            </w:tcMar>
            <w:vAlign w:val="bottom"/>
          </w:tcPr>
          <w:p w14:paraId="3500AC3A"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7" w:type="dxa"/>
            <w:vAlign w:val="bottom"/>
          </w:tcPr>
          <w:p w14:paraId="75DBF4EC"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9" w:type="dxa"/>
            <w:tcBorders>
              <w:right w:val="nil"/>
            </w:tcBorders>
            <w:vAlign w:val="bottom"/>
          </w:tcPr>
          <w:p w14:paraId="1250095C"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r>
      <w:tr w:rsidR="00D0470C" w:rsidRPr="00A10E01" w14:paraId="285FA587" w14:textId="77777777" w:rsidTr="003765C0">
        <w:trPr>
          <w:jc w:val="right"/>
        </w:trPr>
        <w:tc>
          <w:tcPr>
            <w:tcW w:w="5803" w:type="dxa"/>
            <w:vAlign w:val="bottom"/>
          </w:tcPr>
          <w:p w14:paraId="0F64F53B" w14:textId="77777777" w:rsidR="00F32A2A" w:rsidRDefault="00F32A2A" w:rsidP="004C69D8">
            <w:pPr>
              <w:spacing w:line="40" w:lineRule="exact"/>
              <w:ind w:left="461" w:hanging="79"/>
              <w:jc w:val="left"/>
              <w:rPr>
                <w:b/>
                <w:bCs/>
                <w:color w:val="000000"/>
                <w:sz w:val="18"/>
                <w:szCs w:val="18"/>
                <w:rtl/>
                <w:lang w:eastAsia="he-IL"/>
              </w:rPr>
            </w:pPr>
          </w:p>
        </w:tc>
        <w:tc>
          <w:tcPr>
            <w:tcW w:w="685" w:type="dxa"/>
            <w:tcMar>
              <w:left w:w="58" w:type="dxa"/>
              <w:right w:w="58" w:type="dxa"/>
            </w:tcMar>
            <w:vAlign w:val="bottom"/>
          </w:tcPr>
          <w:p w14:paraId="2F209D25" w14:textId="77777777" w:rsidR="00F32A2A" w:rsidRDefault="00F32A2A">
            <w:pPr>
              <w:spacing w:line="40" w:lineRule="exact"/>
              <w:rPr>
                <w:sz w:val="18"/>
                <w:szCs w:val="18"/>
                <w:rtl/>
              </w:rPr>
            </w:pPr>
          </w:p>
        </w:tc>
        <w:tc>
          <w:tcPr>
            <w:tcW w:w="827" w:type="dxa"/>
            <w:vAlign w:val="bottom"/>
          </w:tcPr>
          <w:p w14:paraId="11395D93" w14:textId="77777777" w:rsidR="00F32A2A" w:rsidRDefault="00F32A2A">
            <w:pPr>
              <w:spacing w:line="40" w:lineRule="exact"/>
              <w:rPr>
                <w:sz w:val="18"/>
                <w:szCs w:val="18"/>
                <w:rtl/>
              </w:rPr>
            </w:pPr>
          </w:p>
        </w:tc>
        <w:tc>
          <w:tcPr>
            <w:tcW w:w="689" w:type="dxa"/>
            <w:vAlign w:val="bottom"/>
          </w:tcPr>
          <w:p w14:paraId="60C78EAB" w14:textId="77777777" w:rsidR="00F32A2A" w:rsidRDefault="00F32A2A">
            <w:pPr>
              <w:spacing w:line="40" w:lineRule="exact"/>
              <w:rPr>
                <w:sz w:val="18"/>
                <w:szCs w:val="18"/>
                <w:rtl/>
              </w:rPr>
            </w:pPr>
          </w:p>
        </w:tc>
        <w:tc>
          <w:tcPr>
            <w:tcW w:w="687" w:type="dxa"/>
            <w:tcMar>
              <w:left w:w="58" w:type="dxa"/>
              <w:right w:w="58" w:type="dxa"/>
            </w:tcMar>
            <w:vAlign w:val="bottom"/>
          </w:tcPr>
          <w:p w14:paraId="62B90DC9" w14:textId="77777777" w:rsidR="00F32A2A" w:rsidRDefault="00F32A2A">
            <w:pPr>
              <w:spacing w:line="40" w:lineRule="exact"/>
              <w:rPr>
                <w:sz w:val="18"/>
                <w:szCs w:val="18"/>
                <w:rtl/>
              </w:rPr>
            </w:pPr>
          </w:p>
        </w:tc>
        <w:tc>
          <w:tcPr>
            <w:tcW w:w="827" w:type="dxa"/>
            <w:vAlign w:val="bottom"/>
          </w:tcPr>
          <w:p w14:paraId="7052C5C9" w14:textId="77777777" w:rsidR="00F32A2A" w:rsidRDefault="00F32A2A">
            <w:pPr>
              <w:spacing w:line="40" w:lineRule="exact"/>
              <w:rPr>
                <w:sz w:val="18"/>
                <w:szCs w:val="18"/>
                <w:rtl/>
              </w:rPr>
            </w:pPr>
          </w:p>
        </w:tc>
        <w:tc>
          <w:tcPr>
            <w:tcW w:w="689" w:type="dxa"/>
            <w:tcBorders>
              <w:right w:val="nil"/>
            </w:tcBorders>
            <w:vAlign w:val="bottom"/>
          </w:tcPr>
          <w:p w14:paraId="327AB432" w14:textId="77777777" w:rsidR="00F32A2A" w:rsidRDefault="00F32A2A">
            <w:pPr>
              <w:spacing w:line="40" w:lineRule="exact"/>
              <w:rPr>
                <w:sz w:val="18"/>
                <w:szCs w:val="18"/>
                <w:rtl/>
              </w:rPr>
            </w:pPr>
          </w:p>
        </w:tc>
      </w:tr>
      <w:tr w:rsidR="00D0470C" w:rsidRPr="00A10E01" w14:paraId="3E093A81" w14:textId="77777777" w:rsidTr="003765C0">
        <w:trPr>
          <w:trHeight w:val="259"/>
          <w:jc w:val="right"/>
        </w:trPr>
        <w:tc>
          <w:tcPr>
            <w:tcW w:w="5803" w:type="dxa"/>
            <w:vAlign w:val="bottom"/>
          </w:tcPr>
          <w:p w14:paraId="785DEAD4" w14:textId="77777777" w:rsidR="00F32A2A" w:rsidRPr="004C69D8" w:rsidRDefault="00D0470C" w:rsidP="004C69D8">
            <w:pPr>
              <w:spacing w:line="220" w:lineRule="exact"/>
              <w:ind w:left="319"/>
              <w:jc w:val="left"/>
              <w:rPr>
                <w:b/>
                <w:bCs/>
                <w:color w:val="000000"/>
                <w:sz w:val="18"/>
                <w:szCs w:val="18"/>
                <w:u w:val="single"/>
                <w:rtl/>
                <w:lang w:eastAsia="he-IL"/>
              </w:rPr>
            </w:pPr>
            <w:r w:rsidRPr="004C69D8">
              <w:rPr>
                <w:rFonts w:hint="eastAsia"/>
                <w:b/>
                <w:bCs/>
                <w:color w:val="000000"/>
                <w:sz w:val="18"/>
                <w:szCs w:val="18"/>
                <w:u w:val="single"/>
                <w:rtl/>
                <w:lang w:eastAsia="he-IL"/>
              </w:rPr>
              <w:t>השינויים</w:t>
            </w:r>
            <w:r w:rsidRPr="004C69D8">
              <w:rPr>
                <w:b/>
                <w:bCs/>
                <w:color w:val="000000"/>
                <w:sz w:val="18"/>
                <w:szCs w:val="18"/>
                <w:u w:val="single"/>
                <w:rtl/>
                <w:lang w:eastAsia="he-IL"/>
              </w:rPr>
              <w:t xml:space="preserve"> </w:t>
            </w:r>
            <w:r w:rsidRPr="004C69D8">
              <w:rPr>
                <w:rFonts w:hint="eastAsia"/>
                <w:b/>
                <w:bCs/>
                <w:color w:val="000000"/>
                <w:sz w:val="18"/>
                <w:szCs w:val="18"/>
                <w:u w:val="single"/>
                <w:rtl/>
                <w:lang w:eastAsia="he-IL"/>
              </w:rPr>
              <w:t>במרכיבי</w:t>
            </w:r>
            <w:r w:rsidRPr="004C69D8">
              <w:rPr>
                <w:b/>
                <w:bCs/>
                <w:color w:val="000000"/>
                <w:sz w:val="18"/>
                <w:szCs w:val="18"/>
                <w:u w:val="single"/>
                <w:rtl/>
                <w:lang w:eastAsia="he-IL"/>
              </w:rPr>
              <w:t xml:space="preserve"> </w:t>
            </w:r>
            <w:r w:rsidRPr="004C69D8">
              <w:rPr>
                <w:rFonts w:hint="eastAsia"/>
                <w:b/>
                <w:bCs/>
                <w:color w:val="000000"/>
                <w:sz w:val="18"/>
                <w:szCs w:val="18"/>
                <w:u w:val="single"/>
                <w:rtl/>
                <w:lang w:eastAsia="he-IL"/>
              </w:rPr>
              <w:t>רווח</w:t>
            </w:r>
            <w:r w:rsidRPr="004C69D8">
              <w:rPr>
                <w:b/>
                <w:bCs/>
                <w:color w:val="000000"/>
                <w:sz w:val="18"/>
                <w:szCs w:val="18"/>
                <w:u w:val="single"/>
                <w:rtl/>
                <w:lang w:eastAsia="he-IL"/>
              </w:rPr>
              <w:t xml:space="preserve"> (הפסד) </w:t>
            </w:r>
            <w:r w:rsidRPr="004C69D8">
              <w:rPr>
                <w:rFonts w:hint="eastAsia"/>
                <w:b/>
                <w:bCs/>
                <w:color w:val="000000"/>
                <w:sz w:val="18"/>
                <w:szCs w:val="18"/>
                <w:u w:val="single"/>
                <w:rtl/>
                <w:lang w:eastAsia="he-IL"/>
              </w:rPr>
              <w:t>כולל</w:t>
            </w:r>
            <w:r w:rsidRPr="004C69D8">
              <w:rPr>
                <w:b/>
                <w:bCs/>
                <w:color w:val="000000"/>
                <w:sz w:val="18"/>
                <w:szCs w:val="18"/>
                <w:u w:val="single"/>
                <w:rtl/>
                <w:lang w:eastAsia="he-IL"/>
              </w:rPr>
              <w:t xml:space="preserve"> </w:t>
            </w:r>
            <w:r w:rsidRPr="004C69D8">
              <w:rPr>
                <w:rFonts w:hint="eastAsia"/>
                <w:b/>
                <w:bCs/>
                <w:color w:val="000000"/>
                <w:sz w:val="18"/>
                <w:szCs w:val="18"/>
                <w:u w:val="single"/>
                <w:rtl/>
                <w:lang w:eastAsia="he-IL"/>
              </w:rPr>
              <w:t>אחר</w:t>
            </w:r>
            <w:r w:rsidRPr="004C69D8">
              <w:rPr>
                <w:b/>
                <w:bCs/>
                <w:color w:val="000000"/>
                <w:sz w:val="18"/>
                <w:szCs w:val="18"/>
                <w:u w:val="single"/>
                <w:rtl/>
                <w:lang w:eastAsia="he-IL"/>
              </w:rPr>
              <w:t xml:space="preserve"> המיוחס לבעלי זכויות </w:t>
            </w:r>
            <w:r w:rsidRPr="004C69D8">
              <w:rPr>
                <w:rFonts w:hint="cs"/>
                <w:b/>
                <w:bCs/>
                <w:color w:val="000000"/>
                <w:sz w:val="18"/>
                <w:szCs w:val="18"/>
                <w:u w:val="single"/>
                <w:rtl/>
                <w:lang w:eastAsia="he-IL"/>
              </w:rPr>
              <w:br/>
            </w:r>
            <w:r w:rsidRPr="004C69D8">
              <w:rPr>
                <w:b/>
                <w:bCs/>
                <w:color w:val="000000"/>
                <w:sz w:val="18"/>
                <w:szCs w:val="18"/>
                <w:u w:val="single"/>
                <w:rtl/>
                <w:lang w:eastAsia="he-IL"/>
              </w:rPr>
              <w:t>שאינן מקנות שליטה:</w:t>
            </w:r>
          </w:p>
        </w:tc>
        <w:tc>
          <w:tcPr>
            <w:tcW w:w="685" w:type="dxa"/>
            <w:tcMar>
              <w:left w:w="58" w:type="dxa"/>
              <w:right w:w="58" w:type="dxa"/>
            </w:tcMar>
            <w:vAlign w:val="bottom"/>
          </w:tcPr>
          <w:p w14:paraId="4606CF76" w14:textId="77777777" w:rsidR="00D0470C" w:rsidRPr="00A10E01" w:rsidRDefault="00D0470C" w:rsidP="006F3019">
            <w:pPr>
              <w:spacing w:before="20" w:line="220" w:lineRule="exact"/>
              <w:rPr>
                <w:sz w:val="18"/>
                <w:szCs w:val="18"/>
                <w:rtl/>
              </w:rPr>
            </w:pPr>
          </w:p>
        </w:tc>
        <w:tc>
          <w:tcPr>
            <w:tcW w:w="827" w:type="dxa"/>
            <w:vAlign w:val="bottom"/>
          </w:tcPr>
          <w:p w14:paraId="0E51B2DE" w14:textId="77777777" w:rsidR="00D0470C" w:rsidRPr="00A10E01" w:rsidRDefault="00D0470C" w:rsidP="006F3019">
            <w:pPr>
              <w:spacing w:before="20" w:line="220" w:lineRule="exact"/>
              <w:rPr>
                <w:sz w:val="18"/>
                <w:szCs w:val="18"/>
                <w:rtl/>
              </w:rPr>
            </w:pPr>
          </w:p>
        </w:tc>
        <w:tc>
          <w:tcPr>
            <w:tcW w:w="689" w:type="dxa"/>
            <w:vAlign w:val="bottom"/>
          </w:tcPr>
          <w:p w14:paraId="6F47AFAF" w14:textId="77777777" w:rsidR="00D0470C" w:rsidRPr="00A10E01" w:rsidRDefault="00D0470C" w:rsidP="006F3019">
            <w:pPr>
              <w:spacing w:before="20" w:line="220" w:lineRule="exact"/>
              <w:rPr>
                <w:sz w:val="18"/>
                <w:szCs w:val="18"/>
                <w:rtl/>
              </w:rPr>
            </w:pPr>
          </w:p>
        </w:tc>
        <w:tc>
          <w:tcPr>
            <w:tcW w:w="687" w:type="dxa"/>
            <w:tcMar>
              <w:left w:w="58" w:type="dxa"/>
              <w:right w:w="58" w:type="dxa"/>
            </w:tcMar>
            <w:vAlign w:val="bottom"/>
          </w:tcPr>
          <w:p w14:paraId="2C2BBFE4" w14:textId="77777777" w:rsidR="00D0470C" w:rsidRPr="00A10E01" w:rsidRDefault="00D0470C" w:rsidP="006F3019">
            <w:pPr>
              <w:spacing w:before="20" w:line="220" w:lineRule="exact"/>
              <w:rPr>
                <w:sz w:val="18"/>
                <w:szCs w:val="18"/>
                <w:rtl/>
              </w:rPr>
            </w:pPr>
          </w:p>
        </w:tc>
        <w:tc>
          <w:tcPr>
            <w:tcW w:w="827" w:type="dxa"/>
            <w:vAlign w:val="bottom"/>
          </w:tcPr>
          <w:p w14:paraId="256D5649" w14:textId="77777777" w:rsidR="00D0470C" w:rsidRPr="00A10E01" w:rsidRDefault="00D0470C" w:rsidP="006F3019">
            <w:pPr>
              <w:spacing w:before="20" w:line="220" w:lineRule="exact"/>
              <w:rPr>
                <w:sz w:val="18"/>
                <w:szCs w:val="18"/>
                <w:rtl/>
              </w:rPr>
            </w:pPr>
          </w:p>
        </w:tc>
        <w:tc>
          <w:tcPr>
            <w:tcW w:w="689" w:type="dxa"/>
            <w:tcBorders>
              <w:right w:val="nil"/>
            </w:tcBorders>
            <w:vAlign w:val="bottom"/>
          </w:tcPr>
          <w:p w14:paraId="6E93FACB" w14:textId="77777777" w:rsidR="00D0470C" w:rsidRPr="00A10E01" w:rsidRDefault="00D0470C" w:rsidP="006F3019">
            <w:pPr>
              <w:spacing w:before="20" w:line="220" w:lineRule="exact"/>
              <w:rPr>
                <w:sz w:val="18"/>
                <w:szCs w:val="18"/>
                <w:rtl/>
              </w:rPr>
            </w:pPr>
          </w:p>
        </w:tc>
      </w:tr>
      <w:tr w:rsidR="00D0470C" w:rsidRPr="00A10E01" w14:paraId="3899CE9F" w14:textId="77777777" w:rsidTr="003765C0">
        <w:trPr>
          <w:trHeight w:val="259"/>
          <w:jc w:val="right"/>
        </w:trPr>
        <w:tc>
          <w:tcPr>
            <w:tcW w:w="5803" w:type="dxa"/>
            <w:vAlign w:val="bottom"/>
          </w:tcPr>
          <w:p w14:paraId="03162AFA" w14:textId="77777777" w:rsidR="00F32A2A" w:rsidRDefault="00D0470C" w:rsidP="004C69D8">
            <w:pPr>
              <w:spacing w:before="20" w:line="220" w:lineRule="exact"/>
              <w:ind w:left="35" w:firstLine="284"/>
              <w:jc w:val="left"/>
              <w:rPr>
                <w:b/>
                <w:bCs/>
                <w:color w:val="000000"/>
                <w:sz w:val="18"/>
                <w:szCs w:val="18"/>
                <w:rtl/>
                <w:lang w:eastAsia="he-IL"/>
              </w:rPr>
            </w:pPr>
            <w:r w:rsidRPr="00A10E01">
              <w:rPr>
                <w:rFonts w:hint="eastAsia"/>
                <w:b/>
                <w:bCs/>
                <w:color w:val="000000"/>
                <w:sz w:val="18"/>
                <w:szCs w:val="18"/>
                <w:rtl/>
                <w:lang w:eastAsia="he-IL"/>
              </w:rPr>
              <w:t>סה</w:t>
            </w:r>
            <w:r w:rsidRPr="00A10E01">
              <w:rPr>
                <w:b/>
                <w:bCs/>
                <w:color w:val="000000"/>
                <w:sz w:val="18"/>
                <w:szCs w:val="18"/>
                <w:rtl/>
                <w:lang w:eastAsia="he-IL"/>
              </w:rPr>
              <w:t xml:space="preserve">"כ </w:t>
            </w:r>
            <w:r w:rsidRPr="00A10E01">
              <w:rPr>
                <w:rFonts w:hint="eastAsia"/>
                <w:b/>
                <w:bCs/>
                <w:color w:val="000000"/>
                <w:sz w:val="18"/>
                <w:szCs w:val="18"/>
                <w:rtl/>
                <w:lang w:eastAsia="he-IL"/>
              </w:rPr>
              <w:t>השינוי</w:t>
            </w:r>
            <w:r w:rsidRPr="00A10E01">
              <w:rPr>
                <w:b/>
                <w:bCs/>
                <w:color w:val="000000"/>
                <w:sz w:val="18"/>
                <w:szCs w:val="18"/>
                <w:rtl/>
                <w:lang w:eastAsia="he-IL"/>
              </w:rPr>
              <w:t xml:space="preserve"> </w:t>
            </w:r>
            <w:r w:rsidRPr="00A10E01">
              <w:rPr>
                <w:rFonts w:hint="eastAsia"/>
                <w:b/>
                <w:bCs/>
                <w:color w:val="000000"/>
                <w:sz w:val="18"/>
                <w:szCs w:val="18"/>
                <w:rtl/>
                <w:lang w:eastAsia="he-IL"/>
              </w:rPr>
              <w:t>נטו</w:t>
            </w:r>
            <w:r w:rsidRPr="00A10E01">
              <w:rPr>
                <w:b/>
                <w:bCs/>
                <w:color w:val="000000"/>
                <w:sz w:val="18"/>
                <w:szCs w:val="18"/>
                <w:rtl/>
                <w:lang w:eastAsia="he-IL"/>
              </w:rPr>
              <w:t xml:space="preserve"> </w:t>
            </w:r>
            <w:r w:rsidRPr="00A10E01">
              <w:rPr>
                <w:rFonts w:hint="eastAsia"/>
                <w:b/>
                <w:bCs/>
                <w:color w:val="000000"/>
                <w:sz w:val="18"/>
                <w:szCs w:val="18"/>
                <w:rtl/>
                <w:lang w:eastAsia="he-IL"/>
              </w:rPr>
              <w:t>במהלך</w:t>
            </w:r>
            <w:r w:rsidRPr="00A10E01">
              <w:rPr>
                <w:b/>
                <w:bCs/>
                <w:color w:val="000000"/>
                <w:sz w:val="18"/>
                <w:szCs w:val="18"/>
                <w:rtl/>
                <w:lang w:eastAsia="he-IL"/>
              </w:rPr>
              <w:t xml:space="preserve"> </w:t>
            </w:r>
            <w:r>
              <w:rPr>
                <w:rFonts w:hint="cs"/>
                <w:b/>
                <w:bCs/>
                <w:color w:val="000000"/>
                <w:sz w:val="18"/>
                <w:szCs w:val="18"/>
                <w:rtl/>
                <w:lang w:eastAsia="he-IL"/>
              </w:rPr>
              <w:t>התקופה</w:t>
            </w:r>
          </w:p>
        </w:tc>
        <w:tc>
          <w:tcPr>
            <w:tcW w:w="685" w:type="dxa"/>
            <w:tcMar>
              <w:left w:w="58" w:type="dxa"/>
              <w:right w:w="58" w:type="dxa"/>
            </w:tcMar>
            <w:vAlign w:val="bottom"/>
          </w:tcPr>
          <w:p w14:paraId="047B7092" w14:textId="77777777" w:rsidR="00D0470C" w:rsidRPr="00A10E01" w:rsidRDefault="00D0470C" w:rsidP="006F3019">
            <w:pPr>
              <w:pBdr>
                <w:bottom w:val="single" w:sz="4" w:space="1" w:color="auto"/>
              </w:pBdr>
              <w:spacing w:before="20" w:line="220" w:lineRule="exact"/>
              <w:rPr>
                <w:b/>
                <w:bCs/>
                <w:sz w:val="18"/>
                <w:szCs w:val="18"/>
                <w:rtl/>
              </w:rPr>
            </w:pPr>
            <w:r w:rsidRPr="00A10E01">
              <w:rPr>
                <w:b/>
                <w:bCs/>
                <w:sz w:val="18"/>
                <w:szCs w:val="18"/>
                <w:rtl/>
              </w:rPr>
              <w:t xml:space="preserve"> 0</w:t>
            </w:r>
          </w:p>
        </w:tc>
        <w:tc>
          <w:tcPr>
            <w:tcW w:w="827" w:type="dxa"/>
            <w:vAlign w:val="bottom"/>
          </w:tcPr>
          <w:p w14:paraId="0E9A49EA" w14:textId="77777777" w:rsidR="00D0470C" w:rsidRPr="00A10E01" w:rsidRDefault="00D0470C" w:rsidP="006F3019">
            <w:pPr>
              <w:pBdr>
                <w:bottom w:val="single" w:sz="4" w:space="1" w:color="auto"/>
              </w:pBdr>
              <w:spacing w:before="20" w:line="220" w:lineRule="exact"/>
              <w:rPr>
                <w:b/>
                <w:bCs/>
                <w:sz w:val="18"/>
                <w:szCs w:val="18"/>
                <w:rtl/>
              </w:rPr>
            </w:pPr>
            <w:r w:rsidRPr="00A10E01">
              <w:rPr>
                <w:b/>
                <w:bCs/>
                <w:sz w:val="18"/>
                <w:szCs w:val="18"/>
                <w:rtl/>
              </w:rPr>
              <w:t xml:space="preserve"> 0</w:t>
            </w:r>
          </w:p>
        </w:tc>
        <w:tc>
          <w:tcPr>
            <w:tcW w:w="689" w:type="dxa"/>
            <w:vAlign w:val="bottom"/>
          </w:tcPr>
          <w:p w14:paraId="50125B4E" w14:textId="77777777" w:rsidR="00D0470C" w:rsidRPr="00A10E01" w:rsidRDefault="00D0470C" w:rsidP="006F3019">
            <w:pPr>
              <w:pBdr>
                <w:bottom w:val="single" w:sz="4" w:space="1" w:color="auto"/>
              </w:pBdr>
              <w:spacing w:before="20" w:line="220" w:lineRule="exact"/>
              <w:rPr>
                <w:b/>
                <w:bCs/>
                <w:sz w:val="18"/>
                <w:szCs w:val="18"/>
                <w:rtl/>
              </w:rPr>
            </w:pPr>
            <w:r w:rsidRPr="00A10E01">
              <w:rPr>
                <w:b/>
                <w:bCs/>
                <w:sz w:val="18"/>
                <w:szCs w:val="18"/>
                <w:rtl/>
              </w:rPr>
              <w:t xml:space="preserve"> 0</w:t>
            </w:r>
          </w:p>
        </w:tc>
        <w:tc>
          <w:tcPr>
            <w:tcW w:w="687" w:type="dxa"/>
            <w:tcMar>
              <w:left w:w="58" w:type="dxa"/>
              <w:right w:w="58" w:type="dxa"/>
            </w:tcMar>
            <w:vAlign w:val="bottom"/>
          </w:tcPr>
          <w:p w14:paraId="6B45B0F6" w14:textId="77777777" w:rsidR="00D0470C" w:rsidRPr="00A10E01" w:rsidRDefault="00D0470C" w:rsidP="006F3019">
            <w:pPr>
              <w:pBdr>
                <w:bottom w:val="single" w:sz="4" w:space="1" w:color="auto"/>
              </w:pBdr>
              <w:spacing w:before="20" w:line="220" w:lineRule="exact"/>
              <w:rPr>
                <w:b/>
                <w:bCs/>
                <w:sz w:val="18"/>
                <w:szCs w:val="18"/>
                <w:rtl/>
              </w:rPr>
            </w:pPr>
            <w:r w:rsidRPr="00A10E01">
              <w:rPr>
                <w:b/>
                <w:bCs/>
                <w:sz w:val="18"/>
                <w:szCs w:val="18"/>
                <w:rtl/>
              </w:rPr>
              <w:t xml:space="preserve"> 0</w:t>
            </w:r>
          </w:p>
        </w:tc>
        <w:tc>
          <w:tcPr>
            <w:tcW w:w="827" w:type="dxa"/>
            <w:vAlign w:val="bottom"/>
          </w:tcPr>
          <w:p w14:paraId="6BA2CBFE" w14:textId="77777777" w:rsidR="00D0470C" w:rsidRPr="00A10E01" w:rsidRDefault="00D0470C" w:rsidP="006F3019">
            <w:pPr>
              <w:pBdr>
                <w:bottom w:val="single" w:sz="4" w:space="1" w:color="auto"/>
              </w:pBdr>
              <w:spacing w:before="20" w:line="220" w:lineRule="exact"/>
              <w:rPr>
                <w:b/>
                <w:bCs/>
                <w:sz w:val="18"/>
                <w:szCs w:val="18"/>
                <w:rtl/>
              </w:rPr>
            </w:pPr>
            <w:r w:rsidRPr="00A10E01">
              <w:rPr>
                <w:b/>
                <w:bCs/>
                <w:sz w:val="18"/>
                <w:szCs w:val="18"/>
                <w:rtl/>
              </w:rPr>
              <w:t xml:space="preserve"> 0</w:t>
            </w:r>
          </w:p>
        </w:tc>
        <w:tc>
          <w:tcPr>
            <w:tcW w:w="689" w:type="dxa"/>
            <w:tcBorders>
              <w:right w:val="nil"/>
            </w:tcBorders>
            <w:vAlign w:val="bottom"/>
          </w:tcPr>
          <w:p w14:paraId="5F78CE93" w14:textId="77777777" w:rsidR="00D0470C" w:rsidRPr="00A10E01" w:rsidRDefault="00D0470C" w:rsidP="006F3019">
            <w:pPr>
              <w:pBdr>
                <w:bottom w:val="single" w:sz="4" w:space="1" w:color="auto"/>
              </w:pBdr>
              <w:spacing w:before="20" w:line="220" w:lineRule="exact"/>
              <w:rPr>
                <w:b/>
                <w:bCs/>
                <w:sz w:val="18"/>
                <w:szCs w:val="18"/>
                <w:rtl/>
              </w:rPr>
            </w:pPr>
            <w:r w:rsidRPr="00A10E01">
              <w:rPr>
                <w:b/>
                <w:bCs/>
                <w:sz w:val="18"/>
                <w:szCs w:val="18"/>
                <w:rtl/>
              </w:rPr>
              <w:t xml:space="preserve"> 0</w:t>
            </w:r>
          </w:p>
        </w:tc>
      </w:tr>
      <w:tr w:rsidR="00D0470C" w:rsidRPr="00A10E01" w14:paraId="697FA63E" w14:textId="77777777" w:rsidTr="003765C0">
        <w:trPr>
          <w:trHeight w:val="259"/>
          <w:jc w:val="right"/>
        </w:trPr>
        <w:tc>
          <w:tcPr>
            <w:tcW w:w="5803" w:type="dxa"/>
            <w:vAlign w:val="bottom"/>
          </w:tcPr>
          <w:p w14:paraId="7F986ED8" w14:textId="77777777" w:rsidR="00F32A2A" w:rsidRDefault="00D0470C" w:rsidP="004C69D8">
            <w:pPr>
              <w:spacing w:line="220" w:lineRule="exact"/>
              <w:ind w:left="319"/>
              <w:jc w:val="left"/>
              <w:rPr>
                <w:b/>
                <w:bCs/>
                <w:color w:val="000000"/>
                <w:sz w:val="18"/>
                <w:szCs w:val="18"/>
                <w:rtl/>
                <w:lang w:eastAsia="he-IL"/>
              </w:rPr>
            </w:pPr>
            <w:r w:rsidRPr="00A10E01">
              <w:rPr>
                <w:rFonts w:hint="eastAsia"/>
                <w:b/>
                <w:bCs/>
                <w:color w:val="000000"/>
                <w:sz w:val="18"/>
                <w:szCs w:val="18"/>
                <w:u w:val="single"/>
                <w:rtl/>
                <w:lang w:eastAsia="he-IL"/>
              </w:rPr>
              <w:t>השינויים</w:t>
            </w:r>
            <w:r w:rsidRPr="00A10E01">
              <w:rPr>
                <w:b/>
                <w:bCs/>
                <w:color w:val="000000"/>
                <w:sz w:val="18"/>
                <w:szCs w:val="18"/>
                <w:u w:val="single"/>
                <w:rtl/>
                <w:lang w:eastAsia="he-IL"/>
              </w:rPr>
              <w:t xml:space="preserve"> </w:t>
            </w:r>
            <w:r w:rsidRPr="00A10E01">
              <w:rPr>
                <w:rFonts w:hint="eastAsia"/>
                <w:b/>
                <w:bCs/>
                <w:color w:val="000000"/>
                <w:sz w:val="18"/>
                <w:szCs w:val="18"/>
                <w:u w:val="single"/>
                <w:rtl/>
                <w:lang w:eastAsia="he-IL"/>
              </w:rPr>
              <w:t>במרכיבי</w:t>
            </w:r>
            <w:r w:rsidRPr="00A10E01">
              <w:rPr>
                <w:b/>
                <w:bCs/>
                <w:color w:val="000000"/>
                <w:sz w:val="18"/>
                <w:szCs w:val="18"/>
                <w:u w:val="single"/>
                <w:rtl/>
                <w:lang w:eastAsia="he-IL"/>
              </w:rPr>
              <w:t xml:space="preserve"> </w:t>
            </w:r>
            <w:r w:rsidRPr="00A10E01">
              <w:rPr>
                <w:rFonts w:hint="eastAsia"/>
                <w:b/>
                <w:bCs/>
                <w:color w:val="000000"/>
                <w:sz w:val="18"/>
                <w:szCs w:val="18"/>
                <w:u w:val="single"/>
                <w:rtl/>
                <w:lang w:eastAsia="he-IL"/>
              </w:rPr>
              <w:t>רווח</w:t>
            </w:r>
            <w:r w:rsidRPr="00A10E01">
              <w:rPr>
                <w:b/>
                <w:bCs/>
                <w:color w:val="000000"/>
                <w:sz w:val="18"/>
                <w:szCs w:val="18"/>
                <w:u w:val="single"/>
                <w:rtl/>
                <w:lang w:eastAsia="he-IL"/>
              </w:rPr>
              <w:t xml:space="preserve"> (הפסד) </w:t>
            </w:r>
            <w:r w:rsidRPr="00A10E01">
              <w:rPr>
                <w:rFonts w:hint="eastAsia"/>
                <w:b/>
                <w:bCs/>
                <w:color w:val="000000"/>
                <w:sz w:val="18"/>
                <w:szCs w:val="18"/>
                <w:u w:val="single"/>
                <w:rtl/>
                <w:lang w:eastAsia="he-IL"/>
              </w:rPr>
              <w:t>כולל</w:t>
            </w:r>
            <w:r w:rsidRPr="00A10E01">
              <w:rPr>
                <w:b/>
                <w:bCs/>
                <w:color w:val="000000"/>
                <w:sz w:val="18"/>
                <w:szCs w:val="18"/>
                <w:u w:val="single"/>
                <w:rtl/>
                <w:lang w:eastAsia="he-IL"/>
              </w:rPr>
              <w:t xml:space="preserve"> </w:t>
            </w:r>
            <w:r w:rsidRPr="00A10E01">
              <w:rPr>
                <w:rFonts w:hint="eastAsia"/>
                <w:b/>
                <w:bCs/>
                <w:color w:val="000000"/>
                <w:sz w:val="18"/>
                <w:szCs w:val="18"/>
                <w:u w:val="single"/>
                <w:rtl/>
                <w:lang w:eastAsia="he-IL"/>
              </w:rPr>
              <w:t>אחר</w:t>
            </w:r>
            <w:r w:rsidRPr="00A10E01">
              <w:rPr>
                <w:b/>
                <w:bCs/>
                <w:color w:val="000000"/>
                <w:sz w:val="18"/>
                <w:szCs w:val="18"/>
                <w:u w:val="single"/>
                <w:rtl/>
                <w:lang w:eastAsia="he-IL"/>
              </w:rPr>
              <w:t xml:space="preserve"> המיוחס לבעלי מניות </w:t>
            </w:r>
            <w:r>
              <w:rPr>
                <w:rFonts w:hint="cs"/>
                <w:b/>
                <w:bCs/>
                <w:color w:val="000000"/>
                <w:sz w:val="18"/>
                <w:szCs w:val="18"/>
                <w:u w:val="single"/>
                <w:rtl/>
                <w:lang w:eastAsia="he-IL"/>
              </w:rPr>
              <w:br/>
            </w:r>
            <w:r w:rsidRPr="00A10E01">
              <w:rPr>
                <w:b/>
                <w:bCs/>
                <w:color w:val="000000"/>
                <w:sz w:val="18"/>
                <w:szCs w:val="18"/>
                <w:u w:val="single"/>
                <w:rtl/>
                <w:lang w:eastAsia="he-IL"/>
              </w:rPr>
              <w:t>התאגיד הבנקאי</w:t>
            </w:r>
            <w:r w:rsidRPr="00A10E01">
              <w:rPr>
                <w:b/>
                <w:bCs/>
                <w:color w:val="000000"/>
                <w:sz w:val="18"/>
                <w:szCs w:val="18"/>
                <w:rtl/>
                <w:lang w:eastAsia="he-IL"/>
              </w:rPr>
              <w:t>:</w:t>
            </w:r>
          </w:p>
        </w:tc>
        <w:tc>
          <w:tcPr>
            <w:tcW w:w="685" w:type="dxa"/>
            <w:tcMar>
              <w:left w:w="58" w:type="dxa"/>
              <w:right w:w="58" w:type="dxa"/>
            </w:tcMar>
            <w:vAlign w:val="bottom"/>
          </w:tcPr>
          <w:p w14:paraId="15E14071" w14:textId="77777777" w:rsidR="00D0470C" w:rsidRPr="00A10E01" w:rsidRDefault="00D0470C" w:rsidP="006F3019">
            <w:pPr>
              <w:spacing w:before="20" w:line="220" w:lineRule="exact"/>
              <w:rPr>
                <w:sz w:val="18"/>
                <w:szCs w:val="18"/>
                <w:rtl/>
              </w:rPr>
            </w:pPr>
          </w:p>
        </w:tc>
        <w:tc>
          <w:tcPr>
            <w:tcW w:w="827" w:type="dxa"/>
            <w:vAlign w:val="bottom"/>
          </w:tcPr>
          <w:p w14:paraId="7D71FF25" w14:textId="77777777" w:rsidR="00D0470C" w:rsidRPr="00A10E01" w:rsidRDefault="00D0470C" w:rsidP="006F3019">
            <w:pPr>
              <w:spacing w:before="20" w:line="220" w:lineRule="exact"/>
              <w:rPr>
                <w:sz w:val="18"/>
                <w:szCs w:val="18"/>
                <w:rtl/>
              </w:rPr>
            </w:pPr>
          </w:p>
        </w:tc>
        <w:tc>
          <w:tcPr>
            <w:tcW w:w="689" w:type="dxa"/>
            <w:vAlign w:val="bottom"/>
          </w:tcPr>
          <w:p w14:paraId="19563551" w14:textId="77777777" w:rsidR="00D0470C" w:rsidRPr="00A10E01" w:rsidRDefault="00D0470C" w:rsidP="006F3019">
            <w:pPr>
              <w:spacing w:before="20" w:line="220" w:lineRule="exact"/>
              <w:rPr>
                <w:sz w:val="18"/>
                <w:szCs w:val="18"/>
                <w:rtl/>
              </w:rPr>
            </w:pPr>
          </w:p>
        </w:tc>
        <w:tc>
          <w:tcPr>
            <w:tcW w:w="687" w:type="dxa"/>
            <w:tcMar>
              <w:left w:w="58" w:type="dxa"/>
              <w:right w:w="58" w:type="dxa"/>
            </w:tcMar>
            <w:vAlign w:val="bottom"/>
          </w:tcPr>
          <w:p w14:paraId="1B48161B" w14:textId="77777777" w:rsidR="00D0470C" w:rsidRPr="00A10E01" w:rsidRDefault="00D0470C" w:rsidP="006F3019">
            <w:pPr>
              <w:spacing w:before="20" w:line="220" w:lineRule="exact"/>
              <w:rPr>
                <w:sz w:val="18"/>
                <w:szCs w:val="18"/>
                <w:rtl/>
              </w:rPr>
            </w:pPr>
          </w:p>
        </w:tc>
        <w:tc>
          <w:tcPr>
            <w:tcW w:w="827" w:type="dxa"/>
            <w:vAlign w:val="bottom"/>
          </w:tcPr>
          <w:p w14:paraId="3784CDB2" w14:textId="77777777" w:rsidR="00D0470C" w:rsidRPr="00A10E01" w:rsidRDefault="00D0470C" w:rsidP="006F3019">
            <w:pPr>
              <w:spacing w:before="20" w:line="220" w:lineRule="exact"/>
              <w:rPr>
                <w:sz w:val="18"/>
                <w:szCs w:val="18"/>
                <w:rtl/>
              </w:rPr>
            </w:pPr>
          </w:p>
        </w:tc>
        <w:tc>
          <w:tcPr>
            <w:tcW w:w="689" w:type="dxa"/>
            <w:tcBorders>
              <w:right w:val="nil"/>
            </w:tcBorders>
            <w:vAlign w:val="bottom"/>
          </w:tcPr>
          <w:p w14:paraId="7CD3EEDE" w14:textId="77777777" w:rsidR="00D0470C" w:rsidRPr="00A10E01" w:rsidRDefault="00D0470C" w:rsidP="006F3019">
            <w:pPr>
              <w:spacing w:before="20" w:line="220" w:lineRule="exact"/>
              <w:rPr>
                <w:sz w:val="18"/>
                <w:szCs w:val="18"/>
                <w:rtl/>
              </w:rPr>
            </w:pPr>
          </w:p>
        </w:tc>
      </w:tr>
      <w:tr w:rsidR="00D0470C" w:rsidRPr="00A10E01" w14:paraId="3D065D20" w14:textId="77777777" w:rsidTr="003765C0">
        <w:trPr>
          <w:trHeight w:val="259"/>
          <w:jc w:val="right"/>
        </w:trPr>
        <w:tc>
          <w:tcPr>
            <w:tcW w:w="5803" w:type="dxa"/>
            <w:vAlign w:val="bottom"/>
          </w:tcPr>
          <w:p w14:paraId="6119926E" w14:textId="77777777" w:rsidR="00F32A2A" w:rsidRDefault="00D0470C" w:rsidP="004C69D8">
            <w:pPr>
              <w:spacing w:before="20" w:line="220" w:lineRule="exact"/>
              <w:ind w:left="461" w:hanging="79"/>
              <w:jc w:val="left"/>
              <w:rPr>
                <w:b/>
                <w:bCs/>
                <w:color w:val="000000"/>
                <w:sz w:val="18"/>
                <w:szCs w:val="18"/>
                <w:rtl/>
                <w:lang w:eastAsia="he-IL"/>
              </w:rPr>
            </w:pPr>
            <w:r w:rsidRPr="00A10E01">
              <w:rPr>
                <w:rFonts w:hint="eastAsia"/>
                <w:b/>
                <w:bCs/>
                <w:color w:val="000000"/>
                <w:sz w:val="18"/>
                <w:szCs w:val="18"/>
                <w:rtl/>
                <w:lang w:eastAsia="he-IL"/>
              </w:rPr>
              <w:t>סה</w:t>
            </w:r>
            <w:r w:rsidRPr="00A10E01">
              <w:rPr>
                <w:b/>
                <w:bCs/>
                <w:color w:val="000000"/>
                <w:sz w:val="18"/>
                <w:szCs w:val="18"/>
                <w:rtl/>
                <w:lang w:eastAsia="he-IL"/>
              </w:rPr>
              <w:t xml:space="preserve">"כ </w:t>
            </w:r>
            <w:r w:rsidRPr="00A10E01">
              <w:rPr>
                <w:rFonts w:hint="eastAsia"/>
                <w:b/>
                <w:bCs/>
                <w:color w:val="000000"/>
                <w:sz w:val="18"/>
                <w:szCs w:val="18"/>
                <w:rtl/>
                <w:lang w:eastAsia="he-IL"/>
              </w:rPr>
              <w:t>השינוי</w:t>
            </w:r>
            <w:r w:rsidRPr="00A10E01">
              <w:rPr>
                <w:b/>
                <w:bCs/>
                <w:color w:val="000000"/>
                <w:sz w:val="18"/>
                <w:szCs w:val="18"/>
                <w:rtl/>
                <w:lang w:eastAsia="he-IL"/>
              </w:rPr>
              <w:t xml:space="preserve"> </w:t>
            </w:r>
            <w:r w:rsidRPr="00A10E01">
              <w:rPr>
                <w:rFonts w:hint="eastAsia"/>
                <w:b/>
                <w:bCs/>
                <w:color w:val="000000"/>
                <w:sz w:val="18"/>
                <w:szCs w:val="18"/>
                <w:rtl/>
                <w:lang w:eastAsia="he-IL"/>
              </w:rPr>
              <w:t>נטו</w:t>
            </w:r>
            <w:r w:rsidRPr="00A10E01">
              <w:rPr>
                <w:b/>
                <w:bCs/>
                <w:color w:val="000000"/>
                <w:sz w:val="18"/>
                <w:szCs w:val="18"/>
                <w:rtl/>
                <w:lang w:eastAsia="he-IL"/>
              </w:rPr>
              <w:t xml:space="preserve"> </w:t>
            </w:r>
            <w:r w:rsidRPr="00A10E01">
              <w:rPr>
                <w:rFonts w:hint="eastAsia"/>
                <w:b/>
                <w:bCs/>
                <w:color w:val="000000"/>
                <w:sz w:val="18"/>
                <w:szCs w:val="18"/>
                <w:rtl/>
                <w:lang w:eastAsia="he-IL"/>
              </w:rPr>
              <w:t>במהלך</w:t>
            </w:r>
            <w:r w:rsidRPr="00A10E01">
              <w:rPr>
                <w:b/>
                <w:bCs/>
                <w:color w:val="000000"/>
                <w:sz w:val="18"/>
                <w:szCs w:val="18"/>
                <w:rtl/>
                <w:lang w:eastAsia="he-IL"/>
              </w:rPr>
              <w:t xml:space="preserve"> </w:t>
            </w:r>
            <w:r>
              <w:rPr>
                <w:rFonts w:hint="cs"/>
                <w:b/>
                <w:bCs/>
                <w:color w:val="000000"/>
                <w:sz w:val="18"/>
                <w:szCs w:val="18"/>
                <w:rtl/>
                <w:lang w:eastAsia="he-IL"/>
              </w:rPr>
              <w:t>התקופה</w:t>
            </w:r>
          </w:p>
        </w:tc>
        <w:tc>
          <w:tcPr>
            <w:tcW w:w="685" w:type="dxa"/>
            <w:tcMar>
              <w:left w:w="58" w:type="dxa"/>
              <w:right w:w="58" w:type="dxa"/>
            </w:tcMar>
            <w:vAlign w:val="bottom"/>
          </w:tcPr>
          <w:p w14:paraId="2D13741B" w14:textId="77777777" w:rsidR="00D0470C" w:rsidRPr="00A10E01" w:rsidRDefault="00D0470C" w:rsidP="006F3019">
            <w:pPr>
              <w:spacing w:before="20" w:line="220" w:lineRule="exact"/>
              <w:rPr>
                <w:b/>
                <w:bCs/>
                <w:sz w:val="18"/>
                <w:szCs w:val="18"/>
                <w:rtl/>
              </w:rPr>
            </w:pPr>
            <w:r w:rsidRPr="00A10E01">
              <w:rPr>
                <w:b/>
                <w:bCs/>
                <w:sz w:val="18"/>
                <w:szCs w:val="18"/>
                <w:rtl/>
              </w:rPr>
              <w:t xml:space="preserve"> 0</w:t>
            </w:r>
          </w:p>
        </w:tc>
        <w:tc>
          <w:tcPr>
            <w:tcW w:w="827" w:type="dxa"/>
            <w:vAlign w:val="bottom"/>
          </w:tcPr>
          <w:p w14:paraId="5E5A0A18" w14:textId="77777777" w:rsidR="00D0470C" w:rsidRPr="00A10E01" w:rsidRDefault="00D0470C" w:rsidP="006F3019">
            <w:pPr>
              <w:spacing w:before="20" w:line="220" w:lineRule="exact"/>
              <w:rPr>
                <w:b/>
                <w:bCs/>
                <w:sz w:val="18"/>
                <w:szCs w:val="18"/>
                <w:rtl/>
              </w:rPr>
            </w:pPr>
            <w:r w:rsidRPr="00A10E01">
              <w:rPr>
                <w:b/>
                <w:bCs/>
                <w:sz w:val="18"/>
                <w:szCs w:val="18"/>
                <w:rtl/>
              </w:rPr>
              <w:t xml:space="preserve"> 0</w:t>
            </w:r>
          </w:p>
        </w:tc>
        <w:tc>
          <w:tcPr>
            <w:tcW w:w="689" w:type="dxa"/>
            <w:vAlign w:val="bottom"/>
          </w:tcPr>
          <w:p w14:paraId="3F423633" w14:textId="77777777" w:rsidR="00D0470C" w:rsidRPr="00A10E01" w:rsidRDefault="00D0470C" w:rsidP="006F3019">
            <w:pPr>
              <w:spacing w:before="20" w:line="220" w:lineRule="exact"/>
              <w:rPr>
                <w:b/>
                <w:bCs/>
                <w:sz w:val="18"/>
                <w:szCs w:val="18"/>
                <w:rtl/>
              </w:rPr>
            </w:pPr>
            <w:r w:rsidRPr="00A10E01">
              <w:rPr>
                <w:b/>
                <w:bCs/>
                <w:sz w:val="18"/>
                <w:szCs w:val="18"/>
                <w:rtl/>
              </w:rPr>
              <w:t xml:space="preserve"> 0</w:t>
            </w:r>
          </w:p>
        </w:tc>
        <w:tc>
          <w:tcPr>
            <w:tcW w:w="687" w:type="dxa"/>
            <w:tcMar>
              <w:left w:w="58" w:type="dxa"/>
              <w:right w:w="58" w:type="dxa"/>
            </w:tcMar>
            <w:vAlign w:val="bottom"/>
          </w:tcPr>
          <w:p w14:paraId="6A26298D" w14:textId="77777777" w:rsidR="00D0470C" w:rsidRPr="00A10E01" w:rsidRDefault="00D0470C" w:rsidP="006F3019">
            <w:pPr>
              <w:spacing w:before="20" w:line="220" w:lineRule="exact"/>
              <w:rPr>
                <w:b/>
                <w:bCs/>
                <w:sz w:val="18"/>
                <w:szCs w:val="18"/>
                <w:rtl/>
              </w:rPr>
            </w:pPr>
            <w:r w:rsidRPr="00A10E01">
              <w:rPr>
                <w:b/>
                <w:bCs/>
                <w:sz w:val="18"/>
                <w:szCs w:val="18"/>
                <w:rtl/>
              </w:rPr>
              <w:t xml:space="preserve"> 0</w:t>
            </w:r>
          </w:p>
        </w:tc>
        <w:tc>
          <w:tcPr>
            <w:tcW w:w="827" w:type="dxa"/>
            <w:vAlign w:val="bottom"/>
          </w:tcPr>
          <w:p w14:paraId="5514FD0F" w14:textId="77777777" w:rsidR="00D0470C" w:rsidRPr="00A10E01" w:rsidRDefault="00D0470C" w:rsidP="006F3019">
            <w:pPr>
              <w:spacing w:before="20" w:line="220" w:lineRule="exact"/>
              <w:rPr>
                <w:b/>
                <w:bCs/>
                <w:sz w:val="18"/>
                <w:szCs w:val="18"/>
                <w:rtl/>
              </w:rPr>
            </w:pPr>
            <w:r w:rsidRPr="00A10E01">
              <w:rPr>
                <w:b/>
                <w:bCs/>
                <w:sz w:val="18"/>
                <w:szCs w:val="18"/>
                <w:rtl/>
              </w:rPr>
              <w:t xml:space="preserve"> 0</w:t>
            </w:r>
          </w:p>
        </w:tc>
        <w:tc>
          <w:tcPr>
            <w:tcW w:w="689" w:type="dxa"/>
            <w:tcBorders>
              <w:right w:val="nil"/>
            </w:tcBorders>
            <w:vAlign w:val="bottom"/>
          </w:tcPr>
          <w:p w14:paraId="213D0570" w14:textId="77777777" w:rsidR="00D0470C" w:rsidRPr="00A10E01" w:rsidRDefault="00D0470C" w:rsidP="006F3019">
            <w:pPr>
              <w:spacing w:before="20" w:line="220" w:lineRule="exact"/>
              <w:rPr>
                <w:b/>
                <w:bCs/>
                <w:sz w:val="18"/>
                <w:szCs w:val="18"/>
                <w:rtl/>
              </w:rPr>
            </w:pPr>
            <w:r w:rsidRPr="00A10E01">
              <w:rPr>
                <w:b/>
                <w:bCs/>
                <w:sz w:val="18"/>
                <w:szCs w:val="18"/>
                <w:rtl/>
              </w:rPr>
              <w:t xml:space="preserve"> 0</w:t>
            </w:r>
          </w:p>
        </w:tc>
      </w:tr>
    </w:tbl>
    <w:p w14:paraId="382F5A62" w14:textId="4120B792" w:rsidR="00F32A2A" w:rsidRDefault="00F32A2A">
      <w:pPr>
        <w:spacing w:line="120" w:lineRule="exact"/>
        <w:rPr>
          <w:rtl/>
        </w:rPr>
      </w:pPr>
    </w:p>
    <w:p w14:paraId="1F2F4265" w14:textId="77777777" w:rsidR="009871A4" w:rsidRDefault="009871A4">
      <w:pPr>
        <w:spacing w:line="120" w:lineRule="exact"/>
        <w:rPr>
          <w:rtl/>
        </w:rPr>
      </w:pPr>
    </w:p>
    <w:tbl>
      <w:tblPr>
        <w:bidiVisual/>
        <w:tblW w:w="5000" w:type="pct"/>
        <w:tblBorders>
          <w:right w:val="single" w:sz="4" w:space="0" w:color="auto"/>
        </w:tblBorders>
        <w:tblLayout w:type="fixed"/>
        <w:tblLook w:val="04A0" w:firstRow="1" w:lastRow="0" w:firstColumn="1" w:lastColumn="0" w:noHBand="0" w:noVBand="1"/>
      </w:tblPr>
      <w:tblGrid>
        <w:gridCol w:w="485"/>
        <w:gridCol w:w="9722"/>
      </w:tblGrid>
      <w:tr w:rsidR="00287440" w:rsidRPr="004B6A39" w14:paraId="5AD34C28" w14:textId="77777777" w:rsidTr="00B8326C">
        <w:trPr>
          <w:trHeight w:val="279"/>
        </w:trPr>
        <w:tc>
          <w:tcPr>
            <w:tcW w:w="489" w:type="dxa"/>
            <w:tcBorders>
              <w:left w:val="nil"/>
            </w:tcBorders>
          </w:tcPr>
          <w:p w14:paraId="46C6E7A7" w14:textId="3416D98A" w:rsidR="00287440" w:rsidRPr="00EC46DF" w:rsidRDefault="00287440">
            <w:pPr>
              <w:spacing w:line="220" w:lineRule="exact"/>
              <w:jc w:val="left"/>
              <w:rPr>
                <w:color w:val="000000"/>
                <w:sz w:val="18"/>
                <w:szCs w:val="18"/>
                <w:rtl/>
                <w:lang w:eastAsia="he-IL"/>
              </w:rPr>
            </w:pPr>
            <w:r w:rsidRPr="00EC46DF">
              <w:rPr>
                <w:rFonts w:hint="cs"/>
                <w:color w:val="000000"/>
                <w:sz w:val="18"/>
                <w:szCs w:val="18"/>
                <w:rtl/>
                <w:lang w:eastAsia="he-IL"/>
              </w:rPr>
              <w:t>(א)</w:t>
            </w:r>
          </w:p>
        </w:tc>
        <w:tc>
          <w:tcPr>
            <w:tcW w:w="9884" w:type="dxa"/>
            <w:tcBorders>
              <w:right w:val="nil"/>
            </w:tcBorders>
            <w:tcMar>
              <w:left w:w="58" w:type="dxa"/>
              <w:right w:w="58" w:type="dxa"/>
            </w:tcMar>
          </w:tcPr>
          <w:p w14:paraId="57B1CB5B" w14:textId="6389B4F1" w:rsidR="00287440" w:rsidRPr="001C6BB3" w:rsidRDefault="00287440" w:rsidP="001C6BB3">
            <w:pPr>
              <w:spacing w:line="276" w:lineRule="auto"/>
              <w:rPr>
                <w:sz w:val="18"/>
                <w:szCs w:val="18"/>
                <w:rtl/>
              </w:rPr>
            </w:pPr>
            <w:r w:rsidRPr="001C6BB3">
              <w:rPr>
                <w:sz w:val="18"/>
                <w:szCs w:val="18"/>
                <w:rtl/>
              </w:rPr>
              <w:t>אם מהותי, יינתן גילוי לסכומים שנרשמו בגין אגרות חוב זמינות למכירה שנרשמה בגינן הפרשה להפסדי אשראי.</w:t>
            </w:r>
          </w:p>
        </w:tc>
      </w:tr>
      <w:tr w:rsidR="00D0470C" w:rsidRPr="004B6A39" w14:paraId="29986596" w14:textId="77777777" w:rsidTr="000F4014">
        <w:trPr>
          <w:trHeight w:val="279"/>
        </w:trPr>
        <w:tc>
          <w:tcPr>
            <w:tcW w:w="489" w:type="dxa"/>
          </w:tcPr>
          <w:p w14:paraId="0BAB3F91" w14:textId="17D713F0" w:rsidR="00F32A2A" w:rsidRPr="00EC46DF" w:rsidRDefault="00B44059">
            <w:pPr>
              <w:spacing w:line="220" w:lineRule="exact"/>
              <w:jc w:val="left"/>
              <w:rPr>
                <w:color w:val="000000"/>
                <w:sz w:val="18"/>
                <w:szCs w:val="18"/>
                <w:rtl/>
                <w:lang w:eastAsia="he-IL"/>
              </w:rPr>
            </w:pPr>
            <w:r w:rsidRPr="00EC46DF">
              <w:rPr>
                <w:color w:val="000000"/>
                <w:sz w:val="18"/>
                <w:szCs w:val="18"/>
                <w:rtl/>
                <w:lang w:eastAsia="he-IL"/>
              </w:rPr>
              <w:t>(</w:t>
            </w:r>
            <w:r w:rsidR="00287440" w:rsidRPr="00EC46DF">
              <w:rPr>
                <w:rFonts w:hint="cs"/>
                <w:color w:val="000000"/>
                <w:sz w:val="18"/>
                <w:szCs w:val="18"/>
                <w:rtl/>
                <w:lang w:eastAsia="he-IL"/>
              </w:rPr>
              <w:t>ב</w:t>
            </w:r>
            <w:r w:rsidRPr="00EC46DF">
              <w:rPr>
                <w:color w:val="000000"/>
                <w:sz w:val="18"/>
                <w:szCs w:val="18"/>
                <w:rtl/>
                <w:lang w:eastAsia="he-IL"/>
              </w:rPr>
              <w:t>)</w:t>
            </w:r>
          </w:p>
        </w:tc>
        <w:tc>
          <w:tcPr>
            <w:tcW w:w="9884" w:type="dxa"/>
            <w:tcBorders>
              <w:right w:val="nil"/>
            </w:tcBorders>
            <w:tcMar>
              <w:left w:w="58" w:type="dxa"/>
              <w:right w:w="58" w:type="dxa"/>
            </w:tcMar>
          </w:tcPr>
          <w:p w14:paraId="43B2489C" w14:textId="77777777" w:rsidR="00F32A2A" w:rsidRPr="000F4014" w:rsidRDefault="00B44059" w:rsidP="000F4014">
            <w:pPr>
              <w:spacing w:line="276" w:lineRule="auto"/>
              <w:rPr>
                <w:b/>
                <w:bCs/>
                <w:sz w:val="18"/>
                <w:szCs w:val="18"/>
                <w:rtl/>
              </w:rPr>
            </w:pPr>
            <w:r w:rsidRPr="00B44059">
              <w:rPr>
                <w:rFonts w:hint="eastAsia"/>
                <w:sz w:val="18"/>
                <w:szCs w:val="18"/>
                <w:rtl/>
              </w:rPr>
              <w:t>הסכום</w:t>
            </w:r>
            <w:r w:rsidRPr="00B44059">
              <w:rPr>
                <w:sz w:val="18"/>
                <w:szCs w:val="18"/>
                <w:rtl/>
              </w:rPr>
              <w:t xml:space="preserve"> </w:t>
            </w:r>
            <w:r w:rsidRPr="00B44059">
              <w:rPr>
                <w:rFonts w:hint="eastAsia"/>
                <w:sz w:val="18"/>
                <w:szCs w:val="18"/>
                <w:rtl/>
              </w:rPr>
              <w:t>לפני</w:t>
            </w:r>
            <w:r w:rsidRPr="00B44059">
              <w:rPr>
                <w:sz w:val="18"/>
                <w:szCs w:val="18"/>
                <w:rtl/>
              </w:rPr>
              <w:t xml:space="preserve"> </w:t>
            </w:r>
            <w:r w:rsidRPr="00B44059">
              <w:rPr>
                <w:rFonts w:hint="eastAsia"/>
                <w:sz w:val="18"/>
                <w:szCs w:val="18"/>
                <w:rtl/>
              </w:rPr>
              <w:t>מס</w:t>
            </w:r>
            <w:r w:rsidRPr="00B44059">
              <w:rPr>
                <w:sz w:val="18"/>
                <w:szCs w:val="18"/>
                <w:rtl/>
              </w:rPr>
              <w:t xml:space="preserve"> </w:t>
            </w:r>
            <w:r w:rsidRPr="00B44059">
              <w:rPr>
                <w:rFonts w:hint="eastAsia"/>
                <w:sz w:val="18"/>
                <w:szCs w:val="18"/>
                <w:rtl/>
              </w:rPr>
              <w:t>מדווח</w:t>
            </w:r>
            <w:r w:rsidRPr="00B44059">
              <w:rPr>
                <w:sz w:val="18"/>
                <w:szCs w:val="18"/>
                <w:rtl/>
              </w:rPr>
              <w:t xml:space="preserve"> </w:t>
            </w:r>
            <w:r w:rsidRPr="00B44059">
              <w:rPr>
                <w:rFonts w:hint="eastAsia"/>
                <w:sz w:val="18"/>
                <w:szCs w:val="18"/>
                <w:rtl/>
              </w:rPr>
              <w:t>בדוח</w:t>
            </w:r>
            <w:r w:rsidRPr="00B44059">
              <w:rPr>
                <w:sz w:val="18"/>
                <w:szCs w:val="18"/>
                <w:rtl/>
              </w:rPr>
              <w:t xml:space="preserve"> </w:t>
            </w:r>
            <w:r w:rsidRPr="00B44059">
              <w:rPr>
                <w:rFonts w:hint="eastAsia"/>
                <w:sz w:val="18"/>
                <w:szCs w:val="18"/>
                <w:rtl/>
              </w:rPr>
              <w:t>רווח</w:t>
            </w:r>
            <w:r w:rsidRPr="00B44059">
              <w:rPr>
                <w:sz w:val="18"/>
                <w:szCs w:val="18"/>
                <w:rtl/>
              </w:rPr>
              <w:t xml:space="preserve"> </w:t>
            </w:r>
            <w:r w:rsidRPr="00B44059">
              <w:rPr>
                <w:rFonts w:hint="eastAsia"/>
                <w:sz w:val="18"/>
                <w:szCs w:val="18"/>
                <w:rtl/>
              </w:rPr>
              <w:t>והפסד</w:t>
            </w:r>
            <w:r w:rsidRPr="00B44059">
              <w:rPr>
                <w:sz w:val="18"/>
                <w:szCs w:val="18"/>
                <w:rtl/>
              </w:rPr>
              <w:t xml:space="preserve"> </w:t>
            </w:r>
            <w:r w:rsidRPr="00B44059">
              <w:rPr>
                <w:rFonts w:hint="eastAsia"/>
                <w:sz w:val="18"/>
                <w:szCs w:val="18"/>
                <w:rtl/>
              </w:rPr>
              <w:t>בסעיף</w:t>
            </w:r>
            <w:r w:rsidRPr="00B44059">
              <w:rPr>
                <w:sz w:val="18"/>
                <w:szCs w:val="18"/>
                <w:rtl/>
              </w:rPr>
              <w:t xml:space="preserve"> </w:t>
            </w:r>
            <w:r w:rsidRPr="00B44059">
              <w:rPr>
                <w:rFonts w:hint="eastAsia"/>
                <w:sz w:val="18"/>
                <w:szCs w:val="18"/>
                <w:rtl/>
              </w:rPr>
              <w:t>הכנסות</w:t>
            </w:r>
            <w:r w:rsidRPr="00B44059">
              <w:rPr>
                <w:sz w:val="18"/>
                <w:szCs w:val="18"/>
                <w:rtl/>
              </w:rPr>
              <w:t xml:space="preserve"> </w:t>
            </w:r>
            <w:r w:rsidRPr="00B44059">
              <w:rPr>
                <w:rFonts w:hint="eastAsia"/>
                <w:sz w:val="18"/>
                <w:szCs w:val="18"/>
                <w:rtl/>
              </w:rPr>
              <w:t>מימון</w:t>
            </w:r>
            <w:r w:rsidRPr="00B44059">
              <w:rPr>
                <w:sz w:val="18"/>
                <w:szCs w:val="18"/>
                <w:rtl/>
              </w:rPr>
              <w:t xml:space="preserve"> </w:t>
            </w:r>
            <w:r w:rsidRPr="00B44059">
              <w:rPr>
                <w:rFonts w:hint="eastAsia"/>
                <w:sz w:val="18"/>
                <w:szCs w:val="18"/>
                <w:rtl/>
              </w:rPr>
              <w:t>שאינן</w:t>
            </w:r>
            <w:r w:rsidRPr="00B44059">
              <w:rPr>
                <w:sz w:val="18"/>
                <w:szCs w:val="18"/>
                <w:rtl/>
              </w:rPr>
              <w:t xml:space="preserve"> </w:t>
            </w:r>
            <w:r w:rsidRPr="00B44059">
              <w:rPr>
                <w:rFonts w:hint="eastAsia"/>
                <w:sz w:val="18"/>
                <w:szCs w:val="18"/>
                <w:rtl/>
              </w:rPr>
              <w:t>מריבית</w:t>
            </w:r>
            <w:r w:rsidRPr="00B44059">
              <w:rPr>
                <w:sz w:val="18"/>
                <w:szCs w:val="18"/>
                <w:rtl/>
              </w:rPr>
              <w:t xml:space="preserve">. </w:t>
            </w:r>
            <w:r w:rsidRPr="00B44059">
              <w:rPr>
                <w:rFonts w:hint="eastAsia"/>
                <w:sz w:val="18"/>
                <w:szCs w:val="18"/>
                <w:rtl/>
              </w:rPr>
              <w:t>פירוט</w:t>
            </w:r>
            <w:r w:rsidRPr="00B44059">
              <w:rPr>
                <w:sz w:val="18"/>
                <w:szCs w:val="18"/>
                <w:rtl/>
              </w:rPr>
              <w:t xml:space="preserve"> </w:t>
            </w:r>
            <w:r w:rsidRPr="00B44059">
              <w:rPr>
                <w:rFonts w:hint="eastAsia"/>
                <w:sz w:val="18"/>
                <w:szCs w:val="18"/>
                <w:rtl/>
              </w:rPr>
              <w:t>נוסף</w:t>
            </w:r>
            <w:r w:rsidRPr="00B44059">
              <w:rPr>
                <w:sz w:val="18"/>
                <w:szCs w:val="18"/>
                <w:rtl/>
              </w:rPr>
              <w:t xml:space="preserve"> </w:t>
            </w:r>
            <w:r w:rsidRPr="00B44059">
              <w:rPr>
                <w:rFonts w:hint="eastAsia"/>
                <w:sz w:val="18"/>
                <w:szCs w:val="18"/>
                <w:rtl/>
              </w:rPr>
              <w:t>ראה</w:t>
            </w:r>
            <w:r w:rsidRPr="00B44059">
              <w:rPr>
                <w:sz w:val="18"/>
                <w:szCs w:val="18"/>
                <w:rtl/>
              </w:rPr>
              <w:t xml:space="preserve"> </w:t>
            </w:r>
            <w:r w:rsidRPr="00B44059">
              <w:rPr>
                <w:rFonts w:hint="eastAsia"/>
                <w:sz w:val="18"/>
                <w:szCs w:val="18"/>
                <w:rtl/>
              </w:rPr>
              <w:t>בביאור</w:t>
            </w:r>
            <w:r w:rsidRPr="00B44059">
              <w:rPr>
                <w:sz w:val="18"/>
                <w:szCs w:val="18"/>
                <w:rtl/>
              </w:rPr>
              <w:t xml:space="preserve"> </w:t>
            </w:r>
            <w:r w:rsidR="00C77038">
              <w:rPr>
                <w:rFonts w:hint="cs"/>
                <w:sz w:val="18"/>
                <w:szCs w:val="18"/>
                <w:rtl/>
              </w:rPr>
              <w:t xml:space="preserve">3 </w:t>
            </w:r>
            <w:r w:rsidRPr="00030C7C">
              <w:rPr>
                <w:rFonts w:hint="eastAsia"/>
                <w:i/>
                <w:iCs/>
                <w:sz w:val="18"/>
                <w:szCs w:val="18"/>
                <w:rtl/>
              </w:rPr>
              <w:t>הכנסות</w:t>
            </w:r>
            <w:r w:rsidRPr="00030C7C">
              <w:rPr>
                <w:i/>
                <w:iCs/>
                <w:sz w:val="18"/>
                <w:szCs w:val="18"/>
                <w:rtl/>
              </w:rPr>
              <w:t xml:space="preserve"> </w:t>
            </w:r>
            <w:r w:rsidRPr="00030C7C">
              <w:rPr>
                <w:rFonts w:hint="eastAsia"/>
                <w:i/>
                <w:iCs/>
                <w:sz w:val="18"/>
                <w:szCs w:val="18"/>
                <w:rtl/>
              </w:rPr>
              <w:t>מימון</w:t>
            </w:r>
            <w:r w:rsidRPr="00030C7C">
              <w:rPr>
                <w:i/>
                <w:iCs/>
                <w:sz w:val="18"/>
                <w:szCs w:val="18"/>
                <w:rtl/>
              </w:rPr>
              <w:t xml:space="preserve"> </w:t>
            </w:r>
            <w:r w:rsidRPr="00030C7C">
              <w:rPr>
                <w:rFonts w:hint="eastAsia"/>
                <w:i/>
                <w:iCs/>
                <w:sz w:val="18"/>
                <w:szCs w:val="18"/>
                <w:rtl/>
              </w:rPr>
              <w:t>שאינן</w:t>
            </w:r>
            <w:r w:rsidRPr="00030C7C">
              <w:rPr>
                <w:i/>
                <w:iCs/>
                <w:sz w:val="18"/>
                <w:szCs w:val="18"/>
                <w:rtl/>
              </w:rPr>
              <w:t xml:space="preserve"> </w:t>
            </w:r>
            <w:r w:rsidRPr="00030C7C">
              <w:rPr>
                <w:rFonts w:hint="eastAsia"/>
                <w:i/>
                <w:iCs/>
                <w:sz w:val="18"/>
                <w:szCs w:val="18"/>
                <w:rtl/>
              </w:rPr>
              <w:t>מריבית</w:t>
            </w:r>
            <w:r w:rsidRPr="00B44059">
              <w:rPr>
                <w:sz w:val="18"/>
                <w:szCs w:val="18"/>
                <w:rtl/>
              </w:rPr>
              <w:t>.</w:t>
            </w:r>
            <w:r w:rsidR="00D0470C">
              <w:rPr>
                <w:sz w:val="18"/>
                <w:szCs w:val="18"/>
                <w:vertAlign w:val="superscript"/>
                <w:rtl/>
              </w:rPr>
              <w:t>[</w:t>
            </w:r>
            <w:r w:rsidRPr="00B44059">
              <w:rPr>
                <w:sz w:val="18"/>
                <w:szCs w:val="18"/>
                <w:vertAlign w:val="superscript"/>
                <w:rtl/>
              </w:rPr>
              <w:footnoteReference w:id="40"/>
            </w:r>
            <w:r w:rsidR="00D0470C">
              <w:rPr>
                <w:sz w:val="18"/>
                <w:szCs w:val="18"/>
                <w:vertAlign w:val="superscript"/>
                <w:rtl/>
              </w:rPr>
              <w:t>]</w:t>
            </w:r>
          </w:p>
        </w:tc>
      </w:tr>
      <w:tr w:rsidR="00D0470C" w:rsidRPr="004B6A39" w14:paraId="104F587A" w14:textId="77777777" w:rsidTr="006F3019">
        <w:trPr>
          <w:trHeight w:val="259"/>
        </w:trPr>
        <w:tc>
          <w:tcPr>
            <w:tcW w:w="489" w:type="dxa"/>
          </w:tcPr>
          <w:p w14:paraId="567DE7F5" w14:textId="0AC7AB6B" w:rsidR="00F32A2A" w:rsidRPr="00EC46DF" w:rsidRDefault="00B44059">
            <w:pPr>
              <w:spacing w:line="220" w:lineRule="exact"/>
              <w:jc w:val="left"/>
              <w:rPr>
                <w:color w:val="000000"/>
                <w:sz w:val="18"/>
                <w:szCs w:val="18"/>
                <w:rtl/>
                <w:lang w:eastAsia="he-IL"/>
              </w:rPr>
            </w:pPr>
            <w:r w:rsidRPr="00EC46DF">
              <w:rPr>
                <w:color w:val="000000"/>
                <w:sz w:val="18"/>
                <w:szCs w:val="18"/>
                <w:rtl/>
                <w:lang w:eastAsia="he-IL"/>
              </w:rPr>
              <w:t>(</w:t>
            </w:r>
            <w:r w:rsidR="00287440" w:rsidRPr="00EC46DF">
              <w:rPr>
                <w:rFonts w:hint="cs"/>
                <w:color w:val="000000"/>
                <w:sz w:val="18"/>
                <w:szCs w:val="18"/>
                <w:rtl/>
                <w:lang w:eastAsia="he-IL"/>
              </w:rPr>
              <w:t>ג</w:t>
            </w:r>
            <w:r w:rsidRPr="00EC46DF">
              <w:rPr>
                <w:color w:val="000000"/>
                <w:sz w:val="18"/>
                <w:szCs w:val="18"/>
                <w:rtl/>
                <w:lang w:eastAsia="he-IL"/>
              </w:rPr>
              <w:t>)</w:t>
            </w:r>
          </w:p>
        </w:tc>
        <w:tc>
          <w:tcPr>
            <w:tcW w:w="9884" w:type="dxa"/>
            <w:tcBorders>
              <w:right w:val="nil"/>
            </w:tcBorders>
            <w:tcMar>
              <w:left w:w="58" w:type="dxa"/>
              <w:right w:w="58" w:type="dxa"/>
            </w:tcMar>
          </w:tcPr>
          <w:p w14:paraId="3738923F" w14:textId="77777777" w:rsidR="00F32A2A" w:rsidRDefault="00B44059">
            <w:pPr>
              <w:spacing w:line="220" w:lineRule="exact"/>
              <w:rPr>
                <w:sz w:val="18"/>
                <w:szCs w:val="18"/>
                <w:rtl/>
              </w:rPr>
            </w:pPr>
            <w:r w:rsidRPr="00B44059">
              <w:rPr>
                <w:rFonts w:hint="eastAsia"/>
                <w:sz w:val="18"/>
                <w:szCs w:val="18"/>
                <w:rtl/>
              </w:rPr>
              <w:t>התאמות</w:t>
            </w:r>
            <w:r w:rsidRPr="00B44059">
              <w:rPr>
                <w:sz w:val="18"/>
                <w:szCs w:val="18"/>
                <w:rtl/>
              </w:rPr>
              <w:t xml:space="preserve"> </w:t>
            </w:r>
            <w:r w:rsidRPr="00B44059">
              <w:rPr>
                <w:rFonts w:hint="eastAsia"/>
                <w:sz w:val="18"/>
                <w:szCs w:val="18"/>
                <w:rtl/>
              </w:rPr>
              <w:t>מתרגום</w:t>
            </w:r>
            <w:r w:rsidRPr="00B44059">
              <w:rPr>
                <w:sz w:val="18"/>
                <w:szCs w:val="18"/>
                <w:rtl/>
              </w:rPr>
              <w:t xml:space="preserve"> </w:t>
            </w:r>
            <w:r w:rsidRPr="00B44059">
              <w:rPr>
                <w:rFonts w:hint="eastAsia"/>
                <w:sz w:val="18"/>
                <w:szCs w:val="18"/>
                <w:rtl/>
              </w:rPr>
              <w:t>דוחות</w:t>
            </w:r>
            <w:r w:rsidRPr="00B44059">
              <w:rPr>
                <w:sz w:val="18"/>
                <w:szCs w:val="18"/>
                <w:rtl/>
              </w:rPr>
              <w:t xml:space="preserve"> </w:t>
            </w:r>
            <w:r w:rsidRPr="00B44059">
              <w:rPr>
                <w:rFonts w:hint="eastAsia"/>
                <w:sz w:val="18"/>
                <w:szCs w:val="18"/>
                <w:rtl/>
              </w:rPr>
              <w:t>כספיים</w:t>
            </w:r>
            <w:r w:rsidRPr="00B44059">
              <w:rPr>
                <w:sz w:val="18"/>
                <w:szCs w:val="18"/>
                <w:rtl/>
              </w:rPr>
              <w:t xml:space="preserve"> </w:t>
            </w:r>
            <w:r w:rsidRPr="00B44059">
              <w:rPr>
                <w:rFonts w:hint="eastAsia"/>
                <w:sz w:val="18"/>
                <w:szCs w:val="18"/>
                <w:rtl/>
              </w:rPr>
              <w:t>של</w:t>
            </w:r>
            <w:r w:rsidRPr="00B44059">
              <w:rPr>
                <w:sz w:val="18"/>
                <w:szCs w:val="18"/>
                <w:rtl/>
              </w:rPr>
              <w:t xml:space="preserve"> </w:t>
            </w:r>
            <w:r w:rsidRPr="00B44059">
              <w:rPr>
                <w:rFonts w:hint="eastAsia"/>
                <w:sz w:val="18"/>
                <w:szCs w:val="18"/>
                <w:rtl/>
              </w:rPr>
              <w:t>פעילויות</w:t>
            </w:r>
            <w:r w:rsidRPr="00B44059">
              <w:rPr>
                <w:sz w:val="18"/>
                <w:szCs w:val="18"/>
                <w:rtl/>
              </w:rPr>
              <w:t xml:space="preserve"> </w:t>
            </w:r>
            <w:r w:rsidRPr="00B44059">
              <w:rPr>
                <w:rFonts w:hint="eastAsia"/>
                <w:sz w:val="18"/>
                <w:szCs w:val="18"/>
                <w:rtl/>
              </w:rPr>
              <w:t>חוץ</w:t>
            </w:r>
            <w:r w:rsidRPr="00B44059">
              <w:rPr>
                <w:sz w:val="18"/>
                <w:szCs w:val="18"/>
                <w:rtl/>
              </w:rPr>
              <w:t xml:space="preserve"> </w:t>
            </w:r>
            <w:r w:rsidRPr="00B44059">
              <w:rPr>
                <w:rFonts w:hint="eastAsia"/>
                <w:sz w:val="18"/>
                <w:szCs w:val="18"/>
                <w:rtl/>
              </w:rPr>
              <w:t>שמטבע</w:t>
            </w:r>
            <w:r w:rsidRPr="00B44059">
              <w:rPr>
                <w:sz w:val="18"/>
                <w:szCs w:val="18"/>
                <w:rtl/>
              </w:rPr>
              <w:t xml:space="preserve"> </w:t>
            </w:r>
            <w:r w:rsidRPr="00B44059">
              <w:rPr>
                <w:rFonts w:hint="eastAsia"/>
                <w:sz w:val="18"/>
                <w:szCs w:val="18"/>
                <w:rtl/>
              </w:rPr>
              <w:t>הפעילות</w:t>
            </w:r>
            <w:r w:rsidRPr="00B44059">
              <w:rPr>
                <w:sz w:val="18"/>
                <w:szCs w:val="18"/>
                <w:rtl/>
              </w:rPr>
              <w:t xml:space="preserve"> </w:t>
            </w:r>
            <w:r w:rsidRPr="00B44059">
              <w:rPr>
                <w:rFonts w:hint="eastAsia"/>
                <w:sz w:val="18"/>
                <w:szCs w:val="18"/>
                <w:rtl/>
              </w:rPr>
              <w:t>שלהן</w:t>
            </w:r>
            <w:r w:rsidRPr="00B44059">
              <w:rPr>
                <w:sz w:val="18"/>
                <w:szCs w:val="18"/>
                <w:rtl/>
              </w:rPr>
              <w:t xml:space="preserve"> </w:t>
            </w:r>
            <w:r w:rsidRPr="00B44059">
              <w:rPr>
                <w:rFonts w:hint="eastAsia"/>
                <w:sz w:val="18"/>
                <w:szCs w:val="18"/>
                <w:rtl/>
              </w:rPr>
              <w:t>שונה</w:t>
            </w:r>
            <w:r w:rsidRPr="00B44059">
              <w:rPr>
                <w:sz w:val="18"/>
                <w:szCs w:val="18"/>
                <w:rtl/>
              </w:rPr>
              <w:t xml:space="preserve"> </w:t>
            </w:r>
            <w:r w:rsidRPr="00B44059">
              <w:rPr>
                <w:rFonts w:hint="eastAsia"/>
                <w:sz w:val="18"/>
                <w:szCs w:val="18"/>
                <w:rtl/>
              </w:rPr>
              <w:t>ממטבע</w:t>
            </w:r>
            <w:r w:rsidRPr="00B44059">
              <w:rPr>
                <w:sz w:val="18"/>
                <w:szCs w:val="18"/>
                <w:rtl/>
              </w:rPr>
              <w:t xml:space="preserve"> </w:t>
            </w:r>
            <w:r w:rsidRPr="00B44059">
              <w:rPr>
                <w:rFonts w:hint="eastAsia"/>
                <w:sz w:val="18"/>
                <w:szCs w:val="18"/>
                <w:rtl/>
              </w:rPr>
              <w:t>הפעילות</w:t>
            </w:r>
            <w:r w:rsidRPr="00B44059">
              <w:rPr>
                <w:sz w:val="18"/>
                <w:szCs w:val="18"/>
                <w:rtl/>
              </w:rPr>
              <w:t xml:space="preserve"> </w:t>
            </w:r>
            <w:r w:rsidRPr="00B44059">
              <w:rPr>
                <w:rFonts w:hint="eastAsia"/>
                <w:sz w:val="18"/>
                <w:szCs w:val="18"/>
                <w:rtl/>
              </w:rPr>
              <w:t>של</w:t>
            </w:r>
            <w:r w:rsidRPr="00B44059">
              <w:rPr>
                <w:sz w:val="18"/>
                <w:szCs w:val="18"/>
                <w:rtl/>
              </w:rPr>
              <w:t xml:space="preserve"> </w:t>
            </w:r>
            <w:r w:rsidRPr="00B44059">
              <w:rPr>
                <w:rFonts w:hint="eastAsia"/>
                <w:sz w:val="18"/>
                <w:szCs w:val="18"/>
                <w:rtl/>
              </w:rPr>
              <w:t>התאגיד</w:t>
            </w:r>
            <w:r w:rsidRPr="00B44059">
              <w:rPr>
                <w:sz w:val="18"/>
                <w:szCs w:val="18"/>
                <w:rtl/>
              </w:rPr>
              <w:t xml:space="preserve"> </w:t>
            </w:r>
            <w:r w:rsidRPr="00B44059">
              <w:rPr>
                <w:rFonts w:hint="eastAsia"/>
                <w:sz w:val="18"/>
                <w:szCs w:val="18"/>
                <w:rtl/>
              </w:rPr>
              <w:t>הבנקאי</w:t>
            </w:r>
            <w:r w:rsidRPr="00B44059">
              <w:rPr>
                <w:sz w:val="18"/>
                <w:szCs w:val="18"/>
                <w:rtl/>
              </w:rPr>
              <w:t xml:space="preserve">, </w:t>
            </w:r>
            <w:r w:rsidRPr="00B44059">
              <w:rPr>
                <w:rFonts w:hint="eastAsia"/>
                <w:sz w:val="18"/>
                <w:szCs w:val="18"/>
                <w:rtl/>
              </w:rPr>
              <w:t>לרבות</w:t>
            </w:r>
            <w:r w:rsidRPr="00B44059">
              <w:rPr>
                <w:sz w:val="18"/>
                <w:szCs w:val="18"/>
                <w:rtl/>
              </w:rPr>
              <w:t xml:space="preserve"> </w:t>
            </w:r>
            <w:r w:rsidRPr="00B44059">
              <w:rPr>
                <w:rFonts w:hint="eastAsia"/>
                <w:sz w:val="18"/>
                <w:szCs w:val="18"/>
                <w:rtl/>
              </w:rPr>
              <w:t>התאמות</w:t>
            </w:r>
            <w:r w:rsidRPr="00B44059">
              <w:rPr>
                <w:sz w:val="18"/>
                <w:szCs w:val="18"/>
                <w:rtl/>
              </w:rPr>
              <w:t xml:space="preserve"> </w:t>
            </w:r>
            <w:r w:rsidRPr="00B44059">
              <w:rPr>
                <w:rFonts w:hint="eastAsia"/>
                <w:sz w:val="18"/>
                <w:szCs w:val="18"/>
                <w:rtl/>
              </w:rPr>
              <w:t>בגין</w:t>
            </w:r>
            <w:r w:rsidRPr="00B44059">
              <w:rPr>
                <w:sz w:val="18"/>
                <w:szCs w:val="18"/>
                <w:rtl/>
              </w:rPr>
              <w:t xml:space="preserve"> </w:t>
            </w:r>
            <w:r w:rsidRPr="00B44059">
              <w:rPr>
                <w:rFonts w:hint="eastAsia"/>
                <w:sz w:val="18"/>
                <w:szCs w:val="18"/>
                <w:rtl/>
              </w:rPr>
              <w:t>חברות</w:t>
            </w:r>
            <w:r w:rsidRPr="00B44059">
              <w:rPr>
                <w:sz w:val="18"/>
                <w:szCs w:val="18"/>
                <w:rtl/>
              </w:rPr>
              <w:t xml:space="preserve"> </w:t>
            </w:r>
            <w:r w:rsidRPr="00B44059">
              <w:rPr>
                <w:rFonts w:hint="eastAsia"/>
                <w:sz w:val="18"/>
                <w:szCs w:val="18"/>
                <w:rtl/>
              </w:rPr>
              <w:t>כלולות</w:t>
            </w:r>
            <w:r w:rsidRPr="00B44059">
              <w:rPr>
                <w:sz w:val="18"/>
                <w:szCs w:val="18"/>
                <w:rtl/>
              </w:rPr>
              <w:t>.</w:t>
            </w:r>
            <w:r w:rsidR="00D0470C">
              <w:rPr>
                <w:sz w:val="18"/>
                <w:szCs w:val="18"/>
                <w:vertAlign w:val="superscript"/>
                <w:rtl/>
              </w:rPr>
              <w:t>[</w:t>
            </w:r>
            <w:r w:rsidRPr="00B44059">
              <w:rPr>
                <w:sz w:val="18"/>
                <w:szCs w:val="18"/>
                <w:vertAlign w:val="superscript"/>
                <w:rtl/>
              </w:rPr>
              <w:footnoteReference w:id="41"/>
            </w:r>
            <w:r w:rsidR="00D0470C">
              <w:rPr>
                <w:sz w:val="18"/>
                <w:szCs w:val="18"/>
                <w:vertAlign w:val="superscript"/>
                <w:rtl/>
              </w:rPr>
              <w:t>]</w:t>
            </w:r>
          </w:p>
        </w:tc>
      </w:tr>
      <w:tr w:rsidR="00D0470C" w:rsidRPr="004B6A39" w14:paraId="5420DD5F" w14:textId="77777777" w:rsidTr="006F3019">
        <w:trPr>
          <w:trHeight w:val="259"/>
        </w:trPr>
        <w:tc>
          <w:tcPr>
            <w:tcW w:w="489" w:type="dxa"/>
          </w:tcPr>
          <w:p w14:paraId="4F01EEC6" w14:textId="0F8597FA" w:rsidR="00F32A2A" w:rsidRPr="00EC46DF" w:rsidRDefault="00B44059">
            <w:pPr>
              <w:spacing w:line="220" w:lineRule="exact"/>
              <w:jc w:val="left"/>
              <w:rPr>
                <w:color w:val="000000"/>
                <w:sz w:val="18"/>
                <w:szCs w:val="18"/>
                <w:rtl/>
                <w:lang w:eastAsia="he-IL"/>
              </w:rPr>
            </w:pPr>
            <w:r w:rsidRPr="00EC46DF">
              <w:rPr>
                <w:color w:val="000000"/>
                <w:sz w:val="18"/>
                <w:szCs w:val="18"/>
                <w:rtl/>
                <w:lang w:eastAsia="he-IL"/>
              </w:rPr>
              <w:t>(</w:t>
            </w:r>
            <w:r w:rsidR="00287440" w:rsidRPr="00EC46DF">
              <w:rPr>
                <w:rFonts w:hint="cs"/>
                <w:color w:val="000000"/>
                <w:sz w:val="18"/>
                <w:szCs w:val="18"/>
                <w:rtl/>
                <w:lang w:eastAsia="he-IL"/>
              </w:rPr>
              <w:t>ד</w:t>
            </w:r>
            <w:r w:rsidRPr="00EC46DF">
              <w:rPr>
                <w:color w:val="000000"/>
                <w:sz w:val="18"/>
                <w:szCs w:val="18"/>
                <w:rtl/>
                <w:lang w:eastAsia="he-IL"/>
              </w:rPr>
              <w:t>)</w:t>
            </w:r>
          </w:p>
        </w:tc>
        <w:tc>
          <w:tcPr>
            <w:tcW w:w="9884" w:type="dxa"/>
            <w:tcBorders>
              <w:right w:val="nil"/>
            </w:tcBorders>
            <w:tcMar>
              <w:left w:w="58" w:type="dxa"/>
              <w:right w:w="58" w:type="dxa"/>
            </w:tcMar>
          </w:tcPr>
          <w:p w14:paraId="18321373" w14:textId="77777777" w:rsidR="00F32A2A" w:rsidRDefault="00B44059">
            <w:pPr>
              <w:spacing w:line="220" w:lineRule="exact"/>
              <w:rPr>
                <w:sz w:val="18"/>
                <w:szCs w:val="18"/>
                <w:rtl/>
              </w:rPr>
            </w:pPr>
            <w:r w:rsidRPr="00B44059">
              <w:rPr>
                <w:rFonts w:hint="eastAsia"/>
                <w:sz w:val="18"/>
                <w:szCs w:val="18"/>
                <w:rtl/>
              </w:rPr>
              <w:t>רווחים</w:t>
            </w:r>
            <w:r w:rsidRPr="00B44059">
              <w:rPr>
                <w:sz w:val="18"/>
                <w:szCs w:val="18"/>
                <w:rtl/>
              </w:rPr>
              <w:t xml:space="preserve"> (הפסדים) </w:t>
            </w:r>
            <w:r w:rsidRPr="00B44059">
              <w:rPr>
                <w:rFonts w:hint="eastAsia"/>
                <w:sz w:val="18"/>
                <w:szCs w:val="18"/>
                <w:rtl/>
              </w:rPr>
              <w:t>נטו</w:t>
            </w:r>
            <w:r w:rsidRPr="00B44059">
              <w:rPr>
                <w:sz w:val="18"/>
                <w:szCs w:val="18"/>
                <w:rtl/>
              </w:rPr>
              <w:t xml:space="preserve"> </w:t>
            </w:r>
            <w:r w:rsidRPr="00B44059">
              <w:rPr>
                <w:rFonts w:hint="eastAsia"/>
                <w:sz w:val="18"/>
                <w:szCs w:val="18"/>
                <w:rtl/>
              </w:rPr>
              <w:t>בגין</w:t>
            </w:r>
            <w:r w:rsidRPr="00B44059">
              <w:rPr>
                <w:sz w:val="18"/>
                <w:szCs w:val="18"/>
                <w:rtl/>
              </w:rPr>
              <w:t xml:space="preserve"> </w:t>
            </w:r>
            <w:r w:rsidRPr="00B44059">
              <w:rPr>
                <w:rFonts w:hint="eastAsia"/>
                <w:sz w:val="18"/>
                <w:szCs w:val="18"/>
                <w:rtl/>
              </w:rPr>
              <w:t>גידור</w:t>
            </w:r>
            <w:r w:rsidRPr="00B44059">
              <w:rPr>
                <w:sz w:val="18"/>
                <w:szCs w:val="18"/>
                <w:rtl/>
              </w:rPr>
              <w:t xml:space="preserve"> </w:t>
            </w:r>
            <w:r w:rsidRPr="00B44059">
              <w:rPr>
                <w:rFonts w:hint="eastAsia"/>
                <w:sz w:val="18"/>
                <w:szCs w:val="18"/>
                <w:rtl/>
              </w:rPr>
              <w:t>השקעה</w:t>
            </w:r>
            <w:r w:rsidRPr="00B44059">
              <w:rPr>
                <w:sz w:val="18"/>
                <w:szCs w:val="18"/>
                <w:rtl/>
              </w:rPr>
              <w:t xml:space="preserve"> </w:t>
            </w:r>
            <w:r w:rsidRPr="00B44059">
              <w:rPr>
                <w:rFonts w:hint="eastAsia"/>
                <w:sz w:val="18"/>
                <w:szCs w:val="18"/>
                <w:rtl/>
              </w:rPr>
              <w:t>נטו</w:t>
            </w:r>
            <w:r w:rsidRPr="00B44059">
              <w:rPr>
                <w:sz w:val="18"/>
                <w:szCs w:val="18"/>
                <w:rtl/>
              </w:rPr>
              <w:t xml:space="preserve"> </w:t>
            </w:r>
            <w:r w:rsidRPr="00B44059">
              <w:rPr>
                <w:rFonts w:hint="eastAsia"/>
                <w:sz w:val="18"/>
                <w:szCs w:val="18"/>
                <w:rtl/>
              </w:rPr>
              <w:t>במטבע</w:t>
            </w:r>
            <w:r w:rsidRPr="00B44059">
              <w:rPr>
                <w:sz w:val="18"/>
                <w:szCs w:val="18"/>
                <w:rtl/>
              </w:rPr>
              <w:t xml:space="preserve"> </w:t>
            </w:r>
            <w:r w:rsidRPr="00B44059">
              <w:rPr>
                <w:rFonts w:hint="eastAsia"/>
                <w:sz w:val="18"/>
                <w:szCs w:val="18"/>
                <w:rtl/>
              </w:rPr>
              <w:t>חוץ</w:t>
            </w:r>
            <w:r w:rsidRPr="00B44059">
              <w:rPr>
                <w:sz w:val="18"/>
                <w:szCs w:val="18"/>
                <w:rtl/>
              </w:rPr>
              <w:t>.</w:t>
            </w:r>
          </w:p>
        </w:tc>
      </w:tr>
      <w:tr w:rsidR="00D0470C" w:rsidRPr="004B6A39" w14:paraId="7F18F621" w14:textId="77777777" w:rsidTr="006F3019">
        <w:trPr>
          <w:trHeight w:val="259"/>
        </w:trPr>
        <w:tc>
          <w:tcPr>
            <w:tcW w:w="489" w:type="dxa"/>
          </w:tcPr>
          <w:p w14:paraId="0BD96101" w14:textId="4C65646C" w:rsidR="00F32A2A" w:rsidRPr="00EC46DF" w:rsidRDefault="00B44059">
            <w:pPr>
              <w:spacing w:line="220" w:lineRule="exact"/>
              <w:jc w:val="left"/>
              <w:rPr>
                <w:color w:val="000000"/>
                <w:sz w:val="18"/>
                <w:szCs w:val="18"/>
                <w:rtl/>
                <w:lang w:eastAsia="he-IL"/>
              </w:rPr>
            </w:pPr>
            <w:r w:rsidRPr="00EC46DF">
              <w:rPr>
                <w:color w:val="000000"/>
                <w:sz w:val="18"/>
                <w:szCs w:val="18"/>
                <w:rtl/>
                <w:lang w:eastAsia="he-IL"/>
              </w:rPr>
              <w:t>(</w:t>
            </w:r>
            <w:r w:rsidR="00287440" w:rsidRPr="00EC46DF">
              <w:rPr>
                <w:rFonts w:hint="cs"/>
                <w:color w:val="000000"/>
                <w:sz w:val="18"/>
                <w:szCs w:val="18"/>
                <w:rtl/>
                <w:lang w:eastAsia="he-IL"/>
              </w:rPr>
              <w:t>ה</w:t>
            </w:r>
            <w:r w:rsidRPr="00EC46DF">
              <w:rPr>
                <w:color w:val="000000"/>
                <w:sz w:val="18"/>
                <w:szCs w:val="18"/>
                <w:rtl/>
                <w:lang w:eastAsia="he-IL"/>
              </w:rPr>
              <w:t>)</w:t>
            </w:r>
          </w:p>
        </w:tc>
        <w:tc>
          <w:tcPr>
            <w:tcW w:w="9884" w:type="dxa"/>
            <w:tcBorders>
              <w:right w:val="nil"/>
            </w:tcBorders>
            <w:tcMar>
              <w:left w:w="58" w:type="dxa"/>
              <w:right w:w="58" w:type="dxa"/>
            </w:tcMar>
          </w:tcPr>
          <w:p w14:paraId="2D6B0E86" w14:textId="77777777" w:rsidR="00F32A2A" w:rsidRPr="000F4014" w:rsidRDefault="000F4014" w:rsidP="00195002">
            <w:pPr>
              <w:spacing w:line="220" w:lineRule="exact"/>
              <w:rPr>
                <w:sz w:val="18"/>
                <w:szCs w:val="18"/>
                <w:rtl/>
              </w:rPr>
            </w:pPr>
            <w:r w:rsidRPr="000F4014">
              <w:rPr>
                <w:rFonts w:hint="eastAsia"/>
                <w:sz w:val="18"/>
                <w:szCs w:val="18"/>
                <w:rtl/>
              </w:rPr>
              <w:t>הסכום</w:t>
            </w:r>
            <w:r w:rsidRPr="000F4014">
              <w:rPr>
                <w:sz w:val="18"/>
                <w:szCs w:val="18"/>
                <w:rtl/>
              </w:rPr>
              <w:t xml:space="preserve"> </w:t>
            </w:r>
            <w:r w:rsidRPr="000F4014">
              <w:rPr>
                <w:rFonts w:hint="eastAsia"/>
                <w:sz w:val="18"/>
                <w:szCs w:val="18"/>
                <w:rtl/>
              </w:rPr>
              <w:t>לפני</w:t>
            </w:r>
            <w:r w:rsidRPr="000F4014">
              <w:rPr>
                <w:sz w:val="18"/>
                <w:szCs w:val="18"/>
                <w:rtl/>
              </w:rPr>
              <w:t xml:space="preserve"> </w:t>
            </w:r>
            <w:r w:rsidRPr="000F4014">
              <w:rPr>
                <w:rFonts w:hint="eastAsia"/>
                <w:sz w:val="18"/>
                <w:szCs w:val="18"/>
                <w:rtl/>
              </w:rPr>
              <w:t>מס</w:t>
            </w:r>
            <w:r w:rsidRPr="000F4014">
              <w:rPr>
                <w:sz w:val="18"/>
                <w:szCs w:val="18"/>
                <w:rtl/>
              </w:rPr>
              <w:t xml:space="preserve"> </w:t>
            </w:r>
            <w:r w:rsidRPr="000F4014">
              <w:rPr>
                <w:rFonts w:hint="eastAsia"/>
                <w:sz w:val="18"/>
                <w:szCs w:val="18"/>
                <w:rtl/>
              </w:rPr>
              <w:t>מדווח</w:t>
            </w:r>
            <w:r w:rsidRPr="000F4014">
              <w:rPr>
                <w:sz w:val="18"/>
                <w:szCs w:val="18"/>
                <w:rtl/>
              </w:rPr>
              <w:t xml:space="preserve"> </w:t>
            </w:r>
            <w:r w:rsidRPr="000F4014">
              <w:rPr>
                <w:rFonts w:hint="eastAsia"/>
                <w:sz w:val="18"/>
                <w:szCs w:val="18"/>
                <w:rtl/>
              </w:rPr>
              <w:t>בדוח</w:t>
            </w:r>
            <w:r w:rsidRPr="000F4014">
              <w:rPr>
                <w:sz w:val="18"/>
                <w:szCs w:val="18"/>
                <w:rtl/>
              </w:rPr>
              <w:t xml:space="preserve"> </w:t>
            </w:r>
            <w:r w:rsidRPr="000F4014">
              <w:rPr>
                <w:rFonts w:hint="eastAsia"/>
                <w:sz w:val="18"/>
                <w:szCs w:val="18"/>
                <w:rtl/>
              </w:rPr>
              <w:t>רווח</w:t>
            </w:r>
            <w:r w:rsidRPr="000F4014">
              <w:rPr>
                <w:sz w:val="18"/>
                <w:szCs w:val="18"/>
                <w:rtl/>
              </w:rPr>
              <w:t xml:space="preserve"> </w:t>
            </w:r>
            <w:r w:rsidRPr="000F4014">
              <w:rPr>
                <w:rFonts w:hint="eastAsia"/>
                <w:sz w:val="18"/>
                <w:szCs w:val="18"/>
                <w:rtl/>
              </w:rPr>
              <w:t>והפסד</w:t>
            </w:r>
            <w:r w:rsidRPr="000F4014">
              <w:rPr>
                <w:sz w:val="18"/>
                <w:szCs w:val="18"/>
                <w:rtl/>
              </w:rPr>
              <w:t xml:space="preserve"> </w:t>
            </w:r>
            <w:r w:rsidRPr="000F4014">
              <w:rPr>
                <w:rFonts w:hint="eastAsia"/>
                <w:sz w:val="18"/>
                <w:szCs w:val="18"/>
                <w:rtl/>
              </w:rPr>
              <w:t>בסעיף</w:t>
            </w:r>
            <w:r w:rsidRPr="000F4014">
              <w:rPr>
                <w:sz w:val="18"/>
                <w:szCs w:val="18"/>
                <w:rtl/>
              </w:rPr>
              <w:t xml:space="preserve"> ___.</w:t>
            </w:r>
            <w:r w:rsidRPr="000F4014">
              <w:rPr>
                <w:sz w:val="18"/>
                <w:szCs w:val="18"/>
                <w:vertAlign w:val="superscript"/>
                <w:rtl/>
              </w:rPr>
              <w:t>[</w:t>
            </w:r>
            <w:r w:rsidRPr="000F4014">
              <w:rPr>
                <w:rStyle w:val="a7"/>
                <w:sz w:val="18"/>
                <w:szCs w:val="18"/>
                <w:rtl/>
              </w:rPr>
              <w:footnoteReference w:id="42"/>
            </w:r>
            <w:r w:rsidRPr="000F4014">
              <w:rPr>
                <w:sz w:val="18"/>
                <w:szCs w:val="18"/>
                <w:vertAlign w:val="superscript"/>
                <w:rtl/>
              </w:rPr>
              <w:t>]</w:t>
            </w:r>
          </w:p>
        </w:tc>
      </w:tr>
      <w:tr w:rsidR="00D0470C" w:rsidRPr="004B6A39" w14:paraId="599AD315" w14:textId="77777777" w:rsidTr="006F3019">
        <w:trPr>
          <w:trHeight w:val="259"/>
        </w:trPr>
        <w:tc>
          <w:tcPr>
            <w:tcW w:w="489" w:type="dxa"/>
          </w:tcPr>
          <w:p w14:paraId="7BA74CD1" w14:textId="01C62CC7" w:rsidR="00F32A2A" w:rsidRPr="00EC46DF" w:rsidRDefault="00B44059">
            <w:pPr>
              <w:spacing w:line="220" w:lineRule="exact"/>
              <w:jc w:val="left"/>
              <w:rPr>
                <w:color w:val="000000"/>
                <w:sz w:val="18"/>
                <w:szCs w:val="18"/>
                <w:rtl/>
                <w:lang w:eastAsia="he-IL"/>
              </w:rPr>
            </w:pPr>
            <w:r w:rsidRPr="00EC46DF">
              <w:rPr>
                <w:color w:val="000000"/>
                <w:sz w:val="18"/>
                <w:szCs w:val="18"/>
                <w:rtl/>
                <w:lang w:eastAsia="he-IL"/>
              </w:rPr>
              <w:t>(</w:t>
            </w:r>
            <w:r w:rsidR="00287440" w:rsidRPr="00EC46DF">
              <w:rPr>
                <w:rFonts w:hint="cs"/>
                <w:color w:val="000000"/>
                <w:sz w:val="18"/>
                <w:szCs w:val="18"/>
                <w:rtl/>
                <w:lang w:eastAsia="he-IL"/>
              </w:rPr>
              <w:t>ו</w:t>
            </w:r>
            <w:r w:rsidRPr="00EC46DF">
              <w:rPr>
                <w:color w:val="000000"/>
                <w:sz w:val="18"/>
                <w:szCs w:val="18"/>
                <w:rtl/>
                <w:lang w:eastAsia="he-IL"/>
              </w:rPr>
              <w:t>)</w:t>
            </w:r>
          </w:p>
        </w:tc>
        <w:tc>
          <w:tcPr>
            <w:tcW w:w="9884" w:type="dxa"/>
            <w:tcBorders>
              <w:right w:val="nil"/>
            </w:tcBorders>
            <w:tcMar>
              <w:left w:w="58" w:type="dxa"/>
              <w:right w:w="58" w:type="dxa"/>
            </w:tcMar>
          </w:tcPr>
          <w:p w14:paraId="5C3ADF71" w14:textId="77777777" w:rsidR="00F32A2A" w:rsidRDefault="00B44059" w:rsidP="00030C7C">
            <w:pPr>
              <w:spacing w:line="220" w:lineRule="exact"/>
              <w:rPr>
                <w:b/>
                <w:bCs/>
                <w:sz w:val="18"/>
                <w:szCs w:val="18"/>
                <w:rtl/>
              </w:rPr>
            </w:pPr>
            <w:r w:rsidRPr="00B44059">
              <w:rPr>
                <w:rFonts w:hint="eastAsia"/>
                <w:sz w:val="18"/>
                <w:szCs w:val="18"/>
                <w:rtl/>
              </w:rPr>
              <w:t>הסכום</w:t>
            </w:r>
            <w:r w:rsidRPr="00B44059">
              <w:rPr>
                <w:sz w:val="18"/>
                <w:szCs w:val="18"/>
                <w:rtl/>
              </w:rPr>
              <w:t xml:space="preserve"> </w:t>
            </w:r>
            <w:r w:rsidRPr="00B44059">
              <w:rPr>
                <w:rFonts w:hint="eastAsia"/>
                <w:sz w:val="18"/>
                <w:szCs w:val="18"/>
                <w:rtl/>
              </w:rPr>
              <w:t>לפני</w:t>
            </w:r>
            <w:r w:rsidRPr="00B44059">
              <w:rPr>
                <w:sz w:val="18"/>
                <w:szCs w:val="18"/>
                <w:rtl/>
              </w:rPr>
              <w:t xml:space="preserve"> </w:t>
            </w:r>
            <w:r w:rsidRPr="00B44059">
              <w:rPr>
                <w:rFonts w:hint="eastAsia"/>
                <w:sz w:val="18"/>
                <w:szCs w:val="18"/>
                <w:rtl/>
              </w:rPr>
              <w:t>מס</w:t>
            </w:r>
            <w:r w:rsidRPr="00B44059">
              <w:rPr>
                <w:sz w:val="18"/>
                <w:szCs w:val="18"/>
                <w:rtl/>
              </w:rPr>
              <w:t xml:space="preserve"> </w:t>
            </w:r>
            <w:r w:rsidRPr="00B44059">
              <w:rPr>
                <w:rFonts w:hint="eastAsia"/>
                <w:sz w:val="18"/>
                <w:szCs w:val="18"/>
                <w:rtl/>
              </w:rPr>
              <w:t>מדווח</w:t>
            </w:r>
            <w:r w:rsidRPr="00B44059">
              <w:rPr>
                <w:sz w:val="18"/>
                <w:szCs w:val="18"/>
                <w:rtl/>
              </w:rPr>
              <w:t xml:space="preserve"> </w:t>
            </w:r>
            <w:r w:rsidRPr="00B44059">
              <w:rPr>
                <w:rFonts w:hint="eastAsia"/>
                <w:sz w:val="18"/>
                <w:szCs w:val="18"/>
                <w:rtl/>
              </w:rPr>
              <w:t>בדוח</w:t>
            </w:r>
            <w:r w:rsidRPr="00B44059">
              <w:rPr>
                <w:sz w:val="18"/>
                <w:szCs w:val="18"/>
                <w:rtl/>
              </w:rPr>
              <w:t xml:space="preserve"> </w:t>
            </w:r>
            <w:r w:rsidRPr="00B44059">
              <w:rPr>
                <w:rFonts w:hint="eastAsia"/>
                <w:sz w:val="18"/>
                <w:szCs w:val="18"/>
                <w:rtl/>
              </w:rPr>
              <w:t>רווח</w:t>
            </w:r>
            <w:r w:rsidRPr="00B44059">
              <w:rPr>
                <w:sz w:val="18"/>
                <w:szCs w:val="18"/>
                <w:rtl/>
              </w:rPr>
              <w:t xml:space="preserve"> </w:t>
            </w:r>
            <w:r w:rsidRPr="00B44059">
              <w:rPr>
                <w:rFonts w:hint="eastAsia"/>
                <w:sz w:val="18"/>
                <w:szCs w:val="18"/>
                <w:rtl/>
              </w:rPr>
              <w:t>והפסד</w:t>
            </w:r>
            <w:r w:rsidRPr="00B44059">
              <w:rPr>
                <w:sz w:val="18"/>
                <w:szCs w:val="18"/>
                <w:rtl/>
              </w:rPr>
              <w:t xml:space="preserve"> </w:t>
            </w:r>
            <w:r w:rsidRPr="00B44059">
              <w:rPr>
                <w:rFonts w:hint="eastAsia"/>
                <w:sz w:val="18"/>
                <w:szCs w:val="18"/>
                <w:rtl/>
              </w:rPr>
              <w:t>בסעיף</w:t>
            </w:r>
            <w:r w:rsidRPr="00B44059">
              <w:rPr>
                <w:sz w:val="18"/>
                <w:szCs w:val="18"/>
                <w:rtl/>
              </w:rPr>
              <w:t xml:space="preserve"> </w:t>
            </w:r>
            <w:r w:rsidRPr="00B44059">
              <w:rPr>
                <w:rFonts w:hint="eastAsia"/>
                <w:sz w:val="18"/>
                <w:szCs w:val="18"/>
                <w:rtl/>
              </w:rPr>
              <w:t>ההוצאות</w:t>
            </w:r>
            <w:r w:rsidRPr="00B44059">
              <w:rPr>
                <w:sz w:val="18"/>
                <w:szCs w:val="18"/>
                <w:rtl/>
              </w:rPr>
              <w:t xml:space="preserve"> </w:t>
            </w:r>
            <w:r w:rsidRPr="00B44059">
              <w:rPr>
                <w:rFonts w:hint="eastAsia"/>
                <w:sz w:val="18"/>
                <w:szCs w:val="18"/>
                <w:rtl/>
              </w:rPr>
              <w:t>בגין</w:t>
            </w:r>
            <w:r w:rsidRPr="00B44059">
              <w:rPr>
                <w:sz w:val="18"/>
                <w:szCs w:val="18"/>
                <w:rtl/>
              </w:rPr>
              <w:t xml:space="preserve"> </w:t>
            </w:r>
            <w:r w:rsidRPr="00B44059">
              <w:rPr>
                <w:rFonts w:hint="eastAsia"/>
                <w:sz w:val="18"/>
                <w:szCs w:val="18"/>
                <w:rtl/>
              </w:rPr>
              <w:t>הטבות</w:t>
            </w:r>
            <w:r w:rsidRPr="00B44059">
              <w:rPr>
                <w:sz w:val="18"/>
                <w:szCs w:val="18"/>
                <w:rtl/>
              </w:rPr>
              <w:t xml:space="preserve"> </w:t>
            </w:r>
            <w:r w:rsidRPr="00B44059">
              <w:rPr>
                <w:rFonts w:hint="eastAsia"/>
                <w:sz w:val="18"/>
                <w:szCs w:val="18"/>
                <w:rtl/>
              </w:rPr>
              <w:t>לעובדים</w:t>
            </w:r>
            <w:r w:rsidRPr="00B44059">
              <w:rPr>
                <w:sz w:val="18"/>
                <w:szCs w:val="18"/>
                <w:rtl/>
              </w:rPr>
              <w:t>.</w:t>
            </w:r>
            <w:r w:rsidR="00291D05">
              <w:rPr>
                <w:rFonts w:hint="cs"/>
                <w:sz w:val="18"/>
                <w:szCs w:val="18"/>
                <w:rtl/>
              </w:rPr>
              <w:t xml:space="preserve"> ראה פירוט נוסף בביאור </w:t>
            </w:r>
            <w:r w:rsidR="00B036C0">
              <w:rPr>
                <w:rFonts w:hint="cs"/>
                <w:sz w:val="18"/>
                <w:szCs w:val="18"/>
                <w:rtl/>
              </w:rPr>
              <w:t xml:space="preserve">7א </w:t>
            </w:r>
            <w:r w:rsidR="00291D05" w:rsidRPr="00030C7C">
              <w:rPr>
                <w:rFonts w:hint="eastAsia"/>
                <w:i/>
                <w:iCs/>
                <w:sz w:val="18"/>
                <w:szCs w:val="18"/>
                <w:rtl/>
              </w:rPr>
              <w:t>הטבות</w:t>
            </w:r>
            <w:r w:rsidR="00291D05" w:rsidRPr="00030C7C">
              <w:rPr>
                <w:i/>
                <w:iCs/>
                <w:sz w:val="18"/>
                <w:szCs w:val="18"/>
                <w:rtl/>
              </w:rPr>
              <w:t xml:space="preserve"> </w:t>
            </w:r>
            <w:r w:rsidR="00291D05" w:rsidRPr="00030C7C">
              <w:rPr>
                <w:rFonts w:hint="eastAsia"/>
                <w:i/>
                <w:iCs/>
                <w:sz w:val="18"/>
                <w:szCs w:val="18"/>
                <w:rtl/>
              </w:rPr>
              <w:t>לעובדים</w:t>
            </w:r>
            <w:r w:rsidR="00291D05">
              <w:rPr>
                <w:rFonts w:hint="cs"/>
                <w:sz w:val="18"/>
                <w:szCs w:val="18"/>
                <w:rtl/>
              </w:rPr>
              <w:t>.</w:t>
            </w:r>
          </w:p>
        </w:tc>
      </w:tr>
    </w:tbl>
    <w:p w14:paraId="23A0AF16" w14:textId="77777777" w:rsidR="00D0470C" w:rsidRDefault="00D0470C" w:rsidP="00D0470C">
      <w:pPr>
        <w:rPr>
          <w:rtl/>
        </w:rPr>
        <w:sectPr w:rsidR="00D0470C" w:rsidSect="00587121">
          <w:headerReference w:type="even" r:id="rId39"/>
          <w:headerReference w:type="default" r:id="rId40"/>
          <w:footnotePr>
            <w:numRestart w:val="eachPage"/>
          </w:footnotePr>
          <w:pgSz w:w="11909" w:h="16834" w:code="9"/>
          <w:pgMar w:top="709" w:right="851" w:bottom="851" w:left="851" w:header="720" w:footer="600" w:gutter="0"/>
          <w:cols w:space="720"/>
          <w:bidi/>
          <w:rtlGutter/>
          <w:docGrid w:linePitch="360"/>
        </w:sectPr>
      </w:pPr>
    </w:p>
    <w:p w14:paraId="6669AC64" w14:textId="77777777" w:rsidR="00D0470C" w:rsidRDefault="00D0470C" w:rsidP="00D0470C">
      <w:pPr>
        <w:bidi w:val="0"/>
        <w:spacing w:line="14" w:lineRule="exact"/>
        <w:rPr>
          <w:highlight w:val="yellow"/>
          <w:rtl/>
        </w:rPr>
      </w:pPr>
    </w:p>
    <w:tbl>
      <w:tblPr>
        <w:bidiVisual/>
        <w:tblW w:w="4768" w:type="pct"/>
        <w:tblLayout w:type="fixed"/>
        <w:tblLook w:val="04A0" w:firstRow="1" w:lastRow="0" w:firstColumn="1" w:lastColumn="0" w:noHBand="0" w:noVBand="1"/>
      </w:tblPr>
      <w:tblGrid>
        <w:gridCol w:w="1020"/>
        <w:gridCol w:w="421"/>
        <w:gridCol w:w="8292"/>
      </w:tblGrid>
      <w:tr w:rsidR="00D0470C" w:rsidRPr="00F33BB6" w14:paraId="1EB73E2E" w14:textId="77777777" w:rsidTr="00EC46DF">
        <w:trPr>
          <w:trHeight w:val="259"/>
        </w:trPr>
        <w:tc>
          <w:tcPr>
            <w:tcW w:w="1020" w:type="dxa"/>
          </w:tcPr>
          <w:p w14:paraId="7F076A84" w14:textId="77777777" w:rsidR="00F32A2A" w:rsidRDefault="00F32A2A">
            <w:pPr>
              <w:spacing w:before="60" w:after="60"/>
              <w:ind w:right="-144"/>
              <w:jc w:val="left"/>
              <w:rPr>
                <w:spacing w:val="-6"/>
                <w:sz w:val="14"/>
                <w:szCs w:val="14"/>
                <w:highlight w:val="yellow"/>
                <w:rtl/>
              </w:rPr>
            </w:pPr>
          </w:p>
        </w:tc>
        <w:tc>
          <w:tcPr>
            <w:tcW w:w="8714" w:type="dxa"/>
            <w:gridSpan w:val="2"/>
          </w:tcPr>
          <w:p w14:paraId="5A8E4343" w14:textId="77777777" w:rsidR="00F32A2A" w:rsidRDefault="00D0470C">
            <w:pPr>
              <w:spacing w:after="60"/>
              <w:rPr>
                <w:b/>
                <w:bCs/>
                <w:sz w:val="22"/>
                <w:szCs w:val="22"/>
                <w:rtl/>
              </w:rPr>
            </w:pPr>
            <w:r w:rsidRPr="00F33BB6">
              <w:rPr>
                <w:rFonts w:eastAsia="Arial Unicode MS"/>
                <w:b/>
                <w:bCs/>
                <w:sz w:val="22"/>
                <w:szCs w:val="22"/>
                <w:rtl/>
              </w:rPr>
              <w:t>ביאור</w:t>
            </w:r>
            <w:r>
              <w:rPr>
                <w:rFonts w:eastAsia="Arial Unicode MS" w:hint="cs"/>
                <w:b/>
                <w:bCs/>
                <w:sz w:val="22"/>
                <w:szCs w:val="22"/>
                <w:rtl/>
              </w:rPr>
              <w:t xml:space="preserve"> 4 - </w:t>
            </w:r>
            <w:r w:rsidRPr="00F33BB6">
              <w:rPr>
                <w:rFonts w:hint="cs"/>
                <w:b/>
                <w:bCs/>
                <w:sz w:val="22"/>
                <w:szCs w:val="22"/>
                <w:rtl/>
              </w:rPr>
              <w:t>רווח (הפסד) כולל אחר מצטבר (המשך):</w:t>
            </w:r>
          </w:p>
        </w:tc>
      </w:tr>
      <w:tr w:rsidR="00D0470C" w:rsidRPr="00F33BB6" w14:paraId="429FA7E3" w14:textId="77777777" w:rsidTr="00EC46DF">
        <w:trPr>
          <w:trHeight w:val="245"/>
        </w:trPr>
        <w:tc>
          <w:tcPr>
            <w:tcW w:w="1020" w:type="dxa"/>
          </w:tcPr>
          <w:p w14:paraId="76D92035" w14:textId="77777777" w:rsidR="00F32A2A" w:rsidRDefault="00D0470C" w:rsidP="00D155F9">
            <w:pPr>
              <w:spacing w:before="60"/>
              <w:jc w:val="left"/>
              <w:rPr>
                <w:b/>
                <w:bCs/>
                <w:rtl/>
              </w:rPr>
            </w:pPr>
            <w:r w:rsidRPr="00F33BB6">
              <w:rPr>
                <w:rFonts w:hint="eastAsia"/>
                <w:sz w:val="14"/>
                <w:szCs w:val="14"/>
                <w:rtl/>
              </w:rPr>
              <w:t>מתכונת</w:t>
            </w:r>
            <w:r w:rsidRPr="00F33BB6">
              <w:rPr>
                <w:sz w:val="14"/>
                <w:szCs w:val="14"/>
                <w:rtl/>
              </w:rPr>
              <w:t xml:space="preserve"> ביאור </w:t>
            </w:r>
            <w:r>
              <w:rPr>
                <w:sz w:val="14"/>
                <w:szCs w:val="14"/>
                <w:rtl/>
              </w:rPr>
              <w:br/>
            </w:r>
            <w:r w:rsidRPr="00F33BB6">
              <w:rPr>
                <w:rFonts w:hint="eastAsia"/>
                <w:sz w:val="14"/>
                <w:szCs w:val="14"/>
                <w:rtl/>
              </w:rPr>
              <w:t>עמ</w:t>
            </w:r>
            <w:r w:rsidRPr="00F33BB6">
              <w:rPr>
                <w:sz w:val="14"/>
                <w:szCs w:val="14"/>
                <w:rtl/>
              </w:rPr>
              <w:t xml:space="preserve">' </w:t>
            </w:r>
            <w:r>
              <w:rPr>
                <w:rFonts w:hint="cs"/>
                <w:sz w:val="14"/>
                <w:szCs w:val="14"/>
                <w:rtl/>
              </w:rPr>
              <w:t>663-</w:t>
            </w:r>
            <w:r w:rsidR="00D155F9">
              <w:rPr>
                <w:rFonts w:hint="cs"/>
                <w:sz w:val="14"/>
                <w:szCs w:val="14"/>
                <w:rtl/>
              </w:rPr>
              <w:t>20</w:t>
            </w:r>
          </w:p>
        </w:tc>
        <w:tc>
          <w:tcPr>
            <w:tcW w:w="421" w:type="dxa"/>
          </w:tcPr>
          <w:p w14:paraId="02B5859F" w14:textId="77777777" w:rsidR="00F32A2A" w:rsidRDefault="00D0470C">
            <w:pPr>
              <w:spacing w:before="60"/>
              <w:rPr>
                <w:b/>
                <w:bCs/>
                <w:rtl/>
              </w:rPr>
            </w:pPr>
            <w:r w:rsidRPr="00F33BB6">
              <w:rPr>
                <w:rFonts w:hint="cs"/>
                <w:b/>
                <w:bCs/>
                <w:rtl/>
              </w:rPr>
              <w:t>ב.</w:t>
            </w:r>
          </w:p>
        </w:tc>
        <w:tc>
          <w:tcPr>
            <w:tcW w:w="8293" w:type="dxa"/>
          </w:tcPr>
          <w:p w14:paraId="08D3DBB0" w14:textId="6B761A96" w:rsidR="00F32A2A" w:rsidRDefault="00D0470C">
            <w:pPr>
              <w:spacing w:before="60"/>
              <w:rPr>
                <w:b/>
                <w:bCs/>
                <w:rtl/>
              </w:rPr>
            </w:pPr>
            <w:r w:rsidRPr="00F33BB6">
              <w:rPr>
                <w:rFonts w:hint="cs"/>
                <w:b/>
                <w:bCs/>
                <w:rtl/>
              </w:rPr>
              <w:t>שינויים במרכיבי רווח (הפסד) כולל אחר מצטבר, לפני ואחרי השפעת מס</w:t>
            </w:r>
            <w:r>
              <w:rPr>
                <w:rFonts w:hint="cs"/>
                <w:b/>
                <w:bCs/>
                <w:rtl/>
              </w:rPr>
              <w:t xml:space="preserve"> (המשך)</w:t>
            </w:r>
            <w:r w:rsidRPr="00F33BB6">
              <w:rPr>
                <w:rFonts w:hint="cs"/>
                <w:b/>
                <w:bCs/>
                <w:rtl/>
              </w:rPr>
              <w:t>:</w:t>
            </w:r>
          </w:p>
        </w:tc>
      </w:tr>
      <w:tr w:rsidR="00D0470C" w:rsidRPr="00F33BB6" w14:paraId="0FDE4AB2" w14:textId="77777777" w:rsidTr="00EC46DF">
        <w:tblPrEx>
          <w:tblLook w:val="01E0" w:firstRow="1" w:lastRow="1" w:firstColumn="1" w:lastColumn="1" w:noHBand="0" w:noVBand="0"/>
        </w:tblPrEx>
        <w:trPr>
          <w:trHeight w:val="259"/>
        </w:trPr>
        <w:tc>
          <w:tcPr>
            <w:tcW w:w="1020" w:type="dxa"/>
          </w:tcPr>
          <w:p w14:paraId="01F87BBD" w14:textId="77777777" w:rsidR="00F32A2A" w:rsidRDefault="00F32A2A">
            <w:pPr>
              <w:rPr>
                <w:rtl/>
              </w:rPr>
            </w:pPr>
          </w:p>
        </w:tc>
        <w:tc>
          <w:tcPr>
            <w:tcW w:w="421" w:type="dxa"/>
            <w:vAlign w:val="bottom"/>
          </w:tcPr>
          <w:p w14:paraId="34AFA268" w14:textId="77777777" w:rsidR="00F32A2A" w:rsidRDefault="00F32A2A">
            <w:pPr>
              <w:rPr>
                <w:rtl/>
              </w:rPr>
            </w:pPr>
          </w:p>
        </w:tc>
        <w:tc>
          <w:tcPr>
            <w:tcW w:w="8293" w:type="dxa"/>
            <w:vAlign w:val="bottom"/>
          </w:tcPr>
          <w:p w14:paraId="50F631B8" w14:textId="37F1C724" w:rsidR="00F32A2A" w:rsidRPr="003765C0" w:rsidRDefault="00D0470C" w:rsidP="0059280D">
            <w:pPr>
              <w:pStyle w:val="-f4"/>
              <w:ind w:left="214" w:hanging="214"/>
              <w:rPr>
                <w:sz w:val="18"/>
                <w:szCs w:val="18"/>
                <w:rtl/>
              </w:rPr>
            </w:pPr>
            <w:r w:rsidRPr="003765C0">
              <w:rPr>
                <w:rFonts w:hint="cs"/>
                <w:sz w:val="18"/>
                <w:szCs w:val="18"/>
                <w:rtl/>
              </w:rPr>
              <w:t>2</w:t>
            </w:r>
            <w:r w:rsidRPr="003765C0">
              <w:rPr>
                <w:sz w:val="18"/>
                <w:szCs w:val="18"/>
                <w:rtl/>
              </w:rPr>
              <w:t>.</w:t>
            </w:r>
            <w:r w:rsidRPr="003765C0">
              <w:rPr>
                <w:sz w:val="18"/>
                <w:szCs w:val="18"/>
                <w:rtl/>
              </w:rPr>
              <w:tab/>
              <w:t xml:space="preserve">לתקופות של </w:t>
            </w:r>
            <w:r w:rsidRPr="003765C0">
              <w:rPr>
                <w:rFonts w:hint="cs"/>
                <w:sz w:val="18"/>
                <w:szCs w:val="18"/>
                <w:rtl/>
              </w:rPr>
              <w:t>שישה</w:t>
            </w:r>
            <w:r w:rsidRPr="003765C0">
              <w:rPr>
                <w:sz w:val="18"/>
                <w:szCs w:val="18"/>
                <w:rtl/>
              </w:rPr>
              <w:t xml:space="preserve"> חודשים שהסתיימו </w:t>
            </w:r>
            <w:r w:rsidRPr="003765C0">
              <w:rPr>
                <w:rFonts w:hint="cs"/>
                <w:sz w:val="18"/>
                <w:szCs w:val="18"/>
                <w:rtl/>
              </w:rPr>
              <w:t>בימים</w:t>
            </w:r>
            <w:r w:rsidRPr="003765C0">
              <w:rPr>
                <w:sz w:val="18"/>
                <w:szCs w:val="18"/>
                <w:rtl/>
              </w:rPr>
              <w:t xml:space="preserve"> 30 ביוני </w:t>
            </w:r>
            <w:r w:rsidR="00811685" w:rsidRPr="003765C0">
              <w:rPr>
                <w:sz w:val="18"/>
                <w:szCs w:val="18"/>
                <w:rtl/>
              </w:rPr>
              <w:fldChar w:fldCharType="begin"/>
            </w:r>
            <w:r w:rsidR="00811685" w:rsidRPr="003765C0">
              <w:rPr>
                <w:sz w:val="18"/>
                <w:szCs w:val="18"/>
                <w:rtl/>
              </w:rPr>
              <w:instrText xml:space="preserve"> </w:instrText>
            </w:r>
            <w:r w:rsidR="00811685" w:rsidRPr="003765C0">
              <w:rPr>
                <w:rFonts w:hint="cs"/>
                <w:sz w:val="18"/>
                <w:szCs w:val="18"/>
                <w:rtl/>
              </w:rPr>
              <w:instrText xml:space="preserve">= </w:instrText>
            </w:r>
            <w:r w:rsidR="00811685" w:rsidRPr="003765C0">
              <w:rPr>
                <w:rFonts w:hint="cs"/>
                <w:sz w:val="18"/>
                <w:szCs w:val="18"/>
              </w:rPr>
              <w:instrText>CY \* MERGEFORMAT</w:instrText>
            </w:r>
            <w:r w:rsidR="00811685" w:rsidRPr="003765C0">
              <w:rPr>
                <w:sz w:val="18"/>
                <w:szCs w:val="18"/>
                <w:rtl/>
              </w:rPr>
              <w:instrText xml:space="preserve"> </w:instrText>
            </w:r>
            <w:r w:rsidR="00811685" w:rsidRPr="003765C0">
              <w:rPr>
                <w:sz w:val="18"/>
                <w:szCs w:val="18"/>
                <w:rtl/>
              </w:rPr>
              <w:fldChar w:fldCharType="separate"/>
            </w:r>
            <w:r w:rsidR="003A584F" w:rsidRPr="003765C0">
              <w:rPr>
                <w:noProof/>
                <w:sz w:val="18"/>
                <w:szCs w:val="18"/>
                <w:rtl/>
              </w:rPr>
              <w:t>2024</w:t>
            </w:r>
            <w:r w:rsidR="00811685" w:rsidRPr="003765C0">
              <w:rPr>
                <w:sz w:val="18"/>
                <w:szCs w:val="18"/>
                <w:rtl/>
              </w:rPr>
              <w:fldChar w:fldCharType="end"/>
            </w:r>
            <w:r w:rsidR="0059280D" w:rsidRPr="003765C0">
              <w:rPr>
                <w:rFonts w:hint="cs"/>
                <w:sz w:val="18"/>
                <w:szCs w:val="18"/>
                <w:rtl/>
              </w:rPr>
              <w:t xml:space="preserve"> </w:t>
            </w:r>
            <w:r w:rsidRPr="003765C0">
              <w:rPr>
                <w:sz w:val="18"/>
                <w:szCs w:val="18"/>
                <w:rtl/>
              </w:rPr>
              <w:t>ו</w:t>
            </w:r>
            <w:r w:rsidRPr="003765C0">
              <w:rPr>
                <w:rFonts w:hint="cs"/>
                <w:sz w:val="18"/>
                <w:szCs w:val="18"/>
                <w:rtl/>
              </w:rPr>
              <w:t>-</w:t>
            </w:r>
            <w:r w:rsidRPr="003765C0">
              <w:rPr>
                <w:sz w:val="18"/>
                <w:szCs w:val="18"/>
                <w:rtl/>
              </w:rPr>
              <w:t xml:space="preserve">30 ביוני </w:t>
            </w:r>
            <w:r w:rsidR="00811685" w:rsidRPr="003765C0">
              <w:rPr>
                <w:sz w:val="18"/>
                <w:szCs w:val="18"/>
                <w:rtl/>
              </w:rPr>
              <w:fldChar w:fldCharType="begin"/>
            </w:r>
            <w:r w:rsidR="00811685" w:rsidRPr="003765C0">
              <w:rPr>
                <w:sz w:val="18"/>
                <w:szCs w:val="18"/>
                <w:rtl/>
              </w:rPr>
              <w:instrText xml:space="preserve"> </w:instrText>
            </w:r>
            <w:r w:rsidR="00811685" w:rsidRPr="003765C0">
              <w:rPr>
                <w:rFonts w:hint="cs"/>
                <w:sz w:val="18"/>
                <w:szCs w:val="18"/>
                <w:rtl/>
              </w:rPr>
              <w:instrText xml:space="preserve">= </w:instrText>
            </w:r>
            <w:r w:rsidR="00811685" w:rsidRPr="003765C0">
              <w:rPr>
                <w:rFonts w:hint="cs"/>
                <w:sz w:val="18"/>
                <w:szCs w:val="18"/>
              </w:rPr>
              <w:instrText>CY</w:instrText>
            </w:r>
            <w:r w:rsidR="00811685" w:rsidRPr="003765C0">
              <w:rPr>
                <w:sz w:val="18"/>
                <w:szCs w:val="18"/>
              </w:rPr>
              <w:instrText>-1</w:instrText>
            </w:r>
            <w:r w:rsidR="00811685" w:rsidRPr="003765C0">
              <w:rPr>
                <w:rFonts w:hint="cs"/>
                <w:sz w:val="18"/>
                <w:szCs w:val="18"/>
              </w:rPr>
              <w:instrText xml:space="preserve"> \* MERGEFORMAT</w:instrText>
            </w:r>
            <w:r w:rsidR="00811685" w:rsidRPr="003765C0">
              <w:rPr>
                <w:sz w:val="18"/>
                <w:szCs w:val="18"/>
                <w:rtl/>
              </w:rPr>
              <w:instrText xml:space="preserve"> </w:instrText>
            </w:r>
            <w:r w:rsidR="00811685" w:rsidRPr="003765C0">
              <w:rPr>
                <w:sz w:val="18"/>
                <w:szCs w:val="18"/>
                <w:rtl/>
              </w:rPr>
              <w:fldChar w:fldCharType="separate"/>
            </w:r>
            <w:r w:rsidR="003A584F" w:rsidRPr="003765C0">
              <w:rPr>
                <w:noProof/>
                <w:sz w:val="18"/>
                <w:szCs w:val="18"/>
                <w:rtl/>
              </w:rPr>
              <w:t>2023</w:t>
            </w:r>
            <w:r w:rsidR="00811685" w:rsidRPr="003765C0">
              <w:rPr>
                <w:sz w:val="18"/>
                <w:szCs w:val="18"/>
                <w:rtl/>
              </w:rPr>
              <w:fldChar w:fldCharType="end"/>
            </w:r>
            <w:r w:rsidR="00811685" w:rsidRPr="003765C0">
              <w:rPr>
                <w:sz w:val="18"/>
                <w:szCs w:val="18"/>
                <w:rtl/>
              </w:rPr>
              <w:t xml:space="preserve"> </w:t>
            </w:r>
            <w:r w:rsidRPr="003765C0">
              <w:rPr>
                <w:sz w:val="18"/>
                <w:szCs w:val="18"/>
                <w:rtl/>
              </w:rPr>
              <w:t>(</w:t>
            </w:r>
            <w:r w:rsidRPr="003765C0">
              <w:rPr>
                <w:rFonts w:hint="cs"/>
                <w:sz w:val="18"/>
                <w:szCs w:val="18"/>
                <w:rtl/>
              </w:rPr>
              <w:t>בלתי</w:t>
            </w:r>
            <w:r w:rsidRPr="003765C0">
              <w:rPr>
                <w:sz w:val="18"/>
                <w:szCs w:val="18"/>
                <w:rtl/>
              </w:rPr>
              <w:t xml:space="preserve"> מבוקר)</w:t>
            </w:r>
            <w:r w:rsidR="009267F9" w:rsidRPr="003765C0">
              <w:rPr>
                <w:rFonts w:hint="cs"/>
                <w:sz w:val="18"/>
                <w:szCs w:val="18"/>
                <w:rtl/>
              </w:rPr>
              <w:t xml:space="preserve"> ו</w:t>
            </w:r>
            <w:r w:rsidRPr="003765C0">
              <w:rPr>
                <w:rFonts w:hint="cs"/>
                <w:sz w:val="18"/>
                <w:szCs w:val="18"/>
                <w:rtl/>
              </w:rPr>
              <w:t xml:space="preserve">לשנה שהסתיימה ביום 31 בדצמבר </w:t>
            </w:r>
            <w:r w:rsidR="00811685" w:rsidRPr="003765C0">
              <w:rPr>
                <w:sz w:val="18"/>
                <w:szCs w:val="18"/>
                <w:rtl/>
              </w:rPr>
              <w:fldChar w:fldCharType="begin"/>
            </w:r>
            <w:r w:rsidR="00811685" w:rsidRPr="003765C0">
              <w:rPr>
                <w:sz w:val="18"/>
                <w:szCs w:val="18"/>
                <w:rtl/>
              </w:rPr>
              <w:instrText xml:space="preserve"> </w:instrText>
            </w:r>
            <w:r w:rsidR="00811685" w:rsidRPr="003765C0">
              <w:rPr>
                <w:rFonts w:hint="cs"/>
                <w:sz w:val="18"/>
                <w:szCs w:val="18"/>
                <w:rtl/>
              </w:rPr>
              <w:instrText xml:space="preserve">= </w:instrText>
            </w:r>
            <w:r w:rsidR="00811685" w:rsidRPr="003765C0">
              <w:rPr>
                <w:rFonts w:hint="cs"/>
                <w:sz w:val="18"/>
                <w:szCs w:val="18"/>
              </w:rPr>
              <w:instrText>CY</w:instrText>
            </w:r>
            <w:r w:rsidR="00811685" w:rsidRPr="003765C0">
              <w:rPr>
                <w:sz w:val="18"/>
                <w:szCs w:val="18"/>
              </w:rPr>
              <w:instrText>-1</w:instrText>
            </w:r>
            <w:r w:rsidR="00811685" w:rsidRPr="003765C0">
              <w:rPr>
                <w:rFonts w:hint="cs"/>
                <w:sz w:val="18"/>
                <w:szCs w:val="18"/>
              </w:rPr>
              <w:instrText xml:space="preserve"> \* MERGEFORMAT</w:instrText>
            </w:r>
            <w:r w:rsidR="00811685" w:rsidRPr="003765C0">
              <w:rPr>
                <w:sz w:val="18"/>
                <w:szCs w:val="18"/>
                <w:rtl/>
              </w:rPr>
              <w:instrText xml:space="preserve"> </w:instrText>
            </w:r>
            <w:r w:rsidR="00811685" w:rsidRPr="003765C0">
              <w:rPr>
                <w:sz w:val="18"/>
                <w:szCs w:val="18"/>
                <w:rtl/>
              </w:rPr>
              <w:fldChar w:fldCharType="separate"/>
            </w:r>
            <w:r w:rsidR="003A584F" w:rsidRPr="003765C0">
              <w:rPr>
                <w:noProof/>
                <w:sz w:val="18"/>
                <w:szCs w:val="18"/>
                <w:rtl/>
              </w:rPr>
              <w:t>2023</w:t>
            </w:r>
            <w:r w:rsidR="00811685" w:rsidRPr="003765C0">
              <w:rPr>
                <w:sz w:val="18"/>
                <w:szCs w:val="18"/>
                <w:rtl/>
              </w:rPr>
              <w:fldChar w:fldCharType="end"/>
            </w:r>
            <w:r w:rsidR="00811685" w:rsidRPr="003765C0">
              <w:rPr>
                <w:sz w:val="18"/>
                <w:szCs w:val="18"/>
                <w:rtl/>
              </w:rPr>
              <w:t xml:space="preserve"> </w:t>
            </w:r>
            <w:r w:rsidRPr="003765C0">
              <w:rPr>
                <w:rFonts w:hint="cs"/>
                <w:sz w:val="18"/>
                <w:szCs w:val="18"/>
                <w:rtl/>
              </w:rPr>
              <w:t>(מבוקר)</w:t>
            </w:r>
            <w:r w:rsidRPr="003765C0">
              <w:rPr>
                <w:sz w:val="18"/>
                <w:szCs w:val="18"/>
                <w:rtl/>
              </w:rPr>
              <w:t>:</w:t>
            </w:r>
          </w:p>
        </w:tc>
      </w:tr>
    </w:tbl>
    <w:p w14:paraId="5DE442E3" w14:textId="77777777" w:rsidR="00D0470C" w:rsidRDefault="00D0470C" w:rsidP="00D0470C">
      <w:pPr>
        <w:bidi w:val="0"/>
        <w:spacing w:line="120" w:lineRule="exact"/>
      </w:pPr>
      <w:r w:rsidRPr="00F33BB6">
        <w:rPr>
          <w:rtl/>
        </w:rPr>
        <w:tab/>
      </w:r>
      <w:r w:rsidRPr="00F33BB6">
        <w:rPr>
          <w:rFonts w:hint="cs"/>
          <w:rtl/>
        </w:rPr>
        <w:tab/>
      </w:r>
      <w:r w:rsidRPr="00F33BB6">
        <w:rPr>
          <w:rtl/>
        </w:rPr>
        <w:tab/>
      </w:r>
      <w:r w:rsidRPr="00F33BB6">
        <w:rPr>
          <w:rFonts w:hint="cs"/>
          <w:rtl/>
        </w:rPr>
        <w:tab/>
        <w:t xml:space="preserve">    </w:t>
      </w:r>
    </w:p>
    <w:tbl>
      <w:tblPr>
        <w:bidiVisual/>
        <w:tblW w:w="5156" w:type="pct"/>
        <w:jc w:val="right"/>
        <w:tblBorders>
          <w:right w:val="single" w:sz="4" w:space="0" w:color="auto"/>
        </w:tblBorders>
        <w:tblLayout w:type="fixed"/>
        <w:tblLook w:val="04A0" w:firstRow="1" w:lastRow="0" w:firstColumn="1" w:lastColumn="0" w:noHBand="0" w:noVBand="1"/>
      </w:tblPr>
      <w:tblGrid>
        <w:gridCol w:w="3966"/>
        <w:gridCol w:w="685"/>
        <w:gridCol w:w="825"/>
        <w:gridCol w:w="688"/>
        <w:gridCol w:w="685"/>
        <w:gridCol w:w="825"/>
        <w:gridCol w:w="688"/>
        <w:gridCol w:w="688"/>
        <w:gridCol w:w="802"/>
        <w:gridCol w:w="673"/>
      </w:tblGrid>
      <w:tr w:rsidR="00D0470C" w:rsidRPr="00A10E01" w14:paraId="56BBFD23" w14:textId="77777777" w:rsidTr="003765C0">
        <w:trPr>
          <w:trHeight w:val="259"/>
          <w:jc w:val="right"/>
        </w:trPr>
        <w:tc>
          <w:tcPr>
            <w:tcW w:w="3963" w:type="dxa"/>
            <w:vAlign w:val="bottom"/>
          </w:tcPr>
          <w:p w14:paraId="18E6EF76" w14:textId="77777777" w:rsidR="00D0470C" w:rsidRPr="00EA192D" w:rsidRDefault="00D0470C" w:rsidP="006F3019">
            <w:pPr>
              <w:spacing w:line="200" w:lineRule="exact"/>
              <w:ind w:left="144" w:hanging="144"/>
              <w:jc w:val="left"/>
              <w:rPr>
                <w:b/>
                <w:bCs/>
                <w:color w:val="FF0000"/>
                <w:sz w:val="18"/>
                <w:szCs w:val="18"/>
                <w:rtl/>
                <w:lang w:eastAsia="he-IL"/>
              </w:rPr>
            </w:pPr>
          </w:p>
        </w:tc>
        <w:tc>
          <w:tcPr>
            <w:tcW w:w="2197" w:type="dxa"/>
            <w:gridSpan w:val="3"/>
            <w:tcBorders>
              <w:bottom w:val="nil"/>
            </w:tcBorders>
            <w:tcMar>
              <w:left w:w="58" w:type="dxa"/>
              <w:right w:w="58" w:type="dxa"/>
            </w:tcMar>
            <w:vAlign w:val="bottom"/>
          </w:tcPr>
          <w:p w14:paraId="6E7D320B" w14:textId="0AEA57E0" w:rsidR="00D0470C" w:rsidRPr="00A10E01" w:rsidRDefault="00D0470C" w:rsidP="001977FC">
            <w:pPr>
              <w:pBdr>
                <w:bottom w:val="single" w:sz="4" w:space="1" w:color="auto"/>
              </w:pBdr>
              <w:spacing w:line="200" w:lineRule="exact"/>
              <w:jc w:val="center"/>
              <w:rPr>
                <w:b/>
                <w:bCs/>
                <w:sz w:val="18"/>
                <w:szCs w:val="18"/>
                <w:rtl/>
              </w:rPr>
            </w:pPr>
            <w:r>
              <w:rPr>
                <w:rFonts w:hint="cs"/>
                <w:b/>
                <w:bCs/>
                <w:sz w:val="18"/>
                <w:szCs w:val="18"/>
                <w:rtl/>
              </w:rPr>
              <w:t xml:space="preserve">לשישה חודשים שהסתיימו ביום 30 ביוני </w:t>
            </w:r>
            <w:r w:rsidR="00811685" w:rsidRPr="00811685">
              <w:rPr>
                <w:b/>
                <w:bCs/>
                <w:sz w:val="18"/>
                <w:szCs w:val="18"/>
                <w:rtl/>
              </w:rPr>
              <w:fldChar w:fldCharType="begin"/>
            </w:r>
            <w:r w:rsidR="00811685" w:rsidRPr="00811685">
              <w:rPr>
                <w:b/>
                <w:bCs/>
                <w:sz w:val="18"/>
                <w:szCs w:val="18"/>
                <w:rtl/>
              </w:rPr>
              <w:instrText xml:space="preserve"> </w:instrText>
            </w:r>
            <w:r w:rsidR="00811685" w:rsidRPr="00811685">
              <w:rPr>
                <w:rFonts w:hint="cs"/>
                <w:b/>
                <w:bCs/>
                <w:sz w:val="18"/>
                <w:szCs w:val="18"/>
                <w:rtl/>
              </w:rPr>
              <w:instrText xml:space="preserve">= </w:instrText>
            </w:r>
            <w:r w:rsidR="00811685" w:rsidRPr="00811685">
              <w:rPr>
                <w:rFonts w:hint="cs"/>
                <w:b/>
                <w:bCs/>
                <w:sz w:val="18"/>
                <w:szCs w:val="18"/>
              </w:rPr>
              <w:instrText>CY \* MERGEFORMAT</w:instrText>
            </w:r>
            <w:r w:rsidR="00811685" w:rsidRPr="00811685">
              <w:rPr>
                <w:b/>
                <w:bCs/>
                <w:sz w:val="18"/>
                <w:szCs w:val="18"/>
                <w:rtl/>
              </w:rPr>
              <w:instrText xml:space="preserve"> </w:instrText>
            </w:r>
            <w:r w:rsidR="00811685" w:rsidRPr="00811685">
              <w:rPr>
                <w:b/>
                <w:bCs/>
                <w:sz w:val="18"/>
                <w:szCs w:val="18"/>
                <w:rtl/>
              </w:rPr>
              <w:fldChar w:fldCharType="separate"/>
            </w:r>
            <w:r w:rsidR="003A584F">
              <w:rPr>
                <w:b/>
                <w:bCs/>
                <w:noProof/>
                <w:sz w:val="18"/>
                <w:szCs w:val="18"/>
                <w:rtl/>
              </w:rPr>
              <w:t>2024</w:t>
            </w:r>
            <w:r w:rsidR="00811685" w:rsidRPr="00811685">
              <w:rPr>
                <w:b/>
                <w:bCs/>
                <w:sz w:val="18"/>
                <w:szCs w:val="18"/>
                <w:rtl/>
              </w:rPr>
              <w:fldChar w:fldCharType="end"/>
            </w:r>
          </w:p>
        </w:tc>
        <w:tc>
          <w:tcPr>
            <w:tcW w:w="2198" w:type="dxa"/>
            <w:gridSpan w:val="3"/>
            <w:tcBorders>
              <w:bottom w:val="nil"/>
            </w:tcBorders>
            <w:tcMar>
              <w:left w:w="58" w:type="dxa"/>
              <w:right w:w="58" w:type="dxa"/>
            </w:tcMar>
            <w:vAlign w:val="bottom"/>
          </w:tcPr>
          <w:p w14:paraId="53F5C854" w14:textId="572DB5C7" w:rsidR="00D0470C" w:rsidRPr="00A10E01" w:rsidRDefault="00D0470C" w:rsidP="008B4121">
            <w:pPr>
              <w:pBdr>
                <w:bottom w:val="single" w:sz="4" w:space="1" w:color="auto"/>
              </w:pBdr>
              <w:spacing w:line="200" w:lineRule="exact"/>
              <w:jc w:val="center"/>
              <w:rPr>
                <w:b/>
                <w:bCs/>
                <w:sz w:val="18"/>
                <w:szCs w:val="18"/>
                <w:rtl/>
              </w:rPr>
            </w:pPr>
            <w:r>
              <w:rPr>
                <w:rFonts w:hint="cs"/>
                <w:b/>
                <w:bCs/>
                <w:sz w:val="18"/>
                <w:szCs w:val="18"/>
                <w:rtl/>
              </w:rPr>
              <w:t xml:space="preserve">לשישה חודשים שהסתיימו ביום 30 ביוני </w:t>
            </w:r>
            <w:r w:rsidR="00811685" w:rsidRPr="00811685">
              <w:rPr>
                <w:b/>
                <w:bCs/>
                <w:sz w:val="18"/>
                <w:szCs w:val="18"/>
                <w:rtl/>
              </w:rPr>
              <w:fldChar w:fldCharType="begin"/>
            </w:r>
            <w:r w:rsidR="00811685" w:rsidRPr="00811685">
              <w:rPr>
                <w:b/>
                <w:bCs/>
                <w:sz w:val="18"/>
                <w:szCs w:val="18"/>
                <w:rtl/>
              </w:rPr>
              <w:instrText xml:space="preserve"> </w:instrText>
            </w:r>
            <w:r w:rsidR="00811685" w:rsidRPr="00811685">
              <w:rPr>
                <w:rFonts w:hint="cs"/>
                <w:b/>
                <w:bCs/>
                <w:sz w:val="18"/>
                <w:szCs w:val="18"/>
                <w:rtl/>
              </w:rPr>
              <w:instrText xml:space="preserve">= </w:instrText>
            </w:r>
            <w:r w:rsidR="00811685" w:rsidRPr="00811685">
              <w:rPr>
                <w:rFonts w:hint="cs"/>
                <w:b/>
                <w:bCs/>
                <w:sz w:val="18"/>
                <w:szCs w:val="18"/>
              </w:rPr>
              <w:instrText>CY</w:instrText>
            </w:r>
            <w:r w:rsidR="00811685" w:rsidRPr="00811685">
              <w:rPr>
                <w:b/>
                <w:bCs/>
                <w:sz w:val="18"/>
                <w:szCs w:val="18"/>
              </w:rPr>
              <w:instrText>-1</w:instrText>
            </w:r>
            <w:r w:rsidR="00811685" w:rsidRPr="00811685">
              <w:rPr>
                <w:rFonts w:hint="cs"/>
                <w:b/>
                <w:bCs/>
                <w:sz w:val="18"/>
                <w:szCs w:val="18"/>
              </w:rPr>
              <w:instrText xml:space="preserve"> \* MERGEFORMAT</w:instrText>
            </w:r>
            <w:r w:rsidR="00811685" w:rsidRPr="00811685">
              <w:rPr>
                <w:b/>
                <w:bCs/>
                <w:sz w:val="18"/>
                <w:szCs w:val="18"/>
                <w:rtl/>
              </w:rPr>
              <w:instrText xml:space="preserve"> </w:instrText>
            </w:r>
            <w:r w:rsidR="00811685" w:rsidRPr="00811685">
              <w:rPr>
                <w:b/>
                <w:bCs/>
                <w:sz w:val="18"/>
                <w:szCs w:val="18"/>
                <w:rtl/>
              </w:rPr>
              <w:fldChar w:fldCharType="separate"/>
            </w:r>
            <w:r w:rsidR="003A584F">
              <w:rPr>
                <w:b/>
                <w:bCs/>
                <w:noProof/>
                <w:sz w:val="18"/>
                <w:szCs w:val="18"/>
                <w:rtl/>
              </w:rPr>
              <w:t>2023</w:t>
            </w:r>
            <w:r w:rsidR="00811685" w:rsidRPr="00811685">
              <w:rPr>
                <w:b/>
                <w:bCs/>
                <w:sz w:val="18"/>
                <w:szCs w:val="18"/>
                <w:rtl/>
              </w:rPr>
              <w:fldChar w:fldCharType="end"/>
            </w:r>
          </w:p>
        </w:tc>
        <w:tc>
          <w:tcPr>
            <w:tcW w:w="2163" w:type="dxa"/>
            <w:gridSpan w:val="3"/>
            <w:tcBorders>
              <w:bottom w:val="nil"/>
              <w:right w:val="nil"/>
            </w:tcBorders>
            <w:vAlign w:val="bottom"/>
          </w:tcPr>
          <w:p w14:paraId="171333EE" w14:textId="0F1F5AAD" w:rsidR="00D0470C" w:rsidRPr="00A10E01" w:rsidRDefault="00D0470C" w:rsidP="00557052">
            <w:pPr>
              <w:pBdr>
                <w:bottom w:val="single" w:sz="4" w:space="1" w:color="auto"/>
              </w:pBdr>
              <w:spacing w:line="200" w:lineRule="exact"/>
              <w:jc w:val="center"/>
              <w:rPr>
                <w:b/>
                <w:bCs/>
                <w:sz w:val="18"/>
                <w:szCs w:val="18"/>
                <w:rtl/>
              </w:rPr>
            </w:pPr>
            <w:r>
              <w:rPr>
                <w:rFonts w:hint="cs"/>
                <w:b/>
                <w:bCs/>
                <w:sz w:val="18"/>
                <w:szCs w:val="18"/>
                <w:rtl/>
              </w:rPr>
              <w:t xml:space="preserve">לשנה שהסתיימה ביום </w:t>
            </w:r>
            <w:r>
              <w:rPr>
                <w:b/>
                <w:bCs/>
                <w:sz w:val="18"/>
                <w:szCs w:val="18"/>
                <w:rtl/>
              </w:rPr>
              <w:br/>
            </w:r>
            <w:r>
              <w:rPr>
                <w:rFonts w:hint="cs"/>
                <w:b/>
                <w:bCs/>
                <w:sz w:val="18"/>
                <w:szCs w:val="18"/>
                <w:rtl/>
              </w:rPr>
              <w:t xml:space="preserve">31 בדצמבר </w:t>
            </w:r>
            <w:r w:rsidR="00811685" w:rsidRPr="00811685">
              <w:rPr>
                <w:b/>
                <w:bCs/>
                <w:sz w:val="18"/>
                <w:szCs w:val="18"/>
                <w:rtl/>
              </w:rPr>
              <w:fldChar w:fldCharType="begin"/>
            </w:r>
            <w:r w:rsidR="00811685" w:rsidRPr="00811685">
              <w:rPr>
                <w:b/>
                <w:bCs/>
                <w:sz w:val="18"/>
                <w:szCs w:val="18"/>
                <w:rtl/>
              </w:rPr>
              <w:instrText xml:space="preserve"> </w:instrText>
            </w:r>
            <w:r w:rsidR="00811685" w:rsidRPr="00811685">
              <w:rPr>
                <w:rFonts w:hint="cs"/>
                <w:b/>
                <w:bCs/>
                <w:sz w:val="18"/>
                <w:szCs w:val="18"/>
                <w:rtl/>
              </w:rPr>
              <w:instrText xml:space="preserve">= </w:instrText>
            </w:r>
            <w:r w:rsidR="00811685" w:rsidRPr="00811685">
              <w:rPr>
                <w:rFonts w:hint="cs"/>
                <w:b/>
                <w:bCs/>
                <w:sz w:val="18"/>
                <w:szCs w:val="18"/>
              </w:rPr>
              <w:instrText>CY</w:instrText>
            </w:r>
            <w:r w:rsidR="00811685" w:rsidRPr="00811685">
              <w:rPr>
                <w:b/>
                <w:bCs/>
                <w:sz w:val="18"/>
                <w:szCs w:val="18"/>
              </w:rPr>
              <w:instrText>-1</w:instrText>
            </w:r>
            <w:r w:rsidR="00811685" w:rsidRPr="00811685">
              <w:rPr>
                <w:rFonts w:hint="cs"/>
                <w:b/>
                <w:bCs/>
                <w:sz w:val="18"/>
                <w:szCs w:val="18"/>
              </w:rPr>
              <w:instrText xml:space="preserve"> \* MERGEFORMAT</w:instrText>
            </w:r>
            <w:r w:rsidR="00811685" w:rsidRPr="00811685">
              <w:rPr>
                <w:b/>
                <w:bCs/>
                <w:sz w:val="18"/>
                <w:szCs w:val="18"/>
                <w:rtl/>
              </w:rPr>
              <w:instrText xml:space="preserve"> </w:instrText>
            </w:r>
            <w:r w:rsidR="00811685" w:rsidRPr="00811685">
              <w:rPr>
                <w:b/>
                <w:bCs/>
                <w:sz w:val="18"/>
                <w:szCs w:val="18"/>
                <w:rtl/>
              </w:rPr>
              <w:fldChar w:fldCharType="separate"/>
            </w:r>
            <w:r w:rsidR="003A584F">
              <w:rPr>
                <w:b/>
                <w:bCs/>
                <w:noProof/>
                <w:sz w:val="18"/>
                <w:szCs w:val="18"/>
                <w:rtl/>
              </w:rPr>
              <w:t>2023</w:t>
            </w:r>
            <w:r w:rsidR="00811685" w:rsidRPr="00811685">
              <w:rPr>
                <w:b/>
                <w:bCs/>
                <w:sz w:val="18"/>
                <w:szCs w:val="18"/>
                <w:rtl/>
              </w:rPr>
              <w:fldChar w:fldCharType="end"/>
            </w:r>
          </w:p>
        </w:tc>
      </w:tr>
      <w:tr w:rsidR="00D0470C" w:rsidRPr="00A10E01" w14:paraId="33F56787" w14:textId="77777777" w:rsidTr="003765C0">
        <w:trPr>
          <w:trHeight w:val="259"/>
          <w:jc w:val="right"/>
        </w:trPr>
        <w:tc>
          <w:tcPr>
            <w:tcW w:w="3963" w:type="dxa"/>
            <w:vAlign w:val="bottom"/>
          </w:tcPr>
          <w:p w14:paraId="04EB1317" w14:textId="77777777" w:rsidR="00D0470C" w:rsidRPr="00A10E01" w:rsidRDefault="00D0470C" w:rsidP="003C2920">
            <w:pPr>
              <w:spacing w:after="20" w:line="200" w:lineRule="exact"/>
              <w:ind w:left="144" w:hanging="144"/>
              <w:jc w:val="left"/>
              <w:rPr>
                <w:color w:val="000000"/>
                <w:sz w:val="18"/>
                <w:szCs w:val="18"/>
                <w:rtl/>
                <w:lang w:eastAsia="he-IL"/>
              </w:rPr>
            </w:pPr>
          </w:p>
        </w:tc>
        <w:tc>
          <w:tcPr>
            <w:tcW w:w="684" w:type="dxa"/>
            <w:tcBorders>
              <w:bottom w:val="nil"/>
            </w:tcBorders>
            <w:tcMar>
              <w:left w:w="58" w:type="dxa"/>
              <w:right w:w="58" w:type="dxa"/>
            </w:tcMar>
            <w:vAlign w:val="bottom"/>
          </w:tcPr>
          <w:p w14:paraId="494817FF" w14:textId="77777777" w:rsidR="00D0470C" w:rsidRPr="00A10E01" w:rsidRDefault="00D0470C" w:rsidP="003C2920">
            <w:pPr>
              <w:pBdr>
                <w:bottom w:val="single" w:sz="4" w:space="1" w:color="auto"/>
              </w:pBdr>
              <w:spacing w:after="20" w:line="200" w:lineRule="exact"/>
              <w:jc w:val="center"/>
              <w:rPr>
                <w:b/>
                <w:bCs/>
                <w:sz w:val="18"/>
                <w:szCs w:val="18"/>
                <w:rtl/>
              </w:rPr>
            </w:pPr>
            <w:r w:rsidRPr="00A10E01">
              <w:rPr>
                <w:rFonts w:hint="eastAsia"/>
                <w:b/>
                <w:bCs/>
                <w:sz w:val="18"/>
                <w:szCs w:val="18"/>
                <w:rtl/>
              </w:rPr>
              <w:t>לפני</w:t>
            </w:r>
          </w:p>
          <w:p w14:paraId="6DCD65C7" w14:textId="77777777" w:rsidR="00D0470C" w:rsidRPr="00A10E01" w:rsidRDefault="00D0470C" w:rsidP="003C2920">
            <w:pPr>
              <w:pBdr>
                <w:bottom w:val="single" w:sz="4" w:space="1" w:color="auto"/>
              </w:pBdr>
              <w:spacing w:after="20" w:line="200" w:lineRule="exact"/>
              <w:jc w:val="center"/>
              <w:rPr>
                <w:sz w:val="18"/>
                <w:szCs w:val="18"/>
                <w:rtl/>
              </w:rPr>
            </w:pPr>
            <w:r w:rsidRPr="00A10E01">
              <w:rPr>
                <w:rFonts w:hint="eastAsia"/>
                <w:b/>
                <w:bCs/>
                <w:sz w:val="18"/>
                <w:szCs w:val="18"/>
                <w:rtl/>
              </w:rPr>
              <w:t>מס</w:t>
            </w:r>
          </w:p>
        </w:tc>
        <w:tc>
          <w:tcPr>
            <w:tcW w:w="825" w:type="dxa"/>
            <w:tcBorders>
              <w:bottom w:val="nil"/>
            </w:tcBorders>
            <w:vAlign w:val="bottom"/>
          </w:tcPr>
          <w:p w14:paraId="7BC682D1" w14:textId="77777777" w:rsidR="00D0470C" w:rsidRPr="00A10E01" w:rsidRDefault="00D0470C" w:rsidP="003C2920">
            <w:pPr>
              <w:pBdr>
                <w:bottom w:val="single" w:sz="4" w:space="1" w:color="auto"/>
              </w:pBdr>
              <w:spacing w:after="20" w:line="200" w:lineRule="exact"/>
              <w:jc w:val="center"/>
              <w:rPr>
                <w:b/>
                <w:bCs/>
                <w:sz w:val="18"/>
                <w:szCs w:val="18"/>
                <w:rtl/>
              </w:rPr>
            </w:pPr>
            <w:r w:rsidRPr="00A10E01">
              <w:rPr>
                <w:rFonts w:hint="eastAsia"/>
                <w:b/>
                <w:bCs/>
                <w:sz w:val="18"/>
                <w:szCs w:val="18"/>
                <w:rtl/>
              </w:rPr>
              <w:t>השפעת</w:t>
            </w:r>
            <w:r w:rsidRPr="00A10E01">
              <w:rPr>
                <w:b/>
                <w:bCs/>
                <w:sz w:val="18"/>
                <w:szCs w:val="18"/>
                <w:rtl/>
              </w:rPr>
              <w:t xml:space="preserve"> </w:t>
            </w:r>
            <w:r w:rsidRPr="00A10E01">
              <w:rPr>
                <w:rFonts w:hint="eastAsia"/>
                <w:b/>
                <w:bCs/>
                <w:sz w:val="18"/>
                <w:szCs w:val="18"/>
                <w:rtl/>
              </w:rPr>
              <w:t>מס</w:t>
            </w:r>
          </w:p>
        </w:tc>
        <w:tc>
          <w:tcPr>
            <w:tcW w:w="688" w:type="dxa"/>
            <w:tcBorders>
              <w:bottom w:val="nil"/>
            </w:tcBorders>
            <w:vAlign w:val="bottom"/>
          </w:tcPr>
          <w:p w14:paraId="09959220" w14:textId="77777777" w:rsidR="00D0470C" w:rsidRPr="00A10E01" w:rsidRDefault="00D0470C" w:rsidP="003C2920">
            <w:pPr>
              <w:pBdr>
                <w:bottom w:val="single" w:sz="4" w:space="1" w:color="auto"/>
              </w:pBdr>
              <w:spacing w:after="20" w:line="200" w:lineRule="exact"/>
              <w:jc w:val="center"/>
              <w:rPr>
                <w:b/>
                <w:bCs/>
                <w:sz w:val="18"/>
                <w:szCs w:val="18"/>
                <w:rtl/>
              </w:rPr>
            </w:pPr>
            <w:r w:rsidRPr="00A10E01">
              <w:rPr>
                <w:rFonts w:hint="eastAsia"/>
                <w:b/>
                <w:bCs/>
                <w:sz w:val="18"/>
                <w:szCs w:val="18"/>
                <w:rtl/>
              </w:rPr>
              <w:t>לאחר</w:t>
            </w:r>
            <w:r w:rsidRPr="00A10E01">
              <w:rPr>
                <w:b/>
                <w:bCs/>
                <w:sz w:val="18"/>
                <w:szCs w:val="18"/>
                <w:rtl/>
              </w:rPr>
              <w:t xml:space="preserve"> </w:t>
            </w:r>
            <w:r w:rsidRPr="00A10E01">
              <w:rPr>
                <w:rFonts w:hint="eastAsia"/>
                <w:b/>
                <w:bCs/>
                <w:sz w:val="18"/>
                <w:szCs w:val="18"/>
                <w:rtl/>
              </w:rPr>
              <w:t>מס</w:t>
            </w:r>
          </w:p>
        </w:tc>
        <w:tc>
          <w:tcPr>
            <w:tcW w:w="685" w:type="dxa"/>
            <w:tcBorders>
              <w:bottom w:val="nil"/>
            </w:tcBorders>
            <w:tcMar>
              <w:left w:w="58" w:type="dxa"/>
              <w:right w:w="58" w:type="dxa"/>
            </w:tcMar>
            <w:vAlign w:val="bottom"/>
          </w:tcPr>
          <w:p w14:paraId="4A139564" w14:textId="77777777" w:rsidR="00D0470C" w:rsidRPr="00A10E01" w:rsidRDefault="00D0470C" w:rsidP="003C2920">
            <w:pPr>
              <w:pBdr>
                <w:bottom w:val="single" w:sz="4" w:space="1" w:color="auto"/>
              </w:pBdr>
              <w:spacing w:after="20" w:line="200" w:lineRule="exact"/>
              <w:jc w:val="center"/>
              <w:rPr>
                <w:b/>
                <w:bCs/>
                <w:sz w:val="18"/>
                <w:szCs w:val="18"/>
                <w:rtl/>
              </w:rPr>
            </w:pPr>
            <w:r w:rsidRPr="00A10E01">
              <w:rPr>
                <w:rFonts w:hint="eastAsia"/>
                <w:b/>
                <w:bCs/>
                <w:sz w:val="18"/>
                <w:szCs w:val="18"/>
                <w:rtl/>
              </w:rPr>
              <w:t>לפני</w:t>
            </w:r>
          </w:p>
          <w:p w14:paraId="6C56E6E8" w14:textId="77777777" w:rsidR="00D0470C" w:rsidRPr="00A10E01" w:rsidRDefault="00D0470C" w:rsidP="003C2920">
            <w:pPr>
              <w:pBdr>
                <w:bottom w:val="single" w:sz="4" w:space="1" w:color="auto"/>
              </w:pBdr>
              <w:spacing w:after="20" w:line="200" w:lineRule="exact"/>
              <w:jc w:val="center"/>
              <w:rPr>
                <w:sz w:val="18"/>
                <w:szCs w:val="18"/>
                <w:rtl/>
              </w:rPr>
            </w:pPr>
            <w:r w:rsidRPr="00A10E01">
              <w:rPr>
                <w:rFonts w:hint="eastAsia"/>
                <w:b/>
                <w:bCs/>
                <w:sz w:val="18"/>
                <w:szCs w:val="18"/>
                <w:rtl/>
              </w:rPr>
              <w:t>מס</w:t>
            </w:r>
          </w:p>
        </w:tc>
        <w:tc>
          <w:tcPr>
            <w:tcW w:w="825" w:type="dxa"/>
            <w:tcBorders>
              <w:bottom w:val="nil"/>
            </w:tcBorders>
            <w:vAlign w:val="bottom"/>
          </w:tcPr>
          <w:p w14:paraId="5CE53A5B" w14:textId="77777777" w:rsidR="00D0470C" w:rsidRPr="00A10E01" w:rsidRDefault="00D0470C" w:rsidP="003C2920">
            <w:pPr>
              <w:pBdr>
                <w:bottom w:val="single" w:sz="4" w:space="1" w:color="auto"/>
              </w:pBdr>
              <w:spacing w:after="20" w:line="200" w:lineRule="exact"/>
              <w:jc w:val="center"/>
              <w:rPr>
                <w:b/>
                <w:bCs/>
                <w:sz w:val="18"/>
                <w:szCs w:val="18"/>
                <w:rtl/>
              </w:rPr>
            </w:pPr>
            <w:r w:rsidRPr="00A10E01">
              <w:rPr>
                <w:rFonts w:hint="eastAsia"/>
                <w:b/>
                <w:bCs/>
                <w:sz w:val="18"/>
                <w:szCs w:val="18"/>
                <w:rtl/>
              </w:rPr>
              <w:t>השפעת</w:t>
            </w:r>
            <w:r w:rsidRPr="00A10E01">
              <w:rPr>
                <w:b/>
                <w:bCs/>
                <w:sz w:val="18"/>
                <w:szCs w:val="18"/>
                <w:rtl/>
              </w:rPr>
              <w:t xml:space="preserve"> </w:t>
            </w:r>
            <w:r w:rsidRPr="00A10E01">
              <w:rPr>
                <w:rFonts w:hint="eastAsia"/>
                <w:b/>
                <w:bCs/>
                <w:sz w:val="18"/>
                <w:szCs w:val="18"/>
                <w:rtl/>
              </w:rPr>
              <w:t>מס</w:t>
            </w:r>
          </w:p>
        </w:tc>
        <w:tc>
          <w:tcPr>
            <w:tcW w:w="688" w:type="dxa"/>
            <w:tcBorders>
              <w:bottom w:val="nil"/>
              <w:right w:val="nil"/>
            </w:tcBorders>
            <w:vAlign w:val="bottom"/>
          </w:tcPr>
          <w:p w14:paraId="60FC9A6F" w14:textId="77777777" w:rsidR="00D0470C" w:rsidRPr="00A10E01" w:rsidRDefault="00D0470C" w:rsidP="003C2920">
            <w:pPr>
              <w:pBdr>
                <w:bottom w:val="single" w:sz="4" w:space="1" w:color="auto"/>
              </w:pBdr>
              <w:spacing w:after="20" w:line="200" w:lineRule="exact"/>
              <w:jc w:val="center"/>
              <w:rPr>
                <w:b/>
                <w:bCs/>
                <w:sz w:val="18"/>
                <w:szCs w:val="18"/>
                <w:rtl/>
              </w:rPr>
            </w:pPr>
            <w:r w:rsidRPr="00A10E01">
              <w:rPr>
                <w:rFonts w:hint="eastAsia"/>
                <w:b/>
                <w:bCs/>
                <w:sz w:val="18"/>
                <w:szCs w:val="18"/>
                <w:rtl/>
              </w:rPr>
              <w:t>לאחר</w:t>
            </w:r>
            <w:r w:rsidRPr="00A10E01">
              <w:rPr>
                <w:b/>
                <w:bCs/>
                <w:sz w:val="18"/>
                <w:szCs w:val="18"/>
                <w:rtl/>
              </w:rPr>
              <w:t xml:space="preserve"> </w:t>
            </w:r>
            <w:r w:rsidRPr="00A10E01">
              <w:rPr>
                <w:rFonts w:hint="eastAsia"/>
                <w:b/>
                <w:bCs/>
                <w:sz w:val="18"/>
                <w:szCs w:val="18"/>
                <w:rtl/>
              </w:rPr>
              <w:t>מס</w:t>
            </w:r>
          </w:p>
        </w:tc>
        <w:tc>
          <w:tcPr>
            <w:tcW w:w="688" w:type="dxa"/>
            <w:tcBorders>
              <w:bottom w:val="nil"/>
              <w:right w:val="nil"/>
            </w:tcBorders>
            <w:vAlign w:val="bottom"/>
          </w:tcPr>
          <w:p w14:paraId="55BD8B4F" w14:textId="77777777" w:rsidR="00D0470C" w:rsidRPr="00A10E01" w:rsidRDefault="00D0470C" w:rsidP="003C2920">
            <w:pPr>
              <w:pBdr>
                <w:bottom w:val="single" w:sz="4" w:space="1" w:color="auto"/>
              </w:pBdr>
              <w:spacing w:after="20" w:line="200" w:lineRule="exact"/>
              <w:jc w:val="center"/>
              <w:rPr>
                <w:b/>
                <w:bCs/>
                <w:sz w:val="18"/>
                <w:szCs w:val="18"/>
                <w:rtl/>
              </w:rPr>
            </w:pPr>
            <w:r w:rsidRPr="00A10E01">
              <w:rPr>
                <w:rFonts w:hint="eastAsia"/>
                <w:b/>
                <w:bCs/>
                <w:sz w:val="18"/>
                <w:szCs w:val="18"/>
                <w:rtl/>
              </w:rPr>
              <w:t>לפני</w:t>
            </w:r>
          </w:p>
          <w:p w14:paraId="6396409F" w14:textId="77777777" w:rsidR="00D0470C" w:rsidRPr="00A10E01" w:rsidRDefault="00D0470C" w:rsidP="003C2920">
            <w:pPr>
              <w:pBdr>
                <w:bottom w:val="single" w:sz="4" w:space="1" w:color="auto"/>
              </w:pBdr>
              <w:spacing w:after="20" w:line="200" w:lineRule="exact"/>
              <w:jc w:val="center"/>
              <w:rPr>
                <w:b/>
                <w:bCs/>
                <w:sz w:val="18"/>
                <w:szCs w:val="18"/>
                <w:rtl/>
              </w:rPr>
            </w:pPr>
            <w:r w:rsidRPr="00A10E01">
              <w:rPr>
                <w:rFonts w:hint="eastAsia"/>
                <w:b/>
                <w:bCs/>
                <w:sz w:val="18"/>
                <w:szCs w:val="18"/>
                <w:rtl/>
              </w:rPr>
              <w:t>מס</w:t>
            </w:r>
          </w:p>
        </w:tc>
        <w:tc>
          <w:tcPr>
            <w:tcW w:w="802" w:type="dxa"/>
            <w:tcBorders>
              <w:bottom w:val="nil"/>
              <w:right w:val="nil"/>
            </w:tcBorders>
            <w:vAlign w:val="bottom"/>
          </w:tcPr>
          <w:p w14:paraId="1639F552" w14:textId="77777777" w:rsidR="00D0470C" w:rsidRPr="00A10E01" w:rsidRDefault="00D0470C" w:rsidP="003C2920">
            <w:pPr>
              <w:pBdr>
                <w:bottom w:val="single" w:sz="4" w:space="1" w:color="auto"/>
              </w:pBdr>
              <w:spacing w:after="20" w:line="200" w:lineRule="exact"/>
              <w:jc w:val="center"/>
              <w:rPr>
                <w:b/>
                <w:bCs/>
                <w:sz w:val="18"/>
                <w:szCs w:val="18"/>
                <w:rtl/>
              </w:rPr>
            </w:pPr>
            <w:r w:rsidRPr="00A10E01">
              <w:rPr>
                <w:rFonts w:hint="eastAsia"/>
                <w:b/>
                <w:bCs/>
                <w:sz w:val="18"/>
                <w:szCs w:val="18"/>
                <w:rtl/>
              </w:rPr>
              <w:t>השפעת</w:t>
            </w:r>
            <w:r w:rsidRPr="00A10E01">
              <w:rPr>
                <w:b/>
                <w:bCs/>
                <w:sz w:val="18"/>
                <w:szCs w:val="18"/>
                <w:rtl/>
              </w:rPr>
              <w:t xml:space="preserve"> </w:t>
            </w:r>
            <w:r w:rsidRPr="00A10E01">
              <w:rPr>
                <w:rFonts w:hint="eastAsia"/>
                <w:b/>
                <w:bCs/>
                <w:sz w:val="18"/>
                <w:szCs w:val="18"/>
                <w:rtl/>
              </w:rPr>
              <w:t>מס</w:t>
            </w:r>
          </w:p>
        </w:tc>
        <w:tc>
          <w:tcPr>
            <w:tcW w:w="673" w:type="dxa"/>
            <w:tcBorders>
              <w:bottom w:val="nil"/>
              <w:right w:val="nil"/>
            </w:tcBorders>
            <w:vAlign w:val="bottom"/>
          </w:tcPr>
          <w:p w14:paraId="4885114C" w14:textId="77777777" w:rsidR="00D0470C" w:rsidRPr="00A10E01" w:rsidRDefault="00D0470C" w:rsidP="003C2920">
            <w:pPr>
              <w:pBdr>
                <w:bottom w:val="single" w:sz="4" w:space="1" w:color="auto"/>
              </w:pBdr>
              <w:spacing w:after="20" w:line="200" w:lineRule="exact"/>
              <w:jc w:val="center"/>
              <w:rPr>
                <w:b/>
                <w:bCs/>
                <w:sz w:val="18"/>
                <w:szCs w:val="18"/>
                <w:rtl/>
              </w:rPr>
            </w:pPr>
            <w:r w:rsidRPr="00A10E01">
              <w:rPr>
                <w:rFonts w:hint="eastAsia"/>
                <w:b/>
                <w:bCs/>
                <w:sz w:val="18"/>
                <w:szCs w:val="18"/>
                <w:rtl/>
              </w:rPr>
              <w:t>לאחר</w:t>
            </w:r>
            <w:r w:rsidRPr="00A10E01">
              <w:rPr>
                <w:b/>
                <w:bCs/>
                <w:sz w:val="18"/>
                <w:szCs w:val="18"/>
                <w:rtl/>
              </w:rPr>
              <w:t xml:space="preserve"> </w:t>
            </w:r>
            <w:r w:rsidRPr="00A10E01">
              <w:rPr>
                <w:rFonts w:hint="eastAsia"/>
                <w:b/>
                <w:bCs/>
                <w:sz w:val="18"/>
                <w:szCs w:val="18"/>
                <w:rtl/>
              </w:rPr>
              <w:t>מס</w:t>
            </w:r>
          </w:p>
        </w:tc>
      </w:tr>
      <w:tr w:rsidR="00D0470C" w:rsidRPr="00A10E01" w14:paraId="12676B9A" w14:textId="77777777" w:rsidTr="003765C0">
        <w:trPr>
          <w:trHeight w:val="259"/>
          <w:jc w:val="right"/>
        </w:trPr>
        <w:tc>
          <w:tcPr>
            <w:tcW w:w="3963" w:type="dxa"/>
            <w:tcBorders>
              <w:bottom w:val="nil"/>
            </w:tcBorders>
            <w:vAlign w:val="bottom"/>
          </w:tcPr>
          <w:p w14:paraId="6891747E" w14:textId="77777777" w:rsidR="00F32A2A" w:rsidRDefault="00D0470C" w:rsidP="00DB3CB2">
            <w:pPr>
              <w:spacing w:line="220" w:lineRule="exact"/>
              <w:jc w:val="left"/>
              <w:rPr>
                <w:b/>
                <w:bCs/>
                <w:color w:val="000000"/>
                <w:sz w:val="18"/>
                <w:szCs w:val="18"/>
                <w:rtl/>
                <w:lang w:eastAsia="he-IL"/>
              </w:rPr>
            </w:pPr>
            <w:r w:rsidRPr="00A10E01">
              <w:rPr>
                <w:rFonts w:hint="eastAsia"/>
                <w:b/>
                <w:bCs/>
                <w:color w:val="000000"/>
                <w:sz w:val="18"/>
                <w:szCs w:val="18"/>
                <w:u w:val="single"/>
                <w:rtl/>
                <w:lang w:eastAsia="he-IL"/>
              </w:rPr>
              <w:t>השינויים</w:t>
            </w:r>
            <w:r w:rsidRPr="00A10E01">
              <w:rPr>
                <w:b/>
                <w:bCs/>
                <w:color w:val="000000"/>
                <w:sz w:val="18"/>
                <w:szCs w:val="18"/>
                <w:u w:val="single"/>
                <w:rtl/>
                <w:lang w:eastAsia="he-IL"/>
              </w:rPr>
              <w:t xml:space="preserve"> </w:t>
            </w:r>
            <w:r w:rsidRPr="00A10E01">
              <w:rPr>
                <w:rFonts w:hint="eastAsia"/>
                <w:b/>
                <w:bCs/>
                <w:color w:val="000000"/>
                <w:sz w:val="18"/>
                <w:szCs w:val="18"/>
                <w:u w:val="single"/>
                <w:rtl/>
                <w:lang w:eastAsia="he-IL"/>
              </w:rPr>
              <w:t>במרכיבי</w:t>
            </w:r>
            <w:r w:rsidRPr="00A10E01">
              <w:rPr>
                <w:b/>
                <w:bCs/>
                <w:color w:val="000000"/>
                <w:sz w:val="18"/>
                <w:szCs w:val="18"/>
                <w:u w:val="single"/>
                <w:rtl/>
                <w:lang w:eastAsia="he-IL"/>
              </w:rPr>
              <w:t xml:space="preserve"> </w:t>
            </w:r>
            <w:r w:rsidRPr="00A10E01">
              <w:rPr>
                <w:rFonts w:hint="eastAsia"/>
                <w:b/>
                <w:bCs/>
                <w:color w:val="000000"/>
                <w:sz w:val="18"/>
                <w:szCs w:val="18"/>
                <w:u w:val="single"/>
                <w:rtl/>
                <w:lang w:eastAsia="he-IL"/>
              </w:rPr>
              <w:t>רווח</w:t>
            </w:r>
            <w:r w:rsidRPr="00A10E01">
              <w:rPr>
                <w:b/>
                <w:bCs/>
                <w:color w:val="000000"/>
                <w:sz w:val="18"/>
                <w:szCs w:val="18"/>
                <w:u w:val="single"/>
                <w:rtl/>
                <w:lang w:eastAsia="he-IL"/>
              </w:rPr>
              <w:t xml:space="preserve"> (הפסד) </w:t>
            </w:r>
            <w:r w:rsidRPr="00A10E01">
              <w:rPr>
                <w:rFonts w:hint="eastAsia"/>
                <w:b/>
                <w:bCs/>
                <w:color w:val="000000"/>
                <w:sz w:val="18"/>
                <w:szCs w:val="18"/>
                <w:u w:val="single"/>
                <w:rtl/>
                <w:lang w:eastAsia="he-IL"/>
              </w:rPr>
              <w:t>כולל</w:t>
            </w:r>
            <w:r w:rsidRPr="00A10E01">
              <w:rPr>
                <w:b/>
                <w:bCs/>
                <w:color w:val="000000"/>
                <w:sz w:val="18"/>
                <w:szCs w:val="18"/>
                <w:u w:val="single"/>
                <w:rtl/>
                <w:lang w:eastAsia="he-IL"/>
              </w:rPr>
              <w:t xml:space="preserve"> </w:t>
            </w:r>
            <w:r w:rsidRPr="00A10E01">
              <w:rPr>
                <w:rFonts w:hint="eastAsia"/>
                <w:b/>
                <w:bCs/>
                <w:color w:val="000000"/>
                <w:sz w:val="18"/>
                <w:szCs w:val="18"/>
                <w:u w:val="single"/>
                <w:rtl/>
                <w:lang w:eastAsia="he-IL"/>
              </w:rPr>
              <w:t>אחר</w:t>
            </w:r>
            <w:r w:rsidRPr="00A10E01">
              <w:rPr>
                <w:b/>
                <w:bCs/>
                <w:color w:val="000000"/>
                <w:sz w:val="18"/>
                <w:szCs w:val="18"/>
                <w:u w:val="single"/>
                <w:rtl/>
                <w:lang w:eastAsia="he-IL"/>
              </w:rPr>
              <w:t xml:space="preserve"> לפני ייחוס לבעלי זכויות שאינן מקנות שליטה</w:t>
            </w:r>
            <w:r w:rsidRPr="00A10E01">
              <w:rPr>
                <w:b/>
                <w:bCs/>
                <w:color w:val="000000"/>
                <w:sz w:val="18"/>
                <w:szCs w:val="18"/>
                <w:rtl/>
                <w:lang w:eastAsia="he-IL"/>
              </w:rPr>
              <w:t>:</w:t>
            </w:r>
          </w:p>
        </w:tc>
        <w:tc>
          <w:tcPr>
            <w:tcW w:w="684" w:type="dxa"/>
            <w:tcBorders>
              <w:top w:val="nil"/>
            </w:tcBorders>
            <w:tcMar>
              <w:left w:w="58" w:type="dxa"/>
              <w:right w:w="58" w:type="dxa"/>
            </w:tcMar>
            <w:vAlign w:val="bottom"/>
          </w:tcPr>
          <w:p w14:paraId="2F2EE66F" w14:textId="77777777" w:rsidR="00F32A2A" w:rsidRDefault="00F32A2A">
            <w:pPr>
              <w:spacing w:line="220" w:lineRule="exact"/>
              <w:rPr>
                <w:sz w:val="18"/>
                <w:szCs w:val="18"/>
                <w:rtl/>
              </w:rPr>
            </w:pPr>
          </w:p>
        </w:tc>
        <w:tc>
          <w:tcPr>
            <w:tcW w:w="825" w:type="dxa"/>
            <w:tcBorders>
              <w:top w:val="nil"/>
            </w:tcBorders>
            <w:vAlign w:val="bottom"/>
          </w:tcPr>
          <w:p w14:paraId="354AEFF0" w14:textId="77777777" w:rsidR="00F32A2A" w:rsidRDefault="00F32A2A">
            <w:pPr>
              <w:spacing w:line="220" w:lineRule="exact"/>
              <w:rPr>
                <w:sz w:val="18"/>
                <w:szCs w:val="18"/>
                <w:rtl/>
              </w:rPr>
            </w:pPr>
          </w:p>
        </w:tc>
        <w:tc>
          <w:tcPr>
            <w:tcW w:w="688" w:type="dxa"/>
            <w:tcBorders>
              <w:top w:val="nil"/>
            </w:tcBorders>
            <w:vAlign w:val="bottom"/>
          </w:tcPr>
          <w:p w14:paraId="16E3AC32" w14:textId="77777777" w:rsidR="00F32A2A" w:rsidRDefault="00F32A2A">
            <w:pPr>
              <w:spacing w:line="220" w:lineRule="exact"/>
              <w:rPr>
                <w:sz w:val="18"/>
                <w:szCs w:val="18"/>
                <w:rtl/>
              </w:rPr>
            </w:pPr>
          </w:p>
        </w:tc>
        <w:tc>
          <w:tcPr>
            <w:tcW w:w="685" w:type="dxa"/>
            <w:tcBorders>
              <w:top w:val="nil"/>
            </w:tcBorders>
            <w:tcMar>
              <w:left w:w="58" w:type="dxa"/>
              <w:right w:w="58" w:type="dxa"/>
            </w:tcMar>
            <w:vAlign w:val="bottom"/>
          </w:tcPr>
          <w:p w14:paraId="3751C41F" w14:textId="77777777" w:rsidR="00F32A2A" w:rsidRDefault="00F32A2A">
            <w:pPr>
              <w:spacing w:line="220" w:lineRule="exact"/>
              <w:rPr>
                <w:sz w:val="18"/>
                <w:szCs w:val="18"/>
                <w:rtl/>
              </w:rPr>
            </w:pPr>
          </w:p>
        </w:tc>
        <w:tc>
          <w:tcPr>
            <w:tcW w:w="825" w:type="dxa"/>
            <w:tcBorders>
              <w:top w:val="nil"/>
            </w:tcBorders>
            <w:vAlign w:val="bottom"/>
          </w:tcPr>
          <w:p w14:paraId="56DD9773" w14:textId="77777777" w:rsidR="00F32A2A" w:rsidRDefault="00F32A2A">
            <w:pPr>
              <w:spacing w:line="220" w:lineRule="exact"/>
              <w:rPr>
                <w:sz w:val="18"/>
                <w:szCs w:val="18"/>
                <w:rtl/>
              </w:rPr>
            </w:pPr>
          </w:p>
        </w:tc>
        <w:tc>
          <w:tcPr>
            <w:tcW w:w="688" w:type="dxa"/>
            <w:tcBorders>
              <w:top w:val="nil"/>
              <w:right w:val="nil"/>
            </w:tcBorders>
            <w:vAlign w:val="bottom"/>
          </w:tcPr>
          <w:p w14:paraId="0E080DD7" w14:textId="77777777" w:rsidR="00F32A2A" w:rsidRDefault="00F32A2A">
            <w:pPr>
              <w:spacing w:line="220" w:lineRule="exact"/>
              <w:rPr>
                <w:sz w:val="18"/>
                <w:szCs w:val="18"/>
                <w:rtl/>
              </w:rPr>
            </w:pPr>
          </w:p>
        </w:tc>
        <w:tc>
          <w:tcPr>
            <w:tcW w:w="688" w:type="dxa"/>
            <w:tcBorders>
              <w:top w:val="nil"/>
              <w:right w:val="nil"/>
            </w:tcBorders>
          </w:tcPr>
          <w:p w14:paraId="6607BCA2" w14:textId="77777777" w:rsidR="00F32A2A" w:rsidRDefault="00F32A2A">
            <w:pPr>
              <w:spacing w:line="220" w:lineRule="exact"/>
              <w:rPr>
                <w:sz w:val="18"/>
                <w:szCs w:val="18"/>
                <w:rtl/>
              </w:rPr>
            </w:pPr>
          </w:p>
        </w:tc>
        <w:tc>
          <w:tcPr>
            <w:tcW w:w="802" w:type="dxa"/>
            <w:tcBorders>
              <w:top w:val="nil"/>
              <w:right w:val="nil"/>
            </w:tcBorders>
          </w:tcPr>
          <w:p w14:paraId="51DC7049" w14:textId="77777777" w:rsidR="00F32A2A" w:rsidRDefault="00F32A2A">
            <w:pPr>
              <w:spacing w:line="220" w:lineRule="exact"/>
              <w:rPr>
                <w:sz w:val="18"/>
                <w:szCs w:val="18"/>
                <w:rtl/>
              </w:rPr>
            </w:pPr>
          </w:p>
        </w:tc>
        <w:tc>
          <w:tcPr>
            <w:tcW w:w="673" w:type="dxa"/>
            <w:tcBorders>
              <w:top w:val="nil"/>
              <w:right w:val="nil"/>
            </w:tcBorders>
          </w:tcPr>
          <w:p w14:paraId="10CC8DC5" w14:textId="77777777" w:rsidR="00F32A2A" w:rsidRDefault="00F32A2A">
            <w:pPr>
              <w:spacing w:line="220" w:lineRule="exact"/>
              <w:rPr>
                <w:sz w:val="18"/>
                <w:szCs w:val="18"/>
                <w:rtl/>
              </w:rPr>
            </w:pPr>
          </w:p>
        </w:tc>
      </w:tr>
      <w:tr w:rsidR="00D0470C" w:rsidRPr="00A10E01" w14:paraId="59FB9EBB" w14:textId="77777777" w:rsidTr="003765C0">
        <w:trPr>
          <w:trHeight w:val="259"/>
          <w:jc w:val="right"/>
        </w:trPr>
        <w:tc>
          <w:tcPr>
            <w:tcW w:w="3963" w:type="dxa"/>
            <w:tcBorders>
              <w:left w:val="nil"/>
            </w:tcBorders>
            <w:vAlign w:val="bottom"/>
          </w:tcPr>
          <w:p w14:paraId="2497ACCB" w14:textId="77777777" w:rsidR="00D0470C" w:rsidRPr="00A10E01" w:rsidRDefault="00A7539F" w:rsidP="001A3A57">
            <w:pPr>
              <w:spacing w:before="20" w:line="220" w:lineRule="exact"/>
              <w:ind w:left="114" w:hanging="114"/>
              <w:jc w:val="left"/>
              <w:rPr>
                <w:b/>
                <w:bCs/>
                <w:color w:val="000000"/>
                <w:sz w:val="18"/>
                <w:szCs w:val="18"/>
                <w:rtl/>
                <w:lang w:eastAsia="he-IL"/>
              </w:rPr>
            </w:pPr>
            <w:r w:rsidRPr="00A10E01">
              <w:rPr>
                <w:rFonts w:hint="eastAsia"/>
                <w:b/>
                <w:bCs/>
                <w:color w:val="000000"/>
                <w:sz w:val="18"/>
                <w:szCs w:val="18"/>
                <w:rtl/>
                <w:lang w:eastAsia="he-IL"/>
              </w:rPr>
              <w:t>התאמות</w:t>
            </w:r>
            <w:r w:rsidRPr="00A10E01">
              <w:rPr>
                <w:b/>
                <w:bCs/>
                <w:color w:val="000000"/>
                <w:sz w:val="18"/>
                <w:szCs w:val="18"/>
                <w:rtl/>
                <w:lang w:eastAsia="he-IL"/>
              </w:rPr>
              <w:t xml:space="preserve"> </w:t>
            </w:r>
            <w:r w:rsidRPr="00A10E01">
              <w:rPr>
                <w:rFonts w:hint="eastAsia"/>
                <w:b/>
                <w:bCs/>
                <w:color w:val="000000"/>
                <w:sz w:val="18"/>
                <w:szCs w:val="18"/>
                <w:rtl/>
                <w:lang w:eastAsia="he-IL"/>
              </w:rPr>
              <w:t>בגין</w:t>
            </w:r>
            <w:r w:rsidRPr="00A10E01">
              <w:rPr>
                <w:b/>
                <w:bCs/>
                <w:color w:val="000000"/>
                <w:sz w:val="18"/>
                <w:szCs w:val="18"/>
                <w:rtl/>
                <w:lang w:eastAsia="he-IL"/>
              </w:rPr>
              <w:t xml:space="preserve"> </w:t>
            </w:r>
            <w:r>
              <w:rPr>
                <w:rFonts w:hint="cs"/>
                <w:b/>
                <w:bCs/>
                <w:color w:val="000000"/>
                <w:sz w:val="18"/>
                <w:szCs w:val="18"/>
                <w:rtl/>
                <w:lang w:eastAsia="he-IL"/>
              </w:rPr>
              <w:t xml:space="preserve">הצגת </w:t>
            </w:r>
            <w:r w:rsidR="00A674A4">
              <w:rPr>
                <w:rFonts w:hint="cs"/>
                <w:b/>
                <w:bCs/>
                <w:color w:val="000000"/>
                <w:sz w:val="18"/>
                <w:szCs w:val="18"/>
                <w:rtl/>
                <w:lang w:eastAsia="he-IL"/>
              </w:rPr>
              <w:t>אגרות</w:t>
            </w:r>
            <w:r>
              <w:rPr>
                <w:rFonts w:hint="cs"/>
                <w:b/>
                <w:bCs/>
                <w:color w:val="000000"/>
                <w:sz w:val="18"/>
                <w:szCs w:val="18"/>
                <w:rtl/>
                <w:lang w:eastAsia="he-IL"/>
              </w:rPr>
              <w:t xml:space="preserve"> חוב זמינות</w:t>
            </w:r>
            <w:r w:rsidRPr="00A10E01">
              <w:rPr>
                <w:b/>
                <w:bCs/>
                <w:color w:val="000000"/>
                <w:sz w:val="18"/>
                <w:szCs w:val="18"/>
                <w:rtl/>
                <w:lang w:eastAsia="he-IL"/>
              </w:rPr>
              <w:t xml:space="preserve"> </w:t>
            </w:r>
            <w:r w:rsidRPr="00A10E01">
              <w:rPr>
                <w:rFonts w:hint="eastAsia"/>
                <w:b/>
                <w:bCs/>
                <w:color w:val="000000"/>
                <w:sz w:val="18"/>
                <w:szCs w:val="18"/>
                <w:rtl/>
                <w:lang w:eastAsia="he-IL"/>
              </w:rPr>
              <w:t>למכירה</w:t>
            </w:r>
            <w:r w:rsidR="001A0ACD">
              <w:rPr>
                <w:rFonts w:hint="cs"/>
                <w:b/>
                <w:bCs/>
                <w:color w:val="000000"/>
                <w:sz w:val="18"/>
                <w:szCs w:val="18"/>
                <w:rtl/>
                <w:lang w:eastAsia="he-IL"/>
              </w:rPr>
              <w:t xml:space="preserve"> </w:t>
            </w:r>
            <w:r w:rsidRPr="00A10E01">
              <w:rPr>
                <w:rFonts w:hint="eastAsia"/>
                <w:b/>
                <w:bCs/>
                <w:color w:val="000000"/>
                <w:sz w:val="18"/>
                <w:szCs w:val="18"/>
                <w:rtl/>
                <w:lang w:eastAsia="he-IL"/>
              </w:rPr>
              <w:t>לפי</w:t>
            </w:r>
            <w:r w:rsidRPr="00A10E01">
              <w:rPr>
                <w:b/>
                <w:bCs/>
                <w:color w:val="000000"/>
                <w:sz w:val="18"/>
                <w:szCs w:val="18"/>
                <w:rtl/>
                <w:lang w:eastAsia="he-IL"/>
              </w:rPr>
              <w:t xml:space="preserve"> </w:t>
            </w:r>
            <w:r w:rsidRPr="00A10E01">
              <w:rPr>
                <w:rFonts w:hint="eastAsia"/>
                <w:b/>
                <w:bCs/>
                <w:color w:val="000000"/>
                <w:sz w:val="18"/>
                <w:szCs w:val="18"/>
                <w:rtl/>
                <w:lang w:eastAsia="he-IL"/>
              </w:rPr>
              <w:t>שווי</w:t>
            </w:r>
            <w:r w:rsidRPr="00A10E01">
              <w:rPr>
                <w:b/>
                <w:bCs/>
                <w:color w:val="000000"/>
                <w:sz w:val="18"/>
                <w:szCs w:val="18"/>
                <w:rtl/>
                <w:lang w:eastAsia="he-IL"/>
              </w:rPr>
              <w:t xml:space="preserve"> </w:t>
            </w:r>
            <w:r w:rsidRPr="00A10E01">
              <w:rPr>
                <w:rFonts w:hint="eastAsia"/>
                <w:b/>
                <w:bCs/>
                <w:color w:val="000000"/>
                <w:sz w:val="18"/>
                <w:szCs w:val="18"/>
                <w:rtl/>
                <w:lang w:eastAsia="he-IL"/>
              </w:rPr>
              <w:t>הוגן</w:t>
            </w:r>
            <w:r w:rsidRPr="00A10E01">
              <w:rPr>
                <w:b/>
                <w:bCs/>
                <w:color w:val="000000"/>
                <w:sz w:val="18"/>
                <w:szCs w:val="18"/>
                <w:rtl/>
                <w:lang w:eastAsia="he-IL"/>
              </w:rPr>
              <w:t>:</w:t>
            </w:r>
          </w:p>
        </w:tc>
        <w:tc>
          <w:tcPr>
            <w:tcW w:w="684" w:type="dxa"/>
            <w:tcMar>
              <w:left w:w="58" w:type="dxa"/>
              <w:right w:w="58" w:type="dxa"/>
            </w:tcMar>
            <w:vAlign w:val="bottom"/>
          </w:tcPr>
          <w:p w14:paraId="69CCA3E9" w14:textId="77777777" w:rsidR="00D0470C" w:rsidRPr="00A10E01" w:rsidRDefault="00D0470C" w:rsidP="006F3019">
            <w:pPr>
              <w:spacing w:before="20" w:line="220" w:lineRule="exact"/>
              <w:rPr>
                <w:sz w:val="18"/>
                <w:szCs w:val="18"/>
                <w:rtl/>
              </w:rPr>
            </w:pPr>
          </w:p>
        </w:tc>
        <w:tc>
          <w:tcPr>
            <w:tcW w:w="825" w:type="dxa"/>
            <w:vAlign w:val="bottom"/>
          </w:tcPr>
          <w:p w14:paraId="6AB91C60" w14:textId="77777777" w:rsidR="00D0470C" w:rsidRPr="00A10E01" w:rsidRDefault="00D0470C" w:rsidP="006F3019">
            <w:pPr>
              <w:spacing w:before="20" w:line="220" w:lineRule="exact"/>
              <w:rPr>
                <w:sz w:val="18"/>
                <w:szCs w:val="18"/>
                <w:rtl/>
              </w:rPr>
            </w:pPr>
          </w:p>
        </w:tc>
        <w:tc>
          <w:tcPr>
            <w:tcW w:w="688" w:type="dxa"/>
            <w:vAlign w:val="bottom"/>
          </w:tcPr>
          <w:p w14:paraId="5A827CF2" w14:textId="77777777" w:rsidR="00D0470C" w:rsidRPr="00A10E01" w:rsidRDefault="00D0470C" w:rsidP="006F3019">
            <w:pPr>
              <w:spacing w:before="20" w:line="220" w:lineRule="exact"/>
              <w:rPr>
                <w:sz w:val="18"/>
                <w:szCs w:val="18"/>
                <w:rtl/>
              </w:rPr>
            </w:pPr>
          </w:p>
        </w:tc>
        <w:tc>
          <w:tcPr>
            <w:tcW w:w="685" w:type="dxa"/>
            <w:tcMar>
              <w:left w:w="58" w:type="dxa"/>
              <w:right w:w="58" w:type="dxa"/>
            </w:tcMar>
            <w:vAlign w:val="bottom"/>
          </w:tcPr>
          <w:p w14:paraId="5B00233C" w14:textId="77777777" w:rsidR="00D0470C" w:rsidRPr="00A10E01" w:rsidRDefault="00D0470C" w:rsidP="006F3019">
            <w:pPr>
              <w:spacing w:before="20" w:line="220" w:lineRule="exact"/>
              <w:rPr>
                <w:sz w:val="18"/>
                <w:szCs w:val="18"/>
                <w:rtl/>
              </w:rPr>
            </w:pPr>
          </w:p>
        </w:tc>
        <w:tc>
          <w:tcPr>
            <w:tcW w:w="825" w:type="dxa"/>
            <w:vAlign w:val="bottom"/>
          </w:tcPr>
          <w:p w14:paraId="2F548E0A" w14:textId="77777777" w:rsidR="00D0470C" w:rsidRPr="00A10E01" w:rsidRDefault="00D0470C" w:rsidP="006F3019">
            <w:pPr>
              <w:spacing w:before="20" w:line="220" w:lineRule="exact"/>
              <w:rPr>
                <w:sz w:val="18"/>
                <w:szCs w:val="18"/>
                <w:rtl/>
              </w:rPr>
            </w:pPr>
          </w:p>
        </w:tc>
        <w:tc>
          <w:tcPr>
            <w:tcW w:w="688" w:type="dxa"/>
            <w:tcBorders>
              <w:right w:val="nil"/>
            </w:tcBorders>
            <w:vAlign w:val="bottom"/>
          </w:tcPr>
          <w:p w14:paraId="59D9D5EC" w14:textId="77777777" w:rsidR="00D0470C" w:rsidRPr="00A10E01" w:rsidRDefault="00D0470C" w:rsidP="006F3019">
            <w:pPr>
              <w:spacing w:before="20" w:line="220" w:lineRule="exact"/>
              <w:rPr>
                <w:sz w:val="18"/>
                <w:szCs w:val="18"/>
                <w:rtl/>
              </w:rPr>
            </w:pPr>
          </w:p>
        </w:tc>
        <w:tc>
          <w:tcPr>
            <w:tcW w:w="688" w:type="dxa"/>
            <w:tcBorders>
              <w:right w:val="nil"/>
            </w:tcBorders>
          </w:tcPr>
          <w:p w14:paraId="14F092BB" w14:textId="77777777" w:rsidR="00D0470C" w:rsidRPr="00A10E01" w:rsidRDefault="00D0470C" w:rsidP="006F3019">
            <w:pPr>
              <w:spacing w:before="20" w:line="220" w:lineRule="exact"/>
              <w:rPr>
                <w:sz w:val="18"/>
                <w:szCs w:val="18"/>
                <w:rtl/>
              </w:rPr>
            </w:pPr>
          </w:p>
        </w:tc>
        <w:tc>
          <w:tcPr>
            <w:tcW w:w="802" w:type="dxa"/>
            <w:tcBorders>
              <w:right w:val="nil"/>
            </w:tcBorders>
          </w:tcPr>
          <w:p w14:paraId="6C39DB29" w14:textId="77777777" w:rsidR="00D0470C" w:rsidRPr="00A10E01" w:rsidRDefault="00D0470C" w:rsidP="006F3019">
            <w:pPr>
              <w:spacing w:before="20" w:line="220" w:lineRule="exact"/>
              <w:rPr>
                <w:sz w:val="18"/>
                <w:szCs w:val="18"/>
                <w:rtl/>
              </w:rPr>
            </w:pPr>
          </w:p>
        </w:tc>
        <w:tc>
          <w:tcPr>
            <w:tcW w:w="673" w:type="dxa"/>
            <w:tcBorders>
              <w:right w:val="nil"/>
            </w:tcBorders>
          </w:tcPr>
          <w:p w14:paraId="02999BD3" w14:textId="77777777" w:rsidR="00D0470C" w:rsidRPr="00A10E01" w:rsidRDefault="00D0470C" w:rsidP="006F3019">
            <w:pPr>
              <w:spacing w:before="20" w:line="220" w:lineRule="exact"/>
              <w:rPr>
                <w:sz w:val="18"/>
                <w:szCs w:val="18"/>
                <w:rtl/>
              </w:rPr>
            </w:pPr>
          </w:p>
        </w:tc>
      </w:tr>
      <w:tr w:rsidR="00D0470C" w:rsidRPr="00A10E01" w14:paraId="0ADEDC20" w14:textId="77777777" w:rsidTr="003765C0">
        <w:trPr>
          <w:trHeight w:val="259"/>
          <w:jc w:val="right"/>
        </w:trPr>
        <w:tc>
          <w:tcPr>
            <w:tcW w:w="3963" w:type="dxa"/>
            <w:tcBorders>
              <w:bottom w:val="nil"/>
            </w:tcBorders>
            <w:vAlign w:val="bottom"/>
          </w:tcPr>
          <w:p w14:paraId="250544CE" w14:textId="4F7418C8" w:rsidR="00D0470C" w:rsidRPr="00A10E01" w:rsidRDefault="00D0470C" w:rsidP="00DB3CB2">
            <w:pPr>
              <w:spacing w:before="20" w:line="220" w:lineRule="exact"/>
              <w:jc w:val="left"/>
              <w:rPr>
                <w:color w:val="000000"/>
                <w:sz w:val="18"/>
                <w:szCs w:val="18"/>
                <w:rtl/>
                <w:lang w:eastAsia="he-IL"/>
              </w:rPr>
            </w:pPr>
            <w:r w:rsidRPr="00A10E01">
              <w:rPr>
                <w:color w:val="000000"/>
                <w:sz w:val="18"/>
                <w:szCs w:val="18"/>
                <w:rtl/>
                <w:lang w:eastAsia="he-IL"/>
              </w:rPr>
              <w:t>רווחים (הפסדים) נטו שטרם מומשו מהתאמות לשווי הוגן</w:t>
            </w:r>
            <w:r w:rsidR="009B7FCD" w:rsidRPr="009B7FCD">
              <w:rPr>
                <w:rFonts w:hint="cs"/>
                <w:color w:val="000000"/>
                <w:sz w:val="18"/>
                <w:szCs w:val="18"/>
                <w:vertAlign w:val="superscript"/>
                <w:rtl/>
                <w:lang w:eastAsia="he-IL"/>
              </w:rPr>
              <w:t>(א)</w:t>
            </w:r>
          </w:p>
        </w:tc>
        <w:tc>
          <w:tcPr>
            <w:tcW w:w="684" w:type="dxa"/>
            <w:tcMar>
              <w:left w:w="58" w:type="dxa"/>
              <w:right w:w="58" w:type="dxa"/>
            </w:tcMar>
            <w:vAlign w:val="bottom"/>
          </w:tcPr>
          <w:p w14:paraId="562D4749" w14:textId="77777777" w:rsidR="00D0470C" w:rsidRPr="00A10E01" w:rsidRDefault="00D0470C" w:rsidP="006F3019">
            <w:pPr>
              <w:spacing w:before="20" w:line="220" w:lineRule="exact"/>
              <w:rPr>
                <w:sz w:val="18"/>
                <w:szCs w:val="18"/>
                <w:rtl/>
              </w:rPr>
            </w:pPr>
            <w:r w:rsidRPr="00A10E01">
              <w:rPr>
                <w:sz w:val="18"/>
                <w:szCs w:val="18"/>
                <w:rtl/>
              </w:rPr>
              <w:t xml:space="preserve"> 0</w:t>
            </w:r>
          </w:p>
        </w:tc>
        <w:tc>
          <w:tcPr>
            <w:tcW w:w="825" w:type="dxa"/>
            <w:vAlign w:val="bottom"/>
          </w:tcPr>
          <w:p w14:paraId="22149B0E" w14:textId="77777777" w:rsidR="00D0470C" w:rsidRPr="00A10E01" w:rsidRDefault="00D0470C" w:rsidP="006F3019">
            <w:pPr>
              <w:spacing w:before="20" w:line="220" w:lineRule="exact"/>
              <w:rPr>
                <w:sz w:val="18"/>
                <w:szCs w:val="18"/>
                <w:rtl/>
              </w:rPr>
            </w:pPr>
            <w:r w:rsidRPr="00A10E01">
              <w:rPr>
                <w:sz w:val="18"/>
                <w:szCs w:val="18"/>
                <w:rtl/>
              </w:rPr>
              <w:t xml:space="preserve"> 0</w:t>
            </w:r>
          </w:p>
        </w:tc>
        <w:tc>
          <w:tcPr>
            <w:tcW w:w="688" w:type="dxa"/>
            <w:vAlign w:val="bottom"/>
          </w:tcPr>
          <w:p w14:paraId="0B8D3245" w14:textId="77777777" w:rsidR="00D0470C" w:rsidRPr="00A10E01" w:rsidRDefault="00D0470C" w:rsidP="006F3019">
            <w:pPr>
              <w:spacing w:before="20" w:line="220" w:lineRule="exact"/>
              <w:rPr>
                <w:sz w:val="18"/>
                <w:szCs w:val="18"/>
                <w:rtl/>
              </w:rPr>
            </w:pPr>
            <w:r w:rsidRPr="00A10E01">
              <w:rPr>
                <w:sz w:val="18"/>
                <w:szCs w:val="18"/>
                <w:rtl/>
              </w:rPr>
              <w:t xml:space="preserve"> 0</w:t>
            </w:r>
          </w:p>
        </w:tc>
        <w:tc>
          <w:tcPr>
            <w:tcW w:w="685" w:type="dxa"/>
            <w:tcMar>
              <w:left w:w="58" w:type="dxa"/>
              <w:right w:w="58" w:type="dxa"/>
            </w:tcMar>
            <w:vAlign w:val="bottom"/>
          </w:tcPr>
          <w:p w14:paraId="42CE2DCC" w14:textId="77777777" w:rsidR="00D0470C" w:rsidRPr="00A10E01" w:rsidRDefault="00D0470C" w:rsidP="006F3019">
            <w:pPr>
              <w:spacing w:before="20" w:line="220" w:lineRule="exact"/>
              <w:rPr>
                <w:sz w:val="18"/>
                <w:szCs w:val="18"/>
                <w:rtl/>
              </w:rPr>
            </w:pPr>
            <w:r w:rsidRPr="00A10E01">
              <w:rPr>
                <w:sz w:val="18"/>
                <w:szCs w:val="18"/>
                <w:rtl/>
              </w:rPr>
              <w:t xml:space="preserve"> 0</w:t>
            </w:r>
          </w:p>
        </w:tc>
        <w:tc>
          <w:tcPr>
            <w:tcW w:w="825" w:type="dxa"/>
            <w:vAlign w:val="bottom"/>
          </w:tcPr>
          <w:p w14:paraId="7ABFD5CE" w14:textId="77777777" w:rsidR="00D0470C" w:rsidRPr="00A10E01" w:rsidRDefault="00D0470C" w:rsidP="006F3019">
            <w:pPr>
              <w:spacing w:before="20" w:line="220" w:lineRule="exact"/>
              <w:rPr>
                <w:sz w:val="18"/>
                <w:szCs w:val="18"/>
                <w:rtl/>
              </w:rPr>
            </w:pPr>
            <w:r w:rsidRPr="00A10E01">
              <w:rPr>
                <w:sz w:val="18"/>
                <w:szCs w:val="18"/>
                <w:rtl/>
              </w:rPr>
              <w:t xml:space="preserve"> 0</w:t>
            </w:r>
          </w:p>
        </w:tc>
        <w:tc>
          <w:tcPr>
            <w:tcW w:w="688" w:type="dxa"/>
            <w:tcBorders>
              <w:right w:val="nil"/>
            </w:tcBorders>
            <w:vAlign w:val="bottom"/>
          </w:tcPr>
          <w:p w14:paraId="2C7A32DA" w14:textId="77777777" w:rsidR="00D0470C" w:rsidRPr="00A10E01" w:rsidRDefault="00D0470C" w:rsidP="006F3019">
            <w:pPr>
              <w:spacing w:before="20" w:line="220" w:lineRule="exact"/>
              <w:rPr>
                <w:sz w:val="18"/>
                <w:szCs w:val="18"/>
                <w:rtl/>
              </w:rPr>
            </w:pPr>
            <w:r w:rsidRPr="00A10E01">
              <w:rPr>
                <w:sz w:val="18"/>
                <w:szCs w:val="18"/>
                <w:rtl/>
              </w:rPr>
              <w:t xml:space="preserve"> 0</w:t>
            </w:r>
          </w:p>
        </w:tc>
        <w:tc>
          <w:tcPr>
            <w:tcW w:w="688" w:type="dxa"/>
            <w:tcBorders>
              <w:right w:val="nil"/>
            </w:tcBorders>
            <w:vAlign w:val="bottom"/>
          </w:tcPr>
          <w:p w14:paraId="66FDA824" w14:textId="77777777" w:rsidR="00D0470C" w:rsidRPr="00A10E01" w:rsidRDefault="00D0470C" w:rsidP="006F3019">
            <w:pPr>
              <w:spacing w:before="20" w:line="220" w:lineRule="exact"/>
              <w:rPr>
                <w:sz w:val="18"/>
                <w:szCs w:val="18"/>
                <w:rtl/>
              </w:rPr>
            </w:pPr>
            <w:r w:rsidRPr="00A10E01">
              <w:rPr>
                <w:sz w:val="18"/>
                <w:szCs w:val="18"/>
                <w:rtl/>
              </w:rPr>
              <w:t xml:space="preserve"> 0</w:t>
            </w:r>
          </w:p>
        </w:tc>
        <w:tc>
          <w:tcPr>
            <w:tcW w:w="802" w:type="dxa"/>
            <w:tcBorders>
              <w:right w:val="nil"/>
            </w:tcBorders>
            <w:vAlign w:val="bottom"/>
          </w:tcPr>
          <w:p w14:paraId="2C2849D7" w14:textId="77777777" w:rsidR="00D0470C" w:rsidRPr="00A10E01" w:rsidRDefault="00D0470C" w:rsidP="006F3019">
            <w:pPr>
              <w:spacing w:before="20" w:line="220" w:lineRule="exact"/>
              <w:rPr>
                <w:sz w:val="18"/>
                <w:szCs w:val="18"/>
                <w:rtl/>
              </w:rPr>
            </w:pPr>
            <w:r w:rsidRPr="00A10E01">
              <w:rPr>
                <w:sz w:val="18"/>
                <w:szCs w:val="18"/>
                <w:rtl/>
              </w:rPr>
              <w:t xml:space="preserve"> 0</w:t>
            </w:r>
          </w:p>
        </w:tc>
        <w:tc>
          <w:tcPr>
            <w:tcW w:w="673" w:type="dxa"/>
            <w:tcBorders>
              <w:right w:val="nil"/>
            </w:tcBorders>
            <w:vAlign w:val="bottom"/>
          </w:tcPr>
          <w:p w14:paraId="20A59200" w14:textId="77777777" w:rsidR="00D0470C" w:rsidRPr="00A10E01" w:rsidRDefault="00D0470C" w:rsidP="006F3019">
            <w:pPr>
              <w:spacing w:before="20" w:line="220" w:lineRule="exact"/>
              <w:rPr>
                <w:sz w:val="18"/>
                <w:szCs w:val="18"/>
                <w:rtl/>
              </w:rPr>
            </w:pPr>
            <w:r w:rsidRPr="00A10E01">
              <w:rPr>
                <w:sz w:val="18"/>
                <w:szCs w:val="18"/>
                <w:rtl/>
              </w:rPr>
              <w:t xml:space="preserve"> 0</w:t>
            </w:r>
          </w:p>
        </w:tc>
      </w:tr>
      <w:tr w:rsidR="00D0470C" w:rsidRPr="00A10E01" w14:paraId="326879EB" w14:textId="77777777" w:rsidTr="003765C0">
        <w:trPr>
          <w:trHeight w:val="259"/>
          <w:jc w:val="right"/>
        </w:trPr>
        <w:tc>
          <w:tcPr>
            <w:tcW w:w="3963" w:type="dxa"/>
            <w:tcBorders>
              <w:left w:val="nil"/>
            </w:tcBorders>
            <w:vAlign w:val="bottom"/>
          </w:tcPr>
          <w:p w14:paraId="22AF6E1A" w14:textId="438A0BB5" w:rsidR="00D0470C" w:rsidRPr="00A10E01" w:rsidRDefault="00D0470C" w:rsidP="00DB3CB2">
            <w:pPr>
              <w:spacing w:before="20" w:line="220" w:lineRule="exact"/>
              <w:jc w:val="left"/>
              <w:rPr>
                <w:color w:val="000000"/>
                <w:sz w:val="18"/>
                <w:szCs w:val="18"/>
                <w:rtl/>
                <w:lang w:eastAsia="he-IL"/>
              </w:rPr>
            </w:pPr>
            <w:r w:rsidRPr="00A10E01">
              <w:rPr>
                <w:color w:val="000000"/>
                <w:sz w:val="18"/>
                <w:szCs w:val="18"/>
                <w:rtl/>
                <w:lang w:eastAsia="he-IL"/>
              </w:rPr>
              <w:t xml:space="preserve">(רווחים) </w:t>
            </w:r>
            <w:r w:rsidRPr="00A10E01">
              <w:rPr>
                <w:rFonts w:hint="eastAsia"/>
                <w:color w:val="000000"/>
                <w:sz w:val="18"/>
                <w:szCs w:val="18"/>
                <w:rtl/>
                <w:lang w:eastAsia="he-IL"/>
              </w:rPr>
              <w:t>הפסדים</w:t>
            </w:r>
            <w:r w:rsidRPr="00A10E01">
              <w:rPr>
                <w:color w:val="000000"/>
                <w:sz w:val="18"/>
                <w:szCs w:val="18"/>
                <w:rtl/>
                <w:lang w:eastAsia="he-IL"/>
              </w:rPr>
              <w:t xml:space="preserve"> </w:t>
            </w:r>
            <w:r w:rsidR="00F70F21">
              <w:rPr>
                <w:rFonts w:hint="cs"/>
                <w:color w:val="000000"/>
                <w:sz w:val="18"/>
                <w:szCs w:val="18"/>
                <w:rtl/>
                <w:lang w:eastAsia="he-IL"/>
              </w:rPr>
              <w:t xml:space="preserve">בגין </w:t>
            </w:r>
            <w:r w:rsidR="00A674A4">
              <w:rPr>
                <w:rFonts w:hint="cs"/>
                <w:color w:val="000000"/>
                <w:sz w:val="18"/>
                <w:szCs w:val="18"/>
                <w:rtl/>
                <w:lang w:eastAsia="he-IL"/>
              </w:rPr>
              <w:t>אגרות</w:t>
            </w:r>
            <w:r w:rsidR="00F70F21">
              <w:rPr>
                <w:rFonts w:hint="cs"/>
                <w:color w:val="000000"/>
                <w:sz w:val="18"/>
                <w:szCs w:val="18"/>
                <w:rtl/>
                <w:lang w:eastAsia="he-IL"/>
              </w:rPr>
              <w:t xml:space="preserve"> חוב זמינות </w:t>
            </w:r>
            <w:r w:rsidRPr="00A10E01">
              <w:rPr>
                <w:color w:val="000000"/>
                <w:sz w:val="18"/>
                <w:szCs w:val="18"/>
                <w:rtl/>
                <w:lang w:eastAsia="he-IL"/>
              </w:rPr>
              <w:t xml:space="preserve"> למכירה</w:t>
            </w:r>
            <w:r w:rsidR="001A0ACD">
              <w:rPr>
                <w:rFonts w:hint="cs"/>
                <w:color w:val="000000"/>
                <w:sz w:val="18"/>
                <w:szCs w:val="18"/>
                <w:rtl/>
                <w:lang w:eastAsia="he-IL"/>
              </w:rPr>
              <w:t xml:space="preserve"> </w:t>
            </w:r>
            <w:r w:rsidRPr="00A10E01">
              <w:rPr>
                <w:rFonts w:hint="eastAsia"/>
                <w:color w:val="000000"/>
                <w:sz w:val="18"/>
                <w:szCs w:val="18"/>
                <w:rtl/>
                <w:lang w:eastAsia="he-IL"/>
              </w:rPr>
              <w:t>שסווגו</w:t>
            </w:r>
            <w:r w:rsidRPr="00A10E01">
              <w:rPr>
                <w:color w:val="000000"/>
                <w:sz w:val="18"/>
                <w:szCs w:val="18"/>
                <w:rtl/>
                <w:lang w:eastAsia="he-IL"/>
              </w:rPr>
              <w:t xml:space="preserve"> </w:t>
            </w:r>
            <w:r w:rsidRPr="00A10E01">
              <w:rPr>
                <w:rFonts w:hint="eastAsia"/>
                <w:color w:val="000000"/>
                <w:sz w:val="18"/>
                <w:szCs w:val="18"/>
                <w:rtl/>
                <w:lang w:eastAsia="he-IL"/>
              </w:rPr>
              <w:t>מחדש</w:t>
            </w:r>
            <w:r w:rsidRPr="00A10E01">
              <w:rPr>
                <w:color w:val="000000"/>
                <w:sz w:val="18"/>
                <w:szCs w:val="18"/>
                <w:rtl/>
                <w:lang w:eastAsia="he-IL"/>
              </w:rPr>
              <w:t xml:space="preserve"> </w:t>
            </w:r>
            <w:r w:rsidRPr="00A10E01">
              <w:rPr>
                <w:rFonts w:hint="eastAsia"/>
                <w:color w:val="000000"/>
                <w:sz w:val="18"/>
                <w:szCs w:val="18"/>
                <w:rtl/>
                <w:lang w:eastAsia="he-IL"/>
              </w:rPr>
              <w:t>לדוח</w:t>
            </w:r>
            <w:r w:rsidRPr="00A10E01">
              <w:rPr>
                <w:color w:val="000000"/>
                <w:sz w:val="18"/>
                <w:szCs w:val="18"/>
                <w:rtl/>
                <w:lang w:eastAsia="he-IL"/>
              </w:rPr>
              <w:t xml:space="preserve"> </w:t>
            </w:r>
            <w:r w:rsidRPr="00A10E01">
              <w:rPr>
                <w:rFonts w:hint="eastAsia"/>
                <w:color w:val="000000"/>
                <w:sz w:val="18"/>
                <w:szCs w:val="18"/>
                <w:rtl/>
                <w:lang w:eastAsia="he-IL"/>
              </w:rPr>
              <w:t>רווח</w:t>
            </w:r>
            <w:r w:rsidRPr="00A10E01">
              <w:rPr>
                <w:color w:val="000000"/>
                <w:sz w:val="18"/>
                <w:szCs w:val="18"/>
                <w:rtl/>
                <w:lang w:eastAsia="he-IL"/>
              </w:rPr>
              <w:t xml:space="preserve"> </w:t>
            </w:r>
            <w:r w:rsidRPr="00A10E01">
              <w:rPr>
                <w:rFonts w:hint="eastAsia"/>
                <w:color w:val="000000"/>
                <w:sz w:val="18"/>
                <w:szCs w:val="18"/>
                <w:rtl/>
                <w:lang w:eastAsia="he-IL"/>
              </w:rPr>
              <w:t>והפסד</w:t>
            </w:r>
            <w:r w:rsidRPr="00A10E01">
              <w:rPr>
                <w:color w:val="000000"/>
                <w:sz w:val="18"/>
                <w:szCs w:val="18"/>
                <w:vertAlign w:val="superscript"/>
                <w:rtl/>
                <w:lang w:eastAsia="he-IL"/>
              </w:rPr>
              <w:t>(א</w:t>
            </w:r>
            <w:r w:rsidRPr="009B7FCD">
              <w:rPr>
                <w:color w:val="000000"/>
                <w:sz w:val="18"/>
                <w:szCs w:val="18"/>
                <w:vertAlign w:val="superscript"/>
                <w:rtl/>
                <w:lang w:eastAsia="he-IL"/>
              </w:rPr>
              <w:t>)</w:t>
            </w:r>
            <w:r w:rsidR="009B7FCD" w:rsidRPr="009B7FCD">
              <w:rPr>
                <w:rFonts w:hint="cs"/>
                <w:color w:val="000000"/>
                <w:sz w:val="18"/>
                <w:szCs w:val="18"/>
                <w:vertAlign w:val="superscript"/>
                <w:rtl/>
                <w:lang w:eastAsia="he-IL"/>
              </w:rPr>
              <w:t>(ב)</w:t>
            </w:r>
          </w:p>
        </w:tc>
        <w:tc>
          <w:tcPr>
            <w:tcW w:w="684" w:type="dxa"/>
            <w:tcMar>
              <w:left w:w="58" w:type="dxa"/>
              <w:right w:w="58" w:type="dxa"/>
            </w:tcMar>
            <w:vAlign w:val="bottom"/>
          </w:tcPr>
          <w:p w14:paraId="3F1F90F2" w14:textId="77777777" w:rsidR="00D0470C" w:rsidRPr="00A10E01" w:rsidRDefault="00D0470C" w:rsidP="006F3019">
            <w:pPr>
              <w:pBdr>
                <w:bottom w:val="single" w:sz="4" w:space="1" w:color="auto"/>
              </w:pBdr>
              <w:spacing w:before="20" w:line="220" w:lineRule="exact"/>
              <w:rPr>
                <w:sz w:val="18"/>
                <w:szCs w:val="18"/>
                <w:rtl/>
              </w:rPr>
            </w:pPr>
            <w:r w:rsidRPr="00A10E01">
              <w:rPr>
                <w:sz w:val="18"/>
                <w:szCs w:val="18"/>
                <w:rtl/>
              </w:rPr>
              <w:t xml:space="preserve"> 0</w:t>
            </w:r>
          </w:p>
        </w:tc>
        <w:tc>
          <w:tcPr>
            <w:tcW w:w="825" w:type="dxa"/>
            <w:vAlign w:val="bottom"/>
          </w:tcPr>
          <w:p w14:paraId="390861EA" w14:textId="77777777" w:rsidR="00D0470C" w:rsidRPr="00A10E01" w:rsidRDefault="00D0470C" w:rsidP="006F3019">
            <w:pPr>
              <w:pBdr>
                <w:bottom w:val="single" w:sz="4" w:space="1" w:color="auto"/>
              </w:pBdr>
              <w:spacing w:before="20" w:line="220" w:lineRule="exact"/>
              <w:rPr>
                <w:sz w:val="18"/>
                <w:szCs w:val="18"/>
                <w:rtl/>
              </w:rPr>
            </w:pPr>
            <w:r w:rsidRPr="00A10E01">
              <w:rPr>
                <w:sz w:val="18"/>
                <w:szCs w:val="18"/>
                <w:rtl/>
              </w:rPr>
              <w:t xml:space="preserve"> 0</w:t>
            </w:r>
          </w:p>
        </w:tc>
        <w:tc>
          <w:tcPr>
            <w:tcW w:w="688" w:type="dxa"/>
            <w:vAlign w:val="bottom"/>
          </w:tcPr>
          <w:p w14:paraId="11A12B39" w14:textId="77777777" w:rsidR="00D0470C" w:rsidRPr="00A10E01" w:rsidRDefault="00D0470C" w:rsidP="006F3019">
            <w:pPr>
              <w:pBdr>
                <w:bottom w:val="single" w:sz="4" w:space="1" w:color="auto"/>
              </w:pBdr>
              <w:spacing w:before="20" w:line="220" w:lineRule="exact"/>
              <w:rPr>
                <w:sz w:val="18"/>
                <w:szCs w:val="18"/>
                <w:rtl/>
              </w:rPr>
            </w:pPr>
            <w:r w:rsidRPr="00A10E01">
              <w:rPr>
                <w:sz w:val="18"/>
                <w:szCs w:val="18"/>
                <w:rtl/>
              </w:rPr>
              <w:t xml:space="preserve"> 0</w:t>
            </w:r>
          </w:p>
        </w:tc>
        <w:tc>
          <w:tcPr>
            <w:tcW w:w="685" w:type="dxa"/>
            <w:tcMar>
              <w:left w:w="58" w:type="dxa"/>
              <w:right w:w="58" w:type="dxa"/>
            </w:tcMar>
            <w:vAlign w:val="bottom"/>
          </w:tcPr>
          <w:p w14:paraId="6F03DBAF" w14:textId="77777777" w:rsidR="00D0470C" w:rsidRPr="00A10E01" w:rsidRDefault="00D0470C" w:rsidP="006F3019">
            <w:pPr>
              <w:pBdr>
                <w:bottom w:val="single" w:sz="4" w:space="1" w:color="auto"/>
              </w:pBdr>
              <w:spacing w:before="20" w:line="220" w:lineRule="exact"/>
              <w:rPr>
                <w:sz w:val="18"/>
                <w:szCs w:val="18"/>
                <w:rtl/>
              </w:rPr>
            </w:pPr>
            <w:r w:rsidRPr="00A10E01">
              <w:rPr>
                <w:sz w:val="18"/>
                <w:szCs w:val="18"/>
                <w:rtl/>
              </w:rPr>
              <w:t xml:space="preserve"> 0</w:t>
            </w:r>
          </w:p>
        </w:tc>
        <w:tc>
          <w:tcPr>
            <w:tcW w:w="825" w:type="dxa"/>
            <w:vAlign w:val="bottom"/>
          </w:tcPr>
          <w:p w14:paraId="020FA856" w14:textId="77777777" w:rsidR="00D0470C" w:rsidRPr="00A10E01" w:rsidRDefault="00D0470C" w:rsidP="006F3019">
            <w:pPr>
              <w:pBdr>
                <w:bottom w:val="single" w:sz="4" w:space="1" w:color="auto"/>
              </w:pBdr>
              <w:spacing w:before="20" w:line="220" w:lineRule="exact"/>
              <w:rPr>
                <w:sz w:val="18"/>
                <w:szCs w:val="18"/>
                <w:rtl/>
              </w:rPr>
            </w:pPr>
            <w:r w:rsidRPr="00A10E01">
              <w:rPr>
                <w:sz w:val="18"/>
                <w:szCs w:val="18"/>
                <w:rtl/>
              </w:rPr>
              <w:t xml:space="preserve"> 0</w:t>
            </w:r>
          </w:p>
        </w:tc>
        <w:tc>
          <w:tcPr>
            <w:tcW w:w="688" w:type="dxa"/>
            <w:tcBorders>
              <w:right w:val="nil"/>
            </w:tcBorders>
            <w:vAlign w:val="bottom"/>
          </w:tcPr>
          <w:p w14:paraId="2DB9A41D" w14:textId="77777777" w:rsidR="00D0470C" w:rsidRPr="00A10E01" w:rsidRDefault="00D0470C" w:rsidP="006F3019">
            <w:pPr>
              <w:pBdr>
                <w:bottom w:val="single" w:sz="4" w:space="1" w:color="auto"/>
              </w:pBdr>
              <w:spacing w:before="20" w:line="220" w:lineRule="exact"/>
              <w:rPr>
                <w:sz w:val="18"/>
                <w:szCs w:val="18"/>
                <w:rtl/>
              </w:rPr>
            </w:pPr>
            <w:r w:rsidRPr="00A10E01">
              <w:rPr>
                <w:sz w:val="18"/>
                <w:szCs w:val="18"/>
                <w:rtl/>
              </w:rPr>
              <w:t xml:space="preserve"> 0</w:t>
            </w:r>
          </w:p>
        </w:tc>
        <w:tc>
          <w:tcPr>
            <w:tcW w:w="688" w:type="dxa"/>
            <w:tcBorders>
              <w:right w:val="nil"/>
            </w:tcBorders>
            <w:vAlign w:val="bottom"/>
          </w:tcPr>
          <w:p w14:paraId="45D9C135" w14:textId="77777777" w:rsidR="00D0470C" w:rsidRPr="00A10E01" w:rsidRDefault="00D0470C" w:rsidP="006F3019">
            <w:pPr>
              <w:pBdr>
                <w:bottom w:val="single" w:sz="4" w:space="1" w:color="auto"/>
              </w:pBdr>
              <w:spacing w:before="20" w:line="220" w:lineRule="exact"/>
              <w:rPr>
                <w:sz w:val="18"/>
                <w:szCs w:val="18"/>
                <w:rtl/>
              </w:rPr>
            </w:pPr>
            <w:r w:rsidRPr="00A10E01">
              <w:rPr>
                <w:sz w:val="18"/>
                <w:szCs w:val="18"/>
                <w:rtl/>
              </w:rPr>
              <w:t xml:space="preserve"> 0</w:t>
            </w:r>
          </w:p>
        </w:tc>
        <w:tc>
          <w:tcPr>
            <w:tcW w:w="802" w:type="dxa"/>
            <w:tcBorders>
              <w:right w:val="nil"/>
            </w:tcBorders>
            <w:vAlign w:val="bottom"/>
          </w:tcPr>
          <w:p w14:paraId="4DD5E279" w14:textId="77777777" w:rsidR="00D0470C" w:rsidRPr="00A10E01" w:rsidRDefault="00D0470C" w:rsidP="006F3019">
            <w:pPr>
              <w:pBdr>
                <w:bottom w:val="single" w:sz="4" w:space="1" w:color="auto"/>
              </w:pBdr>
              <w:spacing w:before="20" w:line="220" w:lineRule="exact"/>
              <w:rPr>
                <w:sz w:val="18"/>
                <w:szCs w:val="18"/>
                <w:rtl/>
              </w:rPr>
            </w:pPr>
            <w:r w:rsidRPr="00A10E01">
              <w:rPr>
                <w:sz w:val="18"/>
                <w:szCs w:val="18"/>
                <w:rtl/>
              </w:rPr>
              <w:t xml:space="preserve"> 0</w:t>
            </w:r>
          </w:p>
        </w:tc>
        <w:tc>
          <w:tcPr>
            <w:tcW w:w="673" w:type="dxa"/>
            <w:tcBorders>
              <w:right w:val="nil"/>
            </w:tcBorders>
            <w:vAlign w:val="bottom"/>
          </w:tcPr>
          <w:p w14:paraId="215E1C18" w14:textId="77777777" w:rsidR="00D0470C" w:rsidRPr="00A10E01" w:rsidRDefault="00D0470C" w:rsidP="006F3019">
            <w:pPr>
              <w:pBdr>
                <w:bottom w:val="single" w:sz="4" w:space="1" w:color="auto"/>
              </w:pBdr>
              <w:spacing w:before="20" w:line="220" w:lineRule="exact"/>
              <w:rPr>
                <w:sz w:val="18"/>
                <w:szCs w:val="18"/>
                <w:rtl/>
              </w:rPr>
            </w:pPr>
            <w:r w:rsidRPr="00A10E01">
              <w:rPr>
                <w:sz w:val="18"/>
                <w:szCs w:val="18"/>
                <w:rtl/>
              </w:rPr>
              <w:t xml:space="preserve"> 0</w:t>
            </w:r>
          </w:p>
        </w:tc>
      </w:tr>
      <w:tr w:rsidR="00D0470C" w:rsidRPr="00A10E01" w14:paraId="58A8D6E0" w14:textId="77777777" w:rsidTr="003765C0">
        <w:trPr>
          <w:trHeight w:val="259"/>
          <w:jc w:val="right"/>
        </w:trPr>
        <w:tc>
          <w:tcPr>
            <w:tcW w:w="3963" w:type="dxa"/>
            <w:vAlign w:val="bottom"/>
          </w:tcPr>
          <w:p w14:paraId="6D1A04DC" w14:textId="77777777" w:rsidR="00D0470C" w:rsidRPr="00A10E01" w:rsidRDefault="00D0470C" w:rsidP="00DB3CB2">
            <w:pPr>
              <w:spacing w:before="20" w:line="220" w:lineRule="exact"/>
              <w:jc w:val="left"/>
              <w:rPr>
                <w:b/>
                <w:bCs/>
                <w:color w:val="000000"/>
                <w:sz w:val="18"/>
                <w:szCs w:val="18"/>
                <w:rtl/>
                <w:lang w:eastAsia="he-IL"/>
              </w:rPr>
            </w:pPr>
            <w:r w:rsidRPr="00A10E01">
              <w:rPr>
                <w:b/>
                <w:bCs/>
                <w:color w:val="000000"/>
                <w:sz w:val="18"/>
                <w:szCs w:val="18"/>
                <w:rtl/>
                <w:lang w:eastAsia="he-IL"/>
              </w:rPr>
              <w:t xml:space="preserve">שינוי נטו במהלך </w:t>
            </w:r>
            <w:r>
              <w:rPr>
                <w:rFonts w:hint="cs"/>
                <w:b/>
                <w:bCs/>
                <w:color w:val="000000"/>
                <w:sz w:val="18"/>
                <w:szCs w:val="18"/>
                <w:rtl/>
                <w:lang w:eastAsia="he-IL"/>
              </w:rPr>
              <w:t>התקופה</w:t>
            </w:r>
          </w:p>
        </w:tc>
        <w:tc>
          <w:tcPr>
            <w:tcW w:w="684" w:type="dxa"/>
            <w:tcMar>
              <w:left w:w="58" w:type="dxa"/>
              <w:right w:w="58" w:type="dxa"/>
            </w:tcMar>
            <w:vAlign w:val="bottom"/>
          </w:tcPr>
          <w:p w14:paraId="1A39599F"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5" w:type="dxa"/>
            <w:vAlign w:val="bottom"/>
          </w:tcPr>
          <w:p w14:paraId="252FD93E"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8" w:type="dxa"/>
            <w:vAlign w:val="bottom"/>
          </w:tcPr>
          <w:p w14:paraId="37ADE702"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5" w:type="dxa"/>
            <w:tcMar>
              <w:left w:w="58" w:type="dxa"/>
              <w:right w:w="58" w:type="dxa"/>
            </w:tcMar>
            <w:vAlign w:val="bottom"/>
          </w:tcPr>
          <w:p w14:paraId="2583F625"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5" w:type="dxa"/>
            <w:vAlign w:val="bottom"/>
          </w:tcPr>
          <w:p w14:paraId="5286A8AE"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8" w:type="dxa"/>
            <w:tcBorders>
              <w:right w:val="nil"/>
            </w:tcBorders>
            <w:vAlign w:val="bottom"/>
          </w:tcPr>
          <w:p w14:paraId="130200BE"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8" w:type="dxa"/>
            <w:tcBorders>
              <w:right w:val="nil"/>
            </w:tcBorders>
            <w:vAlign w:val="bottom"/>
          </w:tcPr>
          <w:p w14:paraId="4EE33138"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02" w:type="dxa"/>
            <w:tcBorders>
              <w:right w:val="nil"/>
            </w:tcBorders>
            <w:vAlign w:val="bottom"/>
          </w:tcPr>
          <w:p w14:paraId="7CE41405"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73" w:type="dxa"/>
            <w:tcBorders>
              <w:right w:val="nil"/>
            </w:tcBorders>
            <w:vAlign w:val="bottom"/>
          </w:tcPr>
          <w:p w14:paraId="54E10C7C"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r>
      <w:tr w:rsidR="00D0470C" w:rsidRPr="00A10E01" w14:paraId="46D80BD0" w14:textId="77777777" w:rsidTr="003765C0">
        <w:trPr>
          <w:jc w:val="right"/>
        </w:trPr>
        <w:tc>
          <w:tcPr>
            <w:tcW w:w="3963" w:type="dxa"/>
            <w:vAlign w:val="bottom"/>
          </w:tcPr>
          <w:p w14:paraId="60482371" w14:textId="77777777" w:rsidR="00F32A2A" w:rsidRDefault="00F32A2A">
            <w:pPr>
              <w:spacing w:line="40" w:lineRule="exact"/>
              <w:ind w:left="114" w:hanging="114"/>
              <w:jc w:val="left"/>
              <w:rPr>
                <w:b/>
                <w:bCs/>
                <w:color w:val="000000"/>
                <w:sz w:val="18"/>
                <w:szCs w:val="18"/>
                <w:rtl/>
                <w:lang w:eastAsia="he-IL"/>
              </w:rPr>
            </w:pPr>
          </w:p>
        </w:tc>
        <w:tc>
          <w:tcPr>
            <w:tcW w:w="684" w:type="dxa"/>
            <w:tcMar>
              <w:left w:w="58" w:type="dxa"/>
              <w:right w:w="58" w:type="dxa"/>
            </w:tcMar>
            <w:vAlign w:val="bottom"/>
          </w:tcPr>
          <w:p w14:paraId="4A849E9C" w14:textId="77777777" w:rsidR="00F32A2A" w:rsidRDefault="00F32A2A">
            <w:pPr>
              <w:spacing w:line="40" w:lineRule="exact"/>
              <w:rPr>
                <w:sz w:val="18"/>
                <w:szCs w:val="18"/>
                <w:rtl/>
              </w:rPr>
            </w:pPr>
          </w:p>
        </w:tc>
        <w:tc>
          <w:tcPr>
            <w:tcW w:w="825" w:type="dxa"/>
            <w:vAlign w:val="bottom"/>
          </w:tcPr>
          <w:p w14:paraId="5CC5AA7A" w14:textId="77777777" w:rsidR="00F32A2A" w:rsidRDefault="00F32A2A">
            <w:pPr>
              <w:spacing w:line="40" w:lineRule="exact"/>
              <w:rPr>
                <w:sz w:val="18"/>
                <w:szCs w:val="18"/>
                <w:rtl/>
              </w:rPr>
            </w:pPr>
          </w:p>
        </w:tc>
        <w:tc>
          <w:tcPr>
            <w:tcW w:w="688" w:type="dxa"/>
            <w:vAlign w:val="bottom"/>
          </w:tcPr>
          <w:p w14:paraId="2629E210" w14:textId="77777777" w:rsidR="00F32A2A" w:rsidRDefault="00F32A2A">
            <w:pPr>
              <w:spacing w:line="40" w:lineRule="exact"/>
              <w:rPr>
                <w:sz w:val="18"/>
                <w:szCs w:val="18"/>
                <w:rtl/>
              </w:rPr>
            </w:pPr>
          </w:p>
        </w:tc>
        <w:tc>
          <w:tcPr>
            <w:tcW w:w="685" w:type="dxa"/>
            <w:tcMar>
              <w:left w:w="58" w:type="dxa"/>
              <w:right w:w="58" w:type="dxa"/>
            </w:tcMar>
            <w:vAlign w:val="bottom"/>
          </w:tcPr>
          <w:p w14:paraId="2FD24E30" w14:textId="77777777" w:rsidR="00F32A2A" w:rsidRDefault="00F32A2A">
            <w:pPr>
              <w:spacing w:line="40" w:lineRule="exact"/>
              <w:rPr>
                <w:sz w:val="18"/>
                <w:szCs w:val="18"/>
                <w:rtl/>
              </w:rPr>
            </w:pPr>
          </w:p>
        </w:tc>
        <w:tc>
          <w:tcPr>
            <w:tcW w:w="825" w:type="dxa"/>
            <w:vAlign w:val="bottom"/>
          </w:tcPr>
          <w:p w14:paraId="320E6121" w14:textId="77777777" w:rsidR="00F32A2A" w:rsidRDefault="00F32A2A">
            <w:pPr>
              <w:spacing w:line="40" w:lineRule="exact"/>
              <w:rPr>
                <w:sz w:val="18"/>
                <w:szCs w:val="18"/>
                <w:rtl/>
              </w:rPr>
            </w:pPr>
          </w:p>
        </w:tc>
        <w:tc>
          <w:tcPr>
            <w:tcW w:w="688" w:type="dxa"/>
            <w:tcBorders>
              <w:right w:val="nil"/>
            </w:tcBorders>
            <w:vAlign w:val="bottom"/>
          </w:tcPr>
          <w:p w14:paraId="6CB0F2B9" w14:textId="77777777" w:rsidR="00F32A2A" w:rsidRDefault="00F32A2A">
            <w:pPr>
              <w:spacing w:line="40" w:lineRule="exact"/>
              <w:rPr>
                <w:sz w:val="18"/>
                <w:szCs w:val="18"/>
                <w:rtl/>
              </w:rPr>
            </w:pPr>
          </w:p>
        </w:tc>
        <w:tc>
          <w:tcPr>
            <w:tcW w:w="688" w:type="dxa"/>
            <w:tcBorders>
              <w:right w:val="nil"/>
            </w:tcBorders>
            <w:vAlign w:val="bottom"/>
          </w:tcPr>
          <w:p w14:paraId="5B5C84D6" w14:textId="77777777" w:rsidR="00F32A2A" w:rsidRDefault="00F32A2A">
            <w:pPr>
              <w:spacing w:line="40" w:lineRule="exact"/>
              <w:rPr>
                <w:sz w:val="18"/>
                <w:szCs w:val="18"/>
                <w:rtl/>
              </w:rPr>
            </w:pPr>
          </w:p>
        </w:tc>
        <w:tc>
          <w:tcPr>
            <w:tcW w:w="802" w:type="dxa"/>
            <w:tcBorders>
              <w:right w:val="nil"/>
            </w:tcBorders>
            <w:vAlign w:val="bottom"/>
          </w:tcPr>
          <w:p w14:paraId="0760F9A9" w14:textId="77777777" w:rsidR="00F32A2A" w:rsidRDefault="00F32A2A">
            <w:pPr>
              <w:spacing w:line="40" w:lineRule="exact"/>
              <w:rPr>
                <w:sz w:val="18"/>
                <w:szCs w:val="18"/>
                <w:rtl/>
              </w:rPr>
            </w:pPr>
          </w:p>
        </w:tc>
        <w:tc>
          <w:tcPr>
            <w:tcW w:w="673" w:type="dxa"/>
            <w:tcBorders>
              <w:right w:val="nil"/>
            </w:tcBorders>
            <w:vAlign w:val="bottom"/>
          </w:tcPr>
          <w:p w14:paraId="2E567BCC" w14:textId="77777777" w:rsidR="00F32A2A" w:rsidRDefault="00F32A2A">
            <w:pPr>
              <w:spacing w:line="40" w:lineRule="exact"/>
              <w:rPr>
                <w:sz w:val="18"/>
                <w:szCs w:val="18"/>
                <w:rtl/>
              </w:rPr>
            </w:pPr>
          </w:p>
        </w:tc>
      </w:tr>
      <w:tr w:rsidR="00D0470C" w:rsidRPr="00A10E01" w14:paraId="0D28E763" w14:textId="77777777" w:rsidTr="003765C0">
        <w:trPr>
          <w:trHeight w:val="259"/>
          <w:jc w:val="right"/>
        </w:trPr>
        <w:tc>
          <w:tcPr>
            <w:tcW w:w="3963" w:type="dxa"/>
            <w:vAlign w:val="bottom"/>
          </w:tcPr>
          <w:p w14:paraId="694A0812" w14:textId="6F0D573F" w:rsidR="00D0470C" w:rsidRPr="00A10E01" w:rsidRDefault="00D0470C" w:rsidP="006F3019">
            <w:pPr>
              <w:spacing w:before="22" w:after="22" w:line="220" w:lineRule="exact"/>
              <w:ind w:left="114" w:hanging="114"/>
              <w:jc w:val="left"/>
              <w:rPr>
                <w:b/>
                <w:bCs/>
                <w:color w:val="000000"/>
                <w:sz w:val="18"/>
                <w:szCs w:val="18"/>
                <w:rtl/>
                <w:lang w:eastAsia="he-IL"/>
              </w:rPr>
            </w:pPr>
            <w:r w:rsidRPr="00A10E01">
              <w:rPr>
                <w:rFonts w:hint="eastAsia"/>
                <w:b/>
                <w:bCs/>
                <w:color w:val="000000"/>
                <w:sz w:val="18"/>
                <w:szCs w:val="18"/>
                <w:rtl/>
                <w:lang w:eastAsia="he-IL"/>
              </w:rPr>
              <w:t>התאמות</w:t>
            </w:r>
            <w:r w:rsidRPr="00A10E01">
              <w:rPr>
                <w:b/>
                <w:bCs/>
                <w:color w:val="000000"/>
                <w:sz w:val="18"/>
                <w:szCs w:val="18"/>
                <w:rtl/>
                <w:lang w:eastAsia="he-IL"/>
              </w:rPr>
              <w:t xml:space="preserve"> </w:t>
            </w:r>
            <w:r w:rsidRPr="00A10E01">
              <w:rPr>
                <w:rFonts w:hint="eastAsia"/>
                <w:b/>
                <w:bCs/>
                <w:color w:val="000000"/>
                <w:sz w:val="18"/>
                <w:szCs w:val="18"/>
                <w:rtl/>
                <w:lang w:eastAsia="he-IL"/>
              </w:rPr>
              <w:t>מתרגום</w:t>
            </w:r>
            <w:r w:rsidRPr="00A10E01">
              <w:rPr>
                <w:b/>
                <w:bCs/>
                <w:color w:val="000000"/>
                <w:sz w:val="18"/>
                <w:szCs w:val="18"/>
                <w:rtl/>
                <w:lang w:eastAsia="he-IL"/>
              </w:rPr>
              <w:t>:</w:t>
            </w:r>
            <w:r w:rsidRPr="00A10E01">
              <w:rPr>
                <w:b/>
                <w:bCs/>
                <w:color w:val="000000"/>
                <w:sz w:val="18"/>
                <w:szCs w:val="18"/>
                <w:vertAlign w:val="superscript"/>
                <w:rtl/>
                <w:lang w:eastAsia="he-IL"/>
              </w:rPr>
              <w:t>(</w:t>
            </w:r>
            <w:r w:rsidR="009B7FCD">
              <w:rPr>
                <w:rFonts w:hint="cs"/>
                <w:b/>
                <w:bCs/>
                <w:color w:val="000000"/>
                <w:sz w:val="18"/>
                <w:szCs w:val="18"/>
                <w:vertAlign w:val="superscript"/>
                <w:rtl/>
                <w:lang w:eastAsia="he-IL"/>
              </w:rPr>
              <w:t>ג</w:t>
            </w:r>
            <w:r w:rsidRPr="00A10E01">
              <w:rPr>
                <w:b/>
                <w:bCs/>
                <w:color w:val="000000"/>
                <w:sz w:val="18"/>
                <w:szCs w:val="18"/>
                <w:vertAlign w:val="superscript"/>
                <w:rtl/>
                <w:lang w:eastAsia="he-IL"/>
              </w:rPr>
              <w:t>)</w:t>
            </w:r>
          </w:p>
        </w:tc>
        <w:tc>
          <w:tcPr>
            <w:tcW w:w="684" w:type="dxa"/>
            <w:tcMar>
              <w:left w:w="58" w:type="dxa"/>
              <w:right w:w="58" w:type="dxa"/>
            </w:tcMar>
            <w:vAlign w:val="bottom"/>
          </w:tcPr>
          <w:p w14:paraId="58248EC0" w14:textId="77777777" w:rsidR="00D0470C" w:rsidRPr="00A10E01" w:rsidRDefault="00D0470C" w:rsidP="006F3019">
            <w:pPr>
              <w:spacing w:line="220" w:lineRule="exact"/>
              <w:rPr>
                <w:sz w:val="18"/>
                <w:szCs w:val="18"/>
                <w:rtl/>
              </w:rPr>
            </w:pPr>
          </w:p>
        </w:tc>
        <w:tc>
          <w:tcPr>
            <w:tcW w:w="825" w:type="dxa"/>
            <w:vAlign w:val="bottom"/>
          </w:tcPr>
          <w:p w14:paraId="0D855164" w14:textId="77777777" w:rsidR="00D0470C" w:rsidRPr="00A10E01" w:rsidRDefault="00D0470C" w:rsidP="006F3019">
            <w:pPr>
              <w:spacing w:line="220" w:lineRule="exact"/>
              <w:rPr>
                <w:sz w:val="18"/>
                <w:szCs w:val="18"/>
                <w:rtl/>
              </w:rPr>
            </w:pPr>
          </w:p>
        </w:tc>
        <w:tc>
          <w:tcPr>
            <w:tcW w:w="688" w:type="dxa"/>
            <w:vAlign w:val="bottom"/>
          </w:tcPr>
          <w:p w14:paraId="4E90238C" w14:textId="77777777" w:rsidR="00D0470C" w:rsidRPr="00A10E01" w:rsidRDefault="00D0470C" w:rsidP="006F3019">
            <w:pPr>
              <w:spacing w:line="220" w:lineRule="exact"/>
              <w:rPr>
                <w:sz w:val="18"/>
                <w:szCs w:val="18"/>
                <w:rtl/>
              </w:rPr>
            </w:pPr>
          </w:p>
        </w:tc>
        <w:tc>
          <w:tcPr>
            <w:tcW w:w="685" w:type="dxa"/>
            <w:tcMar>
              <w:left w:w="58" w:type="dxa"/>
              <w:right w:w="58" w:type="dxa"/>
            </w:tcMar>
            <w:vAlign w:val="bottom"/>
          </w:tcPr>
          <w:p w14:paraId="0AB090DF" w14:textId="77777777" w:rsidR="00D0470C" w:rsidRPr="00A10E01" w:rsidRDefault="00D0470C" w:rsidP="006F3019">
            <w:pPr>
              <w:spacing w:line="220" w:lineRule="exact"/>
              <w:rPr>
                <w:sz w:val="18"/>
                <w:szCs w:val="18"/>
                <w:rtl/>
              </w:rPr>
            </w:pPr>
          </w:p>
        </w:tc>
        <w:tc>
          <w:tcPr>
            <w:tcW w:w="825" w:type="dxa"/>
            <w:vAlign w:val="bottom"/>
          </w:tcPr>
          <w:p w14:paraId="32B27AC7" w14:textId="77777777" w:rsidR="00D0470C" w:rsidRPr="00A10E01" w:rsidRDefault="00D0470C" w:rsidP="006F3019">
            <w:pPr>
              <w:spacing w:line="220" w:lineRule="exact"/>
              <w:rPr>
                <w:sz w:val="18"/>
                <w:szCs w:val="18"/>
                <w:rtl/>
              </w:rPr>
            </w:pPr>
          </w:p>
        </w:tc>
        <w:tc>
          <w:tcPr>
            <w:tcW w:w="688" w:type="dxa"/>
            <w:tcBorders>
              <w:right w:val="nil"/>
            </w:tcBorders>
            <w:vAlign w:val="bottom"/>
          </w:tcPr>
          <w:p w14:paraId="041CEDE0" w14:textId="77777777" w:rsidR="00D0470C" w:rsidRPr="00A10E01" w:rsidRDefault="00D0470C" w:rsidP="006F3019">
            <w:pPr>
              <w:spacing w:line="220" w:lineRule="exact"/>
              <w:rPr>
                <w:sz w:val="18"/>
                <w:szCs w:val="18"/>
                <w:rtl/>
              </w:rPr>
            </w:pPr>
          </w:p>
        </w:tc>
        <w:tc>
          <w:tcPr>
            <w:tcW w:w="688" w:type="dxa"/>
            <w:tcBorders>
              <w:right w:val="nil"/>
            </w:tcBorders>
            <w:vAlign w:val="bottom"/>
          </w:tcPr>
          <w:p w14:paraId="64DE6C16" w14:textId="77777777" w:rsidR="00D0470C" w:rsidRPr="00A10E01" w:rsidRDefault="00D0470C" w:rsidP="006F3019">
            <w:pPr>
              <w:spacing w:line="220" w:lineRule="exact"/>
              <w:rPr>
                <w:sz w:val="18"/>
                <w:szCs w:val="18"/>
                <w:rtl/>
              </w:rPr>
            </w:pPr>
          </w:p>
        </w:tc>
        <w:tc>
          <w:tcPr>
            <w:tcW w:w="802" w:type="dxa"/>
            <w:tcBorders>
              <w:right w:val="nil"/>
            </w:tcBorders>
            <w:vAlign w:val="bottom"/>
          </w:tcPr>
          <w:p w14:paraId="43E56D4C" w14:textId="77777777" w:rsidR="00D0470C" w:rsidRPr="00A10E01" w:rsidRDefault="00D0470C" w:rsidP="006F3019">
            <w:pPr>
              <w:spacing w:line="220" w:lineRule="exact"/>
              <w:rPr>
                <w:sz w:val="18"/>
                <w:szCs w:val="18"/>
                <w:rtl/>
              </w:rPr>
            </w:pPr>
          </w:p>
        </w:tc>
        <w:tc>
          <w:tcPr>
            <w:tcW w:w="673" w:type="dxa"/>
            <w:tcBorders>
              <w:right w:val="nil"/>
            </w:tcBorders>
            <w:vAlign w:val="bottom"/>
          </w:tcPr>
          <w:p w14:paraId="539EC643" w14:textId="77777777" w:rsidR="00D0470C" w:rsidRPr="00A10E01" w:rsidRDefault="00D0470C" w:rsidP="006F3019">
            <w:pPr>
              <w:spacing w:line="220" w:lineRule="exact"/>
              <w:rPr>
                <w:sz w:val="18"/>
                <w:szCs w:val="18"/>
                <w:rtl/>
              </w:rPr>
            </w:pPr>
          </w:p>
        </w:tc>
      </w:tr>
      <w:tr w:rsidR="00D0470C" w:rsidRPr="00A10E01" w14:paraId="3B19799A" w14:textId="77777777" w:rsidTr="003765C0">
        <w:trPr>
          <w:trHeight w:val="259"/>
          <w:jc w:val="right"/>
        </w:trPr>
        <w:tc>
          <w:tcPr>
            <w:tcW w:w="3963" w:type="dxa"/>
            <w:vAlign w:val="bottom"/>
          </w:tcPr>
          <w:p w14:paraId="75417BC8" w14:textId="77777777" w:rsidR="00D0470C" w:rsidRPr="00A10E01" w:rsidRDefault="00D0470C" w:rsidP="00DB3CB2">
            <w:pPr>
              <w:spacing w:before="20" w:line="220" w:lineRule="exact"/>
              <w:jc w:val="left"/>
              <w:rPr>
                <w:color w:val="000000"/>
                <w:sz w:val="18"/>
                <w:szCs w:val="18"/>
                <w:rtl/>
                <w:lang w:eastAsia="he-IL"/>
              </w:rPr>
            </w:pPr>
            <w:r w:rsidRPr="00A10E01">
              <w:rPr>
                <w:rFonts w:hint="eastAsia"/>
                <w:color w:val="000000"/>
                <w:sz w:val="18"/>
                <w:szCs w:val="18"/>
                <w:rtl/>
                <w:lang w:eastAsia="he-IL"/>
              </w:rPr>
              <w:t>התאמות</w:t>
            </w:r>
            <w:r w:rsidRPr="00A10E01">
              <w:rPr>
                <w:color w:val="000000"/>
                <w:sz w:val="18"/>
                <w:szCs w:val="18"/>
                <w:rtl/>
                <w:lang w:eastAsia="he-IL"/>
              </w:rPr>
              <w:t xml:space="preserve"> מתרגום דוחות כספיים</w:t>
            </w:r>
          </w:p>
        </w:tc>
        <w:tc>
          <w:tcPr>
            <w:tcW w:w="684" w:type="dxa"/>
            <w:tcMar>
              <w:left w:w="58" w:type="dxa"/>
              <w:right w:w="58" w:type="dxa"/>
            </w:tcMar>
            <w:vAlign w:val="bottom"/>
          </w:tcPr>
          <w:p w14:paraId="6C36980C"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5" w:type="dxa"/>
            <w:vAlign w:val="bottom"/>
          </w:tcPr>
          <w:p w14:paraId="0573EFE3"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8" w:type="dxa"/>
            <w:vAlign w:val="bottom"/>
          </w:tcPr>
          <w:p w14:paraId="4BC67DC1"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5" w:type="dxa"/>
            <w:tcMar>
              <w:left w:w="58" w:type="dxa"/>
              <w:right w:w="58" w:type="dxa"/>
            </w:tcMar>
            <w:vAlign w:val="bottom"/>
          </w:tcPr>
          <w:p w14:paraId="18D327FD"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5" w:type="dxa"/>
            <w:vAlign w:val="bottom"/>
          </w:tcPr>
          <w:p w14:paraId="77B1C456"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8" w:type="dxa"/>
            <w:tcBorders>
              <w:right w:val="nil"/>
            </w:tcBorders>
            <w:vAlign w:val="bottom"/>
          </w:tcPr>
          <w:p w14:paraId="79C6169E"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8" w:type="dxa"/>
            <w:tcBorders>
              <w:right w:val="nil"/>
            </w:tcBorders>
            <w:vAlign w:val="bottom"/>
          </w:tcPr>
          <w:p w14:paraId="3F5EA382"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02" w:type="dxa"/>
            <w:tcBorders>
              <w:right w:val="nil"/>
            </w:tcBorders>
            <w:vAlign w:val="bottom"/>
          </w:tcPr>
          <w:p w14:paraId="2CB392A9"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73" w:type="dxa"/>
            <w:tcBorders>
              <w:right w:val="nil"/>
            </w:tcBorders>
            <w:vAlign w:val="bottom"/>
          </w:tcPr>
          <w:p w14:paraId="000E2E79" w14:textId="77777777" w:rsidR="00D0470C" w:rsidRPr="00A10E01" w:rsidRDefault="00D0470C" w:rsidP="006F3019">
            <w:pPr>
              <w:spacing w:line="220" w:lineRule="exact"/>
              <w:rPr>
                <w:sz w:val="18"/>
                <w:szCs w:val="18"/>
                <w:rtl/>
              </w:rPr>
            </w:pPr>
            <w:r w:rsidRPr="00A10E01">
              <w:rPr>
                <w:sz w:val="18"/>
                <w:szCs w:val="18"/>
                <w:rtl/>
              </w:rPr>
              <w:t xml:space="preserve"> 0</w:t>
            </w:r>
          </w:p>
        </w:tc>
      </w:tr>
      <w:tr w:rsidR="00D0470C" w:rsidRPr="00A10E01" w14:paraId="3D0F1239" w14:textId="77777777" w:rsidTr="003765C0">
        <w:trPr>
          <w:trHeight w:val="259"/>
          <w:jc w:val="right"/>
        </w:trPr>
        <w:tc>
          <w:tcPr>
            <w:tcW w:w="3963" w:type="dxa"/>
            <w:vAlign w:val="bottom"/>
          </w:tcPr>
          <w:p w14:paraId="5B5AD1C7" w14:textId="3D0F514D" w:rsidR="00D0470C" w:rsidRPr="00A10E01" w:rsidRDefault="00D0470C" w:rsidP="00DB3CB2">
            <w:pPr>
              <w:spacing w:before="20" w:line="220" w:lineRule="exact"/>
              <w:jc w:val="left"/>
              <w:rPr>
                <w:color w:val="000000"/>
                <w:sz w:val="18"/>
                <w:szCs w:val="18"/>
                <w:rtl/>
                <w:lang w:eastAsia="he-IL"/>
              </w:rPr>
            </w:pPr>
            <w:r w:rsidRPr="00A10E01">
              <w:rPr>
                <w:color w:val="000000"/>
                <w:sz w:val="18"/>
                <w:szCs w:val="18"/>
                <w:rtl/>
                <w:lang w:eastAsia="he-IL"/>
              </w:rPr>
              <w:t>גידורים</w:t>
            </w:r>
            <w:r w:rsidRPr="00A10E01">
              <w:rPr>
                <w:color w:val="000000"/>
                <w:sz w:val="18"/>
                <w:szCs w:val="18"/>
                <w:vertAlign w:val="superscript"/>
                <w:rtl/>
                <w:lang w:eastAsia="he-IL"/>
              </w:rPr>
              <w:t>(</w:t>
            </w:r>
            <w:r w:rsidR="009B7FCD">
              <w:rPr>
                <w:rFonts w:hint="cs"/>
                <w:color w:val="000000"/>
                <w:sz w:val="18"/>
                <w:szCs w:val="18"/>
                <w:vertAlign w:val="superscript"/>
                <w:rtl/>
                <w:lang w:eastAsia="he-IL"/>
              </w:rPr>
              <w:t>ד</w:t>
            </w:r>
            <w:r w:rsidRPr="00A10E01">
              <w:rPr>
                <w:color w:val="000000"/>
                <w:sz w:val="18"/>
                <w:szCs w:val="18"/>
                <w:vertAlign w:val="superscript"/>
                <w:rtl/>
                <w:lang w:eastAsia="he-IL"/>
              </w:rPr>
              <w:t>)</w:t>
            </w:r>
          </w:p>
        </w:tc>
        <w:tc>
          <w:tcPr>
            <w:tcW w:w="684" w:type="dxa"/>
            <w:tcMar>
              <w:left w:w="58" w:type="dxa"/>
              <w:right w:w="58" w:type="dxa"/>
            </w:tcMar>
            <w:vAlign w:val="bottom"/>
          </w:tcPr>
          <w:p w14:paraId="462E95AF"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5" w:type="dxa"/>
            <w:vAlign w:val="bottom"/>
          </w:tcPr>
          <w:p w14:paraId="043144FA"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8" w:type="dxa"/>
            <w:vAlign w:val="bottom"/>
          </w:tcPr>
          <w:p w14:paraId="712FDB99"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5" w:type="dxa"/>
            <w:tcMar>
              <w:left w:w="58" w:type="dxa"/>
              <w:right w:w="58" w:type="dxa"/>
            </w:tcMar>
            <w:vAlign w:val="bottom"/>
          </w:tcPr>
          <w:p w14:paraId="54085FF0"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5" w:type="dxa"/>
            <w:vAlign w:val="bottom"/>
          </w:tcPr>
          <w:p w14:paraId="60554EA1"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8" w:type="dxa"/>
            <w:tcBorders>
              <w:right w:val="nil"/>
            </w:tcBorders>
            <w:vAlign w:val="bottom"/>
          </w:tcPr>
          <w:p w14:paraId="43B66B87"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8" w:type="dxa"/>
            <w:tcBorders>
              <w:right w:val="nil"/>
            </w:tcBorders>
            <w:vAlign w:val="bottom"/>
          </w:tcPr>
          <w:p w14:paraId="4847E93E"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02" w:type="dxa"/>
            <w:tcBorders>
              <w:right w:val="nil"/>
            </w:tcBorders>
            <w:vAlign w:val="bottom"/>
          </w:tcPr>
          <w:p w14:paraId="09CBC924"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73" w:type="dxa"/>
            <w:tcBorders>
              <w:right w:val="nil"/>
            </w:tcBorders>
            <w:vAlign w:val="bottom"/>
          </w:tcPr>
          <w:p w14:paraId="69F026D8" w14:textId="77777777" w:rsidR="00D0470C" w:rsidRPr="00A10E01" w:rsidRDefault="00D0470C" w:rsidP="006F3019">
            <w:pPr>
              <w:spacing w:line="220" w:lineRule="exact"/>
              <w:rPr>
                <w:sz w:val="18"/>
                <w:szCs w:val="18"/>
                <w:rtl/>
              </w:rPr>
            </w:pPr>
            <w:r w:rsidRPr="00A10E01">
              <w:rPr>
                <w:sz w:val="18"/>
                <w:szCs w:val="18"/>
                <w:rtl/>
              </w:rPr>
              <w:t xml:space="preserve"> 0</w:t>
            </w:r>
          </w:p>
        </w:tc>
      </w:tr>
      <w:tr w:rsidR="00D0470C" w:rsidRPr="00A10E01" w14:paraId="40F19803" w14:textId="77777777" w:rsidTr="003765C0">
        <w:trPr>
          <w:trHeight w:val="259"/>
          <w:jc w:val="right"/>
        </w:trPr>
        <w:tc>
          <w:tcPr>
            <w:tcW w:w="3963" w:type="dxa"/>
            <w:vAlign w:val="bottom"/>
          </w:tcPr>
          <w:p w14:paraId="063AE1D0" w14:textId="513B5BD8" w:rsidR="00D0470C" w:rsidRPr="00A10E01" w:rsidRDefault="00D0470C" w:rsidP="00DB3CB2">
            <w:pPr>
              <w:spacing w:before="20" w:line="220" w:lineRule="exact"/>
              <w:jc w:val="left"/>
              <w:rPr>
                <w:color w:val="000000"/>
                <w:sz w:val="18"/>
                <w:szCs w:val="18"/>
                <w:rtl/>
                <w:lang w:eastAsia="he-IL"/>
              </w:rPr>
            </w:pPr>
            <w:r w:rsidRPr="00A10E01">
              <w:rPr>
                <w:color w:val="000000"/>
                <w:sz w:val="18"/>
                <w:szCs w:val="18"/>
                <w:rtl/>
                <w:lang w:eastAsia="he-IL"/>
              </w:rPr>
              <w:t xml:space="preserve">(רווחים) </w:t>
            </w:r>
            <w:r w:rsidRPr="00A10E01">
              <w:rPr>
                <w:rFonts w:hint="eastAsia"/>
                <w:color w:val="000000"/>
                <w:sz w:val="18"/>
                <w:szCs w:val="18"/>
                <w:rtl/>
                <w:lang w:eastAsia="he-IL"/>
              </w:rPr>
              <w:t>הפסדים</w:t>
            </w:r>
            <w:r w:rsidRPr="00A10E01">
              <w:rPr>
                <w:color w:val="000000"/>
                <w:sz w:val="18"/>
                <w:szCs w:val="18"/>
                <w:rtl/>
                <w:lang w:eastAsia="he-IL"/>
              </w:rPr>
              <w:t xml:space="preserve"> </w:t>
            </w:r>
            <w:r w:rsidRPr="00A10E01">
              <w:rPr>
                <w:rFonts w:hint="eastAsia"/>
                <w:color w:val="000000"/>
                <w:sz w:val="18"/>
                <w:szCs w:val="18"/>
                <w:rtl/>
                <w:lang w:eastAsia="he-IL"/>
              </w:rPr>
              <w:t>נטו</w:t>
            </w:r>
            <w:r w:rsidRPr="00A10E01">
              <w:rPr>
                <w:color w:val="000000"/>
                <w:sz w:val="18"/>
                <w:szCs w:val="18"/>
                <w:rtl/>
                <w:lang w:eastAsia="he-IL"/>
              </w:rPr>
              <w:t xml:space="preserve"> </w:t>
            </w:r>
            <w:r w:rsidRPr="00A10E01">
              <w:rPr>
                <w:rFonts w:hint="eastAsia"/>
                <w:color w:val="000000"/>
                <w:sz w:val="18"/>
                <w:szCs w:val="18"/>
                <w:rtl/>
                <w:lang w:eastAsia="he-IL"/>
              </w:rPr>
              <w:t>שסווגו</w:t>
            </w:r>
            <w:r w:rsidRPr="00A10E01">
              <w:rPr>
                <w:color w:val="000000"/>
                <w:sz w:val="18"/>
                <w:szCs w:val="18"/>
                <w:rtl/>
                <w:lang w:eastAsia="he-IL"/>
              </w:rPr>
              <w:t xml:space="preserve"> </w:t>
            </w:r>
            <w:r w:rsidRPr="00A10E01">
              <w:rPr>
                <w:rFonts w:hint="eastAsia"/>
                <w:color w:val="000000"/>
                <w:sz w:val="18"/>
                <w:szCs w:val="18"/>
                <w:rtl/>
                <w:lang w:eastAsia="he-IL"/>
              </w:rPr>
              <w:t>מחדש</w:t>
            </w:r>
            <w:r w:rsidRPr="00A10E01">
              <w:rPr>
                <w:color w:val="000000"/>
                <w:sz w:val="18"/>
                <w:szCs w:val="18"/>
                <w:rtl/>
                <w:lang w:eastAsia="he-IL"/>
              </w:rPr>
              <w:t xml:space="preserve"> </w:t>
            </w:r>
            <w:r w:rsidRPr="00A10E01">
              <w:rPr>
                <w:rFonts w:hint="eastAsia"/>
                <w:color w:val="000000"/>
                <w:sz w:val="18"/>
                <w:szCs w:val="18"/>
                <w:rtl/>
                <w:lang w:eastAsia="he-IL"/>
              </w:rPr>
              <w:t>לדוח</w:t>
            </w:r>
            <w:r w:rsidRPr="00A10E01">
              <w:rPr>
                <w:color w:val="000000"/>
                <w:sz w:val="18"/>
                <w:szCs w:val="18"/>
                <w:rtl/>
                <w:lang w:eastAsia="he-IL"/>
              </w:rPr>
              <w:t xml:space="preserve"> </w:t>
            </w:r>
            <w:r w:rsidRPr="00A10E01">
              <w:rPr>
                <w:rFonts w:hint="eastAsia"/>
                <w:color w:val="000000"/>
                <w:sz w:val="18"/>
                <w:szCs w:val="18"/>
                <w:rtl/>
                <w:lang w:eastAsia="he-IL"/>
              </w:rPr>
              <w:t>רווח</w:t>
            </w:r>
            <w:r w:rsidRPr="00A10E01">
              <w:rPr>
                <w:color w:val="000000"/>
                <w:sz w:val="18"/>
                <w:szCs w:val="18"/>
                <w:rtl/>
                <w:lang w:eastAsia="he-IL"/>
              </w:rPr>
              <w:t xml:space="preserve"> </w:t>
            </w:r>
            <w:r w:rsidRPr="00A10E01">
              <w:rPr>
                <w:rFonts w:hint="eastAsia"/>
                <w:color w:val="000000"/>
                <w:sz w:val="18"/>
                <w:szCs w:val="18"/>
                <w:rtl/>
                <w:lang w:eastAsia="he-IL"/>
              </w:rPr>
              <w:t>והפסד</w:t>
            </w:r>
            <w:r w:rsidRPr="00A10E01">
              <w:rPr>
                <w:color w:val="000000"/>
                <w:sz w:val="18"/>
                <w:szCs w:val="18"/>
                <w:rtl/>
                <w:lang w:eastAsia="he-IL"/>
              </w:rPr>
              <w:t>,</w:t>
            </w:r>
            <w:r w:rsidRPr="00A10E01">
              <w:rPr>
                <w:color w:val="000000"/>
                <w:sz w:val="18"/>
                <w:szCs w:val="18"/>
                <w:vertAlign w:val="superscript"/>
                <w:rtl/>
                <w:lang w:eastAsia="he-IL"/>
              </w:rPr>
              <w:t>(</w:t>
            </w:r>
            <w:r w:rsidR="009B7FCD">
              <w:rPr>
                <w:rFonts w:hint="cs"/>
                <w:color w:val="000000"/>
                <w:sz w:val="18"/>
                <w:szCs w:val="18"/>
                <w:vertAlign w:val="superscript"/>
                <w:rtl/>
                <w:lang w:eastAsia="he-IL"/>
              </w:rPr>
              <w:t>ב</w:t>
            </w:r>
            <w:r w:rsidRPr="00A10E01">
              <w:rPr>
                <w:color w:val="000000"/>
                <w:sz w:val="18"/>
                <w:szCs w:val="18"/>
                <w:vertAlign w:val="superscript"/>
                <w:rtl/>
                <w:lang w:eastAsia="he-IL"/>
              </w:rPr>
              <w:t>)</w:t>
            </w:r>
            <w:r w:rsidRPr="00A10E01">
              <w:rPr>
                <w:color w:val="000000"/>
                <w:sz w:val="18"/>
                <w:szCs w:val="18"/>
                <w:rtl/>
                <w:lang w:eastAsia="he-IL"/>
              </w:rPr>
              <w:t xml:space="preserve"> </w:t>
            </w:r>
            <w:r w:rsidRPr="00A10E01">
              <w:rPr>
                <w:rFonts w:hint="eastAsia"/>
                <w:color w:val="000000"/>
                <w:sz w:val="18"/>
                <w:szCs w:val="18"/>
                <w:rtl/>
                <w:lang w:eastAsia="he-IL"/>
              </w:rPr>
              <w:t>לרבות</w:t>
            </w:r>
            <w:r w:rsidRPr="00A10E01">
              <w:rPr>
                <w:color w:val="000000"/>
                <w:sz w:val="18"/>
                <w:szCs w:val="18"/>
                <w:rtl/>
                <w:lang w:eastAsia="he-IL"/>
              </w:rPr>
              <w:t xml:space="preserve"> בגין </w:t>
            </w:r>
            <w:r w:rsidRPr="00A10E01">
              <w:rPr>
                <w:rFonts w:hint="eastAsia"/>
                <w:color w:val="000000"/>
                <w:sz w:val="18"/>
                <w:szCs w:val="18"/>
                <w:rtl/>
                <w:lang w:eastAsia="he-IL"/>
              </w:rPr>
              <w:t>מימוש</w:t>
            </w:r>
            <w:r w:rsidRPr="00A10E01">
              <w:rPr>
                <w:color w:val="000000"/>
                <w:sz w:val="18"/>
                <w:szCs w:val="18"/>
                <w:rtl/>
                <w:lang w:eastAsia="he-IL"/>
              </w:rPr>
              <w:t xml:space="preserve"> </w:t>
            </w:r>
            <w:r w:rsidRPr="00A10E01">
              <w:rPr>
                <w:rFonts w:hint="eastAsia"/>
                <w:color w:val="000000"/>
                <w:sz w:val="18"/>
                <w:szCs w:val="18"/>
                <w:rtl/>
                <w:lang w:eastAsia="he-IL"/>
              </w:rPr>
              <w:t>פעילות</w:t>
            </w:r>
          </w:p>
        </w:tc>
        <w:tc>
          <w:tcPr>
            <w:tcW w:w="684" w:type="dxa"/>
            <w:tcMar>
              <w:left w:w="58" w:type="dxa"/>
              <w:right w:w="58" w:type="dxa"/>
            </w:tcMar>
            <w:vAlign w:val="bottom"/>
          </w:tcPr>
          <w:p w14:paraId="1BF59885"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825" w:type="dxa"/>
            <w:vAlign w:val="bottom"/>
          </w:tcPr>
          <w:p w14:paraId="37E8E362"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8" w:type="dxa"/>
            <w:vAlign w:val="bottom"/>
          </w:tcPr>
          <w:p w14:paraId="7C6801DC"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5" w:type="dxa"/>
            <w:tcMar>
              <w:left w:w="58" w:type="dxa"/>
              <w:right w:w="58" w:type="dxa"/>
            </w:tcMar>
            <w:vAlign w:val="bottom"/>
          </w:tcPr>
          <w:p w14:paraId="3D1C5E44"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825" w:type="dxa"/>
            <w:vAlign w:val="bottom"/>
          </w:tcPr>
          <w:p w14:paraId="04592E99"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8" w:type="dxa"/>
            <w:tcBorders>
              <w:right w:val="nil"/>
            </w:tcBorders>
            <w:vAlign w:val="bottom"/>
          </w:tcPr>
          <w:p w14:paraId="6C5D5987"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8" w:type="dxa"/>
            <w:tcBorders>
              <w:right w:val="nil"/>
            </w:tcBorders>
            <w:vAlign w:val="bottom"/>
          </w:tcPr>
          <w:p w14:paraId="544087DA"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802" w:type="dxa"/>
            <w:tcBorders>
              <w:right w:val="nil"/>
            </w:tcBorders>
            <w:vAlign w:val="bottom"/>
          </w:tcPr>
          <w:p w14:paraId="4AA8A11E"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73" w:type="dxa"/>
            <w:tcBorders>
              <w:right w:val="nil"/>
            </w:tcBorders>
            <w:vAlign w:val="bottom"/>
          </w:tcPr>
          <w:p w14:paraId="4239DD75"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r>
      <w:tr w:rsidR="00D0470C" w:rsidRPr="00A10E01" w14:paraId="51AF3B92" w14:textId="77777777" w:rsidTr="003765C0">
        <w:trPr>
          <w:trHeight w:val="259"/>
          <w:jc w:val="right"/>
        </w:trPr>
        <w:tc>
          <w:tcPr>
            <w:tcW w:w="3963" w:type="dxa"/>
            <w:vAlign w:val="bottom"/>
          </w:tcPr>
          <w:p w14:paraId="0F618203" w14:textId="77777777" w:rsidR="00D0470C" w:rsidRPr="00A10E01" w:rsidRDefault="00D0470C" w:rsidP="00DB3CB2">
            <w:pPr>
              <w:spacing w:before="20" w:line="220" w:lineRule="exact"/>
              <w:jc w:val="left"/>
              <w:rPr>
                <w:b/>
                <w:bCs/>
                <w:color w:val="000000"/>
                <w:sz w:val="18"/>
                <w:szCs w:val="18"/>
                <w:rtl/>
                <w:lang w:eastAsia="he-IL"/>
              </w:rPr>
            </w:pPr>
            <w:r w:rsidRPr="00A10E01">
              <w:rPr>
                <w:b/>
                <w:bCs/>
                <w:color w:val="000000"/>
                <w:sz w:val="18"/>
                <w:szCs w:val="18"/>
                <w:rtl/>
                <w:lang w:eastAsia="he-IL"/>
              </w:rPr>
              <w:t xml:space="preserve">שינוי נטו במהלך </w:t>
            </w:r>
            <w:r>
              <w:rPr>
                <w:rFonts w:hint="cs"/>
                <w:b/>
                <w:bCs/>
                <w:color w:val="000000"/>
                <w:sz w:val="18"/>
                <w:szCs w:val="18"/>
                <w:rtl/>
                <w:lang w:eastAsia="he-IL"/>
              </w:rPr>
              <w:t>התקופה</w:t>
            </w:r>
          </w:p>
        </w:tc>
        <w:tc>
          <w:tcPr>
            <w:tcW w:w="684" w:type="dxa"/>
            <w:tcMar>
              <w:left w:w="58" w:type="dxa"/>
              <w:right w:w="58" w:type="dxa"/>
            </w:tcMar>
            <w:vAlign w:val="bottom"/>
          </w:tcPr>
          <w:p w14:paraId="2AC5552E"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5" w:type="dxa"/>
            <w:vAlign w:val="bottom"/>
          </w:tcPr>
          <w:p w14:paraId="6F618001"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8" w:type="dxa"/>
            <w:vAlign w:val="bottom"/>
          </w:tcPr>
          <w:p w14:paraId="0A788C58"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5" w:type="dxa"/>
            <w:tcMar>
              <w:left w:w="58" w:type="dxa"/>
              <w:right w:w="58" w:type="dxa"/>
            </w:tcMar>
            <w:vAlign w:val="bottom"/>
          </w:tcPr>
          <w:p w14:paraId="4DACC7B0"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5" w:type="dxa"/>
            <w:vAlign w:val="bottom"/>
          </w:tcPr>
          <w:p w14:paraId="78757BDB"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8" w:type="dxa"/>
            <w:tcBorders>
              <w:right w:val="nil"/>
            </w:tcBorders>
            <w:vAlign w:val="bottom"/>
          </w:tcPr>
          <w:p w14:paraId="4E1D875B"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8" w:type="dxa"/>
            <w:tcBorders>
              <w:right w:val="nil"/>
            </w:tcBorders>
            <w:vAlign w:val="bottom"/>
          </w:tcPr>
          <w:p w14:paraId="5DDE7F34"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02" w:type="dxa"/>
            <w:tcBorders>
              <w:right w:val="nil"/>
            </w:tcBorders>
            <w:vAlign w:val="bottom"/>
          </w:tcPr>
          <w:p w14:paraId="3BC2E33B"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73" w:type="dxa"/>
            <w:tcBorders>
              <w:right w:val="nil"/>
            </w:tcBorders>
            <w:vAlign w:val="bottom"/>
          </w:tcPr>
          <w:p w14:paraId="3E941325"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r>
      <w:tr w:rsidR="00D0470C" w:rsidRPr="00A10E01" w14:paraId="6770C8CD" w14:textId="77777777" w:rsidTr="003765C0">
        <w:trPr>
          <w:jc w:val="right"/>
        </w:trPr>
        <w:tc>
          <w:tcPr>
            <w:tcW w:w="3963" w:type="dxa"/>
            <w:tcBorders>
              <w:bottom w:val="nil"/>
            </w:tcBorders>
            <w:vAlign w:val="bottom"/>
          </w:tcPr>
          <w:p w14:paraId="4A8D34AB" w14:textId="77777777" w:rsidR="00F32A2A" w:rsidRDefault="00F32A2A">
            <w:pPr>
              <w:spacing w:line="40" w:lineRule="exact"/>
              <w:ind w:left="114" w:hanging="114"/>
              <w:jc w:val="left"/>
              <w:rPr>
                <w:b/>
                <w:bCs/>
                <w:color w:val="000000"/>
                <w:sz w:val="18"/>
                <w:szCs w:val="18"/>
                <w:rtl/>
                <w:lang w:eastAsia="he-IL"/>
              </w:rPr>
            </w:pPr>
          </w:p>
        </w:tc>
        <w:tc>
          <w:tcPr>
            <w:tcW w:w="684" w:type="dxa"/>
            <w:tcMar>
              <w:left w:w="58" w:type="dxa"/>
              <w:right w:w="58" w:type="dxa"/>
            </w:tcMar>
            <w:vAlign w:val="bottom"/>
          </w:tcPr>
          <w:p w14:paraId="262A5BCA" w14:textId="77777777" w:rsidR="00F32A2A" w:rsidRDefault="00F32A2A">
            <w:pPr>
              <w:spacing w:line="40" w:lineRule="exact"/>
              <w:rPr>
                <w:sz w:val="18"/>
                <w:szCs w:val="18"/>
                <w:rtl/>
              </w:rPr>
            </w:pPr>
          </w:p>
        </w:tc>
        <w:tc>
          <w:tcPr>
            <w:tcW w:w="825" w:type="dxa"/>
            <w:vAlign w:val="bottom"/>
          </w:tcPr>
          <w:p w14:paraId="42101BCA" w14:textId="77777777" w:rsidR="00F32A2A" w:rsidRDefault="00F32A2A">
            <w:pPr>
              <w:spacing w:line="40" w:lineRule="exact"/>
              <w:rPr>
                <w:sz w:val="18"/>
                <w:szCs w:val="18"/>
                <w:rtl/>
              </w:rPr>
            </w:pPr>
          </w:p>
        </w:tc>
        <w:tc>
          <w:tcPr>
            <w:tcW w:w="688" w:type="dxa"/>
            <w:vAlign w:val="bottom"/>
          </w:tcPr>
          <w:p w14:paraId="7F06F231" w14:textId="77777777" w:rsidR="00F32A2A" w:rsidRDefault="00F32A2A">
            <w:pPr>
              <w:spacing w:line="40" w:lineRule="exact"/>
              <w:rPr>
                <w:sz w:val="18"/>
                <w:szCs w:val="18"/>
                <w:rtl/>
              </w:rPr>
            </w:pPr>
          </w:p>
        </w:tc>
        <w:tc>
          <w:tcPr>
            <w:tcW w:w="685" w:type="dxa"/>
            <w:tcMar>
              <w:left w:w="58" w:type="dxa"/>
              <w:right w:w="58" w:type="dxa"/>
            </w:tcMar>
            <w:vAlign w:val="bottom"/>
          </w:tcPr>
          <w:p w14:paraId="48862B86" w14:textId="77777777" w:rsidR="00F32A2A" w:rsidRDefault="00F32A2A">
            <w:pPr>
              <w:spacing w:line="40" w:lineRule="exact"/>
              <w:rPr>
                <w:sz w:val="18"/>
                <w:szCs w:val="18"/>
                <w:rtl/>
              </w:rPr>
            </w:pPr>
          </w:p>
        </w:tc>
        <w:tc>
          <w:tcPr>
            <w:tcW w:w="825" w:type="dxa"/>
            <w:vAlign w:val="bottom"/>
          </w:tcPr>
          <w:p w14:paraId="5E4098E8" w14:textId="77777777" w:rsidR="00F32A2A" w:rsidRDefault="00F32A2A">
            <w:pPr>
              <w:spacing w:line="40" w:lineRule="exact"/>
              <w:rPr>
                <w:sz w:val="18"/>
                <w:szCs w:val="18"/>
                <w:rtl/>
              </w:rPr>
            </w:pPr>
          </w:p>
        </w:tc>
        <w:tc>
          <w:tcPr>
            <w:tcW w:w="688" w:type="dxa"/>
            <w:tcBorders>
              <w:right w:val="nil"/>
            </w:tcBorders>
            <w:vAlign w:val="bottom"/>
          </w:tcPr>
          <w:p w14:paraId="6F36E554" w14:textId="77777777" w:rsidR="00F32A2A" w:rsidRDefault="00F32A2A">
            <w:pPr>
              <w:spacing w:line="40" w:lineRule="exact"/>
              <w:rPr>
                <w:sz w:val="18"/>
                <w:szCs w:val="18"/>
                <w:rtl/>
              </w:rPr>
            </w:pPr>
          </w:p>
        </w:tc>
        <w:tc>
          <w:tcPr>
            <w:tcW w:w="688" w:type="dxa"/>
            <w:tcBorders>
              <w:right w:val="nil"/>
            </w:tcBorders>
            <w:vAlign w:val="bottom"/>
          </w:tcPr>
          <w:p w14:paraId="2808BAAF" w14:textId="77777777" w:rsidR="00F32A2A" w:rsidRDefault="00F32A2A">
            <w:pPr>
              <w:spacing w:line="40" w:lineRule="exact"/>
              <w:rPr>
                <w:sz w:val="18"/>
                <w:szCs w:val="18"/>
                <w:rtl/>
              </w:rPr>
            </w:pPr>
          </w:p>
        </w:tc>
        <w:tc>
          <w:tcPr>
            <w:tcW w:w="802" w:type="dxa"/>
            <w:tcBorders>
              <w:right w:val="nil"/>
            </w:tcBorders>
            <w:vAlign w:val="bottom"/>
          </w:tcPr>
          <w:p w14:paraId="71EE8617" w14:textId="77777777" w:rsidR="00F32A2A" w:rsidRDefault="00F32A2A">
            <w:pPr>
              <w:spacing w:line="40" w:lineRule="exact"/>
              <w:rPr>
                <w:sz w:val="18"/>
                <w:szCs w:val="18"/>
                <w:rtl/>
              </w:rPr>
            </w:pPr>
          </w:p>
        </w:tc>
        <w:tc>
          <w:tcPr>
            <w:tcW w:w="673" w:type="dxa"/>
            <w:tcBorders>
              <w:right w:val="nil"/>
            </w:tcBorders>
            <w:vAlign w:val="bottom"/>
          </w:tcPr>
          <w:p w14:paraId="669B1B3C" w14:textId="77777777" w:rsidR="00F32A2A" w:rsidRDefault="00F32A2A">
            <w:pPr>
              <w:spacing w:line="40" w:lineRule="exact"/>
              <w:rPr>
                <w:sz w:val="18"/>
                <w:szCs w:val="18"/>
                <w:rtl/>
              </w:rPr>
            </w:pPr>
          </w:p>
        </w:tc>
      </w:tr>
      <w:tr w:rsidR="00B24CA9" w:rsidRPr="00A10E01" w14:paraId="17149062" w14:textId="77777777" w:rsidTr="004836CE">
        <w:trPr>
          <w:trHeight w:val="259"/>
          <w:jc w:val="right"/>
        </w:trPr>
        <w:tc>
          <w:tcPr>
            <w:tcW w:w="3963" w:type="dxa"/>
            <w:tcBorders>
              <w:left w:val="nil"/>
              <w:bottom w:val="nil"/>
            </w:tcBorders>
            <w:vAlign w:val="bottom"/>
          </w:tcPr>
          <w:p w14:paraId="6CD451E9" w14:textId="77777777" w:rsidR="00B24CA9" w:rsidRPr="002E430F" w:rsidRDefault="00B24CA9" w:rsidP="00DB3CB2">
            <w:pPr>
              <w:spacing w:before="40" w:after="22" w:line="220" w:lineRule="exact"/>
              <w:ind w:left="113" w:hanging="113"/>
              <w:jc w:val="left"/>
              <w:rPr>
                <w:b/>
                <w:bCs/>
                <w:color w:val="000000"/>
                <w:sz w:val="18"/>
                <w:szCs w:val="18"/>
                <w:rtl/>
                <w:lang w:eastAsia="he-IL"/>
              </w:rPr>
            </w:pPr>
            <w:r w:rsidRPr="009D5F62">
              <w:rPr>
                <w:rFonts w:hint="cs"/>
                <w:b/>
                <w:bCs/>
                <w:sz w:val="18"/>
                <w:szCs w:val="18"/>
                <w:rtl/>
              </w:rPr>
              <w:t>התאמות בגין גידורי שווי הוגן</w:t>
            </w:r>
            <w:r>
              <w:rPr>
                <w:rFonts w:hint="cs"/>
                <w:b/>
                <w:bCs/>
                <w:sz w:val="18"/>
                <w:szCs w:val="18"/>
                <w:rtl/>
              </w:rPr>
              <w:t>:</w:t>
            </w:r>
          </w:p>
        </w:tc>
        <w:tc>
          <w:tcPr>
            <w:tcW w:w="684" w:type="dxa"/>
            <w:tcMar>
              <w:left w:w="58" w:type="dxa"/>
              <w:right w:w="58" w:type="dxa"/>
            </w:tcMar>
            <w:vAlign w:val="bottom"/>
          </w:tcPr>
          <w:p w14:paraId="28575800" w14:textId="77777777" w:rsidR="00B24CA9" w:rsidRPr="00A10E01" w:rsidRDefault="00B24CA9" w:rsidP="006F3019">
            <w:pPr>
              <w:spacing w:line="220" w:lineRule="exact"/>
              <w:rPr>
                <w:sz w:val="18"/>
                <w:szCs w:val="18"/>
                <w:rtl/>
              </w:rPr>
            </w:pPr>
          </w:p>
        </w:tc>
        <w:tc>
          <w:tcPr>
            <w:tcW w:w="825" w:type="dxa"/>
            <w:vAlign w:val="bottom"/>
          </w:tcPr>
          <w:p w14:paraId="39D7B152" w14:textId="77777777" w:rsidR="00B24CA9" w:rsidRPr="00A10E01" w:rsidRDefault="00B24CA9" w:rsidP="006F3019">
            <w:pPr>
              <w:spacing w:line="220" w:lineRule="exact"/>
              <w:rPr>
                <w:sz w:val="18"/>
                <w:szCs w:val="18"/>
                <w:rtl/>
              </w:rPr>
            </w:pPr>
          </w:p>
        </w:tc>
        <w:tc>
          <w:tcPr>
            <w:tcW w:w="688" w:type="dxa"/>
            <w:vAlign w:val="bottom"/>
          </w:tcPr>
          <w:p w14:paraId="22BA6EE8" w14:textId="77777777" w:rsidR="00B24CA9" w:rsidRPr="00A10E01" w:rsidRDefault="00B24CA9" w:rsidP="006F3019">
            <w:pPr>
              <w:spacing w:line="220" w:lineRule="exact"/>
              <w:rPr>
                <w:sz w:val="18"/>
                <w:szCs w:val="18"/>
                <w:rtl/>
              </w:rPr>
            </w:pPr>
          </w:p>
        </w:tc>
        <w:tc>
          <w:tcPr>
            <w:tcW w:w="685" w:type="dxa"/>
            <w:tcMar>
              <w:left w:w="58" w:type="dxa"/>
              <w:right w:w="58" w:type="dxa"/>
            </w:tcMar>
            <w:vAlign w:val="bottom"/>
          </w:tcPr>
          <w:p w14:paraId="653D8522" w14:textId="77777777" w:rsidR="00B24CA9" w:rsidRPr="00A10E01" w:rsidRDefault="00B24CA9" w:rsidP="006F3019">
            <w:pPr>
              <w:spacing w:line="220" w:lineRule="exact"/>
              <w:rPr>
                <w:sz w:val="18"/>
                <w:szCs w:val="18"/>
                <w:rtl/>
              </w:rPr>
            </w:pPr>
          </w:p>
        </w:tc>
        <w:tc>
          <w:tcPr>
            <w:tcW w:w="825" w:type="dxa"/>
            <w:vAlign w:val="bottom"/>
          </w:tcPr>
          <w:p w14:paraId="042954CD" w14:textId="77777777" w:rsidR="00B24CA9" w:rsidRPr="00A10E01" w:rsidRDefault="00B24CA9" w:rsidP="006F3019">
            <w:pPr>
              <w:spacing w:line="220" w:lineRule="exact"/>
              <w:rPr>
                <w:sz w:val="18"/>
                <w:szCs w:val="18"/>
                <w:rtl/>
              </w:rPr>
            </w:pPr>
          </w:p>
        </w:tc>
        <w:tc>
          <w:tcPr>
            <w:tcW w:w="688" w:type="dxa"/>
            <w:tcBorders>
              <w:right w:val="nil"/>
            </w:tcBorders>
            <w:vAlign w:val="bottom"/>
          </w:tcPr>
          <w:p w14:paraId="40A70215" w14:textId="77777777" w:rsidR="00B24CA9" w:rsidRPr="00A10E01" w:rsidRDefault="00B24CA9" w:rsidP="006F3019">
            <w:pPr>
              <w:spacing w:line="220" w:lineRule="exact"/>
              <w:rPr>
                <w:sz w:val="18"/>
                <w:szCs w:val="18"/>
                <w:rtl/>
              </w:rPr>
            </w:pPr>
          </w:p>
        </w:tc>
        <w:tc>
          <w:tcPr>
            <w:tcW w:w="688" w:type="dxa"/>
            <w:tcBorders>
              <w:right w:val="nil"/>
            </w:tcBorders>
            <w:vAlign w:val="bottom"/>
          </w:tcPr>
          <w:p w14:paraId="6207AFA7" w14:textId="77777777" w:rsidR="00B24CA9" w:rsidRPr="00A10E01" w:rsidRDefault="00B24CA9" w:rsidP="006F3019">
            <w:pPr>
              <w:spacing w:line="220" w:lineRule="exact"/>
              <w:rPr>
                <w:sz w:val="18"/>
                <w:szCs w:val="18"/>
                <w:rtl/>
              </w:rPr>
            </w:pPr>
          </w:p>
        </w:tc>
        <w:tc>
          <w:tcPr>
            <w:tcW w:w="802" w:type="dxa"/>
            <w:tcBorders>
              <w:right w:val="nil"/>
            </w:tcBorders>
            <w:vAlign w:val="bottom"/>
          </w:tcPr>
          <w:p w14:paraId="5BEA7335" w14:textId="77777777" w:rsidR="00B24CA9" w:rsidRPr="00A10E01" w:rsidRDefault="00B24CA9" w:rsidP="006F3019">
            <w:pPr>
              <w:spacing w:line="220" w:lineRule="exact"/>
              <w:rPr>
                <w:sz w:val="18"/>
                <w:szCs w:val="18"/>
                <w:rtl/>
              </w:rPr>
            </w:pPr>
          </w:p>
        </w:tc>
        <w:tc>
          <w:tcPr>
            <w:tcW w:w="673" w:type="dxa"/>
            <w:tcBorders>
              <w:bottom w:val="nil"/>
              <w:right w:val="nil"/>
            </w:tcBorders>
            <w:vAlign w:val="bottom"/>
          </w:tcPr>
          <w:p w14:paraId="4C52946A" w14:textId="77777777" w:rsidR="00B24CA9" w:rsidRPr="00A10E01" w:rsidRDefault="00B24CA9" w:rsidP="006F3019">
            <w:pPr>
              <w:spacing w:line="220" w:lineRule="exact"/>
              <w:rPr>
                <w:sz w:val="18"/>
                <w:szCs w:val="18"/>
                <w:rtl/>
              </w:rPr>
            </w:pPr>
          </w:p>
        </w:tc>
      </w:tr>
      <w:tr w:rsidR="003765C0" w:rsidRPr="00A10E01" w14:paraId="680BFC1C" w14:textId="77777777" w:rsidTr="004836CE">
        <w:trPr>
          <w:trHeight w:val="259"/>
          <w:jc w:val="right"/>
        </w:trPr>
        <w:tc>
          <w:tcPr>
            <w:tcW w:w="3963" w:type="dxa"/>
            <w:tcBorders>
              <w:left w:val="nil"/>
            </w:tcBorders>
            <w:vAlign w:val="bottom"/>
          </w:tcPr>
          <w:p w14:paraId="0AF3CC55" w14:textId="77777777" w:rsidR="003765C0" w:rsidRPr="00A10E01" w:rsidRDefault="003765C0" w:rsidP="003765C0">
            <w:pPr>
              <w:spacing w:before="22" w:after="22" w:line="220" w:lineRule="exact"/>
              <w:ind w:left="114" w:hanging="114"/>
              <w:jc w:val="left"/>
              <w:rPr>
                <w:b/>
                <w:bCs/>
                <w:color w:val="000000"/>
                <w:sz w:val="18"/>
                <w:szCs w:val="18"/>
                <w:rtl/>
                <w:lang w:eastAsia="he-IL"/>
              </w:rPr>
            </w:pPr>
            <w:r w:rsidRPr="0019460D">
              <w:rPr>
                <w:rFonts w:hint="cs"/>
                <w:sz w:val="18"/>
                <w:szCs w:val="18"/>
                <w:rtl/>
              </w:rPr>
              <w:t xml:space="preserve">השינוי נטו במרכיב שלא נכלל בהערכת אפקטיביות הגידור </w:t>
            </w:r>
          </w:p>
        </w:tc>
        <w:tc>
          <w:tcPr>
            <w:tcW w:w="684" w:type="dxa"/>
            <w:tcMar>
              <w:left w:w="58" w:type="dxa"/>
              <w:right w:w="58" w:type="dxa"/>
            </w:tcMar>
            <w:vAlign w:val="bottom"/>
          </w:tcPr>
          <w:p w14:paraId="45F28C5B" w14:textId="77777777" w:rsidR="003765C0" w:rsidRPr="00A10E01" w:rsidRDefault="003765C0" w:rsidP="003765C0">
            <w:pPr>
              <w:spacing w:after="20" w:line="220" w:lineRule="exact"/>
              <w:rPr>
                <w:sz w:val="18"/>
                <w:szCs w:val="18"/>
                <w:rtl/>
              </w:rPr>
            </w:pPr>
            <w:r w:rsidRPr="00A10E01">
              <w:rPr>
                <w:sz w:val="18"/>
                <w:szCs w:val="18"/>
                <w:rtl/>
              </w:rPr>
              <w:t xml:space="preserve"> 0</w:t>
            </w:r>
          </w:p>
        </w:tc>
        <w:tc>
          <w:tcPr>
            <w:tcW w:w="825" w:type="dxa"/>
            <w:vAlign w:val="bottom"/>
          </w:tcPr>
          <w:p w14:paraId="04FF50BC" w14:textId="77777777" w:rsidR="003765C0" w:rsidRPr="00A10E01" w:rsidRDefault="003765C0" w:rsidP="003765C0">
            <w:pPr>
              <w:spacing w:after="20" w:line="220" w:lineRule="exact"/>
              <w:rPr>
                <w:sz w:val="18"/>
                <w:szCs w:val="18"/>
                <w:rtl/>
              </w:rPr>
            </w:pPr>
            <w:r w:rsidRPr="00A10E01">
              <w:rPr>
                <w:sz w:val="18"/>
                <w:szCs w:val="18"/>
                <w:rtl/>
              </w:rPr>
              <w:t xml:space="preserve"> 0</w:t>
            </w:r>
          </w:p>
        </w:tc>
        <w:tc>
          <w:tcPr>
            <w:tcW w:w="688" w:type="dxa"/>
            <w:vAlign w:val="bottom"/>
          </w:tcPr>
          <w:p w14:paraId="51C8EF53" w14:textId="77777777" w:rsidR="003765C0" w:rsidRPr="00A10E01" w:rsidRDefault="003765C0" w:rsidP="003765C0">
            <w:pPr>
              <w:spacing w:after="20" w:line="220" w:lineRule="exact"/>
              <w:rPr>
                <w:sz w:val="18"/>
                <w:szCs w:val="18"/>
                <w:rtl/>
              </w:rPr>
            </w:pPr>
            <w:r w:rsidRPr="00A10E01">
              <w:rPr>
                <w:sz w:val="18"/>
                <w:szCs w:val="18"/>
                <w:rtl/>
              </w:rPr>
              <w:t xml:space="preserve"> 0</w:t>
            </w:r>
          </w:p>
        </w:tc>
        <w:tc>
          <w:tcPr>
            <w:tcW w:w="685" w:type="dxa"/>
            <w:tcMar>
              <w:left w:w="58" w:type="dxa"/>
              <w:right w:w="58" w:type="dxa"/>
            </w:tcMar>
            <w:vAlign w:val="bottom"/>
          </w:tcPr>
          <w:p w14:paraId="24921161" w14:textId="08C80482" w:rsidR="003765C0" w:rsidRPr="00A10E01" w:rsidRDefault="003765C0" w:rsidP="003765C0">
            <w:pPr>
              <w:spacing w:after="20" w:line="220" w:lineRule="exact"/>
              <w:rPr>
                <w:sz w:val="18"/>
                <w:szCs w:val="18"/>
                <w:rtl/>
              </w:rPr>
            </w:pPr>
            <w:r w:rsidRPr="00A10E01">
              <w:rPr>
                <w:sz w:val="18"/>
                <w:szCs w:val="18"/>
                <w:rtl/>
              </w:rPr>
              <w:t xml:space="preserve"> 0</w:t>
            </w:r>
          </w:p>
        </w:tc>
        <w:tc>
          <w:tcPr>
            <w:tcW w:w="825" w:type="dxa"/>
            <w:vAlign w:val="bottom"/>
          </w:tcPr>
          <w:p w14:paraId="12B181FE" w14:textId="49C28405" w:rsidR="003765C0" w:rsidRPr="00A10E01" w:rsidRDefault="003765C0" w:rsidP="003765C0">
            <w:pPr>
              <w:spacing w:after="20" w:line="220" w:lineRule="exact"/>
              <w:rPr>
                <w:sz w:val="18"/>
                <w:szCs w:val="18"/>
                <w:rtl/>
              </w:rPr>
            </w:pPr>
            <w:r w:rsidRPr="00A10E01">
              <w:rPr>
                <w:sz w:val="18"/>
                <w:szCs w:val="18"/>
                <w:rtl/>
              </w:rPr>
              <w:t xml:space="preserve"> 0</w:t>
            </w:r>
          </w:p>
        </w:tc>
        <w:tc>
          <w:tcPr>
            <w:tcW w:w="688" w:type="dxa"/>
            <w:vAlign w:val="bottom"/>
          </w:tcPr>
          <w:p w14:paraId="3ED4B940" w14:textId="74B53ACE" w:rsidR="003765C0" w:rsidRPr="00A10E01" w:rsidRDefault="003765C0" w:rsidP="003765C0">
            <w:pPr>
              <w:spacing w:after="20" w:line="220" w:lineRule="exact"/>
              <w:rPr>
                <w:sz w:val="18"/>
                <w:szCs w:val="18"/>
                <w:rtl/>
              </w:rPr>
            </w:pPr>
            <w:r w:rsidRPr="00A10E01">
              <w:rPr>
                <w:sz w:val="18"/>
                <w:szCs w:val="18"/>
                <w:rtl/>
              </w:rPr>
              <w:t xml:space="preserve"> 0</w:t>
            </w:r>
          </w:p>
        </w:tc>
        <w:tc>
          <w:tcPr>
            <w:tcW w:w="688" w:type="dxa"/>
            <w:vAlign w:val="bottom"/>
          </w:tcPr>
          <w:p w14:paraId="01D3AD23" w14:textId="3EE7FD3A" w:rsidR="003765C0" w:rsidRPr="00A10E01" w:rsidRDefault="003765C0" w:rsidP="003765C0">
            <w:pPr>
              <w:spacing w:after="20" w:line="220" w:lineRule="exact"/>
              <w:rPr>
                <w:sz w:val="18"/>
                <w:szCs w:val="18"/>
                <w:rtl/>
              </w:rPr>
            </w:pPr>
            <w:r w:rsidRPr="00A10E01">
              <w:rPr>
                <w:sz w:val="18"/>
                <w:szCs w:val="18"/>
                <w:rtl/>
              </w:rPr>
              <w:t xml:space="preserve"> 0</w:t>
            </w:r>
          </w:p>
        </w:tc>
        <w:tc>
          <w:tcPr>
            <w:tcW w:w="802" w:type="dxa"/>
            <w:vAlign w:val="bottom"/>
          </w:tcPr>
          <w:p w14:paraId="30A5C5DF" w14:textId="124DB93B" w:rsidR="003765C0" w:rsidRPr="00A10E01" w:rsidRDefault="003765C0" w:rsidP="003765C0">
            <w:pPr>
              <w:spacing w:after="20" w:line="220" w:lineRule="exact"/>
              <w:rPr>
                <w:sz w:val="18"/>
                <w:szCs w:val="18"/>
                <w:rtl/>
              </w:rPr>
            </w:pPr>
            <w:r w:rsidRPr="00A10E01">
              <w:rPr>
                <w:sz w:val="18"/>
                <w:szCs w:val="18"/>
                <w:rtl/>
              </w:rPr>
              <w:t xml:space="preserve"> 0</w:t>
            </w:r>
          </w:p>
        </w:tc>
        <w:tc>
          <w:tcPr>
            <w:tcW w:w="673" w:type="dxa"/>
            <w:tcBorders>
              <w:right w:val="nil"/>
            </w:tcBorders>
            <w:vAlign w:val="bottom"/>
          </w:tcPr>
          <w:p w14:paraId="62A4D1A8" w14:textId="6F9AF6F7" w:rsidR="003765C0" w:rsidRPr="00A10E01" w:rsidRDefault="003765C0" w:rsidP="003765C0">
            <w:pPr>
              <w:spacing w:after="20" w:line="220" w:lineRule="exact"/>
              <w:rPr>
                <w:sz w:val="18"/>
                <w:szCs w:val="18"/>
                <w:rtl/>
              </w:rPr>
            </w:pPr>
            <w:r w:rsidRPr="00A10E01">
              <w:rPr>
                <w:sz w:val="18"/>
                <w:szCs w:val="18"/>
                <w:rtl/>
              </w:rPr>
              <w:t xml:space="preserve"> 0</w:t>
            </w:r>
          </w:p>
        </w:tc>
      </w:tr>
      <w:tr w:rsidR="00D0470C" w:rsidRPr="00A10E01" w14:paraId="6280CBC7" w14:textId="77777777" w:rsidTr="003765C0">
        <w:trPr>
          <w:trHeight w:val="259"/>
          <w:jc w:val="right"/>
        </w:trPr>
        <w:tc>
          <w:tcPr>
            <w:tcW w:w="3963" w:type="dxa"/>
            <w:vAlign w:val="bottom"/>
          </w:tcPr>
          <w:p w14:paraId="2ED3B576" w14:textId="77777777" w:rsidR="00D0470C" w:rsidRPr="00A10E01" w:rsidRDefault="00D0470C" w:rsidP="006F3019">
            <w:pPr>
              <w:spacing w:before="22" w:after="22" w:line="220" w:lineRule="exact"/>
              <w:ind w:left="114" w:hanging="114"/>
              <w:jc w:val="left"/>
              <w:rPr>
                <w:b/>
                <w:bCs/>
                <w:color w:val="000000"/>
                <w:sz w:val="18"/>
                <w:szCs w:val="18"/>
                <w:rtl/>
                <w:lang w:eastAsia="he-IL"/>
              </w:rPr>
            </w:pPr>
            <w:r w:rsidRPr="00A10E01">
              <w:rPr>
                <w:rFonts w:hint="eastAsia"/>
                <w:b/>
                <w:bCs/>
                <w:color w:val="000000"/>
                <w:sz w:val="18"/>
                <w:szCs w:val="18"/>
                <w:rtl/>
                <w:lang w:eastAsia="he-IL"/>
              </w:rPr>
              <w:t>גידור</w:t>
            </w:r>
            <w:r w:rsidRPr="00A10E01">
              <w:rPr>
                <w:b/>
                <w:bCs/>
                <w:color w:val="000000"/>
                <w:sz w:val="18"/>
                <w:szCs w:val="18"/>
                <w:rtl/>
                <w:lang w:eastAsia="he-IL"/>
              </w:rPr>
              <w:t xml:space="preserve"> </w:t>
            </w:r>
            <w:r w:rsidRPr="00A10E01">
              <w:rPr>
                <w:rFonts w:hint="eastAsia"/>
                <w:b/>
                <w:bCs/>
                <w:color w:val="000000"/>
                <w:sz w:val="18"/>
                <w:szCs w:val="18"/>
                <w:rtl/>
                <w:lang w:eastAsia="he-IL"/>
              </w:rPr>
              <w:t>תזרימי</w:t>
            </w:r>
            <w:r w:rsidRPr="00A10E01">
              <w:rPr>
                <w:b/>
                <w:bCs/>
                <w:color w:val="000000"/>
                <w:sz w:val="18"/>
                <w:szCs w:val="18"/>
                <w:rtl/>
                <w:lang w:eastAsia="he-IL"/>
              </w:rPr>
              <w:t xml:space="preserve"> </w:t>
            </w:r>
            <w:r w:rsidRPr="00A10E01">
              <w:rPr>
                <w:rFonts w:hint="eastAsia"/>
                <w:b/>
                <w:bCs/>
                <w:color w:val="000000"/>
                <w:sz w:val="18"/>
                <w:szCs w:val="18"/>
                <w:rtl/>
                <w:lang w:eastAsia="he-IL"/>
              </w:rPr>
              <w:t>מזומנים</w:t>
            </w:r>
            <w:r w:rsidRPr="00A10E01">
              <w:rPr>
                <w:b/>
                <w:bCs/>
                <w:color w:val="000000"/>
                <w:sz w:val="18"/>
                <w:szCs w:val="18"/>
                <w:rtl/>
                <w:lang w:eastAsia="he-IL"/>
              </w:rPr>
              <w:t>:</w:t>
            </w:r>
          </w:p>
        </w:tc>
        <w:tc>
          <w:tcPr>
            <w:tcW w:w="684" w:type="dxa"/>
            <w:tcMar>
              <w:left w:w="58" w:type="dxa"/>
              <w:right w:w="58" w:type="dxa"/>
            </w:tcMar>
            <w:vAlign w:val="bottom"/>
          </w:tcPr>
          <w:p w14:paraId="0AE529F1" w14:textId="77777777" w:rsidR="00D0470C" w:rsidRPr="00A10E01" w:rsidRDefault="00D0470C" w:rsidP="006F3019">
            <w:pPr>
              <w:spacing w:line="220" w:lineRule="exact"/>
              <w:rPr>
                <w:sz w:val="18"/>
                <w:szCs w:val="18"/>
                <w:rtl/>
              </w:rPr>
            </w:pPr>
          </w:p>
        </w:tc>
        <w:tc>
          <w:tcPr>
            <w:tcW w:w="825" w:type="dxa"/>
            <w:vAlign w:val="bottom"/>
          </w:tcPr>
          <w:p w14:paraId="1486AD43" w14:textId="77777777" w:rsidR="00D0470C" w:rsidRPr="00A10E01" w:rsidRDefault="00D0470C" w:rsidP="006F3019">
            <w:pPr>
              <w:spacing w:line="220" w:lineRule="exact"/>
              <w:rPr>
                <w:sz w:val="18"/>
                <w:szCs w:val="18"/>
                <w:rtl/>
              </w:rPr>
            </w:pPr>
          </w:p>
        </w:tc>
        <w:tc>
          <w:tcPr>
            <w:tcW w:w="688" w:type="dxa"/>
            <w:vAlign w:val="bottom"/>
          </w:tcPr>
          <w:p w14:paraId="0DB1AB59" w14:textId="77777777" w:rsidR="00D0470C" w:rsidRPr="00A10E01" w:rsidRDefault="00D0470C" w:rsidP="006F3019">
            <w:pPr>
              <w:spacing w:line="220" w:lineRule="exact"/>
              <w:rPr>
                <w:sz w:val="18"/>
                <w:szCs w:val="18"/>
                <w:rtl/>
              </w:rPr>
            </w:pPr>
          </w:p>
        </w:tc>
        <w:tc>
          <w:tcPr>
            <w:tcW w:w="685" w:type="dxa"/>
            <w:tcMar>
              <w:left w:w="58" w:type="dxa"/>
              <w:right w:w="58" w:type="dxa"/>
            </w:tcMar>
            <w:vAlign w:val="bottom"/>
          </w:tcPr>
          <w:p w14:paraId="74073E29" w14:textId="77777777" w:rsidR="00D0470C" w:rsidRPr="00A10E01" w:rsidRDefault="00D0470C" w:rsidP="006F3019">
            <w:pPr>
              <w:spacing w:line="220" w:lineRule="exact"/>
              <w:rPr>
                <w:sz w:val="18"/>
                <w:szCs w:val="18"/>
                <w:rtl/>
              </w:rPr>
            </w:pPr>
          </w:p>
        </w:tc>
        <w:tc>
          <w:tcPr>
            <w:tcW w:w="825" w:type="dxa"/>
            <w:vAlign w:val="bottom"/>
          </w:tcPr>
          <w:p w14:paraId="54E89A03" w14:textId="77777777" w:rsidR="00D0470C" w:rsidRPr="00A10E01" w:rsidRDefault="00D0470C" w:rsidP="006F3019">
            <w:pPr>
              <w:spacing w:line="220" w:lineRule="exact"/>
              <w:rPr>
                <w:sz w:val="18"/>
                <w:szCs w:val="18"/>
                <w:rtl/>
              </w:rPr>
            </w:pPr>
          </w:p>
        </w:tc>
        <w:tc>
          <w:tcPr>
            <w:tcW w:w="688" w:type="dxa"/>
            <w:tcBorders>
              <w:right w:val="nil"/>
            </w:tcBorders>
            <w:vAlign w:val="bottom"/>
          </w:tcPr>
          <w:p w14:paraId="7A694D50" w14:textId="77777777" w:rsidR="00D0470C" w:rsidRPr="00A10E01" w:rsidRDefault="00D0470C" w:rsidP="006F3019">
            <w:pPr>
              <w:spacing w:line="220" w:lineRule="exact"/>
              <w:rPr>
                <w:sz w:val="18"/>
                <w:szCs w:val="18"/>
                <w:rtl/>
              </w:rPr>
            </w:pPr>
          </w:p>
        </w:tc>
        <w:tc>
          <w:tcPr>
            <w:tcW w:w="688" w:type="dxa"/>
            <w:tcBorders>
              <w:right w:val="nil"/>
            </w:tcBorders>
            <w:vAlign w:val="bottom"/>
          </w:tcPr>
          <w:p w14:paraId="34C7E94E" w14:textId="77777777" w:rsidR="00D0470C" w:rsidRPr="00A10E01" w:rsidRDefault="00D0470C" w:rsidP="006F3019">
            <w:pPr>
              <w:spacing w:line="220" w:lineRule="exact"/>
              <w:rPr>
                <w:sz w:val="18"/>
                <w:szCs w:val="18"/>
                <w:rtl/>
              </w:rPr>
            </w:pPr>
          </w:p>
        </w:tc>
        <w:tc>
          <w:tcPr>
            <w:tcW w:w="802" w:type="dxa"/>
            <w:tcBorders>
              <w:right w:val="nil"/>
            </w:tcBorders>
            <w:vAlign w:val="bottom"/>
          </w:tcPr>
          <w:p w14:paraId="744E16E5" w14:textId="77777777" w:rsidR="00D0470C" w:rsidRPr="00A10E01" w:rsidRDefault="00D0470C" w:rsidP="006F3019">
            <w:pPr>
              <w:spacing w:line="220" w:lineRule="exact"/>
              <w:rPr>
                <w:sz w:val="18"/>
                <w:szCs w:val="18"/>
                <w:rtl/>
              </w:rPr>
            </w:pPr>
          </w:p>
        </w:tc>
        <w:tc>
          <w:tcPr>
            <w:tcW w:w="673" w:type="dxa"/>
            <w:tcBorders>
              <w:right w:val="nil"/>
            </w:tcBorders>
            <w:vAlign w:val="bottom"/>
          </w:tcPr>
          <w:p w14:paraId="72D14CEB" w14:textId="77777777" w:rsidR="00D0470C" w:rsidRPr="00A10E01" w:rsidRDefault="00D0470C" w:rsidP="006F3019">
            <w:pPr>
              <w:spacing w:line="220" w:lineRule="exact"/>
              <w:rPr>
                <w:sz w:val="18"/>
                <w:szCs w:val="18"/>
                <w:rtl/>
              </w:rPr>
            </w:pPr>
          </w:p>
        </w:tc>
      </w:tr>
      <w:tr w:rsidR="00D0470C" w:rsidRPr="00A10E01" w14:paraId="6467A75E" w14:textId="77777777" w:rsidTr="003765C0">
        <w:trPr>
          <w:trHeight w:val="259"/>
          <w:jc w:val="right"/>
        </w:trPr>
        <w:tc>
          <w:tcPr>
            <w:tcW w:w="3963" w:type="dxa"/>
            <w:vAlign w:val="bottom"/>
          </w:tcPr>
          <w:p w14:paraId="02168D9A" w14:textId="77777777" w:rsidR="00D0470C" w:rsidRPr="00A10E01" w:rsidRDefault="00D0470C" w:rsidP="00DB3CB2">
            <w:pPr>
              <w:spacing w:before="20" w:line="220" w:lineRule="exact"/>
              <w:jc w:val="left"/>
              <w:rPr>
                <w:color w:val="000000"/>
                <w:sz w:val="18"/>
                <w:szCs w:val="18"/>
                <w:rtl/>
                <w:lang w:eastAsia="he-IL"/>
              </w:rPr>
            </w:pPr>
            <w:r w:rsidRPr="00A10E01">
              <w:rPr>
                <w:color w:val="000000"/>
                <w:sz w:val="18"/>
                <w:szCs w:val="18"/>
                <w:rtl/>
                <w:lang w:eastAsia="he-IL"/>
              </w:rPr>
              <w:t>רווחים (הפסדים) נטו בגין גידורי</w:t>
            </w:r>
            <w:r w:rsidRPr="00A10E01">
              <w:rPr>
                <w:rFonts w:hint="cs"/>
                <w:color w:val="000000"/>
                <w:sz w:val="18"/>
                <w:szCs w:val="18"/>
                <w:rtl/>
                <w:lang w:eastAsia="he-IL"/>
              </w:rPr>
              <w:t xml:space="preserve"> </w:t>
            </w:r>
            <w:r w:rsidRPr="00A10E01">
              <w:rPr>
                <w:color w:val="000000"/>
                <w:sz w:val="18"/>
                <w:szCs w:val="18"/>
                <w:rtl/>
                <w:lang w:eastAsia="he-IL"/>
              </w:rPr>
              <w:t>תזרים מזומנים</w:t>
            </w:r>
          </w:p>
        </w:tc>
        <w:tc>
          <w:tcPr>
            <w:tcW w:w="684" w:type="dxa"/>
            <w:tcMar>
              <w:left w:w="58" w:type="dxa"/>
              <w:right w:w="58" w:type="dxa"/>
            </w:tcMar>
            <w:vAlign w:val="bottom"/>
          </w:tcPr>
          <w:p w14:paraId="36430D89" w14:textId="77777777" w:rsidR="00D0470C" w:rsidRPr="00A10E01" w:rsidRDefault="00D0470C" w:rsidP="006F3019">
            <w:pPr>
              <w:spacing w:after="20" w:line="220" w:lineRule="exact"/>
              <w:rPr>
                <w:sz w:val="18"/>
                <w:szCs w:val="18"/>
                <w:rtl/>
              </w:rPr>
            </w:pPr>
            <w:r w:rsidRPr="00A10E01">
              <w:rPr>
                <w:sz w:val="18"/>
                <w:szCs w:val="18"/>
                <w:rtl/>
              </w:rPr>
              <w:t xml:space="preserve"> 0</w:t>
            </w:r>
          </w:p>
        </w:tc>
        <w:tc>
          <w:tcPr>
            <w:tcW w:w="825" w:type="dxa"/>
            <w:vAlign w:val="bottom"/>
          </w:tcPr>
          <w:p w14:paraId="456B0A47" w14:textId="77777777" w:rsidR="00D0470C" w:rsidRPr="00A10E01" w:rsidRDefault="00D0470C" w:rsidP="006F3019">
            <w:pPr>
              <w:spacing w:after="20" w:line="220" w:lineRule="exact"/>
              <w:rPr>
                <w:sz w:val="18"/>
                <w:szCs w:val="18"/>
                <w:rtl/>
              </w:rPr>
            </w:pPr>
            <w:r w:rsidRPr="00A10E01">
              <w:rPr>
                <w:sz w:val="18"/>
                <w:szCs w:val="18"/>
                <w:rtl/>
              </w:rPr>
              <w:t xml:space="preserve"> 0</w:t>
            </w:r>
          </w:p>
        </w:tc>
        <w:tc>
          <w:tcPr>
            <w:tcW w:w="688" w:type="dxa"/>
            <w:vAlign w:val="bottom"/>
          </w:tcPr>
          <w:p w14:paraId="3676178A" w14:textId="77777777" w:rsidR="00D0470C" w:rsidRPr="00A10E01" w:rsidRDefault="00D0470C" w:rsidP="006F3019">
            <w:pPr>
              <w:spacing w:after="20" w:line="220" w:lineRule="exact"/>
              <w:rPr>
                <w:sz w:val="18"/>
                <w:szCs w:val="18"/>
                <w:rtl/>
              </w:rPr>
            </w:pPr>
            <w:r w:rsidRPr="00A10E01">
              <w:rPr>
                <w:sz w:val="18"/>
                <w:szCs w:val="18"/>
                <w:rtl/>
              </w:rPr>
              <w:t xml:space="preserve"> 0</w:t>
            </w:r>
          </w:p>
        </w:tc>
        <w:tc>
          <w:tcPr>
            <w:tcW w:w="685" w:type="dxa"/>
            <w:tcMar>
              <w:left w:w="58" w:type="dxa"/>
              <w:right w:w="58" w:type="dxa"/>
            </w:tcMar>
            <w:vAlign w:val="bottom"/>
          </w:tcPr>
          <w:p w14:paraId="6B71E97D" w14:textId="77777777" w:rsidR="00D0470C" w:rsidRPr="00A10E01" w:rsidRDefault="00D0470C" w:rsidP="006F3019">
            <w:pPr>
              <w:spacing w:after="20" w:line="220" w:lineRule="exact"/>
              <w:rPr>
                <w:sz w:val="18"/>
                <w:szCs w:val="18"/>
                <w:rtl/>
              </w:rPr>
            </w:pPr>
            <w:r w:rsidRPr="00A10E01">
              <w:rPr>
                <w:sz w:val="18"/>
                <w:szCs w:val="18"/>
                <w:rtl/>
              </w:rPr>
              <w:t xml:space="preserve"> 0</w:t>
            </w:r>
          </w:p>
        </w:tc>
        <w:tc>
          <w:tcPr>
            <w:tcW w:w="825" w:type="dxa"/>
            <w:vAlign w:val="bottom"/>
          </w:tcPr>
          <w:p w14:paraId="0C1750E2" w14:textId="77777777" w:rsidR="00D0470C" w:rsidRPr="00A10E01" w:rsidRDefault="00D0470C" w:rsidP="006F3019">
            <w:pPr>
              <w:spacing w:after="20" w:line="220" w:lineRule="exact"/>
              <w:rPr>
                <w:sz w:val="18"/>
                <w:szCs w:val="18"/>
                <w:rtl/>
              </w:rPr>
            </w:pPr>
            <w:r w:rsidRPr="00A10E01">
              <w:rPr>
                <w:sz w:val="18"/>
                <w:szCs w:val="18"/>
                <w:rtl/>
              </w:rPr>
              <w:t xml:space="preserve"> 0</w:t>
            </w:r>
          </w:p>
        </w:tc>
        <w:tc>
          <w:tcPr>
            <w:tcW w:w="688" w:type="dxa"/>
            <w:tcBorders>
              <w:right w:val="nil"/>
            </w:tcBorders>
            <w:vAlign w:val="bottom"/>
          </w:tcPr>
          <w:p w14:paraId="758693F0" w14:textId="77777777" w:rsidR="00D0470C" w:rsidRPr="00A10E01" w:rsidRDefault="00D0470C" w:rsidP="006F3019">
            <w:pPr>
              <w:spacing w:after="20" w:line="220" w:lineRule="exact"/>
              <w:rPr>
                <w:sz w:val="18"/>
                <w:szCs w:val="18"/>
                <w:rtl/>
              </w:rPr>
            </w:pPr>
            <w:r w:rsidRPr="00A10E01">
              <w:rPr>
                <w:sz w:val="18"/>
                <w:szCs w:val="18"/>
                <w:rtl/>
              </w:rPr>
              <w:t xml:space="preserve"> 0</w:t>
            </w:r>
          </w:p>
        </w:tc>
        <w:tc>
          <w:tcPr>
            <w:tcW w:w="688" w:type="dxa"/>
            <w:tcBorders>
              <w:right w:val="nil"/>
            </w:tcBorders>
            <w:vAlign w:val="bottom"/>
          </w:tcPr>
          <w:p w14:paraId="46E653FA" w14:textId="77777777" w:rsidR="00D0470C" w:rsidRPr="00A10E01" w:rsidRDefault="00D0470C" w:rsidP="006F3019">
            <w:pPr>
              <w:spacing w:after="20" w:line="220" w:lineRule="exact"/>
              <w:rPr>
                <w:sz w:val="18"/>
                <w:szCs w:val="18"/>
                <w:rtl/>
              </w:rPr>
            </w:pPr>
            <w:r w:rsidRPr="00A10E01">
              <w:rPr>
                <w:sz w:val="18"/>
                <w:szCs w:val="18"/>
                <w:rtl/>
              </w:rPr>
              <w:t xml:space="preserve"> 0</w:t>
            </w:r>
          </w:p>
        </w:tc>
        <w:tc>
          <w:tcPr>
            <w:tcW w:w="802" w:type="dxa"/>
            <w:tcBorders>
              <w:right w:val="nil"/>
            </w:tcBorders>
            <w:vAlign w:val="bottom"/>
          </w:tcPr>
          <w:p w14:paraId="0D3065FB" w14:textId="77777777" w:rsidR="00D0470C" w:rsidRPr="00A10E01" w:rsidRDefault="00D0470C" w:rsidP="006F3019">
            <w:pPr>
              <w:spacing w:after="20" w:line="220" w:lineRule="exact"/>
              <w:rPr>
                <w:sz w:val="18"/>
                <w:szCs w:val="18"/>
                <w:rtl/>
              </w:rPr>
            </w:pPr>
            <w:r w:rsidRPr="00A10E01">
              <w:rPr>
                <w:sz w:val="18"/>
                <w:szCs w:val="18"/>
                <w:rtl/>
              </w:rPr>
              <w:t xml:space="preserve"> 0</w:t>
            </w:r>
          </w:p>
        </w:tc>
        <w:tc>
          <w:tcPr>
            <w:tcW w:w="673" w:type="dxa"/>
            <w:tcBorders>
              <w:right w:val="nil"/>
            </w:tcBorders>
            <w:vAlign w:val="bottom"/>
          </w:tcPr>
          <w:p w14:paraId="14C4FE97" w14:textId="77777777" w:rsidR="00D0470C" w:rsidRPr="00A10E01" w:rsidRDefault="00D0470C" w:rsidP="006F3019">
            <w:pPr>
              <w:spacing w:after="20" w:line="220" w:lineRule="exact"/>
              <w:rPr>
                <w:sz w:val="18"/>
                <w:szCs w:val="18"/>
                <w:rtl/>
              </w:rPr>
            </w:pPr>
            <w:r w:rsidRPr="00A10E01">
              <w:rPr>
                <w:sz w:val="18"/>
                <w:szCs w:val="18"/>
                <w:rtl/>
              </w:rPr>
              <w:t xml:space="preserve"> 0</w:t>
            </w:r>
          </w:p>
        </w:tc>
      </w:tr>
      <w:tr w:rsidR="00D0470C" w:rsidRPr="00A10E01" w14:paraId="1D52CBA4" w14:textId="77777777" w:rsidTr="003765C0">
        <w:trPr>
          <w:trHeight w:val="259"/>
          <w:jc w:val="right"/>
        </w:trPr>
        <w:tc>
          <w:tcPr>
            <w:tcW w:w="3963" w:type="dxa"/>
            <w:vAlign w:val="bottom"/>
          </w:tcPr>
          <w:p w14:paraId="778CAA0C" w14:textId="269667F7" w:rsidR="00D0470C" w:rsidRPr="00A10E01" w:rsidRDefault="00D0470C" w:rsidP="00DB3CB2">
            <w:pPr>
              <w:spacing w:before="20" w:line="220" w:lineRule="exact"/>
              <w:jc w:val="left"/>
              <w:rPr>
                <w:color w:val="000000"/>
                <w:sz w:val="18"/>
                <w:szCs w:val="18"/>
                <w:rtl/>
                <w:lang w:eastAsia="he-IL"/>
              </w:rPr>
            </w:pPr>
            <w:r w:rsidRPr="00A10E01">
              <w:rPr>
                <w:color w:val="000000"/>
                <w:sz w:val="18"/>
                <w:szCs w:val="18"/>
                <w:rtl/>
                <w:lang w:eastAsia="he-IL"/>
              </w:rPr>
              <w:t>(רווחים) הפסדים נטו בגין גידורי תזרים מזומנים שסווגו מחדש לדוח רווח והפסד</w:t>
            </w:r>
            <w:r w:rsidRPr="00A10E01">
              <w:rPr>
                <w:color w:val="000000"/>
                <w:sz w:val="18"/>
                <w:szCs w:val="18"/>
                <w:vertAlign w:val="superscript"/>
                <w:rtl/>
                <w:lang w:eastAsia="he-IL"/>
              </w:rPr>
              <w:t>(</w:t>
            </w:r>
            <w:r w:rsidR="009B7FCD">
              <w:rPr>
                <w:rFonts w:hint="cs"/>
                <w:color w:val="000000"/>
                <w:sz w:val="18"/>
                <w:szCs w:val="18"/>
                <w:vertAlign w:val="superscript"/>
                <w:rtl/>
                <w:lang w:eastAsia="he-IL"/>
              </w:rPr>
              <w:t>ה</w:t>
            </w:r>
            <w:r w:rsidRPr="00A10E01">
              <w:rPr>
                <w:color w:val="000000"/>
                <w:sz w:val="18"/>
                <w:szCs w:val="18"/>
                <w:vertAlign w:val="superscript"/>
                <w:rtl/>
                <w:lang w:eastAsia="he-IL"/>
              </w:rPr>
              <w:t>)</w:t>
            </w:r>
          </w:p>
        </w:tc>
        <w:tc>
          <w:tcPr>
            <w:tcW w:w="684" w:type="dxa"/>
            <w:tcMar>
              <w:left w:w="58" w:type="dxa"/>
              <w:right w:w="58" w:type="dxa"/>
            </w:tcMar>
            <w:vAlign w:val="bottom"/>
          </w:tcPr>
          <w:p w14:paraId="6A647396"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825" w:type="dxa"/>
            <w:vAlign w:val="bottom"/>
          </w:tcPr>
          <w:p w14:paraId="2AB32A9E"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8" w:type="dxa"/>
            <w:vAlign w:val="bottom"/>
          </w:tcPr>
          <w:p w14:paraId="3676C32B"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5" w:type="dxa"/>
            <w:tcMar>
              <w:left w:w="58" w:type="dxa"/>
              <w:right w:w="58" w:type="dxa"/>
            </w:tcMar>
            <w:vAlign w:val="bottom"/>
          </w:tcPr>
          <w:p w14:paraId="052A2550"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825" w:type="dxa"/>
            <w:vAlign w:val="bottom"/>
          </w:tcPr>
          <w:p w14:paraId="3CE615A0"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8" w:type="dxa"/>
            <w:tcBorders>
              <w:right w:val="nil"/>
            </w:tcBorders>
            <w:vAlign w:val="bottom"/>
          </w:tcPr>
          <w:p w14:paraId="61D8715E"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8" w:type="dxa"/>
            <w:tcBorders>
              <w:right w:val="nil"/>
            </w:tcBorders>
            <w:vAlign w:val="bottom"/>
          </w:tcPr>
          <w:p w14:paraId="4781FF9C"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802" w:type="dxa"/>
            <w:tcBorders>
              <w:right w:val="nil"/>
            </w:tcBorders>
            <w:vAlign w:val="bottom"/>
          </w:tcPr>
          <w:p w14:paraId="6137E30E"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73" w:type="dxa"/>
            <w:tcBorders>
              <w:right w:val="nil"/>
            </w:tcBorders>
            <w:vAlign w:val="bottom"/>
          </w:tcPr>
          <w:p w14:paraId="380E72B1"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r>
      <w:tr w:rsidR="00D0470C" w:rsidRPr="00A10E01" w14:paraId="6380747B" w14:textId="77777777" w:rsidTr="003765C0">
        <w:trPr>
          <w:trHeight w:val="259"/>
          <w:jc w:val="right"/>
        </w:trPr>
        <w:tc>
          <w:tcPr>
            <w:tcW w:w="3963" w:type="dxa"/>
            <w:vAlign w:val="bottom"/>
          </w:tcPr>
          <w:p w14:paraId="0C5B162B" w14:textId="77777777" w:rsidR="00D0470C" w:rsidRPr="00A10E01" w:rsidRDefault="00D0470C" w:rsidP="00DB3CB2">
            <w:pPr>
              <w:spacing w:before="20" w:line="220" w:lineRule="exact"/>
              <w:jc w:val="left"/>
              <w:rPr>
                <w:b/>
                <w:bCs/>
                <w:color w:val="000000"/>
                <w:sz w:val="18"/>
                <w:szCs w:val="18"/>
                <w:rtl/>
                <w:lang w:eastAsia="he-IL"/>
              </w:rPr>
            </w:pPr>
            <w:r w:rsidRPr="00A10E01">
              <w:rPr>
                <w:b/>
                <w:bCs/>
                <w:color w:val="000000"/>
                <w:sz w:val="18"/>
                <w:szCs w:val="18"/>
                <w:rtl/>
                <w:lang w:eastAsia="he-IL"/>
              </w:rPr>
              <w:t xml:space="preserve">שינוי נטו במהלך </w:t>
            </w:r>
            <w:r>
              <w:rPr>
                <w:rFonts w:hint="cs"/>
                <w:b/>
                <w:bCs/>
                <w:color w:val="000000"/>
                <w:sz w:val="18"/>
                <w:szCs w:val="18"/>
                <w:rtl/>
                <w:lang w:eastAsia="he-IL"/>
              </w:rPr>
              <w:t>התקופה</w:t>
            </w:r>
          </w:p>
        </w:tc>
        <w:tc>
          <w:tcPr>
            <w:tcW w:w="684" w:type="dxa"/>
            <w:tcMar>
              <w:left w:w="58" w:type="dxa"/>
              <w:right w:w="58" w:type="dxa"/>
            </w:tcMar>
            <w:vAlign w:val="bottom"/>
          </w:tcPr>
          <w:p w14:paraId="1D6E1CF5"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5" w:type="dxa"/>
            <w:vAlign w:val="bottom"/>
          </w:tcPr>
          <w:p w14:paraId="2459925C"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8" w:type="dxa"/>
            <w:vAlign w:val="bottom"/>
          </w:tcPr>
          <w:p w14:paraId="1B50A579"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5" w:type="dxa"/>
            <w:tcMar>
              <w:left w:w="58" w:type="dxa"/>
              <w:right w:w="58" w:type="dxa"/>
            </w:tcMar>
            <w:vAlign w:val="bottom"/>
          </w:tcPr>
          <w:p w14:paraId="7FE8C275"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5" w:type="dxa"/>
            <w:vAlign w:val="bottom"/>
          </w:tcPr>
          <w:p w14:paraId="1F7908DA"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8" w:type="dxa"/>
            <w:tcBorders>
              <w:right w:val="nil"/>
            </w:tcBorders>
            <w:vAlign w:val="bottom"/>
          </w:tcPr>
          <w:p w14:paraId="015560E6"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8" w:type="dxa"/>
            <w:tcBorders>
              <w:right w:val="nil"/>
            </w:tcBorders>
            <w:vAlign w:val="bottom"/>
          </w:tcPr>
          <w:p w14:paraId="437318E4"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02" w:type="dxa"/>
            <w:tcBorders>
              <w:right w:val="nil"/>
            </w:tcBorders>
            <w:vAlign w:val="bottom"/>
          </w:tcPr>
          <w:p w14:paraId="318ECBA8"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73" w:type="dxa"/>
            <w:tcBorders>
              <w:right w:val="nil"/>
            </w:tcBorders>
            <w:vAlign w:val="bottom"/>
          </w:tcPr>
          <w:p w14:paraId="4E27AF64"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r>
      <w:tr w:rsidR="00D0470C" w:rsidRPr="00A10E01" w14:paraId="6ADF1E57" w14:textId="77777777" w:rsidTr="003765C0">
        <w:trPr>
          <w:jc w:val="right"/>
        </w:trPr>
        <w:tc>
          <w:tcPr>
            <w:tcW w:w="3963" w:type="dxa"/>
            <w:vAlign w:val="bottom"/>
          </w:tcPr>
          <w:p w14:paraId="520174C4" w14:textId="77777777" w:rsidR="00F32A2A" w:rsidRDefault="00F32A2A">
            <w:pPr>
              <w:spacing w:line="40" w:lineRule="exact"/>
              <w:ind w:left="114" w:hanging="114"/>
              <w:jc w:val="left"/>
              <w:rPr>
                <w:b/>
                <w:bCs/>
                <w:color w:val="000000"/>
                <w:sz w:val="18"/>
                <w:szCs w:val="18"/>
                <w:rtl/>
                <w:lang w:eastAsia="he-IL"/>
              </w:rPr>
            </w:pPr>
          </w:p>
        </w:tc>
        <w:tc>
          <w:tcPr>
            <w:tcW w:w="684" w:type="dxa"/>
            <w:tcMar>
              <w:left w:w="58" w:type="dxa"/>
              <w:right w:w="58" w:type="dxa"/>
            </w:tcMar>
            <w:vAlign w:val="bottom"/>
          </w:tcPr>
          <w:p w14:paraId="1CE95421" w14:textId="77777777" w:rsidR="00F32A2A" w:rsidRDefault="00F32A2A">
            <w:pPr>
              <w:spacing w:line="40" w:lineRule="exact"/>
              <w:rPr>
                <w:sz w:val="18"/>
                <w:szCs w:val="18"/>
                <w:rtl/>
              </w:rPr>
            </w:pPr>
          </w:p>
        </w:tc>
        <w:tc>
          <w:tcPr>
            <w:tcW w:w="825" w:type="dxa"/>
            <w:vAlign w:val="bottom"/>
          </w:tcPr>
          <w:p w14:paraId="3E4D300F" w14:textId="77777777" w:rsidR="00F32A2A" w:rsidRDefault="00F32A2A">
            <w:pPr>
              <w:spacing w:line="40" w:lineRule="exact"/>
              <w:rPr>
                <w:sz w:val="18"/>
                <w:szCs w:val="18"/>
                <w:rtl/>
              </w:rPr>
            </w:pPr>
          </w:p>
        </w:tc>
        <w:tc>
          <w:tcPr>
            <w:tcW w:w="688" w:type="dxa"/>
            <w:vAlign w:val="bottom"/>
          </w:tcPr>
          <w:p w14:paraId="32398086" w14:textId="77777777" w:rsidR="00F32A2A" w:rsidRDefault="00F32A2A">
            <w:pPr>
              <w:spacing w:line="40" w:lineRule="exact"/>
              <w:rPr>
                <w:sz w:val="18"/>
                <w:szCs w:val="18"/>
                <w:rtl/>
              </w:rPr>
            </w:pPr>
          </w:p>
        </w:tc>
        <w:tc>
          <w:tcPr>
            <w:tcW w:w="685" w:type="dxa"/>
            <w:tcMar>
              <w:left w:w="58" w:type="dxa"/>
              <w:right w:w="58" w:type="dxa"/>
            </w:tcMar>
            <w:vAlign w:val="bottom"/>
          </w:tcPr>
          <w:p w14:paraId="63045CAF" w14:textId="77777777" w:rsidR="00F32A2A" w:rsidRDefault="00F32A2A">
            <w:pPr>
              <w:spacing w:line="40" w:lineRule="exact"/>
              <w:rPr>
                <w:sz w:val="18"/>
                <w:szCs w:val="18"/>
                <w:rtl/>
              </w:rPr>
            </w:pPr>
          </w:p>
        </w:tc>
        <w:tc>
          <w:tcPr>
            <w:tcW w:w="825" w:type="dxa"/>
            <w:vAlign w:val="bottom"/>
          </w:tcPr>
          <w:p w14:paraId="396494C5" w14:textId="77777777" w:rsidR="00F32A2A" w:rsidRDefault="00F32A2A">
            <w:pPr>
              <w:spacing w:line="40" w:lineRule="exact"/>
              <w:rPr>
                <w:sz w:val="18"/>
                <w:szCs w:val="18"/>
                <w:rtl/>
              </w:rPr>
            </w:pPr>
          </w:p>
        </w:tc>
        <w:tc>
          <w:tcPr>
            <w:tcW w:w="688" w:type="dxa"/>
            <w:tcBorders>
              <w:right w:val="nil"/>
            </w:tcBorders>
            <w:vAlign w:val="bottom"/>
          </w:tcPr>
          <w:p w14:paraId="62AC1252" w14:textId="77777777" w:rsidR="00F32A2A" w:rsidRDefault="00F32A2A">
            <w:pPr>
              <w:spacing w:line="40" w:lineRule="exact"/>
              <w:rPr>
                <w:sz w:val="18"/>
                <w:szCs w:val="18"/>
                <w:rtl/>
              </w:rPr>
            </w:pPr>
          </w:p>
        </w:tc>
        <w:tc>
          <w:tcPr>
            <w:tcW w:w="688" w:type="dxa"/>
            <w:tcBorders>
              <w:right w:val="nil"/>
            </w:tcBorders>
            <w:vAlign w:val="bottom"/>
          </w:tcPr>
          <w:p w14:paraId="7E47BBF0" w14:textId="77777777" w:rsidR="00F32A2A" w:rsidRDefault="00F32A2A">
            <w:pPr>
              <w:spacing w:line="40" w:lineRule="exact"/>
              <w:rPr>
                <w:sz w:val="18"/>
                <w:szCs w:val="18"/>
                <w:rtl/>
              </w:rPr>
            </w:pPr>
          </w:p>
        </w:tc>
        <w:tc>
          <w:tcPr>
            <w:tcW w:w="802" w:type="dxa"/>
            <w:tcBorders>
              <w:right w:val="nil"/>
            </w:tcBorders>
            <w:vAlign w:val="bottom"/>
          </w:tcPr>
          <w:p w14:paraId="2101D276" w14:textId="77777777" w:rsidR="00F32A2A" w:rsidRDefault="00F32A2A">
            <w:pPr>
              <w:spacing w:line="40" w:lineRule="exact"/>
              <w:rPr>
                <w:sz w:val="18"/>
                <w:szCs w:val="18"/>
                <w:rtl/>
              </w:rPr>
            </w:pPr>
          </w:p>
        </w:tc>
        <w:tc>
          <w:tcPr>
            <w:tcW w:w="673" w:type="dxa"/>
            <w:tcBorders>
              <w:right w:val="nil"/>
            </w:tcBorders>
            <w:vAlign w:val="bottom"/>
          </w:tcPr>
          <w:p w14:paraId="5DF3BE79" w14:textId="77777777" w:rsidR="00F32A2A" w:rsidRDefault="00F32A2A">
            <w:pPr>
              <w:spacing w:line="40" w:lineRule="exact"/>
              <w:rPr>
                <w:sz w:val="18"/>
                <w:szCs w:val="18"/>
                <w:rtl/>
              </w:rPr>
            </w:pPr>
          </w:p>
        </w:tc>
      </w:tr>
      <w:tr w:rsidR="00D0470C" w:rsidRPr="00A10E01" w14:paraId="0BF8020C" w14:textId="77777777" w:rsidTr="003765C0">
        <w:trPr>
          <w:trHeight w:val="259"/>
          <w:jc w:val="right"/>
        </w:trPr>
        <w:tc>
          <w:tcPr>
            <w:tcW w:w="3963" w:type="dxa"/>
            <w:vAlign w:val="bottom"/>
          </w:tcPr>
          <w:p w14:paraId="0C9BEF83" w14:textId="77777777" w:rsidR="00D0470C" w:rsidRPr="00A10E01" w:rsidRDefault="00D0470C" w:rsidP="00DB3CB2">
            <w:pPr>
              <w:spacing w:before="62" w:after="22" w:line="220" w:lineRule="exact"/>
              <w:ind w:left="113" w:hanging="113"/>
              <w:jc w:val="left"/>
              <w:rPr>
                <w:b/>
                <w:bCs/>
                <w:color w:val="000000"/>
                <w:sz w:val="18"/>
                <w:szCs w:val="18"/>
                <w:rtl/>
                <w:lang w:eastAsia="he-IL"/>
              </w:rPr>
            </w:pPr>
            <w:r w:rsidRPr="00A10E01">
              <w:rPr>
                <w:rFonts w:hint="eastAsia"/>
                <w:b/>
                <w:bCs/>
                <w:color w:val="000000"/>
                <w:sz w:val="18"/>
                <w:szCs w:val="18"/>
                <w:rtl/>
                <w:lang w:eastAsia="he-IL"/>
              </w:rPr>
              <w:t>הטבות</w:t>
            </w:r>
            <w:r w:rsidRPr="00A10E01">
              <w:rPr>
                <w:b/>
                <w:bCs/>
                <w:color w:val="000000"/>
                <w:sz w:val="18"/>
                <w:szCs w:val="18"/>
                <w:rtl/>
                <w:lang w:eastAsia="he-IL"/>
              </w:rPr>
              <w:t xml:space="preserve"> </w:t>
            </w:r>
            <w:r w:rsidRPr="00A10E01">
              <w:rPr>
                <w:rFonts w:hint="eastAsia"/>
                <w:b/>
                <w:bCs/>
                <w:color w:val="000000"/>
                <w:sz w:val="18"/>
                <w:szCs w:val="18"/>
                <w:rtl/>
                <w:lang w:eastAsia="he-IL"/>
              </w:rPr>
              <w:t>לעובדים</w:t>
            </w:r>
            <w:r w:rsidRPr="00A10E01">
              <w:rPr>
                <w:b/>
                <w:bCs/>
                <w:color w:val="000000"/>
                <w:sz w:val="18"/>
                <w:szCs w:val="18"/>
                <w:rtl/>
                <w:lang w:eastAsia="he-IL"/>
              </w:rPr>
              <w:t>:</w:t>
            </w:r>
          </w:p>
        </w:tc>
        <w:tc>
          <w:tcPr>
            <w:tcW w:w="684" w:type="dxa"/>
            <w:tcMar>
              <w:left w:w="58" w:type="dxa"/>
              <w:right w:w="58" w:type="dxa"/>
            </w:tcMar>
            <w:vAlign w:val="bottom"/>
          </w:tcPr>
          <w:p w14:paraId="55402A76" w14:textId="77777777" w:rsidR="00D0470C" w:rsidRPr="00A10E01" w:rsidRDefault="00D0470C" w:rsidP="006F3019">
            <w:pPr>
              <w:spacing w:line="220" w:lineRule="exact"/>
              <w:rPr>
                <w:sz w:val="18"/>
                <w:szCs w:val="18"/>
                <w:rtl/>
              </w:rPr>
            </w:pPr>
          </w:p>
        </w:tc>
        <w:tc>
          <w:tcPr>
            <w:tcW w:w="825" w:type="dxa"/>
            <w:vAlign w:val="bottom"/>
          </w:tcPr>
          <w:p w14:paraId="19A9E1B6" w14:textId="77777777" w:rsidR="00D0470C" w:rsidRPr="00A10E01" w:rsidRDefault="00D0470C" w:rsidP="006F3019">
            <w:pPr>
              <w:spacing w:line="220" w:lineRule="exact"/>
              <w:rPr>
                <w:sz w:val="18"/>
                <w:szCs w:val="18"/>
                <w:rtl/>
              </w:rPr>
            </w:pPr>
          </w:p>
        </w:tc>
        <w:tc>
          <w:tcPr>
            <w:tcW w:w="688" w:type="dxa"/>
            <w:vAlign w:val="bottom"/>
          </w:tcPr>
          <w:p w14:paraId="2544CBBA" w14:textId="77777777" w:rsidR="00D0470C" w:rsidRPr="00A10E01" w:rsidRDefault="00D0470C" w:rsidP="006F3019">
            <w:pPr>
              <w:spacing w:line="220" w:lineRule="exact"/>
              <w:rPr>
                <w:sz w:val="18"/>
                <w:szCs w:val="18"/>
                <w:rtl/>
              </w:rPr>
            </w:pPr>
          </w:p>
        </w:tc>
        <w:tc>
          <w:tcPr>
            <w:tcW w:w="685" w:type="dxa"/>
            <w:tcMar>
              <w:left w:w="58" w:type="dxa"/>
              <w:right w:w="58" w:type="dxa"/>
            </w:tcMar>
            <w:vAlign w:val="bottom"/>
          </w:tcPr>
          <w:p w14:paraId="5B48526B" w14:textId="77777777" w:rsidR="00D0470C" w:rsidRPr="00A10E01" w:rsidRDefault="00D0470C" w:rsidP="006F3019">
            <w:pPr>
              <w:spacing w:line="220" w:lineRule="exact"/>
              <w:rPr>
                <w:sz w:val="18"/>
                <w:szCs w:val="18"/>
                <w:rtl/>
              </w:rPr>
            </w:pPr>
          </w:p>
        </w:tc>
        <w:tc>
          <w:tcPr>
            <w:tcW w:w="825" w:type="dxa"/>
            <w:vAlign w:val="bottom"/>
          </w:tcPr>
          <w:p w14:paraId="008EC764" w14:textId="77777777" w:rsidR="00D0470C" w:rsidRPr="00A10E01" w:rsidRDefault="00D0470C" w:rsidP="006F3019">
            <w:pPr>
              <w:spacing w:line="220" w:lineRule="exact"/>
              <w:rPr>
                <w:sz w:val="18"/>
                <w:szCs w:val="18"/>
                <w:rtl/>
              </w:rPr>
            </w:pPr>
          </w:p>
        </w:tc>
        <w:tc>
          <w:tcPr>
            <w:tcW w:w="688" w:type="dxa"/>
            <w:tcBorders>
              <w:right w:val="nil"/>
            </w:tcBorders>
            <w:vAlign w:val="bottom"/>
          </w:tcPr>
          <w:p w14:paraId="0083E5C1" w14:textId="77777777" w:rsidR="00D0470C" w:rsidRPr="00A10E01" w:rsidRDefault="00D0470C" w:rsidP="006F3019">
            <w:pPr>
              <w:spacing w:line="220" w:lineRule="exact"/>
              <w:rPr>
                <w:sz w:val="18"/>
                <w:szCs w:val="18"/>
                <w:rtl/>
              </w:rPr>
            </w:pPr>
          </w:p>
        </w:tc>
        <w:tc>
          <w:tcPr>
            <w:tcW w:w="688" w:type="dxa"/>
            <w:tcBorders>
              <w:right w:val="nil"/>
            </w:tcBorders>
            <w:vAlign w:val="bottom"/>
          </w:tcPr>
          <w:p w14:paraId="5F11C6D9" w14:textId="77777777" w:rsidR="00D0470C" w:rsidRPr="00A10E01" w:rsidRDefault="00D0470C" w:rsidP="006F3019">
            <w:pPr>
              <w:spacing w:line="220" w:lineRule="exact"/>
              <w:rPr>
                <w:sz w:val="18"/>
                <w:szCs w:val="18"/>
                <w:rtl/>
              </w:rPr>
            </w:pPr>
          </w:p>
        </w:tc>
        <w:tc>
          <w:tcPr>
            <w:tcW w:w="802" w:type="dxa"/>
            <w:tcBorders>
              <w:right w:val="nil"/>
            </w:tcBorders>
            <w:vAlign w:val="bottom"/>
          </w:tcPr>
          <w:p w14:paraId="48065ED7" w14:textId="77777777" w:rsidR="00D0470C" w:rsidRPr="00A10E01" w:rsidRDefault="00D0470C" w:rsidP="006F3019">
            <w:pPr>
              <w:spacing w:line="220" w:lineRule="exact"/>
              <w:rPr>
                <w:sz w:val="18"/>
                <w:szCs w:val="18"/>
                <w:rtl/>
              </w:rPr>
            </w:pPr>
          </w:p>
        </w:tc>
        <w:tc>
          <w:tcPr>
            <w:tcW w:w="673" w:type="dxa"/>
            <w:tcBorders>
              <w:right w:val="nil"/>
            </w:tcBorders>
            <w:vAlign w:val="bottom"/>
          </w:tcPr>
          <w:p w14:paraId="37712DD4" w14:textId="77777777" w:rsidR="00D0470C" w:rsidRPr="00A10E01" w:rsidRDefault="00D0470C" w:rsidP="006F3019">
            <w:pPr>
              <w:spacing w:line="220" w:lineRule="exact"/>
              <w:rPr>
                <w:sz w:val="18"/>
                <w:szCs w:val="18"/>
                <w:rtl/>
              </w:rPr>
            </w:pPr>
          </w:p>
        </w:tc>
      </w:tr>
      <w:tr w:rsidR="00D0470C" w:rsidRPr="00A10E01" w14:paraId="10346A28" w14:textId="77777777" w:rsidTr="003765C0">
        <w:trPr>
          <w:trHeight w:val="259"/>
          <w:jc w:val="right"/>
        </w:trPr>
        <w:tc>
          <w:tcPr>
            <w:tcW w:w="3963" w:type="dxa"/>
            <w:vAlign w:val="bottom"/>
          </w:tcPr>
          <w:p w14:paraId="44734CA4" w14:textId="77777777" w:rsidR="00F32A2A" w:rsidRDefault="00D0470C" w:rsidP="00DB3CB2">
            <w:pPr>
              <w:spacing w:before="20" w:line="220" w:lineRule="exact"/>
              <w:jc w:val="left"/>
              <w:rPr>
                <w:color w:val="000000"/>
                <w:sz w:val="18"/>
                <w:szCs w:val="18"/>
                <w:rtl/>
                <w:lang w:eastAsia="he-IL"/>
              </w:rPr>
            </w:pPr>
            <w:r w:rsidRPr="00A10E01">
              <w:rPr>
                <w:color w:val="000000"/>
                <w:sz w:val="18"/>
                <w:szCs w:val="18"/>
                <w:rtl/>
                <w:lang w:eastAsia="he-IL"/>
              </w:rPr>
              <w:t xml:space="preserve">רווח (הפסד) </w:t>
            </w:r>
            <w:r w:rsidRPr="00A10E01">
              <w:rPr>
                <w:rFonts w:hint="eastAsia"/>
                <w:color w:val="000000"/>
                <w:sz w:val="18"/>
                <w:szCs w:val="18"/>
                <w:rtl/>
                <w:lang w:eastAsia="he-IL"/>
              </w:rPr>
              <w:t>אקטוארי</w:t>
            </w:r>
            <w:r w:rsidRPr="00A10E01">
              <w:rPr>
                <w:color w:val="000000"/>
                <w:sz w:val="18"/>
                <w:szCs w:val="18"/>
                <w:rtl/>
                <w:lang w:eastAsia="he-IL"/>
              </w:rPr>
              <w:t xml:space="preserve"> נטו </w:t>
            </w:r>
            <w:r>
              <w:rPr>
                <w:rFonts w:hint="cs"/>
                <w:color w:val="000000"/>
                <w:sz w:val="18"/>
                <w:szCs w:val="18"/>
                <w:rtl/>
                <w:lang w:eastAsia="he-IL"/>
              </w:rPr>
              <w:t>התקופה</w:t>
            </w:r>
          </w:p>
        </w:tc>
        <w:tc>
          <w:tcPr>
            <w:tcW w:w="684" w:type="dxa"/>
            <w:tcMar>
              <w:left w:w="58" w:type="dxa"/>
              <w:right w:w="58" w:type="dxa"/>
            </w:tcMar>
            <w:vAlign w:val="bottom"/>
          </w:tcPr>
          <w:p w14:paraId="165017F5"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5" w:type="dxa"/>
            <w:vAlign w:val="bottom"/>
          </w:tcPr>
          <w:p w14:paraId="19B3C675"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8" w:type="dxa"/>
            <w:vAlign w:val="bottom"/>
          </w:tcPr>
          <w:p w14:paraId="20D12FAD"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5" w:type="dxa"/>
            <w:tcMar>
              <w:left w:w="58" w:type="dxa"/>
              <w:right w:w="58" w:type="dxa"/>
            </w:tcMar>
            <w:vAlign w:val="bottom"/>
          </w:tcPr>
          <w:p w14:paraId="141ECA08"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5" w:type="dxa"/>
            <w:vAlign w:val="bottom"/>
          </w:tcPr>
          <w:p w14:paraId="7C3941A3"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8" w:type="dxa"/>
            <w:tcBorders>
              <w:right w:val="nil"/>
            </w:tcBorders>
            <w:vAlign w:val="bottom"/>
          </w:tcPr>
          <w:p w14:paraId="3B97F4EA"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8" w:type="dxa"/>
            <w:tcBorders>
              <w:right w:val="nil"/>
            </w:tcBorders>
            <w:vAlign w:val="bottom"/>
          </w:tcPr>
          <w:p w14:paraId="4F9B81A9"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02" w:type="dxa"/>
            <w:tcBorders>
              <w:right w:val="nil"/>
            </w:tcBorders>
            <w:vAlign w:val="bottom"/>
          </w:tcPr>
          <w:p w14:paraId="1BCA0345"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73" w:type="dxa"/>
            <w:tcBorders>
              <w:right w:val="nil"/>
            </w:tcBorders>
            <w:vAlign w:val="bottom"/>
          </w:tcPr>
          <w:p w14:paraId="2FEC1D7F" w14:textId="77777777" w:rsidR="00D0470C" w:rsidRPr="00A10E01" w:rsidRDefault="00D0470C" w:rsidP="006F3019">
            <w:pPr>
              <w:spacing w:line="220" w:lineRule="exact"/>
              <w:rPr>
                <w:sz w:val="18"/>
                <w:szCs w:val="18"/>
                <w:rtl/>
              </w:rPr>
            </w:pPr>
            <w:r w:rsidRPr="00A10E01">
              <w:rPr>
                <w:sz w:val="18"/>
                <w:szCs w:val="18"/>
                <w:rtl/>
              </w:rPr>
              <w:t xml:space="preserve"> 0</w:t>
            </w:r>
          </w:p>
        </w:tc>
      </w:tr>
      <w:tr w:rsidR="00D0470C" w:rsidRPr="00A10E01" w14:paraId="43A51345" w14:textId="77777777" w:rsidTr="003765C0">
        <w:trPr>
          <w:trHeight w:val="259"/>
          <w:jc w:val="right"/>
        </w:trPr>
        <w:tc>
          <w:tcPr>
            <w:tcW w:w="3963" w:type="dxa"/>
            <w:vAlign w:val="bottom"/>
          </w:tcPr>
          <w:p w14:paraId="45D92BEA" w14:textId="77777777" w:rsidR="00F32A2A" w:rsidRDefault="00D0470C" w:rsidP="00DB3CB2">
            <w:pPr>
              <w:spacing w:before="20" w:line="220" w:lineRule="exact"/>
              <w:jc w:val="left"/>
              <w:rPr>
                <w:color w:val="000000"/>
                <w:sz w:val="18"/>
                <w:szCs w:val="18"/>
                <w:rtl/>
                <w:lang w:eastAsia="he-IL"/>
              </w:rPr>
            </w:pPr>
            <w:r w:rsidRPr="00A10E01">
              <w:rPr>
                <w:rFonts w:hint="eastAsia"/>
                <w:color w:val="000000"/>
                <w:sz w:val="18"/>
                <w:szCs w:val="18"/>
                <w:rtl/>
                <w:lang w:eastAsia="he-IL"/>
              </w:rPr>
              <w:t>זיכוי</w:t>
            </w:r>
            <w:r w:rsidRPr="00A10E01">
              <w:rPr>
                <w:color w:val="000000"/>
                <w:sz w:val="18"/>
                <w:szCs w:val="18"/>
                <w:rtl/>
                <w:lang w:eastAsia="he-IL"/>
              </w:rPr>
              <w:t xml:space="preserve"> (עלות) </w:t>
            </w:r>
            <w:r w:rsidRPr="00A10E01">
              <w:rPr>
                <w:rFonts w:hint="eastAsia"/>
                <w:color w:val="000000"/>
                <w:sz w:val="18"/>
                <w:szCs w:val="18"/>
                <w:rtl/>
                <w:lang w:eastAsia="he-IL"/>
              </w:rPr>
              <w:t>בגין</w:t>
            </w:r>
            <w:r w:rsidRPr="00A10E01">
              <w:rPr>
                <w:color w:val="000000"/>
                <w:sz w:val="18"/>
                <w:szCs w:val="18"/>
                <w:rtl/>
                <w:lang w:eastAsia="he-IL"/>
              </w:rPr>
              <w:t xml:space="preserve"> </w:t>
            </w:r>
            <w:r w:rsidRPr="00A10E01">
              <w:rPr>
                <w:rFonts w:hint="eastAsia"/>
                <w:color w:val="000000"/>
                <w:sz w:val="18"/>
                <w:szCs w:val="18"/>
                <w:rtl/>
                <w:lang w:eastAsia="he-IL"/>
              </w:rPr>
              <w:t>שירות</w:t>
            </w:r>
            <w:r w:rsidRPr="00A10E01">
              <w:rPr>
                <w:color w:val="000000"/>
                <w:sz w:val="18"/>
                <w:szCs w:val="18"/>
                <w:rtl/>
                <w:lang w:eastAsia="he-IL"/>
              </w:rPr>
              <w:t xml:space="preserve"> </w:t>
            </w:r>
            <w:r w:rsidRPr="00A10E01">
              <w:rPr>
                <w:rFonts w:hint="eastAsia"/>
                <w:color w:val="000000"/>
                <w:sz w:val="18"/>
                <w:szCs w:val="18"/>
                <w:rtl/>
                <w:lang w:eastAsia="he-IL"/>
              </w:rPr>
              <w:t>קודם</w:t>
            </w:r>
            <w:r w:rsidRPr="00A10E01">
              <w:rPr>
                <w:color w:val="000000"/>
                <w:sz w:val="18"/>
                <w:szCs w:val="18"/>
                <w:rtl/>
                <w:lang w:eastAsia="he-IL"/>
              </w:rPr>
              <w:t xml:space="preserve"> </w:t>
            </w:r>
            <w:r>
              <w:rPr>
                <w:rFonts w:hint="cs"/>
                <w:color w:val="000000"/>
                <w:sz w:val="18"/>
                <w:szCs w:val="18"/>
                <w:rtl/>
                <w:lang w:eastAsia="he-IL"/>
              </w:rPr>
              <w:t>התקופה</w:t>
            </w:r>
          </w:p>
        </w:tc>
        <w:tc>
          <w:tcPr>
            <w:tcW w:w="684" w:type="dxa"/>
            <w:tcMar>
              <w:left w:w="58" w:type="dxa"/>
              <w:right w:w="58" w:type="dxa"/>
            </w:tcMar>
            <w:vAlign w:val="bottom"/>
          </w:tcPr>
          <w:p w14:paraId="3776905E"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5" w:type="dxa"/>
            <w:vAlign w:val="bottom"/>
          </w:tcPr>
          <w:p w14:paraId="5A8D3040"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8" w:type="dxa"/>
            <w:vAlign w:val="bottom"/>
          </w:tcPr>
          <w:p w14:paraId="7580F9BD"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5" w:type="dxa"/>
            <w:tcMar>
              <w:left w:w="58" w:type="dxa"/>
              <w:right w:w="58" w:type="dxa"/>
            </w:tcMar>
            <w:vAlign w:val="bottom"/>
          </w:tcPr>
          <w:p w14:paraId="6FF9B67A"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5" w:type="dxa"/>
            <w:vAlign w:val="bottom"/>
          </w:tcPr>
          <w:p w14:paraId="59DA5909"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8" w:type="dxa"/>
            <w:tcBorders>
              <w:right w:val="nil"/>
            </w:tcBorders>
            <w:vAlign w:val="bottom"/>
          </w:tcPr>
          <w:p w14:paraId="28968BB5"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8" w:type="dxa"/>
            <w:tcBorders>
              <w:right w:val="nil"/>
            </w:tcBorders>
            <w:vAlign w:val="bottom"/>
          </w:tcPr>
          <w:p w14:paraId="327A65A3"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02" w:type="dxa"/>
            <w:tcBorders>
              <w:right w:val="nil"/>
            </w:tcBorders>
            <w:vAlign w:val="bottom"/>
          </w:tcPr>
          <w:p w14:paraId="1C99F19D"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73" w:type="dxa"/>
            <w:tcBorders>
              <w:right w:val="nil"/>
            </w:tcBorders>
            <w:vAlign w:val="bottom"/>
          </w:tcPr>
          <w:p w14:paraId="58D6CDE1" w14:textId="77777777" w:rsidR="00D0470C" w:rsidRPr="00A10E01" w:rsidRDefault="00D0470C" w:rsidP="006F3019">
            <w:pPr>
              <w:spacing w:line="220" w:lineRule="exact"/>
              <w:rPr>
                <w:sz w:val="18"/>
                <w:szCs w:val="18"/>
                <w:rtl/>
              </w:rPr>
            </w:pPr>
            <w:r w:rsidRPr="00A10E01">
              <w:rPr>
                <w:sz w:val="18"/>
                <w:szCs w:val="18"/>
                <w:rtl/>
              </w:rPr>
              <w:t xml:space="preserve"> 0</w:t>
            </w:r>
          </w:p>
        </w:tc>
      </w:tr>
      <w:tr w:rsidR="00D0470C" w:rsidRPr="00A10E01" w14:paraId="1CC2EF8C" w14:textId="77777777" w:rsidTr="003765C0">
        <w:trPr>
          <w:trHeight w:val="259"/>
          <w:jc w:val="right"/>
        </w:trPr>
        <w:tc>
          <w:tcPr>
            <w:tcW w:w="3963" w:type="dxa"/>
            <w:vAlign w:val="bottom"/>
          </w:tcPr>
          <w:p w14:paraId="2EE11270" w14:textId="01134F41" w:rsidR="00D0470C" w:rsidRPr="00A10E01" w:rsidRDefault="00D0470C" w:rsidP="00DB3CB2">
            <w:pPr>
              <w:spacing w:before="20" w:line="220" w:lineRule="exact"/>
              <w:jc w:val="left"/>
              <w:rPr>
                <w:color w:val="000000"/>
                <w:sz w:val="18"/>
                <w:szCs w:val="18"/>
                <w:rtl/>
                <w:lang w:eastAsia="he-IL"/>
              </w:rPr>
            </w:pPr>
            <w:r w:rsidRPr="00A10E01">
              <w:rPr>
                <w:color w:val="000000"/>
                <w:sz w:val="18"/>
                <w:szCs w:val="18"/>
                <w:rtl/>
                <w:lang w:eastAsia="he-IL"/>
              </w:rPr>
              <w:t xml:space="preserve">(רווחים) </w:t>
            </w:r>
            <w:r w:rsidRPr="00A10E01">
              <w:rPr>
                <w:rFonts w:hint="eastAsia"/>
                <w:color w:val="000000"/>
                <w:sz w:val="18"/>
                <w:szCs w:val="18"/>
                <w:rtl/>
                <w:lang w:eastAsia="he-IL"/>
              </w:rPr>
              <w:t>הפסדים</w:t>
            </w:r>
            <w:r w:rsidRPr="00A10E01">
              <w:rPr>
                <w:color w:val="000000"/>
                <w:sz w:val="18"/>
                <w:szCs w:val="18"/>
                <w:rtl/>
                <w:lang w:eastAsia="he-IL"/>
              </w:rPr>
              <w:t xml:space="preserve"> </w:t>
            </w:r>
            <w:r w:rsidRPr="00A10E01">
              <w:rPr>
                <w:rFonts w:hint="eastAsia"/>
                <w:color w:val="000000"/>
                <w:sz w:val="18"/>
                <w:szCs w:val="18"/>
                <w:rtl/>
                <w:lang w:eastAsia="he-IL"/>
              </w:rPr>
              <w:t>נטו</w:t>
            </w:r>
            <w:r w:rsidRPr="00A10E01">
              <w:rPr>
                <w:color w:val="000000"/>
                <w:sz w:val="18"/>
                <w:szCs w:val="18"/>
                <w:rtl/>
                <w:lang w:eastAsia="he-IL"/>
              </w:rPr>
              <w:t xml:space="preserve"> </w:t>
            </w:r>
            <w:r w:rsidRPr="00A10E01">
              <w:rPr>
                <w:rFonts w:hint="eastAsia"/>
                <w:color w:val="000000"/>
                <w:sz w:val="18"/>
                <w:szCs w:val="18"/>
                <w:rtl/>
                <w:lang w:eastAsia="he-IL"/>
              </w:rPr>
              <w:t>שסווגו</w:t>
            </w:r>
            <w:r w:rsidRPr="00A10E01">
              <w:rPr>
                <w:color w:val="000000"/>
                <w:sz w:val="18"/>
                <w:szCs w:val="18"/>
                <w:rtl/>
                <w:lang w:eastAsia="he-IL"/>
              </w:rPr>
              <w:t xml:space="preserve"> מחדש לדוח רווח והפסד</w:t>
            </w:r>
            <w:r w:rsidRPr="00A10E01">
              <w:rPr>
                <w:color w:val="000000"/>
                <w:sz w:val="18"/>
                <w:szCs w:val="18"/>
                <w:vertAlign w:val="superscript"/>
                <w:rtl/>
                <w:lang w:eastAsia="he-IL"/>
              </w:rPr>
              <w:t>(</w:t>
            </w:r>
            <w:r w:rsidR="009B7FCD">
              <w:rPr>
                <w:rFonts w:hint="cs"/>
                <w:color w:val="000000"/>
                <w:sz w:val="18"/>
                <w:szCs w:val="18"/>
                <w:vertAlign w:val="superscript"/>
                <w:rtl/>
                <w:lang w:eastAsia="he-IL"/>
              </w:rPr>
              <w:t>ו</w:t>
            </w:r>
            <w:r w:rsidRPr="00A10E01">
              <w:rPr>
                <w:color w:val="000000"/>
                <w:sz w:val="18"/>
                <w:szCs w:val="18"/>
                <w:vertAlign w:val="superscript"/>
                <w:rtl/>
                <w:lang w:eastAsia="he-IL"/>
              </w:rPr>
              <w:t>)</w:t>
            </w:r>
          </w:p>
        </w:tc>
        <w:tc>
          <w:tcPr>
            <w:tcW w:w="684" w:type="dxa"/>
            <w:tcMar>
              <w:left w:w="58" w:type="dxa"/>
              <w:right w:w="58" w:type="dxa"/>
            </w:tcMar>
            <w:vAlign w:val="bottom"/>
          </w:tcPr>
          <w:p w14:paraId="0B8D1A66"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5" w:type="dxa"/>
            <w:vAlign w:val="bottom"/>
          </w:tcPr>
          <w:p w14:paraId="3F3A6803"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8" w:type="dxa"/>
            <w:vAlign w:val="bottom"/>
          </w:tcPr>
          <w:p w14:paraId="3EB51454"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5" w:type="dxa"/>
            <w:tcMar>
              <w:left w:w="58" w:type="dxa"/>
              <w:right w:w="58" w:type="dxa"/>
            </w:tcMar>
            <w:vAlign w:val="bottom"/>
          </w:tcPr>
          <w:p w14:paraId="43D9C12B"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25" w:type="dxa"/>
            <w:vAlign w:val="bottom"/>
          </w:tcPr>
          <w:p w14:paraId="13D4629E"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8" w:type="dxa"/>
            <w:tcBorders>
              <w:right w:val="nil"/>
            </w:tcBorders>
            <w:vAlign w:val="bottom"/>
          </w:tcPr>
          <w:p w14:paraId="55D812A0"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88" w:type="dxa"/>
            <w:tcBorders>
              <w:right w:val="nil"/>
            </w:tcBorders>
            <w:vAlign w:val="bottom"/>
          </w:tcPr>
          <w:p w14:paraId="5D4F6C0D"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802" w:type="dxa"/>
            <w:tcBorders>
              <w:right w:val="nil"/>
            </w:tcBorders>
            <w:vAlign w:val="bottom"/>
          </w:tcPr>
          <w:p w14:paraId="4AF10617" w14:textId="77777777" w:rsidR="00D0470C" w:rsidRPr="00A10E01" w:rsidRDefault="00D0470C" w:rsidP="006F3019">
            <w:pPr>
              <w:spacing w:line="220" w:lineRule="exact"/>
              <w:rPr>
                <w:sz w:val="18"/>
                <w:szCs w:val="18"/>
                <w:rtl/>
              </w:rPr>
            </w:pPr>
            <w:r w:rsidRPr="00A10E01">
              <w:rPr>
                <w:sz w:val="18"/>
                <w:szCs w:val="18"/>
                <w:rtl/>
              </w:rPr>
              <w:t xml:space="preserve"> 0</w:t>
            </w:r>
          </w:p>
        </w:tc>
        <w:tc>
          <w:tcPr>
            <w:tcW w:w="673" w:type="dxa"/>
            <w:tcBorders>
              <w:right w:val="nil"/>
            </w:tcBorders>
            <w:vAlign w:val="bottom"/>
          </w:tcPr>
          <w:p w14:paraId="1B837241" w14:textId="77777777" w:rsidR="00D0470C" w:rsidRPr="00A10E01" w:rsidRDefault="00D0470C" w:rsidP="006F3019">
            <w:pPr>
              <w:spacing w:line="220" w:lineRule="exact"/>
              <w:rPr>
                <w:sz w:val="18"/>
                <w:szCs w:val="18"/>
                <w:rtl/>
              </w:rPr>
            </w:pPr>
            <w:r w:rsidRPr="00A10E01">
              <w:rPr>
                <w:sz w:val="18"/>
                <w:szCs w:val="18"/>
                <w:rtl/>
              </w:rPr>
              <w:t xml:space="preserve"> 0</w:t>
            </w:r>
          </w:p>
        </w:tc>
      </w:tr>
      <w:tr w:rsidR="00D0470C" w:rsidRPr="00A10E01" w14:paraId="293865D5" w14:textId="77777777" w:rsidTr="003765C0">
        <w:trPr>
          <w:trHeight w:val="259"/>
          <w:jc w:val="right"/>
        </w:trPr>
        <w:tc>
          <w:tcPr>
            <w:tcW w:w="3963" w:type="dxa"/>
            <w:vAlign w:val="bottom"/>
          </w:tcPr>
          <w:p w14:paraId="7D6C8FB8" w14:textId="77777777" w:rsidR="00D0470C" w:rsidRPr="00A10E01" w:rsidRDefault="00D0470C" w:rsidP="00DB3CB2">
            <w:pPr>
              <w:spacing w:before="20" w:line="220" w:lineRule="exact"/>
              <w:jc w:val="left"/>
              <w:rPr>
                <w:color w:val="000000"/>
                <w:sz w:val="18"/>
                <w:szCs w:val="18"/>
                <w:rtl/>
                <w:lang w:eastAsia="he-IL"/>
              </w:rPr>
            </w:pPr>
            <w:r w:rsidRPr="00A10E01">
              <w:rPr>
                <w:rFonts w:hint="eastAsia"/>
                <w:color w:val="000000"/>
                <w:sz w:val="18"/>
                <w:szCs w:val="18"/>
                <w:rtl/>
                <w:lang w:eastAsia="he-IL"/>
              </w:rPr>
              <w:t>אחר</w:t>
            </w:r>
            <w:r w:rsidRPr="00A10E01">
              <w:rPr>
                <w:color w:val="000000"/>
                <w:sz w:val="18"/>
                <w:szCs w:val="18"/>
                <w:rtl/>
                <w:lang w:eastAsia="he-IL"/>
              </w:rPr>
              <w:t xml:space="preserve"> </w:t>
            </w:r>
            <w:r w:rsidRPr="00F77EFF">
              <w:rPr>
                <w:color w:val="000000"/>
                <w:sz w:val="18"/>
                <w:szCs w:val="18"/>
                <w:rtl/>
                <w:lang w:eastAsia="he-IL"/>
              </w:rPr>
              <w:t>[</w:t>
            </w:r>
            <w:r w:rsidRPr="00F77EFF">
              <w:rPr>
                <w:rFonts w:hint="eastAsia"/>
                <w:color w:val="000000"/>
                <w:sz w:val="18"/>
                <w:szCs w:val="18"/>
                <w:rtl/>
                <w:lang w:eastAsia="he-IL"/>
              </w:rPr>
              <w:t>פרט</w:t>
            </w:r>
            <w:r w:rsidRPr="00F77EFF">
              <w:rPr>
                <w:color w:val="000000"/>
                <w:sz w:val="18"/>
                <w:szCs w:val="18"/>
                <w:rtl/>
                <w:lang w:eastAsia="he-IL"/>
              </w:rPr>
              <w:t xml:space="preserve"> </w:t>
            </w:r>
            <w:r w:rsidRPr="00F77EFF">
              <w:rPr>
                <w:rFonts w:hint="eastAsia"/>
                <w:color w:val="000000"/>
                <w:sz w:val="18"/>
                <w:szCs w:val="18"/>
                <w:rtl/>
                <w:lang w:eastAsia="he-IL"/>
              </w:rPr>
              <w:t>אם</w:t>
            </w:r>
            <w:r w:rsidRPr="00F77EFF">
              <w:rPr>
                <w:color w:val="000000"/>
                <w:sz w:val="18"/>
                <w:szCs w:val="18"/>
                <w:rtl/>
                <w:lang w:eastAsia="he-IL"/>
              </w:rPr>
              <w:t xml:space="preserve"> </w:t>
            </w:r>
            <w:r w:rsidRPr="00F77EFF">
              <w:rPr>
                <w:rFonts w:hint="eastAsia"/>
                <w:color w:val="000000"/>
                <w:sz w:val="18"/>
                <w:szCs w:val="18"/>
                <w:rtl/>
                <w:lang w:eastAsia="he-IL"/>
              </w:rPr>
              <w:t>מהותי</w:t>
            </w:r>
            <w:r w:rsidRPr="00F77EFF">
              <w:rPr>
                <w:color w:val="000000"/>
                <w:sz w:val="18"/>
                <w:szCs w:val="18"/>
                <w:rtl/>
                <w:lang w:eastAsia="he-IL"/>
              </w:rPr>
              <w:t>]</w:t>
            </w:r>
          </w:p>
        </w:tc>
        <w:tc>
          <w:tcPr>
            <w:tcW w:w="684" w:type="dxa"/>
            <w:tcMar>
              <w:left w:w="58" w:type="dxa"/>
              <w:right w:w="58" w:type="dxa"/>
            </w:tcMar>
            <w:vAlign w:val="bottom"/>
          </w:tcPr>
          <w:p w14:paraId="48D27915"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825" w:type="dxa"/>
            <w:vAlign w:val="bottom"/>
          </w:tcPr>
          <w:p w14:paraId="4D7C028E"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8" w:type="dxa"/>
            <w:vAlign w:val="bottom"/>
          </w:tcPr>
          <w:p w14:paraId="297AD8F4"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5" w:type="dxa"/>
            <w:tcMar>
              <w:left w:w="58" w:type="dxa"/>
              <w:right w:w="58" w:type="dxa"/>
            </w:tcMar>
            <w:vAlign w:val="bottom"/>
          </w:tcPr>
          <w:p w14:paraId="68E1DA89"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825" w:type="dxa"/>
            <w:vAlign w:val="bottom"/>
          </w:tcPr>
          <w:p w14:paraId="3B89A811"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8" w:type="dxa"/>
            <w:tcBorders>
              <w:right w:val="nil"/>
            </w:tcBorders>
            <w:vAlign w:val="bottom"/>
          </w:tcPr>
          <w:p w14:paraId="2B01560A"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88" w:type="dxa"/>
            <w:tcBorders>
              <w:right w:val="nil"/>
            </w:tcBorders>
            <w:vAlign w:val="bottom"/>
          </w:tcPr>
          <w:p w14:paraId="6D4E8A82"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802" w:type="dxa"/>
            <w:tcBorders>
              <w:right w:val="nil"/>
            </w:tcBorders>
            <w:vAlign w:val="bottom"/>
          </w:tcPr>
          <w:p w14:paraId="79248500"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c>
          <w:tcPr>
            <w:tcW w:w="673" w:type="dxa"/>
            <w:tcBorders>
              <w:right w:val="nil"/>
            </w:tcBorders>
            <w:vAlign w:val="bottom"/>
          </w:tcPr>
          <w:p w14:paraId="090F40DF" w14:textId="77777777" w:rsidR="00D0470C" w:rsidRPr="00A10E01" w:rsidRDefault="00D0470C" w:rsidP="006F3019">
            <w:pPr>
              <w:pBdr>
                <w:bottom w:val="single" w:sz="4" w:space="1" w:color="auto"/>
              </w:pBdr>
              <w:spacing w:line="220" w:lineRule="exact"/>
              <w:rPr>
                <w:sz w:val="18"/>
                <w:szCs w:val="18"/>
                <w:rtl/>
              </w:rPr>
            </w:pPr>
            <w:r w:rsidRPr="00A10E01">
              <w:rPr>
                <w:sz w:val="18"/>
                <w:szCs w:val="18"/>
                <w:rtl/>
              </w:rPr>
              <w:t xml:space="preserve"> 0</w:t>
            </w:r>
          </w:p>
        </w:tc>
      </w:tr>
      <w:tr w:rsidR="00D0470C" w:rsidRPr="00A10E01" w14:paraId="0EE4263C" w14:textId="77777777" w:rsidTr="003765C0">
        <w:trPr>
          <w:trHeight w:val="259"/>
          <w:jc w:val="right"/>
        </w:trPr>
        <w:tc>
          <w:tcPr>
            <w:tcW w:w="3963" w:type="dxa"/>
            <w:vAlign w:val="bottom"/>
          </w:tcPr>
          <w:p w14:paraId="73A76668" w14:textId="77777777" w:rsidR="00D0470C" w:rsidRPr="00A10E01" w:rsidRDefault="00D0470C" w:rsidP="00DB3CB2">
            <w:pPr>
              <w:spacing w:before="20" w:line="220" w:lineRule="exact"/>
              <w:jc w:val="left"/>
              <w:rPr>
                <w:b/>
                <w:bCs/>
                <w:color w:val="000000"/>
                <w:sz w:val="18"/>
                <w:szCs w:val="18"/>
                <w:rtl/>
                <w:lang w:eastAsia="he-IL"/>
              </w:rPr>
            </w:pPr>
            <w:r w:rsidRPr="00A10E01">
              <w:rPr>
                <w:b/>
                <w:bCs/>
                <w:color w:val="000000"/>
                <w:sz w:val="18"/>
                <w:szCs w:val="18"/>
                <w:rtl/>
                <w:lang w:eastAsia="he-IL"/>
              </w:rPr>
              <w:t xml:space="preserve">שינוי נטו במהלך </w:t>
            </w:r>
            <w:r>
              <w:rPr>
                <w:rFonts w:hint="cs"/>
                <w:b/>
                <w:bCs/>
                <w:color w:val="000000"/>
                <w:sz w:val="18"/>
                <w:szCs w:val="18"/>
                <w:rtl/>
                <w:lang w:eastAsia="he-IL"/>
              </w:rPr>
              <w:t>התקופה</w:t>
            </w:r>
          </w:p>
        </w:tc>
        <w:tc>
          <w:tcPr>
            <w:tcW w:w="684" w:type="dxa"/>
            <w:tcMar>
              <w:left w:w="58" w:type="dxa"/>
              <w:right w:w="58" w:type="dxa"/>
            </w:tcMar>
            <w:vAlign w:val="bottom"/>
          </w:tcPr>
          <w:p w14:paraId="78108F4D"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5" w:type="dxa"/>
            <w:vAlign w:val="bottom"/>
          </w:tcPr>
          <w:p w14:paraId="2E566FFD"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8" w:type="dxa"/>
            <w:vAlign w:val="bottom"/>
          </w:tcPr>
          <w:p w14:paraId="45130FDB"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5" w:type="dxa"/>
            <w:tcMar>
              <w:left w:w="58" w:type="dxa"/>
              <w:right w:w="58" w:type="dxa"/>
            </w:tcMar>
            <w:vAlign w:val="bottom"/>
          </w:tcPr>
          <w:p w14:paraId="07542153"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5" w:type="dxa"/>
            <w:vAlign w:val="bottom"/>
          </w:tcPr>
          <w:p w14:paraId="418F1BAF"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8" w:type="dxa"/>
            <w:tcBorders>
              <w:right w:val="nil"/>
            </w:tcBorders>
            <w:vAlign w:val="bottom"/>
          </w:tcPr>
          <w:p w14:paraId="2A25DAB3"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8" w:type="dxa"/>
            <w:tcBorders>
              <w:right w:val="nil"/>
            </w:tcBorders>
            <w:vAlign w:val="bottom"/>
          </w:tcPr>
          <w:p w14:paraId="0943BB81"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02" w:type="dxa"/>
            <w:tcBorders>
              <w:right w:val="nil"/>
            </w:tcBorders>
            <w:vAlign w:val="bottom"/>
          </w:tcPr>
          <w:p w14:paraId="067CF95E"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73" w:type="dxa"/>
            <w:tcBorders>
              <w:right w:val="nil"/>
            </w:tcBorders>
            <w:vAlign w:val="bottom"/>
          </w:tcPr>
          <w:p w14:paraId="037732CA"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r>
      <w:tr w:rsidR="00D0470C" w:rsidRPr="00A10E01" w14:paraId="1808AB2A" w14:textId="77777777" w:rsidTr="003765C0">
        <w:trPr>
          <w:jc w:val="right"/>
        </w:trPr>
        <w:tc>
          <w:tcPr>
            <w:tcW w:w="3963" w:type="dxa"/>
            <w:vAlign w:val="bottom"/>
          </w:tcPr>
          <w:p w14:paraId="619B7DC6" w14:textId="77777777" w:rsidR="00F32A2A" w:rsidRDefault="00F32A2A">
            <w:pPr>
              <w:spacing w:line="40" w:lineRule="exact"/>
              <w:ind w:left="114" w:hanging="114"/>
              <w:jc w:val="left"/>
              <w:rPr>
                <w:b/>
                <w:bCs/>
                <w:color w:val="000000"/>
                <w:sz w:val="18"/>
                <w:szCs w:val="18"/>
                <w:rtl/>
                <w:lang w:eastAsia="he-IL"/>
              </w:rPr>
            </w:pPr>
          </w:p>
        </w:tc>
        <w:tc>
          <w:tcPr>
            <w:tcW w:w="684" w:type="dxa"/>
            <w:tcMar>
              <w:left w:w="58" w:type="dxa"/>
              <w:right w:w="58" w:type="dxa"/>
            </w:tcMar>
            <w:vAlign w:val="bottom"/>
          </w:tcPr>
          <w:p w14:paraId="2534F4B1" w14:textId="77777777" w:rsidR="00F32A2A" w:rsidRDefault="00F32A2A">
            <w:pPr>
              <w:spacing w:line="40" w:lineRule="exact"/>
              <w:rPr>
                <w:sz w:val="18"/>
                <w:szCs w:val="18"/>
                <w:rtl/>
              </w:rPr>
            </w:pPr>
          </w:p>
        </w:tc>
        <w:tc>
          <w:tcPr>
            <w:tcW w:w="825" w:type="dxa"/>
            <w:vAlign w:val="bottom"/>
          </w:tcPr>
          <w:p w14:paraId="7B9BE305" w14:textId="77777777" w:rsidR="00F32A2A" w:rsidRDefault="00F32A2A">
            <w:pPr>
              <w:spacing w:line="40" w:lineRule="exact"/>
              <w:rPr>
                <w:sz w:val="18"/>
                <w:szCs w:val="18"/>
                <w:rtl/>
              </w:rPr>
            </w:pPr>
          </w:p>
        </w:tc>
        <w:tc>
          <w:tcPr>
            <w:tcW w:w="688" w:type="dxa"/>
            <w:vAlign w:val="bottom"/>
          </w:tcPr>
          <w:p w14:paraId="266123EA" w14:textId="77777777" w:rsidR="00F32A2A" w:rsidRDefault="00F32A2A">
            <w:pPr>
              <w:spacing w:line="40" w:lineRule="exact"/>
              <w:rPr>
                <w:sz w:val="18"/>
                <w:szCs w:val="18"/>
                <w:rtl/>
              </w:rPr>
            </w:pPr>
          </w:p>
        </w:tc>
        <w:tc>
          <w:tcPr>
            <w:tcW w:w="685" w:type="dxa"/>
            <w:tcMar>
              <w:left w:w="58" w:type="dxa"/>
              <w:right w:w="58" w:type="dxa"/>
            </w:tcMar>
            <w:vAlign w:val="bottom"/>
          </w:tcPr>
          <w:p w14:paraId="77AB8D77" w14:textId="77777777" w:rsidR="00F32A2A" w:rsidRDefault="00F32A2A">
            <w:pPr>
              <w:spacing w:line="40" w:lineRule="exact"/>
              <w:rPr>
                <w:sz w:val="18"/>
                <w:szCs w:val="18"/>
                <w:rtl/>
              </w:rPr>
            </w:pPr>
          </w:p>
        </w:tc>
        <w:tc>
          <w:tcPr>
            <w:tcW w:w="825" w:type="dxa"/>
            <w:vAlign w:val="bottom"/>
          </w:tcPr>
          <w:p w14:paraId="0B5EF6AF" w14:textId="77777777" w:rsidR="00F32A2A" w:rsidRDefault="00F32A2A">
            <w:pPr>
              <w:spacing w:line="40" w:lineRule="exact"/>
              <w:rPr>
                <w:sz w:val="18"/>
                <w:szCs w:val="18"/>
                <w:rtl/>
              </w:rPr>
            </w:pPr>
          </w:p>
        </w:tc>
        <w:tc>
          <w:tcPr>
            <w:tcW w:w="688" w:type="dxa"/>
            <w:tcBorders>
              <w:right w:val="nil"/>
            </w:tcBorders>
            <w:vAlign w:val="bottom"/>
          </w:tcPr>
          <w:p w14:paraId="552A5324" w14:textId="77777777" w:rsidR="00F32A2A" w:rsidRDefault="00F32A2A">
            <w:pPr>
              <w:spacing w:line="40" w:lineRule="exact"/>
              <w:rPr>
                <w:sz w:val="18"/>
                <w:szCs w:val="18"/>
                <w:rtl/>
              </w:rPr>
            </w:pPr>
          </w:p>
        </w:tc>
        <w:tc>
          <w:tcPr>
            <w:tcW w:w="688" w:type="dxa"/>
            <w:tcBorders>
              <w:right w:val="nil"/>
            </w:tcBorders>
            <w:vAlign w:val="bottom"/>
          </w:tcPr>
          <w:p w14:paraId="53C4756D" w14:textId="77777777" w:rsidR="00F32A2A" w:rsidRDefault="00F32A2A">
            <w:pPr>
              <w:spacing w:line="40" w:lineRule="exact"/>
              <w:rPr>
                <w:sz w:val="18"/>
                <w:szCs w:val="18"/>
                <w:rtl/>
              </w:rPr>
            </w:pPr>
          </w:p>
        </w:tc>
        <w:tc>
          <w:tcPr>
            <w:tcW w:w="802" w:type="dxa"/>
            <w:tcBorders>
              <w:right w:val="nil"/>
            </w:tcBorders>
            <w:vAlign w:val="bottom"/>
          </w:tcPr>
          <w:p w14:paraId="32D9BF46" w14:textId="77777777" w:rsidR="00F32A2A" w:rsidRDefault="00F32A2A">
            <w:pPr>
              <w:spacing w:line="40" w:lineRule="exact"/>
              <w:rPr>
                <w:sz w:val="18"/>
                <w:szCs w:val="18"/>
                <w:rtl/>
              </w:rPr>
            </w:pPr>
          </w:p>
        </w:tc>
        <w:tc>
          <w:tcPr>
            <w:tcW w:w="673" w:type="dxa"/>
            <w:tcBorders>
              <w:right w:val="nil"/>
            </w:tcBorders>
            <w:vAlign w:val="bottom"/>
          </w:tcPr>
          <w:p w14:paraId="668BB0C0" w14:textId="77777777" w:rsidR="00F32A2A" w:rsidRDefault="00F32A2A">
            <w:pPr>
              <w:spacing w:line="40" w:lineRule="exact"/>
              <w:rPr>
                <w:sz w:val="18"/>
                <w:szCs w:val="18"/>
                <w:rtl/>
              </w:rPr>
            </w:pPr>
          </w:p>
        </w:tc>
      </w:tr>
      <w:tr w:rsidR="00D0470C" w:rsidRPr="00A10E01" w14:paraId="11EAFDAD" w14:textId="77777777" w:rsidTr="003765C0">
        <w:trPr>
          <w:trHeight w:val="259"/>
          <w:jc w:val="right"/>
        </w:trPr>
        <w:tc>
          <w:tcPr>
            <w:tcW w:w="3963" w:type="dxa"/>
            <w:vAlign w:val="bottom"/>
          </w:tcPr>
          <w:p w14:paraId="1F9B35F0" w14:textId="77777777" w:rsidR="00D0470C" w:rsidRPr="00A10E01" w:rsidRDefault="00D0470C" w:rsidP="00DB3CB2">
            <w:pPr>
              <w:spacing w:before="20" w:line="220" w:lineRule="exact"/>
              <w:jc w:val="left"/>
              <w:rPr>
                <w:b/>
                <w:bCs/>
                <w:color w:val="000000"/>
                <w:sz w:val="18"/>
                <w:szCs w:val="18"/>
                <w:rtl/>
                <w:lang w:eastAsia="he-IL"/>
              </w:rPr>
            </w:pPr>
            <w:r w:rsidRPr="00A10E01">
              <w:rPr>
                <w:rFonts w:hint="eastAsia"/>
                <w:b/>
                <w:bCs/>
                <w:color w:val="000000"/>
                <w:sz w:val="18"/>
                <w:szCs w:val="18"/>
                <w:rtl/>
                <w:lang w:eastAsia="he-IL"/>
              </w:rPr>
              <w:t>סה</w:t>
            </w:r>
            <w:r w:rsidRPr="00A10E01">
              <w:rPr>
                <w:b/>
                <w:bCs/>
                <w:color w:val="000000"/>
                <w:sz w:val="18"/>
                <w:szCs w:val="18"/>
                <w:rtl/>
                <w:lang w:eastAsia="he-IL"/>
              </w:rPr>
              <w:t xml:space="preserve">"כ </w:t>
            </w:r>
            <w:r w:rsidRPr="00A10E01">
              <w:rPr>
                <w:rFonts w:hint="eastAsia"/>
                <w:b/>
                <w:bCs/>
                <w:color w:val="000000"/>
                <w:sz w:val="18"/>
                <w:szCs w:val="18"/>
                <w:rtl/>
                <w:lang w:eastAsia="he-IL"/>
              </w:rPr>
              <w:t>השינוי</w:t>
            </w:r>
            <w:r w:rsidRPr="00A10E01">
              <w:rPr>
                <w:b/>
                <w:bCs/>
                <w:color w:val="000000"/>
                <w:sz w:val="18"/>
                <w:szCs w:val="18"/>
                <w:rtl/>
                <w:lang w:eastAsia="he-IL"/>
              </w:rPr>
              <w:t xml:space="preserve"> </w:t>
            </w:r>
            <w:r w:rsidRPr="00A10E01">
              <w:rPr>
                <w:rFonts w:hint="eastAsia"/>
                <w:b/>
                <w:bCs/>
                <w:color w:val="000000"/>
                <w:sz w:val="18"/>
                <w:szCs w:val="18"/>
                <w:rtl/>
                <w:lang w:eastAsia="he-IL"/>
              </w:rPr>
              <w:t>נטו</w:t>
            </w:r>
            <w:r w:rsidRPr="00A10E01">
              <w:rPr>
                <w:b/>
                <w:bCs/>
                <w:color w:val="000000"/>
                <w:sz w:val="18"/>
                <w:szCs w:val="18"/>
                <w:rtl/>
                <w:lang w:eastAsia="he-IL"/>
              </w:rPr>
              <w:t xml:space="preserve"> </w:t>
            </w:r>
            <w:r w:rsidRPr="00A10E01">
              <w:rPr>
                <w:rFonts w:hint="eastAsia"/>
                <w:b/>
                <w:bCs/>
                <w:color w:val="000000"/>
                <w:sz w:val="18"/>
                <w:szCs w:val="18"/>
                <w:rtl/>
                <w:lang w:eastAsia="he-IL"/>
              </w:rPr>
              <w:t>במהלך</w:t>
            </w:r>
            <w:r w:rsidRPr="00A10E01">
              <w:rPr>
                <w:b/>
                <w:bCs/>
                <w:color w:val="000000"/>
                <w:sz w:val="18"/>
                <w:szCs w:val="18"/>
                <w:rtl/>
                <w:lang w:eastAsia="he-IL"/>
              </w:rPr>
              <w:t xml:space="preserve"> </w:t>
            </w:r>
            <w:r>
              <w:rPr>
                <w:rFonts w:hint="cs"/>
                <w:b/>
                <w:bCs/>
                <w:color w:val="000000"/>
                <w:sz w:val="18"/>
                <w:szCs w:val="18"/>
                <w:rtl/>
                <w:lang w:eastAsia="he-IL"/>
              </w:rPr>
              <w:t>התקופה</w:t>
            </w:r>
          </w:p>
        </w:tc>
        <w:tc>
          <w:tcPr>
            <w:tcW w:w="684" w:type="dxa"/>
            <w:tcMar>
              <w:left w:w="58" w:type="dxa"/>
              <w:right w:w="58" w:type="dxa"/>
            </w:tcMar>
            <w:vAlign w:val="bottom"/>
          </w:tcPr>
          <w:p w14:paraId="2070FD33"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5" w:type="dxa"/>
            <w:vAlign w:val="bottom"/>
          </w:tcPr>
          <w:p w14:paraId="29AE4C2B"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8" w:type="dxa"/>
            <w:vAlign w:val="bottom"/>
          </w:tcPr>
          <w:p w14:paraId="1EACE1C5"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5" w:type="dxa"/>
            <w:tcMar>
              <w:left w:w="58" w:type="dxa"/>
              <w:right w:w="58" w:type="dxa"/>
            </w:tcMar>
            <w:vAlign w:val="bottom"/>
          </w:tcPr>
          <w:p w14:paraId="695DF55E"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25" w:type="dxa"/>
            <w:vAlign w:val="bottom"/>
          </w:tcPr>
          <w:p w14:paraId="549AF6D5"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8" w:type="dxa"/>
            <w:tcBorders>
              <w:right w:val="nil"/>
            </w:tcBorders>
            <w:vAlign w:val="bottom"/>
          </w:tcPr>
          <w:p w14:paraId="57FC217E"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88" w:type="dxa"/>
            <w:tcBorders>
              <w:right w:val="nil"/>
            </w:tcBorders>
            <w:vAlign w:val="bottom"/>
          </w:tcPr>
          <w:p w14:paraId="7E9DCFFD"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802" w:type="dxa"/>
            <w:tcBorders>
              <w:right w:val="nil"/>
            </w:tcBorders>
            <w:vAlign w:val="bottom"/>
          </w:tcPr>
          <w:p w14:paraId="0741085C"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c>
          <w:tcPr>
            <w:tcW w:w="673" w:type="dxa"/>
            <w:tcBorders>
              <w:right w:val="nil"/>
            </w:tcBorders>
            <w:vAlign w:val="bottom"/>
          </w:tcPr>
          <w:p w14:paraId="64EA772E" w14:textId="77777777" w:rsidR="00D0470C" w:rsidRPr="00A10E01" w:rsidRDefault="00D0470C" w:rsidP="006F3019">
            <w:pPr>
              <w:pBdr>
                <w:bottom w:val="single" w:sz="4" w:space="1" w:color="auto"/>
              </w:pBdr>
              <w:spacing w:line="220" w:lineRule="exact"/>
              <w:rPr>
                <w:b/>
                <w:bCs/>
                <w:sz w:val="18"/>
                <w:szCs w:val="18"/>
                <w:rtl/>
              </w:rPr>
            </w:pPr>
            <w:r w:rsidRPr="00A10E01">
              <w:rPr>
                <w:b/>
                <w:bCs/>
                <w:sz w:val="18"/>
                <w:szCs w:val="18"/>
                <w:rtl/>
              </w:rPr>
              <w:t xml:space="preserve"> 0</w:t>
            </w:r>
          </w:p>
        </w:tc>
      </w:tr>
      <w:tr w:rsidR="00D0470C" w:rsidRPr="00A10E01" w14:paraId="7D01C42D" w14:textId="77777777" w:rsidTr="003765C0">
        <w:trPr>
          <w:jc w:val="right"/>
        </w:trPr>
        <w:tc>
          <w:tcPr>
            <w:tcW w:w="3963" w:type="dxa"/>
            <w:vAlign w:val="bottom"/>
          </w:tcPr>
          <w:p w14:paraId="7F1280C7" w14:textId="77777777" w:rsidR="00F32A2A" w:rsidRDefault="00F32A2A">
            <w:pPr>
              <w:spacing w:line="40" w:lineRule="exact"/>
              <w:ind w:left="114" w:hanging="114"/>
              <w:jc w:val="left"/>
              <w:rPr>
                <w:b/>
                <w:bCs/>
                <w:color w:val="000000"/>
                <w:sz w:val="18"/>
                <w:szCs w:val="18"/>
                <w:rtl/>
                <w:lang w:eastAsia="he-IL"/>
              </w:rPr>
            </w:pPr>
          </w:p>
        </w:tc>
        <w:tc>
          <w:tcPr>
            <w:tcW w:w="684" w:type="dxa"/>
            <w:tcMar>
              <w:left w:w="58" w:type="dxa"/>
              <w:right w:w="58" w:type="dxa"/>
            </w:tcMar>
            <w:vAlign w:val="bottom"/>
          </w:tcPr>
          <w:p w14:paraId="03E35592" w14:textId="77777777" w:rsidR="00F32A2A" w:rsidRDefault="00F32A2A">
            <w:pPr>
              <w:spacing w:line="40" w:lineRule="exact"/>
              <w:rPr>
                <w:sz w:val="18"/>
                <w:szCs w:val="18"/>
                <w:rtl/>
              </w:rPr>
            </w:pPr>
          </w:p>
        </w:tc>
        <w:tc>
          <w:tcPr>
            <w:tcW w:w="825" w:type="dxa"/>
            <w:vAlign w:val="bottom"/>
          </w:tcPr>
          <w:p w14:paraId="43567E82" w14:textId="77777777" w:rsidR="00F32A2A" w:rsidRDefault="00F32A2A">
            <w:pPr>
              <w:spacing w:line="40" w:lineRule="exact"/>
              <w:rPr>
                <w:sz w:val="18"/>
                <w:szCs w:val="18"/>
                <w:rtl/>
              </w:rPr>
            </w:pPr>
          </w:p>
        </w:tc>
        <w:tc>
          <w:tcPr>
            <w:tcW w:w="688" w:type="dxa"/>
            <w:vAlign w:val="bottom"/>
          </w:tcPr>
          <w:p w14:paraId="68400B1B" w14:textId="77777777" w:rsidR="00F32A2A" w:rsidRDefault="00F32A2A">
            <w:pPr>
              <w:spacing w:line="40" w:lineRule="exact"/>
              <w:rPr>
                <w:sz w:val="18"/>
                <w:szCs w:val="18"/>
                <w:rtl/>
              </w:rPr>
            </w:pPr>
          </w:p>
        </w:tc>
        <w:tc>
          <w:tcPr>
            <w:tcW w:w="685" w:type="dxa"/>
            <w:tcMar>
              <w:left w:w="58" w:type="dxa"/>
              <w:right w:w="58" w:type="dxa"/>
            </w:tcMar>
            <w:vAlign w:val="bottom"/>
          </w:tcPr>
          <w:p w14:paraId="7BF6E864" w14:textId="77777777" w:rsidR="00F32A2A" w:rsidRDefault="00F32A2A">
            <w:pPr>
              <w:spacing w:line="40" w:lineRule="exact"/>
              <w:rPr>
                <w:sz w:val="18"/>
                <w:szCs w:val="18"/>
                <w:rtl/>
              </w:rPr>
            </w:pPr>
          </w:p>
        </w:tc>
        <w:tc>
          <w:tcPr>
            <w:tcW w:w="825" w:type="dxa"/>
            <w:vAlign w:val="bottom"/>
          </w:tcPr>
          <w:p w14:paraId="4A3E3F83" w14:textId="77777777" w:rsidR="00F32A2A" w:rsidRDefault="00F32A2A">
            <w:pPr>
              <w:spacing w:line="40" w:lineRule="exact"/>
              <w:rPr>
                <w:sz w:val="18"/>
                <w:szCs w:val="18"/>
                <w:rtl/>
              </w:rPr>
            </w:pPr>
          </w:p>
        </w:tc>
        <w:tc>
          <w:tcPr>
            <w:tcW w:w="688" w:type="dxa"/>
            <w:tcBorders>
              <w:right w:val="nil"/>
            </w:tcBorders>
            <w:vAlign w:val="bottom"/>
          </w:tcPr>
          <w:p w14:paraId="51174FBE" w14:textId="77777777" w:rsidR="00F32A2A" w:rsidRDefault="00F32A2A">
            <w:pPr>
              <w:spacing w:line="40" w:lineRule="exact"/>
              <w:rPr>
                <w:sz w:val="18"/>
                <w:szCs w:val="18"/>
                <w:rtl/>
              </w:rPr>
            </w:pPr>
          </w:p>
        </w:tc>
        <w:tc>
          <w:tcPr>
            <w:tcW w:w="688" w:type="dxa"/>
            <w:tcBorders>
              <w:right w:val="nil"/>
            </w:tcBorders>
            <w:vAlign w:val="bottom"/>
          </w:tcPr>
          <w:p w14:paraId="065B0CFC" w14:textId="77777777" w:rsidR="00F32A2A" w:rsidRDefault="00F32A2A">
            <w:pPr>
              <w:spacing w:line="40" w:lineRule="exact"/>
              <w:rPr>
                <w:sz w:val="18"/>
                <w:szCs w:val="18"/>
                <w:rtl/>
              </w:rPr>
            </w:pPr>
          </w:p>
        </w:tc>
        <w:tc>
          <w:tcPr>
            <w:tcW w:w="802" w:type="dxa"/>
            <w:tcBorders>
              <w:right w:val="nil"/>
            </w:tcBorders>
            <w:vAlign w:val="bottom"/>
          </w:tcPr>
          <w:p w14:paraId="6E0DD4AB" w14:textId="77777777" w:rsidR="00F32A2A" w:rsidRDefault="00F32A2A">
            <w:pPr>
              <w:spacing w:line="40" w:lineRule="exact"/>
              <w:rPr>
                <w:sz w:val="18"/>
                <w:szCs w:val="18"/>
                <w:rtl/>
              </w:rPr>
            </w:pPr>
          </w:p>
        </w:tc>
        <w:tc>
          <w:tcPr>
            <w:tcW w:w="673" w:type="dxa"/>
            <w:tcBorders>
              <w:right w:val="nil"/>
            </w:tcBorders>
            <w:vAlign w:val="bottom"/>
          </w:tcPr>
          <w:p w14:paraId="23A49C02" w14:textId="77777777" w:rsidR="00F32A2A" w:rsidRDefault="00F32A2A">
            <w:pPr>
              <w:spacing w:line="40" w:lineRule="exact"/>
              <w:rPr>
                <w:sz w:val="18"/>
                <w:szCs w:val="18"/>
                <w:rtl/>
              </w:rPr>
            </w:pPr>
          </w:p>
        </w:tc>
      </w:tr>
      <w:tr w:rsidR="00D0470C" w:rsidRPr="00A10E01" w14:paraId="056D5353" w14:textId="77777777" w:rsidTr="003765C0">
        <w:trPr>
          <w:trHeight w:val="259"/>
          <w:jc w:val="right"/>
        </w:trPr>
        <w:tc>
          <w:tcPr>
            <w:tcW w:w="3963" w:type="dxa"/>
            <w:vAlign w:val="bottom"/>
          </w:tcPr>
          <w:p w14:paraId="47CFEF2E" w14:textId="77777777" w:rsidR="00D0470C" w:rsidRPr="00A10E01" w:rsidRDefault="00D0470C" w:rsidP="00DB3CB2">
            <w:pPr>
              <w:spacing w:before="60" w:line="220" w:lineRule="exact"/>
              <w:jc w:val="left"/>
              <w:rPr>
                <w:b/>
                <w:bCs/>
                <w:color w:val="000000"/>
                <w:sz w:val="18"/>
                <w:szCs w:val="18"/>
                <w:rtl/>
                <w:lang w:eastAsia="he-IL"/>
              </w:rPr>
            </w:pPr>
            <w:r w:rsidRPr="00A10E01">
              <w:rPr>
                <w:rFonts w:hint="eastAsia"/>
                <w:b/>
                <w:bCs/>
                <w:color w:val="000000"/>
                <w:sz w:val="18"/>
                <w:szCs w:val="18"/>
                <w:u w:val="single"/>
                <w:rtl/>
                <w:lang w:eastAsia="he-IL"/>
              </w:rPr>
              <w:t>השינויים</w:t>
            </w:r>
            <w:r w:rsidRPr="00A10E01">
              <w:rPr>
                <w:b/>
                <w:bCs/>
                <w:color w:val="000000"/>
                <w:sz w:val="18"/>
                <w:szCs w:val="18"/>
                <w:u w:val="single"/>
                <w:rtl/>
                <w:lang w:eastAsia="he-IL"/>
              </w:rPr>
              <w:t xml:space="preserve"> </w:t>
            </w:r>
            <w:r w:rsidRPr="00A10E01">
              <w:rPr>
                <w:rFonts w:hint="eastAsia"/>
                <w:b/>
                <w:bCs/>
                <w:color w:val="000000"/>
                <w:sz w:val="18"/>
                <w:szCs w:val="18"/>
                <w:u w:val="single"/>
                <w:rtl/>
                <w:lang w:eastAsia="he-IL"/>
              </w:rPr>
              <w:t>במרכיבי</w:t>
            </w:r>
            <w:r w:rsidRPr="00A10E01">
              <w:rPr>
                <w:b/>
                <w:bCs/>
                <w:color w:val="000000"/>
                <w:sz w:val="18"/>
                <w:szCs w:val="18"/>
                <w:u w:val="single"/>
                <w:rtl/>
                <w:lang w:eastAsia="he-IL"/>
              </w:rPr>
              <w:t xml:space="preserve"> </w:t>
            </w:r>
            <w:r w:rsidRPr="00A10E01">
              <w:rPr>
                <w:rFonts w:hint="eastAsia"/>
                <w:b/>
                <w:bCs/>
                <w:color w:val="000000"/>
                <w:sz w:val="18"/>
                <w:szCs w:val="18"/>
                <w:u w:val="single"/>
                <w:rtl/>
                <w:lang w:eastAsia="he-IL"/>
              </w:rPr>
              <w:t>רווח</w:t>
            </w:r>
            <w:r w:rsidRPr="00A10E01">
              <w:rPr>
                <w:b/>
                <w:bCs/>
                <w:color w:val="000000"/>
                <w:sz w:val="18"/>
                <w:szCs w:val="18"/>
                <w:u w:val="single"/>
                <w:rtl/>
                <w:lang w:eastAsia="he-IL"/>
              </w:rPr>
              <w:t xml:space="preserve"> (הפסד) </w:t>
            </w:r>
            <w:r w:rsidRPr="00A10E01">
              <w:rPr>
                <w:rFonts w:hint="eastAsia"/>
                <w:b/>
                <w:bCs/>
                <w:color w:val="000000"/>
                <w:sz w:val="18"/>
                <w:szCs w:val="18"/>
                <w:u w:val="single"/>
                <w:rtl/>
                <w:lang w:eastAsia="he-IL"/>
              </w:rPr>
              <w:t>כולל</w:t>
            </w:r>
            <w:r w:rsidRPr="00A10E01">
              <w:rPr>
                <w:b/>
                <w:bCs/>
                <w:color w:val="000000"/>
                <w:sz w:val="18"/>
                <w:szCs w:val="18"/>
                <w:u w:val="single"/>
                <w:rtl/>
                <w:lang w:eastAsia="he-IL"/>
              </w:rPr>
              <w:t xml:space="preserve"> </w:t>
            </w:r>
            <w:r w:rsidRPr="00A10E01">
              <w:rPr>
                <w:rFonts w:hint="eastAsia"/>
                <w:b/>
                <w:bCs/>
                <w:color w:val="000000"/>
                <w:sz w:val="18"/>
                <w:szCs w:val="18"/>
                <w:u w:val="single"/>
                <w:rtl/>
                <w:lang w:eastAsia="he-IL"/>
              </w:rPr>
              <w:t>אחר</w:t>
            </w:r>
            <w:r w:rsidRPr="00A10E01">
              <w:rPr>
                <w:b/>
                <w:bCs/>
                <w:color w:val="000000"/>
                <w:sz w:val="18"/>
                <w:szCs w:val="18"/>
                <w:u w:val="single"/>
                <w:rtl/>
                <w:lang w:eastAsia="he-IL"/>
              </w:rPr>
              <w:t xml:space="preserve"> המיוחס לבעלי זכויות שאינן מקנות שליטה</w:t>
            </w:r>
            <w:r w:rsidRPr="00A10E01">
              <w:rPr>
                <w:b/>
                <w:bCs/>
                <w:color w:val="000000"/>
                <w:sz w:val="18"/>
                <w:szCs w:val="18"/>
                <w:rtl/>
                <w:lang w:eastAsia="he-IL"/>
              </w:rPr>
              <w:t>:</w:t>
            </w:r>
          </w:p>
        </w:tc>
        <w:tc>
          <w:tcPr>
            <w:tcW w:w="684" w:type="dxa"/>
            <w:tcMar>
              <w:left w:w="58" w:type="dxa"/>
              <w:right w:w="58" w:type="dxa"/>
            </w:tcMar>
            <w:vAlign w:val="bottom"/>
          </w:tcPr>
          <w:p w14:paraId="0F1782DE" w14:textId="77777777" w:rsidR="00D0470C" w:rsidRPr="00A10E01" w:rsidRDefault="00D0470C" w:rsidP="006F3019">
            <w:pPr>
              <w:spacing w:before="20" w:line="220" w:lineRule="exact"/>
              <w:rPr>
                <w:sz w:val="18"/>
                <w:szCs w:val="18"/>
                <w:rtl/>
              </w:rPr>
            </w:pPr>
          </w:p>
        </w:tc>
        <w:tc>
          <w:tcPr>
            <w:tcW w:w="825" w:type="dxa"/>
            <w:vAlign w:val="bottom"/>
          </w:tcPr>
          <w:p w14:paraId="1404393F" w14:textId="77777777" w:rsidR="00D0470C" w:rsidRPr="00A10E01" w:rsidRDefault="00D0470C" w:rsidP="006F3019">
            <w:pPr>
              <w:spacing w:before="20" w:line="220" w:lineRule="exact"/>
              <w:rPr>
                <w:sz w:val="18"/>
                <w:szCs w:val="18"/>
                <w:rtl/>
              </w:rPr>
            </w:pPr>
          </w:p>
        </w:tc>
        <w:tc>
          <w:tcPr>
            <w:tcW w:w="688" w:type="dxa"/>
            <w:vAlign w:val="bottom"/>
          </w:tcPr>
          <w:p w14:paraId="0114DB04" w14:textId="77777777" w:rsidR="00D0470C" w:rsidRPr="00A10E01" w:rsidRDefault="00D0470C" w:rsidP="006F3019">
            <w:pPr>
              <w:spacing w:before="20" w:line="220" w:lineRule="exact"/>
              <w:rPr>
                <w:sz w:val="18"/>
                <w:szCs w:val="18"/>
                <w:rtl/>
              </w:rPr>
            </w:pPr>
          </w:p>
        </w:tc>
        <w:tc>
          <w:tcPr>
            <w:tcW w:w="685" w:type="dxa"/>
            <w:tcMar>
              <w:left w:w="58" w:type="dxa"/>
              <w:right w:w="58" w:type="dxa"/>
            </w:tcMar>
            <w:vAlign w:val="bottom"/>
          </w:tcPr>
          <w:p w14:paraId="1822D39D" w14:textId="77777777" w:rsidR="00D0470C" w:rsidRPr="00A10E01" w:rsidRDefault="00D0470C" w:rsidP="006F3019">
            <w:pPr>
              <w:spacing w:before="20" w:line="220" w:lineRule="exact"/>
              <w:rPr>
                <w:sz w:val="18"/>
                <w:szCs w:val="18"/>
                <w:rtl/>
              </w:rPr>
            </w:pPr>
          </w:p>
        </w:tc>
        <w:tc>
          <w:tcPr>
            <w:tcW w:w="825" w:type="dxa"/>
            <w:vAlign w:val="bottom"/>
          </w:tcPr>
          <w:p w14:paraId="0B1CF97E" w14:textId="77777777" w:rsidR="00D0470C" w:rsidRPr="00A10E01" w:rsidRDefault="00D0470C" w:rsidP="006F3019">
            <w:pPr>
              <w:spacing w:before="20" w:line="220" w:lineRule="exact"/>
              <w:rPr>
                <w:sz w:val="18"/>
                <w:szCs w:val="18"/>
                <w:rtl/>
              </w:rPr>
            </w:pPr>
          </w:p>
        </w:tc>
        <w:tc>
          <w:tcPr>
            <w:tcW w:w="688" w:type="dxa"/>
            <w:tcBorders>
              <w:right w:val="nil"/>
            </w:tcBorders>
            <w:vAlign w:val="bottom"/>
          </w:tcPr>
          <w:p w14:paraId="719C1260" w14:textId="77777777" w:rsidR="00D0470C" w:rsidRPr="00A10E01" w:rsidRDefault="00D0470C" w:rsidP="006F3019">
            <w:pPr>
              <w:spacing w:before="20" w:line="220" w:lineRule="exact"/>
              <w:rPr>
                <w:sz w:val="18"/>
                <w:szCs w:val="18"/>
                <w:rtl/>
              </w:rPr>
            </w:pPr>
          </w:p>
        </w:tc>
        <w:tc>
          <w:tcPr>
            <w:tcW w:w="688" w:type="dxa"/>
            <w:tcBorders>
              <w:right w:val="nil"/>
            </w:tcBorders>
            <w:vAlign w:val="bottom"/>
          </w:tcPr>
          <w:p w14:paraId="0B79ECE5" w14:textId="77777777" w:rsidR="00D0470C" w:rsidRPr="00A10E01" w:rsidRDefault="00D0470C" w:rsidP="006F3019">
            <w:pPr>
              <w:spacing w:before="20" w:line="220" w:lineRule="exact"/>
              <w:rPr>
                <w:sz w:val="18"/>
                <w:szCs w:val="18"/>
                <w:rtl/>
              </w:rPr>
            </w:pPr>
          </w:p>
        </w:tc>
        <w:tc>
          <w:tcPr>
            <w:tcW w:w="802" w:type="dxa"/>
            <w:tcBorders>
              <w:right w:val="nil"/>
            </w:tcBorders>
            <w:vAlign w:val="bottom"/>
          </w:tcPr>
          <w:p w14:paraId="5F81BA5F" w14:textId="77777777" w:rsidR="00D0470C" w:rsidRPr="00A10E01" w:rsidRDefault="00D0470C" w:rsidP="006F3019">
            <w:pPr>
              <w:spacing w:before="20" w:line="220" w:lineRule="exact"/>
              <w:rPr>
                <w:sz w:val="18"/>
                <w:szCs w:val="18"/>
                <w:rtl/>
              </w:rPr>
            </w:pPr>
          </w:p>
        </w:tc>
        <w:tc>
          <w:tcPr>
            <w:tcW w:w="673" w:type="dxa"/>
            <w:tcBorders>
              <w:right w:val="nil"/>
            </w:tcBorders>
            <w:vAlign w:val="bottom"/>
          </w:tcPr>
          <w:p w14:paraId="0ED7BCA9" w14:textId="77777777" w:rsidR="00D0470C" w:rsidRPr="00A10E01" w:rsidRDefault="00D0470C" w:rsidP="006F3019">
            <w:pPr>
              <w:spacing w:before="20" w:line="220" w:lineRule="exact"/>
              <w:rPr>
                <w:sz w:val="18"/>
                <w:szCs w:val="18"/>
                <w:rtl/>
              </w:rPr>
            </w:pPr>
          </w:p>
        </w:tc>
      </w:tr>
      <w:tr w:rsidR="00D0470C" w:rsidRPr="00A10E01" w14:paraId="24C91C53" w14:textId="77777777" w:rsidTr="003765C0">
        <w:trPr>
          <w:trHeight w:val="259"/>
          <w:jc w:val="right"/>
        </w:trPr>
        <w:tc>
          <w:tcPr>
            <w:tcW w:w="3963" w:type="dxa"/>
            <w:vAlign w:val="bottom"/>
          </w:tcPr>
          <w:p w14:paraId="4E2245E8" w14:textId="77777777" w:rsidR="00D0470C" w:rsidRPr="00A10E01" w:rsidRDefault="00D0470C" w:rsidP="00DB3CB2">
            <w:pPr>
              <w:spacing w:before="20" w:line="220" w:lineRule="exact"/>
              <w:jc w:val="left"/>
              <w:rPr>
                <w:b/>
                <w:bCs/>
                <w:color w:val="000000"/>
                <w:sz w:val="18"/>
                <w:szCs w:val="18"/>
                <w:rtl/>
                <w:lang w:eastAsia="he-IL"/>
              </w:rPr>
            </w:pPr>
            <w:r w:rsidRPr="00A10E01">
              <w:rPr>
                <w:rFonts w:hint="eastAsia"/>
                <w:b/>
                <w:bCs/>
                <w:color w:val="000000"/>
                <w:sz w:val="18"/>
                <w:szCs w:val="18"/>
                <w:rtl/>
                <w:lang w:eastAsia="he-IL"/>
              </w:rPr>
              <w:t>סה</w:t>
            </w:r>
            <w:r w:rsidRPr="00A10E01">
              <w:rPr>
                <w:b/>
                <w:bCs/>
                <w:color w:val="000000"/>
                <w:sz w:val="18"/>
                <w:szCs w:val="18"/>
                <w:rtl/>
                <w:lang w:eastAsia="he-IL"/>
              </w:rPr>
              <w:t xml:space="preserve">"כ </w:t>
            </w:r>
            <w:r w:rsidRPr="00A10E01">
              <w:rPr>
                <w:rFonts w:hint="eastAsia"/>
                <w:b/>
                <w:bCs/>
                <w:color w:val="000000"/>
                <w:sz w:val="18"/>
                <w:szCs w:val="18"/>
                <w:rtl/>
                <w:lang w:eastAsia="he-IL"/>
              </w:rPr>
              <w:t>השינוי</w:t>
            </w:r>
            <w:r w:rsidRPr="00A10E01">
              <w:rPr>
                <w:b/>
                <w:bCs/>
                <w:color w:val="000000"/>
                <w:sz w:val="18"/>
                <w:szCs w:val="18"/>
                <w:rtl/>
                <w:lang w:eastAsia="he-IL"/>
              </w:rPr>
              <w:t xml:space="preserve"> </w:t>
            </w:r>
            <w:r w:rsidRPr="00A10E01">
              <w:rPr>
                <w:rFonts w:hint="eastAsia"/>
                <w:b/>
                <w:bCs/>
                <w:color w:val="000000"/>
                <w:sz w:val="18"/>
                <w:szCs w:val="18"/>
                <w:rtl/>
                <w:lang w:eastAsia="he-IL"/>
              </w:rPr>
              <w:t>נטו</w:t>
            </w:r>
            <w:r w:rsidRPr="00A10E01">
              <w:rPr>
                <w:b/>
                <w:bCs/>
                <w:color w:val="000000"/>
                <w:sz w:val="18"/>
                <w:szCs w:val="18"/>
                <w:rtl/>
                <w:lang w:eastAsia="he-IL"/>
              </w:rPr>
              <w:t xml:space="preserve"> </w:t>
            </w:r>
            <w:r w:rsidRPr="00A10E01">
              <w:rPr>
                <w:rFonts w:hint="eastAsia"/>
                <w:b/>
                <w:bCs/>
                <w:color w:val="000000"/>
                <w:sz w:val="18"/>
                <w:szCs w:val="18"/>
                <w:rtl/>
                <w:lang w:eastAsia="he-IL"/>
              </w:rPr>
              <w:t>במהלך</w:t>
            </w:r>
            <w:r w:rsidRPr="00A10E01">
              <w:rPr>
                <w:b/>
                <w:bCs/>
                <w:color w:val="000000"/>
                <w:sz w:val="18"/>
                <w:szCs w:val="18"/>
                <w:rtl/>
                <w:lang w:eastAsia="he-IL"/>
              </w:rPr>
              <w:t xml:space="preserve"> </w:t>
            </w:r>
            <w:r>
              <w:rPr>
                <w:rFonts w:hint="cs"/>
                <w:b/>
                <w:bCs/>
                <w:color w:val="000000"/>
                <w:sz w:val="18"/>
                <w:szCs w:val="18"/>
                <w:rtl/>
                <w:lang w:eastAsia="he-IL"/>
              </w:rPr>
              <w:t>התקופה</w:t>
            </w:r>
          </w:p>
        </w:tc>
        <w:tc>
          <w:tcPr>
            <w:tcW w:w="684" w:type="dxa"/>
            <w:tcMar>
              <w:left w:w="58" w:type="dxa"/>
              <w:right w:w="58" w:type="dxa"/>
            </w:tcMar>
            <w:vAlign w:val="bottom"/>
          </w:tcPr>
          <w:p w14:paraId="13E0BC50" w14:textId="77777777" w:rsidR="00D0470C" w:rsidRPr="00A10E01" w:rsidRDefault="00D0470C" w:rsidP="006F3019">
            <w:pPr>
              <w:pBdr>
                <w:bottom w:val="single" w:sz="4" w:space="1" w:color="auto"/>
              </w:pBdr>
              <w:spacing w:before="20" w:line="220" w:lineRule="exact"/>
              <w:rPr>
                <w:b/>
                <w:bCs/>
                <w:sz w:val="18"/>
                <w:szCs w:val="18"/>
                <w:rtl/>
              </w:rPr>
            </w:pPr>
            <w:r w:rsidRPr="00A10E01">
              <w:rPr>
                <w:b/>
                <w:bCs/>
                <w:sz w:val="18"/>
                <w:szCs w:val="18"/>
                <w:rtl/>
              </w:rPr>
              <w:t xml:space="preserve"> 0</w:t>
            </w:r>
          </w:p>
        </w:tc>
        <w:tc>
          <w:tcPr>
            <w:tcW w:w="825" w:type="dxa"/>
            <w:vAlign w:val="bottom"/>
          </w:tcPr>
          <w:p w14:paraId="2FA4F32C" w14:textId="77777777" w:rsidR="00D0470C" w:rsidRPr="00A10E01" w:rsidRDefault="00D0470C" w:rsidP="006F3019">
            <w:pPr>
              <w:pBdr>
                <w:bottom w:val="single" w:sz="4" w:space="1" w:color="auto"/>
              </w:pBdr>
              <w:spacing w:before="20" w:line="220" w:lineRule="exact"/>
              <w:rPr>
                <w:b/>
                <w:bCs/>
                <w:sz w:val="18"/>
                <w:szCs w:val="18"/>
                <w:rtl/>
              </w:rPr>
            </w:pPr>
            <w:r w:rsidRPr="00A10E01">
              <w:rPr>
                <w:b/>
                <w:bCs/>
                <w:sz w:val="18"/>
                <w:szCs w:val="18"/>
                <w:rtl/>
              </w:rPr>
              <w:t xml:space="preserve"> 0</w:t>
            </w:r>
          </w:p>
        </w:tc>
        <w:tc>
          <w:tcPr>
            <w:tcW w:w="688" w:type="dxa"/>
            <w:vAlign w:val="bottom"/>
          </w:tcPr>
          <w:p w14:paraId="6611BBF8" w14:textId="77777777" w:rsidR="00D0470C" w:rsidRPr="00A10E01" w:rsidRDefault="00D0470C" w:rsidP="006F3019">
            <w:pPr>
              <w:pBdr>
                <w:bottom w:val="single" w:sz="4" w:space="1" w:color="auto"/>
              </w:pBdr>
              <w:spacing w:before="20" w:line="220" w:lineRule="exact"/>
              <w:rPr>
                <w:b/>
                <w:bCs/>
                <w:sz w:val="18"/>
                <w:szCs w:val="18"/>
                <w:rtl/>
              </w:rPr>
            </w:pPr>
            <w:r w:rsidRPr="00A10E01">
              <w:rPr>
                <w:b/>
                <w:bCs/>
                <w:sz w:val="18"/>
                <w:szCs w:val="18"/>
                <w:rtl/>
              </w:rPr>
              <w:t xml:space="preserve"> 0</w:t>
            </w:r>
          </w:p>
        </w:tc>
        <w:tc>
          <w:tcPr>
            <w:tcW w:w="685" w:type="dxa"/>
            <w:tcMar>
              <w:left w:w="58" w:type="dxa"/>
              <w:right w:w="58" w:type="dxa"/>
            </w:tcMar>
            <w:vAlign w:val="bottom"/>
          </w:tcPr>
          <w:p w14:paraId="516502E4" w14:textId="77777777" w:rsidR="00D0470C" w:rsidRPr="00A10E01" w:rsidRDefault="00D0470C" w:rsidP="006F3019">
            <w:pPr>
              <w:pBdr>
                <w:bottom w:val="single" w:sz="4" w:space="1" w:color="auto"/>
              </w:pBdr>
              <w:spacing w:before="20" w:line="220" w:lineRule="exact"/>
              <w:rPr>
                <w:b/>
                <w:bCs/>
                <w:sz w:val="18"/>
                <w:szCs w:val="18"/>
                <w:rtl/>
              </w:rPr>
            </w:pPr>
            <w:r w:rsidRPr="00A10E01">
              <w:rPr>
                <w:b/>
                <w:bCs/>
                <w:sz w:val="18"/>
                <w:szCs w:val="18"/>
                <w:rtl/>
              </w:rPr>
              <w:t xml:space="preserve"> 0</w:t>
            </w:r>
          </w:p>
        </w:tc>
        <w:tc>
          <w:tcPr>
            <w:tcW w:w="825" w:type="dxa"/>
            <w:vAlign w:val="bottom"/>
          </w:tcPr>
          <w:p w14:paraId="2B2CD0F4" w14:textId="77777777" w:rsidR="00D0470C" w:rsidRPr="00A10E01" w:rsidRDefault="00D0470C" w:rsidP="006F3019">
            <w:pPr>
              <w:pBdr>
                <w:bottom w:val="single" w:sz="4" w:space="1" w:color="auto"/>
              </w:pBdr>
              <w:spacing w:before="20" w:line="220" w:lineRule="exact"/>
              <w:rPr>
                <w:b/>
                <w:bCs/>
                <w:sz w:val="18"/>
                <w:szCs w:val="18"/>
                <w:rtl/>
              </w:rPr>
            </w:pPr>
            <w:r w:rsidRPr="00A10E01">
              <w:rPr>
                <w:b/>
                <w:bCs/>
                <w:sz w:val="18"/>
                <w:szCs w:val="18"/>
                <w:rtl/>
              </w:rPr>
              <w:t xml:space="preserve"> 0</w:t>
            </w:r>
          </w:p>
        </w:tc>
        <w:tc>
          <w:tcPr>
            <w:tcW w:w="688" w:type="dxa"/>
            <w:tcBorders>
              <w:right w:val="nil"/>
            </w:tcBorders>
            <w:vAlign w:val="bottom"/>
          </w:tcPr>
          <w:p w14:paraId="7158D83C" w14:textId="77777777" w:rsidR="00D0470C" w:rsidRPr="00A10E01" w:rsidRDefault="00D0470C" w:rsidP="006F3019">
            <w:pPr>
              <w:pBdr>
                <w:bottom w:val="single" w:sz="4" w:space="1" w:color="auto"/>
              </w:pBdr>
              <w:spacing w:before="20" w:line="220" w:lineRule="exact"/>
              <w:rPr>
                <w:b/>
                <w:bCs/>
                <w:sz w:val="18"/>
                <w:szCs w:val="18"/>
                <w:rtl/>
              </w:rPr>
            </w:pPr>
            <w:r w:rsidRPr="00A10E01">
              <w:rPr>
                <w:b/>
                <w:bCs/>
                <w:sz w:val="18"/>
                <w:szCs w:val="18"/>
                <w:rtl/>
              </w:rPr>
              <w:t xml:space="preserve"> 0</w:t>
            </w:r>
          </w:p>
        </w:tc>
        <w:tc>
          <w:tcPr>
            <w:tcW w:w="688" w:type="dxa"/>
            <w:tcBorders>
              <w:right w:val="nil"/>
            </w:tcBorders>
            <w:vAlign w:val="bottom"/>
          </w:tcPr>
          <w:p w14:paraId="786C6D74" w14:textId="77777777" w:rsidR="00D0470C" w:rsidRPr="00A10E01" w:rsidRDefault="00D0470C" w:rsidP="006F3019">
            <w:pPr>
              <w:pBdr>
                <w:bottom w:val="single" w:sz="4" w:space="1" w:color="auto"/>
              </w:pBdr>
              <w:spacing w:before="20" w:line="220" w:lineRule="exact"/>
              <w:rPr>
                <w:b/>
                <w:bCs/>
                <w:sz w:val="18"/>
                <w:szCs w:val="18"/>
                <w:rtl/>
              </w:rPr>
            </w:pPr>
            <w:r w:rsidRPr="00A10E01">
              <w:rPr>
                <w:b/>
                <w:bCs/>
                <w:sz w:val="18"/>
                <w:szCs w:val="18"/>
                <w:rtl/>
              </w:rPr>
              <w:t xml:space="preserve"> 0</w:t>
            </w:r>
          </w:p>
        </w:tc>
        <w:tc>
          <w:tcPr>
            <w:tcW w:w="802" w:type="dxa"/>
            <w:tcBorders>
              <w:right w:val="nil"/>
            </w:tcBorders>
            <w:vAlign w:val="bottom"/>
          </w:tcPr>
          <w:p w14:paraId="72AFFE7D" w14:textId="77777777" w:rsidR="00D0470C" w:rsidRPr="00A10E01" w:rsidRDefault="00D0470C" w:rsidP="006F3019">
            <w:pPr>
              <w:pBdr>
                <w:bottom w:val="single" w:sz="4" w:space="1" w:color="auto"/>
              </w:pBdr>
              <w:spacing w:before="20" w:line="220" w:lineRule="exact"/>
              <w:rPr>
                <w:b/>
                <w:bCs/>
                <w:sz w:val="18"/>
                <w:szCs w:val="18"/>
                <w:rtl/>
              </w:rPr>
            </w:pPr>
            <w:r w:rsidRPr="00A10E01">
              <w:rPr>
                <w:b/>
                <w:bCs/>
                <w:sz w:val="18"/>
                <w:szCs w:val="18"/>
                <w:rtl/>
              </w:rPr>
              <w:t xml:space="preserve"> 0</w:t>
            </w:r>
          </w:p>
        </w:tc>
        <w:tc>
          <w:tcPr>
            <w:tcW w:w="673" w:type="dxa"/>
            <w:tcBorders>
              <w:right w:val="nil"/>
            </w:tcBorders>
            <w:vAlign w:val="bottom"/>
          </w:tcPr>
          <w:p w14:paraId="64C2EB48" w14:textId="77777777" w:rsidR="00D0470C" w:rsidRPr="00A10E01" w:rsidRDefault="00D0470C" w:rsidP="006F3019">
            <w:pPr>
              <w:pBdr>
                <w:bottom w:val="single" w:sz="4" w:space="1" w:color="auto"/>
              </w:pBdr>
              <w:spacing w:before="20" w:line="220" w:lineRule="exact"/>
              <w:rPr>
                <w:b/>
                <w:bCs/>
                <w:sz w:val="18"/>
                <w:szCs w:val="18"/>
                <w:rtl/>
              </w:rPr>
            </w:pPr>
            <w:r w:rsidRPr="00A10E01">
              <w:rPr>
                <w:b/>
                <w:bCs/>
                <w:sz w:val="18"/>
                <w:szCs w:val="18"/>
                <w:rtl/>
              </w:rPr>
              <w:t xml:space="preserve"> 0</w:t>
            </w:r>
          </w:p>
        </w:tc>
      </w:tr>
      <w:tr w:rsidR="00D0470C" w:rsidRPr="00A10E01" w14:paraId="0D88764B" w14:textId="77777777" w:rsidTr="003765C0">
        <w:trPr>
          <w:trHeight w:val="259"/>
          <w:jc w:val="right"/>
        </w:trPr>
        <w:tc>
          <w:tcPr>
            <w:tcW w:w="3963" w:type="dxa"/>
            <w:vAlign w:val="bottom"/>
          </w:tcPr>
          <w:p w14:paraId="52505698" w14:textId="77777777" w:rsidR="00D0470C" w:rsidRPr="00A10E01" w:rsidRDefault="00D0470C" w:rsidP="00DB3CB2">
            <w:pPr>
              <w:spacing w:before="60" w:line="220" w:lineRule="exact"/>
              <w:jc w:val="left"/>
              <w:rPr>
                <w:b/>
                <w:bCs/>
                <w:color w:val="000000"/>
                <w:sz w:val="18"/>
                <w:szCs w:val="18"/>
                <w:rtl/>
                <w:lang w:eastAsia="he-IL"/>
              </w:rPr>
            </w:pPr>
            <w:r w:rsidRPr="00A10E01">
              <w:rPr>
                <w:rFonts w:hint="eastAsia"/>
                <w:b/>
                <w:bCs/>
                <w:color w:val="000000"/>
                <w:sz w:val="18"/>
                <w:szCs w:val="18"/>
                <w:u w:val="single"/>
                <w:rtl/>
                <w:lang w:eastAsia="he-IL"/>
              </w:rPr>
              <w:t>השינויים</w:t>
            </w:r>
            <w:r w:rsidRPr="00A10E01">
              <w:rPr>
                <w:b/>
                <w:bCs/>
                <w:color w:val="000000"/>
                <w:sz w:val="18"/>
                <w:szCs w:val="18"/>
                <w:u w:val="single"/>
                <w:rtl/>
                <w:lang w:eastAsia="he-IL"/>
              </w:rPr>
              <w:t xml:space="preserve"> </w:t>
            </w:r>
            <w:r w:rsidRPr="00A10E01">
              <w:rPr>
                <w:rFonts w:hint="eastAsia"/>
                <w:b/>
                <w:bCs/>
                <w:color w:val="000000"/>
                <w:sz w:val="18"/>
                <w:szCs w:val="18"/>
                <w:u w:val="single"/>
                <w:rtl/>
                <w:lang w:eastAsia="he-IL"/>
              </w:rPr>
              <w:t>במרכיבי</w:t>
            </w:r>
            <w:r w:rsidRPr="00A10E01">
              <w:rPr>
                <w:b/>
                <w:bCs/>
                <w:color w:val="000000"/>
                <w:sz w:val="18"/>
                <w:szCs w:val="18"/>
                <w:u w:val="single"/>
                <w:rtl/>
                <w:lang w:eastAsia="he-IL"/>
              </w:rPr>
              <w:t xml:space="preserve"> </w:t>
            </w:r>
            <w:r w:rsidRPr="00A10E01">
              <w:rPr>
                <w:rFonts w:hint="eastAsia"/>
                <w:b/>
                <w:bCs/>
                <w:color w:val="000000"/>
                <w:sz w:val="18"/>
                <w:szCs w:val="18"/>
                <w:u w:val="single"/>
                <w:rtl/>
                <w:lang w:eastAsia="he-IL"/>
              </w:rPr>
              <w:t>רווח</w:t>
            </w:r>
            <w:r w:rsidRPr="00A10E01">
              <w:rPr>
                <w:b/>
                <w:bCs/>
                <w:color w:val="000000"/>
                <w:sz w:val="18"/>
                <w:szCs w:val="18"/>
                <w:u w:val="single"/>
                <w:rtl/>
                <w:lang w:eastAsia="he-IL"/>
              </w:rPr>
              <w:t xml:space="preserve"> (הפסד) </w:t>
            </w:r>
            <w:r w:rsidRPr="00A10E01">
              <w:rPr>
                <w:rFonts w:hint="eastAsia"/>
                <w:b/>
                <w:bCs/>
                <w:color w:val="000000"/>
                <w:sz w:val="18"/>
                <w:szCs w:val="18"/>
                <w:u w:val="single"/>
                <w:rtl/>
                <w:lang w:eastAsia="he-IL"/>
              </w:rPr>
              <w:t>כולל</w:t>
            </w:r>
            <w:r w:rsidRPr="00A10E01">
              <w:rPr>
                <w:b/>
                <w:bCs/>
                <w:color w:val="000000"/>
                <w:sz w:val="18"/>
                <w:szCs w:val="18"/>
                <w:u w:val="single"/>
                <w:rtl/>
                <w:lang w:eastAsia="he-IL"/>
              </w:rPr>
              <w:t xml:space="preserve"> </w:t>
            </w:r>
            <w:r w:rsidRPr="00A10E01">
              <w:rPr>
                <w:rFonts w:hint="eastAsia"/>
                <w:b/>
                <w:bCs/>
                <w:color w:val="000000"/>
                <w:sz w:val="18"/>
                <w:szCs w:val="18"/>
                <w:u w:val="single"/>
                <w:rtl/>
                <w:lang w:eastAsia="he-IL"/>
              </w:rPr>
              <w:t>אחר</w:t>
            </w:r>
            <w:r w:rsidRPr="00A10E01">
              <w:rPr>
                <w:b/>
                <w:bCs/>
                <w:color w:val="000000"/>
                <w:sz w:val="18"/>
                <w:szCs w:val="18"/>
                <w:u w:val="single"/>
                <w:rtl/>
                <w:lang w:eastAsia="he-IL"/>
              </w:rPr>
              <w:t xml:space="preserve"> המיוחס לבעלי מניות התאגיד הבנקאי</w:t>
            </w:r>
            <w:r w:rsidRPr="00A10E01">
              <w:rPr>
                <w:b/>
                <w:bCs/>
                <w:color w:val="000000"/>
                <w:sz w:val="18"/>
                <w:szCs w:val="18"/>
                <w:rtl/>
                <w:lang w:eastAsia="he-IL"/>
              </w:rPr>
              <w:t>:</w:t>
            </w:r>
          </w:p>
        </w:tc>
        <w:tc>
          <w:tcPr>
            <w:tcW w:w="684" w:type="dxa"/>
            <w:tcMar>
              <w:left w:w="58" w:type="dxa"/>
              <w:right w:w="58" w:type="dxa"/>
            </w:tcMar>
            <w:vAlign w:val="bottom"/>
          </w:tcPr>
          <w:p w14:paraId="6F16F921" w14:textId="77777777" w:rsidR="00D0470C" w:rsidRPr="00A10E01" w:rsidRDefault="00D0470C" w:rsidP="006F3019">
            <w:pPr>
              <w:spacing w:before="20" w:line="220" w:lineRule="exact"/>
              <w:rPr>
                <w:sz w:val="18"/>
                <w:szCs w:val="18"/>
                <w:rtl/>
              </w:rPr>
            </w:pPr>
          </w:p>
        </w:tc>
        <w:tc>
          <w:tcPr>
            <w:tcW w:w="825" w:type="dxa"/>
            <w:vAlign w:val="bottom"/>
          </w:tcPr>
          <w:p w14:paraId="5F60671D" w14:textId="77777777" w:rsidR="00D0470C" w:rsidRPr="00A10E01" w:rsidRDefault="00D0470C" w:rsidP="006F3019">
            <w:pPr>
              <w:spacing w:before="20" w:line="220" w:lineRule="exact"/>
              <w:rPr>
                <w:sz w:val="18"/>
                <w:szCs w:val="18"/>
                <w:rtl/>
              </w:rPr>
            </w:pPr>
          </w:p>
        </w:tc>
        <w:tc>
          <w:tcPr>
            <w:tcW w:w="688" w:type="dxa"/>
            <w:vAlign w:val="bottom"/>
          </w:tcPr>
          <w:p w14:paraId="1060B4C1" w14:textId="77777777" w:rsidR="00D0470C" w:rsidRPr="00A10E01" w:rsidRDefault="00D0470C" w:rsidP="006F3019">
            <w:pPr>
              <w:spacing w:before="20" w:line="220" w:lineRule="exact"/>
              <w:rPr>
                <w:sz w:val="18"/>
                <w:szCs w:val="18"/>
                <w:rtl/>
              </w:rPr>
            </w:pPr>
          </w:p>
        </w:tc>
        <w:tc>
          <w:tcPr>
            <w:tcW w:w="685" w:type="dxa"/>
            <w:tcMar>
              <w:left w:w="58" w:type="dxa"/>
              <w:right w:w="58" w:type="dxa"/>
            </w:tcMar>
            <w:vAlign w:val="bottom"/>
          </w:tcPr>
          <w:p w14:paraId="69031532" w14:textId="77777777" w:rsidR="00D0470C" w:rsidRPr="00A10E01" w:rsidRDefault="00D0470C" w:rsidP="006F3019">
            <w:pPr>
              <w:spacing w:before="20" w:line="220" w:lineRule="exact"/>
              <w:rPr>
                <w:sz w:val="18"/>
                <w:szCs w:val="18"/>
                <w:rtl/>
              </w:rPr>
            </w:pPr>
          </w:p>
        </w:tc>
        <w:tc>
          <w:tcPr>
            <w:tcW w:w="825" w:type="dxa"/>
            <w:vAlign w:val="bottom"/>
          </w:tcPr>
          <w:p w14:paraId="36510B23" w14:textId="77777777" w:rsidR="00D0470C" w:rsidRPr="00A10E01" w:rsidRDefault="00D0470C" w:rsidP="006F3019">
            <w:pPr>
              <w:spacing w:before="20" w:line="220" w:lineRule="exact"/>
              <w:rPr>
                <w:sz w:val="18"/>
                <w:szCs w:val="18"/>
                <w:rtl/>
              </w:rPr>
            </w:pPr>
          </w:p>
        </w:tc>
        <w:tc>
          <w:tcPr>
            <w:tcW w:w="688" w:type="dxa"/>
            <w:tcBorders>
              <w:right w:val="nil"/>
            </w:tcBorders>
            <w:vAlign w:val="bottom"/>
          </w:tcPr>
          <w:p w14:paraId="5E250DBD" w14:textId="77777777" w:rsidR="00D0470C" w:rsidRPr="00A10E01" w:rsidRDefault="00D0470C" w:rsidP="006F3019">
            <w:pPr>
              <w:spacing w:before="20" w:line="220" w:lineRule="exact"/>
              <w:rPr>
                <w:sz w:val="18"/>
                <w:szCs w:val="18"/>
                <w:rtl/>
              </w:rPr>
            </w:pPr>
          </w:p>
        </w:tc>
        <w:tc>
          <w:tcPr>
            <w:tcW w:w="688" w:type="dxa"/>
            <w:tcBorders>
              <w:right w:val="nil"/>
            </w:tcBorders>
            <w:vAlign w:val="bottom"/>
          </w:tcPr>
          <w:p w14:paraId="4E8CE533" w14:textId="77777777" w:rsidR="00D0470C" w:rsidRPr="00A10E01" w:rsidRDefault="00D0470C" w:rsidP="006F3019">
            <w:pPr>
              <w:spacing w:before="20" w:line="220" w:lineRule="exact"/>
              <w:rPr>
                <w:sz w:val="18"/>
                <w:szCs w:val="18"/>
                <w:rtl/>
              </w:rPr>
            </w:pPr>
          </w:p>
        </w:tc>
        <w:tc>
          <w:tcPr>
            <w:tcW w:w="802" w:type="dxa"/>
            <w:tcBorders>
              <w:right w:val="nil"/>
            </w:tcBorders>
            <w:vAlign w:val="bottom"/>
          </w:tcPr>
          <w:p w14:paraId="0E41B1B1" w14:textId="77777777" w:rsidR="00D0470C" w:rsidRPr="00A10E01" w:rsidRDefault="00D0470C" w:rsidP="006F3019">
            <w:pPr>
              <w:spacing w:before="20" w:line="220" w:lineRule="exact"/>
              <w:rPr>
                <w:sz w:val="18"/>
                <w:szCs w:val="18"/>
                <w:rtl/>
              </w:rPr>
            </w:pPr>
          </w:p>
        </w:tc>
        <w:tc>
          <w:tcPr>
            <w:tcW w:w="673" w:type="dxa"/>
            <w:tcBorders>
              <w:right w:val="nil"/>
            </w:tcBorders>
            <w:vAlign w:val="bottom"/>
          </w:tcPr>
          <w:p w14:paraId="094A96D1" w14:textId="77777777" w:rsidR="00D0470C" w:rsidRPr="00A10E01" w:rsidRDefault="00D0470C" w:rsidP="006F3019">
            <w:pPr>
              <w:spacing w:before="20" w:line="220" w:lineRule="exact"/>
              <w:rPr>
                <w:sz w:val="18"/>
                <w:szCs w:val="18"/>
                <w:rtl/>
              </w:rPr>
            </w:pPr>
          </w:p>
        </w:tc>
      </w:tr>
      <w:tr w:rsidR="00D0470C" w:rsidRPr="00A10E01" w14:paraId="79E7AFDD" w14:textId="77777777" w:rsidTr="003765C0">
        <w:trPr>
          <w:trHeight w:val="259"/>
          <w:jc w:val="right"/>
        </w:trPr>
        <w:tc>
          <w:tcPr>
            <w:tcW w:w="3963" w:type="dxa"/>
            <w:vAlign w:val="bottom"/>
          </w:tcPr>
          <w:p w14:paraId="472ECEB9" w14:textId="77777777" w:rsidR="00D0470C" w:rsidRPr="00A10E01" w:rsidRDefault="00D0470C" w:rsidP="00DB3CB2">
            <w:pPr>
              <w:spacing w:before="20" w:line="220" w:lineRule="exact"/>
              <w:jc w:val="left"/>
              <w:rPr>
                <w:b/>
                <w:bCs/>
                <w:color w:val="000000"/>
                <w:sz w:val="18"/>
                <w:szCs w:val="18"/>
                <w:rtl/>
                <w:lang w:eastAsia="he-IL"/>
              </w:rPr>
            </w:pPr>
            <w:r w:rsidRPr="00A10E01">
              <w:rPr>
                <w:rFonts w:hint="eastAsia"/>
                <w:b/>
                <w:bCs/>
                <w:color w:val="000000"/>
                <w:sz w:val="18"/>
                <w:szCs w:val="18"/>
                <w:rtl/>
                <w:lang w:eastAsia="he-IL"/>
              </w:rPr>
              <w:t>סה</w:t>
            </w:r>
            <w:r w:rsidRPr="00A10E01">
              <w:rPr>
                <w:b/>
                <w:bCs/>
                <w:color w:val="000000"/>
                <w:sz w:val="18"/>
                <w:szCs w:val="18"/>
                <w:rtl/>
                <w:lang w:eastAsia="he-IL"/>
              </w:rPr>
              <w:t xml:space="preserve">"כ </w:t>
            </w:r>
            <w:r w:rsidRPr="00A10E01">
              <w:rPr>
                <w:rFonts w:hint="eastAsia"/>
                <w:b/>
                <w:bCs/>
                <w:color w:val="000000"/>
                <w:sz w:val="18"/>
                <w:szCs w:val="18"/>
                <w:rtl/>
                <w:lang w:eastAsia="he-IL"/>
              </w:rPr>
              <w:t>השינוי</w:t>
            </w:r>
            <w:r w:rsidRPr="00A10E01">
              <w:rPr>
                <w:b/>
                <w:bCs/>
                <w:color w:val="000000"/>
                <w:sz w:val="18"/>
                <w:szCs w:val="18"/>
                <w:rtl/>
                <w:lang w:eastAsia="he-IL"/>
              </w:rPr>
              <w:t xml:space="preserve"> </w:t>
            </w:r>
            <w:r w:rsidRPr="00A10E01">
              <w:rPr>
                <w:rFonts w:hint="eastAsia"/>
                <w:b/>
                <w:bCs/>
                <w:color w:val="000000"/>
                <w:sz w:val="18"/>
                <w:szCs w:val="18"/>
                <w:rtl/>
                <w:lang w:eastAsia="he-IL"/>
              </w:rPr>
              <w:t>נטו</w:t>
            </w:r>
            <w:r w:rsidRPr="00A10E01">
              <w:rPr>
                <w:b/>
                <w:bCs/>
                <w:color w:val="000000"/>
                <w:sz w:val="18"/>
                <w:szCs w:val="18"/>
                <w:rtl/>
                <w:lang w:eastAsia="he-IL"/>
              </w:rPr>
              <w:t xml:space="preserve"> </w:t>
            </w:r>
            <w:r w:rsidRPr="00A10E01">
              <w:rPr>
                <w:rFonts w:hint="eastAsia"/>
                <w:b/>
                <w:bCs/>
                <w:color w:val="000000"/>
                <w:sz w:val="18"/>
                <w:szCs w:val="18"/>
                <w:rtl/>
                <w:lang w:eastAsia="he-IL"/>
              </w:rPr>
              <w:t>במהלך</w:t>
            </w:r>
            <w:r w:rsidRPr="00A10E01">
              <w:rPr>
                <w:b/>
                <w:bCs/>
                <w:color w:val="000000"/>
                <w:sz w:val="18"/>
                <w:szCs w:val="18"/>
                <w:rtl/>
                <w:lang w:eastAsia="he-IL"/>
              </w:rPr>
              <w:t xml:space="preserve"> </w:t>
            </w:r>
            <w:r>
              <w:rPr>
                <w:rFonts w:hint="cs"/>
                <w:b/>
                <w:bCs/>
                <w:color w:val="000000"/>
                <w:sz w:val="18"/>
                <w:szCs w:val="18"/>
                <w:rtl/>
                <w:lang w:eastAsia="he-IL"/>
              </w:rPr>
              <w:t>התקופה</w:t>
            </w:r>
          </w:p>
        </w:tc>
        <w:tc>
          <w:tcPr>
            <w:tcW w:w="684" w:type="dxa"/>
            <w:tcMar>
              <w:left w:w="58" w:type="dxa"/>
              <w:right w:w="58" w:type="dxa"/>
            </w:tcMar>
            <w:vAlign w:val="bottom"/>
          </w:tcPr>
          <w:p w14:paraId="69BD60E0" w14:textId="77777777" w:rsidR="00D0470C" w:rsidRPr="00A10E01" w:rsidRDefault="00D0470C" w:rsidP="006F3019">
            <w:pPr>
              <w:spacing w:before="20" w:line="220" w:lineRule="exact"/>
              <w:rPr>
                <w:b/>
                <w:bCs/>
                <w:sz w:val="18"/>
                <w:szCs w:val="18"/>
                <w:rtl/>
              </w:rPr>
            </w:pPr>
            <w:r w:rsidRPr="00A10E01">
              <w:rPr>
                <w:b/>
                <w:bCs/>
                <w:sz w:val="18"/>
                <w:szCs w:val="18"/>
                <w:rtl/>
              </w:rPr>
              <w:t xml:space="preserve"> 0</w:t>
            </w:r>
          </w:p>
        </w:tc>
        <w:tc>
          <w:tcPr>
            <w:tcW w:w="825" w:type="dxa"/>
            <w:vAlign w:val="bottom"/>
          </w:tcPr>
          <w:p w14:paraId="213A7121" w14:textId="77777777" w:rsidR="00D0470C" w:rsidRPr="00A10E01" w:rsidRDefault="00D0470C" w:rsidP="006F3019">
            <w:pPr>
              <w:spacing w:before="20" w:line="220" w:lineRule="exact"/>
              <w:rPr>
                <w:b/>
                <w:bCs/>
                <w:sz w:val="18"/>
                <w:szCs w:val="18"/>
                <w:rtl/>
              </w:rPr>
            </w:pPr>
            <w:r w:rsidRPr="00A10E01">
              <w:rPr>
                <w:b/>
                <w:bCs/>
                <w:sz w:val="18"/>
                <w:szCs w:val="18"/>
                <w:rtl/>
              </w:rPr>
              <w:t xml:space="preserve"> 0</w:t>
            </w:r>
          </w:p>
        </w:tc>
        <w:tc>
          <w:tcPr>
            <w:tcW w:w="688" w:type="dxa"/>
            <w:vAlign w:val="bottom"/>
          </w:tcPr>
          <w:p w14:paraId="5A12CD36" w14:textId="77777777" w:rsidR="00D0470C" w:rsidRPr="00A10E01" w:rsidRDefault="00D0470C" w:rsidP="006F3019">
            <w:pPr>
              <w:spacing w:before="20" w:line="220" w:lineRule="exact"/>
              <w:rPr>
                <w:b/>
                <w:bCs/>
                <w:sz w:val="18"/>
                <w:szCs w:val="18"/>
                <w:rtl/>
              </w:rPr>
            </w:pPr>
            <w:r w:rsidRPr="00A10E01">
              <w:rPr>
                <w:b/>
                <w:bCs/>
                <w:sz w:val="18"/>
                <w:szCs w:val="18"/>
                <w:rtl/>
              </w:rPr>
              <w:t xml:space="preserve"> 0</w:t>
            </w:r>
          </w:p>
        </w:tc>
        <w:tc>
          <w:tcPr>
            <w:tcW w:w="685" w:type="dxa"/>
            <w:tcMar>
              <w:left w:w="58" w:type="dxa"/>
              <w:right w:w="58" w:type="dxa"/>
            </w:tcMar>
            <w:vAlign w:val="bottom"/>
          </w:tcPr>
          <w:p w14:paraId="1E5782BC" w14:textId="77777777" w:rsidR="00D0470C" w:rsidRPr="00A10E01" w:rsidRDefault="00D0470C" w:rsidP="006F3019">
            <w:pPr>
              <w:spacing w:before="20" w:line="220" w:lineRule="exact"/>
              <w:rPr>
                <w:b/>
                <w:bCs/>
                <w:sz w:val="18"/>
                <w:szCs w:val="18"/>
                <w:rtl/>
              </w:rPr>
            </w:pPr>
            <w:r w:rsidRPr="00A10E01">
              <w:rPr>
                <w:b/>
                <w:bCs/>
                <w:sz w:val="18"/>
                <w:szCs w:val="18"/>
                <w:rtl/>
              </w:rPr>
              <w:t xml:space="preserve"> 0</w:t>
            </w:r>
          </w:p>
        </w:tc>
        <w:tc>
          <w:tcPr>
            <w:tcW w:w="825" w:type="dxa"/>
            <w:vAlign w:val="bottom"/>
          </w:tcPr>
          <w:p w14:paraId="1E3F3247" w14:textId="77777777" w:rsidR="00D0470C" w:rsidRPr="00A10E01" w:rsidRDefault="00D0470C" w:rsidP="006F3019">
            <w:pPr>
              <w:spacing w:before="20" w:line="220" w:lineRule="exact"/>
              <w:rPr>
                <w:b/>
                <w:bCs/>
                <w:sz w:val="18"/>
                <w:szCs w:val="18"/>
                <w:rtl/>
              </w:rPr>
            </w:pPr>
            <w:r w:rsidRPr="00A10E01">
              <w:rPr>
                <w:b/>
                <w:bCs/>
                <w:sz w:val="18"/>
                <w:szCs w:val="18"/>
                <w:rtl/>
              </w:rPr>
              <w:t xml:space="preserve"> 0</w:t>
            </w:r>
          </w:p>
        </w:tc>
        <w:tc>
          <w:tcPr>
            <w:tcW w:w="688" w:type="dxa"/>
            <w:tcBorders>
              <w:right w:val="nil"/>
            </w:tcBorders>
            <w:vAlign w:val="bottom"/>
          </w:tcPr>
          <w:p w14:paraId="7978884F" w14:textId="77777777" w:rsidR="00D0470C" w:rsidRPr="00A10E01" w:rsidRDefault="00D0470C" w:rsidP="006F3019">
            <w:pPr>
              <w:spacing w:before="20" w:line="220" w:lineRule="exact"/>
              <w:rPr>
                <w:b/>
                <w:bCs/>
                <w:sz w:val="18"/>
                <w:szCs w:val="18"/>
                <w:rtl/>
              </w:rPr>
            </w:pPr>
            <w:r w:rsidRPr="00A10E01">
              <w:rPr>
                <w:b/>
                <w:bCs/>
                <w:sz w:val="18"/>
                <w:szCs w:val="18"/>
                <w:rtl/>
              </w:rPr>
              <w:t xml:space="preserve"> 0</w:t>
            </w:r>
          </w:p>
        </w:tc>
        <w:tc>
          <w:tcPr>
            <w:tcW w:w="688" w:type="dxa"/>
            <w:tcBorders>
              <w:right w:val="nil"/>
            </w:tcBorders>
            <w:vAlign w:val="bottom"/>
          </w:tcPr>
          <w:p w14:paraId="20123995" w14:textId="77777777" w:rsidR="00D0470C" w:rsidRPr="00A10E01" w:rsidRDefault="00D0470C" w:rsidP="006F3019">
            <w:pPr>
              <w:spacing w:before="20" w:line="220" w:lineRule="exact"/>
              <w:rPr>
                <w:b/>
                <w:bCs/>
                <w:sz w:val="18"/>
                <w:szCs w:val="18"/>
                <w:rtl/>
              </w:rPr>
            </w:pPr>
            <w:r w:rsidRPr="00A10E01">
              <w:rPr>
                <w:b/>
                <w:bCs/>
                <w:sz w:val="18"/>
                <w:szCs w:val="18"/>
                <w:rtl/>
              </w:rPr>
              <w:t xml:space="preserve"> 0</w:t>
            </w:r>
          </w:p>
        </w:tc>
        <w:tc>
          <w:tcPr>
            <w:tcW w:w="802" w:type="dxa"/>
            <w:tcBorders>
              <w:right w:val="nil"/>
            </w:tcBorders>
            <w:vAlign w:val="bottom"/>
          </w:tcPr>
          <w:p w14:paraId="7637DEC5" w14:textId="77777777" w:rsidR="00D0470C" w:rsidRPr="00A10E01" w:rsidRDefault="00D0470C" w:rsidP="006F3019">
            <w:pPr>
              <w:spacing w:before="20" w:line="220" w:lineRule="exact"/>
              <w:rPr>
                <w:b/>
                <w:bCs/>
                <w:sz w:val="18"/>
                <w:szCs w:val="18"/>
                <w:rtl/>
              </w:rPr>
            </w:pPr>
            <w:r w:rsidRPr="00A10E01">
              <w:rPr>
                <w:b/>
                <w:bCs/>
                <w:sz w:val="18"/>
                <w:szCs w:val="18"/>
                <w:rtl/>
              </w:rPr>
              <w:t xml:space="preserve"> 0</w:t>
            </w:r>
          </w:p>
        </w:tc>
        <w:tc>
          <w:tcPr>
            <w:tcW w:w="673" w:type="dxa"/>
            <w:tcBorders>
              <w:right w:val="nil"/>
            </w:tcBorders>
            <w:vAlign w:val="bottom"/>
          </w:tcPr>
          <w:p w14:paraId="586A1D02" w14:textId="77777777" w:rsidR="00D0470C" w:rsidRPr="00A10E01" w:rsidRDefault="00D0470C" w:rsidP="006F3019">
            <w:pPr>
              <w:spacing w:before="20" w:line="220" w:lineRule="exact"/>
              <w:rPr>
                <w:b/>
                <w:bCs/>
                <w:sz w:val="18"/>
                <w:szCs w:val="18"/>
                <w:rtl/>
              </w:rPr>
            </w:pPr>
            <w:r w:rsidRPr="00A10E01">
              <w:rPr>
                <w:b/>
                <w:bCs/>
                <w:sz w:val="18"/>
                <w:szCs w:val="18"/>
                <w:rtl/>
              </w:rPr>
              <w:t xml:space="preserve"> 0</w:t>
            </w:r>
          </w:p>
        </w:tc>
      </w:tr>
    </w:tbl>
    <w:p w14:paraId="48529ED5" w14:textId="77777777" w:rsidR="00F32A2A" w:rsidRDefault="00F32A2A">
      <w:pPr>
        <w:spacing w:line="120" w:lineRule="exact"/>
        <w:rPr>
          <w:rtl/>
        </w:rPr>
      </w:pPr>
    </w:p>
    <w:tbl>
      <w:tblPr>
        <w:bidiVisual/>
        <w:tblW w:w="5000" w:type="pct"/>
        <w:tblBorders>
          <w:right w:val="single" w:sz="4" w:space="0" w:color="auto"/>
        </w:tblBorders>
        <w:tblLayout w:type="fixed"/>
        <w:tblLook w:val="04A0" w:firstRow="1" w:lastRow="0" w:firstColumn="1" w:lastColumn="0" w:noHBand="0" w:noVBand="1"/>
      </w:tblPr>
      <w:tblGrid>
        <w:gridCol w:w="485"/>
        <w:gridCol w:w="9722"/>
      </w:tblGrid>
      <w:tr w:rsidR="00D0470C" w:rsidRPr="00222BDE" w14:paraId="0E02ACC4" w14:textId="77777777" w:rsidTr="006F3019">
        <w:trPr>
          <w:trHeight w:val="259"/>
        </w:trPr>
        <w:tc>
          <w:tcPr>
            <w:tcW w:w="489" w:type="dxa"/>
          </w:tcPr>
          <w:p w14:paraId="24A41A70" w14:textId="77777777" w:rsidR="00F32A2A" w:rsidRDefault="00F32A2A">
            <w:pPr>
              <w:spacing w:line="220" w:lineRule="exact"/>
              <w:jc w:val="left"/>
              <w:rPr>
                <w:b/>
                <w:bCs/>
                <w:color w:val="000000"/>
                <w:sz w:val="18"/>
                <w:szCs w:val="18"/>
                <w:rtl/>
                <w:lang w:eastAsia="he-IL"/>
              </w:rPr>
            </w:pPr>
          </w:p>
        </w:tc>
        <w:tc>
          <w:tcPr>
            <w:tcW w:w="9884" w:type="dxa"/>
            <w:tcBorders>
              <w:right w:val="nil"/>
            </w:tcBorders>
            <w:tcMar>
              <w:left w:w="58" w:type="dxa"/>
              <w:right w:w="58" w:type="dxa"/>
            </w:tcMar>
          </w:tcPr>
          <w:p w14:paraId="4696F1FC" w14:textId="77777777" w:rsidR="002E6BE3" w:rsidRDefault="002E6BE3" w:rsidP="003F7865">
            <w:pPr>
              <w:spacing w:line="220" w:lineRule="exact"/>
              <w:rPr>
                <w:b/>
                <w:bCs/>
                <w:sz w:val="18"/>
                <w:szCs w:val="18"/>
                <w:rtl/>
              </w:rPr>
            </w:pPr>
          </w:p>
          <w:p w14:paraId="27CE2C56" w14:textId="77777777" w:rsidR="002E6BE3" w:rsidRPr="002E6BE3" w:rsidRDefault="002E6BE3" w:rsidP="003F7865">
            <w:pPr>
              <w:spacing w:line="220" w:lineRule="exact"/>
              <w:rPr>
                <w:sz w:val="18"/>
                <w:szCs w:val="18"/>
                <w:rtl/>
              </w:rPr>
            </w:pPr>
          </w:p>
          <w:p w14:paraId="2B87A647" w14:textId="5BB9CCBC" w:rsidR="00F32A2A" w:rsidRDefault="002E6BE3" w:rsidP="007166EB">
            <w:pPr>
              <w:spacing w:line="220" w:lineRule="exact"/>
              <w:rPr>
                <w:b/>
                <w:bCs/>
                <w:sz w:val="18"/>
                <w:szCs w:val="18"/>
                <w:rtl/>
              </w:rPr>
            </w:pPr>
            <w:r w:rsidRPr="002E6BE3">
              <w:rPr>
                <w:rFonts w:hint="cs"/>
                <w:sz w:val="18"/>
                <w:szCs w:val="18"/>
                <w:rtl/>
              </w:rPr>
              <w:t>הערות (א)</w:t>
            </w:r>
            <w:r w:rsidR="00F30791">
              <w:rPr>
                <w:rFonts w:hint="cs"/>
                <w:sz w:val="18"/>
                <w:szCs w:val="18"/>
                <w:rtl/>
              </w:rPr>
              <w:t>-(</w:t>
            </w:r>
            <w:r w:rsidR="009B7FCD">
              <w:rPr>
                <w:rFonts w:hint="cs"/>
                <w:sz w:val="18"/>
                <w:szCs w:val="18"/>
                <w:rtl/>
              </w:rPr>
              <w:t>ו</w:t>
            </w:r>
            <w:r w:rsidRPr="002E6BE3">
              <w:rPr>
                <w:rFonts w:hint="cs"/>
                <w:sz w:val="18"/>
                <w:szCs w:val="18"/>
                <w:rtl/>
              </w:rPr>
              <w:t>) מפורטות בעמוד הקודם</w:t>
            </w:r>
            <w:r w:rsidR="007166EB">
              <w:rPr>
                <w:rFonts w:hint="cs"/>
                <w:sz w:val="18"/>
                <w:szCs w:val="18"/>
                <w:rtl/>
              </w:rPr>
              <w:t>.</w:t>
            </w:r>
          </w:p>
        </w:tc>
      </w:tr>
    </w:tbl>
    <w:p w14:paraId="17AA8CCF" w14:textId="77777777" w:rsidR="00D0470C" w:rsidRDefault="00D0470C">
      <w:pPr>
        <w:rPr>
          <w:rtl/>
        </w:rPr>
        <w:sectPr w:rsidR="00D0470C" w:rsidSect="00587121">
          <w:footnotePr>
            <w:numRestart w:val="eachPage"/>
          </w:footnotePr>
          <w:pgSz w:w="11909" w:h="16834" w:code="9"/>
          <w:pgMar w:top="851" w:right="851" w:bottom="851" w:left="851" w:header="720" w:footer="720" w:gutter="0"/>
          <w:cols w:space="720"/>
          <w:bidi/>
          <w:rtlGutter/>
          <w:docGrid w:linePitch="360"/>
        </w:sectPr>
      </w:pPr>
    </w:p>
    <w:p w14:paraId="04E89E1F" w14:textId="643DE723" w:rsidR="002700CF" w:rsidRDefault="002700CF" w:rsidP="00763B10">
      <w:pPr>
        <w:pStyle w:val="5"/>
        <w:ind w:firstLine="531"/>
      </w:pPr>
      <w:bookmarkStart w:id="24" w:name="_Toc160529223"/>
      <w:r>
        <w:rPr>
          <w:rFonts w:hint="cs"/>
          <w:rtl/>
        </w:rPr>
        <w:lastRenderedPageBreak/>
        <w:t>ביאור 5  -  ניירות ערך</w:t>
      </w:r>
      <w:r w:rsidR="00FF2B1C">
        <w:rPr>
          <w:rFonts w:hint="cs"/>
        </w:rPr>
        <w:t xml:space="preserve"> </w:t>
      </w:r>
      <w:r w:rsidRPr="00357B22">
        <w:rPr>
          <w:rStyle w:val="a7"/>
          <w:rtl/>
        </w:rPr>
        <w:footnoteReference w:id="43"/>
      </w:r>
      <w:bookmarkEnd w:id="24"/>
    </w:p>
    <w:tbl>
      <w:tblPr>
        <w:bidiVisual/>
        <w:tblW w:w="5163" w:type="pct"/>
        <w:tblInd w:w="-76" w:type="dxa"/>
        <w:tblLook w:val="04A0" w:firstRow="1" w:lastRow="0" w:firstColumn="1" w:lastColumn="0" w:noHBand="0" w:noVBand="1"/>
      </w:tblPr>
      <w:tblGrid>
        <w:gridCol w:w="1024"/>
        <w:gridCol w:w="14601"/>
      </w:tblGrid>
      <w:tr w:rsidR="00A3125B" w:rsidRPr="00543C25" w14:paraId="6905C49A" w14:textId="77777777" w:rsidTr="00763B10">
        <w:tc>
          <w:tcPr>
            <w:tcW w:w="1024" w:type="dxa"/>
          </w:tcPr>
          <w:p w14:paraId="6B06B239" w14:textId="77777777" w:rsidR="00F32A2A" w:rsidRDefault="00A3125B" w:rsidP="00763B10">
            <w:pPr>
              <w:pStyle w:val="-fa"/>
              <w:spacing w:before="0"/>
              <w:ind w:right="-142"/>
              <w:rPr>
                <w:rtl/>
              </w:rPr>
            </w:pPr>
            <w:r>
              <w:rPr>
                <w:rFonts w:hint="cs"/>
                <w:rtl/>
              </w:rPr>
              <w:t>ה. המפקח ס'</w:t>
            </w:r>
            <w:r w:rsidRPr="0028147F">
              <w:rPr>
                <w:rFonts w:hint="cs"/>
                <w:rtl/>
              </w:rPr>
              <w:t xml:space="preserve"> </w:t>
            </w:r>
            <w:r>
              <w:rPr>
                <w:rFonts w:hint="cs"/>
                <w:rtl/>
              </w:rPr>
              <w:t>24</w:t>
            </w:r>
            <w:r w:rsidR="00D64130">
              <w:rPr>
                <w:rFonts w:hint="cs"/>
                <w:rtl/>
              </w:rPr>
              <w:t>. א.</w:t>
            </w:r>
            <w:r>
              <w:rPr>
                <w:rFonts w:hint="cs"/>
                <w:rtl/>
              </w:rPr>
              <w:t>(א1)</w:t>
            </w:r>
          </w:p>
        </w:tc>
        <w:tc>
          <w:tcPr>
            <w:tcW w:w="14601" w:type="dxa"/>
          </w:tcPr>
          <w:p w14:paraId="7AF01FED" w14:textId="77777777" w:rsidR="00F32A2A" w:rsidRPr="00F77006" w:rsidRDefault="00B44059" w:rsidP="00763B10">
            <w:pPr>
              <w:pStyle w:val="-8"/>
              <w:spacing w:after="0"/>
              <w:ind w:left="284" w:hanging="284"/>
              <w:rPr>
                <w:sz w:val="18"/>
                <w:szCs w:val="18"/>
                <w:rtl/>
              </w:rPr>
            </w:pPr>
            <w:r w:rsidRPr="00F77006">
              <w:rPr>
                <w:rFonts w:hint="eastAsia"/>
                <w:sz w:val="18"/>
                <w:szCs w:val="18"/>
                <w:rtl/>
              </w:rPr>
              <w:t>א</w:t>
            </w:r>
            <w:r w:rsidRPr="00F77006">
              <w:rPr>
                <w:sz w:val="18"/>
                <w:szCs w:val="18"/>
                <w:rtl/>
              </w:rPr>
              <w:t>.</w:t>
            </w:r>
            <w:r w:rsidRPr="00F77006">
              <w:rPr>
                <w:sz w:val="18"/>
                <w:szCs w:val="18"/>
                <w:rtl/>
              </w:rPr>
              <w:tab/>
            </w:r>
            <w:r w:rsidRPr="00F77006">
              <w:rPr>
                <w:rFonts w:hint="eastAsia"/>
                <w:sz w:val="18"/>
                <w:szCs w:val="18"/>
                <w:rtl/>
              </w:rPr>
              <w:t>הרכב</w:t>
            </w:r>
            <w:r w:rsidRPr="00F77006">
              <w:rPr>
                <w:sz w:val="18"/>
                <w:szCs w:val="18"/>
                <w:rtl/>
              </w:rPr>
              <w:t>:</w:t>
            </w:r>
          </w:p>
        </w:tc>
      </w:tr>
    </w:tbl>
    <w:p w14:paraId="1D542B61" w14:textId="77777777" w:rsidR="008964D4" w:rsidRPr="00543C25" w:rsidRDefault="008964D4" w:rsidP="008964D4">
      <w:pPr>
        <w:rPr>
          <w:sz w:val="2"/>
          <w:szCs w:val="2"/>
        </w:rPr>
      </w:pPr>
    </w:p>
    <w:tbl>
      <w:tblPr>
        <w:bidiVisual/>
        <w:tblW w:w="5153" w:type="pct"/>
        <w:tblInd w:w="-462" w:type="dxa"/>
        <w:tblCellMar>
          <w:left w:w="68" w:type="dxa"/>
          <w:right w:w="68" w:type="dxa"/>
        </w:tblCellMar>
        <w:tblLook w:val="04A0" w:firstRow="1" w:lastRow="0" w:firstColumn="1" w:lastColumn="0" w:noHBand="0" w:noVBand="1"/>
      </w:tblPr>
      <w:tblGrid>
        <w:gridCol w:w="994"/>
        <w:gridCol w:w="2968"/>
        <w:gridCol w:w="508"/>
        <w:gridCol w:w="654"/>
        <w:gridCol w:w="606"/>
        <w:gridCol w:w="748"/>
        <w:gridCol w:w="748"/>
        <w:gridCol w:w="504"/>
        <w:gridCol w:w="142"/>
        <w:gridCol w:w="508"/>
        <w:gridCol w:w="654"/>
        <w:gridCol w:w="658"/>
        <w:gridCol w:w="749"/>
        <w:gridCol w:w="749"/>
        <w:gridCol w:w="505"/>
        <w:gridCol w:w="122"/>
        <w:gridCol w:w="508"/>
        <w:gridCol w:w="655"/>
        <w:gridCol w:w="614"/>
        <w:gridCol w:w="742"/>
        <w:gridCol w:w="6"/>
        <w:gridCol w:w="749"/>
        <w:gridCol w:w="504"/>
      </w:tblGrid>
      <w:tr w:rsidR="00763B10" w:rsidRPr="00543C25" w14:paraId="5BD1D290" w14:textId="77777777" w:rsidTr="00763B10">
        <w:trPr>
          <w:trHeight w:val="199"/>
        </w:trPr>
        <w:tc>
          <w:tcPr>
            <w:tcW w:w="319" w:type="pct"/>
            <w:vMerge w:val="restart"/>
          </w:tcPr>
          <w:p w14:paraId="5A7FFB0F" w14:textId="262DC57D" w:rsidR="00763B10" w:rsidRDefault="00763B10" w:rsidP="00763B10">
            <w:pPr>
              <w:pStyle w:val="-7"/>
              <w:spacing w:line="204" w:lineRule="auto"/>
              <w:rPr>
                <w:sz w:val="14"/>
                <w:szCs w:val="14"/>
                <w:rtl/>
              </w:rPr>
            </w:pPr>
            <w:r w:rsidRPr="00D64130">
              <w:rPr>
                <w:rFonts w:hint="cs"/>
                <w:sz w:val="14"/>
                <w:szCs w:val="14"/>
                <w:rtl/>
              </w:rPr>
              <w:t>מתכונת ביאור</w:t>
            </w:r>
          </w:p>
          <w:p w14:paraId="4110DD23" w14:textId="1904BBC9" w:rsidR="00763B10" w:rsidRDefault="00763B10" w:rsidP="00763B10">
            <w:pPr>
              <w:pStyle w:val="-7"/>
              <w:spacing w:line="204" w:lineRule="auto"/>
              <w:rPr>
                <w:sz w:val="14"/>
                <w:szCs w:val="14"/>
                <w:rtl/>
              </w:rPr>
            </w:pPr>
            <w:r w:rsidRPr="00D64130">
              <w:rPr>
                <w:rFonts w:hint="cs"/>
                <w:sz w:val="14"/>
                <w:szCs w:val="14"/>
                <w:rtl/>
              </w:rPr>
              <w:t>עמ'</w:t>
            </w:r>
            <w:r>
              <w:rPr>
                <w:rFonts w:hint="cs"/>
                <w:sz w:val="14"/>
                <w:szCs w:val="14"/>
                <w:rtl/>
              </w:rPr>
              <w:t xml:space="preserve"> </w:t>
            </w:r>
            <w:r w:rsidRPr="00D64130">
              <w:rPr>
                <w:rFonts w:hint="cs"/>
                <w:sz w:val="14"/>
                <w:szCs w:val="14"/>
                <w:rtl/>
              </w:rPr>
              <w:t>663-21</w:t>
            </w:r>
            <w:r>
              <w:rPr>
                <w:rFonts w:hint="cs"/>
                <w:sz w:val="14"/>
                <w:szCs w:val="14"/>
                <w:rtl/>
              </w:rPr>
              <w:t>,22</w:t>
            </w:r>
          </w:p>
        </w:tc>
        <w:tc>
          <w:tcPr>
            <w:tcW w:w="952" w:type="pct"/>
            <w:vAlign w:val="bottom"/>
          </w:tcPr>
          <w:p w14:paraId="0E0A067C" w14:textId="77777777" w:rsidR="00763B10" w:rsidRDefault="00763B10">
            <w:pPr>
              <w:pStyle w:val="-0"/>
              <w:spacing w:line="240" w:lineRule="auto"/>
              <w:rPr>
                <w:sz w:val="14"/>
                <w:szCs w:val="14"/>
                <w:rtl/>
              </w:rPr>
            </w:pPr>
          </w:p>
        </w:tc>
        <w:tc>
          <w:tcPr>
            <w:tcW w:w="1208" w:type="pct"/>
            <w:gridSpan w:val="6"/>
          </w:tcPr>
          <w:p w14:paraId="31A77207" w14:textId="61A8AC87" w:rsidR="00763B10" w:rsidRDefault="00763B10" w:rsidP="001977FC">
            <w:pPr>
              <w:pStyle w:val="-4"/>
              <w:pBdr>
                <w:bottom w:val="single" w:sz="4" w:space="1" w:color="auto"/>
              </w:pBdr>
              <w:spacing w:line="240" w:lineRule="auto"/>
              <w:rPr>
                <w:sz w:val="18"/>
                <w:szCs w:val="18"/>
                <w:rtl/>
              </w:rPr>
            </w:pPr>
            <w:r w:rsidRPr="00B44059">
              <w:rPr>
                <w:rFonts w:hint="eastAsia"/>
                <w:color w:val="000000"/>
                <w:sz w:val="18"/>
                <w:szCs w:val="18"/>
                <w:rtl/>
              </w:rPr>
              <w:t>ליום</w:t>
            </w:r>
            <w:r w:rsidRPr="00B44059">
              <w:rPr>
                <w:color w:val="000000"/>
                <w:sz w:val="18"/>
                <w:szCs w:val="18"/>
                <w:rtl/>
              </w:rPr>
              <w:t xml:space="preserve"> 30 </w:t>
            </w:r>
            <w:r w:rsidRPr="00B44059">
              <w:rPr>
                <w:rFonts w:hint="eastAsia"/>
                <w:color w:val="000000"/>
                <w:sz w:val="18"/>
                <w:szCs w:val="18"/>
                <w:rtl/>
              </w:rPr>
              <w:t>ביוני</w:t>
            </w:r>
            <w:r w:rsidRPr="00B44059">
              <w:rPr>
                <w:color w:val="000000"/>
                <w:sz w:val="18"/>
                <w:szCs w:val="18"/>
                <w:rtl/>
              </w:rPr>
              <w:t xml:space="preserve"> </w:t>
            </w:r>
            <w:r w:rsidRPr="00F41E9D">
              <w:rPr>
                <w:sz w:val="18"/>
                <w:szCs w:val="18"/>
                <w:rtl/>
              </w:rPr>
              <w:fldChar w:fldCharType="begin"/>
            </w:r>
            <w:r w:rsidRPr="00F41E9D">
              <w:rPr>
                <w:sz w:val="18"/>
                <w:szCs w:val="18"/>
                <w:rtl/>
              </w:rPr>
              <w:instrText xml:space="preserve"> </w:instrText>
            </w:r>
            <w:r w:rsidRPr="00F41E9D">
              <w:rPr>
                <w:rFonts w:hint="cs"/>
                <w:sz w:val="18"/>
                <w:szCs w:val="18"/>
                <w:rtl/>
              </w:rPr>
              <w:instrText xml:space="preserve">= </w:instrText>
            </w:r>
            <w:r w:rsidRPr="00F41E9D">
              <w:rPr>
                <w:rFonts w:hint="cs"/>
                <w:sz w:val="18"/>
                <w:szCs w:val="18"/>
              </w:rPr>
              <w:instrText>CY \* MERGEFORMAT</w:instrText>
            </w:r>
            <w:r w:rsidRPr="00F41E9D">
              <w:rPr>
                <w:sz w:val="18"/>
                <w:szCs w:val="18"/>
                <w:rtl/>
              </w:rPr>
              <w:instrText xml:space="preserve"> </w:instrText>
            </w:r>
            <w:r w:rsidRPr="00F41E9D">
              <w:rPr>
                <w:sz w:val="18"/>
                <w:szCs w:val="18"/>
                <w:rtl/>
              </w:rPr>
              <w:fldChar w:fldCharType="separate"/>
            </w:r>
            <w:r>
              <w:rPr>
                <w:noProof/>
                <w:sz w:val="18"/>
                <w:szCs w:val="18"/>
                <w:rtl/>
              </w:rPr>
              <w:t>2024</w:t>
            </w:r>
            <w:r w:rsidRPr="00F41E9D">
              <w:rPr>
                <w:sz w:val="18"/>
                <w:szCs w:val="18"/>
                <w:rtl/>
              </w:rPr>
              <w:fldChar w:fldCharType="end"/>
            </w:r>
          </w:p>
        </w:tc>
        <w:tc>
          <w:tcPr>
            <w:tcW w:w="46" w:type="pct"/>
          </w:tcPr>
          <w:p w14:paraId="7FCE4C1C" w14:textId="77777777" w:rsidR="00763B10" w:rsidRDefault="00763B10">
            <w:pPr>
              <w:jc w:val="center"/>
              <w:rPr>
                <w:b/>
                <w:bCs/>
                <w:sz w:val="18"/>
                <w:szCs w:val="18"/>
                <w:rtl/>
              </w:rPr>
            </w:pPr>
          </w:p>
        </w:tc>
        <w:tc>
          <w:tcPr>
            <w:tcW w:w="1226" w:type="pct"/>
            <w:gridSpan w:val="6"/>
          </w:tcPr>
          <w:p w14:paraId="284AB8A6" w14:textId="678A804A" w:rsidR="00763B10" w:rsidRDefault="00763B10" w:rsidP="001977FC">
            <w:pPr>
              <w:pStyle w:val="-4"/>
              <w:pBdr>
                <w:bottom w:val="single" w:sz="4" w:space="1" w:color="auto"/>
              </w:pBdr>
              <w:spacing w:line="240" w:lineRule="auto"/>
              <w:rPr>
                <w:sz w:val="18"/>
                <w:szCs w:val="18"/>
                <w:rtl/>
              </w:rPr>
            </w:pPr>
            <w:r w:rsidRPr="00B44059">
              <w:rPr>
                <w:rFonts w:hint="eastAsia"/>
                <w:sz w:val="18"/>
                <w:szCs w:val="18"/>
                <w:rtl/>
              </w:rPr>
              <w:t>ליום</w:t>
            </w:r>
            <w:r w:rsidRPr="00B44059">
              <w:rPr>
                <w:sz w:val="18"/>
                <w:szCs w:val="18"/>
                <w:rtl/>
              </w:rPr>
              <w:t xml:space="preserve"> 30 </w:t>
            </w:r>
            <w:r w:rsidRPr="00B44059">
              <w:rPr>
                <w:rFonts w:hint="eastAsia"/>
                <w:sz w:val="18"/>
                <w:szCs w:val="18"/>
                <w:rtl/>
              </w:rPr>
              <w:t>ביוני</w:t>
            </w:r>
            <w:r w:rsidRPr="00B44059">
              <w:rPr>
                <w:sz w:val="18"/>
                <w:szCs w:val="18"/>
                <w:rtl/>
              </w:rPr>
              <w:t xml:space="preserve"> </w:t>
            </w:r>
            <w:r w:rsidRPr="00F41E9D">
              <w:rPr>
                <w:sz w:val="14"/>
                <w:szCs w:val="14"/>
                <w:rtl/>
              </w:rPr>
              <w:fldChar w:fldCharType="begin"/>
            </w:r>
            <w:r w:rsidRPr="00F41E9D">
              <w:rPr>
                <w:sz w:val="14"/>
                <w:szCs w:val="14"/>
                <w:rtl/>
              </w:rPr>
              <w:instrText xml:space="preserve"> </w:instrText>
            </w:r>
            <w:r w:rsidRPr="00F41E9D">
              <w:rPr>
                <w:rFonts w:hint="cs"/>
                <w:sz w:val="14"/>
                <w:szCs w:val="14"/>
                <w:rtl/>
              </w:rPr>
              <w:instrText xml:space="preserve">= </w:instrText>
            </w:r>
            <w:r w:rsidRPr="00F41E9D">
              <w:rPr>
                <w:rFonts w:hint="cs"/>
                <w:sz w:val="14"/>
                <w:szCs w:val="14"/>
              </w:rPr>
              <w:instrText>CY</w:instrText>
            </w:r>
            <w:r w:rsidRPr="00F41E9D">
              <w:rPr>
                <w:sz w:val="14"/>
                <w:szCs w:val="14"/>
              </w:rPr>
              <w:instrText>-1</w:instrText>
            </w:r>
            <w:r w:rsidRPr="00F41E9D">
              <w:rPr>
                <w:rFonts w:hint="cs"/>
                <w:sz w:val="14"/>
                <w:szCs w:val="14"/>
              </w:rPr>
              <w:instrText xml:space="preserve"> \* MERGEFORMAT</w:instrText>
            </w:r>
            <w:r w:rsidRPr="00F41E9D">
              <w:rPr>
                <w:sz w:val="14"/>
                <w:szCs w:val="14"/>
                <w:rtl/>
              </w:rPr>
              <w:instrText xml:space="preserve"> </w:instrText>
            </w:r>
            <w:r w:rsidRPr="00F41E9D">
              <w:rPr>
                <w:sz w:val="14"/>
                <w:szCs w:val="14"/>
                <w:rtl/>
              </w:rPr>
              <w:fldChar w:fldCharType="separate"/>
            </w:r>
            <w:r w:rsidRPr="003A584F">
              <w:rPr>
                <w:noProof/>
                <w:sz w:val="18"/>
                <w:szCs w:val="18"/>
                <w:rtl/>
              </w:rPr>
              <w:t>2023</w:t>
            </w:r>
            <w:r w:rsidRPr="00F41E9D">
              <w:rPr>
                <w:sz w:val="14"/>
                <w:szCs w:val="14"/>
                <w:rtl/>
              </w:rPr>
              <w:fldChar w:fldCharType="end"/>
            </w:r>
          </w:p>
        </w:tc>
        <w:tc>
          <w:tcPr>
            <w:tcW w:w="39" w:type="pct"/>
            <w:tcMar>
              <w:left w:w="58" w:type="dxa"/>
              <w:right w:w="58" w:type="dxa"/>
            </w:tcMar>
            <w:vAlign w:val="bottom"/>
          </w:tcPr>
          <w:p w14:paraId="559A7020" w14:textId="77777777" w:rsidR="00763B10" w:rsidRDefault="00763B10">
            <w:pPr>
              <w:pStyle w:val="-7"/>
              <w:spacing w:line="240" w:lineRule="auto"/>
              <w:rPr>
                <w:sz w:val="18"/>
                <w:szCs w:val="18"/>
                <w:rtl/>
              </w:rPr>
            </w:pPr>
          </w:p>
        </w:tc>
        <w:tc>
          <w:tcPr>
            <w:tcW w:w="1211" w:type="pct"/>
            <w:gridSpan w:val="7"/>
          </w:tcPr>
          <w:p w14:paraId="20CC61D4" w14:textId="0F205F35" w:rsidR="00763B10" w:rsidRDefault="00763B10" w:rsidP="001977FC">
            <w:pPr>
              <w:pStyle w:val="-4"/>
              <w:pBdr>
                <w:bottom w:val="single" w:sz="4" w:space="1" w:color="auto"/>
              </w:pBdr>
              <w:spacing w:line="240" w:lineRule="auto"/>
              <w:rPr>
                <w:sz w:val="18"/>
                <w:szCs w:val="18"/>
                <w:rtl/>
              </w:rPr>
            </w:pPr>
            <w:r w:rsidRPr="00B44059">
              <w:rPr>
                <w:rFonts w:hint="eastAsia"/>
                <w:sz w:val="18"/>
                <w:szCs w:val="18"/>
                <w:rtl/>
              </w:rPr>
              <w:t>ליום</w:t>
            </w:r>
            <w:r w:rsidRPr="00B44059">
              <w:rPr>
                <w:sz w:val="18"/>
                <w:szCs w:val="18"/>
                <w:rtl/>
              </w:rPr>
              <w:t xml:space="preserve"> 31 </w:t>
            </w:r>
            <w:r w:rsidRPr="00B44059">
              <w:rPr>
                <w:rFonts w:hint="eastAsia"/>
                <w:sz w:val="18"/>
                <w:szCs w:val="18"/>
                <w:rtl/>
              </w:rPr>
              <w:t>בדצמבר</w:t>
            </w:r>
            <w:r w:rsidRPr="00B44059">
              <w:rPr>
                <w:sz w:val="18"/>
                <w:szCs w:val="18"/>
                <w:rtl/>
              </w:rPr>
              <w:t xml:space="preserve"> </w:t>
            </w:r>
            <w:r w:rsidRPr="00F41E9D">
              <w:rPr>
                <w:sz w:val="14"/>
                <w:szCs w:val="14"/>
                <w:rtl/>
              </w:rPr>
              <w:fldChar w:fldCharType="begin"/>
            </w:r>
            <w:r w:rsidRPr="00F41E9D">
              <w:rPr>
                <w:sz w:val="14"/>
                <w:szCs w:val="14"/>
                <w:rtl/>
              </w:rPr>
              <w:instrText xml:space="preserve"> </w:instrText>
            </w:r>
            <w:r w:rsidRPr="00F41E9D">
              <w:rPr>
                <w:rFonts w:hint="cs"/>
                <w:sz w:val="14"/>
                <w:szCs w:val="14"/>
                <w:rtl/>
              </w:rPr>
              <w:instrText xml:space="preserve">= </w:instrText>
            </w:r>
            <w:r w:rsidRPr="00F41E9D">
              <w:rPr>
                <w:rFonts w:hint="cs"/>
                <w:sz w:val="14"/>
                <w:szCs w:val="14"/>
              </w:rPr>
              <w:instrText>CY</w:instrText>
            </w:r>
            <w:r w:rsidRPr="00F41E9D">
              <w:rPr>
                <w:sz w:val="14"/>
                <w:szCs w:val="14"/>
              </w:rPr>
              <w:instrText>-1</w:instrText>
            </w:r>
            <w:r w:rsidRPr="00F41E9D">
              <w:rPr>
                <w:rFonts w:hint="cs"/>
                <w:sz w:val="14"/>
                <w:szCs w:val="14"/>
              </w:rPr>
              <w:instrText xml:space="preserve"> \* MERGEFORMAT</w:instrText>
            </w:r>
            <w:r w:rsidRPr="00F41E9D">
              <w:rPr>
                <w:sz w:val="14"/>
                <w:szCs w:val="14"/>
                <w:rtl/>
              </w:rPr>
              <w:instrText xml:space="preserve"> </w:instrText>
            </w:r>
            <w:r w:rsidRPr="00F41E9D">
              <w:rPr>
                <w:sz w:val="14"/>
                <w:szCs w:val="14"/>
                <w:rtl/>
              </w:rPr>
              <w:fldChar w:fldCharType="separate"/>
            </w:r>
            <w:r w:rsidRPr="003A584F">
              <w:rPr>
                <w:noProof/>
                <w:sz w:val="18"/>
                <w:szCs w:val="18"/>
                <w:rtl/>
              </w:rPr>
              <w:t>2023</w:t>
            </w:r>
            <w:r w:rsidRPr="00F41E9D">
              <w:rPr>
                <w:sz w:val="14"/>
                <w:szCs w:val="14"/>
                <w:rtl/>
              </w:rPr>
              <w:fldChar w:fldCharType="end"/>
            </w:r>
          </w:p>
        </w:tc>
      </w:tr>
      <w:tr w:rsidR="00763B10" w:rsidRPr="00543C25" w14:paraId="3C8056CF" w14:textId="77777777" w:rsidTr="00763B10">
        <w:tc>
          <w:tcPr>
            <w:tcW w:w="319" w:type="pct"/>
            <w:vMerge/>
          </w:tcPr>
          <w:p w14:paraId="1B87C245" w14:textId="77777777" w:rsidR="00763B10" w:rsidRDefault="00763B10" w:rsidP="00F30791">
            <w:pPr>
              <w:pStyle w:val="-7"/>
              <w:spacing w:line="160" w:lineRule="exact"/>
              <w:rPr>
                <w:sz w:val="14"/>
                <w:szCs w:val="14"/>
                <w:rtl/>
              </w:rPr>
            </w:pPr>
          </w:p>
        </w:tc>
        <w:tc>
          <w:tcPr>
            <w:tcW w:w="952" w:type="pct"/>
            <w:vAlign w:val="bottom"/>
          </w:tcPr>
          <w:p w14:paraId="7593C5BB" w14:textId="77777777" w:rsidR="00763B10" w:rsidRDefault="00763B10" w:rsidP="00F30791">
            <w:pPr>
              <w:pStyle w:val="-0"/>
              <w:spacing w:line="160" w:lineRule="exact"/>
              <w:rPr>
                <w:sz w:val="14"/>
                <w:szCs w:val="14"/>
                <w:rtl/>
              </w:rPr>
            </w:pPr>
          </w:p>
        </w:tc>
        <w:tc>
          <w:tcPr>
            <w:tcW w:w="1208" w:type="pct"/>
            <w:gridSpan w:val="6"/>
          </w:tcPr>
          <w:p w14:paraId="411597BC" w14:textId="19715A71" w:rsidR="00763B10" w:rsidRDefault="00763B10" w:rsidP="00F30791">
            <w:pPr>
              <w:pStyle w:val="-4"/>
              <w:pBdr>
                <w:bottom w:val="single" w:sz="4" w:space="1" w:color="auto"/>
              </w:pBdr>
              <w:spacing w:line="160" w:lineRule="exact"/>
              <w:rPr>
                <w:sz w:val="16"/>
                <w:szCs w:val="16"/>
                <w:rtl/>
              </w:rPr>
            </w:pPr>
            <w:r w:rsidRPr="00B44059">
              <w:rPr>
                <w:rFonts w:hint="eastAsia"/>
                <w:sz w:val="16"/>
                <w:szCs w:val="16"/>
                <w:rtl/>
              </w:rPr>
              <w:t>בלתי</w:t>
            </w:r>
            <w:r w:rsidRPr="00B44059">
              <w:rPr>
                <w:sz w:val="16"/>
                <w:szCs w:val="16"/>
                <w:rtl/>
              </w:rPr>
              <w:t xml:space="preserve"> </w:t>
            </w:r>
            <w:r w:rsidRPr="00B44059">
              <w:rPr>
                <w:rFonts w:hint="eastAsia"/>
                <w:sz w:val="16"/>
                <w:szCs w:val="16"/>
                <w:rtl/>
              </w:rPr>
              <w:t>מבוקר</w:t>
            </w:r>
          </w:p>
        </w:tc>
        <w:tc>
          <w:tcPr>
            <w:tcW w:w="46" w:type="pct"/>
          </w:tcPr>
          <w:p w14:paraId="746AEA6D" w14:textId="77777777" w:rsidR="00763B10" w:rsidRDefault="00763B10" w:rsidP="00F30791">
            <w:pPr>
              <w:spacing w:line="160" w:lineRule="exact"/>
              <w:jc w:val="center"/>
              <w:rPr>
                <w:b/>
                <w:bCs/>
                <w:sz w:val="16"/>
                <w:szCs w:val="16"/>
                <w:rtl/>
              </w:rPr>
            </w:pPr>
          </w:p>
        </w:tc>
        <w:tc>
          <w:tcPr>
            <w:tcW w:w="1226" w:type="pct"/>
            <w:gridSpan w:val="6"/>
          </w:tcPr>
          <w:p w14:paraId="44B03D5A" w14:textId="47244C5C" w:rsidR="00763B10" w:rsidRDefault="00763B10" w:rsidP="00F30791">
            <w:pPr>
              <w:pStyle w:val="-4"/>
              <w:pBdr>
                <w:bottom w:val="single" w:sz="4" w:space="1" w:color="auto"/>
              </w:pBdr>
              <w:spacing w:line="160" w:lineRule="exact"/>
              <w:rPr>
                <w:sz w:val="16"/>
                <w:szCs w:val="16"/>
                <w:rtl/>
              </w:rPr>
            </w:pPr>
            <w:r w:rsidRPr="00B44059">
              <w:rPr>
                <w:rFonts w:hint="eastAsia"/>
                <w:sz w:val="16"/>
                <w:szCs w:val="16"/>
                <w:rtl/>
              </w:rPr>
              <w:t>בלתי</w:t>
            </w:r>
            <w:r w:rsidRPr="00B44059">
              <w:rPr>
                <w:sz w:val="16"/>
                <w:szCs w:val="16"/>
                <w:rtl/>
              </w:rPr>
              <w:t xml:space="preserve"> </w:t>
            </w:r>
            <w:r w:rsidRPr="00B44059">
              <w:rPr>
                <w:rFonts w:hint="eastAsia"/>
                <w:sz w:val="16"/>
                <w:szCs w:val="16"/>
                <w:rtl/>
              </w:rPr>
              <w:t>מבוקר</w:t>
            </w:r>
          </w:p>
        </w:tc>
        <w:tc>
          <w:tcPr>
            <w:tcW w:w="39" w:type="pct"/>
            <w:tcMar>
              <w:left w:w="58" w:type="dxa"/>
              <w:right w:w="58" w:type="dxa"/>
            </w:tcMar>
            <w:vAlign w:val="bottom"/>
          </w:tcPr>
          <w:p w14:paraId="382E72F2" w14:textId="77777777" w:rsidR="00763B10" w:rsidRDefault="00763B10" w:rsidP="00F30791">
            <w:pPr>
              <w:pStyle w:val="-7"/>
              <w:spacing w:line="160" w:lineRule="exact"/>
              <w:rPr>
                <w:sz w:val="16"/>
                <w:szCs w:val="16"/>
                <w:rtl/>
              </w:rPr>
            </w:pPr>
          </w:p>
        </w:tc>
        <w:tc>
          <w:tcPr>
            <w:tcW w:w="1211" w:type="pct"/>
            <w:gridSpan w:val="7"/>
          </w:tcPr>
          <w:p w14:paraId="68FC922A" w14:textId="1BC03B37" w:rsidR="00763B10" w:rsidRDefault="00763B10" w:rsidP="00F30791">
            <w:pPr>
              <w:pStyle w:val="-4"/>
              <w:pBdr>
                <w:bottom w:val="single" w:sz="4" w:space="1" w:color="auto"/>
              </w:pBdr>
              <w:spacing w:line="160" w:lineRule="exact"/>
              <w:rPr>
                <w:sz w:val="16"/>
                <w:szCs w:val="16"/>
                <w:rtl/>
              </w:rPr>
            </w:pPr>
            <w:r w:rsidRPr="00B44059">
              <w:rPr>
                <w:rFonts w:hint="eastAsia"/>
                <w:sz w:val="16"/>
                <w:szCs w:val="16"/>
                <w:rtl/>
              </w:rPr>
              <w:t>מבוקר</w:t>
            </w:r>
          </w:p>
        </w:tc>
      </w:tr>
      <w:tr w:rsidR="003E6FE0" w:rsidRPr="002236DD" w14:paraId="3397D77C" w14:textId="77777777" w:rsidTr="004836CE">
        <w:trPr>
          <w:trHeight w:val="259"/>
        </w:trPr>
        <w:tc>
          <w:tcPr>
            <w:tcW w:w="319" w:type="pct"/>
          </w:tcPr>
          <w:p w14:paraId="228F1F37" w14:textId="77777777" w:rsidR="003E6FE0" w:rsidRPr="00EA192D" w:rsidRDefault="003E6FE0" w:rsidP="00CC575A">
            <w:pPr>
              <w:pStyle w:val="-7"/>
              <w:spacing w:line="160" w:lineRule="exact"/>
              <w:rPr>
                <w:b/>
                <w:bCs/>
                <w:rtl/>
              </w:rPr>
            </w:pPr>
          </w:p>
        </w:tc>
        <w:tc>
          <w:tcPr>
            <w:tcW w:w="952" w:type="pct"/>
            <w:vAlign w:val="bottom"/>
          </w:tcPr>
          <w:p w14:paraId="7B12BA8D" w14:textId="77777777" w:rsidR="003E6FE0" w:rsidRDefault="003E6FE0" w:rsidP="00CC575A">
            <w:pPr>
              <w:pStyle w:val="-0"/>
              <w:spacing w:line="160" w:lineRule="exact"/>
              <w:rPr>
                <w:sz w:val="14"/>
                <w:szCs w:val="14"/>
                <w:rtl/>
              </w:rPr>
            </w:pPr>
          </w:p>
        </w:tc>
        <w:tc>
          <w:tcPr>
            <w:tcW w:w="163" w:type="pct"/>
            <w:tcBorders>
              <w:left w:val="nil"/>
            </w:tcBorders>
            <w:vAlign w:val="bottom"/>
          </w:tcPr>
          <w:p w14:paraId="188BB2AE" w14:textId="77777777" w:rsidR="003E6FE0" w:rsidRPr="003E6FE0" w:rsidRDefault="003E6FE0" w:rsidP="00305D97">
            <w:pPr>
              <w:pBdr>
                <w:bottom w:val="single" w:sz="4" w:space="1" w:color="auto"/>
              </w:pBdr>
              <w:spacing w:line="160" w:lineRule="exact"/>
              <w:jc w:val="center"/>
              <w:rPr>
                <w:b/>
                <w:bCs/>
                <w:sz w:val="15"/>
                <w:szCs w:val="15"/>
                <w:rtl/>
              </w:rPr>
            </w:pPr>
            <w:r w:rsidRPr="003E6FE0">
              <w:rPr>
                <w:rFonts w:hint="eastAsia"/>
                <w:b/>
                <w:bCs/>
                <w:sz w:val="15"/>
                <w:szCs w:val="15"/>
                <w:rtl/>
              </w:rPr>
              <w:t>הערך</w:t>
            </w:r>
          </w:p>
          <w:p w14:paraId="42526FA3" w14:textId="77777777" w:rsidR="003E6FE0" w:rsidRPr="003E6FE0" w:rsidRDefault="003E6FE0" w:rsidP="00305D97">
            <w:pPr>
              <w:pBdr>
                <w:bottom w:val="single" w:sz="4" w:space="1" w:color="auto"/>
              </w:pBdr>
              <w:spacing w:line="160" w:lineRule="exact"/>
              <w:jc w:val="center"/>
              <w:rPr>
                <w:b/>
                <w:bCs/>
                <w:sz w:val="15"/>
                <w:szCs w:val="15"/>
                <w:rtl/>
              </w:rPr>
            </w:pPr>
            <w:r w:rsidRPr="003E6FE0">
              <w:rPr>
                <w:rFonts w:hint="eastAsia"/>
                <w:b/>
                <w:bCs/>
                <w:sz w:val="15"/>
                <w:szCs w:val="15"/>
                <w:rtl/>
              </w:rPr>
              <w:t>במאזן</w:t>
            </w:r>
          </w:p>
        </w:tc>
        <w:tc>
          <w:tcPr>
            <w:tcW w:w="210" w:type="pct"/>
            <w:vAlign w:val="bottom"/>
          </w:tcPr>
          <w:p w14:paraId="6F91A36B" w14:textId="7F462F48" w:rsidR="003E6FE0" w:rsidRPr="003E6FE0" w:rsidRDefault="003E6FE0" w:rsidP="00B8406E">
            <w:pPr>
              <w:pBdr>
                <w:bottom w:val="single" w:sz="4" w:space="1" w:color="auto"/>
              </w:pBdr>
              <w:spacing w:line="160" w:lineRule="exact"/>
              <w:jc w:val="center"/>
              <w:rPr>
                <w:b/>
                <w:bCs/>
                <w:sz w:val="15"/>
                <w:szCs w:val="15"/>
                <w:rtl/>
              </w:rPr>
            </w:pPr>
            <w:r w:rsidRPr="003E6FE0">
              <w:rPr>
                <w:rFonts w:hint="eastAsia"/>
                <w:b/>
                <w:bCs/>
                <w:sz w:val="15"/>
                <w:szCs w:val="15"/>
                <w:rtl/>
              </w:rPr>
              <w:t>עלות</w:t>
            </w:r>
            <w:r w:rsidRPr="003E6FE0">
              <w:rPr>
                <w:rFonts w:hint="cs"/>
                <w:b/>
                <w:bCs/>
                <w:sz w:val="15"/>
                <w:szCs w:val="15"/>
                <w:rtl/>
              </w:rPr>
              <w:t xml:space="preserve"> </w:t>
            </w:r>
            <w:r w:rsidRPr="003E6FE0">
              <w:rPr>
                <w:rFonts w:hint="eastAsia"/>
                <w:b/>
                <w:bCs/>
                <w:sz w:val="15"/>
                <w:szCs w:val="15"/>
                <w:rtl/>
              </w:rPr>
              <w:t>מופחתת</w:t>
            </w:r>
          </w:p>
        </w:tc>
        <w:tc>
          <w:tcPr>
            <w:tcW w:w="194" w:type="pct"/>
            <w:shd w:val="clear" w:color="auto" w:fill="auto"/>
          </w:tcPr>
          <w:p w14:paraId="731542A9" w14:textId="77777777" w:rsidR="003E6FE0" w:rsidRPr="003E6FE0" w:rsidRDefault="003E6FE0" w:rsidP="00B8406E">
            <w:pPr>
              <w:pBdr>
                <w:bottom w:val="single" w:sz="4" w:space="1" w:color="auto"/>
              </w:pBdr>
              <w:spacing w:line="160" w:lineRule="exact"/>
              <w:jc w:val="center"/>
              <w:rPr>
                <w:b/>
                <w:bCs/>
                <w:sz w:val="15"/>
                <w:szCs w:val="15"/>
                <w:rtl/>
              </w:rPr>
            </w:pPr>
          </w:p>
          <w:p w14:paraId="69142EE9" w14:textId="77777777" w:rsidR="003E6FE0" w:rsidRPr="003E6FE0" w:rsidRDefault="003E6FE0" w:rsidP="00B8406E">
            <w:pPr>
              <w:pBdr>
                <w:bottom w:val="single" w:sz="4" w:space="1" w:color="auto"/>
              </w:pBdr>
              <w:spacing w:line="160" w:lineRule="exact"/>
              <w:jc w:val="center"/>
              <w:rPr>
                <w:b/>
                <w:bCs/>
                <w:sz w:val="15"/>
                <w:szCs w:val="15"/>
                <w:rtl/>
              </w:rPr>
            </w:pPr>
          </w:p>
          <w:p w14:paraId="5EFFCB58" w14:textId="33F56AEF" w:rsidR="003E6FE0" w:rsidRPr="003E6FE0" w:rsidRDefault="003E6FE0" w:rsidP="00B8406E">
            <w:pPr>
              <w:pBdr>
                <w:bottom w:val="single" w:sz="4" w:space="1" w:color="auto"/>
              </w:pBdr>
              <w:spacing w:line="160" w:lineRule="exact"/>
              <w:jc w:val="center"/>
              <w:rPr>
                <w:b/>
                <w:bCs/>
                <w:sz w:val="15"/>
                <w:szCs w:val="15"/>
                <w:rtl/>
              </w:rPr>
            </w:pPr>
            <w:r w:rsidRPr="003E6FE0">
              <w:rPr>
                <w:b/>
                <w:bCs/>
                <w:sz w:val="15"/>
                <w:szCs w:val="15"/>
                <w:rtl/>
              </w:rPr>
              <w:t>יתרת הפרשה להפסדי אשראי</w:t>
            </w:r>
          </w:p>
        </w:tc>
        <w:tc>
          <w:tcPr>
            <w:tcW w:w="240" w:type="pct"/>
            <w:vAlign w:val="bottom"/>
          </w:tcPr>
          <w:p w14:paraId="41372C98" w14:textId="2CB2B613" w:rsidR="003E6FE0" w:rsidRPr="003E6FE0" w:rsidRDefault="003E6FE0" w:rsidP="00CC575A">
            <w:pPr>
              <w:pBdr>
                <w:bottom w:val="single" w:sz="4" w:space="1" w:color="auto"/>
              </w:pBdr>
              <w:spacing w:line="160" w:lineRule="exact"/>
              <w:jc w:val="center"/>
              <w:rPr>
                <w:b/>
                <w:bCs/>
                <w:sz w:val="15"/>
                <w:szCs w:val="15"/>
                <w:rtl/>
              </w:rPr>
            </w:pPr>
            <w:r w:rsidRPr="003E6FE0">
              <w:rPr>
                <w:rFonts w:hint="eastAsia"/>
                <w:b/>
                <w:bCs/>
                <w:sz w:val="15"/>
                <w:szCs w:val="15"/>
                <w:rtl/>
              </w:rPr>
              <w:t>רווחים</w:t>
            </w:r>
            <w:r w:rsidRPr="003E6FE0">
              <w:rPr>
                <w:b/>
                <w:bCs/>
                <w:sz w:val="15"/>
                <w:szCs w:val="15"/>
                <w:rtl/>
              </w:rPr>
              <w:t xml:space="preserve"> </w:t>
            </w:r>
            <w:r w:rsidRPr="003E6FE0">
              <w:rPr>
                <w:rFonts w:hint="eastAsia"/>
                <w:b/>
                <w:bCs/>
                <w:sz w:val="15"/>
                <w:szCs w:val="15"/>
                <w:rtl/>
              </w:rPr>
              <w:t>שטרם</w:t>
            </w:r>
            <w:r w:rsidRPr="003E6FE0">
              <w:rPr>
                <w:b/>
                <w:bCs/>
                <w:sz w:val="15"/>
                <w:szCs w:val="15"/>
                <w:rtl/>
              </w:rPr>
              <w:t xml:space="preserve"> </w:t>
            </w:r>
            <w:r w:rsidRPr="003E6FE0">
              <w:rPr>
                <w:rFonts w:hint="eastAsia"/>
                <w:b/>
                <w:bCs/>
                <w:sz w:val="15"/>
                <w:szCs w:val="15"/>
                <w:rtl/>
              </w:rPr>
              <w:t>הוכרו</w:t>
            </w:r>
            <w:r w:rsidRPr="003E6FE0">
              <w:rPr>
                <w:b/>
                <w:bCs/>
                <w:sz w:val="15"/>
                <w:szCs w:val="15"/>
                <w:rtl/>
              </w:rPr>
              <w:t xml:space="preserve"> </w:t>
            </w:r>
            <w:r w:rsidRPr="003E6FE0">
              <w:rPr>
                <w:rFonts w:hint="eastAsia"/>
                <w:b/>
                <w:bCs/>
                <w:sz w:val="15"/>
                <w:szCs w:val="15"/>
                <w:rtl/>
              </w:rPr>
              <w:t>מהתאמות</w:t>
            </w:r>
            <w:r w:rsidRPr="003E6FE0">
              <w:rPr>
                <w:b/>
                <w:bCs/>
                <w:sz w:val="15"/>
                <w:szCs w:val="15"/>
                <w:rtl/>
              </w:rPr>
              <w:t xml:space="preserve"> </w:t>
            </w:r>
            <w:r w:rsidRPr="003E6FE0">
              <w:rPr>
                <w:rFonts w:hint="eastAsia"/>
                <w:b/>
                <w:bCs/>
                <w:sz w:val="15"/>
                <w:szCs w:val="15"/>
                <w:rtl/>
              </w:rPr>
              <w:t>לשווי</w:t>
            </w:r>
            <w:r w:rsidRPr="003E6FE0">
              <w:rPr>
                <w:b/>
                <w:bCs/>
                <w:sz w:val="15"/>
                <w:szCs w:val="15"/>
                <w:rtl/>
              </w:rPr>
              <w:t xml:space="preserve"> </w:t>
            </w:r>
            <w:r w:rsidRPr="003E6FE0">
              <w:rPr>
                <w:rFonts w:hint="eastAsia"/>
                <w:b/>
                <w:bCs/>
                <w:sz w:val="15"/>
                <w:szCs w:val="15"/>
                <w:rtl/>
              </w:rPr>
              <w:t>הוגן</w:t>
            </w:r>
          </w:p>
        </w:tc>
        <w:tc>
          <w:tcPr>
            <w:tcW w:w="240" w:type="pct"/>
            <w:vAlign w:val="bottom"/>
          </w:tcPr>
          <w:p w14:paraId="7CB68C45" w14:textId="77777777" w:rsidR="003E6FE0" w:rsidRPr="003E6FE0" w:rsidRDefault="003E6FE0" w:rsidP="00CC575A">
            <w:pPr>
              <w:pBdr>
                <w:bottom w:val="single" w:sz="4" w:space="1" w:color="auto"/>
              </w:pBdr>
              <w:spacing w:line="160" w:lineRule="exact"/>
              <w:jc w:val="center"/>
              <w:rPr>
                <w:b/>
                <w:bCs/>
                <w:sz w:val="15"/>
                <w:szCs w:val="15"/>
                <w:rtl/>
              </w:rPr>
            </w:pPr>
            <w:r w:rsidRPr="003E6FE0">
              <w:rPr>
                <w:rFonts w:hint="eastAsia"/>
                <w:b/>
                <w:bCs/>
                <w:sz w:val="15"/>
                <w:szCs w:val="15"/>
                <w:rtl/>
              </w:rPr>
              <w:t>הפסדים</w:t>
            </w:r>
            <w:r w:rsidRPr="003E6FE0">
              <w:rPr>
                <w:b/>
                <w:bCs/>
                <w:sz w:val="15"/>
                <w:szCs w:val="15"/>
                <w:rtl/>
              </w:rPr>
              <w:t xml:space="preserve"> </w:t>
            </w:r>
            <w:r w:rsidRPr="003E6FE0">
              <w:rPr>
                <w:rFonts w:hint="eastAsia"/>
                <w:b/>
                <w:bCs/>
                <w:sz w:val="15"/>
                <w:szCs w:val="15"/>
                <w:rtl/>
              </w:rPr>
              <w:t>שטרם</w:t>
            </w:r>
            <w:r w:rsidRPr="003E6FE0">
              <w:rPr>
                <w:b/>
                <w:bCs/>
                <w:sz w:val="15"/>
                <w:szCs w:val="15"/>
                <w:rtl/>
              </w:rPr>
              <w:t xml:space="preserve"> </w:t>
            </w:r>
            <w:r w:rsidRPr="003E6FE0">
              <w:rPr>
                <w:rFonts w:hint="eastAsia"/>
                <w:b/>
                <w:bCs/>
                <w:sz w:val="15"/>
                <w:szCs w:val="15"/>
                <w:rtl/>
              </w:rPr>
              <w:t>הוכרו</w:t>
            </w:r>
            <w:r w:rsidRPr="003E6FE0">
              <w:rPr>
                <w:b/>
                <w:bCs/>
                <w:sz w:val="15"/>
                <w:szCs w:val="15"/>
                <w:rtl/>
              </w:rPr>
              <w:t xml:space="preserve"> </w:t>
            </w:r>
            <w:r w:rsidRPr="003E6FE0">
              <w:rPr>
                <w:rFonts w:hint="eastAsia"/>
                <w:b/>
                <w:bCs/>
                <w:sz w:val="15"/>
                <w:szCs w:val="15"/>
                <w:rtl/>
              </w:rPr>
              <w:t>מהתאמות</w:t>
            </w:r>
            <w:r w:rsidRPr="003E6FE0">
              <w:rPr>
                <w:b/>
                <w:bCs/>
                <w:sz w:val="15"/>
                <w:szCs w:val="15"/>
                <w:rtl/>
              </w:rPr>
              <w:t xml:space="preserve"> </w:t>
            </w:r>
            <w:r w:rsidRPr="003E6FE0">
              <w:rPr>
                <w:rFonts w:hint="eastAsia"/>
                <w:b/>
                <w:bCs/>
                <w:sz w:val="15"/>
                <w:szCs w:val="15"/>
                <w:rtl/>
              </w:rPr>
              <w:t>לשווי</w:t>
            </w:r>
            <w:r w:rsidRPr="003E6FE0">
              <w:rPr>
                <w:b/>
                <w:bCs/>
                <w:sz w:val="15"/>
                <w:szCs w:val="15"/>
                <w:rtl/>
              </w:rPr>
              <w:t xml:space="preserve"> </w:t>
            </w:r>
            <w:r w:rsidRPr="003E6FE0">
              <w:rPr>
                <w:rFonts w:hint="eastAsia"/>
                <w:b/>
                <w:bCs/>
                <w:sz w:val="15"/>
                <w:szCs w:val="15"/>
                <w:rtl/>
              </w:rPr>
              <w:t>הוגן</w:t>
            </w:r>
          </w:p>
        </w:tc>
        <w:tc>
          <w:tcPr>
            <w:tcW w:w="162" w:type="pct"/>
            <w:vAlign w:val="bottom"/>
          </w:tcPr>
          <w:p w14:paraId="02303718" w14:textId="77777777" w:rsidR="003E6FE0" w:rsidRPr="003E6FE0" w:rsidRDefault="003E6FE0" w:rsidP="00CC575A">
            <w:pPr>
              <w:pStyle w:val="-4"/>
              <w:pBdr>
                <w:bottom w:val="none" w:sz="0" w:space="0" w:color="auto"/>
              </w:pBdr>
              <w:spacing w:line="160" w:lineRule="exact"/>
              <w:rPr>
                <w:sz w:val="15"/>
                <w:szCs w:val="15"/>
                <w:rtl/>
              </w:rPr>
            </w:pPr>
            <w:r w:rsidRPr="003E6FE0">
              <w:rPr>
                <w:rFonts w:hint="eastAsia"/>
                <w:sz w:val="15"/>
                <w:szCs w:val="15"/>
                <w:rtl/>
              </w:rPr>
              <w:t>שווי</w:t>
            </w:r>
          </w:p>
          <w:p w14:paraId="0EBE494C" w14:textId="77777777" w:rsidR="003E6FE0" w:rsidRPr="003E6FE0" w:rsidRDefault="003E6FE0" w:rsidP="00CC575A">
            <w:pPr>
              <w:pStyle w:val="-4"/>
              <w:pBdr>
                <w:bottom w:val="single" w:sz="4" w:space="1" w:color="auto"/>
              </w:pBdr>
              <w:spacing w:line="160" w:lineRule="exact"/>
              <w:rPr>
                <w:sz w:val="15"/>
                <w:szCs w:val="15"/>
                <w:rtl/>
              </w:rPr>
            </w:pPr>
            <w:r w:rsidRPr="003E6FE0">
              <w:rPr>
                <w:rFonts w:hint="eastAsia"/>
                <w:sz w:val="15"/>
                <w:szCs w:val="15"/>
                <w:rtl/>
              </w:rPr>
              <w:t>הוגן</w:t>
            </w:r>
            <w:r w:rsidRPr="003E6FE0">
              <w:rPr>
                <w:sz w:val="15"/>
                <w:szCs w:val="15"/>
                <w:vertAlign w:val="superscript"/>
                <w:rtl/>
              </w:rPr>
              <w:t>(א)</w:t>
            </w:r>
          </w:p>
        </w:tc>
        <w:tc>
          <w:tcPr>
            <w:tcW w:w="46" w:type="pct"/>
          </w:tcPr>
          <w:p w14:paraId="350E9738" w14:textId="77777777" w:rsidR="003E6FE0" w:rsidRPr="003E6FE0" w:rsidRDefault="003E6FE0" w:rsidP="00CC575A">
            <w:pPr>
              <w:spacing w:line="160" w:lineRule="exact"/>
              <w:jc w:val="center"/>
              <w:rPr>
                <w:b/>
                <w:bCs/>
                <w:sz w:val="15"/>
                <w:szCs w:val="15"/>
                <w:rtl/>
              </w:rPr>
            </w:pPr>
          </w:p>
        </w:tc>
        <w:tc>
          <w:tcPr>
            <w:tcW w:w="163" w:type="pct"/>
            <w:vAlign w:val="bottom"/>
          </w:tcPr>
          <w:p w14:paraId="0BCC0914" w14:textId="77777777" w:rsidR="003E6FE0" w:rsidRPr="003E6FE0" w:rsidRDefault="003E6FE0" w:rsidP="00CC575A">
            <w:pPr>
              <w:pBdr>
                <w:bottom w:val="single" w:sz="4" w:space="1" w:color="auto"/>
              </w:pBdr>
              <w:spacing w:line="160" w:lineRule="exact"/>
              <w:jc w:val="center"/>
              <w:rPr>
                <w:b/>
                <w:bCs/>
                <w:sz w:val="15"/>
                <w:szCs w:val="15"/>
                <w:rtl/>
              </w:rPr>
            </w:pPr>
            <w:r w:rsidRPr="003E6FE0">
              <w:rPr>
                <w:rFonts w:hint="eastAsia"/>
                <w:b/>
                <w:bCs/>
                <w:sz w:val="15"/>
                <w:szCs w:val="15"/>
                <w:rtl/>
              </w:rPr>
              <w:t>הערך</w:t>
            </w:r>
          </w:p>
          <w:p w14:paraId="2D84ED8D" w14:textId="77777777" w:rsidR="003E6FE0" w:rsidRPr="003E6FE0" w:rsidRDefault="003E6FE0" w:rsidP="00CC575A">
            <w:pPr>
              <w:pBdr>
                <w:bottom w:val="single" w:sz="4" w:space="1" w:color="auto"/>
              </w:pBdr>
              <w:spacing w:line="160" w:lineRule="exact"/>
              <w:jc w:val="center"/>
              <w:rPr>
                <w:b/>
                <w:bCs/>
                <w:sz w:val="15"/>
                <w:szCs w:val="15"/>
                <w:rtl/>
              </w:rPr>
            </w:pPr>
            <w:r w:rsidRPr="003E6FE0">
              <w:rPr>
                <w:rFonts w:hint="eastAsia"/>
                <w:b/>
                <w:bCs/>
                <w:sz w:val="15"/>
                <w:szCs w:val="15"/>
                <w:rtl/>
              </w:rPr>
              <w:t>במאזן</w:t>
            </w:r>
          </w:p>
        </w:tc>
        <w:tc>
          <w:tcPr>
            <w:tcW w:w="210" w:type="pct"/>
            <w:vAlign w:val="bottom"/>
          </w:tcPr>
          <w:p w14:paraId="5F9A1748" w14:textId="77777777" w:rsidR="003E6FE0" w:rsidRPr="003E6FE0" w:rsidRDefault="003E6FE0" w:rsidP="00CC575A">
            <w:pPr>
              <w:pBdr>
                <w:bottom w:val="single" w:sz="4" w:space="1" w:color="auto"/>
              </w:pBdr>
              <w:spacing w:line="160" w:lineRule="exact"/>
              <w:jc w:val="center"/>
              <w:rPr>
                <w:b/>
                <w:bCs/>
                <w:sz w:val="15"/>
                <w:szCs w:val="15"/>
                <w:rtl/>
              </w:rPr>
            </w:pPr>
            <w:r w:rsidRPr="003E6FE0">
              <w:rPr>
                <w:rFonts w:hint="eastAsia"/>
                <w:b/>
                <w:bCs/>
                <w:sz w:val="15"/>
                <w:szCs w:val="15"/>
                <w:rtl/>
              </w:rPr>
              <w:t>עלות</w:t>
            </w:r>
            <w:r w:rsidRPr="003E6FE0">
              <w:rPr>
                <w:b/>
                <w:bCs/>
                <w:sz w:val="15"/>
                <w:szCs w:val="15"/>
                <w:rtl/>
              </w:rPr>
              <w:t xml:space="preserve"> </w:t>
            </w:r>
            <w:r w:rsidRPr="003E6FE0">
              <w:rPr>
                <w:rFonts w:hint="eastAsia"/>
                <w:b/>
                <w:bCs/>
                <w:sz w:val="15"/>
                <w:szCs w:val="15"/>
                <w:rtl/>
              </w:rPr>
              <w:t>מופחתת</w:t>
            </w:r>
          </w:p>
        </w:tc>
        <w:tc>
          <w:tcPr>
            <w:tcW w:w="211" w:type="pct"/>
          </w:tcPr>
          <w:p w14:paraId="5D44C6B0" w14:textId="1B766285" w:rsidR="00361A81" w:rsidRDefault="00361A81" w:rsidP="00361A81">
            <w:pPr>
              <w:pBdr>
                <w:bottom w:val="single" w:sz="4" w:space="1" w:color="auto"/>
              </w:pBdr>
              <w:spacing w:line="160" w:lineRule="exact"/>
              <w:rPr>
                <w:b/>
                <w:bCs/>
                <w:sz w:val="15"/>
                <w:szCs w:val="15"/>
                <w:rtl/>
              </w:rPr>
            </w:pPr>
          </w:p>
          <w:p w14:paraId="27AE4E87" w14:textId="77777777" w:rsidR="00361A81" w:rsidRPr="00361A81" w:rsidRDefault="00361A81" w:rsidP="00361A81">
            <w:pPr>
              <w:pBdr>
                <w:bottom w:val="single" w:sz="4" w:space="1" w:color="auto"/>
              </w:pBdr>
              <w:spacing w:line="160" w:lineRule="exact"/>
              <w:rPr>
                <w:b/>
                <w:bCs/>
                <w:sz w:val="15"/>
                <w:szCs w:val="15"/>
                <w:rtl/>
              </w:rPr>
            </w:pPr>
          </w:p>
          <w:p w14:paraId="5D3863DD" w14:textId="32873E1B" w:rsidR="003E6FE0" w:rsidRPr="003E6FE0" w:rsidRDefault="00361A81" w:rsidP="00361A81">
            <w:pPr>
              <w:pBdr>
                <w:bottom w:val="single" w:sz="4" w:space="1" w:color="auto"/>
              </w:pBdr>
              <w:spacing w:line="160" w:lineRule="exact"/>
              <w:jc w:val="center"/>
              <w:rPr>
                <w:b/>
                <w:bCs/>
                <w:sz w:val="15"/>
                <w:szCs w:val="15"/>
                <w:rtl/>
              </w:rPr>
            </w:pPr>
            <w:r w:rsidRPr="00361A81">
              <w:rPr>
                <w:b/>
                <w:bCs/>
                <w:sz w:val="15"/>
                <w:szCs w:val="15"/>
                <w:rtl/>
              </w:rPr>
              <w:t>יתרת הפרשה להפסדי אשראי</w:t>
            </w:r>
          </w:p>
        </w:tc>
        <w:tc>
          <w:tcPr>
            <w:tcW w:w="240" w:type="pct"/>
            <w:vAlign w:val="bottom"/>
          </w:tcPr>
          <w:p w14:paraId="357C15ED" w14:textId="4280AB4C" w:rsidR="003E6FE0" w:rsidRPr="003E6FE0" w:rsidRDefault="003E6FE0" w:rsidP="00CC575A">
            <w:pPr>
              <w:pBdr>
                <w:bottom w:val="single" w:sz="4" w:space="1" w:color="auto"/>
              </w:pBdr>
              <w:spacing w:line="160" w:lineRule="exact"/>
              <w:jc w:val="center"/>
              <w:rPr>
                <w:b/>
                <w:bCs/>
                <w:sz w:val="15"/>
                <w:szCs w:val="15"/>
                <w:rtl/>
              </w:rPr>
            </w:pPr>
            <w:r w:rsidRPr="003E6FE0">
              <w:rPr>
                <w:rFonts w:hint="eastAsia"/>
                <w:b/>
                <w:bCs/>
                <w:sz w:val="15"/>
                <w:szCs w:val="15"/>
                <w:rtl/>
              </w:rPr>
              <w:t>רווחים</w:t>
            </w:r>
            <w:r w:rsidRPr="003E6FE0">
              <w:rPr>
                <w:b/>
                <w:bCs/>
                <w:sz w:val="15"/>
                <w:szCs w:val="15"/>
                <w:rtl/>
              </w:rPr>
              <w:t xml:space="preserve"> </w:t>
            </w:r>
            <w:r w:rsidRPr="003E6FE0">
              <w:rPr>
                <w:rFonts w:hint="eastAsia"/>
                <w:b/>
                <w:bCs/>
                <w:sz w:val="15"/>
                <w:szCs w:val="15"/>
                <w:rtl/>
              </w:rPr>
              <w:t>שטרם</w:t>
            </w:r>
            <w:r w:rsidRPr="003E6FE0">
              <w:rPr>
                <w:b/>
                <w:bCs/>
                <w:sz w:val="15"/>
                <w:szCs w:val="15"/>
                <w:rtl/>
              </w:rPr>
              <w:t xml:space="preserve"> </w:t>
            </w:r>
            <w:r w:rsidRPr="003E6FE0">
              <w:rPr>
                <w:rFonts w:hint="eastAsia"/>
                <w:b/>
                <w:bCs/>
                <w:sz w:val="15"/>
                <w:szCs w:val="15"/>
                <w:rtl/>
              </w:rPr>
              <w:t>הוכרו</w:t>
            </w:r>
            <w:r w:rsidRPr="003E6FE0">
              <w:rPr>
                <w:b/>
                <w:bCs/>
                <w:sz w:val="15"/>
                <w:szCs w:val="15"/>
                <w:rtl/>
              </w:rPr>
              <w:t xml:space="preserve"> </w:t>
            </w:r>
            <w:r w:rsidRPr="003E6FE0">
              <w:rPr>
                <w:rFonts w:hint="eastAsia"/>
                <w:b/>
                <w:bCs/>
                <w:sz w:val="15"/>
                <w:szCs w:val="15"/>
                <w:rtl/>
              </w:rPr>
              <w:t>מהתאמות</w:t>
            </w:r>
            <w:r w:rsidRPr="003E6FE0">
              <w:rPr>
                <w:b/>
                <w:bCs/>
                <w:sz w:val="15"/>
                <w:szCs w:val="15"/>
                <w:rtl/>
              </w:rPr>
              <w:t xml:space="preserve"> </w:t>
            </w:r>
            <w:r w:rsidRPr="003E6FE0">
              <w:rPr>
                <w:rFonts w:hint="eastAsia"/>
                <w:b/>
                <w:bCs/>
                <w:sz w:val="15"/>
                <w:szCs w:val="15"/>
                <w:rtl/>
              </w:rPr>
              <w:t>לשווי</w:t>
            </w:r>
            <w:r w:rsidRPr="003E6FE0">
              <w:rPr>
                <w:b/>
                <w:bCs/>
                <w:sz w:val="15"/>
                <w:szCs w:val="15"/>
                <w:rtl/>
              </w:rPr>
              <w:t xml:space="preserve"> </w:t>
            </w:r>
            <w:r w:rsidRPr="003E6FE0">
              <w:rPr>
                <w:rFonts w:hint="eastAsia"/>
                <w:b/>
                <w:bCs/>
                <w:sz w:val="15"/>
                <w:szCs w:val="15"/>
                <w:rtl/>
              </w:rPr>
              <w:t>הוגן</w:t>
            </w:r>
          </w:p>
        </w:tc>
        <w:tc>
          <w:tcPr>
            <w:tcW w:w="240" w:type="pct"/>
            <w:vAlign w:val="bottom"/>
          </w:tcPr>
          <w:p w14:paraId="7461E6BB" w14:textId="77777777" w:rsidR="003E6FE0" w:rsidRPr="003E6FE0" w:rsidRDefault="003E6FE0" w:rsidP="00CC575A">
            <w:pPr>
              <w:pBdr>
                <w:bottom w:val="single" w:sz="4" w:space="1" w:color="auto"/>
              </w:pBdr>
              <w:spacing w:line="160" w:lineRule="exact"/>
              <w:jc w:val="center"/>
              <w:rPr>
                <w:b/>
                <w:bCs/>
                <w:sz w:val="15"/>
                <w:szCs w:val="15"/>
                <w:rtl/>
              </w:rPr>
            </w:pPr>
            <w:r w:rsidRPr="003E6FE0">
              <w:rPr>
                <w:rFonts w:hint="eastAsia"/>
                <w:b/>
                <w:bCs/>
                <w:sz w:val="15"/>
                <w:szCs w:val="15"/>
                <w:rtl/>
              </w:rPr>
              <w:t>הפסדים</w:t>
            </w:r>
            <w:r w:rsidRPr="003E6FE0">
              <w:rPr>
                <w:b/>
                <w:bCs/>
                <w:sz w:val="15"/>
                <w:szCs w:val="15"/>
                <w:rtl/>
              </w:rPr>
              <w:t xml:space="preserve"> </w:t>
            </w:r>
            <w:r w:rsidRPr="003E6FE0">
              <w:rPr>
                <w:rFonts w:hint="eastAsia"/>
                <w:b/>
                <w:bCs/>
                <w:sz w:val="15"/>
                <w:szCs w:val="15"/>
                <w:rtl/>
              </w:rPr>
              <w:t>שטרם</w:t>
            </w:r>
            <w:r w:rsidRPr="003E6FE0">
              <w:rPr>
                <w:b/>
                <w:bCs/>
                <w:sz w:val="15"/>
                <w:szCs w:val="15"/>
                <w:rtl/>
              </w:rPr>
              <w:t xml:space="preserve"> </w:t>
            </w:r>
            <w:r w:rsidRPr="003E6FE0">
              <w:rPr>
                <w:rFonts w:hint="eastAsia"/>
                <w:b/>
                <w:bCs/>
                <w:sz w:val="15"/>
                <w:szCs w:val="15"/>
                <w:rtl/>
              </w:rPr>
              <w:t>הוכרו</w:t>
            </w:r>
            <w:r w:rsidRPr="003E6FE0">
              <w:rPr>
                <w:b/>
                <w:bCs/>
                <w:sz w:val="15"/>
                <w:szCs w:val="15"/>
                <w:rtl/>
              </w:rPr>
              <w:t xml:space="preserve"> </w:t>
            </w:r>
            <w:r w:rsidRPr="003E6FE0">
              <w:rPr>
                <w:rFonts w:hint="eastAsia"/>
                <w:b/>
                <w:bCs/>
                <w:sz w:val="15"/>
                <w:szCs w:val="15"/>
                <w:rtl/>
              </w:rPr>
              <w:t>מהתאמות</w:t>
            </w:r>
            <w:r w:rsidRPr="003E6FE0">
              <w:rPr>
                <w:b/>
                <w:bCs/>
                <w:sz w:val="15"/>
                <w:szCs w:val="15"/>
                <w:rtl/>
              </w:rPr>
              <w:t xml:space="preserve"> </w:t>
            </w:r>
            <w:r w:rsidRPr="003E6FE0">
              <w:rPr>
                <w:rFonts w:hint="eastAsia"/>
                <w:b/>
                <w:bCs/>
                <w:sz w:val="15"/>
                <w:szCs w:val="15"/>
                <w:rtl/>
              </w:rPr>
              <w:t>לשווי</w:t>
            </w:r>
            <w:r w:rsidRPr="003E6FE0">
              <w:rPr>
                <w:b/>
                <w:bCs/>
                <w:sz w:val="15"/>
                <w:szCs w:val="15"/>
                <w:rtl/>
              </w:rPr>
              <w:t xml:space="preserve"> </w:t>
            </w:r>
            <w:r w:rsidRPr="003E6FE0">
              <w:rPr>
                <w:rFonts w:hint="eastAsia"/>
                <w:b/>
                <w:bCs/>
                <w:sz w:val="15"/>
                <w:szCs w:val="15"/>
                <w:rtl/>
              </w:rPr>
              <w:t>הוגן</w:t>
            </w:r>
          </w:p>
        </w:tc>
        <w:tc>
          <w:tcPr>
            <w:tcW w:w="162" w:type="pct"/>
            <w:vAlign w:val="bottom"/>
          </w:tcPr>
          <w:p w14:paraId="6ADD98A1" w14:textId="77777777" w:rsidR="003E6FE0" w:rsidRPr="003E6FE0" w:rsidRDefault="003E6FE0" w:rsidP="00CC575A">
            <w:pPr>
              <w:pStyle w:val="-4"/>
              <w:pBdr>
                <w:bottom w:val="single" w:sz="4" w:space="1" w:color="auto"/>
              </w:pBdr>
              <w:spacing w:line="160" w:lineRule="exact"/>
              <w:rPr>
                <w:sz w:val="15"/>
                <w:szCs w:val="15"/>
                <w:rtl/>
              </w:rPr>
            </w:pPr>
            <w:r w:rsidRPr="003E6FE0">
              <w:rPr>
                <w:rFonts w:hint="eastAsia"/>
                <w:sz w:val="15"/>
                <w:szCs w:val="15"/>
                <w:rtl/>
              </w:rPr>
              <w:t>שווי</w:t>
            </w:r>
          </w:p>
          <w:p w14:paraId="52354CB4" w14:textId="77777777" w:rsidR="003E6FE0" w:rsidRPr="003E6FE0" w:rsidRDefault="003E6FE0" w:rsidP="00CC575A">
            <w:pPr>
              <w:pStyle w:val="-4"/>
              <w:pBdr>
                <w:bottom w:val="single" w:sz="4" w:space="1" w:color="auto"/>
              </w:pBdr>
              <w:spacing w:line="160" w:lineRule="exact"/>
              <w:rPr>
                <w:sz w:val="15"/>
                <w:szCs w:val="15"/>
                <w:rtl/>
              </w:rPr>
            </w:pPr>
            <w:r w:rsidRPr="003E6FE0">
              <w:rPr>
                <w:rFonts w:hint="eastAsia"/>
                <w:sz w:val="15"/>
                <w:szCs w:val="15"/>
                <w:rtl/>
              </w:rPr>
              <w:t>הוגן</w:t>
            </w:r>
            <w:r w:rsidRPr="003E6FE0">
              <w:rPr>
                <w:sz w:val="15"/>
                <w:szCs w:val="15"/>
                <w:vertAlign w:val="superscript"/>
                <w:rtl/>
              </w:rPr>
              <w:t>(א)</w:t>
            </w:r>
          </w:p>
        </w:tc>
        <w:tc>
          <w:tcPr>
            <w:tcW w:w="39" w:type="pct"/>
            <w:tcMar>
              <w:left w:w="58" w:type="dxa"/>
              <w:right w:w="58" w:type="dxa"/>
            </w:tcMar>
            <w:vAlign w:val="bottom"/>
          </w:tcPr>
          <w:p w14:paraId="61CC64BD" w14:textId="77777777" w:rsidR="003E6FE0" w:rsidRPr="003E6FE0" w:rsidRDefault="003E6FE0" w:rsidP="00CC575A">
            <w:pPr>
              <w:pStyle w:val="-7"/>
              <w:spacing w:line="160" w:lineRule="exact"/>
              <w:rPr>
                <w:sz w:val="15"/>
                <w:szCs w:val="15"/>
                <w:rtl/>
              </w:rPr>
            </w:pPr>
          </w:p>
        </w:tc>
        <w:tc>
          <w:tcPr>
            <w:tcW w:w="163" w:type="pct"/>
            <w:vAlign w:val="bottom"/>
          </w:tcPr>
          <w:p w14:paraId="79418E35" w14:textId="77777777" w:rsidR="003E6FE0" w:rsidRPr="003E6FE0" w:rsidRDefault="003E6FE0" w:rsidP="00CC575A">
            <w:pPr>
              <w:pBdr>
                <w:bottom w:val="single" w:sz="4" w:space="1" w:color="auto"/>
              </w:pBdr>
              <w:spacing w:line="160" w:lineRule="exact"/>
              <w:jc w:val="center"/>
              <w:rPr>
                <w:b/>
                <w:bCs/>
                <w:sz w:val="15"/>
                <w:szCs w:val="15"/>
                <w:rtl/>
              </w:rPr>
            </w:pPr>
            <w:r w:rsidRPr="003E6FE0">
              <w:rPr>
                <w:rFonts w:hint="eastAsia"/>
                <w:b/>
                <w:bCs/>
                <w:sz w:val="15"/>
                <w:szCs w:val="15"/>
                <w:rtl/>
              </w:rPr>
              <w:t>הערך</w:t>
            </w:r>
          </w:p>
          <w:p w14:paraId="62F98881" w14:textId="77777777" w:rsidR="003E6FE0" w:rsidRPr="003E6FE0" w:rsidRDefault="003E6FE0" w:rsidP="00CC575A">
            <w:pPr>
              <w:pBdr>
                <w:bottom w:val="single" w:sz="4" w:space="1" w:color="auto"/>
              </w:pBdr>
              <w:spacing w:line="160" w:lineRule="exact"/>
              <w:jc w:val="center"/>
              <w:rPr>
                <w:b/>
                <w:bCs/>
                <w:sz w:val="15"/>
                <w:szCs w:val="15"/>
                <w:rtl/>
              </w:rPr>
            </w:pPr>
            <w:r w:rsidRPr="003E6FE0">
              <w:rPr>
                <w:rFonts w:hint="eastAsia"/>
                <w:b/>
                <w:bCs/>
                <w:sz w:val="15"/>
                <w:szCs w:val="15"/>
                <w:rtl/>
              </w:rPr>
              <w:t>במאזן</w:t>
            </w:r>
          </w:p>
        </w:tc>
        <w:tc>
          <w:tcPr>
            <w:tcW w:w="210" w:type="pct"/>
            <w:vAlign w:val="bottom"/>
          </w:tcPr>
          <w:p w14:paraId="19F6A371" w14:textId="77777777" w:rsidR="003E6FE0" w:rsidRPr="003E6FE0" w:rsidRDefault="003E6FE0" w:rsidP="00CC575A">
            <w:pPr>
              <w:pBdr>
                <w:bottom w:val="single" w:sz="4" w:space="1" w:color="auto"/>
              </w:pBdr>
              <w:spacing w:line="160" w:lineRule="exact"/>
              <w:jc w:val="center"/>
              <w:rPr>
                <w:b/>
                <w:bCs/>
                <w:sz w:val="15"/>
                <w:szCs w:val="15"/>
                <w:rtl/>
              </w:rPr>
            </w:pPr>
            <w:r w:rsidRPr="003E6FE0">
              <w:rPr>
                <w:rFonts w:hint="eastAsia"/>
                <w:b/>
                <w:bCs/>
                <w:sz w:val="15"/>
                <w:szCs w:val="15"/>
                <w:rtl/>
              </w:rPr>
              <w:t>עלות</w:t>
            </w:r>
            <w:r w:rsidRPr="003E6FE0">
              <w:rPr>
                <w:b/>
                <w:bCs/>
                <w:sz w:val="15"/>
                <w:szCs w:val="15"/>
                <w:rtl/>
              </w:rPr>
              <w:t xml:space="preserve"> </w:t>
            </w:r>
            <w:r w:rsidRPr="003E6FE0">
              <w:rPr>
                <w:rFonts w:hint="eastAsia"/>
                <w:b/>
                <w:bCs/>
                <w:sz w:val="15"/>
                <w:szCs w:val="15"/>
                <w:rtl/>
              </w:rPr>
              <w:t>מופחתת</w:t>
            </w:r>
          </w:p>
        </w:tc>
        <w:tc>
          <w:tcPr>
            <w:tcW w:w="197" w:type="pct"/>
          </w:tcPr>
          <w:p w14:paraId="027C2007" w14:textId="1DC6E2C4" w:rsidR="00361A81" w:rsidRDefault="00361A81" w:rsidP="00361A81">
            <w:pPr>
              <w:pBdr>
                <w:bottom w:val="single" w:sz="4" w:space="1" w:color="auto"/>
              </w:pBdr>
              <w:spacing w:line="160" w:lineRule="exact"/>
              <w:rPr>
                <w:b/>
                <w:bCs/>
                <w:sz w:val="15"/>
                <w:szCs w:val="15"/>
                <w:rtl/>
              </w:rPr>
            </w:pPr>
          </w:p>
          <w:p w14:paraId="71F63D29" w14:textId="77777777" w:rsidR="00361A81" w:rsidRPr="00361A81" w:rsidRDefault="00361A81" w:rsidP="00361A81">
            <w:pPr>
              <w:pBdr>
                <w:bottom w:val="single" w:sz="4" w:space="1" w:color="auto"/>
              </w:pBdr>
              <w:spacing w:line="160" w:lineRule="exact"/>
              <w:rPr>
                <w:b/>
                <w:bCs/>
                <w:sz w:val="15"/>
                <w:szCs w:val="15"/>
                <w:rtl/>
              </w:rPr>
            </w:pPr>
          </w:p>
          <w:p w14:paraId="77985F2F" w14:textId="6EE54EB5" w:rsidR="003E6FE0" w:rsidRPr="003E6FE0" w:rsidRDefault="00361A81" w:rsidP="00361A81">
            <w:pPr>
              <w:pBdr>
                <w:bottom w:val="single" w:sz="4" w:space="1" w:color="auto"/>
              </w:pBdr>
              <w:spacing w:line="160" w:lineRule="exact"/>
              <w:jc w:val="center"/>
              <w:rPr>
                <w:b/>
                <w:bCs/>
                <w:sz w:val="15"/>
                <w:szCs w:val="15"/>
                <w:rtl/>
              </w:rPr>
            </w:pPr>
            <w:r w:rsidRPr="00361A81">
              <w:rPr>
                <w:b/>
                <w:bCs/>
                <w:sz w:val="15"/>
                <w:szCs w:val="15"/>
                <w:rtl/>
              </w:rPr>
              <w:t>יתרת הפרשה להפסדי אשראי</w:t>
            </w:r>
          </w:p>
        </w:tc>
        <w:tc>
          <w:tcPr>
            <w:tcW w:w="240" w:type="pct"/>
            <w:gridSpan w:val="2"/>
            <w:vAlign w:val="bottom"/>
          </w:tcPr>
          <w:p w14:paraId="25E8F314" w14:textId="4B89914F" w:rsidR="003E6FE0" w:rsidRPr="003E6FE0" w:rsidRDefault="003E6FE0" w:rsidP="00CC575A">
            <w:pPr>
              <w:pBdr>
                <w:bottom w:val="single" w:sz="4" w:space="1" w:color="auto"/>
              </w:pBdr>
              <w:spacing w:line="160" w:lineRule="exact"/>
              <w:jc w:val="center"/>
              <w:rPr>
                <w:b/>
                <w:bCs/>
                <w:sz w:val="15"/>
                <w:szCs w:val="15"/>
                <w:rtl/>
              </w:rPr>
            </w:pPr>
            <w:r w:rsidRPr="003E6FE0">
              <w:rPr>
                <w:rFonts w:hint="eastAsia"/>
                <w:b/>
                <w:bCs/>
                <w:sz w:val="15"/>
                <w:szCs w:val="15"/>
                <w:rtl/>
              </w:rPr>
              <w:t>רווחים</w:t>
            </w:r>
            <w:r w:rsidRPr="003E6FE0">
              <w:rPr>
                <w:b/>
                <w:bCs/>
                <w:sz w:val="15"/>
                <w:szCs w:val="15"/>
                <w:rtl/>
              </w:rPr>
              <w:t xml:space="preserve"> </w:t>
            </w:r>
            <w:r w:rsidRPr="003E6FE0">
              <w:rPr>
                <w:rFonts w:hint="eastAsia"/>
                <w:b/>
                <w:bCs/>
                <w:sz w:val="15"/>
                <w:szCs w:val="15"/>
                <w:rtl/>
              </w:rPr>
              <w:t>שטרם</w:t>
            </w:r>
            <w:r w:rsidRPr="003E6FE0">
              <w:rPr>
                <w:b/>
                <w:bCs/>
                <w:sz w:val="15"/>
                <w:szCs w:val="15"/>
                <w:rtl/>
              </w:rPr>
              <w:t xml:space="preserve"> </w:t>
            </w:r>
            <w:r w:rsidRPr="003E6FE0">
              <w:rPr>
                <w:rFonts w:hint="eastAsia"/>
                <w:b/>
                <w:bCs/>
                <w:sz w:val="15"/>
                <w:szCs w:val="15"/>
                <w:rtl/>
              </w:rPr>
              <w:t>הוכרו</w:t>
            </w:r>
            <w:r w:rsidRPr="003E6FE0">
              <w:rPr>
                <w:b/>
                <w:bCs/>
                <w:sz w:val="15"/>
                <w:szCs w:val="15"/>
                <w:rtl/>
              </w:rPr>
              <w:t xml:space="preserve"> </w:t>
            </w:r>
            <w:r w:rsidRPr="003E6FE0">
              <w:rPr>
                <w:rFonts w:hint="eastAsia"/>
                <w:b/>
                <w:bCs/>
                <w:sz w:val="15"/>
                <w:szCs w:val="15"/>
                <w:rtl/>
              </w:rPr>
              <w:t>מהתאמות</w:t>
            </w:r>
            <w:r w:rsidRPr="003E6FE0">
              <w:rPr>
                <w:b/>
                <w:bCs/>
                <w:sz w:val="15"/>
                <w:szCs w:val="15"/>
                <w:rtl/>
              </w:rPr>
              <w:t xml:space="preserve"> </w:t>
            </w:r>
            <w:r w:rsidRPr="003E6FE0">
              <w:rPr>
                <w:rFonts w:hint="eastAsia"/>
                <w:b/>
                <w:bCs/>
                <w:sz w:val="15"/>
                <w:szCs w:val="15"/>
                <w:rtl/>
              </w:rPr>
              <w:t>לשווי</w:t>
            </w:r>
            <w:r w:rsidRPr="003E6FE0">
              <w:rPr>
                <w:b/>
                <w:bCs/>
                <w:sz w:val="15"/>
                <w:szCs w:val="15"/>
                <w:rtl/>
              </w:rPr>
              <w:t xml:space="preserve"> </w:t>
            </w:r>
            <w:r w:rsidRPr="003E6FE0">
              <w:rPr>
                <w:rFonts w:hint="eastAsia"/>
                <w:b/>
                <w:bCs/>
                <w:sz w:val="15"/>
                <w:szCs w:val="15"/>
                <w:rtl/>
              </w:rPr>
              <w:t>הוגן</w:t>
            </w:r>
          </w:p>
        </w:tc>
        <w:tc>
          <w:tcPr>
            <w:tcW w:w="240" w:type="pct"/>
            <w:vAlign w:val="bottom"/>
          </w:tcPr>
          <w:p w14:paraId="74C2159D" w14:textId="77777777" w:rsidR="003E6FE0" w:rsidRPr="003E6FE0" w:rsidRDefault="003E6FE0" w:rsidP="00CC575A">
            <w:pPr>
              <w:pBdr>
                <w:bottom w:val="single" w:sz="4" w:space="1" w:color="auto"/>
              </w:pBdr>
              <w:spacing w:line="160" w:lineRule="exact"/>
              <w:jc w:val="center"/>
              <w:rPr>
                <w:b/>
                <w:bCs/>
                <w:sz w:val="15"/>
                <w:szCs w:val="15"/>
                <w:rtl/>
              </w:rPr>
            </w:pPr>
            <w:r w:rsidRPr="003E6FE0">
              <w:rPr>
                <w:rFonts w:hint="eastAsia"/>
                <w:b/>
                <w:bCs/>
                <w:sz w:val="15"/>
                <w:szCs w:val="15"/>
                <w:rtl/>
              </w:rPr>
              <w:t>הפסדים</w:t>
            </w:r>
            <w:r w:rsidRPr="003E6FE0">
              <w:rPr>
                <w:b/>
                <w:bCs/>
                <w:sz w:val="15"/>
                <w:szCs w:val="15"/>
                <w:rtl/>
              </w:rPr>
              <w:t xml:space="preserve"> </w:t>
            </w:r>
            <w:r w:rsidRPr="003E6FE0">
              <w:rPr>
                <w:rFonts w:hint="eastAsia"/>
                <w:b/>
                <w:bCs/>
                <w:sz w:val="15"/>
                <w:szCs w:val="15"/>
                <w:rtl/>
              </w:rPr>
              <w:t>שטרם</w:t>
            </w:r>
            <w:r w:rsidRPr="003E6FE0">
              <w:rPr>
                <w:b/>
                <w:bCs/>
                <w:sz w:val="15"/>
                <w:szCs w:val="15"/>
                <w:rtl/>
              </w:rPr>
              <w:t xml:space="preserve"> </w:t>
            </w:r>
            <w:r w:rsidRPr="003E6FE0">
              <w:rPr>
                <w:rFonts w:hint="eastAsia"/>
                <w:b/>
                <w:bCs/>
                <w:sz w:val="15"/>
                <w:szCs w:val="15"/>
                <w:rtl/>
              </w:rPr>
              <w:t>הוכרו</w:t>
            </w:r>
            <w:r w:rsidRPr="003E6FE0">
              <w:rPr>
                <w:b/>
                <w:bCs/>
                <w:sz w:val="15"/>
                <w:szCs w:val="15"/>
                <w:rtl/>
              </w:rPr>
              <w:t xml:space="preserve"> </w:t>
            </w:r>
            <w:r w:rsidRPr="003E6FE0">
              <w:rPr>
                <w:rFonts w:hint="eastAsia"/>
                <w:b/>
                <w:bCs/>
                <w:sz w:val="15"/>
                <w:szCs w:val="15"/>
                <w:rtl/>
              </w:rPr>
              <w:t>מהתאמות</w:t>
            </w:r>
            <w:r w:rsidRPr="003E6FE0">
              <w:rPr>
                <w:b/>
                <w:bCs/>
                <w:sz w:val="15"/>
                <w:szCs w:val="15"/>
                <w:rtl/>
              </w:rPr>
              <w:t xml:space="preserve"> </w:t>
            </w:r>
            <w:r w:rsidRPr="003E6FE0">
              <w:rPr>
                <w:rFonts w:hint="eastAsia"/>
                <w:b/>
                <w:bCs/>
                <w:sz w:val="15"/>
                <w:szCs w:val="15"/>
                <w:rtl/>
              </w:rPr>
              <w:t>לשווי</w:t>
            </w:r>
            <w:r w:rsidRPr="003E6FE0">
              <w:rPr>
                <w:b/>
                <w:bCs/>
                <w:sz w:val="15"/>
                <w:szCs w:val="15"/>
                <w:rtl/>
              </w:rPr>
              <w:t xml:space="preserve"> </w:t>
            </w:r>
            <w:r w:rsidRPr="003E6FE0">
              <w:rPr>
                <w:rFonts w:hint="eastAsia"/>
                <w:b/>
                <w:bCs/>
                <w:sz w:val="15"/>
                <w:szCs w:val="15"/>
                <w:rtl/>
              </w:rPr>
              <w:t>הוגן</w:t>
            </w:r>
          </w:p>
        </w:tc>
        <w:tc>
          <w:tcPr>
            <w:tcW w:w="162" w:type="pct"/>
            <w:vAlign w:val="bottom"/>
          </w:tcPr>
          <w:p w14:paraId="54C40F96" w14:textId="77777777" w:rsidR="003E6FE0" w:rsidRPr="003E6FE0" w:rsidRDefault="003E6FE0" w:rsidP="00CC575A">
            <w:pPr>
              <w:pStyle w:val="-4"/>
              <w:pBdr>
                <w:bottom w:val="single" w:sz="4" w:space="1" w:color="auto"/>
              </w:pBdr>
              <w:spacing w:line="160" w:lineRule="exact"/>
              <w:rPr>
                <w:sz w:val="15"/>
                <w:szCs w:val="15"/>
                <w:rtl/>
              </w:rPr>
            </w:pPr>
            <w:r w:rsidRPr="003E6FE0">
              <w:rPr>
                <w:rFonts w:hint="eastAsia"/>
                <w:sz w:val="15"/>
                <w:szCs w:val="15"/>
                <w:rtl/>
              </w:rPr>
              <w:t>שווי</w:t>
            </w:r>
          </w:p>
          <w:p w14:paraId="0096C889" w14:textId="77777777" w:rsidR="003E6FE0" w:rsidRPr="003E6FE0" w:rsidRDefault="003E6FE0" w:rsidP="00CC575A">
            <w:pPr>
              <w:pStyle w:val="-4"/>
              <w:pBdr>
                <w:bottom w:val="single" w:sz="4" w:space="1" w:color="auto"/>
              </w:pBdr>
              <w:spacing w:line="160" w:lineRule="exact"/>
              <w:rPr>
                <w:sz w:val="15"/>
                <w:szCs w:val="15"/>
                <w:rtl/>
              </w:rPr>
            </w:pPr>
            <w:r w:rsidRPr="003E6FE0">
              <w:rPr>
                <w:rFonts w:hint="eastAsia"/>
                <w:sz w:val="15"/>
                <w:szCs w:val="15"/>
                <w:rtl/>
              </w:rPr>
              <w:t>הוגן</w:t>
            </w:r>
            <w:r w:rsidRPr="003E6FE0">
              <w:rPr>
                <w:sz w:val="15"/>
                <w:szCs w:val="15"/>
                <w:vertAlign w:val="superscript"/>
                <w:rtl/>
              </w:rPr>
              <w:t>(א)</w:t>
            </w:r>
          </w:p>
        </w:tc>
      </w:tr>
      <w:tr w:rsidR="00580C3A" w:rsidRPr="002236DD" w14:paraId="4D5766BE" w14:textId="77777777" w:rsidTr="004836CE">
        <w:tc>
          <w:tcPr>
            <w:tcW w:w="319" w:type="pct"/>
          </w:tcPr>
          <w:p w14:paraId="63326DDD" w14:textId="77777777" w:rsidR="003E6FE0" w:rsidRPr="004836CE" w:rsidRDefault="003E6FE0" w:rsidP="00CC575A">
            <w:pPr>
              <w:pStyle w:val="-fa"/>
              <w:rPr>
                <w:sz w:val="13"/>
                <w:szCs w:val="13"/>
                <w:rtl/>
              </w:rPr>
            </w:pPr>
            <w:r w:rsidRPr="004836CE">
              <w:rPr>
                <w:rFonts w:hint="eastAsia"/>
                <w:sz w:val="13"/>
                <w:szCs w:val="13"/>
                <w:rtl/>
              </w:rPr>
              <w:t>ה</w:t>
            </w:r>
            <w:r w:rsidRPr="004836CE">
              <w:rPr>
                <w:sz w:val="13"/>
                <w:szCs w:val="13"/>
                <w:rtl/>
              </w:rPr>
              <w:t xml:space="preserve">. </w:t>
            </w:r>
            <w:r w:rsidRPr="004836CE">
              <w:rPr>
                <w:rFonts w:hint="eastAsia"/>
                <w:sz w:val="13"/>
                <w:szCs w:val="13"/>
                <w:rtl/>
              </w:rPr>
              <w:t>המפקח</w:t>
            </w:r>
            <w:r w:rsidRPr="004836CE">
              <w:rPr>
                <w:sz w:val="13"/>
                <w:szCs w:val="13"/>
                <w:rtl/>
              </w:rPr>
              <w:t xml:space="preserve"> </w:t>
            </w:r>
            <w:r w:rsidRPr="004836CE">
              <w:rPr>
                <w:rFonts w:hint="eastAsia"/>
                <w:sz w:val="13"/>
                <w:szCs w:val="13"/>
                <w:rtl/>
              </w:rPr>
              <w:t>ס</w:t>
            </w:r>
            <w:r w:rsidRPr="004836CE">
              <w:rPr>
                <w:sz w:val="13"/>
                <w:szCs w:val="13"/>
                <w:rtl/>
              </w:rPr>
              <w:t>' 25(ג)</w:t>
            </w:r>
          </w:p>
        </w:tc>
        <w:tc>
          <w:tcPr>
            <w:tcW w:w="952" w:type="pct"/>
            <w:vAlign w:val="bottom"/>
          </w:tcPr>
          <w:p w14:paraId="3E86F01C" w14:textId="3C16C311" w:rsidR="003E6FE0" w:rsidRPr="00F77006" w:rsidRDefault="003E6FE0" w:rsidP="00CC575A">
            <w:pPr>
              <w:pStyle w:val="-0"/>
              <w:tabs>
                <w:tab w:val="left" w:pos="240"/>
                <w:tab w:val="left" w:pos="446"/>
              </w:tabs>
              <w:spacing w:line="240" w:lineRule="auto"/>
              <w:ind w:left="1" w:firstLine="0"/>
              <w:rPr>
                <w:b/>
                <w:sz w:val="18"/>
                <w:szCs w:val="18"/>
                <w:rtl/>
              </w:rPr>
            </w:pPr>
            <w:r w:rsidRPr="00F77006">
              <w:rPr>
                <w:rStyle w:val="-c"/>
                <w:sz w:val="18"/>
                <w:szCs w:val="18"/>
                <w:rtl/>
              </w:rPr>
              <w:t xml:space="preserve">1. </w:t>
            </w:r>
            <w:r w:rsidRPr="00F77006">
              <w:rPr>
                <w:rStyle w:val="-c"/>
                <w:rFonts w:hint="eastAsia"/>
                <w:sz w:val="18"/>
                <w:szCs w:val="18"/>
                <w:rtl/>
              </w:rPr>
              <w:t>אגרות</w:t>
            </w:r>
            <w:r w:rsidRPr="00F77006">
              <w:rPr>
                <w:rStyle w:val="-c"/>
                <w:sz w:val="18"/>
                <w:szCs w:val="18"/>
                <w:rtl/>
              </w:rPr>
              <w:t xml:space="preserve"> </w:t>
            </w:r>
            <w:r w:rsidRPr="00F77006">
              <w:rPr>
                <w:rStyle w:val="-c"/>
                <w:rFonts w:hint="eastAsia"/>
                <w:sz w:val="18"/>
                <w:szCs w:val="18"/>
                <w:rtl/>
              </w:rPr>
              <w:t>חוב</w:t>
            </w:r>
            <w:r w:rsidRPr="00F77006">
              <w:rPr>
                <w:rStyle w:val="-c"/>
                <w:sz w:val="18"/>
                <w:szCs w:val="18"/>
                <w:rtl/>
              </w:rPr>
              <w:t xml:space="preserve"> </w:t>
            </w:r>
            <w:r w:rsidRPr="00F77006">
              <w:rPr>
                <w:rStyle w:val="-c"/>
                <w:rFonts w:hint="eastAsia"/>
                <w:sz w:val="18"/>
                <w:szCs w:val="18"/>
                <w:rtl/>
              </w:rPr>
              <w:t>המוחזקות</w:t>
            </w:r>
            <w:r w:rsidRPr="00F77006">
              <w:rPr>
                <w:rStyle w:val="-c"/>
                <w:sz w:val="18"/>
                <w:szCs w:val="18"/>
                <w:rtl/>
              </w:rPr>
              <w:t xml:space="preserve"> </w:t>
            </w:r>
            <w:r w:rsidRPr="00F77006">
              <w:rPr>
                <w:rStyle w:val="-c"/>
                <w:rFonts w:hint="eastAsia"/>
                <w:sz w:val="18"/>
                <w:szCs w:val="18"/>
                <w:rtl/>
              </w:rPr>
              <w:t>לפדיון</w:t>
            </w:r>
            <w:r w:rsidRPr="00F77006">
              <w:rPr>
                <w:rStyle w:val="-c"/>
                <w:sz w:val="18"/>
                <w:szCs w:val="18"/>
                <w:rtl/>
              </w:rPr>
              <w:t>:</w:t>
            </w:r>
            <w:r w:rsidRPr="00F77006">
              <w:rPr>
                <w:b/>
                <w:sz w:val="18"/>
                <w:szCs w:val="18"/>
                <w:rtl/>
              </w:rPr>
              <w:t xml:space="preserve"> </w:t>
            </w:r>
          </w:p>
        </w:tc>
        <w:tc>
          <w:tcPr>
            <w:tcW w:w="163" w:type="pct"/>
          </w:tcPr>
          <w:p w14:paraId="59B6277B" w14:textId="77777777" w:rsidR="003E6FE0" w:rsidRPr="002236DD" w:rsidRDefault="003E6FE0" w:rsidP="00CC575A">
            <w:pPr>
              <w:pStyle w:val="-0"/>
              <w:spacing w:line="240" w:lineRule="auto"/>
              <w:rPr>
                <w:sz w:val="15"/>
                <w:szCs w:val="15"/>
                <w:rtl/>
              </w:rPr>
            </w:pPr>
          </w:p>
        </w:tc>
        <w:tc>
          <w:tcPr>
            <w:tcW w:w="210" w:type="pct"/>
          </w:tcPr>
          <w:p w14:paraId="3C157433" w14:textId="77777777" w:rsidR="003E6FE0" w:rsidRPr="002236DD" w:rsidRDefault="003E6FE0" w:rsidP="00CC575A">
            <w:pPr>
              <w:pStyle w:val="-3"/>
              <w:spacing w:line="240" w:lineRule="auto"/>
              <w:jc w:val="left"/>
              <w:rPr>
                <w:sz w:val="15"/>
                <w:szCs w:val="15"/>
                <w:rtl/>
              </w:rPr>
            </w:pPr>
          </w:p>
        </w:tc>
        <w:tc>
          <w:tcPr>
            <w:tcW w:w="194" w:type="pct"/>
            <w:shd w:val="clear" w:color="auto" w:fill="auto"/>
          </w:tcPr>
          <w:p w14:paraId="39BFEFED" w14:textId="77777777" w:rsidR="003E6FE0" w:rsidRPr="002236DD" w:rsidRDefault="003E6FE0" w:rsidP="00CC575A">
            <w:pPr>
              <w:pStyle w:val="-3"/>
              <w:spacing w:line="240" w:lineRule="auto"/>
              <w:jc w:val="left"/>
              <w:rPr>
                <w:sz w:val="15"/>
                <w:szCs w:val="15"/>
                <w:rtl/>
              </w:rPr>
            </w:pPr>
          </w:p>
        </w:tc>
        <w:tc>
          <w:tcPr>
            <w:tcW w:w="240" w:type="pct"/>
          </w:tcPr>
          <w:p w14:paraId="1E178C31" w14:textId="1628E402" w:rsidR="003E6FE0" w:rsidRPr="002236DD" w:rsidRDefault="003E6FE0" w:rsidP="00CC575A">
            <w:pPr>
              <w:pStyle w:val="-3"/>
              <w:spacing w:line="240" w:lineRule="auto"/>
              <w:jc w:val="left"/>
              <w:rPr>
                <w:sz w:val="15"/>
                <w:szCs w:val="15"/>
                <w:rtl/>
              </w:rPr>
            </w:pPr>
          </w:p>
        </w:tc>
        <w:tc>
          <w:tcPr>
            <w:tcW w:w="240" w:type="pct"/>
          </w:tcPr>
          <w:p w14:paraId="0869E81B" w14:textId="77777777" w:rsidR="003E6FE0" w:rsidRPr="002236DD" w:rsidRDefault="003E6FE0" w:rsidP="00CC575A">
            <w:pPr>
              <w:pStyle w:val="-3"/>
              <w:spacing w:line="240" w:lineRule="auto"/>
              <w:jc w:val="left"/>
              <w:rPr>
                <w:sz w:val="15"/>
                <w:szCs w:val="15"/>
                <w:rtl/>
              </w:rPr>
            </w:pPr>
          </w:p>
        </w:tc>
        <w:tc>
          <w:tcPr>
            <w:tcW w:w="162" w:type="pct"/>
          </w:tcPr>
          <w:p w14:paraId="61F9FF0A" w14:textId="77777777" w:rsidR="003E6FE0" w:rsidRPr="002236DD" w:rsidRDefault="003E6FE0" w:rsidP="00CC575A">
            <w:pPr>
              <w:pStyle w:val="-3"/>
              <w:spacing w:line="240" w:lineRule="auto"/>
              <w:jc w:val="left"/>
              <w:rPr>
                <w:sz w:val="15"/>
                <w:szCs w:val="15"/>
                <w:rtl/>
              </w:rPr>
            </w:pPr>
          </w:p>
        </w:tc>
        <w:tc>
          <w:tcPr>
            <w:tcW w:w="46" w:type="pct"/>
          </w:tcPr>
          <w:p w14:paraId="4EBA1B6B" w14:textId="77777777" w:rsidR="003E6FE0" w:rsidRPr="002236DD" w:rsidRDefault="003E6FE0" w:rsidP="00CC575A">
            <w:pPr>
              <w:pStyle w:val="-0"/>
              <w:spacing w:line="240" w:lineRule="auto"/>
              <w:rPr>
                <w:sz w:val="15"/>
                <w:szCs w:val="15"/>
                <w:rtl/>
              </w:rPr>
            </w:pPr>
          </w:p>
        </w:tc>
        <w:tc>
          <w:tcPr>
            <w:tcW w:w="163" w:type="pct"/>
          </w:tcPr>
          <w:p w14:paraId="54BAAA37" w14:textId="77777777" w:rsidR="003E6FE0" w:rsidRPr="002236DD" w:rsidRDefault="003E6FE0" w:rsidP="00CC575A">
            <w:pPr>
              <w:pStyle w:val="-0"/>
              <w:spacing w:line="240" w:lineRule="auto"/>
              <w:rPr>
                <w:sz w:val="15"/>
                <w:szCs w:val="15"/>
                <w:rtl/>
              </w:rPr>
            </w:pPr>
          </w:p>
        </w:tc>
        <w:tc>
          <w:tcPr>
            <w:tcW w:w="210" w:type="pct"/>
          </w:tcPr>
          <w:p w14:paraId="1820F1B9" w14:textId="77777777" w:rsidR="003E6FE0" w:rsidRPr="002236DD" w:rsidRDefault="003E6FE0" w:rsidP="00CC575A">
            <w:pPr>
              <w:pStyle w:val="-3"/>
              <w:spacing w:line="240" w:lineRule="auto"/>
              <w:jc w:val="left"/>
              <w:rPr>
                <w:sz w:val="15"/>
                <w:szCs w:val="15"/>
                <w:rtl/>
              </w:rPr>
            </w:pPr>
          </w:p>
        </w:tc>
        <w:tc>
          <w:tcPr>
            <w:tcW w:w="211" w:type="pct"/>
          </w:tcPr>
          <w:p w14:paraId="015DFD59" w14:textId="77777777" w:rsidR="003E6FE0" w:rsidRPr="002236DD" w:rsidRDefault="003E6FE0" w:rsidP="00CC575A">
            <w:pPr>
              <w:pStyle w:val="-3"/>
              <w:spacing w:line="240" w:lineRule="auto"/>
              <w:jc w:val="left"/>
              <w:rPr>
                <w:sz w:val="15"/>
                <w:szCs w:val="15"/>
                <w:rtl/>
              </w:rPr>
            </w:pPr>
          </w:p>
        </w:tc>
        <w:tc>
          <w:tcPr>
            <w:tcW w:w="240" w:type="pct"/>
          </w:tcPr>
          <w:p w14:paraId="42E615B5" w14:textId="575C0CA5" w:rsidR="003E6FE0" w:rsidRPr="002236DD" w:rsidRDefault="003E6FE0" w:rsidP="00CC575A">
            <w:pPr>
              <w:pStyle w:val="-3"/>
              <w:spacing w:line="240" w:lineRule="auto"/>
              <w:jc w:val="left"/>
              <w:rPr>
                <w:sz w:val="15"/>
                <w:szCs w:val="15"/>
                <w:rtl/>
              </w:rPr>
            </w:pPr>
          </w:p>
        </w:tc>
        <w:tc>
          <w:tcPr>
            <w:tcW w:w="240" w:type="pct"/>
          </w:tcPr>
          <w:p w14:paraId="0FDB8FE2" w14:textId="77777777" w:rsidR="003E6FE0" w:rsidRPr="002236DD" w:rsidRDefault="003E6FE0" w:rsidP="00CC575A">
            <w:pPr>
              <w:pStyle w:val="-3"/>
              <w:spacing w:line="240" w:lineRule="auto"/>
              <w:jc w:val="left"/>
              <w:rPr>
                <w:sz w:val="15"/>
                <w:szCs w:val="15"/>
                <w:rtl/>
              </w:rPr>
            </w:pPr>
          </w:p>
        </w:tc>
        <w:tc>
          <w:tcPr>
            <w:tcW w:w="162" w:type="pct"/>
          </w:tcPr>
          <w:p w14:paraId="752B7D62" w14:textId="77777777" w:rsidR="003E6FE0" w:rsidRPr="002236DD" w:rsidRDefault="003E6FE0" w:rsidP="00CC575A">
            <w:pPr>
              <w:pStyle w:val="-3"/>
              <w:spacing w:line="240" w:lineRule="auto"/>
              <w:jc w:val="left"/>
              <w:rPr>
                <w:sz w:val="15"/>
                <w:szCs w:val="15"/>
                <w:rtl/>
              </w:rPr>
            </w:pPr>
          </w:p>
        </w:tc>
        <w:tc>
          <w:tcPr>
            <w:tcW w:w="39" w:type="pct"/>
            <w:tcMar>
              <w:left w:w="58" w:type="dxa"/>
              <w:right w:w="58" w:type="dxa"/>
            </w:tcMar>
            <w:vAlign w:val="bottom"/>
          </w:tcPr>
          <w:p w14:paraId="2075FFDB" w14:textId="77777777" w:rsidR="003E6FE0" w:rsidRPr="002236DD" w:rsidRDefault="003E6FE0" w:rsidP="00CC575A">
            <w:pPr>
              <w:pStyle w:val="-7"/>
              <w:spacing w:line="240" w:lineRule="auto"/>
              <w:rPr>
                <w:sz w:val="15"/>
                <w:szCs w:val="15"/>
                <w:rtl/>
              </w:rPr>
            </w:pPr>
          </w:p>
        </w:tc>
        <w:tc>
          <w:tcPr>
            <w:tcW w:w="163" w:type="pct"/>
          </w:tcPr>
          <w:p w14:paraId="69E533B9" w14:textId="77777777" w:rsidR="003E6FE0" w:rsidRPr="002236DD" w:rsidRDefault="003E6FE0" w:rsidP="00CC575A">
            <w:pPr>
              <w:pStyle w:val="-3"/>
              <w:spacing w:line="240" w:lineRule="auto"/>
              <w:jc w:val="left"/>
              <w:rPr>
                <w:sz w:val="15"/>
                <w:szCs w:val="15"/>
                <w:rtl/>
              </w:rPr>
            </w:pPr>
          </w:p>
        </w:tc>
        <w:tc>
          <w:tcPr>
            <w:tcW w:w="210" w:type="pct"/>
          </w:tcPr>
          <w:p w14:paraId="18FE1EC5" w14:textId="77777777" w:rsidR="003E6FE0" w:rsidRPr="002236DD" w:rsidRDefault="003E6FE0" w:rsidP="00CC575A">
            <w:pPr>
              <w:pStyle w:val="-3"/>
              <w:spacing w:line="240" w:lineRule="auto"/>
              <w:jc w:val="left"/>
              <w:rPr>
                <w:sz w:val="15"/>
                <w:szCs w:val="15"/>
                <w:rtl/>
              </w:rPr>
            </w:pPr>
          </w:p>
        </w:tc>
        <w:tc>
          <w:tcPr>
            <w:tcW w:w="197" w:type="pct"/>
          </w:tcPr>
          <w:p w14:paraId="2F87F9D2" w14:textId="77777777" w:rsidR="003E6FE0" w:rsidRPr="002236DD" w:rsidRDefault="003E6FE0" w:rsidP="00CC575A">
            <w:pPr>
              <w:pStyle w:val="-3"/>
              <w:spacing w:line="240" w:lineRule="auto"/>
              <w:jc w:val="left"/>
              <w:rPr>
                <w:sz w:val="15"/>
                <w:szCs w:val="15"/>
                <w:rtl/>
              </w:rPr>
            </w:pPr>
          </w:p>
        </w:tc>
        <w:tc>
          <w:tcPr>
            <w:tcW w:w="238" w:type="pct"/>
          </w:tcPr>
          <w:p w14:paraId="67EF27E2" w14:textId="2B8885F6" w:rsidR="003E6FE0" w:rsidRPr="002236DD" w:rsidRDefault="003E6FE0" w:rsidP="00CC575A">
            <w:pPr>
              <w:pStyle w:val="-3"/>
              <w:spacing w:line="240" w:lineRule="auto"/>
              <w:jc w:val="left"/>
              <w:rPr>
                <w:sz w:val="15"/>
                <w:szCs w:val="15"/>
                <w:rtl/>
              </w:rPr>
            </w:pPr>
          </w:p>
        </w:tc>
        <w:tc>
          <w:tcPr>
            <w:tcW w:w="242" w:type="pct"/>
            <w:gridSpan w:val="2"/>
          </w:tcPr>
          <w:p w14:paraId="5CD9EB68" w14:textId="77777777" w:rsidR="003E6FE0" w:rsidRPr="002236DD" w:rsidRDefault="003E6FE0" w:rsidP="00CC575A">
            <w:pPr>
              <w:pStyle w:val="-3"/>
              <w:spacing w:line="240" w:lineRule="auto"/>
              <w:jc w:val="left"/>
              <w:rPr>
                <w:sz w:val="15"/>
                <w:szCs w:val="15"/>
                <w:rtl/>
              </w:rPr>
            </w:pPr>
          </w:p>
        </w:tc>
        <w:tc>
          <w:tcPr>
            <w:tcW w:w="162" w:type="pct"/>
          </w:tcPr>
          <w:p w14:paraId="2F28DA9C" w14:textId="77777777" w:rsidR="003E6FE0" w:rsidRPr="002236DD" w:rsidRDefault="003E6FE0" w:rsidP="00CC575A">
            <w:pPr>
              <w:pStyle w:val="-3"/>
              <w:spacing w:line="240" w:lineRule="auto"/>
              <w:jc w:val="left"/>
              <w:rPr>
                <w:sz w:val="15"/>
                <w:szCs w:val="15"/>
                <w:rtl/>
              </w:rPr>
            </w:pPr>
          </w:p>
        </w:tc>
      </w:tr>
      <w:tr w:rsidR="00580C3A" w:rsidRPr="002236DD" w14:paraId="68609177" w14:textId="77777777" w:rsidTr="004836CE">
        <w:trPr>
          <w:trHeight w:val="227"/>
        </w:trPr>
        <w:tc>
          <w:tcPr>
            <w:tcW w:w="319" w:type="pct"/>
          </w:tcPr>
          <w:p w14:paraId="2D0D5939" w14:textId="77777777" w:rsidR="00361A81" w:rsidRPr="002236DD" w:rsidRDefault="00361A81" w:rsidP="00361A81">
            <w:pPr>
              <w:pStyle w:val="-7"/>
              <w:spacing w:line="240" w:lineRule="auto"/>
              <w:rPr>
                <w:sz w:val="15"/>
                <w:szCs w:val="15"/>
                <w:rtl/>
              </w:rPr>
            </w:pPr>
          </w:p>
        </w:tc>
        <w:tc>
          <w:tcPr>
            <w:tcW w:w="952" w:type="pct"/>
            <w:vAlign w:val="bottom"/>
          </w:tcPr>
          <w:p w14:paraId="3BAD928C" w14:textId="77777777" w:rsidR="00361A81" w:rsidRPr="00F77006" w:rsidRDefault="00361A81" w:rsidP="004836CE">
            <w:pPr>
              <w:pStyle w:val="-0"/>
              <w:spacing w:after="20" w:line="240" w:lineRule="auto"/>
              <w:ind w:left="324" w:hanging="132"/>
              <w:rPr>
                <w:b/>
                <w:bCs/>
                <w:sz w:val="18"/>
                <w:szCs w:val="18"/>
              </w:rPr>
            </w:pPr>
            <w:r w:rsidRPr="00F77006">
              <w:rPr>
                <w:rFonts w:hint="eastAsia"/>
                <w:sz w:val="18"/>
                <w:szCs w:val="18"/>
                <w:rtl/>
              </w:rPr>
              <w:t>של</w:t>
            </w:r>
            <w:r w:rsidRPr="00F77006">
              <w:rPr>
                <w:sz w:val="18"/>
                <w:szCs w:val="18"/>
                <w:rtl/>
              </w:rPr>
              <w:t xml:space="preserve"> </w:t>
            </w:r>
            <w:r w:rsidRPr="00F77006">
              <w:rPr>
                <w:rFonts w:hint="eastAsia"/>
                <w:sz w:val="18"/>
                <w:szCs w:val="18"/>
                <w:rtl/>
              </w:rPr>
              <w:t>ממשלת</w:t>
            </w:r>
            <w:r w:rsidRPr="00F77006">
              <w:rPr>
                <w:sz w:val="18"/>
                <w:szCs w:val="18"/>
                <w:rtl/>
              </w:rPr>
              <w:t xml:space="preserve"> </w:t>
            </w:r>
            <w:r w:rsidRPr="00F77006">
              <w:rPr>
                <w:rFonts w:hint="eastAsia"/>
                <w:sz w:val="18"/>
                <w:szCs w:val="18"/>
                <w:rtl/>
              </w:rPr>
              <w:t>ישראל</w:t>
            </w:r>
          </w:p>
        </w:tc>
        <w:tc>
          <w:tcPr>
            <w:tcW w:w="163" w:type="pct"/>
            <w:vAlign w:val="bottom"/>
          </w:tcPr>
          <w:p w14:paraId="0CDBD350"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0" w:type="pct"/>
            <w:vAlign w:val="bottom"/>
          </w:tcPr>
          <w:p w14:paraId="68465E5B"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94" w:type="pct"/>
            <w:vAlign w:val="bottom"/>
          </w:tcPr>
          <w:p w14:paraId="05AD9940" w14:textId="70A7DC8A" w:rsidR="00361A81" w:rsidRPr="002236DD" w:rsidRDefault="00361A81" w:rsidP="00361A81">
            <w:pPr>
              <w:pStyle w:val="-3"/>
              <w:spacing w:line="240" w:lineRule="auto"/>
              <w:rPr>
                <w:sz w:val="16"/>
                <w:szCs w:val="16"/>
                <w:rtl/>
              </w:rPr>
            </w:pPr>
            <w:r w:rsidRPr="00555E32">
              <w:rPr>
                <w:sz w:val="16"/>
                <w:szCs w:val="16"/>
                <w:rtl/>
              </w:rPr>
              <w:t xml:space="preserve"> 0</w:t>
            </w:r>
          </w:p>
        </w:tc>
        <w:tc>
          <w:tcPr>
            <w:tcW w:w="240" w:type="pct"/>
            <w:vAlign w:val="bottom"/>
          </w:tcPr>
          <w:p w14:paraId="6E9EAF09" w14:textId="136430B7" w:rsidR="00361A81" w:rsidRPr="002236DD" w:rsidRDefault="00361A81" w:rsidP="00361A81">
            <w:pPr>
              <w:pStyle w:val="-3"/>
              <w:spacing w:line="240" w:lineRule="auto"/>
              <w:rPr>
                <w:sz w:val="16"/>
                <w:szCs w:val="16"/>
                <w:rtl/>
              </w:rPr>
            </w:pPr>
            <w:r w:rsidRPr="002236DD">
              <w:rPr>
                <w:sz w:val="16"/>
                <w:szCs w:val="16"/>
                <w:rtl/>
              </w:rPr>
              <w:t xml:space="preserve"> 0</w:t>
            </w:r>
          </w:p>
        </w:tc>
        <w:tc>
          <w:tcPr>
            <w:tcW w:w="240" w:type="pct"/>
            <w:vAlign w:val="bottom"/>
          </w:tcPr>
          <w:p w14:paraId="58ADCE46"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62" w:type="pct"/>
            <w:vAlign w:val="bottom"/>
          </w:tcPr>
          <w:p w14:paraId="1ECF43C0"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46" w:type="pct"/>
          </w:tcPr>
          <w:p w14:paraId="1066DAF2" w14:textId="77777777" w:rsidR="00361A81" w:rsidRPr="002236DD" w:rsidRDefault="00361A81" w:rsidP="00361A81">
            <w:pPr>
              <w:pStyle w:val="-3"/>
              <w:spacing w:line="240" w:lineRule="auto"/>
              <w:rPr>
                <w:sz w:val="16"/>
                <w:szCs w:val="16"/>
                <w:rtl/>
              </w:rPr>
            </w:pPr>
          </w:p>
        </w:tc>
        <w:tc>
          <w:tcPr>
            <w:tcW w:w="163" w:type="pct"/>
            <w:vAlign w:val="bottom"/>
          </w:tcPr>
          <w:p w14:paraId="54EA203F"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0" w:type="pct"/>
            <w:vAlign w:val="bottom"/>
          </w:tcPr>
          <w:p w14:paraId="34E402C7"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1" w:type="pct"/>
            <w:vAlign w:val="bottom"/>
          </w:tcPr>
          <w:p w14:paraId="089D571F" w14:textId="5CD10662" w:rsidR="00361A81" w:rsidRPr="002236DD" w:rsidRDefault="00361A81" w:rsidP="00361A81">
            <w:pPr>
              <w:pStyle w:val="-3"/>
              <w:spacing w:line="240" w:lineRule="auto"/>
              <w:rPr>
                <w:sz w:val="16"/>
                <w:szCs w:val="16"/>
                <w:rtl/>
              </w:rPr>
            </w:pPr>
            <w:r w:rsidRPr="002236DD">
              <w:rPr>
                <w:sz w:val="16"/>
                <w:szCs w:val="16"/>
                <w:rtl/>
              </w:rPr>
              <w:t xml:space="preserve"> 0</w:t>
            </w:r>
          </w:p>
        </w:tc>
        <w:tc>
          <w:tcPr>
            <w:tcW w:w="240" w:type="pct"/>
            <w:vAlign w:val="bottom"/>
          </w:tcPr>
          <w:p w14:paraId="2A4B69BB" w14:textId="0DCCE5EC" w:rsidR="00361A81" w:rsidRPr="002236DD" w:rsidRDefault="00361A81" w:rsidP="00361A81">
            <w:pPr>
              <w:pStyle w:val="-3"/>
              <w:spacing w:line="240" w:lineRule="auto"/>
              <w:rPr>
                <w:sz w:val="16"/>
                <w:szCs w:val="16"/>
                <w:rtl/>
              </w:rPr>
            </w:pPr>
            <w:r w:rsidRPr="002236DD">
              <w:rPr>
                <w:sz w:val="16"/>
                <w:szCs w:val="16"/>
                <w:rtl/>
              </w:rPr>
              <w:t xml:space="preserve"> 0</w:t>
            </w:r>
          </w:p>
        </w:tc>
        <w:tc>
          <w:tcPr>
            <w:tcW w:w="240" w:type="pct"/>
            <w:vAlign w:val="bottom"/>
          </w:tcPr>
          <w:p w14:paraId="2A23F1D1"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62" w:type="pct"/>
            <w:vAlign w:val="bottom"/>
          </w:tcPr>
          <w:p w14:paraId="4000B252"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39" w:type="pct"/>
            <w:tcMar>
              <w:left w:w="58" w:type="dxa"/>
              <w:right w:w="58" w:type="dxa"/>
            </w:tcMar>
            <w:vAlign w:val="bottom"/>
          </w:tcPr>
          <w:p w14:paraId="75C5D3FE" w14:textId="77777777" w:rsidR="00361A81" w:rsidRPr="002236DD" w:rsidRDefault="00361A81" w:rsidP="00361A81">
            <w:pPr>
              <w:pStyle w:val="-7"/>
              <w:spacing w:line="240" w:lineRule="auto"/>
              <w:rPr>
                <w:sz w:val="16"/>
                <w:szCs w:val="16"/>
                <w:rtl/>
              </w:rPr>
            </w:pPr>
          </w:p>
        </w:tc>
        <w:tc>
          <w:tcPr>
            <w:tcW w:w="163" w:type="pct"/>
            <w:vAlign w:val="bottom"/>
          </w:tcPr>
          <w:p w14:paraId="4162C02B"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0" w:type="pct"/>
            <w:vAlign w:val="bottom"/>
          </w:tcPr>
          <w:p w14:paraId="04730612"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97" w:type="pct"/>
            <w:vAlign w:val="bottom"/>
          </w:tcPr>
          <w:p w14:paraId="096DB47C" w14:textId="1DA83698" w:rsidR="00361A81" w:rsidRPr="002236DD" w:rsidRDefault="00361A81" w:rsidP="00361A81">
            <w:pPr>
              <w:pStyle w:val="-3"/>
              <w:spacing w:line="240" w:lineRule="auto"/>
              <w:rPr>
                <w:sz w:val="16"/>
                <w:szCs w:val="16"/>
                <w:rtl/>
              </w:rPr>
            </w:pPr>
            <w:r w:rsidRPr="002236DD">
              <w:rPr>
                <w:sz w:val="16"/>
                <w:szCs w:val="16"/>
                <w:rtl/>
              </w:rPr>
              <w:t xml:space="preserve"> 0</w:t>
            </w:r>
          </w:p>
        </w:tc>
        <w:tc>
          <w:tcPr>
            <w:tcW w:w="238" w:type="pct"/>
            <w:vAlign w:val="bottom"/>
          </w:tcPr>
          <w:p w14:paraId="4BBC88DA" w14:textId="0E87C3C2" w:rsidR="00361A81" w:rsidRPr="002236DD" w:rsidRDefault="00361A81" w:rsidP="00361A81">
            <w:pPr>
              <w:pStyle w:val="-3"/>
              <w:spacing w:line="240" w:lineRule="auto"/>
              <w:rPr>
                <w:sz w:val="16"/>
                <w:szCs w:val="16"/>
                <w:rtl/>
              </w:rPr>
            </w:pPr>
            <w:r w:rsidRPr="002236DD">
              <w:rPr>
                <w:sz w:val="16"/>
                <w:szCs w:val="16"/>
                <w:rtl/>
              </w:rPr>
              <w:t xml:space="preserve"> 0</w:t>
            </w:r>
          </w:p>
        </w:tc>
        <w:tc>
          <w:tcPr>
            <w:tcW w:w="242" w:type="pct"/>
            <w:gridSpan w:val="2"/>
            <w:vAlign w:val="bottom"/>
          </w:tcPr>
          <w:p w14:paraId="1ADAE266"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62" w:type="pct"/>
            <w:vAlign w:val="bottom"/>
          </w:tcPr>
          <w:p w14:paraId="5A2C164E" w14:textId="77777777" w:rsidR="00361A81" w:rsidRPr="002236DD" w:rsidRDefault="00361A81" w:rsidP="00361A81">
            <w:pPr>
              <w:pStyle w:val="-3"/>
              <w:spacing w:line="240" w:lineRule="auto"/>
              <w:rPr>
                <w:sz w:val="16"/>
                <w:szCs w:val="16"/>
                <w:rtl/>
              </w:rPr>
            </w:pPr>
            <w:r w:rsidRPr="002236DD">
              <w:rPr>
                <w:sz w:val="16"/>
                <w:szCs w:val="16"/>
                <w:rtl/>
              </w:rPr>
              <w:t xml:space="preserve"> 0</w:t>
            </w:r>
          </w:p>
        </w:tc>
      </w:tr>
      <w:tr w:rsidR="00580C3A" w:rsidRPr="002236DD" w14:paraId="25288F9F" w14:textId="77777777" w:rsidTr="004836CE">
        <w:trPr>
          <w:trHeight w:val="227"/>
        </w:trPr>
        <w:tc>
          <w:tcPr>
            <w:tcW w:w="319" w:type="pct"/>
          </w:tcPr>
          <w:p w14:paraId="5BB967FB" w14:textId="77777777" w:rsidR="00361A81" w:rsidRPr="002236DD" w:rsidRDefault="00361A81" w:rsidP="00361A81">
            <w:pPr>
              <w:pStyle w:val="-7"/>
              <w:spacing w:line="240" w:lineRule="auto"/>
              <w:rPr>
                <w:sz w:val="15"/>
                <w:szCs w:val="15"/>
                <w:rtl/>
              </w:rPr>
            </w:pPr>
          </w:p>
        </w:tc>
        <w:tc>
          <w:tcPr>
            <w:tcW w:w="952" w:type="pct"/>
            <w:vAlign w:val="bottom"/>
          </w:tcPr>
          <w:p w14:paraId="3C80E59F" w14:textId="77777777" w:rsidR="00361A81" w:rsidRPr="00F77006" w:rsidRDefault="00361A81" w:rsidP="004836CE">
            <w:pPr>
              <w:pStyle w:val="-0"/>
              <w:spacing w:after="20" w:line="240" w:lineRule="auto"/>
              <w:ind w:left="324" w:hanging="132"/>
              <w:rPr>
                <w:b/>
                <w:bCs/>
                <w:sz w:val="18"/>
                <w:szCs w:val="18"/>
              </w:rPr>
            </w:pPr>
            <w:r w:rsidRPr="00F77006">
              <w:rPr>
                <w:rFonts w:hint="eastAsia"/>
                <w:sz w:val="18"/>
                <w:szCs w:val="18"/>
                <w:rtl/>
              </w:rPr>
              <w:t>של</w:t>
            </w:r>
            <w:r w:rsidRPr="00F77006">
              <w:rPr>
                <w:sz w:val="18"/>
                <w:szCs w:val="18"/>
                <w:rtl/>
              </w:rPr>
              <w:t xml:space="preserve"> </w:t>
            </w:r>
            <w:r w:rsidRPr="00F77006">
              <w:rPr>
                <w:rFonts w:hint="eastAsia"/>
                <w:sz w:val="18"/>
                <w:szCs w:val="18"/>
                <w:rtl/>
              </w:rPr>
              <w:t>ממשלות</w:t>
            </w:r>
            <w:r w:rsidRPr="00F77006">
              <w:rPr>
                <w:sz w:val="18"/>
                <w:szCs w:val="18"/>
                <w:rtl/>
              </w:rPr>
              <w:t xml:space="preserve"> </w:t>
            </w:r>
            <w:r w:rsidRPr="00F77006">
              <w:rPr>
                <w:rFonts w:hint="eastAsia"/>
                <w:sz w:val="18"/>
                <w:szCs w:val="18"/>
                <w:rtl/>
              </w:rPr>
              <w:t>זרות</w:t>
            </w:r>
          </w:p>
        </w:tc>
        <w:tc>
          <w:tcPr>
            <w:tcW w:w="163" w:type="pct"/>
            <w:vAlign w:val="bottom"/>
          </w:tcPr>
          <w:p w14:paraId="37F5E831"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0" w:type="pct"/>
            <w:vAlign w:val="bottom"/>
          </w:tcPr>
          <w:p w14:paraId="6FD97B10"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94" w:type="pct"/>
            <w:vAlign w:val="bottom"/>
          </w:tcPr>
          <w:p w14:paraId="0948BFAF" w14:textId="72C47D7C" w:rsidR="00361A81" w:rsidRPr="002236DD" w:rsidRDefault="00361A81" w:rsidP="00361A81">
            <w:pPr>
              <w:pStyle w:val="-3"/>
              <w:spacing w:line="240" w:lineRule="auto"/>
              <w:rPr>
                <w:sz w:val="16"/>
                <w:szCs w:val="16"/>
                <w:rtl/>
              </w:rPr>
            </w:pPr>
            <w:r w:rsidRPr="00555E32">
              <w:rPr>
                <w:sz w:val="16"/>
                <w:szCs w:val="16"/>
                <w:rtl/>
              </w:rPr>
              <w:t xml:space="preserve"> 0</w:t>
            </w:r>
          </w:p>
        </w:tc>
        <w:tc>
          <w:tcPr>
            <w:tcW w:w="240" w:type="pct"/>
            <w:vAlign w:val="bottom"/>
          </w:tcPr>
          <w:p w14:paraId="0552F7CC" w14:textId="6FDCEBA3" w:rsidR="00361A81" w:rsidRPr="002236DD" w:rsidRDefault="00361A81" w:rsidP="00361A81">
            <w:pPr>
              <w:pStyle w:val="-3"/>
              <w:spacing w:line="240" w:lineRule="auto"/>
              <w:rPr>
                <w:sz w:val="16"/>
                <w:szCs w:val="16"/>
                <w:rtl/>
              </w:rPr>
            </w:pPr>
            <w:r w:rsidRPr="002236DD">
              <w:rPr>
                <w:sz w:val="16"/>
                <w:szCs w:val="16"/>
                <w:rtl/>
              </w:rPr>
              <w:t xml:space="preserve"> 0</w:t>
            </w:r>
          </w:p>
        </w:tc>
        <w:tc>
          <w:tcPr>
            <w:tcW w:w="240" w:type="pct"/>
            <w:vAlign w:val="bottom"/>
          </w:tcPr>
          <w:p w14:paraId="5AF8FEA3"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62" w:type="pct"/>
            <w:vAlign w:val="bottom"/>
          </w:tcPr>
          <w:p w14:paraId="1D4D8F87"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46" w:type="pct"/>
          </w:tcPr>
          <w:p w14:paraId="4387FF7D" w14:textId="77777777" w:rsidR="00361A81" w:rsidRPr="002236DD" w:rsidRDefault="00361A81" w:rsidP="00361A81">
            <w:pPr>
              <w:pStyle w:val="-3"/>
              <w:spacing w:line="240" w:lineRule="auto"/>
              <w:rPr>
                <w:sz w:val="16"/>
                <w:szCs w:val="16"/>
                <w:rtl/>
              </w:rPr>
            </w:pPr>
          </w:p>
        </w:tc>
        <w:tc>
          <w:tcPr>
            <w:tcW w:w="163" w:type="pct"/>
            <w:vAlign w:val="bottom"/>
          </w:tcPr>
          <w:p w14:paraId="53614942"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0" w:type="pct"/>
            <w:vAlign w:val="bottom"/>
          </w:tcPr>
          <w:p w14:paraId="56444390"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1" w:type="pct"/>
            <w:vAlign w:val="bottom"/>
          </w:tcPr>
          <w:p w14:paraId="57F00AEA" w14:textId="59EED2DD" w:rsidR="00361A81" w:rsidRPr="002236DD" w:rsidRDefault="00361A81" w:rsidP="00361A81">
            <w:pPr>
              <w:pStyle w:val="-3"/>
              <w:spacing w:line="240" w:lineRule="auto"/>
              <w:rPr>
                <w:sz w:val="16"/>
                <w:szCs w:val="16"/>
                <w:rtl/>
              </w:rPr>
            </w:pPr>
            <w:r w:rsidRPr="002236DD">
              <w:rPr>
                <w:sz w:val="16"/>
                <w:szCs w:val="16"/>
                <w:rtl/>
              </w:rPr>
              <w:t xml:space="preserve"> 0</w:t>
            </w:r>
          </w:p>
        </w:tc>
        <w:tc>
          <w:tcPr>
            <w:tcW w:w="240" w:type="pct"/>
            <w:vAlign w:val="bottom"/>
          </w:tcPr>
          <w:p w14:paraId="13E0DC4F" w14:textId="1723EAB6" w:rsidR="00361A81" w:rsidRPr="002236DD" w:rsidRDefault="00361A81" w:rsidP="00361A81">
            <w:pPr>
              <w:pStyle w:val="-3"/>
              <w:spacing w:line="240" w:lineRule="auto"/>
              <w:rPr>
                <w:sz w:val="16"/>
                <w:szCs w:val="16"/>
                <w:rtl/>
              </w:rPr>
            </w:pPr>
            <w:r w:rsidRPr="002236DD">
              <w:rPr>
                <w:sz w:val="16"/>
                <w:szCs w:val="16"/>
                <w:rtl/>
              </w:rPr>
              <w:t xml:space="preserve"> 0</w:t>
            </w:r>
          </w:p>
        </w:tc>
        <w:tc>
          <w:tcPr>
            <w:tcW w:w="240" w:type="pct"/>
            <w:vAlign w:val="bottom"/>
          </w:tcPr>
          <w:p w14:paraId="347072E1"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62" w:type="pct"/>
            <w:vAlign w:val="bottom"/>
          </w:tcPr>
          <w:p w14:paraId="58F3F3B5"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39" w:type="pct"/>
            <w:tcMar>
              <w:left w:w="58" w:type="dxa"/>
              <w:right w:w="58" w:type="dxa"/>
            </w:tcMar>
            <w:vAlign w:val="bottom"/>
          </w:tcPr>
          <w:p w14:paraId="21D95C05" w14:textId="77777777" w:rsidR="00361A81" w:rsidRPr="002236DD" w:rsidRDefault="00361A81" w:rsidP="00361A81">
            <w:pPr>
              <w:pStyle w:val="-7"/>
              <w:spacing w:line="240" w:lineRule="auto"/>
              <w:rPr>
                <w:sz w:val="16"/>
                <w:szCs w:val="16"/>
                <w:rtl/>
              </w:rPr>
            </w:pPr>
          </w:p>
        </w:tc>
        <w:tc>
          <w:tcPr>
            <w:tcW w:w="163" w:type="pct"/>
            <w:vAlign w:val="bottom"/>
          </w:tcPr>
          <w:p w14:paraId="2AABE98F"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0" w:type="pct"/>
            <w:vAlign w:val="bottom"/>
          </w:tcPr>
          <w:p w14:paraId="202BE034"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97" w:type="pct"/>
            <w:vAlign w:val="bottom"/>
          </w:tcPr>
          <w:p w14:paraId="4A2ECE1F" w14:textId="5943347E" w:rsidR="00361A81" w:rsidRPr="002236DD" w:rsidRDefault="00361A81" w:rsidP="00361A81">
            <w:pPr>
              <w:pStyle w:val="-3"/>
              <w:spacing w:line="240" w:lineRule="auto"/>
              <w:rPr>
                <w:sz w:val="16"/>
                <w:szCs w:val="16"/>
                <w:rtl/>
              </w:rPr>
            </w:pPr>
            <w:r w:rsidRPr="002236DD">
              <w:rPr>
                <w:sz w:val="16"/>
                <w:szCs w:val="16"/>
                <w:rtl/>
              </w:rPr>
              <w:t xml:space="preserve"> 0</w:t>
            </w:r>
          </w:p>
        </w:tc>
        <w:tc>
          <w:tcPr>
            <w:tcW w:w="238" w:type="pct"/>
            <w:vAlign w:val="bottom"/>
          </w:tcPr>
          <w:p w14:paraId="4E44E8C8" w14:textId="50B1A5B4" w:rsidR="00361A81" w:rsidRPr="002236DD" w:rsidRDefault="00361A81" w:rsidP="00361A81">
            <w:pPr>
              <w:pStyle w:val="-3"/>
              <w:spacing w:line="240" w:lineRule="auto"/>
              <w:rPr>
                <w:sz w:val="16"/>
                <w:szCs w:val="16"/>
                <w:rtl/>
              </w:rPr>
            </w:pPr>
            <w:r w:rsidRPr="002236DD">
              <w:rPr>
                <w:sz w:val="16"/>
                <w:szCs w:val="16"/>
                <w:rtl/>
              </w:rPr>
              <w:t xml:space="preserve"> 0</w:t>
            </w:r>
          </w:p>
        </w:tc>
        <w:tc>
          <w:tcPr>
            <w:tcW w:w="242" w:type="pct"/>
            <w:gridSpan w:val="2"/>
            <w:vAlign w:val="bottom"/>
          </w:tcPr>
          <w:p w14:paraId="44A31BD8"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62" w:type="pct"/>
            <w:vAlign w:val="bottom"/>
          </w:tcPr>
          <w:p w14:paraId="4070097B" w14:textId="77777777" w:rsidR="00361A81" w:rsidRPr="002236DD" w:rsidRDefault="00361A81" w:rsidP="00361A81">
            <w:pPr>
              <w:pStyle w:val="-3"/>
              <w:spacing w:line="240" w:lineRule="auto"/>
              <w:rPr>
                <w:sz w:val="16"/>
                <w:szCs w:val="16"/>
                <w:rtl/>
              </w:rPr>
            </w:pPr>
            <w:r w:rsidRPr="002236DD">
              <w:rPr>
                <w:sz w:val="16"/>
                <w:szCs w:val="16"/>
                <w:rtl/>
              </w:rPr>
              <w:t xml:space="preserve"> 0</w:t>
            </w:r>
          </w:p>
        </w:tc>
      </w:tr>
      <w:tr w:rsidR="00580C3A" w:rsidRPr="002236DD" w14:paraId="6D878A68" w14:textId="77777777" w:rsidTr="004836CE">
        <w:trPr>
          <w:trHeight w:val="227"/>
        </w:trPr>
        <w:tc>
          <w:tcPr>
            <w:tcW w:w="319" w:type="pct"/>
            <w:vAlign w:val="bottom"/>
          </w:tcPr>
          <w:p w14:paraId="201A9BBC" w14:textId="77777777" w:rsidR="00361A81" w:rsidRPr="002236DD" w:rsidRDefault="00361A81" w:rsidP="00361A81">
            <w:pPr>
              <w:pStyle w:val="-7"/>
              <w:spacing w:line="240" w:lineRule="auto"/>
              <w:rPr>
                <w:sz w:val="15"/>
                <w:szCs w:val="15"/>
                <w:rtl/>
              </w:rPr>
            </w:pPr>
          </w:p>
        </w:tc>
        <w:tc>
          <w:tcPr>
            <w:tcW w:w="952" w:type="pct"/>
            <w:vAlign w:val="bottom"/>
          </w:tcPr>
          <w:p w14:paraId="085374E6" w14:textId="77777777" w:rsidR="00361A81" w:rsidRPr="00F77006" w:rsidRDefault="00361A81" w:rsidP="004836CE">
            <w:pPr>
              <w:pStyle w:val="-0"/>
              <w:spacing w:after="20" w:line="240" w:lineRule="auto"/>
              <w:ind w:left="324" w:hanging="132"/>
              <w:rPr>
                <w:b/>
                <w:bCs/>
                <w:sz w:val="18"/>
                <w:szCs w:val="18"/>
              </w:rPr>
            </w:pPr>
            <w:r w:rsidRPr="00F77006">
              <w:rPr>
                <w:rFonts w:hint="eastAsia"/>
                <w:sz w:val="18"/>
                <w:szCs w:val="18"/>
                <w:rtl/>
              </w:rPr>
              <w:t>של</w:t>
            </w:r>
            <w:r w:rsidRPr="00F77006">
              <w:rPr>
                <w:sz w:val="18"/>
                <w:szCs w:val="18"/>
                <w:rtl/>
              </w:rPr>
              <w:t xml:space="preserve"> </w:t>
            </w:r>
            <w:r w:rsidRPr="00F77006">
              <w:rPr>
                <w:rFonts w:hint="eastAsia"/>
                <w:sz w:val="18"/>
                <w:szCs w:val="18"/>
                <w:rtl/>
              </w:rPr>
              <w:t>מוסדות</w:t>
            </w:r>
            <w:r w:rsidRPr="00F77006">
              <w:rPr>
                <w:sz w:val="18"/>
                <w:szCs w:val="18"/>
                <w:rtl/>
              </w:rPr>
              <w:t xml:space="preserve"> </w:t>
            </w:r>
            <w:r w:rsidRPr="00F77006">
              <w:rPr>
                <w:rFonts w:hint="eastAsia"/>
                <w:sz w:val="18"/>
                <w:szCs w:val="18"/>
                <w:rtl/>
              </w:rPr>
              <w:t>פיננסיים</w:t>
            </w:r>
            <w:r w:rsidRPr="00F77006">
              <w:rPr>
                <w:sz w:val="18"/>
                <w:szCs w:val="18"/>
                <w:rtl/>
              </w:rPr>
              <w:t xml:space="preserve"> </w:t>
            </w:r>
            <w:r w:rsidRPr="00F77006">
              <w:rPr>
                <w:rFonts w:hint="eastAsia"/>
                <w:sz w:val="18"/>
                <w:szCs w:val="18"/>
                <w:rtl/>
              </w:rPr>
              <w:t>בישראל</w:t>
            </w:r>
          </w:p>
        </w:tc>
        <w:tc>
          <w:tcPr>
            <w:tcW w:w="163" w:type="pct"/>
            <w:vAlign w:val="bottom"/>
          </w:tcPr>
          <w:p w14:paraId="04B8516F"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0" w:type="pct"/>
            <w:vAlign w:val="bottom"/>
          </w:tcPr>
          <w:p w14:paraId="2E18B371"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94" w:type="pct"/>
            <w:vAlign w:val="bottom"/>
          </w:tcPr>
          <w:p w14:paraId="3EFD9A58" w14:textId="770EF8DA" w:rsidR="00361A81" w:rsidRPr="002236DD" w:rsidRDefault="00361A81" w:rsidP="00361A81">
            <w:pPr>
              <w:pStyle w:val="-3"/>
              <w:spacing w:line="240" w:lineRule="auto"/>
              <w:rPr>
                <w:sz w:val="16"/>
                <w:szCs w:val="16"/>
                <w:rtl/>
              </w:rPr>
            </w:pPr>
            <w:r w:rsidRPr="00555E32">
              <w:rPr>
                <w:sz w:val="16"/>
                <w:szCs w:val="16"/>
                <w:rtl/>
              </w:rPr>
              <w:t xml:space="preserve"> 0</w:t>
            </w:r>
          </w:p>
        </w:tc>
        <w:tc>
          <w:tcPr>
            <w:tcW w:w="240" w:type="pct"/>
            <w:vAlign w:val="bottom"/>
          </w:tcPr>
          <w:p w14:paraId="04A8BEA9" w14:textId="46EE4C9A" w:rsidR="00361A81" w:rsidRPr="002236DD" w:rsidRDefault="00361A81" w:rsidP="00361A81">
            <w:pPr>
              <w:pStyle w:val="-3"/>
              <w:spacing w:line="240" w:lineRule="auto"/>
              <w:rPr>
                <w:sz w:val="16"/>
                <w:szCs w:val="16"/>
                <w:rtl/>
              </w:rPr>
            </w:pPr>
            <w:r w:rsidRPr="002236DD">
              <w:rPr>
                <w:sz w:val="16"/>
                <w:szCs w:val="16"/>
                <w:rtl/>
              </w:rPr>
              <w:t xml:space="preserve"> 0</w:t>
            </w:r>
          </w:p>
        </w:tc>
        <w:tc>
          <w:tcPr>
            <w:tcW w:w="240" w:type="pct"/>
            <w:vAlign w:val="bottom"/>
          </w:tcPr>
          <w:p w14:paraId="58A70D3E"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62" w:type="pct"/>
            <w:vAlign w:val="bottom"/>
          </w:tcPr>
          <w:p w14:paraId="1BB3F80A"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46" w:type="pct"/>
          </w:tcPr>
          <w:p w14:paraId="623F5C6A" w14:textId="77777777" w:rsidR="00361A81" w:rsidRPr="002236DD" w:rsidRDefault="00361A81" w:rsidP="00361A81">
            <w:pPr>
              <w:pStyle w:val="-3"/>
              <w:spacing w:line="240" w:lineRule="auto"/>
              <w:rPr>
                <w:sz w:val="16"/>
                <w:szCs w:val="16"/>
                <w:rtl/>
              </w:rPr>
            </w:pPr>
          </w:p>
        </w:tc>
        <w:tc>
          <w:tcPr>
            <w:tcW w:w="163" w:type="pct"/>
            <w:vAlign w:val="bottom"/>
          </w:tcPr>
          <w:p w14:paraId="33C944F8"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0" w:type="pct"/>
            <w:vAlign w:val="bottom"/>
          </w:tcPr>
          <w:p w14:paraId="4B67BE9A"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1" w:type="pct"/>
            <w:vAlign w:val="bottom"/>
          </w:tcPr>
          <w:p w14:paraId="53A7E5E5" w14:textId="3A1C4C64" w:rsidR="00361A81" w:rsidRPr="002236DD" w:rsidRDefault="00361A81" w:rsidP="00361A81">
            <w:pPr>
              <w:pStyle w:val="-3"/>
              <w:spacing w:line="240" w:lineRule="auto"/>
              <w:rPr>
                <w:sz w:val="16"/>
                <w:szCs w:val="16"/>
                <w:rtl/>
              </w:rPr>
            </w:pPr>
            <w:r w:rsidRPr="002236DD">
              <w:rPr>
                <w:sz w:val="16"/>
                <w:szCs w:val="16"/>
                <w:rtl/>
              </w:rPr>
              <w:t xml:space="preserve"> 0</w:t>
            </w:r>
          </w:p>
        </w:tc>
        <w:tc>
          <w:tcPr>
            <w:tcW w:w="240" w:type="pct"/>
            <w:vAlign w:val="bottom"/>
          </w:tcPr>
          <w:p w14:paraId="6607F1FC" w14:textId="2EDF9D72" w:rsidR="00361A81" w:rsidRPr="002236DD" w:rsidRDefault="00361A81" w:rsidP="00361A81">
            <w:pPr>
              <w:pStyle w:val="-3"/>
              <w:spacing w:line="240" w:lineRule="auto"/>
              <w:rPr>
                <w:sz w:val="16"/>
                <w:szCs w:val="16"/>
                <w:rtl/>
              </w:rPr>
            </w:pPr>
            <w:r w:rsidRPr="002236DD">
              <w:rPr>
                <w:sz w:val="16"/>
                <w:szCs w:val="16"/>
                <w:rtl/>
              </w:rPr>
              <w:t xml:space="preserve"> 0</w:t>
            </w:r>
          </w:p>
        </w:tc>
        <w:tc>
          <w:tcPr>
            <w:tcW w:w="240" w:type="pct"/>
            <w:vAlign w:val="bottom"/>
          </w:tcPr>
          <w:p w14:paraId="59DB3ACB"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62" w:type="pct"/>
            <w:vAlign w:val="bottom"/>
          </w:tcPr>
          <w:p w14:paraId="4A6B6D50"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39" w:type="pct"/>
            <w:tcMar>
              <w:left w:w="58" w:type="dxa"/>
              <w:right w:w="58" w:type="dxa"/>
            </w:tcMar>
            <w:vAlign w:val="bottom"/>
          </w:tcPr>
          <w:p w14:paraId="164D81AA" w14:textId="77777777" w:rsidR="00361A81" w:rsidRPr="002236DD" w:rsidRDefault="00361A81" w:rsidP="00361A81">
            <w:pPr>
              <w:pStyle w:val="-7"/>
              <w:spacing w:line="240" w:lineRule="auto"/>
              <w:rPr>
                <w:sz w:val="16"/>
                <w:szCs w:val="16"/>
                <w:rtl/>
              </w:rPr>
            </w:pPr>
          </w:p>
        </w:tc>
        <w:tc>
          <w:tcPr>
            <w:tcW w:w="163" w:type="pct"/>
            <w:vAlign w:val="bottom"/>
          </w:tcPr>
          <w:p w14:paraId="367403F1"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0" w:type="pct"/>
            <w:vAlign w:val="bottom"/>
          </w:tcPr>
          <w:p w14:paraId="1BC7FC56"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97" w:type="pct"/>
            <w:vAlign w:val="bottom"/>
          </w:tcPr>
          <w:p w14:paraId="06BFC7C5" w14:textId="0241A65C" w:rsidR="00361A81" w:rsidRPr="002236DD" w:rsidRDefault="00361A81" w:rsidP="00361A81">
            <w:pPr>
              <w:pStyle w:val="-3"/>
              <w:spacing w:line="240" w:lineRule="auto"/>
              <w:rPr>
                <w:sz w:val="16"/>
                <w:szCs w:val="16"/>
                <w:rtl/>
              </w:rPr>
            </w:pPr>
            <w:r w:rsidRPr="002236DD">
              <w:rPr>
                <w:sz w:val="16"/>
                <w:szCs w:val="16"/>
                <w:rtl/>
              </w:rPr>
              <w:t xml:space="preserve"> 0</w:t>
            </w:r>
          </w:p>
        </w:tc>
        <w:tc>
          <w:tcPr>
            <w:tcW w:w="238" w:type="pct"/>
            <w:vAlign w:val="bottom"/>
          </w:tcPr>
          <w:p w14:paraId="6228232A" w14:textId="00A64C0A" w:rsidR="00361A81" w:rsidRPr="002236DD" w:rsidRDefault="00361A81" w:rsidP="00361A81">
            <w:pPr>
              <w:pStyle w:val="-3"/>
              <w:spacing w:line="240" w:lineRule="auto"/>
              <w:rPr>
                <w:sz w:val="16"/>
                <w:szCs w:val="16"/>
                <w:rtl/>
              </w:rPr>
            </w:pPr>
            <w:r w:rsidRPr="002236DD">
              <w:rPr>
                <w:sz w:val="16"/>
                <w:szCs w:val="16"/>
                <w:rtl/>
              </w:rPr>
              <w:t xml:space="preserve"> 0</w:t>
            </w:r>
          </w:p>
        </w:tc>
        <w:tc>
          <w:tcPr>
            <w:tcW w:w="242" w:type="pct"/>
            <w:gridSpan w:val="2"/>
            <w:vAlign w:val="bottom"/>
          </w:tcPr>
          <w:p w14:paraId="38D9FDBE"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62" w:type="pct"/>
            <w:vAlign w:val="bottom"/>
          </w:tcPr>
          <w:p w14:paraId="1DE822B0" w14:textId="77777777" w:rsidR="00361A81" w:rsidRPr="002236DD" w:rsidRDefault="00361A81" w:rsidP="00361A81">
            <w:pPr>
              <w:pStyle w:val="-3"/>
              <w:spacing w:line="240" w:lineRule="auto"/>
              <w:rPr>
                <w:sz w:val="16"/>
                <w:szCs w:val="16"/>
                <w:rtl/>
              </w:rPr>
            </w:pPr>
            <w:r w:rsidRPr="002236DD">
              <w:rPr>
                <w:sz w:val="16"/>
                <w:szCs w:val="16"/>
                <w:rtl/>
              </w:rPr>
              <w:t xml:space="preserve"> 0</w:t>
            </w:r>
          </w:p>
        </w:tc>
      </w:tr>
      <w:tr w:rsidR="00580C3A" w:rsidRPr="002236DD" w14:paraId="4503E75B" w14:textId="77777777" w:rsidTr="004836CE">
        <w:trPr>
          <w:trHeight w:val="227"/>
        </w:trPr>
        <w:tc>
          <w:tcPr>
            <w:tcW w:w="319" w:type="pct"/>
          </w:tcPr>
          <w:p w14:paraId="03D5BB22" w14:textId="77777777" w:rsidR="00361A81" w:rsidRPr="002236DD" w:rsidRDefault="00361A81" w:rsidP="00361A81">
            <w:pPr>
              <w:pStyle w:val="-7"/>
              <w:spacing w:line="240" w:lineRule="auto"/>
              <w:rPr>
                <w:sz w:val="15"/>
                <w:szCs w:val="15"/>
                <w:rtl/>
              </w:rPr>
            </w:pPr>
          </w:p>
        </w:tc>
        <w:tc>
          <w:tcPr>
            <w:tcW w:w="952" w:type="pct"/>
            <w:vAlign w:val="bottom"/>
          </w:tcPr>
          <w:p w14:paraId="6A0B4D02" w14:textId="77777777" w:rsidR="00361A81" w:rsidRPr="00F77006" w:rsidRDefault="00361A81" w:rsidP="004836CE">
            <w:pPr>
              <w:pStyle w:val="-0"/>
              <w:spacing w:after="20" w:line="240" w:lineRule="auto"/>
              <w:ind w:left="324" w:hanging="132"/>
              <w:rPr>
                <w:b/>
                <w:bCs/>
                <w:sz w:val="18"/>
                <w:szCs w:val="18"/>
              </w:rPr>
            </w:pPr>
            <w:r w:rsidRPr="00F77006">
              <w:rPr>
                <w:rFonts w:hint="eastAsia"/>
                <w:sz w:val="18"/>
                <w:szCs w:val="18"/>
                <w:rtl/>
              </w:rPr>
              <w:t>של</w:t>
            </w:r>
            <w:r w:rsidRPr="00F77006">
              <w:rPr>
                <w:sz w:val="18"/>
                <w:szCs w:val="18"/>
                <w:rtl/>
              </w:rPr>
              <w:t xml:space="preserve"> </w:t>
            </w:r>
            <w:r w:rsidRPr="00F77006">
              <w:rPr>
                <w:rFonts w:hint="eastAsia"/>
                <w:sz w:val="18"/>
                <w:szCs w:val="18"/>
                <w:rtl/>
              </w:rPr>
              <w:t>מוסדות</w:t>
            </w:r>
            <w:r w:rsidRPr="00F77006">
              <w:rPr>
                <w:sz w:val="18"/>
                <w:szCs w:val="18"/>
                <w:rtl/>
              </w:rPr>
              <w:t xml:space="preserve"> </w:t>
            </w:r>
            <w:r w:rsidRPr="00F77006">
              <w:rPr>
                <w:rFonts w:hint="eastAsia"/>
                <w:sz w:val="18"/>
                <w:szCs w:val="18"/>
                <w:rtl/>
              </w:rPr>
              <w:t>פיננסיים</w:t>
            </w:r>
            <w:r w:rsidRPr="00F77006">
              <w:rPr>
                <w:sz w:val="18"/>
                <w:szCs w:val="18"/>
                <w:rtl/>
              </w:rPr>
              <w:t xml:space="preserve"> </w:t>
            </w:r>
            <w:r w:rsidRPr="00F77006">
              <w:rPr>
                <w:rFonts w:hint="eastAsia"/>
                <w:sz w:val="18"/>
                <w:szCs w:val="18"/>
                <w:rtl/>
              </w:rPr>
              <w:t>זרים</w:t>
            </w:r>
          </w:p>
        </w:tc>
        <w:tc>
          <w:tcPr>
            <w:tcW w:w="163" w:type="pct"/>
            <w:vAlign w:val="bottom"/>
          </w:tcPr>
          <w:p w14:paraId="4E9645EE"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0" w:type="pct"/>
            <w:vAlign w:val="bottom"/>
          </w:tcPr>
          <w:p w14:paraId="76058D21"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94" w:type="pct"/>
            <w:vAlign w:val="bottom"/>
          </w:tcPr>
          <w:p w14:paraId="665F8A86" w14:textId="146DB850" w:rsidR="00361A81" w:rsidRPr="002236DD" w:rsidRDefault="00361A81" w:rsidP="00361A81">
            <w:pPr>
              <w:pStyle w:val="-3"/>
              <w:spacing w:line="240" w:lineRule="auto"/>
              <w:rPr>
                <w:sz w:val="16"/>
                <w:szCs w:val="16"/>
                <w:rtl/>
              </w:rPr>
            </w:pPr>
            <w:r w:rsidRPr="00555E32">
              <w:rPr>
                <w:sz w:val="16"/>
                <w:szCs w:val="16"/>
                <w:rtl/>
              </w:rPr>
              <w:t xml:space="preserve"> 0</w:t>
            </w:r>
          </w:p>
        </w:tc>
        <w:tc>
          <w:tcPr>
            <w:tcW w:w="240" w:type="pct"/>
            <w:vAlign w:val="bottom"/>
          </w:tcPr>
          <w:p w14:paraId="4E042ABE" w14:textId="2216F91D" w:rsidR="00361A81" w:rsidRPr="002236DD" w:rsidRDefault="00361A81" w:rsidP="00361A81">
            <w:pPr>
              <w:pStyle w:val="-3"/>
              <w:spacing w:line="240" w:lineRule="auto"/>
              <w:rPr>
                <w:sz w:val="16"/>
                <w:szCs w:val="16"/>
                <w:rtl/>
              </w:rPr>
            </w:pPr>
            <w:r w:rsidRPr="002236DD">
              <w:rPr>
                <w:sz w:val="16"/>
                <w:szCs w:val="16"/>
                <w:rtl/>
              </w:rPr>
              <w:t xml:space="preserve"> 0</w:t>
            </w:r>
          </w:p>
        </w:tc>
        <w:tc>
          <w:tcPr>
            <w:tcW w:w="240" w:type="pct"/>
            <w:vAlign w:val="bottom"/>
          </w:tcPr>
          <w:p w14:paraId="10E88954"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62" w:type="pct"/>
            <w:vAlign w:val="bottom"/>
          </w:tcPr>
          <w:p w14:paraId="43E907E0"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46" w:type="pct"/>
          </w:tcPr>
          <w:p w14:paraId="5DDFE43B" w14:textId="77777777" w:rsidR="00361A81" w:rsidRPr="002236DD" w:rsidRDefault="00361A81" w:rsidP="00361A81">
            <w:pPr>
              <w:pStyle w:val="-3"/>
              <w:spacing w:line="240" w:lineRule="auto"/>
              <w:rPr>
                <w:sz w:val="16"/>
                <w:szCs w:val="16"/>
                <w:rtl/>
              </w:rPr>
            </w:pPr>
          </w:p>
        </w:tc>
        <w:tc>
          <w:tcPr>
            <w:tcW w:w="163" w:type="pct"/>
            <w:vAlign w:val="bottom"/>
          </w:tcPr>
          <w:p w14:paraId="71438CB0"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0" w:type="pct"/>
            <w:vAlign w:val="bottom"/>
          </w:tcPr>
          <w:p w14:paraId="4779334C"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1" w:type="pct"/>
            <w:vAlign w:val="bottom"/>
          </w:tcPr>
          <w:p w14:paraId="7B1A1DB1" w14:textId="6AAB6594" w:rsidR="00361A81" w:rsidRPr="002236DD" w:rsidRDefault="00361A81" w:rsidP="00361A81">
            <w:pPr>
              <w:pStyle w:val="-3"/>
              <w:spacing w:line="240" w:lineRule="auto"/>
              <w:rPr>
                <w:sz w:val="16"/>
                <w:szCs w:val="16"/>
                <w:rtl/>
              </w:rPr>
            </w:pPr>
            <w:r w:rsidRPr="002236DD">
              <w:rPr>
                <w:sz w:val="16"/>
                <w:szCs w:val="16"/>
                <w:rtl/>
              </w:rPr>
              <w:t xml:space="preserve"> 0</w:t>
            </w:r>
          </w:p>
        </w:tc>
        <w:tc>
          <w:tcPr>
            <w:tcW w:w="240" w:type="pct"/>
            <w:vAlign w:val="bottom"/>
          </w:tcPr>
          <w:p w14:paraId="0FB1D217" w14:textId="6B2B66F8" w:rsidR="00361A81" w:rsidRPr="002236DD" w:rsidRDefault="00361A81" w:rsidP="00361A81">
            <w:pPr>
              <w:pStyle w:val="-3"/>
              <w:spacing w:line="240" w:lineRule="auto"/>
              <w:rPr>
                <w:sz w:val="16"/>
                <w:szCs w:val="16"/>
                <w:rtl/>
              </w:rPr>
            </w:pPr>
            <w:r w:rsidRPr="002236DD">
              <w:rPr>
                <w:sz w:val="16"/>
                <w:szCs w:val="16"/>
                <w:rtl/>
              </w:rPr>
              <w:t xml:space="preserve"> 0</w:t>
            </w:r>
          </w:p>
        </w:tc>
        <w:tc>
          <w:tcPr>
            <w:tcW w:w="240" w:type="pct"/>
            <w:vAlign w:val="bottom"/>
          </w:tcPr>
          <w:p w14:paraId="33D569EA"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62" w:type="pct"/>
            <w:vAlign w:val="bottom"/>
          </w:tcPr>
          <w:p w14:paraId="1D4CFA45"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39" w:type="pct"/>
            <w:tcMar>
              <w:left w:w="58" w:type="dxa"/>
              <w:right w:w="58" w:type="dxa"/>
            </w:tcMar>
            <w:vAlign w:val="bottom"/>
          </w:tcPr>
          <w:p w14:paraId="2D29EEC0" w14:textId="77777777" w:rsidR="00361A81" w:rsidRPr="002236DD" w:rsidRDefault="00361A81" w:rsidP="00361A81">
            <w:pPr>
              <w:pStyle w:val="-7"/>
              <w:spacing w:line="240" w:lineRule="auto"/>
              <w:rPr>
                <w:sz w:val="16"/>
                <w:szCs w:val="16"/>
                <w:rtl/>
              </w:rPr>
            </w:pPr>
          </w:p>
        </w:tc>
        <w:tc>
          <w:tcPr>
            <w:tcW w:w="163" w:type="pct"/>
            <w:vAlign w:val="bottom"/>
          </w:tcPr>
          <w:p w14:paraId="3CB912BE"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0" w:type="pct"/>
            <w:vAlign w:val="bottom"/>
          </w:tcPr>
          <w:p w14:paraId="2310D872"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97" w:type="pct"/>
            <w:vAlign w:val="bottom"/>
          </w:tcPr>
          <w:p w14:paraId="19455814" w14:textId="2B97D012" w:rsidR="00361A81" w:rsidRPr="002236DD" w:rsidRDefault="00361A81" w:rsidP="00361A81">
            <w:pPr>
              <w:pStyle w:val="-3"/>
              <w:spacing w:line="240" w:lineRule="auto"/>
              <w:rPr>
                <w:sz w:val="16"/>
                <w:szCs w:val="16"/>
                <w:rtl/>
              </w:rPr>
            </w:pPr>
            <w:r w:rsidRPr="002236DD">
              <w:rPr>
                <w:sz w:val="16"/>
                <w:szCs w:val="16"/>
                <w:rtl/>
              </w:rPr>
              <w:t xml:space="preserve"> 0</w:t>
            </w:r>
          </w:p>
        </w:tc>
        <w:tc>
          <w:tcPr>
            <w:tcW w:w="238" w:type="pct"/>
            <w:vAlign w:val="bottom"/>
          </w:tcPr>
          <w:p w14:paraId="584C4396" w14:textId="065F8386" w:rsidR="00361A81" w:rsidRPr="002236DD" w:rsidRDefault="00361A81" w:rsidP="00361A81">
            <w:pPr>
              <w:pStyle w:val="-3"/>
              <w:spacing w:line="240" w:lineRule="auto"/>
              <w:rPr>
                <w:sz w:val="16"/>
                <w:szCs w:val="16"/>
                <w:rtl/>
              </w:rPr>
            </w:pPr>
            <w:r w:rsidRPr="002236DD">
              <w:rPr>
                <w:sz w:val="16"/>
                <w:szCs w:val="16"/>
                <w:rtl/>
              </w:rPr>
              <w:t xml:space="preserve"> 0</w:t>
            </w:r>
          </w:p>
        </w:tc>
        <w:tc>
          <w:tcPr>
            <w:tcW w:w="242" w:type="pct"/>
            <w:gridSpan w:val="2"/>
            <w:vAlign w:val="bottom"/>
          </w:tcPr>
          <w:p w14:paraId="00C9B7D9"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62" w:type="pct"/>
            <w:vAlign w:val="bottom"/>
          </w:tcPr>
          <w:p w14:paraId="559EB7F4" w14:textId="77777777" w:rsidR="00361A81" w:rsidRPr="002236DD" w:rsidRDefault="00361A81" w:rsidP="00361A81">
            <w:pPr>
              <w:pStyle w:val="-3"/>
              <w:spacing w:line="240" w:lineRule="auto"/>
              <w:rPr>
                <w:sz w:val="16"/>
                <w:szCs w:val="16"/>
                <w:rtl/>
              </w:rPr>
            </w:pPr>
            <w:r w:rsidRPr="002236DD">
              <w:rPr>
                <w:sz w:val="16"/>
                <w:szCs w:val="16"/>
                <w:rtl/>
              </w:rPr>
              <w:t xml:space="preserve"> 0</w:t>
            </w:r>
          </w:p>
        </w:tc>
      </w:tr>
      <w:tr w:rsidR="00580C3A" w:rsidRPr="002236DD" w14:paraId="126DB564" w14:textId="77777777" w:rsidTr="004836CE">
        <w:trPr>
          <w:trHeight w:val="227"/>
        </w:trPr>
        <w:tc>
          <w:tcPr>
            <w:tcW w:w="319" w:type="pct"/>
          </w:tcPr>
          <w:p w14:paraId="41CF5996" w14:textId="77777777" w:rsidR="00361A81" w:rsidRPr="002236DD" w:rsidRDefault="00361A81" w:rsidP="00361A81">
            <w:pPr>
              <w:pStyle w:val="-7"/>
              <w:spacing w:line="240" w:lineRule="auto"/>
              <w:rPr>
                <w:sz w:val="15"/>
                <w:szCs w:val="15"/>
                <w:rtl/>
              </w:rPr>
            </w:pPr>
          </w:p>
        </w:tc>
        <w:tc>
          <w:tcPr>
            <w:tcW w:w="952" w:type="pct"/>
            <w:vAlign w:val="bottom"/>
          </w:tcPr>
          <w:p w14:paraId="5D72ED57" w14:textId="77777777" w:rsidR="00361A81" w:rsidRPr="00F77006" w:rsidRDefault="00361A81" w:rsidP="004836CE">
            <w:pPr>
              <w:pStyle w:val="-0"/>
              <w:spacing w:after="20" w:line="240" w:lineRule="auto"/>
              <w:ind w:left="324" w:hanging="132"/>
              <w:rPr>
                <w:b/>
                <w:bCs/>
                <w:sz w:val="18"/>
                <w:szCs w:val="18"/>
              </w:rPr>
            </w:pPr>
            <w:r w:rsidRPr="00F77006">
              <w:rPr>
                <w:rFonts w:hint="eastAsia"/>
                <w:sz w:val="18"/>
                <w:szCs w:val="18"/>
                <w:rtl/>
              </w:rPr>
              <w:t>של</w:t>
            </w:r>
            <w:r w:rsidRPr="00F77006">
              <w:rPr>
                <w:sz w:val="18"/>
                <w:szCs w:val="18"/>
                <w:rtl/>
              </w:rPr>
              <w:t xml:space="preserve"> </w:t>
            </w:r>
            <w:r w:rsidRPr="00F77006">
              <w:rPr>
                <w:rFonts w:hint="eastAsia"/>
                <w:sz w:val="18"/>
                <w:szCs w:val="18"/>
                <w:rtl/>
              </w:rPr>
              <w:t>אחרים</w:t>
            </w:r>
            <w:r w:rsidRPr="00F77006">
              <w:rPr>
                <w:sz w:val="18"/>
                <w:szCs w:val="18"/>
                <w:rtl/>
              </w:rPr>
              <w:t xml:space="preserve"> </w:t>
            </w:r>
            <w:r w:rsidRPr="00F77006">
              <w:rPr>
                <w:rFonts w:hint="eastAsia"/>
                <w:sz w:val="18"/>
                <w:szCs w:val="18"/>
                <w:rtl/>
              </w:rPr>
              <w:t>בישראל</w:t>
            </w:r>
          </w:p>
        </w:tc>
        <w:tc>
          <w:tcPr>
            <w:tcW w:w="163" w:type="pct"/>
            <w:vAlign w:val="bottom"/>
          </w:tcPr>
          <w:p w14:paraId="1D081C5E"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0" w:type="pct"/>
            <w:vAlign w:val="bottom"/>
          </w:tcPr>
          <w:p w14:paraId="5B34FBFE"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94" w:type="pct"/>
            <w:vAlign w:val="bottom"/>
          </w:tcPr>
          <w:p w14:paraId="3E3B9758" w14:textId="504484F1" w:rsidR="00361A81" w:rsidRPr="002236DD" w:rsidRDefault="00361A81" w:rsidP="00361A81">
            <w:pPr>
              <w:pStyle w:val="-3"/>
              <w:spacing w:line="240" w:lineRule="auto"/>
              <w:rPr>
                <w:sz w:val="16"/>
                <w:szCs w:val="16"/>
                <w:rtl/>
              </w:rPr>
            </w:pPr>
            <w:r w:rsidRPr="00555E32">
              <w:rPr>
                <w:sz w:val="16"/>
                <w:szCs w:val="16"/>
                <w:rtl/>
              </w:rPr>
              <w:t xml:space="preserve"> 0</w:t>
            </w:r>
          </w:p>
        </w:tc>
        <w:tc>
          <w:tcPr>
            <w:tcW w:w="240" w:type="pct"/>
            <w:vAlign w:val="bottom"/>
          </w:tcPr>
          <w:p w14:paraId="1AB421CF" w14:textId="7A523156" w:rsidR="00361A81" w:rsidRPr="002236DD" w:rsidRDefault="00361A81" w:rsidP="00361A81">
            <w:pPr>
              <w:pStyle w:val="-3"/>
              <w:spacing w:line="240" w:lineRule="auto"/>
              <w:rPr>
                <w:sz w:val="16"/>
                <w:szCs w:val="16"/>
                <w:rtl/>
              </w:rPr>
            </w:pPr>
            <w:r w:rsidRPr="002236DD">
              <w:rPr>
                <w:sz w:val="16"/>
                <w:szCs w:val="16"/>
                <w:rtl/>
              </w:rPr>
              <w:t xml:space="preserve"> 0</w:t>
            </w:r>
          </w:p>
        </w:tc>
        <w:tc>
          <w:tcPr>
            <w:tcW w:w="240" w:type="pct"/>
            <w:vAlign w:val="bottom"/>
          </w:tcPr>
          <w:p w14:paraId="0B81B035"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62" w:type="pct"/>
            <w:vAlign w:val="bottom"/>
          </w:tcPr>
          <w:p w14:paraId="0951A8F7"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46" w:type="pct"/>
          </w:tcPr>
          <w:p w14:paraId="1CCBB8B1" w14:textId="77777777" w:rsidR="00361A81" w:rsidRPr="002236DD" w:rsidRDefault="00361A81" w:rsidP="00361A81">
            <w:pPr>
              <w:pStyle w:val="-3"/>
              <w:spacing w:line="240" w:lineRule="auto"/>
              <w:rPr>
                <w:sz w:val="16"/>
                <w:szCs w:val="16"/>
                <w:rtl/>
              </w:rPr>
            </w:pPr>
          </w:p>
        </w:tc>
        <w:tc>
          <w:tcPr>
            <w:tcW w:w="163" w:type="pct"/>
            <w:vAlign w:val="bottom"/>
          </w:tcPr>
          <w:p w14:paraId="4E79112D"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0" w:type="pct"/>
            <w:vAlign w:val="bottom"/>
          </w:tcPr>
          <w:p w14:paraId="1594D201"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1" w:type="pct"/>
            <w:vAlign w:val="bottom"/>
          </w:tcPr>
          <w:p w14:paraId="6A0A056F" w14:textId="4C64C305" w:rsidR="00361A81" w:rsidRPr="002236DD" w:rsidRDefault="00361A81" w:rsidP="00361A81">
            <w:pPr>
              <w:pStyle w:val="-3"/>
              <w:spacing w:line="240" w:lineRule="auto"/>
              <w:rPr>
                <w:sz w:val="16"/>
                <w:szCs w:val="16"/>
                <w:rtl/>
              </w:rPr>
            </w:pPr>
            <w:r w:rsidRPr="002236DD">
              <w:rPr>
                <w:sz w:val="16"/>
                <w:szCs w:val="16"/>
                <w:rtl/>
              </w:rPr>
              <w:t xml:space="preserve"> 0</w:t>
            </w:r>
          </w:p>
        </w:tc>
        <w:tc>
          <w:tcPr>
            <w:tcW w:w="240" w:type="pct"/>
            <w:vAlign w:val="bottom"/>
          </w:tcPr>
          <w:p w14:paraId="09491E00" w14:textId="33F21B31" w:rsidR="00361A81" w:rsidRPr="002236DD" w:rsidRDefault="00361A81" w:rsidP="00361A81">
            <w:pPr>
              <w:pStyle w:val="-3"/>
              <w:spacing w:line="240" w:lineRule="auto"/>
              <w:rPr>
                <w:sz w:val="16"/>
                <w:szCs w:val="16"/>
                <w:rtl/>
              </w:rPr>
            </w:pPr>
            <w:r w:rsidRPr="002236DD">
              <w:rPr>
                <w:sz w:val="16"/>
                <w:szCs w:val="16"/>
                <w:rtl/>
              </w:rPr>
              <w:t xml:space="preserve"> 0</w:t>
            </w:r>
          </w:p>
        </w:tc>
        <w:tc>
          <w:tcPr>
            <w:tcW w:w="240" w:type="pct"/>
            <w:vAlign w:val="bottom"/>
          </w:tcPr>
          <w:p w14:paraId="55108ADD"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62" w:type="pct"/>
            <w:vAlign w:val="bottom"/>
          </w:tcPr>
          <w:p w14:paraId="76AC2835"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39" w:type="pct"/>
            <w:tcMar>
              <w:left w:w="58" w:type="dxa"/>
              <w:right w:w="58" w:type="dxa"/>
            </w:tcMar>
            <w:vAlign w:val="bottom"/>
          </w:tcPr>
          <w:p w14:paraId="458F76FC" w14:textId="77777777" w:rsidR="00361A81" w:rsidRPr="002236DD" w:rsidRDefault="00361A81" w:rsidP="00361A81">
            <w:pPr>
              <w:pStyle w:val="-7"/>
              <w:spacing w:line="240" w:lineRule="auto"/>
              <w:rPr>
                <w:sz w:val="16"/>
                <w:szCs w:val="16"/>
                <w:rtl/>
              </w:rPr>
            </w:pPr>
          </w:p>
        </w:tc>
        <w:tc>
          <w:tcPr>
            <w:tcW w:w="163" w:type="pct"/>
            <w:vAlign w:val="bottom"/>
          </w:tcPr>
          <w:p w14:paraId="2BD47398"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210" w:type="pct"/>
            <w:vAlign w:val="bottom"/>
          </w:tcPr>
          <w:p w14:paraId="10636417"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97" w:type="pct"/>
            <w:vAlign w:val="bottom"/>
          </w:tcPr>
          <w:p w14:paraId="7666B49C" w14:textId="7A16024D" w:rsidR="00361A81" w:rsidRPr="002236DD" w:rsidRDefault="00361A81" w:rsidP="00361A81">
            <w:pPr>
              <w:pStyle w:val="-3"/>
              <w:spacing w:line="240" w:lineRule="auto"/>
              <w:rPr>
                <w:sz w:val="16"/>
                <w:szCs w:val="16"/>
                <w:rtl/>
              </w:rPr>
            </w:pPr>
            <w:r w:rsidRPr="002236DD">
              <w:rPr>
                <w:sz w:val="16"/>
                <w:szCs w:val="16"/>
                <w:rtl/>
              </w:rPr>
              <w:t xml:space="preserve"> 0</w:t>
            </w:r>
          </w:p>
        </w:tc>
        <w:tc>
          <w:tcPr>
            <w:tcW w:w="238" w:type="pct"/>
            <w:vAlign w:val="bottom"/>
          </w:tcPr>
          <w:p w14:paraId="50037FFA" w14:textId="1450AF6D" w:rsidR="00361A81" w:rsidRPr="002236DD" w:rsidRDefault="00361A81" w:rsidP="00361A81">
            <w:pPr>
              <w:pStyle w:val="-3"/>
              <w:spacing w:line="240" w:lineRule="auto"/>
              <w:rPr>
                <w:sz w:val="16"/>
                <w:szCs w:val="16"/>
                <w:rtl/>
              </w:rPr>
            </w:pPr>
            <w:r w:rsidRPr="002236DD">
              <w:rPr>
                <w:sz w:val="16"/>
                <w:szCs w:val="16"/>
                <w:rtl/>
              </w:rPr>
              <w:t xml:space="preserve"> 0</w:t>
            </w:r>
          </w:p>
        </w:tc>
        <w:tc>
          <w:tcPr>
            <w:tcW w:w="242" w:type="pct"/>
            <w:gridSpan w:val="2"/>
            <w:vAlign w:val="bottom"/>
          </w:tcPr>
          <w:p w14:paraId="31516772" w14:textId="77777777" w:rsidR="00361A81" w:rsidRPr="002236DD" w:rsidRDefault="00361A81" w:rsidP="00361A81">
            <w:pPr>
              <w:pStyle w:val="-3"/>
              <w:spacing w:line="240" w:lineRule="auto"/>
              <w:rPr>
                <w:sz w:val="16"/>
                <w:szCs w:val="16"/>
                <w:rtl/>
              </w:rPr>
            </w:pPr>
            <w:r w:rsidRPr="002236DD">
              <w:rPr>
                <w:sz w:val="16"/>
                <w:szCs w:val="16"/>
                <w:rtl/>
              </w:rPr>
              <w:t xml:space="preserve"> 0</w:t>
            </w:r>
          </w:p>
        </w:tc>
        <w:tc>
          <w:tcPr>
            <w:tcW w:w="162" w:type="pct"/>
            <w:vAlign w:val="bottom"/>
          </w:tcPr>
          <w:p w14:paraId="1AFA6126" w14:textId="77777777" w:rsidR="00361A81" w:rsidRPr="002236DD" w:rsidRDefault="00361A81" w:rsidP="00361A81">
            <w:pPr>
              <w:pStyle w:val="-3"/>
              <w:spacing w:line="240" w:lineRule="auto"/>
              <w:rPr>
                <w:sz w:val="16"/>
                <w:szCs w:val="16"/>
                <w:rtl/>
              </w:rPr>
            </w:pPr>
            <w:r w:rsidRPr="002236DD">
              <w:rPr>
                <w:sz w:val="16"/>
                <w:szCs w:val="16"/>
                <w:rtl/>
              </w:rPr>
              <w:t xml:space="preserve"> 0</w:t>
            </w:r>
          </w:p>
        </w:tc>
      </w:tr>
      <w:tr w:rsidR="00580C3A" w:rsidRPr="002236DD" w14:paraId="0B920A63" w14:textId="77777777" w:rsidTr="004836CE">
        <w:trPr>
          <w:trHeight w:val="227"/>
        </w:trPr>
        <w:tc>
          <w:tcPr>
            <w:tcW w:w="319" w:type="pct"/>
          </w:tcPr>
          <w:p w14:paraId="15D474DA" w14:textId="77777777" w:rsidR="00361A81" w:rsidRPr="002236DD" w:rsidRDefault="00361A81" w:rsidP="00361A81">
            <w:pPr>
              <w:pStyle w:val="-7"/>
              <w:rPr>
                <w:sz w:val="15"/>
                <w:szCs w:val="15"/>
                <w:rtl/>
              </w:rPr>
            </w:pPr>
          </w:p>
        </w:tc>
        <w:tc>
          <w:tcPr>
            <w:tcW w:w="952" w:type="pct"/>
            <w:vAlign w:val="bottom"/>
          </w:tcPr>
          <w:p w14:paraId="43758AB6" w14:textId="77777777" w:rsidR="00361A81" w:rsidRPr="00F77006" w:rsidRDefault="00361A81" w:rsidP="004836CE">
            <w:pPr>
              <w:pStyle w:val="-0"/>
              <w:spacing w:after="20" w:line="240" w:lineRule="auto"/>
              <w:ind w:left="324" w:hanging="132"/>
              <w:rPr>
                <w:b/>
                <w:bCs/>
                <w:sz w:val="18"/>
                <w:szCs w:val="18"/>
              </w:rPr>
            </w:pPr>
            <w:r w:rsidRPr="00F77006">
              <w:rPr>
                <w:rFonts w:hint="eastAsia"/>
                <w:sz w:val="18"/>
                <w:szCs w:val="18"/>
                <w:rtl/>
              </w:rPr>
              <w:t>של</w:t>
            </w:r>
            <w:r w:rsidRPr="00F77006">
              <w:rPr>
                <w:sz w:val="18"/>
                <w:szCs w:val="18"/>
                <w:rtl/>
              </w:rPr>
              <w:t xml:space="preserve"> </w:t>
            </w:r>
            <w:r w:rsidRPr="00F77006">
              <w:rPr>
                <w:rFonts w:hint="eastAsia"/>
                <w:sz w:val="18"/>
                <w:szCs w:val="18"/>
                <w:rtl/>
              </w:rPr>
              <w:t>אחרים</w:t>
            </w:r>
            <w:r w:rsidRPr="00F77006">
              <w:rPr>
                <w:sz w:val="18"/>
                <w:szCs w:val="18"/>
                <w:rtl/>
              </w:rPr>
              <w:t xml:space="preserve"> </w:t>
            </w:r>
            <w:r w:rsidRPr="00F77006">
              <w:rPr>
                <w:rFonts w:hint="eastAsia"/>
                <w:sz w:val="18"/>
                <w:szCs w:val="18"/>
                <w:rtl/>
              </w:rPr>
              <w:t>זרים</w:t>
            </w:r>
          </w:p>
        </w:tc>
        <w:tc>
          <w:tcPr>
            <w:tcW w:w="163" w:type="pct"/>
            <w:vAlign w:val="bottom"/>
          </w:tcPr>
          <w:p w14:paraId="0F574A94" w14:textId="77777777"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c>
          <w:tcPr>
            <w:tcW w:w="210" w:type="pct"/>
            <w:vAlign w:val="bottom"/>
          </w:tcPr>
          <w:p w14:paraId="22D4B6CE" w14:textId="77777777"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c>
          <w:tcPr>
            <w:tcW w:w="194" w:type="pct"/>
            <w:vAlign w:val="bottom"/>
          </w:tcPr>
          <w:p w14:paraId="54DFAF02" w14:textId="6FACEE02" w:rsidR="00361A81" w:rsidRPr="002236DD" w:rsidRDefault="00361A81" w:rsidP="00361A81">
            <w:pPr>
              <w:pStyle w:val="-3"/>
              <w:pBdr>
                <w:bottom w:val="single" w:sz="4" w:space="1" w:color="auto"/>
              </w:pBdr>
              <w:rPr>
                <w:sz w:val="16"/>
                <w:szCs w:val="16"/>
                <w:rtl/>
              </w:rPr>
            </w:pPr>
            <w:r w:rsidRPr="00555E32">
              <w:rPr>
                <w:sz w:val="16"/>
                <w:szCs w:val="16"/>
                <w:rtl/>
              </w:rPr>
              <w:t xml:space="preserve"> 0</w:t>
            </w:r>
          </w:p>
        </w:tc>
        <w:tc>
          <w:tcPr>
            <w:tcW w:w="240" w:type="pct"/>
            <w:vAlign w:val="bottom"/>
          </w:tcPr>
          <w:p w14:paraId="5575C8AA" w14:textId="0F29E26A"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c>
          <w:tcPr>
            <w:tcW w:w="240" w:type="pct"/>
            <w:vAlign w:val="bottom"/>
          </w:tcPr>
          <w:p w14:paraId="229FF4B5" w14:textId="77777777"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c>
          <w:tcPr>
            <w:tcW w:w="162" w:type="pct"/>
            <w:vAlign w:val="bottom"/>
          </w:tcPr>
          <w:p w14:paraId="6D7B7A26" w14:textId="77777777"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c>
          <w:tcPr>
            <w:tcW w:w="46" w:type="pct"/>
          </w:tcPr>
          <w:p w14:paraId="3509FF10" w14:textId="77777777" w:rsidR="00361A81" w:rsidRPr="002236DD" w:rsidRDefault="00361A81" w:rsidP="00361A81">
            <w:pPr>
              <w:pStyle w:val="-3"/>
              <w:rPr>
                <w:sz w:val="16"/>
                <w:szCs w:val="16"/>
                <w:rtl/>
              </w:rPr>
            </w:pPr>
          </w:p>
        </w:tc>
        <w:tc>
          <w:tcPr>
            <w:tcW w:w="163" w:type="pct"/>
            <w:vAlign w:val="bottom"/>
          </w:tcPr>
          <w:p w14:paraId="5B8ADB02" w14:textId="77777777"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c>
          <w:tcPr>
            <w:tcW w:w="210" w:type="pct"/>
            <w:vAlign w:val="bottom"/>
          </w:tcPr>
          <w:p w14:paraId="7900BF87" w14:textId="77777777"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c>
          <w:tcPr>
            <w:tcW w:w="211" w:type="pct"/>
            <w:vAlign w:val="bottom"/>
          </w:tcPr>
          <w:p w14:paraId="3A1E9AA5" w14:textId="509A7201"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c>
          <w:tcPr>
            <w:tcW w:w="240" w:type="pct"/>
            <w:vAlign w:val="bottom"/>
          </w:tcPr>
          <w:p w14:paraId="2CC09C26" w14:textId="1D7F5CFA"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c>
          <w:tcPr>
            <w:tcW w:w="240" w:type="pct"/>
            <w:vAlign w:val="bottom"/>
          </w:tcPr>
          <w:p w14:paraId="74332C40" w14:textId="77777777"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c>
          <w:tcPr>
            <w:tcW w:w="162" w:type="pct"/>
            <w:vAlign w:val="bottom"/>
          </w:tcPr>
          <w:p w14:paraId="6A359A45" w14:textId="77777777"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c>
          <w:tcPr>
            <w:tcW w:w="39" w:type="pct"/>
            <w:tcMar>
              <w:left w:w="58" w:type="dxa"/>
              <w:right w:w="58" w:type="dxa"/>
            </w:tcMar>
            <w:vAlign w:val="bottom"/>
          </w:tcPr>
          <w:p w14:paraId="256C2F32" w14:textId="77777777" w:rsidR="00361A81" w:rsidRPr="002236DD" w:rsidRDefault="00361A81" w:rsidP="00361A81">
            <w:pPr>
              <w:pStyle w:val="-7"/>
              <w:rPr>
                <w:sz w:val="16"/>
                <w:szCs w:val="16"/>
                <w:rtl/>
              </w:rPr>
            </w:pPr>
          </w:p>
        </w:tc>
        <w:tc>
          <w:tcPr>
            <w:tcW w:w="163" w:type="pct"/>
            <w:vAlign w:val="bottom"/>
          </w:tcPr>
          <w:p w14:paraId="425B5ABE" w14:textId="77777777"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c>
          <w:tcPr>
            <w:tcW w:w="210" w:type="pct"/>
            <w:vAlign w:val="bottom"/>
          </w:tcPr>
          <w:p w14:paraId="45B51319" w14:textId="77777777"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c>
          <w:tcPr>
            <w:tcW w:w="197" w:type="pct"/>
            <w:vAlign w:val="bottom"/>
          </w:tcPr>
          <w:p w14:paraId="71E09605" w14:textId="39634AEB"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c>
          <w:tcPr>
            <w:tcW w:w="238" w:type="pct"/>
            <w:vAlign w:val="bottom"/>
          </w:tcPr>
          <w:p w14:paraId="4EAA8B62" w14:textId="5D2BBC38"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c>
          <w:tcPr>
            <w:tcW w:w="242" w:type="pct"/>
            <w:gridSpan w:val="2"/>
            <w:vAlign w:val="bottom"/>
          </w:tcPr>
          <w:p w14:paraId="7FB21E9E" w14:textId="77777777"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c>
          <w:tcPr>
            <w:tcW w:w="162" w:type="pct"/>
            <w:vAlign w:val="bottom"/>
          </w:tcPr>
          <w:p w14:paraId="6F4D8271" w14:textId="77777777" w:rsidR="00361A81" w:rsidRPr="002236DD" w:rsidRDefault="00361A81" w:rsidP="00361A81">
            <w:pPr>
              <w:pStyle w:val="-3"/>
              <w:pBdr>
                <w:bottom w:val="single" w:sz="4" w:space="1" w:color="auto"/>
              </w:pBdr>
              <w:rPr>
                <w:sz w:val="16"/>
                <w:szCs w:val="16"/>
                <w:rtl/>
              </w:rPr>
            </w:pPr>
            <w:r w:rsidRPr="002236DD">
              <w:rPr>
                <w:sz w:val="16"/>
                <w:szCs w:val="16"/>
                <w:rtl/>
              </w:rPr>
              <w:t xml:space="preserve"> 0</w:t>
            </w:r>
          </w:p>
        </w:tc>
      </w:tr>
      <w:tr w:rsidR="00580C3A" w:rsidRPr="002236DD" w14:paraId="3C36C4A7" w14:textId="77777777" w:rsidTr="004836CE">
        <w:trPr>
          <w:trHeight w:val="245"/>
        </w:trPr>
        <w:tc>
          <w:tcPr>
            <w:tcW w:w="319" w:type="pct"/>
          </w:tcPr>
          <w:p w14:paraId="7CA529A4" w14:textId="77777777" w:rsidR="00361A81" w:rsidRPr="002236DD" w:rsidRDefault="00361A81" w:rsidP="00361A81">
            <w:pPr>
              <w:pStyle w:val="-7"/>
              <w:spacing w:after="20"/>
              <w:rPr>
                <w:sz w:val="15"/>
                <w:szCs w:val="15"/>
              </w:rPr>
            </w:pPr>
          </w:p>
        </w:tc>
        <w:tc>
          <w:tcPr>
            <w:tcW w:w="952" w:type="pct"/>
            <w:vAlign w:val="bottom"/>
          </w:tcPr>
          <w:p w14:paraId="6C4B285E" w14:textId="77777777" w:rsidR="00361A81" w:rsidRPr="00F77006" w:rsidRDefault="00361A81" w:rsidP="00361A81">
            <w:pPr>
              <w:pStyle w:val="-0"/>
              <w:spacing w:after="20" w:line="240" w:lineRule="auto"/>
              <w:ind w:left="324" w:hanging="132"/>
              <w:rPr>
                <w:b/>
                <w:bCs/>
                <w:sz w:val="18"/>
                <w:szCs w:val="18"/>
                <w:rtl/>
              </w:rPr>
            </w:pPr>
            <w:r w:rsidRPr="00F77006">
              <w:rPr>
                <w:rFonts w:hint="eastAsia"/>
                <w:b/>
                <w:bCs/>
                <w:sz w:val="18"/>
                <w:szCs w:val="18"/>
                <w:rtl/>
              </w:rPr>
              <w:t>סך</w:t>
            </w:r>
            <w:r w:rsidRPr="00F77006">
              <w:rPr>
                <w:b/>
                <w:bCs/>
                <w:spacing w:val="-2"/>
                <w:sz w:val="18"/>
                <w:szCs w:val="18"/>
                <w:rtl/>
              </w:rPr>
              <w:t xml:space="preserve"> </w:t>
            </w:r>
            <w:r w:rsidRPr="00F77006">
              <w:rPr>
                <w:rFonts w:hint="eastAsia"/>
                <w:b/>
                <w:bCs/>
                <w:sz w:val="18"/>
                <w:szCs w:val="18"/>
                <w:rtl/>
              </w:rPr>
              <w:t>כל</w:t>
            </w:r>
            <w:r w:rsidRPr="00F77006">
              <w:rPr>
                <w:b/>
                <w:bCs/>
                <w:spacing w:val="-2"/>
                <w:sz w:val="18"/>
                <w:szCs w:val="18"/>
                <w:rtl/>
              </w:rPr>
              <w:t xml:space="preserve"> </w:t>
            </w:r>
            <w:r w:rsidRPr="00F77006">
              <w:rPr>
                <w:rFonts w:hint="eastAsia"/>
                <w:b/>
                <w:bCs/>
                <w:sz w:val="18"/>
                <w:szCs w:val="18"/>
                <w:rtl/>
              </w:rPr>
              <w:t>אגרות</w:t>
            </w:r>
            <w:r w:rsidRPr="00F77006">
              <w:rPr>
                <w:b/>
                <w:bCs/>
                <w:spacing w:val="-2"/>
                <w:sz w:val="18"/>
                <w:szCs w:val="18"/>
                <w:rtl/>
              </w:rPr>
              <w:t xml:space="preserve"> </w:t>
            </w:r>
            <w:r w:rsidRPr="00F77006">
              <w:rPr>
                <w:rFonts w:hint="eastAsia"/>
                <w:b/>
                <w:bCs/>
                <w:sz w:val="18"/>
                <w:szCs w:val="18"/>
                <w:rtl/>
              </w:rPr>
              <w:t>החוב</w:t>
            </w:r>
            <w:r w:rsidRPr="00F77006">
              <w:rPr>
                <w:b/>
                <w:bCs/>
                <w:spacing w:val="-2"/>
                <w:sz w:val="18"/>
                <w:szCs w:val="18"/>
                <w:rtl/>
              </w:rPr>
              <w:t xml:space="preserve"> </w:t>
            </w:r>
            <w:r w:rsidRPr="00F77006">
              <w:rPr>
                <w:rFonts w:hint="eastAsia"/>
                <w:b/>
                <w:bCs/>
                <w:sz w:val="18"/>
                <w:szCs w:val="18"/>
                <w:rtl/>
              </w:rPr>
              <w:t>המוחזקות</w:t>
            </w:r>
            <w:r w:rsidRPr="00F77006">
              <w:rPr>
                <w:b/>
                <w:bCs/>
                <w:spacing w:val="-2"/>
                <w:sz w:val="18"/>
                <w:szCs w:val="18"/>
                <w:rtl/>
              </w:rPr>
              <w:t xml:space="preserve"> </w:t>
            </w:r>
            <w:r w:rsidRPr="00F77006">
              <w:rPr>
                <w:rFonts w:hint="eastAsia"/>
                <w:b/>
                <w:bCs/>
                <w:sz w:val="18"/>
                <w:szCs w:val="18"/>
                <w:rtl/>
              </w:rPr>
              <w:t>לפדיון</w:t>
            </w:r>
          </w:p>
        </w:tc>
        <w:tc>
          <w:tcPr>
            <w:tcW w:w="163" w:type="pct"/>
            <w:vAlign w:val="bottom"/>
          </w:tcPr>
          <w:p w14:paraId="1A5897AF" w14:textId="77777777"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c>
          <w:tcPr>
            <w:tcW w:w="210" w:type="pct"/>
            <w:vAlign w:val="bottom"/>
          </w:tcPr>
          <w:p w14:paraId="53BFE007" w14:textId="77777777"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c>
          <w:tcPr>
            <w:tcW w:w="194" w:type="pct"/>
            <w:vAlign w:val="bottom"/>
          </w:tcPr>
          <w:p w14:paraId="3DD36528" w14:textId="5833C879"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555E32">
              <w:rPr>
                <w:sz w:val="16"/>
                <w:szCs w:val="16"/>
                <w:rtl/>
              </w:rPr>
              <w:t xml:space="preserve"> 0</w:t>
            </w:r>
          </w:p>
        </w:tc>
        <w:tc>
          <w:tcPr>
            <w:tcW w:w="240" w:type="pct"/>
            <w:vAlign w:val="bottom"/>
          </w:tcPr>
          <w:p w14:paraId="03024304" w14:textId="2449C9E7"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c>
          <w:tcPr>
            <w:tcW w:w="240" w:type="pct"/>
            <w:vAlign w:val="bottom"/>
          </w:tcPr>
          <w:p w14:paraId="08D19519" w14:textId="77777777"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c>
          <w:tcPr>
            <w:tcW w:w="162" w:type="pct"/>
            <w:vAlign w:val="bottom"/>
          </w:tcPr>
          <w:p w14:paraId="6B518CBD" w14:textId="77777777"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c>
          <w:tcPr>
            <w:tcW w:w="46" w:type="pct"/>
          </w:tcPr>
          <w:p w14:paraId="32912962" w14:textId="77777777" w:rsidR="00361A81" w:rsidRPr="002236DD" w:rsidRDefault="00361A81" w:rsidP="00361A81">
            <w:pPr>
              <w:pStyle w:val="-f1"/>
              <w:pBdr>
                <w:top w:val="none" w:sz="0" w:space="0" w:color="auto"/>
              </w:pBdr>
              <w:spacing w:after="20" w:line="240" w:lineRule="auto"/>
              <w:ind w:left="0" w:firstLine="0"/>
              <w:rPr>
                <w:sz w:val="16"/>
                <w:szCs w:val="16"/>
                <w:rtl/>
              </w:rPr>
            </w:pPr>
          </w:p>
        </w:tc>
        <w:tc>
          <w:tcPr>
            <w:tcW w:w="163" w:type="pct"/>
            <w:vAlign w:val="bottom"/>
          </w:tcPr>
          <w:p w14:paraId="05ED738A" w14:textId="77777777"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c>
          <w:tcPr>
            <w:tcW w:w="210" w:type="pct"/>
            <w:vAlign w:val="bottom"/>
          </w:tcPr>
          <w:p w14:paraId="01762DEF" w14:textId="77777777"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c>
          <w:tcPr>
            <w:tcW w:w="211" w:type="pct"/>
            <w:vAlign w:val="bottom"/>
          </w:tcPr>
          <w:p w14:paraId="2776A835" w14:textId="50146C60"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c>
          <w:tcPr>
            <w:tcW w:w="240" w:type="pct"/>
            <w:vAlign w:val="bottom"/>
          </w:tcPr>
          <w:p w14:paraId="2DCCD12A" w14:textId="431F6BC8"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c>
          <w:tcPr>
            <w:tcW w:w="240" w:type="pct"/>
            <w:vAlign w:val="bottom"/>
          </w:tcPr>
          <w:p w14:paraId="2580F999" w14:textId="77777777"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c>
          <w:tcPr>
            <w:tcW w:w="162" w:type="pct"/>
            <w:vAlign w:val="bottom"/>
          </w:tcPr>
          <w:p w14:paraId="5FF4308B" w14:textId="77777777"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c>
          <w:tcPr>
            <w:tcW w:w="39" w:type="pct"/>
            <w:tcMar>
              <w:left w:w="58" w:type="dxa"/>
              <w:right w:w="58" w:type="dxa"/>
            </w:tcMar>
            <w:vAlign w:val="bottom"/>
          </w:tcPr>
          <w:p w14:paraId="35F73168" w14:textId="77777777" w:rsidR="00361A81" w:rsidRPr="002236DD" w:rsidRDefault="00361A81" w:rsidP="00361A81">
            <w:pPr>
              <w:pStyle w:val="-7"/>
              <w:spacing w:after="20" w:line="240" w:lineRule="auto"/>
              <w:jc w:val="left"/>
              <w:rPr>
                <w:sz w:val="16"/>
                <w:szCs w:val="16"/>
                <w:rtl/>
              </w:rPr>
            </w:pPr>
          </w:p>
        </w:tc>
        <w:tc>
          <w:tcPr>
            <w:tcW w:w="163" w:type="pct"/>
            <w:vAlign w:val="bottom"/>
          </w:tcPr>
          <w:p w14:paraId="672F29F6" w14:textId="77777777"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c>
          <w:tcPr>
            <w:tcW w:w="210" w:type="pct"/>
            <w:vAlign w:val="bottom"/>
          </w:tcPr>
          <w:p w14:paraId="1769B1A3" w14:textId="77777777"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c>
          <w:tcPr>
            <w:tcW w:w="197" w:type="pct"/>
            <w:vAlign w:val="bottom"/>
          </w:tcPr>
          <w:p w14:paraId="18AC1981" w14:textId="313DF875"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c>
          <w:tcPr>
            <w:tcW w:w="238" w:type="pct"/>
            <w:vAlign w:val="bottom"/>
          </w:tcPr>
          <w:p w14:paraId="4CD089F0" w14:textId="4FE82A50"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c>
          <w:tcPr>
            <w:tcW w:w="242" w:type="pct"/>
            <w:gridSpan w:val="2"/>
            <w:vAlign w:val="bottom"/>
          </w:tcPr>
          <w:p w14:paraId="7748A037" w14:textId="77777777"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c>
          <w:tcPr>
            <w:tcW w:w="162" w:type="pct"/>
            <w:vAlign w:val="bottom"/>
          </w:tcPr>
          <w:p w14:paraId="38374AA1" w14:textId="77777777" w:rsidR="00361A81" w:rsidRPr="002236DD" w:rsidRDefault="00361A81" w:rsidP="00361A81">
            <w:pPr>
              <w:pStyle w:val="-f1"/>
              <w:pBdr>
                <w:top w:val="none" w:sz="0" w:space="0" w:color="auto"/>
                <w:bottom w:val="single" w:sz="4" w:space="1" w:color="auto"/>
              </w:pBdr>
              <w:spacing w:after="20" w:line="240" w:lineRule="auto"/>
              <w:ind w:left="0" w:firstLine="0"/>
              <w:rPr>
                <w:sz w:val="16"/>
                <w:szCs w:val="16"/>
                <w:rtl/>
              </w:rPr>
            </w:pPr>
            <w:r w:rsidRPr="002236DD">
              <w:rPr>
                <w:sz w:val="16"/>
                <w:szCs w:val="16"/>
                <w:rtl/>
              </w:rPr>
              <w:t xml:space="preserve"> 0</w:t>
            </w:r>
          </w:p>
        </w:tc>
      </w:tr>
    </w:tbl>
    <w:p w14:paraId="1C22FD0F" w14:textId="77777777" w:rsidR="00F32A2A" w:rsidRPr="002236DD" w:rsidRDefault="00F32A2A" w:rsidP="004836CE">
      <w:pPr>
        <w:bidi w:val="0"/>
        <w:spacing w:line="140" w:lineRule="exact"/>
      </w:pPr>
    </w:p>
    <w:tbl>
      <w:tblPr>
        <w:bidiVisual/>
        <w:tblW w:w="5154" w:type="pct"/>
        <w:tblInd w:w="-464" w:type="dxa"/>
        <w:tblCellMar>
          <w:left w:w="57" w:type="dxa"/>
          <w:right w:w="57" w:type="dxa"/>
        </w:tblCellMar>
        <w:tblLook w:val="04A0" w:firstRow="1" w:lastRow="0" w:firstColumn="1" w:lastColumn="0" w:noHBand="0" w:noVBand="1"/>
      </w:tblPr>
      <w:tblGrid>
        <w:gridCol w:w="1135"/>
        <w:gridCol w:w="2833"/>
        <w:gridCol w:w="518"/>
        <w:gridCol w:w="643"/>
        <w:gridCol w:w="668"/>
        <w:gridCol w:w="727"/>
        <w:gridCol w:w="727"/>
        <w:gridCol w:w="484"/>
        <w:gridCol w:w="120"/>
        <w:gridCol w:w="487"/>
        <w:gridCol w:w="658"/>
        <w:gridCol w:w="705"/>
        <w:gridCol w:w="727"/>
        <w:gridCol w:w="736"/>
        <w:gridCol w:w="487"/>
        <w:gridCol w:w="122"/>
        <w:gridCol w:w="487"/>
        <w:gridCol w:w="633"/>
        <w:gridCol w:w="736"/>
        <w:gridCol w:w="736"/>
        <w:gridCol w:w="742"/>
        <w:gridCol w:w="487"/>
      </w:tblGrid>
      <w:tr w:rsidR="00361A81" w:rsidRPr="002236DD" w14:paraId="09821497" w14:textId="77777777" w:rsidTr="00580C3A">
        <w:trPr>
          <w:trHeight w:val="155"/>
        </w:trPr>
        <w:tc>
          <w:tcPr>
            <w:tcW w:w="364" w:type="pct"/>
          </w:tcPr>
          <w:p w14:paraId="0552D962" w14:textId="77777777" w:rsidR="003E6FE0" w:rsidRPr="002236DD" w:rsidRDefault="003E6FE0" w:rsidP="00F30791">
            <w:pPr>
              <w:pStyle w:val="-7"/>
              <w:spacing w:line="160" w:lineRule="exact"/>
              <w:rPr>
                <w:sz w:val="14"/>
                <w:szCs w:val="14"/>
                <w:rtl/>
              </w:rPr>
            </w:pPr>
          </w:p>
        </w:tc>
        <w:tc>
          <w:tcPr>
            <w:tcW w:w="908" w:type="pct"/>
            <w:vAlign w:val="bottom"/>
          </w:tcPr>
          <w:p w14:paraId="41BA22AC" w14:textId="77777777" w:rsidR="003E6FE0" w:rsidRPr="002236DD" w:rsidRDefault="003E6FE0" w:rsidP="00F30791">
            <w:pPr>
              <w:pStyle w:val="-0"/>
              <w:tabs>
                <w:tab w:val="left" w:pos="446"/>
              </w:tabs>
              <w:spacing w:line="160" w:lineRule="exact"/>
              <w:rPr>
                <w:b/>
                <w:bCs/>
                <w:sz w:val="14"/>
                <w:szCs w:val="14"/>
                <w:rtl/>
              </w:rPr>
            </w:pPr>
          </w:p>
        </w:tc>
        <w:tc>
          <w:tcPr>
            <w:tcW w:w="166" w:type="pct"/>
            <w:vAlign w:val="bottom"/>
          </w:tcPr>
          <w:p w14:paraId="1CD10856" w14:textId="77777777" w:rsidR="003E6FE0" w:rsidRPr="002236DD" w:rsidRDefault="003E6FE0" w:rsidP="00F30791">
            <w:pPr>
              <w:pStyle w:val="-7"/>
              <w:spacing w:line="160" w:lineRule="exact"/>
              <w:jc w:val="center"/>
              <w:rPr>
                <w:b/>
                <w:bCs/>
                <w:sz w:val="16"/>
                <w:szCs w:val="16"/>
                <w:rtl/>
              </w:rPr>
            </w:pPr>
          </w:p>
        </w:tc>
        <w:tc>
          <w:tcPr>
            <w:tcW w:w="206" w:type="pct"/>
            <w:vAlign w:val="bottom"/>
          </w:tcPr>
          <w:p w14:paraId="1A399BA5" w14:textId="77777777" w:rsidR="003E6FE0" w:rsidRPr="002236DD" w:rsidRDefault="003E6FE0" w:rsidP="00F30791">
            <w:pPr>
              <w:pStyle w:val="-3"/>
              <w:spacing w:line="160" w:lineRule="exact"/>
              <w:jc w:val="center"/>
              <w:rPr>
                <w:b/>
                <w:bCs/>
                <w:sz w:val="16"/>
                <w:szCs w:val="16"/>
                <w:rtl/>
              </w:rPr>
            </w:pPr>
          </w:p>
        </w:tc>
        <w:tc>
          <w:tcPr>
            <w:tcW w:w="214" w:type="pct"/>
          </w:tcPr>
          <w:p w14:paraId="73CA9842" w14:textId="77777777" w:rsidR="003E6FE0" w:rsidRPr="002236DD" w:rsidRDefault="003E6FE0" w:rsidP="00CC575A">
            <w:pPr>
              <w:pStyle w:val="-4"/>
              <w:pBdr>
                <w:bottom w:val="none" w:sz="0" w:space="0" w:color="auto"/>
              </w:pBdr>
              <w:spacing w:line="160" w:lineRule="exact"/>
              <w:rPr>
                <w:sz w:val="16"/>
                <w:szCs w:val="16"/>
                <w:rtl/>
              </w:rPr>
            </w:pPr>
          </w:p>
        </w:tc>
        <w:tc>
          <w:tcPr>
            <w:tcW w:w="466" w:type="pct"/>
            <w:gridSpan w:val="2"/>
            <w:vAlign w:val="bottom"/>
          </w:tcPr>
          <w:p w14:paraId="2F14B899" w14:textId="057BA737" w:rsidR="003E6FE0" w:rsidRPr="002236DD" w:rsidRDefault="003E6FE0" w:rsidP="00F30791">
            <w:pPr>
              <w:pStyle w:val="-4"/>
              <w:spacing w:line="160" w:lineRule="exact"/>
              <w:rPr>
                <w:sz w:val="16"/>
                <w:szCs w:val="16"/>
                <w:rtl/>
              </w:rPr>
            </w:pPr>
            <w:r w:rsidRPr="002236DD">
              <w:rPr>
                <w:rFonts w:hint="eastAsia"/>
                <w:sz w:val="16"/>
                <w:szCs w:val="16"/>
                <w:rtl/>
              </w:rPr>
              <w:t>רווח</w:t>
            </w:r>
            <w:r w:rsidRPr="002236DD">
              <w:rPr>
                <w:sz w:val="16"/>
                <w:szCs w:val="16"/>
                <w:rtl/>
              </w:rPr>
              <w:t xml:space="preserve"> </w:t>
            </w:r>
            <w:r w:rsidRPr="002236DD">
              <w:rPr>
                <w:rFonts w:hint="eastAsia"/>
                <w:sz w:val="16"/>
                <w:szCs w:val="16"/>
                <w:rtl/>
              </w:rPr>
              <w:t>כולל</w:t>
            </w:r>
            <w:r w:rsidRPr="002236DD">
              <w:rPr>
                <w:sz w:val="16"/>
                <w:szCs w:val="16"/>
                <w:rtl/>
              </w:rPr>
              <w:t xml:space="preserve"> </w:t>
            </w:r>
            <w:r w:rsidRPr="002236DD">
              <w:rPr>
                <w:rFonts w:hint="eastAsia"/>
                <w:sz w:val="16"/>
                <w:szCs w:val="16"/>
                <w:rtl/>
              </w:rPr>
              <w:t>אחר</w:t>
            </w:r>
            <w:r w:rsidRPr="002236DD">
              <w:rPr>
                <w:sz w:val="16"/>
                <w:szCs w:val="16"/>
                <w:rtl/>
              </w:rPr>
              <w:t xml:space="preserve"> </w:t>
            </w:r>
            <w:r w:rsidRPr="002236DD">
              <w:rPr>
                <w:rFonts w:hint="eastAsia"/>
                <w:sz w:val="16"/>
                <w:szCs w:val="16"/>
                <w:rtl/>
              </w:rPr>
              <w:t>מצטבר</w:t>
            </w:r>
          </w:p>
        </w:tc>
        <w:tc>
          <w:tcPr>
            <w:tcW w:w="155" w:type="pct"/>
            <w:vAlign w:val="bottom"/>
          </w:tcPr>
          <w:p w14:paraId="48FA8D23" w14:textId="77777777" w:rsidR="003E6FE0" w:rsidRPr="002236DD" w:rsidRDefault="003E6FE0" w:rsidP="00F30791">
            <w:pPr>
              <w:pStyle w:val="-7"/>
              <w:spacing w:line="160" w:lineRule="exact"/>
              <w:jc w:val="center"/>
              <w:rPr>
                <w:b/>
                <w:bCs/>
                <w:sz w:val="16"/>
                <w:szCs w:val="16"/>
                <w:rtl/>
              </w:rPr>
            </w:pPr>
          </w:p>
        </w:tc>
        <w:tc>
          <w:tcPr>
            <w:tcW w:w="38" w:type="pct"/>
            <w:vAlign w:val="bottom"/>
          </w:tcPr>
          <w:p w14:paraId="4F056376" w14:textId="77777777" w:rsidR="003E6FE0" w:rsidRPr="002236DD" w:rsidRDefault="003E6FE0" w:rsidP="00F30791">
            <w:pPr>
              <w:pStyle w:val="-7"/>
              <w:spacing w:line="160" w:lineRule="exact"/>
              <w:rPr>
                <w:sz w:val="16"/>
                <w:szCs w:val="16"/>
                <w:rtl/>
              </w:rPr>
            </w:pPr>
          </w:p>
        </w:tc>
        <w:tc>
          <w:tcPr>
            <w:tcW w:w="156" w:type="pct"/>
            <w:vAlign w:val="bottom"/>
          </w:tcPr>
          <w:p w14:paraId="1CC5875A" w14:textId="77777777" w:rsidR="003E6FE0" w:rsidRPr="002236DD" w:rsidRDefault="003E6FE0" w:rsidP="00F30791">
            <w:pPr>
              <w:pStyle w:val="-7"/>
              <w:spacing w:line="160" w:lineRule="exact"/>
              <w:jc w:val="center"/>
              <w:rPr>
                <w:b/>
                <w:bCs/>
                <w:sz w:val="16"/>
                <w:szCs w:val="16"/>
                <w:rtl/>
              </w:rPr>
            </w:pPr>
          </w:p>
        </w:tc>
        <w:tc>
          <w:tcPr>
            <w:tcW w:w="211" w:type="pct"/>
            <w:vAlign w:val="bottom"/>
          </w:tcPr>
          <w:p w14:paraId="60E6473C" w14:textId="77777777" w:rsidR="003E6FE0" w:rsidRPr="002236DD" w:rsidRDefault="003E6FE0" w:rsidP="00F30791">
            <w:pPr>
              <w:pStyle w:val="-3"/>
              <w:spacing w:line="160" w:lineRule="exact"/>
              <w:jc w:val="center"/>
              <w:rPr>
                <w:sz w:val="16"/>
                <w:szCs w:val="16"/>
                <w:rtl/>
              </w:rPr>
            </w:pPr>
            <w:r w:rsidRPr="002236DD">
              <w:rPr>
                <w:b/>
                <w:bCs/>
                <w:sz w:val="16"/>
                <w:szCs w:val="16"/>
                <w:rtl/>
              </w:rPr>
              <w:t xml:space="preserve"> </w:t>
            </w:r>
          </w:p>
        </w:tc>
        <w:tc>
          <w:tcPr>
            <w:tcW w:w="226" w:type="pct"/>
          </w:tcPr>
          <w:p w14:paraId="0FB6ECA2" w14:textId="77777777" w:rsidR="003E6FE0" w:rsidRPr="002236DD" w:rsidRDefault="003E6FE0" w:rsidP="003E6FE0">
            <w:pPr>
              <w:pStyle w:val="-4"/>
              <w:pBdr>
                <w:bottom w:val="none" w:sz="0" w:space="0" w:color="auto"/>
              </w:pBdr>
              <w:spacing w:line="160" w:lineRule="exact"/>
              <w:rPr>
                <w:sz w:val="16"/>
                <w:szCs w:val="16"/>
                <w:rtl/>
              </w:rPr>
            </w:pPr>
          </w:p>
        </w:tc>
        <w:tc>
          <w:tcPr>
            <w:tcW w:w="469" w:type="pct"/>
            <w:gridSpan w:val="2"/>
            <w:shd w:val="clear" w:color="auto" w:fill="auto"/>
            <w:vAlign w:val="bottom"/>
          </w:tcPr>
          <w:p w14:paraId="7D47A3D5" w14:textId="70DAA9F4" w:rsidR="003E6FE0" w:rsidRPr="002236DD" w:rsidRDefault="003E6FE0" w:rsidP="00F30791">
            <w:pPr>
              <w:pStyle w:val="-4"/>
              <w:spacing w:line="160" w:lineRule="exact"/>
              <w:rPr>
                <w:sz w:val="16"/>
                <w:szCs w:val="16"/>
                <w:rtl/>
              </w:rPr>
            </w:pPr>
            <w:r w:rsidRPr="002236DD">
              <w:rPr>
                <w:rFonts w:hint="eastAsia"/>
                <w:sz w:val="16"/>
                <w:szCs w:val="16"/>
                <w:rtl/>
              </w:rPr>
              <w:t>רווח</w:t>
            </w:r>
            <w:r w:rsidRPr="002236DD">
              <w:rPr>
                <w:sz w:val="16"/>
                <w:szCs w:val="16"/>
                <w:rtl/>
              </w:rPr>
              <w:t xml:space="preserve"> </w:t>
            </w:r>
            <w:r w:rsidRPr="002236DD">
              <w:rPr>
                <w:rFonts w:hint="eastAsia"/>
                <w:sz w:val="16"/>
                <w:szCs w:val="16"/>
                <w:rtl/>
              </w:rPr>
              <w:t>כולל</w:t>
            </w:r>
            <w:r w:rsidRPr="002236DD">
              <w:rPr>
                <w:sz w:val="16"/>
                <w:szCs w:val="16"/>
                <w:rtl/>
              </w:rPr>
              <w:t xml:space="preserve"> </w:t>
            </w:r>
            <w:r w:rsidRPr="002236DD">
              <w:rPr>
                <w:rFonts w:hint="eastAsia"/>
                <w:sz w:val="16"/>
                <w:szCs w:val="16"/>
                <w:rtl/>
              </w:rPr>
              <w:t>אחר</w:t>
            </w:r>
            <w:r w:rsidRPr="002236DD">
              <w:rPr>
                <w:sz w:val="16"/>
                <w:szCs w:val="16"/>
                <w:rtl/>
              </w:rPr>
              <w:t xml:space="preserve"> </w:t>
            </w:r>
            <w:r w:rsidRPr="002236DD">
              <w:rPr>
                <w:rFonts w:hint="eastAsia"/>
                <w:sz w:val="16"/>
                <w:szCs w:val="16"/>
                <w:rtl/>
              </w:rPr>
              <w:t>מצטבר</w:t>
            </w:r>
          </w:p>
        </w:tc>
        <w:tc>
          <w:tcPr>
            <w:tcW w:w="156" w:type="pct"/>
            <w:vAlign w:val="bottom"/>
          </w:tcPr>
          <w:p w14:paraId="406516D1" w14:textId="77777777" w:rsidR="003E6FE0" w:rsidRPr="002236DD" w:rsidRDefault="003E6FE0" w:rsidP="00F30791">
            <w:pPr>
              <w:pStyle w:val="-7"/>
              <w:spacing w:line="160" w:lineRule="exact"/>
              <w:jc w:val="center"/>
              <w:rPr>
                <w:b/>
                <w:bCs/>
                <w:sz w:val="16"/>
                <w:szCs w:val="16"/>
                <w:rtl/>
              </w:rPr>
            </w:pPr>
          </w:p>
        </w:tc>
        <w:tc>
          <w:tcPr>
            <w:tcW w:w="39" w:type="pct"/>
            <w:tcMar>
              <w:left w:w="58" w:type="dxa"/>
              <w:right w:w="58" w:type="dxa"/>
            </w:tcMar>
            <w:vAlign w:val="bottom"/>
          </w:tcPr>
          <w:p w14:paraId="01293442" w14:textId="77777777" w:rsidR="003E6FE0" w:rsidRPr="002236DD" w:rsidRDefault="003E6FE0" w:rsidP="00F30791">
            <w:pPr>
              <w:pStyle w:val="-7"/>
              <w:spacing w:line="160" w:lineRule="exact"/>
              <w:rPr>
                <w:sz w:val="16"/>
                <w:szCs w:val="16"/>
                <w:rtl/>
              </w:rPr>
            </w:pPr>
          </w:p>
        </w:tc>
        <w:tc>
          <w:tcPr>
            <w:tcW w:w="156" w:type="pct"/>
            <w:vAlign w:val="bottom"/>
          </w:tcPr>
          <w:p w14:paraId="24C683C5" w14:textId="77777777" w:rsidR="003E6FE0" w:rsidRPr="002236DD" w:rsidRDefault="003E6FE0" w:rsidP="00F30791">
            <w:pPr>
              <w:pStyle w:val="-7"/>
              <w:spacing w:line="160" w:lineRule="exact"/>
              <w:jc w:val="center"/>
              <w:rPr>
                <w:b/>
                <w:bCs/>
                <w:sz w:val="16"/>
                <w:szCs w:val="16"/>
                <w:rtl/>
              </w:rPr>
            </w:pPr>
          </w:p>
        </w:tc>
        <w:tc>
          <w:tcPr>
            <w:tcW w:w="203" w:type="pct"/>
            <w:vAlign w:val="bottom"/>
          </w:tcPr>
          <w:p w14:paraId="6EB9F475" w14:textId="77777777" w:rsidR="003E6FE0" w:rsidRPr="002236DD" w:rsidRDefault="003E6FE0" w:rsidP="00F30791">
            <w:pPr>
              <w:pStyle w:val="-3"/>
              <w:spacing w:line="160" w:lineRule="exact"/>
              <w:jc w:val="center"/>
              <w:rPr>
                <w:sz w:val="16"/>
                <w:szCs w:val="16"/>
                <w:rtl/>
              </w:rPr>
            </w:pPr>
          </w:p>
        </w:tc>
        <w:tc>
          <w:tcPr>
            <w:tcW w:w="236" w:type="pct"/>
          </w:tcPr>
          <w:p w14:paraId="64152CA8" w14:textId="77777777" w:rsidR="003E6FE0" w:rsidRPr="002236DD" w:rsidRDefault="003E6FE0" w:rsidP="003E6FE0">
            <w:pPr>
              <w:pStyle w:val="-4"/>
              <w:pBdr>
                <w:bottom w:val="none" w:sz="0" w:space="0" w:color="auto"/>
              </w:pBdr>
              <w:spacing w:line="160" w:lineRule="exact"/>
              <w:rPr>
                <w:sz w:val="16"/>
                <w:szCs w:val="16"/>
                <w:rtl/>
              </w:rPr>
            </w:pPr>
          </w:p>
        </w:tc>
        <w:tc>
          <w:tcPr>
            <w:tcW w:w="474" w:type="pct"/>
            <w:gridSpan w:val="2"/>
            <w:vAlign w:val="bottom"/>
          </w:tcPr>
          <w:p w14:paraId="6EE41451" w14:textId="4125D97B" w:rsidR="003E6FE0" w:rsidRPr="002236DD" w:rsidRDefault="003E6FE0" w:rsidP="00F30791">
            <w:pPr>
              <w:pStyle w:val="-4"/>
              <w:spacing w:line="160" w:lineRule="exact"/>
              <w:rPr>
                <w:sz w:val="16"/>
                <w:szCs w:val="16"/>
                <w:rtl/>
              </w:rPr>
            </w:pPr>
            <w:r w:rsidRPr="002236DD">
              <w:rPr>
                <w:sz w:val="16"/>
                <w:szCs w:val="16"/>
                <w:rtl/>
              </w:rPr>
              <w:t xml:space="preserve"> </w:t>
            </w:r>
            <w:r w:rsidRPr="002236DD">
              <w:rPr>
                <w:rFonts w:hint="eastAsia"/>
                <w:sz w:val="16"/>
                <w:szCs w:val="16"/>
                <w:rtl/>
              </w:rPr>
              <w:t>רווח</w:t>
            </w:r>
            <w:r w:rsidRPr="002236DD">
              <w:rPr>
                <w:sz w:val="16"/>
                <w:szCs w:val="16"/>
                <w:rtl/>
              </w:rPr>
              <w:t xml:space="preserve"> </w:t>
            </w:r>
            <w:r w:rsidRPr="002236DD">
              <w:rPr>
                <w:rFonts w:hint="eastAsia"/>
                <w:sz w:val="16"/>
                <w:szCs w:val="16"/>
                <w:rtl/>
              </w:rPr>
              <w:t>כולל</w:t>
            </w:r>
            <w:r w:rsidRPr="002236DD">
              <w:rPr>
                <w:sz w:val="16"/>
                <w:szCs w:val="16"/>
                <w:rtl/>
              </w:rPr>
              <w:t xml:space="preserve"> </w:t>
            </w:r>
            <w:r w:rsidRPr="002236DD">
              <w:rPr>
                <w:rFonts w:hint="eastAsia"/>
                <w:sz w:val="16"/>
                <w:szCs w:val="16"/>
                <w:rtl/>
              </w:rPr>
              <w:t>אחר</w:t>
            </w:r>
            <w:r w:rsidRPr="002236DD">
              <w:rPr>
                <w:sz w:val="16"/>
                <w:szCs w:val="16"/>
                <w:rtl/>
              </w:rPr>
              <w:t xml:space="preserve"> </w:t>
            </w:r>
            <w:r w:rsidRPr="002236DD">
              <w:rPr>
                <w:rFonts w:hint="eastAsia"/>
                <w:sz w:val="16"/>
                <w:szCs w:val="16"/>
                <w:rtl/>
              </w:rPr>
              <w:t>מצטבר</w:t>
            </w:r>
          </w:p>
        </w:tc>
        <w:tc>
          <w:tcPr>
            <w:tcW w:w="156" w:type="pct"/>
            <w:vAlign w:val="bottom"/>
          </w:tcPr>
          <w:p w14:paraId="3EEC478F" w14:textId="77777777" w:rsidR="003E6FE0" w:rsidRPr="002236DD" w:rsidRDefault="003E6FE0" w:rsidP="003E6FE0">
            <w:pPr>
              <w:pStyle w:val="-7"/>
              <w:spacing w:line="160" w:lineRule="exact"/>
              <w:rPr>
                <w:b/>
                <w:bCs/>
                <w:sz w:val="16"/>
                <w:szCs w:val="16"/>
                <w:rtl/>
              </w:rPr>
            </w:pPr>
          </w:p>
        </w:tc>
      </w:tr>
      <w:tr w:rsidR="00361A81" w:rsidRPr="00EE3141" w14:paraId="53449B2D" w14:textId="77777777" w:rsidTr="00580C3A">
        <w:tc>
          <w:tcPr>
            <w:tcW w:w="364" w:type="pct"/>
          </w:tcPr>
          <w:p w14:paraId="5E5C9DF3" w14:textId="77777777" w:rsidR="003E6FE0" w:rsidRPr="002236DD" w:rsidRDefault="003E6FE0" w:rsidP="00CC575A">
            <w:pPr>
              <w:pStyle w:val="-7"/>
              <w:spacing w:line="160" w:lineRule="exact"/>
              <w:rPr>
                <w:sz w:val="14"/>
                <w:szCs w:val="14"/>
                <w:rtl/>
              </w:rPr>
            </w:pPr>
          </w:p>
        </w:tc>
        <w:tc>
          <w:tcPr>
            <w:tcW w:w="908" w:type="pct"/>
            <w:vAlign w:val="bottom"/>
          </w:tcPr>
          <w:p w14:paraId="680AEE69" w14:textId="77777777" w:rsidR="003E6FE0" w:rsidRPr="002236DD" w:rsidRDefault="003E6FE0" w:rsidP="00CC575A">
            <w:pPr>
              <w:pStyle w:val="-0"/>
              <w:tabs>
                <w:tab w:val="left" w:pos="446"/>
              </w:tabs>
              <w:spacing w:line="160" w:lineRule="exact"/>
              <w:rPr>
                <w:b/>
                <w:bCs/>
                <w:sz w:val="18"/>
                <w:szCs w:val="18"/>
                <w:rtl/>
              </w:rPr>
            </w:pPr>
          </w:p>
        </w:tc>
        <w:tc>
          <w:tcPr>
            <w:tcW w:w="166" w:type="pct"/>
            <w:tcBorders>
              <w:left w:val="nil"/>
            </w:tcBorders>
            <w:vAlign w:val="bottom"/>
          </w:tcPr>
          <w:p w14:paraId="06691C79" w14:textId="77777777" w:rsidR="003E6FE0" w:rsidRPr="003E6FE0" w:rsidRDefault="003E6FE0" w:rsidP="00305D97">
            <w:pPr>
              <w:pStyle w:val="-4"/>
              <w:pBdr>
                <w:bottom w:val="single" w:sz="4" w:space="1" w:color="auto"/>
              </w:pBdr>
              <w:spacing w:line="160" w:lineRule="exact"/>
              <w:rPr>
                <w:sz w:val="15"/>
                <w:szCs w:val="15"/>
                <w:rtl/>
              </w:rPr>
            </w:pPr>
            <w:r w:rsidRPr="003E6FE0">
              <w:rPr>
                <w:rFonts w:hint="cs"/>
                <w:sz w:val="15"/>
                <w:szCs w:val="15"/>
                <w:rtl/>
              </w:rPr>
              <w:t xml:space="preserve">הערך </w:t>
            </w:r>
            <w:r w:rsidRPr="003E6FE0">
              <w:rPr>
                <w:rFonts w:hint="eastAsia"/>
                <w:sz w:val="15"/>
                <w:szCs w:val="15"/>
                <w:rtl/>
              </w:rPr>
              <w:t>במאזן</w:t>
            </w:r>
          </w:p>
        </w:tc>
        <w:tc>
          <w:tcPr>
            <w:tcW w:w="206" w:type="pct"/>
            <w:vAlign w:val="bottom"/>
          </w:tcPr>
          <w:p w14:paraId="0975F7C5" w14:textId="3BAE1E4E" w:rsidR="003E6FE0" w:rsidRPr="003E6FE0" w:rsidRDefault="003E6FE0" w:rsidP="00CC575A">
            <w:pPr>
              <w:pStyle w:val="-4"/>
              <w:pBdr>
                <w:bottom w:val="single" w:sz="4" w:space="1" w:color="auto"/>
              </w:pBdr>
              <w:spacing w:line="160" w:lineRule="exact"/>
              <w:rPr>
                <w:sz w:val="15"/>
                <w:szCs w:val="15"/>
                <w:rtl/>
              </w:rPr>
            </w:pPr>
            <w:r w:rsidRPr="003E6FE0">
              <w:rPr>
                <w:rFonts w:hint="cs"/>
                <w:sz w:val="15"/>
                <w:szCs w:val="15"/>
                <w:rtl/>
              </w:rPr>
              <w:t xml:space="preserve">עלות </w:t>
            </w:r>
            <w:r w:rsidRPr="003E6FE0">
              <w:rPr>
                <w:rFonts w:hint="cs"/>
                <w:b w:val="0"/>
                <w:bCs w:val="0"/>
                <w:sz w:val="15"/>
                <w:szCs w:val="15"/>
                <w:rtl/>
              </w:rPr>
              <w:t xml:space="preserve"> </w:t>
            </w:r>
            <w:r w:rsidRPr="003E6FE0">
              <w:rPr>
                <w:rFonts w:hint="cs"/>
                <w:sz w:val="15"/>
                <w:szCs w:val="15"/>
                <w:rtl/>
              </w:rPr>
              <w:t>מופחתת</w:t>
            </w:r>
          </w:p>
        </w:tc>
        <w:tc>
          <w:tcPr>
            <w:tcW w:w="214" w:type="pct"/>
            <w:shd w:val="clear" w:color="auto" w:fill="auto"/>
          </w:tcPr>
          <w:p w14:paraId="3EE96053" w14:textId="77777777" w:rsidR="003E6FE0" w:rsidRPr="003E6FE0" w:rsidRDefault="003E6FE0" w:rsidP="00CC575A">
            <w:pPr>
              <w:pBdr>
                <w:bottom w:val="single" w:sz="4" w:space="1" w:color="auto"/>
              </w:pBdr>
              <w:spacing w:line="160" w:lineRule="exact"/>
              <w:jc w:val="center"/>
              <w:rPr>
                <w:b/>
                <w:bCs/>
                <w:sz w:val="15"/>
                <w:szCs w:val="15"/>
                <w:rtl/>
              </w:rPr>
            </w:pPr>
          </w:p>
          <w:p w14:paraId="3A4F9C03" w14:textId="1A21268C" w:rsidR="003E6FE0" w:rsidRPr="003E6FE0" w:rsidRDefault="003E6FE0" w:rsidP="00CC575A">
            <w:pPr>
              <w:pStyle w:val="-4"/>
              <w:pBdr>
                <w:bottom w:val="single" w:sz="4" w:space="1" w:color="auto"/>
              </w:pBdr>
              <w:spacing w:line="160" w:lineRule="exact"/>
              <w:rPr>
                <w:sz w:val="15"/>
                <w:szCs w:val="15"/>
                <w:rtl/>
              </w:rPr>
            </w:pPr>
            <w:r w:rsidRPr="003E6FE0">
              <w:rPr>
                <w:sz w:val="15"/>
                <w:szCs w:val="15"/>
                <w:rtl/>
              </w:rPr>
              <w:t>יתרת הפרשה להפסדי אשראי</w:t>
            </w:r>
          </w:p>
        </w:tc>
        <w:tc>
          <w:tcPr>
            <w:tcW w:w="233" w:type="pct"/>
            <w:vAlign w:val="bottom"/>
          </w:tcPr>
          <w:p w14:paraId="0DAF01AF" w14:textId="3E400D6B" w:rsidR="003E6FE0" w:rsidRPr="003E6FE0" w:rsidRDefault="003E6FE0" w:rsidP="00CC575A">
            <w:pPr>
              <w:pStyle w:val="-4"/>
              <w:pBdr>
                <w:bottom w:val="single" w:sz="4" w:space="1" w:color="auto"/>
              </w:pBdr>
              <w:spacing w:line="160" w:lineRule="exact"/>
              <w:rPr>
                <w:sz w:val="15"/>
                <w:szCs w:val="15"/>
                <w:rtl/>
              </w:rPr>
            </w:pPr>
            <w:r w:rsidRPr="003E6FE0">
              <w:rPr>
                <w:rFonts w:hint="eastAsia"/>
                <w:sz w:val="15"/>
                <w:szCs w:val="15"/>
                <w:rtl/>
              </w:rPr>
              <w:t>רווחים</w:t>
            </w:r>
            <w:r w:rsidRPr="003E6FE0">
              <w:rPr>
                <w:rFonts w:hint="cs"/>
                <w:sz w:val="15"/>
                <w:szCs w:val="15"/>
                <w:rtl/>
              </w:rPr>
              <w:t xml:space="preserve"> שטרם מומשו מהתאמות לשווי הוגן</w:t>
            </w:r>
          </w:p>
        </w:tc>
        <w:tc>
          <w:tcPr>
            <w:tcW w:w="233" w:type="pct"/>
            <w:vAlign w:val="bottom"/>
          </w:tcPr>
          <w:p w14:paraId="0DE04422" w14:textId="77777777" w:rsidR="003E6FE0" w:rsidRPr="003E6FE0" w:rsidRDefault="003E6FE0" w:rsidP="00CC575A">
            <w:pPr>
              <w:pStyle w:val="-4"/>
              <w:pBdr>
                <w:bottom w:val="single" w:sz="4" w:space="1" w:color="auto"/>
              </w:pBdr>
              <w:spacing w:line="160" w:lineRule="exact"/>
              <w:rPr>
                <w:sz w:val="15"/>
                <w:szCs w:val="15"/>
                <w:rtl/>
              </w:rPr>
            </w:pPr>
            <w:r w:rsidRPr="003E6FE0">
              <w:rPr>
                <w:rFonts w:hint="eastAsia"/>
                <w:sz w:val="15"/>
                <w:szCs w:val="15"/>
                <w:rtl/>
              </w:rPr>
              <w:t>הפסדים</w:t>
            </w:r>
            <w:r w:rsidRPr="003E6FE0">
              <w:rPr>
                <w:sz w:val="15"/>
                <w:szCs w:val="15"/>
                <w:rtl/>
              </w:rPr>
              <w:t xml:space="preserve"> </w:t>
            </w:r>
            <w:r w:rsidRPr="003E6FE0">
              <w:rPr>
                <w:rFonts w:hint="cs"/>
                <w:sz w:val="15"/>
                <w:szCs w:val="15"/>
                <w:rtl/>
              </w:rPr>
              <w:t>שטרם מומשו מהתאמות לשווי הוגן</w:t>
            </w:r>
          </w:p>
        </w:tc>
        <w:tc>
          <w:tcPr>
            <w:tcW w:w="155" w:type="pct"/>
            <w:vAlign w:val="bottom"/>
          </w:tcPr>
          <w:p w14:paraId="6FA2909C" w14:textId="77777777" w:rsidR="003E6FE0" w:rsidRPr="003E6FE0" w:rsidRDefault="003E6FE0" w:rsidP="00CC575A">
            <w:pPr>
              <w:pStyle w:val="-4"/>
              <w:pBdr>
                <w:bottom w:val="single" w:sz="4" w:space="1" w:color="auto"/>
              </w:pBdr>
              <w:spacing w:line="160" w:lineRule="exact"/>
              <w:rPr>
                <w:sz w:val="15"/>
                <w:szCs w:val="15"/>
                <w:rtl/>
              </w:rPr>
            </w:pPr>
            <w:r w:rsidRPr="003E6FE0">
              <w:rPr>
                <w:rFonts w:hint="cs"/>
                <w:sz w:val="15"/>
                <w:szCs w:val="15"/>
                <w:rtl/>
              </w:rPr>
              <w:t xml:space="preserve">שווי </w:t>
            </w:r>
            <w:r w:rsidRPr="003E6FE0">
              <w:rPr>
                <w:rFonts w:hint="eastAsia"/>
                <w:sz w:val="15"/>
                <w:szCs w:val="15"/>
                <w:rtl/>
              </w:rPr>
              <w:t>הוגן</w:t>
            </w:r>
            <w:r w:rsidRPr="003E6FE0">
              <w:rPr>
                <w:sz w:val="15"/>
                <w:szCs w:val="15"/>
                <w:vertAlign w:val="superscript"/>
                <w:rtl/>
              </w:rPr>
              <w:t>(א)</w:t>
            </w:r>
          </w:p>
        </w:tc>
        <w:tc>
          <w:tcPr>
            <w:tcW w:w="38" w:type="pct"/>
            <w:vAlign w:val="bottom"/>
          </w:tcPr>
          <w:p w14:paraId="4A929CB8" w14:textId="77777777" w:rsidR="003E6FE0" w:rsidRPr="003E6FE0" w:rsidRDefault="003E6FE0" w:rsidP="00CC575A">
            <w:pPr>
              <w:pStyle w:val="-4"/>
              <w:pBdr>
                <w:bottom w:val="none" w:sz="0" w:space="0" w:color="auto"/>
              </w:pBdr>
              <w:spacing w:line="160" w:lineRule="exact"/>
              <w:rPr>
                <w:sz w:val="15"/>
                <w:szCs w:val="15"/>
                <w:rtl/>
              </w:rPr>
            </w:pPr>
          </w:p>
        </w:tc>
        <w:tc>
          <w:tcPr>
            <w:tcW w:w="156" w:type="pct"/>
            <w:vAlign w:val="bottom"/>
          </w:tcPr>
          <w:p w14:paraId="759315FB" w14:textId="77777777" w:rsidR="003E6FE0" w:rsidRPr="003E6FE0" w:rsidRDefault="003E6FE0" w:rsidP="00CC575A">
            <w:pPr>
              <w:pStyle w:val="-4"/>
              <w:pBdr>
                <w:bottom w:val="single" w:sz="4" w:space="1" w:color="auto"/>
              </w:pBdr>
              <w:spacing w:line="160" w:lineRule="exact"/>
              <w:rPr>
                <w:sz w:val="15"/>
                <w:szCs w:val="15"/>
                <w:rtl/>
              </w:rPr>
            </w:pPr>
            <w:r w:rsidRPr="003E6FE0">
              <w:rPr>
                <w:rFonts w:hint="cs"/>
                <w:sz w:val="15"/>
                <w:szCs w:val="15"/>
                <w:rtl/>
              </w:rPr>
              <w:t xml:space="preserve">הערך </w:t>
            </w:r>
            <w:r w:rsidRPr="003E6FE0">
              <w:rPr>
                <w:rFonts w:hint="eastAsia"/>
                <w:sz w:val="15"/>
                <w:szCs w:val="15"/>
                <w:rtl/>
              </w:rPr>
              <w:t>במאזן</w:t>
            </w:r>
          </w:p>
        </w:tc>
        <w:tc>
          <w:tcPr>
            <w:tcW w:w="211" w:type="pct"/>
            <w:vAlign w:val="bottom"/>
          </w:tcPr>
          <w:p w14:paraId="26BF47E7" w14:textId="77777777" w:rsidR="003E6FE0" w:rsidRPr="003E6FE0" w:rsidRDefault="003E6FE0" w:rsidP="00CC575A">
            <w:pPr>
              <w:pStyle w:val="-4"/>
              <w:pBdr>
                <w:bottom w:val="single" w:sz="4" w:space="1" w:color="auto"/>
              </w:pBdr>
              <w:spacing w:line="160" w:lineRule="exact"/>
              <w:rPr>
                <w:sz w:val="15"/>
                <w:szCs w:val="15"/>
                <w:rtl/>
              </w:rPr>
            </w:pPr>
            <w:r w:rsidRPr="003E6FE0">
              <w:rPr>
                <w:rFonts w:hint="cs"/>
                <w:sz w:val="15"/>
                <w:szCs w:val="15"/>
                <w:rtl/>
              </w:rPr>
              <w:t xml:space="preserve">עלות מופחתת </w:t>
            </w:r>
          </w:p>
        </w:tc>
        <w:tc>
          <w:tcPr>
            <w:tcW w:w="226" w:type="pct"/>
          </w:tcPr>
          <w:p w14:paraId="529F8F5B" w14:textId="77777777" w:rsidR="00361A81" w:rsidRPr="00361A81" w:rsidRDefault="00361A81" w:rsidP="00361A81">
            <w:pPr>
              <w:pStyle w:val="-4"/>
              <w:pBdr>
                <w:bottom w:val="single" w:sz="4" w:space="1" w:color="auto"/>
              </w:pBdr>
              <w:spacing w:line="160" w:lineRule="exact"/>
              <w:rPr>
                <w:sz w:val="15"/>
                <w:szCs w:val="15"/>
                <w:rtl/>
              </w:rPr>
            </w:pPr>
          </w:p>
          <w:p w14:paraId="6BC48315" w14:textId="4E4B66E8" w:rsidR="003E6FE0" w:rsidRPr="003E6FE0" w:rsidRDefault="00361A81" w:rsidP="00361A81">
            <w:pPr>
              <w:pStyle w:val="-4"/>
              <w:pBdr>
                <w:bottom w:val="single" w:sz="4" w:space="1" w:color="auto"/>
              </w:pBdr>
              <w:spacing w:line="160" w:lineRule="exact"/>
              <w:rPr>
                <w:sz w:val="15"/>
                <w:szCs w:val="15"/>
                <w:rtl/>
              </w:rPr>
            </w:pPr>
            <w:r w:rsidRPr="00361A81">
              <w:rPr>
                <w:sz w:val="15"/>
                <w:szCs w:val="15"/>
                <w:rtl/>
              </w:rPr>
              <w:t>יתרת הפרשה להפסדי אשראי</w:t>
            </w:r>
          </w:p>
        </w:tc>
        <w:tc>
          <w:tcPr>
            <w:tcW w:w="233" w:type="pct"/>
            <w:vAlign w:val="bottom"/>
          </w:tcPr>
          <w:p w14:paraId="13363D5D" w14:textId="77A0B81F" w:rsidR="003E6FE0" w:rsidRPr="003E6FE0" w:rsidRDefault="003E6FE0" w:rsidP="00CC575A">
            <w:pPr>
              <w:pStyle w:val="-4"/>
              <w:pBdr>
                <w:bottom w:val="single" w:sz="4" w:space="1" w:color="auto"/>
              </w:pBdr>
              <w:spacing w:line="160" w:lineRule="exact"/>
              <w:rPr>
                <w:sz w:val="15"/>
                <w:szCs w:val="15"/>
                <w:rtl/>
              </w:rPr>
            </w:pPr>
            <w:r w:rsidRPr="003E6FE0">
              <w:rPr>
                <w:rFonts w:hint="eastAsia"/>
                <w:sz w:val="15"/>
                <w:szCs w:val="15"/>
                <w:rtl/>
              </w:rPr>
              <w:t>רווחים</w:t>
            </w:r>
            <w:r w:rsidRPr="003E6FE0">
              <w:rPr>
                <w:rFonts w:hint="cs"/>
                <w:sz w:val="15"/>
                <w:szCs w:val="15"/>
                <w:rtl/>
              </w:rPr>
              <w:t xml:space="preserve"> שטרם מומשו מהתאמות לשווי הוגן</w:t>
            </w:r>
          </w:p>
        </w:tc>
        <w:tc>
          <w:tcPr>
            <w:tcW w:w="236" w:type="pct"/>
            <w:vAlign w:val="bottom"/>
          </w:tcPr>
          <w:p w14:paraId="22DCE776" w14:textId="77777777" w:rsidR="003E6FE0" w:rsidRPr="003E6FE0" w:rsidRDefault="003E6FE0" w:rsidP="00CC575A">
            <w:pPr>
              <w:pStyle w:val="-4"/>
              <w:pBdr>
                <w:bottom w:val="single" w:sz="4" w:space="1" w:color="auto"/>
              </w:pBdr>
              <w:spacing w:line="160" w:lineRule="exact"/>
              <w:rPr>
                <w:sz w:val="15"/>
                <w:szCs w:val="15"/>
                <w:rtl/>
              </w:rPr>
            </w:pPr>
            <w:r w:rsidRPr="003E6FE0">
              <w:rPr>
                <w:rFonts w:hint="eastAsia"/>
                <w:sz w:val="15"/>
                <w:szCs w:val="15"/>
                <w:rtl/>
              </w:rPr>
              <w:t>הפסדים</w:t>
            </w:r>
            <w:r w:rsidRPr="003E6FE0">
              <w:rPr>
                <w:sz w:val="15"/>
                <w:szCs w:val="15"/>
                <w:rtl/>
              </w:rPr>
              <w:t xml:space="preserve"> </w:t>
            </w:r>
            <w:r w:rsidRPr="003E6FE0">
              <w:rPr>
                <w:rFonts w:hint="cs"/>
                <w:sz w:val="15"/>
                <w:szCs w:val="15"/>
                <w:rtl/>
              </w:rPr>
              <w:t>שטרם מומשו מהתאמות לשווי הוגן</w:t>
            </w:r>
          </w:p>
        </w:tc>
        <w:tc>
          <w:tcPr>
            <w:tcW w:w="156" w:type="pct"/>
            <w:vAlign w:val="bottom"/>
          </w:tcPr>
          <w:p w14:paraId="0FA86912" w14:textId="77777777" w:rsidR="003E6FE0" w:rsidRPr="003E6FE0" w:rsidRDefault="003E6FE0" w:rsidP="00CC575A">
            <w:pPr>
              <w:pStyle w:val="-4"/>
              <w:pBdr>
                <w:bottom w:val="single" w:sz="4" w:space="1" w:color="auto"/>
              </w:pBdr>
              <w:spacing w:line="160" w:lineRule="exact"/>
              <w:rPr>
                <w:sz w:val="15"/>
                <w:szCs w:val="15"/>
                <w:rtl/>
              </w:rPr>
            </w:pPr>
            <w:r w:rsidRPr="003E6FE0">
              <w:rPr>
                <w:rFonts w:hint="cs"/>
                <w:sz w:val="15"/>
                <w:szCs w:val="15"/>
                <w:rtl/>
              </w:rPr>
              <w:t xml:space="preserve">שווי </w:t>
            </w:r>
            <w:r w:rsidRPr="003E6FE0">
              <w:rPr>
                <w:rFonts w:hint="eastAsia"/>
                <w:sz w:val="15"/>
                <w:szCs w:val="15"/>
                <w:rtl/>
              </w:rPr>
              <w:t>הוגן</w:t>
            </w:r>
            <w:r w:rsidRPr="003E6FE0">
              <w:rPr>
                <w:sz w:val="15"/>
                <w:szCs w:val="15"/>
                <w:vertAlign w:val="superscript"/>
                <w:rtl/>
              </w:rPr>
              <w:t>(א)</w:t>
            </w:r>
          </w:p>
        </w:tc>
        <w:tc>
          <w:tcPr>
            <w:tcW w:w="39" w:type="pct"/>
            <w:tcMar>
              <w:left w:w="58" w:type="dxa"/>
              <w:right w:w="58" w:type="dxa"/>
            </w:tcMar>
            <w:vAlign w:val="bottom"/>
          </w:tcPr>
          <w:p w14:paraId="4AD38ACA" w14:textId="77777777" w:rsidR="003E6FE0" w:rsidRPr="003E6FE0" w:rsidRDefault="003E6FE0" w:rsidP="00CC575A">
            <w:pPr>
              <w:pStyle w:val="-4"/>
              <w:pBdr>
                <w:bottom w:val="none" w:sz="0" w:space="0" w:color="auto"/>
              </w:pBdr>
              <w:spacing w:line="160" w:lineRule="exact"/>
              <w:rPr>
                <w:sz w:val="15"/>
                <w:szCs w:val="15"/>
                <w:rtl/>
              </w:rPr>
            </w:pPr>
          </w:p>
        </w:tc>
        <w:tc>
          <w:tcPr>
            <w:tcW w:w="156" w:type="pct"/>
            <w:vAlign w:val="bottom"/>
          </w:tcPr>
          <w:p w14:paraId="30804A84" w14:textId="77777777" w:rsidR="003E6FE0" w:rsidRPr="003E6FE0" w:rsidRDefault="003E6FE0" w:rsidP="00CC575A">
            <w:pPr>
              <w:pStyle w:val="-4"/>
              <w:pBdr>
                <w:bottom w:val="single" w:sz="4" w:space="1" w:color="auto"/>
              </w:pBdr>
              <w:spacing w:line="160" w:lineRule="exact"/>
              <w:rPr>
                <w:sz w:val="15"/>
                <w:szCs w:val="15"/>
                <w:rtl/>
              </w:rPr>
            </w:pPr>
            <w:r w:rsidRPr="003E6FE0">
              <w:rPr>
                <w:rFonts w:hint="cs"/>
                <w:sz w:val="15"/>
                <w:szCs w:val="15"/>
                <w:rtl/>
              </w:rPr>
              <w:t xml:space="preserve">הערך </w:t>
            </w:r>
            <w:r w:rsidRPr="003E6FE0">
              <w:rPr>
                <w:rFonts w:hint="eastAsia"/>
                <w:sz w:val="15"/>
                <w:szCs w:val="15"/>
                <w:rtl/>
              </w:rPr>
              <w:t>במאזן</w:t>
            </w:r>
          </w:p>
        </w:tc>
        <w:tc>
          <w:tcPr>
            <w:tcW w:w="203" w:type="pct"/>
            <w:vAlign w:val="bottom"/>
          </w:tcPr>
          <w:p w14:paraId="44B76958" w14:textId="77777777" w:rsidR="003E6FE0" w:rsidRPr="003E6FE0" w:rsidRDefault="003E6FE0" w:rsidP="00CC575A">
            <w:pPr>
              <w:pStyle w:val="-4"/>
              <w:pBdr>
                <w:bottom w:val="single" w:sz="4" w:space="1" w:color="auto"/>
              </w:pBdr>
              <w:spacing w:line="160" w:lineRule="exact"/>
              <w:rPr>
                <w:sz w:val="15"/>
                <w:szCs w:val="15"/>
                <w:rtl/>
              </w:rPr>
            </w:pPr>
            <w:r w:rsidRPr="003E6FE0">
              <w:rPr>
                <w:rFonts w:hint="cs"/>
                <w:sz w:val="15"/>
                <w:szCs w:val="15"/>
                <w:rtl/>
              </w:rPr>
              <w:t xml:space="preserve">עלות מופחתת </w:t>
            </w:r>
          </w:p>
        </w:tc>
        <w:tc>
          <w:tcPr>
            <w:tcW w:w="236" w:type="pct"/>
          </w:tcPr>
          <w:p w14:paraId="44127255" w14:textId="77777777" w:rsidR="00361A81" w:rsidRPr="00361A81" w:rsidRDefault="00361A81" w:rsidP="00361A81">
            <w:pPr>
              <w:pStyle w:val="-4"/>
              <w:pBdr>
                <w:bottom w:val="single" w:sz="4" w:space="1" w:color="auto"/>
              </w:pBdr>
              <w:spacing w:line="160" w:lineRule="exact"/>
              <w:rPr>
                <w:sz w:val="15"/>
                <w:szCs w:val="15"/>
                <w:rtl/>
              </w:rPr>
            </w:pPr>
          </w:p>
          <w:p w14:paraId="29BE3700" w14:textId="12B90285" w:rsidR="003E6FE0" w:rsidRPr="003E6FE0" w:rsidRDefault="00361A81" w:rsidP="00361A81">
            <w:pPr>
              <w:pStyle w:val="-4"/>
              <w:pBdr>
                <w:bottom w:val="single" w:sz="4" w:space="1" w:color="auto"/>
              </w:pBdr>
              <w:spacing w:line="160" w:lineRule="exact"/>
              <w:rPr>
                <w:sz w:val="15"/>
                <w:szCs w:val="15"/>
                <w:rtl/>
              </w:rPr>
            </w:pPr>
            <w:r w:rsidRPr="00361A81">
              <w:rPr>
                <w:sz w:val="15"/>
                <w:szCs w:val="15"/>
                <w:rtl/>
              </w:rPr>
              <w:t>יתרת הפרשה להפסדי אשראי</w:t>
            </w:r>
          </w:p>
        </w:tc>
        <w:tc>
          <w:tcPr>
            <w:tcW w:w="236" w:type="pct"/>
            <w:vAlign w:val="bottom"/>
          </w:tcPr>
          <w:p w14:paraId="4B512212" w14:textId="1B5F153B" w:rsidR="003E6FE0" w:rsidRPr="003E6FE0" w:rsidRDefault="003E6FE0" w:rsidP="00CC575A">
            <w:pPr>
              <w:pStyle w:val="-4"/>
              <w:pBdr>
                <w:bottom w:val="single" w:sz="4" w:space="1" w:color="auto"/>
              </w:pBdr>
              <w:spacing w:line="160" w:lineRule="exact"/>
              <w:rPr>
                <w:sz w:val="15"/>
                <w:szCs w:val="15"/>
                <w:rtl/>
              </w:rPr>
            </w:pPr>
            <w:r w:rsidRPr="003E6FE0">
              <w:rPr>
                <w:rFonts w:hint="eastAsia"/>
                <w:sz w:val="15"/>
                <w:szCs w:val="15"/>
                <w:rtl/>
              </w:rPr>
              <w:t>רווחים</w:t>
            </w:r>
            <w:r w:rsidRPr="003E6FE0">
              <w:rPr>
                <w:rFonts w:hint="cs"/>
                <w:sz w:val="15"/>
                <w:szCs w:val="15"/>
                <w:rtl/>
              </w:rPr>
              <w:t xml:space="preserve"> שטרם מומשו מהתאמות לשווי הוגן</w:t>
            </w:r>
          </w:p>
        </w:tc>
        <w:tc>
          <w:tcPr>
            <w:tcW w:w="238" w:type="pct"/>
            <w:vAlign w:val="bottom"/>
          </w:tcPr>
          <w:p w14:paraId="0294E2DC" w14:textId="77777777" w:rsidR="003E6FE0" w:rsidRPr="003E6FE0" w:rsidRDefault="003E6FE0" w:rsidP="00CC575A">
            <w:pPr>
              <w:pStyle w:val="-4"/>
              <w:pBdr>
                <w:bottom w:val="single" w:sz="4" w:space="1" w:color="auto"/>
              </w:pBdr>
              <w:spacing w:line="160" w:lineRule="exact"/>
              <w:rPr>
                <w:sz w:val="15"/>
                <w:szCs w:val="15"/>
                <w:rtl/>
              </w:rPr>
            </w:pPr>
            <w:r w:rsidRPr="003E6FE0">
              <w:rPr>
                <w:rFonts w:hint="eastAsia"/>
                <w:sz w:val="15"/>
                <w:szCs w:val="15"/>
                <w:rtl/>
              </w:rPr>
              <w:t>הפסדים</w:t>
            </w:r>
            <w:r w:rsidRPr="003E6FE0">
              <w:rPr>
                <w:sz w:val="15"/>
                <w:szCs w:val="15"/>
                <w:rtl/>
              </w:rPr>
              <w:t xml:space="preserve"> </w:t>
            </w:r>
            <w:r w:rsidRPr="003E6FE0">
              <w:rPr>
                <w:rFonts w:hint="cs"/>
                <w:sz w:val="15"/>
                <w:szCs w:val="15"/>
                <w:rtl/>
              </w:rPr>
              <w:t>שטרם מומשו מהתאמות לשווי הוגן</w:t>
            </w:r>
          </w:p>
        </w:tc>
        <w:tc>
          <w:tcPr>
            <w:tcW w:w="156" w:type="pct"/>
            <w:vAlign w:val="bottom"/>
          </w:tcPr>
          <w:p w14:paraId="24CFCEFE" w14:textId="77777777" w:rsidR="003E6FE0" w:rsidRPr="003E6FE0" w:rsidRDefault="003E6FE0" w:rsidP="00CC575A">
            <w:pPr>
              <w:pStyle w:val="-4"/>
              <w:pBdr>
                <w:bottom w:val="single" w:sz="4" w:space="1" w:color="auto"/>
              </w:pBdr>
              <w:spacing w:line="160" w:lineRule="exact"/>
              <w:rPr>
                <w:sz w:val="15"/>
                <w:szCs w:val="15"/>
                <w:rtl/>
              </w:rPr>
            </w:pPr>
            <w:r w:rsidRPr="003E6FE0">
              <w:rPr>
                <w:rFonts w:hint="cs"/>
                <w:sz w:val="15"/>
                <w:szCs w:val="15"/>
                <w:rtl/>
              </w:rPr>
              <w:t xml:space="preserve">שווי </w:t>
            </w:r>
            <w:r w:rsidRPr="003E6FE0">
              <w:rPr>
                <w:rFonts w:hint="eastAsia"/>
                <w:sz w:val="15"/>
                <w:szCs w:val="15"/>
                <w:rtl/>
              </w:rPr>
              <w:t>הוגן</w:t>
            </w:r>
            <w:r w:rsidRPr="003E6FE0">
              <w:rPr>
                <w:sz w:val="15"/>
                <w:szCs w:val="15"/>
                <w:vertAlign w:val="superscript"/>
                <w:rtl/>
              </w:rPr>
              <w:t>(א)</w:t>
            </w:r>
          </w:p>
        </w:tc>
      </w:tr>
      <w:tr w:rsidR="00361A81" w:rsidRPr="00EE3141" w14:paraId="4C841DAC" w14:textId="77777777" w:rsidTr="00580C3A">
        <w:tc>
          <w:tcPr>
            <w:tcW w:w="364" w:type="pct"/>
          </w:tcPr>
          <w:p w14:paraId="0A01E0F9" w14:textId="77777777" w:rsidR="003E6FE0" w:rsidRDefault="003E6FE0" w:rsidP="00CC575A">
            <w:pPr>
              <w:pStyle w:val="-fa"/>
              <w:rPr>
                <w:rtl/>
              </w:rPr>
            </w:pPr>
            <w:r w:rsidRPr="00B44059">
              <w:rPr>
                <w:rFonts w:hint="eastAsia"/>
                <w:rtl/>
              </w:rPr>
              <w:t>ה</w:t>
            </w:r>
            <w:r w:rsidRPr="00B44059">
              <w:rPr>
                <w:rtl/>
              </w:rPr>
              <w:t xml:space="preserve">. </w:t>
            </w:r>
            <w:r w:rsidRPr="00B44059">
              <w:rPr>
                <w:rFonts w:hint="eastAsia"/>
                <w:rtl/>
              </w:rPr>
              <w:t>המפקח</w:t>
            </w:r>
            <w:r w:rsidRPr="00B44059">
              <w:rPr>
                <w:rtl/>
              </w:rPr>
              <w:t xml:space="preserve"> </w:t>
            </w:r>
            <w:r w:rsidRPr="00B44059">
              <w:rPr>
                <w:rFonts w:hint="eastAsia"/>
                <w:rtl/>
              </w:rPr>
              <w:t>ס</w:t>
            </w:r>
            <w:r w:rsidRPr="00B44059">
              <w:rPr>
                <w:rtl/>
              </w:rPr>
              <w:t>' 26(ג)</w:t>
            </w:r>
          </w:p>
        </w:tc>
        <w:tc>
          <w:tcPr>
            <w:tcW w:w="908" w:type="pct"/>
            <w:vAlign w:val="bottom"/>
          </w:tcPr>
          <w:p w14:paraId="44FD2CA3" w14:textId="77777777" w:rsidR="003E6FE0" w:rsidRPr="00F77006" w:rsidRDefault="003E6FE0" w:rsidP="004836CE">
            <w:pPr>
              <w:pStyle w:val="-0"/>
              <w:tabs>
                <w:tab w:val="left" w:pos="240"/>
                <w:tab w:val="left" w:pos="446"/>
              </w:tabs>
              <w:spacing w:line="240" w:lineRule="auto"/>
              <w:ind w:left="1" w:firstLine="0"/>
              <w:rPr>
                <w:sz w:val="18"/>
                <w:szCs w:val="18"/>
                <w:rtl/>
              </w:rPr>
            </w:pPr>
            <w:r w:rsidRPr="00F77006">
              <w:rPr>
                <w:b/>
                <w:bCs/>
                <w:sz w:val="18"/>
                <w:szCs w:val="18"/>
                <w:rtl/>
              </w:rPr>
              <w:t>2.</w:t>
            </w:r>
            <w:r w:rsidRPr="00F77006">
              <w:rPr>
                <w:rFonts w:hint="cs"/>
                <w:b/>
                <w:bCs/>
                <w:sz w:val="18"/>
                <w:szCs w:val="18"/>
                <w:rtl/>
              </w:rPr>
              <w:t xml:space="preserve"> </w:t>
            </w:r>
            <w:r w:rsidRPr="00F77006">
              <w:rPr>
                <w:rStyle w:val="-c"/>
                <w:rFonts w:hint="cs"/>
                <w:sz w:val="18"/>
                <w:szCs w:val="18"/>
                <w:rtl/>
              </w:rPr>
              <w:t>אגרות חוב זמינות</w:t>
            </w:r>
            <w:r w:rsidRPr="00F77006">
              <w:rPr>
                <w:rStyle w:val="-c"/>
                <w:sz w:val="18"/>
                <w:szCs w:val="18"/>
                <w:rtl/>
              </w:rPr>
              <w:t xml:space="preserve"> </w:t>
            </w:r>
            <w:r w:rsidRPr="00F77006">
              <w:rPr>
                <w:rStyle w:val="-c"/>
                <w:rFonts w:hint="eastAsia"/>
                <w:sz w:val="18"/>
                <w:szCs w:val="18"/>
                <w:rtl/>
              </w:rPr>
              <w:t>למכירה</w:t>
            </w:r>
            <w:r w:rsidRPr="00F77006">
              <w:rPr>
                <w:rStyle w:val="-c"/>
                <w:sz w:val="18"/>
                <w:szCs w:val="18"/>
                <w:rtl/>
              </w:rPr>
              <w:t>:</w:t>
            </w:r>
          </w:p>
        </w:tc>
        <w:tc>
          <w:tcPr>
            <w:tcW w:w="166" w:type="pct"/>
            <w:vAlign w:val="bottom"/>
          </w:tcPr>
          <w:p w14:paraId="3FA63EB5" w14:textId="77777777" w:rsidR="003E6FE0" w:rsidRDefault="003E6FE0" w:rsidP="00CC575A">
            <w:pPr>
              <w:pStyle w:val="-0"/>
              <w:tabs>
                <w:tab w:val="left" w:pos="446"/>
              </w:tabs>
              <w:spacing w:line="240" w:lineRule="auto"/>
              <w:rPr>
                <w:sz w:val="15"/>
                <w:szCs w:val="15"/>
                <w:rtl/>
              </w:rPr>
            </w:pPr>
          </w:p>
        </w:tc>
        <w:tc>
          <w:tcPr>
            <w:tcW w:w="206" w:type="pct"/>
            <w:vAlign w:val="bottom"/>
          </w:tcPr>
          <w:p w14:paraId="67C08942" w14:textId="77777777" w:rsidR="003E6FE0" w:rsidRDefault="003E6FE0" w:rsidP="00CC575A">
            <w:pPr>
              <w:pStyle w:val="-0"/>
              <w:tabs>
                <w:tab w:val="left" w:pos="446"/>
              </w:tabs>
              <w:spacing w:line="240" w:lineRule="auto"/>
              <w:rPr>
                <w:sz w:val="15"/>
                <w:szCs w:val="15"/>
                <w:rtl/>
              </w:rPr>
            </w:pPr>
          </w:p>
        </w:tc>
        <w:tc>
          <w:tcPr>
            <w:tcW w:w="214" w:type="pct"/>
            <w:shd w:val="clear" w:color="auto" w:fill="auto"/>
          </w:tcPr>
          <w:p w14:paraId="582ED455" w14:textId="77777777" w:rsidR="003E6FE0" w:rsidRDefault="003E6FE0" w:rsidP="00CC575A">
            <w:pPr>
              <w:pStyle w:val="-0"/>
              <w:tabs>
                <w:tab w:val="left" w:pos="446"/>
              </w:tabs>
              <w:spacing w:line="240" w:lineRule="auto"/>
              <w:rPr>
                <w:sz w:val="15"/>
                <w:szCs w:val="15"/>
                <w:rtl/>
              </w:rPr>
            </w:pPr>
          </w:p>
        </w:tc>
        <w:tc>
          <w:tcPr>
            <w:tcW w:w="233" w:type="pct"/>
            <w:vAlign w:val="bottom"/>
          </w:tcPr>
          <w:p w14:paraId="605E8B35" w14:textId="1B20E646" w:rsidR="003E6FE0" w:rsidRDefault="003E6FE0" w:rsidP="00CC575A">
            <w:pPr>
              <w:pStyle w:val="-0"/>
              <w:tabs>
                <w:tab w:val="left" w:pos="446"/>
              </w:tabs>
              <w:spacing w:line="240" w:lineRule="auto"/>
              <w:rPr>
                <w:sz w:val="15"/>
                <w:szCs w:val="15"/>
                <w:rtl/>
              </w:rPr>
            </w:pPr>
          </w:p>
        </w:tc>
        <w:tc>
          <w:tcPr>
            <w:tcW w:w="233" w:type="pct"/>
            <w:vAlign w:val="bottom"/>
          </w:tcPr>
          <w:p w14:paraId="260F4F1D" w14:textId="77777777" w:rsidR="003E6FE0" w:rsidRDefault="003E6FE0" w:rsidP="00CC575A">
            <w:pPr>
              <w:pStyle w:val="-0"/>
              <w:tabs>
                <w:tab w:val="left" w:pos="446"/>
              </w:tabs>
              <w:spacing w:line="240" w:lineRule="auto"/>
              <w:rPr>
                <w:sz w:val="15"/>
                <w:szCs w:val="15"/>
                <w:rtl/>
              </w:rPr>
            </w:pPr>
          </w:p>
        </w:tc>
        <w:tc>
          <w:tcPr>
            <w:tcW w:w="155" w:type="pct"/>
            <w:vAlign w:val="bottom"/>
          </w:tcPr>
          <w:p w14:paraId="345AE3BA" w14:textId="77777777" w:rsidR="003E6FE0" w:rsidRDefault="003E6FE0" w:rsidP="00CC575A">
            <w:pPr>
              <w:pStyle w:val="-0"/>
              <w:tabs>
                <w:tab w:val="left" w:pos="446"/>
              </w:tabs>
              <w:spacing w:line="240" w:lineRule="auto"/>
              <w:rPr>
                <w:sz w:val="15"/>
                <w:szCs w:val="15"/>
                <w:rtl/>
              </w:rPr>
            </w:pPr>
          </w:p>
        </w:tc>
        <w:tc>
          <w:tcPr>
            <w:tcW w:w="38" w:type="pct"/>
          </w:tcPr>
          <w:p w14:paraId="1DDF2865" w14:textId="77777777" w:rsidR="003E6FE0" w:rsidRDefault="003E6FE0" w:rsidP="00CC575A">
            <w:pPr>
              <w:pStyle w:val="-0"/>
              <w:spacing w:line="240" w:lineRule="auto"/>
              <w:rPr>
                <w:sz w:val="15"/>
                <w:szCs w:val="15"/>
                <w:rtl/>
              </w:rPr>
            </w:pPr>
          </w:p>
        </w:tc>
        <w:tc>
          <w:tcPr>
            <w:tcW w:w="156" w:type="pct"/>
          </w:tcPr>
          <w:p w14:paraId="151D6BA8" w14:textId="77777777" w:rsidR="003E6FE0" w:rsidRDefault="003E6FE0" w:rsidP="00CC575A">
            <w:pPr>
              <w:pStyle w:val="-3"/>
              <w:spacing w:line="240" w:lineRule="auto"/>
              <w:jc w:val="left"/>
              <w:rPr>
                <w:sz w:val="15"/>
                <w:szCs w:val="15"/>
                <w:rtl/>
              </w:rPr>
            </w:pPr>
          </w:p>
        </w:tc>
        <w:tc>
          <w:tcPr>
            <w:tcW w:w="211" w:type="pct"/>
          </w:tcPr>
          <w:p w14:paraId="24B7D204" w14:textId="77777777" w:rsidR="003E6FE0" w:rsidRDefault="003E6FE0" w:rsidP="00CC575A">
            <w:pPr>
              <w:pStyle w:val="-3"/>
              <w:spacing w:line="240" w:lineRule="auto"/>
              <w:jc w:val="left"/>
              <w:rPr>
                <w:sz w:val="15"/>
                <w:szCs w:val="15"/>
                <w:rtl/>
              </w:rPr>
            </w:pPr>
          </w:p>
        </w:tc>
        <w:tc>
          <w:tcPr>
            <w:tcW w:w="226" w:type="pct"/>
          </w:tcPr>
          <w:p w14:paraId="412BAFEC" w14:textId="77777777" w:rsidR="003E6FE0" w:rsidRDefault="003E6FE0" w:rsidP="00CC575A">
            <w:pPr>
              <w:pStyle w:val="-3"/>
              <w:spacing w:line="240" w:lineRule="auto"/>
              <w:jc w:val="left"/>
              <w:rPr>
                <w:sz w:val="15"/>
                <w:szCs w:val="15"/>
                <w:rtl/>
              </w:rPr>
            </w:pPr>
          </w:p>
        </w:tc>
        <w:tc>
          <w:tcPr>
            <w:tcW w:w="233" w:type="pct"/>
          </w:tcPr>
          <w:p w14:paraId="3B00AFF5" w14:textId="6CE5A65A" w:rsidR="003E6FE0" w:rsidRDefault="003E6FE0" w:rsidP="00CC575A">
            <w:pPr>
              <w:pStyle w:val="-3"/>
              <w:spacing w:line="240" w:lineRule="auto"/>
              <w:jc w:val="left"/>
              <w:rPr>
                <w:sz w:val="15"/>
                <w:szCs w:val="15"/>
                <w:rtl/>
              </w:rPr>
            </w:pPr>
          </w:p>
        </w:tc>
        <w:tc>
          <w:tcPr>
            <w:tcW w:w="236" w:type="pct"/>
          </w:tcPr>
          <w:p w14:paraId="246B0EF1" w14:textId="77777777" w:rsidR="003E6FE0" w:rsidRDefault="003E6FE0" w:rsidP="00CC575A">
            <w:pPr>
              <w:pStyle w:val="-3"/>
              <w:spacing w:line="240" w:lineRule="auto"/>
              <w:jc w:val="left"/>
              <w:rPr>
                <w:sz w:val="15"/>
                <w:szCs w:val="15"/>
                <w:rtl/>
              </w:rPr>
            </w:pPr>
          </w:p>
        </w:tc>
        <w:tc>
          <w:tcPr>
            <w:tcW w:w="156" w:type="pct"/>
          </w:tcPr>
          <w:p w14:paraId="3A28EB39" w14:textId="77777777" w:rsidR="003E6FE0" w:rsidRDefault="003E6FE0" w:rsidP="00CC575A">
            <w:pPr>
              <w:pStyle w:val="-3"/>
              <w:spacing w:line="240" w:lineRule="auto"/>
              <w:jc w:val="left"/>
              <w:rPr>
                <w:sz w:val="15"/>
                <w:szCs w:val="15"/>
                <w:rtl/>
              </w:rPr>
            </w:pPr>
          </w:p>
        </w:tc>
        <w:tc>
          <w:tcPr>
            <w:tcW w:w="39" w:type="pct"/>
            <w:tcMar>
              <w:left w:w="58" w:type="dxa"/>
              <w:right w:w="58" w:type="dxa"/>
            </w:tcMar>
            <w:vAlign w:val="bottom"/>
          </w:tcPr>
          <w:p w14:paraId="4ED4C1F9" w14:textId="77777777" w:rsidR="003E6FE0" w:rsidRDefault="003E6FE0" w:rsidP="00CC575A">
            <w:pPr>
              <w:pStyle w:val="-7"/>
              <w:spacing w:line="240" w:lineRule="auto"/>
              <w:rPr>
                <w:sz w:val="15"/>
                <w:szCs w:val="15"/>
                <w:rtl/>
              </w:rPr>
            </w:pPr>
          </w:p>
        </w:tc>
        <w:tc>
          <w:tcPr>
            <w:tcW w:w="156" w:type="pct"/>
          </w:tcPr>
          <w:p w14:paraId="5322463F" w14:textId="77777777" w:rsidR="003E6FE0" w:rsidRDefault="003E6FE0" w:rsidP="00CC575A">
            <w:pPr>
              <w:pStyle w:val="-3"/>
              <w:spacing w:line="240" w:lineRule="auto"/>
              <w:jc w:val="left"/>
              <w:rPr>
                <w:sz w:val="15"/>
                <w:szCs w:val="15"/>
                <w:rtl/>
              </w:rPr>
            </w:pPr>
          </w:p>
        </w:tc>
        <w:tc>
          <w:tcPr>
            <w:tcW w:w="203" w:type="pct"/>
          </w:tcPr>
          <w:p w14:paraId="64EDC217" w14:textId="77777777" w:rsidR="003E6FE0" w:rsidRDefault="003E6FE0" w:rsidP="00CC575A">
            <w:pPr>
              <w:pStyle w:val="-3"/>
              <w:spacing w:line="240" w:lineRule="auto"/>
              <w:jc w:val="left"/>
              <w:rPr>
                <w:sz w:val="15"/>
                <w:szCs w:val="15"/>
                <w:rtl/>
              </w:rPr>
            </w:pPr>
          </w:p>
        </w:tc>
        <w:tc>
          <w:tcPr>
            <w:tcW w:w="236" w:type="pct"/>
          </w:tcPr>
          <w:p w14:paraId="131C43A3" w14:textId="77777777" w:rsidR="003E6FE0" w:rsidRDefault="003E6FE0" w:rsidP="00CC575A">
            <w:pPr>
              <w:pStyle w:val="-3"/>
              <w:spacing w:line="240" w:lineRule="auto"/>
              <w:jc w:val="left"/>
              <w:rPr>
                <w:sz w:val="15"/>
                <w:szCs w:val="15"/>
                <w:rtl/>
              </w:rPr>
            </w:pPr>
          </w:p>
        </w:tc>
        <w:tc>
          <w:tcPr>
            <w:tcW w:w="236" w:type="pct"/>
          </w:tcPr>
          <w:p w14:paraId="103BD914" w14:textId="0150C82E" w:rsidR="003E6FE0" w:rsidRDefault="003E6FE0" w:rsidP="00CC575A">
            <w:pPr>
              <w:pStyle w:val="-3"/>
              <w:spacing w:line="240" w:lineRule="auto"/>
              <w:jc w:val="left"/>
              <w:rPr>
                <w:sz w:val="15"/>
                <w:szCs w:val="15"/>
                <w:rtl/>
              </w:rPr>
            </w:pPr>
          </w:p>
        </w:tc>
        <w:tc>
          <w:tcPr>
            <w:tcW w:w="238" w:type="pct"/>
          </w:tcPr>
          <w:p w14:paraId="63039D3E" w14:textId="77777777" w:rsidR="003E6FE0" w:rsidRDefault="003E6FE0" w:rsidP="00CC575A">
            <w:pPr>
              <w:pStyle w:val="-3"/>
              <w:spacing w:line="240" w:lineRule="auto"/>
              <w:jc w:val="left"/>
              <w:rPr>
                <w:sz w:val="15"/>
                <w:szCs w:val="15"/>
                <w:rtl/>
              </w:rPr>
            </w:pPr>
          </w:p>
        </w:tc>
        <w:tc>
          <w:tcPr>
            <w:tcW w:w="156" w:type="pct"/>
          </w:tcPr>
          <w:p w14:paraId="1CB45095" w14:textId="77777777" w:rsidR="003E6FE0" w:rsidRDefault="003E6FE0" w:rsidP="00CC575A">
            <w:pPr>
              <w:pStyle w:val="-3"/>
              <w:spacing w:line="240" w:lineRule="auto"/>
              <w:jc w:val="left"/>
              <w:rPr>
                <w:sz w:val="15"/>
                <w:szCs w:val="15"/>
                <w:rtl/>
              </w:rPr>
            </w:pPr>
          </w:p>
        </w:tc>
      </w:tr>
      <w:tr w:rsidR="00361A81" w:rsidRPr="00EE3141" w14:paraId="7A076445" w14:textId="77777777" w:rsidTr="00580C3A">
        <w:trPr>
          <w:trHeight w:val="227"/>
        </w:trPr>
        <w:tc>
          <w:tcPr>
            <w:tcW w:w="364" w:type="pct"/>
          </w:tcPr>
          <w:p w14:paraId="03733C82" w14:textId="77777777" w:rsidR="00361A81" w:rsidRPr="00EE3141" w:rsidRDefault="00361A81" w:rsidP="00361A81">
            <w:pPr>
              <w:pStyle w:val="-7"/>
              <w:rPr>
                <w:sz w:val="15"/>
                <w:szCs w:val="15"/>
                <w:rtl/>
              </w:rPr>
            </w:pPr>
          </w:p>
        </w:tc>
        <w:tc>
          <w:tcPr>
            <w:tcW w:w="908" w:type="pct"/>
            <w:vAlign w:val="bottom"/>
          </w:tcPr>
          <w:p w14:paraId="4B192A0D" w14:textId="01246176" w:rsidR="00361A81" w:rsidRPr="00F77006" w:rsidRDefault="00361A81" w:rsidP="004836CE">
            <w:pPr>
              <w:pStyle w:val="-0"/>
              <w:spacing w:after="20" w:line="240" w:lineRule="auto"/>
              <w:ind w:left="324" w:hanging="132"/>
              <w:rPr>
                <w:sz w:val="18"/>
                <w:szCs w:val="18"/>
              </w:rPr>
            </w:pPr>
            <w:r w:rsidRPr="00F77006">
              <w:rPr>
                <w:sz w:val="18"/>
                <w:szCs w:val="18"/>
                <w:rtl/>
              </w:rPr>
              <w:t>של ממשלת ישראל</w:t>
            </w:r>
          </w:p>
        </w:tc>
        <w:tc>
          <w:tcPr>
            <w:tcW w:w="166" w:type="pct"/>
            <w:vAlign w:val="bottom"/>
          </w:tcPr>
          <w:p w14:paraId="1F6F1635" w14:textId="77777777" w:rsidR="00361A81" w:rsidRPr="00396232" w:rsidRDefault="00361A81" w:rsidP="00361A81">
            <w:pPr>
              <w:pStyle w:val="-3"/>
              <w:rPr>
                <w:sz w:val="16"/>
                <w:szCs w:val="16"/>
                <w:rtl/>
              </w:rPr>
            </w:pPr>
            <w:r w:rsidRPr="00B44059">
              <w:rPr>
                <w:sz w:val="16"/>
                <w:szCs w:val="16"/>
                <w:rtl/>
              </w:rPr>
              <w:t xml:space="preserve"> 0</w:t>
            </w:r>
          </w:p>
        </w:tc>
        <w:tc>
          <w:tcPr>
            <w:tcW w:w="206" w:type="pct"/>
            <w:vAlign w:val="bottom"/>
          </w:tcPr>
          <w:p w14:paraId="03B3AECC" w14:textId="77777777" w:rsidR="00361A81" w:rsidRPr="00396232" w:rsidRDefault="00361A81" w:rsidP="00361A81">
            <w:pPr>
              <w:pStyle w:val="-3"/>
              <w:rPr>
                <w:sz w:val="16"/>
                <w:szCs w:val="16"/>
                <w:rtl/>
              </w:rPr>
            </w:pPr>
            <w:r w:rsidRPr="00B44059">
              <w:rPr>
                <w:sz w:val="16"/>
                <w:szCs w:val="16"/>
                <w:rtl/>
              </w:rPr>
              <w:t xml:space="preserve"> 0</w:t>
            </w:r>
          </w:p>
        </w:tc>
        <w:tc>
          <w:tcPr>
            <w:tcW w:w="214" w:type="pct"/>
            <w:vAlign w:val="bottom"/>
          </w:tcPr>
          <w:p w14:paraId="3F3C05C3" w14:textId="04D08CE6" w:rsidR="00361A81" w:rsidRPr="00B44059" w:rsidRDefault="00361A81" w:rsidP="00361A81">
            <w:pPr>
              <w:pStyle w:val="-3"/>
              <w:rPr>
                <w:sz w:val="16"/>
                <w:szCs w:val="16"/>
                <w:rtl/>
              </w:rPr>
            </w:pPr>
            <w:r w:rsidRPr="00555E32">
              <w:rPr>
                <w:sz w:val="16"/>
                <w:szCs w:val="16"/>
                <w:rtl/>
              </w:rPr>
              <w:t xml:space="preserve"> 0</w:t>
            </w:r>
          </w:p>
        </w:tc>
        <w:tc>
          <w:tcPr>
            <w:tcW w:w="233" w:type="pct"/>
            <w:vAlign w:val="bottom"/>
          </w:tcPr>
          <w:p w14:paraId="1F457CC9" w14:textId="1794B6F8" w:rsidR="00361A81" w:rsidRPr="00396232" w:rsidRDefault="00361A81" w:rsidP="00361A81">
            <w:pPr>
              <w:pStyle w:val="-3"/>
              <w:rPr>
                <w:sz w:val="16"/>
                <w:szCs w:val="16"/>
                <w:rtl/>
              </w:rPr>
            </w:pPr>
            <w:r w:rsidRPr="00B44059">
              <w:rPr>
                <w:sz w:val="16"/>
                <w:szCs w:val="16"/>
                <w:rtl/>
              </w:rPr>
              <w:t xml:space="preserve"> 0</w:t>
            </w:r>
          </w:p>
        </w:tc>
        <w:tc>
          <w:tcPr>
            <w:tcW w:w="233" w:type="pct"/>
            <w:vAlign w:val="bottom"/>
          </w:tcPr>
          <w:p w14:paraId="47D0F918" w14:textId="77777777" w:rsidR="00361A81" w:rsidRPr="00396232" w:rsidRDefault="00361A81" w:rsidP="00361A81">
            <w:pPr>
              <w:pStyle w:val="-3"/>
              <w:rPr>
                <w:sz w:val="16"/>
                <w:szCs w:val="16"/>
                <w:rtl/>
              </w:rPr>
            </w:pPr>
            <w:r w:rsidRPr="00B44059">
              <w:rPr>
                <w:sz w:val="16"/>
                <w:szCs w:val="16"/>
                <w:rtl/>
              </w:rPr>
              <w:t xml:space="preserve"> 0</w:t>
            </w:r>
          </w:p>
        </w:tc>
        <w:tc>
          <w:tcPr>
            <w:tcW w:w="155" w:type="pct"/>
            <w:vAlign w:val="bottom"/>
          </w:tcPr>
          <w:p w14:paraId="36F0F1E6" w14:textId="77777777" w:rsidR="00361A81" w:rsidRPr="00396232" w:rsidRDefault="00361A81" w:rsidP="00361A81">
            <w:pPr>
              <w:pStyle w:val="-3"/>
              <w:rPr>
                <w:sz w:val="16"/>
                <w:szCs w:val="16"/>
                <w:rtl/>
              </w:rPr>
            </w:pPr>
            <w:r w:rsidRPr="00B44059">
              <w:rPr>
                <w:sz w:val="16"/>
                <w:szCs w:val="16"/>
                <w:rtl/>
              </w:rPr>
              <w:t xml:space="preserve"> 0</w:t>
            </w:r>
          </w:p>
        </w:tc>
        <w:tc>
          <w:tcPr>
            <w:tcW w:w="38" w:type="pct"/>
          </w:tcPr>
          <w:p w14:paraId="547CD8C6" w14:textId="77777777" w:rsidR="00361A81" w:rsidRPr="00396232" w:rsidRDefault="00361A81" w:rsidP="00361A81">
            <w:pPr>
              <w:pStyle w:val="-0"/>
              <w:rPr>
                <w:sz w:val="16"/>
                <w:szCs w:val="16"/>
                <w:rtl/>
              </w:rPr>
            </w:pPr>
          </w:p>
        </w:tc>
        <w:tc>
          <w:tcPr>
            <w:tcW w:w="156" w:type="pct"/>
            <w:vAlign w:val="bottom"/>
          </w:tcPr>
          <w:p w14:paraId="54950410" w14:textId="77777777" w:rsidR="00361A81" w:rsidRPr="00396232" w:rsidRDefault="00361A81" w:rsidP="00361A81">
            <w:pPr>
              <w:pStyle w:val="-3"/>
              <w:rPr>
                <w:sz w:val="16"/>
                <w:szCs w:val="16"/>
                <w:rtl/>
              </w:rPr>
            </w:pPr>
            <w:r w:rsidRPr="00B44059">
              <w:rPr>
                <w:sz w:val="16"/>
                <w:szCs w:val="16"/>
                <w:rtl/>
              </w:rPr>
              <w:t xml:space="preserve"> 0</w:t>
            </w:r>
          </w:p>
        </w:tc>
        <w:tc>
          <w:tcPr>
            <w:tcW w:w="211" w:type="pct"/>
            <w:vAlign w:val="bottom"/>
          </w:tcPr>
          <w:p w14:paraId="73C9B55F" w14:textId="77777777" w:rsidR="00361A81" w:rsidRPr="00396232" w:rsidRDefault="00361A81" w:rsidP="00361A81">
            <w:pPr>
              <w:pStyle w:val="-3"/>
              <w:rPr>
                <w:sz w:val="16"/>
                <w:szCs w:val="16"/>
                <w:rtl/>
              </w:rPr>
            </w:pPr>
            <w:r w:rsidRPr="00B44059">
              <w:rPr>
                <w:sz w:val="16"/>
                <w:szCs w:val="16"/>
                <w:rtl/>
              </w:rPr>
              <w:t xml:space="preserve"> 0</w:t>
            </w:r>
          </w:p>
        </w:tc>
        <w:tc>
          <w:tcPr>
            <w:tcW w:w="226" w:type="pct"/>
            <w:vAlign w:val="bottom"/>
          </w:tcPr>
          <w:p w14:paraId="229AA0B2" w14:textId="73700C6A" w:rsidR="00361A81" w:rsidRPr="00B44059" w:rsidRDefault="00361A81" w:rsidP="00361A81">
            <w:pPr>
              <w:pStyle w:val="-3"/>
              <w:rPr>
                <w:sz w:val="16"/>
                <w:szCs w:val="16"/>
                <w:rtl/>
              </w:rPr>
            </w:pPr>
            <w:r w:rsidRPr="002236DD">
              <w:rPr>
                <w:sz w:val="16"/>
                <w:szCs w:val="16"/>
                <w:rtl/>
              </w:rPr>
              <w:t xml:space="preserve"> 0</w:t>
            </w:r>
          </w:p>
        </w:tc>
        <w:tc>
          <w:tcPr>
            <w:tcW w:w="233" w:type="pct"/>
            <w:vAlign w:val="bottom"/>
          </w:tcPr>
          <w:p w14:paraId="1C3FFC5E" w14:textId="4408D9DC" w:rsidR="00361A81" w:rsidRPr="00396232" w:rsidRDefault="00361A81" w:rsidP="00361A81">
            <w:pPr>
              <w:pStyle w:val="-3"/>
              <w:rPr>
                <w:sz w:val="16"/>
                <w:szCs w:val="16"/>
                <w:rtl/>
              </w:rPr>
            </w:pPr>
            <w:r w:rsidRPr="00B44059">
              <w:rPr>
                <w:sz w:val="16"/>
                <w:szCs w:val="16"/>
                <w:rtl/>
              </w:rPr>
              <w:t xml:space="preserve"> 0</w:t>
            </w:r>
          </w:p>
        </w:tc>
        <w:tc>
          <w:tcPr>
            <w:tcW w:w="236" w:type="pct"/>
            <w:vAlign w:val="bottom"/>
          </w:tcPr>
          <w:p w14:paraId="5DC1698E" w14:textId="77777777" w:rsidR="00361A81" w:rsidRPr="00396232" w:rsidRDefault="00361A81" w:rsidP="00361A81">
            <w:pPr>
              <w:pStyle w:val="-3"/>
              <w:rPr>
                <w:sz w:val="16"/>
                <w:szCs w:val="16"/>
                <w:rtl/>
              </w:rPr>
            </w:pPr>
            <w:r w:rsidRPr="00B44059">
              <w:rPr>
                <w:sz w:val="16"/>
                <w:szCs w:val="16"/>
                <w:rtl/>
              </w:rPr>
              <w:t xml:space="preserve"> 0</w:t>
            </w:r>
          </w:p>
        </w:tc>
        <w:tc>
          <w:tcPr>
            <w:tcW w:w="156" w:type="pct"/>
            <w:vAlign w:val="bottom"/>
          </w:tcPr>
          <w:p w14:paraId="5FFB4A65" w14:textId="77777777" w:rsidR="00361A81" w:rsidRPr="00396232" w:rsidRDefault="00361A81" w:rsidP="00361A81">
            <w:pPr>
              <w:pStyle w:val="-3"/>
              <w:rPr>
                <w:sz w:val="16"/>
                <w:szCs w:val="16"/>
                <w:rtl/>
              </w:rPr>
            </w:pPr>
            <w:r w:rsidRPr="00B44059">
              <w:rPr>
                <w:sz w:val="16"/>
                <w:szCs w:val="16"/>
                <w:rtl/>
              </w:rPr>
              <w:t xml:space="preserve"> 0</w:t>
            </w:r>
          </w:p>
        </w:tc>
        <w:tc>
          <w:tcPr>
            <w:tcW w:w="39" w:type="pct"/>
            <w:tcMar>
              <w:left w:w="58" w:type="dxa"/>
              <w:right w:w="58" w:type="dxa"/>
            </w:tcMar>
            <w:vAlign w:val="bottom"/>
          </w:tcPr>
          <w:p w14:paraId="4661EE6A" w14:textId="77777777" w:rsidR="00361A81" w:rsidRPr="00396232" w:rsidRDefault="00361A81" w:rsidP="00361A81">
            <w:pPr>
              <w:pStyle w:val="-7"/>
              <w:rPr>
                <w:sz w:val="16"/>
                <w:szCs w:val="16"/>
                <w:rtl/>
              </w:rPr>
            </w:pPr>
          </w:p>
        </w:tc>
        <w:tc>
          <w:tcPr>
            <w:tcW w:w="156" w:type="pct"/>
            <w:vAlign w:val="bottom"/>
          </w:tcPr>
          <w:p w14:paraId="36043DA9" w14:textId="77777777" w:rsidR="00361A81" w:rsidRPr="00396232" w:rsidRDefault="00361A81" w:rsidP="00361A81">
            <w:pPr>
              <w:pStyle w:val="-3"/>
              <w:rPr>
                <w:sz w:val="16"/>
                <w:szCs w:val="16"/>
                <w:rtl/>
              </w:rPr>
            </w:pPr>
            <w:r w:rsidRPr="00B44059">
              <w:rPr>
                <w:sz w:val="16"/>
                <w:szCs w:val="16"/>
                <w:rtl/>
              </w:rPr>
              <w:t xml:space="preserve"> 0</w:t>
            </w:r>
          </w:p>
        </w:tc>
        <w:tc>
          <w:tcPr>
            <w:tcW w:w="203" w:type="pct"/>
            <w:vAlign w:val="bottom"/>
          </w:tcPr>
          <w:p w14:paraId="5BBE5E79" w14:textId="77777777" w:rsidR="00361A81" w:rsidRPr="00396232" w:rsidRDefault="00361A81" w:rsidP="00361A81">
            <w:pPr>
              <w:pStyle w:val="-3"/>
              <w:rPr>
                <w:sz w:val="16"/>
                <w:szCs w:val="16"/>
                <w:rtl/>
              </w:rPr>
            </w:pPr>
            <w:r w:rsidRPr="00B44059">
              <w:rPr>
                <w:sz w:val="16"/>
                <w:szCs w:val="16"/>
                <w:rtl/>
              </w:rPr>
              <w:t xml:space="preserve"> 0</w:t>
            </w:r>
          </w:p>
        </w:tc>
        <w:tc>
          <w:tcPr>
            <w:tcW w:w="236" w:type="pct"/>
            <w:vAlign w:val="bottom"/>
          </w:tcPr>
          <w:p w14:paraId="56DD7508" w14:textId="20D23009" w:rsidR="00361A81" w:rsidRPr="00B44059" w:rsidRDefault="00361A81" w:rsidP="00361A81">
            <w:pPr>
              <w:pStyle w:val="-3"/>
              <w:rPr>
                <w:sz w:val="16"/>
                <w:szCs w:val="16"/>
                <w:rtl/>
              </w:rPr>
            </w:pPr>
            <w:r w:rsidRPr="002236DD">
              <w:rPr>
                <w:sz w:val="16"/>
                <w:szCs w:val="16"/>
                <w:rtl/>
              </w:rPr>
              <w:t xml:space="preserve"> 0</w:t>
            </w:r>
          </w:p>
        </w:tc>
        <w:tc>
          <w:tcPr>
            <w:tcW w:w="236" w:type="pct"/>
            <w:vAlign w:val="bottom"/>
          </w:tcPr>
          <w:p w14:paraId="313B3F3E" w14:textId="3E5B7D29" w:rsidR="00361A81" w:rsidRPr="00396232" w:rsidRDefault="00361A81" w:rsidP="00361A81">
            <w:pPr>
              <w:pStyle w:val="-3"/>
              <w:rPr>
                <w:sz w:val="16"/>
                <w:szCs w:val="16"/>
                <w:rtl/>
              </w:rPr>
            </w:pPr>
            <w:r w:rsidRPr="00B44059">
              <w:rPr>
                <w:sz w:val="16"/>
                <w:szCs w:val="16"/>
                <w:rtl/>
              </w:rPr>
              <w:t xml:space="preserve"> 0</w:t>
            </w:r>
          </w:p>
        </w:tc>
        <w:tc>
          <w:tcPr>
            <w:tcW w:w="238" w:type="pct"/>
            <w:vAlign w:val="bottom"/>
          </w:tcPr>
          <w:p w14:paraId="48F60DF5" w14:textId="77777777" w:rsidR="00361A81" w:rsidRPr="00396232" w:rsidRDefault="00361A81" w:rsidP="00361A81">
            <w:pPr>
              <w:pStyle w:val="-3"/>
              <w:rPr>
                <w:sz w:val="16"/>
                <w:szCs w:val="16"/>
                <w:rtl/>
              </w:rPr>
            </w:pPr>
            <w:r w:rsidRPr="00B44059">
              <w:rPr>
                <w:sz w:val="16"/>
                <w:szCs w:val="16"/>
                <w:rtl/>
              </w:rPr>
              <w:t xml:space="preserve"> 0</w:t>
            </w:r>
          </w:p>
        </w:tc>
        <w:tc>
          <w:tcPr>
            <w:tcW w:w="156" w:type="pct"/>
            <w:vAlign w:val="bottom"/>
          </w:tcPr>
          <w:p w14:paraId="22824114" w14:textId="77777777" w:rsidR="00361A81" w:rsidRPr="00396232" w:rsidRDefault="00361A81" w:rsidP="00361A81">
            <w:pPr>
              <w:pStyle w:val="-3"/>
              <w:rPr>
                <w:sz w:val="16"/>
                <w:szCs w:val="16"/>
                <w:rtl/>
              </w:rPr>
            </w:pPr>
            <w:r w:rsidRPr="00B44059">
              <w:rPr>
                <w:sz w:val="16"/>
                <w:szCs w:val="16"/>
                <w:rtl/>
              </w:rPr>
              <w:t xml:space="preserve"> 0</w:t>
            </w:r>
          </w:p>
        </w:tc>
      </w:tr>
      <w:tr w:rsidR="00361A81" w:rsidRPr="00EE3141" w14:paraId="628DBB70" w14:textId="77777777" w:rsidTr="00580C3A">
        <w:trPr>
          <w:trHeight w:val="227"/>
        </w:trPr>
        <w:tc>
          <w:tcPr>
            <w:tcW w:w="364" w:type="pct"/>
          </w:tcPr>
          <w:p w14:paraId="089E9A44" w14:textId="77777777" w:rsidR="00361A81" w:rsidRPr="00EE3141" w:rsidRDefault="00361A81" w:rsidP="00361A81">
            <w:pPr>
              <w:pStyle w:val="-7"/>
              <w:rPr>
                <w:sz w:val="15"/>
                <w:szCs w:val="15"/>
                <w:rtl/>
              </w:rPr>
            </w:pPr>
          </w:p>
        </w:tc>
        <w:tc>
          <w:tcPr>
            <w:tcW w:w="908" w:type="pct"/>
            <w:vAlign w:val="bottom"/>
          </w:tcPr>
          <w:p w14:paraId="17E611DF" w14:textId="77777777" w:rsidR="00361A81" w:rsidRPr="00F77006" w:rsidRDefault="00361A81" w:rsidP="004836CE">
            <w:pPr>
              <w:pStyle w:val="-0"/>
              <w:spacing w:after="20" w:line="240" w:lineRule="auto"/>
              <w:ind w:left="324" w:hanging="132"/>
              <w:rPr>
                <w:sz w:val="18"/>
                <w:szCs w:val="18"/>
              </w:rPr>
            </w:pPr>
            <w:r w:rsidRPr="00F77006">
              <w:rPr>
                <w:rFonts w:hint="eastAsia"/>
                <w:sz w:val="18"/>
                <w:szCs w:val="18"/>
                <w:rtl/>
              </w:rPr>
              <w:t>של</w:t>
            </w:r>
            <w:r w:rsidRPr="00F77006">
              <w:rPr>
                <w:sz w:val="18"/>
                <w:szCs w:val="18"/>
                <w:rtl/>
              </w:rPr>
              <w:t xml:space="preserve"> </w:t>
            </w:r>
            <w:r w:rsidRPr="00F77006">
              <w:rPr>
                <w:rFonts w:hint="eastAsia"/>
                <w:sz w:val="18"/>
                <w:szCs w:val="18"/>
                <w:rtl/>
              </w:rPr>
              <w:t>ממשלות</w:t>
            </w:r>
            <w:r w:rsidRPr="00F77006">
              <w:rPr>
                <w:sz w:val="18"/>
                <w:szCs w:val="18"/>
                <w:rtl/>
              </w:rPr>
              <w:t xml:space="preserve"> </w:t>
            </w:r>
            <w:r w:rsidRPr="00F77006">
              <w:rPr>
                <w:rFonts w:hint="eastAsia"/>
                <w:sz w:val="18"/>
                <w:szCs w:val="18"/>
                <w:rtl/>
              </w:rPr>
              <w:t>זרות</w:t>
            </w:r>
          </w:p>
        </w:tc>
        <w:tc>
          <w:tcPr>
            <w:tcW w:w="166" w:type="pct"/>
            <w:vAlign w:val="bottom"/>
          </w:tcPr>
          <w:p w14:paraId="70485DEB" w14:textId="77777777" w:rsidR="00361A81" w:rsidRPr="00396232" w:rsidRDefault="00361A81" w:rsidP="00361A81">
            <w:pPr>
              <w:pStyle w:val="-3"/>
              <w:rPr>
                <w:sz w:val="16"/>
                <w:szCs w:val="16"/>
                <w:rtl/>
              </w:rPr>
            </w:pPr>
            <w:r w:rsidRPr="00B44059">
              <w:rPr>
                <w:sz w:val="16"/>
                <w:szCs w:val="16"/>
                <w:rtl/>
              </w:rPr>
              <w:t xml:space="preserve"> 0</w:t>
            </w:r>
          </w:p>
        </w:tc>
        <w:tc>
          <w:tcPr>
            <w:tcW w:w="206" w:type="pct"/>
            <w:vAlign w:val="bottom"/>
          </w:tcPr>
          <w:p w14:paraId="2347EC45" w14:textId="77777777" w:rsidR="00361A81" w:rsidRPr="00396232" w:rsidRDefault="00361A81" w:rsidP="00361A81">
            <w:pPr>
              <w:pStyle w:val="-3"/>
              <w:rPr>
                <w:sz w:val="16"/>
                <w:szCs w:val="16"/>
                <w:rtl/>
              </w:rPr>
            </w:pPr>
            <w:r w:rsidRPr="00B44059">
              <w:rPr>
                <w:sz w:val="16"/>
                <w:szCs w:val="16"/>
                <w:rtl/>
              </w:rPr>
              <w:t xml:space="preserve"> 0</w:t>
            </w:r>
          </w:p>
        </w:tc>
        <w:tc>
          <w:tcPr>
            <w:tcW w:w="214" w:type="pct"/>
            <w:vAlign w:val="bottom"/>
          </w:tcPr>
          <w:p w14:paraId="65FE1DA3" w14:textId="4FBA0455" w:rsidR="00361A81" w:rsidRPr="00B44059" w:rsidRDefault="00361A81" w:rsidP="00361A81">
            <w:pPr>
              <w:pStyle w:val="-3"/>
              <w:rPr>
                <w:sz w:val="16"/>
                <w:szCs w:val="16"/>
                <w:rtl/>
              </w:rPr>
            </w:pPr>
            <w:r w:rsidRPr="00555E32">
              <w:rPr>
                <w:sz w:val="16"/>
                <w:szCs w:val="16"/>
                <w:rtl/>
              </w:rPr>
              <w:t xml:space="preserve"> 0</w:t>
            </w:r>
          </w:p>
        </w:tc>
        <w:tc>
          <w:tcPr>
            <w:tcW w:w="233" w:type="pct"/>
            <w:vAlign w:val="bottom"/>
          </w:tcPr>
          <w:p w14:paraId="193FDC20" w14:textId="7CB5D01F" w:rsidR="00361A81" w:rsidRPr="00396232" w:rsidRDefault="00361A81" w:rsidP="00361A81">
            <w:pPr>
              <w:pStyle w:val="-3"/>
              <w:rPr>
                <w:sz w:val="16"/>
                <w:szCs w:val="16"/>
                <w:rtl/>
              </w:rPr>
            </w:pPr>
            <w:r w:rsidRPr="00B44059">
              <w:rPr>
                <w:sz w:val="16"/>
                <w:szCs w:val="16"/>
                <w:rtl/>
              </w:rPr>
              <w:t xml:space="preserve"> 0</w:t>
            </w:r>
          </w:p>
        </w:tc>
        <w:tc>
          <w:tcPr>
            <w:tcW w:w="233" w:type="pct"/>
            <w:vAlign w:val="bottom"/>
          </w:tcPr>
          <w:p w14:paraId="41EC6EEC" w14:textId="77777777" w:rsidR="00361A81" w:rsidRPr="00396232" w:rsidRDefault="00361A81" w:rsidP="00361A81">
            <w:pPr>
              <w:pStyle w:val="-3"/>
              <w:rPr>
                <w:sz w:val="16"/>
                <w:szCs w:val="16"/>
                <w:rtl/>
              </w:rPr>
            </w:pPr>
            <w:r w:rsidRPr="00B44059">
              <w:rPr>
                <w:sz w:val="16"/>
                <w:szCs w:val="16"/>
                <w:rtl/>
              </w:rPr>
              <w:t xml:space="preserve"> 0</w:t>
            </w:r>
          </w:p>
        </w:tc>
        <w:tc>
          <w:tcPr>
            <w:tcW w:w="155" w:type="pct"/>
            <w:vAlign w:val="bottom"/>
          </w:tcPr>
          <w:p w14:paraId="26682F86" w14:textId="77777777" w:rsidR="00361A81" w:rsidRPr="00396232" w:rsidRDefault="00361A81" w:rsidP="00361A81">
            <w:pPr>
              <w:pStyle w:val="-3"/>
              <w:rPr>
                <w:sz w:val="16"/>
                <w:szCs w:val="16"/>
                <w:rtl/>
              </w:rPr>
            </w:pPr>
            <w:r w:rsidRPr="00B44059">
              <w:rPr>
                <w:sz w:val="16"/>
                <w:szCs w:val="16"/>
                <w:rtl/>
              </w:rPr>
              <w:t xml:space="preserve"> 0</w:t>
            </w:r>
          </w:p>
        </w:tc>
        <w:tc>
          <w:tcPr>
            <w:tcW w:w="38" w:type="pct"/>
          </w:tcPr>
          <w:p w14:paraId="05F3EEB7" w14:textId="77777777" w:rsidR="00361A81" w:rsidRPr="00396232" w:rsidRDefault="00361A81" w:rsidP="00361A81">
            <w:pPr>
              <w:pStyle w:val="-0"/>
              <w:rPr>
                <w:sz w:val="16"/>
                <w:szCs w:val="16"/>
                <w:rtl/>
              </w:rPr>
            </w:pPr>
          </w:p>
        </w:tc>
        <w:tc>
          <w:tcPr>
            <w:tcW w:w="156" w:type="pct"/>
            <w:vAlign w:val="bottom"/>
          </w:tcPr>
          <w:p w14:paraId="7A199D72" w14:textId="77777777" w:rsidR="00361A81" w:rsidRPr="00396232" w:rsidRDefault="00361A81" w:rsidP="00361A81">
            <w:pPr>
              <w:pStyle w:val="-3"/>
              <w:rPr>
                <w:sz w:val="16"/>
                <w:szCs w:val="16"/>
                <w:rtl/>
              </w:rPr>
            </w:pPr>
            <w:r w:rsidRPr="00B44059">
              <w:rPr>
                <w:sz w:val="16"/>
                <w:szCs w:val="16"/>
                <w:rtl/>
              </w:rPr>
              <w:t xml:space="preserve"> 0</w:t>
            </w:r>
          </w:p>
        </w:tc>
        <w:tc>
          <w:tcPr>
            <w:tcW w:w="211" w:type="pct"/>
            <w:vAlign w:val="bottom"/>
          </w:tcPr>
          <w:p w14:paraId="43BA1CBE" w14:textId="77777777" w:rsidR="00361A81" w:rsidRPr="00396232" w:rsidRDefault="00361A81" w:rsidP="00361A81">
            <w:pPr>
              <w:pStyle w:val="-3"/>
              <w:rPr>
                <w:sz w:val="16"/>
                <w:szCs w:val="16"/>
                <w:rtl/>
              </w:rPr>
            </w:pPr>
            <w:r w:rsidRPr="00B44059">
              <w:rPr>
                <w:sz w:val="16"/>
                <w:szCs w:val="16"/>
                <w:rtl/>
              </w:rPr>
              <w:t xml:space="preserve"> 0</w:t>
            </w:r>
          </w:p>
        </w:tc>
        <w:tc>
          <w:tcPr>
            <w:tcW w:w="226" w:type="pct"/>
            <w:vAlign w:val="bottom"/>
          </w:tcPr>
          <w:p w14:paraId="0494F1D7" w14:textId="2C9925E9" w:rsidR="00361A81" w:rsidRPr="00B44059" w:rsidRDefault="00361A81" w:rsidP="00361A81">
            <w:pPr>
              <w:pStyle w:val="-3"/>
              <w:rPr>
                <w:sz w:val="16"/>
                <w:szCs w:val="16"/>
                <w:rtl/>
              </w:rPr>
            </w:pPr>
            <w:r w:rsidRPr="002236DD">
              <w:rPr>
                <w:sz w:val="16"/>
                <w:szCs w:val="16"/>
                <w:rtl/>
              </w:rPr>
              <w:t xml:space="preserve"> 0</w:t>
            </w:r>
          </w:p>
        </w:tc>
        <w:tc>
          <w:tcPr>
            <w:tcW w:w="233" w:type="pct"/>
            <w:vAlign w:val="bottom"/>
          </w:tcPr>
          <w:p w14:paraId="55ED8874" w14:textId="211382FD" w:rsidR="00361A81" w:rsidRPr="00396232" w:rsidRDefault="00361A81" w:rsidP="00361A81">
            <w:pPr>
              <w:pStyle w:val="-3"/>
              <w:rPr>
                <w:sz w:val="16"/>
                <w:szCs w:val="16"/>
                <w:rtl/>
              </w:rPr>
            </w:pPr>
            <w:r w:rsidRPr="00B44059">
              <w:rPr>
                <w:sz w:val="16"/>
                <w:szCs w:val="16"/>
                <w:rtl/>
              </w:rPr>
              <w:t xml:space="preserve"> 0</w:t>
            </w:r>
          </w:p>
        </w:tc>
        <w:tc>
          <w:tcPr>
            <w:tcW w:w="236" w:type="pct"/>
            <w:vAlign w:val="bottom"/>
          </w:tcPr>
          <w:p w14:paraId="1498A568" w14:textId="77777777" w:rsidR="00361A81" w:rsidRPr="00396232" w:rsidRDefault="00361A81" w:rsidP="00361A81">
            <w:pPr>
              <w:pStyle w:val="-3"/>
              <w:rPr>
                <w:sz w:val="16"/>
                <w:szCs w:val="16"/>
                <w:rtl/>
              </w:rPr>
            </w:pPr>
            <w:r w:rsidRPr="00B44059">
              <w:rPr>
                <w:sz w:val="16"/>
                <w:szCs w:val="16"/>
                <w:rtl/>
              </w:rPr>
              <w:t xml:space="preserve"> 0</w:t>
            </w:r>
          </w:p>
        </w:tc>
        <w:tc>
          <w:tcPr>
            <w:tcW w:w="156" w:type="pct"/>
            <w:vAlign w:val="bottom"/>
          </w:tcPr>
          <w:p w14:paraId="3F0E4366" w14:textId="77777777" w:rsidR="00361A81" w:rsidRPr="00396232" w:rsidRDefault="00361A81" w:rsidP="00361A81">
            <w:pPr>
              <w:pStyle w:val="-3"/>
              <w:rPr>
                <w:sz w:val="16"/>
                <w:szCs w:val="16"/>
                <w:rtl/>
              </w:rPr>
            </w:pPr>
            <w:r w:rsidRPr="00B44059">
              <w:rPr>
                <w:sz w:val="16"/>
                <w:szCs w:val="16"/>
                <w:rtl/>
              </w:rPr>
              <w:t xml:space="preserve"> 0</w:t>
            </w:r>
          </w:p>
        </w:tc>
        <w:tc>
          <w:tcPr>
            <w:tcW w:w="39" w:type="pct"/>
            <w:tcMar>
              <w:left w:w="58" w:type="dxa"/>
              <w:right w:w="58" w:type="dxa"/>
            </w:tcMar>
            <w:vAlign w:val="bottom"/>
          </w:tcPr>
          <w:p w14:paraId="213C77DF" w14:textId="77777777" w:rsidR="00361A81" w:rsidRPr="00396232" w:rsidRDefault="00361A81" w:rsidP="00361A81">
            <w:pPr>
              <w:pStyle w:val="-7"/>
              <w:rPr>
                <w:sz w:val="16"/>
                <w:szCs w:val="16"/>
                <w:rtl/>
              </w:rPr>
            </w:pPr>
          </w:p>
        </w:tc>
        <w:tc>
          <w:tcPr>
            <w:tcW w:w="156" w:type="pct"/>
            <w:vAlign w:val="bottom"/>
          </w:tcPr>
          <w:p w14:paraId="27CF7B5B" w14:textId="77777777" w:rsidR="00361A81" w:rsidRPr="00396232" w:rsidRDefault="00361A81" w:rsidP="00361A81">
            <w:pPr>
              <w:pStyle w:val="-3"/>
              <w:rPr>
                <w:sz w:val="16"/>
                <w:szCs w:val="16"/>
                <w:rtl/>
              </w:rPr>
            </w:pPr>
            <w:r w:rsidRPr="00B44059">
              <w:rPr>
                <w:sz w:val="16"/>
                <w:szCs w:val="16"/>
                <w:rtl/>
              </w:rPr>
              <w:t xml:space="preserve"> 0</w:t>
            </w:r>
          </w:p>
        </w:tc>
        <w:tc>
          <w:tcPr>
            <w:tcW w:w="203" w:type="pct"/>
            <w:vAlign w:val="bottom"/>
          </w:tcPr>
          <w:p w14:paraId="5DBC27A0" w14:textId="77777777" w:rsidR="00361A81" w:rsidRPr="00396232" w:rsidRDefault="00361A81" w:rsidP="00361A81">
            <w:pPr>
              <w:pStyle w:val="-3"/>
              <w:rPr>
                <w:sz w:val="16"/>
                <w:szCs w:val="16"/>
                <w:rtl/>
              </w:rPr>
            </w:pPr>
            <w:r w:rsidRPr="00B44059">
              <w:rPr>
                <w:sz w:val="16"/>
                <w:szCs w:val="16"/>
                <w:rtl/>
              </w:rPr>
              <w:t xml:space="preserve"> 0</w:t>
            </w:r>
          </w:p>
        </w:tc>
        <w:tc>
          <w:tcPr>
            <w:tcW w:w="236" w:type="pct"/>
            <w:vAlign w:val="bottom"/>
          </w:tcPr>
          <w:p w14:paraId="0658A704" w14:textId="3A8994A6" w:rsidR="00361A81" w:rsidRPr="00B44059" w:rsidRDefault="00361A81" w:rsidP="00361A81">
            <w:pPr>
              <w:pStyle w:val="-3"/>
              <w:rPr>
                <w:sz w:val="16"/>
                <w:szCs w:val="16"/>
                <w:rtl/>
              </w:rPr>
            </w:pPr>
            <w:r w:rsidRPr="002236DD">
              <w:rPr>
                <w:sz w:val="16"/>
                <w:szCs w:val="16"/>
                <w:rtl/>
              </w:rPr>
              <w:t xml:space="preserve"> 0</w:t>
            </w:r>
          </w:p>
        </w:tc>
        <w:tc>
          <w:tcPr>
            <w:tcW w:w="236" w:type="pct"/>
            <w:vAlign w:val="bottom"/>
          </w:tcPr>
          <w:p w14:paraId="16490F9A" w14:textId="08DFA20E" w:rsidR="00361A81" w:rsidRPr="00396232" w:rsidRDefault="00361A81" w:rsidP="00361A81">
            <w:pPr>
              <w:pStyle w:val="-3"/>
              <w:rPr>
                <w:sz w:val="16"/>
                <w:szCs w:val="16"/>
                <w:rtl/>
              </w:rPr>
            </w:pPr>
            <w:r w:rsidRPr="00B44059">
              <w:rPr>
                <w:sz w:val="16"/>
                <w:szCs w:val="16"/>
                <w:rtl/>
              </w:rPr>
              <w:t xml:space="preserve"> 0</w:t>
            </w:r>
          </w:p>
        </w:tc>
        <w:tc>
          <w:tcPr>
            <w:tcW w:w="238" w:type="pct"/>
            <w:vAlign w:val="bottom"/>
          </w:tcPr>
          <w:p w14:paraId="0BE83EB2" w14:textId="77777777" w:rsidR="00361A81" w:rsidRPr="00396232" w:rsidRDefault="00361A81" w:rsidP="00361A81">
            <w:pPr>
              <w:pStyle w:val="-3"/>
              <w:rPr>
                <w:sz w:val="16"/>
                <w:szCs w:val="16"/>
                <w:rtl/>
              </w:rPr>
            </w:pPr>
            <w:r w:rsidRPr="00B44059">
              <w:rPr>
                <w:sz w:val="16"/>
                <w:szCs w:val="16"/>
                <w:rtl/>
              </w:rPr>
              <w:t xml:space="preserve"> 0</w:t>
            </w:r>
          </w:p>
        </w:tc>
        <w:tc>
          <w:tcPr>
            <w:tcW w:w="156" w:type="pct"/>
            <w:vAlign w:val="bottom"/>
          </w:tcPr>
          <w:p w14:paraId="67B9EB88" w14:textId="77777777" w:rsidR="00361A81" w:rsidRPr="00396232" w:rsidRDefault="00361A81" w:rsidP="00361A81">
            <w:pPr>
              <w:pStyle w:val="-3"/>
              <w:rPr>
                <w:sz w:val="16"/>
                <w:szCs w:val="16"/>
                <w:rtl/>
              </w:rPr>
            </w:pPr>
            <w:r w:rsidRPr="00B44059">
              <w:rPr>
                <w:sz w:val="16"/>
                <w:szCs w:val="16"/>
                <w:rtl/>
              </w:rPr>
              <w:t xml:space="preserve"> 0</w:t>
            </w:r>
          </w:p>
        </w:tc>
      </w:tr>
      <w:tr w:rsidR="00361A81" w:rsidRPr="00EE3141" w14:paraId="665497E2" w14:textId="77777777" w:rsidTr="00580C3A">
        <w:trPr>
          <w:trHeight w:val="227"/>
        </w:trPr>
        <w:tc>
          <w:tcPr>
            <w:tcW w:w="364" w:type="pct"/>
          </w:tcPr>
          <w:p w14:paraId="725C9B44" w14:textId="77777777" w:rsidR="00361A81" w:rsidRPr="00EE3141" w:rsidRDefault="00361A81" w:rsidP="00361A81">
            <w:pPr>
              <w:pStyle w:val="-7"/>
              <w:rPr>
                <w:sz w:val="15"/>
                <w:szCs w:val="15"/>
                <w:rtl/>
              </w:rPr>
            </w:pPr>
          </w:p>
        </w:tc>
        <w:tc>
          <w:tcPr>
            <w:tcW w:w="908" w:type="pct"/>
            <w:vAlign w:val="bottom"/>
          </w:tcPr>
          <w:p w14:paraId="2E6E40A8" w14:textId="77777777" w:rsidR="00361A81" w:rsidRPr="00F77006" w:rsidRDefault="00361A81" w:rsidP="004836CE">
            <w:pPr>
              <w:pStyle w:val="-0"/>
              <w:spacing w:after="20" w:line="240" w:lineRule="auto"/>
              <w:ind w:left="324" w:hanging="132"/>
              <w:rPr>
                <w:sz w:val="18"/>
                <w:szCs w:val="18"/>
              </w:rPr>
            </w:pPr>
            <w:r w:rsidRPr="00F77006">
              <w:rPr>
                <w:rFonts w:hint="eastAsia"/>
                <w:sz w:val="18"/>
                <w:szCs w:val="18"/>
                <w:rtl/>
              </w:rPr>
              <w:t>של</w:t>
            </w:r>
            <w:r w:rsidRPr="00F77006">
              <w:rPr>
                <w:sz w:val="18"/>
                <w:szCs w:val="18"/>
                <w:rtl/>
              </w:rPr>
              <w:t xml:space="preserve"> </w:t>
            </w:r>
            <w:r w:rsidRPr="00F77006">
              <w:rPr>
                <w:rFonts w:hint="eastAsia"/>
                <w:sz w:val="18"/>
                <w:szCs w:val="18"/>
                <w:rtl/>
              </w:rPr>
              <w:t>מוסדות</w:t>
            </w:r>
            <w:r w:rsidRPr="00F77006">
              <w:rPr>
                <w:sz w:val="18"/>
                <w:szCs w:val="18"/>
                <w:rtl/>
              </w:rPr>
              <w:t xml:space="preserve"> </w:t>
            </w:r>
            <w:r w:rsidRPr="00F77006">
              <w:rPr>
                <w:rFonts w:hint="eastAsia"/>
                <w:sz w:val="18"/>
                <w:szCs w:val="18"/>
                <w:rtl/>
              </w:rPr>
              <w:t>פיננסיים</w:t>
            </w:r>
            <w:r w:rsidRPr="00F77006">
              <w:rPr>
                <w:sz w:val="18"/>
                <w:szCs w:val="18"/>
                <w:rtl/>
              </w:rPr>
              <w:t xml:space="preserve"> </w:t>
            </w:r>
            <w:r w:rsidRPr="00F77006">
              <w:rPr>
                <w:rFonts w:hint="eastAsia"/>
                <w:sz w:val="18"/>
                <w:szCs w:val="18"/>
                <w:rtl/>
              </w:rPr>
              <w:t>בישראל</w:t>
            </w:r>
          </w:p>
        </w:tc>
        <w:tc>
          <w:tcPr>
            <w:tcW w:w="166" w:type="pct"/>
            <w:vAlign w:val="bottom"/>
          </w:tcPr>
          <w:p w14:paraId="56B34598" w14:textId="77777777" w:rsidR="00361A81" w:rsidRPr="00396232" w:rsidRDefault="00361A81" w:rsidP="00361A81">
            <w:pPr>
              <w:pStyle w:val="-3"/>
              <w:rPr>
                <w:sz w:val="16"/>
                <w:szCs w:val="16"/>
                <w:rtl/>
              </w:rPr>
            </w:pPr>
            <w:r w:rsidRPr="00B44059">
              <w:rPr>
                <w:sz w:val="16"/>
                <w:szCs w:val="16"/>
                <w:rtl/>
              </w:rPr>
              <w:t xml:space="preserve"> 0</w:t>
            </w:r>
          </w:p>
        </w:tc>
        <w:tc>
          <w:tcPr>
            <w:tcW w:w="206" w:type="pct"/>
            <w:vAlign w:val="bottom"/>
          </w:tcPr>
          <w:p w14:paraId="3681CCE2" w14:textId="77777777" w:rsidR="00361A81" w:rsidRPr="00396232" w:rsidRDefault="00361A81" w:rsidP="00361A81">
            <w:pPr>
              <w:pStyle w:val="-3"/>
              <w:rPr>
                <w:sz w:val="16"/>
                <w:szCs w:val="16"/>
                <w:rtl/>
              </w:rPr>
            </w:pPr>
            <w:r w:rsidRPr="00B44059">
              <w:rPr>
                <w:sz w:val="16"/>
                <w:szCs w:val="16"/>
                <w:rtl/>
              </w:rPr>
              <w:t xml:space="preserve"> 0</w:t>
            </w:r>
          </w:p>
        </w:tc>
        <w:tc>
          <w:tcPr>
            <w:tcW w:w="214" w:type="pct"/>
            <w:vAlign w:val="bottom"/>
          </w:tcPr>
          <w:p w14:paraId="5339B8F2" w14:textId="2E45143C" w:rsidR="00361A81" w:rsidRPr="00B44059" w:rsidRDefault="00361A81" w:rsidP="00361A81">
            <w:pPr>
              <w:pStyle w:val="-3"/>
              <w:rPr>
                <w:sz w:val="16"/>
                <w:szCs w:val="16"/>
                <w:rtl/>
              </w:rPr>
            </w:pPr>
            <w:r w:rsidRPr="00555E32">
              <w:rPr>
                <w:sz w:val="16"/>
                <w:szCs w:val="16"/>
                <w:rtl/>
              </w:rPr>
              <w:t xml:space="preserve"> 0</w:t>
            </w:r>
          </w:p>
        </w:tc>
        <w:tc>
          <w:tcPr>
            <w:tcW w:w="233" w:type="pct"/>
            <w:vAlign w:val="bottom"/>
          </w:tcPr>
          <w:p w14:paraId="2C9DCCD3" w14:textId="60C3D11A" w:rsidR="00361A81" w:rsidRPr="00396232" w:rsidRDefault="00361A81" w:rsidP="00361A81">
            <w:pPr>
              <w:pStyle w:val="-3"/>
              <w:rPr>
                <w:sz w:val="16"/>
                <w:szCs w:val="16"/>
                <w:rtl/>
              </w:rPr>
            </w:pPr>
            <w:r w:rsidRPr="00B44059">
              <w:rPr>
                <w:sz w:val="16"/>
                <w:szCs w:val="16"/>
                <w:rtl/>
              </w:rPr>
              <w:t xml:space="preserve"> 0</w:t>
            </w:r>
          </w:p>
        </w:tc>
        <w:tc>
          <w:tcPr>
            <w:tcW w:w="233" w:type="pct"/>
            <w:vAlign w:val="bottom"/>
          </w:tcPr>
          <w:p w14:paraId="3CC78282" w14:textId="77777777" w:rsidR="00361A81" w:rsidRPr="00396232" w:rsidRDefault="00361A81" w:rsidP="00361A81">
            <w:pPr>
              <w:pStyle w:val="-3"/>
              <w:rPr>
                <w:sz w:val="16"/>
                <w:szCs w:val="16"/>
                <w:rtl/>
              </w:rPr>
            </w:pPr>
            <w:r w:rsidRPr="00B44059">
              <w:rPr>
                <w:sz w:val="16"/>
                <w:szCs w:val="16"/>
                <w:rtl/>
              </w:rPr>
              <w:t xml:space="preserve"> 0</w:t>
            </w:r>
          </w:p>
        </w:tc>
        <w:tc>
          <w:tcPr>
            <w:tcW w:w="155" w:type="pct"/>
            <w:vAlign w:val="bottom"/>
          </w:tcPr>
          <w:p w14:paraId="4CE6967C" w14:textId="77777777" w:rsidR="00361A81" w:rsidRPr="00396232" w:rsidRDefault="00361A81" w:rsidP="00361A81">
            <w:pPr>
              <w:pStyle w:val="-3"/>
              <w:rPr>
                <w:sz w:val="16"/>
                <w:szCs w:val="16"/>
                <w:rtl/>
              </w:rPr>
            </w:pPr>
            <w:r w:rsidRPr="00B44059">
              <w:rPr>
                <w:sz w:val="16"/>
                <w:szCs w:val="16"/>
                <w:rtl/>
              </w:rPr>
              <w:t xml:space="preserve"> 0</w:t>
            </w:r>
          </w:p>
        </w:tc>
        <w:tc>
          <w:tcPr>
            <w:tcW w:w="38" w:type="pct"/>
          </w:tcPr>
          <w:p w14:paraId="4527E40B" w14:textId="77777777" w:rsidR="00361A81" w:rsidRPr="00396232" w:rsidRDefault="00361A81" w:rsidP="00361A81">
            <w:pPr>
              <w:pStyle w:val="-0"/>
              <w:rPr>
                <w:sz w:val="16"/>
                <w:szCs w:val="16"/>
                <w:rtl/>
              </w:rPr>
            </w:pPr>
          </w:p>
        </w:tc>
        <w:tc>
          <w:tcPr>
            <w:tcW w:w="156" w:type="pct"/>
            <w:vAlign w:val="bottom"/>
          </w:tcPr>
          <w:p w14:paraId="26646166" w14:textId="77777777" w:rsidR="00361A81" w:rsidRPr="00396232" w:rsidRDefault="00361A81" w:rsidP="00361A81">
            <w:pPr>
              <w:pStyle w:val="-3"/>
              <w:rPr>
                <w:sz w:val="16"/>
                <w:szCs w:val="16"/>
                <w:rtl/>
              </w:rPr>
            </w:pPr>
            <w:r w:rsidRPr="00B44059">
              <w:rPr>
                <w:sz w:val="16"/>
                <w:szCs w:val="16"/>
                <w:rtl/>
              </w:rPr>
              <w:t xml:space="preserve"> 0</w:t>
            </w:r>
          </w:p>
        </w:tc>
        <w:tc>
          <w:tcPr>
            <w:tcW w:w="211" w:type="pct"/>
            <w:vAlign w:val="bottom"/>
          </w:tcPr>
          <w:p w14:paraId="73F95301" w14:textId="77777777" w:rsidR="00361A81" w:rsidRPr="00396232" w:rsidRDefault="00361A81" w:rsidP="00361A81">
            <w:pPr>
              <w:pStyle w:val="-3"/>
              <w:rPr>
                <w:sz w:val="16"/>
                <w:szCs w:val="16"/>
                <w:rtl/>
              </w:rPr>
            </w:pPr>
            <w:r w:rsidRPr="00B44059">
              <w:rPr>
                <w:sz w:val="16"/>
                <w:szCs w:val="16"/>
                <w:rtl/>
              </w:rPr>
              <w:t xml:space="preserve"> 0</w:t>
            </w:r>
          </w:p>
        </w:tc>
        <w:tc>
          <w:tcPr>
            <w:tcW w:w="226" w:type="pct"/>
            <w:vAlign w:val="bottom"/>
          </w:tcPr>
          <w:p w14:paraId="02AAC403" w14:textId="0A502899" w:rsidR="00361A81" w:rsidRPr="00B44059" w:rsidRDefault="00361A81" w:rsidP="00361A81">
            <w:pPr>
              <w:pStyle w:val="-3"/>
              <w:rPr>
                <w:sz w:val="16"/>
                <w:szCs w:val="16"/>
                <w:rtl/>
              </w:rPr>
            </w:pPr>
            <w:r w:rsidRPr="002236DD">
              <w:rPr>
                <w:sz w:val="16"/>
                <w:szCs w:val="16"/>
                <w:rtl/>
              </w:rPr>
              <w:t xml:space="preserve"> 0</w:t>
            </w:r>
          </w:p>
        </w:tc>
        <w:tc>
          <w:tcPr>
            <w:tcW w:w="233" w:type="pct"/>
            <w:vAlign w:val="bottom"/>
          </w:tcPr>
          <w:p w14:paraId="3EF23C1C" w14:textId="610E74FC" w:rsidR="00361A81" w:rsidRPr="00396232" w:rsidRDefault="00361A81" w:rsidP="00361A81">
            <w:pPr>
              <w:pStyle w:val="-3"/>
              <w:rPr>
                <w:sz w:val="16"/>
                <w:szCs w:val="16"/>
                <w:rtl/>
              </w:rPr>
            </w:pPr>
            <w:r w:rsidRPr="00B44059">
              <w:rPr>
                <w:sz w:val="16"/>
                <w:szCs w:val="16"/>
                <w:rtl/>
              </w:rPr>
              <w:t xml:space="preserve"> 0</w:t>
            </w:r>
          </w:p>
        </w:tc>
        <w:tc>
          <w:tcPr>
            <w:tcW w:w="236" w:type="pct"/>
            <w:vAlign w:val="bottom"/>
          </w:tcPr>
          <w:p w14:paraId="6DF8C3A1" w14:textId="77777777" w:rsidR="00361A81" w:rsidRPr="00396232" w:rsidRDefault="00361A81" w:rsidP="00361A81">
            <w:pPr>
              <w:pStyle w:val="-3"/>
              <w:rPr>
                <w:sz w:val="16"/>
                <w:szCs w:val="16"/>
                <w:rtl/>
              </w:rPr>
            </w:pPr>
            <w:r w:rsidRPr="00B44059">
              <w:rPr>
                <w:sz w:val="16"/>
                <w:szCs w:val="16"/>
                <w:rtl/>
              </w:rPr>
              <w:t xml:space="preserve"> 0</w:t>
            </w:r>
          </w:p>
        </w:tc>
        <w:tc>
          <w:tcPr>
            <w:tcW w:w="156" w:type="pct"/>
            <w:vAlign w:val="bottom"/>
          </w:tcPr>
          <w:p w14:paraId="7B75DFEF" w14:textId="77777777" w:rsidR="00361A81" w:rsidRPr="00396232" w:rsidRDefault="00361A81" w:rsidP="00361A81">
            <w:pPr>
              <w:pStyle w:val="-3"/>
              <w:rPr>
                <w:sz w:val="16"/>
                <w:szCs w:val="16"/>
                <w:rtl/>
              </w:rPr>
            </w:pPr>
            <w:r w:rsidRPr="00B44059">
              <w:rPr>
                <w:sz w:val="16"/>
                <w:szCs w:val="16"/>
                <w:rtl/>
              </w:rPr>
              <w:t xml:space="preserve"> 0</w:t>
            </w:r>
          </w:p>
        </w:tc>
        <w:tc>
          <w:tcPr>
            <w:tcW w:w="39" w:type="pct"/>
            <w:tcMar>
              <w:left w:w="58" w:type="dxa"/>
              <w:right w:w="58" w:type="dxa"/>
            </w:tcMar>
            <w:vAlign w:val="bottom"/>
          </w:tcPr>
          <w:p w14:paraId="741CDC1E" w14:textId="77777777" w:rsidR="00361A81" w:rsidRPr="00396232" w:rsidRDefault="00361A81" w:rsidP="00361A81">
            <w:pPr>
              <w:pStyle w:val="-7"/>
              <w:rPr>
                <w:sz w:val="16"/>
                <w:szCs w:val="16"/>
                <w:rtl/>
              </w:rPr>
            </w:pPr>
          </w:p>
        </w:tc>
        <w:tc>
          <w:tcPr>
            <w:tcW w:w="156" w:type="pct"/>
            <w:vAlign w:val="bottom"/>
          </w:tcPr>
          <w:p w14:paraId="12355453" w14:textId="77777777" w:rsidR="00361A81" w:rsidRPr="00396232" w:rsidRDefault="00361A81" w:rsidP="00361A81">
            <w:pPr>
              <w:pStyle w:val="-3"/>
              <w:rPr>
                <w:sz w:val="16"/>
                <w:szCs w:val="16"/>
                <w:rtl/>
              </w:rPr>
            </w:pPr>
            <w:r w:rsidRPr="00B44059">
              <w:rPr>
                <w:sz w:val="16"/>
                <w:szCs w:val="16"/>
                <w:rtl/>
              </w:rPr>
              <w:t xml:space="preserve"> 0</w:t>
            </w:r>
          </w:p>
        </w:tc>
        <w:tc>
          <w:tcPr>
            <w:tcW w:w="203" w:type="pct"/>
            <w:vAlign w:val="bottom"/>
          </w:tcPr>
          <w:p w14:paraId="22F0BD82" w14:textId="77777777" w:rsidR="00361A81" w:rsidRPr="00396232" w:rsidRDefault="00361A81" w:rsidP="00361A81">
            <w:pPr>
              <w:pStyle w:val="-3"/>
              <w:rPr>
                <w:sz w:val="16"/>
                <w:szCs w:val="16"/>
                <w:rtl/>
              </w:rPr>
            </w:pPr>
            <w:r w:rsidRPr="00B44059">
              <w:rPr>
                <w:sz w:val="16"/>
                <w:szCs w:val="16"/>
                <w:rtl/>
              </w:rPr>
              <w:t xml:space="preserve"> 0</w:t>
            </w:r>
          </w:p>
        </w:tc>
        <w:tc>
          <w:tcPr>
            <w:tcW w:w="236" w:type="pct"/>
            <w:vAlign w:val="bottom"/>
          </w:tcPr>
          <w:p w14:paraId="6F7E1F47" w14:textId="4B1873CE" w:rsidR="00361A81" w:rsidRPr="00B44059" w:rsidRDefault="00361A81" w:rsidP="00361A81">
            <w:pPr>
              <w:pStyle w:val="-3"/>
              <w:rPr>
                <w:sz w:val="16"/>
                <w:szCs w:val="16"/>
                <w:rtl/>
              </w:rPr>
            </w:pPr>
            <w:r w:rsidRPr="002236DD">
              <w:rPr>
                <w:sz w:val="16"/>
                <w:szCs w:val="16"/>
                <w:rtl/>
              </w:rPr>
              <w:t xml:space="preserve"> 0</w:t>
            </w:r>
          </w:p>
        </w:tc>
        <w:tc>
          <w:tcPr>
            <w:tcW w:w="236" w:type="pct"/>
            <w:vAlign w:val="bottom"/>
          </w:tcPr>
          <w:p w14:paraId="08A2F767" w14:textId="120BF336" w:rsidR="00361A81" w:rsidRPr="00396232" w:rsidRDefault="00361A81" w:rsidP="00361A81">
            <w:pPr>
              <w:pStyle w:val="-3"/>
              <w:rPr>
                <w:sz w:val="16"/>
                <w:szCs w:val="16"/>
                <w:rtl/>
              </w:rPr>
            </w:pPr>
            <w:r w:rsidRPr="00B44059">
              <w:rPr>
                <w:sz w:val="16"/>
                <w:szCs w:val="16"/>
                <w:rtl/>
              </w:rPr>
              <w:t xml:space="preserve"> 0</w:t>
            </w:r>
          </w:p>
        </w:tc>
        <w:tc>
          <w:tcPr>
            <w:tcW w:w="238" w:type="pct"/>
            <w:vAlign w:val="bottom"/>
          </w:tcPr>
          <w:p w14:paraId="6EF9CF5B" w14:textId="77777777" w:rsidR="00361A81" w:rsidRPr="00396232" w:rsidRDefault="00361A81" w:rsidP="00361A81">
            <w:pPr>
              <w:pStyle w:val="-3"/>
              <w:rPr>
                <w:sz w:val="16"/>
                <w:szCs w:val="16"/>
                <w:rtl/>
              </w:rPr>
            </w:pPr>
            <w:r w:rsidRPr="00B44059">
              <w:rPr>
                <w:sz w:val="16"/>
                <w:szCs w:val="16"/>
                <w:rtl/>
              </w:rPr>
              <w:t xml:space="preserve"> 0</w:t>
            </w:r>
          </w:p>
        </w:tc>
        <w:tc>
          <w:tcPr>
            <w:tcW w:w="156" w:type="pct"/>
            <w:vAlign w:val="bottom"/>
          </w:tcPr>
          <w:p w14:paraId="0094C4F5" w14:textId="77777777" w:rsidR="00361A81" w:rsidRPr="00396232" w:rsidRDefault="00361A81" w:rsidP="00361A81">
            <w:pPr>
              <w:pStyle w:val="-3"/>
              <w:rPr>
                <w:sz w:val="16"/>
                <w:szCs w:val="16"/>
                <w:rtl/>
              </w:rPr>
            </w:pPr>
            <w:r w:rsidRPr="00B44059">
              <w:rPr>
                <w:sz w:val="16"/>
                <w:szCs w:val="16"/>
                <w:rtl/>
              </w:rPr>
              <w:t xml:space="preserve"> 0</w:t>
            </w:r>
          </w:p>
        </w:tc>
      </w:tr>
      <w:tr w:rsidR="00361A81" w:rsidRPr="00EE3141" w14:paraId="7D3BFF2B" w14:textId="77777777" w:rsidTr="00580C3A">
        <w:trPr>
          <w:trHeight w:val="227"/>
        </w:trPr>
        <w:tc>
          <w:tcPr>
            <w:tcW w:w="364" w:type="pct"/>
          </w:tcPr>
          <w:p w14:paraId="5653B1BC" w14:textId="77777777" w:rsidR="00361A81" w:rsidRPr="00EE3141" w:rsidRDefault="00361A81" w:rsidP="00361A81">
            <w:pPr>
              <w:pStyle w:val="-7"/>
              <w:rPr>
                <w:sz w:val="15"/>
                <w:szCs w:val="15"/>
                <w:rtl/>
              </w:rPr>
            </w:pPr>
          </w:p>
        </w:tc>
        <w:tc>
          <w:tcPr>
            <w:tcW w:w="908" w:type="pct"/>
            <w:vAlign w:val="bottom"/>
          </w:tcPr>
          <w:p w14:paraId="3481A660" w14:textId="77777777" w:rsidR="00361A81" w:rsidRPr="00F77006" w:rsidRDefault="00361A81" w:rsidP="004836CE">
            <w:pPr>
              <w:pStyle w:val="-0"/>
              <w:spacing w:after="20" w:line="240" w:lineRule="auto"/>
              <w:ind w:left="324" w:hanging="132"/>
              <w:rPr>
                <w:sz w:val="18"/>
                <w:szCs w:val="18"/>
              </w:rPr>
            </w:pPr>
            <w:r w:rsidRPr="00F77006">
              <w:rPr>
                <w:rFonts w:hint="eastAsia"/>
                <w:sz w:val="18"/>
                <w:szCs w:val="18"/>
                <w:rtl/>
              </w:rPr>
              <w:t>של</w:t>
            </w:r>
            <w:r w:rsidRPr="00F77006">
              <w:rPr>
                <w:sz w:val="18"/>
                <w:szCs w:val="18"/>
                <w:rtl/>
              </w:rPr>
              <w:t xml:space="preserve"> </w:t>
            </w:r>
            <w:r w:rsidRPr="00F77006">
              <w:rPr>
                <w:rFonts w:hint="eastAsia"/>
                <w:sz w:val="18"/>
                <w:szCs w:val="18"/>
                <w:rtl/>
              </w:rPr>
              <w:t>מוסדות</w:t>
            </w:r>
            <w:r w:rsidRPr="00F77006">
              <w:rPr>
                <w:sz w:val="18"/>
                <w:szCs w:val="18"/>
                <w:rtl/>
              </w:rPr>
              <w:t xml:space="preserve"> </w:t>
            </w:r>
            <w:r w:rsidRPr="00F77006">
              <w:rPr>
                <w:rFonts w:hint="eastAsia"/>
                <w:sz w:val="18"/>
                <w:szCs w:val="18"/>
                <w:rtl/>
              </w:rPr>
              <w:t>פיננסיים</w:t>
            </w:r>
            <w:r w:rsidRPr="00F77006">
              <w:rPr>
                <w:sz w:val="18"/>
                <w:szCs w:val="18"/>
                <w:rtl/>
              </w:rPr>
              <w:t xml:space="preserve"> </w:t>
            </w:r>
            <w:r w:rsidRPr="00F77006">
              <w:rPr>
                <w:rFonts w:hint="eastAsia"/>
                <w:sz w:val="18"/>
                <w:szCs w:val="18"/>
                <w:rtl/>
              </w:rPr>
              <w:t>זרים</w:t>
            </w:r>
          </w:p>
        </w:tc>
        <w:tc>
          <w:tcPr>
            <w:tcW w:w="166" w:type="pct"/>
            <w:vAlign w:val="bottom"/>
          </w:tcPr>
          <w:p w14:paraId="6CD86EEA" w14:textId="77777777" w:rsidR="00361A81" w:rsidRPr="00396232" w:rsidRDefault="00361A81" w:rsidP="00361A81">
            <w:pPr>
              <w:pStyle w:val="-3"/>
              <w:rPr>
                <w:sz w:val="16"/>
                <w:szCs w:val="16"/>
                <w:rtl/>
              </w:rPr>
            </w:pPr>
            <w:r w:rsidRPr="00B44059">
              <w:rPr>
                <w:sz w:val="16"/>
                <w:szCs w:val="16"/>
                <w:rtl/>
              </w:rPr>
              <w:t xml:space="preserve"> 0</w:t>
            </w:r>
          </w:p>
        </w:tc>
        <w:tc>
          <w:tcPr>
            <w:tcW w:w="206" w:type="pct"/>
            <w:vAlign w:val="bottom"/>
          </w:tcPr>
          <w:p w14:paraId="4623F022" w14:textId="77777777" w:rsidR="00361A81" w:rsidRPr="00396232" w:rsidRDefault="00361A81" w:rsidP="00361A81">
            <w:pPr>
              <w:pStyle w:val="-3"/>
              <w:rPr>
                <w:sz w:val="16"/>
                <w:szCs w:val="16"/>
                <w:rtl/>
              </w:rPr>
            </w:pPr>
            <w:r w:rsidRPr="00B44059">
              <w:rPr>
                <w:sz w:val="16"/>
                <w:szCs w:val="16"/>
                <w:rtl/>
              </w:rPr>
              <w:t xml:space="preserve"> 0</w:t>
            </w:r>
          </w:p>
        </w:tc>
        <w:tc>
          <w:tcPr>
            <w:tcW w:w="214" w:type="pct"/>
            <w:vAlign w:val="bottom"/>
          </w:tcPr>
          <w:p w14:paraId="06419EB7" w14:textId="2B261618" w:rsidR="00361A81" w:rsidRPr="00B44059" w:rsidRDefault="00361A81" w:rsidP="00361A81">
            <w:pPr>
              <w:pStyle w:val="-3"/>
              <w:rPr>
                <w:sz w:val="16"/>
                <w:szCs w:val="16"/>
                <w:rtl/>
              </w:rPr>
            </w:pPr>
            <w:r w:rsidRPr="00555E32">
              <w:rPr>
                <w:sz w:val="16"/>
                <w:szCs w:val="16"/>
                <w:rtl/>
              </w:rPr>
              <w:t xml:space="preserve"> 0</w:t>
            </w:r>
          </w:p>
        </w:tc>
        <w:tc>
          <w:tcPr>
            <w:tcW w:w="233" w:type="pct"/>
            <w:vAlign w:val="bottom"/>
          </w:tcPr>
          <w:p w14:paraId="6BC01C32" w14:textId="68790855" w:rsidR="00361A81" w:rsidRPr="00396232" w:rsidRDefault="00361A81" w:rsidP="00361A81">
            <w:pPr>
              <w:pStyle w:val="-3"/>
              <w:rPr>
                <w:sz w:val="16"/>
                <w:szCs w:val="16"/>
                <w:rtl/>
              </w:rPr>
            </w:pPr>
            <w:r w:rsidRPr="00B44059">
              <w:rPr>
                <w:sz w:val="16"/>
                <w:szCs w:val="16"/>
                <w:rtl/>
              </w:rPr>
              <w:t xml:space="preserve"> 0</w:t>
            </w:r>
          </w:p>
        </w:tc>
        <w:tc>
          <w:tcPr>
            <w:tcW w:w="233" w:type="pct"/>
            <w:vAlign w:val="bottom"/>
          </w:tcPr>
          <w:p w14:paraId="44068DD2" w14:textId="77777777" w:rsidR="00361A81" w:rsidRPr="00396232" w:rsidRDefault="00361A81" w:rsidP="00361A81">
            <w:pPr>
              <w:pStyle w:val="-3"/>
              <w:rPr>
                <w:sz w:val="16"/>
                <w:szCs w:val="16"/>
                <w:rtl/>
              </w:rPr>
            </w:pPr>
            <w:r w:rsidRPr="00B44059">
              <w:rPr>
                <w:sz w:val="16"/>
                <w:szCs w:val="16"/>
                <w:rtl/>
              </w:rPr>
              <w:t xml:space="preserve"> 0</w:t>
            </w:r>
          </w:p>
        </w:tc>
        <w:tc>
          <w:tcPr>
            <w:tcW w:w="155" w:type="pct"/>
            <w:vAlign w:val="bottom"/>
          </w:tcPr>
          <w:p w14:paraId="4A7B7B3E" w14:textId="77777777" w:rsidR="00361A81" w:rsidRPr="00396232" w:rsidRDefault="00361A81" w:rsidP="00361A81">
            <w:pPr>
              <w:pStyle w:val="-3"/>
              <w:rPr>
                <w:sz w:val="16"/>
                <w:szCs w:val="16"/>
                <w:rtl/>
              </w:rPr>
            </w:pPr>
            <w:r w:rsidRPr="00B44059">
              <w:rPr>
                <w:sz w:val="16"/>
                <w:szCs w:val="16"/>
                <w:rtl/>
              </w:rPr>
              <w:t xml:space="preserve"> 0</w:t>
            </w:r>
          </w:p>
        </w:tc>
        <w:tc>
          <w:tcPr>
            <w:tcW w:w="38" w:type="pct"/>
          </w:tcPr>
          <w:p w14:paraId="7E33DE13" w14:textId="77777777" w:rsidR="00361A81" w:rsidRPr="00396232" w:rsidRDefault="00361A81" w:rsidP="00361A81">
            <w:pPr>
              <w:pStyle w:val="-0"/>
              <w:rPr>
                <w:sz w:val="16"/>
                <w:szCs w:val="16"/>
                <w:rtl/>
              </w:rPr>
            </w:pPr>
          </w:p>
        </w:tc>
        <w:tc>
          <w:tcPr>
            <w:tcW w:w="156" w:type="pct"/>
            <w:vAlign w:val="bottom"/>
          </w:tcPr>
          <w:p w14:paraId="26DB75F7" w14:textId="77777777" w:rsidR="00361A81" w:rsidRPr="00396232" w:rsidRDefault="00361A81" w:rsidP="00361A81">
            <w:pPr>
              <w:pStyle w:val="-3"/>
              <w:rPr>
                <w:sz w:val="16"/>
                <w:szCs w:val="16"/>
                <w:rtl/>
              </w:rPr>
            </w:pPr>
            <w:r w:rsidRPr="00B44059">
              <w:rPr>
                <w:sz w:val="16"/>
                <w:szCs w:val="16"/>
                <w:rtl/>
              </w:rPr>
              <w:t xml:space="preserve"> 0</w:t>
            </w:r>
          </w:p>
        </w:tc>
        <w:tc>
          <w:tcPr>
            <w:tcW w:w="211" w:type="pct"/>
            <w:vAlign w:val="bottom"/>
          </w:tcPr>
          <w:p w14:paraId="4C495055" w14:textId="77777777" w:rsidR="00361A81" w:rsidRPr="00396232" w:rsidRDefault="00361A81" w:rsidP="00361A81">
            <w:pPr>
              <w:pStyle w:val="-3"/>
              <w:rPr>
                <w:sz w:val="16"/>
                <w:szCs w:val="16"/>
                <w:rtl/>
              </w:rPr>
            </w:pPr>
            <w:r w:rsidRPr="00B44059">
              <w:rPr>
                <w:sz w:val="16"/>
                <w:szCs w:val="16"/>
                <w:rtl/>
              </w:rPr>
              <w:t xml:space="preserve"> 0</w:t>
            </w:r>
          </w:p>
        </w:tc>
        <w:tc>
          <w:tcPr>
            <w:tcW w:w="226" w:type="pct"/>
            <w:vAlign w:val="bottom"/>
          </w:tcPr>
          <w:p w14:paraId="4A29F4C8" w14:textId="40323DF7" w:rsidR="00361A81" w:rsidRPr="00B44059" w:rsidRDefault="00361A81" w:rsidP="00361A81">
            <w:pPr>
              <w:pStyle w:val="-3"/>
              <w:rPr>
                <w:sz w:val="16"/>
                <w:szCs w:val="16"/>
                <w:rtl/>
              </w:rPr>
            </w:pPr>
            <w:r w:rsidRPr="002236DD">
              <w:rPr>
                <w:sz w:val="16"/>
                <w:szCs w:val="16"/>
                <w:rtl/>
              </w:rPr>
              <w:t xml:space="preserve"> 0</w:t>
            </w:r>
          </w:p>
        </w:tc>
        <w:tc>
          <w:tcPr>
            <w:tcW w:w="233" w:type="pct"/>
            <w:vAlign w:val="bottom"/>
          </w:tcPr>
          <w:p w14:paraId="339BB149" w14:textId="6C2E601C" w:rsidR="00361A81" w:rsidRPr="00396232" w:rsidRDefault="00361A81" w:rsidP="00361A81">
            <w:pPr>
              <w:pStyle w:val="-3"/>
              <w:rPr>
                <w:sz w:val="16"/>
                <w:szCs w:val="16"/>
                <w:rtl/>
              </w:rPr>
            </w:pPr>
            <w:r w:rsidRPr="00B44059">
              <w:rPr>
                <w:sz w:val="16"/>
                <w:szCs w:val="16"/>
                <w:rtl/>
              </w:rPr>
              <w:t xml:space="preserve"> 0</w:t>
            </w:r>
          </w:p>
        </w:tc>
        <w:tc>
          <w:tcPr>
            <w:tcW w:w="236" w:type="pct"/>
            <w:vAlign w:val="bottom"/>
          </w:tcPr>
          <w:p w14:paraId="76ED0047" w14:textId="77777777" w:rsidR="00361A81" w:rsidRPr="00396232" w:rsidRDefault="00361A81" w:rsidP="00361A81">
            <w:pPr>
              <w:pStyle w:val="-3"/>
              <w:rPr>
                <w:sz w:val="16"/>
                <w:szCs w:val="16"/>
                <w:rtl/>
              </w:rPr>
            </w:pPr>
            <w:r w:rsidRPr="00B44059">
              <w:rPr>
                <w:sz w:val="16"/>
                <w:szCs w:val="16"/>
                <w:rtl/>
              </w:rPr>
              <w:t xml:space="preserve"> 0</w:t>
            </w:r>
          </w:p>
        </w:tc>
        <w:tc>
          <w:tcPr>
            <w:tcW w:w="156" w:type="pct"/>
            <w:vAlign w:val="bottom"/>
          </w:tcPr>
          <w:p w14:paraId="7D309DEC" w14:textId="77777777" w:rsidR="00361A81" w:rsidRPr="00396232" w:rsidRDefault="00361A81" w:rsidP="00361A81">
            <w:pPr>
              <w:pStyle w:val="-3"/>
              <w:rPr>
                <w:sz w:val="16"/>
                <w:szCs w:val="16"/>
                <w:rtl/>
              </w:rPr>
            </w:pPr>
            <w:r w:rsidRPr="00B44059">
              <w:rPr>
                <w:sz w:val="16"/>
                <w:szCs w:val="16"/>
                <w:rtl/>
              </w:rPr>
              <w:t xml:space="preserve"> 0</w:t>
            </w:r>
          </w:p>
        </w:tc>
        <w:tc>
          <w:tcPr>
            <w:tcW w:w="39" w:type="pct"/>
            <w:tcMar>
              <w:left w:w="58" w:type="dxa"/>
              <w:right w:w="58" w:type="dxa"/>
            </w:tcMar>
            <w:vAlign w:val="bottom"/>
          </w:tcPr>
          <w:p w14:paraId="4D2769EF" w14:textId="77777777" w:rsidR="00361A81" w:rsidRPr="00396232" w:rsidRDefault="00361A81" w:rsidP="00361A81">
            <w:pPr>
              <w:pStyle w:val="-7"/>
              <w:rPr>
                <w:sz w:val="16"/>
                <w:szCs w:val="16"/>
                <w:rtl/>
              </w:rPr>
            </w:pPr>
          </w:p>
        </w:tc>
        <w:tc>
          <w:tcPr>
            <w:tcW w:w="156" w:type="pct"/>
            <w:vAlign w:val="bottom"/>
          </w:tcPr>
          <w:p w14:paraId="7C17D1C2" w14:textId="77777777" w:rsidR="00361A81" w:rsidRPr="00396232" w:rsidRDefault="00361A81" w:rsidP="00361A81">
            <w:pPr>
              <w:pStyle w:val="-3"/>
              <w:rPr>
                <w:sz w:val="16"/>
                <w:szCs w:val="16"/>
                <w:rtl/>
              </w:rPr>
            </w:pPr>
            <w:r w:rsidRPr="00B44059">
              <w:rPr>
                <w:sz w:val="16"/>
                <w:szCs w:val="16"/>
                <w:rtl/>
              </w:rPr>
              <w:t xml:space="preserve"> 0</w:t>
            </w:r>
          </w:p>
        </w:tc>
        <w:tc>
          <w:tcPr>
            <w:tcW w:w="203" w:type="pct"/>
            <w:vAlign w:val="bottom"/>
          </w:tcPr>
          <w:p w14:paraId="38D6FACF" w14:textId="77777777" w:rsidR="00361A81" w:rsidRPr="00396232" w:rsidRDefault="00361A81" w:rsidP="00361A81">
            <w:pPr>
              <w:pStyle w:val="-3"/>
              <w:rPr>
                <w:sz w:val="16"/>
                <w:szCs w:val="16"/>
                <w:rtl/>
              </w:rPr>
            </w:pPr>
            <w:r w:rsidRPr="00B44059">
              <w:rPr>
                <w:sz w:val="16"/>
                <w:szCs w:val="16"/>
                <w:rtl/>
              </w:rPr>
              <w:t xml:space="preserve"> 0</w:t>
            </w:r>
          </w:p>
        </w:tc>
        <w:tc>
          <w:tcPr>
            <w:tcW w:w="236" w:type="pct"/>
            <w:vAlign w:val="bottom"/>
          </w:tcPr>
          <w:p w14:paraId="3B7D46A0" w14:textId="041F74F7" w:rsidR="00361A81" w:rsidRPr="00B44059" w:rsidRDefault="00361A81" w:rsidP="00361A81">
            <w:pPr>
              <w:pStyle w:val="-3"/>
              <w:rPr>
                <w:sz w:val="16"/>
                <w:szCs w:val="16"/>
                <w:rtl/>
              </w:rPr>
            </w:pPr>
            <w:r w:rsidRPr="002236DD">
              <w:rPr>
                <w:sz w:val="16"/>
                <w:szCs w:val="16"/>
                <w:rtl/>
              </w:rPr>
              <w:t xml:space="preserve"> 0</w:t>
            </w:r>
          </w:p>
        </w:tc>
        <w:tc>
          <w:tcPr>
            <w:tcW w:w="236" w:type="pct"/>
            <w:vAlign w:val="bottom"/>
          </w:tcPr>
          <w:p w14:paraId="2A60B071" w14:textId="5482DDA1" w:rsidR="00361A81" w:rsidRPr="00396232" w:rsidRDefault="00361A81" w:rsidP="00361A81">
            <w:pPr>
              <w:pStyle w:val="-3"/>
              <w:rPr>
                <w:sz w:val="16"/>
                <w:szCs w:val="16"/>
                <w:rtl/>
              </w:rPr>
            </w:pPr>
            <w:r w:rsidRPr="00B44059">
              <w:rPr>
                <w:sz w:val="16"/>
                <w:szCs w:val="16"/>
                <w:rtl/>
              </w:rPr>
              <w:t xml:space="preserve"> 0</w:t>
            </w:r>
          </w:p>
        </w:tc>
        <w:tc>
          <w:tcPr>
            <w:tcW w:w="238" w:type="pct"/>
            <w:vAlign w:val="bottom"/>
          </w:tcPr>
          <w:p w14:paraId="5A5D9F57" w14:textId="77777777" w:rsidR="00361A81" w:rsidRPr="00396232" w:rsidRDefault="00361A81" w:rsidP="00361A81">
            <w:pPr>
              <w:pStyle w:val="-3"/>
              <w:rPr>
                <w:sz w:val="16"/>
                <w:szCs w:val="16"/>
                <w:rtl/>
              </w:rPr>
            </w:pPr>
            <w:r w:rsidRPr="00B44059">
              <w:rPr>
                <w:sz w:val="16"/>
                <w:szCs w:val="16"/>
                <w:rtl/>
              </w:rPr>
              <w:t xml:space="preserve"> 0</w:t>
            </w:r>
          </w:p>
        </w:tc>
        <w:tc>
          <w:tcPr>
            <w:tcW w:w="156" w:type="pct"/>
            <w:vAlign w:val="bottom"/>
          </w:tcPr>
          <w:p w14:paraId="54B6A099" w14:textId="77777777" w:rsidR="00361A81" w:rsidRPr="00396232" w:rsidRDefault="00361A81" w:rsidP="00361A81">
            <w:pPr>
              <w:pStyle w:val="-3"/>
              <w:rPr>
                <w:sz w:val="16"/>
                <w:szCs w:val="16"/>
                <w:rtl/>
              </w:rPr>
            </w:pPr>
            <w:r w:rsidRPr="00B44059">
              <w:rPr>
                <w:sz w:val="16"/>
                <w:szCs w:val="16"/>
                <w:rtl/>
              </w:rPr>
              <w:t xml:space="preserve"> 0</w:t>
            </w:r>
          </w:p>
        </w:tc>
      </w:tr>
      <w:tr w:rsidR="00361A81" w:rsidRPr="00EE3141" w14:paraId="284BC87B" w14:textId="77777777" w:rsidTr="00580C3A">
        <w:trPr>
          <w:trHeight w:val="227"/>
        </w:trPr>
        <w:tc>
          <w:tcPr>
            <w:tcW w:w="364" w:type="pct"/>
          </w:tcPr>
          <w:p w14:paraId="01B922EA" w14:textId="77777777" w:rsidR="00361A81" w:rsidRPr="00EE3141" w:rsidRDefault="00361A81" w:rsidP="00361A81">
            <w:pPr>
              <w:pStyle w:val="-7"/>
              <w:rPr>
                <w:sz w:val="15"/>
                <w:szCs w:val="15"/>
                <w:rtl/>
              </w:rPr>
            </w:pPr>
          </w:p>
        </w:tc>
        <w:tc>
          <w:tcPr>
            <w:tcW w:w="908" w:type="pct"/>
            <w:vAlign w:val="bottom"/>
          </w:tcPr>
          <w:p w14:paraId="78AB50DB" w14:textId="77777777" w:rsidR="00361A81" w:rsidRPr="00F77006" w:rsidRDefault="00361A81" w:rsidP="004836CE">
            <w:pPr>
              <w:pStyle w:val="-0"/>
              <w:spacing w:after="20" w:line="240" w:lineRule="auto"/>
              <w:ind w:left="324" w:hanging="132"/>
              <w:rPr>
                <w:sz w:val="18"/>
                <w:szCs w:val="18"/>
                <w:rtl/>
              </w:rPr>
            </w:pPr>
            <w:r w:rsidRPr="00F77006">
              <w:rPr>
                <w:rFonts w:hint="eastAsia"/>
                <w:sz w:val="18"/>
                <w:szCs w:val="18"/>
                <w:rtl/>
              </w:rPr>
              <w:t>מגובי</w:t>
            </w:r>
            <w:r w:rsidRPr="00F77006">
              <w:rPr>
                <w:sz w:val="18"/>
                <w:szCs w:val="18"/>
                <w:rtl/>
              </w:rPr>
              <w:t xml:space="preserve"> </w:t>
            </w:r>
            <w:r w:rsidRPr="00F77006">
              <w:rPr>
                <w:rFonts w:hint="eastAsia"/>
                <w:sz w:val="18"/>
                <w:szCs w:val="18"/>
                <w:rtl/>
              </w:rPr>
              <w:t>נכסים</w:t>
            </w:r>
            <w:r w:rsidRPr="00F77006">
              <w:rPr>
                <w:sz w:val="18"/>
                <w:szCs w:val="18"/>
                <w:rtl/>
              </w:rPr>
              <w:t xml:space="preserve"> (</w:t>
            </w:r>
            <w:r w:rsidRPr="00F77006">
              <w:rPr>
                <w:sz w:val="18"/>
                <w:szCs w:val="18"/>
              </w:rPr>
              <w:t>ABS</w:t>
            </w:r>
            <w:r w:rsidRPr="00F77006">
              <w:rPr>
                <w:sz w:val="18"/>
                <w:szCs w:val="18"/>
                <w:rtl/>
              </w:rPr>
              <w:t xml:space="preserve">) או </w:t>
            </w:r>
            <w:r w:rsidRPr="00F77006">
              <w:rPr>
                <w:rFonts w:hint="eastAsia"/>
                <w:sz w:val="18"/>
                <w:szCs w:val="18"/>
                <w:rtl/>
              </w:rPr>
              <w:t>מגובי</w:t>
            </w:r>
            <w:r w:rsidRPr="00F77006">
              <w:rPr>
                <w:sz w:val="18"/>
                <w:szCs w:val="18"/>
                <w:rtl/>
              </w:rPr>
              <w:t xml:space="preserve">   </w:t>
            </w:r>
          </w:p>
          <w:p w14:paraId="5F49E2BC" w14:textId="35C92AE6" w:rsidR="00361A81" w:rsidRPr="00F77006" w:rsidRDefault="00361A81" w:rsidP="00361A81">
            <w:pPr>
              <w:pStyle w:val="-21"/>
              <w:spacing w:before="0"/>
              <w:ind w:left="318" w:firstLine="0"/>
              <w:rPr>
                <w:sz w:val="18"/>
                <w:szCs w:val="18"/>
              </w:rPr>
            </w:pPr>
            <w:r w:rsidRPr="00F77006">
              <w:rPr>
                <w:rFonts w:hint="eastAsia"/>
                <w:sz w:val="18"/>
                <w:szCs w:val="18"/>
                <w:rtl/>
              </w:rPr>
              <w:t>משכנתאות</w:t>
            </w:r>
            <w:r w:rsidRPr="00F77006">
              <w:rPr>
                <w:sz w:val="18"/>
                <w:szCs w:val="18"/>
                <w:rtl/>
              </w:rPr>
              <w:t xml:space="preserve"> (</w:t>
            </w:r>
            <w:r w:rsidRPr="00F77006">
              <w:rPr>
                <w:sz w:val="18"/>
                <w:szCs w:val="18"/>
              </w:rPr>
              <w:t>MBS</w:t>
            </w:r>
            <w:r w:rsidRPr="00F77006">
              <w:rPr>
                <w:sz w:val="18"/>
                <w:szCs w:val="18"/>
                <w:rtl/>
              </w:rPr>
              <w:t>)</w:t>
            </w:r>
            <w:r w:rsidRPr="00F77006">
              <w:rPr>
                <w:sz w:val="18"/>
                <w:szCs w:val="18"/>
                <w:vertAlign w:val="superscript"/>
                <w:rtl/>
              </w:rPr>
              <w:t>[</w:t>
            </w:r>
            <w:r w:rsidRPr="00F77006">
              <w:rPr>
                <w:sz w:val="18"/>
                <w:szCs w:val="18"/>
                <w:vertAlign w:val="superscript"/>
                <w:rtl/>
              </w:rPr>
              <w:footnoteReference w:id="44"/>
            </w:r>
            <w:r w:rsidRPr="00F77006">
              <w:rPr>
                <w:sz w:val="18"/>
                <w:szCs w:val="18"/>
                <w:vertAlign w:val="superscript"/>
                <w:rtl/>
              </w:rPr>
              <w:t xml:space="preserve">] </w:t>
            </w:r>
          </w:p>
        </w:tc>
        <w:tc>
          <w:tcPr>
            <w:tcW w:w="166" w:type="pct"/>
            <w:vAlign w:val="bottom"/>
          </w:tcPr>
          <w:p w14:paraId="308C25D5" w14:textId="77777777" w:rsidR="00361A81" w:rsidRPr="00396232" w:rsidRDefault="00361A81" w:rsidP="00361A81">
            <w:pPr>
              <w:pStyle w:val="-3"/>
              <w:rPr>
                <w:sz w:val="16"/>
                <w:szCs w:val="16"/>
                <w:rtl/>
              </w:rPr>
            </w:pPr>
            <w:r w:rsidRPr="00B44059">
              <w:rPr>
                <w:sz w:val="16"/>
                <w:szCs w:val="16"/>
                <w:rtl/>
              </w:rPr>
              <w:t xml:space="preserve"> 0</w:t>
            </w:r>
          </w:p>
        </w:tc>
        <w:tc>
          <w:tcPr>
            <w:tcW w:w="206" w:type="pct"/>
            <w:vAlign w:val="bottom"/>
          </w:tcPr>
          <w:p w14:paraId="0B942690" w14:textId="77777777" w:rsidR="00361A81" w:rsidRPr="00396232" w:rsidRDefault="00361A81" w:rsidP="00361A81">
            <w:pPr>
              <w:pStyle w:val="-3"/>
              <w:rPr>
                <w:sz w:val="16"/>
                <w:szCs w:val="16"/>
                <w:rtl/>
              </w:rPr>
            </w:pPr>
            <w:r w:rsidRPr="00B44059">
              <w:rPr>
                <w:sz w:val="16"/>
                <w:szCs w:val="16"/>
                <w:rtl/>
              </w:rPr>
              <w:t xml:space="preserve"> 0</w:t>
            </w:r>
          </w:p>
        </w:tc>
        <w:tc>
          <w:tcPr>
            <w:tcW w:w="214" w:type="pct"/>
            <w:vAlign w:val="bottom"/>
          </w:tcPr>
          <w:p w14:paraId="2C8982A8" w14:textId="6F2A5774" w:rsidR="00361A81" w:rsidRPr="00B44059" w:rsidRDefault="00361A81" w:rsidP="00361A81">
            <w:pPr>
              <w:pStyle w:val="-3"/>
              <w:rPr>
                <w:sz w:val="16"/>
                <w:szCs w:val="16"/>
                <w:rtl/>
              </w:rPr>
            </w:pPr>
            <w:r w:rsidRPr="00555E32">
              <w:rPr>
                <w:sz w:val="16"/>
                <w:szCs w:val="16"/>
                <w:rtl/>
              </w:rPr>
              <w:t xml:space="preserve"> 0</w:t>
            </w:r>
          </w:p>
        </w:tc>
        <w:tc>
          <w:tcPr>
            <w:tcW w:w="233" w:type="pct"/>
            <w:vAlign w:val="bottom"/>
          </w:tcPr>
          <w:p w14:paraId="4D980F0B" w14:textId="1E72934C" w:rsidR="00361A81" w:rsidRPr="00396232" w:rsidRDefault="00361A81" w:rsidP="00361A81">
            <w:pPr>
              <w:pStyle w:val="-3"/>
              <w:rPr>
                <w:sz w:val="16"/>
                <w:szCs w:val="16"/>
                <w:rtl/>
              </w:rPr>
            </w:pPr>
            <w:r w:rsidRPr="00B44059">
              <w:rPr>
                <w:sz w:val="16"/>
                <w:szCs w:val="16"/>
                <w:rtl/>
              </w:rPr>
              <w:t xml:space="preserve"> 0</w:t>
            </w:r>
          </w:p>
        </w:tc>
        <w:tc>
          <w:tcPr>
            <w:tcW w:w="233" w:type="pct"/>
            <w:vAlign w:val="bottom"/>
          </w:tcPr>
          <w:p w14:paraId="5D8603B1" w14:textId="77777777" w:rsidR="00361A81" w:rsidRPr="00396232" w:rsidRDefault="00361A81" w:rsidP="00361A81">
            <w:pPr>
              <w:pStyle w:val="-3"/>
              <w:rPr>
                <w:sz w:val="16"/>
                <w:szCs w:val="16"/>
                <w:rtl/>
              </w:rPr>
            </w:pPr>
            <w:r w:rsidRPr="00B44059">
              <w:rPr>
                <w:sz w:val="16"/>
                <w:szCs w:val="16"/>
                <w:rtl/>
              </w:rPr>
              <w:t xml:space="preserve"> 0</w:t>
            </w:r>
          </w:p>
        </w:tc>
        <w:tc>
          <w:tcPr>
            <w:tcW w:w="155" w:type="pct"/>
            <w:vAlign w:val="bottom"/>
          </w:tcPr>
          <w:p w14:paraId="79489050" w14:textId="77777777" w:rsidR="00361A81" w:rsidRPr="00396232" w:rsidRDefault="00361A81" w:rsidP="00361A81">
            <w:pPr>
              <w:pStyle w:val="-3"/>
              <w:rPr>
                <w:sz w:val="16"/>
                <w:szCs w:val="16"/>
                <w:rtl/>
              </w:rPr>
            </w:pPr>
            <w:r w:rsidRPr="00B44059">
              <w:rPr>
                <w:sz w:val="16"/>
                <w:szCs w:val="16"/>
                <w:rtl/>
              </w:rPr>
              <w:t xml:space="preserve"> 0</w:t>
            </w:r>
          </w:p>
        </w:tc>
        <w:tc>
          <w:tcPr>
            <w:tcW w:w="38" w:type="pct"/>
          </w:tcPr>
          <w:p w14:paraId="6FD5464B" w14:textId="77777777" w:rsidR="00361A81" w:rsidRPr="00396232" w:rsidRDefault="00361A81" w:rsidP="00361A81">
            <w:pPr>
              <w:pStyle w:val="-21"/>
              <w:rPr>
                <w:sz w:val="16"/>
                <w:szCs w:val="16"/>
                <w:rtl/>
              </w:rPr>
            </w:pPr>
          </w:p>
        </w:tc>
        <w:tc>
          <w:tcPr>
            <w:tcW w:w="156" w:type="pct"/>
            <w:vAlign w:val="bottom"/>
          </w:tcPr>
          <w:p w14:paraId="63F6A78D" w14:textId="77777777" w:rsidR="00361A81" w:rsidRPr="00396232" w:rsidRDefault="00361A81" w:rsidP="00361A81">
            <w:pPr>
              <w:pStyle w:val="-3"/>
              <w:rPr>
                <w:sz w:val="16"/>
                <w:szCs w:val="16"/>
                <w:rtl/>
              </w:rPr>
            </w:pPr>
            <w:r w:rsidRPr="00B44059">
              <w:rPr>
                <w:sz w:val="16"/>
                <w:szCs w:val="16"/>
                <w:rtl/>
              </w:rPr>
              <w:t xml:space="preserve"> 0</w:t>
            </w:r>
          </w:p>
        </w:tc>
        <w:tc>
          <w:tcPr>
            <w:tcW w:w="211" w:type="pct"/>
            <w:vAlign w:val="bottom"/>
          </w:tcPr>
          <w:p w14:paraId="0886B341" w14:textId="77777777" w:rsidR="00361A81" w:rsidRPr="00396232" w:rsidRDefault="00361A81" w:rsidP="00361A81">
            <w:pPr>
              <w:pStyle w:val="-3"/>
              <w:rPr>
                <w:sz w:val="16"/>
                <w:szCs w:val="16"/>
                <w:rtl/>
              </w:rPr>
            </w:pPr>
            <w:r w:rsidRPr="00B44059">
              <w:rPr>
                <w:sz w:val="16"/>
                <w:szCs w:val="16"/>
                <w:rtl/>
              </w:rPr>
              <w:t xml:space="preserve"> 0</w:t>
            </w:r>
          </w:p>
        </w:tc>
        <w:tc>
          <w:tcPr>
            <w:tcW w:w="226" w:type="pct"/>
            <w:vAlign w:val="bottom"/>
          </w:tcPr>
          <w:p w14:paraId="12DDCF9C" w14:textId="627FF20A" w:rsidR="00361A81" w:rsidRPr="00B44059" w:rsidRDefault="00361A81" w:rsidP="00361A81">
            <w:pPr>
              <w:pStyle w:val="-3"/>
              <w:rPr>
                <w:sz w:val="16"/>
                <w:szCs w:val="16"/>
                <w:rtl/>
              </w:rPr>
            </w:pPr>
            <w:r w:rsidRPr="002236DD">
              <w:rPr>
                <w:sz w:val="16"/>
                <w:szCs w:val="16"/>
                <w:rtl/>
              </w:rPr>
              <w:t xml:space="preserve"> 0</w:t>
            </w:r>
          </w:p>
        </w:tc>
        <w:tc>
          <w:tcPr>
            <w:tcW w:w="233" w:type="pct"/>
            <w:vAlign w:val="bottom"/>
          </w:tcPr>
          <w:p w14:paraId="32976EB9" w14:textId="46A068B5" w:rsidR="00361A81" w:rsidRPr="00396232" w:rsidRDefault="00361A81" w:rsidP="00361A81">
            <w:pPr>
              <w:pStyle w:val="-3"/>
              <w:rPr>
                <w:sz w:val="16"/>
                <w:szCs w:val="16"/>
                <w:rtl/>
              </w:rPr>
            </w:pPr>
            <w:r w:rsidRPr="00B44059">
              <w:rPr>
                <w:sz w:val="16"/>
                <w:szCs w:val="16"/>
                <w:rtl/>
              </w:rPr>
              <w:t xml:space="preserve"> 0</w:t>
            </w:r>
          </w:p>
        </w:tc>
        <w:tc>
          <w:tcPr>
            <w:tcW w:w="236" w:type="pct"/>
            <w:vAlign w:val="bottom"/>
          </w:tcPr>
          <w:p w14:paraId="767F8C31" w14:textId="77777777" w:rsidR="00361A81" w:rsidRPr="00396232" w:rsidRDefault="00361A81" w:rsidP="00361A81">
            <w:pPr>
              <w:pStyle w:val="-3"/>
              <w:rPr>
                <w:sz w:val="16"/>
                <w:szCs w:val="16"/>
                <w:rtl/>
              </w:rPr>
            </w:pPr>
            <w:r w:rsidRPr="00B44059">
              <w:rPr>
                <w:sz w:val="16"/>
                <w:szCs w:val="16"/>
                <w:rtl/>
              </w:rPr>
              <w:t xml:space="preserve"> 0</w:t>
            </w:r>
          </w:p>
        </w:tc>
        <w:tc>
          <w:tcPr>
            <w:tcW w:w="156" w:type="pct"/>
            <w:vAlign w:val="bottom"/>
          </w:tcPr>
          <w:p w14:paraId="16321D9A" w14:textId="77777777" w:rsidR="00361A81" w:rsidRPr="00396232" w:rsidRDefault="00361A81" w:rsidP="00361A81">
            <w:pPr>
              <w:pStyle w:val="-3"/>
              <w:rPr>
                <w:sz w:val="16"/>
                <w:szCs w:val="16"/>
                <w:rtl/>
              </w:rPr>
            </w:pPr>
            <w:r w:rsidRPr="00B44059">
              <w:rPr>
                <w:sz w:val="16"/>
                <w:szCs w:val="16"/>
                <w:rtl/>
              </w:rPr>
              <w:t xml:space="preserve"> 0</w:t>
            </w:r>
          </w:p>
        </w:tc>
        <w:tc>
          <w:tcPr>
            <w:tcW w:w="39" w:type="pct"/>
            <w:tcMar>
              <w:left w:w="58" w:type="dxa"/>
              <w:right w:w="58" w:type="dxa"/>
            </w:tcMar>
            <w:vAlign w:val="bottom"/>
          </w:tcPr>
          <w:p w14:paraId="1BA662B5" w14:textId="77777777" w:rsidR="00361A81" w:rsidRPr="00396232" w:rsidRDefault="00361A81" w:rsidP="00361A81">
            <w:pPr>
              <w:pStyle w:val="-7"/>
              <w:rPr>
                <w:sz w:val="16"/>
                <w:szCs w:val="16"/>
                <w:rtl/>
              </w:rPr>
            </w:pPr>
          </w:p>
        </w:tc>
        <w:tc>
          <w:tcPr>
            <w:tcW w:w="156" w:type="pct"/>
            <w:vAlign w:val="bottom"/>
          </w:tcPr>
          <w:p w14:paraId="59257159" w14:textId="77777777" w:rsidR="00361A81" w:rsidRPr="00396232" w:rsidRDefault="00361A81" w:rsidP="00361A81">
            <w:pPr>
              <w:pStyle w:val="-3"/>
              <w:rPr>
                <w:sz w:val="16"/>
                <w:szCs w:val="16"/>
                <w:rtl/>
              </w:rPr>
            </w:pPr>
            <w:r w:rsidRPr="00B44059">
              <w:rPr>
                <w:sz w:val="16"/>
                <w:szCs w:val="16"/>
                <w:rtl/>
              </w:rPr>
              <w:t xml:space="preserve"> 0</w:t>
            </w:r>
          </w:p>
        </w:tc>
        <w:tc>
          <w:tcPr>
            <w:tcW w:w="203" w:type="pct"/>
            <w:vAlign w:val="bottom"/>
          </w:tcPr>
          <w:p w14:paraId="0C7A5AFF" w14:textId="77777777" w:rsidR="00361A81" w:rsidRPr="00396232" w:rsidRDefault="00361A81" w:rsidP="00361A81">
            <w:pPr>
              <w:pStyle w:val="-3"/>
              <w:rPr>
                <w:sz w:val="16"/>
                <w:szCs w:val="16"/>
                <w:rtl/>
              </w:rPr>
            </w:pPr>
            <w:r w:rsidRPr="00B44059">
              <w:rPr>
                <w:sz w:val="16"/>
                <w:szCs w:val="16"/>
                <w:rtl/>
              </w:rPr>
              <w:t xml:space="preserve"> 0</w:t>
            </w:r>
          </w:p>
        </w:tc>
        <w:tc>
          <w:tcPr>
            <w:tcW w:w="236" w:type="pct"/>
            <w:vAlign w:val="bottom"/>
          </w:tcPr>
          <w:p w14:paraId="59A9A104" w14:textId="45D6D403" w:rsidR="00361A81" w:rsidRPr="00B44059" w:rsidRDefault="00361A81" w:rsidP="00361A81">
            <w:pPr>
              <w:pStyle w:val="-3"/>
              <w:rPr>
                <w:sz w:val="16"/>
                <w:szCs w:val="16"/>
                <w:rtl/>
              </w:rPr>
            </w:pPr>
            <w:r w:rsidRPr="002236DD">
              <w:rPr>
                <w:sz w:val="16"/>
                <w:szCs w:val="16"/>
                <w:rtl/>
              </w:rPr>
              <w:t xml:space="preserve"> 0</w:t>
            </w:r>
          </w:p>
        </w:tc>
        <w:tc>
          <w:tcPr>
            <w:tcW w:w="236" w:type="pct"/>
            <w:vAlign w:val="bottom"/>
          </w:tcPr>
          <w:p w14:paraId="4D019F2F" w14:textId="500B397F" w:rsidR="00361A81" w:rsidRPr="00396232" w:rsidRDefault="00361A81" w:rsidP="00361A81">
            <w:pPr>
              <w:pStyle w:val="-3"/>
              <w:rPr>
                <w:sz w:val="16"/>
                <w:szCs w:val="16"/>
                <w:rtl/>
              </w:rPr>
            </w:pPr>
            <w:r w:rsidRPr="00B44059">
              <w:rPr>
                <w:sz w:val="16"/>
                <w:szCs w:val="16"/>
                <w:rtl/>
              </w:rPr>
              <w:t xml:space="preserve"> 0</w:t>
            </w:r>
          </w:p>
        </w:tc>
        <w:tc>
          <w:tcPr>
            <w:tcW w:w="238" w:type="pct"/>
            <w:vAlign w:val="bottom"/>
          </w:tcPr>
          <w:p w14:paraId="5244B0E7" w14:textId="77777777" w:rsidR="00361A81" w:rsidRPr="00396232" w:rsidRDefault="00361A81" w:rsidP="00361A81">
            <w:pPr>
              <w:pStyle w:val="-3"/>
              <w:rPr>
                <w:sz w:val="16"/>
                <w:szCs w:val="16"/>
                <w:rtl/>
              </w:rPr>
            </w:pPr>
            <w:r w:rsidRPr="00B44059">
              <w:rPr>
                <w:sz w:val="16"/>
                <w:szCs w:val="16"/>
                <w:rtl/>
              </w:rPr>
              <w:t xml:space="preserve"> 0</w:t>
            </w:r>
          </w:p>
        </w:tc>
        <w:tc>
          <w:tcPr>
            <w:tcW w:w="156" w:type="pct"/>
            <w:vAlign w:val="bottom"/>
          </w:tcPr>
          <w:p w14:paraId="30437E29" w14:textId="77777777" w:rsidR="00361A81" w:rsidRPr="00396232" w:rsidRDefault="00361A81" w:rsidP="00361A81">
            <w:pPr>
              <w:pStyle w:val="-3"/>
              <w:rPr>
                <w:sz w:val="16"/>
                <w:szCs w:val="16"/>
                <w:rtl/>
              </w:rPr>
            </w:pPr>
            <w:r w:rsidRPr="00B44059">
              <w:rPr>
                <w:sz w:val="16"/>
                <w:szCs w:val="16"/>
                <w:rtl/>
              </w:rPr>
              <w:t xml:space="preserve"> 0</w:t>
            </w:r>
          </w:p>
        </w:tc>
      </w:tr>
      <w:tr w:rsidR="00361A81" w:rsidRPr="00EE3141" w14:paraId="1905CA46" w14:textId="77777777" w:rsidTr="00580C3A">
        <w:trPr>
          <w:trHeight w:val="227"/>
        </w:trPr>
        <w:tc>
          <w:tcPr>
            <w:tcW w:w="364" w:type="pct"/>
          </w:tcPr>
          <w:p w14:paraId="7E56EB80" w14:textId="77777777" w:rsidR="00361A81" w:rsidRPr="00EE3141" w:rsidRDefault="00361A81" w:rsidP="00361A81">
            <w:pPr>
              <w:pStyle w:val="-7"/>
              <w:rPr>
                <w:sz w:val="15"/>
                <w:szCs w:val="15"/>
                <w:rtl/>
              </w:rPr>
            </w:pPr>
          </w:p>
        </w:tc>
        <w:tc>
          <w:tcPr>
            <w:tcW w:w="908" w:type="pct"/>
            <w:vAlign w:val="bottom"/>
          </w:tcPr>
          <w:p w14:paraId="6D369D7C" w14:textId="77777777" w:rsidR="00361A81" w:rsidRPr="00F77006" w:rsidRDefault="00361A81" w:rsidP="004836CE">
            <w:pPr>
              <w:pStyle w:val="-0"/>
              <w:spacing w:after="20" w:line="240" w:lineRule="auto"/>
              <w:ind w:left="324" w:hanging="132"/>
              <w:rPr>
                <w:sz w:val="18"/>
                <w:szCs w:val="18"/>
              </w:rPr>
            </w:pPr>
            <w:r w:rsidRPr="00F77006">
              <w:rPr>
                <w:rFonts w:hint="eastAsia"/>
                <w:sz w:val="18"/>
                <w:szCs w:val="18"/>
                <w:rtl/>
              </w:rPr>
              <w:t>של</w:t>
            </w:r>
            <w:r w:rsidRPr="00F77006">
              <w:rPr>
                <w:sz w:val="18"/>
                <w:szCs w:val="18"/>
                <w:rtl/>
              </w:rPr>
              <w:t xml:space="preserve"> </w:t>
            </w:r>
            <w:r w:rsidRPr="00F77006">
              <w:rPr>
                <w:rFonts w:hint="eastAsia"/>
                <w:sz w:val="18"/>
                <w:szCs w:val="18"/>
                <w:rtl/>
              </w:rPr>
              <w:t>אחרים</w:t>
            </w:r>
            <w:r w:rsidRPr="00F77006">
              <w:rPr>
                <w:sz w:val="18"/>
                <w:szCs w:val="18"/>
                <w:rtl/>
              </w:rPr>
              <w:t xml:space="preserve"> </w:t>
            </w:r>
            <w:r w:rsidRPr="00F77006">
              <w:rPr>
                <w:rFonts w:hint="eastAsia"/>
                <w:sz w:val="18"/>
                <w:szCs w:val="18"/>
                <w:rtl/>
              </w:rPr>
              <w:t>בישראל</w:t>
            </w:r>
          </w:p>
        </w:tc>
        <w:tc>
          <w:tcPr>
            <w:tcW w:w="166" w:type="pct"/>
            <w:vAlign w:val="bottom"/>
          </w:tcPr>
          <w:p w14:paraId="63448080" w14:textId="77777777" w:rsidR="00361A81" w:rsidRPr="00396232" w:rsidRDefault="00361A81" w:rsidP="00361A81">
            <w:pPr>
              <w:pStyle w:val="-3"/>
              <w:rPr>
                <w:sz w:val="16"/>
                <w:szCs w:val="16"/>
                <w:rtl/>
              </w:rPr>
            </w:pPr>
            <w:r w:rsidRPr="00B44059">
              <w:rPr>
                <w:sz w:val="16"/>
                <w:szCs w:val="16"/>
                <w:rtl/>
              </w:rPr>
              <w:t xml:space="preserve"> 0</w:t>
            </w:r>
          </w:p>
        </w:tc>
        <w:tc>
          <w:tcPr>
            <w:tcW w:w="206" w:type="pct"/>
            <w:vAlign w:val="bottom"/>
          </w:tcPr>
          <w:p w14:paraId="5602A26A" w14:textId="77777777" w:rsidR="00361A81" w:rsidRPr="00396232" w:rsidRDefault="00361A81" w:rsidP="00361A81">
            <w:pPr>
              <w:pStyle w:val="-3"/>
              <w:rPr>
                <w:sz w:val="16"/>
                <w:szCs w:val="16"/>
                <w:rtl/>
              </w:rPr>
            </w:pPr>
            <w:r w:rsidRPr="00B44059">
              <w:rPr>
                <w:sz w:val="16"/>
                <w:szCs w:val="16"/>
                <w:rtl/>
              </w:rPr>
              <w:t xml:space="preserve"> 0</w:t>
            </w:r>
          </w:p>
        </w:tc>
        <w:tc>
          <w:tcPr>
            <w:tcW w:w="214" w:type="pct"/>
            <w:vAlign w:val="bottom"/>
          </w:tcPr>
          <w:p w14:paraId="1710057B" w14:textId="4669FAF2" w:rsidR="00361A81" w:rsidRPr="00B44059" w:rsidRDefault="00361A81" w:rsidP="00361A81">
            <w:pPr>
              <w:pStyle w:val="-3"/>
              <w:rPr>
                <w:sz w:val="16"/>
                <w:szCs w:val="16"/>
                <w:rtl/>
              </w:rPr>
            </w:pPr>
            <w:r w:rsidRPr="00555E32">
              <w:rPr>
                <w:sz w:val="16"/>
                <w:szCs w:val="16"/>
                <w:rtl/>
              </w:rPr>
              <w:t xml:space="preserve"> 0</w:t>
            </w:r>
          </w:p>
        </w:tc>
        <w:tc>
          <w:tcPr>
            <w:tcW w:w="233" w:type="pct"/>
            <w:vAlign w:val="bottom"/>
          </w:tcPr>
          <w:p w14:paraId="3E1D9646" w14:textId="32663BC7" w:rsidR="00361A81" w:rsidRPr="00396232" w:rsidRDefault="00361A81" w:rsidP="00361A81">
            <w:pPr>
              <w:pStyle w:val="-3"/>
              <w:rPr>
                <w:sz w:val="16"/>
                <w:szCs w:val="16"/>
                <w:rtl/>
              </w:rPr>
            </w:pPr>
            <w:r w:rsidRPr="00B44059">
              <w:rPr>
                <w:sz w:val="16"/>
                <w:szCs w:val="16"/>
                <w:rtl/>
              </w:rPr>
              <w:t xml:space="preserve"> 0</w:t>
            </w:r>
          </w:p>
        </w:tc>
        <w:tc>
          <w:tcPr>
            <w:tcW w:w="233" w:type="pct"/>
            <w:vAlign w:val="bottom"/>
          </w:tcPr>
          <w:p w14:paraId="101AC623" w14:textId="77777777" w:rsidR="00361A81" w:rsidRPr="00396232" w:rsidRDefault="00361A81" w:rsidP="00361A81">
            <w:pPr>
              <w:pStyle w:val="-3"/>
              <w:rPr>
                <w:sz w:val="16"/>
                <w:szCs w:val="16"/>
                <w:rtl/>
              </w:rPr>
            </w:pPr>
            <w:r w:rsidRPr="00B44059">
              <w:rPr>
                <w:sz w:val="16"/>
                <w:szCs w:val="16"/>
                <w:rtl/>
              </w:rPr>
              <w:t xml:space="preserve"> 0</w:t>
            </w:r>
          </w:p>
        </w:tc>
        <w:tc>
          <w:tcPr>
            <w:tcW w:w="155" w:type="pct"/>
            <w:vAlign w:val="bottom"/>
          </w:tcPr>
          <w:p w14:paraId="6E2FE3DC" w14:textId="77777777" w:rsidR="00361A81" w:rsidRPr="00396232" w:rsidRDefault="00361A81" w:rsidP="00361A81">
            <w:pPr>
              <w:pStyle w:val="-3"/>
              <w:rPr>
                <w:sz w:val="16"/>
                <w:szCs w:val="16"/>
                <w:rtl/>
              </w:rPr>
            </w:pPr>
            <w:r w:rsidRPr="00B44059">
              <w:rPr>
                <w:sz w:val="16"/>
                <w:szCs w:val="16"/>
                <w:rtl/>
              </w:rPr>
              <w:t xml:space="preserve"> 0</w:t>
            </w:r>
          </w:p>
        </w:tc>
        <w:tc>
          <w:tcPr>
            <w:tcW w:w="38" w:type="pct"/>
          </w:tcPr>
          <w:p w14:paraId="3E456323" w14:textId="77777777" w:rsidR="00361A81" w:rsidRPr="00396232" w:rsidRDefault="00361A81" w:rsidP="00361A81">
            <w:pPr>
              <w:pStyle w:val="-0"/>
              <w:rPr>
                <w:sz w:val="16"/>
                <w:szCs w:val="16"/>
                <w:rtl/>
              </w:rPr>
            </w:pPr>
          </w:p>
        </w:tc>
        <w:tc>
          <w:tcPr>
            <w:tcW w:w="156" w:type="pct"/>
            <w:vAlign w:val="bottom"/>
          </w:tcPr>
          <w:p w14:paraId="06F90511" w14:textId="77777777" w:rsidR="00361A81" w:rsidRPr="00396232" w:rsidRDefault="00361A81" w:rsidP="00361A81">
            <w:pPr>
              <w:pStyle w:val="-3"/>
              <w:rPr>
                <w:sz w:val="16"/>
                <w:szCs w:val="16"/>
                <w:rtl/>
              </w:rPr>
            </w:pPr>
            <w:r w:rsidRPr="00B44059">
              <w:rPr>
                <w:sz w:val="16"/>
                <w:szCs w:val="16"/>
                <w:rtl/>
              </w:rPr>
              <w:t xml:space="preserve"> 0</w:t>
            </w:r>
          </w:p>
        </w:tc>
        <w:tc>
          <w:tcPr>
            <w:tcW w:w="211" w:type="pct"/>
            <w:vAlign w:val="bottom"/>
          </w:tcPr>
          <w:p w14:paraId="1A441E5E" w14:textId="77777777" w:rsidR="00361A81" w:rsidRPr="00396232" w:rsidRDefault="00361A81" w:rsidP="00361A81">
            <w:pPr>
              <w:pStyle w:val="-3"/>
              <w:rPr>
                <w:sz w:val="16"/>
                <w:szCs w:val="16"/>
                <w:rtl/>
              </w:rPr>
            </w:pPr>
            <w:r w:rsidRPr="00B44059">
              <w:rPr>
                <w:sz w:val="16"/>
                <w:szCs w:val="16"/>
                <w:rtl/>
              </w:rPr>
              <w:t xml:space="preserve"> 0</w:t>
            </w:r>
          </w:p>
        </w:tc>
        <w:tc>
          <w:tcPr>
            <w:tcW w:w="226" w:type="pct"/>
            <w:vAlign w:val="bottom"/>
          </w:tcPr>
          <w:p w14:paraId="53B61EC5" w14:textId="61754425" w:rsidR="00361A81" w:rsidRPr="00B44059" w:rsidRDefault="00361A81" w:rsidP="00361A81">
            <w:pPr>
              <w:pStyle w:val="-3"/>
              <w:rPr>
                <w:sz w:val="16"/>
                <w:szCs w:val="16"/>
                <w:rtl/>
              </w:rPr>
            </w:pPr>
            <w:r w:rsidRPr="002236DD">
              <w:rPr>
                <w:sz w:val="16"/>
                <w:szCs w:val="16"/>
                <w:rtl/>
              </w:rPr>
              <w:t xml:space="preserve"> 0</w:t>
            </w:r>
          </w:p>
        </w:tc>
        <w:tc>
          <w:tcPr>
            <w:tcW w:w="233" w:type="pct"/>
            <w:vAlign w:val="bottom"/>
          </w:tcPr>
          <w:p w14:paraId="424DB0AC" w14:textId="62723DB4" w:rsidR="00361A81" w:rsidRPr="00396232" w:rsidRDefault="00361A81" w:rsidP="00361A81">
            <w:pPr>
              <w:pStyle w:val="-3"/>
              <w:rPr>
                <w:sz w:val="16"/>
                <w:szCs w:val="16"/>
                <w:rtl/>
              </w:rPr>
            </w:pPr>
            <w:r w:rsidRPr="00B44059">
              <w:rPr>
                <w:sz w:val="16"/>
                <w:szCs w:val="16"/>
                <w:rtl/>
              </w:rPr>
              <w:t xml:space="preserve"> 0</w:t>
            </w:r>
          </w:p>
        </w:tc>
        <w:tc>
          <w:tcPr>
            <w:tcW w:w="236" w:type="pct"/>
            <w:vAlign w:val="bottom"/>
          </w:tcPr>
          <w:p w14:paraId="397F9CFD" w14:textId="77777777" w:rsidR="00361A81" w:rsidRPr="00396232" w:rsidRDefault="00361A81" w:rsidP="00361A81">
            <w:pPr>
              <w:pStyle w:val="-3"/>
              <w:rPr>
                <w:sz w:val="16"/>
                <w:szCs w:val="16"/>
                <w:rtl/>
              </w:rPr>
            </w:pPr>
            <w:r w:rsidRPr="00B44059">
              <w:rPr>
                <w:sz w:val="16"/>
                <w:szCs w:val="16"/>
                <w:rtl/>
              </w:rPr>
              <w:t xml:space="preserve"> 0</w:t>
            </w:r>
          </w:p>
        </w:tc>
        <w:tc>
          <w:tcPr>
            <w:tcW w:w="156" w:type="pct"/>
            <w:vAlign w:val="bottom"/>
          </w:tcPr>
          <w:p w14:paraId="6FB65BF7" w14:textId="77777777" w:rsidR="00361A81" w:rsidRPr="00396232" w:rsidRDefault="00361A81" w:rsidP="00361A81">
            <w:pPr>
              <w:pStyle w:val="-3"/>
              <w:rPr>
                <w:sz w:val="16"/>
                <w:szCs w:val="16"/>
                <w:rtl/>
              </w:rPr>
            </w:pPr>
            <w:r w:rsidRPr="00B44059">
              <w:rPr>
                <w:sz w:val="16"/>
                <w:szCs w:val="16"/>
                <w:rtl/>
              </w:rPr>
              <w:t xml:space="preserve"> 0</w:t>
            </w:r>
          </w:p>
        </w:tc>
        <w:tc>
          <w:tcPr>
            <w:tcW w:w="39" w:type="pct"/>
            <w:tcMar>
              <w:left w:w="58" w:type="dxa"/>
              <w:right w:w="58" w:type="dxa"/>
            </w:tcMar>
            <w:vAlign w:val="bottom"/>
          </w:tcPr>
          <w:p w14:paraId="41F30C90" w14:textId="77777777" w:rsidR="00361A81" w:rsidRPr="00396232" w:rsidRDefault="00361A81" w:rsidP="00361A81">
            <w:pPr>
              <w:pStyle w:val="-7"/>
              <w:rPr>
                <w:sz w:val="16"/>
                <w:szCs w:val="16"/>
                <w:rtl/>
              </w:rPr>
            </w:pPr>
          </w:p>
        </w:tc>
        <w:tc>
          <w:tcPr>
            <w:tcW w:w="156" w:type="pct"/>
            <w:vAlign w:val="bottom"/>
          </w:tcPr>
          <w:p w14:paraId="2435D7A4" w14:textId="77777777" w:rsidR="00361A81" w:rsidRPr="00396232" w:rsidRDefault="00361A81" w:rsidP="00361A81">
            <w:pPr>
              <w:pStyle w:val="-3"/>
              <w:rPr>
                <w:sz w:val="16"/>
                <w:szCs w:val="16"/>
                <w:rtl/>
              </w:rPr>
            </w:pPr>
            <w:r w:rsidRPr="00B44059">
              <w:rPr>
                <w:sz w:val="16"/>
                <w:szCs w:val="16"/>
                <w:rtl/>
              </w:rPr>
              <w:t xml:space="preserve"> 0</w:t>
            </w:r>
          </w:p>
        </w:tc>
        <w:tc>
          <w:tcPr>
            <w:tcW w:w="203" w:type="pct"/>
            <w:vAlign w:val="bottom"/>
          </w:tcPr>
          <w:p w14:paraId="409E7490" w14:textId="77777777" w:rsidR="00361A81" w:rsidRPr="00396232" w:rsidRDefault="00361A81" w:rsidP="00361A81">
            <w:pPr>
              <w:pStyle w:val="-3"/>
              <w:rPr>
                <w:sz w:val="16"/>
                <w:szCs w:val="16"/>
                <w:rtl/>
              </w:rPr>
            </w:pPr>
            <w:r w:rsidRPr="00B44059">
              <w:rPr>
                <w:sz w:val="16"/>
                <w:szCs w:val="16"/>
                <w:rtl/>
              </w:rPr>
              <w:t xml:space="preserve"> 0</w:t>
            </w:r>
          </w:p>
        </w:tc>
        <w:tc>
          <w:tcPr>
            <w:tcW w:w="236" w:type="pct"/>
            <w:vAlign w:val="bottom"/>
          </w:tcPr>
          <w:p w14:paraId="2FD41683" w14:textId="5D905E57" w:rsidR="00361A81" w:rsidRPr="00B44059" w:rsidRDefault="00361A81" w:rsidP="00361A81">
            <w:pPr>
              <w:pStyle w:val="-3"/>
              <w:rPr>
                <w:sz w:val="16"/>
                <w:szCs w:val="16"/>
                <w:rtl/>
              </w:rPr>
            </w:pPr>
            <w:r w:rsidRPr="002236DD">
              <w:rPr>
                <w:sz w:val="16"/>
                <w:szCs w:val="16"/>
                <w:rtl/>
              </w:rPr>
              <w:t xml:space="preserve"> 0</w:t>
            </w:r>
          </w:p>
        </w:tc>
        <w:tc>
          <w:tcPr>
            <w:tcW w:w="236" w:type="pct"/>
            <w:vAlign w:val="bottom"/>
          </w:tcPr>
          <w:p w14:paraId="19EA84D1" w14:textId="5B92F529" w:rsidR="00361A81" w:rsidRPr="00396232" w:rsidRDefault="00361A81" w:rsidP="00361A81">
            <w:pPr>
              <w:pStyle w:val="-3"/>
              <w:rPr>
                <w:sz w:val="16"/>
                <w:szCs w:val="16"/>
                <w:rtl/>
              </w:rPr>
            </w:pPr>
            <w:r w:rsidRPr="00B44059">
              <w:rPr>
                <w:sz w:val="16"/>
                <w:szCs w:val="16"/>
                <w:rtl/>
              </w:rPr>
              <w:t xml:space="preserve"> 0</w:t>
            </w:r>
          </w:p>
        </w:tc>
        <w:tc>
          <w:tcPr>
            <w:tcW w:w="238" w:type="pct"/>
            <w:vAlign w:val="bottom"/>
          </w:tcPr>
          <w:p w14:paraId="54F60ADC" w14:textId="77777777" w:rsidR="00361A81" w:rsidRPr="00396232" w:rsidRDefault="00361A81" w:rsidP="00361A81">
            <w:pPr>
              <w:pStyle w:val="-3"/>
              <w:rPr>
                <w:sz w:val="16"/>
                <w:szCs w:val="16"/>
                <w:rtl/>
              </w:rPr>
            </w:pPr>
            <w:r w:rsidRPr="00B44059">
              <w:rPr>
                <w:sz w:val="16"/>
                <w:szCs w:val="16"/>
                <w:rtl/>
              </w:rPr>
              <w:t xml:space="preserve"> 0</w:t>
            </w:r>
          </w:p>
        </w:tc>
        <w:tc>
          <w:tcPr>
            <w:tcW w:w="156" w:type="pct"/>
            <w:vAlign w:val="bottom"/>
          </w:tcPr>
          <w:p w14:paraId="7E0B77F4" w14:textId="77777777" w:rsidR="00361A81" w:rsidRPr="00396232" w:rsidRDefault="00361A81" w:rsidP="00361A81">
            <w:pPr>
              <w:pStyle w:val="-3"/>
              <w:rPr>
                <w:sz w:val="16"/>
                <w:szCs w:val="16"/>
                <w:rtl/>
              </w:rPr>
            </w:pPr>
            <w:r w:rsidRPr="00B44059">
              <w:rPr>
                <w:sz w:val="16"/>
                <w:szCs w:val="16"/>
                <w:rtl/>
              </w:rPr>
              <w:t xml:space="preserve"> 0</w:t>
            </w:r>
          </w:p>
        </w:tc>
      </w:tr>
      <w:tr w:rsidR="00361A81" w:rsidRPr="00EE3141" w14:paraId="38B5D061" w14:textId="77777777" w:rsidTr="00580C3A">
        <w:trPr>
          <w:trHeight w:val="227"/>
        </w:trPr>
        <w:tc>
          <w:tcPr>
            <w:tcW w:w="364" w:type="pct"/>
          </w:tcPr>
          <w:p w14:paraId="0E2D9202" w14:textId="77777777" w:rsidR="00361A81" w:rsidRPr="00EE3141" w:rsidRDefault="00361A81" w:rsidP="00361A81">
            <w:pPr>
              <w:pStyle w:val="-7"/>
              <w:spacing w:after="20"/>
              <w:rPr>
                <w:sz w:val="15"/>
                <w:szCs w:val="15"/>
                <w:rtl/>
              </w:rPr>
            </w:pPr>
          </w:p>
        </w:tc>
        <w:tc>
          <w:tcPr>
            <w:tcW w:w="908" w:type="pct"/>
            <w:vAlign w:val="bottom"/>
          </w:tcPr>
          <w:p w14:paraId="14DD3658" w14:textId="77777777" w:rsidR="00361A81" w:rsidRPr="00F77006" w:rsidRDefault="00361A81" w:rsidP="004836CE">
            <w:pPr>
              <w:pStyle w:val="-0"/>
              <w:spacing w:after="20" w:line="240" w:lineRule="auto"/>
              <w:ind w:left="324" w:hanging="132"/>
              <w:rPr>
                <w:sz w:val="18"/>
                <w:szCs w:val="18"/>
              </w:rPr>
            </w:pPr>
            <w:r w:rsidRPr="00F77006">
              <w:rPr>
                <w:rFonts w:hint="cs"/>
                <w:sz w:val="18"/>
                <w:szCs w:val="18"/>
                <w:rtl/>
              </w:rPr>
              <w:t>של אחרים זרים</w:t>
            </w:r>
          </w:p>
        </w:tc>
        <w:tc>
          <w:tcPr>
            <w:tcW w:w="166" w:type="pct"/>
            <w:vAlign w:val="bottom"/>
          </w:tcPr>
          <w:p w14:paraId="057A97B4" w14:textId="77777777"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c>
          <w:tcPr>
            <w:tcW w:w="206" w:type="pct"/>
            <w:vAlign w:val="bottom"/>
          </w:tcPr>
          <w:p w14:paraId="4B1A7DAD" w14:textId="77777777"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c>
          <w:tcPr>
            <w:tcW w:w="214" w:type="pct"/>
            <w:vAlign w:val="bottom"/>
          </w:tcPr>
          <w:p w14:paraId="40626A2B" w14:textId="0CB8E458" w:rsidR="00361A81" w:rsidRPr="00CC575A" w:rsidRDefault="00361A81" w:rsidP="00361A81">
            <w:pPr>
              <w:pStyle w:val="-f1"/>
              <w:pBdr>
                <w:top w:val="none" w:sz="0" w:space="0" w:color="auto"/>
                <w:bottom w:val="single" w:sz="4" w:space="1" w:color="auto"/>
              </w:pBdr>
              <w:spacing w:after="20"/>
              <w:rPr>
                <w:b w:val="0"/>
                <w:bCs w:val="0"/>
                <w:sz w:val="16"/>
                <w:szCs w:val="16"/>
                <w:rtl/>
              </w:rPr>
            </w:pPr>
            <w:r w:rsidRPr="00555E32">
              <w:rPr>
                <w:sz w:val="16"/>
                <w:szCs w:val="16"/>
                <w:rtl/>
              </w:rPr>
              <w:t xml:space="preserve"> </w:t>
            </w:r>
            <w:r w:rsidRPr="00CC575A">
              <w:rPr>
                <w:b w:val="0"/>
                <w:bCs w:val="0"/>
                <w:sz w:val="16"/>
                <w:szCs w:val="16"/>
                <w:rtl/>
              </w:rPr>
              <w:t>0</w:t>
            </w:r>
          </w:p>
        </w:tc>
        <w:tc>
          <w:tcPr>
            <w:tcW w:w="233" w:type="pct"/>
            <w:vAlign w:val="bottom"/>
          </w:tcPr>
          <w:p w14:paraId="525432E8" w14:textId="5CAEFE66"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c>
          <w:tcPr>
            <w:tcW w:w="233" w:type="pct"/>
            <w:vAlign w:val="bottom"/>
          </w:tcPr>
          <w:p w14:paraId="0331DF0D" w14:textId="77777777"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c>
          <w:tcPr>
            <w:tcW w:w="155" w:type="pct"/>
            <w:vAlign w:val="bottom"/>
          </w:tcPr>
          <w:p w14:paraId="2B46B75D" w14:textId="77777777"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c>
          <w:tcPr>
            <w:tcW w:w="38" w:type="pct"/>
          </w:tcPr>
          <w:p w14:paraId="52F522C2" w14:textId="77777777" w:rsidR="00361A81" w:rsidRPr="002236DD" w:rsidRDefault="00361A81" w:rsidP="00361A81">
            <w:pPr>
              <w:pStyle w:val="-3"/>
              <w:spacing w:after="20"/>
              <w:rPr>
                <w:sz w:val="16"/>
                <w:szCs w:val="16"/>
                <w:rtl/>
              </w:rPr>
            </w:pPr>
          </w:p>
        </w:tc>
        <w:tc>
          <w:tcPr>
            <w:tcW w:w="156" w:type="pct"/>
            <w:vAlign w:val="bottom"/>
          </w:tcPr>
          <w:p w14:paraId="21435142" w14:textId="77777777"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c>
          <w:tcPr>
            <w:tcW w:w="211" w:type="pct"/>
            <w:vAlign w:val="bottom"/>
          </w:tcPr>
          <w:p w14:paraId="2E911038" w14:textId="77777777"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c>
          <w:tcPr>
            <w:tcW w:w="226" w:type="pct"/>
            <w:vAlign w:val="bottom"/>
          </w:tcPr>
          <w:p w14:paraId="56C0D5CB" w14:textId="6AC42976"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c>
          <w:tcPr>
            <w:tcW w:w="233" w:type="pct"/>
            <w:vAlign w:val="bottom"/>
          </w:tcPr>
          <w:p w14:paraId="0E27F383" w14:textId="0CC7597D"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c>
          <w:tcPr>
            <w:tcW w:w="236" w:type="pct"/>
            <w:vAlign w:val="bottom"/>
          </w:tcPr>
          <w:p w14:paraId="2DB5A0CA" w14:textId="77777777"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c>
          <w:tcPr>
            <w:tcW w:w="156" w:type="pct"/>
            <w:vAlign w:val="bottom"/>
          </w:tcPr>
          <w:p w14:paraId="2BE621B4" w14:textId="77777777"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c>
          <w:tcPr>
            <w:tcW w:w="39" w:type="pct"/>
            <w:tcMar>
              <w:left w:w="58" w:type="dxa"/>
              <w:right w:w="58" w:type="dxa"/>
            </w:tcMar>
            <w:vAlign w:val="bottom"/>
          </w:tcPr>
          <w:p w14:paraId="36A7B256" w14:textId="77777777" w:rsidR="00361A81" w:rsidRPr="002236DD" w:rsidRDefault="00361A81" w:rsidP="00361A81">
            <w:pPr>
              <w:pStyle w:val="-7"/>
              <w:spacing w:after="20"/>
              <w:rPr>
                <w:sz w:val="16"/>
                <w:szCs w:val="16"/>
                <w:rtl/>
              </w:rPr>
            </w:pPr>
          </w:p>
        </w:tc>
        <w:tc>
          <w:tcPr>
            <w:tcW w:w="156" w:type="pct"/>
            <w:vAlign w:val="bottom"/>
          </w:tcPr>
          <w:p w14:paraId="5A714CB5" w14:textId="77777777"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c>
          <w:tcPr>
            <w:tcW w:w="203" w:type="pct"/>
            <w:vAlign w:val="bottom"/>
          </w:tcPr>
          <w:p w14:paraId="47988FD3" w14:textId="77777777"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c>
          <w:tcPr>
            <w:tcW w:w="236" w:type="pct"/>
            <w:vAlign w:val="bottom"/>
          </w:tcPr>
          <w:p w14:paraId="53F7E23E" w14:textId="068014FD"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c>
          <w:tcPr>
            <w:tcW w:w="236" w:type="pct"/>
            <w:vAlign w:val="bottom"/>
          </w:tcPr>
          <w:p w14:paraId="42D263D9" w14:textId="767079A7"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c>
          <w:tcPr>
            <w:tcW w:w="238" w:type="pct"/>
            <w:vAlign w:val="bottom"/>
          </w:tcPr>
          <w:p w14:paraId="1C4D5FA4" w14:textId="77777777"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c>
          <w:tcPr>
            <w:tcW w:w="156" w:type="pct"/>
            <w:vAlign w:val="bottom"/>
          </w:tcPr>
          <w:p w14:paraId="5F5AC7F4" w14:textId="77777777" w:rsidR="00361A81" w:rsidRPr="002236DD" w:rsidRDefault="00361A81" w:rsidP="00361A81">
            <w:pPr>
              <w:pStyle w:val="-3"/>
              <w:pBdr>
                <w:bottom w:val="single" w:sz="4" w:space="1" w:color="auto"/>
              </w:pBdr>
              <w:spacing w:after="20"/>
              <w:rPr>
                <w:sz w:val="16"/>
                <w:szCs w:val="16"/>
                <w:rtl/>
              </w:rPr>
            </w:pPr>
            <w:r w:rsidRPr="002236DD">
              <w:rPr>
                <w:sz w:val="16"/>
                <w:szCs w:val="16"/>
                <w:rtl/>
              </w:rPr>
              <w:t xml:space="preserve"> 0</w:t>
            </w:r>
          </w:p>
        </w:tc>
      </w:tr>
      <w:tr w:rsidR="00361A81" w:rsidRPr="00955B5F" w14:paraId="2539C22F" w14:textId="77777777" w:rsidTr="00580C3A">
        <w:trPr>
          <w:trHeight w:hRule="exact" w:val="257"/>
        </w:trPr>
        <w:tc>
          <w:tcPr>
            <w:tcW w:w="364" w:type="pct"/>
          </w:tcPr>
          <w:p w14:paraId="3207F2EE" w14:textId="77777777" w:rsidR="00361A81" w:rsidRPr="00955B5F" w:rsidRDefault="00361A81" w:rsidP="00361A81">
            <w:pPr>
              <w:pStyle w:val="-7"/>
              <w:spacing w:after="20"/>
              <w:rPr>
                <w:sz w:val="16"/>
                <w:szCs w:val="16"/>
                <w:rtl/>
              </w:rPr>
            </w:pPr>
          </w:p>
        </w:tc>
        <w:tc>
          <w:tcPr>
            <w:tcW w:w="908" w:type="pct"/>
            <w:vAlign w:val="bottom"/>
          </w:tcPr>
          <w:p w14:paraId="5FE757CB" w14:textId="77777777" w:rsidR="00361A81" w:rsidRDefault="00361A81" w:rsidP="00361A81">
            <w:pPr>
              <w:pStyle w:val="-0"/>
              <w:spacing w:after="20" w:line="240" w:lineRule="auto"/>
              <w:ind w:left="324" w:hanging="132"/>
              <w:rPr>
                <w:b/>
                <w:bCs/>
                <w:sz w:val="18"/>
                <w:szCs w:val="18"/>
                <w:rtl/>
              </w:rPr>
            </w:pPr>
            <w:r>
              <w:rPr>
                <w:rStyle w:val="-c"/>
                <w:rFonts w:hint="cs"/>
                <w:sz w:val="18"/>
                <w:szCs w:val="18"/>
                <w:rtl/>
              </w:rPr>
              <w:t>סך כל אגרות חוב זמינות</w:t>
            </w:r>
            <w:r w:rsidRPr="00B44059">
              <w:rPr>
                <w:rStyle w:val="-c"/>
                <w:sz w:val="18"/>
                <w:szCs w:val="18"/>
                <w:rtl/>
              </w:rPr>
              <w:t xml:space="preserve"> </w:t>
            </w:r>
            <w:r w:rsidRPr="00B44059">
              <w:rPr>
                <w:rStyle w:val="-c"/>
                <w:rFonts w:hint="eastAsia"/>
                <w:sz w:val="18"/>
                <w:szCs w:val="18"/>
                <w:rtl/>
              </w:rPr>
              <w:t>למכירה</w:t>
            </w:r>
            <w:r>
              <w:rPr>
                <w:rStyle w:val="-c"/>
                <w:rFonts w:hint="cs"/>
                <w:sz w:val="18"/>
                <w:szCs w:val="18"/>
                <w:rtl/>
              </w:rPr>
              <w:t xml:space="preserve"> </w:t>
            </w:r>
          </w:p>
        </w:tc>
        <w:tc>
          <w:tcPr>
            <w:tcW w:w="166" w:type="pct"/>
            <w:vAlign w:val="bottom"/>
          </w:tcPr>
          <w:p w14:paraId="491FFAA9" w14:textId="77777777" w:rsidR="00361A81" w:rsidRDefault="00361A81" w:rsidP="00361A81">
            <w:pPr>
              <w:pStyle w:val="-f1"/>
              <w:pBdr>
                <w:top w:val="none" w:sz="0" w:space="0" w:color="auto"/>
                <w:bottom w:val="single" w:sz="4" w:space="1" w:color="auto"/>
              </w:pBdr>
              <w:spacing w:after="20"/>
              <w:rPr>
                <w:sz w:val="16"/>
                <w:szCs w:val="16"/>
                <w:rtl/>
              </w:rPr>
            </w:pPr>
            <w:r w:rsidRPr="00B44059">
              <w:rPr>
                <w:sz w:val="16"/>
                <w:szCs w:val="16"/>
                <w:rtl/>
              </w:rPr>
              <w:t xml:space="preserve"> 0</w:t>
            </w:r>
          </w:p>
        </w:tc>
        <w:tc>
          <w:tcPr>
            <w:tcW w:w="206" w:type="pct"/>
            <w:vAlign w:val="bottom"/>
          </w:tcPr>
          <w:p w14:paraId="6ADFFF28" w14:textId="77777777" w:rsidR="00361A81" w:rsidRDefault="00361A81" w:rsidP="00361A81">
            <w:pPr>
              <w:pStyle w:val="-f1"/>
              <w:pBdr>
                <w:top w:val="none" w:sz="0" w:space="0" w:color="auto"/>
                <w:bottom w:val="single" w:sz="4" w:space="1" w:color="auto"/>
              </w:pBdr>
              <w:spacing w:after="20"/>
              <w:rPr>
                <w:sz w:val="16"/>
                <w:szCs w:val="16"/>
                <w:rtl/>
              </w:rPr>
            </w:pPr>
            <w:r w:rsidRPr="00B44059">
              <w:rPr>
                <w:sz w:val="16"/>
                <w:szCs w:val="16"/>
                <w:rtl/>
              </w:rPr>
              <w:t xml:space="preserve"> 0</w:t>
            </w:r>
          </w:p>
        </w:tc>
        <w:tc>
          <w:tcPr>
            <w:tcW w:w="214" w:type="pct"/>
            <w:vAlign w:val="bottom"/>
          </w:tcPr>
          <w:p w14:paraId="191201D2" w14:textId="67D57E22" w:rsidR="00361A81" w:rsidRPr="00B44059" w:rsidRDefault="00361A81" w:rsidP="00361A81">
            <w:pPr>
              <w:pStyle w:val="-f1"/>
              <w:pBdr>
                <w:top w:val="none" w:sz="0" w:space="0" w:color="auto"/>
                <w:bottom w:val="single" w:sz="4" w:space="1" w:color="auto"/>
              </w:pBdr>
              <w:spacing w:after="20"/>
              <w:rPr>
                <w:sz w:val="16"/>
                <w:szCs w:val="16"/>
                <w:rtl/>
              </w:rPr>
            </w:pPr>
            <w:r w:rsidRPr="00555E32">
              <w:rPr>
                <w:sz w:val="16"/>
                <w:szCs w:val="16"/>
                <w:rtl/>
              </w:rPr>
              <w:t xml:space="preserve"> 0</w:t>
            </w:r>
          </w:p>
        </w:tc>
        <w:tc>
          <w:tcPr>
            <w:tcW w:w="233" w:type="pct"/>
            <w:vAlign w:val="bottom"/>
          </w:tcPr>
          <w:p w14:paraId="2E4C9299" w14:textId="1A8FC8AB" w:rsidR="00361A81" w:rsidRDefault="00361A81" w:rsidP="00361A81">
            <w:pPr>
              <w:pStyle w:val="-f1"/>
              <w:pBdr>
                <w:top w:val="none" w:sz="0" w:space="0" w:color="auto"/>
                <w:bottom w:val="single" w:sz="4" w:space="1" w:color="auto"/>
              </w:pBdr>
              <w:spacing w:after="20"/>
              <w:rPr>
                <w:sz w:val="16"/>
                <w:szCs w:val="16"/>
                <w:rtl/>
              </w:rPr>
            </w:pPr>
            <w:r w:rsidRPr="00B44059">
              <w:rPr>
                <w:sz w:val="16"/>
                <w:szCs w:val="16"/>
                <w:rtl/>
              </w:rPr>
              <w:t xml:space="preserve"> 0</w:t>
            </w:r>
            <w:r w:rsidRPr="00B44059">
              <w:rPr>
                <w:sz w:val="16"/>
                <w:szCs w:val="16"/>
                <w:vertAlign w:val="superscript"/>
                <w:rtl/>
              </w:rPr>
              <w:t>(</w:t>
            </w:r>
            <w:r>
              <w:rPr>
                <w:rFonts w:hint="cs"/>
                <w:sz w:val="16"/>
                <w:szCs w:val="16"/>
                <w:vertAlign w:val="superscript"/>
                <w:rtl/>
              </w:rPr>
              <w:t>ב</w:t>
            </w:r>
            <w:r w:rsidRPr="00B44059">
              <w:rPr>
                <w:sz w:val="16"/>
                <w:szCs w:val="16"/>
                <w:vertAlign w:val="superscript"/>
                <w:rtl/>
              </w:rPr>
              <w:t xml:space="preserve">) </w:t>
            </w:r>
          </w:p>
        </w:tc>
        <w:tc>
          <w:tcPr>
            <w:tcW w:w="233" w:type="pct"/>
            <w:vAlign w:val="bottom"/>
          </w:tcPr>
          <w:p w14:paraId="4AA0D52B" w14:textId="77777777" w:rsidR="00361A81" w:rsidRDefault="00361A81" w:rsidP="00361A81">
            <w:pPr>
              <w:pStyle w:val="-f1"/>
              <w:pBdr>
                <w:top w:val="none" w:sz="0" w:space="0" w:color="auto"/>
                <w:bottom w:val="single" w:sz="4" w:space="1" w:color="auto"/>
              </w:pBdr>
              <w:spacing w:after="20"/>
              <w:rPr>
                <w:sz w:val="16"/>
                <w:szCs w:val="16"/>
                <w:rtl/>
              </w:rPr>
            </w:pPr>
            <w:r w:rsidRPr="00B44059">
              <w:rPr>
                <w:sz w:val="16"/>
                <w:szCs w:val="16"/>
                <w:rtl/>
              </w:rPr>
              <w:t xml:space="preserve"> 0</w:t>
            </w:r>
            <w:r w:rsidRPr="00B44059">
              <w:rPr>
                <w:sz w:val="16"/>
                <w:szCs w:val="16"/>
                <w:vertAlign w:val="superscript"/>
                <w:rtl/>
              </w:rPr>
              <w:t>(</w:t>
            </w:r>
            <w:r>
              <w:rPr>
                <w:rFonts w:hint="cs"/>
                <w:sz w:val="16"/>
                <w:szCs w:val="16"/>
                <w:vertAlign w:val="superscript"/>
                <w:rtl/>
              </w:rPr>
              <w:t>ב</w:t>
            </w:r>
            <w:r w:rsidRPr="00B44059">
              <w:rPr>
                <w:sz w:val="16"/>
                <w:szCs w:val="16"/>
                <w:vertAlign w:val="superscript"/>
                <w:rtl/>
              </w:rPr>
              <w:t xml:space="preserve">) </w:t>
            </w:r>
          </w:p>
        </w:tc>
        <w:tc>
          <w:tcPr>
            <w:tcW w:w="155" w:type="pct"/>
            <w:vAlign w:val="bottom"/>
          </w:tcPr>
          <w:p w14:paraId="171EA771" w14:textId="77777777" w:rsidR="00361A81" w:rsidRDefault="00361A81" w:rsidP="00361A81">
            <w:pPr>
              <w:pStyle w:val="-f1"/>
              <w:pBdr>
                <w:top w:val="none" w:sz="0" w:space="0" w:color="auto"/>
                <w:bottom w:val="single" w:sz="4" w:space="1" w:color="auto"/>
              </w:pBdr>
              <w:spacing w:after="20"/>
              <w:rPr>
                <w:sz w:val="16"/>
                <w:szCs w:val="16"/>
                <w:rtl/>
              </w:rPr>
            </w:pPr>
            <w:r w:rsidRPr="00B44059">
              <w:rPr>
                <w:sz w:val="16"/>
                <w:szCs w:val="16"/>
                <w:rtl/>
              </w:rPr>
              <w:t xml:space="preserve"> 0</w:t>
            </w:r>
          </w:p>
        </w:tc>
        <w:tc>
          <w:tcPr>
            <w:tcW w:w="38" w:type="pct"/>
          </w:tcPr>
          <w:p w14:paraId="0E0A6535" w14:textId="77777777" w:rsidR="00361A81" w:rsidRPr="00955B5F" w:rsidRDefault="00361A81" w:rsidP="00361A81">
            <w:pPr>
              <w:pStyle w:val="-0"/>
              <w:spacing w:after="20"/>
              <w:rPr>
                <w:b/>
                <w:bCs/>
                <w:sz w:val="16"/>
                <w:szCs w:val="16"/>
                <w:rtl/>
              </w:rPr>
            </w:pPr>
          </w:p>
        </w:tc>
        <w:tc>
          <w:tcPr>
            <w:tcW w:w="156" w:type="pct"/>
            <w:vAlign w:val="bottom"/>
          </w:tcPr>
          <w:p w14:paraId="3FD95CD9" w14:textId="77777777" w:rsidR="00361A81" w:rsidRDefault="00361A81" w:rsidP="00361A81">
            <w:pPr>
              <w:pStyle w:val="-f1"/>
              <w:pBdr>
                <w:top w:val="none" w:sz="0" w:space="0" w:color="auto"/>
                <w:bottom w:val="single" w:sz="4" w:space="1" w:color="auto"/>
              </w:pBdr>
              <w:spacing w:after="20"/>
              <w:rPr>
                <w:sz w:val="16"/>
                <w:szCs w:val="16"/>
                <w:rtl/>
              </w:rPr>
            </w:pPr>
            <w:r w:rsidRPr="00B44059">
              <w:rPr>
                <w:sz w:val="16"/>
                <w:szCs w:val="16"/>
                <w:rtl/>
              </w:rPr>
              <w:t xml:space="preserve"> 0</w:t>
            </w:r>
          </w:p>
        </w:tc>
        <w:tc>
          <w:tcPr>
            <w:tcW w:w="211" w:type="pct"/>
            <w:vAlign w:val="bottom"/>
          </w:tcPr>
          <w:p w14:paraId="10CBCC53" w14:textId="77777777" w:rsidR="00361A81" w:rsidRDefault="00361A81" w:rsidP="00361A81">
            <w:pPr>
              <w:pStyle w:val="-f1"/>
              <w:pBdr>
                <w:top w:val="none" w:sz="0" w:space="0" w:color="auto"/>
                <w:bottom w:val="single" w:sz="4" w:space="1" w:color="auto"/>
              </w:pBdr>
              <w:spacing w:after="20"/>
              <w:rPr>
                <w:sz w:val="16"/>
                <w:szCs w:val="16"/>
                <w:rtl/>
              </w:rPr>
            </w:pPr>
            <w:r w:rsidRPr="00B44059">
              <w:rPr>
                <w:sz w:val="16"/>
                <w:szCs w:val="16"/>
                <w:rtl/>
              </w:rPr>
              <w:t xml:space="preserve"> 0</w:t>
            </w:r>
          </w:p>
        </w:tc>
        <w:tc>
          <w:tcPr>
            <w:tcW w:w="226" w:type="pct"/>
            <w:vAlign w:val="bottom"/>
          </w:tcPr>
          <w:p w14:paraId="4CE6CCF9" w14:textId="027794E6" w:rsidR="00361A81" w:rsidRPr="00B44059" w:rsidRDefault="00361A81" w:rsidP="00361A81">
            <w:pPr>
              <w:pStyle w:val="-f1"/>
              <w:pBdr>
                <w:top w:val="none" w:sz="0" w:space="0" w:color="auto"/>
                <w:bottom w:val="single" w:sz="4" w:space="1" w:color="auto"/>
              </w:pBdr>
              <w:spacing w:after="20"/>
              <w:rPr>
                <w:sz w:val="16"/>
                <w:szCs w:val="16"/>
                <w:rtl/>
              </w:rPr>
            </w:pPr>
            <w:r w:rsidRPr="002236DD">
              <w:rPr>
                <w:sz w:val="16"/>
                <w:szCs w:val="16"/>
                <w:rtl/>
              </w:rPr>
              <w:t xml:space="preserve"> 0</w:t>
            </w:r>
          </w:p>
        </w:tc>
        <w:tc>
          <w:tcPr>
            <w:tcW w:w="233" w:type="pct"/>
            <w:vAlign w:val="bottom"/>
          </w:tcPr>
          <w:p w14:paraId="756A374F" w14:textId="3ED6AE3A" w:rsidR="00361A81" w:rsidRDefault="00361A81" w:rsidP="00361A81">
            <w:pPr>
              <w:pStyle w:val="-f1"/>
              <w:pBdr>
                <w:top w:val="none" w:sz="0" w:space="0" w:color="auto"/>
                <w:bottom w:val="single" w:sz="4" w:space="1" w:color="auto"/>
              </w:pBdr>
              <w:spacing w:after="20"/>
              <w:rPr>
                <w:sz w:val="16"/>
                <w:szCs w:val="16"/>
                <w:rtl/>
              </w:rPr>
            </w:pPr>
            <w:r w:rsidRPr="00B44059">
              <w:rPr>
                <w:sz w:val="16"/>
                <w:szCs w:val="16"/>
                <w:rtl/>
              </w:rPr>
              <w:t xml:space="preserve"> 0</w:t>
            </w:r>
            <w:r w:rsidRPr="00B44059">
              <w:rPr>
                <w:sz w:val="16"/>
                <w:szCs w:val="16"/>
                <w:vertAlign w:val="superscript"/>
                <w:rtl/>
              </w:rPr>
              <w:t>(</w:t>
            </w:r>
            <w:r>
              <w:rPr>
                <w:rFonts w:hint="cs"/>
                <w:sz w:val="16"/>
                <w:szCs w:val="16"/>
                <w:vertAlign w:val="superscript"/>
                <w:rtl/>
              </w:rPr>
              <w:t>ב</w:t>
            </w:r>
            <w:r w:rsidRPr="00B44059">
              <w:rPr>
                <w:sz w:val="16"/>
                <w:szCs w:val="16"/>
                <w:vertAlign w:val="superscript"/>
                <w:rtl/>
              </w:rPr>
              <w:t xml:space="preserve">) </w:t>
            </w:r>
          </w:p>
        </w:tc>
        <w:tc>
          <w:tcPr>
            <w:tcW w:w="236" w:type="pct"/>
            <w:vAlign w:val="bottom"/>
          </w:tcPr>
          <w:p w14:paraId="06D8C385" w14:textId="77777777" w:rsidR="00361A81" w:rsidRDefault="00361A81" w:rsidP="00361A81">
            <w:pPr>
              <w:pStyle w:val="-f1"/>
              <w:pBdr>
                <w:top w:val="none" w:sz="0" w:space="0" w:color="auto"/>
                <w:bottom w:val="single" w:sz="4" w:space="1" w:color="auto"/>
              </w:pBdr>
              <w:spacing w:after="20"/>
              <w:rPr>
                <w:sz w:val="16"/>
                <w:szCs w:val="16"/>
                <w:rtl/>
              </w:rPr>
            </w:pPr>
            <w:r w:rsidRPr="00B44059">
              <w:rPr>
                <w:sz w:val="16"/>
                <w:szCs w:val="16"/>
                <w:rtl/>
              </w:rPr>
              <w:t xml:space="preserve"> 0</w:t>
            </w:r>
            <w:r w:rsidRPr="00B44059">
              <w:rPr>
                <w:sz w:val="16"/>
                <w:szCs w:val="16"/>
                <w:vertAlign w:val="superscript"/>
                <w:rtl/>
              </w:rPr>
              <w:t>(</w:t>
            </w:r>
            <w:r>
              <w:rPr>
                <w:rFonts w:hint="cs"/>
                <w:sz w:val="16"/>
                <w:szCs w:val="16"/>
                <w:vertAlign w:val="superscript"/>
                <w:rtl/>
              </w:rPr>
              <w:t>ב</w:t>
            </w:r>
            <w:r w:rsidRPr="00B44059">
              <w:rPr>
                <w:sz w:val="16"/>
                <w:szCs w:val="16"/>
                <w:vertAlign w:val="superscript"/>
                <w:rtl/>
              </w:rPr>
              <w:t xml:space="preserve">) </w:t>
            </w:r>
          </w:p>
        </w:tc>
        <w:tc>
          <w:tcPr>
            <w:tcW w:w="156" w:type="pct"/>
            <w:vAlign w:val="bottom"/>
          </w:tcPr>
          <w:p w14:paraId="44D1757F" w14:textId="77777777" w:rsidR="00361A81" w:rsidRDefault="00361A81" w:rsidP="00361A81">
            <w:pPr>
              <w:pStyle w:val="-f1"/>
              <w:pBdr>
                <w:top w:val="none" w:sz="0" w:space="0" w:color="auto"/>
                <w:bottom w:val="single" w:sz="4" w:space="1" w:color="auto"/>
              </w:pBdr>
              <w:spacing w:after="20"/>
              <w:rPr>
                <w:sz w:val="16"/>
                <w:szCs w:val="16"/>
                <w:rtl/>
              </w:rPr>
            </w:pPr>
            <w:r w:rsidRPr="00B44059">
              <w:rPr>
                <w:sz w:val="16"/>
                <w:szCs w:val="16"/>
                <w:rtl/>
              </w:rPr>
              <w:t xml:space="preserve"> 0</w:t>
            </w:r>
          </w:p>
        </w:tc>
        <w:tc>
          <w:tcPr>
            <w:tcW w:w="39" w:type="pct"/>
            <w:tcMar>
              <w:left w:w="58" w:type="dxa"/>
              <w:right w:w="58" w:type="dxa"/>
            </w:tcMar>
            <w:vAlign w:val="bottom"/>
          </w:tcPr>
          <w:p w14:paraId="32955B1C" w14:textId="77777777" w:rsidR="00361A81" w:rsidRPr="00955B5F" w:rsidRDefault="00361A81" w:rsidP="00361A81">
            <w:pPr>
              <w:pStyle w:val="-7"/>
              <w:spacing w:after="20"/>
              <w:rPr>
                <w:b/>
                <w:bCs/>
                <w:sz w:val="16"/>
                <w:szCs w:val="16"/>
                <w:rtl/>
              </w:rPr>
            </w:pPr>
          </w:p>
        </w:tc>
        <w:tc>
          <w:tcPr>
            <w:tcW w:w="156" w:type="pct"/>
            <w:vAlign w:val="bottom"/>
          </w:tcPr>
          <w:p w14:paraId="26D51013" w14:textId="77777777" w:rsidR="00361A81" w:rsidRDefault="00361A81" w:rsidP="00361A81">
            <w:pPr>
              <w:pStyle w:val="-f1"/>
              <w:pBdr>
                <w:top w:val="none" w:sz="0" w:space="0" w:color="auto"/>
                <w:bottom w:val="single" w:sz="4" w:space="1" w:color="auto"/>
              </w:pBdr>
              <w:spacing w:after="20"/>
              <w:rPr>
                <w:sz w:val="16"/>
                <w:szCs w:val="16"/>
                <w:rtl/>
              </w:rPr>
            </w:pPr>
            <w:r w:rsidRPr="00B44059">
              <w:rPr>
                <w:sz w:val="16"/>
                <w:szCs w:val="16"/>
                <w:rtl/>
              </w:rPr>
              <w:t xml:space="preserve"> 0</w:t>
            </w:r>
          </w:p>
        </w:tc>
        <w:tc>
          <w:tcPr>
            <w:tcW w:w="203" w:type="pct"/>
            <w:vAlign w:val="bottom"/>
          </w:tcPr>
          <w:p w14:paraId="56D666A4" w14:textId="77777777" w:rsidR="00361A81" w:rsidRDefault="00361A81" w:rsidP="00361A81">
            <w:pPr>
              <w:pStyle w:val="-f1"/>
              <w:pBdr>
                <w:top w:val="none" w:sz="0" w:space="0" w:color="auto"/>
                <w:bottom w:val="single" w:sz="4" w:space="1" w:color="auto"/>
              </w:pBdr>
              <w:spacing w:after="20"/>
              <w:rPr>
                <w:sz w:val="16"/>
                <w:szCs w:val="16"/>
                <w:rtl/>
              </w:rPr>
            </w:pPr>
            <w:r w:rsidRPr="00B44059">
              <w:rPr>
                <w:sz w:val="16"/>
                <w:szCs w:val="16"/>
                <w:rtl/>
              </w:rPr>
              <w:t xml:space="preserve"> 0</w:t>
            </w:r>
          </w:p>
        </w:tc>
        <w:tc>
          <w:tcPr>
            <w:tcW w:w="236" w:type="pct"/>
            <w:vAlign w:val="bottom"/>
          </w:tcPr>
          <w:p w14:paraId="4CCF5B3A" w14:textId="7AB1D82B" w:rsidR="00361A81" w:rsidRPr="00B44059" w:rsidRDefault="00361A81" w:rsidP="00361A81">
            <w:pPr>
              <w:pStyle w:val="-f1"/>
              <w:pBdr>
                <w:top w:val="none" w:sz="0" w:space="0" w:color="auto"/>
                <w:bottom w:val="single" w:sz="4" w:space="1" w:color="auto"/>
              </w:pBdr>
              <w:spacing w:after="20"/>
              <w:rPr>
                <w:sz w:val="16"/>
                <w:szCs w:val="16"/>
                <w:rtl/>
              </w:rPr>
            </w:pPr>
            <w:r w:rsidRPr="002236DD">
              <w:rPr>
                <w:sz w:val="16"/>
                <w:szCs w:val="16"/>
                <w:rtl/>
              </w:rPr>
              <w:t xml:space="preserve"> 0</w:t>
            </w:r>
          </w:p>
        </w:tc>
        <w:tc>
          <w:tcPr>
            <w:tcW w:w="236" w:type="pct"/>
            <w:vAlign w:val="bottom"/>
          </w:tcPr>
          <w:p w14:paraId="7A2C9530" w14:textId="67AF57FC" w:rsidR="00361A81" w:rsidRDefault="00361A81" w:rsidP="00361A81">
            <w:pPr>
              <w:pStyle w:val="-f1"/>
              <w:pBdr>
                <w:top w:val="none" w:sz="0" w:space="0" w:color="auto"/>
                <w:bottom w:val="single" w:sz="4" w:space="1" w:color="auto"/>
              </w:pBdr>
              <w:spacing w:after="20"/>
              <w:rPr>
                <w:sz w:val="16"/>
                <w:szCs w:val="16"/>
                <w:rtl/>
              </w:rPr>
            </w:pPr>
            <w:r w:rsidRPr="00B44059">
              <w:rPr>
                <w:sz w:val="16"/>
                <w:szCs w:val="16"/>
                <w:rtl/>
              </w:rPr>
              <w:t xml:space="preserve"> 0</w:t>
            </w:r>
            <w:r w:rsidRPr="00B44059">
              <w:rPr>
                <w:sz w:val="16"/>
                <w:szCs w:val="16"/>
                <w:vertAlign w:val="superscript"/>
                <w:rtl/>
              </w:rPr>
              <w:t>(</w:t>
            </w:r>
            <w:r>
              <w:rPr>
                <w:rFonts w:hint="cs"/>
                <w:sz w:val="16"/>
                <w:szCs w:val="16"/>
                <w:vertAlign w:val="superscript"/>
                <w:rtl/>
              </w:rPr>
              <w:t>ב</w:t>
            </w:r>
            <w:r w:rsidRPr="00B44059">
              <w:rPr>
                <w:sz w:val="16"/>
                <w:szCs w:val="16"/>
                <w:vertAlign w:val="superscript"/>
                <w:rtl/>
              </w:rPr>
              <w:t>)</w:t>
            </w:r>
            <w:r w:rsidRPr="00B44059">
              <w:rPr>
                <w:sz w:val="16"/>
                <w:szCs w:val="16"/>
                <w:rtl/>
              </w:rPr>
              <w:t xml:space="preserve"> </w:t>
            </w:r>
          </w:p>
        </w:tc>
        <w:tc>
          <w:tcPr>
            <w:tcW w:w="238" w:type="pct"/>
            <w:vAlign w:val="bottom"/>
          </w:tcPr>
          <w:p w14:paraId="1B645D0F" w14:textId="77777777" w:rsidR="00361A81" w:rsidRDefault="00361A81" w:rsidP="00361A81">
            <w:pPr>
              <w:pStyle w:val="-f1"/>
              <w:pBdr>
                <w:top w:val="none" w:sz="0" w:space="0" w:color="auto"/>
                <w:bottom w:val="single" w:sz="4" w:space="1" w:color="auto"/>
              </w:pBdr>
              <w:spacing w:after="20"/>
              <w:rPr>
                <w:sz w:val="16"/>
                <w:szCs w:val="16"/>
                <w:rtl/>
              </w:rPr>
            </w:pPr>
            <w:r w:rsidRPr="00B44059">
              <w:rPr>
                <w:sz w:val="16"/>
                <w:szCs w:val="16"/>
                <w:rtl/>
              </w:rPr>
              <w:t xml:space="preserve"> 0</w:t>
            </w:r>
            <w:r w:rsidRPr="00B44059">
              <w:rPr>
                <w:sz w:val="16"/>
                <w:szCs w:val="16"/>
                <w:vertAlign w:val="superscript"/>
                <w:rtl/>
              </w:rPr>
              <w:t>(</w:t>
            </w:r>
            <w:r>
              <w:rPr>
                <w:rFonts w:hint="cs"/>
                <w:sz w:val="16"/>
                <w:szCs w:val="16"/>
                <w:vertAlign w:val="superscript"/>
                <w:rtl/>
              </w:rPr>
              <w:t>ב</w:t>
            </w:r>
            <w:r w:rsidRPr="00B44059">
              <w:rPr>
                <w:sz w:val="16"/>
                <w:szCs w:val="16"/>
                <w:vertAlign w:val="superscript"/>
                <w:rtl/>
              </w:rPr>
              <w:t xml:space="preserve">) </w:t>
            </w:r>
          </w:p>
        </w:tc>
        <w:tc>
          <w:tcPr>
            <w:tcW w:w="156" w:type="pct"/>
            <w:vAlign w:val="bottom"/>
          </w:tcPr>
          <w:p w14:paraId="7452BD6C" w14:textId="77777777" w:rsidR="00361A81" w:rsidRDefault="00361A81" w:rsidP="00361A81">
            <w:pPr>
              <w:pStyle w:val="-f1"/>
              <w:pBdr>
                <w:top w:val="none" w:sz="0" w:space="0" w:color="auto"/>
                <w:bottom w:val="single" w:sz="4" w:space="1" w:color="auto"/>
              </w:pBdr>
              <w:spacing w:after="20"/>
              <w:rPr>
                <w:sz w:val="16"/>
                <w:szCs w:val="16"/>
                <w:rtl/>
              </w:rPr>
            </w:pPr>
            <w:r w:rsidRPr="00B44059">
              <w:rPr>
                <w:sz w:val="16"/>
                <w:szCs w:val="16"/>
                <w:rtl/>
              </w:rPr>
              <w:t xml:space="preserve"> 0</w:t>
            </w:r>
          </w:p>
        </w:tc>
      </w:tr>
    </w:tbl>
    <w:p w14:paraId="33DB58EC" w14:textId="77777777" w:rsidR="00F32A2A" w:rsidRPr="00580C3A" w:rsidRDefault="00B44059" w:rsidP="00F77006">
      <w:pPr>
        <w:pStyle w:val="-0"/>
        <w:spacing w:before="40" w:line="200" w:lineRule="exact"/>
        <w:ind w:left="815" w:firstLine="0"/>
        <w:rPr>
          <w:sz w:val="18"/>
          <w:szCs w:val="18"/>
          <w:rtl/>
        </w:rPr>
      </w:pPr>
      <w:r w:rsidRPr="00580C3A">
        <w:rPr>
          <w:rFonts w:hint="eastAsia"/>
          <w:sz w:val="18"/>
          <w:szCs w:val="18"/>
          <w:rtl/>
        </w:rPr>
        <w:t>ראה</w:t>
      </w:r>
      <w:r w:rsidRPr="00580C3A">
        <w:rPr>
          <w:sz w:val="18"/>
          <w:szCs w:val="18"/>
          <w:rtl/>
        </w:rPr>
        <w:t xml:space="preserve"> </w:t>
      </w:r>
      <w:r w:rsidRPr="00580C3A">
        <w:rPr>
          <w:rFonts w:hint="eastAsia"/>
          <w:sz w:val="18"/>
          <w:szCs w:val="18"/>
          <w:rtl/>
        </w:rPr>
        <w:t>פירוט</w:t>
      </w:r>
      <w:r w:rsidRPr="00580C3A">
        <w:rPr>
          <w:sz w:val="18"/>
          <w:szCs w:val="18"/>
          <w:rtl/>
        </w:rPr>
        <w:t xml:space="preserve"> </w:t>
      </w:r>
      <w:r w:rsidRPr="00580C3A">
        <w:rPr>
          <w:rFonts w:hint="eastAsia"/>
          <w:sz w:val="18"/>
          <w:szCs w:val="18"/>
          <w:rtl/>
        </w:rPr>
        <w:t>נוסף</w:t>
      </w:r>
      <w:r w:rsidRPr="00580C3A">
        <w:rPr>
          <w:sz w:val="18"/>
          <w:szCs w:val="18"/>
          <w:rtl/>
        </w:rPr>
        <w:t xml:space="preserve"> </w:t>
      </w:r>
      <w:r w:rsidRPr="00580C3A">
        <w:rPr>
          <w:rFonts w:hint="eastAsia"/>
          <w:sz w:val="18"/>
          <w:szCs w:val="18"/>
          <w:rtl/>
        </w:rPr>
        <w:t>בסעיפים</w:t>
      </w:r>
      <w:r w:rsidRPr="00580C3A">
        <w:rPr>
          <w:sz w:val="18"/>
          <w:szCs w:val="18"/>
          <w:rtl/>
        </w:rPr>
        <w:t xml:space="preserve"> ב', </w:t>
      </w:r>
      <w:r w:rsidRPr="00580C3A">
        <w:rPr>
          <w:rFonts w:hint="eastAsia"/>
          <w:sz w:val="18"/>
          <w:szCs w:val="18"/>
          <w:rtl/>
        </w:rPr>
        <w:t>ג</w:t>
      </w:r>
      <w:r w:rsidRPr="00580C3A">
        <w:rPr>
          <w:sz w:val="18"/>
          <w:szCs w:val="18"/>
          <w:rtl/>
        </w:rPr>
        <w:t xml:space="preserve">' </w:t>
      </w:r>
      <w:r w:rsidRPr="00580C3A">
        <w:rPr>
          <w:rFonts w:hint="eastAsia"/>
          <w:sz w:val="18"/>
          <w:szCs w:val="18"/>
          <w:rtl/>
        </w:rPr>
        <w:t>וד</w:t>
      </w:r>
      <w:r w:rsidRPr="00580C3A">
        <w:rPr>
          <w:sz w:val="18"/>
          <w:szCs w:val="18"/>
          <w:rtl/>
        </w:rPr>
        <w:t xml:space="preserve">' </w:t>
      </w:r>
      <w:r w:rsidRPr="00580C3A">
        <w:rPr>
          <w:rFonts w:hint="eastAsia"/>
          <w:sz w:val="18"/>
          <w:szCs w:val="18"/>
          <w:rtl/>
        </w:rPr>
        <w:t>להלן</w:t>
      </w:r>
      <w:r w:rsidRPr="00580C3A">
        <w:rPr>
          <w:sz w:val="18"/>
          <w:szCs w:val="18"/>
          <w:rtl/>
        </w:rPr>
        <w:t>.</w:t>
      </w:r>
    </w:p>
    <w:p w14:paraId="00EF1308" w14:textId="77777777" w:rsidR="00A3125B" w:rsidRPr="00D23A00" w:rsidRDefault="00A3125B" w:rsidP="00D23A00">
      <w:pPr>
        <w:pStyle w:val="-2"/>
        <w:ind w:left="1584"/>
        <w:jc w:val="left"/>
        <w:rPr>
          <w:sz w:val="17"/>
          <w:szCs w:val="17"/>
          <w:rtl/>
        </w:rPr>
        <w:sectPr w:rsidR="00A3125B" w:rsidRPr="00D23A00" w:rsidSect="00587121">
          <w:headerReference w:type="even" r:id="rId41"/>
          <w:headerReference w:type="default" r:id="rId42"/>
          <w:footnotePr>
            <w:numRestart w:val="eachPage"/>
          </w:footnotePr>
          <w:pgSz w:w="16834" w:h="11909" w:orient="landscape" w:code="9"/>
          <w:pgMar w:top="851" w:right="851" w:bottom="851" w:left="851" w:header="720" w:footer="720" w:gutter="0"/>
          <w:cols w:space="720"/>
          <w:bidi/>
          <w:rtlGutter/>
          <w:docGrid w:linePitch="360"/>
        </w:sectPr>
      </w:pPr>
    </w:p>
    <w:tbl>
      <w:tblPr>
        <w:bidiVisual/>
        <w:tblW w:w="5153" w:type="pct"/>
        <w:tblInd w:w="-101" w:type="dxa"/>
        <w:tblLook w:val="04A0" w:firstRow="1" w:lastRow="0" w:firstColumn="1" w:lastColumn="0" w:noHBand="0" w:noVBand="1"/>
      </w:tblPr>
      <w:tblGrid>
        <w:gridCol w:w="1138"/>
        <w:gridCol w:w="14457"/>
      </w:tblGrid>
      <w:tr w:rsidR="00763B10" w:rsidRPr="00543C25" w14:paraId="6999AFC1" w14:textId="77777777" w:rsidTr="00763B10">
        <w:trPr>
          <w:trHeight w:val="259"/>
        </w:trPr>
        <w:tc>
          <w:tcPr>
            <w:tcW w:w="1138" w:type="dxa"/>
            <w:vMerge w:val="restart"/>
          </w:tcPr>
          <w:p w14:paraId="7628247F" w14:textId="77777777" w:rsidR="00763B10" w:rsidRDefault="00763B10" w:rsidP="00763B10">
            <w:pPr>
              <w:pStyle w:val="-fa"/>
              <w:spacing w:before="0"/>
              <w:rPr>
                <w:spacing w:val="-2"/>
                <w:rtl/>
              </w:rPr>
            </w:pPr>
          </w:p>
          <w:p w14:paraId="32C7B9A3" w14:textId="1D5C39F5" w:rsidR="00763B10" w:rsidRPr="00543C25" w:rsidRDefault="00763B10" w:rsidP="00763B10">
            <w:pPr>
              <w:pStyle w:val="-fa"/>
              <w:spacing w:before="0"/>
              <w:rPr>
                <w:rtl/>
              </w:rPr>
            </w:pPr>
            <w:r w:rsidRPr="00D64130">
              <w:rPr>
                <w:rFonts w:hint="eastAsia"/>
                <w:spacing w:val="-2"/>
                <w:rtl/>
              </w:rPr>
              <w:t>מתכונת</w:t>
            </w:r>
            <w:r w:rsidRPr="00D64130">
              <w:rPr>
                <w:spacing w:val="-2"/>
                <w:rtl/>
              </w:rPr>
              <w:t xml:space="preserve"> ביאור</w:t>
            </w:r>
          </w:p>
          <w:p w14:paraId="6EB9BD58" w14:textId="33296F18" w:rsidR="00763B10" w:rsidRPr="00543C25" w:rsidRDefault="00763B10" w:rsidP="00763B10">
            <w:pPr>
              <w:pStyle w:val="-fa"/>
              <w:spacing w:before="0"/>
              <w:ind w:right="-142"/>
              <w:rPr>
                <w:rtl/>
              </w:rPr>
            </w:pPr>
            <w:r w:rsidRPr="00D64130">
              <w:rPr>
                <w:spacing w:val="-2"/>
                <w:rtl/>
              </w:rPr>
              <w:t xml:space="preserve">עמ' </w:t>
            </w:r>
            <w:r w:rsidRPr="00D64130">
              <w:rPr>
                <w:rFonts w:hint="cs"/>
                <w:rtl/>
              </w:rPr>
              <w:t>663-21</w:t>
            </w:r>
            <w:r>
              <w:rPr>
                <w:rFonts w:hint="cs"/>
                <w:rtl/>
              </w:rPr>
              <w:t>,22</w:t>
            </w:r>
          </w:p>
        </w:tc>
        <w:tc>
          <w:tcPr>
            <w:tcW w:w="14457" w:type="dxa"/>
          </w:tcPr>
          <w:p w14:paraId="66A1D5F3" w14:textId="77777777" w:rsidR="00763B10" w:rsidRPr="0001523C" w:rsidRDefault="00763B10">
            <w:pPr>
              <w:pStyle w:val="-8"/>
              <w:rPr>
                <w:highlight w:val="yellow"/>
                <w:rtl/>
              </w:rPr>
            </w:pPr>
            <w:r w:rsidRPr="00610CDD">
              <w:rPr>
                <w:rFonts w:hint="eastAsia"/>
                <w:rtl/>
              </w:rPr>
              <w:t>ביאור</w:t>
            </w:r>
            <w:r w:rsidRPr="00610CDD">
              <w:rPr>
                <w:rtl/>
              </w:rPr>
              <w:t xml:space="preserve"> 5  -  </w:t>
            </w:r>
            <w:r w:rsidRPr="00610CDD">
              <w:rPr>
                <w:rFonts w:hint="eastAsia"/>
                <w:rtl/>
              </w:rPr>
              <w:t>ניירות</w:t>
            </w:r>
            <w:r w:rsidRPr="00610CDD">
              <w:rPr>
                <w:rtl/>
              </w:rPr>
              <w:t xml:space="preserve"> </w:t>
            </w:r>
            <w:r w:rsidRPr="00610CDD">
              <w:rPr>
                <w:rFonts w:hint="eastAsia"/>
                <w:rtl/>
              </w:rPr>
              <w:t>ערך</w:t>
            </w:r>
            <w:r w:rsidRPr="00610CDD">
              <w:rPr>
                <w:rtl/>
              </w:rPr>
              <w:t xml:space="preserve"> (המשך):</w:t>
            </w:r>
          </w:p>
        </w:tc>
      </w:tr>
      <w:tr w:rsidR="00763B10" w:rsidRPr="00543C25" w14:paraId="433B61FB" w14:textId="77777777" w:rsidTr="00763B10">
        <w:trPr>
          <w:trHeight w:val="259"/>
        </w:trPr>
        <w:tc>
          <w:tcPr>
            <w:tcW w:w="1138" w:type="dxa"/>
            <w:vMerge/>
          </w:tcPr>
          <w:p w14:paraId="47F86F35" w14:textId="14DB0E7E" w:rsidR="00763B10" w:rsidRDefault="00763B10">
            <w:pPr>
              <w:pStyle w:val="-fa"/>
              <w:ind w:right="-142"/>
              <w:rPr>
                <w:spacing w:val="-2"/>
                <w:rtl/>
              </w:rPr>
            </w:pPr>
          </w:p>
        </w:tc>
        <w:tc>
          <w:tcPr>
            <w:tcW w:w="14457" w:type="dxa"/>
          </w:tcPr>
          <w:p w14:paraId="20CF13E8" w14:textId="77777777" w:rsidR="00763B10" w:rsidRDefault="00763B10">
            <w:pPr>
              <w:pStyle w:val="-8"/>
              <w:tabs>
                <w:tab w:val="left" w:pos="293"/>
              </w:tabs>
              <w:spacing w:after="0"/>
              <w:rPr>
                <w:sz w:val="20"/>
                <w:szCs w:val="20"/>
                <w:rtl/>
              </w:rPr>
            </w:pPr>
            <w:r w:rsidRPr="00B44059">
              <w:rPr>
                <w:rFonts w:hint="eastAsia"/>
                <w:sz w:val="20"/>
                <w:szCs w:val="20"/>
                <w:rtl/>
              </w:rPr>
              <w:t>א</w:t>
            </w:r>
            <w:r w:rsidRPr="00B44059">
              <w:rPr>
                <w:sz w:val="20"/>
                <w:szCs w:val="20"/>
                <w:rtl/>
              </w:rPr>
              <w:t>.</w:t>
            </w:r>
            <w:r>
              <w:rPr>
                <w:rFonts w:hint="cs"/>
                <w:sz w:val="20"/>
                <w:szCs w:val="20"/>
                <w:rtl/>
              </w:rPr>
              <w:tab/>
            </w:r>
            <w:r w:rsidRPr="00B44059">
              <w:rPr>
                <w:rFonts w:hint="eastAsia"/>
                <w:sz w:val="20"/>
                <w:szCs w:val="20"/>
                <w:rtl/>
              </w:rPr>
              <w:t>הרכב</w:t>
            </w:r>
            <w:r w:rsidRPr="00B44059">
              <w:rPr>
                <w:sz w:val="20"/>
                <w:szCs w:val="20"/>
                <w:rtl/>
              </w:rPr>
              <w:t xml:space="preserve"> (המשך):</w:t>
            </w:r>
          </w:p>
        </w:tc>
      </w:tr>
    </w:tbl>
    <w:p w14:paraId="582AA496" w14:textId="77777777" w:rsidR="0051748D" w:rsidRDefault="0051748D" w:rsidP="00EA192D">
      <w:pPr>
        <w:tabs>
          <w:tab w:val="left" w:pos="11479"/>
        </w:tabs>
        <w:bidi w:val="0"/>
        <w:spacing w:line="60" w:lineRule="exact"/>
        <w:rPr>
          <w:sz w:val="18"/>
          <w:szCs w:val="18"/>
        </w:rPr>
      </w:pPr>
    </w:p>
    <w:tbl>
      <w:tblPr>
        <w:bidiVisual/>
        <w:tblW w:w="15645" w:type="dxa"/>
        <w:tblBorders>
          <w:bottom w:val="single" w:sz="4" w:space="0" w:color="auto"/>
        </w:tblBorders>
        <w:tblLayout w:type="fixed"/>
        <w:tblCellMar>
          <w:left w:w="28" w:type="dxa"/>
          <w:right w:w="28" w:type="dxa"/>
        </w:tblCellMar>
        <w:tblLook w:val="04A0" w:firstRow="1" w:lastRow="0" w:firstColumn="1" w:lastColumn="0" w:noHBand="0" w:noVBand="1"/>
      </w:tblPr>
      <w:tblGrid>
        <w:gridCol w:w="1191"/>
        <w:gridCol w:w="3113"/>
        <w:gridCol w:w="567"/>
        <w:gridCol w:w="850"/>
        <w:gridCol w:w="851"/>
        <w:gridCol w:w="709"/>
        <w:gridCol w:w="636"/>
        <w:gridCol w:w="214"/>
        <w:gridCol w:w="567"/>
        <w:gridCol w:w="709"/>
        <w:gridCol w:w="992"/>
        <w:gridCol w:w="710"/>
        <w:gridCol w:w="688"/>
        <w:gridCol w:w="162"/>
        <w:gridCol w:w="567"/>
        <w:gridCol w:w="709"/>
        <w:gridCol w:w="709"/>
        <w:gridCol w:w="850"/>
        <w:gridCol w:w="851"/>
      </w:tblGrid>
      <w:tr w:rsidR="00F81394" w:rsidRPr="00EE3141" w14:paraId="6D1F0528" w14:textId="77777777" w:rsidTr="00D6649E">
        <w:trPr>
          <w:trHeight w:val="340"/>
        </w:trPr>
        <w:tc>
          <w:tcPr>
            <w:tcW w:w="1191" w:type="dxa"/>
            <w:vAlign w:val="bottom"/>
          </w:tcPr>
          <w:p w14:paraId="76F8F67D" w14:textId="77777777" w:rsidR="00F81394" w:rsidRPr="00D9322A" w:rsidRDefault="00F81394" w:rsidP="009126D7">
            <w:pPr>
              <w:bidi w:val="0"/>
              <w:spacing w:line="140" w:lineRule="exact"/>
              <w:jc w:val="center"/>
            </w:pPr>
          </w:p>
        </w:tc>
        <w:tc>
          <w:tcPr>
            <w:tcW w:w="3113" w:type="dxa"/>
            <w:vAlign w:val="bottom"/>
          </w:tcPr>
          <w:p w14:paraId="48151E1C" w14:textId="77777777" w:rsidR="00F81394" w:rsidRDefault="00F81394" w:rsidP="009126D7">
            <w:pPr>
              <w:pStyle w:val="-0"/>
              <w:tabs>
                <w:tab w:val="left" w:pos="446"/>
              </w:tabs>
              <w:spacing w:line="140" w:lineRule="exact"/>
              <w:jc w:val="center"/>
              <w:rPr>
                <w:b/>
                <w:bCs/>
                <w:sz w:val="18"/>
                <w:szCs w:val="18"/>
                <w:rtl/>
              </w:rPr>
            </w:pPr>
          </w:p>
        </w:tc>
        <w:tc>
          <w:tcPr>
            <w:tcW w:w="3613" w:type="dxa"/>
            <w:gridSpan w:val="5"/>
            <w:vAlign w:val="bottom"/>
          </w:tcPr>
          <w:p w14:paraId="6D30E605" w14:textId="298E029B" w:rsidR="00F81394" w:rsidRDefault="00F81394" w:rsidP="00D6649E">
            <w:pPr>
              <w:pStyle w:val="-0"/>
              <w:pBdr>
                <w:bottom w:val="single" w:sz="4" w:space="1" w:color="auto"/>
              </w:pBdr>
              <w:spacing w:line="200" w:lineRule="exact"/>
              <w:ind w:left="0" w:right="57" w:firstLine="0"/>
              <w:jc w:val="center"/>
              <w:rPr>
                <w:b/>
                <w:bCs/>
                <w:sz w:val="18"/>
                <w:szCs w:val="18"/>
                <w:rtl/>
              </w:rPr>
            </w:pPr>
            <w:r w:rsidRPr="00B44059">
              <w:rPr>
                <w:rFonts w:hint="eastAsia"/>
                <w:b/>
                <w:bCs/>
                <w:sz w:val="18"/>
                <w:szCs w:val="18"/>
                <w:rtl/>
              </w:rPr>
              <w:t>ליום</w:t>
            </w:r>
            <w:r w:rsidRPr="00B44059">
              <w:rPr>
                <w:b/>
                <w:bCs/>
                <w:sz w:val="18"/>
                <w:szCs w:val="18"/>
                <w:rtl/>
              </w:rPr>
              <w:t xml:space="preserve"> 30 ביוני </w:t>
            </w:r>
            <w:r w:rsidR="00F41E9D" w:rsidRPr="00F41E9D">
              <w:rPr>
                <w:b/>
                <w:bCs/>
                <w:sz w:val="18"/>
                <w:szCs w:val="18"/>
                <w:rtl/>
              </w:rPr>
              <w:fldChar w:fldCharType="begin"/>
            </w:r>
            <w:r w:rsidR="00F41E9D" w:rsidRPr="00F41E9D">
              <w:rPr>
                <w:b/>
                <w:bCs/>
                <w:sz w:val="18"/>
                <w:szCs w:val="18"/>
                <w:rtl/>
              </w:rPr>
              <w:instrText xml:space="preserve"> </w:instrText>
            </w:r>
            <w:r w:rsidR="00F41E9D" w:rsidRPr="00F41E9D">
              <w:rPr>
                <w:rFonts w:hint="cs"/>
                <w:b/>
                <w:bCs/>
                <w:sz w:val="18"/>
                <w:szCs w:val="18"/>
                <w:rtl/>
              </w:rPr>
              <w:instrText xml:space="preserve">= </w:instrText>
            </w:r>
            <w:r w:rsidR="00F41E9D" w:rsidRPr="00F41E9D">
              <w:rPr>
                <w:rFonts w:hint="cs"/>
                <w:b/>
                <w:bCs/>
                <w:sz w:val="18"/>
                <w:szCs w:val="18"/>
              </w:rPr>
              <w:instrText>CY \* MERGEFORMAT</w:instrText>
            </w:r>
            <w:r w:rsidR="00F41E9D" w:rsidRPr="00F41E9D">
              <w:rPr>
                <w:b/>
                <w:bCs/>
                <w:sz w:val="18"/>
                <w:szCs w:val="18"/>
                <w:rtl/>
              </w:rPr>
              <w:instrText xml:space="preserve"> </w:instrText>
            </w:r>
            <w:r w:rsidR="00F41E9D" w:rsidRPr="00F41E9D">
              <w:rPr>
                <w:b/>
                <w:bCs/>
                <w:sz w:val="18"/>
                <w:szCs w:val="18"/>
                <w:rtl/>
              </w:rPr>
              <w:fldChar w:fldCharType="separate"/>
            </w:r>
            <w:r w:rsidR="003A584F">
              <w:rPr>
                <w:b/>
                <w:bCs/>
                <w:noProof/>
                <w:sz w:val="18"/>
                <w:szCs w:val="18"/>
                <w:rtl/>
              </w:rPr>
              <w:t>2024</w:t>
            </w:r>
            <w:r w:rsidR="00F41E9D" w:rsidRPr="00F41E9D">
              <w:rPr>
                <w:b/>
                <w:bCs/>
                <w:sz w:val="18"/>
                <w:szCs w:val="18"/>
                <w:rtl/>
              </w:rPr>
              <w:fldChar w:fldCharType="end"/>
            </w:r>
          </w:p>
        </w:tc>
        <w:tc>
          <w:tcPr>
            <w:tcW w:w="214" w:type="dxa"/>
            <w:vAlign w:val="bottom"/>
          </w:tcPr>
          <w:p w14:paraId="07F54375" w14:textId="77777777" w:rsidR="00F81394" w:rsidRDefault="00F81394" w:rsidP="00D6649E">
            <w:pPr>
              <w:pStyle w:val="-0"/>
              <w:spacing w:line="200" w:lineRule="exact"/>
              <w:ind w:left="0" w:firstLine="0"/>
              <w:jc w:val="center"/>
              <w:rPr>
                <w:sz w:val="16"/>
                <w:szCs w:val="16"/>
                <w:rtl/>
              </w:rPr>
            </w:pPr>
          </w:p>
        </w:tc>
        <w:tc>
          <w:tcPr>
            <w:tcW w:w="3666" w:type="dxa"/>
            <w:gridSpan w:val="5"/>
            <w:vAlign w:val="bottom"/>
          </w:tcPr>
          <w:p w14:paraId="672999DF" w14:textId="480E1A41" w:rsidR="00F81394" w:rsidRDefault="00F81394" w:rsidP="00D6649E">
            <w:pPr>
              <w:pStyle w:val="-4"/>
              <w:spacing w:line="200" w:lineRule="exact"/>
              <w:ind w:right="57"/>
              <w:rPr>
                <w:sz w:val="18"/>
                <w:szCs w:val="18"/>
                <w:rtl/>
              </w:rPr>
            </w:pPr>
            <w:r w:rsidRPr="00B44059">
              <w:rPr>
                <w:rFonts w:hint="eastAsia"/>
                <w:sz w:val="18"/>
                <w:szCs w:val="18"/>
                <w:rtl/>
              </w:rPr>
              <w:t>ליום</w:t>
            </w:r>
            <w:r w:rsidRPr="00B44059">
              <w:rPr>
                <w:sz w:val="18"/>
                <w:szCs w:val="18"/>
                <w:rtl/>
              </w:rPr>
              <w:t xml:space="preserve"> 30 ביוני </w:t>
            </w:r>
            <w:r w:rsidR="00F41E9D" w:rsidRPr="00F41E9D">
              <w:rPr>
                <w:sz w:val="14"/>
                <w:szCs w:val="14"/>
                <w:rtl/>
              </w:rPr>
              <w:fldChar w:fldCharType="begin"/>
            </w:r>
            <w:r w:rsidR="00F41E9D" w:rsidRPr="00F41E9D">
              <w:rPr>
                <w:sz w:val="14"/>
                <w:szCs w:val="14"/>
                <w:rtl/>
              </w:rPr>
              <w:instrText xml:space="preserve"> </w:instrText>
            </w:r>
            <w:r w:rsidR="00F41E9D" w:rsidRPr="00F41E9D">
              <w:rPr>
                <w:rFonts w:hint="cs"/>
                <w:sz w:val="14"/>
                <w:szCs w:val="14"/>
                <w:rtl/>
              </w:rPr>
              <w:instrText xml:space="preserve">= </w:instrText>
            </w:r>
            <w:r w:rsidR="00F41E9D" w:rsidRPr="00F41E9D">
              <w:rPr>
                <w:rFonts w:hint="cs"/>
                <w:sz w:val="14"/>
                <w:szCs w:val="14"/>
              </w:rPr>
              <w:instrText>CY</w:instrText>
            </w:r>
            <w:r w:rsidR="00F41E9D" w:rsidRPr="00F41E9D">
              <w:rPr>
                <w:sz w:val="14"/>
                <w:szCs w:val="14"/>
              </w:rPr>
              <w:instrText>-1</w:instrText>
            </w:r>
            <w:r w:rsidR="00F41E9D" w:rsidRPr="00F41E9D">
              <w:rPr>
                <w:rFonts w:hint="cs"/>
                <w:sz w:val="14"/>
                <w:szCs w:val="14"/>
              </w:rPr>
              <w:instrText xml:space="preserve"> \* MERGEFORMAT</w:instrText>
            </w:r>
            <w:r w:rsidR="00F41E9D" w:rsidRPr="00F41E9D">
              <w:rPr>
                <w:sz w:val="14"/>
                <w:szCs w:val="14"/>
                <w:rtl/>
              </w:rPr>
              <w:instrText xml:space="preserve"> </w:instrText>
            </w:r>
            <w:r w:rsidR="00F41E9D" w:rsidRPr="00F41E9D">
              <w:rPr>
                <w:sz w:val="14"/>
                <w:szCs w:val="14"/>
                <w:rtl/>
              </w:rPr>
              <w:fldChar w:fldCharType="separate"/>
            </w:r>
            <w:r w:rsidR="003A584F" w:rsidRPr="003A584F">
              <w:rPr>
                <w:noProof/>
                <w:sz w:val="18"/>
                <w:szCs w:val="18"/>
                <w:rtl/>
              </w:rPr>
              <w:t>2023</w:t>
            </w:r>
            <w:r w:rsidR="00F41E9D" w:rsidRPr="00F41E9D">
              <w:rPr>
                <w:sz w:val="14"/>
                <w:szCs w:val="14"/>
                <w:rtl/>
              </w:rPr>
              <w:fldChar w:fldCharType="end"/>
            </w:r>
          </w:p>
        </w:tc>
        <w:tc>
          <w:tcPr>
            <w:tcW w:w="162" w:type="dxa"/>
            <w:tcMar>
              <w:left w:w="58" w:type="dxa"/>
              <w:right w:w="58" w:type="dxa"/>
            </w:tcMar>
            <w:vAlign w:val="bottom"/>
          </w:tcPr>
          <w:p w14:paraId="4200ECF5" w14:textId="77777777" w:rsidR="00F81394" w:rsidRDefault="00F81394" w:rsidP="00D6649E">
            <w:pPr>
              <w:pStyle w:val="-7"/>
              <w:spacing w:line="200" w:lineRule="exact"/>
              <w:jc w:val="center"/>
              <w:rPr>
                <w:sz w:val="16"/>
                <w:szCs w:val="16"/>
                <w:rtl/>
              </w:rPr>
            </w:pPr>
          </w:p>
        </w:tc>
        <w:tc>
          <w:tcPr>
            <w:tcW w:w="3686" w:type="dxa"/>
            <w:gridSpan w:val="5"/>
            <w:vAlign w:val="bottom"/>
          </w:tcPr>
          <w:p w14:paraId="388F50E4" w14:textId="2CE51121" w:rsidR="00F81394" w:rsidRDefault="00F81394" w:rsidP="00D6649E">
            <w:pPr>
              <w:pStyle w:val="-4"/>
              <w:spacing w:line="200" w:lineRule="exact"/>
              <w:ind w:right="57"/>
              <w:rPr>
                <w:sz w:val="18"/>
                <w:szCs w:val="18"/>
                <w:rtl/>
              </w:rPr>
            </w:pPr>
            <w:r w:rsidRPr="00B44059">
              <w:rPr>
                <w:rFonts w:hint="eastAsia"/>
                <w:sz w:val="18"/>
                <w:szCs w:val="18"/>
                <w:rtl/>
              </w:rPr>
              <w:t>ליום</w:t>
            </w:r>
            <w:r w:rsidRPr="00B44059">
              <w:rPr>
                <w:sz w:val="18"/>
                <w:szCs w:val="18"/>
                <w:rtl/>
              </w:rPr>
              <w:t xml:space="preserve"> 31 בדצמבר </w:t>
            </w:r>
            <w:r w:rsidR="00F41E9D" w:rsidRPr="00F41E9D">
              <w:rPr>
                <w:sz w:val="14"/>
                <w:szCs w:val="14"/>
                <w:rtl/>
              </w:rPr>
              <w:fldChar w:fldCharType="begin"/>
            </w:r>
            <w:r w:rsidR="00F41E9D" w:rsidRPr="00F41E9D">
              <w:rPr>
                <w:sz w:val="14"/>
                <w:szCs w:val="14"/>
                <w:rtl/>
              </w:rPr>
              <w:instrText xml:space="preserve"> </w:instrText>
            </w:r>
            <w:r w:rsidR="00F41E9D" w:rsidRPr="00F41E9D">
              <w:rPr>
                <w:rFonts w:hint="cs"/>
                <w:sz w:val="14"/>
                <w:szCs w:val="14"/>
                <w:rtl/>
              </w:rPr>
              <w:instrText xml:space="preserve">= </w:instrText>
            </w:r>
            <w:r w:rsidR="00F41E9D" w:rsidRPr="00F41E9D">
              <w:rPr>
                <w:rFonts w:hint="cs"/>
                <w:sz w:val="14"/>
                <w:szCs w:val="14"/>
              </w:rPr>
              <w:instrText>CY</w:instrText>
            </w:r>
            <w:r w:rsidR="00F41E9D" w:rsidRPr="00F41E9D">
              <w:rPr>
                <w:sz w:val="14"/>
                <w:szCs w:val="14"/>
              </w:rPr>
              <w:instrText>-1</w:instrText>
            </w:r>
            <w:r w:rsidR="00F41E9D" w:rsidRPr="00F41E9D">
              <w:rPr>
                <w:rFonts w:hint="cs"/>
                <w:sz w:val="14"/>
                <w:szCs w:val="14"/>
              </w:rPr>
              <w:instrText xml:space="preserve"> \* MERGEFORMAT</w:instrText>
            </w:r>
            <w:r w:rsidR="00F41E9D" w:rsidRPr="00F41E9D">
              <w:rPr>
                <w:sz w:val="14"/>
                <w:szCs w:val="14"/>
                <w:rtl/>
              </w:rPr>
              <w:instrText xml:space="preserve"> </w:instrText>
            </w:r>
            <w:r w:rsidR="00F41E9D" w:rsidRPr="00F41E9D">
              <w:rPr>
                <w:sz w:val="14"/>
                <w:szCs w:val="14"/>
                <w:rtl/>
              </w:rPr>
              <w:fldChar w:fldCharType="separate"/>
            </w:r>
            <w:r w:rsidR="003A584F" w:rsidRPr="003A584F">
              <w:rPr>
                <w:noProof/>
                <w:sz w:val="18"/>
                <w:szCs w:val="18"/>
                <w:rtl/>
              </w:rPr>
              <w:t>2023</w:t>
            </w:r>
            <w:r w:rsidR="00F41E9D" w:rsidRPr="00F41E9D">
              <w:rPr>
                <w:sz w:val="14"/>
                <w:szCs w:val="14"/>
                <w:rtl/>
              </w:rPr>
              <w:fldChar w:fldCharType="end"/>
            </w:r>
          </w:p>
        </w:tc>
      </w:tr>
      <w:tr w:rsidR="00F81394" w:rsidRPr="00EE3141" w14:paraId="7470FBF8" w14:textId="77777777" w:rsidTr="002F64E0">
        <w:tc>
          <w:tcPr>
            <w:tcW w:w="1191" w:type="dxa"/>
            <w:vAlign w:val="bottom"/>
          </w:tcPr>
          <w:p w14:paraId="5A15B090" w14:textId="77777777" w:rsidR="00F81394" w:rsidRPr="00D9322A" w:rsidRDefault="00F81394" w:rsidP="009126D7">
            <w:pPr>
              <w:pStyle w:val="-fa"/>
              <w:spacing w:line="140" w:lineRule="exact"/>
              <w:ind w:right="0"/>
              <w:jc w:val="center"/>
              <w:rPr>
                <w:spacing w:val="0"/>
                <w:rtl/>
              </w:rPr>
            </w:pPr>
          </w:p>
        </w:tc>
        <w:tc>
          <w:tcPr>
            <w:tcW w:w="3113" w:type="dxa"/>
            <w:vAlign w:val="bottom"/>
          </w:tcPr>
          <w:p w14:paraId="0D2366D9" w14:textId="77777777" w:rsidR="00F81394" w:rsidRDefault="00F81394" w:rsidP="009126D7">
            <w:pPr>
              <w:pStyle w:val="-0"/>
              <w:tabs>
                <w:tab w:val="left" w:pos="446"/>
              </w:tabs>
              <w:spacing w:line="140" w:lineRule="exact"/>
              <w:jc w:val="center"/>
              <w:rPr>
                <w:b/>
                <w:bCs/>
                <w:sz w:val="18"/>
                <w:szCs w:val="18"/>
                <w:rtl/>
              </w:rPr>
            </w:pPr>
          </w:p>
        </w:tc>
        <w:tc>
          <w:tcPr>
            <w:tcW w:w="3613" w:type="dxa"/>
            <w:gridSpan w:val="5"/>
            <w:vAlign w:val="bottom"/>
          </w:tcPr>
          <w:p w14:paraId="222D40D7" w14:textId="77777777" w:rsidR="00F81394" w:rsidRDefault="00F81394" w:rsidP="00EE310E">
            <w:pPr>
              <w:pStyle w:val="-0"/>
              <w:pBdr>
                <w:bottom w:val="single" w:sz="4" w:space="1" w:color="auto"/>
              </w:pBdr>
              <w:spacing w:after="40" w:line="140" w:lineRule="exact"/>
              <w:ind w:left="0" w:right="57" w:firstLine="0"/>
              <w:jc w:val="center"/>
              <w:rPr>
                <w:b/>
                <w:bCs/>
                <w:sz w:val="16"/>
                <w:szCs w:val="16"/>
                <w:rtl/>
              </w:rPr>
            </w:pPr>
            <w:r w:rsidRPr="00B44059">
              <w:rPr>
                <w:rFonts w:hint="eastAsia"/>
                <w:b/>
                <w:bCs/>
                <w:sz w:val="16"/>
                <w:szCs w:val="16"/>
                <w:rtl/>
              </w:rPr>
              <w:t>בלתי</w:t>
            </w:r>
            <w:r w:rsidRPr="00B44059">
              <w:rPr>
                <w:b/>
                <w:bCs/>
                <w:sz w:val="16"/>
                <w:szCs w:val="16"/>
                <w:rtl/>
              </w:rPr>
              <w:t xml:space="preserve"> </w:t>
            </w:r>
            <w:r w:rsidRPr="00B44059">
              <w:rPr>
                <w:rFonts w:hint="eastAsia"/>
                <w:b/>
                <w:bCs/>
                <w:sz w:val="16"/>
                <w:szCs w:val="16"/>
                <w:rtl/>
              </w:rPr>
              <w:t>מבוקר</w:t>
            </w:r>
          </w:p>
        </w:tc>
        <w:tc>
          <w:tcPr>
            <w:tcW w:w="214" w:type="dxa"/>
            <w:vAlign w:val="bottom"/>
          </w:tcPr>
          <w:p w14:paraId="3D1D3FD0" w14:textId="77777777" w:rsidR="00F81394" w:rsidRDefault="00F81394" w:rsidP="00EE310E">
            <w:pPr>
              <w:pStyle w:val="-0"/>
              <w:spacing w:after="40" w:line="140" w:lineRule="exact"/>
              <w:ind w:left="0" w:firstLine="0"/>
              <w:jc w:val="center"/>
              <w:rPr>
                <w:sz w:val="16"/>
                <w:szCs w:val="16"/>
                <w:rtl/>
              </w:rPr>
            </w:pPr>
          </w:p>
        </w:tc>
        <w:tc>
          <w:tcPr>
            <w:tcW w:w="3666" w:type="dxa"/>
            <w:gridSpan w:val="5"/>
            <w:vAlign w:val="bottom"/>
          </w:tcPr>
          <w:p w14:paraId="2625E1E2" w14:textId="77777777" w:rsidR="00F81394" w:rsidRDefault="00F81394" w:rsidP="00EE310E">
            <w:pPr>
              <w:pStyle w:val="-4"/>
              <w:spacing w:after="40" w:line="140" w:lineRule="exact"/>
              <w:ind w:right="57"/>
              <w:rPr>
                <w:sz w:val="16"/>
                <w:szCs w:val="16"/>
                <w:rtl/>
              </w:rPr>
            </w:pPr>
            <w:r w:rsidRPr="00B44059">
              <w:rPr>
                <w:rFonts w:hint="eastAsia"/>
                <w:sz w:val="16"/>
                <w:szCs w:val="16"/>
                <w:rtl/>
              </w:rPr>
              <w:t>בלתי</w:t>
            </w:r>
            <w:r w:rsidRPr="00B44059">
              <w:rPr>
                <w:sz w:val="16"/>
                <w:szCs w:val="16"/>
                <w:rtl/>
              </w:rPr>
              <w:t xml:space="preserve"> </w:t>
            </w:r>
            <w:r w:rsidRPr="00B44059">
              <w:rPr>
                <w:rFonts w:hint="eastAsia"/>
                <w:sz w:val="16"/>
                <w:szCs w:val="16"/>
                <w:rtl/>
              </w:rPr>
              <w:t>מבוקר</w:t>
            </w:r>
          </w:p>
        </w:tc>
        <w:tc>
          <w:tcPr>
            <w:tcW w:w="162" w:type="dxa"/>
            <w:tcMar>
              <w:left w:w="58" w:type="dxa"/>
              <w:right w:w="58" w:type="dxa"/>
            </w:tcMar>
            <w:vAlign w:val="bottom"/>
          </w:tcPr>
          <w:p w14:paraId="16577458" w14:textId="77777777" w:rsidR="00F81394" w:rsidRDefault="00F81394" w:rsidP="00EE310E">
            <w:pPr>
              <w:pStyle w:val="-7"/>
              <w:spacing w:after="40" w:line="140" w:lineRule="exact"/>
              <w:jc w:val="center"/>
              <w:rPr>
                <w:sz w:val="16"/>
                <w:szCs w:val="16"/>
                <w:rtl/>
              </w:rPr>
            </w:pPr>
          </w:p>
        </w:tc>
        <w:tc>
          <w:tcPr>
            <w:tcW w:w="3686" w:type="dxa"/>
            <w:gridSpan w:val="5"/>
            <w:vAlign w:val="bottom"/>
          </w:tcPr>
          <w:p w14:paraId="34171442" w14:textId="77777777" w:rsidR="00F81394" w:rsidRDefault="00F81394" w:rsidP="00EE310E">
            <w:pPr>
              <w:pStyle w:val="-4"/>
              <w:spacing w:after="40" w:line="140" w:lineRule="exact"/>
              <w:ind w:right="57"/>
              <w:rPr>
                <w:sz w:val="16"/>
                <w:szCs w:val="16"/>
                <w:rtl/>
              </w:rPr>
            </w:pPr>
            <w:r w:rsidRPr="00B44059">
              <w:rPr>
                <w:rFonts w:hint="eastAsia"/>
                <w:sz w:val="16"/>
                <w:szCs w:val="16"/>
                <w:rtl/>
              </w:rPr>
              <w:t>מבוקר</w:t>
            </w:r>
          </w:p>
        </w:tc>
      </w:tr>
      <w:tr w:rsidR="00F81394" w:rsidRPr="00EE3141" w14:paraId="4E00619A" w14:textId="77777777" w:rsidTr="0001523C">
        <w:trPr>
          <w:trHeight w:val="244"/>
        </w:trPr>
        <w:tc>
          <w:tcPr>
            <w:tcW w:w="1191" w:type="dxa"/>
            <w:vAlign w:val="bottom"/>
          </w:tcPr>
          <w:p w14:paraId="2D7F4AB0" w14:textId="77777777" w:rsidR="00F81394" w:rsidRPr="00D9322A" w:rsidRDefault="00F81394" w:rsidP="009126D7">
            <w:pPr>
              <w:pStyle w:val="-fa"/>
              <w:spacing w:line="140" w:lineRule="exact"/>
              <w:ind w:right="0"/>
              <w:jc w:val="center"/>
              <w:rPr>
                <w:spacing w:val="0"/>
                <w:rtl/>
              </w:rPr>
            </w:pPr>
          </w:p>
        </w:tc>
        <w:tc>
          <w:tcPr>
            <w:tcW w:w="3113" w:type="dxa"/>
            <w:vAlign w:val="bottom"/>
          </w:tcPr>
          <w:p w14:paraId="07610381" w14:textId="77777777" w:rsidR="00F81394" w:rsidRDefault="00F81394" w:rsidP="009126D7">
            <w:pPr>
              <w:pStyle w:val="-0"/>
              <w:tabs>
                <w:tab w:val="left" w:pos="446"/>
              </w:tabs>
              <w:spacing w:line="140" w:lineRule="exact"/>
              <w:jc w:val="center"/>
              <w:rPr>
                <w:b/>
                <w:bCs/>
                <w:sz w:val="18"/>
                <w:szCs w:val="18"/>
                <w:rtl/>
              </w:rPr>
            </w:pPr>
          </w:p>
        </w:tc>
        <w:tc>
          <w:tcPr>
            <w:tcW w:w="567" w:type="dxa"/>
            <w:vAlign w:val="bottom"/>
          </w:tcPr>
          <w:p w14:paraId="2FD01CDE" w14:textId="77777777" w:rsidR="00F81394" w:rsidRDefault="00F81394" w:rsidP="009126D7">
            <w:pPr>
              <w:pStyle w:val="-4"/>
              <w:pBdr>
                <w:bottom w:val="single" w:sz="4" w:space="1" w:color="auto"/>
              </w:pBdr>
              <w:spacing w:line="140" w:lineRule="exact"/>
              <w:rPr>
                <w:sz w:val="16"/>
                <w:szCs w:val="16"/>
                <w:rtl/>
              </w:rPr>
            </w:pPr>
            <w:r w:rsidRPr="00B44059">
              <w:rPr>
                <w:rFonts w:hint="eastAsia"/>
                <w:sz w:val="16"/>
                <w:szCs w:val="16"/>
                <w:rtl/>
              </w:rPr>
              <w:t>הערך</w:t>
            </w:r>
            <w:r w:rsidRPr="00B44059">
              <w:rPr>
                <w:sz w:val="16"/>
                <w:szCs w:val="16"/>
                <w:rtl/>
              </w:rPr>
              <w:t xml:space="preserve"> </w:t>
            </w:r>
            <w:r w:rsidRPr="00B44059">
              <w:rPr>
                <w:rFonts w:hint="eastAsia"/>
                <w:sz w:val="16"/>
                <w:szCs w:val="16"/>
                <w:rtl/>
              </w:rPr>
              <w:t>במאזן</w:t>
            </w:r>
          </w:p>
        </w:tc>
        <w:tc>
          <w:tcPr>
            <w:tcW w:w="850" w:type="dxa"/>
            <w:vAlign w:val="bottom"/>
          </w:tcPr>
          <w:p w14:paraId="5DF0428B" w14:textId="77777777" w:rsidR="00F81394" w:rsidRDefault="00F81394" w:rsidP="009126D7">
            <w:pPr>
              <w:pStyle w:val="-4"/>
              <w:pBdr>
                <w:bottom w:val="single" w:sz="4" w:space="1" w:color="auto"/>
              </w:pBdr>
              <w:spacing w:line="140" w:lineRule="exact"/>
              <w:rPr>
                <w:sz w:val="16"/>
                <w:szCs w:val="16"/>
                <w:rtl/>
              </w:rPr>
            </w:pPr>
            <w:r>
              <w:rPr>
                <w:rFonts w:hint="cs"/>
                <w:sz w:val="16"/>
                <w:szCs w:val="16"/>
                <w:rtl/>
              </w:rPr>
              <w:t>עלות</w:t>
            </w:r>
          </w:p>
          <w:p w14:paraId="6535BCCA" w14:textId="77777777" w:rsidR="00F81394" w:rsidRDefault="00F81394" w:rsidP="009126D7">
            <w:pPr>
              <w:pStyle w:val="-4"/>
              <w:pBdr>
                <w:bottom w:val="single" w:sz="4" w:space="1" w:color="auto"/>
              </w:pBdr>
              <w:spacing w:line="140" w:lineRule="exact"/>
              <w:rPr>
                <w:sz w:val="16"/>
                <w:szCs w:val="16"/>
                <w:rtl/>
              </w:rPr>
            </w:pPr>
            <w:r>
              <w:rPr>
                <w:rFonts w:hint="cs"/>
                <w:sz w:val="16"/>
                <w:szCs w:val="16"/>
                <w:rtl/>
              </w:rPr>
              <w:t>מופחתת</w:t>
            </w:r>
          </w:p>
          <w:p w14:paraId="5998799B" w14:textId="77777777" w:rsidR="00F81394" w:rsidRDefault="00F81394" w:rsidP="009126D7">
            <w:pPr>
              <w:pStyle w:val="-4"/>
              <w:pBdr>
                <w:bottom w:val="single" w:sz="4" w:space="1" w:color="auto"/>
              </w:pBdr>
              <w:spacing w:line="140" w:lineRule="exact"/>
              <w:rPr>
                <w:sz w:val="16"/>
                <w:szCs w:val="16"/>
                <w:rtl/>
              </w:rPr>
            </w:pPr>
            <w:r>
              <w:rPr>
                <w:rFonts w:hint="cs"/>
                <w:sz w:val="16"/>
                <w:szCs w:val="16"/>
                <w:rtl/>
              </w:rPr>
              <w:t>(במניות-</w:t>
            </w:r>
          </w:p>
          <w:p w14:paraId="497E228C" w14:textId="77777777" w:rsidR="00F81394" w:rsidRDefault="00F81394" w:rsidP="009126D7">
            <w:pPr>
              <w:pStyle w:val="-4"/>
              <w:pBdr>
                <w:bottom w:val="single" w:sz="4" w:space="1" w:color="auto"/>
              </w:pBdr>
              <w:spacing w:line="140" w:lineRule="exact"/>
              <w:rPr>
                <w:sz w:val="16"/>
                <w:szCs w:val="16"/>
                <w:rtl/>
              </w:rPr>
            </w:pPr>
            <w:r>
              <w:rPr>
                <w:rFonts w:hint="cs"/>
                <w:sz w:val="16"/>
                <w:szCs w:val="16"/>
                <w:rtl/>
              </w:rPr>
              <w:t>עלות)</w:t>
            </w:r>
          </w:p>
        </w:tc>
        <w:tc>
          <w:tcPr>
            <w:tcW w:w="851" w:type="dxa"/>
            <w:vAlign w:val="bottom"/>
          </w:tcPr>
          <w:p w14:paraId="07003CA4" w14:textId="77777777" w:rsidR="00F81394" w:rsidRDefault="00F81394" w:rsidP="009126D7">
            <w:pPr>
              <w:pStyle w:val="-4"/>
              <w:pBdr>
                <w:bottom w:val="single" w:sz="4" w:space="1" w:color="auto"/>
              </w:pBdr>
              <w:spacing w:line="140" w:lineRule="exact"/>
              <w:rPr>
                <w:sz w:val="16"/>
                <w:szCs w:val="16"/>
                <w:rtl/>
              </w:rPr>
            </w:pPr>
            <w:r w:rsidRPr="00B44059">
              <w:rPr>
                <w:rFonts w:hint="eastAsia"/>
                <w:sz w:val="16"/>
                <w:szCs w:val="16"/>
                <w:rtl/>
              </w:rPr>
              <w:t>רווחים</w:t>
            </w:r>
            <w:r w:rsidRPr="00B44059">
              <w:rPr>
                <w:sz w:val="16"/>
                <w:szCs w:val="16"/>
                <w:rtl/>
              </w:rPr>
              <w:t xml:space="preserve"> </w:t>
            </w:r>
            <w:r w:rsidRPr="00B44059">
              <w:rPr>
                <w:rFonts w:hint="eastAsia"/>
                <w:sz w:val="16"/>
                <w:szCs w:val="16"/>
                <w:rtl/>
              </w:rPr>
              <w:t>שטרם</w:t>
            </w:r>
            <w:r w:rsidRPr="00B44059">
              <w:rPr>
                <w:sz w:val="16"/>
                <w:szCs w:val="16"/>
                <w:rtl/>
              </w:rPr>
              <w:t xml:space="preserve"> </w:t>
            </w:r>
            <w:r w:rsidRPr="00B44059">
              <w:rPr>
                <w:rFonts w:hint="eastAsia"/>
                <w:sz w:val="16"/>
                <w:szCs w:val="16"/>
                <w:rtl/>
              </w:rPr>
              <w:t>מומשו</w:t>
            </w:r>
            <w:r w:rsidRPr="00B44059">
              <w:rPr>
                <w:sz w:val="16"/>
                <w:szCs w:val="16"/>
                <w:rtl/>
              </w:rPr>
              <w:t xml:space="preserve"> </w:t>
            </w:r>
            <w:r w:rsidRPr="00B44059">
              <w:rPr>
                <w:rFonts w:hint="eastAsia"/>
                <w:sz w:val="16"/>
                <w:szCs w:val="16"/>
                <w:rtl/>
              </w:rPr>
              <w:t>מהתאמות</w:t>
            </w:r>
            <w:r w:rsidRPr="00B44059">
              <w:rPr>
                <w:sz w:val="16"/>
                <w:szCs w:val="16"/>
                <w:rtl/>
              </w:rPr>
              <w:t xml:space="preserve"> </w:t>
            </w:r>
            <w:r w:rsidRPr="00B44059">
              <w:rPr>
                <w:rFonts w:hint="eastAsia"/>
                <w:sz w:val="16"/>
                <w:szCs w:val="16"/>
                <w:rtl/>
              </w:rPr>
              <w:t>לשווי</w:t>
            </w:r>
            <w:r w:rsidRPr="00B44059">
              <w:rPr>
                <w:sz w:val="16"/>
                <w:szCs w:val="16"/>
                <w:rtl/>
              </w:rPr>
              <w:t xml:space="preserve"> </w:t>
            </w:r>
            <w:r w:rsidRPr="00B44059">
              <w:rPr>
                <w:rFonts w:hint="eastAsia"/>
                <w:sz w:val="16"/>
                <w:szCs w:val="16"/>
                <w:rtl/>
              </w:rPr>
              <w:t>הוגן</w:t>
            </w:r>
          </w:p>
        </w:tc>
        <w:tc>
          <w:tcPr>
            <w:tcW w:w="709" w:type="dxa"/>
            <w:vAlign w:val="bottom"/>
          </w:tcPr>
          <w:p w14:paraId="2F2302A5" w14:textId="77777777" w:rsidR="00F81394" w:rsidRDefault="00F81394" w:rsidP="009126D7">
            <w:pPr>
              <w:pStyle w:val="-4"/>
              <w:pBdr>
                <w:bottom w:val="single" w:sz="4" w:space="1" w:color="auto"/>
              </w:pBdr>
              <w:spacing w:line="140" w:lineRule="exact"/>
              <w:rPr>
                <w:sz w:val="16"/>
                <w:szCs w:val="16"/>
                <w:rtl/>
              </w:rPr>
            </w:pPr>
            <w:r w:rsidRPr="00B44059">
              <w:rPr>
                <w:rFonts w:hint="eastAsia"/>
                <w:sz w:val="16"/>
                <w:szCs w:val="16"/>
                <w:rtl/>
              </w:rPr>
              <w:t>הפסדים</w:t>
            </w:r>
            <w:r w:rsidRPr="00B44059">
              <w:rPr>
                <w:sz w:val="16"/>
                <w:szCs w:val="16"/>
                <w:rtl/>
              </w:rPr>
              <w:t xml:space="preserve"> </w:t>
            </w:r>
            <w:r w:rsidRPr="00B44059">
              <w:rPr>
                <w:rFonts w:hint="eastAsia"/>
                <w:sz w:val="16"/>
                <w:szCs w:val="16"/>
                <w:rtl/>
              </w:rPr>
              <w:t>שטרם</w:t>
            </w:r>
            <w:r w:rsidRPr="00B44059">
              <w:rPr>
                <w:sz w:val="16"/>
                <w:szCs w:val="16"/>
                <w:rtl/>
              </w:rPr>
              <w:t xml:space="preserve"> </w:t>
            </w:r>
            <w:r w:rsidRPr="00B44059">
              <w:rPr>
                <w:rFonts w:hint="eastAsia"/>
                <w:sz w:val="16"/>
                <w:szCs w:val="16"/>
                <w:rtl/>
              </w:rPr>
              <w:t>מומשו</w:t>
            </w:r>
            <w:r w:rsidRPr="00B44059">
              <w:rPr>
                <w:sz w:val="16"/>
                <w:szCs w:val="16"/>
                <w:rtl/>
              </w:rPr>
              <w:t xml:space="preserve"> </w:t>
            </w:r>
            <w:r w:rsidRPr="00B44059">
              <w:rPr>
                <w:rFonts w:hint="eastAsia"/>
                <w:sz w:val="16"/>
                <w:szCs w:val="16"/>
                <w:rtl/>
              </w:rPr>
              <w:t>מהתאמות</w:t>
            </w:r>
            <w:r w:rsidRPr="00B44059">
              <w:rPr>
                <w:sz w:val="16"/>
                <w:szCs w:val="16"/>
                <w:rtl/>
              </w:rPr>
              <w:t xml:space="preserve"> </w:t>
            </w:r>
            <w:r w:rsidRPr="00B44059">
              <w:rPr>
                <w:rFonts w:hint="eastAsia"/>
                <w:sz w:val="16"/>
                <w:szCs w:val="16"/>
                <w:rtl/>
              </w:rPr>
              <w:t>לשווי</w:t>
            </w:r>
            <w:r w:rsidRPr="00B44059">
              <w:rPr>
                <w:sz w:val="16"/>
                <w:szCs w:val="16"/>
                <w:rtl/>
              </w:rPr>
              <w:t xml:space="preserve"> </w:t>
            </w:r>
            <w:r w:rsidRPr="00B44059">
              <w:rPr>
                <w:rFonts w:hint="eastAsia"/>
                <w:sz w:val="16"/>
                <w:szCs w:val="16"/>
                <w:rtl/>
              </w:rPr>
              <w:t>הוגן</w:t>
            </w:r>
          </w:p>
        </w:tc>
        <w:tc>
          <w:tcPr>
            <w:tcW w:w="636" w:type="dxa"/>
            <w:vAlign w:val="bottom"/>
          </w:tcPr>
          <w:p w14:paraId="6D294E14" w14:textId="77777777" w:rsidR="00F81394" w:rsidRDefault="00F81394" w:rsidP="009126D7">
            <w:pPr>
              <w:pStyle w:val="-4"/>
              <w:pBdr>
                <w:bottom w:val="single" w:sz="4" w:space="1" w:color="auto"/>
              </w:pBdr>
              <w:spacing w:line="140" w:lineRule="exact"/>
              <w:rPr>
                <w:sz w:val="16"/>
                <w:szCs w:val="16"/>
                <w:rtl/>
              </w:rPr>
            </w:pPr>
            <w:r w:rsidRPr="00B44059">
              <w:rPr>
                <w:rFonts w:hint="eastAsia"/>
                <w:sz w:val="16"/>
                <w:szCs w:val="16"/>
                <w:rtl/>
              </w:rPr>
              <w:t>שווי</w:t>
            </w:r>
            <w:r w:rsidRPr="00B44059">
              <w:rPr>
                <w:sz w:val="16"/>
                <w:szCs w:val="16"/>
                <w:rtl/>
              </w:rPr>
              <w:t xml:space="preserve"> </w:t>
            </w:r>
            <w:r w:rsidRPr="00B44059">
              <w:rPr>
                <w:sz w:val="16"/>
                <w:szCs w:val="16"/>
                <w:rtl/>
              </w:rPr>
              <w:br/>
            </w:r>
            <w:r w:rsidRPr="00B44059">
              <w:rPr>
                <w:rFonts w:hint="eastAsia"/>
                <w:sz w:val="16"/>
                <w:szCs w:val="16"/>
                <w:rtl/>
              </w:rPr>
              <w:t>הוגן</w:t>
            </w:r>
            <w:r w:rsidRPr="00B44059">
              <w:rPr>
                <w:sz w:val="16"/>
                <w:szCs w:val="16"/>
                <w:vertAlign w:val="superscript"/>
                <w:rtl/>
              </w:rPr>
              <w:t>(</w:t>
            </w:r>
            <w:r w:rsidRPr="006A0255">
              <w:rPr>
                <w:sz w:val="16"/>
                <w:szCs w:val="16"/>
                <w:vertAlign w:val="superscript"/>
                <w:rtl/>
              </w:rPr>
              <w:t>א)</w:t>
            </w:r>
            <w:r w:rsidRPr="006C44DC">
              <w:rPr>
                <w:rFonts w:hint="cs"/>
                <w:sz w:val="16"/>
                <w:szCs w:val="16"/>
                <w:vertAlign w:val="superscript"/>
                <w:rtl/>
              </w:rPr>
              <w:t>(ג)</w:t>
            </w:r>
          </w:p>
        </w:tc>
        <w:tc>
          <w:tcPr>
            <w:tcW w:w="214" w:type="dxa"/>
            <w:vAlign w:val="bottom"/>
          </w:tcPr>
          <w:p w14:paraId="64A542CF" w14:textId="77777777" w:rsidR="00F81394" w:rsidRDefault="00F81394" w:rsidP="009126D7">
            <w:pPr>
              <w:pStyle w:val="-4"/>
              <w:pBdr>
                <w:bottom w:val="none" w:sz="0" w:space="0" w:color="auto"/>
              </w:pBdr>
              <w:spacing w:line="140" w:lineRule="exact"/>
              <w:rPr>
                <w:sz w:val="16"/>
                <w:szCs w:val="16"/>
                <w:rtl/>
              </w:rPr>
            </w:pPr>
          </w:p>
        </w:tc>
        <w:tc>
          <w:tcPr>
            <w:tcW w:w="567" w:type="dxa"/>
            <w:vAlign w:val="bottom"/>
          </w:tcPr>
          <w:p w14:paraId="3300EE9E" w14:textId="77777777" w:rsidR="00F81394" w:rsidRDefault="00F81394" w:rsidP="009126D7">
            <w:pPr>
              <w:pStyle w:val="-4"/>
              <w:pBdr>
                <w:bottom w:val="single" w:sz="4" w:space="1" w:color="auto"/>
              </w:pBdr>
              <w:spacing w:line="140" w:lineRule="exact"/>
              <w:rPr>
                <w:sz w:val="16"/>
                <w:szCs w:val="16"/>
                <w:rtl/>
              </w:rPr>
            </w:pPr>
            <w:r w:rsidRPr="00B44059">
              <w:rPr>
                <w:rFonts w:hint="eastAsia"/>
                <w:sz w:val="16"/>
                <w:szCs w:val="16"/>
                <w:rtl/>
              </w:rPr>
              <w:t>הערך</w:t>
            </w:r>
            <w:r w:rsidRPr="00B44059">
              <w:rPr>
                <w:sz w:val="16"/>
                <w:szCs w:val="16"/>
                <w:rtl/>
              </w:rPr>
              <w:t xml:space="preserve"> </w:t>
            </w:r>
            <w:r w:rsidRPr="00B44059">
              <w:rPr>
                <w:rFonts w:hint="eastAsia"/>
                <w:sz w:val="16"/>
                <w:szCs w:val="16"/>
                <w:rtl/>
              </w:rPr>
              <w:t>במאזן</w:t>
            </w:r>
          </w:p>
        </w:tc>
        <w:tc>
          <w:tcPr>
            <w:tcW w:w="709" w:type="dxa"/>
            <w:vAlign w:val="bottom"/>
          </w:tcPr>
          <w:p w14:paraId="45CF010F" w14:textId="77777777" w:rsidR="00F81394" w:rsidRDefault="00F81394" w:rsidP="009126D7">
            <w:pPr>
              <w:pStyle w:val="-4"/>
              <w:pBdr>
                <w:bottom w:val="single" w:sz="4" w:space="1" w:color="auto"/>
              </w:pBdr>
              <w:spacing w:line="140" w:lineRule="exact"/>
              <w:rPr>
                <w:sz w:val="16"/>
                <w:szCs w:val="16"/>
                <w:rtl/>
              </w:rPr>
            </w:pPr>
            <w:r>
              <w:rPr>
                <w:rFonts w:hint="cs"/>
                <w:sz w:val="16"/>
                <w:szCs w:val="16"/>
                <w:rtl/>
              </w:rPr>
              <w:t>עלות</w:t>
            </w:r>
          </w:p>
          <w:p w14:paraId="3168783D" w14:textId="77777777" w:rsidR="00F81394" w:rsidRDefault="00F81394" w:rsidP="009126D7">
            <w:pPr>
              <w:pStyle w:val="-4"/>
              <w:pBdr>
                <w:bottom w:val="single" w:sz="4" w:space="1" w:color="auto"/>
              </w:pBdr>
              <w:spacing w:line="140" w:lineRule="exact"/>
              <w:rPr>
                <w:sz w:val="16"/>
                <w:szCs w:val="16"/>
                <w:rtl/>
              </w:rPr>
            </w:pPr>
            <w:r>
              <w:rPr>
                <w:rFonts w:hint="cs"/>
                <w:sz w:val="16"/>
                <w:szCs w:val="16"/>
                <w:rtl/>
              </w:rPr>
              <w:t>מופחתת</w:t>
            </w:r>
          </w:p>
          <w:p w14:paraId="0FD98332" w14:textId="77777777" w:rsidR="00F81394" w:rsidRDefault="00F81394" w:rsidP="009126D7">
            <w:pPr>
              <w:pStyle w:val="-4"/>
              <w:pBdr>
                <w:bottom w:val="single" w:sz="4" w:space="1" w:color="auto"/>
              </w:pBdr>
              <w:spacing w:line="140" w:lineRule="exact"/>
              <w:rPr>
                <w:sz w:val="16"/>
                <w:szCs w:val="16"/>
                <w:rtl/>
              </w:rPr>
            </w:pPr>
            <w:r>
              <w:rPr>
                <w:rFonts w:hint="cs"/>
                <w:sz w:val="16"/>
                <w:szCs w:val="16"/>
                <w:rtl/>
              </w:rPr>
              <w:t>(במניות-</w:t>
            </w:r>
          </w:p>
          <w:p w14:paraId="268AD022" w14:textId="77777777" w:rsidR="00F81394" w:rsidRDefault="00F81394" w:rsidP="009126D7">
            <w:pPr>
              <w:pStyle w:val="-4"/>
              <w:pBdr>
                <w:bottom w:val="single" w:sz="4" w:space="1" w:color="auto"/>
              </w:pBdr>
              <w:spacing w:line="140" w:lineRule="exact"/>
              <w:rPr>
                <w:sz w:val="16"/>
                <w:szCs w:val="16"/>
                <w:rtl/>
              </w:rPr>
            </w:pPr>
            <w:r>
              <w:rPr>
                <w:rFonts w:hint="cs"/>
                <w:sz w:val="16"/>
                <w:szCs w:val="16"/>
                <w:rtl/>
              </w:rPr>
              <w:t>עלות)</w:t>
            </w:r>
          </w:p>
        </w:tc>
        <w:tc>
          <w:tcPr>
            <w:tcW w:w="992" w:type="dxa"/>
            <w:vAlign w:val="bottom"/>
          </w:tcPr>
          <w:p w14:paraId="365F8051" w14:textId="77777777" w:rsidR="00F81394" w:rsidRDefault="00F81394" w:rsidP="009126D7">
            <w:pPr>
              <w:pStyle w:val="-4"/>
              <w:pBdr>
                <w:bottom w:val="single" w:sz="4" w:space="1" w:color="auto"/>
              </w:pBdr>
              <w:spacing w:line="140" w:lineRule="exact"/>
              <w:rPr>
                <w:sz w:val="16"/>
                <w:szCs w:val="16"/>
                <w:rtl/>
              </w:rPr>
            </w:pPr>
            <w:r w:rsidRPr="00B44059">
              <w:rPr>
                <w:rFonts w:hint="eastAsia"/>
                <w:sz w:val="16"/>
                <w:szCs w:val="16"/>
                <w:rtl/>
              </w:rPr>
              <w:t>רווחים</w:t>
            </w:r>
            <w:r w:rsidRPr="00B44059">
              <w:rPr>
                <w:sz w:val="16"/>
                <w:szCs w:val="16"/>
                <w:rtl/>
              </w:rPr>
              <w:t xml:space="preserve"> </w:t>
            </w:r>
            <w:r w:rsidRPr="00B44059">
              <w:rPr>
                <w:rFonts w:hint="eastAsia"/>
                <w:sz w:val="16"/>
                <w:szCs w:val="16"/>
                <w:rtl/>
              </w:rPr>
              <w:t>שטרם</w:t>
            </w:r>
            <w:r w:rsidRPr="00B44059">
              <w:rPr>
                <w:sz w:val="16"/>
                <w:szCs w:val="16"/>
                <w:rtl/>
              </w:rPr>
              <w:t xml:space="preserve"> </w:t>
            </w:r>
            <w:r w:rsidRPr="00B44059">
              <w:rPr>
                <w:rFonts w:hint="eastAsia"/>
                <w:sz w:val="16"/>
                <w:szCs w:val="16"/>
                <w:rtl/>
              </w:rPr>
              <w:t>מומשו</w:t>
            </w:r>
            <w:r w:rsidRPr="00B44059">
              <w:rPr>
                <w:sz w:val="16"/>
                <w:szCs w:val="16"/>
                <w:rtl/>
              </w:rPr>
              <w:t xml:space="preserve"> </w:t>
            </w:r>
            <w:r w:rsidRPr="00B44059">
              <w:rPr>
                <w:rFonts w:hint="eastAsia"/>
                <w:sz w:val="16"/>
                <w:szCs w:val="16"/>
                <w:rtl/>
              </w:rPr>
              <w:t>מהתאמות</w:t>
            </w:r>
            <w:r w:rsidRPr="00B44059">
              <w:rPr>
                <w:sz w:val="16"/>
                <w:szCs w:val="16"/>
                <w:rtl/>
              </w:rPr>
              <w:t xml:space="preserve"> </w:t>
            </w:r>
            <w:r w:rsidRPr="00B44059">
              <w:rPr>
                <w:rFonts w:hint="eastAsia"/>
                <w:sz w:val="16"/>
                <w:szCs w:val="16"/>
                <w:rtl/>
              </w:rPr>
              <w:t>לשווי</w:t>
            </w:r>
            <w:r w:rsidRPr="00B44059">
              <w:rPr>
                <w:sz w:val="16"/>
                <w:szCs w:val="16"/>
                <w:rtl/>
              </w:rPr>
              <w:t xml:space="preserve"> </w:t>
            </w:r>
            <w:r w:rsidRPr="00B44059">
              <w:rPr>
                <w:rFonts w:hint="eastAsia"/>
                <w:sz w:val="16"/>
                <w:szCs w:val="16"/>
                <w:rtl/>
              </w:rPr>
              <w:t>הוגן</w:t>
            </w:r>
          </w:p>
        </w:tc>
        <w:tc>
          <w:tcPr>
            <w:tcW w:w="710" w:type="dxa"/>
            <w:vAlign w:val="bottom"/>
          </w:tcPr>
          <w:p w14:paraId="08CA86B6" w14:textId="77777777" w:rsidR="00F81394" w:rsidRDefault="00F81394" w:rsidP="009126D7">
            <w:pPr>
              <w:pStyle w:val="-4"/>
              <w:pBdr>
                <w:bottom w:val="single" w:sz="4" w:space="1" w:color="auto"/>
              </w:pBdr>
              <w:spacing w:line="140" w:lineRule="exact"/>
              <w:rPr>
                <w:sz w:val="16"/>
                <w:szCs w:val="16"/>
                <w:rtl/>
              </w:rPr>
            </w:pPr>
            <w:r w:rsidRPr="00B44059">
              <w:rPr>
                <w:rFonts w:hint="eastAsia"/>
                <w:sz w:val="16"/>
                <w:szCs w:val="16"/>
                <w:rtl/>
              </w:rPr>
              <w:t>הפסדים</w:t>
            </w:r>
            <w:r w:rsidRPr="00B44059">
              <w:rPr>
                <w:sz w:val="16"/>
                <w:szCs w:val="16"/>
                <w:rtl/>
              </w:rPr>
              <w:t xml:space="preserve"> </w:t>
            </w:r>
            <w:r w:rsidRPr="00B44059">
              <w:rPr>
                <w:rFonts w:hint="eastAsia"/>
                <w:sz w:val="16"/>
                <w:szCs w:val="16"/>
                <w:rtl/>
              </w:rPr>
              <w:t>שטרם</w:t>
            </w:r>
            <w:r w:rsidRPr="00B44059">
              <w:rPr>
                <w:sz w:val="16"/>
                <w:szCs w:val="16"/>
                <w:rtl/>
              </w:rPr>
              <w:t xml:space="preserve"> </w:t>
            </w:r>
            <w:r w:rsidRPr="00B44059">
              <w:rPr>
                <w:rFonts w:hint="eastAsia"/>
                <w:sz w:val="16"/>
                <w:szCs w:val="16"/>
                <w:rtl/>
              </w:rPr>
              <w:t>מומשו</w:t>
            </w:r>
            <w:r w:rsidRPr="00B44059">
              <w:rPr>
                <w:sz w:val="16"/>
                <w:szCs w:val="16"/>
                <w:rtl/>
              </w:rPr>
              <w:t xml:space="preserve"> </w:t>
            </w:r>
            <w:r w:rsidRPr="00B44059">
              <w:rPr>
                <w:rFonts w:hint="eastAsia"/>
                <w:sz w:val="16"/>
                <w:szCs w:val="16"/>
                <w:rtl/>
              </w:rPr>
              <w:t>מהתאמות</w:t>
            </w:r>
            <w:r w:rsidRPr="00B44059">
              <w:rPr>
                <w:sz w:val="16"/>
                <w:szCs w:val="16"/>
                <w:rtl/>
              </w:rPr>
              <w:t xml:space="preserve"> </w:t>
            </w:r>
            <w:r w:rsidRPr="00B44059">
              <w:rPr>
                <w:rFonts w:hint="eastAsia"/>
                <w:sz w:val="16"/>
                <w:szCs w:val="16"/>
                <w:rtl/>
              </w:rPr>
              <w:t>לשווי</w:t>
            </w:r>
            <w:r w:rsidRPr="00B44059">
              <w:rPr>
                <w:sz w:val="16"/>
                <w:szCs w:val="16"/>
                <w:rtl/>
              </w:rPr>
              <w:t xml:space="preserve"> </w:t>
            </w:r>
            <w:r w:rsidRPr="00B44059">
              <w:rPr>
                <w:rFonts w:hint="eastAsia"/>
                <w:sz w:val="16"/>
                <w:szCs w:val="16"/>
                <w:rtl/>
              </w:rPr>
              <w:t>הוגן</w:t>
            </w:r>
          </w:p>
        </w:tc>
        <w:tc>
          <w:tcPr>
            <w:tcW w:w="688" w:type="dxa"/>
            <w:vAlign w:val="bottom"/>
          </w:tcPr>
          <w:p w14:paraId="5C9E9B14" w14:textId="77777777" w:rsidR="00F81394" w:rsidRDefault="00F81394" w:rsidP="009126D7">
            <w:pPr>
              <w:pStyle w:val="-4"/>
              <w:pBdr>
                <w:bottom w:val="single" w:sz="4" w:space="1" w:color="auto"/>
              </w:pBdr>
              <w:spacing w:line="140" w:lineRule="exact"/>
              <w:rPr>
                <w:sz w:val="16"/>
                <w:szCs w:val="16"/>
                <w:rtl/>
              </w:rPr>
            </w:pPr>
            <w:r w:rsidRPr="00B44059">
              <w:rPr>
                <w:rFonts w:hint="eastAsia"/>
                <w:sz w:val="16"/>
                <w:szCs w:val="16"/>
                <w:rtl/>
              </w:rPr>
              <w:t>שווי</w:t>
            </w:r>
          </w:p>
          <w:p w14:paraId="4BB0397D" w14:textId="77777777" w:rsidR="00F81394" w:rsidRDefault="00F81394" w:rsidP="009126D7">
            <w:pPr>
              <w:pStyle w:val="-4"/>
              <w:pBdr>
                <w:bottom w:val="single" w:sz="4" w:space="1" w:color="auto"/>
              </w:pBdr>
              <w:spacing w:line="140" w:lineRule="exact"/>
              <w:rPr>
                <w:sz w:val="16"/>
                <w:szCs w:val="16"/>
                <w:rtl/>
              </w:rPr>
            </w:pPr>
            <w:r w:rsidRPr="00B44059">
              <w:rPr>
                <w:rFonts w:hint="eastAsia"/>
                <w:sz w:val="16"/>
                <w:szCs w:val="16"/>
                <w:rtl/>
              </w:rPr>
              <w:t>הוג</w:t>
            </w:r>
            <w:r>
              <w:rPr>
                <w:rFonts w:hint="cs"/>
                <w:sz w:val="16"/>
                <w:szCs w:val="16"/>
                <w:rtl/>
              </w:rPr>
              <w:t>ן</w:t>
            </w:r>
            <w:r>
              <w:rPr>
                <w:rFonts w:hint="cs"/>
                <w:sz w:val="16"/>
                <w:szCs w:val="16"/>
                <w:vertAlign w:val="superscript"/>
                <w:rtl/>
              </w:rPr>
              <w:t>(</w:t>
            </w:r>
            <w:r w:rsidRPr="009D473E">
              <w:rPr>
                <w:sz w:val="16"/>
                <w:szCs w:val="16"/>
                <w:vertAlign w:val="superscript"/>
                <w:rtl/>
              </w:rPr>
              <w:t>א)</w:t>
            </w:r>
            <w:r w:rsidRPr="009D473E">
              <w:rPr>
                <w:rFonts w:hint="cs"/>
                <w:sz w:val="16"/>
                <w:szCs w:val="16"/>
                <w:vertAlign w:val="superscript"/>
                <w:rtl/>
              </w:rPr>
              <w:t>(ג)</w:t>
            </w:r>
          </w:p>
        </w:tc>
        <w:tc>
          <w:tcPr>
            <w:tcW w:w="162" w:type="dxa"/>
            <w:tcMar>
              <w:left w:w="58" w:type="dxa"/>
              <w:right w:w="58" w:type="dxa"/>
            </w:tcMar>
            <w:vAlign w:val="bottom"/>
          </w:tcPr>
          <w:p w14:paraId="429A477A" w14:textId="77777777" w:rsidR="00F81394" w:rsidRDefault="00F81394" w:rsidP="009126D7">
            <w:pPr>
              <w:pStyle w:val="-4"/>
              <w:pBdr>
                <w:bottom w:val="none" w:sz="0" w:space="0" w:color="auto"/>
              </w:pBdr>
              <w:spacing w:line="140" w:lineRule="exact"/>
              <w:rPr>
                <w:sz w:val="16"/>
                <w:szCs w:val="16"/>
                <w:rtl/>
              </w:rPr>
            </w:pPr>
          </w:p>
        </w:tc>
        <w:tc>
          <w:tcPr>
            <w:tcW w:w="567" w:type="dxa"/>
            <w:vAlign w:val="bottom"/>
          </w:tcPr>
          <w:p w14:paraId="33B4EFB5" w14:textId="77777777" w:rsidR="00F81394" w:rsidRDefault="00F81394" w:rsidP="009126D7">
            <w:pPr>
              <w:pStyle w:val="-4"/>
              <w:pBdr>
                <w:bottom w:val="single" w:sz="4" w:space="1" w:color="auto"/>
              </w:pBdr>
              <w:spacing w:line="140" w:lineRule="exact"/>
              <w:rPr>
                <w:sz w:val="16"/>
                <w:szCs w:val="16"/>
                <w:rtl/>
              </w:rPr>
            </w:pPr>
            <w:r w:rsidRPr="00B44059">
              <w:rPr>
                <w:rFonts w:hint="eastAsia"/>
                <w:sz w:val="16"/>
                <w:szCs w:val="16"/>
                <w:rtl/>
              </w:rPr>
              <w:t>הערך</w:t>
            </w:r>
            <w:r w:rsidRPr="00B44059">
              <w:rPr>
                <w:sz w:val="16"/>
                <w:szCs w:val="16"/>
                <w:rtl/>
              </w:rPr>
              <w:t xml:space="preserve"> </w:t>
            </w:r>
            <w:r w:rsidRPr="00B44059">
              <w:rPr>
                <w:rFonts w:hint="eastAsia"/>
                <w:sz w:val="16"/>
                <w:szCs w:val="16"/>
                <w:rtl/>
              </w:rPr>
              <w:t>במאזן</w:t>
            </w:r>
          </w:p>
        </w:tc>
        <w:tc>
          <w:tcPr>
            <w:tcW w:w="709" w:type="dxa"/>
            <w:vAlign w:val="bottom"/>
          </w:tcPr>
          <w:p w14:paraId="3F5CCB2B" w14:textId="77777777" w:rsidR="00F81394" w:rsidRDefault="00F81394" w:rsidP="009126D7">
            <w:pPr>
              <w:pStyle w:val="-4"/>
              <w:pBdr>
                <w:bottom w:val="single" w:sz="4" w:space="1" w:color="auto"/>
              </w:pBdr>
              <w:spacing w:line="140" w:lineRule="exact"/>
              <w:rPr>
                <w:sz w:val="16"/>
                <w:szCs w:val="16"/>
                <w:rtl/>
              </w:rPr>
            </w:pPr>
            <w:r>
              <w:rPr>
                <w:rFonts w:hint="cs"/>
                <w:sz w:val="16"/>
                <w:szCs w:val="16"/>
                <w:rtl/>
              </w:rPr>
              <w:t>עלות</w:t>
            </w:r>
          </w:p>
          <w:p w14:paraId="65EB1759" w14:textId="77777777" w:rsidR="00F81394" w:rsidRDefault="00F81394" w:rsidP="009126D7">
            <w:pPr>
              <w:pStyle w:val="-4"/>
              <w:pBdr>
                <w:bottom w:val="single" w:sz="4" w:space="1" w:color="auto"/>
              </w:pBdr>
              <w:spacing w:line="140" w:lineRule="exact"/>
              <w:rPr>
                <w:sz w:val="16"/>
                <w:szCs w:val="16"/>
                <w:rtl/>
              </w:rPr>
            </w:pPr>
            <w:r>
              <w:rPr>
                <w:rFonts w:hint="cs"/>
                <w:sz w:val="16"/>
                <w:szCs w:val="16"/>
                <w:rtl/>
              </w:rPr>
              <w:t>מופחתת</w:t>
            </w:r>
          </w:p>
          <w:p w14:paraId="06EB8C4C" w14:textId="77777777" w:rsidR="00F81394" w:rsidRDefault="00F81394" w:rsidP="009126D7">
            <w:pPr>
              <w:pStyle w:val="-4"/>
              <w:pBdr>
                <w:bottom w:val="single" w:sz="4" w:space="1" w:color="auto"/>
              </w:pBdr>
              <w:spacing w:line="140" w:lineRule="exact"/>
              <w:rPr>
                <w:sz w:val="16"/>
                <w:szCs w:val="16"/>
                <w:rtl/>
              </w:rPr>
            </w:pPr>
            <w:r>
              <w:rPr>
                <w:rFonts w:hint="cs"/>
                <w:sz w:val="16"/>
                <w:szCs w:val="16"/>
                <w:rtl/>
              </w:rPr>
              <w:t>(במניות-</w:t>
            </w:r>
          </w:p>
          <w:p w14:paraId="157206B8" w14:textId="77777777" w:rsidR="00F81394" w:rsidRDefault="00F81394" w:rsidP="009126D7">
            <w:pPr>
              <w:pStyle w:val="-4"/>
              <w:pBdr>
                <w:bottom w:val="single" w:sz="4" w:space="1" w:color="auto"/>
              </w:pBdr>
              <w:spacing w:line="140" w:lineRule="exact"/>
              <w:rPr>
                <w:sz w:val="16"/>
                <w:szCs w:val="16"/>
                <w:rtl/>
              </w:rPr>
            </w:pPr>
            <w:r>
              <w:rPr>
                <w:rFonts w:hint="cs"/>
                <w:sz w:val="16"/>
                <w:szCs w:val="16"/>
                <w:rtl/>
              </w:rPr>
              <w:t>עלות)</w:t>
            </w:r>
          </w:p>
        </w:tc>
        <w:tc>
          <w:tcPr>
            <w:tcW w:w="709" w:type="dxa"/>
            <w:vAlign w:val="bottom"/>
          </w:tcPr>
          <w:p w14:paraId="527882C8" w14:textId="77777777" w:rsidR="00F81394" w:rsidRDefault="00F81394" w:rsidP="009126D7">
            <w:pPr>
              <w:pStyle w:val="-4"/>
              <w:pBdr>
                <w:bottom w:val="single" w:sz="4" w:space="1" w:color="auto"/>
              </w:pBdr>
              <w:spacing w:line="140" w:lineRule="exact"/>
              <w:rPr>
                <w:sz w:val="16"/>
                <w:szCs w:val="16"/>
                <w:rtl/>
              </w:rPr>
            </w:pPr>
            <w:r w:rsidRPr="00B44059">
              <w:rPr>
                <w:rFonts w:hint="eastAsia"/>
                <w:sz w:val="16"/>
                <w:szCs w:val="16"/>
                <w:rtl/>
              </w:rPr>
              <w:t>רווחים</w:t>
            </w:r>
            <w:r w:rsidRPr="00B44059">
              <w:rPr>
                <w:sz w:val="16"/>
                <w:szCs w:val="16"/>
                <w:rtl/>
              </w:rPr>
              <w:t xml:space="preserve"> </w:t>
            </w:r>
            <w:r w:rsidRPr="00B44059">
              <w:rPr>
                <w:rFonts w:hint="eastAsia"/>
                <w:sz w:val="16"/>
                <w:szCs w:val="16"/>
                <w:rtl/>
              </w:rPr>
              <w:t>שטרם</w:t>
            </w:r>
            <w:r w:rsidRPr="00B44059">
              <w:rPr>
                <w:sz w:val="16"/>
                <w:szCs w:val="16"/>
                <w:rtl/>
              </w:rPr>
              <w:t xml:space="preserve"> </w:t>
            </w:r>
            <w:r w:rsidRPr="00B44059">
              <w:rPr>
                <w:rFonts w:hint="eastAsia"/>
                <w:sz w:val="16"/>
                <w:szCs w:val="16"/>
                <w:rtl/>
              </w:rPr>
              <w:t>מומשו</w:t>
            </w:r>
            <w:r w:rsidRPr="00B44059">
              <w:rPr>
                <w:sz w:val="16"/>
                <w:szCs w:val="16"/>
                <w:rtl/>
              </w:rPr>
              <w:t xml:space="preserve"> </w:t>
            </w:r>
            <w:r w:rsidRPr="00B44059">
              <w:rPr>
                <w:rFonts w:hint="eastAsia"/>
                <w:sz w:val="16"/>
                <w:szCs w:val="16"/>
                <w:rtl/>
              </w:rPr>
              <w:t>מהתאמות</w:t>
            </w:r>
            <w:r w:rsidRPr="00B44059">
              <w:rPr>
                <w:sz w:val="16"/>
                <w:szCs w:val="16"/>
                <w:rtl/>
              </w:rPr>
              <w:t xml:space="preserve"> </w:t>
            </w:r>
            <w:r w:rsidRPr="00B44059">
              <w:rPr>
                <w:rFonts w:hint="eastAsia"/>
                <w:sz w:val="16"/>
                <w:szCs w:val="16"/>
                <w:rtl/>
              </w:rPr>
              <w:t>לשווי</w:t>
            </w:r>
            <w:r w:rsidRPr="00B44059">
              <w:rPr>
                <w:sz w:val="16"/>
                <w:szCs w:val="16"/>
                <w:rtl/>
              </w:rPr>
              <w:t xml:space="preserve"> </w:t>
            </w:r>
            <w:r w:rsidRPr="00B44059">
              <w:rPr>
                <w:rFonts w:hint="eastAsia"/>
                <w:sz w:val="16"/>
                <w:szCs w:val="16"/>
                <w:rtl/>
              </w:rPr>
              <w:t>הוגן</w:t>
            </w:r>
          </w:p>
        </w:tc>
        <w:tc>
          <w:tcPr>
            <w:tcW w:w="850" w:type="dxa"/>
            <w:vAlign w:val="bottom"/>
          </w:tcPr>
          <w:p w14:paraId="743E0680" w14:textId="77777777" w:rsidR="00F81394" w:rsidRDefault="00F81394" w:rsidP="009126D7">
            <w:pPr>
              <w:pStyle w:val="-4"/>
              <w:pBdr>
                <w:bottom w:val="single" w:sz="4" w:space="1" w:color="auto"/>
              </w:pBdr>
              <w:spacing w:line="140" w:lineRule="exact"/>
              <w:rPr>
                <w:sz w:val="16"/>
                <w:szCs w:val="16"/>
                <w:rtl/>
              </w:rPr>
            </w:pPr>
            <w:r w:rsidRPr="00B44059">
              <w:rPr>
                <w:rFonts w:hint="eastAsia"/>
                <w:sz w:val="16"/>
                <w:szCs w:val="16"/>
                <w:rtl/>
              </w:rPr>
              <w:t>הפסדים</w:t>
            </w:r>
            <w:r w:rsidRPr="00B44059">
              <w:rPr>
                <w:sz w:val="16"/>
                <w:szCs w:val="16"/>
                <w:rtl/>
              </w:rPr>
              <w:t xml:space="preserve"> </w:t>
            </w:r>
            <w:r w:rsidRPr="00B44059">
              <w:rPr>
                <w:rFonts w:hint="eastAsia"/>
                <w:sz w:val="16"/>
                <w:szCs w:val="16"/>
                <w:rtl/>
              </w:rPr>
              <w:t>שטרם</w:t>
            </w:r>
            <w:r w:rsidRPr="00B44059">
              <w:rPr>
                <w:sz w:val="16"/>
                <w:szCs w:val="16"/>
                <w:rtl/>
              </w:rPr>
              <w:t xml:space="preserve"> </w:t>
            </w:r>
            <w:r w:rsidRPr="00B44059">
              <w:rPr>
                <w:rFonts w:hint="eastAsia"/>
                <w:sz w:val="16"/>
                <w:szCs w:val="16"/>
                <w:rtl/>
              </w:rPr>
              <w:t>מומשו</w:t>
            </w:r>
            <w:r w:rsidRPr="00B44059">
              <w:rPr>
                <w:sz w:val="16"/>
                <w:szCs w:val="16"/>
                <w:rtl/>
              </w:rPr>
              <w:t xml:space="preserve"> </w:t>
            </w:r>
            <w:r w:rsidRPr="00B44059">
              <w:rPr>
                <w:rFonts w:hint="eastAsia"/>
                <w:sz w:val="16"/>
                <w:szCs w:val="16"/>
                <w:rtl/>
              </w:rPr>
              <w:t>מהתאמות</w:t>
            </w:r>
            <w:r w:rsidRPr="00B44059">
              <w:rPr>
                <w:sz w:val="16"/>
                <w:szCs w:val="16"/>
                <w:rtl/>
              </w:rPr>
              <w:t xml:space="preserve"> </w:t>
            </w:r>
            <w:r w:rsidRPr="00B44059">
              <w:rPr>
                <w:rFonts w:hint="eastAsia"/>
                <w:sz w:val="16"/>
                <w:szCs w:val="16"/>
                <w:rtl/>
              </w:rPr>
              <w:t>לשווי</w:t>
            </w:r>
            <w:r w:rsidRPr="00B44059">
              <w:rPr>
                <w:sz w:val="16"/>
                <w:szCs w:val="16"/>
                <w:rtl/>
              </w:rPr>
              <w:t xml:space="preserve"> </w:t>
            </w:r>
            <w:r w:rsidRPr="00B44059">
              <w:rPr>
                <w:rFonts w:hint="eastAsia"/>
                <w:sz w:val="16"/>
                <w:szCs w:val="16"/>
                <w:rtl/>
              </w:rPr>
              <w:t>הוגן</w:t>
            </w:r>
          </w:p>
        </w:tc>
        <w:tc>
          <w:tcPr>
            <w:tcW w:w="851" w:type="dxa"/>
            <w:vAlign w:val="bottom"/>
          </w:tcPr>
          <w:p w14:paraId="0A8C4029" w14:textId="77777777" w:rsidR="00F81394" w:rsidRDefault="00F81394" w:rsidP="009126D7">
            <w:pPr>
              <w:pStyle w:val="-4"/>
              <w:pBdr>
                <w:bottom w:val="single" w:sz="4" w:space="1" w:color="auto"/>
              </w:pBdr>
              <w:spacing w:line="140" w:lineRule="exact"/>
              <w:rPr>
                <w:sz w:val="16"/>
                <w:szCs w:val="16"/>
                <w:rtl/>
              </w:rPr>
            </w:pPr>
            <w:r w:rsidRPr="00B44059">
              <w:rPr>
                <w:rFonts w:hint="eastAsia"/>
                <w:sz w:val="16"/>
                <w:szCs w:val="16"/>
                <w:rtl/>
              </w:rPr>
              <w:t>שווי</w:t>
            </w:r>
          </w:p>
          <w:p w14:paraId="4186087C" w14:textId="77777777" w:rsidR="00F81394" w:rsidRDefault="00F81394" w:rsidP="009126D7">
            <w:pPr>
              <w:pStyle w:val="-4"/>
              <w:pBdr>
                <w:bottom w:val="single" w:sz="4" w:space="1" w:color="auto"/>
              </w:pBdr>
              <w:spacing w:line="140" w:lineRule="exact"/>
              <w:rPr>
                <w:sz w:val="16"/>
                <w:szCs w:val="16"/>
                <w:rtl/>
              </w:rPr>
            </w:pPr>
            <w:r w:rsidRPr="00B44059">
              <w:rPr>
                <w:rFonts w:hint="eastAsia"/>
                <w:sz w:val="16"/>
                <w:szCs w:val="16"/>
                <w:rtl/>
              </w:rPr>
              <w:t>הוגן</w:t>
            </w:r>
            <w:r w:rsidRPr="00B44059">
              <w:rPr>
                <w:sz w:val="16"/>
                <w:szCs w:val="16"/>
                <w:vertAlign w:val="superscript"/>
                <w:rtl/>
              </w:rPr>
              <w:t>(</w:t>
            </w:r>
            <w:r w:rsidRPr="009D473E">
              <w:rPr>
                <w:sz w:val="16"/>
                <w:szCs w:val="16"/>
                <w:vertAlign w:val="superscript"/>
                <w:rtl/>
              </w:rPr>
              <w:t>א)</w:t>
            </w:r>
            <w:r w:rsidRPr="009D473E">
              <w:rPr>
                <w:rFonts w:hint="cs"/>
                <w:sz w:val="16"/>
                <w:szCs w:val="16"/>
                <w:vertAlign w:val="superscript"/>
                <w:rtl/>
              </w:rPr>
              <w:t>(ג)</w:t>
            </w:r>
          </w:p>
        </w:tc>
      </w:tr>
      <w:tr w:rsidR="00F81394" w:rsidRPr="00EE3141" w14:paraId="48EDB018" w14:textId="77777777" w:rsidTr="0001523C">
        <w:trPr>
          <w:trHeight w:val="244"/>
        </w:trPr>
        <w:tc>
          <w:tcPr>
            <w:tcW w:w="1191" w:type="dxa"/>
            <w:vAlign w:val="bottom"/>
          </w:tcPr>
          <w:p w14:paraId="7FAD21A4" w14:textId="77777777" w:rsidR="00F81394" w:rsidRPr="00F81394" w:rsidRDefault="00F81394" w:rsidP="00F81394">
            <w:pPr>
              <w:pStyle w:val="-fa"/>
              <w:ind w:right="0"/>
              <w:rPr>
                <w:b/>
                <w:bCs/>
                <w:spacing w:val="0"/>
                <w:rtl/>
              </w:rPr>
            </w:pPr>
            <w:r w:rsidRPr="00F81394">
              <w:rPr>
                <w:rFonts w:hint="eastAsia"/>
                <w:spacing w:val="0"/>
                <w:rtl/>
              </w:rPr>
              <w:t>ה</w:t>
            </w:r>
            <w:r w:rsidRPr="00F81394">
              <w:rPr>
                <w:spacing w:val="0"/>
                <w:rtl/>
              </w:rPr>
              <w:t xml:space="preserve">. </w:t>
            </w:r>
            <w:r w:rsidRPr="00F81394">
              <w:rPr>
                <w:rFonts w:hint="eastAsia"/>
                <w:spacing w:val="0"/>
                <w:rtl/>
              </w:rPr>
              <w:t>המפקח</w:t>
            </w:r>
            <w:r w:rsidRPr="00F81394">
              <w:rPr>
                <w:spacing w:val="0"/>
                <w:rtl/>
              </w:rPr>
              <w:t xml:space="preserve"> </w:t>
            </w:r>
            <w:r w:rsidRPr="00F81394">
              <w:rPr>
                <w:rFonts w:hint="eastAsia"/>
                <w:spacing w:val="0"/>
                <w:rtl/>
              </w:rPr>
              <w:t>ס</w:t>
            </w:r>
            <w:r w:rsidRPr="00F81394">
              <w:rPr>
                <w:spacing w:val="0"/>
                <w:rtl/>
              </w:rPr>
              <w:t xml:space="preserve">' </w:t>
            </w:r>
            <w:r w:rsidRPr="00F81394">
              <w:rPr>
                <w:rFonts w:hint="cs"/>
                <w:spacing w:val="0"/>
                <w:rtl/>
              </w:rPr>
              <w:t>26ג(ג)</w:t>
            </w:r>
          </w:p>
        </w:tc>
        <w:tc>
          <w:tcPr>
            <w:tcW w:w="3113" w:type="dxa"/>
            <w:vAlign w:val="bottom"/>
          </w:tcPr>
          <w:p w14:paraId="2FF08278" w14:textId="075D1D5C" w:rsidR="00F81394" w:rsidRPr="008D44CA" w:rsidRDefault="00F81394" w:rsidP="004836CE">
            <w:pPr>
              <w:pStyle w:val="-0"/>
              <w:tabs>
                <w:tab w:val="left" w:pos="240"/>
                <w:tab w:val="left" w:pos="446"/>
              </w:tabs>
              <w:spacing w:line="240" w:lineRule="auto"/>
              <w:ind w:left="1" w:firstLine="0"/>
              <w:rPr>
                <w:sz w:val="18"/>
                <w:szCs w:val="18"/>
                <w:rtl/>
              </w:rPr>
            </w:pPr>
            <w:r>
              <w:rPr>
                <w:b/>
                <w:bCs/>
                <w:sz w:val="18"/>
                <w:szCs w:val="18"/>
              </w:rPr>
              <w:t xml:space="preserve">3 </w:t>
            </w:r>
            <w:r w:rsidRPr="00B44059">
              <w:rPr>
                <w:b/>
                <w:bCs/>
                <w:sz w:val="18"/>
                <w:szCs w:val="18"/>
                <w:rtl/>
              </w:rPr>
              <w:t xml:space="preserve">. </w:t>
            </w:r>
            <w:r>
              <w:rPr>
                <w:rStyle w:val="-c"/>
                <w:rFonts w:hint="cs"/>
                <w:sz w:val="18"/>
                <w:szCs w:val="18"/>
                <w:rtl/>
              </w:rPr>
              <w:t>השקעה במניות שאינן למסחר</w:t>
            </w:r>
            <w:r w:rsidRPr="00B44059">
              <w:rPr>
                <w:rStyle w:val="-c"/>
                <w:sz w:val="18"/>
                <w:szCs w:val="18"/>
                <w:rtl/>
              </w:rPr>
              <w:t>:</w:t>
            </w:r>
            <w:r w:rsidRPr="00B44059">
              <w:rPr>
                <w:sz w:val="18"/>
                <w:szCs w:val="18"/>
                <w:rtl/>
              </w:rPr>
              <w:t xml:space="preserve"> </w:t>
            </w:r>
          </w:p>
        </w:tc>
        <w:tc>
          <w:tcPr>
            <w:tcW w:w="567" w:type="dxa"/>
            <w:tcBorders>
              <w:bottom w:val="nil"/>
            </w:tcBorders>
            <w:vAlign w:val="bottom"/>
          </w:tcPr>
          <w:p w14:paraId="38CA1308" w14:textId="77777777" w:rsidR="00F81394" w:rsidRDefault="00F81394" w:rsidP="00F81394">
            <w:pPr>
              <w:pStyle w:val="-0"/>
              <w:tabs>
                <w:tab w:val="left" w:pos="446"/>
              </w:tabs>
              <w:ind w:left="0" w:firstLine="0"/>
              <w:rPr>
                <w:sz w:val="16"/>
                <w:szCs w:val="16"/>
                <w:rtl/>
              </w:rPr>
            </w:pPr>
          </w:p>
        </w:tc>
        <w:tc>
          <w:tcPr>
            <w:tcW w:w="850" w:type="dxa"/>
            <w:vAlign w:val="bottom"/>
          </w:tcPr>
          <w:p w14:paraId="3B48E0CA" w14:textId="77777777" w:rsidR="00F81394" w:rsidRDefault="00F81394" w:rsidP="00F81394">
            <w:pPr>
              <w:pStyle w:val="-0"/>
              <w:tabs>
                <w:tab w:val="left" w:pos="446"/>
              </w:tabs>
              <w:ind w:left="0" w:firstLine="0"/>
              <w:rPr>
                <w:sz w:val="16"/>
                <w:szCs w:val="16"/>
                <w:rtl/>
              </w:rPr>
            </w:pPr>
          </w:p>
        </w:tc>
        <w:tc>
          <w:tcPr>
            <w:tcW w:w="851" w:type="dxa"/>
            <w:vAlign w:val="bottom"/>
          </w:tcPr>
          <w:p w14:paraId="75E478C6" w14:textId="77777777" w:rsidR="00F81394" w:rsidRDefault="00F81394" w:rsidP="00F81394">
            <w:pPr>
              <w:pStyle w:val="-0"/>
              <w:tabs>
                <w:tab w:val="left" w:pos="446"/>
              </w:tabs>
              <w:ind w:left="0" w:firstLine="0"/>
              <w:rPr>
                <w:sz w:val="16"/>
                <w:szCs w:val="16"/>
                <w:rtl/>
              </w:rPr>
            </w:pPr>
          </w:p>
        </w:tc>
        <w:tc>
          <w:tcPr>
            <w:tcW w:w="709" w:type="dxa"/>
            <w:vAlign w:val="bottom"/>
          </w:tcPr>
          <w:p w14:paraId="58FA4A80" w14:textId="77777777" w:rsidR="00F81394" w:rsidRDefault="00F81394" w:rsidP="00F81394">
            <w:pPr>
              <w:pStyle w:val="-0"/>
              <w:tabs>
                <w:tab w:val="left" w:pos="446"/>
              </w:tabs>
              <w:ind w:left="0" w:firstLine="0"/>
              <w:rPr>
                <w:sz w:val="16"/>
                <w:szCs w:val="16"/>
                <w:rtl/>
              </w:rPr>
            </w:pPr>
          </w:p>
        </w:tc>
        <w:tc>
          <w:tcPr>
            <w:tcW w:w="636" w:type="dxa"/>
            <w:vAlign w:val="bottom"/>
          </w:tcPr>
          <w:p w14:paraId="1508F309" w14:textId="77777777" w:rsidR="00F81394" w:rsidRDefault="00F81394" w:rsidP="00F81394">
            <w:pPr>
              <w:pStyle w:val="-0"/>
              <w:tabs>
                <w:tab w:val="left" w:pos="446"/>
              </w:tabs>
              <w:ind w:left="0" w:firstLine="0"/>
              <w:rPr>
                <w:sz w:val="16"/>
                <w:szCs w:val="16"/>
                <w:rtl/>
              </w:rPr>
            </w:pPr>
          </w:p>
        </w:tc>
        <w:tc>
          <w:tcPr>
            <w:tcW w:w="214" w:type="dxa"/>
            <w:vAlign w:val="bottom"/>
          </w:tcPr>
          <w:p w14:paraId="13604E47" w14:textId="77777777" w:rsidR="00F81394" w:rsidRDefault="00F81394" w:rsidP="00F81394">
            <w:pPr>
              <w:pStyle w:val="-0"/>
              <w:ind w:left="0" w:firstLine="0"/>
              <w:rPr>
                <w:sz w:val="16"/>
                <w:szCs w:val="16"/>
                <w:rtl/>
              </w:rPr>
            </w:pPr>
          </w:p>
        </w:tc>
        <w:tc>
          <w:tcPr>
            <w:tcW w:w="567" w:type="dxa"/>
            <w:vAlign w:val="bottom"/>
          </w:tcPr>
          <w:p w14:paraId="70A7C17F" w14:textId="77777777" w:rsidR="00F81394" w:rsidRDefault="00F81394" w:rsidP="00F81394">
            <w:pPr>
              <w:pStyle w:val="-3"/>
              <w:jc w:val="left"/>
              <w:rPr>
                <w:sz w:val="16"/>
                <w:szCs w:val="16"/>
                <w:rtl/>
              </w:rPr>
            </w:pPr>
          </w:p>
        </w:tc>
        <w:tc>
          <w:tcPr>
            <w:tcW w:w="709" w:type="dxa"/>
            <w:vAlign w:val="bottom"/>
          </w:tcPr>
          <w:p w14:paraId="6EB71ED1" w14:textId="77777777" w:rsidR="00F81394" w:rsidRDefault="00F81394" w:rsidP="00F81394">
            <w:pPr>
              <w:pStyle w:val="-3"/>
              <w:jc w:val="left"/>
              <w:rPr>
                <w:sz w:val="16"/>
                <w:szCs w:val="16"/>
                <w:rtl/>
              </w:rPr>
            </w:pPr>
          </w:p>
        </w:tc>
        <w:tc>
          <w:tcPr>
            <w:tcW w:w="992" w:type="dxa"/>
            <w:vAlign w:val="bottom"/>
          </w:tcPr>
          <w:p w14:paraId="02263788" w14:textId="77777777" w:rsidR="00F81394" w:rsidRDefault="00F81394" w:rsidP="00F81394">
            <w:pPr>
              <w:pStyle w:val="-3"/>
              <w:jc w:val="left"/>
              <w:rPr>
                <w:sz w:val="16"/>
                <w:szCs w:val="16"/>
                <w:rtl/>
              </w:rPr>
            </w:pPr>
          </w:p>
        </w:tc>
        <w:tc>
          <w:tcPr>
            <w:tcW w:w="710" w:type="dxa"/>
            <w:vAlign w:val="bottom"/>
          </w:tcPr>
          <w:p w14:paraId="0F2D1CC6" w14:textId="77777777" w:rsidR="00F81394" w:rsidRDefault="00F81394" w:rsidP="00F81394">
            <w:pPr>
              <w:pStyle w:val="-3"/>
              <w:jc w:val="left"/>
              <w:rPr>
                <w:sz w:val="16"/>
                <w:szCs w:val="16"/>
                <w:rtl/>
              </w:rPr>
            </w:pPr>
          </w:p>
        </w:tc>
        <w:tc>
          <w:tcPr>
            <w:tcW w:w="688" w:type="dxa"/>
            <w:vAlign w:val="bottom"/>
          </w:tcPr>
          <w:p w14:paraId="50B58C88" w14:textId="77777777" w:rsidR="00F81394" w:rsidRDefault="00F81394" w:rsidP="00F81394">
            <w:pPr>
              <w:pStyle w:val="-3"/>
              <w:jc w:val="left"/>
              <w:rPr>
                <w:sz w:val="16"/>
                <w:szCs w:val="16"/>
                <w:rtl/>
              </w:rPr>
            </w:pPr>
          </w:p>
        </w:tc>
        <w:tc>
          <w:tcPr>
            <w:tcW w:w="162" w:type="dxa"/>
            <w:tcMar>
              <w:left w:w="58" w:type="dxa"/>
              <w:right w:w="58" w:type="dxa"/>
            </w:tcMar>
            <w:vAlign w:val="bottom"/>
          </w:tcPr>
          <w:p w14:paraId="5FDD1B84" w14:textId="77777777" w:rsidR="00F81394" w:rsidRDefault="00F81394" w:rsidP="00F81394">
            <w:pPr>
              <w:pStyle w:val="-7"/>
              <w:jc w:val="left"/>
              <w:rPr>
                <w:sz w:val="16"/>
                <w:szCs w:val="16"/>
                <w:rtl/>
              </w:rPr>
            </w:pPr>
          </w:p>
        </w:tc>
        <w:tc>
          <w:tcPr>
            <w:tcW w:w="567" w:type="dxa"/>
            <w:vAlign w:val="bottom"/>
          </w:tcPr>
          <w:p w14:paraId="40757630" w14:textId="77777777" w:rsidR="00F81394" w:rsidRDefault="00F81394" w:rsidP="00F81394">
            <w:pPr>
              <w:pStyle w:val="-3"/>
              <w:jc w:val="left"/>
              <w:rPr>
                <w:sz w:val="16"/>
                <w:szCs w:val="16"/>
                <w:rtl/>
              </w:rPr>
            </w:pPr>
          </w:p>
        </w:tc>
        <w:tc>
          <w:tcPr>
            <w:tcW w:w="709" w:type="dxa"/>
            <w:vAlign w:val="bottom"/>
          </w:tcPr>
          <w:p w14:paraId="7543E41B" w14:textId="77777777" w:rsidR="00F81394" w:rsidRDefault="00F81394" w:rsidP="00F81394">
            <w:pPr>
              <w:pStyle w:val="-3"/>
              <w:jc w:val="left"/>
              <w:rPr>
                <w:sz w:val="16"/>
                <w:szCs w:val="16"/>
                <w:rtl/>
              </w:rPr>
            </w:pPr>
          </w:p>
        </w:tc>
        <w:tc>
          <w:tcPr>
            <w:tcW w:w="709" w:type="dxa"/>
            <w:vAlign w:val="bottom"/>
          </w:tcPr>
          <w:p w14:paraId="4892C363" w14:textId="77777777" w:rsidR="00F81394" w:rsidRDefault="00F81394" w:rsidP="00F81394">
            <w:pPr>
              <w:pStyle w:val="-3"/>
              <w:jc w:val="left"/>
              <w:rPr>
                <w:sz w:val="16"/>
                <w:szCs w:val="16"/>
                <w:rtl/>
              </w:rPr>
            </w:pPr>
          </w:p>
        </w:tc>
        <w:tc>
          <w:tcPr>
            <w:tcW w:w="850" w:type="dxa"/>
            <w:vAlign w:val="bottom"/>
          </w:tcPr>
          <w:p w14:paraId="415E963D" w14:textId="77777777" w:rsidR="00F81394" w:rsidRDefault="00F81394" w:rsidP="00F81394">
            <w:pPr>
              <w:pStyle w:val="-3"/>
              <w:jc w:val="left"/>
              <w:rPr>
                <w:sz w:val="16"/>
                <w:szCs w:val="16"/>
                <w:rtl/>
              </w:rPr>
            </w:pPr>
          </w:p>
        </w:tc>
        <w:tc>
          <w:tcPr>
            <w:tcW w:w="851" w:type="dxa"/>
            <w:vAlign w:val="bottom"/>
          </w:tcPr>
          <w:p w14:paraId="64B683DD" w14:textId="77777777" w:rsidR="00F81394" w:rsidRDefault="00F81394" w:rsidP="00F81394">
            <w:pPr>
              <w:pStyle w:val="-3"/>
              <w:jc w:val="left"/>
              <w:rPr>
                <w:sz w:val="16"/>
                <w:szCs w:val="16"/>
                <w:rtl/>
              </w:rPr>
            </w:pPr>
          </w:p>
        </w:tc>
      </w:tr>
      <w:tr w:rsidR="008C59BD" w:rsidRPr="00EE3141" w14:paraId="2C8466D5" w14:textId="77777777" w:rsidTr="0001523C">
        <w:tc>
          <w:tcPr>
            <w:tcW w:w="1191" w:type="dxa"/>
            <w:vAlign w:val="bottom"/>
          </w:tcPr>
          <w:p w14:paraId="61895764" w14:textId="77777777" w:rsidR="008C59BD" w:rsidRPr="00F81394" w:rsidRDefault="008C59BD" w:rsidP="008C59BD">
            <w:pPr>
              <w:pStyle w:val="-7"/>
              <w:jc w:val="left"/>
              <w:rPr>
                <w:sz w:val="14"/>
                <w:szCs w:val="14"/>
                <w:rtl/>
              </w:rPr>
            </w:pPr>
          </w:p>
        </w:tc>
        <w:tc>
          <w:tcPr>
            <w:tcW w:w="3113" w:type="dxa"/>
            <w:vAlign w:val="bottom"/>
          </w:tcPr>
          <w:p w14:paraId="6CEA8CE3" w14:textId="77777777" w:rsidR="008C59BD" w:rsidRPr="004836CE" w:rsidRDefault="008C59BD" w:rsidP="004836CE">
            <w:pPr>
              <w:pStyle w:val="-0"/>
              <w:spacing w:after="20" w:line="240" w:lineRule="auto"/>
              <w:ind w:left="324" w:hanging="71"/>
              <w:rPr>
                <w:sz w:val="16"/>
                <w:szCs w:val="16"/>
              </w:rPr>
            </w:pPr>
            <w:r w:rsidRPr="004836CE">
              <w:rPr>
                <w:rFonts w:hint="cs"/>
                <w:sz w:val="16"/>
                <w:szCs w:val="16"/>
                <w:rtl/>
              </w:rPr>
              <w:t>מניות שאינן למסחר</w:t>
            </w:r>
          </w:p>
        </w:tc>
        <w:tc>
          <w:tcPr>
            <w:tcW w:w="567" w:type="dxa"/>
            <w:tcBorders>
              <w:bottom w:val="nil"/>
            </w:tcBorders>
            <w:vAlign w:val="bottom"/>
          </w:tcPr>
          <w:p w14:paraId="7D2BE070" w14:textId="77777777" w:rsidR="008C59BD" w:rsidRDefault="008C59BD" w:rsidP="008C59BD">
            <w:pPr>
              <w:pStyle w:val="-3"/>
              <w:ind w:left="57" w:right="57"/>
              <w:jc w:val="left"/>
              <w:rPr>
                <w:sz w:val="16"/>
                <w:szCs w:val="16"/>
                <w:rtl/>
              </w:rPr>
            </w:pPr>
            <w:r w:rsidRPr="00B44059">
              <w:rPr>
                <w:sz w:val="16"/>
                <w:szCs w:val="16"/>
                <w:rtl/>
              </w:rPr>
              <w:t xml:space="preserve"> 0</w:t>
            </w:r>
          </w:p>
        </w:tc>
        <w:tc>
          <w:tcPr>
            <w:tcW w:w="850" w:type="dxa"/>
            <w:vAlign w:val="bottom"/>
          </w:tcPr>
          <w:p w14:paraId="174E322F" w14:textId="77777777" w:rsidR="008C59BD" w:rsidRDefault="008C59BD" w:rsidP="008C59BD">
            <w:pPr>
              <w:pStyle w:val="-3"/>
              <w:ind w:left="57" w:right="57"/>
              <w:jc w:val="left"/>
              <w:rPr>
                <w:sz w:val="16"/>
                <w:szCs w:val="16"/>
              </w:rPr>
            </w:pPr>
            <w:r w:rsidRPr="00B44059">
              <w:rPr>
                <w:sz w:val="16"/>
                <w:szCs w:val="16"/>
                <w:rtl/>
              </w:rPr>
              <w:t xml:space="preserve"> 0</w:t>
            </w:r>
          </w:p>
        </w:tc>
        <w:tc>
          <w:tcPr>
            <w:tcW w:w="851" w:type="dxa"/>
            <w:vAlign w:val="bottom"/>
          </w:tcPr>
          <w:p w14:paraId="2DE7F48A" w14:textId="77777777" w:rsidR="008C59BD" w:rsidRDefault="008C59BD" w:rsidP="008C59BD">
            <w:pPr>
              <w:pStyle w:val="-3"/>
              <w:ind w:left="57" w:right="57"/>
              <w:jc w:val="left"/>
              <w:rPr>
                <w:sz w:val="16"/>
                <w:szCs w:val="16"/>
                <w:rtl/>
              </w:rPr>
            </w:pPr>
            <w:r w:rsidRPr="00B44059">
              <w:rPr>
                <w:sz w:val="16"/>
                <w:szCs w:val="16"/>
                <w:rtl/>
              </w:rPr>
              <w:t xml:space="preserve"> 0</w:t>
            </w:r>
            <w:r w:rsidRPr="006C44DC">
              <w:rPr>
                <w:rFonts w:hint="cs"/>
                <w:b/>
                <w:bCs/>
                <w:sz w:val="16"/>
                <w:szCs w:val="16"/>
                <w:vertAlign w:val="superscript"/>
                <w:rtl/>
              </w:rPr>
              <w:t>(ד)</w:t>
            </w:r>
          </w:p>
        </w:tc>
        <w:tc>
          <w:tcPr>
            <w:tcW w:w="709" w:type="dxa"/>
            <w:vAlign w:val="bottom"/>
          </w:tcPr>
          <w:p w14:paraId="369D2634" w14:textId="77777777" w:rsidR="008C59BD" w:rsidRDefault="008C59BD" w:rsidP="008C59BD">
            <w:pPr>
              <w:pStyle w:val="-3"/>
              <w:ind w:left="57" w:right="57"/>
              <w:jc w:val="left"/>
              <w:rPr>
                <w:sz w:val="16"/>
                <w:szCs w:val="16"/>
                <w:rtl/>
              </w:rPr>
            </w:pPr>
            <w:r w:rsidRPr="00B44059">
              <w:rPr>
                <w:sz w:val="16"/>
                <w:szCs w:val="16"/>
                <w:rtl/>
              </w:rPr>
              <w:t xml:space="preserve"> 0</w:t>
            </w:r>
            <w:r w:rsidRPr="006C44DC">
              <w:rPr>
                <w:rFonts w:hint="cs"/>
                <w:b/>
                <w:bCs/>
                <w:sz w:val="16"/>
                <w:szCs w:val="16"/>
                <w:vertAlign w:val="superscript"/>
                <w:rtl/>
              </w:rPr>
              <w:t>(ד)</w:t>
            </w:r>
          </w:p>
        </w:tc>
        <w:tc>
          <w:tcPr>
            <w:tcW w:w="636" w:type="dxa"/>
            <w:vAlign w:val="bottom"/>
          </w:tcPr>
          <w:p w14:paraId="45CF6B16" w14:textId="77777777" w:rsidR="008C59BD" w:rsidRDefault="008C59BD" w:rsidP="008C59BD">
            <w:pPr>
              <w:pStyle w:val="-3"/>
              <w:ind w:left="57" w:right="57"/>
              <w:jc w:val="left"/>
              <w:rPr>
                <w:sz w:val="16"/>
                <w:szCs w:val="16"/>
                <w:rtl/>
              </w:rPr>
            </w:pPr>
            <w:r w:rsidRPr="00B44059">
              <w:rPr>
                <w:sz w:val="16"/>
                <w:szCs w:val="16"/>
                <w:rtl/>
              </w:rPr>
              <w:t xml:space="preserve"> 0</w:t>
            </w:r>
          </w:p>
        </w:tc>
        <w:tc>
          <w:tcPr>
            <w:tcW w:w="214" w:type="dxa"/>
            <w:vAlign w:val="bottom"/>
          </w:tcPr>
          <w:p w14:paraId="414C0ECC" w14:textId="77777777" w:rsidR="008C59BD" w:rsidRDefault="008C59BD" w:rsidP="008C59BD">
            <w:pPr>
              <w:pStyle w:val="-0"/>
              <w:ind w:left="57" w:right="57" w:firstLine="0"/>
              <w:rPr>
                <w:sz w:val="16"/>
                <w:szCs w:val="16"/>
                <w:rtl/>
              </w:rPr>
            </w:pPr>
          </w:p>
        </w:tc>
        <w:tc>
          <w:tcPr>
            <w:tcW w:w="567" w:type="dxa"/>
            <w:vAlign w:val="bottom"/>
          </w:tcPr>
          <w:p w14:paraId="1DE07FDA" w14:textId="77777777" w:rsidR="008C59BD" w:rsidRPr="00EA192D" w:rsidRDefault="008C59BD" w:rsidP="008C59BD">
            <w:pPr>
              <w:pStyle w:val="-3"/>
              <w:ind w:left="57" w:right="57"/>
              <w:jc w:val="left"/>
              <w:rPr>
                <w:sz w:val="16"/>
                <w:szCs w:val="16"/>
                <w:rtl/>
              </w:rPr>
            </w:pPr>
            <w:r w:rsidRPr="00EA192D">
              <w:rPr>
                <w:sz w:val="16"/>
                <w:szCs w:val="16"/>
                <w:rtl/>
              </w:rPr>
              <w:t xml:space="preserve"> </w:t>
            </w:r>
            <w:r>
              <w:rPr>
                <w:rFonts w:hint="cs"/>
                <w:sz w:val="16"/>
                <w:szCs w:val="16"/>
                <w:rtl/>
              </w:rPr>
              <w:t>0</w:t>
            </w:r>
          </w:p>
        </w:tc>
        <w:tc>
          <w:tcPr>
            <w:tcW w:w="709" w:type="dxa"/>
            <w:vAlign w:val="bottom"/>
          </w:tcPr>
          <w:p w14:paraId="48959C92" w14:textId="77777777" w:rsidR="008C59BD" w:rsidRPr="00EA192D" w:rsidRDefault="008C59BD" w:rsidP="008C59BD">
            <w:pPr>
              <w:pStyle w:val="-3"/>
              <w:ind w:left="57" w:right="57"/>
              <w:jc w:val="left"/>
              <w:rPr>
                <w:sz w:val="16"/>
                <w:szCs w:val="16"/>
                <w:rtl/>
              </w:rPr>
            </w:pPr>
            <w:r w:rsidRPr="00EA192D">
              <w:rPr>
                <w:sz w:val="16"/>
                <w:szCs w:val="16"/>
                <w:rtl/>
              </w:rPr>
              <w:t xml:space="preserve"> </w:t>
            </w:r>
            <w:r>
              <w:rPr>
                <w:rFonts w:hint="cs"/>
                <w:sz w:val="16"/>
                <w:szCs w:val="16"/>
                <w:rtl/>
              </w:rPr>
              <w:t>0</w:t>
            </w:r>
          </w:p>
        </w:tc>
        <w:tc>
          <w:tcPr>
            <w:tcW w:w="992" w:type="dxa"/>
          </w:tcPr>
          <w:p w14:paraId="2EA466BB" w14:textId="77777777" w:rsidR="008C59BD" w:rsidRPr="0001523C" w:rsidRDefault="008C59BD" w:rsidP="008C59BD">
            <w:pPr>
              <w:pStyle w:val="-3"/>
              <w:ind w:left="57" w:right="57"/>
              <w:jc w:val="left"/>
              <w:rPr>
                <w:sz w:val="16"/>
                <w:szCs w:val="16"/>
                <w:rtl/>
              </w:rPr>
            </w:pPr>
            <w:r w:rsidRPr="003E6E57">
              <w:rPr>
                <w:rFonts w:hint="cs"/>
                <w:sz w:val="16"/>
                <w:szCs w:val="16"/>
                <w:rtl/>
              </w:rPr>
              <w:t>0</w:t>
            </w:r>
            <w:r w:rsidR="00474552" w:rsidRPr="006C44DC">
              <w:rPr>
                <w:rFonts w:hint="cs"/>
                <w:b/>
                <w:bCs/>
                <w:sz w:val="16"/>
                <w:szCs w:val="16"/>
                <w:vertAlign w:val="superscript"/>
                <w:rtl/>
              </w:rPr>
              <w:t>(ד)</w:t>
            </w:r>
          </w:p>
        </w:tc>
        <w:tc>
          <w:tcPr>
            <w:tcW w:w="710" w:type="dxa"/>
          </w:tcPr>
          <w:p w14:paraId="7405D7AA" w14:textId="77777777" w:rsidR="008C59BD" w:rsidRPr="00EA192D" w:rsidRDefault="008C59BD" w:rsidP="008C59BD">
            <w:pPr>
              <w:pStyle w:val="-3"/>
              <w:ind w:left="57" w:right="57"/>
              <w:jc w:val="left"/>
              <w:rPr>
                <w:sz w:val="16"/>
                <w:szCs w:val="16"/>
                <w:rtl/>
              </w:rPr>
            </w:pPr>
            <w:r w:rsidRPr="003E6E57">
              <w:rPr>
                <w:rFonts w:hint="cs"/>
                <w:sz w:val="16"/>
                <w:szCs w:val="16"/>
                <w:rtl/>
              </w:rPr>
              <w:t>0</w:t>
            </w:r>
            <w:r w:rsidR="00474552" w:rsidRPr="006C44DC">
              <w:rPr>
                <w:rFonts w:hint="cs"/>
                <w:b/>
                <w:bCs/>
                <w:sz w:val="16"/>
                <w:szCs w:val="16"/>
                <w:vertAlign w:val="superscript"/>
                <w:rtl/>
              </w:rPr>
              <w:t>(ד)</w:t>
            </w:r>
          </w:p>
        </w:tc>
        <w:tc>
          <w:tcPr>
            <w:tcW w:w="688" w:type="dxa"/>
          </w:tcPr>
          <w:p w14:paraId="1F2F9CC1" w14:textId="77777777" w:rsidR="008C59BD" w:rsidRPr="00EA192D" w:rsidRDefault="008C59BD" w:rsidP="008C59BD">
            <w:pPr>
              <w:pStyle w:val="-3"/>
              <w:ind w:left="57" w:right="57"/>
              <w:jc w:val="left"/>
              <w:rPr>
                <w:sz w:val="16"/>
                <w:szCs w:val="16"/>
                <w:rtl/>
              </w:rPr>
            </w:pPr>
            <w:r w:rsidRPr="003E6E57">
              <w:rPr>
                <w:rFonts w:hint="cs"/>
                <w:sz w:val="16"/>
                <w:szCs w:val="16"/>
                <w:rtl/>
              </w:rPr>
              <w:t>0</w:t>
            </w:r>
          </w:p>
        </w:tc>
        <w:tc>
          <w:tcPr>
            <w:tcW w:w="162" w:type="dxa"/>
            <w:tcMar>
              <w:left w:w="58" w:type="dxa"/>
              <w:right w:w="58" w:type="dxa"/>
            </w:tcMar>
            <w:vAlign w:val="bottom"/>
          </w:tcPr>
          <w:p w14:paraId="009D65AB" w14:textId="77777777" w:rsidR="008C59BD" w:rsidRPr="00EA192D" w:rsidRDefault="008C59BD" w:rsidP="008C59BD">
            <w:pPr>
              <w:pStyle w:val="-7"/>
              <w:ind w:left="57" w:right="57"/>
              <w:jc w:val="left"/>
              <w:rPr>
                <w:sz w:val="16"/>
                <w:szCs w:val="16"/>
                <w:rtl/>
              </w:rPr>
            </w:pPr>
          </w:p>
        </w:tc>
        <w:tc>
          <w:tcPr>
            <w:tcW w:w="567" w:type="dxa"/>
          </w:tcPr>
          <w:p w14:paraId="31520486" w14:textId="77777777" w:rsidR="008C59BD" w:rsidRPr="00EA192D" w:rsidRDefault="008C59BD" w:rsidP="008C59BD">
            <w:pPr>
              <w:pStyle w:val="-3"/>
              <w:ind w:left="57" w:right="57"/>
              <w:jc w:val="left"/>
              <w:rPr>
                <w:sz w:val="16"/>
                <w:szCs w:val="16"/>
                <w:rtl/>
              </w:rPr>
            </w:pPr>
            <w:r w:rsidRPr="00936B68">
              <w:rPr>
                <w:rFonts w:hint="cs"/>
                <w:sz w:val="16"/>
                <w:szCs w:val="16"/>
                <w:rtl/>
              </w:rPr>
              <w:t>0</w:t>
            </w:r>
          </w:p>
        </w:tc>
        <w:tc>
          <w:tcPr>
            <w:tcW w:w="709" w:type="dxa"/>
          </w:tcPr>
          <w:p w14:paraId="32845363" w14:textId="77777777" w:rsidR="008C59BD" w:rsidRPr="00EA192D" w:rsidRDefault="008C59BD" w:rsidP="008C59BD">
            <w:pPr>
              <w:pStyle w:val="-3"/>
              <w:ind w:left="57" w:right="57"/>
              <w:jc w:val="left"/>
              <w:rPr>
                <w:sz w:val="16"/>
                <w:szCs w:val="16"/>
                <w:rtl/>
              </w:rPr>
            </w:pPr>
            <w:r w:rsidRPr="00936B68">
              <w:rPr>
                <w:rFonts w:hint="cs"/>
                <w:sz w:val="16"/>
                <w:szCs w:val="16"/>
                <w:rtl/>
              </w:rPr>
              <w:t>0</w:t>
            </w:r>
          </w:p>
        </w:tc>
        <w:tc>
          <w:tcPr>
            <w:tcW w:w="709" w:type="dxa"/>
          </w:tcPr>
          <w:p w14:paraId="197FBF9E" w14:textId="77777777" w:rsidR="008C59BD" w:rsidRPr="00EA192D" w:rsidRDefault="008C59BD" w:rsidP="008C59BD">
            <w:pPr>
              <w:pStyle w:val="-3"/>
              <w:ind w:left="57" w:right="57"/>
              <w:jc w:val="left"/>
              <w:rPr>
                <w:sz w:val="16"/>
                <w:szCs w:val="16"/>
                <w:rtl/>
              </w:rPr>
            </w:pPr>
            <w:r w:rsidRPr="00936B68">
              <w:rPr>
                <w:rFonts w:hint="cs"/>
                <w:sz w:val="16"/>
                <w:szCs w:val="16"/>
                <w:rtl/>
              </w:rPr>
              <w:t>0</w:t>
            </w:r>
            <w:r w:rsidR="00474552" w:rsidRPr="006C44DC">
              <w:rPr>
                <w:rFonts w:hint="cs"/>
                <w:b/>
                <w:bCs/>
                <w:sz w:val="16"/>
                <w:szCs w:val="16"/>
                <w:vertAlign w:val="superscript"/>
                <w:rtl/>
              </w:rPr>
              <w:t>(ד)</w:t>
            </w:r>
          </w:p>
        </w:tc>
        <w:tc>
          <w:tcPr>
            <w:tcW w:w="850" w:type="dxa"/>
          </w:tcPr>
          <w:p w14:paraId="54E6C688" w14:textId="77777777" w:rsidR="008C59BD" w:rsidRPr="00EA192D" w:rsidRDefault="008C59BD" w:rsidP="008C59BD">
            <w:pPr>
              <w:pStyle w:val="-3"/>
              <w:ind w:left="57" w:right="57"/>
              <w:jc w:val="left"/>
              <w:rPr>
                <w:sz w:val="16"/>
                <w:szCs w:val="16"/>
                <w:rtl/>
              </w:rPr>
            </w:pPr>
            <w:r w:rsidRPr="00936B68">
              <w:rPr>
                <w:rFonts w:hint="cs"/>
                <w:sz w:val="16"/>
                <w:szCs w:val="16"/>
                <w:rtl/>
              </w:rPr>
              <w:t>0</w:t>
            </w:r>
            <w:r w:rsidR="00474552" w:rsidRPr="006C44DC">
              <w:rPr>
                <w:rFonts w:hint="cs"/>
                <w:b/>
                <w:bCs/>
                <w:sz w:val="16"/>
                <w:szCs w:val="16"/>
                <w:vertAlign w:val="superscript"/>
                <w:rtl/>
              </w:rPr>
              <w:t>(ד)</w:t>
            </w:r>
          </w:p>
        </w:tc>
        <w:tc>
          <w:tcPr>
            <w:tcW w:w="851" w:type="dxa"/>
          </w:tcPr>
          <w:p w14:paraId="345B4575" w14:textId="77777777" w:rsidR="008C59BD" w:rsidRPr="00EA192D" w:rsidRDefault="008C59BD" w:rsidP="008C59BD">
            <w:pPr>
              <w:pStyle w:val="-3"/>
              <w:ind w:left="57" w:right="57"/>
              <w:jc w:val="left"/>
              <w:rPr>
                <w:sz w:val="16"/>
                <w:szCs w:val="16"/>
                <w:rtl/>
              </w:rPr>
            </w:pPr>
            <w:r w:rsidRPr="00936B68">
              <w:rPr>
                <w:rFonts w:hint="cs"/>
                <w:sz w:val="16"/>
                <w:szCs w:val="16"/>
                <w:rtl/>
              </w:rPr>
              <w:t>0</w:t>
            </w:r>
          </w:p>
        </w:tc>
      </w:tr>
      <w:tr w:rsidR="00691367" w:rsidRPr="00EE3141" w14:paraId="2D84C884" w14:textId="77777777" w:rsidTr="0001523C">
        <w:tc>
          <w:tcPr>
            <w:tcW w:w="1191" w:type="dxa"/>
            <w:vAlign w:val="bottom"/>
          </w:tcPr>
          <w:p w14:paraId="6E69BE3C" w14:textId="4BD0E914" w:rsidR="00691367" w:rsidRPr="00F81394" w:rsidRDefault="00691367" w:rsidP="00691367">
            <w:pPr>
              <w:pStyle w:val="-fa"/>
              <w:spacing w:before="0" w:line="160" w:lineRule="exact"/>
              <w:ind w:right="0"/>
              <w:rPr>
                <w:spacing w:val="0"/>
              </w:rPr>
            </w:pPr>
          </w:p>
        </w:tc>
        <w:tc>
          <w:tcPr>
            <w:tcW w:w="3113" w:type="dxa"/>
            <w:vAlign w:val="bottom"/>
          </w:tcPr>
          <w:p w14:paraId="69B4013A" w14:textId="77777777" w:rsidR="00691367" w:rsidRPr="00B44059" w:rsidRDefault="00691367" w:rsidP="004836CE">
            <w:pPr>
              <w:pStyle w:val="-0"/>
              <w:spacing w:after="20" w:line="240" w:lineRule="auto"/>
              <w:ind w:left="324" w:hanging="71"/>
              <w:rPr>
                <w:b/>
                <w:bCs/>
                <w:sz w:val="18"/>
                <w:szCs w:val="18"/>
                <w:rtl/>
              </w:rPr>
            </w:pPr>
            <w:r>
              <w:rPr>
                <w:rFonts w:hint="cs"/>
                <w:sz w:val="16"/>
                <w:szCs w:val="16"/>
                <w:rtl/>
              </w:rPr>
              <w:t xml:space="preserve">  מזה: מניות שלא קיים לגביהן שווי הוגן זמין</w:t>
            </w:r>
          </w:p>
        </w:tc>
        <w:tc>
          <w:tcPr>
            <w:tcW w:w="567" w:type="dxa"/>
            <w:tcBorders>
              <w:top w:val="nil"/>
              <w:bottom w:val="nil"/>
            </w:tcBorders>
            <w:shd w:val="clear" w:color="auto" w:fill="auto"/>
            <w:vAlign w:val="bottom"/>
          </w:tcPr>
          <w:p w14:paraId="399FEA9C" w14:textId="77777777" w:rsidR="00691367" w:rsidRPr="00D64130" w:rsidRDefault="00691367" w:rsidP="0001523C">
            <w:pPr>
              <w:pStyle w:val="-3"/>
              <w:pBdr>
                <w:bottom w:val="single" w:sz="4" w:space="1" w:color="auto"/>
              </w:pBdr>
              <w:ind w:left="57" w:right="57"/>
              <w:jc w:val="left"/>
              <w:rPr>
                <w:sz w:val="16"/>
                <w:szCs w:val="16"/>
                <w:rtl/>
              </w:rPr>
            </w:pPr>
            <w:r w:rsidRPr="00D64130">
              <w:rPr>
                <w:sz w:val="16"/>
                <w:szCs w:val="16"/>
                <w:rtl/>
              </w:rPr>
              <w:t xml:space="preserve"> 0</w:t>
            </w:r>
          </w:p>
        </w:tc>
        <w:tc>
          <w:tcPr>
            <w:tcW w:w="850" w:type="dxa"/>
            <w:vAlign w:val="bottom"/>
          </w:tcPr>
          <w:p w14:paraId="46F822A9" w14:textId="77777777" w:rsidR="00691367" w:rsidRPr="00D64130" w:rsidRDefault="00691367" w:rsidP="0001523C">
            <w:pPr>
              <w:pStyle w:val="-3"/>
              <w:pBdr>
                <w:bottom w:val="single" w:sz="4" w:space="1" w:color="auto"/>
              </w:pBdr>
              <w:ind w:left="57" w:right="57"/>
              <w:jc w:val="left"/>
              <w:rPr>
                <w:sz w:val="16"/>
                <w:szCs w:val="16"/>
                <w:rtl/>
              </w:rPr>
            </w:pPr>
            <w:r>
              <w:rPr>
                <w:rFonts w:hint="cs"/>
                <w:sz w:val="16"/>
                <w:szCs w:val="16"/>
                <w:rtl/>
              </w:rPr>
              <w:t xml:space="preserve"> 0</w:t>
            </w:r>
          </w:p>
        </w:tc>
        <w:tc>
          <w:tcPr>
            <w:tcW w:w="851" w:type="dxa"/>
            <w:vAlign w:val="bottom"/>
          </w:tcPr>
          <w:p w14:paraId="38568BE1" w14:textId="77777777" w:rsidR="00691367" w:rsidRPr="00D64130" w:rsidRDefault="00691367" w:rsidP="0001523C">
            <w:pPr>
              <w:pStyle w:val="-3"/>
              <w:pBdr>
                <w:bottom w:val="single" w:sz="4" w:space="1" w:color="auto"/>
              </w:pBdr>
              <w:ind w:left="57" w:right="57"/>
              <w:jc w:val="left"/>
              <w:rPr>
                <w:sz w:val="16"/>
                <w:szCs w:val="16"/>
                <w:rtl/>
              </w:rPr>
            </w:pPr>
            <w:r>
              <w:rPr>
                <w:rFonts w:hint="cs"/>
                <w:sz w:val="16"/>
                <w:szCs w:val="16"/>
                <w:rtl/>
              </w:rPr>
              <w:t xml:space="preserve"> 0</w:t>
            </w:r>
            <w:r w:rsidRPr="001A3A57">
              <w:rPr>
                <w:sz w:val="16"/>
                <w:szCs w:val="16"/>
                <w:vertAlign w:val="superscript"/>
                <w:rtl/>
              </w:rPr>
              <w:t>(ד)</w:t>
            </w:r>
          </w:p>
        </w:tc>
        <w:tc>
          <w:tcPr>
            <w:tcW w:w="709" w:type="dxa"/>
            <w:vAlign w:val="bottom"/>
          </w:tcPr>
          <w:p w14:paraId="6B411273" w14:textId="77777777" w:rsidR="00691367" w:rsidRPr="00D64130" w:rsidRDefault="00691367" w:rsidP="0001523C">
            <w:pPr>
              <w:pStyle w:val="-3"/>
              <w:pBdr>
                <w:bottom w:val="single" w:sz="4" w:space="1" w:color="auto"/>
              </w:pBdr>
              <w:ind w:left="57" w:right="57"/>
              <w:jc w:val="left"/>
              <w:rPr>
                <w:sz w:val="16"/>
                <w:szCs w:val="16"/>
                <w:rtl/>
              </w:rPr>
            </w:pPr>
            <w:r>
              <w:rPr>
                <w:rFonts w:hint="cs"/>
                <w:sz w:val="16"/>
                <w:szCs w:val="16"/>
                <w:rtl/>
              </w:rPr>
              <w:t xml:space="preserve"> 0</w:t>
            </w:r>
            <w:r w:rsidRPr="001A3A57">
              <w:rPr>
                <w:sz w:val="16"/>
                <w:szCs w:val="16"/>
                <w:vertAlign w:val="superscript"/>
                <w:rtl/>
              </w:rPr>
              <w:t>(ד)</w:t>
            </w:r>
          </w:p>
        </w:tc>
        <w:tc>
          <w:tcPr>
            <w:tcW w:w="636" w:type="dxa"/>
            <w:vAlign w:val="bottom"/>
          </w:tcPr>
          <w:p w14:paraId="3A6DAC34" w14:textId="77777777" w:rsidR="00691367" w:rsidRPr="00D64130" w:rsidRDefault="00691367" w:rsidP="0001523C">
            <w:pPr>
              <w:pStyle w:val="-3"/>
              <w:pBdr>
                <w:bottom w:val="single" w:sz="4" w:space="1" w:color="auto"/>
              </w:pBdr>
              <w:ind w:left="57" w:right="57"/>
              <w:jc w:val="left"/>
              <w:rPr>
                <w:sz w:val="16"/>
                <w:szCs w:val="16"/>
                <w:rtl/>
              </w:rPr>
            </w:pPr>
            <w:r>
              <w:rPr>
                <w:rFonts w:hint="cs"/>
                <w:sz w:val="16"/>
                <w:szCs w:val="16"/>
                <w:rtl/>
              </w:rPr>
              <w:t xml:space="preserve"> 0</w:t>
            </w:r>
          </w:p>
        </w:tc>
        <w:tc>
          <w:tcPr>
            <w:tcW w:w="214" w:type="dxa"/>
            <w:vAlign w:val="bottom"/>
          </w:tcPr>
          <w:p w14:paraId="1C742C6C" w14:textId="77777777" w:rsidR="00691367" w:rsidRPr="0001523C" w:rsidRDefault="00691367" w:rsidP="0001523C">
            <w:pPr>
              <w:pStyle w:val="-3"/>
              <w:pBdr>
                <w:bottom w:val="single" w:sz="4" w:space="1" w:color="auto"/>
              </w:pBdr>
              <w:ind w:left="57" w:right="57"/>
              <w:jc w:val="left"/>
              <w:rPr>
                <w:sz w:val="16"/>
                <w:szCs w:val="16"/>
                <w:rtl/>
              </w:rPr>
            </w:pPr>
          </w:p>
        </w:tc>
        <w:tc>
          <w:tcPr>
            <w:tcW w:w="567" w:type="dxa"/>
            <w:vAlign w:val="bottom"/>
          </w:tcPr>
          <w:p w14:paraId="2FD8E36F" w14:textId="77777777" w:rsidR="00691367" w:rsidRPr="00D64130" w:rsidRDefault="00691367" w:rsidP="001A3A57">
            <w:pPr>
              <w:pStyle w:val="-3"/>
              <w:pBdr>
                <w:bottom w:val="single" w:sz="4" w:space="1" w:color="auto"/>
              </w:pBdr>
              <w:ind w:left="57" w:right="57"/>
              <w:jc w:val="left"/>
              <w:rPr>
                <w:sz w:val="16"/>
                <w:szCs w:val="16"/>
                <w:rtl/>
              </w:rPr>
            </w:pPr>
            <w:r>
              <w:rPr>
                <w:rFonts w:hint="cs"/>
                <w:sz w:val="16"/>
                <w:szCs w:val="16"/>
                <w:rtl/>
              </w:rPr>
              <w:t xml:space="preserve"> 0</w:t>
            </w:r>
          </w:p>
        </w:tc>
        <w:tc>
          <w:tcPr>
            <w:tcW w:w="709" w:type="dxa"/>
            <w:vAlign w:val="bottom"/>
          </w:tcPr>
          <w:p w14:paraId="2E99D5A5" w14:textId="77777777" w:rsidR="00691367" w:rsidRPr="0001523C" w:rsidRDefault="00691367" w:rsidP="001A3A57">
            <w:pPr>
              <w:pStyle w:val="-3"/>
              <w:pBdr>
                <w:bottom w:val="single" w:sz="4" w:space="1" w:color="auto"/>
              </w:pBdr>
              <w:ind w:left="57" w:right="57"/>
              <w:jc w:val="left"/>
              <w:rPr>
                <w:sz w:val="16"/>
                <w:szCs w:val="16"/>
                <w:rtl/>
              </w:rPr>
            </w:pPr>
            <w:r>
              <w:rPr>
                <w:rFonts w:hint="cs"/>
                <w:sz w:val="16"/>
                <w:szCs w:val="16"/>
                <w:rtl/>
              </w:rPr>
              <w:t xml:space="preserve"> 0</w:t>
            </w:r>
          </w:p>
        </w:tc>
        <w:tc>
          <w:tcPr>
            <w:tcW w:w="992" w:type="dxa"/>
          </w:tcPr>
          <w:p w14:paraId="5EA5D6E2" w14:textId="77777777" w:rsidR="00691367" w:rsidRPr="00D64130" w:rsidRDefault="00691367" w:rsidP="001A3A57">
            <w:pPr>
              <w:pStyle w:val="-3"/>
              <w:pBdr>
                <w:bottom w:val="single" w:sz="4" w:space="1" w:color="auto"/>
              </w:pBdr>
              <w:ind w:left="57" w:right="57"/>
              <w:jc w:val="left"/>
              <w:rPr>
                <w:sz w:val="16"/>
                <w:szCs w:val="16"/>
                <w:rtl/>
              </w:rPr>
            </w:pPr>
            <w:r>
              <w:rPr>
                <w:rFonts w:hint="cs"/>
                <w:sz w:val="16"/>
                <w:szCs w:val="16"/>
                <w:rtl/>
              </w:rPr>
              <w:t>0</w:t>
            </w:r>
            <w:r w:rsidRPr="0001523C">
              <w:rPr>
                <w:sz w:val="16"/>
                <w:szCs w:val="16"/>
                <w:vertAlign w:val="superscript"/>
                <w:rtl/>
              </w:rPr>
              <w:t>(ד)</w:t>
            </w:r>
          </w:p>
        </w:tc>
        <w:tc>
          <w:tcPr>
            <w:tcW w:w="710" w:type="dxa"/>
          </w:tcPr>
          <w:p w14:paraId="1B3181EF" w14:textId="77777777" w:rsidR="00691367" w:rsidRPr="00691367" w:rsidRDefault="00691367" w:rsidP="001A3A57">
            <w:pPr>
              <w:pStyle w:val="-3"/>
              <w:pBdr>
                <w:bottom w:val="single" w:sz="4" w:space="1" w:color="auto"/>
              </w:pBdr>
              <w:ind w:left="57" w:right="57"/>
              <w:jc w:val="left"/>
              <w:rPr>
                <w:sz w:val="16"/>
                <w:szCs w:val="16"/>
                <w:rtl/>
              </w:rPr>
            </w:pPr>
            <w:r w:rsidRPr="00691367">
              <w:rPr>
                <w:sz w:val="16"/>
                <w:szCs w:val="16"/>
                <w:rtl/>
              </w:rPr>
              <w:t>0</w:t>
            </w:r>
            <w:r w:rsidRPr="0001523C">
              <w:rPr>
                <w:sz w:val="16"/>
                <w:szCs w:val="16"/>
                <w:vertAlign w:val="superscript"/>
                <w:rtl/>
              </w:rPr>
              <w:t>(ד)</w:t>
            </w:r>
          </w:p>
        </w:tc>
        <w:tc>
          <w:tcPr>
            <w:tcW w:w="688" w:type="dxa"/>
          </w:tcPr>
          <w:p w14:paraId="55525B88" w14:textId="77777777" w:rsidR="00691367" w:rsidRPr="0001523C" w:rsidRDefault="00691367" w:rsidP="001A3A57">
            <w:pPr>
              <w:pStyle w:val="-3"/>
              <w:pBdr>
                <w:bottom w:val="single" w:sz="4" w:space="1" w:color="auto"/>
              </w:pBdr>
              <w:ind w:left="57" w:right="57"/>
              <w:jc w:val="left"/>
              <w:rPr>
                <w:sz w:val="16"/>
                <w:szCs w:val="16"/>
                <w:rtl/>
              </w:rPr>
            </w:pPr>
            <w:r>
              <w:rPr>
                <w:rFonts w:hint="cs"/>
                <w:sz w:val="16"/>
                <w:szCs w:val="16"/>
                <w:rtl/>
              </w:rPr>
              <w:t>0</w:t>
            </w:r>
          </w:p>
        </w:tc>
        <w:tc>
          <w:tcPr>
            <w:tcW w:w="162" w:type="dxa"/>
            <w:tcMar>
              <w:left w:w="58" w:type="dxa"/>
              <w:right w:w="58" w:type="dxa"/>
            </w:tcMar>
            <w:vAlign w:val="bottom"/>
          </w:tcPr>
          <w:p w14:paraId="538E429A" w14:textId="77777777" w:rsidR="00691367" w:rsidRPr="008C59BD" w:rsidRDefault="00691367" w:rsidP="001A3A57">
            <w:pPr>
              <w:pStyle w:val="-3"/>
              <w:pBdr>
                <w:bottom w:val="single" w:sz="4" w:space="1" w:color="auto"/>
              </w:pBdr>
              <w:ind w:left="57" w:right="57"/>
              <w:jc w:val="left"/>
              <w:rPr>
                <w:sz w:val="16"/>
                <w:szCs w:val="16"/>
                <w:rtl/>
              </w:rPr>
            </w:pPr>
          </w:p>
        </w:tc>
        <w:tc>
          <w:tcPr>
            <w:tcW w:w="567" w:type="dxa"/>
          </w:tcPr>
          <w:p w14:paraId="139DF1C1" w14:textId="77777777" w:rsidR="00691367" w:rsidRPr="0001523C" w:rsidRDefault="00691367" w:rsidP="00077CE4">
            <w:pPr>
              <w:pStyle w:val="-3"/>
              <w:pBdr>
                <w:bottom w:val="single" w:sz="4" w:space="1" w:color="auto"/>
              </w:pBdr>
              <w:ind w:left="57" w:right="57"/>
              <w:jc w:val="left"/>
              <w:rPr>
                <w:sz w:val="16"/>
                <w:szCs w:val="16"/>
                <w:rtl/>
              </w:rPr>
            </w:pPr>
            <w:r>
              <w:rPr>
                <w:rFonts w:hint="cs"/>
                <w:sz w:val="16"/>
                <w:szCs w:val="16"/>
                <w:rtl/>
              </w:rPr>
              <w:t>0</w:t>
            </w:r>
          </w:p>
        </w:tc>
        <w:tc>
          <w:tcPr>
            <w:tcW w:w="709" w:type="dxa"/>
          </w:tcPr>
          <w:p w14:paraId="2D502A7E" w14:textId="77777777" w:rsidR="00691367" w:rsidRPr="0001523C" w:rsidRDefault="00691367" w:rsidP="00D70039">
            <w:pPr>
              <w:pStyle w:val="-3"/>
              <w:pBdr>
                <w:bottom w:val="single" w:sz="4" w:space="1" w:color="auto"/>
              </w:pBdr>
              <w:ind w:left="57" w:right="57"/>
              <w:jc w:val="left"/>
              <w:rPr>
                <w:sz w:val="16"/>
                <w:szCs w:val="16"/>
                <w:rtl/>
              </w:rPr>
            </w:pPr>
            <w:r>
              <w:rPr>
                <w:rFonts w:hint="cs"/>
                <w:sz w:val="16"/>
                <w:szCs w:val="16"/>
                <w:rtl/>
              </w:rPr>
              <w:t>0</w:t>
            </w:r>
          </w:p>
        </w:tc>
        <w:tc>
          <w:tcPr>
            <w:tcW w:w="709" w:type="dxa"/>
          </w:tcPr>
          <w:p w14:paraId="777AF225" w14:textId="77777777" w:rsidR="00691367" w:rsidRPr="00D64130" w:rsidRDefault="00691367" w:rsidP="004A030D">
            <w:pPr>
              <w:pStyle w:val="-3"/>
              <w:pBdr>
                <w:bottom w:val="single" w:sz="4" w:space="1" w:color="auto"/>
              </w:pBdr>
              <w:ind w:left="57" w:right="57"/>
              <w:jc w:val="left"/>
              <w:rPr>
                <w:sz w:val="16"/>
                <w:szCs w:val="16"/>
                <w:rtl/>
              </w:rPr>
            </w:pPr>
            <w:r>
              <w:rPr>
                <w:rFonts w:hint="cs"/>
                <w:sz w:val="16"/>
                <w:szCs w:val="16"/>
                <w:rtl/>
              </w:rPr>
              <w:t>0</w:t>
            </w:r>
            <w:r w:rsidRPr="0001523C">
              <w:rPr>
                <w:sz w:val="16"/>
                <w:szCs w:val="16"/>
                <w:vertAlign w:val="superscript"/>
                <w:rtl/>
              </w:rPr>
              <w:t>(ד)</w:t>
            </w:r>
          </w:p>
        </w:tc>
        <w:tc>
          <w:tcPr>
            <w:tcW w:w="850" w:type="dxa"/>
          </w:tcPr>
          <w:p w14:paraId="42A8757E" w14:textId="77777777" w:rsidR="00691367" w:rsidRPr="00D64130" w:rsidRDefault="00691367" w:rsidP="00C66ED6">
            <w:pPr>
              <w:pStyle w:val="-3"/>
              <w:pBdr>
                <w:bottom w:val="single" w:sz="4" w:space="1" w:color="auto"/>
              </w:pBdr>
              <w:ind w:left="57" w:right="57"/>
              <w:jc w:val="left"/>
              <w:rPr>
                <w:sz w:val="16"/>
                <w:szCs w:val="16"/>
                <w:rtl/>
              </w:rPr>
            </w:pPr>
            <w:r>
              <w:rPr>
                <w:rFonts w:hint="cs"/>
                <w:sz w:val="16"/>
                <w:szCs w:val="16"/>
                <w:rtl/>
              </w:rPr>
              <w:t>0</w:t>
            </w:r>
            <w:r w:rsidRPr="0001523C">
              <w:rPr>
                <w:sz w:val="16"/>
                <w:szCs w:val="16"/>
                <w:vertAlign w:val="superscript"/>
                <w:rtl/>
              </w:rPr>
              <w:t>(ד)</w:t>
            </w:r>
          </w:p>
        </w:tc>
        <w:tc>
          <w:tcPr>
            <w:tcW w:w="851" w:type="dxa"/>
          </w:tcPr>
          <w:p w14:paraId="53B04CF2" w14:textId="77777777" w:rsidR="00691367" w:rsidRPr="0001523C" w:rsidRDefault="00691367" w:rsidP="00C66ED6">
            <w:pPr>
              <w:pStyle w:val="-3"/>
              <w:pBdr>
                <w:bottom w:val="single" w:sz="4" w:space="1" w:color="auto"/>
              </w:pBdr>
              <w:ind w:left="57" w:right="57"/>
              <w:jc w:val="left"/>
              <w:rPr>
                <w:sz w:val="16"/>
                <w:szCs w:val="16"/>
                <w:rtl/>
              </w:rPr>
            </w:pPr>
            <w:r>
              <w:rPr>
                <w:rFonts w:hint="cs"/>
                <w:sz w:val="16"/>
                <w:szCs w:val="16"/>
                <w:rtl/>
              </w:rPr>
              <w:t>0</w:t>
            </w:r>
          </w:p>
        </w:tc>
      </w:tr>
      <w:tr w:rsidR="008C59BD" w:rsidRPr="00EE3141" w14:paraId="799C90D8" w14:textId="77777777" w:rsidTr="0001523C">
        <w:tc>
          <w:tcPr>
            <w:tcW w:w="1191" w:type="dxa"/>
            <w:vAlign w:val="bottom"/>
          </w:tcPr>
          <w:p w14:paraId="5A0D394F" w14:textId="77777777" w:rsidR="008C59BD" w:rsidRPr="00F81394" w:rsidRDefault="008C59BD" w:rsidP="008C59BD">
            <w:pPr>
              <w:pStyle w:val="-fa"/>
              <w:spacing w:before="0" w:line="160" w:lineRule="exact"/>
              <w:ind w:right="0"/>
              <w:rPr>
                <w:spacing w:val="0"/>
                <w:rtl/>
              </w:rPr>
            </w:pPr>
          </w:p>
        </w:tc>
        <w:tc>
          <w:tcPr>
            <w:tcW w:w="3113" w:type="dxa"/>
            <w:vAlign w:val="bottom"/>
          </w:tcPr>
          <w:p w14:paraId="485C5EDF" w14:textId="77777777" w:rsidR="008C59BD" w:rsidRDefault="008C59BD" w:rsidP="001F730D">
            <w:pPr>
              <w:pStyle w:val="-0"/>
              <w:spacing w:after="20" w:line="240" w:lineRule="auto"/>
              <w:ind w:left="324" w:hanging="72"/>
              <w:rPr>
                <w:sz w:val="18"/>
                <w:szCs w:val="18"/>
                <w:rtl/>
              </w:rPr>
            </w:pPr>
            <w:r w:rsidRPr="00B44059">
              <w:rPr>
                <w:rFonts w:hint="eastAsia"/>
                <w:b/>
                <w:bCs/>
                <w:sz w:val="18"/>
                <w:szCs w:val="18"/>
                <w:rtl/>
              </w:rPr>
              <w:t>סך</w:t>
            </w:r>
            <w:r w:rsidRPr="00B44059">
              <w:rPr>
                <w:b/>
                <w:bCs/>
                <w:sz w:val="18"/>
                <w:szCs w:val="18"/>
                <w:rtl/>
              </w:rPr>
              <w:t xml:space="preserve"> </w:t>
            </w:r>
            <w:r w:rsidRPr="00B44059">
              <w:rPr>
                <w:rFonts w:hint="eastAsia"/>
                <w:b/>
                <w:bCs/>
                <w:sz w:val="18"/>
                <w:szCs w:val="18"/>
                <w:rtl/>
              </w:rPr>
              <w:t>כל</w:t>
            </w:r>
            <w:r w:rsidRPr="00B44059">
              <w:rPr>
                <w:b/>
                <w:bCs/>
                <w:sz w:val="18"/>
                <w:szCs w:val="18"/>
                <w:rtl/>
              </w:rPr>
              <w:t xml:space="preserve"> </w:t>
            </w:r>
            <w:r w:rsidRPr="00B44059">
              <w:rPr>
                <w:rFonts w:hint="eastAsia"/>
                <w:b/>
                <w:bCs/>
                <w:sz w:val="18"/>
                <w:szCs w:val="18"/>
                <w:rtl/>
              </w:rPr>
              <w:t>ניירות</w:t>
            </w:r>
            <w:r w:rsidRPr="00B44059">
              <w:rPr>
                <w:b/>
                <w:bCs/>
                <w:sz w:val="18"/>
                <w:szCs w:val="18"/>
                <w:rtl/>
              </w:rPr>
              <w:t xml:space="preserve"> </w:t>
            </w:r>
            <w:r w:rsidRPr="00B44059">
              <w:rPr>
                <w:rFonts w:hint="eastAsia"/>
                <w:b/>
                <w:bCs/>
                <w:sz w:val="18"/>
                <w:szCs w:val="18"/>
                <w:rtl/>
              </w:rPr>
              <w:t>הערך</w:t>
            </w:r>
            <w:r w:rsidRPr="00B44059">
              <w:rPr>
                <w:b/>
                <w:bCs/>
                <w:sz w:val="18"/>
                <w:szCs w:val="18"/>
                <w:rtl/>
              </w:rPr>
              <w:t xml:space="preserve"> </w:t>
            </w:r>
            <w:r>
              <w:rPr>
                <w:rFonts w:hint="cs"/>
                <w:b/>
                <w:bCs/>
                <w:sz w:val="18"/>
                <w:szCs w:val="18"/>
                <w:rtl/>
              </w:rPr>
              <w:t xml:space="preserve">שאינן </w:t>
            </w:r>
            <w:r w:rsidRPr="00B44059">
              <w:rPr>
                <w:rFonts w:hint="eastAsia"/>
                <w:b/>
                <w:bCs/>
                <w:sz w:val="18"/>
                <w:szCs w:val="18"/>
                <w:rtl/>
              </w:rPr>
              <w:t>למסחר</w:t>
            </w:r>
          </w:p>
        </w:tc>
        <w:tc>
          <w:tcPr>
            <w:tcW w:w="567" w:type="dxa"/>
            <w:vAlign w:val="bottom"/>
          </w:tcPr>
          <w:p w14:paraId="1AB05C51" w14:textId="77777777" w:rsidR="008C59BD" w:rsidRPr="00D64130" w:rsidRDefault="008C59BD" w:rsidP="008C59BD">
            <w:pPr>
              <w:pStyle w:val="-f1"/>
              <w:pBdr>
                <w:top w:val="none" w:sz="0" w:space="0" w:color="auto"/>
                <w:bottom w:val="single" w:sz="4" w:space="1" w:color="auto"/>
              </w:pBdr>
              <w:spacing w:line="160" w:lineRule="exact"/>
              <w:ind w:left="57" w:right="57" w:firstLine="0"/>
              <w:rPr>
                <w:sz w:val="16"/>
                <w:szCs w:val="16"/>
                <w:rtl/>
              </w:rPr>
            </w:pPr>
            <w:r w:rsidRPr="00D64130">
              <w:rPr>
                <w:sz w:val="16"/>
                <w:szCs w:val="16"/>
                <w:rtl/>
              </w:rPr>
              <w:t xml:space="preserve"> 0</w:t>
            </w:r>
          </w:p>
        </w:tc>
        <w:tc>
          <w:tcPr>
            <w:tcW w:w="850" w:type="dxa"/>
            <w:vAlign w:val="bottom"/>
          </w:tcPr>
          <w:p w14:paraId="7AD257F4" w14:textId="77777777" w:rsidR="008C59BD" w:rsidRPr="00D64130" w:rsidRDefault="008C59BD" w:rsidP="008C59BD">
            <w:pPr>
              <w:pStyle w:val="-f1"/>
              <w:pBdr>
                <w:top w:val="none" w:sz="0" w:space="0" w:color="auto"/>
                <w:bottom w:val="single" w:sz="4" w:space="1" w:color="auto"/>
              </w:pBdr>
              <w:spacing w:line="160" w:lineRule="exact"/>
              <w:ind w:left="57" w:right="57" w:firstLine="0"/>
              <w:rPr>
                <w:sz w:val="16"/>
                <w:szCs w:val="16"/>
                <w:rtl/>
              </w:rPr>
            </w:pPr>
            <w:r w:rsidRPr="00D64130">
              <w:rPr>
                <w:sz w:val="16"/>
                <w:szCs w:val="16"/>
                <w:rtl/>
              </w:rPr>
              <w:t xml:space="preserve"> 0</w:t>
            </w:r>
          </w:p>
        </w:tc>
        <w:tc>
          <w:tcPr>
            <w:tcW w:w="851" w:type="dxa"/>
            <w:vAlign w:val="bottom"/>
          </w:tcPr>
          <w:p w14:paraId="7285253F" w14:textId="77777777" w:rsidR="008C59BD" w:rsidRPr="00D64130" w:rsidRDefault="008C59BD" w:rsidP="008C59BD">
            <w:pPr>
              <w:pStyle w:val="-f1"/>
              <w:pBdr>
                <w:top w:val="none" w:sz="0" w:space="0" w:color="auto"/>
                <w:bottom w:val="single" w:sz="4" w:space="1" w:color="auto"/>
              </w:pBdr>
              <w:spacing w:line="160" w:lineRule="exact"/>
              <w:ind w:left="57" w:right="57" w:firstLine="0"/>
              <w:rPr>
                <w:sz w:val="16"/>
                <w:szCs w:val="16"/>
                <w:rtl/>
              </w:rPr>
            </w:pPr>
            <w:r w:rsidRPr="00D64130">
              <w:rPr>
                <w:sz w:val="16"/>
                <w:szCs w:val="16"/>
                <w:rtl/>
              </w:rPr>
              <w:t xml:space="preserve"> </w:t>
            </w:r>
          </w:p>
        </w:tc>
        <w:tc>
          <w:tcPr>
            <w:tcW w:w="709" w:type="dxa"/>
            <w:vAlign w:val="bottom"/>
          </w:tcPr>
          <w:p w14:paraId="78F2DA98" w14:textId="77777777" w:rsidR="008C59BD" w:rsidRPr="00D64130" w:rsidRDefault="008C59BD" w:rsidP="008C59BD">
            <w:pPr>
              <w:pStyle w:val="-f1"/>
              <w:pBdr>
                <w:top w:val="none" w:sz="0" w:space="0" w:color="auto"/>
                <w:bottom w:val="single" w:sz="4" w:space="1" w:color="auto"/>
              </w:pBdr>
              <w:spacing w:line="160" w:lineRule="exact"/>
              <w:ind w:left="57" w:right="57" w:firstLine="0"/>
              <w:rPr>
                <w:sz w:val="16"/>
                <w:szCs w:val="16"/>
                <w:rtl/>
              </w:rPr>
            </w:pPr>
          </w:p>
        </w:tc>
        <w:tc>
          <w:tcPr>
            <w:tcW w:w="636" w:type="dxa"/>
            <w:vAlign w:val="bottom"/>
          </w:tcPr>
          <w:p w14:paraId="17B8EB0A" w14:textId="77777777" w:rsidR="008C59BD" w:rsidRPr="00D64130" w:rsidRDefault="008C59BD" w:rsidP="008C59BD">
            <w:pPr>
              <w:pStyle w:val="-f1"/>
              <w:pBdr>
                <w:top w:val="none" w:sz="0" w:space="0" w:color="auto"/>
                <w:bottom w:val="single" w:sz="4" w:space="1" w:color="auto"/>
              </w:pBdr>
              <w:spacing w:line="160" w:lineRule="exact"/>
              <w:ind w:left="57" w:right="57" w:firstLine="0"/>
              <w:rPr>
                <w:sz w:val="16"/>
                <w:szCs w:val="16"/>
                <w:rtl/>
              </w:rPr>
            </w:pPr>
            <w:r w:rsidRPr="00D64130">
              <w:rPr>
                <w:sz w:val="16"/>
                <w:szCs w:val="16"/>
                <w:rtl/>
              </w:rPr>
              <w:t xml:space="preserve"> 0</w:t>
            </w:r>
          </w:p>
        </w:tc>
        <w:tc>
          <w:tcPr>
            <w:tcW w:w="214" w:type="dxa"/>
            <w:vAlign w:val="bottom"/>
          </w:tcPr>
          <w:p w14:paraId="2C1D8ED0" w14:textId="77777777" w:rsidR="008C59BD" w:rsidRPr="00D64130" w:rsidRDefault="008C59BD" w:rsidP="008C59BD">
            <w:pPr>
              <w:pStyle w:val="-0"/>
              <w:spacing w:line="160" w:lineRule="exact"/>
              <w:ind w:left="57" w:right="57" w:firstLine="0"/>
              <w:rPr>
                <w:b/>
                <w:bCs/>
                <w:sz w:val="16"/>
                <w:szCs w:val="16"/>
                <w:rtl/>
              </w:rPr>
            </w:pPr>
          </w:p>
        </w:tc>
        <w:tc>
          <w:tcPr>
            <w:tcW w:w="567" w:type="dxa"/>
            <w:vAlign w:val="bottom"/>
          </w:tcPr>
          <w:p w14:paraId="04FC938A" w14:textId="77777777" w:rsidR="008C59BD" w:rsidRPr="001A3A57" w:rsidRDefault="008C59BD" w:rsidP="0001523C">
            <w:pPr>
              <w:pStyle w:val="-3"/>
              <w:pBdr>
                <w:bottom w:val="single" w:sz="4" w:space="1" w:color="auto"/>
              </w:pBdr>
              <w:ind w:left="57" w:right="57"/>
              <w:jc w:val="left"/>
              <w:rPr>
                <w:sz w:val="16"/>
                <w:szCs w:val="16"/>
                <w:rtl/>
              </w:rPr>
            </w:pPr>
            <w:r w:rsidRPr="00D64130">
              <w:rPr>
                <w:sz w:val="16"/>
                <w:szCs w:val="16"/>
                <w:rtl/>
              </w:rPr>
              <w:t xml:space="preserve"> </w:t>
            </w:r>
            <w:r w:rsidRPr="0001523C">
              <w:rPr>
                <w:b/>
                <w:bCs/>
                <w:sz w:val="16"/>
                <w:szCs w:val="16"/>
                <w:rtl/>
              </w:rPr>
              <w:t>0</w:t>
            </w:r>
          </w:p>
        </w:tc>
        <w:tc>
          <w:tcPr>
            <w:tcW w:w="709" w:type="dxa"/>
            <w:vAlign w:val="bottom"/>
          </w:tcPr>
          <w:p w14:paraId="68B4BDAB" w14:textId="77777777" w:rsidR="008C59BD" w:rsidRPr="001A3A57" w:rsidRDefault="008C59BD" w:rsidP="0001523C">
            <w:pPr>
              <w:pStyle w:val="-3"/>
              <w:pBdr>
                <w:bottom w:val="single" w:sz="4" w:space="1" w:color="auto"/>
              </w:pBdr>
              <w:ind w:left="57" w:right="57"/>
              <w:jc w:val="left"/>
              <w:rPr>
                <w:sz w:val="16"/>
                <w:szCs w:val="16"/>
                <w:rtl/>
              </w:rPr>
            </w:pPr>
            <w:r w:rsidRPr="0001523C">
              <w:rPr>
                <w:b/>
                <w:bCs/>
                <w:sz w:val="16"/>
                <w:szCs w:val="16"/>
                <w:rtl/>
              </w:rPr>
              <w:t xml:space="preserve"> 0</w:t>
            </w:r>
          </w:p>
        </w:tc>
        <w:tc>
          <w:tcPr>
            <w:tcW w:w="992" w:type="dxa"/>
          </w:tcPr>
          <w:p w14:paraId="78DD2D39" w14:textId="77777777" w:rsidR="008C59BD" w:rsidRPr="00D64130" w:rsidRDefault="008C59BD" w:rsidP="0001523C">
            <w:pPr>
              <w:pStyle w:val="-3"/>
              <w:pBdr>
                <w:bottom w:val="single" w:sz="4" w:space="1" w:color="auto"/>
              </w:pBdr>
              <w:ind w:left="57" w:right="57"/>
              <w:jc w:val="left"/>
              <w:rPr>
                <w:sz w:val="16"/>
                <w:szCs w:val="16"/>
                <w:rtl/>
              </w:rPr>
            </w:pPr>
          </w:p>
        </w:tc>
        <w:tc>
          <w:tcPr>
            <w:tcW w:w="710" w:type="dxa"/>
          </w:tcPr>
          <w:p w14:paraId="581CD752" w14:textId="77777777" w:rsidR="008C59BD" w:rsidRPr="00D64130" w:rsidRDefault="008C59BD" w:rsidP="0001523C">
            <w:pPr>
              <w:pStyle w:val="-3"/>
              <w:pBdr>
                <w:bottom w:val="single" w:sz="4" w:space="1" w:color="auto"/>
              </w:pBdr>
              <w:ind w:left="57" w:right="57"/>
              <w:jc w:val="left"/>
              <w:rPr>
                <w:sz w:val="16"/>
                <w:szCs w:val="16"/>
                <w:rtl/>
              </w:rPr>
            </w:pPr>
          </w:p>
        </w:tc>
        <w:tc>
          <w:tcPr>
            <w:tcW w:w="688" w:type="dxa"/>
          </w:tcPr>
          <w:p w14:paraId="657D491E" w14:textId="77777777" w:rsidR="008C59BD" w:rsidRPr="001A3A57" w:rsidRDefault="008C59BD" w:rsidP="0001523C">
            <w:pPr>
              <w:pStyle w:val="-3"/>
              <w:pBdr>
                <w:bottom w:val="single" w:sz="4" w:space="1" w:color="auto"/>
              </w:pBdr>
              <w:ind w:left="57" w:right="57"/>
              <w:jc w:val="left"/>
              <w:rPr>
                <w:sz w:val="16"/>
                <w:szCs w:val="16"/>
                <w:rtl/>
              </w:rPr>
            </w:pPr>
            <w:r w:rsidRPr="0001523C">
              <w:rPr>
                <w:b/>
                <w:bCs/>
                <w:sz w:val="16"/>
                <w:szCs w:val="16"/>
                <w:rtl/>
              </w:rPr>
              <w:t>0</w:t>
            </w:r>
          </w:p>
        </w:tc>
        <w:tc>
          <w:tcPr>
            <w:tcW w:w="162" w:type="dxa"/>
            <w:tcMar>
              <w:left w:w="58" w:type="dxa"/>
              <w:right w:w="58" w:type="dxa"/>
            </w:tcMar>
            <w:vAlign w:val="bottom"/>
          </w:tcPr>
          <w:p w14:paraId="126AE60F" w14:textId="77777777" w:rsidR="008C59BD" w:rsidRPr="0001523C" w:rsidRDefault="008C59BD" w:rsidP="0001523C">
            <w:pPr>
              <w:pStyle w:val="-3"/>
              <w:pBdr>
                <w:bottom w:val="single" w:sz="4" w:space="1" w:color="auto"/>
              </w:pBdr>
              <w:ind w:left="57" w:right="57"/>
              <w:jc w:val="left"/>
              <w:rPr>
                <w:sz w:val="16"/>
                <w:szCs w:val="16"/>
                <w:rtl/>
              </w:rPr>
            </w:pPr>
          </w:p>
        </w:tc>
        <w:tc>
          <w:tcPr>
            <w:tcW w:w="567" w:type="dxa"/>
          </w:tcPr>
          <w:p w14:paraId="2A087EFA" w14:textId="77777777" w:rsidR="008C59BD" w:rsidRPr="001A3A57" w:rsidRDefault="008C59BD" w:rsidP="0001523C">
            <w:pPr>
              <w:pStyle w:val="-3"/>
              <w:pBdr>
                <w:bottom w:val="single" w:sz="4" w:space="1" w:color="auto"/>
              </w:pBdr>
              <w:ind w:left="57" w:right="57"/>
              <w:jc w:val="left"/>
              <w:rPr>
                <w:sz w:val="16"/>
                <w:szCs w:val="16"/>
                <w:rtl/>
              </w:rPr>
            </w:pPr>
            <w:r w:rsidRPr="0001523C">
              <w:rPr>
                <w:b/>
                <w:bCs/>
                <w:sz w:val="16"/>
                <w:szCs w:val="16"/>
                <w:rtl/>
              </w:rPr>
              <w:t>0</w:t>
            </w:r>
          </w:p>
        </w:tc>
        <w:tc>
          <w:tcPr>
            <w:tcW w:w="709" w:type="dxa"/>
          </w:tcPr>
          <w:p w14:paraId="22FC1922" w14:textId="77777777" w:rsidR="008C59BD" w:rsidRPr="001A3A57" w:rsidRDefault="008C59BD" w:rsidP="0001523C">
            <w:pPr>
              <w:pStyle w:val="-3"/>
              <w:pBdr>
                <w:bottom w:val="single" w:sz="4" w:space="1" w:color="auto"/>
              </w:pBdr>
              <w:ind w:left="57" w:right="57"/>
              <w:jc w:val="left"/>
              <w:rPr>
                <w:sz w:val="16"/>
                <w:szCs w:val="16"/>
                <w:rtl/>
              </w:rPr>
            </w:pPr>
            <w:r w:rsidRPr="0001523C">
              <w:rPr>
                <w:b/>
                <w:bCs/>
                <w:sz w:val="16"/>
                <w:szCs w:val="16"/>
                <w:rtl/>
              </w:rPr>
              <w:t>0</w:t>
            </w:r>
          </w:p>
        </w:tc>
        <w:tc>
          <w:tcPr>
            <w:tcW w:w="709" w:type="dxa"/>
          </w:tcPr>
          <w:p w14:paraId="3C5CFECD" w14:textId="77777777" w:rsidR="008C59BD" w:rsidRPr="00D64130" w:rsidRDefault="008C59BD" w:rsidP="0001523C">
            <w:pPr>
              <w:pStyle w:val="-3"/>
              <w:pBdr>
                <w:bottom w:val="single" w:sz="4" w:space="1" w:color="auto"/>
              </w:pBdr>
              <w:ind w:left="57" w:right="57"/>
              <w:jc w:val="left"/>
              <w:rPr>
                <w:sz w:val="16"/>
                <w:szCs w:val="16"/>
                <w:rtl/>
              </w:rPr>
            </w:pPr>
          </w:p>
        </w:tc>
        <w:tc>
          <w:tcPr>
            <w:tcW w:w="850" w:type="dxa"/>
          </w:tcPr>
          <w:p w14:paraId="56A7C2F5" w14:textId="77777777" w:rsidR="008C59BD" w:rsidRPr="00D64130" w:rsidRDefault="008C59BD" w:rsidP="0001523C">
            <w:pPr>
              <w:pStyle w:val="-3"/>
              <w:pBdr>
                <w:bottom w:val="single" w:sz="4" w:space="1" w:color="auto"/>
              </w:pBdr>
              <w:ind w:left="57" w:right="57"/>
              <w:jc w:val="left"/>
              <w:rPr>
                <w:sz w:val="16"/>
                <w:szCs w:val="16"/>
                <w:rtl/>
              </w:rPr>
            </w:pPr>
          </w:p>
        </w:tc>
        <w:tc>
          <w:tcPr>
            <w:tcW w:w="851" w:type="dxa"/>
          </w:tcPr>
          <w:p w14:paraId="7CEF0B97" w14:textId="77777777" w:rsidR="008C59BD" w:rsidRPr="001A3A57" w:rsidRDefault="008C59BD" w:rsidP="0001523C">
            <w:pPr>
              <w:pStyle w:val="-3"/>
              <w:pBdr>
                <w:bottom w:val="single" w:sz="4" w:space="1" w:color="auto"/>
              </w:pBdr>
              <w:ind w:left="57" w:right="57"/>
              <w:jc w:val="left"/>
              <w:rPr>
                <w:sz w:val="16"/>
                <w:szCs w:val="16"/>
                <w:rtl/>
              </w:rPr>
            </w:pPr>
            <w:r w:rsidRPr="0001523C">
              <w:rPr>
                <w:b/>
                <w:bCs/>
                <w:sz w:val="16"/>
                <w:szCs w:val="16"/>
                <w:rtl/>
              </w:rPr>
              <w:t>0</w:t>
            </w:r>
          </w:p>
        </w:tc>
      </w:tr>
      <w:tr w:rsidR="00F81394" w:rsidRPr="002F64E0" w14:paraId="6DE682ED" w14:textId="77777777" w:rsidTr="0001523C">
        <w:tc>
          <w:tcPr>
            <w:tcW w:w="1191" w:type="dxa"/>
            <w:vAlign w:val="bottom"/>
          </w:tcPr>
          <w:p w14:paraId="066DAB61" w14:textId="77777777" w:rsidR="00F81394" w:rsidRPr="002F64E0" w:rsidRDefault="00F81394" w:rsidP="002F64E0">
            <w:pPr>
              <w:pStyle w:val="-fa"/>
              <w:spacing w:line="14" w:lineRule="exact"/>
              <w:ind w:right="0"/>
              <w:rPr>
                <w:spacing w:val="0"/>
                <w:sz w:val="12"/>
                <w:szCs w:val="12"/>
                <w:rtl/>
              </w:rPr>
            </w:pPr>
          </w:p>
        </w:tc>
        <w:tc>
          <w:tcPr>
            <w:tcW w:w="3113" w:type="dxa"/>
            <w:vAlign w:val="bottom"/>
          </w:tcPr>
          <w:p w14:paraId="385453EC" w14:textId="77777777" w:rsidR="00F81394" w:rsidRPr="002F64E0" w:rsidRDefault="00F81394" w:rsidP="002F64E0">
            <w:pPr>
              <w:pStyle w:val="-0"/>
              <w:tabs>
                <w:tab w:val="left" w:pos="446"/>
              </w:tabs>
              <w:spacing w:line="14" w:lineRule="exact"/>
              <w:rPr>
                <w:b/>
                <w:bCs/>
                <w:sz w:val="12"/>
                <w:szCs w:val="12"/>
                <w:rtl/>
              </w:rPr>
            </w:pPr>
          </w:p>
        </w:tc>
        <w:tc>
          <w:tcPr>
            <w:tcW w:w="567" w:type="dxa"/>
            <w:vAlign w:val="bottom"/>
          </w:tcPr>
          <w:p w14:paraId="16245A9B" w14:textId="77777777" w:rsidR="00F81394" w:rsidRPr="002F64E0" w:rsidRDefault="00F81394" w:rsidP="002F64E0">
            <w:pPr>
              <w:pStyle w:val="-0"/>
              <w:tabs>
                <w:tab w:val="left" w:pos="446"/>
              </w:tabs>
              <w:spacing w:line="14" w:lineRule="exact"/>
              <w:ind w:left="57" w:right="57" w:firstLine="0"/>
              <w:rPr>
                <w:sz w:val="12"/>
                <w:szCs w:val="12"/>
                <w:rtl/>
              </w:rPr>
            </w:pPr>
          </w:p>
        </w:tc>
        <w:tc>
          <w:tcPr>
            <w:tcW w:w="850" w:type="dxa"/>
            <w:vAlign w:val="bottom"/>
          </w:tcPr>
          <w:p w14:paraId="0BB4A5EF" w14:textId="77777777" w:rsidR="00F81394" w:rsidRPr="002F64E0" w:rsidRDefault="00F81394" w:rsidP="002F64E0">
            <w:pPr>
              <w:pStyle w:val="-0"/>
              <w:tabs>
                <w:tab w:val="left" w:pos="446"/>
              </w:tabs>
              <w:spacing w:line="14" w:lineRule="exact"/>
              <w:ind w:left="57" w:right="57" w:firstLine="0"/>
              <w:rPr>
                <w:sz w:val="12"/>
                <w:szCs w:val="12"/>
                <w:rtl/>
              </w:rPr>
            </w:pPr>
          </w:p>
        </w:tc>
        <w:tc>
          <w:tcPr>
            <w:tcW w:w="851" w:type="dxa"/>
            <w:vAlign w:val="bottom"/>
          </w:tcPr>
          <w:p w14:paraId="2C4E6917" w14:textId="77777777" w:rsidR="00F81394" w:rsidRPr="002F64E0" w:rsidRDefault="00F81394" w:rsidP="002F64E0">
            <w:pPr>
              <w:pStyle w:val="-0"/>
              <w:tabs>
                <w:tab w:val="left" w:pos="446"/>
              </w:tabs>
              <w:spacing w:line="14" w:lineRule="exact"/>
              <w:ind w:left="57" w:right="57" w:firstLine="0"/>
              <w:rPr>
                <w:sz w:val="12"/>
                <w:szCs w:val="12"/>
                <w:rtl/>
              </w:rPr>
            </w:pPr>
          </w:p>
        </w:tc>
        <w:tc>
          <w:tcPr>
            <w:tcW w:w="709" w:type="dxa"/>
            <w:vAlign w:val="bottom"/>
          </w:tcPr>
          <w:p w14:paraId="572251B9" w14:textId="77777777" w:rsidR="00F81394" w:rsidRPr="002F64E0" w:rsidRDefault="00F81394" w:rsidP="002F64E0">
            <w:pPr>
              <w:pStyle w:val="-0"/>
              <w:tabs>
                <w:tab w:val="left" w:pos="446"/>
              </w:tabs>
              <w:spacing w:line="14" w:lineRule="exact"/>
              <w:ind w:left="57" w:right="57" w:firstLine="0"/>
              <w:rPr>
                <w:sz w:val="12"/>
                <w:szCs w:val="12"/>
                <w:rtl/>
              </w:rPr>
            </w:pPr>
          </w:p>
        </w:tc>
        <w:tc>
          <w:tcPr>
            <w:tcW w:w="636" w:type="dxa"/>
            <w:vAlign w:val="bottom"/>
          </w:tcPr>
          <w:p w14:paraId="5AA61327" w14:textId="77777777" w:rsidR="00F81394" w:rsidRPr="002F64E0" w:rsidRDefault="00F81394" w:rsidP="002F64E0">
            <w:pPr>
              <w:pStyle w:val="-0"/>
              <w:tabs>
                <w:tab w:val="left" w:pos="446"/>
              </w:tabs>
              <w:spacing w:line="14" w:lineRule="exact"/>
              <w:ind w:left="57" w:right="57" w:firstLine="0"/>
              <w:rPr>
                <w:sz w:val="12"/>
                <w:szCs w:val="12"/>
                <w:rtl/>
              </w:rPr>
            </w:pPr>
          </w:p>
        </w:tc>
        <w:tc>
          <w:tcPr>
            <w:tcW w:w="214" w:type="dxa"/>
            <w:vAlign w:val="bottom"/>
          </w:tcPr>
          <w:p w14:paraId="30399D0E" w14:textId="77777777" w:rsidR="00F81394" w:rsidRPr="002F64E0" w:rsidRDefault="00F81394" w:rsidP="002F64E0">
            <w:pPr>
              <w:pStyle w:val="-0"/>
              <w:spacing w:line="14" w:lineRule="exact"/>
              <w:ind w:left="57" w:right="57" w:firstLine="0"/>
              <w:rPr>
                <w:sz w:val="12"/>
                <w:szCs w:val="12"/>
                <w:rtl/>
              </w:rPr>
            </w:pPr>
          </w:p>
        </w:tc>
        <w:tc>
          <w:tcPr>
            <w:tcW w:w="567" w:type="dxa"/>
            <w:vAlign w:val="bottom"/>
          </w:tcPr>
          <w:p w14:paraId="2D4AEC6B" w14:textId="77777777" w:rsidR="00F81394" w:rsidRPr="002F64E0" w:rsidRDefault="00F81394" w:rsidP="002F64E0">
            <w:pPr>
              <w:pStyle w:val="-3"/>
              <w:spacing w:line="14" w:lineRule="exact"/>
              <w:ind w:left="57" w:right="57"/>
              <w:jc w:val="left"/>
              <w:rPr>
                <w:sz w:val="12"/>
                <w:szCs w:val="12"/>
                <w:rtl/>
              </w:rPr>
            </w:pPr>
          </w:p>
        </w:tc>
        <w:tc>
          <w:tcPr>
            <w:tcW w:w="709" w:type="dxa"/>
            <w:vAlign w:val="bottom"/>
          </w:tcPr>
          <w:p w14:paraId="2E5C7F8B" w14:textId="77777777" w:rsidR="00F81394" w:rsidRPr="002F64E0" w:rsidRDefault="00F81394" w:rsidP="002F64E0">
            <w:pPr>
              <w:pStyle w:val="-3"/>
              <w:spacing w:line="14" w:lineRule="exact"/>
              <w:ind w:left="57" w:right="57"/>
              <w:jc w:val="left"/>
              <w:rPr>
                <w:sz w:val="12"/>
                <w:szCs w:val="12"/>
                <w:rtl/>
              </w:rPr>
            </w:pPr>
          </w:p>
        </w:tc>
        <w:tc>
          <w:tcPr>
            <w:tcW w:w="992" w:type="dxa"/>
            <w:vAlign w:val="bottom"/>
          </w:tcPr>
          <w:p w14:paraId="2D95B397" w14:textId="77777777" w:rsidR="00F81394" w:rsidRPr="002F64E0" w:rsidRDefault="00F81394" w:rsidP="002F64E0">
            <w:pPr>
              <w:pStyle w:val="-3"/>
              <w:spacing w:line="14" w:lineRule="exact"/>
              <w:ind w:left="57" w:right="57"/>
              <w:jc w:val="left"/>
              <w:rPr>
                <w:sz w:val="12"/>
                <w:szCs w:val="12"/>
                <w:rtl/>
              </w:rPr>
            </w:pPr>
          </w:p>
        </w:tc>
        <w:tc>
          <w:tcPr>
            <w:tcW w:w="710" w:type="dxa"/>
            <w:vAlign w:val="bottom"/>
          </w:tcPr>
          <w:p w14:paraId="63177541" w14:textId="77777777" w:rsidR="00F81394" w:rsidRPr="002F64E0" w:rsidRDefault="00F81394" w:rsidP="002F64E0">
            <w:pPr>
              <w:pStyle w:val="-3"/>
              <w:spacing w:line="14" w:lineRule="exact"/>
              <w:ind w:left="57" w:right="57"/>
              <w:jc w:val="left"/>
              <w:rPr>
                <w:sz w:val="12"/>
                <w:szCs w:val="12"/>
                <w:rtl/>
              </w:rPr>
            </w:pPr>
          </w:p>
        </w:tc>
        <w:tc>
          <w:tcPr>
            <w:tcW w:w="688" w:type="dxa"/>
            <w:vAlign w:val="bottom"/>
          </w:tcPr>
          <w:p w14:paraId="15FA30CF" w14:textId="77777777" w:rsidR="00F81394" w:rsidRPr="002F64E0" w:rsidRDefault="00F81394" w:rsidP="002F64E0">
            <w:pPr>
              <w:pStyle w:val="-3"/>
              <w:spacing w:line="14" w:lineRule="exact"/>
              <w:ind w:left="57" w:right="57"/>
              <w:jc w:val="left"/>
              <w:rPr>
                <w:sz w:val="12"/>
                <w:szCs w:val="12"/>
                <w:rtl/>
              </w:rPr>
            </w:pPr>
          </w:p>
        </w:tc>
        <w:tc>
          <w:tcPr>
            <w:tcW w:w="162" w:type="dxa"/>
            <w:tcMar>
              <w:left w:w="58" w:type="dxa"/>
              <w:right w:w="58" w:type="dxa"/>
            </w:tcMar>
            <w:vAlign w:val="bottom"/>
          </w:tcPr>
          <w:p w14:paraId="3A2F21C8" w14:textId="77777777" w:rsidR="00F81394" w:rsidRPr="002F64E0" w:rsidRDefault="00F81394" w:rsidP="002F64E0">
            <w:pPr>
              <w:pStyle w:val="-7"/>
              <w:spacing w:line="14" w:lineRule="exact"/>
              <w:ind w:left="57" w:right="57"/>
              <w:jc w:val="left"/>
              <w:rPr>
                <w:sz w:val="12"/>
                <w:szCs w:val="12"/>
                <w:rtl/>
              </w:rPr>
            </w:pPr>
          </w:p>
        </w:tc>
        <w:tc>
          <w:tcPr>
            <w:tcW w:w="567" w:type="dxa"/>
            <w:vAlign w:val="bottom"/>
          </w:tcPr>
          <w:p w14:paraId="3D2FD26B" w14:textId="77777777" w:rsidR="00F81394" w:rsidRPr="002F64E0" w:rsidRDefault="00F81394" w:rsidP="002F64E0">
            <w:pPr>
              <w:pStyle w:val="-3"/>
              <w:spacing w:line="14" w:lineRule="exact"/>
              <w:ind w:left="57" w:right="57"/>
              <w:jc w:val="left"/>
              <w:rPr>
                <w:sz w:val="12"/>
                <w:szCs w:val="12"/>
                <w:rtl/>
              </w:rPr>
            </w:pPr>
          </w:p>
        </w:tc>
        <w:tc>
          <w:tcPr>
            <w:tcW w:w="709" w:type="dxa"/>
            <w:vAlign w:val="bottom"/>
          </w:tcPr>
          <w:p w14:paraId="6EA827C3" w14:textId="77777777" w:rsidR="00F81394" w:rsidRPr="002F64E0" w:rsidRDefault="00F81394" w:rsidP="002F64E0">
            <w:pPr>
              <w:pStyle w:val="-3"/>
              <w:spacing w:line="14" w:lineRule="exact"/>
              <w:ind w:left="57" w:right="57"/>
              <w:jc w:val="left"/>
              <w:rPr>
                <w:sz w:val="12"/>
                <w:szCs w:val="12"/>
                <w:rtl/>
              </w:rPr>
            </w:pPr>
          </w:p>
        </w:tc>
        <w:tc>
          <w:tcPr>
            <w:tcW w:w="709" w:type="dxa"/>
            <w:vAlign w:val="bottom"/>
          </w:tcPr>
          <w:p w14:paraId="440A5C53" w14:textId="77777777" w:rsidR="00F81394" w:rsidRPr="002F64E0" w:rsidRDefault="00F81394" w:rsidP="002F64E0">
            <w:pPr>
              <w:pStyle w:val="-3"/>
              <w:spacing w:line="14" w:lineRule="exact"/>
              <w:ind w:left="57" w:right="57"/>
              <w:jc w:val="left"/>
              <w:rPr>
                <w:sz w:val="12"/>
                <w:szCs w:val="12"/>
                <w:rtl/>
              </w:rPr>
            </w:pPr>
          </w:p>
        </w:tc>
        <w:tc>
          <w:tcPr>
            <w:tcW w:w="850" w:type="dxa"/>
            <w:vAlign w:val="bottom"/>
          </w:tcPr>
          <w:p w14:paraId="5C84B8FD" w14:textId="77777777" w:rsidR="00F81394" w:rsidRPr="002F64E0" w:rsidRDefault="00F81394" w:rsidP="002F64E0">
            <w:pPr>
              <w:pStyle w:val="-3"/>
              <w:spacing w:line="14" w:lineRule="exact"/>
              <w:ind w:left="57" w:right="57"/>
              <w:jc w:val="left"/>
              <w:rPr>
                <w:sz w:val="12"/>
                <w:szCs w:val="12"/>
                <w:rtl/>
              </w:rPr>
            </w:pPr>
          </w:p>
        </w:tc>
        <w:tc>
          <w:tcPr>
            <w:tcW w:w="851" w:type="dxa"/>
            <w:vAlign w:val="bottom"/>
          </w:tcPr>
          <w:p w14:paraId="6AB99DC5" w14:textId="77777777" w:rsidR="00F81394" w:rsidRPr="002F64E0" w:rsidRDefault="00F81394" w:rsidP="002F64E0">
            <w:pPr>
              <w:pStyle w:val="-3"/>
              <w:spacing w:line="14" w:lineRule="exact"/>
              <w:ind w:left="57" w:right="57"/>
              <w:jc w:val="left"/>
              <w:rPr>
                <w:sz w:val="12"/>
                <w:szCs w:val="12"/>
                <w:rtl/>
              </w:rPr>
            </w:pPr>
          </w:p>
        </w:tc>
      </w:tr>
      <w:tr w:rsidR="00F81394" w:rsidRPr="00EE3141" w14:paraId="71C9100D" w14:textId="77777777" w:rsidTr="0001523C">
        <w:tc>
          <w:tcPr>
            <w:tcW w:w="1191" w:type="dxa"/>
            <w:vAlign w:val="bottom"/>
          </w:tcPr>
          <w:p w14:paraId="3F39C1AC" w14:textId="77777777" w:rsidR="00F81394" w:rsidRPr="00D9322A" w:rsidRDefault="00F81394" w:rsidP="009126D7">
            <w:pPr>
              <w:pStyle w:val="-fa"/>
              <w:spacing w:before="0"/>
              <w:ind w:right="0"/>
              <w:rPr>
                <w:b/>
                <w:bCs/>
                <w:spacing w:val="0"/>
                <w:rtl/>
              </w:rPr>
            </w:pPr>
            <w:r w:rsidRPr="00D9322A">
              <w:rPr>
                <w:rFonts w:hint="eastAsia"/>
                <w:spacing w:val="0"/>
                <w:rtl/>
              </w:rPr>
              <w:t>ה</w:t>
            </w:r>
            <w:r w:rsidRPr="00D9322A">
              <w:rPr>
                <w:spacing w:val="0"/>
                <w:rtl/>
              </w:rPr>
              <w:t xml:space="preserve">. </w:t>
            </w:r>
            <w:r w:rsidRPr="00D9322A">
              <w:rPr>
                <w:rFonts w:hint="eastAsia"/>
                <w:spacing w:val="0"/>
                <w:rtl/>
              </w:rPr>
              <w:t>המפקח</w:t>
            </w:r>
            <w:r w:rsidRPr="00D9322A">
              <w:rPr>
                <w:spacing w:val="0"/>
                <w:rtl/>
              </w:rPr>
              <w:t xml:space="preserve"> </w:t>
            </w:r>
            <w:r w:rsidRPr="00D9322A">
              <w:rPr>
                <w:rFonts w:hint="eastAsia"/>
                <w:spacing w:val="0"/>
                <w:rtl/>
              </w:rPr>
              <w:t>ס</w:t>
            </w:r>
            <w:r w:rsidRPr="00D9322A">
              <w:rPr>
                <w:spacing w:val="0"/>
                <w:rtl/>
              </w:rPr>
              <w:t>' 27(ב)</w:t>
            </w:r>
          </w:p>
        </w:tc>
        <w:tc>
          <w:tcPr>
            <w:tcW w:w="3113" w:type="dxa"/>
            <w:vAlign w:val="bottom"/>
          </w:tcPr>
          <w:p w14:paraId="25C7BBD4" w14:textId="34DCC0AD" w:rsidR="00F81394" w:rsidRPr="008D44CA" w:rsidRDefault="00F81394" w:rsidP="001F730D">
            <w:pPr>
              <w:pStyle w:val="-0"/>
              <w:spacing w:line="240" w:lineRule="auto"/>
              <w:ind w:left="220" w:hanging="220"/>
              <w:rPr>
                <w:sz w:val="18"/>
                <w:szCs w:val="18"/>
                <w:rtl/>
              </w:rPr>
            </w:pPr>
            <w:r>
              <w:rPr>
                <w:rFonts w:hint="cs"/>
                <w:b/>
                <w:bCs/>
                <w:sz w:val="18"/>
                <w:szCs w:val="18"/>
                <w:rtl/>
              </w:rPr>
              <w:t xml:space="preserve"> 4</w:t>
            </w:r>
            <w:r w:rsidRPr="00B44059">
              <w:rPr>
                <w:b/>
                <w:bCs/>
                <w:sz w:val="18"/>
                <w:szCs w:val="18"/>
                <w:rtl/>
              </w:rPr>
              <w:t xml:space="preserve">. </w:t>
            </w:r>
            <w:r>
              <w:rPr>
                <w:rStyle w:val="-c"/>
                <w:rFonts w:hint="cs"/>
                <w:sz w:val="18"/>
                <w:szCs w:val="18"/>
                <w:rtl/>
              </w:rPr>
              <w:t xml:space="preserve"> </w:t>
            </w:r>
            <w:r w:rsidRPr="00B44059">
              <w:rPr>
                <w:rStyle w:val="-c"/>
                <w:rFonts w:hint="eastAsia"/>
                <w:sz w:val="18"/>
                <w:szCs w:val="18"/>
                <w:rtl/>
              </w:rPr>
              <w:t>ניירות</w:t>
            </w:r>
            <w:r w:rsidRPr="00B44059">
              <w:rPr>
                <w:rStyle w:val="-c"/>
                <w:sz w:val="18"/>
                <w:szCs w:val="18"/>
                <w:rtl/>
              </w:rPr>
              <w:t xml:space="preserve"> </w:t>
            </w:r>
            <w:r w:rsidRPr="00B44059">
              <w:rPr>
                <w:rStyle w:val="-c"/>
                <w:rFonts w:hint="eastAsia"/>
                <w:sz w:val="18"/>
                <w:szCs w:val="18"/>
                <w:rtl/>
              </w:rPr>
              <w:t>ערך</w:t>
            </w:r>
            <w:r w:rsidRPr="00B44059">
              <w:rPr>
                <w:rStyle w:val="-c"/>
                <w:sz w:val="18"/>
                <w:szCs w:val="18"/>
                <w:rtl/>
              </w:rPr>
              <w:t xml:space="preserve"> </w:t>
            </w:r>
            <w:r w:rsidRPr="00B44059">
              <w:rPr>
                <w:rStyle w:val="-c"/>
                <w:rFonts w:hint="eastAsia"/>
                <w:sz w:val="18"/>
                <w:szCs w:val="18"/>
                <w:rtl/>
              </w:rPr>
              <w:t>למסחר</w:t>
            </w:r>
            <w:r w:rsidRPr="00B44059">
              <w:rPr>
                <w:rStyle w:val="-c"/>
                <w:sz w:val="18"/>
                <w:szCs w:val="18"/>
                <w:rtl/>
              </w:rPr>
              <w:t>:</w:t>
            </w:r>
            <w:r w:rsidRPr="00B44059">
              <w:rPr>
                <w:sz w:val="18"/>
                <w:szCs w:val="18"/>
                <w:rtl/>
              </w:rPr>
              <w:t xml:space="preserve"> </w:t>
            </w:r>
          </w:p>
        </w:tc>
        <w:tc>
          <w:tcPr>
            <w:tcW w:w="567" w:type="dxa"/>
            <w:vAlign w:val="bottom"/>
          </w:tcPr>
          <w:p w14:paraId="7A7D6D68" w14:textId="77777777" w:rsidR="00F81394" w:rsidRDefault="00F81394" w:rsidP="00F60018">
            <w:pPr>
              <w:pStyle w:val="-0"/>
              <w:tabs>
                <w:tab w:val="left" w:pos="446"/>
              </w:tabs>
              <w:ind w:left="57" w:right="57" w:firstLine="0"/>
              <w:rPr>
                <w:sz w:val="16"/>
                <w:szCs w:val="16"/>
                <w:rtl/>
              </w:rPr>
            </w:pPr>
          </w:p>
        </w:tc>
        <w:tc>
          <w:tcPr>
            <w:tcW w:w="850" w:type="dxa"/>
            <w:vAlign w:val="bottom"/>
          </w:tcPr>
          <w:p w14:paraId="38DB343B" w14:textId="77777777" w:rsidR="00F81394" w:rsidRDefault="00F81394" w:rsidP="00F60018">
            <w:pPr>
              <w:pStyle w:val="-0"/>
              <w:tabs>
                <w:tab w:val="left" w:pos="446"/>
              </w:tabs>
              <w:ind w:left="57" w:right="57" w:firstLine="0"/>
              <w:rPr>
                <w:sz w:val="16"/>
                <w:szCs w:val="16"/>
                <w:rtl/>
              </w:rPr>
            </w:pPr>
          </w:p>
        </w:tc>
        <w:tc>
          <w:tcPr>
            <w:tcW w:w="851" w:type="dxa"/>
            <w:vAlign w:val="bottom"/>
          </w:tcPr>
          <w:p w14:paraId="4C6F823E" w14:textId="77777777" w:rsidR="00F81394" w:rsidRDefault="00F81394" w:rsidP="00F60018">
            <w:pPr>
              <w:pStyle w:val="-0"/>
              <w:tabs>
                <w:tab w:val="left" w:pos="446"/>
              </w:tabs>
              <w:ind w:left="57" w:right="57" w:firstLine="0"/>
              <w:rPr>
                <w:sz w:val="16"/>
                <w:szCs w:val="16"/>
                <w:rtl/>
              </w:rPr>
            </w:pPr>
          </w:p>
        </w:tc>
        <w:tc>
          <w:tcPr>
            <w:tcW w:w="709" w:type="dxa"/>
            <w:vAlign w:val="bottom"/>
          </w:tcPr>
          <w:p w14:paraId="6CE450F3" w14:textId="77777777" w:rsidR="00F81394" w:rsidRDefault="00F81394" w:rsidP="00F60018">
            <w:pPr>
              <w:pStyle w:val="-0"/>
              <w:tabs>
                <w:tab w:val="left" w:pos="446"/>
              </w:tabs>
              <w:ind w:left="57" w:right="57" w:firstLine="0"/>
              <w:rPr>
                <w:sz w:val="16"/>
                <w:szCs w:val="16"/>
                <w:rtl/>
              </w:rPr>
            </w:pPr>
          </w:p>
        </w:tc>
        <w:tc>
          <w:tcPr>
            <w:tcW w:w="636" w:type="dxa"/>
            <w:vAlign w:val="bottom"/>
          </w:tcPr>
          <w:p w14:paraId="0E025E9C" w14:textId="77777777" w:rsidR="00F81394" w:rsidRDefault="00F81394" w:rsidP="00F60018">
            <w:pPr>
              <w:pStyle w:val="-0"/>
              <w:tabs>
                <w:tab w:val="left" w:pos="446"/>
              </w:tabs>
              <w:ind w:left="57" w:right="57" w:firstLine="0"/>
              <w:rPr>
                <w:sz w:val="16"/>
                <w:szCs w:val="16"/>
                <w:rtl/>
              </w:rPr>
            </w:pPr>
          </w:p>
        </w:tc>
        <w:tc>
          <w:tcPr>
            <w:tcW w:w="214" w:type="dxa"/>
            <w:vAlign w:val="bottom"/>
          </w:tcPr>
          <w:p w14:paraId="0BF4428B" w14:textId="77777777" w:rsidR="00F81394" w:rsidRDefault="00F81394" w:rsidP="00F60018">
            <w:pPr>
              <w:pStyle w:val="-0"/>
              <w:ind w:left="57" w:right="57" w:firstLine="0"/>
              <w:rPr>
                <w:sz w:val="16"/>
                <w:szCs w:val="16"/>
                <w:rtl/>
              </w:rPr>
            </w:pPr>
          </w:p>
        </w:tc>
        <w:tc>
          <w:tcPr>
            <w:tcW w:w="567" w:type="dxa"/>
            <w:vAlign w:val="bottom"/>
          </w:tcPr>
          <w:p w14:paraId="34A986FE" w14:textId="77777777" w:rsidR="00F81394" w:rsidRDefault="00F81394" w:rsidP="00F60018">
            <w:pPr>
              <w:pStyle w:val="-3"/>
              <w:ind w:left="57" w:right="57"/>
              <w:jc w:val="left"/>
              <w:rPr>
                <w:sz w:val="16"/>
                <w:szCs w:val="16"/>
                <w:rtl/>
              </w:rPr>
            </w:pPr>
          </w:p>
        </w:tc>
        <w:tc>
          <w:tcPr>
            <w:tcW w:w="709" w:type="dxa"/>
            <w:vAlign w:val="bottom"/>
          </w:tcPr>
          <w:p w14:paraId="66AC9676" w14:textId="77777777" w:rsidR="00F81394" w:rsidRDefault="00F81394" w:rsidP="00F60018">
            <w:pPr>
              <w:pStyle w:val="-3"/>
              <w:ind w:left="57" w:right="57"/>
              <w:jc w:val="left"/>
              <w:rPr>
                <w:sz w:val="16"/>
                <w:szCs w:val="16"/>
                <w:rtl/>
              </w:rPr>
            </w:pPr>
          </w:p>
        </w:tc>
        <w:tc>
          <w:tcPr>
            <w:tcW w:w="992" w:type="dxa"/>
            <w:vAlign w:val="bottom"/>
          </w:tcPr>
          <w:p w14:paraId="0615250E" w14:textId="77777777" w:rsidR="00F81394" w:rsidRDefault="00F81394" w:rsidP="00F60018">
            <w:pPr>
              <w:pStyle w:val="-3"/>
              <w:ind w:left="57" w:right="57"/>
              <w:jc w:val="left"/>
              <w:rPr>
                <w:sz w:val="16"/>
                <w:szCs w:val="16"/>
                <w:rtl/>
              </w:rPr>
            </w:pPr>
          </w:p>
        </w:tc>
        <w:tc>
          <w:tcPr>
            <w:tcW w:w="710" w:type="dxa"/>
            <w:vAlign w:val="bottom"/>
          </w:tcPr>
          <w:p w14:paraId="743B4B0C" w14:textId="77777777" w:rsidR="00F81394" w:rsidRDefault="00F81394" w:rsidP="00F60018">
            <w:pPr>
              <w:pStyle w:val="-3"/>
              <w:ind w:left="57" w:right="57"/>
              <w:jc w:val="left"/>
              <w:rPr>
                <w:sz w:val="16"/>
                <w:szCs w:val="16"/>
                <w:rtl/>
              </w:rPr>
            </w:pPr>
          </w:p>
        </w:tc>
        <w:tc>
          <w:tcPr>
            <w:tcW w:w="688" w:type="dxa"/>
            <w:vAlign w:val="bottom"/>
          </w:tcPr>
          <w:p w14:paraId="21BAF7B5" w14:textId="77777777" w:rsidR="00F81394" w:rsidRDefault="00F81394" w:rsidP="00F60018">
            <w:pPr>
              <w:pStyle w:val="-3"/>
              <w:ind w:left="57" w:right="57"/>
              <w:jc w:val="left"/>
              <w:rPr>
                <w:sz w:val="16"/>
                <w:szCs w:val="16"/>
                <w:rtl/>
              </w:rPr>
            </w:pPr>
          </w:p>
        </w:tc>
        <w:tc>
          <w:tcPr>
            <w:tcW w:w="162" w:type="dxa"/>
            <w:tcMar>
              <w:left w:w="58" w:type="dxa"/>
              <w:right w:w="58" w:type="dxa"/>
            </w:tcMar>
            <w:vAlign w:val="bottom"/>
          </w:tcPr>
          <w:p w14:paraId="1CBDA768" w14:textId="77777777" w:rsidR="00F81394" w:rsidRDefault="00F81394" w:rsidP="00F60018">
            <w:pPr>
              <w:pStyle w:val="-7"/>
              <w:ind w:left="57" w:right="57"/>
              <w:jc w:val="left"/>
              <w:rPr>
                <w:sz w:val="16"/>
                <w:szCs w:val="16"/>
                <w:rtl/>
              </w:rPr>
            </w:pPr>
          </w:p>
        </w:tc>
        <w:tc>
          <w:tcPr>
            <w:tcW w:w="567" w:type="dxa"/>
            <w:vAlign w:val="bottom"/>
          </w:tcPr>
          <w:p w14:paraId="32CC13A7" w14:textId="77777777" w:rsidR="00F81394" w:rsidRDefault="00F81394" w:rsidP="00F60018">
            <w:pPr>
              <w:pStyle w:val="-3"/>
              <w:ind w:left="57" w:right="57"/>
              <w:jc w:val="left"/>
              <w:rPr>
                <w:sz w:val="16"/>
                <w:szCs w:val="16"/>
                <w:rtl/>
              </w:rPr>
            </w:pPr>
          </w:p>
        </w:tc>
        <w:tc>
          <w:tcPr>
            <w:tcW w:w="709" w:type="dxa"/>
            <w:vAlign w:val="bottom"/>
          </w:tcPr>
          <w:p w14:paraId="5A1AC376" w14:textId="77777777" w:rsidR="00F81394" w:rsidRDefault="00F81394" w:rsidP="00F60018">
            <w:pPr>
              <w:pStyle w:val="-3"/>
              <w:ind w:left="57" w:right="57"/>
              <w:jc w:val="left"/>
              <w:rPr>
                <w:sz w:val="16"/>
                <w:szCs w:val="16"/>
                <w:rtl/>
              </w:rPr>
            </w:pPr>
          </w:p>
        </w:tc>
        <w:tc>
          <w:tcPr>
            <w:tcW w:w="709" w:type="dxa"/>
            <w:vAlign w:val="bottom"/>
          </w:tcPr>
          <w:p w14:paraId="4FC95EE2" w14:textId="77777777" w:rsidR="00F81394" w:rsidRDefault="00F81394" w:rsidP="00F60018">
            <w:pPr>
              <w:pStyle w:val="-3"/>
              <w:ind w:left="57" w:right="57"/>
              <w:jc w:val="left"/>
              <w:rPr>
                <w:sz w:val="16"/>
                <w:szCs w:val="16"/>
                <w:rtl/>
              </w:rPr>
            </w:pPr>
          </w:p>
        </w:tc>
        <w:tc>
          <w:tcPr>
            <w:tcW w:w="850" w:type="dxa"/>
            <w:vAlign w:val="bottom"/>
          </w:tcPr>
          <w:p w14:paraId="7B49D5D8" w14:textId="77777777" w:rsidR="00F81394" w:rsidRDefault="00F81394" w:rsidP="00F60018">
            <w:pPr>
              <w:pStyle w:val="-3"/>
              <w:ind w:left="57" w:right="57"/>
              <w:jc w:val="left"/>
              <w:rPr>
                <w:sz w:val="16"/>
                <w:szCs w:val="16"/>
                <w:rtl/>
              </w:rPr>
            </w:pPr>
          </w:p>
        </w:tc>
        <w:tc>
          <w:tcPr>
            <w:tcW w:w="851" w:type="dxa"/>
            <w:vAlign w:val="bottom"/>
          </w:tcPr>
          <w:p w14:paraId="5A9DC630" w14:textId="77777777" w:rsidR="00F81394" w:rsidRDefault="00F81394" w:rsidP="00F60018">
            <w:pPr>
              <w:pStyle w:val="-3"/>
              <w:ind w:left="57" w:right="57"/>
              <w:jc w:val="left"/>
              <w:rPr>
                <w:sz w:val="16"/>
                <w:szCs w:val="16"/>
                <w:rtl/>
              </w:rPr>
            </w:pPr>
          </w:p>
        </w:tc>
      </w:tr>
      <w:tr w:rsidR="00F81394" w:rsidRPr="00EE3141" w14:paraId="65FC0F51" w14:textId="77777777" w:rsidTr="0001523C">
        <w:tc>
          <w:tcPr>
            <w:tcW w:w="1191" w:type="dxa"/>
            <w:vAlign w:val="bottom"/>
          </w:tcPr>
          <w:p w14:paraId="4979C326" w14:textId="77777777" w:rsidR="00F81394" w:rsidRPr="00EE3141" w:rsidRDefault="00F81394" w:rsidP="009126D7">
            <w:pPr>
              <w:pStyle w:val="-7"/>
              <w:jc w:val="left"/>
              <w:rPr>
                <w:sz w:val="15"/>
                <w:szCs w:val="15"/>
                <w:rtl/>
              </w:rPr>
            </w:pPr>
          </w:p>
        </w:tc>
        <w:tc>
          <w:tcPr>
            <w:tcW w:w="3113" w:type="dxa"/>
            <w:vAlign w:val="bottom"/>
          </w:tcPr>
          <w:p w14:paraId="5F406F88" w14:textId="4CDB4CD3" w:rsidR="00F81394" w:rsidRPr="008D44CA" w:rsidRDefault="006469B1" w:rsidP="009126D7">
            <w:pPr>
              <w:pStyle w:val="-0"/>
              <w:spacing w:line="240" w:lineRule="auto"/>
              <w:ind w:left="318"/>
              <w:rPr>
                <w:sz w:val="16"/>
                <w:szCs w:val="16"/>
              </w:rPr>
            </w:pPr>
            <w:r>
              <w:rPr>
                <w:rFonts w:hint="cs"/>
                <w:sz w:val="16"/>
                <w:szCs w:val="16"/>
                <w:rtl/>
              </w:rPr>
              <w:t xml:space="preserve">  </w:t>
            </w:r>
            <w:r w:rsidR="00F81394">
              <w:rPr>
                <w:rFonts w:hint="cs"/>
                <w:sz w:val="16"/>
                <w:szCs w:val="16"/>
                <w:rtl/>
              </w:rPr>
              <w:t xml:space="preserve"> </w:t>
            </w:r>
            <w:r w:rsidR="00A674A4">
              <w:rPr>
                <w:rFonts w:hint="eastAsia"/>
                <w:sz w:val="16"/>
                <w:szCs w:val="16"/>
                <w:rtl/>
              </w:rPr>
              <w:t>אגרות</w:t>
            </w:r>
            <w:r w:rsidR="00F81394" w:rsidRPr="00B44059">
              <w:rPr>
                <w:sz w:val="16"/>
                <w:szCs w:val="16"/>
                <w:rtl/>
              </w:rPr>
              <w:t xml:space="preserve"> </w:t>
            </w:r>
            <w:r w:rsidR="00F81394" w:rsidRPr="00B44059">
              <w:rPr>
                <w:rFonts w:hint="eastAsia"/>
                <w:sz w:val="16"/>
                <w:szCs w:val="16"/>
                <w:rtl/>
              </w:rPr>
              <w:t>חוב</w:t>
            </w:r>
            <w:r w:rsidR="00F81394" w:rsidRPr="00B44059">
              <w:rPr>
                <w:sz w:val="16"/>
                <w:szCs w:val="16"/>
                <w:rtl/>
              </w:rPr>
              <w:t>:</w:t>
            </w:r>
          </w:p>
        </w:tc>
        <w:tc>
          <w:tcPr>
            <w:tcW w:w="567" w:type="dxa"/>
            <w:vAlign w:val="bottom"/>
          </w:tcPr>
          <w:p w14:paraId="46038F5F" w14:textId="77777777" w:rsidR="00F81394" w:rsidRDefault="00F81394" w:rsidP="00F60018">
            <w:pPr>
              <w:pStyle w:val="-3"/>
              <w:ind w:left="57" w:right="57"/>
              <w:jc w:val="left"/>
              <w:rPr>
                <w:sz w:val="16"/>
                <w:szCs w:val="16"/>
                <w:rtl/>
              </w:rPr>
            </w:pPr>
            <w:r w:rsidRPr="00B44059">
              <w:rPr>
                <w:sz w:val="16"/>
                <w:szCs w:val="16"/>
                <w:rtl/>
              </w:rPr>
              <w:t xml:space="preserve"> </w:t>
            </w:r>
          </w:p>
        </w:tc>
        <w:tc>
          <w:tcPr>
            <w:tcW w:w="850" w:type="dxa"/>
            <w:vAlign w:val="bottom"/>
          </w:tcPr>
          <w:p w14:paraId="119FF69F" w14:textId="77777777" w:rsidR="00F81394" w:rsidRDefault="00F81394" w:rsidP="00F60018">
            <w:pPr>
              <w:pStyle w:val="-3"/>
              <w:ind w:left="57" w:right="57"/>
              <w:jc w:val="left"/>
              <w:rPr>
                <w:sz w:val="16"/>
                <w:szCs w:val="16"/>
              </w:rPr>
            </w:pPr>
          </w:p>
        </w:tc>
        <w:tc>
          <w:tcPr>
            <w:tcW w:w="851" w:type="dxa"/>
            <w:vAlign w:val="bottom"/>
          </w:tcPr>
          <w:p w14:paraId="40C4F3B3" w14:textId="77777777" w:rsidR="00F81394" w:rsidRDefault="00F81394" w:rsidP="00F60018">
            <w:pPr>
              <w:pStyle w:val="-3"/>
              <w:ind w:left="57" w:right="57"/>
              <w:jc w:val="left"/>
              <w:rPr>
                <w:sz w:val="16"/>
                <w:szCs w:val="16"/>
                <w:rtl/>
              </w:rPr>
            </w:pPr>
          </w:p>
        </w:tc>
        <w:tc>
          <w:tcPr>
            <w:tcW w:w="709" w:type="dxa"/>
            <w:vAlign w:val="bottom"/>
          </w:tcPr>
          <w:p w14:paraId="5EC5EDDF" w14:textId="77777777" w:rsidR="00F81394" w:rsidRDefault="00F81394" w:rsidP="00F60018">
            <w:pPr>
              <w:pStyle w:val="-3"/>
              <w:ind w:left="57" w:right="57"/>
              <w:jc w:val="left"/>
              <w:rPr>
                <w:sz w:val="16"/>
                <w:szCs w:val="16"/>
                <w:rtl/>
              </w:rPr>
            </w:pPr>
            <w:r w:rsidRPr="00B44059">
              <w:rPr>
                <w:sz w:val="16"/>
                <w:szCs w:val="16"/>
                <w:rtl/>
              </w:rPr>
              <w:t xml:space="preserve"> </w:t>
            </w:r>
          </w:p>
        </w:tc>
        <w:tc>
          <w:tcPr>
            <w:tcW w:w="636" w:type="dxa"/>
            <w:vAlign w:val="bottom"/>
          </w:tcPr>
          <w:p w14:paraId="6A4367AA" w14:textId="77777777" w:rsidR="00F81394" w:rsidRDefault="00F81394" w:rsidP="00F60018">
            <w:pPr>
              <w:pStyle w:val="-3"/>
              <w:ind w:left="57" w:right="57"/>
              <w:jc w:val="left"/>
              <w:rPr>
                <w:sz w:val="16"/>
                <w:szCs w:val="16"/>
                <w:rtl/>
              </w:rPr>
            </w:pPr>
          </w:p>
        </w:tc>
        <w:tc>
          <w:tcPr>
            <w:tcW w:w="214" w:type="dxa"/>
            <w:vAlign w:val="bottom"/>
          </w:tcPr>
          <w:p w14:paraId="36ECD4ED" w14:textId="77777777" w:rsidR="00F81394" w:rsidRDefault="00F81394" w:rsidP="00F60018">
            <w:pPr>
              <w:pStyle w:val="-0"/>
              <w:ind w:left="57" w:right="57" w:firstLine="0"/>
              <w:rPr>
                <w:sz w:val="16"/>
                <w:szCs w:val="16"/>
                <w:rtl/>
              </w:rPr>
            </w:pPr>
          </w:p>
        </w:tc>
        <w:tc>
          <w:tcPr>
            <w:tcW w:w="567" w:type="dxa"/>
            <w:vAlign w:val="bottom"/>
          </w:tcPr>
          <w:p w14:paraId="36B15EB7" w14:textId="77777777" w:rsidR="00F81394" w:rsidRDefault="00F81394" w:rsidP="00F60018">
            <w:pPr>
              <w:pStyle w:val="-3"/>
              <w:ind w:left="57" w:right="57"/>
              <w:jc w:val="left"/>
              <w:rPr>
                <w:sz w:val="16"/>
                <w:szCs w:val="16"/>
                <w:rtl/>
              </w:rPr>
            </w:pPr>
            <w:r w:rsidRPr="00B44059">
              <w:rPr>
                <w:sz w:val="16"/>
                <w:szCs w:val="16"/>
                <w:rtl/>
              </w:rPr>
              <w:t xml:space="preserve"> </w:t>
            </w:r>
          </w:p>
        </w:tc>
        <w:tc>
          <w:tcPr>
            <w:tcW w:w="709" w:type="dxa"/>
            <w:vAlign w:val="bottom"/>
          </w:tcPr>
          <w:p w14:paraId="4D8B6B6B" w14:textId="77777777" w:rsidR="00F81394" w:rsidRDefault="00F81394" w:rsidP="00F60018">
            <w:pPr>
              <w:pStyle w:val="-3"/>
              <w:ind w:left="57" w:right="57"/>
              <w:jc w:val="left"/>
              <w:rPr>
                <w:sz w:val="16"/>
                <w:szCs w:val="16"/>
                <w:rtl/>
              </w:rPr>
            </w:pPr>
            <w:r w:rsidRPr="00B44059">
              <w:rPr>
                <w:sz w:val="16"/>
                <w:szCs w:val="16"/>
                <w:rtl/>
              </w:rPr>
              <w:t xml:space="preserve"> </w:t>
            </w:r>
          </w:p>
        </w:tc>
        <w:tc>
          <w:tcPr>
            <w:tcW w:w="992" w:type="dxa"/>
            <w:vAlign w:val="bottom"/>
          </w:tcPr>
          <w:p w14:paraId="78A4D902" w14:textId="77777777" w:rsidR="00F81394" w:rsidRDefault="00F81394" w:rsidP="00F60018">
            <w:pPr>
              <w:pStyle w:val="-3"/>
              <w:ind w:left="57" w:right="57"/>
              <w:jc w:val="left"/>
              <w:rPr>
                <w:sz w:val="16"/>
                <w:szCs w:val="16"/>
                <w:rtl/>
              </w:rPr>
            </w:pPr>
          </w:p>
        </w:tc>
        <w:tc>
          <w:tcPr>
            <w:tcW w:w="710" w:type="dxa"/>
            <w:vAlign w:val="bottom"/>
          </w:tcPr>
          <w:p w14:paraId="67262C91" w14:textId="77777777" w:rsidR="00F81394" w:rsidRDefault="00F81394" w:rsidP="00F60018">
            <w:pPr>
              <w:pStyle w:val="-3"/>
              <w:ind w:left="57" w:right="57"/>
              <w:jc w:val="left"/>
              <w:rPr>
                <w:sz w:val="16"/>
                <w:szCs w:val="16"/>
                <w:rtl/>
              </w:rPr>
            </w:pPr>
            <w:r w:rsidRPr="00B44059">
              <w:rPr>
                <w:sz w:val="16"/>
                <w:szCs w:val="16"/>
                <w:rtl/>
              </w:rPr>
              <w:t xml:space="preserve"> </w:t>
            </w:r>
          </w:p>
        </w:tc>
        <w:tc>
          <w:tcPr>
            <w:tcW w:w="688" w:type="dxa"/>
            <w:vAlign w:val="bottom"/>
          </w:tcPr>
          <w:p w14:paraId="3E88A6D8" w14:textId="77777777" w:rsidR="00F81394" w:rsidRDefault="00F81394" w:rsidP="00F60018">
            <w:pPr>
              <w:pStyle w:val="-3"/>
              <w:ind w:left="57" w:right="57"/>
              <w:jc w:val="left"/>
              <w:rPr>
                <w:sz w:val="16"/>
                <w:szCs w:val="16"/>
                <w:rtl/>
              </w:rPr>
            </w:pPr>
            <w:r w:rsidRPr="00B44059">
              <w:rPr>
                <w:sz w:val="16"/>
                <w:szCs w:val="16"/>
                <w:rtl/>
              </w:rPr>
              <w:t xml:space="preserve"> </w:t>
            </w:r>
          </w:p>
        </w:tc>
        <w:tc>
          <w:tcPr>
            <w:tcW w:w="162" w:type="dxa"/>
            <w:tcMar>
              <w:left w:w="58" w:type="dxa"/>
              <w:right w:w="58" w:type="dxa"/>
            </w:tcMar>
            <w:vAlign w:val="bottom"/>
          </w:tcPr>
          <w:p w14:paraId="1B758317" w14:textId="77777777" w:rsidR="00F81394" w:rsidRDefault="00F81394" w:rsidP="00F60018">
            <w:pPr>
              <w:pStyle w:val="-7"/>
              <w:ind w:left="57" w:right="57"/>
              <w:jc w:val="left"/>
              <w:rPr>
                <w:sz w:val="16"/>
                <w:szCs w:val="16"/>
                <w:rtl/>
              </w:rPr>
            </w:pPr>
          </w:p>
        </w:tc>
        <w:tc>
          <w:tcPr>
            <w:tcW w:w="567" w:type="dxa"/>
            <w:vAlign w:val="bottom"/>
          </w:tcPr>
          <w:p w14:paraId="0632BBF0" w14:textId="77777777" w:rsidR="00F81394" w:rsidRDefault="00F81394" w:rsidP="00F60018">
            <w:pPr>
              <w:pStyle w:val="-3"/>
              <w:ind w:left="57" w:right="57"/>
              <w:jc w:val="left"/>
              <w:rPr>
                <w:sz w:val="16"/>
                <w:szCs w:val="16"/>
                <w:rtl/>
              </w:rPr>
            </w:pPr>
            <w:r w:rsidRPr="00B44059">
              <w:rPr>
                <w:sz w:val="16"/>
                <w:szCs w:val="16"/>
                <w:rtl/>
              </w:rPr>
              <w:t xml:space="preserve"> </w:t>
            </w:r>
          </w:p>
        </w:tc>
        <w:tc>
          <w:tcPr>
            <w:tcW w:w="709" w:type="dxa"/>
            <w:vAlign w:val="bottom"/>
          </w:tcPr>
          <w:p w14:paraId="63608A9A" w14:textId="77777777" w:rsidR="00F81394" w:rsidRDefault="00F81394" w:rsidP="00F60018">
            <w:pPr>
              <w:pStyle w:val="-3"/>
              <w:ind w:left="57" w:right="57"/>
              <w:jc w:val="left"/>
              <w:rPr>
                <w:sz w:val="16"/>
                <w:szCs w:val="16"/>
                <w:rtl/>
              </w:rPr>
            </w:pPr>
            <w:r w:rsidRPr="00B44059">
              <w:rPr>
                <w:sz w:val="16"/>
                <w:szCs w:val="16"/>
                <w:rtl/>
              </w:rPr>
              <w:t xml:space="preserve"> </w:t>
            </w:r>
          </w:p>
        </w:tc>
        <w:tc>
          <w:tcPr>
            <w:tcW w:w="709" w:type="dxa"/>
            <w:vAlign w:val="bottom"/>
          </w:tcPr>
          <w:p w14:paraId="09B21A6E" w14:textId="77777777" w:rsidR="00F81394" w:rsidRDefault="00F81394" w:rsidP="00F60018">
            <w:pPr>
              <w:pStyle w:val="-3"/>
              <w:ind w:left="57" w:right="57"/>
              <w:jc w:val="left"/>
              <w:rPr>
                <w:sz w:val="16"/>
                <w:szCs w:val="16"/>
                <w:rtl/>
              </w:rPr>
            </w:pPr>
          </w:p>
        </w:tc>
        <w:tc>
          <w:tcPr>
            <w:tcW w:w="850" w:type="dxa"/>
            <w:vAlign w:val="bottom"/>
          </w:tcPr>
          <w:p w14:paraId="10AC9155" w14:textId="77777777" w:rsidR="00F81394" w:rsidRDefault="00F81394" w:rsidP="00F60018">
            <w:pPr>
              <w:pStyle w:val="-3"/>
              <w:ind w:left="57" w:right="57"/>
              <w:jc w:val="left"/>
              <w:rPr>
                <w:sz w:val="16"/>
                <w:szCs w:val="16"/>
                <w:rtl/>
              </w:rPr>
            </w:pPr>
          </w:p>
        </w:tc>
        <w:tc>
          <w:tcPr>
            <w:tcW w:w="851" w:type="dxa"/>
            <w:vAlign w:val="bottom"/>
          </w:tcPr>
          <w:p w14:paraId="4750132A" w14:textId="77777777" w:rsidR="00F81394" w:rsidRDefault="00F81394" w:rsidP="00F60018">
            <w:pPr>
              <w:pStyle w:val="-3"/>
              <w:ind w:left="57" w:right="57"/>
              <w:jc w:val="left"/>
              <w:rPr>
                <w:sz w:val="16"/>
                <w:szCs w:val="16"/>
                <w:rtl/>
              </w:rPr>
            </w:pPr>
          </w:p>
        </w:tc>
      </w:tr>
      <w:tr w:rsidR="00F81394" w:rsidRPr="00EE3141" w14:paraId="7CEC12F9" w14:textId="77777777" w:rsidTr="0001523C">
        <w:tc>
          <w:tcPr>
            <w:tcW w:w="1191" w:type="dxa"/>
            <w:vAlign w:val="bottom"/>
          </w:tcPr>
          <w:p w14:paraId="11E48732" w14:textId="77777777" w:rsidR="00F81394" w:rsidRPr="00EE3141" w:rsidRDefault="00F81394" w:rsidP="009126D7">
            <w:pPr>
              <w:pStyle w:val="-7"/>
              <w:jc w:val="left"/>
              <w:rPr>
                <w:sz w:val="15"/>
                <w:szCs w:val="15"/>
                <w:rtl/>
              </w:rPr>
            </w:pPr>
          </w:p>
        </w:tc>
        <w:tc>
          <w:tcPr>
            <w:tcW w:w="3113" w:type="dxa"/>
            <w:vAlign w:val="bottom"/>
          </w:tcPr>
          <w:p w14:paraId="07234ACE" w14:textId="4A39D107" w:rsidR="00F81394" w:rsidRDefault="004836CE" w:rsidP="004836CE">
            <w:pPr>
              <w:pStyle w:val="-0"/>
              <w:spacing w:line="240" w:lineRule="auto"/>
              <w:ind w:left="318" w:hanging="65"/>
              <w:rPr>
                <w:sz w:val="16"/>
                <w:szCs w:val="16"/>
              </w:rPr>
            </w:pPr>
            <w:r>
              <w:rPr>
                <w:rFonts w:hint="cs"/>
                <w:sz w:val="16"/>
                <w:szCs w:val="16"/>
                <w:rtl/>
              </w:rPr>
              <w:t xml:space="preserve"> </w:t>
            </w:r>
            <w:r w:rsidR="00F81394" w:rsidRPr="00B44059">
              <w:rPr>
                <w:rFonts w:hint="eastAsia"/>
                <w:sz w:val="16"/>
                <w:szCs w:val="16"/>
                <w:rtl/>
              </w:rPr>
              <w:t>של</w:t>
            </w:r>
            <w:r w:rsidR="00F81394" w:rsidRPr="00B44059">
              <w:rPr>
                <w:sz w:val="16"/>
                <w:szCs w:val="16"/>
                <w:rtl/>
              </w:rPr>
              <w:t xml:space="preserve"> </w:t>
            </w:r>
            <w:r w:rsidR="00F81394" w:rsidRPr="00B44059">
              <w:rPr>
                <w:rFonts w:hint="eastAsia"/>
                <w:sz w:val="16"/>
                <w:szCs w:val="16"/>
                <w:rtl/>
              </w:rPr>
              <w:t>ממשלת</w:t>
            </w:r>
            <w:r w:rsidR="00F81394" w:rsidRPr="00B44059">
              <w:rPr>
                <w:sz w:val="16"/>
                <w:szCs w:val="16"/>
                <w:rtl/>
              </w:rPr>
              <w:t xml:space="preserve"> </w:t>
            </w:r>
            <w:r w:rsidR="00F81394" w:rsidRPr="00B44059">
              <w:rPr>
                <w:rFonts w:hint="eastAsia"/>
                <w:sz w:val="16"/>
                <w:szCs w:val="16"/>
                <w:rtl/>
              </w:rPr>
              <w:t>ישראל</w:t>
            </w:r>
          </w:p>
        </w:tc>
        <w:tc>
          <w:tcPr>
            <w:tcW w:w="567" w:type="dxa"/>
            <w:vAlign w:val="bottom"/>
          </w:tcPr>
          <w:p w14:paraId="6FF978CE" w14:textId="77777777" w:rsidR="00F81394" w:rsidRDefault="00F81394" w:rsidP="00F60018">
            <w:pPr>
              <w:pStyle w:val="-3"/>
              <w:ind w:left="57" w:right="57"/>
              <w:jc w:val="left"/>
              <w:rPr>
                <w:sz w:val="16"/>
                <w:szCs w:val="16"/>
                <w:rtl/>
              </w:rPr>
            </w:pPr>
            <w:r w:rsidRPr="00B44059">
              <w:rPr>
                <w:sz w:val="16"/>
                <w:szCs w:val="16"/>
                <w:rtl/>
              </w:rPr>
              <w:t>0</w:t>
            </w:r>
            <w:r>
              <w:rPr>
                <w:rFonts w:hint="cs"/>
                <w:sz w:val="16"/>
                <w:szCs w:val="16"/>
                <w:rtl/>
              </w:rPr>
              <w:t xml:space="preserve">   </w:t>
            </w:r>
          </w:p>
        </w:tc>
        <w:tc>
          <w:tcPr>
            <w:tcW w:w="850" w:type="dxa"/>
            <w:vAlign w:val="bottom"/>
          </w:tcPr>
          <w:p w14:paraId="509C6AF9"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851" w:type="dxa"/>
            <w:vAlign w:val="bottom"/>
          </w:tcPr>
          <w:p w14:paraId="1BC0C147"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709" w:type="dxa"/>
            <w:vAlign w:val="bottom"/>
          </w:tcPr>
          <w:p w14:paraId="4CC38D12" w14:textId="77777777" w:rsidR="00F81394" w:rsidRDefault="00F81394" w:rsidP="00F60018">
            <w:pPr>
              <w:pStyle w:val="-3"/>
              <w:ind w:left="57" w:right="57"/>
              <w:jc w:val="left"/>
              <w:rPr>
                <w:sz w:val="16"/>
                <w:szCs w:val="16"/>
                <w:rtl/>
              </w:rPr>
            </w:pPr>
            <w:r w:rsidRPr="00B44059">
              <w:rPr>
                <w:sz w:val="16"/>
                <w:szCs w:val="16"/>
                <w:rtl/>
              </w:rPr>
              <w:t xml:space="preserve"> 0</w:t>
            </w:r>
          </w:p>
        </w:tc>
        <w:tc>
          <w:tcPr>
            <w:tcW w:w="636" w:type="dxa"/>
            <w:vAlign w:val="bottom"/>
          </w:tcPr>
          <w:p w14:paraId="0507C1EF"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214" w:type="dxa"/>
            <w:vAlign w:val="bottom"/>
          </w:tcPr>
          <w:p w14:paraId="15A7B1DD" w14:textId="77777777" w:rsidR="00F81394" w:rsidRDefault="00F81394" w:rsidP="00F60018">
            <w:pPr>
              <w:pStyle w:val="-0"/>
              <w:ind w:left="57" w:right="57" w:firstLine="0"/>
              <w:rPr>
                <w:sz w:val="16"/>
                <w:szCs w:val="16"/>
                <w:rtl/>
              </w:rPr>
            </w:pPr>
          </w:p>
        </w:tc>
        <w:tc>
          <w:tcPr>
            <w:tcW w:w="567" w:type="dxa"/>
            <w:vAlign w:val="bottom"/>
          </w:tcPr>
          <w:p w14:paraId="5D5F1C10"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24C4752B" w14:textId="77777777" w:rsidR="00F81394" w:rsidRDefault="00F81394" w:rsidP="00F60018">
            <w:pPr>
              <w:pStyle w:val="-3"/>
              <w:ind w:left="57" w:right="57"/>
              <w:jc w:val="left"/>
              <w:rPr>
                <w:sz w:val="16"/>
                <w:szCs w:val="16"/>
                <w:rtl/>
              </w:rPr>
            </w:pPr>
            <w:r w:rsidRPr="00B44059">
              <w:rPr>
                <w:sz w:val="16"/>
                <w:szCs w:val="16"/>
                <w:rtl/>
              </w:rPr>
              <w:t xml:space="preserve"> 0</w:t>
            </w:r>
          </w:p>
        </w:tc>
        <w:tc>
          <w:tcPr>
            <w:tcW w:w="992" w:type="dxa"/>
            <w:vAlign w:val="bottom"/>
          </w:tcPr>
          <w:p w14:paraId="1FCFC6EB"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w:t>
            </w:r>
            <w:r>
              <w:rPr>
                <w:rFonts w:hint="cs"/>
                <w:sz w:val="16"/>
                <w:szCs w:val="16"/>
                <w:rtl/>
              </w:rPr>
              <w:t xml:space="preserve"> </w:t>
            </w:r>
            <w:r w:rsidRPr="00B44059">
              <w:rPr>
                <w:sz w:val="16"/>
                <w:szCs w:val="16"/>
                <w:rtl/>
              </w:rPr>
              <w:t>0</w:t>
            </w:r>
          </w:p>
        </w:tc>
        <w:tc>
          <w:tcPr>
            <w:tcW w:w="710" w:type="dxa"/>
            <w:vAlign w:val="bottom"/>
          </w:tcPr>
          <w:p w14:paraId="010EE61D" w14:textId="77777777" w:rsidR="00F81394" w:rsidRDefault="00F81394" w:rsidP="00F60018">
            <w:pPr>
              <w:pStyle w:val="-3"/>
              <w:ind w:left="57" w:right="57"/>
              <w:jc w:val="left"/>
              <w:rPr>
                <w:sz w:val="16"/>
                <w:szCs w:val="16"/>
                <w:rtl/>
              </w:rPr>
            </w:pPr>
            <w:r w:rsidRPr="00B44059">
              <w:rPr>
                <w:sz w:val="16"/>
                <w:szCs w:val="16"/>
                <w:rtl/>
              </w:rPr>
              <w:t xml:space="preserve"> 0</w:t>
            </w:r>
          </w:p>
        </w:tc>
        <w:tc>
          <w:tcPr>
            <w:tcW w:w="688" w:type="dxa"/>
            <w:vAlign w:val="bottom"/>
          </w:tcPr>
          <w:p w14:paraId="339E979D" w14:textId="77777777" w:rsidR="00F81394" w:rsidRDefault="00F81394" w:rsidP="00F60018">
            <w:pPr>
              <w:pStyle w:val="-3"/>
              <w:ind w:left="57" w:right="57"/>
              <w:jc w:val="left"/>
              <w:rPr>
                <w:sz w:val="16"/>
                <w:szCs w:val="16"/>
                <w:rtl/>
              </w:rPr>
            </w:pPr>
            <w:r w:rsidRPr="00B44059">
              <w:rPr>
                <w:sz w:val="16"/>
                <w:szCs w:val="16"/>
                <w:rtl/>
              </w:rPr>
              <w:t xml:space="preserve"> 0</w:t>
            </w:r>
          </w:p>
        </w:tc>
        <w:tc>
          <w:tcPr>
            <w:tcW w:w="162" w:type="dxa"/>
            <w:tcMar>
              <w:left w:w="58" w:type="dxa"/>
              <w:right w:w="58" w:type="dxa"/>
            </w:tcMar>
            <w:vAlign w:val="bottom"/>
          </w:tcPr>
          <w:p w14:paraId="662B3AE6" w14:textId="77777777" w:rsidR="00F81394" w:rsidRDefault="00F81394" w:rsidP="00F60018">
            <w:pPr>
              <w:pStyle w:val="-7"/>
              <w:ind w:left="57" w:right="57"/>
              <w:jc w:val="left"/>
              <w:rPr>
                <w:sz w:val="16"/>
                <w:szCs w:val="16"/>
                <w:rtl/>
              </w:rPr>
            </w:pPr>
          </w:p>
        </w:tc>
        <w:tc>
          <w:tcPr>
            <w:tcW w:w="567" w:type="dxa"/>
            <w:vAlign w:val="bottom"/>
          </w:tcPr>
          <w:p w14:paraId="237F7F3B"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6D40CB5B"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69C6427D"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r>
              <w:rPr>
                <w:rFonts w:hint="cs"/>
                <w:sz w:val="16"/>
                <w:szCs w:val="16"/>
                <w:rtl/>
              </w:rPr>
              <w:t xml:space="preserve"> </w:t>
            </w:r>
          </w:p>
        </w:tc>
        <w:tc>
          <w:tcPr>
            <w:tcW w:w="850" w:type="dxa"/>
            <w:vAlign w:val="bottom"/>
          </w:tcPr>
          <w:p w14:paraId="75F1ACEB"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p>
        </w:tc>
        <w:tc>
          <w:tcPr>
            <w:tcW w:w="851" w:type="dxa"/>
            <w:vAlign w:val="bottom"/>
          </w:tcPr>
          <w:p w14:paraId="5383A8B5"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p>
        </w:tc>
      </w:tr>
      <w:tr w:rsidR="00F81394" w:rsidRPr="00EE3141" w14:paraId="7816552D" w14:textId="77777777" w:rsidTr="0001523C">
        <w:tc>
          <w:tcPr>
            <w:tcW w:w="1191" w:type="dxa"/>
            <w:vAlign w:val="bottom"/>
          </w:tcPr>
          <w:p w14:paraId="07A0D7E4" w14:textId="77777777" w:rsidR="00F81394" w:rsidRPr="00EE3141" w:rsidRDefault="00F81394" w:rsidP="009126D7">
            <w:pPr>
              <w:pStyle w:val="-7"/>
              <w:jc w:val="left"/>
              <w:rPr>
                <w:sz w:val="15"/>
                <w:szCs w:val="15"/>
                <w:rtl/>
              </w:rPr>
            </w:pPr>
          </w:p>
        </w:tc>
        <w:tc>
          <w:tcPr>
            <w:tcW w:w="3113" w:type="dxa"/>
            <w:vAlign w:val="bottom"/>
          </w:tcPr>
          <w:p w14:paraId="4086FC00" w14:textId="05201607" w:rsidR="00F81394" w:rsidRDefault="004836CE" w:rsidP="004836CE">
            <w:pPr>
              <w:pStyle w:val="-0"/>
              <w:spacing w:line="240" w:lineRule="auto"/>
              <w:ind w:left="318" w:hanging="65"/>
              <w:rPr>
                <w:sz w:val="16"/>
                <w:szCs w:val="16"/>
              </w:rPr>
            </w:pPr>
            <w:r>
              <w:rPr>
                <w:rFonts w:hint="cs"/>
                <w:sz w:val="16"/>
                <w:szCs w:val="16"/>
                <w:rtl/>
              </w:rPr>
              <w:t xml:space="preserve"> </w:t>
            </w:r>
            <w:r w:rsidR="00F81394" w:rsidRPr="00B44059">
              <w:rPr>
                <w:rFonts w:hint="eastAsia"/>
                <w:sz w:val="16"/>
                <w:szCs w:val="16"/>
                <w:rtl/>
              </w:rPr>
              <w:t>של</w:t>
            </w:r>
            <w:r w:rsidR="00F81394" w:rsidRPr="00B44059">
              <w:rPr>
                <w:sz w:val="16"/>
                <w:szCs w:val="16"/>
                <w:rtl/>
              </w:rPr>
              <w:t xml:space="preserve"> </w:t>
            </w:r>
            <w:r w:rsidR="00F81394" w:rsidRPr="00B44059">
              <w:rPr>
                <w:rFonts w:hint="eastAsia"/>
                <w:sz w:val="16"/>
                <w:szCs w:val="16"/>
                <w:rtl/>
              </w:rPr>
              <w:t>ממשלות</w:t>
            </w:r>
            <w:r w:rsidR="00F81394" w:rsidRPr="00B44059">
              <w:rPr>
                <w:sz w:val="16"/>
                <w:szCs w:val="16"/>
                <w:rtl/>
              </w:rPr>
              <w:t xml:space="preserve"> </w:t>
            </w:r>
            <w:r w:rsidR="00F81394" w:rsidRPr="00B44059">
              <w:rPr>
                <w:rFonts w:hint="eastAsia"/>
                <w:sz w:val="16"/>
                <w:szCs w:val="16"/>
                <w:rtl/>
              </w:rPr>
              <w:t>זרות</w:t>
            </w:r>
          </w:p>
        </w:tc>
        <w:tc>
          <w:tcPr>
            <w:tcW w:w="567" w:type="dxa"/>
            <w:vAlign w:val="bottom"/>
          </w:tcPr>
          <w:p w14:paraId="157E725B" w14:textId="77777777" w:rsidR="00F81394" w:rsidRDefault="00F81394" w:rsidP="00F60018">
            <w:pPr>
              <w:pStyle w:val="-3"/>
              <w:ind w:left="57" w:right="57"/>
              <w:jc w:val="left"/>
              <w:rPr>
                <w:sz w:val="16"/>
                <w:szCs w:val="16"/>
                <w:rtl/>
              </w:rPr>
            </w:pPr>
            <w:r w:rsidRPr="00B44059">
              <w:rPr>
                <w:sz w:val="16"/>
                <w:szCs w:val="16"/>
                <w:rtl/>
              </w:rPr>
              <w:t>0</w:t>
            </w:r>
          </w:p>
        </w:tc>
        <w:tc>
          <w:tcPr>
            <w:tcW w:w="850" w:type="dxa"/>
            <w:vAlign w:val="bottom"/>
          </w:tcPr>
          <w:p w14:paraId="2EF5C52E"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851" w:type="dxa"/>
            <w:vAlign w:val="bottom"/>
          </w:tcPr>
          <w:p w14:paraId="259A516D"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709" w:type="dxa"/>
            <w:vAlign w:val="bottom"/>
          </w:tcPr>
          <w:p w14:paraId="2C3282AA" w14:textId="77777777" w:rsidR="00F81394" w:rsidRDefault="00F81394" w:rsidP="00F60018">
            <w:pPr>
              <w:pStyle w:val="-3"/>
              <w:ind w:left="57" w:right="57"/>
              <w:jc w:val="left"/>
              <w:rPr>
                <w:sz w:val="16"/>
                <w:szCs w:val="16"/>
                <w:rtl/>
              </w:rPr>
            </w:pPr>
            <w:r w:rsidRPr="00B44059">
              <w:rPr>
                <w:sz w:val="16"/>
                <w:szCs w:val="16"/>
                <w:rtl/>
              </w:rPr>
              <w:t xml:space="preserve"> 0</w:t>
            </w:r>
          </w:p>
        </w:tc>
        <w:tc>
          <w:tcPr>
            <w:tcW w:w="636" w:type="dxa"/>
            <w:vAlign w:val="bottom"/>
          </w:tcPr>
          <w:p w14:paraId="28CB72D9"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r>
              <w:rPr>
                <w:rFonts w:hint="cs"/>
                <w:sz w:val="16"/>
                <w:szCs w:val="16"/>
                <w:rtl/>
              </w:rPr>
              <w:t xml:space="preserve"> </w:t>
            </w:r>
          </w:p>
        </w:tc>
        <w:tc>
          <w:tcPr>
            <w:tcW w:w="214" w:type="dxa"/>
            <w:vAlign w:val="bottom"/>
          </w:tcPr>
          <w:p w14:paraId="2001C66D" w14:textId="77777777" w:rsidR="00F81394" w:rsidRDefault="00F81394" w:rsidP="00F60018">
            <w:pPr>
              <w:pStyle w:val="-0"/>
              <w:ind w:left="57" w:right="57" w:firstLine="0"/>
              <w:rPr>
                <w:sz w:val="16"/>
                <w:szCs w:val="16"/>
                <w:rtl/>
              </w:rPr>
            </w:pPr>
          </w:p>
        </w:tc>
        <w:tc>
          <w:tcPr>
            <w:tcW w:w="567" w:type="dxa"/>
            <w:vAlign w:val="bottom"/>
          </w:tcPr>
          <w:p w14:paraId="7F260408"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7075AF33" w14:textId="77777777" w:rsidR="00F81394" w:rsidRDefault="00F81394" w:rsidP="00F60018">
            <w:pPr>
              <w:pStyle w:val="-3"/>
              <w:ind w:left="57" w:right="57"/>
              <w:jc w:val="left"/>
              <w:rPr>
                <w:sz w:val="16"/>
                <w:szCs w:val="16"/>
                <w:rtl/>
              </w:rPr>
            </w:pPr>
            <w:r w:rsidRPr="00B44059">
              <w:rPr>
                <w:sz w:val="16"/>
                <w:szCs w:val="16"/>
                <w:rtl/>
              </w:rPr>
              <w:t xml:space="preserve"> 0</w:t>
            </w:r>
          </w:p>
        </w:tc>
        <w:tc>
          <w:tcPr>
            <w:tcW w:w="992" w:type="dxa"/>
            <w:vAlign w:val="bottom"/>
          </w:tcPr>
          <w:p w14:paraId="6DCF20F3"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710" w:type="dxa"/>
            <w:vAlign w:val="bottom"/>
          </w:tcPr>
          <w:p w14:paraId="3E2FF9FF" w14:textId="77777777" w:rsidR="00F81394" w:rsidRDefault="00F81394" w:rsidP="00F60018">
            <w:pPr>
              <w:pStyle w:val="-3"/>
              <w:ind w:left="57" w:right="57"/>
              <w:jc w:val="left"/>
              <w:rPr>
                <w:sz w:val="16"/>
                <w:szCs w:val="16"/>
                <w:rtl/>
              </w:rPr>
            </w:pPr>
            <w:r w:rsidRPr="00B44059">
              <w:rPr>
                <w:sz w:val="16"/>
                <w:szCs w:val="16"/>
                <w:rtl/>
              </w:rPr>
              <w:t xml:space="preserve"> 0</w:t>
            </w:r>
          </w:p>
        </w:tc>
        <w:tc>
          <w:tcPr>
            <w:tcW w:w="688" w:type="dxa"/>
            <w:vAlign w:val="bottom"/>
          </w:tcPr>
          <w:p w14:paraId="51967EE2" w14:textId="77777777" w:rsidR="00F81394" w:rsidRDefault="00F81394" w:rsidP="00F60018">
            <w:pPr>
              <w:pStyle w:val="-3"/>
              <w:ind w:left="57" w:right="57"/>
              <w:jc w:val="left"/>
              <w:rPr>
                <w:sz w:val="16"/>
                <w:szCs w:val="16"/>
                <w:rtl/>
              </w:rPr>
            </w:pPr>
            <w:r w:rsidRPr="00B44059">
              <w:rPr>
                <w:sz w:val="16"/>
                <w:szCs w:val="16"/>
                <w:rtl/>
              </w:rPr>
              <w:t xml:space="preserve"> 0</w:t>
            </w:r>
          </w:p>
        </w:tc>
        <w:tc>
          <w:tcPr>
            <w:tcW w:w="162" w:type="dxa"/>
            <w:tcMar>
              <w:left w:w="58" w:type="dxa"/>
              <w:right w:w="58" w:type="dxa"/>
            </w:tcMar>
            <w:vAlign w:val="bottom"/>
          </w:tcPr>
          <w:p w14:paraId="158E7660" w14:textId="77777777" w:rsidR="00F81394" w:rsidRDefault="00F81394" w:rsidP="00F60018">
            <w:pPr>
              <w:pStyle w:val="-7"/>
              <w:ind w:left="57" w:right="57"/>
              <w:jc w:val="left"/>
              <w:rPr>
                <w:sz w:val="16"/>
                <w:szCs w:val="16"/>
                <w:rtl/>
              </w:rPr>
            </w:pPr>
          </w:p>
        </w:tc>
        <w:tc>
          <w:tcPr>
            <w:tcW w:w="567" w:type="dxa"/>
            <w:vAlign w:val="bottom"/>
          </w:tcPr>
          <w:p w14:paraId="1560054A"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1FB79524"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60E154D3"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p>
        </w:tc>
        <w:tc>
          <w:tcPr>
            <w:tcW w:w="850" w:type="dxa"/>
            <w:vAlign w:val="bottom"/>
          </w:tcPr>
          <w:p w14:paraId="3F801F2F"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p>
        </w:tc>
        <w:tc>
          <w:tcPr>
            <w:tcW w:w="851" w:type="dxa"/>
            <w:vAlign w:val="bottom"/>
          </w:tcPr>
          <w:p w14:paraId="31392392"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p>
        </w:tc>
      </w:tr>
      <w:tr w:rsidR="00F81394" w:rsidRPr="00EE3141" w14:paraId="3A30FAB0" w14:textId="77777777" w:rsidTr="0001523C">
        <w:tc>
          <w:tcPr>
            <w:tcW w:w="1191" w:type="dxa"/>
            <w:vAlign w:val="bottom"/>
          </w:tcPr>
          <w:p w14:paraId="0BCEA7F2" w14:textId="77777777" w:rsidR="00F81394" w:rsidRPr="00EE3141" w:rsidRDefault="00F81394" w:rsidP="009126D7">
            <w:pPr>
              <w:pStyle w:val="-7"/>
              <w:jc w:val="left"/>
              <w:rPr>
                <w:sz w:val="15"/>
                <w:szCs w:val="15"/>
                <w:rtl/>
              </w:rPr>
            </w:pPr>
          </w:p>
        </w:tc>
        <w:tc>
          <w:tcPr>
            <w:tcW w:w="3113" w:type="dxa"/>
            <w:vAlign w:val="bottom"/>
          </w:tcPr>
          <w:p w14:paraId="120DA77D" w14:textId="25C6398D" w:rsidR="00F81394" w:rsidRDefault="004836CE" w:rsidP="004836CE">
            <w:pPr>
              <w:pStyle w:val="-0"/>
              <w:spacing w:line="240" w:lineRule="auto"/>
              <w:ind w:left="318" w:hanging="65"/>
              <w:rPr>
                <w:sz w:val="16"/>
                <w:szCs w:val="16"/>
              </w:rPr>
            </w:pPr>
            <w:r>
              <w:rPr>
                <w:rFonts w:hint="cs"/>
                <w:sz w:val="16"/>
                <w:szCs w:val="16"/>
                <w:rtl/>
              </w:rPr>
              <w:t xml:space="preserve"> </w:t>
            </w:r>
            <w:r w:rsidR="00F81394" w:rsidRPr="00B44059">
              <w:rPr>
                <w:rFonts w:hint="eastAsia"/>
                <w:sz w:val="16"/>
                <w:szCs w:val="16"/>
                <w:rtl/>
              </w:rPr>
              <w:t>של</w:t>
            </w:r>
            <w:r w:rsidR="00F81394" w:rsidRPr="00B44059">
              <w:rPr>
                <w:sz w:val="16"/>
                <w:szCs w:val="16"/>
                <w:rtl/>
              </w:rPr>
              <w:t xml:space="preserve"> </w:t>
            </w:r>
            <w:r w:rsidR="00F81394" w:rsidRPr="00B44059">
              <w:rPr>
                <w:rFonts w:hint="eastAsia"/>
                <w:sz w:val="16"/>
                <w:szCs w:val="16"/>
                <w:rtl/>
              </w:rPr>
              <w:t>מוסדות</w:t>
            </w:r>
            <w:r w:rsidR="00F81394" w:rsidRPr="00B44059">
              <w:rPr>
                <w:sz w:val="16"/>
                <w:szCs w:val="16"/>
                <w:rtl/>
              </w:rPr>
              <w:t xml:space="preserve"> </w:t>
            </w:r>
            <w:r w:rsidR="00F81394" w:rsidRPr="00B44059">
              <w:rPr>
                <w:rFonts w:hint="eastAsia"/>
                <w:sz w:val="16"/>
                <w:szCs w:val="16"/>
                <w:rtl/>
              </w:rPr>
              <w:t>פיננסיים</w:t>
            </w:r>
            <w:r w:rsidR="00F81394" w:rsidRPr="00B44059">
              <w:rPr>
                <w:sz w:val="16"/>
                <w:szCs w:val="16"/>
                <w:rtl/>
              </w:rPr>
              <w:t xml:space="preserve"> </w:t>
            </w:r>
            <w:r w:rsidR="00F81394" w:rsidRPr="00B44059">
              <w:rPr>
                <w:rFonts w:hint="eastAsia"/>
                <w:sz w:val="16"/>
                <w:szCs w:val="16"/>
                <w:rtl/>
              </w:rPr>
              <w:t>בישראל</w:t>
            </w:r>
          </w:p>
        </w:tc>
        <w:tc>
          <w:tcPr>
            <w:tcW w:w="567" w:type="dxa"/>
            <w:vAlign w:val="bottom"/>
          </w:tcPr>
          <w:p w14:paraId="30DF1F35" w14:textId="77777777" w:rsidR="00F81394" w:rsidRDefault="00F81394" w:rsidP="00F60018">
            <w:pPr>
              <w:pStyle w:val="-3"/>
              <w:ind w:left="57" w:right="57"/>
              <w:jc w:val="left"/>
              <w:rPr>
                <w:sz w:val="16"/>
                <w:szCs w:val="16"/>
                <w:rtl/>
              </w:rPr>
            </w:pPr>
            <w:r w:rsidRPr="00B44059">
              <w:rPr>
                <w:sz w:val="16"/>
                <w:szCs w:val="16"/>
                <w:rtl/>
              </w:rPr>
              <w:t>0</w:t>
            </w:r>
          </w:p>
        </w:tc>
        <w:tc>
          <w:tcPr>
            <w:tcW w:w="850" w:type="dxa"/>
            <w:vAlign w:val="bottom"/>
          </w:tcPr>
          <w:p w14:paraId="7ABD01F4"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851" w:type="dxa"/>
            <w:vAlign w:val="bottom"/>
          </w:tcPr>
          <w:p w14:paraId="4000D557"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709" w:type="dxa"/>
            <w:vAlign w:val="bottom"/>
          </w:tcPr>
          <w:p w14:paraId="7B05536D" w14:textId="77777777" w:rsidR="00F81394" w:rsidRDefault="00F81394" w:rsidP="00F60018">
            <w:pPr>
              <w:pStyle w:val="-3"/>
              <w:ind w:left="57" w:right="57"/>
              <w:jc w:val="left"/>
              <w:rPr>
                <w:sz w:val="16"/>
                <w:szCs w:val="16"/>
                <w:rtl/>
              </w:rPr>
            </w:pPr>
            <w:r w:rsidRPr="00B44059">
              <w:rPr>
                <w:sz w:val="16"/>
                <w:szCs w:val="16"/>
                <w:rtl/>
              </w:rPr>
              <w:t xml:space="preserve"> 0</w:t>
            </w:r>
          </w:p>
        </w:tc>
        <w:tc>
          <w:tcPr>
            <w:tcW w:w="636" w:type="dxa"/>
            <w:vAlign w:val="bottom"/>
          </w:tcPr>
          <w:p w14:paraId="165E8139"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214" w:type="dxa"/>
            <w:vAlign w:val="bottom"/>
          </w:tcPr>
          <w:p w14:paraId="42902EAA" w14:textId="77777777" w:rsidR="00F81394" w:rsidRDefault="00F81394" w:rsidP="00F60018">
            <w:pPr>
              <w:pStyle w:val="-0"/>
              <w:ind w:left="57" w:right="57" w:firstLine="0"/>
              <w:rPr>
                <w:sz w:val="16"/>
                <w:szCs w:val="16"/>
                <w:rtl/>
              </w:rPr>
            </w:pPr>
          </w:p>
        </w:tc>
        <w:tc>
          <w:tcPr>
            <w:tcW w:w="567" w:type="dxa"/>
            <w:vAlign w:val="bottom"/>
          </w:tcPr>
          <w:p w14:paraId="305B0A1F"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2FA0235A" w14:textId="77777777" w:rsidR="00F81394" w:rsidRDefault="00F81394" w:rsidP="00F60018">
            <w:pPr>
              <w:pStyle w:val="-3"/>
              <w:ind w:left="57" w:right="57"/>
              <w:jc w:val="left"/>
              <w:rPr>
                <w:sz w:val="16"/>
                <w:szCs w:val="16"/>
                <w:rtl/>
              </w:rPr>
            </w:pPr>
            <w:r w:rsidRPr="00B44059">
              <w:rPr>
                <w:sz w:val="16"/>
                <w:szCs w:val="16"/>
                <w:rtl/>
              </w:rPr>
              <w:t xml:space="preserve"> 0</w:t>
            </w:r>
          </w:p>
        </w:tc>
        <w:tc>
          <w:tcPr>
            <w:tcW w:w="992" w:type="dxa"/>
            <w:vAlign w:val="bottom"/>
          </w:tcPr>
          <w:p w14:paraId="2D78F03D"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r>
              <w:rPr>
                <w:rFonts w:hint="cs"/>
                <w:sz w:val="16"/>
                <w:szCs w:val="16"/>
                <w:rtl/>
              </w:rPr>
              <w:t xml:space="preserve">    </w:t>
            </w:r>
          </w:p>
        </w:tc>
        <w:tc>
          <w:tcPr>
            <w:tcW w:w="710" w:type="dxa"/>
            <w:vAlign w:val="bottom"/>
          </w:tcPr>
          <w:p w14:paraId="13A52503" w14:textId="77777777" w:rsidR="00F81394" w:rsidRDefault="00F81394" w:rsidP="00F60018">
            <w:pPr>
              <w:pStyle w:val="-3"/>
              <w:ind w:left="57" w:right="57"/>
              <w:jc w:val="left"/>
              <w:rPr>
                <w:sz w:val="16"/>
                <w:szCs w:val="16"/>
                <w:rtl/>
              </w:rPr>
            </w:pPr>
            <w:r w:rsidRPr="00B44059">
              <w:rPr>
                <w:sz w:val="16"/>
                <w:szCs w:val="16"/>
                <w:rtl/>
              </w:rPr>
              <w:t xml:space="preserve"> 0</w:t>
            </w:r>
          </w:p>
        </w:tc>
        <w:tc>
          <w:tcPr>
            <w:tcW w:w="688" w:type="dxa"/>
            <w:vAlign w:val="bottom"/>
          </w:tcPr>
          <w:p w14:paraId="41899731" w14:textId="77777777" w:rsidR="00F81394" w:rsidRDefault="00F81394" w:rsidP="00F60018">
            <w:pPr>
              <w:pStyle w:val="-3"/>
              <w:ind w:left="57" w:right="57"/>
              <w:jc w:val="left"/>
              <w:rPr>
                <w:sz w:val="16"/>
                <w:szCs w:val="16"/>
                <w:rtl/>
              </w:rPr>
            </w:pPr>
            <w:r w:rsidRPr="00B44059">
              <w:rPr>
                <w:sz w:val="16"/>
                <w:szCs w:val="16"/>
                <w:rtl/>
              </w:rPr>
              <w:t xml:space="preserve"> 0</w:t>
            </w:r>
          </w:p>
        </w:tc>
        <w:tc>
          <w:tcPr>
            <w:tcW w:w="162" w:type="dxa"/>
            <w:tcMar>
              <w:left w:w="58" w:type="dxa"/>
              <w:right w:w="58" w:type="dxa"/>
            </w:tcMar>
            <w:vAlign w:val="bottom"/>
          </w:tcPr>
          <w:p w14:paraId="567A07FE" w14:textId="77777777" w:rsidR="00F81394" w:rsidRDefault="00F81394" w:rsidP="00F60018">
            <w:pPr>
              <w:pStyle w:val="-7"/>
              <w:ind w:left="57" w:right="57"/>
              <w:jc w:val="left"/>
              <w:rPr>
                <w:sz w:val="16"/>
                <w:szCs w:val="16"/>
                <w:rtl/>
              </w:rPr>
            </w:pPr>
          </w:p>
        </w:tc>
        <w:tc>
          <w:tcPr>
            <w:tcW w:w="567" w:type="dxa"/>
            <w:vAlign w:val="bottom"/>
          </w:tcPr>
          <w:p w14:paraId="22918945"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444BE86B"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2F202E3C"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p>
        </w:tc>
        <w:tc>
          <w:tcPr>
            <w:tcW w:w="850" w:type="dxa"/>
            <w:vAlign w:val="bottom"/>
          </w:tcPr>
          <w:p w14:paraId="009A73B7"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p>
        </w:tc>
        <w:tc>
          <w:tcPr>
            <w:tcW w:w="851" w:type="dxa"/>
            <w:vAlign w:val="bottom"/>
          </w:tcPr>
          <w:p w14:paraId="4055E4A2"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r>
      <w:tr w:rsidR="00F81394" w:rsidRPr="00EE3141" w14:paraId="60E77ECA" w14:textId="77777777" w:rsidTr="0001523C">
        <w:tc>
          <w:tcPr>
            <w:tcW w:w="1191" w:type="dxa"/>
            <w:vAlign w:val="bottom"/>
          </w:tcPr>
          <w:p w14:paraId="040DFD18" w14:textId="77777777" w:rsidR="00F81394" w:rsidRPr="00EE3141" w:rsidRDefault="00F81394" w:rsidP="009126D7">
            <w:pPr>
              <w:pStyle w:val="-7"/>
              <w:jc w:val="left"/>
              <w:rPr>
                <w:sz w:val="15"/>
                <w:szCs w:val="15"/>
                <w:rtl/>
              </w:rPr>
            </w:pPr>
          </w:p>
        </w:tc>
        <w:tc>
          <w:tcPr>
            <w:tcW w:w="3113" w:type="dxa"/>
            <w:vAlign w:val="bottom"/>
          </w:tcPr>
          <w:p w14:paraId="27B33C51" w14:textId="31913204" w:rsidR="00F81394" w:rsidRDefault="004836CE" w:rsidP="004836CE">
            <w:pPr>
              <w:pStyle w:val="-0"/>
              <w:spacing w:line="240" w:lineRule="auto"/>
              <w:ind w:left="318" w:hanging="65"/>
              <w:rPr>
                <w:sz w:val="16"/>
                <w:szCs w:val="16"/>
              </w:rPr>
            </w:pPr>
            <w:r>
              <w:rPr>
                <w:rFonts w:hint="cs"/>
                <w:sz w:val="16"/>
                <w:szCs w:val="16"/>
                <w:rtl/>
              </w:rPr>
              <w:t xml:space="preserve"> </w:t>
            </w:r>
            <w:r w:rsidR="00F81394" w:rsidRPr="00B44059">
              <w:rPr>
                <w:rFonts w:hint="eastAsia"/>
                <w:sz w:val="16"/>
                <w:szCs w:val="16"/>
                <w:rtl/>
              </w:rPr>
              <w:t>של</w:t>
            </w:r>
            <w:r w:rsidR="00F81394" w:rsidRPr="00B44059">
              <w:rPr>
                <w:sz w:val="16"/>
                <w:szCs w:val="16"/>
                <w:rtl/>
              </w:rPr>
              <w:t xml:space="preserve"> </w:t>
            </w:r>
            <w:r w:rsidR="00F81394" w:rsidRPr="00B44059">
              <w:rPr>
                <w:rFonts w:hint="eastAsia"/>
                <w:sz w:val="16"/>
                <w:szCs w:val="16"/>
                <w:rtl/>
              </w:rPr>
              <w:t>מוסדות</w:t>
            </w:r>
            <w:r w:rsidR="00F81394" w:rsidRPr="00B44059">
              <w:rPr>
                <w:sz w:val="16"/>
                <w:szCs w:val="16"/>
                <w:rtl/>
              </w:rPr>
              <w:t xml:space="preserve"> </w:t>
            </w:r>
            <w:r w:rsidR="00F81394" w:rsidRPr="00B44059">
              <w:rPr>
                <w:rFonts w:hint="eastAsia"/>
                <w:sz w:val="16"/>
                <w:szCs w:val="16"/>
                <w:rtl/>
              </w:rPr>
              <w:t>פיננסיים</w:t>
            </w:r>
            <w:r w:rsidR="00F81394" w:rsidRPr="00B44059">
              <w:rPr>
                <w:sz w:val="16"/>
                <w:szCs w:val="16"/>
                <w:rtl/>
              </w:rPr>
              <w:t xml:space="preserve"> </w:t>
            </w:r>
            <w:r w:rsidR="00F81394" w:rsidRPr="00B44059">
              <w:rPr>
                <w:rFonts w:hint="eastAsia"/>
                <w:sz w:val="16"/>
                <w:szCs w:val="16"/>
                <w:rtl/>
              </w:rPr>
              <w:t>זרים</w:t>
            </w:r>
          </w:p>
        </w:tc>
        <w:tc>
          <w:tcPr>
            <w:tcW w:w="567" w:type="dxa"/>
            <w:vAlign w:val="bottom"/>
          </w:tcPr>
          <w:p w14:paraId="221DA48D" w14:textId="77777777" w:rsidR="00F81394" w:rsidRDefault="00F81394" w:rsidP="00F60018">
            <w:pPr>
              <w:pStyle w:val="-3"/>
              <w:ind w:left="57" w:right="57"/>
              <w:jc w:val="left"/>
              <w:rPr>
                <w:sz w:val="16"/>
                <w:szCs w:val="16"/>
                <w:rtl/>
              </w:rPr>
            </w:pPr>
            <w:r w:rsidRPr="00B44059">
              <w:rPr>
                <w:sz w:val="16"/>
                <w:szCs w:val="16"/>
                <w:rtl/>
              </w:rPr>
              <w:t>0</w:t>
            </w:r>
            <w:r>
              <w:rPr>
                <w:rFonts w:hint="cs"/>
                <w:sz w:val="16"/>
                <w:szCs w:val="16"/>
                <w:rtl/>
              </w:rPr>
              <w:t xml:space="preserve">    </w:t>
            </w:r>
          </w:p>
        </w:tc>
        <w:tc>
          <w:tcPr>
            <w:tcW w:w="850" w:type="dxa"/>
            <w:vAlign w:val="bottom"/>
          </w:tcPr>
          <w:p w14:paraId="663E86BE"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p>
        </w:tc>
        <w:tc>
          <w:tcPr>
            <w:tcW w:w="851" w:type="dxa"/>
            <w:vAlign w:val="bottom"/>
          </w:tcPr>
          <w:p w14:paraId="07C418D8"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709" w:type="dxa"/>
            <w:vAlign w:val="bottom"/>
          </w:tcPr>
          <w:p w14:paraId="08F9C694" w14:textId="77777777" w:rsidR="00F81394" w:rsidRDefault="00F81394" w:rsidP="00F60018">
            <w:pPr>
              <w:pStyle w:val="-3"/>
              <w:ind w:left="57" w:right="57"/>
              <w:jc w:val="left"/>
              <w:rPr>
                <w:sz w:val="16"/>
                <w:szCs w:val="16"/>
                <w:rtl/>
              </w:rPr>
            </w:pPr>
            <w:r w:rsidRPr="00B44059">
              <w:rPr>
                <w:sz w:val="16"/>
                <w:szCs w:val="16"/>
                <w:rtl/>
              </w:rPr>
              <w:t xml:space="preserve"> 0</w:t>
            </w:r>
          </w:p>
        </w:tc>
        <w:tc>
          <w:tcPr>
            <w:tcW w:w="636" w:type="dxa"/>
            <w:vAlign w:val="bottom"/>
          </w:tcPr>
          <w:p w14:paraId="7143C067"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r>
              <w:rPr>
                <w:rFonts w:hint="cs"/>
                <w:sz w:val="16"/>
                <w:szCs w:val="16"/>
                <w:rtl/>
              </w:rPr>
              <w:t xml:space="preserve"> </w:t>
            </w:r>
          </w:p>
        </w:tc>
        <w:tc>
          <w:tcPr>
            <w:tcW w:w="214" w:type="dxa"/>
            <w:vAlign w:val="bottom"/>
          </w:tcPr>
          <w:p w14:paraId="4F3928CD" w14:textId="77777777" w:rsidR="00F81394" w:rsidRDefault="00F81394" w:rsidP="00F60018">
            <w:pPr>
              <w:pStyle w:val="-0"/>
              <w:ind w:left="57" w:right="57" w:firstLine="0"/>
              <w:rPr>
                <w:sz w:val="16"/>
                <w:szCs w:val="16"/>
                <w:rtl/>
              </w:rPr>
            </w:pPr>
          </w:p>
        </w:tc>
        <w:tc>
          <w:tcPr>
            <w:tcW w:w="567" w:type="dxa"/>
            <w:vAlign w:val="bottom"/>
          </w:tcPr>
          <w:p w14:paraId="5EDF2433"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317CAFAA" w14:textId="77777777" w:rsidR="00F81394" w:rsidRDefault="00F81394" w:rsidP="00F60018">
            <w:pPr>
              <w:pStyle w:val="-3"/>
              <w:ind w:left="57" w:right="57"/>
              <w:jc w:val="left"/>
              <w:rPr>
                <w:sz w:val="16"/>
                <w:szCs w:val="16"/>
                <w:rtl/>
              </w:rPr>
            </w:pPr>
            <w:r w:rsidRPr="00B44059">
              <w:rPr>
                <w:sz w:val="16"/>
                <w:szCs w:val="16"/>
                <w:rtl/>
              </w:rPr>
              <w:t xml:space="preserve"> 0</w:t>
            </w:r>
          </w:p>
        </w:tc>
        <w:tc>
          <w:tcPr>
            <w:tcW w:w="992" w:type="dxa"/>
            <w:vAlign w:val="bottom"/>
          </w:tcPr>
          <w:p w14:paraId="176BDF42"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w:t>
            </w:r>
            <w:r>
              <w:rPr>
                <w:rFonts w:hint="cs"/>
                <w:sz w:val="16"/>
                <w:szCs w:val="16"/>
                <w:rtl/>
              </w:rPr>
              <w:t xml:space="preserve"> </w:t>
            </w:r>
            <w:r w:rsidRPr="00B44059">
              <w:rPr>
                <w:sz w:val="16"/>
                <w:szCs w:val="16"/>
                <w:rtl/>
              </w:rPr>
              <w:t>0</w:t>
            </w:r>
            <w:r>
              <w:rPr>
                <w:rFonts w:hint="cs"/>
                <w:sz w:val="16"/>
                <w:szCs w:val="16"/>
                <w:rtl/>
              </w:rPr>
              <w:t xml:space="preserve">  </w:t>
            </w:r>
          </w:p>
        </w:tc>
        <w:tc>
          <w:tcPr>
            <w:tcW w:w="710" w:type="dxa"/>
            <w:vAlign w:val="bottom"/>
          </w:tcPr>
          <w:p w14:paraId="206099EE" w14:textId="77777777" w:rsidR="00F81394" w:rsidRDefault="00F81394" w:rsidP="00F60018">
            <w:pPr>
              <w:pStyle w:val="-3"/>
              <w:ind w:left="57" w:right="57"/>
              <w:jc w:val="left"/>
              <w:rPr>
                <w:sz w:val="16"/>
                <w:szCs w:val="16"/>
                <w:rtl/>
              </w:rPr>
            </w:pPr>
            <w:r w:rsidRPr="00B44059">
              <w:rPr>
                <w:sz w:val="16"/>
                <w:szCs w:val="16"/>
                <w:rtl/>
              </w:rPr>
              <w:t xml:space="preserve"> 0</w:t>
            </w:r>
          </w:p>
        </w:tc>
        <w:tc>
          <w:tcPr>
            <w:tcW w:w="688" w:type="dxa"/>
            <w:vAlign w:val="bottom"/>
          </w:tcPr>
          <w:p w14:paraId="34FE06B8" w14:textId="77777777" w:rsidR="00F81394" w:rsidRDefault="00F81394" w:rsidP="00F60018">
            <w:pPr>
              <w:pStyle w:val="-3"/>
              <w:ind w:left="57" w:right="57"/>
              <w:jc w:val="left"/>
              <w:rPr>
                <w:sz w:val="16"/>
                <w:szCs w:val="16"/>
                <w:rtl/>
              </w:rPr>
            </w:pPr>
            <w:r w:rsidRPr="00B44059">
              <w:rPr>
                <w:sz w:val="16"/>
                <w:szCs w:val="16"/>
                <w:rtl/>
              </w:rPr>
              <w:t xml:space="preserve"> 0</w:t>
            </w:r>
          </w:p>
        </w:tc>
        <w:tc>
          <w:tcPr>
            <w:tcW w:w="162" w:type="dxa"/>
            <w:tcMar>
              <w:left w:w="58" w:type="dxa"/>
              <w:right w:w="58" w:type="dxa"/>
            </w:tcMar>
            <w:vAlign w:val="bottom"/>
          </w:tcPr>
          <w:p w14:paraId="105490B8" w14:textId="77777777" w:rsidR="00F81394" w:rsidRDefault="00F81394" w:rsidP="00F60018">
            <w:pPr>
              <w:pStyle w:val="-7"/>
              <w:ind w:left="57" w:right="57"/>
              <w:jc w:val="left"/>
              <w:rPr>
                <w:sz w:val="16"/>
                <w:szCs w:val="16"/>
                <w:rtl/>
              </w:rPr>
            </w:pPr>
          </w:p>
        </w:tc>
        <w:tc>
          <w:tcPr>
            <w:tcW w:w="567" w:type="dxa"/>
            <w:vAlign w:val="bottom"/>
          </w:tcPr>
          <w:p w14:paraId="1740AE73"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27712FD2"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3C444E0D"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p>
        </w:tc>
        <w:tc>
          <w:tcPr>
            <w:tcW w:w="850" w:type="dxa"/>
            <w:vAlign w:val="bottom"/>
          </w:tcPr>
          <w:p w14:paraId="23731C7F"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p>
        </w:tc>
        <w:tc>
          <w:tcPr>
            <w:tcW w:w="851" w:type="dxa"/>
            <w:vAlign w:val="bottom"/>
          </w:tcPr>
          <w:p w14:paraId="1218EA76"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p>
        </w:tc>
      </w:tr>
      <w:tr w:rsidR="00F81394" w:rsidRPr="00EE3141" w14:paraId="1F93895B" w14:textId="77777777" w:rsidTr="0001523C">
        <w:tc>
          <w:tcPr>
            <w:tcW w:w="1191" w:type="dxa"/>
            <w:vAlign w:val="bottom"/>
          </w:tcPr>
          <w:p w14:paraId="2BF807FD" w14:textId="77777777" w:rsidR="00F81394" w:rsidRPr="00EE3141" w:rsidRDefault="00F81394" w:rsidP="009126D7">
            <w:pPr>
              <w:pStyle w:val="-7"/>
              <w:jc w:val="left"/>
              <w:rPr>
                <w:sz w:val="15"/>
                <w:szCs w:val="15"/>
                <w:rtl/>
              </w:rPr>
            </w:pPr>
          </w:p>
        </w:tc>
        <w:tc>
          <w:tcPr>
            <w:tcW w:w="3113" w:type="dxa"/>
            <w:vAlign w:val="bottom"/>
          </w:tcPr>
          <w:p w14:paraId="6557515F" w14:textId="440C5A2D" w:rsidR="00F81394" w:rsidRDefault="004836CE" w:rsidP="004836CE">
            <w:pPr>
              <w:pStyle w:val="-0"/>
              <w:spacing w:line="240" w:lineRule="auto"/>
              <w:ind w:left="318" w:hanging="65"/>
              <w:rPr>
                <w:sz w:val="16"/>
                <w:szCs w:val="16"/>
              </w:rPr>
            </w:pPr>
            <w:r>
              <w:rPr>
                <w:rFonts w:hint="cs"/>
                <w:sz w:val="16"/>
                <w:szCs w:val="16"/>
                <w:rtl/>
              </w:rPr>
              <w:t xml:space="preserve"> </w:t>
            </w:r>
            <w:r w:rsidR="00F81394" w:rsidRPr="00B44059">
              <w:rPr>
                <w:rFonts w:hint="eastAsia"/>
                <w:sz w:val="16"/>
                <w:szCs w:val="16"/>
                <w:rtl/>
              </w:rPr>
              <w:t>של</w:t>
            </w:r>
            <w:r w:rsidR="00F81394" w:rsidRPr="00B44059">
              <w:rPr>
                <w:sz w:val="16"/>
                <w:szCs w:val="16"/>
                <w:rtl/>
              </w:rPr>
              <w:t xml:space="preserve"> </w:t>
            </w:r>
            <w:r w:rsidR="00F81394" w:rsidRPr="00B44059">
              <w:rPr>
                <w:rFonts w:hint="eastAsia"/>
                <w:sz w:val="16"/>
                <w:szCs w:val="16"/>
                <w:rtl/>
              </w:rPr>
              <w:t>אחרים</w:t>
            </w:r>
            <w:r w:rsidR="00F81394" w:rsidRPr="00B44059">
              <w:rPr>
                <w:sz w:val="16"/>
                <w:szCs w:val="16"/>
                <w:rtl/>
              </w:rPr>
              <w:t xml:space="preserve"> </w:t>
            </w:r>
            <w:r w:rsidR="00F81394" w:rsidRPr="00B44059">
              <w:rPr>
                <w:rFonts w:hint="eastAsia"/>
                <w:sz w:val="16"/>
                <w:szCs w:val="16"/>
                <w:rtl/>
              </w:rPr>
              <w:t>בישראל</w:t>
            </w:r>
          </w:p>
        </w:tc>
        <w:tc>
          <w:tcPr>
            <w:tcW w:w="567" w:type="dxa"/>
            <w:vAlign w:val="bottom"/>
          </w:tcPr>
          <w:p w14:paraId="61D988E5" w14:textId="77777777" w:rsidR="00F81394" w:rsidRDefault="00F81394" w:rsidP="00F60018">
            <w:pPr>
              <w:pStyle w:val="-3"/>
              <w:ind w:left="57" w:right="57"/>
              <w:jc w:val="left"/>
              <w:rPr>
                <w:sz w:val="16"/>
                <w:szCs w:val="16"/>
                <w:rtl/>
              </w:rPr>
            </w:pPr>
            <w:r w:rsidRPr="00B44059">
              <w:rPr>
                <w:sz w:val="16"/>
                <w:szCs w:val="16"/>
                <w:rtl/>
              </w:rPr>
              <w:t>0</w:t>
            </w:r>
            <w:r>
              <w:rPr>
                <w:rFonts w:hint="cs"/>
                <w:sz w:val="16"/>
                <w:szCs w:val="16"/>
                <w:rtl/>
              </w:rPr>
              <w:t xml:space="preserve"> </w:t>
            </w:r>
          </w:p>
        </w:tc>
        <w:tc>
          <w:tcPr>
            <w:tcW w:w="850" w:type="dxa"/>
            <w:vAlign w:val="bottom"/>
          </w:tcPr>
          <w:p w14:paraId="71659BCB"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851" w:type="dxa"/>
            <w:vAlign w:val="bottom"/>
          </w:tcPr>
          <w:p w14:paraId="6216BC72"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p>
        </w:tc>
        <w:tc>
          <w:tcPr>
            <w:tcW w:w="709" w:type="dxa"/>
            <w:vAlign w:val="bottom"/>
          </w:tcPr>
          <w:p w14:paraId="1D484B71" w14:textId="77777777" w:rsidR="00F81394" w:rsidRDefault="00F81394" w:rsidP="00F60018">
            <w:pPr>
              <w:pStyle w:val="-3"/>
              <w:ind w:left="57" w:right="57"/>
              <w:jc w:val="left"/>
              <w:rPr>
                <w:sz w:val="16"/>
                <w:szCs w:val="16"/>
                <w:rtl/>
              </w:rPr>
            </w:pPr>
            <w:r w:rsidRPr="00B44059">
              <w:rPr>
                <w:sz w:val="16"/>
                <w:szCs w:val="16"/>
                <w:rtl/>
              </w:rPr>
              <w:t xml:space="preserve"> 0</w:t>
            </w:r>
          </w:p>
        </w:tc>
        <w:tc>
          <w:tcPr>
            <w:tcW w:w="636" w:type="dxa"/>
            <w:vAlign w:val="bottom"/>
          </w:tcPr>
          <w:p w14:paraId="7982E259"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214" w:type="dxa"/>
            <w:vAlign w:val="bottom"/>
          </w:tcPr>
          <w:p w14:paraId="2D32684B" w14:textId="77777777" w:rsidR="00F81394" w:rsidRDefault="00F81394" w:rsidP="00F60018">
            <w:pPr>
              <w:pStyle w:val="-21"/>
              <w:spacing w:before="0"/>
              <w:ind w:left="57" w:right="57" w:firstLine="0"/>
              <w:rPr>
                <w:sz w:val="16"/>
                <w:szCs w:val="16"/>
                <w:rtl/>
              </w:rPr>
            </w:pPr>
          </w:p>
        </w:tc>
        <w:tc>
          <w:tcPr>
            <w:tcW w:w="567" w:type="dxa"/>
            <w:vAlign w:val="bottom"/>
          </w:tcPr>
          <w:p w14:paraId="01D7D7BF"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507C6D56" w14:textId="77777777" w:rsidR="00F81394" w:rsidRDefault="00F81394" w:rsidP="00F60018">
            <w:pPr>
              <w:pStyle w:val="-3"/>
              <w:ind w:left="57" w:right="57"/>
              <w:jc w:val="left"/>
              <w:rPr>
                <w:sz w:val="16"/>
                <w:szCs w:val="16"/>
                <w:rtl/>
              </w:rPr>
            </w:pPr>
            <w:r w:rsidRPr="00B44059">
              <w:rPr>
                <w:sz w:val="16"/>
                <w:szCs w:val="16"/>
                <w:rtl/>
              </w:rPr>
              <w:t xml:space="preserve"> 0</w:t>
            </w:r>
          </w:p>
        </w:tc>
        <w:tc>
          <w:tcPr>
            <w:tcW w:w="992" w:type="dxa"/>
            <w:vAlign w:val="bottom"/>
          </w:tcPr>
          <w:p w14:paraId="507B69DD"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r>
              <w:rPr>
                <w:rFonts w:hint="cs"/>
                <w:sz w:val="16"/>
                <w:szCs w:val="16"/>
                <w:rtl/>
              </w:rPr>
              <w:t xml:space="preserve">  </w:t>
            </w:r>
          </w:p>
        </w:tc>
        <w:tc>
          <w:tcPr>
            <w:tcW w:w="710" w:type="dxa"/>
            <w:vAlign w:val="bottom"/>
          </w:tcPr>
          <w:p w14:paraId="29992A2A" w14:textId="77777777" w:rsidR="00F81394" w:rsidRDefault="00F81394" w:rsidP="00F60018">
            <w:pPr>
              <w:pStyle w:val="-3"/>
              <w:ind w:left="57" w:right="57"/>
              <w:jc w:val="left"/>
              <w:rPr>
                <w:sz w:val="16"/>
                <w:szCs w:val="16"/>
                <w:rtl/>
              </w:rPr>
            </w:pPr>
            <w:r w:rsidRPr="00B44059">
              <w:rPr>
                <w:sz w:val="16"/>
                <w:szCs w:val="16"/>
                <w:rtl/>
              </w:rPr>
              <w:t xml:space="preserve"> 0</w:t>
            </w:r>
          </w:p>
        </w:tc>
        <w:tc>
          <w:tcPr>
            <w:tcW w:w="688" w:type="dxa"/>
            <w:vAlign w:val="bottom"/>
          </w:tcPr>
          <w:p w14:paraId="73F34FCB" w14:textId="77777777" w:rsidR="00F81394" w:rsidRDefault="00F81394" w:rsidP="00F60018">
            <w:pPr>
              <w:pStyle w:val="-3"/>
              <w:ind w:left="57" w:right="57"/>
              <w:jc w:val="left"/>
              <w:rPr>
                <w:sz w:val="16"/>
                <w:szCs w:val="16"/>
                <w:rtl/>
              </w:rPr>
            </w:pPr>
            <w:r w:rsidRPr="00B44059">
              <w:rPr>
                <w:sz w:val="16"/>
                <w:szCs w:val="16"/>
                <w:rtl/>
              </w:rPr>
              <w:t xml:space="preserve"> 0</w:t>
            </w:r>
          </w:p>
        </w:tc>
        <w:tc>
          <w:tcPr>
            <w:tcW w:w="162" w:type="dxa"/>
            <w:tcMar>
              <w:left w:w="58" w:type="dxa"/>
              <w:right w:w="58" w:type="dxa"/>
            </w:tcMar>
            <w:vAlign w:val="bottom"/>
          </w:tcPr>
          <w:p w14:paraId="584903F9" w14:textId="77777777" w:rsidR="00F81394" w:rsidRDefault="00F81394" w:rsidP="00F60018">
            <w:pPr>
              <w:pStyle w:val="-7"/>
              <w:ind w:left="57" w:right="57"/>
              <w:jc w:val="left"/>
              <w:rPr>
                <w:sz w:val="16"/>
                <w:szCs w:val="16"/>
                <w:rtl/>
              </w:rPr>
            </w:pPr>
          </w:p>
        </w:tc>
        <w:tc>
          <w:tcPr>
            <w:tcW w:w="567" w:type="dxa"/>
            <w:vAlign w:val="bottom"/>
          </w:tcPr>
          <w:p w14:paraId="042A5096"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666237E6"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61074F3D"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p>
        </w:tc>
        <w:tc>
          <w:tcPr>
            <w:tcW w:w="850" w:type="dxa"/>
            <w:vAlign w:val="bottom"/>
          </w:tcPr>
          <w:p w14:paraId="7077CB72"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p>
        </w:tc>
        <w:tc>
          <w:tcPr>
            <w:tcW w:w="851" w:type="dxa"/>
            <w:vAlign w:val="bottom"/>
          </w:tcPr>
          <w:p w14:paraId="3EC4D105"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p>
        </w:tc>
      </w:tr>
      <w:tr w:rsidR="00F81394" w:rsidRPr="00EE3141" w14:paraId="1ACD7A47" w14:textId="77777777" w:rsidTr="0001523C">
        <w:tc>
          <w:tcPr>
            <w:tcW w:w="1191" w:type="dxa"/>
            <w:vAlign w:val="bottom"/>
          </w:tcPr>
          <w:p w14:paraId="7A09280B" w14:textId="77777777" w:rsidR="00F81394" w:rsidRPr="00EE3141" w:rsidRDefault="00F81394" w:rsidP="009126D7">
            <w:pPr>
              <w:pStyle w:val="-7"/>
              <w:jc w:val="left"/>
              <w:rPr>
                <w:sz w:val="15"/>
                <w:szCs w:val="15"/>
                <w:rtl/>
              </w:rPr>
            </w:pPr>
          </w:p>
        </w:tc>
        <w:tc>
          <w:tcPr>
            <w:tcW w:w="3113" w:type="dxa"/>
            <w:vAlign w:val="bottom"/>
          </w:tcPr>
          <w:p w14:paraId="4C5232D8" w14:textId="685E4E8D" w:rsidR="00F81394" w:rsidRDefault="004836CE" w:rsidP="004836CE">
            <w:pPr>
              <w:pStyle w:val="-0"/>
              <w:spacing w:line="240" w:lineRule="auto"/>
              <w:ind w:left="318" w:hanging="65"/>
              <w:rPr>
                <w:sz w:val="16"/>
                <w:szCs w:val="16"/>
              </w:rPr>
            </w:pPr>
            <w:r>
              <w:rPr>
                <w:rFonts w:hint="cs"/>
                <w:sz w:val="16"/>
                <w:szCs w:val="16"/>
                <w:rtl/>
              </w:rPr>
              <w:t xml:space="preserve"> </w:t>
            </w:r>
            <w:r w:rsidR="00F81394" w:rsidRPr="00B44059">
              <w:rPr>
                <w:rFonts w:hint="eastAsia"/>
                <w:sz w:val="16"/>
                <w:szCs w:val="16"/>
                <w:rtl/>
              </w:rPr>
              <w:t>של</w:t>
            </w:r>
            <w:r w:rsidR="00F81394" w:rsidRPr="00B44059">
              <w:rPr>
                <w:sz w:val="16"/>
                <w:szCs w:val="16"/>
                <w:rtl/>
              </w:rPr>
              <w:t xml:space="preserve"> </w:t>
            </w:r>
            <w:r w:rsidR="00F81394" w:rsidRPr="00B44059">
              <w:rPr>
                <w:rFonts w:hint="eastAsia"/>
                <w:sz w:val="16"/>
                <w:szCs w:val="16"/>
                <w:rtl/>
              </w:rPr>
              <w:t>אחרים</w:t>
            </w:r>
            <w:r w:rsidR="00F81394" w:rsidRPr="00B44059">
              <w:rPr>
                <w:sz w:val="16"/>
                <w:szCs w:val="16"/>
                <w:rtl/>
              </w:rPr>
              <w:t xml:space="preserve"> </w:t>
            </w:r>
            <w:r w:rsidR="00F81394" w:rsidRPr="00B44059">
              <w:rPr>
                <w:rFonts w:hint="eastAsia"/>
                <w:sz w:val="16"/>
                <w:szCs w:val="16"/>
                <w:rtl/>
              </w:rPr>
              <w:t>זרים</w:t>
            </w:r>
          </w:p>
        </w:tc>
        <w:tc>
          <w:tcPr>
            <w:tcW w:w="567" w:type="dxa"/>
            <w:vAlign w:val="bottom"/>
          </w:tcPr>
          <w:p w14:paraId="08756442" w14:textId="77777777" w:rsidR="00F81394" w:rsidRDefault="00F81394" w:rsidP="00F60018">
            <w:pPr>
              <w:pStyle w:val="-3"/>
              <w:pBdr>
                <w:bottom w:val="single" w:sz="4" w:space="1" w:color="auto"/>
              </w:pBdr>
              <w:ind w:left="57" w:right="57"/>
              <w:jc w:val="left"/>
              <w:rPr>
                <w:sz w:val="16"/>
                <w:szCs w:val="16"/>
                <w:rtl/>
              </w:rPr>
            </w:pPr>
            <w:r w:rsidRPr="00B44059">
              <w:rPr>
                <w:sz w:val="16"/>
                <w:szCs w:val="16"/>
                <w:rtl/>
              </w:rPr>
              <w:t>0</w:t>
            </w:r>
          </w:p>
        </w:tc>
        <w:tc>
          <w:tcPr>
            <w:tcW w:w="850" w:type="dxa"/>
            <w:vAlign w:val="bottom"/>
          </w:tcPr>
          <w:p w14:paraId="1A93FF03" w14:textId="77777777" w:rsidR="00F81394" w:rsidRDefault="00F81394" w:rsidP="00F60018">
            <w:pPr>
              <w:pStyle w:val="-3"/>
              <w:pBdr>
                <w:bottom w:val="single" w:sz="4" w:space="1" w:color="auto"/>
              </w:pBdr>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851" w:type="dxa"/>
            <w:vAlign w:val="bottom"/>
          </w:tcPr>
          <w:p w14:paraId="3AAAD10F" w14:textId="77777777" w:rsidR="00F81394" w:rsidRDefault="00F81394" w:rsidP="00F60018">
            <w:pPr>
              <w:pStyle w:val="-3"/>
              <w:pBdr>
                <w:bottom w:val="single" w:sz="4" w:space="1" w:color="auto"/>
              </w:pBdr>
              <w:ind w:left="57" w:right="57"/>
              <w:jc w:val="left"/>
              <w:rPr>
                <w:sz w:val="16"/>
                <w:szCs w:val="16"/>
                <w:rtl/>
              </w:rPr>
            </w:pPr>
            <w:r>
              <w:rPr>
                <w:rFonts w:hint="cs"/>
                <w:sz w:val="16"/>
                <w:szCs w:val="16"/>
                <w:rtl/>
              </w:rPr>
              <w:t xml:space="preserve"> </w:t>
            </w:r>
            <w:r w:rsidRPr="00B44059">
              <w:rPr>
                <w:sz w:val="16"/>
                <w:szCs w:val="16"/>
                <w:rtl/>
              </w:rPr>
              <w:t xml:space="preserve"> 0</w:t>
            </w:r>
          </w:p>
        </w:tc>
        <w:tc>
          <w:tcPr>
            <w:tcW w:w="709" w:type="dxa"/>
            <w:vAlign w:val="bottom"/>
          </w:tcPr>
          <w:p w14:paraId="4623046A" w14:textId="77777777" w:rsidR="00F81394" w:rsidRDefault="00F81394" w:rsidP="00F60018">
            <w:pPr>
              <w:pStyle w:val="-3"/>
              <w:pBdr>
                <w:bottom w:val="single" w:sz="4" w:space="1" w:color="auto"/>
              </w:pBdr>
              <w:ind w:left="57" w:right="57"/>
              <w:jc w:val="left"/>
              <w:rPr>
                <w:sz w:val="16"/>
                <w:szCs w:val="16"/>
                <w:rtl/>
              </w:rPr>
            </w:pPr>
            <w:r w:rsidRPr="00B44059">
              <w:rPr>
                <w:sz w:val="16"/>
                <w:szCs w:val="16"/>
                <w:rtl/>
              </w:rPr>
              <w:t xml:space="preserve"> 0</w:t>
            </w:r>
          </w:p>
        </w:tc>
        <w:tc>
          <w:tcPr>
            <w:tcW w:w="636" w:type="dxa"/>
            <w:vAlign w:val="bottom"/>
          </w:tcPr>
          <w:p w14:paraId="486D39CA" w14:textId="77777777" w:rsidR="00F81394" w:rsidRDefault="00F81394" w:rsidP="00F60018">
            <w:pPr>
              <w:pStyle w:val="-3"/>
              <w:pBdr>
                <w:bottom w:val="single" w:sz="4" w:space="1" w:color="auto"/>
              </w:pBdr>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214" w:type="dxa"/>
            <w:vAlign w:val="bottom"/>
          </w:tcPr>
          <w:p w14:paraId="214EC7B6" w14:textId="77777777" w:rsidR="00F81394" w:rsidRDefault="00F81394" w:rsidP="00F60018">
            <w:pPr>
              <w:pStyle w:val="-0"/>
              <w:ind w:left="57" w:right="57" w:firstLine="0"/>
              <w:rPr>
                <w:sz w:val="16"/>
                <w:szCs w:val="16"/>
                <w:rtl/>
              </w:rPr>
            </w:pPr>
          </w:p>
        </w:tc>
        <w:tc>
          <w:tcPr>
            <w:tcW w:w="567" w:type="dxa"/>
            <w:vAlign w:val="bottom"/>
          </w:tcPr>
          <w:p w14:paraId="665055F9" w14:textId="77777777" w:rsidR="00F81394" w:rsidRDefault="00F81394" w:rsidP="00F60018">
            <w:pPr>
              <w:pStyle w:val="-3"/>
              <w:pBdr>
                <w:bottom w:val="single" w:sz="4" w:space="1" w:color="auto"/>
              </w:pBdr>
              <w:ind w:left="57" w:right="57"/>
              <w:jc w:val="left"/>
              <w:rPr>
                <w:sz w:val="16"/>
                <w:szCs w:val="16"/>
                <w:rtl/>
              </w:rPr>
            </w:pPr>
            <w:r w:rsidRPr="00B44059">
              <w:rPr>
                <w:sz w:val="16"/>
                <w:szCs w:val="16"/>
                <w:rtl/>
              </w:rPr>
              <w:t xml:space="preserve"> 0</w:t>
            </w:r>
          </w:p>
        </w:tc>
        <w:tc>
          <w:tcPr>
            <w:tcW w:w="709" w:type="dxa"/>
            <w:vAlign w:val="bottom"/>
          </w:tcPr>
          <w:p w14:paraId="32FF2EE3" w14:textId="77777777" w:rsidR="00F81394" w:rsidRDefault="00F81394" w:rsidP="00F60018">
            <w:pPr>
              <w:pStyle w:val="-3"/>
              <w:pBdr>
                <w:bottom w:val="single" w:sz="4" w:space="1" w:color="auto"/>
              </w:pBdr>
              <w:ind w:left="57" w:right="57"/>
              <w:jc w:val="left"/>
              <w:rPr>
                <w:sz w:val="16"/>
                <w:szCs w:val="16"/>
                <w:rtl/>
              </w:rPr>
            </w:pPr>
            <w:r w:rsidRPr="00B44059">
              <w:rPr>
                <w:sz w:val="16"/>
                <w:szCs w:val="16"/>
                <w:rtl/>
              </w:rPr>
              <w:t xml:space="preserve"> 0</w:t>
            </w:r>
          </w:p>
        </w:tc>
        <w:tc>
          <w:tcPr>
            <w:tcW w:w="992" w:type="dxa"/>
            <w:vAlign w:val="bottom"/>
          </w:tcPr>
          <w:p w14:paraId="02B696DB" w14:textId="77777777" w:rsidR="00F81394" w:rsidRDefault="00F81394" w:rsidP="00F60018">
            <w:pPr>
              <w:pStyle w:val="-3"/>
              <w:pBdr>
                <w:bottom w:val="single" w:sz="4" w:space="1" w:color="auto"/>
              </w:pBdr>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710" w:type="dxa"/>
            <w:vAlign w:val="bottom"/>
          </w:tcPr>
          <w:p w14:paraId="31C6019D" w14:textId="77777777" w:rsidR="00F81394" w:rsidRDefault="00F81394" w:rsidP="00F60018">
            <w:pPr>
              <w:pStyle w:val="-3"/>
              <w:pBdr>
                <w:bottom w:val="single" w:sz="4" w:space="1" w:color="auto"/>
              </w:pBdr>
              <w:ind w:left="57" w:right="57"/>
              <w:jc w:val="left"/>
              <w:rPr>
                <w:sz w:val="16"/>
                <w:szCs w:val="16"/>
                <w:rtl/>
              </w:rPr>
            </w:pPr>
            <w:r w:rsidRPr="00B44059">
              <w:rPr>
                <w:sz w:val="16"/>
                <w:szCs w:val="16"/>
                <w:rtl/>
              </w:rPr>
              <w:t xml:space="preserve"> 0</w:t>
            </w:r>
          </w:p>
        </w:tc>
        <w:tc>
          <w:tcPr>
            <w:tcW w:w="688" w:type="dxa"/>
            <w:vAlign w:val="bottom"/>
          </w:tcPr>
          <w:p w14:paraId="1438A467" w14:textId="77777777" w:rsidR="00F81394" w:rsidRDefault="00F81394" w:rsidP="00F60018">
            <w:pPr>
              <w:pStyle w:val="-3"/>
              <w:pBdr>
                <w:bottom w:val="single" w:sz="4" w:space="1" w:color="auto"/>
              </w:pBdr>
              <w:ind w:left="57" w:right="57"/>
              <w:jc w:val="left"/>
              <w:rPr>
                <w:sz w:val="16"/>
                <w:szCs w:val="16"/>
                <w:rtl/>
              </w:rPr>
            </w:pPr>
            <w:r w:rsidRPr="00B44059">
              <w:rPr>
                <w:sz w:val="16"/>
                <w:szCs w:val="16"/>
                <w:rtl/>
              </w:rPr>
              <w:t xml:space="preserve"> 0</w:t>
            </w:r>
          </w:p>
        </w:tc>
        <w:tc>
          <w:tcPr>
            <w:tcW w:w="162" w:type="dxa"/>
            <w:tcMar>
              <w:left w:w="58" w:type="dxa"/>
              <w:right w:w="58" w:type="dxa"/>
            </w:tcMar>
            <w:vAlign w:val="bottom"/>
          </w:tcPr>
          <w:p w14:paraId="5C07CF05" w14:textId="77777777" w:rsidR="00F81394" w:rsidRDefault="00F81394" w:rsidP="00F60018">
            <w:pPr>
              <w:pStyle w:val="-7"/>
              <w:ind w:left="57" w:right="57"/>
              <w:jc w:val="left"/>
              <w:rPr>
                <w:sz w:val="16"/>
                <w:szCs w:val="16"/>
                <w:rtl/>
              </w:rPr>
            </w:pPr>
          </w:p>
        </w:tc>
        <w:tc>
          <w:tcPr>
            <w:tcW w:w="567" w:type="dxa"/>
            <w:vAlign w:val="bottom"/>
          </w:tcPr>
          <w:p w14:paraId="329DD739" w14:textId="77777777" w:rsidR="00F81394" w:rsidRDefault="00F81394" w:rsidP="00F60018">
            <w:pPr>
              <w:pStyle w:val="-3"/>
              <w:pBdr>
                <w:bottom w:val="single" w:sz="4" w:space="1" w:color="auto"/>
              </w:pBdr>
              <w:ind w:left="57" w:right="57"/>
              <w:jc w:val="left"/>
              <w:rPr>
                <w:sz w:val="16"/>
                <w:szCs w:val="16"/>
                <w:rtl/>
              </w:rPr>
            </w:pPr>
            <w:r w:rsidRPr="00B44059">
              <w:rPr>
                <w:sz w:val="16"/>
                <w:szCs w:val="16"/>
                <w:rtl/>
              </w:rPr>
              <w:t xml:space="preserve"> 0</w:t>
            </w:r>
          </w:p>
        </w:tc>
        <w:tc>
          <w:tcPr>
            <w:tcW w:w="709" w:type="dxa"/>
            <w:vAlign w:val="bottom"/>
          </w:tcPr>
          <w:p w14:paraId="6C566877" w14:textId="77777777" w:rsidR="00F81394" w:rsidRDefault="00F81394" w:rsidP="00F60018">
            <w:pPr>
              <w:pStyle w:val="-3"/>
              <w:pBdr>
                <w:bottom w:val="single" w:sz="4" w:space="1" w:color="auto"/>
              </w:pBdr>
              <w:ind w:left="57" w:right="57"/>
              <w:jc w:val="left"/>
              <w:rPr>
                <w:sz w:val="16"/>
                <w:szCs w:val="16"/>
                <w:rtl/>
              </w:rPr>
            </w:pPr>
            <w:r w:rsidRPr="00B44059">
              <w:rPr>
                <w:sz w:val="16"/>
                <w:szCs w:val="16"/>
                <w:rtl/>
              </w:rPr>
              <w:t xml:space="preserve"> 0</w:t>
            </w:r>
          </w:p>
        </w:tc>
        <w:tc>
          <w:tcPr>
            <w:tcW w:w="709" w:type="dxa"/>
            <w:vAlign w:val="bottom"/>
          </w:tcPr>
          <w:p w14:paraId="49F2975D" w14:textId="77777777" w:rsidR="00F81394" w:rsidRDefault="00F81394" w:rsidP="00F60018">
            <w:pPr>
              <w:pStyle w:val="-3"/>
              <w:pBdr>
                <w:bottom w:val="single" w:sz="4" w:space="1" w:color="auto"/>
              </w:pBdr>
              <w:ind w:left="57" w:right="57"/>
              <w:jc w:val="left"/>
              <w:rPr>
                <w:sz w:val="16"/>
                <w:szCs w:val="16"/>
                <w:rtl/>
              </w:rPr>
            </w:pPr>
            <w:r>
              <w:rPr>
                <w:rFonts w:hint="cs"/>
                <w:sz w:val="16"/>
                <w:szCs w:val="16"/>
                <w:rtl/>
              </w:rPr>
              <w:t xml:space="preserve"> </w:t>
            </w:r>
            <w:r w:rsidRPr="00B44059">
              <w:rPr>
                <w:sz w:val="16"/>
                <w:szCs w:val="16"/>
                <w:rtl/>
              </w:rPr>
              <w:t xml:space="preserve"> 0</w:t>
            </w:r>
          </w:p>
        </w:tc>
        <w:tc>
          <w:tcPr>
            <w:tcW w:w="850" w:type="dxa"/>
            <w:vAlign w:val="bottom"/>
          </w:tcPr>
          <w:p w14:paraId="7AA5A79E" w14:textId="77777777" w:rsidR="00F81394" w:rsidRDefault="00F81394" w:rsidP="00F60018">
            <w:pPr>
              <w:pStyle w:val="-3"/>
              <w:pBdr>
                <w:bottom w:val="single" w:sz="4" w:space="1" w:color="auto"/>
              </w:pBdr>
              <w:ind w:left="57" w:right="57"/>
              <w:jc w:val="left"/>
              <w:rPr>
                <w:sz w:val="16"/>
                <w:szCs w:val="16"/>
                <w:rtl/>
              </w:rPr>
            </w:pPr>
            <w:r>
              <w:rPr>
                <w:rFonts w:hint="cs"/>
                <w:sz w:val="16"/>
                <w:szCs w:val="16"/>
                <w:rtl/>
              </w:rPr>
              <w:t xml:space="preserve"> </w:t>
            </w:r>
            <w:r w:rsidRPr="00B44059">
              <w:rPr>
                <w:sz w:val="16"/>
                <w:szCs w:val="16"/>
                <w:rtl/>
              </w:rPr>
              <w:t xml:space="preserve"> 0</w:t>
            </w:r>
          </w:p>
        </w:tc>
        <w:tc>
          <w:tcPr>
            <w:tcW w:w="851" w:type="dxa"/>
            <w:vAlign w:val="bottom"/>
          </w:tcPr>
          <w:p w14:paraId="401C5AA0" w14:textId="77777777" w:rsidR="00F81394" w:rsidRDefault="00F81394" w:rsidP="00F60018">
            <w:pPr>
              <w:pStyle w:val="-3"/>
              <w:pBdr>
                <w:bottom w:val="single" w:sz="4" w:space="1" w:color="auto"/>
              </w:pBdr>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r>
      <w:tr w:rsidR="00F81394" w:rsidRPr="00EE3141" w14:paraId="2574A965" w14:textId="77777777" w:rsidTr="0001523C">
        <w:tc>
          <w:tcPr>
            <w:tcW w:w="1191" w:type="dxa"/>
            <w:vAlign w:val="bottom"/>
          </w:tcPr>
          <w:p w14:paraId="57D8BA93" w14:textId="77777777" w:rsidR="00F81394" w:rsidRPr="00EE3141" w:rsidRDefault="00F81394" w:rsidP="009126D7">
            <w:pPr>
              <w:pStyle w:val="-7"/>
              <w:jc w:val="left"/>
              <w:rPr>
                <w:sz w:val="15"/>
                <w:szCs w:val="15"/>
                <w:rtl/>
              </w:rPr>
            </w:pPr>
          </w:p>
        </w:tc>
        <w:tc>
          <w:tcPr>
            <w:tcW w:w="3113" w:type="dxa"/>
            <w:vAlign w:val="bottom"/>
          </w:tcPr>
          <w:p w14:paraId="307A8FDE" w14:textId="3E3B0D04" w:rsidR="00F81394" w:rsidRPr="00EA192D" w:rsidRDefault="00637152" w:rsidP="004836CE">
            <w:pPr>
              <w:pStyle w:val="-0"/>
              <w:spacing w:line="240" w:lineRule="auto"/>
              <w:ind w:left="318" w:hanging="65"/>
              <w:rPr>
                <w:sz w:val="16"/>
                <w:szCs w:val="16"/>
              </w:rPr>
            </w:pPr>
            <w:r>
              <w:rPr>
                <w:rFonts w:hint="cs"/>
                <w:sz w:val="16"/>
                <w:szCs w:val="16"/>
                <w:rtl/>
              </w:rPr>
              <w:t xml:space="preserve"> </w:t>
            </w:r>
            <w:r w:rsidR="00F81394" w:rsidRPr="00EA192D">
              <w:rPr>
                <w:rFonts w:hint="cs"/>
                <w:sz w:val="16"/>
                <w:szCs w:val="16"/>
                <w:rtl/>
              </w:rPr>
              <w:t xml:space="preserve">סך הכל </w:t>
            </w:r>
            <w:r w:rsidR="00A674A4">
              <w:rPr>
                <w:rFonts w:hint="cs"/>
                <w:sz w:val="16"/>
                <w:szCs w:val="16"/>
                <w:rtl/>
              </w:rPr>
              <w:t>אגרות</w:t>
            </w:r>
            <w:r w:rsidR="00F81394" w:rsidRPr="00EA192D">
              <w:rPr>
                <w:rFonts w:hint="cs"/>
                <w:sz w:val="16"/>
                <w:szCs w:val="16"/>
                <w:rtl/>
              </w:rPr>
              <w:t xml:space="preserve"> חוב למסחר</w:t>
            </w:r>
          </w:p>
        </w:tc>
        <w:tc>
          <w:tcPr>
            <w:tcW w:w="567" w:type="dxa"/>
            <w:vAlign w:val="bottom"/>
          </w:tcPr>
          <w:p w14:paraId="68EDF1CA" w14:textId="77777777" w:rsidR="00F81394" w:rsidRDefault="00F81394" w:rsidP="00F60018">
            <w:pPr>
              <w:pStyle w:val="-3"/>
              <w:ind w:left="57" w:right="57"/>
              <w:jc w:val="left"/>
              <w:rPr>
                <w:sz w:val="16"/>
                <w:szCs w:val="16"/>
                <w:rtl/>
              </w:rPr>
            </w:pPr>
            <w:r w:rsidRPr="00B44059">
              <w:rPr>
                <w:sz w:val="16"/>
                <w:szCs w:val="16"/>
                <w:rtl/>
              </w:rPr>
              <w:t>0</w:t>
            </w:r>
          </w:p>
        </w:tc>
        <w:tc>
          <w:tcPr>
            <w:tcW w:w="850" w:type="dxa"/>
            <w:vAlign w:val="bottom"/>
          </w:tcPr>
          <w:p w14:paraId="0B61D0CA"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p>
        </w:tc>
        <w:tc>
          <w:tcPr>
            <w:tcW w:w="851" w:type="dxa"/>
            <w:vAlign w:val="bottom"/>
          </w:tcPr>
          <w:p w14:paraId="42939945"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709" w:type="dxa"/>
            <w:vAlign w:val="bottom"/>
          </w:tcPr>
          <w:p w14:paraId="336BB546" w14:textId="77777777" w:rsidR="00F81394" w:rsidRDefault="00F81394" w:rsidP="00F60018">
            <w:pPr>
              <w:pStyle w:val="-3"/>
              <w:ind w:left="57" w:right="57"/>
              <w:jc w:val="left"/>
              <w:rPr>
                <w:sz w:val="16"/>
                <w:szCs w:val="16"/>
                <w:rtl/>
              </w:rPr>
            </w:pPr>
            <w:r w:rsidRPr="00B44059">
              <w:rPr>
                <w:sz w:val="16"/>
                <w:szCs w:val="16"/>
                <w:rtl/>
              </w:rPr>
              <w:t xml:space="preserve"> 0</w:t>
            </w:r>
          </w:p>
        </w:tc>
        <w:tc>
          <w:tcPr>
            <w:tcW w:w="636" w:type="dxa"/>
            <w:vAlign w:val="bottom"/>
          </w:tcPr>
          <w:p w14:paraId="461603AA"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214" w:type="dxa"/>
            <w:vAlign w:val="bottom"/>
          </w:tcPr>
          <w:p w14:paraId="5597644D" w14:textId="77777777" w:rsidR="00F81394" w:rsidRDefault="00F81394" w:rsidP="00F60018">
            <w:pPr>
              <w:pStyle w:val="-0"/>
              <w:ind w:left="57" w:right="57" w:firstLine="0"/>
              <w:rPr>
                <w:sz w:val="16"/>
                <w:szCs w:val="16"/>
                <w:rtl/>
              </w:rPr>
            </w:pPr>
          </w:p>
        </w:tc>
        <w:tc>
          <w:tcPr>
            <w:tcW w:w="567" w:type="dxa"/>
            <w:vAlign w:val="bottom"/>
          </w:tcPr>
          <w:p w14:paraId="2BEFCC1E"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29767530" w14:textId="77777777" w:rsidR="00F81394" w:rsidRDefault="00F81394" w:rsidP="00F60018">
            <w:pPr>
              <w:pStyle w:val="-3"/>
              <w:ind w:left="57" w:right="57"/>
              <w:jc w:val="left"/>
              <w:rPr>
                <w:sz w:val="16"/>
                <w:szCs w:val="16"/>
                <w:rtl/>
              </w:rPr>
            </w:pPr>
            <w:r w:rsidRPr="00B44059">
              <w:rPr>
                <w:sz w:val="16"/>
                <w:szCs w:val="16"/>
                <w:rtl/>
              </w:rPr>
              <w:t xml:space="preserve"> 0</w:t>
            </w:r>
          </w:p>
        </w:tc>
        <w:tc>
          <w:tcPr>
            <w:tcW w:w="992" w:type="dxa"/>
            <w:vAlign w:val="bottom"/>
          </w:tcPr>
          <w:p w14:paraId="407A878E"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w:t>
            </w:r>
            <w:r>
              <w:rPr>
                <w:rFonts w:hint="cs"/>
                <w:sz w:val="16"/>
                <w:szCs w:val="16"/>
                <w:rtl/>
              </w:rPr>
              <w:t xml:space="preserve"> </w:t>
            </w:r>
            <w:r w:rsidRPr="00B44059">
              <w:rPr>
                <w:sz w:val="16"/>
                <w:szCs w:val="16"/>
                <w:rtl/>
              </w:rPr>
              <w:t>0</w:t>
            </w:r>
          </w:p>
        </w:tc>
        <w:tc>
          <w:tcPr>
            <w:tcW w:w="710" w:type="dxa"/>
            <w:vAlign w:val="bottom"/>
          </w:tcPr>
          <w:p w14:paraId="37AF399D" w14:textId="77777777" w:rsidR="00F81394" w:rsidRDefault="00F81394" w:rsidP="00F60018">
            <w:pPr>
              <w:pStyle w:val="-3"/>
              <w:ind w:left="57" w:right="57"/>
              <w:jc w:val="left"/>
              <w:rPr>
                <w:sz w:val="16"/>
                <w:szCs w:val="16"/>
                <w:rtl/>
              </w:rPr>
            </w:pPr>
            <w:r w:rsidRPr="00B44059">
              <w:rPr>
                <w:sz w:val="16"/>
                <w:szCs w:val="16"/>
                <w:rtl/>
              </w:rPr>
              <w:t xml:space="preserve"> 0</w:t>
            </w:r>
          </w:p>
        </w:tc>
        <w:tc>
          <w:tcPr>
            <w:tcW w:w="688" w:type="dxa"/>
            <w:vAlign w:val="bottom"/>
          </w:tcPr>
          <w:p w14:paraId="58420C82" w14:textId="77777777" w:rsidR="00F81394" w:rsidRDefault="00F81394" w:rsidP="00F60018">
            <w:pPr>
              <w:pStyle w:val="-3"/>
              <w:ind w:left="57" w:right="57"/>
              <w:jc w:val="left"/>
              <w:rPr>
                <w:sz w:val="16"/>
                <w:szCs w:val="16"/>
                <w:rtl/>
              </w:rPr>
            </w:pPr>
            <w:r w:rsidRPr="00B44059">
              <w:rPr>
                <w:sz w:val="16"/>
                <w:szCs w:val="16"/>
                <w:rtl/>
              </w:rPr>
              <w:t xml:space="preserve"> 0</w:t>
            </w:r>
          </w:p>
        </w:tc>
        <w:tc>
          <w:tcPr>
            <w:tcW w:w="162" w:type="dxa"/>
            <w:tcMar>
              <w:left w:w="58" w:type="dxa"/>
              <w:right w:w="58" w:type="dxa"/>
            </w:tcMar>
            <w:vAlign w:val="bottom"/>
          </w:tcPr>
          <w:p w14:paraId="78E6B436" w14:textId="77777777" w:rsidR="00F81394" w:rsidRDefault="00F81394" w:rsidP="00F60018">
            <w:pPr>
              <w:pStyle w:val="-7"/>
              <w:ind w:left="57" w:right="57"/>
              <w:jc w:val="left"/>
              <w:rPr>
                <w:sz w:val="16"/>
                <w:szCs w:val="16"/>
                <w:rtl/>
              </w:rPr>
            </w:pPr>
          </w:p>
        </w:tc>
        <w:tc>
          <w:tcPr>
            <w:tcW w:w="567" w:type="dxa"/>
            <w:vAlign w:val="bottom"/>
          </w:tcPr>
          <w:p w14:paraId="459C656A"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1BEB7FA2" w14:textId="77777777" w:rsidR="00F81394" w:rsidRDefault="00F81394" w:rsidP="00F60018">
            <w:pPr>
              <w:pStyle w:val="-3"/>
              <w:ind w:left="57" w:right="57"/>
              <w:jc w:val="left"/>
              <w:rPr>
                <w:sz w:val="16"/>
                <w:szCs w:val="16"/>
                <w:rtl/>
              </w:rPr>
            </w:pPr>
            <w:r w:rsidRPr="00B44059">
              <w:rPr>
                <w:sz w:val="16"/>
                <w:szCs w:val="16"/>
                <w:rtl/>
              </w:rPr>
              <w:t xml:space="preserve"> 0</w:t>
            </w:r>
          </w:p>
        </w:tc>
        <w:tc>
          <w:tcPr>
            <w:tcW w:w="709" w:type="dxa"/>
            <w:vAlign w:val="bottom"/>
          </w:tcPr>
          <w:p w14:paraId="348C2173" w14:textId="77777777" w:rsidR="00F81394" w:rsidRDefault="00F81394" w:rsidP="00F60018">
            <w:pPr>
              <w:pStyle w:val="-3"/>
              <w:ind w:left="57" w:right="57"/>
              <w:jc w:val="left"/>
              <w:rPr>
                <w:sz w:val="16"/>
                <w:szCs w:val="16"/>
                <w:rtl/>
              </w:rPr>
            </w:pPr>
            <w:r>
              <w:rPr>
                <w:rFonts w:hint="cs"/>
                <w:sz w:val="16"/>
                <w:szCs w:val="16"/>
                <w:rtl/>
              </w:rPr>
              <w:t xml:space="preserve"> </w:t>
            </w:r>
            <w:r w:rsidRPr="00B44059">
              <w:rPr>
                <w:sz w:val="16"/>
                <w:szCs w:val="16"/>
                <w:rtl/>
              </w:rPr>
              <w:t xml:space="preserve"> 0</w:t>
            </w:r>
            <w:r>
              <w:rPr>
                <w:rFonts w:hint="cs"/>
                <w:sz w:val="16"/>
                <w:szCs w:val="16"/>
                <w:rtl/>
              </w:rPr>
              <w:t xml:space="preserve"> </w:t>
            </w:r>
          </w:p>
        </w:tc>
        <w:tc>
          <w:tcPr>
            <w:tcW w:w="850" w:type="dxa"/>
            <w:vAlign w:val="bottom"/>
          </w:tcPr>
          <w:p w14:paraId="7EEC0A12"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851" w:type="dxa"/>
            <w:vAlign w:val="bottom"/>
          </w:tcPr>
          <w:p w14:paraId="404B57D0" w14:textId="77777777" w:rsidR="00F81394" w:rsidRDefault="00F81394" w:rsidP="00F60018">
            <w:pPr>
              <w:pStyle w:val="-3"/>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r>
      <w:tr w:rsidR="00F81394" w:rsidRPr="00EE3141" w14:paraId="5B753986" w14:textId="77777777" w:rsidTr="0001523C">
        <w:tc>
          <w:tcPr>
            <w:tcW w:w="1191" w:type="dxa"/>
            <w:vAlign w:val="bottom"/>
          </w:tcPr>
          <w:p w14:paraId="07935193" w14:textId="77777777" w:rsidR="00F81394" w:rsidRPr="00EE3141" w:rsidRDefault="00F81394" w:rsidP="009126D7">
            <w:pPr>
              <w:pStyle w:val="-7"/>
              <w:spacing w:line="240" w:lineRule="auto"/>
              <w:jc w:val="left"/>
              <w:rPr>
                <w:sz w:val="15"/>
                <w:szCs w:val="15"/>
                <w:rtl/>
              </w:rPr>
            </w:pPr>
          </w:p>
        </w:tc>
        <w:tc>
          <w:tcPr>
            <w:tcW w:w="3113" w:type="dxa"/>
            <w:vAlign w:val="bottom"/>
          </w:tcPr>
          <w:p w14:paraId="39AD2BA0" w14:textId="3760BC97" w:rsidR="00F81394" w:rsidRPr="009C1959" w:rsidRDefault="00637152" w:rsidP="004836CE">
            <w:pPr>
              <w:pStyle w:val="-0"/>
              <w:spacing w:line="240" w:lineRule="auto"/>
              <w:ind w:left="318" w:hanging="65"/>
              <w:rPr>
                <w:sz w:val="16"/>
                <w:szCs w:val="16"/>
                <w:rtl/>
              </w:rPr>
            </w:pPr>
            <w:r>
              <w:rPr>
                <w:rFonts w:hint="cs"/>
                <w:sz w:val="16"/>
                <w:szCs w:val="16"/>
                <w:rtl/>
              </w:rPr>
              <w:t xml:space="preserve"> </w:t>
            </w:r>
            <w:r w:rsidR="00F81394" w:rsidRPr="009C1959">
              <w:rPr>
                <w:rFonts w:hint="eastAsia"/>
                <w:sz w:val="16"/>
                <w:szCs w:val="16"/>
                <w:rtl/>
              </w:rPr>
              <w:t>מניות</w:t>
            </w:r>
            <w:r w:rsidR="00F81394" w:rsidRPr="009C1959">
              <w:rPr>
                <w:rFonts w:hint="cs"/>
                <w:sz w:val="16"/>
                <w:szCs w:val="16"/>
                <w:rtl/>
              </w:rPr>
              <w:t xml:space="preserve"> למסחר</w:t>
            </w:r>
            <w:r w:rsidR="004836CE">
              <w:rPr>
                <w:rFonts w:hint="cs"/>
                <w:color w:val="auto"/>
                <w:sz w:val="16"/>
                <w:szCs w:val="16"/>
                <w:vertAlign w:val="superscript"/>
                <w:rtl/>
              </w:rPr>
              <w:t>[</w:t>
            </w:r>
            <w:r w:rsidR="00F81394" w:rsidRPr="00AC47F7">
              <w:rPr>
                <w:rStyle w:val="a7"/>
                <w:rtl/>
              </w:rPr>
              <w:footnoteReference w:id="45"/>
            </w:r>
            <w:r w:rsidR="00F81394" w:rsidRPr="00AC47F7">
              <w:rPr>
                <w:rFonts w:hint="cs"/>
                <w:color w:val="auto"/>
                <w:sz w:val="16"/>
                <w:szCs w:val="16"/>
                <w:vertAlign w:val="superscript"/>
                <w:rtl/>
              </w:rPr>
              <w:t>]</w:t>
            </w:r>
          </w:p>
        </w:tc>
        <w:tc>
          <w:tcPr>
            <w:tcW w:w="567" w:type="dxa"/>
            <w:vAlign w:val="bottom"/>
          </w:tcPr>
          <w:p w14:paraId="436F6DF2" w14:textId="77777777" w:rsidR="00F81394" w:rsidRDefault="00F81394" w:rsidP="00F60018">
            <w:pPr>
              <w:pStyle w:val="-3"/>
              <w:pBdr>
                <w:bottom w:val="single" w:sz="4" w:space="1" w:color="auto"/>
              </w:pBdr>
              <w:spacing w:line="240" w:lineRule="auto"/>
              <w:ind w:left="57" w:right="57"/>
              <w:jc w:val="left"/>
              <w:rPr>
                <w:sz w:val="16"/>
                <w:szCs w:val="16"/>
                <w:rtl/>
              </w:rPr>
            </w:pPr>
            <w:r w:rsidRPr="00B44059">
              <w:rPr>
                <w:sz w:val="16"/>
                <w:szCs w:val="16"/>
                <w:rtl/>
              </w:rPr>
              <w:t>0</w:t>
            </w:r>
          </w:p>
        </w:tc>
        <w:tc>
          <w:tcPr>
            <w:tcW w:w="850" w:type="dxa"/>
            <w:vAlign w:val="bottom"/>
          </w:tcPr>
          <w:p w14:paraId="24D9A812" w14:textId="77777777" w:rsidR="00F81394" w:rsidRDefault="00F81394" w:rsidP="00F60018">
            <w:pPr>
              <w:pStyle w:val="-3"/>
              <w:pBdr>
                <w:bottom w:val="single" w:sz="4" w:space="1" w:color="auto"/>
              </w:pBdr>
              <w:spacing w:line="240" w:lineRule="auto"/>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851" w:type="dxa"/>
            <w:vAlign w:val="bottom"/>
          </w:tcPr>
          <w:p w14:paraId="4D117522" w14:textId="77777777" w:rsidR="00F81394" w:rsidRDefault="00F81394" w:rsidP="00F60018">
            <w:pPr>
              <w:pStyle w:val="-3"/>
              <w:pBdr>
                <w:bottom w:val="single" w:sz="4" w:space="1" w:color="auto"/>
              </w:pBdr>
              <w:spacing w:line="240" w:lineRule="auto"/>
              <w:ind w:left="57" w:right="57"/>
              <w:jc w:val="left"/>
              <w:rPr>
                <w:sz w:val="16"/>
                <w:szCs w:val="16"/>
                <w:rtl/>
              </w:rPr>
            </w:pPr>
            <w:r>
              <w:rPr>
                <w:rFonts w:hint="cs"/>
                <w:sz w:val="16"/>
                <w:szCs w:val="16"/>
                <w:rtl/>
              </w:rPr>
              <w:t xml:space="preserve"> </w:t>
            </w:r>
            <w:r w:rsidRPr="00B44059">
              <w:rPr>
                <w:sz w:val="16"/>
                <w:szCs w:val="16"/>
                <w:rtl/>
              </w:rPr>
              <w:t xml:space="preserve"> 0</w:t>
            </w:r>
          </w:p>
        </w:tc>
        <w:tc>
          <w:tcPr>
            <w:tcW w:w="709" w:type="dxa"/>
            <w:vAlign w:val="bottom"/>
          </w:tcPr>
          <w:p w14:paraId="31C774D7" w14:textId="77777777" w:rsidR="00F81394" w:rsidRDefault="00F81394" w:rsidP="00F60018">
            <w:pPr>
              <w:pStyle w:val="-3"/>
              <w:pBdr>
                <w:bottom w:val="single" w:sz="4" w:space="1" w:color="auto"/>
              </w:pBdr>
              <w:spacing w:line="240" w:lineRule="auto"/>
              <w:ind w:left="57" w:right="57"/>
              <w:jc w:val="left"/>
              <w:rPr>
                <w:sz w:val="16"/>
                <w:szCs w:val="16"/>
                <w:rtl/>
              </w:rPr>
            </w:pPr>
            <w:r w:rsidRPr="00B44059">
              <w:rPr>
                <w:sz w:val="16"/>
                <w:szCs w:val="16"/>
                <w:rtl/>
              </w:rPr>
              <w:t xml:space="preserve"> 0</w:t>
            </w:r>
          </w:p>
        </w:tc>
        <w:tc>
          <w:tcPr>
            <w:tcW w:w="636" w:type="dxa"/>
            <w:vAlign w:val="bottom"/>
          </w:tcPr>
          <w:p w14:paraId="4BDA2DA1" w14:textId="77777777" w:rsidR="00F81394" w:rsidRDefault="00F81394" w:rsidP="00F60018">
            <w:pPr>
              <w:pStyle w:val="-3"/>
              <w:pBdr>
                <w:bottom w:val="single" w:sz="4" w:space="1" w:color="auto"/>
              </w:pBdr>
              <w:spacing w:line="240" w:lineRule="auto"/>
              <w:ind w:left="57" w:right="57"/>
              <w:jc w:val="left"/>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p>
        </w:tc>
        <w:tc>
          <w:tcPr>
            <w:tcW w:w="214" w:type="dxa"/>
            <w:vAlign w:val="bottom"/>
          </w:tcPr>
          <w:p w14:paraId="0C1544F2" w14:textId="77777777" w:rsidR="00F81394" w:rsidRDefault="00F81394" w:rsidP="00F60018">
            <w:pPr>
              <w:pStyle w:val="-0"/>
              <w:spacing w:line="240" w:lineRule="auto"/>
              <w:ind w:left="57" w:right="57" w:firstLine="0"/>
              <w:rPr>
                <w:sz w:val="16"/>
                <w:szCs w:val="16"/>
                <w:rtl/>
              </w:rPr>
            </w:pPr>
          </w:p>
        </w:tc>
        <w:tc>
          <w:tcPr>
            <w:tcW w:w="567" w:type="dxa"/>
            <w:vAlign w:val="bottom"/>
          </w:tcPr>
          <w:p w14:paraId="2702A805" w14:textId="77777777" w:rsidR="00F81394" w:rsidRDefault="00F81394" w:rsidP="00F60018">
            <w:pPr>
              <w:pStyle w:val="-3"/>
              <w:pBdr>
                <w:bottom w:val="single" w:sz="4" w:space="1" w:color="auto"/>
              </w:pBdr>
              <w:spacing w:line="240" w:lineRule="auto"/>
              <w:ind w:left="57" w:right="57"/>
              <w:jc w:val="left"/>
              <w:rPr>
                <w:sz w:val="16"/>
                <w:szCs w:val="16"/>
                <w:rtl/>
              </w:rPr>
            </w:pPr>
            <w:r w:rsidRPr="00B44059">
              <w:rPr>
                <w:sz w:val="16"/>
                <w:szCs w:val="16"/>
                <w:rtl/>
              </w:rPr>
              <w:t xml:space="preserve"> 0</w:t>
            </w:r>
          </w:p>
        </w:tc>
        <w:tc>
          <w:tcPr>
            <w:tcW w:w="709" w:type="dxa"/>
            <w:vAlign w:val="bottom"/>
          </w:tcPr>
          <w:p w14:paraId="2BF492D2" w14:textId="77777777" w:rsidR="00F81394" w:rsidRDefault="00F81394" w:rsidP="00F60018">
            <w:pPr>
              <w:pStyle w:val="-3"/>
              <w:pBdr>
                <w:bottom w:val="single" w:sz="4" w:space="1" w:color="auto"/>
              </w:pBdr>
              <w:spacing w:line="240" w:lineRule="auto"/>
              <w:ind w:left="57" w:right="57"/>
              <w:jc w:val="left"/>
              <w:rPr>
                <w:sz w:val="16"/>
                <w:szCs w:val="16"/>
                <w:rtl/>
              </w:rPr>
            </w:pPr>
            <w:r w:rsidRPr="00B44059">
              <w:rPr>
                <w:sz w:val="16"/>
                <w:szCs w:val="16"/>
                <w:rtl/>
              </w:rPr>
              <w:t xml:space="preserve"> 0</w:t>
            </w:r>
          </w:p>
        </w:tc>
        <w:tc>
          <w:tcPr>
            <w:tcW w:w="992" w:type="dxa"/>
            <w:vAlign w:val="bottom"/>
          </w:tcPr>
          <w:p w14:paraId="60B1554F" w14:textId="77777777" w:rsidR="00F81394" w:rsidRDefault="00F81394" w:rsidP="00F60018">
            <w:pPr>
              <w:pStyle w:val="-3"/>
              <w:pBdr>
                <w:bottom w:val="single" w:sz="4" w:space="1" w:color="auto"/>
              </w:pBdr>
              <w:spacing w:line="240" w:lineRule="auto"/>
              <w:ind w:left="57" w:right="57"/>
              <w:jc w:val="left"/>
              <w:rPr>
                <w:sz w:val="16"/>
                <w:szCs w:val="16"/>
                <w:rtl/>
              </w:rPr>
            </w:pPr>
            <w:r>
              <w:rPr>
                <w:rFonts w:hint="cs"/>
                <w:sz w:val="16"/>
                <w:szCs w:val="16"/>
                <w:rtl/>
              </w:rPr>
              <w:t xml:space="preserve"> </w:t>
            </w:r>
            <w:r w:rsidRPr="00B44059">
              <w:rPr>
                <w:sz w:val="16"/>
                <w:szCs w:val="16"/>
                <w:rtl/>
              </w:rPr>
              <w:t xml:space="preserve"> </w:t>
            </w:r>
            <w:r>
              <w:rPr>
                <w:rFonts w:hint="cs"/>
                <w:sz w:val="16"/>
                <w:szCs w:val="16"/>
                <w:rtl/>
              </w:rPr>
              <w:t xml:space="preserve"> </w:t>
            </w:r>
            <w:r w:rsidRPr="00B44059">
              <w:rPr>
                <w:sz w:val="16"/>
                <w:szCs w:val="16"/>
                <w:rtl/>
              </w:rPr>
              <w:t>0</w:t>
            </w:r>
            <w:r>
              <w:rPr>
                <w:rFonts w:hint="cs"/>
                <w:sz w:val="16"/>
                <w:szCs w:val="16"/>
                <w:rtl/>
              </w:rPr>
              <w:t xml:space="preserve">   </w:t>
            </w:r>
          </w:p>
        </w:tc>
        <w:tc>
          <w:tcPr>
            <w:tcW w:w="710" w:type="dxa"/>
            <w:vAlign w:val="bottom"/>
          </w:tcPr>
          <w:p w14:paraId="0E229B6F" w14:textId="77777777" w:rsidR="00F81394" w:rsidRDefault="00F81394" w:rsidP="00F60018">
            <w:pPr>
              <w:pStyle w:val="-3"/>
              <w:pBdr>
                <w:bottom w:val="single" w:sz="4" w:space="1" w:color="auto"/>
              </w:pBdr>
              <w:spacing w:line="240" w:lineRule="auto"/>
              <w:ind w:left="57" w:right="57"/>
              <w:jc w:val="left"/>
              <w:rPr>
                <w:sz w:val="16"/>
                <w:szCs w:val="16"/>
                <w:rtl/>
              </w:rPr>
            </w:pPr>
            <w:r w:rsidRPr="00B44059">
              <w:rPr>
                <w:sz w:val="16"/>
                <w:szCs w:val="16"/>
                <w:rtl/>
              </w:rPr>
              <w:t xml:space="preserve"> 0</w:t>
            </w:r>
          </w:p>
        </w:tc>
        <w:tc>
          <w:tcPr>
            <w:tcW w:w="688" w:type="dxa"/>
            <w:vAlign w:val="bottom"/>
          </w:tcPr>
          <w:p w14:paraId="60B19BBB" w14:textId="77777777" w:rsidR="00F81394" w:rsidRDefault="00F81394" w:rsidP="00F60018">
            <w:pPr>
              <w:pStyle w:val="-3"/>
              <w:pBdr>
                <w:bottom w:val="single" w:sz="4" w:space="1" w:color="auto"/>
              </w:pBdr>
              <w:spacing w:line="240" w:lineRule="auto"/>
              <w:ind w:left="57" w:right="57"/>
              <w:jc w:val="left"/>
              <w:rPr>
                <w:sz w:val="16"/>
                <w:szCs w:val="16"/>
                <w:rtl/>
              </w:rPr>
            </w:pPr>
            <w:r w:rsidRPr="00B44059">
              <w:rPr>
                <w:sz w:val="16"/>
                <w:szCs w:val="16"/>
                <w:rtl/>
              </w:rPr>
              <w:t xml:space="preserve"> 0</w:t>
            </w:r>
          </w:p>
        </w:tc>
        <w:tc>
          <w:tcPr>
            <w:tcW w:w="162" w:type="dxa"/>
            <w:tcMar>
              <w:left w:w="58" w:type="dxa"/>
              <w:right w:w="58" w:type="dxa"/>
            </w:tcMar>
            <w:vAlign w:val="bottom"/>
          </w:tcPr>
          <w:p w14:paraId="18B04DCC" w14:textId="77777777" w:rsidR="00F81394" w:rsidRDefault="00F81394" w:rsidP="00F60018">
            <w:pPr>
              <w:pStyle w:val="-7"/>
              <w:spacing w:line="240" w:lineRule="auto"/>
              <w:ind w:left="57" w:right="57"/>
              <w:jc w:val="left"/>
              <w:rPr>
                <w:sz w:val="16"/>
                <w:szCs w:val="16"/>
                <w:rtl/>
              </w:rPr>
            </w:pPr>
          </w:p>
        </w:tc>
        <w:tc>
          <w:tcPr>
            <w:tcW w:w="567" w:type="dxa"/>
            <w:vAlign w:val="bottom"/>
          </w:tcPr>
          <w:p w14:paraId="3EA53E10" w14:textId="77777777" w:rsidR="00F81394" w:rsidRDefault="00F81394" w:rsidP="00F60018">
            <w:pPr>
              <w:pStyle w:val="-3"/>
              <w:pBdr>
                <w:bottom w:val="single" w:sz="4" w:space="1" w:color="auto"/>
              </w:pBdr>
              <w:spacing w:line="240" w:lineRule="auto"/>
              <w:ind w:left="57" w:right="57"/>
              <w:jc w:val="left"/>
              <w:rPr>
                <w:sz w:val="16"/>
                <w:szCs w:val="16"/>
                <w:rtl/>
              </w:rPr>
            </w:pPr>
            <w:r w:rsidRPr="00B44059">
              <w:rPr>
                <w:sz w:val="16"/>
                <w:szCs w:val="16"/>
                <w:rtl/>
              </w:rPr>
              <w:t xml:space="preserve"> 0</w:t>
            </w:r>
          </w:p>
        </w:tc>
        <w:tc>
          <w:tcPr>
            <w:tcW w:w="709" w:type="dxa"/>
            <w:vAlign w:val="bottom"/>
          </w:tcPr>
          <w:p w14:paraId="644AB311" w14:textId="77777777" w:rsidR="00F81394" w:rsidRDefault="00F81394" w:rsidP="00F60018">
            <w:pPr>
              <w:pStyle w:val="-3"/>
              <w:pBdr>
                <w:bottom w:val="single" w:sz="4" w:space="1" w:color="auto"/>
              </w:pBdr>
              <w:spacing w:line="240" w:lineRule="auto"/>
              <w:ind w:left="57" w:right="57"/>
              <w:jc w:val="left"/>
              <w:rPr>
                <w:sz w:val="16"/>
                <w:szCs w:val="16"/>
                <w:rtl/>
              </w:rPr>
            </w:pPr>
            <w:r w:rsidRPr="00B44059">
              <w:rPr>
                <w:sz w:val="16"/>
                <w:szCs w:val="16"/>
                <w:rtl/>
              </w:rPr>
              <w:t xml:space="preserve"> 0</w:t>
            </w:r>
          </w:p>
        </w:tc>
        <w:tc>
          <w:tcPr>
            <w:tcW w:w="709" w:type="dxa"/>
            <w:vAlign w:val="bottom"/>
          </w:tcPr>
          <w:p w14:paraId="20C4896A" w14:textId="77777777" w:rsidR="00F81394" w:rsidRDefault="00F81394" w:rsidP="00F60018">
            <w:pPr>
              <w:pStyle w:val="-3"/>
              <w:pBdr>
                <w:bottom w:val="single" w:sz="4" w:space="1" w:color="auto"/>
              </w:pBdr>
              <w:spacing w:line="240" w:lineRule="auto"/>
              <w:ind w:left="57" w:right="57"/>
              <w:jc w:val="left"/>
              <w:rPr>
                <w:sz w:val="16"/>
                <w:szCs w:val="16"/>
                <w:rtl/>
              </w:rPr>
            </w:pPr>
            <w:r>
              <w:rPr>
                <w:rFonts w:hint="cs"/>
                <w:sz w:val="16"/>
                <w:szCs w:val="16"/>
                <w:rtl/>
              </w:rPr>
              <w:t xml:space="preserve"> </w:t>
            </w:r>
            <w:r w:rsidRPr="00B44059">
              <w:rPr>
                <w:sz w:val="16"/>
                <w:szCs w:val="16"/>
                <w:rtl/>
              </w:rPr>
              <w:t xml:space="preserve"> 0</w:t>
            </w:r>
          </w:p>
        </w:tc>
        <w:tc>
          <w:tcPr>
            <w:tcW w:w="850" w:type="dxa"/>
            <w:vAlign w:val="bottom"/>
          </w:tcPr>
          <w:p w14:paraId="2ED8731D" w14:textId="77777777" w:rsidR="00F81394" w:rsidRDefault="00F81394" w:rsidP="00F60018">
            <w:pPr>
              <w:pStyle w:val="-3"/>
              <w:pBdr>
                <w:bottom w:val="single" w:sz="4" w:space="1" w:color="auto"/>
              </w:pBdr>
              <w:spacing w:line="240" w:lineRule="auto"/>
              <w:ind w:left="57" w:right="57"/>
              <w:jc w:val="left"/>
              <w:rPr>
                <w:sz w:val="16"/>
                <w:szCs w:val="16"/>
                <w:rtl/>
              </w:rPr>
            </w:pPr>
            <w:r>
              <w:rPr>
                <w:rFonts w:hint="cs"/>
                <w:sz w:val="16"/>
                <w:szCs w:val="16"/>
                <w:rtl/>
              </w:rPr>
              <w:t xml:space="preserve"> </w:t>
            </w:r>
            <w:r w:rsidRPr="00B44059">
              <w:rPr>
                <w:sz w:val="16"/>
                <w:szCs w:val="16"/>
                <w:rtl/>
              </w:rPr>
              <w:t xml:space="preserve"> 0</w:t>
            </w:r>
          </w:p>
        </w:tc>
        <w:tc>
          <w:tcPr>
            <w:tcW w:w="851" w:type="dxa"/>
            <w:vAlign w:val="bottom"/>
          </w:tcPr>
          <w:p w14:paraId="40C4DD93" w14:textId="77777777" w:rsidR="00F81394" w:rsidRDefault="00F81394" w:rsidP="00F60018">
            <w:pPr>
              <w:pStyle w:val="-3"/>
              <w:pBdr>
                <w:bottom w:val="single" w:sz="4" w:space="1" w:color="auto"/>
              </w:pBdr>
              <w:spacing w:line="240" w:lineRule="auto"/>
              <w:ind w:left="57" w:right="57"/>
              <w:jc w:val="left"/>
              <w:rPr>
                <w:sz w:val="16"/>
                <w:szCs w:val="16"/>
                <w:rtl/>
              </w:rPr>
            </w:pPr>
            <w:r w:rsidRPr="00B44059">
              <w:rPr>
                <w:sz w:val="16"/>
                <w:szCs w:val="16"/>
                <w:rtl/>
              </w:rPr>
              <w:t xml:space="preserve"> 0</w:t>
            </w:r>
            <w:r>
              <w:rPr>
                <w:rFonts w:hint="cs"/>
                <w:sz w:val="16"/>
                <w:szCs w:val="16"/>
                <w:rtl/>
              </w:rPr>
              <w:t xml:space="preserve"> </w:t>
            </w:r>
          </w:p>
        </w:tc>
      </w:tr>
      <w:tr w:rsidR="00F81394" w:rsidRPr="00EE3141" w14:paraId="367E49DF" w14:textId="77777777" w:rsidTr="0001523C">
        <w:tc>
          <w:tcPr>
            <w:tcW w:w="1191" w:type="dxa"/>
            <w:tcBorders>
              <w:bottom w:val="nil"/>
            </w:tcBorders>
            <w:vAlign w:val="bottom"/>
          </w:tcPr>
          <w:p w14:paraId="3B2CC3D0" w14:textId="77777777" w:rsidR="00F81394" w:rsidRPr="00EE3141" w:rsidRDefault="00F81394" w:rsidP="004D61B6">
            <w:pPr>
              <w:pStyle w:val="-7"/>
              <w:spacing w:line="160" w:lineRule="exact"/>
              <w:jc w:val="left"/>
              <w:rPr>
                <w:sz w:val="15"/>
                <w:szCs w:val="15"/>
                <w:rtl/>
              </w:rPr>
            </w:pPr>
          </w:p>
        </w:tc>
        <w:tc>
          <w:tcPr>
            <w:tcW w:w="3113" w:type="dxa"/>
            <w:tcBorders>
              <w:bottom w:val="nil"/>
            </w:tcBorders>
            <w:vAlign w:val="bottom"/>
          </w:tcPr>
          <w:p w14:paraId="3F60DF40" w14:textId="20F81290" w:rsidR="00F81394" w:rsidRDefault="00F81394" w:rsidP="006469B1">
            <w:pPr>
              <w:pStyle w:val="-0"/>
              <w:spacing w:line="160" w:lineRule="exact"/>
              <w:ind w:firstLine="108"/>
              <w:rPr>
                <w:sz w:val="18"/>
                <w:szCs w:val="18"/>
                <w:rtl/>
              </w:rPr>
            </w:pPr>
            <w:r w:rsidRPr="00B44059">
              <w:rPr>
                <w:rFonts w:hint="eastAsia"/>
                <w:b/>
                <w:bCs/>
                <w:sz w:val="18"/>
                <w:szCs w:val="18"/>
                <w:rtl/>
              </w:rPr>
              <w:t>סך</w:t>
            </w:r>
            <w:r w:rsidRPr="00B44059">
              <w:rPr>
                <w:b/>
                <w:bCs/>
                <w:sz w:val="18"/>
                <w:szCs w:val="18"/>
                <w:rtl/>
              </w:rPr>
              <w:t xml:space="preserve"> </w:t>
            </w:r>
            <w:r w:rsidRPr="00B44059">
              <w:rPr>
                <w:rFonts w:hint="eastAsia"/>
                <w:b/>
                <w:bCs/>
                <w:sz w:val="18"/>
                <w:szCs w:val="18"/>
                <w:rtl/>
              </w:rPr>
              <w:t>כל</w:t>
            </w:r>
            <w:r w:rsidRPr="00B44059">
              <w:rPr>
                <w:b/>
                <w:bCs/>
                <w:sz w:val="18"/>
                <w:szCs w:val="18"/>
                <w:rtl/>
              </w:rPr>
              <w:t xml:space="preserve"> </w:t>
            </w:r>
            <w:r w:rsidRPr="00B44059">
              <w:rPr>
                <w:rFonts w:hint="eastAsia"/>
                <w:b/>
                <w:bCs/>
                <w:sz w:val="18"/>
                <w:szCs w:val="18"/>
                <w:rtl/>
              </w:rPr>
              <w:t>ניירות</w:t>
            </w:r>
            <w:r w:rsidRPr="00B44059">
              <w:rPr>
                <w:b/>
                <w:bCs/>
                <w:sz w:val="18"/>
                <w:szCs w:val="18"/>
                <w:rtl/>
              </w:rPr>
              <w:t xml:space="preserve"> </w:t>
            </w:r>
            <w:r w:rsidRPr="00B44059">
              <w:rPr>
                <w:rFonts w:hint="eastAsia"/>
                <w:b/>
                <w:bCs/>
                <w:sz w:val="18"/>
                <w:szCs w:val="18"/>
                <w:rtl/>
              </w:rPr>
              <w:t>הערך</w:t>
            </w:r>
            <w:r w:rsidRPr="00B44059">
              <w:rPr>
                <w:b/>
                <w:bCs/>
                <w:sz w:val="18"/>
                <w:szCs w:val="18"/>
                <w:rtl/>
              </w:rPr>
              <w:t xml:space="preserve"> </w:t>
            </w:r>
            <w:r w:rsidRPr="00B44059">
              <w:rPr>
                <w:rFonts w:hint="eastAsia"/>
                <w:b/>
                <w:bCs/>
                <w:sz w:val="18"/>
                <w:szCs w:val="18"/>
                <w:rtl/>
              </w:rPr>
              <w:t>למסחר</w:t>
            </w:r>
          </w:p>
        </w:tc>
        <w:tc>
          <w:tcPr>
            <w:tcW w:w="567" w:type="dxa"/>
            <w:tcBorders>
              <w:bottom w:val="nil"/>
            </w:tcBorders>
            <w:vAlign w:val="bottom"/>
          </w:tcPr>
          <w:p w14:paraId="0261682E" w14:textId="77777777" w:rsidR="00F81394" w:rsidRDefault="00F81394" w:rsidP="00F60018">
            <w:pPr>
              <w:pStyle w:val="-f1"/>
              <w:pBdr>
                <w:top w:val="none" w:sz="0" w:space="0" w:color="auto"/>
                <w:bottom w:val="single" w:sz="4" w:space="1" w:color="auto"/>
              </w:pBdr>
              <w:spacing w:line="160" w:lineRule="exact"/>
              <w:ind w:left="57" w:right="57" w:firstLine="0"/>
              <w:rPr>
                <w:sz w:val="16"/>
                <w:szCs w:val="16"/>
                <w:rtl/>
              </w:rPr>
            </w:pPr>
            <w:r w:rsidRPr="00B44059">
              <w:rPr>
                <w:sz w:val="16"/>
                <w:szCs w:val="16"/>
                <w:rtl/>
              </w:rPr>
              <w:t>0</w:t>
            </w:r>
            <w:r>
              <w:rPr>
                <w:rFonts w:hint="cs"/>
                <w:sz w:val="16"/>
                <w:szCs w:val="16"/>
                <w:rtl/>
              </w:rPr>
              <w:t xml:space="preserve">  </w:t>
            </w:r>
          </w:p>
        </w:tc>
        <w:tc>
          <w:tcPr>
            <w:tcW w:w="850" w:type="dxa"/>
            <w:tcBorders>
              <w:bottom w:val="nil"/>
            </w:tcBorders>
            <w:vAlign w:val="bottom"/>
          </w:tcPr>
          <w:p w14:paraId="6DE65C96" w14:textId="77777777" w:rsidR="00F81394" w:rsidRDefault="00F81394" w:rsidP="00F60018">
            <w:pPr>
              <w:pStyle w:val="-f1"/>
              <w:pBdr>
                <w:top w:val="none" w:sz="0" w:space="0" w:color="auto"/>
                <w:bottom w:val="single" w:sz="4" w:space="1" w:color="auto"/>
              </w:pBdr>
              <w:spacing w:line="160" w:lineRule="exact"/>
              <w:ind w:left="57" w:right="57" w:firstLine="0"/>
              <w:rPr>
                <w:sz w:val="16"/>
                <w:szCs w:val="16"/>
                <w:rtl/>
              </w:rPr>
            </w:pPr>
            <w:r>
              <w:rPr>
                <w:rFonts w:hint="cs"/>
                <w:sz w:val="16"/>
                <w:szCs w:val="16"/>
                <w:rtl/>
              </w:rPr>
              <w:t xml:space="preserve"> </w:t>
            </w:r>
            <w:r w:rsidRPr="00B44059">
              <w:rPr>
                <w:sz w:val="16"/>
                <w:szCs w:val="16"/>
                <w:rtl/>
              </w:rPr>
              <w:t xml:space="preserve"> 0</w:t>
            </w:r>
          </w:p>
        </w:tc>
        <w:tc>
          <w:tcPr>
            <w:tcW w:w="851" w:type="dxa"/>
            <w:tcBorders>
              <w:bottom w:val="nil"/>
            </w:tcBorders>
            <w:vAlign w:val="bottom"/>
          </w:tcPr>
          <w:p w14:paraId="397AE952" w14:textId="77777777" w:rsidR="00F81394" w:rsidRDefault="00F81394" w:rsidP="00F60018">
            <w:pPr>
              <w:pStyle w:val="-f1"/>
              <w:pBdr>
                <w:top w:val="none" w:sz="0" w:space="0" w:color="auto"/>
                <w:bottom w:val="single" w:sz="4" w:space="1" w:color="auto"/>
              </w:pBdr>
              <w:spacing w:line="160" w:lineRule="exact"/>
              <w:ind w:left="57" w:right="57" w:firstLine="0"/>
              <w:rPr>
                <w:sz w:val="16"/>
                <w:szCs w:val="16"/>
                <w:rtl/>
              </w:rPr>
            </w:pPr>
            <w:r>
              <w:rPr>
                <w:rFonts w:hint="cs"/>
                <w:sz w:val="16"/>
                <w:szCs w:val="16"/>
                <w:rtl/>
              </w:rPr>
              <w:t xml:space="preserve"> </w:t>
            </w:r>
            <w:r w:rsidRPr="00B44059">
              <w:rPr>
                <w:sz w:val="16"/>
                <w:szCs w:val="16"/>
                <w:rtl/>
              </w:rPr>
              <w:t xml:space="preserve"> 0</w:t>
            </w:r>
            <w:r w:rsidRPr="00B44059">
              <w:rPr>
                <w:sz w:val="16"/>
                <w:szCs w:val="16"/>
                <w:vertAlign w:val="superscript"/>
                <w:rtl/>
              </w:rPr>
              <w:t xml:space="preserve">(ד) </w:t>
            </w:r>
          </w:p>
        </w:tc>
        <w:tc>
          <w:tcPr>
            <w:tcW w:w="709" w:type="dxa"/>
            <w:tcBorders>
              <w:bottom w:val="nil"/>
            </w:tcBorders>
            <w:vAlign w:val="bottom"/>
          </w:tcPr>
          <w:p w14:paraId="3B55BEE3" w14:textId="77777777" w:rsidR="00F81394" w:rsidRDefault="00F81394" w:rsidP="00F60018">
            <w:pPr>
              <w:pStyle w:val="-f1"/>
              <w:pBdr>
                <w:top w:val="none" w:sz="0" w:space="0" w:color="auto"/>
                <w:bottom w:val="single" w:sz="4" w:space="1" w:color="auto"/>
              </w:pBdr>
              <w:spacing w:line="160" w:lineRule="exact"/>
              <w:ind w:left="57" w:right="57" w:firstLine="0"/>
              <w:rPr>
                <w:sz w:val="16"/>
                <w:szCs w:val="16"/>
                <w:rtl/>
              </w:rPr>
            </w:pPr>
            <w:r w:rsidRPr="00B44059">
              <w:rPr>
                <w:sz w:val="16"/>
                <w:szCs w:val="16"/>
                <w:rtl/>
              </w:rPr>
              <w:t xml:space="preserve"> 0</w:t>
            </w:r>
            <w:r w:rsidRPr="00B44059">
              <w:rPr>
                <w:sz w:val="16"/>
                <w:szCs w:val="16"/>
                <w:vertAlign w:val="superscript"/>
                <w:rtl/>
              </w:rPr>
              <w:t xml:space="preserve">(ד) </w:t>
            </w:r>
          </w:p>
        </w:tc>
        <w:tc>
          <w:tcPr>
            <w:tcW w:w="636" w:type="dxa"/>
            <w:tcBorders>
              <w:bottom w:val="nil"/>
            </w:tcBorders>
            <w:vAlign w:val="bottom"/>
          </w:tcPr>
          <w:p w14:paraId="6388EAF8" w14:textId="77777777" w:rsidR="00F81394" w:rsidRDefault="00F81394" w:rsidP="00F60018">
            <w:pPr>
              <w:pStyle w:val="-f1"/>
              <w:pBdr>
                <w:top w:val="none" w:sz="0" w:space="0" w:color="auto"/>
                <w:bottom w:val="single" w:sz="4" w:space="1" w:color="auto"/>
              </w:pBdr>
              <w:spacing w:line="160" w:lineRule="exact"/>
              <w:ind w:left="57" w:right="57" w:firstLine="0"/>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r w:rsidRPr="00B44059">
              <w:rPr>
                <w:sz w:val="16"/>
                <w:szCs w:val="16"/>
                <w:vertAlign w:val="superscript"/>
                <w:rtl/>
              </w:rPr>
              <w:t>(ה)</w:t>
            </w:r>
            <w:r w:rsidRPr="00B44059">
              <w:rPr>
                <w:sz w:val="16"/>
                <w:szCs w:val="16"/>
                <w:rtl/>
              </w:rPr>
              <w:t xml:space="preserve"> </w:t>
            </w:r>
          </w:p>
        </w:tc>
        <w:tc>
          <w:tcPr>
            <w:tcW w:w="214" w:type="dxa"/>
            <w:tcBorders>
              <w:bottom w:val="nil"/>
            </w:tcBorders>
            <w:vAlign w:val="bottom"/>
          </w:tcPr>
          <w:p w14:paraId="16AB2A80" w14:textId="77777777" w:rsidR="00F81394" w:rsidRDefault="00F81394" w:rsidP="00F60018">
            <w:pPr>
              <w:pStyle w:val="-0"/>
              <w:spacing w:line="160" w:lineRule="exact"/>
              <w:ind w:left="57" w:right="57" w:firstLine="0"/>
              <w:rPr>
                <w:b/>
                <w:bCs/>
                <w:sz w:val="16"/>
                <w:szCs w:val="16"/>
                <w:rtl/>
              </w:rPr>
            </w:pPr>
          </w:p>
        </w:tc>
        <w:tc>
          <w:tcPr>
            <w:tcW w:w="567" w:type="dxa"/>
            <w:tcBorders>
              <w:bottom w:val="nil"/>
            </w:tcBorders>
            <w:vAlign w:val="bottom"/>
          </w:tcPr>
          <w:p w14:paraId="3F8A3463" w14:textId="77777777" w:rsidR="00F81394" w:rsidRDefault="00F81394" w:rsidP="00F60018">
            <w:pPr>
              <w:pStyle w:val="-f1"/>
              <w:pBdr>
                <w:top w:val="none" w:sz="0" w:space="0" w:color="auto"/>
                <w:bottom w:val="single" w:sz="4" w:space="1" w:color="auto"/>
              </w:pBdr>
              <w:spacing w:line="160" w:lineRule="exact"/>
              <w:ind w:left="57" w:right="57" w:firstLine="0"/>
              <w:rPr>
                <w:sz w:val="16"/>
                <w:szCs w:val="16"/>
                <w:rtl/>
              </w:rPr>
            </w:pPr>
            <w:r w:rsidRPr="00B44059">
              <w:rPr>
                <w:sz w:val="16"/>
                <w:szCs w:val="16"/>
                <w:rtl/>
              </w:rPr>
              <w:t xml:space="preserve"> 0</w:t>
            </w:r>
          </w:p>
        </w:tc>
        <w:tc>
          <w:tcPr>
            <w:tcW w:w="709" w:type="dxa"/>
            <w:tcBorders>
              <w:bottom w:val="nil"/>
            </w:tcBorders>
            <w:vAlign w:val="bottom"/>
          </w:tcPr>
          <w:p w14:paraId="3408832C" w14:textId="77777777" w:rsidR="00F81394" w:rsidRDefault="00F81394" w:rsidP="00F60018">
            <w:pPr>
              <w:pStyle w:val="-f1"/>
              <w:pBdr>
                <w:top w:val="none" w:sz="0" w:space="0" w:color="auto"/>
                <w:bottom w:val="single" w:sz="4" w:space="1" w:color="auto"/>
              </w:pBdr>
              <w:spacing w:line="160" w:lineRule="exact"/>
              <w:ind w:left="57" w:right="57" w:firstLine="0"/>
              <w:rPr>
                <w:sz w:val="16"/>
                <w:szCs w:val="16"/>
                <w:rtl/>
              </w:rPr>
            </w:pPr>
            <w:r w:rsidRPr="00B44059">
              <w:rPr>
                <w:sz w:val="16"/>
                <w:szCs w:val="16"/>
                <w:rtl/>
              </w:rPr>
              <w:t xml:space="preserve"> 0</w:t>
            </w:r>
          </w:p>
        </w:tc>
        <w:tc>
          <w:tcPr>
            <w:tcW w:w="992" w:type="dxa"/>
            <w:tcBorders>
              <w:bottom w:val="nil"/>
            </w:tcBorders>
            <w:vAlign w:val="bottom"/>
          </w:tcPr>
          <w:p w14:paraId="459CF438" w14:textId="77777777" w:rsidR="00F81394" w:rsidRDefault="00F81394" w:rsidP="00F60018">
            <w:pPr>
              <w:pStyle w:val="-f1"/>
              <w:pBdr>
                <w:top w:val="none" w:sz="0" w:space="0" w:color="auto"/>
                <w:bottom w:val="single" w:sz="4" w:space="1" w:color="auto"/>
              </w:pBdr>
              <w:spacing w:line="160" w:lineRule="exact"/>
              <w:ind w:left="57" w:right="57" w:firstLine="0"/>
              <w:rPr>
                <w:sz w:val="16"/>
                <w:szCs w:val="16"/>
                <w:rtl/>
              </w:rPr>
            </w:pPr>
            <w:r>
              <w:rPr>
                <w:rFonts w:hint="cs"/>
                <w:sz w:val="16"/>
                <w:szCs w:val="16"/>
                <w:rtl/>
              </w:rPr>
              <w:t xml:space="preserve">  </w:t>
            </w:r>
            <w:r w:rsidRPr="00B44059">
              <w:rPr>
                <w:sz w:val="16"/>
                <w:szCs w:val="16"/>
                <w:rtl/>
              </w:rPr>
              <w:t xml:space="preserve"> 0</w:t>
            </w:r>
            <w:r w:rsidRPr="00B44059">
              <w:rPr>
                <w:sz w:val="16"/>
                <w:szCs w:val="16"/>
                <w:vertAlign w:val="superscript"/>
                <w:rtl/>
              </w:rPr>
              <w:t xml:space="preserve">(ד) </w:t>
            </w:r>
          </w:p>
        </w:tc>
        <w:tc>
          <w:tcPr>
            <w:tcW w:w="710" w:type="dxa"/>
            <w:tcBorders>
              <w:bottom w:val="nil"/>
            </w:tcBorders>
            <w:vAlign w:val="bottom"/>
          </w:tcPr>
          <w:p w14:paraId="3151DBE4" w14:textId="77777777" w:rsidR="00F81394" w:rsidRDefault="00F81394" w:rsidP="00F60018">
            <w:pPr>
              <w:pStyle w:val="-f1"/>
              <w:pBdr>
                <w:top w:val="none" w:sz="0" w:space="0" w:color="auto"/>
                <w:bottom w:val="single" w:sz="4" w:space="1" w:color="auto"/>
              </w:pBdr>
              <w:spacing w:line="160" w:lineRule="exact"/>
              <w:ind w:left="57" w:right="57" w:firstLine="0"/>
              <w:rPr>
                <w:sz w:val="16"/>
                <w:szCs w:val="16"/>
                <w:rtl/>
              </w:rPr>
            </w:pPr>
            <w:r w:rsidRPr="00B44059">
              <w:rPr>
                <w:sz w:val="16"/>
                <w:szCs w:val="16"/>
                <w:rtl/>
              </w:rPr>
              <w:t xml:space="preserve"> 0</w:t>
            </w:r>
            <w:r w:rsidRPr="00B44059">
              <w:rPr>
                <w:sz w:val="16"/>
                <w:szCs w:val="16"/>
                <w:vertAlign w:val="superscript"/>
                <w:rtl/>
              </w:rPr>
              <w:t xml:space="preserve">(ד) </w:t>
            </w:r>
          </w:p>
        </w:tc>
        <w:tc>
          <w:tcPr>
            <w:tcW w:w="688" w:type="dxa"/>
            <w:tcBorders>
              <w:bottom w:val="nil"/>
            </w:tcBorders>
            <w:vAlign w:val="bottom"/>
          </w:tcPr>
          <w:p w14:paraId="2C6D819C" w14:textId="77777777" w:rsidR="00F81394" w:rsidRDefault="00F81394" w:rsidP="00F60018">
            <w:pPr>
              <w:pStyle w:val="-f1"/>
              <w:pBdr>
                <w:top w:val="none" w:sz="0" w:space="0" w:color="auto"/>
                <w:bottom w:val="single" w:sz="4" w:space="1" w:color="auto"/>
              </w:pBdr>
              <w:spacing w:line="160" w:lineRule="exact"/>
              <w:ind w:left="57" w:right="57" w:firstLine="0"/>
              <w:rPr>
                <w:sz w:val="16"/>
                <w:szCs w:val="16"/>
                <w:rtl/>
              </w:rPr>
            </w:pPr>
            <w:r w:rsidRPr="00B44059">
              <w:rPr>
                <w:sz w:val="16"/>
                <w:szCs w:val="16"/>
                <w:rtl/>
              </w:rPr>
              <w:t xml:space="preserve"> 0</w:t>
            </w:r>
            <w:r w:rsidRPr="00B44059">
              <w:rPr>
                <w:sz w:val="16"/>
                <w:szCs w:val="16"/>
                <w:vertAlign w:val="superscript"/>
                <w:rtl/>
              </w:rPr>
              <w:t>(ה)</w:t>
            </w:r>
            <w:r w:rsidRPr="00B44059">
              <w:rPr>
                <w:sz w:val="16"/>
                <w:szCs w:val="16"/>
                <w:rtl/>
              </w:rPr>
              <w:t xml:space="preserve"> </w:t>
            </w:r>
          </w:p>
        </w:tc>
        <w:tc>
          <w:tcPr>
            <w:tcW w:w="162" w:type="dxa"/>
            <w:tcBorders>
              <w:bottom w:val="nil"/>
            </w:tcBorders>
            <w:tcMar>
              <w:left w:w="58" w:type="dxa"/>
              <w:right w:w="58" w:type="dxa"/>
            </w:tcMar>
            <w:vAlign w:val="bottom"/>
          </w:tcPr>
          <w:p w14:paraId="001217F7" w14:textId="77777777" w:rsidR="00F81394" w:rsidRDefault="00F81394" w:rsidP="00F60018">
            <w:pPr>
              <w:pStyle w:val="-7"/>
              <w:spacing w:line="160" w:lineRule="exact"/>
              <w:ind w:left="57" w:right="57"/>
              <w:jc w:val="left"/>
              <w:rPr>
                <w:b/>
                <w:bCs/>
                <w:sz w:val="16"/>
                <w:szCs w:val="16"/>
                <w:rtl/>
              </w:rPr>
            </w:pPr>
          </w:p>
        </w:tc>
        <w:tc>
          <w:tcPr>
            <w:tcW w:w="567" w:type="dxa"/>
            <w:tcBorders>
              <w:bottom w:val="nil"/>
            </w:tcBorders>
            <w:vAlign w:val="bottom"/>
          </w:tcPr>
          <w:p w14:paraId="512E0D7C" w14:textId="77777777" w:rsidR="00F81394" w:rsidRDefault="00F81394" w:rsidP="00F60018">
            <w:pPr>
              <w:pStyle w:val="-f1"/>
              <w:pBdr>
                <w:top w:val="none" w:sz="0" w:space="0" w:color="auto"/>
                <w:bottom w:val="single" w:sz="4" w:space="1" w:color="auto"/>
              </w:pBdr>
              <w:spacing w:line="160" w:lineRule="exact"/>
              <w:ind w:left="57" w:right="57" w:firstLine="0"/>
              <w:rPr>
                <w:sz w:val="16"/>
                <w:szCs w:val="16"/>
                <w:rtl/>
              </w:rPr>
            </w:pPr>
            <w:r w:rsidRPr="00B44059">
              <w:rPr>
                <w:sz w:val="16"/>
                <w:szCs w:val="16"/>
                <w:rtl/>
              </w:rPr>
              <w:t xml:space="preserve"> 0</w:t>
            </w:r>
          </w:p>
        </w:tc>
        <w:tc>
          <w:tcPr>
            <w:tcW w:w="709" w:type="dxa"/>
            <w:tcBorders>
              <w:bottom w:val="nil"/>
            </w:tcBorders>
            <w:vAlign w:val="bottom"/>
          </w:tcPr>
          <w:p w14:paraId="6EC83512" w14:textId="77777777" w:rsidR="00F81394" w:rsidRDefault="00F81394" w:rsidP="00F60018">
            <w:pPr>
              <w:pStyle w:val="-f1"/>
              <w:pBdr>
                <w:top w:val="none" w:sz="0" w:space="0" w:color="auto"/>
                <w:bottom w:val="single" w:sz="4" w:space="1" w:color="auto"/>
              </w:pBdr>
              <w:spacing w:line="160" w:lineRule="exact"/>
              <w:ind w:left="57" w:right="57" w:firstLine="0"/>
              <w:rPr>
                <w:sz w:val="16"/>
                <w:szCs w:val="16"/>
                <w:rtl/>
              </w:rPr>
            </w:pPr>
            <w:r w:rsidRPr="00B44059">
              <w:rPr>
                <w:sz w:val="16"/>
                <w:szCs w:val="16"/>
                <w:rtl/>
              </w:rPr>
              <w:t xml:space="preserve"> 0</w:t>
            </w:r>
          </w:p>
        </w:tc>
        <w:tc>
          <w:tcPr>
            <w:tcW w:w="709" w:type="dxa"/>
            <w:tcBorders>
              <w:bottom w:val="nil"/>
            </w:tcBorders>
            <w:vAlign w:val="bottom"/>
          </w:tcPr>
          <w:p w14:paraId="11A8F804" w14:textId="77777777" w:rsidR="00F81394" w:rsidRDefault="00F81394" w:rsidP="00F60018">
            <w:pPr>
              <w:pStyle w:val="-f1"/>
              <w:pBdr>
                <w:top w:val="none" w:sz="0" w:space="0" w:color="auto"/>
                <w:bottom w:val="single" w:sz="4" w:space="1" w:color="auto"/>
              </w:pBdr>
              <w:spacing w:line="160" w:lineRule="exact"/>
              <w:ind w:left="57" w:right="57" w:firstLine="0"/>
              <w:rPr>
                <w:sz w:val="16"/>
                <w:szCs w:val="16"/>
                <w:rtl/>
              </w:rPr>
            </w:pPr>
            <w:r>
              <w:rPr>
                <w:rFonts w:hint="cs"/>
                <w:sz w:val="16"/>
                <w:szCs w:val="16"/>
                <w:rtl/>
              </w:rPr>
              <w:t xml:space="preserve"> </w:t>
            </w:r>
            <w:r w:rsidRPr="00B44059">
              <w:rPr>
                <w:sz w:val="16"/>
                <w:szCs w:val="16"/>
                <w:rtl/>
              </w:rPr>
              <w:t xml:space="preserve"> 0</w:t>
            </w:r>
            <w:r w:rsidRPr="00B44059">
              <w:rPr>
                <w:sz w:val="16"/>
                <w:szCs w:val="16"/>
                <w:vertAlign w:val="superscript"/>
                <w:rtl/>
              </w:rPr>
              <w:t xml:space="preserve">(ד) </w:t>
            </w:r>
          </w:p>
        </w:tc>
        <w:tc>
          <w:tcPr>
            <w:tcW w:w="850" w:type="dxa"/>
            <w:tcBorders>
              <w:bottom w:val="nil"/>
            </w:tcBorders>
            <w:vAlign w:val="bottom"/>
          </w:tcPr>
          <w:p w14:paraId="1A3F6A54" w14:textId="77777777" w:rsidR="00F81394" w:rsidRDefault="00F81394" w:rsidP="00F60018">
            <w:pPr>
              <w:pStyle w:val="-f1"/>
              <w:pBdr>
                <w:top w:val="none" w:sz="0" w:space="0" w:color="auto"/>
                <w:bottom w:val="single" w:sz="4" w:space="1" w:color="auto"/>
              </w:pBdr>
              <w:spacing w:line="160" w:lineRule="exact"/>
              <w:ind w:left="57" w:right="57" w:firstLine="0"/>
              <w:rPr>
                <w:sz w:val="16"/>
                <w:szCs w:val="16"/>
                <w:rtl/>
              </w:rPr>
            </w:pPr>
            <w:r w:rsidRPr="00B44059">
              <w:rPr>
                <w:sz w:val="16"/>
                <w:szCs w:val="16"/>
                <w:rtl/>
              </w:rPr>
              <w:t xml:space="preserve"> </w:t>
            </w:r>
            <w:r>
              <w:rPr>
                <w:rFonts w:hint="cs"/>
                <w:sz w:val="16"/>
                <w:szCs w:val="16"/>
                <w:rtl/>
              </w:rPr>
              <w:t xml:space="preserve"> </w:t>
            </w:r>
            <w:r w:rsidRPr="00B44059">
              <w:rPr>
                <w:sz w:val="16"/>
                <w:szCs w:val="16"/>
                <w:rtl/>
              </w:rPr>
              <w:t>0</w:t>
            </w:r>
            <w:r w:rsidRPr="00B44059">
              <w:rPr>
                <w:sz w:val="16"/>
                <w:szCs w:val="16"/>
                <w:vertAlign w:val="superscript"/>
                <w:rtl/>
              </w:rPr>
              <w:t>(ד)</w:t>
            </w:r>
            <w:r>
              <w:rPr>
                <w:rFonts w:hint="cs"/>
                <w:sz w:val="16"/>
                <w:szCs w:val="16"/>
                <w:vertAlign w:val="superscript"/>
                <w:rtl/>
              </w:rPr>
              <w:t xml:space="preserve"> </w:t>
            </w:r>
            <w:r w:rsidRPr="00B44059">
              <w:rPr>
                <w:sz w:val="16"/>
                <w:szCs w:val="16"/>
                <w:vertAlign w:val="superscript"/>
                <w:rtl/>
              </w:rPr>
              <w:t xml:space="preserve"> </w:t>
            </w:r>
          </w:p>
        </w:tc>
        <w:tc>
          <w:tcPr>
            <w:tcW w:w="851" w:type="dxa"/>
            <w:tcBorders>
              <w:bottom w:val="nil"/>
            </w:tcBorders>
            <w:vAlign w:val="bottom"/>
          </w:tcPr>
          <w:p w14:paraId="0DDEC6D3" w14:textId="77777777" w:rsidR="00F81394" w:rsidRDefault="00F81394" w:rsidP="00F60018">
            <w:pPr>
              <w:pStyle w:val="-f1"/>
              <w:pBdr>
                <w:top w:val="none" w:sz="0" w:space="0" w:color="auto"/>
                <w:bottom w:val="single" w:sz="4" w:space="1" w:color="auto"/>
              </w:pBdr>
              <w:spacing w:line="160" w:lineRule="exact"/>
              <w:ind w:left="57" w:right="57" w:firstLine="0"/>
              <w:rPr>
                <w:sz w:val="16"/>
                <w:szCs w:val="16"/>
                <w:rtl/>
              </w:rPr>
            </w:pPr>
            <w:r>
              <w:rPr>
                <w:rFonts w:hint="cs"/>
                <w:sz w:val="16"/>
                <w:szCs w:val="16"/>
                <w:rtl/>
              </w:rPr>
              <w:t xml:space="preserve"> </w:t>
            </w:r>
            <w:r w:rsidRPr="00B44059">
              <w:rPr>
                <w:sz w:val="16"/>
                <w:szCs w:val="16"/>
                <w:rtl/>
              </w:rPr>
              <w:t xml:space="preserve"> 0</w:t>
            </w:r>
            <w:r w:rsidRPr="00B44059">
              <w:rPr>
                <w:sz w:val="16"/>
                <w:szCs w:val="16"/>
                <w:vertAlign w:val="superscript"/>
                <w:rtl/>
              </w:rPr>
              <w:t>(ה)</w:t>
            </w:r>
            <w:r w:rsidRPr="00B44059">
              <w:rPr>
                <w:sz w:val="16"/>
                <w:szCs w:val="16"/>
                <w:rtl/>
              </w:rPr>
              <w:t xml:space="preserve"> </w:t>
            </w:r>
          </w:p>
        </w:tc>
      </w:tr>
      <w:tr w:rsidR="00F81394" w:rsidRPr="00EE3141" w14:paraId="16E543CE" w14:textId="77777777" w:rsidTr="0001523C">
        <w:tc>
          <w:tcPr>
            <w:tcW w:w="1191" w:type="dxa"/>
            <w:tcBorders>
              <w:bottom w:val="nil"/>
            </w:tcBorders>
            <w:vAlign w:val="bottom"/>
          </w:tcPr>
          <w:p w14:paraId="25E4B2DA" w14:textId="77777777" w:rsidR="00F81394" w:rsidRPr="00EE3141" w:rsidRDefault="00F81394" w:rsidP="004D61B6">
            <w:pPr>
              <w:pStyle w:val="-7"/>
              <w:spacing w:line="160" w:lineRule="exact"/>
              <w:jc w:val="left"/>
              <w:rPr>
                <w:sz w:val="15"/>
                <w:szCs w:val="15"/>
                <w:rtl/>
              </w:rPr>
            </w:pPr>
          </w:p>
        </w:tc>
        <w:tc>
          <w:tcPr>
            <w:tcW w:w="3113" w:type="dxa"/>
            <w:tcBorders>
              <w:bottom w:val="nil"/>
            </w:tcBorders>
            <w:vAlign w:val="bottom"/>
          </w:tcPr>
          <w:p w14:paraId="51AE0992" w14:textId="77777777" w:rsidR="00F81394" w:rsidRDefault="00F81394" w:rsidP="000446FA">
            <w:pPr>
              <w:pStyle w:val="-0"/>
              <w:spacing w:before="40" w:line="200" w:lineRule="exact"/>
              <w:ind w:left="142" w:firstLine="108"/>
              <w:rPr>
                <w:b/>
                <w:bCs/>
                <w:sz w:val="18"/>
                <w:szCs w:val="18"/>
                <w:rtl/>
              </w:rPr>
            </w:pPr>
            <w:r>
              <w:rPr>
                <w:rStyle w:val="-c"/>
                <w:rFonts w:hint="eastAsia"/>
                <w:sz w:val="18"/>
                <w:szCs w:val="18"/>
                <w:rtl/>
              </w:rPr>
              <w:t>סך</w:t>
            </w:r>
            <w:r>
              <w:rPr>
                <w:rStyle w:val="-c"/>
                <w:sz w:val="18"/>
                <w:szCs w:val="18"/>
                <w:rtl/>
              </w:rPr>
              <w:t xml:space="preserve"> </w:t>
            </w:r>
            <w:r>
              <w:rPr>
                <w:rStyle w:val="-c"/>
                <w:rFonts w:hint="eastAsia"/>
                <w:sz w:val="18"/>
                <w:szCs w:val="18"/>
                <w:rtl/>
              </w:rPr>
              <w:t>כל</w:t>
            </w:r>
            <w:r>
              <w:rPr>
                <w:rStyle w:val="-c"/>
                <w:sz w:val="18"/>
                <w:szCs w:val="18"/>
                <w:rtl/>
              </w:rPr>
              <w:t xml:space="preserve"> </w:t>
            </w:r>
            <w:r>
              <w:rPr>
                <w:rStyle w:val="-c"/>
                <w:rFonts w:hint="eastAsia"/>
                <w:sz w:val="18"/>
                <w:szCs w:val="18"/>
                <w:rtl/>
              </w:rPr>
              <w:t>ניירות</w:t>
            </w:r>
            <w:r>
              <w:rPr>
                <w:rStyle w:val="-c"/>
                <w:sz w:val="18"/>
                <w:szCs w:val="18"/>
                <w:rtl/>
              </w:rPr>
              <w:t xml:space="preserve"> </w:t>
            </w:r>
            <w:r>
              <w:rPr>
                <w:rStyle w:val="-c"/>
                <w:rFonts w:hint="eastAsia"/>
                <w:sz w:val="18"/>
                <w:szCs w:val="18"/>
                <w:rtl/>
              </w:rPr>
              <w:t>הערך</w:t>
            </w:r>
            <w:r w:rsidRPr="00B44059">
              <w:rPr>
                <w:b/>
                <w:bCs/>
                <w:sz w:val="18"/>
                <w:szCs w:val="18"/>
                <w:vertAlign w:val="superscript"/>
                <w:rtl/>
              </w:rPr>
              <w:t>(ו)</w:t>
            </w:r>
          </w:p>
        </w:tc>
        <w:tc>
          <w:tcPr>
            <w:tcW w:w="567" w:type="dxa"/>
            <w:tcBorders>
              <w:bottom w:val="nil"/>
            </w:tcBorders>
            <w:vAlign w:val="bottom"/>
          </w:tcPr>
          <w:p w14:paraId="1CB1FE9B" w14:textId="77777777" w:rsidR="00F81394" w:rsidRDefault="00F81394" w:rsidP="00F60018">
            <w:pPr>
              <w:pStyle w:val="-3"/>
              <w:pBdr>
                <w:bottom w:val="double" w:sz="4" w:space="1" w:color="auto"/>
              </w:pBdr>
              <w:spacing w:line="160" w:lineRule="exact"/>
              <w:ind w:left="57" w:right="57"/>
              <w:jc w:val="left"/>
              <w:rPr>
                <w:b/>
                <w:bCs/>
                <w:sz w:val="16"/>
                <w:szCs w:val="16"/>
                <w:rtl/>
              </w:rPr>
            </w:pPr>
            <w:r w:rsidRPr="00B44059">
              <w:rPr>
                <w:b/>
                <w:bCs/>
                <w:sz w:val="16"/>
                <w:szCs w:val="16"/>
                <w:rtl/>
              </w:rPr>
              <w:t>0</w:t>
            </w:r>
          </w:p>
        </w:tc>
        <w:tc>
          <w:tcPr>
            <w:tcW w:w="850" w:type="dxa"/>
            <w:tcBorders>
              <w:bottom w:val="nil"/>
            </w:tcBorders>
            <w:vAlign w:val="bottom"/>
          </w:tcPr>
          <w:p w14:paraId="73814E9B" w14:textId="77777777" w:rsidR="00F81394" w:rsidRDefault="00F81394" w:rsidP="00F60018">
            <w:pPr>
              <w:pStyle w:val="-3"/>
              <w:pBdr>
                <w:bottom w:val="double" w:sz="4" w:space="1" w:color="auto"/>
              </w:pBdr>
              <w:spacing w:line="160" w:lineRule="exact"/>
              <w:ind w:left="57" w:right="57"/>
              <w:jc w:val="left"/>
              <w:rPr>
                <w:b/>
                <w:bCs/>
                <w:sz w:val="16"/>
                <w:szCs w:val="16"/>
                <w:rtl/>
              </w:rPr>
            </w:pPr>
            <w:r>
              <w:rPr>
                <w:rFonts w:hint="cs"/>
                <w:b/>
                <w:bCs/>
                <w:sz w:val="16"/>
                <w:szCs w:val="16"/>
                <w:rtl/>
              </w:rPr>
              <w:t xml:space="preserve"> </w:t>
            </w:r>
            <w:r w:rsidRPr="00B44059">
              <w:rPr>
                <w:b/>
                <w:bCs/>
                <w:sz w:val="16"/>
                <w:szCs w:val="16"/>
                <w:rtl/>
              </w:rPr>
              <w:t xml:space="preserve"> 0</w:t>
            </w:r>
          </w:p>
        </w:tc>
        <w:tc>
          <w:tcPr>
            <w:tcW w:w="851" w:type="dxa"/>
            <w:tcBorders>
              <w:bottom w:val="nil"/>
            </w:tcBorders>
            <w:vAlign w:val="bottom"/>
          </w:tcPr>
          <w:p w14:paraId="42B18965" w14:textId="77777777" w:rsidR="00F81394" w:rsidRDefault="00F81394" w:rsidP="00F60018">
            <w:pPr>
              <w:pStyle w:val="-3"/>
              <w:spacing w:line="160" w:lineRule="exact"/>
              <w:ind w:left="57" w:right="57"/>
              <w:jc w:val="left"/>
              <w:rPr>
                <w:b/>
                <w:bCs/>
                <w:sz w:val="16"/>
                <w:szCs w:val="16"/>
              </w:rPr>
            </w:pPr>
          </w:p>
        </w:tc>
        <w:tc>
          <w:tcPr>
            <w:tcW w:w="709" w:type="dxa"/>
            <w:tcBorders>
              <w:bottom w:val="nil"/>
            </w:tcBorders>
            <w:vAlign w:val="bottom"/>
          </w:tcPr>
          <w:p w14:paraId="2FF0AF8D" w14:textId="77777777" w:rsidR="00F81394" w:rsidRDefault="00F81394" w:rsidP="00F60018">
            <w:pPr>
              <w:pStyle w:val="-3"/>
              <w:spacing w:line="160" w:lineRule="exact"/>
              <w:ind w:left="57" w:right="57"/>
              <w:jc w:val="left"/>
              <w:rPr>
                <w:b/>
                <w:bCs/>
                <w:sz w:val="16"/>
                <w:szCs w:val="16"/>
                <w:rtl/>
              </w:rPr>
            </w:pPr>
          </w:p>
        </w:tc>
        <w:tc>
          <w:tcPr>
            <w:tcW w:w="636" w:type="dxa"/>
            <w:tcBorders>
              <w:bottom w:val="nil"/>
            </w:tcBorders>
            <w:vAlign w:val="bottom"/>
          </w:tcPr>
          <w:p w14:paraId="3F8B6F1E" w14:textId="77777777" w:rsidR="00F81394" w:rsidRDefault="00F81394" w:rsidP="00F60018">
            <w:pPr>
              <w:pStyle w:val="-3"/>
              <w:pBdr>
                <w:bottom w:val="double" w:sz="4" w:space="1" w:color="auto"/>
              </w:pBdr>
              <w:spacing w:line="160" w:lineRule="exact"/>
              <w:ind w:left="57" w:right="57"/>
              <w:jc w:val="left"/>
              <w:rPr>
                <w:b/>
                <w:bCs/>
                <w:sz w:val="16"/>
                <w:szCs w:val="16"/>
                <w:rtl/>
              </w:rPr>
            </w:pPr>
            <w:r w:rsidRPr="00B44059">
              <w:rPr>
                <w:b/>
                <w:bCs/>
                <w:sz w:val="16"/>
                <w:szCs w:val="16"/>
                <w:rtl/>
              </w:rPr>
              <w:t xml:space="preserve"> </w:t>
            </w:r>
            <w:r>
              <w:rPr>
                <w:rFonts w:hint="cs"/>
                <w:b/>
                <w:bCs/>
                <w:sz w:val="16"/>
                <w:szCs w:val="16"/>
                <w:rtl/>
              </w:rPr>
              <w:t xml:space="preserve"> </w:t>
            </w:r>
            <w:r w:rsidRPr="00B44059">
              <w:rPr>
                <w:b/>
                <w:bCs/>
                <w:sz w:val="16"/>
                <w:szCs w:val="16"/>
                <w:rtl/>
              </w:rPr>
              <w:t>0</w:t>
            </w:r>
          </w:p>
        </w:tc>
        <w:tc>
          <w:tcPr>
            <w:tcW w:w="214" w:type="dxa"/>
            <w:tcBorders>
              <w:bottom w:val="nil"/>
            </w:tcBorders>
            <w:vAlign w:val="bottom"/>
          </w:tcPr>
          <w:p w14:paraId="6332A2E5" w14:textId="77777777" w:rsidR="00F81394" w:rsidRDefault="00F81394" w:rsidP="00F60018">
            <w:pPr>
              <w:pStyle w:val="-0"/>
              <w:spacing w:line="160" w:lineRule="exact"/>
              <w:ind w:left="57" w:right="57" w:firstLine="0"/>
              <w:rPr>
                <w:b/>
                <w:bCs/>
                <w:sz w:val="16"/>
                <w:szCs w:val="16"/>
              </w:rPr>
            </w:pPr>
          </w:p>
        </w:tc>
        <w:tc>
          <w:tcPr>
            <w:tcW w:w="567" w:type="dxa"/>
            <w:tcBorders>
              <w:bottom w:val="nil"/>
            </w:tcBorders>
            <w:vAlign w:val="bottom"/>
          </w:tcPr>
          <w:p w14:paraId="28A01298" w14:textId="77777777" w:rsidR="00F81394" w:rsidRDefault="00F81394" w:rsidP="00F60018">
            <w:pPr>
              <w:pStyle w:val="-3"/>
              <w:pBdr>
                <w:bottom w:val="double" w:sz="4" w:space="1" w:color="auto"/>
              </w:pBdr>
              <w:spacing w:line="160" w:lineRule="exact"/>
              <w:ind w:left="57" w:right="57"/>
              <w:jc w:val="left"/>
              <w:rPr>
                <w:b/>
                <w:bCs/>
                <w:sz w:val="16"/>
                <w:szCs w:val="16"/>
                <w:rtl/>
              </w:rPr>
            </w:pPr>
            <w:r w:rsidRPr="00B44059">
              <w:rPr>
                <w:b/>
                <w:bCs/>
                <w:sz w:val="16"/>
                <w:szCs w:val="16"/>
                <w:rtl/>
              </w:rPr>
              <w:t xml:space="preserve"> 0</w:t>
            </w:r>
          </w:p>
        </w:tc>
        <w:tc>
          <w:tcPr>
            <w:tcW w:w="709" w:type="dxa"/>
            <w:tcBorders>
              <w:bottom w:val="nil"/>
            </w:tcBorders>
            <w:vAlign w:val="bottom"/>
          </w:tcPr>
          <w:p w14:paraId="1FF61E2C" w14:textId="77777777" w:rsidR="00F81394" w:rsidRDefault="00F81394" w:rsidP="00F60018">
            <w:pPr>
              <w:pStyle w:val="-3"/>
              <w:pBdr>
                <w:bottom w:val="double" w:sz="4" w:space="1" w:color="auto"/>
              </w:pBdr>
              <w:spacing w:line="160" w:lineRule="exact"/>
              <w:ind w:left="57" w:right="57"/>
              <w:jc w:val="left"/>
              <w:rPr>
                <w:b/>
                <w:bCs/>
                <w:sz w:val="16"/>
                <w:szCs w:val="16"/>
                <w:rtl/>
              </w:rPr>
            </w:pPr>
            <w:r w:rsidRPr="00B44059">
              <w:rPr>
                <w:b/>
                <w:bCs/>
                <w:sz w:val="16"/>
                <w:szCs w:val="16"/>
                <w:rtl/>
              </w:rPr>
              <w:t xml:space="preserve"> 0</w:t>
            </w:r>
          </w:p>
        </w:tc>
        <w:tc>
          <w:tcPr>
            <w:tcW w:w="992" w:type="dxa"/>
            <w:tcBorders>
              <w:bottom w:val="nil"/>
            </w:tcBorders>
            <w:vAlign w:val="bottom"/>
          </w:tcPr>
          <w:p w14:paraId="3FF0465E" w14:textId="77777777" w:rsidR="00F81394" w:rsidRDefault="00F81394" w:rsidP="00F60018">
            <w:pPr>
              <w:pStyle w:val="-3"/>
              <w:spacing w:line="160" w:lineRule="exact"/>
              <w:ind w:left="57" w:right="57"/>
              <w:jc w:val="left"/>
              <w:rPr>
                <w:b/>
                <w:bCs/>
                <w:sz w:val="16"/>
                <w:szCs w:val="16"/>
                <w:rtl/>
              </w:rPr>
            </w:pPr>
          </w:p>
        </w:tc>
        <w:tc>
          <w:tcPr>
            <w:tcW w:w="710" w:type="dxa"/>
            <w:tcBorders>
              <w:bottom w:val="nil"/>
            </w:tcBorders>
            <w:vAlign w:val="bottom"/>
          </w:tcPr>
          <w:p w14:paraId="7FC84974" w14:textId="77777777" w:rsidR="00F81394" w:rsidRDefault="00F81394" w:rsidP="00F60018">
            <w:pPr>
              <w:pStyle w:val="-3"/>
              <w:spacing w:line="160" w:lineRule="exact"/>
              <w:ind w:left="57" w:right="57"/>
              <w:jc w:val="left"/>
              <w:rPr>
                <w:b/>
                <w:bCs/>
                <w:sz w:val="16"/>
                <w:szCs w:val="16"/>
                <w:rtl/>
              </w:rPr>
            </w:pPr>
          </w:p>
        </w:tc>
        <w:tc>
          <w:tcPr>
            <w:tcW w:w="688" w:type="dxa"/>
            <w:tcBorders>
              <w:bottom w:val="nil"/>
            </w:tcBorders>
            <w:vAlign w:val="bottom"/>
          </w:tcPr>
          <w:p w14:paraId="41B6E804" w14:textId="77777777" w:rsidR="00F81394" w:rsidRDefault="00F81394" w:rsidP="00F60018">
            <w:pPr>
              <w:pStyle w:val="-3"/>
              <w:pBdr>
                <w:bottom w:val="double" w:sz="4" w:space="1" w:color="auto"/>
              </w:pBdr>
              <w:spacing w:line="160" w:lineRule="exact"/>
              <w:ind w:left="57" w:right="57"/>
              <w:jc w:val="left"/>
              <w:rPr>
                <w:b/>
                <w:bCs/>
                <w:sz w:val="16"/>
                <w:szCs w:val="16"/>
                <w:rtl/>
              </w:rPr>
            </w:pPr>
            <w:r w:rsidRPr="00B44059">
              <w:rPr>
                <w:b/>
                <w:bCs/>
                <w:sz w:val="16"/>
                <w:szCs w:val="16"/>
                <w:rtl/>
              </w:rPr>
              <w:t xml:space="preserve"> 0</w:t>
            </w:r>
          </w:p>
        </w:tc>
        <w:tc>
          <w:tcPr>
            <w:tcW w:w="162" w:type="dxa"/>
            <w:tcBorders>
              <w:bottom w:val="nil"/>
            </w:tcBorders>
            <w:tcMar>
              <w:left w:w="58" w:type="dxa"/>
              <w:right w:w="58" w:type="dxa"/>
            </w:tcMar>
            <w:vAlign w:val="bottom"/>
          </w:tcPr>
          <w:p w14:paraId="20EFCB7B" w14:textId="77777777" w:rsidR="00F81394" w:rsidRDefault="00F81394" w:rsidP="00F60018">
            <w:pPr>
              <w:pStyle w:val="-7"/>
              <w:spacing w:line="160" w:lineRule="exact"/>
              <w:ind w:left="57" w:right="57"/>
              <w:jc w:val="left"/>
              <w:rPr>
                <w:b/>
                <w:bCs/>
                <w:sz w:val="16"/>
                <w:szCs w:val="16"/>
              </w:rPr>
            </w:pPr>
          </w:p>
        </w:tc>
        <w:tc>
          <w:tcPr>
            <w:tcW w:w="567" w:type="dxa"/>
            <w:tcBorders>
              <w:bottom w:val="nil"/>
            </w:tcBorders>
            <w:vAlign w:val="bottom"/>
          </w:tcPr>
          <w:p w14:paraId="2A5DE1FC" w14:textId="77777777" w:rsidR="00F81394" w:rsidRDefault="00F81394" w:rsidP="00F60018">
            <w:pPr>
              <w:pStyle w:val="-3"/>
              <w:pBdr>
                <w:bottom w:val="double" w:sz="4" w:space="1" w:color="auto"/>
              </w:pBdr>
              <w:spacing w:line="160" w:lineRule="exact"/>
              <w:ind w:left="57" w:right="57"/>
              <w:jc w:val="left"/>
              <w:rPr>
                <w:b/>
                <w:bCs/>
                <w:sz w:val="16"/>
                <w:szCs w:val="16"/>
                <w:rtl/>
              </w:rPr>
            </w:pPr>
            <w:r w:rsidRPr="00B44059">
              <w:rPr>
                <w:b/>
                <w:bCs/>
                <w:sz w:val="16"/>
                <w:szCs w:val="16"/>
                <w:rtl/>
              </w:rPr>
              <w:t xml:space="preserve"> 0</w:t>
            </w:r>
          </w:p>
        </w:tc>
        <w:tc>
          <w:tcPr>
            <w:tcW w:w="709" w:type="dxa"/>
            <w:tcBorders>
              <w:bottom w:val="nil"/>
            </w:tcBorders>
            <w:vAlign w:val="bottom"/>
          </w:tcPr>
          <w:p w14:paraId="6EB35224" w14:textId="77777777" w:rsidR="00F81394" w:rsidRDefault="00F81394" w:rsidP="00F60018">
            <w:pPr>
              <w:pStyle w:val="-3"/>
              <w:pBdr>
                <w:bottom w:val="double" w:sz="4" w:space="1" w:color="auto"/>
              </w:pBdr>
              <w:spacing w:line="160" w:lineRule="exact"/>
              <w:ind w:left="57" w:right="57"/>
              <w:jc w:val="left"/>
              <w:rPr>
                <w:b/>
                <w:bCs/>
                <w:sz w:val="16"/>
                <w:szCs w:val="16"/>
              </w:rPr>
            </w:pPr>
            <w:r w:rsidRPr="00B44059">
              <w:rPr>
                <w:b/>
                <w:bCs/>
                <w:sz w:val="16"/>
                <w:szCs w:val="16"/>
                <w:rtl/>
              </w:rPr>
              <w:t xml:space="preserve"> 0</w:t>
            </w:r>
          </w:p>
        </w:tc>
        <w:tc>
          <w:tcPr>
            <w:tcW w:w="709" w:type="dxa"/>
            <w:tcBorders>
              <w:bottom w:val="nil"/>
            </w:tcBorders>
            <w:vAlign w:val="bottom"/>
          </w:tcPr>
          <w:p w14:paraId="706327DC" w14:textId="77777777" w:rsidR="00F81394" w:rsidRDefault="00F81394" w:rsidP="00F60018">
            <w:pPr>
              <w:pStyle w:val="-3"/>
              <w:spacing w:line="160" w:lineRule="exact"/>
              <w:ind w:left="57" w:right="57"/>
              <w:jc w:val="left"/>
              <w:rPr>
                <w:b/>
                <w:bCs/>
                <w:sz w:val="16"/>
                <w:szCs w:val="16"/>
                <w:rtl/>
              </w:rPr>
            </w:pPr>
          </w:p>
        </w:tc>
        <w:tc>
          <w:tcPr>
            <w:tcW w:w="850" w:type="dxa"/>
            <w:tcBorders>
              <w:bottom w:val="nil"/>
            </w:tcBorders>
            <w:vAlign w:val="bottom"/>
          </w:tcPr>
          <w:p w14:paraId="26FD1BA2" w14:textId="77777777" w:rsidR="00F81394" w:rsidRDefault="00F81394" w:rsidP="00F60018">
            <w:pPr>
              <w:pStyle w:val="-3"/>
              <w:spacing w:line="160" w:lineRule="exact"/>
              <w:ind w:left="57" w:right="57"/>
              <w:jc w:val="left"/>
              <w:rPr>
                <w:b/>
                <w:bCs/>
                <w:sz w:val="16"/>
                <w:szCs w:val="16"/>
                <w:rtl/>
              </w:rPr>
            </w:pPr>
          </w:p>
        </w:tc>
        <w:tc>
          <w:tcPr>
            <w:tcW w:w="851" w:type="dxa"/>
            <w:tcBorders>
              <w:bottom w:val="nil"/>
            </w:tcBorders>
            <w:vAlign w:val="bottom"/>
          </w:tcPr>
          <w:p w14:paraId="5719E14E" w14:textId="77777777" w:rsidR="00F81394" w:rsidRDefault="00F81394" w:rsidP="00F60018">
            <w:pPr>
              <w:pStyle w:val="-3"/>
              <w:pBdr>
                <w:bottom w:val="double" w:sz="4" w:space="1" w:color="auto"/>
              </w:pBdr>
              <w:spacing w:line="160" w:lineRule="exact"/>
              <w:ind w:left="57" w:right="57"/>
              <w:jc w:val="left"/>
              <w:rPr>
                <w:b/>
                <w:bCs/>
                <w:sz w:val="16"/>
                <w:szCs w:val="16"/>
                <w:rtl/>
              </w:rPr>
            </w:pPr>
            <w:r>
              <w:rPr>
                <w:rFonts w:hint="cs"/>
                <w:b/>
                <w:bCs/>
                <w:sz w:val="16"/>
                <w:szCs w:val="16"/>
                <w:rtl/>
              </w:rPr>
              <w:t xml:space="preserve"> </w:t>
            </w:r>
            <w:r w:rsidRPr="00B44059">
              <w:rPr>
                <w:b/>
                <w:bCs/>
                <w:sz w:val="16"/>
                <w:szCs w:val="16"/>
                <w:rtl/>
              </w:rPr>
              <w:t xml:space="preserve"> 0</w:t>
            </w:r>
          </w:p>
        </w:tc>
      </w:tr>
    </w:tbl>
    <w:p w14:paraId="746700D6" w14:textId="680FA664" w:rsidR="00284BC3" w:rsidRDefault="00284BC3" w:rsidP="00E10DC0">
      <w:pPr>
        <w:rPr>
          <w:sz w:val="10"/>
          <w:szCs w:val="10"/>
          <w:rtl/>
        </w:rPr>
      </w:pPr>
    </w:p>
    <w:p w14:paraId="3B6F3D45" w14:textId="2D39899E" w:rsidR="009871A4" w:rsidRDefault="009871A4" w:rsidP="00E10DC0">
      <w:pPr>
        <w:rPr>
          <w:sz w:val="10"/>
          <w:szCs w:val="10"/>
          <w:rtl/>
        </w:rPr>
      </w:pPr>
    </w:p>
    <w:p w14:paraId="136135FD" w14:textId="77777777" w:rsidR="0082289C" w:rsidRPr="001A37EE" w:rsidRDefault="0082289C" w:rsidP="00E10DC0">
      <w:pPr>
        <w:rPr>
          <w:sz w:val="10"/>
          <w:szCs w:val="10"/>
        </w:rPr>
      </w:pPr>
    </w:p>
    <w:tbl>
      <w:tblPr>
        <w:bidiVisual/>
        <w:tblW w:w="5116" w:type="pct"/>
        <w:tblLook w:val="01E0" w:firstRow="1" w:lastRow="1" w:firstColumn="1" w:lastColumn="1" w:noHBand="0" w:noVBand="0"/>
      </w:tblPr>
      <w:tblGrid>
        <w:gridCol w:w="15483"/>
      </w:tblGrid>
      <w:tr w:rsidR="009126D7" w:rsidRPr="00543C25" w14:paraId="19EFAE5B" w14:textId="77777777" w:rsidTr="009126D7">
        <w:trPr>
          <w:trHeight w:val="245"/>
        </w:trPr>
        <w:tc>
          <w:tcPr>
            <w:tcW w:w="5000" w:type="pct"/>
          </w:tcPr>
          <w:p w14:paraId="2E980B21" w14:textId="77777777" w:rsidR="009126D7" w:rsidRPr="00AE6D4A" w:rsidRDefault="009126D7" w:rsidP="00262129">
            <w:pPr>
              <w:pStyle w:val="-a"/>
              <w:tabs>
                <w:tab w:val="left" w:pos="446"/>
              </w:tabs>
              <w:spacing w:after="0"/>
              <w:ind w:left="446" w:hanging="446"/>
              <w:rPr>
                <w:sz w:val="16"/>
                <w:szCs w:val="16"/>
                <w:rtl/>
              </w:rPr>
            </w:pPr>
            <w:r w:rsidRPr="00AE6D4A">
              <w:rPr>
                <w:sz w:val="16"/>
                <w:szCs w:val="16"/>
                <w:rtl/>
              </w:rPr>
              <w:t>(א)</w:t>
            </w:r>
            <w:r w:rsidRPr="00AE6D4A">
              <w:rPr>
                <w:sz w:val="16"/>
                <w:szCs w:val="16"/>
                <w:rtl/>
              </w:rPr>
              <w:tab/>
              <w:t>נתוני שווי הוגן מבוססים בדרך כלל על שערי בורסה, אשר לא בהכרח משקפים את המחיר שיתקבל ממכירת ניירות ערך בהיקפים גדולים.</w:t>
            </w:r>
          </w:p>
        </w:tc>
      </w:tr>
      <w:tr w:rsidR="009B34B8" w:rsidRPr="00543C25" w14:paraId="038022E1" w14:textId="77777777" w:rsidTr="005B1AB6">
        <w:trPr>
          <w:trHeight w:val="245"/>
        </w:trPr>
        <w:tc>
          <w:tcPr>
            <w:tcW w:w="5000" w:type="pct"/>
          </w:tcPr>
          <w:p w14:paraId="1B00A9D5" w14:textId="7C92B36F" w:rsidR="009B34B8" w:rsidRPr="00AE6D4A" w:rsidRDefault="009B34B8" w:rsidP="009B34B8">
            <w:pPr>
              <w:pStyle w:val="-a"/>
              <w:tabs>
                <w:tab w:val="left" w:pos="446"/>
              </w:tabs>
              <w:spacing w:after="0"/>
              <w:ind w:left="446" w:hanging="448"/>
              <w:rPr>
                <w:sz w:val="16"/>
                <w:szCs w:val="16"/>
                <w:rtl/>
              </w:rPr>
            </w:pPr>
            <w:r w:rsidRPr="00AE6D4A">
              <w:rPr>
                <w:rFonts w:hint="cs"/>
                <w:sz w:val="16"/>
                <w:szCs w:val="16"/>
                <w:rtl/>
              </w:rPr>
              <w:t>(ב)</w:t>
            </w:r>
            <w:r w:rsidRPr="00AE6D4A">
              <w:rPr>
                <w:sz w:val="16"/>
                <w:szCs w:val="16"/>
                <w:rtl/>
              </w:rPr>
              <w:tab/>
              <w:t>כלולים בסעיף "</w:t>
            </w:r>
            <w:r w:rsidRPr="00AE6D4A">
              <w:rPr>
                <w:rFonts w:hint="cs"/>
                <w:sz w:val="16"/>
                <w:szCs w:val="16"/>
                <w:rtl/>
              </w:rPr>
              <w:t>התאמות נטו בגין הצגת איגרות חוב זמינות למכירה לפי שווי הוגן</w:t>
            </w:r>
            <w:r w:rsidRPr="00AE6D4A">
              <w:rPr>
                <w:sz w:val="16"/>
                <w:szCs w:val="16"/>
                <w:rtl/>
              </w:rPr>
              <w:t>"</w:t>
            </w:r>
            <w:r w:rsidRPr="00AE6D4A">
              <w:rPr>
                <w:rFonts w:hint="cs"/>
                <w:sz w:val="16"/>
                <w:szCs w:val="16"/>
                <w:rtl/>
              </w:rPr>
              <w:t xml:space="preserve"> במסגרת רווח כולל אחר, למעט ניירות ערך שיועדו כמגודרים בגידור שווי הוגן.</w:t>
            </w:r>
          </w:p>
        </w:tc>
      </w:tr>
      <w:tr w:rsidR="009126D7" w:rsidRPr="002236DD" w14:paraId="1574818F" w14:textId="77777777" w:rsidTr="005B1AB6">
        <w:trPr>
          <w:trHeight w:val="74"/>
        </w:trPr>
        <w:tc>
          <w:tcPr>
            <w:tcW w:w="5000" w:type="pct"/>
          </w:tcPr>
          <w:p w14:paraId="65C6C4B0" w14:textId="69AFAAB6" w:rsidR="009126D7" w:rsidRPr="00AE6D4A" w:rsidRDefault="009126D7" w:rsidP="005B1AB6">
            <w:pPr>
              <w:pStyle w:val="-a"/>
              <w:tabs>
                <w:tab w:val="left" w:pos="446"/>
              </w:tabs>
              <w:spacing w:after="0"/>
              <w:ind w:left="446" w:hanging="448"/>
              <w:rPr>
                <w:sz w:val="16"/>
                <w:szCs w:val="16"/>
                <w:rtl/>
              </w:rPr>
            </w:pPr>
            <w:r w:rsidRPr="00AE6D4A">
              <w:rPr>
                <w:sz w:val="16"/>
                <w:szCs w:val="16"/>
                <w:rtl/>
              </w:rPr>
              <w:t>(ג)</w:t>
            </w:r>
            <w:r w:rsidRPr="00AE6D4A">
              <w:rPr>
                <w:sz w:val="16"/>
                <w:szCs w:val="16"/>
                <w:rtl/>
              </w:rPr>
              <w:tab/>
            </w:r>
            <w:r w:rsidR="0058414A" w:rsidRPr="00AE6D4A">
              <w:rPr>
                <w:rFonts w:hint="cs"/>
                <w:sz w:val="16"/>
                <w:szCs w:val="16"/>
                <w:rtl/>
              </w:rPr>
              <w:t>לגבי מניות שלא קיים לגביהן שווי הוגן זמין, בטור זה מוצגת עלות בניכוי ירידת ערך. אם התאגיד הבנקאי מזהה שינויים במחירים נצפים בעסקאות רגילות עבור השקעה זהה או דומה של אותו מנפיק, ימדדו המניות בשווי הוגן לתאריך בו התרחשה העסקה הנצפית.</w:t>
            </w:r>
          </w:p>
        </w:tc>
      </w:tr>
      <w:tr w:rsidR="009126D7" w:rsidRPr="00543C25" w14:paraId="2660DC42" w14:textId="77777777" w:rsidTr="009126D7">
        <w:trPr>
          <w:trHeight w:val="245"/>
        </w:trPr>
        <w:tc>
          <w:tcPr>
            <w:tcW w:w="5000" w:type="pct"/>
          </w:tcPr>
          <w:p w14:paraId="319B1AD3" w14:textId="77777777" w:rsidR="009126D7" w:rsidRPr="00AE6D4A" w:rsidRDefault="009126D7" w:rsidP="00CA482D">
            <w:pPr>
              <w:pStyle w:val="-a"/>
              <w:tabs>
                <w:tab w:val="left" w:pos="446"/>
              </w:tabs>
              <w:spacing w:after="0"/>
              <w:ind w:left="446" w:hanging="446"/>
              <w:rPr>
                <w:sz w:val="16"/>
                <w:szCs w:val="16"/>
                <w:rtl/>
              </w:rPr>
            </w:pPr>
            <w:r w:rsidRPr="00AE6D4A">
              <w:rPr>
                <w:sz w:val="16"/>
                <w:szCs w:val="16"/>
                <w:rtl/>
              </w:rPr>
              <w:t>(ד)</w:t>
            </w:r>
            <w:r w:rsidRPr="00AE6D4A">
              <w:rPr>
                <w:sz w:val="16"/>
                <w:szCs w:val="16"/>
                <w:rtl/>
              </w:rPr>
              <w:tab/>
              <w:t>נזקפו לדוח רווח והפסד.</w:t>
            </w:r>
          </w:p>
        </w:tc>
      </w:tr>
      <w:tr w:rsidR="009126D7" w:rsidRPr="00543C25" w14:paraId="16CB1895" w14:textId="77777777" w:rsidTr="009126D7">
        <w:trPr>
          <w:trHeight w:val="245"/>
        </w:trPr>
        <w:tc>
          <w:tcPr>
            <w:tcW w:w="5000" w:type="pct"/>
          </w:tcPr>
          <w:p w14:paraId="6CEE8E04" w14:textId="42BEC2FC" w:rsidR="009126D7" w:rsidRPr="00AE6D4A" w:rsidRDefault="009126D7" w:rsidP="00CA482D">
            <w:pPr>
              <w:pStyle w:val="-a"/>
              <w:tabs>
                <w:tab w:val="left" w:pos="446"/>
              </w:tabs>
              <w:spacing w:after="0"/>
              <w:ind w:left="446" w:hanging="446"/>
              <w:rPr>
                <w:color w:val="000000"/>
                <w:sz w:val="16"/>
                <w:szCs w:val="16"/>
                <w:rtl/>
                <w:lang w:eastAsia="he-IL"/>
              </w:rPr>
            </w:pPr>
            <w:r w:rsidRPr="00AE6D4A">
              <w:rPr>
                <w:sz w:val="16"/>
                <w:szCs w:val="16"/>
                <w:rtl/>
              </w:rPr>
              <w:t>(ה)</w:t>
            </w:r>
            <w:r w:rsidRPr="00AE6D4A">
              <w:rPr>
                <w:sz w:val="16"/>
                <w:szCs w:val="16"/>
                <w:rtl/>
              </w:rPr>
              <w:tab/>
            </w:r>
            <w:r w:rsidRPr="00AE6D4A">
              <w:rPr>
                <w:rFonts w:hint="eastAsia"/>
                <w:sz w:val="16"/>
                <w:szCs w:val="16"/>
                <w:rtl/>
              </w:rPr>
              <w:t>מזה</w:t>
            </w:r>
            <w:r w:rsidRPr="00AE6D4A">
              <w:rPr>
                <w:sz w:val="16"/>
                <w:szCs w:val="16"/>
                <w:rtl/>
              </w:rPr>
              <w:t xml:space="preserve">: ניירות ערך בסך ___ מיליוני </w:t>
            </w:r>
            <w:r w:rsidRPr="00AE6D4A">
              <w:rPr>
                <w:rFonts w:hint="eastAsia"/>
                <w:sz w:val="16"/>
                <w:szCs w:val="16"/>
                <w:rtl/>
              </w:rPr>
              <w:t>ש</w:t>
            </w:r>
            <w:r w:rsidRPr="00AE6D4A">
              <w:rPr>
                <w:sz w:val="16"/>
                <w:szCs w:val="16"/>
                <w:rtl/>
              </w:rPr>
              <w:t>"ח (</w:t>
            </w:r>
            <w:r w:rsidRPr="00AE6D4A">
              <w:rPr>
                <w:rFonts w:hint="eastAsia"/>
                <w:sz w:val="16"/>
                <w:szCs w:val="16"/>
                <w:rtl/>
              </w:rPr>
              <w:t>ליום</w:t>
            </w:r>
            <w:r w:rsidRPr="00AE6D4A">
              <w:rPr>
                <w:sz w:val="16"/>
                <w:szCs w:val="16"/>
                <w:rtl/>
              </w:rPr>
              <w:t xml:space="preserve"> 30 ביוני </w:t>
            </w:r>
            <w:r w:rsidR="00FE378E" w:rsidRPr="00AE6D4A">
              <w:rPr>
                <w:sz w:val="12"/>
                <w:szCs w:val="12"/>
                <w:rtl/>
              </w:rPr>
              <w:fldChar w:fldCharType="begin"/>
            </w:r>
            <w:r w:rsidR="00FE378E" w:rsidRPr="00AE6D4A">
              <w:rPr>
                <w:sz w:val="12"/>
                <w:szCs w:val="12"/>
                <w:rtl/>
              </w:rPr>
              <w:instrText xml:space="preserve"> </w:instrText>
            </w:r>
            <w:r w:rsidR="00FE378E" w:rsidRPr="00AE6D4A">
              <w:rPr>
                <w:rFonts w:hint="cs"/>
                <w:sz w:val="12"/>
                <w:szCs w:val="12"/>
                <w:rtl/>
              </w:rPr>
              <w:instrText xml:space="preserve">= </w:instrText>
            </w:r>
            <w:r w:rsidR="00FE378E" w:rsidRPr="00AE6D4A">
              <w:rPr>
                <w:rFonts w:hint="cs"/>
                <w:sz w:val="12"/>
                <w:szCs w:val="12"/>
              </w:rPr>
              <w:instrText>CY</w:instrText>
            </w:r>
            <w:r w:rsidR="00FE378E" w:rsidRPr="00AE6D4A">
              <w:rPr>
                <w:sz w:val="12"/>
                <w:szCs w:val="12"/>
              </w:rPr>
              <w:instrText>-1</w:instrText>
            </w:r>
            <w:r w:rsidR="00FE378E" w:rsidRPr="00AE6D4A">
              <w:rPr>
                <w:rFonts w:hint="cs"/>
                <w:sz w:val="12"/>
                <w:szCs w:val="12"/>
              </w:rPr>
              <w:instrText xml:space="preserve"> \* MERGEFORMAT</w:instrText>
            </w:r>
            <w:r w:rsidR="00FE378E" w:rsidRPr="00AE6D4A">
              <w:rPr>
                <w:sz w:val="12"/>
                <w:szCs w:val="12"/>
                <w:rtl/>
              </w:rPr>
              <w:instrText xml:space="preserve"> </w:instrText>
            </w:r>
            <w:r w:rsidR="00FE378E" w:rsidRPr="00AE6D4A">
              <w:rPr>
                <w:sz w:val="12"/>
                <w:szCs w:val="12"/>
                <w:rtl/>
              </w:rPr>
              <w:fldChar w:fldCharType="separate"/>
            </w:r>
            <w:r w:rsidR="003A584F" w:rsidRPr="003A584F">
              <w:rPr>
                <w:noProof/>
                <w:sz w:val="16"/>
                <w:szCs w:val="16"/>
                <w:rtl/>
              </w:rPr>
              <w:t>2023</w:t>
            </w:r>
            <w:r w:rsidR="00FE378E" w:rsidRPr="00AE6D4A">
              <w:rPr>
                <w:sz w:val="12"/>
                <w:szCs w:val="12"/>
                <w:rtl/>
              </w:rPr>
              <w:fldChar w:fldCharType="end"/>
            </w:r>
            <w:r w:rsidR="00FE378E" w:rsidRPr="00AE6D4A">
              <w:rPr>
                <w:rFonts w:hint="cs"/>
                <w:sz w:val="14"/>
                <w:szCs w:val="14"/>
                <w:rtl/>
              </w:rPr>
              <w:t xml:space="preserve"> </w:t>
            </w:r>
            <w:r w:rsidRPr="00AE6D4A">
              <w:rPr>
                <w:sz w:val="16"/>
                <w:szCs w:val="16"/>
                <w:rtl/>
              </w:rPr>
              <w:t xml:space="preserve">וליום 31 בדצמבר </w:t>
            </w:r>
            <w:r w:rsidR="00FE378E" w:rsidRPr="00AE6D4A">
              <w:rPr>
                <w:sz w:val="16"/>
                <w:szCs w:val="16"/>
                <w:rtl/>
              </w:rPr>
              <w:fldChar w:fldCharType="begin"/>
            </w:r>
            <w:r w:rsidR="00FE378E" w:rsidRPr="00AE6D4A">
              <w:rPr>
                <w:sz w:val="16"/>
                <w:szCs w:val="16"/>
                <w:rtl/>
              </w:rPr>
              <w:instrText xml:space="preserve"> </w:instrText>
            </w:r>
            <w:r w:rsidR="00FE378E" w:rsidRPr="00AE6D4A">
              <w:rPr>
                <w:rFonts w:hint="cs"/>
                <w:sz w:val="16"/>
                <w:szCs w:val="16"/>
                <w:rtl/>
              </w:rPr>
              <w:instrText xml:space="preserve">= </w:instrText>
            </w:r>
            <w:r w:rsidR="00FE378E" w:rsidRPr="00AE6D4A">
              <w:rPr>
                <w:rFonts w:hint="cs"/>
                <w:sz w:val="16"/>
                <w:szCs w:val="16"/>
              </w:rPr>
              <w:instrText>CY</w:instrText>
            </w:r>
            <w:r w:rsidR="00FE378E" w:rsidRPr="00AE6D4A">
              <w:rPr>
                <w:sz w:val="16"/>
                <w:szCs w:val="16"/>
              </w:rPr>
              <w:instrText>-1</w:instrText>
            </w:r>
            <w:r w:rsidR="00FE378E" w:rsidRPr="00AE6D4A">
              <w:rPr>
                <w:rFonts w:hint="cs"/>
                <w:sz w:val="16"/>
                <w:szCs w:val="16"/>
              </w:rPr>
              <w:instrText xml:space="preserve"> \* MERGEFORMAT</w:instrText>
            </w:r>
            <w:r w:rsidR="00FE378E" w:rsidRPr="00AE6D4A">
              <w:rPr>
                <w:sz w:val="16"/>
                <w:szCs w:val="16"/>
                <w:rtl/>
              </w:rPr>
              <w:instrText xml:space="preserve"> </w:instrText>
            </w:r>
            <w:r w:rsidR="00FE378E" w:rsidRPr="00AE6D4A">
              <w:rPr>
                <w:sz w:val="16"/>
                <w:szCs w:val="16"/>
                <w:rtl/>
              </w:rPr>
              <w:fldChar w:fldCharType="separate"/>
            </w:r>
            <w:r w:rsidR="003A584F">
              <w:rPr>
                <w:noProof/>
                <w:sz w:val="16"/>
                <w:szCs w:val="16"/>
                <w:rtl/>
              </w:rPr>
              <w:t>2023</w:t>
            </w:r>
            <w:r w:rsidR="00FE378E" w:rsidRPr="00AE6D4A">
              <w:rPr>
                <w:sz w:val="16"/>
                <w:szCs w:val="16"/>
                <w:rtl/>
              </w:rPr>
              <w:fldChar w:fldCharType="end"/>
            </w:r>
            <w:r w:rsidRPr="00AE6D4A">
              <w:rPr>
                <w:sz w:val="16"/>
                <w:szCs w:val="16"/>
                <w:rtl/>
              </w:rPr>
              <w:t xml:space="preserve">, </w:t>
            </w:r>
            <w:r w:rsidRPr="00AE6D4A">
              <w:rPr>
                <w:rFonts w:hint="eastAsia"/>
                <w:sz w:val="16"/>
                <w:szCs w:val="16"/>
                <w:rtl/>
              </w:rPr>
              <w:t>בסך</w:t>
            </w:r>
            <w:r w:rsidRPr="00AE6D4A">
              <w:rPr>
                <w:sz w:val="16"/>
                <w:szCs w:val="16"/>
                <w:rtl/>
              </w:rPr>
              <w:t xml:space="preserve"> ___, ___ </w:t>
            </w:r>
            <w:r w:rsidRPr="00AE6D4A">
              <w:rPr>
                <w:rFonts w:hint="eastAsia"/>
                <w:sz w:val="16"/>
                <w:szCs w:val="16"/>
                <w:rtl/>
              </w:rPr>
              <w:t>מיליוני</w:t>
            </w:r>
            <w:r w:rsidRPr="00AE6D4A">
              <w:rPr>
                <w:sz w:val="16"/>
                <w:szCs w:val="16"/>
                <w:rtl/>
              </w:rPr>
              <w:t xml:space="preserve"> </w:t>
            </w:r>
            <w:r w:rsidRPr="00AE6D4A">
              <w:rPr>
                <w:rFonts w:hint="eastAsia"/>
                <w:sz w:val="16"/>
                <w:szCs w:val="16"/>
                <w:rtl/>
              </w:rPr>
              <w:t>ש</w:t>
            </w:r>
            <w:r w:rsidRPr="00AE6D4A">
              <w:rPr>
                <w:sz w:val="16"/>
                <w:szCs w:val="16"/>
                <w:rtl/>
              </w:rPr>
              <w:t xml:space="preserve">"ח, </w:t>
            </w:r>
            <w:r w:rsidRPr="00AE6D4A">
              <w:rPr>
                <w:rFonts w:hint="eastAsia"/>
                <w:sz w:val="16"/>
                <w:szCs w:val="16"/>
                <w:rtl/>
              </w:rPr>
              <w:t>בהתאמה</w:t>
            </w:r>
            <w:r w:rsidRPr="00AE6D4A">
              <w:rPr>
                <w:sz w:val="16"/>
                <w:szCs w:val="16"/>
                <w:rtl/>
              </w:rPr>
              <w:t>) שסווגו כניירות ערך למסחר משום שהתאגיד הבנקאי בחר למדוד אותם בהתאם לחלופת השווי ההוגן בסעיף 20 להוראות הדיווח לציבור, למרות שהם לא נרכשו למטרות מסחר.</w:t>
            </w:r>
          </w:p>
        </w:tc>
      </w:tr>
      <w:tr w:rsidR="009126D7" w:rsidRPr="00543C25" w14:paraId="234E5552" w14:textId="77777777" w:rsidTr="009126D7">
        <w:trPr>
          <w:trHeight w:val="245"/>
        </w:trPr>
        <w:tc>
          <w:tcPr>
            <w:tcW w:w="5000" w:type="pct"/>
          </w:tcPr>
          <w:p w14:paraId="087AB99D" w14:textId="4A1BA904" w:rsidR="009126D7" w:rsidRPr="00AE6D4A" w:rsidRDefault="009126D7" w:rsidP="00CA482D">
            <w:pPr>
              <w:pStyle w:val="-a"/>
              <w:tabs>
                <w:tab w:val="left" w:pos="446"/>
              </w:tabs>
              <w:spacing w:after="0"/>
              <w:ind w:left="446" w:hanging="446"/>
              <w:rPr>
                <w:color w:val="000000"/>
                <w:sz w:val="16"/>
                <w:szCs w:val="16"/>
                <w:rtl/>
                <w:lang w:eastAsia="he-IL"/>
              </w:rPr>
            </w:pPr>
            <w:r w:rsidRPr="00AE6D4A">
              <w:rPr>
                <w:sz w:val="16"/>
                <w:szCs w:val="16"/>
                <w:rtl/>
              </w:rPr>
              <w:t>(ו)</w:t>
            </w:r>
            <w:r w:rsidRPr="00AE6D4A">
              <w:rPr>
                <w:sz w:val="16"/>
                <w:szCs w:val="16"/>
                <w:rtl/>
              </w:rPr>
              <w:tab/>
            </w:r>
            <w:r w:rsidRPr="00AE6D4A">
              <w:rPr>
                <w:rFonts w:hint="eastAsia"/>
                <w:sz w:val="16"/>
                <w:szCs w:val="16"/>
                <w:rtl/>
              </w:rPr>
              <w:t>מזה</w:t>
            </w:r>
            <w:r w:rsidRPr="00AE6D4A">
              <w:rPr>
                <w:sz w:val="16"/>
                <w:szCs w:val="16"/>
                <w:rtl/>
              </w:rPr>
              <w:t xml:space="preserve">: </w:t>
            </w:r>
            <w:r w:rsidRPr="00AE6D4A">
              <w:rPr>
                <w:rFonts w:hint="eastAsia"/>
                <w:sz w:val="16"/>
                <w:szCs w:val="16"/>
                <w:rtl/>
              </w:rPr>
              <w:t>ערך</w:t>
            </w:r>
            <w:r w:rsidRPr="00AE6D4A">
              <w:rPr>
                <w:sz w:val="16"/>
                <w:szCs w:val="16"/>
                <w:rtl/>
              </w:rPr>
              <w:t xml:space="preserve"> </w:t>
            </w:r>
            <w:r w:rsidRPr="00AE6D4A">
              <w:rPr>
                <w:rFonts w:hint="eastAsia"/>
                <w:sz w:val="16"/>
                <w:szCs w:val="16"/>
                <w:rtl/>
              </w:rPr>
              <w:t>במאזן</w:t>
            </w:r>
            <w:r w:rsidRPr="00AE6D4A">
              <w:rPr>
                <w:sz w:val="16"/>
                <w:szCs w:val="16"/>
                <w:rtl/>
              </w:rPr>
              <w:t xml:space="preserve"> </w:t>
            </w:r>
            <w:r w:rsidRPr="00AE6D4A">
              <w:rPr>
                <w:rFonts w:hint="eastAsia"/>
                <w:sz w:val="16"/>
                <w:szCs w:val="16"/>
                <w:rtl/>
              </w:rPr>
              <w:t>בסך</w:t>
            </w:r>
            <w:r w:rsidRPr="00AE6D4A">
              <w:rPr>
                <w:sz w:val="16"/>
                <w:szCs w:val="16"/>
                <w:rtl/>
              </w:rPr>
              <w:t xml:space="preserve"> ___, ___ </w:t>
            </w:r>
            <w:r w:rsidRPr="00AE6D4A">
              <w:rPr>
                <w:rFonts w:hint="eastAsia"/>
                <w:sz w:val="16"/>
                <w:szCs w:val="16"/>
                <w:rtl/>
              </w:rPr>
              <w:t>ו</w:t>
            </w:r>
            <w:r w:rsidRPr="00AE6D4A">
              <w:rPr>
                <w:sz w:val="16"/>
                <w:szCs w:val="16"/>
                <w:rtl/>
              </w:rPr>
              <w:t>-___ מיליוני ש"ח (</w:t>
            </w:r>
            <w:r w:rsidRPr="00AE6D4A">
              <w:rPr>
                <w:rFonts w:hint="eastAsia"/>
                <w:sz w:val="16"/>
                <w:szCs w:val="16"/>
                <w:rtl/>
              </w:rPr>
              <w:t>ליום</w:t>
            </w:r>
            <w:r w:rsidRPr="00AE6D4A">
              <w:rPr>
                <w:sz w:val="16"/>
                <w:szCs w:val="16"/>
                <w:rtl/>
              </w:rPr>
              <w:t xml:space="preserve"> 30 ביוני </w:t>
            </w:r>
            <w:r w:rsidR="00FE378E" w:rsidRPr="00AE6D4A">
              <w:rPr>
                <w:sz w:val="12"/>
                <w:szCs w:val="12"/>
                <w:rtl/>
              </w:rPr>
              <w:fldChar w:fldCharType="begin"/>
            </w:r>
            <w:r w:rsidR="00FE378E" w:rsidRPr="00AE6D4A">
              <w:rPr>
                <w:sz w:val="12"/>
                <w:szCs w:val="12"/>
                <w:rtl/>
              </w:rPr>
              <w:instrText xml:space="preserve"> </w:instrText>
            </w:r>
            <w:r w:rsidR="00FE378E" w:rsidRPr="00AE6D4A">
              <w:rPr>
                <w:rFonts w:hint="cs"/>
                <w:sz w:val="12"/>
                <w:szCs w:val="12"/>
                <w:rtl/>
              </w:rPr>
              <w:instrText xml:space="preserve">= </w:instrText>
            </w:r>
            <w:r w:rsidR="00FE378E" w:rsidRPr="00AE6D4A">
              <w:rPr>
                <w:rFonts w:hint="cs"/>
                <w:sz w:val="12"/>
                <w:szCs w:val="12"/>
              </w:rPr>
              <w:instrText>CY</w:instrText>
            </w:r>
            <w:r w:rsidR="00FE378E" w:rsidRPr="00AE6D4A">
              <w:rPr>
                <w:sz w:val="12"/>
                <w:szCs w:val="12"/>
              </w:rPr>
              <w:instrText>-1</w:instrText>
            </w:r>
            <w:r w:rsidR="00FE378E" w:rsidRPr="00AE6D4A">
              <w:rPr>
                <w:rFonts w:hint="cs"/>
                <w:sz w:val="12"/>
                <w:szCs w:val="12"/>
              </w:rPr>
              <w:instrText xml:space="preserve"> \* MERGEFORMAT</w:instrText>
            </w:r>
            <w:r w:rsidR="00FE378E" w:rsidRPr="00AE6D4A">
              <w:rPr>
                <w:sz w:val="12"/>
                <w:szCs w:val="12"/>
                <w:rtl/>
              </w:rPr>
              <w:instrText xml:space="preserve"> </w:instrText>
            </w:r>
            <w:r w:rsidR="00FE378E" w:rsidRPr="00AE6D4A">
              <w:rPr>
                <w:sz w:val="12"/>
                <w:szCs w:val="12"/>
                <w:rtl/>
              </w:rPr>
              <w:fldChar w:fldCharType="separate"/>
            </w:r>
            <w:r w:rsidR="003A584F" w:rsidRPr="003A584F">
              <w:rPr>
                <w:noProof/>
                <w:sz w:val="16"/>
                <w:szCs w:val="16"/>
                <w:rtl/>
              </w:rPr>
              <w:t>2023</w:t>
            </w:r>
            <w:r w:rsidR="00FE378E" w:rsidRPr="00AE6D4A">
              <w:rPr>
                <w:sz w:val="12"/>
                <w:szCs w:val="12"/>
                <w:rtl/>
              </w:rPr>
              <w:fldChar w:fldCharType="end"/>
            </w:r>
            <w:r w:rsidRPr="00AE6D4A">
              <w:rPr>
                <w:sz w:val="16"/>
                <w:szCs w:val="16"/>
                <w:rtl/>
              </w:rPr>
              <w:t xml:space="preserve">, </w:t>
            </w:r>
            <w:r w:rsidRPr="00AE6D4A">
              <w:rPr>
                <w:rFonts w:hint="eastAsia"/>
                <w:sz w:val="16"/>
                <w:szCs w:val="16"/>
                <w:rtl/>
              </w:rPr>
              <w:t>בסך</w:t>
            </w:r>
            <w:r w:rsidRPr="00AE6D4A">
              <w:rPr>
                <w:sz w:val="16"/>
                <w:szCs w:val="16"/>
                <w:rtl/>
              </w:rPr>
              <w:t xml:space="preserve"> ___, ___ ו-___ </w:t>
            </w:r>
            <w:r w:rsidRPr="00AE6D4A">
              <w:rPr>
                <w:rFonts w:hint="eastAsia"/>
                <w:sz w:val="16"/>
                <w:szCs w:val="16"/>
                <w:rtl/>
              </w:rPr>
              <w:t>מיליוני</w:t>
            </w:r>
            <w:r w:rsidRPr="00AE6D4A">
              <w:rPr>
                <w:sz w:val="16"/>
                <w:szCs w:val="16"/>
                <w:rtl/>
              </w:rPr>
              <w:t xml:space="preserve"> ש"ח ול</w:t>
            </w:r>
            <w:r w:rsidRPr="00AE6D4A">
              <w:rPr>
                <w:rFonts w:hint="eastAsia"/>
                <w:sz w:val="16"/>
                <w:szCs w:val="16"/>
                <w:rtl/>
              </w:rPr>
              <w:t>יום</w:t>
            </w:r>
            <w:r w:rsidRPr="00AE6D4A">
              <w:rPr>
                <w:sz w:val="16"/>
                <w:szCs w:val="16"/>
                <w:rtl/>
              </w:rPr>
              <w:t xml:space="preserve"> 31 בדצמבר </w:t>
            </w:r>
            <w:r w:rsidR="00FE378E" w:rsidRPr="00AE6D4A">
              <w:rPr>
                <w:sz w:val="12"/>
                <w:szCs w:val="12"/>
                <w:rtl/>
              </w:rPr>
              <w:fldChar w:fldCharType="begin"/>
            </w:r>
            <w:r w:rsidR="00FE378E" w:rsidRPr="00AE6D4A">
              <w:rPr>
                <w:sz w:val="12"/>
                <w:szCs w:val="12"/>
                <w:rtl/>
              </w:rPr>
              <w:instrText xml:space="preserve"> </w:instrText>
            </w:r>
            <w:r w:rsidR="00FE378E" w:rsidRPr="00AE6D4A">
              <w:rPr>
                <w:rFonts w:hint="cs"/>
                <w:sz w:val="12"/>
                <w:szCs w:val="12"/>
                <w:rtl/>
              </w:rPr>
              <w:instrText xml:space="preserve">= </w:instrText>
            </w:r>
            <w:r w:rsidR="00FE378E" w:rsidRPr="00AE6D4A">
              <w:rPr>
                <w:rFonts w:hint="cs"/>
                <w:sz w:val="12"/>
                <w:szCs w:val="12"/>
              </w:rPr>
              <w:instrText>CY</w:instrText>
            </w:r>
            <w:r w:rsidR="00FE378E" w:rsidRPr="00AE6D4A">
              <w:rPr>
                <w:sz w:val="12"/>
                <w:szCs w:val="12"/>
              </w:rPr>
              <w:instrText>-1</w:instrText>
            </w:r>
            <w:r w:rsidR="00FE378E" w:rsidRPr="00AE6D4A">
              <w:rPr>
                <w:rFonts w:hint="cs"/>
                <w:sz w:val="12"/>
                <w:szCs w:val="12"/>
              </w:rPr>
              <w:instrText xml:space="preserve"> \* MERGEFORMAT</w:instrText>
            </w:r>
            <w:r w:rsidR="00FE378E" w:rsidRPr="00AE6D4A">
              <w:rPr>
                <w:sz w:val="12"/>
                <w:szCs w:val="12"/>
                <w:rtl/>
              </w:rPr>
              <w:instrText xml:space="preserve"> </w:instrText>
            </w:r>
            <w:r w:rsidR="00FE378E" w:rsidRPr="00AE6D4A">
              <w:rPr>
                <w:sz w:val="12"/>
                <w:szCs w:val="12"/>
                <w:rtl/>
              </w:rPr>
              <w:fldChar w:fldCharType="separate"/>
            </w:r>
            <w:r w:rsidR="003A584F" w:rsidRPr="003A584F">
              <w:rPr>
                <w:noProof/>
                <w:sz w:val="16"/>
                <w:szCs w:val="16"/>
                <w:rtl/>
              </w:rPr>
              <w:t>2023</w:t>
            </w:r>
            <w:r w:rsidR="00FE378E" w:rsidRPr="00AE6D4A">
              <w:rPr>
                <w:sz w:val="12"/>
                <w:szCs w:val="12"/>
                <w:rtl/>
              </w:rPr>
              <w:fldChar w:fldCharType="end"/>
            </w:r>
            <w:r w:rsidRPr="00AE6D4A">
              <w:rPr>
                <w:sz w:val="16"/>
                <w:szCs w:val="16"/>
                <w:rtl/>
              </w:rPr>
              <w:t xml:space="preserve">, </w:t>
            </w:r>
            <w:r w:rsidRPr="00AE6D4A">
              <w:rPr>
                <w:rFonts w:hint="eastAsia"/>
                <w:sz w:val="16"/>
                <w:szCs w:val="16"/>
                <w:rtl/>
              </w:rPr>
              <w:t>בסך</w:t>
            </w:r>
            <w:r w:rsidRPr="00AE6D4A">
              <w:rPr>
                <w:sz w:val="16"/>
                <w:szCs w:val="16"/>
                <w:rtl/>
              </w:rPr>
              <w:t xml:space="preserve"> ___, ___ ו-___ מיל</w:t>
            </w:r>
            <w:r w:rsidRPr="00AE6D4A">
              <w:rPr>
                <w:rFonts w:hint="eastAsia"/>
                <w:sz w:val="16"/>
                <w:szCs w:val="16"/>
                <w:rtl/>
              </w:rPr>
              <w:t>יוני</w:t>
            </w:r>
            <w:r w:rsidRPr="00AE6D4A">
              <w:rPr>
                <w:sz w:val="16"/>
                <w:szCs w:val="16"/>
                <w:rtl/>
              </w:rPr>
              <w:t xml:space="preserve"> </w:t>
            </w:r>
            <w:r w:rsidRPr="00AE6D4A">
              <w:rPr>
                <w:rFonts w:hint="eastAsia"/>
                <w:sz w:val="16"/>
                <w:szCs w:val="16"/>
                <w:rtl/>
              </w:rPr>
              <w:t>ש</w:t>
            </w:r>
            <w:r w:rsidRPr="00AE6D4A">
              <w:rPr>
                <w:sz w:val="16"/>
                <w:szCs w:val="16"/>
                <w:rtl/>
              </w:rPr>
              <w:t xml:space="preserve">"ח, </w:t>
            </w:r>
            <w:r w:rsidRPr="00AE6D4A">
              <w:rPr>
                <w:rFonts w:hint="eastAsia"/>
                <w:sz w:val="16"/>
                <w:szCs w:val="16"/>
                <w:rtl/>
              </w:rPr>
              <w:t>בהתאמה</w:t>
            </w:r>
            <w:r w:rsidRPr="00AE6D4A">
              <w:rPr>
                <w:sz w:val="16"/>
                <w:szCs w:val="16"/>
                <w:rtl/>
              </w:rPr>
              <w:t xml:space="preserve">) </w:t>
            </w:r>
            <w:r w:rsidRPr="00AE6D4A">
              <w:rPr>
                <w:rFonts w:hint="eastAsia"/>
                <w:sz w:val="16"/>
                <w:szCs w:val="16"/>
                <w:rtl/>
              </w:rPr>
              <w:t>בגין</w:t>
            </w:r>
            <w:r w:rsidRPr="00AE6D4A">
              <w:rPr>
                <w:sz w:val="16"/>
                <w:szCs w:val="16"/>
                <w:rtl/>
              </w:rPr>
              <w:t xml:space="preserve"> </w:t>
            </w:r>
            <w:r w:rsidR="00A674A4" w:rsidRPr="00AE6D4A">
              <w:rPr>
                <w:rFonts w:hint="eastAsia"/>
                <w:sz w:val="16"/>
                <w:szCs w:val="16"/>
                <w:rtl/>
              </w:rPr>
              <w:t>אגרות</w:t>
            </w:r>
            <w:r w:rsidRPr="00AE6D4A">
              <w:rPr>
                <w:sz w:val="16"/>
                <w:szCs w:val="16"/>
                <w:rtl/>
              </w:rPr>
              <w:t xml:space="preserve"> </w:t>
            </w:r>
            <w:r w:rsidRPr="00AE6D4A">
              <w:rPr>
                <w:rFonts w:hint="eastAsia"/>
                <w:sz w:val="16"/>
                <w:szCs w:val="16"/>
                <w:rtl/>
              </w:rPr>
              <w:t>חוב</w:t>
            </w:r>
            <w:r w:rsidRPr="00AE6D4A">
              <w:rPr>
                <w:sz w:val="16"/>
                <w:szCs w:val="16"/>
                <w:rtl/>
              </w:rPr>
              <w:t xml:space="preserve"> </w:t>
            </w:r>
            <w:r w:rsidRPr="00AE6D4A">
              <w:rPr>
                <w:rFonts w:hint="eastAsia"/>
                <w:sz w:val="16"/>
                <w:szCs w:val="16"/>
                <w:rtl/>
              </w:rPr>
              <w:t>של</w:t>
            </w:r>
            <w:r w:rsidRPr="00AE6D4A">
              <w:rPr>
                <w:sz w:val="16"/>
                <w:szCs w:val="16"/>
                <w:rtl/>
              </w:rPr>
              <w:t xml:space="preserve"> </w:t>
            </w:r>
            <w:r w:rsidRPr="00AE6D4A">
              <w:rPr>
                <w:rFonts w:hint="eastAsia"/>
                <w:sz w:val="16"/>
                <w:szCs w:val="16"/>
                <w:rtl/>
              </w:rPr>
              <w:t>חברות</w:t>
            </w:r>
            <w:r w:rsidRPr="00AE6D4A">
              <w:rPr>
                <w:sz w:val="16"/>
                <w:szCs w:val="16"/>
                <w:rtl/>
              </w:rPr>
              <w:t xml:space="preserve"> </w:t>
            </w:r>
            <w:r w:rsidRPr="00AE6D4A">
              <w:rPr>
                <w:rFonts w:hint="eastAsia"/>
                <w:sz w:val="16"/>
                <w:szCs w:val="16"/>
                <w:rtl/>
              </w:rPr>
              <w:t>מאוחדות</w:t>
            </w:r>
            <w:r w:rsidRPr="00AE6D4A">
              <w:rPr>
                <w:sz w:val="16"/>
                <w:szCs w:val="16"/>
                <w:rtl/>
              </w:rPr>
              <w:t xml:space="preserve">, </w:t>
            </w:r>
            <w:r w:rsidRPr="00AE6D4A">
              <w:rPr>
                <w:rFonts w:hint="cs"/>
                <w:sz w:val="16"/>
                <w:szCs w:val="16"/>
                <w:rtl/>
              </w:rPr>
              <w:t xml:space="preserve">של </w:t>
            </w:r>
            <w:r w:rsidRPr="00AE6D4A">
              <w:rPr>
                <w:rFonts w:hint="eastAsia"/>
                <w:sz w:val="16"/>
                <w:szCs w:val="16"/>
                <w:rtl/>
              </w:rPr>
              <w:t>חברות</w:t>
            </w:r>
            <w:r w:rsidRPr="00AE6D4A">
              <w:rPr>
                <w:sz w:val="16"/>
                <w:szCs w:val="16"/>
                <w:rtl/>
              </w:rPr>
              <w:t xml:space="preserve"> </w:t>
            </w:r>
            <w:r w:rsidRPr="00AE6D4A">
              <w:rPr>
                <w:rFonts w:hint="eastAsia"/>
                <w:sz w:val="16"/>
                <w:szCs w:val="16"/>
                <w:rtl/>
              </w:rPr>
              <w:t>כלולות</w:t>
            </w:r>
            <w:r w:rsidRPr="00AE6D4A">
              <w:rPr>
                <w:sz w:val="16"/>
                <w:szCs w:val="16"/>
                <w:rtl/>
              </w:rPr>
              <w:t xml:space="preserve"> ושל חברות האם או חברות בשליטתן, בהתאמה.</w:t>
            </w:r>
          </w:p>
          <w:p w14:paraId="672F7953" w14:textId="7B01D32C" w:rsidR="009126D7" w:rsidRPr="00AE6D4A" w:rsidRDefault="009126D7" w:rsidP="00CA482D">
            <w:pPr>
              <w:pStyle w:val="-a"/>
              <w:spacing w:after="0"/>
              <w:ind w:left="446"/>
              <w:rPr>
                <w:color w:val="000000"/>
                <w:sz w:val="16"/>
                <w:szCs w:val="16"/>
                <w:rtl/>
                <w:lang w:eastAsia="he-IL"/>
              </w:rPr>
            </w:pPr>
            <w:r w:rsidRPr="00AE6D4A">
              <w:rPr>
                <w:rFonts w:hint="eastAsia"/>
                <w:sz w:val="16"/>
                <w:szCs w:val="16"/>
                <w:rtl/>
              </w:rPr>
              <w:t>מזה</w:t>
            </w:r>
            <w:r w:rsidRPr="00AE6D4A">
              <w:rPr>
                <w:sz w:val="16"/>
                <w:szCs w:val="16"/>
                <w:rtl/>
              </w:rPr>
              <w:t xml:space="preserve">: </w:t>
            </w:r>
            <w:r w:rsidRPr="00AE6D4A">
              <w:rPr>
                <w:rFonts w:hint="eastAsia"/>
                <w:sz w:val="16"/>
                <w:szCs w:val="16"/>
                <w:rtl/>
              </w:rPr>
              <w:t>ערך</w:t>
            </w:r>
            <w:r w:rsidRPr="00AE6D4A">
              <w:rPr>
                <w:sz w:val="16"/>
                <w:szCs w:val="16"/>
                <w:rtl/>
              </w:rPr>
              <w:t xml:space="preserve"> </w:t>
            </w:r>
            <w:r w:rsidRPr="00AE6D4A">
              <w:rPr>
                <w:rFonts w:hint="eastAsia"/>
                <w:sz w:val="16"/>
                <w:szCs w:val="16"/>
                <w:rtl/>
              </w:rPr>
              <w:t>במאזן</w:t>
            </w:r>
            <w:r w:rsidRPr="00AE6D4A">
              <w:rPr>
                <w:sz w:val="16"/>
                <w:szCs w:val="16"/>
                <w:rtl/>
              </w:rPr>
              <w:t xml:space="preserve"> </w:t>
            </w:r>
            <w:r w:rsidRPr="00AE6D4A">
              <w:rPr>
                <w:rFonts w:hint="eastAsia"/>
                <w:sz w:val="16"/>
                <w:szCs w:val="16"/>
                <w:rtl/>
              </w:rPr>
              <w:t>בסך</w:t>
            </w:r>
            <w:r w:rsidRPr="00AE6D4A">
              <w:rPr>
                <w:sz w:val="16"/>
                <w:szCs w:val="16"/>
                <w:rtl/>
              </w:rPr>
              <w:t xml:space="preserve"> ___, ___ </w:t>
            </w:r>
            <w:r w:rsidRPr="00AE6D4A">
              <w:rPr>
                <w:rFonts w:hint="eastAsia"/>
                <w:sz w:val="16"/>
                <w:szCs w:val="16"/>
                <w:rtl/>
              </w:rPr>
              <w:t>ו</w:t>
            </w:r>
            <w:r w:rsidRPr="00AE6D4A">
              <w:rPr>
                <w:sz w:val="16"/>
                <w:szCs w:val="16"/>
                <w:rtl/>
              </w:rPr>
              <w:t>-___ מיליוני ש"ח (</w:t>
            </w:r>
            <w:r w:rsidRPr="00AE6D4A">
              <w:rPr>
                <w:rFonts w:hint="eastAsia"/>
                <w:sz w:val="16"/>
                <w:szCs w:val="16"/>
                <w:rtl/>
              </w:rPr>
              <w:t>ליום</w:t>
            </w:r>
            <w:r w:rsidRPr="00AE6D4A">
              <w:rPr>
                <w:sz w:val="16"/>
                <w:szCs w:val="16"/>
                <w:rtl/>
              </w:rPr>
              <w:t xml:space="preserve"> 30 ביוני </w:t>
            </w:r>
            <w:r w:rsidR="00FE378E" w:rsidRPr="00AE6D4A">
              <w:rPr>
                <w:sz w:val="12"/>
                <w:szCs w:val="12"/>
                <w:rtl/>
              </w:rPr>
              <w:fldChar w:fldCharType="begin"/>
            </w:r>
            <w:r w:rsidR="00FE378E" w:rsidRPr="00AE6D4A">
              <w:rPr>
                <w:sz w:val="12"/>
                <w:szCs w:val="12"/>
                <w:rtl/>
              </w:rPr>
              <w:instrText xml:space="preserve"> </w:instrText>
            </w:r>
            <w:r w:rsidR="00FE378E" w:rsidRPr="00AE6D4A">
              <w:rPr>
                <w:rFonts w:hint="cs"/>
                <w:sz w:val="12"/>
                <w:szCs w:val="12"/>
                <w:rtl/>
              </w:rPr>
              <w:instrText xml:space="preserve">= </w:instrText>
            </w:r>
            <w:r w:rsidR="00FE378E" w:rsidRPr="00AE6D4A">
              <w:rPr>
                <w:rFonts w:hint="cs"/>
                <w:sz w:val="12"/>
                <w:szCs w:val="12"/>
              </w:rPr>
              <w:instrText>CY</w:instrText>
            </w:r>
            <w:r w:rsidR="00FE378E" w:rsidRPr="00AE6D4A">
              <w:rPr>
                <w:sz w:val="12"/>
                <w:szCs w:val="12"/>
              </w:rPr>
              <w:instrText>-1</w:instrText>
            </w:r>
            <w:r w:rsidR="00FE378E" w:rsidRPr="00AE6D4A">
              <w:rPr>
                <w:rFonts w:hint="cs"/>
                <w:sz w:val="12"/>
                <w:szCs w:val="12"/>
              </w:rPr>
              <w:instrText xml:space="preserve"> \* MERGEFORMAT</w:instrText>
            </w:r>
            <w:r w:rsidR="00FE378E" w:rsidRPr="00AE6D4A">
              <w:rPr>
                <w:sz w:val="12"/>
                <w:szCs w:val="12"/>
                <w:rtl/>
              </w:rPr>
              <w:instrText xml:space="preserve"> </w:instrText>
            </w:r>
            <w:r w:rsidR="00FE378E" w:rsidRPr="00AE6D4A">
              <w:rPr>
                <w:sz w:val="12"/>
                <w:szCs w:val="12"/>
                <w:rtl/>
              </w:rPr>
              <w:fldChar w:fldCharType="separate"/>
            </w:r>
            <w:r w:rsidR="003A584F" w:rsidRPr="003A584F">
              <w:rPr>
                <w:noProof/>
                <w:sz w:val="16"/>
                <w:szCs w:val="16"/>
                <w:rtl/>
              </w:rPr>
              <w:t>2023</w:t>
            </w:r>
            <w:r w:rsidR="00FE378E" w:rsidRPr="00AE6D4A">
              <w:rPr>
                <w:sz w:val="12"/>
                <w:szCs w:val="12"/>
                <w:rtl/>
              </w:rPr>
              <w:fldChar w:fldCharType="end"/>
            </w:r>
            <w:r w:rsidRPr="00AE6D4A">
              <w:rPr>
                <w:sz w:val="16"/>
                <w:szCs w:val="16"/>
                <w:rtl/>
              </w:rPr>
              <w:t xml:space="preserve">, </w:t>
            </w:r>
            <w:r w:rsidRPr="00AE6D4A">
              <w:rPr>
                <w:rFonts w:hint="eastAsia"/>
                <w:sz w:val="16"/>
                <w:szCs w:val="16"/>
                <w:rtl/>
              </w:rPr>
              <w:t>בסך</w:t>
            </w:r>
            <w:r w:rsidRPr="00AE6D4A">
              <w:rPr>
                <w:sz w:val="16"/>
                <w:szCs w:val="16"/>
                <w:rtl/>
              </w:rPr>
              <w:t xml:space="preserve"> ___, ___ ו-___ מיליוני ש"ח וליום 31 בדצמבר </w:t>
            </w:r>
            <w:r w:rsidR="00FE378E" w:rsidRPr="00AE6D4A">
              <w:rPr>
                <w:sz w:val="12"/>
                <w:szCs w:val="12"/>
                <w:rtl/>
              </w:rPr>
              <w:fldChar w:fldCharType="begin"/>
            </w:r>
            <w:r w:rsidR="00FE378E" w:rsidRPr="00AE6D4A">
              <w:rPr>
                <w:sz w:val="12"/>
                <w:szCs w:val="12"/>
                <w:rtl/>
              </w:rPr>
              <w:instrText xml:space="preserve"> </w:instrText>
            </w:r>
            <w:r w:rsidR="00FE378E" w:rsidRPr="00AE6D4A">
              <w:rPr>
                <w:rFonts w:hint="cs"/>
                <w:sz w:val="12"/>
                <w:szCs w:val="12"/>
                <w:rtl/>
              </w:rPr>
              <w:instrText xml:space="preserve">= </w:instrText>
            </w:r>
            <w:r w:rsidR="00FE378E" w:rsidRPr="00AE6D4A">
              <w:rPr>
                <w:rFonts w:hint="cs"/>
                <w:sz w:val="12"/>
                <w:szCs w:val="12"/>
              </w:rPr>
              <w:instrText>CY</w:instrText>
            </w:r>
            <w:r w:rsidR="00FE378E" w:rsidRPr="00AE6D4A">
              <w:rPr>
                <w:sz w:val="12"/>
                <w:szCs w:val="12"/>
              </w:rPr>
              <w:instrText>-1</w:instrText>
            </w:r>
            <w:r w:rsidR="00FE378E" w:rsidRPr="00AE6D4A">
              <w:rPr>
                <w:rFonts w:hint="cs"/>
                <w:sz w:val="12"/>
                <w:szCs w:val="12"/>
              </w:rPr>
              <w:instrText xml:space="preserve"> \* MERGEFORMAT</w:instrText>
            </w:r>
            <w:r w:rsidR="00FE378E" w:rsidRPr="00AE6D4A">
              <w:rPr>
                <w:sz w:val="12"/>
                <w:szCs w:val="12"/>
                <w:rtl/>
              </w:rPr>
              <w:instrText xml:space="preserve"> </w:instrText>
            </w:r>
            <w:r w:rsidR="00FE378E" w:rsidRPr="00AE6D4A">
              <w:rPr>
                <w:sz w:val="12"/>
                <w:szCs w:val="12"/>
                <w:rtl/>
              </w:rPr>
              <w:fldChar w:fldCharType="separate"/>
            </w:r>
            <w:r w:rsidR="003A584F" w:rsidRPr="003A584F">
              <w:rPr>
                <w:noProof/>
                <w:sz w:val="16"/>
                <w:szCs w:val="16"/>
                <w:rtl/>
              </w:rPr>
              <w:t>2023</w:t>
            </w:r>
            <w:r w:rsidR="00FE378E" w:rsidRPr="00AE6D4A">
              <w:rPr>
                <w:sz w:val="12"/>
                <w:szCs w:val="12"/>
                <w:rtl/>
              </w:rPr>
              <w:fldChar w:fldCharType="end"/>
            </w:r>
            <w:r w:rsidRPr="00AE6D4A">
              <w:rPr>
                <w:sz w:val="16"/>
                <w:szCs w:val="16"/>
                <w:rtl/>
              </w:rPr>
              <w:t xml:space="preserve">, </w:t>
            </w:r>
            <w:r w:rsidRPr="00AE6D4A">
              <w:rPr>
                <w:rFonts w:hint="eastAsia"/>
                <w:sz w:val="16"/>
                <w:szCs w:val="16"/>
                <w:rtl/>
              </w:rPr>
              <w:t>בסך</w:t>
            </w:r>
            <w:r w:rsidRPr="00AE6D4A">
              <w:rPr>
                <w:sz w:val="16"/>
                <w:szCs w:val="16"/>
                <w:rtl/>
              </w:rPr>
              <w:t xml:space="preserve"> ___, ___ ו- ___ מיל</w:t>
            </w:r>
            <w:r w:rsidRPr="00AE6D4A">
              <w:rPr>
                <w:rFonts w:hint="eastAsia"/>
                <w:sz w:val="16"/>
                <w:szCs w:val="16"/>
                <w:rtl/>
              </w:rPr>
              <w:t>יוני</w:t>
            </w:r>
            <w:r w:rsidRPr="00AE6D4A">
              <w:rPr>
                <w:sz w:val="16"/>
                <w:szCs w:val="16"/>
                <w:rtl/>
              </w:rPr>
              <w:t xml:space="preserve"> </w:t>
            </w:r>
            <w:r w:rsidRPr="00AE6D4A">
              <w:rPr>
                <w:rFonts w:hint="eastAsia"/>
                <w:sz w:val="16"/>
                <w:szCs w:val="16"/>
                <w:rtl/>
              </w:rPr>
              <w:t>ש</w:t>
            </w:r>
            <w:r w:rsidRPr="00AE6D4A">
              <w:rPr>
                <w:sz w:val="16"/>
                <w:szCs w:val="16"/>
                <w:rtl/>
              </w:rPr>
              <w:t xml:space="preserve">"ח, </w:t>
            </w:r>
            <w:r w:rsidRPr="00AE6D4A">
              <w:rPr>
                <w:rFonts w:hint="eastAsia"/>
                <w:sz w:val="16"/>
                <w:szCs w:val="16"/>
                <w:rtl/>
              </w:rPr>
              <w:t>בהתאמה</w:t>
            </w:r>
            <w:r w:rsidRPr="00AE6D4A">
              <w:rPr>
                <w:sz w:val="16"/>
                <w:szCs w:val="16"/>
                <w:rtl/>
              </w:rPr>
              <w:t xml:space="preserve">) </w:t>
            </w:r>
            <w:r w:rsidRPr="00AE6D4A">
              <w:rPr>
                <w:rFonts w:hint="eastAsia"/>
                <w:sz w:val="16"/>
                <w:szCs w:val="16"/>
                <w:rtl/>
              </w:rPr>
              <w:t>בגין</w:t>
            </w:r>
            <w:r w:rsidRPr="00AE6D4A">
              <w:rPr>
                <w:sz w:val="16"/>
                <w:szCs w:val="16"/>
                <w:rtl/>
              </w:rPr>
              <w:t xml:space="preserve"> </w:t>
            </w:r>
            <w:r w:rsidRPr="00AE6D4A">
              <w:rPr>
                <w:rFonts w:hint="eastAsia"/>
                <w:sz w:val="16"/>
                <w:szCs w:val="16"/>
                <w:rtl/>
              </w:rPr>
              <w:t>מניות</w:t>
            </w:r>
            <w:r w:rsidRPr="00AE6D4A">
              <w:rPr>
                <w:sz w:val="16"/>
                <w:szCs w:val="16"/>
                <w:rtl/>
              </w:rPr>
              <w:t xml:space="preserve"> </w:t>
            </w:r>
            <w:r w:rsidRPr="00AE6D4A">
              <w:rPr>
                <w:rFonts w:hint="eastAsia"/>
                <w:sz w:val="16"/>
                <w:szCs w:val="16"/>
                <w:rtl/>
              </w:rPr>
              <w:t>של</w:t>
            </w:r>
            <w:r w:rsidRPr="00AE6D4A">
              <w:rPr>
                <w:sz w:val="16"/>
                <w:szCs w:val="16"/>
                <w:rtl/>
              </w:rPr>
              <w:t xml:space="preserve"> </w:t>
            </w:r>
            <w:r w:rsidRPr="00AE6D4A">
              <w:rPr>
                <w:rFonts w:hint="eastAsia"/>
                <w:sz w:val="16"/>
                <w:szCs w:val="16"/>
                <w:rtl/>
              </w:rPr>
              <w:t>חברות</w:t>
            </w:r>
            <w:r w:rsidRPr="00AE6D4A">
              <w:rPr>
                <w:sz w:val="16"/>
                <w:szCs w:val="16"/>
                <w:rtl/>
              </w:rPr>
              <w:t xml:space="preserve"> </w:t>
            </w:r>
            <w:r w:rsidRPr="00AE6D4A">
              <w:rPr>
                <w:rFonts w:hint="eastAsia"/>
                <w:sz w:val="16"/>
                <w:szCs w:val="16"/>
                <w:rtl/>
              </w:rPr>
              <w:t>מאוחדות</w:t>
            </w:r>
            <w:r w:rsidRPr="00AE6D4A">
              <w:rPr>
                <w:sz w:val="16"/>
                <w:szCs w:val="16"/>
                <w:rtl/>
              </w:rPr>
              <w:t xml:space="preserve">, </w:t>
            </w:r>
            <w:r w:rsidRPr="00AE6D4A">
              <w:rPr>
                <w:rFonts w:hint="cs"/>
                <w:sz w:val="16"/>
                <w:szCs w:val="16"/>
                <w:rtl/>
              </w:rPr>
              <w:t xml:space="preserve">של </w:t>
            </w:r>
            <w:r w:rsidRPr="00AE6D4A">
              <w:rPr>
                <w:rFonts w:hint="eastAsia"/>
                <w:sz w:val="16"/>
                <w:szCs w:val="16"/>
                <w:rtl/>
              </w:rPr>
              <w:t>חברות</w:t>
            </w:r>
            <w:r w:rsidRPr="00AE6D4A">
              <w:rPr>
                <w:sz w:val="16"/>
                <w:szCs w:val="16"/>
                <w:rtl/>
              </w:rPr>
              <w:t xml:space="preserve"> </w:t>
            </w:r>
            <w:r w:rsidRPr="00AE6D4A">
              <w:rPr>
                <w:rFonts w:hint="eastAsia"/>
                <w:sz w:val="16"/>
                <w:szCs w:val="16"/>
                <w:rtl/>
              </w:rPr>
              <w:t>כלולות</w:t>
            </w:r>
            <w:r w:rsidRPr="00AE6D4A">
              <w:rPr>
                <w:sz w:val="16"/>
                <w:szCs w:val="16"/>
                <w:rtl/>
              </w:rPr>
              <w:t xml:space="preserve"> ושל חברות האם או חברות בשליטתן, בהתאמה.</w:t>
            </w:r>
          </w:p>
        </w:tc>
      </w:tr>
      <w:tr w:rsidR="009126D7" w:rsidRPr="00543C25" w14:paraId="263ECBB9" w14:textId="77777777" w:rsidTr="009126D7">
        <w:trPr>
          <w:trHeight w:val="245"/>
        </w:trPr>
        <w:tc>
          <w:tcPr>
            <w:tcW w:w="5000" w:type="pct"/>
          </w:tcPr>
          <w:p w14:paraId="0F2C0169" w14:textId="77777777" w:rsidR="009126D7" w:rsidRDefault="009126D7" w:rsidP="000446FA">
            <w:pPr>
              <w:spacing w:before="120" w:line="160" w:lineRule="exact"/>
              <w:rPr>
                <w:sz w:val="18"/>
                <w:szCs w:val="18"/>
                <w:rtl/>
              </w:rPr>
            </w:pPr>
            <w:r>
              <w:rPr>
                <w:rFonts w:hint="cs"/>
                <w:sz w:val="18"/>
                <w:szCs w:val="18"/>
                <w:rtl/>
              </w:rPr>
              <w:t>ל</w:t>
            </w:r>
            <w:r w:rsidRPr="00B44059">
              <w:rPr>
                <w:rFonts w:hint="eastAsia"/>
                <w:sz w:val="18"/>
                <w:szCs w:val="18"/>
                <w:rtl/>
              </w:rPr>
              <w:t>פירוט</w:t>
            </w:r>
            <w:r w:rsidRPr="00B44059">
              <w:rPr>
                <w:sz w:val="18"/>
                <w:szCs w:val="18"/>
                <w:rtl/>
              </w:rPr>
              <w:t xml:space="preserve"> </w:t>
            </w:r>
            <w:r w:rsidRPr="00B44059">
              <w:rPr>
                <w:rFonts w:hint="eastAsia"/>
                <w:sz w:val="18"/>
                <w:szCs w:val="18"/>
                <w:rtl/>
              </w:rPr>
              <w:t>תוצאות</w:t>
            </w:r>
            <w:r w:rsidRPr="00B44059">
              <w:rPr>
                <w:sz w:val="18"/>
                <w:szCs w:val="18"/>
                <w:rtl/>
              </w:rPr>
              <w:t xml:space="preserve"> </w:t>
            </w:r>
            <w:r w:rsidRPr="00B44059">
              <w:rPr>
                <w:rFonts w:hint="eastAsia"/>
                <w:sz w:val="18"/>
                <w:szCs w:val="18"/>
                <w:rtl/>
              </w:rPr>
              <w:t>הפעילות</w:t>
            </w:r>
            <w:r w:rsidRPr="00B44059">
              <w:rPr>
                <w:sz w:val="18"/>
                <w:szCs w:val="18"/>
                <w:rtl/>
              </w:rPr>
              <w:t xml:space="preserve"> </w:t>
            </w:r>
            <w:r w:rsidRPr="00B44059">
              <w:rPr>
                <w:rFonts w:hint="eastAsia"/>
                <w:sz w:val="18"/>
                <w:szCs w:val="18"/>
                <w:rtl/>
              </w:rPr>
              <w:t>בהשקעות</w:t>
            </w:r>
            <w:r w:rsidRPr="00B44059">
              <w:rPr>
                <w:sz w:val="18"/>
                <w:szCs w:val="18"/>
                <w:rtl/>
              </w:rPr>
              <w:t xml:space="preserve"> </w:t>
            </w:r>
            <w:r w:rsidRPr="00B44059">
              <w:rPr>
                <w:rFonts w:hint="eastAsia"/>
                <w:sz w:val="18"/>
                <w:szCs w:val="18"/>
                <w:rtl/>
              </w:rPr>
              <w:t>ב</w:t>
            </w:r>
            <w:r w:rsidR="00A674A4">
              <w:rPr>
                <w:rFonts w:hint="eastAsia"/>
                <w:sz w:val="18"/>
                <w:szCs w:val="18"/>
                <w:rtl/>
              </w:rPr>
              <w:t>אגרות</w:t>
            </w:r>
            <w:r w:rsidRPr="00B44059">
              <w:rPr>
                <w:sz w:val="18"/>
                <w:szCs w:val="18"/>
                <w:rtl/>
              </w:rPr>
              <w:t xml:space="preserve"> </w:t>
            </w:r>
            <w:r w:rsidRPr="00B44059">
              <w:rPr>
                <w:rFonts w:hint="eastAsia"/>
                <w:sz w:val="18"/>
                <w:szCs w:val="18"/>
                <w:rtl/>
              </w:rPr>
              <w:t>חוב</w:t>
            </w:r>
            <w:r w:rsidRPr="00B44059">
              <w:rPr>
                <w:sz w:val="18"/>
                <w:szCs w:val="18"/>
                <w:rtl/>
              </w:rPr>
              <w:t xml:space="preserve"> ובמניות - ראה </w:t>
            </w:r>
            <w:r w:rsidRPr="00B44059">
              <w:rPr>
                <w:rFonts w:hint="eastAsia"/>
                <w:sz w:val="18"/>
                <w:szCs w:val="18"/>
                <w:rtl/>
              </w:rPr>
              <w:t>בביאורים</w:t>
            </w:r>
            <w:r w:rsidRPr="00B44059">
              <w:rPr>
                <w:sz w:val="18"/>
                <w:szCs w:val="18"/>
                <w:rtl/>
              </w:rPr>
              <w:t xml:space="preserve"> 2 ו-3.</w:t>
            </w:r>
          </w:p>
        </w:tc>
      </w:tr>
    </w:tbl>
    <w:p w14:paraId="521A42FC" w14:textId="77777777" w:rsidR="006E7E3E" w:rsidRDefault="006E7E3E" w:rsidP="003213CD">
      <w:pPr>
        <w:pStyle w:val="-2"/>
        <w:rPr>
          <w:rtl/>
        </w:rPr>
        <w:sectPr w:rsidR="006E7E3E" w:rsidSect="00587121">
          <w:headerReference w:type="even" r:id="rId43"/>
          <w:headerReference w:type="default" r:id="rId44"/>
          <w:footnotePr>
            <w:numRestart w:val="eachPage"/>
          </w:footnotePr>
          <w:pgSz w:w="16834" w:h="11909" w:orient="landscape" w:code="9"/>
          <w:pgMar w:top="851" w:right="851" w:bottom="851" w:left="851" w:header="720" w:footer="720" w:gutter="0"/>
          <w:cols w:space="720"/>
          <w:bidi/>
          <w:rtlGutter/>
          <w:docGrid w:linePitch="360"/>
        </w:sectPr>
      </w:pPr>
    </w:p>
    <w:tbl>
      <w:tblPr>
        <w:bidiVisual/>
        <w:tblW w:w="5175" w:type="pct"/>
        <w:tblLook w:val="04A0" w:firstRow="1" w:lastRow="0" w:firstColumn="1" w:lastColumn="0" w:noHBand="0" w:noVBand="1"/>
      </w:tblPr>
      <w:tblGrid>
        <w:gridCol w:w="1474"/>
        <w:gridCol w:w="9090"/>
      </w:tblGrid>
      <w:tr w:rsidR="004D0DE1" w:rsidRPr="00543C25" w14:paraId="19C33D15" w14:textId="77777777" w:rsidTr="00EC46DF">
        <w:trPr>
          <w:trHeight w:val="259"/>
        </w:trPr>
        <w:tc>
          <w:tcPr>
            <w:tcW w:w="1474" w:type="dxa"/>
          </w:tcPr>
          <w:p w14:paraId="5488A206" w14:textId="77777777" w:rsidR="004D0DE1" w:rsidRPr="00543C25" w:rsidRDefault="004D0DE1" w:rsidP="00D268FB">
            <w:pPr>
              <w:pStyle w:val="-fa"/>
              <w:spacing w:before="0" w:after="60"/>
              <w:rPr>
                <w:rtl/>
              </w:rPr>
            </w:pPr>
          </w:p>
        </w:tc>
        <w:tc>
          <w:tcPr>
            <w:tcW w:w="9090" w:type="dxa"/>
          </w:tcPr>
          <w:p w14:paraId="18BCB046" w14:textId="77777777" w:rsidR="00F32A2A" w:rsidRDefault="004D0DE1">
            <w:pPr>
              <w:pStyle w:val="-8"/>
              <w:rPr>
                <w:rtl/>
              </w:rPr>
            </w:pPr>
            <w:r>
              <w:rPr>
                <w:rFonts w:hint="cs"/>
                <w:rtl/>
              </w:rPr>
              <w:t xml:space="preserve">ביאור </w:t>
            </w:r>
            <w:r w:rsidR="009627AC">
              <w:rPr>
                <w:rFonts w:hint="cs"/>
                <w:rtl/>
              </w:rPr>
              <w:t xml:space="preserve">5  </w:t>
            </w:r>
            <w:r>
              <w:rPr>
                <w:rFonts w:hint="cs"/>
                <w:rtl/>
              </w:rPr>
              <w:t>-  ניירות ערך (המשך):</w:t>
            </w:r>
          </w:p>
        </w:tc>
      </w:tr>
      <w:tr w:rsidR="00637188" w:rsidRPr="00543C25" w14:paraId="381EB6B8" w14:textId="77777777" w:rsidTr="00EC46DF">
        <w:trPr>
          <w:trHeight w:val="259"/>
        </w:trPr>
        <w:tc>
          <w:tcPr>
            <w:tcW w:w="1474" w:type="dxa"/>
          </w:tcPr>
          <w:p w14:paraId="720B0553" w14:textId="77777777" w:rsidR="00F32A2A" w:rsidRPr="00E2294E" w:rsidRDefault="00637188">
            <w:pPr>
              <w:pStyle w:val="-7"/>
              <w:spacing w:before="60" w:line="240" w:lineRule="auto"/>
              <w:jc w:val="left"/>
              <w:rPr>
                <w:sz w:val="14"/>
                <w:szCs w:val="14"/>
                <w:rtl/>
              </w:rPr>
            </w:pPr>
            <w:r w:rsidRPr="00E2294E">
              <w:rPr>
                <w:rFonts w:hint="cs"/>
                <w:sz w:val="14"/>
                <w:szCs w:val="14"/>
                <w:rtl/>
              </w:rPr>
              <w:t xml:space="preserve">ה. המפקח ס' </w:t>
            </w:r>
            <w:r w:rsidR="001A2EF6" w:rsidRPr="00E2294E">
              <w:rPr>
                <w:rFonts w:hint="cs"/>
                <w:sz w:val="14"/>
                <w:szCs w:val="14"/>
                <w:rtl/>
              </w:rPr>
              <w:t>26א(ב)</w:t>
            </w:r>
          </w:p>
          <w:p w14:paraId="2BD831EC" w14:textId="77777777" w:rsidR="00F32A2A" w:rsidRDefault="00B44059">
            <w:pPr>
              <w:pStyle w:val="-fa"/>
              <w:spacing w:before="20" w:after="60"/>
              <w:ind w:right="-142"/>
              <w:rPr>
                <w:spacing w:val="-4"/>
                <w:rtl/>
              </w:rPr>
            </w:pPr>
            <w:r w:rsidRPr="00E2294E">
              <w:rPr>
                <w:rFonts w:hint="eastAsia"/>
                <w:spacing w:val="-4"/>
                <w:rtl/>
              </w:rPr>
              <w:t>מתכונת</w:t>
            </w:r>
            <w:r w:rsidRPr="00E2294E">
              <w:rPr>
                <w:spacing w:val="-4"/>
                <w:rtl/>
              </w:rPr>
              <w:t xml:space="preserve"> ביאור </w:t>
            </w:r>
            <w:r w:rsidRPr="00E2294E">
              <w:rPr>
                <w:rFonts w:hint="eastAsia"/>
                <w:spacing w:val="-4"/>
                <w:rtl/>
              </w:rPr>
              <w:t>עמ</w:t>
            </w:r>
            <w:r w:rsidRPr="00E2294E">
              <w:rPr>
                <w:spacing w:val="-4"/>
                <w:rtl/>
              </w:rPr>
              <w:t>' 663-23</w:t>
            </w:r>
          </w:p>
        </w:tc>
        <w:tc>
          <w:tcPr>
            <w:tcW w:w="9090" w:type="dxa"/>
          </w:tcPr>
          <w:p w14:paraId="1FFFEC73" w14:textId="752A005D" w:rsidR="00F32A2A" w:rsidRDefault="00637188" w:rsidP="00EB4B4B">
            <w:pPr>
              <w:pStyle w:val="-8"/>
              <w:spacing w:before="60"/>
              <w:ind w:left="331" w:hanging="331"/>
              <w:rPr>
                <w:sz w:val="20"/>
                <w:szCs w:val="20"/>
                <w:rtl/>
              </w:rPr>
            </w:pPr>
            <w:r>
              <w:rPr>
                <w:rFonts w:hint="cs"/>
                <w:sz w:val="20"/>
                <w:szCs w:val="20"/>
                <w:rtl/>
              </w:rPr>
              <w:t>ב.</w:t>
            </w:r>
            <w:r>
              <w:rPr>
                <w:sz w:val="20"/>
                <w:szCs w:val="20"/>
                <w:rtl/>
              </w:rPr>
              <w:tab/>
            </w:r>
            <w:r w:rsidR="00B44059" w:rsidRPr="00B44059">
              <w:rPr>
                <w:rFonts w:hint="eastAsia"/>
                <w:sz w:val="20"/>
                <w:szCs w:val="20"/>
                <w:rtl/>
              </w:rPr>
              <w:t>שווי</w:t>
            </w:r>
            <w:r w:rsidR="00B44059" w:rsidRPr="00B44059">
              <w:rPr>
                <w:sz w:val="20"/>
                <w:szCs w:val="20"/>
                <w:rtl/>
              </w:rPr>
              <w:t xml:space="preserve"> </w:t>
            </w:r>
            <w:r w:rsidR="00B44059" w:rsidRPr="00B44059">
              <w:rPr>
                <w:rFonts w:hint="eastAsia"/>
                <w:sz w:val="20"/>
                <w:szCs w:val="20"/>
                <w:rtl/>
              </w:rPr>
              <w:t>הוגן</w:t>
            </w:r>
            <w:r w:rsidR="00B44059" w:rsidRPr="00B44059">
              <w:rPr>
                <w:sz w:val="20"/>
                <w:szCs w:val="20"/>
                <w:rtl/>
              </w:rPr>
              <w:t xml:space="preserve"> </w:t>
            </w:r>
            <w:r w:rsidR="00B44059" w:rsidRPr="00B44059">
              <w:rPr>
                <w:rFonts w:hint="eastAsia"/>
                <w:sz w:val="20"/>
                <w:szCs w:val="20"/>
                <w:rtl/>
              </w:rPr>
              <w:t>והפסדים</w:t>
            </w:r>
            <w:r w:rsidR="00B44059" w:rsidRPr="00B44059">
              <w:rPr>
                <w:sz w:val="20"/>
                <w:szCs w:val="20"/>
                <w:rtl/>
              </w:rPr>
              <w:t xml:space="preserve"> </w:t>
            </w:r>
            <w:r w:rsidR="00B44059" w:rsidRPr="00B44059">
              <w:rPr>
                <w:rFonts w:hint="eastAsia"/>
                <w:sz w:val="20"/>
                <w:szCs w:val="20"/>
                <w:rtl/>
              </w:rPr>
              <w:t>שטרם</w:t>
            </w:r>
            <w:r w:rsidR="00B44059" w:rsidRPr="00B44059">
              <w:rPr>
                <w:sz w:val="20"/>
                <w:szCs w:val="20"/>
                <w:rtl/>
              </w:rPr>
              <w:t xml:space="preserve"> </w:t>
            </w:r>
            <w:r w:rsidR="00B44059" w:rsidRPr="00B44059">
              <w:rPr>
                <w:rFonts w:hint="eastAsia"/>
                <w:sz w:val="20"/>
                <w:szCs w:val="20"/>
                <w:rtl/>
              </w:rPr>
              <w:t>מומשו</w:t>
            </w:r>
            <w:r w:rsidR="00B44059" w:rsidRPr="00B44059">
              <w:rPr>
                <w:sz w:val="20"/>
                <w:szCs w:val="20"/>
                <w:rtl/>
              </w:rPr>
              <w:t xml:space="preserve">, </w:t>
            </w:r>
            <w:r w:rsidR="00B44059" w:rsidRPr="00B44059">
              <w:rPr>
                <w:rFonts w:hint="eastAsia"/>
                <w:sz w:val="20"/>
                <w:szCs w:val="20"/>
                <w:rtl/>
              </w:rPr>
              <w:t>לפי</w:t>
            </w:r>
            <w:r w:rsidR="00B44059" w:rsidRPr="00B44059">
              <w:rPr>
                <w:sz w:val="20"/>
                <w:szCs w:val="20"/>
                <w:rtl/>
              </w:rPr>
              <w:t xml:space="preserve"> </w:t>
            </w:r>
            <w:r w:rsidR="00B44059" w:rsidRPr="00B44059">
              <w:rPr>
                <w:rFonts w:hint="eastAsia"/>
                <w:sz w:val="20"/>
                <w:szCs w:val="20"/>
                <w:rtl/>
              </w:rPr>
              <w:t>משך</w:t>
            </w:r>
            <w:r w:rsidR="00B44059" w:rsidRPr="00B44059">
              <w:rPr>
                <w:sz w:val="20"/>
                <w:szCs w:val="20"/>
                <w:rtl/>
              </w:rPr>
              <w:t xml:space="preserve"> </w:t>
            </w:r>
            <w:r w:rsidR="00B44059" w:rsidRPr="00B44059">
              <w:rPr>
                <w:rFonts w:hint="eastAsia"/>
                <w:sz w:val="20"/>
                <w:szCs w:val="20"/>
                <w:rtl/>
              </w:rPr>
              <w:t>זמן</w:t>
            </w:r>
            <w:r w:rsidR="00B44059" w:rsidRPr="00B44059">
              <w:rPr>
                <w:sz w:val="20"/>
                <w:szCs w:val="20"/>
                <w:rtl/>
              </w:rPr>
              <w:t xml:space="preserve"> </w:t>
            </w:r>
            <w:r w:rsidR="00B44059" w:rsidRPr="00B44059">
              <w:rPr>
                <w:rFonts w:hint="eastAsia"/>
                <w:sz w:val="20"/>
                <w:szCs w:val="20"/>
                <w:rtl/>
              </w:rPr>
              <w:t>ושיעור</w:t>
            </w:r>
            <w:r w:rsidR="00B44059" w:rsidRPr="00B44059">
              <w:rPr>
                <w:sz w:val="20"/>
                <w:szCs w:val="20"/>
                <w:rtl/>
              </w:rPr>
              <w:t xml:space="preserve"> </w:t>
            </w:r>
            <w:r w:rsidR="00B44059" w:rsidRPr="00B44059">
              <w:rPr>
                <w:rFonts w:hint="eastAsia"/>
                <w:sz w:val="20"/>
                <w:szCs w:val="20"/>
                <w:rtl/>
              </w:rPr>
              <w:t>ירידת</w:t>
            </w:r>
            <w:r w:rsidR="00B44059" w:rsidRPr="00B44059">
              <w:rPr>
                <w:sz w:val="20"/>
                <w:szCs w:val="20"/>
                <w:rtl/>
              </w:rPr>
              <w:t xml:space="preserve"> </w:t>
            </w:r>
            <w:r w:rsidR="00B44059" w:rsidRPr="00B44059">
              <w:rPr>
                <w:rFonts w:hint="eastAsia"/>
                <w:sz w:val="20"/>
                <w:szCs w:val="20"/>
                <w:rtl/>
              </w:rPr>
              <w:t>הערך</w:t>
            </w:r>
            <w:r w:rsidR="00B44059" w:rsidRPr="00B44059">
              <w:rPr>
                <w:sz w:val="20"/>
                <w:szCs w:val="20"/>
                <w:rtl/>
              </w:rPr>
              <w:t xml:space="preserve">, </w:t>
            </w:r>
            <w:r w:rsidR="00B44059" w:rsidRPr="00B44059">
              <w:rPr>
                <w:rFonts w:hint="eastAsia"/>
                <w:sz w:val="20"/>
                <w:szCs w:val="20"/>
                <w:rtl/>
              </w:rPr>
              <w:t>של</w:t>
            </w:r>
            <w:r w:rsidR="00B44059" w:rsidRPr="00B44059">
              <w:rPr>
                <w:sz w:val="20"/>
                <w:szCs w:val="20"/>
                <w:rtl/>
              </w:rPr>
              <w:t xml:space="preserve"> </w:t>
            </w:r>
            <w:r w:rsidR="00A674A4">
              <w:rPr>
                <w:rFonts w:hint="cs"/>
                <w:sz w:val="20"/>
                <w:szCs w:val="20"/>
                <w:rtl/>
              </w:rPr>
              <w:t>אגרות</w:t>
            </w:r>
            <w:r w:rsidR="004462C6">
              <w:rPr>
                <w:rFonts w:hint="cs"/>
                <w:sz w:val="20"/>
                <w:szCs w:val="20"/>
                <w:rtl/>
              </w:rPr>
              <w:t xml:space="preserve"> חוב</w:t>
            </w:r>
            <w:r w:rsidR="00B44059" w:rsidRPr="00B44059">
              <w:rPr>
                <w:sz w:val="20"/>
                <w:szCs w:val="20"/>
                <w:rtl/>
              </w:rPr>
              <w:t xml:space="preserve"> </w:t>
            </w:r>
            <w:r w:rsidR="004462C6">
              <w:rPr>
                <w:rFonts w:hint="cs"/>
                <w:sz w:val="20"/>
                <w:szCs w:val="20"/>
                <w:rtl/>
              </w:rPr>
              <w:t>זמינות</w:t>
            </w:r>
            <w:r w:rsidR="004462C6" w:rsidRPr="00B44059">
              <w:rPr>
                <w:sz w:val="20"/>
                <w:szCs w:val="20"/>
                <w:rtl/>
              </w:rPr>
              <w:t xml:space="preserve"> </w:t>
            </w:r>
            <w:r w:rsidR="00B44059" w:rsidRPr="00B44059">
              <w:rPr>
                <w:rFonts w:hint="eastAsia"/>
                <w:sz w:val="20"/>
                <w:szCs w:val="20"/>
                <w:rtl/>
              </w:rPr>
              <w:t>למכירה</w:t>
            </w:r>
            <w:r w:rsidR="00381DE8">
              <w:rPr>
                <w:rFonts w:hint="cs"/>
                <w:sz w:val="18"/>
                <w:szCs w:val="18"/>
                <w:vertAlign w:val="superscript"/>
                <w:rtl/>
              </w:rPr>
              <w:t xml:space="preserve"> </w:t>
            </w:r>
            <w:r w:rsidR="004462C6" w:rsidRPr="00B44059">
              <w:rPr>
                <w:sz w:val="20"/>
                <w:szCs w:val="20"/>
                <w:rtl/>
              </w:rPr>
              <w:t>הנמצא</w:t>
            </w:r>
            <w:r w:rsidR="004462C6">
              <w:rPr>
                <w:rFonts w:hint="cs"/>
                <w:sz w:val="20"/>
                <w:szCs w:val="20"/>
                <w:rtl/>
              </w:rPr>
              <w:t>ות</w:t>
            </w:r>
            <w:r w:rsidR="004462C6" w:rsidRPr="00B44059">
              <w:rPr>
                <w:sz w:val="20"/>
                <w:szCs w:val="20"/>
                <w:rtl/>
              </w:rPr>
              <w:t xml:space="preserve"> </w:t>
            </w:r>
            <w:r w:rsidR="00B44059" w:rsidRPr="00B44059">
              <w:rPr>
                <w:sz w:val="20"/>
                <w:szCs w:val="20"/>
                <w:rtl/>
              </w:rPr>
              <w:t>בפוזיציית הפסד שטרם מומש</w:t>
            </w:r>
            <w:r w:rsidR="00F77006">
              <w:rPr>
                <w:rFonts w:hint="cs"/>
                <w:sz w:val="20"/>
                <w:szCs w:val="20"/>
                <w:rtl/>
              </w:rPr>
              <w:t>,</w:t>
            </w:r>
            <w:r w:rsidR="00B44059" w:rsidRPr="00B44059">
              <w:rPr>
                <w:sz w:val="20"/>
                <w:szCs w:val="20"/>
                <w:rtl/>
              </w:rPr>
              <w:t xml:space="preserve"> </w:t>
            </w:r>
            <w:r w:rsidR="00F77006" w:rsidRPr="00EB3D07">
              <w:rPr>
                <w:rFonts w:hint="cs"/>
                <w:sz w:val="20"/>
                <w:szCs w:val="20"/>
                <w:rtl/>
              </w:rPr>
              <w:t>ללא הפרשה להפסדי אשראי</w:t>
            </w:r>
            <w:r w:rsidR="00F77006" w:rsidRPr="00F05272">
              <w:rPr>
                <w:rFonts w:hint="cs"/>
                <w:b w:val="0"/>
                <w:bCs w:val="0"/>
                <w:sz w:val="18"/>
                <w:szCs w:val="18"/>
                <w:vertAlign w:val="superscript"/>
                <w:rtl/>
              </w:rPr>
              <w:t>(א)</w:t>
            </w:r>
            <w:r w:rsidR="00F77006">
              <w:rPr>
                <w:rFonts w:hint="cs"/>
                <w:sz w:val="18"/>
                <w:szCs w:val="18"/>
                <w:vertAlign w:val="superscript"/>
              </w:rPr>
              <w:t xml:space="preserve"> </w:t>
            </w:r>
            <w:r w:rsidR="00B44059" w:rsidRPr="00B44059">
              <w:rPr>
                <w:sz w:val="20"/>
                <w:szCs w:val="20"/>
                <w:rtl/>
              </w:rPr>
              <w:t>על בסיס מאוחד:</w:t>
            </w:r>
          </w:p>
        </w:tc>
      </w:tr>
    </w:tbl>
    <w:p w14:paraId="0D547A80" w14:textId="77777777" w:rsidR="00F32A2A" w:rsidRDefault="00F32A2A">
      <w:pPr>
        <w:bidi w:val="0"/>
        <w:spacing w:line="60" w:lineRule="exact"/>
        <w:rPr>
          <w:rtl/>
        </w:rPr>
      </w:pPr>
    </w:p>
    <w:p w14:paraId="1A9F473E" w14:textId="77777777" w:rsidR="00206490" w:rsidRDefault="00206490"/>
    <w:tbl>
      <w:tblPr>
        <w:bidiVisual/>
        <w:tblW w:w="4906" w:type="pct"/>
        <w:tblLayout w:type="fixed"/>
        <w:tblLook w:val="04A0" w:firstRow="1" w:lastRow="0" w:firstColumn="1" w:lastColumn="0" w:noHBand="0" w:noVBand="1"/>
      </w:tblPr>
      <w:tblGrid>
        <w:gridCol w:w="1304"/>
        <w:gridCol w:w="2467"/>
        <w:gridCol w:w="689"/>
        <w:gridCol w:w="837"/>
        <w:gridCol w:w="932"/>
        <w:gridCol w:w="603"/>
        <w:gridCol w:w="800"/>
        <w:gridCol w:w="837"/>
        <w:gridCol w:w="919"/>
        <w:gridCol w:w="627"/>
      </w:tblGrid>
      <w:tr w:rsidR="00EC46DF" w:rsidRPr="00FD742C" w14:paraId="5468D31D" w14:textId="77777777" w:rsidTr="00EC46DF">
        <w:trPr>
          <w:trHeight w:val="245"/>
        </w:trPr>
        <w:tc>
          <w:tcPr>
            <w:tcW w:w="1304" w:type="dxa"/>
            <w:vAlign w:val="bottom"/>
          </w:tcPr>
          <w:p w14:paraId="7CEC492D" w14:textId="644C4A0E" w:rsidR="00EC46DF" w:rsidRPr="00FD742C" w:rsidRDefault="00EC46DF" w:rsidP="00F77006">
            <w:pPr>
              <w:pStyle w:val="-0"/>
              <w:bidi w:val="0"/>
              <w:ind w:hanging="29"/>
              <w:rPr>
                <w:rFonts w:asciiTheme="minorBidi" w:hAnsiTheme="minorBidi" w:cstheme="minorBidi"/>
                <w:b/>
                <w:bCs/>
                <w:sz w:val="16"/>
                <w:szCs w:val="16"/>
                <w:rtl/>
              </w:rPr>
            </w:pPr>
            <w:r w:rsidRPr="00FD742C">
              <w:rPr>
                <w:rFonts w:asciiTheme="minorBidi" w:hAnsiTheme="minorBidi" w:cstheme="minorBidi"/>
                <w:sz w:val="16"/>
                <w:szCs w:val="16"/>
              </w:rPr>
              <w:t xml:space="preserve"> </w:t>
            </w:r>
          </w:p>
        </w:tc>
        <w:tc>
          <w:tcPr>
            <w:tcW w:w="2467" w:type="dxa"/>
            <w:vAlign w:val="bottom"/>
          </w:tcPr>
          <w:p w14:paraId="5F05FD4B" w14:textId="77777777" w:rsidR="00EC46DF" w:rsidRPr="00FD742C" w:rsidRDefault="00EC46DF" w:rsidP="00D13B3F">
            <w:pPr>
              <w:pStyle w:val="-0"/>
              <w:jc w:val="center"/>
              <w:rPr>
                <w:rFonts w:asciiTheme="minorBidi" w:hAnsiTheme="minorBidi" w:cstheme="minorBidi"/>
                <w:b/>
                <w:bCs/>
                <w:sz w:val="16"/>
                <w:szCs w:val="16"/>
                <w:rtl/>
              </w:rPr>
            </w:pPr>
          </w:p>
        </w:tc>
        <w:tc>
          <w:tcPr>
            <w:tcW w:w="6244" w:type="dxa"/>
            <w:gridSpan w:val="8"/>
            <w:vAlign w:val="bottom"/>
          </w:tcPr>
          <w:p w14:paraId="03D318BE" w14:textId="33E0E738" w:rsidR="00EC46DF" w:rsidRPr="00FD742C" w:rsidRDefault="00EC46DF" w:rsidP="001977FC">
            <w:pPr>
              <w:pStyle w:val="-4"/>
              <w:rPr>
                <w:rFonts w:asciiTheme="minorBidi" w:hAnsiTheme="minorBidi" w:cstheme="minorBidi"/>
                <w:sz w:val="16"/>
                <w:szCs w:val="16"/>
              </w:rPr>
            </w:pPr>
            <w:r w:rsidRPr="00FD742C">
              <w:rPr>
                <w:rFonts w:asciiTheme="minorBidi" w:hAnsiTheme="minorBidi" w:cstheme="minorBidi"/>
                <w:sz w:val="16"/>
                <w:szCs w:val="16"/>
                <w:rtl/>
              </w:rPr>
              <w:t xml:space="preserve">ליום 30 ביוני </w:t>
            </w:r>
            <w:r w:rsidRPr="00FD742C">
              <w:rPr>
                <w:rFonts w:asciiTheme="minorBidi" w:hAnsiTheme="minorBidi" w:cstheme="minorBidi"/>
                <w:sz w:val="16"/>
                <w:szCs w:val="16"/>
                <w:rtl/>
              </w:rPr>
              <w:fldChar w:fldCharType="begin"/>
            </w:r>
            <w:r w:rsidRPr="00FD742C">
              <w:rPr>
                <w:rFonts w:asciiTheme="minorBidi" w:hAnsiTheme="minorBidi" w:cstheme="minorBidi"/>
                <w:sz w:val="16"/>
                <w:szCs w:val="16"/>
                <w:rtl/>
              </w:rPr>
              <w:instrText xml:space="preserve"> = </w:instrText>
            </w:r>
            <w:r w:rsidRPr="00FD742C">
              <w:rPr>
                <w:rFonts w:asciiTheme="minorBidi" w:hAnsiTheme="minorBidi" w:cstheme="minorBidi"/>
                <w:sz w:val="16"/>
                <w:szCs w:val="16"/>
              </w:rPr>
              <w:instrText>CY \* MERGEFORMAT</w:instrText>
            </w:r>
            <w:r w:rsidRPr="00FD742C">
              <w:rPr>
                <w:rFonts w:asciiTheme="minorBidi" w:hAnsiTheme="minorBidi" w:cstheme="minorBidi"/>
                <w:sz w:val="16"/>
                <w:szCs w:val="16"/>
                <w:rtl/>
              </w:rPr>
              <w:instrText xml:space="preserve"> </w:instrText>
            </w:r>
            <w:r w:rsidRPr="00FD742C">
              <w:rPr>
                <w:rFonts w:asciiTheme="minorBidi" w:hAnsiTheme="minorBidi" w:cstheme="minorBidi"/>
                <w:sz w:val="16"/>
                <w:szCs w:val="16"/>
                <w:rtl/>
              </w:rPr>
              <w:fldChar w:fldCharType="separate"/>
            </w:r>
            <w:r>
              <w:rPr>
                <w:rFonts w:asciiTheme="minorBidi" w:hAnsiTheme="minorBidi" w:cstheme="minorBidi"/>
                <w:noProof/>
                <w:sz w:val="16"/>
                <w:szCs w:val="16"/>
                <w:rtl/>
              </w:rPr>
              <w:t>2024</w:t>
            </w:r>
            <w:r w:rsidRPr="00FD742C">
              <w:rPr>
                <w:rFonts w:asciiTheme="minorBidi" w:hAnsiTheme="minorBidi" w:cstheme="minorBidi"/>
                <w:sz w:val="16"/>
                <w:szCs w:val="16"/>
                <w:rtl/>
              </w:rPr>
              <w:fldChar w:fldCharType="end"/>
            </w:r>
            <w:r>
              <w:rPr>
                <w:rFonts w:asciiTheme="minorBidi" w:hAnsiTheme="minorBidi" w:cstheme="minorBidi" w:hint="cs"/>
                <w:sz w:val="16"/>
                <w:szCs w:val="16"/>
                <w:rtl/>
              </w:rPr>
              <w:t xml:space="preserve"> </w:t>
            </w:r>
            <w:r>
              <w:rPr>
                <w:rFonts w:asciiTheme="minorBidi" w:hAnsiTheme="minorBidi" w:cstheme="minorBidi" w:hint="cs"/>
                <w:b w:val="0"/>
                <w:bCs w:val="0"/>
                <w:sz w:val="16"/>
                <w:szCs w:val="16"/>
                <w:rtl/>
              </w:rPr>
              <w:t xml:space="preserve"> </w:t>
            </w:r>
            <w:r w:rsidRPr="000446FA">
              <w:rPr>
                <w:rFonts w:asciiTheme="minorBidi" w:hAnsiTheme="minorBidi" w:cstheme="minorBidi" w:hint="cs"/>
                <w:b w:val="0"/>
                <w:bCs w:val="0"/>
                <w:sz w:val="16"/>
                <w:szCs w:val="16"/>
                <w:rtl/>
              </w:rPr>
              <w:t>(</w:t>
            </w:r>
            <w:r w:rsidRPr="000446FA">
              <w:rPr>
                <w:rFonts w:asciiTheme="minorBidi" w:hAnsiTheme="minorBidi" w:cstheme="minorBidi"/>
                <w:b w:val="0"/>
                <w:bCs w:val="0"/>
                <w:sz w:val="16"/>
                <w:szCs w:val="16"/>
                <w:rtl/>
              </w:rPr>
              <w:t>בלתי מבוקר</w:t>
            </w:r>
            <w:r w:rsidRPr="000446FA">
              <w:rPr>
                <w:rFonts w:asciiTheme="minorBidi" w:hAnsiTheme="minorBidi" w:cstheme="minorBidi" w:hint="cs"/>
                <w:b w:val="0"/>
                <w:bCs w:val="0"/>
                <w:sz w:val="16"/>
                <w:szCs w:val="16"/>
                <w:rtl/>
              </w:rPr>
              <w:t>)</w:t>
            </w:r>
          </w:p>
        </w:tc>
      </w:tr>
      <w:tr w:rsidR="00EC46DF" w:rsidRPr="00FD742C" w14:paraId="2585A83F" w14:textId="77777777" w:rsidTr="00EC46DF">
        <w:trPr>
          <w:trHeight w:val="245"/>
        </w:trPr>
        <w:tc>
          <w:tcPr>
            <w:tcW w:w="1304" w:type="dxa"/>
            <w:vAlign w:val="bottom"/>
          </w:tcPr>
          <w:p w14:paraId="4F6B34E9" w14:textId="77777777" w:rsidR="00EC46DF" w:rsidRPr="00FD742C" w:rsidRDefault="00EC46DF" w:rsidP="001A2EF6">
            <w:pPr>
              <w:pStyle w:val="-0"/>
              <w:spacing w:before="20"/>
              <w:jc w:val="center"/>
              <w:rPr>
                <w:rFonts w:asciiTheme="minorBidi" w:hAnsiTheme="minorBidi" w:cstheme="minorBidi"/>
                <w:b/>
                <w:bCs/>
                <w:sz w:val="16"/>
                <w:szCs w:val="16"/>
                <w:rtl/>
              </w:rPr>
            </w:pPr>
          </w:p>
        </w:tc>
        <w:tc>
          <w:tcPr>
            <w:tcW w:w="2467" w:type="dxa"/>
            <w:vAlign w:val="bottom"/>
          </w:tcPr>
          <w:p w14:paraId="611E37D4" w14:textId="77777777" w:rsidR="00EC46DF" w:rsidRPr="00FD742C" w:rsidRDefault="00EC46DF" w:rsidP="001A2EF6">
            <w:pPr>
              <w:pStyle w:val="-0"/>
              <w:spacing w:before="20"/>
              <w:jc w:val="center"/>
              <w:rPr>
                <w:rFonts w:asciiTheme="minorBidi" w:hAnsiTheme="minorBidi" w:cstheme="minorBidi"/>
                <w:b/>
                <w:bCs/>
                <w:sz w:val="16"/>
                <w:szCs w:val="16"/>
                <w:rtl/>
              </w:rPr>
            </w:pPr>
          </w:p>
        </w:tc>
        <w:tc>
          <w:tcPr>
            <w:tcW w:w="3061" w:type="dxa"/>
            <w:gridSpan w:val="4"/>
            <w:vAlign w:val="bottom"/>
          </w:tcPr>
          <w:p w14:paraId="5F5098E1" w14:textId="265BA1AC" w:rsidR="00EC46DF" w:rsidRPr="00FD742C" w:rsidRDefault="00EC46DF" w:rsidP="001A2EF6">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פחות מ-12 חודשים</w:t>
            </w:r>
          </w:p>
        </w:tc>
        <w:tc>
          <w:tcPr>
            <w:tcW w:w="3183" w:type="dxa"/>
            <w:gridSpan w:val="4"/>
            <w:vAlign w:val="bottom"/>
          </w:tcPr>
          <w:p w14:paraId="3205D9EA" w14:textId="4D4D6399" w:rsidR="00EC46DF" w:rsidRPr="00FD742C" w:rsidRDefault="00EC46DF" w:rsidP="001A2EF6">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12 חודשים ומעלה</w:t>
            </w:r>
          </w:p>
        </w:tc>
      </w:tr>
      <w:tr w:rsidR="00EC46DF" w:rsidRPr="00FD742C" w14:paraId="6029C194" w14:textId="77777777" w:rsidTr="00EC46DF">
        <w:trPr>
          <w:trHeight w:val="245"/>
        </w:trPr>
        <w:tc>
          <w:tcPr>
            <w:tcW w:w="1304" w:type="dxa"/>
            <w:vAlign w:val="bottom"/>
          </w:tcPr>
          <w:p w14:paraId="1394423F" w14:textId="77777777" w:rsidR="00EC46DF" w:rsidRPr="00FD742C" w:rsidRDefault="00EC46DF" w:rsidP="001A2EF6">
            <w:pPr>
              <w:pStyle w:val="-0"/>
              <w:spacing w:before="20"/>
              <w:jc w:val="center"/>
              <w:rPr>
                <w:rFonts w:asciiTheme="minorBidi" w:hAnsiTheme="minorBidi" w:cstheme="minorBidi"/>
                <w:b/>
                <w:bCs/>
                <w:sz w:val="16"/>
                <w:szCs w:val="16"/>
                <w:rtl/>
              </w:rPr>
            </w:pPr>
          </w:p>
        </w:tc>
        <w:tc>
          <w:tcPr>
            <w:tcW w:w="2467" w:type="dxa"/>
            <w:vAlign w:val="bottom"/>
          </w:tcPr>
          <w:p w14:paraId="4C9FD2F7" w14:textId="77777777" w:rsidR="00EC46DF" w:rsidRPr="00FD742C" w:rsidRDefault="00EC46DF" w:rsidP="001A2EF6">
            <w:pPr>
              <w:pStyle w:val="-0"/>
              <w:spacing w:before="20"/>
              <w:jc w:val="center"/>
              <w:rPr>
                <w:rFonts w:asciiTheme="minorBidi" w:hAnsiTheme="minorBidi" w:cstheme="minorBidi"/>
                <w:b/>
                <w:bCs/>
                <w:sz w:val="16"/>
                <w:szCs w:val="16"/>
                <w:rtl/>
              </w:rPr>
            </w:pPr>
          </w:p>
        </w:tc>
        <w:tc>
          <w:tcPr>
            <w:tcW w:w="689" w:type="dxa"/>
            <w:vAlign w:val="bottom"/>
          </w:tcPr>
          <w:p w14:paraId="2A6D3CA0" w14:textId="77777777" w:rsidR="00EC46DF" w:rsidRPr="00FD742C" w:rsidRDefault="00EC46DF" w:rsidP="001A2EF6">
            <w:pPr>
              <w:pStyle w:val="-4"/>
              <w:pBdr>
                <w:bottom w:val="none" w:sz="0" w:space="0" w:color="auto"/>
              </w:pBdr>
              <w:spacing w:before="20"/>
              <w:rPr>
                <w:rFonts w:asciiTheme="minorBidi" w:hAnsiTheme="minorBidi" w:cstheme="minorBidi"/>
                <w:sz w:val="16"/>
                <w:szCs w:val="16"/>
                <w:rtl/>
              </w:rPr>
            </w:pPr>
          </w:p>
        </w:tc>
        <w:tc>
          <w:tcPr>
            <w:tcW w:w="2372" w:type="dxa"/>
            <w:gridSpan w:val="3"/>
            <w:vAlign w:val="bottom"/>
          </w:tcPr>
          <w:p w14:paraId="3BBB995F" w14:textId="77777777" w:rsidR="00EC46DF" w:rsidRPr="00FD742C" w:rsidRDefault="00EC46DF" w:rsidP="001A2EF6">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הפסדים שטרם מומשו</w:t>
            </w:r>
          </w:p>
        </w:tc>
        <w:tc>
          <w:tcPr>
            <w:tcW w:w="800" w:type="dxa"/>
            <w:vAlign w:val="bottom"/>
          </w:tcPr>
          <w:p w14:paraId="26F7A3C9" w14:textId="77777777" w:rsidR="00EC46DF" w:rsidRPr="00FD742C" w:rsidRDefault="00EC46DF" w:rsidP="00D64969">
            <w:pPr>
              <w:pStyle w:val="-4"/>
              <w:pBdr>
                <w:bottom w:val="none" w:sz="0" w:space="0" w:color="auto"/>
              </w:pBdr>
              <w:spacing w:before="20"/>
              <w:rPr>
                <w:rFonts w:asciiTheme="minorBidi" w:hAnsiTheme="minorBidi" w:cstheme="minorBidi"/>
                <w:sz w:val="16"/>
                <w:szCs w:val="16"/>
                <w:rtl/>
              </w:rPr>
            </w:pPr>
          </w:p>
        </w:tc>
        <w:tc>
          <w:tcPr>
            <w:tcW w:w="2383" w:type="dxa"/>
            <w:gridSpan w:val="3"/>
            <w:vAlign w:val="bottom"/>
          </w:tcPr>
          <w:p w14:paraId="05531A6F" w14:textId="77777777" w:rsidR="00EC46DF" w:rsidRPr="00FD742C" w:rsidRDefault="00EC46DF" w:rsidP="001A2EF6">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הפסדים שטרם מומשו</w:t>
            </w:r>
          </w:p>
        </w:tc>
      </w:tr>
      <w:tr w:rsidR="00EC46DF" w:rsidRPr="00FD742C" w14:paraId="6A88ED96" w14:textId="77777777" w:rsidTr="00EC46DF">
        <w:trPr>
          <w:trHeight w:val="245"/>
        </w:trPr>
        <w:tc>
          <w:tcPr>
            <w:tcW w:w="1304" w:type="dxa"/>
            <w:vAlign w:val="bottom"/>
          </w:tcPr>
          <w:p w14:paraId="3CF43FE1" w14:textId="77777777" w:rsidR="00EC46DF" w:rsidRPr="00FD742C" w:rsidRDefault="00EC46DF" w:rsidP="001A2EF6">
            <w:pPr>
              <w:pStyle w:val="-0"/>
              <w:spacing w:before="20"/>
              <w:jc w:val="center"/>
              <w:rPr>
                <w:rFonts w:asciiTheme="minorBidi" w:hAnsiTheme="minorBidi" w:cstheme="minorBidi"/>
                <w:b/>
                <w:bCs/>
                <w:sz w:val="16"/>
                <w:szCs w:val="16"/>
                <w:rtl/>
              </w:rPr>
            </w:pPr>
          </w:p>
        </w:tc>
        <w:tc>
          <w:tcPr>
            <w:tcW w:w="2467" w:type="dxa"/>
            <w:vAlign w:val="bottom"/>
          </w:tcPr>
          <w:p w14:paraId="134F49C7" w14:textId="77777777" w:rsidR="00EC46DF" w:rsidRPr="00FD742C" w:rsidRDefault="00EC46DF" w:rsidP="001A2EF6">
            <w:pPr>
              <w:pStyle w:val="-0"/>
              <w:spacing w:before="20"/>
              <w:jc w:val="center"/>
              <w:rPr>
                <w:rFonts w:asciiTheme="minorBidi" w:hAnsiTheme="minorBidi" w:cstheme="minorBidi"/>
                <w:b/>
                <w:bCs/>
                <w:sz w:val="16"/>
                <w:szCs w:val="16"/>
                <w:rtl/>
              </w:rPr>
            </w:pPr>
          </w:p>
        </w:tc>
        <w:tc>
          <w:tcPr>
            <w:tcW w:w="689" w:type="dxa"/>
            <w:vAlign w:val="bottom"/>
          </w:tcPr>
          <w:p w14:paraId="63CE146F" w14:textId="77777777" w:rsidR="00EC46DF" w:rsidRPr="00FD742C" w:rsidRDefault="00EC46DF" w:rsidP="001A2EF6">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שווי הוגן</w:t>
            </w:r>
          </w:p>
        </w:tc>
        <w:tc>
          <w:tcPr>
            <w:tcW w:w="837" w:type="dxa"/>
            <w:vAlign w:val="bottom"/>
          </w:tcPr>
          <w:p w14:paraId="73F2D40E" w14:textId="77777777" w:rsidR="00EC46DF" w:rsidRPr="00FD742C" w:rsidRDefault="00EC46DF" w:rsidP="001A2EF6">
            <w:pPr>
              <w:pStyle w:val="-4"/>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0-20%</w:t>
            </w:r>
            <w:r w:rsidRPr="00FD742C">
              <w:rPr>
                <w:rFonts w:asciiTheme="minorBidi" w:hAnsiTheme="minorBidi" w:cstheme="minorBidi"/>
                <w:sz w:val="16"/>
                <w:szCs w:val="16"/>
                <w:vertAlign w:val="superscript"/>
                <w:rtl/>
              </w:rPr>
              <w:t>[</w:t>
            </w:r>
            <w:r w:rsidRPr="00FD742C">
              <w:rPr>
                <w:rStyle w:val="a7"/>
                <w:rFonts w:asciiTheme="minorBidi" w:hAnsiTheme="minorBidi" w:cstheme="minorBidi"/>
                <w:sz w:val="16"/>
                <w:szCs w:val="16"/>
                <w:rtl/>
              </w:rPr>
              <w:footnoteReference w:id="46"/>
            </w:r>
            <w:r w:rsidRPr="00FD742C">
              <w:rPr>
                <w:rFonts w:asciiTheme="minorBidi" w:hAnsiTheme="minorBidi" w:cstheme="minorBidi"/>
                <w:sz w:val="16"/>
                <w:szCs w:val="16"/>
                <w:vertAlign w:val="superscript"/>
                <w:rtl/>
              </w:rPr>
              <w:t>]</w:t>
            </w:r>
          </w:p>
        </w:tc>
        <w:tc>
          <w:tcPr>
            <w:tcW w:w="932" w:type="dxa"/>
            <w:vAlign w:val="bottom"/>
          </w:tcPr>
          <w:p w14:paraId="45BE0AA2" w14:textId="77777777" w:rsidR="00EC46DF" w:rsidRPr="00FD742C" w:rsidRDefault="00EC46DF" w:rsidP="001A2EF6">
            <w:pPr>
              <w:pStyle w:val="-4"/>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20-40%</w:t>
            </w:r>
            <w:r w:rsidRPr="00FD742C">
              <w:rPr>
                <w:rFonts w:asciiTheme="minorBidi" w:hAnsiTheme="minorBidi" w:cstheme="minorBidi"/>
                <w:sz w:val="16"/>
                <w:szCs w:val="16"/>
                <w:vertAlign w:val="superscript"/>
                <w:rtl/>
              </w:rPr>
              <w:t>[</w:t>
            </w:r>
            <w:r w:rsidRPr="00FD742C">
              <w:rPr>
                <w:rStyle w:val="a7"/>
                <w:rFonts w:asciiTheme="minorBidi" w:hAnsiTheme="minorBidi" w:cstheme="minorBidi"/>
                <w:sz w:val="16"/>
                <w:szCs w:val="16"/>
                <w:rtl/>
              </w:rPr>
              <w:footnoteReference w:id="47"/>
            </w:r>
            <w:r w:rsidRPr="00FD742C">
              <w:rPr>
                <w:rFonts w:asciiTheme="minorBidi" w:hAnsiTheme="minorBidi" w:cstheme="minorBidi"/>
                <w:sz w:val="16"/>
                <w:szCs w:val="16"/>
                <w:vertAlign w:val="superscript"/>
                <w:rtl/>
              </w:rPr>
              <w:t>]</w:t>
            </w:r>
          </w:p>
        </w:tc>
        <w:tc>
          <w:tcPr>
            <w:tcW w:w="603" w:type="dxa"/>
            <w:vAlign w:val="bottom"/>
          </w:tcPr>
          <w:p w14:paraId="26AAB1E9" w14:textId="77777777" w:rsidR="00EC46DF" w:rsidRPr="00FD742C" w:rsidRDefault="00EC46DF" w:rsidP="001A2EF6">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סה"כ</w:t>
            </w:r>
          </w:p>
        </w:tc>
        <w:tc>
          <w:tcPr>
            <w:tcW w:w="800" w:type="dxa"/>
            <w:vAlign w:val="bottom"/>
          </w:tcPr>
          <w:p w14:paraId="7D77EEF0" w14:textId="77777777" w:rsidR="00EC46DF" w:rsidRPr="00FD742C" w:rsidRDefault="00EC46DF" w:rsidP="001A2EF6">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שווי הוגן</w:t>
            </w:r>
          </w:p>
        </w:tc>
        <w:tc>
          <w:tcPr>
            <w:tcW w:w="837" w:type="dxa"/>
            <w:vAlign w:val="bottom"/>
          </w:tcPr>
          <w:p w14:paraId="7D166F56" w14:textId="29795EF1" w:rsidR="00EC46DF" w:rsidRPr="00FD742C" w:rsidRDefault="00EC46DF" w:rsidP="001A2EF6">
            <w:pPr>
              <w:pStyle w:val="-4"/>
              <w:spacing w:line="240" w:lineRule="auto"/>
              <w:ind w:left="-28" w:right="-28"/>
              <w:rPr>
                <w:rFonts w:asciiTheme="minorBidi" w:hAnsiTheme="minorBidi" w:cstheme="minorBidi"/>
                <w:sz w:val="16"/>
                <w:szCs w:val="16"/>
                <w:rtl/>
              </w:rPr>
            </w:pPr>
            <w:r w:rsidRPr="00FD742C">
              <w:rPr>
                <w:rFonts w:asciiTheme="minorBidi" w:hAnsiTheme="minorBidi" w:cstheme="minorBidi"/>
                <w:sz w:val="16"/>
                <w:szCs w:val="16"/>
                <w:rtl/>
              </w:rPr>
              <w:t>0-20%</w:t>
            </w:r>
            <w:r w:rsidRPr="00FD742C">
              <w:rPr>
                <w:rFonts w:asciiTheme="minorBidi" w:hAnsiTheme="minorBidi" w:cstheme="minorBidi"/>
                <w:sz w:val="16"/>
                <w:szCs w:val="16"/>
                <w:vertAlign w:val="superscript"/>
                <w:rtl/>
              </w:rPr>
              <w:t>[1]</w:t>
            </w:r>
          </w:p>
        </w:tc>
        <w:tc>
          <w:tcPr>
            <w:tcW w:w="919" w:type="dxa"/>
            <w:vAlign w:val="bottom"/>
          </w:tcPr>
          <w:p w14:paraId="60BA23B6" w14:textId="5A27CB26" w:rsidR="00EC46DF" w:rsidRPr="00FD742C" w:rsidRDefault="00EC46DF" w:rsidP="001A2EF6">
            <w:pPr>
              <w:pStyle w:val="-4"/>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20-40%</w:t>
            </w:r>
            <w:r w:rsidRPr="00FD742C">
              <w:rPr>
                <w:rFonts w:asciiTheme="minorBidi" w:hAnsiTheme="minorBidi" w:cstheme="minorBidi"/>
                <w:sz w:val="16"/>
                <w:szCs w:val="16"/>
                <w:vertAlign w:val="superscript"/>
                <w:rtl/>
              </w:rPr>
              <w:t>[2]</w:t>
            </w:r>
          </w:p>
        </w:tc>
        <w:tc>
          <w:tcPr>
            <w:tcW w:w="627" w:type="dxa"/>
            <w:vAlign w:val="bottom"/>
          </w:tcPr>
          <w:p w14:paraId="5FF8E57E" w14:textId="77777777" w:rsidR="00EC46DF" w:rsidRPr="00FD742C" w:rsidRDefault="00EC46DF" w:rsidP="001A2EF6">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סה"כ</w:t>
            </w:r>
          </w:p>
        </w:tc>
      </w:tr>
      <w:tr w:rsidR="00EC46DF" w:rsidRPr="00FD742C" w14:paraId="7D252DA3" w14:textId="77777777" w:rsidTr="00EC46DF">
        <w:trPr>
          <w:trHeight w:val="245"/>
        </w:trPr>
        <w:tc>
          <w:tcPr>
            <w:tcW w:w="1304" w:type="dxa"/>
          </w:tcPr>
          <w:p w14:paraId="220F7307" w14:textId="77777777" w:rsidR="00EC46DF" w:rsidRPr="00FD742C" w:rsidRDefault="00EC46DF" w:rsidP="002F64E0">
            <w:pPr>
              <w:pStyle w:val="-0"/>
              <w:spacing w:before="20"/>
              <w:rPr>
                <w:rFonts w:asciiTheme="minorBidi" w:hAnsiTheme="minorBidi" w:cstheme="minorBidi"/>
                <w:sz w:val="16"/>
                <w:szCs w:val="16"/>
                <w:rtl/>
              </w:rPr>
            </w:pPr>
          </w:p>
        </w:tc>
        <w:tc>
          <w:tcPr>
            <w:tcW w:w="2467" w:type="dxa"/>
            <w:vAlign w:val="bottom"/>
          </w:tcPr>
          <w:p w14:paraId="6FFB954D" w14:textId="77777777" w:rsidR="00EC46DF" w:rsidRPr="00FD742C" w:rsidRDefault="00EC46DF" w:rsidP="002F64E0">
            <w:pPr>
              <w:pStyle w:val="-0"/>
              <w:spacing w:before="20" w:line="240" w:lineRule="auto"/>
              <w:ind w:left="0" w:right="-284" w:firstLine="0"/>
              <w:rPr>
                <w:rFonts w:asciiTheme="minorBidi" w:hAnsiTheme="minorBidi" w:cstheme="minorBidi"/>
                <w:sz w:val="16"/>
                <w:szCs w:val="16"/>
                <w:rtl/>
              </w:rPr>
            </w:pPr>
            <w:r w:rsidRPr="00FD742C">
              <w:rPr>
                <w:rFonts w:asciiTheme="minorBidi" w:hAnsiTheme="minorBidi" w:cstheme="minorBidi"/>
                <w:sz w:val="16"/>
                <w:szCs w:val="16"/>
                <w:rtl/>
              </w:rPr>
              <w:t>אגרות חוב:</w:t>
            </w:r>
          </w:p>
        </w:tc>
        <w:tc>
          <w:tcPr>
            <w:tcW w:w="689" w:type="dxa"/>
            <w:vAlign w:val="bottom"/>
          </w:tcPr>
          <w:p w14:paraId="219B95AC" w14:textId="77777777" w:rsidR="00EC46DF" w:rsidRPr="00FD742C" w:rsidRDefault="00EC46DF" w:rsidP="002F64E0">
            <w:pPr>
              <w:pStyle w:val="-3"/>
              <w:spacing w:before="20"/>
              <w:rPr>
                <w:rFonts w:asciiTheme="minorBidi" w:hAnsiTheme="minorBidi" w:cstheme="minorBidi"/>
                <w:sz w:val="16"/>
                <w:szCs w:val="16"/>
                <w:rtl/>
              </w:rPr>
            </w:pPr>
          </w:p>
        </w:tc>
        <w:tc>
          <w:tcPr>
            <w:tcW w:w="837" w:type="dxa"/>
            <w:vAlign w:val="bottom"/>
          </w:tcPr>
          <w:p w14:paraId="68C9B422" w14:textId="77777777" w:rsidR="00EC46DF" w:rsidRPr="00FD742C" w:rsidRDefault="00EC46DF" w:rsidP="002F64E0">
            <w:pPr>
              <w:pStyle w:val="-3"/>
              <w:spacing w:before="20"/>
              <w:rPr>
                <w:rFonts w:asciiTheme="minorBidi" w:hAnsiTheme="minorBidi" w:cstheme="minorBidi"/>
                <w:sz w:val="16"/>
                <w:szCs w:val="16"/>
                <w:rtl/>
              </w:rPr>
            </w:pPr>
          </w:p>
        </w:tc>
        <w:tc>
          <w:tcPr>
            <w:tcW w:w="932" w:type="dxa"/>
            <w:vAlign w:val="bottom"/>
          </w:tcPr>
          <w:p w14:paraId="1D107597" w14:textId="77777777" w:rsidR="00EC46DF" w:rsidRPr="00FD742C" w:rsidRDefault="00EC46DF" w:rsidP="002F64E0">
            <w:pPr>
              <w:pStyle w:val="-3"/>
              <w:spacing w:before="20"/>
              <w:rPr>
                <w:rFonts w:asciiTheme="minorBidi" w:hAnsiTheme="minorBidi" w:cstheme="minorBidi"/>
                <w:sz w:val="16"/>
                <w:szCs w:val="16"/>
                <w:rtl/>
              </w:rPr>
            </w:pPr>
          </w:p>
        </w:tc>
        <w:tc>
          <w:tcPr>
            <w:tcW w:w="603" w:type="dxa"/>
            <w:vAlign w:val="bottom"/>
          </w:tcPr>
          <w:p w14:paraId="1B7BD14A" w14:textId="77777777" w:rsidR="00EC46DF" w:rsidRPr="00FD742C" w:rsidRDefault="00EC46DF" w:rsidP="002F64E0">
            <w:pPr>
              <w:pStyle w:val="-3"/>
              <w:spacing w:before="20"/>
              <w:rPr>
                <w:rFonts w:asciiTheme="minorBidi" w:hAnsiTheme="minorBidi" w:cstheme="minorBidi"/>
                <w:sz w:val="16"/>
                <w:szCs w:val="16"/>
                <w:rtl/>
              </w:rPr>
            </w:pPr>
          </w:p>
        </w:tc>
        <w:tc>
          <w:tcPr>
            <w:tcW w:w="800" w:type="dxa"/>
            <w:vAlign w:val="bottom"/>
          </w:tcPr>
          <w:p w14:paraId="7818B688" w14:textId="77777777" w:rsidR="00EC46DF" w:rsidRPr="00FD742C" w:rsidRDefault="00EC46DF" w:rsidP="002F64E0">
            <w:pPr>
              <w:pStyle w:val="-3"/>
              <w:spacing w:before="20"/>
              <w:rPr>
                <w:rFonts w:asciiTheme="minorBidi" w:hAnsiTheme="minorBidi" w:cstheme="minorBidi"/>
                <w:sz w:val="16"/>
                <w:szCs w:val="16"/>
                <w:rtl/>
              </w:rPr>
            </w:pPr>
          </w:p>
        </w:tc>
        <w:tc>
          <w:tcPr>
            <w:tcW w:w="837" w:type="dxa"/>
            <w:vAlign w:val="bottom"/>
          </w:tcPr>
          <w:p w14:paraId="671F7784" w14:textId="77777777" w:rsidR="00EC46DF" w:rsidRPr="00FD742C" w:rsidRDefault="00EC46DF" w:rsidP="002F64E0">
            <w:pPr>
              <w:pStyle w:val="-3"/>
              <w:spacing w:before="20" w:line="240" w:lineRule="auto"/>
              <w:ind w:left="-57" w:right="-57"/>
              <w:rPr>
                <w:rFonts w:asciiTheme="minorBidi" w:hAnsiTheme="minorBidi" w:cstheme="minorBidi"/>
                <w:sz w:val="16"/>
                <w:szCs w:val="16"/>
                <w:rtl/>
              </w:rPr>
            </w:pPr>
          </w:p>
        </w:tc>
        <w:tc>
          <w:tcPr>
            <w:tcW w:w="919" w:type="dxa"/>
            <w:vAlign w:val="bottom"/>
          </w:tcPr>
          <w:p w14:paraId="3D38E363" w14:textId="77777777" w:rsidR="00EC46DF" w:rsidRPr="00FD742C" w:rsidRDefault="00EC46DF" w:rsidP="002F64E0">
            <w:pPr>
              <w:pStyle w:val="-3"/>
              <w:spacing w:before="20" w:line="240" w:lineRule="auto"/>
              <w:ind w:left="-57" w:right="-57"/>
              <w:rPr>
                <w:rFonts w:asciiTheme="minorBidi" w:hAnsiTheme="minorBidi" w:cstheme="minorBidi"/>
                <w:sz w:val="16"/>
                <w:szCs w:val="16"/>
                <w:rtl/>
              </w:rPr>
            </w:pPr>
          </w:p>
        </w:tc>
        <w:tc>
          <w:tcPr>
            <w:tcW w:w="627" w:type="dxa"/>
            <w:vAlign w:val="bottom"/>
          </w:tcPr>
          <w:p w14:paraId="4A781E09" w14:textId="77777777" w:rsidR="00EC46DF" w:rsidRPr="00FD742C" w:rsidRDefault="00EC46DF" w:rsidP="002F64E0">
            <w:pPr>
              <w:pStyle w:val="-3"/>
              <w:spacing w:before="20"/>
              <w:rPr>
                <w:rFonts w:asciiTheme="minorBidi" w:hAnsiTheme="minorBidi" w:cstheme="minorBidi"/>
                <w:sz w:val="16"/>
                <w:szCs w:val="16"/>
                <w:rtl/>
              </w:rPr>
            </w:pPr>
          </w:p>
        </w:tc>
      </w:tr>
      <w:tr w:rsidR="00EC46DF" w:rsidRPr="00FD742C" w14:paraId="7B4936FF" w14:textId="77777777" w:rsidTr="00EC46DF">
        <w:trPr>
          <w:trHeight w:val="245"/>
        </w:trPr>
        <w:tc>
          <w:tcPr>
            <w:tcW w:w="1304" w:type="dxa"/>
          </w:tcPr>
          <w:p w14:paraId="1654B569" w14:textId="77777777" w:rsidR="00EC46DF" w:rsidRPr="00FD742C" w:rsidRDefault="00EC46DF" w:rsidP="002F64E0">
            <w:pPr>
              <w:pStyle w:val="-0"/>
              <w:spacing w:before="20"/>
              <w:rPr>
                <w:rFonts w:asciiTheme="minorBidi" w:hAnsiTheme="minorBidi" w:cstheme="minorBidi"/>
                <w:sz w:val="16"/>
                <w:szCs w:val="16"/>
                <w:rtl/>
              </w:rPr>
            </w:pPr>
          </w:p>
        </w:tc>
        <w:tc>
          <w:tcPr>
            <w:tcW w:w="2467" w:type="dxa"/>
            <w:vAlign w:val="bottom"/>
          </w:tcPr>
          <w:p w14:paraId="4D4670B4" w14:textId="4E172F19" w:rsidR="00EC46DF" w:rsidRPr="00FD742C" w:rsidRDefault="00EC46DF" w:rsidP="00D64969">
            <w:pPr>
              <w:pStyle w:val="-0"/>
              <w:tabs>
                <w:tab w:val="left" w:pos="893"/>
              </w:tabs>
              <w:spacing w:before="20" w:line="240" w:lineRule="auto"/>
              <w:ind w:left="0" w:right="-284" w:firstLine="0"/>
              <w:rPr>
                <w:rFonts w:asciiTheme="minorBidi" w:hAnsiTheme="minorBidi" w:cstheme="minorBidi"/>
                <w:sz w:val="16"/>
                <w:szCs w:val="16"/>
                <w:rtl/>
              </w:rPr>
            </w:pPr>
            <w:r w:rsidRPr="00FD742C">
              <w:rPr>
                <w:rFonts w:asciiTheme="minorBidi" w:hAnsiTheme="minorBidi" w:cstheme="minorBidi"/>
                <w:sz w:val="16"/>
                <w:szCs w:val="16"/>
                <w:rtl/>
              </w:rPr>
              <w:t>של ממשלות ומוסדות פיננסיים</w:t>
            </w:r>
          </w:p>
        </w:tc>
        <w:tc>
          <w:tcPr>
            <w:tcW w:w="689" w:type="dxa"/>
            <w:vAlign w:val="bottom"/>
          </w:tcPr>
          <w:p w14:paraId="225E95AA" w14:textId="77777777" w:rsidR="00EC46DF" w:rsidRPr="00FD742C" w:rsidRDefault="00EC46DF" w:rsidP="002F64E0">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21A0604B" w14:textId="77777777" w:rsidR="00EC46DF" w:rsidRPr="00FD742C" w:rsidRDefault="00EC46DF" w:rsidP="002F64E0">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932" w:type="dxa"/>
            <w:vAlign w:val="bottom"/>
          </w:tcPr>
          <w:p w14:paraId="209AE64E" w14:textId="77777777" w:rsidR="00EC46DF" w:rsidRPr="00FD742C" w:rsidRDefault="00EC46DF" w:rsidP="002F64E0">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603" w:type="dxa"/>
            <w:vAlign w:val="bottom"/>
          </w:tcPr>
          <w:p w14:paraId="7181F5A1" w14:textId="77777777" w:rsidR="00EC46DF" w:rsidRPr="00FD742C" w:rsidRDefault="00EC46DF" w:rsidP="002F64E0">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00" w:type="dxa"/>
            <w:vAlign w:val="bottom"/>
          </w:tcPr>
          <w:p w14:paraId="21B923A4" w14:textId="77777777" w:rsidR="00EC46DF" w:rsidRPr="00FD742C" w:rsidRDefault="00EC46DF" w:rsidP="002F64E0">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569911AF" w14:textId="77777777" w:rsidR="00EC46DF" w:rsidRPr="00FD742C" w:rsidRDefault="00EC46DF" w:rsidP="002F64E0">
            <w:pPr>
              <w:pStyle w:val="-3"/>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0</w:t>
            </w:r>
          </w:p>
        </w:tc>
        <w:tc>
          <w:tcPr>
            <w:tcW w:w="919" w:type="dxa"/>
            <w:vAlign w:val="bottom"/>
          </w:tcPr>
          <w:p w14:paraId="49484EE0" w14:textId="77777777" w:rsidR="00EC46DF" w:rsidRPr="00FD742C" w:rsidRDefault="00EC46DF" w:rsidP="002F64E0">
            <w:pPr>
              <w:pStyle w:val="-3"/>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0</w:t>
            </w:r>
          </w:p>
        </w:tc>
        <w:tc>
          <w:tcPr>
            <w:tcW w:w="627" w:type="dxa"/>
            <w:vAlign w:val="bottom"/>
          </w:tcPr>
          <w:p w14:paraId="7606BB37" w14:textId="77777777" w:rsidR="00EC46DF" w:rsidRPr="00FD742C" w:rsidRDefault="00EC46DF" w:rsidP="002F64E0">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r>
      <w:tr w:rsidR="00EC46DF" w:rsidRPr="00FD742C" w14:paraId="6B09BEDE" w14:textId="77777777" w:rsidTr="00EC46DF">
        <w:trPr>
          <w:trHeight w:val="245"/>
        </w:trPr>
        <w:tc>
          <w:tcPr>
            <w:tcW w:w="1304" w:type="dxa"/>
          </w:tcPr>
          <w:p w14:paraId="68D86F53" w14:textId="77777777" w:rsidR="00EC46DF" w:rsidRPr="00FD742C" w:rsidRDefault="00EC46DF" w:rsidP="002F64E0">
            <w:pPr>
              <w:pStyle w:val="-0"/>
              <w:spacing w:before="20"/>
              <w:rPr>
                <w:rFonts w:asciiTheme="minorBidi" w:hAnsiTheme="minorBidi" w:cstheme="minorBidi"/>
                <w:sz w:val="16"/>
                <w:szCs w:val="16"/>
                <w:rtl/>
              </w:rPr>
            </w:pPr>
          </w:p>
        </w:tc>
        <w:tc>
          <w:tcPr>
            <w:tcW w:w="2467" w:type="dxa"/>
            <w:vAlign w:val="bottom"/>
          </w:tcPr>
          <w:p w14:paraId="22EF18DE" w14:textId="5E629D29" w:rsidR="00EC46DF" w:rsidRPr="00FD742C" w:rsidRDefault="00EC46DF" w:rsidP="00D64969">
            <w:pPr>
              <w:pStyle w:val="-0"/>
              <w:tabs>
                <w:tab w:val="left" w:pos="893"/>
              </w:tabs>
              <w:spacing w:before="20" w:line="240" w:lineRule="auto"/>
              <w:ind w:left="0" w:right="-284" w:firstLine="0"/>
              <w:rPr>
                <w:rFonts w:asciiTheme="minorBidi" w:hAnsiTheme="minorBidi" w:cstheme="minorBidi"/>
                <w:sz w:val="16"/>
                <w:szCs w:val="16"/>
                <w:rtl/>
              </w:rPr>
            </w:pPr>
            <w:r w:rsidRPr="00FD742C">
              <w:rPr>
                <w:rFonts w:asciiTheme="minorBidi" w:hAnsiTheme="minorBidi" w:cstheme="minorBidi"/>
                <w:sz w:val="16"/>
                <w:szCs w:val="16"/>
                <w:rtl/>
              </w:rPr>
              <w:t>מגובות נכסים (</w:t>
            </w:r>
            <w:r w:rsidRPr="00FD742C">
              <w:rPr>
                <w:rFonts w:asciiTheme="minorBidi" w:hAnsiTheme="minorBidi" w:cstheme="minorBidi"/>
                <w:sz w:val="16"/>
                <w:szCs w:val="16"/>
              </w:rPr>
              <w:t>ABS</w:t>
            </w:r>
            <w:r w:rsidRPr="00FD742C">
              <w:rPr>
                <w:rFonts w:asciiTheme="minorBidi" w:hAnsiTheme="minorBidi" w:cstheme="minorBidi"/>
                <w:sz w:val="16"/>
                <w:szCs w:val="16"/>
                <w:rtl/>
              </w:rPr>
              <w:t xml:space="preserve">) או </w:t>
            </w:r>
          </w:p>
          <w:p w14:paraId="4999C27B" w14:textId="5238EDAC" w:rsidR="00EC46DF" w:rsidRPr="00FD742C" w:rsidRDefault="00EC46DF" w:rsidP="00D64969">
            <w:pPr>
              <w:pStyle w:val="-0"/>
              <w:spacing w:line="240" w:lineRule="auto"/>
              <w:ind w:left="96" w:right="-284" w:firstLine="0"/>
              <w:rPr>
                <w:rFonts w:asciiTheme="minorBidi" w:hAnsiTheme="minorBidi" w:cstheme="minorBidi"/>
                <w:sz w:val="16"/>
                <w:szCs w:val="16"/>
                <w:rtl/>
              </w:rPr>
            </w:pPr>
            <w:r w:rsidRPr="00FD742C">
              <w:rPr>
                <w:rFonts w:asciiTheme="minorBidi" w:hAnsiTheme="minorBidi" w:cstheme="minorBidi"/>
                <w:sz w:val="16"/>
                <w:szCs w:val="16"/>
                <w:rtl/>
              </w:rPr>
              <w:t>מגובות משכנתאות (</w:t>
            </w:r>
            <w:r w:rsidRPr="00FD742C">
              <w:rPr>
                <w:rFonts w:asciiTheme="minorBidi" w:hAnsiTheme="minorBidi" w:cstheme="minorBidi"/>
                <w:sz w:val="16"/>
                <w:szCs w:val="16"/>
              </w:rPr>
              <w:t>MBS</w:t>
            </w:r>
            <w:r w:rsidRPr="00FD742C">
              <w:rPr>
                <w:rFonts w:asciiTheme="minorBidi" w:hAnsiTheme="minorBidi" w:cstheme="minorBidi"/>
                <w:sz w:val="16"/>
                <w:szCs w:val="16"/>
                <w:rtl/>
              </w:rPr>
              <w:t>)</w:t>
            </w:r>
            <w:r w:rsidRPr="00FD742C">
              <w:rPr>
                <w:rFonts w:asciiTheme="minorBidi" w:hAnsiTheme="minorBidi" w:cstheme="minorBidi"/>
                <w:sz w:val="16"/>
                <w:szCs w:val="16"/>
                <w:vertAlign w:val="superscript"/>
                <w:rtl/>
              </w:rPr>
              <w:t>[</w:t>
            </w:r>
            <w:r w:rsidRPr="00FD742C">
              <w:rPr>
                <w:rFonts w:asciiTheme="minorBidi" w:hAnsiTheme="minorBidi" w:cstheme="minorBidi"/>
                <w:sz w:val="16"/>
                <w:szCs w:val="16"/>
                <w:vertAlign w:val="superscript"/>
                <w:rtl/>
              </w:rPr>
              <w:footnoteReference w:id="48"/>
            </w:r>
            <w:r w:rsidRPr="00FD742C">
              <w:rPr>
                <w:rFonts w:asciiTheme="minorBidi" w:hAnsiTheme="minorBidi" w:cstheme="minorBidi"/>
                <w:sz w:val="16"/>
                <w:szCs w:val="16"/>
                <w:vertAlign w:val="superscript"/>
                <w:rtl/>
              </w:rPr>
              <w:t>]</w:t>
            </w:r>
          </w:p>
        </w:tc>
        <w:tc>
          <w:tcPr>
            <w:tcW w:w="689" w:type="dxa"/>
            <w:vAlign w:val="bottom"/>
          </w:tcPr>
          <w:p w14:paraId="2AC6CD9D" w14:textId="77777777" w:rsidR="00EC46DF" w:rsidRPr="00FD742C" w:rsidRDefault="00EC46DF" w:rsidP="002F64E0">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27CACD37" w14:textId="77777777" w:rsidR="00EC46DF" w:rsidRPr="00FD742C" w:rsidRDefault="00EC46DF" w:rsidP="002F64E0">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932" w:type="dxa"/>
            <w:vAlign w:val="bottom"/>
          </w:tcPr>
          <w:p w14:paraId="2A2F6DE8" w14:textId="77777777" w:rsidR="00EC46DF" w:rsidRPr="00FD742C" w:rsidRDefault="00EC46DF" w:rsidP="002F64E0">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603" w:type="dxa"/>
            <w:vAlign w:val="bottom"/>
          </w:tcPr>
          <w:p w14:paraId="78981639" w14:textId="77777777" w:rsidR="00EC46DF" w:rsidRPr="00FD742C" w:rsidRDefault="00EC46DF" w:rsidP="002F64E0">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00" w:type="dxa"/>
            <w:vAlign w:val="bottom"/>
          </w:tcPr>
          <w:p w14:paraId="7D998AB4" w14:textId="77777777" w:rsidR="00EC46DF" w:rsidRPr="00FD742C" w:rsidRDefault="00EC46DF" w:rsidP="002F64E0">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066B214B" w14:textId="77777777" w:rsidR="00EC46DF" w:rsidRPr="00FD742C" w:rsidRDefault="00EC46DF" w:rsidP="002F64E0">
            <w:pPr>
              <w:pStyle w:val="-3"/>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0</w:t>
            </w:r>
          </w:p>
        </w:tc>
        <w:tc>
          <w:tcPr>
            <w:tcW w:w="919" w:type="dxa"/>
            <w:vAlign w:val="bottom"/>
          </w:tcPr>
          <w:p w14:paraId="56E8DE23" w14:textId="77777777" w:rsidR="00EC46DF" w:rsidRPr="00FD742C" w:rsidRDefault="00EC46DF" w:rsidP="002F64E0">
            <w:pPr>
              <w:pStyle w:val="-3"/>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0</w:t>
            </w:r>
          </w:p>
        </w:tc>
        <w:tc>
          <w:tcPr>
            <w:tcW w:w="627" w:type="dxa"/>
            <w:vAlign w:val="bottom"/>
          </w:tcPr>
          <w:p w14:paraId="3E9EBEC7" w14:textId="77777777" w:rsidR="00EC46DF" w:rsidRPr="00FD742C" w:rsidRDefault="00EC46DF" w:rsidP="002F64E0">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r>
      <w:tr w:rsidR="00EC46DF" w:rsidRPr="00FD742C" w14:paraId="2F13CB7E" w14:textId="77777777" w:rsidTr="00EC46DF">
        <w:trPr>
          <w:trHeight w:val="245"/>
        </w:trPr>
        <w:tc>
          <w:tcPr>
            <w:tcW w:w="1304" w:type="dxa"/>
          </w:tcPr>
          <w:p w14:paraId="74CB99AD" w14:textId="77777777" w:rsidR="00EC46DF" w:rsidRPr="00FD742C" w:rsidRDefault="00EC46DF" w:rsidP="002F64E0">
            <w:pPr>
              <w:pStyle w:val="-0"/>
              <w:spacing w:before="20"/>
              <w:rPr>
                <w:rFonts w:asciiTheme="minorBidi" w:hAnsiTheme="minorBidi" w:cstheme="minorBidi"/>
                <w:sz w:val="16"/>
                <w:szCs w:val="16"/>
                <w:rtl/>
              </w:rPr>
            </w:pPr>
          </w:p>
        </w:tc>
        <w:tc>
          <w:tcPr>
            <w:tcW w:w="2467" w:type="dxa"/>
            <w:vAlign w:val="bottom"/>
          </w:tcPr>
          <w:p w14:paraId="65F82F18" w14:textId="768FB1BE" w:rsidR="00EC46DF" w:rsidRPr="00FD742C" w:rsidRDefault="00EC46DF" w:rsidP="00D64969">
            <w:pPr>
              <w:pStyle w:val="-0"/>
              <w:spacing w:before="20" w:line="240" w:lineRule="auto"/>
              <w:ind w:left="0" w:right="-284" w:firstLine="0"/>
              <w:rPr>
                <w:rFonts w:asciiTheme="minorBidi" w:hAnsiTheme="minorBidi" w:cstheme="minorBidi"/>
                <w:sz w:val="16"/>
                <w:szCs w:val="16"/>
                <w:rtl/>
              </w:rPr>
            </w:pPr>
            <w:r w:rsidRPr="00FD742C">
              <w:rPr>
                <w:rFonts w:asciiTheme="minorBidi" w:hAnsiTheme="minorBidi" w:cstheme="minorBidi"/>
                <w:sz w:val="16"/>
                <w:szCs w:val="16"/>
                <w:rtl/>
              </w:rPr>
              <w:t xml:space="preserve">של אחרים </w:t>
            </w:r>
          </w:p>
        </w:tc>
        <w:tc>
          <w:tcPr>
            <w:tcW w:w="689" w:type="dxa"/>
            <w:vAlign w:val="bottom"/>
          </w:tcPr>
          <w:p w14:paraId="7D339B0F" w14:textId="77777777" w:rsidR="00EC46DF" w:rsidRPr="00FD742C" w:rsidRDefault="00EC46DF" w:rsidP="002F64E0">
            <w:pPr>
              <w:pStyle w:val="-3"/>
              <w:pBdr>
                <w:bottom w:val="single" w:sz="4" w:space="1" w:color="auto"/>
              </w:pBdr>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3FD08B81" w14:textId="77777777" w:rsidR="00EC46DF" w:rsidRPr="00FD742C" w:rsidRDefault="00EC46DF" w:rsidP="002F64E0">
            <w:pPr>
              <w:pStyle w:val="-3"/>
              <w:pBdr>
                <w:bottom w:val="single" w:sz="4" w:space="1" w:color="auto"/>
              </w:pBdr>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932" w:type="dxa"/>
            <w:vAlign w:val="bottom"/>
          </w:tcPr>
          <w:p w14:paraId="3E84B3D9" w14:textId="77777777" w:rsidR="00EC46DF" w:rsidRPr="00FD742C" w:rsidRDefault="00EC46DF" w:rsidP="002F64E0">
            <w:pPr>
              <w:pStyle w:val="-3"/>
              <w:pBdr>
                <w:bottom w:val="single" w:sz="4" w:space="1" w:color="auto"/>
              </w:pBdr>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603" w:type="dxa"/>
            <w:vAlign w:val="bottom"/>
          </w:tcPr>
          <w:p w14:paraId="03F45976" w14:textId="77777777" w:rsidR="00EC46DF" w:rsidRPr="00FD742C" w:rsidRDefault="00EC46DF" w:rsidP="002F64E0">
            <w:pPr>
              <w:pStyle w:val="-3"/>
              <w:pBdr>
                <w:bottom w:val="single" w:sz="4" w:space="1" w:color="auto"/>
              </w:pBdr>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00" w:type="dxa"/>
            <w:vAlign w:val="bottom"/>
          </w:tcPr>
          <w:p w14:paraId="5018BE3C" w14:textId="77777777" w:rsidR="00EC46DF" w:rsidRPr="00FD742C" w:rsidRDefault="00EC46DF" w:rsidP="002F64E0">
            <w:pPr>
              <w:pStyle w:val="-3"/>
              <w:pBdr>
                <w:bottom w:val="single" w:sz="4" w:space="1" w:color="auto"/>
              </w:pBdr>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6046F0BE" w14:textId="77777777" w:rsidR="00EC46DF" w:rsidRPr="00FD742C" w:rsidRDefault="00EC46DF" w:rsidP="002F64E0">
            <w:pPr>
              <w:pStyle w:val="-3"/>
              <w:pBdr>
                <w:bottom w:val="single" w:sz="4" w:space="1" w:color="auto"/>
              </w:pBdr>
              <w:spacing w:before="20" w:line="240" w:lineRule="auto"/>
              <w:ind w:left="-57"/>
              <w:rPr>
                <w:rFonts w:asciiTheme="minorBidi" w:hAnsiTheme="minorBidi" w:cstheme="minorBidi"/>
                <w:sz w:val="16"/>
                <w:szCs w:val="16"/>
                <w:rtl/>
              </w:rPr>
            </w:pPr>
            <w:r w:rsidRPr="00FD742C">
              <w:rPr>
                <w:rFonts w:asciiTheme="minorBidi" w:hAnsiTheme="minorBidi" w:cstheme="minorBidi"/>
                <w:sz w:val="16"/>
                <w:szCs w:val="16"/>
                <w:rtl/>
              </w:rPr>
              <w:t>0</w:t>
            </w:r>
          </w:p>
        </w:tc>
        <w:tc>
          <w:tcPr>
            <w:tcW w:w="919" w:type="dxa"/>
            <w:vAlign w:val="bottom"/>
          </w:tcPr>
          <w:p w14:paraId="1C8E86E9" w14:textId="77777777" w:rsidR="00EC46DF" w:rsidRPr="00FD742C" w:rsidRDefault="00EC46DF" w:rsidP="002F64E0">
            <w:pPr>
              <w:pStyle w:val="-3"/>
              <w:pBdr>
                <w:bottom w:val="single" w:sz="4" w:space="1" w:color="auto"/>
              </w:pBdr>
              <w:spacing w:before="20" w:line="240" w:lineRule="auto"/>
              <w:ind w:left="-57"/>
              <w:rPr>
                <w:rFonts w:asciiTheme="minorBidi" w:hAnsiTheme="minorBidi" w:cstheme="minorBidi"/>
                <w:sz w:val="16"/>
                <w:szCs w:val="16"/>
              </w:rPr>
            </w:pPr>
            <w:r w:rsidRPr="00FD742C">
              <w:rPr>
                <w:rFonts w:asciiTheme="minorBidi" w:hAnsiTheme="minorBidi" w:cstheme="minorBidi"/>
                <w:sz w:val="16"/>
                <w:szCs w:val="16"/>
                <w:rtl/>
              </w:rPr>
              <w:t>0</w:t>
            </w:r>
          </w:p>
        </w:tc>
        <w:tc>
          <w:tcPr>
            <w:tcW w:w="627" w:type="dxa"/>
            <w:vAlign w:val="bottom"/>
          </w:tcPr>
          <w:p w14:paraId="22DA62FA" w14:textId="77777777" w:rsidR="00EC46DF" w:rsidRPr="00FD742C" w:rsidRDefault="00EC46DF" w:rsidP="002F64E0">
            <w:pPr>
              <w:pStyle w:val="-3"/>
              <w:pBdr>
                <w:bottom w:val="single" w:sz="4" w:space="1" w:color="auto"/>
              </w:pBdr>
              <w:spacing w:before="20" w:line="240" w:lineRule="auto"/>
              <w:rPr>
                <w:rFonts w:asciiTheme="minorBidi" w:hAnsiTheme="minorBidi" w:cstheme="minorBidi"/>
                <w:sz w:val="16"/>
                <w:szCs w:val="16"/>
                <w:rtl/>
              </w:rPr>
            </w:pPr>
            <w:r w:rsidRPr="00FD742C">
              <w:rPr>
                <w:rFonts w:asciiTheme="minorBidi" w:hAnsiTheme="minorBidi" w:cstheme="minorBidi"/>
                <w:sz w:val="16"/>
                <w:szCs w:val="16"/>
                <w:rtl/>
              </w:rPr>
              <w:t>0</w:t>
            </w:r>
          </w:p>
        </w:tc>
      </w:tr>
      <w:tr w:rsidR="00EC46DF" w:rsidRPr="00FD742C" w14:paraId="0C08E7F6" w14:textId="77777777" w:rsidTr="00EC46DF">
        <w:trPr>
          <w:trHeight w:val="245"/>
        </w:trPr>
        <w:tc>
          <w:tcPr>
            <w:tcW w:w="1304" w:type="dxa"/>
          </w:tcPr>
          <w:p w14:paraId="25725CDE" w14:textId="77777777" w:rsidR="00EC46DF" w:rsidRPr="00FD742C" w:rsidRDefault="00EC46DF" w:rsidP="002F64E0">
            <w:pPr>
              <w:pStyle w:val="-0"/>
              <w:spacing w:before="20"/>
              <w:rPr>
                <w:rFonts w:asciiTheme="minorBidi" w:hAnsiTheme="minorBidi" w:cstheme="minorBidi"/>
                <w:sz w:val="16"/>
                <w:szCs w:val="16"/>
                <w:rtl/>
              </w:rPr>
            </w:pPr>
          </w:p>
        </w:tc>
        <w:tc>
          <w:tcPr>
            <w:tcW w:w="2467" w:type="dxa"/>
            <w:vAlign w:val="bottom"/>
          </w:tcPr>
          <w:p w14:paraId="4A2D848D" w14:textId="77777777" w:rsidR="00EC46DF" w:rsidRPr="00FD742C" w:rsidRDefault="00EC46DF" w:rsidP="002F64E0">
            <w:pPr>
              <w:pStyle w:val="-0"/>
              <w:spacing w:before="20" w:line="240" w:lineRule="auto"/>
              <w:ind w:left="142" w:right="-284" w:hanging="142"/>
              <w:rPr>
                <w:rFonts w:asciiTheme="minorBidi" w:hAnsiTheme="minorBidi" w:cstheme="minorBidi"/>
                <w:b/>
                <w:bCs/>
                <w:sz w:val="16"/>
                <w:szCs w:val="16"/>
                <w:rtl/>
              </w:rPr>
            </w:pPr>
            <w:r w:rsidRPr="00FD742C">
              <w:rPr>
                <w:rFonts w:asciiTheme="minorBidi" w:hAnsiTheme="minorBidi" w:cstheme="minorBidi"/>
                <w:b/>
                <w:bCs/>
                <w:sz w:val="16"/>
                <w:szCs w:val="16"/>
                <w:rtl/>
              </w:rPr>
              <w:t xml:space="preserve">סך כל אגרות חוב זמינות למכירה </w:t>
            </w:r>
          </w:p>
        </w:tc>
        <w:tc>
          <w:tcPr>
            <w:tcW w:w="689" w:type="dxa"/>
            <w:vAlign w:val="bottom"/>
          </w:tcPr>
          <w:p w14:paraId="4F42E82B" w14:textId="77777777" w:rsidR="00EC46DF" w:rsidRPr="00FD742C" w:rsidRDefault="00EC46DF" w:rsidP="002F64E0">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837" w:type="dxa"/>
            <w:vAlign w:val="bottom"/>
          </w:tcPr>
          <w:p w14:paraId="54D19662" w14:textId="77777777" w:rsidR="00EC46DF" w:rsidRPr="00FD742C" w:rsidRDefault="00EC46DF" w:rsidP="002F64E0">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932" w:type="dxa"/>
            <w:vAlign w:val="bottom"/>
          </w:tcPr>
          <w:p w14:paraId="07830280" w14:textId="77777777" w:rsidR="00EC46DF" w:rsidRPr="00FD742C" w:rsidRDefault="00EC46DF" w:rsidP="002F64E0">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603" w:type="dxa"/>
            <w:vAlign w:val="bottom"/>
          </w:tcPr>
          <w:p w14:paraId="48039442" w14:textId="77777777" w:rsidR="00EC46DF" w:rsidRPr="00FD742C" w:rsidRDefault="00EC46DF" w:rsidP="002F64E0">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800" w:type="dxa"/>
            <w:vAlign w:val="bottom"/>
          </w:tcPr>
          <w:p w14:paraId="4C5B84D0" w14:textId="77777777" w:rsidR="00EC46DF" w:rsidRPr="00FD742C" w:rsidRDefault="00EC46DF" w:rsidP="002F64E0">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837" w:type="dxa"/>
            <w:vAlign w:val="bottom"/>
          </w:tcPr>
          <w:p w14:paraId="6E02FB6C" w14:textId="77777777" w:rsidR="00EC46DF" w:rsidRPr="00FD742C" w:rsidRDefault="00EC46DF" w:rsidP="002F64E0">
            <w:pPr>
              <w:pStyle w:val="-3"/>
              <w:pBdr>
                <w:bottom w:val="double" w:sz="4" w:space="1" w:color="auto"/>
              </w:pBdr>
              <w:spacing w:before="20" w:line="240" w:lineRule="auto"/>
              <w:ind w:left="-57" w:right="-57"/>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919" w:type="dxa"/>
            <w:vAlign w:val="bottom"/>
          </w:tcPr>
          <w:p w14:paraId="0374529A" w14:textId="77777777" w:rsidR="00EC46DF" w:rsidRPr="00FD742C" w:rsidRDefault="00EC46DF" w:rsidP="002F64E0">
            <w:pPr>
              <w:pStyle w:val="-3"/>
              <w:pBdr>
                <w:bottom w:val="double" w:sz="4" w:space="1" w:color="auto"/>
              </w:pBdr>
              <w:spacing w:before="20" w:line="240" w:lineRule="auto"/>
              <w:ind w:left="-57" w:right="-57"/>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627" w:type="dxa"/>
            <w:vAlign w:val="bottom"/>
          </w:tcPr>
          <w:p w14:paraId="209194DF" w14:textId="77777777" w:rsidR="00EC46DF" w:rsidRPr="00FD742C" w:rsidRDefault="00EC46DF" w:rsidP="002F64E0">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r>
    </w:tbl>
    <w:p w14:paraId="4CB77DA4" w14:textId="77777777" w:rsidR="00920E86" w:rsidRPr="00FD742C" w:rsidRDefault="00920E86" w:rsidP="00FD742C">
      <w:pPr>
        <w:spacing w:line="96" w:lineRule="auto"/>
        <w:rPr>
          <w:rFonts w:asciiTheme="minorBidi" w:hAnsiTheme="minorBidi" w:cstheme="minorBidi"/>
          <w:sz w:val="16"/>
          <w:szCs w:val="16"/>
          <w:rtl/>
        </w:rPr>
      </w:pPr>
    </w:p>
    <w:p w14:paraId="09DC1FB3" w14:textId="77777777" w:rsidR="00206490" w:rsidRDefault="00206490"/>
    <w:p w14:paraId="435CE0C5" w14:textId="77777777" w:rsidR="00206490" w:rsidRDefault="00206490"/>
    <w:tbl>
      <w:tblPr>
        <w:bidiVisual/>
        <w:tblW w:w="4906" w:type="pct"/>
        <w:tblLayout w:type="fixed"/>
        <w:tblLook w:val="04A0" w:firstRow="1" w:lastRow="0" w:firstColumn="1" w:lastColumn="0" w:noHBand="0" w:noVBand="1"/>
      </w:tblPr>
      <w:tblGrid>
        <w:gridCol w:w="1304"/>
        <w:gridCol w:w="2467"/>
        <w:gridCol w:w="689"/>
        <w:gridCol w:w="837"/>
        <w:gridCol w:w="932"/>
        <w:gridCol w:w="603"/>
        <w:gridCol w:w="800"/>
        <w:gridCol w:w="837"/>
        <w:gridCol w:w="919"/>
        <w:gridCol w:w="627"/>
      </w:tblGrid>
      <w:tr w:rsidR="00EC46DF" w:rsidRPr="00FD742C" w14:paraId="0E69F6B3" w14:textId="77777777" w:rsidTr="00EC46DF">
        <w:trPr>
          <w:trHeight w:val="245"/>
        </w:trPr>
        <w:tc>
          <w:tcPr>
            <w:tcW w:w="1304" w:type="dxa"/>
            <w:vAlign w:val="bottom"/>
          </w:tcPr>
          <w:p w14:paraId="6A68E10B" w14:textId="13EC9FA4" w:rsidR="00EC46DF" w:rsidRPr="00FD742C" w:rsidRDefault="00EC46DF" w:rsidP="00B10CB3">
            <w:pPr>
              <w:pStyle w:val="-0"/>
              <w:bidi w:val="0"/>
              <w:ind w:hanging="29"/>
              <w:rPr>
                <w:rFonts w:asciiTheme="minorBidi" w:hAnsiTheme="minorBidi" w:cstheme="minorBidi"/>
                <w:b/>
                <w:bCs/>
                <w:sz w:val="16"/>
                <w:szCs w:val="16"/>
                <w:rtl/>
              </w:rPr>
            </w:pPr>
          </w:p>
        </w:tc>
        <w:tc>
          <w:tcPr>
            <w:tcW w:w="2467" w:type="dxa"/>
            <w:vAlign w:val="bottom"/>
          </w:tcPr>
          <w:p w14:paraId="74C87579" w14:textId="77777777" w:rsidR="00EC46DF" w:rsidRPr="00FD742C" w:rsidRDefault="00EC46DF" w:rsidP="00B10CB3">
            <w:pPr>
              <w:pStyle w:val="-0"/>
              <w:jc w:val="center"/>
              <w:rPr>
                <w:rFonts w:asciiTheme="minorBidi" w:hAnsiTheme="minorBidi" w:cstheme="minorBidi"/>
                <w:b/>
                <w:bCs/>
                <w:sz w:val="16"/>
                <w:szCs w:val="16"/>
                <w:rtl/>
              </w:rPr>
            </w:pPr>
          </w:p>
        </w:tc>
        <w:tc>
          <w:tcPr>
            <w:tcW w:w="6244" w:type="dxa"/>
            <w:gridSpan w:val="8"/>
            <w:vAlign w:val="bottom"/>
          </w:tcPr>
          <w:p w14:paraId="494F9DEA" w14:textId="384ADFCF" w:rsidR="00EC46DF" w:rsidRPr="00FD742C" w:rsidRDefault="00EC46DF" w:rsidP="00B10CB3">
            <w:pPr>
              <w:pStyle w:val="-4"/>
              <w:rPr>
                <w:rFonts w:asciiTheme="minorBidi" w:hAnsiTheme="minorBidi" w:cstheme="minorBidi"/>
                <w:sz w:val="16"/>
                <w:szCs w:val="16"/>
              </w:rPr>
            </w:pPr>
            <w:r w:rsidRPr="00FD742C">
              <w:rPr>
                <w:rFonts w:asciiTheme="minorBidi" w:hAnsiTheme="minorBidi" w:cstheme="minorBidi"/>
                <w:sz w:val="16"/>
                <w:szCs w:val="16"/>
                <w:rtl/>
              </w:rPr>
              <w:t xml:space="preserve">ליום 30 ביוני </w:t>
            </w:r>
            <w:r w:rsidRPr="00FD742C">
              <w:rPr>
                <w:rFonts w:asciiTheme="minorBidi" w:hAnsiTheme="minorBidi" w:cstheme="minorBidi"/>
                <w:sz w:val="16"/>
                <w:szCs w:val="16"/>
                <w:rtl/>
              </w:rPr>
              <w:fldChar w:fldCharType="begin"/>
            </w:r>
            <w:r w:rsidRPr="00FD742C">
              <w:rPr>
                <w:rFonts w:asciiTheme="minorBidi" w:hAnsiTheme="minorBidi" w:cstheme="minorBidi"/>
                <w:sz w:val="16"/>
                <w:szCs w:val="16"/>
                <w:rtl/>
              </w:rPr>
              <w:instrText xml:space="preserve"> = </w:instrText>
            </w:r>
            <w:r w:rsidRPr="00FD742C">
              <w:rPr>
                <w:rFonts w:asciiTheme="minorBidi" w:hAnsiTheme="minorBidi" w:cstheme="minorBidi"/>
                <w:sz w:val="16"/>
                <w:szCs w:val="16"/>
              </w:rPr>
              <w:instrText>CY-1 \* MERGEFORMAT</w:instrText>
            </w:r>
            <w:r w:rsidRPr="00FD742C">
              <w:rPr>
                <w:rFonts w:asciiTheme="minorBidi" w:hAnsiTheme="minorBidi" w:cstheme="minorBidi"/>
                <w:sz w:val="16"/>
                <w:szCs w:val="16"/>
                <w:rtl/>
              </w:rPr>
              <w:instrText xml:space="preserve"> </w:instrText>
            </w:r>
            <w:r w:rsidRPr="00FD742C">
              <w:rPr>
                <w:rFonts w:asciiTheme="minorBidi" w:hAnsiTheme="minorBidi" w:cstheme="minorBidi"/>
                <w:sz w:val="16"/>
                <w:szCs w:val="16"/>
                <w:rtl/>
              </w:rPr>
              <w:fldChar w:fldCharType="separate"/>
            </w:r>
            <w:r>
              <w:rPr>
                <w:rFonts w:asciiTheme="minorBidi" w:hAnsiTheme="minorBidi" w:cstheme="minorBidi"/>
                <w:noProof/>
                <w:sz w:val="16"/>
                <w:szCs w:val="16"/>
                <w:rtl/>
              </w:rPr>
              <w:t>2023</w:t>
            </w:r>
            <w:r w:rsidRPr="00FD742C">
              <w:rPr>
                <w:rFonts w:asciiTheme="minorBidi" w:hAnsiTheme="minorBidi" w:cstheme="minorBidi"/>
                <w:sz w:val="16"/>
                <w:szCs w:val="16"/>
                <w:rtl/>
              </w:rPr>
              <w:fldChar w:fldCharType="end"/>
            </w:r>
            <w:r>
              <w:rPr>
                <w:rFonts w:asciiTheme="minorBidi" w:hAnsiTheme="minorBidi" w:cstheme="minorBidi" w:hint="cs"/>
                <w:sz w:val="16"/>
                <w:szCs w:val="16"/>
                <w:rtl/>
              </w:rPr>
              <w:t xml:space="preserve">  </w:t>
            </w:r>
            <w:r w:rsidRPr="000446FA">
              <w:rPr>
                <w:rFonts w:asciiTheme="minorBidi" w:hAnsiTheme="minorBidi" w:cstheme="minorBidi" w:hint="cs"/>
                <w:b w:val="0"/>
                <w:bCs w:val="0"/>
                <w:sz w:val="16"/>
                <w:szCs w:val="16"/>
                <w:rtl/>
              </w:rPr>
              <w:t>(</w:t>
            </w:r>
            <w:r w:rsidRPr="000446FA">
              <w:rPr>
                <w:rFonts w:asciiTheme="minorBidi" w:hAnsiTheme="minorBidi" w:cstheme="minorBidi"/>
                <w:b w:val="0"/>
                <w:bCs w:val="0"/>
                <w:sz w:val="16"/>
                <w:szCs w:val="16"/>
                <w:rtl/>
              </w:rPr>
              <w:t>בלתי מבוקר</w:t>
            </w:r>
            <w:r w:rsidRPr="000446FA">
              <w:rPr>
                <w:rFonts w:asciiTheme="minorBidi" w:hAnsiTheme="minorBidi" w:cstheme="minorBidi" w:hint="cs"/>
                <w:b w:val="0"/>
                <w:bCs w:val="0"/>
                <w:sz w:val="16"/>
                <w:szCs w:val="16"/>
                <w:rtl/>
              </w:rPr>
              <w:t>)</w:t>
            </w:r>
          </w:p>
        </w:tc>
      </w:tr>
      <w:tr w:rsidR="00EC46DF" w:rsidRPr="00FD742C" w14:paraId="1E6C2EC6" w14:textId="77777777" w:rsidTr="00EC46DF">
        <w:trPr>
          <w:trHeight w:val="245"/>
        </w:trPr>
        <w:tc>
          <w:tcPr>
            <w:tcW w:w="1304" w:type="dxa"/>
            <w:vAlign w:val="bottom"/>
          </w:tcPr>
          <w:p w14:paraId="0B1DAE4F" w14:textId="77777777" w:rsidR="00EC46DF" w:rsidRPr="00FD742C" w:rsidRDefault="00EC46DF" w:rsidP="00B10CB3">
            <w:pPr>
              <w:pStyle w:val="-0"/>
              <w:spacing w:before="20"/>
              <w:jc w:val="center"/>
              <w:rPr>
                <w:rFonts w:asciiTheme="minorBidi" w:hAnsiTheme="minorBidi" w:cstheme="minorBidi"/>
                <w:b/>
                <w:bCs/>
                <w:sz w:val="16"/>
                <w:szCs w:val="16"/>
                <w:rtl/>
              </w:rPr>
            </w:pPr>
          </w:p>
        </w:tc>
        <w:tc>
          <w:tcPr>
            <w:tcW w:w="2467" w:type="dxa"/>
            <w:vAlign w:val="bottom"/>
          </w:tcPr>
          <w:p w14:paraId="0FA75438" w14:textId="77777777" w:rsidR="00EC46DF" w:rsidRPr="00FD742C" w:rsidRDefault="00EC46DF" w:rsidP="00B10CB3">
            <w:pPr>
              <w:pStyle w:val="-0"/>
              <w:spacing w:before="20"/>
              <w:jc w:val="center"/>
              <w:rPr>
                <w:rFonts w:asciiTheme="minorBidi" w:hAnsiTheme="minorBidi" w:cstheme="minorBidi"/>
                <w:b/>
                <w:bCs/>
                <w:sz w:val="16"/>
                <w:szCs w:val="16"/>
                <w:rtl/>
              </w:rPr>
            </w:pPr>
          </w:p>
        </w:tc>
        <w:tc>
          <w:tcPr>
            <w:tcW w:w="3061" w:type="dxa"/>
            <w:gridSpan w:val="4"/>
            <w:vAlign w:val="bottom"/>
          </w:tcPr>
          <w:p w14:paraId="215697B3" w14:textId="77777777" w:rsidR="00EC46DF" w:rsidRPr="00FD742C" w:rsidRDefault="00EC46DF" w:rsidP="00B10CB3">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פחות מ-12 חודשים</w:t>
            </w:r>
          </w:p>
        </w:tc>
        <w:tc>
          <w:tcPr>
            <w:tcW w:w="3183" w:type="dxa"/>
            <w:gridSpan w:val="4"/>
            <w:vAlign w:val="bottom"/>
          </w:tcPr>
          <w:p w14:paraId="12068014" w14:textId="77777777" w:rsidR="00EC46DF" w:rsidRPr="00FD742C" w:rsidRDefault="00EC46DF" w:rsidP="00B10CB3">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12 חודשים ומעלה</w:t>
            </w:r>
          </w:p>
        </w:tc>
      </w:tr>
      <w:tr w:rsidR="00EC46DF" w:rsidRPr="00FD742C" w14:paraId="342A6711" w14:textId="77777777" w:rsidTr="00EC46DF">
        <w:trPr>
          <w:trHeight w:val="245"/>
        </w:trPr>
        <w:tc>
          <w:tcPr>
            <w:tcW w:w="1304" w:type="dxa"/>
            <w:vAlign w:val="bottom"/>
          </w:tcPr>
          <w:p w14:paraId="374B1B8D" w14:textId="77777777" w:rsidR="00EC46DF" w:rsidRPr="00FD742C" w:rsidRDefault="00EC46DF" w:rsidP="00B10CB3">
            <w:pPr>
              <w:pStyle w:val="-0"/>
              <w:spacing w:before="20"/>
              <w:jc w:val="center"/>
              <w:rPr>
                <w:rFonts w:asciiTheme="minorBidi" w:hAnsiTheme="minorBidi" w:cstheme="minorBidi"/>
                <w:b/>
                <w:bCs/>
                <w:sz w:val="16"/>
                <w:szCs w:val="16"/>
                <w:rtl/>
              </w:rPr>
            </w:pPr>
          </w:p>
        </w:tc>
        <w:tc>
          <w:tcPr>
            <w:tcW w:w="2467" w:type="dxa"/>
            <w:vAlign w:val="bottom"/>
          </w:tcPr>
          <w:p w14:paraId="01BC0E92" w14:textId="77777777" w:rsidR="00EC46DF" w:rsidRPr="00FD742C" w:rsidRDefault="00EC46DF" w:rsidP="00B10CB3">
            <w:pPr>
              <w:pStyle w:val="-0"/>
              <w:spacing w:before="20"/>
              <w:jc w:val="center"/>
              <w:rPr>
                <w:rFonts w:asciiTheme="minorBidi" w:hAnsiTheme="minorBidi" w:cstheme="minorBidi"/>
                <w:b/>
                <w:bCs/>
                <w:sz w:val="16"/>
                <w:szCs w:val="16"/>
                <w:rtl/>
              </w:rPr>
            </w:pPr>
          </w:p>
        </w:tc>
        <w:tc>
          <w:tcPr>
            <w:tcW w:w="689" w:type="dxa"/>
            <w:vAlign w:val="bottom"/>
          </w:tcPr>
          <w:p w14:paraId="26879743" w14:textId="77777777" w:rsidR="00EC46DF" w:rsidRPr="00FD742C" w:rsidRDefault="00EC46DF" w:rsidP="00B10CB3">
            <w:pPr>
              <w:pStyle w:val="-4"/>
              <w:pBdr>
                <w:bottom w:val="none" w:sz="0" w:space="0" w:color="auto"/>
              </w:pBdr>
              <w:spacing w:before="20"/>
              <w:rPr>
                <w:rFonts w:asciiTheme="minorBidi" w:hAnsiTheme="minorBidi" w:cstheme="minorBidi"/>
                <w:sz w:val="16"/>
                <w:szCs w:val="16"/>
                <w:rtl/>
              </w:rPr>
            </w:pPr>
          </w:p>
        </w:tc>
        <w:tc>
          <w:tcPr>
            <w:tcW w:w="2372" w:type="dxa"/>
            <w:gridSpan w:val="3"/>
            <w:vAlign w:val="bottom"/>
          </w:tcPr>
          <w:p w14:paraId="3AC29CDD" w14:textId="77777777" w:rsidR="00EC46DF" w:rsidRPr="00FD742C" w:rsidRDefault="00EC46DF" w:rsidP="00B10CB3">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הפסדים שטרם מומשו</w:t>
            </w:r>
          </w:p>
        </w:tc>
        <w:tc>
          <w:tcPr>
            <w:tcW w:w="800" w:type="dxa"/>
            <w:vAlign w:val="bottom"/>
          </w:tcPr>
          <w:p w14:paraId="5708AB9E" w14:textId="77777777" w:rsidR="00EC46DF" w:rsidRPr="00FD742C" w:rsidRDefault="00EC46DF" w:rsidP="00D64969">
            <w:pPr>
              <w:pStyle w:val="-4"/>
              <w:pBdr>
                <w:bottom w:val="none" w:sz="0" w:space="0" w:color="auto"/>
              </w:pBdr>
              <w:spacing w:before="20"/>
              <w:rPr>
                <w:rFonts w:asciiTheme="minorBidi" w:hAnsiTheme="minorBidi" w:cstheme="minorBidi"/>
                <w:sz w:val="16"/>
                <w:szCs w:val="16"/>
                <w:rtl/>
              </w:rPr>
            </w:pPr>
          </w:p>
        </w:tc>
        <w:tc>
          <w:tcPr>
            <w:tcW w:w="2383" w:type="dxa"/>
            <w:gridSpan w:val="3"/>
            <w:vAlign w:val="bottom"/>
          </w:tcPr>
          <w:p w14:paraId="02ACA45E" w14:textId="77777777" w:rsidR="00EC46DF" w:rsidRPr="00FD742C" w:rsidRDefault="00EC46DF" w:rsidP="00B10CB3">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הפסדים שטרם מומשו</w:t>
            </w:r>
          </w:p>
        </w:tc>
      </w:tr>
      <w:tr w:rsidR="00EC46DF" w:rsidRPr="00FD742C" w14:paraId="03E46FE0" w14:textId="77777777" w:rsidTr="00EC46DF">
        <w:trPr>
          <w:trHeight w:val="245"/>
        </w:trPr>
        <w:tc>
          <w:tcPr>
            <w:tcW w:w="1304" w:type="dxa"/>
            <w:vAlign w:val="bottom"/>
          </w:tcPr>
          <w:p w14:paraId="59C0C481" w14:textId="77777777" w:rsidR="00EC46DF" w:rsidRPr="00FD742C" w:rsidRDefault="00EC46DF" w:rsidP="00B10CB3">
            <w:pPr>
              <w:pStyle w:val="-0"/>
              <w:spacing w:before="20"/>
              <w:jc w:val="center"/>
              <w:rPr>
                <w:rFonts w:asciiTheme="minorBidi" w:hAnsiTheme="minorBidi" w:cstheme="minorBidi"/>
                <w:b/>
                <w:bCs/>
                <w:sz w:val="16"/>
                <w:szCs w:val="16"/>
                <w:rtl/>
              </w:rPr>
            </w:pPr>
          </w:p>
        </w:tc>
        <w:tc>
          <w:tcPr>
            <w:tcW w:w="2467" w:type="dxa"/>
            <w:vAlign w:val="bottom"/>
          </w:tcPr>
          <w:p w14:paraId="42080192" w14:textId="77777777" w:rsidR="00EC46DF" w:rsidRPr="00FD742C" w:rsidRDefault="00EC46DF" w:rsidP="00B10CB3">
            <w:pPr>
              <w:pStyle w:val="-0"/>
              <w:spacing w:before="20"/>
              <w:jc w:val="center"/>
              <w:rPr>
                <w:rFonts w:asciiTheme="minorBidi" w:hAnsiTheme="minorBidi" w:cstheme="minorBidi"/>
                <w:b/>
                <w:bCs/>
                <w:sz w:val="16"/>
                <w:szCs w:val="16"/>
                <w:rtl/>
              </w:rPr>
            </w:pPr>
          </w:p>
        </w:tc>
        <w:tc>
          <w:tcPr>
            <w:tcW w:w="689" w:type="dxa"/>
            <w:vAlign w:val="bottom"/>
          </w:tcPr>
          <w:p w14:paraId="48311B40" w14:textId="77777777" w:rsidR="00EC46DF" w:rsidRPr="00FD742C" w:rsidRDefault="00EC46DF" w:rsidP="00B10CB3">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שווי הוגן</w:t>
            </w:r>
          </w:p>
        </w:tc>
        <w:tc>
          <w:tcPr>
            <w:tcW w:w="837" w:type="dxa"/>
            <w:vAlign w:val="bottom"/>
          </w:tcPr>
          <w:p w14:paraId="1EEF3E98" w14:textId="39E44D63" w:rsidR="00EC46DF" w:rsidRPr="00FD742C" w:rsidRDefault="00EC46DF" w:rsidP="00B10CB3">
            <w:pPr>
              <w:pStyle w:val="-4"/>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0-20%</w:t>
            </w:r>
          </w:p>
        </w:tc>
        <w:tc>
          <w:tcPr>
            <w:tcW w:w="932" w:type="dxa"/>
            <w:vAlign w:val="bottom"/>
          </w:tcPr>
          <w:p w14:paraId="5B41069D" w14:textId="1035341F" w:rsidR="00EC46DF" w:rsidRPr="00FD742C" w:rsidRDefault="00EC46DF" w:rsidP="00B10CB3">
            <w:pPr>
              <w:pStyle w:val="-4"/>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20-40%</w:t>
            </w:r>
          </w:p>
        </w:tc>
        <w:tc>
          <w:tcPr>
            <w:tcW w:w="603" w:type="dxa"/>
            <w:vAlign w:val="bottom"/>
          </w:tcPr>
          <w:p w14:paraId="68A7941E" w14:textId="77777777" w:rsidR="00EC46DF" w:rsidRPr="00FD742C" w:rsidRDefault="00EC46DF" w:rsidP="00B10CB3">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סה"כ</w:t>
            </w:r>
          </w:p>
        </w:tc>
        <w:tc>
          <w:tcPr>
            <w:tcW w:w="800" w:type="dxa"/>
            <w:vAlign w:val="bottom"/>
          </w:tcPr>
          <w:p w14:paraId="7FEA2FFE" w14:textId="77777777" w:rsidR="00EC46DF" w:rsidRPr="00FD742C" w:rsidRDefault="00EC46DF" w:rsidP="00B10CB3">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שווי הוגן</w:t>
            </w:r>
          </w:p>
        </w:tc>
        <w:tc>
          <w:tcPr>
            <w:tcW w:w="837" w:type="dxa"/>
            <w:vAlign w:val="bottom"/>
          </w:tcPr>
          <w:p w14:paraId="56400F18" w14:textId="207313D4" w:rsidR="00EC46DF" w:rsidRPr="00FD742C" w:rsidRDefault="00EC46DF" w:rsidP="00B10CB3">
            <w:pPr>
              <w:pStyle w:val="-4"/>
              <w:spacing w:line="240" w:lineRule="auto"/>
              <w:ind w:left="-28" w:right="-28"/>
              <w:rPr>
                <w:rFonts w:asciiTheme="minorBidi" w:hAnsiTheme="minorBidi" w:cstheme="minorBidi"/>
                <w:sz w:val="16"/>
                <w:szCs w:val="16"/>
                <w:rtl/>
              </w:rPr>
            </w:pPr>
            <w:r w:rsidRPr="00FD742C">
              <w:rPr>
                <w:rFonts w:asciiTheme="minorBidi" w:hAnsiTheme="minorBidi" w:cstheme="minorBidi"/>
                <w:sz w:val="16"/>
                <w:szCs w:val="16"/>
                <w:rtl/>
              </w:rPr>
              <w:t>0-20%</w:t>
            </w:r>
          </w:p>
        </w:tc>
        <w:tc>
          <w:tcPr>
            <w:tcW w:w="919" w:type="dxa"/>
            <w:vAlign w:val="bottom"/>
          </w:tcPr>
          <w:p w14:paraId="728FF43E" w14:textId="12389E55" w:rsidR="00EC46DF" w:rsidRPr="00FD742C" w:rsidRDefault="00EC46DF" w:rsidP="00B10CB3">
            <w:pPr>
              <w:pStyle w:val="-4"/>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20-40%</w:t>
            </w:r>
          </w:p>
        </w:tc>
        <w:tc>
          <w:tcPr>
            <w:tcW w:w="627" w:type="dxa"/>
            <w:vAlign w:val="bottom"/>
          </w:tcPr>
          <w:p w14:paraId="1799D747" w14:textId="77777777" w:rsidR="00EC46DF" w:rsidRPr="00FD742C" w:rsidRDefault="00EC46DF" w:rsidP="00B10CB3">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סה"כ</w:t>
            </w:r>
          </w:p>
        </w:tc>
      </w:tr>
      <w:tr w:rsidR="00EC46DF" w:rsidRPr="00FD742C" w14:paraId="1282291A" w14:textId="77777777" w:rsidTr="00EC46DF">
        <w:trPr>
          <w:trHeight w:val="245"/>
        </w:trPr>
        <w:tc>
          <w:tcPr>
            <w:tcW w:w="1304" w:type="dxa"/>
          </w:tcPr>
          <w:p w14:paraId="6DA496E0" w14:textId="77777777" w:rsidR="00EC46DF" w:rsidRPr="00FD742C" w:rsidRDefault="00EC46DF" w:rsidP="00B10CB3">
            <w:pPr>
              <w:pStyle w:val="-0"/>
              <w:spacing w:before="20"/>
              <w:rPr>
                <w:rFonts w:asciiTheme="minorBidi" w:hAnsiTheme="minorBidi" w:cstheme="minorBidi"/>
                <w:sz w:val="16"/>
                <w:szCs w:val="16"/>
                <w:rtl/>
              </w:rPr>
            </w:pPr>
          </w:p>
        </w:tc>
        <w:tc>
          <w:tcPr>
            <w:tcW w:w="2467" w:type="dxa"/>
            <w:vAlign w:val="bottom"/>
          </w:tcPr>
          <w:p w14:paraId="643E5888" w14:textId="77777777" w:rsidR="00EC46DF" w:rsidRPr="00FD742C" w:rsidRDefault="00EC46DF" w:rsidP="00B10CB3">
            <w:pPr>
              <w:pStyle w:val="-0"/>
              <w:spacing w:before="20" w:line="240" w:lineRule="auto"/>
              <w:ind w:left="0" w:right="-284" w:firstLine="0"/>
              <w:rPr>
                <w:rFonts w:asciiTheme="minorBidi" w:hAnsiTheme="minorBidi" w:cstheme="minorBidi"/>
                <w:sz w:val="16"/>
                <w:szCs w:val="16"/>
                <w:rtl/>
              </w:rPr>
            </w:pPr>
            <w:r w:rsidRPr="00FD742C">
              <w:rPr>
                <w:rFonts w:asciiTheme="minorBidi" w:hAnsiTheme="minorBidi" w:cstheme="minorBidi"/>
                <w:sz w:val="16"/>
                <w:szCs w:val="16"/>
                <w:rtl/>
              </w:rPr>
              <w:t>אגרות חוב:</w:t>
            </w:r>
          </w:p>
        </w:tc>
        <w:tc>
          <w:tcPr>
            <w:tcW w:w="689" w:type="dxa"/>
            <w:vAlign w:val="bottom"/>
          </w:tcPr>
          <w:p w14:paraId="46D75018" w14:textId="77777777" w:rsidR="00EC46DF" w:rsidRPr="00FD742C" w:rsidRDefault="00EC46DF" w:rsidP="00B10CB3">
            <w:pPr>
              <w:pStyle w:val="-3"/>
              <w:spacing w:before="20"/>
              <w:rPr>
                <w:rFonts w:asciiTheme="minorBidi" w:hAnsiTheme="minorBidi" w:cstheme="minorBidi"/>
                <w:sz w:val="16"/>
                <w:szCs w:val="16"/>
                <w:rtl/>
              </w:rPr>
            </w:pPr>
          </w:p>
        </w:tc>
        <w:tc>
          <w:tcPr>
            <w:tcW w:w="837" w:type="dxa"/>
            <w:vAlign w:val="bottom"/>
          </w:tcPr>
          <w:p w14:paraId="4D2877C5" w14:textId="77777777" w:rsidR="00EC46DF" w:rsidRPr="00FD742C" w:rsidRDefault="00EC46DF" w:rsidP="00B10CB3">
            <w:pPr>
              <w:pStyle w:val="-3"/>
              <w:spacing w:before="20"/>
              <w:rPr>
                <w:rFonts w:asciiTheme="minorBidi" w:hAnsiTheme="minorBidi" w:cstheme="minorBidi"/>
                <w:sz w:val="16"/>
                <w:szCs w:val="16"/>
                <w:rtl/>
              </w:rPr>
            </w:pPr>
          </w:p>
        </w:tc>
        <w:tc>
          <w:tcPr>
            <w:tcW w:w="932" w:type="dxa"/>
            <w:vAlign w:val="bottom"/>
          </w:tcPr>
          <w:p w14:paraId="24878C3F" w14:textId="77777777" w:rsidR="00EC46DF" w:rsidRPr="00FD742C" w:rsidRDefault="00EC46DF" w:rsidP="00B10CB3">
            <w:pPr>
              <w:pStyle w:val="-3"/>
              <w:spacing w:before="20"/>
              <w:rPr>
                <w:rFonts w:asciiTheme="minorBidi" w:hAnsiTheme="minorBidi" w:cstheme="minorBidi"/>
                <w:sz w:val="16"/>
                <w:szCs w:val="16"/>
                <w:rtl/>
              </w:rPr>
            </w:pPr>
          </w:p>
        </w:tc>
        <w:tc>
          <w:tcPr>
            <w:tcW w:w="603" w:type="dxa"/>
            <w:vAlign w:val="bottom"/>
          </w:tcPr>
          <w:p w14:paraId="7F1C11E4" w14:textId="77777777" w:rsidR="00EC46DF" w:rsidRPr="00FD742C" w:rsidRDefault="00EC46DF" w:rsidP="00B10CB3">
            <w:pPr>
              <w:pStyle w:val="-3"/>
              <w:spacing w:before="20"/>
              <w:rPr>
                <w:rFonts w:asciiTheme="minorBidi" w:hAnsiTheme="minorBidi" w:cstheme="minorBidi"/>
                <w:sz w:val="16"/>
                <w:szCs w:val="16"/>
                <w:rtl/>
              </w:rPr>
            </w:pPr>
          </w:p>
        </w:tc>
        <w:tc>
          <w:tcPr>
            <w:tcW w:w="800" w:type="dxa"/>
            <w:vAlign w:val="bottom"/>
          </w:tcPr>
          <w:p w14:paraId="72E76331" w14:textId="77777777" w:rsidR="00EC46DF" w:rsidRPr="00FD742C" w:rsidRDefault="00EC46DF" w:rsidP="00B10CB3">
            <w:pPr>
              <w:pStyle w:val="-3"/>
              <w:spacing w:before="20"/>
              <w:rPr>
                <w:rFonts w:asciiTheme="minorBidi" w:hAnsiTheme="minorBidi" w:cstheme="minorBidi"/>
                <w:sz w:val="16"/>
                <w:szCs w:val="16"/>
                <w:rtl/>
              </w:rPr>
            </w:pPr>
          </w:p>
        </w:tc>
        <w:tc>
          <w:tcPr>
            <w:tcW w:w="837" w:type="dxa"/>
            <w:vAlign w:val="bottom"/>
          </w:tcPr>
          <w:p w14:paraId="31D5494F" w14:textId="77777777" w:rsidR="00EC46DF" w:rsidRPr="00FD742C" w:rsidRDefault="00EC46DF" w:rsidP="00B10CB3">
            <w:pPr>
              <w:pStyle w:val="-3"/>
              <w:spacing w:before="20" w:line="240" w:lineRule="auto"/>
              <w:ind w:left="-57" w:right="-57"/>
              <w:rPr>
                <w:rFonts w:asciiTheme="minorBidi" w:hAnsiTheme="minorBidi" w:cstheme="minorBidi"/>
                <w:sz w:val="16"/>
                <w:szCs w:val="16"/>
                <w:rtl/>
              </w:rPr>
            </w:pPr>
          </w:p>
        </w:tc>
        <w:tc>
          <w:tcPr>
            <w:tcW w:w="919" w:type="dxa"/>
            <w:vAlign w:val="bottom"/>
          </w:tcPr>
          <w:p w14:paraId="5E6A34F0" w14:textId="77777777" w:rsidR="00EC46DF" w:rsidRPr="00FD742C" w:rsidRDefault="00EC46DF" w:rsidP="00B10CB3">
            <w:pPr>
              <w:pStyle w:val="-3"/>
              <w:spacing w:before="20" w:line="240" w:lineRule="auto"/>
              <w:ind w:left="-57" w:right="-57"/>
              <w:rPr>
                <w:rFonts w:asciiTheme="minorBidi" w:hAnsiTheme="minorBidi" w:cstheme="minorBidi"/>
                <w:sz w:val="16"/>
                <w:szCs w:val="16"/>
                <w:rtl/>
              </w:rPr>
            </w:pPr>
          </w:p>
        </w:tc>
        <w:tc>
          <w:tcPr>
            <w:tcW w:w="627" w:type="dxa"/>
            <w:vAlign w:val="bottom"/>
          </w:tcPr>
          <w:p w14:paraId="2B7DC1D7" w14:textId="77777777" w:rsidR="00EC46DF" w:rsidRPr="00FD742C" w:rsidRDefault="00EC46DF" w:rsidP="00B10CB3">
            <w:pPr>
              <w:pStyle w:val="-3"/>
              <w:spacing w:before="20"/>
              <w:rPr>
                <w:rFonts w:asciiTheme="minorBidi" w:hAnsiTheme="minorBidi" w:cstheme="minorBidi"/>
                <w:sz w:val="16"/>
                <w:szCs w:val="16"/>
                <w:rtl/>
              </w:rPr>
            </w:pPr>
          </w:p>
        </w:tc>
      </w:tr>
      <w:tr w:rsidR="00EC46DF" w:rsidRPr="00FD742C" w14:paraId="42374054" w14:textId="77777777" w:rsidTr="00EC46DF">
        <w:trPr>
          <w:trHeight w:val="245"/>
        </w:trPr>
        <w:tc>
          <w:tcPr>
            <w:tcW w:w="1304" w:type="dxa"/>
          </w:tcPr>
          <w:p w14:paraId="266F95AD" w14:textId="77777777" w:rsidR="00EC46DF" w:rsidRPr="00FD742C" w:rsidRDefault="00EC46DF" w:rsidP="00B10CB3">
            <w:pPr>
              <w:pStyle w:val="-0"/>
              <w:spacing w:before="20"/>
              <w:rPr>
                <w:rFonts w:asciiTheme="minorBidi" w:hAnsiTheme="minorBidi" w:cstheme="minorBidi"/>
                <w:sz w:val="16"/>
                <w:szCs w:val="16"/>
                <w:rtl/>
              </w:rPr>
            </w:pPr>
          </w:p>
        </w:tc>
        <w:tc>
          <w:tcPr>
            <w:tcW w:w="2467" w:type="dxa"/>
            <w:vAlign w:val="bottom"/>
          </w:tcPr>
          <w:p w14:paraId="6F9AC682" w14:textId="77777777" w:rsidR="00EC46DF" w:rsidRPr="00FD742C" w:rsidRDefault="00EC46DF" w:rsidP="00D64969">
            <w:pPr>
              <w:pStyle w:val="-0"/>
              <w:tabs>
                <w:tab w:val="left" w:pos="893"/>
              </w:tabs>
              <w:spacing w:before="20" w:line="240" w:lineRule="auto"/>
              <w:ind w:left="0" w:right="-284" w:firstLine="0"/>
              <w:rPr>
                <w:rFonts w:asciiTheme="minorBidi" w:hAnsiTheme="minorBidi" w:cstheme="minorBidi"/>
                <w:sz w:val="16"/>
                <w:szCs w:val="16"/>
                <w:rtl/>
              </w:rPr>
            </w:pPr>
            <w:r w:rsidRPr="00FD742C">
              <w:rPr>
                <w:rFonts w:asciiTheme="minorBidi" w:hAnsiTheme="minorBidi" w:cstheme="minorBidi"/>
                <w:sz w:val="16"/>
                <w:szCs w:val="16"/>
                <w:rtl/>
              </w:rPr>
              <w:t>של ממשלות ומוסדות פיננסיים</w:t>
            </w:r>
          </w:p>
        </w:tc>
        <w:tc>
          <w:tcPr>
            <w:tcW w:w="689" w:type="dxa"/>
            <w:vAlign w:val="bottom"/>
          </w:tcPr>
          <w:p w14:paraId="1FBE617D"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65AEC06A"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932" w:type="dxa"/>
            <w:vAlign w:val="bottom"/>
          </w:tcPr>
          <w:p w14:paraId="7C1891B3"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603" w:type="dxa"/>
            <w:vAlign w:val="bottom"/>
          </w:tcPr>
          <w:p w14:paraId="559A6F25"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00" w:type="dxa"/>
            <w:vAlign w:val="bottom"/>
          </w:tcPr>
          <w:p w14:paraId="20A6C6AB"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39205B00" w14:textId="77777777" w:rsidR="00EC46DF" w:rsidRPr="00FD742C" w:rsidRDefault="00EC46DF" w:rsidP="00B10CB3">
            <w:pPr>
              <w:pStyle w:val="-3"/>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0</w:t>
            </w:r>
          </w:p>
        </w:tc>
        <w:tc>
          <w:tcPr>
            <w:tcW w:w="919" w:type="dxa"/>
            <w:vAlign w:val="bottom"/>
          </w:tcPr>
          <w:p w14:paraId="294FD06A" w14:textId="77777777" w:rsidR="00EC46DF" w:rsidRPr="00FD742C" w:rsidRDefault="00EC46DF" w:rsidP="00B10CB3">
            <w:pPr>
              <w:pStyle w:val="-3"/>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0</w:t>
            </w:r>
          </w:p>
        </w:tc>
        <w:tc>
          <w:tcPr>
            <w:tcW w:w="627" w:type="dxa"/>
            <w:vAlign w:val="bottom"/>
          </w:tcPr>
          <w:p w14:paraId="75FB3BEF"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r>
      <w:tr w:rsidR="00EC46DF" w:rsidRPr="00FD742C" w14:paraId="0C7595D5" w14:textId="77777777" w:rsidTr="00EC46DF">
        <w:trPr>
          <w:trHeight w:val="245"/>
        </w:trPr>
        <w:tc>
          <w:tcPr>
            <w:tcW w:w="1304" w:type="dxa"/>
          </w:tcPr>
          <w:p w14:paraId="5CAB9DC5" w14:textId="77777777" w:rsidR="00EC46DF" w:rsidRPr="00FD742C" w:rsidRDefault="00EC46DF" w:rsidP="00B10CB3">
            <w:pPr>
              <w:pStyle w:val="-0"/>
              <w:spacing w:before="20"/>
              <w:rPr>
                <w:rFonts w:asciiTheme="minorBidi" w:hAnsiTheme="minorBidi" w:cstheme="minorBidi"/>
                <w:sz w:val="16"/>
                <w:szCs w:val="16"/>
                <w:rtl/>
              </w:rPr>
            </w:pPr>
          </w:p>
        </w:tc>
        <w:tc>
          <w:tcPr>
            <w:tcW w:w="2467" w:type="dxa"/>
            <w:vAlign w:val="bottom"/>
          </w:tcPr>
          <w:p w14:paraId="60839E70" w14:textId="77777777" w:rsidR="00EC46DF" w:rsidRPr="00FD742C" w:rsidRDefault="00EC46DF" w:rsidP="00D64969">
            <w:pPr>
              <w:pStyle w:val="-0"/>
              <w:tabs>
                <w:tab w:val="left" w:pos="893"/>
              </w:tabs>
              <w:spacing w:before="20" w:line="240" w:lineRule="auto"/>
              <w:ind w:left="0" w:right="-284" w:firstLine="0"/>
              <w:rPr>
                <w:rFonts w:asciiTheme="minorBidi" w:hAnsiTheme="minorBidi" w:cstheme="minorBidi"/>
                <w:sz w:val="16"/>
                <w:szCs w:val="16"/>
                <w:rtl/>
              </w:rPr>
            </w:pPr>
            <w:r w:rsidRPr="00FD742C">
              <w:rPr>
                <w:rFonts w:asciiTheme="minorBidi" w:hAnsiTheme="minorBidi" w:cstheme="minorBidi"/>
                <w:sz w:val="16"/>
                <w:szCs w:val="16"/>
                <w:rtl/>
              </w:rPr>
              <w:t>מגובות נכסים (</w:t>
            </w:r>
            <w:r w:rsidRPr="00FD742C">
              <w:rPr>
                <w:rFonts w:asciiTheme="minorBidi" w:hAnsiTheme="minorBidi" w:cstheme="minorBidi"/>
                <w:sz w:val="16"/>
                <w:szCs w:val="16"/>
              </w:rPr>
              <w:t>ABS</w:t>
            </w:r>
            <w:r w:rsidRPr="00FD742C">
              <w:rPr>
                <w:rFonts w:asciiTheme="minorBidi" w:hAnsiTheme="minorBidi" w:cstheme="minorBidi"/>
                <w:sz w:val="16"/>
                <w:szCs w:val="16"/>
                <w:rtl/>
              </w:rPr>
              <w:t xml:space="preserve">) או </w:t>
            </w:r>
          </w:p>
          <w:p w14:paraId="34621318" w14:textId="18BB1BF0" w:rsidR="00EC46DF" w:rsidRPr="00FD742C" w:rsidRDefault="00EC46DF" w:rsidP="00D64969">
            <w:pPr>
              <w:pStyle w:val="-0"/>
              <w:spacing w:line="240" w:lineRule="auto"/>
              <w:ind w:left="96" w:right="-284" w:firstLine="0"/>
              <w:rPr>
                <w:rFonts w:asciiTheme="minorBidi" w:hAnsiTheme="minorBidi" w:cstheme="minorBidi"/>
                <w:sz w:val="16"/>
                <w:szCs w:val="16"/>
                <w:rtl/>
              </w:rPr>
            </w:pPr>
            <w:r w:rsidRPr="00FD742C">
              <w:rPr>
                <w:rFonts w:asciiTheme="minorBidi" w:hAnsiTheme="minorBidi" w:cstheme="minorBidi"/>
                <w:sz w:val="16"/>
                <w:szCs w:val="16"/>
                <w:rtl/>
              </w:rPr>
              <w:t>מגובות משכנתאות (</w:t>
            </w:r>
            <w:r w:rsidRPr="00FD742C">
              <w:rPr>
                <w:rFonts w:asciiTheme="minorBidi" w:hAnsiTheme="minorBidi" w:cstheme="minorBidi"/>
                <w:sz w:val="16"/>
                <w:szCs w:val="16"/>
              </w:rPr>
              <w:t>MBS</w:t>
            </w:r>
            <w:r w:rsidRPr="00FD742C">
              <w:rPr>
                <w:rFonts w:asciiTheme="minorBidi" w:hAnsiTheme="minorBidi" w:cstheme="minorBidi"/>
                <w:sz w:val="16"/>
                <w:szCs w:val="16"/>
                <w:rtl/>
              </w:rPr>
              <w:t>)</w:t>
            </w:r>
          </w:p>
        </w:tc>
        <w:tc>
          <w:tcPr>
            <w:tcW w:w="689" w:type="dxa"/>
            <w:vAlign w:val="bottom"/>
          </w:tcPr>
          <w:p w14:paraId="3183427B"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139A3C75"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932" w:type="dxa"/>
            <w:vAlign w:val="bottom"/>
          </w:tcPr>
          <w:p w14:paraId="1F0E0AD4"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603" w:type="dxa"/>
            <w:vAlign w:val="bottom"/>
          </w:tcPr>
          <w:p w14:paraId="78C234F0"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00" w:type="dxa"/>
            <w:vAlign w:val="bottom"/>
          </w:tcPr>
          <w:p w14:paraId="4D75D7CB"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3CE46348" w14:textId="77777777" w:rsidR="00EC46DF" w:rsidRPr="00FD742C" w:rsidRDefault="00EC46DF" w:rsidP="00B10CB3">
            <w:pPr>
              <w:pStyle w:val="-3"/>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0</w:t>
            </w:r>
          </w:p>
        </w:tc>
        <w:tc>
          <w:tcPr>
            <w:tcW w:w="919" w:type="dxa"/>
            <w:vAlign w:val="bottom"/>
          </w:tcPr>
          <w:p w14:paraId="20C1A783" w14:textId="77777777" w:rsidR="00EC46DF" w:rsidRPr="00FD742C" w:rsidRDefault="00EC46DF" w:rsidP="00B10CB3">
            <w:pPr>
              <w:pStyle w:val="-3"/>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0</w:t>
            </w:r>
          </w:p>
        </w:tc>
        <w:tc>
          <w:tcPr>
            <w:tcW w:w="627" w:type="dxa"/>
            <w:vAlign w:val="bottom"/>
          </w:tcPr>
          <w:p w14:paraId="404404B6"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r>
      <w:tr w:rsidR="00EC46DF" w:rsidRPr="00FD742C" w14:paraId="3AF1C611" w14:textId="77777777" w:rsidTr="00EC46DF">
        <w:trPr>
          <w:trHeight w:val="245"/>
        </w:trPr>
        <w:tc>
          <w:tcPr>
            <w:tcW w:w="1304" w:type="dxa"/>
          </w:tcPr>
          <w:p w14:paraId="1601CC72" w14:textId="77777777" w:rsidR="00EC46DF" w:rsidRPr="00FD742C" w:rsidRDefault="00EC46DF" w:rsidP="00B10CB3">
            <w:pPr>
              <w:pStyle w:val="-0"/>
              <w:spacing w:before="20"/>
              <w:rPr>
                <w:rFonts w:asciiTheme="minorBidi" w:hAnsiTheme="minorBidi" w:cstheme="minorBidi"/>
                <w:sz w:val="16"/>
                <w:szCs w:val="16"/>
                <w:rtl/>
              </w:rPr>
            </w:pPr>
          </w:p>
        </w:tc>
        <w:tc>
          <w:tcPr>
            <w:tcW w:w="2467" w:type="dxa"/>
            <w:vAlign w:val="bottom"/>
          </w:tcPr>
          <w:p w14:paraId="31735C75" w14:textId="77777777" w:rsidR="00EC46DF" w:rsidRPr="00FD742C" w:rsidRDefault="00EC46DF" w:rsidP="00D64969">
            <w:pPr>
              <w:pStyle w:val="-0"/>
              <w:spacing w:before="20" w:line="240" w:lineRule="auto"/>
              <w:ind w:left="0" w:right="-284" w:firstLine="0"/>
              <w:rPr>
                <w:rFonts w:asciiTheme="minorBidi" w:hAnsiTheme="minorBidi" w:cstheme="minorBidi"/>
                <w:sz w:val="16"/>
                <w:szCs w:val="16"/>
                <w:rtl/>
              </w:rPr>
            </w:pPr>
            <w:r w:rsidRPr="00FD742C">
              <w:rPr>
                <w:rFonts w:asciiTheme="minorBidi" w:hAnsiTheme="minorBidi" w:cstheme="minorBidi"/>
                <w:sz w:val="16"/>
                <w:szCs w:val="16"/>
                <w:rtl/>
              </w:rPr>
              <w:t xml:space="preserve">של אחרים </w:t>
            </w:r>
          </w:p>
        </w:tc>
        <w:tc>
          <w:tcPr>
            <w:tcW w:w="689" w:type="dxa"/>
            <w:vAlign w:val="bottom"/>
          </w:tcPr>
          <w:p w14:paraId="31AEB4F2" w14:textId="77777777" w:rsidR="00EC46DF" w:rsidRPr="00FD742C" w:rsidRDefault="00EC46DF" w:rsidP="00B10CB3">
            <w:pPr>
              <w:pStyle w:val="-3"/>
              <w:pBdr>
                <w:bottom w:val="single" w:sz="4" w:space="1" w:color="auto"/>
              </w:pBdr>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1660637C" w14:textId="77777777" w:rsidR="00EC46DF" w:rsidRPr="00FD742C" w:rsidRDefault="00EC46DF" w:rsidP="00B10CB3">
            <w:pPr>
              <w:pStyle w:val="-3"/>
              <w:pBdr>
                <w:bottom w:val="single" w:sz="4" w:space="1" w:color="auto"/>
              </w:pBdr>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932" w:type="dxa"/>
            <w:vAlign w:val="bottom"/>
          </w:tcPr>
          <w:p w14:paraId="0AD54F09" w14:textId="77777777" w:rsidR="00EC46DF" w:rsidRPr="00FD742C" w:rsidRDefault="00EC46DF" w:rsidP="00B10CB3">
            <w:pPr>
              <w:pStyle w:val="-3"/>
              <w:pBdr>
                <w:bottom w:val="single" w:sz="4" w:space="1" w:color="auto"/>
              </w:pBdr>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603" w:type="dxa"/>
            <w:vAlign w:val="bottom"/>
          </w:tcPr>
          <w:p w14:paraId="3445CE95" w14:textId="77777777" w:rsidR="00EC46DF" w:rsidRPr="00FD742C" w:rsidRDefault="00EC46DF" w:rsidP="00B10CB3">
            <w:pPr>
              <w:pStyle w:val="-3"/>
              <w:pBdr>
                <w:bottom w:val="single" w:sz="4" w:space="1" w:color="auto"/>
              </w:pBdr>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00" w:type="dxa"/>
            <w:vAlign w:val="bottom"/>
          </w:tcPr>
          <w:p w14:paraId="7512FA73" w14:textId="77777777" w:rsidR="00EC46DF" w:rsidRPr="00FD742C" w:rsidRDefault="00EC46DF" w:rsidP="00B10CB3">
            <w:pPr>
              <w:pStyle w:val="-3"/>
              <w:pBdr>
                <w:bottom w:val="single" w:sz="4" w:space="1" w:color="auto"/>
              </w:pBdr>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741F0330" w14:textId="77777777" w:rsidR="00EC46DF" w:rsidRPr="00FD742C" w:rsidRDefault="00EC46DF" w:rsidP="00B10CB3">
            <w:pPr>
              <w:pStyle w:val="-3"/>
              <w:pBdr>
                <w:bottom w:val="single" w:sz="4" w:space="1" w:color="auto"/>
              </w:pBdr>
              <w:spacing w:before="20" w:line="240" w:lineRule="auto"/>
              <w:ind w:left="-57"/>
              <w:rPr>
                <w:rFonts w:asciiTheme="minorBidi" w:hAnsiTheme="minorBidi" w:cstheme="minorBidi"/>
                <w:sz w:val="16"/>
                <w:szCs w:val="16"/>
                <w:rtl/>
              </w:rPr>
            </w:pPr>
            <w:r w:rsidRPr="00FD742C">
              <w:rPr>
                <w:rFonts w:asciiTheme="minorBidi" w:hAnsiTheme="minorBidi" w:cstheme="minorBidi"/>
                <w:sz w:val="16"/>
                <w:szCs w:val="16"/>
                <w:rtl/>
              </w:rPr>
              <w:t>0</w:t>
            </w:r>
          </w:p>
        </w:tc>
        <w:tc>
          <w:tcPr>
            <w:tcW w:w="919" w:type="dxa"/>
            <w:vAlign w:val="bottom"/>
          </w:tcPr>
          <w:p w14:paraId="64CA3A8D" w14:textId="77777777" w:rsidR="00EC46DF" w:rsidRPr="00FD742C" w:rsidRDefault="00EC46DF" w:rsidP="00B10CB3">
            <w:pPr>
              <w:pStyle w:val="-3"/>
              <w:pBdr>
                <w:bottom w:val="single" w:sz="4" w:space="1" w:color="auto"/>
              </w:pBdr>
              <w:spacing w:before="20" w:line="240" w:lineRule="auto"/>
              <w:ind w:left="-57"/>
              <w:rPr>
                <w:rFonts w:asciiTheme="minorBidi" w:hAnsiTheme="minorBidi" w:cstheme="minorBidi"/>
                <w:sz w:val="16"/>
                <w:szCs w:val="16"/>
              </w:rPr>
            </w:pPr>
            <w:r w:rsidRPr="00FD742C">
              <w:rPr>
                <w:rFonts w:asciiTheme="minorBidi" w:hAnsiTheme="minorBidi" w:cstheme="minorBidi"/>
                <w:sz w:val="16"/>
                <w:szCs w:val="16"/>
                <w:rtl/>
              </w:rPr>
              <w:t>0</w:t>
            </w:r>
          </w:p>
        </w:tc>
        <w:tc>
          <w:tcPr>
            <w:tcW w:w="627" w:type="dxa"/>
            <w:vAlign w:val="bottom"/>
          </w:tcPr>
          <w:p w14:paraId="3D3525A3" w14:textId="77777777" w:rsidR="00EC46DF" w:rsidRPr="00FD742C" w:rsidRDefault="00EC46DF" w:rsidP="00B10CB3">
            <w:pPr>
              <w:pStyle w:val="-3"/>
              <w:pBdr>
                <w:bottom w:val="single" w:sz="4" w:space="1" w:color="auto"/>
              </w:pBdr>
              <w:spacing w:before="20" w:line="240" w:lineRule="auto"/>
              <w:rPr>
                <w:rFonts w:asciiTheme="minorBidi" w:hAnsiTheme="minorBidi" w:cstheme="minorBidi"/>
                <w:sz w:val="16"/>
                <w:szCs w:val="16"/>
                <w:rtl/>
              </w:rPr>
            </w:pPr>
            <w:r w:rsidRPr="00FD742C">
              <w:rPr>
                <w:rFonts w:asciiTheme="minorBidi" w:hAnsiTheme="minorBidi" w:cstheme="minorBidi"/>
                <w:sz w:val="16"/>
                <w:szCs w:val="16"/>
                <w:rtl/>
              </w:rPr>
              <w:t>0</w:t>
            </w:r>
          </w:p>
        </w:tc>
      </w:tr>
      <w:tr w:rsidR="00EC46DF" w:rsidRPr="00FD742C" w14:paraId="2D29AC5B" w14:textId="77777777" w:rsidTr="00EC46DF">
        <w:trPr>
          <w:trHeight w:val="245"/>
        </w:trPr>
        <w:tc>
          <w:tcPr>
            <w:tcW w:w="1304" w:type="dxa"/>
          </w:tcPr>
          <w:p w14:paraId="68484A92" w14:textId="77777777" w:rsidR="00EC46DF" w:rsidRPr="00FD742C" w:rsidRDefault="00EC46DF" w:rsidP="00B10CB3">
            <w:pPr>
              <w:pStyle w:val="-0"/>
              <w:spacing w:before="20"/>
              <w:rPr>
                <w:rFonts w:asciiTheme="minorBidi" w:hAnsiTheme="minorBidi" w:cstheme="minorBidi"/>
                <w:sz w:val="16"/>
                <w:szCs w:val="16"/>
                <w:rtl/>
              </w:rPr>
            </w:pPr>
          </w:p>
        </w:tc>
        <w:tc>
          <w:tcPr>
            <w:tcW w:w="2467" w:type="dxa"/>
            <w:vAlign w:val="bottom"/>
          </w:tcPr>
          <w:p w14:paraId="18F959CB" w14:textId="77777777" w:rsidR="00EC46DF" w:rsidRPr="00FD742C" w:rsidRDefault="00EC46DF" w:rsidP="00B10CB3">
            <w:pPr>
              <w:pStyle w:val="-0"/>
              <w:spacing w:before="20" w:line="240" w:lineRule="auto"/>
              <w:ind w:left="142" w:right="-284" w:hanging="142"/>
              <w:rPr>
                <w:rFonts w:asciiTheme="minorBidi" w:hAnsiTheme="minorBidi" w:cstheme="minorBidi"/>
                <w:b/>
                <w:bCs/>
                <w:sz w:val="16"/>
                <w:szCs w:val="16"/>
                <w:rtl/>
              </w:rPr>
            </w:pPr>
            <w:r w:rsidRPr="00FD742C">
              <w:rPr>
                <w:rFonts w:asciiTheme="minorBidi" w:hAnsiTheme="minorBidi" w:cstheme="minorBidi"/>
                <w:b/>
                <w:bCs/>
                <w:sz w:val="16"/>
                <w:szCs w:val="16"/>
                <w:rtl/>
              </w:rPr>
              <w:t xml:space="preserve">סך כל אגרות חוב זמינות למכירה </w:t>
            </w:r>
          </w:p>
        </w:tc>
        <w:tc>
          <w:tcPr>
            <w:tcW w:w="689" w:type="dxa"/>
            <w:vAlign w:val="bottom"/>
          </w:tcPr>
          <w:p w14:paraId="30F68622" w14:textId="77777777" w:rsidR="00EC46DF" w:rsidRPr="00FD742C" w:rsidRDefault="00EC46DF" w:rsidP="00B10CB3">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837" w:type="dxa"/>
            <w:vAlign w:val="bottom"/>
          </w:tcPr>
          <w:p w14:paraId="7C848177" w14:textId="77777777" w:rsidR="00EC46DF" w:rsidRPr="00FD742C" w:rsidRDefault="00EC46DF" w:rsidP="00B10CB3">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932" w:type="dxa"/>
            <w:vAlign w:val="bottom"/>
          </w:tcPr>
          <w:p w14:paraId="0267BE80" w14:textId="77777777" w:rsidR="00EC46DF" w:rsidRPr="00FD742C" w:rsidRDefault="00EC46DF" w:rsidP="00B10CB3">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603" w:type="dxa"/>
            <w:vAlign w:val="bottom"/>
          </w:tcPr>
          <w:p w14:paraId="6103E92C" w14:textId="77777777" w:rsidR="00EC46DF" w:rsidRPr="00FD742C" w:rsidRDefault="00EC46DF" w:rsidP="00B10CB3">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800" w:type="dxa"/>
            <w:vAlign w:val="bottom"/>
          </w:tcPr>
          <w:p w14:paraId="6E15316C" w14:textId="77777777" w:rsidR="00EC46DF" w:rsidRPr="00FD742C" w:rsidRDefault="00EC46DF" w:rsidP="00B10CB3">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837" w:type="dxa"/>
            <w:vAlign w:val="bottom"/>
          </w:tcPr>
          <w:p w14:paraId="3E15F76B" w14:textId="77777777" w:rsidR="00EC46DF" w:rsidRPr="00FD742C" w:rsidRDefault="00EC46DF" w:rsidP="00B10CB3">
            <w:pPr>
              <w:pStyle w:val="-3"/>
              <w:pBdr>
                <w:bottom w:val="double" w:sz="4" w:space="1" w:color="auto"/>
              </w:pBdr>
              <w:spacing w:before="20" w:line="240" w:lineRule="auto"/>
              <w:ind w:left="-57" w:right="-57"/>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919" w:type="dxa"/>
            <w:vAlign w:val="bottom"/>
          </w:tcPr>
          <w:p w14:paraId="6BC18F06" w14:textId="77777777" w:rsidR="00EC46DF" w:rsidRPr="00FD742C" w:rsidRDefault="00EC46DF" w:rsidP="00B10CB3">
            <w:pPr>
              <w:pStyle w:val="-3"/>
              <w:pBdr>
                <w:bottom w:val="double" w:sz="4" w:space="1" w:color="auto"/>
              </w:pBdr>
              <w:spacing w:before="20" w:line="240" w:lineRule="auto"/>
              <w:ind w:left="-57" w:right="-57"/>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627" w:type="dxa"/>
            <w:vAlign w:val="bottom"/>
          </w:tcPr>
          <w:p w14:paraId="7B98BA22" w14:textId="77777777" w:rsidR="00EC46DF" w:rsidRPr="00FD742C" w:rsidRDefault="00EC46DF" w:rsidP="00B10CB3">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r>
    </w:tbl>
    <w:p w14:paraId="2B1CCD6D" w14:textId="77777777" w:rsidR="00511BFD" w:rsidRPr="00FD742C" w:rsidRDefault="00511BFD" w:rsidP="00FD742C">
      <w:pPr>
        <w:spacing w:line="96" w:lineRule="auto"/>
        <w:rPr>
          <w:rFonts w:asciiTheme="minorBidi" w:hAnsiTheme="minorBidi" w:cstheme="minorBidi"/>
          <w:sz w:val="16"/>
          <w:szCs w:val="16"/>
        </w:rPr>
      </w:pPr>
    </w:p>
    <w:p w14:paraId="0C9C19C2" w14:textId="77777777" w:rsidR="00206490" w:rsidRDefault="00206490"/>
    <w:p w14:paraId="74AAA6CF" w14:textId="77777777" w:rsidR="00206490" w:rsidRDefault="00206490"/>
    <w:tbl>
      <w:tblPr>
        <w:bidiVisual/>
        <w:tblW w:w="4906" w:type="pct"/>
        <w:tblLayout w:type="fixed"/>
        <w:tblLook w:val="04A0" w:firstRow="1" w:lastRow="0" w:firstColumn="1" w:lastColumn="0" w:noHBand="0" w:noVBand="1"/>
      </w:tblPr>
      <w:tblGrid>
        <w:gridCol w:w="1304"/>
        <w:gridCol w:w="2467"/>
        <w:gridCol w:w="689"/>
        <w:gridCol w:w="837"/>
        <w:gridCol w:w="932"/>
        <w:gridCol w:w="603"/>
        <w:gridCol w:w="800"/>
        <w:gridCol w:w="837"/>
        <w:gridCol w:w="919"/>
        <w:gridCol w:w="627"/>
      </w:tblGrid>
      <w:tr w:rsidR="00EC46DF" w:rsidRPr="00FD742C" w14:paraId="309BA3BE" w14:textId="77777777" w:rsidTr="00EC46DF">
        <w:trPr>
          <w:trHeight w:val="245"/>
        </w:trPr>
        <w:tc>
          <w:tcPr>
            <w:tcW w:w="1304" w:type="dxa"/>
            <w:vAlign w:val="bottom"/>
          </w:tcPr>
          <w:p w14:paraId="7EFEC186" w14:textId="77777777" w:rsidR="00EC46DF" w:rsidRPr="00FD742C" w:rsidRDefault="00EC46DF" w:rsidP="00B10CB3">
            <w:pPr>
              <w:pStyle w:val="-0"/>
              <w:bidi w:val="0"/>
              <w:ind w:hanging="29"/>
              <w:rPr>
                <w:rFonts w:asciiTheme="minorBidi" w:hAnsiTheme="minorBidi" w:cstheme="minorBidi"/>
                <w:b/>
                <w:bCs/>
                <w:sz w:val="16"/>
                <w:szCs w:val="16"/>
                <w:rtl/>
              </w:rPr>
            </w:pPr>
          </w:p>
        </w:tc>
        <w:tc>
          <w:tcPr>
            <w:tcW w:w="2467" w:type="dxa"/>
            <w:vAlign w:val="bottom"/>
          </w:tcPr>
          <w:p w14:paraId="25F2FC34" w14:textId="77777777" w:rsidR="00EC46DF" w:rsidRPr="00FD742C" w:rsidRDefault="00EC46DF" w:rsidP="00B10CB3">
            <w:pPr>
              <w:pStyle w:val="-0"/>
              <w:jc w:val="center"/>
              <w:rPr>
                <w:rFonts w:asciiTheme="minorBidi" w:hAnsiTheme="minorBidi" w:cstheme="minorBidi"/>
                <w:b/>
                <w:bCs/>
                <w:sz w:val="16"/>
                <w:szCs w:val="16"/>
                <w:rtl/>
              </w:rPr>
            </w:pPr>
          </w:p>
        </w:tc>
        <w:tc>
          <w:tcPr>
            <w:tcW w:w="6244" w:type="dxa"/>
            <w:gridSpan w:val="8"/>
            <w:vAlign w:val="bottom"/>
          </w:tcPr>
          <w:p w14:paraId="75C20DE3" w14:textId="53EF748F" w:rsidR="00EC46DF" w:rsidRPr="00FD742C" w:rsidRDefault="00EC46DF" w:rsidP="00B10CB3">
            <w:pPr>
              <w:pStyle w:val="-4"/>
              <w:rPr>
                <w:rFonts w:asciiTheme="minorBidi" w:hAnsiTheme="minorBidi" w:cstheme="minorBidi"/>
                <w:sz w:val="16"/>
                <w:szCs w:val="16"/>
              </w:rPr>
            </w:pPr>
            <w:r w:rsidRPr="00FD742C">
              <w:rPr>
                <w:rFonts w:asciiTheme="minorBidi" w:hAnsiTheme="minorBidi" w:cstheme="minorBidi"/>
                <w:sz w:val="16"/>
                <w:szCs w:val="16"/>
                <w:rtl/>
              </w:rPr>
              <w:t>ליום 3</w:t>
            </w:r>
            <w:r>
              <w:rPr>
                <w:rFonts w:asciiTheme="minorBidi" w:hAnsiTheme="minorBidi" w:cstheme="minorBidi" w:hint="cs"/>
                <w:sz w:val="16"/>
                <w:szCs w:val="16"/>
                <w:rtl/>
              </w:rPr>
              <w:t>1</w:t>
            </w:r>
            <w:r w:rsidRPr="00FD742C">
              <w:rPr>
                <w:rFonts w:asciiTheme="minorBidi" w:hAnsiTheme="minorBidi" w:cstheme="minorBidi"/>
                <w:sz w:val="16"/>
                <w:szCs w:val="16"/>
                <w:rtl/>
              </w:rPr>
              <w:t xml:space="preserve"> </w:t>
            </w:r>
            <w:r>
              <w:rPr>
                <w:rFonts w:asciiTheme="minorBidi" w:hAnsiTheme="minorBidi" w:cstheme="minorBidi" w:hint="cs"/>
                <w:sz w:val="16"/>
                <w:szCs w:val="16"/>
                <w:rtl/>
              </w:rPr>
              <w:t xml:space="preserve">בדצמבר </w:t>
            </w:r>
            <w:r w:rsidRPr="00FD742C">
              <w:rPr>
                <w:rFonts w:asciiTheme="minorBidi" w:hAnsiTheme="minorBidi" w:cstheme="minorBidi"/>
                <w:sz w:val="16"/>
                <w:szCs w:val="16"/>
                <w:rtl/>
              </w:rPr>
              <w:t xml:space="preserve"> </w:t>
            </w:r>
            <w:r w:rsidRPr="00FD742C">
              <w:rPr>
                <w:rFonts w:asciiTheme="minorBidi" w:hAnsiTheme="minorBidi" w:cstheme="minorBidi"/>
                <w:sz w:val="16"/>
                <w:szCs w:val="16"/>
                <w:rtl/>
              </w:rPr>
              <w:fldChar w:fldCharType="begin"/>
            </w:r>
            <w:r w:rsidRPr="00FD742C">
              <w:rPr>
                <w:rFonts w:asciiTheme="minorBidi" w:hAnsiTheme="minorBidi" w:cstheme="minorBidi"/>
                <w:sz w:val="16"/>
                <w:szCs w:val="16"/>
                <w:rtl/>
              </w:rPr>
              <w:instrText xml:space="preserve"> = </w:instrText>
            </w:r>
            <w:r w:rsidRPr="00FD742C">
              <w:rPr>
                <w:rFonts w:asciiTheme="minorBidi" w:hAnsiTheme="minorBidi" w:cstheme="minorBidi"/>
                <w:sz w:val="16"/>
                <w:szCs w:val="16"/>
              </w:rPr>
              <w:instrText>CY-1 \* MERGEFORMAT</w:instrText>
            </w:r>
            <w:r w:rsidRPr="00FD742C">
              <w:rPr>
                <w:rFonts w:asciiTheme="minorBidi" w:hAnsiTheme="minorBidi" w:cstheme="minorBidi"/>
                <w:sz w:val="16"/>
                <w:szCs w:val="16"/>
                <w:rtl/>
              </w:rPr>
              <w:instrText xml:space="preserve"> </w:instrText>
            </w:r>
            <w:r w:rsidRPr="00FD742C">
              <w:rPr>
                <w:rFonts w:asciiTheme="minorBidi" w:hAnsiTheme="minorBidi" w:cstheme="minorBidi"/>
                <w:sz w:val="16"/>
                <w:szCs w:val="16"/>
                <w:rtl/>
              </w:rPr>
              <w:fldChar w:fldCharType="separate"/>
            </w:r>
            <w:r>
              <w:rPr>
                <w:rFonts w:asciiTheme="minorBidi" w:hAnsiTheme="minorBidi" w:cstheme="minorBidi"/>
                <w:noProof/>
                <w:sz w:val="16"/>
                <w:szCs w:val="16"/>
                <w:rtl/>
              </w:rPr>
              <w:t>2023</w:t>
            </w:r>
            <w:r w:rsidRPr="00FD742C">
              <w:rPr>
                <w:rFonts w:asciiTheme="minorBidi" w:hAnsiTheme="minorBidi" w:cstheme="minorBidi"/>
                <w:sz w:val="16"/>
                <w:szCs w:val="16"/>
                <w:rtl/>
              </w:rPr>
              <w:fldChar w:fldCharType="end"/>
            </w:r>
            <w:r>
              <w:rPr>
                <w:rFonts w:asciiTheme="minorBidi" w:hAnsiTheme="minorBidi" w:cstheme="minorBidi" w:hint="cs"/>
                <w:sz w:val="16"/>
                <w:szCs w:val="16"/>
                <w:rtl/>
              </w:rPr>
              <w:t xml:space="preserve"> </w:t>
            </w:r>
            <w:r>
              <w:rPr>
                <w:rFonts w:asciiTheme="minorBidi" w:hAnsiTheme="minorBidi" w:cstheme="minorBidi" w:hint="cs"/>
                <w:b w:val="0"/>
                <w:bCs w:val="0"/>
                <w:sz w:val="16"/>
                <w:szCs w:val="16"/>
                <w:rtl/>
              </w:rPr>
              <w:t xml:space="preserve"> </w:t>
            </w:r>
            <w:r w:rsidRPr="000446FA">
              <w:rPr>
                <w:rFonts w:asciiTheme="minorBidi" w:hAnsiTheme="minorBidi" w:cstheme="minorBidi" w:hint="cs"/>
                <w:b w:val="0"/>
                <w:bCs w:val="0"/>
                <w:sz w:val="16"/>
                <w:szCs w:val="16"/>
                <w:rtl/>
              </w:rPr>
              <w:t>(</w:t>
            </w:r>
            <w:r w:rsidRPr="000446FA">
              <w:rPr>
                <w:rFonts w:asciiTheme="minorBidi" w:hAnsiTheme="minorBidi" w:cstheme="minorBidi"/>
                <w:b w:val="0"/>
                <w:bCs w:val="0"/>
                <w:sz w:val="16"/>
                <w:szCs w:val="16"/>
                <w:rtl/>
              </w:rPr>
              <w:t>מבוקר</w:t>
            </w:r>
            <w:r w:rsidRPr="000446FA">
              <w:rPr>
                <w:rFonts w:asciiTheme="minorBidi" w:hAnsiTheme="minorBidi" w:cstheme="minorBidi" w:hint="cs"/>
                <w:b w:val="0"/>
                <w:bCs w:val="0"/>
                <w:sz w:val="16"/>
                <w:szCs w:val="16"/>
                <w:rtl/>
              </w:rPr>
              <w:t>)</w:t>
            </w:r>
          </w:p>
        </w:tc>
      </w:tr>
      <w:tr w:rsidR="00EC46DF" w:rsidRPr="00FD742C" w14:paraId="7FDC0F3D" w14:textId="77777777" w:rsidTr="00EC46DF">
        <w:trPr>
          <w:trHeight w:val="245"/>
        </w:trPr>
        <w:tc>
          <w:tcPr>
            <w:tcW w:w="1304" w:type="dxa"/>
            <w:vAlign w:val="bottom"/>
          </w:tcPr>
          <w:p w14:paraId="31550B69" w14:textId="77777777" w:rsidR="00EC46DF" w:rsidRPr="00FD742C" w:rsidRDefault="00EC46DF" w:rsidP="00B10CB3">
            <w:pPr>
              <w:pStyle w:val="-0"/>
              <w:spacing w:before="20"/>
              <w:jc w:val="center"/>
              <w:rPr>
                <w:rFonts w:asciiTheme="minorBidi" w:hAnsiTheme="minorBidi" w:cstheme="minorBidi"/>
                <w:b/>
                <w:bCs/>
                <w:sz w:val="16"/>
                <w:szCs w:val="16"/>
                <w:rtl/>
              </w:rPr>
            </w:pPr>
          </w:p>
        </w:tc>
        <w:tc>
          <w:tcPr>
            <w:tcW w:w="2467" w:type="dxa"/>
            <w:vAlign w:val="bottom"/>
          </w:tcPr>
          <w:p w14:paraId="6AF96BD7" w14:textId="77777777" w:rsidR="00EC46DF" w:rsidRPr="00FD742C" w:rsidRDefault="00EC46DF" w:rsidP="00B10CB3">
            <w:pPr>
              <w:pStyle w:val="-0"/>
              <w:spacing w:before="20"/>
              <w:jc w:val="center"/>
              <w:rPr>
                <w:rFonts w:asciiTheme="minorBidi" w:hAnsiTheme="minorBidi" w:cstheme="minorBidi"/>
                <w:b/>
                <w:bCs/>
                <w:sz w:val="16"/>
                <w:szCs w:val="16"/>
                <w:rtl/>
              </w:rPr>
            </w:pPr>
          </w:p>
        </w:tc>
        <w:tc>
          <w:tcPr>
            <w:tcW w:w="3061" w:type="dxa"/>
            <w:gridSpan w:val="4"/>
            <w:vAlign w:val="bottom"/>
          </w:tcPr>
          <w:p w14:paraId="7DAB0279" w14:textId="77777777" w:rsidR="00EC46DF" w:rsidRPr="00FD742C" w:rsidRDefault="00EC46DF" w:rsidP="00B10CB3">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פחות מ-12 חודשים</w:t>
            </w:r>
          </w:p>
        </w:tc>
        <w:tc>
          <w:tcPr>
            <w:tcW w:w="3183" w:type="dxa"/>
            <w:gridSpan w:val="4"/>
            <w:vAlign w:val="bottom"/>
          </w:tcPr>
          <w:p w14:paraId="248AE767" w14:textId="77777777" w:rsidR="00EC46DF" w:rsidRPr="00FD742C" w:rsidRDefault="00EC46DF" w:rsidP="00B10CB3">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12 חודשים ומעלה</w:t>
            </w:r>
          </w:p>
        </w:tc>
      </w:tr>
      <w:tr w:rsidR="00EC46DF" w:rsidRPr="00FD742C" w14:paraId="494DE1CE" w14:textId="77777777" w:rsidTr="00EC46DF">
        <w:trPr>
          <w:trHeight w:val="245"/>
        </w:trPr>
        <w:tc>
          <w:tcPr>
            <w:tcW w:w="1304" w:type="dxa"/>
            <w:vAlign w:val="bottom"/>
          </w:tcPr>
          <w:p w14:paraId="38419989" w14:textId="77777777" w:rsidR="00EC46DF" w:rsidRPr="00FD742C" w:rsidRDefault="00EC46DF" w:rsidP="00B10CB3">
            <w:pPr>
              <w:pStyle w:val="-0"/>
              <w:spacing w:before="20"/>
              <w:jc w:val="center"/>
              <w:rPr>
                <w:rFonts w:asciiTheme="minorBidi" w:hAnsiTheme="minorBidi" w:cstheme="minorBidi"/>
                <w:b/>
                <w:bCs/>
                <w:sz w:val="16"/>
                <w:szCs w:val="16"/>
                <w:rtl/>
              </w:rPr>
            </w:pPr>
          </w:p>
        </w:tc>
        <w:tc>
          <w:tcPr>
            <w:tcW w:w="2467" w:type="dxa"/>
            <w:vAlign w:val="bottom"/>
          </w:tcPr>
          <w:p w14:paraId="2B710CB9" w14:textId="77777777" w:rsidR="00EC46DF" w:rsidRPr="00FD742C" w:rsidRDefault="00EC46DF" w:rsidP="00B10CB3">
            <w:pPr>
              <w:pStyle w:val="-0"/>
              <w:spacing w:before="20"/>
              <w:jc w:val="center"/>
              <w:rPr>
                <w:rFonts w:asciiTheme="minorBidi" w:hAnsiTheme="minorBidi" w:cstheme="minorBidi"/>
                <w:b/>
                <w:bCs/>
                <w:sz w:val="16"/>
                <w:szCs w:val="16"/>
                <w:rtl/>
              </w:rPr>
            </w:pPr>
          </w:p>
        </w:tc>
        <w:tc>
          <w:tcPr>
            <w:tcW w:w="689" w:type="dxa"/>
            <w:vAlign w:val="bottom"/>
          </w:tcPr>
          <w:p w14:paraId="2B01EE4C" w14:textId="77777777" w:rsidR="00EC46DF" w:rsidRPr="00FD742C" w:rsidRDefault="00EC46DF" w:rsidP="00B10CB3">
            <w:pPr>
              <w:pStyle w:val="-4"/>
              <w:pBdr>
                <w:bottom w:val="none" w:sz="0" w:space="0" w:color="auto"/>
              </w:pBdr>
              <w:spacing w:before="20"/>
              <w:rPr>
                <w:rFonts w:asciiTheme="minorBidi" w:hAnsiTheme="minorBidi" w:cstheme="minorBidi"/>
                <w:sz w:val="16"/>
                <w:szCs w:val="16"/>
                <w:rtl/>
              </w:rPr>
            </w:pPr>
          </w:p>
        </w:tc>
        <w:tc>
          <w:tcPr>
            <w:tcW w:w="2372" w:type="dxa"/>
            <w:gridSpan w:val="3"/>
            <w:vAlign w:val="bottom"/>
          </w:tcPr>
          <w:p w14:paraId="041FB254" w14:textId="77777777" w:rsidR="00EC46DF" w:rsidRPr="00FD742C" w:rsidRDefault="00EC46DF" w:rsidP="00B10CB3">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הפסדים שטרם מומשו</w:t>
            </w:r>
          </w:p>
        </w:tc>
        <w:tc>
          <w:tcPr>
            <w:tcW w:w="800" w:type="dxa"/>
            <w:vAlign w:val="bottom"/>
          </w:tcPr>
          <w:p w14:paraId="4F08F663" w14:textId="77777777" w:rsidR="00EC46DF" w:rsidRPr="00FD742C" w:rsidRDefault="00EC46DF" w:rsidP="00D64969">
            <w:pPr>
              <w:pStyle w:val="-4"/>
              <w:pBdr>
                <w:bottom w:val="none" w:sz="0" w:space="0" w:color="auto"/>
              </w:pBdr>
              <w:spacing w:before="20"/>
              <w:rPr>
                <w:rFonts w:asciiTheme="minorBidi" w:hAnsiTheme="minorBidi" w:cstheme="minorBidi"/>
                <w:sz w:val="16"/>
                <w:szCs w:val="16"/>
                <w:rtl/>
              </w:rPr>
            </w:pPr>
          </w:p>
        </w:tc>
        <w:tc>
          <w:tcPr>
            <w:tcW w:w="2383" w:type="dxa"/>
            <w:gridSpan w:val="3"/>
            <w:vAlign w:val="bottom"/>
          </w:tcPr>
          <w:p w14:paraId="25E124CF" w14:textId="77777777" w:rsidR="00EC46DF" w:rsidRPr="00FD742C" w:rsidRDefault="00EC46DF" w:rsidP="00B10CB3">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הפסדים שטרם מומשו</w:t>
            </w:r>
          </w:p>
        </w:tc>
      </w:tr>
      <w:tr w:rsidR="00EC46DF" w:rsidRPr="00FD742C" w14:paraId="67665FF0" w14:textId="77777777" w:rsidTr="00EC46DF">
        <w:trPr>
          <w:trHeight w:val="245"/>
        </w:trPr>
        <w:tc>
          <w:tcPr>
            <w:tcW w:w="1304" w:type="dxa"/>
            <w:vAlign w:val="bottom"/>
          </w:tcPr>
          <w:p w14:paraId="4BDC760D" w14:textId="77777777" w:rsidR="00EC46DF" w:rsidRPr="00FD742C" w:rsidRDefault="00EC46DF" w:rsidP="00B10CB3">
            <w:pPr>
              <w:pStyle w:val="-0"/>
              <w:spacing w:before="20"/>
              <w:jc w:val="center"/>
              <w:rPr>
                <w:rFonts w:asciiTheme="minorBidi" w:hAnsiTheme="minorBidi" w:cstheme="minorBidi"/>
                <w:b/>
                <w:bCs/>
                <w:sz w:val="16"/>
                <w:szCs w:val="16"/>
                <w:rtl/>
              </w:rPr>
            </w:pPr>
          </w:p>
        </w:tc>
        <w:tc>
          <w:tcPr>
            <w:tcW w:w="2467" w:type="dxa"/>
            <w:vAlign w:val="bottom"/>
          </w:tcPr>
          <w:p w14:paraId="7D40BC28" w14:textId="77777777" w:rsidR="00EC46DF" w:rsidRPr="00FD742C" w:rsidRDefault="00EC46DF" w:rsidP="00B10CB3">
            <w:pPr>
              <w:pStyle w:val="-0"/>
              <w:spacing w:before="20"/>
              <w:jc w:val="center"/>
              <w:rPr>
                <w:rFonts w:asciiTheme="minorBidi" w:hAnsiTheme="minorBidi" w:cstheme="minorBidi"/>
                <w:b/>
                <w:bCs/>
                <w:sz w:val="16"/>
                <w:szCs w:val="16"/>
                <w:rtl/>
              </w:rPr>
            </w:pPr>
          </w:p>
        </w:tc>
        <w:tc>
          <w:tcPr>
            <w:tcW w:w="689" w:type="dxa"/>
            <w:vAlign w:val="bottom"/>
          </w:tcPr>
          <w:p w14:paraId="377F40FE" w14:textId="77777777" w:rsidR="00EC46DF" w:rsidRPr="00FD742C" w:rsidRDefault="00EC46DF" w:rsidP="00B10CB3">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שווי הוגן</w:t>
            </w:r>
          </w:p>
        </w:tc>
        <w:tc>
          <w:tcPr>
            <w:tcW w:w="837" w:type="dxa"/>
            <w:vAlign w:val="bottom"/>
          </w:tcPr>
          <w:p w14:paraId="27ED30DC" w14:textId="77777777" w:rsidR="00EC46DF" w:rsidRPr="00FD742C" w:rsidRDefault="00EC46DF" w:rsidP="00B10CB3">
            <w:pPr>
              <w:pStyle w:val="-4"/>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0-20%</w:t>
            </w:r>
          </w:p>
        </w:tc>
        <w:tc>
          <w:tcPr>
            <w:tcW w:w="932" w:type="dxa"/>
            <w:vAlign w:val="bottom"/>
          </w:tcPr>
          <w:p w14:paraId="51782091" w14:textId="77777777" w:rsidR="00EC46DF" w:rsidRPr="00FD742C" w:rsidRDefault="00EC46DF" w:rsidP="00B10CB3">
            <w:pPr>
              <w:pStyle w:val="-4"/>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20-40%</w:t>
            </w:r>
          </w:p>
        </w:tc>
        <w:tc>
          <w:tcPr>
            <w:tcW w:w="603" w:type="dxa"/>
            <w:vAlign w:val="bottom"/>
          </w:tcPr>
          <w:p w14:paraId="088640CF" w14:textId="77777777" w:rsidR="00EC46DF" w:rsidRPr="00FD742C" w:rsidRDefault="00EC46DF" w:rsidP="00B10CB3">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סה"כ</w:t>
            </w:r>
          </w:p>
        </w:tc>
        <w:tc>
          <w:tcPr>
            <w:tcW w:w="800" w:type="dxa"/>
            <w:vAlign w:val="bottom"/>
          </w:tcPr>
          <w:p w14:paraId="2170E86B" w14:textId="77777777" w:rsidR="00EC46DF" w:rsidRPr="00FD742C" w:rsidRDefault="00EC46DF" w:rsidP="00B10CB3">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שווי הוגן</w:t>
            </w:r>
          </w:p>
        </w:tc>
        <w:tc>
          <w:tcPr>
            <w:tcW w:w="837" w:type="dxa"/>
            <w:vAlign w:val="bottom"/>
          </w:tcPr>
          <w:p w14:paraId="03911296" w14:textId="77777777" w:rsidR="00EC46DF" w:rsidRPr="00FD742C" w:rsidRDefault="00EC46DF" w:rsidP="00B10CB3">
            <w:pPr>
              <w:pStyle w:val="-4"/>
              <w:spacing w:line="240" w:lineRule="auto"/>
              <w:ind w:left="-28" w:right="-28"/>
              <w:rPr>
                <w:rFonts w:asciiTheme="minorBidi" w:hAnsiTheme="minorBidi" w:cstheme="minorBidi"/>
                <w:sz w:val="16"/>
                <w:szCs w:val="16"/>
                <w:rtl/>
              </w:rPr>
            </w:pPr>
            <w:r w:rsidRPr="00FD742C">
              <w:rPr>
                <w:rFonts w:asciiTheme="minorBidi" w:hAnsiTheme="minorBidi" w:cstheme="minorBidi"/>
                <w:sz w:val="16"/>
                <w:szCs w:val="16"/>
                <w:rtl/>
              </w:rPr>
              <w:t>0-20%</w:t>
            </w:r>
          </w:p>
        </w:tc>
        <w:tc>
          <w:tcPr>
            <w:tcW w:w="919" w:type="dxa"/>
            <w:vAlign w:val="bottom"/>
          </w:tcPr>
          <w:p w14:paraId="6F82C36E" w14:textId="77777777" w:rsidR="00EC46DF" w:rsidRPr="00FD742C" w:rsidRDefault="00EC46DF" w:rsidP="00B10CB3">
            <w:pPr>
              <w:pStyle w:val="-4"/>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20-40%</w:t>
            </w:r>
          </w:p>
        </w:tc>
        <w:tc>
          <w:tcPr>
            <w:tcW w:w="627" w:type="dxa"/>
            <w:vAlign w:val="bottom"/>
          </w:tcPr>
          <w:p w14:paraId="069042FC" w14:textId="77777777" w:rsidR="00EC46DF" w:rsidRPr="00FD742C" w:rsidRDefault="00EC46DF" w:rsidP="00B10CB3">
            <w:pPr>
              <w:pStyle w:val="-4"/>
              <w:spacing w:before="20"/>
              <w:rPr>
                <w:rFonts w:asciiTheme="minorBidi" w:hAnsiTheme="minorBidi" w:cstheme="minorBidi"/>
                <w:sz w:val="16"/>
                <w:szCs w:val="16"/>
                <w:rtl/>
              </w:rPr>
            </w:pPr>
            <w:r w:rsidRPr="00FD742C">
              <w:rPr>
                <w:rFonts w:asciiTheme="minorBidi" w:hAnsiTheme="minorBidi" w:cstheme="minorBidi"/>
                <w:sz w:val="16"/>
                <w:szCs w:val="16"/>
                <w:rtl/>
              </w:rPr>
              <w:t>סה"כ</w:t>
            </w:r>
          </w:p>
        </w:tc>
      </w:tr>
      <w:tr w:rsidR="00EC46DF" w:rsidRPr="00FD742C" w14:paraId="747778F5" w14:textId="77777777" w:rsidTr="00EC46DF">
        <w:trPr>
          <w:trHeight w:val="245"/>
        </w:trPr>
        <w:tc>
          <w:tcPr>
            <w:tcW w:w="1304" w:type="dxa"/>
          </w:tcPr>
          <w:p w14:paraId="5D7B6256" w14:textId="77777777" w:rsidR="00EC46DF" w:rsidRPr="00FD742C" w:rsidRDefault="00EC46DF" w:rsidP="00B10CB3">
            <w:pPr>
              <w:pStyle w:val="-0"/>
              <w:spacing w:before="20"/>
              <w:rPr>
                <w:rFonts w:asciiTheme="minorBidi" w:hAnsiTheme="minorBidi" w:cstheme="minorBidi"/>
                <w:sz w:val="16"/>
                <w:szCs w:val="16"/>
                <w:rtl/>
              </w:rPr>
            </w:pPr>
          </w:p>
        </w:tc>
        <w:tc>
          <w:tcPr>
            <w:tcW w:w="2467" w:type="dxa"/>
            <w:vAlign w:val="bottom"/>
          </w:tcPr>
          <w:p w14:paraId="6374B27C" w14:textId="77777777" w:rsidR="00EC46DF" w:rsidRPr="00FD742C" w:rsidRDefault="00EC46DF" w:rsidP="00B10CB3">
            <w:pPr>
              <w:pStyle w:val="-0"/>
              <w:spacing w:before="20" w:line="240" w:lineRule="auto"/>
              <w:ind w:left="0" w:right="-284" w:firstLine="0"/>
              <w:rPr>
                <w:rFonts w:asciiTheme="minorBidi" w:hAnsiTheme="minorBidi" w:cstheme="minorBidi"/>
                <w:sz w:val="16"/>
                <w:szCs w:val="16"/>
                <w:rtl/>
              </w:rPr>
            </w:pPr>
            <w:r w:rsidRPr="00FD742C">
              <w:rPr>
                <w:rFonts w:asciiTheme="minorBidi" w:hAnsiTheme="minorBidi" w:cstheme="minorBidi"/>
                <w:sz w:val="16"/>
                <w:szCs w:val="16"/>
                <w:rtl/>
              </w:rPr>
              <w:t>אגרות חוב:</w:t>
            </w:r>
          </w:p>
        </w:tc>
        <w:tc>
          <w:tcPr>
            <w:tcW w:w="689" w:type="dxa"/>
            <w:vAlign w:val="bottom"/>
          </w:tcPr>
          <w:p w14:paraId="0EF02E78" w14:textId="77777777" w:rsidR="00EC46DF" w:rsidRPr="00FD742C" w:rsidRDefault="00EC46DF" w:rsidP="00B10CB3">
            <w:pPr>
              <w:pStyle w:val="-3"/>
              <w:spacing w:before="20"/>
              <w:rPr>
                <w:rFonts w:asciiTheme="minorBidi" w:hAnsiTheme="minorBidi" w:cstheme="minorBidi"/>
                <w:sz w:val="16"/>
                <w:szCs w:val="16"/>
                <w:rtl/>
              </w:rPr>
            </w:pPr>
          </w:p>
        </w:tc>
        <w:tc>
          <w:tcPr>
            <w:tcW w:w="837" w:type="dxa"/>
            <w:vAlign w:val="bottom"/>
          </w:tcPr>
          <w:p w14:paraId="2F3368E4" w14:textId="77777777" w:rsidR="00EC46DF" w:rsidRPr="00FD742C" w:rsidRDefault="00EC46DF" w:rsidP="00B10CB3">
            <w:pPr>
              <w:pStyle w:val="-3"/>
              <w:spacing w:before="20"/>
              <w:rPr>
                <w:rFonts w:asciiTheme="minorBidi" w:hAnsiTheme="minorBidi" w:cstheme="minorBidi"/>
                <w:sz w:val="16"/>
                <w:szCs w:val="16"/>
                <w:rtl/>
              </w:rPr>
            </w:pPr>
          </w:p>
        </w:tc>
        <w:tc>
          <w:tcPr>
            <w:tcW w:w="932" w:type="dxa"/>
            <w:vAlign w:val="bottom"/>
          </w:tcPr>
          <w:p w14:paraId="624BCE9D" w14:textId="77777777" w:rsidR="00EC46DF" w:rsidRPr="00FD742C" w:rsidRDefault="00EC46DF" w:rsidP="00B10CB3">
            <w:pPr>
              <w:pStyle w:val="-3"/>
              <w:spacing w:before="20"/>
              <w:rPr>
                <w:rFonts w:asciiTheme="minorBidi" w:hAnsiTheme="minorBidi" w:cstheme="minorBidi"/>
                <w:sz w:val="16"/>
                <w:szCs w:val="16"/>
                <w:rtl/>
              </w:rPr>
            </w:pPr>
          </w:p>
        </w:tc>
        <w:tc>
          <w:tcPr>
            <w:tcW w:w="603" w:type="dxa"/>
            <w:vAlign w:val="bottom"/>
          </w:tcPr>
          <w:p w14:paraId="11424A6F" w14:textId="77777777" w:rsidR="00EC46DF" w:rsidRPr="00FD742C" w:rsidRDefault="00EC46DF" w:rsidP="00B10CB3">
            <w:pPr>
              <w:pStyle w:val="-3"/>
              <w:spacing w:before="20"/>
              <w:rPr>
                <w:rFonts w:asciiTheme="minorBidi" w:hAnsiTheme="minorBidi" w:cstheme="minorBidi"/>
                <w:sz w:val="16"/>
                <w:szCs w:val="16"/>
                <w:rtl/>
              </w:rPr>
            </w:pPr>
          </w:p>
        </w:tc>
        <w:tc>
          <w:tcPr>
            <w:tcW w:w="800" w:type="dxa"/>
            <w:vAlign w:val="bottom"/>
          </w:tcPr>
          <w:p w14:paraId="372E3F4B" w14:textId="77777777" w:rsidR="00EC46DF" w:rsidRPr="00FD742C" w:rsidRDefault="00EC46DF" w:rsidP="00B10CB3">
            <w:pPr>
              <w:pStyle w:val="-3"/>
              <w:spacing w:before="20"/>
              <w:rPr>
                <w:rFonts w:asciiTheme="minorBidi" w:hAnsiTheme="minorBidi" w:cstheme="minorBidi"/>
                <w:sz w:val="16"/>
                <w:szCs w:val="16"/>
                <w:rtl/>
              </w:rPr>
            </w:pPr>
          </w:p>
        </w:tc>
        <w:tc>
          <w:tcPr>
            <w:tcW w:w="837" w:type="dxa"/>
            <w:vAlign w:val="bottom"/>
          </w:tcPr>
          <w:p w14:paraId="043EF837" w14:textId="77777777" w:rsidR="00EC46DF" w:rsidRPr="00FD742C" w:rsidRDefault="00EC46DF" w:rsidP="00B10CB3">
            <w:pPr>
              <w:pStyle w:val="-3"/>
              <w:spacing w:before="20" w:line="240" w:lineRule="auto"/>
              <w:ind w:left="-57" w:right="-57"/>
              <w:rPr>
                <w:rFonts w:asciiTheme="minorBidi" w:hAnsiTheme="minorBidi" w:cstheme="minorBidi"/>
                <w:sz w:val="16"/>
                <w:szCs w:val="16"/>
                <w:rtl/>
              </w:rPr>
            </w:pPr>
          </w:p>
        </w:tc>
        <w:tc>
          <w:tcPr>
            <w:tcW w:w="919" w:type="dxa"/>
            <w:vAlign w:val="bottom"/>
          </w:tcPr>
          <w:p w14:paraId="7EC512E5" w14:textId="77777777" w:rsidR="00EC46DF" w:rsidRPr="00FD742C" w:rsidRDefault="00EC46DF" w:rsidP="00B10CB3">
            <w:pPr>
              <w:pStyle w:val="-3"/>
              <w:spacing w:before="20" w:line="240" w:lineRule="auto"/>
              <w:ind w:left="-57" w:right="-57"/>
              <w:rPr>
                <w:rFonts w:asciiTheme="minorBidi" w:hAnsiTheme="minorBidi" w:cstheme="minorBidi"/>
                <w:sz w:val="16"/>
                <w:szCs w:val="16"/>
                <w:rtl/>
              </w:rPr>
            </w:pPr>
          </w:p>
        </w:tc>
        <w:tc>
          <w:tcPr>
            <w:tcW w:w="627" w:type="dxa"/>
            <w:vAlign w:val="bottom"/>
          </w:tcPr>
          <w:p w14:paraId="6972CEE1" w14:textId="77777777" w:rsidR="00EC46DF" w:rsidRPr="00FD742C" w:rsidRDefault="00EC46DF" w:rsidP="00B10CB3">
            <w:pPr>
              <w:pStyle w:val="-3"/>
              <w:spacing w:before="20"/>
              <w:rPr>
                <w:rFonts w:asciiTheme="minorBidi" w:hAnsiTheme="minorBidi" w:cstheme="minorBidi"/>
                <w:sz w:val="16"/>
                <w:szCs w:val="16"/>
                <w:rtl/>
              </w:rPr>
            </w:pPr>
          </w:p>
        </w:tc>
      </w:tr>
      <w:tr w:rsidR="00EC46DF" w:rsidRPr="00FD742C" w14:paraId="211CD945" w14:textId="77777777" w:rsidTr="00EC46DF">
        <w:trPr>
          <w:trHeight w:val="245"/>
        </w:trPr>
        <w:tc>
          <w:tcPr>
            <w:tcW w:w="1304" w:type="dxa"/>
          </w:tcPr>
          <w:p w14:paraId="26684C70" w14:textId="77777777" w:rsidR="00EC46DF" w:rsidRPr="00FD742C" w:rsidRDefault="00EC46DF" w:rsidP="00B10CB3">
            <w:pPr>
              <w:pStyle w:val="-0"/>
              <w:spacing w:before="20"/>
              <w:rPr>
                <w:rFonts w:asciiTheme="minorBidi" w:hAnsiTheme="minorBidi" w:cstheme="minorBidi"/>
                <w:sz w:val="16"/>
                <w:szCs w:val="16"/>
                <w:rtl/>
              </w:rPr>
            </w:pPr>
          </w:p>
        </w:tc>
        <w:tc>
          <w:tcPr>
            <w:tcW w:w="2467" w:type="dxa"/>
            <w:vAlign w:val="bottom"/>
          </w:tcPr>
          <w:p w14:paraId="31985046" w14:textId="77777777" w:rsidR="00EC46DF" w:rsidRPr="00FD742C" w:rsidRDefault="00EC46DF" w:rsidP="00D64969">
            <w:pPr>
              <w:pStyle w:val="-0"/>
              <w:spacing w:before="20" w:line="240" w:lineRule="auto"/>
              <w:ind w:left="0" w:right="-284" w:firstLine="0"/>
              <w:rPr>
                <w:rFonts w:asciiTheme="minorBidi" w:hAnsiTheme="minorBidi" w:cstheme="minorBidi"/>
                <w:sz w:val="16"/>
                <w:szCs w:val="16"/>
                <w:rtl/>
              </w:rPr>
            </w:pPr>
            <w:r w:rsidRPr="00FD742C">
              <w:rPr>
                <w:rFonts w:asciiTheme="minorBidi" w:hAnsiTheme="minorBidi" w:cstheme="minorBidi"/>
                <w:sz w:val="16"/>
                <w:szCs w:val="16"/>
                <w:rtl/>
              </w:rPr>
              <w:t>של ממשלות ומוסדות פיננסיים</w:t>
            </w:r>
          </w:p>
        </w:tc>
        <w:tc>
          <w:tcPr>
            <w:tcW w:w="689" w:type="dxa"/>
            <w:vAlign w:val="bottom"/>
          </w:tcPr>
          <w:p w14:paraId="3B4C6BEA"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7DD4CBB7"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932" w:type="dxa"/>
            <w:vAlign w:val="bottom"/>
          </w:tcPr>
          <w:p w14:paraId="67983845"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603" w:type="dxa"/>
            <w:vAlign w:val="bottom"/>
          </w:tcPr>
          <w:p w14:paraId="55B39498"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00" w:type="dxa"/>
            <w:vAlign w:val="bottom"/>
          </w:tcPr>
          <w:p w14:paraId="655869C7"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0BDED9FA" w14:textId="77777777" w:rsidR="00EC46DF" w:rsidRPr="00FD742C" w:rsidRDefault="00EC46DF" w:rsidP="00B10CB3">
            <w:pPr>
              <w:pStyle w:val="-3"/>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0</w:t>
            </w:r>
          </w:p>
        </w:tc>
        <w:tc>
          <w:tcPr>
            <w:tcW w:w="919" w:type="dxa"/>
            <w:vAlign w:val="bottom"/>
          </w:tcPr>
          <w:p w14:paraId="7F5D07C2" w14:textId="77777777" w:rsidR="00EC46DF" w:rsidRPr="00FD742C" w:rsidRDefault="00EC46DF" w:rsidP="00B10CB3">
            <w:pPr>
              <w:pStyle w:val="-3"/>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0</w:t>
            </w:r>
          </w:p>
        </w:tc>
        <w:tc>
          <w:tcPr>
            <w:tcW w:w="627" w:type="dxa"/>
            <w:vAlign w:val="bottom"/>
          </w:tcPr>
          <w:p w14:paraId="2EFFA9AB"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r>
      <w:tr w:rsidR="00EC46DF" w:rsidRPr="00FD742C" w14:paraId="0721A060" w14:textId="77777777" w:rsidTr="00EC46DF">
        <w:trPr>
          <w:trHeight w:val="245"/>
        </w:trPr>
        <w:tc>
          <w:tcPr>
            <w:tcW w:w="1304" w:type="dxa"/>
          </w:tcPr>
          <w:p w14:paraId="6AC7DEDE" w14:textId="77777777" w:rsidR="00EC46DF" w:rsidRPr="00FD742C" w:rsidRDefault="00EC46DF" w:rsidP="00B10CB3">
            <w:pPr>
              <w:pStyle w:val="-0"/>
              <w:spacing w:before="20"/>
              <w:rPr>
                <w:rFonts w:asciiTheme="minorBidi" w:hAnsiTheme="minorBidi" w:cstheme="minorBidi"/>
                <w:sz w:val="16"/>
                <w:szCs w:val="16"/>
                <w:rtl/>
              </w:rPr>
            </w:pPr>
          </w:p>
        </w:tc>
        <w:tc>
          <w:tcPr>
            <w:tcW w:w="2467" w:type="dxa"/>
            <w:vAlign w:val="bottom"/>
          </w:tcPr>
          <w:p w14:paraId="5C07F711" w14:textId="77777777" w:rsidR="00EC46DF" w:rsidRPr="00FD742C" w:rsidRDefault="00EC46DF" w:rsidP="00D64969">
            <w:pPr>
              <w:pStyle w:val="-0"/>
              <w:spacing w:before="20" w:line="240" w:lineRule="auto"/>
              <w:ind w:left="0" w:right="-284" w:firstLine="0"/>
              <w:rPr>
                <w:rFonts w:asciiTheme="minorBidi" w:hAnsiTheme="minorBidi" w:cstheme="minorBidi"/>
                <w:sz w:val="16"/>
                <w:szCs w:val="16"/>
                <w:rtl/>
              </w:rPr>
            </w:pPr>
            <w:r w:rsidRPr="00FD742C">
              <w:rPr>
                <w:rFonts w:asciiTheme="minorBidi" w:hAnsiTheme="minorBidi" w:cstheme="minorBidi"/>
                <w:sz w:val="16"/>
                <w:szCs w:val="16"/>
                <w:rtl/>
              </w:rPr>
              <w:t>מגובות נכסים (</w:t>
            </w:r>
            <w:r w:rsidRPr="00FD742C">
              <w:rPr>
                <w:rFonts w:asciiTheme="minorBidi" w:hAnsiTheme="minorBidi" w:cstheme="minorBidi"/>
                <w:sz w:val="16"/>
                <w:szCs w:val="16"/>
              </w:rPr>
              <w:t>ABS</w:t>
            </w:r>
            <w:r w:rsidRPr="00FD742C">
              <w:rPr>
                <w:rFonts w:asciiTheme="minorBidi" w:hAnsiTheme="minorBidi" w:cstheme="minorBidi"/>
                <w:sz w:val="16"/>
                <w:szCs w:val="16"/>
                <w:rtl/>
              </w:rPr>
              <w:t xml:space="preserve">) או </w:t>
            </w:r>
          </w:p>
          <w:p w14:paraId="389E3F5D" w14:textId="77777777" w:rsidR="00EC46DF" w:rsidRPr="00FD742C" w:rsidRDefault="00EC46DF" w:rsidP="00D64969">
            <w:pPr>
              <w:pStyle w:val="-0"/>
              <w:spacing w:line="240" w:lineRule="auto"/>
              <w:ind w:left="96" w:right="-284" w:firstLine="0"/>
              <w:rPr>
                <w:rFonts w:asciiTheme="minorBidi" w:hAnsiTheme="minorBidi" w:cstheme="minorBidi"/>
                <w:sz w:val="16"/>
                <w:szCs w:val="16"/>
                <w:rtl/>
              </w:rPr>
            </w:pPr>
            <w:r w:rsidRPr="00FD742C">
              <w:rPr>
                <w:rFonts w:asciiTheme="minorBidi" w:hAnsiTheme="minorBidi" w:cstheme="minorBidi"/>
                <w:sz w:val="16"/>
                <w:szCs w:val="16"/>
                <w:rtl/>
              </w:rPr>
              <w:t>מגובות משכנתאות (</w:t>
            </w:r>
            <w:r w:rsidRPr="00FD742C">
              <w:rPr>
                <w:rFonts w:asciiTheme="minorBidi" w:hAnsiTheme="minorBidi" w:cstheme="minorBidi"/>
                <w:sz w:val="16"/>
                <w:szCs w:val="16"/>
              </w:rPr>
              <w:t>MBS</w:t>
            </w:r>
            <w:r w:rsidRPr="00FD742C">
              <w:rPr>
                <w:rFonts w:asciiTheme="minorBidi" w:hAnsiTheme="minorBidi" w:cstheme="minorBidi"/>
                <w:sz w:val="16"/>
                <w:szCs w:val="16"/>
                <w:rtl/>
              </w:rPr>
              <w:t>)</w:t>
            </w:r>
          </w:p>
        </w:tc>
        <w:tc>
          <w:tcPr>
            <w:tcW w:w="689" w:type="dxa"/>
            <w:vAlign w:val="bottom"/>
          </w:tcPr>
          <w:p w14:paraId="29F193C0"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33BDF2BC"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932" w:type="dxa"/>
            <w:vAlign w:val="bottom"/>
          </w:tcPr>
          <w:p w14:paraId="1915E2CD"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603" w:type="dxa"/>
            <w:vAlign w:val="bottom"/>
          </w:tcPr>
          <w:p w14:paraId="77AA9767"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00" w:type="dxa"/>
            <w:vAlign w:val="bottom"/>
          </w:tcPr>
          <w:p w14:paraId="667F4ED0"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3CFF8044" w14:textId="77777777" w:rsidR="00EC46DF" w:rsidRPr="00FD742C" w:rsidRDefault="00EC46DF" w:rsidP="00B10CB3">
            <w:pPr>
              <w:pStyle w:val="-3"/>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0</w:t>
            </w:r>
          </w:p>
        </w:tc>
        <w:tc>
          <w:tcPr>
            <w:tcW w:w="919" w:type="dxa"/>
            <w:vAlign w:val="bottom"/>
          </w:tcPr>
          <w:p w14:paraId="30E89076" w14:textId="77777777" w:rsidR="00EC46DF" w:rsidRPr="00FD742C" w:rsidRDefault="00EC46DF" w:rsidP="00B10CB3">
            <w:pPr>
              <w:pStyle w:val="-3"/>
              <w:spacing w:before="20" w:line="240" w:lineRule="auto"/>
              <w:ind w:left="-57" w:right="-57"/>
              <w:rPr>
                <w:rFonts w:asciiTheme="minorBidi" w:hAnsiTheme="minorBidi" w:cstheme="minorBidi"/>
                <w:sz w:val="16"/>
                <w:szCs w:val="16"/>
                <w:rtl/>
              </w:rPr>
            </w:pPr>
            <w:r w:rsidRPr="00FD742C">
              <w:rPr>
                <w:rFonts w:asciiTheme="minorBidi" w:hAnsiTheme="minorBidi" w:cstheme="minorBidi"/>
                <w:sz w:val="16"/>
                <w:szCs w:val="16"/>
                <w:rtl/>
              </w:rPr>
              <w:t>0</w:t>
            </w:r>
          </w:p>
        </w:tc>
        <w:tc>
          <w:tcPr>
            <w:tcW w:w="627" w:type="dxa"/>
            <w:vAlign w:val="bottom"/>
          </w:tcPr>
          <w:p w14:paraId="64FADDF3" w14:textId="77777777" w:rsidR="00EC46DF" w:rsidRPr="00FD742C" w:rsidRDefault="00EC46DF" w:rsidP="00B10CB3">
            <w:pPr>
              <w:pStyle w:val="-3"/>
              <w:spacing w:before="20"/>
              <w:rPr>
                <w:rFonts w:asciiTheme="minorBidi" w:hAnsiTheme="minorBidi" w:cstheme="minorBidi"/>
                <w:sz w:val="16"/>
                <w:szCs w:val="16"/>
                <w:rtl/>
              </w:rPr>
            </w:pPr>
            <w:r w:rsidRPr="00FD742C">
              <w:rPr>
                <w:rFonts w:asciiTheme="minorBidi" w:hAnsiTheme="minorBidi" w:cstheme="minorBidi"/>
                <w:sz w:val="16"/>
                <w:szCs w:val="16"/>
                <w:rtl/>
              </w:rPr>
              <w:t>0</w:t>
            </w:r>
          </w:p>
        </w:tc>
      </w:tr>
      <w:tr w:rsidR="00EC46DF" w:rsidRPr="00FD742C" w14:paraId="1D7CF4F0" w14:textId="77777777" w:rsidTr="00EC46DF">
        <w:trPr>
          <w:trHeight w:val="245"/>
        </w:trPr>
        <w:tc>
          <w:tcPr>
            <w:tcW w:w="1304" w:type="dxa"/>
          </w:tcPr>
          <w:p w14:paraId="30124856" w14:textId="77777777" w:rsidR="00EC46DF" w:rsidRPr="00FD742C" w:rsidRDefault="00EC46DF" w:rsidP="00B10CB3">
            <w:pPr>
              <w:pStyle w:val="-0"/>
              <w:spacing w:before="20"/>
              <w:rPr>
                <w:rFonts w:asciiTheme="minorBidi" w:hAnsiTheme="minorBidi" w:cstheme="minorBidi"/>
                <w:sz w:val="16"/>
                <w:szCs w:val="16"/>
                <w:rtl/>
              </w:rPr>
            </w:pPr>
          </w:p>
        </w:tc>
        <w:tc>
          <w:tcPr>
            <w:tcW w:w="2467" w:type="dxa"/>
            <w:vAlign w:val="bottom"/>
          </w:tcPr>
          <w:p w14:paraId="376AF14C" w14:textId="77777777" w:rsidR="00EC46DF" w:rsidRPr="00FD742C" w:rsidRDefault="00EC46DF" w:rsidP="00D64969">
            <w:pPr>
              <w:pStyle w:val="-0"/>
              <w:spacing w:before="20" w:line="240" w:lineRule="auto"/>
              <w:ind w:left="0" w:right="-284" w:firstLine="0"/>
              <w:rPr>
                <w:rFonts w:asciiTheme="minorBidi" w:hAnsiTheme="minorBidi" w:cstheme="minorBidi"/>
                <w:sz w:val="16"/>
                <w:szCs w:val="16"/>
                <w:rtl/>
              </w:rPr>
            </w:pPr>
            <w:r w:rsidRPr="00FD742C">
              <w:rPr>
                <w:rFonts w:asciiTheme="minorBidi" w:hAnsiTheme="minorBidi" w:cstheme="minorBidi"/>
                <w:sz w:val="16"/>
                <w:szCs w:val="16"/>
                <w:rtl/>
              </w:rPr>
              <w:t xml:space="preserve">של אחרים </w:t>
            </w:r>
          </w:p>
        </w:tc>
        <w:tc>
          <w:tcPr>
            <w:tcW w:w="689" w:type="dxa"/>
            <w:vAlign w:val="bottom"/>
          </w:tcPr>
          <w:p w14:paraId="1CB7CC06" w14:textId="77777777" w:rsidR="00EC46DF" w:rsidRPr="00FD742C" w:rsidRDefault="00EC46DF" w:rsidP="00B10CB3">
            <w:pPr>
              <w:pStyle w:val="-3"/>
              <w:pBdr>
                <w:bottom w:val="single" w:sz="4" w:space="1" w:color="auto"/>
              </w:pBdr>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521ACCBC" w14:textId="77777777" w:rsidR="00EC46DF" w:rsidRPr="00FD742C" w:rsidRDefault="00EC46DF" w:rsidP="00B10CB3">
            <w:pPr>
              <w:pStyle w:val="-3"/>
              <w:pBdr>
                <w:bottom w:val="single" w:sz="4" w:space="1" w:color="auto"/>
              </w:pBdr>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932" w:type="dxa"/>
            <w:vAlign w:val="bottom"/>
          </w:tcPr>
          <w:p w14:paraId="692D17DE" w14:textId="77777777" w:rsidR="00EC46DF" w:rsidRPr="00FD742C" w:rsidRDefault="00EC46DF" w:rsidP="00B10CB3">
            <w:pPr>
              <w:pStyle w:val="-3"/>
              <w:pBdr>
                <w:bottom w:val="single" w:sz="4" w:space="1" w:color="auto"/>
              </w:pBdr>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603" w:type="dxa"/>
            <w:vAlign w:val="bottom"/>
          </w:tcPr>
          <w:p w14:paraId="01F99C1C" w14:textId="77777777" w:rsidR="00EC46DF" w:rsidRPr="00FD742C" w:rsidRDefault="00EC46DF" w:rsidP="00B10CB3">
            <w:pPr>
              <w:pStyle w:val="-3"/>
              <w:pBdr>
                <w:bottom w:val="single" w:sz="4" w:space="1" w:color="auto"/>
              </w:pBdr>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00" w:type="dxa"/>
            <w:vAlign w:val="bottom"/>
          </w:tcPr>
          <w:p w14:paraId="5FE68655" w14:textId="77777777" w:rsidR="00EC46DF" w:rsidRPr="00FD742C" w:rsidRDefault="00EC46DF" w:rsidP="00B10CB3">
            <w:pPr>
              <w:pStyle w:val="-3"/>
              <w:pBdr>
                <w:bottom w:val="single" w:sz="4" w:space="1" w:color="auto"/>
              </w:pBdr>
              <w:spacing w:before="20"/>
              <w:rPr>
                <w:rFonts w:asciiTheme="minorBidi" w:hAnsiTheme="minorBidi" w:cstheme="minorBidi"/>
                <w:sz w:val="16"/>
                <w:szCs w:val="16"/>
                <w:rtl/>
              </w:rPr>
            </w:pPr>
            <w:r w:rsidRPr="00FD742C">
              <w:rPr>
                <w:rFonts w:asciiTheme="minorBidi" w:hAnsiTheme="minorBidi" w:cstheme="minorBidi"/>
                <w:sz w:val="16"/>
                <w:szCs w:val="16"/>
                <w:rtl/>
              </w:rPr>
              <w:t>0</w:t>
            </w:r>
          </w:p>
        </w:tc>
        <w:tc>
          <w:tcPr>
            <w:tcW w:w="837" w:type="dxa"/>
            <w:vAlign w:val="bottom"/>
          </w:tcPr>
          <w:p w14:paraId="29BC5282" w14:textId="77777777" w:rsidR="00EC46DF" w:rsidRPr="00FD742C" w:rsidRDefault="00EC46DF" w:rsidP="00B10CB3">
            <w:pPr>
              <w:pStyle w:val="-3"/>
              <w:pBdr>
                <w:bottom w:val="single" w:sz="4" w:space="1" w:color="auto"/>
              </w:pBdr>
              <w:spacing w:before="20" w:line="240" w:lineRule="auto"/>
              <w:ind w:left="-57"/>
              <w:rPr>
                <w:rFonts w:asciiTheme="minorBidi" w:hAnsiTheme="minorBidi" w:cstheme="minorBidi"/>
                <w:sz w:val="16"/>
                <w:szCs w:val="16"/>
                <w:rtl/>
              </w:rPr>
            </w:pPr>
            <w:r w:rsidRPr="00FD742C">
              <w:rPr>
                <w:rFonts w:asciiTheme="minorBidi" w:hAnsiTheme="minorBidi" w:cstheme="minorBidi"/>
                <w:sz w:val="16"/>
                <w:szCs w:val="16"/>
                <w:rtl/>
              </w:rPr>
              <w:t>0</w:t>
            </w:r>
          </w:p>
        </w:tc>
        <w:tc>
          <w:tcPr>
            <w:tcW w:w="919" w:type="dxa"/>
            <w:vAlign w:val="bottom"/>
          </w:tcPr>
          <w:p w14:paraId="38B617B9" w14:textId="77777777" w:rsidR="00EC46DF" w:rsidRPr="00FD742C" w:rsidRDefault="00EC46DF" w:rsidP="00B10CB3">
            <w:pPr>
              <w:pStyle w:val="-3"/>
              <w:pBdr>
                <w:bottom w:val="single" w:sz="4" w:space="1" w:color="auto"/>
              </w:pBdr>
              <w:spacing w:before="20" w:line="240" w:lineRule="auto"/>
              <w:ind w:left="-57"/>
              <w:rPr>
                <w:rFonts w:asciiTheme="minorBidi" w:hAnsiTheme="minorBidi" w:cstheme="minorBidi"/>
                <w:sz w:val="16"/>
                <w:szCs w:val="16"/>
              </w:rPr>
            </w:pPr>
            <w:r w:rsidRPr="00FD742C">
              <w:rPr>
                <w:rFonts w:asciiTheme="minorBidi" w:hAnsiTheme="minorBidi" w:cstheme="minorBidi"/>
                <w:sz w:val="16"/>
                <w:szCs w:val="16"/>
                <w:rtl/>
              </w:rPr>
              <w:t>0</w:t>
            </w:r>
          </w:p>
        </w:tc>
        <w:tc>
          <w:tcPr>
            <w:tcW w:w="627" w:type="dxa"/>
            <w:vAlign w:val="bottom"/>
          </w:tcPr>
          <w:p w14:paraId="3CB8ED86" w14:textId="77777777" w:rsidR="00EC46DF" w:rsidRPr="00FD742C" w:rsidRDefault="00EC46DF" w:rsidP="00B10CB3">
            <w:pPr>
              <w:pStyle w:val="-3"/>
              <w:pBdr>
                <w:bottom w:val="single" w:sz="4" w:space="1" w:color="auto"/>
              </w:pBdr>
              <w:spacing w:before="20" w:line="240" w:lineRule="auto"/>
              <w:rPr>
                <w:rFonts w:asciiTheme="minorBidi" w:hAnsiTheme="minorBidi" w:cstheme="minorBidi"/>
                <w:sz w:val="16"/>
                <w:szCs w:val="16"/>
                <w:rtl/>
              </w:rPr>
            </w:pPr>
            <w:r w:rsidRPr="00FD742C">
              <w:rPr>
                <w:rFonts w:asciiTheme="minorBidi" w:hAnsiTheme="minorBidi" w:cstheme="minorBidi"/>
                <w:sz w:val="16"/>
                <w:szCs w:val="16"/>
                <w:rtl/>
              </w:rPr>
              <w:t>0</w:t>
            </w:r>
          </w:p>
        </w:tc>
      </w:tr>
      <w:tr w:rsidR="00EC46DF" w:rsidRPr="00FD742C" w14:paraId="604D532A" w14:textId="77777777" w:rsidTr="00EC46DF">
        <w:trPr>
          <w:trHeight w:val="245"/>
        </w:trPr>
        <w:tc>
          <w:tcPr>
            <w:tcW w:w="1304" w:type="dxa"/>
          </w:tcPr>
          <w:p w14:paraId="5DCD6B0F" w14:textId="77777777" w:rsidR="00EC46DF" w:rsidRPr="00FD742C" w:rsidRDefault="00EC46DF" w:rsidP="00B10CB3">
            <w:pPr>
              <w:pStyle w:val="-0"/>
              <w:spacing w:before="20"/>
              <w:rPr>
                <w:rFonts w:asciiTheme="minorBidi" w:hAnsiTheme="minorBidi" w:cstheme="minorBidi"/>
                <w:sz w:val="16"/>
                <w:szCs w:val="16"/>
                <w:rtl/>
              </w:rPr>
            </w:pPr>
          </w:p>
        </w:tc>
        <w:tc>
          <w:tcPr>
            <w:tcW w:w="2467" w:type="dxa"/>
            <w:vAlign w:val="bottom"/>
          </w:tcPr>
          <w:p w14:paraId="542F96E9" w14:textId="77777777" w:rsidR="00EC46DF" w:rsidRPr="00FD742C" w:rsidRDefault="00EC46DF" w:rsidP="00B10CB3">
            <w:pPr>
              <w:pStyle w:val="-0"/>
              <w:spacing w:before="20" w:line="240" w:lineRule="auto"/>
              <w:ind w:left="142" w:right="-284" w:hanging="142"/>
              <w:rPr>
                <w:rFonts w:asciiTheme="minorBidi" w:hAnsiTheme="minorBidi" w:cstheme="minorBidi"/>
                <w:b/>
                <w:bCs/>
                <w:sz w:val="16"/>
                <w:szCs w:val="16"/>
                <w:rtl/>
              </w:rPr>
            </w:pPr>
            <w:r w:rsidRPr="00FD742C">
              <w:rPr>
                <w:rFonts w:asciiTheme="minorBidi" w:hAnsiTheme="minorBidi" w:cstheme="minorBidi"/>
                <w:b/>
                <w:bCs/>
                <w:sz w:val="16"/>
                <w:szCs w:val="16"/>
                <w:rtl/>
              </w:rPr>
              <w:t xml:space="preserve">סך כל אגרות חוב זמינות למכירה </w:t>
            </w:r>
          </w:p>
        </w:tc>
        <w:tc>
          <w:tcPr>
            <w:tcW w:w="689" w:type="dxa"/>
            <w:vAlign w:val="bottom"/>
          </w:tcPr>
          <w:p w14:paraId="40BD51C5" w14:textId="77777777" w:rsidR="00EC46DF" w:rsidRPr="00FD742C" w:rsidRDefault="00EC46DF" w:rsidP="00B10CB3">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837" w:type="dxa"/>
            <w:vAlign w:val="bottom"/>
          </w:tcPr>
          <w:p w14:paraId="39F6C656" w14:textId="77777777" w:rsidR="00EC46DF" w:rsidRPr="00FD742C" w:rsidRDefault="00EC46DF" w:rsidP="00B10CB3">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932" w:type="dxa"/>
            <w:vAlign w:val="bottom"/>
          </w:tcPr>
          <w:p w14:paraId="4B23ADEE" w14:textId="77777777" w:rsidR="00EC46DF" w:rsidRPr="00FD742C" w:rsidRDefault="00EC46DF" w:rsidP="00B10CB3">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603" w:type="dxa"/>
            <w:vAlign w:val="bottom"/>
          </w:tcPr>
          <w:p w14:paraId="32D45163" w14:textId="77777777" w:rsidR="00EC46DF" w:rsidRPr="00FD742C" w:rsidRDefault="00EC46DF" w:rsidP="00B10CB3">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800" w:type="dxa"/>
            <w:vAlign w:val="bottom"/>
          </w:tcPr>
          <w:p w14:paraId="16431936" w14:textId="77777777" w:rsidR="00EC46DF" w:rsidRPr="00FD742C" w:rsidRDefault="00EC46DF" w:rsidP="00B10CB3">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837" w:type="dxa"/>
            <w:vAlign w:val="bottom"/>
          </w:tcPr>
          <w:p w14:paraId="272AE2B8" w14:textId="77777777" w:rsidR="00EC46DF" w:rsidRPr="00FD742C" w:rsidRDefault="00EC46DF" w:rsidP="00B10CB3">
            <w:pPr>
              <w:pStyle w:val="-3"/>
              <w:pBdr>
                <w:bottom w:val="double" w:sz="4" w:space="1" w:color="auto"/>
              </w:pBdr>
              <w:spacing w:before="20" w:line="240" w:lineRule="auto"/>
              <w:ind w:left="-57" w:right="-57"/>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919" w:type="dxa"/>
            <w:vAlign w:val="bottom"/>
          </w:tcPr>
          <w:p w14:paraId="334865DE" w14:textId="77777777" w:rsidR="00EC46DF" w:rsidRPr="00FD742C" w:rsidRDefault="00EC46DF" w:rsidP="00B10CB3">
            <w:pPr>
              <w:pStyle w:val="-3"/>
              <w:pBdr>
                <w:bottom w:val="double" w:sz="4" w:space="1" w:color="auto"/>
              </w:pBdr>
              <w:spacing w:before="20" w:line="240" w:lineRule="auto"/>
              <w:ind w:left="-57" w:right="-57"/>
              <w:rPr>
                <w:rFonts w:asciiTheme="minorBidi" w:hAnsiTheme="minorBidi" w:cstheme="minorBidi"/>
                <w:b/>
                <w:bCs/>
                <w:sz w:val="16"/>
                <w:szCs w:val="16"/>
                <w:rtl/>
              </w:rPr>
            </w:pPr>
            <w:r w:rsidRPr="00FD742C">
              <w:rPr>
                <w:rFonts w:asciiTheme="minorBidi" w:hAnsiTheme="minorBidi" w:cstheme="minorBidi"/>
                <w:b/>
                <w:bCs/>
                <w:sz w:val="16"/>
                <w:szCs w:val="16"/>
                <w:rtl/>
              </w:rPr>
              <w:t>0</w:t>
            </w:r>
          </w:p>
        </w:tc>
        <w:tc>
          <w:tcPr>
            <w:tcW w:w="627" w:type="dxa"/>
            <w:vAlign w:val="bottom"/>
          </w:tcPr>
          <w:p w14:paraId="7B78B1E3" w14:textId="77777777" w:rsidR="00EC46DF" w:rsidRPr="00FD742C" w:rsidRDefault="00EC46DF" w:rsidP="00B10CB3">
            <w:pPr>
              <w:pStyle w:val="-3"/>
              <w:pBdr>
                <w:bottom w:val="double" w:sz="4" w:space="1" w:color="auto"/>
              </w:pBdr>
              <w:spacing w:before="20"/>
              <w:rPr>
                <w:rFonts w:asciiTheme="minorBidi" w:hAnsiTheme="minorBidi" w:cstheme="minorBidi"/>
                <w:b/>
                <w:bCs/>
                <w:sz w:val="16"/>
                <w:szCs w:val="16"/>
                <w:rtl/>
              </w:rPr>
            </w:pPr>
            <w:r w:rsidRPr="00FD742C">
              <w:rPr>
                <w:rFonts w:asciiTheme="minorBidi" w:hAnsiTheme="minorBidi" w:cstheme="minorBidi"/>
                <w:b/>
                <w:bCs/>
                <w:sz w:val="16"/>
                <w:szCs w:val="16"/>
                <w:rtl/>
              </w:rPr>
              <w:t>0</w:t>
            </w:r>
          </w:p>
        </w:tc>
      </w:tr>
    </w:tbl>
    <w:p w14:paraId="75D94542" w14:textId="77777777" w:rsidR="00FD742C" w:rsidRDefault="00FD742C" w:rsidP="00FD742C">
      <w:pPr>
        <w:spacing w:line="96" w:lineRule="auto"/>
      </w:pPr>
    </w:p>
    <w:p w14:paraId="0B0192A3" w14:textId="77777777" w:rsidR="006E7E3E" w:rsidRPr="00F77006" w:rsidRDefault="006E7E3E">
      <w:pPr>
        <w:sectPr w:rsidR="006E7E3E" w:rsidRPr="00F77006" w:rsidSect="00587121">
          <w:headerReference w:type="even" r:id="rId45"/>
          <w:headerReference w:type="default" r:id="rId46"/>
          <w:footnotePr>
            <w:numRestart w:val="eachPage"/>
          </w:footnotePr>
          <w:type w:val="nextColumn"/>
          <w:pgSz w:w="11909" w:h="16834" w:code="9"/>
          <w:pgMar w:top="851" w:right="851" w:bottom="851" w:left="851" w:header="720" w:footer="720" w:gutter="0"/>
          <w:cols w:space="720"/>
          <w:bidi/>
          <w:rtlGutter/>
          <w:docGrid w:linePitch="360"/>
        </w:sectPr>
      </w:pPr>
    </w:p>
    <w:p w14:paraId="2D8AFBC5" w14:textId="77777777" w:rsidR="004D0DE1" w:rsidRDefault="004D0DE1" w:rsidP="00D268FB">
      <w:pPr>
        <w:bidi w:val="0"/>
        <w:spacing w:line="60" w:lineRule="exact"/>
        <w:rPr>
          <w:sz w:val="10"/>
          <w:szCs w:val="10"/>
        </w:rPr>
      </w:pPr>
    </w:p>
    <w:tbl>
      <w:tblPr>
        <w:bidiVisual/>
        <w:tblW w:w="4725" w:type="pct"/>
        <w:tblInd w:w="90" w:type="dxa"/>
        <w:tblLayout w:type="fixed"/>
        <w:tblLook w:val="04A0" w:firstRow="1" w:lastRow="0" w:firstColumn="1" w:lastColumn="0" w:noHBand="0" w:noVBand="1"/>
      </w:tblPr>
      <w:tblGrid>
        <w:gridCol w:w="1020"/>
        <w:gridCol w:w="8626"/>
      </w:tblGrid>
      <w:tr w:rsidR="00522CAE" w:rsidRPr="00522CAE" w14:paraId="5353AF8F" w14:textId="77777777" w:rsidTr="00EC46DF">
        <w:trPr>
          <w:trHeight w:val="259"/>
        </w:trPr>
        <w:tc>
          <w:tcPr>
            <w:tcW w:w="1020" w:type="dxa"/>
          </w:tcPr>
          <w:p w14:paraId="3EE4CC58" w14:textId="77777777" w:rsidR="0062692D" w:rsidRPr="00522CAE" w:rsidRDefault="0062692D" w:rsidP="0062692D">
            <w:pPr>
              <w:pStyle w:val="-fa"/>
              <w:rPr>
                <w:rtl/>
              </w:rPr>
            </w:pPr>
          </w:p>
        </w:tc>
        <w:tc>
          <w:tcPr>
            <w:tcW w:w="8626" w:type="dxa"/>
          </w:tcPr>
          <w:p w14:paraId="6A8033E4" w14:textId="77777777" w:rsidR="0062692D" w:rsidRPr="00522CAE" w:rsidRDefault="0062692D" w:rsidP="00662C4F">
            <w:pPr>
              <w:pStyle w:val="-8"/>
              <w:rPr>
                <w:rtl/>
              </w:rPr>
            </w:pPr>
            <w:r w:rsidRPr="00522CAE">
              <w:rPr>
                <w:rFonts w:hint="cs"/>
                <w:rtl/>
              </w:rPr>
              <w:t xml:space="preserve">ביאור </w:t>
            </w:r>
            <w:r w:rsidR="00E62957" w:rsidRPr="00522CAE">
              <w:rPr>
                <w:rFonts w:hint="cs"/>
                <w:rtl/>
              </w:rPr>
              <w:t>5</w:t>
            </w:r>
            <w:r w:rsidRPr="00522CAE">
              <w:rPr>
                <w:rFonts w:hint="cs"/>
                <w:rtl/>
              </w:rPr>
              <w:t xml:space="preserve">  -  ניירות ערך (המשך):</w:t>
            </w:r>
          </w:p>
        </w:tc>
      </w:tr>
      <w:tr w:rsidR="00A76B5E" w:rsidRPr="00522CAE" w14:paraId="7E8E1C0C" w14:textId="77777777" w:rsidTr="00E63D14">
        <w:tblPrEx>
          <w:tblLook w:val="0000" w:firstRow="0" w:lastRow="0" w:firstColumn="0" w:lastColumn="0" w:noHBand="0" w:noVBand="0"/>
        </w:tblPrEx>
        <w:trPr>
          <w:trHeight w:val="245"/>
        </w:trPr>
        <w:tc>
          <w:tcPr>
            <w:tcW w:w="1020" w:type="dxa"/>
          </w:tcPr>
          <w:p w14:paraId="46D2B851" w14:textId="77777777" w:rsidR="00A76B5E" w:rsidRDefault="00A76B5E" w:rsidP="00EC46DF">
            <w:pPr>
              <w:pStyle w:val="-7"/>
              <w:spacing w:line="240" w:lineRule="auto"/>
              <w:jc w:val="left"/>
              <w:rPr>
                <w:sz w:val="14"/>
                <w:szCs w:val="14"/>
                <w:rtl/>
              </w:rPr>
            </w:pPr>
            <w:r w:rsidRPr="00522CAE">
              <w:rPr>
                <w:rFonts w:hint="cs"/>
                <w:sz w:val="14"/>
                <w:szCs w:val="14"/>
                <w:rtl/>
              </w:rPr>
              <w:t>ה. המפקח</w:t>
            </w:r>
          </w:p>
          <w:p w14:paraId="4C82D2D8" w14:textId="0796FF74" w:rsidR="00A76B5E" w:rsidRPr="00522CAE" w:rsidRDefault="00A76B5E" w:rsidP="00EC46DF">
            <w:pPr>
              <w:pStyle w:val="-7"/>
              <w:spacing w:line="240" w:lineRule="auto"/>
              <w:jc w:val="left"/>
              <w:rPr>
                <w:sz w:val="14"/>
                <w:szCs w:val="14"/>
                <w:rtl/>
              </w:rPr>
            </w:pPr>
            <w:r w:rsidRPr="00522CAE">
              <w:rPr>
                <w:rFonts w:hint="cs"/>
                <w:sz w:val="14"/>
                <w:szCs w:val="14"/>
                <w:rtl/>
              </w:rPr>
              <w:t xml:space="preserve"> ס' 27ב</w:t>
            </w:r>
          </w:p>
        </w:tc>
        <w:tc>
          <w:tcPr>
            <w:tcW w:w="8626" w:type="dxa"/>
          </w:tcPr>
          <w:p w14:paraId="09A79F12" w14:textId="503D680A" w:rsidR="00A76B5E" w:rsidRPr="00522CAE" w:rsidRDefault="00A76B5E" w:rsidP="00A76B5E">
            <w:pPr>
              <w:pStyle w:val="-f8"/>
              <w:spacing w:before="40"/>
              <w:rPr>
                <w:sz w:val="22"/>
                <w:szCs w:val="22"/>
                <w:rtl/>
              </w:rPr>
            </w:pPr>
            <w:r w:rsidRPr="00522CAE">
              <w:rPr>
                <w:rFonts w:hint="cs"/>
                <w:rtl/>
              </w:rPr>
              <w:t>ג.</w:t>
            </w:r>
            <w:r>
              <w:t xml:space="preserve"> </w:t>
            </w:r>
            <w:r w:rsidRPr="00522CAE">
              <w:rPr>
                <w:rFonts w:hint="cs"/>
                <w:rtl/>
              </w:rPr>
              <w:t xml:space="preserve">פירוט נוסף על בסיס מאוחד לגבי </w:t>
            </w:r>
            <w:r>
              <w:rPr>
                <w:rFonts w:hint="cs"/>
                <w:rtl/>
              </w:rPr>
              <w:t xml:space="preserve">אגרות חוב זמינות למכירה </w:t>
            </w:r>
            <w:r w:rsidRPr="00522CAE">
              <w:rPr>
                <w:rFonts w:hint="cs"/>
                <w:rtl/>
              </w:rPr>
              <w:t>מגוב</w:t>
            </w:r>
            <w:r>
              <w:rPr>
                <w:rFonts w:hint="cs"/>
                <w:rtl/>
              </w:rPr>
              <w:t>ות</w:t>
            </w:r>
            <w:r w:rsidRPr="00522CAE">
              <w:rPr>
                <w:rFonts w:hint="cs"/>
                <w:rtl/>
              </w:rPr>
              <w:t xml:space="preserve"> משכנתאות ומגוב</w:t>
            </w:r>
            <w:r>
              <w:rPr>
                <w:rFonts w:hint="cs"/>
                <w:rtl/>
              </w:rPr>
              <w:t>ות</w:t>
            </w:r>
            <w:r w:rsidRPr="00522CAE">
              <w:rPr>
                <w:rFonts w:hint="cs"/>
                <w:rtl/>
              </w:rPr>
              <w:t xml:space="preserve"> נכסים:</w:t>
            </w:r>
            <w:r w:rsidRPr="00613091" w:rsidDel="009C1959">
              <w:rPr>
                <w:rFonts w:hint="cs"/>
                <w:vertAlign w:val="superscript"/>
                <w:rtl/>
              </w:rPr>
              <w:t xml:space="preserve"> </w:t>
            </w:r>
            <w:r w:rsidRPr="00522CAE">
              <w:rPr>
                <w:rFonts w:hint="cs"/>
                <w:vertAlign w:val="superscript"/>
                <w:rtl/>
              </w:rPr>
              <w:t>[</w:t>
            </w:r>
            <w:r w:rsidRPr="00522CAE">
              <w:rPr>
                <w:rStyle w:val="a7"/>
                <w:rtl/>
              </w:rPr>
              <w:footnoteReference w:id="49"/>
            </w:r>
            <w:r w:rsidRPr="00522CAE">
              <w:rPr>
                <w:rFonts w:hint="cs"/>
                <w:vertAlign w:val="superscript"/>
                <w:rtl/>
              </w:rPr>
              <w:t>]</w:t>
            </w:r>
          </w:p>
        </w:tc>
      </w:tr>
    </w:tbl>
    <w:p w14:paraId="2CD70680" w14:textId="77777777" w:rsidR="0062692D" w:rsidRPr="00522CAE" w:rsidRDefault="0062692D" w:rsidP="0062692D">
      <w:pPr>
        <w:pStyle w:val="-fb"/>
        <w:pBdr>
          <w:right w:val="none" w:sz="0" w:space="0" w:color="auto"/>
        </w:pBdr>
        <w:rPr>
          <w:rtl/>
        </w:rPr>
      </w:pPr>
    </w:p>
    <w:tbl>
      <w:tblPr>
        <w:bidiVisual/>
        <w:tblW w:w="4890" w:type="pct"/>
        <w:tblLook w:val="04A0" w:firstRow="1" w:lastRow="0" w:firstColumn="1" w:lastColumn="0" w:noHBand="0" w:noVBand="1"/>
      </w:tblPr>
      <w:tblGrid>
        <w:gridCol w:w="1304"/>
        <w:gridCol w:w="4531"/>
        <w:gridCol w:w="888"/>
        <w:gridCol w:w="1276"/>
        <w:gridCol w:w="1134"/>
        <w:gridCol w:w="849"/>
      </w:tblGrid>
      <w:tr w:rsidR="00DA42F2" w:rsidRPr="00DA42F2" w14:paraId="7D7635E4" w14:textId="77777777" w:rsidTr="00EC46DF">
        <w:trPr>
          <w:trHeight w:val="245"/>
        </w:trPr>
        <w:tc>
          <w:tcPr>
            <w:tcW w:w="1304" w:type="dxa"/>
          </w:tcPr>
          <w:p w14:paraId="38F8F7AF" w14:textId="77777777" w:rsidR="00DA42F2" w:rsidRPr="00522CAE" w:rsidRDefault="00DA42F2" w:rsidP="00DA42F2">
            <w:pPr>
              <w:pStyle w:val="-0"/>
              <w:rPr>
                <w:color w:val="auto"/>
                <w:sz w:val="14"/>
                <w:szCs w:val="14"/>
                <w:rtl/>
              </w:rPr>
            </w:pPr>
            <w:r w:rsidRPr="00522CAE">
              <w:rPr>
                <w:rFonts w:hint="cs"/>
                <w:color w:val="auto"/>
                <w:sz w:val="14"/>
                <w:szCs w:val="14"/>
                <w:rtl/>
              </w:rPr>
              <w:t>מתכונת</w:t>
            </w:r>
            <w:r w:rsidRPr="00522CAE">
              <w:rPr>
                <w:color w:val="auto"/>
                <w:sz w:val="14"/>
                <w:szCs w:val="14"/>
                <w:rtl/>
              </w:rPr>
              <w:t xml:space="preserve"> ביאור</w:t>
            </w:r>
            <w:r w:rsidRPr="00522CAE">
              <w:rPr>
                <w:rFonts w:hint="eastAsia"/>
                <w:color w:val="auto"/>
                <w:sz w:val="14"/>
                <w:szCs w:val="14"/>
                <w:rtl/>
              </w:rPr>
              <w:t xml:space="preserve"> </w:t>
            </w:r>
          </w:p>
          <w:p w14:paraId="04F987BB" w14:textId="4242CBF1" w:rsidR="00DA42F2" w:rsidRPr="00DA42F2" w:rsidRDefault="00DA42F2" w:rsidP="00DA42F2">
            <w:pPr>
              <w:spacing w:line="241" w:lineRule="auto"/>
              <w:ind w:left="144" w:hanging="144"/>
              <w:jc w:val="left"/>
              <w:rPr>
                <w:color w:val="000000"/>
                <w:rtl/>
                <w:lang w:eastAsia="he-IL"/>
              </w:rPr>
            </w:pPr>
            <w:r w:rsidRPr="00522CAE">
              <w:rPr>
                <w:rFonts w:hint="eastAsia"/>
                <w:sz w:val="14"/>
                <w:szCs w:val="14"/>
                <w:rtl/>
              </w:rPr>
              <w:t>עמ</w:t>
            </w:r>
            <w:r w:rsidRPr="00522CAE">
              <w:rPr>
                <w:sz w:val="14"/>
                <w:szCs w:val="14"/>
                <w:rtl/>
              </w:rPr>
              <w:t xml:space="preserve">' </w:t>
            </w:r>
            <w:r w:rsidRPr="00522CAE">
              <w:rPr>
                <w:rFonts w:hint="cs"/>
                <w:sz w:val="14"/>
                <w:szCs w:val="14"/>
                <w:rtl/>
              </w:rPr>
              <w:t>6</w:t>
            </w:r>
            <w:r>
              <w:rPr>
                <w:rFonts w:hint="cs"/>
                <w:sz w:val="14"/>
                <w:szCs w:val="14"/>
                <w:rtl/>
              </w:rPr>
              <w:t>63</w:t>
            </w:r>
            <w:r w:rsidRPr="00522CAE">
              <w:rPr>
                <w:rFonts w:hint="cs"/>
                <w:sz w:val="14"/>
                <w:szCs w:val="14"/>
                <w:rtl/>
              </w:rPr>
              <w:t>-24</w:t>
            </w:r>
          </w:p>
        </w:tc>
        <w:tc>
          <w:tcPr>
            <w:tcW w:w="4531" w:type="dxa"/>
            <w:vAlign w:val="bottom"/>
          </w:tcPr>
          <w:p w14:paraId="73D8B5B8" w14:textId="77777777" w:rsidR="00DA42F2" w:rsidRPr="00DA42F2" w:rsidRDefault="00DA42F2" w:rsidP="00DA42F2">
            <w:pPr>
              <w:spacing w:line="241" w:lineRule="auto"/>
              <w:ind w:left="144" w:hanging="144"/>
              <w:jc w:val="left"/>
              <w:rPr>
                <w:color w:val="000000"/>
                <w:rtl/>
                <w:lang w:eastAsia="he-IL"/>
              </w:rPr>
            </w:pPr>
          </w:p>
        </w:tc>
        <w:tc>
          <w:tcPr>
            <w:tcW w:w="4147" w:type="dxa"/>
            <w:gridSpan w:val="4"/>
            <w:vAlign w:val="bottom"/>
          </w:tcPr>
          <w:p w14:paraId="5BC05B2A" w14:textId="4A47851D" w:rsidR="00DA42F2" w:rsidRPr="00DA42F2" w:rsidRDefault="00DA42F2" w:rsidP="00DA42F2">
            <w:pPr>
              <w:pBdr>
                <w:bottom w:val="single" w:sz="4" w:space="1" w:color="auto"/>
              </w:pBdr>
              <w:spacing w:line="241" w:lineRule="auto"/>
              <w:jc w:val="center"/>
              <w:rPr>
                <w:b/>
                <w:bCs/>
                <w:rtl/>
              </w:rPr>
            </w:pPr>
            <w:r w:rsidRPr="000446FA">
              <w:rPr>
                <w:rFonts w:hint="cs"/>
                <w:b/>
                <w:bCs/>
                <w:sz w:val="18"/>
                <w:szCs w:val="18"/>
                <w:rtl/>
              </w:rPr>
              <w:t xml:space="preserve">ליום 30 ביוני </w:t>
            </w:r>
            <w:r w:rsidRPr="000446FA">
              <w:rPr>
                <w:b/>
                <w:bCs/>
                <w:sz w:val="18"/>
                <w:szCs w:val="18"/>
                <w:rtl/>
              </w:rPr>
              <w:fldChar w:fldCharType="begin"/>
            </w:r>
            <w:r w:rsidRPr="000446FA">
              <w:rPr>
                <w:b/>
                <w:bCs/>
                <w:sz w:val="18"/>
                <w:szCs w:val="18"/>
                <w:rtl/>
              </w:rPr>
              <w:instrText xml:space="preserve"> </w:instrText>
            </w:r>
            <w:r w:rsidRPr="000446FA">
              <w:rPr>
                <w:rFonts w:hint="cs"/>
                <w:b/>
                <w:bCs/>
                <w:sz w:val="18"/>
                <w:szCs w:val="18"/>
                <w:rtl/>
              </w:rPr>
              <w:instrText xml:space="preserve">= </w:instrText>
            </w:r>
            <w:r w:rsidRPr="000446FA">
              <w:rPr>
                <w:rFonts w:hint="cs"/>
                <w:b/>
                <w:bCs/>
                <w:sz w:val="18"/>
                <w:szCs w:val="18"/>
              </w:rPr>
              <w:instrText>CY \* MERGEFORMAT</w:instrText>
            </w:r>
            <w:r w:rsidRPr="000446FA">
              <w:rPr>
                <w:b/>
                <w:bCs/>
                <w:sz w:val="18"/>
                <w:szCs w:val="18"/>
                <w:rtl/>
              </w:rPr>
              <w:instrText xml:space="preserve"> </w:instrText>
            </w:r>
            <w:r w:rsidRPr="000446FA">
              <w:rPr>
                <w:b/>
                <w:bCs/>
                <w:sz w:val="18"/>
                <w:szCs w:val="18"/>
                <w:rtl/>
              </w:rPr>
              <w:fldChar w:fldCharType="separate"/>
            </w:r>
            <w:r w:rsidR="003A584F">
              <w:rPr>
                <w:b/>
                <w:bCs/>
                <w:noProof/>
                <w:sz w:val="18"/>
                <w:szCs w:val="18"/>
                <w:rtl/>
              </w:rPr>
              <w:t>2024</w:t>
            </w:r>
            <w:r w:rsidRPr="000446FA">
              <w:rPr>
                <w:b/>
                <w:bCs/>
                <w:sz w:val="18"/>
                <w:szCs w:val="18"/>
                <w:rtl/>
              </w:rPr>
              <w:fldChar w:fldCharType="end"/>
            </w:r>
            <w:r w:rsidR="000446FA">
              <w:rPr>
                <w:rFonts w:hint="cs"/>
                <w:b/>
                <w:bCs/>
                <w:rtl/>
              </w:rPr>
              <w:t xml:space="preserve">  </w:t>
            </w:r>
            <w:r w:rsidR="000446FA" w:rsidRPr="000446FA">
              <w:rPr>
                <w:rFonts w:asciiTheme="minorBidi" w:hAnsiTheme="minorBidi" w:cstheme="minorBidi" w:hint="cs"/>
                <w:sz w:val="16"/>
                <w:szCs w:val="16"/>
                <w:rtl/>
              </w:rPr>
              <w:t>(</w:t>
            </w:r>
            <w:r w:rsidR="000446FA" w:rsidRPr="000446FA">
              <w:rPr>
                <w:rFonts w:asciiTheme="minorBidi" w:hAnsiTheme="minorBidi" w:cstheme="minorBidi"/>
                <w:sz w:val="16"/>
                <w:szCs w:val="16"/>
                <w:rtl/>
              </w:rPr>
              <w:t>בלתי מבוקר</w:t>
            </w:r>
            <w:r w:rsidR="000446FA" w:rsidRPr="000446FA">
              <w:rPr>
                <w:rFonts w:asciiTheme="minorBidi" w:hAnsiTheme="minorBidi" w:cstheme="minorBidi" w:hint="cs"/>
                <w:sz w:val="16"/>
                <w:szCs w:val="16"/>
                <w:rtl/>
              </w:rPr>
              <w:t>)</w:t>
            </w:r>
          </w:p>
        </w:tc>
      </w:tr>
      <w:tr w:rsidR="00DA42F2" w:rsidRPr="00DA42F2" w14:paraId="287DC1C9" w14:textId="77777777" w:rsidTr="00EC46DF">
        <w:trPr>
          <w:trHeight w:val="245"/>
        </w:trPr>
        <w:tc>
          <w:tcPr>
            <w:tcW w:w="1304" w:type="dxa"/>
          </w:tcPr>
          <w:p w14:paraId="40D7066E" w14:textId="77777777" w:rsidR="00DA42F2" w:rsidRPr="00DA42F2" w:rsidRDefault="00DA42F2" w:rsidP="00DA42F2">
            <w:pPr>
              <w:spacing w:line="241" w:lineRule="auto"/>
              <w:ind w:left="144" w:hanging="144"/>
              <w:jc w:val="left"/>
              <w:rPr>
                <w:color w:val="000000"/>
                <w:rtl/>
                <w:lang w:eastAsia="he-IL"/>
              </w:rPr>
            </w:pPr>
          </w:p>
        </w:tc>
        <w:tc>
          <w:tcPr>
            <w:tcW w:w="4531" w:type="dxa"/>
            <w:vAlign w:val="bottom"/>
          </w:tcPr>
          <w:p w14:paraId="141E88D3" w14:textId="77777777" w:rsidR="00DA42F2" w:rsidRPr="00DA42F2" w:rsidRDefault="00DA42F2" w:rsidP="00DA42F2">
            <w:pPr>
              <w:spacing w:line="241" w:lineRule="auto"/>
              <w:ind w:left="144" w:hanging="144"/>
              <w:jc w:val="left"/>
              <w:rPr>
                <w:color w:val="000000"/>
                <w:rtl/>
                <w:lang w:eastAsia="he-IL"/>
              </w:rPr>
            </w:pPr>
          </w:p>
        </w:tc>
        <w:tc>
          <w:tcPr>
            <w:tcW w:w="888" w:type="dxa"/>
            <w:vAlign w:val="bottom"/>
          </w:tcPr>
          <w:p w14:paraId="7273B87A" w14:textId="77777777" w:rsidR="00DA42F2" w:rsidRPr="00DA42F2" w:rsidRDefault="00DA42F2" w:rsidP="00DA42F2">
            <w:pPr>
              <w:spacing w:line="241" w:lineRule="auto"/>
              <w:rPr>
                <w:rtl/>
              </w:rPr>
            </w:pPr>
          </w:p>
        </w:tc>
        <w:tc>
          <w:tcPr>
            <w:tcW w:w="2410" w:type="dxa"/>
            <w:gridSpan w:val="2"/>
            <w:vAlign w:val="bottom"/>
          </w:tcPr>
          <w:p w14:paraId="5C791881" w14:textId="77777777" w:rsidR="00DA42F2" w:rsidRPr="00DA42F2" w:rsidRDefault="00DA42F2" w:rsidP="00DA42F2">
            <w:pPr>
              <w:pBdr>
                <w:bottom w:val="single" w:sz="4" w:space="1" w:color="auto"/>
              </w:pBdr>
              <w:spacing w:line="241" w:lineRule="auto"/>
              <w:jc w:val="center"/>
              <w:rPr>
                <w:sz w:val="18"/>
                <w:szCs w:val="18"/>
                <w:rtl/>
              </w:rPr>
            </w:pPr>
            <w:r w:rsidRPr="00DA42F2">
              <w:rPr>
                <w:rFonts w:hint="cs"/>
                <w:b/>
                <w:bCs/>
                <w:sz w:val="18"/>
                <w:szCs w:val="18"/>
                <w:rtl/>
              </w:rPr>
              <w:t>רווח כולל אחר מצטבר</w:t>
            </w:r>
          </w:p>
        </w:tc>
        <w:tc>
          <w:tcPr>
            <w:tcW w:w="849" w:type="dxa"/>
            <w:vAlign w:val="bottom"/>
          </w:tcPr>
          <w:p w14:paraId="2CADF431" w14:textId="77777777" w:rsidR="00DA42F2" w:rsidRPr="00DA42F2" w:rsidRDefault="00DA42F2" w:rsidP="00DA42F2">
            <w:pPr>
              <w:spacing w:line="241" w:lineRule="auto"/>
              <w:rPr>
                <w:rtl/>
              </w:rPr>
            </w:pPr>
          </w:p>
        </w:tc>
      </w:tr>
      <w:tr w:rsidR="00DA42F2" w:rsidRPr="00DA42F2" w14:paraId="41549EAD" w14:textId="77777777" w:rsidTr="00EC46DF">
        <w:trPr>
          <w:trHeight w:val="245"/>
        </w:trPr>
        <w:tc>
          <w:tcPr>
            <w:tcW w:w="1304" w:type="dxa"/>
          </w:tcPr>
          <w:p w14:paraId="7B800885" w14:textId="77777777" w:rsidR="00DA42F2" w:rsidRPr="00DA42F2" w:rsidRDefault="00DA42F2" w:rsidP="00DA42F2">
            <w:pPr>
              <w:spacing w:line="160" w:lineRule="exact"/>
              <w:ind w:left="144" w:hanging="144"/>
              <w:jc w:val="left"/>
              <w:rPr>
                <w:color w:val="000000"/>
                <w:rtl/>
                <w:lang w:eastAsia="he-IL"/>
              </w:rPr>
            </w:pPr>
          </w:p>
        </w:tc>
        <w:tc>
          <w:tcPr>
            <w:tcW w:w="4531" w:type="dxa"/>
            <w:vAlign w:val="bottom"/>
          </w:tcPr>
          <w:p w14:paraId="79D3C19C" w14:textId="77777777" w:rsidR="00DA42F2" w:rsidRPr="00DA42F2" w:rsidRDefault="00DA42F2" w:rsidP="00DA42F2">
            <w:pPr>
              <w:spacing w:line="160" w:lineRule="exact"/>
              <w:ind w:left="144" w:hanging="144"/>
              <w:jc w:val="left"/>
              <w:rPr>
                <w:color w:val="000000"/>
                <w:rtl/>
                <w:lang w:eastAsia="he-IL"/>
              </w:rPr>
            </w:pPr>
          </w:p>
        </w:tc>
        <w:tc>
          <w:tcPr>
            <w:tcW w:w="888" w:type="dxa"/>
            <w:vAlign w:val="bottom"/>
          </w:tcPr>
          <w:p w14:paraId="4BB78212" w14:textId="77777777" w:rsidR="00DA42F2" w:rsidRPr="00DA42F2" w:rsidRDefault="00DA42F2" w:rsidP="00DA42F2">
            <w:pPr>
              <w:pBdr>
                <w:bottom w:val="single" w:sz="4" w:space="1" w:color="auto"/>
              </w:pBdr>
              <w:spacing w:line="160" w:lineRule="exact"/>
              <w:jc w:val="center"/>
              <w:rPr>
                <w:sz w:val="17"/>
                <w:szCs w:val="17"/>
                <w:rtl/>
              </w:rPr>
            </w:pPr>
            <w:r w:rsidRPr="00DA42F2">
              <w:rPr>
                <w:rFonts w:hint="cs"/>
                <w:b/>
                <w:bCs/>
                <w:sz w:val="17"/>
                <w:szCs w:val="17"/>
                <w:rtl/>
              </w:rPr>
              <w:t>עלות מופחתת</w:t>
            </w:r>
          </w:p>
        </w:tc>
        <w:tc>
          <w:tcPr>
            <w:tcW w:w="1276" w:type="dxa"/>
            <w:vAlign w:val="bottom"/>
          </w:tcPr>
          <w:p w14:paraId="5A05C4E1" w14:textId="77777777" w:rsidR="00DA42F2" w:rsidRPr="00DA42F2" w:rsidRDefault="00DA42F2" w:rsidP="00DA42F2">
            <w:pPr>
              <w:pBdr>
                <w:bottom w:val="single" w:sz="4" w:space="1" w:color="auto"/>
              </w:pBdr>
              <w:spacing w:line="160" w:lineRule="exact"/>
              <w:jc w:val="center"/>
              <w:rPr>
                <w:sz w:val="17"/>
                <w:szCs w:val="17"/>
                <w:rtl/>
              </w:rPr>
            </w:pPr>
            <w:r w:rsidRPr="00DA42F2">
              <w:rPr>
                <w:rFonts w:hint="cs"/>
                <w:b/>
                <w:bCs/>
                <w:sz w:val="17"/>
                <w:szCs w:val="17"/>
                <w:rtl/>
              </w:rPr>
              <w:t>רווחים</w:t>
            </w:r>
          </w:p>
          <w:p w14:paraId="2A5ECB80" w14:textId="77777777" w:rsidR="00DA42F2" w:rsidRPr="00DA42F2" w:rsidRDefault="00DA42F2" w:rsidP="00DA42F2">
            <w:pPr>
              <w:pBdr>
                <w:bottom w:val="single" w:sz="4" w:space="1" w:color="auto"/>
              </w:pBdr>
              <w:spacing w:line="160" w:lineRule="exact"/>
              <w:jc w:val="center"/>
              <w:rPr>
                <w:sz w:val="17"/>
                <w:szCs w:val="17"/>
                <w:rtl/>
              </w:rPr>
            </w:pPr>
            <w:r w:rsidRPr="00DA42F2">
              <w:rPr>
                <w:rFonts w:hint="cs"/>
                <w:b/>
                <w:bCs/>
                <w:sz w:val="17"/>
                <w:szCs w:val="17"/>
                <w:rtl/>
              </w:rPr>
              <w:t>שטרם מומשו מהתאמות לשווי הוגן</w:t>
            </w:r>
          </w:p>
        </w:tc>
        <w:tc>
          <w:tcPr>
            <w:tcW w:w="1134" w:type="dxa"/>
            <w:vAlign w:val="bottom"/>
          </w:tcPr>
          <w:p w14:paraId="11B1A639" w14:textId="77777777" w:rsidR="00DA42F2" w:rsidRPr="00DA42F2" w:rsidRDefault="00DA42F2" w:rsidP="00DA42F2">
            <w:pPr>
              <w:pBdr>
                <w:bottom w:val="single" w:sz="4" w:space="1" w:color="auto"/>
              </w:pBdr>
              <w:spacing w:line="160" w:lineRule="exact"/>
              <w:jc w:val="center"/>
              <w:rPr>
                <w:sz w:val="17"/>
                <w:szCs w:val="17"/>
                <w:rtl/>
              </w:rPr>
            </w:pPr>
            <w:r w:rsidRPr="00DA42F2">
              <w:rPr>
                <w:rFonts w:hint="cs"/>
                <w:b/>
                <w:bCs/>
                <w:sz w:val="17"/>
                <w:szCs w:val="17"/>
                <w:rtl/>
              </w:rPr>
              <w:t>הפסדים שטרם מומשו מהתאמות לשווי הוגן</w:t>
            </w:r>
          </w:p>
        </w:tc>
        <w:tc>
          <w:tcPr>
            <w:tcW w:w="849" w:type="dxa"/>
            <w:vAlign w:val="bottom"/>
          </w:tcPr>
          <w:p w14:paraId="67429F70" w14:textId="77777777" w:rsidR="00DA42F2" w:rsidRPr="00DA42F2" w:rsidRDefault="00DA42F2" w:rsidP="00DA42F2">
            <w:pPr>
              <w:pBdr>
                <w:bottom w:val="single" w:sz="4" w:space="1" w:color="auto"/>
              </w:pBdr>
              <w:spacing w:line="160" w:lineRule="exact"/>
              <w:jc w:val="center"/>
              <w:rPr>
                <w:sz w:val="17"/>
                <w:szCs w:val="17"/>
                <w:rtl/>
              </w:rPr>
            </w:pPr>
            <w:r w:rsidRPr="00DA42F2">
              <w:rPr>
                <w:rFonts w:hint="cs"/>
                <w:b/>
                <w:bCs/>
                <w:sz w:val="17"/>
                <w:szCs w:val="17"/>
                <w:rtl/>
              </w:rPr>
              <w:t>שווי</w:t>
            </w:r>
          </w:p>
          <w:p w14:paraId="01EB7783" w14:textId="77777777" w:rsidR="00DA42F2" w:rsidRPr="00DA42F2" w:rsidRDefault="00DA42F2" w:rsidP="00DA42F2">
            <w:pPr>
              <w:pBdr>
                <w:bottom w:val="single" w:sz="4" w:space="1" w:color="auto"/>
              </w:pBdr>
              <w:spacing w:line="160" w:lineRule="exact"/>
              <w:jc w:val="center"/>
              <w:rPr>
                <w:sz w:val="17"/>
                <w:szCs w:val="17"/>
                <w:rtl/>
              </w:rPr>
            </w:pPr>
            <w:r w:rsidRPr="00DA42F2">
              <w:rPr>
                <w:rFonts w:hint="cs"/>
                <w:b/>
                <w:bCs/>
                <w:sz w:val="17"/>
                <w:szCs w:val="17"/>
                <w:rtl/>
              </w:rPr>
              <w:t>הוגן</w:t>
            </w:r>
          </w:p>
        </w:tc>
      </w:tr>
      <w:tr w:rsidR="00DA42F2" w:rsidRPr="00DA42F2" w14:paraId="0F683216" w14:textId="77777777" w:rsidTr="00EC46DF">
        <w:trPr>
          <w:trHeight w:val="245"/>
        </w:trPr>
        <w:tc>
          <w:tcPr>
            <w:tcW w:w="1304" w:type="dxa"/>
          </w:tcPr>
          <w:p w14:paraId="665834A1" w14:textId="77777777" w:rsidR="00DA42F2" w:rsidRPr="00DA42F2" w:rsidRDefault="00DA42F2" w:rsidP="00206490">
            <w:pPr>
              <w:spacing w:line="216" w:lineRule="auto"/>
              <w:ind w:left="144" w:hanging="144"/>
              <w:jc w:val="left"/>
              <w:rPr>
                <w:color w:val="000000"/>
                <w:rtl/>
                <w:lang w:eastAsia="he-IL"/>
              </w:rPr>
            </w:pPr>
          </w:p>
        </w:tc>
        <w:tc>
          <w:tcPr>
            <w:tcW w:w="4531" w:type="dxa"/>
            <w:vAlign w:val="bottom"/>
          </w:tcPr>
          <w:p w14:paraId="60E7F6E7" w14:textId="77777777" w:rsidR="00DA42F2" w:rsidRPr="00DA42F2" w:rsidRDefault="00DA42F2" w:rsidP="00D6057D">
            <w:pPr>
              <w:numPr>
                <w:ilvl w:val="0"/>
                <w:numId w:val="25"/>
              </w:numPr>
              <w:spacing w:line="216" w:lineRule="auto"/>
              <w:ind w:left="267" w:hanging="267"/>
              <w:jc w:val="left"/>
              <w:rPr>
                <w:b/>
                <w:bCs/>
                <w:color w:val="000000"/>
                <w:rtl/>
                <w:lang w:eastAsia="he-IL"/>
              </w:rPr>
            </w:pPr>
            <w:r w:rsidRPr="00DA42F2">
              <w:rPr>
                <w:rFonts w:hint="cs"/>
                <w:b/>
                <w:bCs/>
                <w:rtl/>
                <w:lang w:eastAsia="he-IL"/>
              </w:rPr>
              <w:t xml:space="preserve">אגרות חוב </w:t>
            </w:r>
            <w:r w:rsidRPr="00DA42F2">
              <w:rPr>
                <w:rFonts w:hint="cs"/>
                <w:b/>
                <w:bCs/>
                <w:color w:val="000000"/>
                <w:rtl/>
                <w:lang w:eastAsia="he-IL"/>
              </w:rPr>
              <w:t>מגובות משכנתאות</w:t>
            </w:r>
            <w:r w:rsidRPr="007F5094">
              <w:rPr>
                <w:rFonts w:hint="cs"/>
                <w:b/>
                <w:bCs/>
                <w:color w:val="000000"/>
                <w:sz w:val="18"/>
                <w:szCs w:val="18"/>
                <w:rtl/>
                <w:lang w:eastAsia="he-IL"/>
              </w:rPr>
              <w:t xml:space="preserve"> (</w:t>
            </w:r>
            <w:r w:rsidRPr="007F5094">
              <w:rPr>
                <w:rFonts w:hint="cs"/>
                <w:b/>
                <w:bCs/>
                <w:color w:val="000000"/>
                <w:sz w:val="18"/>
                <w:szCs w:val="18"/>
                <w:lang w:eastAsia="he-IL"/>
              </w:rPr>
              <w:t>MBS</w:t>
            </w:r>
            <w:r w:rsidRPr="007F5094">
              <w:rPr>
                <w:rFonts w:hint="cs"/>
                <w:b/>
                <w:bCs/>
                <w:color w:val="000000"/>
                <w:sz w:val="18"/>
                <w:szCs w:val="18"/>
                <w:rtl/>
                <w:lang w:eastAsia="he-IL"/>
              </w:rPr>
              <w:t>):</w:t>
            </w:r>
          </w:p>
        </w:tc>
        <w:tc>
          <w:tcPr>
            <w:tcW w:w="888" w:type="dxa"/>
            <w:vAlign w:val="bottom"/>
          </w:tcPr>
          <w:p w14:paraId="3DF7E3C5" w14:textId="77777777" w:rsidR="00DA42F2" w:rsidRPr="00DA42F2" w:rsidRDefault="00DA42F2" w:rsidP="00206490">
            <w:pPr>
              <w:spacing w:line="216" w:lineRule="auto"/>
              <w:rPr>
                <w:rtl/>
              </w:rPr>
            </w:pPr>
          </w:p>
        </w:tc>
        <w:tc>
          <w:tcPr>
            <w:tcW w:w="1276" w:type="dxa"/>
            <w:vAlign w:val="bottom"/>
          </w:tcPr>
          <w:p w14:paraId="69E9CCF6" w14:textId="77777777" w:rsidR="00DA42F2" w:rsidRPr="00DA42F2" w:rsidRDefault="00DA42F2" w:rsidP="00206490">
            <w:pPr>
              <w:spacing w:line="216" w:lineRule="auto"/>
              <w:rPr>
                <w:rtl/>
              </w:rPr>
            </w:pPr>
          </w:p>
        </w:tc>
        <w:tc>
          <w:tcPr>
            <w:tcW w:w="1134" w:type="dxa"/>
            <w:vAlign w:val="bottom"/>
          </w:tcPr>
          <w:p w14:paraId="4968F5BF" w14:textId="77777777" w:rsidR="00DA42F2" w:rsidRPr="00DA42F2" w:rsidRDefault="00DA42F2" w:rsidP="00206490">
            <w:pPr>
              <w:spacing w:line="216" w:lineRule="auto"/>
              <w:rPr>
                <w:rtl/>
              </w:rPr>
            </w:pPr>
          </w:p>
        </w:tc>
        <w:tc>
          <w:tcPr>
            <w:tcW w:w="849" w:type="dxa"/>
            <w:vAlign w:val="bottom"/>
          </w:tcPr>
          <w:p w14:paraId="5AA88E4E" w14:textId="77777777" w:rsidR="00DA42F2" w:rsidRPr="00DA42F2" w:rsidRDefault="00DA42F2" w:rsidP="00206490">
            <w:pPr>
              <w:spacing w:line="216" w:lineRule="auto"/>
              <w:rPr>
                <w:rtl/>
              </w:rPr>
            </w:pPr>
          </w:p>
        </w:tc>
      </w:tr>
      <w:tr w:rsidR="00DA42F2" w:rsidRPr="00DA42F2" w14:paraId="1E8B24B9" w14:textId="77777777" w:rsidTr="00EC46DF">
        <w:trPr>
          <w:trHeight w:val="245"/>
        </w:trPr>
        <w:tc>
          <w:tcPr>
            <w:tcW w:w="1304" w:type="dxa"/>
          </w:tcPr>
          <w:p w14:paraId="2B56311D" w14:textId="77777777" w:rsidR="00DA42F2" w:rsidRPr="00DA42F2" w:rsidRDefault="00DA42F2" w:rsidP="00206490">
            <w:pPr>
              <w:spacing w:line="216" w:lineRule="auto"/>
              <w:ind w:left="144" w:hanging="144"/>
              <w:jc w:val="left"/>
              <w:rPr>
                <w:color w:val="000000"/>
                <w:rtl/>
                <w:lang w:eastAsia="he-IL"/>
              </w:rPr>
            </w:pPr>
          </w:p>
        </w:tc>
        <w:tc>
          <w:tcPr>
            <w:tcW w:w="4531" w:type="dxa"/>
            <w:vAlign w:val="bottom"/>
          </w:tcPr>
          <w:p w14:paraId="24A6E514" w14:textId="77777777" w:rsidR="00DA42F2" w:rsidRPr="00206490" w:rsidRDefault="00DA42F2" w:rsidP="00206490">
            <w:pPr>
              <w:spacing w:line="216" w:lineRule="auto"/>
              <w:ind w:left="542" w:hanging="275"/>
              <w:jc w:val="left"/>
              <w:rPr>
                <w:color w:val="000000"/>
                <w:sz w:val="18"/>
                <w:szCs w:val="18"/>
                <w:rtl/>
                <w:lang w:eastAsia="he-IL"/>
              </w:rPr>
            </w:pPr>
            <w:r w:rsidRPr="00206490">
              <w:rPr>
                <w:rFonts w:hint="cs"/>
                <w:rtl/>
                <w:lang w:eastAsia="he-IL"/>
              </w:rPr>
              <w:t xml:space="preserve">אגרות חוב </w:t>
            </w:r>
            <w:r w:rsidRPr="00206490">
              <w:rPr>
                <w:rFonts w:hint="cs"/>
                <w:color w:val="000000"/>
                <w:rtl/>
                <w:lang w:eastAsia="he-IL"/>
              </w:rPr>
              <w:t>מסוג העבר באמצעות</w:t>
            </w:r>
            <w:r w:rsidRPr="00206490">
              <w:rPr>
                <w:rFonts w:hint="cs"/>
                <w:color w:val="000000"/>
                <w:sz w:val="18"/>
                <w:szCs w:val="18"/>
                <w:rtl/>
                <w:lang w:eastAsia="he-IL"/>
              </w:rPr>
              <w:t xml:space="preserve"> (</w:t>
            </w:r>
            <w:r w:rsidRPr="00206490">
              <w:rPr>
                <w:color w:val="000000"/>
                <w:sz w:val="16"/>
                <w:szCs w:val="16"/>
                <w:lang w:eastAsia="he-IL"/>
              </w:rPr>
              <w:t>Pass Through</w:t>
            </w:r>
            <w:r w:rsidRPr="00206490">
              <w:rPr>
                <w:rFonts w:hint="cs"/>
                <w:color w:val="000000"/>
                <w:sz w:val="16"/>
                <w:szCs w:val="16"/>
                <w:rtl/>
                <w:lang w:eastAsia="he-IL"/>
              </w:rPr>
              <w:t>):</w:t>
            </w:r>
          </w:p>
        </w:tc>
        <w:tc>
          <w:tcPr>
            <w:tcW w:w="888" w:type="dxa"/>
            <w:vAlign w:val="bottom"/>
          </w:tcPr>
          <w:p w14:paraId="31AEE4F1" w14:textId="77777777" w:rsidR="00DA42F2" w:rsidRPr="00DA42F2" w:rsidRDefault="00DA42F2" w:rsidP="00206490">
            <w:pPr>
              <w:pBdr>
                <w:bottom w:val="single" w:sz="4" w:space="1" w:color="auto"/>
              </w:pBdr>
              <w:spacing w:line="216" w:lineRule="auto"/>
              <w:rPr>
                <w:b/>
                <w:bCs/>
                <w:rtl/>
              </w:rPr>
            </w:pPr>
            <w:r w:rsidRPr="00DA42F2">
              <w:rPr>
                <w:rFonts w:hint="cs"/>
                <w:b/>
                <w:bCs/>
                <w:rtl/>
              </w:rPr>
              <w:t xml:space="preserve"> 0</w:t>
            </w:r>
          </w:p>
        </w:tc>
        <w:tc>
          <w:tcPr>
            <w:tcW w:w="1276" w:type="dxa"/>
            <w:vAlign w:val="bottom"/>
          </w:tcPr>
          <w:p w14:paraId="1D91BFA1" w14:textId="77777777" w:rsidR="00DA42F2" w:rsidRPr="00DA42F2" w:rsidRDefault="00DA42F2" w:rsidP="00206490">
            <w:pPr>
              <w:pBdr>
                <w:bottom w:val="single" w:sz="4" w:space="1" w:color="auto"/>
              </w:pBdr>
              <w:spacing w:line="216" w:lineRule="auto"/>
              <w:rPr>
                <w:b/>
                <w:bCs/>
                <w:rtl/>
              </w:rPr>
            </w:pPr>
            <w:r w:rsidRPr="00DA42F2">
              <w:rPr>
                <w:rFonts w:hint="cs"/>
                <w:b/>
                <w:bCs/>
                <w:rtl/>
              </w:rPr>
              <w:t xml:space="preserve"> 0</w:t>
            </w:r>
          </w:p>
        </w:tc>
        <w:tc>
          <w:tcPr>
            <w:tcW w:w="1134" w:type="dxa"/>
            <w:vAlign w:val="bottom"/>
          </w:tcPr>
          <w:p w14:paraId="7B71414D" w14:textId="77777777" w:rsidR="00DA42F2" w:rsidRPr="00DA42F2" w:rsidRDefault="00DA42F2" w:rsidP="00206490">
            <w:pPr>
              <w:pBdr>
                <w:bottom w:val="single" w:sz="4" w:space="1" w:color="auto"/>
              </w:pBdr>
              <w:spacing w:line="216" w:lineRule="auto"/>
              <w:rPr>
                <w:b/>
                <w:bCs/>
                <w:rtl/>
              </w:rPr>
            </w:pPr>
            <w:r w:rsidRPr="00DA42F2">
              <w:rPr>
                <w:rFonts w:hint="cs"/>
                <w:b/>
                <w:bCs/>
                <w:rtl/>
              </w:rPr>
              <w:t xml:space="preserve"> 0</w:t>
            </w:r>
          </w:p>
        </w:tc>
        <w:tc>
          <w:tcPr>
            <w:tcW w:w="849" w:type="dxa"/>
            <w:vAlign w:val="bottom"/>
          </w:tcPr>
          <w:p w14:paraId="42E3218E" w14:textId="77777777" w:rsidR="00DA42F2" w:rsidRPr="00DA42F2" w:rsidRDefault="00DA42F2" w:rsidP="00206490">
            <w:pPr>
              <w:pBdr>
                <w:bottom w:val="single" w:sz="4" w:space="1" w:color="auto"/>
              </w:pBdr>
              <w:spacing w:line="216" w:lineRule="auto"/>
              <w:rPr>
                <w:b/>
                <w:bCs/>
                <w:rtl/>
              </w:rPr>
            </w:pPr>
            <w:r w:rsidRPr="00DA42F2">
              <w:rPr>
                <w:rFonts w:hint="cs"/>
                <w:b/>
                <w:bCs/>
                <w:rtl/>
              </w:rPr>
              <w:t xml:space="preserve"> 0</w:t>
            </w:r>
          </w:p>
        </w:tc>
      </w:tr>
      <w:tr w:rsidR="00DA42F2" w:rsidRPr="00DA42F2" w14:paraId="1667CCB5" w14:textId="77777777" w:rsidTr="00EC46DF">
        <w:trPr>
          <w:trHeight w:val="245"/>
        </w:trPr>
        <w:tc>
          <w:tcPr>
            <w:tcW w:w="1304" w:type="dxa"/>
          </w:tcPr>
          <w:p w14:paraId="5B0C8268" w14:textId="77777777" w:rsidR="00DA42F2" w:rsidRPr="00DA42F2" w:rsidRDefault="00DA42F2" w:rsidP="00206490">
            <w:pPr>
              <w:spacing w:line="216" w:lineRule="auto"/>
              <w:ind w:left="144" w:hanging="144"/>
              <w:jc w:val="left"/>
              <w:rPr>
                <w:color w:val="000000"/>
                <w:rtl/>
                <w:lang w:eastAsia="he-IL"/>
              </w:rPr>
            </w:pPr>
          </w:p>
        </w:tc>
        <w:tc>
          <w:tcPr>
            <w:tcW w:w="4531" w:type="dxa"/>
            <w:vAlign w:val="bottom"/>
          </w:tcPr>
          <w:p w14:paraId="09F3A846" w14:textId="77777777" w:rsidR="00DA42F2" w:rsidRPr="00DA42F2" w:rsidRDefault="00DA42F2" w:rsidP="007F5094">
            <w:pPr>
              <w:spacing w:line="216" w:lineRule="auto"/>
              <w:ind w:left="542" w:hanging="275"/>
              <w:jc w:val="left"/>
              <w:rPr>
                <w:color w:val="000000"/>
                <w:sz w:val="18"/>
                <w:szCs w:val="18"/>
                <w:rtl/>
                <w:lang w:eastAsia="he-IL"/>
              </w:rPr>
            </w:pPr>
            <w:r w:rsidRPr="00DA42F2">
              <w:rPr>
                <w:rFonts w:hint="cs"/>
                <w:color w:val="000000"/>
                <w:sz w:val="18"/>
                <w:szCs w:val="18"/>
                <w:rtl/>
                <w:lang w:eastAsia="he-IL"/>
              </w:rPr>
              <w:t>מזה:</w:t>
            </w:r>
            <w:r w:rsidRPr="00DA42F2">
              <w:rPr>
                <w:color w:val="000000"/>
                <w:vertAlign w:val="superscript"/>
                <w:rtl/>
                <w:lang w:eastAsia="he-IL"/>
              </w:rPr>
              <w:t>[</w:t>
            </w:r>
            <w:r w:rsidRPr="00DA42F2">
              <w:rPr>
                <w:vertAlign w:val="superscript"/>
                <w:rtl/>
                <w:lang w:eastAsia="he-IL"/>
              </w:rPr>
              <w:footnoteReference w:id="50"/>
            </w:r>
            <w:r w:rsidRPr="00DA42F2">
              <w:rPr>
                <w:color w:val="000000"/>
                <w:vertAlign w:val="superscript"/>
                <w:rtl/>
                <w:lang w:eastAsia="he-IL"/>
              </w:rPr>
              <w:t>]</w:t>
            </w:r>
          </w:p>
        </w:tc>
        <w:tc>
          <w:tcPr>
            <w:tcW w:w="888" w:type="dxa"/>
            <w:vAlign w:val="bottom"/>
          </w:tcPr>
          <w:p w14:paraId="638B4CC2" w14:textId="77777777" w:rsidR="00DA42F2" w:rsidRPr="00DA42F2" w:rsidRDefault="00DA42F2" w:rsidP="00206490">
            <w:pPr>
              <w:spacing w:line="216" w:lineRule="auto"/>
              <w:rPr>
                <w:rtl/>
              </w:rPr>
            </w:pPr>
          </w:p>
        </w:tc>
        <w:tc>
          <w:tcPr>
            <w:tcW w:w="1276" w:type="dxa"/>
            <w:vAlign w:val="bottom"/>
          </w:tcPr>
          <w:p w14:paraId="720CABAE" w14:textId="77777777" w:rsidR="00DA42F2" w:rsidRPr="00DA42F2" w:rsidRDefault="00DA42F2" w:rsidP="00206490">
            <w:pPr>
              <w:spacing w:line="216" w:lineRule="auto"/>
              <w:rPr>
                <w:rtl/>
              </w:rPr>
            </w:pPr>
          </w:p>
        </w:tc>
        <w:tc>
          <w:tcPr>
            <w:tcW w:w="1134" w:type="dxa"/>
            <w:vAlign w:val="bottom"/>
          </w:tcPr>
          <w:p w14:paraId="6B23200E" w14:textId="77777777" w:rsidR="00DA42F2" w:rsidRPr="00DA42F2" w:rsidRDefault="00DA42F2" w:rsidP="00206490">
            <w:pPr>
              <w:spacing w:line="216" w:lineRule="auto"/>
              <w:rPr>
                <w:rtl/>
              </w:rPr>
            </w:pPr>
          </w:p>
        </w:tc>
        <w:tc>
          <w:tcPr>
            <w:tcW w:w="849" w:type="dxa"/>
            <w:vAlign w:val="bottom"/>
          </w:tcPr>
          <w:p w14:paraId="3D919E04" w14:textId="77777777" w:rsidR="00DA42F2" w:rsidRPr="00DA42F2" w:rsidRDefault="00DA42F2" w:rsidP="00206490">
            <w:pPr>
              <w:spacing w:line="216" w:lineRule="auto"/>
              <w:rPr>
                <w:rtl/>
              </w:rPr>
            </w:pPr>
          </w:p>
        </w:tc>
      </w:tr>
      <w:tr w:rsidR="00DA42F2" w:rsidRPr="00DA42F2" w14:paraId="22B9AA7B" w14:textId="77777777" w:rsidTr="00EC46DF">
        <w:trPr>
          <w:trHeight w:val="245"/>
        </w:trPr>
        <w:tc>
          <w:tcPr>
            <w:tcW w:w="1304" w:type="dxa"/>
          </w:tcPr>
          <w:p w14:paraId="2724F9A6" w14:textId="77777777" w:rsidR="00DA42F2" w:rsidRPr="00DA42F2" w:rsidRDefault="00DA42F2" w:rsidP="00206490">
            <w:pPr>
              <w:spacing w:line="216" w:lineRule="auto"/>
              <w:ind w:left="144" w:hanging="144"/>
              <w:jc w:val="left"/>
              <w:rPr>
                <w:color w:val="000000"/>
                <w:rtl/>
                <w:lang w:eastAsia="he-IL"/>
              </w:rPr>
            </w:pPr>
          </w:p>
        </w:tc>
        <w:tc>
          <w:tcPr>
            <w:tcW w:w="4531" w:type="dxa"/>
            <w:vAlign w:val="bottom"/>
          </w:tcPr>
          <w:p w14:paraId="508A0A21" w14:textId="77777777" w:rsidR="00DA42F2" w:rsidRPr="00DA42F2" w:rsidRDefault="00DA42F2" w:rsidP="007F5094">
            <w:pPr>
              <w:spacing w:line="216" w:lineRule="auto"/>
              <w:ind w:left="598" w:hanging="107"/>
              <w:jc w:val="left"/>
              <w:rPr>
                <w:color w:val="000000"/>
                <w:sz w:val="18"/>
                <w:szCs w:val="18"/>
                <w:rtl/>
                <w:lang w:eastAsia="he-IL"/>
              </w:rPr>
            </w:pPr>
            <w:r w:rsidRPr="00DA42F2">
              <w:rPr>
                <w:rFonts w:hint="cs"/>
                <w:rtl/>
                <w:lang w:eastAsia="he-IL"/>
              </w:rPr>
              <w:t>אגרות חוב</w:t>
            </w:r>
            <w:r w:rsidRPr="00DA42F2">
              <w:rPr>
                <w:rFonts w:hint="cs"/>
                <w:b/>
                <w:bCs/>
                <w:rtl/>
                <w:lang w:eastAsia="he-IL"/>
              </w:rPr>
              <w:t xml:space="preserve"> </w:t>
            </w:r>
            <w:r w:rsidRPr="00DA42F2">
              <w:rPr>
                <w:rFonts w:hint="cs"/>
                <w:color w:val="000000"/>
                <w:sz w:val="18"/>
                <w:szCs w:val="18"/>
                <w:rtl/>
                <w:lang w:eastAsia="he-IL"/>
              </w:rPr>
              <w:t xml:space="preserve">בערבות </w:t>
            </w:r>
            <w:r w:rsidRPr="00DA42F2">
              <w:rPr>
                <w:rFonts w:hint="cs"/>
                <w:color w:val="000000"/>
                <w:sz w:val="18"/>
                <w:szCs w:val="18"/>
                <w:lang w:eastAsia="he-IL"/>
              </w:rPr>
              <w:t>GNMA</w:t>
            </w:r>
          </w:p>
        </w:tc>
        <w:tc>
          <w:tcPr>
            <w:tcW w:w="888" w:type="dxa"/>
            <w:vAlign w:val="bottom"/>
          </w:tcPr>
          <w:p w14:paraId="5AB37000" w14:textId="77777777" w:rsidR="00DA42F2" w:rsidRPr="00DA42F2" w:rsidRDefault="00DA42F2" w:rsidP="00206490">
            <w:pPr>
              <w:spacing w:line="216" w:lineRule="auto"/>
              <w:rPr>
                <w:rtl/>
              </w:rPr>
            </w:pPr>
            <w:r w:rsidRPr="00DA42F2">
              <w:rPr>
                <w:rFonts w:hint="cs"/>
                <w:rtl/>
              </w:rPr>
              <w:t xml:space="preserve"> 0</w:t>
            </w:r>
          </w:p>
        </w:tc>
        <w:tc>
          <w:tcPr>
            <w:tcW w:w="1276" w:type="dxa"/>
            <w:vAlign w:val="bottom"/>
          </w:tcPr>
          <w:p w14:paraId="30DC8BF0" w14:textId="77777777" w:rsidR="00DA42F2" w:rsidRPr="00DA42F2" w:rsidRDefault="00DA42F2" w:rsidP="00206490">
            <w:pPr>
              <w:spacing w:line="216" w:lineRule="auto"/>
              <w:rPr>
                <w:rtl/>
              </w:rPr>
            </w:pPr>
            <w:r w:rsidRPr="00DA42F2">
              <w:rPr>
                <w:rFonts w:hint="cs"/>
                <w:rtl/>
              </w:rPr>
              <w:t xml:space="preserve"> 0</w:t>
            </w:r>
          </w:p>
        </w:tc>
        <w:tc>
          <w:tcPr>
            <w:tcW w:w="1134" w:type="dxa"/>
            <w:vAlign w:val="bottom"/>
          </w:tcPr>
          <w:p w14:paraId="17F14B29" w14:textId="77777777" w:rsidR="00DA42F2" w:rsidRPr="00DA42F2" w:rsidRDefault="00DA42F2" w:rsidP="00206490">
            <w:pPr>
              <w:spacing w:line="216" w:lineRule="auto"/>
              <w:rPr>
                <w:rtl/>
              </w:rPr>
            </w:pPr>
            <w:r w:rsidRPr="00DA42F2">
              <w:rPr>
                <w:rFonts w:hint="cs"/>
                <w:rtl/>
              </w:rPr>
              <w:t xml:space="preserve"> 0</w:t>
            </w:r>
          </w:p>
        </w:tc>
        <w:tc>
          <w:tcPr>
            <w:tcW w:w="849" w:type="dxa"/>
            <w:vAlign w:val="bottom"/>
          </w:tcPr>
          <w:p w14:paraId="1EDD16A0" w14:textId="77777777" w:rsidR="00DA42F2" w:rsidRPr="00DA42F2" w:rsidRDefault="00DA42F2" w:rsidP="00206490">
            <w:pPr>
              <w:spacing w:line="216" w:lineRule="auto"/>
              <w:rPr>
                <w:rtl/>
              </w:rPr>
            </w:pPr>
            <w:r w:rsidRPr="00DA42F2">
              <w:rPr>
                <w:rFonts w:hint="cs"/>
                <w:rtl/>
              </w:rPr>
              <w:t xml:space="preserve"> 0</w:t>
            </w:r>
          </w:p>
        </w:tc>
      </w:tr>
      <w:tr w:rsidR="00DA42F2" w:rsidRPr="00DA42F2" w14:paraId="10378511" w14:textId="77777777" w:rsidTr="00EC46DF">
        <w:trPr>
          <w:trHeight w:val="245"/>
        </w:trPr>
        <w:tc>
          <w:tcPr>
            <w:tcW w:w="1304" w:type="dxa"/>
          </w:tcPr>
          <w:p w14:paraId="47CDE68F" w14:textId="77777777" w:rsidR="00DA42F2" w:rsidRPr="00DA42F2" w:rsidRDefault="00DA42F2" w:rsidP="00206490">
            <w:pPr>
              <w:spacing w:line="216" w:lineRule="auto"/>
              <w:ind w:left="144" w:hanging="144"/>
              <w:jc w:val="left"/>
              <w:rPr>
                <w:color w:val="000000"/>
                <w:rtl/>
                <w:lang w:eastAsia="he-IL"/>
              </w:rPr>
            </w:pPr>
          </w:p>
        </w:tc>
        <w:tc>
          <w:tcPr>
            <w:tcW w:w="4531" w:type="dxa"/>
            <w:vAlign w:val="bottom"/>
          </w:tcPr>
          <w:p w14:paraId="4112C66E" w14:textId="77777777" w:rsidR="00DA42F2" w:rsidRPr="00DA42F2" w:rsidRDefault="00DA42F2" w:rsidP="007F5094">
            <w:pPr>
              <w:spacing w:line="216" w:lineRule="auto"/>
              <w:ind w:left="598" w:hanging="107"/>
              <w:jc w:val="left"/>
              <w:rPr>
                <w:color w:val="000000"/>
                <w:sz w:val="18"/>
                <w:szCs w:val="18"/>
                <w:rtl/>
                <w:lang w:eastAsia="he-IL"/>
              </w:rPr>
            </w:pPr>
            <w:r w:rsidRPr="00DA42F2">
              <w:rPr>
                <w:rFonts w:hint="cs"/>
                <w:rtl/>
                <w:lang w:eastAsia="he-IL"/>
              </w:rPr>
              <w:t>אגרות חוב</w:t>
            </w:r>
            <w:r w:rsidRPr="00DA42F2">
              <w:rPr>
                <w:rFonts w:hint="cs"/>
                <w:b/>
                <w:bCs/>
                <w:rtl/>
                <w:lang w:eastAsia="he-IL"/>
              </w:rPr>
              <w:t xml:space="preserve"> </w:t>
            </w:r>
            <w:r w:rsidRPr="00DA42F2">
              <w:rPr>
                <w:rFonts w:hint="cs"/>
                <w:color w:val="000000"/>
                <w:sz w:val="18"/>
                <w:szCs w:val="18"/>
                <w:rtl/>
                <w:lang w:eastAsia="he-IL"/>
              </w:rPr>
              <w:t xml:space="preserve">שהונפקו על ידי </w:t>
            </w:r>
            <w:r w:rsidRPr="00DA42F2">
              <w:rPr>
                <w:rFonts w:hint="cs"/>
                <w:color w:val="000000"/>
                <w:sz w:val="18"/>
                <w:szCs w:val="18"/>
                <w:lang w:eastAsia="he-IL"/>
              </w:rPr>
              <w:t>FNMA</w:t>
            </w:r>
            <w:r w:rsidRPr="00DA42F2">
              <w:rPr>
                <w:rFonts w:hint="cs"/>
                <w:color w:val="000000"/>
                <w:sz w:val="18"/>
                <w:szCs w:val="18"/>
                <w:rtl/>
                <w:lang w:eastAsia="he-IL"/>
              </w:rPr>
              <w:t xml:space="preserve"> ועל ידי </w:t>
            </w:r>
            <w:r w:rsidRPr="00DA42F2">
              <w:rPr>
                <w:rFonts w:hint="cs"/>
                <w:color w:val="000000"/>
                <w:sz w:val="18"/>
                <w:szCs w:val="18"/>
                <w:lang w:eastAsia="he-IL"/>
              </w:rPr>
              <w:t>FHLMC</w:t>
            </w:r>
          </w:p>
        </w:tc>
        <w:tc>
          <w:tcPr>
            <w:tcW w:w="888" w:type="dxa"/>
            <w:vAlign w:val="bottom"/>
          </w:tcPr>
          <w:p w14:paraId="08533292" w14:textId="77777777" w:rsidR="00DA42F2" w:rsidRPr="00DA42F2" w:rsidRDefault="00DA42F2" w:rsidP="00206490">
            <w:pPr>
              <w:spacing w:line="216" w:lineRule="auto"/>
              <w:rPr>
                <w:rtl/>
              </w:rPr>
            </w:pPr>
            <w:r w:rsidRPr="00DA42F2">
              <w:rPr>
                <w:rFonts w:hint="cs"/>
                <w:rtl/>
              </w:rPr>
              <w:t xml:space="preserve"> 0</w:t>
            </w:r>
          </w:p>
        </w:tc>
        <w:tc>
          <w:tcPr>
            <w:tcW w:w="1276" w:type="dxa"/>
            <w:vAlign w:val="bottom"/>
          </w:tcPr>
          <w:p w14:paraId="7AC7BEE3" w14:textId="77777777" w:rsidR="00DA42F2" w:rsidRPr="00DA42F2" w:rsidRDefault="00DA42F2" w:rsidP="00206490">
            <w:pPr>
              <w:spacing w:line="216" w:lineRule="auto"/>
              <w:rPr>
                <w:rtl/>
              </w:rPr>
            </w:pPr>
            <w:r w:rsidRPr="00DA42F2">
              <w:rPr>
                <w:rFonts w:hint="cs"/>
                <w:rtl/>
              </w:rPr>
              <w:t xml:space="preserve"> 0</w:t>
            </w:r>
          </w:p>
        </w:tc>
        <w:tc>
          <w:tcPr>
            <w:tcW w:w="1134" w:type="dxa"/>
            <w:vAlign w:val="bottom"/>
          </w:tcPr>
          <w:p w14:paraId="5BF2FEFA" w14:textId="77777777" w:rsidR="00DA42F2" w:rsidRPr="00DA42F2" w:rsidRDefault="00DA42F2" w:rsidP="00206490">
            <w:pPr>
              <w:spacing w:line="216" w:lineRule="auto"/>
              <w:rPr>
                <w:rtl/>
              </w:rPr>
            </w:pPr>
            <w:r w:rsidRPr="00DA42F2">
              <w:rPr>
                <w:rFonts w:hint="cs"/>
                <w:rtl/>
              </w:rPr>
              <w:t xml:space="preserve"> 0</w:t>
            </w:r>
          </w:p>
        </w:tc>
        <w:tc>
          <w:tcPr>
            <w:tcW w:w="849" w:type="dxa"/>
            <w:vAlign w:val="bottom"/>
          </w:tcPr>
          <w:p w14:paraId="142CA80C" w14:textId="77777777" w:rsidR="00DA42F2" w:rsidRPr="00DA42F2" w:rsidRDefault="00DA42F2" w:rsidP="00206490">
            <w:pPr>
              <w:spacing w:line="216" w:lineRule="auto"/>
              <w:rPr>
                <w:rtl/>
              </w:rPr>
            </w:pPr>
            <w:r w:rsidRPr="00DA42F2">
              <w:rPr>
                <w:rFonts w:hint="cs"/>
                <w:rtl/>
              </w:rPr>
              <w:t xml:space="preserve"> 0</w:t>
            </w:r>
          </w:p>
        </w:tc>
      </w:tr>
      <w:tr w:rsidR="00DA42F2" w:rsidRPr="00DA42F2" w14:paraId="3FD02A94" w14:textId="77777777" w:rsidTr="00EC46DF">
        <w:trPr>
          <w:trHeight w:hRule="exact" w:val="200"/>
        </w:trPr>
        <w:tc>
          <w:tcPr>
            <w:tcW w:w="1304" w:type="dxa"/>
          </w:tcPr>
          <w:p w14:paraId="3CF89333" w14:textId="77777777" w:rsidR="00DA42F2" w:rsidRPr="00DA42F2" w:rsidRDefault="00DA42F2" w:rsidP="00206490">
            <w:pPr>
              <w:spacing w:line="216" w:lineRule="auto"/>
              <w:ind w:left="144" w:hanging="144"/>
              <w:jc w:val="left"/>
              <w:rPr>
                <w:color w:val="000000"/>
                <w:rtl/>
                <w:lang w:eastAsia="he-IL"/>
              </w:rPr>
            </w:pPr>
          </w:p>
          <w:p w14:paraId="2733E3F2" w14:textId="77777777" w:rsidR="00DA42F2" w:rsidRPr="00DA42F2" w:rsidRDefault="00DA42F2" w:rsidP="00206490">
            <w:pPr>
              <w:spacing w:line="216" w:lineRule="auto"/>
              <w:ind w:left="144" w:hanging="144"/>
              <w:jc w:val="left"/>
              <w:rPr>
                <w:color w:val="000000"/>
                <w:rtl/>
                <w:lang w:eastAsia="he-IL"/>
              </w:rPr>
            </w:pPr>
          </w:p>
        </w:tc>
        <w:tc>
          <w:tcPr>
            <w:tcW w:w="4531" w:type="dxa"/>
            <w:vAlign w:val="bottom"/>
          </w:tcPr>
          <w:p w14:paraId="0CBC7B48" w14:textId="77777777" w:rsidR="00DA42F2" w:rsidRPr="00DA42F2" w:rsidRDefault="00DA42F2" w:rsidP="00206490">
            <w:pPr>
              <w:spacing w:line="216" w:lineRule="auto"/>
              <w:ind w:left="539" w:hanging="91"/>
              <w:jc w:val="left"/>
              <w:rPr>
                <w:b/>
                <w:bCs/>
                <w:color w:val="000000"/>
                <w:rtl/>
                <w:lang w:eastAsia="he-IL"/>
              </w:rPr>
            </w:pPr>
          </w:p>
          <w:p w14:paraId="35D22DC2" w14:textId="77777777" w:rsidR="00DA42F2" w:rsidRPr="00DA42F2" w:rsidRDefault="00DA42F2" w:rsidP="00206490">
            <w:pPr>
              <w:spacing w:line="216" w:lineRule="auto"/>
              <w:ind w:left="539" w:hanging="91"/>
              <w:jc w:val="left"/>
              <w:rPr>
                <w:b/>
                <w:bCs/>
                <w:color w:val="000000"/>
                <w:rtl/>
                <w:lang w:eastAsia="he-IL"/>
              </w:rPr>
            </w:pPr>
          </w:p>
        </w:tc>
        <w:tc>
          <w:tcPr>
            <w:tcW w:w="888" w:type="dxa"/>
            <w:vAlign w:val="bottom"/>
          </w:tcPr>
          <w:p w14:paraId="5B323295" w14:textId="77777777" w:rsidR="00DA42F2" w:rsidRPr="00DA42F2" w:rsidRDefault="00DA42F2" w:rsidP="00206490">
            <w:pPr>
              <w:spacing w:line="216" w:lineRule="auto"/>
              <w:rPr>
                <w:rtl/>
              </w:rPr>
            </w:pPr>
          </w:p>
        </w:tc>
        <w:tc>
          <w:tcPr>
            <w:tcW w:w="1276" w:type="dxa"/>
            <w:vAlign w:val="bottom"/>
          </w:tcPr>
          <w:p w14:paraId="2FCB666E" w14:textId="77777777" w:rsidR="00DA42F2" w:rsidRPr="00DA42F2" w:rsidRDefault="00DA42F2" w:rsidP="00206490">
            <w:pPr>
              <w:spacing w:line="216" w:lineRule="auto"/>
              <w:rPr>
                <w:rtl/>
              </w:rPr>
            </w:pPr>
          </w:p>
        </w:tc>
        <w:tc>
          <w:tcPr>
            <w:tcW w:w="1134" w:type="dxa"/>
            <w:vAlign w:val="bottom"/>
          </w:tcPr>
          <w:p w14:paraId="29255DCF" w14:textId="77777777" w:rsidR="00DA42F2" w:rsidRPr="00DA42F2" w:rsidRDefault="00DA42F2" w:rsidP="00206490">
            <w:pPr>
              <w:spacing w:line="216" w:lineRule="auto"/>
              <w:rPr>
                <w:rtl/>
              </w:rPr>
            </w:pPr>
          </w:p>
        </w:tc>
        <w:tc>
          <w:tcPr>
            <w:tcW w:w="849" w:type="dxa"/>
            <w:vAlign w:val="bottom"/>
          </w:tcPr>
          <w:p w14:paraId="198C8B7E" w14:textId="77777777" w:rsidR="00DA42F2" w:rsidRPr="00DA42F2" w:rsidRDefault="00DA42F2" w:rsidP="00206490">
            <w:pPr>
              <w:spacing w:line="216" w:lineRule="auto"/>
              <w:rPr>
                <w:rtl/>
              </w:rPr>
            </w:pPr>
          </w:p>
        </w:tc>
      </w:tr>
      <w:tr w:rsidR="00DA42F2" w:rsidRPr="00DA42F2" w14:paraId="0C80E1BE" w14:textId="77777777" w:rsidTr="00EC46DF">
        <w:trPr>
          <w:trHeight w:val="245"/>
        </w:trPr>
        <w:tc>
          <w:tcPr>
            <w:tcW w:w="1304" w:type="dxa"/>
          </w:tcPr>
          <w:p w14:paraId="2FFE4662" w14:textId="77777777" w:rsidR="00DA42F2" w:rsidRPr="00DA42F2" w:rsidRDefault="00DA42F2" w:rsidP="00206490">
            <w:pPr>
              <w:spacing w:line="216" w:lineRule="auto"/>
              <w:ind w:left="144" w:hanging="144"/>
              <w:jc w:val="left"/>
              <w:rPr>
                <w:color w:val="000000"/>
                <w:rtl/>
                <w:lang w:eastAsia="he-IL"/>
              </w:rPr>
            </w:pPr>
          </w:p>
        </w:tc>
        <w:tc>
          <w:tcPr>
            <w:tcW w:w="4531" w:type="dxa"/>
            <w:vAlign w:val="bottom"/>
          </w:tcPr>
          <w:p w14:paraId="48DEF68B" w14:textId="4CB4DD12" w:rsidR="00DA42F2" w:rsidRPr="00206490" w:rsidRDefault="00DA42F2" w:rsidP="00206490">
            <w:pPr>
              <w:spacing w:line="216" w:lineRule="auto"/>
              <w:ind w:left="214"/>
              <w:jc w:val="left"/>
              <w:rPr>
                <w:rtl/>
                <w:lang w:eastAsia="he-IL"/>
              </w:rPr>
            </w:pPr>
            <w:r w:rsidRPr="00206490">
              <w:rPr>
                <w:rFonts w:hint="cs"/>
                <w:rtl/>
                <w:lang w:eastAsia="he-IL"/>
              </w:rPr>
              <w:t xml:space="preserve">אגרות חוב מגובות משכנתאות אחרים </w:t>
            </w:r>
            <w:r w:rsidRPr="007F5094">
              <w:rPr>
                <w:rFonts w:hint="cs"/>
                <w:sz w:val="17"/>
                <w:szCs w:val="17"/>
                <w:rtl/>
                <w:lang w:eastAsia="he-IL"/>
              </w:rPr>
              <w:t xml:space="preserve">(כולל </w:t>
            </w:r>
            <w:r w:rsidRPr="007F5094">
              <w:rPr>
                <w:rFonts w:hint="cs"/>
                <w:sz w:val="17"/>
                <w:szCs w:val="17"/>
                <w:lang w:eastAsia="he-IL"/>
              </w:rPr>
              <w:t>CM</w:t>
            </w:r>
            <w:r w:rsidRPr="007F5094">
              <w:rPr>
                <w:sz w:val="17"/>
                <w:szCs w:val="17"/>
                <w:lang w:eastAsia="he-IL"/>
              </w:rPr>
              <w:t>O</w:t>
            </w:r>
            <w:r w:rsidRPr="007F5094">
              <w:rPr>
                <w:rFonts w:hint="cs"/>
                <w:sz w:val="17"/>
                <w:szCs w:val="17"/>
                <w:rtl/>
                <w:lang w:eastAsia="he-IL"/>
              </w:rPr>
              <w:t xml:space="preserve">, </w:t>
            </w:r>
            <w:r w:rsidR="00206490" w:rsidRPr="007F5094">
              <w:rPr>
                <w:rFonts w:hint="cs"/>
                <w:sz w:val="17"/>
                <w:szCs w:val="17"/>
                <w:rtl/>
                <w:lang w:eastAsia="he-IL"/>
              </w:rPr>
              <w:t xml:space="preserve">    </w:t>
            </w:r>
            <w:r w:rsidRPr="007F5094">
              <w:rPr>
                <w:rFonts w:hint="cs"/>
                <w:sz w:val="17"/>
                <w:szCs w:val="17"/>
                <w:lang w:eastAsia="he-IL"/>
              </w:rPr>
              <w:t>REMIC</w:t>
            </w:r>
            <w:r w:rsidRPr="007F5094">
              <w:rPr>
                <w:rFonts w:hint="cs"/>
                <w:sz w:val="17"/>
                <w:szCs w:val="17"/>
                <w:rtl/>
                <w:lang w:eastAsia="he-IL"/>
              </w:rPr>
              <w:t xml:space="preserve"> ו-</w:t>
            </w:r>
            <w:r w:rsidRPr="007F5094">
              <w:rPr>
                <w:rFonts w:hint="cs"/>
                <w:sz w:val="17"/>
                <w:szCs w:val="17"/>
                <w:lang w:eastAsia="he-IL"/>
              </w:rPr>
              <w:t>STRIPPED MBS</w:t>
            </w:r>
            <w:r w:rsidRPr="007F5094">
              <w:rPr>
                <w:rFonts w:hint="cs"/>
                <w:sz w:val="17"/>
                <w:szCs w:val="17"/>
                <w:rtl/>
                <w:lang w:eastAsia="he-IL"/>
              </w:rPr>
              <w:t xml:space="preserve">):  </w:t>
            </w:r>
          </w:p>
        </w:tc>
        <w:tc>
          <w:tcPr>
            <w:tcW w:w="888" w:type="dxa"/>
            <w:vAlign w:val="bottom"/>
          </w:tcPr>
          <w:p w14:paraId="2CA4FD47" w14:textId="77777777" w:rsidR="00DA42F2" w:rsidRPr="00DA42F2" w:rsidRDefault="00DA42F2" w:rsidP="00206490">
            <w:pPr>
              <w:pBdr>
                <w:bottom w:val="single" w:sz="4" w:space="1" w:color="auto"/>
              </w:pBdr>
              <w:spacing w:line="216" w:lineRule="auto"/>
              <w:rPr>
                <w:b/>
                <w:bCs/>
                <w:rtl/>
              </w:rPr>
            </w:pPr>
            <w:r w:rsidRPr="00DA42F2">
              <w:rPr>
                <w:rFonts w:hint="cs"/>
                <w:b/>
                <w:bCs/>
                <w:rtl/>
              </w:rPr>
              <w:t xml:space="preserve"> 0</w:t>
            </w:r>
          </w:p>
        </w:tc>
        <w:tc>
          <w:tcPr>
            <w:tcW w:w="1276" w:type="dxa"/>
            <w:vAlign w:val="bottom"/>
          </w:tcPr>
          <w:p w14:paraId="50954AE8" w14:textId="77777777" w:rsidR="00DA42F2" w:rsidRPr="00DA42F2" w:rsidRDefault="00DA42F2" w:rsidP="00206490">
            <w:pPr>
              <w:pBdr>
                <w:bottom w:val="single" w:sz="4" w:space="1" w:color="auto"/>
              </w:pBdr>
              <w:spacing w:line="216" w:lineRule="auto"/>
              <w:rPr>
                <w:b/>
                <w:bCs/>
                <w:rtl/>
              </w:rPr>
            </w:pPr>
            <w:r w:rsidRPr="00DA42F2">
              <w:rPr>
                <w:rFonts w:hint="cs"/>
                <w:b/>
                <w:bCs/>
                <w:rtl/>
              </w:rPr>
              <w:t xml:space="preserve"> 0</w:t>
            </w:r>
          </w:p>
        </w:tc>
        <w:tc>
          <w:tcPr>
            <w:tcW w:w="1134" w:type="dxa"/>
            <w:vAlign w:val="bottom"/>
          </w:tcPr>
          <w:p w14:paraId="0A679661" w14:textId="77777777" w:rsidR="00DA42F2" w:rsidRPr="00DA42F2" w:rsidRDefault="00DA42F2" w:rsidP="00206490">
            <w:pPr>
              <w:pBdr>
                <w:bottom w:val="single" w:sz="4" w:space="1" w:color="auto"/>
              </w:pBdr>
              <w:spacing w:line="216" w:lineRule="auto"/>
              <w:rPr>
                <w:b/>
                <w:bCs/>
                <w:rtl/>
              </w:rPr>
            </w:pPr>
            <w:r w:rsidRPr="00DA42F2">
              <w:rPr>
                <w:rFonts w:hint="cs"/>
                <w:b/>
                <w:bCs/>
                <w:rtl/>
              </w:rPr>
              <w:t xml:space="preserve"> 0</w:t>
            </w:r>
          </w:p>
        </w:tc>
        <w:tc>
          <w:tcPr>
            <w:tcW w:w="849" w:type="dxa"/>
            <w:vAlign w:val="bottom"/>
          </w:tcPr>
          <w:p w14:paraId="4300B086" w14:textId="77777777" w:rsidR="00DA42F2" w:rsidRPr="00DA42F2" w:rsidRDefault="00DA42F2" w:rsidP="00206490">
            <w:pPr>
              <w:pBdr>
                <w:bottom w:val="single" w:sz="4" w:space="1" w:color="auto"/>
              </w:pBdr>
              <w:spacing w:line="216" w:lineRule="auto"/>
              <w:rPr>
                <w:b/>
                <w:bCs/>
                <w:rtl/>
              </w:rPr>
            </w:pPr>
            <w:r w:rsidRPr="00DA42F2">
              <w:rPr>
                <w:rFonts w:hint="cs"/>
                <w:b/>
                <w:bCs/>
                <w:rtl/>
              </w:rPr>
              <w:t xml:space="preserve"> 0</w:t>
            </w:r>
          </w:p>
        </w:tc>
      </w:tr>
      <w:tr w:rsidR="00DA42F2" w:rsidRPr="00DA42F2" w14:paraId="41E23F1A" w14:textId="77777777" w:rsidTr="00EC46DF">
        <w:trPr>
          <w:trHeight w:val="245"/>
        </w:trPr>
        <w:tc>
          <w:tcPr>
            <w:tcW w:w="1304" w:type="dxa"/>
          </w:tcPr>
          <w:p w14:paraId="4761006D" w14:textId="77777777" w:rsidR="00DA42F2" w:rsidRPr="00DA42F2" w:rsidRDefault="00DA42F2" w:rsidP="00206490">
            <w:pPr>
              <w:spacing w:line="216" w:lineRule="auto"/>
              <w:ind w:left="144" w:hanging="144"/>
              <w:jc w:val="left"/>
              <w:rPr>
                <w:color w:val="000000"/>
                <w:rtl/>
                <w:lang w:eastAsia="he-IL"/>
              </w:rPr>
            </w:pPr>
          </w:p>
        </w:tc>
        <w:tc>
          <w:tcPr>
            <w:tcW w:w="4531" w:type="dxa"/>
            <w:vAlign w:val="bottom"/>
          </w:tcPr>
          <w:p w14:paraId="6F5A3D98" w14:textId="45FB2E00" w:rsidR="00DA42F2" w:rsidRPr="00DA42F2" w:rsidRDefault="00DA42F2" w:rsidP="007F5094">
            <w:pPr>
              <w:spacing w:line="216" w:lineRule="auto"/>
              <w:ind w:left="542" w:hanging="275"/>
              <w:jc w:val="left"/>
              <w:rPr>
                <w:color w:val="000000"/>
                <w:sz w:val="18"/>
                <w:szCs w:val="18"/>
                <w:rtl/>
                <w:lang w:eastAsia="he-IL"/>
              </w:rPr>
            </w:pPr>
            <w:r w:rsidRPr="00DA42F2">
              <w:rPr>
                <w:rFonts w:hint="cs"/>
                <w:color w:val="000000"/>
                <w:sz w:val="18"/>
                <w:szCs w:val="18"/>
                <w:rtl/>
                <w:lang w:eastAsia="he-IL"/>
              </w:rPr>
              <w:t>מזה</w:t>
            </w:r>
            <w:r w:rsidR="00270AF0">
              <w:rPr>
                <w:rFonts w:hint="cs"/>
                <w:color w:val="000000"/>
                <w:sz w:val="18"/>
                <w:szCs w:val="18"/>
                <w:rtl/>
                <w:lang w:eastAsia="he-IL"/>
              </w:rPr>
              <w:t>:</w:t>
            </w:r>
            <w:r w:rsidRPr="00DA42F2">
              <w:rPr>
                <w:rFonts w:hint="cs"/>
                <w:color w:val="000000"/>
                <w:sz w:val="18"/>
                <w:szCs w:val="18"/>
                <w:vertAlign w:val="superscript"/>
                <w:rtl/>
                <w:lang w:eastAsia="he-IL"/>
              </w:rPr>
              <w:t>[2]</w:t>
            </w:r>
          </w:p>
        </w:tc>
        <w:tc>
          <w:tcPr>
            <w:tcW w:w="888" w:type="dxa"/>
            <w:vAlign w:val="bottom"/>
          </w:tcPr>
          <w:p w14:paraId="73F9F4EA" w14:textId="77777777" w:rsidR="00DA42F2" w:rsidRPr="00DA42F2" w:rsidRDefault="00DA42F2" w:rsidP="00206490">
            <w:pPr>
              <w:spacing w:line="216" w:lineRule="auto"/>
              <w:rPr>
                <w:rtl/>
              </w:rPr>
            </w:pPr>
          </w:p>
        </w:tc>
        <w:tc>
          <w:tcPr>
            <w:tcW w:w="1276" w:type="dxa"/>
            <w:vAlign w:val="bottom"/>
          </w:tcPr>
          <w:p w14:paraId="5735A938" w14:textId="77777777" w:rsidR="00DA42F2" w:rsidRPr="00DA42F2" w:rsidRDefault="00DA42F2" w:rsidP="00206490">
            <w:pPr>
              <w:spacing w:line="216" w:lineRule="auto"/>
              <w:rPr>
                <w:rtl/>
              </w:rPr>
            </w:pPr>
          </w:p>
        </w:tc>
        <w:tc>
          <w:tcPr>
            <w:tcW w:w="1134" w:type="dxa"/>
            <w:vAlign w:val="bottom"/>
          </w:tcPr>
          <w:p w14:paraId="40A9BF0E" w14:textId="77777777" w:rsidR="00DA42F2" w:rsidRPr="00DA42F2" w:rsidRDefault="00DA42F2" w:rsidP="00206490">
            <w:pPr>
              <w:spacing w:line="216" w:lineRule="auto"/>
              <w:rPr>
                <w:rtl/>
              </w:rPr>
            </w:pPr>
          </w:p>
        </w:tc>
        <w:tc>
          <w:tcPr>
            <w:tcW w:w="849" w:type="dxa"/>
            <w:vAlign w:val="bottom"/>
          </w:tcPr>
          <w:p w14:paraId="4B1363A3" w14:textId="77777777" w:rsidR="00DA42F2" w:rsidRPr="00DA42F2" w:rsidRDefault="00DA42F2" w:rsidP="00206490">
            <w:pPr>
              <w:spacing w:line="216" w:lineRule="auto"/>
              <w:rPr>
                <w:rtl/>
              </w:rPr>
            </w:pPr>
          </w:p>
        </w:tc>
      </w:tr>
      <w:tr w:rsidR="00DA42F2" w:rsidRPr="00DA42F2" w14:paraId="72810B7A" w14:textId="77777777" w:rsidTr="00EC46DF">
        <w:trPr>
          <w:trHeight w:val="245"/>
        </w:trPr>
        <w:tc>
          <w:tcPr>
            <w:tcW w:w="1304" w:type="dxa"/>
          </w:tcPr>
          <w:p w14:paraId="1F9BAEF3" w14:textId="77777777" w:rsidR="00DA42F2" w:rsidRPr="00DA42F2" w:rsidRDefault="00DA42F2" w:rsidP="00206490">
            <w:pPr>
              <w:spacing w:line="216" w:lineRule="auto"/>
              <w:ind w:left="144" w:hanging="144"/>
              <w:jc w:val="left"/>
              <w:rPr>
                <w:color w:val="000000"/>
                <w:rtl/>
                <w:lang w:eastAsia="he-IL"/>
              </w:rPr>
            </w:pPr>
          </w:p>
        </w:tc>
        <w:tc>
          <w:tcPr>
            <w:tcW w:w="4531" w:type="dxa"/>
            <w:vAlign w:val="bottom"/>
          </w:tcPr>
          <w:p w14:paraId="32936656" w14:textId="77777777" w:rsidR="00DA42F2" w:rsidRPr="00DA42F2" w:rsidRDefault="00DA42F2" w:rsidP="007F5094">
            <w:pPr>
              <w:spacing w:line="216" w:lineRule="auto"/>
              <w:ind w:left="491"/>
              <w:jc w:val="left"/>
              <w:rPr>
                <w:b/>
                <w:bCs/>
                <w:color w:val="000000"/>
                <w:sz w:val="18"/>
                <w:szCs w:val="18"/>
                <w:rtl/>
                <w:lang w:eastAsia="he-IL"/>
              </w:rPr>
            </w:pPr>
            <w:r w:rsidRPr="00DA42F2">
              <w:rPr>
                <w:rFonts w:hint="cs"/>
                <w:rtl/>
                <w:lang w:eastAsia="he-IL"/>
              </w:rPr>
              <w:t>אגרות חוב</w:t>
            </w:r>
            <w:r w:rsidRPr="007F5094">
              <w:rPr>
                <w:rFonts w:hint="cs"/>
                <w:rtl/>
                <w:lang w:eastAsia="he-IL"/>
              </w:rPr>
              <w:t xml:space="preserve"> שהונפקו על ידי </w:t>
            </w:r>
            <w:r w:rsidRPr="007F5094">
              <w:rPr>
                <w:rFonts w:hint="cs"/>
                <w:sz w:val="17"/>
                <w:szCs w:val="17"/>
                <w:lang w:eastAsia="he-IL"/>
              </w:rPr>
              <w:t>FNMA</w:t>
            </w:r>
            <w:r w:rsidRPr="007F5094">
              <w:rPr>
                <w:rFonts w:hint="cs"/>
                <w:sz w:val="17"/>
                <w:szCs w:val="17"/>
                <w:rtl/>
                <w:lang w:eastAsia="he-IL"/>
              </w:rPr>
              <w:t xml:space="preserve">, </w:t>
            </w:r>
            <w:r w:rsidRPr="007F5094">
              <w:rPr>
                <w:rFonts w:hint="cs"/>
                <w:sz w:val="17"/>
                <w:szCs w:val="17"/>
                <w:lang w:eastAsia="he-IL"/>
              </w:rPr>
              <w:t>FHLMC</w:t>
            </w:r>
            <w:r w:rsidRPr="007F5094">
              <w:rPr>
                <w:rFonts w:hint="cs"/>
                <w:rtl/>
                <w:lang w:eastAsia="he-IL"/>
              </w:rPr>
              <w:t xml:space="preserve"> או </w:t>
            </w:r>
            <w:r w:rsidRPr="007F5094">
              <w:rPr>
                <w:rFonts w:hint="cs"/>
                <w:sz w:val="17"/>
                <w:szCs w:val="17"/>
                <w:lang w:eastAsia="he-IL"/>
              </w:rPr>
              <w:t>GNMA</w:t>
            </w:r>
            <w:r w:rsidRPr="007F5094">
              <w:rPr>
                <w:rFonts w:hint="cs"/>
                <w:rtl/>
                <w:lang w:eastAsia="he-IL"/>
              </w:rPr>
              <w:t xml:space="preserve"> או בערבותם</w:t>
            </w:r>
          </w:p>
        </w:tc>
        <w:tc>
          <w:tcPr>
            <w:tcW w:w="888" w:type="dxa"/>
            <w:vAlign w:val="bottom"/>
          </w:tcPr>
          <w:p w14:paraId="5BC9C4B6" w14:textId="77777777" w:rsidR="00DA42F2" w:rsidRPr="00206490" w:rsidRDefault="00DA42F2" w:rsidP="00206490">
            <w:pPr>
              <w:pBdr>
                <w:bottom w:val="single" w:sz="4" w:space="1" w:color="auto"/>
              </w:pBdr>
              <w:spacing w:line="216" w:lineRule="auto"/>
              <w:rPr>
                <w:rtl/>
              </w:rPr>
            </w:pPr>
            <w:r w:rsidRPr="00206490">
              <w:rPr>
                <w:rFonts w:hint="cs"/>
                <w:rtl/>
              </w:rPr>
              <w:t xml:space="preserve"> 0</w:t>
            </w:r>
          </w:p>
        </w:tc>
        <w:tc>
          <w:tcPr>
            <w:tcW w:w="1276" w:type="dxa"/>
            <w:vAlign w:val="bottom"/>
          </w:tcPr>
          <w:p w14:paraId="668C614B" w14:textId="77777777" w:rsidR="00DA42F2" w:rsidRPr="00206490" w:rsidRDefault="00DA42F2" w:rsidP="00206490">
            <w:pPr>
              <w:pBdr>
                <w:bottom w:val="single" w:sz="4" w:space="1" w:color="auto"/>
              </w:pBdr>
              <w:spacing w:line="216" w:lineRule="auto"/>
              <w:rPr>
                <w:rtl/>
              </w:rPr>
            </w:pPr>
            <w:r w:rsidRPr="00206490">
              <w:rPr>
                <w:rFonts w:hint="cs"/>
                <w:rtl/>
              </w:rPr>
              <w:t xml:space="preserve"> 0</w:t>
            </w:r>
          </w:p>
        </w:tc>
        <w:tc>
          <w:tcPr>
            <w:tcW w:w="1134" w:type="dxa"/>
            <w:vAlign w:val="bottom"/>
          </w:tcPr>
          <w:p w14:paraId="327D58A8" w14:textId="77777777" w:rsidR="00DA42F2" w:rsidRPr="00206490" w:rsidRDefault="00DA42F2" w:rsidP="00206490">
            <w:pPr>
              <w:pBdr>
                <w:bottom w:val="single" w:sz="4" w:space="1" w:color="auto"/>
              </w:pBdr>
              <w:spacing w:line="216" w:lineRule="auto"/>
              <w:rPr>
                <w:rtl/>
              </w:rPr>
            </w:pPr>
            <w:r w:rsidRPr="00206490">
              <w:rPr>
                <w:rFonts w:hint="cs"/>
                <w:rtl/>
              </w:rPr>
              <w:t xml:space="preserve"> 0</w:t>
            </w:r>
          </w:p>
        </w:tc>
        <w:tc>
          <w:tcPr>
            <w:tcW w:w="849" w:type="dxa"/>
            <w:vAlign w:val="bottom"/>
          </w:tcPr>
          <w:p w14:paraId="0DBEF9C7" w14:textId="77777777" w:rsidR="00DA42F2" w:rsidRPr="00206490" w:rsidRDefault="00DA42F2" w:rsidP="00206490">
            <w:pPr>
              <w:pBdr>
                <w:bottom w:val="single" w:sz="4" w:space="1" w:color="auto"/>
              </w:pBdr>
              <w:spacing w:line="216" w:lineRule="auto"/>
              <w:rPr>
                <w:rtl/>
              </w:rPr>
            </w:pPr>
            <w:r w:rsidRPr="00206490">
              <w:rPr>
                <w:rFonts w:hint="cs"/>
                <w:rtl/>
              </w:rPr>
              <w:t xml:space="preserve"> 0</w:t>
            </w:r>
          </w:p>
        </w:tc>
      </w:tr>
      <w:tr w:rsidR="00DA42F2" w:rsidRPr="00DA42F2" w14:paraId="6ABB89CE" w14:textId="77777777" w:rsidTr="00EC46DF">
        <w:trPr>
          <w:trHeight w:hRule="exact" w:val="148"/>
        </w:trPr>
        <w:tc>
          <w:tcPr>
            <w:tcW w:w="1304" w:type="dxa"/>
          </w:tcPr>
          <w:p w14:paraId="5BA22C66" w14:textId="77777777" w:rsidR="00DA42F2" w:rsidRPr="00DA42F2" w:rsidRDefault="00DA42F2" w:rsidP="00206490">
            <w:pPr>
              <w:spacing w:line="216" w:lineRule="auto"/>
              <w:ind w:left="144" w:hanging="144"/>
              <w:jc w:val="left"/>
              <w:rPr>
                <w:color w:val="000000"/>
                <w:rtl/>
                <w:lang w:eastAsia="he-IL"/>
              </w:rPr>
            </w:pPr>
          </w:p>
          <w:p w14:paraId="778E203D" w14:textId="77777777" w:rsidR="00DA42F2" w:rsidRPr="00DA42F2" w:rsidRDefault="00DA42F2" w:rsidP="00206490">
            <w:pPr>
              <w:spacing w:line="216" w:lineRule="auto"/>
              <w:ind w:left="144" w:hanging="144"/>
              <w:jc w:val="left"/>
              <w:rPr>
                <w:color w:val="000000"/>
                <w:rtl/>
                <w:lang w:eastAsia="he-IL"/>
              </w:rPr>
            </w:pPr>
          </w:p>
          <w:p w14:paraId="2277C68A" w14:textId="77777777" w:rsidR="00DA42F2" w:rsidRPr="00DA42F2" w:rsidRDefault="00DA42F2" w:rsidP="00206490">
            <w:pPr>
              <w:spacing w:line="216" w:lineRule="auto"/>
              <w:ind w:left="144" w:hanging="144"/>
              <w:jc w:val="left"/>
              <w:rPr>
                <w:color w:val="000000"/>
                <w:rtl/>
                <w:lang w:eastAsia="he-IL"/>
              </w:rPr>
            </w:pPr>
          </w:p>
        </w:tc>
        <w:tc>
          <w:tcPr>
            <w:tcW w:w="4531" w:type="dxa"/>
            <w:vAlign w:val="bottom"/>
          </w:tcPr>
          <w:p w14:paraId="680851B4" w14:textId="77777777" w:rsidR="00DA42F2" w:rsidRPr="00DA42F2" w:rsidRDefault="00DA42F2" w:rsidP="00206490">
            <w:pPr>
              <w:spacing w:line="216" w:lineRule="auto"/>
              <w:ind w:left="590" w:hanging="144"/>
              <w:jc w:val="left"/>
              <w:rPr>
                <w:color w:val="000000"/>
                <w:rtl/>
                <w:lang w:eastAsia="he-IL"/>
              </w:rPr>
            </w:pPr>
          </w:p>
        </w:tc>
        <w:tc>
          <w:tcPr>
            <w:tcW w:w="888" w:type="dxa"/>
            <w:vAlign w:val="bottom"/>
          </w:tcPr>
          <w:p w14:paraId="223361BA" w14:textId="77777777" w:rsidR="00DA42F2" w:rsidRPr="00DA42F2" w:rsidRDefault="00DA42F2" w:rsidP="00206490">
            <w:pPr>
              <w:spacing w:line="216" w:lineRule="auto"/>
              <w:rPr>
                <w:rtl/>
              </w:rPr>
            </w:pPr>
          </w:p>
        </w:tc>
        <w:tc>
          <w:tcPr>
            <w:tcW w:w="1276" w:type="dxa"/>
            <w:vAlign w:val="bottom"/>
          </w:tcPr>
          <w:p w14:paraId="2838CF4C" w14:textId="77777777" w:rsidR="00DA42F2" w:rsidRPr="00DA42F2" w:rsidRDefault="00DA42F2" w:rsidP="00206490">
            <w:pPr>
              <w:spacing w:line="216" w:lineRule="auto"/>
              <w:rPr>
                <w:rtl/>
              </w:rPr>
            </w:pPr>
          </w:p>
        </w:tc>
        <w:tc>
          <w:tcPr>
            <w:tcW w:w="1134" w:type="dxa"/>
            <w:vAlign w:val="bottom"/>
          </w:tcPr>
          <w:p w14:paraId="26756F54" w14:textId="77777777" w:rsidR="00DA42F2" w:rsidRPr="00DA42F2" w:rsidRDefault="00DA42F2" w:rsidP="00206490">
            <w:pPr>
              <w:spacing w:line="216" w:lineRule="auto"/>
              <w:rPr>
                <w:rtl/>
              </w:rPr>
            </w:pPr>
          </w:p>
        </w:tc>
        <w:tc>
          <w:tcPr>
            <w:tcW w:w="849" w:type="dxa"/>
            <w:vAlign w:val="bottom"/>
          </w:tcPr>
          <w:p w14:paraId="023C9F65" w14:textId="77777777" w:rsidR="00DA42F2" w:rsidRPr="00DA42F2" w:rsidRDefault="00DA42F2" w:rsidP="00206490">
            <w:pPr>
              <w:spacing w:line="216" w:lineRule="auto"/>
              <w:rPr>
                <w:rtl/>
              </w:rPr>
            </w:pPr>
          </w:p>
        </w:tc>
      </w:tr>
      <w:tr w:rsidR="00DA42F2" w:rsidRPr="00DA42F2" w14:paraId="35CB2632" w14:textId="77777777" w:rsidTr="00EC46DF">
        <w:trPr>
          <w:trHeight w:val="245"/>
        </w:trPr>
        <w:tc>
          <w:tcPr>
            <w:tcW w:w="1304" w:type="dxa"/>
          </w:tcPr>
          <w:p w14:paraId="37A292CF" w14:textId="77777777" w:rsidR="00DA42F2" w:rsidRPr="00DA42F2" w:rsidRDefault="00DA42F2" w:rsidP="00206490">
            <w:pPr>
              <w:spacing w:line="216" w:lineRule="auto"/>
              <w:ind w:left="144" w:hanging="144"/>
              <w:jc w:val="left"/>
              <w:rPr>
                <w:color w:val="000000"/>
                <w:rtl/>
                <w:lang w:eastAsia="he-IL"/>
              </w:rPr>
            </w:pPr>
          </w:p>
        </w:tc>
        <w:tc>
          <w:tcPr>
            <w:tcW w:w="4531" w:type="dxa"/>
            <w:vAlign w:val="bottom"/>
          </w:tcPr>
          <w:p w14:paraId="72E6DA0D" w14:textId="77777777" w:rsidR="00DA42F2" w:rsidRPr="00DA42F2" w:rsidRDefault="00DA42F2" w:rsidP="00206490">
            <w:pPr>
              <w:spacing w:line="216" w:lineRule="auto"/>
              <w:ind w:left="590" w:hanging="323"/>
              <w:jc w:val="left"/>
              <w:rPr>
                <w:color w:val="000000"/>
                <w:sz w:val="18"/>
                <w:szCs w:val="18"/>
                <w:rtl/>
                <w:lang w:eastAsia="he-IL"/>
              </w:rPr>
            </w:pPr>
            <w:r w:rsidRPr="00DA42F2">
              <w:rPr>
                <w:rFonts w:hint="cs"/>
                <w:b/>
                <w:bCs/>
                <w:color w:val="000000"/>
                <w:rtl/>
                <w:lang w:eastAsia="he-IL"/>
              </w:rPr>
              <w:t xml:space="preserve">סך הכל </w:t>
            </w:r>
            <w:r w:rsidRPr="00DA42F2">
              <w:rPr>
                <w:rFonts w:hint="cs"/>
                <w:b/>
                <w:bCs/>
                <w:rtl/>
                <w:lang w:eastAsia="he-IL"/>
              </w:rPr>
              <w:t xml:space="preserve">אגרות חוב </w:t>
            </w:r>
            <w:r w:rsidRPr="00DA42F2">
              <w:rPr>
                <w:rFonts w:hint="cs"/>
                <w:b/>
                <w:bCs/>
                <w:color w:val="000000"/>
                <w:rtl/>
                <w:lang w:eastAsia="he-IL"/>
              </w:rPr>
              <w:t>מגובות משכנתא</w:t>
            </w:r>
            <w:r w:rsidRPr="00DA42F2">
              <w:rPr>
                <w:rFonts w:hint="eastAsia"/>
                <w:b/>
                <w:bCs/>
                <w:color w:val="000000"/>
                <w:rtl/>
                <w:lang w:eastAsia="he-IL"/>
              </w:rPr>
              <w:t>ות</w:t>
            </w:r>
            <w:r w:rsidRPr="00DA42F2">
              <w:rPr>
                <w:b/>
                <w:bCs/>
                <w:color w:val="000000"/>
                <w:sz w:val="18"/>
                <w:szCs w:val="18"/>
                <w:rtl/>
                <w:lang w:eastAsia="he-IL"/>
              </w:rPr>
              <w:t xml:space="preserve"> (</w:t>
            </w:r>
            <w:r w:rsidRPr="00DA42F2">
              <w:rPr>
                <w:b/>
                <w:bCs/>
                <w:color w:val="000000"/>
                <w:sz w:val="18"/>
                <w:szCs w:val="18"/>
                <w:lang w:eastAsia="he-IL"/>
              </w:rPr>
              <w:t>MBS</w:t>
            </w:r>
            <w:r w:rsidRPr="00DA42F2">
              <w:rPr>
                <w:b/>
                <w:bCs/>
                <w:color w:val="000000"/>
                <w:sz w:val="18"/>
                <w:szCs w:val="18"/>
                <w:rtl/>
                <w:lang w:eastAsia="he-IL"/>
              </w:rPr>
              <w:t>)</w:t>
            </w:r>
          </w:p>
        </w:tc>
        <w:tc>
          <w:tcPr>
            <w:tcW w:w="888" w:type="dxa"/>
            <w:vAlign w:val="bottom"/>
          </w:tcPr>
          <w:p w14:paraId="1D48102C" w14:textId="77777777" w:rsidR="00DA42F2" w:rsidRPr="00DA42F2" w:rsidRDefault="00DA42F2" w:rsidP="00206490">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276" w:type="dxa"/>
            <w:vAlign w:val="bottom"/>
          </w:tcPr>
          <w:p w14:paraId="70A12DBD" w14:textId="77777777" w:rsidR="00DA42F2" w:rsidRPr="00DA42F2" w:rsidRDefault="00DA42F2" w:rsidP="00206490">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134" w:type="dxa"/>
            <w:vAlign w:val="bottom"/>
          </w:tcPr>
          <w:p w14:paraId="7264AFFB" w14:textId="77777777" w:rsidR="00DA42F2" w:rsidRPr="00DA42F2" w:rsidRDefault="00DA42F2" w:rsidP="00206490">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849" w:type="dxa"/>
            <w:vAlign w:val="bottom"/>
          </w:tcPr>
          <w:p w14:paraId="1BC027FF" w14:textId="77777777" w:rsidR="00DA42F2" w:rsidRPr="00DA42F2" w:rsidRDefault="00DA42F2" w:rsidP="00206490">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r>
      <w:tr w:rsidR="00DA42F2" w:rsidRPr="00DA42F2" w14:paraId="29680D71" w14:textId="77777777" w:rsidTr="00EC46DF">
        <w:trPr>
          <w:trHeight w:hRule="exact" w:val="227"/>
        </w:trPr>
        <w:tc>
          <w:tcPr>
            <w:tcW w:w="1304" w:type="dxa"/>
          </w:tcPr>
          <w:p w14:paraId="4D852DB8" w14:textId="77777777" w:rsidR="00DA42F2" w:rsidRPr="00DA42F2" w:rsidRDefault="00DA42F2" w:rsidP="00206490">
            <w:pPr>
              <w:spacing w:line="216" w:lineRule="auto"/>
              <w:ind w:left="144" w:hanging="144"/>
              <w:jc w:val="left"/>
              <w:rPr>
                <w:color w:val="000000"/>
                <w:rtl/>
                <w:lang w:eastAsia="he-IL"/>
              </w:rPr>
            </w:pPr>
          </w:p>
          <w:p w14:paraId="0937D8B8" w14:textId="77777777" w:rsidR="00DA42F2" w:rsidRPr="00DA42F2" w:rsidRDefault="00DA42F2" w:rsidP="00206490">
            <w:pPr>
              <w:spacing w:line="216" w:lineRule="auto"/>
              <w:ind w:left="144" w:hanging="144"/>
              <w:jc w:val="left"/>
              <w:rPr>
                <w:color w:val="000000"/>
                <w:rtl/>
                <w:lang w:eastAsia="he-IL"/>
              </w:rPr>
            </w:pPr>
          </w:p>
        </w:tc>
        <w:tc>
          <w:tcPr>
            <w:tcW w:w="4531" w:type="dxa"/>
            <w:vAlign w:val="bottom"/>
          </w:tcPr>
          <w:p w14:paraId="3E81BB66" w14:textId="77777777" w:rsidR="00DA42F2" w:rsidRPr="00DA42F2" w:rsidRDefault="00DA42F2" w:rsidP="00206490">
            <w:pPr>
              <w:spacing w:line="216" w:lineRule="auto"/>
              <w:ind w:left="1037" w:hanging="144"/>
              <w:jc w:val="left"/>
              <w:rPr>
                <w:color w:val="000000"/>
                <w:sz w:val="18"/>
                <w:szCs w:val="18"/>
                <w:rtl/>
                <w:lang w:eastAsia="he-IL"/>
              </w:rPr>
            </w:pPr>
          </w:p>
        </w:tc>
        <w:tc>
          <w:tcPr>
            <w:tcW w:w="888" w:type="dxa"/>
            <w:vAlign w:val="bottom"/>
          </w:tcPr>
          <w:p w14:paraId="11FF0682" w14:textId="77777777" w:rsidR="00DA42F2" w:rsidRPr="00DA42F2" w:rsidRDefault="00DA42F2" w:rsidP="00206490">
            <w:pPr>
              <w:spacing w:line="216" w:lineRule="auto"/>
              <w:rPr>
                <w:rtl/>
              </w:rPr>
            </w:pPr>
          </w:p>
        </w:tc>
        <w:tc>
          <w:tcPr>
            <w:tcW w:w="1276" w:type="dxa"/>
            <w:vAlign w:val="bottom"/>
          </w:tcPr>
          <w:p w14:paraId="7FA96384" w14:textId="77777777" w:rsidR="00DA42F2" w:rsidRPr="00DA42F2" w:rsidRDefault="00DA42F2" w:rsidP="00206490">
            <w:pPr>
              <w:spacing w:line="216" w:lineRule="auto"/>
              <w:rPr>
                <w:rtl/>
              </w:rPr>
            </w:pPr>
          </w:p>
        </w:tc>
        <w:tc>
          <w:tcPr>
            <w:tcW w:w="1134" w:type="dxa"/>
            <w:vAlign w:val="bottom"/>
          </w:tcPr>
          <w:p w14:paraId="205BCB4C" w14:textId="77777777" w:rsidR="00DA42F2" w:rsidRPr="00DA42F2" w:rsidRDefault="00DA42F2" w:rsidP="00206490">
            <w:pPr>
              <w:spacing w:line="216" w:lineRule="auto"/>
              <w:rPr>
                <w:rtl/>
              </w:rPr>
            </w:pPr>
          </w:p>
        </w:tc>
        <w:tc>
          <w:tcPr>
            <w:tcW w:w="849" w:type="dxa"/>
            <w:vAlign w:val="bottom"/>
          </w:tcPr>
          <w:p w14:paraId="7C92DE53" w14:textId="77777777" w:rsidR="00DA42F2" w:rsidRPr="00DA42F2" w:rsidRDefault="00DA42F2" w:rsidP="00206490">
            <w:pPr>
              <w:spacing w:line="216" w:lineRule="auto"/>
              <w:rPr>
                <w:rtl/>
              </w:rPr>
            </w:pPr>
          </w:p>
        </w:tc>
      </w:tr>
      <w:tr w:rsidR="00DA42F2" w:rsidRPr="00DA42F2" w14:paraId="42D1C9B7" w14:textId="77777777" w:rsidTr="00EC46DF">
        <w:trPr>
          <w:trHeight w:val="245"/>
        </w:trPr>
        <w:tc>
          <w:tcPr>
            <w:tcW w:w="1304" w:type="dxa"/>
          </w:tcPr>
          <w:p w14:paraId="17D8621F" w14:textId="77777777" w:rsidR="00DA42F2" w:rsidRPr="00DA42F2" w:rsidRDefault="00DA42F2" w:rsidP="00206490">
            <w:pPr>
              <w:spacing w:line="216" w:lineRule="auto"/>
              <w:ind w:left="144" w:hanging="144"/>
              <w:jc w:val="left"/>
              <w:rPr>
                <w:color w:val="000000"/>
                <w:rtl/>
                <w:lang w:eastAsia="he-IL"/>
              </w:rPr>
            </w:pPr>
          </w:p>
        </w:tc>
        <w:tc>
          <w:tcPr>
            <w:tcW w:w="4531" w:type="dxa"/>
            <w:vAlign w:val="bottom"/>
          </w:tcPr>
          <w:p w14:paraId="63391055" w14:textId="77777777" w:rsidR="00DA42F2" w:rsidRPr="00DA42F2" w:rsidRDefault="00DA42F2" w:rsidP="00D6057D">
            <w:pPr>
              <w:numPr>
                <w:ilvl w:val="0"/>
                <w:numId w:val="25"/>
              </w:numPr>
              <w:spacing w:line="216" w:lineRule="auto"/>
              <w:ind w:left="267" w:hanging="267"/>
              <w:jc w:val="left"/>
              <w:rPr>
                <w:b/>
                <w:bCs/>
                <w:color w:val="000000"/>
                <w:rtl/>
                <w:lang w:eastAsia="he-IL"/>
              </w:rPr>
            </w:pPr>
            <w:r w:rsidRPr="00DA42F2">
              <w:rPr>
                <w:rFonts w:hint="cs"/>
                <w:b/>
                <w:bCs/>
                <w:rtl/>
                <w:lang w:eastAsia="he-IL"/>
              </w:rPr>
              <w:t>סך</w:t>
            </w:r>
            <w:r w:rsidRPr="00DA42F2">
              <w:rPr>
                <w:rFonts w:hint="cs"/>
                <w:b/>
                <w:bCs/>
                <w:color w:val="000000"/>
                <w:rtl/>
                <w:lang w:eastAsia="he-IL"/>
              </w:rPr>
              <w:t xml:space="preserve"> הכל </w:t>
            </w:r>
            <w:r w:rsidRPr="00DA42F2">
              <w:rPr>
                <w:rFonts w:hint="cs"/>
                <w:b/>
                <w:bCs/>
                <w:rtl/>
                <w:lang w:eastAsia="he-IL"/>
              </w:rPr>
              <w:t xml:space="preserve">אגרות חוב </w:t>
            </w:r>
            <w:r w:rsidRPr="00DA42F2">
              <w:rPr>
                <w:rFonts w:hint="cs"/>
                <w:b/>
                <w:bCs/>
                <w:color w:val="000000"/>
                <w:rtl/>
                <w:lang w:eastAsia="he-IL"/>
              </w:rPr>
              <w:t xml:space="preserve">מגובות נכסים </w:t>
            </w:r>
            <w:r w:rsidRPr="007F5094">
              <w:rPr>
                <w:rFonts w:hint="cs"/>
                <w:b/>
                <w:bCs/>
                <w:color w:val="000000"/>
                <w:sz w:val="18"/>
                <w:szCs w:val="18"/>
                <w:rtl/>
                <w:lang w:eastAsia="he-IL"/>
              </w:rPr>
              <w:t>(</w:t>
            </w:r>
            <w:r w:rsidRPr="007F5094">
              <w:rPr>
                <w:b/>
                <w:bCs/>
                <w:color w:val="000000"/>
                <w:sz w:val="18"/>
                <w:szCs w:val="18"/>
                <w:lang w:eastAsia="he-IL"/>
              </w:rPr>
              <w:t>ABS</w:t>
            </w:r>
            <w:r w:rsidRPr="007F5094">
              <w:rPr>
                <w:rFonts w:hint="cs"/>
                <w:b/>
                <w:bCs/>
                <w:color w:val="000000"/>
                <w:sz w:val="18"/>
                <w:szCs w:val="18"/>
                <w:rtl/>
                <w:lang w:eastAsia="he-IL"/>
              </w:rPr>
              <w:t>)</w:t>
            </w:r>
          </w:p>
          <w:p w14:paraId="1F347B40" w14:textId="677B1DD3" w:rsidR="00DA42F2" w:rsidRPr="00AF6EE7" w:rsidRDefault="007F5094" w:rsidP="00206490">
            <w:pPr>
              <w:spacing w:line="216" w:lineRule="auto"/>
              <w:ind w:left="908" w:hanging="694"/>
              <w:jc w:val="left"/>
              <w:rPr>
                <w:color w:val="000000"/>
                <w:sz w:val="16"/>
                <w:szCs w:val="16"/>
                <w:rtl/>
                <w:lang w:eastAsia="he-IL"/>
              </w:rPr>
            </w:pPr>
            <w:r w:rsidRPr="00AF6EE7">
              <w:rPr>
                <w:rFonts w:hint="cs"/>
                <w:color w:val="000000"/>
                <w:sz w:val="16"/>
                <w:szCs w:val="16"/>
                <w:rtl/>
                <w:lang w:eastAsia="he-IL"/>
              </w:rPr>
              <w:t xml:space="preserve">  </w:t>
            </w:r>
            <w:r w:rsidR="00DA42F2" w:rsidRPr="00AF6EE7">
              <w:rPr>
                <w:rFonts w:hint="cs"/>
                <w:color w:val="000000"/>
                <w:sz w:val="16"/>
                <w:szCs w:val="16"/>
                <w:rtl/>
                <w:lang w:eastAsia="he-IL"/>
              </w:rPr>
              <w:t>[פרט אם מהותי]</w:t>
            </w:r>
          </w:p>
        </w:tc>
        <w:tc>
          <w:tcPr>
            <w:tcW w:w="888" w:type="dxa"/>
            <w:vAlign w:val="bottom"/>
          </w:tcPr>
          <w:p w14:paraId="3B690F15" w14:textId="77777777" w:rsidR="00DA42F2" w:rsidRPr="00DA42F2" w:rsidRDefault="00DA42F2" w:rsidP="00206490">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276" w:type="dxa"/>
            <w:vAlign w:val="bottom"/>
          </w:tcPr>
          <w:p w14:paraId="48746162" w14:textId="77777777" w:rsidR="00DA42F2" w:rsidRPr="00DA42F2" w:rsidRDefault="00DA42F2" w:rsidP="00206490">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134" w:type="dxa"/>
            <w:vAlign w:val="bottom"/>
          </w:tcPr>
          <w:p w14:paraId="33C8D4C1" w14:textId="77777777" w:rsidR="00DA42F2" w:rsidRPr="00DA42F2" w:rsidRDefault="00DA42F2" w:rsidP="00206490">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849" w:type="dxa"/>
            <w:vAlign w:val="bottom"/>
          </w:tcPr>
          <w:p w14:paraId="3A96B606" w14:textId="77777777" w:rsidR="00DA42F2" w:rsidRPr="00DA42F2" w:rsidRDefault="00DA42F2" w:rsidP="00206490">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r>
      <w:tr w:rsidR="00DA42F2" w:rsidRPr="00DA42F2" w14:paraId="7292E0A7" w14:textId="77777777" w:rsidTr="00EC46DF">
        <w:trPr>
          <w:trHeight w:hRule="exact" w:val="144"/>
        </w:trPr>
        <w:tc>
          <w:tcPr>
            <w:tcW w:w="1304" w:type="dxa"/>
          </w:tcPr>
          <w:p w14:paraId="05343A8A" w14:textId="77777777" w:rsidR="00DA42F2" w:rsidRPr="00DA42F2" w:rsidRDefault="00DA42F2" w:rsidP="00206490">
            <w:pPr>
              <w:spacing w:line="216" w:lineRule="auto"/>
              <w:ind w:left="144" w:hanging="144"/>
              <w:jc w:val="left"/>
              <w:rPr>
                <w:color w:val="000000"/>
                <w:rtl/>
                <w:lang w:eastAsia="he-IL"/>
              </w:rPr>
            </w:pPr>
          </w:p>
        </w:tc>
        <w:tc>
          <w:tcPr>
            <w:tcW w:w="4531" w:type="dxa"/>
            <w:vAlign w:val="bottom"/>
          </w:tcPr>
          <w:p w14:paraId="3FB6776E" w14:textId="77777777" w:rsidR="00DA42F2" w:rsidRPr="00DA42F2" w:rsidRDefault="00DA42F2" w:rsidP="00206490">
            <w:pPr>
              <w:spacing w:line="216" w:lineRule="auto"/>
              <w:ind w:left="1037" w:hanging="144"/>
              <w:jc w:val="left"/>
              <w:rPr>
                <w:color w:val="000000"/>
                <w:sz w:val="18"/>
                <w:szCs w:val="18"/>
                <w:rtl/>
                <w:lang w:eastAsia="he-IL"/>
              </w:rPr>
            </w:pPr>
          </w:p>
        </w:tc>
        <w:tc>
          <w:tcPr>
            <w:tcW w:w="888" w:type="dxa"/>
            <w:vAlign w:val="bottom"/>
          </w:tcPr>
          <w:p w14:paraId="561092BF" w14:textId="77777777" w:rsidR="00DA42F2" w:rsidRPr="00DA42F2" w:rsidRDefault="00DA42F2" w:rsidP="00206490">
            <w:pPr>
              <w:spacing w:line="216" w:lineRule="auto"/>
              <w:rPr>
                <w:rtl/>
              </w:rPr>
            </w:pPr>
          </w:p>
        </w:tc>
        <w:tc>
          <w:tcPr>
            <w:tcW w:w="1276" w:type="dxa"/>
            <w:vAlign w:val="bottom"/>
          </w:tcPr>
          <w:p w14:paraId="54DA96C8" w14:textId="77777777" w:rsidR="00DA42F2" w:rsidRPr="00DA42F2" w:rsidRDefault="00DA42F2" w:rsidP="00206490">
            <w:pPr>
              <w:spacing w:line="216" w:lineRule="auto"/>
              <w:rPr>
                <w:rtl/>
              </w:rPr>
            </w:pPr>
          </w:p>
        </w:tc>
        <w:tc>
          <w:tcPr>
            <w:tcW w:w="1134" w:type="dxa"/>
            <w:vAlign w:val="bottom"/>
          </w:tcPr>
          <w:p w14:paraId="60D757FD" w14:textId="77777777" w:rsidR="00DA42F2" w:rsidRPr="00DA42F2" w:rsidRDefault="00DA42F2" w:rsidP="00206490">
            <w:pPr>
              <w:spacing w:line="216" w:lineRule="auto"/>
              <w:rPr>
                <w:rtl/>
              </w:rPr>
            </w:pPr>
          </w:p>
        </w:tc>
        <w:tc>
          <w:tcPr>
            <w:tcW w:w="849" w:type="dxa"/>
            <w:vAlign w:val="bottom"/>
          </w:tcPr>
          <w:p w14:paraId="40575CE0" w14:textId="77777777" w:rsidR="00DA42F2" w:rsidRPr="00DA42F2" w:rsidRDefault="00DA42F2" w:rsidP="00206490">
            <w:pPr>
              <w:spacing w:line="216" w:lineRule="auto"/>
              <w:rPr>
                <w:rtl/>
              </w:rPr>
            </w:pPr>
          </w:p>
        </w:tc>
      </w:tr>
      <w:tr w:rsidR="00DA42F2" w:rsidRPr="00DA42F2" w14:paraId="6C9CEA3A" w14:textId="77777777" w:rsidTr="00EC46DF">
        <w:trPr>
          <w:trHeight w:val="245"/>
        </w:trPr>
        <w:tc>
          <w:tcPr>
            <w:tcW w:w="1304" w:type="dxa"/>
          </w:tcPr>
          <w:p w14:paraId="07C15A5C" w14:textId="77777777" w:rsidR="00DA42F2" w:rsidRPr="00DA42F2" w:rsidRDefault="00DA42F2" w:rsidP="00206490">
            <w:pPr>
              <w:spacing w:line="216" w:lineRule="auto"/>
              <w:ind w:left="144" w:hanging="144"/>
              <w:jc w:val="left"/>
              <w:rPr>
                <w:color w:val="000000"/>
                <w:rtl/>
                <w:lang w:eastAsia="he-IL"/>
              </w:rPr>
            </w:pPr>
          </w:p>
        </w:tc>
        <w:tc>
          <w:tcPr>
            <w:tcW w:w="4531" w:type="dxa"/>
            <w:vAlign w:val="bottom"/>
          </w:tcPr>
          <w:p w14:paraId="1FB44049" w14:textId="77777777" w:rsidR="00DA42F2" w:rsidRPr="00DA42F2" w:rsidRDefault="00DA42F2" w:rsidP="00206490">
            <w:pPr>
              <w:spacing w:before="40" w:line="216" w:lineRule="auto"/>
              <w:jc w:val="left"/>
              <w:rPr>
                <w:b/>
                <w:bCs/>
                <w:color w:val="000000"/>
                <w:sz w:val="18"/>
                <w:szCs w:val="18"/>
                <w:rtl/>
                <w:lang w:eastAsia="he-IL"/>
              </w:rPr>
            </w:pPr>
            <w:r w:rsidRPr="00DA42F2">
              <w:rPr>
                <w:rFonts w:hint="cs"/>
                <w:b/>
                <w:bCs/>
                <w:color w:val="000000"/>
                <w:rtl/>
                <w:lang w:eastAsia="he-IL"/>
              </w:rPr>
              <w:t xml:space="preserve">סך הכל </w:t>
            </w:r>
            <w:r w:rsidRPr="00DA42F2">
              <w:rPr>
                <w:rFonts w:hint="cs"/>
                <w:b/>
                <w:bCs/>
                <w:rtl/>
                <w:lang w:eastAsia="he-IL"/>
              </w:rPr>
              <w:t>אגרות חוב</w:t>
            </w:r>
            <w:r w:rsidRPr="00DA42F2">
              <w:rPr>
                <w:rFonts w:hint="cs"/>
                <w:rtl/>
                <w:lang w:eastAsia="he-IL"/>
              </w:rPr>
              <w:t xml:space="preserve"> </w:t>
            </w:r>
            <w:r w:rsidRPr="00DA42F2">
              <w:rPr>
                <w:rFonts w:hint="cs"/>
                <w:b/>
                <w:bCs/>
                <w:color w:val="000000"/>
                <w:rtl/>
                <w:lang w:eastAsia="he-IL"/>
              </w:rPr>
              <w:t>זמינות למכירה מגובות משכנתאות ומגובות נכסים</w:t>
            </w:r>
          </w:p>
        </w:tc>
        <w:tc>
          <w:tcPr>
            <w:tcW w:w="888" w:type="dxa"/>
            <w:vAlign w:val="bottom"/>
          </w:tcPr>
          <w:p w14:paraId="6112E139" w14:textId="77777777" w:rsidR="00DA42F2" w:rsidRPr="00DA42F2" w:rsidRDefault="00DA42F2" w:rsidP="00206490">
            <w:pPr>
              <w:pBdr>
                <w:bottom w:val="doub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276" w:type="dxa"/>
            <w:vAlign w:val="bottom"/>
          </w:tcPr>
          <w:p w14:paraId="2C572418" w14:textId="77777777" w:rsidR="00DA42F2" w:rsidRPr="00DA42F2" w:rsidRDefault="00DA42F2" w:rsidP="00206490">
            <w:pPr>
              <w:pBdr>
                <w:bottom w:val="doub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134" w:type="dxa"/>
            <w:vAlign w:val="bottom"/>
          </w:tcPr>
          <w:p w14:paraId="26108523" w14:textId="77777777" w:rsidR="00DA42F2" w:rsidRPr="00DA42F2" w:rsidRDefault="00DA42F2" w:rsidP="00206490">
            <w:pPr>
              <w:pBdr>
                <w:bottom w:val="doub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849" w:type="dxa"/>
            <w:vAlign w:val="bottom"/>
          </w:tcPr>
          <w:p w14:paraId="62D05014" w14:textId="77777777" w:rsidR="00DA42F2" w:rsidRPr="00DA42F2" w:rsidRDefault="00DA42F2" w:rsidP="00206490">
            <w:pPr>
              <w:pBdr>
                <w:bottom w:val="doub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r>
    </w:tbl>
    <w:p w14:paraId="10832B07" w14:textId="77777777" w:rsidR="00206490" w:rsidRDefault="00206490"/>
    <w:tbl>
      <w:tblPr>
        <w:bidiVisual/>
        <w:tblW w:w="4891" w:type="pct"/>
        <w:tblLook w:val="04A0" w:firstRow="1" w:lastRow="0" w:firstColumn="1" w:lastColumn="0" w:noHBand="0" w:noVBand="1"/>
      </w:tblPr>
      <w:tblGrid>
        <w:gridCol w:w="1304"/>
        <w:gridCol w:w="4533"/>
        <w:gridCol w:w="888"/>
        <w:gridCol w:w="1276"/>
        <w:gridCol w:w="1134"/>
        <w:gridCol w:w="849"/>
      </w:tblGrid>
      <w:tr w:rsidR="00206490" w:rsidRPr="00DA42F2" w14:paraId="41040479" w14:textId="77777777" w:rsidTr="00EC46DF">
        <w:trPr>
          <w:trHeight w:val="245"/>
        </w:trPr>
        <w:tc>
          <w:tcPr>
            <w:tcW w:w="1304" w:type="dxa"/>
          </w:tcPr>
          <w:p w14:paraId="7C1ECBE6" w14:textId="1B3B0805" w:rsidR="00206490" w:rsidRPr="00DA42F2" w:rsidRDefault="00206490" w:rsidP="00400DD1">
            <w:pPr>
              <w:spacing w:line="241" w:lineRule="auto"/>
              <w:ind w:left="144" w:hanging="144"/>
              <w:jc w:val="left"/>
              <w:rPr>
                <w:color w:val="000000"/>
                <w:rtl/>
                <w:lang w:eastAsia="he-IL"/>
              </w:rPr>
            </w:pPr>
          </w:p>
        </w:tc>
        <w:tc>
          <w:tcPr>
            <w:tcW w:w="4533" w:type="dxa"/>
            <w:vAlign w:val="bottom"/>
          </w:tcPr>
          <w:p w14:paraId="448139E7" w14:textId="77777777" w:rsidR="00206490" w:rsidRPr="00DA42F2" w:rsidRDefault="00206490" w:rsidP="00400DD1">
            <w:pPr>
              <w:spacing w:line="241" w:lineRule="auto"/>
              <w:ind w:left="144" w:hanging="144"/>
              <w:jc w:val="left"/>
              <w:rPr>
                <w:color w:val="000000"/>
                <w:rtl/>
                <w:lang w:eastAsia="he-IL"/>
              </w:rPr>
            </w:pPr>
          </w:p>
        </w:tc>
        <w:tc>
          <w:tcPr>
            <w:tcW w:w="4147" w:type="dxa"/>
            <w:gridSpan w:val="4"/>
            <w:vAlign w:val="bottom"/>
          </w:tcPr>
          <w:p w14:paraId="2C973CCB" w14:textId="57A3311B" w:rsidR="00206490" w:rsidRPr="000446FA" w:rsidRDefault="00206490" w:rsidP="00400DD1">
            <w:pPr>
              <w:pBdr>
                <w:bottom w:val="single" w:sz="4" w:space="1" w:color="auto"/>
              </w:pBdr>
              <w:spacing w:line="241" w:lineRule="auto"/>
              <w:jc w:val="center"/>
              <w:rPr>
                <w:b/>
                <w:bCs/>
                <w:sz w:val="18"/>
                <w:szCs w:val="18"/>
                <w:rtl/>
              </w:rPr>
            </w:pPr>
            <w:r w:rsidRPr="000446FA">
              <w:rPr>
                <w:rFonts w:hint="cs"/>
                <w:b/>
                <w:bCs/>
                <w:sz w:val="18"/>
                <w:szCs w:val="18"/>
                <w:rtl/>
              </w:rPr>
              <w:t xml:space="preserve">ליום 30 ביוני </w:t>
            </w:r>
            <w:r w:rsidRPr="000446FA">
              <w:rPr>
                <w:b/>
                <w:bCs/>
                <w:sz w:val="18"/>
                <w:szCs w:val="18"/>
                <w:rtl/>
              </w:rPr>
              <w:fldChar w:fldCharType="begin"/>
            </w:r>
            <w:r w:rsidRPr="000446FA">
              <w:rPr>
                <w:b/>
                <w:bCs/>
                <w:sz w:val="18"/>
                <w:szCs w:val="18"/>
                <w:rtl/>
              </w:rPr>
              <w:instrText xml:space="preserve"> </w:instrText>
            </w:r>
            <w:r w:rsidRPr="000446FA">
              <w:rPr>
                <w:rFonts w:hint="cs"/>
                <w:b/>
                <w:bCs/>
                <w:sz w:val="18"/>
                <w:szCs w:val="18"/>
                <w:rtl/>
              </w:rPr>
              <w:instrText xml:space="preserve">= </w:instrText>
            </w:r>
            <w:r w:rsidRPr="000446FA">
              <w:rPr>
                <w:rFonts w:hint="cs"/>
                <w:b/>
                <w:bCs/>
                <w:sz w:val="18"/>
                <w:szCs w:val="18"/>
              </w:rPr>
              <w:instrText>CY</w:instrText>
            </w:r>
            <w:r w:rsidRPr="000446FA">
              <w:rPr>
                <w:b/>
                <w:bCs/>
                <w:sz w:val="18"/>
                <w:szCs w:val="18"/>
              </w:rPr>
              <w:instrText>-1</w:instrText>
            </w:r>
            <w:r w:rsidRPr="000446FA">
              <w:rPr>
                <w:rFonts w:hint="cs"/>
                <w:b/>
                <w:bCs/>
                <w:sz w:val="18"/>
                <w:szCs w:val="18"/>
              </w:rPr>
              <w:instrText xml:space="preserve"> \* MERGEFORMAT</w:instrText>
            </w:r>
            <w:r w:rsidRPr="000446FA">
              <w:rPr>
                <w:b/>
                <w:bCs/>
                <w:sz w:val="18"/>
                <w:szCs w:val="18"/>
                <w:rtl/>
              </w:rPr>
              <w:instrText xml:space="preserve"> </w:instrText>
            </w:r>
            <w:r w:rsidRPr="000446FA">
              <w:rPr>
                <w:b/>
                <w:bCs/>
                <w:sz w:val="18"/>
                <w:szCs w:val="18"/>
                <w:rtl/>
              </w:rPr>
              <w:fldChar w:fldCharType="separate"/>
            </w:r>
            <w:r w:rsidR="003A584F">
              <w:rPr>
                <w:b/>
                <w:bCs/>
                <w:noProof/>
                <w:sz w:val="18"/>
                <w:szCs w:val="18"/>
                <w:rtl/>
              </w:rPr>
              <w:t>2023</w:t>
            </w:r>
            <w:r w:rsidRPr="000446FA">
              <w:rPr>
                <w:b/>
                <w:bCs/>
                <w:sz w:val="18"/>
                <w:szCs w:val="18"/>
                <w:rtl/>
              </w:rPr>
              <w:fldChar w:fldCharType="end"/>
            </w:r>
            <w:r w:rsidR="000446FA">
              <w:rPr>
                <w:rFonts w:hint="cs"/>
                <w:b/>
                <w:bCs/>
                <w:sz w:val="18"/>
                <w:szCs w:val="18"/>
                <w:rtl/>
              </w:rPr>
              <w:t xml:space="preserve">  </w:t>
            </w:r>
            <w:r w:rsidR="000446FA" w:rsidRPr="000446FA">
              <w:rPr>
                <w:rFonts w:asciiTheme="minorBidi" w:hAnsiTheme="minorBidi" w:cstheme="minorBidi" w:hint="cs"/>
                <w:sz w:val="16"/>
                <w:szCs w:val="16"/>
                <w:rtl/>
              </w:rPr>
              <w:t>(</w:t>
            </w:r>
            <w:r w:rsidR="000446FA" w:rsidRPr="000446FA">
              <w:rPr>
                <w:rFonts w:asciiTheme="minorBidi" w:hAnsiTheme="minorBidi" w:cstheme="minorBidi"/>
                <w:sz w:val="16"/>
                <w:szCs w:val="16"/>
                <w:rtl/>
              </w:rPr>
              <w:t>בלתי מבוקר</w:t>
            </w:r>
            <w:r w:rsidR="000446FA" w:rsidRPr="000446FA">
              <w:rPr>
                <w:rFonts w:asciiTheme="minorBidi" w:hAnsiTheme="minorBidi" w:cstheme="minorBidi" w:hint="cs"/>
                <w:sz w:val="16"/>
                <w:szCs w:val="16"/>
                <w:rtl/>
              </w:rPr>
              <w:t>)</w:t>
            </w:r>
          </w:p>
        </w:tc>
      </w:tr>
      <w:tr w:rsidR="00206490" w:rsidRPr="00DA42F2" w14:paraId="42F60B49" w14:textId="77777777" w:rsidTr="00EC46DF">
        <w:trPr>
          <w:trHeight w:val="245"/>
        </w:trPr>
        <w:tc>
          <w:tcPr>
            <w:tcW w:w="1304" w:type="dxa"/>
          </w:tcPr>
          <w:p w14:paraId="1716A83F" w14:textId="77777777" w:rsidR="00206490" w:rsidRPr="00DA42F2" w:rsidRDefault="00206490" w:rsidP="00400DD1">
            <w:pPr>
              <w:spacing w:line="241" w:lineRule="auto"/>
              <w:ind w:left="144" w:hanging="144"/>
              <w:jc w:val="left"/>
              <w:rPr>
                <w:color w:val="000000"/>
                <w:rtl/>
                <w:lang w:eastAsia="he-IL"/>
              </w:rPr>
            </w:pPr>
          </w:p>
        </w:tc>
        <w:tc>
          <w:tcPr>
            <w:tcW w:w="4533" w:type="dxa"/>
            <w:vAlign w:val="bottom"/>
          </w:tcPr>
          <w:p w14:paraId="5B4144DD" w14:textId="77777777" w:rsidR="00206490" w:rsidRPr="00DA42F2" w:rsidRDefault="00206490" w:rsidP="00400DD1">
            <w:pPr>
              <w:spacing w:line="241" w:lineRule="auto"/>
              <w:ind w:left="144" w:hanging="144"/>
              <w:jc w:val="left"/>
              <w:rPr>
                <w:color w:val="000000"/>
                <w:rtl/>
                <w:lang w:eastAsia="he-IL"/>
              </w:rPr>
            </w:pPr>
          </w:p>
        </w:tc>
        <w:tc>
          <w:tcPr>
            <w:tcW w:w="888" w:type="dxa"/>
            <w:vAlign w:val="bottom"/>
          </w:tcPr>
          <w:p w14:paraId="71FBB32A" w14:textId="77777777" w:rsidR="00206490" w:rsidRPr="00DA42F2" w:rsidRDefault="00206490" w:rsidP="00400DD1">
            <w:pPr>
              <w:spacing w:line="241" w:lineRule="auto"/>
              <w:rPr>
                <w:rtl/>
              </w:rPr>
            </w:pPr>
          </w:p>
        </w:tc>
        <w:tc>
          <w:tcPr>
            <w:tcW w:w="2410" w:type="dxa"/>
            <w:gridSpan w:val="2"/>
            <w:vAlign w:val="bottom"/>
          </w:tcPr>
          <w:p w14:paraId="60154D23" w14:textId="77777777" w:rsidR="00206490" w:rsidRPr="00DA42F2" w:rsidRDefault="00206490" w:rsidP="00400DD1">
            <w:pPr>
              <w:pBdr>
                <w:bottom w:val="single" w:sz="4" w:space="1" w:color="auto"/>
              </w:pBdr>
              <w:spacing w:line="241" w:lineRule="auto"/>
              <w:jc w:val="center"/>
              <w:rPr>
                <w:sz w:val="18"/>
                <w:szCs w:val="18"/>
                <w:rtl/>
              </w:rPr>
            </w:pPr>
            <w:r w:rsidRPr="00DA42F2">
              <w:rPr>
                <w:rFonts w:hint="cs"/>
                <w:b/>
                <w:bCs/>
                <w:sz w:val="18"/>
                <w:szCs w:val="18"/>
                <w:rtl/>
              </w:rPr>
              <w:t>רווח כולל אחר מצטבר</w:t>
            </w:r>
          </w:p>
        </w:tc>
        <w:tc>
          <w:tcPr>
            <w:tcW w:w="849" w:type="dxa"/>
            <w:vAlign w:val="bottom"/>
          </w:tcPr>
          <w:p w14:paraId="2C3D33B9" w14:textId="77777777" w:rsidR="00206490" w:rsidRPr="00DA42F2" w:rsidRDefault="00206490" w:rsidP="00400DD1">
            <w:pPr>
              <w:spacing w:line="241" w:lineRule="auto"/>
              <w:rPr>
                <w:rtl/>
              </w:rPr>
            </w:pPr>
          </w:p>
        </w:tc>
      </w:tr>
      <w:tr w:rsidR="00206490" w:rsidRPr="00DA42F2" w14:paraId="3B1FD308" w14:textId="77777777" w:rsidTr="00EC46DF">
        <w:trPr>
          <w:trHeight w:val="245"/>
        </w:trPr>
        <w:tc>
          <w:tcPr>
            <w:tcW w:w="1304" w:type="dxa"/>
          </w:tcPr>
          <w:p w14:paraId="741BC981" w14:textId="77777777" w:rsidR="00206490" w:rsidRPr="00DA42F2" w:rsidRDefault="00206490" w:rsidP="00400DD1">
            <w:pPr>
              <w:spacing w:line="160" w:lineRule="exact"/>
              <w:ind w:left="144" w:hanging="144"/>
              <w:jc w:val="left"/>
              <w:rPr>
                <w:color w:val="000000"/>
                <w:rtl/>
                <w:lang w:eastAsia="he-IL"/>
              </w:rPr>
            </w:pPr>
          </w:p>
        </w:tc>
        <w:tc>
          <w:tcPr>
            <w:tcW w:w="4533" w:type="dxa"/>
            <w:vAlign w:val="bottom"/>
          </w:tcPr>
          <w:p w14:paraId="690E5FD5" w14:textId="77777777" w:rsidR="00206490" w:rsidRPr="00DA42F2" w:rsidRDefault="00206490" w:rsidP="00400DD1">
            <w:pPr>
              <w:spacing w:line="160" w:lineRule="exact"/>
              <w:ind w:left="144" w:hanging="144"/>
              <w:jc w:val="left"/>
              <w:rPr>
                <w:color w:val="000000"/>
                <w:rtl/>
                <w:lang w:eastAsia="he-IL"/>
              </w:rPr>
            </w:pPr>
          </w:p>
        </w:tc>
        <w:tc>
          <w:tcPr>
            <w:tcW w:w="888" w:type="dxa"/>
            <w:vAlign w:val="bottom"/>
          </w:tcPr>
          <w:p w14:paraId="677F65E3" w14:textId="77777777" w:rsidR="00206490" w:rsidRPr="00DA42F2" w:rsidRDefault="00206490" w:rsidP="00400DD1">
            <w:pPr>
              <w:pBdr>
                <w:bottom w:val="single" w:sz="4" w:space="1" w:color="auto"/>
              </w:pBdr>
              <w:spacing w:line="160" w:lineRule="exact"/>
              <w:jc w:val="center"/>
              <w:rPr>
                <w:sz w:val="17"/>
                <w:szCs w:val="17"/>
                <w:rtl/>
              </w:rPr>
            </w:pPr>
            <w:r w:rsidRPr="00DA42F2">
              <w:rPr>
                <w:rFonts w:hint="cs"/>
                <w:b/>
                <w:bCs/>
                <w:sz w:val="17"/>
                <w:szCs w:val="17"/>
                <w:rtl/>
              </w:rPr>
              <w:t>עלות מופחתת</w:t>
            </w:r>
          </w:p>
        </w:tc>
        <w:tc>
          <w:tcPr>
            <w:tcW w:w="1276" w:type="dxa"/>
            <w:vAlign w:val="bottom"/>
          </w:tcPr>
          <w:p w14:paraId="1D74AACE" w14:textId="77777777" w:rsidR="00206490" w:rsidRPr="00DA42F2" w:rsidRDefault="00206490" w:rsidP="00400DD1">
            <w:pPr>
              <w:pBdr>
                <w:bottom w:val="single" w:sz="4" w:space="1" w:color="auto"/>
              </w:pBdr>
              <w:spacing w:line="160" w:lineRule="exact"/>
              <w:jc w:val="center"/>
              <w:rPr>
                <w:sz w:val="17"/>
                <w:szCs w:val="17"/>
                <w:rtl/>
              </w:rPr>
            </w:pPr>
            <w:r w:rsidRPr="00DA42F2">
              <w:rPr>
                <w:rFonts w:hint="cs"/>
                <w:b/>
                <w:bCs/>
                <w:sz w:val="17"/>
                <w:szCs w:val="17"/>
                <w:rtl/>
              </w:rPr>
              <w:t>רווחים</w:t>
            </w:r>
          </w:p>
          <w:p w14:paraId="1FC9658C" w14:textId="77777777" w:rsidR="00206490" w:rsidRPr="00DA42F2" w:rsidRDefault="00206490" w:rsidP="00400DD1">
            <w:pPr>
              <w:pBdr>
                <w:bottom w:val="single" w:sz="4" w:space="1" w:color="auto"/>
              </w:pBdr>
              <w:spacing w:line="160" w:lineRule="exact"/>
              <w:jc w:val="center"/>
              <w:rPr>
                <w:sz w:val="17"/>
                <w:szCs w:val="17"/>
                <w:rtl/>
              </w:rPr>
            </w:pPr>
            <w:r w:rsidRPr="00DA42F2">
              <w:rPr>
                <w:rFonts w:hint="cs"/>
                <w:b/>
                <w:bCs/>
                <w:sz w:val="17"/>
                <w:szCs w:val="17"/>
                <w:rtl/>
              </w:rPr>
              <w:t>שטרם מומשו מהתאמות לשווי הוגן</w:t>
            </w:r>
          </w:p>
        </w:tc>
        <w:tc>
          <w:tcPr>
            <w:tcW w:w="1134" w:type="dxa"/>
            <w:vAlign w:val="bottom"/>
          </w:tcPr>
          <w:p w14:paraId="0C4974FE" w14:textId="77777777" w:rsidR="00206490" w:rsidRPr="00DA42F2" w:rsidRDefault="00206490" w:rsidP="00400DD1">
            <w:pPr>
              <w:pBdr>
                <w:bottom w:val="single" w:sz="4" w:space="1" w:color="auto"/>
              </w:pBdr>
              <w:spacing w:line="160" w:lineRule="exact"/>
              <w:jc w:val="center"/>
              <w:rPr>
                <w:sz w:val="17"/>
                <w:szCs w:val="17"/>
                <w:rtl/>
              </w:rPr>
            </w:pPr>
            <w:r w:rsidRPr="00DA42F2">
              <w:rPr>
                <w:rFonts w:hint="cs"/>
                <w:b/>
                <w:bCs/>
                <w:sz w:val="17"/>
                <w:szCs w:val="17"/>
                <w:rtl/>
              </w:rPr>
              <w:t>הפסדים שטרם מומשו מהתאמות לשווי הוגן</w:t>
            </w:r>
          </w:p>
        </w:tc>
        <w:tc>
          <w:tcPr>
            <w:tcW w:w="849" w:type="dxa"/>
            <w:vAlign w:val="bottom"/>
          </w:tcPr>
          <w:p w14:paraId="7919F289" w14:textId="77777777" w:rsidR="00206490" w:rsidRPr="00DA42F2" w:rsidRDefault="00206490" w:rsidP="00400DD1">
            <w:pPr>
              <w:pBdr>
                <w:bottom w:val="single" w:sz="4" w:space="1" w:color="auto"/>
              </w:pBdr>
              <w:spacing w:line="160" w:lineRule="exact"/>
              <w:jc w:val="center"/>
              <w:rPr>
                <w:sz w:val="17"/>
                <w:szCs w:val="17"/>
                <w:rtl/>
              </w:rPr>
            </w:pPr>
            <w:r w:rsidRPr="00DA42F2">
              <w:rPr>
                <w:rFonts w:hint="cs"/>
                <w:b/>
                <w:bCs/>
                <w:sz w:val="17"/>
                <w:szCs w:val="17"/>
                <w:rtl/>
              </w:rPr>
              <w:t>שווי</w:t>
            </w:r>
          </w:p>
          <w:p w14:paraId="737A6FCC" w14:textId="77777777" w:rsidR="00206490" w:rsidRPr="00DA42F2" w:rsidRDefault="00206490" w:rsidP="00400DD1">
            <w:pPr>
              <w:pBdr>
                <w:bottom w:val="single" w:sz="4" w:space="1" w:color="auto"/>
              </w:pBdr>
              <w:spacing w:line="160" w:lineRule="exact"/>
              <w:jc w:val="center"/>
              <w:rPr>
                <w:sz w:val="17"/>
                <w:szCs w:val="17"/>
                <w:rtl/>
              </w:rPr>
            </w:pPr>
            <w:r w:rsidRPr="00DA42F2">
              <w:rPr>
                <w:rFonts w:hint="cs"/>
                <w:b/>
                <w:bCs/>
                <w:sz w:val="17"/>
                <w:szCs w:val="17"/>
                <w:rtl/>
              </w:rPr>
              <w:t>הוגן</w:t>
            </w:r>
          </w:p>
        </w:tc>
      </w:tr>
      <w:tr w:rsidR="00206490" w:rsidRPr="00DA42F2" w14:paraId="73759BE2" w14:textId="77777777" w:rsidTr="00EC46DF">
        <w:trPr>
          <w:trHeight w:val="245"/>
        </w:trPr>
        <w:tc>
          <w:tcPr>
            <w:tcW w:w="1304" w:type="dxa"/>
          </w:tcPr>
          <w:p w14:paraId="4EEF9F5D" w14:textId="77777777" w:rsidR="00206490" w:rsidRPr="00DA42F2" w:rsidRDefault="00206490" w:rsidP="00400DD1">
            <w:pPr>
              <w:spacing w:line="216" w:lineRule="auto"/>
              <w:ind w:left="144" w:hanging="144"/>
              <w:jc w:val="left"/>
              <w:rPr>
                <w:color w:val="000000"/>
                <w:rtl/>
                <w:lang w:eastAsia="he-IL"/>
              </w:rPr>
            </w:pPr>
          </w:p>
        </w:tc>
        <w:tc>
          <w:tcPr>
            <w:tcW w:w="4533" w:type="dxa"/>
            <w:vAlign w:val="bottom"/>
          </w:tcPr>
          <w:p w14:paraId="59C19B3C" w14:textId="77777777" w:rsidR="00206490" w:rsidRPr="00DA42F2" w:rsidRDefault="00206490" w:rsidP="00D6057D">
            <w:pPr>
              <w:numPr>
                <w:ilvl w:val="0"/>
                <w:numId w:val="27"/>
              </w:numPr>
              <w:spacing w:line="216" w:lineRule="auto"/>
              <w:ind w:left="267" w:hanging="267"/>
              <w:jc w:val="left"/>
              <w:rPr>
                <w:b/>
                <w:bCs/>
                <w:color w:val="000000"/>
                <w:rtl/>
                <w:lang w:eastAsia="he-IL"/>
              </w:rPr>
            </w:pPr>
            <w:r w:rsidRPr="00DA42F2">
              <w:rPr>
                <w:rFonts w:hint="cs"/>
                <w:b/>
                <w:bCs/>
                <w:rtl/>
                <w:lang w:eastAsia="he-IL"/>
              </w:rPr>
              <w:t xml:space="preserve">אגרות חוב </w:t>
            </w:r>
            <w:r w:rsidRPr="00DA42F2">
              <w:rPr>
                <w:rFonts w:hint="cs"/>
                <w:b/>
                <w:bCs/>
                <w:color w:val="000000"/>
                <w:rtl/>
                <w:lang w:eastAsia="he-IL"/>
              </w:rPr>
              <w:t xml:space="preserve">מגובות משכנתאות </w:t>
            </w:r>
            <w:r w:rsidRPr="007F5094">
              <w:rPr>
                <w:rFonts w:hint="cs"/>
                <w:b/>
                <w:bCs/>
                <w:color w:val="000000"/>
                <w:sz w:val="18"/>
                <w:szCs w:val="18"/>
                <w:rtl/>
                <w:lang w:eastAsia="he-IL"/>
              </w:rPr>
              <w:t>(</w:t>
            </w:r>
            <w:r w:rsidRPr="007F5094">
              <w:rPr>
                <w:rFonts w:hint="cs"/>
                <w:b/>
                <w:bCs/>
                <w:color w:val="000000"/>
                <w:sz w:val="18"/>
                <w:szCs w:val="18"/>
                <w:lang w:eastAsia="he-IL"/>
              </w:rPr>
              <w:t>MBS</w:t>
            </w:r>
            <w:r w:rsidRPr="007F5094">
              <w:rPr>
                <w:rFonts w:hint="cs"/>
                <w:b/>
                <w:bCs/>
                <w:color w:val="000000"/>
                <w:sz w:val="18"/>
                <w:szCs w:val="18"/>
                <w:rtl/>
                <w:lang w:eastAsia="he-IL"/>
              </w:rPr>
              <w:t>):</w:t>
            </w:r>
          </w:p>
        </w:tc>
        <w:tc>
          <w:tcPr>
            <w:tcW w:w="888" w:type="dxa"/>
            <w:vAlign w:val="bottom"/>
          </w:tcPr>
          <w:p w14:paraId="736D2E93" w14:textId="77777777" w:rsidR="00206490" w:rsidRPr="00DA42F2" w:rsidRDefault="00206490" w:rsidP="00400DD1">
            <w:pPr>
              <w:spacing w:line="216" w:lineRule="auto"/>
              <w:rPr>
                <w:rtl/>
              </w:rPr>
            </w:pPr>
          </w:p>
        </w:tc>
        <w:tc>
          <w:tcPr>
            <w:tcW w:w="1276" w:type="dxa"/>
            <w:vAlign w:val="bottom"/>
          </w:tcPr>
          <w:p w14:paraId="3EA0BF2E" w14:textId="77777777" w:rsidR="00206490" w:rsidRPr="00DA42F2" w:rsidRDefault="00206490" w:rsidP="00400DD1">
            <w:pPr>
              <w:spacing w:line="216" w:lineRule="auto"/>
              <w:rPr>
                <w:rtl/>
              </w:rPr>
            </w:pPr>
          </w:p>
        </w:tc>
        <w:tc>
          <w:tcPr>
            <w:tcW w:w="1134" w:type="dxa"/>
            <w:vAlign w:val="bottom"/>
          </w:tcPr>
          <w:p w14:paraId="37D31244" w14:textId="77777777" w:rsidR="00206490" w:rsidRPr="00DA42F2" w:rsidRDefault="00206490" w:rsidP="00400DD1">
            <w:pPr>
              <w:spacing w:line="216" w:lineRule="auto"/>
              <w:rPr>
                <w:rtl/>
              </w:rPr>
            </w:pPr>
          </w:p>
        </w:tc>
        <w:tc>
          <w:tcPr>
            <w:tcW w:w="849" w:type="dxa"/>
            <w:vAlign w:val="bottom"/>
          </w:tcPr>
          <w:p w14:paraId="37708A47" w14:textId="77777777" w:rsidR="00206490" w:rsidRPr="00DA42F2" w:rsidRDefault="00206490" w:rsidP="00400DD1">
            <w:pPr>
              <w:spacing w:line="216" w:lineRule="auto"/>
              <w:rPr>
                <w:rtl/>
              </w:rPr>
            </w:pPr>
          </w:p>
        </w:tc>
      </w:tr>
      <w:tr w:rsidR="00206490" w:rsidRPr="00DA42F2" w14:paraId="30C02416" w14:textId="77777777" w:rsidTr="00EC46DF">
        <w:trPr>
          <w:trHeight w:val="245"/>
        </w:trPr>
        <w:tc>
          <w:tcPr>
            <w:tcW w:w="1304" w:type="dxa"/>
          </w:tcPr>
          <w:p w14:paraId="01EA21FE" w14:textId="77777777" w:rsidR="00206490" w:rsidRPr="00DA42F2" w:rsidRDefault="00206490" w:rsidP="00400DD1">
            <w:pPr>
              <w:spacing w:line="216" w:lineRule="auto"/>
              <w:ind w:left="144" w:hanging="144"/>
              <w:jc w:val="left"/>
              <w:rPr>
                <w:color w:val="000000"/>
                <w:rtl/>
                <w:lang w:eastAsia="he-IL"/>
              </w:rPr>
            </w:pPr>
          </w:p>
        </w:tc>
        <w:tc>
          <w:tcPr>
            <w:tcW w:w="4533" w:type="dxa"/>
            <w:vAlign w:val="bottom"/>
          </w:tcPr>
          <w:p w14:paraId="0E26CE8A" w14:textId="77777777" w:rsidR="00206490" w:rsidRPr="00206490" w:rsidRDefault="00206490" w:rsidP="00400DD1">
            <w:pPr>
              <w:spacing w:line="216" w:lineRule="auto"/>
              <w:ind w:left="542" w:hanging="275"/>
              <w:jc w:val="left"/>
              <w:rPr>
                <w:color w:val="000000"/>
                <w:sz w:val="18"/>
                <w:szCs w:val="18"/>
                <w:rtl/>
                <w:lang w:eastAsia="he-IL"/>
              </w:rPr>
            </w:pPr>
            <w:r w:rsidRPr="00206490">
              <w:rPr>
                <w:rFonts w:hint="cs"/>
                <w:rtl/>
                <w:lang w:eastAsia="he-IL"/>
              </w:rPr>
              <w:t xml:space="preserve">אגרות חוב </w:t>
            </w:r>
            <w:r w:rsidRPr="00206490">
              <w:rPr>
                <w:rFonts w:hint="cs"/>
                <w:color w:val="000000"/>
                <w:rtl/>
                <w:lang w:eastAsia="he-IL"/>
              </w:rPr>
              <w:t>מסוג העבר באמצעות</w:t>
            </w:r>
            <w:r w:rsidRPr="00206490">
              <w:rPr>
                <w:rFonts w:hint="cs"/>
                <w:color w:val="000000"/>
                <w:sz w:val="18"/>
                <w:szCs w:val="18"/>
                <w:rtl/>
                <w:lang w:eastAsia="he-IL"/>
              </w:rPr>
              <w:t xml:space="preserve"> (</w:t>
            </w:r>
            <w:r w:rsidRPr="00206490">
              <w:rPr>
                <w:color w:val="000000"/>
                <w:sz w:val="16"/>
                <w:szCs w:val="16"/>
                <w:lang w:eastAsia="he-IL"/>
              </w:rPr>
              <w:t>Pass Through</w:t>
            </w:r>
            <w:r w:rsidRPr="00206490">
              <w:rPr>
                <w:rFonts w:hint="cs"/>
                <w:color w:val="000000"/>
                <w:sz w:val="16"/>
                <w:szCs w:val="16"/>
                <w:rtl/>
                <w:lang w:eastAsia="he-IL"/>
              </w:rPr>
              <w:t>):</w:t>
            </w:r>
          </w:p>
        </w:tc>
        <w:tc>
          <w:tcPr>
            <w:tcW w:w="888" w:type="dxa"/>
            <w:vAlign w:val="bottom"/>
          </w:tcPr>
          <w:p w14:paraId="01CE3FA2" w14:textId="77777777" w:rsidR="00206490" w:rsidRPr="00DA42F2" w:rsidRDefault="00206490" w:rsidP="00400DD1">
            <w:pPr>
              <w:pBdr>
                <w:bottom w:val="single" w:sz="4" w:space="1" w:color="auto"/>
              </w:pBdr>
              <w:spacing w:line="216" w:lineRule="auto"/>
              <w:rPr>
                <w:b/>
                <w:bCs/>
                <w:rtl/>
              </w:rPr>
            </w:pPr>
            <w:r w:rsidRPr="00DA42F2">
              <w:rPr>
                <w:rFonts w:hint="cs"/>
                <w:b/>
                <w:bCs/>
                <w:rtl/>
              </w:rPr>
              <w:t xml:space="preserve"> 0</w:t>
            </w:r>
          </w:p>
        </w:tc>
        <w:tc>
          <w:tcPr>
            <w:tcW w:w="1276" w:type="dxa"/>
            <w:vAlign w:val="bottom"/>
          </w:tcPr>
          <w:p w14:paraId="606BD682" w14:textId="77777777" w:rsidR="00206490" w:rsidRPr="00DA42F2" w:rsidRDefault="00206490" w:rsidP="00400DD1">
            <w:pPr>
              <w:pBdr>
                <w:bottom w:val="single" w:sz="4" w:space="1" w:color="auto"/>
              </w:pBdr>
              <w:spacing w:line="216" w:lineRule="auto"/>
              <w:rPr>
                <w:b/>
                <w:bCs/>
                <w:rtl/>
              </w:rPr>
            </w:pPr>
            <w:r w:rsidRPr="00DA42F2">
              <w:rPr>
                <w:rFonts w:hint="cs"/>
                <w:b/>
                <w:bCs/>
                <w:rtl/>
              </w:rPr>
              <w:t xml:space="preserve"> 0</w:t>
            </w:r>
          </w:p>
        </w:tc>
        <w:tc>
          <w:tcPr>
            <w:tcW w:w="1134" w:type="dxa"/>
            <w:vAlign w:val="bottom"/>
          </w:tcPr>
          <w:p w14:paraId="24111CF6" w14:textId="77777777" w:rsidR="00206490" w:rsidRPr="00DA42F2" w:rsidRDefault="00206490" w:rsidP="00400DD1">
            <w:pPr>
              <w:pBdr>
                <w:bottom w:val="single" w:sz="4" w:space="1" w:color="auto"/>
              </w:pBdr>
              <w:spacing w:line="216" w:lineRule="auto"/>
              <w:rPr>
                <w:b/>
                <w:bCs/>
                <w:rtl/>
              </w:rPr>
            </w:pPr>
            <w:r w:rsidRPr="00DA42F2">
              <w:rPr>
                <w:rFonts w:hint="cs"/>
                <w:b/>
                <w:bCs/>
                <w:rtl/>
              </w:rPr>
              <w:t xml:space="preserve"> 0</w:t>
            </w:r>
          </w:p>
        </w:tc>
        <w:tc>
          <w:tcPr>
            <w:tcW w:w="849" w:type="dxa"/>
            <w:vAlign w:val="bottom"/>
          </w:tcPr>
          <w:p w14:paraId="3F90CAC8" w14:textId="77777777" w:rsidR="00206490" w:rsidRPr="00DA42F2" w:rsidRDefault="00206490" w:rsidP="00400DD1">
            <w:pPr>
              <w:pBdr>
                <w:bottom w:val="single" w:sz="4" w:space="1" w:color="auto"/>
              </w:pBdr>
              <w:spacing w:line="216" w:lineRule="auto"/>
              <w:rPr>
                <w:b/>
                <w:bCs/>
                <w:rtl/>
              </w:rPr>
            </w:pPr>
            <w:r w:rsidRPr="00DA42F2">
              <w:rPr>
                <w:rFonts w:hint="cs"/>
                <w:b/>
                <w:bCs/>
                <w:rtl/>
              </w:rPr>
              <w:t xml:space="preserve"> 0</w:t>
            </w:r>
          </w:p>
        </w:tc>
      </w:tr>
      <w:tr w:rsidR="00206490" w:rsidRPr="00DA42F2" w14:paraId="09FEBEAB" w14:textId="77777777" w:rsidTr="00EC46DF">
        <w:trPr>
          <w:trHeight w:val="245"/>
        </w:trPr>
        <w:tc>
          <w:tcPr>
            <w:tcW w:w="1304" w:type="dxa"/>
          </w:tcPr>
          <w:p w14:paraId="56353A21" w14:textId="77777777" w:rsidR="00206490" w:rsidRPr="00DA42F2" w:rsidRDefault="00206490" w:rsidP="00400DD1">
            <w:pPr>
              <w:spacing w:line="216" w:lineRule="auto"/>
              <w:ind w:left="144" w:hanging="144"/>
              <w:jc w:val="left"/>
              <w:rPr>
                <w:color w:val="000000"/>
                <w:rtl/>
                <w:lang w:eastAsia="he-IL"/>
              </w:rPr>
            </w:pPr>
          </w:p>
        </w:tc>
        <w:tc>
          <w:tcPr>
            <w:tcW w:w="4533" w:type="dxa"/>
            <w:vAlign w:val="bottom"/>
          </w:tcPr>
          <w:p w14:paraId="5303F188" w14:textId="12F8BFFD" w:rsidR="00206490" w:rsidRPr="00DA42F2" w:rsidRDefault="00206490" w:rsidP="007F5094">
            <w:pPr>
              <w:spacing w:line="216" w:lineRule="auto"/>
              <w:ind w:left="542" w:hanging="275"/>
              <w:jc w:val="left"/>
              <w:rPr>
                <w:color w:val="000000"/>
                <w:sz w:val="18"/>
                <w:szCs w:val="18"/>
                <w:rtl/>
                <w:lang w:eastAsia="he-IL"/>
              </w:rPr>
            </w:pPr>
            <w:r w:rsidRPr="00DA42F2">
              <w:rPr>
                <w:rFonts w:hint="cs"/>
                <w:color w:val="000000"/>
                <w:sz w:val="18"/>
                <w:szCs w:val="18"/>
                <w:rtl/>
                <w:lang w:eastAsia="he-IL"/>
              </w:rPr>
              <w:t>מזה:</w:t>
            </w:r>
          </w:p>
        </w:tc>
        <w:tc>
          <w:tcPr>
            <w:tcW w:w="888" w:type="dxa"/>
            <w:vAlign w:val="bottom"/>
          </w:tcPr>
          <w:p w14:paraId="5955DDAC" w14:textId="77777777" w:rsidR="00206490" w:rsidRPr="00DA42F2" w:rsidRDefault="00206490" w:rsidP="00400DD1">
            <w:pPr>
              <w:spacing w:line="216" w:lineRule="auto"/>
              <w:rPr>
                <w:rtl/>
              </w:rPr>
            </w:pPr>
          </w:p>
        </w:tc>
        <w:tc>
          <w:tcPr>
            <w:tcW w:w="1276" w:type="dxa"/>
            <w:vAlign w:val="bottom"/>
          </w:tcPr>
          <w:p w14:paraId="4E260592" w14:textId="77777777" w:rsidR="00206490" w:rsidRPr="00DA42F2" w:rsidRDefault="00206490" w:rsidP="00400DD1">
            <w:pPr>
              <w:spacing w:line="216" w:lineRule="auto"/>
              <w:rPr>
                <w:rtl/>
              </w:rPr>
            </w:pPr>
          </w:p>
        </w:tc>
        <w:tc>
          <w:tcPr>
            <w:tcW w:w="1134" w:type="dxa"/>
            <w:vAlign w:val="bottom"/>
          </w:tcPr>
          <w:p w14:paraId="23B09612" w14:textId="77777777" w:rsidR="00206490" w:rsidRPr="00DA42F2" w:rsidRDefault="00206490" w:rsidP="00400DD1">
            <w:pPr>
              <w:spacing w:line="216" w:lineRule="auto"/>
              <w:rPr>
                <w:rtl/>
              </w:rPr>
            </w:pPr>
          </w:p>
        </w:tc>
        <w:tc>
          <w:tcPr>
            <w:tcW w:w="849" w:type="dxa"/>
            <w:vAlign w:val="bottom"/>
          </w:tcPr>
          <w:p w14:paraId="4879F6D2" w14:textId="77777777" w:rsidR="00206490" w:rsidRPr="00DA42F2" w:rsidRDefault="00206490" w:rsidP="00400DD1">
            <w:pPr>
              <w:spacing w:line="216" w:lineRule="auto"/>
              <w:rPr>
                <w:rtl/>
              </w:rPr>
            </w:pPr>
          </w:p>
        </w:tc>
      </w:tr>
      <w:tr w:rsidR="00206490" w:rsidRPr="00DA42F2" w14:paraId="7F8FDA31" w14:textId="77777777" w:rsidTr="00EC46DF">
        <w:trPr>
          <w:trHeight w:val="245"/>
        </w:trPr>
        <w:tc>
          <w:tcPr>
            <w:tcW w:w="1304" w:type="dxa"/>
          </w:tcPr>
          <w:p w14:paraId="0CE55A93" w14:textId="77777777" w:rsidR="00206490" w:rsidRPr="00DA42F2" w:rsidRDefault="00206490" w:rsidP="00400DD1">
            <w:pPr>
              <w:spacing w:line="216" w:lineRule="auto"/>
              <w:ind w:left="144" w:hanging="144"/>
              <w:jc w:val="left"/>
              <w:rPr>
                <w:color w:val="000000"/>
                <w:rtl/>
                <w:lang w:eastAsia="he-IL"/>
              </w:rPr>
            </w:pPr>
          </w:p>
        </w:tc>
        <w:tc>
          <w:tcPr>
            <w:tcW w:w="4533" w:type="dxa"/>
            <w:vAlign w:val="bottom"/>
          </w:tcPr>
          <w:p w14:paraId="55D07292" w14:textId="77777777" w:rsidR="00206490" w:rsidRPr="00DA42F2" w:rsidRDefault="00206490" w:rsidP="007F5094">
            <w:pPr>
              <w:spacing w:line="216" w:lineRule="auto"/>
              <w:ind w:left="598" w:hanging="107"/>
              <w:jc w:val="left"/>
              <w:rPr>
                <w:color w:val="000000"/>
                <w:sz w:val="18"/>
                <w:szCs w:val="18"/>
                <w:rtl/>
                <w:lang w:eastAsia="he-IL"/>
              </w:rPr>
            </w:pPr>
            <w:r w:rsidRPr="00DA42F2">
              <w:rPr>
                <w:rFonts w:hint="cs"/>
                <w:rtl/>
                <w:lang w:eastAsia="he-IL"/>
              </w:rPr>
              <w:t>אגרות חוב</w:t>
            </w:r>
            <w:r w:rsidRPr="00DA42F2">
              <w:rPr>
                <w:rFonts w:hint="cs"/>
                <w:b/>
                <w:bCs/>
                <w:rtl/>
                <w:lang w:eastAsia="he-IL"/>
              </w:rPr>
              <w:t xml:space="preserve"> </w:t>
            </w:r>
            <w:r w:rsidRPr="00DA42F2">
              <w:rPr>
                <w:rFonts w:hint="cs"/>
                <w:color w:val="000000"/>
                <w:sz w:val="18"/>
                <w:szCs w:val="18"/>
                <w:rtl/>
                <w:lang w:eastAsia="he-IL"/>
              </w:rPr>
              <w:t xml:space="preserve">בערבות </w:t>
            </w:r>
            <w:r w:rsidRPr="00DA42F2">
              <w:rPr>
                <w:rFonts w:hint="cs"/>
                <w:color w:val="000000"/>
                <w:sz w:val="18"/>
                <w:szCs w:val="18"/>
                <w:lang w:eastAsia="he-IL"/>
              </w:rPr>
              <w:t>GNMA</w:t>
            </w:r>
          </w:p>
        </w:tc>
        <w:tc>
          <w:tcPr>
            <w:tcW w:w="888" w:type="dxa"/>
            <w:vAlign w:val="bottom"/>
          </w:tcPr>
          <w:p w14:paraId="38C83B95" w14:textId="77777777" w:rsidR="00206490" w:rsidRPr="00DA42F2" w:rsidRDefault="00206490" w:rsidP="00400DD1">
            <w:pPr>
              <w:spacing w:line="216" w:lineRule="auto"/>
              <w:rPr>
                <w:rtl/>
              </w:rPr>
            </w:pPr>
            <w:r w:rsidRPr="00DA42F2">
              <w:rPr>
                <w:rFonts w:hint="cs"/>
                <w:rtl/>
              </w:rPr>
              <w:t xml:space="preserve"> 0</w:t>
            </w:r>
          </w:p>
        </w:tc>
        <w:tc>
          <w:tcPr>
            <w:tcW w:w="1276" w:type="dxa"/>
            <w:vAlign w:val="bottom"/>
          </w:tcPr>
          <w:p w14:paraId="74A29639" w14:textId="77777777" w:rsidR="00206490" w:rsidRPr="00DA42F2" w:rsidRDefault="00206490" w:rsidP="00400DD1">
            <w:pPr>
              <w:spacing w:line="216" w:lineRule="auto"/>
              <w:rPr>
                <w:rtl/>
              </w:rPr>
            </w:pPr>
            <w:r w:rsidRPr="00DA42F2">
              <w:rPr>
                <w:rFonts w:hint="cs"/>
                <w:rtl/>
              </w:rPr>
              <w:t xml:space="preserve"> 0</w:t>
            </w:r>
          </w:p>
        </w:tc>
        <w:tc>
          <w:tcPr>
            <w:tcW w:w="1134" w:type="dxa"/>
            <w:vAlign w:val="bottom"/>
          </w:tcPr>
          <w:p w14:paraId="1C69F368" w14:textId="77777777" w:rsidR="00206490" w:rsidRPr="00DA42F2" w:rsidRDefault="00206490" w:rsidP="00400DD1">
            <w:pPr>
              <w:spacing w:line="216" w:lineRule="auto"/>
              <w:rPr>
                <w:rtl/>
              </w:rPr>
            </w:pPr>
            <w:r w:rsidRPr="00DA42F2">
              <w:rPr>
                <w:rFonts w:hint="cs"/>
                <w:rtl/>
              </w:rPr>
              <w:t xml:space="preserve"> 0</w:t>
            </w:r>
          </w:p>
        </w:tc>
        <w:tc>
          <w:tcPr>
            <w:tcW w:w="849" w:type="dxa"/>
            <w:vAlign w:val="bottom"/>
          </w:tcPr>
          <w:p w14:paraId="27ABA96F" w14:textId="77777777" w:rsidR="00206490" w:rsidRPr="00DA42F2" w:rsidRDefault="00206490" w:rsidP="00400DD1">
            <w:pPr>
              <w:spacing w:line="216" w:lineRule="auto"/>
              <w:rPr>
                <w:rtl/>
              </w:rPr>
            </w:pPr>
            <w:r w:rsidRPr="00DA42F2">
              <w:rPr>
                <w:rFonts w:hint="cs"/>
                <w:rtl/>
              </w:rPr>
              <w:t xml:space="preserve"> 0</w:t>
            </w:r>
          </w:p>
        </w:tc>
      </w:tr>
      <w:tr w:rsidR="00206490" w:rsidRPr="00DA42F2" w14:paraId="09EE0CEA" w14:textId="77777777" w:rsidTr="00EC46DF">
        <w:trPr>
          <w:trHeight w:val="245"/>
        </w:trPr>
        <w:tc>
          <w:tcPr>
            <w:tcW w:w="1304" w:type="dxa"/>
          </w:tcPr>
          <w:p w14:paraId="4CB285F5" w14:textId="77777777" w:rsidR="00206490" w:rsidRPr="00DA42F2" w:rsidRDefault="00206490" w:rsidP="00400DD1">
            <w:pPr>
              <w:spacing w:line="216" w:lineRule="auto"/>
              <w:ind w:left="144" w:hanging="144"/>
              <w:jc w:val="left"/>
              <w:rPr>
                <w:color w:val="000000"/>
                <w:rtl/>
                <w:lang w:eastAsia="he-IL"/>
              </w:rPr>
            </w:pPr>
          </w:p>
        </w:tc>
        <w:tc>
          <w:tcPr>
            <w:tcW w:w="4533" w:type="dxa"/>
            <w:vAlign w:val="bottom"/>
          </w:tcPr>
          <w:p w14:paraId="77C9E117" w14:textId="77777777" w:rsidR="00206490" w:rsidRPr="00DA42F2" w:rsidRDefault="00206490" w:rsidP="007F5094">
            <w:pPr>
              <w:spacing w:line="216" w:lineRule="auto"/>
              <w:ind w:left="598" w:hanging="107"/>
              <w:jc w:val="left"/>
              <w:rPr>
                <w:color w:val="000000"/>
                <w:sz w:val="18"/>
                <w:szCs w:val="18"/>
                <w:rtl/>
                <w:lang w:eastAsia="he-IL"/>
              </w:rPr>
            </w:pPr>
            <w:r w:rsidRPr="00DA42F2">
              <w:rPr>
                <w:rFonts w:hint="cs"/>
                <w:rtl/>
                <w:lang w:eastAsia="he-IL"/>
              </w:rPr>
              <w:t>אגרות חוב</w:t>
            </w:r>
            <w:r w:rsidRPr="00DA42F2">
              <w:rPr>
                <w:rFonts w:hint="cs"/>
                <w:b/>
                <w:bCs/>
                <w:rtl/>
                <w:lang w:eastAsia="he-IL"/>
              </w:rPr>
              <w:t xml:space="preserve"> </w:t>
            </w:r>
            <w:r w:rsidRPr="00DA42F2">
              <w:rPr>
                <w:rFonts w:hint="cs"/>
                <w:color w:val="000000"/>
                <w:sz w:val="18"/>
                <w:szCs w:val="18"/>
                <w:rtl/>
                <w:lang w:eastAsia="he-IL"/>
              </w:rPr>
              <w:t xml:space="preserve">שהונפקו על ידי </w:t>
            </w:r>
            <w:r w:rsidRPr="00DA42F2">
              <w:rPr>
                <w:rFonts w:hint="cs"/>
                <w:color w:val="000000"/>
                <w:sz w:val="18"/>
                <w:szCs w:val="18"/>
                <w:lang w:eastAsia="he-IL"/>
              </w:rPr>
              <w:t>FNMA</w:t>
            </w:r>
            <w:r w:rsidRPr="00DA42F2">
              <w:rPr>
                <w:rFonts w:hint="cs"/>
                <w:color w:val="000000"/>
                <w:sz w:val="18"/>
                <w:szCs w:val="18"/>
                <w:rtl/>
                <w:lang w:eastAsia="he-IL"/>
              </w:rPr>
              <w:t xml:space="preserve"> ועל ידי </w:t>
            </w:r>
            <w:r w:rsidRPr="00DA42F2">
              <w:rPr>
                <w:rFonts w:hint="cs"/>
                <w:color w:val="000000"/>
                <w:sz w:val="18"/>
                <w:szCs w:val="18"/>
                <w:lang w:eastAsia="he-IL"/>
              </w:rPr>
              <w:t>FHLMC</w:t>
            </w:r>
          </w:p>
        </w:tc>
        <w:tc>
          <w:tcPr>
            <w:tcW w:w="888" w:type="dxa"/>
            <w:vAlign w:val="bottom"/>
          </w:tcPr>
          <w:p w14:paraId="16CD2E70" w14:textId="77777777" w:rsidR="00206490" w:rsidRPr="00DA42F2" w:rsidRDefault="00206490" w:rsidP="00400DD1">
            <w:pPr>
              <w:spacing w:line="216" w:lineRule="auto"/>
              <w:rPr>
                <w:rtl/>
              </w:rPr>
            </w:pPr>
            <w:r w:rsidRPr="00DA42F2">
              <w:rPr>
                <w:rFonts w:hint="cs"/>
                <w:rtl/>
              </w:rPr>
              <w:t xml:space="preserve"> 0</w:t>
            </w:r>
          </w:p>
        </w:tc>
        <w:tc>
          <w:tcPr>
            <w:tcW w:w="1276" w:type="dxa"/>
            <w:vAlign w:val="bottom"/>
          </w:tcPr>
          <w:p w14:paraId="587B348F" w14:textId="77777777" w:rsidR="00206490" w:rsidRPr="00DA42F2" w:rsidRDefault="00206490" w:rsidP="00400DD1">
            <w:pPr>
              <w:spacing w:line="216" w:lineRule="auto"/>
              <w:rPr>
                <w:rtl/>
              </w:rPr>
            </w:pPr>
            <w:r w:rsidRPr="00DA42F2">
              <w:rPr>
                <w:rFonts w:hint="cs"/>
                <w:rtl/>
              </w:rPr>
              <w:t xml:space="preserve"> 0</w:t>
            </w:r>
          </w:p>
        </w:tc>
        <w:tc>
          <w:tcPr>
            <w:tcW w:w="1134" w:type="dxa"/>
            <w:vAlign w:val="bottom"/>
          </w:tcPr>
          <w:p w14:paraId="099C42CB" w14:textId="77777777" w:rsidR="00206490" w:rsidRPr="00DA42F2" w:rsidRDefault="00206490" w:rsidP="00400DD1">
            <w:pPr>
              <w:spacing w:line="216" w:lineRule="auto"/>
              <w:rPr>
                <w:rtl/>
              </w:rPr>
            </w:pPr>
            <w:r w:rsidRPr="00DA42F2">
              <w:rPr>
                <w:rFonts w:hint="cs"/>
                <w:rtl/>
              </w:rPr>
              <w:t xml:space="preserve"> 0</w:t>
            </w:r>
          </w:p>
        </w:tc>
        <w:tc>
          <w:tcPr>
            <w:tcW w:w="849" w:type="dxa"/>
            <w:vAlign w:val="bottom"/>
          </w:tcPr>
          <w:p w14:paraId="4ABB2E5A" w14:textId="77777777" w:rsidR="00206490" w:rsidRPr="00DA42F2" w:rsidRDefault="00206490" w:rsidP="00400DD1">
            <w:pPr>
              <w:spacing w:line="216" w:lineRule="auto"/>
              <w:rPr>
                <w:rtl/>
              </w:rPr>
            </w:pPr>
            <w:r w:rsidRPr="00DA42F2">
              <w:rPr>
                <w:rFonts w:hint="cs"/>
                <w:rtl/>
              </w:rPr>
              <w:t xml:space="preserve"> 0</w:t>
            </w:r>
          </w:p>
        </w:tc>
      </w:tr>
      <w:tr w:rsidR="00206490" w:rsidRPr="00DA42F2" w14:paraId="03B9C9F4" w14:textId="77777777" w:rsidTr="00EC46DF">
        <w:trPr>
          <w:trHeight w:hRule="exact" w:val="200"/>
        </w:trPr>
        <w:tc>
          <w:tcPr>
            <w:tcW w:w="1304" w:type="dxa"/>
          </w:tcPr>
          <w:p w14:paraId="0C7214CC" w14:textId="77777777" w:rsidR="00206490" w:rsidRPr="00DA42F2" w:rsidRDefault="00206490" w:rsidP="00400DD1">
            <w:pPr>
              <w:spacing w:line="216" w:lineRule="auto"/>
              <w:ind w:left="144" w:hanging="144"/>
              <w:jc w:val="left"/>
              <w:rPr>
                <w:color w:val="000000"/>
                <w:rtl/>
                <w:lang w:eastAsia="he-IL"/>
              </w:rPr>
            </w:pPr>
          </w:p>
          <w:p w14:paraId="0F949AE6" w14:textId="77777777" w:rsidR="00206490" w:rsidRPr="00DA42F2" w:rsidRDefault="00206490" w:rsidP="00400DD1">
            <w:pPr>
              <w:spacing w:line="216" w:lineRule="auto"/>
              <w:ind w:left="144" w:hanging="144"/>
              <w:jc w:val="left"/>
              <w:rPr>
                <w:color w:val="000000"/>
                <w:rtl/>
                <w:lang w:eastAsia="he-IL"/>
              </w:rPr>
            </w:pPr>
          </w:p>
        </w:tc>
        <w:tc>
          <w:tcPr>
            <w:tcW w:w="4533" w:type="dxa"/>
            <w:vAlign w:val="bottom"/>
          </w:tcPr>
          <w:p w14:paraId="5307134A" w14:textId="77777777" w:rsidR="00206490" w:rsidRPr="00DA42F2" w:rsidRDefault="00206490" w:rsidP="00400DD1">
            <w:pPr>
              <w:spacing w:line="216" w:lineRule="auto"/>
              <w:ind w:left="539" w:hanging="91"/>
              <w:jc w:val="left"/>
              <w:rPr>
                <w:b/>
                <w:bCs/>
                <w:color w:val="000000"/>
                <w:rtl/>
                <w:lang w:eastAsia="he-IL"/>
              </w:rPr>
            </w:pPr>
          </w:p>
          <w:p w14:paraId="517BDE64" w14:textId="77777777" w:rsidR="00206490" w:rsidRPr="00DA42F2" w:rsidRDefault="00206490" w:rsidP="00400DD1">
            <w:pPr>
              <w:spacing w:line="216" w:lineRule="auto"/>
              <w:ind w:left="539" w:hanging="91"/>
              <w:jc w:val="left"/>
              <w:rPr>
                <w:b/>
                <w:bCs/>
                <w:color w:val="000000"/>
                <w:rtl/>
                <w:lang w:eastAsia="he-IL"/>
              </w:rPr>
            </w:pPr>
          </w:p>
        </w:tc>
        <w:tc>
          <w:tcPr>
            <w:tcW w:w="888" w:type="dxa"/>
            <w:vAlign w:val="bottom"/>
          </w:tcPr>
          <w:p w14:paraId="180F7A5F" w14:textId="77777777" w:rsidR="00206490" w:rsidRPr="00DA42F2" w:rsidRDefault="00206490" w:rsidP="00400DD1">
            <w:pPr>
              <w:spacing w:line="216" w:lineRule="auto"/>
              <w:rPr>
                <w:rtl/>
              </w:rPr>
            </w:pPr>
          </w:p>
        </w:tc>
        <w:tc>
          <w:tcPr>
            <w:tcW w:w="1276" w:type="dxa"/>
            <w:vAlign w:val="bottom"/>
          </w:tcPr>
          <w:p w14:paraId="24D65266" w14:textId="77777777" w:rsidR="00206490" w:rsidRPr="00DA42F2" w:rsidRDefault="00206490" w:rsidP="00400DD1">
            <w:pPr>
              <w:spacing w:line="216" w:lineRule="auto"/>
              <w:rPr>
                <w:rtl/>
              </w:rPr>
            </w:pPr>
          </w:p>
        </w:tc>
        <w:tc>
          <w:tcPr>
            <w:tcW w:w="1134" w:type="dxa"/>
            <w:vAlign w:val="bottom"/>
          </w:tcPr>
          <w:p w14:paraId="4D23DC42" w14:textId="77777777" w:rsidR="00206490" w:rsidRPr="00DA42F2" w:rsidRDefault="00206490" w:rsidP="00400DD1">
            <w:pPr>
              <w:spacing w:line="216" w:lineRule="auto"/>
              <w:rPr>
                <w:rtl/>
              </w:rPr>
            </w:pPr>
          </w:p>
        </w:tc>
        <w:tc>
          <w:tcPr>
            <w:tcW w:w="849" w:type="dxa"/>
            <w:vAlign w:val="bottom"/>
          </w:tcPr>
          <w:p w14:paraId="73C5BB92" w14:textId="77777777" w:rsidR="00206490" w:rsidRPr="00DA42F2" w:rsidRDefault="00206490" w:rsidP="00400DD1">
            <w:pPr>
              <w:spacing w:line="216" w:lineRule="auto"/>
              <w:rPr>
                <w:rtl/>
              </w:rPr>
            </w:pPr>
          </w:p>
        </w:tc>
      </w:tr>
      <w:tr w:rsidR="00206490" w:rsidRPr="00DA42F2" w14:paraId="6661671B" w14:textId="77777777" w:rsidTr="00EC46DF">
        <w:trPr>
          <w:trHeight w:val="245"/>
        </w:trPr>
        <w:tc>
          <w:tcPr>
            <w:tcW w:w="1304" w:type="dxa"/>
          </w:tcPr>
          <w:p w14:paraId="09853723" w14:textId="77777777" w:rsidR="00206490" w:rsidRPr="00DA42F2" w:rsidRDefault="00206490" w:rsidP="00400DD1">
            <w:pPr>
              <w:spacing w:line="216" w:lineRule="auto"/>
              <w:ind w:left="144" w:hanging="144"/>
              <w:jc w:val="left"/>
              <w:rPr>
                <w:color w:val="000000"/>
                <w:rtl/>
                <w:lang w:eastAsia="he-IL"/>
              </w:rPr>
            </w:pPr>
          </w:p>
        </w:tc>
        <w:tc>
          <w:tcPr>
            <w:tcW w:w="4533" w:type="dxa"/>
            <w:vAlign w:val="bottom"/>
          </w:tcPr>
          <w:p w14:paraId="56A0F49C" w14:textId="77777777" w:rsidR="00206490" w:rsidRPr="00206490" w:rsidRDefault="00206490" w:rsidP="00400DD1">
            <w:pPr>
              <w:spacing w:line="216" w:lineRule="auto"/>
              <w:ind w:left="214"/>
              <w:jc w:val="left"/>
              <w:rPr>
                <w:rtl/>
                <w:lang w:eastAsia="he-IL"/>
              </w:rPr>
            </w:pPr>
            <w:r w:rsidRPr="00206490">
              <w:rPr>
                <w:rFonts w:hint="cs"/>
                <w:rtl/>
                <w:lang w:eastAsia="he-IL"/>
              </w:rPr>
              <w:t xml:space="preserve">אגרות חוב מגובות משכנתאות אחרים </w:t>
            </w:r>
            <w:r w:rsidRPr="007F5094">
              <w:rPr>
                <w:rFonts w:hint="cs"/>
                <w:sz w:val="17"/>
                <w:szCs w:val="17"/>
                <w:rtl/>
                <w:lang w:eastAsia="he-IL"/>
              </w:rPr>
              <w:t xml:space="preserve">(כולל </w:t>
            </w:r>
            <w:r w:rsidRPr="007F5094">
              <w:rPr>
                <w:rFonts w:hint="cs"/>
                <w:sz w:val="17"/>
                <w:szCs w:val="17"/>
                <w:lang w:eastAsia="he-IL"/>
              </w:rPr>
              <w:t>CM</w:t>
            </w:r>
            <w:r w:rsidRPr="007F5094">
              <w:rPr>
                <w:sz w:val="17"/>
                <w:szCs w:val="17"/>
                <w:lang w:eastAsia="he-IL"/>
              </w:rPr>
              <w:t>O</w:t>
            </w:r>
            <w:r w:rsidRPr="007F5094">
              <w:rPr>
                <w:rFonts w:hint="cs"/>
                <w:sz w:val="17"/>
                <w:szCs w:val="17"/>
                <w:rtl/>
                <w:lang w:eastAsia="he-IL"/>
              </w:rPr>
              <w:t xml:space="preserve">,     </w:t>
            </w:r>
            <w:r w:rsidRPr="007F5094">
              <w:rPr>
                <w:rFonts w:hint="cs"/>
                <w:sz w:val="17"/>
                <w:szCs w:val="17"/>
                <w:lang w:eastAsia="he-IL"/>
              </w:rPr>
              <w:t>REMIC</w:t>
            </w:r>
            <w:r w:rsidRPr="007F5094">
              <w:rPr>
                <w:rFonts w:hint="cs"/>
                <w:sz w:val="17"/>
                <w:szCs w:val="17"/>
                <w:rtl/>
                <w:lang w:eastAsia="he-IL"/>
              </w:rPr>
              <w:t xml:space="preserve"> ו-</w:t>
            </w:r>
            <w:r w:rsidRPr="007F5094">
              <w:rPr>
                <w:rFonts w:hint="cs"/>
                <w:sz w:val="17"/>
                <w:szCs w:val="17"/>
                <w:lang w:eastAsia="he-IL"/>
              </w:rPr>
              <w:t>STRIPPED MBS</w:t>
            </w:r>
            <w:r w:rsidRPr="007F5094">
              <w:rPr>
                <w:rFonts w:hint="cs"/>
                <w:sz w:val="17"/>
                <w:szCs w:val="17"/>
                <w:rtl/>
                <w:lang w:eastAsia="he-IL"/>
              </w:rPr>
              <w:t>):</w:t>
            </w:r>
            <w:r w:rsidRPr="00206490">
              <w:rPr>
                <w:rFonts w:hint="cs"/>
                <w:sz w:val="18"/>
                <w:szCs w:val="18"/>
                <w:rtl/>
                <w:lang w:eastAsia="he-IL"/>
              </w:rPr>
              <w:t xml:space="preserve"> </w:t>
            </w:r>
            <w:r w:rsidRPr="00206490">
              <w:rPr>
                <w:rFonts w:hint="cs"/>
                <w:rtl/>
                <w:lang w:eastAsia="he-IL"/>
              </w:rPr>
              <w:t xml:space="preserve"> </w:t>
            </w:r>
          </w:p>
        </w:tc>
        <w:tc>
          <w:tcPr>
            <w:tcW w:w="888" w:type="dxa"/>
            <w:vAlign w:val="bottom"/>
          </w:tcPr>
          <w:p w14:paraId="77D4D5AB" w14:textId="77777777" w:rsidR="00206490" w:rsidRPr="00DA42F2" w:rsidRDefault="00206490" w:rsidP="00400DD1">
            <w:pPr>
              <w:pBdr>
                <w:bottom w:val="single" w:sz="4" w:space="1" w:color="auto"/>
              </w:pBdr>
              <w:spacing w:line="216" w:lineRule="auto"/>
              <w:rPr>
                <w:b/>
                <w:bCs/>
                <w:rtl/>
              </w:rPr>
            </w:pPr>
            <w:r w:rsidRPr="00DA42F2">
              <w:rPr>
                <w:rFonts w:hint="cs"/>
                <w:b/>
                <w:bCs/>
                <w:rtl/>
              </w:rPr>
              <w:t xml:space="preserve"> 0</w:t>
            </w:r>
          </w:p>
        </w:tc>
        <w:tc>
          <w:tcPr>
            <w:tcW w:w="1276" w:type="dxa"/>
            <w:vAlign w:val="bottom"/>
          </w:tcPr>
          <w:p w14:paraId="3B15E886" w14:textId="77777777" w:rsidR="00206490" w:rsidRPr="00DA42F2" w:rsidRDefault="00206490" w:rsidP="00400DD1">
            <w:pPr>
              <w:pBdr>
                <w:bottom w:val="single" w:sz="4" w:space="1" w:color="auto"/>
              </w:pBdr>
              <w:spacing w:line="216" w:lineRule="auto"/>
              <w:rPr>
                <w:b/>
                <w:bCs/>
                <w:rtl/>
              </w:rPr>
            </w:pPr>
            <w:r w:rsidRPr="00DA42F2">
              <w:rPr>
                <w:rFonts w:hint="cs"/>
                <w:b/>
                <w:bCs/>
                <w:rtl/>
              </w:rPr>
              <w:t xml:space="preserve"> 0</w:t>
            </w:r>
          </w:p>
        </w:tc>
        <w:tc>
          <w:tcPr>
            <w:tcW w:w="1134" w:type="dxa"/>
            <w:vAlign w:val="bottom"/>
          </w:tcPr>
          <w:p w14:paraId="528629A1" w14:textId="77777777" w:rsidR="00206490" w:rsidRPr="00DA42F2" w:rsidRDefault="00206490" w:rsidP="00400DD1">
            <w:pPr>
              <w:pBdr>
                <w:bottom w:val="single" w:sz="4" w:space="1" w:color="auto"/>
              </w:pBdr>
              <w:spacing w:line="216" w:lineRule="auto"/>
              <w:rPr>
                <w:b/>
                <w:bCs/>
                <w:rtl/>
              </w:rPr>
            </w:pPr>
            <w:r w:rsidRPr="00DA42F2">
              <w:rPr>
                <w:rFonts w:hint="cs"/>
                <w:b/>
                <w:bCs/>
                <w:rtl/>
              </w:rPr>
              <w:t xml:space="preserve"> 0</w:t>
            </w:r>
          </w:p>
        </w:tc>
        <w:tc>
          <w:tcPr>
            <w:tcW w:w="849" w:type="dxa"/>
            <w:vAlign w:val="bottom"/>
          </w:tcPr>
          <w:p w14:paraId="7FF7F43B" w14:textId="77777777" w:rsidR="00206490" w:rsidRPr="00DA42F2" w:rsidRDefault="00206490" w:rsidP="00400DD1">
            <w:pPr>
              <w:pBdr>
                <w:bottom w:val="single" w:sz="4" w:space="1" w:color="auto"/>
              </w:pBdr>
              <w:spacing w:line="216" w:lineRule="auto"/>
              <w:rPr>
                <w:b/>
                <w:bCs/>
                <w:rtl/>
              </w:rPr>
            </w:pPr>
            <w:r w:rsidRPr="00DA42F2">
              <w:rPr>
                <w:rFonts w:hint="cs"/>
                <w:b/>
                <w:bCs/>
                <w:rtl/>
              </w:rPr>
              <w:t xml:space="preserve"> 0</w:t>
            </w:r>
          </w:p>
        </w:tc>
      </w:tr>
      <w:tr w:rsidR="00206490" w:rsidRPr="00DA42F2" w14:paraId="42711DC8" w14:textId="77777777" w:rsidTr="00EC46DF">
        <w:trPr>
          <w:trHeight w:val="245"/>
        </w:trPr>
        <w:tc>
          <w:tcPr>
            <w:tcW w:w="1304" w:type="dxa"/>
          </w:tcPr>
          <w:p w14:paraId="41BD5166" w14:textId="77777777" w:rsidR="00206490" w:rsidRPr="00DA42F2" w:rsidRDefault="00206490" w:rsidP="00400DD1">
            <w:pPr>
              <w:spacing w:line="216" w:lineRule="auto"/>
              <w:ind w:left="144" w:hanging="144"/>
              <w:jc w:val="left"/>
              <w:rPr>
                <w:color w:val="000000"/>
                <w:rtl/>
                <w:lang w:eastAsia="he-IL"/>
              </w:rPr>
            </w:pPr>
          </w:p>
        </w:tc>
        <w:tc>
          <w:tcPr>
            <w:tcW w:w="4533" w:type="dxa"/>
            <w:vAlign w:val="bottom"/>
          </w:tcPr>
          <w:p w14:paraId="16E880B0" w14:textId="77777777" w:rsidR="00206490" w:rsidRPr="00DA42F2" w:rsidRDefault="00206490" w:rsidP="007F5094">
            <w:pPr>
              <w:spacing w:line="216" w:lineRule="auto"/>
              <w:ind w:left="542" w:hanging="275"/>
              <w:jc w:val="left"/>
              <w:rPr>
                <w:color w:val="000000"/>
                <w:sz w:val="18"/>
                <w:szCs w:val="18"/>
                <w:rtl/>
                <w:lang w:eastAsia="he-IL"/>
              </w:rPr>
            </w:pPr>
            <w:r w:rsidRPr="00DA42F2">
              <w:rPr>
                <w:rFonts w:hint="cs"/>
                <w:color w:val="000000"/>
                <w:sz w:val="18"/>
                <w:szCs w:val="18"/>
                <w:rtl/>
                <w:lang w:eastAsia="he-IL"/>
              </w:rPr>
              <w:t>מזה</w:t>
            </w:r>
            <w:r>
              <w:rPr>
                <w:rFonts w:hint="cs"/>
                <w:color w:val="000000"/>
                <w:sz w:val="18"/>
                <w:szCs w:val="18"/>
                <w:rtl/>
                <w:lang w:eastAsia="he-IL"/>
              </w:rPr>
              <w:t>:</w:t>
            </w:r>
            <w:r w:rsidRPr="00DA42F2">
              <w:rPr>
                <w:rFonts w:hint="cs"/>
                <w:color w:val="000000"/>
                <w:sz w:val="18"/>
                <w:szCs w:val="18"/>
                <w:vertAlign w:val="superscript"/>
                <w:rtl/>
                <w:lang w:eastAsia="he-IL"/>
              </w:rPr>
              <w:t>[2]</w:t>
            </w:r>
          </w:p>
        </w:tc>
        <w:tc>
          <w:tcPr>
            <w:tcW w:w="888" w:type="dxa"/>
            <w:vAlign w:val="bottom"/>
          </w:tcPr>
          <w:p w14:paraId="709D901D" w14:textId="77777777" w:rsidR="00206490" w:rsidRPr="00DA42F2" w:rsidRDefault="00206490" w:rsidP="00400DD1">
            <w:pPr>
              <w:spacing w:line="216" w:lineRule="auto"/>
              <w:rPr>
                <w:rtl/>
              </w:rPr>
            </w:pPr>
          </w:p>
        </w:tc>
        <w:tc>
          <w:tcPr>
            <w:tcW w:w="1276" w:type="dxa"/>
            <w:vAlign w:val="bottom"/>
          </w:tcPr>
          <w:p w14:paraId="67AEA0DE" w14:textId="77777777" w:rsidR="00206490" w:rsidRPr="00DA42F2" w:rsidRDefault="00206490" w:rsidP="00400DD1">
            <w:pPr>
              <w:spacing w:line="216" w:lineRule="auto"/>
              <w:rPr>
                <w:rtl/>
              </w:rPr>
            </w:pPr>
          </w:p>
        </w:tc>
        <w:tc>
          <w:tcPr>
            <w:tcW w:w="1134" w:type="dxa"/>
            <w:vAlign w:val="bottom"/>
          </w:tcPr>
          <w:p w14:paraId="315E5A10" w14:textId="77777777" w:rsidR="00206490" w:rsidRPr="00DA42F2" w:rsidRDefault="00206490" w:rsidP="00400DD1">
            <w:pPr>
              <w:spacing w:line="216" w:lineRule="auto"/>
              <w:rPr>
                <w:rtl/>
              </w:rPr>
            </w:pPr>
          </w:p>
        </w:tc>
        <w:tc>
          <w:tcPr>
            <w:tcW w:w="849" w:type="dxa"/>
            <w:vAlign w:val="bottom"/>
          </w:tcPr>
          <w:p w14:paraId="0BB1E37E" w14:textId="77777777" w:rsidR="00206490" w:rsidRPr="00DA42F2" w:rsidRDefault="00206490" w:rsidP="00400DD1">
            <w:pPr>
              <w:spacing w:line="216" w:lineRule="auto"/>
              <w:rPr>
                <w:rtl/>
              </w:rPr>
            </w:pPr>
          </w:p>
        </w:tc>
      </w:tr>
      <w:tr w:rsidR="00206490" w:rsidRPr="00DA42F2" w14:paraId="2C51FEAA" w14:textId="77777777" w:rsidTr="00EC46DF">
        <w:trPr>
          <w:trHeight w:val="245"/>
        </w:trPr>
        <w:tc>
          <w:tcPr>
            <w:tcW w:w="1304" w:type="dxa"/>
          </w:tcPr>
          <w:p w14:paraId="089066AA" w14:textId="77777777" w:rsidR="00206490" w:rsidRPr="00DA42F2" w:rsidRDefault="00206490" w:rsidP="00400DD1">
            <w:pPr>
              <w:spacing w:line="216" w:lineRule="auto"/>
              <w:ind w:left="144" w:hanging="144"/>
              <w:jc w:val="left"/>
              <w:rPr>
                <w:color w:val="000000"/>
                <w:rtl/>
                <w:lang w:eastAsia="he-IL"/>
              </w:rPr>
            </w:pPr>
          </w:p>
        </w:tc>
        <w:tc>
          <w:tcPr>
            <w:tcW w:w="4533" w:type="dxa"/>
            <w:vAlign w:val="bottom"/>
          </w:tcPr>
          <w:p w14:paraId="26BF358A" w14:textId="77777777" w:rsidR="00206490" w:rsidRPr="00DA42F2" w:rsidRDefault="00206490" w:rsidP="007F5094">
            <w:pPr>
              <w:spacing w:line="216" w:lineRule="auto"/>
              <w:ind w:left="491"/>
              <w:jc w:val="left"/>
              <w:rPr>
                <w:b/>
                <w:bCs/>
                <w:color w:val="000000"/>
                <w:sz w:val="18"/>
                <w:szCs w:val="18"/>
                <w:rtl/>
                <w:lang w:eastAsia="he-IL"/>
              </w:rPr>
            </w:pPr>
            <w:r w:rsidRPr="00DA42F2">
              <w:rPr>
                <w:rFonts w:hint="cs"/>
                <w:rtl/>
                <w:lang w:eastAsia="he-IL"/>
              </w:rPr>
              <w:t>אגרות חוב</w:t>
            </w:r>
            <w:r w:rsidRPr="00DA42F2">
              <w:rPr>
                <w:rFonts w:hint="cs"/>
                <w:b/>
                <w:bCs/>
                <w:rtl/>
                <w:lang w:eastAsia="he-IL"/>
              </w:rPr>
              <w:t xml:space="preserve"> </w:t>
            </w:r>
            <w:r w:rsidRPr="00DA42F2">
              <w:rPr>
                <w:rFonts w:hint="cs"/>
                <w:color w:val="000000"/>
                <w:sz w:val="18"/>
                <w:szCs w:val="18"/>
                <w:rtl/>
                <w:lang w:eastAsia="he-IL"/>
              </w:rPr>
              <w:t xml:space="preserve">שהונפקו על ידי </w:t>
            </w:r>
            <w:r w:rsidRPr="007F5094">
              <w:rPr>
                <w:rFonts w:hint="cs"/>
                <w:color w:val="000000"/>
                <w:sz w:val="17"/>
                <w:szCs w:val="17"/>
                <w:lang w:eastAsia="he-IL"/>
              </w:rPr>
              <w:t>FNMA</w:t>
            </w:r>
            <w:r w:rsidRPr="007F5094">
              <w:rPr>
                <w:rFonts w:hint="cs"/>
                <w:color w:val="000000"/>
                <w:sz w:val="17"/>
                <w:szCs w:val="17"/>
                <w:rtl/>
                <w:lang w:eastAsia="he-IL"/>
              </w:rPr>
              <w:t xml:space="preserve">, </w:t>
            </w:r>
            <w:r w:rsidRPr="007F5094">
              <w:rPr>
                <w:rFonts w:hint="cs"/>
                <w:color w:val="000000"/>
                <w:sz w:val="17"/>
                <w:szCs w:val="17"/>
                <w:lang w:eastAsia="he-IL"/>
              </w:rPr>
              <w:t>FHLMC</w:t>
            </w:r>
            <w:r w:rsidRPr="00DA42F2">
              <w:rPr>
                <w:rFonts w:hint="cs"/>
                <w:color w:val="000000"/>
                <w:sz w:val="18"/>
                <w:szCs w:val="18"/>
                <w:rtl/>
                <w:lang w:eastAsia="he-IL"/>
              </w:rPr>
              <w:t xml:space="preserve"> או </w:t>
            </w:r>
            <w:r w:rsidRPr="007F5094">
              <w:rPr>
                <w:rFonts w:hint="cs"/>
                <w:color w:val="000000"/>
                <w:sz w:val="17"/>
                <w:szCs w:val="17"/>
                <w:lang w:eastAsia="he-IL"/>
              </w:rPr>
              <w:t>GNMA</w:t>
            </w:r>
            <w:r w:rsidRPr="007F5094">
              <w:rPr>
                <w:rFonts w:hint="cs"/>
                <w:color w:val="000000"/>
                <w:sz w:val="17"/>
                <w:szCs w:val="17"/>
                <w:rtl/>
                <w:lang w:eastAsia="he-IL"/>
              </w:rPr>
              <w:t xml:space="preserve"> </w:t>
            </w:r>
            <w:r w:rsidRPr="00DA42F2">
              <w:rPr>
                <w:rFonts w:hint="cs"/>
                <w:color w:val="000000"/>
                <w:sz w:val="18"/>
                <w:szCs w:val="18"/>
                <w:rtl/>
                <w:lang w:eastAsia="he-IL"/>
              </w:rPr>
              <w:t>או בערבותם</w:t>
            </w:r>
          </w:p>
        </w:tc>
        <w:tc>
          <w:tcPr>
            <w:tcW w:w="888" w:type="dxa"/>
            <w:vAlign w:val="bottom"/>
          </w:tcPr>
          <w:p w14:paraId="1075C84D" w14:textId="77777777" w:rsidR="00206490" w:rsidRPr="00206490" w:rsidRDefault="00206490" w:rsidP="00400DD1">
            <w:pPr>
              <w:pBdr>
                <w:bottom w:val="single" w:sz="4" w:space="1" w:color="auto"/>
              </w:pBdr>
              <w:spacing w:line="216" w:lineRule="auto"/>
              <w:rPr>
                <w:rtl/>
              </w:rPr>
            </w:pPr>
            <w:r w:rsidRPr="00206490">
              <w:rPr>
                <w:rFonts w:hint="cs"/>
                <w:rtl/>
              </w:rPr>
              <w:t xml:space="preserve"> 0</w:t>
            </w:r>
          </w:p>
        </w:tc>
        <w:tc>
          <w:tcPr>
            <w:tcW w:w="1276" w:type="dxa"/>
            <w:vAlign w:val="bottom"/>
          </w:tcPr>
          <w:p w14:paraId="1191EB4C" w14:textId="77777777" w:rsidR="00206490" w:rsidRPr="00206490" w:rsidRDefault="00206490" w:rsidP="00400DD1">
            <w:pPr>
              <w:pBdr>
                <w:bottom w:val="single" w:sz="4" w:space="1" w:color="auto"/>
              </w:pBdr>
              <w:spacing w:line="216" w:lineRule="auto"/>
              <w:rPr>
                <w:rtl/>
              </w:rPr>
            </w:pPr>
            <w:r w:rsidRPr="00206490">
              <w:rPr>
                <w:rFonts w:hint="cs"/>
                <w:rtl/>
              </w:rPr>
              <w:t xml:space="preserve"> 0</w:t>
            </w:r>
          </w:p>
        </w:tc>
        <w:tc>
          <w:tcPr>
            <w:tcW w:w="1134" w:type="dxa"/>
            <w:vAlign w:val="bottom"/>
          </w:tcPr>
          <w:p w14:paraId="25FC745D" w14:textId="77777777" w:rsidR="00206490" w:rsidRPr="00206490" w:rsidRDefault="00206490" w:rsidP="00400DD1">
            <w:pPr>
              <w:pBdr>
                <w:bottom w:val="single" w:sz="4" w:space="1" w:color="auto"/>
              </w:pBdr>
              <w:spacing w:line="216" w:lineRule="auto"/>
              <w:rPr>
                <w:rtl/>
              </w:rPr>
            </w:pPr>
            <w:r w:rsidRPr="00206490">
              <w:rPr>
                <w:rFonts w:hint="cs"/>
                <w:rtl/>
              </w:rPr>
              <w:t xml:space="preserve"> 0</w:t>
            </w:r>
          </w:p>
        </w:tc>
        <w:tc>
          <w:tcPr>
            <w:tcW w:w="849" w:type="dxa"/>
            <w:vAlign w:val="bottom"/>
          </w:tcPr>
          <w:p w14:paraId="6108DEA3" w14:textId="77777777" w:rsidR="00206490" w:rsidRPr="00206490" w:rsidRDefault="00206490" w:rsidP="00400DD1">
            <w:pPr>
              <w:pBdr>
                <w:bottom w:val="single" w:sz="4" w:space="1" w:color="auto"/>
              </w:pBdr>
              <w:spacing w:line="216" w:lineRule="auto"/>
              <w:rPr>
                <w:rtl/>
              </w:rPr>
            </w:pPr>
            <w:r w:rsidRPr="00206490">
              <w:rPr>
                <w:rFonts w:hint="cs"/>
                <w:rtl/>
              </w:rPr>
              <w:t xml:space="preserve"> 0</w:t>
            </w:r>
          </w:p>
        </w:tc>
      </w:tr>
      <w:tr w:rsidR="00206490" w:rsidRPr="00DA42F2" w14:paraId="42245B37" w14:textId="77777777" w:rsidTr="00EC46DF">
        <w:trPr>
          <w:trHeight w:hRule="exact" w:val="148"/>
        </w:trPr>
        <w:tc>
          <w:tcPr>
            <w:tcW w:w="1304" w:type="dxa"/>
          </w:tcPr>
          <w:p w14:paraId="60A3855D" w14:textId="77777777" w:rsidR="00206490" w:rsidRPr="00DA42F2" w:rsidRDefault="00206490" w:rsidP="00400DD1">
            <w:pPr>
              <w:spacing w:line="216" w:lineRule="auto"/>
              <w:ind w:left="144" w:hanging="144"/>
              <w:jc w:val="left"/>
              <w:rPr>
                <w:color w:val="000000"/>
                <w:rtl/>
                <w:lang w:eastAsia="he-IL"/>
              </w:rPr>
            </w:pPr>
          </w:p>
          <w:p w14:paraId="7C40372B" w14:textId="77777777" w:rsidR="00206490" w:rsidRPr="00DA42F2" w:rsidRDefault="00206490" w:rsidP="00400DD1">
            <w:pPr>
              <w:spacing w:line="216" w:lineRule="auto"/>
              <w:ind w:left="144" w:hanging="144"/>
              <w:jc w:val="left"/>
              <w:rPr>
                <w:color w:val="000000"/>
                <w:rtl/>
                <w:lang w:eastAsia="he-IL"/>
              </w:rPr>
            </w:pPr>
          </w:p>
          <w:p w14:paraId="46916C86" w14:textId="77777777" w:rsidR="00206490" w:rsidRPr="00DA42F2" w:rsidRDefault="00206490" w:rsidP="00400DD1">
            <w:pPr>
              <w:spacing w:line="216" w:lineRule="auto"/>
              <w:ind w:left="144" w:hanging="144"/>
              <w:jc w:val="left"/>
              <w:rPr>
                <w:color w:val="000000"/>
                <w:rtl/>
                <w:lang w:eastAsia="he-IL"/>
              </w:rPr>
            </w:pPr>
          </w:p>
        </w:tc>
        <w:tc>
          <w:tcPr>
            <w:tcW w:w="4533" w:type="dxa"/>
            <w:vAlign w:val="bottom"/>
          </w:tcPr>
          <w:p w14:paraId="53FD2CEA" w14:textId="77777777" w:rsidR="00206490" w:rsidRPr="00DA42F2" w:rsidRDefault="00206490" w:rsidP="00400DD1">
            <w:pPr>
              <w:spacing w:line="216" w:lineRule="auto"/>
              <w:ind w:left="590" w:hanging="144"/>
              <w:jc w:val="left"/>
              <w:rPr>
                <w:color w:val="000000"/>
                <w:rtl/>
                <w:lang w:eastAsia="he-IL"/>
              </w:rPr>
            </w:pPr>
          </w:p>
        </w:tc>
        <w:tc>
          <w:tcPr>
            <w:tcW w:w="888" w:type="dxa"/>
            <w:vAlign w:val="bottom"/>
          </w:tcPr>
          <w:p w14:paraId="32B0FDDA" w14:textId="77777777" w:rsidR="00206490" w:rsidRPr="00DA42F2" w:rsidRDefault="00206490" w:rsidP="00400DD1">
            <w:pPr>
              <w:spacing w:line="216" w:lineRule="auto"/>
              <w:rPr>
                <w:rtl/>
              </w:rPr>
            </w:pPr>
          </w:p>
        </w:tc>
        <w:tc>
          <w:tcPr>
            <w:tcW w:w="1276" w:type="dxa"/>
            <w:vAlign w:val="bottom"/>
          </w:tcPr>
          <w:p w14:paraId="4B075CCD" w14:textId="77777777" w:rsidR="00206490" w:rsidRPr="00DA42F2" w:rsidRDefault="00206490" w:rsidP="00400DD1">
            <w:pPr>
              <w:spacing w:line="216" w:lineRule="auto"/>
              <w:rPr>
                <w:rtl/>
              </w:rPr>
            </w:pPr>
          </w:p>
        </w:tc>
        <w:tc>
          <w:tcPr>
            <w:tcW w:w="1134" w:type="dxa"/>
            <w:vAlign w:val="bottom"/>
          </w:tcPr>
          <w:p w14:paraId="747FFEAF" w14:textId="77777777" w:rsidR="00206490" w:rsidRPr="00DA42F2" w:rsidRDefault="00206490" w:rsidP="00400DD1">
            <w:pPr>
              <w:spacing w:line="216" w:lineRule="auto"/>
              <w:rPr>
                <w:rtl/>
              </w:rPr>
            </w:pPr>
          </w:p>
        </w:tc>
        <w:tc>
          <w:tcPr>
            <w:tcW w:w="849" w:type="dxa"/>
            <w:vAlign w:val="bottom"/>
          </w:tcPr>
          <w:p w14:paraId="6D5A7416" w14:textId="77777777" w:rsidR="00206490" w:rsidRPr="00DA42F2" w:rsidRDefault="00206490" w:rsidP="00400DD1">
            <w:pPr>
              <w:spacing w:line="216" w:lineRule="auto"/>
              <w:rPr>
                <w:rtl/>
              </w:rPr>
            </w:pPr>
          </w:p>
        </w:tc>
      </w:tr>
      <w:tr w:rsidR="00206490" w:rsidRPr="00DA42F2" w14:paraId="027C6D32" w14:textId="77777777" w:rsidTr="00EC46DF">
        <w:trPr>
          <w:trHeight w:val="245"/>
        </w:trPr>
        <w:tc>
          <w:tcPr>
            <w:tcW w:w="1304" w:type="dxa"/>
          </w:tcPr>
          <w:p w14:paraId="07CC2420" w14:textId="77777777" w:rsidR="00206490" w:rsidRPr="00DA42F2" w:rsidRDefault="00206490" w:rsidP="00400DD1">
            <w:pPr>
              <w:spacing w:line="216" w:lineRule="auto"/>
              <w:ind w:left="144" w:hanging="144"/>
              <w:jc w:val="left"/>
              <w:rPr>
                <w:color w:val="000000"/>
                <w:rtl/>
                <w:lang w:eastAsia="he-IL"/>
              </w:rPr>
            </w:pPr>
          </w:p>
        </w:tc>
        <w:tc>
          <w:tcPr>
            <w:tcW w:w="4533" w:type="dxa"/>
            <w:vAlign w:val="bottom"/>
          </w:tcPr>
          <w:p w14:paraId="3D929C9E" w14:textId="77777777" w:rsidR="00206490" w:rsidRPr="00DA42F2" w:rsidRDefault="00206490" w:rsidP="00400DD1">
            <w:pPr>
              <w:spacing w:line="216" w:lineRule="auto"/>
              <w:ind w:left="590" w:hanging="323"/>
              <w:jc w:val="left"/>
              <w:rPr>
                <w:color w:val="000000"/>
                <w:sz w:val="18"/>
                <w:szCs w:val="18"/>
                <w:rtl/>
                <w:lang w:eastAsia="he-IL"/>
              </w:rPr>
            </w:pPr>
            <w:r w:rsidRPr="00DA42F2">
              <w:rPr>
                <w:rFonts w:hint="cs"/>
                <w:b/>
                <w:bCs/>
                <w:color w:val="000000"/>
                <w:rtl/>
                <w:lang w:eastAsia="he-IL"/>
              </w:rPr>
              <w:t xml:space="preserve">סך הכל </w:t>
            </w:r>
            <w:r w:rsidRPr="00DA42F2">
              <w:rPr>
                <w:rFonts w:hint="cs"/>
                <w:b/>
                <w:bCs/>
                <w:rtl/>
                <w:lang w:eastAsia="he-IL"/>
              </w:rPr>
              <w:t xml:space="preserve">אגרות חוב </w:t>
            </w:r>
            <w:r w:rsidRPr="00DA42F2">
              <w:rPr>
                <w:rFonts w:hint="cs"/>
                <w:b/>
                <w:bCs/>
                <w:color w:val="000000"/>
                <w:rtl/>
                <w:lang w:eastAsia="he-IL"/>
              </w:rPr>
              <w:t>מגובות משכנתא</w:t>
            </w:r>
            <w:r w:rsidRPr="00DA42F2">
              <w:rPr>
                <w:rFonts w:hint="eastAsia"/>
                <w:b/>
                <w:bCs/>
                <w:color w:val="000000"/>
                <w:rtl/>
                <w:lang w:eastAsia="he-IL"/>
              </w:rPr>
              <w:t>ות</w:t>
            </w:r>
            <w:r w:rsidRPr="00DA42F2">
              <w:rPr>
                <w:b/>
                <w:bCs/>
                <w:color w:val="000000"/>
                <w:sz w:val="18"/>
                <w:szCs w:val="18"/>
                <w:rtl/>
                <w:lang w:eastAsia="he-IL"/>
              </w:rPr>
              <w:t xml:space="preserve"> (</w:t>
            </w:r>
            <w:r w:rsidRPr="00DA42F2">
              <w:rPr>
                <w:b/>
                <w:bCs/>
                <w:color w:val="000000"/>
                <w:sz w:val="18"/>
                <w:szCs w:val="18"/>
                <w:lang w:eastAsia="he-IL"/>
              </w:rPr>
              <w:t>MBS</w:t>
            </w:r>
            <w:r w:rsidRPr="00DA42F2">
              <w:rPr>
                <w:b/>
                <w:bCs/>
                <w:color w:val="000000"/>
                <w:sz w:val="18"/>
                <w:szCs w:val="18"/>
                <w:rtl/>
                <w:lang w:eastAsia="he-IL"/>
              </w:rPr>
              <w:t>)</w:t>
            </w:r>
          </w:p>
        </w:tc>
        <w:tc>
          <w:tcPr>
            <w:tcW w:w="888" w:type="dxa"/>
            <w:vAlign w:val="bottom"/>
          </w:tcPr>
          <w:p w14:paraId="3C8F2DB1" w14:textId="77777777" w:rsidR="00206490" w:rsidRPr="00DA42F2" w:rsidRDefault="00206490" w:rsidP="00400DD1">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276" w:type="dxa"/>
            <w:vAlign w:val="bottom"/>
          </w:tcPr>
          <w:p w14:paraId="5BD8C667" w14:textId="77777777" w:rsidR="00206490" w:rsidRPr="00DA42F2" w:rsidRDefault="00206490" w:rsidP="00400DD1">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134" w:type="dxa"/>
            <w:vAlign w:val="bottom"/>
          </w:tcPr>
          <w:p w14:paraId="264034DC" w14:textId="77777777" w:rsidR="00206490" w:rsidRPr="00DA42F2" w:rsidRDefault="00206490" w:rsidP="00400DD1">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849" w:type="dxa"/>
            <w:vAlign w:val="bottom"/>
          </w:tcPr>
          <w:p w14:paraId="0838B4CA" w14:textId="77777777" w:rsidR="00206490" w:rsidRPr="00DA42F2" w:rsidRDefault="00206490" w:rsidP="00400DD1">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r>
      <w:tr w:rsidR="00206490" w:rsidRPr="00DA42F2" w14:paraId="6E472F48" w14:textId="77777777" w:rsidTr="00EC46DF">
        <w:trPr>
          <w:trHeight w:hRule="exact" w:val="227"/>
        </w:trPr>
        <w:tc>
          <w:tcPr>
            <w:tcW w:w="1304" w:type="dxa"/>
          </w:tcPr>
          <w:p w14:paraId="7A75D966" w14:textId="77777777" w:rsidR="00206490" w:rsidRPr="00DA42F2" w:rsidRDefault="00206490" w:rsidP="00400DD1">
            <w:pPr>
              <w:spacing w:line="216" w:lineRule="auto"/>
              <w:ind w:left="144" w:hanging="144"/>
              <w:jc w:val="left"/>
              <w:rPr>
                <w:color w:val="000000"/>
                <w:rtl/>
                <w:lang w:eastAsia="he-IL"/>
              </w:rPr>
            </w:pPr>
          </w:p>
          <w:p w14:paraId="16220DC7" w14:textId="77777777" w:rsidR="00206490" w:rsidRPr="00DA42F2" w:rsidRDefault="00206490" w:rsidP="00400DD1">
            <w:pPr>
              <w:spacing w:line="216" w:lineRule="auto"/>
              <w:ind w:left="144" w:hanging="144"/>
              <w:jc w:val="left"/>
              <w:rPr>
                <w:color w:val="000000"/>
                <w:rtl/>
                <w:lang w:eastAsia="he-IL"/>
              </w:rPr>
            </w:pPr>
          </w:p>
        </w:tc>
        <w:tc>
          <w:tcPr>
            <w:tcW w:w="4533" w:type="dxa"/>
            <w:vAlign w:val="bottom"/>
          </w:tcPr>
          <w:p w14:paraId="33774F1B" w14:textId="77777777" w:rsidR="00206490" w:rsidRPr="00DA42F2" w:rsidRDefault="00206490" w:rsidP="00400DD1">
            <w:pPr>
              <w:spacing w:line="216" w:lineRule="auto"/>
              <w:ind w:left="1037" w:hanging="144"/>
              <w:jc w:val="left"/>
              <w:rPr>
                <w:color w:val="000000"/>
                <w:sz w:val="18"/>
                <w:szCs w:val="18"/>
                <w:rtl/>
                <w:lang w:eastAsia="he-IL"/>
              </w:rPr>
            </w:pPr>
          </w:p>
        </w:tc>
        <w:tc>
          <w:tcPr>
            <w:tcW w:w="888" w:type="dxa"/>
            <w:vAlign w:val="bottom"/>
          </w:tcPr>
          <w:p w14:paraId="0322810D" w14:textId="77777777" w:rsidR="00206490" w:rsidRPr="00DA42F2" w:rsidRDefault="00206490" w:rsidP="00400DD1">
            <w:pPr>
              <w:spacing w:line="216" w:lineRule="auto"/>
              <w:rPr>
                <w:rtl/>
              </w:rPr>
            </w:pPr>
          </w:p>
        </w:tc>
        <w:tc>
          <w:tcPr>
            <w:tcW w:w="1276" w:type="dxa"/>
            <w:vAlign w:val="bottom"/>
          </w:tcPr>
          <w:p w14:paraId="5DBD72B6" w14:textId="77777777" w:rsidR="00206490" w:rsidRPr="00DA42F2" w:rsidRDefault="00206490" w:rsidP="00400DD1">
            <w:pPr>
              <w:spacing w:line="216" w:lineRule="auto"/>
              <w:rPr>
                <w:rtl/>
              </w:rPr>
            </w:pPr>
          </w:p>
        </w:tc>
        <w:tc>
          <w:tcPr>
            <w:tcW w:w="1134" w:type="dxa"/>
            <w:vAlign w:val="bottom"/>
          </w:tcPr>
          <w:p w14:paraId="47E6A9A7" w14:textId="77777777" w:rsidR="00206490" w:rsidRPr="00DA42F2" w:rsidRDefault="00206490" w:rsidP="00400DD1">
            <w:pPr>
              <w:spacing w:line="216" w:lineRule="auto"/>
              <w:rPr>
                <w:rtl/>
              </w:rPr>
            </w:pPr>
          </w:p>
        </w:tc>
        <w:tc>
          <w:tcPr>
            <w:tcW w:w="849" w:type="dxa"/>
            <w:vAlign w:val="bottom"/>
          </w:tcPr>
          <w:p w14:paraId="77074DF9" w14:textId="77777777" w:rsidR="00206490" w:rsidRPr="00DA42F2" w:rsidRDefault="00206490" w:rsidP="00400DD1">
            <w:pPr>
              <w:spacing w:line="216" w:lineRule="auto"/>
              <w:rPr>
                <w:rtl/>
              </w:rPr>
            </w:pPr>
          </w:p>
        </w:tc>
      </w:tr>
      <w:tr w:rsidR="00206490" w:rsidRPr="00DA42F2" w14:paraId="483023F3" w14:textId="77777777" w:rsidTr="00EC46DF">
        <w:trPr>
          <w:trHeight w:val="245"/>
        </w:trPr>
        <w:tc>
          <w:tcPr>
            <w:tcW w:w="1304" w:type="dxa"/>
          </w:tcPr>
          <w:p w14:paraId="3BEDD7AA" w14:textId="77777777" w:rsidR="00206490" w:rsidRPr="00DA42F2" w:rsidRDefault="00206490" w:rsidP="00400DD1">
            <w:pPr>
              <w:spacing w:line="216" w:lineRule="auto"/>
              <w:ind w:left="144" w:hanging="144"/>
              <w:jc w:val="left"/>
              <w:rPr>
                <w:color w:val="000000"/>
                <w:rtl/>
                <w:lang w:eastAsia="he-IL"/>
              </w:rPr>
            </w:pPr>
          </w:p>
        </w:tc>
        <w:tc>
          <w:tcPr>
            <w:tcW w:w="4533" w:type="dxa"/>
            <w:vAlign w:val="bottom"/>
          </w:tcPr>
          <w:p w14:paraId="2E776E00" w14:textId="77777777" w:rsidR="00206490" w:rsidRPr="00DA42F2" w:rsidRDefault="00206490" w:rsidP="00D6057D">
            <w:pPr>
              <w:numPr>
                <w:ilvl w:val="0"/>
                <w:numId w:val="27"/>
              </w:numPr>
              <w:spacing w:line="216" w:lineRule="auto"/>
              <w:ind w:left="267" w:hanging="267"/>
              <w:jc w:val="left"/>
              <w:rPr>
                <w:b/>
                <w:bCs/>
                <w:color w:val="000000"/>
                <w:rtl/>
                <w:lang w:eastAsia="he-IL"/>
              </w:rPr>
            </w:pPr>
            <w:r w:rsidRPr="00DA42F2">
              <w:rPr>
                <w:rFonts w:hint="cs"/>
                <w:b/>
                <w:bCs/>
                <w:rtl/>
                <w:lang w:eastAsia="he-IL"/>
              </w:rPr>
              <w:t>סך</w:t>
            </w:r>
            <w:r w:rsidRPr="00DA42F2">
              <w:rPr>
                <w:rFonts w:hint="cs"/>
                <w:b/>
                <w:bCs/>
                <w:color w:val="000000"/>
                <w:rtl/>
                <w:lang w:eastAsia="he-IL"/>
              </w:rPr>
              <w:t xml:space="preserve"> הכל </w:t>
            </w:r>
            <w:r w:rsidRPr="00DA42F2">
              <w:rPr>
                <w:rFonts w:hint="cs"/>
                <w:b/>
                <w:bCs/>
                <w:rtl/>
                <w:lang w:eastAsia="he-IL"/>
              </w:rPr>
              <w:t xml:space="preserve">אגרות חוב </w:t>
            </w:r>
            <w:r w:rsidRPr="00DA42F2">
              <w:rPr>
                <w:rFonts w:hint="cs"/>
                <w:b/>
                <w:bCs/>
                <w:color w:val="000000"/>
                <w:rtl/>
                <w:lang w:eastAsia="he-IL"/>
              </w:rPr>
              <w:t xml:space="preserve">מגובות נכסים </w:t>
            </w:r>
            <w:r w:rsidRPr="007F5094">
              <w:rPr>
                <w:rFonts w:hint="cs"/>
                <w:b/>
                <w:bCs/>
                <w:color w:val="000000"/>
                <w:sz w:val="18"/>
                <w:szCs w:val="18"/>
                <w:rtl/>
                <w:lang w:eastAsia="he-IL"/>
              </w:rPr>
              <w:t>(</w:t>
            </w:r>
            <w:r w:rsidRPr="007F5094">
              <w:rPr>
                <w:b/>
                <w:bCs/>
                <w:color w:val="000000"/>
                <w:sz w:val="18"/>
                <w:szCs w:val="18"/>
                <w:lang w:eastAsia="he-IL"/>
              </w:rPr>
              <w:t>ABS</w:t>
            </w:r>
            <w:r w:rsidRPr="007F5094">
              <w:rPr>
                <w:rFonts w:hint="cs"/>
                <w:b/>
                <w:bCs/>
                <w:color w:val="000000"/>
                <w:sz w:val="18"/>
                <w:szCs w:val="18"/>
                <w:rtl/>
                <w:lang w:eastAsia="he-IL"/>
              </w:rPr>
              <w:t>)</w:t>
            </w:r>
          </w:p>
          <w:p w14:paraId="36C3B64A" w14:textId="77777777" w:rsidR="00206490" w:rsidRPr="00AF6EE7" w:rsidRDefault="00206490" w:rsidP="00400DD1">
            <w:pPr>
              <w:spacing w:line="216" w:lineRule="auto"/>
              <w:ind w:left="908" w:hanging="694"/>
              <w:jc w:val="left"/>
              <w:rPr>
                <w:color w:val="000000"/>
                <w:sz w:val="16"/>
                <w:szCs w:val="16"/>
                <w:rtl/>
                <w:lang w:eastAsia="he-IL"/>
              </w:rPr>
            </w:pPr>
            <w:r w:rsidRPr="00AF6EE7">
              <w:rPr>
                <w:rFonts w:hint="cs"/>
                <w:color w:val="000000"/>
                <w:sz w:val="16"/>
                <w:szCs w:val="16"/>
                <w:rtl/>
                <w:lang w:eastAsia="he-IL"/>
              </w:rPr>
              <w:t>[פרט אם מהותי]</w:t>
            </w:r>
          </w:p>
        </w:tc>
        <w:tc>
          <w:tcPr>
            <w:tcW w:w="888" w:type="dxa"/>
            <w:vAlign w:val="bottom"/>
          </w:tcPr>
          <w:p w14:paraId="0D3508E1" w14:textId="77777777" w:rsidR="00206490" w:rsidRPr="00DA42F2" w:rsidRDefault="00206490" w:rsidP="00400DD1">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276" w:type="dxa"/>
            <w:vAlign w:val="bottom"/>
          </w:tcPr>
          <w:p w14:paraId="46A26AF7" w14:textId="77777777" w:rsidR="00206490" w:rsidRPr="00DA42F2" w:rsidRDefault="00206490" w:rsidP="00400DD1">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134" w:type="dxa"/>
            <w:vAlign w:val="bottom"/>
          </w:tcPr>
          <w:p w14:paraId="5FEE6DA8" w14:textId="77777777" w:rsidR="00206490" w:rsidRPr="00DA42F2" w:rsidRDefault="00206490" w:rsidP="00400DD1">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849" w:type="dxa"/>
            <w:vAlign w:val="bottom"/>
          </w:tcPr>
          <w:p w14:paraId="58F19D65" w14:textId="77777777" w:rsidR="00206490" w:rsidRPr="00DA42F2" w:rsidRDefault="00206490" w:rsidP="00400DD1">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r>
      <w:tr w:rsidR="00206490" w:rsidRPr="00DA42F2" w14:paraId="119F837F" w14:textId="77777777" w:rsidTr="00EC46DF">
        <w:trPr>
          <w:trHeight w:hRule="exact" w:val="144"/>
        </w:trPr>
        <w:tc>
          <w:tcPr>
            <w:tcW w:w="1304" w:type="dxa"/>
          </w:tcPr>
          <w:p w14:paraId="79E00F92" w14:textId="77777777" w:rsidR="00206490" w:rsidRPr="00DA42F2" w:rsidRDefault="00206490" w:rsidP="00400DD1">
            <w:pPr>
              <w:spacing w:line="216" w:lineRule="auto"/>
              <w:ind w:left="144" w:hanging="144"/>
              <w:jc w:val="left"/>
              <w:rPr>
                <w:color w:val="000000"/>
                <w:rtl/>
                <w:lang w:eastAsia="he-IL"/>
              </w:rPr>
            </w:pPr>
          </w:p>
        </w:tc>
        <w:tc>
          <w:tcPr>
            <w:tcW w:w="4533" w:type="dxa"/>
            <w:vAlign w:val="bottom"/>
          </w:tcPr>
          <w:p w14:paraId="23C23C44" w14:textId="77777777" w:rsidR="00206490" w:rsidRPr="00DA42F2" w:rsidRDefault="00206490" w:rsidP="00400DD1">
            <w:pPr>
              <w:spacing w:line="216" w:lineRule="auto"/>
              <w:ind w:left="1037" w:hanging="144"/>
              <w:jc w:val="left"/>
              <w:rPr>
                <w:color w:val="000000"/>
                <w:sz w:val="18"/>
                <w:szCs w:val="18"/>
                <w:rtl/>
                <w:lang w:eastAsia="he-IL"/>
              </w:rPr>
            </w:pPr>
          </w:p>
        </w:tc>
        <w:tc>
          <w:tcPr>
            <w:tcW w:w="888" w:type="dxa"/>
            <w:vAlign w:val="bottom"/>
          </w:tcPr>
          <w:p w14:paraId="6D8EC9A7" w14:textId="77777777" w:rsidR="00206490" w:rsidRPr="00DA42F2" w:rsidRDefault="00206490" w:rsidP="00400DD1">
            <w:pPr>
              <w:spacing w:line="216" w:lineRule="auto"/>
              <w:rPr>
                <w:rtl/>
              </w:rPr>
            </w:pPr>
          </w:p>
        </w:tc>
        <w:tc>
          <w:tcPr>
            <w:tcW w:w="1276" w:type="dxa"/>
            <w:vAlign w:val="bottom"/>
          </w:tcPr>
          <w:p w14:paraId="19DAFA6A" w14:textId="77777777" w:rsidR="00206490" w:rsidRPr="00DA42F2" w:rsidRDefault="00206490" w:rsidP="00400DD1">
            <w:pPr>
              <w:spacing w:line="216" w:lineRule="auto"/>
              <w:rPr>
                <w:rtl/>
              </w:rPr>
            </w:pPr>
          </w:p>
        </w:tc>
        <w:tc>
          <w:tcPr>
            <w:tcW w:w="1134" w:type="dxa"/>
            <w:vAlign w:val="bottom"/>
          </w:tcPr>
          <w:p w14:paraId="00C579F8" w14:textId="77777777" w:rsidR="00206490" w:rsidRPr="00DA42F2" w:rsidRDefault="00206490" w:rsidP="00400DD1">
            <w:pPr>
              <w:spacing w:line="216" w:lineRule="auto"/>
              <w:rPr>
                <w:rtl/>
              </w:rPr>
            </w:pPr>
          </w:p>
        </w:tc>
        <w:tc>
          <w:tcPr>
            <w:tcW w:w="849" w:type="dxa"/>
            <w:vAlign w:val="bottom"/>
          </w:tcPr>
          <w:p w14:paraId="32E4E12E" w14:textId="77777777" w:rsidR="00206490" w:rsidRPr="00DA42F2" w:rsidRDefault="00206490" w:rsidP="00400DD1">
            <w:pPr>
              <w:spacing w:line="216" w:lineRule="auto"/>
              <w:rPr>
                <w:rtl/>
              </w:rPr>
            </w:pPr>
          </w:p>
        </w:tc>
      </w:tr>
      <w:tr w:rsidR="00206490" w:rsidRPr="00DA42F2" w14:paraId="4014A488" w14:textId="77777777" w:rsidTr="00EC46DF">
        <w:trPr>
          <w:trHeight w:val="245"/>
        </w:trPr>
        <w:tc>
          <w:tcPr>
            <w:tcW w:w="1304" w:type="dxa"/>
          </w:tcPr>
          <w:p w14:paraId="2F845FB0" w14:textId="77777777" w:rsidR="00206490" w:rsidRPr="00DA42F2" w:rsidRDefault="00206490" w:rsidP="00400DD1">
            <w:pPr>
              <w:spacing w:line="216" w:lineRule="auto"/>
              <w:ind w:left="144" w:hanging="144"/>
              <w:jc w:val="left"/>
              <w:rPr>
                <w:color w:val="000000"/>
                <w:rtl/>
                <w:lang w:eastAsia="he-IL"/>
              </w:rPr>
            </w:pPr>
          </w:p>
        </w:tc>
        <w:tc>
          <w:tcPr>
            <w:tcW w:w="4533" w:type="dxa"/>
            <w:vAlign w:val="bottom"/>
          </w:tcPr>
          <w:p w14:paraId="0457BC25" w14:textId="77777777" w:rsidR="00206490" w:rsidRPr="00DA42F2" w:rsidRDefault="00206490" w:rsidP="00400DD1">
            <w:pPr>
              <w:spacing w:before="40" w:line="216" w:lineRule="auto"/>
              <w:jc w:val="left"/>
              <w:rPr>
                <w:b/>
                <w:bCs/>
                <w:color w:val="000000"/>
                <w:sz w:val="18"/>
                <w:szCs w:val="18"/>
                <w:rtl/>
                <w:lang w:eastAsia="he-IL"/>
              </w:rPr>
            </w:pPr>
            <w:r w:rsidRPr="00DA42F2">
              <w:rPr>
                <w:rFonts w:hint="cs"/>
                <w:b/>
                <w:bCs/>
                <w:color w:val="000000"/>
                <w:rtl/>
                <w:lang w:eastAsia="he-IL"/>
              </w:rPr>
              <w:t xml:space="preserve">סך הכל </w:t>
            </w:r>
            <w:r w:rsidRPr="00DA42F2">
              <w:rPr>
                <w:rFonts w:hint="cs"/>
                <w:b/>
                <w:bCs/>
                <w:rtl/>
                <w:lang w:eastAsia="he-IL"/>
              </w:rPr>
              <w:t>אגרות חוב</w:t>
            </w:r>
            <w:r w:rsidRPr="00DA42F2">
              <w:rPr>
                <w:rFonts w:hint="cs"/>
                <w:rtl/>
                <w:lang w:eastAsia="he-IL"/>
              </w:rPr>
              <w:t xml:space="preserve"> </w:t>
            </w:r>
            <w:r w:rsidRPr="00DA42F2">
              <w:rPr>
                <w:rFonts w:hint="cs"/>
                <w:b/>
                <w:bCs/>
                <w:color w:val="000000"/>
                <w:rtl/>
                <w:lang w:eastAsia="he-IL"/>
              </w:rPr>
              <w:t>זמינות למכירה מגובות משכנתאות ומגובות נכסים</w:t>
            </w:r>
          </w:p>
        </w:tc>
        <w:tc>
          <w:tcPr>
            <w:tcW w:w="888" w:type="dxa"/>
            <w:vAlign w:val="bottom"/>
          </w:tcPr>
          <w:p w14:paraId="34D98111" w14:textId="77777777" w:rsidR="00206490" w:rsidRPr="00DA42F2" w:rsidRDefault="00206490" w:rsidP="00400DD1">
            <w:pPr>
              <w:pBdr>
                <w:bottom w:val="doub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276" w:type="dxa"/>
            <w:vAlign w:val="bottom"/>
          </w:tcPr>
          <w:p w14:paraId="17392C0D" w14:textId="77777777" w:rsidR="00206490" w:rsidRPr="00DA42F2" w:rsidRDefault="00206490" w:rsidP="00400DD1">
            <w:pPr>
              <w:pBdr>
                <w:bottom w:val="doub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134" w:type="dxa"/>
            <w:vAlign w:val="bottom"/>
          </w:tcPr>
          <w:p w14:paraId="075BB9C4" w14:textId="77777777" w:rsidR="00206490" w:rsidRPr="00DA42F2" w:rsidRDefault="00206490" w:rsidP="00400DD1">
            <w:pPr>
              <w:pBdr>
                <w:bottom w:val="doub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849" w:type="dxa"/>
            <w:vAlign w:val="bottom"/>
          </w:tcPr>
          <w:p w14:paraId="64F25786" w14:textId="77777777" w:rsidR="00206490" w:rsidRPr="00DA42F2" w:rsidRDefault="00206490" w:rsidP="00400DD1">
            <w:pPr>
              <w:pBdr>
                <w:bottom w:val="doub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r>
    </w:tbl>
    <w:p w14:paraId="1C7DBAE1" w14:textId="77777777" w:rsidR="00206490" w:rsidRDefault="00206490"/>
    <w:p w14:paraId="4D13D9F0" w14:textId="77777777" w:rsidR="006E7E3E" w:rsidRPr="00E62957" w:rsidRDefault="006E7E3E" w:rsidP="0044167C">
      <w:pPr>
        <w:pStyle w:val="-2"/>
        <w:ind w:left="1584"/>
        <w:rPr>
          <w:color w:val="FF0000"/>
          <w:rtl/>
        </w:rPr>
        <w:sectPr w:rsidR="006E7E3E" w:rsidRPr="00E62957" w:rsidSect="00587121">
          <w:headerReference w:type="default" r:id="rId47"/>
          <w:footnotePr>
            <w:numRestart w:val="eachPage"/>
          </w:footnotePr>
          <w:pgSz w:w="11909" w:h="16834" w:code="9"/>
          <w:pgMar w:top="851" w:right="851" w:bottom="851" w:left="851" w:header="720" w:footer="720" w:gutter="0"/>
          <w:cols w:space="720"/>
          <w:bidi/>
          <w:rtlGutter/>
          <w:docGrid w:linePitch="360"/>
        </w:sectPr>
      </w:pPr>
    </w:p>
    <w:tbl>
      <w:tblPr>
        <w:bidiVisual/>
        <w:tblW w:w="4862" w:type="pct"/>
        <w:tblInd w:w="93" w:type="dxa"/>
        <w:tblLayout w:type="fixed"/>
        <w:tblLook w:val="04A0" w:firstRow="1" w:lastRow="0" w:firstColumn="1" w:lastColumn="0" w:noHBand="0" w:noVBand="1"/>
      </w:tblPr>
      <w:tblGrid>
        <w:gridCol w:w="1020"/>
        <w:gridCol w:w="8535"/>
        <w:gridCol w:w="370"/>
      </w:tblGrid>
      <w:tr w:rsidR="00522CAE" w:rsidRPr="00522CAE" w14:paraId="1711B3F7" w14:textId="77777777" w:rsidTr="00A76B5E">
        <w:trPr>
          <w:gridAfter w:val="1"/>
          <w:wAfter w:w="370" w:type="dxa"/>
          <w:trHeight w:val="259"/>
        </w:trPr>
        <w:tc>
          <w:tcPr>
            <w:tcW w:w="1020" w:type="dxa"/>
          </w:tcPr>
          <w:p w14:paraId="0D9CA2E2" w14:textId="77777777" w:rsidR="00E62957" w:rsidRPr="00522CAE" w:rsidRDefault="00E62957" w:rsidP="00D35249">
            <w:pPr>
              <w:pStyle w:val="-fa"/>
              <w:rPr>
                <w:rtl/>
              </w:rPr>
            </w:pPr>
          </w:p>
        </w:tc>
        <w:tc>
          <w:tcPr>
            <w:tcW w:w="8535" w:type="dxa"/>
          </w:tcPr>
          <w:p w14:paraId="4D2171A5" w14:textId="77777777" w:rsidR="00E62957" w:rsidRPr="00522CAE" w:rsidRDefault="00444F2E" w:rsidP="00D35249">
            <w:pPr>
              <w:pStyle w:val="-8"/>
              <w:rPr>
                <w:rtl/>
              </w:rPr>
            </w:pPr>
            <w:r w:rsidRPr="00522CAE">
              <w:rPr>
                <w:rFonts w:hint="cs"/>
                <w:rtl/>
              </w:rPr>
              <w:t>ביאור 5</w:t>
            </w:r>
            <w:r w:rsidR="00E62957" w:rsidRPr="00522CAE">
              <w:rPr>
                <w:rFonts w:hint="cs"/>
                <w:rtl/>
              </w:rPr>
              <w:t xml:space="preserve">  -  ניירות ערך (המשך):</w:t>
            </w:r>
          </w:p>
        </w:tc>
      </w:tr>
      <w:tr w:rsidR="00A76B5E" w:rsidRPr="00522CAE" w14:paraId="6B406871" w14:textId="77777777" w:rsidTr="00737059">
        <w:tblPrEx>
          <w:tblLook w:val="0000" w:firstRow="0" w:lastRow="0" w:firstColumn="0" w:lastColumn="0" w:noHBand="0" w:noVBand="0"/>
        </w:tblPrEx>
        <w:trPr>
          <w:trHeight w:val="245"/>
        </w:trPr>
        <w:tc>
          <w:tcPr>
            <w:tcW w:w="1020" w:type="dxa"/>
          </w:tcPr>
          <w:p w14:paraId="1D31C939" w14:textId="025855A1" w:rsidR="00A76B5E" w:rsidRPr="00522CAE" w:rsidRDefault="00A76B5E" w:rsidP="00D35249">
            <w:pPr>
              <w:pStyle w:val="-7"/>
              <w:spacing w:before="120" w:after="60" w:line="240" w:lineRule="auto"/>
              <w:jc w:val="left"/>
              <w:rPr>
                <w:sz w:val="14"/>
                <w:szCs w:val="14"/>
                <w:rtl/>
              </w:rPr>
            </w:pPr>
          </w:p>
        </w:tc>
        <w:tc>
          <w:tcPr>
            <w:tcW w:w="8905" w:type="dxa"/>
            <w:gridSpan w:val="2"/>
          </w:tcPr>
          <w:p w14:paraId="4049D36A" w14:textId="1DD618DE" w:rsidR="00A76B5E" w:rsidRPr="00522CAE" w:rsidRDefault="00A76B5E" w:rsidP="00A76B5E">
            <w:pPr>
              <w:pStyle w:val="-f8"/>
              <w:spacing w:before="40"/>
              <w:rPr>
                <w:sz w:val="22"/>
                <w:szCs w:val="22"/>
                <w:rtl/>
              </w:rPr>
            </w:pPr>
            <w:r w:rsidRPr="00522CAE">
              <w:rPr>
                <w:rFonts w:hint="cs"/>
                <w:rtl/>
              </w:rPr>
              <w:t>ג.</w:t>
            </w:r>
            <w:r>
              <w:t xml:space="preserve"> </w:t>
            </w:r>
            <w:r w:rsidRPr="00522CAE">
              <w:rPr>
                <w:rFonts w:hint="cs"/>
                <w:rtl/>
              </w:rPr>
              <w:t xml:space="preserve">פירוט נוסף על בסיס מאוחד לגבי </w:t>
            </w:r>
            <w:r>
              <w:rPr>
                <w:rFonts w:hint="cs"/>
                <w:rtl/>
              </w:rPr>
              <w:t xml:space="preserve">אגרות חוב זמינות למכירה </w:t>
            </w:r>
            <w:r w:rsidRPr="00651A22">
              <w:rPr>
                <w:rFonts w:hint="cs"/>
                <w:rtl/>
              </w:rPr>
              <w:t xml:space="preserve">מגובות </w:t>
            </w:r>
            <w:r w:rsidRPr="00522CAE">
              <w:rPr>
                <w:rFonts w:hint="cs"/>
                <w:rtl/>
              </w:rPr>
              <w:t>משכנתאות ו</w:t>
            </w:r>
            <w:r w:rsidRPr="00651A22">
              <w:rPr>
                <w:rFonts w:hint="cs"/>
                <w:rtl/>
              </w:rPr>
              <w:t>מגובות</w:t>
            </w:r>
            <w:r w:rsidRPr="00522CAE">
              <w:rPr>
                <w:rFonts w:hint="cs"/>
                <w:rtl/>
              </w:rPr>
              <w:t xml:space="preserve"> נכסים</w:t>
            </w:r>
            <w:r w:rsidRPr="00522CAE" w:rsidDel="00FD404B">
              <w:rPr>
                <w:rFonts w:hint="cs"/>
                <w:rtl/>
              </w:rPr>
              <w:t xml:space="preserve"> </w:t>
            </w:r>
            <w:r w:rsidRPr="00522CAE">
              <w:rPr>
                <w:rFonts w:hint="cs"/>
                <w:rtl/>
              </w:rPr>
              <w:t>(המשך):</w:t>
            </w:r>
          </w:p>
        </w:tc>
      </w:tr>
    </w:tbl>
    <w:p w14:paraId="20F39636" w14:textId="77777777" w:rsidR="00E62957" w:rsidRPr="00522CAE" w:rsidRDefault="00E62957" w:rsidP="00E62957">
      <w:pPr>
        <w:pStyle w:val="-fb"/>
        <w:pBdr>
          <w:right w:val="none" w:sz="0" w:space="0" w:color="auto"/>
        </w:pBdr>
        <w:rPr>
          <w:rtl/>
        </w:rPr>
      </w:pPr>
    </w:p>
    <w:tbl>
      <w:tblPr>
        <w:bidiVisual/>
        <w:tblW w:w="4891" w:type="pct"/>
        <w:tblLook w:val="04A0" w:firstRow="1" w:lastRow="0" w:firstColumn="1" w:lastColumn="0" w:noHBand="0" w:noVBand="1"/>
      </w:tblPr>
      <w:tblGrid>
        <w:gridCol w:w="1304"/>
        <w:gridCol w:w="4533"/>
        <w:gridCol w:w="888"/>
        <w:gridCol w:w="1276"/>
        <w:gridCol w:w="1134"/>
        <w:gridCol w:w="849"/>
      </w:tblGrid>
      <w:tr w:rsidR="007F35C0" w:rsidRPr="00DA42F2" w14:paraId="28DA860F" w14:textId="77777777" w:rsidTr="00EC46DF">
        <w:trPr>
          <w:trHeight w:val="245"/>
        </w:trPr>
        <w:tc>
          <w:tcPr>
            <w:tcW w:w="1304" w:type="dxa"/>
          </w:tcPr>
          <w:p w14:paraId="2B0AC6A5" w14:textId="77777777" w:rsidR="007F35C0" w:rsidRPr="00522CAE" w:rsidRDefault="007F35C0" w:rsidP="00400DD1">
            <w:pPr>
              <w:pStyle w:val="-0"/>
              <w:rPr>
                <w:color w:val="auto"/>
                <w:sz w:val="14"/>
                <w:szCs w:val="14"/>
                <w:rtl/>
              </w:rPr>
            </w:pPr>
            <w:r w:rsidRPr="00522CAE">
              <w:rPr>
                <w:rFonts w:hint="cs"/>
                <w:color w:val="auto"/>
                <w:sz w:val="14"/>
                <w:szCs w:val="14"/>
                <w:rtl/>
              </w:rPr>
              <w:t>מתכונת</w:t>
            </w:r>
            <w:r w:rsidRPr="00522CAE">
              <w:rPr>
                <w:color w:val="auto"/>
                <w:sz w:val="14"/>
                <w:szCs w:val="14"/>
                <w:rtl/>
              </w:rPr>
              <w:t xml:space="preserve"> ביאור</w:t>
            </w:r>
            <w:r w:rsidRPr="00522CAE">
              <w:rPr>
                <w:rFonts w:hint="eastAsia"/>
                <w:color w:val="auto"/>
                <w:sz w:val="14"/>
                <w:szCs w:val="14"/>
                <w:rtl/>
              </w:rPr>
              <w:t xml:space="preserve"> </w:t>
            </w:r>
          </w:p>
          <w:p w14:paraId="57736AB4" w14:textId="77777777" w:rsidR="007F35C0" w:rsidRPr="00DA42F2" w:rsidRDefault="007F35C0" w:rsidP="00400DD1">
            <w:pPr>
              <w:spacing w:line="241" w:lineRule="auto"/>
              <w:ind w:left="144" w:hanging="144"/>
              <w:jc w:val="left"/>
              <w:rPr>
                <w:color w:val="000000"/>
                <w:rtl/>
                <w:lang w:eastAsia="he-IL"/>
              </w:rPr>
            </w:pPr>
            <w:r w:rsidRPr="00522CAE">
              <w:rPr>
                <w:rFonts w:hint="eastAsia"/>
                <w:sz w:val="14"/>
                <w:szCs w:val="14"/>
                <w:rtl/>
              </w:rPr>
              <w:t>עמ</w:t>
            </w:r>
            <w:r w:rsidRPr="00522CAE">
              <w:rPr>
                <w:sz w:val="14"/>
                <w:szCs w:val="14"/>
                <w:rtl/>
              </w:rPr>
              <w:t xml:space="preserve">' </w:t>
            </w:r>
            <w:r w:rsidRPr="00522CAE">
              <w:rPr>
                <w:rFonts w:hint="cs"/>
                <w:sz w:val="14"/>
                <w:szCs w:val="14"/>
                <w:rtl/>
              </w:rPr>
              <w:t>6</w:t>
            </w:r>
            <w:r>
              <w:rPr>
                <w:rFonts w:hint="cs"/>
                <w:sz w:val="14"/>
                <w:szCs w:val="14"/>
                <w:rtl/>
              </w:rPr>
              <w:t>63</w:t>
            </w:r>
            <w:r w:rsidRPr="00522CAE">
              <w:rPr>
                <w:rFonts w:hint="cs"/>
                <w:sz w:val="14"/>
                <w:szCs w:val="14"/>
                <w:rtl/>
              </w:rPr>
              <w:t>-24</w:t>
            </w:r>
          </w:p>
        </w:tc>
        <w:tc>
          <w:tcPr>
            <w:tcW w:w="4533" w:type="dxa"/>
            <w:vAlign w:val="bottom"/>
          </w:tcPr>
          <w:p w14:paraId="01D14F2A" w14:textId="77777777" w:rsidR="007F35C0" w:rsidRPr="00DA42F2" w:rsidRDefault="007F35C0" w:rsidP="00400DD1">
            <w:pPr>
              <w:spacing w:line="241" w:lineRule="auto"/>
              <w:ind w:left="144" w:hanging="144"/>
              <w:jc w:val="left"/>
              <w:rPr>
                <w:color w:val="000000"/>
                <w:rtl/>
                <w:lang w:eastAsia="he-IL"/>
              </w:rPr>
            </w:pPr>
          </w:p>
        </w:tc>
        <w:tc>
          <w:tcPr>
            <w:tcW w:w="4147" w:type="dxa"/>
            <w:gridSpan w:val="4"/>
            <w:vAlign w:val="bottom"/>
          </w:tcPr>
          <w:p w14:paraId="55D6B494" w14:textId="4F1353C1" w:rsidR="007F35C0" w:rsidRPr="000446FA" w:rsidRDefault="007F35C0" w:rsidP="00400DD1">
            <w:pPr>
              <w:pBdr>
                <w:bottom w:val="single" w:sz="4" w:space="1" w:color="auto"/>
              </w:pBdr>
              <w:spacing w:line="241" w:lineRule="auto"/>
              <w:jc w:val="center"/>
              <w:rPr>
                <w:b/>
                <w:bCs/>
                <w:sz w:val="18"/>
                <w:szCs w:val="18"/>
                <w:rtl/>
              </w:rPr>
            </w:pPr>
            <w:r w:rsidRPr="000446FA">
              <w:rPr>
                <w:rFonts w:hint="cs"/>
                <w:b/>
                <w:bCs/>
                <w:sz w:val="18"/>
                <w:szCs w:val="18"/>
                <w:rtl/>
              </w:rPr>
              <w:t xml:space="preserve">ליום 31 בדצמבר </w:t>
            </w:r>
            <w:r w:rsidRPr="000446FA">
              <w:rPr>
                <w:b/>
                <w:bCs/>
                <w:sz w:val="18"/>
                <w:szCs w:val="18"/>
                <w:rtl/>
              </w:rPr>
              <w:fldChar w:fldCharType="begin"/>
            </w:r>
            <w:r w:rsidRPr="000446FA">
              <w:rPr>
                <w:b/>
                <w:bCs/>
                <w:sz w:val="18"/>
                <w:szCs w:val="18"/>
                <w:rtl/>
              </w:rPr>
              <w:instrText xml:space="preserve"> </w:instrText>
            </w:r>
            <w:r w:rsidRPr="000446FA">
              <w:rPr>
                <w:rFonts w:hint="cs"/>
                <w:b/>
                <w:bCs/>
                <w:sz w:val="18"/>
                <w:szCs w:val="18"/>
                <w:rtl/>
              </w:rPr>
              <w:instrText xml:space="preserve">= </w:instrText>
            </w:r>
            <w:r w:rsidRPr="000446FA">
              <w:rPr>
                <w:rFonts w:hint="cs"/>
                <w:b/>
                <w:bCs/>
                <w:sz w:val="18"/>
                <w:szCs w:val="18"/>
              </w:rPr>
              <w:instrText>CY</w:instrText>
            </w:r>
            <w:r w:rsidRPr="000446FA">
              <w:rPr>
                <w:b/>
                <w:bCs/>
                <w:sz w:val="18"/>
                <w:szCs w:val="18"/>
              </w:rPr>
              <w:instrText>-1</w:instrText>
            </w:r>
            <w:r w:rsidRPr="000446FA">
              <w:rPr>
                <w:rFonts w:hint="cs"/>
                <w:b/>
                <w:bCs/>
                <w:sz w:val="18"/>
                <w:szCs w:val="18"/>
              </w:rPr>
              <w:instrText xml:space="preserve"> \* MERGEFORMAT</w:instrText>
            </w:r>
            <w:r w:rsidRPr="000446FA">
              <w:rPr>
                <w:b/>
                <w:bCs/>
                <w:sz w:val="18"/>
                <w:szCs w:val="18"/>
                <w:rtl/>
              </w:rPr>
              <w:instrText xml:space="preserve"> </w:instrText>
            </w:r>
            <w:r w:rsidRPr="000446FA">
              <w:rPr>
                <w:b/>
                <w:bCs/>
                <w:sz w:val="18"/>
                <w:szCs w:val="18"/>
                <w:rtl/>
              </w:rPr>
              <w:fldChar w:fldCharType="separate"/>
            </w:r>
            <w:r w:rsidR="003A584F">
              <w:rPr>
                <w:b/>
                <w:bCs/>
                <w:noProof/>
                <w:sz w:val="18"/>
                <w:szCs w:val="18"/>
                <w:rtl/>
              </w:rPr>
              <w:t>2023</w:t>
            </w:r>
            <w:r w:rsidRPr="000446FA">
              <w:rPr>
                <w:b/>
                <w:bCs/>
                <w:sz w:val="18"/>
                <w:szCs w:val="18"/>
                <w:rtl/>
              </w:rPr>
              <w:fldChar w:fldCharType="end"/>
            </w:r>
            <w:r w:rsidR="000446FA">
              <w:rPr>
                <w:rFonts w:hint="cs"/>
                <w:b/>
                <w:bCs/>
                <w:sz w:val="18"/>
                <w:szCs w:val="18"/>
                <w:rtl/>
              </w:rPr>
              <w:t xml:space="preserve">  </w:t>
            </w:r>
            <w:r w:rsidR="000446FA" w:rsidRPr="000446FA">
              <w:rPr>
                <w:rFonts w:asciiTheme="minorBidi" w:hAnsiTheme="minorBidi" w:cstheme="minorBidi" w:hint="cs"/>
                <w:sz w:val="16"/>
                <w:szCs w:val="16"/>
                <w:rtl/>
              </w:rPr>
              <w:t>(</w:t>
            </w:r>
            <w:r w:rsidR="000446FA" w:rsidRPr="000446FA">
              <w:rPr>
                <w:rFonts w:asciiTheme="minorBidi" w:hAnsiTheme="minorBidi" w:cstheme="minorBidi"/>
                <w:sz w:val="16"/>
                <w:szCs w:val="16"/>
                <w:rtl/>
              </w:rPr>
              <w:t>מבוקר</w:t>
            </w:r>
            <w:r w:rsidR="000446FA" w:rsidRPr="000446FA">
              <w:rPr>
                <w:rFonts w:asciiTheme="minorBidi" w:hAnsiTheme="minorBidi" w:cstheme="minorBidi" w:hint="cs"/>
                <w:sz w:val="16"/>
                <w:szCs w:val="16"/>
                <w:rtl/>
              </w:rPr>
              <w:t>)</w:t>
            </w:r>
          </w:p>
        </w:tc>
      </w:tr>
      <w:tr w:rsidR="007F35C0" w:rsidRPr="00DA42F2" w14:paraId="31C97F88" w14:textId="77777777" w:rsidTr="00EC46DF">
        <w:trPr>
          <w:trHeight w:val="245"/>
        </w:trPr>
        <w:tc>
          <w:tcPr>
            <w:tcW w:w="1304" w:type="dxa"/>
          </w:tcPr>
          <w:p w14:paraId="5CD5EFC1" w14:textId="77777777" w:rsidR="007F35C0" w:rsidRPr="00DA42F2" w:rsidRDefault="007F35C0" w:rsidP="00400DD1">
            <w:pPr>
              <w:spacing w:line="241" w:lineRule="auto"/>
              <w:ind w:left="144" w:hanging="144"/>
              <w:jc w:val="left"/>
              <w:rPr>
                <w:color w:val="000000"/>
                <w:rtl/>
                <w:lang w:eastAsia="he-IL"/>
              </w:rPr>
            </w:pPr>
          </w:p>
        </w:tc>
        <w:tc>
          <w:tcPr>
            <w:tcW w:w="4533" w:type="dxa"/>
            <w:vAlign w:val="bottom"/>
          </w:tcPr>
          <w:p w14:paraId="165BAD30" w14:textId="77777777" w:rsidR="007F35C0" w:rsidRPr="00DA42F2" w:rsidRDefault="007F35C0" w:rsidP="00400DD1">
            <w:pPr>
              <w:spacing w:line="241" w:lineRule="auto"/>
              <w:ind w:left="144" w:hanging="144"/>
              <w:jc w:val="left"/>
              <w:rPr>
                <w:color w:val="000000"/>
                <w:rtl/>
                <w:lang w:eastAsia="he-IL"/>
              </w:rPr>
            </w:pPr>
          </w:p>
        </w:tc>
        <w:tc>
          <w:tcPr>
            <w:tcW w:w="888" w:type="dxa"/>
            <w:vAlign w:val="bottom"/>
          </w:tcPr>
          <w:p w14:paraId="560FB765" w14:textId="77777777" w:rsidR="007F35C0" w:rsidRPr="00DA42F2" w:rsidRDefault="007F35C0" w:rsidP="00400DD1">
            <w:pPr>
              <w:spacing w:line="241" w:lineRule="auto"/>
              <w:rPr>
                <w:rtl/>
              </w:rPr>
            </w:pPr>
          </w:p>
        </w:tc>
        <w:tc>
          <w:tcPr>
            <w:tcW w:w="2410" w:type="dxa"/>
            <w:gridSpan w:val="2"/>
            <w:vAlign w:val="bottom"/>
          </w:tcPr>
          <w:p w14:paraId="33FB76EF" w14:textId="77777777" w:rsidR="007F35C0" w:rsidRPr="00DA42F2" w:rsidRDefault="007F35C0" w:rsidP="00400DD1">
            <w:pPr>
              <w:pBdr>
                <w:bottom w:val="single" w:sz="4" w:space="1" w:color="auto"/>
              </w:pBdr>
              <w:spacing w:line="241" w:lineRule="auto"/>
              <w:jc w:val="center"/>
              <w:rPr>
                <w:sz w:val="18"/>
                <w:szCs w:val="18"/>
                <w:rtl/>
              </w:rPr>
            </w:pPr>
            <w:r w:rsidRPr="00DA42F2">
              <w:rPr>
                <w:rFonts w:hint="cs"/>
                <w:b/>
                <w:bCs/>
                <w:sz w:val="18"/>
                <w:szCs w:val="18"/>
                <w:rtl/>
              </w:rPr>
              <w:t>רווח כולל אחר מצטבר</w:t>
            </w:r>
          </w:p>
        </w:tc>
        <w:tc>
          <w:tcPr>
            <w:tcW w:w="849" w:type="dxa"/>
            <w:vAlign w:val="bottom"/>
          </w:tcPr>
          <w:p w14:paraId="510E6F1D" w14:textId="77777777" w:rsidR="007F35C0" w:rsidRPr="00DA42F2" w:rsidRDefault="007F35C0" w:rsidP="00400DD1">
            <w:pPr>
              <w:spacing w:line="241" w:lineRule="auto"/>
              <w:rPr>
                <w:rtl/>
              </w:rPr>
            </w:pPr>
          </w:p>
        </w:tc>
      </w:tr>
      <w:tr w:rsidR="007F35C0" w:rsidRPr="00DA42F2" w14:paraId="59F2F70B" w14:textId="77777777" w:rsidTr="00EC46DF">
        <w:trPr>
          <w:trHeight w:val="245"/>
        </w:trPr>
        <w:tc>
          <w:tcPr>
            <w:tcW w:w="1304" w:type="dxa"/>
          </w:tcPr>
          <w:p w14:paraId="1A2E4FA3" w14:textId="77777777" w:rsidR="007F35C0" w:rsidRPr="00DA42F2" w:rsidRDefault="007F35C0" w:rsidP="00400DD1">
            <w:pPr>
              <w:spacing w:line="160" w:lineRule="exact"/>
              <w:ind w:left="144" w:hanging="144"/>
              <w:jc w:val="left"/>
              <w:rPr>
                <w:color w:val="000000"/>
                <w:rtl/>
                <w:lang w:eastAsia="he-IL"/>
              </w:rPr>
            </w:pPr>
          </w:p>
        </w:tc>
        <w:tc>
          <w:tcPr>
            <w:tcW w:w="4533" w:type="dxa"/>
            <w:vAlign w:val="bottom"/>
          </w:tcPr>
          <w:p w14:paraId="7DB1E1C6" w14:textId="77777777" w:rsidR="007F35C0" w:rsidRPr="00DA42F2" w:rsidRDefault="007F35C0" w:rsidP="00400DD1">
            <w:pPr>
              <w:spacing w:line="160" w:lineRule="exact"/>
              <w:ind w:left="144" w:hanging="144"/>
              <w:jc w:val="left"/>
              <w:rPr>
                <w:color w:val="000000"/>
                <w:rtl/>
                <w:lang w:eastAsia="he-IL"/>
              </w:rPr>
            </w:pPr>
          </w:p>
        </w:tc>
        <w:tc>
          <w:tcPr>
            <w:tcW w:w="888" w:type="dxa"/>
            <w:vAlign w:val="bottom"/>
          </w:tcPr>
          <w:p w14:paraId="2C2F66A9" w14:textId="77777777" w:rsidR="007F35C0" w:rsidRPr="00DA42F2" w:rsidRDefault="007F35C0" w:rsidP="00400DD1">
            <w:pPr>
              <w:pBdr>
                <w:bottom w:val="single" w:sz="4" w:space="1" w:color="auto"/>
              </w:pBdr>
              <w:spacing w:line="160" w:lineRule="exact"/>
              <w:jc w:val="center"/>
              <w:rPr>
                <w:sz w:val="17"/>
                <w:szCs w:val="17"/>
                <w:rtl/>
              </w:rPr>
            </w:pPr>
            <w:r w:rsidRPr="00DA42F2">
              <w:rPr>
                <w:rFonts w:hint="cs"/>
                <w:b/>
                <w:bCs/>
                <w:sz w:val="17"/>
                <w:szCs w:val="17"/>
                <w:rtl/>
              </w:rPr>
              <w:t>עלות מופחתת</w:t>
            </w:r>
          </w:p>
        </w:tc>
        <w:tc>
          <w:tcPr>
            <w:tcW w:w="1276" w:type="dxa"/>
            <w:vAlign w:val="bottom"/>
          </w:tcPr>
          <w:p w14:paraId="31823371" w14:textId="77777777" w:rsidR="007F35C0" w:rsidRPr="00DA42F2" w:rsidRDefault="007F35C0" w:rsidP="00400DD1">
            <w:pPr>
              <w:pBdr>
                <w:bottom w:val="single" w:sz="4" w:space="1" w:color="auto"/>
              </w:pBdr>
              <w:spacing w:line="160" w:lineRule="exact"/>
              <w:jc w:val="center"/>
              <w:rPr>
                <w:sz w:val="17"/>
                <w:szCs w:val="17"/>
                <w:rtl/>
              </w:rPr>
            </w:pPr>
            <w:r w:rsidRPr="00DA42F2">
              <w:rPr>
                <w:rFonts w:hint="cs"/>
                <w:b/>
                <w:bCs/>
                <w:sz w:val="17"/>
                <w:szCs w:val="17"/>
                <w:rtl/>
              </w:rPr>
              <w:t>רווחים</w:t>
            </w:r>
          </w:p>
          <w:p w14:paraId="6AFC4BEB" w14:textId="77777777" w:rsidR="007F35C0" w:rsidRPr="00DA42F2" w:rsidRDefault="007F35C0" w:rsidP="00400DD1">
            <w:pPr>
              <w:pBdr>
                <w:bottom w:val="single" w:sz="4" w:space="1" w:color="auto"/>
              </w:pBdr>
              <w:spacing w:line="160" w:lineRule="exact"/>
              <w:jc w:val="center"/>
              <w:rPr>
                <w:sz w:val="17"/>
                <w:szCs w:val="17"/>
                <w:rtl/>
              </w:rPr>
            </w:pPr>
            <w:r w:rsidRPr="00DA42F2">
              <w:rPr>
                <w:rFonts w:hint="cs"/>
                <w:b/>
                <w:bCs/>
                <w:sz w:val="17"/>
                <w:szCs w:val="17"/>
                <w:rtl/>
              </w:rPr>
              <w:t>שטרם מומשו מהתאמות לשווי הוגן</w:t>
            </w:r>
          </w:p>
        </w:tc>
        <w:tc>
          <w:tcPr>
            <w:tcW w:w="1134" w:type="dxa"/>
            <w:vAlign w:val="bottom"/>
          </w:tcPr>
          <w:p w14:paraId="6BF9565A" w14:textId="77777777" w:rsidR="007F35C0" w:rsidRPr="00DA42F2" w:rsidRDefault="007F35C0" w:rsidP="00400DD1">
            <w:pPr>
              <w:pBdr>
                <w:bottom w:val="single" w:sz="4" w:space="1" w:color="auto"/>
              </w:pBdr>
              <w:spacing w:line="160" w:lineRule="exact"/>
              <w:jc w:val="center"/>
              <w:rPr>
                <w:sz w:val="17"/>
                <w:szCs w:val="17"/>
                <w:rtl/>
              </w:rPr>
            </w:pPr>
            <w:r w:rsidRPr="00DA42F2">
              <w:rPr>
                <w:rFonts w:hint="cs"/>
                <w:b/>
                <w:bCs/>
                <w:sz w:val="17"/>
                <w:szCs w:val="17"/>
                <w:rtl/>
              </w:rPr>
              <w:t>הפסדים שטרם מומשו מהתאמות לשווי הוגן</w:t>
            </w:r>
          </w:p>
        </w:tc>
        <w:tc>
          <w:tcPr>
            <w:tcW w:w="849" w:type="dxa"/>
            <w:vAlign w:val="bottom"/>
          </w:tcPr>
          <w:p w14:paraId="5772AEC2" w14:textId="77777777" w:rsidR="007F35C0" w:rsidRPr="00DA42F2" w:rsidRDefault="007F35C0" w:rsidP="00400DD1">
            <w:pPr>
              <w:pBdr>
                <w:bottom w:val="single" w:sz="4" w:space="1" w:color="auto"/>
              </w:pBdr>
              <w:spacing w:line="160" w:lineRule="exact"/>
              <w:jc w:val="center"/>
              <w:rPr>
                <w:sz w:val="17"/>
                <w:szCs w:val="17"/>
                <w:rtl/>
              </w:rPr>
            </w:pPr>
            <w:r w:rsidRPr="00DA42F2">
              <w:rPr>
                <w:rFonts w:hint="cs"/>
                <w:b/>
                <w:bCs/>
                <w:sz w:val="17"/>
                <w:szCs w:val="17"/>
                <w:rtl/>
              </w:rPr>
              <w:t>שווי</w:t>
            </w:r>
          </w:p>
          <w:p w14:paraId="65A73040" w14:textId="77777777" w:rsidR="007F35C0" w:rsidRPr="00DA42F2" w:rsidRDefault="007F35C0" w:rsidP="00400DD1">
            <w:pPr>
              <w:pBdr>
                <w:bottom w:val="single" w:sz="4" w:space="1" w:color="auto"/>
              </w:pBdr>
              <w:spacing w:line="160" w:lineRule="exact"/>
              <w:jc w:val="center"/>
              <w:rPr>
                <w:sz w:val="17"/>
                <w:szCs w:val="17"/>
                <w:rtl/>
              </w:rPr>
            </w:pPr>
            <w:r w:rsidRPr="00DA42F2">
              <w:rPr>
                <w:rFonts w:hint="cs"/>
                <w:b/>
                <w:bCs/>
                <w:sz w:val="17"/>
                <w:szCs w:val="17"/>
                <w:rtl/>
              </w:rPr>
              <w:t>הוגן</w:t>
            </w:r>
          </w:p>
        </w:tc>
      </w:tr>
      <w:tr w:rsidR="007F35C0" w:rsidRPr="00DA42F2" w14:paraId="51C3A7C3" w14:textId="77777777" w:rsidTr="00EC46DF">
        <w:trPr>
          <w:trHeight w:val="245"/>
        </w:trPr>
        <w:tc>
          <w:tcPr>
            <w:tcW w:w="1304" w:type="dxa"/>
          </w:tcPr>
          <w:p w14:paraId="58FC3B22" w14:textId="77777777" w:rsidR="007F35C0" w:rsidRPr="00DA42F2" w:rsidRDefault="007F35C0" w:rsidP="00400DD1">
            <w:pPr>
              <w:spacing w:line="216" w:lineRule="auto"/>
              <w:ind w:left="144" w:hanging="144"/>
              <w:jc w:val="left"/>
              <w:rPr>
                <w:color w:val="000000"/>
                <w:rtl/>
                <w:lang w:eastAsia="he-IL"/>
              </w:rPr>
            </w:pPr>
          </w:p>
        </w:tc>
        <w:tc>
          <w:tcPr>
            <w:tcW w:w="4533" w:type="dxa"/>
            <w:vAlign w:val="bottom"/>
          </w:tcPr>
          <w:p w14:paraId="5F7574E5" w14:textId="77777777" w:rsidR="007F35C0" w:rsidRPr="00DA42F2" w:rsidRDefault="007F35C0" w:rsidP="00D6057D">
            <w:pPr>
              <w:numPr>
                <w:ilvl w:val="0"/>
                <w:numId w:val="28"/>
              </w:numPr>
              <w:spacing w:line="216" w:lineRule="auto"/>
              <w:ind w:left="267" w:hanging="267"/>
              <w:jc w:val="left"/>
              <w:rPr>
                <w:b/>
                <w:bCs/>
                <w:color w:val="000000"/>
                <w:rtl/>
                <w:lang w:eastAsia="he-IL"/>
              </w:rPr>
            </w:pPr>
            <w:r w:rsidRPr="00DA42F2">
              <w:rPr>
                <w:rFonts w:hint="cs"/>
                <w:b/>
                <w:bCs/>
                <w:rtl/>
                <w:lang w:eastAsia="he-IL"/>
              </w:rPr>
              <w:t xml:space="preserve">אגרות חוב </w:t>
            </w:r>
            <w:r w:rsidRPr="00DA42F2">
              <w:rPr>
                <w:rFonts w:hint="cs"/>
                <w:b/>
                <w:bCs/>
                <w:color w:val="000000"/>
                <w:rtl/>
                <w:lang w:eastAsia="he-IL"/>
              </w:rPr>
              <w:t xml:space="preserve">מגובות משכנתאות </w:t>
            </w:r>
            <w:r w:rsidRPr="007F5094">
              <w:rPr>
                <w:rFonts w:hint="cs"/>
                <w:b/>
                <w:bCs/>
                <w:color w:val="000000"/>
                <w:sz w:val="18"/>
                <w:szCs w:val="18"/>
                <w:rtl/>
                <w:lang w:eastAsia="he-IL"/>
              </w:rPr>
              <w:t>(</w:t>
            </w:r>
            <w:r w:rsidRPr="007F5094">
              <w:rPr>
                <w:rFonts w:hint="cs"/>
                <w:b/>
                <w:bCs/>
                <w:color w:val="000000"/>
                <w:sz w:val="18"/>
                <w:szCs w:val="18"/>
                <w:lang w:eastAsia="he-IL"/>
              </w:rPr>
              <w:t>MBS</w:t>
            </w:r>
            <w:r w:rsidRPr="007F5094">
              <w:rPr>
                <w:rFonts w:hint="cs"/>
                <w:b/>
                <w:bCs/>
                <w:color w:val="000000"/>
                <w:sz w:val="18"/>
                <w:szCs w:val="18"/>
                <w:rtl/>
                <w:lang w:eastAsia="he-IL"/>
              </w:rPr>
              <w:t>)</w:t>
            </w:r>
            <w:r w:rsidRPr="00DA42F2">
              <w:rPr>
                <w:rFonts w:hint="cs"/>
                <w:b/>
                <w:bCs/>
                <w:color w:val="000000"/>
                <w:rtl/>
                <w:lang w:eastAsia="he-IL"/>
              </w:rPr>
              <w:t>:</w:t>
            </w:r>
          </w:p>
        </w:tc>
        <w:tc>
          <w:tcPr>
            <w:tcW w:w="888" w:type="dxa"/>
            <w:vAlign w:val="bottom"/>
          </w:tcPr>
          <w:p w14:paraId="38126476" w14:textId="77777777" w:rsidR="007F35C0" w:rsidRPr="00DA42F2" w:rsidRDefault="007F35C0" w:rsidP="00400DD1">
            <w:pPr>
              <w:spacing w:line="216" w:lineRule="auto"/>
              <w:rPr>
                <w:rtl/>
              </w:rPr>
            </w:pPr>
          </w:p>
        </w:tc>
        <w:tc>
          <w:tcPr>
            <w:tcW w:w="1276" w:type="dxa"/>
            <w:vAlign w:val="bottom"/>
          </w:tcPr>
          <w:p w14:paraId="34A4D298" w14:textId="77777777" w:rsidR="007F35C0" w:rsidRPr="00DA42F2" w:rsidRDefault="007F35C0" w:rsidP="00400DD1">
            <w:pPr>
              <w:spacing w:line="216" w:lineRule="auto"/>
              <w:rPr>
                <w:rtl/>
              </w:rPr>
            </w:pPr>
          </w:p>
        </w:tc>
        <w:tc>
          <w:tcPr>
            <w:tcW w:w="1134" w:type="dxa"/>
            <w:vAlign w:val="bottom"/>
          </w:tcPr>
          <w:p w14:paraId="322FCEE3" w14:textId="77777777" w:rsidR="007F35C0" w:rsidRPr="00DA42F2" w:rsidRDefault="007F35C0" w:rsidP="00400DD1">
            <w:pPr>
              <w:spacing w:line="216" w:lineRule="auto"/>
              <w:rPr>
                <w:rtl/>
              </w:rPr>
            </w:pPr>
          </w:p>
        </w:tc>
        <w:tc>
          <w:tcPr>
            <w:tcW w:w="849" w:type="dxa"/>
            <w:vAlign w:val="bottom"/>
          </w:tcPr>
          <w:p w14:paraId="6F20A0BF" w14:textId="77777777" w:rsidR="007F35C0" w:rsidRPr="00DA42F2" w:rsidRDefault="007F35C0" w:rsidP="00400DD1">
            <w:pPr>
              <w:spacing w:line="216" w:lineRule="auto"/>
              <w:rPr>
                <w:rtl/>
              </w:rPr>
            </w:pPr>
          </w:p>
        </w:tc>
      </w:tr>
      <w:tr w:rsidR="007F35C0" w:rsidRPr="00DA42F2" w14:paraId="3286C0AE" w14:textId="77777777" w:rsidTr="00EC46DF">
        <w:trPr>
          <w:trHeight w:val="245"/>
        </w:trPr>
        <w:tc>
          <w:tcPr>
            <w:tcW w:w="1304" w:type="dxa"/>
          </w:tcPr>
          <w:p w14:paraId="5A07BEBA" w14:textId="77777777" w:rsidR="007F35C0" w:rsidRPr="00DA42F2" w:rsidRDefault="007F35C0" w:rsidP="00400DD1">
            <w:pPr>
              <w:spacing w:line="216" w:lineRule="auto"/>
              <w:ind w:left="144" w:hanging="144"/>
              <w:jc w:val="left"/>
              <w:rPr>
                <w:color w:val="000000"/>
                <w:rtl/>
                <w:lang w:eastAsia="he-IL"/>
              </w:rPr>
            </w:pPr>
          </w:p>
        </w:tc>
        <w:tc>
          <w:tcPr>
            <w:tcW w:w="4533" w:type="dxa"/>
            <w:vAlign w:val="bottom"/>
          </w:tcPr>
          <w:p w14:paraId="762CCC12" w14:textId="77777777" w:rsidR="007F35C0" w:rsidRPr="00206490" w:rsidRDefault="007F35C0" w:rsidP="00400DD1">
            <w:pPr>
              <w:spacing w:line="216" w:lineRule="auto"/>
              <w:ind w:left="542" w:hanging="275"/>
              <w:jc w:val="left"/>
              <w:rPr>
                <w:color w:val="000000"/>
                <w:sz w:val="18"/>
                <w:szCs w:val="18"/>
                <w:rtl/>
                <w:lang w:eastAsia="he-IL"/>
              </w:rPr>
            </w:pPr>
            <w:r w:rsidRPr="00206490">
              <w:rPr>
                <w:rFonts w:hint="cs"/>
                <w:rtl/>
                <w:lang w:eastAsia="he-IL"/>
              </w:rPr>
              <w:t xml:space="preserve">אגרות חוב </w:t>
            </w:r>
            <w:r w:rsidRPr="00206490">
              <w:rPr>
                <w:rFonts w:hint="cs"/>
                <w:color w:val="000000"/>
                <w:rtl/>
                <w:lang w:eastAsia="he-IL"/>
              </w:rPr>
              <w:t>מסוג העבר באמצעות</w:t>
            </w:r>
            <w:r w:rsidRPr="00206490">
              <w:rPr>
                <w:rFonts w:hint="cs"/>
                <w:color w:val="000000"/>
                <w:sz w:val="18"/>
                <w:szCs w:val="18"/>
                <w:rtl/>
                <w:lang w:eastAsia="he-IL"/>
              </w:rPr>
              <w:t xml:space="preserve"> (</w:t>
            </w:r>
            <w:r w:rsidRPr="00206490">
              <w:rPr>
                <w:color w:val="000000"/>
                <w:sz w:val="16"/>
                <w:szCs w:val="16"/>
                <w:lang w:eastAsia="he-IL"/>
              </w:rPr>
              <w:t>Pass Through</w:t>
            </w:r>
            <w:r w:rsidRPr="00206490">
              <w:rPr>
                <w:rFonts w:hint="cs"/>
                <w:color w:val="000000"/>
                <w:sz w:val="16"/>
                <w:szCs w:val="16"/>
                <w:rtl/>
                <w:lang w:eastAsia="he-IL"/>
              </w:rPr>
              <w:t>):</w:t>
            </w:r>
          </w:p>
        </w:tc>
        <w:tc>
          <w:tcPr>
            <w:tcW w:w="888" w:type="dxa"/>
            <w:vAlign w:val="bottom"/>
          </w:tcPr>
          <w:p w14:paraId="2F9DBAF6" w14:textId="77777777" w:rsidR="007F35C0" w:rsidRPr="00DA42F2" w:rsidRDefault="007F35C0" w:rsidP="00400DD1">
            <w:pPr>
              <w:pBdr>
                <w:bottom w:val="single" w:sz="4" w:space="1" w:color="auto"/>
              </w:pBdr>
              <w:spacing w:line="216" w:lineRule="auto"/>
              <w:rPr>
                <w:b/>
                <w:bCs/>
                <w:rtl/>
              </w:rPr>
            </w:pPr>
            <w:r w:rsidRPr="00DA42F2">
              <w:rPr>
                <w:rFonts w:hint="cs"/>
                <w:b/>
                <w:bCs/>
                <w:rtl/>
              </w:rPr>
              <w:t xml:space="preserve"> 0</w:t>
            </w:r>
          </w:p>
        </w:tc>
        <w:tc>
          <w:tcPr>
            <w:tcW w:w="1276" w:type="dxa"/>
            <w:vAlign w:val="bottom"/>
          </w:tcPr>
          <w:p w14:paraId="511A42E9" w14:textId="77777777" w:rsidR="007F35C0" w:rsidRPr="00DA42F2" w:rsidRDefault="007F35C0" w:rsidP="00400DD1">
            <w:pPr>
              <w:pBdr>
                <w:bottom w:val="single" w:sz="4" w:space="1" w:color="auto"/>
              </w:pBdr>
              <w:spacing w:line="216" w:lineRule="auto"/>
              <w:rPr>
                <w:b/>
                <w:bCs/>
                <w:rtl/>
              </w:rPr>
            </w:pPr>
            <w:r w:rsidRPr="00DA42F2">
              <w:rPr>
                <w:rFonts w:hint="cs"/>
                <w:b/>
                <w:bCs/>
                <w:rtl/>
              </w:rPr>
              <w:t xml:space="preserve"> 0</w:t>
            </w:r>
          </w:p>
        </w:tc>
        <w:tc>
          <w:tcPr>
            <w:tcW w:w="1134" w:type="dxa"/>
            <w:vAlign w:val="bottom"/>
          </w:tcPr>
          <w:p w14:paraId="7785D2C9" w14:textId="77777777" w:rsidR="007F35C0" w:rsidRPr="00DA42F2" w:rsidRDefault="007F35C0" w:rsidP="00400DD1">
            <w:pPr>
              <w:pBdr>
                <w:bottom w:val="single" w:sz="4" w:space="1" w:color="auto"/>
              </w:pBdr>
              <w:spacing w:line="216" w:lineRule="auto"/>
              <w:rPr>
                <w:b/>
                <w:bCs/>
                <w:rtl/>
              </w:rPr>
            </w:pPr>
            <w:r w:rsidRPr="00DA42F2">
              <w:rPr>
                <w:rFonts w:hint="cs"/>
                <w:b/>
                <w:bCs/>
                <w:rtl/>
              </w:rPr>
              <w:t xml:space="preserve"> 0</w:t>
            </w:r>
          </w:p>
        </w:tc>
        <w:tc>
          <w:tcPr>
            <w:tcW w:w="849" w:type="dxa"/>
            <w:vAlign w:val="bottom"/>
          </w:tcPr>
          <w:p w14:paraId="63F469AB" w14:textId="77777777" w:rsidR="007F35C0" w:rsidRPr="00DA42F2" w:rsidRDefault="007F35C0" w:rsidP="00400DD1">
            <w:pPr>
              <w:pBdr>
                <w:bottom w:val="single" w:sz="4" w:space="1" w:color="auto"/>
              </w:pBdr>
              <w:spacing w:line="216" w:lineRule="auto"/>
              <w:rPr>
                <w:b/>
                <w:bCs/>
                <w:rtl/>
              </w:rPr>
            </w:pPr>
            <w:r w:rsidRPr="00DA42F2">
              <w:rPr>
                <w:rFonts w:hint="cs"/>
                <w:b/>
                <w:bCs/>
                <w:rtl/>
              </w:rPr>
              <w:t xml:space="preserve"> 0</w:t>
            </w:r>
          </w:p>
        </w:tc>
      </w:tr>
      <w:tr w:rsidR="007F35C0" w:rsidRPr="00DA42F2" w14:paraId="6337F059" w14:textId="77777777" w:rsidTr="00EC46DF">
        <w:trPr>
          <w:trHeight w:val="245"/>
        </w:trPr>
        <w:tc>
          <w:tcPr>
            <w:tcW w:w="1304" w:type="dxa"/>
          </w:tcPr>
          <w:p w14:paraId="769A9AD7" w14:textId="77777777" w:rsidR="007F35C0" w:rsidRPr="00DA42F2" w:rsidRDefault="007F35C0" w:rsidP="00400DD1">
            <w:pPr>
              <w:spacing w:line="216" w:lineRule="auto"/>
              <w:ind w:left="144" w:hanging="144"/>
              <w:jc w:val="left"/>
              <w:rPr>
                <w:color w:val="000000"/>
                <w:rtl/>
                <w:lang w:eastAsia="he-IL"/>
              </w:rPr>
            </w:pPr>
          </w:p>
        </w:tc>
        <w:tc>
          <w:tcPr>
            <w:tcW w:w="4533" w:type="dxa"/>
            <w:vAlign w:val="bottom"/>
          </w:tcPr>
          <w:p w14:paraId="24331CD3" w14:textId="4F145CD3" w:rsidR="007F35C0" w:rsidRPr="00DA42F2" w:rsidRDefault="007F35C0" w:rsidP="007F5094">
            <w:pPr>
              <w:spacing w:line="216" w:lineRule="auto"/>
              <w:ind w:left="542" w:hanging="275"/>
              <w:jc w:val="left"/>
              <w:rPr>
                <w:color w:val="000000"/>
                <w:sz w:val="18"/>
                <w:szCs w:val="18"/>
                <w:rtl/>
                <w:lang w:eastAsia="he-IL"/>
              </w:rPr>
            </w:pPr>
            <w:r w:rsidRPr="00DA42F2">
              <w:rPr>
                <w:rFonts w:hint="cs"/>
                <w:color w:val="000000"/>
                <w:sz w:val="18"/>
                <w:szCs w:val="18"/>
                <w:rtl/>
                <w:lang w:eastAsia="he-IL"/>
              </w:rPr>
              <w:t>מזה:</w:t>
            </w:r>
          </w:p>
        </w:tc>
        <w:tc>
          <w:tcPr>
            <w:tcW w:w="888" w:type="dxa"/>
            <w:vAlign w:val="bottom"/>
          </w:tcPr>
          <w:p w14:paraId="57E581B9" w14:textId="77777777" w:rsidR="007F35C0" w:rsidRPr="00DA42F2" w:rsidRDefault="007F35C0" w:rsidP="00400DD1">
            <w:pPr>
              <w:spacing w:line="216" w:lineRule="auto"/>
              <w:rPr>
                <w:rtl/>
              </w:rPr>
            </w:pPr>
          </w:p>
        </w:tc>
        <w:tc>
          <w:tcPr>
            <w:tcW w:w="1276" w:type="dxa"/>
            <w:vAlign w:val="bottom"/>
          </w:tcPr>
          <w:p w14:paraId="1AAE8375" w14:textId="77777777" w:rsidR="007F35C0" w:rsidRPr="00DA42F2" w:rsidRDefault="007F35C0" w:rsidP="00400DD1">
            <w:pPr>
              <w:spacing w:line="216" w:lineRule="auto"/>
              <w:rPr>
                <w:rtl/>
              </w:rPr>
            </w:pPr>
          </w:p>
        </w:tc>
        <w:tc>
          <w:tcPr>
            <w:tcW w:w="1134" w:type="dxa"/>
            <w:vAlign w:val="bottom"/>
          </w:tcPr>
          <w:p w14:paraId="33F5CC89" w14:textId="77777777" w:rsidR="007F35C0" w:rsidRPr="00DA42F2" w:rsidRDefault="007F35C0" w:rsidP="00400DD1">
            <w:pPr>
              <w:spacing w:line="216" w:lineRule="auto"/>
              <w:rPr>
                <w:rtl/>
              </w:rPr>
            </w:pPr>
          </w:p>
        </w:tc>
        <w:tc>
          <w:tcPr>
            <w:tcW w:w="849" w:type="dxa"/>
            <w:vAlign w:val="bottom"/>
          </w:tcPr>
          <w:p w14:paraId="77B483F9" w14:textId="77777777" w:rsidR="007F35C0" w:rsidRPr="00DA42F2" w:rsidRDefault="007F35C0" w:rsidP="00400DD1">
            <w:pPr>
              <w:spacing w:line="216" w:lineRule="auto"/>
              <w:rPr>
                <w:rtl/>
              </w:rPr>
            </w:pPr>
          </w:p>
        </w:tc>
      </w:tr>
      <w:tr w:rsidR="007F35C0" w:rsidRPr="00DA42F2" w14:paraId="2EF41F3E" w14:textId="77777777" w:rsidTr="00EC46DF">
        <w:trPr>
          <w:trHeight w:val="245"/>
        </w:trPr>
        <w:tc>
          <w:tcPr>
            <w:tcW w:w="1304" w:type="dxa"/>
          </w:tcPr>
          <w:p w14:paraId="740C8123" w14:textId="77777777" w:rsidR="007F35C0" w:rsidRPr="00DA42F2" w:rsidRDefault="007F35C0" w:rsidP="00400DD1">
            <w:pPr>
              <w:spacing w:line="216" w:lineRule="auto"/>
              <w:ind w:left="144" w:hanging="144"/>
              <w:jc w:val="left"/>
              <w:rPr>
                <w:color w:val="000000"/>
                <w:rtl/>
                <w:lang w:eastAsia="he-IL"/>
              </w:rPr>
            </w:pPr>
          </w:p>
        </w:tc>
        <w:tc>
          <w:tcPr>
            <w:tcW w:w="4533" w:type="dxa"/>
            <w:vAlign w:val="bottom"/>
          </w:tcPr>
          <w:p w14:paraId="1EC310C1" w14:textId="77777777" w:rsidR="007F35C0" w:rsidRPr="00DA42F2" w:rsidRDefault="007F35C0" w:rsidP="00400DD1">
            <w:pPr>
              <w:spacing w:line="216" w:lineRule="auto"/>
              <w:ind w:left="598" w:hanging="100"/>
              <w:jc w:val="left"/>
              <w:rPr>
                <w:color w:val="000000"/>
                <w:sz w:val="18"/>
                <w:szCs w:val="18"/>
                <w:rtl/>
                <w:lang w:eastAsia="he-IL"/>
              </w:rPr>
            </w:pPr>
            <w:r w:rsidRPr="00DA42F2">
              <w:rPr>
                <w:rFonts w:hint="cs"/>
                <w:rtl/>
                <w:lang w:eastAsia="he-IL"/>
              </w:rPr>
              <w:t>אגרות חוב</w:t>
            </w:r>
            <w:r w:rsidRPr="00DA42F2">
              <w:rPr>
                <w:rFonts w:hint="cs"/>
                <w:b/>
                <w:bCs/>
                <w:rtl/>
                <w:lang w:eastAsia="he-IL"/>
              </w:rPr>
              <w:t xml:space="preserve"> </w:t>
            </w:r>
            <w:r w:rsidRPr="00DA42F2">
              <w:rPr>
                <w:rFonts w:hint="cs"/>
                <w:color w:val="000000"/>
                <w:sz w:val="18"/>
                <w:szCs w:val="18"/>
                <w:rtl/>
                <w:lang w:eastAsia="he-IL"/>
              </w:rPr>
              <w:t xml:space="preserve">בערבות </w:t>
            </w:r>
            <w:r w:rsidRPr="00DA42F2">
              <w:rPr>
                <w:rFonts w:hint="cs"/>
                <w:color w:val="000000"/>
                <w:sz w:val="18"/>
                <w:szCs w:val="18"/>
                <w:lang w:eastAsia="he-IL"/>
              </w:rPr>
              <w:t>GNMA</w:t>
            </w:r>
          </w:p>
        </w:tc>
        <w:tc>
          <w:tcPr>
            <w:tcW w:w="888" w:type="dxa"/>
            <w:vAlign w:val="bottom"/>
          </w:tcPr>
          <w:p w14:paraId="3C668B76" w14:textId="77777777" w:rsidR="007F35C0" w:rsidRPr="00DA42F2" w:rsidRDefault="007F35C0" w:rsidP="00400DD1">
            <w:pPr>
              <w:spacing w:line="216" w:lineRule="auto"/>
              <w:rPr>
                <w:rtl/>
              </w:rPr>
            </w:pPr>
            <w:r w:rsidRPr="00DA42F2">
              <w:rPr>
                <w:rFonts w:hint="cs"/>
                <w:rtl/>
              </w:rPr>
              <w:t xml:space="preserve"> 0</w:t>
            </w:r>
          </w:p>
        </w:tc>
        <w:tc>
          <w:tcPr>
            <w:tcW w:w="1276" w:type="dxa"/>
            <w:vAlign w:val="bottom"/>
          </w:tcPr>
          <w:p w14:paraId="4501156B" w14:textId="77777777" w:rsidR="007F35C0" w:rsidRPr="00DA42F2" w:rsidRDefault="007F35C0" w:rsidP="00400DD1">
            <w:pPr>
              <w:spacing w:line="216" w:lineRule="auto"/>
              <w:rPr>
                <w:rtl/>
              </w:rPr>
            </w:pPr>
            <w:r w:rsidRPr="00DA42F2">
              <w:rPr>
                <w:rFonts w:hint="cs"/>
                <w:rtl/>
              </w:rPr>
              <w:t xml:space="preserve"> 0</w:t>
            </w:r>
          </w:p>
        </w:tc>
        <w:tc>
          <w:tcPr>
            <w:tcW w:w="1134" w:type="dxa"/>
            <w:vAlign w:val="bottom"/>
          </w:tcPr>
          <w:p w14:paraId="559F84C2" w14:textId="77777777" w:rsidR="007F35C0" w:rsidRPr="00DA42F2" w:rsidRDefault="007F35C0" w:rsidP="00400DD1">
            <w:pPr>
              <w:spacing w:line="216" w:lineRule="auto"/>
              <w:rPr>
                <w:rtl/>
              </w:rPr>
            </w:pPr>
            <w:r w:rsidRPr="00DA42F2">
              <w:rPr>
                <w:rFonts w:hint="cs"/>
                <w:rtl/>
              </w:rPr>
              <w:t xml:space="preserve"> 0</w:t>
            </w:r>
          </w:p>
        </w:tc>
        <w:tc>
          <w:tcPr>
            <w:tcW w:w="849" w:type="dxa"/>
            <w:vAlign w:val="bottom"/>
          </w:tcPr>
          <w:p w14:paraId="63B4ECFA" w14:textId="77777777" w:rsidR="007F35C0" w:rsidRPr="00DA42F2" w:rsidRDefault="007F35C0" w:rsidP="00400DD1">
            <w:pPr>
              <w:spacing w:line="216" w:lineRule="auto"/>
              <w:rPr>
                <w:rtl/>
              </w:rPr>
            </w:pPr>
            <w:r w:rsidRPr="00DA42F2">
              <w:rPr>
                <w:rFonts w:hint="cs"/>
                <w:rtl/>
              </w:rPr>
              <w:t xml:space="preserve"> 0</w:t>
            </w:r>
          </w:p>
        </w:tc>
      </w:tr>
      <w:tr w:rsidR="007F35C0" w:rsidRPr="00DA42F2" w14:paraId="0ED34D18" w14:textId="77777777" w:rsidTr="00EC46DF">
        <w:trPr>
          <w:trHeight w:val="245"/>
        </w:trPr>
        <w:tc>
          <w:tcPr>
            <w:tcW w:w="1304" w:type="dxa"/>
          </w:tcPr>
          <w:p w14:paraId="665F60FE" w14:textId="77777777" w:rsidR="007F35C0" w:rsidRPr="00DA42F2" w:rsidRDefault="007F35C0" w:rsidP="00400DD1">
            <w:pPr>
              <w:spacing w:line="216" w:lineRule="auto"/>
              <w:ind w:left="144" w:hanging="144"/>
              <w:jc w:val="left"/>
              <w:rPr>
                <w:color w:val="000000"/>
                <w:rtl/>
                <w:lang w:eastAsia="he-IL"/>
              </w:rPr>
            </w:pPr>
          </w:p>
        </w:tc>
        <w:tc>
          <w:tcPr>
            <w:tcW w:w="4533" w:type="dxa"/>
            <w:vAlign w:val="bottom"/>
          </w:tcPr>
          <w:p w14:paraId="7418D772" w14:textId="77777777" w:rsidR="007F35C0" w:rsidRPr="00DA42F2" w:rsidRDefault="007F35C0" w:rsidP="00400DD1">
            <w:pPr>
              <w:spacing w:line="216" w:lineRule="auto"/>
              <w:ind w:left="598" w:hanging="100"/>
              <w:jc w:val="left"/>
              <w:rPr>
                <w:color w:val="000000"/>
                <w:sz w:val="18"/>
                <w:szCs w:val="18"/>
                <w:rtl/>
                <w:lang w:eastAsia="he-IL"/>
              </w:rPr>
            </w:pPr>
            <w:r w:rsidRPr="00DA42F2">
              <w:rPr>
                <w:rFonts w:hint="cs"/>
                <w:rtl/>
                <w:lang w:eastAsia="he-IL"/>
              </w:rPr>
              <w:t>אגרות חוב</w:t>
            </w:r>
            <w:r w:rsidRPr="00DA42F2">
              <w:rPr>
                <w:rFonts w:hint="cs"/>
                <w:b/>
                <w:bCs/>
                <w:rtl/>
                <w:lang w:eastAsia="he-IL"/>
              </w:rPr>
              <w:t xml:space="preserve"> </w:t>
            </w:r>
            <w:r w:rsidRPr="00DA42F2">
              <w:rPr>
                <w:rFonts w:hint="cs"/>
                <w:color w:val="000000"/>
                <w:sz w:val="18"/>
                <w:szCs w:val="18"/>
                <w:rtl/>
                <w:lang w:eastAsia="he-IL"/>
              </w:rPr>
              <w:t xml:space="preserve">שהונפקו על ידי </w:t>
            </w:r>
            <w:r w:rsidRPr="00DA42F2">
              <w:rPr>
                <w:rFonts w:hint="cs"/>
                <w:color w:val="000000"/>
                <w:sz w:val="18"/>
                <w:szCs w:val="18"/>
                <w:lang w:eastAsia="he-IL"/>
              </w:rPr>
              <w:t>FNMA</w:t>
            </w:r>
            <w:r w:rsidRPr="00DA42F2">
              <w:rPr>
                <w:rFonts w:hint="cs"/>
                <w:color w:val="000000"/>
                <w:sz w:val="18"/>
                <w:szCs w:val="18"/>
                <w:rtl/>
                <w:lang w:eastAsia="he-IL"/>
              </w:rPr>
              <w:t xml:space="preserve"> ועל ידי </w:t>
            </w:r>
            <w:r w:rsidRPr="00DA42F2">
              <w:rPr>
                <w:rFonts w:hint="cs"/>
                <w:color w:val="000000"/>
                <w:sz w:val="18"/>
                <w:szCs w:val="18"/>
                <w:lang w:eastAsia="he-IL"/>
              </w:rPr>
              <w:t>FHLMC</w:t>
            </w:r>
          </w:p>
        </w:tc>
        <w:tc>
          <w:tcPr>
            <w:tcW w:w="888" w:type="dxa"/>
            <w:vAlign w:val="bottom"/>
          </w:tcPr>
          <w:p w14:paraId="780E352F" w14:textId="77777777" w:rsidR="007F35C0" w:rsidRPr="00DA42F2" w:rsidRDefault="007F35C0" w:rsidP="00400DD1">
            <w:pPr>
              <w:spacing w:line="216" w:lineRule="auto"/>
              <w:rPr>
                <w:rtl/>
              </w:rPr>
            </w:pPr>
            <w:r w:rsidRPr="00DA42F2">
              <w:rPr>
                <w:rFonts w:hint="cs"/>
                <w:rtl/>
              </w:rPr>
              <w:t xml:space="preserve"> 0</w:t>
            </w:r>
          </w:p>
        </w:tc>
        <w:tc>
          <w:tcPr>
            <w:tcW w:w="1276" w:type="dxa"/>
            <w:vAlign w:val="bottom"/>
          </w:tcPr>
          <w:p w14:paraId="541B472E" w14:textId="77777777" w:rsidR="007F35C0" w:rsidRPr="00DA42F2" w:rsidRDefault="007F35C0" w:rsidP="00400DD1">
            <w:pPr>
              <w:spacing w:line="216" w:lineRule="auto"/>
              <w:rPr>
                <w:rtl/>
              </w:rPr>
            </w:pPr>
            <w:r w:rsidRPr="00DA42F2">
              <w:rPr>
                <w:rFonts w:hint="cs"/>
                <w:rtl/>
              </w:rPr>
              <w:t xml:space="preserve"> 0</w:t>
            </w:r>
          </w:p>
        </w:tc>
        <w:tc>
          <w:tcPr>
            <w:tcW w:w="1134" w:type="dxa"/>
            <w:vAlign w:val="bottom"/>
          </w:tcPr>
          <w:p w14:paraId="35869A56" w14:textId="77777777" w:rsidR="007F35C0" w:rsidRPr="00DA42F2" w:rsidRDefault="007F35C0" w:rsidP="00400DD1">
            <w:pPr>
              <w:spacing w:line="216" w:lineRule="auto"/>
              <w:rPr>
                <w:rtl/>
              </w:rPr>
            </w:pPr>
            <w:r w:rsidRPr="00DA42F2">
              <w:rPr>
                <w:rFonts w:hint="cs"/>
                <w:rtl/>
              </w:rPr>
              <w:t xml:space="preserve"> 0</w:t>
            </w:r>
          </w:p>
        </w:tc>
        <w:tc>
          <w:tcPr>
            <w:tcW w:w="849" w:type="dxa"/>
            <w:vAlign w:val="bottom"/>
          </w:tcPr>
          <w:p w14:paraId="07DB9AEE" w14:textId="77777777" w:rsidR="007F35C0" w:rsidRPr="00DA42F2" w:rsidRDefault="007F35C0" w:rsidP="00400DD1">
            <w:pPr>
              <w:spacing w:line="216" w:lineRule="auto"/>
              <w:rPr>
                <w:rtl/>
              </w:rPr>
            </w:pPr>
            <w:r w:rsidRPr="00DA42F2">
              <w:rPr>
                <w:rFonts w:hint="cs"/>
                <w:rtl/>
              </w:rPr>
              <w:t xml:space="preserve"> 0</w:t>
            </w:r>
          </w:p>
        </w:tc>
      </w:tr>
      <w:tr w:rsidR="007F35C0" w:rsidRPr="00DA42F2" w14:paraId="743F089C" w14:textId="77777777" w:rsidTr="00EC46DF">
        <w:trPr>
          <w:trHeight w:hRule="exact" w:val="200"/>
        </w:trPr>
        <w:tc>
          <w:tcPr>
            <w:tcW w:w="1304" w:type="dxa"/>
          </w:tcPr>
          <w:p w14:paraId="5B4140C6" w14:textId="77777777" w:rsidR="007F35C0" w:rsidRPr="00DA42F2" w:rsidRDefault="007F35C0" w:rsidP="00400DD1">
            <w:pPr>
              <w:spacing w:line="216" w:lineRule="auto"/>
              <w:ind w:left="144" w:hanging="144"/>
              <w:jc w:val="left"/>
              <w:rPr>
                <w:color w:val="000000"/>
                <w:rtl/>
                <w:lang w:eastAsia="he-IL"/>
              </w:rPr>
            </w:pPr>
          </w:p>
          <w:p w14:paraId="715EC877" w14:textId="77777777" w:rsidR="007F35C0" w:rsidRPr="00DA42F2" w:rsidRDefault="007F35C0" w:rsidP="00400DD1">
            <w:pPr>
              <w:spacing w:line="216" w:lineRule="auto"/>
              <w:ind w:left="144" w:hanging="144"/>
              <w:jc w:val="left"/>
              <w:rPr>
                <w:color w:val="000000"/>
                <w:rtl/>
                <w:lang w:eastAsia="he-IL"/>
              </w:rPr>
            </w:pPr>
          </w:p>
        </w:tc>
        <w:tc>
          <w:tcPr>
            <w:tcW w:w="4533" w:type="dxa"/>
            <w:vAlign w:val="bottom"/>
          </w:tcPr>
          <w:p w14:paraId="5C3D6395" w14:textId="77777777" w:rsidR="007F35C0" w:rsidRPr="00DA42F2" w:rsidRDefault="007F35C0" w:rsidP="00400DD1">
            <w:pPr>
              <w:spacing w:line="216" w:lineRule="auto"/>
              <w:ind w:left="539" w:hanging="91"/>
              <w:jc w:val="left"/>
              <w:rPr>
                <w:b/>
                <w:bCs/>
                <w:color w:val="000000"/>
                <w:rtl/>
                <w:lang w:eastAsia="he-IL"/>
              </w:rPr>
            </w:pPr>
          </w:p>
          <w:p w14:paraId="3A2229C4" w14:textId="77777777" w:rsidR="007F35C0" w:rsidRPr="00DA42F2" w:rsidRDefault="007F35C0" w:rsidP="00400DD1">
            <w:pPr>
              <w:spacing w:line="216" w:lineRule="auto"/>
              <w:ind w:left="539" w:hanging="91"/>
              <w:jc w:val="left"/>
              <w:rPr>
                <w:b/>
                <w:bCs/>
                <w:color w:val="000000"/>
                <w:rtl/>
                <w:lang w:eastAsia="he-IL"/>
              </w:rPr>
            </w:pPr>
          </w:p>
        </w:tc>
        <w:tc>
          <w:tcPr>
            <w:tcW w:w="888" w:type="dxa"/>
            <w:vAlign w:val="bottom"/>
          </w:tcPr>
          <w:p w14:paraId="4BA9077D" w14:textId="77777777" w:rsidR="007F35C0" w:rsidRPr="00DA42F2" w:rsidRDefault="007F35C0" w:rsidP="00400DD1">
            <w:pPr>
              <w:spacing w:line="216" w:lineRule="auto"/>
              <w:rPr>
                <w:rtl/>
              </w:rPr>
            </w:pPr>
          </w:p>
        </w:tc>
        <w:tc>
          <w:tcPr>
            <w:tcW w:w="1276" w:type="dxa"/>
            <w:vAlign w:val="bottom"/>
          </w:tcPr>
          <w:p w14:paraId="2E912499" w14:textId="77777777" w:rsidR="007F35C0" w:rsidRPr="00DA42F2" w:rsidRDefault="007F35C0" w:rsidP="00400DD1">
            <w:pPr>
              <w:spacing w:line="216" w:lineRule="auto"/>
              <w:rPr>
                <w:rtl/>
              </w:rPr>
            </w:pPr>
          </w:p>
        </w:tc>
        <w:tc>
          <w:tcPr>
            <w:tcW w:w="1134" w:type="dxa"/>
            <w:vAlign w:val="bottom"/>
          </w:tcPr>
          <w:p w14:paraId="1135C16D" w14:textId="77777777" w:rsidR="007F35C0" w:rsidRPr="00DA42F2" w:rsidRDefault="007F35C0" w:rsidP="00400DD1">
            <w:pPr>
              <w:spacing w:line="216" w:lineRule="auto"/>
              <w:rPr>
                <w:rtl/>
              </w:rPr>
            </w:pPr>
          </w:p>
        </w:tc>
        <w:tc>
          <w:tcPr>
            <w:tcW w:w="849" w:type="dxa"/>
            <w:vAlign w:val="bottom"/>
          </w:tcPr>
          <w:p w14:paraId="564A1CC8" w14:textId="77777777" w:rsidR="007F35C0" w:rsidRPr="00DA42F2" w:rsidRDefault="007F35C0" w:rsidP="00400DD1">
            <w:pPr>
              <w:spacing w:line="216" w:lineRule="auto"/>
              <w:rPr>
                <w:rtl/>
              </w:rPr>
            </w:pPr>
          </w:p>
        </w:tc>
      </w:tr>
      <w:tr w:rsidR="007F35C0" w:rsidRPr="00DA42F2" w14:paraId="47CEB259" w14:textId="77777777" w:rsidTr="00EC46DF">
        <w:trPr>
          <w:trHeight w:val="245"/>
        </w:trPr>
        <w:tc>
          <w:tcPr>
            <w:tcW w:w="1304" w:type="dxa"/>
          </w:tcPr>
          <w:p w14:paraId="313A2E5A" w14:textId="77777777" w:rsidR="007F35C0" w:rsidRPr="00DA42F2" w:rsidRDefault="007F35C0" w:rsidP="00400DD1">
            <w:pPr>
              <w:spacing w:line="216" w:lineRule="auto"/>
              <w:ind w:left="144" w:hanging="144"/>
              <w:jc w:val="left"/>
              <w:rPr>
                <w:color w:val="000000"/>
                <w:rtl/>
                <w:lang w:eastAsia="he-IL"/>
              </w:rPr>
            </w:pPr>
          </w:p>
        </w:tc>
        <w:tc>
          <w:tcPr>
            <w:tcW w:w="4533" w:type="dxa"/>
            <w:vAlign w:val="bottom"/>
          </w:tcPr>
          <w:p w14:paraId="2010F8E8" w14:textId="77777777" w:rsidR="007F35C0" w:rsidRPr="00206490" w:rsidRDefault="007F35C0" w:rsidP="00400DD1">
            <w:pPr>
              <w:spacing w:line="216" w:lineRule="auto"/>
              <w:ind w:left="214"/>
              <w:jc w:val="left"/>
              <w:rPr>
                <w:rtl/>
                <w:lang w:eastAsia="he-IL"/>
              </w:rPr>
            </w:pPr>
            <w:r w:rsidRPr="00206490">
              <w:rPr>
                <w:rFonts w:hint="cs"/>
                <w:rtl/>
                <w:lang w:eastAsia="he-IL"/>
              </w:rPr>
              <w:t xml:space="preserve">אגרות חוב מגובות משכנתאות אחרים </w:t>
            </w:r>
            <w:r w:rsidRPr="00206490">
              <w:rPr>
                <w:rFonts w:hint="cs"/>
                <w:sz w:val="18"/>
                <w:szCs w:val="18"/>
                <w:rtl/>
                <w:lang w:eastAsia="he-IL"/>
              </w:rPr>
              <w:t xml:space="preserve">(כולל </w:t>
            </w:r>
            <w:r w:rsidRPr="00206490">
              <w:rPr>
                <w:rFonts w:hint="cs"/>
                <w:sz w:val="18"/>
                <w:szCs w:val="18"/>
                <w:lang w:eastAsia="he-IL"/>
              </w:rPr>
              <w:t>CM</w:t>
            </w:r>
            <w:r w:rsidRPr="00206490">
              <w:rPr>
                <w:sz w:val="18"/>
                <w:szCs w:val="18"/>
                <w:lang w:eastAsia="he-IL"/>
              </w:rPr>
              <w:t>O</w:t>
            </w:r>
            <w:r w:rsidRPr="00206490">
              <w:rPr>
                <w:rFonts w:hint="cs"/>
                <w:sz w:val="18"/>
                <w:szCs w:val="18"/>
                <w:rtl/>
                <w:lang w:eastAsia="he-IL"/>
              </w:rPr>
              <w:t xml:space="preserve">,    </w:t>
            </w:r>
            <w:r>
              <w:rPr>
                <w:rFonts w:hint="cs"/>
                <w:sz w:val="18"/>
                <w:szCs w:val="18"/>
                <w:rtl/>
                <w:lang w:eastAsia="he-IL"/>
              </w:rPr>
              <w:t xml:space="preserve"> </w:t>
            </w:r>
            <w:r w:rsidRPr="00206490">
              <w:rPr>
                <w:rFonts w:hint="cs"/>
                <w:sz w:val="18"/>
                <w:szCs w:val="18"/>
                <w:lang w:eastAsia="he-IL"/>
              </w:rPr>
              <w:t>REMIC</w:t>
            </w:r>
            <w:r w:rsidRPr="00206490">
              <w:rPr>
                <w:rFonts w:hint="cs"/>
                <w:sz w:val="18"/>
                <w:szCs w:val="18"/>
                <w:rtl/>
                <w:lang w:eastAsia="he-IL"/>
              </w:rPr>
              <w:t xml:space="preserve"> ו-</w:t>
            </w:r>
            <w:r w:rsidRPr="00206490">
              <w:rPr>
                <w:rFonts w:hint="cs"/>
                <w:sz w:val="18"/>
                <w:szCs w:val="18"/>
                <w:lang w:eastAsia="he-IL"/>
              </w:rPr>
              <w:t>STRIPPED MBS</w:t>
            </w:r>
            <w:r w:rsidRPr="00206490">
              <w:rPr>
                <w:rFonts w:hint="cs"/>
                <w:sz w:val="18"/>
                <w:szCs w:val="18"/>
                <w:rtl/>
                <w:lang w:eastAsia="he-IL"/>
              </w:rPr>
              <w:t xml:space="preserve">): </w:t>
            </w:r>
            <w:r w:rsidRPr="00206490">
              <w:rPr>
                <w:rFonts w:hint="cs"/>
                <w:rtl/>
                <w:lang w:eastAsia="he-IL"/>
              </w:rPr>
              <w:t xml:space="preserve"> </w:t>
            </w:r>
          </w:p>
        </w:tc>
        <w:tc>
          <w:tcPr>
            <w:tcW w:w="888" w:type="dxa"/>
            <w:vAlign w:val="bottom"/>
          </w:tcPr>
          <w:p w14:paraId="46299753" w14:textId="77777777" w:rsidR="007F35C0" w:rsidRPr="00DA42F2" w:rsidRDefault="007F35C0" w:rsidP="00400DD1">
            <w:pPr>
              <w:pBdr>
                <w:bottom w:val="single" w:sz="4" w:space="1" w:color="auto"/>
              </w:pBdr>
              <w:spacing w:line="216" w:lineRule="auto"/>
              <w:rPr>
                <w:b/>
                <w:bCs/>
                <w:rtl/>
              </w:rPr>
            </w:pPr>
            <w:r w:rsidRPr="00DA42F2">
              <w:rPr>
                <w:rFonts w:hint="cs"/>
                <w:b/>
                <w:bCs/>
                <w:rtl/>
              </w:rPr>
              <w:t xml:space="preserve"> 0</w:t>
            </w:r>
          </w:p>
        </w:tc>
        <w:tc>
          <w:tcPr>
            <w:tcW w:w="1276" w:type="dxa"/>
            <w:vAlign w:val="bottom"/>
          </w:tcPr>
          <w:p w14:paraId="449F2A16" w14:textId="77777777" w:rsidR="007F35C0" w:rsidRPr="00DA42F2" w:rsidRDefault="007F35C0" w:rsidP="00400DD1">
            <w:pPr>
              <w:pBdr>
                <w:bottom w:val="single" w:sz="4" w:space="1" w:color="auto"/>
              </w:pBdr>
              <w:spacing w:line="216" w:lineRule="auto"/>
              <w:rPr>
                <w:b/>
                <w:bCs/>
                <w:rtl/>
              </w:rPr>
            </w:pPr>
            <w:r w:rsidRPr="00DA42F2">
              <w:rPr>
                <w:rFonts w:hint="cs"/>
                <w:b/>
                <w:bCs/>
                <w:rtl/>
              </w:rPr>
              <w:t xml:space="preserve"> 0</w:t>
            </w:r>
          </w:p>
        </w:tc>
        <w:tc>
          <w:tcPr>
            <w:tcW w:w="1134" w:type="dxa"/>
            <w:vAlign w:val="bottom"/>
          </w:tcPr>
          <w:p w14:paraId="291E6D27" w14:textId="77777777" w:rsidR="007F35C0" w:rsidRPr="00DA42F2" w:rsidRDefault="007F35C0" w:rsidP="00400DD1">
            <w:pPr>
              <w:pBdr>
                <w:bottom w:val="single" w:sz="4" w:space="1" w:color="auto"/>
              </w:pBdr>
              <w:spacing w:line="216" w:lineRule="auto"/>
              <w:rPr>
                <w:b/>
                <w:bCs/>
                <w:rtl/>
              </w:rPr>
            </w:pPr>
            <w:r w:rsidRPr="00DA42F2">
              <w:rPr>
                <w:rFonts w:hint="cs"/>
                <w:b/>
                <w:bCs/>
                <w:rtl/>
              </w:rPr>
              <w:t xml:space="preserve"> 0</w:t>
            </w:r>
          </w:p>
        </w:tc>
        <w:tc>
          <w:tcPr>
            <w:tcW w:w="849" w:type="dxa"/>
            <w:vAlign w:val="bottom"/>
          </w:tcPr>
          <w:p w14:paraId="0F4E3EDF" w14:textId="77777777" w:rsidR="007F35C0" w:rsidRPr="00DA42F2" w:rsidRDefault="007F35C0" w:rsidP="00400DD1">
            <w:pPr>
              <w:pBdr>
                <w:bottom w:val="single" w:sz="4" w:space="1" w:color="auto"/>
              </w:pBdr>
              <w:spacing w:line="216" w:lineRule="auto"/>
              <w:rPr>
                <w:b/>
                <w:bCs/>
                <w:rtl/>
              </w:rPr>
            </w:pPr>
            <w:r w:rsidRPr="00DA42F2">
              <w:rPr>
                <w:rFonts w:hint="cs"/>
                <w:b/>
                <w:bCs/>
                <w:rtl/>
              </w:rPr>
              <w:t xml:space="preserve"> 0</w:t>
            </w:r>
          </w:p>
        </w:tc>
      </w:tr>
      <w:tr w:rsidR="007F35C0" w:rsidRPr="00DA42F2" w14:paraId="047A3596" w14:textId="77777777" w:rsidTr="00EC46DF">
        <w:trPr>
          <w:trHeight w:val="245"/>
        </w:trPr>
        <w:tc>
          <w:tcPr>
            <w:tcW w:w="1304" w:type="dxa"/>
          </w:tcPr>
          <w:p w14:paraId="5F9CE928" w14:textId="77777777" w:rsidR="007F35C0" w:rsidRPr="00DA42F2" w:rsidRDefault="007F35C0" w:rsidP="00400DD1">
            <w:pPr>
              <w:spacing w:line="216" w:lineRule="auto"/>
              <w:ind w:left="144" w:hanging="144"/>
              <w:jc w:val="left"/>
              <w:rPr>
                <w:color w:val="000000"/>
                <w:rtl/>
                <w:lang w:eastAsia="he-IL"/>
              </w:rPr>
            </w:pPr>
          </w:p>
        </w:tc>
        <w:tc>
          <w:tcPr>
            <w:tcW w:w="4533" w:type="dxa"/>
            <w:vAlign w:val="bottom"/>
          </w:tcPr>
          <w:p w14:paraId="21A981CB" w14:textId="77777777" w:rsidR="007F35C0" w:rsidRPr="00DA42F2" w:rsidRDefault="007F35C0" w:rsidP="007F5094">
            <w:pPr>
              <w:spacing w:line="216" w:lineRule="auto"/>
              <w:ind w:left="598" w:hanging="391"/>
              <w:jc w:val="left"/>
              <w:rPr>
                <w:color w:val="000000"/>
                <w:sz w:val="18"/>
                <w:szCs w:val="18"/>
                <w:rtl/>
                <w:lang w:eastAsia="he-IL"/>
              </w:rPr>
            </w:pPr>
            <w:r w:rsidRPr="00DA42F2">
              <w:rPr>
                <w:rFonts w:hint="cs"/>
                <w:color w:val="000000"/>
                <w:sz w:val="18"/>
                <w:szCs w:val="18"/>
                <w:rtl/>
                <w:lang w:eastAsia="he-IL"/>
              </w:rPr>
              <w:t>מזה</w:t>
            </w:r>
            <w:r>
              <w:rPr>
                <w:rFonts w:hint="cs"/>
                <w:color w:val="000000"/>
                <w:sz w:val="18"/>
                <w:szCs w:val="18"/>
                <w:rtl/>
                <w:lang w:eastAsia="he-IL"/>
              </w:rPr>
              <w:t>:</w:t>
            </w:r>
            <w:r w:rsidRPr="00DA42F2">
              <w:rPr>
                <w:rFonts w:hint="cs"/>
                <w:color w:val="000000"/>
                <w:sz w:val="18"/>
                <w:szCs w:val="18"/>
                <w:vertAlign w:val="superscript"/>
                <w:rtl/>
                <w:lang w:eastAsia="he-IL"/>
              </w:rPr>
              <w:t>[2]</w:t>
            </w:r>
          </w:p>
        </w:tc>
        <w:tc>
          <w:tcPr>
            <w:tcW w:w="888" w:type="dxa"/>
            <w:vAlign w:val="bottom"/>
          </w:tcPr>
          <w:p w14:paraId="7EE50F8D" w14:textId="77777777" w:rsidR="007F35C0" w:rsidRPr="00DA42F2" w:rsidRDefault="007F35C0" w:rsidP="00400DD1">
            <w:pPr>
              <w:spacing w:line="216" w:lineRule="auto"/>
              <w:rPr>
                <w:rtl/>
              </w:rPr>
            </w:pPr>
          </w:p>
        </w:tc>
        <w:tc>
          <w:tcPr>
            <w:tcW w:w="1276" w:type="dxa"/>
            <w:vAlign w:val="bottom"/>
          </w:tcPr>
          <w:p w14:paraId="34928704" w14:textId="77777777" w:rsidR="007F35C0" w:rsidRPr="00DA42F2" w:rsidRDefault="007F35C0" w:rsidP="00400DD1">
            <w:pPr>
              <w:spacing w:line="216" w:lineRule="auto"/>
              <w:rPr>
                <w:rtl/>
              </w:rPr>
            </w:pPr>
          </w:p>
        </w:tc>
        <w:tc>
          <w:tcPr>
            <w:tcW w:w="1134" w:type="dxa"/>
            <w:vAlign w:val="bottom"/>
          </w:tcPr>
          <w:p w14:paraId="7452626A" w14:textId="77777777" w:rsidR="007F35C0" w:rsidRPr="00DA42F2" w:rsidRDefault="007F35C0" w:rsidP="00400DD1">
            <w:pPr>
              <w:spacing w:line="216" w:lineRule="auto"/>
              <w:rPr>
                <w:rtl/>
              </w:rPr>
            </w:pPr>
          </w:p>
        </w:tc>
        <w:tc>
          <w:tcPr>
            <w:tcW w:w="849" w:type="dxa"/>
            <w:vAlign w:val="bottom"/>
          </w:tcPr>
          <w:p w14:paraId="17968508" w14:textId="77777777" w:rsidR="007F35C0" w:rsidRPr="00DA42F2" w:rsidRDefault="007F35C0" w:rsidP="00400DD1">
            <w:pPr>
              <w:spacing w:line="216" w:lineRule="auto"/>
              <w:rPr>
                <w:rtl/>
              </w:rPr>
            </w:pPr>
          </w:p>
        </w:tc>
      </w:tr>
      <w:tr w:rsidR="007F35C0" w:rsidRPr="00DA42F2" w14:paraId="4895C04B" w14:textId="77777777" w:rsidTr="00EC46DF">
        <w:trPr>
          <w:trHeight w:val="245"/>
        </w:trPr>
        <w:tc>
          <w:tcPr>
            <w:tcW w:w="1304" w:type="dxa"/>
          </w:tcPr>
          <w:p w14:paraId="5F667F60" w14:textId="77777777" w:rsidR="007F35C0" w:rsidRPr="00DA42F2" w:rsidRDefault="007F35C0" w:rsidP="00400DD1">
            <w:pPr>
              <w:spacing w:line="216" w:lineRule="auto"/>
              <w:ind w:left="144" w:hanging="144"/>
              <w:jc w:val="left"/>
              <w:rPr>
                <w:color w:val="000000"/>
                <w:rtl/>
                <w:lang w:eastAsia="he-IL"/>
              </w:rPr>
            </w:pPr>
          </w:p>
        </w:tc>
        <w:tc>
          <w:tcPr>
            <w:tcW w:w="4533" w:type="dxa"/>
            <w:vAlign w:val="bottom"/>
          </w:tcPr>
          <w:p w14:paraId="7A317571" w14:textId="77777777" w:rsidR="007F35C0" w:rsidRPr="00DA42F2" w:rsidRDefault="007F35C0" w:rsidP="00400DD1">
            <w:pPr>
              <w:spacing w:line="216" w:lineRule="auto"/>
              <w:ind w:left="498"/>
              <w:jc w:val="left"/>
              <w:rPr>
                <w:b/>
                <w:bCs/>
                <w:color w:val="000000"/>
                <w:sz w:val="18"/>
                <w:szCs w:val="18"/>
                <w:rtl/>
                <w:lang w:eastAsia="he-IL"/>
              </w:rPr>
            </w:pPr>
            <w:r w:rsidRPr="00DA42F2">
              <w:rPr>
                <w:rFonts w:hint="cs"/>
                <w:rtl/>
                <w:lang w:eastAsia="he-IL"/>
              </w:rPr>
              <w:t>אגרות חוב</w:t>
            </w:r>
            <w:r w:rsidRPr="00DA42F2">
              <w:rPr>
                <w:rFonts w:hint="cs"/>
                <w:b/>
                <w:bCs/>
                <w:rtl/>
                <w:lang w:eastAsia="he-IL"/>
              </w:rPr>
              <w:t xml:space="preserve"> </w:t>
            </w:r>
            <w:r w:rsidRPr="00DA42F2">
              <w:rPr>
                <w:rFonts w:hint="cs"/>
                <w:color w:val="000000"/>
                <w:sz w:val="18"/>
                <w:szCs w:val="18"/>
                <w:rtl/>
                <w:lang w:eastAsia="he-IL"/>
              </w:rPr>
              <w:t xml:space="preserve">שהונפקו על ידי </w:t>
            </w:r>
            <w:r w:rsidRPr="00DA42F2">
              <w:rPr>
                <w:rFonts w:hint="cs"/>
                <w:color w:val="000000"/>
                <w:sz w:val="18"/>
                <w:szCs w:val="18"/>
                <w:lang w:eastAsia="he-IL"/>
              </w:rPr>
              <w:t>FNMA</w:t>
            </w:r>
            <w:r w:rsidRPr="00DA42F2">
              <w:rPr>
                <w:rFonts w:hint="cs"/>
                <w:color w:val="000000"/>
                <w:sz w:val="18"/>
                <w:szCs w:val="18"/>
                <w:rtl/>
                <w:lang w:eastAsia="he-IL"/>
              </w:rPr>
              <w:t xml:space="preserve">, </w:t>
            </w:r>
            <w:r w:rsidRPr="00DA42F2">
              <w:rPr>
                <w:rFonts w:hint="cs"/>
                <w:color w:val="000000"/>
                <w:sz w:val="18"/>
                <w:szCs w:val="18"/>
                <w:lang w:eastAsia="he-IL"/>
              </w:rPr>
              <w:t>FHLMC</w:t>
            </w:r>
            <w:r w:rsidRPr="00DA42F2">
              <w:rPr>
                <w:rFonts w:hint="cs"/>
                <w:color w:val="000000"/>
                <w:sz w:val="18"/>
                <w:szCs w:val="18"/>
                <w:rtl/>
                <w:lang w:eastAsia="he-IL"/>
              </w:rPr>
              <w:t xml:space="preserve"> או </w:t>
            </w:r>
            <w:r w:rsidRPr="00DA42F2">
              <w:rPr>
                <w:rFonts w:hint="cs"/>
                <w:color w:val="000000"/>
                <w:sz w:val="18"/>
                <w:szCs w:val="18"/>
                <w:lang w:eastAsia="he-IL"/>
              </w:rPr>
              <w:t>GNMA</w:t>
            </w:r>
            <w:r w:rsidRPr="00DA42F2">
              <w:rPr>
                <w:rFonts w:hint="cs"/>
                <w:color w:val="000000"/>
                <w:sz w:val="18"/>
                <w:szCs w:val="18"/>
                <w:rtl/>
                <w:lang w:eastAsia="he-IL"/>
              </w:rPr>
              <w:t xml:space="preserve"> או בערבותם</w:t>
            </w:r>
          </w:p>
        </w:tc>
        <w:tc>
          <w:tcPr>
            <w:tcW w:w="888" w:type="dxa"/>
            <w:vAlign w:val="bottom"/>
          </w:tcPr>
          <w:p w14:paraId="56735BA6" w14:textId="77777777" w:rsidR="007F35C0" w:rsidRPr="00206490" w:rsidRDefault="007F35C0" w:rsidP="00400DD1">
            <w:pPr>
              <w:pBdr>
                <w:bottom w:val="single" w:sz="4" w:space="1" w:color="auto"/>
              </w:pBdr>
              <w:spacing w:line="216" w:lineRule="auto"/>
              <w:rPr>
                <w:rtl/>
              </w:rPr>
            </w:pPr>
            <w:r w:rsidRPr="00206490">
              <w:rPr>
                <w:rFonts w:hint="cs"/>
                <w:rtl/>
              </w:rPr>
              <w:t xml:space="preserve"> 0</w:t>
            </w:r>
          </w:p>
        </w:tc>
        <w:tc>
          <w:tcPr>
            <w:tcW w:w="1276" w:type="dxa"/>
            <w:vAlign w:val="bottom"/>
          </w:tcPr>
          <w:p w14:paraId="228FC2DA" w14:textId="77777777" w:rsidR="007F35C0" w:rsidRPr="00206490" w:rsidRDefault="007F35C0" w:rsidP="00400DD1">
            <w:pPr>
              <w:pBdr>
                <w:bottom w:val="single" w:sz="4" w:space="1" w:color="auto"/>
              </w:pBdr>
              <w:spacing w:line="216" w:lineRule="auto"/>
              <w:rPr>
                <w:rtl/>
              </w:rPr>
            </w:pPr>
            <w:r w:rsidRPr="00206490">
              <w:rPr>
                <w:rFonts w:hint="cs"/>
                <w:rtl/>
              </w:rPr>
              <w:t xml:space="preserve"> 0</w:t>
            </w:r>
          </w:p>
        </w:tc>
        <w:tc>
          <w:tcPr>
            <w:tcW w:w="1134" w:type="dxa"/>
            <w:vAlign w:val="bottom"/>
          </w:tcPr>
          <w:p w14:paraId="0032ECFB" w14:textId="77777777" w:rsidR="007F35C0" w:rsidRPr="00206490" w:rsidRDefault="007F35C0" w:rsidP="00400DD1">
            <w:pPr>
              <w:pBdr>
                <w:bottom w:val="single" w:sz="4" w:space="1" w:color="auto"/>
              </w:pBdr>
              <w:spacing w:line="216" w:lineRule="auto"/>
              <w:rPr>
                <w:rtl/>
              </w:rPr>
            </w:pPr>
            <w:r w:rsidRPr="00206490">
              <w:rPr>
                <w:rFonts w:hint="cs"/>
                <w:rtl/>
              </w:rPr>
              <w:t xml:space="preserve"> 0</w:t>
            </w:r>
          </w:p>
        </w:tc>
        <w:tc>
          <w:tcPr>
            <w:tcW w:w="849" w:type="dxa"/>
            <w:vAlign w:val="bottom"/>
          </w:tcPr>
          <w:p w14:paraId="3CBA0D1C" w14:textId="77777777" w:rsidR="007F35C0" w:rsidRPr="00206490" w:rsidRDefault="007F35C0" w:rsidP="00400DD1">
            <w:pPr>
              <w:pBdr>
                <w:bottom w:val="single" w:sz="4" w:space="1" w:color="auto"/>
              </w:pBdr>
              <w:spacing w:line="216" w:lineRule="auto"/>
              <w:rPr>
                <w:rtl/>
              </w:rPr>
            </w:pPr>
            <w:r w:rsidRPr="00206490">
              <w:rPr>
                <w:rFonts w:hint="cs"/>
                <w:rtl/>
              </w:rPr>
              <w:t xml:space="preserve"> 0</w:t>
            </w:r>
          </w:p>
        </w:tc>
      </w:tr>
      <w:tr w:rsidR="007F35C0" w:rsidRPr="00DA42F2" w14:paraId="632F565F" w14:textId="77777777" w:rsidTr="00EC46DF">
        <w:trPr>
          <w:trHeight w:hRule="exact" w:val="148"/>
        </w:trPr>
        <w:tc>
          <w:tcPr>
            <w:tcW w:w="1304" w:type="dxa"/>
          </w:tcPr>
          <w:p w14:paraId="33FECC4C" w14:textId="77777777" w:rsidR="007F35C0" w:rsidRPr="00DA42F2" w:rsidRDefault="007F35C0" w:rsidP="00400DD1">
            <w:pPr>
              <w:spacing w:line="216" w:lineRule="auto"/>
              <w:ind w:left="144" w:hanging="144"/>
              <w:jc w:val="left"/>
              <w:rPr>
                <w:color w:val="000000"/>
                <w:rtl/>
                <w:lang w:eastAsia="he-IL"/>
              </w:rPr>
            </w:pPr>
          </w:p>
          <w:p w14:paraId="50F04B49" w14:textId="77777777" w:rsidR="007F35C0" w:rsidRPr="00DA42F2" w:rsidRDefault="007F35C0" w:rsidP="00400DD1">
            <w:pPr>
              <w:spacing w:line="216" w:lineRule="auto"/>
              <w:ind w:left="144" w:hanging="144"/>
              <w:jc w:val="left"/>
              <w:rPr>
                <w:color w:val="000000"/>
                <w:rtl/>
                <w:lang w:eastAsia="he-IL"/>
              </w:rPr>
            </w:pPr>
          </w:p>
          <w:p w14:paraId="2D851AE5" w14:textId="77777777" w:rsidR="007F35C0" w:rsidRPr="00DA42F2" w:rsidRDefault="007F35C0" w:rsidP="00400DD1">
            <w:pPr>
              <w:spacing w:line="216" w:lineRule="auto"/>
              <w:ind w:left="144" w:hanging="144"/>
              <w:jc w:val="left"/>
              <w:rPr>
                <w:color w:val="000000"/>
                <w:rtl/>
                <w:lang w:eastAsia="he-IL"/>
              </w:rPr>
            </w:pPr>
          </w:p>
        </w:tc>
        <w:tc>
          <w:tcPr>
            <w:tcW w:w="4533" w:type="dxa"/>
            <w:vAlign w:val="bottom"/>
          </w:tcPr>
          <w:p w14:paraId="666581D4" w14:textId="77777777" w:rsidR="007F35C0" w:rsidRPr="00DA42F2" w:rsidRDefault="007F35C0" w:rsidP="00400DD1">
            <w:pPr>
              <w:spacing w:line="216" w:lineRule="auto"/>
              <w:ind w:left="590" w:hanging="144"/>
              <w:jc w:val="left"/>
              <w:rPr>
                <w:color w:val="000000"/>
                <w:rtl/>
                <w:lang w:eastAsia="he-IL"/>
              </w:rPr>
            </w:pPr>
          </w:p>
        </w:tc>
        <w:tc>
          <w:tcPr>
            <w:tcW w:w="888" w:type="dxa"/>
            <w:vAlign w:val="bottom"/>
          </w:tcPr>
          <w:p w14:paraId="5F329C86" w14:textId="77777777" w:rsidR="007F35C0" w:rsidRPr="00DA42F2" w:rsidRDefault="007F35C0" w:rsidP="00400DD1">
            <w:pPr>
              <w:spacing w:line="216" w:lineRule="auto"/>
              <w:rPr>
                <w:rtl/>
              </w:rPr>
            </w:pPr>
          </w:p>
        </w:tc>
        <w:tc>
          <w:tcPr>
            <w:tcW w:w="1276" w:type="dxa"/>
            <w:vAlign w:val="bottom"/>
          </w:tcPr>
          <w:p w14:paraId="33AB99D8" w14:textId="77777777" w:rsidR="007F35C0" w:rsidRPr="00DA42F2" w:rsidRDefault="007F35C0" w:rsidP="00400DD1">
            <w:pPr>
              <w:spacing w:line="216" w:lineRule="auto"/>
              <w:rPr>
                <w:rtl/>
              </w:rPr>
            </w:pPr>
          </w:p>
        </w:tc>
        <w:tc>
          <w:tcPr>
            <w:tcW w:w="1134" w:type="dxa"/>
            <w:vAlign w:val="bottom"/>
          </w:tcPr>
          <w:p w14:paraId="5939D327" w14:textId="77777777" w:rsidR="007F35C0" w:rsidRPr="00DA42F2" w:rsidRDefault="007F35C0" w:rsidP="00400DD1">
            <w:pPr>
              <w:spacing w:line="216" w:lineRule="auto"/>
              <w:rPr>
                <w:rtl/>
              </w:rPr>
            </w:pPr>
          </w:p>
        </w:tc>
        <w:tc>
          <w:tcPr>
            <w:tcW w:w="849" w:type="dxa"/>
            <w:vAlign w:val="bottom"/>
          </w:tcPr>
          <w:p w14:paraId="1A665749" w14:textId="77777777" w:rsidR="007F35C0" w:rsidRPr="00DA42F2" w:rsidRDefault="007F35C0" w:rsidP="00400DD1">
            <w:pPr>
              <w:spacing w:line="216" w:lineRule="auto"/>
              <w:rPr>
                <w:rtl/>
              </w:rPr>
            </w:pPr>
          </w:p>
        </w:tc>
      </w:tr>
      <w:tr w:rsidR="007F35C0" w:rsidRPr="00DA42F2" w14:paraId="62E18912" w14:textId="77777777" w:rsidTr="00EC46DF">
        <w:trPr>
          <w:trHeight w:val="245"/>
        </w:trPr>
        <w:tc>
          <w:tcPr>
            <w:tcW w:w="1304" w:type="dxa"/>
          </w:tcPr>
          <w:p w14:paraId="2A1165F6" w14:textId="77777777" w:rsidR="007F35C0" w:rsidRPr="00DA42F2" w:rsidRDefault="007F35C0" w:rsidP="00400DD1">
            <w:pPr>
              <w:spacing w:line="216" w:lineRule="auto"/>
              <w:ind w:left="144" w:hanging="144"/>
              <w:jc w:val="left"/>
              <w:rPr>
                <w:color w:val="000000"/>
                <w:rtl/>
                <w:lang w:eastAsia="he-IL"/>
              </w:rPr>
            </w:pPr>
          </w:p>
        </w:tc>
        <w:tc>
          <w:tcPr>
            <w:tcW w:w="4533" w:type="dxa"/>
            <w:vAlign w:val="bottom"/>
          </w:tcPr>
          <w:p w14:paraId="788153F9" w14:textId="77777777" w:rsidR="007F35C0" w:rsidRPr="00DA42F2" w:rsidRDefault="007F35C0" w:rsidP="00400DD1">
            <w:pPr>
              <w:spacing w:line="216" w:lineRule="auto"/>
              <w:ind w:left="590" w:hanging="323"/>
              <w:jc w:val="left"/>
              <w:rPr>
                <w:color w:val="000000"/>
                <w:sz w:val="18"/>
                <w:szCs w:val="18"/>
                <w:rtl/>
                <w:lang w:eastAsia="he-IL"/>
              </w:rPr>
            </w:pPr>
            <w:r w:rsidRPr="00DA42F2">
              <w:rPr>
                <w:rFonts w:hint="cs"/>
                <w:b/>
                <w:bCs/>
                <w:color w:val="000000"/>
                <w:rtl/>
                <w:lang w:eastAsia="he-IL"/>
              </w:rPr>
              <w:t xml:space="preserve">סך הכל </w:t>
            </w:r>
            <w:r w:rsidRPr="00DA42F2">
              <w:rPr>
                <w:rFonts w:hint="cs"/>
                <w:b/>
                <w:bCs/>
                <w:rtl/>
                <w:lang w:eastAsia="he-IL"/>
              </w:rPr>
              <w:t xml:space="preserve">אגרות חוב </w:t>
            </w:r>
            <w:r w:rsidRPr="00DA42F2">
              <w:rPr>
                <w:rFonts w:hint="cs"/>
                <w:b/>
                <w:bCs/>
                <w:color w:val="000000"/>
                <w:rtl/>
                <w:lang w:eastAsia="he-IL"/>
              </w:rPr>
              <w:t>מגובות משכנתא</w:t>
            </w:r>
            <w:r w:rsidRPr="00DA42F2">
              <w:rPr>
                <w:rFonts w:hint="eastAsia"/>
                <w:b/>
                <w:bCs/>
                <w:color w:val="000000"/>
                <w:rtl/>
                <w:lang w:eastAsia="he-IL"/>
              </w:rPr>
              <w:t>ות</w:t>
            </w:r>
            <w:r w:rsidRPr="00DA42F2">
              <w:rPr>
                <w:b/>
                <w:bCs/>
                <w:color w:val="000000"/>
                <w:sz w:val="18"/>
                <w:szCs w:val="18"/>
                <w:rtl/>
                <w:lang w:eastAsia="he-IL"/>
              </w:rPr>
              <w:t xml:space="preserve"> (</w:t>
            </w:r>
            <w:r w:rsidRPr="00DA42F2">
              <w:rPr>
                <w:b/>
                <w:bCs/>
                <w:color w:val="000000"/>
                <w:sz w:val="18"/>
                <w:szCs w:val="18"/>
                <w:lang w:eastAsia="he-IL"/>
              </w:rPr>
              <w:t>MBS</w:t>
            </w:r>
            <w:r w:rsidRPr="00DA42F2">
              <w:rPr>
                <w:b/>
                <w:bCs/>
                <w:color w:val="000000"/>
                <w:sz w:val="18"/>
                <w:szCs w:val="18"/>
                <w:rtl/>
                <w:lang w:eastAsia="he-IL"/>
              </w:rPr>
              <w:t>)</w:t>
            </w:r>
          </w:p>
        </w:tc>
        <w:tc>
          <w:tcPr>
            <w:tcW w:w="888" w:type="dxa"/>
            <w:vAlign w:val="bottom"/>
          </w:tcPr>
          <w:p w14:paraId="147F6DD9" w14:textId="77777777" w:rsidR="007F35C0" w:rsidRPr="00DA42F2" w:rsidRDefault="007F35C0" w:rsidP="00400DD1">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276" w:type="dxa"/>
            <w:vAlign w:val="bottom"/>
          </w:tcPr>
          <w:p w14:paraId="77A5D101" w14:textId="77777777" w:rsidR="007F35C0" w:rsidRPr="00DA42F2" w:rsidRDefault="007F35C0" w:rsidP="00400DD1">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134" w:type="dxa"/>
            <w:vAlign w:val="bottom"/>
          </w:tcPr>
          <w:p w14:paraId="2F5015E4" w14:textId="77777777" w:rsidR="007F35C0" w:rsidRPr="00DA42F2" w:rsidRDefault="007F35C0" w:rsidP="00400DD1">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849" w:type="dxa"/>
            <w:vAlign w:val="bottom"/>
          </w:tcPr>
          <w:p w14:paraId="2E648F7D" w14:textId="77777777" w:rsidR="007F35C0" w:rsidRPr="00DA42F2" w:rsidRDefault="007F35C0" w:rsidP="00400DD1">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r>
      <w:tr w:rsidR="007F35C0" w:rsidRPr="00DA42F2" w14:paraId="4AE0667E" w14:textId="77777777" w:rsidTr="00EC46DF">
        <w:trPr>
          <w:trHeight w:hRule="exact" w:val="227"/>
        </w:trPr>
        <w:tc>
          <w:tcPr>
            <w:tcW w:w="1304" w:type="dxa"/>
          </w:tcPr>
          <w:p w14:paraId="01546F81" w14:textId="77777777" w:rsidR="007F35C0" w:rsidRPr="00DA42F2" w:rsidRDefault="007F35C0" w:rsidP="00400DD1">
            <w:pPr>
              <w:spacing w:line="216" w:lineRule="auto"/>
              <w:ind w:left="144" w:hanging="144"/>
              <w:jc w:val="left"/>
              <w:rPr>
                <w:color w:val="000000"/>
                <w:rtl/>
                <w:lang w:eastAsia="he-IL"/>
              </w:rPr>
            </w:pPr>
          </w:p>
          <w:p w14:paraId="1F4653EC" w14:textId="77777777" w:rsidR="007F35C0" w:rsidRPr="00DA42F2" w:rsidRDefault="007F35C0" w:rsidP="00400DD1">
            <w:pPr>
              <w:spacing w:line="216" w:lineRule="auto"/>
              <w:ind w:left="144" w:hanging="144"/>
              <w:jc w:val="left"/>
              <w:rPr>
                <w:color w:val="000000"/>
                <w:rtl/>
                <w:lang w:eastAsia="he-IL"/>
              </w:rPr>
            </w:pPr>
          </w:p>
        </w:tc>
        <w:tc>
          <w:tcPr>
            <w:tcW w:w="4533" w:type="dxa"/>
            <w:vAlign w:val="bottom"/>
          </w:tcPr>
          <w:p w14:paraId="680E5714" w14:textId="77777777" w:rsidR="007F35C0" w:rsidRPr="00DA42F2" w:rsidRDefault="007F35C0" w:rsidP="00400DD1">
            <w:pPr>
              <w:spacing w:line="216" w:lineRule="auto"/>
              <w:ind w:left="1037" w:hanging="144"/>
              <w:jc w:val="left"/>
              <w:rPr>
                <w:color w:val="000000"/>
                <w:sz w:val="18"/>
                <w:szCs w:val="18"/>
                <w:rtl/>
                <w:lang w:eastAsia="he-IL"/>
              </w:rPr>
            </w:pPr>
          </w:p>
        </w:tc>
        <w:tc>
          <w:tcPr>
            <w:tcW w:w="888" w:type="dxa"/>
            <w:vAlign w:val="bottom"/>
          </w:tcPr>
          <w:p w14:paraId="092F9783" w14:textId="77777777" w:rsidR="007F35C0" w:rsidRPr="00DA42F2" w:rsidRDefault="007F35C0" w:rsidP="00400DD1">
            <w:pPr>
              <w:spacing w:line="216" w:lineRule="auto"/>
              <w:rPr>
                <w:rtl/>
              </w:rPr>
            </w:pPr>
          </w:p>
        </w:tc>
        <w:tc>
          <w:tcPr>
            <w:tcW w:w="1276" w:type="dxa"/>
            <w:vAlign w:val="bottom"/>
          </w:tcPr>
          <w:p w14:paraId="01D43457" w14:textId="77777777" w:rsidR="007F35C0" w:rsidRPr="00DA42F2" w:rsidRDefault="007F35C0" w:rsidP="00400DD1">
            <w:pPr>
              <w:spacing w:line="216" w:lineRule="auto"/>
              <w:rPr>
                <w:rtl/>
              </w:rPr>
            </w:pPr>
          </w:p>
        </w:tc>
        <w:tc>
          <w:tcPr>
            <w:tcW w:w="1134" w:type="dxa"/>
            <w:vAlign w:val="bottom"/>
          </w:tcPr>
          <w:p w14:paraId="44E8A67A" w14:textId="77777777" w:rsidR="007F35C0" w:rsidRPr="00DA42F2" w:rsidRDefault="007F35C0" w:rsidP="00400DD1">
            <w:pPr>
              <w:spacing w:line="216" w:lineRule="auto"/>
              <w:rPr>
                <w:rtl/>
              </w:rPr>
            </w:pPr>
          </w:p>
        </w:tc>
        <w:tc>
          <w:tcPr>
            <w:tcW w:w="849" w:type="dxa"/>
            <w:vAlign w:val="bottom"/>
          </w:tcPr>
          <w:p w14:paraId="2C476AFE" w14:textId="77777777" w:rsidR="007F35C0" w:rsidRPr="00DA42F2" w:rsidRDefault="007F35C0" w:rsidP="00400DD1">
            <w:pPr>
              <w:spacing w:line="216" w:lineRule="auto"/>
              <w:rPr>
                <w:rtl/>
              </w:rPr>
            </w:pPr>
          </w:p>
        </w:tc>
      </w:tr>
      <w:tr w:rsidR="007F35C0" w:rsidRPr="00DA42F2" w14:paraId="5644E7D3" w14:textId="77777777" w:rsidTr="00EC46DF">
        <w:trPr>
          <w:trHeight w:val="245"/>
        </w:trPr>
        <w:tc>
          <w:tcPr>
            <w:tcW w:w="1304" w:type="dxa"/>
          </w:tcPr>
          <w:p w14:paraId="1DC8CFE9" w14:textId="77777777" w:rsidR="007F35C0" w:rsidRPr="00DA42F2" w:rsidRDefault="007F35C0" w:rsidP="00400DD1">
            <w:pPr>
              <w:spacing w:line="216" w:lineRule="auto"/>
              <w:ind w:left="144" w:hanging="144"/>
              <w:jc w:val="left"/>
              <w:rPr>
                <w:color w:val="000000"/>
                <w:rtl/>
                <w:lang w:eastAsia="he-IL"/>
              </w:rPr>
            </w:pPr>
          </w:p>
        </w:tc>
        <w:tc>
          <w:tcPr>
            <w:tcW w:w="4533" w:type="dxa"/>
            <w:vAlign w:val="bottom"/>
          </w:tcPr>
          <w:p w14:paraId="3BDCD2D8" w14:textId="77777777" w:rsidR="007F35C0" w:rsidRPr="00DA42F2" w:rsidRDefault="007F35C0" w:rsidP="00D6057D">
            <w:pPr>
              <w:numPr>
                <w:ilvl w:val="0"/>
                <w:numId w:val="28"/>
              </w:numPr>
              <w:spacing w:line="216" w:lineRule="auto"/>
              <w:ind w:left="267" w:hanging="267"/>
              <w:jc w:val="left"/>
              <w:rPr>
                <w:b/>
                <w:bCs/>
                <w:color w:val="000000"/>
                <w:rtl/>
                <w:lang w:eastAsia="he-IL"/>
              </w:rPr>
            </w:pPr>
            <w:r w:rsidRPr="00DA42F2">
              <w:rPr>
                <w:rFonts w:hint="cs"/>
                <w:b/>
                <w:bCs/>
                <w:rtl/>
                <w:lang w:eastAsia="he-IL"/>
              </w:rPr>
              <w:t>סך</w:t>
            </w:r>
            <w:r w:rsidRPr="00DA42F2">
              <w:rPr>
                <w:rFonts w:hint="cs"/>
                <w:b/>
                <w:bCs/>
                <w:color w:val="000000"/>
                <w:rtl/>
                <w:lang w:eastAsia="he-IL"/>
              </w:rPr>
              <w:t xml:space="preserve"> הכל </w:t>
            </w:r>
            <w:r w:rsidRPr="00DA42F2">
              <w:rPr>
                <w:rFonts w:hint="cs"/>
                <w:b/>
                <w:bCs/>
                <w:rtl/>
                <w:lang w:eastAsia="he-IL"/>
              </w:rPr>
              <w:t xml:space="preserve">אגרות חוב </w:t>
            </w:r>
            <w:r w:rsidRPr="00DA42F2">
              <w:rPr>
                <w:rFonts w:hint="cs"/>
                <w:b/>
                <w:bCs/>
                <w:color w:val="000000"/>
                <w:rtl/>
                <w:lang w:eastAsia="he-IL"/>
              </w:rPr>
              <w:t xml:space="preserve">מגובות נכסים </w:t>
            </w:r>
            <w:r w:rsidRPr="007F5094">
              <w:rPr>
                <w:rFonts w:hint="cs"/>
                <w:b/>
                <w:bCs/>
                <w:color w:val="000000"/>
                <w:sz w:val="18"/>
                <w:szCs w:val="18"/>
                <w:rtl/>
                <w:lang w:eastAsia="he-IL"/>
              </w:rPr>
              <w:t>(</w:t>
            </w:r>
            <w:r w:rsidRPr="007F5094">
              <w:rPr>
                <w:b/>
                <w:bCs/>
                <w:color w:val="000000"/>
                <w:sz w:val="18"/>
                <w:szCs w:val="18"/>
                <w:lang w:eastAsia="he-IL"/>
              </w:rPr>
              <w:t>ABS</w:t>
            </w:r>
            <w:r w:rsidRPr="007F5094">
              <w:rPr>
                <w:rFonts w:hint="cs"/>
                <w:b/>
                <w:bCs/>
                <w:color w:val="000000"/>
                <w:sz w:val="18"/>
                <w:szCs w:val="18"/>
                <w:rtl/>
                <w:lang w:eastAsia="he-IL"/>
              </w:rPr>
              <w:t>)</w:t>
            </w:r>
          </w:p>
          <w:p w14:paraId="219180F6" w14:textId="33F030C1" w:rsidR="007F35C0" w:rsidRPr="00AF6EE7" w:rsidRDefault="007F5094" w:rsidP="00400DD1">
            <w:pPr>
              <w:spacing w:line="216" w:lineRule="auto"/>
              <w:ind w:left="908" w:hanging="694"/>
              <w:jc w:val="left"/>
              <w:rPr>
                <w:color w:val="000000"/>
                <w:sz w:val="16"/>
                <w:szCs w:val="16"/>
                <w:rtl/>
                <w:lang w:eastAsia="he-IL"/>
              </w:rPr>
            </w:pPr>
            <w:r w:rsidRPr="00AF6EE7">
              <w:rPr>
                <w:rFonts w:hint="cs"/>
                <w:color w:val="000000"/>
                <w:sz w:val="16"/>
                <w:szCs w:val="16"/>
                <w:rtl/>
                <w:lang w:eastAsia="he-IL"/>
              </w:rPr>
              <w:t xml:space="preserve"> </w:t>
            </w:r>
            <w:r w:rsidR="007F35C0" w:rsidRPr="00AF6EE7">
              <w:rPr>
                <w:rFonts w:hint="cs"/>
                <w:color w:val="000000"/>
                <w:sz w:val="16"/>
                <w:szCs w:val="16"/>
                <w:rtl/>
                <w:lang w:eastAsia="he-IL"/>
              </w:rPr>
              <w:t>[פרט אם מהותי]</w:t>
            </w:r>
          </w:p>
        </w:tc>
        <w:tc>
          <w:tcPr>
            <w:tcW w:w="888" w:type="dxa"/>
            <w:vAlign w:val="bottom"/>
          </w:tcPr>
          <w:p w14:paraId="660D24B2" w14:textId="77777777" w:rsidR="007F35C0" w:rsidRPr="00DA42F2" w:rsidRDefault="007F35C0" w:rsidP="00400DD1">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276" w:type="dxa"/>
            <w:vAlign w:val="bottom"/>
          </w:tcPr>
          <w:p w14:paraId="2145BDDF" w14:textId="77777777" w:rsidR="007F35C0" w:rsidRPr="00DA42F2" w:rsidRDefault="007F35C0" w:rsidP="00400DD1">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134" w:type="dxa"/>
            <w:vAlign w:val="bottom"/>
          </w:tcPr>
          <w:p w14:paraId="0B91DB7F" w14:textId="77777777" w:rsidR="007F35C0" w:rsidRPr="00DA42F2" w:rsidRDefault="007F35C0" w:rsidP="00400DD1">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849" w:type="dxa"/>
            <w:vAlign w:val="bottom"/>
          </w:tcPr>
          <w:p w14:paraId="759E558D" w14:textId="77777777" w:rsidR="007F35C0" w:rsidRPr="00DA42F2" w:rsidRDefault="007F35C0" w:rsidP="00400DD1">
            <w:pPr>
              <w:pBdr>
                <w:bottom w:val="sing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r>
      <w:tr w:rsidR="007F35C0" w:rsidRPr="00DA42F2" w14:paraId="4E1C37A5" w14:textId="77777777" w:rsidTr="00EC46DF">
        <w:trPr>
          <w:trHeight w:hRule="exact" w:val="144"/>
        </w:trPr>
        <w:tc>
          <w:tcPr>
            <w:tcW w:w="1304" w:type="dxa"/>
          </w:tcPr>
          <w:p w14:paraId="2C7E6F2F" w14:textId="77777777" w:rsidR="007F35C0" w:rsidRPr="00DA42F2" w:rsidRDefault="007F35C0" w:rsidP="00400DD1">
            <w:pPr>
              <w:spacing w:line="216" w:lineRule="auto"/>
              <w:ind w:left="144" w:hanging="144"/>
              <w:jc w:val="left"/>
              <w:rPr>
                <w:color w:val="000000"/>
                <w:rtl/>
                <w:lang w:eastAsia="he-IL"/>
              </w:rPr>
            </w:pPr>
          </w:p>
        </w:tc>
        <w:tc>
          <w:tcPr>
            <w:tcW w:w="4533" w:type="dxa"/>
            <w:vAlign w:val="bottom"/>
          </w:tcPr>
          <w:p w14:paraId="097C1646" w14:textId="77777777" w:rsidR="007F35C0" w:rsidRPr="00DA42F2" w:rsidRDefault="007F35C0" w:rsidP="00400DD1">
            <w:pPr>
              <w:spacing w:line="216" w:lineRule="auto"/>
              <w:ind w:left="1037" w:hanging="144"/>
              <w:jc w:val="left"/>
              <w:rPr>
                <w:color w:val="000000"/>
                <w:sz w:val="18"/>
                <w:szCs w:val="18"/>
                <w:rtl/>
                <w:lang w:eastAsia="he-IL"/>
              </w:rPr>
            </w:pPr>
          </w:p>
        </w:tc>
        <w:tc>
          <w:tcPr>
            <w:tcW w:w="888" w:type="dxa"/>
            <w:vAlign w:val="bottom"/>
          </w:tcPr>
          <w:p w14:paraId="786F37BE" w14:textId="77777777" w:rsidR="007F35C0" w:rsidRPr="00DA42F2" w:rsidRDefault="007F35C0" w:rsidP="00400DD1">
            <w:pPr>
              <w:spacing w:line="216" w:lineRule="auto"/>
              <w:rPr>
                <w:rtl/>
              </w:rPr>
            </w:pPr>
          </w:p>
        </w:tc>
        <w:tc>
          <w:tcPr>
            <w:tcW w:w="1276" w:type="dxa"/>
            <w:vAlign w:val="bottom"/>
          </w:tcPr>
          <w:p w14:paraId="5DBA7CB1" w14:textId="77777777" w:rsidR="007F35C0" w:rsidRPr="00DA42F2" w:rsidRDefault="007F35C0" w:rsidP="00400DD1">
            <w:pPr>
              <w:spacing w:line="216" w:lineRule="auto"/>
              <w:rPr>
                <w:rtl/>
              </w:rPr>
            </w:pPr>
          </w:p>
        </w:tc>
        <w:tc>
          <w:tcPr>
            <w:tcW w:w="1134" w:type="dxa"/>
            <w:vAlign w:val="bottom"/>
          </w:tcPr>
          <w:p w14:paraId="564E7821" w14:textId="77777777" w:rsidR="007F35C0" w:rsidRPr="00DA42F2" w:rsidRDefault="007F35C0" w:rsidP="00400DD1">
            <w:pPr>
              <w:spacing w:line="216" w:lineRule="auto"/>
              <w:rPr>
                <w:rtl/>
              </w:rPr>
            </w:pPr>
          </w:p>
        </w:tc>
        <w:tc>
          <w:tcPr>
            <w:tcW w:w="849" w:type="dxa"/>
            <w:vAlign w:val="bottom"/>
          </w:tcPr>
          <w:p w14:paraId="1B635E0F" w14:textId="77777777" w:rsidR="007F35C0" w:rsidRPr="00DA42F2" w:rsidRDefault="007F35C0" w:rsidP="00400DD1">
            <w:pPr>
              <w:spacing w:line="216" w:lineRule="auto"/>
              <w:rPr>
                <w:rtl/>
              </w:rPr>
            </w:pPr>
          </w:p>
        </w:tc>
      </w:tr>
      <w:tr w:rsidR="007F35C0" w:rsidRPr="00DA42F2" w14:paraId="108A4E53" w14:textId="77777777" w:rsidTr="00EC46DF">
        <w:trPr>
          <w:trHeight w:val="245"/>
        </w:trPr>
        <w:tc>
          <w:tcPr>
            <w:tcW w:w="1304" w:type="dxa"/>
          </w:tcPr>
          <w:p w14:paraId="2B8F98BF" w14:textId="77777777" w:rsidR="007F35C0" w:rsidRPr="00DA42F2" w:rsidRDefault="007F35C0" w:rsidP="00400DD1">
            <w:pPr>
              <w:spacing w:line="216" w:lineRule="auto"/>
              <w:ind w:left="144" w:hanging="144"/>
              <w:jc w:val="left"/>
              <w:rPr>
                <w:color w:val="000000"/>
                <w:rtl/>
                <w:lang w:eastAsia="he-IL"/>
              </w:rPr>
            </w:pPr>
          </w:p>
        </w:tc>
        <w:tc>
          <w:tcPr>
            <w:tcW w:w="4533" w:type="dxa"/>
            <w:vAlign w:val="bottom"/>
          </w:tcPr>
          <w:p w14:paraId="3EE3AF21" w14:textId="77777777" w:rsidR="007F35C0" w:rsidRPr="00DA42F2" w:rsidRDefault="007F35C0" w:rsidP="00400DD1">
            <w:pPr>
              <w:spacing w:before="40" w:line="216" w:lineRule="auto"/>
              <w:jc w:val="left"/>
              <w:rPr>
                <w:b/>
                <w:bCs/>
                <w:color w:val="000000"/>
                <w:sz w:val="18"/>
                <w:szCs w:val="18"/>
                <w:rtl/>
                <w:lang w:eastAsia="he-IL"/>
              </w:rPr>
            </w:pPr>
            <w:r w:rsidRPr="00DA42F2">
              <w:rPr>
                <w:rFonts w:hint="cs"/>
                <w:b/>
                <w:bCs/>
                <w:color w:val="000000"/>
                <w:rtl/>
                <w:lang w:eastAsia="he-IL"/>
              </w:rPr>
              <w:t xml:space="preserve">סך הכל </w:t>
            </w:r>
            <w:r w:rsidRPr="00DA42F2">
              <w:rPr>
                <w:rFonts w:hint="cs"/>
                <w:b/>
                <w:bCs/>
                <w:rtl/>
                <w:lang w:eastAsia="he-IL"/>
              </w:rPr>
              <w:t>אגרות חוב</w:t>
            </w:r>
            <w:r w:rsidRPr="00DA42F2">
              <w:rPr>
                <w:rFonts w:hint="cs"/>
                <w:rtl/>
                <w:lang w:eastAsia="he-IL"/>
              </w:rPr>
              <w:t xml:space="preserve"> </w:t>
            </w:r>
            <w:r w:rsidRPr="00DA42F2">
              <w:rPr>
                <w:rFonts w:hint="cs"/>
                <w:b/>
                <w:bCs/>
                <w:color w:val="000000"/>
                <w:rtl/>
                <w:lang w:eastAsia="he-IL"/>
              </w:rPr>
              <w:t>זמינות למכירה מגובות משכנתאות ומגובות נכסים</w:t>
            </w:r>
          </w:p>
        </w:tc>
        <w:tc>
          <w:tcPr>
            <w:tcW w:w="888" w:type="dxa"/>
            <w:vAlign w:val="bottom"/>
          </w:tcPr>
          <w:p w14:paraId="3FC2535D" w14:textId="77777777" w:rsidR="007F35C0" w:rsidRPr="00DA42F2" w:rsidRDefault="007F35C0" w:rsidP="00400DD1">
            <w:pPr>
              <w:pBdr>
                <w:bottom w:val="doub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276" w:type="dxa"/>
            <w:vAlign w:val="bottom"/>
          </w:tcPr>
          <w:p w14:paraId="1D04F07A" w14:textId="77777777" w:rsidR="007F35C0" w:rsidRPr="00DA42F2" w:rsidRDefault="007F35C0" w:rsidP="00400DD1">
            <w:pPr>
              <w:pBdr>
                <w:bottom w:val="doub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1134" w:type="dxa"/>
            <w:vAlign w:val="bottom"/>
          </w:tcPr>
          <w:p w14:paraId="618A3C0E" w14:textId="77777777" w:rsidR="007F35C0" w:rsidRPr="00DA42F2" w:rsidRDefault="007F35C0" w:rsidP="00400DD1">
            <w:pPr>
              <w:pBdr>
                <w:bottom w:val="doub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c>
          <w:tcPr>
            <w:tcW w:w="849" w:type="dxa"/>
            <w:vAlign w:val="bottom"/>
          </w:tcPr>
          <w:p w14:paraId="0F2EC6B9" w14:textId="77777777" w:rsidR="007F35C0" w:rsidRPr="00DA42F2" w:rsidRDefault="007F35C0" w:rsidP="00400DD1">
            <w:pPr>
              <w:pBdr>
                <w:bottom w:val="double" w:sz="4" w:space="1" w:color="auto"/>
              </w:pBdr>
              <w:spacing w:line="216" w:lineRule="auto"/>
              <w:ind w:left="144" w:hanging="144"/>
              <w:jc w:val="left"/>
              <w:rPr>
                <w:color w:val="000000"/>
                <w:rtl/>
                <w:lang w:eastAsia="he-IL"/>
              </w:rPr>
            </w:pPr>
            <w:r w:rsidRPr="00DA42F2">
              <w:rPr>
                <w:rFonts w:hint="cs"/>
                <w:b/>
                <w:bCs/>
                <w:color w:val="000000"/>
                <w:rtl/>
                <w:lang w:eastAsia="he-IL"/>
              </w:rPr>
              <w:t xml:space="preserve"> 0</w:t>
            </w:r>
          </w:p>
        </w:tc>
      </w:tr>
    </w:tbl>
    <w:p w14:paraId="44902EAB" w14:textId="4F7B04A2" w:rsidR="00E62957" w:rsidRDefault="00E62957" w:rsidP="00E62957">
      <w:pPr>
        <w:pStyle w:val="-2"/>
        <w:ind w:left="1584"/>
      </w:pPr>
    </w:p>
    <w:p w14:paraId="3D6DA507" w14:textId="689A29E8" w:rsidR="004C499F" w:rsidRDefault="004C499F" w:rsidP="00E62957">
      <w:pPr>
        <w:pStyle w:val="-2"/>
        <w:ind w:left="1584"/>
      </w:pPr>
    </w:p>
    <w:p w14:paraId="7D468B82" w14:textId="1AB2E4A2" w:rsidR="004C499F" w:rsidRDefault="004C499F" w:rsidP="00E62957">
      <w:pPr>
        <w:pStyle w:val="-2"/>
        <w:ind w:left="1584"/>
      </w:pPr>
    </w:p>
    <w:p w14:paraId="5BF9C8B5" w14:textId="77777777" w:rsidR="004C499F" w:rsidRPr="00522CAE" w:rsidRDefault="004C499F" w:rsidP="00E62957">
      <w:pPr>
        <w:pStyle w:val="-2"/>
        <w:ind w:left="1584"/>
        <w:rPr>
          <w:rtl/>
        </w:rPr>
      </w:pPr>
    </w:p>
    <w:tbl>
      <w:tblPr>
        <w:bidiVisual/>
        <w:tblW w:w="4815" w:type="pct"/>
        <w:tblInd w:w="-71" w:type="dxa"/>
        <w:tblLook w:val="04A0" w:firstRow="1" w:lastRow="0" w:firstColumn="1" w:lastColumn="0" w:noHBand="0" w:noVBand="1"/>
      </w:tblPr>
      <w:tblGrid>
        <w:gridCol w:w="1417"/>
        <w:gridCol w:w="8412"/>
      </w:tblGrid>
      <w:tr w:rsidR="004C499F" w:rsidRPr="00522CAE" w14:paraId="29C4FB89" w14:textId="77777777" w:rsidTr="00EC46DF">
        <w:trPr>
          <w:trHeight w:val="245"/>
        </w:trPr>
        <w:tc>
          <w:tcPr>
            <w:tcW w:w="1417" w:type="dxa"/>
          </w:tcPr>
          <w:p w14:paraId="00FCCFF4" w14:textId="77777777" w:rsidR="004C499F" w:rsidRPr="00522CAE" w:rsidRDefault="004C499F" w:rsidP="00400DD1">
            <w:pPr>
              <w:pStyle w:val="-0"/>
              <w:rPr>
                <w:color w:val="auto"/>
                <w:rtl/>
              </w:rPr>
            </w:pPr>
          </w:p>
        </w:tc>
        <w:tc>
          <w:tcPr>
            <w:tcW w:w="8413" w:type="dxa"/>
            <w:vAlign w:val="bottom"/>
          </w:tcPr>
          <w:p w14:paraId="7DC28067" w14:textId="77777777" w:rsidR="004C499F" w:rsidRPr="007F5094" w:rsidRDefault="004C499F" w:rsidP="00400DD1">
            <w:pPr>
              <w:pStyle w:val="-2"/>
              <w:spacing w:line="288" w:lineRule="auto"/>
              <w:rPr>
                <w:b w:val="0"/>
                <w:bCs w:val="0"/>
                <w:rtl/>
              </w:rPr>
            </w:pPr>
            <w:r w:rsidRPr="007F5094">
              <w:rPr>
                <w:rFonts w:hint="cs"/>
                <w:b w:val="0"/>
                <w:bCs w:val="0"/>
                <w:sz w:val="18"/>
                <w:szCs w:val="18"/>
                <w:u w:val="single"/>
                <w:rtl/>
              </w:rPr>
              <w:t>הערה</w:t>
            </w:r>
            <w:r w:rsidRPr="007F5094">
              <w:rPr>
                <w:rFonts w:hint="cs"/>
                <w:b w:val="0"/>
                <w:bCs w:val="0"/>
                <w:sz w:val="18"/>
                <w:szCs w:val="18"/>
                <w:rtl/>
              </w:rPr>
              <w:t>:</w:t>
            </w:r>
            <w:r w:rsidRPr="007F5094">
              <w:rPr>
                <w:rFonts w:hint="cs"/>
                <w:b w:val="0"/>
                <w:bCs w:val="0"/>
                <w:rtl/>
              </w:rPr>
              <w:t xml:space="preserve"> </w:t>
            </w:r>
            <w:r w:rsidRPr="007F5094">
              <w:rPr>
                <w:b w:val="0"/>
                <w:bCs w:val="0"/>
                <w:sz w:val="18"/>
                <w:szCs w:val="18"/>
                <w:rtl/>
                <w:lang w:eastAsia="he-IL"/>
              </w:rPr>
              <w:t xml:space="preserve">אם יש לתאגיד הבנקאי ניירות ערך למסחר או ניירות ערך המוחזקים לפדיון מהסוגים המפורטים בסעיפים </w:t>
            </w:r>
            <w:r w:rsidRPr="007F5094">
              <w:rPr>
                <w:rFonts w:hint="cs"/>
                <w:b w:val="0"/>
                <w:bCs w:val="0"/>
                <w:sz w:val="18"/>
                <w:szCs w:val="18"/>
                <w:rtl/>
                <w:lang w:eastAsia="he-IL"/>
              </w:rPr>
              <w:t>ג</w:t>
            </w:r>
            <w:r w:rsidRPr="007F5094">
              <w:rPr>
                <w:b w:val="0"/>
                <w:bCs w:val="0"/>
                <w:sz w:val="18"/>
                <w:szCs w:val="18"/>
                <w:rtl/>
                <w:lang w:eastAsia="he-IL"/>
              </w:rPr>
              <w:t xml:space="preserve">.1 או </w:t>
            </w:r>
            <w:r w:rsidRPr="007F5094">
              <w:rPr>
                <w:rFonts w:hint="cs"/>
                <w:b w:val="0"/>
                <w:bCs w:val="0"/>
                <w:sz w:val="18"/>
                <w:szCs w:val="18"/>
                <w:rtl/>
                <w:lang w:eastAsia="he-IL"/>
              </w:rPr>
              <w:t>ג</w:t>
            </w:r>
            <w:r w:rsidRPr="007F5094">
              <w:rPr>
                <w:b w:val="0"/>
                <w:bCs w:val="0"/>
                <w:sz w:val="18"/>
                <w:szCs w:val="18"/>
                <w:rtl/>
                <w:lang w:eastAsia="he-IL"/>
              </w:rPr>
              <w:t xml:space="preserve">.2 לעיל, יש לתת לגביהם גילוי במתכונת דומה </w:t>
            </w:r>
            <w:r w:rsidRPr="007F5094">
              <w:rPr>
                <w:rFonts w:hint="cs"/>
                <w:b w:val="0"/>
                <w:bCs w:val="0"/>
                <w:sz w:val="18"/>
                <w:szCs w:val="18"/>
                <w:rtl/>
                <w:lang w:eastAsia="he-IL"/>
              </w:rPr>
              <w:t>(</w:t>
            </w:r>
            <w:r w:rsidRPr="007F5094">
              <w:rPr>
                <w:b w:val="0"/>
                <w:bCs w:val="0"/>
                <w:sz w:val="18"/>
                <w:szCs w:val="18"/>
                <w:rtl/>
                <w:lang w:eastAsia="he-IL"/>
              </w:rPr>
              <w:t>בשינויים המתחייבים</w:t>
            </w:r>
            <w:r w:rsidRPr="007F5094">
              <w:rPr>
                <w:rFonts w:hint="cs"/>
                <w:b w:val="0"/>
                <w:bCs w:val="0"/>
                <w:sz w:val="18"/>
                <w:szCs w:val="18"/>
                <w:rtl/>
                <w:lang w:eastAsia="he-IL"/>
              </w:rPr>
              <w:t>)</w:t>
            </w:r>
            <w:r w:rsidRPr="007F5094">
              <w:rPr>
                <w:b w:val="0"/>
                <w:bCs w:val="0"/>
                <w:sz w:val="18"/>
                <w:szCs w:val="18"/>
                <w:rtl/>
                <w:lang w:eastAsia="he-IL"/>
              </w:rPr>
              <w:t xml:space="preserve"> לגילוי על </w:t>
            </w:r>
            <w:r w:rsidRPr="007F5094">
              <w:rPr>
                <w:rFonts w:hint="cs"/>
                <w:b w:val="0"/>
                <w:bCs w:val="0"/>
                <w:sz w:val="18"/>
                <w:szCs w:val="18"/>
                <w:rtl/>
                <w:lang w:eastAsia="he-IL"/>
              </w:rPr>
              <w:t>אגרות חוב</w:t>
            </w:r>
            <w:r w:rsidRPr="007F5094">
              <w:rPr>
                <w:b w:val="0"/>
                <w:bCs w:val="0"/>
                <w:sz w:val="18"/>
                <w:szCs w:val="18"/>
                <w:rtl/>
                <w:lang w:eastAsia="he-IL"/>
              </w:rPr>
              <w:t xml:space="preserve"> </w:t>
            </w:r>
            <w:r w:rsidRPr="007F5094">
              <w:rPr>
                <w:rFonts w:hint="cs"/>
                <w:b w:val="0"/>
                <w:bCs w:val="0"/>
                <w:sz w:val="18"/>
                <w:szCs w:val="18"/>
                <w:rtl/>
                <w:lang w:eastAsia="he-IL"/>
              </w:rPr>
              <w:t>זמינות</w:t>
            </w:r>
            <w:r w:rsidRPr="007F5094">
              <w:rPr>
                <w:b w:val="0"/>
                <w:bCs w:val="0"/>
                <w:sz w:val="18"/>
                <w:szCs w:val="18"/>
                <w:rtl/>
                <w:lang w:eastAsia="he-IL"/>
              </w:rPr>
              <w:t xml:space="preserve"> למכירה.</w:t>
            </w:r>
          </w:p>
        </w:tc>
      </w:tr>
    </w:tbl>
    <w:p w14:paraId="3AAF86F5" w14:textId="77777777" w:rsidR="004C499F" w:rsidRDefault="004C499F" w:rsidP="004C499F">
      <w:pPr>
        <w:bidi w:val="0"/>
        <w:jc w:val="left"/>
        <w:rPr>
          <w:color w:val="FF0000"/>
        </w:rPr>
      </w:pPr>
    </w:p>
    <w:p w14:paraId="6A5B3354" w14:textId="56C76661" w:rsidR="004C499F" w:rsidRPr="00E62957" w:rsidRDefault="004C499F" w:rsidP="004C499F">
      <w:pPr>
        <w:bidi w:val="0"/>
        <w:jc w:val="left"/>
        <w:rPr>
          <w:color w:val="FF0000"/>
          <w:rtl/>
        </w:rPr>
        <w:sectPr w:rsidR="004C499F" w:rsidRPr="00E62957" w:rsidSect="00587121">
          <w:headerReference w:type="even" r:id="rId48"/>
          <w:footnotePr>
            <w:numRestart w:val="eachPage"/>
          </w:footnotePr>
          <w:pgSz w:w="11909" w:h="16834" w:code="9"/>
          <w:pgMar w:top="851" w:right="851" w:bottom="851" w:left="851" w:header="720" w:footer="720" w:gutter="0"/>
          <w:cols w:space="720"/>
          <w:bidi/>
          <w:rtlGutter/>
          <w:docGrid w:linePitch="360"/>
        </w:sectPr>
      </w:pPr>
    </w:p>
    <w:tbl>
      <w:tblPr>
        <w:bidiVisual/>
        <w:tblW w:w="4818" w:type="pct"/>
        <w:tblLook w:val="04A0" w:firstRow="1" w:lastRow="0" w:firstColumn="1" w:lastColumn="0" w:noHBand="0" w:noVBand="1"/>
      </w:tblPr>
      <w:tblGrid>
        <w:gridCol w:w="1020"/>
        <w:gridCol w:w="5245"/>
        <w:gridCol w:w="397"/>
        <w:gridCol w:w="1102"/>
        <w:gridCol w:w="794"/>
        <w:gridCol w:w="1277"/>
      </w:tblGrid>
      <w:tr w:rsidR="002E0A99" w:rsidRPr="00543C25" w14:paraId="5F39F0BD" w14:textId="77777777" w:rsidTr="00EC46DF">
        <w:trPr>
          <w:trHeight w:val="259"/>
        </w:trPr>
        <w:tc>
          <w:tcPr>
            <w:tcW w:w="1020" w:type="dxa"/>
          </w:tcPr>
          <w:p w14:paraId="027C62E6" w14:textId="77777777" w:rsidR="002E0A99" w:rsidRPr="00543C25" w:rsidRDefault="002E0A99" w:rsidP="0003219D">
            <w:pPr>
              <w:pStyle w:val="-fa"/>
              <w:rPr>
                <w:rtl/>
              </w:rPr>
            </w:pPr>
          </w:p>
        </w:tc>
        <w:tc>
          <w:tcPr>
            <w:tcW w:w="8815" w:type="dxa"/>
            <w:gridSpan w:val="5"/>
          </w:tcPr>
          <w:p w14:paraId="78EAB54B" w14:textId="77777777" w:rsidR="00F32A2A" w:rsidRDefault="002E0A99">
            <w:pPr>
              <w:pStyle w:val="-8"/>
              <w:rPr>
                <w:rtl/>
              </w:rPr>
            </w:pPr>
            <w:r>
              <w:rPr>
                <w:rFonts w:hint="cs"/>
                <w:rtl/>
              </w:rPr>
              <w:t xml:space="preserve">ביאור </w:t>
            </w:r>
            <w:r w:rsidR="00F32514">
              <w:rPr>
                <w:rFonts w:hint="cs"/>
                <w:rtl/>
              </w:rPr>
              <w:t xml:space="preserve">5  </w:t>
            </w:r>
            <w:r>
              <w:rPr>
                <w:rFonts w:hint="cs"/>
                <w:rtl/>
              </w:rPr>
              <w:t>-  ניירות ערך (המשך):</w:t>
            </w:r>
          </w:p>
        </w:tc>
      </w:tr>
      <w:tr w:rsidR="00BA7728" w:rsidRPr="007363C7" w14:paraId="7C4D0500" w14:textId="77777777" w:rsidTr="00F2243E">
        <w:tblPrEx>
          <w:jc w:val="right"/>
          <w:tblLook w:val="0000" w:firstRow="0" w:lastRow="0" w:firstColumn="0" w:lastColumn="0" w:noHBand="0" w:noVBand="0"/>
        </w:tblPrEx>
        <w:trPr>
          <w:trHeight w:val="245"/>
          <w:jc w:val="right"/>
        </w:trPr>
        <w:tc>
          <w:tcPr>
            <w:tcW w:w="1020" w:type="dxa"/>
          </w:tcPr>
          <w:p w14:paraId="02C65F8C" w14:textId="77777777" w:rsidR="00BA7728" w:rsidRPr="00281D0A" w:rsidRDefault="00BA7728" w:rsidP="002211DD">
            <w:pPr>
              <w:pStyle w:val="-fa"/>
              <w:spacing w:before="0"/>
              <w:ind w:right="-142"/>
              <w:rPr>
                <w:rtl/>
              </w:rPr>
            </w:pPr>
            <w:r w:rsidRPr="00281D0A">
              <w:rPr>
                <w:rtl/>
              </w:rPr>
              <w:t>מתכונת ביאור</w:t>
            </w:r>
          </w:p>
          <w:p w14:paraId="0F4C3BAE" w14:textId="77777777" w:rsidR="00BA7728" w:rsidRDefault="00BA7728" w:rsidP="002211DD">
            <w:pPr>
              <w:pStyle w:val="-fa"/>
              <w:spacing w:before="0"/>
              <w:ind w:right="-142"/>
              <w:rPr>
                <w:rtl/>
              </w:rPr>
            </w:pPr>
            <w:r w:rsidRPr="00281D0A">
              <w:rPr>
                <w:rtl/>
              </w:rPr>
              <w:t>עמ'  663-2</w:t>
            </w:r>
            <w:r w:rsidRPr="00281D0A">
              <w:rPr>
                <w:rFonts w:hint="cs"/>
                <w:rtl/>
              </w:rPr>
              <w:t xml:space="preserve">2 </w:t>
            </w:r>
          </w:p>
          <w:p w14:paraId="7A9A3011" w14:textId="77777777" w:rsidR="00BA7728" w:rsidRDefault="00BA7728" w:rsidP="002211DD">
            <w:pPr>
              <w:pStyle w:val="-fa"/>
              <w:spacing w:before="0"/>
              <w:ind w:right="-142"/>
              <w:rPr>
                <w:rtl/>
              </w:rPr>
            </w:pPr>
            <w:r w:rsidRPr="00281D0A">
              <w:rPr>
                <w:rFonts w:hint="cs"/>
                <w:rtl/>
              </w:rPr>
              <w:t>(ביאור 4. סעיף  ו.)</w:t>
            </w:r>
          </w:p>
        </w:tc>
        <w:tc>
          <w:tcPr>
            <w:tcW w:w="8815" w:type="dxa"/>
            <w:gridSpan w:val="5"/>
          </w:tcPr>
          <w:p w14:paraId="25AD16B6" w14:textId="75CEE0BB" w:rsidR="00BA7728" w:rsidRDefault="00BA7728" w:rsidP="00BA7728">
            <w:pPr>
              <w:pStyle w:val="-f8"/>
              <w:spacing w:before="120" w:after="0"/>
              <w:rPr>
                <w:rtl/>
              </w:rPr>
            </w:pPr>
            <w:r>
              <w:rPr>
                <w:rFonts w:hint="cs"/>
                <w:rtl/>
              </w:rPr>
              <w:t xml:space="preserve">ד. </w:t>
            </w:r>
            <w:r w:rsidRPr="00045773">
              <w:rPr>
                <w:rFonts w:hint="cs"/>
                <w:rtl/>
              </w:rPr>
              <w:t xml:space="preserve">מידע לגבי אגרות חוב </w:t>
            </w:r>
            <w:r>
              <w:rPr>
                <w:rFonts w:hint="cs"/>
                <w:rtl/>
              </w:rPr>
              <w:t>בעייתיות ואגרות חוב בפיגור</w:t>
            </w:r>
            <w:r w:rsidRPr="00045773">
              <w:rPr>
                <w:rFonts w:hint="cs"/>
                <w:rtl/>
              </w:rPr>
              <w:t xml:space="preserve">  </w:t>
            </w:r>
          </w:p>
        </w:tc>
      </w:tr>
      <w:tr w:rsidR="00F77006" w:rsidRPr="00543C25" w14:paraId="35049118" w14:textId="77777777" w:rsidTr="00EC46DF">
        <w:trPr>
          <w:trHeight w:hRule="exact" w:val="425"/>
        </w:trPr>
        <w:tc>
          <w:tcPr>
            <w:tcW w:w="1020" w:type="dxa"/>
          </w:tcPr>
          <w:p w14:paraId="31C5DCBE" w14:textId="1ABFBC88" w:rsidR="00F77006" w:rsidRDefault="00F77006" w:rsidP="00D70790">
            <w:pPr>
              <w:pStyle w:val="-7"/>
              <w:spacing w:line="200" w:lineRule="exact"/>
              <w:ind w:right="-231"/>
              <w:jc w:val="left"/>
              <w:rPr>
                <w:spacing w:val="-6"/>
                <w:sz w:val="14"/>
                <w:szCs w:val="14"/>
                <w:rtl/>
              </w:rPr>
            </w:pPr>
          </w:p>
        </w:tc>
        <w:tc>
          <w:tcPr>
            <w:tcW w:w="5245" w:type="dxa"/>
            <w:vAlign w:val="bottom"/>
          </w:tcPr>
          <w:p w14:paraId="0EB235B9" w14:textId="77777777" w:rsidR="00F77006" w:rsidRDefault="00F77006" w:rsidP="00D70790">
            <w:pPr>
              <w:pStyle w:val="-0"/>
              <w:spacing w:line="200" w:lineRule="exact"/>
              <w:rPr>
                <w:rtl/>
              </w:rPr>
            </w:pPr>
          </w:p>
        </w:tc>
        <w:tc>
          <w:tcPr>
            <w:tcW w:w="397" w:type="dxa"/>
            <w:tcMar>
              <w:left w:w="58" w:type="dxa"/>
              <w:right w:w="58" w:type="dxa"/>
            </w:tcMar>
            <w:vAlign w:val="bottom"/>
          </w:tcPr>
          <w:p w14:paraId="65C3C5BC" w14:textId="77777777" w:rsidR="00F77006" w:rsidRDefault="00F77006" w:rsidP="00D70790">
            <w:pPr>
              <w:pStyle w:val="-7"/>
              <w:spacing w:line="200" w:lineRule="exact"/>
              <w:rPr>
                <w:rtl/>
              </w:rPr>
            </w:pPr>
          </w:p>
        </w:tc>
        <w:tc>
          <w:tcPr>
            <w:tcW w:w="1896" w:type="dxa"/>
            <w:gridSpan w:val="2"/>
            <w:vAlign w:val="bottom"/>
          </w:tcPr>
          <w:p w14:paraId="22859ABC" w14:textId="77777777" w:rsidR="00F77006" w:rsidRDefault="00F77006" w:rsidP="00D70790">
            <w:pPr>
              <w:pStyle w:val="-4"/>
              <w:pBdr>
                <w:bottom w:val="single" w:sz="4" w:space="1" w:color="auto"/>
              </w:pBdr>
              <w:spacing w:line="200" w:lineRule="exact"/>
              <w:rPr>
                <w:rtl/>
              </w:rPr>
            </w:pPr>
            <w:r w:rsidRPr="00543C25">
              <w:rPr>
                <w:rFonts w:hint="cs"/>
                <w:rtl/>
              </w:rPr>
              <w:t xml:space="preserve">ליום </w:t>
            </w:r>
            <w:r>
              <w:rPr>
                <w:rFonts w:hint="cs"/>
                <w:rtl/>
              </w:rPr>
              <w:t>30</w:t>
            </w:r>
            <w:r w:rsidRPr="00543C25">
              <w:rPr>
                <w:rFonts w:hint="cs"/>
                <w:rtl/>
              </w:rPr>
              <w:t xml:space="preserve"> </w:t>
            </w:r>
            <w:r>
              <w:rPr>
                <w:rFonts w:hint="cs"/>
                <w:rtl/>
              </w:rPr>
              <w:t>ביוני</w:t>
            </w:r>
          </w:p>
        </w:tc>
        <w:tc>
          <w:tcPr>
            <w:tcW w:w="1277" w:type="dxa"/>
            <w:vAlign w:val="bottom"/>
          </w:tcPr>
          <w:p w14:paraId="7A8DE52D" w14:textId="77777777" w:rsidR="00F77006" w:rsidRDefault="00F77006" w:rsidP="00D70790">
            <w:pPr>
              <w:pStyle w:val="-4"/>
              <w:pBdr>
                <w:bottom w:val="single" w:sz="4" w:space="1" w:color="auto"/>
              </w:pBdr>
              <w:spacing w:line="200" w:lineRule="exact"/>
              <w:rPr>
                <w:rtl/>
              </w:rPr>
            </w:pPr>
            <w:r w:rsidRPr="00543C25">
              <w:rPr>
                <w:rFonts w:hint="cs"/>
                <w:rtl/>
              </w:rPr>
              <w:t>ליום</w:t>
            </w:r>
          </w:p>
          <w:p w14:paraId="309DE91B" w14:textId="77777777" w:rsidR="00F77006" w:rsidRDefault="00F77006" w:rsidP="00D70790">
            <w:pPr>
              <w:pStyle w:val="-4"/>
              <w:pBdr>
                <w:bottom w:val="single" w:sz="4" w:space="1" w:color="auto"/>
              </w:pBdr>
              <w:spacing w:line="200" w:lineRule="exact"/>
              <w:rPr>
                <w:rtl/>
              </w:rPr>
            </w:pPr>
            <w:r w:rsidRPr="00543C25">
              <w:rPr>
                <w:rFonts w:hint="cs"/>
                <w:rtl/>
              </w:rPr>
              <w:t xml:space="preserve"> 31 בדצמבר</w:t>
            </w:r>
          </w:p>
        </w:tc>
      </w:tr>
      <w:tr w:rsidR="00F77006" w:rsidRPr="00543C25" w14:paraId="3A5CDE7C" w14:textId="77777777" w:rsidTr="00EC46DF">
        <w:trPr>
          <w:trHeight w:val="259"/>
        </w:trPr>
        <w:tc>
          <w:tcPr>
            <w:tcW w:w="1020" w:type="dxa"/>
          </w:tcPr>
          <w:p w14:paraId="0B3F08DC" w14:textId="77777777" w:rsidR="00F77006" w:rsidRDefault="00F77006" w:rsidP="002211DD">
            <w:pPr>
              <w:pStyle w:val="-7"/>
              <w:bidi w:val="0"/>
              <w:spacing w:line="180" w:lineRule="exact"/>
              <w:ind w:right="-231"/>
              <w:jc w:val="left"/>
              <w:rPr>
                <w:spacing w:val="-6"/>
                <w:sz w:val="14"/>
                <w:szCs w:val="14"/>
                <w:rtl/>
              </w:rPr>
            </w:pPr>
          </w:p>
        </w:tc>
        <w:tc>
          <w:tcPr>
            <w:tcW w:w="5245" w:type="dxa"/>
            <w:vAlign w:val="bottom"/>
          </w:tcPr>
          <w:p w14:paraId="0C4389CF" w14:textId="77777777" w:rsidR="00F77006" w:rsidRDefault="00F77006" w:rsidP="002211DD">
            <w:pPr>
              <w:pStyle w:val="-0"/>
              <w:spacing w:line="180" w:lineRule="exact"/>
              <w:rPr>
                <w:rtl/>
              </w:rPr>
            </w:pPr>
          </w:p>
        </w:tc>
        <w:tc>
          <w:tcPr>
            <w:tcW w:w="397" w:type="dxa"/>
            <w:tcMar>
              <w:left w:w="58" w:type="dxa"/>
              <w:right w:w="58" w:type="dxa"/>
            </w:tcMar>
            <w:vAlign w:val="bottom"/>
          </w:tcPr>
          <w:p w14:paraId="160A9248" w14:textId="77777777" w:rsidR="00F77006" w:rsidRDefault="00F77006" w:rsidP="002211DD">
            <w:pPr>
              <w:pStyle w:val="-7"/>
              <w:spacing w:line="180" w:lineRule="exact"/>
              <w:rPr>
                <w:rtl/>
              </w:rPr>
            </w:pPr>
          </w:p>
        </w:tc>
        <w:tc>
          <w:tcPr>
            <w:tcW w:w="1102" w:type="dxa"/>
            <w:vAlign w:val="bottom"/>
          </w:tcPr>
          <w:p w14:paraId="2E9AA3F5" w14:textId="7764D7E6" w:rsidR="00F77006" w:rsidRDefault="00F77006" w:rsidP="00516A2A">
            <w:pPr>
              <w:pStyle w:val="-4"/>
              <w:pBdr>
                <w:bottom w:val="single" w:sz="4" w:space="1" w:color="auto"/>
              </w:pBdr>
              <w:spacing w:line="240" w:lineRule="exact"/>
            </w:pPr>
            <w:r w:rsidRPr="00C22D58">
              <w:rPr>
                <w:rtl/>
              </w:rPr>
              <w:fldChar w:fldCharType="begin"/>
            </w:r>
            <w:r w:rsidRPr="00C22D58">
              <w:rPr>
                <w:rtl/>
              </w:rPr>
              <w:instrText xml:space="preserve"> </w:instrText>
            </w:r>
            <w:r w:rsidRPr="00C22D58">
              <w:rPr>
                <w:rFonts w:hint="cs"/>
                <w:rtl/>
              </w:rPr>
              <w:instrText xml:space="preserve">= </w:instrText>
            </w:r>
            <w:r w:rsidRPr="00C22D58">
              <w:rPr>
                <w:rFonts w:hint="cs"/>
              </w:rPr>
              <w:instrText>CY \* MERGEFORMAT</w:instrText>
            </w:r>
            <w:r w:rsidRPr="00C22D58">
              <w:rPr>
                <w:rtl/>
              </w:rPr>
              <w:instrText xml:space="preserve"> </w:instrText>
            </w:r>
            <w:r w:rsidRPr="00C22D58">
              <w:rPr>
                <w:rtl/>
              </w:rPr>
              <w:fldChar w:fldCharType="separate"/>
            </w:r>
            <w:r w:rsidR="003A584F">
              <w:rPr>
                <w:noProof/>
                <w:rtl/>
              </w:rPr>
              <w:t>2024</w:t>
            </w:r>
            <w:r w:rsidRPr="00C22D58">
              <w:rPr>
                <w:rtl/>
              </w:rPr>
              <w:fldChar w:fldCharType="end"/>
            </w:r>
          </w:p>
        </w:tc>
        <w:tc>
          <w:tcPr>
            <w:tcW w:w="794" w:type="dxa"/>
            <w:vAlign w:val="bottom"/>
          </w:tcPr>
          <w:p w14:paraId="7D90B2A3" w14:textId="217588BD" w:rsidR="00F77006" w:rsidRDefault="00F77006" w:rsidP="00516A2A">
            <w:pPr>
              <w:pStyle w:val="-4"/>
              <w:pBdr>
                <w:bottom w:val="single" w:sz="4" w:space="1" w:color="auto"/>
              </w:pBdr>
              <w:spacing w:line="240" w:lineRule="exact"/>
              <w:rPr>
                <w:rtl/>
              </w:rPr>
            </w:pPr>
            <w:r w:rsidRPr="00C22D58">
              <w:rPr>
                <w:sz w:val="16"/>
                <w:szCs w:val="16"/>
                <w:rtl/>
              </w:rPr>
              <w:fldChar w:fldCharType="begin"/>
            </w:r>
            <w:r w:rsidRPr="00C22D58">
              <w:rPr>
                <w:sz w:val="16"/>
                <w:szCs w:val="16"/>
                <w:rtl/>
              </w:rPr>
              <w:instrText xml:space="preserve"> </w:instrText>
            </w:r>
            <w:r w:rsidRPr="00C22D58">
              <w:rPr>
                <w:rFonts w:hint="cs"/>
                <w:sz w:val="16"/>
                <w:szCs w:val="16"/>
                <w:rtl/>
              </w:rPr>
              <w:instrText xml:space="preserve">= </w:instrText>
            </w:r>
            <w:r w:rsidRPr="00C22D58">
              <w:rPr>
                <w:rFonts w:hint="cs"/>
                <w:sz w:val="16"/>
                <w:szCs w:val="16"/>
              </w:rPr>
              <w:instrText>CY</w:instrText>
            </w:r>
            <w:r w:rsidRPr="00C22D58">
              <w:rPr>
                <w:sz w:val="16"/>
                <w:szCs w:val="16"/>
              </w:rPr>
              <w:instrText>-1</w:instrText>
            </w:r>
            <w:r w:rsidRPr="00C22D58">
              <w:rPr>
                <w:rFonts w:hint="cs"/>
                <w:sz w:val="16"/>
                <w:szCs w:val="16"/>
              </w:rPr>
              <w:instrText xml:space="preserve"> \* MERGEFORMAT</w:instrText>
            </w:r>
            <w:r w:rsidRPr="00C22D58">
              <w:rPr>
                <w:sz w:val="16"/>
                <w:szCs w:val="16"/>
                <w:rtl/>
              </w:rPr>
              <w:instrText xml:space="preserve"> </w:instrText>
            </w:r>
            <w:r w:rsidRPr="00C22D58">
              <w:rPr>
                <w:sz w:val="16"/>
                <w:szCs w:val="16"/>
                <w:rtl/>
              </w:rPr>
              <w:fldChar w:fldCharType="separate"/>
            </w:r>
            <w:r w:rsidR="003A584F" w:rsidRPr="003A584F">
              <w:rPr>
                <w:noProof/>
                <w:rtl/>
              </w:rPr>
              <w:t>2023</w:t>
            </w:r>
            <w:r w:rsidRPr="00C22D58">
              <w:rPr>
                <w:sz w:val="16"/>
                <w:szCs w:val="16"/>
                <w:rtl/>
              </w:rPr>
              <w:fldChar w:fldCharType="end"/>
            </w:r>
          </w:p>
        </w:tc>
        <w:tc>
          <w:tcPr>
            <w:tcW w:w="1277" w:type="dxa"/>
            <w:vAlign w:val="bottom"/>
          </w:tcPr>
          <w:p w14:paraId="3321FFBE" w14:textId="16C5D5C3" w:rsidR="00F77006" w:rsidRDefault="00F77006" w:rsidP="00516A2A">
            <w:pPr>
              <w:pStyle w:val="-4"/>
              <w:pBdr>
                <w:bottom w:val="single" w:sz="4" w:space="1" w:color="auto"/>
              </w:pBdr>
              <w:spacing w:line="240" w:lineRule="exact"/>
              <w:rPr>
                <w:rtl/>
              </w:rPr>
            </w:pPr>
            <w:r w:rsidRPr="00C22D58">
              <w:rPr>
                <w:sz w:val="16"/>
                <w:szCs w:val="16"/>
                <w:rtl/>
              </w:rPr>
              <w:fldChar w:fldCharType="begin"/>
            </w:r>
            <w:r w:rsidRPr="00C22D58">
              <w:rPr>
                <w:sz w:val="16"/>
                <w:szCs w:val="16"/>
                <w:rtl/>
              </w:rPr>
              <w:instrText xml:space="preserve"> </w:instrText>
            </w:r>
            <w:r w:rsidRPr="00C22D58">
              <w:rPr>
                <w:rFonts w:hint="cs"/>
                <w:sz w:val="16"/>
                <w:szCs w:val="16"/>
                <w:rtl/>
              </w:rPr>
              <w:instrText xml:space="preserve">= </w:instrText>
            </w:r>
            <w:r w:rsidRPr="00C22D58">
              <w:rPr>
                <w:rFonts w:hint="cs"/>
                <w:sz w:val="16"/>
                <w:szCs w:val="16"/>
              </w:rPr>
              <w:instrText>CY</w:instrText>
            </w:r>
            <w:r w:rsidRPr="00C22D58">
              <w:rPr>
                <w:sz w:val="16"/>
                <w:szCs w:val="16"/>
              </w:rPr>
              <w:instrText>-1</w:instrText>
            </w:r>
            <w:r w:rsidRPr="00C22D58">
              <w:rPr>
                <w:rFonts w:hint="cs"/>
                <w:sz w:val="16"/>
                <w:szCs w:val="16"/>
              </w:rPr>
              <w:instrText xml:space="preserve"> \* MERGEFORMAT</w:instrText>
            </w:r>
            <w:r w:rsidRPr="00C22D58">
              <w:rPr>
                <w:sz w:val="16"/>
                <w:szCs w:val="16"/>
                <w:rtl/>
              </w:rPr>
              <w:instrText xml:space="preserve"> </w:instrText>
            </w:r>
            <w:r w:rsidRPr="00C22D58">
              <w:rPr>
                <w:sz w:val="16"/>
                <w:szCs w:val="16"/>
                <w:rtl/>
              </w:rPr>
              <w:fldChar w:fldCharType="separate"/>
            </w:r>
            <w:r w:rsidR="003A584F" w:rsidRPr="003A584F">
              <w:rPr>
                <w:noProof/>
                <w:rtl/>
              </w:rPr>
              <w:t>2023</w:t>
            </w:r>
            <w:r w:rsidRPr="00C22D58">
              <w:rPr>
                <w:sz w:val="16"/>
                <w:szCs w:val="16"/>
                <w:rtl/>
              </w:rPr>
              <w:fldChar w:fldCharType="end"/>
            </w:r>
          </w:p>
        </w:tc>
      </w:tr>
      <w:tr w:rsidR="003F7B6D" w:rsidRPr="00543C25" w14:paraId="3D316ACA" w14:textId="77777777" w:rsidTr="00EC46DF">
        <w:trPr>
          <w:trHeight w:val="259"/>
        </w:trPr>
        <w:tc>
          <w:tcPr>
            <w:tcW w:w="1020" w:type="dxa"/>
          </w:tcPr>
          <w:p w14:paraId="17D0194F" w14:textId="77777777" w:rsidR="003F7B6D" w:rsidRDefault="003F7B6D" w:rsidP="003F7B6D">
            <w:pPr>
              <w:pStyle w:val="-7"/>
              <w:bidi w:val="0"/>
              <w:spacing w:line="180" w:lineRule="exact"/>
              <w:ind w:right="-231"/>
              <w:jc w:val="left"/>
              <w:rPr>
                <w:spacing w:val="-6"/>
                <w:sz w:val="14"/>
                <w:szCs w:val="14"/>
                <w:rtl/>
              </w:rPr>
            </w:pPr>
          </w:p>
        </w:tc>
        <w:tc>
          <w:tcPr>
            <w:tcW w:w="5245" w:type="dxa"/>
            <w:vAlign w:val="bottom"/>
          </w:tcPr>
          <w:p w14:paraId="2567B282" w14:textId="158A7FC0" w:rsidR="003F7B6D" w:rsidRDefault="003F7B6D" w:rsidP="004A29AB">
            <w:pPr>
              <w:pStyle w:val="-0"/>
              <w:spacing w:line="180" w:lineRule="exact"/>
              <w:ind w:left="342"/>
              <w:rPr>
                <w:b/>
                <w:bCs/>
                <w:rtl/>
              </w:rPr>
            </w:pPr>
            <w:r w:rsidRPr="003F7B6D">
              <w:rPr>
                <w:rFonts w:hint="eastAsia"/>
                <w:b/>
                <w:bCs/>
                <w:u w:val="single"/>
                <w:rtl/>
              </w:rPr>
              <w:t>יתרת</w:t>
            </w:r>
            <w:r w:rsidRPr="003F7B6D">
              <w:rPr>
                <w:b/>
                <w:bCs/>
                <w:u w:val="single"/>
                <w:rtl/>
              </w:rPr>
              <w:t xml:space="preserve"> </w:t>
            </w:r>
            <w:r w:rsidRPr="003F7B6D">
              <w:rPr>
                <w:rFonts w:hint="eastAsia"/>
                <w:b/>
                <w:bCs/>
                <w:u w:val="single"/>
                <w:rtl/>
              </w:rPr>
              <w:t>החוב</w:t>
            </w:r>
            <w:r w:rsidRPr="003F7B6D">
              <w:rPr>
                <w:b/>
                <w:bCs/>
                <w:u w:val="single"/>
                <w:rtl/>
              </w:rPr>
              <w:t xml:space="preserve"> </w:t>
            </w:r>
            <w:r w:rsidRPr="003F7B6D">
              <w:rPr>
                <w:rFonts w:hint="eastAsia"/>
                <w:b/>
                <w:bCs/>
                <w:u w:val="single"/>
                <w:rtl/>
              </w:rPr>
              <w:t>הרשומה</w:t>
            </w:r>
            <w:r w:rsidRPr="003F7B6D">
              <w:rPr>
                <w:b/>
                <w:bCs/>
                <w:u w:val="single"/>
                <w:rtl/>
              </w:rPr>
              <w:t xml:space="preserve"> </w:t>
            </w:r>
            <w:r w:rsidRPr="003F7B6D">
              <w:rPr>
                <w:rFonts w:hint="eastAsia"/>
                <w:b/>
                <w:bCs/>
                <w:u w:val="single"/>
                <w:rtl/>
              </w:rPr>
              <w:t>של</w:t>
            </w:r>
            <w:r w:rsidRPr="003F7B6D">
              <w:rPr>
                <w:b/>
                <w:bCs/>
                <w:rtl/>
              </w:rPr>
              <w:t>:</w:t>
            </w:r>
          </w:p>
        </w:tc>
        <w:tc>
          <w:tcPr>
            <w:tcW w:w="397" w:type="dxa"/>
            <w:tcMar>
              <w:left w:w="58" w:type="dxa"/>
              <w:right w:w="58" w:type="dxa"/>
            </w:tcMar>
            <w:vAlign w:val="bottom"/>
          </w:tcPr>
          <w:p w14:paraId="1637F1A8" w14:textId="77777777" w:rsidR="003F7B6D" w:rsidRDefault="003F7B6D" w:rsidP="003F7B6D">
            <w:pPr>
              <w:pStyle w:val="-7"/>
              <w:spacing w:line="180" w:lineRule="exact"/>
              <w:rPr>
                <w:rtl/>
              </w:rPr>
            </w:pPr>
          </w:p>
        </w:tc>
        <w:tc>
          <w:tcPr>
            <w:tcW w:w="1896" w:type="dxa"/>
            <w:gridSpan w:val="2"/>
            <w:vAlign w:val="bottom"/>
          </w:tcPr>
          <w:p w14:paraId="7B3E77FE" w14:textId="77777777" w:rsidR="003F7B6D" w:rsidRDefault="003F7B6D" w:rsidP="003F7B6D">
            <w:pPr>
              <w:pStyle w:val="-4"/>
              <w:pBdr>
                <w:bottom w:val="single" w:sz="4" w:space="1" w:color="auto"/>
              </w:pBdr>
              <w:spacing w:line="180" w:lineRule="exact"/>
              <w:rPr>
                <w:rtl/>
              </w:rPr>
            </w:pPr>
            <w:r>
              <w:rPr>
                <w:rFonts w:hint="cs"/>
                <w:rtl/>
              </w:rPr>
              <w:t>בלתי מבוקר</w:t>
            </w:r>
          </w:p>
        </w:tc>
        <w:tc>
          <w:tcPr>
            <w:tcW w:w="1277" w:type="dxa"/>
            <w:vAlign w:val="bottom"/>
          </w:tcPr>
          <w:p w14:paraId="268E53CB" w14:textId="77777777" w:rsidR="003F7B6D" w:rsidRDefault="003F7B6D" w:rsidP="003F7B6D">
            <w:pPr>
              <w:pStyle w:val="-4"/>
              <w:pBdr>
                <w:bottom w:val="single" w:sz="4" w:space="1" w:color="auto"/>
              </w:pBdr>
              <w:spacing w:line="180" w:lineRule="exact"/>
              <w:rPr>
                <w:rtl/>
              </w:rPr>
            </w:pPr>
            <w:r>
              <w:rPr>
                <w:rFonts w:hint="cs"/>
                <w:rtl/>
              </w:rPr>
              <w:t>מבוקר</w:t>
            </w:r>
          </w:p>
        </w:tc>
      </w:tr>
      <w:tr w:rsidR="003F7B6D" w:rsidRPr="00543C25" w14:paraId="6708298E" w14:textId="77777777" w:rsidTr="00EC46DF">
        <w:trPr>
          <w:trHeight w:val="259"/>
        </w:trPr>
        <w:tc>
          <w:tcPr>
            <w:tcW w:w="1020" w:type="dxa"/>
          </w:tcPr>
          <w:p w14:paraId="2BDA8B45" w14:textId="77777777" w:rsidR="003F7B6D" w:rsidRPr="00ED6312" w:rsidRDefault="003F7B6D" w:rsidP="003F7B6D">
            <w:pPr>
              <w:pStyle w:val="-7"/>
              <w:bidi w:val="0"/>
              <w:ind w:right="-231"/>
              <w:jc w:val="left"/>
              <w:rPr>
                <w:spacing w:val="-6"/>
                <w:sz w:val="14"/>
                <w:szCs w:val="14"/>
                <w:rtl/>
              </w:rPr>
            </w:pPr>
          </w:p>
        </w:tc>
        <w:tc>
          <w:tcPr>
            <w:tcW w:w="5245" w:type="dxa"/>
            <w:shd w:val="clear" w:color="auto" w:fill="auto"/>
          </w:tcPr>
          <w:p w14:paraId="7A1D9F45" w14:textId="0CED7F9D" w:rsidR="003F7B6D" w:rsidRDefault="003F7B6D" w:rsidP="004A29AB">
            <w:pPr>
              <w:pStyle w:val="-0"/>
              <w:spacing w:line="240" w:lineRule="auto"/>
              <w:ind w:left="201" w:firstLine="0"/>
              <w:rPr>
                <w:rtl/>
              </w:rPr>
            </w:pPr>
            <w:r w:rsidRPr="003F7B6D">
              <w:rPr>
                <w:rtl/>
              </w:rPr>
              <w:t>אגרות חוב בעייתיות</w:t>
            </w:r>
            <w:r w:rsidRPr="003F7B6D">
              <w:rPr>
                <w:rFonts w:hint="cs"/>
                <w:rtl/>
              </w:rPr>
              <w:t>:</w:t>
            </w:r>
          </w:p>
        </w:tc>
        <w:tc>
          <w:tcPr>
            <w:tcW w:w="397" w:type="dxa"/>
            <w:tcMar>
              <w:left w:w="58" w:type="dxa"/>
              <w:right w:w="58" w:type="dxa"/>
            </w:tcMar>
            <w:vAlign w:val="bottom"/>
          </w:tcPr>
          <w:p w14:paraId="5D7405A9" w14:textId="77777777" w:rsidR="003F7B6D" w:rsidRDefault="003F7B6D" w:rsidP="003F7B6D">
            <w:pPr>
              <w:pStyle w:val="-7"/>
              <w:jc w:val="left"/>
              <w:rPr>
                <w:rtl/>
              </w:rPr>
            </w:pPr>
          </w:p>
        </w:tc>
        <w:tc>
          <w:tcPr>
            <w:tcW w:w="1102" w:type="dxa"/>
            <w:vAlign w:val="bottom"/>
          </w:tcPr>
          <w:p w14:paraId="470A1E4E" w14:textId="77777777" w:rsidR="003F7B6D" w:rsidRDefault="003F7B6D" w:rsidP="003F7B6D">
            <w:pPr>
              <w:pStyle w:val="-3"/>
              <w:rPr>
                <w:rtl/>
              </w:rPr>
            </w:pPr>
          </w:p>
        </w:tc>
        <w:tc>
          <w:tcPr>
            <w:tcW w:w="794" w:type="dxa"/>
            <w:vAlign w:val="bottom"/>
          </w:tcPr>
          <w:p w14:paraId="6A395E1D" w14:textId="77777777" w:rsidR="003F7B6D" w:rsidRDefault="003F7B6D" w:rsidP="003F7B6D">
            <w:pPr>
              <w:pStyle w:val="-3"/>
              <w:rPr>
                <w:rtl/>
              </w:rPr>
            </w:pPr>
          </w:p>
        </w:tc>
        <w:tc>
          <w:tcPr>
            <w:tcW w:w="1277" w:type="dxa"/>
            <w:vAlign w:val="bottom"/>
          </w:tcPr>
          <w:p w14:paraId="35DC7F30" w14:textId="77777777" w:rsidR="003F7B6D" w:rsidRDefault="003F7B6D" w:rsidP="003F7B6D">
            <w:pPr>
              <w:pStyle w:val="-3"/>
              <w:rPr>
                <w:rtl/>
              </w:rPr>
            </w:pPr>
          </w:p>
        </w:tc>
      </w:tr>
      <w:tr w:rsidR="003F7B6D" w:rsidRPr="00543C25" w14:paraId="5D8B3405" w14:textId="77777777" w:rsidTr="00EC46DF">
        <w:trPr>
          <w:trHeight w:val="259"/>
        </w:trPr>
        <w:tc>
          <w:tcPr>
            <w:tcW w:w="1020" w:type="dxa"/>
          </w:tcPr>
          <w:p w14:paraId="3F2F139D" w14:textId="77777777" w:rsidR="003F7B6D" w:rsidRPr="00ED6312" w:rsidRDefault="003F7B6D" w:rsidP="003F7B6D">
            <w:pPr>
              <w:pStyle w:val="-fa"/>
              <w:rPr>
                <w:rtl/>
              </w:rPr>
            </w:pPr>
          </w:p>
        </w:tc>
        <w:tc>
          <w:tcPr>
            <w:tcW w:w="5245" w:type="dxa"/>
            <w:shd w:val="clear" w:color="auto" w:fill="auto"/>
          </w:tcPr>
          <w:p w14:paraId="0C103E83" w14:textId="188E2054" w:rsidR="003F7B6D" w:rsidRPr="00543C25" w:rsidRDefault="003F7B6D" w:rsidP="004A29AB">
            <w:pPr>
              <w:pStyle w:val="-0"/>
              <w:spacing w:line="240" w:lineRule="auto"/>
              <w:ind w:left="706" w:hanging="252"/>
              <w:rPr>
                <w:rtl/>
              </w:rPr>
            </w:pPr>
            <w:r w:rsidRPr="003F7B6D">
              <w:rPr>
                <w:rtl/>
              </w:rPr>
              <w:t>שצוברות הכנסות ריבית</w:t>
            </w:r>
          </w:p>
        </w:tc>
        <w:tc>
          <w:tcPr>
            <w:tcW w:w="397" w:type="dxa"/>
            <w:tcMar>
              <w:left w:w="58" w:type="dxa"/>
              <w:right w:w="58" w:type="dxa"/>
            </w:tcMar>
            <w:vAlign w:val="bottom"/>
          </w:tcPr>
          <w:p w14:paraId="663ADE36" w14:textId="77777777" w:rsidR="003F7B6D" w:rsidRPr="00543C25" w:rsidRDefault="003F7B6D" w:rsidP="003F7B6D">
            <w:pPr>
              <w:pStyle w:val="-7"/>
              <w:jc w:val="left"/>
              <w:rPr>
                <w:rtl/>
              </w:rPr>
            </w:pPr>
          </w:p>
        </w:tc>
        <w:tc>
          <w:tcPr>
            <w:tcW w:w="1102" w:type="dxa"/>
            <w:vAlign w:val="bottom"/>
          </w:tcPr>
          <w:p w14:paraId="7B6BA76A" w14:textId="538F719C" w:rsidR="003F7B6D" w:rsidRPr="00543C25" w:rsidRDefault="003F7B6D" w:rsidP="003F7B6D">
            <w:pPr>
              <w:pStyle w:val="-3"/>
              <w:rPr>
                <w:rtl/>
              </w:rPr>
            </w:pPr>
            <w:r w:rsidRPr="00543C25">
              <w:rPr>
                <w:rFonts w:hint="cs"/>
                <w:rtl/>
              </w:rPr>
              <w:t xml:space="preserve"> </w:t>
            </w:r>
            <w:r w:rsidRPr="00543C25">
              <w:rPr>
                <w:rtl/>
              </w:rPr>
              <w:t>0</w:t>
            </w:r>
          </w:p>
        </w:tc>
        <w:tc>
          <w:tcPr>
            <w:tcW w:w="794" w:type="dxa"/>
            <w:vAlign w:val="bottom"/>
          </w:tcPr>
          <w:p w14:paraId="6C0279A1" w14:textId="2A0631D9" w:rsidR="003F7B6D" w:rsidRPr="00543C25" w:rsidRDefault="003F7B6D" w:rsidP="003F7B6D">
            <w:pPr>
              <w:pStyle w:val="-3"/>
              <w:rPr>
                <w:rtl/>
              </w:rPr>
            </w:pPr>
            <w:r w:rsidRPr="00543C25">
              <w:rPr>
                <w:rFonts w:hint="cs"/>
                <w:rtl/>
              </w:rPr>
              <w:t xml:space="preserve"> </w:t>
            </w:r>
            <w:r w:rsidRPr="00543C25">
              <w:rPr>
                <w:rtl/>
              </w:rPr>
              <w:t>0</w:t>
            </w:r>
          </w:p>
        </w:tc>
        <w:tc>
          <w:tcPr>
            <w:tcW w:w="1277" w:type="dxa"/>
            <w:vAlign w:val="bottom"/>
          </w:tcPr>
          <w:p w14:paraId="3600F386" w14:textId="3EFB681D" w:rsidR="003F7B6D" w:rsidRPr="00543C25" w:rsidRDefault="003F7B6D" w:rsidP="003F7B6D">
            <w:pPr>
              <w:pStyle w:val="-3"/>
              <w:rPr>
                <w:rtl/>
              </w:rPr>
            </w:pPr>
            <w:r w:rsidRPr="00543C25">
              <w:rPr>
                <w:rFonts w:hint="cs"/>
                <w:rtl/>
              </w:rPr>
              <w:t xml:space="preserve"> </w:t>
            </w:r>
            <w:r w:rsidRPr="00543C25">
              <w:rPr>
                <w:rtl/>
              </w:rPr>
              <w:t>0</w:t>
            </w:r>
          </w:p>
        </w:tc>
      </w:tr>
      <w:tr w:rsidR="003F7B6D" w:rsidRPr="00543C25" w14:paraId="31989227" w14:textId="77777777" w:rsidTr="00EC46DF">
        <w:trPr>
          <w:trHeight w:val="259"/>
        </w:trPr>
        <w:tc>
          <w:tcPr>
            <w:tcW w:w="1020" w:type="dxa"/>
          </w:tcPr>
          <w:p w14:paraId="40578393" w14:textId="77777777" w:rsidR="003F7B6D" w:rsidRPr="00ED6312" w:rsidRDefault="003F7B6D" w:rsidP="003F7B6D">
            <w:pPr>
              <w:pStyle w:val="-fa"/>
              <w:rPr>
                <w:rtl/>
              </w:rPr>
            </w:pPr>
          </w:p>
        </w:tc>
        <w:tc>
          <w:tcPr>
            <w:tcW w:w="5245" w:type="dxa"/>
            <w:shd w:val="clear" w:color="auto" w:fill="auto"/>
          </w:tcPr>
          <w:p w14:paraId="785F7D7C" w14:textId="4DF312F5" w:rsidR="003F7B6D" w:rsidRPr="00543C25" w:rsidRDefault="003F7B6D" w:rsidP="004A29AB">
            <w:pPr>
              <w:pStyle w:val="-0"/>
              <w:spacing w:line="240" w:lineRule="auto"/>
              <w:ind w:left="706" w:hanging="252"/>
              <w:rPr>
                <w:rtl/>
              </w:rPr>
            </w:pPr>
            <w:r w:rsidRPr="003F7B6D">
              <w:rPr>
                <w:rtl/>
              </w:rPr>
              <w:t>שאינן צוברות הכנסות ריבית</w:t>
            </w:r>
            <w:r w:rsidRPr="003F7B6D">
              <w:rPr>
                <w:vertAlign w:val="superscript"/>
                <w:rtl/>
              </w:rPr>
              <w:t>(א)</w:t>
            </w:r>
          </w:p>
        </w:tc>
        <w:tc>
          <w:tcPr>
            <w:tcW w:w="397" w:type="dxa"/>
            <w:tcMar>
              <w:left w:w="58" w:type="dxa"/>
              <w:right w:w="58" w:type="dxa"/>
            </w:tcMar>
            <w:vAlign w:val="bottom"/>
          </w:tcPr>
          <w:p w14:paraId="025DEB26" w14:textId="77777777" w:rsidR="003F7B6D" w:rsidRPr="00543C25" w:rsidRDefault="003F7B6D" w:rsidP="003F7B6D">
            <w:pPr>
              <w:pStyle w:val="-7"/>
              <w:jc w:val="left"/>
              <w:rPr>
                <w:rtl/>
              </w:rPr>
            </w:pPr>
          </w:p>
        </w:tc>
        <w:tc>
          <w:tcPr>
            <w:tcW w:w="1102" w:type="dxa"/>
            <w:vAlign w:val="bottom"/>
          </w:tcPr>
          <w:p w14:paraId="6812AFE6" w14:textId="54C20CA0" w:rsidR="003F7B6D" w:rsidRPr="00543C25" w:rsidRDefault="003F7B6D" w:rsidP="003F7B6D">
            <w:pPr>
              <w:pStyle w:val="-3"/>
              <w:pBdr>
                <w:bottom w:val="single" w:sz="4" w:space="1" w:color="auto"/>
              </w:pBdr>
              <w:rPr>
                <w:rtl/>
              </w:rPr>
            </w:pPr>
            <w:r w:rsidRPr="00543C25">
              <w:rPr>
                <w:rFonts w:hint="cs"/>
                <w:rtl/>
              </w:rPr>
              <w:t xml:space="preserve"> </w:t>
            </w:r>
            <w:r w:rsidRPr="00543C25">
              <w:rPr>
                <w:rtl/>
              </w:rPr>
              <w:t>0</w:t>
            </w:r>
          </w:p>
        </w:tc>
        <w:tc>
          <w:tcPr>
            <w:tcW w:w="794" w:type="dxa"/>
            <w:vAlign w:val="bottom"/>
          </w:tcPr>
          <w:p w14:paraId="2FF2F302" w14:textId="3113744D" w:rsidR="003F7B6D" w:rsidRPr="00543C25" w:rsidRDefault="003F7B6D" w:rsidP="003F7B6D">
            <w:pPr>
              <w:pStyle w:val="-3"/>
              <w:pBdr>
                <w:bottom w:val="single" w:sz="4" w:space="1" w:color="auto"/>
              </w:pBdr>
              <w:rPr>
                <w:rtl/>
              </w:rPr>
            </w:pPr>
            <w:r w:rsidRPr="00543C25">
              <w:rPr>
                <w:rFonts w:hint="cs"/>
                <w:rtl/>
              </w:rPr>
              <w:t xml:space="preserve"> </w:t>
            </w:r>
            <w:r w:rsidRPr="00543C25">
              <w:rPr>
                <w:rtl/>
              </w:rPr>
              <w:t>0</w:t>
            </w:r>
          </w:p>
        </w:tc>
        <w:tc>
          <w:tcPr>
            <w:tcW w:w="1277" w:type="dxa"/>
            <w:vAlign w:val="bottom"/>
          </w:tcPr>
          <w:p w14:paraId="16616627" w14:textId="22440575" w:rsidR="003F7B6D" w:rsidRPr="00543C25" w:rsidRDefault="003F7B6D" w:rsidP="003F7B6D">
            <w:pPr>
              <w:pStyle w:val="-3"/>
              <w:pBdr>
                <w:bottom w:val="single" w:sz="4" w:space="1" w:color="auto"/>
              </w:pBdr>
              <w:rPr>
                <w:rtl/>
              </w:rPr>
            </w:pPr>
            <w:r w:rsidRPr="00543C25">
              <w:rPr>
                <w:rFonts w:hint="cs"/>
                <w:rtl/>
              </w:rPr>
              <w:t xml:space="preserve"> </w:t>
            </w:r>
            <w:r w:rsidRPr="00543C25">
              <w:rPr>
                <w:rtl/>
              </w:rPr>
              <w:t>0</w:t>
            </w:r>
          </w:p>
        </w:tc>
      </w:tr>
      <w:tr w:rsidR="003F7B6D" w:rsidRPr="00543C25" w14:paraId="7044E65F" w14:textId="77777777" w:rsidTr="00EC46DF">
        <w:trPr>
          <w:trHeight w:val="259"/>
        </w:trPr>
        <w:tc>
          <w:tcPr>
            <w:tcW w:w="1020" w:type="dxa"/>
          </w:tcPr>
          <w:p w14:paraId="452BAD8C" w14:textId="77777777" w:rsidR="003F7B6D" w:rsidRDefault="003F7B6D" w:rsidP="003F7B6D">
            <w:pPr>
              <w:pStyle w:val="-fa"/>
              <w:rPr>
                <w:rtl/>
              </w:rPr>
            </w:pPr>
          </w:p>
        </w:tc>
        <w:tc>
          <w:tcPr>
            <w:tcW w:w="5245" w:type="dxa"/>
            <w:shd w:val="clear" w:color="auto" w:fill="auto"/>
          </w:tcPr>
          <w:p w14:paraId="37ADA35C" w14:textId="6C922F12" w:rsidR="003F7B6D" w:rsidRDefault="003F7B6D" w:rsidP="004A29AB">
            <w:pPr>
              <w:pStyle w:val="-21"/>
              <w:ind w:left="142" w:firstLine="59"/>
              <w:rPr>
                <w:rtl/>
              </w:rPr>
            </w:pPr>
            <w:r w:rsidRPr="003F7B6D">
              <w:rPr>
                <w:rFonts w:hint="cs"/>
                <w:b/>
                <w:bCs/>
                <w:rtl/>
              </w:rPr>
              <w:t>סך הכל</w:t>
            </w:r>
          </w:p>
        </w:tc>
        <w:tc>
          <w:tcPr>
            <w:tcW w:w="397" w:type="dxa"/>
            <w:tcMar>
              <w:left w:w="58" w:type="dxa"/>
              <w:right w:w="58" w:type="dxa"/>
            </w:tcMar>
            <w:vAlign w:val="bottom"/>
          </w:tcPr>
          <w:p w14:paraId="1B60CF8C" w14:textId="77777777" w:rsidR="003F7B6D" w:rsidRPr="00543C25" w:rsidRDefault="003F7B6D" w:rsidP="003F7B6D">
            <w:pPr>
              <w:pStyle w:val="-7"/>
              <w:jc w:val="left"/>
              <w:rPr>
                <w:rtl/>
              </w:rPr>
            </w:pPr>
          </w:p>
        </w:tc>
        <w:tc>
          <w:tcPr>
            <w:tcW w:w="1102" w:type="dxa"/>
            <w:vAlign w:val="bottom"/>
          </w:tcPr>
          <w:p w14:paraId="6C070081" w14:textId="526182DE" w:rsidR="003F7B6D" w:rsidRPr="00543C25" w:rsidRDefault="003F7B6D" w:rsidP="003F7B6D">
            <w:pPr>
              <w:pStyle w:val="-3"/>
              <w:pBdr>
                <w:bottom w:val="double" w:sz="4" w:space="1" w:color="auto"/>
              </w:pBdr>
              <w:rPr>
                <w:rtl/>
              </w:rPr>
            </w:pPr>
            <w:r w:rsidRPr="00F70047">
              <w:rPr>
                <w:rFonts w:hint="cs"/>
                <w:b/>
                <w:bCs/>
                <w:rtl/>
              </w:rPr>
              <w:t xml:space="preserve"> </w:t>
            </w:r>
            <w:r w:rsidRPr="00F70047">
              <w:rPr>
                <w:b/>
                <w:bCs/>
                <w:rtl/>
              </w:rPr>
              <w:t>0</w:t>
            </w:r>
          </w:p>
        </w:tc>
        <w:tc>
          <w:tcPr>
            <w:tcW w:w="794" w:type="dxa"/>
            <w:vAlign w:val="bottom"/>
          </w:tcPr>
          <w:p w14:paraId="63AB3C1D" w14:textId="01E650C6" w:rsidR="003F7B6D" w:rsidRPr="00543C25" w:rsidRDefault="003F7B6D" w:rsidP="003F7B6D">
            <w:pPr>
              <w:pStyle w:val="-3"/>
              <w:pBdr>
                <w:bottom w:val="double" w:sz="4" w:space="1" w:color="auto"/>
              </w:pBdr>
              <w:rPr>
                <w:rtl/>
              </w:rPr>
            </w:pPr>
            <w:r w:rsidRPr="00F70047">
              <w:rPr>
                <w:rFonts w:hint="cs"/>
                <w:b/>
                <w:bCs/>
                <w:rtl/>
              </w:rPr>
              <w:t xml:space="preserve"> </w:t>
            </w:r>
            <w:r w:rsidRPr="00F70047">
              <w:rPr>
                <w:b/>
                <w:bCs/>
                <w:rtl/>
              </w:rPr>
              <w:t>0</w:t>
            </w:r>
          </w:p>
        </w:tc>
        <w:tc>
          <w:tcPr>
            <w:tcW w:w="1277" w:type="dxa"/>
            <w:vAlign w:val="bottom"/>
          </w:tcPr>
          <w:p w14:paraId="3B2E0A10" w14:textId="26922662" w:rsidR="003F7B6D" w:rsidRPr="00543C25" w:rsidRDefault="003F7B6D" w:rsidP="003F7B6D">
            <w:pPr>
              <w:pStyle w:val="-3"/>
              <w:pBdr>
                <w:bottom w:val="double" w:sz="4" w:space="1" w:color="auto"/>
              </w:pBdr>
              <w:rPr>
                <w:rtl/>
              </w:rPr>
            </w:pPr>
            <w:r w:rsidRPr="00F70047">
              <w:rPr>
                <w:rFonts w:hint="cs"/>
                <w:b/>
                <w:bCs/>
                <w:rtl/>
              </w:rPr>
              <w:t xml:space="preserve"> </w:t>
            </w:r>
            <w:r w:rsidRPr="00F70047">
              <w:rPr>
                <w:b/>
                <w:bCs/>
                <w:rtl/>
              </w:rPr>
              <w:t>0</w:t>
            </w:r>
          </w:p>
        </w:tc>
      </w:tr>
      <w:tr w:rsidR="003F7B6D" w:rsidRPr="00543C25" w14:paraId="13417436" w14:textId="77777777" w:rsidTr="00EC46DF">
        <w:trPr>
          <w:trHeight w:val="259"/>
        </w:trPr>
        <w:tc>
          <w:tcPr>
            <w:tcW w:w="1020" w:type="dxa"/>
          </w:tcPr>
          <w:p w14:paraId="1E46AD32" w14:textId="77777777" w:rsidR="003F7B6D" w:rsidRPr="00ED6312" w:rsidRDefault="003F7B6D" w:rsidP="003F7B6D">
            <w:pPr>
              <w:pStyle w:val="-fa"/>
              <w:rPr>
                <w:rtl/>
              </w:rPr>
            </w:pPr>
          </w:p>
        </w:tc>
        <w:tc>
          <w:tcPr>
            <w:tcW w:w="5245" w:type="dxa"/>
            <w:shd w:val="clear" w:color="auto" w:fill="auto"/>
          </w:tcPr>
          <w:p w14:paraId="186F132F" w14:textId="7F363927" w:rsidR="003F7B6D" w:rsidRDefault="003F7B6D" w:rsidP="004A29AB">
            <w:pPr>
              <w:pStyle w:val="-0"/>
              <w:spacing w:line="240" w:lineRule="auto"/>
              <w:ind w:left="201" w:firstLine="0"/>
              <w:rPr>
                <w:rtl/>
              </w:rPr>
            </w:pPr>
            <w:r w:rsidRPr="003F7B6D">
              <w:rPr>
                <w:rtl/>
              </w:rPr>
              <w:t>אגרות חוב הצוברות הכנסות ריבית</w:t>
            </w:r>
            <w:r w:rsidRPr="003F7B6D">
              <w:rPr>
                <w:rFonts w:hint="cs"/>
                <w:rtl/>
              </w:rPr>
              <w:t>:</w:t>
            </w:r>
          </w:p>
        </w:tc>
        <w:tc>
          <w:tcPr>
            <w:tcW w:w="397" w:type="dxa"/>
            <w:tcMar>
              <w:left w:w="58" w:type="dxa"/>
              <w:right w:w="58" w:type="dxa"/>
            </w:tcMar>
            <w:vAlign w:val="bottom"/>
          </w:tcPr>
          <w:p w14:paraId="783FB881" w14:textId="77777777" w:rsidR="003F7B6D" w:rsidRPr="00543C25" w:rsidRDefault="003F7B6D" w:rsidP="003F7B6D">
            <w:pPr>
              <w:pStyle w:val="-7"/>
              <w:jc w:val="left"/>
              <w:rPr>
                <w:rtl/>
              </w:rPr>
            </w:pPr>
          </w:p>
        </w:tc>
        <w:tc>
          <w:tcPr>
            <w:tcW w:w="1102" w:type="dxa"/>
            <w:vAlign w:val="bottom"/>
          </w:tcPr>
          <w:p w14:paraId="3F96232D" w14:textId="66479A20" w:rsidR="003F7B6D" w:rsidRPr="00543C25" w:rsidRDefault="003F7B6D" w:rsidP="003F7B6D">
            <w:pPr>
              <w:pStyle w:val="-3"/>
              <w:rPr>
                <w:rtl/>
              </w:rPr>
            </w:pPr>
          </w:p>
        </w:tc>
        <w:tc>
          <w:tcPr>
            <w:tcW w:w="794" w:type="dxa"/>
            <w:vAlign w:val="bottom"/>
          </w:tcPr>
          <w:p w14:paraId="7DD047FD" w14:textId="1474F780" w:rsidR="003F7B6D" w:rsidRPr="00543C25" w:rsidRDefault="003F7B6D" w:rsidP="003F7B6D">
            <w:pPr>
              <w:pStyle w:val="-3"/>
              <w:rPr>
                <w:rtl/>
              </w:rPr>
            </w:pPr>
          </w:p>
        </w:tc>
        <w:tc>
          <w:tcPr>
            <w:tcW w:w="1277" w:type="dxa"/>
            <w:vAlign w:val="bottom"/>
          </w:tcPr>
          <w:p w14:paraId="3A66C286" w14:textId="5B883C0F" w:rsidR="003F7B6D" w:rsidRPr="00543C25" w:rsidRDefault="003F7B6D" w:rsidP="003F7B6D">
            <w:pPr>
              <w:pStyle w:val="-3"/>
              <w:rPr>
                <w:rtl/>
              </w:rPr>
            </w:pPr>
          </w:p>
        </w:tc>
      </w:tr>
      <w:tr w:rsidR="003F7B6D" w:rsidRPr="00543C25" w14:paraId="6881AE45" w14:textId="77777777" w:rsidTr="00EC46DF">
        <w:trPr>
          <w:trHeight w:val="259"/>
        </w:trPr>
        <w:tc>
          <w:tcPr>
            <w:tcW w:w="1020" w:type="dxa"/>
          </w:tcPr>
          <w:p w14:paraId="4A93028F" w14:textId="77777777" w:rsidR="003F7B6D" w:rsidRPr="00ED6312" w:rsidRDefault="003F7B6D" w:rsidP="003F7B6D">
            <w:pPr>
              <w:pStyle w:val="-fa"/>
              <w:rPr>
                <w:rtl/>
              </w:rPr>
            </w:pPr>
          </w:p>
        </w:tc>
        <w:tc>
          <w:tcPr>
            <w:tcW w:w="5245" w:type="dxa"/>
            <w:shd w:val="clear" w:color="auto" w:fill="auto"/>
          </w:tcPr>
          <w:p w14:paraId="04D5F41E" w14:textId="2D7A6989" w:rsidR="003F7B6D" w:rsidRDefault="003F7B6D" w:rsidP="004A29AB">
            <w:pPr>
              <w:pStyle w:val="-0"/>
              <w:spacing w:line="240" w:lineRule="auto"/>
              <w:ind w:left="706" w:hanging="252"/>
              <w:rPr>
                <w:rtl/>
              </w:rPr>
            </w:pPr>
            <w:r w:rsidRPr="003F7B6D">
              <w:rPr>
                <w:rtl/>
              </w:rPr>
              <w:t>בפיגור של 90 ימים או יותר</w:t>
            </w:r>
          </w:p>
        </w:tc>
        <w:tc>
          <w:tcPr>
            <w:tcW w:w="397" w:type="dxa"/>
            <w:tcMar>
              <w:left w:w="58" w:type="dxa"/>
              <w:right w:w="58" w:type="dxa"/>
            </w:tcMar>
            <w:vAlign w:val="bottom"/>
          </w:tcPr>
          <w:p w14:paraId="1F02DBB2" w14:textId="77777777" w:rsidR="003F7B6D" w:rsidRPr="00543C25" w:rsidRDefault="003F7B6D" w:rsidP="003F7B6D">
            <w:pPr>
              <w:pStyle w:val="-7"/>
              <w:jc w:val="left"/>
              <w:rPr>
                <w:rtl/>
              </w:rPr>
            </w:pPr>
          </w:p>
        </w:tc>
        <w:tc>
          <w:tcPr>
            <w:tcW w:w="1102" w:type="dxa"/>
            <w:vAlign w:val="bottom"/>
          </w:tcPr>
          <w:p w14:paraId="4BB3095D" w14:textId="7AF2B547" w:rsidR="003F7B6D" w:rsidRPr="00543C25" w:rsidRDefault="003F7B6D" w:rsidP="003F7B6D">
            <w:pPr>
              <w:pStyle w:val="-3"/>
              <w:rPr>
                <w:rtl/>
              </w:rPr>
            </w:pPr>
            <w:r w:rsidRPr="00543C25">
              <w:rPr>
                <w:rFonts w:hint="cs"/>
                <w:rtl/>
              </w:rPr>
              <w:t xml:space="preserve"> </w:t>
            </w:r>
            <w:r w:rsidRPr="00543C25">
              <w:rPr>
                <w:rtl/>
              </w:rPr>
              <w:t>0</w:t>
            </w:r>
          </w:p>
        </w:tc>
        <w:tc>
          <w:tcPr>
            <w:tcW w:w="794" w:type="dxa"/>
            <w:vAlign w:val="bottom"/>
          </w:tcPr>
          <w:p w14:paraId="2E7B1C7D" w14:textId="39DB88FC" w:rsidR="003F7B6D" w:rsidRPr="00543C25" w:rsidRDefault="003F7B6D" w:rsidP="003F7B6D">
            <w:pPr>
              <w:pStyle w:val="-3"/>
              <w:rPr>
                <w:rtl/>
              </w:rPr>
            </w:pPr>
            <w:r w:rsidRPr="00543C25">
              <w:rPr>
                <w:rFonts w:hint="cs"/>
                <w:rtl/>
              </w:rPr>
              <w:t xml:space="preserve"> </w:t>
            </w:r>
            <w:r w:rsidRPr="00543C25">
              <w:rPr>
                <w:rtl/>
              </w:rPr>
              <w:t>0</w:t>
            </w:r>
          </w:p>
        </w:tc>
        <w:tc>
          <w:tcPr>
            <w:tcW w:w="1277" w:type="dxa"/>
            <w:vAlign w:val="bottom"/>
          </w:tcPr>
          <w:p w14:paraId="4400A9DF" w14:textId="0F9945E3" w:rsidR="003F7B6D" w:rsidRPr="00543C25" w:rsidRDefault="003F7B6D" w:rsidP="003F7B6D">
            <w:pPr>
              <w:pStyle w:val="-3"/>
              <w:rPr>
                <w:rtl/>
              </w:rPr>
            </w:pPr>
            <w:r w:rsidRPr="00543C25">
              <w:rPr>
                <w:rFonts w:hint="cs"/>
                <w:rtl/>
              </w:rPr>
              <w:t xml:space="preserve"> </w:t>
            </w:r>
            <w:r w:rsidRPr="00543C25">
              <w:rPr>
                <w:rtl/>
              </w:rPr>
              <w:t>0</w:t>
            </w:r>
          </w:p>
        </w:tc>
      </w:tr>
      <w:tr w:rsidR="003F7B6D" w:rsidRPr="00543C25" w14:paraId="6AA1EB0F" w14:textId="77777777" w:rsidTr="00EC46DF">
        <w:trPr>
          <w:trHeight w:val="259"/>
        </w:trPr>
        <w:tc>
          <w:tcPr>
            <w:tcW w:w="1020" w:type="dxa"/>
          </w:tcPr>
          <w:p w14:paraId="5113F3D0" w14:textId="77777777" w:rsidR="003F7B6D" w:rsidRPr="00ED6312" w:rsidRDefault="003F7B6D" w:rsidP="003F7B6D">
            <w:pPr>
              <w:pStyle w:val="-fa"/>
              <w:rPr>
                <w:rtl/>
              </w:rPr>
            </w:pPr>
          </w:p>
        </w:tc>
        <w:tc>
          <w:tcPr>
            <w:tcW w:w="5245" w:type="dxa"/>
          </w:tcPr>
          <w:p w14:paraId="057D553F" w14:textId="5191B6CA" w:rsidR="003F7B6D" w:rsidRDefault="003F7B6D" w:rsidP="004A29AB">
            <w:pPr>
              <w:pStyle w:val="-0"/>
              <w:spacing w:line="240" w:lineRule="auto"/>
              <w:ind w:left="706" w:hanging="252"/>
              <w:rPr>
                <w:rtl/>
              </w:rPr>
            </w:pPr>
            <w:r w:rsidRPr="003F7B6D">
              <w:rPr>
                <w:rtl/>
              </w:rPr>
              <w:t>בפיגור של 30 ימים ועד 89 ימים</w:t>
            </w:r>
          </w:p>
        </w:tc>
        <w:tc>
          <w:tcPr>
            <w:tcW w:w="397" w:type="dxa"/>
            <w:tcMar>
              <w:left w:w="58" w:type="dxa"/>
              <w:right w:w="58" w:type="dxa"/>
            </w:tcMar>
            <w:vAlign w:val="bottom"/>
          </w:tcPr>
          <w:p w14:paraId="343C0DD5" w14:textId="77777777" w:rsidR="003F7B6D" w:rsidRPr="00543C25" w:rsidRDefault="003F7B6D" w:rsidP="003F7B6D">
            <w:pPr>
              <w:pStyle w:val="-7"/>
              <w:jc w:val="left"/>
              <w:rPr>
                <w:rtl/>
              </w:rPr>
            </w:pPr>
          </w:p>
        </w:tc>
        <w:tc>
          <w:tcPr>
            <w:tcW w:w="1102" w:type="dxa"/>
            <w:vAlign w:val="bottom"/>
          </w:tcPr>
          <w:p w14:paraId="7EEB63D7" w14:textId="78E5D4E2" w:rsidR="003F7B6D" w:rsidRPr="00543C25" w:rsidRDefault="003F7B6D" w:rsidP="003F7B6D">
            <w:pPr>
              <w:pStyle w:val="-3"/>
              <w:pBdr>
                <w:bottom w:val="single" w:sz="4" w:space="1" w:color="auto"/>
              </w:pBdr>
              <w:rPr>
                <w:rtl/>
              </w:rPr>
            </w:pPr>
            <w:r w:rsidRPr="00543C25">
              <w:rPr>
                <w:rFonts w:hint="cs"/>
                <w:rtl/>
              </w:rPr>
              <w:t xml:space="preserve"> </w:t>
            </w:r>
            <w:r w:rsidRPr="00543C25">
              <w:rPr>
                <w:rtl/>
              </w:rPr>
              <w:t>0</w:t>
            </w:r>
          </w:p>
        </w:tc>
        <w:tc>
          <w:tcPr>
            <w:tcW w:w="794" w:type="dxa"/>
            <w:vAlign w:val="bottom"/>
          </w:tcPr>
          <w:p w14:paraId="2762298A" w14:textId="354FC491" w:rsidR="003F7B6D" w:rsidRPr="00543C25" w:rsidRDefault="003F7B6D" w:rsidP="003F7B6D">
            <w:pPr>
              <w:pStyle w:val="-3"/>
              <w:pBdr>
                <w:bottom w:val="single" w:sz="4" w:space="1" w:color="auto"/>
              </w:pBdr>
              <w:rPr>
                <w:rtl/>
              </w:rPr>
            </w:pPr>
            <w:r w:rsidRPr="00543C25">
              <w:rPr>
                <w:rFonts w:hint="cs"/>
                <w:rtl/>
              </w:rPr>
              <w:t xml:space="preserve"> </w:t>
            </w:r>
            <w:r w:rsidRPr="00543C25">
              <w:rPr>
                <w:rtl/>
              </w:rPr>
              <w:t>0</w:t>
            </w:r>
          </w:p>
        </w:tc>
        <w:tc>
          <w:tcPr>
            <w:tcW w:w="1277" w:type="dxa"/>
            <w:vAlign w:val="bottom"/>
          </w:tcPr>
          <w:p w14:paraId="7BE0657A" w14:textId="4CA716B4" w:rsidR="003F7B6D" w:rsidRPr="00543C25" w:rsidRDefault="003F7B6D" w:rsidP="003F7B6D">
            <w:pPr>
              <w:pStyle w:val="-3"/>
              <w:pBdr>
                <w:bottom w:val="single" w:sz="4" w:space="1" w:color="auto"/>
              </w:pBdr>
              <w:rPr>
                <w:rtl/>
              </w:rPr>
            </w:pPr>
            <w:r w:rsidRPr="00543C25">
              <w:rPr>
                <w:rFonts w:hint="cs"/>
                <w:rtl/>
              </w:rPr>
              <w:t xml:space="preserve"> </w:t>
            </w:r>
            <w:r w:rsidRPr="00543C25">
              <w:rPr>
                <w:rtl/>
              </w:rPr>
              <w:t>0</w:t>
            </w:r>
          </w:p>
        </w:tc>
      </w:tr>
      <w:tr w:rsidR="003F7B6D" w:rsidRPr="00543C25" w14:paraId="2D92218D" w14:textId="77777777" w:rsidTr="00EC46DF">
        <w:trPr>
          <w:trHeight w:val="259"/>
        </w:trPr>
        <w:tc>
          <w:tcPr>
            <w:tcW w:w="1020" w:type="dxa"/>
          </w:tcPr>
          <w:p w14:paraId="60C39476" w14:textId="77777777" w:rsidR="003F7B6D" w:rsidRPr="00ED6312" w:rsidRDefault="003F7B6D" w:rsidP="003F7B6D">
            <w:pPr>
              <w:pStyle w:val="-7"/>
              <w:bidi w:val="0"/>
              <w:ind w:right="-231"/>
              <w:jc w:val="left"/>
              <w:rPr>
                <w:spacing w:val="-6"/>
                <w:sz w:val="14"/>
                <w:szCs w:val="14"/>
                <w:rtl/>
              </w:rPr>
            </w:pPr>
          </w:p>
        </w:tc>
        <w:tc>
          <w:tcPr>
            <w:tcW w:w="5245" w:type="dxa"/>
            <w:shd w:val="clear" w:color="auto" w:fill="auto"/>
          </w:tcPr>
          <w:p w14:paraId="4A234FEE" w14:textId="4A58D748" w:rsidR="003F7B6D" w:rsidRPr="00543C25" w:rsidRDefault="003F7B6D" w:rsidP="004A29AB">
            <w:pPr>
              <w:pStyle w:val="-21"/>
              <w:ind w:left="142" w:firstLine="59"/>
              <w:rPr>
                <w:rtl/>
              </w:rPr>
            </w:pPr>
            <w:r w:rsidRPr="003F7B6D">
              <w:rPr>
                <w:rFonts w:hint="cs"/>
                <w:b/>
                <w:bCs/>
                <w:rtl/>
              </w:rPr>
              <w:t>סך הכל</w:t>
            </w:r>
          </w:p>
        </w:tc>
        <w:tc>
          <w:tcPr>
            <w:tcW w:w="397" w:type="dxa"/>
            <w:tcMar>
              <w:left w:w="58" w:type="dxa"/>
              <w:right w:w="58" w:type="dxa"/>
            </w:tcMar>
          </w:tcPr>
          <w:p w14:paraId="47BE27DD" w14:textId="77777777" w:rsidR="003F7B6D" w:rsidRPr="00543C25" w:rsidRDefault="003F7B6D" w:rsidP="003F7B6D">
            <w:pPr>
              <w:pStyle w:val="-7"/>
              <w:rPr>
                <w:b/>
                <w:bCs/>
                <w:highlight w:val="yellow"/>
                <w:rtl/>
              </w:rPr>
            </w:pPr>
          </w:p>
        </w:tc>
        <w:tc>
          <w:tcPr>
            <w:tcW w:w="1102" w:type="dxa"/>
            <w:vAlign w:val="bottom"/>
          </w:tcPr>
          <w:p w14:paraId="650C3149" w14:textId="10290DBA" w:rsidR="003F7B6D" w:rsidRPr="00543C25" w:rsidRDefault="003F7B6D" w:rsidP="003F7B6D">
            <w:pPr>
              <w:pStyle w:val="-f1"/>
              <w:pBdr>
                <w:top w:val="none" w:sz="0" w:space="0" w:color="auto"/>
                <w:bottom w:val="double" w:sz="4" w:space="1" w:color="auto"/>
              </w:pBdr>
              <w:rPr>
                <w:rtl/>
              </w:rPr>
            </w:pPr>
            <w:r w:rsidRPr="00543C25">
              <w:rPr>
                <w:rFonts w:hint="cs"/>
                <w:rtl/>
              </w:rPr>
              <w:t xml:space="preserve"> </w:t>
            </w:r>
            <w:r w:rsidRPr="00543C25">
              <w:rPr>
                <w:rtl/>
              </w:rPr>
              <w:t>0</w:t>
            </w:r>
          </w:p>
        </w:tc>
        <w:tc>
          <w:tcPr>
            <w:tcW w:w="794" w:type="dxa"/>
            <w:vAlign w:val="bottom"/>
          </w:tcPr>
          <w:p w14:paraId="1FCB9BDB" w14:textId="34017109" w:rsidR="003F7B6D" w:rsidRPr="00543C25" w:rsidRDefault="003F7B6D" w:rsidP="003F7B6D">
            <w:pPr>
              <w:pStyle w:val="-f1"/>
              <w:pBdr>
                <w:top w:val="none" w:sz="0" w:space="0" w:color="auto"/>
                <w:bottom w:val="double" w:sz="4" w:space="1" w:color="auto"/>
              </w:pBdr>
              <w:rPr>
                <w:rtl/>
              </w:rPr>
            </w:pPr>
            <w:r w:rsidRPr="00543C25">
              <w:rPr>
                <w:rFonts w:hint="cs"/>
                <w:rtl/>
              </w:rPr>
              <w:t xml:space="preserve"> </w:t>
            </w:r>
            <w:r w:rsidRPr="00543C25">
              <w:rPr>
                <w:rtl/>
              </w:rPr>
              <w:t>0</w:t>
            </w:r>
          </w:p>
        </w:tc>
        <w:tc>
          <w:tcPr>
            <w:tcW w:w="1277" w:type="dxa"/>
            <w:vAlign w:val="bottom"/>
          </w:tcPr>
          <w:p w14:paraId="6126EE55" w14:textId="5983B11E" w:rsidR="003F7B6D" w:rsidRPr="00543C25" w:rsidRDefault="003F7B6D" w:rsidP="003F7B6D">
            <w:pPr>
              <w:pStyle w:val="-f1"/>
              <w:pBdr>
                <w:top w:val="none" w:sz="0" w:space="0" w:color="auto"/>
                <w:bottom w:val="double" w:sz="4" w:space="1" w:color="auto"/>
              </w:pBdr>
              <w:rPr>
                <w:rtl/>
              </w:rPr>
            </w:pPr>
            <w:r w:rsidRPr="00543C25">
              <w:rPr>
                <w:rFonts w:hint="cs"/>
                <w:rtl/>
              </w:rPr>
              <w:t xml:space="preserve"> </w:t>
            </w:r>
            <w:r w:rsidRPr="00543C25">
              <w:rPr>
                <w:rtl/>
              </w:rPr>
              <w:t>0</w:t>
            </w:r>
          </w:p>
        </w:tc>
      </w:tr>
      <w:tr w:rsidR="00F77006" w:rsidRPr="00D851E7" w14:paraId="7FDDC91E" w14:textId="77777777" w:rsidTr="00EC46DF">
        <w:trPr>
          <w:trHeight w:hRule="exact" w:val="144"/>
        </w:trPr>
        <w:tc>
          <w:tcPr>
            <w:tcW w:w="1020" w:type="dxa"/>
          </w:tcPr>
          <w:p w14:paraId="5A1DDC90" w14:textId="77777777" w:rsidR="00F77006" w:rsidRPr="00ED6312" w:rsidRDefault="00F77006" w:rsidP="00F77006">
            <w:pPr>
              <w:pStyle w:val="-7"/>
              <w:bidi w:val="0"/>
              <w:spacing w:line="120" w:lineRule="exact"/>
              <w:ind w:right="-231"/>
              <w:jc w:val="left"/>
              <w:rPr>
                <w:spacing w:val="-6"/>
                <w:sz w:val="14"/>
                <w:szCs w:val="14"/>
                <w:rtl/>
              </w:rPr>
            </w:pPr>
          </w:p>
        </w:tc>
        <w:tc>
          <w:tcPr>
            <w:tcW w:w="5245" w:type="dxa"/>
          </w:tcPr>
          <w:p w14:paraId="46A35EF2" w14:textId="77777777" w:rsidR="00F77006" w:rsidRPr="00D851E7" w:rsidRDefault="00F77006" w:rsidP="00F77006">
            <w:pPr>
              <w:pStyle w:val="-7"/>
              <w:spacing w:line="120" w:lineRule="exact"/>
              <w:rPr>
                <w:rtl/>
              </w:rPr>
            </w:pPr>
          </w:p>
        </w:tc>
        <w:tc>
          <w:tcPr>
            <w:tcW w:w="397" w:type="dxa"/>
            <w:tcMar>
              <w:left w:w="58" w:type="dxa"/>
              <w:right w:w="58" w:type="dxa"/>
            </w:tcMar>
          </w:tcPr>
          <w:p w14:paraId="047E5391" w14:textId="77777777" w:rsidR="00F77006" w:rsidRPr="00D851E7" w:rsidRDefault="00F77006" w:rsidP="00F77006">
            <w:pPr>
              <w:pStyle w:val="-7"/>
              <w:spacing w:line="120" w:lineRule="exact"/>
              <w:rPr>
                <w:rtl/>
              </w:rPr>
            </w:pPr>
          </w:p>
        </w:tc>
        <w:tc>
          <w:tcPr>
            <w:tcW w:w="1102" w:type="dxa"/>
          </w:tcPr>
          <w:p w14:paraId="7D58997E" w14:textId="77777777" w:rsidR="00F77006" w:rsidRPr="00D851E7" w:rsidRDefault="00F77006" w:rsidP="00F77006">
            <w:pPr>
              <w:pStyle w:val="-212"/>
              <w:pBdr>
                <w:top w:val="none" w:sz="0" w:space="0" w:color="auto"/>
              </w:pBdr>
              <w:spacing w:line="120" w:lineRule="exact"/>
              <w:rPr>
                <w:rtl/>
              </w:rPr>
            </w:pPr>
          </w:p>
        </w:tc>
        <w:tc>
          <w:tcPr>
            <w:tcW w:w="794" w:type="dxa"/>
          </w:tcPr>
          <w:p w14:paraId="4B058357" w14:textId="77777777" w:rsidR="00F77006" w:rsidRPr="00D851E7" w:rsidRDefault="00F77006" w:rsidP="00F77006">
            <w:pPr>
              <w:pStyle w:val="-212"/>
              <w:pBdr>
                <w:top w:val="none" w:sz="0" w:space="0" w:color="auto"/>
              </w:pBdr>
              <w:spacing w:line="120" w:lineRule="exact"/>
              <w:rPr>
                <w:rtl/>
              </w:rPr>
            </w:pPr>
          </w:p>
        </w:tc>
        <w:tc>
          <w:tcPr>
            <w:tcW w:w="1277" w:type="dxa"/>
          </w:tcPr>
          <w:p w14:paraId="2D8C7128" w14:textId="77777777" w:rsidR="00F77006" w:rsidRPr="00D851E7" w:rsidRDefault="00F77006" w:rsidP="00F77006">
            <w:pPr>
              <w:pStyle w:val="-212"/>
              <w:pBdr>
                <w:top w:val="none" w:sz="0" w:space="0" w:color="auto"/>
              </w:pBdr>
              <w:spacing w:line="120" w:lineRule="exact"/>
              <w:rPr>
                <w:rtl/>
              </w:rPr>
            </w:pPr>
          </w:p>
        </w:tc>
      </w:tr>
    </w:tbl>
    <w:p w14:paraId="5A8CB3DC" w14:textId="77777777" w:rsidR="00EC0269" w:rsidRDefault="00EC0269"/>
    <w:tbl>
      <w:tblPr>
        <w:bidiVisual/>
        <w:tblW w:w="5005" w:type="pct"/>
        <w:tblInd w:w="-94" w:type="dxa"/>
        <w:tblLook w:val="04A0" w:firstRow="1" w:lastRow="0" w:firstColumn="1" w:lastColumn="0" w:noHBand="0" w:noVBand="1"/>
      </w:tblPr>
      <w:tblGrid>
        <w:gridCol w:w="1288"/>
        <w:gridCol w:w="8929"/>
      </w:tblGrid>
      <w:tr w:rsidR="00F77006" w:rsidRPr="00522CAE" w14:paraId="03513830" w14:textId="77777777" w:rsidTr="002017E8">
        <w:trPr>
          <w:trHeight w:val="245"/>
        </w:trPr>
        <w:tc>
          <w:tcPr>
            <w:tcW w:w="1288" w:type="dxa"/>
          </w:tcPr>
          <w:p w14:paraId="4D6E0D9D" w14:textId="77777777" w:rsidR="00F77006" w:rsidRPr="002017E8" w:rsidRDefault="00F77006" w:rsidP="002211DD">
            <w:pPr>
              <w:pStyle w:val="-0"/>
              <w:rPr>
                <w:color w:val="auto"/>
                <w:sz w:val="14"/>
                <w:szCs w:val="14"/>
                <w:rtl/>
              </w:rPr>
            </w:pPr>
            <w:r w:rsidRPr="002017E8">
              <w:rPr>
                <w:color w:val="auto"/>
                <w:sz w:val="14"/>
                <w:szCs w:val="14"/>
              </w:rPr>
              <w:t>326-30-50-3</w:t>
            </w:r>
            <w:r w:rsidRPr="002017E8">
              <w:rPr>
                <w:rFonts w:hint="cs"/>
                <w:color w:val="auto"/>
                <w:sz w:val="14"/>
                <w:szCs w:val="14"/>
              </w:rPr>
              <w:t>D</w:t>
            </w:r>
          </w:p>
          <w:p w14:paraId="120D2FC2" w14:textId="77777777" w:rsidR="00F77006" w:rsidRPr="002017E8" w:rsidRDefault="00F77006" w:rsidP="002211DD">
            <w:pPr>
              <w:pStyle w:val="-0"/>
              <w:rPr>
                <w:color w:val="auto"/>
                <w:sz w:val="14"/>
                <w:szCs w:val="14"/>
                <w:rtl/>
              </w:rPr>
            </w:pPr>
            <w:r w:rsidRPr="002017E8">
              <w:rPr>
                <w:color w:val="auto"/>
                <w:sz w:val="14"/>
                <w:szCs w:val="14"/>
              </w:rPr>
              <w:t>326-20-50-3</w:t>
            </w:r>
            <w:r w:rsidRPr="002017E8">
              <w:rPr>
                <w:rFonts w:hint="cs"/>
                <w:color w:val="auto"/>
                <w:sz w:val="14"/>
                <w:szCs w:val="14"/>
              </w:rPr>
              <w:t>D</w:t>
            </w:r>
          </w:p>
          <w:p w14:paraId="1EEDD249" w14:textId="77777777" w:rsidR="00F77006" w:rsidRPr="002017E8" w:rsidRDefault="00F77006" w:rsidP="002211DD">
            <w:pPr>
              <w:pStyle w:val="-0"/>
              <w:rPr>
                <w:color w:val="auto"/>
                <w:sz w:val="18"/>
                <w:szCs w:val="18"/>
                <w:rtl/>
              </w:rPr>
            </w:pPr>
          </w:p>
        </w:tc>
        <w:tc>
          <w:tcPr>
            <w:tcW w:w="8929" w:type="dxa"/>
          </w:tcPr>
          <w:p w14:paraId="24A905D3" w14:textId="3F810905" w:rsidR="00F77006" w:rsidRPr="002017E8" w:rsidRDefault="00F77006" w:rsidP="002017E8">
            <w:pPr>
              <w:pStyle w:val="-f1"/>
              <w:pBdr>
                <w:top w:val="none" w:sz="0" w:space="0" w:color="auto"/>
              </w:pBdr>
              <w:ind w:left="596" w:hanging="283"/>
              <w:jc w:val="both"/>
              <w:rPr>
                <w:b w:val="0"/>
                <w:bCs w:val="0"/>
                <w:color w:val="auto"/>
                <w:sz w:val="18"/>
                <w:szCs w:val="18"/>
              </w:rPr>
            </w:pPr>
            <w:r w:rsidRPr="002017E8">
              <w:rPr>
                <w:rFonts w:asciiTheme="minorBidi" w:hAnsiTheme="minorBidi"/>
                <w:b w:val="0"/>
                <w:bCs w:val="0"/>
                <w:sz w:val="18"/>
                <w:szCs w:val="18"/>
                <w:rtl/>
              </w:rPr>
              <w:t>(א</w:t>
            </w:r>
            <w:r w:rsidRPr="002017E8">
              <w:rPr>
                <w:rFonts w:asciiTheme="minorBidi" w:hAnsiTheme="minorBidi" w:hint="cs"/>
                <w:b w:val="0"/>
                <w:bCs w:val="0"/>
                <w:sz w:val="18"/>
                <w:szCs w:val="18"/>
                <w:rtl/>
              </w:rPr>
              <w:t xml:space="preserve">) </w:t>
            </w:r>
            <w:r w:rsidRPr="002017E8">
              <w:rPr>
                <w:rFonts w:asciiTheme="minorBidi" w:hAnsiTheme="minorBidi"/>
                <w:b w:val="0"/>
                <w:bCs w:val="0"/>
                <w:sz w:val="18"/>
                <w:szCs w:val="18"/>
                <w:rtl/>
              </w:rPr>
              <w:t xml:space="preserve">סכום הריבית </w:t>
            </w:r>
            <w:r w:rsidRPr="002017E8">
              <w:rPr>
                <w:rFonts w:asciiTheme="minorBidi" w:hAnsiTheme="minorBidi" w:hint="cs"/>
                <w:b w:val="0"/>
                <w:bCs w:val="0"/>
                <w:sz w:val="18"/>
                <w:szCs w:val="18"/>
                <w:rtl/>
              </w:rPr>
              <w:t xml:space="preserve">לקבל </w:t>
            </w:r>
            <w:r w:rsidRPr="002017E8">
              <w:rPr>
                <w:rFonts w:asciiTheme="minorBidi" w:hAnsiTheme="minorBidi"/>
                <w:b w:val="0"/>
                <w:bCs w:val="0"/>
                <w:sz w:val="18"/>
                <w:szCs w:val="18"/>
                <w:rtl/>
              </w:rPr>
              <w:t>שנצב</w:t>
            </w:r>
            <w:r w:rsidRPr="002017E8">
              <w:rPr>
                <w:rFonts w:asciiTheme="minorBidi" w:hAnsiTheme="minorBidi" w:hint="cs"/>
                <w:b w:val="0"/>
                <w:bCs w:val="0"/>
                <w:sz w:val="18"/>
                <w:szCs w:val="18"/>
                <w:rtl/>
              </w:rPr>
              <w:t xml:space="preserve">רה שנמחקה חשבונאית על ידי ביטול </w:t>
            </w:r>
            <w:r w:rsidRPr="002017E8">
              <w:rPr>
                <w:rFonts w:asciiTheme="minorBidi" w:hAnsiTheme="minorBidi"/>
                <w:b w:val="0"/>
                <w:bCs w:val="0"/>
                <w:sz w:val="18"/>
                <w:szCs w:val="18"/>
                <w:rtl/>
              </w:rPr>
              <w:t xml:space="preserve">הכנסות ריבית </w:t>
            </w:r>
            <w:r w:rsidRPr="002017E8">
              <w:rPr>
                <w:rFonts w:asciiTheme="minorBidi" w:hAnsiTheme="minorBidi" w:hint="cs"/>
                <w:b w:val="0"/>
                <w:bCs w:val="0"/>
                <w:sz w:val="18"/>
                <w:szCs w:val="18"/>
                <w:rtl/>
              </w:rPr>
              <w:t>הינו</w:t>
            </w:r>
            <w:r w:rsidRPr="002017E8">
              <w:rPr>
                <w:rFonts w:asciiTheme="minorBidi" w:hAnsiTheme="minorBidi"/>
                <w:b w:val="0"/>
                <w:bCs w:val="0"/>
                <w:sz w:val="18"/>
                <w:szCs w:val="18"/>
                <w:rtl/>
              </w:rPr>
              <w:t xml:space="preserve"> ב</w:t>
            </w:r>
            <w:r w:rsidRPr="002017E8">
              <w:rPr>
                <w:rFonts w:asciiTheme="minorBidi" w:hAnsiTheme="minorBidi" w:hint="cs"/>
                <w:b w:val="0"/>
                <w:bCs w:val="0"/>
                <w:sz w:val="18"/>
                <w:szCs w:val="18"/>
                <w:rtl/>
              </w:rPr>
              <w:t>סך ___ מיליוני ₪ לתקופה של 6 חודשים שה</w:t>
            </w:r>
            <w:r w:rsidRPr="002017E8">
              <w:rPr>
                <w:rFonts w:asciiTheme="minorBidi" w:hAnsiTheme="minorBidi"/>
                <w:b w:val="0"/>
                <w:bCs w:val="0"/>
                <w:sz w:val="18"/>
                <w:szCs w:val="18"/>
                <w:rtl/>
              </w:rPr>
              <w:t>סתיימה ב-3</w:t>
            </w:r>
            <w:r w:rsidRPr="002017E8">
              <w:rPr>
                <w:rFonts w:asciiTheme="minorBidi" w:hAnsiTheme="minorBidi" w:hint="cs"/>
                <w:b w:val="0"/>
                <w:bCs w:val="0"/>
                <w:sz w:val="18"/>
                <w:szCs w:val="18"/>
                <w:rtl/>
              </w:rPr>
              <w:t>0</w:t>
            </w:r>
            <w:r w:rsidRPr="002017E8">
              <w:rPr>
                <w:rFonts w:asciiTheme="minorBidi" w:hAnsiTheme="minorBidi"/>
                <w:b w:val="0"/>
                <w:bCs w:val="0"/>
                <w:sz w:val="18"/>
                <w:szCs w:val="18"/>
                <w:rtl/>
              </w:rPr>
              <w:t xml:space="preserve"> </w:t>
            </w:r>
            <w:r w:rsidRPr="002017E8">
              <w:rPr>
                <w:rFonts w:asciiTheme="minorBidi" w:hAnsiTheme="minorBidi" w:hint="cs"/>
                <w:b w:val="0"/>
                <w:bCs w:val="0"/>
                <w:sz w:val="18"/>
                <w:szCs w:val="18"/>
                <w:rtl/>
              </w:rPr>
              <w:t xml:space="preserve">ביוני </w:t>
            </w:r>
            <w:r w:rsidR="00522F87" w:rsidRPr="002017E8">
              <w:rPr>
                <w:rFonts w:asciiTheme="minorBidi" w:hAnsiTheme="minorBidi"/>
                <w:b w:val="0"/>
                <w:bCs w:val="0"/>
                <w:sz w:val="18"/>
                <w:szCs w:val="18"/>
                <w:rtl/>
              </w:rPr>
              <w:fldChar w:fldCharType="begin"/>
            </w:r>
            <w:r w:rsidR="00522F87" w:rsidRPr="002017E8">
              <w:rPr>
                <w:rFonts w:asciiTheme="minorBidi" w:hAnsiTheme="minorBidi"/>
                <w:b w:val="0"/>
                <w:bCs w:val="0"/>
                <w:sz w:val="18"/>
                <w:szCs w:val="18"/>
                <w:rtl/>
              </w:rPr>
              <w:instrText xml:space="preserve"> </w:instrText>
            </w:r>
            <w:r w:rsidR="00522F87" w:rsidRPr="002017E8">
              <w:rPr>
                <w:rFonts w:asciiTheme="minorBidi" w:hAnsiTheme="minorBidi" w:hint="cs"/>
                <w:b w:val="0"/>
                <w:bCs w:val="0"/>
                <w:sz w:val="18"/>
                <w:szCs w:val="18"/>
                <w:rtl/>
              </w:rPr>
              <w:instrText xml:space="preserve">= </w:instrText>
            </w:r>
            <w:r w:rsidR="00522F87" w:rsidRPr="002017E8">
              <w:rPr>
                <w:rFonts w:asciiTheme="minorBidi" w:hAnsiTheme="minorBidi" w:hint="cs"/>
                <w:b w:val="0"/>
                <w:bCs w:val="0"/>
                <w:sz w:val="18"/>
                <w:szCs w:val="18"/>
              </w:rPr>
              <w:instrText>CY \* MERGEFORMAT</w:instrText>
            </w:r>
            <w:r w:rsidR="00522F87" w:rsidRPr="002017E8">
              <w:rPr>
                <w:rFonts w:asciiTheme="minorBidi" w:hAnsiTheme="minorBidi"/>
                <w:b w:val="0"/>
                <w:bCs w:val="0"/>
                <w:sz w:val="18"/>
                <w:szCs w:val="18"/>
                <w:rtl/>
              </w:rPr>
              <w:instrText xml:space="preserve"> </w:instrText>
            </w:r>
            <w:r w:rsidR="00522F87" w:rsidRPr="002017E8">
              <w:rPr>
                <w:rFonts w:asciiTheme="minorBidi" w:hAnsiTheme="minorBidi"/>
                <w:b w:val="0"/>
                <w:bCs w:val="0"/>
                <w:sz w:val="18"/>
                <w:szCs w:val="18"/>
                <w:rtl/>
              </w:rPr>
              <w:fldChar w:fldCharType="separate"/>
            </w:r>
            <w:r w:rsidR="003A584F" w:rsidRPr="002017E8">
              <w:rPr>
                <w:rFonts w:asciiTheme="minorBidi" w:hAnsiTheme="minorBidi"/>
                <w:b w:val="0"/>
                <w:bCs w:val="0"/>
                <w:noProof/>
                <w:sz w:val="18"/>
                <w:szCs w:val="18"/>
                <w:rtl/>
              </w:rPr>
              <w:t>2024</w:t>
            </w:r>
            <w:r w:rsidR="00522F87" w:rsidRPr="002017E8">
              <w:rPr>
                <w:rFonts w:asciiTheme="minorBidi" w:hAnsiTheme="minorBidi"/>
                <w:b w:val="0"/>
                <w:bCs w:val="0"/>
                <w:sz w:val="18"/>
                <w:szCs w:val="18"/>
                <w:rtl/>
              </w:rPr>
              <w:fldChar w:fldCharType="end"/>
            </w:r>
            <w:r w:rsidR="00A9651E" w:rsidRPr="002017E8">
              <w:rPr>
                <w:rFonts w:asciiTheme="minorBidi" w:hAnsiTheme="minorBidi" w:hint="cs"/>
                <w:b w:val="0"/>
                <w:bCs w:val="0"/>
                <w:sz w:val="18"/>
                <w:szCs w:val="18"/>
                <w:rtl/>
              </w:rPr>
              <w:t xml:space="preserve"> (סך ___ ו-___ מיליוני ש"ח ל</w:t>
            </w:r>
            <w:r w:rsidR="006D5376">
              <w:rPr>
                <w:rFonts w:asciiTheme="minorBidi" w:hAnsiTheme="minorBidi" w:hint="cs"/>
                <w:b w:val="0"/>
                <w:bCs w:val="0"/>
                <w:sz w:val="18"/>
                <w:szCs w:val="18"/>
                <w:rtl/>
              </w:rPr>
              <w:t>תקופה ולשנה שהסתיימו ב-</w:t>
            </w:r>
            <w:r w:rsidR="00A9651E" w:rsidRPr="002017E8">
              <w:rPr>
                <w:rFonts w:asciiTheme="minorBidi" w:hAnsiTheme="minorBidi" w:hint="cs"/>
                <w:b w:val="0"/>
                <w:bCs w:val="0"/>
                <w:sz w:val="18"/>
                <w:szCs w:val="18"/>
                <w:rtl/>
              </w:rPr>
              <w:t xml:space="preserve">30 ביוני </w:t>
            </w:r>
            <w:r w:rsidR="00A9651E" w:rsidRPr="002017E8">
              <w:rPr>
                <w:rFonts w:asciiTheme="minorBidi" w:hAnsiTheme="minorBidi"/>
                <w:b w:val="0"/>
                <w:bCs w:val="0"/>
                <w:sz w:val="18"/>
                <w:szCs w:val="18"/>
                <w:rtl/>
              </w:rPr>
              <w:fldChar w:fldCharType="begin"/>
            </w:r>
            <w:r w:rsidR="00A9651E" w:rsidRPr="002017E8">
              <w:rPr>
                <w:rFonts w:asciiTheme="minorBidi" w:hAnsiTheme="minorBidi"/>
                <w:b w:val="0"/>
                <w:bCs w:val="0"/>
                <w:sz w:val="18"/>
                <w:szCs w:val="18"/>
                <w:rtl/>
              </w:rPr>
              <w:instrText xml:space="preserve"> </w:instrText>
            </w:r>
            <w:r w:rsidR="00A9651E" w:rsidRPr="002017E8">
              <w:rPr>
                <w:rFonts w:asciiTheme="minorBidi" w:hAnsiTheme="minorBidi" w:hint="cs"/>
                <w:b w:val="0"/>
                <w:bCs w:val="0"/>
                <w:sz w:val="18"/>
                <w:szCs w:val="18"/>
                <w:rtl/>
              </w:rPr>
              <w:instrText>=</w:instrText>
            </w:r>
            <w:r w:rsidR="00A9651E" w:rsidRPr="002017E8">
              <w:rPr>
                <w:rFonts w:asciiTheme="minorBidi" w:hAnsiTheme="minorBidi" w:hint="cs"/>
                <w:b w:val="0"/>
                <w:bCs w:val="0"/>
                <w:sz w:val="18"/>
                <w:szCs w:val="18"/>
              </w:rPr>
              <w:instrText>cy</w:instrText>
            </w:r>
            <w:r w:rsidR="00A9651E" w:rsidRPr="002017E8">
              <w:rPr>
                <w:rFonts w:asciiTheme="minorBidi" w:hAnsiTheme="minorBidi"/>
                <w:b w:val="0"/>
                <w:bCs w:val="0"/>
                <w:sz w:val="18"/>
                <w:szCs w:val="18"/>
              </w:rPr>
              <w:instrText>-1</w:instrText>
            </w:r>
            <w:r w:rsidR="00A9651E" w:rsidRPr="002017E8">
              <w:rPr>
                <w:rFonts w:asciiTheme="minorBidi" w:hAnsiTheme="minorBidi" w:hint="cs"/>
                <w:b w:val="0"/>
                <w:bCs w:val="0"/>
                <w:sz w:val="18"/>
                <w:szCs w:val="18"/>
              </w:rPr>
              <w:instrText xml:space="preserve"> \* MERGEFORMAT</w:instrText>
            </w:r>
            <w:r w:rsidR="00A9651E" w:rsidRPr="002017E8">
              <w:rPr>
                <w:rFonts w:asciiTheme="minorBidi" w:hAnsiTheme="minorBidi"/>
                <w:b w:val="0"/>
                <w:bCs w:val="0"/>
                <w:sz w:val="18"/>
                <w:szCs w:val="18"/>
                <w:rtl/>
              </w:rPr>
              <w:instrText xml:space="preserve"> </w:instrText>
            </w:r>
            <w:r w:rsidR="00A9651E" w:rsidRPr="002017E8">
              <w:rPr>
                <w:rFonts w:asciiTheme="minorBidi" w:hAnsiTheme="minorBidi"/>
                <w:b w:val="0"/>
                <w:bCs w:val="0"/>
                <w:sz w:val="18"/>
                <w:szCs w:val="18"/>
                <w:rtl/>
              </w:rPr>
              <w:fldChar w:fldCharType="separate"/>
            </w:r>
            <w:r w:rsidR="003A584F" w:rsidRPr="002017E8">
              <w:rPr>
                <w:rFonts w:asciiTheme="minorBidi" w:hAnsiTheme="minorBidi"/>
                <w:b w:val="0"/>
                <w:bCs w:val="0"/>
                <w:noProof/>
                <w:sz w:val="18"/>
                <w:szCs w:val="18"/>
                <w:rtl/>
              </w:rPr>
              <w:t>2023</w:t>
            </w:r>
            <w:r w:rsidR="00A9651E" w:rsidRPr="002017E8">
              <w:rPr>
                <w:rFonts w:asciiTheme="minorBidi" w:hAnsiTheme="minorBidi"/>
                <w:b w:val="0"/>
                <w:bCs w:val="0"/>
                <w:sz w:val="18"/>
                <w:szCs w:val="18"/>
                <w:rtl/>
              </w:rPr>
              <w:fldChar w:fldCharType="end"/>
            </w:r>
            <w:r w:rsidR="00A9651E" w:rsidRPr="002017E8">
              <w:rPr>
                <w:rFonts w:asciiTheme="minorBidi" w:hAnsiTheme="minorBidi" w:hint="cs"/>
                <w:b w:val="0"/>
                <w:bCs w:val="0"/>
                <w:sz w:val="18"/>
                <w:szCs w:val="18"/>
                <w:rtl/>
              </w:rPr>
              <w:t xml:space="preserve"> ו-31 בדצמבר </w:t>
            </w:r>
            <w:r w:rsidR="00A9651E" w:rsidRPr="002017E8">
              <w:rPr>
                <w:rFonts w:asciiTheme="minorBidi" w:hAnsiTheme="minorBidi"/>
                <w:b w:val="0"/>
                <w:bCs w:val="0"/>
                <w:sz w:val="18"/>
                <w:szCs w:val="18"/>
                <w:rtl/>
              </w:rPr>
              <w:fldChar w:fldCharType="begin"/>
            </w:r>
            <w:r w:rsidR="00A9651E" w:rsidRPr="002017E8">
              <w:rPr>
                <w:rFonts w:asciiTheme="minorBidi" w:hAnsiTheme="minorBidi"/>
                <w:b w:val="0"/>
                <w:bCs w:val="0"/>
                <w:sz w:val="18"/>
                <w:szCs w:val="18"/>
                <w:rtl/>
              </w:rPr>
              <w:instrText xml:space="preserve"> </w:instrText>
            </w:r>
            <w:r w:rsidR="00A9651E" w:rsidRPr="002017E8">
              <w:rPr>
                <w:rFonts w:asciiTheme="minorBidi" w:hAnsiTheme="minorBidi" w:hint="cs"/>
                <w:b w:val="0"/>
                <w:bCs w:val="0"/>
                <w:sz w:val="18"/>
                <w:szCs w:val="18"/>
                <w:rtl/>
              </w:rPr>
              <w:instrText>=</w:instrText>
            </w:r>
            <w:r w:rsidR="00A9651E" w:rsidRPr="002017E8">
              <w:rPr>
                <w:rFonts w:asciiTheme="minorBidi" w:hAnsiTheme="minorBidi" w:hint="cs"/>
                <w:b w:val="0"/>
                <w:bCs w:val="0"/>
                <w:sz w:val="18"/>
                <w:szCs w:val="18"/>
              </w:rPr>
              <w:instrText>cy</w:instrText>
            </w:r>
            <w:r w:rsidR="00A9651E" w:rsidRPr="002017E8">
              <w:rPr>
                <w:rFonts w:asciiTheme="minorBidi" w:hAnsiTheme="minorBidi"/>
                <w:b w:val="0"/>
                <w:bCs w:val="0"/>
                <w:sz w:val="18"/>
                <w:szCs w:val="18"/>
              </w:rPr>
              <w:instrText>-1</w:instrText>
            </w:r>
            <w:r w:rsidR="00A9651E" w:rsidRPr="002017E8">
              <w:rPr>
                <w:rFonts w:asciiTheme="minorBidi" w:hAnsiTheme="minorBidi" w:hint="cs"/>
                <w:b w:val="0"/>
                <w:bCs w:val="0"/>
                <w:sz w:val="18"/>
                <w:szCs w:val="18"/>
              </w:rPr>
              <w:instrText xml:space="preserve"> \* MERGEFORMAT</w:instrText>
            </w:r>
            <w:r w:rsidR="00A9651E" w:rsidRPr="002017E8">
              <w:rPr>
                <w:rFonts w:asciiTheme="minorBidi" w:hAnsiTheme="minorBidi"/>
                <w:b w:val="0"/>
                <w:bCs w:val="0"/>
                <w:sz w:val="18"/>
                <w:szCs w:val="18"/>
                <w:rtl/>
              </w:rPr>
              <w:instrText xml:space="preserve"> </w:instrText>
            </w:r>
            <w:r w:rsidR="00A9651E" w:rsidRPr="002017E8">
              <w:rPr>
                <w:rFonts w:asciiTheme="minorBidi" w:hAnsiTheme="minorBidi"/>
                <w:b w:val="0"/>
                <w:bCs w:val="0"/>
                <w:sz w:val="18"/>
                <w:szCs w:val="18"/>
                <w:rtl/>
              </w:rPr>
              <w:fldChar w:fldCharType="separate"/>
            </w:r>
            <w:r w:rsidR="003A584F" w:rsidRPr="002017E8">
              <w:rPr>
                <w:rFonts w:asciiTheme="minorBidi" w:hAnsiTheme="minorBidi"/>
                <w:b w:val="0"/>
                <w:bCs w:val="0"/>
                <w:noProof/>
                <w:sz w:val="18"/>
                <w:szCs w:val="18"/>
                <w:rtl/>
              </w:rPr>
              <w:t>2023</w:t>
            </w:r>
            <w:r w:rsidR="00A9651E" w:rsidRPr="002017E8">
              <w:rPr>
                <w:rFonts w:asciiTheme="minorBidi" w:hAnsiTheme="minorBidi"/>
                <w:b w:val="0"/>
                <w:bCs w:val="0"/>
                <w:sz w:val="18"/>
                <w:szCs w:val="18"/>
                <w:rtl/>
              </w:rPr>
              <w:fldChar w:fldCharType="end"/>
            </w:r>
            <w:r w:rsidR="00A9651E" w:rsidRPr="002017E8">
              <w:rPr>
                <w:rFonts w:asciiTheme="minorBidi" w:hAnsiTheme="minorBidi" w:hint="cs"/>
                <w:b w:val="0"/>
                <w:bCs w:val="0"/>
                <w:sz w:val="18"/>
                <w:szCs w:val="18"/>
                <w:rtl/>
              </w:rPr>
              <w:t>, בהתאמה)</w:t>
            </w:r>
            <w:r w:rsidRPr="002017E8">
              <w:rPr>
                <w:rFonts w:asciiTheme="minorBidi" w:hAnsiTheme="minorBidi"/>
                <w:b w:val="0"/>
                <w:bCs w:val="0"/>
                <w:sz w:val="18"/>
                <w:szCs w:val="18"/>
                <w:rtl/>
              </w:rPr>
              <w:t>.</w:t>
            </w:r>
            <w:r w:rsidRPr="002017E8">
              <w:rPr>
                <w:b w:val="0"/>
                <w:bCs w:val="0"/>
                <w:color w:val="auto"/>
                <w:sz w:val="18"/>
                <w:szCs w:val="18"/>
                <w:rtl/>
              </w:rPr>
              <w:t xml:space="preserve"> </w:t>
            </w:r>
            <w:r w:rsidRPr="002017E8">
              <w:rPr>
                <w:b w:val="0"/>
                <w:bCs w:val="0"/>
                <w:i/>
                <w:iCs/>
                <w:color w:val="auto"/>
                <w:sz w:val="18"/>
                <w:szCs w:val="18"/>
                <w:rtl/>
              </w:rPr>
              <w:t>(הערה: הגילוי יינתן לפי סוג עיקרי של ניירות ערך).</w:t>
            </w:r>
          </w:p>
        </w:tc>
      </w:tr>
    </w:tbl>
    <w:p w14:paraId="0F694931" w14:textId="6BEF07D1" w:rsidR="002211DD" w:rsidRDefault="002211DD">
      <w:pPr>
        <w:bidi w:val="0"/>
        <w:jc w:val="left"/>
      </w:pPr>
    </w:p>
    <w:tbl>
      <w:tblPr>
        <w:bidiVisual/>
        <w:tblW w:w="5014" w:type="pct"/>
        <w:jc w:val="right"/>
        <w:tblLayout w:type="fixed"/>
        <w:tblLook w:val="0000" w:firstRow="0" w:lastRow="0" w:firstColumn="0" w:lastColumn="0" w:noHBand="0" w:noVBand="0"/>
      </w:tblPr>
      <w:tblGrid>
        <w:gridCol w:w="1020"/>
        <w:gridCol w:w="283"/>
        <w:gridCol w:w="8933"/>
      </w:tblGrid>
      <w:tr w:rsidR="00BA7728" w:rsidRPr="007363C7" w14:paraId="720DCD36" w14:textId="77777777" w:rsidTr="00BA7728">
        <w:trPr>
          <w:trHeight w:val="245"/>
          <w:jc w:val="right"/>
        </w:trPr>
        <w:tc>
          <w:tcPr>
            <w:tcW w:w="1020" w:type="dxa"/>
          </w:tcPr>
          <w:p w14:paraId="7B144EFC" w14:textId="77777777" w:rsidR="00BA7728" w:rsidRPr="00ED6312" w:rsidRDefault="00BA7728" w:rsidP="00030C7C">
            <w:pPr>
              <w:pStyle w:val="-fa"/>
              <w:rPr>
                <w:b/>
                <w:bCs/>
                <w:rtl/>
              </w:rPr>
            </w:pPr>
            <w:r>
              <w:rPr>
                <w:rFonts w:hint="cs"/>
                <w:rtl/>
              </w:rPr>
              <w:t>ה. המפקח ס' 25</w:t>
            </w:r>
          </w:p>
        </w:tc>
        <w:tc>
          <w:tcPr>
            <w:tcW w:w="9215" w:type="dxa"/>
            <w:gridSpan w:val="2"/>
          </w:tcPr>
          <w:p w14:paraId="5869E89E" w14:textId="302B91A7" w:rsidR="00BA7728" w:rsidRPr="00DC3591" w:rsidRDefault="00BA7728" w:rsidP="00BA7728">
            <w:pPr>
              <w:pStyle w:val="-f8"/>
              <w:rPr>
                <w:rtl/>
              </w:rPr>
            </w:pPr>
            <w:r>
              <w:rPr>
                <w:rFonts w:hint="cs"/>
                <w:rtl/>
              </w:rPr>
              <w:t>ה. אגרות</w:t>
            </w:r>
            <w:r w:rsidRPr="00DC3591">
              <w:rPr>
                <w:rFonts w:hint="cs"/>
                <w:rtl/>
              </w:rPr>
              <w:t xml:space="preserve"> חוב מוחזקות לפדיון - מידע נוסף:</w:t>
            </w:r>
          </w:p>
        </w:tc>
      </w:tr>
      <w:tr w:rsidR="00A70615" w:rsidRPr="007363C7" w14:paraId="456BBD6D" w14:textId="77777777" w:rsidTr="00BA7728">
        <w:trPr>
          <w:trHeight w:val="245"/>
          <w:jc w:val="right"/>
        </w:trPr>
        <w:tc>
          <w:tcPr>
            <w:tcW w:w="1020" w:type="dxa"/>
          </w:tcPr>
          <w:p w14:paraId="16868C54" w14:textId="4A4DB4E8" w:rsidR="00A70615" w:rsidRPr="00FB166B" w:rsidRDefault="00A70615" w:rsidP="003F7865">
            <w:pPr>
              <w:pStyle w:val="-fa"/>
              <w:rPr>
                <w:strike/>
                <w:rtl/>
              </w:rPr>
            </w:pPr>
          </w:p>
        </w:tc>
        <w:tc>
          <w:tcPr>
            <w:tcW w:w="283" w:type="dxa"/>
          </w:tcPr>
          <w:p w14:paraId="42C221CC" w14:textId="77777777" w:rsidR="00A70615" w:rsidRDefault="00A70615" w:rsidP="003F6B9D">
            <w:pPr>
              <w:pStyle w:val="-f8"/>
              <w:rPr>
                <w:rtl/>
              </w:rPr>
            </w:pPr>
          </w:p>
        </w:tc>
        <w:tc>
          <w:tcPr>
            <w:tcW w:w="8932" w:type="dxa"/>
          </w:tcPr>
          <w:p w14:paraId="2C975A30" w14:textId="77777777" w:rsidR="00CF2A74" w:rsidRPr="00CF2A74" w:rsidRDefault="003D198C" w:rsidP="007F5094">
            <w:pPr>
              <w:pStyle w:val="-13"/>
              <w:tabs>
                <w:tab w:val="clear" w:pos="446"/>
                <w:tab w:val="left" w:pos="315"/>
              </w:tabs>
              <w:spacing w:line="240" w:lineRule="auto"/>
              <w:rPr>
                <w:rtl/>
              </w:rPr>
            </w:pPr>
            <w:r>
              <w:rPr>
                <w:rFonts w:hint="cs"/>
                <w:b/>
                <w:bCs/>
                <w:rtl/>
              </w:rPr>
              <w:t>1.</w:t>
            </w:r>
            <w:r>
              <w:rPr>
                <w:b/>
                <w:bCs/>
                <w:rtl/>
              </w:rPr>
              <w:tab/>
            </w:r>
            <w:r w:rsidR="00A70615">
              <w:rPr>
                <w:rFonts w:hint="cs"/>
                <w:b/>
                <w:bCs/>
                <w:rtl/>
              </w:rPr>
              <w:t>[</w:t>
            </w:r>
            <w:r w:rsidR="00A70615">
              <w:rPr>
                <w:rFonts w:hint="cs"/>
                <w:rtl/>
              </w:rPr>
              <w:t xml:space="preserve">יינתן גילוי לרווחים והפסדים בגין נגזרים שגידרו רכישה חזויה של </w:t>
            </w:r>
            <w:r w:rsidR="00A674A4">
              <w:rPr>
                <w:rFonts w:hint="cs"/>
                <w:rtl/>
              </w:rPr>
              <w:t>אגרות</w:t>
            </w:r>
            <w:r w:rsidR="00A70615">
              <w:rPr>
                <w:rFonts w:hint="cs"/>
                <w:rtl/>
              </w:rPr>
              <w:t xml:space="preserve"> חוב מוחזקות לפדיון הכלולים ברווח כולל אחר, לפי סוגי </w:t>
            </w:r>
            <w:r w:rsidR="00A674A4">
              <w:rPr>
                <w:rFonts w:hint="cs"/>
                <w:rtl/>
              </w:rPr>
              <w:t>אגרות</w:t>
            </w:r>
            <w:r w:rsidR="00A70615">
              <w:rPr>
                <w:rFonts w:hint="cs"/>
                <w:rtl/>
              </w:rPr>
              <w:t xml:space="preserve"> החוב כמפורט בסעיף א</w:t>
            </w:r>
            <w:r w:rsidR="003A6C8D">
              <w:rPr>
                <w:rFonts w:hint="cs"/>
                <w:rtl/>
              </w:rPr>
              <w:t>'</w:t>
            </w:r>
            <w:r w:rsidR="00A70615">
              <w:rPr>
                <w:rFonts w:hint="cs"/>
                <w:rtl/>
              </w:rPr>
              <w:t xml:space="preserve"> לעיל</w:t>
            </w:r>
            <w:r w:rsidR="00A70615">
              <w:rPr>
                <w:rFonts w:hint="cs"/>
                <w:b/>
                <w:bCs/>
                <w:rtl/>
              </w:rPr>
              <w:t>]</w:t>
            </w:r>
            <w:r w:rsidR="00A70615">
              <w:rPr>
                <w:rFonts w:hint="cs"/>
                <w:rtl/>
              </w:rPr>
              <w:t>.</w:t>
            </w:r>
          </w:p>
        </w:tc>
      </w:tr>
      <w:tr w:rsidR="00AB1872" w:rsidRPr="007363C7" w14:paraId="28131567" w14:textId="77777777" w:rsidTr="00BA7728">
        <w:trPr>
          <w:trHeight w:val="245"/>
          <w:jc w:val="right"/>
        </w:trPr>
        <w:tc>
          <w:tcPr>
            <w:tcW w:w="1020" w:type="dxa"/>
            <w:shd w:val="clear" w:color="auto" w:fill="auto"/>
          </w:tcPr>
          <w:p w14:paraId="514EDE35" w14:textId="4ABE8094" w:rsidR="00AB1872" w:rsidRPr="00BF427C" w:rsidRDefault="00823F87" w:rsidP="00BF427C">
            <w:pPr>
              <w:pStyle w:val="-fa"/>
              <w:rPr>
                <w:highlight w:val="cyan"/>
                <w:rtl/>
              </w:rPr>
            </w:pPr>
            <w:r w:rsidRPr="00D44F55">
              <w:rPr>
                <w:rFonts w:hint="cs"/>
                <w:rtl/>
              </w:rPr>
              <w:t xml:space="preserve">ה. המפקח ס' </w:t>
            </w:r>
            <w:r w:rsidR="00BF427C" w:rsidRPr="00D44F55">
              <w:rPr>
                <w:rtl/>
              </w:rPr>
              <w:t>24(ב)(2)</w:t>
            </w:r>
            <w:r w:rsidR="00BF427C" w:rsidRPr="00D44F55">
              <w:rPr>
                <w:rFonts w:hint="cs"/>
                <w:rtl/>
              </w:rPr>
              <w:t xml:space="preserve">, </w:t>
            </w:r>
            <w:r w:rsidR="00F61528" w:rsidRPr="00D44F55">
              <w:rPr>
                <w:rFonts w:hint="cs"/>
                <w:rtl/>
              </w:rPr>
              <w:t>2</w:t>
            </w:r>
            <w:r w:rsidR="00CD529F" w:rsidRPr="00D44F55">
              <w:rPr>
                <w:rFonts w:hint="cs"/>
                <w:rtl/>
              </w:rPr>
              <w:t>7</w:t>
            </w:r>
            <w:r w:rsidR="007F36BB" w:rsidRPr="00D44F55">
              <w:rPr>
                <w:rFonts w:hint="cs"/>
                <w:rtl/>
              </w:rPr>
              <w:t>א</w:t>
            </w:r>
          </w:p>
        </w:tc>
        <w:tc>
          <w:tcPr>
            <w:tcW w:w="283" w:type="dxa"/>
          </w:tcPr>
          <w:p w14:paraId="59AF6866" w14:textId="77777777" w:rsidR="00AB1872" w:rsidRDefault="00AB1872" w:rsidP="003F6B9D">
            <w:pPr>
              <w:pStyle w:val="-f8"/>
              <w:rPr>
                <w:rtl/>
              </w:rPr>
            </w:pPr>
          </w:p>
        </w:tc>
        <w:tc>
          <w:tcPr>
            <w:tcW w:w="8932" w:type="dxa"/>
          </w:tcPr>
          <w:p w14:paraId="39450665" w14:textId="77777777" w:rsidR="00CF2A74" w:rsidRDefault="003D198C" w:rsidP="007F5094">
            <w:pPr>
              <w:pStyle w:val="-13"/>
              <w:tabs>
                <w:tab w:val="clear" w:pos="446"/>
                <w:tab w:val="left" w:pos="315"/>
              </w:tabs>
              <w:spacing w:line="240" w:lineRule="auto"/>
              <w:rPr>
                <w:b/>
                <w:bCs/>
                <w:rtl/>
              </w:rPr>
            </w:pPr>
            <w:r>
              <w:rPr>
                <w:rFonts w:hint="cs"/>
                <w:b/>
                <w:bCs/>
                <w:rtl/>
              </w:rPr>
              <w:t>2.</w:t>
            </w:r>
            <w:r>
              <w:rPr>
                <w:b/>
                <w:bCs/>
                <w:rtl/>
              </w:rPr>
              <w:tab/>
            </w:r>
            <w:r w:rsidR="00CF2A74" w:rsidRPr="00CF2A74">
              <w:rPr>
                <w:rFonts w:hint="eastAsia"/>
                <w:b/>
                <w:bCs/>
                <w:rtl/>
              </w:rPr>
              <w:t>העברה</w:t>
            </w:r>
            <w:r w:rsidR="00CF2A74" w:rsidRPr="00CF2A74">
              <w:rPr>
                <w:b/>
                <w:bCs/>
                <w:rtl/>
              </w:rPr>
              <w:t xml:space="preserve"> </w:t>
            </w:r>
            <w:r w:rsidR="00CF2A74" w:rsidRPr="00CF2A74">
              <w:rPr>
                <w:rFonts w:hint="eastAsia"/>
                <w:b/>
                <w:bCs/>
                <w:rtl/>
              </w:rPr>
              <w:t>בין</w:t>
            </w:r>
            <w:r w:rsidR="00CF2A74" w:rsidRPr="00CF2A74">
              <w:rPr>
                <w:b/>
                <w:bCs/>
                <w:rtl/>
              </w:rPr>
              <w:t xml:space="preserve"> </w:t>
            </w:r>
            <w:r w:rsidR="00CF2A74" w:rsidRPr="00CF2A74">
              <w:rPr>
                <w:rFonts w:hint="eastAsia"/>
                <w:b/>
                <w:bCs/>
                <w:rtl/>
              </w:rPr>
              <w:t>תיקים</w:t>
            </w:r>
            <w:r w:rsidR="00CF2A74" w:rsidRPr="00CF2A74">
              <w:rPr>
                <w:b/>
                <w:bCs/>
                <w:rtl/>
              </w:rPr>
              <w:t>:</w:t>
            </w:r>
            <w:r w:rsidR="00CF2A74" w:rsidRPr="005A1263">
              <w:rPr>
                <w:b/>
                <w:bCs/>
                <w:sz w:val="18"/>
                <w:szCs w:val="18"/>
                <w:vertAlign w:val="superscript"/>
                <w:rtl/>
              </w:rPr>
              <w:t>[</w:t>
            </w:r>
            <w:r w:rsidR="00CF2A74" w:rsidRPr="005A1263">
              <w:rPr>
                <w:rStyle w:val="a7"/>
                <w:b/>
                <w:bCs/>
                <w:sz w:val="18"/>
                <w:szCs w:val="18"/>
                <w:rtl/>
              </w:rPr>
              <w:footnoteReference w:id="51"/>
            </w:r>
            <w:r w:rsidR="00CF2A74" w:rsidRPr="005A1263">
              <w:rPr>
                <w:b/>
                <w:bCs/>
                <w:sz w:val="18"/>
                <w:szCs w:val="18"/>
                <w:vertAlign w:val="superscript"/>
                <w:rtl/>
              </w:rPr>
              <w:t>]</w:t>
            </w:r>
          </w:p>
        </w:tc>
      </w:tr>
      <w:tr w:rsidR="00823F87" w:rsidRPr="007363C7" w14:paraId="15EC618C" w14:textId="77777777" w:rsidTr="00BA7728">
        <w:trPr>
          <w:trHeight w:val="292"/>
          <w:jc w:val="right"/>
        </w:trPr>
        <w:tc>
          <w:tcPr>
            <w:tcW w:w="1020" w:type="dxa"/>
          </w:tcPr>
          <w:p w14:paraId="7F28D98B" w14:textId="77777777" w:rsidR="00823F87" w:rsidRPr="00DD23D1" w:rsidRDefault="00823F87" w:rsidP="00CE63C8">
            <w:pPr>
              <w:pStyle w:val="-fa"/>
              <w:rPr>
                <w:rtl/>
              </w:rPr>
            </w:pPr>
          </w:p>
        </w:tc>
        <w:tc>
          <w:tcPr>
            <w:tcW w:w="283" w:type="dxa"/>
          </w:tcPr>
          <w:p w14:paraId="5D2EB47D" w14:textId="77777777" w:rsidR="00823F87" w:rsidRDefault="00823F87" w:rsidP="00CE63C8">
            <w:pPr>
              <w:pStyle w:val="-f8"/>
              <w:rPr>
                <w:rtl/>
              </w:rPr>
            </w:pPr>
          </w:p>
        </w:tc>
        <w:tc>
          <w:tcPr>
            <w:tcW w:w="8932" w:type="dxa"/>
          </w:tcPr>
          <w:p w14:paraId="63CEF726" w14:textId="77777777" w:rsidR="00CF2A74" w:rsidRPr="00CF2A74" w:rsidRDefault="00CF2A74" w:rsidP="007F5094">
            <w:pPr>
              <w:pStyle w:val="-20"/>
              <w:tabs>
                <w:tab w:val="left" w:pos="599"/>
              </w:tabs>
              <w:spacing w:line="240" w:lineRule="auto"/>
              <w:ind w:left="454" w:hanging="139"/>
              <w:rPr>
                <w:b/>
                <w:bCs/>
                <w:rtl/>
              </w:rPr>
            </w:pPr>
            <w:r w:rsidRPr="00CF2A74">
              <w:rPr>
                <w:rFonts w:hint="eastAsia"/>
                <w:b/>
                <w:bCs/>
                <w:rtl/>
              </w:rPr>
              <w:t>א</w:t>
            </w:r>
            <w:r w:rsidRPr="00CF2A74">
              <w:rPr>
                <w:b/>
                <w:bCs/>
                <w:rtl/>
              </w:rPr>
              <w:t>)</w:t>
            </w:r>
            <w:r w:rsidRPr="00CF2A74">
              <w:rPr>
                <w:b/>
                <w:bCs/>
                <w:rtl/>
              </w:rPr>
              <w:tab/>
            </w:r>
            <w:r w:rsidRPr="00CF2A74">
              <w:rPr>
                <w:rFonts w:hint="eastAsia"/>
                <w:b/>
                <w:bCs/>
                <w:rtl/>
              </w:rPr>
              <w:t>מכירה</w:t>
            </w:r>
            <w:r w:rsidRPr="00CF2A74">
              <w:rPr>
                <w:b/>
                <w:bCs/>
                <w:rtl/>
              </w:rPr>
              <w:t xml:space="preserve"> </w:t>
            </w:r>
            <w:r w:rsidRPr="00CF2A74">
              <w:rPr>
                <w:rFonts w:hint="eastAsia"/>
                <w:b/>
                <w:bCs/>
                <w:rtl/>
              </w:rPr>
              <w:t>מתוך</w:t>
            </w:r>
            <w:r w:rsidRPr="00CF2A74">
              <w:rPr>
                <w:b/>
                <w:bCs/>
                <w:rtl/>
              </w:rPr>
              <w:t xml:space="preserve"> </w:t>
            </w:r>
            <w:r w:rsidRPr="00CF2A74">
              <w:rPr>
                <w:rFonts w:hint="eastAsia"/>
                <w:b/>
                <w:bCs/>
                <w:rtl/>
              </w:rPr>
              <w:t>התיק</w:t>
            </w:r>
            <w:r w:rsidRPr="00CF2A74">
              <w:rPr>
                <w:b/>
                <w:bCs/>
                <w:rtl/>
              </w:rPr>
              <w:t xml:space="preserve"> </w:t>
            </w:r>
            <w:r w:rsidRPr="00CF2A74">
              <w:rPr>
                <w:rFonts w:hint="eastAsia"/>
                <w:b/>
                <w:bCs/>
                <w:rtl/>
              </w:rPr>
              <w:t>המוחזק</w:t>
            </w:r>
            <w:r w:rsidRPr="00CF2A74">
              <w:rPr>
                <w:b/>
                <w:bCs/>
                <w:rtl/>
              </w:rPr>
              <w:t xml:space="preserve"> </w:t>
            </w:r>
            <w:r w:rsidRPr="00CF2A74">
              <w:rPr>
                <w:rFonts w:hint="eastAsia"/>
                <w:b/>
                <w:bCs/>
                <w:rtl/>
              </w:rPr>
              <w:t>לפדיון</w:t>
            </w:r>
            <w:r w:rsidRPr="00CF2A74">
              <w:rPr>
                <w:b/>
                <w:bCs/>
                <w:rtl/>
              </w:rPr>
              <w:t>:</w:t>
            </w:r>
            <w:r w:rsidRPr="005A1263">
              <w:rPr>
                <w:b/>
                <w:bCs/>
                <w:sz w:val="18"/>
                <w:szCs w:val="18"/>
                <w:vertAlign w:val="superscript"/>
                <w:rtl/>
              </w:rPr>
              <w:t>[</w:t>
            </w:r>
            <w:r w:rsidRPr="005A1263">
              <w:rPr>
                <w:rStyle w:val="a7"/>
                <w:b/>
                <w:bCs/>
                <w:sz w:val="18"/>
                <w:szCs w:val="18"/>
                <w:rtl/>
              </w:rPr>
              <w:footnoteReference w:id="52"/>
            </w:r>
            <w:r w:rsidRPr="005A1263">
              <w:rPr>
                <w:b/>
                <w:bCs/>
                <w:sz w:val="18"/>
                <w:szCs w:val="18"/>
                <w:vertAlign w:val="superscript"/>
                <w:rtl/>
              </w:rPr>
              <w:t>]</w:t>
            </w:r>
          </w:p>
        </w:tc>
      </w:tr>
      <w:tr w:rsidR="00DD23D1" w:rsidRPr="007363C7" w14:paraId="015463E1" w14:textId="77777777" w:rsidTr="00BA7728">
        <w:trPr>
          <w:trHeight w:val="245"/>
          <w:jc w:val="right"/>
        </w:trPr>
        <w:tc>
          <w:tcPr>
            <w:tcW w:w="1020" w:type="dxa"/>
          </w:tcPr>
          <w:p w14:paraId="2866EB30" w14:textId="77777777" w:rsidR="00CF2A74" w:rsidRDefault="00CF2A74">
            <w:pPr>
              <w:pStyle w:val="-fa"/>
              <w:spacing w:before="0"/>
              <w:rPr>
                <w:rtl/>
              </w:rPr>
            </w:pPr>
          </w:p>
        </w:tc>
        <w:tc>
          <w:tcPr>
            <w:tcW w:w="283" w:type="dxa"/>
          </w:tcPr>
          <w:p w14:paraId="0F59542D" w14:textId="77777777" w:rsidR="00CF2A74" w:rsidRDefault="00CF2A74">
            <w:pPr>
              <w:pStyle w:val="-f8"/>
              <w:spacing w:before="0"/>
              <w:rPr>
                <w:rtl/>
              </w:rPr>
            </w:pPr>
          </w:p>
        </w:tc>
        <w:tc>
          <w:tcPr>
            <w:tcW w:w="8932" w:type="dxa"/>
          </w:tcPr>
          <w:p w14:paraId="70FEFD9D" w14:textId="17F3A06A" w:rsidR="00F32A2A" w:rsidRDefault="00AA7476" w:rsidP="007F5094">
            <w:pPr>
              <w:pStyle w:val="-20"/>
              <w:spacing w:before="0" w:line="240" w:lineRule="auto"/>
              <w:ind w:left="599"/>
              <w:rPr>
                <w:rtl/>
              </w:rPr>
            </w:pPr>
            <w:r>
              <w:rPr>
                <w:rFonts w:hint="cs"/>
                <w:rtl/>
              </w:rPr>
              <w:t>בתאריך ___</w:t>
            </w:r>
            <w:r w:rsidR="003F6B9D">
              <w:rPr>
                <w:rFonts w:hint="cs"/>
                <w:rtl/>
              </w:rPr>
              <w:t xml:space="preserve"> </w:t>
            </w:r>
            <w:r w:rsidR="00EB29D7" w:rsidRPr="00C22D58">
              <w:rPr>
                <w:rtl/>
              </w:rPr>
              <w:fldChar w:fldCharType="begin"/>
            </w:r>
            <w:r w:rsidR="00EB29D7" w:rsidRPr="00C22D58">
              <w:rPr>
                <w:rtl/>
              </w:rPr>
              <w:instrText xml:space="preserve"> </w:instrText>
            </w:r>
            <w:r w:rsidR="00EB29D7" w:rsidRPr="00C22D58">
              <w:rPr>
                <w:rFonts w:hint="cs"/>
                <w:rtl/>
              </w:rPr>
              <w:instrText xml:space="preserve">= </w:instrText>
            </w:r>
            <w:r w:rsidR="00EB29D7" w:rsidRPr="00C22D58">
              <w:rPr>
                <w:rFonts w:hint="cs"/>
              </w:rPr>
              <w:instrText>CY \* MERGEFORMAT</w:instrText>
            </w:r>
            <w:r w:rsidR="00EB29D7" w:rsidRPr="00C22D58">
              <w:rPr>
                <w:rtl/>
              </w:rPr>
              <w:instrText xml:space="preserve"> </w:instrText>
            </w:r>
            <w:r w:rsidR="00EB29D7" w:rsidRPr="00C22D58">
              <w:rPr>
                <w:rtl/>
              </w:rPr>
              <w:fldChar w:fldCharType="separate"/>
            </w:r>
            <w:r w:rsidR="003A584F">
              <w:rPr>
                <w:noProof/>
                <w:rtl/>
              </w:rPr>
              <w:t>2024</w:t>
            </w:r>
            <w:r w:rsidR="00EB29D7" w:rsidRPr="00C22D58">
              <w:rPr>
                <w:rtl/>
              </w:rPr>
              <w:fldChar w:fldCharType="end"/>
            </w:r>
            <w:r w:rsidR="003F6B9D">
              <w:rPr>
                <w:rFonts w:hint="cs"/>
                <w:rtl/>
              </w:rPr>
              <w:t xml:space="preserve">, מכר התאגיד הבנקאי </w:t>
            </w:r>
            <w:r w:rsidR="00A674A4">
              <w:rPr>
                <w:rFonts w:hint="cs"/>
                <w:rtl/>
              </w:rPr>
              <w:t>אגרות</w:t>
            </w:r>
            <w:r w:rsidR="00FF02AC">
              <w:rPr>
                <w:rFonts w:hint="cs"/>
                <w:rtl/>
              </w:rPr>
              <w:t xml:space="preserve"> חוב ממשלתיות של ממשלת </w:t>
            </w:r>
            <w:r w:rsidR="00030B19" w:rsidRPr="00B31DA1">
              <w:rPr>
                <w:rFonts w:hint="cs"/>
                <w:rtl/>
              </w:rPr>
              <w:t>___</w:t>
            </w:r>
            <w:r w:rsidR="002E1404">
              <w:rPr>
                <w:rFonts w:hint="cs"/>
                <w:rtl/>
              </w:rPr>
              <w:t xml:space="preserve"> </w:t>
            </w:r>
            <w:r w:rsidR="00FF02AC">
              <w:rPr>
                <w:rFonts w:hint="cs"/>
                <w:rtl/>
              </w:rPr>
              <w:t>מהתיק המוחזק לפדיון, שיתרתן לאותו מועד הייתה בסך __</w:t>
            </w:r>
            <w:r w:rsidR="00690F41">
              <w:rPr>
                <w:rFonts w:hint="cs"/>
                <w:rtl/>
              </w:rPr>
              <w:t>_</w:t>
            </w:r>
            <w:r w:rsidR="00FF02AC">
              <w:rPr>
                <w:rFonts w:hint="cs"/>
                <w:rtl/>
              </w:rPr>
              <w:t xml:space="preserve"> מיליוני אירו (__</w:t>
            </w:r>
            <w:r w:rsidR="00690F41">
              <w:rPr>
                <w:rFonts w:hint="cs"/>
                <w:rtl/>
              </w:rPr>
              <w:t>_</w:t>
            </w:r>
            <w:r w:rsidR="00FF02AC">
              <w:rPr>
                <w:rFonts w:hint="cs"/>
                <w:rtl/>
              </w:rPr>
              <w:t xml:space="preserve"> מיליוני ש"ח).</w:t>
            </w:r>
            <w:r w:rsidR="00544228">
              <w:rPr>
                <w:rFonts w:hint="cs"/>
                <w:rtl/>
              </w:rPr>
              <w:t xml:space="preserve"> יתרה זו היוותה את כל </w:t>
            </w:r>
            <w:r w:rsidR="00A674A4">
              <w:rPr>
                <w:rFonts w:hint="cs"/>
                <w:rtl/>
              </w:rPr>
              <w:t>אגרות</w:t>
            </w:r>
            <w:r w:rsidR="008A1356">
              <w:rPr>
                <w:rFonts w:hint="cs"/>
                <w:rtl/>
              </w:rPr>
              <w:t xml:space="preserve"> החוב הממשלתיות של ממשלת </w:t>
            </w:r>
            <w:r w:rsidR="00030B19" w:rsidRPr="00B31DA1">
              <w:rPr>
                <w:rFonts w:hint="cs"/>
                <w:rtl/>
              </w:rPr>
              <w:t>___</w:t>
            </w:r>
            <w:r w:rsidR="002E1404">
              <w:rPr>
                <w:rFonts w:hint="cs"/>
                <w:rtl/>
              </w:rPr>
              <w:t xml:space="preserve"> </w:t>
            </w:r>
            <w:r w:rsidR="008A1356">
              <w:rPr>
                <w:rFonts w:hint="cs"/>
                <w:rtl/>
              </w:rPr>
              <w:t>שהוחזקו על ידי התאגיד הבנקאי לאותו מועד.</w:t>
            </w:r>
          </w:p>
        </w:tc>
      </w:tr>
      <w:tr w:rsidR="00DD23D1" w:rsidRPr="007363C7" w14:paraId="5033882B" w14:textId="77777777" w:rsidTr="00BA7728">
        <w:trPr>
          <w:trHeight w:val="245"/>
          <w:jc w:val="right"/>
        </w:trPr>
        <w:tc>
          <w:tcPr>
            <w:tcW w:w="1020" w:type="dxa"/>
          </w:tcPr>
          <w:p w14:paraId="1D885B53" w14:textId="77777777" w:rsidR="00CF2A74" w:rsidRDefault="00CF2A74" w:rsidP="00CF2A74">
            <w:pPr>
              <w:pStyle w:val="-fa"/>
              <w:spacing w:before="0"/>
              <w:rPr>
                <w:rtl/>
              </w:rPr>
            </w:pPr>
          </w:p>
        </w:tc>
        <w:tc>
          <w:tcPr>
            <w:tcW w:w="283" w:type="dxa"/>
          </w:tcPr>
          <w:p w14:paraId="1324358E" w14:textId="77777777" w:rsidR="00CF2A74" w:rsidRDefault="00CF2A74" w:rsidP="00CF2A74">
            <w:pPr>
              <w:pStyle w:val="-f8"/>
              <w:spacing w:before="0"/>
              <w:rPr>
                <w:rtl/>
              </w:rPr>
            </w:pPr>
          </w:p>
        </w:tc>
        <w:tc>
          <w:tcPr>
            <w:tcW w:w="8932" w:type="dxa"/>
          </w:tcPr>
          <w:p w14:paraId="6F27429E" w14:textId="2FB4CCB1" w:rsidR="00F32A2A" w:rsidRDefault="008A1356" w:rsidP="007F5094">
            <w:pPr>
              <w:pStyle w:val="-20"/>
              <w:spacing w:before="0" w:line="240" w:lineRule="auto"/>
              <w:ind w:left="599"/>
              <w:rPr>
                <w:rtl/>
              </w:rPr>
            </w:pPr>
            <w:r>
              <w:rPr>
                <w:rFonts w:hint="cs"/>
                <w:rtl/>
              </w:rPr>
              <w:t xml:space="preserve">המכירה של </w:t>
            </w:r>
            <w:r w:rsidR="00A674A4">
              <w:rPr>
                <w:rFonts w:hint="cs"/>
                <w:rtl/>
              </w:rPr>
              <w:t>אגרות</w:t>
            </w:r>
            <w:r>
              <w:rPr>
                <w:rFonts w:hint="cs"/>
                <w:rtl/>
              </w:rPr>
              <w:t xml:space="preserve"> החוב נבעה כתוצאה מההידרדרות במצב הכלכלי של </w:t>
            </w:r>
            <w:r w:rsidR="00DD3063">
              <w:rPr>
                <w:rFonts w:hint="cs"/>
                <w:rtl/>
              </w:rPr>
              <w:t xml:space="preserve">מדינת </w:t>
            </w:r>
            <w:r w:rsidR="00030B19" w:rsidRPr="00B31DA1">
              <w:rPr>
                <w:rFonts w:hint="cs"/>
                <w:rtl/>
              </w:rPr>
              <w:t>___</w:t>
            </w:r>
            <w:r>
              <w:rPr>
                <w:rFonts w:hint="cs"/>
                <w:rtl/>
              </w:rPr>
              <w:t>, כפי ש</w:t>
            </w:r>
            <w:r w:rsidR="00D70E78">
              <w:rPr>
                <w:rFonts w:hint="cs"/>
                <w:rtl/>
              </w:rPr>
              <w:t xml:space="preserve">בא לידי ביטוי בהורדת דירוג האשראי של </w:t>
            </w:r>
            <w:r w:rsidR="00030B19" w:rsidRPr="00B31DA1">
              <w:rPr>
                <w:rFonts w:hint="cs"/>
                <w:rtl/>
              </w:rPr>
              <w:t>___</w:t>
            </w:r>
            <w:r w:rsidR="002E1404">
              <w:rPr>
                <w:rFonts w:hint="cs"/>
                <w:rtl/>
              </w:rPr>
              <w:t xml:space="preserve"> </w:t>
            </w:r>
            <w:r w:rsidR="00D70E78">
              <w:rPr>
                <w:rFonts w:hint="cs"/>
                <w:rtl/>
              </w:rPr>
              <w:t xml:space="preserve">על ידי חברות הדירוג בחודשים </w:t>
            </w:r>
            <w:r w:rsidR="00356646">
              <w:rPr>
                <w:rFonts w:hint="cs"/>
                <w:rtl/>
              </w:rPr>
              <w:t>__</w:t>
            </w:r>
            <w:r w:rsidR="002E1404">
              <w:rPr>
                <w:rFonts w:hint="cs"/>
                <w:rtl/>
              </w:rPr>
              <w:t xml:space="preserve"> </w:t>
            </w:r>
            <w:r w:rsidR="00D70E78">
              <w:rPr>
                <w:rFonts w:hint="cs"/>
                <w:rtl/>
              </w:rPr>
              <w:t xml:space="preserve">והירידה המשמעותית בשווי השוק של </w:t>
            </w:r>
            <w:r w:rsidR="00A674A4">
              <w:rPr>
                <w:rFonts w:hint="cs"/>
                <w:rtl/>
              </w:rPr>
              <w:t>אגרות</w:t>
            </w:r>
            <w:r w:rsidR="00D70E78">
              <w:rPr>
                <w:rFonts w:hint="cs"/>
                <w:rtl/>
              </w:rPr>
              <w:t xml:space="preserve"> החוב הללו. </w:t>
            </w:r>
            <w:r w:rsidR="004F2D45">
              <w:rPr>
                <w:rFonts w:hint="cs"/>
                <w:rtl/>
              </w:rPr>
              <w:t xml:space="preserve">נסיבות אלו אינן סותרות את כוונת </w:t>
            </w:r>
            <w:r w:rsidR="00DD3063">
              <w:rPr>
                <w:rFonts w:hint="cs"/>
                <w:rtl/>
              </w:rPr>
              <w:t xml:space="preserve">התאגיד הבנקאי </w:t>
            </w:r>
            <w:r w:rsidR="004F2D45">
              <w:rPr>
                <w:rFonts w:hint="cs"/>
                <w:rtl/>
              </w:rPr>
              <w:t>במועד הרכישה להחזיק ב</w:t>
            </w:r>
            <w:r w:rsidR="00A674A4">
              <w:rPr>
                <w:rFonts w:hint="cs"/>
                <w:rtl/>
              </w:rPr>
              <w:t>אגרות</w:t>
            </w:r>
            <w:r w:rsidR="004F2D45">
              <w:rPr>
                <w:rFonts w:hint="cs"/>
                <w:rtl/>
              </w:rPr>
              <w:t xml:space="preserve"> החוב הללו עד למועד הפדיון.</w:t>
            </w:r>
          </w:p>
        </w:tc>
      </w:tr>
      <w:tr w:rsidR="00DD23D1" w:rsidRPr="007363C7" w14:paraId="7844563B" w14:textId="77777777" w:rsidTr="00BA7728">
        <w:trPr>
          <w:trHeight w:val="245"/>
          <w:jc w:val="right"/>
        </w:trPr>
        <w:tc>
          <w:tcPr>
            <w:tcW w:w="1020" w:type="dxa"/>
          </w:tcPr>
          <w:p w14:paraId="63FBB6E8" w14:textId="77777777" w:rsidR="00CF2A74" w:rsidRDefault="00CF2A74" w:rsidP="00CF2A74">
            <w:pPr>
              <w:pStyle w:val="-fa"/>
              <w:spacing w:before="0"/>
              <w:rPr>
                <w:rtl/>
              </w:rPr>
            </w:pPr>
          </w:p>
        </w:tc>
        <w:tc>
          <w:tcPr>
            <w:tcW w:w="283" w:type="dxa"/>
          </w:tcPr>
          <w:p w14:paraId="4AA4C197" w14:textId="77777777" w:rsidR="00CF2A74" w:rsidRDefault="00CF2A74" w:rsidP="00CF2A74">
            <w:pPr>
              <w:pStyle w:val="-f8"/>
              <w:spacing w:before="0"/>
              <w:rPr>
                <w:rtl/>
              </w:rPr>
            </w:pPr>
          </w:p>
        </w:tc>
        <w:tc>
          <w:tcPr>
            <w:tcW w:w="8932" w:type="dxa"/>
          </w:tcPr>
          <w:p w14:paraId="2DA3997F" w14:textId="7841337C" w:rsidR="00CF2A74" w:rsidRDefault="00680667" w:rsidP="007F5094">
            <w:pPr>
              <w:pStyle w:val="-20"/>
              <w:spacing w:before="0" w:line="240" w:lineRule="auto"/>
              <w:ind w:left="599"/>
              <w:rPr>
                <w:rtl/>
              </w:rPr>
            </w:pPr>
            <w:r>
              <w:rPr>
                <w:rFonts w:hint="cs"/>
                <w:rtl/>
              </w:rPr>
              <w:t xml:space="preserve">כתוצאה </w:t>
            </w:r>
            <w:r w:rsidR="00565A09">
              <w:rPr>
                <w:rFonts w:hint="cs"/>
                <w:rtl/>
              </w:rPr>
              <w:t>מהמכירה התהווה לתאגיד הבנקאי הפסד בסך __</w:t>
            </w:r>
            <w:r w:rsidR="00690F41">
              <w:rPr>
                <w:rFonts w:hint="cs"/>
                <w:rtl/>
              </w:rPr>
              <w:t>_</w:t>
            </w:r>
            <w:r w:rsidR="00565A09">
              <w:rPr>
                <w:rFonts w:hint="cs"/>
                <w:rtl/>
              </w:rPr>
              <w:t xml:space="preserve"> מיליוני ש"ח אשר סווג בדוח רווח והפסד לסעיף</w:t>
            </w:r>
            <w:r w:rsidR="00091103">
              <w:rPr>
                <w:rFonts w:hint="cs"/>
                <w:rtl/>
              </w:rPr>
              <w:t xml:space="preserve"> הכנסות מימון שאינן מריבית.</w:t>
            </w:r>
          </w:p>
        </w:tc>
      </w:tr>
      <w:tr w:rsidR="00823F87" w:rsidRPr="007363C7" w14:paraId="4611AC4F" w14:textId="77777777" w:rsidTr="00BA7728">
        <w:trPr>
          <w:trHeight w:val="245"/>
          <w:jc w:val="right"/>
        </w:trPr>
        <w:tc>
          <w:tcPr>
            <w:tcW w:w="1020" w:type="dxa"/>
          </w:tcPr>
          <w:p w14:paraId="70ACFF01" w14:textId="709254B4" w:rsidR="00F32A2A" w:rsidRPr="00BF427C" w:rsidRDefault="00F32A2A">
            <w:pPr>
              <w:pStyle w:val="-fa"/>
              <w:rPr>
                <w:strike/>
                <w:spacing w:val="-4"/>
                <w:rtl/>
              </w:rPr>
            </w:pPr>
          </w:p>
        </w:tc>
        <w:tc>
          <w:tcPr>
            <w:tcW w:w="283" w:type="dxa"/>
          </w:tcPr>
          <w:p w14:paraId="37BFC705" w14:textId="77777777" w:rsidR="00823F87" w:rsidRDefault="00823F87" w:rsidP="00CE63C8">
            <w:pPr>
              <w:pStyle w:val="-f8"/>
              <w:rPr>
                <w:rtl/>
              </w:rPr>
            </w:pPr>
          </w:p>
        </w:tc>
        <w:tc>
          <w:tcPr>
            <w:tcW w:w="8932" w:type="dxa"/>
          </w:tcPr>
          <w:p w14:paraId="5342D5D2" w14:textId="77777777" w:rsidR="00CF2A74" w:rsidRPr="00CF2A74" w:rsidRDefault="00CF2A74" w:rsidP="007F5094">
            <w:pPr>
              <w:pStyle w:val="-20"/>
              <w:tabs>
                <w:tab w:val="left" w:pos="599"/>
              </w:tabs>
              <w:spacing w:line="240" w:lineRule="auto"/>
              <w:ind w:left="454" w:hanging="139"/>
              <w:rPr>
                <w:b/>
                <w:bCs/>
                <w:rtl/>
              </w:rPr>
            </w:pPr>
            <w:r w:rsidRPr="00CF2A74">
              <w:rPr>
                <w:rFonts w:hint="eastAsia"/>
                <w:b/>
                <w:bCs/>
                <w:rtl/>
              </w:rPr>
              <w:t>ב</w:t>
            </w:r>
            <w:r w:rsidRPr="00CF2A74">
              <w:rPr>
                <w:b/>
                <w:bCs/>
                <w:rtl/>
              </w:rPr>
              <w:t>)</w:t>
            </w:r>
            <w:r w:rsidRPr="00CF2A74">
              <w:rPr>
                <w:b/>
                <w:bCs/>
                <w:rtl/>
              </w:rPr>
              <w:tab/>
            </w:r>
            <w:r w:rsidRPr="00CF2A74">
              <w:rPr>
                <w:rFonts w:hint="eastAsia"/>
                <w:b/>
                <w:bCs/>
                <w:rtl/>
              </w:rPr>
              <w:t>העברה</w:t>
            </w:r>
            <w:r w:rsidRPr="00CF2A74">
              <w:rPr>
                <w:b/>
                <w:bCs/>
                <w:rtl/>
              </w:rPr>
              <w:t xml:space="preserve"> מתוך התיק המוחזק </w:t>
            </w:r>
            <w:r w:rsidRPr="00CF2A74">
              <w:rPr>
                <w:rFonts w:hint="eastAsia"/>
                <w:b/>
                <w:bCs/>
                <w:rtl/>
              </w:rPr>
              <w:t>לפדיון</w:t>
            </w:r>
            <w:r w:rsidRPr="00CF2A74">
              <w:rPr>
                <w:b/>
                <w:bCs/>
                <w:rtl/>
              </w:rPr>
              <w:t>:</w:t>
            </w:r>
            <w:r w:rsidRPr="005A1263">
              <w:rPr>
                <w:b/>
                <w:bCs/>
                <w:sz w:val="18"/>
                <w:szCs w:val="18"/>
                <w:vertAlign w:val="superscript"/>
                <w:rtl/>
              </w:rPr>
              <w:t>[3]</w:t>
            </w:r>
          </w:p>
        </w:tc>
      </w:tr>
      <w:tr w:rsidR="00823F87" w:rsidRPr="007363C7" w14:paraId="254D4511" w14:textId="77777777" w:rsidTr="00BA7728">
        <w:trPr>
          <w:trHeight w:val="245"/>
          <w:jc w:val="right"/>
        </w:trPr>
        <w:tc>
          <w:tcPr>
            <w:tcW w:w="1020" w:type="dxa"/>
          </w:tcPr>
          <w:p w14:paraId="2F0C366E" w14:textId="77777777" w:rsidR="00CF2A74" w:rsidRDefault="00CF2A74">
            <w:pPr>
              <w:pStyle w:val="-fa"/>
              <w:spacing w:before="0"/>
              <w:rPr>
                <w:rtl/>
              </w:rPr>
            </w:pPr>
          </w:p>
        </w:tc>
        <w:tc>
          <w:tcPr>
            <w:tcW w:w="283" w:type="dxa"/>
          </w:tcPr>
          <w:p w14:paraId="0290EABD" w14:textId="77777777" w:rsidR="00CF2A74" w:rsidRDefault="00CF2A74">
            <w:pPr>
              <w:pStyle w:val="-f8"/>
              <w:spacing w:before="0"/>
              <w:rPr>
                <w:rtl/>
              </w:rPr>
            </w:pPr>
          </w:p>
        </w:tc>
        <w:tc>
          <w:tcPr>
            <w:tcW w:w="8932" w:type="dxa"/>
          </w:tcPr>
          <w:p w14:paraId="0C8A00CC" w14:textId="3ED06E12" w:rsidR="00F32A2A" w:rsidRDefault="00AA7476" w:rsidP="007F5094">
            <w:pPr>
              <w:pStyle w:val="-20"/>
              <w:spacing w:before="0" w:line="240" w:lineRule="auto"/>
              <w:ind w:left="599"/>
              <w:rPr>
                <w:rtl/>
              </w:rPr>
            </w:pPr>
            <w:r w:rsidRPr="00B31DA1">
              <w:rPr>
                <w:rFonts w:hint="cs"/>
                <w:rtl/>
              </w:rPr>
              <w:t xml:space="preserve">בתאריך ___ </w:t>
            </w:r>
            <w:r w:rsidR="00EB29D7" w:rsidRPr="00C22D58">
              <w:rPr>
                <w:rtl/>
              </w:rPr>
              <w:fldChar w:fldCharType="begin"/>
            </w:r>
            <w:r w:rsidR="00EB29D7" w:rsidRPr="00C22D58">
              <w:rPr>
                <w:rtl/>
              </w:rPr>
              <w:instrText xml:space="preserve"> </w:instrText>
            </w:r>
            <w:r w:rsidR="00EB29D7" w:rsidRPr="00C22D58">
              <w:rPr>
                <w:rFonts w:hint="cs"/>
                <w:rtl/>
              </w:rPr>
              <w:instrText xml:space="preserve">= </w:instrText>
            </w:r>
            <w:r w:rsidR="00EB29D7" w:rsidRPr="00C22D58">
              <w:rPr>
                <w:rFonts w:hint="cs"/>
              </w:rPr>
              <w:instrText>CY \* MERGEFORMAT</w:instrText>
            </w:r>
            <w:r w:rsidR="00EB29D7" w:rsidRPr="00C22D58">
              <w:rPr>
                <w:rtl/>
              </w:rPr>
              <w:instrText xml:space="preserve"> </w:instrText>
            </w:r>
            <w:r w:rsidR="00EB29D7" w:rsidRPr="00C22D58">
              <w:rPr>
                <w:rtl/>
              </w:rPr>
              <w:fldChar w:fldCharType="separate"/>
            </w:r>
            <w:r w:rsidR="003A584F">
              <w:rPr>
                <w:noProof/>
                <w:rtl/>
              </w:rPr>
              <w:t>2024</w:t>
            </w:r>
            <w:r w:rsidR="00EB29D7" w:rsidRPr="00C22D58">
              <w:rPr>
                <w:rtl/>
              </w:rPr>
              <w:fldChar w:fldCharType="end"/>
            </w:r>
            <w:r w:rsidR="00823F87" w:rsidRPr="00B31DA1">
              <w:rPr>
                <w:rFonts w:hint="cs"/>
                <w:rtl/>
              </w:rPr>
              <w:t xml:space="preserve">, העביר התאגיד הבנקאי </w:t>
            </w:r>
            <w:r w:rsidR="00A674A4">
              <w:rPr>
                <w:rFonts w:hint="cs"/>
                <w:rtl/>
              </w:rPr>
              <w:t>אגרות</w:t>
            </w:r>
            <w:r w:rsidR="00823F87" w:rsidRPr="00B31DA1">
              <w:rPr>
                <w:rFonts w:hint="cs"/>
                <w:rtl/>
              </w:rPr>
              <w:t xml:space="preserve"> חוב של תאגידים בישראל </w:t>
            </w:r>
            <w:r w:rsidR="00B77B22">
              <w:rPr>
                <w:rFonts w:hint="cs"/>
                <w:rtl/>
              </w:rPr>
              <w:t>ב</w:t>
            </w:r>
            <w:r w:rsidR="00B77B22" w:rsidRPr="00B31DA1">
              <w:rPr>
                <w:rFonts w:hint="cs"/>
                <w:rtl/>
              </w:rPr>
              <w:t>סך של ___ מיליוני ש"ח</w:t>
            </w:r>
            <w:r w:rsidR="00B77B22">
              <w:rPr>
                <w:rFonts w:hint="cs"/>
                <w:rtl/>
              </w:rPr>
              <w:t xml:space="preserve">, </w:t>
            </w:r>
            <w:r w:rsidR="00823F87" w:rsidRPr="00B31DA1">
              <w:rPr>
                <w:rFonts w:hint="cs"/>
                <w:rtl/>
              </w:rPr>
              <w:t xml:space="preserve">מהתיק </w:t>
            </w:r>
            <w:r w:rsidRPr="00B31DA1">
              <w:rPr>
                <w:rFonts w:hint="cs"/>
                <w:rtl/>
              </w:rPr>
              <w:t>ה</w:t>
            </w:r>
            <w:r w:rsidR="00823F87" w:rsidRPr="00B31DA1">
              <w:rPr>
                <w:rFonts w:hint="cs"/>
                <w:rtl/>
              </w:rPr>
              <w:t xml:space="preserve">מוחזק לפדיון אל התיק הזמין למכירה. </w:t>
            </w:r>
          </w:p>
        </w:tc>
      </w:tr>
      <w:tr w:rsidR="00823F87" w:rsidRPr="007363C7" w14:paraId="3CA70609" w14:textId="77777777" w:rsidTr="00BA7728">
        <w:trPr>
          <w:trHeight w:val="245"/>
          <w:jc w:val="right"/>
        </w:trPr>
        <w:tc>
          <w:tcPr>
            <w:tcW w:w="1020" w:type="dxa"/>
          </w:tcPr>
          <w:p w14:paraId="205F5511" w14:textId="77777777" w:rsidR="00CF2A74" w:rsidRDefault="00CF2A74">
            <w:pPr>
              <w:pStyle w:val="-fa"/>
              <w:spacing w:before="0"/>
              <w:rPr>
                <w:rtl/>
              </w:rPr>
            </w:pPr>
          </w:p>
        </w:tc>
        <w:tc>
          <w:tcPr>
            <w:tcW w:w="283" w:type="dxa"/>
          </w:tcPr>
          <w:p w14:paraId="044F24BD" w14:textId="77777777" w:rsidR="00CF2A74" w:rsidRDefault="00CF2A74">
            <w:pPr>
              <w:pStyle w:val="-f8"/>
              <w:spacing w:before="0"/>
              <w:rPr>
                <w:rtl/>
              </w:rPr>
            </w:pPr>
          </w:p>
        </w:tc>
        <w:tc>
          <w:tcPr>
            <w:tcW w:w="8932" w:type="dxa"/>
          </w:tcPr>
          <w:p w14:paraId="6B41214A" w14:textId="77777777" w:rsidR="00CF2A74" w:rsidRDefault="00823F87" w:rsidP="007F5094">
            <w:pPr>
              <w:pStyle w:val="-20"/>
              <w:spacing w:before="0" w:line="240" w:lineRule="auto"/>
              <w:ind w:left="599"/>
              <w:rPr>
                <w:rtl/>
              </w:rPr>
            </w:pPr>
            <w:r>
              <w:rPr>
                <w:rFonts w:hint="cs"/>
                <w:rtl/>
              </w:rPr>
              <w:t xml:space="preserve">ההעברה בוצעה לאור העלאה מהותית בדרישת ההון הפיקוחית ביחס לאותן </w:t>
            </w:r>
            <w:r w:rsidR="00A674A4">
              <w:rPr>
                <w:rFonts w:hint="cs"/>
                <w:rtl/>
              </w:rPr>
              <w:t>אגרות</w:t>
            </w:r>
            <w:r>
              <w:rPr>
                <w:rFonts w:hint="cs"/>
                <w:rtl/>
              </w:rPr>
              <w:t xml:space="preserve"> חוב.</w:t>
            </w:r>
          </w:p>
        </w:tc>
      </w:tr>
      <w:tr w:rsidR="00823F87" w:rsidRPr="007363C7" w14:paraId="6268F926" w14:textId="77777777" w:rsidTr="00BA7728">
        <w:trPr>
          <w:trHeight w:val="245"/>
          <w:jc w:val="right"/>
        </w:trPr>
        <w:tc>
          <w:tcPr>
            <w:tcW w:w="1020" w:type="dxa"/>
          </w:tcPr>
          <w:p w14:paraId="6E9F69F3" w14:textId="77777777" w:rsidR="00CF2A74" w:rsidRDefault="00CF2A74">
            <w:pPr>
              <w:pStyle w:val="-fa"/>
              <w:spacing w:before="0"/>
              <w:rPr>
                <w:rtl/>
              </w:rPr>
            </w:pPr>
          </w:p>
        </w:tc>
        <w:tc>
          <w:tcPr>
            <w:tcW w:w="283" w:type="dxa"/>
          </w:tcPr>
          <w:p w14:paraId="74B07195" w14:textId="77777777" w:rsidR="00CF2A74" w:rsidRDefault="00CF2A74">
            <w:pPr>
              <w:pStyle w:val="-f8"/>
              <w:spacing w:before="0"/>
              <w:rPr>
                <w:rtl/>
              </w:rPr>
            </w:pPr>
          </w:p>
        </w:tc>
        <w:tc>
          <w:tcPr>
            <w:tcW w:w="8932" w:type="dxa"/>
          </w:tcPr>
          <w:p w14:paraId="300246F5" w14:textId="7C8DD60D" w:rsidR="00F32A2A" w:rsidRDefault="00823F87" w:rsidP="007F5094">
            <w:pPr>
              <w:pStyle w:val="-20"/>
              <w:spacing w:before="0" w:line="240" w:lineRule="auto"/>
              <w:ind w:left="599"/>
              <w:rPr>
                <w:rtl/>
              </w:rPr>
            </w:pPr>
            <w:r>
              <w:rPr>
                <w:rFonts w:hint="cs"/>
                <w:rtl/>
              </w:rPr>
              <w:t>יתרת ההפסד בסך ___ מיליוני ש"ח הוכר</w:t>
            </w:r>
            <w:r w:rsidR="00AA7476">
              <w:rPr>
                <w:rFonts w:hint="cs"/>
                <w:rtl/>
              </w:rPr>
              <w:t>ה</w:t>
            </w:r>
            <w:r>
              <w:rPr>
                <w:rFonts w:hint="cs"/>
                <w:rtl/>
              </w:rPr>
              <w:t xml:space="preserve"> </w:t>
            </w:r>
            <w:r w:rsidR="00CC3625">
              <w:rPr>
                <w:rFonts w:hint="cs"/>
                <w:rtl/>
              </w:rPr>
              <w:t>ב</w:t>
            </w:r>
            <w:r w:rsidR="00B31DA1">
              <w:rPr>
                <w:rFonts w:hint="cs"/>
                <w:rtl/>
              </w:rPr>
              <w:t>רווח</w:t>
            </w:r>
            <w:r>
              <w:rPr>
                <w:rFonts w:hint="cs"/>
                <w:rtl/>
              </w:rPr>
              <w:t xml:space="preserve"> כולל אחר</w:t>
            </w:r>
            <w:r w:rsidR="00CC3625">
              <w:rPr>
                <w:rFonts w:hint="cs"/>
                <w:rtl/>
              </w:rPr>
              <w:t xml:space="preserve"> מצטבר</w:t>
            </w:r>
            <w:r>
              <w:rPr>
                <w:rFonts w:hint="cs"/>
                <w:rtl/>
              </w:rPr>
              <w:t xml:space="preserve"> בסעיף התאמות</w:t>
            </w:r>
            <w:r w:rsidR="00675FE3">
              <w:rPr>
                <w:rFonts w:hint="cs"/>
                <w:rtl/>
              </w:rPr>
              <w:t xml:space="preserve"> נטו בגין הצגת </w:t>
            </w:r>
            <w:r w:rsidR="00A674A4">
              <w:rPr>
                <w:rFonts w:hint="cs"/>
                <w:rtl/>
              </w:rPr>
              <w:t>אגרות</w:t>
            </w:r>
            <w:r w:rsidR="00675FE3">
              <w:rPr>
                <w:rFonts w:hint="cs"/>
                <w:rtl/>
              </w:rPr>
              <w:t xml:space="preserve"> חוב זמינות למכירה לפי שווי הוגן.</w:t>
            </w:r>
            <w:r>
              <w:rPr>
                <w:rFonts w:hint="cs"/>
                <w:rtl/>
              </w:rPr>
              <w:t xml:space="preserve"> </w:t>
            </w:r>
          </w:p>
        </w:tc>
      </w:tr>
    </w:tbl>
    <w:p w14:paraId="646BBFDB" w14:textId="26136D02" w:rsidR="00EF465B" w:rsidRDefault="00EF465B">
      <w:pPr>
        <w:rPr>
          <w:rtl/>
        </w:rPr>
      </w:pPr>
    </w:p>
    <w:p w14:paraId="5249BD65" w14:textId="77777777" w:rsidR="00EF465B" w:rsidRDefault="00EF465B">
      <w:pPr>
        <w:bidi w:val="0"/>
        <w:jc w:val="left"/>
      </w:pPr>
      <w:r>
        <w:rPr>
          <w:rtl/>
        </w:rPr>
        <w:br w:type="page"/>
      </w:r>
    </w:p>
    <w:tbl>
      <w:tblPr>
        <w:bidiVisual/>
        <w:tblW w:w="4513" w:type="pct"/>
        <w:tblInd w:w="716" w:type="dxa"/>
        <w:tblLayout w:type="fixed"/>
        <w:tblLook w:val="0000" w:firstRow="0" w:lastRow="0" w:firstColumn="0" w:lastColumn="0" w:noHBand="0" w:noVBand="0"/>
      </w:tblPr>
      <w:tblGrid>
        <w:gridCol w:w="9213"/>
      </w:tblGrid>
      <w:tr w:rsidR="00CE19D7" w:rsidRPr="003B07F1" w14:paraId="152E337D" w14:textId="77777777" w:rsidTr="00CE19D7">
        <w:trPr>
          <w:trHeight w:val="245"/>
        </w:trPr>
        <w:tc>
          <w:tcPr>
            <w:tcW w:w="9213" w:type="dxa"/>
          </w:tcPr>
          <w:p w14:paraId="1569C16D" w14:textId="77777777" w:rsidR="00CE19D7" w:rsidRPr="003B07F1" w:rsidRDefault="00CE19D7" w:rsidP="00D439C5">
            <w:pPr>
              <w:spacing w:after="60"/>
              <w:rPr>
                <w:b/>
                <w:bCs/>
                <w:rtl/>
              </w:rPr>
            </w:pPr>
            <w:r w:rsidRPr="003B07F1">
              <w:rPr>
                <w:rFonts w:hint="cs"/>
                <w:b/>
                <w:bCs/>
                <w:rtl/>
              </w:rPr>
              <w:lastRenderedPageBreak/>
              <w:t>ביאור 5  -  ניירות ערך (המשך):</w:t>
            </w:r>
          </w:p>
        </w:tc>
      </w:tr>
      <w:tr w:rsidR="00CE19D7" w:rsidRPr="003B07F1" w14:paraId="32A9A056" w14:textId="77777777" w:rsidTr="00CE19D7">
        <w:trPr>
          <w:trHeight w:val="245"/>
        </w:trPr>
        <w:tc>
          <w:tcPr>
            <w:tcW w:w="9213" w:type="dxa"/>
          </w:tcPr>
          <w:p w14:paraId="61D7E644" w14:textId="03389E84" w:rsidR="00CE19D7" w:rsidRPr="00DA4FDD" w:rsidRDefault="00CE19D7" w:rsidP="002017E8">
            <w:pPr>
              <w:spacing w:after="60" w:line="264" w:lineRule="auto"/>
              <w:ind w:right="-144"/>
              <w:jc w:val="left"/>
              <w:rPr>
                <w:rFonts w:asciiTheme="minorBidi" w:hAnsiTheme="minorBidi" w:cstheme="minorBidi"/>
                <w:b/>
                <w:bCs/>
                <w:highlight w:val="yellow"/>
                <w:rtl/>
              </w:rPr>
            </w:pPr>
            <w:r>
              <w:rPr>
                <w:rFonts w:asciiTheme="minorBidi" w:hAnsiTheme="minorBidi" w:cstheme="minorBidi" w:hint="cs"/>
                <w:b/>
                <w:bCs/>
                <w:rtl/>
              </w:rPr>
              <w:t>ו</w:t>
            </w:r>
            <w:r w:rsidRPr="00DA4FDD">
              <w:rPr>
                <w:rFonts w:asciiTheme="minorBidi" w:hAnsiTheme="minorBidi" w:cstheme="minorBidi"/>
                <w:b/>
                <w:bCs/>
                <w:rtl/>
              </w:rPr>
              <w:t>.</w:t>
            </w:r>
            <w:r>
              <w:rPr>
                <w:rFonts w:asciiTheme="minorBidi" w:hAnsiTheme="minorBidi" w:cstheme="minorBidi" w:hint="cs"/>
                <w:b/>
                <w:bCs/>
                <w:rtl/>
                <w:lang w:eastAsia="he-IL"/>
              </w:rPr>
              <w:t xml:space="preserve"> </w:t>
            </w:r>
            <w:r w:rsidRPr="00DA4FDD">
              <w:rPr>
                <w:rFonts w:asciiTheme="minorBidi" w:hAnsiTheme="minorBidi" w:cstheme="minorBidi"/>
                <w:b/>
                <w:bCs/>
                <w:rtl/>
                <w:lang w:eastAsia="he-IL"/>
              </w:rPr>
              <w:t>תנועה ביתרת ההפרשה להפסדי אשראי של אגרות חוב זמינות למכירה</w:t>
            </w:r>
          </w:p>
        </w:tc>
      </w:tr>
    </w:tbl>
    <w:p w14:paraId="757DB586" w14:textId="77777777" w:rsidR="00F875F2" w:rsidRDefault="00F875F2" w:rsidP="00B971EB">
      <w:pPr>
        <w:spacing w:line="160" w:lineRule="exact"/>
      </w:pPr>
    </w:p>
    <w:tbl>
      <w:tblPr>
        <w:bidiVisual/>
        <w:tblW w:w="5140" w:type="pct"/>
        <w:tblLayout w:type="fixed"/>
        <w:tblLook w:val="04A0" w:firstRow="1" w:lastRow="0" w:firstColumn="1" w:lastColumn="0" w:noHBand="0" w:noVBand="1"/>
      </w:tblPr>
      <w:tblGrid>
        <w:gridCol w:w="991"/>
        <w:gridCol w:w="5816"/>
        <w:gridCol w:w="1134"/>
        <w:gridCol w:w="1136"/>
        <w:gridCol w:w="709"/>
        <w:gridCol w:w="707"/>
      </w:tblGrid>
      <w:tr w:rsidR="00F875F2" w:rsidRPr="00522CAE" w14:paraId="3278266F" w14:textId="77777777" w:rsidTr="009B3EC6">
        <w:trPr>
          <w:trHeight w:val="245"/>
        </w:trPr>
        <w:tc>
          <w:tcPr>
            <w:tcW w:w="991" w:type="dxa"/>
          </w:tcPr>
          <w:p w14:paraId="75360345" w14:textId="77777777" w:rsidR="00F875F2" w:rsidRPr="00281D0A" w:rsidRDefault="00F875F2" w:rsidP="00F875F2">
            <w:pPr>
              <w:pStyle w:val="-0"/>
              <w:spacing w:before="20" w:after="20" w:line="216" w:lineRule="auto"/>
              <w:rPr>
                <w:color w:val="auto"/>
                <w:sz w:val="14"/>
                <w:szCs w:val="14"/>
                <w:rtl/>
              </w:rPr>
            </w:pPr>
            <w:r w:rsidRPr="00281D0A">
              <w:rPr>
                <w:rFonts w:hint="cs"/>
                <w:color w:val="auto"/>
                <w:sz w:val="14"/>
                <w:szCs w:val="14"/>
                <w:rtl/>
              </w:rPr>
              <w:t>מתכונת</w:t>
            </w:r>
            <w:r w:rsidRPr="00281D0A">
              <w:rPr>
                <w:color w:val="auto"/>
                <w:sz w:val="14"/>
                <w:szCs w:val="14"/>
                <w:rtl/>
              </w:rPr>
              <w:t xml:space="preserve"> ביאור</w:t>
            </w:r>
            <w:r w:rsidRPr="00281D0A">
              <w:rPr>
                <w:rFonts w:hint="eastAsia"/>
                <w:color w:val="auto"/>
                <w:sz w:val="14"/>
                <w:szCs w:val="14"/>
                <w:rtl/>
              </w:rPr>
              <w:t xml:space="preserve"> </w:t>
            </w:r>
          </w:p>
          <w:p w14:paraId="34285F49" w14:textId="77777777" w:rsidR="00F875F2" w:rsidRPr="00522CAE" w:rsidRDefault="00F875F2" w:rsidP="00F875F2">
            <w:pPr>
              <w:pStyle w:val="-0"/>
              <w:spacing w:before="20" w:after="20" w:line="216" w:lineRule="auto"/>
              <w:rPr>
                <w:color w:val="auto"/>
                <w:rtl/>
              </w:rPr>
            </w:pPr>
            <w:r w:rsidRPr="00281D0A">
              <w:rPr>
                <w:rFonts w:hint="eastAsia"/>
                <w:color w:val="auto"/>
                <w:sz w:val="14"/>
                <w:szCs w:val="14"/>
                <w:rtl/>
              </w:rPr>
              <w:t>עמ</w:t>
            </w:r>
            <w:r w:rsidRPr="00281D0A">
              <w:rPr>
                <w:color w:val="auto"/>
                <w:sz w:val="14"/>
                <w:szCs w:val="14"/>
                <w:rtl/>
              </w:rPr>
              <w:t xml:space="preserve">' </w:t>
            </w:r>
            <w:r w:rsidRPr="00281D0A">
              <w:rPr>
                <w:rFonts w:hint="cs"/>
                <w:color w:val="auto"/>
                <w:sz w:val="14"/>
                <w:szCs w:val="14"/>
                <w:rtl/>
              </w:rPr>
              <w:t>639-24</w:t>
            </w:r>
          </w:p>
        </w:tc>
        <w:tc>
          <w:tcPr>
            <w:tcW w:w="5816" w:type="dxa"/>
            <w:vAlign w:val="bottom"/>
          </w:tcPr>
          <w:p w14:paraId="1A7737CA" w14:textId="77777777" w:rsidR="00F875F2" w:rsidRPr="00F875F2" w:rsidRDefault="00F875F2" w:rsidP="00F875F2">
            <w:pPr>
              <w:pStyle w:val="-0"/>
              <w:spacing w:before="20" w:after="20" w:line="216" w:lineRule="auto"/>
              <w:rPr>
                <w:rFonts w:asciiTheme="minorBidi" w:hAnsiTheme="minorBidi" w:cstheme="minorBidi"/>
                <w:color w:val="auto"/>
                <w:sz w:val="18"/>
                <w:szCs w:val="18"/>
                <w:rtl/>
              </w:rPr>
            </w:pPr>
          </w:p>
        </w:tc>
        <w:tc>
          <w:tcPr>
            <w:tcW w:w="3686" w:type="dxa"/>
            <w:gridSpan w:val="4"/>
            <w:vAlign w:val="bottom"/>
          </w:tcPr>
          <w:p w14:paraId="6AA40C48" w14:textId="04AD462C" w:rsidR="00F875F2" w:rsidRPr="00F875F2" w:rsidRDefault="00F875F2" w:rsidP="00F875F2">
            <w:pPr>
              <w:pStyle w:val="-4"/>
              <w:pBdr>
                <w:bottom w:val="single" w:sz="4" w:space="1" w:color="auto"/>
              </w:pBdr>
              <w:spacing w:before="20" w:after="20" w:line="216" w:lineRule="auto"/>
              <w:rPr>
                <w:rFonts w:asciiTheme="minorBidi" w:hAnsiTheme="minorBidi" w:cstheme="minorBidi"/>
                <w:sz w:val="18"/>
                <w:szCs w:val="18"/>
                <w:rtl/>
                <w:lang w:eastAsia="he-IL"/>
              </w:rPr>
            </w:pPr>
            <w:r w:rsidRPr="00F875F2">
              <w:rPr>
                <w:rFonts w:asciiTheme="minorBidi" w:hAnsiTheme="minorBidi" w:cstheme="minorBidi"/>
                <w:sz w:val="18"/>
                <w:szCs w:val="18"/>
                <w:rtl/>
              </w:rPr>
              <w:t xml:space="preserve">ליום 30 ביוני </w:t>
            </w:r>
            <w:r w:rsidRPr="00F875F2">
              <w:rPr>
                <w:rFonts w:asciiTheme="minorBidi" w:hAnsiTheme="minorBidi" w:cstheme="minorBidi"/>
                <w:sz w:val="18"/>
                <w:szCs w:val="18"/>
                <w:rtl/>
              </w:rPr>
              <w:fldChar w:fldCharType="begin"/>
            </w:r>
            <w:r w:rsidRPr="00F875F2">
              <w:rPr>
                <w:rFonts w:asciiTheme="minorBidi" w:hAnsiTheme="minorBidi" w:cstheme="minorBidi"/>
                <w:sz w:val="18"/>
                <w:szCs w:val="18"/>
                <w:rtl/>
              </w:rPr>
              <w:instrText xml:space="preserve"> </w:instrText>
            </w:r>
            <w:r w:rsidRPr="00F875F2">
              <w:rPr>
                <w:rFonts w:asciiTheme="minorBidi" w:hAnsiTheme="minorBidi" w:cstheme="minorBidi" w:hint="cs"/>
                <w:sz w:val="18"/>
                <w:szCs w:val="18"/>
                <w:rtl/>
              </w:rPr>
              <w:instrText xml:space="preserve">= </w:instrText>
            </w:r>
            <w:r w:rsidRPr="00F875F2">
              <w:rPr>
                <w:rFonts w:asciiTheme="minorBidi" w:hAnsiTheme="minorBidi" w:cstheme="minorBidi" w:hint="cs"/>
                <w:sz w:val="18"/>
                <w:szCs w:val="18"/>
              </w:rPr>
              <w:instrText>CY \* MERGEFORMAT</w:instrText>
            </w:r>
            <w:r w:rsidRPr="00F875F2">
              <w:rPr>
                <w:rFonts w:asciiTheme="minorBidi" w:hAnsiTheme="minorBidi" w:cstheme="minorBidi"/>
                <w:sz w:val="18"/>
                <w:szCs w:val="18"/>
                <w:rtl/>
              </w:rPr>
              <w:instrText xml:space="preserve"> </w:instrText>
            </w:r>
            <w:r w:rsidRPr="00F875F2">
              <w:rPr>
                <w:rFonts w:asciiTheme="minorBidi" w:hAnsiTheme="minorBidi" w:cstheme="minorBidi"/>
                <w:sz w:val="18"/>
                <w:szCs w:val="18"/>
                <w:rtl/>
              </w:rPr>
              <w:fldChar w:fldCharType="separate"/>
            </w:r>
            <w:r w:rsidR="003A584F">
              <w:rPr>
                <w:rFonts w:asciiTheme="minorBidi" w:hAnsiTheme="minorBidi" w:cstheme="minorBidi"/>
                <w:noProof/>
                <w:sz w:val="18"/>
                <w:szCs w:val="18"/>
                <w:rtl/>
              </w:rPr>
              <w:t>2024</w:t>
            </w:r>
            <w:r w:rsidRPr="00F875F2">
              <w:rPr>
                <w:rFonts w:asciiTheme="minorBidi" w:hAnsiTheme="minorBidi" w:cstheme="minorBidi"/>
                <w:sz w:val="18"/>
                <w:szCs w:val="18"/>
                <w:rtl/>
              </w:rPr>
              <w:fldChar w:fldCharType="end"/>
            </w:r>
            <w:r w:rsidRPr="00F875F2">
              <w:rPr>
                <w:rFonts w:asciiTheme="minorBidi" w:hAnsiTheme="minorBidi" w:cstheme="minorBidi" w:hint="cs"/>
                <w:sz w:val="18"/>
                <w:szCs w:val="18"/>
                <w:rtl/>
                <w:lang w:eastAsia="he-IL"/>
              </w:rPr>
              <w:t xml:space="preserve"> </w:t>
            </w:r>
            <w:r w:rsidRPr="00265615">
              <w:rPr>
                <w:rFonts w:asciiTheme="minorBidi" w:hAnsiTheme="minorBidi" w:cstheme="minorBidi" w:hint="cs"/>
                <w:b w:val="0"/>
                <w:bCs w:val="0"/>
                <w:sz w:val="18"/>
                <w:szCs w:val="18"/>
                <w:rtl/>
                <w:lang w:eastAsia="he-IL"/>
              </w:rPr>
              <w:t>(בלתי מבוקר)</w:t>
            </w:r>
          </w:p>
        </w:tc>
      </w:tr>
      <w:tr w:rsidR="00F875F2" w:rsidRPr="00522CAE" w14:paraId="658DFA01" w14:textId="77777777" w:rsidTr="009B3EC6">
        <w:trPr>
          <w:trHeight w:val="245"/>
        </w:trPr>
        <w:tc>
          <w:tcPr>
            <w:tcW w:w="991" w:type="dxa"/>
          </w:tcPr>
          <w:p w14:paraId="719A4762" w14:textId="77777777" w:rsidR="00F875F2" w:rsidRPr="00522CAE" w:rsidRDefault="00F875F2" w:rsidP="00F875F2">
            <w:pPr>
              <w:pStyle w:val="-0"/>
              <w:spacing w:before="20" w:after="20" w:line="216" w:lineRule="auto"/>
              <w:rPr>
                <w:color w:val="auto"/>
                <w:rtl/>
              </w:rPr>
            </w:pPr>
          </w:p>
        </w:tc>
        <w:tc>
          <w:tcPr>
            <w:tcW w:w="5816" w:type="dxa"/>
            <w:vAlign w:val="bottom"/>
          </w:tcPr>
          <w:p w14:paraId="1E516A29" w14:textId="77777777" w:rsidR="00F875F2" w:rsidRPr="00F875F2" w:rsidRDefault="00F875F2" w:rsidP="00F875F2">
            <w:pPr>
              <w:pStyle w:val="-0"/>
              <w:spacing w:before="20" w:after="20" w:line="216" w:lineRule="auto"/>
              <w:rPr>
                <w:rFonts w:asciiTheme="minorBidi" w:hAnsiTheme="minorBidi" w:cstheme="minorBidi"/>
                <w:color w:val="auto"/>
                <w:sz w:val="18"/>
                <w:szCs w:val="18"/>
                <w:rtl/>
              </w:rPr>
            </w:pPr>
          </w:p>
        </w:tc>
        <w:tc>
          <w:tcPr>
            <w:tcW w:w="1134" w:type="dxa"/>
            <w:vAlign w:val="bottom"/>
          </w:tcPr>
          <w:p w14:paraId="34625BF2" w14:textId="77777777" w:rsidR="00F875F2" w:rsidRPr="00F875F2" w:rsidRDefault="00F875F2" w:rsidP="00F875F2">
            <w:pPr>
              <w:pStyle w:val="-4"/>
              <w:pBdr>
                <w:bottom w:val="single" w:sz="4" w:space="1" w:color="auto"/>
              </w:pBdr>
              <w:spacing w:before="20" w:after="20" w:line="216" w:lineRule="auto"/>
              <w:rPr>
                <w:rFonts w:asciiTheme="minorBidi" w:hAnsiTheme="minorBidi" w:cstheme="minorBidi"/>
                <w:b w:val="0"/>
                <w:bCs w:val="0"/>
                <w:sz w:val="18"/>
                <w:szCs w:val="18"/>
                <w:rtl/>
              </w:rPr>
            </w:pPr>
            <w:r w:rsidRPr="00F875F2">
              <w:rPr>
                <w:rFonts w:asciiTheme="minorBidi" w:hAnsiTheme="minorBidi" w:cstheme="minorBidi"/>
                <w:sz w:val="18"/>
                <w:szCs w:val="18"/>
                <w:rtl/>
              </w:rPr>
              <w:t>ממשלות ומוסדות פיננסיים</w:t>
            </w:r>
          </w:p>
        </w:tc>
        <w:tc>
          <w:tcPr>
            <w:tcW w:w="1136" w:type="dxa"/>
            <w:vAlign w:val="bottom"/>
          </w:tcPr>
          <w:p w14:paraId="3C6E1D78" w14:textId="383D1E97" w:rsidR="00F875F2" w:rsidRPr="009B3EC6" w:rsidRDefault="00F875F2" w:rsidP="009B3EC6">
            <w:pPr>
              <w:pStyle w:val="-4"/>
              <w:pBdr>
                <w:bottom w:val="sing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מגובות נכסים או </w:t>
            </w:r>
            <w:r w:rsidR="009B3EC6">
              <w:rPr>
                <w:rFonts w:asciiTheme="minorBidi" w:hAnsiTheme="minorBidi" w:cstheme="minorBidi" w:hint="cs"/>
                <w:sz w:val="18"/>
                <w:szCs w:val="18"/>
                <w:rtl/>
              </w:rPr>
              <w:t>מ</w:t>
            </w:r>
            <w:r w:rsidRPr="00F875F2">
              <w:rPr>
                <w:rFonts w:asciiTheme="minorBidi" w:hAnsiTheme="minorBidi" w:cstheme="minorBidi"/>
                <w:sz w:val="18"/>
                <w:szCs w:val="18"/>
                <w:rtl/>
              </w:rPr>
              <w:t>שכנתאות</w:t>
            </w:r>
          </w:p>
        </w:tc>
        <w:tc>
          <w:tcPr>
            <w:tcW w:w="709" w:type="dxa"/>
            <w:vAlign w:val="bottom"/>
          </w:tcPr>
          <w:p w14:paraId="676D542A" w14:textId="77777777" w:rsidR="00F875F2" w:rsidRPr="00F875F2" w:rsidRDefault="00F875F2" w:rsidP="00F875F2">
            <w:pPr>
              <w:pStyle w:val="-4"/>
              <w:pBdr>
                <w:bottom w:val="single" w:sz="4" w:space="1" w:color="auto"/>
              </w:pBdr>
              <w:spacing w:before="20" w:after="20" w:line="216" w:lineRule="auto"/>
              <w:rPr>
                <w:rFonts w:asciiTheme="minorBidi" w:hAnsiTheme="minorBidi" w:cstheme="minorBidi"/>
                <w:b w:val="0"/>
                <w:bCs w:val="0"/>
                <w:sz w:val="18"/>
                <w:szCs w:val="18"/>
                <w:rtl/>
              </w:rPr>
            </w:pPr>
            <w:r w:rsidRPr="00F875F2">
              <w:rPr>
                <w:rFonts w:asciiTheme="minorBidi" w:hAnsiTheme="minorBidi" w:cstheme="minorBidi"/>
                <w:sz w:val="18"/>
                <w:szCs w:val="18"/>
                <w:rtl/>
              </w:rPr>
              <w:t>של אחרים</w:t>
            </w:r>
          </w:p>
        </w:tc>
        <w:tc>
          <w:tcPr>
            <w:tcW w:w="707" w:type="dxa"/>
            <w:vAlign w:val="bottom"/>
          </w:tcPr>
          <w:p w14:paraId="6842CBB6" w14:textId="77777777" w:rsidR="00F875F2" w:rsidRPr="00F875F2" w:rsidRDefault="00F875F2" w:rsidP="00F875F2">
            <w:pPr>
              <w:pStyle w:val="-4"/>
              <w:pBdr>
                <w:bottom w:val="single" w:sz="4" w:space="1" w:color="auto"/>
              </w:pBdr>
              <w:spacing w:before="20" w:after="20" w:line="216" w:lineRule="auto"/>
              <w:rPr>
                <w:rFonts w:asciiTheme="minorBidi" w:hAnsiTheme="minorBidi" w:cstheme="minorBidi"/>
                <w:b w:val="0"/>
                <w:bCs w:val="0"/>
                <w:sz w:val="18"/>
                <w:szCs w:val="18"/>
                <w:rtl/>
              </w:rPr>
            </w:pPr>
            <w:r w:rsidRPr="00F875F2">
              <w:rPr>
                <w:rFonts w:asciiTheme="minorBidi" w:hAnsiTheme="minorBidi" w:cstheme="minorBidi"/>
                <w:sz w:val="18"/>
                <w:szCs w:val="18"/>
                <w:rtl/>
              </w:rPr>
              <w:t>סך הכל</w:t>
            </w:r>
          </w:p>
        </w:tc>
      </w:tr>
      <w:tr w:rsidR="00F875F2" w:rsidRPr="00522CAE" w14:paraId="1030990B" w14:textId="77777777" w:rsidTr="009B3EC6">
        <w:trPr>
          <w:trHeight w:val="245"/>
        </w:trPr>
        <w:tc>
          <w:tcPr>
            <w:tcW w:w="991" w:type="dxa"/>
          </w:tcPr>
          <w:p w14:paraId="12BCDFFE" w14:textId="77777777" w:rsidR="00F875F2" w:rsidRPr="00522CAE" w:rsidRDefault="00F875F2" w:rsidP="00F875F2">
            <w:pPr>
              <w:pStyle w:val="-0"/>
              <w:spacing w:before="20" w:after="20" w:line="216" w:lineRule="auto"/>
              <w:rPr>
                <w:color w:val="auto"/>
                <w:rtl/>
              </w:rPr>
            </w:pPr>
          </w:p>
        </w:tc>
        <w:tc>
          <w:tcPr>
            <w:tcW w:w="5816" w:type="dxa"/>
            <w:vAlign w:val="bottom"/>
          </w:tcPr>
          <w:p w14:paraId="0EAE1796" w14:textId="1F81469D" w:rsidR="00F875F2" w:rsidRPr="00F875F2" w:rsidRDefault="00F875F2" w:rsidP="00F875F2">
            <w:pPr>
              <w:pStyle w:val="-0"/>
              <w:spacing w:before="20" w:after="20" w:line="216" w:lineRule="auto"/>
              <w:ind w:left="0" w:firstLine="0"/>
              <w:rPr>
                <w:rFonts w:asciiTheme="minorBidi" w:hAnsiTheme="minorBidi" w:cstheme="minorBidi"/>
                <w:color w:val="auto"/>
                <w:sz w:val="18"/>
                <w:szCs w:val="18"/>
                <w:rtl/>
              </w:rPr>
            </w:pPr>
            <w:r w:rsidRPr="00F875F2">
              <w:rPr>
                <w:rFonts w:asciiTheme="minorBidi" w:hAnsiTheme="minorBidi" w:cstheme="minorBidi"/>
                <w:b/>
                <w:bCs/>
                <w:color w:val="auto"/>
                <w:sz w:val="18"/>
                <w:szCs w:val="18"/>
                <w:rtl/>
              </w:rPr>
              <w:t xml:space="preserve">יתרת ההפרשה להפסדי אשראי ליום </w:t>
            </w:r>
            <w:r w:rsidRPr="00F875F2">
              <w:rPr>
                <w:rFonts w:asciiTheme="minorBidi" w:hAnsiTheme="minorBidi" w:cstheme="minorBidi" w:hint="cs"/>
                <w:b/>
                <w:bCs/>
                <w:color w:val="auto"/>
                <w:sz w:val="18"/>
                <w:szCs w:val="18"/>
                <w:rtl/>
              </w:rPr>
              <w:t>1.1.</w:t>
            </w:r>
            <w:r w:rsidRPr="00F875F2">
              <w:rPr>
                <w:rFonts w:asciiTheme="minorBidi" w:hAnsiTheme="minorBidi" w:cstheme="minorBidi"/>
                <w:b/>
                <w:bCs/>
                <w:color w:val="auto"/>
                <w:sz w:val="18"/>
                <w:szCs w:val="18"/>
                <w:rtl/>
              </w:rPr>
              <w:fldChar w:fldCharType="begin"/>
            </w:r>
            <w:r w:rsidRPr="00F875F2">
              <w:rPr>
                <w:rFonts w:asciiTheme="minorBidi" w:hAnsiTheme="minorBidi" w:cstheme="minorBidi"/>
                <w:b/>
                <w:bCs/>
                <w:color w:val="auto"/>
                <w:sz w:val="18"/>
                <w:szCs w:val="18"/>
                <w:rtl/>
              </w:rPr>
              <w:instrText xml:space="preserve"> </w:instrText>
            </w:r>
            <w:r w:rsidRPr="00F875F2">
              <w:rPr>
                <w:rFonts w:asciiTheme="minorBidi" w:hAnsiTheme="minorBidi" w:cstheme="minorBidi" w:hint="cs"/>
                <w:b/>
                <w:bCs/>
                <w:color w:val="auto"/>
                <w:sz w:val="18"/>
                <w:szCs w:val="18"/>
                <w:rtl/>
              </w:rPr>
              <w:instrText xml:space="preserve">= </w:instrText>
            </w:r>
            <w:r w:rsidRPr="00F875F2">
              <w:rPr>
                <w:rFonts w:asciiTheme="minorBidi" w:hAnsiTheme="minorBidi" w:cstheme="minorBidi" w:hint="cs"/>
                <w:b/>
                <w:bCs/>
                <w:color w:val="auto"/>
                <w:sz w:val="18"/>
                <w:szCs w:val="18"/>
              </w:rPr>
              <w:instrText>CY \* MERGEFORMAT</w:instrText>
            </w:r>
            <w:r w:rsidRPr="00F875F2">
              <w:rPr>
                <w:rFonts w:asciiTheme="minorBidi" w:hAnsiTheme="minorBidi" w:cstheme="minorBidi"/>
                <w:b/>
                <w:bCs/>
                <w:color w:val="auto"/>
                <w:sz w:val="18"/>
                <w:szCs w:val="18"/>
                <w:rtl/>
              </w:rPr>
              <w:instrText xml:space="preserve"> </w:instrText>
            </w:r>
            <w:r w:rsidRPr="00F875F2">
              <w:rPr>
                <w:rFonts w:asciiTheme="minorBidi" w:hAnsiTheme="minorBidi" w:cstheme="minorBidi"/>
                <w:b/>
                <w:bCs/>
                <w:color w:val="auto"/>
                <w:sz w:val="18"/>
                <w:szCs w:val="18"/>
                <w:rtl/>
              </w:rPr>
              <w:fldChar w:fldCharType="separate"/>
            </w:r>
            <w:r w:rsidR="003A584F">
              <w:rPr>
                <w:rFonts w:asciiTheme="minorBidi" w:hAnsiTheme="minorBidi" w:cstheme="minorBidi"/>
                <w:b/>
                <w:bCs/>
                <w:noProof/>
                <w:color w:val="auto"/>
                <w:sz w:val="18"/>
                <w:szCs w:val="18"/>
                <w:rtl/>
              </w:rPr>
              <w:t>2024</w:t>
            </w:r>
            <w:r w:rsidRPr="00F875F2">
              <w:rPr>
                <w:rFonts w:asciiTheme="minorBidi" w:hAnsiTheme="minorBidi" w:cstheme="minorBidi"/>
                <w:b/>
                <w:bCs/>
                <w:color w:val="auto"/>
                <w:sz w:val="18"/>
                <w:szCs w:val="18"/>
                <w:rtl/>
              </w:rPr>
              <w:fldChar w:fldCharType="end"/>
            </w:r>
          </w:p>
        </w:tc>
        <w:tc>
          <w:tcPr>
            <w:tcW w:w="1134" w:type="dxa"/>
            <w:vAlign w:val="bottom"/>
          </w:tcPr>
          <w:p w14:paraId="47CB9C00"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692C82EA"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6BA73FD2"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0A483BF3"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F875F2" w:rsidRPr="00522CAE" w14:paraId="7CF258A5" w14:textId="77777777" w:rsidTr="009B3EC6">
        <w:trPr>
          <w:trHeight w:val="245"/>
        </w:trPr>
        <w:tc>
          <w:tcPr>
            <w:tcW w:w="991" w:type="dxa"/>
          </w:tcPr>
          <w:p w14:paraId="336C0494" w14:textId="77777777" w:rsidR="00F875F2" w:rsidRPr="00522CAE" w:rsidRDefault="00F875F2" w:rsidP="00F875F2">
            <w:pPr>
              <w:pStyle w:val="-0"/>
              <w:spacing w:before="20" w:after="20" w:line="216" w:lineRule="auto"/>
              <w:rPr>
                <w:color w:val="auto"/>
                <w:rtl/>
              </w:rPr>
            </w:pPr>
          </w:p>
        </w:tc>
        <w:tc>
          <w:tcPr>
            <w:tcW w:w="5816" w:type="dxa"/>
            <w:vAlign w:val="bottom"/>
          </w:tcPr>
          <w:p w14:paraId="410D24A0" w14:textId="77777777" w:rsidR="00F875F2" w:rsidRPr="00F875F2" w:rsidRDefault="00F875F2" w:rsidP="00F875F2">
            <w:pPr>
              <w:pStyle w:val="-0"/>
              <w:spacing w:before="20" w:after="20" w:line="216" w:lineRule="auto"/>
              <w:ind w:left="0" w:firstLine="0"/>
              <w:rPr>
                <w:rFonts w:asciiTheme="minorBidi" w:hAnsiTheme="minorBidi" w:cstheme="minorBidi"/>
                <w:color w:val="auto"/>
                <w:sz w:val="18"/>
                <w:szCs w:val="18"/>
              </w:rPr>
            </w:pPr>
            <w:r w:rsidRPr="00F875F2">
              <w:rPr>
                <w:rFonts w:asciiTheme="minorBidi" w:hAnsiTheme="minorBidi" w:cstheme="minorBidi"/>
                <w:color w:val="auto"/>
                <w:sz w:val="18"/>
                <w:szCs w:val="18"/>
                <w:rtl/>
              </w:rPr>
              <w:t>תוספות בגין הפסדי אשראי על ניירות ערך שבגינם לא נרשמו הפסדי אשראי בעבר</w:t>
            </w:r>
          </w:p>
        </w:tc>
        <w:tc>
          <w:tcPr>
            <w:tcW w:w="1134" w:type="dxa"/>
            <w:vAlign w:val="bottom"/>
          </w:tcPr>
          <w:p w14:paraId="3042D7C8"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0F5CDC57"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787DB06C"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08E60FA1"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F875F2" w:rsidRPr="00522CAE" w14:paraId="375C6958" w14:textId="77777777" w:rsidTr="009B3EC6">
        <w:trPr>
          <w:trHeight w:val="245"/>
        </w:trPr>
        <w:tc>
          <w:tcPr>
            <w:tcW w:w="991" w:type="dxa"/>
          </w:tcPr>
          <w:p w14:paraId="783FA4E1" w14:textId="77777777" w:rsidR="00F875F2" w:rsidRPr="00522CAE" w:rsidRDefault="00F875F2" w:rsidP="00F875F2">
            <w:pPr>
              <w:pStyle w:val="-0"/>
              <w:spacing w:before="20" w:after="20" w:line="216" w:lineRule="auto"/>
              <w:rPr>
                <w:color w:val="auto"/>
                <w:rtl/>
              </w:rPr>
            </w:pPr>
          </w:p>
        </w:tc>
        <w:tc>
          <w:tcPr>
            <w:tcW w:w="5816" w:type="dxa"/>
            <w:vAlign w:val="bottom"/>
          </w:tcPr>
          <w:p w14:paraId="2A4E4618" w14:textId="77777777" w:rsidR="00F875F2" w:rsidRPr="00F875F2" w:rsidRDefault="00F875F2" w:rsidP="00F875F2">
            <w:pPr>
              <w:pStyle w:val="-21"/>
              <w:spacing w:before="20" w:after="20" w:line="216" w:lineRule="auto"/>
              <w:ind w:hanging="142"/>
              <w:rPr>
                <w:rFonts w:asciiTheme="minorBidi" w:hAnsiTheme="minorBidi" w:cstheme="minorBidi"/>
                <w:color w:val="auto"/>
                <w:sz w:val="18"/>
                <w:szCs w:val="18"/>
                <w:rtl/>
              </w:rPr>
            </w:pPr>
            <w:r w:rsidRPr="00F875F2">
              <w:rPr>
                <w:rFonts w:asciiTheme="minorBidi" w:hAnsiTheme="minorBidi" w:cstheme="minorBidi"/>
                <w:color w:val="auto"/>
                <w:sz w:val="18"/>
                <w:szCs w:val="18"/>
                <w:rtl/>
              </w:rPr>
              <w:t>הפחתות בגין ניירות ערך שנמכרו במהלך התקופה</w:t>
            </w:r>
          </w:p>
        </w:tc>
        <w:tc>
          <w:tcPr>
            <w:tcW w:w="1134" w:type="dxa"/>
            <w:vAlign w:val="bottom"/>
          </w:tcPr>
          <w:p w14:paraId="17E3DE17"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1BCBC3E4"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7326C9C2"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3216FFB4"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F875F2" w:rsidRPr="00522CAE" w14:paraId="5AB82F40" w14:textId="77777777" w:rsidTr="009B3EC6">
        <w:trPr>
          <w:trHeight w:val="245"/>
        </w:trPr>
        <w:tc>
          <w:tcPr>
            <w:tcW w:w="991" w:type="dxa"/>
          </w:tcPr>
          <w:p w14:paraId="6F421D59" w14:textId="77777777" w:rsidR="00F875F2" w:rsidRPr="00522CAE" w:rsidRDefault="00F875F2" w:rsidP="00F875F2">
            <w:pPr>
              <w:pStyle w:val="-0"/>
              <w:spacing w:before="20" w:after="20" w:line="216" w:lineRule="auto"/>
              <w:rPr>
                <w:color w:val="auto"/>
                <w:rtl/>
              </w:rPr>
            </w:pPr>
          </w:p>
        </w:tc>
        <w:tc>
          <w:tcPr>
            <w:tcW w:w="5816" w:type="dxa"/>
            <w:vAlign w:val="bottom"/>
          </w:tcPr>
          <w:p w14:paraId="26B4BFF4" w14:textId="77777777" w:rsidR="00F875F2" w:rsidRPr="00F875F2" w:rsidRDefault="00F875F2" w:rsidP="00F875F2">
            <w:pPr>
              <w:pStyle w:val="-0"/>
              <w:spacing w:before="20" w:after="20" w:line="216" w:lineRule="auto"/>
              <w:rPr>
                <w:rFonts w:asciiTheme="minorBidi" w:hAnsiTheme="minorBidi" w:cstheme="minorBidi"/>
                <w:b/>
                <w:bCs/>
                <w:color w:val="auto"/>
                <w:sz w:val="18"/>
                <w:szCs w:val="18"/>
                <w:rtl/>
              </w:rPr>
            </w:pPr>
            <w:r w:rsidRPr="00F875F2">
              <w:rPr>
                <w:rFonts w:asciiTheme="minorBidi" w:hAnsiTheme="minorBidi" w:cstheme="minorBidi"/>
                <w:color w:val="auto"/>
                <w:sz w:val="18"/>
                <w:szCs w:val="18"/>
                <w:rtl/>
              </w:rPr>
              <w:t>הפחתות בגין כוונה למכור</w:t>
            </w:r>
          </w:p>
        </w:tc>
        <w:tc>
          <w:tcPr>
            <w:tcW w:w="1134" w:type="dxa"/>
            <w:vAlign w:val="bottom"/>
          </w:tcPr>
          <w:p w14:paraId="7F34BE44"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2574339C"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75ECB9B7"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159D9DB7"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F875F2" w:rsidRPr="00522CAE" w14:paraId="4513A586" w14:textId="77777777" w:rsidTr="009B3EC6">
        <w:trPr>
          <w:trHeight w:val="245"/>
        </w:trPr>
        <w:tc>
          <w:tcPr>
            <w:tcW w:w="991" w:type="dxa"/>
          </w:tcPr>
          <w:p w14:paraId="66F985CF" w14:textId="77777777" w:rsidR="00F875F2" w:rsidRPr="00522CAE" w:rsidRDefault="00F875F2" w:rsidP="00F875F2">
            <w:pPr>
              <w:pStyle w:val="-0"/>
              <w:spacing w:before="20" w:after="20" w:line="216" w:lineRule="auto"/>
              <w:rPr>
                <w:color w:val="auto"/>
                <w:rtl/>
              </w:rPr>
            </w:pPr>
          </w:p>
        </w:tc>
        <w:tc>
          <w:tcPr>
            <w:tcW w:w="5816" w:type="dxa"/>
            <w:vAlign w:val="bottom"/>
          </w:tcPr>
          <w:p w14:paraId="4EBEC16B" w14:textId="77777777" w:rsidR="00F875F2" w:rsidRPr="00F875F2" w:rsidRDefault="00F875F2" w:rsidP="00F875F2">
            <w:pPr>
              <w:pStyle w:val="-0"/>
              <w:spacing w:before="20" w:after="20" w:line="216" w:lineRule="auto"/>
              <w:ind w:left="0" w:firstLine="0"/>
              <w:rPr>
                <w:rFonts w:asciiTheme="minorBidi" w:hAnsiTheme="minorBidi" w:cstheme="minorBidi"/>
                <w:color w:val="auto"/>
                <w:sz w:val="18"/>
                <w:szCs w:val="18"/>
                <w:rtl/>
              </w:rPr>
            </w:pPr>
            <w:r w:rsidRPr="00F875F2">
              <w:rPr>
                <w:rFonts w:asciiTheme="minorBidi" w:hAnsiTheme="minorBidi" w:cstheme="minorBidi"/>
                <w:color w:val="auto"/>
                <w:sz w:val="18"/>
                <w:szCs w:val="18"/>
                <w:rtl/>
              </w:rPr>
              <w:t>גידול (קיטון) נטו בהפרשה להפסדי אשראי בגין ניירות ערך שנרשמו בגינם הפסדי אשראי בעבר</w:t>
            </w:r>
          </w:p>
        </w:tc>
        <w:tc>
          <w:tcPr>
            <w:tcW w:w="1134" w:type="dxa"/>
            <w:vAlign w:val="bottom"/>
          </w:tcPr>
          <w:p w14:paraId="070EFCB7"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6501BFF6"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0F2E2526"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7853E20B"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F875F2" w:rsidRPr="00522CAE" w14:paraId="723CC964" w14:textId="77777777" w:rsidTr="009B3EC6">
        <w:trPr>
          <w:trHeight w:val="245"/>
        </w:trPr>
        <w:tc>
          <w:tcPr>
            <w:tcW w:w="991" w:type="dxa"/>
          </w:tcPr>
          <w:p w14:paraId="1DC1E451" w14:textId="77777777" w:rsidR="00F875F2" w:rsidRPr="00522CAE" w:rsidRDefault="00F875F2" w:rsidP="00F875F2">
            <w:pPr>
              <w:pStyle w:val="-0"/>
              <w:spacing w:before="20" w:after="20" w:line="216" w:lineRule="auto"/>
              <w:rPr>
                <w:color w:val="auto"/>
                <w:rtl/>
              </w:rPr>
            </w:pPr>
          </w:p>
        </w:tc>
        <w:tc>
          <w:tcPr>
            <w:tcW w:w="5816" w:type="dxa"/>
            <w:vAlign w:val="bottom"/>
          </w:tcPr>
          <w:p w14:paraId="43E7B64D" w14:textId="77777777" w:rsidR="00F875F2" w:rsidRPr="00F875F2" w:rsidRDefault="00F875F2" w:rsidP="00F875F2">
            <w:pPr>
              <w:pStyle w:val="-0"/>
              <w:spacing w:before="20" w:after="20" w:line="216" w:lineRule="auto"/>
              <w:ind w:left="596" w:hanging="420"/>
              <w:rPr>
                <w:rFonts w:asciiTheme="minorBidi" w:hAnsiTheme="minorBidi" w:cstheme="minorBidi"/>
                <w:color w:val="auto"/>
                <w:sz w:val="18"/>
                <w:szCs w:val="18"/>
                <w:rtl/>
              </w:rPr>
            </w:pPr>
            <w:r w:rsidRPr="00F875F2">
              <w:rPr>
                <w:rFonts w:asciiTheme="minorBidi" w:hAnsiTheme="minorBidi" w:cstheme="minorBidi"/>
                <w:color w:val="auto"/>
                <w:sz w:val="18"/>
                <w:szCs w:val="18"/>
                <w:rtl/>
              </w:rPr>
              <w:t>מחיקות חשבונאיות שנזקפו כנגד ההפרשה</w:t>
            </w:r>
          </w:p>
        </w:tc>
        <w:tc>
          <w:tcPr>
            <w:tcW w:w="1134" w:type="dxa"/>
            <w:vAlign w:val="bottom"/>
          </w:tcPr>
          <w:p w14:paraId="2B498E2D"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3FE024E5"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14F44926"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7AA6F61E"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F875F2" w:rsidRPr="00522CAE" w14:paraId="188E6D41" w14:textId="77777777" w:rsidTr="009B3EC6">
        <w:trPr>
          <w:trHeight w:val="245"/>
        </w:trPr>
        <w:tc>
          <w:tcPr>
            <w:tcW w:w="991" w:type="dxa"/>
          </w:tcPr>
          <w:p w14:paraId="21070222" w14:textId="77777777" w:rsidR="00F875F2" w:rsidRPr="00522CAE" w:rsidRDefault="00F875F2" w:rsidP="00F875F2">
            <w:pPr>
              <w:pStyle w:val="-0"/>
              <w:spacing w:before="20" w:after="20" w:line="216" w:lineRule="auto"/>
              <w:rPr>
                <w:color w:val="auto"/>
                <w:rtl/>
              </w:rPr>
            </w:pPr>
          </w:p>
        </w:tc>
        <w:tc>
          <w:tcPr>
            <w:tcW w:w="5816" w:type="dxa"/>
            <w:vAlign w:val="bottom"/>
          </w:tcPr>
          <w:p w14:paraId="2F2457A7" w14:textId="77777777" w:rsidR="00F875F2" w:rsidRPr="00F875F2" w:rsidRDefault="00F875F2" w:rsidP="00F875F2">
            <w:pPr>
              <w:pStyle w:val="-0"/>
              <w:spacing w:before="20" w:after="20" w:line="216" w:lineRule="auto"/>
              <w:ind w:left="460" w:hanging="284"/>
              <w:rPr>
                <w:rFonts w:asciiTheme="minorBidi" w:hAnsiTheme="minorBidi" w:cstheme="minorBidi"/>
                <w:color w:val="auto"/>
                <w:sz w:val="18"/>
                <w:szCs w:val="18"/>
                <w:rtl/>
              </w:rPr>
            </w:pPr>
            <w:r w:rsidRPr="00F875F2">
              <w:rPr>
                <w:rFonts w:asciiTheme="minorBidi" w:hAnsiTheme="minorBidi" w:cstheme="minorBidi"/>
                <w:color w:val="auto"/>
                <w:sz w:val="18"/>
                <w:szCs w:val="18"/>
                <w:rtl/>
              </w:rPr>
              <w:t>גביית סכומים שנמחקו חשבונאית בתקופות קודמות</w:t>
            </w:r>
          </w:p>
        </w:tc>
        <w:tc>
          <w:tcPr>
            <w:tcW w:w="1134" w:type="dxa"/>
            <w:tcBorders>
              <w:bottom w:val="dotted" w:sz="4" w:space="0" w:color="auto"/>
            </w:tcBorders>
            <w:vAlign w:val="bottom"/>
          </w:tcPr>
          <w:p w14:paraId="20436EC5"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tcBorders>
              <w:left w:val="nil"/>
              <w:bottom w:val="dotted" w:sz="4" w:space="0" w:color="auto"/>
            </w:tcBorders>
            <w:vAlign w:val="bottom"/>
          </w:tcPr>
          <w:p w14:paraId="55FD51E2"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tcBorders>
              <w:bottom w:val="dotted" w:sz="4" w:space="0" w:color="auto"/>
            </w:tcBorders>
            <w:vAlign w:val="bottom"/>
          </w:tcPr>
          <w:p w14:paraId="723B2E87"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tcBorders>
              <w:bottom w:val="dotted" w:sz="4" w:space="0" w:color="auto"/>
            </w:tcBorders>
            <w:vAlign w:val="bottom"/>
          </w:tcPr>
          <w:p w14:paraId="6374F2AB"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F875F2" w:rsidRPr="00522CAE" w14:paraId="5B748111" w14:textId="77777777" w:rsidTr="009B3EC6">
        <w:trPr>
          <w:trHeight w:val="245"/>
        </w:trPr>
        <w:tc>
          <w:tcPr>
            <w:tcW w:w="991" w:type="dxa"/>
          </w:tcPr>
          <w:p w14:paraId="2B021601" w14:textId="77777777" w:rsidR="00F875F2" w:rsidRPr="00522CAE" w:rsidRDefault="00F875F2" w:rsidP="00F875F2">
            <w:pPr>
              <w:pStyle w:val="-0"/>
              <w:spacing w:before="20" w:after="20" w:line="216" w:lineRule="auto"/>
              <w:rPr>
                <w:color w:val="auto"/>
                <w:rtl/>
              </w:rPr>
            </w:pPr>
          </w:p>
        </w:tc>
        <w:tc>
          <w:tcPr>
            <w:tcW w:w="5816" w:type="dxa"/>
            <w:vAlign w:val="bottom"/>
          </w:tcPr>
          <w:p w14:paraId="13C6388D" w14:textId="77777777" w:rsidR="00F875F2" w:rsidRPr="00F875F2" w:rsidRDefault="00F875F2" w:rsidP="00F875F2">
            <w:pPr>
              <w:pStyle w:val="-0"/>
              <w:spacing w:before="20" w:after="20" w:line="216" w:lineRule="auto"/>
              <w:ind w:hanging="142"/>
              <w:rPr>
                <w:rFonts w:asciiTheme="minorBidi" w:hAnsiTheme="minorBidi" w:cstheme="minorBidi"/>
                <w:color w:val="auto"/>
                <w:sz w:val="18"/>
                <w:szCs w:val="18"/>
                <w:rtl/>
              </w:rPr>
            </w:pPr>
            <w:r w:rsidRPr="00F875F2">
              <w:rPr>
                <w:rFonts w:asciiTheme="minorBidi" w:hAnsiTheme="minorBidi" w:cstheme="minorBidi"/>
                <w:color w:val="auto"/>
                <w:sz w:val="18"/>
                <w:szCs w:val="18"/>
                <w:rtl/>
              </w:rPr>
              <w:t>מחיקות חשבונאיות, נטו</w:t>
            </w:r>
          </w:p>
        </w:tc>
        <w:tc>
          <w:tcPr>
            <w:tcW w:w="1134" w:type="dxa"/>
            <w:tcBorders>
              <w:top w:val="dotted" w:sz="4" w:space="0" w:color="auto"/>
            </w:tcBorders>
            <w:vAlign w:val="bottom"/>
          </w:tcPr>
          <w:p w14:paraId="3674364A"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tcBorders>
              <w:top w:val="dotted" w:sz="4" w:space="0" w:color="auto"/>
            </w:tcBorders>
            <w:vAlign w:val="bottom"/>
          </w:tcPr>
          <w:p w14:paraId="23539026"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tcBorders>
              <w:top w:val="dotted" w:sz="4" w:space="0" w:color="auto"/>
            </w:tcBorders>
            <w:vAlign w:val="bottom"/>
          </w:tcPr>
          <w:p w14:paraId="57CDBE6C"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tcBorders>
              <w:top w:val="dotted" w:sz="4" w:space="0" w:color="auto"/>
            </w:tcBorders>
            <w:vAlign w:val="bottom"/>
          </w:tcPr>
          <w:p w14:paraId="0B0F0D0E" w14:textId="77777777" w:rsidR="00F875F2" w:rsidRPr="00F875F2" w:rsidRDefault="00F875F2" w:rsidP="00F875F2">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F875F2" w:rsidRPr="00522CAE" w14:paraId="6C5147FC" w14:textId="77777777" w:rsidTr="009B3EC6">
        <w:trPr>
          <w:trHeight w:val="245"/>
        </w:trPr>
        <w:tc>
          <w:tcPr>
            <w:tcW w:w="991" w:type="dxa"/>
          </w:tcPr>
          <w:p w14:paraId="1F883EBF" w14:textId="77777777" w:rsidR="00F875F2" w:rsidRPr="00522CAE" w:rsidRDefault="00F875F2" w:rsidP="00F875F2">
            <w:pPr>
              <w:pStyle w:val="-0"/>
              <w:spacing w:before="20" w:after="20" w:line="216" w:lineRule="auto"/>
              <w:rPr>
                <w:color w:val="auto"/>
                <w:rtl/>
              </w:rPr>
            </w:pPr>
          </w:p>
        </w:tc>
        <w:tc>
          <w:tcPr>
            <w:tcW w:w="5816" w:type="dxa"/>
            <w:vAlign w:val="bottom"/>
          </w:tcPr>
          <w:p w14:paraId="37998B3F" w14:textId="77777777" w:rsidR="00F875F2" w:rsidRPr="00F875F2" w:rsidRDefault="00F875F2" w:rsidP="00F875F2">
            <w:pPr>
              <w:pStyle w:val="-0"/>
              <w:spacing w:before="20" w:after="20" w:line="216" w:lineRule="auto"/>
              <w:ind w:hanging="142"/>
              <w:rPr>
                <w:rFonts w:asciiTheme="minorBidi" w:hAnsiTheme="minorBidi" w:cstheme="minorBidi"/>
                <w:color w:val="auto"/>
                <w:sz w:val="18"/>
                <w:szCs w:val="18"/>
                <w:rtl/>
              </w:rPr>
            </w:pPr>
            <w:r w:rsidRPr="00F875F2">
              <w:rPr>
                <w:rFonts w:asciiTheme="minorBidi" w:hAnsiTheme="minorBidi" w:cstheme="minorBidi"/>
                <w:color w:val="auto"/>
                <w:sz w:val="18"/>
                <w:szCs w:val="18"/>
                <w:rtl/>
              </w:rPr>
              <w:t>אחר</w:t>
            </w:r>
            <w:r w:rsidRPr="00F875F2">
              <w:rPr>
                <w:rFonts w:asciiTheme="minorBidi" w:hAnsiTheme="minorBidi" w:cstheme="minorBidi"/>
                <w:color w:val="auto"/>
                <w:sz w:val="18"/>
                <w:szCs w:val="18"/>
                <w:vertAlign w:val="superscript"/>
                <w:rtl/>
              </w:rPr>
              <w:t>[</w:t>
            </w:r>
            <w:r w:rsidRPr="00F875F2">
              <w:rPr>
                <w:rStyle w:val="a7"/>
                <w:rFonts w:asciiTheme="minorBidi" w:hAnsiTheme="minorBidi" w:cstheme="minorBidi"/>
                <w:sz w:val="18"/>
                <w:szCs w:val="18"/>
                <w:rtl/>
              </w:rPr>
              <w:footnoteReference w:id="53"/>
            </w:r>
            <w:r w:rsidRPr="00F875F2">
              <w:rPr>
                <w:rFonts w:asciiTheme="minorBidi" w:hAnsiTheme="minorBidi" w:cstheme="minorBidi"/>
                <w:color w:val="auto"/>
                <w:sz w:val="18"/>
                <w:szCs w:val="18"/>
                <w:vertAlign w:val="superscript"/>
                <w:rtl/>
              </w:rPr>
              <w:t>]</w:t>
            </w:r>
            <w:r w:rsidRPr="00F875F2">
              <w:rPr>
                <w:rFonts w:hint="cs"/>
                <w:sz w:val="18"/>
                <w:szCs w:val="18"/>
                <w:vertAlign w:val="superscript"/>
                <w:rtl/>
              </w:rPr>
              <w:t>[</w:t>
            </w:r>
            <w:r w:rsidRPr="00F875F2">
              <w:rPr>
                <w:rStyle w:val="a7"/>
                <w:sz w:val="18"/>
                <w:szCs w:val="18"/>
                <w:rtl/>
              </w:rPr>
              <w:footnoteReference w:id="54"/>
            </w:r>
            <w:r w:rsidRPr="00F875F2">
              <w:rPr>
                <w:rFonts w:hint="cs"/>
                <w:sz w:val="18"/>
                <w:szCs w:val="18"/>
                <w:vertAlign w:val="superscript"/>
                <w:rtl/>
              </w:rPr>
              <w:t>]</w:t>
            </w:r>
          </w:p>
        </w:tc>
        <w:tc>
          <w:tcPr>
            <w:tcW w:w="1134" w:type="dxa"/>
            <w:vAlign w:val="bottom"/>
          </w:tcPr>
          <w:p w14:paraId="187FCF20" w14:textId="77777777" w:rsidR="00F875F2" w:rsidRPr="00F875F2" w:rsidRDefault="00F875F2" w:rsidP="00F875F2">
            <w:pPr>
              <w:pStyle w:val="-3"/>
              <w:pBdr>
                <w:bottom w:val="sing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7A39ACED" w14:textId="77777777" w:rsidR="00F875F2" w:rsidRPr="00F875F2" w:rsidRDefault="00F875F2" w:rsidP="00F875F2">
            <w:pPr>
              <w:pStyle w:val="-3"/>
              <w:pBdr>
                <w:bottom w:val="sing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11AC0A0B" w14:textId="77777777" w:rsidR="00F875F2" w:rsidRPr="00F875F2" w:rsidRDefault="00F875F2" w:rsidP="00F875F2">
            <w:pPr>
              <w:pStyle w:val="-3"/>
              <w:pBdr>
                <w:bottom w:val="sing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100A0AE9" w14:textId="77777777" w:rsidR="00F875F2" w:rsidRPr="00F875F2" w:rsidRDefault="00F875F2" w:rsidP="00F875F2">
            <w:pPr>
              <w:pStyle w:val="-3"/>
              <w:pBdr>
                <w:bottom w:val="sing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F875F2" w:rsidRPr="00522CAE" w14:paraId="203720B8" w14:textId="77777777" w:rsidTr="009B3EC6">
        <w:trPr>
          <w:trHeight w:val="245"/>
        </w:trPr>
        <w:tc>
          <w:tcPr>
            <w:tcW w:w="991" w:type="dxa"/>
          </w:tcPr>
          <w:p w14:paraId="0543895C" w14:textId="77777777" w:rsidR="00F875F2" w:rsidRPr="00522CAE" w:rsidRDefault="00F875F2" w:rsidP="00F875F2">
            <w:pPr>
              <w:pStyle w:val="-0"/>
              <w:spacing w:before="20" w:after="20" w:line="216" w:lineRule="auto"/>
              <w:rPr>
                <w:color w:val="auto"/>
                <w:rtl/>
              </w:rPr>
            </w:pPr>
          </w:p>
        </w:tc>
        <w:tc>
          <w:tcPr>
            <w:tcW w:w="5816" w:type="dxa"/>
            <w:vAlign w:val="bottom"/>
          </w:tcPr>
          <w:p w14:paraId="15B8795F" w14:textId="400AB024" w:rsidR="00F875F2" w:rsidRPr="00F875F2" w:rsidRDefault="00F875F2" w:rsidP="00F875F2">
            <w:pPr>
              <w:pStyle w:val="-0"/>
              <w:spacing w:before="20" w:after="20" w:line="216" w:lineRule="auto"/>
              <w:ind w:left="0" w:firstLine="0"/>
              <w:rPr>
                <w:rFonts w:asciiTheme="minorBidi" w:hAnsiTheme="minorBidi" w:cstheme="minorBidi"/>
                <w:color w:val="auto"/>
                <w:sz w:val="18"/>
                <w:szCs w:val="18"/>
                <w:rtl/>
              </w:rPr>
            </w:pPr>
            <w:r w:rsidRPr="00F875F2">
              <w:rPr>
                <w:rFonts w:asciiTheme="minorBidi" w:hAnsiTheme="minorBidi" w:cstheme="minorBidi"/>
                <w:b/>
                <w:bCs/>
                <w:color w:val="auto"/>
                <w:sz w:val="18"/>
                <w:szCs w:val="18"/>
                <w:rtl/>
              </w:rPr>
              <w:t>יתרת ההפרשה להפסדי אשראי ליום</w:t>
            </w:r>
            <w:r w:rsidRPr="00F875F2">
              <w:rPr>
                <w:rFonts w:asciiTheme="minorBidi" w:hAnsiTheme="minorBidi" w:cstheme="minorBidi" w:hint="cs"/>
                <w:b/>
                <w:bCs/>
                <w:color w:val="auto"/>
                <w:sz w:val="18"/>
                <w:szCs w:val="18"/>
                <w:rtl/>
              </w:rPr>
              <w:t xml:space="preserve"> 30.6.</w:t>
            </w:r>
            <w:r w:rsidRPr="00F875F2">
              <w:rPr>
                <w:rFonts w:asciiTheme="minorBidi" w:hAnsiTheme="minorBidi" w:cstheme="minorBidi"/>
                <w:b/>
                <w:bCs/>
                <w:color w:val="auto"/>
                <w:sz w:val="18"/>
                <w:szCs w:val="18"/>
                <w:rtl/>
              </w:rPr>
              <w:fldChar w:fldCharType="begin"/>
            </w:r>
            <w:r w:rsidRPr="00F875F2">
              <w:rPr>
                <w:rFonts w:asciiTheme="minorBidi" w:hAnsiTheme="minorBidi" w:cstheme="minorBidi"/>
                <w:b/>
                <w:bCs/>
                <w:color w:val="auto"/>
                <w:sz w:val="18"/>
                <w:szCs w:val="18"/>
                <w:rtl/>
              </w:rPr>
              <w:instrText xml:space="preserve"> </w:instrText>
            </w:r>
            <w:r w:rsidRPr="00F875F2">
              <w:rPr>
                <w:rFonts w:asciiTheme="minorBidi" w:hAnsiTheme="minorBidi" w:cstheme="minorBidi" w:hint="cs"/>
                <w:b/>
                <w:bCs/>
                <w:color w:val="auto"/>
                <w:sz w:val="18"/>
                <w:szCs w:val="18"/>
                <w:rtl/>
              </w:rPr>
              <w:instrText xml:space="preserve">= </w:instrText>
            </w:r>
            <w:r w:rsidRPr="00F875F2">
              <w:rPr>
                <w:rFonts w:asciiTheme="minorBidi" w:hAnsiTheme="minorBidi" w:cstheme="minorBidi" w:hint="cs"/>
                <w:b/>
                <w:bCs/>
                <w:color w:val="auto"/>
                <w:sz w:val="18"/>
                <w:szCs w:val="18"/>
              </w:rPr>
              <w:instrText>CY \* MERGEFORMAT</w:instrText>
            </w:r>
            <w:r w:rsidRPr="00F875F2">
              <w:rPr>
                <w:rFonts w:asciiTheme="minorBidi" w:hAnsiTheme="minorBidi" w:cstheme="minorBidi"/>
                <w:b/>
                <w:bCs/>
                <w:color w:val="auto"/>
                <w:sz w:val="18"/>
                <w:szCs w:val="18"/>
                <w:rtl/>
              </w:rPr>
              <w:instrText xml:space="preserve"> </w:instrText>
            </w:r>
            <w:r w:rsidRPr="00F875F2">
              <w:rPr>
                <w:rFonts w:asciiTheme="minorBidi" w:hAnsiTheme="minorBidi" w:cstheme="minorBidi"/>
                <w:b/>
                <w:bCs/>
                <w:color w:val="auto"/>
                <w:sz w:val="18"/>
                <w:szCs w:val="18"/>
                <w:rtl/>
              </w:rPr>
              <w:fldChar w:fldCharType="separate"/>
            </w:r>
            <w:r w:rsidR="003A584F">
              <w:rPr>
                <w:rFonts w:asciiTheme="minorBidi" w:hAnsiTheme="minorBidi" w:cstheme="minorBidi"/>
                <w:b/>
                <w:bCs/>
                <w:noProof/>
                <w:color w:val="auto"/>
                <w:sz w:val="18"/>
                <w:szCs w:val="18"/>
                <w:rtl/>
              </w:rPr>
              <w:t>2024</w:t>
            </w:r>
            <w:r w:rsidRPr="00F875F2">
              <w:rPr>
                <w:rFonts w:asciiTheme="minorBidi" w:hAnsiTheme="minorBidi" w:cstheme="minorBidi"/>
                <w:b/>
                <w:bCs/>
                <w:color w:val="auto"/>
                <w:sz w:val="18"/>
                <w:szCs w:val="18"/>
                <w:rtl/>
              </w:rPr>
              <w:fldChar w:fldCharType="end"/>
            </w:r>
          </w:p>
        </w:tc>
        <w:tc>
          <w:tcPr>
            <w:tcW w:w="1134" w:type="dxa"/>
            <w:vAlign w:val="bottom"/>
          </w:tcPr>
          <w:p w14:paraId="6114E0A4" w14:textId="77777777" w:rsidR="00F875F2" w:rsidRPr="00F875F2" w:rsidRDefault="00F875F2" w:rsidP="00F875F2">
            <w:pPr>
              <w:pStyle w:val="-3"/>
              <w:pBdr>
                <w:bottom w:val="doub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78FAD714" w14:textId="77777777" w:rsidR="00F875F2" w:rsidRPr="00F875F2" w:rsidRDefault="00F875F2" w:rsidP="00F875F2">
            <w:pPr>
              <w:pStyle w:val="-3"/>
              <w:pBdr>
                <w:bottom w:val="doub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4A1A22DC" w14:textId="77777777" w:rsidR="00F875F2" w:rsidRPr="00F875F2" w:rsidRDefault="00F875F2" w:rsidP="00F875F2">
            <w:pPr>
              <w:pStyle w:val="-3"/>
              <w:pBdr>
                <w:bottom w:val="doub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67B830DB" w14:textId="77777777" w:rsidR="00F875F2" w:rsidRPr="00F875F2" w:rsidRDefault="00F875F2" w:rsidP="00F875F2">
            <w:pPr>
              <w:pStyle w:val="-3"/>
              <w:pBdr>
                <w:bottom w:val="doub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bl>
    <w:p w14:paraId="33CEFF0A" w14:textId="77777777" w:rsidR="001469DD" w:rsidRDefault="001469DD" w:rsidP="002C275F">
      <w:pPr>
        <w:spacing w:line="120" w:lineRule="exact"/>
      </w:pPr>
    </w:p>
    <w:tbl>
      <w:tblPr>
        <w:bidiVisual/>
        <w:tblW w:w="5140" w:type="pct"/>
        <w:tblLayout w:type="fixed"/>
        <w:tblLook w:val="04A0" w:firstRow="1" w:lastRow="0" w:firstColumn="1" w:lastColumn="0" w:noHBand="0" w:noVBand="1"/>
      </w:tblPr>
      <w:tblGrid>
        <w:gridCol w:w="991"/>
        <w:gridCol w:w="5816"/>
        <w:gridCol w:w="1134"/>
        <w:gridCol w:w="1136"/>
        <w:gridCol w:w="709"/>
        <w:gridCol w:w="707"/>
      </w:tblGrid>
      <w:tr w:rsidR="009B3EC6" w:rsidRPr="00522CAE" w14:paraId="3EF6A1AB" w14:textId="77777777" w:rsidTr="00400DD1">
        <w:trPr>
          <w:trHeight w:val="245"/>
        </w:trPr>
        <w:tc>
          <w:tcPr>
            <w:tcW w:w="991" w:type="dxa"/>
          </w:tcPr>
          <w:p w14:paraId="7B8AB416" w14:textId="6D64A297" w:rsidR="009B3EC6" w:rsidRPr="00522CAE" w:rsidRDefault="009B3EC6" w:rsidP="00400DD1">
            <w:pPr>
              <w:pStyle w:val="-0"/>
              <w:spacing w:before="20" w:after="20" w:line="216" w:lineRule="auto"/>
              <w:rPr>
                <w:color w:val="auto"/>
                <w:rtl/>
              </w:rPr>
            </w:pPr>
          </w:p>
        </w:tc>
        <w:tc>
          <w:tcPr>
            <w:tcW w:w="5816" w:type="dxa"/>
            <w:vAlign w:val="bottom"/>
          </w:tcPr>
          <w:p w14:paraId="132BAC3A" w14:textId="77777777" w:rsidR="009B3EC6" w:rsidRPr="00F875F2" w:rsidRDefault="009B3EC6" w:rsidP="00400DD1">
            <w:pPr>
              <w:pStyle w:val="-0"/>
              <w:spacing w:before="20" w:after="20" w:line="216" w:lineRule="auto"/>
              <w:rPr>
                <w:rFonts w:asciiTheme="minorBidi" w:hAnsiTheme="minorBidi" w:cstheme="minorBidi"/>
                <w:color w:val="auto"/>
                <w:sz w:val="18"/>
                <w:szCs w:val="18"/>
                <w:rtl/>
              </w:rPr>
            </w:pPr>
          </w:p>
        </w:tc>
        <w:tc>
          <w:tcPr>
            <w:tcW w:w="3686" w:type="dxa"/>
            <w:gridSpan w:val="4"/>
            <w:vAlign w:val="bottom"/>
          </w:tcPr>
          <w:p w14:paraId="0D7AE6D8" w14:textId="20E8CF99" w:rsidR="009B3EC6" w:rsidRPr="00F875F2" w:rsidRDefault="009B3EC6" w:rsidP="00400DD1">
            <w:pPr>
              <w:pStyle w:val="-4"/>
              <w:pBdr>
                <w:bottom w:val="single" w:sz="4" w:space="1" w:color="auto"/>
              </w:pBdr>
              <w:spacing w:before="20" w:after="20" w:line="216" w:lineRule="auto"/>
              <w:rPr>
                <w:rFonts w:asciiTheme="minorBidi" w:hAnsiTheme="minorBidi" w:cstheme="minorBidi"/>
                <w:sz w:val="18"/>
                <w:szCs w:val="18"/>
                <w:rtl/>
                <w:lang w:eastAsia="he-IL"/>
              </w:rPr>
            </w:pPr>
            <w:r w:rsidRPr="00F875F2">
              <w:rPr>
                <w:rFonts w:asciiTheme="minorBidi" w:hAnsiTheme="minorBidi" w:cstheme="minorBidi"/>
                <w:sz w:val="18"/>
                <w:szCs w:val="18"/>
                <w:rtl/>
              </w:rPr>
              <w:t xml:space="preserve">ליום 30 ביוני </w:t>
            </w:r>
            <w:r w:rsidRPr="00F875F2">
              <w:rPr>
                <w:rFonts w:asciiTheme="minorBidi" w:hAnsiTheme="minorBidi" w:cstheme="minorBidi"/>
                <w:sz w:val="18"/>
                <w:szCs w:val="18"/>
                <w:rtl/>
              </w:rPr>
              <w:fldChar w:fldCharType="begin"/>
            </w:r>
            <w:r w:rsidRPr="00F875F2">
              <w:rPr>
                <w:rFonts w:asciiTheme="minorBidi" w:hAnsiTheme="minorBidi" w:cstheme="minorBidi"/>
                <w:sz w:val="18"/>
                <w:szCs w:val="18"/>
                <w:rtl/>
              </w:rPr>
              <w:instrText xml:space="preserve"> </w:instrText>
            </w:r>
            <w:r w:rsidRPr="00F875F2">
              <w:rPr>
                <w:rFonts w:asciiTheme="minorBidi" w:hAnsiTheme="minorBidi" w:cstheme="minorBidi" w:hint="cs"/>
                <w:sz w:val="18"/>
                <w:szCs w:val="18"/>
                <w:rtl/>
              </w:rPr>
              <w:instrText xml:space="preserve">= </w:instrText>
            </w:r>
            <w:r w:rsidRPr="00F875F2">
              <w:rPr>
                <w:rFonts w:asciiTheme="minorBidi" w:hAnsiTheme="minorBidi" w:cstheme="minorBidi" w:hint="cs"/>
                <w:sz w:val="18"/>
                <w:szCs w:val="18"/>
              </w:rPr>
              <w:instrText>CY</w:instrText>
            </w:r>
            <w:r>
              <w:rPr>
                <w:rFonts w:asciiTheme="minorBidi" w:hAnsiTheme="minorBidi" w:cstheme="minorBidi"/>
                <w:sz w:val="18"/>
                <w:szCs w:val="18"/>
              </w:rPr>
              <w:instrText>-1</w:instrText>
            </w:r>
            <w:r w:rsidRPr="00F875F2">
              <w:rPr>
                <w:rFonts w:asciiTheme="minorBidi" w:hAnsiTheme="minorBidi" w:cstheme="minorBidi" w:hint="cs"/>
                <w:sz w:val="18"/>
                <w:szCs w:val="18"/>
              </w:rPr>
              <w:instrText xml:space="preserve"> \* MERGEFORMAT</w:instrText>
            </w:r>
            <w:r w:rsidRPr="00F875F2">
              <w:rPr>
                <w:rFonts w:asciiTheme="minorBidi" w:hAnsiTheme="minorBidi" w:cstheme="minorBidi"/>
                <w:sz w:val="18"/>
                <w:szCs w:val="18"/>
                <w:rtl/>
              </w:rPr>
              <w:instrText xml:space="preserve"> </w:instrText>
            </w:r>
            <w:r w:rsidRPr="00F875F2">
              <w:rPr>
                <w:rFonts w:asciiTheme="minorBidi" w:hAnsiTheme="minorBidi" w:cstheme="minorBidi"/>
                <w:sz w:val="18"/>
                <w:szCs w:val="18"/>
                <w:rtl/>
              </w:rPr>
              <w:fldChar w:fldCharType="separate"/>
            </w:r>
            <w:r w:rsidR="003A584F">
              <w:rPr>
                <w:rFonts w:asciiTheme="minorBidi" w:hAnsiTheme="minorBidi" w:cstheme="minorBidi"/>
                <w:noProof/>
                <w:sz w:val="18"/>
                <w:szCs w:val="18"/>
                <w:rtl/>
              </w:rPr>
              <w:t>2023</w:t>
            </w:r>
            <w:r w:rsidRPr="00F875F2">
              <w:rPr>
                <w:rFonts w:asciiTheme="minorBidi" w:hAnsiTheme="minorBidi" w:cstheme="minorBidi"/>
                <w:sz w:val="18"/>
                <w:szCs w:val="18"/>
                <w:rtl/>
              </w:rPr>
              <w:fldChar w:fldCharType="end"/>
            </w:r>
            <w:r w:rsidRPr="00F875F2">
              <w:rPr>
                <w:rFonts w:asciiTheme="minorBidi" w:hAnsiTheme="minorBidi" w:cstheme="minorBidi" w:hint="cs"/>
                <w:sz w:val="18"/>
                <w:szCs w:val="18"/>
                <w:rtl/>
                <w:lang w:eastAsia="he-IL"/>
              </w:rPr>
              <w:t xml:space="preserve"> </w:t>
            </w:r>
            <w:r w:rsidRPr="00265615">
              <w:rPr>
                <w:rFonts w:asciiTheme="minorBidi" w:hAnsiTheme="minorBidi" w:cstheme="minorBidi" w:hint="cs"/>
                <w:b w:val="0"/>
                <w:bCs w:val="0"/>
                <w:sz w:val="18"/>
                <w:szCs w:val="18"/>
                <w:rtl/>
                <w:lang w:eastAsia="he-IL"/>
              </w:rPr>
              <w:t>(בלתי מבוקר)</w:t>
            </w:r>
          </w:p>
        </w:tc>
      </w:tr>
      <w:tr w:rsidR="009B3EC6" w:rsidRPr="00522CAE" w14:paraId="18EF9A92" w14:textId="77777777" w:rsidTr="00400DD1">
        <w:trPr>
          <w:trHeight w:val="245"/>
        </w:trPr>
        <w:tc>
          <w:tcPr>
            <w:tcW w:w="991" w:type="dxa"/>
          </w:tcPr>
          <w:p w14:paraId="16A4F59D" w14:textId="77777777" w:rsidR="009B3EC6" w:rsidRPr="00522CAE" w:rsidRDefault="009B3EC6" w:rsidP="00400DD1">
            <w:pPr>
              <w:pStyle w:val="-0"/>
              <w:spacing w:before="20" w:after="20" w:line="216" w:lineRule="auto"/>
              <w:rPr>
                <w:color w:val="auto"/>
                <w:rtl/>
              </w:rPr>
            </w:pPr>
          </w:p>
        </w:tc>
        <w:tc>
          <w:tcPr>
            <w:tcW w:w="5816" w:type="dxa"/>
            <w:vAlign w:val="bottom"/>
          </w:tcPr>
          <w:p w14:paraId="516F4F5E" w14:textId="77777777" w:rsidR="009B3EC6" w:rsidRPr="00F875F2" w:rsidRDefault="009B3EC6" w:rsidP="00400DD1">
            <w:pPr>
              <w:pStyle w:val="-0"/>
              <w:spacing w:before="20" w:after="20" w:line="216" w:lineRule="auto"/>
              <w:rPr>
                <w:rFonts w:asciiTheme="minorBidi" w:hAnsiTheme="minorBidi" w:cstheme="minorBidi"/>
                <w:color w:val="auto"/>
                <w:sz w:val="18"/>
                <w:szCs w:val="18"/>
                <w:rtl/>
              </w:rPr>
            </w:pPr>
          </w:p>
        </w:tc>
        <w:tc>
          <w:tcPr>
            <w:tcW w:w="1134" w:type="dxa"/>
            <w:vAlign w:val="bottom"/>
          </w:tcPr>
          <w:p w14:paraId="36449FFE" w14:textId="77777777" w:rsidR="009B3EC6" w:rsidRPr="00F875F2" w:rsidRDefault="009B3EC6" w:rsidP="00400DD1">
            <w:pPr>
              <w:pStyle w:val="-4"/>
              <w:pBdr>
                <w:bottom w:val="single" w:sz="4" w:space="1" w:color="auto"/>
              </w:pBdr>
              <w:spacing w:before="20" w:after="20" w:line="216" w:lineRule="auto"/>
              <w:rPr>
                <w:rFonts w:asciiTheme="minorBidi" w:hAnsiTheme="minorBidi" w:cstheme="minorBidi"/>
                <w:b w:val="0"/>
                <w:bCs w:val="0"/>
                <w:sz w:val="18"/>
                <w:szCs w:val="18"/>
                <w:rtl/>
              </w:rPr>
            </w:pPr>
            <w:r w:rsidRPr="00F875F2">
              <w:rPr>
                <w:rFonts w:asciiTheme="minorBidi" w:hAnsiTheme="minorBidi" w:cstheme="minorBidi"/>
                <w:sz w:val="18"/>
                <w:szCs w:val="18"/>
                <w:rtl/>
              </w:rPr>
              <w:t>ממשלות ומוסדות פיננסיים</w:t>
            </w:r>
          </w:p>
        </w:tc>
        <w:tc>
          <w:tcPr>
            <w:tcW w:w="1136" w:type="dxa"/>
            <w:vAlign w:val="bottom"/>
          </w:tcPr>
          <w:p w14:paraId="01BA9AC2" w14:textId="77777777" w:rsidR="009B3EC6" w:rsidRPr="009B3EC6" w:rsidRDefault="009B3EC6" w:rsidP="00400DD1">
            <w:pPr>
              <w:pStyle w:val="-4"/>
              <w:pBdr>
                <w:bottom w:val="sing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מגובות נכסים או </w:t>
            </w:r>
            <w:r>
              <w:rPr>
                <w:rFonts w:asciiTheme="minorBidi" w:hAnsiTheme="minorBidi" w:cstheme="minorBidi" w:hint="cs"/>
                <w:sz w:val="18"/>
                <w:szCs w:val="18"/>
                <w:rtl/>
              </w:rPr>
              <w:t>מ</w:t>
            </w:r>
            <w:r w:rsidRPr="00F875F2">
              <w:rPr>
                <w:rFonts w:asciiTheme="minorBidi" w:hAnsiTheme="minorBidi" w:cstheme="minorBidi"/>
                <w:sz w:val="18"/>
                <w:szCs w:val="18"/>
                <w:rtl/>
              </w:rPr>
              <w:t>שכנתאות</w:t>
            </w:r>
          </w:p>
        </w:tc>
        <w:tc>
          <w:tcPr>
            <w:tcW w:w="709" w:type="dxa"/>
            <w:vAlign w:val="bottom"/>
          </w:tcPr>
          <w:p w14:paraId="6ECFC2E4" w14:textId="77777777" w:rsidR="009B3EC6" w:rsidRPr="00F875F2" w:rsidRDefault="009B3EC6" w:rsidP="00400DD1">
            <w:pPr>
              <w:pStyle w:val="-4"/>
              <w:pBdr>
                <w:bottom w:val="single" w:sz="4" w:space="1" w:color="auto"/>
              </w:pBdr>
              <w:spacing w:before="20" w:after="20" w:line="216" w:lineRule="auto"/>
              <w:rPr>
                <w:rFonts w:asciiTheme="minorBidi" w:hAnsiTheme="minorBidi" w:cstheme="minorBidi"/>
                <w:b w:val="0"/>
                <w:bCs w:val="0"/>
                <w:sz w:val="18"/>
                <w:szCs w:val="18"/>
                <w:rtl/>
              </w:rPr>
            </w:pPr>
            <w:r w:rsidRPr="00F875F2">
              <w:rPr>
                <w:rFonts w:asciiTheme="minorBidi" w:hAnsiTheme="minorBidi" w:cstheme="minorBidi"/>
                <w:sz w:val="18"/>
                <w:szCs w:val="18"/>
                <w:rtl/>
              </w:rPr>
              <w:t>של אחרים</w:t>
            </w:r>
          </w:p>
        </w:tc>
        <w:tc>
          <w:tcPr>
            <w:tcW w:w="707" w:type="dxa"/>
            <w:vAlign w:val="bottom"/>
          </w:tcPr>
          <w:p w14:paraId="33748A6F" w14:textId="77777777" w:rsidR="009B3EC6" w:rsidRPr="00F875F2" w:rsidRDefault="009B3EC6" w:rsidP="00400DD1">
            <w:pPr>
              <w:pStyle w:val="-4"/>
              <w:pBdr>
                <w:bottom w:val="single" w:sz="4" w:space="1" w:color="auto"/>
              </w:pBdr>
              <w:spacing w:before="20" w:after="20" w:line="216" w:lineRule="auto"/>
              <w:rPr>
                <w:rFonts w:asciiTheme="minorBidi" w:hAnsiTheme="minorBidi" w:cstheme="minorBidi"/>
                <w:b w:val="0"/>
                <w:bCs w:val="0"/>
                <w:sz w:val="18"/>
                <w:szCs w:val="18"/>
                <w:rtl/>
              </w:rPr>
            </w:pPr>
            <w:r w:rsidRPr="00F875F2">
              <w:rPr>
                <w:rFonts w:asciiTheme="minorBidi" w:hAnsiTheme="minorBidi" w:cstheme="minorBidi"/>
                <w:sz w:val="18"/>
                <w:szCs w:val="18"/>
                <w:rtl/>
              </w:rPr>
              <w:t>סך הכל</w:t>
            </w:r>
          </w:p>
        </w:tc>
      </w:tr>
      <w:tr w:rsidR="009B3EC6" w:rsidRPr="00522CAE" w14:paraId="137C704A" w14:textId="77777777" w:rsidTr="00400DD1">
        <w:trPr>
          <w:trHeight w:val="245"/>
        </w:trPr>
        <w:tc>
          <w:tcPr>
            <w:tcW w:w="991" w:type="dxa"/>
          </w:tcPr>
          <w:p w14:paraId="3B098923" w14:textId="77777777" w:rsidR="009B3EC6" w:rsidRPr="00522CAE" w:rsidRDefault="009B3EC6" w:rsidP="00400DD1">
            <w:pPr>
              <w:pStyle w:val="-0"/>
              <w:spacing w:before="20" w:after="20" w:line="216" w:lineRule="auto"/>
              <w:rPr>
                <w:color w:val="auto"/>
                <w:rtl/>
              </w:rPr>
            </w:pPr>
          </w:p>
        </w:tc>
        <w:tc>
          <w:tcPr>
            <w:tcW w:w="5816" w:type="dxa"/>
            <w:vAlign w:val="bottom"/>
          </w:tcPr>
          <w:p w14:paraId="77DEE318" w14:textId="6DC863FA" w:rsidR="009B3EC6" w:rsidRPr="00F875F2" w:rsidRDefault="009B3EC6" w:rsidP="00400DD1">
            <w:pPr>
              <w:pStyle w:val="-0"/>
              <w:spacing w:before="20" w:after="20" w:line="216" w:lineRule="auto"/>
              <w:ind w:left="0" w:firstLine="0"/>
              <w:rPr>
                <w:rFonts w:asciiTheme="minorBidi" w:hAnsiTheme="minorBidi" w:cstheme="minorBidi"/>
                <w:color w:val="auto"/>
                <w:sz w:val="18"/>
                <w:szCs w:val="18"/>
                <w:rtl/>
              </w:rPr>
            </w:pPr>
            <w:r w:rsidRPr="00F875F2">
              <w:rPr>
                <w:rFonts w:asciiTheme="minorBidi" w:hAnsiTheme="minorBidi" w:cstheme="minorBidi"/>
                <w:b/>
                <w:bCs/>
                <w:color w:val="auto"/>
                <w:sz w:val="18"/>
                <w:szCs w:val="18"/>
                <w:rtl/>
              </w:rPr>
              <w:t xml:space="preserve">יתרת ההפרשה להפסדי אשראי ליום </w:t>
            </w:r>
            <w:r w:rsidRPr="00F875F2">
              <w:rPr>
                <w:rFonts w:asciiTheme="minorBidi" w:hAnsiTheme="minorBidi" w:cstheme="minorBidi" w:hint="cs"/>
                <w:b/>
                <w:bCs/>
                <w:color w:val="auto"/>
                <w:sz w:val="18"/>
                <w:szCs w:val="18"/>
                <w:rtl/>
              </w:rPr>
              <w:t>1.1.</w:t>
            </w:r>
            <w:r w:rsidRPr="00F875F2">
              <w:rPr>
                <w:rFonts w:asciiTheme="minorBidi" w:hAnsiTheme="minorBidi" w:cstheme="minorBidi"/>
                <w:b/>
                <w:bCs/>
                <w:color w:val="auto"/>
                <w:sz w:val="18"/>
                <w:szCs w:val="18"/>
                <w:rtl/>
              </w:rPr>
              <w:fldChar w:fldCharType="begin"/>
            </w:r>
            <w:r w:rsidRPr="00F875F2">
              <w:rPr>
                <w:rFonts w:asciiTheme="minorBidi" w:hAnsiTheme="minorBidi" w:cstheme="minorBidi"/>
                <w:b/>
                <w:bCs/>
                <w:color w:val="auto"/>
                <w:sz w:val="18"/>
                <w:szCs w:val="18"/>
                <w:rtl/>
              </w:rPr>
              <w:instrText xml:space="preserve"> </w:instrText>
            </w:r>
            <w:r w:rsidRPr="00F875F2">
              <w:rPr>
                <w:rFonts w:asciiTheme="minorBidi" w:hAnsiTheme="minorBidi" w:cstheme="minorBidi" w:hint="cs"/>
                <w:b/>
                <w:bCs/>
                <w:color w:val="auto"/>
                <w:sz w:val="18"/>
                <w:szCs w:val="18"/>
                <w:rtl/>
              </w:rPr>
              <w:instrText xml:space="preserve">= </w:instrText>
            </w:r>
            <w:r w:rsidRPr="00F875F2">
              <w:rPr>
                <w:rFonts w:asciiTheme="minorBidi" w:hAnsiTheme="minorBidi" w:cstheme="minorBidi" w:hint="cs"/>
                <w:b/>
                <w:bCs/>
                <w:color w:val="auto"/>
                <w:sz w:val="18"/>
                <w:szCs w:val="18"/>
              </w:rPr>
              <w:instrText>CY</w:instrText>
            </w:r>
            <w:r>
              <w:rPr>
                <w:rFonts w:asciiTheme="minorBidi" w:hAnsiTheme="minorBidi" w:cstheme="minorBidi"/>
                <w:b/>
                <w:bCs/>
                <w:color w:val="auto"/>
                <w:sz w:val="18"/>
                <w:szCs w:val="18"/>
              </w:rPr>
              <w:instrText>-1</w:instrText>
            </w:r>
            <w:r w:rsidRPr="00F875F2">
              <w:rPr>
                <w:rFonts w:asciiTheme="minorBidi" w:hAnsiTheme="minorBidi" w:cstheme="minorBidi" w:hint="cs"/>
                <w:b/>
                <w:bCs/>
                <w:color w:val="auto"/>
                <w:sz w:val="18"/>
                <w:szCs w:val="18"/>
              </w:rPr>
              <w:instrText xml:space="preserve"> \* MERGEFORMAT</w:instrText>
            </w:r>
            <w:r w:rsidRPr="00F875F2">
              <w:rPr>
                <w:rFonts w:asciiTheme="minorBidi" w:hAnsiTheme="minorBidi" w:cstheme="minorBidi"/>
                <w:b/>
                <w:bCs/>
                <w:color w:val="auto"/>
                <w:sz w:val="18"/>
                <w:szCs w:val="18"/>
                <w:rtl/>
              </w:rPr>
              <w:instrText xml:space="preserve"> </w:instrText>
            </w:r>
            <w:r w:rsidRPr="00F875F2">
              <w:rPr>
                <w:rFonts w:asciiTheme="minorBidi" w:hAnsiTheme="minorBidi" w:cstheme="minorBidi"/>
                <w:b/>
                <w:bCs/>
                <w:color w:val="auto"/>
                <w:sz w:val="18"/>
                <w:szCs w:val="18"/>
                <w:rtl/>
              </w:rPr>
              <w:fldChar w:fldCharType="separate"/>
            </w:r>
            <w:r w:rsidR="003A584F">
              <w:rPr>
                <w:rFonts w:asciiTheme="minorBidi" w:hAnsiTheme="minorBidi" w:cstheme="minorBidi"/>
                <w:b/>
                <w:bCs/>
                <w:noProof/>
                <w:color w:val="auto"/>
                <w:sz w:val="18"/>
                <w:szCs w:val="18"/>
                <w:rtl/>
              </w:rPr>
              <w:t>2023</w:t>
            </w:r>
            <w:r w:rsidRPr="00F875F2">
              <w:rPr>
                <w:rFonts w:asciiTheme="minorBidi" w:hAnsiTheme="minorBidi" w:cstheme="minorBidi"/>
                <w:b/>
                <w:bCs/>
                <w:color w:val="auto"/>
                <w:sz w:val="18"/>
                <w:szCs w:val="18"/>
                <w:rtl/>
              </w:rPr>
              <w:fldChar w:fldCharType="end"/>
            </w:r>
          </w:p>
        </w:tc>
        <w:tc>
          <w:tcPr>
            <w:tcW w:w="1134" w:type="dxa"/>
            <w:vAlign w:val="bottom"/>
          </w:tcPr>
          <w:p w14:paraId="3CBB18B0"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70AEF346"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02B7AE62"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5BA99315"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3BF1F37C" w14:textId="77777777" w:rsidTr="00400DD1">
        <w:trPr>
          <w:trHeight w:val="245"/>
        </w:trPr>
        <w:tc>
          <w:tcPr>
            <w:tcW w:w="991" w:type="dxa"/>
          </w:tcPr>
          <w:p w14:paraId="27EC8154" w14:textId="77777777" w:rsidR="009B3EC6" w:rsidRPr="00522CAE" w:rsidRDefault="009B3EC6" w:rsidP="00400DD1">
            <w:pPr>
              <w:pStyle w:val="-0"/>
              <w:spacing w:before="20" w:after="20" w:line="216" w:lineRule="auto"/>
              <w:rPr>
                <w:color w:val="auto"/>
                <w:rtl/>
              </w:rPr>
            </w:pPr>
          </w:p>
        </w:tc>
        <w:tc>
          <w:tcPr>
            <w:tcW w:w="5816" w:type="dxa"/>
            <w:vAlign w:val="bottom"/>
          </w:tcPr>
          <w:p w14:paraId="372A4111" w14:textId="77777777" w:rsidR="009B3EC6" w:rsidRPr="00F875F2" w:rsidRDefault="009B3EC6" w:rsidP="00400DD1">
            <w:pPr>
              <w:pStyle w:val="-0"/>
              <w:spacing w:before="20" w:after="20" w:line="216" w:lineRule="auto"/>
              <w:ind w:left="0" w:firstLine="0"/>
              <w:rPr>
                <w:rFonts w:asciiTheme="minorBidi" w:hAnsiTheme="minorBidi" w:cstheme="minorBidi"/>
                <w:color w:val="auto"/>
                <w:sz w:val="18"/>
                <w:szCs w:val="18"/>
              </w:rPr>
            </w:pPr>
            <w:r w:rsidRPr="00F875F2">
              <w:rPr>
                <w:rFonts w:asciiTheme="minorBidi" w:hAnsiTheme="minorBidi" w:cstheme="minorBidi"/>
                <w:color w:val="auto"/>
                <w:sz w:val="18"/>
                <w:szCs w:val="18"/>
                <w:rtl/>
              </w:rPr>
              <w:t>תוספות בגין הפסדי אשראי על ניירות ערך שבגינם לא נרשמו הפסדי אשראי בעבר</w:t>
            </w:r>
          </w:p>
        </w:tc>
        <w:tc>
          <w:tcPr>
            <w:tcW w:w="1134" w:type="dxa"/>
            <w:vAlign w:val="bottom"/>
          </w:tcPr>
          <w:p w14:paraId="6B0F02F0"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39F0A241"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5F8D7532"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50D5FA58"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1D758A17" w14:textId="77777777" w:rsidTr="00400DD1">
        <w:trPr>
          <w:trHeight w:val="245"/>
        </w:trPr>
        <w:tc>
          <w:tcPr>
            <w:tcW w:w="991" w:type="dxa"/>
          </w:tcPr>
          <w:p w14:paraId="4C16BD01" w14:textId="77777777" w:rsidR="009B3EC6" w:rsidRPr="00522CAE" w:rsidRDefault="009B3EC6" w:rsidP="00400DD1">
            <w:pPr>
              <w:pStyle w:val="-0"/>
              <w:spacing w:before="20" w:after="20" w:line="216" w:lineRule="auto"/>
              <w:rPr>
                <w:color w:val="auto"/>
                <w:rtl/>
              </w:rPr>
            </w:pPr>
          </w:p>
        </w:tc>
        <w:tc>
          <w:tcPr>
            <w:tcW w:w="5816" w:type="dxa"/>
            <w:vAlign w:val="bottom"/>
          </w:tcPr>
          <w:p w14:paraId="1F5DAADA" w14:textId="77777777" w:rsidR="009B3EC6" w:rsidRPr="00F875F2" w:rsidRDefault="009B3EC6" w:rsidP="00400DD1">
            <w:pPr>
              <w:pStyle w:val="-21"/>
              <w:spacing w:before="20" w:after="20" w:line="216" w:lineRule="auto"/>
              <w:ind w:hanging="142"/>
              <w:rPr>
                <w:rFonts w:asciiTheme="minorBidi" w:hAnsiTheme="minorBidi" w:cstheme="minorBidi"/>
                <w:color w:val="auto"/>
                <w:sz w:val="18"/>
                <w:szCs w:val="18"/>
                <w:rtl/>
              </w:rPr>
            </w:pPr>
            <w:r w:rsidRPr="00F875F2">
              <w:rPr>
                <w:rFonts w:asciiTheme="minorBidi" w:hAnsiTheme="minorBidi" w:cstheme="minorBidi"/>
                <w:color w:val="auto"/>
                <w:sz w:val="18"/>
                <w:szCs w:val="18"/>
                <w:rtl/>
              </w:rPr>
              <w:t>הפחתות בגין ניירות ערך שנמכרו במהלך התקופה</w:t>
            </w:r>
          </w:p>
        </w:tc>
        <w:tc>
          <w:tcPr>
            <w:tcW w:w="1134" w:type="dxa"/>
            <w:vAlign w:val="bottom"/>
          </w:tcPr>
          <w:p w14:paraId="67703EB7"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5822E44C"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4D9D0E13"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1D31E045"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79BD104D" w14:textId="77777777" w:rsidTr="00400DD1">
        <w:trPr>
          <w:trHeight w:val="245"/>
        </w:trPr>
        <w:tc>
          <w:tcPr>
            <w:tcW w:w="991" w:type="dxa"/>
          </w:tcPr>
          <w:p w14:paraId="413F51B9" w14:textId="77777777" w:rsidR="009B3EC6" w:rsidRPr="00522CAE" w:rsidRDefault="009B3EC6" w:rsidP="00400DD1">
            <w:pPr>
              <w:pStyle w:val="-0"/>
              <w:spacing w:before="20" w:after="20" w:line="216" w:lineRule="auto"/>
              <w:rPr>
                <w:color w:val="auto"/>
                <w:rtl/>
              </w:rPr>
            </w:pPr>
          </w:p>
        </w:tc>
        <w:tc>
          <w:tcPr>
            <w:tcW w:w="5816" w:type="dxa"/>
            <w:vAlign w:val="bottom"/>
          </w:tcPr>
          <w:p w14:paraId="352EF6FB" w14:textId="77777777" w:rsidR="009B3EC6" w:rsidRPr="00F875F2" w:rsidRDefault="009B3EC6" w:rsidP="00400DD1">
            <w:pPr>
              <w:pStyle w:val="-0"/>
              <w:spacing w:before="20" w:after="20" w:line="216" w:lineRule="auto"/>
              <w:rPr>
                <w:rFonts w:asciiTheme="minorBidi" w:hAnsiTheme="minorBidi" w:cstheme="minorBidi"/>
                <w:b/>
                <w:bCs/>
                <w:color w:val="auto"/>
                <w:sz w:val="18"/>
                <w:szCs w:val="18"/>
                <w:rtl/>
              </w:rPr>
            </w:pPr>
            <w:r w:rsidRPr="00F875F2">
              <w:rPr>
                <w:rFonts w:asciiTheme="minorBidi" w:hAnsiTheme="minorBidi" w:cstheme="minorBidi"/>
                <w:color w:val="auto"/>
                <w:sz w:val="18"/>
                <w:szCs w:val="18"/>
                <w:rtl/>
              </w:rPr>
              <w:t>הפחתות בגין כוונה למכור</w:t>
            </w:r>
          </w:p>
        </w:tc>
        <w:tc>
          <w:tcPr>
            <w:tcW w:w="1134" w:type="dxa"/>
            <w:vAlign w:val="bottom"/>
          </w:tcPr>
          <w:p w14:paraId="65C5CDAD"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70706586"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22F3B34D"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7A3260EB"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52D8B723" w14:textId="77777777" w:rsidTr="00400DD1">
        <w:trPr>
          <w:trHeight w:val="245"/>
        </w:trPr>
        <w:tc>
          <w:tcPr>
            <w:tcW w:w="991" w:type="dxa"/>
          </w:tcPr>
          <w:p w14:paraId="652760C4" w14:textId="77777777" w:rsidR="009B3EC6" w:rsidRPr="00522CAE" w:rsidRDefault="009B3EC6" w:rsidP="00400DD1">
            <w:pPr>
              <w:pStyle w:val="-0"/>
              <w:spacing w:before="20" w:after="20" w:line="216" w:lineRule="auto"/>
              <w:rPr>
                <w:color w:val="auto"/>
                <w:rtl/>
              </w:rPr>
            </w:pPr>
          </w:p>
        </w:tc>
        <w:tc>
          <w:tcPr>
            <w:tcW w:w="5816" w:type="dxa"/>
            <w:vAlign w:val="bottom"/>
          </w:tcPr>
          <w:p w14:paraId="32B836B7" w14:textId="77777777" w:rsidR="009B3EC6" w:rsidRPr="00F875F2" w:rsidRDefault="009B3EC6" w:rsidP="00400DD1">
            <w:pPr>
              <w:pStyle w:val="-0"/>
              <w:spacing w:before="20" w:after="20" w:line="216" w:lineRule="auto"/>
              <w:ind w:left="0" w:firstLine="0"/>
              <w:rPr>
                <w:rFonts w:asciiTheme="minorBidi" w:hAnsiTheme="minorBidi" w:cstheme="minorBidi"/>
                <w:color w:val="auto"/>
                <w:sz w:val="18"/>
                <w:szCs w:val="18"/>
                <w:rtl/>
              </w:rPr>
            </w:pPr>
            <w:r w:rsidRPr="00F875F2">
              <w:rPr>
                <w:rFonts w:asciiTheme="minorBidi" w:hAnsiTheme="minorBidi" w:cstheme="minorBidi"/>
                <w:color w:val="auto"/>
                <w:sz w:val="18"/>
                <w:szCs w:val="18"/>
                <w:rtl/>
              </w:rPr>
              <w:t>גידול (קיטון) נטו בהפרשה להפסדי אשראי בגין ניירות ערך שנרשמו בגינם הפסדי אשראי בעבר</w:t>
            </w:r>
          </w:p>
        </w:tc>
        <w:tc>
          <w:tcPr>
            <w:tcW w:w="1134" w:type="dxa"/>
            <w:vAlign w:val="bottom"/>
          </w:tcPr>
          <w:p w14:paraId="6017D974"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0DFE2237"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6973611C"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0A6153CE"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7E207A32" w14:textId="77777777" w:rsidTr="00400DD1">
        <w:trPr>
          <w:trHeight w:val="245"/>
        </w:trPr>
        <w:tc>
          <w:tcPr>
            <w:tcW w:w="991" w:type="dxa"/>
          </w:tcPr>
          <w:p w14:paraId="5EF6A77C" w14:textId="77777777" w:rsidR="009B3EC6" w:rsidRPr="00522CAE" w:rsidRDefault="009B3EC6" w:rsidP="00400DD1">
            <w:pPr>
              <w:pStyle w:val="-0"/>
              <w:spacing w:before="20" w:after="20" w:line="216" w:lineRule="auto"/>
              <w:rPr>
                <w:color w:val="auto"/>
                <w:rtl/>
              </w:rPr>
            </w:pPr>
          </w:p>
        </w:tc>
        <w:tc>
          <w:tcPr>
            <w:tcW w:w="5816" w:type="dxa"/>
            <w:vAlign w:val="bottom"/>
          </w:tcPr>
          <w:p w14:paraId="37841DDC" w14:textId="77777777" w:rsidR="009B3EC6" w:rsidRPr="00F875F2" w:rsidRDefault="009B3EC6" w:rsidP="00400DD1">
            <w:pPr>
              <w:pStyle w:val="-0"/>
              <w:spacing w:before="20" w:after="20" w:line="216" w:lineRule="auto"/>
              <w:ind w:left="596" w:hanging="420"/>
              <w:rPr>
                <w:rFonts w:asciiTheme="minorBidi" w:hAnsiTheme="minorBidi" w:cstheme="minorBidi"/>
                <w:color w:val="auto"/>
                <w:sz w:val="18"/>
                <w:szCs w:val="18"/>
                <w:rtl/>
              </w:rPr>
            </w:pPr>
            <w:r w:rsidRPr="00F875F2">
              <w:rPr>
                <w:rFonts w:asciiTheme="minorBidi" w:hAnsiTheme="minorBidi" w:cstheme="minorBidi"/>
                <w:color w:val="auto"/>
                <w:sz w:val="18"/>
                <w:szCs w:val="18"/>
                <w:rtl/>
              </w:rPr>
              <w:t>מחיקות חשבונאיות שנזקפו כנגד ההפרשה</w:t>
            </w:r>
          </w:p>
        </w:tc>
        <w:tc>
          <w:tcPr>
            <w:tcW w:w="1134" w:type="dxa"/>
            <w:vAlign w:val="bottom"/>
          </w:tcPr>
          <w:p w14:paraId="627A4448"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079A6350"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48E0AFC8"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6EC45C94"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2615EEDA" w14:textId="77777777" w:rsidTr="00400DD1">
        <w:trPr>
          <w:trHeight w:val="245"/>
        </w:trPr>
        <w:tc>
          <w:tcPr>
            <w:tcW w:w="991" w:type="dxa"/>
          </w:tcPr>
          <w:p w14:paraId="3EFCC7AD" w14:textId="77777777" w:rsidR="009B3EC6" w:rsidRPr="00522CAE" w:rsidRDefault="009B3EC6" w:rsidP="00400DD1">
            <w:pPr>
              <w:pStyle w:val="-0"/>
              <w:spacing w:before="20" w:after="20" w:line="216" w:lineRule="auto"/>
              <w:rPr>
                <w:color w:val="auto"/>
                <w:rtl/>
              </w:rPr>
            </w:pPr>
          </w:p>
        </w:tc>
        <w:tc>
          <w:tcPr>
            <w:tcW w:w="5816" w:type="dxa"/>
            <w:vAlign w:val="bottom"/>
          </w:tcPr>
          <w:p w14:paraId="028506E7" w14:textId="77777777" w:rsidR="009B3EC6" w:rsidRPr="00F875F2" w:rsidRDefault="009B3EC6" w:rsidP="00400DD1">
            <w:pPr>
              <w:pStyle w:val="-0"/>
              <w:spacing w:before="20" w:after="20" w:line="216" w:lineRule="auto"/>
              <w:ind w:left="460" w:hanging="284"/>
              <w:rPr>
                <w:rFonts w:asciiTheme="minorBidi" w:hAnsiTheme="minorBidi" w:cstheme="minorBidi"/>
                <w:color w:val="auto"/>
                <w:sz w:val="18"/>
                <w:szCs w:val="18"/>
                <w:rtl/>
              </w:rPr>
            </w:pPr>
            <w:r w:rsidRPr="00F875F2">
              <w:rPr>
                <w:rFonts w:asciiTheme="minorBidi" w:hAnsiTheme="minorBidi" w:cstheme="minorBidi"/>
                <w:color w:val="auto"/>
                <w:sz w:val="18"/>
                <w:szCs w:val="18"/>
                <w:rtl/>
              </w:rPr>
              <w:t>גביית סכומים שנמחקו חשבונאית בתקופות קודמות</w:t>
            </w:r>
          </w:p>
        </w:tc>
        <w:tc>
          <w:tcPr>
            <w:tcW w:w="1134" w:type="dxa"/>
            <w:tcBorders>
              <w:bottom w:val="dotted" w:sz="4" w:space="0" w:color="auto"/>
            </w:tcBorders>
            <w:vAlign w:val="bottom"/>
          </w:tcPr>
          <w:p w14:paraId="4466713B"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tcBorders>
              <w:left w:val="nil"/>
              <w:bottom w:val="dotted" w:sz="4" w:space="0" w:color="auto"/>
            </w:tcBorders>
            <w:vAlign w:val="bottom"/>
          </w:tcPr>
          <w:p w14:paraId="2912CFCF"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tcBorders>
              <w:bottom w:val="dotted" w:sz="4" w:space="0" w:color="auto"/>
            </w:tcBorders>
            <w:vAlign w:val="bottom"/>
          </w:tcPr>
          <w:p w14:paraId="51BB0DD7"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tcBorders>
              <w:bottom w:val="dotted" w:sz="4" w:space="0" w:color="auto"/>
            </w:tcBorders>
            <w:vAlign w:val="bottom"/>
          </w:tcPr>
          <w:p w14:paraId="100EE28D"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59055902" w14:textId="77777777" w:rsidTr="00400DD1">
        <w:trPr>
          <w:trHeight w:val="245"/>
        </w:trPr>
        <w:tc>
          <w:tcPr>
            <w:tcW w:w="991" w:type="dxa"/>
          </w:tcPr>
          <w:p w14:paraId="3278DA71" w14:textId="77777777" w:rsidR="009B3EC6" w:rsidRPr="00522CAE" w:rsidRDefault="009B3EC6" w:rsidP="00400DD1">
            <w:pPr>
              <w:pStyle w:val="-0"/>
              <w:spacing w:before="20" w:after="20" w:line="216" w:lineRule="auto"/>
              <w:rPr>
                <w:color w:val="auto"/>
                <w:rtl/>
              </w:rPr>
            </w:pPr>
          </w:p>
        </w:tc>
        <w:tc>
          <w:tcPr>
            <w:tcW w:w="5816" w:type="dxa"/>
            <w:vAlign w:val="bottom"/>
          </w:tcPr>
          <w:p w14:paraId="6160F232" w14:textId="77777777" w:rsidR="009B3EC6" w:rsidRPr="00F875F2" w:rsidRDefault="009B3EC6" w:rsidP="00400DD1">
            <w:pPr>
              <w:pStyle w:val="-0"/>
              <w:spacing w:before="20" w:after="20" w:line="216" w:lineRule="auto"/>
              <w:ind w:hanging="142"/>
              <w:rPr>
                <w:rFonts w:asciiTheme="minorBidi" w:hAnsiTheme="minorBidi" w:cstheme="minorBidi"/>
                <w:color w:val="auto"/>
                <w:sz w:val="18"/>
                <w:szCs w:val="18"/>
                <w:rtl/>
              </w:rPr>
            </w:pPr>
            <w:r w:rsidRPr="00F875F2">
              <w:rPr>
                <w:rFonts w:asciiTheme="minorBidi" w:hAnsiTheme="minorBidi" w:cstheme="minorBidi"/>
                <w:color w:val="auto"/>
                <w:sz w:val="18"/>
                <w:szCs w:val="18"/>
                <w:rtl/>
              </w:rPr>
              <w:t>מחיקות חשבונאיות, נטו</w:t>
            </w:r>
          </w:p>
        </w:tc>
        <w:tc>
          <w:tcPr>
            <w:tcW w:w="1134" w:type="dxa"/>
            <w:tcBorders>
              <w:top w:val="dotted" w:sz="4" w:space="0" w:color="auto"/>
            </w:tcBorders>
            <w:vAlign w:val="bottom"/>
          </w:tcPr>
          <w:p w14:paraId="5F385D80"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tcBorders>
              <w:top w:val="dotted" w:sz="4" w:space="0" w:color="auto"/>
            </w:tcBorders>
            <w:vAlign w:val="bottom"/>
          </w:tcPr>
          <w:p w14:paraId="1067E293"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tcBorders>
              <w:top w:val="dotted" w:sz="4" w:space="0" w:color="auto"/>
            </w:tcBorders>
            <w:vAlign w:val="bottom"/>
          </w:tcPr>
          <w:p w14:paraId="7C6BEA87"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tcBorders>
              <w:top w:val="dotted" w:sz="4" w:space="0" w:color="auto"/>
            </w:tcBorders>
            <w:vAlign w:val="bottom"/>
          </w:tcPr>
          <w:p w14:paraId="53114809"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22C760DC" w14:textId="77777777" w:rsidTr="00400DD1">
        <w:trPr>
          <w:trHeight w:val="245"/>
        </w:trPr>
        <w:tc>
          <w:tcPr>
            <w:tcW w:w="991" w:type="dxa"/>
          </w:tcPr>
          <w:p w14:paraId="3D349677" w14:textId="77777777" w:rsidR="009B3EC6" w:rsidRPr="00522CAE" w:rsidRDefault="009B3EC6" w:rsidP="00400DD1">
            <w:pPr>
              <w:pStyle w:val="-0"/>
              <w:spacing w:before="20" w:after="20" w:line="216" w:lineRule="auto"/>
              <w:rPr>
                <w:color w:val="auto"/>
                <w:rtl/>
              </w:rPr>
            </w:pPr>
          </w:p>
        </w:tc>
        <w:tc>
          <w:tcPr>
            <w:tcW w:w="5816" w:type="dxa"/>
            <w:vAlign w:val="bottom"/>
          </w:tcPr>
          <w:p w14:paraId="257D2CEC" w14:textId="343A45D8" w:rsidR="009B3EC6" w:rsidRPr="00F875F2" w:rsidRDefault="009B3EC6" w:rsidP="00400DD1">
            <w:pPr>
              <w:pStyle w:val="-0"/>
              <w:spacing w:before="20" w:after="20" w:line="216" w:lineRule="auto"/>
              <w:ind w:hanging="142"/>
              <w:rPr>
                <w:rFonts w:asciiTheme="minorBidi" w:hAnsiTheme="minorBidi" w:cstheme="minorBidi"/>
                <w:color w:val="auto"/>
                <w:sz w:val="18"/>
                <w:szCs w:val="18"/>
                <w:rtl/>
              </w:rPr>
            </w:pPr>
            <w:r w:rsidRPr="00F875F2">
              <w:rPr>
                <w:rFonts w:asciiTheme="minorBidi" w:hAnsiTheme="minorBidi" w:cstheme="minorBidi"/>
                <w:color w:val="auto"/>
                <w:sz w:val="18"/>
                <w:szCs w:val="18"/>
                <w:rtl/>
              </w:rPr>
              <w:t>אחר</w:t>
            </w:r>
          </w:p>
        </w:tc>
        <w:tc>
          <w:tcPr>
            <w:tcW w:w="1134" w:type="dxa"/>
            <w:vAlign w:val="bottom"/>
          </w:tcPr>
          <w:p w14:paraId="4E311D78" w14:textId="77777777" w:rsidR="009B3EC6" w:rsidRPr="00F875F2" w:rsidRDefault="009B3EC6" w:rsidP="00400DD1">
            <w:pPr>
              <w:pStyle w:val="-3"/>
              <w:pBdr>
                <w:bottom w:val="sing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4D44663A" w14:textId="77777777" w:rsidR="009B3EC6" w:rsidRPr="00F875F2" w:rsidRDefault="009B3EC6" w:rsidP="00400DD1">
            <w:pPr>
              <w:pStyle w:val="-3"/>
              <w:pBdr>
                <w:bottom w:val="sing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54128C8C" w14:textId="77777777" w:rsidR="009B3EC6" w:rsidRPr="00F875F2" w:rsidRDefault="009B3EC6" w:rsidP="00400DD1">
            <w:pPr>
              <w:pStyle w:val="-3"/>
              <w:pBdr>
                <w:bottom w:val="sing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66A6A9A7" w14:textId="77777777" w:rsidR="009B3EC6" w:rsidRPr="00F875F2" w:rsidRDefault="009B3EC6" w:rsidP="00400DD1">
            <w:pPr>
              <w:pStyle w:val="-3"/>
              <w:pBdr>
                <w:bottom w:val="sing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4B158C01" w14:textId="77777777" w:rsidTr="00400DD1">
        <w:trPr>
          <w:trHeight w:val="245"/>
        </w:trPr>
        <w:tc>
          <w:tcPr>
            <w:tcW w:w="991" w:type="dxa"/>
          </w:tcPr>
          <w:p w14:paraId="55DB8EB2" w14:textId="77777777" w:rsidR="009B3EC6" w:rsidRPr="00522CAE" w:rsidRDefault="009B3EC6" w:rsidP="00400DD1">
            <w:pPr>
              <w:pStyle w:val="-0"/>
              <w:spacing w:before="20" w:after="20" w:line="216" w:lineRule="auto"/>
              <w:rPr>
                <w:color w:val="auto"/>
                <w:rtl/>
              </w:rPr>
            </w:pPr>
          </w:p>
        </w:tc>
        <w:tc>
          <w:tcPr>
            <w:tcW w:w="5816" w:type="dxa"/>
            <w:vAlign w:val="bottom"/>
          </w:tcPr>
          <w:p w14:paraId="62FE1409" w14:textId="75B12504" w:rsidR="009B3EC6" w:rsidRPr="00F875F2" w:rsidRDefault="009B3EC6" w:rsidP="00400DD1">
            <w:pPr>
              <w:pStyle w:val="-0"/>
              <w:spacing w:before="20" w:after="20" w:line="216" w:lineRule="auto"/>
              <w:ind w:left="0" w:firstLine="0"/>
              <w:rPr>
                <w:rFonts w:asciiTheme="minorBidi" w:hAnsiTheme="minorBidi" w:cstheme="minorBidi"/>
                <w:color w:val="auto"/>
                <w:sz w:val="18"/>
                <w:szCs w:val="18"/>
                <w:rtl/>
              </w:rPr>
            </w:pPr>
            <w:r w:rsidRPr="00F875F2">
              <w:rPr>
                <w:rFonts w:asciiTheme="minorBidi" w:hAnsiTheme="minorBidi" w:cstheme="minorBidi"/>
                <w:b/>
                <w:bCs/>
                <w:color w:val="auto"/>
                <w:sz w:val="18"/>
                <w:szCs w:val="18"/>
                <w:rtl/>
              </w:rPr>
              <w:t>יתרת ההפרשה להפסדי אשראי ליום</w:t>
            </w:r>
            <w:r w:rsidRPr="00F875F2">
              <w:rPr>
                <w:rFonts w:asciiTheme="minorBidi" w:hAnsiTheme="minorBidi" w:cstheme="minorBidi" w:hint="cs"/>
                <w:b/>
                <w:bCs/>
                <w:color w:val="auto"/>
                <w:sz w:val="18"/>
                <w:szCs w:val="18"/>
                <w:rtl/>
              </w:rPr>
              <w:t xml:space="preserve"> 30.6.</w:t>
            </w:r>
            <w:r w:rsidRPr="00F875F2">
              <w:rPr>
                <w:rFonts w:asciiTheme="minorBidi" w:hAnsiTheme="minorBidi" w:cstheme="minorBidi"/>
                <w:b/>
                <w:bCs/>
                <w:color w:val="auto"/>
                <w:sz w:val="18"/>
                <w:szCs w:val="18"/>
                <w:rtl/>
              </w:rPr>
              <w:fldChar w:fldCharType="begin"/>
            </w:r>
            <w:r w:rsidRPr="00F875F2">
              <w:rPr>
                <w:rFonts w:asciiTheme="minorBidi" w:hAnsiTheme="minorBidi" w:cstheme="minorBidi"/>
                <w:b/>
                <w:bCs/>
                <w:color w:val="auto"/>
                <w:sz w:val="18"/>
                <w:szCs w:val="18"/>
                <w:rtl/>
              </w:rPr>
              <w:instrText xml:space="preserve"> </w:instrText>
            </w:r>
            <w:r w:rsidRPr="00F875F2">
              <w:rPr>
                <w:rFonts w:asciiTheme="minorBidi" w:hAnsiTheme="minorBidi" w:cstheme="minorBidi" w:hint="cs"/>
                <w:b/>
                <w:bCs/>
                <w:color w:val="auto"/>
                <w:sz w:val="18"/>
                <w:szCs w:val="18"/>
                <w:rtl/>
              </w:rPr>
              <w:instrText xml:space="preserve">= </w:instrText>
            </w:r>
            <w:r w:rsidRPr="00F875F2">
              <w:rPr>
                <w:rFonts w:asciiTheme="minorBidi" w:hAnsiTheme="minorBidi" w:cstheme="minorBidi" w:hint="cs"/>
                <w:b/>
                <w:bCs/>
                <w:color w:val="auto"/>
                <w:sz w:val="18"/>
                <w:szCs w:val="18"/>
              </w:rPr>
              <w:instrText>CY</w:instrText>
            </w:r>
            <w:r>
              <w:rPr>
                <w:rFonts w:asciiTheme="minorBidi" w:hAnsiTheme="minorBidi" w:cstheme="minorBidi"/>
                <w:b/>
                <w:bCs/>
                <w:color w:val="auto"/>
                <w:sz w:val="18"/>
                <w:szCs w:val="18"/>
              </w:rPr>
              <w:instrText>-1</w:instrText>
            </w:r>
            <w:r w:rsidRPr="00F875F2">
              <w:rPr>
                <w:rFonts w:asciiTheme="minorBidi" w:hAnsiTheme="minorBidi" w:cstheme="minorBidi" w:hint="cs"/>
                <w:b/>
                <w:bCs/>
                <w:color w:val="auto"/>
                <w:sz w:val="18"/>
                <w:szCs w:val="18"/>
              </w:rPr>
              <w:instrText xml:space="preserve"> \* MERGEFORMAT</w:instrText>
            </w:r>
            <w:r w:rsidRPr="00F875F2">
              <w:rPr>
                <w:rFonts w:asciiTheme="minorBidi" w:hAnsiTheme="minorBidi" w:cstheme="minorBidi"/>
                <w:b/>
                <w:bCs/>
                <w:color w:val="auto"/>
                <w:sz w:val="18"/>
                <w:szCs w:val="18"/>
                <w:rtl/>
              </w:rPr>
              <w:instrText xml:space="preserve"> </w:instrText>
            </w:r>
            <w:r w:rsidRPr="00F875F2">
              <w:rPr>
                <w:rFonts w:asciiTheme="minorBidi" w:hAnsiTheme="minorBidi" w:cstheme="minorBidi"/>
                <w:b/>
                <w:bCs/>
                <w:color w:val="auto"/>
                <w:sz w:val="18"/>
                <w:szCs w:val="18"/>
                <w:rtl/>
              </w:rPr>
              <w:fldChar w:fldCharType="separate"/>
            </w:r>
            <w:r w:rsidR="003A584F">
              <w:rPr>
                <w:rFonts w:asciiTheme="minorBidi" w:hAnsiTheme="minorBidi" w:cstheme="minorBidi"/>
                <w:b/>
                <w:bCs/>
                <w:noProof/>
                <w:color w:val="auto"/>
                <w:sz w:val="18"/>
                <w:szCs w:val="18"/>
                <w:rtl/>
              </w:rPr>
              <w:t>2023</w:t>
            </w:r>
            <w:r w:rsidRPr="00F875F2">
              <w:rPr>
                <w:rFonts w:asciiTheme="minorBidi" w:hAnsiTheme="minorBidi" w:cstheme="minorBidi"/>
                <w:b/>
                <w:bCs/>
                <w:color w:val="auto"/>
                <w:sz w:val="18"/>
                <w:szCs w:val="18"/>
                <w:rtl/>
              </w:rPr>
              <w:fldChar w:fldCharType="end"/>
            </w:r>
          </w:p>
        </w:tc>
        <w:tc>
          <w:tcPr>
            <w:tcW w:w="1134" w:type="dxa"/>
            <w:vAlign w:val="bottom"/>
          </w:tcPr>
          <w:p w14:paraId="48538126" w14:textId="77777777" w:rsidR="009B3EC6" w:rsidRPr="00F875F2" w:rsidRDefault="009B3EC6" w:rsidP="00400DD1">
            <w:pPr>
              <w:pStyle w:val="-3"/>
              <w:pBdr>
                <w:bottom w:val="doub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468E6D84" w14:textId="77777777" w:rsidR="009B3EC6" w:rsidRPr="00F875F2" w:rsidRDefault="009B3EC6" w:rsidP="00400DD1">
            <w:pPr>
              <w:pStyle w:val="-3"/>
              <w:pBdr>
                <w:bottom w:val="doub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610C2B35" w14:textId="77777777" w:rsidR="009B3EC6" w:rsidRPr="00F875F2" w:rsidRDefault="009B3EC6" w:rsidP="00400DD1">
            <w:pPr>
              <w:pStyle w:val="-3"/>
              <w:pBdr>
                <w:bottom w:val="doub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2AE26A52" w14:textId="77777777" w:rsidR="009B3EC6" w:rsidRPr="00F875F2" w:rsidRDefault="009B3EC6" w:rsidP="00400DD1">
            <w:pPr>
              <w:pStyle w:val="-3"/>
              <w:pBdr>
                <w:bottom w:val="doub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bl>
    <w:p w14:paraId="75D34AED" w14:textId="77777777" w:rsidR="00F875F2" w:rsidRDefault="00F875F2" w:rsidP="002C275F">
      <w:pPr>
        <w:spacing w:line="120" w:lineRule="exact"/>
      </w:pPr>
    </w:p>
    <w:tbl>
      <w:tblPr>
        <w:bidiVisual/>
        <w:tblW w:w="5140" w:type="pct"/>
        <w:jc w:val="right"/>
        <w:tblLayout w:type="fixed"/>
        <w:tblLook w:val="0000" w:firstRow="0" w:lastRow="0" w:firstColumn="0" w:lastColumn="0" w:noHBand="0" w:noVBand="0"/>
      </w:tblPr>
      <w:tblGrid>
        <w:gridCol w:w="994"/>
        <w:gridCol w:w="5813"/>
        <w:gridCol w:w="1134"/>
        <w:gridCol w:w="1136"/>
        <w:gridCol w:w="709"/>
        <w:gridCol w:w="707"/>
      </w:tblGrid>
      <w:tr w:rsidR="009B3EC6" w:rsidRPr="00522CAE" w14:paraId="784A02BE" w14:textId="77777777" w:rsidTr="009B3EC6">
        <w:trPr>
          <w:trHeight w:val="357"/>
          <w:jc w:val="right"/>
        </w:trPr>
        <w:tc>
          <w:tcPr>
            <w:tcW w:w="994" w:type="dxa"/>
          </w:tcPr>
          <w:p w14:paraId="32191791" w14:textId="77777777" w:rsidR="009B3EC6" w:rsidRPr="009B3EC6" w:rsidRDefault="009B3EC6" w:rsidP="009B3EC6">
            <w:pPr>
              <w:bidi w:val="0"/>
              <w:ind w:right="-144"/>
              <w:rPr>
                <w:spacing w:val="-6"/>
                <w:sz w:val="14"/>
                <w:szCs w:val="14"/>
                <w:rtl/>
              </w:rPr>
            </w:pPr>
          </w:p>
        </w:tc>
        <w:tc>
          <w:tcPr>
            <w:tcW w:w="5813" w:type="dxa"/>
          </w:tcPr>
          <w:p w14:paraId="07A9E674" w14:textId="77777777" w:rsidR="009B3EC6" w:rsidRPr="009B3EC6" w:rsidRDefault="009B3EC6" w:rsidP="005D30D1">
            <w:pPr>
              <w:ind w:right="-142"/>
              <w:rPr>
                <w:b/>
                <w:bCs/>
                <w:rtl/>
              </w:rPr>
            </w:pPr>
          </w:p>
        </w:tc>
        <w:tc>
          <w:tcPr>
            <w:tcW w:w="3686" w:type="dxa"/>
            <w:gridSpan w:val="4"/>
            <w:shd w:val="clear" w:color="auto" w:fill="auto"/>
          </w:tcPr>
          <w:p w14:paraId="1BFA9C47" w14:textId="3ECF053B" w:rsidR="009B3EC6" w:rsidRPr="009B3EC6" w:rsidRDefault="009B3EC6" w:rsidP="005D30D1">
            <w:pPr>
              <w:pBdr>
                <w:bottom w:val="single" w:sz="4" w:space="1" w:color="auto"/>
              </w:pBdr>
              <w:jc w:val="center"/>
              <w:rPr>
                <w:b/>
                <w:bCs/>
                <w:sz w:val="18"/>
                <w:szCs w:val="18"/>
                <w:rtl/>
                <w:lang w:eastAsia="he-IL"/>
              </w:rPr>
            </w:pPr>
            <w:r w:rsidRPr="009B3EC6">
              <w:rPr>
                <w:b/>
                <w:bCs/>
                <w:sz w:val="18"/>
                <w:szCs w:val="18"/>
                <w:rtl/>
                <w:lang w:eastAsia="he-IL"/>
              </w:rPr>
              <w:t xml:space="preserve">ליום </w:t>
            </w:r>
            <w:r>
              <w:rPr>
                <w:rFonts w:hint="cs"/>
                <w:b/>
                <w:bCs/>
                <w:sz w:val="18"/>
                <w:szCs w:val="18"/>
                <w:rtl/>
                <w:lang w:eastAsia="he-IL"/>
              </w:rPr>
              <w:t>31</w:t>
            </w:r>
            <w:r w:rsidRPr="009B3EC6">
              <w:rPr>
                <w:b/>
                <w:bCs/>
                <w:sz w:val="18"/>
                <w:szCs w:val="18"/>
                <w:rtl/>
                <w:lang w:eastAsia="he-IL"/>
              </w:rPr>
              <w:t xml:space="preserve"> </w:t>
            </w:r>
            <w:r>
              <w:rPr>
                <w:rFonts w:hint="cs"/>
                <w:b/>
                <w:bCs/>
                <w:sz w:val="18"/>
                <w:szCs w:val="18"/>
                <w:rtl/>
                <w:lang w:eastAsia="he-IL"/>
              </w:rPr>
              <w:t>בדצמבר</w:t>
            </w:r>
            <w:r w:rsidRPr="009B3EC6">
              <w:rPr>
                <w:b/>
                <w:bCs/>
                <w:sz w:val="18"/>
                <w:szCs w:val="18"/>
                <w:rtl/>
                <w:lang w:eastAsia="he-IL"/>
              </w:rPr>
              <w:t xml:space="preserve"> </w:t>
            </w:r>
            <w:r w:rsidRPr="009B3EC6">
              <w:rPr>
                <w:b/>
                <w:bCs/>
                <w:sz w:val="18"/>
                <w:szCs w:val="18"/>
                <w:rtl/>
                <w:lang w:eastAsia="he-IL"/>
              </w:rPr>
              <w:fldChar w:fldCharType="begin"/>
            </w:r>
            <w:r w:rsidRPr="009B3EC6">
              <w:rPr>
                <w:b/>
                <w:bCs/>
                <w:sz w:val="18"/>
                <w:szCs w:val="18"/>
                <w:rtl/>
                <w:lang w:eastAsia="he-IL"/>
              </w:rPr>
              <w:instrText xml:space="preserve"> </w:instrText>
            </w:r>
            <w:r w:rsidRPr="009B3EC6">
              <w:rPr>
                <w:rFonts w:hint="cs"/>
                <w:b/>
                <w:bCs/>
                <w:sz w:val="18"/>
                <w:szCs w:val="18"/>
                <w:rtl/>
                <w:lang w:eastAsia="he-IL"/>
              </w:rPr>
              <w:instrText xml:space="preserve">= </w:instrText>
            </w:r>
            <w:r w:rsidRPr="009B3EC6">
              <w:rPr>
                <w:rFonts w:hint="cs"/>
                <w:b/>
                <w:bCs/>
                <w:sz w:val="18"/>
                <w:szCs w:val="18"/>
                <w:lang w:eastAsia="he-IL"/>
              </w:rPr>
              <w:instrText>CY</w:instrText>
            </w:r>
            <w:r>
              <w:rPr>
                <w:b/>
                <w:bCs/>
                <w:sz w:val="18"/>
                <w:szCs w:val="18"/>
                <w:lang w:eastAsia="he-IL"/>
              </w:rPr>
              <w:instrText>-1</w:instrText>
            </w:r>
            <w:r w:rsidRPr="009B3EC6">
              <w:rPr>
                <w:rFonts w:hint="cs"/>
                <w:b/>
                <w:bCs/>
                <w:sz w:val="18"/>
                <w:szCs w:val="18"/>
                <w:lang w:eastAsia="he-IL"/>
              </w:rPr>
              <w:instrText xml:space="preserve"> \* MERGEFORMAT</w:instrText>
            </w:r>
            <w:r w:rsidRPr="009B3EC6">
              <w:rPr>
                <w:b/>
                <w:bCs/>
                <w:sz w:val="18"/>
                <w:szCs w:val="18"/>
                <w:rtl/>
                <w:lang w:eastAsia="he-IL"/>
              </w:rPr>
              <w:instrText xml:space="preserve"> </w:instrText>
            </w:r>
            <w:r w:rsidRPr="009B3EC6">
              <w:rPr>
                <w:b/>
                <w:bCs/>
                <w:sz w:val="18"/>
                <w:szCs w:val="18"/>
                <w:rtl/>
                <w:lang w:eastAsia="he-IL"/>
              </w:rPr>
              <w:fldChar w:fldCharType="separate"/>
            </w:r>
            <w:r w:rsidR="003A584F">
              <w:rPr>
                <w:b/>
                <w:bCs/>
                <w:noProof/>
                <w:sz w:val="18"/>
                <w:szCs w:val="18"/>
                <w:rtl/>
                <w:lang w:eastAsia="he-IL"/>
              </w:rPr>
              <w:t>2023</w:t>
            </w:r>
            <w:r w:rsidRPr="009B3EC6">
              <w:rPr>
                <w:b/>
                <w:bCs/>
                <w:sz w:val="18"/>
                <w:szCs w:val="18"/>
                <w:rtl/>
                <w:lang w:eastAsia="he-IL"/>
              </w:rPr>
              <w:fldChar w:fldCharType="end"/>
            </w:r>
            <w:r w:rsidRPr="009B3EC6">
              <w:rPr>
                <w:rFonts w:hint="cs"/>
                <w:b/>
                <w:bCs/>
                <w:sz w:val="18"/>
                <w:szCs w:val="18"/>
                <w:rtl/>
                <w:lang w:eastAsia="he-IL"/>
              </w:rPr>
              <w:t xml:space="preserve"> </w:t>
            </w:r>
            <w:r w:rsidRPr="005D30D1">
              <w:rPr>
                <w:rFonts w:hint="cs"/>
                <w:sz w:val="18"/>
                <w:szCs w:val="18"/>
                <w:rtl/>
                <w:lang w:eastAsia="he-IL"/>
              </w:rPr>
              <w:t>(מבוקר)</w:t>
            </w:r>
          </w:p>
        </w:tc>
      </w:tr>
      <w:tr w:rsidR="009B3EC6" w:rsidRPr="00522CAE" w14:paraId="797D4582" w14:textId="77777777" w:rsidTr="009B3EC6">
        <w:tblPrEx>
          <w:jc w:val="left"/>
          <w:tblLook w:val="04A0" w:firstRow="1" w:lastRow="0" w:firstColumn="1" w:lastColumn="0" w:noHBand="0" w:noVBand="1"/>
        </w:tblPrEx>
        <w:trPr>
          <w:trHeight w:val="245"/>
        </w:trPr>
        <w:tc>
          <w:tcPr>
            <w:tcW w:w="994" w:type="dxa"/>
          </w:tcPr>
          <w:p w14:paraId="4A5820A5" w14:textId="77777777" w:rsidR="009B3EC6" w:rsidRPr="00522CAE" w:rsidRDefault="009B3EC6" w:rsidP="00400DD1">
            <w:pPr>
              <w:pStyle w:val="-0"/>
              <w:spacing w:before="20" w:after="20" w:line="216" w:lineRule="auto"/>
              <w:rPr>
                <w:color w:val="auto"/>
                <w:rtl/>
              </w:rPr>
            </w:pPr>
          </w:p>
        </w:tc>
        <w:tc>
          <w:tcPr>
            <w:tcW w:w="5813" w:type="dxa"/>
            <w:vAlign w:val="bottom"/>
          </w:tcPr>
          <w:p w14:paraId="31E929E4" w14:textId="77777777" w:rsidR="009B3EC6" w:rsidRPr="00F875F2" w:rsidRDefault="009B3EC6" w:rsidP="00400DD1">
            <w:pPr>
              <w:pStyle w:val="-0"/>
              <w:spacing w:before="20" w:after="20" w:line="216" w:lineRule="auto"/>
              <w:rPr>
                <w:rFonts w:asciiTheme="minorBidi" w:hAnsiTheme="minorBidi" w:cstheme="minorBidi"/>
                <w:color w:val="auto"/>
                <w:sz w:val="18"/>
                <w:szCs w:val="18"/>
                <w:rtl/>
              </w:rPr>
            </w:pPr>
          </w:p>
        </w:tc>
        <w:tc>
          <w:tcPr>
            <w:tcW w:w="1134" w:type="dxa"/>
            <w:vAlign w:val="bottom"/>
          </w:tcPr>
          <w:p w14:paraId="58F8E266" w14:textId="77777777" w:rsidR="009B3EC6" w:rsidRPr="00F875F2" w:rsidRDefault="009B3EC6" w:rsidP="00400DD1">
            <w:pPr>
              <w:pStyle w:val="-4"/>
              <w:pBdr>
                <w:bottom w:val="single" w:sz="4" w:space="1" w:color="auto"/>
              </w:pBdr>
              <w:spacing w:before="20" w:after="20" w:line="216" w:lineRule="auto"/>
              <w:rPr>
                <w:rFonts w:asciiTheme="minorBidi" w:hAnsiTheme="minorBidi" w:cstheme="minorBidi"/>
                <w:b w:val="0"/>
                <w:bCs w:val="0"/>
                <w:sz w:val="18"/>
                <w:szCs w:val="18"/>
                <w:rtl/>
              </w:rPr>
            </w:pPr>
            <w:r w:rsidRPr="00F875F2">
              <w:rPr>
                <w:rFonts w:asciiTheme="minorBidi" w:hAnsiTheme="minorBidi" w:cstheme="minorBidi"/>
                <w:sz w:val="18"/>
                <w:szCs w:val="18"/>
                <w:rtl/>
              </w:rPr>
              <w:t>ממשלות ומוסדות פיננסיים</w:t>
            </w:r>
          </w:p>
        </w:tc>
        <w:tc>
          <w:tcPr>
            <w:tcW w:w="1136" w:type="dxa"/>
            <w:vAlign w:val="bottom"/>
          </w:tcPr>
          <w:p w14:paraId="5F124356" w14:textId="77777777" w:rsidR="009B3EC6" w:rsidRPr="009B3EC6" w:rsidRDefault="009B3EC6" w:rsidP="00400DD1">
            <w:pPr>
              <w:pStyle w:val="-4"/>
              <w:pBdr>
                <w:bottom w:val="sing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מגובות נכסים או </w:t>
            </w:r>
            <w:r>
              <w:rPr>
                <w:rFonts w:asciiTheme="minorBidi" w:hAnsiTheme="minorBidi" w:cstheme="minorBidi" w:hint="cs"/>
                <w:sz w:val="18"/>
                <w:szCs w:val="18"/>
                <w:rtl/>
              </w:rPr>
              <w:t>מ</w:t>
            </w:r>
            <w:r w:rsidRPr="00F875F2">
              <w:rPr>
                <w:rFonts w:asciiTheme="minorBidi" w:hAnsiTheme="minorBidi" w:cstheme="minorBidi"/>
                <w:sz w:val="18"/>
                <w:szCs w:val="18"/>
                <w:rtl/>
              </w:rPr>
              <w:t>שכנתאות</w:t>
            </w:r>
          </w:p>
        </w:tc>
        <w:tc>
          <w:tcPr>
            <w:tcW w:w="709" w:type="dxa"/>
            <w:vAlign w:val="bottom"/>
          </w:tcPr>
          <w:p w14:paraId="5AAE23BD" w14:textId="77777777" w:rsidR="009B3EC6" w:rsidRPr="00F875F2" w:rsidRDefault="009B3EC6" w:rsidP="00400DD1">
            <w:pPr>
              <w:pStyle w:val="-4"/>
              <w:pBdr>
                <w:bottom w:val="single" w:sz="4" w:space="1" w:color="auto"/>
              </w:pBdr>
              <w:spacing w:before="20" w:after="20" w:line="216" w:lineRule="auto"/>
              <w:rPr>
                <w:rFonts w:asciiTheme="minorBidi" w:hAnsiTheme="minorBidi" w:cstheme="minorBidi"/>
                <w:b w:val="0"/>
                <w:bCs w:val="0"/>
                <w:sz w:val="18"/>
                <w:szCs w:val="18"/>
                <w:rtl/>
              </w:rPr>
            </w:pPr>
            <w:r w:rsidRPr="00F875F2">
              <w:rPr>
                <w:rFonts w:asciiTheme="minorBidi" w:hAnsiTheme="minorBidi" w:cstheme="minorBidi"/>
                <w:sz w:val="18"/>
                <w:szCs w:val="18"/>
                <w:rtl/>
              </w:rPr>
              <w:t>של אחרים</w:t>
            </w:r>
          </w:p>
        </w:tc>
        <w:tc>
          <w:tcPr>
            <w:tcW w:w="707" w:type="dxa"/>
            <w:vAlign w:val="bottom"/>
          </w:tcPr>
          <w:p w14:paraId="659E0045" w14:textId="77777777" w:rsidR="009B3EC6" w:rsidRPr="00F875F2" w:rsidRDefault="009B3EC6" w:rsidP="00400DD1">
            <w:pPr>
              <w:pStyle w:val="-4"/>
              <w:pBdr>
                <w:bottom w:val="single" w:sz="4" w:space="1" w:color="auto"/>
              </w:pBdr>
              <w:spacing w:before="20" w:after="20" w:line="216" w:lineRule="auto"/>
              <w:rPr>
                <w:rFonts w:asciiTheme="minorBidi" w:hAnsiTheme="minorBidi" w:cstheme="minorBidi"/>
                <w:b w:val="0"/>
                <w:bCs w:val="0"/>
                <w:sz w:val="18"/>
                <w:szCs w:val="18"/>
                <w:rtl/>
              </w:rPr>
            </w:pPr>
            <w:r w:rsidRPr="00F875F2">
              <w:rPr>
                <w:rFonts w:asciiTheme="minorBidi" w:hAnsiTheme="minorBidi" w:cstheme="minorBidi"/>
                <w:sz w:val="18"/>
                <w:szCs w:val="18"/>
                <w:rtl/>
              </w:rPr>
              <w:t>סך הכל</w:t>
            </w:r>
          </w:p>
        </w:tc>
      </w:tr>
      <w:tr w:rsidR="009B3EC6" w:rsidRPr="00522CAE" w14:paraId="7989CD32" w14:textId="77777777" w:rsidTr="009B3EC6">
        <w:tblPrEx>
          <w:jc w:val="left"/>
          <w:tblLook w:val="04A0" w:firstRow="1" w:lastRow="0" w:firstColumn="1" w:lastColumn="0" w:noHBand="0" w:noVBand="1"/>
        </w:tblPrEx>
        <w:trPr>
          <w:trHeight w:val="245"/>
        </w:trPr>
        <w:tc>
          <w:tcPr>
            <w:tcW w:w="994" w:type="dxa"/>
          </w:tcPr>
          <w:p w14:paraId="55E08263" w14:textId="77777777" w:rsidR="009B3EC6" w:rsidRPr="00522CAE" w:rsidRDefault="009B3EC6" w:rsidP="009B3EC6">
            <w:pPr>
              <w:pStyle w:val="-0"/>
              <w:spacing w:before="20" w:after="20" w:line="216" w:lineRule="auto"/>
              <w:rPr>
                <w:color w:val="auto"/>
                <w:rtl/>
              </w:rPr>
            </w:pPr>
          </w:p>
        </w:tc>
        <w:tc>
          <w:tcPr>
            <w:tcW w:w="5813" w:type="dxa"/>
            <w:vAlign w:val="bottom"/>
          </w:tcPr>
          <w:p w14:paraId="20F6FB0A" w14:textId="0B07B9CA" w:rsidR="009B3EC6" w:rsidRPr="00F875F2" w:rsidRDefault="009B3EC6" w:rsidP="009B3EC6">
            <w:pPr>
              <w:pStyle w:val="-0"/>
              <w:spacing w:before="20" w:after="20" w:line="216" w:lineRule="auto"/>
              <w:ind w:left="0" w:firstLine="0"/>
              <w:rPr>
                <w:rFonts w:asciiTheme="minorBidi" w:hAnsiTheme="minorBidi" w:cstheme="minorBidi"/>
                <w:color w:val="auto"/>
                <w:sz w:val="18"/>
                <w:szCs w:val="18"/>
                <w:rtl/>
              </w:rPr>
            </w:pPr>
            <w:r w:rsidRPr="00F875F2">
              <w:rPr>
                <w:rFonts w:asciiTheme="minorBidi" w:hAnsiTheme="minorBidi" w:cstheme="minorBidi"/>
                <w:b/>
                <w:bCs/>
                <w:color w:val="auto"/>
                <w:sz w:val="18"/>
                <w:szCs w:val="18"/>
                <w:rtl/>
              </w:rPr>
              <w:t xml:space="preserve">יתרת ההפרשה להפסדי אשראי ליום </w:t>
            </w:r>
            <w:r w:rsidRPr="00F875F2">
              <w:rPr>
                <w:rFonts w:asciiTheme="minorBidi" w:hAnsiTheme="minorBidi" w:cstheme="minorBidi" w:hint="cs"/>
                <w:b/>
                <w:bCs/>
                <w:color w:val="auto"/>
                <w:sz w:val="18"/>
                <w:szCs w:val="18"/>
                <w:rtl/>
              </w:rPr>
              <w:t>1.1.</w:t>
            </w:r>
            <w:r w:rsidRPr="00F875F2">
              <w:rPr>
                <w:rFonts w:asciiTheme="minorBidi" w:hAnsiTheme="minorBidi" w:cstheme="minorBidi"/>
                <w:b/>
                <w:bCs/>
                <w:color w:val="auto"/>
                <w:sz w:val="18"/>
                <w:szCs w:val="18"/>
                <w:rtl/>
              </w:rPr>
              <w:fldChar w:fldCharType="begin"/>
            </w:r>
            <w:r w:rsidRPr="00F875F2">
              <w:rPr>
                <w:rFonts w:asciiTheme="minorBidi" w:hAnsiTheme="minorBidi" w:cstheme="minorBidi"/>
                <w:b/>
                <w:bCs/>
                <w:color w:val="auto"/>
                <w:sz w:val="18"/>
                <w:szCs w:val="18"/>
                <w:rtl/>
              </w:rPr>
              <w:instrText xml:space="preserve"> </w:instrText>
            </w:r>
            <w:r w:rsidRPr="00F875F2">
              <w:rPr>
                <w:rFonts w:asciiTheme="minorBidi" w:hAnsiTheme="minorBidi" w:cstheme="minorBidi" w:hint="cs"/>
                <w:b/>
                <w:bCs/>
                <w:color w:val="auto"/>
                <w:sz w:val="18"/>
                <w:szCs w:val="18"/>
                <w:rtl/>
              </w:rPr>
              <w:instrText xml:space="preserve">= </w:instrText>
            </w:r>
            <w:r w:rsidRPr="00F875F2">
              <w:rPr>
                <w:rFonts w:asciiTheme="minorBidi" w:hAnsiTheme="minorBidi" w:cstheme="minorBidi" w:hint="cs"/>
                <w:b/>
                <w:bCs/>
                <w:color w:val="auto"/>
                <w:sz w:val="18"/>
                <w:szCs w:val="18"/>
              </w:rPr>
              <w:instrText>CY</w:instrText>
            </w:r>
            <w:r>
              <w:rPr>
                <w:rFonts w:asciiTheme="minorBidi" w:hAnsiTheme="minorBidi" w:cstheme="minorBidi"/>
                <w:b/>
                <w:bCs/>
                <w:color w:val="auto"/>
                <w:sz w:val="18"/>
                <w:szCs w:val="18"/>
              </w:rPr>
              <w:instrText>-1</w:instrText>
            </w:r>
            <w:r w:rsidRPr="00F875F2">
              <w:rPr>
                <w:rFonts w:asciiTheme="minorBidi" w:hAnsiTheme="minorBidi" w:cstheme="minorBidi" w:hint="cs"/>
                <w:b/>
                <w:bCs/>
                <w:color w:val="auto"/>
                <w:sz w:val="18"/>
                <w:szCs w:val="18"/>
              </w:rPr>
              <w:instrText xml:space="preserve"> \* MERGEFORMAT</w:instrText>
            </w:r>
            <w:r w:rsidRPr="00F875F2">
              <w:rPr>
                <w:rFonts w:asciiTheme="minorBidi" w:hAnsiTheme="minorBidi" w:cstheme="minorBidi"/>
                <w:b/>
                <w:bCs/>
                <w:color w:val="auto"/>
                <w:sz w:val="18"/>
                <w:szCs w:val="18"/>
                <w:rtl/>
              </w:rPr>
              <w:instrText xml:space="preserve"> </w:instrText>
            </w:r>
            <w:r w:rsidRPr="00F875F2">
              <w:rPr>
                <w:rFonts w:asciiTheme="minorBidi" w:hAnsiTheme="minorBidi" w:cstheme="minorBidi"/>
                <w:b/>
                <w:bCs/>
                <w:color w:val="auto"/>
                <w:sz w:val="18"/>
                <w:szCs w:val="18"/>
                <w:rtl/>
              </w:rPr>
              <w:fldChar w:fldCharType="separate"/>
            </w:r>
            <w:r w:rsidR="003A584F">
              <w:rPr>
                <w:rFonts w:asciiTheme="minorBidi" w:hAnsiTheme="minorBidi" w:cstheme="minorBidi"/>
                <w:b/>
                <w:bCs/>
                <w:noProof/>
                <w:color w:val="auto"/>
                <w:sz w:val="18"/>
                <w:szCs w:val="18"/>
                <w:rtl/>
              </w:rPr>
              <w:t>2023</w:t>
            </w:r>
            <w:r w:rsidRPr="00F875F2">
              <w:rPr>
                <w:rFonts w:asciiTheme="minorBidi" w:hAnsiTheme="minorBidi" w:cstheme="minorBidi"/>
                <w:b/>
                <w:bCs/>
                <w:color w:val="auto"/>
                <w:sz w:val="18"/>
                <w:szCs w:val="18"/>
                <w:rtl/>
              </w:rPr>
              <w:fldChar w:fldCharType="end"/>
            </w:r>
          </w:p>
        </w:tc>
        <w:tc>
          <w:tcPr>
            <w:tcW w:w="1134" w:type="dxa"/>
            <w:vAlign w:val="bottom"/>
          </w:tcPr>
          <w:p w14:paraId="3E0977C3" w14:textId="77777777" w:rsidR="009B3EC6" w:rsidRPr="00F875F2" w:rsidRDefault="009B3EC6" w:rsidP="009B3EC6">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0C445879" w14:textId="77777777" w:rsidR="009B3EC6" w:rsidRPr="00F875F2" w:rsidRDefault="009B3EC6" w:rsidP="009B3EC6">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3502CB43" w14:textId="77777777" w:rsidR="009B3EC6" w:rsidRPr="00F875F2" w:rsidRDefault="009B3EC6" w:rsidP="009B3EC6">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473C90BF" w14:textId="77777777" w:rsidR="009B3EC6" w:rsidRPr="00F875F2" w:rsidRDefault="009B3EC6" w:rsidP="009B3EC6">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10FBA4FF" w14:textId="77777777" w:rsidTr="009B3EC6">
        <w:tblPrEx>
          <w:jc w:val="left"/>
          <w:tblLook w:val="04A0" w:firstRow="1" w:lastRow="0" w:firstColumn="1" w:lastColumn="0" w:noHBand="0" w:noVBand="1"/>
        </w:tblPrEx>
        <w:trPr>
          <w:trHeight w:val="245"/>
        </w:trPr>
        <w:tc>
          <w:tcPr>
            <w:tcW w:w="994" w:type="dxa"/>
          </w:tcPr>
          <w:p w14:paraId="3691E0E4" w14:textId="77777777" w:rsidR="009B3EC6" w:rsidRPr="00522CAE" w:rsidRDefault="009B3EC6" w:rsidP="00400DD1">
            <w:pPr>
              <w:pStyle w:val="-0"/>
              <w:spacing w:before="20" w:after="20" w:line="216" w:lineRule="auto"/>
              <w:rPr>
                <w:color w:val="auto"/>
                <w:rtl/>
              </w:rPr>
            </w:pPr>
          </w:p>
        </w:tc>
        <w:tc>
          <w:tcPr>
            <w:tcW w:w="5813" w:type="dxa"/>
            <w:vAlign w:val="bottom"/>
          </w:tcPr>
          <w:p w14:paraId="156D49B2" w14:textId="77777777" w:rsidR="009B3EC6" w:rsidRPr="00F875F2" w:rsidRDefault="009B3EC6" w:rsidP="00400DD1">
            <w:pPr>
              <w:pStyle w:val="-0"/>
              <w:spacing w:before="20" w:after="20" w:line="216" w:lineRule="auto"/>
              <w:ind w:left="0" w:firstLine="0"/>
              <w:rPr>
                <w:rFonts w:asciiTheme="minorBidi" w:hAnsiTheme="minorBidi" w:cstheme="minorBidi"/>
                <w:color w:val="auto"/>
                <w:sz w:val="18"/>
                <w:szCs w:val="18"/>
              </w:rPr>
            </w:pPr>
            <w:r w:rsidRPr="00F875F2">
              <w:rPr>
                <w:rFonts w:asciiTheme="minorBidi" w:hAnsiTheme="minorBidi" w:cstheme="minorBidi"/>
                <w:color w:val="auto"/>
                <w:sz w:val="18"/>
                <w:szCs w:val="18"/>
                <w:rtl/>
              </w:rPr>
              <w:t>תוספות בגין הפסדי אשראי על ניירות ערך שבגינם לא נרשמו הפסדי אשראי בעבר</w:t>
            </w:r>
          </w:p>
        </w:tc>
        <w:tc>
          <w:tcPr>
            <w:tcW w:w="1134" w:type="dxa"/>
            <w:vAlign w:val="bottom"/>
          </w:tcPr>
          <w:p w14:paraId="1CB0F45A"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4B9AED7F"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119601F2"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42D56E77"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067598F7" w14:textId="77777777" w:rsidTr="009B3EC6">
        <w:tblPrEx>
          <w:jc w:val="left"/>
          <w:tblLook w:val="04A0" w:firstRow="1" w:lastRow="0" w:firstColumn="1" w:lastColumn="0" w:noHBand="0" w:noVBand="1"/>
        </w:tblPrEx>
        <w:trPr>
          <w:trHeight w:val="245"/>
        </w:trPr>
        <w:tc>
          <w:tcPr>
            <w:tcW w:w="994" w:type="dxa"/>
          </w:tcPr>
          <w:p w14:paraId="20F59558" w14:textId="77777777" w:rsidR="009B3EC6" w:rsidRPr="00522CAE" w:rsidRDefault="009B3EC6" w:rsidP="00400DD1">
            <w:pPr>
              <w:pStyle w:val="-0"/>
              <w:spacing w:before="20" w:after="20" w:line="216" w:lineRule="auto"/>
              <w:rPr>
                <w:color w:val="auto"/>
                <w:rtl/>
              </w:rPr>
            </w:pPr>
          </w:p>
        </w:tc>
        <w:tc>
          <w:tcPr>
            <w:tcW w:w="5813" w:type="dxa"/>
            <w:vAlign w:val="bottom"/>
          </w:tcPr>
          <w:p w14:paraId="086F081F" w14:textId="77777777" w:rsidR="009B3EC6" w:rsidRPr="00F875F2" w:rsidRDefault="009B3EC6" w:rsidP="00400DD1">
            <w:pPr>
              <w:pStyle w:val="-21"/>
              <w:spacing w:before="20" w:after="20" w:line="216" w:lineRule="auto"/>
              <w:ind w:hanging="142"/>
              <w:rPr>
                <w:rFonts w:asciiTheme="minorBidi" w:hAnsiTheme="minorBidi" w:cstheme="minorBidi"/>
                <w:color w:val="auto"/>
                <w:sz w:val="18"/>
                <w:szCs w:val="18"/>
                <w:rtl/>
              </w:rPr>
            </w:pPr>
            <w:r w:rsidRPr="00F875F2">
              <w:rPr>
                <w:rFonts w:asciiTheme="minorBidi" w:hAnsiTheme="minorBidi" w:cstheme="minorBidi"/>
                <w:color w:val="auto"/>
                <w:sz w:val="18"/>
                <w:szCs w:val="18"/>
                <w:rtl/>
              </w:rPr>
              <w:t>הפחתות בגין ניירות ערך שנמכרו במהלך התקופה</w:t>
            </w:r>
          </w:p>
        </w:tc>
        <w:tc>
          <w:tcPr>
            <w:tcW w:w="1134" w:type="dxa"/>
            <w:vAlign w:val="bottom"/>
          </w:tcPr>
          <w:p w14:paraId="269734C0"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11CF7907"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5F62BBC3"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69CA06D9"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0E51DCAB" w14:textId="77777777" w:rsidTr="009B3EC6">
        <w:tblPrEx>
          <w:jc w:val="left"/>
          <w:tblLook w:val="04A0" w:firstRow="1" w:lastRow="0" w:firstColumn="1" w:lastColumn="0" w:noHBand="0" w:noVBand="1"/>
        </w:tblPrEx>
        <w:trPr>
          <w:trHeight w:val="245"/>
        </w:trPr>
        <w:tc>
          <w:tcPr>
            <w:tcW w:w="994" w:type="dxa"/>
          </w:tcPr>
          <w:p w14:paraId="6879DEF2" w14:textId="77777777" w:rsidR="009B3EC6" w:rsidRPr="00522CAE" w:rsidRDefault="009B3EC6" w:rsidP="00400DD1">
            <w:pPr>
              <w:pStyle w:val="-0"/>
              <w:spacing w:before="20" w:after="20" w:line="216" w:lineRule="auto"/>
              <w:rPr>
                <w:color w:val="auto"/>
                <w:rtl/>
              </w:rPr>
            </w:pPr>
          </w:p>
        </w:tc>
        <w:tc>
          <w:tcPr>
            <w:tcW w:w="5813" w:type="dxa"/>
            <w:vAlign w:val="bottom"/>
          </w:tcPr>
          <w:p w14:paraId="266AD1FE" w14:textId="77777777" w:rsidR="009B3EC6" w:rsidRPr="00F875F2" w:rsidRDefault="009B3EC6" w:rsidP="00400DD1">
            <w:pPr>
              <w:pStyle w:val="-0"/>
              <w:spacing w:before="20" w:after="20" w:line="216" w:lineRule="auto"/>
              <w:rPr>
                <w:rFonts w:asciiTheme="minorBidi" w:hAnsiTheme="minorBidi" w:cstheme="minorBidi"/>
                <w:b/>
                <w:bCs/>
                <w:color w:val="auto"/>
                <w:sz w:val="18"/>
                <w:szCs w:val="18"/>
                <w:rtl/>
              </w:rPr>
            </w:pPr>
            <w:r w:rsidRPr="00F875F2">
              <w:rPr>
                <w:rFonts w:asciiTheme="minorBidi" w:hAnsiTheme="minorBidi" w:cstheme="minorBidi"/>
                <w:color w:val="auto"/>
                <w:sz w:val="18"/>
                <w:szCs w:val="18"/>
                <w:rtl/>
              </w:rPr>
              <w:t>הפחתות בגין כוונה למכור</w:t>
            </w:r>
          </w:p>
        </w:tc>
        <w:tc>
          <w:tcPr>
            <w:tcW w:w="1134" w:type="dxa"/>
            <w:vAlign w:val="bottom"/>
          </w:tcPr>
          <w:p w14:paraId="6B06BC36"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7C6F53A2"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55E85CF8"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4E437E52"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1F3BE503" w14:textId="77777777" w:rsidTr="009B3EC6">
        <w:tblPrEx>
          <w:jc w:val="left"/>
          <w:tblLook w:val="04A0" w:firstRow="1" w:lastRow="0" w:firstColumn="1" w:lastColumn="0" w:noHBand="0" w:noVBand="1"/>
        </w:tblPrEx>
        <w:trPr>
          <w:trHeight w:val="245"/>
        </w:trPr>
        <w:tc>
          <w:tcPr>
            <w:tcW w:w="994" w:type="dxa"/>
          </w:tcPr>
          <w:p w14:paraId="758B4D88" w14:textId="77777777" w:rsidR="009B3EC6" w:rsidRPr="00522CAE" w:rsidRDefault="009B3EC6" w:rsidP="00400DD1">
            <w:pPr>
              <w:pStyle w:val="-0"/>
              <w:spacing w:before="20" w:after="20" w:line="216" w:lineRule="auto"/>
              <w:rPr>
                <w:color w:val="auto"/>
                <w:rtl/>
              </w:rPr>
            </w:pPr>
          </w:p>
        </w:tc>
        <w:tc>
          <w:tcPr>
            <w:tcW w:w="5813" w:type="dxa"/>
            <w:vAlign w:val="bottom"/>
          </w:tcPr>
          <w:p w14:paraId="7C2A4A32" w14:textId="77777777" w:rsidR="009B3EC6" w:rsidRPr="00F875F2" w:rsidRDefault="009B3EC6" w:rsidP="00400DD1">
            <w:pPr>
              <w:pStyle w:val="-0"/>
              <w:spacing w:before="20" w:after="20" w:line="216" w:lineRule="auto"/>
              <w:ind w:left="0" w:firstLine="0"/>
              <w:rPr>
                <w:rFonts w:asciiTheme="minorBidi" w:hAnsiTheme="minorBidi" w:cstheme="minorBidi"/>
                <w:color w:val="auto"/>
                <w:sz w:val="18"/>
                <w:szCs w:val="18"/>
                <w:rtl/>
              </w:rPr>
            </w:pPr>
            <w:r w:rsidRPr="00F875F2">
              <w:rPr>
                <w:rFonts w:asciiTheme="minorBidi" w:hAnsiTheme="minorBidi" w:cstheme="minorBidi"/>
                <w:color w:val="auto"/>
                <w:sz w:val="18"/>
                <w:szCs w:val="18"/>
                <w:rtl/>
              </w:rPr>
              <w:t>גידול (קיטון) נטו בהפרשה להפסדי אשראי בגין ניירות ערך שנרשמו בגינם הפסדי אשראי בעבר</w:t>
            </w:r>
          </w:p>
        </w:tc>
        <w:tc>
          <w:tcPr>
            <w:tcW w:w="1134" w:type="dxa"/>
            <w:vAlign w:val="bottom"/>
          </w:tcPr>
          <w:p w14:paraId="7D6D60AA"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68224760"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06192431"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0D8E1803"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22E4E618" w14:textId="77777777" w:rsidTr="009B3EC6">
        <w:tblPrEx>
          <w:jc w:val="left"/>
          <w:tblLook w:val="04A0" w:firstRow="1" w:lastRow="0" w:firstColumn="1" w:lastColumn="0" w:noHBand="0" w:noVBand="1"/>
        </w:tblPrEx>
        <w:trPr>
          <w:trHeight w:val="245"/>
        </w:trPr>
        <w:tc>
          <w:tcPr>
            <w:tcW w:w="994" w:type="dxa"/>
          </w:tcPr>
          <w:p w14:paraId="57CD6739" w14:textId="77777777" w:rsidR="009B3EC6" w:rsidRPr="00522CAE" w:rsidRDefault="009B3EC6" w:rsidP="00400DD1">
            <w:pPr>
              <w:pStyle w:val="-0"/>
              <w:spacing w:before="20" w:after="20" w:line="216" w:lineRule="auto"/>
              <w:rPr>
                <w:color w:val="auto"/>
                <w:rtl/>
              </w:rPr>
            </w:pPr>
          </w:p>
        </w:tc>
        <w:tc>
          <w:tcPr>
            <w:tcW w:w="5813" w:type="dxa"/>
            <w:vAlign w:val="bottom"/>
          </w:tcPr>
          <w:p w14:paraId="7DFDEC51" w14:textId="77777777" w:rsidR="009B3EC6" w:rsidRPr="00F875F2" w:rsidRDefault="009B3EC6" w:rsidP="00400DD1">
            <w:pPr>
              <w:pStyle w:val="-0"/>
              <w:spacing w:before="20" w:after="20" w:line="216" w:lineRule="auto"/>
              <w:ind w:left="596" w:hanging="420"/>
              <w:rPr>
                <w:rFonts w:asciiTheme="minorBidi" w:hAnsiTheme="minorBidi" w:cstheme="minorBidi"/>
                <w:color w:val="auto"/>
                <w:sz w:val="18"/>
                <w:szCs w:val="18"/>
                <w:rtl/>
              </w:rPr>
            </w:pPr>
            <w:r w:rsidRPr="00F875F2">
              <w:rPr>
                <w:rFonts w:asciiTheme="minorBidi" w:hAnsiTheme="minorBidi" w:cstheme="minorBidi"/>
                <w:color w:val="auto"/>
                <w:sz w:val="18"/>
                <w:szCs w:val="18"/>
                <w:rtl/>
              </w:rPr>
              <w:t>מחיקות חשבונאיות שנזקפו כנגד ההפרשה</w:t>
            </w:r>
          </w:p>
        </w:tc>
        <w:tc>
          <w:tcPr>
            <w:tcW w:w="1134" w:type="dxa"/>
            <w:vAlign w:val="bottom"/>
          </w:tcPr>
          <w:p w14:paraId="115FCDE0"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2369B3F6"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2929B6F1"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405BF578"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1B2E3271" w14:textId="77777777" w:rsidTr="009B3EC6">
        <w:tblPrEx>
          <w:jc w:val="left"/>
          <w:tblLook w:val="04A0" w:firstRow="1" w:lastRow="0" w:firstColumn="1" w:lastColumn="0" w:noHBand="0" w:noVBand="1"/>
        </w:tblPrEx>
        <w:trPr>
          <w:trHeight w:val="245"/>
        </w:trPr>
        <w:tc>
          <w:tcPr>
            <w:tcW w:w="994" w:type="dxa"/>
          </w:tcPr>
          <w:p w14:paraId="425BF6F8" w14:textId="77777777" w:rsidR="009B3EC6" w:rsidRPr="00522CAE" w:rsidRDefault="009B3EC6" w:rsidP="00400DD1">
            <w:pPr>
              <w:pStyle w:val="-0"/>
              <w:spacing w:before="20" w:after="20" w:line="216" w:lineRule="auto"/>
              <w:rPr>
                <w:color w:val="auto"/>
                <w:rtl/>
              </w:rPr>
            </w:pPr>
          </w:p>
        </w:tc>
        <w:tc>
          <w:tcPr>
            <w:tcW w:w="5813" w:type="dxa"/>
            <w:vAlign w:val="bottom"/>
          </w:tcPr>
          <w:p w14:paraId="5D1E502C" w14:textId="77777777" w:rsidR="009B3EC6" w:rsidRPr="00F875F2" w:rsidRDefault="009B3EC6" w:rsidP="00400DD1">
            <w:pPr>
              <w:pStyle w:val="-0"/>
              <w:spacing w:before="20" w:after="20" w:line="216" w:lineRule="auto"/>
              <w:ind w:left="460" w:hanging="284"/>
              <w:rPr>
                <w:rFonts w:asciiTheme="minorBidi" w:hAnsiTheme="minorBidi" w:cstheme="minorBidi"/>
                <w:color w:val="auto"/>
                <w:sz w:val="18"/>
                <w:szCs w:val="18"/>
                <w:rtl/>
              </w:rPr>
            </w:pPr>
            <w:r w:rsidRPr="00F875F2">
              <w:rPr>
                <w:rFonts w:asciiTheme="minorBidi" w:hAnsiTheme="minorBidi" w:cstheme="minorBidi"/>
                <w:color w:val="auto"/>
                <w:sz w:val="18"/>
                <w:szCs w:val="18"/>
                <w:rtl/>
              </w:rPr>
              <w:t>גביית סכומים שנמחקו חשבונאית בתקופות קודמות</w:t>
            </w:r>
          </w:p>
        </w:tc>
        <w:tc>
          <w:tcPr>
            <w:tcW w:w="1134" w:type="dxa"/>
            <w:tcBorders>
              <w:bottom w:val="dotted" w:sz="4" w:space="0" w:color="auto"/>
            </w:tcBorders>
            <w:vAlign w:val="bottom"/>
          </w:tcPr>
          <w:p w14:paraId="6EF69E25"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tcBorders>
              <w:left w:val="nil"/>
              <w:bottom w:val="dotted" w:sz="4" w:space="0" w:color="auto"/>
            </w:tcBorders>
            <w:vAlign w:val="bottom"/>
          </w:tcPr>
          <w:p w14:paraId="061DDC71"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tcBorders>
              <w:bottom w:val="dotted" w:sz="4" w:space="0" w:color="auto"/>
            </w:tcBorders>
            <w:vAlign w:val="bottom"/>
          </w:tcPr>
          <w:p w14:paraId="429E9D36"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tcBorders>
              <w:bottom w:val="dotted" w:sz="4" w:space="0" w:color="auto"/>
            </w:tcBorders>
            <w:vAlign w:val="bottom"/>
          </w:tcPr>
          <w:p w14:paraId="5A02095E"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627FA1C6" w14:textId="77777777" w:rsidTr="009B3EC6">
        <w:tblPrEx>
          <w:jc w:val="left"/>
          <w:tblLook w:val="04A0" w:firstRow="1" w:lastRow="0" w:firstColumn="1" w:lastColumn="0" w:noHBand="0" w:noVBand="1"/>
        </w:tblPrEx>
        <w:trPr>
          <w:trHeight w:val="245"/>
        </w:trPr>
        <w:tc>
          <w:tcPr>
            <w:tcW w:w="994" w:type="dxa"/>
          </w:tcPr>
          <w:p w14:paraId="5651E3FA" w14:textId="77777777" w:rsidR="009B3EC6" w:rsidRPr="00522CAE" w:rsidRDefault="009B3EC6" w:rsidP="00400DD1">
            <w:pPr>
              <w:pStyle w:val="-0"/>
              <w:spacing w:before="20" w:after="20" w:line="216" w:lineRule="auto"/>
              <w:rPr>
                <w:color w:val="auto"/>
                <w:rtl/>
              </w:rPr>
            </w:pPr>
          </w:p>
        </w:tc>
        <w:tc>
          <w:tcPr>
            <w:tcW w:w="5813" w:type="dxa"/>
            <w:vAlign w:val="bottom"/>
          </w:tcPr>
          <w:p w14:paraId="1EA3E03D" w14:textId="77777777" w:rsidR="009B3EC6" w:rsidRPr="00F875F2" w:rsidRDefault="009B3EC6" w:rsidP="00400DD1">
            <w:pPr>
              <w:pStyle w:val="-0"/>
              <w:spacing w:before="20" w:after="20" w:line="216" w:lineRule="auto"/>
              <w:ind w:hanging="142"/>
              <w:rPr>
                <w:rFonts w:asciiTheme="minorBidi" w:hAnsiTheme="minorBidi" w:cstheme="minorBidi"/>
                <w:color w:val="auto"/>
                <w:sz w:val="18"/>
                <w:szCs w:val="18"/>
                <w:rtl/>
              </w:rPr>
            </w:pPr>
            <w:r w:rsidRPr="00F875F2">
              <w:rPr>
                <w:rFonts w:asciiTheme="minorBidi" w:hAnsiTheme="minorBidi" w:cstheme="minorBidi"/>
                <w:color w:val="auto"/>
                <w:sz w:val="18"/>
                <w:szCs w:val="18"/>
                <w:rtl/>
              </w:rPr>
              <w:t>מחיקות חשבונאיות, נטו</w:t>
            </w:r>
          </w:p>
        </w:tc>
        <w:tc>
          <w:tcPr>
            <w:tcW w:w="1134" w:type="dxa"/>
            <w:tcBorders>
              <w:top w:val="dotted" w:sz="4" w:space="0" w:color="auto"/>
            </w:tcBorders>
            <w:vAlign w:val="bottom"/>
          </w:tcPr>
          <w:p w14:paraId="0FDE45A7"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tcBorders>
              <w:top w:val="dotted" w:sz="4" w:space="0" w:color="auto"/>
            </w:tcBorders>
            <w:vAlign w:val="bottom"/>
          </w:tcPr>
          <w:p w14:paraId="5D22C1B4"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tcBorders>
              <w:top w:val="dotted" w:sz="4" w:space="0" w:color="auto"/>
            </w:tcBorders>
            <w:vAlign w:val="bottom"/>
          </w:tcPr>
          <w:p w14:paraId="196DEC69"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tcBorders>
              <w:top w:val="dotted" w:sz="4" w:space="0" w:color="auto"/>
            </w:tcBorders>
            <w:vAlign w:val="bottom"/>
          </w:tcPr>
          <w:p w14:paraId="29133FB4" w14:textId="77777777" w:rsidR="009B3EC6" w:rsidRPr="00F875F2" w:rsidRDefault="009B3EC6" w:rsidP="00400DD1">
            <w:pPr>
              <w:pStyle w:val="-3"/>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4E01A77B" w14:textId="77777777" w:rsidTr="009B3EC6">
        <w:tblPrEx>
          <w:jc w:val="left"/>
          <w:tblLook w:val="04A0" w:firstRow="1" w:lastRow="0" w:firstColumn="1" w:lastColumn="0" w:noHBand="0" w:noVBand="1"/>
        </w:tblPrEx>
        <w:trPr>
          <w:trHeight w:val="245"/>
        </w:trPr>
        <w:tc>
          <w:tcPr>
            <w:tcW w:w="994" w:type="dxa"/>
          </w:tcPr>
          <w:p w14:paraId="556E0A69" w14:textId="77777777" w:rsidR="009B3EC6" w:rsidRPr="00522CAE" w:rsidRDefault="009B3EC6" w:rsidP="00400DD1">
            <w:pPr>
              <w:pStyle w:val="-0"/>
              <w:spacing w:before="20" w:after="20" w:line="216" w:lineRule="auto"/>
              <w:rPr>
                <w:color w:val="auto"/>
                <w:rtl/>
              </w:rPr>
            </w:pPr>
          </w:p>
        </w:tc>
        <w:tc>
          <w:tcPr>
            <w:tcW w:w="5813" w:type="dxa"/>
            <w:vAlign w:val="bottom"/>
          </w:tcPr>
          <w:p w14:paraId="7992440B" w14:textId="77777777" w:rsidR="009B3EC6" w:rsidRPr="00F875F2" w:rsidRDefault="009B3EC6" w:rsidP="00400DD1">
            <w:pPr>
              <w:pStyle w:val="-0"/>
              <w:spacing w:before="20" w:after="20" w:line="216" w:lineRule="auto"/>
              <w:ind w:hanging="142"/>
              <w:rPr>
                <w:rFonts w:asciiTheme="minorBidi" w:hAnsiTheme="minorBidi" w:cstheme="minorBidi"/>
                <w:color w:val="auto"/>
                <w:sz w:val="18"/>
                <w:szCs w:val="18"/>
                <w:rtl/>
              </w:rPr>
            </w:pPr>
            <w:r w:rsidRPr="00F875F2">
              <w:rPr>
                <w:rFonts w:asciiTheme="minorBidi" w:hAnsiTheme="minorBidi" w:cstheme="minorBidi"/>
                <w:color w:val="auto"/>
                <w:sz w:val="18"/>
                <w:szCs w:val="18"/>
                <w:rtl/>
              </w:rPr>
              <w:t>אחר</w:t>
            </w:r>
          </w:p>
        </w:tc>
        <w:tc>
          <w:tcPr>
            <w:tcW w:w="1134" w:type="dxa"/>
            <w:vAlign w:val="bottom"/>
          </w:tcPr>
          <w:p w14:paraId="7B495B65" w14:textId="77777777" w:rsidR="009B3EC6" w:rsidRPr="00F875F2" w:rsidRDefault="009B3EC6" w:rsidP="00400DD1">
            <w:pPr>
              <w:pStyle w:val="-3"/>
              <w:pBdr>
                <w:bottom w:val="sing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48442634" w14:textId="77777777" w:rsidR="009B3EC6" w:rsidRPr="00F875F2" w:rsidRDefault="009B3EC6" w:rsidP="00400DD1">
            <w:pPr>
              <w:pStyle w:val="-3"/>
              <w:pBdr>
                <w:bottom w:val="sing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797A841C" w14:textId="77777777" w:rsidR="009B3EC6" w:rsidRPr="00F875F2" w:rsidRDefault="009B3EC6" w:rsidP="00400DD1">
            <w:pPr>
              <w:pStyle w:val="-3"/>
              <w:pBdr>
                <w:bottom w:val="sing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6C2B2399" w14:textId="77777777" w:rsidR="009B3EC6" w:rsidRPr="00F875F2" w:rsidRDefault="009B3EC6" w:rsidP="00400DD1">
            <w:pPr>
              <w:pStyle w:val="-3"/>
              <w:pBdr>
                <w:bottom w:val="sing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r w:rsidR="009B3EC6" w:rsidRPr="00522CAE" w14:paraId="60B5CA47" w14:textId="77777777" w:rsidTr="009B3EC6">
        <w:tblPrEx>
          <w:jc w:val="left"/>
          <w:tblLook w:val="04A0" w:firstRow="1" w:lastRow="0" w:firstColumn="1" w:lastColumn="0" w:noHBand="0" w:noVBand="1"/>
        </w:tblPrEx>
        <w:trPr>
          <w:trHeight w:val="245"/>
        </w:trPr>
        <w:tc>
          <w:tcPr>
            <w:tcW w:w="994" w:type="dxa"/>
          </w:tcPr>
          <w:p w14:paraId="3083001D" w14:textId="77777777" w:rsidR="009B3EC6" w:rsidRPr="00522CAE" w:rsidRDefault="009B3EC6" w:rsidP="00400DD1">
            <w:pPr>
              <w:pStyle w:val="-0"/>
              <w:spacing w:before="20" w:after="20" w:line="216" w:lineRule="auto"/>
              <w:rPr>
                <w:color w:val="auto"/>
                <w:rtl/>
              </w:rPr>
            </w:pPr>
          </w:p>
        </w:tc>
        <w:tc>
          <w:tcPr>
            <w:tcW w:w="5813" w:type="dxa"/>
            <w:vAlign w:val="bottom"/>
          </w:tcPr>
          <w:p w14:paraId="2CA817A0" w14:textId="3D5C0CD0" w:rsidR="009B3EC6" w:rsidRPr="00F875F2" w:rsidRDefault="009B3EC6" w:rsidP="00400DD1">
            <w:pPr>
              <w:pStyle w:val="-0"/>
              <w:spacing w:before="20" w:after="20" w:line="216" w:lineRule="auto"/>
              <w:ind w:left="0" w:firstLine="0"/>
              <w:rPr>
                <w:rFonts w:asciiTheme="minorBidi" w:hAnsiTheme="minorBidi" w:cstheme="minorBidi"/>
                <w:color w:val="auto"/>
                <w:sz w:val="18"/>
                <w:szCs w:val="18"/>
                <w:rtl/>
              </w:rPr>
            </w:pPr>
            <w:r w:rsidRPr="00F875F2">
              <w:rPr>
                <w:rFonts w:asciiTheme="minorBidi" w:hAnsiTheme="minorBidi" w:cstheme="minorBidi"/>
                <w:b/>
                <w:bCs/>
                <w:color w:val="auto"/>
                <w:sz w:val="18"/>
                <w:szCs w:val="18"/>
                <w:rtl/>
              </w:rPr>
              <w:t>יתרת ההפרשה להפסדי אשראי ליום</w:t>
            </w:r>
            <w:r w:rsidRPr="00F875F2">
              <w:rPr>
                <w:rFonts w:asciiTheme="minorBidi" w:hAnsiTheme="minorBidi" w:cstheme="minorBidi" w:hint="cs"/>
                <w:b/>
                <w:bCs/>
                <w:color w:val="auto"/>
                <w:sz w:val="18"/>
                <w:szCs w:val="18"/>
                <w:rtl/>
              </w:rPr>
              <w:t xml:space="preserve"> </w:t>
            </w:r>
            <w:r>
              <w:rPr>
                <w:rFonts w:asciiTheme="minorBidi" w:hAnsiTheme="minorBidi" w:cstheme="minorBidi" w:hint="cs"/>
                <w:b/>
                <w:bCs/>
                <w:color w:val="auto"/>
                <w:sz w:val="18"/>
                <w:szCs w:val="18"/>
                <w:rtl/>
              </w:rPr>
              <w:t>31</w:t>
            </w:r>
            <w:r w:rsidRPr="00F875F2">
              <w:rPr>
                <w:rFonts w:asciiTheme="minorBidi" w:hAnsiTheme="minorBidi" w:cstheme="minorBidi" w:hint="cs"/>
                <w:b/>
                <w:bCs/>
                <w:color w:val="auto"/>
                <w:sz w:val="18"/>
                <w:szCs w:val="18"/>
                <w:rtl/>
              </w:rPr>
              <w:t>.</w:t>
            </w:r>
            <w:r>
              <w:rPr>
                <w:rFonts w:asciiTheme="minorBidi" w:hAnsiTheme="minorBidi" w:cstheme="minorBidi" w:hint="cs"/>
                <w:b/>
                <w:bCs/>
                <w:color w:val="auto"/>
                <w:sz w:val="18"/>
                <w:szCs w:val="18"/>
                <w:rtl/>
              </w:rPr>
              <w:t>12</w:t>
            </w:r>
            <w:r w:rsidRPr="00F875F2">
              <w:rPr>
                <w:rFonts w:asciiTheme="minorBidi" w:hAnsiTheme="minorBidi" w:cstheme="minorBidi" w:hint="cs"/>
                <w:b/>
                <w:bCs/>
                <w:color w:val="auto"/>
                <w:sz w:val="18"/>
                <w:szCs w:val="18"/>
                <w:rtl/>
              </w:rPr>
              <w:t>.</w:t>
            </w:r>
            <w:r w:rsidRPr="00F875F2">
              <w:rPr>
                <w:rFonts w:asciiTheme="minorBidi" w:hAnsiTheme="minorBidi" w:cstheme="minorBidi"/>
                <w:b/>
                <w:bCs/>
                <w:color w:val="auto"/>
                <w:sz w:val="18"/>
                <w:szCs w:val="18"/>
                <w:rtl/>
              </w:rPr>
              <w:fldChar w:fldCharType="begin"/>
            </w:r>
            <w:r w:rsidRPr="00F875F2">
              <w:rPr>
                <w:rFonts w:asciiTheme="minorBidi" w:hAnsiTheme="minorBidi" w:cstheme="minorBidi"/>
                <w:b/>
                <w:bCs/>
                <w:color w:val="auto"/>
                <w:sz w:val="18"/>
                <w:szCs w:val="18"/>
                <w:rtl/>
              </w:rPr>
              <w:instrText xml:space="preserve"> </w:instrText>
            </w:r>
            <w:r w:rsidRPr="00F875F2">
              <w:rPr>
                <w:rFonts w:asciiTheme="minorBidi" w:hAnsiTheme="minorBidi" w:cstheme="minorBidi" w:hint="cs"/>
                <w:b/>
                <w:bCs/>
                <w:color w:val="auto"/>
                <w:sz w:val="18"/>
                <w:szCs w:val="18"/>
                <w:rtl/>
              </w:rPr>
              <w:instrText xml:space="preserve">= </w:instrText>
            </w:r>
            <w:r w:rsidRPr="00F875F2">
              <w:rPr>
                <w:rFonts w:asciiTheme="minorBidi" w:hAnsiTheme="minorBidi" w:cstheme="minorBidi" w:hint="cs"/>
                <w:b/>
                <w:bCs/>
                <w:color w:val="auto"/>
                <w:sz w:val="18"/>
                <w:szCs w:val="18"/>
              </w:rPr>
              <w:instrText>CY</w:instrText>
            </w:r>
            <w:r>
              <w:rPr>
                <w:rFonts w:asciiTheme="minorBidi" w:hAnsiTheme="minorBidi" w:cstheme="minorBidi"/>
                <w:b/>
                <w:bCs/>
                <w:color w:val="auto"/>
                <w:sz w:val="18"/>
                <w:szCs w:val="18"/>
              </w:rPr>
              <w:instrText>-1</w:instrText>
            </w:r>
            <w:r w:rsidRPr="00F875F2">
              <w:rPr>
                <w:rFonts w:asciiTheme="minorBidi" w:hAnsiTheme="minorBidi" w:cstheme="minorBidi" w:hint="cs"/>
                <w:b/>
                <w:bCs/>
                <w:color w:val="auto"/>
                <w:sz w:val="18"/>
                <w:szCs w:val="18"/>
              </w:rPr>
              <w:instrText xml:space="preserve"> \* MERGEFORMAT</w:instrText>
            </w:r>
            <w:r w:rsidRPr="00F875F2">
              <w:rPr>
                <w:rFonts w:asciiTheme="minorBidi" w:hAnsiTheme="minorBidi" w:cstheme="minorBidi"/>
                <w:b/>
                <w:bCs/>
                <w:color w:val="auto"/>
                <w:sz w:val="18"/>
                <w:szCs w:val="18"/>
                <w:rtl/>
              </w:rPr>
              <w:instrText xml:space="preserve"> </w:instrText>
            </w:r>
            <w:r w:rsidRPr="00F875F2">
              <w:rPr>
                <w:rFonts w:asciiTheme="minorBidi" w:hAnsiTheme="minorBidi" w:cstheme="minorBidi"/>
                <w:b/>
                <w:bCs/>
                <w:color w:val="auto"/>
                <w:sz w:val="18"/>
                <w:szCs w:val="18"/>
                <w:rtl/>
              </w:rPr>
              <w:fldChar w:fldCharType="separate"/>
            </w:r>
            <w:r w:rsidR="003A584F">
              <w:rPr>
                <w:rFonts w:asciiTheme="minorBidi" w:hAnsiTheme="minorBidi" w:cstheme="minorBidi"/>
                <w:b/>
                <w:bCs/>
                <w:noProof/>
                <w:color w:val="auto"/>
                <w:sz w:val="18"/>
                <w:szCs w:val="18"/>
                <w:rtl/>
              </w:rPr>
              <w:t>2023</w:t>
            </w:r>
            <w:r w:rsidRPr="00F875F2">
              <w:rPr>
                <w:rFonts w:asciiTheme="minorBidi" w:hAnsiTheme="minorBidi" w:cstheme="minorBidi"/>
                <w:b/>
                <w:bCs/>
                <w:color w:val="auto"/>
                <w:sz w:val="18"/>
                <w:szCs w:val="18"/>
                <w:rtl/>
              </w:rPr>
              <w:fldChar w:fldCharType="end"/>
            </w:r>
          </w:p>
        </w:tc>
        <w:tc>
          <w:tcPr>
            <w:tcW w:w="1134" w:type="dxa"/>
            <w:vAlign w:val="bottom"/>
          </w:tcPr>
          <w:p w14:paraId="479F2CB7" w14:textId="77777777" w:rsidR="009B3EC6" w:rsidRPr="00F875F2" w:rsidRDefault="009B3EC6" w:rsidP="00400DD1">
            <w:pPr>
              <w:pStyle w:val="-3"/>
              <w:pBdr>
                <w:bottom w:val="doub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1136" w:type="dxa"/>
            <w:vAlign w:val="bottom"/>
          </w:tcPr>
          <w:p w14:paraId="40834F48" w14:textId="77777777" w:rsidR="009B3EC6" w:rsidRPr="00F875F2" w:rsidRDefault="009B3EC6" w:rsidP="00400DD1">
            <w:pPr>
              <w:pStyle w:val="-3"/>
              <w:pBdr>
                <w:bottom w:val="doub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9" w:type="dxa"/>
            <w:vAlign w:val="bottom"/>
          </w:tcPr>
          <w:p w14:paraId="08855F17" w14:textId="77777777" w:rsidR="009B3EC6" w:rsidRPr="00F875F2" w:rsidRDefault="009B3EC6" w:rsidP="00400DD1">
            <w:pPr>
              <w:pStyle w:val="-3"/>
              <w:pBdr>
                <w:bottom w:val="doub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c>
          <w:tcPr>
            <w:tcW w:w="707" w:type="dxa"/>
            <w:vAlign w:val="bottom"/>
          </w:tcPr>
          <w:p w14:paraId="7F9DB856" w14:textId="77777777" w:rsidR="009B3EC6" w:rsidRPr="00F875F2" w:rsidRDefault="009B3EC6" w:rsidP="00400DD1">
            <w:pPr>
              <w:pStyle w:val="-3"/>
              <w:pBdr>
                <w:bottom w:val="double" w:sz="4" w:space="1" w:color="auto"/>
              </w:pBdr>
              <w:spacing w:before="20" w:after="20" w:line="216" w:lineRule="auto"/>
              <w:rPr>
                <w:rFonts w:asciiTheme="minorBidi" w:hAnsiTheme="minorBidi" w:cstheme="minorBidi"/>
                <w:sz w:val="18"/>
                <w:szCs w:val="18"/>
                <w:rtl/>
              </w:rPr>
            </w:pPr>
            <w:r w:rsidRPr="00F875F2">
              <w:rPr>
                <w:rFonts w:asciiTheme="minorBidi" w:hAnsiTheme="minorBidi" w:cstheme="minorBidi"/>
                <w:sz w:val="18"/>
                <w:szCs w:val="18"/>
                <w:rtl/>
              </w:rPr>
              <w:t xml:space="preserve"> 0</w:t>
            </w:r>
          </w:p>
        </w:tc>
      </w:tr>
    </w:tbl>
    <w:p w14:paraId="087690FA" w14:textId="77777777" w:rsidR="003312FB" w:rsidRDefault="003312FB" w:rsidP="009A5BDA">
      <w:pPr>
        <w:spacing w:line="260" w:lineRule="exact"/>
      </w:pPr>
    </w:p>
    <w:tbl>
      <w:tblPr>
        <w:bidiVisual/>
        <w:tblW w:w="5140" w:type="pct"/>
        <w:jc w:val="right"/>
        <w:tblLayout w:type="fixed"/>
        <w:tblLook w:val="0000" w:firstRow="0" w:lastRow="0" w:firstColumn="0" w:lastColumn="0" w:noHBand="0" w:noVBand="0"/>
      </w:tblPr>
      <w:tblGrid>
        <w:gridCol w:w="1419"/>
        <w:gridCol w:w="9074"/>
      </w:tblGrid>
      <w:tr w:rsidR="00AC3FD2" w:rsidRPr="003B07F1" w14:paraId="0A48B9AE" w14:textId="77777777" w:rsidTr="00AC3FD2">
        <w:trPr>
          <w:trHeight w:val="357"/>
          <w:jc w:val="right"/>
        </w:trPr>
        <w:tc>
          <w:tcPr>
            <w:tcW w:w="1419" w:type="dxa"/>
          </w:tcPr>
          <w:p w14:paraId="1DFC45B9" w14:textId="77777777" w:rsidR="00AC3FD2" w:rsidRDefault="00AC3FD2" w:rsidP="00AC3FD2">
            <w:pPr>
              <w:bidi w:val="0"/>
              <w:ind w:right="-144"/>
              <w:jc w:val="left"/>
              <w:rPr>
                <w:sz w:val="14"/>
                <w:szCs w:val="14"/>
              </w:rPr>
            </w:pPr>
            <w:r w:rsidRPr="00AC3FD2">
              <w:rPr>
                <w:rFonts w:hint="cs"/>
                <w:spacing w:val="-6"/>
                <w:sz w:val="14"/>
                <w:szCs w:val="14"/>
              </w:rPr>
              <w:t>ASC</w:t>
            </w:r>
            <w:r w:rsidRPr="00AC3FD2">
              <w:rPr>
                <w:rFonts w:hint="cs"/>
                <w:sz w:val="14"/>
                <w:szCs w:val="14"/>
              </w:rPr>
              <w:t xml:space="preserve"> </w:t>
            </w:r>
            <w:r w:rsidRPr="00AC3FD2">
              <w:rPr>
                <w:sz w:val="14"/>
                <w:szCs w:val="14"/>
              </w:rPr>
              <w:t>326-30-50-10</w:t>
            </w:r>
          </w:p>
          <w:p w14:paraId="0CB95841" w14:textId="39079173" w:rsidR="00AC3FD2" w:rsidRPr="00AC3FD2" w:rsidRDefault="00AC3FD2" w:rsidP="00AC3FD2">
            <w:pPr>
              <w:bidi w:val="0"/>
              <w:ind w:right="-144"/>
              <w:jc w:val="left"/>
              <w:rPr>
                <w:sz w:val="14"/>
                <w:szCs w:val="14"/>
              </w:rPr>
            </w:pPr>
            <w:r>
              <w:rPr>
                <w:sz w:val="14"/>
                <w:szCs w:val="14"/>
              </w:rPr>
              <w:t>ASC 326-20-50-19</w:t>
            </w:r>
          </w:p>
          <w:p w14:paraId="720B9BF3" w14:textId="095BD3E9" w:rsidR="00AC3FD2" w:rsidRPr="00EB775D" w:rsidRDefault="00AC3FD2" w:rsidP="00AC3FD2">
            <w:pPr>
              <w:ind w:right="-144"/>
              <w:jc w:val="right"/>
              <w:rPr>
                <w:spacing w:val="-6"/>
                <w:sz w:val="16"/>
                <w:szCs w:val="16"/>
                <w:rtl/>
              </w:rPr>
            </w:pPr>
          </w:p>
        </w:tc>
        <w:tc>
          <w:tcPr>
            <w:tcW w:w="9074" w:type="dxa"/>
          </w:tcPr>
          <w:p w14:paraId="14548A42" w14:textId="0033E6CF" w:rsidR="00AC3FD2" w:rsidRPr="002C275F" w:rsidRDefault="00AC3FD2" w:rsidP="00AC3FD2">
            <w:pPr>
              <w:spacing w:after="60" w:line="264" w:lineRule="auto"/>
              <w:ind w:left="174" w:right="-144" w:hanging="174"/>
              <w:jc w:val="left"/>
              <w:rPr>
                <w:b/>
                <w:bCs/>
                <w:sz w:val="18"/>
                <w:szCs w:val="18"/>
                <w:rtl/>
                <w:lang w:eastAsia="he-IL"/>
              </w:rPr>
            </w:pPr>
            <w:r>
              <w:rPr>
                <w:rFonts w:hint="cs"/>
                <w:b/>
                <w:bCs/>
                <w:rtl/>
              </w:rPr>
              <w:t>ז</w:t>
            </w:r>
            <w:r w:rsidRPr="003B07F1">
              <w:rPr>
                <w:rFonts w:hint="cs"/>
                <w:b/>
                <w:bCs/>
                <w:rtl/>
              </w:rPr>
              <w:t>.</w:t>
            </w:r>
            <w:r>
              <w:rPr>
                <w:rFonts w:hint="cs"/>
                <w:b/>
                <w:bCs/>
                <w:sz w:val="18"/>
                <w:szCs w:val="18"/>
                <w:rtl/>
                <w:lang w:eastAsia="he-IL"/>
              </w:rPr>
              <w:t xml:space="preserve"> </w:t>
            </w:r>
            <w:r w:rsidRPr="002C275F">
              <w:rPr>
                <w:rFonts w:hint="cs"/>
                <w:b/>
                <w:bCs/>
                <w:sz w:val="18"/>
                <w:szCs w:val="18"/>
                <w:rtl/>
                <w:lang w:eastAsia="he-IL"/>
              </w:rPr>
              <w:t>אגרות חוב זמינות למכירה/ מוחזקות לפדיון</w:t>
            </w:r>
            <w:r w:rsidRPr="002C275F">
              <w:rPr>
                <w:rFonts w:hint="cs"/>
                <w:sz w:val="18"/>
                <w:szCs w:val="18"/>
                <w:vertAlign w:val="superscript"/>
                <w:rtl/>
                <w:lang w:eastAsia="he-IL"/>
              </w:rPr>
              <w:t xml:space="preserve">  </w:t>
            </w:r>
            <w:r w:rsidRPr="002C275F">
              <w:rPr>
                <w:rFonts w:hint="cs"/>
                <w:b/>
                <w:bCs/>
                <w:sz w:val="18"/>
                <w:szCs w:val="18"/>
                <w:rtl/>
                <w:lang w:eastAsia="he-IL"/>
              </w:rPr>
              <w:t xml:space="preserve">שנרכשו עם הרעת אשראי: </w:t>
            </w:r>
            <w:r w:rsidRPr="002C275F">
              <w:rPr>
                <w:rFonts w:hint="cs"/>
                <w:sz w:val="18"/>
                <w:szCs w:val="18"/>
                <w:rtl/>
                <w:lang w:eastAsia="he-IL"/>
              </w:rPr>
              <w:t>[</w:t>
            </w:r>
            <w:r>
              <w:rPr>
                <w:rFonts w:hint="cs"/>
                <w:sz w:val="18"/>
                <w:szCs w:val="18"/>
                <w:rtl/>
                <w:lang w:eastAsia="he-IL"/>
              </w:rPr>
              <w:t>ככל שרלוונטי יינתן גילוי לסכומים של מחיר הרכישה; הפרשה להפסדי אשראי במועד הרכישה (על בסיס הערכת הרוכש);</w:t>
            </w:r>
            <w:r>
              <w:rPr>
                <w:rFonts w:hint="cs"/>
                <w:sz w:val="18"/>
                <w:szCs w:val="18"/>
                <w:lang w:eastAsia="he-IL"/>
              </w:rPr>
              <w:t xml:space="preserve"> </w:t>
            </w:r>
            <w:r>
              <w:rPr>
                <w:rFonts w:hint="cs"/>
                <w:sz w:val="18"/>
                <w:szCs w:val="18"/>
                <w:rtl/>
                <w:lang w:eastAsia="he-IL"/>
              </w:rPr>
              <w:t>ניכיון או פרמיה;</w:t>
            </w:r>
            <w:r>
              <w:rPr>
                <w:sz w:val="18"/>
                <w:szCs w:val="18"/>
                <w:lang w:eastAsia="he-IL"/>
              </w:rPr>
              <w:t xml:space="preserve"> </w:t>
            </w:r>
            <w:r>
              <w:rPr>
                <w:rFonts w:hint="cs"/>
                <w:sz w:val="18"/>
                <w:szCs w:val="18"/>
                <w:rtl/>
                <w:lang w:eastAsia="he-IL"/>
              </w:rPr>
              <w:t>והערך הנקוב</w:t>
            </w:r>
            <w:r w:rsidRPr="002C275F">
              <w:rPr>
                <w:rFonts w:hint="cs"/>
                <w:sz w:val="18"/>
                <w:szCs w:val="18"/>
                <w:rtl/>
                <w:lang w:eastAsia="he-IL"/>
              </w:rPr>
              <w:t>]</w:t>
            </w:r>
            <w:r>
              <w:rPr>
                <w:rFonts w:hint="cs"/>
                <w:b/>
                <w:bCs/>
                <w:sz w:val="18"/>
                <w:szCs w:val="18"/>
                <w:rtl/>
                <w:lang w:eastAsia="he-IL"/>
              </w:rPr>
              <w:t>.</w:t>
            </w:r>
          </w:p>
        </w:tc>
      </w:tr>
    </w:tbl>
    <w:p w14:paraId="702AFFF7" w14:textId="04E5E4ED" w:rsidR="002700CF" w:rsidRDefault="002700CF" w:rsidP="00EC46DF">
      <w:pPr>
        <w:pStyle w:val="5"/>
        <w:spacing w:after="40"/>
        <w:ind w:firstLine="1135"/>
        <w:rPr>
          <w:rtl/>
        </w:rPr>
      </w:pPr>
      <w:bookmarkStart w:id="25" w:name="_Toc160529224"/>
      <w:r w:rsidRPr="00F4410B">
        <w:rPr>
          <w:rFonts w:eastAsia="Arial Unicode MS"/>
          <w:rtl/>
        </w:rPr>
        <w:lastRenderedPageBreak/>
        <w:t xml:space="preserve">ביאור </w:t>
      </w:r>
      <w:r>
        <w:rPr>
          <w:rFonts w:eastAsia="Arial Unicode MS" w:hint="cs"/>
          <w:rtl/>
        </w:rPr>
        <w:t>6</w:t>
      </w:r>
      <w:r w:rsidRPr="00F4410B">
        <w:rPr>
          <w:rFonts w:eastAsia="Arial Unicode MS" w:hint="cs"/>
          <w:rtl/>
        </w:rPr>
        <w:t xml:space="preserve">  </w:t>
      </w:r>
      <w:r w:rsidRPr="00F4410B">
        <w:rPr>
          <w:rFonts w:eastAsia="Arial Unicode MS"/>
          <w:rtl/>
        </w:rPr>
        <w:t>-</w:t>
      </w:r>
      <w:r w:rsidRPr="00F4410B">
        <w:rPr>
          <w:rFonts w:eastAsia="Arial Unicode MS" w:hint="cs"/>
          <w:rtl/>
        </w:rPr>
        <w:t xml:space="preserve"> </w:t>
      </w:r>
      <w:r w:rsidRPr="00F4410B">
        <w:rPr>
          <w:rFonts w:eastAsia="Arial Unicode MS"/>
          <w:rtl/>
        </w:rPr>
        <w:t xml:space="preserve"> </w:t>
      </w:r>
      <w:r w:rsidRPr="00F4410B">
        <w:rPr>
          <w:rFonts w:eastAsia="Arial Unicode MS" w:hint="cs"/>
          <w:rtl/>
        </w:rPr>
        <w:t>סיכון אשראי, א</w:t>
      </w:r>
      <w:r>
        <w:rPr>
          <w:rFonts w:eastAsia="Arial Unicode MS" w:hint="cs"/>
          <w:rtl/>
        </w:rPr>
        <w:t>שראי לציבור והפרשה להפסדי אשראי</w:t>
      </w:r>
      <w:bookmarkEnd w:id="25"/>
      <w:r w:rsidR="00FF2B1C">
        <w:rPr>
          <w:rFonts w:eastAsia="Arial Unicode MS" w:hint="cs"/>
          <w:vertAlign w:val="superscript"/>
        </w:rPr>
        <w:t xml:space="preserve">  </w:t>
      </w:r>
    </w:p>
    <w:tbl>
      <w:tblPr>
        <w:bidiVisual/>
        <w:tblW w:w="4758" w:type="pct"/>
        <w:tblInd w:w="-1" w:type="dxa"/>
        <w:tblLayout w:type="fixed"/>
        <w:tblLook w:val="04A0" w:firstRow="1" w:lastRow="0" w:firstColumn="1" w:lastColumn="0" w:noHBand="0" w:noVBand="1"/>
      </w:tblPr>
      <w:tblGrid>
        <w:gridCol w:w="1076"/>
        <w:gridCol w:w="450"/>
        <w:gridCol w:w="3443"/>
        <w:gridCol w:w="748"/>
        <w:gridCol w:w="762"/>
        <w:gridCol w:w="884"/>
        <w:gridCol w:w="739"/>
        <w:gridCol w:w="944"/>
        <w:gridCol w:w="657"/>
        <w:gridCol w:w="10"/>
      </w:tblGrid>
      <w:tr w:rsidR="00AD5971" w:rsidRPr="00F4410B" w14:paraId="12710FFA" w14:textId="77777777" w:rsidTr="00AB0DD8">
        <w:trPr>
          <w:gridAfter w:val="1"/>
          <w:wAfter w:w="10" w:type="dxa"/>
          <w:trHeight w:val="245"/>
        </w:trPr>
        <w:tc>
          <w:tcPr>
            <w:tcW w:w="1077" w:type="dxa"/>
          </w:tcPr>
          <w:p w14:paraId="3CAAACC7" w14:textId="7199528B" w:rsidR="00AD5971" w:rsidRDefault="00AD5971" w:rsidP="00AD5971">
            <w:pPr>
              <w:jc w:val="left"/>
              <w:rPr>
                <w:b/>
                <w:bCs/>
                <w:rtl/>
              </w:rPr>
            </w:pPr>
          </w:p>
        </w:tc>
        <w:tc>
          <w:tcPr>
            <w:tcW w:w="450" w:type="dxa"/>
          </w:tcPr>
          <w:p w14:paraId="7AB3267B" w14:textId="047636E3" w:rsidR="00AD5971" w:rsidRPr="00F4410B" w:rsidRDefault="00AD5971" w:rsidP="00AD5971">
            <w:pPr>
              <w:spacing w:before="60" w:line="264" w:lineRule="auto"/>
              <w:jc w:val="left"/>
              <w:rPr>
                <w:b/>
                <w:bCs/>
                <w:rtl/>
              </w:rPr>
            </w:pPr>
            <w:r w:rsidRPr="009E7447">
              <w:rPr>
                <w:rFonts w:hint="cs"/>
                <w:b/>
                <w:bCs/>
                <w:rtl/>
              </w:rPr>
              <w:t>א.</w:t>
            </w:r>
          </w:p>
        </w:tc>
        <w:tc>
          <w:tcPr>
            <w:tcW w:w="8177" w:type="dxa"/>
            <w:gridSpan w:val="7"/>
            <w:tcMar>
              <w:left w:w="0" w:type="dxa"/>
              <w:right w:w="115" w:type="dxa"/>
            </w:tcMar>
          </w:tcPr>
          <w:p w14:paraId="45D834DE" w14:textId="1922AE61" w:rsidR="00AD5971" w:rsidRPr="00F4410B" w:rsidRDefault="00BC2CEE" w:rsidP="00AD5971">
            <w:pPr>
              <w:spacing w:before="60" w:line="264" w:lineRule="auto"/>
              <w:jc w:val="left"/>
              <w:rPr>
                <w:b/>
                <w:bCs/>
              </w:rPr>
            </w:pPr>
            <w:r w:rsidRPr="00BC2CEE">
              <w:rPr>
                <w:b/>
                <w:bCs/>
                <w:color w:val="000000"/>
                <w:rtl/>
                <w:lang w:eastAsia="he-IL"/>
              </w:rPr>
              <w:t xml:space="preserve">חובות, </w:t>
            </w:r>
            <w:r w:rsidR="00B04135">
              <w:rPr>
                <w:rFonts w:hint="cs"/>
                <w:b/>
                <w:bCs/>
                <w:color w:val="000000"/>
                <w:rtl/>
                <w:lang w:eastAsia="he-IL"/>
              </w:rPr>
              <w:t xml:space="preserve">אגרות חוב לפדיון וזמינות למכירה, </w:t>
            </w:r>
            <w:r w:rsidRPr="00BC2CEE">
              <w:rPr>
                <w:b/>
                <w:bCs/>
                <w:color w:val="000000"/>
                <w:rtl/>
                <w:lang w:eastAsia="he-IL"/>
              </w:rPr>
              <w:t>אשראי לציבור ויתרת ההפרשה להפסדי אשראי</w:t>
            </w:r>
            <w:r w:rsidR="00AD5971" w:rsidRPr="00EB3D07">
              <w:rPr>
                <w:rFonts w:hint="cs"/>
                <w:b/>
                <w:bCs/>
                <w:color w:val="000000"/>
                <w:rtl/>
                <w:lang w:eastAsia="he-IL"/>
              </w:rPr>
              <w:t>:</w:t>
            </w:r>
          </w:p>
        </w:tc>
      </w:tr>
      <w:tr w:rsidR="00847BF8" w:rsidRPr="00F4410B" w14:paraId="43AC19E3" w14:textId="77777777" w:rsidTr="00AB0DD8">
        <w:tc>
          <w:tcPr>
            <w:tcW w:w="1077" w:type="dxa"/>
          </w:tcPr>
          <w:p w14:paraId="167EAFCE" w14:textId="101CAE93" w:rsidR="00847BF8" w:rsidRPr="00AD5971" w:rsidRDefault="00AD5971" w:rsidP="00AD5971">
            <w:pPr>
              <w:jc w:val="left"/>
              <w:rPr>
                <w:color w:val="000000"/>
                <w:spacing w:val="-6"/>
                <w:sz w:val="14"/>
                <w:szCs w:val="14"/>
                <w:rtl/>
                <w:lang w:eastAsia="he-IL"/>
              </w:rPr>
            </w:pPr>
            <w:r w:rsidRPr="00AD5971">
              <w:rPr>
                <w:rFonts w:hint="cs"/>
                <w:color w:val="000000"/>
                <w:spacing w:val="-6"/>
                <w:sz w:val="14"/>
                <w:szCs w:val="14"/>
                <w:rtl/>
                <w:lang w:eastAsia="he-IL"/>
              </w:rPr>
              <w:t>מתכונת ביאור</w:t>
            </w:r>
            <w:r w:rsidRPr="00AD5971">
              <w:rPr>
                <w:color w:val="000000"/>
                <w:spacing w:val="-6"/>
                <w:sz w:val="14"/>
                <w:szCs w:val="14"/>
                <w:rtl/>
                <w:lang w:eastAsia="he-IL"/>
              </w:rPr>
              <w:br/>
            </w:r>
            <w:r w:rsidRPr="00AD5971">
              <w:rPr>
                <w:rFonts w:hint="cs"/>
                <w:color w:val="000000"/>
                <w:spacing w:val="-6"/>
                <w:sz w:val="14"/>
                <w:szCs w:val="14"/>
                <w:rtl/>
                <w:lang w:eastAsia="he-IL"/>
              </w:rPr>
              <w:t>עמ' 663-27</w:t>
            </w:r>
          </w:p>
        </w:tc>
        <w:tc>
          <w:tcPr>
            <w:tcW w:w="450" w:type="dxa"/>
          </w:tcPr>
          <w:p w14:paraId="152B3E57" w14:textId="77777777" w:rsidR="00847BF8" w:rsidRDefault="00847BF8" w:rsidP="00D9322A">
            <w:pPr>
              <w:spacing w:line="216" w:lineRule="auto"/>
              <w:ind w:left="-28" w:right="-28"/>
              <w:jc w:val="center"/>
              <w:rPr>
                <w:color w:val="000000"/>
                <w:rtl/>
                <w:lang w:eastAsia="he-IL"/>
              </w:rPr>
            </w:pPr>
          </w:p>
        </w:tc>
        <w:tc>
          <w:tcPr>
            <w:tcW w:w="3443" w:type="dxa"/>
            <w:vAlign w:val="bottom"/>
          </w:tcPr>
          <w:p w14:paraId="3703548A" w14:textId="77777777" w:rsidR="00847BF8" w:rsidRDefault="00847BF8" w:rsidP="00D9322A">
            <w:pPr>
              <w:spacing w:line="216" w:lineRule="auto"/>
              <w:ind w:left="-28" w:right="-28"/>
              <w:jc w:val="center"/>
              <w:rPr>
                <w:color w:val="000000"/>
                <w:sz w:val="18"/>
                <w:szCs w:val="18"/>
                <w:rtl/>
                <w:lang w:eastAsia="he-IL"/>
              </w:rPr>
            </w:pPr>
          </w:p>
        </w:tc>
        <w:tc>
          <w:tcPr>
            <w:tcW w:w="4744" w:type="dxa"/>
            <w:gridSpan w:val="7"/>
            <w:vAlign w:val="bottom"/>
          </w:tcPr>
          <w:p w14:paraId="15CF102C" w14:textId="15F440E2" w:rsidR="00847BF8" w:rsidRPr="003B1E70" w:rsidRDefault="00847BF8" w:rsidP="001977FC">
            <w:pPr>
              <w:pBdr>
                <w:bottom w:val="single" w:sz="4" w:space="1" w:color="auto"/>
              </w:pBdr>
              <w:spacing w:line="216" w:lineRule="auto"/>
              <w:ind w:left="-28" w:right="-28"/>
              <w:jc w:val="center"/>
              <w:rPr>
                <w:b/>
                <w:bCs/>
                <w:sz w:val="18"/>
                <w:szCs w:val="18"/>
                <w:rtl/>
              </w:rPr>
            </w:pPr>
            <w:r w:rsidRPr="003B1E70">
              <w:rPr>
                <w:rFonts w:hint="cs"/>
                <w:b/>
                <w:bCs/>
                <w:sz w:val="18"/>
                <w:szCs w:val="18"/>
                <w:rtl/>
              </w:rPr>
              <w:t xml:space="preserve">ליום 30 ביוני </w:t>
            </w:r>
            <w:r w:rsidR="00EB29D7" w:rsidRPr="003B1E70">
              <w:rPr>
                <w:b/>
                <w:bCs/>
                <w:sz w:val="18"/>
                <w:szCs w:val="18"/>
                <w:rtl/>
              </w:rPr>
              <w:fldChar w:fldCharType="begin"/>
            </w:r>
            <w:r w:rsidR="00EB29D7" w:rsidRPr="003B1E70">
              <w:rPr>
                <w:b/>
                <w:bCs/>
                <w:sz w:val="18"/>
                <w:szCs w:val="18"/>
                <w:rtl/>
              </w:rPr>
              <w:instrText xml:space="preserve"> </w:instrText>
            </w:r>
            <w:r w:rsidR="00EB29D7" w:rsidRPr="003B1E70">
              <w:rPr>
                <w:rFonts w:hint="cs"/>
                <w:b/>
                <w:bCs/>
                <w:sz w:val="18"/>
                <w:szCs w:val="18"/>
                <w:rtl/>
              </w:rPr>
              <w:instrText xml:space="preserve">= </w:instrText>
            </w:r>
            <w:r w:rsidR="00EB29D7" w:rsidRPr="003B1E70">
              <w:rPr>
                <w:rFonts w:hint="cs"/>
                <w:b/>
                <w:bCs/>
                <w:sz w:val="18"/>
                <w:szCs w:val="18"/>
              </w:rPr>
              <w:instrText>CY \* MERGEFORMAT</w:instrText>
            </w:r>
            <w:r w:rsidR="00EB29D7" w:rsidRPr="003B1E70">
              <w:rPr>
                <w:b/>
                <w:bCs/>
                <w:sz w:val="18"/>
                <w:szCs w:val="18"/>
                <w:rtl/>
              </w:rPr>
              <w:instrText xml:space="preserve"> </w:instrText>
            </w:r>
            <w:r w:rsidR="00EB29D7" w:rsidRPr="003B1E70">
              <w:rPr>
                <w:b/>
                <w:bCs/>
                <w:sz w:val="18"/>
                <w:szCs w:val="18"/>
                <w:rtl/>
              </w:rPr>
              <w:fldChar w:fldCharType="separate"/>
            </w:r>
            <w:r w:rsidR="003A584F">
              <w:rPr>
                <w:b/>
                <w:bCs/>
                <w:noProof/>
                <w:sz w:val="18"/>
                <w:szCs w:val="18"/>
                <w:rtl/>
              </w:rPr>
              <w:t>2024</w:t>
            </w:r>
            <w:r w:rsidR="00EB29D7" w:rsidRPr="003B1E70">
              <w:rPr>
                <w:b/>
                <w:bCs/>
                <w:sz w:val="18"/>
                <w:szCs w:val="18"/>
                <w:rtl/>
              </w:rPr>
              <w:fldChar w:fldCharType="end"/>
            </w:r>
            <w:r w:rsidR="003B1E70">
              <w:rPr>
                <w:rFonts w:hint="cs"/>
                <w:b/>
                <w:bCs/>
                <w:sz w:val="18"/>
                <w:szCs w:val="18"/>
                <w:rtl/>
              </w:rPr>
              <w:t xml:space="preserve">  </w:t>
            </w:r>
            <w:r w:rsidR="003B1E70" w:rsidRPr="003B1E70">
              <w:rPr>
                <w:rFonts w:hint="cs"/>
                <w:sz w:val="18"/>
                <w:szCs w:val="18"/>
                <w:rtl/>
              </w:rPr>
              <w:t>(בלתי מבוקר)</w:t>
            </w:r>
          </w:p>
        </w:tc>
      </w:tr>
      <w:tr w:rsidR="00847BF8" w:rsidRPr="00F4410B" w14:paraId="41F1B4CE" w14:textId="77777777" w:rsidTr="00AB0DD8">
        <w:tc>
          <w:tcPr>
            <w:tcW w:w="1077" w:type="dxa"/>
          </w:tcPr>
          <w:p w14:paraId="518BEA87" w14:textId="77777777" w:rsidR="00847BF8" w:rsidRDefault="00847BF8" w:rsidP="00D9322A">
            <w:pPr>
              <w:spacing w:line="216" w:lineRule="auto"/>
              <w:ind w:left="-28" w:right="-28"/>
              <w:jc w:val="center"/>
              <w:rPr>
                <w:color w:val="000000"/>
                <w:spacing w:val="-6"/>
                <w:rtl/>
                <w:lang w:eastAsia="he-IL"/>
              </w:rPr>
            </w:pPr>
          </w:p>
        </w:tc>
        <w:tc>
          <w:tcPr>
            <w:tcW w:w="450" w:type="dxa"/>
          </w:tcPr>
          <w:p w14:paraId="7FB120FE" w14:textId="77777777" w:rsidR="00847BF8" w:rsidRDefault="00847BF8" w:rsidP="00D9322A">
            <w:pPr>
              <w:spacing w:line="216" w:lineRule="auto"/>
              <w:ind w:left="-28" w:right="-28"/>
              <w:jc w:val="center"/>
              <w:rPr>
                <w:color w:val="000000"/>
                <w:rtl/>
                <w:lang w:eastAsia="he-IL"/>
              </w:rPr>
            </w:pPr>
          </w:p>
        </w:tc>
        <w:tc>
          <w:tcPr>
            <w:tcW w:w="3443" w:type="dxa"/>
            <w:vAlign w:val="bottom"/>
          </w:tcPr>
          <w:p w14:paraId="494BBC50" w14:textId="77777777" w:rsidR="00847BF8" w:rsidRDefault="00847BF8" w:rsidP="00D9322A">
            <w:pPr>
              <w:spacing w:line="216" w:lineRule="auto"/>
              <w:ind w:left="-28" w:right="-28"/>
              <w:jc w:val="center"/>
              <w:rPr>
                <w:color w:val="000000"/>
                <w:sz w:val="18"/>
                <w:szCs w:val="18"/>
                <w:rtl/>
                <w:lang w:eastAsia="he-IL"/>
              </w:rPr>
            </w:pPr>
          </w:p>
        </w:tc>
        <w:tc>
          <w:tcPr>
            <w:tcW w:w="3133" w:type="dxa"/>
            <w:gridSpan w:val="4"/>
            <w:vAlign w:val="bottom"/>
          </w:tcPr>
          <w:p w14:paraId="798435A1" w14:textId="77777777" w:rsidR="00847BF8" w:rsidRPr="003B1E70" w:rsidRDefault="00847BF8" w:rsidP="00D9322A">
            <w:pPr>
              <w:pBdr>
                <w:bottom w:val="single" w:sz="4" w:space="1" w:color="auto"/>
              </w:pBdr>
              <w:spacing w:line="216" w:lineRule="auto"/>
              <w:ind w:left="-28" w:right="-28"/>
              <w:jc w:val="center"/>
              <w:rPr>
                <w:b/>
                <w:bCs/>
                <w:sz w:val="18"/>
                <w:szCs w:val="18"/>
                <w:rtl/>
              </w:rPr>
            </w:pPr>
            <w:r w:rsidRPr="003B1E70">
              <w:rPr>
                <w:rFonts w:hint="eastAsia"/>
                <w:b/>
                <w:bCs/>
                <w:sz w:val="18"/>
                <w:szCs w:val="18"/>
                <w:rtl/>
              </w:rPr>
              <w:t>אשראי</w:t>
            </w:r>
            <w:r w:rsidRPr="003B1E70">
              <w:rPr>
                <w:b/>
                <w:bCs/>
                <w:sz w:val="18"/>
                <w:szCs w:val="18"/>
                <w:rtl/>
              </w:rPr>
              <w:t xml:space="preserve"> </w:t>
            </w:r>
            <w:r w:rsidRPr="003B1E70">
              <w:rPr>
                <w:rFonts w:hint="eastAsia"/>
                <w:b/>
                <w:bCs/>
                <w:sz w:val="18"/>
                <w:szCs w:val="18"/>
                <w:rtl/>
              </w:rPr>
              <w:t>לציבור</w:t>
            </w:r>
          </w:p>
        </w:tc>
        <w:tc>
          <w:tcPr>
            <w:tcW w:w="944" w:type="dxa"/>
            <w:vMerge w:val="restart"/>
            <w:vAlign w:val="bottom"/>
          </w:tcPr>
          <w:p w14:paraId="600A6942" w14:textId="339AAED4" w:rsidR="00847BF8" w:rsidRPr="003B1E70" w:rsidRDefault="00EC4F42" w:rsidP="00D9322A">
            <w:pPr>
              <w:pBdr>
                <w:bottom w:val="single" w:sz="4" w:space="1" w:color="auto"/>
              </w:pBdr>
              <w:spacing w:line="216" w:lineRule="auto"/>
              <w:ind w:left="-28" w:right="-28"/>
              <w:jc w:val="center"/>
              <w:rPr>
                <w:b/>
                <w:bCs/>
                <w:sz w:val="18"/>
                <w:szCs w:val="18"/>
                <w:rtl/>
              </w:rPr>
            </w:pPr>
            <w:r w:rsidRPr="003B1E70">
              <w:rPr>
                <w:rFonts w:hint="eastAsia"/>
                <w:b/>
                <w:bCs/>
                <w:sz w:val="18"/>
                <w:szCs w:val="18"/>
                <w:rtl/>
              </w:rPr>
              <w:t>בנקים</w:t>
            </w:r>
            <w:r w:rsidRPr="003B1E70">
              <w:rPr>
                <w:rFonts w:hint="cs"/>
                <w:b/>
                <w:bCs/>
                <w:sz w:val="18"/>
                <w:szCs w:val="18"/>
                <w:rtl/>
              </w:rPr>
              <w:t>,</w:t>
            </w:r>
            <w:r w:rsidRPr="003B1E70">
              <w:rPr>
                <w:b/>
                <w:bCs/>
                <w:sz w:val="18"/>
                <w:szCs w:val="18"/>
                <w:rtl/>
              </w:rPr>
              <w:t xml:space="preserve"> </w:t>
            </w:r>
            <w:r w:rsidRPr="003B1E70">
              <w:rPr>
                <w:rFonts w:hint="eastAsia"/>
                <w:b/>
                <w:bCs/>
                <w:sz w:val="18"/>
                <w:szCs w:val="18"/>
                <w:rtl/>
              </w:rPr>
              <w:t>ממשלות</w:t>
            </w:r>
            <w:r w:rsidRPr="003B1E70">
              <w:rPr>
                <w:rFonts w:hint="cs"/>
                <w:b/>
                <w:bCs/>
                <w:sz w:val="18"/>
                <w:szCs w:val="18"/>
                <w:rtl/>
              </w:rPr>
              <w:t xml:space="preserve"> ואגרות חוב</w:t>
            </w:r>
          </w:p>
        </w:tc>
        <w:tc>
          <w:tcPr>
            <w:tcW w:w="667" w:type="dxa"/>
            <w:gridSpan w:val="2"/>
            <w:vMerge w:val="restart"/>
            <w:vAlign w:val="bottom"/>
          </w:tcPr>
          <w:p w14:paraId="0A74E7EA" w14:textId="77777777" w:rsidR="00847BF8" w:rsidRPr="003B1E70" w:rsidRDefault="00847BF8" w:rsidP="00D9322A">
            <w:pPr>
              <w:pBdr>
                <w:bottom w:val="single" w:sz="4" w:space="1" w:color="auto"/>
              </w:pBdr>
              <w:spacing w:line="216" w:lineRule="auto"/>
              <w:ind w:left="-28" w:right="-28"/>
              <w:jc w:val="center"/>
              <w:rPr>
                <w:b/>
                <w:bCs/>
                <w:sz w:val="18"/>
                <w:szCs w:val="18"/>
                <w:rtl/>
              </w:rPr>
            </w:pPr>
            <w:r w:rsidRPr="003B1E70">
              <w:rPr>
                <w:rFonts w:hint="eastAsia"/>
                <w:b/>
                <w:bCs/>
                <w:sz w:val="18"/>
                <w:szCs w:val="18"/>
                <w:rtl/>
              </w:rPr>
              <w:t>סך</w:t>
            </w:r>
            <w:r w:rsidRPr="003B1E70">
              <w:rPr>
                <w:b/>
                <w:bCs/>
                <w:sz w:val="18"/>
                <w:szCs w:val="18"/>
                <w:rtl/>
              </w:rPr>
              <w:t xml:space="preserve"> </w:t>
            </w:r>
            <w:r w:rsidRPr="003B1E70">
              <w:rPr>
                <w:rFonts w:hint="eastAsia"/>
                <w:b/>
                <w:bCs/>
                <w:sz w:val="18"/>
                <w:szCs w:val="18"/>
                <w:rtl/>
              </w:rPr>
              <w:t>הכל</w:t>
            </w:r>
          </w:p>
        </w:tc>
      </w:tr>
      <w:tr w:rsidR="00847BF8" w:rsidRPr="00F4410B" w14:paraId="0249684A" w14:textId="77777777" w:rsidTr="00AB0DD8">
        <w:trPr>
          <w:trHeight w:val="293"/>
        </w:trPr>
        <w:tc>
          <w:tcPr>
            <w:tcW w:w="1077" w:type="dxa"/>
          </w:tcPr>
          <w:p w14:paraId="70B21089" w14:textId="77777777" w:rsidR="00847BF8" w:rsidRDefault="00847BF8" w:rsidP="00D9322A">
            <w:pPr>
              <w:spacing w:line="216" w:lineRule="auto"/>
              <w:ind w:left="-28" w:right="-28"/>
              <w:jc w:val="center"/>
              <w:rPr>
                <w:color w:val="000000"/>
                <w:spacing w:val="-6"/>
                <w:rtl/>
                <w:lang w:eastAsia="he-IL"/>
              </w:rPr>
            </w:pPr>
          </w:p>
        </w:tc>
        <w:tc>
          <w:tcPr>
            <w:tcW w:w="450" w:type="dxa"/>
          </w:tcPr>
          <w:p w14:paraId="7A313F78" w14:textId="77777777" w:rsidR="00847BF8" w:rsidRDefault="00847BF8" w:rsidP="00D9322A">
            <w:pPr>
              <w:spacing w:line="216" w:lineRule="auto"/>
              <w:ind w:left="-28" w:right="-28"/>
              <w:jc w:val="center"/>
              <w:rPr>
                <w:color w:val="000000"/>
                <w:rtl/>
                <w:lang w:eastAsia="he-IL"/>
              </w:rPr>
            </w:pPr>
          </w:p>
        </w:tc>
        <w:tc>
          <w:tcPr>
            <w:tcW w:w="3443" w:type="dxa"/>
            <w:vAlign w:val="bottom"/>
          </w:tcPr>
          <w:p w14:paraId="4E5CC76B" w14:textId="77777777" w:rsidR="00847BF8" w:rsidRDefault="00847BF8" w:rsidP="00D9322A">
            <w:pPr>
              <w:spacing w:line="216" w:lineRule="auto"/>
              <w:ind w:left="-28" w:right="-28"/>
              <w:jc w:val="center"/>
              <w:rPr>
                <w:color w:val="000000"/>
                <w:sz w:val="18"/>
                <w:szCs w:val="18"/>
                <w:rtl/>
                <w:lang w:eastAsia="he-IL"/>
              </w:rPr>
            </w:pPr>
          </w:p>
        </w:tc>
        <w:tc>
          <w:tcPr>
            <w:tcW w:w="748" w:type="dxa"/>
            <w:vAlign w:val="bottom"/>
          </w:tcPr>
          <w:p w14:paraId="585B3234" w14:textId="77777777" w:rsidR="00847BF8" w:rsidRPr="003B1E70" w:rsidRDefault="00847BF8" w:rsidP="00D9322A">
            <w:pPr>
              <w:pBdr>
                <w:bottom w:val="single" w:sz="4" w:space="1" w:color="auto"/>
              </w:pBdr>
              <w:spacing w:line="216" w:lineRule="auto"/>
              <w:ind w:left="-28" w:right="-28"/>
              <w:jc w:val="center"/>
              <w:rPr>
                <w:b/>
                <w:bCs/>
                <w:sz w:val="18"/>
                <w:szCs w:val="18"/>
                <w:vertAlign w:val="superscript"/>
                <w:rtl/>
              </w:rPr>
            </w:pPr>
            <w:r w:rsidRPr="003B1E70">
              <w:rPr>
                <w:rFonts w:hint="eastAsia"/>
                <w:b/>
                <w:bCs/>
                <w:sz w:val="18"/>
                <w:szCs w:val="18"/>
                <w:rtl/>
              </w:rPr>
              <w:t>מסחרי</w:t>
            </w:r>
          </w:p>
        </w:tc>
        <w:tc>
          <w:tcPr>
            <w:tcW w:w="762" w:type="dxa"/>
            <w:vAlign w:val="bottom"/>
          </w:tcPr>
          <w:p w14:paraId="3DA1E908" w14:textId="77777777" w:rsidR="00847BF8" w:rsidRPr="003B1E70" w:rsidRDefault="00847BF8" w:rsidP="00D9322A">
            <w:pPr>
              <w:pBdr>
                <w:bottom w:val="single" w:sz="4" w:space="1" w:color="auto"/>
              </w:pBdr>
              <w:spacing w:line="216" w:lineRule="auto"/>
              <w:ind w:left="-28" w:right="-28"/>
              <w:jc w:val="center"/>
              <w:rPr>
                <w:b/>
                <w:bCs/>
                <w:sz w:val="18"/>
                <w:szCs w:val="18"/>
                <w:rtl/>
              </w:rPr>
            </w:pPr>
            <w:r w:rsidRPr="003B1E70">
              <w:rPr>
                <w:rFonts w:hint="eastAsia"/>
                <w:b/>
                <w:bCs/>
                <w:sz w:val="18"/>
                <w:szCs w:val="18"/>
                <w:rtl/>
              </w:rPr>
              <w:t>לדיור</w:t>
            </w:r>
          </w:p>
        </w:tc>
        <w:tc>
          <w:tcPr>
            <w:tcW w:w="884" w:type="dxa"/>
            <w:vAlign w:val="bottom"/>
          </w:tcPr>
          <w:p w14:paraId="0775A037" w14:textId="77777777" w:rsidR="00847BF8" w:rsidRPr="003B1E70" w:rsidRDefault="00847BF8" w:rsidP="00D9322A">
            <w:pPr>
              <w:pBdr>
                <w:bottom w:val="single" w:sz="4" w:space="1" w:color="auto"/>
              </w:pBdr>
              <w:spacing w:line="216" w:lineRule="auto"/>
              <w:ind w:left="-28" w:right="-28"/>
              <w:jc w:val="center"/>
              <w:rPr>
                <w:b/>
                <w:bCs/>
                <w:sz w:val="18"/>
                <w:szCs w:val="18"/>
                <w:rtl/>
              </w:rPr>
            </w:pPr>
            <w:r w:rsidRPr="003B1E70">
              <w:rPr>
                <w:rFonts w:hint="eastAsia"/>
                <w:b/>
                <w:bCs/>
                <w:sz w:val="18"/>
                <w:szCs w:val="18"/>
                <w:rtl/>
              </w:rPr>
              <w:t>פרטי</w:t>
            </w:r>
            <w:r w:rsidRPr="003B1E70">
              <w:rPr>
                <w:b/>
                <w:bCs/>
                <w:sz w:val="18"/>
                <w:szCs w:val="18"/>
                <w:rtl/>
              </w:rPr>
              <w:t xml:space="preserve"> </w:t>
            </w:r>
            <w:r w:rsidRPr="003B1E70">
              <w:rPr>
                <w:rFonts w:hint="eastAsia"/>
                <w:b/>
                <w:bCs/>
                <w:sz w:val="18"/>
                <w:szCs w:val="18"/>
                <w:rtl/>
              </w:rPr>
              <w:t>אחר</w:t>
            </w:r>
          </w:p>
        </w:tc>
        <w:tc>
          <w:tcPr>
            <w:tcW w:w="739" w:type="dxa"/>
            <w:vAlign w:val="bottom"/>
          </w:tcPr>
          <w:p w14:paraId="46901C52" w14:textId="77777777" w:rsidR="00847BF8" w:rsidRPr="003B1E70" w:rsidRDefault="00847BF8" w:rsidP="00D9322A">
            <w:pPr>
              <w:pBdr>
                <w:bottom w:val="single" w:sz="4" w:space="1" w:color="auto"/>
              </w:pBdr>
              <w:spacing w:line="216" w:lineRule="auto"/>
              <w:ind w:left="-28" w:right="-28"/>
              <w:jc w:val="center"/>
              <w:rPr>
                <w:b/>
                <w:bCs/>
                <w:sz w:val="18"/>
                <w:szCs w:val="18"/>
                <w:rtl/>
              </w:rPr>
            </w:pPr>
            <w:r w:rsidRPr="003B1E70">
              <w:rPr>
                <w:rFonts w:hint="eastAsia"/>
                <w:b/>
                <w:bCs/>
                <w:sz w:val="18"/>
                <w:szCs w:val="18"/>
                <w:rtl/>
              </w:rPr>
              <w:t>סך</w:t>
            </w:r>
            <w:r w:rsidRPr="003B1E70">
              <w:rPr>
                <w:b/>
                <w:bCs/>
                <w:sz w:val="18"/>
                <w:szCs w:val="18"/>
                <w:rtl/>
              </w:rPr>
              <w:t xml:space="preserve"> </w:t>
            </w:r>
            <w:r w:rsidRPr="003B1E70">
              <w:rPr>
                <w:rFonts w:hint="eastAsia"/>
                <w:b/>
                <w:bCs/>
                <w:sz w:val="18"/>
                <w:szCs w:val="18"/>
                <w:rtl/>
              </w:rPr>
              <w:t>הכל</w:t>
            </w:r>
            <w:r w:rsidRPr="003B1E70">
              <w:rPr>
                <w:b/>
                <w:bCs/>
                <w:sz w:val="18"/>
                <w:szCs w:val="18"/>
                <w:rtl/>
              </w:rPr>
              <w:t xml:space="preserve"> </w:t>
            </w:r>
          </w:p>
        </w:tc>
        <w:tc>
          <w:tcPr>
            <w:tcW w:w="944" w:type="dxa"/>
            <w:vMerge/>
            <w:vAlign w:val="bottom"/>
          </w:tcPr>
          <w:p w14:paraId="219B546D" w14:textId="77777777" w:rsidR="00847BF8" w:rsidRPr="003B1E70" w:rsidRDefault="00847BF8" w:rsidP="00D9322A">
            <w:pPr>
              <w:pBdr>
                <w:bottom w:val="single" w:sz="4" w:space="1" w:color="auto"/>
              </w:pBdr>
              <w:spacing w:line="216" w:lineRule="auto"/>
              <w:ind w:left="-28" w:right="-28"/>
              <w:jc w:val="center"/>
              <w:rPr>
                <w:b/>
                <w:bCs/>
                <w:sz w:val="18"/>
                <w:szCs w:val="18"/>
                <w:rtl/>
              </w:rPr>
            </w:pPr>
          </w:p>
        </w:tc>
        <w:tc>
          <w:tcPr>
            <w:tcW w:w="667" w:type="dxa"/>
            <w:gridSpan w:val="2"/>
            <w:vMerge/>
            <w:vAlign w:val="bottom"/>
          </w:tcPr>
          <w:p w14:paraId="5F029CE2" w14:textId="77777777" w:rsidR="00847BF8" w:rsidRPr="003B1E70" w:rsidRDefault="00847BF8" w:rsidP="00D9322A">
            <w:pPr>
              <w:pBdr>
                <w:bottom w:val="single" w:sz="4" w:space="1" w:color="auto"/>
              </w:pBdr>
              <w:spacing w:line="216" w:lineRule="auto"/>
              <w:ind w:left="-28" w:right="-28"/>
              <w:jc w:val="center"/>
              <w:rPr>
                <w:b/>
                <w:bCs/>
                <w:sz w:val="18"/>
                <w:szCs w:val="18"/>
                <w:rtl/>
              </w:rPr>
            </w:pPr>
          </w:p>
        </w:tc>
      </w:tr>
      <w:tr w:rsidR="00847BF8" w:rsidRPr="00F4410B" w14:paraId="7A21956E" w14:textId="77777777" w:rsidTr="00AB0DD8">
        <w:trPr>
          <w:trHeight w:val="245"/>
        </w:trPr>
        <w:tc>
          <w:tcPr>
            <w:tcW w:w="1077" w:type="dxa"/>
          </w:tcPr>
          <w:p w14:paraId="55329EB9" w14:textId="77777777" w:rsidR="00847BF8" w:rsidRDefault="00847BF8" w:rsidP="00FF08D1">
            <w:pPr>
              <w:ind w:right="-284"/>
              <w:jc w:val="left"/>
              <w:rPr>
                <w:color w:val="000000"/>
                <w:spacing w:val="-6"/>
                <w:rtl/>
                <w:lang w:eastAsia="he-IL"/>
              </w:rPr>
            </w:pPr>
          </w:p>
        </w:tc>
        <w:tc>
          <w:tcPr>
            <w:tcW w:w="450" w:type="dxa"/>
          </w:tcPr>
          <w:p w14:paraId="11FFEFC3" w14:textId="77777777" w:rsidR="00847BF8" w:rsidRDefault="00847BF8" w:rsidP="00FF08D1">
            <w:pPr>
              <w:jc w:val="left"/>
              <w:rPr>
                <w:b/>
                <w:bCs/>
                <w:color w:val="000000"/>
                <w:u w:val="single"/>
                <w:rtl/>
                <w:lang w:eastAsia="he-IL"/>
              </w:rPr>
            </w:pPr>
          </w:p>
        </w:tc>
        <w:tc>
          <w:tcPr>
            <w:tcW w:w="3443" w:type="dxa"/>
            <w:vAlign w:val="bottom"/>
          </w:tcPr>
          <w:p w14:paraId="229DBA13" w14:textId="77777777" w:rsidR="00847BF8" w:rsidRDefault="00847BF8" w:rsidP="00FF08D1">
            <w:pPr>
              <w:jc w:val="left"/>
              <w:rPr>
                <w:b/>
                <w:bCs/>
                <w:color w:val="000000"/>
                <w:sz w:val="18"/>
                <w:szCs w:val="18"/>
                <w:rtl/>
                <w:lang w:eastAsia="he-IL"/>
              </w:rPr>
            </w:pPr>
            <w:r w:rsidRPr="00F4410B">
              <w:rPr>
                <w:rFonts w:hint="cs"/>
                <w:b/>
                <w:bCs/>
                <w:color w:val="000000"/>
                <w:sz w:val="18"/>
                <w:szCs w:val="18"/>
                <w:u w:val="single"/>
                <w:rtl/>
                <w:lang w:eastAsia="he-IL"/>
              </w:rPr>
              <w:t>יתרת חוב רשומה</w:t>
            </w:r>
            <w:r w:rsidRPr="00F4410B">
              <w:rPr>
                <w:rFonts w:hint="cs"/>
                <w:b/>
                <w:bCs/>
                <w:color w:val="000000"/>
                <w:sz w:val="18"/>
                <w:szCs w:val="18"/>
                <w:rtl/>
                <w:lang w:eastAsia="he-IL"/>
              </w:rPr>
              <w:t>:</w:t>
            </w:r>
          </w:p>
        </w:tc>
        <w:tc>
          <w:tcPr>
            <w:tcW w:w="748" w:type="dxa"/>
            <w:vAlign w:val="bottom"/>
          </w:tcPr>
          <w:p w14:paraId="17F82127" w14:textId="77777777" w:rsidR="00847BF8" w:rsidRDefault="00847BF8" w:rsidP="00FF08D1">
            <w:pPr>
              <w:spacing w:line="241" w:lineRule="auto"/>
              <w:rPr>
                <w:sz w:val="18"/>
                <w:szCs w:val="18"/>
                <w:rtl/>
              </w:rPr>
            </w:pPr>
          </w:p>
        </w:tc>
        <w:tc>
          <w:tcPr>
            <w:tcW w:w="762" w:type="dxa"/>
            <w:vAlign w:val="bottom"/>
          </w:tcPr>
          <w:p w14:paraId="251C9C21" w14:textId="77777777" w:rsidR="00847BF8" w:rsidRDefault="00847BF8" w:rsidP="00FF08D1">
            <w:pPr>
              <w:spacing w:line="241" w:lineRule="auto"/>
              <w:rPr>
                <w:sz w:val="18"/>
                <w:szCs w:val="18"/>
                <w:rtl/>
              </w:rPr>
            </w:pPr>
          </w:p>
        </w:tc>
        <w:tc>
          <w:tcPr>
            <w:tcW w:w="884" w:type="dxa"/>
            <w:vAlign w:val="bottom"/>
          </w:tcPr>
          <w:p w14:paraId="559E51FD" w14:textId="77777777" w:rsidR="00847BF8" w:rsidRDefault="00847BF8" w:rsidP="00FF08D1">
            <w:pPr>
              <w:spacing w:line="241" w:lineRule="auto"/>
              <w:rPr>
                <w:sz w:val="18"/>
                <w:szCs w:val="18"/>
                <w:rtl/>
              </w:rPr>
            </w:pPr>
          </w:p>
        </w:tc>
        <w:tc>
          <w:tcPr>
            <w:tcW w:w="739" w:type="dxa"/>
            <w:vAlign w:val="bottom"/>
          </w:tcPr>
          <w:p w14:paraId="35BC32FF" w14:textId="77777777" w:rsidR="00847BF8" w:rsidRDefault="00847BF8" w:rsidP="00FF08D1">
            <w:pPr>
              <w:spacing w:line="241" w:lineRule="auto"/>
              <w:rPr>
                <w:sz w:val="18"/>
                <w:szCs w:val="18"/>
                <w:rtl/>
              </w:rPr>
            </w:pPr>
          </w:p>
        </w:tc>
        <w:tc>
          <w:tcPr>
            <w:tcW w:w="944" w:type="dxa"/>
            <w:vAlign w:val="bottom"/>
          </w:tcPr>
          <w:p w14:paraId="0FFD438C" w14:textId="77777777" w:rsidR="00847BF8" w:rsidRDefault="00847BF8" w:rsidP="00FF08D1">
            <w:pPr>
              <w:spacing w:line="241" w:lineRule="auto"/>
              <w:rPr>
                <w:sz w:val="18"/>
                <w:szCs w:val="18"/>
                <w:rtl/>
              </w:rPr>
            </w:pPr>
          </w:p>
        </w:tc>
        <w:tc>
          <w:tcPr>
            <w:tcW w:w="667" w:type="dxa"/>
            <w:gridSpan w:val="2"/>
            <w:vAlign w:val="bottom"/>
          </w:tcPr>
          <w:p w14:paraId="0214FC59" w14:textId="77777777" w:rsidR="00847BF8" w:rsidRDefault="00847BF8" w:rsidP="00FF08D1">
            <w:pPr>
              <w:spacing w:line="241" w:lineRule="auto"/>
              <w:rPr>
                <w:sz w:val="18"/>
                <w:szCs w:val="18"/>
                <w:rtl/>
              </w:rPr>
            </w:pPr>
          </w:p>
        </w:tc>
      </w:tr>
      <w:tr w:rsidR="00847BF8" w:rsidRPr="00F4410B" w14:paraId="09E8E524" w14:textId="77777777" w:rsidTr="00AB0DD8">
        <w:tc>
          <w:tcPr>
            <w:tcW w:w="1077" w:type="dxa"/>
          </w:tcPr>
          <w:p w14:paraId="756E9884" w14:textId="37D4563C" w:rsidR="00847BF8" w:rsidRPr="00F4410B" w:rsidRDefault="00847BF8" w:rsidP="00FF08D1">
            <w:pPr>
              <w:spacing w:before="60"/>
              <w:ind w:right="-284"/>
              <w:jc w:val="left"/>
              <w:rPr>
                <w:color w:val="000000"/>
                <w:spacing w:val="-6"/>
                <w:sz w:val="14"/>
                <w:szCs w:val="14"/>
                <w:rtl/>
                <w:lang w:eastAsia="he-IL"/>
              </w:rPr>
            </w:pPr>
          </w:p>
        </w:tc>
        <w:tc>
          <w:tcPr>
            <w:tcW w:w="450" w:type="dxa"/>
          </w:tcPr>
          <w:p w14:paraId="2EDE04F4" w14:textId="77777777" w:rsidR="00847BF8" w:rsidRPr="00F4410B" w:rsidRDefault="00847BF8" w:rsidP="00FF08D1">
            <w:pPr>
              <w:spacing w:line="241" w:lineRule="auto"/>
              <w:ind w:left="144" w:hanging="144"/>
              <w:jc w:val="left"/>
              <w:rPr>
                <w:b/>
                <w:bCs/>
                <w:color w:val="000000"/>
                <w:rtl/>
                <w:lang w:eastAsia="he-IL"/>
              </w:rPr>
            </w:pPr>
          </w:p>
        </w:tc>
        <w:tc>
          <w:tcPr>
            <w:tcW w:w="3443" w:type="dxa"/>
            <w:vAlign w:val="bottom"/>
          </w:tcPr>
          <w:p w14:paraId="1670C801" w14:textId="77777777" w:rsidR="00847BF8" w:rsidRPr="00F4410B" w:rsidRDefault="00847BF8" w:rsidP="00FF08D1">
            <w:pPr>
              <w:keepLines/>
              <w:jc w:val="left"/>
              <w:outlineLvl w:val="1"/>
              <w:rPr>
                <w:color w:val="000000"/>
                <w:sz w:val="18"/>
                <w:szCs w:val="18"/>
                <w:lang w:eastAsia="he-IL"/>
              </w:rPr>
            </w:pPr>
            <w:r w:rsidRPr="00F4410B">
              <w:rPr>
                <w:rFonts w:hint="eastAsia"/>
                <w:color w:val="000000"/>
                <w:sz w:val="18"/>
                <w:szCs w:val="18"/>
                <w:rtl/>
                <w:lang w:eastAsia="he-IL"/>
              </w:rPr>
              <w:t>חובות</w:t>
            </w:r>
            <w:r w:rsidRPr="00F4410B">
              <w:rPr>
                <w:color w:val="000000"/>
                <w:sz w:val="18"/>
                <w:szCs w:val="18"/>
                <w:rtl/>
                <w:lang w:eastAsia="he-IL"/>
              </w:rPr>
              <w:t xml:space="preserve"> </w:t>
            </w:r>
            <w:r w:rsidRPr="00F4410B">
              <w:rPr>
                <w:rFonts w:hint="eastAsia"/>
                <w:color w:val="000000"/>
                <w:sz w:val="18"/>
                <w:szCs w:val="18"/>
                <w:rtl/>
                <w:lang w:eastAsia="he-IL"/>
              </w:rPr>
              <w:t>שנבדקו</w:t>
            </w:r>
            <w:r w:rsidRPr="00F4410B">
              <w:rPr>
                <w:color w:val="000000"/>
                <w:sz w:val="18"/>
                <w:szCs w:val="18"/>
                <w:rtl/>
                <w:lang w:eastAsia="he-IL"/>
              </w:rPr>
              <w:t xml:space="preserve"> </w:t>
            </w:r>
            <w:r w:rsidRPr="00F4410B">
              <w:rPr>
                <w:rFonts w:hint="eastAsia"/>
                <w:color w:val="000000"/>
                <w:sz w:val="18"/>
                <w:szCs w:val="18"/>
                <w:rtl/>
                <w:lang w:eastAsia="he-IL"/>
              </w:rPr>
              <w:t>על</w:t>
            </w:r>
            <w:r w:rsidRPr="00F4410B">
              <w:rPr>
                <w:color w:val="000000"/>
                <w:sz w:val="18"/>
                <w:szCs w:val="18"/>
                <w:rtl/>
                <w:lang w:eastAsia="he-IL"/>
              </w:rPr>
              <w:t xml:space="preserve"> </w:t>
            </w:r>
            <w:r w:rsidRPr="00F4410B">
              <w:rPr>
                <w:rFonts w:hint="eastAsia"/>
                <w:color w:val="000000"/>
                <w:sz w:val="18"/>
                <w:szCs w:val="18"/>
                <w:rtl/>
                <w:lang w:eastAsia="he-IL"/>
              </w:rPr>
              <w:t>בסיס</w:t>
            </w:r>
            <w:r w:rsidRPr="00F4410B">
              <w:rPr>
                <w:color w:val="000000"/>
                <w:sz w:val="18"/>
                <w:szCs w:val="18"/>
                <w:rtl/>
                <w:lang w:eastAsia="he-IL"/>
              </w:rPr>
              <w:t xml:space="preserve"> </w:t>
            </w:r>
            <w:r w:rsidRPr="00F4410B">
              <w:rPr>
                <w:rFonts w:hint="eastAsia"/>
                <w:color w:val="000000"/>
                <w:sz w:val="18"/>
                <w:szCs w:val="18"/>
                <w:rtl/>
                <w:lang w:eastAsia="he-IL"/>
              </w:rPr>
              <w:t>פרטני</w:t>
            </w:r>
          </w:p>
        </w:tc>
        <w:tc>
          <w:tcPr>
            <w:tcW w:w="748" w:type="dxa"/>
            <w:vAlign w:val="bottom"/>
          </w:tcPr>
          <w:p w14:paraId="7FB58D26" w14:textId="77777777" w:rsidR="00847BF8" w:rsidRPr="00F4410B" w:rsidRDefault="00847BF8" w:rsidP="00FF08D1">
            <w:pPr>
              <w:keepLines/>
              <w:outlineLvl w:val="1"/>
              <w:rPr>
                <w:sz w:val="18"/>
                <w:szCs w:val="18"/>
                <w:rtl/>
              </w:rPr>
            </w:pPr>
            <w:r w:rsidRPr="00F4410B">
              <w:rPr>
                <w:sz w:val="18"/>
                <w:szCs w:val="18"/>
                <w:rtl/>
              </w:rPr>
              <w:t xml:space="preserve"> 0</w:t>
            </w:r>
          </w:p>
        </w:tc>
        <w:tc>
          <w:tcPr>
            <w:tcW w:w="762" w:type="dxa"/>
            <w:vAlign w:val="bottom"/>
          </w:tcPr>
          <w:p w14:paraId="72F4F33F" w14:textId="77777777" w:rsidR="00847BF8" w:rsidRPr="00F4410B" w:rsidRDefault="00847BF8" w:rsidP="00FF08D1">
            <w:pPr>
              <w:keepLines/>
              <w:outlineLvl w:val="1"/>
              <w:rPr>
                <w:sz w:val="18"/>
                <w:szCs w:val="18"/>
                <w:rtl/>
              </w:rPr>
            </w:pPr>
            <w:r w:rsidRPr="00F4410B">
              <w:rPr>
                <w:sz w:val="18"/>
                <w:szCs w:val="18"/>
                <w:rtl/>
              </w:rPr>
              <w:t xml:space="preserve"> 0</w:t>
            </w:r>
          </w:p>
        </w:tc>
        <w:tc>
          <w:tcPr>
            <w:tcW w:w="884" w:type="dxa"/>
            <w:vAlign w:val="bottom"/>
          </w:tcPr>
          <w:p w14:paraId="3A24AF40" w14:textId="77777777" w:rsidR="00847BF8" w:rsidRPr="00F4410B" w:rsidRDefault="00847BF8" w:rsidP="00FF08D1">
            <w:pPr>
              <w:keepLines/>
              <w:outlineLvl w:val="1"/>
              <w:rPr>
                <w:sz w:val="18"/>
                <w:szCs w:val="18"/>
                <w:rtl/>
              </w:rPr>
            </w:pPr>
            <w:r w:rsidRPr="00F4410B">
              <w:rPr>
                <w:sz w:val="18"/>
                <w:szCs w:val="18"/>
                <w:rtl/>
              </w:rPr>
              <w:t xml:space="preserve"> 0</w:t>
            </w:r>
          </w:p>
        </w:tc>
        <w:tc>
          <w:tcPr>
            <w:tcW w:w="739" w:type="dxa"/>
            <w:vAlign w:val="bottom"/>
          </w:tcPr>
          <w:p w14:paraId="2C63EB5D" w14:textId="77777777" w:rsidR="00847BF8" w:rsidRPr="00F4410B" w:rsidRDefault="00847BF8" w:rsidP="00FF08D1">
            <w:pPr>
              <w:keepLines/>
              <w:outlineLvl w:val="1"/>
              <w:rPr>
                <w:sz w:val="18"/>
                <w:szCs w:val="18"/>
                <w:rtl/>
              </w:rPr>
            </w:pPr>
            <w:r w:rsidRPr="00F4410B">
              <w:rPr>
                <w:sz w:val="18"/>
                <w:szCs w:val="18"/>
                <w:rtl/>
              </w:rPr>
              <w:t xml:space="preserve"> 0</w:t>
            </w:r>
          </w:p>
        </w:tc>
        <w:tc>
          <w:tcPr>
            <w:tcW w:w="944" w:type="dxa"/>
            <w:vAlign w:val="bottom"/>
          </w:tcPr>
          <w:p w14:paraId="104922B5" w14:textId="77777777" w:rsidR="00847BF8" w:rsidRDefault="00847BF8" w:rsidP="00FF08D1">
            <w:pPr>
              <w:keepLines/>
              <w:outlineLvl w:val="1"/>
              <w:rPr>
                <w:sz w:val="18"/>
                <w:szCs w:val="18"/>
                <w:rtl/>
              </w:rPr>
            </w:pPr>
            <w:r w:rsidRPr="00F4410B">
              <w:rPr>
                <w:sz w:val="18"/>
                <w:szCs w:val="18"/>
                <w:rtl/>
              </w:rPr>
              <w:t xml:space="preserve"> 0</w:t>
            </w:r>
          </w:p>
        </w:tc>
        <w:tc>
          <w:tcPr>
            <w:tcW w:w="667" w:type="dxa"/>
            <w:gridSpan w:val="2"/>
            <w:vAlign w:val="bottom"/>
          </w:tcPr>
          <w:p w14:paraId="60C53E03" w14:textId="77777777" w:rsidR="00847BF8" w:rsidRDefault="00847BF8" w:rsidP="00FF08D1">
            <w:pPr>
              <w:keepLines/>
              <w:outlineLvl w:val="1"/>
              <w:rPr>
                <w:sz w:val="18"/>
                <w:szCs w:val="18"/>
                <w:rtl/>
              </w:rPr>
            </w:pPr>
            <w:r w:rsidRPr="00F4410B">
              <w:rPr>
                <w:sz w:val="18"/>
                <w:szCs w:val="18"/>
                <w:rtl/>
              </w:rPr>
              <w:t xml:space="preserve"> 0</w:t>
            </w:r>
          </w:p>
        </w:tc>
      </w:tr>
      <w:tr w:rsidR="00847BF8" w:rsidRPr="00F4410B" w14:paraId="026734F3" w14:textId="77777777" w:rsidTr="00AB0DD8">
        <w:trPr>
          <w:trHeight w:val="245"/>
        </w:trPr>
        <w:tc>
          <w:tcPr>
            <w:tcW w:w="1077" w:type="dxa"/>
          </w:tcPr>
          <w:p w14:paraId="46AB46B5" w14:textId="67FD1988" w:rsidR="00847BF8" w:rsidRPr="00F4410B" w:rsidRDefault="00847BF8" w:rsidP="00FF08D1">
            <w:pPr>
              <w:spacing w:before="40"/>
              <w:ind w:right="-284"/>
              <w:jc w:val="left"/>
              <w:rPr>
                <w:color w:val="000000"/>
                <w:spacing w:val="-6"/>
                <w:rtl/>
                <w:lang w:eastAsia="he-IL"/>
              </w:rPr>
            </w:pPr>
          </w:p>
        </w:tc>
        <w:tc>
          <w:tcPr>
            <w:tcW w:w="450" w:type="dxa"/>
          </w:tcPr>
          <w:p w14:paraId="33C4632C" w14:textId="77777777" w:rsidR="00847BF8" w:rsidRPr="00F4410B" w:rsidRDefault="00847BF8" w:rsidP="00FF08D1">
            <w:pPr>
              <w:spacing w:line="241" w:lineRule="auto"/>
              <w:ind w:left="432" w:hanging="144"/>
              <w:jc w:val="left"/>
              <w:rPr>
                <w:color w:val="000000"/>
                <w:rtl/>
                <w:lang w:eastAsia="he-IL"/>
              </w:rPr>
            </w:pPr>
          </w:p>
        </w:tc>
        <w:tc>
          <w:tcPr>
            <w:tcW w:w="3443" w:type="dxa"/>
            <w:vAlign w:val="bottom"/>
          </w:tcPr>
          <w:p w14:paraId="101D6B86" w14:textId="6961ECD4" w:rsidR="00847BF8" w:rsidRPr="00F4410B" w:rsidRDefault="00847BF8" w:rsidP="00FF08D1">
            <w:pPr>
              <w:spacing w:line="241" w:lineRule="auto"/>
              <w:ind w:left="144" w:hanging="144"/>
              <w:jc w:val="left"/>
              <w:rPr>
                <w:b/>
                <w:bCs/>
                <w:color w:val="000000"/>
                <w:sz w:val="18"/>
                <w:szCs w:val="18"/>
                <w:lang w:eastAsia="he-IL"/>
              </w:rPr>
            </w:pPr>
            <w:r w:rsidRPr="00F4410B">
              <w:rPr>
                <w:rFonts w:hint="eastAsia"/>
                <w:color w:val="000000"/>
                <w:sz w:val="18"/>
                <w:szCs w:val="18"/>
                <w:rtl/>
                <w:lang w:eastAsia="he-IL"/>
              </w:rPr>
              <w:t>חובות</w:t>
            </w:r>
            <w:r w:rsidRPr="00F4410B">
              <w:rPr>
                <w:color w:val="000000"/>
                <w:sz w:val="18"/>
                <w:szCs w:val="18"/>
                <w:rtl/>
                <w:lang w:eastAsia="he-IL"/>
              </w:rPr>
              <w:t xml:space="preserve"> </w:t>
            </w:r>
            <w:r w:rsidRPr="00F4410B">
              <w:rPr>
                <w:rFonts w:hint="eastAsia"/>
                <w:color w:val="000000"/>
                <w:sz w:val="18"/>
                <w:szCs w:val="18"/>
                <w:rtl/>
                <w:lang w:eastAsia="he-IL"/>
              </w:rPr>
              <w:t>שנבדקו</w:t>
            </w:r>
            <w:r w:rsidRPr="00F4410B">
              <w:rPr>
                <w:color w:val="000000"/>
                <w:sz w:val="18"/>
                <w:szCs w:val="18"/>
                <w:rtl/>
                <w:lang w:eastAsia="he-IL"/>
              </w:rPr>
              <w:t xml:space="preserve"> </w:t>
            </w:r>
            <w:r w:rsidRPr="00F4410B">
              <w:rPr>
                <w:rFonts w:hint="eastAsia"/>
                <w:color w:val="000000"/>
                <w:sz w:val="18"/>
                <w:szCs w:val="18"/>
                <w:rtl/>
                <w:lang w:eastAsia="he-IL"/>
              </w:rPr>
              <w:t>על</w:t>
            </w:r>
            <w:r w:rsidRPr="00F4410B">
              <w:rPr>
                <w:color w:val="000000"/>
                <w:sz w:val="18"/>
                <w:szCs w:val="18"/>
                <w:rtl/>
                <w:lang w:eastAsia="he-IL"/>
              </w:rPr>
              <w:t xml:space="preserve"> </w:t>
            </w:r>
            <w:r w:rsidRPr="00F4410B">
              <w:rPr>
                <w:rFonts w:hint="eastAsia"/>
                <w:color w:val="000000"/>
                <w:sz w:val="18"/>
                <w:szCs w:val="18"/>
                <w:rtl/>
                <w:lang w:eastAsia="he-IL"/>
              </w:rPr>
              <w:t>בסיס</w:t>
            </w:r>
            <w:r w:rsidRPr="00F4410B">
              <w:rPr>
                <w:color w:val="000000"/>
                <w:sz w:val="18"/>
                <w:szCs w:val="18"/>
                <w:rtl/>
                <w:lang w:eastAsia="he-IL"/>
              </w:rPr>
              <w:t xml:space="preserve"> </w:t>
            </w:r>
            <w:r w:rsidRPr="00F4410B">
              <w:rPr>
                <w:rFonts w:hint="eastAsia"/>
                <w:color w:val="000000"/>
                <w:sz w:val="18"/>
                <w:szCs w:val="18"/>
                <w:rtl/>
                <w:lang w:eastAsia="he-IL"/>
              </w:rPr>
              <w:t>קבוצתי</w:t>
            </w:r>
          </w:p>
        </w:tc>
        <w:tc>
          <w:tcPr>
            <w:tcW w:w="748" w:type="dxa"/>
            <w:vAlign w:val="bottom"/>
          </w:tcPr>
          <w:p w14:paraId="53B2B3AB" w14:textId="77777777" w:rsidR="00847BF8" w:rsidRPr="00F4410B" w:rsidRDefault="00847BF8" w:rsidP="00871329">
            <w:pPr>
              <w:pBdr>
                <w:bottom w:val="single" w:sz="4" w:space="1" w:color="auto"/>
              </w:pBdr>
              <w:spacing w:line="241" w:lineRule="auto"/>
              <w:rPr>
                <w:sz w:val="18"/>
                <w:szCs w:val="18"/>
                <w:rtl/>
              </w:rPr>
            </w:pPr>
            <w:r w:rsidRPr="00F4410B">
              <w:rPr>
                <w:sz w:val="18"/>
                <w:szCs w:val="18"/>
                <w:rtl/>
              </w:rPr>
              <w:t xml:space="preserve"> 0</w:t>
            </w:r>
          </w:p>
        </w:tc>
        <w:tc>
          <w:tcPr>
            <w:tcW w:w="762" w:type="dxa"/>
            <w:vAlign w:val="bottom"/>
          </w:tcPr>
          <w:p w14:paraId="09A3859C" w14:textId="77777777" w:rsidR="00847BF8" w:rsidRPr="00F4410B" w:rsidRDefault="00847BF8" w:rsidP="00871329">
            <w:pPr>
              <w:pBdr>
                <w:bottom w:val="single" w:sz="4" w:space="1" w:color="auto"/>
              </w:pBdr>
              <w:spacing w:line="241" w:lineRule="auto"/>
              <w:rPr>
                <w:sz w:val="18"/>
                <w:szCs w:val="18"/>
                <w:rtl/>
              </w:rPr>
            </w:pPr>
            <w:r w:rsidRPr="00F4410B">
              <w:rPr>
                <w:sz w:val="18"/>
                <w:szCs w:val="18"/>
                <w:rtl/>
              </w:rPr>
              <w:t xml:space="preserve"> 0</w:t>
            </w:r>
          </w:p>
        </w:tc>
        <w:tc>
          <w:tcPr>
            <w:tcW w:w="884" w:type="dxa"/>
            <w:vAlign w:val="bottom"/>
          </w:tcPr>
          <w:p w14:paraId="61496705" w14:textId="77777777" w:rsidR="00847BF8" w:rsidRPr="00F4410B" w:rsidRDefault="00847BF8" w:rsidP="00871329">
            <w:pPr>
              <w:pBdr>
                <w:bottom w:val="single" w:sz="4" w:space="1" w:color="auto"/>
              </w:pBdr>
              <w:spacing w:line="241" w:lineRule="auto"/>
              <w:rPr>
                <w:sz w:val="18"/>
                <w:szCs w:val="18"/>
                <w:rtl/>
              </w:rPr>
            </w:pPr>
            <w:r w:rsidRPr="00F4410B">
              <w:rPr>
                <w:sz w:val="18"/>
                <w:szCs w:val="18"/>
                <w:rtl/>
              </w:rPr>
              <w:t xml:space="preserve"> 0</w:t>
            </w:r>
          </w:p>
        </w:tc>
        <w:tc>
          <w:tcPr>
            <w:tcW w:w="739" w:type="dxa"/>
            <w:vAlign w:val="bottom"/>
          </w:tcPr>
          <w:p w14:paraId="5802113E" w14:textId="77777777" w:rsidR="00847BF8" w:rsidRPr="00F4410B" w:rsidRDefault="00847BF8" w:rsidP="00871329">
            <w:pPr>
              <w:pBdr>
                <w:bottom w:val="single" w:sz="4" w:space="1" w:color="auto"/>
              </w:pBdr>
              <w:spacing w:line="241" w:lineRule="auto"/>
              <w:rPr>
                <w:sz w:val="18"/>
                <w:szCs w:val="18"/>
                <w:rtl/>
              </w:rPr>
            </w:pPr>
            <w:r w:rsidRPr="00F4410B">
              <w:rPr>
                <w:sz w:val="18"/>
                <w:szCs w:val="18"/>
                <w:rtl/>
              </w:rPr>
              <w:t xml:space="preserve"> 0</w:t>
            </w:r>
          </w:p>
        </w:tc>
        <w:tc>
          <w:tcPr>
            <w:tcW w:w="944" w:type="dxa"/>
            <w:vAlign w:val="bottom"/>
          </w:tcPr>
          <w:p w14:paraId="625C5CF9" w14:textId="77777777" w:rsidR="00847BF8" w:rsidRDefault="00847BF8" w:rsidP="00871329">
            <w:pPr>
              <w:pBdr>
                <w:bottom w:val="single" w:sz="4" w:space="1" w:color="auto"/>
              </w:pBdr>
              <w:spacing w:line="241" w:lineRule="auto"/>
              <w:rPr>
                <w:sz w:val="18"/>
                <w:szCs w:val="18"/>
                <w:rtl/>
              </w:rPr>
            </w:pPr>
            <w:r w:rsidRPr="00F4410B">
              <w:rPr>
                <w:sz w:val="18"/>
                <w:szCs w:val="18"/>
                <w:rtl/>
              </w:rPr>
              <w:t xml:space="preserve"> 0</w:t>
            </w:r>
          </w:p>
        </w:tc>
        <w:tc>
          <w:tcPr>
            <w:tcW w:w="667" w:type="dxa"/>
            <w:gridSpan w:val="2"/>
            <w:vAlign w:val="bottom"/>
          </w:tcPr>
          <w:p w14:paraId="0C67BA6A" w14:textId="77777777" w:rsidR="00847BF8" w:rsidRDefault="00847BF8" w:rsidP="00871329">
            <w:pPr>
              <w:pBdr>
                <w:bottom w:val="single" w:sz="4" w:space="1" w:color="auto"/>
              </w:pBdr>
              <w:spacing w:line="241" w:lineRule="auto"/>
              <w:rPr>
                <w:sz w:val="18"/>
                <w:szCs w:val="18"/>
                <w:rtl/>
              </w:rPr>
            </w:pPr>
            <w:r w:rsidRPr="00F4410B">
              <w:rPr>
                <w:sz w:val="18"/>
                <w:szCs w:val="18"/>
                <w:rtl/>
              </w:rPr>
              <w:t xml:space="preserve"> 0</w:t>
            </w:r>
          </w:p>
        </w:tc>
      </w:tr>
      <w:tr w:rsidR="00847BF8" w:rsidRPr="00F4410B" w14:paraId="209DFFAB" w14:textId="77777777" w:rsidTr="00AB0DD8">
        <w:trPr>
          <w:trHeight w:val="245"/>
        </w:trPr>
        <w:tc>
          <w:tcPr>
            <w:tcW w:w="1077" w:type="dxa"/>
          </w:tcPr>
          <w:p w14:paraId="3A9766F4" w14:textId="77777777" w:rsidR="00847BF8" w:rsidRPr="00F4410B" w:rsidRDefault="00847BF8" w:rsidP="00FF08D1">
            <w:pPr>
              <w:spacing w:line="241" w:lineRule="auto"/>
              <w:ind w:left="432" w:right="-284" w:hanging="144"/>
              <w:jc w:val="left"/>
              <w:rPr>
                <w:color w:val="000000"/>
                <w:spacing w:val="-6"/>
                <w:rtl/>
                <w:lang w:eastAsia="he-IL"/>
              </w:rPr>
            </w:pPr>
          </w:p>
        </w:tc>
        <w:tc>
          <w:tcPr>
            <w:tcW w:w="450" w:type="dxa"/>
          </w:tcPr>
          <w:p w14:paraId="5D555FC0" w14:textId="77777777" w:rsidR="00847BF8" w:rsidRPr="00F4410B" w:rsidRDefault="00847BF8" w:rsidP="00FF08D1">
            <w:pPr>
              <w:spacing w:line="241" w:lineRule="auto"/>
              <w:ind w:left="432" w:hanging="144"/>
              <w:jc w:val="left"/>
              <w:rPr>
                <w:color w:val="000000"/>
                <w:rtl/>
                <w:lang w:eastAsia="he-IL"/>
              </w:rPr>
            </w:pPr>
          </w:p>
        </w:tc>
        <w:tc>
          <w:tcPr>
            <w:tcW w:w="3443" w:type="dxa"/>
            <w:vAlign w:val="bottom"/>
          </w:tcPr>
          <w:p w14:paraId="2F474309" w14:textId="02F11251" w:rsidR="00847BF8" w:rsidRPr="00F4410B" w:rsidRDefault="00847BF8" w:rsidP="00FF08D1">
            <w:pPr>
              <w:spacing w:line="241" w:lineRule="auto"/>
              <w:ind w:left="144" w:hanging="144"/>
              <w:jc w:val="left"/>
              <w:rPr>
                <w:b/>
                <w:bCs/>
                <w:color w:val="000000"/>
                <w:sz w:val="18"/>
                <w:szCs w:val="18"/>
                <w:lang w:eastAsia="he-IL"/>
              </w:rPr>
            </w:pPr>
            <w:r w:rsidRPr="00F4410B">
              <w:rPr>
                <w:rFonts w:hint="eastAsia"/>
                <w:b/>
                <w:bCs/>
                <w:color w:val="000000"/>
                <w:sz w:val="18"/>
                <w:szCs w:val="18"/>
                <w:rtl/>
                <w:lang w:eastAsia="he-IL"/>
              </w:rPr>
              <w:t>סך</w:t>
            </w:r>
            <w:r w:rsidRPr="00F4410B">
              <w:rPr>
                <w:b/>
                <w:bCs/>
                <w:color w:val="000000"/>
                <w:sz w:val="18"/>
                <w:szCs w:val="18"/>
                <w:rtl/>
                <w:lang w:eastAsia="he-IL"/>
              </w:rPr>
              <w:t xml:space="preserve"> </w:t>
            </w:r>
            <w:r w:rsidRPr="00F4410B">
              <w:rPr>
                <w:rFonts w:hint="eastAsia"/>
                <w:b/>
                <w:bCs/>
                <w:color w:val="000000"/>
                <w:sz w:val="18"/>
                <w:szCs w:val="18"/>
                <w:rtl/>
                <w:lang w:eastAsia="he-IL"/>
              </w:rPr>
              <w:t>הכל</w:t>
            </w:r>
            <w:r w:rsidRPr="00F4410B">
              <w:rPr>
                <w:rFonts w:hint="cs"/>
                <w:b/>
                <w:bCs/>
                <w:color w:val="000000"/>
                <w:sz w:val="18"/>
                <w:szCs w:val="18"/>
                <w:rtl/>
                <w:lang w:eastAsia="he-IL"/>
              </w:rPr>
              <w:t>*</w:t>
            </w:r>
          </w:p>
        </w:tc>
        <w:tc>
          <w:tcPr>
            <w:tcW w:w="748" w:type="dxa"/>
            <w:vAlign w:val="bottom"/>
          </w:tcPr>
          <w:p w14:paraId="5BE37487" w14:textId="77777777" w:rsidR="00847BF8" w:rsidRPr="00F4410B" w:rsidRDefault="00847BF8" w:rsidP="00FF08D1">
            <w:pPr>
              <w:spacing w:line="241" w:lineRule="auto"/>
              <w:rPr>
                <w:b/>
                <w:bCs/>
                <w:sz w:val="18"/>
                <w:szCs w:val="18"/>
                <w:rtl/>
              </w:rPr>
            </w:pPr>
            <w:r w:rsidRPr="00F4410B">
              <w:rPr>
                <w:b/>
                <w:bCs/>
                <w:sz w:val="18"/>
                <w:szCs w:val="18"/>
                <w:rtl/>
              </w:rPr>
              <w:t xml:space="preserve"> 0</w:t>
            </w:r>
          </w:p>
        </w:tc>
        <w:tc>
          <w:tcPr>
            <w:tcW w:w="762" w:type="dxa"/>
            <w:vAlign w:val="bottom"/>
          </w:tcPr>
          <w:p w14:paraId="3FFA4B17" w14:textId="77777777" w:rsidR="00847BF8" w:rsidRPr="00F4410B" w:rsidRDefault="00847BF8" w:rsidP="00FF08D1">
            <w:pPr>
              <w:spacing w:line="241" w:lineRule="auto"/>
              <w:rPr>
                <w:b/>
                <w:bCs/>
                <w:sz w:val="18"/>
                <w:szCs w:val="18"/>
                <w:rtl/>
              </w:rPr>
            </w:pPr>
            <w:r w:rsidRPr="00F4410B">
              <w:rPr>
                <w:b/>
                <w:bCs/>
                <w:sz w:val="18"/>
                <w:szCs w:val="18"/>
                <w:rtl/>
              </w:rPr>
              <w:t xml:space="preserve"> 0</w:t>
            </w:r>
          </w:p>
        </w:tc>
        <w:tc>
          <w:tcPr>
            <w:tcW w:w="884" w:type="dxa"/>
            <w:vAlign w:val="bottom"/>
          </w:tcPr>
          <w:p w14:paraId="001F885A" w14:textId="77777777" w:rsidR="00847BF8" w:rsidRPr="00F4410B" w:rsidRDefault="00847BF8" w:rsidP="00FF08D1">
            <w:pPr>
              <w:spacing w:line="241" w:lineRule="auto"/>
              <w:rPr>
                <w:b/>
                <w:bCs/>
                <w:sz w:val="18"/>
                <w:szCs w:val="18"/>
                <w:rtl/>
              </w:rPr>
            </w:pPr>
            <w:r w:rsidRPr="00F4410B">
              <w:rPr>
                <w:b/>
                <w:bCs/>
                <w:sz w:val="18"/>
                <w:szCs w:val="18"/>
                <w:rtl/>
              </w:rPr>
              <w:t xml:space="preserve"> 0</w:t>
            </w:r>
          </w:p>
        </w:tc>
        <w:tc>
          <w:tcPr>
            <w:tcW w:w="739" w:type="dxa"/>
            <w:vAlign w:val="bottom"/>
          </w:tcPr>
          <w:p w14:paraId="54BE93C0" w14:textId="77777777" w:rsidR="00847BF8" w:rsidRPr="00F4410B" w:rsidRDefault="00847BF8" w:rsidP="00FF08D1">
            <w:pPr>
              <w:spacing w:line="241" w:lineRule="auto"/>
              <w:rPr>
                <w:b/>
                <w:bCs/>
                <w:sz w:val="18"/>
                <w:szCs w:val="18"/>
                <w:rtl/>
              </w:rPr>
            </w:pPr>
            <w:r w:rsidRPr="00F4410B">
              <w:rPr>
                <w:b/>
                <w:bCs/>
                <w:sz w:val="18"/>
                <w:szCs w:val="18"/>
                <w:rtl/>
              </w:rPr>
              <w:t xml:space="preserve"> 0</w:t>
            </w:r>
          </w:p>
        </w:tc>
        <w:tc>
          <w:tcPr>
            <w:tcW w:w="944" w:type="dxa"/>
            <w:vAlign w:val="bottom"/>
          </w:tcPr>
          <w:p w14:paraId="2E37094A" w14:textId="77777777" w:rsidR="00847BF8" w:rsidRDefault="00847BF8" w:rsidP="00FF08D1">
            <w:pPr>
              <w:spacing w:line="241" w:lineRule="auto"/>
              <w:rPr>
                <w:b/>
                <w:bCs/>
                <w:sz w:val="18"/>
                <w:szCs w:val="18"/>
                <w:rtl/>
              </w:rPr>
            </w:pPr>
            <w:r w:rsidRPr="00F4410B">
              <w:rPr>
                <w:b/>
                <w:bCs/>
                <w:sz w:val="18"/>
                <w:szCs w:val="18"/>
                <w:rtl/>
              </w:rPr>
              <w:t xml:space="preserve"> 0</w:t>
            </w:r>
          </w:p>
        </w:tc>
        <w:tc>
          <w:tcPr>
            <w:tcW w:w="667" w:type="dxa"/>
            <w:gridSpan w:val="2"/>
            <w:vAlign w:val="bottom"/>
          </w:tcPr>
          <w:p w14:paraId="106C2A43" w14:textId="77777777" w:rsidR="00847BF8" w:rsidRDefault="00847BF8" w:rsidP="00FF08D1">
            <w:pPr>
              <w:spacing w:line="241" w:lineRule="auto"/>
              <w:rPr>
                <w:b/>
                <w:bCs/>
                <w:sz w:val="18"/>
                <w:szCs w:val="18"/>
                <w:rtl/>
              </w:rPr>
            </w:pPr>
            <w:r w:rsidRPr="00F4410B">
              <w:rPr>
                <w:b/>
                <w:bCs/>
                <w:sz w:val="18"/>
                <w:szCs w:val="18"/>
                <w:rtl/>
              </w:rPr>
              <w:t xml:space="preserve"> 0</w:t>
            </w:r>
          </w:p>
        </w:tc>
      </w:tr>
      <w:tr w:rsidR="00847BF8" w:rsidRPr="00F4410B" w14:paraId="374238C0" w14:textId="77777777" w:rsidTr="00AB0DD8">
        <w:trPr>
          <w:trHeight w:val="245"/>
        </w:trPr>
        <w:tc>
          <w:tcPr>
            <w:tcW w:w="1077" w:type="dxa"/>
          </w:tcPr>
          <w:p w14:paraId="686606DB" w14:textId="73C95929" w:rsidR="00847BF8" w:rsidRPr="00F4410B" w:rsidRDefault="00847BF8" w:rsidP="00FF08D1">
            <w:pPr>
              <w:spacing w:before="40"/>
              <w:ind w:right="-284"/>
              <w:jc w:val="left"/>
              <w:rPr>
                <w:color w:val="000000"/>
                <w:spacing w:val="-6"/>
                <w:sz w:val="14"/>
                <w:szCs w:val="14"/>
                <w:rtl/>
                <w:lang w:eastAsia="he-IL"/>
              </w:rPr>
            </w:pPr>
          </w:p>
        </w:tc>
        <w:tc>
          <w:tcPr>
            <w:tcW w:w="450" w:type="dxa"/>
          </w:tcPr>
          <w:p w14:paraId="2D21E131" w14:textId="77777777" w:rsidR="00847BF8" w:rsidRPr="00F4410B" w:rsidRDefault="00847BF8" w:rsidP="00FF08D1">
            <w:pPr>
              <w:spacing w:line="241" w:lineRule="auto"/>
              <w:ind w:left="432" w:hanging="144"/>
              <w:jc w:val="left"/>
              <w:rPr>
                <w:color w:val="000000"/>
                <w:rtl/>
                <w:lang w:eastAsia="he-IL"/>
              </w:rPr>
            </w:pPr>
          </w:p>
        </w:tc>
        <w:tc>
          <w:tcPr>
            <w:tcW w:w="3443" w:type="dxa"/>
            <w:vAlign w:val="bottom"/>
          </w:tcPr>
          <w:p w14:paraId="07C8E248" w14:textId="6ABDD1A7" w:rsidR="00847BF8" w:rsidRPr="00F4410B" w:rsidRDefault="00847BF8" w:rsidP="00FF08D1">
            <w:pPr>
              <w:spacing w:line="241" w:lineRule="auto"/>
              <w:ind w:left="144" w:hanging="144"/>
              <w:jc w:val="left"/>
              <w:rPr>
                <w:b/>
                <w:bCs/>
                <w:color w:val="000000"/>
                <w:sz w:val="18"/>
                <w:szCs w:val="18"/>
                <w:lang w:eastAsia="he-IL"/>
              </w:rPr>
            </w:pPr>
            <w:r w:rsidRPr="00F4410B">
              <w:rPr>
                <w:rFonts w:hint="cs"/>
                <w:color w:val="000000"/>
                <w:sz w:val="18"/>
                <w:szCs w:val="18"/>
                <w:rtl/>
                <w:lang w:eastAsia="he-IL"/>
              </w:rPr>
              <w:t>*</w:t>
            </w:r>
            <w:r w:rsidR="00871329">
              <w:rPr>
                <w:rFonts w:hint="cs"/>
                <w:color w:val="000000"/>
                <w:sz w:val="18"/>
                <w:szCs w:val="18"/>
                <w:rtl/>
                <w:lang w:eastAsia="he-IL"/>
              </w:rPr>
              <w:t xml:space="preserve"> </w:t>
            </w:r>
            <w:r w:rsidRPr="00F4410B">
              <w:rPr>
                <w:rFonts w:hint="cs"/>
                <w:color w:val="000000"/>
                <w:sz w:val="18"/>
                <w:szCs w:val="18"/>
                <w:rtl/>
                <w:lang w:eastAsia="he-IL"/>
              </w:rPr>
              <w:t>מזה:</w:t>
            </w:r>
          </w:p>
        </w:tc>
        <w:tc>
          <w:tcPr>
            <w:tcW w:w="748" w:type="dxa"/>
            <w:vAlign w:val="bottom"/>
          </w:tcPr>
          <w:p w14:paraId="409D9097" w14:textId="77777777" w:rsidR="00847BF8" w:rsidRPr="00F4410B" w:rsidRDefault="00847BF8" w:rsidP="00FF08D1">
            <w:pPr>
              <w:spacing w:line="241" w:lineRule="auto"/>
              <w:rPr>
                <w:sz w:val="18"/>
                <w:szCs w:val="18"/>
                <w:rtl/>
              </w:rPr>
            </w:pPr>
          </w:p>
        </w:tc>
        <w:tc>
          <w:tcPr>
            <w:tcW w:w="762" w:type="dxa"/>
            <w:vAlign w:val="bottom"/>
          </w:tcPr>
          <w:p w14:paraId="77C0BFAD" w14:textId="77777777" w:rsidR="00847BF8" w:rsidRPr="00F4410B" w:rsidRDefault="00847BF8" w:rsidP="00FF08D1">
            <w:pPr>
              <w:spacing w:line="241" w:lineRule="auto"/>
              <w:rPr>
                <w:sz w:val="18"/>
                <w:szCs w:val="18"/>
                <w:rtl/>
              </w:rPr>
            </w:pPr>
          </w:p>
        </w:tc>
        <w:tc>
          <w:tcPr>
            <w:tcW w:w="884" w:type="dxa"/>
            <w:vAlign w:val="bottom"/>
          </w:tcPr>
          <w:p w14:paraId="38865359" w14:textId="77777777" w:rsidR="00847BF8" w:rsidRPr="00F4410B" w:rsidRDefault="00847BF8" w:rsidP="00FF08D1">
            <w:pPr>
              <w:spacing w:line="241" w:lineRule="auto"/>
              <w:rPr>
                <w:sz w:val="18"/>
                <w:szCs w:val="18"/>
                <w:rtl/>
              </w:rPr>
            </w:pPr>
          </w:p>
        </w:tc>
        <w:tc>
          <w:tcPr>
            <w:tcW w:w="739" w:type="dxa"/>
            <w:vAlign w:val="bottom"/>
          </w:tcPr>
          <w:p w14:paraId="14384EC8" w14:textId="77777777" w:rsidR="00847BF8" w:rsidRPr="00F4410B" w:rsidRDefault="00847BF8" w:rsidP="00FF08D1">
            <w:pPr>
              <w:spacing w:line="241" w:lineRule="auto"/>
              <w:rPr>
                <w:sz w:val="18"/>
                <w:szCs w:val="18"/>
                <w:rtl/>
              </w:rPr>
            </w:pPr>
          </w:p>
        </w:tc>
        <w:tc>
          <w:tcPr>
            <w:tcW w:w="944" w:type="dxa"/>
            <w:vAlign w:val="bottom"/>
          </w:tcPr>
          <w:p w14:paraId="4F331324" w14:textId="77777777" w:rsidR="00847BF8" w:rsidRDefault="00847BF8" w:rsidP="00FF08D1">
            <w:pPr>
              <w:spacing w:line="241" w:lineRule="auto"/>
              <w:rPr>
                <w:sz w:val="18"/>
                <w:szCs w:val="18"/>
                <w:rtl/>
              </w:rPr>
            </w:pPr>
          </w:p>
        </w:tc>
        <w:tc>
          <w:tcPr>
            <w:tcW w:w="667" w:type="dxa"/>
            <w:gridSpan w:val="2"/>
            <w:vAlign w:val="bottom"/>
          </w:tcPr>
          <w:p w14:paraId="757226AA" w14:textId="77777777" w:rsidR="00847BF8" w:rsidRDefault="00847BF8" w:rsidP="00FF08D1">
            <w:pPr>
              <w:spacing w:line="241" w:lineRule="auto"/>
              <w:rPr>
                <w:sz w:val="18"/>
                <w:szCs w:val="18"/>
                <w:rtl/>
              </w:rPr>
            </w:pPr>
          </w:p>
        </w:tc>
      </w:tr>
      <w:tr w:rsidR="00EC4F42" w:rsidRPr="00F4410B" w14:paraId="4008D8B4" w14:textId="77777777" w:rsidTr="00AB0DD8">
        <w:trPr>
          <w:trHeight w:val="245"/>
        </w:trPr>
        <w:tc>
          <w:tcPr>
            <w:tcW w:w="1077" w:type="dxa"/>
          </w:tcPr>
          <w:p w14:paraId="0287F44C" w14:textId="77777777" w:rsidR="00EC4F42" w:rsidRPr="00F4410B" w:rsidRDefault="00EC4F42" w:rsidP="00EC4F42">
            <w:pPr>
              <w:spacing w:line="241" w:lineRule="auto"/>
              <w:ind w:left="432" w:right="-284" w:hanging="144"/>
              <w:jc w:val="left"/>
              <w:rPr>
                <w:color w:val="000000"/>
                <w:spacing w:val="-6"/>
                <w:rtl/>
                <w:lang w:eastAsia="he-IL"/>
              </w:rPr>
            </w:pPr>
          </w:p>
        </w:tc>
        <w:tc>
          <w:tcPr>
            <w:tcW w:w="450" w:type="dxa"/>
          </w:tcPr>
          <w:p w14:paraId="34B3B338" w14:textId="77777777" w:rsidR="00EC4F42" w:rsidRPr="00F4410B" w:rsidRDefault="00EC4F42" w:rsidP="00EC4F42">
            <w:pPr>
              <w:spacing w:line="241" w:lineRule="auto"/>
              <w:ind w:left="432" w:hanging="144"/>
              <w:jc w:val="left"/>
              <w:rPr>
                <w:color w:val="000000"/>
                <w:rtl/>
                <w:lang w:eastAsia="he-IL"/>
              </w:rPr>
            </w:pPr>
          </w:p>
        </w:tc>
        <w:tc>
          <w:tcPr>
            <w:tcW w:w="3443" w:type="dxa"/>
            <w:vAlign w:val="bottom"/>
          </w:tcPr>
          <w:p w14:paraId="6CEF3A3E" w14:textId="62390915" w:rsidR="00EC4F42" w:rsidRPr="00F4410B" w:rsidRDefault="00EC4F42" w:rsidP="00512110">
            <w:pPr>
              <w:spacing w:line="241" w:lineRule="auto"/>
              <w:ind w:left="144"/>
              <w:jc w:val="left"/>
              <w:rPr>
                <w:b/>
                <w:bCs/>
                <w:color w:val="000000"/>
                <w:sz w:val="18"/>
                <w:szCs w:val="18"/>
                <w:rtl/>
                <w:lang w:eastAsia="he-IL"/>
              </w:rPr>
            </w:pPr>
            <w:r w:rsidRPr="00012157">
              <w:rPr>
                <w:rFonts w:hint="cs"/>
                <w:color w:val="000000"/>
                <w:sz w:val="18"/>
                <w:szCs w:val="18"/>
                <w:rtl/>
                <w:lang w:eastAsia="he-IL"/>
              </w:rPr>
              <w:t xml:space="preserve">חובות לא צוברים </w:t>
            </w:r>
          </w:p>
        </w:tc>
        <w:tc>
          <w:tcPr>
            <w:tcW w:w="748" w:type="dxa"/>
            <w:vAlign w:val="bottom"/>
          </w:tcPr>
          <w:p w14:paraId="309A57A2" w14:textId="443ABE7A" w:rsidR="00EC4F42" w:rsidRPr="00F4410B" w:rsidRDefault="00EC4F42" w:rsidP="00EC4F42">
            <w:pPr>
              <w:spacing w:line="241" w:lineRule="auto"/>
              <w:rPr>
                <w:sz w:val="18"/>
                <w:szCs w:val="18"/>
                <w:rtl/>
              </w:rPr>
            </w:pPr>
            <w:r w:rsidRPr="009E7447">
              <w:rPr>
                <w:sz w:val="18"/>
                <w:szCs w:val="18"/>
                <w:rtl/>
              </w:rPr>
              <w:t xml:space="preserve"> 0</w:t>
            </w:r>
          </w:p>
        </w:tc>
        <w:tc>
          <w:tcPr>
            <w:tcW w:w="762" w:type="dxa"/>
            <w:vAlign w:val="bottom"/>
          </w:tcPr>
          <w:p w14:paraId="2C20A61D" w14:textId="475A987D" w:rsidR="00EC4F42" w:rsidRPr="00F4410B" w:rsidRDefault="00EC4F42" w:rsidP="00EC4F42">
            <w:pPr>
              <w:spacing w:line="241" w:lineRule="auto"/>
              <w:rPr>
                <w:sz w:val="18"/>
                <w:szCs w:val="18"/>
                <w:rtl/>
              </w:rPr>
            </w:pPr>
            <w:r w:rsidRPr="009E7447">
              <w:rPr>
                <w:sz w:val="18"/>
                <w:szCs w:val="18"/>
                <w:rtl/>
              </w:rPr>
              <w:t xml:space="preserve"> 0</w:t>
            </w:r>
          </w:p>
        </w:tc>
        <w:tc>
          <w:tcPr>
            <w:tcW w:w="884" w:type="dxa"/>
            <w:vAlign w:val="bottom"/>
          </w:tcPr>
          <w:p w14:paraId="7B916C37" w14:textId="75ADC5EE" w:rsidR="00EC4F42" w:rsidRPr="00F4410B" w:rsidRDefault="00EC4F42" w:rsidP="00EC4F42">
            <w:pPr>
              <w:spacing w:line="241" w:lineRule="auto"/>
              <w:rPr>
                <w:sz w:val="18"/>
                <w:szCs w:val="18"/>
                <w:rtl/>
              </w:rPr>
            </w:pPr>
            <w:r w:rsidRPr="009E7447">
              <w:rPr>
                <w:sz w:val="18"/>
                <w:szCs w:val="18"/>
                <w:rtl/>
              </w:rPr>
              <w:t xml:space="preserve"> 0</w:t>
            </w:r>
          </w:p>
        </w:tc>
        <w:tc>
          <w:tcPr>
            <w:tcW w:w="739" w:type="dxa"/>
            <w:vAlign w:val="bottom"/>
          </w:tcPr>
          <w:p w14:paraId="14F17757" w14:textId="5C086782" w:rsidR="00EC4F42" w:rsidRPr="00F4410B" w:rsidRDefault="00EC4F42" w:rsidP="00EC4F42">
            <w:pPr>
              <w:spacing w:line="241" w:lineRule="auto"/>
              <w:rPr>
                <w:sz w:val="18"/>
                <w:szCs w:val="18"/>
                <w:rtl/>
              </w:rPr>
            </w:pPr>
            <w:r w:rsidRPr="009E7447">
              <w:rPr>
                <w:sz w:val="18"/>
                <w:szCs w:val="18"/>
                <w:rtl/>
              </w:rPr>
              <w:t xml:space="preserve"> 0</w:t>
            </w:r>
          </w:p>
        </w:tc>
        <w:tc>
          <w:tcPr>
            <w:tcW w:w="944" w:type="dxa"/>
            <w:vAlign w:val="bottom"/>
          </w:tcPr>
          <w:p w14:paraId="0E7BF3BD" w14:textId="153D9940" w:rsidR="00EC4F42" w:rsidRDefault="00EC4F42" w:rsidP="00EC4F42">
            <w:pPr>
              <w:spacing w:line="241" w:lineRule="auto"/>
              <w:rPr>
                <w:sz w:val="18"/>
                <w:szCs w:val="18"/>
                <w:rtl/>
              </w:rPr>
            </w:pPr>
            <w:r w:rsidRPr="009E7447">
              <w:rPr>
                <w:sz w:val="18"/>
                <w:szCs w:val="18"/>
                <w:rtl/>
              </w:rPr>
              <w:t xml:space="preserve"> 0</w:t>
            </w:r>
          </w:p>
        </w:tc>
        <w:tc>
          <w:tcPr>
            <w:tcW w:w="667" w:type="dxa"/>
            <w:gridSpan w:val="2"/>
            <w:vAlign w:val="bottom"/>
          </w:tcPr>
          <w:p w14:paraId="444256CD" w14:textId="12F0ED51" w:rsidR="00EC4F42" w:rsidRDefault="00EC4F42" w:rsidP="00EC4F42">
            <w:pPr>
              <w:spacing w:line="241" w:lineRule="auto"/>
              <w:rPr>
                <w:sz w:val="18"/>
                <w:szCs w:val="18"/>
                <w:rtl/>
              </w:rPr>
            </w:pPr>
            <w:r w:rsidRPr="009E7447">
              <w:rPr>
                <w:sz w:val="18"/>
                <w:szCs w:val="18"/>
                <w:rtl/>
              </w:rPr>
              <w:t xml:space="preserve"> 0</w:t>
            </w:r>
          </w:p>
        </w:tc>
      </w:tr>
      <w:tr w:rsidR="00EC4F42" w:rsidRPr="00F4410B" w14:paraId="03AE46FC" w14:textId="77777777" w:rsidTr="00AB0DD8">
        <w:trPr>
          <w:trHeight w:val="245"/>
        </w:trPr>
        <w:tc>
          <w:tcPr>
            <w:tcW w:w="1077" w:type="dxa"/>
          </w:tcPr>
          <w:p w14:paraId="629AD78E" w14:textId="77777777" w:rsidR="00EC4F42" w:rsidRPr="00F4410B" w:rsidRDefault="00EC4F42" w:rsidP="00EC4F42">
            <w:pPr>
              <w:spacing w:line="241" w:lineRule="auto"/>
              <w:ind w:left="432" w:right="-284" w:hanging="144"/>
              <w:jc w:val="left"/>
              <w:rPr>
                <w:color w:val="000000"/>
                <w:spacing w:val="-6"/>
                <w:rtl/>
                <w:lang w:eastAsia="he-IL"/>
              </w:rPr>
            </w:pPr>
          </w:p>
        </w:tc>
        <w:tc>
          <w:tcPr>
            <w:tcW w:w="450" w:type="dxa"/>
          </w:tcPr>
          <w:p w14:paraId="694C57D9" w14:textId="77777777" w:rsidR="00EC4F42" w:rsidRPr="00F4410B" w:rsidRDefault="00EC4F42" w:rsidP="00EC4F42">
            <w:pPr>
              <w:spacing w:line="241" w:lineRule="auto"/>
              <w:ind w:left="432" w:hanging="144"/>
              <w:jc w:val="left"/>
              <w:rPr>
                <w:color w:val="000000"/>
                <w:rtl/>
                <w:lang w:eastAsia="he-IL"/>
              </w:rPr>
            </w:pPr>
          </w:p>
        </w:tc>
        <w:tc>
          <w:tcPr>
            <w:tcW w:w="3443" w:type="dxa"/>
            <w:vAlign w:val="bottom"/>
          </w:tcPr>
          <w:p w14:paraId="30D303F0" w14:textId="0EFA369C" w:rsidR="00EC4F42" w:rsidRPr="00012157" w:rsidRDefault="00EC4F42" w:rsidP="00512110">
            <w:pPr>
              <w:spacing w:line="241" w:lineRule="auto"/>
              <w:ind w:left="144"/>
              <w:jc w:val="left"/>
              <w:rPr>
                <w:color w:val="000000"/>
                <w:sz w:val="18"/>
                <w:szCs w:val="18"/>
                <w:rtl/>
                <w:lang w:eastAsia="he-IL"/>
              </w:rPr>
            </w:pPr>
            <w:r w:rsidRPr="00317F17">
              <w:rPr>
                <w:rFonts w:hint="cs"/>
                <w:color w:val="000000"/>
                <w:sz w:val="18"/>
                <w:szCs w:val="18"/>
                <w:rtl/>
                <w:lang w:eastAsia="he-IL"/>
              </w:rPr>
              <w:t>חובות בפיגור 90 ימים או יותר</w:t>
            </w:r>
          </w:p>
        </w:tc>
        <w:tc>
          <w:tcPr>
            <w:tcW w:w="748" w:type="dxa"/>
            <w:vAlign w:val="bottom"/>
          </w:tcPr>
          <w:p w14:paraId="2A4ADB71" w14:textId="300DC46E" w:rsidR="00EC4F42" w:rsidRPr="009E7447" w:rsidRDefault="00EC4F42" w:rsidP="00EC4F42">
            <w:pPr>
              <w:spacing w:line="241" w:lineRule="auto"/>
              <w:rPr>
                <w:sz w:val="18"/>
                <w:szCs w:val="18"/>
                <w:rtl/>
              </w:rPr>
            </w:pPr>
            <w:r w:rsidRPr="009E7447">
              <w:rPr>
                <w:rFonts w:hint="cs"/>
                <w:sz w:val="18"/>
                <w:szCs w:val="18"/>
                <w:rtl/>
              </w:rPr>
              <w:t xml:space="preserve"> 0</w:t>
            </w:r>
          </w:p>
        </w:tc>
        <w:tc>
          <w:tcPr>
            <w:tcW w:w="762" w:type="dxa"/>
            <w:vAlign w:val="bottom"/>
          </w:tcPr>
          <w:p w14:paraId="14D13BF2" w14:textId="1B358DEC" w:rsidR="00EC4F42" w:rsidRPr="009E7447" w:rsidRDefault="00EC4F42" w:rsidP="00EC4F42">
            <w:pPr>
              <w:spacing w:line="241" w:lineRule="auto"/>
              <w:rPr>
                <w:sz w:val="18"/>
                <w:szCs w:val="18"/>
                <w:rtl/>
              </w:rPr>
            </w:pPr>
            <w:r w:rsidRPr="009E7447">
              <w:rPr>
                <w:rFonts w:hint="cs"/>
                <w:sz w:val="18"/>
                <w:szCs w:val="18"/>
                <w:rtl/>
              </w:rPr>
              <w:t xml:space="preserve"> 0</w:t>
            </w:r>
          </w:p>
        </w:tc>
        <w:tc>
          <w:tcPr>
            <w:tcW w:w="884" w:type="dxa"/>
            <w:vAlign w:val="bottom"/>
          </w:tcPr>
          <w:p w14:paraId="39F567BD" w14:textId="70926807" w:rsidR="00EC4F42" w:rsidRPr="009E7447" w:rsidRDefault="00EC4F42" w:rsidP="00EC4F42">
            <w:pPr>
              <w:spacing w:line="241" w:lineRule="auto"/>
              <w:rPr>
                <w:sz w:val="18"/>
                <w:szCs w:val="18"/>
                <w:rtl/>
              </w:rPr>
            </w:pPr>
            <w:r w:rsidRPr="009E7447">
              <w:rPr>
                <w:rFonts w:hint="cs"/>
                <w:sz w:val="18"/>
                <w:szCs w:val="18"/>
                <w:rtl/>
              </w:rPr>
              <w:t xml:space="preserve"> 0</w:t>
            </w:r>
          </w:p>
        </w:tc>
        <w:tc>
          <w:tcPr>
            <w:tcW w:w="739" w:type="dxa"/>
            <w:vAlign w:val="bottom"/>
          </w:tcPr>
          <w:p w14:paraId="169999AD" w14:textId="3BADD7D1" w:rsidR="00EC4F42" w:rsidRPr="009E7447" w:rsidRDefault="00EC4F42" w:rsidP="00EC4F42">
            <w:pPr>
              <w:spacing w:line="241" w:lineRule="auto"/>
              <w:rPr>
                <w:sz w:val="18"/>
                <w:szCs w:val="18"/>
                <w:rtl/>
              </w:rPr>
            </w:pPr>
            <w:r w:rsidRPr="009E7447">
              <w:rPr>
                <w:rFonts w:hint="cs"/>
                <w:sz w:val="18"/>
                <w:szCs w:val="18"/>
                <w:rtl/>
              </w:rPr>
              <w:t xml:space="preserve"> 0</w:t>
            </w:r>
          </w:p>
        </w:tc>
        <w:tc>
          <w:tcPr>
            <w:tcW w:w="944" w:type="dxa"/>
            <w:vAlign w:val="bottom"/>
          </w:tcPr>
          <w:p w14:paraId="1DA9376C" w14:textId="173D4FC2" w:rsidR="00EC4F42" w:rsidRPr="009E7447" w:rsidRDefault="00EC4F42" w:rsidP="00EC4F42">
            <w:pPr>
              <w:spacing w:line="241" w:lineRule="auto"/>
              <w:rPr>
                <w:sz w:val="18"/>
                <w:szCs w:val="18"/>
                <w:rtl/>
              </w:rPr>
            </w:pPr>
            <w:r w:rsidRPr="009E7447">
              <w:rPr>
                <w:rFonts w:hint="cs"/>
                <w:sz w:val="18"/>
                <w:szCs w:val="18"/>
                <w:rtl/>
              </w:rPr>
              <w:t xml:space="preserve"> 0</w:t>
            </w:r>
          </w:p>
        </w:tc>
        <w:tc>
          <w:tcPr>
            <w:tcW w:w="667" w:type="dxa"/>
            <w:gridSpan w:val="2"/>
            <w:vAlign w:val="bottom"/>
          </w:tcPr>
          <w:p w14:paraId="7FBFFF33" w14:textId="26298F5C" w:rsidR="00EC4F42" w:rsidRPr="009E7447" w:rsidRDefault="00EC4F42" w:rsidP="00EC4F42">
            <w:pPr>
              <w:spacing w:line="241" w:lineRule="auto"/>
              <w:rPr>
                <w:sz w:val="18"/>
                <w:szCs w:val="18"/>
                <w:rtl/>
              </w:rPr>
            </w:pPr>
            <w:r w:rsidRPr="009E7447">
              <w:rPr>
                <w:rFonts w:hint="cs"/>
                <w:sz w:val="18"/>
                <w:szCs w:val="18"/>
                <w:rtl/>
              </w:rPr>
              <w:t xml:space="preserve"> 0</w:t>
            </w:r>
          </w:p>
        </w:tc>
      </w:tr>
      <w:tr w:rsidR="00EC4F42" w:rsidRPr="00F4410B" w14:paraId="03F39C57" w14:textId="77777777" w:rsidTr="00AB0DD8">
        <w:trPr>
          <w:trHeight w:val="245"/>
        </w:trPr>
        <w:tc>
          <w:tcPr>
            <w:tcW w:w="1077" w:type="dxa"/>
          </w:tcPr>
          <w:p w14:paraId="2E6E5040" w14:textId="77777777" w:rsidR="00EC4F42" w:rsidRPr="00F4410B" w:rsidRDefault="00EC4F42" w:rsidP="00EC4F42">
            <w:pPr>
              <w:spacing w:line="241" w:lineRule="auto"/>
              <w:ind w:left="432" w:right="-284" w:hanging="144"/>
              <w:jc w:val="left"/>
              <w:rPr>
                <w:color w:val="000000"/>
                <w:spacing w:val="-6"/>
                <w:rtl/>
                <w:lang w:eastAsia="he-IL"/>
              </w:rPr>
            </w:pPr>
          </w:p>
        </w:tc>
        <w:tc>
          <w:tcPr>
            <w:tcW w:w="450" w:type="dxa"/>
          </w:tcPr>
          <w:p w14:paraId="59097F70" w14:textId="77777777" w:rsidR="00EC4F42" w:rsidRPr="00F4410B" w:rsidRDefault="00EC4F42" w:rsidP="00EC4F42">
            <w:pPr>
              <w:spacing w:line="241" w:lineRule="auto"/>
              <w:ind w:left="432" w:hanging="144"/>
              <w:jc w:val="left"/>
              <w:rPr>
                <w:color w:val="000000"/>
                <w:rtl/>
                <w:lang w:eastAsia="he-IL"/>
              </w:rPr>
            </w:pPr>
          </w:p>
        </w:tc>
        <w:tc>
          <w:tcPr>
            <w:tcW w:w="3443" w:type="dxa"/>
            <w:vAlign w:val="bottom"/>
          </w:tcPr>
          <w:p w14:paraId="5C6AE3DF" w14:textId="4077E558" w:rsidR="00EC4F42" w:rsidRPr="00F4410B" w:rsidRDefault="00EC4F42" w:rsidP="00512110">
            <w:pPr>
              <w:spacing w:line="241" w:lineRule="auto"/>
              <w:ind w:left="144"/>
              <w:jc w:val="left"/>
              <w:rPr>
                <w:color w:val="000000"/>
                <w:sz w:val="18"/>
                <w:szCs w:val="18"/>
                <w:rtl/>
                <w:lang w:eastAsia="he-IL"/>
              </w:rPr>
            </w:pPr>
            <w:r w:rsidRPr="00317F17">
              <w:rPr>
                <w:rFonts w:hint="cs"/>
                <w:color w:val="000000"/>
                <w:sz w:val="18"/>
                <w:szCs w:val="18"/>
                <w:rtl/>
                <w:lang w:eastAsia="he-IL"/>
              </w:rPr>
              <w:t>חובות בעייתיים אחרים</w:t>
            </w:r>
          </w:p>
        </w:tc>
        <w:tc>
          <w:tcPr>
            <w:tcW w:w="748" w:type="dxa"/>
            <w:vAlign w:val="bottom"/>
          </w:tcPr>
          <w:p w14:paraId="0BB4C957" w14:textId="1428A73F" w:rsidR="00EC4F42" w:rsidRPr="00F4410B" w:rsidRDefault="00EC4F42" w:rsidP="00EC4F42">
            <w:pPr>
              <w:pBdr>
                <w:bottom w:val="single" w:sz="4" w:space="1" w:color="auto"/>
              </w:pBdr>
              <w:spacing w:line="241" w:lineRule="auto"/>
              <w:rPr>
                <w:b/>
                <w:bCs/>
                <w:sz w:val="18"/>
                <w:szCs w:val="18"/>
                <w:rtl/>
              </w:rPr>
            </w:pPr>
            <w:r w:rsidRPr="009E7447">
              <w:rPr>
                <w:rFonts w:hint="cs"/>
                <w:sz w:val="18"/>
                <w:szCs w:val="18"/>
                <w:rtl/>
              </w:rPr>
              <w:t xml:space="preserve"> 0</w:t>
            </w:r>
          </w:p>
        </w:tc>
        <w:tc>
          <w:tcPr>
            <w:tcW w:w="762" w:type="dxa"/>
            <w:vAlign w:val="bottom"/>
          </w:tcPr>
          <w:p w14:paraId="319CD497" w14:textId="2A7D826D" w:rsidR="00EC4F42" w:rsidRPr="00F4410B" w:rsidRDefault="00EC4F42" w:rsidP="00EC4F42">
            <w:pPr>
              <w:pBdr>
                <w:bottom w:val="single" w:sz="4" w:space="1" w:color="auto"/>
              </w:pBdr>
              <w:spacing w:line="241" w:lineRule="auto"/>
              <w:rPr>
                <w:b/>
                <w:bCs/>
                <w:sz w:val="18"/>
                <w:szCs w:val="18"/>
                <w:rtl/>
              </w:rPr>
            </w:pPr>
            <w:r w:rsidRPr="009E7447">
              <w:rPr>
                <w:rFonts w:hint="cs"/>
                <w:sz w:val="18"/>
                <w:szCs w:val="18"/>
                <w:rtl/>
              </w:rPr>
              <w:t xml:space="preserve"> 0</w:t>
            </w:r>
          </w:p>
        </w:tc>
        <w:tc>
          <w:tcPr>
            <w:tcW w:w="884" w:type="dxa"/>
            <w:vAlign w:val="bottom"/>
          </w:tcPr>
          <w:p w14:paraId="6894715B" w14:textId="4AE0DA42" w:rsidR="00EC4F42" w:rsidRPr="00F4410B" w:rsidRDefault="00EC4F42" w:rsidP="00EC4F42">
            <w:pPr>
              <w:pBdr>
                <w:bottom w:val="single" w:sz="4" w:space="1" w:color="auto"/>
              </w:pBdr>
              <w:spacing w:line="241" w:lineRule="auto"/>
              <w:rPr>
                <w:b/>
                <w:bCs/>
                <w:sz w:val="18"/>
                <w:szCs w:val="18"/>
                <w:rtl/>
              </w:rPr>
            </w:pPr>
            <w:r w:rsidRPr="009E7447">
              <w:rPr>
                <w:rFonts w:hint="cs"/>
                <w:sz w:val="18"/>
                <w:szCs w:val="18"/>
                <w:rtl/>
              </w:rPr>
              <w:t xml:space="preserve"> 0</w:t>
            </w:r>
          </w:p>
        </w:tc>
        <w:tc>
          <w:tcPr>
            <w:tcW w:w="739" w:type="dxa"/>
            <w:vAlign w:val="bottom"/>
          </w:tcPr>
          <w:p w14:paraId="21CD9B5C" w14:textId="45E2A09D" w:rsidR="00EC4F42" w:rsidRPr="00F4410B" w:rsidRDefault="00EC4F42" w:rsidP="00EC4F42">
            <w:pPr>
              <w:pBdr>
                <w:bottom w:val="single" w:sz="4" w:space="1" w:color="auto"/>
              </w:pBdr>
              <w:spacing w:line="241" w:lineRule="auto"/>
              <w:rPr>
                <w:b/>
                <w:bCs/>
                <w:sz w:val="18"/>
                <w:szCs w:val="18"/>
                <w:rtl/>
              </w:rPr>
            </w:pPr>
            <w:r w:rsidRPr="009E7447">
              <w:rPr>
                <w:rFonts w:hint="cs"/>
                <w:sz w:val="18"/>
                <w:szCs w:val="18"/>
                <w:rtl/>
              </w:rPr>
              <w:t xml:space="preserve"> 0</w:t>
            </w:r>
          </w:p>
        </w:tc>
        <w:tc>
          <w:tcPr>
            <w:tcW w:w="944" w:type="dxa"/>
            <w:vAlign w:val="bottom"/>
          </w:tcPr>
          <w:p w14:paraId="67CDD017" w14:textId="6B227526" w:rsidR="00EC4F42" w:rsidRDefault="00EC4F42" w:rsidP="00EC4F42">
            <w:pPr>
              <w:pBdr>
                <w:bottom w:val="single" w:sz="4" w:space="1" w:color="auto"/>
              </w:pBdr>
              <w:spacing w:line="241" w:lineRule="auto"/>
              <w:rPr>
                <w:b/>
                <w:bCs/>
                <w:sz w:val="18"/>
                <w:szCs w:val="18"/>
                <w:rtl/>
              </w:rPr>
            </w:pPr>
            <w:r w:rsidRPr="009E7447">
              <w:rPr>
                <w:rFonts w:hint="cs"/>
                <w:sz w:val="18"/>
                <w:szCs w:val="18"/>
                <w:rtl/>
              </w:rPr>
              <w:t xml:space="preserve"> 0</w:t>
            </w:r>
          </w:p>
        </w:tc>
        <w:tc>
          <w:tcPr>
            <w:tcW w:w="667" w:type="dxa"/>
            <w:gridSpan w:val="2"/>
            <w:vAlign w:val="bottom"/>
          </w:tcPr>
          <w:p w14:paraId="5DB500FC" w14:textId="10DAE3AA" w:rsidR="00EC4F42" w:rsidRDefault="00EC4F42" w:rsidP="00EC4F42">
            <w:pPr>
              <w:pBdr>
                <w:bottom w:val="single" w:sz="4" w:space="1" w:color="auto"/>
              </w:pBdr>
              <w:spacing w:line="241" w:lineRule="auto"/>
              <w:rPr>
                <w:b/>
                <w:bCs/>
                <w:sz w:val="18"/>
                <w:szCs w:val="18"/>
                <w:rtl/>
              </w:rPr>
            </w:pPr>
            <w:r w:rsidRPr="009E7447">
              <w:rPr>
                <w:rFonts w:hint="cs"/>
                <w:sz w:val="18"/>
                <w:szCs w:val="18"/>
                <w:rtl/>
              </w:rPr>
              <w:t xml:space="preserve"> 0</w:t>
            </w:r>
          </w:p>
        </w:tc>
      </w:tr>
      <w:tr w:rsidR="00EC4F42" w:rsidRPr="00F4410B" w14:paraId="0399A028" w14:textId="77777777" w:rsidTr="00AB0DD8">
        <w:trPr>
          <w:trHeight w:val="329"/>
        </w:trPr>
        <w:tc>
          <w:tcPr>
            <w:tcW w:w="1077" w:type="dxa"/>
          </w:tcPr>
          <w:p w14:paraId="33C17273" w14:textId="77777777" w:rsidR="00EC4F42" w:rsidRPr="00F4410B" w:rsidRDefault="00EC4F42" w:rsidP="00EC4F42">
            <w:pPr>
              <w:spacing w:line="241" w:lineRule="auto"/>
              <w:ind w:left="432" w:right="-284" w:hanging="144"/>
              <w:jc w:val="left"/>
              <w:rPr>
                <w:color w:val="000000"/>
                <w:spacing w:val="-6"/>
                <w:rtl/>
                <w:lang w:eastAsia="he-IL"/>
              </w:rPr>
            </w:pPr>
          </w:p>
        </w:tc>
        <w:tc>
          <w:tcPr>
            <w:tcW w:w="450" w:type="dxa"/>
          </w:tcPr>
          <w:p w14:paraId="1F506C23" w14:textId="77777777" w:rsidR="00EC4F42" w:rsidRPr="00F4410B" w:rsidRDefault="00EC4F42" w:rsidP="00EC4F42">
            <w:pPr>
              <w:spacing w:line="241" w:lineRule="auto"/>
              <w:ind w:left="432" w:hanging="144"/>
              <w:jc w:val="left"/>
              <w:rPr>
                <w:color w:val="000000"/>
                <w:rtl/>
                <w:lang w:eastAsia="he-IL"/>
              </w:rPr>
            </w:pPr>
          </w:p>
        </w:tc>
        <w:tc>
          <w:tcPr>
            <w:tcW w:w="3443" w:type="dxa"/>
            <w:vAlign w:val="center"/>
          </w:tcPr>
          <w:p w14:paraId="6B5143B1" w14:textId="477FEBEC" w:rsidR="00EC4F42" w:rsidRPr="00512110" w:rsidRDefault="00EC4F42" w:rsidP="00512110">
            <w:pPr>
              <w:spacing w:line="241" w:lineRule="auto"/>
              <w:ind w:left="144"/>
              <w:jc w:val="left"/>
              <w:rPr>
                <w:color w:val="000000"/>
                <w:sz w:val="18"/>
                <w:szCs w:val="18"/>
                <w:lang w:eastAsia="he-IL"/>
              </w:rPr>
            </w:pPr>
            <w:r w:rsidRPr="00512110">
              <w:rPr>
                <w:rFonts w:hint="eastAsia"/>
                <w:color w:val="000000"/>
                <w:sz w:val="18"/>
                <w:szCs w:val="18"/>
                <w:rtl/>
                <w:lang w:eastAsia="he-IL"/>
              </w:rPr>
              <w:t>סך</w:t>
            </w:r>
            <w:r w:rsidRPr="00512110">
              <w:rPr>
                <w:color w:val="000000"/>
                <w:sz w:val="18"/>
                <w:szCs w:val="18"/>
                <w:rtl/>
                <w:lang w:eastAsia="he-IL"/>
              </w:rPr>
              <w:t xml:space="preserve"> </w:t>
            </w:r>
            <w:r w:rsidRPr="00512110">
              <w:rPr>
                <w:rFonts w:hint="eastAsia"/>
                <w:color w:val="000000"/>
                <w:sz w:val="18"/>
                <w:szCs w:val="18"/>
                <w:rtl/>
                <w:lang w:eastAsia="he-IL"/>
              </w:rPr>
              <w:t>הכל</w:t>
            </w:r>
            <w:r w:rsidRPr="00512110">
              <w:rPr>
                <w:color w:val="000000"/>
                <w:sz w:val="18"/>
                <w:szCs w:val="18"/>
                <w:rtl/>
                <w:lang w:eastAsia="he-IL"/>
              </w:rPr>
              <w:t xml:space="preserve"> חובות בעייתיים</w:t>
            </w:r>
          </w:p>
        </w:tc>
        <w:tc>
          <w:tcPr>
            <w:tcW w:w="748" w:type="dxa"/>
            <w:vAlign w:val="center"/>
          </w:tcPr>
          <w:p w14:paraId="279EDA5C" w14:textId="626625EA" w:rsidR="00EC4F42" w:rsidRPr="00F4410B" w:rsidRDefault="00EC4F42" w:rsidP="00512110">
            <w:pPr>
              <w:spacing w:line="241" w:lineRule="auto"/>
              <w:jc w:val="left"/>
              <w:rPr>
                <w:b/>
                <w:bCs/>
                <w:sz w:val="18"/>
                <w:szCs w:val="18"/>
                <w:rtl/>
              </w:rPr>
            </w:pPr>
            <w:r w:rsidRPr="009E7447">
              <w:rPr>
                <w:rFonts w:hint="cs"/>
                <w:sz w:val="18"/>
                <w:szCs w:val="18"/>
                <w:rtl/>
              </w:rPr>
              <w:t xml:space="preserve"> 0</w:t>
            </w:r>
          </w:p>
        </w:tc>
        <w:tc>
          <w:tcPr>
            <w:tcW w:w="762" w:type="dxa"/>
            <w:vAlign w:val="center"/>
          </w:tcPr>
          <w:p w14:paraId="142BB50B" w14:textId="60BB2FA5" w:rsidR="00EC4F42" w:rsidRPr="00F4410B" w:rsidRDefault="00EC4F42" w:rsidP="00512110">
            <w:pPr>
              <w:spacing w:line="241" w:lineRule="auto"/>
              <w:jc w:val="left"/>
              <w:rPr>
                <w:b/>
                <w:bCs/>
                <w:sz w:val="18"/>
                <w:szCs w:val="18"/>
                <w:rtl/>
              </w:rPr>
            </w:pPr>
            <w:r w:rsidRPr="009E7447">
              <w:rPr>
                <w:rFonts w:hint="cs"/>
                <w:sz w:val="18"/>
                <w:szCs w:val="18"/>
                <w:rtl/>
              </w:rPr>
              <w:t xml:space="preserve"> 0</w:t>
            </w:r>
          </w:p>
        </w:tc>
        <w:tc>
          <w:tcPr>
            <w:tcW w:w="884" w:type="dxa"/>
            <w:vAlign w:val="center"/>
          </w:tcPr>
          <w:p w14:paraId="6BCD349F" w14:textId="4619811B" w:rsidR="00EC4F42" w:rsidRPr="00F4410B" w:rsidRDefault="00EC4F42" w:rsidP="00512110">
            <w:pPr>
              <w:spacing w:line="241" w:lineRule="auto"/>
              <w:jc w:val="left"/>
              <w:rPr>
                <w:b/>
                <w:bCs/>
                <w:sz w:val="18"/>
                <w:szCs w:val="18"/>
                <w:rtl/>
              </w:rPr>
            </w:pPr>
            <w:r w:rsidRPr="009E7447">
              <w:rPr>
                <w:rFonts w:hint="cs"/>
                <w:sz w:val="18"/>
                <w:szCs w:val="18"/>
                <w:rtl/>
              </w:rPr>
              <w:t xml:space="preserve"> 0</w:t>
            </w:r>
          </w:p>
        </w:tc>
        <w:tc>
          <w:tcPr>
            <w:tcW w:w="739" w:type="dxa"/>
            <w:vAlign w:val="center"/>
          </w:tcPr>
          <w:p w14:paraId="3A68987F" w14:textId="10398417" w:rsidR="00EC4F42" w:rsidRPr="00F4410B" w:rsidRDefault="00EC4F42" w:rsidP="00512110">
            <w:pPr>
              <w:spacing w:line="241" w:lineRule="auto"/>
              <w:jc w:val="left"/>
              <w:rPr>
                <w:b/>
                <w:bCs/>
                <w:sz w:val="18"/>
                <w:szCs w:val="18"/>
                <w:rtl/>
              </w:rPr>
            </w:pPr>
            <w:r w:rsidRPr="009E7447">
              <w:rPr>
                <w:rFonts w:hint="cs"/>
                <w:sz w:val="18"/>
                <w:szCs w:val="18"/>
                <w:rtl/>
              </w:rPr>
              <w:t xml:space="preserve"> 0</w:t>
            </w:r>
          </w:p>
        </w:tc>
        <w:tc>
          <w:tcPr>
            <w:tcW w:w="944" w:type="dxa"/>
            <w:vAlign w:val="center"/>
          </w:tcPr>
          <w:p w14:paraId="59AF06CB" w14:textId="07A5D537" w:rsidR="00EC4F42" w:rsidRDefault="00EC4F42" w:rsidP="00512110">
            <w:pPr>
              <w:spacing w:line="241" w:lineRule="auto"/>
              <w:jc w:val="left"/>
              <w:rPr>
                <w:b/>
                <w:bCs/>
                <w:sz w:val="18"/>
                <w:szCs w:val="18"/>
                <w:rtl/>
              </w:rPr>
            </w:pPr>
            <w:r w:rsidRPr="009E7447">
              <w:rPr>
                <w:rFonts w:hint="cs"/>
                <w:sz w:val="18"/>
                <w:szCs w:val="18"/>
                <w:rtl/>
              </w:rPr>
              <w:t xml:space="preserve"> 0</w:t>
            </w:r>
          </w:p>
        </w:tc>
        <w:tc>
          <w:tcPr>
            <w:tcW w:w="667" w:type="dxa"/>
            <w:gridSpan w:val="2"/>
            <w:vAlign w:val="center"/>
          </w:tcPr>
          <w:p w14:paraId="2AA47E9A" w14:textId="682601FA" w:rsidR="00EC4F42" w:rsidRDefault="00EC4F42" w:rsidP="00512110">
            <w:pPr>
              <w:spacing w:line="241" w:lineRule="auto"/>
              <w:jc w:val="left"/>
              <w:rPr>
                <w:b/>
                <w:bCs/>
                <w:sz w:val="18"/>
                <w:szCs w:val="18"/>
                <w:rtl/>
              </w:rPr>
            </w:pPr>
            <w:r w:rsidRPr="009E7447">
              <w:rPr>
                <w:rFonts w:hint="cs"/>
                <w:sz w:val="18"/>
                <w:szCs w:val="18"/>
                <w:rtl/>
              </w:rPr>
              <w:t xml:space="preserve"> 0</w:t>
            </w:r>
          </w:p>
        </w:tc>
      </w:tr>
      <w:tr w:rsidR="00EC4F42" w:rsidRPr="00F4410B" w14:paraId="2D39D490" w14:textId="77777777" w:rsidTr="00AB0DD8">
        <w:trPr>
          <w:trHeight w:hRule="exact" w:val="57"/>
        </w:trPr>
        <w:tc>
          <w:tcPr>
            <w:tcW w:w="1077" w:type="dxa"/>
          </w:tcPr>
          <w:p w14:paraId="4203A70E" w14:textId="77777777" w:rsidR="00EC4F42" w:rsidRPr="00F4410B" w:rsidRDefault="00EC4F42" w:rsidP="00EC4F42">
            <w:pPr>
              <w:spacing w:line="241" w:lineRule="auto"/>
              <w:ind w:left="432" w:right="-284" w:hanging="144"/>
              <w:jc w:val="left"/>
              <w:rPr>
                <w:color w:val="000000"/>
                <w:spacing w:val="-6"/>
                <w:rtl/>
                <w:lang w:eastAsia="he-IL"/>
              </w:rPr>
            </w:pPr>
          </w:p>
        </w:tc>
        <w:tc>
          <w:tcPr>
            <w:tcW w:w="450" w:type="dxa"/>
          </w:tcPr>
          <w:p w14:paraId="212CA6B2" w14:textId="77777777" w:rsidR="00EC4F42" w:rsidRPr="00F4410B" w:rsidRDefault="00EC4F42" w:rsidP="00EC4F42">
            <w:pPr>
              <w:spacing w:line="241" w:lineRule="auto"/>
              <w:ind w:left="432" w:hanging="144"/>
              <w:jc w:val="left"/>
              <w:rPr>
                <w:color w:val="000000"/>
                <w:rtl/>
                <w:lang w:eastAsia="he-IL"/>
              </w:rPr>
            </w:pPr>
          </w:p>
        </w:tc>
        <w:tc>
          <w:tcPr>
            <w:tcW w:w="3443" w:type="dxa"/>
            <w:vAlign w:val="bottom"/>
          </w:tcPr>
          <w:p w14:paraId="4903AFA3" w14:textId="77777777" w:rsidR="00EC4F42" w:rsidRPr="00317F17" w:rsidRDefault="00EC4F42" w:rsidP="00EC4F42">
            <w:pPr>
              <w:spacing w:line="241" w:lineRule="auto"/>
              <w:ind w:left="144" w:hanging="144"/>
              <w:jc w:val="left"/>
              <w:rPr>
                <w:b/>
                <w:bCs/>
                <w:color w:val="000000"/>
                <w:sz w:val="18"/>
                <w:szCs w:val="18"/>
                <w:rtl/>
                <w:lang w:eastAsia="he-IL"/>
              </w:rPr>
            </w:pPr>
          </w:p>
        </w:tc>
        <w:tc>
          <w:tcPr>
            <w:tcW w:w="748" w:type="dxa"/>
            <w:vAlign w:val="bottom"/>
          </w:tcPr>
          <w:p w14:paraId="2D75EA2A" w14:textId="77777777" w:rsidR="00EC4F42" w:rsidRPr="009E7447" w:rsidRDefault="00EC4F42" w:rsidP="00EC4F42">
            <w:pPr>
              <w:spacing w:line="241" w:lineRule="auto"/>
              <w:rPr>
                <w:sz w:val="18"/>
                <w:szCs w:val="18"/>
                <w:rtl/>
              </w:rPr>
            </w:pPr>
          </w:p>
        </w:tc>
        <w:tc>
          <w:tcPr>
            <w:tcW w:w="762" w:type="dxa"/>
            <w:vAlign w:val="bottom"/>
          </w:tcPr>
          <w:p w14:paraId="1FA520F4" w14:textId="77777777" w:rsidR="00EC4F42" w:rsidRPr="009E7447" w:rsidRDefault="00EC4F42" w:rsidP="00EC4F42">
            <w:pPr>
              <w:spacing w:line="241" w:lineRule="auto"/>
              <w:rPr>
                <w:sz w:val="18"/>
                <w:szCs w:val="18"/>
                <w:rtl/>
              </w:rPr>
            </w:pPr>
          </w:p>
        </w:tc>
        <w:tc>
          <w:tcPr>
            <w:tcW w:w="884" w:type="dxa"/>
            <w:vAlign w:val="bottom"/>
          </w:tcPr>
          <w:p w14:paraId="1CEE065C" w14:textId="77777777" w:rsidR="00EC4F42" w:rsidRPr="009E7447" w:rsidRDefault="00EC4F42" w:rsidP="00EC4F42">
            <w:pPr>
              <w:spacing w:line="241" w:lineRule="auto"/>
              <w:rPr>
                <w:sz w:val="18"/>
                <w:szCs w:val="18"/>
                <w:rtl/>
              </w:rPr>
            </w:pPr>
          </w:p>
        </w:tc>
        <w:tc>
          <w:tcPr>
            <w:tcW w:w="739" w:type="dxa"/>
            <w:vAlign w:val="bottom"/>
          </w:tcPr>
          <w:p w14:paraId="7276C977" w14:textId="77777777" w:rsidR="00EC4F42" w:rsidRPr="009E7447" w:rsidRDefault="00EC4F42" w:rsidP="00EC4F42">
            <w:pPr>
              <w:spacing w:line="241" w:lineRule="auto"/>
              <w:rPr>
                <w:sz w:val="18"/>
                <w:szCs w:val="18"/>
                <w:rtl/>
              </w:rPr>
            </w:pPr>
          </w:p>
        </w:tc>
        <w:tc>
          <w:tcPr>
            <w:tcW w:w="944" w:type="dxa"/>
            <w:vAlign w:val="bottom"/>
          </w:tcPr>
          <w:p w14:paraId="521BD676" w14:textId="77777777" w:rsidR="00EC4F42" w:rsidRPr="009E7447" w:rsidRDefault="00EC4F42" w:rsidP="00EC4F42">
            <w:pPr>
              <w:spacing w:line="241" w:lineRule="auto"/>
              <w:rPr>
                <w:sz w:val="18"/>
                <w:szCs w:val="18"/>
                <w:rtl/>
              </w:rPr>
            </w:pPr>
          </w:p>
        </w:tc>
        <w:tc>
          <w:tcPr>
            <w:tcW w:w="667" w:type="dxa"/>
            <w:gridSpan w:val="2"/>
            <w:vAlign w:val="bottom"/>
          </w:tcPr>
          <w:p w14:paraId="10FF4D01" w14:textId="77777777" w:rsidR="00EC4F42" w:rsidRPr="009E7447" w:rsidRDefault="00EC4F42" w:rsidP="00EC4F42">
            <w:pPr>
              <w:spacing w:line="241" w:lineRule="auto"/>
              <w:rPr>
                <w:sz w:val="18"/>
                <w:szCs w:val="18"/>
                <w:rtl/>
              </w:rPr>
            </w:pPr>
          </w:p>
        </w:tc>
      </w:tr>
      <w:tr w:rsidR="00EC4F42" w:rsidRPr="00F4410B" w14:paraId="0C2674D3" w14:textId="77777777" w:rsidTr="00AB0DD8">
        <w:trPr>
          <w:trHeight w:val="245"/>
        </w:trPr>
        <w:tc>
          <w:tcPr>
            <w:tcW w:w="1077" w:type="dxa"/>
          </w:tcPr>
          <w:p w14:paraId="015E8A13" w14:textId="77777777" w:rsidR="00EC4F42" w:rsidRPr="00F4410B" w:rsidRDefault="00EC4F42" w:rsidP="00EC4F42">
            <w:pPr>
              <w:spacing w:line="241" w:lineRule="auto"/>
              <w:ind w:left="432" w:right="-284" w:hanging="144"/>
              <w:jc w:val="left"/>
              <w:rPr>
                <w:color w:val="000000"/>
                <w:spacing w:val="-6"/>
                <w:rtl/>
                <w:lang w:eastAsia="he-IL"/>
              </w:rPr>
            </w:pPr>
          </w:p>
        </w:tc>
        <w:tc>
          <w:tcPr>
            <w:tcW w:w="450" w:type="dxa"/>
          </w:tcPr>
          <w:p w14:paraId="22E3A11E" w14:textId="77777777" w:rsidR="00EC4F42" w:rsidRPr="00F4410B" w:rsidRDefault="00EC4F42" w:rsidP="00EC4F42">
            <w:pPr>
              <w:spacing w:line="241" w:lineRule="auto"/>
              <w:ind w:left="432" w:hanging="144"/>
              <w:jc w:val="left"/>
              <w:rPr>
                <w:color w:val="000000"/>
                <w:rtl/>
                <w:lang w:eastAsia="he-IL"/>
              </w:rPr>
            </w:pPr>
          </w:p>
        </w:tc>
        <w:tc>
          <w:tcPr>
            <w:tcW w:w="3443" w:type="dxa"/>
            <w:vAlign w:val="bottom"/>
          </w:tcPr>
          <w:p w14:paraId="11A8C7CE" w14:textId="02CD4ED9" w:rsidR="00EC4F42" w:rsidRPr="00317F17" w:rsidRDefault="00EC4F42" w:rsidP="00EC4F42">
            <w:pPr>
              <w:spacing w:line="241" w:lineRule="auto"/>
              <w:ind w:left="144" w:hanging="144"/>
              <w:jc w:val="left"/>
              <w:rPr>
                <w:b/>
                <w:bCs/>
                <w:color w:val="000000"/>
                <w:sz w:val="18"/>
                <w:szCs w:val="18"/>
                <w:rtl/>
                <w:lang w:eastAsia="he-IL"/>
              </w:rPr>
            </w:pPr>
            <w:r w:rsidRPr="009E7447">
              <w:rPr>
                <w:rFonts w:hint="eastAsia"/>
                <w:b/>
                <w:bCs/>
                <w:color w:val="000000"/>
                <w:sz w:val="18"/>
                <w:szCs w:val="18"/>
                <w:u w:val="single"/>
                <w:rtl/>
                <w:lang w:eastAsia="he-IL"/>
              </w:rPr>
              <w:t>יתרת</w:t>
            </w:r>
            <w:r w:rsidRPr="009E7447">
              <w:rPr>
                <w:b/>
                <w:bCs/>
                <w:color w:val="000000"/>
                <w:sz w:val="18"/>
                <w:szCs w:val="18"/>
                <w:u w:val="single"/>
                <w:rtl/>
                <w:lang w:eastAsia="he-IL"/>
              </w:rPr>
              <w:t xml:space="preserve"> </w:t>
            </w:r>
            <w:r w:rsidRPr="009E7447">
              <w:rPr>
                <w:rFonts w:hint="eastAsia"/>
                <w:b/>
                <w:bCs/>
                <w:color w:val="000000"/>
                <w:sz w:val="18"/>
                <w:szCs w:val="18"/>
                <w:u w:val="single"/>
                <w:rtl/>
                <w:lang w:eastAsia="he-IL"/>
              </w:rPr>
              <w:t>הפרשה</w:t>
            </w:r>
            <w:r w:rsidRPr="009E7447">
              <w:rPr>
                <w:b/>
                <w:bCs/>
                <w:color w:val="000000"/>
                <w:sz w:val="18"/>
                <w:szCs w:val="18"/>
                <w:u w:val="single"/>
                <w:rtl/>
                <w:lang w:eastAsia="he-IL"/>
              </w:rPr>
              <w:t xml:space="preserve"> </w:t>
            </w:r>
            <w:r w:rsidRPr="009E7447">
              <w:rPr>
                <w:rFonts w:hint="eastAsia"/>
                <w:b/>
                <w:bCs/>
                <w:color w:val="000000"/>
                <w:sz w:val="18"/>
                <w:szCs w:val="18"/>
                <w:u w:val="single"/>
                <w:rtl/>
                <w:lang w:eastAsia="he-IL"/>
              </w:rPr>
              <w:t>להפסדי</w:t>
            </w:r>
            <w:r w:rsidRPr="009E7447">
              <w:rPr>
                <w:b/>
                <w:bCs/>
                <w:color w:val="000000"/>
                <w:sz w:val="18"/>
                <w:szCs w:val="18"/>
                <w:u w:val="single"/>
                <w:rtl/>
                <w:lang w:eastAsia="he-IL"/>
              </w:rPr>
              <w:t xml:space="preserve"> </w:t>
            </w:r>
            <w:r w:rsidRPr="009E7447">
              <w:rPr>
                <w:rFonts w:hint="eastAsia"/>
                <w:b/>
                <w:bCs/>
                <w:color w:val="000000"/>
                <w:sz w:val="18"/>
                <w:szCs w:val="18"/>
                <w:u w:val="single"/>
                <w:rtl/>
                <w:lang w:eastAsia="he-IL"/>
              </w:rPr>
              <w:t>אשראי</w:t>
            </w:r>
            <w:r w:rsidRPr="009E7447">
              <w:rPr>
                <w:b/>
                <w:bCs/>
                <w:color w:val="000000"/>
                <w:sz w:val="18"/>
                <w:szCs w:val="18"/>
                <w:u w:val="single"/>
                <w:rtl/>
                <w:lang w:eastAsia="he-IL"/>
              </w:rPr>
              <w:t xml:space="preserve"> </w:t>
            </w:r>
            <w:r w:rsidRPr="009E7447">
              <w:rPr>
                <w:rFonts w:hint="eastAsia"/>
                <w:b/>
                <w:bCs/>
                <w:color w:val="000000"/>
                <w:sz w:val="18"/>
                <w:szCs w:val="18"/>
                <w:u w:val="single"/>
                <w:rtl/>
                <w:lang w:eastAsia="he-IL"/>
              </w:rPr>
              <w:t>בגין</w:t>
            </w:r>
            <w:r w:rsidRPr="009E7447">
              <w:rPr>
                <w:b/>
                <w:bCs/>
                <w:color w:val="000000"/>
                <w:sz w:val="18"/>
                <w:szCs w:val="18"/>
                <w:u w:val="single"/>
                <w:rtl/>
                <w:lang w:eastAsia="he-IL"/>
              </w:rPr>
              <w:t xml:space="preserve"> </w:t>
            </w:r>
            <w:r w:rsidRPr="009E7447">
              <w:rPr>
                <w:rFonts w:hint="eastAsia"/>
                <w:b/>
                <w:bCs/>
                <w:color w:val="000000"/>
                <w:sz w:val="18"/>
                <w:szCs w:val="18"/>
                <w:u w:val="single"/>
                <w:rtl/>
                <w:lang w:eastAsia="he-IL"/>
              </w:rPr>
              <w:t>חובות</w:t>
            </w:r>
            <w:r w:rsidRPr="009E7447">
              <w:rPr>
                <w:rFonts w:hint="cs"/>
                <w:b/>
                <w:bCs/>
                <w:color w:val="000000"/>
                <w:sz w:val="18"/>
                <w:szCs w:val="18"/>
                <w:rtl/>
                <w:lang w:eastAsia="he-IL"/>
              </w:rPr>
              <w:t>:</w:t>
            </w:r>
          </w:p>
        </w:tc>
        <w:tc>
          <w:tcPr>
            <w:tcW w:w="748" w:type="dxa"/>
            <w:vAlign w:val="bottom"/>
          </w:tcPr>
          <w:p w14:paraId="1305E8E4" w14:textId="77777777" w:rsidR="00EC4F42" w:rsidRPr="009E7447" w:rsidRDefault="00EC4F42" w:rsidP="00EC4F42">
            <w:pPr>
              <w:spacing w:line="241" w:lineRule="auto"/>
              <w:rPr>
                <w:sz w:val="18"/>
                <w:szCs w:val="18"/>
                <w:rtl/>
              </w:rPr>
            </w:pPr>
          </w:p>
        </w:tc>
        <w:tc>
          <w:tcPr>
            <w:tcW w:w="762" w:type="dxa"/>
            <w:vAlign w:val="bottom"/>
          </w:tcPr>
          <w:p w14:paraId="64C433C0" w14:textId="77777777" w:rsidR="00EC4F42" w:rsidRPr="009E7447" w:rsidRDefault="00EC4F42" w:rsidP="00EC4F42">
            <w:pPr>
              <w:spacing w:line="241" w:lineRule="auto"/>
              <w:rPr>
                <w:sz w:val="18"/>
                <w:szCs w:val="18"/>
                <w:rtl/>
              </w:rPr>
            </w:pPr>
          </w:p>
        </w:tc>
        <w:tc>
          <w:tcPr>
            <w:tcW w:w="884" w:type="dxa"/>
            <w:vAlign w:val="bottom"/>
          </w:tcPr>
          <w:p w14:paraId="560248CB" w14:textId="77777777" w:rsidR="00EC4F42" w:rsidRPr="009E7447" w:rsidRDefault="00EC4F42" w:rsidP="00EC4F42">
            <w:pPr>
              <w:spacing w:line="241" w:lineRule="auto"/>
              <w:rPr>
                <w:sz w:val="18"/>
                <w:szCs w:val="18"/>
                <w:rtl/>
              </w:rPr>
            </w:pPr>
          </w:p>
        </w:tc>
        <w:tc>
          <w:tcPr>
            <w:tcW w:w="739" w:type="dxa"/>
            <w:vAlign w:val="bottom"/>
          </w:tcPr>
          <w:p w14:paraId="30AF7574" w14:textId="77777777" w:rsidR="00EC4F42" w:rsidRPr="009E7447" w:rsidRDefault="00EC4F42" w:rsidP="00EC4F42">
            <w:pPr>
              <w:spacing w:line="241" w:lineRule="auto"/>
              <w:rPr>
                <w:sz w:val="18"/>
                <w:szCs w:val="18"/>
                <w:rtl/>
              </w:rPr>
            </w:pPr>
          </w:p>
        </w:tc>
        <w:tc>
          <w:tcPr>
            <w:tcW w:w="944" w:type="dxa"/>
            <w:vAlign w:val="bottom"/>
          </w:tcPr>
          <w:p w14:paraId="5639B795" w14:textId="77777777" w:rsidR="00EC4F42" w:rsidRPr="009E7447" w:rsidRDefault="00EC4F42" w:rsidP="00EC4F42">
            <w:pPr>
              <w:spacing w:line="241" w:lineRule="auto"/>
              <w:rPr>
                <w:sz w:val="18"/>
                <w:szCs w:val="18"/>
                <w:rtl/>
              </w:rPr>
            </w:pPr>
          </w:p>
        </w:tc>
        <w:tc>
          <w:tcPr>
            <w:tcW w:w="667" w:type="dxa"/>
            <w:gridSpan w:val="2"/>
            <w:vAlign w:val="bottom"/>
          </w:tcPr>
          <w:p w14:paraId="7F44C42A" w14:textId="77777777" w:rsidR="00EC4F42" w:rsidRPr="009E7447" w:rsidRDefault="00EC4F42" w:rsidP="00EC4F42">
            <w:pPr>
              <w:spacing w:line="241" w:lineRule="auto"/>
              <w:rPr>
                <w:sz w:val="18"/>
                <w:szCs w:val="18"/>
                <w:rtl/>
              </w:rPr>
            </w:pPr>
          </w:p>
        </w:tc>
      </w:tr>
      <w:tr w:rsidR="00EC4F42" w:rsidRPr="00F4410B" w14:paraId="7D22A46B" w14:textId="77777777" w:rsidTr="00AB0DD8">
        <w:trPr>
          <w:trHeight w:val="245"/>
        </w:trPr>
        <w:tc>
          <w:tcPr>
            <w:tcW w:w="1077" w:type="dxa"/>
          </w:tcPr>
          <w:p w14:paraId="00B27EED" w14:textId="0E6E632C" w:rsidR="00EC4F42" w:rsidRPr="00F4410B" w:rsidRDefault="00EC4F42" w:rsidP="00EC4F42">
            <w:pPr>
              <w:spacing w:before="40"/>
              <w:ind w:right="-284"/>
              <w:jc w:val="left"/>
              <w:rPr>
                <w:color w:val="000000"/>
                <w:spacing w:val="-6"/>
                <w:sz w:val="14"/>
                <w:szCs w:val="14"/>
                <w:rtl/>
                <w:lang w:eastAsia="he-IL"/>
              </w:rPr>
            </w:pPr>
          </w:p>
        </w:tc>
        <w:tc>
          <w:tcPr>
            <w:tcW w:w="450" w:type="dxa"/>
          </w:tcPr>
          <w:p w14:paraId="5ABBF987" w14:textId="77777777" w:rsidR="00EC4F42" w:rsidRPr="00F4410B" w:rsidRDefault="00EC4F42" w:rsidP="00EC4F42">
            <w:pPr>
              <w:spacing w:line="241" w:lineRule="auto"/>
              <w:ind w:left="432" w:hanging="144"/>
              <w:jc w:val="left"/>
              <w:rPr>
                <w:color w:val="000000"/>
                <w:rtl/>
                <w:lang w:eastAsia="he-IL"/>
              </w:rPr>
            </w:pPr>
          </w:p>
        </w:tc>
        <w:tc>
          <w:tcPr>
            <w:tcW w:w="3443" w:type="dxa"/>
            <w:vAlign w:val="bottom"/>
          </w:tcPr>
          <w:p w14:paraId="7860890E" w14:textId="2A75A92A" w:rsidR="00EC4F42" w:rsidRPr="00F4410B" w:rsidRDefault="00EC4F42" w:rsidP="00EC4F42">
            <w:pPr>
              <w:spacing w:line="241" w:lineRule="auto"/>
              <w:ind w:left="144" w:hanging="144"/>
              <w:jc w:val="left"/>
              <w:rPr>
                <w:color w:val="000000"/>
                <w:sz w:val="18"/>
                <w:szCs w:val="18"/>
                <w:rtl/>
                <w:lang w:eastAsia="he-IL"/>
              </w:rPr>
            </w:pPr>
            <w:r w:rsidRPr="009E7447">
              <w:rPr>
                <w:rFonts w:hint="cs"/>
                <w:color w:val="000000"/>
                <w:sz w:val="18"/>
                <w:szCs w:val="18"/>
                <w:rtl/>
                <w:lang w:eastAsia="he-IL"/>
              </w:rPr>
              <w:t>בגין חובות שנבדקו על בסיס פרטני</w:t>
            </w:r>
          </w:p>
        </w:tc>
        <w:tc>
          <w:tcPr>
            <w:tcW w:w="748" w:type="dxa"/>
            <w:vAlign w:val="bottom"/>
          </w:tcPr>
          <w:p w14:paraId="2A76E1A9" w14:textId="137E94B2" w:rsidR="00EC4F42" w:rsidRPr="00F4410B" w:rsidRDefault="00EC4F42" w:rsidP="00EC4F42">
            <w:pPr>
              <w:spacing w:line="241" w:lineRule="auto"/>
              <w:rPr>
                <w:sz w:val="18"/>
                <w:szCs w:val="18"/>
                <w:rtl/>
              </w:rPr>
            </w:pPr>
            <w:r w:rsidRPr="009E7447">
              <w:rPr>
                <w:rFonts w:hint="cs"/>
                <w:sz w:val="18"/>
                <w:szCs w:val="18"/>
                <w:rtl/>
              </w:rPr>
              <w:t xml:space="preserve"> 0</w:t>
            </w:r>
          </w:p>
        </w:tc>
        <w:tc>
          <w:tcPr>
            <w:tcW w:w="762" w:type="dxa"/>
            <w:vAlign w:val="bottom"/>
          </w:tcPr>
          <w:p w14:paraId="2DBBE8BD" w14:textId="01BBA2EC" w:rsidR="00EC4F42" w:rsidRPr="00F4410B" w:rsidRDefault="00EC4F42" w:rsidP="00EC4F42">
            <w:pPr>
              <w:spacing w:line="241" w:lineRule="auto"/>
              <w:rPr>
                <w:sz w:val="18"/>
                <w:szCs w:val="18"/>
                <w:rtl/>
              </w:rPr>
            </w:pPr>
            <w:r w:rsidRPr="009E7447">
              <w:rPr>
                <w:rFonts w:hint="cs"/>
                <w:sz w:val="18"/>
                <w:szCs w:val="18"/>
                <w:rtl/>
              </w:rPr>
              <w:t xml:space="preserve"> 0</w:t>
            </w:r>
          </w:p>
        </w:tc>
        <w:tc>
          <w:tcPr>
            <w:tcW w:w="884" w:type="dxa"/>
            <w:vAlign w:val="bottom"/>
          </w:tcPr>
          <w:p w14:paraId="1CDC540F" w14:textId="5E734E7F" w:rsidR="00EC4F42" w:rsidRPr="00F4410B" w:rsidRDefault="00EC4F42" w:rsidP="00EC4F42">
            <w:pPr>
              <w:spacing w:line="241" w:lineRule="auto"/>
              <w:rPr>
                <w:sz w:val="18"/>
                <w:szCs w:val="18"/>
                <w:rtl/>
              </w:rPr>
            </w:pPr>
            <w:r w:rsidRPr="009E7447">
              <w:rPr>
                <w:rFonts w:hint="cs"/>
                <w:sz w:val="18"/>
                <w:szCs w:val="18"/>
                <w:rtl/>
              </w:rPr>
              <w:t xml:space="preserve"> 0</w:t>
            </w:r>
          </w:p>
        </w:tc>
        <w:tc>
          <w:tcPr>
            <w:tcW w:w="739" w:type="dxa"/>
            <w:vAlign w:val="bottom"/>
          </w:tcPr>
          <w:p w14:paraId="4B917C2B" w14:textId="30927238" w:rsidR="00EC4F42" w:rsidRPr="00F4410B" w:rsidRDefault="00EC4F42" w:rsidP="00EC4F42">
            <w:pPr>
              <w:spacing w:line="241" w:lineRule="auto"/>
              <w:rPr>
                <w:sz w:val="18"/>
                <w:szCs w:val="18"/>
                <w:rtl/>
              </w:rPr>
            </w:pPr>
            <w:r w:rsidRPr="009E7447">
              <w:rPr>
                <w:rFonts w:hint="cs"/>
                <w:sz w:val="18"/>
                <w:szCs w:val="18"/>
                <w:rtl/>
              </w:rPr>
              <w:t xml:space="preserve"> 0</w:t>
            </w:r>
          </w:p>
        </w:tc>
        <w:tc>
          <w:tcPr>
            <w:tcW w:w="944" w:type="dxa"/>
            <w:vAlign w:val="bottom"/>
          </w:tcPr>
          <w:p w14:paraId="27556AB8" w14:textId="687E00BC" w:rsidR="00EC4F42" w:rsidRDefault="00EC4F42" w:rsidP="00EC4F42">
            <w:pPr>
              <w:spacing w:line="241" w:lineRule="auto"/>
              <w:rPr>
                <w:sz w:val="18"/>
                <w:szCs w:val="18"/>
                <w:rtl/>
              </w:rPr>
            </w:pPr>
            <w:r w:rsidRPr="009E7447">
              <w:rPr>
                <w:rFonts w:hint="cs"/>
                <w:sz w:val="18"/>
                <w:szCs w:val="18"/>
                <w:rtl/>
              </w:rPr>
              <w:t xml:space="preserve"> 0</w:t>
            </w:r>
          </w:p>
        </w:tc>
        <w:tc>
          <w:tcPr>
            <w:tcW w:w="667" w:type="dxa"/>
            <w:gridSpan w:val="2"/>
            <w:vAlign w:val="bottom"/>
          </w:tcPr>
          <w:p w14:paraId="12EBDA4E" w14:textId="2496D2AD" w:rsidR="00EC4F42" w:rsidRDefault="00EC4F42" w:rsidP="00EC4F42">
            <w:pPr>
              <w:spacing w:line="241" w:lineRule="auto"/>
              <w:rPr>
                <w:sz w:val="18"/>
                <w:szCs w:val="18"/>
                <w:rtl/>
              </w:rPr>
            </w:pPr>
            <w:r w:rsidRPr="009E7447">
              <w:rPr>
                <w:rFonts w:hint="cs"/>
                <w:sz w:val="18"/>
                <w:szCs w:val="18"/>
                <w:rtl/>
              </w:rPr>
              <w:t xml:space="preserve"> 0</w:t>
            </w:r>
          </w:p>
        </w:tc>
      </w:tr>
      <w:tr w:rsidR="00EC4F42" w:rsidRPr="00F4410B" w14:paraId="1C03BF05" w14:textId="77777777" w:rsidTr="00AB0DD8">
        <w:trPr>
          <w:trHeight w:val="245"/>
        </w:trPr>
        <w:tc>
          <w:tcPr>
            <w:tcW w:w="1077" w:type="dxa"/>
          </w:tcPr>
          <w:p w14:paraId="350AA504" w14:textId="3BDF4A67" w:rsidR="00EC4F42" w:rsidRPr="00F4410B" w:rsidRDefault="00EC4F42" w:rsidP="00EC4F42">
            <w:pPr>
              <w:spacing w:before="40"/>
              <w:ind w:right="-284"/>
              <w:jc w:val="left"/>
              <w:rPr>
                <w:color w:val="000000"/>
                <w:spacing w:val="-6"/>
                <w:sz w:val="14"/>
                <w:szCs w:val="14"/>
                <w:rtl/>
                <w:lang w:eastAsia="he-IL"/>
              </w:rPr>
            </w:pPr>
          </w:p>
        </w:tc>
        <w:tc>
          <w:tcPr>
            <w:tcW w:w="450" w:type="dxa"/>
          </w:tcPr>
          <w:p w14:paraId="746965F0" w14:textId="77777777" w:rsidR="00EC4F42" w:rsidRPr="00F4410B" w:rsidRDefault="00EC4F42" w:rsidP="00EC4F42">
            <w:pPr>
              <w:spacing w:line="241" w:lineRule="auto"/>
              <w:ind w:left="432" w:hanging="144"/>
              <w:jc w:val="left"/>
              <w:rPr>
                <w:color w:val="000000"/>
                <w:rtl/>
                <w:lang w:eastAsia="he-IL"/>
              </w:rPr>
            </w:pPr>
          </w:p>
        </w:tc>
        <w:tc>
          <w:tcPr>
            <w:tcW w:w="3443" w:type="dxa"/>
            <w:vAlign w:val="bottom"/>
          </w:tcPr>
          <w:p w14:paraId="0A78A014" w14:textId="793E96D1" w:rsidR="00EC4F42" w:rsidRPr="00F4410B" w:rsidRDefault="00EC4F42" w:rsidP="00EC4F42">
            <w:pPr>
              <w:spacing w:line="241" w:lineRule="auto"/>
              <w:ind w:left="144" w:hanging="144"/>
              <w:jc w:val="left"/>
              <w:rPr>
                <w:color w:val="000000"/>
                <w:sz w:val="18"/>
                <w:szCs w:val="18"/>
                <w:rtl/>
                <w:lang w:eastAsia="he-IL"/>
              </w:rPr>
            </w:pPr>
            <w:r w:rsidRPr="009E7447">
              <w:rPr>
                <w:rFonts w:hint="cs"/>
                <w:color w:val="000000"/>
                <w:sz w:val="18"/>
                <w:szCs w:val="18"/>
                <w:rtl/>
                <w:lang w:eastAsia="he-IL"/>
              </w:rPr>
              <w:t>בגין חובות שנבדקו על בסיס קבוצתי</w:t>
            </w:r>
          </w:p>
        </w:tc>
        <w:tc>
          <w:tcPr>
            <w:tcW w:w="748" w:type="dxa"/>
            <w:vAlign w:val="bottom"/>
          </w:tcPr>
          <w:p w14:paraId="50A1C45B" w14:textId="5CF4ADDC" w:rsidR="00EC4F42" w:rsidRPr="00F4410B" w:rsidRDefault="00EC4F42" w:rsidP="00EC4F42">
            <w:pPr>
              <w:pBdr>
                <w:bottom w:val="single" w:sz="4" w:space="1" w:color="auto"/>
              </w:pBdr>
              <w:spacing w:line="241" w:lineRule="auto"/>
              <w:rPr>
                <w:sz w:val="18"/>
                <w:szCs w:val="18"/>
                <w:rtl/>
              </w:rPr>
            </w:pPr>
            <w:r w:rsidRPr="009E7447">
              <w:rPr>
                <w:rFonts w:hint="cs"/>
                <w:sz w:val="18"/>
                <w:szCs w:val="18"/>
                <w:rtl/>
              </w:rPr>
              <w:t xml:space="preserve"> 0</w:t>
            </w:r>
          </w:p>
        </w:tc>
        <w:tc>
          <w:tcPr>
            <w:tcW w:w="762" w:type="dxa"/>
            <w:vAlign w:val="bottom"/>
          </w:tcPr>
          <w:p w14:paraId="68F6AD86" w14:textId="79EC150B" w:rsidR="00EC4F42" w:rsidRPr="00F4410B" w:rsidRDefault="00EC4F42" w:rsidP="00EC4F42">
            <w:pPr>
              <w:pBdr>
                <w:bottom w:val="single" w:sz="4" w:space="1" w:color="auto"/>
              </w:pBdr>
              <w:spacing w:line="241" w:lineRule="auto"/>
              <w:rPr>
                <w:sz w:val="18"/>
                <w:szCs w:val="18"/>
                <w:rtl/>
              </w:rPr>
            </w:pPr>
            <w:r w:rsidRPr="009E7447">
              <w:rPr>
                <w:rFonts w:hint="cs"/>
                <w:sz w:val="18"/>
                <w:szCs w:val="18"/>
                <w:rtl/>
              </w:rPr>
              <w:t xml:space="preserve"> 0</w:t>
            </w:r>
          </w:p>
        </w:tc>
        <w:tc>
          <w:tcPr>
            <w:tcW w:w="884" w:type="dxa"/>
            <w:vAlign w:val="bottom"/>
          </w:tcPr>
          <w:p w14:paraId="5A6BDF0B" w14:textId="4D5B3C1A" w:rsidR="00EC4F42" w:rsidRPr="00F4410B" w:rsidRDefault="00EC4F42" w:rsidP="00EC4F42">
            <w:pPr>
              <w:pBdr>
                <w:bottom w:val="single" w:sz="4" w:space="1" w:color="auto"/>
              </w:pBdr>
              <w:spacing w:line="241" w:lineRule="auto"/>
              <w:rPr>
                <w:sz w:val="18"/>
                <w:szCs w:val="18"/>
                <w:rtl/>
              </w:rPr>
            </w:pPr>
            <w:r w:rsidRPr="009E7447">
              <w:rPr>
                <w:rFonts w:hint="cs"/>
                <w:sz w:val="18"/>
                <w:szCs w:val="18"/>
                <w:rtl/>
              </w:rPr>
              <w:t xml:space="preserve"> 0</w:t>
            </w:r>
          </w:p>
        </w:tc>
        <w:tc>
          <w:tcPr>
            <w:tcW w:w="739" w:type="dxa"/>
            <w:vAlign w:val="bottom"/>
          </w:tcPr>
          <w:p w14:paraId="7758A260" w14:textId="47BD4978" w:rsidR="00EC4F42" w:rsidRPr="00F4410B" w:rsidRDefault="00EC4F42" w:rsidP="00EC4F42">
            <w:pPr>
              <w:pBdr>
                <w:bottom w:val="single" w:sz="4" w:space="1" w:color="auto"/>
              </w:pBdr>
              <w:spacing w:line="241" w:lineRule="auto"/>
              <w:rPr>
                <w:sz w:val="18"/>
                <w:szCs w:val="18"/>
                <w:rtl/>
              </w:rPr>
            </w:pPr>
            <w:r w:rsidRPr="009E7447">
              <w:rPr>
                <w:rFonts w:hint="cs"/>
                <w:sz w:val="18"/>
                <w:szCs w:val="18"/>
                <w:rtl/>
              </w:rPr>
              <w:t xml:space="preserve"> 0</w:t>
            </w:r>
          </w:p>
        </w:tc>
        <w:tc>
          <w:tcPr>
            <w:tcW w:w="944" w:type="dxa"/>
            <w:vAlign w:val="bottom"/>
          </w:tcPr>
          <w:p w14:paraId="1E5A46F8" w14:textId="11A8EF0D" w:rsidR="00EC4F42" w:rsidRDefault="00EC4F42" w:rsidP="00EC4F42">
            <w:pPr>
              <w:pBdr>
                <w:bottom w:val="single" w:sz="4" w:space="1" w:color="auto"/>
              </w:pBdr>
              <w:spacing w:line="241" w:lineRule="auto"/>
              <w:rPr>
                <w:sz w:val="18"/>
                <w:szCs w:val="18"/>
                <w:rtl/>
              </w:rPr>
            </w:pPr>
            <w:r w:rsidRPr="009E7447">
              <w:rPr>
                <w:rFonts w:hint="cs"/>
                <w:sz w:val="18"/>
                <w:szCs w:val="18"/>
                <w:rtl/>
              </w:rPr>
              <w:t xml:space="preserve"> 0</w:t>
            </w:r>
          </w:p>
        </w:tc>
        <w:tc>
          <w:tcPr>
            <w:tcW w:w="667" w:type="dxa"/>
            <w:gridSpan w:val="2"/>
            <w:vAlign w:val="bottom"/>
          </w:tcPr>
          <w:p w14:paraId="086168F2" w14:textId="060CC994" w:rsidR="00EC4F42" w:rsidRDefault="00EC4F42" w:rsidP="00EC4F42">
            <w:pPr>
              <w:pBdr>
                <w:bottom w:val="single" w:sz="4" w:space="1" w:color="auto"/>
              </w:pBdr>
              <w:spacing w:line="241" w:lineRule="auto"/>
              <w:rPr>
                <w:sz w:val="18"/>
                <w:szCs w:val="18"/>
                <w:rtl/>
              </w:rPr>
            </w:pPr>
            <w:r w:rsidRPr="009E7447">
              <w:rPr>
                <w:rFonts w:hint="cs"/>
                <w:sz w:val="18"/>
                <w:szCs w:val="18"/>
                <w:rtl/>
              </w:rPr>
              <w:t xml:space="preserve"> 0</w:t>
            </w:r>
          </w:p>
        </w:tc>
      </w:tr>
      <w:tr w:rsidR="00EC4F42" w:rsidRPr="00F4410B" w14:paraId="4437F9D2" w14:textId="77777777" w:rsidTr="00AB0DD8">
        <w:trPr>
          <w:trHeight w:val="245"/>
        </w:trPr>
        <w:tc>
          <w:tcPr>
            <w:tcW w:w="1077" w:type="dxa"/>
          </w:tcPr>
          <w:p w14:paraId="56C3D1A5" w14:textId="77777777" w:rsidR="00EC4F42" w:rsidRPr="00F4410B" w:rsidRDefault="00EC4F42" w:rsidP="00EC4F42">
            <w:pPr>
              <w:spacing w:line="241" w:lineRule="auto"/>
              <w:ind w:left="432" w:right="-284" w:hanging="144"/>
              <w:jc w:val="left"/>
              <w:rPr>
                <w:color w:val="000000"/>
                <w:spacing w:val="-6"/>
                <w:rtl/>
                <w:lang w:eastAsia="he-IL"/>
              </w:rPr>
            </w:pPr>
          </w:p>
        </w:tc>
        <w:tc>
          <w:tcPr>
            <w:tcW w:w="450" w:type="dxa"/>
          </w:tcPr>
          <w:p w14:paraId="314E94F0" w14:textId="77777777" w:rsidR="00EC4F42" w:rsidRPr="00F4410B" w:rsidRDefault="00EC4F42" w:rsidP="00EC4F42">
            <w:pPr>
              <w:spacing w:line="241" w:lineRule="auto"/>
              <w:ind w:left="432" w:hanging="144"/>
              <w:jc w:val="left"/>
              <w:rPr>
                <w:color w:val="000000"/>
                <w:rtl/>
                <w:lang w:eastAsia="he-IL"/>
              </w:rPr>
            </w:pPr>
          </w:p>
        </w:tc>
        <w:tc>
          <w:tcPr>
            <w:tcW w:w="3443" w:type="dxa"/>
            <w:vAlign w:val="center"/>
          </w:tcPr>
          <w:p w14:paraId="2EB4878A" w14:textId="4BECE651" w:rsidR="00EC4F42" w:rsidRPr="00F4410B" w:rsidRDefault="00EC4F42" w:rsidP="00512110">
            <w:pPr>
              <w:spacing w:before="60" w:after="60"/>
              <w:ind w:left="142" w:hanging="142"/>
              <w:jc w:val="left"/>
              <w:rPr>
                <w:color w:val="000000"/>
                <w:sz w:val="18"/>
                <w:szCs w:val="18"/>
                <w:rtl/>
                <w:lang w:eastAsia="he-IL"/>
              </w:rPr>
            </w:pPr>
            <w:r>
              <w:rPr>
                <w:rFonts w:hint="cs"/>
                <w:b/>
                <w:bCs/>
                <w:color w:val="000000"/>
                <w:sz w:val="18"/>
                <w:szCs w:val="18"/>
                <w:rtl/>
                <w:lang w:eastAsia="he-IL"/>
              </w:rPr>
              <w:t>סך הכל</w:t>
            </w:r>
            <w:r w:rsidRPr="009E7447">
              <w:rPr>
                <w:rFonts w:hint="cs"/>
                <w:b/>
                <w:bCs/>
                <w:color w:val="000000"/>
                <w:sz w:val="18"/>
                <w:szCs w:val="18"/>
                <w:rtl/>
                <w:lang w:eastAsia="he-IL"/>
              </w:rPr>
              <w:t>*</w:t>
            </w:r>
          </w:p>
        </w:tc>
        <w:tc>
          <w:tcPr>
            <w:tcW w:w="748" w:type="dxa"/>
            <w:vAlign w:val="center"/>
          </w:tcPr>
          <w:p w14:paraId="5EC0967E" w14:textId="442E90E5" w:rsidR="00EC4F42" w:rsidRPr="00F4410B" w:rsidRDefault="00EC4F42" w:rsidP="00512110">
            <w:pPr>
              <w:spacing w:line="241" w:lineRule="auto"/>
              <w:jc w:val="left"/>
              <w:rPr>
                <w:b/>
                <w:bCs/>
                <w:sz w:val="18"/>
                <w:szCs w:val="18"/>
                <w:rtl/>
              </w:rPr>
            </w:pPr>
            <w:r w:rsidRPr="009E7447">
              <w:rPr>
                <w:b/>
                <w:bCs/>
                <w:sz w:val="18"/>
                <w:szCs w:val="18"/>
                <w:rtl/>
              </w:rPr>
              <w:t xml:space="preserve"> 0</w:t>
            </w:r>
          </w:p>
        </w:tc>
        <w:tc>
          <w:tcPr>
            <w:tcW w:w="762" w:type="dxa"/>
            <w:vAlign w:val="center"/>
          </w:tcPr>
          <w:p w14:paraId="1D5A460E" w14:textId="53BF7B98" w:rsidR="00EC4F42" w:rsidRPr="00F4410B" w:rsidRDefault="00EC4F42" w:rsidP="00512110">
            <w:pPr>
              <w:spacing w:line="241" w:lineRule="auto"/>
              <w:jc w:val="left"/>
              <w:rPr>
                <w:b/>
                <w:bCs/>
                <w:sz w:val="18"/>
                <w:szCs w:val="18"/>
                <w:rtl/>
              </w:rPr>
            </w:pPr>
            <w:r w:rsidRPr="009E7447">
              <w:rPr>
                <w:b/>
                <w:bCs/>
                <w:sz w:val="18"/>
                <w:szCs w:val="18"/>
                <w:rtl/>
              </w:rPr>
              <w:t xml:space="preserve"> 0</w:t>
            </w:r>
          </w:p>
        </w:tc>
        <w:tc>
          <w:tcPr>
            <w:tcW w:w="884" w:type="dxa"/>
            <w:vAlign w:val="center"/>
          </w:tcPr>
          <w:p w14:paraId="2B3E383E" w14:textId="28C77630" w:rsidR="00EC4F42" w:rsidRPr="00F4410B" w:rsidRDefault="00EC4F42" w:rsidP="00512110">
            <w:pPr>
              <w:spacing w:line="241" w:lineRule="auto"/>
              <w:jc w:val="left"/>
              <w:rPr>
                <w:b/>
                <w:bCs/>
                <w:sz w:val="18"/>
                <w:szCs w:val="18"/>
                <w:rtl/>
              </w:rPr>
            </w:pPr>
            <w:r w:rsidRPr="009E7447">
              <w:rPr>
                <w:b/>
                <w:bCs/>
                <w:sz w:val="18"/>
                <w:szCs w:val="18"/>
                <w:rtl/>
              </w:rPr>
              <w:t xml:space="preserve"> 0</w:t>
            </w:r>
          </w:p>
        </w:tc>
        <w:tc>
          <w:tcPr>
            <w:tcW w:w="739" w:type="dxa"/>
            <w:vAlign w:val="center"/>
          </w:tcPr>
          <w:p w14:paraId="0D005BFF" w14:textId="37DE46F4" w:rsidR="00EC4F42" w:rsidRPr="00F4410B" w:rsidRDefault="00EC4F42" w:rsidP="00512110">
            <w:pPr>
              <w:spacing w:line="241" w:lineRule="auto"/>
              <w:jc w:val="left"/>
              <w:rPr>
                <w:b/>
                <w:bCs/>
                <w:sz w:val="18"/>
                <w:szCs w:val="18"/>
                <w:rtl/>
              </w:rPr>
            </w:pPr>
            <w:r w:rsidRPr="009E7447">
              <w:rPr>
                <w:b/>
                <w:bCs/>
                <w:sz w:val="18"/>
                <w:szCs w:val="18"/>
                <w:rtl/>
              </w:rPr>
              <w:t xml:space="preserve"> 0</w:t>
            </w:r>
          </w:p>
        </w:tc>
        <w:tc>
          <w:tcPr>
            <w:tcW w:w="944" w:type="dxa"/>
            <w:vAlign w:val="center"/>
          </w:tcPr>
          <w:p w14:paraId="61D60553" w14:textId="02AB7C3D" w:rsidR="00EC4F42" w:rsidRDefault="00EC4F42" w:rsidP="00512110">
            <w:pPr>
              <w:spacing w:line="241" w:lineRule="auto"/>
              <w:jc w:val="left"/>
              <w:rPr>
                <w:b/>
                <w:bCs/>
                <w:sz w:val="18"/>
                <w:szCs w:val="18"/>
                <w:rtl/>
              </w:rPr>
            </w:pPr>
            <w:r w:rsidRPr="009E7447">
              <w:rPr>
                <w:b/>
                <w:bCs/>
                <w:sz w:val="18"/>
                <w:szCs w:val="18"/>
                <w:rtl/>
              </w:rPr>
              <w:t xml:space="preserve"> 0</w:t>
            </w:r>
          </w:p>
        </w:tc>
        <w:tc>
          <w:tcPr>
            <w:tcW w:w="667" w:type="dxa"/>
            <w:gridSpan w:val="2"/>
            <w:vAlign w:val="center"/>
          </w:tcPr>
          <w:p w14:paraId="6A972A20" w14:textId="686527EB" w:rsidR="00EC4F42" w:rsidRDefault="00EC4F42" w:rsidP="00512110">
            <w:pPr>
              <w:spacing w:line="241" w:lineRule="auto"/>
              <w:jc w:val="left"/>
              <w:rPr>
                <w:b/>
                <w:bCs/>
                <w:sz w:val="18"/>
                <w:szCs w:val="18"/>
                <w:rtl/>
              </w:rPr>
            </w:pPr>
            <w:r w:rsidRPr="009E7447">
              <w:rPr>
                <w:b/>
                <w:bCs/>
                <w:sz w:val="18"/>
                <w:szCs w:val="18"/>
                <w:rtl/>
              </w:rPr>
              <w:t xml:space="preserve"> 0</w:t>
            </w:r>
          </w:p>
        </w:tc>
      </w:tr>
      <w:tr w:rsidR="00EC4F42" w:rsidRPr="00F4410B" w14:paraId="72B43584" w14:textId="77777777" w:rsidTr="00AB0DD8">
        <w:trPr>
          <w:trHeight w:val="245"/>
        </w:trPr>
        <w:tc>
          <w:tcPr>
            <w:tcW w:w="1077" w:type="dxa"/>
          </w:tcPr>
          <w:p w14:paraId="3277D238" w14:textId="77777777" w:rsidR="00EC4F42" w:rsidRPr="00F4410B" w:rsidRDefault="00EC4F42" w:rsidP="00EC4F42">
            <w:pPr>
              <w:spacing w:line="241" w:lineRule="auto"/>
              <w:ind w:left="432" w:right="-284" w:hanging="144"/>
              <w:jc w:val="left"/>
              <w:rPr>
                <w:color w:val="000000"/>
                <w:spacing w:val="-6"/>
                <w:rtl/>
                <w:lang w:eastAsia="he-IL"/>
              </w:rPr>
            </w:pPr>
          </w:p>
        </w:tc>
        <w:tc>
          <w:tcPr>
            <w:tcW w:w="450" w:type="dxa"/>
          </w:tcPr>
          <w:p w14:paraId="39C87B85" w14:textId="77777777" w:rsidR="00EC4F42" w:rsidRPr="00F4410B" w:rsidRDefault="00EC4F42" w:rsidP="00EC4F42">
            <w:pPr>
              <w:spacing w:line="241" w:lineRule="auto"/>
              <w:ind w:left="432" w:hanging="144"/>
              <w:jc w:val="left"/>
              <w:rPr>
                <w:color w:val="000000"/>
                <w:rtl/>
                <w:lang w:eastAsia="he-IL"/>
              </w:rPr>
            </w:pPr>
          </w:p>
        </w:tc>
        <w:tc>
          <w:tcPr>
            <w:tcW w:w="3443" w:type="dxa"/>
            <w:vAlign w:val="bottom"/>
          </w:tcPr>
          <w:p w14:paraId="5B377A9A" w14:textId="61F2F7F7" w:rsidR="00EC4F42" w:rsidRPr="00F4410B" w:rsidRDefault="00EC4F42" w:rsidP="00512110">
            <w:pPr>
              <w:spacing w:before="120"/>
              <w:ind w:left="142" w:hanging="142"/>
              <w:jc w:val="left"/>
              <w:rPr>
                <w:b/>
                <w:bCs/>
                <w:color w:val="000000"/>
                <w:sz w:val="18"/>
                <w:szCs w:val="18"/>
                <w:rtl/>
                <w:lang w:eastAsia="he-IL"/>
              </w:rPr>
            </w:pPr>
            <w:r w:rsidRPr="00797429">
              <w:rPr>
                <w:rFonts w:hint="cs"/>
                <w:color w:val="000000"/>
                <w:sz w:val="18"/>
                <w:szCs w:val="18"/>
                <w:rtl/>
                <w:lang w:eastAsia="he-IL"/>
              </w:rPr>
              <w:t>*</w:t>
            </w:r>
            <w:r>
              <w:rPr>
                <w:rFonts w:hint="cs"/>
                <w:sz w:val="18"/>
                <w:szCs w:val="18"/>
                <w:rtl/>
              </w:rPr>
              <w:t xml:space="preserve"> </w:t>
            </w:r>
            <w:r w:rsidRPr="00797429">
              <w:rPr>
                <w:rFonts w:hint="cs"/>
                <w:sz w:val="18"/>
                <w:szCs w:val="18"/>
                <w:rtl/>
              </w:rPr>
              <w:t xml:space="preserve">מזה: </w:t>
            </w:r>
            <w:r>
              <w:rPr>
                <w:rFonts w:hint="cs"/>
                <w:sz w:val="18"/>
                <w:szCs w:val="18"/>
                <w:rtl/>
              </w:rPr>
              <w:t xml:space="preserve"> </w:t>
            </w:r>
            <w:r w:rsidRPr="00797429">
              <w:rPr>
                <w:rFonts w:hint="cs"/>
                <w:sz w:val="18"/>
                <w:szCs w:val="18"/>
                <w:rtl/>
              </w:rPr>
              <w:t>בגין חובות לא צוברים</w:t>
            </w:r>
          </w:p>
        </w:tc>
        <w:tc>
          <w:tcPr>
            <w:tcW w:w="748" w:type="dxa"/>
            <w:vAlign w:val="bottom"/>
          </w:tcPr>
          <w:p w14:paraId="7A674540" w14:textId="781DDD50" w:rsidR="00EC4F42" w:rsidRPr="00F4410B" w:rsidRDefault="00EC4F42" w:rsidP="00EC4F42">
            <w:pPr>
              <w:spacing w:line="241" w:lineRule="auto"/>
              <w:rPr>
                <w:b/>
                <w:bCs/>
                <w:sz w:val="18"/>
                <w:szCs w:val="18"/>
                <w:rtl/>
              </w:rPr>
            </w:pPr>
            <w:r w:rsidRPr="009E7447">
              <w:rPr>
                <w:rFonts w:hint="cs"/>
                <w:sz w:val="18"/>
                <w:szCs w:val="18"/>
                <w:rtl/>
              </w:rPr>
              <w:t xml:space="preserve"> 0</w:t>
            </w:r>
          </w:p>
        </w:tc>
        <w:tc>
          <w:tcPr>
            <w:tcW w:w="762" w:type="dxa"/>
            <w:vAlign w:val="bottom"/>
          </w:tcPr>
          <w:p w14:paraId="66D8AA40" w14:textId="68F53D9F" w:rsidR="00EC4F42" w:rsidRPr="00F4410B" w:rsidRDefault="00EC4F42" w:rsidP="00EC4F42">
            <w:pPr>
              <w:spacing w:line="241" w:lineRule="auto"/>
              <w:rPr>
                <w:b/>
                <w:bCs/>
                <w:sz w:val="18"/>
                <w:szCs w:val="18"/>
                <w:rtl/>
              </w:rPr>
            </w:pPr>
            <w:r w:rsidRPr="009E7447">
              <w:rPr>
                <w:rFonts w:hint="cs"/>
                <w:sz w:val="18"/>
                <w:szCs w:val="18"/>
                <w:rtl/>
              </w:rPr>
              <w:t xml:space="preserve"> 0</w:t>
            </w:r>
          </w:p>
        </w:tc>
        <w:tc>
          <w:tcPr>
            <w:tcW w:w="884" w:type="dxa"/>
            <w:vAlign w:val="bottom"/>
          </w:tcPr>
          <w:p w14:paraId="210838C9" w14:textId="65192854" w:rsidR="00EC4F42" w:rsidRPr="00F4410B" w:rsidRDefault="00EC4F42" w:rsidP="00EC4F42">
            <w:pPr>
              <w:spacing w:line="241" w:lineRule="auto"/>
              <w:rPr>
                <w:b/>
                <w:bCs/>
                <w:sz w:val="18"/>
                <w:szCs w:val="18"/>
                <w:rtl/>
              </w:rPr>
            </w:pPr>
            <w:r w:rsidRPr="009E7447">
              <w:rPr>
                <w:rFonts w:hint="cs"/>
                <w:sz w:val="18"/>
                <w:szCs w:val="18"/>
                <w:rtl/>
              </w:rPr>
              <w:t xml:space="preserve"> 0</w:t>
            </w:r>
          </w:p>
        </w:tc>
        <w:tc>
          <w:tcPr>
            <w:tcW w:w="739" w:type="dxa"/>
            <w:vAlign w:val="bottom"/>
          </w:tcPr>
          <w:p w14:paraId="53774133" w14:textId="071AD765" w:rsidR="00EC4F42" w:rsidRPr="00F4410B" w:rsidRDefault="00EC4F42" w:rsidP="00EC4F42">
            <w:pPr>
              <w:spacing w:line="241" w:lineRule="auto"/>
              <w:rPr>
                <w:b/>
                <w:bCs/>
                <w:sz w:val="18"/>
                <w:szCs w:val="18"/>
                <w:rtl/>
              </w:rPr>
            </w:pPr>
            <w:r w:rsidRPr="009E7447">
              <w:rPr>
                <w:rFonts w:hint="cs"/>
                <w:sz w:val="18"/>
                <w:szCs w:val="18"/>
                <w:rtl/>
              </w:rPr>
              <w:t xml:space="preserve"> 0</w:t>
            </w:r>
          </w:p>
        </w:tc>
        <w:tc>
          <w:tcPr>
            <w:tcW w:w="944" w:type="dxa"/>
            <w:vAlign w:val="bottom"/>
          </w:tcPr>
          <w:p w14:paraId="210D14A0" w14:textId="6545DED5" w:rsidR="00EC4F42" w:rsidRDefault="00EC4F42" w:rsidP="00EC4F42">
            <w:pPr>
              <w:spacing w:line="241" w:lineRule="auto"/>
              <w:rPr>
                <w:b/>
                <w:bCs/>
                <w:sz w:val="18"/>
                <w:szCs w:val="18"/>
                <w:rtl/>
              </w:rPr>
            </w:pPr>
            <w:r w:rsidRPr="009E7447">
              <w:rPr>
                <w:rFonts w:hint="cs"/>
                <w:sz w:val="18"/>
                <w:szCs w:val="18"/>
                <w:rtl/>
              </w:rPr>
              <w:t xml:space="preserve"> 0</w:t>
            </w:r>
          </w:p>
        </w:tc>
        <w:tc>
          <w:tcPr>
            <w:tcW w:w="667" w:type="dxa"/>
            <w:gridSpan w:val="2"/>
            <w:vAlign w:val="bottom"/>
          </w:tcPr>
          <w:p w14:paraId="0DDD0277" w14:textId="5D23D4D0" w:rsidR="00EC4F42" w:rsidRDefault="00EC4F42" w:rsidP="00EC4F42">
            <w:pPr>
              <w:spacing w:line="241" w:lineRule="auto"/>
              <w:rPr>
                <w:b/>
                <w:bCs/>
                <w:sz w:val="18"/>
                <w:szCs w:val="18"/>
                <w:rtl/>
              </w:rPr>
            </w:pPr>
            <w:r w:rsidRPr="009E7447">
              <w:rPr>
                <w:rFonts w:hint="cs"/>
                <w:sz w:val="18"/>
                <w:szCs w:val="18"/>
                <w:rtl/>
              </w:rPr>
              <w:t xml:space="preserve"> 0</w:t>
            </w:r>
          </w:p>
        </w:tc>
      </w:tr>
      <w:tr w:rsidR="00EC4F42" w:rsidRPr="00F4410B" w14:paraId="393EE11A" w14:textId="77777777" w:rsidTr="00AB0DD8">
        <w:trPr>
          <w:trHeight w:val="245"/>
        </w:trPr>
        <w:tc>
          <w:tcPr>
            <w:tcW w:w="1077" w:type="dxa"/>
          </w:tcPr>
          <w:p w14:paraId="06760231" w14:textId="77777777" w:rsidR="00EC4F42" w:rsidRPr="00F4410B" w:rsidRDefault="00EC4F42" w:rsidP="00EC4F42">
            <w:pPr>
              <w:spacing w:line="241" w:lineRule="auto"/>
              <w:ind w:left="432" w:right="-284" w:hanging="144"/>
              <w:jc w:val="left"/>
              <w:rPr>
                <w:color w:val="000000"/>
                <w:spacing w:val="-6"/>
                <w:rtl/>
                <w:lang w:eastAsia="he-IL"/>
              </w:rPr>
            </w:pPr>
          </w:p>
        </w:tc>
        <w:tc>
          <w:tcPr>
            <w:tcW w:w="450" w:type="dxa"/>
          </w:tcPr>
          <w:p w14:paraId="783EC161" w14:textId="77777777" w:rsidR="00EC4F42" w:rsidRPr="00F4410B" w:rsidRDefault="00EC4F42" w:rsidP="00EC4F42">
            <w:pPr>
              <w:spacing w:line="241" w:lineRule="auto"/>
              <w:ind w:left="432" w:hanging="144"/>
              <w:jc w:val="left"/>
              <w:rPr>
                <w:color w:val="000000"/>
                <w:rtl/>
                <w:lang w:eastAsia="he-IL"/>
              </w:rPr>
            </w:pPr>
          </w:p>
        </w:tc>
        <w:tc>
          <w:tcPr>
            <w:tcW w:w="3443" w:type="dxa"/>
            <w:vAlign w:val="bottom"/>
          </w:tcPr>
          <w:p w14:paraId="1A8D8D31" w14:textId="44DF162F" w:rsidR="00EC4F42" w:rsidRPr="00F4410B" w:rsidRDefault="00EC4F42" w:rsidP="00EC4F42">
            <w:pPr>
              <w:spacing w:line="241" w:lineRule="auto"/>
              <w:ind w:left="572"/>
              <w:jc w:val="left"/>
              <w:rPr>
                <w:color w:val="000000"/>
                <w:sz w:val="18"/>
                <w:szCs w:val="18"/>
                <w:rtl/>
                <w:lang w:eastAsia="he-IL"/>
              </w:rPr>
            </w:pPr>
            <w:r w:rsidRPr="009E7447">
              <w:rPr>
                <w:rFonts w:hint="cs"/>
                <w:color w:val="000000"/>
                <w:sz w:val="18"/>
                <w:szCs w:val="18"/>
                <w:rtl/>
                <w:lang w:eastAsia="he-IL"/>
              </w:rPr>
              <w:t>ב</w:t>
            </w:r>
            <w:r>
              <w:rPr>
                <w:rFonts w:hint="cs"/>
                <w:color w:val="000000"/>
                <w:sz w:val="18"/>
                <w:szCs w:val="18"/>
                <w:rtl/>
                <w:lang w:eastAsia="he-IL"/>
              </w:rPr>
              <w:t>ג</w:t>
            </w:r>
            <w:r w:rsidRPr="009E7447">
              <w:rPr>
                <w:rFonts w:hint="cs"/>
                <w:color w:val="000000"/>
                <w:sz w:val="18"/>
                <w:szCs w:val="18"/>
                <w:rtl/>
                <w:lang w:eastAsia="he-IL"/>
              </w:rPr>
              <w:t>ין חובות בעייתיים אחרים</w:t>
            </w:r>
          </w:p>
        </w:tc>
        <w:tc>
          <w:tcPr>
            <w:tcW w:w="748" w:type="dxa"/>
            <w:vAlign w:val="bottom"/>
          </w:tcPr>
          <w:p w14:paraId="436E5A75" w14:textId="145D6B8E" w:rsidR="00EC4F42" w:rsidRPr="00F4410B" w:rsidRDefault="00EC4F42" w:rsidP="00EC4F42">
            <w:pPr>
              <w:spacing w:line="241" w:lineRule="auto"/>
              <w:rPr>
                <w:sz w:val="18"/>
                <w:szCs w:val="18"/>
                <w:rtl/>
              </w:rPr>
            </w:pPr>
            <w:r w:rsidRPr="009E7447">
              <w:rPr>
                <w:rFonts w:hint="cs"/>
                <w:sz w:val="18"/>
                <w:szCs w:val="18"/>
                <w:rtl/>
              </w:rPr>
              <w:t xml:space="preserve"> 0</w:t>
            </w:r>
          </w:p>
        </w:tc>
        <w:tc>
          <w:tcPr>
            <w:tcW w:w="762" w:type="dxa"/>
            <w:vAlign w:val="bottom"/>
          </w:tcPr>
          <w:p w14:paraId="7B91032E" w14:textId="4DF872DA" w:rsidR="00EC4F42" w:rsidRPr="00F4410B" w:rsidRDefault="00EC4F42" w:rsidP="00EC4F42">
            <w:pPr>
              <w:spacing w:line="241" w:lineRule="auto"/>
              <w:rPr>
                <w:sz w:val="18"/>
                <w:szCs w:val="18"/>
                <w:rtl/>
              </w:rPr>
            </w:pPr>
            <w:r w:rsidRPr="009E7447">
              <w:rPr>
                <w:rFonts w:hint="cs"/>
                <w:sz w:val="18"/>
                <w:szCs w:val="18"/>
                <w:rtl/>
              </w:rPr>
              <w:t xml:space="preserve"> 0</w:t>
            </w:r>
          </w:p>
        </w:tc>
        <w:tc>
          <w:tcPr>
            <w:tcW w:w="884" w:type="dxa"/>
            <w:vAlign w:val="bottom"/>
          </w:tcPr>
          <w:p w14:paraId="05340343" w14:textId="6FA7D165" w:rsidR="00EC4F42" w:rsidRPr="00F4410B" w:rsidRDefault="00EC4F42" w:rsidP="00EC4F42">
            <w:pPr>
              <w:spacing w:line="241" w:lineRule="auto"/>
              <w:rPr>
                <w:sz w:val="18"/>
                <w:szCs w:val="18"/>
                <w:rtl/>
              </w:rPr>
            </w:pPr>
            <w:r w:rsidRPr="009E7447">
              <w:rPr>
                <w:rFonts w:hint="cs"/>
                <w:sz w:val="18"/>
                <w:szCs w:val="18"/>
                <w:rtl/>
              </w:rPr>
              <w:t xml:space="preserve"> 0</w:t>
            </w:r>
          </w:p>
        </w:tc>
        <w:tc>
          <w:tcPr>
            <w:tcW w:w="739" w:type="dxa"/>
            <w:vAlign w:val="bottom"/>
          </w:tcPr>
          <w:p w14:paraId="376DC515" w14:textId="1E085299" w:rsidR="00EC4F42" w:rsidRPr="00F4410B" w:rsidRDefault="00EC4F42" w:rsidP="00EC4F42">
            <w:pPr>
              <w:spacing w:line="241" w:lineRule="auto"/>
              <w:rPr>
                <w:sz w:val="18"/>
                <w:szCs w:val="18"/>
                <w:rtl/>
              </w:rPr>
            </w:pPr>
            <w:r w:rsidRPr="009E7447">
              <w:rPr>
                <w:rFonts w:hint="cs"/>
                <w:sz w:val="18"/>
                <w:szCs w:val="18"/>
                <w:rtl/>
              </w:rPr>
              <w:t xml:space="preserve"> 0</w:t>
            </w:r>
          </w:p>
        </w:tc>
        <w:tc>
          <w:tcPr>
            <w:tcW w:w="944" w:type="dxa"/>
            <w:vAlign w:val="bottom"/>
          </w:tcPr>
          <w:p w14:paraId="092E82C2" w14:textId="28800A0B" w:rsidR="00EC4F42" w:rsidRDefault="00EC4F42" w:rsidP="00EC4F42">
            <w:pPr>
              <w:spacing w:line="241" w:lineRule="auto"/>
              <w:rPr>
                <w:sz w:val="18"/>
                <w:szCs w:val="18"/>
                <w:rtl/>
              </w:rPr>
            </w:pPr>
            <w:r w:rsidRPr="009E7447">
              <w:rPr>
                <w:rFonts w:hint="cs"/>
                <w:sz w:val="18"/>
                <w:szCs w:val="18"/>
                <w:rtl/>
              </w:rPr>
              <w:t xml:space="preserve"> 0</w:t>
            </w:r>
          </w:p>
        </w:tc>
        <w:tc>
          <w:tcPr>
            <w:tcW w:w="667" w:type="dxa"/>
            <w:gridSpan w:val="2"/>
            <w:vAlign w:val="bottom"/>
          </w:tcPr>
          <w:p w14:paraId="585B14EE" w14:textId="5FDBC46C" w:rsidR="00EC4F42" w:rsidRDefault="00EC4F42" w:rsidP="00EC4F42">
            <w:pPr>
              <w:spacing w:line="241" w:lineRule="auto"/>
              <w:rPr>
                <w:sz w:val="18"/>
                <w:szCs w:val="18"/>
                <w:rtl/>
              </w:rPr>
            </w:pPr>
            <w:r w:rsidRPr="009E7447">
              <w:rPr>
                <w:rFonts w:hint="cs"/>
                <w:sz w:val="18"/>
                <w:szCs w:val="18"/>
                <w:rtl/>
              </w:rPr>
              <w:t xml:space="preserve"> 0</w:t>
            </w:r>
          </w:p>
        </w:tc>
      </w:tr>
    </w:tbl>
    <w:p w14:paraId="3C4E78D7" w14:textId="77777777" w:rsidR="00F4410B" w:rsidRDefault="00F4410B" w:rsidP="00F4410B">
      <w:pPr>
        <w:ind w:left="1584"/>
        <w:rPr>
          <w:b/>
          <w:bCs/>
          <w:sz w:val="22"/>
          <w:szCs w:val="22"/>
          <w:rtl/>
        </w:rPr>
      </w:pPr>
    </w:p>
    <w:p w14:paraId="63FA157A" w14:textId="77777777" w:rsidR="00EC46DF" w:rsidRDefault="00EC46DF" w:rsidP="00F4410B">
      <w:pPr>
        <w:ind w:left="1584"/>
        <w:rPr>
          <w:b/>
          <w:bCs/>
          <w:sz w:val="22"/>
          <w:szCs w:val="22"/>
          <w:rtl/>
        </w:rPr>
      </w:pPr>
    </w:p>
    <w:tbl>
      <w:tblPr>
        <w:bidiVisual/>
        <w:tblW w:w="4758" w:type="pct"/>
        <w:tblInd w:w="-1" w:type="dxa"/>
        <w:tblLayout w:type="fixed"/>
        <w:tblLook w:val="04A0" w:firstRow="1" w:lastRow="0" w:firstColumn="1" w:lastColumn="0" w:noHBand="0" w:noVBand="1"/>
      </w:tblPr>
      <w:tblGrid>
        <w:gridCol w:w="1076"/>
        <w:gridCol w:w="450"/>
        <w:gridCol w:w="3443"/>
        <w:gridCol w:w="748"/>
        <w:gridCol w:w="762"/>
        <w:gridCol w:w="884"/>
        <w:gridCol w:w="739"/>
        <w:gridCol w:w="944"/>
        <w:gridCol w:w="667"/>
      </w:tblGrid>
      <w:tr w:rsidR="005A7077" w:rsidRPr="00F4410B" w14:paraId="74AAFF9B" w14:textId="77777777" w:rsidTr="00AB0DD8">
        <w:tc>
          <w:tcPr>
            <w:tcW w:w="1077" w:type="dxa"/>
          </w:tcPr>
          <w:p w14:paraId="71419F7E" w14:textId="0462C076" w:rsidR="005A7077" w:rsidRPr="00AD5971" w:rsidRDefault="005A7077" w:rsidP="00B10CB3">
            <w:pPr>
              <w:jc w:val="left"/>
              <w:rPr>
                <w:color w:val="000000"/>
                <w:spacing w:val="-6"/>
                <w:sz w:val="14"/>
                <w:szCs w:val="14"/>
                <w:rtl/>
                <w:lang w:eastAsia="he-IL"/>
              </w:rPr>
            </w:pPr>
          </w:p>
        </w:tc>
        <w:tc>
          <w:tcPr>
            <w:tcW w:w="450" w:type="dxa"/>
          </w:tcPr>
          <w:p w14:paraId="7D9093BD" w14:textId="77777777" w:rsidR="005A7077" w:rsidRDefault="005A7077" w:rsidP="00B10CB3">
            <w:pPr>
              <w:spacing w:line="216" w:lineRule="auto"/>
              <w:ind w:left="-28" w:right="-28"/>
              <w:jc w:val="center"/>
              <w:rPr>
                <w:color w:val="000000"/>
                <w:rtl/>
                <w:lang w:eastAsia="he-IL"/>
              </w:rPr>
            </w:pPr>
          </w:p>
        </w:tc>
        <w:tc>
          <w:tcPr>
            <w:tcW w:w="3443" w:type="dxa"/>
            <w:vAlign w:val="bottom"/>
          </w:tcPr>
          <w:p w14:paraId="2E80BA50" w14:textId="77777777" w:rsidR="005A7077" w:rsidRDefault="005A7077" w:rsidP="00B10CB3">
            <w:pPr>
              <w:spacing w:line="216" w:lineRule="auto"/>
              <w:ind w:left="-28" w:right="-28"/>
              <w:jc w:val="center"/>
              <w:rPr>
                <w:color w:val="000000"/>
                <w:sz w:val="18"/>
                <w:szCs w:val="18"/>
                <w:rtl/>
                <w:lang w:eastAsia="he-IL"/>
              </w:rPr>
            </w:pPr>
          </w:p>
        </w:tc>
        <w:tc>
          <w:tcPr>
            <w:tcW w:w="4744" w:type="dxa"/>
            <w:gridSpan w:val="6"/>
            <w:vAlign w:val="bottom"/>
          </w:tcPr>
          <w:p w14:paraId="1B786442" w14:textId="33F05412" w:rsidR="005A7077" w:rsidRPr="003B1E70" w:rsidRDefault="005A7077" w:rsidP="00B10CB3">
            <w:pPr>
              <w:pBdr>
                <w:bottom w:val="single" w:sz="4" w:space="1" w:color="auto"/>
              </w:pBdr>
              <w:spacing w:line="216" w:lineRule="auto"/>
              <w:ind w:left="-28" w:right="-28"/>
              <w:jc w:val="center"/>
              <w:rPr>
                <w:b/>
                <w:bCs/>
                <w:sz w:val="18"/>
                <w:szCs w:val="18"/>
                <w:rtl/>
              </w:rPr>
            </w:pPr>
            <w:r w:rsidRPr="003B1E70">
              <w:rPr>
                <w:rFonts w:hint="cs"/>
                <w:b/>
                <w:bCs/>
                <w:sz w:val="18"/>
                <w:szCs w:val="18"/>
                <w:rtl/>
              </w:rPr>
              <w:t xml:space="preserve">ליום 30 ביוני </w:t>
            </w:r>
            <w:r w:rsidRPr="003B1E70">
              <w:rPr>
                <w:b/>
                <w:bCs/>
                <w:sz w:val="18"/>
                <w:szCs w:val="18"/>
                <w:rtl/>
              </w:rPr>
              <w:fldChar w:fldCharType="begin"/>
            </w:r>
            <w:r w:rsidRPr="003B1E70">
              <w:rPr>
                <w:b/>
                <w:bCs/>
                <w:sz w:val="18"/>
                <w:szCs w:val="18"/>
                <w:rtl/>
              </w:rPr>
              <w:instrText xml:space="preserve"> </w:instrText>
            </w:r>
            <w:r w:rsidRPr="003B1E70">
              <w:rPr>
                <w:rFonts w:hint="cs"/>
                <w:b/>
                <w:bCs/>
                <w:sz w:val="18"/>
                <w:szCs w:val="18"/>
                <w:rtl/>
              </w:rPr>
              <w:instrText xml:space="preserve">= </w:instrText>
            </w:r>
            <w:r w:rsidRPr="003B1E70">
              <w:rPr>
                <w:rFonts w:hint="cs"/>
                <w:b/>
                <w:bCs/>
                <w:sz w:val="18"/>
                <w:szCs w:val="18"/>
              </w:rPr>
              <w:instrText>CY</w:instrText>
            </w:r>
            <w:r w:rsidRPr="003B1E70">
              <w:rPr>
                <w:b/>
                <w:bCs/>
                <w:sz w:val="18"/>
                <w:szCs w:val="18"/>
              </w:rPr>
              <w:instrText>-1</w:instrText>
            </w:r>
            <w:r w:rsidRPr="003B1E70">
              <w:rPr>
                <w:rFonts w:hint="cs"/>
                <w:b/>
                <w:bCs/>
                <w:sz w:val="18"/>
                <w:szCs w:val="18"/>
              </w:rPr>
              <w:instrText xml:space="preserve"> \* MERGEFORMAT</w:instrText>
            </w:r>
            <w:r w:rsidRPr="003B1E70">
              <w:rPr>
                <w:b/>
                <w:bCs/>
                <w:sz w:val="18"/>
                <w:szCs w:val="18"/>
                <w:rtl/>
              </w:rPr>
              <w:instrText xml:space="preserve"> </w:instrText>
            </w:r>
            <w:r w:rsidRPr="003B1E70">
              <w:rPr>
                <w:b/>
                <w:bCs/>
                <w:sz w:val="18"/>
                <w:szCs w:val="18"/>
                <w:rtl/>
              </w:rPr>
              <w:fldChar w:fldCharType="separate"/>
            </w:r>
            <w:r w:rsidR="003A584F">
              <w:rPr>
                <w:b/>
                <w:bCs/>
                <w:noProof/>
                <w:sz w:val="18"/>
                <w:szCs w:val="18"/>
                <w:rtl/>
              </w:rPr>
              <w:t>2023</w:t>
            </w:r>
            <w:r w:rsidRPr="003B1E70">
              <w:rPr>
                <w:b/>
                <w:bCs/>
                <w:sz w:val="18"/>
                <w:szCs w:val="18"/>
                <w:rtl/>
              </w:rPr>
              <w:fldChar w:fldCharType="end"/>
            </w:r>
            <w:r w:rsidR="003B1E70">
              <w:rPr>
                <w:rFonts w:hint="cs"/>
                <w:b/>
                <w:bCs/>
                <w:sz w:val="18"/>
                <w:szCs w:val="18"/>
                <w:rtl/>
              </w:rPr>
              <w:t xml:space="preserve">  </w:t>
            </w:r>
            <w:r w:rsidR="003B1E70" w:rsidRPr="003B1E70">
              <w:rPr>
                <w:rFonts w:hint="cs"/>
                <w:sz w:val="18"/>
                <w:szCs w:val="18"/>
                <w:rtl/>
              </w:rPr>
              <w:t>(בלתי מבוקר)</w:t>
            </w:r>
          </w:p>
        </w:tc>
      </w:tr>
      <w:tr w:rsidR="005A7077" w:rsidRPr="00F4410B" w14:paraId="277F720E" w14:textId="77777777" w:rsidTr="00AB0DD8">
        <w:tc>
          <w:tcPr>
            <w:tcW w:w="1077" w:type="dxa"/>
          </w:tcPr>
          <w:p w14:paraId="6B11DB45" w14:textId="77777777" w:rsidR="005A7077" w:rsidRDefault="005A7077" w:rsidP="00B10CB3">
            <w:pPr>
              <w:spacing w:line="216" w:lineRule="auto"/>
              <w:ind w:left="-28" w:right="-28"/>
              <w:jc w:val="center"/>
              <w:rPr>
                <w:color w:val="000000"/>
                <w:spacing w:val="-6"/>
                <w:rtl/>
                <w:lang w:eastAsia="he-IL"/>
              </w:rPr>
            </w:pPr>
          </w:p>
        </w:tc>
        <w:tc>
          <w:tcPr>
            <w:tcW w:w="450" w:type="dxa"/>
          </w:tcPr>
          <w:p w14:paraId="2715E1A0" w14:textId="77777777" w:rsidR="005A7077" w:rsidRDefault="005A7077" w:rsidP="00B10CB3">
            <w:pPr>
              <w:spacing w:line="216" w:lineRule="auto"/>
              <w:ind w:left="-28" w:right="-28"/>
              <w:jc w:val="center"/>
              <w:rPr>
                <w:color w:val="000000"/>
                <w:rtl/>
                <w:lang w:eastAsia="he-IL"/>
              </w:rPr>
            </w:pPr>
          </w:p>
        </w:tc>
        <w:tc>
          <w:tcPr>
            <w:tcW w:w="3443" w:type="dxa"/>
            <w:vAlign w:val="bottom"/>
          </w:tcPr>
          <w:p w14:paraId="0D7D7ED6" w14:textId="77777777" w:rsidR="005A7077" w:rsidRDefault="005A7077" w:rsidP="00B10CB3">
            <w:pPr>
              <w:spacing w:line="216" w:lineRule="auto"/>
              <w:ind w:left="-28" w:right="-28"/>
              <w:jc w:val="center"/>
              <w:rPr>
                <w:color w:val="000000"/>
                <w:sz w:val="18"/>
                <w:szCs w:val="18"/>
                <w:rtl/>
                <w:lang w:eastAsia="he-IL"/>
              </w:rPr>
            </w:pPr>
          </w:p>
        </w:tc>
        <w:tc>
          <w:tcPr>
            <w:tcW w:w="3133" w:type="dxa"/>
            <w:gridSpan w:val="4"/>
            <w:vAlign w:val="bottom"/>
          </w:tcPr>
          <w:p w14:paraId="227784B4" w14:textId="77777777" w:rsidR="005A7077" w:rsidRPr="003B1E70" w:rsidRDefault="005A7077" w:rsidP="00B10CB3">
            <w:pPr>
              <w:pBdr>
                <w:bottom w:val="single" w:sz="4" w:space="1" w:color="auto"/>
              </w:pBdr>
              <w:spacing w:line="216" w:lineRule="auto"/>
              <w:ind w:left="-28" w:right="-28"/>
              <w:jc w:val="center"/>
              <w:rPr>
                <w:b/>
                <w:bCs/>
                <w:sz w:val="18"/>
                <w:szCs w:val="18"/>
                <w:rtl/>
              </w:rPr>
            </w:pPr>
            <w:r w:rsidRPr="003B1E70">
              <w:rPr>
                <w:rFonts w:hint="eastAsia"/>
                <w:b/>
                <w:bCs/>
                <w:sz w:val="18"/>
                <w:szCs w:val="18"/>
                <w:rtl/>
              </w:rPr>
              <w:t>אשראי</w:t>
            </w:r>
            <w:r w:rsidRPr="003B1E70">
              <w:rPr>
                <w:b/>
                <w:bCs/>
                <w:sz w:val="18"/>
                <w:szCs w:val="18"/>
                <w:rtl/>
              </w:rPr>
              <w:t xml:space="preserve"> </w:t>
            </w:r>
            <w:r w:rsidRPr="003B1E70">
              <w:rPr>
                <w:rFonts w:hint="eastAsia"/>
                <w:b/>
                <w:bCs/>
                <w:sz w:val="18"/>
                <w:szCs w:val="18"/>
                <w:rtl/>
              </w:rPr>
              <w:t>לציבור</w:t>
            </w:r>
          </w:p>
        </w:tc>
        <w:tc>
          <w:tcPr>
            <w:tcW w:w="944" w:type="dxa"/>
            <w:vMerge w:val="restart"/>
            <w:vAlign w:val="bottom"/>
          </w:tcPr>
          <w:p w14:paraId="5E2AA044" w14:textId="77777777" w:rsidR="005A7077" w:rsidRPr="003B1E70" w:rsidRDefault="005A7077" w:rsidP="00B10CB3">
            <w:pPr>
              <w:pBdr>
                <w:bottom w:val="single" w:sz="4" w:space="1" w:color="auto"/>
              </w:pBdr>
              <w:spacing w:line="216" w:lineRule="auto"/>
              <w:ind w:left="-28" w:right="-28"/>
              <w:jc w:val="center"/>
              <w:rPr>
                <w:b/>
                <w:bCs/>
                <w:sz w:val="18"/>
                <w:szCs w:val="18"/>
                <w:rtl/>
              </w:rPr>
            </w:pPr>
            <w:r w:rsidRPr="003B1E70">
              <w:rPr>
                <w:rFonts w:hint="eastAsia"/>
                <w:b/>
                <w:bCs/>
                <w:sz w:val="18"/>
                <w:szCs w:val="18"/>
                <w:rtl/>
              </w:rPr>
              <w:t>בנקים</w:t>
            </w:r>
            <w:r w:rsidRPr="003B1E70">
              <w:rPr>
                <w:rFonts w:hint="cs"/>
                <w:b/>
                <w:bCs/>
                <w:sz w:val="18"/>
                <w:szCs w:val="18"/>
                <w:rtl/>
              </w:rPr>
              <w:t>,</w:t>
            </w:r>
            <w:r w:rsidRPr="003B1E70">
              <w:rPr>
                <w:b/>
                <w:bCs/>
                <w:sz w:val="18"/>
                <w:szCs w:val="18"/>
                <w:rtl/>
              </w:rPr>
              <w:t xml:space="preserve"> </w:t>
            </w:r>
            <w:r w:rsidRPr="003B1E70">
              <w:rPr>
                <w:rFonts w:hint="eastAsia"/>
                <w:b/>
                <w:bCs/>
                <w:sz w:val="18"/>
                <w:szCs w:val="18"/>
                <w:rtl/>
              </w:rPr>
              <w:t>ממשלות</w:t>
            </w:r>
            <w:r w:rsidRPr="003B1E70">
              <w:rPr>
                <w:rFonts w:hint="cs"/>
                <w:b/>
                <w:bCs/>
                <w:sz w:val="18"/>
                <w:szCs w:val="18"/>
                <w:rtl/>
              </w:rPr>
              <w:t xml:space="preserve"> ואגרות חוב</w:t>
            </w:r>
          </w:p>
        </w:tc>
        <w:tc>
          <w:tcPr>
            <w:tcW w:w="667" w:type="dxa"/>
            <w:vMerge w:val="restart"/>
            <w:vAlign w:val="bottom"/>
          </w:tcPr>
          <w:p w14:paraId="2453375B" w14:textId="77777777" w:rsidR="005A7077" w:rsidRPr="003B1E70" w:rsidRDefault="005A7077" w:rsidP="00B10CB3">
            <w:pPr>
              <w:pBdr>
                <w:bottom w:val="single" w:sz="4" w:space="1" w:color="auto"/>
              </w:pBdr>
              <w:spacing w:line="216" w:lineRule="auto"/>
              <w:ind w:left="-28" w:right="-28"/>
              <w:jc w:val="center"/>
              <w:rPr>
                <w:b/>
                <w:bCs/>
                <w:sz w:val="18"/>
                <w:szCs w:val="18"/>
                <w:rtl/>
              </w:rPr>
            </w:pPr>
            <w:r w:rsidRPr="003B1E70">
              <w:rPr>
                <w:rFonts w:hint="eastAsia"/>
                <w:b/>
                <w:bCs/>
                <w:sz w:val="18"/>
                <w:szCs w:val="18"/>
                <w:rtl/>
              </w:rPr>
              <w:t>סך</w:t>
            </w:r>
            <w:r w:rsidRPr="003B1E70">
              <w:rPr>
                <w:b/>
                <w:bCs/>
                <w:sz w:val="18"/>
                <w:szCs w:val="18"/>
                <w:rtl/>
              </w:rPr>
              <w:t xml:space="preserve"> </w:t>
            </w:r>
            <w:r w:rsidRPr="003B1E70">
              <w:rPr>
                <w:rFonts w:hint="eastAsia"/>
                <w:b/>
                <w:bCs/>
                <w:sz w:val="18"/>
                <w:szCs w:val="18"/>
                <w:rtl/>
              </w:rPr>
              <w:t>הכל</w:t>
            </w:r>
          </w:p>
        </w:tc>
      </w:tr>
      <w:tr w:rsidR="005A7077" w:rsidRPr="00F4410B" w14:paraId="37A5ABB2" w14:textId="77777777" w:rsidTr="00AB0DD8">
        <w:trPr>
          <w:trHeight w:val="293"/>
        </w:trPr>
        <w:tc>
          <w:tcPr>
            <w:tcW w:w="1077" w:type="dxa"/>
          </w:tcPr>
          <w:p w14:paraId="5F474E50" w14:textId="77777777" w:rsidR="005A7077" w:rsidRDefault="005A7077" w:rsidP="00B10CB3">
            <w:pPr>
              <w:spacing w:line="216" w:lineRule="auto"/>
              <w:ind w:left="-28" w:right="-28"/>
              <w:jc w:val="center"/>
              <w:rPr>
                <w:color w:val="000000"/>
                <w:spacing w:val="-6"/>
                <w:rtl/>
                <w:lang w:eastAsia="he-IL"/>
              </w:rPr>
            </w:pPr>
          </w:p>
        </w:tc>
        <w:tc>
          <w:tcPr>
            <w:tcW w:w="450" w:type="dxa"/>
          </w:tcPr>
          <w:p w14:paraId="4D943AFD" w14:textId="77777777" w:rsidR="005A7077" w:rsidRDefault="005A7077" w:rsidP="00B10CB3">
            <w:pPr>
              <w:spacing w:line="216" w:lineRule="auto"/>
              <w:ind w:left="-28" w:right="-28"/>
              <w:jc w:val="center"/>
              <w:rPr>
                <w:color w:val="000000"/>
                <w:rtl/>
                <w:lang w:eastAsia="he-IL"/>
              </w:rPr>
            </w:pPr>
          </w:p>
        </w:tc>
        <w:tc>
          <w:tcPr>
            <w:tcW w:w="3443" w:type="dxa"/>
            <w:vAlign w:val="bottom"/>
          </w:tcPr>
          <w:p w14:paraId="4AA7D347" w14:textId="77777777" w:rsidR="005A7077" w:rsidRDefault="005A7077" w:rsidP="00B10CB3">
            <w:pPr>
              <w:spacing w:line="216" w:lineRule="auto"/>
              <w:ind w:left="-28" w:right="-28"/>
              <w:jc w:val="center"/>
              <w:rPr>
                <w:color w:val="000000"/>
                <w:sz w:val="18"/>
                <w:szCs w:val="18"/>
                <w:rtl/>
                <w:lang w:eastAsia="he-IL"/>
              </w:rPr>
            </w:pPr>
          </w:p>
        </w:tc>
        <w:tc>
          <w:tcPr>
            <w:tcW w:w="748" w:type="dxa"/>
            <w:vAlign w:val="bottom"/>
          </w:tcPr>
          <w:p w14:paraId="23611CB1" w14:textId="77777777" w:rsidR="005A7077" w:rsidRPr="003B1E70" w:rsidRDefault="005A7077" w:rsidP="00B10CB3">
            <w:pPr>
              <w:pBdr>
                <w:bottom w:val="single" w:sz="4" w:space="1" w:color="auto"/>
              </w:pBdr>
              <w:spacing w:line="216" w:lineRule="auto"/>
              <w:ind w:left="-28" w:right="-28"/>
              <w:jc w:val="center"/>
              <w:rPr>
                <w:b/>
                <w:bCs/>
                <w:sz w:val="18"/>
                <w:szCs w:val="18"/>
                <w:vertAlign w:val="superscript"/>
                <w:rtl/>
              </w:rPr>
            </w:pPr>
            <w:r w:rsidRPr="003B1E70">
              <w:rPr>
                <w:rFonts w:hint="eastAsia"/>
                <w:b/>
                <w:bCs/>
                <w:sz w:val="18"/>
                <w:szCs w:val="18"/>
                <w:rtl/>
              </w:rPr>
              <w:t>מסחרי</w:t>
            </w:r>
          </w:p>
        </w:tc>
        <w:tc>
          <w:tcPr>
            <w:tcW w:w="762" w:type="dxa"/>
            <w:vAlign w:val="bottom"/>
          </w:tcPr>
          <w:p w14:paraId="5F967A3B" w14:textId="77777777" w:rsidR="005A7077" w:rsidRPr="003B1E70" w:rsidRDefault="005A7077" w:rsidP="00B10CB3">
            <w:pPr>
              <w:pBdr>
                <w:bottom w:val="single" w:sz="4" w:space="1" w:color="auto"/>
              </w:pBdr>
              <w:spacing w:line="216" w:lineRule="auto"/>
              <w:ind w:left="-28" w:right="-28"/>
              <w:jc w:val="center"/>
              <w:rPr>
                <w:b/>
                <w:bCs/>
                <w:sz w:val="18"/>
                <w:szCs w:val="18"/>
                <w:rtl/>
              </w:rPr>
            </w:pPr>
            <w:r w:rsidRPr="003B1E70">
              <w:rPr>
                <w:rFonts w:hint="eastAsia"/>
                <w:b/>
                <w:bCs/>
                <w:sz w:val="18"/>
                <w:szCs w:val="18"/>
                <w:rtl/>
              </w:rPr>
              <w:t>לדיור</w:t>
            </w:r>
          </w:p>
        </w:tc>
        <w:tc>
          <w:tcPr>
            <w:tcW w:w="884" w:type="dxa"/>
            <w:vAlign w:val="bottom"/>
          </w:tcPr>
          <w:p w14:paraId="2ADC11A9" w14:textId="77777777" w:rsidR="005A7077" w:rsidRPr="003B1E70" w:rsidRDefault="005A7077" w:rsidP="00B10CB3">
            <w:pPr>
              <w:pBdr>
                <w:bottom w:val="single" w:sz="4" w:space="1" w:color="auto"/>
              </w:pBdr>
              <w:spacing w:line="216" w:lineRule="auto"/>
              <w:ind w:left="-28" w:right="-28"/>
              <w:jc w:val="center"/>
              <w:rPr>
                <w:b/>
                <w:bCs/>
                <w:sz w:val="18"/>
                <w:szCs w:val="18"/>
                <w:rtl/>
              </w:rPr>
            </w:pPr>
            <w:r w:rsidRPr="003B1E70">
              <w:rPr>
                <w:rFonts w:hint="eastAsia"/>
                <w:b/>
                <w:bCs/>
                <w:sz w:val="18"/>
                <w:szCs w:val="18"/>
                <w:rtl/>
              </w:rPr>
              <w:t>פרטי</w:t>
            </w:r>
            <w:r w:rsidRPr="003B1E70">
              <w:rPr>
                <w:b/>
                <w:bCs/>
                <w:sz w:val="18"/>
                <w:szCs w:val="18"/>
                <w:rtl/>
              </w:rPr>
              <w:t xml:space="preserve"> </w:t>
            </w:r>
            <w:r w:rsidRPr="003B1E70">
              <w:rPr>
                <w:rFonts w:hint="eastAsia"/>
                <w:b/>
                <w:bCs/>
                <w:sz w:val="18"/>
                <w:szCs w:val="18"/>
                <w:rtl/>
              </w:rPr>
              <w:t>אחר</w:t>
            </w:r>
          </w:p>
        </w:tc>
        <w:tc>
          <w:tcPr>
            <w:tcW w:w="739" w:type="dxa"/>
            <w:vAlign w:val="bottom"/>
          </w:tcPr>
          <w:p w14:paraId="579E4D45" w14:textId="77777777" w:rsidR="005A7077" w:rsidRPr="003B1E70" w:rsidRDefault="005A7077" w:rsidP="00B10CB3">
            <w:pPr>
              <w:pBdr>
                <w:bottom w:val="single" w:sz="4" w:space="1" w:color="auto"/>
              </w:pBdr>
              <w:spacing w:line="216" w:lineRule="auto"/>
              <w:ind w:left="-28" w:right="-28"/>
              <w:jc w:val="center"/>
              <w:rPr>
                <w:b/>
                <w:bCs/>
                <w:sz w:val="18"/>
                <w:szCs w:val="18"/>
                <w:rtl/>
              </w:rPr>
            </w:pPr>
            <w:r w:rsidRPr="003B1E70">
              <w:rPr>
                <w:rFonts w:hint="eastAsia"/>
                <w:b/>
                <w:bCs/>
                <w:sz w:val="18"/>
                <w:szCs w:val="18"/>
                <w:rtl/>
              </w:rPr>
              <w:t>סך</w:t>
            </w:r>
            <w:r w:rsidRPr="003B1E70">
              <w:rPr>
                <w:b/>
                <w:bCs/>
                <w:sz w:val="18"/>
                <w:szCs w:val="18"/>
                <w:rtl/>
              </w:rPr>
              <w:t xml:space="preserve"> </w:t>
            </w:r>
            <w:r w:rsidRPr="003B1E70">
              <w:rPr>
                <w:rFonts w:hint="eastAsia"/>
                <w:b/>
                <w:bCs/>
                <w:sz w:val="18"/>
                <w:szCs w:val="18"/>
                <w:rtl/>
              </w:rPr>
              <w:t>הכל</w:t>
            </w:r>
            <w:r w:rsidRPr="003B1E70">
              <w:rPr>
                <w:b/>
                <w:bCs/>
                <w:sz w:val="18"/>
                <w:szCs w:val="18"/>
                <w:rtl/>
              </w:rPr>
              <w:t xml:space="preserve"> </w:t>
            </w:r>
          </w:p>
        </w:tc>
        <w:tc>
          <w:tcPr>
            <w:tcW w:w="944" w:type="dxa"/>
            <w:vMerge/>
            <w:vAlign w:val="bottom"/>
          </w:tcPr>
          <w:p w14:paraId="6F0737D7" w14:textId="77777777" w:rsidR="005A7077" w:rsidRPr="003B1E70" w:rsidRDefault="005A7077" w:rsidP="00B10CB3">
            <w:pPr>
              <w:pBdr>
                <w:bottom w:val="single" w:sz="4" w:space="1" w:color="auto"/>
              </w:pBdr>
              <w:spacing w:line="216" w:lineRule="auto"/>
              <w:ind w:left="-28" w:right="-28"/>
              <w:jc w:val="center"/>
              <w:rPr>
                <w:b/>
                <w:bCs/>
                <w:sz w:val="18"/>
                <w:szCs w:val="18"/>
                <w:rtl/>
              </w:rPr>
            </w:pPr>
          </w:p>
        </w:tc>
        <w:tc>
          <w:tcPr>
            <w:tcW w:w="667" w:type="dxa"/>
            <w:vMerge/>
            <w:vAlign w:val="bottom"/>
          </w:tcPr>
          <w:p w14:paraId="02F622E7" w14:textId="77777777" w:rsidR="005A7077" w:rsidRPr="003B1E70" w:rsidRDefault="005A7077" w:rsidP="00B10CB3">
            <w:pPr>
              <w:pBdr>
                <w:bottom w:val="single" w:sz="4" w:space="1" w:color="auto"/>
              </w:pBdr>
              <w:spacing w:line="216" w:lineRule="auto"/>
              <w:ind w:left="-28" w:right="-28"/>
              <w:jc w:val="center"/>
              <w:rPr>
                <w:b/>
                <w:bCs/>
                <w:sz w:val="18"/>
                <w:szCs w:val="18"/>
                <w:rtl/>
              </w:rPr>
            </w:pPr>
          </w:p>
        </w:tc>
      </w:tr>
      <w:tr w:rsidR="005A7077" w:rsidRPr="00F4410B" w14:paraId="4D40F408" w14:textId="77777777" w:rsidTr="00AB0DD8">
        <w:trPr>
          <w:trHeight w:val="245"/>
        </w:trPr>
        <w:tc>
          <w:tcPr>
            <w:tcW w:w="1077" w:type="dxa"/>
          </w:tcPr>
          <w:p w14:paraId="69B892D9" w14:textId="77777777" w:rsidR="005A7077" w:rsidRDefault="005A7077" w:rsidP="00B10CB3">
            <w:pPr>
              <w:ind w:right="-284"/>
              <w:jc w:val="left"/>
              <w:rPr>
                <w:color w:val="000000"/>
                <w:spacing w:val="-6"/>
                <w:rtl/>
                <w:lang w:eastAsia="he-IL"/>
              </w:rPr>
            </w:pPr>
          </w:p>
        </w:tc>
        <w:tc>
          <w:tcPr>
            <w:tcW w:w="450" w:type="dxa"/>
          </w:tcPr>
          <w:p w14:paraId="68E66EBD" w14:textId="77777777" w:rsidR="005A7077" w:rsidRDefault="005A7077" w:rsidP="00B10CB3">
            <w:pPr>
              <w:jc w:val="left"/>
              <w:rPr>
                <w:b/>
                <w:bCs/>
                <w:color w:val="000000"/>
                <w:u w:val="single"/>
                <w:rtl/>
                <w:lang w:eastAsia="he-IL"/>
              </w:rPr>
            </w:pPr>
          </w:p>
        </w:tc>
        <w:tc>
          <w:tcPr>
            <w:tcW w:w="3443" w:type="dxa"/>
            <w:vAlign w:val="bottom"/>
          </w:tcPr>
          <w:p w14:paraId="6B3335AE" w14:textId="77777777" w:rsidR="005A7077" w:rsidRDefault="005A7077" w:rsidP="00B10CB3">
            <w:pPr>
              <w:jc w:val="left"/>
              <w:rPr>
                <w:b/>
                <w:bCs/>
                <w:color w:val="000000"/>
                <w:sz w:val="18"/>
                <w:szCs w:val="18"/>
                <w:rtl/>
                <w:lang w:eastAsia="he-IL"/>
              </w:rPr>
            </w:pPr>
            <w:r w:rsidRPr="00F4410B">
              <w:rPr>
                <w:rFonts w:hint="cs"/>
                <w:b/>
                <w:bCs/>
                <w:color w:val="000000"/>
                <w:sz w:val="18"/>
                <w:szCs w:val="18"/>
                <w:u w:val="single"/>
                <w:rtl/>
                <w:lang w:eastAsia="he-IL"/>
              </w:rPr>
              <w:t>יתרת חוב רשומה</w:t>
            </w:r>
            <w:r w:rsidRPr="00F4410B">
              <w:rPr>
                <w:rFonts w:hint="cs"/>
                <w:b/>
                <w:bCs/>
                <w:color w:val="000000"/>
                <w:sz w:val="18"/>
                <w:szCs w:val="18"/>
                <w:rtl/>
                <w:lang w:eastAsia="he-IL"/>
              </w:rPr>
              <w:t>:</w:t>
            </w:r>
          </w:p>
        </w:tc>
        <w:tc>
          <w:tcPr>
            <w:tcW w:w="748" w:type="dxa"/>
            <w:vAlign w:val="bottom"/>
          </w:tcPr>
          <w:p w14:paraId="269F3911" w14:textId="77777777" w:rsidR="005A7077" w:rsidRDefault="005A7077" w:rsidP="00B10CB3">
            <w:pPr>
              <w:spacing w:line="241" w:lineRule="auto"/>
              <w:rPr>
                <w:sz w:val="18"/>
                <w:szCs w:val="18"/>
                <w:rtl/>
              </w:rPr>
            </w:pPr>
          </w:p>
        </w:tc>
        <w:tc>
          <w:tcPr>
            <w:tcW w:w="762" w:type="dxa"/>
            <w:vAlign w:val="bottom"/>
          </w:tcPr>
          <w:p w14:paraId="455D0789" w14:textId="77777777" w:rsidR="005A7077" w:rsidRDefault="005A7077" w:rsidP="00B10CB3">
            <w:pPr>
              <w:spacing w:line="241" w:lineRule="auto"/>
              <w:rPr>
                <w:sz w:val="18"/>
                <w:szCs w:val="18"/>
                <w:rtl/>
              </w:rPr>
            </w:pPr>
          </w:p>
        </w:tc>
        <w:tc>
          <w:tcPr>
            <w:tcW w:w="884" w:type="dxa"/>
            <w:vAlign w:val="bottom"/>
          </w:tcPr>
          <w:p w14:paraId="1CF6DBC1" w14:textId="77777777" w:rsidR="005A7077" w:rsidRDefault="005A7077" w:rsidP="00B10CB3">
            <w:pPr>
              <w:spacing w:line="241" w:lineRule="auto"/>
              <w:rPr>
                <w:sz w:val="18"/>
                <w:szCs w:val="18"/>
                <w:rtl/>
              </w:rPr>
            </w:pPr>
          </w:p>
        </w:tc>
        <w:tc>
          <w:tcPr>
            <w:tcW w:w="739" w:type="dxa"/>
            <w:vAlign w:val="bottom"/>
          </w:tcPr>
          <w:p w14:paraId="45592B71" w14:textId="77777777" w:rsidR="005A7077" w:rsidRDefault="005A7077" w:rsidP="00B10CB3">
            <w:pPr>
              <w:spacing w:line="241" w:lineRule="auto"/>
              <w:rPr>
                <w:sz w:val="18"/>
                <w:szCs w:val="18"/>
                <w:rtl/>
              </w:rPr>
            </w:pPr>
          </w:p>
        </w:tc>
        <w:tc>
          <w:tcPr>
            <w:tcW w:w="944" w:type="dxa"/>
            <w:vAlign w:val="bottom"/>
          </w:tcPr>
          <w:p w14:paraId="08E46DF6" w14:textId="77777777" w:rsidR="005A7077" w:rsidRDefault="005A7077" w:rsidP="00B10CB3">
            <w:pPr>
              <w:spacing w:line="241" w:lineRule="auto"/>
              <w:rPr>
                <w:sz w:val="18"/>
                <w:szCs w:val="18"/>
                <w:rtl/>
              </w:rPr>
            </w:pPr>
          </w:p>
        </w:tc>
        <w:tc>
          <w:tcPr>
            <w:tcW w:w="667" w:type="dxa"/>
            <w:vAlign w:val="bottom"/>
          </w:tcPr>
          <w:p w14:paraId="3E5B3D06" w14:textId="77777777" w:rsidR="005A7077" w:rsidRDefault="005A7077" w:rsidP="00B10CB3">
            <w:pPr>
              <w:spacing w:line="241" w:lineRule="auto"/>
              <w:rPr>
                <w:sz w:val="18"/>
                <w:szCs w:val="18"/>
                <w:rtl/>
              </w:rPr>
            </w:pPr>
          </w:p>
        </w:tc>
      </w:tr>
      <w:tr w:rsidR="005A7077" w:rsidRPr="00F4410B" w14:paraId="19E6B8CB" w14:textId="77777777" w:rsidTr="00AB0DD8">
        <w:tc>
          <w:tcPr>
            <w:tcW w:w="1077" w:type="dxa"/>
          </w:tcPr>
          <w:p w14:paraId="4FDEC37A" w14:textId="77777777" w:rsidR="005A7077" w:rsidRPr="00F4410B" w:rsidRDefault="005A7077" w:rsidP="00B10CB3">
            <w:pPr>
              <w:spacing w:before="60"/>
              <w:ind w:right="-284"/>
              <w:jc w:val="left"/>
              <w:rPr>
                <w:color w:val="000000"/>
                <w:spacing w:val="-6"/>
                <w:sz w:val="14"/>
                <w:szCs w:val="14"/>
                <w:rtl/>
                <w:lang w:eastAsia="he-IL"/>
              </w:rPr>
            </w:pPr>
          </w:p>
        </w:tc>
        <w:tc>
          <w:tcPr>
            <w:tcW w:w="450" w:type="dxa"/>
          </w:tcPr>
          <w:p w14:paraId="2FFE00BA" w14:textId="77777777" w:rsidR="005A7077" w:rsidRPr="00F4410B" w:rsidRDefault="005A7077" w:rsidP="00B10CB3">
            <w:pPr>
              <w:spacing w:line="241" w:lineRule="auto"/>
              <w:ind w:left="144" w:hanging="144"/>
              <w:jc w:val="left"/>
              <w:rPr>
                <w:b/>
                <w:bCs/>
                <w:color w:val="000000"/>
                <w:rtl/>
                <w:lang w:eastAsia="he-IL"/>
              </w:rPr>
            </w:pPr>
          </w:p>
        </w:tc>
        <w:tc>
          <w:tcPr>
            <w:tcW w:w="3443" w:type="dxa"/>
            <w:vAlign w:val="bottom"/>
          </w:tcPr>
          <w:p w14:paraId="3E6EBE81" w14:textId="77777777" w:rsidR="005A7077" w:rsidRPr="00F4410B" w:rsidRDefault="005A7077" w:rsidP="00B10CB3">
            <w:pPr>
              <w:keepLines/>
              <w:jc w:val="left"/>
              <w:outlineLvl w:val="1"/>
              <w:rPr>
                <w:color w:val="000000"/>
                <w:sz w:val="18"/>
                <w:szCs w:val="18"/>
                <w:lang w:eastAsia="he-IL"/>
              </w:rPr>
            </w:pPr>
            <w:r w:rsidRPr="00F4410B">
              <w:rPr>
                <w:rFonts w:hint="eastAsia"/>
                <w:color w:val="000000"/>
                <w:sz w:val="18"/>
                <w:szCs w:val="18"/>
                <w:rtl/>
                <w:lang w:eastAsia="he-IL"/>
              </w:rPr>
              <w:t>חובות</w:t>
            </w:r>
            <w:r w:rsidRPr="00F4410B">
              <w:rPr>
                <w:color w:val="000000"/>
                <w:sz w:val="18"/>
                <w:szCs w:val="18"/>
                <w:rtl/>
                <w:lang w:eastAsia="he-IL"/>
              </w:rPr>
              <w:t xml:space="preserve"> </w:t>
            </w:r>
            <w:r w:rsidRPr="00F4410B">
              <w:rPr>
                <w:rFonts w:hint="eastAsia"/>
                <w:color w:val="000000"/>
                <w:sz w:val="18"/>
                <w:szCs w:val="18"/>
                <w:rtl/>
                <w:lang w:eastAsia="he-IL"/>
              </w:rPr>
              <w:t>שנבדקו</w:t>
            </w:r>
            <w:r w:rsidRPr="00F4410B">
              <w:rPr>
                <w:color w:val="000000"/>
                <w:sz w:val="18"/>
                <w:szCs w:val="18"/>
                <w:rtl/>
                <w:lang w:eastAsia="he-IL"/>
              </w:rPr>
              <w:t xml:space="preserve"> </w:t>
            </w:r>
            <w:r w:rsidRPr="00F4410B">
              <w:rPr>
                <w:rFonts w:hint="eastAsia"/>
                <w:color w:val="000000"/>
                <w:sz w:val="18"/>
                <w:szCs w:val="18"/>
                <w:rtl/>
                <w:lang w:eastAsia="he-IL"/>
              </w:rPr>
              <w:t>על</w:t>
            </w:r>
            <w:r w:rsidRPr="00F4410B">
              <w:rPr>
                <w:color w:val="000000"/>
                <w:sz w:val="18"/>
                <w:szCs w:val="18"/>
                <w:rtl/>
                <w:lang w:eastAsia="he-IL"/>
              </w:rPr>
              <w:t xml:space="preserve"> </w:t>
            </w:r>
            <w:r w:rsidRPr="00F4410B">
              <w:rPr>
                <w:rFonts w:hint="eastAsia"/>
                <w:color w:val="000000"/>
                <w:sz w:val="18"/>
                <w:szCs w:val="18"/>
                <w:rtl/>
                <w:lang w:eastAsia="he-IL"/>
              </w:rPr>
              <w:t>בסיס</w:t>
            </w:r>
            <w:r w:rsidRPr="00F4410B">
              <w:rPr>
                <w:color w:val="000000"/>
                <w:sz w:val="18"/>
                <w:szCs w:val="18"/>
                <w:rtl/>
                <w:lang w:eastAsia="he-IL"/>
              </w:rPr>
              <w:t xml:space="preserve"> </w:t>
            </w:r>
            <w:r w:rsidRPr="00F4410B">
              <w:rPr>
                <w:rFonts w:hint="eastAsia"/>
                <w:color w:val="000000"/>
                <w:sz w:val="18"/>
                <w:szCs w:val="18"/>
                <w:rtl/>
                <w:lang w:eastAsia="he-IL"/>
              </w:rPr>
              <w:t>פרטני</w:t>
            </w:r>
          </w:p>
        </w:tc>
        <w:tc>
          <w:tcPr>
            <w:tcW w:w="748" w:type="dxa"/>
            <w:vAlign w:val="bottom"/>
          </w:tcPr>
          <w:p w14:paraId="398F3A06" w14:textId="77777777" w:rsidR="005A7077" w:rsidRPr="00F4410B" w:rsidRDefault="005A7077" w:rsidP="00B10CB3">
            <w:pPr>
              <w:keepLines/>
              <w:outlineLvl w:val="1"/>
              <w:rPr>
                <w:sz w:val="18"/>
                <w:szCs w:val="18"/>
                <w:rtl/>
              </w:rPr>
            </w:pPr>
            <w:r w:rsidRPr="00F4410B">
              <w:rPr>
                <w:sz w:val="18"/>
                <w:szCs w:val="18"/>
                <w:rtl/>
              </w:rPr>
              <w:t xml:space="preserve"> 0</w:t>
            </w:r>
          </w:p>
        </w:tc>
        <w:tc>
          <w:tcPr>
            <w:tcW w:w="762" w:type="dxa"/>
            <w:vAlign w:val="bottom"/>
          </w:tcPr>
          <w:p w14:paraId="46B1C5E1" w14:textId="77777777" w:rsidR="005A7077" w:rsidRPr="00F4410B" w:rsidRDefault="005A7077" w:rsidP="00B10CB3">
            <w:pPr>
              <w:keepLines/>
              <w:outlineLvl w:val="1"/>
              <w:rPr>
                <w:sz w:val="18"/>
                <w:szCs w:val="18"/>
                <w:rtl/>
              </w:rPr>
            </w:pPr>
            <w:r w:rsidRPr="00F4410B">
              <w:rPr>
                <w:sz w:val="18"/>
                <w:szCs w:val="18"/>
                <w:rtl/>
              </w:rPr>
              <w:t xml:space="preserve"> 0</w:t>
            </w:r>
          </w:p>
        </w:tc>
        <w:tc>
          <w:tcPr>
            <w:tcW w:w="884" w:type="dxa"/>
            <w:vAlign w:val="bottom"/>
          </w:tcPr>
          <w:p w14:paraId="2D013071" w14:textId="77777777" w:rsidR="005A7077" w:rsidRPr="00F4410B" w:rsidRDefault="005A7077" w:rsidP="00B10CB3">
            <w:pPr>
              <w:keepLines/>
              <w:outlineLvl w:val="1"/>
              <w:rPr>
                <w:sz w:val="18"/>
                <w:szCs w:val="18"/>
                <w:rtl/>
              </w:rPr>
            </w:pPr>
            <w:r w:rsidRPr="00F4410B">
              <w:rPr>
                <w:sz w:val="18"/>
                <w:szCs w:val="18"/>
                <w:rtl/>
              </w:rPr>
              <w:t xml:space="preserve"> 0</w:t>
            </w:r>
          </w:p>
        </w:tc>
        <w:tc>
          <w:tcPr>
            <w:tcW w:w="739" w:type="dxa"/>
            <w:vAlign w:val="bottom"/>
          </w:tcPr>
          <w:p w14:paraId="21AC2184" w14:textId="77777777" w:rsidR="005A7077" w:rsidRPr="00F4410B" w:rsidRDefault="005A7077" w:rsidP="00B10CB3">
            <w:pPr>
              <w:keepLines/>
              <w:outlineLvl w:val="1"/>
              <w:rPr>
                <w:sz w:val="18"/>
                <w:szCs w:val="18"/>
                <w:rtl/>
              </w:rPr>
            </w:pPr>
            <w:r w:rsidRPr="00F4410B">
              <w:rPr>
                <w:sz w:val="18"/>
                <w:szCs w:val="18"/>
                <w:rtl/>
              </w:rPr>
              <w:t xml:space="preserve"> 0</w:t>
            </w:r>
          </w:p>
        </w:tc>
        <w:tc>
          <w:tcPr>
            <w:tcW w:w="944" w:type="dxa"/>
            <w:vAlign w:val="bottom"/>
          </w:tcPr>
          <w:p w14:paraId="638E7CD9" w14:textId="77777777" w:rsidR="005A7077" w:rsidRDefault="005A7077" w:rsidP="00B10CB3">
            <w:pPr>
              <w:keepLines/>
              <w:outlineLvl w:val="1"/>
              <w:rPr>
                <w:sz w:val="18"/>
                <w:szCs w:val="18"/>
                <w:rtl/>
              </w:rPr>
            </w:pPr>
            <w:r w:rsidRPr="00F4410B">
              <w:rPr>
                <w:sz w:val="18"/>
                <w:szCs w:val="18"/>
                <w:rtl/>
              </w:rPr>
              <w:t xml:space="preserve"> 0</w:t>
            </w:r>
          </w:p>
        </w:tc>
        <w:tc>
          <w:tcPr>
            <w:tcW w:w="667" w:type="dxa"/>
            <w:vAlign w:val="bottom"/>
          </w:tcPr>
          <w:p w14:paraId="6C587E00" w14:textId="77777777" w:rsidR="005A7077" w:rsidRDefault="005A7077" w:rsidP="00B10CB3">
            <w:pPr>
              <w:keepLines/>
              <w:outlineLvl w:val="1"/>
              <w:rPr>
                <w:sz w:val="18"/>
                <w:szCs w:val="18"/>
                <w:rtl/>
              </w:rPr>
            </w:pPr>
            <w:r w:rsidRPr="00F4410B">
              <w:rPr>
                <w:sz w:val="18"/>
                <w:szCs w:val="18"/>
                <w:rtl/>
              </w:rPr>
              <w:t xml:space="preserve"> 0</w:t>
            </w:r>
          </w:p>
        </w:tc>
      </w:tr>
      <w:tr w:rsidR="005A7077" w:rsidRPr="00F4410B" w14:paraId="7C66B610" w14:textId="77777777" w:rsidTr="00AB0DD8">
        <w:trPr>
          <w:trHeight w:val="245"/>
        </w:trPr>
        <w:tc>
          <w:tcPr>
            <w:tcW w:w="1077" w:type="dxa"/>
          </w:tcPr>
          <w:p w14:paraId="434C01B6" w14:textId="77777777" w:rsidR="005A7077" w:rsidRPr="00F4410B" w:rsidRDefault="005A7077" w:rsidP="00B10CB3">
            <w:pPr>
              <w:spacing w:before="40"/>
              <w:ind w:right="-284"/>
              <w:jc w:val="left"/>
              <w:rPr>
                <w:color w:val="000000"/>
                <w:spacing w:val="-6"/>
                <w:rtl/>
                <w:lang w:eastAsia="he-IL"/>
              </w:rPr>
            </w:pPr>
          </w:p>
        </w:tc>
        <w:tc>
          <w:tcPr>
            <w:tcW w:w="450" w:type="dxa"/>
          </w:tcPr>
          <w:p w14:paraId="55EA8546" w14:textId="77777777" w:rsidR="005A7077" w:rsidRPr="00F4410B" w:rsidRDefault="005A7077" w:rsidP="00B10CB3">
            <w:pPr>
              <w:spacing w:line="241" w:lineRule="auto"/>
              <w:ind w:left="432" w:hanging="144"/>
              <w:jc w:val="left"/>
              <w:rPr>
                <w:color w:val="000000"/>
                <w:rtl/>
                <w:lang w:eastAsia="he-IL"/>
              </w:rPr>
            </w:pPr>
          </w:p>
        </w:tc>
        <w:tc>
          <w:tcPr>
            <w:tcW w:w="3443" w:type="dxa"/>
            <w:vAlign w:val="bottom"/>
          </w:tcPr>
          <w:p w14:paraId="2107A653" w14:textId="77777777" w:rsidR="005A7077" w:rsidRPr="00F4410B" w:rsidRDefault="005A7077" w:rsidP="00B10CB3">
            <w:pPr>
              <w:spacing w:line="241" w:lineRule="auto"/>
              <w:ind w:left="144" w:hanging="144"/>
              <w:jc w:val="left"/>
              <w:rPr>
                <w:b/>
                <w:bCs/>
                <w:color w:val="000000"/>
                <w:sz w:val="18"/>
                <w:szCs w:val="18"/>
                <w:lang w:eastAsia="he-IL"/>
              </w:rPr>
            </w:pPr>
            <w:r w:rsidRPr="00F4410B">
              <w:rPr>
                <w:rFonts w:hint="eastAsia"/>
                <w:color w:val="000000"/>
                <w:sz w:val="18"/>
                <w:szCs w:val="18"/>
                <w:rtl/>
                <w:lang w:eastAsia="he-IL"/>
              </w:rPr>
              <w:t>חובות</w:t>
            </w:r>
            <w:r w:rsidRPr="00F4410B">
              <w:rPr>
                <w:color w:val="000000"/>
                <w:sz w:val="18"/>
                <w:szCs w:val="18"/>
                <w:rtl/>
                <w:lang w:eastAsia="he-IL"/>
              </w:rPr>
              <w:t xml:space="preserve"> </w:t>
            </w:r>
            <w:r w:rsidRPr="00F4410B">
              <w:rPr>
                <w:rFonts w:hint="eastAsia"/>
                <w:color w:val="000000"/>
                <w:sz w:val="18"/>
                <w:szCs w:val="18"/>
                <w:rtl/>
                <w:lang w:eastAsia="he-IL"/>
              </w:rPr>
              <w:t>שנבדקו</w:t>
            </w:r>
            <w:r w:rsidRPr="00F4410B">
              <w:rPr>
                <w:color w:val="000000"/>
                <w:sz w:val="18"/>
                <w:szCs w:val="18"/>
                <w:rtl/>
                <w:lang w:eastAsia="he-IL"/>
              </w:rPr>
              <w:t xml:space="preserve"> </w:t>
            </w:r>
            <w:r w:rsidRPr="00F4410B">
              <w:rPr>
                <w:rFonts w:hint="eastAsia"/>
                <w:color w:val="000000"/>
                <w:sz w:val="18"/>
                <w:szCs w:val="18"/>
                <w:rtl/>
                <w:lang w:eastAsia="he-IL"/>
              </w:rPr>
              <w:t>על</w:t>
            </w:r>
            <w:r w:rsidRPr="00F4410B">
              <w:rPr>
                <w:color w:val="000000"/>
                <w:sz w:val="18"/>
                <w:szCs w:val="18"/>
                <w:rtl/>
                <w:lang w:eastAsia="he-IL"/>
              </w:rPr>
              <w:t xml:space="preserve"> </w:t>
            </w:r>
            <w:r w:rsidRPr="00F4410B">
              <w:rPr>
                <w:rFonts w:hint="eastAsia"/>
                <w:color w:val="000000"/>
                <w:sz w:val="18"/>
                <w:szCs w:val="18"/>
                <w:rtl/>
                <w:lang w:eastAsia="he-IL"/>
              </w:rPr>
              <w:t>בסיס</w:t>
            </w:r>
            <w:r w:rsidRPr="00F4410B">
              <w:rPr>
                <w:color w:val="000000"/>
                <w:sz w:val="18"/>
                <w:szCs w:val="18"/>
                <w:rtl/>
                <w:lang w:eastAsia="he-IL"/>
              </w:rPr>
              <w:t xml:space="preserve"> </w:t>
            </w:r>
            <w:r w:rsidRPr="00F4410B">
              <w:rPr>
                <w:rFonts w:hint="eastAsia"/>
                <w:color w:val="000000"/>
                <w:sz w:val="18"/>
                <w:szCs w:val="18"/>
                <w:rtl/>
                <w:lang w:eastAsia="he-IL"/>
              </w:rPr>
              <w:t>קבוצתי</w:t>
            </w:r>
          </w:p>
        </w:tc>
        <w:tc>
          <w:tcPr>
            <w:tcW w:w="748" w:type="dxa"/>
            <w:vAlign w:val="bottom"/>
          </w:tcPr>
          <w:p w14:paraId="3D84741A" w14:textId="77777777" w:rsidR="005A7077" w:rsidRPr="00F4410B" w:rsidRDefault="005A7077" w:rsidP="00B10CB3">
            <w:pPr>
              <w:pBdr>
                <w:bottom w:val="single" w:sz="4" w:space="1" w:color="auto"/>
              </w:pBdr>
              <w:spacing w:line="241" w:lineRule="auto"/>
              <w:rPr>
                <w:sz w:val="18"/>
                <w:szCs w:val="18"/>
                <w:rtl/>
              </w:rPr>
            </w:pPr>
            <w:r w:rsidRPr="00F4410B">
              <w:rPr>
                <w:sz w:val="18"/>
                <w:szCs w:val="18"/>
                <w:rtl/>
              </w:rPr>
              <w:t xml:space="preserve"> 0</w:t>
            </w:r>
          </w:p>
        </w:tc>
        <w:tc>
          <w:tcPr>
            <w:tcW w:w="762" w:type="dxa"/>
            <w:vAlign w:val="bottom"/>
          </w:tcPr>
          <w:p w14:paraId="1D66DAE5" w14:textId="77777777" w:rsidR="005A7077" w:rsidRPr="00F4410B" w:rsidRDefault="005A7077" w:rsidP="00B10CB3">
            <w:pPr>
              <w:pBdr>
                <w:bottom w:val="single" w:sz="4" w:space="1" w:color="auto"/>
              </w:pBdr>
              <w:spacing w:line="241" w:lineRule="auto"/>
              <w:rPr>
                <w:sz w:val="18"/>
                <w:szCs w:val="18"/>
                <w:rtl/>
              </w:rPr>
            </w:pPr>
            <w:r w:rsidRPr="00F4410B">
              <w:rPr>
                <w:sz w:val="18"/>
                <w:szCs w:val="18"/>
                <w:rtl/>
              </w:rPr>
              <w:t xml:space="preserve"> 0</w:t>
            </w:r>
          </w:p>
        </w:tc>
        <w:tc>
          <w:tcPr>
            <w:tcW w:w="884" w:type="dxa"/>
            <w:vAlign w:val="bottom"/>
          </w:tcPr>
          <w:p w14:paraId="0DE847AE" w14:textId="77777777" w:rsidR="005A7077" w:rsidRPr="00F4410B" w:rsidRDefault="005A7077" w:rsidP="00B10CB3">
            <w:pPr>
              <w:pBdr>
                <w:bottom w:val="single" w:sz="4" w:space="1" w:color="auto"/>
              </w:pBdr>
              <w:spacing w:line="241" w:lineRule="auto"/>
              <w:rPr>
                <w:sz w:val="18"/>
                <w:szCs w:val="18"/>
                <w:rtl/>
              </w:rPr>
            </w:pPr>
            <w:r w:rsidRPr="00F4410B">
              <w:rPr>
                <w:sz w:val="18"/>
                <w:szCs w:val="18"/>
                <w:rtl/>
              </w:rPr>
              <w:t xml:space="preserve"> 0</w:t>
            </w:r>
          </w:p>
        </w:tc>
        <w:tc>
          <w:tcPr>
            <w:tcW w:w="739" w:type="dxa"/>
            <w:vAlign w:val="bottom"/>
          </w:tcPr>
          <w:p w14:paraId="23129270" w14:textId="77777777" w:rsidR="005A7077" w:rsidRPr="00F4410B" w:rsidRDefault="005A7077" w:rsidP="00B10CB3">
            <w:pPr>
              <w:pBdr>
                <w:bottom w:val="single" w:sz="4" w:space="1" w:color="auto"/>
              </w:pBdr>
              <w:spacing w:line="241" w:lineRule="auto"/>
              <w:rPr>
                <w:sz w:val="18"/>
                <w:szCs w:val="18"/>
                <w:rtl/>
              </w:rPr>
            </w:pPr>
            <w:r w:rsidRPr="00F4410B">
              <w:rPr>
                <w:sz w:val="18"/>
                <w:szCs w:val="18"/>
                <w:rtl/>
              </w:rPr>
              <w:t xml:space="preserve"> 0</w:t>
            </w:r>
          </w:p>
        </w:tc>
        <w:tc>
          <w:tcPr>
            <w:tcW w:w="944" w:type="dxa"/>
            <w:vAlign w:val="bottom"/>
          </w:tcPr>
          <w:p w14:paraId="1A889D52" w14:textId="77777777" w:rsidR="005A7077" w:rsidRDefault="005A7077" w:rsidP="00B10CB3">
            <w:pPr>
              <w:pBdr>
                <w:bottom w:val="single" w:sz="4" w:space="1" w:color="auto"/>
              </w:pBdr>
              <w:spacing w:line="241" w:lineRule="auto"/>
              <w:rPr>
                <w:sz w:val="18"/>
                <w:szCs w:val="18"/>
                <w:rtl/>
              </w:rPr>
            </w:pPr>
            <w:r w:rsidRPr="00F4410B">
              <w:rPr>
                <w:sz w:val="18"/>
                <w:szCs w:val="18"/>
                <w:rtl/>
              </w:rPr>
              <w:t xml:space="preserve"> 0</w:t>
            </w:r>
          </w:p>
        </w:tc>
        <w:tc>
          <w:tcPr>
            <w:tcW w:w="667" w:type="dxa"/>
            <w:vAlign w:val="bottom"/>
          </w:tcPr>
          <w:p w14:paraId="060802F9" w14:textId="77777777" w:rsidR="005A7077" w:rsidRDefault="005A7077" w:rsidP="00B10CB3">
            <w:pPr>
              <w:pBdr>
                <w:bottom w:val="single" w:sz="4" w:space="1" w:color="auto"/>
              </w:pBdr>
              <w:spacing w:line="241" w:lineRule="auto"/>
              <w:rPr>
                <w:sz w:val="18"/>
                <w:szCs w:val="18"/>
                <w:rtl/>
              </w:rPr>
            </w:pPr>
            <w:r w:rsidRPr="00F4410B">
              <w:rPr>
                <w:sz w:val="18"/>
                <w:szCs w:val="18"/>
                <w:rtl/>
              </w:rPr>
              <w:t xml:space="preserve"> 0</w:t>
            </w:r>
          </w:p>
        </w:tc>
      </w:tr>
      <w:tr w:rsidR="005A7077" w:rsidRPr="00F4410B" w14:paraId="4D2F192F" w14:textId="77777777" w:rsidTr="00AB0DD8">
        <w:trPr>
          <w:trHeight w:val="245"/>
        </w:trPr>
        <w:tc>
          <w:tcPr>
            <w:tcW w:w="1077" w:type="dxa"/>
          </w:tcPr>
          <w:p w14:paraId="0B637914" w14:textId="77777777" w:rsidR="005A7077" w:rsidRPr="00F4410B" w:rsidRDefault="005A7077" w:rsidP="00B10CB3">
            <w:pPr>
              <w:spacing w:line="241" w:lineRule="auto"/>
              <w:ind w:left="432" w:right="-284" w:hanging="144"/>
              <w:jc w:val="left"/>
              <w:rPr>
                <w:color w:val="000000"/>
                <w:spacing w:val="-6"/>
                <w:rtl/>
                <w:lang w:eastAsia="he-IL"/>
              </w:rPr>
            </w:pPr>
          </w:p>
        </w:tc>
        <w:tc>
          <w:tcPr>
            <w:tcW w:w="450" w:type="dxa"/>
          </w:tcPr>
          <w:p w14:paraId="0228B216" w14:textId="77777777" w:rsidR="005A7077" w:rsidRPr="00F4410B" w:rsidRDefault="005A7077" w:rsidP="00B10CB3">
            <w:pPr>
              <w:spacing w:line="241" w:lineRule="auto"/>
              <w:ind w:left="432" w:hanging="144"/>
              <w:jc w:val="left"/>
              <w:rPr>
                <w:color w:val="000000"/>
                <w:rtl/>
                <w:lang w:eastAsia="he-IL"/>
              </w:rPr>
            </w:pPr>
          </w:p>
        </w:tc>
        <w:tc>
          <w:tcPr>
            <w:tcW w:w="3443" w:type="dxa"/>
            <w:vAlign w:val="bottom"/>
          </w:tcPr>
          <w:p w14:paraId="6E44A3D9" w14:textId="77777777" w:rsidR="005A7077" w:rsidRPr="00F4410B" w:rsidRDefault="005A7077" w:rsidP="00B10CB3">
            <w:pPr>
              <w:spacing w:line="241" w:lineRule="auto"/>
              <w:ind w:left="144" w:hanging="144"/>
              <w:jc w:val="left"/>
              <w:rPr>
                <w:b/>
                <w:bCs/>
                <w:color w:val="000000"/>
                <w:sz w:val="18"/>
                <w:szCs w:val="18"/>
                <w:lang w:eastAsia="he-IL"/>
              </w:rPr>
            </w:pPr>
            <w:r w:rsidRPr="00F4410B">
              <w:rPr>
                <w:rFonts w:hint="eastAsia"/>
                <w:b/>
                <w:bCs/>
                <w:color w:val="000000"/>
                <w:sz w:val="18"/>
                <w:szCs w:val="18"/>
                <w:rtl/>
                <w:lang w:eastAsia="he-IL"/>
              </w:rPr>
              <w:t>סך</w:t>
            </w:r>
            <w:r w:rsidRPr="00F4410B">
              <w:rPr>
                <w:b/>
                <w:bCs/>
                <w:color w:val="000000"/>
                <w:sz w:val="18"/>
                <w:szCs w:val="18"/>
                <w:rtl/>
                <w:lang w:eastAsia="he-IL"/>
              </w:rPr>
              <w:t xml:space="preserve"> </w:t>
            </w:r>
            <w:r w:rsidRPr="00F4410B">
              <w:rPr>
                <w:rFonts w:hint="eastAsia"/>
                <w:b/>
                <w:bCs/>
                <w:color w:val="000000"/>
                <w:sz w:val="18"/>
                <w:szCs w:val="18"/>
                <w:rtl/>
                <w:lang w:eastAsia="he-IL"/>
              </w:rPr>
              <w:t>הכל</w:t>
            </w:r>
            <w:r w:rsidRPr="00F4410B">
              <w:rPr>
                <w:rFonts w:hint="cs"/>
                <w:b/>
                <w:bCs/>
                <w:color w:val="000000"/>
                <w:sz w:val="18"/>
                <w:szCs w:val="18"/>
                <w:rtl/>
                <w:lang w:eastAsia="he-IL"/>
              </w:rPr>
              <w:t>*</w:t>
            </w:r>
          </w:p>
        </w:tc>
        <w:tc>
          <w:tcPr>
            <w:tcW w:w="748" w:type="dxa"/>
            <w:vAlign w:val="bottom"/>
          </w:tcPr>
          <w:p w14:paraId="5A4E9BF7" w14:textId="77777777" w:rsidR="005A7077" w:rsidRPr="00F4410B" w:rsidRDefault="005A7077" w:rsidP="00B10CB3">
            <w:pPr>
              <w:spacing w:line="241" w:lineRule="auto"/>
              <w:rPr>
                <w:b/>
                <w:bCs/>
                <w:sz w:val="18"/>
                <w:szCs w:val="18"/>
                <w:rtl/>
              </w:rPr>
            </w:pPr>
            <w:r w:rsidRPr="00F4410B">
              <w:rPr>
                <w:b/>
                <w:bCs/>
                <w:sz w:val="18"/>
                <w:szCs w:val="18"/>
                <w:rtl/>
              </w:rPr>
              <w:t xml:space="preserve"> 0</w:t>
            </w:r>
          </w:p>
        </w:tc>
        <w:tc>
          <w:tcPr>
            <w:tcW w:w="762" w:type="dxa"/>
            <w:vAlign w:val="bottom"/>
          </w:tcPr>
          <w:p w14:paraId="14C2454C" w14:textId="77777777" w:rsidR="005A7077" w:rsidRPr="00F4410B" w:rsidRDefault="005A7077" w:rsidP="00B10CB3">
            <w:pPr>
              <w:spacing w:line="241" w:lineRule="auto"/>
              <w:rPr>
                <w:b/>
                <w:bCs/>
                <w:sz w:val="18"/>
                <w:szCs w:val="18"/>
                <w:rtl/>
              </w:rPr>
            </w:pPr>
            <w:r w:rsidRPr="00F4410B">
              <w:rPr>
                <w:b/>
                <w:bCs/>
                <w:sz w:val="18"/>
                <w:szCs w:val="18"/>
                <w:rtl/>
              </w:rPr>
              <w:t xml:space="preserve"> 0</w:t>
            </w:r>
          </w:p>
        </w:tc>
        <w:tc>
          <w:tcPr>
            <w:tcW w:w="884" w:type="dxa"/>
            <w:vAlign w:val="bottom"/>
          </w:tcPr>
          <w:p w14:paraId="7BE94408" w14:textId="77777777" w:rsidR="005A7077" w:rsidRPr="00F4410B" w:rsidRDefault="005A7077" w:rsidP="00B10CB3">
            <w:pPr>
              <w:spacing w:line="241" w:lineRule="auto"/>
              <w:rPr>
                <w:b/>
                <w:bCs/>
                <w:sz w:val="18"/>
                <w:szCs w:val="18"/>
                <w:rtl/>
              </w:rPr>
            </w:pPr>
            <w:r w:rsidRPr="00F4410B">
              <w:rPr>
                <w:b/>
                <w:bCs/>
                <w:sz w:val="18"/>
                <w:szCs w:val="18"/>
                <w:rtl/>
              </w:rPr>
              <w:t xml:space="preserve"> 0</w:t>
            </w:r>
          </w:p>
        </w:tc>
        <w:tc>
          <w:tcPr>
            <w:tcW w:w="739" w:type="dxa"/>
            <w:vAlign w:val="bottom"/>
          </w:tcPr>
          <w:p w14:paraId="3EE3D56D" w14:textId="77777777" w:rsidR="005A7077" w:rsidRPr="00F4410B" w:rsidRDefault="005A7077" w:rsidP="00B10CB3">
            <w:pPr>
              <w:spacing w:line="241" w:lineRule="auto"/>
              <w:rPr>
                <w:b/>
                <w:bCs/>
                <w:sz w:val="18"/>
                <w:szCs w:val="18"/>
                <w:rtl/>
              </w:rPr>
            </w:pPr>
            <w:r w:rsidRPr="00F4410B">
              <w:rPr>
                <w:b/>
                <w:bCs/>
                <w:sz w:val="18"/>
                <w:szCs w:val="18"/>
                <w:rtl/>
              </w:rPr>
              <w:t xml:space="preserve"> 0</w:t>
            </w:r>
          </w:p>
        </w:tc>
        <w:tc>
          <w:tcPr>
            <w:tcW w:w="944" w:type="dxa"/>
            <w:vAlign w:val="bottom"/>
          </w:tcPr>
          <w:p w14:paraId="457F8D71" w14:textId="77777777" w:rsidR="005A7077" w:rsidRDefault="005A7077" w:rsidP="00B10CB3">
            <w:pPr>
              <w:spacing w:line="241" w:lineRule="auto"/>
              <w:rPr>
                <w:b/>
                <w:bCs/>
                <w:sz w:val="18"/>
                <w:szCs w:val="18"/>
                <w:rtl/>
              </w:rPr>
            </w:pPr>
            <w:r w:rsidRPr="00F4410B">
              <w:rPr>
                <w:b/>
                <w:bCs/>
                <w:sz w:val="18"/>
                <w:szCs w:val="18"/>
                <w:rtl/>
              </w:rPr>
              <w:t xml:space="preserve"> 0</w:t>
            </w:r>
          </w:p>
        </w:tc>
        <w:tc>
          <w:tcPr>
            <w:tcW w:w="667" w:type="dxa"/>
            <w:vAlign w:val="bottom"/>
          </w:tcPr>
          <w:p w14:paraId="4961EF88" w14:textId="77777777" w:rsidR="005A7077" w:rsidRDefault="005A7077" w:rsidP="00B10CB3">
            <w:pPr>
              <w:spacing w:line="241" w:lineRule="auto"/>
              <w:rPr>
                <w:b/>
                <w:bCs/>
                <w:sz w:val="18"/>
                <w:szCs w:val="18"/>
                <w:rtl/>
              </w:rPr>
            </w:pPr>
            <w:r w:rsidRPr="00F4410B">
              <w:rPr>
                <w:b/>
                <w:bCs/>
                <w:sz w:val="18"/>
                <w:szCs w:val="18"/>
                <w:rtl/>
              </w:rPr>
              <w:t xml:space="preserve"> 0</w:t>
            </w:r>
          </w:p>
        </w:tc>
      </w:tr>
      <w:tr w:rsidR="005A7077" w:rsidRPr="00F4410B" w14:paraId="7F5032E1" w14:textId="77777777" w:rsidTr="00AB0DD8">
        <w:trPr>
          <w:trHeight w:val="245"/>
        </w:trPr>
        <w:tc>
          <w:tcPr>
            <w:tcW w:w="1077" w:type="dxa"/>
          </w:tcPr>
          <w:p w14:paraId="22E605AE" w14:textId="77777777" w:rsidR="005A7077" w:rsidRPr="00F4410B" w:rsidRDefault="005A7077" w:rsidP="00B10CB3">
            <w:pPr>
              <w:spacing w:before="40"/>
              <w:ind w:right="-284"/>
              <w:jc w:val="left"/>
              <w:rPr>
                <w:color w:val="000000"/>
                <w:spacing w:val="-6"/>
                <w:sz w:val="14"/>
                <w:szCs w:val="14"/>
                <w:rtl/>
                <w:lang w:eastAsia="he-IL"/>
              </w:rPr>
            </w:pPr>
          </w:p>
        </w:tc>
        <w:tc>
          <w:tcPr>
            <w:tcW w:w="450" w:type="dxa"/>
          </w:tcPr>
          <w:p w14:paraId="6D74A35F" w14:textId="77777777" w:rsidR="005A7077" w:rsidRPr="00F4410B" w:rsidRDefault="005A7077" w:rsidP="00B10CB3">
            <w:pPr>
              <w:spacing w:line="241" w:lineRule="auto"/>
              <w:ind w:left="432" w:hanging="144"/>
              <w:jc w:val="left"/>
              <w:rPr>
                <w:color w:val="000000"/>
                <w:rtl/>
                <w:lang w:eastAsia="he-IL"/>
              </w:rPr>
            </w:pPr>
          </w:p>
        </w:tc>
        <w:tc>
          <w:tcPr>
            <w:tcW w:w="3443" w:type="dxa"/>
            <w:vAlign w:val="bottom"/>
          </w:tcPr>
          <w:p w14:paraId="2EAC7870" w14:textId="77777777" w:rsidR="005A7077" w:rsidRPr="00F4410B" w:rsidRDefault="005A7077" w:rsidP="00B10CB3">
            <w:pPr>
              <w:spacing w:line="241" w:lineRule="auto"/>
              <w:ind w:left="144" w:hanging="144"/>
              <w:jc w:val="left"/>
              <w:rPr>
                <w:b/>
                <w:bCs/>
                <w:color w:val="000000"/>
                <w:sz w:val="18"/>
                <w:szCs w:val="18"/>
                <w:lang w:eastAsia="he-IL"/>
              </w:rPr>
            </w:pPr>
            <w:r w:rsidRPr="00F4410B">
              <w:rPr>
                <w:rFonts w:hint="cs"/>
                <w:color w:val="000000"/>
                <w:sz w:val="18"/>
                <w:szCs w:val="18"/>
                <w:rtl/>
                <w:lang w:eastAsia="he-IL"/>
              </w:rPr>
              <w:t>*</w:t>
            </w:r>
            <w:r>
              <w:rPr>
                <w:rFonts w:hint="cs"/>
                <w:color w:val="000000"/>
                <w:sz w:val="18"/>
                <w:szCs w:val="18"/>
                <w:rtl/>
                <w:lang w:eastAsia="he-IL"/>
              </w:rPr>
              <w:t xml:space="preserve"> </w:t>
            </w:r>
            <w:r w:rsidRPr="00F4410B">
              <w:rPr>
                <w:rFonts w:hint="cs"/>
                <w:color w:val="000000"/>
                <w:sz w:val="18"/>
                <w:szCs w:val="18"/>
                <w:rtl/>
                <w:lang w:eastAsia="he-IL"/>
              </w:rPr>
              <w:t>מזה:</w:t>
            </w:r>
          </w:p>
        </w:tc>
        <w:tc>
          <w:tcPr>
            <w:tcW w:w="748" w:type="dxa"/>
            <w:vAlign w:val="bottom"/>
          </w:tcPr>
          <w:p w14:paraId="29951D28" w14:textId="77777777" w:rsidR="005A7077" w:rsidRPr="00F4410B" w:rsidRDefault="005A7077" w:rsidP="00B10CB3">
            <w:pPr>
              <w:spacing w:line="241" w:lineRule="auto"/>
              <w:rPr>
                <w:sz w:val="18"/>
                <w:szCs w:val="18"/>
                <w:rtl/>
              </w:rPr>
            </w:pPr>
          </w:p>
        </w:tc>
        <w:tc>
          <w:tcPr>
            <w:tcW w:w="762" w:type="dxa"/>
            <w:vAlign w:val="bottom"/>
          </w:tcPr>
          <w:p w14:paraId="588C5169" w14:textId="77777777" w:rsidR="005A7077" w:rsidRPr="00F4410B" w:rsidRDefault="005A7077" w:rsidP="00B10CB3">
            <w:pPr>
              <w:spacing w:line="241" w:lineRule="auto"/>
              <w:rPr>
                <w:sz w:val="18"/>
                <w:szCs w:val="18"/>
                <w:rtl/>
              </w:rPr>
            </w:pPr>
          </w:p>
        </w:tc>
        <w:tc>
          <w:tcPr>
            <w:tcW w:w="884" w:type="dxa"/>
            <w:vAlign w:val="bottom"/>
          </w:tcPr>
          <w:p w14:paraId="1A1C06BC" w14:textId="77777777" w:rsidR="005A7077" w:rsidRPr="00F4410B" w:rsidRDefault="005A7077" w:rsidP="00B10CB3">
            <w:pPr>
              <w:spacing w:line="241" w:lineRule="auto"/>
              <w:rPr>
                <w:sz w:val="18"/>
                <w:szCs w:val="18"/>
                <w:rtl/>
              </w:rPr>
            </w:pPr>
          </w:p>
        </w:tc>
        <w:tc>
          <w:tcPr>
            <w:tcW w:w="739" w:type="dxa"/>
            <w:vAlign w:val="bottom"/>
          </w:tcPr>
          <w:p w14:paraId="403B08C1" w14:textId="77777777" w:rsidR="005A7077" w:rsidRPr="00F4410B" w:rsidRDefault="005A7077" w:rsidP="00B10CB3">
            <w:pPr>
              <w:spacing w:line="241" w:lineRule="auto"/>
              <w:rPr>
                <w:sz w:val="18"/>
                <w:szCs w:val="18"/>
                <w:rtl/>
              </w:rPr>
            </w:pPr>
          </w:p>
        </w:tc>
        <w:tc>
          <w:tcPr>
            <w:tcW w:w="944" w:type="dxa"/>
            <w:vAlign w:val="bottom"/>
          </w:tcPr>
          <w:p w14:paraId="33CB9F44" w14:textId="77777777" w:rsidR="005A7077" w:rsidRDefault="005A7077" w:rsidP="00B10CB3">
            <w:pPr>
              <w:spacing w:line="241" w:lineRule="auto"/>
              <w:rPr>
                <w:sz w:val="18"/>
                <w:szCs w:val="18"/>
                <w:rtl/>
              </w:rPr>
            </w:pPr>
          </w:p>
        </w:tc>
        <w:tc>
          <w:tcPr>
            <w:tcW w:w="667" w:type="dxa"/>
            <w:vAlign w:val="bottom"/>
          </w:tcPr>
          <w:p w14:paraId="25A9D4AA" w14:textId="77777777" w:rsidR="005A7077" w:rsidRDefault="005A7077" w:rsidP="00B10CB3">
            <w:pPr>
              <w:spacing w:line="241" w:lineRule="auto"/>
              <w:rPr>
                <w:sz w:val="18"/>
                <w:szCs w:val="18"/>
                <w:rtl/>
              </w:rPr>
            </w:pPr>
          </w:p>
        </w:tc>
      </w:tr>
      <w:tr w:rsidR="005A7077" w:rsidRPr="00F4410B" w14:paraId="314D1695" w14:textId="77777777" w:rsidTr="00AB0DD8">
        <w:trPr>
          <w:trHeight w:val="245"/>
        </w:trPr>
        <w:tc>
          <w:tcPr>
            <w:tcW w:w="1077" w:type="dxa"/>
          </w:tcPr>
          <w:p w14:paraId="42BCD9A0" w14:textId="77777777" w:rsidR="005A7077" w:rsidRPr="00F4410B" w:rsidRDefault="005A7077" w:rsidP="00B10CB3">
            <w:pPr>
              <w:spacing w:line="241" w:lineRule="auto"/>
              <w:ind w:left="432" w:right="-284" w:hanging="144"/>
              <w:jc w:val="left"/>
              <w:rPr>
                <w:color w:val="000000"/>
                <w:spacing w:val="-6"/>
                <w:rtl/>
                <w:lang w:eastAsia="he-IL"/>
              </w:rPr>
            </w:pPr>
          </w:p>
        </w:tc>
        <w:tc>
          <w:tcPr>
            <w:tcW w:w="450" w:type="dxa"/>
          </w:tcPr>
          <w:p w14:paraId="61F59A93" w14:textId="77777777" w:rsidR="005A7077" w:rsidRPr="00F4410B" w:rsidRDefault="005A7077" w:rsidP="00B10CB3">
            <w:pPr>
              <w:spacing w:line="241" w:lineRule="auto"/>
              <w:ind w:left="432" w:hanging="144"/>
              <w:jc w:val="left"/>
              <w:rPr>
                <w:color w:val="000000"/>
                <w:rtl/>
                <w:lang w:eastAsia="he-IL"/>
              </w:rPr>
            </w:pPr>
          </w:p>
        </w:tc>
        <w:tc>
          <w:tcPr>
            <w:tcW w:w="3443" w:type="dxa"/>
            <w:vAlign w:val="bottom"/>
          </w:tcPr>
          <w:p w14:paraId="2637F63C" w14:textId="77777777" w:rsidR="005A7077" w:rsidRPr="00512110" w:rsidRDefault="005A7077" w:rsidP="00512110">
            <w:pPr>
              <w:spacing w:line="241" w:lineRule="auto"/>
              <w:ind w:left="144"/>
              <w:jc w:val="left"/>
              <w:rPr>
                <w:color w:val="000000"/>
                <w:sz w:val="18"/>
                <w:szCs w:val="18"/>
                <w:rtl/>
                <w:lang w:eastAsia="he-IL"/>
              </w:rPr>
            </w:pPr>
            <w:r w:rsidRPr="00012157">
              <w:rPr>
                <w:rFonts w:hint="cs"/>
                <w:color w:val="000000"/>
                <w:sz w:val="18"/>
                <w:szCs w:val="18"/>
                <w:rtl/>
                <w:lang w:eastAsia="he-IL"/>
              </w:rPr>
              <w:t xml:space="preserve">חובות לא צוברים </w:t>
            </w:r>
          </w:p>
        </w:tc>
        <w:tc>
          <w:tcPr>
            <w:tcW w:w="748" w:type="dxa"/>
            <w:vAlign w:val="bottom"/>
          </w:tcPr>
          <w:p w14:paraId="4BEE26CD" w14:textId="77777777" w:rsidR="005A7077" w:rsidRPr="00F4410B" w:rsidRDefault="005A7077" w:rsidP="00B10CB3">
            <w:pPr>
              <w:spacing w:line="241" w:lineRule="auto"/>
              <w:rPr>
                <w:sz w:val="18"/>
                <w:szCs w:val="18"/>
                <w:rtl/>
              </w:rPr>
            </w:pPr>
            <w:r w:rsidRPr="009E7447">
              <w:rPr>
                <w:sz w:val="18"/>
                <w:szCs w:val="18"/>
                <w:rtl/>
              </w:rPr>
              <w:t xml:space="preserve"> 0</w:t>
            </w:r>
          </w:p>
        </w:tc>
        <w:tc>
          <w:tcPr>
            <w:tcW w:w="762" w:type="dxa"/>
            <w:vAlign w:val="bottom"/>
          </w:tcPr>
          <w:p w14:paraId="0A53597F" w14:textId="77777777" w:rsidR="005A7077" w:rsidRPr="00F4410B" w:rsidRDefault="005A7077" w:rsidP="00B10CB3">
            <w:pPr>
              <w:spacing w:line="241" w:lineRule="auto"/>
              <w:rPr>
                <w:sz w:val="18"/>
                <w:szCs w:val="18"/>
                <w:rtl/>
              </w:rPr>
            </w:pPr>
            <w:r w:rsidRPr="009E7447">
              <w:rPr>
                <w:sz w:val="18"/>
                <w:szCs w:val="18"/>
                <w:rtl/>
              </w:rPr>
              <w:t xml:space="preserve"> 0</w:t>
            </w:r>
          </w:p>
        </w:tc>
        <w:tc>
          <w:tcPr>
            <w:tcW w:w="884" w:type="dxa"/>
            <w:vAlign w:val="bottom"/>
          </w:tcPr>
          <w:p w14:paraId="3A9D1A81" w14:textId="77777777" w:rsidR="005A7077" w:rsidRPr="00F4410B" w:rsidRDefault="005A7077" w:rsidP="00B10CB3">
            <w:pPr>
              <w:spacing w:line="241" w:lineRule="auto"/>
              <w:rPr>
                <w:sz w:val="18"/>
                <w:szCs w:val="18"/>
                <w:rtl/>
              </w:rPr>
            </w:pPr>
            <w:r w:rsidRPr="009E7447">
              <w:rPr>
                <w:sz w:val="18"/>
                <w:szCs w:val="18"/>
                <w:rtl/>
              </w:rPr>
              <w:t xml:space="preserve"> 0</w:t>
            </w:r>
          </w:p>
        </w:tc>
        <w:tc>
          <w:tcPr>
            <w:tcW w:w="739" w:type="dxa"/>
            <w:vAlign w:val="bottom"/>
          </w:tcPr>
          <w:p w14:paraId="380E97A3" w14:textId="77777777" w:rsidR="005A7077" w:rsidRPr="00F4410B" w:rsidRDefault="005A7077" w:rsidP="00B10CB3">
            <w:pPr>
              <w:spacing w:line="241" w:lineRule="auto"/>
              <w:rPr>
                <w:sz w:val="18"/>
                <w:szCs w:val="18"/>
                <w:rtl/>
              </w:rPr>
            </w:pPr>
            <w:r w:rsidRPr="009E7447">
              <w:rPr>
                <w:sz w:val="18"/>
                <w:szCs w:val="18"/>
                <w:rtl/>
              </w:rPr>
              <w:t xml:space="preserve"> 0</w:t>
            </w:r>
          </w:p>
        </w:tc>
        <w:tc>
          <w:tcPr>
            <w:tcW w:w="944" w:type="dxa"/>
            <w:vAlign w:val="bottom"/>
          </w:tcPr>
          <w:p w14:paraId="22DC1AB7" w14:textId="77777777" w:rsidR="005A7077" w:rsidRDefault="005A7077" w:rsidP="00B10CB3">
            <w:pPr>
              <w:spacing w:line="241" w:lineRule="auto"/>
              <w:rPr>
                <w:sz w:val="18"/>
                <w:szCs w:val="18"/>
                <w:rtl/>
              </w:rPr>
            </w:pPr>
            <w:r w:rsidRPr="009E7447">
              <w:rPr>
                <w:sz w:val="18"/>
                <w:szCs w:val="18"/>
                <w:rtl/>
              </w:rPr>
              <w:t xml:space="preserve"> 0</w:t>
            </w:r>
          </w:p>
        </w:tc>
        <w:tc>
          <w:tcPr>
            <w:tcW w:w="667" w:type="dxa"/>
            <w:vAlign w:val="bottom"/>
          </w:tcPr>
          <w:p w14:paraId="70F9916E" w14:textId="77777777" w:rsidR="005A7077" w:rsidRDefault="005A7077" w:rsidP="00B10CB3">
            <w:pPr>
              <w:spacing w:line="241" w:lineRule="auto"/>
              <w:rPr>
                <w:sz w:val="18"/>
                <w:szCs w:val="18"/>
                <w:rtl/>
              </w:rPr>
            </w:pPr>
            <w:r w:rsidRPr="009E7447">
              <w:rPr>
                <w:sz w:val="18"/>
                <w:szCs w:val="18"/>
                <w:rtl/>
              </w:rPr>
              <w:t xml:space="preserve"> 0</w:t>
            </w:r>
          </w:p>
        </w:tc>
      </w:tr>
      <w:tr w:rsidR="005A7077" w:rsidRPr="00F4410B" w14:paraId="0A88F7DD" w14:textId="77777777" w:rsidTr="00AB0DD8">
        <w:trPr>
          <w:trHeight w:val="245"/>
        </w:trPr>
        <w:tc>
          <w:tcPr>
            <w:tcW w:w="1077" w:type="dxa"/>
          </w:tcPr>
          <w:p w14:paraId="75682213" w14:textId="77777777" w:rsidR="005A7077" w:rsidRPr="00F4410B" w:rsidRDefault="005A7077" w:rsidP="00B10CB3">
            <w:pPr>
              <w:spacing w:line="241" w:lineRule="auto"/>
              <w:ind w:left="432" w:right="-284" w:hanging="144"/>
              <w:jc w:val="left"/>
              <w:rPr>
                <w:color w:val="000000"/>
                <w:spacing w:val="-6"/>
                <w:rtl/>
                <w:lang w:eastAsia="he-IL"/>
              </w:rPr>
            </w:pPr>
          </w:p>
        </w:tc>
        <w:tc>
          <w:tcPr>
            <w:tcW w:w="450" w:type="dxa"/>
          </w:tcPr>
          <w:p w14:paraId="36F02BD6" w14:textId="77777777" w:rsidR="005A7077" w:rsidRPr="00F4410B" w:rsidRDefault="005A7077" w:rsidP="00B10CB3">
            <w:pPr>
              <w:spacing w:line="241" w:lineRule="auto"/>
              <w:ind w:left="432" w:hanging="144"/>
              <w:jc w:val="left"/>
              <w:rPr>
                <w:color w:val="000000"/>
                <w:rtl/>
                <w:lang w:eastAsia="he-IL"/>
              </w:rPr>
            </w:pPr>
          </w:p>
        </w:tc>
        <w:tc>
          <w:tcPr>
            <w:tcW w:w="3443" w:type="dxa"/>
            <w:vAlign w:val="bottom"/>
          </w:tcPr>
          <w:p w14:paraId="36CE912D" w14:textId="77777777" w:rsidR="005A7077" w:rsidRPr="00012157" w:rsidRDefault="005A7077" w:rsidP="00512110">
            <w:pPr>
              <w:spacing w:line="241" w:lineRule="auto"/>
              <w:ind w:left="144"/>
              <w:jc w:val="left"/>
              <w:rPr>
                <w:color w:val="000000"/>
                <w:sz w:val="18"/>
                <w:szCs w:val="18"/>
                <w:rtl/>
                <w:lang w:eastAsia="he-IL"/>
              </w:rPr>
            </w:pPr>
            <w:r w:rsidRPr="00317F17">
              <w:rPr>
                <w:rFonts w:hint="cs"/>
                <w:color w:val="000000"/>
                <w:sz w:val="18"/>
                <w:szCs w:val="18"/>
                <w:rtl/>
                <w:lang w:eastAsia="he-IL"/>
              </w:rPr>
              <w:t>חובות בפיגור 90 ימים או יותר</w:t>
            </w:r>
          </w:p>
        </w:tc>
        <w:tc>
          <w:tcPr>
            <w:tcW w:w="748" w:type="dxa"/>
            <w:vAlign w:val="bottom"/>
          </w:tcPr>
          <w:p w14:paraId="2DA43C6C" w14:textId="77777777" w:rsidR="005A7077" w:rsidRPr="009E7447" w:rsidRDefault="005A7077" w:rsidP="00B10CB3">
            <w:pPr>
              <w:spacing w:line="241" w:lineRule="auto"/>
              <w:rPr>
                <w:sz w:val="18"/>
                <w:szCs w:val="18"/>
                <w:rtl/>
              </w:rPr>
            </w:pPr>
            <w:r w:rsidRPr="009E7447">
              <w:rPr>
                <w:rFonts w:hint="cs"/>
                <w:sz w:val="18"/>
                <w:szCs w:val="18"/>
                <w:rtl/>
              </w:rPr>
              <w:t xml:space="preserve"> 0</w:t>
            </w:r>
          </w:p>
        </w:tc>
        <w:tc>
          <w:tcPr>
            <w:tcW w:w="762" w:type="dxa"/>
            <w:vAlign w:val="bottom"/>
          </w:tcPr>
          <w:p w14:paraId="10AEC33E" w14:textId="77777777" w:rsidR="005A7077" w:rsidRPr="009E7447" w:rsidRDefault="005A7077" w:rsidP="00B10CB3">
            <w:pPr>
              <w:spacing w:line="241" w:lineRule="auto"/>
              <w:rPr>
                <w:sz w:val="18"/>
                <w:szCs w:val="18"/>
                <w:rtl/>
              </w:rPr>
            </w:pPr>
            <w:r w:rsidRPr="009E7447">
              <w:rPr>
                <w:rFonts w:hint="cs"/>
                <w:sz w:val="18"/>
                <w:szCs w:val="18"/>
                <w:rtl/>
              </w:rPr>
              <w:t xml:space="preserve"> 0</w:t>
            </w:r>
          </w:p>
        </w:tc>
        <w:tc>
          <w:tcPr>
            <w:tcW w:w="884" w:type="dxa"/>
            <w:vAlign w:val="bottom"/>
          </w:tcPr>
          <w:p w14:paraId="1B84EA5B" w14:textId="77777777" w:rsidR="005A7077" w:rsidRPr="009E7447" w:rsidRDefault="005A7077" w:rsidP="00B10CB3">
            <w:pPr>
              <w:spacing w:line="241" w:lineRule="auto"/>
              <w:rPr>
                <w:sz w:val="18"/>
                <w:szCs w:val="18"/>
                <w:rtl/>
              </w:rPr>
            </w:pPr>
            <w:r w:rsidRPr="009E7447">
              <w:rPr>
                <w:rFonts w:hint="cs"/>
                <w:sz w:val="18"/>
                <w:szCs w:val="18"/>
                <w:rtl/>
              </w:rPr>
              <w:t xml:space="preserve"> 0</w:t>
            </w:r>
          </w:p>
        </w:tc>
        <w:tc>
          <w:tcPr>
            <w:tcW w:w="739" w:type="dxa"/>
            <w:vAlign w:val="bottom"/>
          </w:tcPr>
          <w:p w14:paraId="551F6DD0" w14:textId="77777777" w:rsidR="005A7077" w:rsidRPr="009E7447" w:rsidRDefault="005A7077" w:rsidP="00B10CB3">
            <w:pPr>
              <w:spacing w:line="241" w:lineRule="auto"/>
              <w:rPr>
                <w:sz w:val="18"/>
                <w:szCs w:val="18"/>
                <w:rtl/>
              </w:rPr>
            </w:pPr>
            <w:r w:rsidRPr="009E7447">
              <w:rPr>
                <w:rFonts w:hint="cs"/>
                <w:sz w:val="18"/>
                <w:szCs w:val="18"/>
                <w:rtl/>
              </w:rPr>
              <w:t xml:space="preserve"> 0</w:t>
            </w:r>
          </w:p>
        </w:tc>
        <w:tc>
          <w:tcPr>
            <w:tcW w:w="944" w:type="dxa"/>
            <w:vAlign w:val="bottom"/>
          </w:tcPr>
          <w:p w14:paraId="31C4ACB7" w14:textId="77777777" w:rsidR="005A7077" w:rsidRPr="009E7447" w:rsidRDefault="005A7077" w:rsidP="00B10CB3">
            <w:pPr>
              <w:spacing w:line="241" w:lineRule="auto"/>
              <w:rPr>
                <w:sz w:val="18"/>
                <w:szCs w:val="18"/>
                <w:rtl/>
              </w:rPr>
            </w:pPr>
            <w:r w:rsidRPr="009E7447">
              <w:rPr>
                <w:rFonts w:hint="cs"/>
                <w:sz w:val="18"/>
                <w:szCs w:val="18"/>
                <w:rtl/>
              </w:rPr>
              <w:t xml:space="preserve"> 0</w:t>
            </w:r>
          </w:p>
        </w:tc>
        <w:tc>
          <w:tcPr>
            <w:tcW w:w="667" w:type="dxa"/>
            <w:vAlign w:val="bottom"/>
          </w:tcPr>
          <w:p w14:paraId="6122AE63" w14:textId="77777777" w:rsidR="005A7077" w:rsidRPr="009E7447" w:rsidRDefault="005A7077" w:rsidP="00B10CB3">
            <w:pPr>
              <w:spacing w:line="241" w:lineRule="auto"/>
              <w:rPr>
                <w:sz w:val="18"/>
                <w:szCs w:val="18"/>
                <w:rtl/>
              </w:rPr>
            </w:pPr>
            <w:r w:rsidRPr="009E7447">
              <w:rPr>
                <w:rFonts w:hint="cs"/>
                <w:sz w:val="18"/>
                <w:szCs w:val="18"/>
                <w:rtl/>
              </w:rPr>
              <w:t xml:space="preserve"> 0</w:t>
            </w:r>
          </w:p>
        </w:tc>
      </w:tr>
      <w:tr w:rsidR="005A7077" w:rsidRPr="00F4410B" w14:paraId="37A7A0F7" w14:textId="77777777" w:rsidTr="00AB0DD8">
        <w:trPr>
          <w:trHeight w:val="245"/>
        </w:trPr>
        <w:tc>
          <w:tcPr>
            <w:tcW w:w="1077" w:type="dxa"/>
          </w:tcPr>
          <w:p w14:paraId="4399A257" w14:textId="77777777" w:rsidR="005A7077" w:rsidRPr="00F4410B" w:rsidRDefault="005A7077" w:rsidP="00B10CB3">
            <w:pPr>
              <w:spacing w:line="241" w:lineRule="auto"/>
              <w:ind w:left="432" w:right="-284" w:hanging="144"/>
              <w:jc w:val="left"/>
              <w:rPr>
                <w:color w:val="000000"/>
                <w:spacing w:val="-6"/>
                <w:rtl/>
                <w:lang w:eastAsia="he-IL"/>
              </w:rPr>
            </w:pPr>
          </w:p>
        </w:tc>
        <w:tc>
          <w:tcPr>
            <w:tcW w:w="450" w:type="dxa"/>
          </w:tcPr>
          <w:p w14:paraId="77F5C143" w14:textId="77777777" w:rsidR="005A7077" w:rsidRPr="00F4410B" w:rsidRDefault="005A7077" w:rsidP="00B10CB3">
            <w:pPr>
              <w:spacing w:line="241" w:lineRule="auto"/>
              <w:ind w:left="432" w:hanging="144"/>
              <w:jc w:val="left"/>
              <w:rPr>
                <w:color w:val="000000"/>
                <w:rtl/>
                <w:lang w:eastAsia="he-IL"/>
              </w:rPr>
            </w:pPr>
          </w:p>
        </w:tc>
        <w:tc>
          <w:tcPr>
            <w:tcW w:w="3443" w:type="dxa"/>
            <w:vAlign w:val="bottom"/>
          </w:tcPr>
          <w:p w14:paraId="2A04297E" w14:textId="77777777" w:rsidR="005A7077" w:rsidRPr="00F4410B" w:rsidRDefault="005A7077" w:rsidP="00512110">
            <w:pPr>
              <w:spacing w:line="241" w:lineRule="auto"/>
              <w:ind w:left="144"/>
              <w:jc w:val="left"/>
              <w:rPr>
                <w:color w:val="000000"/>
                <w:sz w:val="18"/>
                <w:szCs w:val="18"/>
                <w:rtl/>
                <w:lang w:eastAsia="he-IL"/>
              </w:rPr>
            </w:pPr>
            <w:r w:rsidRPr="00317F17">
              <w:rPr>
                <w:rFonts w:hint="cs"/>
                <w:color w:val="000000"/>
                <w:sz w:val="18"/>
                <w:szCs w:val="18"/>
                <w:rtl/>
                <w:lang w:eastAsia="he-IL"/>
              </w:rPr>
              <w:t>חובות בעייתיים אחרים</w:t>
            </w:r>
          </w:p>
        </w:tc>
        <w:tc>
          <w:tcPr>
            <w:tcW w:w="748" w:type="dxa"/>
            <w:vAlign w:val="bottom"/>
          </w:tcPr>
          <w:p w14:paraId="7CB88DE1" w14:textId="77777777" w:rsidR="005A7077" w:rsidRPr="00F4410B" w:rsidRDefault="005A7077" w:rsidP="00B10CB3">
            <w:pPr>
              <w:pBdr>
                <w:bottom w:val="single" w:sz="4" w:space="1" w:color="auto"/>
              </w:pBdr>
              <w:spacing w:line="241" w:lineRule="auto"/>
              <w:rPr>
                <w:b/>
                <w:bCs/>
                <w:sz w:val="18"/>
                <w:szCs w:val="18"/>
                <w:rtl/>
              </w:rPr>
            </w:pPr>
            <w:r w:rsidRPr="009E7447">
              <w:rPr>
                <w:rFonts w:hint="cs"/>
                <w:sz w:val="18"/>
                <w:szCs w:val="18"/>
                <w:rtl/>
              </w:rPr>
              <w:t xml:space="preserve"> 0</w:t>
            </w:r>
          </w:p>
        </w:tc>
        <w:tc>
          <w:tcPr>
            <w:tcW w:w="762" w:type="dxa"/>
            <w:vAlign w:val="bottom"/>
          </w:tcPr>
          <w:p w14:paraId="4F27D90A" w14:textId="77777777" w:rsidR="005A7077" w:rsidRPr="00F4410B" w:rsidRDefault="005A7077" w:rsidP="00B10CB3">
            <w:pPr>
              <w:pBdr>
                <w:bottom w:val="single" w:sz="4" w:space="1" w:color="auto"/>
              </w:pBdr>
              <w:spacing w:line="241" w:lineRule="auto"/>
              <w:rPr>
                <w:b/>
                <w:bCs/>
                <w:sz w:val="18"/>
                <w:szCs w:val="18"/>
                <w:rtl/>
              </w:rPr>
            </w:pPr>
            <w:r w:rsidRPr="009E7447">
              <w:rPr>
                <w:rFonts w:hint="cs"/>
                <w:sz w:val="18"/>
                <w:szCs w:val="18"/>
                <w:rtl/>
              </w:rPr>
              <w:t xml:space="preserve"> 0</w:t>
            </w:r>
          </w:p>
        </w:tc>
        <w:tc>
          <w:tcPr>
            <w:tcW w:w="884" w:type="dxa"/>
            <w:vAlign w:val="bottom"/>
          </w:tcPr>
          <w:p w14:paraId="46BE287A" w14:textId="77777777" w:rsidR="005A7077" w:rsidRPr="00F4410B" w:rsidRDefault="005A7077" w:rsidP="00B10CB3">
            <w:pPr>
              <w:pBdr>
                <w:bottom w:val="single" w:sz="4" w:space="1" w:color="auto"/>
              </w:pBdr>
              <w:spacing w:line="241" w:lineRule="auto"/>
              <w:rPr>
                <w:b/>
                <w:bCs/>
                <w:sz w:val="18"/>
                <w:szCs w:val="18"/>
                <w:rtl/>
              </w:rPr>
            </w:pPr>
            <w:r w:rsidRPr="009E7447">
              <w:rPr>
                <w:rFonts w:hint="cs"/>
                <w:sz w:val="18"/>
                <w:szCs w:val="18"/>
                <w:rtl/>
              </w:rPr>
              <w:t xml:space="preserve"> 0</w:t>
            </w:r>
          </w:p>
        </w:tc>
        <w:tc>
          <w:tcPr>
            <w:tcW w:w="739" w:type="dxa"/>
            <w:vAlign w:val="bottom"/>
          </w:tcPr>
          <w:p w14:paraId="0823B3FB" w14:textId="77777777" w:rsidR="005A7077" w:rsidRPr="00F4410B" w:rsidRDefault="005A7077" w:rsidP="00B10CB3">
            <w:pPr>
              <w:pBdr>
                <w:bottom w:val="single" w:sz="4" w:space="1" w:color="auto"/>
              </w:pBdr>
              <w:spacing w:line="241" w:lineRule="auto"/>
              <w:rPr>
                <w:b/>
                <w:bCs/>
                <w:sz w:val="18"/>
                <w:szCs w:val="18"/>
                <w:rtl/>
              </w:rPr>
            </w:pPr>
            <w:r w:rsidRPr="009E7447">
              <w:rPr>
                <w:rFonts w:hint="cs"/>
                <w:sz w:val="18"/>
                <w:szCs w:val="18"/>
                <w:rtl/>
              </w:rPr>
              <w:t xml:space="preserve"> 0</w:t>
            </w:r>
          </w:p>
        </w:tc>
        <w:tc>
          <w:tcPr>
            <w:tcW w:w="944" w:type="dxa"/>
            <w:vAlign w:val="bottom"/>
          </w:tcPr>
          <w:p w14:paraId="5CBC47A0" w14:textId="77777777" w:rsidR="005A7077" w:rsidRDefault="005A7077" w:rsidP="00B10CB3">
            <w:pPr>
              <w:pBdr>
                <w:bottom w:val="single" w:sz="4" w:space="1" w:color="auto"/>
              </w:pBdr>
              <w:spacing w:line="241" w:lineRule="auto"/>
              <w:rPr>
                <w:b/>
                <w:bCs/>
                <w:sz w:val="18"/>
                <w:szCs w:val="18"/>
                <w:rtl/>
              </w:rPr>
            </w:pPr>
            <w:r w:rsidRPr="009E7447">
              <w:rPr>
                <w:rFonts w:hint="cs"/>
                <w:sz w:val="18"/>
                <w:szCs w:val="18"/>
                <w:rtl/>
              </w:rPr>
              <w:t xml:space="preserve"> 0</w:t>
            </w:r>
          </w:p>
        </w:tc>
        <w:tc>
          <w:tcPr>
            <w:tcW w:w="667" w:type="dxa"/>
            <w:vAlign w:val="bottom"/>
          </w:tcPr>
          <w:p w14:paraId="3E149BBE" w14:textId="77777777" w:rsidR="005A7077" w:rsidRDefault="005A7077" w:rsidP="00B10CB3">
            <w:pPr>
              <w:pBdr>
                <w:bottom w:val="single" w:sz="4" w:space="1" w:color="auto"/>
              </w:pBdr>
              <w:spacing w:line="241" w:lineRule="auto"/>
              <w:rPr>
                <w:b/>
                <w:bCs/>
                <w:sz w:val="18"/>
                <w:szCs w:val="18"/>
                <w:rtl/>
              </w:rPr>
            </w:pPr>
            <w:r w:rsidRPr="009E7447">
              <w:rPr>
                <w:rFonts w:hint="cs"/>
                <w:sz w:val="18"/>
                <w:szCs w:val="18"/>
                <w:rtl/>
              </w:rPr>
              <w:t xml:space="preserve"> 0</w:t>
            </w:r>
          </w:p>
        </w:tc>
      </w:tr>
      <w:tr w:rsidR="005A7077" w:rsidRPr="00F4410B" w14:paraId="49F37485" w14:textId="77777777" w:rsidTr="00AB0DD8">
        <w:trPr>
          <w:trHeight w:val="329"/>
        </w:trPr>
        <w:tc>
          <w:tcPr>
            <w:tcW w:w="1077" w:type="dxa"/>
          </w:tcPr>
          <w:p w14:paraId="34D6EE83" w14:textId="77777777" w:rsidR="005A7077" w:rsidRPr="00F4410B" w:rsidRDefault="005A7077" w:rsidP="00B10CB3">
            <w:pPr>
              <w:spacing w:line="241" w:lineRule="auto"/>
              <w:ind w:left="432" w:right="-284" w:hanging="144"/>
              <w:jc w:val="left"/>
              <w:rPr>
                <w:color w:val="000000"/>
                <w:spacing w:val="-6"/>
                <w:rtl/>
                <w:lang w:eastAsia="he-IL"/>
              </w:rPr>
            </w:pPr>
          </w:p>
        </w:tc>
        <w:tc>
          <w:tcPr>
            <w:tcW w:w="450" w:type="dxa"/>
          </w:tcPr>
          <w:p w14:paraId="3488D5B5" w14:textId="77777777" w:rsidR="005A7077" w:rsidRPr="00F4410B" w:rsidRDefault="005A7077" w:rsidP="00B10CB3">
            <w:pPr>
              <w:spacing w:line="241" w:lineRule="auto"/>
              <w:ind w:left="432" w:hanging="144"/>
              <w:jc w:val="left"/>
              <w:rPr>
                <w:color w:val="000000"/>
                <w:rtl/>
                <w:lang w:eastAsia="he-IL"/>
              </w:rPr>
            </w:pPr>
          </w:p>
        </w:tc>
        <w:tc>
          <w:tcPr>
            <w:tcW w:w="3443" w:type="dxa"/>
            <w:vAlign w:val="center"/>
          </w:tcPr>
          <w:p w14:paraId="007B4A7D" w14:textId="77777777" w:rsidR="005A7077" w:rsidRPr="00512110" w:rsidRDefault="005A7077" w:rsidP="00512110">
            <w:pPr>
              <w:spacing w:line="241" w:lineRule="auto"/>
              <w:ind w:left="144"/>
              <w:jc w:val="left"/>
              <w:rPr>
                <w:color w:val="000000"/>
                <w:sz w:val="18"/>
                <w:szCs w:val="18"/>
                <w:rtl/>
                <w:lang w:eastAsia="he-IL"/>
              </w:rPr>
            </w:pPr>
            <w:r w:rsidRPr="00512110">
              <w:rPr>
                <w:rFonts w:hint="eastAsia"/>
                <w:color w:val="000000"/>
                <w:sz w:val="18"/>
                <w:szCs w:val="18"/>
                <w:rtl/>
                <w:lang w:eastAsia="he-IL"/>
              </w:rPr>
              <w:t>סך</w:t>
            </w:r>
            <w:r w:rsidRPr="00512110">
              <w:rPr>
                <w:color w:val="000000"/>
                <w:sz w:val="18"/>
                <w:szCs w:val="18"/>
                <w:rtl/>
                <w:lang w:eastAsia="he-IL"/>
              </w:rPr>
              <w:t xml:space="preserve"> </w:t>
            </w:r>
            <w:r w:rsidRPr="00512110">
              <w:rPr>
                <w:rFonts w:hint="eastAsia"/>
                <w:color w:val="000000"/>
                <w:sz w:val="18"/>
                <w:szCs w:val="18"/>
                <w:rtl/>
                <w:lang w:eastAsia="he-IL"/>
              </w:rPr>
              <w:t>הכל</w:t>
            </w:r>
            <w:r w:rsidRPr="00512110">
              <w:rPr>
                <w:color w:val="000000"/>
                <w:sz w:val="18"/>
                <w:szCs w:val="18"/>
                <w:rtl/>
                <w:lang w:eastAsia="he-IL"/>
              </w:rPr>
              <w:t xml:space="preserve"> חובות בעייתיים</w:t>
            </w:r>
          </w:p>
        </w:tc>
        <w:tc>
          <w:tcPr>
            <w:tcW w:w="748" w:type="dxa"/>
            <w:vAlign w:val="center"/>
          </w:tcPr>
          <w:p w14:paraId="14E546B3" w14:textId="77777777" w:rsidR="005A7077" w:rsidRPr="00F4410B" w:rsidRDefault="005A7077" w:rsidP="00512110">
            <w:pPr>
              <w:spacing w:line="241" w:lineRule="auto"/>
              <w:jc w:val="left"/>
              <w:rPr>
                <w:b/>
                <w:bCs/>
                <w:sz w:val="18"/>
                <w:szCs w:val="18"/>
                <w:rtl/>
              </w:rPr>
            </w:pPr>
            <w:r w:rsidRPr="009E7447">
              <w:rPr>
                <w:rFonts w:hint="cs"/>
                <w:sz w:val="18"/>
                <w:szCs w:val="18"/>
                <w:rtl/>
              </w:rPr>
              <w:t xml:space="preserve"> 0</w:t>
            </w:r>
          </w:p>
        </w:tc>
        <w:tc>
          <w:tcPr>
            <w:tcW w:w="762" w:type="dxa"/>
            <w:vAlign w:val="center"/>
          </w:tcPr>
          <w:p w14:paraId="3AD5F7BA" w14:textId="77777777" w:rsidR="005A7077" w:rsidRPr="00F4410B" w:rsidRDefault="005A7077" w:rsidP="00512110">
            <w:pPr>
              <w:spacing w:line="241" w:lineRule="auto"/>
              <w:jc w:val="left"/>
              <w:rPr>
                <w:b/>
                <w:bCs/>
                <w:sz w:val="18"/>
                <w:szCs w:val="18"/>
                <w:rtl/>
              </w:rPr>
            </w:pPr>
            <w:r w:rsidRPr="009E7447">
              <w:rPr>
                <w:rFonts w:hint="cs"/>
                <w:sz w:val="18"/>
                <w:szCs w:val="18"/>
                <w:rtl/>
              </w:rPr>
              <w:t xml:space="preserve"> 0</w:t>
            </w:r>
          </w:p>
        </w:tc>
        <w:tc>
          <w:tcPr>
            <w:tcW w:w="884" w:type="dxa"/>
            <w:vAlign w:val="center"/>
          </w:tcPr>
          <w:p w14:paraId="3D8D707A" w14:textId="77777777" w:rsidR="005A7077" w:rsidRPr="00F4410B" w:rsidRDefault="005A7077" w:rsidP="00512110">
            <w:pPr>
              <w:spacing w:line="241" w:lineRule="auto"/>
              <w:jc w:val="left"/>
              <w:rPr>
                <w:b/>
                <w:bCs/>
                <w:sz w:val="18"/>
                <w:szCs w:val="18"/>
                <w:rtl/>
              </w:rPr>
            </w:pPr>
            <w:r w:rsidRPr="009E7447">
              <w:rPr>
                <w:rFonts w:hint="cs"/>
                <w:sz w:val="18"/>
                <w:szCs w:val="18"/>
                <w:rtl/>
              </w:rPr>
              <w:t xml:space="preserve"> 0</w:t>
            </w:r>
          </w:p>
        </w:tc>
        <w:tc>
          <w:tcPr>
            <w:tcW w:w="739" w:type="dxa"/>
            <w:vAlign w:val="center"/>
          </w:tcPr>
          <w:p w14:paraId="7620C8A4" w14:textId="77777777" w:rsidR="005A7077" w:rsidRPr="00F4410B" w:rsidRDefault="005A7077" w:rsidP="00512110">
            <w:pPr>
              <w:spacing w:line="241" w:lineRule="auto"/>
              <w:jc w:val="left"/>
              <w:rPr>
                <w:b/>
                <w:bCs/>
                <w:sz w:val="18"/>
                <w:szCs w:val="18"/>
                <w:rtl/>
              </w:rPr>
            </w:pPr>
            <w:r w:rsidRPr="009E7447">
              <w:rPr>
                <w:rFonts w:hint="cs"/>
                <w:sz w:val="18"/>
                <w:szCs w:val="18"/>
                <w:rtl/>
              </w:rPr>
              <w:t xml:space="preserve"> 0</w:t>
            </w:r>
          </w:p>
        </w:tc>
        <w:tc>
          <w:tcPr>
            <w:tcW w:w="944" w:type="dxa"/>
            <w:vAlign w:val="center"/>
          </w:tcPr>
          <w:p w14:paraId="62BE30FD" w14:textId="77777777" w:rsidR="005A7077" w:rsidRDefault="005A7077" w:rsidP="00512110">
            <w:pPr>
              <w:spacing w:line="241" w:lineRule="auto"/>
              <w:jc w:val="left"/>
              <w:rPr>
                <w:b/>
                <w:bCs/>
                <w:sz w:val="18"/>
                <w:szCs w:val="18"/>
                <w:rtl/>
              </w:rPr>
            </w:pPr>
            <w:r w:rsidRPr="009E7447">
              <w:rPr>
                <w:rFonts w:hint="cs"/>
                <w:sz w:val="18"/>
                <w:szCs w:val="18"/>
                <w:rtl/>
              </w:rPr>
              <w:t xml:space="preserve"> 0</w:t>
            </w:r>
          </w:p>
        </w:tc>
        <w:tc>
          <w:tcPr>
            <w:tcW w:w="667" w:type="dxa"/>
            <w:vAlign w:val="center"/>
          </w:tcPr>
          <w:p w14:paraId="356A4C07" w14:textId="77777777" w:rsidR="005A7077" w:rsidRDefault="005A7077" w:rsidP="00512110">
            <w:pPr>
              <w:spacing w:line="241" w:lineRule="auto"/>
              <w:jc w:val="left"/>
              <w:rPr>
                <w:b/>
                <w:bCs/>
                <w:sz w:val="18"/>
                <w:szCs w:val="18"/>
                <w:rtl/>
              </w:rPr>
            </w:pPr>
            <w:r w:rsidRPr="009E7447">
              <w:rPr>
                <w:rFonts w:hint="cs"/>
                <w:sz w:val="18"/>
                <w:szCs w:val="18"/>
                <w:rtl/>
              </w:rPr>
              <w:t xml:space="preserve"> 0</w:t>
            </w:r>
          </w:p>
        </w:tc>
      </w:tr>
      <w:tr w:rsidR="005A7077" w:rsidRPr="00F4410B" w14:paraId="7A5B78F8" w14:textId="77777777" w:rsidTr="00AB0DD8">
        <w:trPr>
          <w:trHeight w:hRule="exact" w:val="57"/>
        </w:trPr>
        <w:tc>
          <w:tcPr>
            <w:tcW w:w="1077" w:type="dxa"/>
          </w:tcPr>
          <w:p w14:paraId="1BC9F334" w14:textId="77777777" w:rsidR="005A7077" w:rsidRPr="00F4410B" w:rsidRDefault="005A7077" w:rsidP="00B10CB3">
            <w:pPr>
              <w:spacing w:line="241" w:lineRule="auto"/>
              <w:ind w:left="432" w:right="-284" w:hanging="144"/>
              <w:jc w:val="left"/>
              <w:rPr>
                <w:color w:val="000000"/>
                <w:spacing w:val="-6"/>
                <w:rtl/>
                <w:lang w:eastAsia="he-IL"/>
              </w:rPr>
            </w:pPr>
          </w:p>
        </w:tc>
        <w:tc>
          <w:tcPr>
            <w:tcW w:w="450" w:type="dxa"/>
          </w:tcPr>
          <w:p w14:paraId="2D83C00C" w14:textId="77777777" w:rsidR="005A7077" w:rsidRPr="00F4410B" w:rsidRDefault="005A7077" w:rsidP="00B10CB3">
            <w:pPr>
              <w:spacing w:line="241" w:lineRule="auto"/>
              <w:ind w:left="432" w:hanging="144"/>
              <w:jc w:val="left"/>
              <w:rPr>
                <w:color w:val="000000"/>
                <w:rtl/>
                <w:lang w:eastAsia="he-IL"/>
              </w:rPr>
            </w:pPr>
          </w:p>
        </w:tc>
        <w:tc>
          <w:tcPr>
            <w:tcW w:w="3443" w:type="dxa"/>
            <w:vAlign w:val="bottom"/>
          </w:tcPr>
          <w:p w14:paraId="326B6201" w14:textId="77777777" w:rsidR="005A7077" w:rsidRPr="00317F17" w:rsidRDefault="005A7077" w:rsidP="00B10CB3">
            <w:pPr>
              <w:spacing w:line="241" w:lineRule="auto"/>
              <w:ind w:left="144" w:hanging="144"/>
              <w:jc w:val="left"/>
              <w:rPr>
                <w:b/>
                <w:bCs/>
                <w:color w:val="000000"/>
                <w:sz w:val="18"/>
                <w:szCs w:val="18"/>
                <w:rtl/>
                <w:lang w:eastAsia="he-IL"/>
              </w:rPr>
            </w:pPr>
          </w:p>
        </w:tc>
        <w:tc>
          <w:tcPr>
            <w:tcW w:w="748" w:type="dxa"/>
            <w:vAlign w:val="bottom"/>
          </w:tcPr>
          <w:p w14:paraId="5C9B8B71" w14:textId="77777777" w:rsidR="005A7077" w:rsidRPr="009E7447" w:rsidRDefault="005A7077" w:rsidP="00B10CB3">
            <w:pPr>
              <w:spacing w:line="241" w:lineRule="auto"/>
              <w:rPr>
                <w:sz w:val="18"/>
                <w:szCs w:val="18"/>
                <w:rtl/>
              </w:rPr>
            </w:pPr>
          </w:p>
        </w:tc>
        <w:tc>
          <w:tcPr>
            <w:tcW w:w="762" w:type="dxa"/>
            <w:vAlign w:val="bottom"/>
          </w:tcPr>
          <w:p w14:paraId="5641480A" w14:textId="77777777" w:rsidR="005A7077" w:rsidRPr="009E7447" w:rsidRDefault="005A7077" w:rsidP="00B10CB3">
            <w:pPr>
              <w:spacing w:line="241" w:lineRule="auto"/>
              <w:rPr>
                <w:sz w:val="18"/>
                <w:szCs w:val="18"/>
                <w:rtl/>
              </w:rPr>
            </w:pPr>
          </w:p>
        </w:tc>
        <w:tc>
          <w:tcPr>
            <w:tcW w:w="884" w:type="dxa"/>
            <w:vAlign w:val="bottom"/>
          </w:tcPr>
          <w:p w14:paraId="2175873E" w14:textId="77777777" w:rsidR="005A7077" w:rsidRPr="009E7447" w:rsidRDefault="005A7077" w:rsidP="00B10CB3">
            <w:pPr>
              <w:spacing w:line="241" w:lineRule="auto"/>
              <w:rPr>
                <w:sz w:val="18"/>
                <w:szCs w:val="18"/>
                <w:rtl/>
              </w:rPr>
            </w:pPr>
          </w:p>
        </w:tc>
        <w:tc>
          <w:tcPr>
            <w:tcW w:w="739" w:type="dxa"/>
            <w:vAlign w:val="bottom"/>
          </w:tcPr>
          <w:p w14:paraId="34D226AC" w14:textId="77777777" w:rsidR="005A7077" w:rsidRPr="009E7447" w:rsidRDefault="005A7077" w:rsidP="00B10CB3">
            <w:pPr>
              <w:spacing w:line="241" w:lineRule="auto"/>
              <w:rPr>
                <w:sz w:val="18"/>
                <w:szCs w:val="18"/>
                <w:rtl/>
              </w:rPr>
            </w:pPr>
          </w:p>
        </w:tc>
        <w:tc>
          <w:tcPr>
            <w:tcW w:w="944" w:type="dxa"/>
            <w:vAlign w:val="bottom"/>
          </w:tcPr>
          <w:p w14:paraId="7D226375" w14:textId="77777777" w:rsidR="005A7077" w:rsidRPr="009E7447" w:rsidRDefault="005A7077" w:rsidP="00B10CB3">
            <w:pPr>
              <w:spacing w:line="241" w:lineRule="auto"/>
              <w:rPr>
                <w:sz w:val="18"/>
                <w:szCs w:val="18"/>
                <w:rtl/>
              </w:rPr>
            </w:pPr>
          </w:p>
        </w:tc>
        <w:tc>
          <w:tcPr>
            <w:tcW w:w="667" w:type="dxa"/>
            <w:vAlign w:val="bottom"/>
          </w:tcPr>
          <w:p w14:paraId="2B4E6A94" w14:textId="77777777" w:rsidR="005A7077" w:rsidRPr="009E7447" w:rsidRDefault="005A7077" w:rsidP="00B10CB3">
            <w:pPr>
              <w:spacing w:line="241" w:lineRule="auto"/>
              <w:rPr>
                <w:sz w:val="18"/>
                <w:szCs w:val="18"/>
                <w:rtl/>
              </w:rPr>
            </w:pPr>
          </w:p>
        </w:tc>
      </w:tr>
      <w:tr w:rsidR="005A7077" w:rsidRPr="00F4410B" w14:paraId="7599FD3F" w14:textId="77777777" w:rsidTr="00AB0DD8">
        <w:trPr>
          <w:trHeight w:val="245"/>
        </w:trPr>
        <w:tc>
          <w:tcPr>
            <w:tcW w:w="1077" w:type="dxa"/>
          </w:tcPr>
          <w:p w14:paraId="223CADB1" w14:textId="77777777" w:rsidR="005A7077" w:rsidRPr="00F4410B" w:rsidRDefault="005A7077" w:rsidP="00B10CB3">
            <w:pPr>
              <w:spacing w:line="241" w:lineRule="auto"/>
              <w:ind w:left="432" w:right="-284" w:hanging="144"/>
              <w:jc w:val="left"/>
              <w:rPr>
                <w:color w:val="000000"/>
                <w:spacing w:val="-6"/>
                <w:rtl/>
                <w:lang w:eastAsia="he-IL"/>
              </w:rPr>
            </w:pPr>
          </w:p>
        </w:tc>
        <w:tc>
          <w:tcPr>
            <w:tcW w:w="450" w:type="dxa"/>
          </w:tcPr>
          <w:p w14:paraId="0CE032D9" w14:textId="77777777" w:rsidR="005A7077" w:rsidRPr="00F4410B" w:rsidRDefault="005A7077" w:rsidP="00B10CB3">
            <w:pPr>
              <w:spacing w:line="241" w:lineRule="auto"/>
              <w:ind w:left="432" w:hanging="144"/>
              <w:jc w:val="left"/>
              <w:rPr>
                <w:color w:val="000000"/>
                <w:rtl/>
                <w:lang w:eastAsia="he-IL"/>
              </w:rPr>
            </w:pPr>
          </w:p>
        </w:tc>
        <w:tc>
          <w:tcPr>
            <w:tcW w:w="3443" w:type="dxa"/>
            <w:vAlign w:val="bottom"/>
          </w:tcPr>
          <w:p w14:paraId="100B769E" w14:textId="77777777" w:rsidR="005A7077" w:rsidRPr="00317F17" w:rsidRDefault="005A7077" w:rsidP="00B10CB3">
            <w:pPr>
              <w:spacing w:line="241" w:lineRule="auto"/>
              <w:ind w:left="144" w:hanging="144"/>
              <w:jc w:val="left"/>
              <w:rPr>
                <w:b/>
                <w:bCs/>
                <w:color w:val="000000"/>
                <w:sz w:val="18"/>
                <w:szCs w:val="18"/>
                <w:rtl/>
                <w:lang w:eastAsia="he-IL"/>
              </w:rPr>
            </w:pPr>
            <w:r w:rsidRPr="009E7447">
              <w:rPr>
                <w:rFonts w:hint="eastAsia"/>
                <w:b/>
                <w:bCs/>
                <w:color w:val="000000"/>
                <w:sz w:val="18"/>
                <w:szCs w:val="18"/>
                <w:u w:val="single"/>
                <w:rtl/>
                <w:lang w:eastAsia="he-IL"/>
              </w:rPr>
              <w:t>יתרת</w:t>
            </w:r>
            <w:r w:rsidRPr="009E7447">
              <w:rPr>
                <w:b/>
                <w:bCs/>
                <w:color w:val="000000"/>
                <w:sz w:val="18"/>
                <w:szCs w:val="18"/>
                <w:u w:val="single"/>
                <w:rtl/>
                <w:lang w:eastAsia="he-IL"/>
              </w:rPr>
              <w:t xml:space="preserve"> </w:t>
            </w:r>
            <w:r w:rsidRPr="009E7447">
              <w:rPr>
                <w:rFonts w:hint="eastAsia"/>
                <w:b/>
                <w:bCs/>
                <w:color w:val="000000"/>
                <w:sz w:val="18"/>
                <w:szCs w:val="18"/>
                <w:u w:val="single"/>
                <w:rtl/>
                <w:lang w:eastAsia="he-IL"/>
              </w:rPr>
              <w:t>הפרשה</w:t>
            </w:r>
            <w:r w:rsidRPr="009E7447">
              <w:rPr>
                <w:b/>
                <w:bCs/>
                <w:color w:val="000000"/>
                <w:sz w:val="18"/>
                <w:szCs w:val="18"/>
                <w:u w:val="single"/>
                <w:rtl/>
                <w:lang w:eastAsia="he-IL"/>
              </w:rPr>
              <w:t xml:space="preserve"> </w:t>
            </w:r>
            <w:r w:rsidRPr="009E7447">
              <w:rPr>
                <w:rFonts w:hint="eastAsia"/>
                <w:b/>
                <w:bCs/>
                <w:color w:val="000000"/>
                <w:sz w:val="18"/>
                <w:szCs w:val="18"/>
                <w:u w:val="single"/>
                <w:rtl/>
                <w:lang w:eastAsia="he-IL"/>
              </w:rPr>
              <w:t>להפסדי</w:t>
            </w:r>
            <w:r w:rsidRPr="009E7447">
              <w:rPr>
                <w:b/>
                <w:bCs/>
                <w:color w:val="000000"/>
                <w:sz w:val="18"/>
                <w:szCs w:val="18"/>
                <w:u w:val="single"/>
                <w:rtl/>
                <w:lang w:eastAsia="he-IL"/>
              </w:rPr>
              <w:t xml:space="preserve"> </w:t>
            </w:r>
            <w:r w:rsidRPr="009E7447">
              <w:rPr>
                <w:rFonts w:hint="eastAsia"/>
                <w:b/>
                <w:bCs/>
                <w:color w:val="000000"/>
                <w:sz w:val="18"/>
                <w:szCs w:val="18"/>
                <w:u w:val="single"/>
                <w:rtl/>
                <w:lang w:eastAsia="he-IL"/>
              </w:rPr>
              <w:t>אשראי</w:t>
            </w:r>
            <w:r w:rsidRPr="009E7447">
              <w:rPr>
                <w:b/>
                <w:bCs/>
                <w:color w:val="000000"/>
                <w:sz w:val="18"/>
                <w:szCs w:val="18"/>
                <w:u w:val="single"/>
                <w:rtl/>
                <w:lang w:eastAsia="he-IL"/>
              </w:rPr>
              <w:t xml:space="preserve"> </w:t>
            </w:r>
            <w:r w:rsidRPr="009E7447">
              <w:rPr>
                <w:rFonts w:hint="eastAsia"/>
                <w:b/>
                <w:bCs/>
                <w:color w:val="000000"/>
                <w:sz w:val="18"/>
                <w:szCs w:val="18"/>
                <w:u w:val="single"/>
                <w:rtl/>
                <w:lang w:eastAsia="he-IL"/>
              </w:rPr>
              <w:t>בגין</w:t>
            </w:r>
            <w:r w:rsidRPr="009E7447">
              <w:rPr>
                <w:b/>
                <w:bCs/>
                <w:color w:val="000000"/>
                <w:sz w:val="18"/>
                <w:szCs w:val="18"/>
                <w:u w:val="single"/>
                <w:rtl/>
                <w:lang w:eastAsia="he-IL"/>
              </w:rPr>
              <w:t xml:space="preserve"> </w:t>
            </w:r>
            <w:r w:rsidRPr="009E7447">
              <w:rPr>
                <w:rFonts w:hint="eastAsia"/>
                <w:b/>
                <w:bCs/>
                <w:color w:val="000000"/>
                <w:sz w:val="18"/>
                <w:szCs w:val="18"/>
                <w:u w:val="single"/>
                <w:rtl/>
                <w:lang w:eastAsia="he-IL"/>
              </w:rPr>
              <w:t>חובות</w:t>
            </w:r>
            <w:r w:rsidRPr="009E7447">
              <w:rPr>
                <w:rFonts w:hint="cs"/>
                <w:b/>
                <w:bCs/>
                <w:color w:val="000000"/>
                <w:sz w:val="18"/>
                <w:szCs w:val="18"/>
                <w:rtl/>
                <w:lang w:eastAsia="he-IL"/>
              </w:rPr>
              <w:t>:</w:t>
            </w:r>
          </w:p>
        </w:tc>
        <w:tc>
          <w:tcPr>
            <w:tcW w:w="748" w:type="dxa"/>
            <w:vAlign w:val="bottom"/>
          </w:tcPr>
          <w:p w14:paraId="22D23F53" w14:textId="77777777" w:rsidR="005A7077" w:rsidRPr="009E7447" w:rsidRDefault="005A7077" w:rsidP="00B10CB3">
            <w:pPr>
              <w:spacing w:line="241" w:lineRule="auto"/>
              <w:rPr>
                <w:sz w:val="18"/>
                <w:szCs w:val="18"/>
                <w:rtl/>
              </w:rPr>
            </w:pPr>
          </w:p>
        </w:tc>
        <w:tc>
          <w:tcPr>
            <w:tcW w:w="762" w:type="dxa"/>
            <w:vAlign w:val="bottom"/>
          </w:tcPr>
          <w:p w14:paraId="76D42845" w14:textId="77777777" w:rsidR="005A7077" w:rsidRPr="009E7447" w:rsidRDefault="005A7077" w:rsidP="00B10CB3">
            <w:pPr>
              <w:spacing w:line="241" w:lineRule="auto"/>
              <w:rPr>
                <w:sz w:val="18"/>
                <w:szCs w:val="18"/>
                <w:rtl/>
              </w:rPr>
            </w:pPr>
          </w:p>
        </w:tc>
        <w:tc>
          <w:tcPr>
            <w:tcW w:w="884" w:type="dxa"/>
            <w:vAlign w:val="bottom"/>
          </w:tcPr>
          <w:p w14:paraId="4419C618" w14:textId="77777777" w:rsidR="005A7077" w:rsidRPr="009E7447" w:rsidRDefault="005A7077" w:rsidP="00B10CB3">
            <w:pPr>
              <w:spacing w:line="241" w:lineRule="auto"/>
              <w:rPr>
                <w:sz w:val="18"/>
                <w:szCs w:val="18"/>
                <w:rtl/>
              </w:rPr>
            </w:pPr>
          </w:p>
        </w:tc>
        <w:tc>
          <w:tcPr>
            <w:tcW w:w="739" w:type="dxa"/>
            <w:vAlign w:val="bottom"/>
          </w:tcPr>
          <w:p w14:paraId="2BD15745" w14:textId="77777777" w:rsidR="005A7077" w:rsidRPr="009E7447" w:rsidRDefault="005A7077" w:rsidP="00B10CB3">
            <w:pPr>
              <w:spacing w:line="241" w:lineRule="auto"/>
              <w:rPr>
                <w:sz w:val="18"/>
                <w:szCs w:val="18"/>
                <w:rtl/>
              </w:rPr>
            </w:pPr>
          </w:p>
        </w:tc>
        <w:tc>
          <w:tcPr>
            <w:tcW w:w="944" w:type="dxa"/>
            <w:vAlign w:val="bottom"/>
          </w:tcPr>
          <w:p w14:paraId="190DAFA9" w14:textId="77777777" w:rsidR="005A7077" w:rsidRPr="009E7447" w:rsidRDefault="005A7077" w:rsidP="00B10CB3">
            <w:pPr>
              <w:spacing w:line="241" w:lineRule="auto"/>
              <w:rPr>
                <w:sz w:val="18"/>
                <w:szCs w:val="18"/>
                <w:rtl/>
              </w:rPr>
            </w:pPr>
          </w:p>
        </w:tc>
        <w:tc>
          <w:tcPr>
            <w:tcW w:w="667" w:type="dxa"/>
            <w:vAlign w:val="bottom"/>
          </w:tcPr>
          <w:p w14:paraId="3D18A5B6" w14:textId="77777777" w:rsidR="005A7077" w:rsidRPr="009E7447" w:rsidRDefault="005A7077" w:rsidP="00B10CB3">
            <w:pPr>
              <w:spacing w:line="241" w:lineRule="auto"/>
              <w:rPr>
                <w:sz w:val="18"/>
                <w:szCs w:val="18"/>
                <w:rtl/>
              </w:rPr>
            </w:pPr>
          </w:p>
        </w:tc>
      </w:tr>
      <w:tr w:rsidR="005A7077" w:rsidRPr="00F4410B" w14:paraId="3A90F729" w14:textId="77777777" w:rsidTr="00AB0DD8">
        <w:trPr>
          <w:trHeight w:val="245"/>
        </w:trPr>
        <w:tc>
          <w:tcPr>
            <w:tcW w:w="1077" w:type="dxa"/>
          </w:tcPr>
          <w:p w14:paraId="2F955AB1" w14:textId="77777777" w:rsidR="005A7077" w:rsidRPr="00F4410B" w:rsidRDefault="005A7077" w:rsidP="00B10CB3">
            <w:pPr>
              <w:spacing w:before="40"/>
              <w:ind w:right="-284"/>
              <w:jc w:val="left"/>
              <w:rPr>
                <w:color w:val="000000"/>
                <w:spacing w:val="-6"/>
                <w:sz w:val="14"/>
                <w:szCs w:val="14"/>
                <w:rtl/>
                <w:lang w:eastAsia="he-IL"/>
              </w:rPr>
            </w:pPr>
          </w:p>
        </w:tc>
        <w:tc>
          <w:tcPr>
            <w:tcW w:w="450" w:type="dxa"/>
          </w:tcPr>
          <w:p w14:paraId="0FC4F512" w14:textId="77777777" w:rsidR="005A7077" w:rsidRPr="00F4410B" w:rsidRDefault="005A7077" w:rsidP="00B10CB3">
            <w:pPr>
              <w:spacing w:line="241" w:lineRule="auto"/>
              <w:ind w:left="432" w:hanging="144"/>
              <w:jc w:val="left"/>
              <w:rPr>
                <w:color w:val="000000"/>
                <w:rtl/>
                <w:lang w:eastAsia="he-IL"/>
              </w:rPr>
            </w:pPr>
          </w:p>
        </w:tc>
        <w:tc>
          <w:tcPr>
            <w:tcW w:w="3443" w:type="dxa"/>
            <w:vAlign w:val="bottom"/>
          </w:tcPr>
          <w:p w14:paraId="11FA72EE" w14:textId="77777777" w:rsidR="005A7077" w:rsidRPr="00F4410B" w:rsidRDefault="005A7077" w:rsidP="00B10CB3">
            <w:pPr>
              <w:spacing w:line="241" w:lineRule="auto"/>
              <w:ind w:left="144" w:hanging="144"/>
              <w:jc w:val="left"/>
              <w:rPr>
                <w:color w:val="000000"/>
                <w:sz w:val="18"/>
                <w:szCs w:val="18"/>
                <w:rtl/>
                <w:lang w:eastAsia="he-IL"/>
              </w:rPr>
            </w:pPr>
            <w:r w:rsidRPr="009E7447">
              <w:rPr>
                <w:rFonts w:hint="cs"/>
                <w:color w:val="000000"/>
                <w:sz w:val="18"/>
                <w:szCs w:val="18"/>
                <w:rtl/>
                <w:lang w:eastAsia="he-IL"/>
              </w:rPr>
              <w:t>בגין חובות שנבדקו על בסיס פרטני</w:t>
            </w:r>
          </w:p>
        </w:tc>
        <w:tc>
          <w:tcPr>
            <w:tcW w:w="748" w:type="dxa"/>
            <w:vAlign w:val="bottom"/>
          </w:tcPr>
          <w:p w14:paraId="5017E190" w14:textId="77777777" w:rsidR="005A7077" w:rsidRPr="00F4410B" w:rsidRDefault="005A7077" w:rsidP="00B10CB3">
            <w:pPr>
              <w:spacing w:line="241" w:lineRule="auto"/>
              <w:rPr>
                <w:sz w:val="18"/>
                <w:szCs w:val="18"/>
                <w:rtl/>
              </w:rPr>
            </w:pPr>
            <w:r w:rsidRPr="009E7447">
              <w:rPr>
                <w:rFonts w:hint="cs"/>
                <w:sz w:val="18"/>
                <w:szCs w:val="18"/>
                <w:rtl/>
              </w:rPr>
              <w:t xml:space="preserve"> 0</w:t>
            </w:r>
          </w:p>
        </w:tc>
        <w:tc>
          <w:tcPr>
            <w:tcW w:w="762" w:type="dxa"/>
            <w:vAlign w:val="bottom"/>
          </w:tcPr>
          <w:p w14:paraId="3F3527A1" w14:textId="77777777" w:rsidR="005A7077" w:rsidRPr="00F4410B" w:rsidRDefault="005A7077" w:rsidP="00B10CB3">
            <w:pPr>
              <w:spacing w:line="241" w:lineRule="auto"/>
              <w:rPr>
                <w:sz w:val="18"/>
                <w:szCs w:val="18"/>
                <w:rtl/>
              </w:rPr>
            </w:pPr>
            <w:r w:rsidRPr="009E7447">
              <w:rPr>
                <w:rFonts w:hint="cs"/>
                <w:sz w:val="18"/>
                <w:szCs w:val="18"/>
                <w:rtl/>
              </w:rPr>
              <w:t xml:space="preserve"> 0</w:t>
            </w:r>
          </w:p>
        </w:tc>
        <w:tc>
          <w:tcPr>
            <w:tcW w:w="884" w:type="dxa"/>
            <w:vAlign w:val="bottom"/>
          </w:tcPr>
          <w:p w14:paraId="753E2EEA" w14:textId="77777777" w:rsidR="005A7077" w:rsidRPr="00F4410B" w:rsidRDefault="005A7077" w:rsidP="00B10CB3">
            <w:pPr>
              <w:spacing w:line="241" w:lineRule="auto"/>
              <w:rPr>
                <w:sz w:val="18"/>
                <w:szCs w:val="18"/>
                <w:rtl/>
              </w:rPr>
            </w:pPr>
            <w:r w:rsidRPr="009E7447">
              <w:rPr>
                <w:rFonts w:hint="cs"/>
                <w:sz w:val="18"/>
                <w:szCs w:val="18"/>
                <w:rtl/>
              </w:rPr>
              <w:t xml:space="preserve"> 0</w:t>
            </w:r>
          </w:p>
        </w:tc>
        <w:tc>
          <w:tcPr>
            <w:tcW w:w="739" w:type="dxa"/>
            <w:vAlign w:val="bottom"/>
          </w:tcPr>
          <w:p w14:paraId="6D9AC8A2" w14:textId="77777777" w:rsidR="005A7077" w:rsidRPr="00F4410B" w:rsidRDefault="005A7077" w:rsidP="00B10CB3">
            <w:pPr>
              <w:spacing w:line="241" w:lineRule="auto"/>
              <w:rPr>
                <w:sz w:val="18"/>
                <w:szCs w:val="18"/>
                <w:rtl/>
              </w:rPr>
            </w:pPr>
            <w:r w:rsidRPr="009E7447">
              <w:rPr>
                <w:rFonts w:hint="cs"/>
                <w:sz w:val="18"/>
                <w:szCs w:val="18"/>
                <w:rtl/>
              </w:rPr>
              <w:t xml:space="preserve"> 0</w:t>
            </w:r>
          </w:p>
        </w:tc>
        <w:tc>
          <w:tcPr>
            <w:tcW w:w="944" w:type="dxa"/>
            <w:vAlign w:val="bottom"/>
          </w:tcPr>
          <w:p w14:paraId="660FD1FB" w14:textId="77777777" w:rsidR="005A7077" w:rsidRDefault="005A7077" w:rsidP="00B10CB3">
            <w:pPr>
              <w:spacing w:line="241" w:lineRule="auto"/>
              <w:rPr>
                <w:sz w:val="18"/>
                <w:szCs w:val="18"/>
                <w:rtl/>
              </w:rPr>
            </w:pPr>
            <w:r w:rsidRPr="009E7447">
              <w:rPr>
                <w:rFonts w:hint="cs"/>
                <w:sz w:val="18"/>
                <w:szCs w:val="18"/>
                <w:rtl/>
              </w:rPr>
              <w:t xml:space="preserve"> 0</w:t>
            </w:r>
          </w:p>
        </w:tc>
        <w:tc>
          <w:tcPr>
            <w:tcW w:w="667" w:type="dxa"/>
            <w:vAlign w:val="bottom"/>
          </w:tcPr>
          <w:p w14:paraId="07F77004" w14:textId="77777777" w:rsidR="005A7077" w:rsidRDefault="005A7077" w:rsidP="00B10CB3">
            <w:pPr>
              <w:spacing w:line="241" w:lineRule="auto"/>
              <w:rPr>
                <w:sz w:val="18"/>
                <w:szCs w:val="18"/>
                <w:rtl/>
              </w:rPr>
            </w:pPr>
            <w:r w:rsidRPr="009E7447">
              <w:rPr>
                <w:rFonts w:hint="cs"/>
                <w:sz w:val="18"/>
                <w:szCs w:val="18"/>
                <w:rtl/>
              </w:rPr>
              <w:t xml:space="preserve"> 0</w:t>
            </w:r>
          </w:p>
        </w:tc>
      </w:tr>
      <w:tr w:rsidR="005A7077" w:rsidRPr="00F4410B" w14:paraId="070F2CFC" w14:textId="77777777" w:rsidTr="00AB0DD8">
        <w:trPr>
          <w:trHeight w:val="245"/>
        </w:trPr>
        <w:tc>
          <w:tcPr>
            <w:tcW w:w="1077" w:type="dxa"/>
          </w:tcPr>
          <w:p w14:paraId="6666B217" w14:textId="77777777" w:rsidR="005A7077" w:rsidRPr="00F4410B" w:rsidRDefault="005A7077" w:rsidP="00B10CB3">
            <w:pPr>
              <w:spacing w:before="40"/>
              <w:ind w:right="-284"/>
              <w:jc w:val="left"/>
              <w:rPr>
                <w:color w:val="000000"/>
                <w:spacing w:val="-6"/>
                <w:sz w:val="14"/>
                <w:szCs w:val="14"/>
                <w:rtl/>
                <w:lang w:eastAsia="he-IL"/>
              </w:rPr>
            </w:pPr>
          </w:p>
        </w:tc>
        <w:tc>
          <w:tcPr>
            <w:tcW w:w="450" w:type="dxa"/>
          </w:tcPr>
          <w:p w14:paraId="0CCB002A" w14:textId="77777777" w:rsidR="005A7077" w:rsidRPr="00F4410B" w:rsidRDefault="005A7077" w:rsidP="00B10CB3">
            <w:pPr>
              <w:spacing w:line="241" w:lineRule="auto"/>
              <w:ind w:left="432" w:hanging="144"/>
              <w:jc w:val="left"/>
              <w:rPr>
                <w:color w:val="000000"/>
                <w:rtl/>
                <w:lang w:eastAsia="he-IL"/>
              </w:rPr>
            </w:pPr>
          </w:p>
        </w:tc>
        <w:tc>
          <w:tcPr>
            <w:tcW w:w="3443" w:type="dxa"/>
            <w:vAlign w:val="bottom"/>
          </w:tcPr>
          <w:p w14:paraId="62D1FCA2" w14:textId="77777777" w:rsidR="005A7077" w:rsidRPr="00F4410B" w:rsidRDefault="005A7077" w:rsidP="00B10CB3">
            <w:pPr>
              <w:spacing w:line="241" w:lineRule="auto"/>
              <w:ind w:left="144" w:hanging="144"/>
              <w:jc w:val="left"/>
              <w:rPr>
                <w:color w:val="000000"/>
                <w:sz w:val="18"/>
                <w:szCs w:val="18"/>
                <w:rtl/>
                <w:lang w:eastAsia="he-IL"/>
              </w:rPr>
            </w:pPr>
            <w:r w:rsidRPr="009E7447">
              <w:rPr>
                <w:rFonts w:hint="cs"/>
                <w:color w:val="000000"/>
                <w:sz w:val="18"/>
                <w:szCs w:val="18"/>
                <w:rtl/>
                <w:lang w:eastAsia="he-IL"/>
              </w:rPr>
              <w:t>בגין חובות שנבדקו על בסיס קבוצתי</w:t>
            </w:r>
          </w:p>
        </w:tc>
        <w:tc>
          <w:tcPr>
            <w:tcW w:w="748" w:type="dxa"/>
            <w:vAlign w:val="bottom"/>
          </w:tcPr>
          <w:p w14:paraId="2CD5C797" w14:textId="77777777" w:rsidR="005A7077" w:rsidRPr="00F4410B" w:rsidRDefault="005A7077" w:rsidP="00B10CB3">
            <w:pPr>
              <w:pBdr>
                <w:bottom w:val="single" w:sz="4" w:space="1" w:color="auto"/>
              </w:pBdr>
              <w:spacing w:line="241" w:lineRule="auto"/>
              <w:rPr>
                <w:sz w:val="18"/>
                <w:szCs w:val="18"/>
                <w:rtl/>
              </w:rPr>
            </w:pPr>
            <w:r w:rsidRPr="009E7447">
              <w:rPr>
                <w:rFonts w:hint="cs"/>
                <w:sz w:val="18"/>
                <w:szCs w:val="18"/>
                <w:rtl/>
              </w:rPr>
              <w:t xml:space="preserve"> 0</w:t>
            </w:r>
          </w:p>
        </w:tc>
        <w:tc>
          <w:tcPr>
            <w:tcW w:w="762" w:type="dxa"/>
            <w:vAlign w:val="bottom"/>
          </w:tcPr>
          <w:p w14:paraId="2056C58C" w14:textId="77777777" w:rsidR="005A7077" w:rsidRPr="00F4410B" w:rsidRDefault="005A7077" w:rsidP="00B10CB3">
            <w:pPr>
              <w:pBdr>
                <w:bottom w:val="single" w:sz="4" w:space="1" w:color="auto"/>
              </w:pBdr>
              <w:spacing w:line="241" w:lineRule="auto"/>
              <w:rPr>
                <w:sz w:val="18"/>
                <w:szCs w:val="18"/>
                <w:rtl/>
              </w:rPr>
            </w:pPr>
            <w:r w:rsidRPr="009E7447">
              <w:rPr>
                <w:rFonts w:hint="cs"/>
                <w:sz w:val="18"/>
                <w:szCs w:val="18"/>
                <w:rtl/>
              </w:rPr>
              <w:t xml:space="preserve"> 0</w:t>
            </w:r>
          </w:p>
        </w:tc>
        <w:tc>
          <w:tcPr>
            <w:tcW w:w="884" w:type="dxa"/>
            <w:vAlign w:val="bottom"/>
          </w:tcPr>
          <w:p w14:paraId="3BE54F98" w14:textId="77777777" w:rsidR="005A7077" w:rsidRPr="00F4410B" w:rsidRDefault="005A7077" w:rsidP="00B10CB3">
            <w:pPr>
              <w:pBdr>
                <w:bottom w:val="single" w:sz="4" w:space="1" w:color="auto"/>
              </w:pBdr>
              <w:spacing w:line="241" w:lineRule="auto"/>
              <w:rPr>
                <w:sz w:val="18"/>
                <w:szCs w:val="18"/>
                <w:rtl/>
              </w:rPr>
            </w:pPr>
            <w:r w:rsidRPr="009E7447">
              <w:rPr>
                <w:rFonts w:hint="cs"/>
                <w:sz w:val="18"/>
                <w:szCs w:val="18"/>
                <w:rtl/>
              </w:rPr>
              <w:t xml:space="preserve"> 0</w:t>
            </w:r>
          </w:p>
        </w:tc>
        <w:tc>
          <w:tcPr>
            <w:tcW w:w="739" w:type="dxa"/>
            <w:vAlign w:val="bottom"/>
          </w:tcPr>
          <w:p w14:paraId="672B5BD9" w14:textId="77777777" w:rsidR="005A7077" w:rsidRPr="00F4410B" w:rsidRDefault="005A7077" w:rsidP="00B10CB3">
            <w:pPr>
              <w:pBdr>
                <w:bottom w:val="single" w:sz="4" w:space="1" w:color="auto"/>
              </w:pBdr>
              <w:spacing w:line="241" w:lineRule="auto"/>
              <w:rPr>
                <w:sz w:val="18"/>
                <w:szCs w:val="18"/>
                <w:rtl/>
              </w:rPr>
            </w:pPr>
            <w:r w:rsidRPr="009E7447">
              <w:rPr>
                <w:rFonts w:hint="cs"/>
                <w:sz w:val="18"/>
                <w:szCs w:val="18"/>
                <w:rtl/>
              </w:rPr>
              <w:t xml:space="preserve"> 0</w:t>
            </w:r>
          </w:p>
        </w:tc>
        <w:tc>
          <w:tcPr>
            <w:tcW w:w="944" w:type="dxa"/>
            <w:vAlign w:val="bottom"/>
          </w:tcPr>
          <w:p w14:paraId="056F87AD" w14:textId="77777777" w:rsidR="005A7077" w:rsidRDefault="005A7077" w:rsidP="00B10CB3">
            <w:pPr>
              <w:pBdr>
                <w:bottom w:val="single" w:sz="4" w:space="1" w:color="auto"/>
              </w:pBdr>
              <w:spacing w:line="241" w:lineRule="auto"/>
              <w:rPr>
                <w:sz w:val="18"/>
                <w:szCs w:val="18"/>
                <w:rtl/>
              </w:rPr>
            </w:pPr>
            <w:r w:rsidRPr="009E7447">
              <w:rPr>
                <w:rFonts w:hint="cs"/>
                <w:sz w:val="18"/>
                <w:szCs w:val="18"/>
                <w:rtl/>
              </w:rPr>
              <w:t xml:space="preserve"> 0</w:t>
            </w:r>
          </w:p>
        </w:tc>
        <w:tc>
          <w:tcPr>
            <w:tcW w:w="667" w:type="dxa"/>
            <w:vAlign w:val="bottom"/>
          </w:tcPr>
          <w:p w14:paraId="22B4A448" w14:textId="77777777" w:rsidR="005A7077" w:rsidRDefault="005A7077" w:rsidP="00B10CB3">
            <w:pPr>
              <w:pBdr>
                <w:bottom w:val="single" w:sz="4" w:space="1" w:color="auto"/>
              </w:pBdr>
              <w:spacing w:line="241" w:lineRule="auto"/>
              <w:rPr>
                <w:sz w:val="18"/>
                <w:szCs w:val="18"/>
                <w:rtl/>
              </w:rPr>
            </w:pPr>
            <w:r w:rsidRPr="009E7447">
              <w:rPr>
                <w:rFonts w:hint="cs"/>
                <w:sz w:val="18"/>
                <w:szCs w:val="18"/>
                <w:rtl/>
              </w:rPr>
              <w:t xml:space="preserve"> 0</w:t>
            </w:r>
          </w:p>
        </w:tc>
      </w:tr>
      <w:tr w:rsidR="005A7077" w:rsidRPr="00F4410B" w14:paraId="50138D5E" w14:textId="77777777" w:rsidTr="00AB0DD8">
        <w:trPr>
          <w:trHeight w:val="245"/>
        </w:trPr>
        <w:tc>
          <w:tcPr>
            <w:tcW w:w="1077" w:type="dxa"/>
          </w:tcPr>
          <w:p w14:paraId="6C3D7651" w14:textId="77777777" w:rsidR="005A7077" w:rsidRPr="00F4410B" w:rsidRDefault="005A7077" w:rsidP="00B10CB3">
            <w:pPr>
              <w:spacing w:line="241" w:lineRule="auto"/>
              <w:ind w:left="432" w:right="-284" w:hanging="144"/>
              <w:jc w:val="left"/>
              <w:rPr>
                <w:color w:val="000000"/>
                <w:spacing w:val="-6"/>
                <w:rtl/>
                <w:lang w:eastAsia="he-IL"/>
              </w:rPr>
            </w:pPr>
          </w:p>
        </w:tc>
        <w:tc>
          <w:tcPr>
            <w:tcW w:w="450" w:type="dxa"/>
          </w:tcPr>
          <w:p w14:paraId="0CF0F92A" w14:textId="77777777" w:rsidR="005A7077" w:rsidRPr="00F4410B" w:rsidRDefault="005A7077" w:rsidP="00B10CB3">
            <w:pPr>
              <w:spacing w:line="241" w:lineRule="auto"/>
              <w:ind w:left="432" w:hanging="144"/>
              <w:jc w:val="left"/>
              <w:rPr>
                <w:color w:val="000000"/>
                <w:rtl/>
                <w:lang w:eastAsia="he-IL"/>
              </w:rPr>
            </w:pPr>
          </w:p>
        </w:tc>
        <w:tc>
          <w:tcPr>
            <w:tcW w:w="3443" w:type="dxa"/>
            <w:vAlign w:val="bottom"/>
          </w:tcPr>
          <w:p w14:paraId="13937DED" w14:textId="77777777" w:rsidR="005A7077" w:rsidRPr="00F4410B" w:rsidRDefault="005A7077" w:rsidP="00B10CB3">
            <w:pPr>
              <w:spacing w:line="241" w:lineRule="auto"/>
              <w:ind w:left="144" w:hanging="144"/>
              <w:jc w:val="left"/>
              <w:rPr>
                <w:color w:val="000000"/>
                <w:sz w:val="18"/>
                <w:szCs w:val="18"/>
                <w:rtl/>
                <w:lang w:eastAsia="he-IL"/>
              </w:rPr>
            </w:pPr>
            <w:r>
              <w:rPr>
                <w:rFonts w:hint="cs"/>
                <w:b/>
                <w:bCs/>
                <w:color w:val="000000"/>
                <w:sz w:val="18"/>
                <w:szCs w:val="18"/>
                <w:rtl/>
                <w:lang w:eastAsia="he-IL"/>
              </w:rPr>
              <w:t>סך הכל</w:t>
            </w:r>
            <w:r w:rsidRPr="009E7447">
              <w:rPr>
                <w:rFonts w:hint="cs"/>
                <w:b/>
                <w:bCs/>
                <w:color w:val="000000"/>
                <w:sz w:val="18"/>
                <w:szCs w:val="18"/>
                <w:rtl/>
                <w:lang w:eastAsia="he-IL"/>
              </w:rPr>
              <w:t>*</w:t>
            </w:r>
          </w:p>
        </w:tc>
        <w:tc>
          <w:tcPr>
            <w:tcW w:w="748" w:type="dxa"/>
            <w:vAlign w:val="bottom"/>
          </w:tcPr>
          <w:p w14:paraId="1C52B362" w14:textId="77777777" w:rsidR="005A7077" w:rsidRPr="00F4410B" w:rsidRDefault="005A7077" w:rsidP="00B10CB3">
            <w:pPr>
              <w:spacing w:line="241" w:lineRule="auto"/>
              <w:rPr>
                <w:b/>
                <w:bCs/>
                <w:sz w:val="18"/>
                <w:szCs w:val="18"/>
                <w:rtl/>
              </w:rPr>
            </w:pPr>
            <w:r w:rsidRPr="009E7447">
              <w:rPr>
                <w:b/>
                <w:bCs/>
                <w:sz w:val="18"/>
                <w:szCs w:val="18"/>
                <w:rtl/>
              </w:rPr>
              <w:t xml:space="preserve"> 0</w:t>
            </w:r>
          </w:p>
        </w:tc>
        <w:tc>
          <w:tcPr>
            <w:tcW w:w="762" w:type="dxa"/>
            <w:vAlign w:val="bottom"/>
          </w:tcPr>
          <w:p w14:paraId="2BB8789D" w14:textId="77777777" w:rsidR="005A7077" w:rsidRPr="00F4410B" w:rsidRDefault="005A7077" w:rsidP="00B10CB3">
            <w:pPr>
              <w:spacing w:line="241" w:lineRule="auto"/>
              <w:rPr>
                <w:b/>
                <w:bCs/>
                <w:sz w:val="18"/>
                <w:szCs w:val="18"/>
                <w:rtl/>
              </w:rPr>
            </w:pPr>
            <w:r w:rsidRPr="009E7447">
              <w:rPr>
                <w:b/>
                <w:bCs/>
                <w:sz w:val="18"/>
                <w:szCs w:val="18"/>
                <w:rtl/>
              </w:rPr>
              <w:t xml:space="preserve"> 0</w:t>
            </w:r>
          </w:p>
        </w:tc>
        <w:tc>
          <w:tcPr>
            <w:tcW w:w="884" w:type="dxa"/>
            <w:vAlign w:val="bottom"/>
          </w:tcPr>
          <w:p w14:paraId="5EF7F9D9" w14:textId="77777777" w:rsidR="005A7077" w:rsidRPr="00F4410B" w:rsidRDefault="005A7077" w:rsidP="00B10CB3">
            <w:pPr>
              <w:spacing w:line="241" w:lineRule="auto"/>
              <w:rPr>
                <w:b/>
                <w:bCs/>
                <w:sz w:val="18"/>
                <w:szCs w:val="18"/>
                <w:rtl/>
              </w:rPr>
            </w:pPr>
            <w:r w:rsidRPr="009E7447">
              <w:rPr>
                <w:b/>
                <w:bCs/>
                <w:sz w:val="18"/>
                <w:szCs w:val="18"/>
                <w:rtl/>
              </w:rPr>
              <w:t xml:space="preserve"> 0</w:t>
            </w:r>
          </w:p>
        </w:tc>
        <w:tc>
          <w:tcPr>
            <w:tcW w:w="739" w:type="dxa"/>
            <w:vAlign w:val="bottom"/>
          </w:tcPr>
          <w:p w14:paraId="6A38D95D" w14:textId="77777777" w:rsidR="005A7077" w:rsidRPr="00F4410B" w:rsidRDefault="005A7077" w:rsidP="00B10CB3">
            <w:pPr>
              <w:spacing w:line="241" w:lineRule="auto"/>
              <w:rPr>
                <w:b/>
                <w:bCs/>
                <w:sz w:val="18"/>
                <w:szCs w:val="18"/>
                <w:rtl/>
              </w:rPr>
            </w:pPr>
            <w:r w:rsidRPr="009E7447">
              <w:rPr>
                <w:b/>
                <w:bCs/>
                <w:sz w:val="18"/>
                <w:szCs w:val="18"/>
                <w:rtl/>
              </w:rPr>
              <w:t xml:space="preserve"> 0</w:t>
            </w:r>
          </w:p>
        </w:tc>
        <w:tc>
          <w:tcPr>
            <w:tcW w:w="944" w:type="dxa"/>
            <w:vAlign w:val="bottom"/>
          </w:tcPr>
          <w:p w14:paraId="21F7B554" w14:textId="77777777" w:rsidR="005A7077" w:rsidRDefault="005A7077" w:rsidP="00B10CB3">
            <w:pPr>
              <w:spacing w:line="241" w:lineRule="auto"/>
              <w:rPr>
                <w:b/>
                <w:bCs/>
                <w:sz w:val="18"/>
                <w:szCs w:val="18"/>
                <w:rtl/>
              </w:rPr>
            </w:pPr>
            <w:r w:rsidRPr="009E7447">
              <w:rPr>
                <w:b/>
                <w:bCs/>
                <w:sz w:val="18"/>
                <w:szCs w:val="18"/>
                <w:rtl/>
              </w:rPr>
              <w:t xml:space="preserve"> 0</w:t>
            </w:r>
          </w:p>
        </w:tc>
        <w:tc>
          <w:tcPr>
            <w:tcW w:w="667" w:type="dxa"/>
            <w:vAlign w:val="bottom"/>
          </w:tcPr>
          <w:p w14:paraId="36F42A9D" w14:textId="77777777" w:rsidR="005A7077" w:rsidRDefault="005A7077" w:rsidP="00B10CB3">
            <w:pPr>
              <w:spacing w:line="241" w:lineRule="auto"/>
              <w:rPr>
                <w:b/>
                <w:bCs/>
                <w:sz w:val="18"/>
                <w:szCs w:val="18"/>
                <w:rtl/>
              </w:rPr>
            </w:pPr>
            <w:r w:rsidRPr="009E7447">
              <w:rPr>
                <w:b/>
                <w:bCs/>
                <w:sz w:val="18"/>
                <w:szCs w:val="18"/>
                <w:rtl/>
              </w:rPr>
              <w:t xml:space="preserve"> 0</w:t>
            </w:r>
          </w:p>
        </w:tc>
      </w:tr>
      <w:tr w:rsidR="005A7077" w:rsidRPr="00F4410B" w14:paraId="39422867" w14:textId="77777777" w:rsidTr="00AB0DD8">
        <w:trPr>
          <w:trHeight w:val="245"/>
        </w:trPr>
        <w:tc>
          <w:tcPr>
            <w:tcW w:w="1077" w:type="dxa"/>
          </w:tcPr>
          <w:p w14:paraId="1923422B" w14:textId="77777777" w:rsidR="005A7077" w:rsidRPr="00F4410B" w:rsidRDefault="005A7077" w:rsidP="00B10CB3">
            <w:pPr>
              <w:spacing w:line="241" w:lineRule="auto"/>
              <w:ind w:left="432" w:right="-284" w:hanging="144"/>
              <w:jc w:val="left"/>
              <w:rPr>
                <w:color w:val="000000"/>
                <w:spacing w:val="-6"/>
                <w:rtl/>
                <w:lang w:eastAsia="he-IL"/>
              </w:rPr>
            </w:pPr>
          </w:p>
        </w:tc>
        <w:tc>
          <w:tcPr>
            <w:tcW w:w="450" w:type="dxa"/>
          </w:tcPr>
          <w:p w14:paraId="78AE1820" w14:textId="77777777" w:rsidR="005A7077" w:rsidRPr="00F4410B" w:rsidRDefault="005A7077" w:rsidP="00B10CB3">
            <w:pPr>
              <w:spacing w:line="241" w:lineRule="auto"/>
              <w:ind w:left="432" w:hanging="144"/>
              <w:jc w:val="left"/>
              <w:rPr>
                <w:color w:val="000000"/>
                <w:rtl/>
                <w:lang w:eastAsia="he-IL"/>
              </w:rPr>
            </w:pPr>
          </w:p>
        </w:tc>
        <w:tc>
          <w:tcPr>
            <w:tcW w:w="3443" w:type="dxa"/>
            <w:vAlign w:val="bottom"/>
          </w:tcPr>
          <w:p w14:paraId="49E07FC8" w14:textId="77777777" w:rsidR="005A7077" w:rsidRPr="00F4410B" w:rsidRDefault="005A7077" w:rsidP="00512110">
            <w:pPr>
              <w:spacing w:before="120"/>
              <w:ind w:left="142" w:hanging="142"/>
              <w:jc w:val="left"/>
              <w:rPr>
                <w:b/>
                <w:bCs/>
                <w:color w:val="000000"/>
                <w:sz w:val="18"/>
                <w:szCs w:val="18"/>
                <w:rtl/>
                <w:lang w:eastAsia="he-IL"/>
              </w:rPr>
            </w:pPr>
            <w:r w:rsidRPr="00797429">
              <w:rPr>
                <w:rFonts w:hint="cs"/>
                <w:color w:val="000000"/>
                <w:sz w:val="18"/>
                <w:szCs w:val="18"/>
                <w:rtl/>
                <w:lang w:eastAsia="he-IL"/>
              </w:rPr>
              <w:t>*</w:t>
            </w:r>
            <w:r>
              <w:rPr>
                <w:rFonts w:hint="cs"/>
                <w:sz w:val="18"/>
                <w:szCs w:val="18"/>
                <w:rtl/>
              </w:rPr>
              <w:t xml:space="preserve"> </w:t>
            </w:r>
            <w:r w:rsidRPr="00797429">
              <w:rPr>
                <w:rFonts w:hint="cs"/>
                <w:sz w:val="18"/>
                <w:szCs w:val="18"/>
                <w:rtl/>
              </w:rPr>
              <w:t xml:space="preserve">מזה: </w:t>
            </w:r>
            <w:r>
              <w:rPr>
                <w:rFonts w:hint="cs"/>
                <w:sz w:val="18"/>
                <w:szCs w:val="18"/>
                <w:rtl/>
              </w:rPr>
              <w:t xml:space="preserve"> </w:t>
            </w:r>
            <w:r w:rsidRPr="00797429">
              <w:rPr>
                <w:rFonts w:hint="cs"/>
                <w:sz w:val="18"/>
                <w:szCs w:val="18"/>
                <w:rtl/>
              </w:rPr>
              <w:t>בגין חובות לא צוברים</w:t>
            </w:r>
          </w:p>
        </w:tc>
        <w:tc>
          <w:tcPr>
            <w:tcW w:w="748" w:type="dxa"/>
            <w:vAlign w:val="bottom"/>
          </w:tcPr>
          <w:p w14:paraId="4492F4BF" w14:textId="77777777" w:rsidR="005A7077" w:rsidRPr="00F4410B" w:rsidRDefault="005A7077" w:rsidP="00B10CB3">
            <w:pPr>
              <w:spacing w:line="241" w:lineRule="auto"/>
              <w:rPr>
                <w:b/>
                <w:bCs/>
                <w:sz w:val="18"/>
                <w:szCs w:val="18"/>
                <w:rtl/>
              </w:rPr>
            </w:pPr>
            <w:r w:rsidRPr="009E7447">
              <w:rPr>
                <w:rFonts w:hint="cs"/>
                <w:sz w:val="18"/>
                <w:szCs w:val="18"/>
                <w:rtl/>
              </w:rPr>
              <w:t xml:space="preserve"> 0</w:t>
            </w:r>
          </w:p>
        </w:tc>
        <w:tc>
          <w:tcPr>
            <w:tcW w:w="762" w:type="dxa"/>
            <w:vAlign w:val="bottom"/>
          </w:tcPr>
          <w:p w14:paraId="54C41C1A" w14:textId="77777777" w:rsidR="005A7077" w:rsidRPr="00F4410B" w:rsidRDefault="005A7077" w:rsidP="00B10CB3">
            <w:pPr>
              <w:spacing w:line="241" w:lineRule="auto"/>
              <w:rPr>
                <w:b/>
                <w:bCs/>
                <w:sz w:val="18"/>
                <w:szCs w:val="18"/>
                <w:rtl/>
              </w:rPr>
            </w:pPr>
            <w:r w:rsidRPr="009E7447">
              <w:rPr>
                <w:rFonts w:hint="cs"/>
                <w:sz w:val="18"/>
                <w:szCs w:val="18"/>
                <w:rtl/>
              </w:rPr>
              <w:t xml:space="preserve"> 0</w:t>
            </w:r>
          </w:p>
        </w:tc>
        <w:tc>
          <w:tcPr>
            <w:tcW w:w="884" w:type="dxa"/>
            <w:vAlign w:val="bottom"/>
          </w:tcPr>
          <w:p w14:paraId="0276EDB0" w14:textId="77777777" w:rsidR="005A7077" w:rsidRPr="00F4410B" w:rsidRDefault="005A7077" w:rsidP="00B10CB3">
            <w:pPr>
              <w:spacing w:line="241" w:lineRule="auto"/>
              <w:rPr>
                <w:b/>
                <w:bCs/>
                <w:sz w:val="18"/>
                <w:szCs w:val="18"/>
                <w:rtl/>
              </w:rPr>
            </w:pPr>
            <w:r w:rsidRPr="009E7447">
              <w:rPr>
                <w:rFonts w:hint="cs"/>
                <w:sz w:val="18"/>
                <w:szCs w:val="18"/>
                <w:rtl/>
              </w:rPr>
              <w:t xml:space="preserve"> 0</w:t>
            </w:r>
          </w:p>
        </w:tc>
        <w:tc>
          <w:tcPr>
            <w:tcW w:w="739" w:type="dxa"/>
            <w:vAlign w:val="bottom"/>
          </w:tcPr>
          <w:p w14:paraId="27891D0E" w14:textId="77777777" w:rsidR="005A7077" w:rsidRPr="00F4410B" w:rsidRDefault="005A7077" w:rsidP="00B10CB3">
            <w:pPr>
              <w:spacing w:line="241" w:lineRule="auto"/>
              <w:rPr>
                <w:b/>
                <w:bCs/>
                <w:sz w:val="18"/>
                <w:szCs w:val="18"/>
                <w:rtl/>
              </w:rPr>
            </w:pPr>
            <w:r w:rsidRPr="009E7447">
              <w:rPr>
                <w:rFonts w:hint="cs"/>
                <w:sz w:val="18"/>
                <w:szCs w:val="18"/>
                <w:rtl/>
              </w:rPr>
              <w:t xml:space="preserve"> 0</w:t>
            </w:r>
          </w:p>
        </w:tc>
        <w:tc>
          <w:tcPr>
            <w:tcW w:w="944" w:type="dxa"/>
            <w:vAlign w:val="bottom"/>
          </w:tcPr>
          <w:p w14:paraId="522C6AB1" w14:textId="77777777" w:rsidR="005A7077" w:rsidRDefault="005A7077" w:rsidP="00B10CB3">
            <w:pPr>
              <w:spacing w:line="241" w:lineRule="auto"/>
              <w:rPr>
                <w:b/>
                <w:bCs/>
                <w:sz w:val="18"/>
                <w:szCs w:val="18"/>
                <w:rtl/>
              </w:rPr>
            </w:pPr>
            <w:r w:rsidRPr="009E7447">
              <w:rPr>
                <w:rFonts w:hint="cs"/>
                <w:sz w:val="18"/>
                <w:szCs w:val="18"/>
                <w:rtl/>
              </w:rPr>
              <w:t xml:space="preserve"> 0</w:t>
            </w:r>
          </w:p>
        </w:tc>
        <w:tc>
          <w:tcPr>
            <w:tcW w:w="667" w:type="dxa"/>
            <w:vAlign w:val="bottom"/>
          </w:tcPr>
          <w:p w14:paraId="0D05F985" w14:textId="77777777" w:rsidR="005A7077" w:rsidRDefault="005A7077" w:rsidP="00B10CB3">
            <w:pPr>
              <w:spacing w:line="241" w:lineRule="auto"/>
              <w:rPr>
                <w:b/>
                <w:bCs/>
                <w:sz w:val="18"/>
                <w:szCs w:val="18"/>
                <w:rtl/>
              </w:rPr>
            </w:pPr>
            <w:r w:rsidRPr="009E7447">
              <w:rPr>
                <w:rFonts w:hint="cs"/>
                <w:sz w:val="18"/>
                <w:szCs w:val="18"/>
                <w:rtl/>
              </w:rPr>
              <w:t xml:space="preserve"> 0</w:t>
            </w:r>
          </w:p>
        </w:tc>
      </w:tr>
      <w:tr w:rsidR="005A7077" w:rsidRPr="00F4410B" w14:paraId="360C098B" w14:textId="77777777" w:rsidTr="00AB0DD8">
        <w:trPr>
          <w:trHeight w:val="245"/>
        </w:trPr>
        <w:tc>
          <w:tcPr>
            <w:tcW w:w="1077" w:type="dxa"/>
          </w:tcPr>
          <w:p w14:paraId="3A14BD07" w14:textId="77777777" w:rsidR="005A7077" w:rsidRPr="00F4410B" w:rsidRDefault="005A7077" w:rsidP="00B10CB3">
            <w:pPr>
              <w:spacing w:line="241" w:lineRule="auto"/>
              <w:ind w:left="432" w:right="-284" w:hanging="144"/>
              <w:jc w:val="left"/>
              <w:rPr>
                <w:color w:val="000000"/>
                <w:spacing w:val="-6"/>
                <w:rtl/>
                <w:lang w:eastAsia="he-IL"/>
              </w:rPr>
            </w:pPr>
          </w:p>
        </w:tc>
        <w:tc>
          <w:tcPr>
            <w:tcW w:w="450" w:type="dxa"/>
          </w:tcPr>
          <w:p w14:paraId="48A48591" w14:textId="77777777" w:rsidR="005A7077" w:rsidRPr="00F4410B" w:rsidRDefault="005A7077" w:rsidP="00B10CB3">
            <w:pPr>
              <w:spacing w:line="241" w:lineRule="auto"/>
              <w:ind w:left="432" w:hanging="144"/>
              <w:jc w:val="left"/>
              <w:rPr>
                <w:color w:val="000000"/>
                <w:rtl/>
                <w:lang w:eastAsia="he-IL"/>
              </w:rPr>
            </w:pPr>
          </w:p>
        </w:tc>
        <w:tc>
          <w:tcPr>
            <w:tcW w:w="3443" w:type="dxa"/>
            <w:vAlign w:val="bottom"/>
          </w:tcPr>
          <w:p w14:paraId="6AA4E536" w14:textId="77777777" w:rsidR="005A7077" w:rsidRPr="00F4410B" w:rsidRDefault="005A7077" w:rsidP="00B10CB3">
            <w:pPr>
              <w:spacing w:line="241" w:lineRule="auto"/>
              <w:ind w:left="572"/>
              <w:jc w:val="left"/>
              <w:rPr>
                <w:color w:val="000000"/>
                <w:sz w:val="18"/>
                <w:szCs w:val="18"/>
                <w:rtl/>
                <w:lang w:eastAsia="he-IL"/>
              </w:rPr>
            </w:pPr>
            <w:r w:rsidRPr="009E7447">
              <w:rPr>
                <w:rFonts w:hint="cs"/>
                <w:color w:val="000000"/>
                <w:sz w:val="18"/>
                <w:szCs w:val="18"/>
                <w:rtl/>
                <w:lang w:eastAsia="he-IL"/>
              </w:rPr>
              <w:t>ב</w:t>
            </w:r>
            <w:r>
              <w:rPr>
                <w:rFonts w:hint="cs"/>
                <w:color w:val="000000"/>
                <w:sz w:val="18"/>
                <w:szCs w:val="18"/>
                <w:rtl/>
                <w:lang w:eastAsia="he-IL"/>
              </w:rPr>
              <w:t>ג</w:t>
            </w:r>
            <w:r w:rsidRPr="009E7447">
              <w:rPr>
                <w:rFonts w:hint="cs"/>
                <w:color w:val="000000"/>
                <w:sz w:val="18"/>
                <w:szCs w:val="18"/>
                <w:rtl/>
                <w:lang w:eastAsia="he-IL"/>
              </w:rPr>
              <w:t>ין חובות בעייתיים אחרים</w:t>
            </w:r>
          </w:p>
        </w:tc>
        <w:tc>
          <w:tcPr>
            <w:tcW w:w="748" w:type="dxa"/>
            <w:vAlign w:val="bottom"/>
          </w:tcPr>
          <w:p w14:paraId="52FA4B24" w14:textId="77777777" w:rsidR="005A7077" w:rsidRPr="00F4410B" w:rsidRDefault="005A7077" w:rsidP="00B10CB3">
            <w:pPr>
              <w:spacing w:line="241" w:lineRule="auto"/>
              <w:rPr>
                <w:sz w:val="18"/>
                <w:szCs w:val="18"/>
                <w:rtl/>
              </w:rPr>
            </w:pPr>
            <w:r w:rsidRPr="009E7447">
              <w:rPr>
                <w:rFonts w:hint="cs"/>
                <w:sz w:val="18"/>
                <w:szCs w:val="18"/>
                <w:rtl/>
              </w:rPr>
              <w:t xml:space="preserve"> 0</w:t>
            </w:r>
          </w:p>
        </w:tc>
        <w:tc>
          <w:tcPr>
            <w:tcW w:w="762" w:type="dxa"/>
            <w:vAlign w:val="bottom"/>
          </w:tcPr>
          <w:p w14:paraId="67218DF3" w14:textId="77777777" w:rsidR="005A7077" w:rsidRPr="00F4410B" w:rsidRDefault="005A7077" w:rsidP="00B10CB3">
            <w:pPr>
              <w:spacing w:line="241" w:lineRule="auto"/>
              <w:rPr>
                <w:sz w:val="18"/>
                <w:szCs w:val="18"/>
                <w:rtl/>
              </w:rPr>
            </w:pPr>
            <w:r w:rsidRPr="009E7447">
              <w:rPr>
                <w:rFonts w:hint="cs"/>
                <w:sz w:val="18"/>
                <w:szCs w:val="18"/>
                <w:rtl/>
              </w:rPr>
              <w:t xml:space="preserve"> 0</w:t>
            </w:r>
          </w:p>
        </w:tc>
        <w:tc>
          <w:tcPr>
            <w:tcW w:w="884" w:type="dxa"/>
            <w:vAlign w:val="bottom"/>
          </w:tcPr>
          <w:p w14:paraId="0D4F965F" w14:textId="77777777" w:rsidR="005A7077" w:rsidRPr="00F4410B" w:rsidRDefault="005A7077" w:rsidP="00B10CB3">
            <w:pPr>
              <w:spacing w:line="241" w:lineRule="auto"/>
              <w:rPr>
                <w:sz w:val="18"/>
                <w:szCs w:val="18"/>
                <w:rtl/>
              </w:rPr>
            </w:pPr>
            <w:r w:rsidRPr="009E7447">
              <w:rPr>
                <w:rFonts w:hint="cs"/>
                <w:sz w:val="18"/>
                <w:szCs w:val="18"/>
                <w:rtl/>
              </w:rPr>
              <w:t xml:space="preserve"> 0</w:t>
            </w:r>
          </w:p>
        </w:tc>
        <w:tc>
          <w:tcPr>
            <w:tcW w:w="739" w:type="dxa"/>
            <w:vAlign w:val="bottom"/>
          </w:tcPr>
          <w:p w14:paraId="41486DFD" w14:textId="77777777" w:rsidR="005A7077" w:rsidRPr="00F4410B" w:rsidRDefault="005A7077" w:rsidP="00B10CB3">
            <w:pPr>
              <w:spacing w:line="241" w:lineRule="auto"/>
              <w:rPr>
                <w:sz w:val="18"/>
                <w:szCs w:val="18"/>
                <w:rtl/>
              </w:rPr>
            </w:pPr>
            <w:r w:rsidRPr="009E7447">
              <w:rPr>
                <w:rFonts w:hint="cs"/>
                <w:sz w:val="18"/>
                <w:szCs w:val="18"/>
                <w:rtl/>
              </w:rPr>
              <w:t xml:space="preserve"> 0</w:t>
            </w:r>
          </w:p>
        </w:tc>
        <w:tc>
          <w:tcPr>
            <w:tcW w:w="944" w:type="dxa"/>
            <w:vAlign w:val="bottom"/>
          </w:tcPr>
          <w:p w14:paraId="12B05496" w14:textId="77777777" w:rsidR="005A7077" w:rsidRDefault="005A7077" w:rsidP="00B10CB3">
            <w:pPr>
              <w:spacing w:line="241" w:lineRule="auto"/>
              <w:rPr>
                <w:sz w:val="18"/>
                <w:szCs w:val="18"/>
                <w:rtl/>
              </w:rPr>
            </w:pPr>
            <w:r w:rsidRPr="009E7447">
              <w:rPr>
                <w:rFonts w:hint="cs"/>
                <w:sz w:val="18"/>
                <w:szCs w:val="18"/>
                <w:rtl/>
              </w:rPr>
              <w:t xml:space="preserve"> 0</w:t>
            </w:r>
          </w:p>
        </w:tc>
        <w:tc>
          <w:tcPr>
            <w:tcW w:w="667" w:type="dxa"/>
            <w:vAlign w:val="bottom"/>
          </w:tcPr>
          <w:p w14:paraId="11A9B186" w14:textId="77777777" w:rsidR="005A7077" w:rsidRDefault="005A7077" w:rsidP="00B10CB3">
            <w:pPr>
              <w:spacing w:line="241" w:lineRule="auto"/>
              <w:rPr>
                <w:sz w:val="18"/>
                <w:szCs w:val="18"/>
                <w:rtl/>
              </w:rPr>
            </w:pPr>
            <w:r w:rsidRPr="009E7447">
              <w:rPr>
                <w:rFonts w:hint="cs"/>
                <w:sz w:val="18"/>
                <w:szCs w:val="18"/>
                <w:rtl/>
              </w:rPr>
              <w:t xml:space="preserve"> 0</w:t>
            </w:r>
          </w:p>
        </w:tc>
      </w:tr>
    </w:tbl>
    <w:p w14:paraId="21DE0C2E" w14:textId="77777777" w:rsidR="001E4796" w:rsidRDefault="001E4796" w:rsidP="0001523C">
      <w:pPr>
        <w:spacing w:line="40" w:lineRule="exact"/>
      </w:pPr>
    </w:p>
    <w:p w14:paraId="2A903FFE" w14:textId="56B9CFE9" w:rsidR="00912813" w:rsidRDefault="00912813">
      <w:pPr>
        <w:bidi w:val="0"/>
        <w:jc w:val="left"/>
      </w:pPr>
      <w:r>
        <w:rPr>
          <w:rtl/>
        </w:rPr>
        <w:br w:type="page"/>
      </w:r>
    </w:p>
    <w:tbl>
      <w:tblPr>
        <w:bidiVisual/>
        <w:tblW w:w="4707" w:type="pct"/>
        <w:tblInd w:w="-1" w:type="dxa"/>
        <w:tblLook w:val="04A0" w:firstRow="1" w:lastRow="0" w:firstColumn="1" w:lastColumn="0" w:noHBand="0" w:noVBand="1"/>
      </w:tblPr>
      <w:tblGrid>
        <w:gridCol w:w="1077"/>
        <w:gridCol w:w="389"/>
        <w:gridCol w:w="3593"/>
        <w:gridCol w:w="744"/>
        <w:gridCol w:w="753"/>
        <w:gridCol w:w="869"/>
        <w:gridCol w:w="727"/>
        <w:gridCol w:w="938"/>
        <w:gridCol w:w="519"/>
      </w:tblGrid>
      <w:tr w:rsidR="00E67526" w:rsidRPr="00F4410B" w14:paraId="354E0D8E" w14:textId="77777777" w:rsidTr="00EC46DF">
        <w:trPr>
          <w:trHeight w:val="259"/>
        </w:trPr>
        <w:tc>
          <w:tcPr>
            <w:tcW w:w="1077" w:type="dxa"/>
          </w:tcPr>
          <w:p w14:paraId="5673CA66" w14:textId="77777777" w:rsidR="00E67526" w:rsidRPr="00F4410B" w:rsidRDefault="00E67526" w:rsidP="00AF08D2">
            <w:pPr>
              <w:spacing w:after="60"/>
              <w:ind w:right="-144"/>
              <w:jc w:val="left"/>
              <w:rPr>
                <w:spacing w:val="-6"/>
                <w:sz w:val="14"/>
                <w:szCs w:val="14"/>
                <w:rtl/>
              </w:rPr>
            </w:pPr>
          </w:p>
        </w:tc>
        <w:tc>
          <w:tcPr>
            <w:tcW w:w="8532" w:type="dxa"/>
            <w:gridSpan w:val="8"/>
          </w:tcPr>
          <w:p w14:paraId="33288A4A" w14:textId="77777777" w:rsidR="00F32A2A" w:rsidRDefault="00E67526">
            <w:pPr>
              <w:spacing w:after="60"/>
              <w:rPr>
                <w:b/>
                <w:bCs/>
                <w:sz w:val="22"/>
                <w:szCs w:val="22"/>
                <w:rtl/>
              </w:rPr>
            </w:pPr>
            <w:r w:rsidRPr="00F4410B">
              <w:rPr>
                <w:rFonts w:eastAsia="Arial Unicode MS"/>
                <w:b/>
                <w:bCs/>
                <w:sz w:val="22"/>
                <w:szCs w:val="22"/>
                <w:rtl/>
              </w:rPr>
              <w:t xml:space="preserve">ביאור </w:t>
            </w:r>
            <w:r>
              <w:rPr>
                <w:rFonts w:eastAsia="Arial Unicode MS" w:hint="cs"/>
                <w:b/>
                <w:bCs/>
                <w:sz w:val="22"/>
                <w:szCs w:val="22"/>
                <w:rtl/>
              </w:rPr>
              <w:t>6</w:t>
            </w:r>
            <w:r w:rsidRPr="00F4410B">
              <w:rPr>
                <w:rFonts w:eastAsia="Arial Unicode MS" w:hint="cs"/>
                <w:b/>
                <w:bCs/>
                <w:sz w:val="22"/>
                <w:szCs w:val="22"/>
                <w:rtl/>
              </w:rPr>
              <w:t xml:space="preserve">  </w:t>
            </w:r>
            <w:r w:rsidRPr="00F4410B">
              <w:rPr>
                <w:rFonts w:eastAsia="Arial Unicode MS"/>
                <w:b/>
                <w:bCs/>
                <w:sz w:val="22"/>
                <w:szCs w:val="22"/>
                <w:rtl/>
              </w:rPr>
              <w:t>-</w:t>
            </w:r>
            <w:r w:rsidRPr="00F4410B">
              <w:rPr>
                <w:rFonts w:eastAsia="Arial Unicode MS" w:hint="cs"/>
                <w:b/>
                <w:bCs/>
                <w:sz w:val="22"/>
                <w:szCs w:val="22"/>
                <w:rtl/>
              </w:rPr>
              <w:t xml:space="preserve"> </w:t>
            </w:r>
            <w:r w:rsidRPr="00F4410B">
              <w:rPr>
                <w:rFonts w:eastAsia="Arial Unicode MS"/>
                <w:b/>
                <w:bCs/>
                <w:sz w:val="22"/>
                <w:szCs w:val="22"/>
                <w:rtl/>
              </w:rPr>
              <w:t xml:space="preserve"> </w:t>
            </w:r>
            <w:r w:rsidRPr="00F4410B">
              <w:rPr>
                <w:rFonts w:eastAsia="Arial Unicode MS" w:hint="cs"/>
                <w:b/>
                <w:bCs/>
                <w:sz w:val="22"/>
                <w:szCs w:val="22"/>
                <w:rtl/>
              </w:rPr>
              <w:t>סיכון אשראי, אשראי לציבור והפרשה להפסדי אשראי</w:t>
            </w:r>
            <w:r>
              <w:rPr>
                <w:rFonts w:eastAsia="Arial Unicode MS" w:hint="cs"/>
                <w:b/>
                <w:bCs/>
                <w:sz w:val="22"/>
                <w:szCs w:val="22"/>
                <w:rtl/>
              </w:rPr>
              <w:t xml:space="preserve"> (המשך)</w:t>
            </w:r>
            <w:r w:rsidRPr="00F4410B">
              <w:rPr>
                <w:rFonts w:eastAsia="Arial Unicode MS" w:hint="cs"/>
                <w:b/>
                <w:bCs/>
                <w:sz w:val="22"/>
                <w:szCs w:val="22"/>
                <w:rtl/>
              </w:rPr>
              <w:t>:</w:t>
            </w:r>
          </w:p>
        </w:tc>
      </w:tr>
      <w:tr w:rsidR="00BD2AF2" w:rsidRPr="00F4410B" w14:paraId="5584AF37" w14:textId="77777777" w:rsidTr="00EC46DF">
        <w:trPr>
          <w:trHeight w:val="245"/>
        </w:trPr>
        <w:tc>
          <w:tcPr>
            <w:tcW w:w="1077" w:type="dxa"/>
          </w:tcPr>
          <w:p w14:paraId="71A45AD1" w14:textId="114C0B4C" w:rsidR="00BD2AF2" w:rsidRDefault="00BD2AF2" w:rsidP="00BD2AF2">
            <w:pPr>
              <w:jc w:val="left"/>
              <w:rPr>
                <w:b/>
                <w:bCs/>
                <w:rtl/>
              </w:rPr>
            </w:pPr>
          </w:p>
        </w:tc>
        <w:tc>
          <w:tcPr>
            <w:tcW w:w="389" w:type="dxa"/>
          </w:tcPr>
          <w:p w14:paraId="493D046D" w14:textId="77777777" w:rsidR="00BD2AF2" w:rsidRPr="00F4410B" w:rsidRDefault="00BD2AF2" w:rsidP="00BD2AF2">
            <w:pPr>
              <w:spacing w:before="60" w:line="264" w:lineRule="auto"/>
              <w:jc w:val="left"/>
              <w:rPr>
                <w:b/>
                <w:bCs/>
                <w:rtl/>
              </w:rPr>
            </w:pPr>
            <w:r w:rsidRPr="009E7447">
              <w:rPr>
                <w:rFonts w:hint="cs"/>
                <w:b/>
                <w:bCs/>
                <w:rtl/>
              </w:rPr>
              <w:t>א.</w:t>
            </w:r>
          </w:p>
        </w:tc>
        <w:tc>
          <w:tcPr>
            <w:tcW w:w="8143" w:type="dxa"/>
            <w:gridSpan w:val="7"/>
            <w:tcMar>
              <w:left w:w="0" w:type="dxa"/>
              <w:right w:w="115" w:type="dxa"/>
            </w:tcMar>
          </w:tcPr>
          <w:p w14:paraId="44DFB738" w14:textId="7DE8E2CB" w:rsidR="00BD2AF2" w:rsidRPr="00F4410B" w:rsidRDefault="00BD2AF2" w:rsidP="00EB5088">
            <w:pPr>
              <w:spacing w:before="60" w:after="120" w:line="264" w:lineRule="auto"/>
              <w:jc w:val="left"/>
              <w:rPr>
                <w:b/>
                <w:bCs/>
              </w:rPr>
            </w:pPr>
            <w:r w:rsidRPr="00BC2CEE">
              <w:rPr>
                <w:b/>
                <w:bCs/>
                <w:color w:val="000000"/>
                <w:rtl/>
                <w:lang w:eastAsia="he-IL"/>
              </w:rPr>
              <w:t xml:space="preserve">חובות, </w:t>
            </w:r>
            <w:r>
              <w:rPr>
                <w:rFonts w:hint="cs"/>
                <w:b/>
                <w:bCs/>
                <w:color w:val="000000"/>
                <w:rtl/>
                <w:lang w:eastAsia="he-IL"/>
              </w:rPr>
              <w:t xml:space="preserve">אגרות חוב לפדיון וזמינות למכירה, </w:t>
            </w:r>
            <w:r w:rsidRPr="00BC2CEE">
              <w:rPr>
                <w:b/>
                <w:bCs/>
                <w:color w:val="000000"/>
                <w:rtl/>
                <w:lang w:eastAsia="he-IL"/>
              </w:rPr>
              <w:t>אשראי לציבור ויתרת ההפרשה להפסדי אשראי</w:t>
            </w:r>
            <w:r>
              <w:rPr>
                <w:rFonts w:hint="cs"/>
                <w:b/>
                <w:bCs/>
                <w:color w:val="000000"/>
                <w:rtl/>
                <w:lang w:eastAsia="he-IL"/>
              </w:rPr>
              <w:t xml:space="preserve"> (</w:t>
            </w:r>
            <w:r w:rsidRPr="00BD2AF2">
              <w:rPr>
                <w:rFonts w:hint="cs"/>
                <w:b/>
                <w:bCs/>
                <w:color w:val="000000"/>
                <w:rtl/>
                <w:lang w:eastAsia="he-IL"/>
              </w:rPr>
              <w:t>המשך</w:t>
            </w:r>
            <w:r>
              <w:rPr>
                <w:rFonts w:hint="cs"/>
                <w:b/>
                <w:bCs/>
                <w:color w:val="000000"/>
                <w:rtl/>
                <w:lang w:eastAsia="he-IL"/>
              </w:rPr>
              <w:t>)</w:t>
            </w:r>
            <w:r w:rsidRPr="00EB3D07">
              <w:rPr>
                <w:rFonts w:hint="cs"/>
                <w:b/>
                <w:bCs/>
                <w:color w:val="000000"/>
                <w:rtl/>
                <w:lang w:eastAsia="he-IL"/>
              </w:rPr>
              <w:t>:</w:t>
            </w:r>
          </w:p>
        </w:tc>
      </w:tr>
      <w:tr w:rsidR="00B758B7" w:rsidRPr="00F4410B" w14:paraId="310B26F6" w14:textId="77777777" w:rsidTr="00EC46DF">
        <w:tc>
          <w:tcPr>
            <w:tcW w:w="1077" w:type="dxa"/>
          </w:tcPr>
          <w:p w14:paraId="5E42C2F2" w14:textId="2D5A2A2B" w:rsidR="00B758B7" w:rsidRPr="00AD5971" w:rsidRDefault="00B758B7" w:rsidP="00B10CB3">
            <w:pPr>
              <w:jc w:val="left"/>
              <w:rPr>
                <w:color w:val="000000"/>
                <w:spacing w:val="-6"/>
                <w:sz w:val="14"/>
                <w:szCs w:val="14"/>
                <w:rtl/>
                <w:lang w:eastAsia="he-IL"/>
              </w:rPr>
            </w:pPr>
          </w:p>
        </w:tc>
        <w:tc>
          <w:tcPr>
            <w:tcW w:w="389" w:type="dxa"/>
          </w:tcPr>
          <w:p w14:paraId="423DA251" w14:textId="77777777" w:rsidR="00B758B7" w:rsidRDefault="00B758B7" w:rsidP="00B10CB3">
            <w:pPr>
              <w:spacing w:line="216" w:lineRule="auto"/>
              <w:ind w:left="-28" w:right="-28"/>
              <w:jc w:val="center"/>
              <w:rPr>
                <w:color w:val="000000"/>
                <w:rtl/>
                <w:lang w:eastAsia="he-IL"/>
              </w:rPr>
            </w:pPr>
          </w:p>
        </w:tc>
        <w:tc>
          <w:tcPr>
            <w:tcW w:w="3593" w:type="dxa"/>
            <w:vAlign w:val="bottom"/>
          </w:tcPr>
          <w:p w14:paraId="5188E68D" w14:textId="77777777" w:rsidR="00B758B7" w:rsidRDefault="00B758B7" w:rsidP="00B10CB3">
            <w:pPr>
              <w:spacing w:line="216" w:lineRule="auto"/>
              <w:ind w:left="-28" w:right="-28"/>
              <w:jc w:val="center"/>
              <w:rPr>
                <w:color w:val="000000"/>
                <w:sz w:val="18"/>
                <w:szCs w:val="18"/>
                <w:rtl/>
                <w:lang w:eastAsia="he-IL"/>
              </w:rPr>
            </w:pPr>
          </w:p>
        </w:tc>
        <w:tc>
          <w:tcPr>
            <w:tcW w:w="4550" w:type="dxa"/>
            <w:gridSpan w:val="6"/>
            <w:vAlign w:val="bottom"/>
          </w:tcPr>
          <w:p w14:paraId="0C0182FF" w14:textId="1C5F7788" w:rsidR="00B758B7" w:rsidRPr="003B1E70" w:rsidRDefault="00B758B7" w:rsidP="00B10CB3">
            <w:pPr>
              <w:pBdr>
                <w:bottom w:val="single" w:sz="4" w:space="1" w:color="auto"/>
              </w:pBdr>
              <w:spacing w:line="216" w:lineRule="auto"/>
              <w:ind w:left="-28" w:right="-28"/>
              <w:jc w:val="center"/>
              <w:rPr>
                <w:b/>
                <w:bCs/>
                <w:sz w:val="18"/>
                <w:szCs w:val="18"/>
                <w:rtl/>
              </w:rPr>
            </w:pPr>
            <w:r w:rsidRPr="003B1E70">
              <w:rPr>
                <w:rFonts w:hint="cs"/>
                <w:b/>
                <w:bCs/>
                <w:sz w:val="18"/>
                <w:szCs w:val="18"/>
                <w:rtl/>
              </w:rPr>
              <w:t xml:space="preserve">ליום 31 בדצמבר </w:t>
            </w:r>
            <w:r w:rsidRPr="003B1E70">
              <w:rPr>
                <w:b/>
                <w:bCs/>
                <w:sz w:val="18"/>
                <w:szCs w:val="18"/>
                <w:rtl/>
              </w:rPr>
              <w:fldChar w:fldCharType="begin"/>
            </w:r>
            <w:r w:rsidRPr="003B1E70">
              <w:rPr>
                <w:b/>
                <w:bCs/>
                <w:sz w:val="18"/>
                <w:szCs w:val="18"/>
                <w:rtl/>
              </w:rPr>
              <w:instrText xml:space="preserve"> </w:instrText>
            </w:r>
            <w:r w:rsidRPr="003B1E70">
              <w:rPr>
                <w:rFonts w:hint="cs"/>
                <w:b/>
                <w:bCs/>
                <w:sz w:val="18"/>
                <w:szCs w:val="18"/>
                <w:rtl/>
              </w:rPr>
              <w:instrText xml:space="preserve">= </w:instrText>
            </w:r>
            <w:r w:rsidRPr="003B1E70">
              <w:rPr>
                <w:rFonts w:hint="cs"/>
                <w:b/>
                <w:bCs/>
                <w:sz w:val="18"/>
                <w:szCs w:val="18"/>
              </w:rPr>
              <w:instrText>CY</w:instrText>
            </w:r>
            <w:r w:rsidRPr="003B1E70">
              <w:rPr>
                <w:b/>
                <w:bCs/>
                <w:sz w:val="18"/>
                <w:szCs w:val="18"/>
              </w:rPr>
              <w:instrText>-1</w:instrText>
            </w:r>
            <w:r w:rsidRPr="003B1E70">
              <w:rPr>
                <w:rFonts w:hint="cs"/>
                <w:b/>
                <w:bCs/>
                <w:sz w:val="18"/>
                <w:szCs w:val="18"/>
              </w:rPr>
              <w:instrText xml:space="preserve"> \* MERGEFORMAT</w:instrText>
            </w:r>
            <w:r w:rsidRPr="003B1E70">
              <w:rPr>
                <w:b/>
                <w:bCs/>
                <w:sz w:val="18"/>
                <w:szCs w:val="18"/>
                <w:rtl/>
              </w:rPr>
              <w:instrText xml:space="preserve"> </w:instrText>
            </w:r>
            <w:r w:rsidRPr="003B1E70">
              <w:rPr>
                <w:b/>
                <w:bCs/>
                <w:sz w:val="18"/>
                <w:szCs w:val="18"/>
                <w:rtl/>
              </w:rPr>
              <w:fldChar w:fldCharType="separate"/>
            </w:r>
            <w:r w:rsidR="003A584F">
              <w:rPr>
                <w:b/>
                <w:bCs/>
                <w:noProof/>
                <w:sz w:val="18"/>
                <w:szCs w:val="18"/>
                <w:rtl/>
              </w:rPr>
              <w:t>2023</w:t>
            </w:r>
            <w:r w:rsidRPr="003B1E70">
              <w:rPr>
                <w:b/>
                <w:bCs/>
                <w:sz w:val="18"/>
                <w:szCs w:val="18"/>
                <w:rtl/>
              </w:rPr>
              <w:fldChar w:fldCharType="end"/>
            </w:r>
            <w:r w:rsidR="003B1E70">
              <w:rPr>
                <w:rFonts w:hint="cs"/>
                <w:b/>
                <w:bCs/>
                <w:sz w:val="18"/>
                <w:szCs w:val="18"/>
                <w:rtl/>
              </w:rPr>
              <w:t xml:space="preserve">  </w:t>
            </w:r>
            <w:r w:rsidR="003B1E70" w:rsidRPr="003B1E70">
              <w:rPr>
                <w:rFonts w:hint="cs"/>
                <w:sz w:val="18"/>
                <w:szCs w:val="18"/>
                <w:rtl/>
              </w:rPr>
              <w:t>(מבוקר)</w:t>
            </w:r>
          </w:p>
        </w:tc>
      </w:tr>
      <w:tr w:rsidR="00B758B7" w:rsidRPr="00F4410B" w14:paraId="3CE7BD78" w14:textId="77777777" w:rsidTr="00EC46DF">
        <w:tc>
          <w:tcPr>
            <w:tcW w:w="1077" w:type="dxa"/>
          </w:tcPr>
          <w:p w14:paraId="03F378E2" w14:textId="77777777" w:rsidR="00B758B7" w:rsidRDefault="00B758B7" w:rsidP="00B10CB3">
            <w:pPr>
              <w:spacing w:line="216" w:lineRule="auto"/>
              <w:ind w:left="-28" w:right="-28"/>
              <w:jc w:val="center"/>
              <w:rPr>
                <w:color w:val="000000"/>
                <w:spacing w:val="-6"/>
                <w:rtl/>
                <w:lang w:eastAsia="he-IL"/>
              </w:rPr>
            </w:pPr>
          </w:p>
        </w:tc>
        <w:tc>
          <w:tcPr>
            <w:tcW w:w="389" w:type="dxa"/>
          </w:tcPr>
          <w:p w14:paraId="2E712203" w14:textId="77777777" w:rsidR="00B758B7" w:rsidRDefault="00B758B7" w:rsidP="00B10CB3">
            <w:pPr>
              <w:spacing w:line="216" w:lineRule="auto"/>
              <w:ind w:left="-28" w:right="-28"/>
              <w:jc w:val="center"/>
              <w:rPr>
                <w:color w:val="000000"/>
                <w:rtl/>
                <w:lang w:eastAsia="he-IL"/>
              </w:rPr>
            </w:pPr>
          </w:p>
        </w:tc>
        <w:tc>
          <w:tcPr>
            <w:tcW w:w="3593" w:type="dxa"/>
            <w:vAlign w:val="bottom"/>
          </w:tcPr>
          <w:p w14:paraId="45329180" w14:textId="77777777" w:rsidR="00B758B7" w:rsidRDefault="00B758B7" w:rsidP="00B10CB3">
            <w:pPr>
              <w:spacing w:line="216" w:lineRule="auto"/>
              <w:ind w:left="-28" w:right="-28"/>
              <w:jc w:val="center"/>
              <w:rPr>
                <w:color w:val="000000"/>
                <w:sz w:val="18"/>
                <w:szCs w:val="18"/>
                <w:rtl/>
                <w:lang w:eastAsia="he-IL"/>
              </w:rPr>
            </w:pPr>
          </w:p>
        </w:tc>
        <w:tc>
          <w:tcPr>
            <w:tcW w:w="3093" w:type="dxa"/>
            <w:gridSpan w:val="4"/>
            <w:vAlign w:val="bottom"/>
          </w:tcPr>
          <w:p w14:paraId="4004AF1F" w14:textId="77777777" w:rsidR="00B758B7" w:rsidRPr="003B1E70" w:rsidRDefault="00B758B7" w:rsidP="00B10CB3">
            <w:pPr>
              <w:pBdr>
                <w:bottom w:val="single" w:sz="4" w:space="1" w:color="auto"/>
              </w:pBdr>
              <w:spacing w:line="216" w:lineRule="auto"/>
              <w:ind w:left="-28" w:right="-28"/>
              <w:jc w:val="center"/>
              <w:rPr>
                <w:b/>
                <w:bCs/>
                <w:sz w:val="18"/>
                <w:szCs w:val="18"/>
                <w:rtl/>
              </w:rPr>
            </w:pPr>
            <w:r w:rsidRPr="003B1E70">
              <w:rPr>
                <w:rFonts w:hint="eastAsia"/>
                <w:b/>
                <w:bCs/>
                <w:sz w:val="18"/>
                <w:szCs w:val="18"/>
                <w:rtl/>
              </w:rPr>
              <w:t>אשראי</w:t>
            </w:r>
            <w:r w:rsidRPr="003B1E70">
              <w:rPr>
                <w:b/>
                <w:bCs/>
                <w:sz w:val="18"/>
                <w:szCs w:val="18"/>
                <w:rtl/>
              </w:rPr>
              <w:t xml:space="preserve"> </w:t>
            </w:r>
            <w:r w:rsidRPr="003B1E70">
              <w:rPr>
                <w:rFonts w:hint="eastAsia"/>
                <w:b/>
                <w:bCs/>
                <w:sz w:val="18"/>
                <w:szCs w:val="18"/>
                <w:rtl/>
              </w:rPr>
              <w:t>לציבור</w:t>
            </w:r>
          </w:p>
        </w:tc>
        <w:tc>
          <w:tcPr>
            <w:tcW w:w="938" w:type="dxa"/>
            <w:vMerge w:val="restart"/>
            <w:vAlign w:val="bottom"/>
          </w:tcPr>
          <w:p w14:paraId="0EBF0704" w14:textId="77777777" w:rsidR="00B758B7" w:rsidRPr="003B1E70" w:rsidRDefault="00B758B7" w:rsidP="00B10CB3">
            <w:pPr>
              <w:pBdr>
                <w:bottom w:val="single" w:sz="4" w:space="1" w:color="auto"/>
              </w:pBdr>
              <w:spacing w:line="216" w:lineRule="auto"/>
              <w:ind w:left="-28" w:right="-28"/>
              <w:jc w:val="center"/>
              <w:rPr>
                <w:b/>
                <w:bCs/>
                <w:sz w:val="18"/>
                <w:szCs w:val="18"/>
                <w:rtl/>
              </w:rPr>
            </w:pPr>
            <w:r w:rsidRPr="003B1E70">
              <w:rPr>
                <w:rFonts w:hint="eastAsia"/>
                <w:b/>
                <w:bCs/>
                <w:sz w:val="18"/>
                <w:szCs w:val="18"/>
                <w:rtl/>
              </w:rPr>
              <w:t>בנקים</w:t>
            </w:r>
            <w:r w:rsidRPr="003B1E70">
              <w:rPr>
                <w:rFonts w:hint="cs"/>
                <w:b/>
                <w:bCs/>
                <w:sz w:val="18"/>
                <w:szCs w:val="18"/>
                <w:rtl/>
              </w:rPr>
              <w:t>,</w:t>
            </w:r>
            <w:r w:rsidRPr="003B1E70">
              <w:rPr>
                <w:b/>
                <w:bCs/>
                <w:sz w:val="18"/>
                <w:szCs w:val="18"/>
                <w:rtl/>
              </w:rPr>
              <w:t xml:space="preserve"> </w:t>
            </w:r>
            <w:r w:rsidRPr="003B1E70">
              <w:rPr>
                <w:rFonts w:hint="eastAsia"/>
                <w:b/>
                <w:bCs/>
                <w:sz w:val="18"/>
                <w:szCs w:val="18"/>
                <w:rtl/>
              </w:rPr>
              <w:t>ממשלות</w:t>
            </w:r>
            <w:r w:rsidRPr="003B1E70">
              <w:rPr>
                <w:rFonts w:hint="cs"/>
                <w:b/>
                <w:bCs/>
                <w:sz w:val="18"/>
                <w:szCs w:val="18"/>
                <w:rtl/>
              </w:rPr>
              <w:t xml:space="preserve"> ואגרות חוב</w:t>
            </w:r>
          </w:p>
        </w:tc>
        <w:tc>
          <w:tcPr>
            <w:tcW w:w="519" w:type="dxa"/>
            <w:vMerge w:val="restart"/>
            <w:vAlign w:val="bottom"/>
          </w:tcPr>
          <w:p w14:paraId="517CD442" w14:textId="77777777" w:rsidR="00B758B7" w:rsidRPr="003B1E70" w:rsidRDefault="00B758B7" w:rsidP="00B10CB3">
            <w:pPr>
              <w:pBdr>
                <w:bottom w:val="single" w:sz="4" w:space="1" w:color="auto"/>
              </w:pBdr>
              <w:spacing w:line="216" w:lineRule="auto"/>
              <w:ind w:left="-28" w:right="-28"/>
              <w:jc w:val="center"/>
              <w:rPr>
                <w:b/>
                <w:bCs/>
                <w:sz w:val="18"/>
                <w:szCs w:val="18"/>
                <w:rtl/>
              </w:rPr>
            </w:pPr>
            <w:r w:rsidRPr="003B1E70">
              <w:rPr>
                <w:rFonts w:hint="eastAsia"/>
                <w:b/>
                <w:bCs/>
                <w:sz w:val="18"/>
                <w:szCs w:val="18"/>
                <w:rtl/>
              </w:rPr>
              <w:t>סך</w:t>
            </w:r>
            <w:r w:rsidRPr="003B1E70">
              <w:rPr>
                <w:b/>
                <w:bCs/>
                <w:sz w:val="18"/>
                <w:szCs w:val="18"/>
                <w:rtl/>
              </w:rPr>
              <w:t xml:space="preserve"> </w:t>
            </w:r>
            <w:r w:rsidRPr="003B1E70">
              <w:rPr>
                <w:rFonts w:hint="eastAsia"/>
                <w:b/>
                <w:bCs/>
                <w:sz w:val="18"/>
                <w:szCs w:val="18"/>
                <w:rtl/>
              </w:rPr>
              <w:t>הכל</w:t>
            </w:r>
          </w:p>
        </w:tc>
      </w:tr>
      <w:tr w:rsidR="00B758B7" w:rsidRPr="00F4410B" w14:paraId="644A8283" w14:textId="77777777" w:rsidTr="00EC46DF">
        <w:trPr>
          <w:trHeight w:val="293"/>
        </w:trPr>
        <w:tc>
          <w:tcPr>
            <w:tcW w:w="1077" w:type="dxa"/>
          </w:tcPr>
          <w:p w14:paraId="215C881A" w14:textId="77777777" w:rsidR="00B758B7" w:rsidRDefault="00B758B7" w:rsidP="00B10CB3">
            <w:pPr>
              <w:spacing w:line="216" w:lineRule="auto"/>
              <w:ind w:left="-28" w:right="-28"/>
              <w:jc w:val="center"/>
              <w:rPr>
                <w:color w:val="000000"/>
                <w:spacing w:val="-6"/>
                <w:rtl/>
                <w:lang w:eastAsia="he-IL"/>
              </w:rPr>
            </w:pPr>
          </w:p>
        </w:tc>
        <w:tc>
          <w:tcPr>
            <w:tcW w:w="389" w:type="dxa"/>
          </w:tcPr>
          <w:p w14:paraId="75DE094F" w14:textId="77777777" w:rsidR="00B758B7" w:rsidRDefault="00B758B7" w:rsidP="00B10CB3">
            <w:pPr>
              <w:spacing w:line="216" w:lineRule="auto"/>
              <w:ind w:left="-28" w:right="-28"/>
              <w:jc w:val="center"/>
              <w:rPr>
                <w:color w:val="000000"/>
                <w:rtl/>
                <w:lang w:eastAsia="he-IL"/>
              </w:rPr>
            </w:pPr>
          </w:p>
        </w:tc>
        <w:tc>
          <w:tcPr>
            <w:tcW w:w="3593" w:type="dxa"/>
            <w:vAlign w:val="bottom"/>
          </w:tcPr>
          <w:p w14:paraId="621820EC" w14:textId="77777777" w:rsidR="00B758B7" w:rsidRDefault="00B758B7" w:rsidP="00B10CB3">
            <w:pPr>
              <w:spacing w:line="216" w:lineRule="auto"/>
              <w:ind w:left="-28" w:right="-28"/>
              <w:jc w:val="center"/>
              <w:rPr>
                <w:color w:val="000000"/>
                <w:sz w:val="18"/>
                <w:szCs w:val="18"/>
                <w:rtl/>
                <w:lang w:eastAsia="he-IL"/>
              </w:rPr>
            </w:pPr>
          </w:p>
        </w:tc>
        <w:tc>
          <w:tcPr>
            <w:tcW w:w="744" w:type="dxa"/>
            <w:vAlign w:val="bottom"/>
          </w:tcPr>
          <w:p w14:paraId="52B3D613" w14:textId="77777777" w:rsidR="00B758B7" w:rsidRPr="003B1E70" w:rsidRDefault="00B758B7" w:rsidP="00B10CB3">
            <w:pPr>
              <w:pBdr>
                <w:bottom w:val="single" w:sz="4" w:space="1" w:color="auto"/>
              </w:pBdr>
              <w:spacing w:line="216" w:lineRule="auto"/>
              <w:ind w:left="-28" w:right="-28"/>
              <w:jc w:val="center"/>
              <w:rPr>
                <w:b/>
                <w:bCs/>
                <w:sz w:val="18"/>
                <w:szCs w:val="18"/>
                <w:vertAlign w:val="superscript"/>
                <w:rtl/>
              </w:rPr>
            </w:pPr>
            <w:r w:rsidRPr="003B1E70">
              <w:rPr>
                <w:rFonts w:hint="eastAsia"/>
                <w:b/>
                <w:bCs/>
                <w:sz w:val="18"/>
                <w:szCs w:val="18"/>
                <w:rtl/>
              </w:rPr>
              <w:t>מסחרי</w:t>
            </w:r>
          </w:p>
        </w:tc>
        <w:tc>
          <w:tcPr>
            <w:tcW w:w="753" w:type="dxa"/>
            <w:vAlign w:val="bottom"/>
          </w:tcPr>
          <w:p w14:paraId="582876A9" w14:textId="77777777" w:rsidR="00B758B7" w:rsidRPr="003B1E70" w:rsidRDefault="00B758B7" w:rsidP="00B10CB3">
            <w:pPr>
              <w:pBdr>
                <w:bottom w:val="single" w:sz="4" w:space="1" w:color="auto"/>
              </w:pBdr>
              <w:spacing w:line="216" w:lineRule="auto"/>
              <w:ind w:left="-28" w:right="-28"/>
              <w:jc w:val="center"/>
              <w:rPr>
                <w:b/>
                <w:bCs/>
                <w:sz w:val="18"/>
                <w:szCs w:val="18"/>
                <w:rtl/>
              </w:rPr>
            </w:pPr>
            <w:r w:rsidRPr="003B1E70">
              <w:rPr>
                <w:rFonts w:hint="eastAsia"/>
                <w:b/>
                <w:bCs/>
                <w:sz w:val="18"/>
                <w:szCs w:val="18"/>
                <w:rtl/>
              </w:rPr>
              <w:t>לדיור</w:t>
            </w:r>
          </w:p>
        </w:tc>
        <w:tc>
          <w:tcPr>
            <w:tcW w:w="869" w:type="dxa"/>
            <w:vAlign w:val="bottom"/>
          </w:tcPr>
          <w:p w14:paraId="235D107B" w14:textId="77777777" w:rsidR="00B758B7" w:rsidRPr="003B1E70" w:rsidRDefault="00B758B7" w:rsidP="00B10CB3">
            <w:pPr>
              <w:pBdr>
                <w:bottom w:val="single" w:sz="4" w:space="1" w:color="auto"/>
              </w:pBdr>
              <w:spacing w:line="216" w:lineRule="auto"/>
              <w:ind w:left="-28" w:right="-28"/>
              <w:jc w:val="center"/>
              <w:rPr>
                <w:b/>
                <w:bCs/>
                <w:sz w:val="18"/>
                <w:szCs w:val="18"/>
                <w:rtl/>
              </w:rPr>
            </w:pPr>
            <w:r w:rsidRPr="003B1E70">
              <w:rPr>
                <w:rFonts w:hint="eastAsia"/>
                <w:b/>
                <w:bCs/>
                <w:sz w:val="18"/>
                <w:szCs w:val="18"/>
                <w:rtl/>
              </w:rPr>
              <w:t>פרטי</w:t>
            </w:r>
            <w:r w:rsidRPr="003B1E70">
              <w:rPr>
                <w:b/>
                <w:bCs/>
                <w:sz w:val="18"/>
                <w:szCs w:val="18"/>
                <w:rtl/>
              </w:rPr>
              <w:t xml:space="preserve"> </w:t>
            </w:r>
            <w:r w:rsidRPr="003B1E70">
              <w:rPr>
                <w:rFonts w:hint="eastAsia"/>
                <w:b/>
                <w:bCs/>
                <w:sz w:val="18"/>
                <w:szCs w:val="18"/>
                <w:rtl/>
              </w:rPr>
              <w:t>אחר</w:t>
            </w:r>
          </w:p>
        </w:tc>
        <w:tc>
          <w:tcPr>
            <w:tcW w:w="727" w:type="dxa"/>
            <w:vAlign w:val="bottom"/>
          </w:tcPr>
          <w:p w14:paraId="444E056A" w14:textId="77777777" w:rsidR="00B758B7" w:rsidRPr="003B1E70" w:rsidRDefault="00B758B7" w:rsidP="00B10CB3">
            <w:pPr>
              <w:pBdr>
                <w:bottom w:val="single" w:sz="4" w:space="1" w:color="auto"/>
              </w:pBdr>
              <w:spacing w:line="216" w:lineRule="auto"/>
              <w:ind w:left="-28" w:right="-28"/>
              <w:jc w:val="center"/>
              <w:rPr>
                <w:b/>
                <w:bCs/>
                <w:sz w:val="18"/>
                <w:szCs w:val="18"/>
                <w:rtl/>
              </w:rPr>
            </w:pPr>
            <w:r w:rsidRPr="003B1E70">
              <w:rPr>
                <w:rFonts w:hint="eastAsia"/>
                <w:b/>
                <w:bCs/>
                <w:sz w:val="18"/>
                <w:szCs w:val="18"/>
                <w:rtl/>
              </w:rPr>
              <w:t>סך</w:t>
            </w:r>
            <w:r w:rsidRPr="003B1E70">
              <w:rPr>
                <w:b/>
                <w:bCs/>
                <w:sz w:val="18"/>
                <w:szCs w:val="18"/>
                <w:rtl/>
              </w:rPr>
              <w:t xml:space="preserve"> </w:t>
            </w:r>
            <w:r w:rsidRPr="003B1E70">
              <w:rPr>
                <w:rFonts w:hint="eastAsia"/>
                <w:b/>
                <w:bCs/>
                <w:sz w:val="18"/>
                <w:szCs w:val="18"/>
                <w:rtl/>
              </w:rPr>
              <w:t>הכל</w:t>
            </w:r>
            <w:r w:rsidRPr="003B1E70">
              <w:rPr>
                <w:b/>
                <w:bCs/>
                <w:sz w:val="18"/>
                <w:szCs w:val="18"/>
                <w:rtl/>
              </w:rPr>
              <w:t xml:space="preserve"> </w:t>
            </w:r>
          </w:p>
        </w:tc>
        <w:tc>
          <w:tcPr>
            <w:tcW w:w="938" w:type="dxa"/>
            <w:vMerge/>
            <w:vAlign w:val="bottom"/>
          </w:tcPr>
          <w:p w14:paraId="00329F55" w14:textId="77777777" w:rsidR="00B758B7" w:rsidRPr="003B1E70" w:rsidRDefault="00B758B7" w:rsidP="00B10CB3">
            <w:pPr>
              <w:pBdr>
                <w:bottom w:val="single" w:sz="4" w:space="1" w:color="auto"/>
              </w:pBdr>
              <w:spacing w:line="216" w:lineRule="auto"/>
              <w:ind w:left="-28" w:right="-28"/>
              <w:jc w:val="center"/>
              <w:rPr>
                <w:b/>
                <w:bCs/>
                <w:sz w:val="18"/>
                <w:szCs w:val="18"/>
                <w:rtl/>
              </w:rPr>
            </w:pPr>
          </w:p>
        </w:tc>
        <w:tc>
          <w:tcPr>
            <w:tcW w:w="519" w:type="dxa"/>
            <w:vMerge/>
            <w:vAlign w:val="bottom"/>
          </w:tcPr>
          <w:p w14:paraId="311741F8" w14:textId="77777777" w:rsidR="00B758B7" w:rsidRPr="003B1E70" w:rsidRDefault="00B758B7" w:rsidP="00B10CB3">
            <w:pPr>
              <w:pBdr>
                <w:bottom w:val="single" w:sz="4" w:space="1" w:color="auto"/>
              </w:pBdr>
              <w:spacing w:line="216" w:lineRule="auto"/>
              <w:ind w:left="-28" w:right="-28"/>
              <w:jc w:val="center"/>
              <w:rPr>
                <w:b/>
                <w:bCs/>
                <w:sz w:val="18"/>
                <w:szCs w:val="18"/>
                <w:rtl/>
              </w:rPr>
            </w:pPr>
          </w:p>
        </w:tc>
      </w:tr>
      <w:tr w:rsidR="00B758B7" w:rsidRPr="00F4410B" w14:paraId="455B7713" w14:textId="77777777" w:rsidTr="00EC46DF">
        <w:trPr>
          <w:trHeight w:val="245"/>
        </w:trPr>
        <w:tc>
          <w:tcPr>
            <w:tcW w:w="1077" w:type="dxa"/>
          </w:tcPr>
          <w:p w14:paraId="197DC564" w14:textId="77777777" w:rsidR="00B758B7" w:rsidRDefault="00B758B7" w:rsidP="00B10CB3">
            <w:pPr>
              <w:ind w:right="-284"/>
              <w:jc w:val="left"/>
              <w:rPr>
                <w:color w:val="000000"/>
                <w:spacing w:val="-6"/>
                <w:rtl/>
                <w:lang w:eastAsia="he-IL"/>
              </w:rPr>
            </w:pPr>
          </w:p>
        </w:tc>
        <w:tc>
          <w:tcPr>
            <w:tcW w:w="389" w:type="dxa"/>
          </w:tcPr>
          <w:p w14:paraId="090A5317" w14:textId="77777777" w:rsidR="00B758B7" w:rsidRDefault="00B758B7" w:rsidP="00B10CB3">
            <w:pPr>
              <w:jc w:val="left"/>
              <w:rPr>
                <w:b/>
                <w:bCs/>
                <w:color w:val="000000"/>
                <w:u w:val="single"/>
                <w:rtl/>
                <w:lang w:eastAsia="he-IL"/>
              </w:rPr>
            </w:pPr>
          </w:p>
        </w:tc>
        <w:tc>
          <w:tcPr>
            <w:tcW w:w="3593" w:type="dxa"/>
            <w:vAlign w:val="bottom"/>
          </w:tcPr>
          <w:p w14:paraId="6C2250F3" w14:textId="77777777" w:rsidR="00B758B7" w:rsidRDefault="00B758B7" w:rsidP="00B10CB3">
            <w:pPr>
              <w:jc w:val="left"/>
              <w:rPr>
                <w:b/>
                <w:bCs/>
                <w:color w:val="000000"/>
                <w:sz w:val="18"/>
                <w:szCs w:val="18"/>
                <w:rtl/>
                <w:lang w:eastAsia="he-IL"/>
              </w:rPr>
            </w:pPr>
            <w:r w:rsidRPr="00F4410B">
              <w:rPr>
                <w:rFonts w:hint="cs"/>
                <w:b/>
                <w:bCs/>
                <w:color w:val="000000"/>
                <w:sz w:val="18"/>
                <w:szCs w:val="18"/>
                <w:u w:val="single"/>
                <w:rtl/>
                <w:lang w:eastAsia="he-IL"/>
              </w:rPr>
              <w:t>יתרת חוב רשומה</w:t>
            </w:r>
            <w:r w:rsidRPr="00F4410B">
              <w:rPr>
                <w:rFonts w:hint="cs"/>
                <w:b/>
                <w:bCs/>
                <w:color w:val="000000"/>
                <w:sz w:val="18"/>
                <w:szCs w:val="18"/>
                <w:rtl/>
                <w:lang w:eastAsia="he-IL"/>
              </w:rPr>
              <w:t>:</w:t>
            </w:r>
          </w:p>
        </w:tc>
        <w:tc>
          <w:tcPr>
            <w:tcW w:w="744" w:type="dxa"/>
            <w:vAlign w:val="bottom"/>
          </w:tcPr>
          <w:p w14:paraId="7B8871EF" w14:textId="77777777" w:rsidR="00B758B7" w:rsidRDefault="00B758B7" w:rsidP="00B10CB3">
            <w:pPr>
              <w:spacing w:line="241" w:lineRule="auto"/>
              <w:rPr>
                <w:sz w:val="18"/>
                <w:szCs w:val="18"/>
                <w:rtl/>
              </w:rPr>
            </w:pPr>
          </w:p>
        </w:tc>
        <w:tc>
          <w:tcPr>
            <w:tcW w:w="753" w:type="dxa"/>
            <w:vAlign w:val="bottom"/>
          </w:tcPr>
          <w:p w14:paraId="3C87E12D" w14:textId="77777777" w:rsidR="00B758B7" w:rsidRDefault="00B758B7" w:rsidP="00B10CB3">
            <w:pPr>
              <w:spacing w:line="241" w:lineRule="auto"/>
              <w:rPr>
                <w:sz w:val="18"/>
                <w:szCs w:val="18"/>
                <w:rtl/>
              </w:rPr>
            </w:pPr>
          </w:p>
        </w:tc>
        <w:tc>
          <w:tcPr>
            <w:tcW w:w="869" w:type="dxa"/>
            <w:vAlign w:val="bottom"/>
          </w:tcPr>
          <w:p w14:paraId="43D63EDC" w14:textId="77777777" w:rsidR="00B758B7" w:rsidRDefault="00B758B7" w:rsidP="00B10CB3">
            <w:pPr>
              <w:spacing w:line="241" w:lineRule="auto"/>
              <w:rPr>
                <w:sz w:val="18"/>
                <w:szCs w:val="18"/>
                <w:rtl/>
              </w:rPr>
            </w:pPr>
          </w:p>
        </w:tc>
        <w:tc>
          <w:tcPr>
            <w:tcW w:w="727" w:type="dxa"/>
            <w:vAlign w:val="bottom"/>
          </w:tcPr>
          <w:p w14:paraId="0D364AA7" w14:textId="77777777" w:rsidR="00B758B7" w:rsidRDefault="00B758B7" w:rsidP="00B10CB3">
            <w:pPr>
              <w:spacing w:line="241" w:lineRule="auto"/>
              <w:rPr>
                <w:sz w:val="18"/>
                <w:szCs w:val="18"/>
                <w:rtl/>
              </w:rPr>
            </w:pPr>
          </w:p>
        </w:tc>
        <w:tc>
          <w:tcPr>
            <w:tcW w:w="938" w:type="dxa"/>
            <w:vAlign w:val="bottom"/>
          </w:tcPr>
          <w:p w14:paraId="76DA9C24" w14:textId="77777777" w:rsidR="00B758B7" w:rsidRDefault="00B758B7" w:rsidP="00B10CB3">
            <w:pPr>
              <w:spacing w:line="241" w:lineRule="auto"/>
              <w:rPr>
                <w:sz w:val="18"/>
                <w:szCs w:val="18"/>
                <w:rtl/>
              </w:rPr>
            </w:pPr>
          </w:p>
        </w:tc>
        <w:tc>
          <w:tcPr>
            <w:tcW w:w="519" w:type="dxa"/>
            <w:vAlign w:val="bottom"/>
          </w:tcPr>
          <w:p w14:paraId="3BA5091D" w14:textId="77777777" w:rsidR="00B758B7" w:rsidRDefault="00B758B7" w:rsidP="00B10CB3">
            <w:pPr>
              <w:spacing w:line="241" w:lineRule="auto"/>
              <w:rPr>
                <w:sz w:val="18"/>
                <w:szCs w:val="18"/>
                <w:rtl/>
              </w:rPr>
            </w:pPr>
          </w:p>
        </w:tc>
      </w:tr>
      <w:tr w:rsidR="00B758B7" w:rsidRPr="00F4410B" w14:paraId="4E10402B" w14:textId="77777777" w:rsidTr="00EC46DF">
        <w:tc>
          <w:tcPr>
            <w:tcW w:w="1077" w:type="dxa"/>
          </w:tcPr>
          <w:p w14:paraId="60F3F010" w14:textId="77777777" w:rsidR="00B758B7" w:rsidRPr="00F4410B" w:rsidRDefault="00B758B7" w:rsidP="00B10CB3">
            <w:pPr>
              <w:spacing w:before="60"/>
              <w:ind w:right="-284"/>
              <w:jc w:val="left"/>
              <w:rPr>
                <w:color w:val="000000"/>
                <w:spacing w:val="-6"/>
                <w:sz w:val="14"/>
                <w:szCs w:val="14"/>
                <w:rtl/>
                <w:lang w:eastAsia="he-IL"/>
              </w:rPr>
            </w:pPr>
          </w:p>
        </w:tc>
        <w:tc>
          <w:tcPr>
            <w:tcW w:w="389" w:type="dxa"/>
          </w:tcPr>
          <w:p w14:paraId="094D7FB1" w14:textId="77777777" w:rsidR="00B758B7" w:rsidRPr="00F4410B" w:rsidRDefault="00B758B7" w:rsidP="00B10CB3">
            <w:pPr>
              <w:spacing w:line="241" w:lineRule="auto"/>
              <w:ind w:left="144" w:hanging="144"/>
              <w:jc w:val="left"/>
              <w:rPr>
                <w:b/>
                <w:bCs/>
                <w:color w:val="000000"/>
                <w:rtl/>
                <w:lang w:eastAsia="he-IL"/>
              </w:rPr>
            </w:pPr>
          </w:p>
        </w:tc>
        <w:tc>
          <w:tcPr>
            <w:tcW w:w="3593" w:type="dxa"/>
            <w:vAlign w:val="bottom"/>
          </w:tcPr>
          <w:p w14:paraId="7D284FA9" w14:textId="77777777" w:rsidR="00B758B7" w:rsidRPr="00F4410B" w:rsidRDefault="00B758B7" w:rsidP="00B10CB3">
            <w:pPr>
              <w:keepLines/>
              <w:jc w:val="left"/>
              <w:outlineLvl w:val="1"/>
              <w:rPr>
                <w:color w:val="000000"/>
                <w:sz w:val="18"/>
                <w:szCs w:val="18"/>
                <w:lang w:eastAsia="he-IL"/>
              </w:rPr>
            </w:pPr>
            <w:r w:rsidRPr="00F4410B">
              <w:rPr>
                <w:rFonts w:hint="eastAsia"/>
                <w:color w:val="000000"/>
                <w:sz w:val="18"/>
                <w:szCs w:val="18"/>
                <w:rtl/>
                <w:lang w:eastAsia="he-IL"/>
              </w:rPr>
              <w:t>חובות</w:t>
            </w:r>
            <w:r w:rsidRPr="00F4410B">
              <w:rPr>
                <w:color w:val="000000"/>
                <w:sz w:val="18"/>
                <w:szCs w:val="18"/>
                <w:rtl/>
                <w:lang w:eastAsia="he-IL"/>
              </w:rPr>
              <w:t xml:space="preserve"> </w:t>
            </w:r>
            <w:r w:rsidRPr="00F4410B">
              <w:rPr>
                <w:rFonts w:hint="eastAsia"/>
                <w:color w:val="000000"/>
                <w:sz w:val="18"/>
                <w:szCs w:val="18"/>
                <w:rtl/>
                <w:lang w:eastAsia="he-IL"/>
              </w:rPr>
              <w:t>שנבדקו</w:t>
            </w:r>
            <w:r w:rsidRPr="00F4410B">
              <w:rPr>
                <w:color w:val="000000"/>
                <w:sz w:val="18"/>
                <w:szCs w:val="18"/>
                <w:rtl/>
                <w:lang w:eastAsia="he-IL"/>
              </w:rPr>
              <w:t xml:space="preserve"> </w:t>
            </w:r>
            <w:r w:rsidRPr="00F4410B">
              <w:rPr>
                <w:rFonts w:hint="eastAsia"/>
                <w:color w:val="000000"/>
                <w:sz w:val="18"/>
                <w:szCs w:val="18"/>
                <w:rtl/>
                <w:lang w:eastAsia="he-IL"/>
              </w:rPr>
              <w:t>על</w:t>
            </w:r>
            <w:r w:rsidRPr="00F4410B">
              <w:rPr>
                <w:color w:val="000000"/>
                <w:sz w:val="18"/>
                <w:szCs w:val="18"/>
                <w:rtl/>
                <w:lang w:eastAsia="he-IL"/>
              </w:rPr>
              <w:t xml:space="preserve"> </w:t>
            </w:r>
            <w:r w:rsidRPr="00F4410B">
              <w:rPr>
                <w:rFonts w:hint="eastAsia"/>
                <w:color w:val="000000"/>
                <w:sz w:val="18"/>
                <w:szCs w:val="18"/>
                <w:rtl/>
                <w:lang w:eastAsia="he-IL"/>
              </w:rPr>
              <w:t>בסיס</w:t>
            </w:r>
            <w:r w:rsidRPr="00F4410B">
              <w:rPr>
                <w:color w:val="000000"/>
                <w:sz w:val="18"/>
                <w:szCs w:val="18"/>
                <w:rtl/>
                <w:lang w:eastAsia="he-IL"/>
              </w:rPr>
              <w:t xml:space="preserve"> </w:t>
            </w:r>
            <w:r w:rsidRPr="00F4410B">
              <w:rPr>
                <w:rFonts w:hint="eastAsia"/>
                <w:color w:val="000000"/>
                <w:sz w:val="18"/>
                <w:szCs w:val="18"/>
                <w:rtl/>
                <w:lang w:eastAsia="he-IL"/>
              </w:rPr>
              <w:t>פרטני</w:t>
            </w:r>
          </w:p>
        </w:tc>
        <w:tc>
          <w:tcPr>
            <w:tcW w:w="744" w:type="dxa"/>
            <w:vAlign w:val="bottom"/>
          </w:tcPr>
          <w:p w14:paraId="0E85069A" w14:textId="77777777" w:rsidR="00B758B7" w:rsidRPr="00F4410B" w:rsidRDefault="00B758B7" w:rsidP="00B10CB3">
            <w:pPr>
              <w:keepLines/>
              <w:outlineLvl w:val="1"/>
              <w:rPr>
                <w:sz w:val="18"/>
                <w:szCs w:val="18"/>
                <w:rtl/>
              </w:rPr>
            </w:pPr>
            <w:r w:rsidRPr="00F4410B">
              <w:rPr>
                <w:sz w:val="18"/>
                <w:szCs w:val="18"/>
                <w:rtl/>
              </w:rPr>
              <w:t xml:space="preserve"> 0</w:t>
            </w:r>
          </w:p>
        </w:tc>
        <w:tc>
          <w:tcPr>
            <w:tcW w:w="753" w:type="dxa"/>
            <w:vAlign w:val="bottom"/>
          </w:tcPr>
          <w:p w14:paraId="205AED55" w14:textId="77777777" w:rsidR="00B758B7" w:rsidRPr="00F4410B" w:rsidRDefault="00B758B7" w:rsidP="00B10CB3">
            <w:pPr>
              <w:keepLines/>
              <w:outlineLvl w:val="1"/>
              <w:rPr>
                <w:sz w:val="18"/>
                <w:szCs w:val="18"/>
                <w:rtl/>
              </w:rPr>
            </w:pPr>
            <w:r w:rsidRPr="00F4410B">
              <w:rPr>
                <w:sz w:val="18"/>
                <w:szCs w:val="18"/>
                <w:rtl/>
              </w:rPr>
              <w:t xml:space="preserve"> 0</w:t>
            </w:r>
          </w:p>
        </w:tc>
        <w:tc>
          <w:tcPr>
            <w:tcW w:w="869" w:type="dxa"/>
            <w:vAlign w:val="bottom"/>
          </w:tcPr>
          <w:p w14:paraId="5B4F8FDF" w14:textId="77777777" w:rsidR="00B758B7" w:rsidRPr="00F4410B" w:rsidRDefault="00B758B7" w:rsidP="00B10CB3">
            <w:pPr>
              <w:keepLines/>
              <w:outlineLvl w:val="1"/>
              <w:rPr>
                <w:sz w:val="18"/>
                <w:szCs w:val="18"/>
                <w:rtl/>
              </w:rPr>
            </w:pPr>
            <w:r w:rsidRPr="00F4410B">
              <w:rPr>
                <w:sz w:val="18"/>
                <w:szCs w:val="18"/>
                <w:rtl/>
              </w:rPr>
              <w:t xml:space="preserve"> 0</w:t>
            </w:r>
          </w:p>
        </w:tc>
        <w:tc>
          <w:tcPr>
            <w:tcW w:w="727" w:type="dxa"/>
            <w:vAlign w:val="bottom"/>
          </w:tcPr>
          <w:p w14:paraId="164F4E7B" w14:textId="77777777" w:rsidR="00B758B7" w:rsidRPr="00F4410B" w:rsidRDefault="00B758B7" w:rsidP="00B10CB3">
            <w:pPr>
              <w:keepLines/>
              <w:outlineLvl w:val="1"/>
              <w:rPr>
                <w:sz w:val="18"/>
                <w:szCs w:val="18"/>
                <w:rtl/>
              </w:rPr>
            </w:pPr>
            <w:r w:rsidRPr="00F4410B">
              <w:rPr>
                <w:sz w:val="18"/>
                <w:szCs w:val="18"/>
                <w:rtl/>
              </w:rPr>
              <w:t xml:space="preserve"> 0</w:t>
            </w:r>
          </w:p>
        </w:tc>
        <w:tc>
          <w:tcPr>
            <w:tcW w:w="938" w:type="dxa"/>
            <w:vAlign w:val="bottom"/>
          </w:tcPr>
          <w:p w14:paraId="7B8290CF" w14:textId="77777777" w:rsidR="00B758B7" w:rsidRDefault="00B758B7" w:rsidP="00B10CB3">
            <w:pPr>
              <w:keepLines/>
              <w:outlineLvl w:val="1"/>
              <w:rPr>
                <w:sz w:val="18"/>
                <w:szCs w:val="18"/>
                <w:rtl/>
              </w:rPr>
            </w:pPr>
            <w:r w:rsidRPr="00F4410B">
              <w:rPr>
                <w:sz w:val="18"/>
                <w:szCs w:val="18"/>
                <w:rtl/>
              </w:rPr>
              <w:t xml:space="preserve"> 0</w:t>
            </w:r>
          </w:p>
        </w:tc>
        <w:tc>
          <w:tcPr>
            <w:tcW w:w="519" w:type="dxa"/>
            <w:vAlign w:val="bottom"/>
          </w:tcPr>
          <w:p w14:paraId="5AFA4404" w14:textId="77777777" w:rsidR="00B758B7" w:rsidRDefault="00B758B7" w:rsidP="00B10CB3">
            <w:pPr>
              <w:keepLines/>
              <w:outlineLvl w:val="1"/>
              <w:rPr>
                <w:sz w:val="18"/>
                <w:szCs w:val="18"/>
                <w:rtl/>
              </w:rPr>
            </w:pPr>
            <w:r w:rsidRPr="00F4410B">
              <w:rPr>
                <w:sz w:val="18"/>
                <w:szCs w:val="18"/>
                <w:rtl/>
              </w:rPr>
              <w:t xml:space="preserve"> 0</w:t>
            </w:r>
          </w:p>
        </w:tc>
      </w:tr>
      <w:tr w:rsidR="00B758B7" w:rsidRPr="00F4410B" w14:paraId="7EAF07C9" w14:textId="77777777" w:rsidTr="00EC46DF">
        <w:trPr>
          <w:trHeight w:val="245"/>
        </w:trPr>
        <w:tc>
          <w:tcPr>
            <w:tcW w:w="1077" w:type="dxa"/>
          </w:tcPr>
          <w:p w14:paraId="607A8EFB" w14:textId="77777777" w:rsidR="00B758B7" w:rsidRPr="00F4410B" w:rsidRDefault="00B758B7" w:rsidP="00B10CB3">
            <w:pPr>
              <w:spacing w:before="40"/>
              <w:ind w:right="-284"/>
              <w:jc w:val="left"/>
              <w:rPr>
                <w:color w:val="000000"/>
                <w:spacing w:val="-6"/>
                <w:rtl/>
                <w:lang w:eastAsia="he-IL"/>
              </w:rPr>
            </w:pPr>
          </w:p>
        </w:tc>
        <w:tc>
          <w:tcPr>
            <w:tcW w:w="389" w:type="dxa"/>
          </w:tcPr>
          <w:p w14:paraId="58CC1976" w14:textId="77777777" w:rsidR="00B758B7" w:rsidRPr="00F4410B" w:rsidRDefault="00B758B7" w:rsidP="00B10CB3">
            <w:pPr>
              <w:spacing w:line="241" w:lineRule="auto"/>
              <w:ind w:left="432" w:hanging="144"/>
              <w:jc w:val="left"/>
              <w:rPr>
                <w:color w:val="000000"/>
                <w:rtl/>
                <w:lang w:eastAsia="he-IL"/>
              </w:rPr>
            </w:pPr>
          </w:p>
        </w:tc>
        <w:tc>
          <w:tcPr>
            <w:tcW w:w="3593" w:type="dxa"/>
            <w:vAlign w:val="bottom"/>
          </w:tcPr>
          <w:p w14:paraId="28F99B63" w14:textId="77777777" w:rsidR="00B758B7" w:rsidRPr="00F4410B" w:rsidRDefault="00B758B7" w:rsidP="00B10CB3">
            <w:pPr>
              <w:spacing w:line="241" w:lineRule="auto"/>
              <w:ind w:left="144" w:hanging="144"/>
              <w:jc w:val="left"/>
              <w:rPr>
                <w:b/>
                <w:bCs/>
                <w:color w:val="000000"/>
                <w:sz w:val="18"/>
                <w:szCs w:val="18"/>
                <w:lang w:eastAsia="he-IL"/>
              </w:rPr>
            </w:pPr>
            <w:r w:rsidRPr="00F4410B">
              <w:rPr>
                <w:rFonts w:hint="eastAsia"/>
                <w:color w:val="000000"/>
                <w:sz w:val="18"/>
                <w:szCs w:val="18"/>
                <w:rtl/>
                <w:lang w:eastAsia="he-IL"/>
              </w:rPr>
              <w:t>חובות</w:t>
            </w:r>
            <w:r w:rsidRPr="00F4410B">
              <w:rPr>
                <w:color w:val="000000"/>
                <w:sz w:val="18"/>
                <w:szCs w:val="18"/>
                <w:rtl/>
                <w:lang w:eastAsia="he-IL"/>
              </w:rPr>
              <w:t xml:space="preserve"> </w:t>
            </w:r>
            <w:r w:rsidRPr="00F4410B">
              <w:rPr>
                <w:rFonts w:hint="eastAsia"/>
                <w:color w:val="000000"/>
                <w:sz w:val="18"/>
                <w:szCs w:val="18"/>
                <w:rtl/>
                <w:lang w:eastAsia="he-IL"/>
              </w:rPr>
              <w:t>שנבדקו</w:t>
            </w:r>
            <w:r w:rsidRPr="00F4410B">
              <w:rPr>
                <w:color w:val="000000"/>
                <w:sz w:val="18"/>
                <w:szCs w:val="18"/>
                <w:rtl/>
                <w:lang w:eastAsia="he-IL"/>
              </w:rPr>
              <w:t xml:space="preserve"> </w:t>
            </w:r>
            <w:r w:rsidRPr="00F4410B">
              <w:rPr>
                <w:rFonts w:hint="eastAsia"/>
                <w:color w:val="000000"/>
                <w:sz w:val="18"/>
                <w:szCs w:val="18"/>
                <w:rtl/>
                <w:lang w:eastAsia="he-IL"/>
              </w:rPr>
              <w:t>על</w:t>
            </w:r>
            <w:r w:rsidRPr="00F4410B">
              <w:rPr>
                <w:color w:val="000000"/>
                <w:sz w:val="18"/>
                <w:szCs w:val="18"/>
                <w:rtl/>
                <w:lang w:eastAsia="he-IL"/>
              </w:rPr>
              <w:t xml:space="preserve"> </w:t>
            </w:r>
            <w:r w:rsidRPr="00F4410B">
              <w:rPr>
                <w:rFonts w:hint="eastAsia"/>
                <w:color w:val="000000"/>
                <w:sz w:val="18"/>
                <w:szCs w:val="18"/>
                <w:rtl/>
                <w:lang w:eastAsia="he-IL"/>
              </w:rPr>
              <w:t>בסיס</w:t>
            </w:r>
            <w:r w:rsidRPr="00F4410B">
              <w:rPr>
                <w:color w:val="000000"/>
                <w:sz w:val="18"/>
                <w:szCs w:val="18"/>
                <w:rtl/>
                <w:lang w:eastAsia="he-IL"/>
              </w:rPr>
              <w:t xml:space="preserve"> </w:t>
            </w:r>
            <w:r w:rsidRPr="00F4410B">
              <w:rPr>
                <w:rFonts w:hint="eastAsia"/>
                <w:color w:val="000000"/>
                <w:sz w:val="18"/>
                <w:szCs w:val="18"/>
                <w:rtl/>
                <w:lang w:eastAsia="he-IL"/>
              </w:rPr>
              <w:t>קבוצתי</w:t>
            </w:r>
          </w:p>
        </w:tc>
        <w:tc>
          <w:tcPr>
            <w:tcW w:w="744" w:type="dxa"/>
            <w:vAlign w:val="bottom"/>
          </w:tcPr>
          <w:p w14:paraId="0ACADE70" w14:textId="77777777" w:rsidR="00B758B7" w:rsidRPr="00F4410B" w:rsidRDefault="00B758B7" w:rsidP="00B10CB3">
            <w:pPr>
              <w:pBdr>
                <w:bottom w:val="single" w:sz="4" w:space="1" w:color="auto"/>
              </w:pBdr>
              <w:spacing w:line="241" w:lineRule="auto"/>
              <w:rPr>
                <w:sz w:val="18"/>
                <w:szCs w:val="18"/>
                <w:rtl/>
              </w:rPr>
            </w:pPr>
            <w:r w:rsidRPr="00F4410B">
              <w:rPr>
                <w:sz w:val="18"/>
                <w:szCs w:val="18"/>
                <w:rtl/>
              </w:rPr>
              <w:t xml:space="preserve"> 0</w:t>
            </w:r>
          </w:p>
        </w:tc>
        <w:tc>
          <w:tcPr>
            <w:tcW w:w="753" w:type="dxa"/>
            <w:vAlign w:val="bottom"/>
          </w:tcPr>
          <w:p w14:paraId="23C42E61" w14:textId="77777777" w:rsidR="00B758B7" w:rsidRPr="00F4410B" w:rsidRDefault="00B758B7" w:rsidP="00B10CB3">
            <w:pPr>
              <w:pBdr>
                <w:bottom w:val="single" w:sz="4" w:space="1" w:color="auto"/>
              </w:pBdr>
              <w:spacing w:line="241" w:lineRule="auto"/>
              <w:rPr>
                <w:sz w:val="18"/>
                <w:szCs w:val="18"/>
                <w:rtl/>
              </w:rPr>
            </w:pPr>
            <w:r w:rsidRPr="00F4410B">
              <w:rPr>
                <w:sz w:val="18"/>
                <w:szCs w:val="18"/>
                <w:rtl/>
              </w:rPr>
              <w:t xml:space="preserve"> 0</w:t>
            </w:r>
          </w:p>
        </w:tc>
        <w:tc>
          <w:tcPr>
            <w:tcW w:w="869" w:type="dxa"/>
            <w:vAlign w:val="bottom"/>
          </w:tcPr>
          <w:p w14:paraId="383401DA" w14:textId="77777777" w:rsidR="00B758B7" w:rsidRPr="00F4410B" w:rsidRDefault="00B758B7" w:rsidP="00B10CB3">
            <w:pPr>
              <w:pBdr>
                <w:bottom w:val="single" w:sz="4" w:space="1" w:color="auto"/>
              </w:pBdr>
              <w:spacing w:line="241" w:lineRule="auto"/>
              <w:rPr>
                <w:sz w:val="18"/>
                <w:szCs w:val="18"/>
                <w:rtl/>
              </w:rPr>
            </w:pPr>
            <w:r w:rsidRPr="00F4410B">
              <w:rPr>
                <w:sz w:val="18"/>
                <w:szCs w:val="18"/>
                <w:rtl/>
              </w:rPr>
              <w:t xml:space="preserve"> 0</w:t>
            </w:r>
          </w:p>
        </w:tc>
        <w:tc>
          <w:tcPr>
            <w:tcW w:w="727" w:type="dxa"/>
            <w:vAlign w:val="bottom"/>
          </w:tcPr>
          <w:p w14:paraId="3E37CE07" w14:textId="77777777" w:rsidR="00B758B7" w:rsidRPr="00F4410B" w:rsidRDefault="00B758B7" w:rsidP="00B10CB3">
            <w:pPr>
              <w:pBdr>
                <w:bottom w:val="single" w:sz="4" w:space="1" w:color="auto"/>
              </w:pBdr>
              <w:spacing w:line="241" w:lineRule="auto"/>
              <w:rPr>
                <w:sz w:val="18"/>
                <w:szCs w:val="18"/>
                <w:rtl/>
              </w:rPr>
            </w:pPr>
            <w:r w:rsidRPr="00F4410B">
              <w:rPr>
                <w:sz w:val="18"/>
                <w:szCs w:val="18"/>
                <w:rtl/>
              </w:rPr>
              <w:t xml:space="preserve"> 0</w:t>
            </w:r>
          </w:p>
        </w:tc>
        <w:tc>
          <w:tcPr>
            <w:tcW w:w="938" w:type="dxa"/>
            <w:vAlign w:val="bottom"/>
          </w:tcPr>
          <w:p w14:paraId="7DE7C778" w14:textId="77777777" w:rsidR="00B758B7" w:rsidRDefault="00B758B7" w:rsidP="00B10CB3">
            <w:pPr>
              <w:pBdr>
                <w:bottom w:val="single" w:sz="4" w:space="1" w:color="auto"/>
              </w:pBdr>
              <w:spacing w:line="241" w:lineRule="auto"/>
              <w:rPr>
                <w:sz w:val="18"/>
                <w:szCs w:val="18"/>
                <w:rtl/>
              </w:rPr>
            </w:pPr>
            <w:r w:rsidRPr="00F4410B">
              <w:rPr>
                <w:sz w:val="18"/>
                <w:szCs w:val="18"/>
                <w:rtl/>
              </w:rPr>
              <w:t xml:space="preserve"> 0</w:t>
            </w:r>
          </w:p>
        </w:tc>
        <w:tc>
          <w:tcPr>
            <w:tcW w:w="519" w:type="dxa"/>
            <w:vAlign w:val="bottom"/>
          </w:tcPr>
          <w:p w14:paraId="3FDC3A22" w14:textId="77777777" w:rsidR="00B758B7" w:rsidRDefault="00B758B7" w:rsidP="00B10CB3">
            <w:pPr>
              <w:pBdr>
                <w:bottom w:val="single" w:sz="4" w:space="1" w:color="auto"/>
              </w:pBdr>
              <w:spacing w:line="241" w:lineRule="auto"/>
              <w:rPr>
                <w:sz w:val="18"/>
                <w:szCs w:val="18"/>
                <w:rtl/>
              </w:rPr>
            </w:pPr>
            <w:r w:rsidRPr="00F4410B">
              <w:rPr>
                <w:sz w:val="18"/>
                <w:szCs w:val="18"/>
                <w:rtl/>
              </w:rPr>
              <w:t xml:space="preserve"> 0</w:t>
            </w:r>
          </w:p>
        </w:tc>
      </w:tr>
      <w:tr w:rsidR="00B758B7" w:rsidRPr="00F4410B" w14:paraId="01D901D4" w14:textId="77777777" w:rsidTr="00EC46DF">
        <w:trPr>
          <w:trHeight w:val="245"/>
        </w:trPr>
        <w:tc>
          <w:tcPr>
            <w:tcW w:w="1077" w:type="dxa"/>
          </w:tcPr>
          <w:p w14:paraId="1BCA9744" w14:textId="77777777" w:rsidR="00B758B7" w:rsidRPr="00F4410B" w:rsidRDefault="00B758B7" w:rsidP="00B10CB3">
            <w:pPr>
              <w:spacing w:line="241" w:lineRule="auto"/>
              <w:ind w:left="432" w:right="-284" w:hanging="144"/>
              <w:jc w:val="left"/>
              <w:rPr>
                <w:color w:val="000000"/>
                <w:spacing w:val="-6"/>
                <w:rtl/>
                <w:lang w:eastAsia="he-IL"/>
              </w:rPr>
            </w:pPr>
          </w:p>
        </w:tc>
        <w:tc>
          <w:tcPr>
            <w:tcW w:w="389" w:type="dxa"/>
          </w:tcPr>
          <w:p w14:paraId="4619DF40" w14:textId="77777777" w:rsidR="00B758B7" w:rsidRPr="00F4410B" w:rsidRDefault="00B758B7" w:rsidP="00B10CB3">
            <w:pPr>
              <w:spacing w:line="241" w:lineRule="auto"/>
              <w:ind w:left="432" w:hanging="144"/>
              <w:jc w:val="left"/>
              <w:rPr>
                <w:color w:val="000000"/>
                <w:rtl/>
                <w:lang w:eastAsia="he-IL"/>
              </w:rPr>
            </w:pPr>
          </w:p>
        </w:tc>
        <w:tc>
          <w:tcPr>
            <w:tcW w:w="3593" w:type="dxa"/>
            <w:vAlign w:val="bottom"/>
          </w:tcPr>
          <w:p w14:paraId="69966207" w14:textId="77777777" w:rsidR="00B758B7" w:rsidRPr="00F4410B" w:rsidRDefault="00B758B7" w:rsidP="00B10CB3">
            <w:pPr>
              <w:spacing w:line="241" w:lineRule="auto"/>
              <w:ind w:left="144" w:hanging="144"/>
              <w:jc w:val="left"/>
              <w:rPr>
                <w:b/>
                <w:bCs/>
                <w:color w:val="000000"/>
                <w:sz w:val="18"/>
                <w:szCs w:val="18"/>
                <w:lang w:eastAsia="he-IL"/>
              </w:rPr>
            </w:pPr>
            <w:r w:rsidRPr="00F4410B">
              <w:rPr>
                <w:rFonts w:hint="eastAsia"/>
                <w:b/>
                <w:bCs/>
                <w:color w:val="000000"/>
                <w:sz w:val="18"/>
                <w:szCs w:val="18"/>
                <w:rtl/>
                <w:lang w:eastAsia="he-IL"/>
              </w:rPr>
              <w:t>סך</w:t>
            </w:r>
            <w:r w:rsidRPr="00F4410B">
              <w:rPr>
                <w:b/>
                <w:bCs/>
                <w:color w:val="000000"/>
                <w:sz w:val="18"/>
                <w:szCs w:val="18"/>
                <w:rtl/>
                <w:lang w:eastAsia="he-IL"/>
              </w:rPr>
              <w:t xml:space="preserve"> </w:t>
            </w:r>
            <w:r w:rsidRPr="00F4410B">
              <w:rPr>
                <w:rFonts w:hint="eastAsia"/>
                <w:b/>
                <w:bCs/>
                <w:color w:val="000000"/>
                <w:sz w:val="18"/>
                <w:szCs w:val="18"/>
                <w:rtl/>
                <w:lang w:eastAsia="he-IL"/>
              </w:rPr>
              <w:t>הכל</w:t>
            </w:r>
            <w:r w:rsidRPr="00F4410B">
              <w:rPr>
                <w:rFonts w:hint="cs"/>
                <w:b/>
                <w:bCs/>
                <w:color w:val="000000"/>
                <w:sz w:val="18"/>
                <w:szCs w:val="18"/>
                <w:rtl/>
                <w:lang w:eastAsia="he-IL"/>
              </w:rPr>
              <w:t>*</w:t>
            </w:r>
          </w:p>
        </w:tc>
        <w:tc>
          <w:tcPr>
            <w:tcW w:w="744" w:type="dxa"/>
            <w:vAlign w:val="bottom"/>
          </w:tcPr>
          <w:p w14:paraId="493BA732" w14:textId="77777777" w:rsidR="00B758B7" w:rsidRPr="00F4410B" w:rsidRDefault="00B758B7" w:rsidP="00B10CB3">
            <w:pPr>
              <w:spacing w:line="241" w:lineRule="auto"/>
              <w:rPr>
                <w:b/>
                <w:bCs/>
                <w:sz w:val="18"/>
                <w:szCs w:val="18"/>
                <w:rtl/>
              </w:rPr>
            </w:pPr>
            <w:r w:rsidRPr="00F4410B">
              <w:rPr>
                <w:b/>
                <w:bCs/>
                <w:sz w:val="18"/>
                <w:szCs w:val="18"/>
                <w:rtl/>
              </w:rPr>
              <w:t xml:space="preserve"> 0</w:t>
            </w:r>
          </w:p>
        </w:tc>
        <w:tc>
          <w:tcPr>
            <w:tcW w:w="753" w:type="dxa"/>
            <w:vAlign w:val="bottom"/>
          </w:tcPr>
          <w:p w14:paraId="1089FE49" w14:textId="77777777" w:rsidR="00B758B7" w:rsidRPr="00F4410B" w:rsidRDefault="00B758B7" w:rsidP="00B10CB3">
            <w:pPr>
              <w:spacing w:line="241" w:lineRule="auto"/>
              <w:rPr>
                <w:b/>
                <w:bCs/>
                <w:sz w:val="18"/>
                <w:szCs w:val="18"/>
                <w:rtl/>
              </w:rPr>
            </w:pPr>
            <w:r w:rsidRPr="00F4410B">
              <w:rPr>
                <w:b/>
                <w:bCs/>
                <w:sz w:val="18"/>
                <w:szCs w:val="18"/>
                <w:rtl/>
              </w:rPr>
              <w:t xml:space="preserve"> 0</w:t>
            </w:r>
          </w:p>
        </w:tc>
        <w:tc>
          <w:tcPr>
            <w:tcW w:w="869" w:type="dxa"/>
            <w:vAlign w:val="bottom"/>
          </w:tcPr>
          <w:p w14:paraId="18ECF72F" w14:textId="77777777" w:rsidR="00B758B7" w:rsidRPr="00F4410B" w:rsidRDefault="00B758B7" w:rsidP="00B10CB3">
            <w:pPr>
              <w:spacing w:line="241" w:lineRule="auto"/>
              <w:rPr>
                <w:b/>
                <w:bCs/>
                <w:sz w:val="18"/>
                <w:szCs w:val="18"/>
                <w:rtl/>
              </w:rPr>
            </w:pPr>
            <w:r w:rsidRPr="00F4410B">
              <w:rPr>
                <w:b/>
                <w:bCs/>
                <w:sz w:val="18"/>
                <w:szCs w:val="18"/>
                <w:rtl/>
              </w:rPr>
              <w:t xml:space="preserve"> 0</w:t>
            </w:r>
          </w:p>
        </w:tc>
        <w:tc>
          <w:tcPr>
            <w:tcW w:w="727" w:type="dxa"/>
            <w:vAlign w:val="bottom"/>
          </w:tcPr>
          <w:p w14:paraId="55D3968C" w14:textId="77777777" w:rsidR="00B758B7" w:rsidRPr="00F4410B" w:rsidRDefault="00B758B7" w:rsidP="00B10CB3">
            <w:pPr>
              <w:spacing w:line="241" w:lineRule="auto"/>
              <w:rPr>
                <w:b/>
                <w:bCs/>
                <w:sz w:val="18"/>
                <w:szCs w:val="18"/>
                <w:rtl/>
              </w:rPr>
            </w:pPr>
            <w:r w:rsidRPr="00F4410B">
              <w:rPr>
                <w:b/>
                <w:bCs/>
                <w:sz w:val="18"/>
                <w:szCs w:val="18"/>
                <w:rtl/>
              </w:rPr>
              <w:t xml:space="preserve"> 0</w:t>
            </w:r>
          </w:p>
        </w:tc>
        <w:tc>
          <w:tcPr>
            <w:tcW w:w="938" w:type="dxa"/>
            <w:vAlign w:val="bottom"/>
          </w:tcPr>
          <w:p w14:paraId="314355D9" w14:textId="77777777" w:rsidR="00B758B7" w:rsidRDefault="00B758B7" w:rsidP="00B10CB3">
            <w:pPr>
              <w:spacing w:line="241" w:lineRule="auto"/>
              <w:rPr>
                <w:b/>
                <w:bCs/>
                <w:sz w:val="18"/>
                <w:szCs w:val="18"/>
                <w:rtl/>
              </w:rPr>
            </w:pPr>
            <w:r w:rsidRPr="00F4410B">
              <w:rPr>
                <w:b/>
                <w:bCs/>
                <w:sz w:val="18"/>
                <w:szCs w:val="18"/>
                <w:rtl/>
              </w:rPr>
              <w:t xml:space="preserve"> 0</w:t>
            </w:r>
          </w:p>
        </w:tc>
        <w:tc>
          <w:tcPr>
            <w:tcW w:w="519" w:type="dxa"/>
            <w:vAlign w:val="bottom"/>
          </w:tcPr>
          <w:p w14:paraId="7F412944" w14:textId="77777777" w:rsidR="00B758B7" w:rsidRDefault="00B758B7" w:rsidP="00B10CB3">
            <w:pPr>
              <w:spacing w:line="241" w:lineRule="auto"/>
              <w:rPr>
                <w:b/>
                <w:bCs/>
                <w:sz w:val="18"/>
                <w:szCs w:val="18"/>
                <w:rtl/>
              </w:rPr>
            </w:pPr>
            <w:r w:rsidRPr="00F4410B">
              <w:rPr>
                <w:b/>
                <w:bCs/>
                <w:sz w:val="18"/>
                <w:szCs w:val="18"/>
                <w:rtl/>
              </w:rPr>
              <w:t xml:space="preserve"> 0</w:t>
            </w:r>
          </w:p>
        </w:tc>
      </w:tr>
      <w:tr w:rsidR="00B758B7" w:rsidRPr="00F4410B" w14:paraId="60C8188A" w14:textId="77777777" w:rsidTr="00EC46DF">
        <w:trPr>
          <w:trHeight w:val="245"/>
        </w:trPr>
        <w:tc>
          <w:tcPr>
            <w:tcW w:w="1077" w:type="dxa"/>
          </w:tcPr>
          <w:p w14:paraId="7D27D9AF" w14:textId="76E52446" w:rsidR="00B758B7" w:rsidRPr="00F4410B" w:rsidRDefault="00522FB9" w:rsidP="00B10CB3">
            <w:pPr>
              <w:spacing w:before="40"/>
              <w:ind w:right="-284"/>
              <w:jc w:val="left"/>
              <w:rPr>
                <w:color w:val="000000"/>
                <w:spacing w:val="-6"/>
                <w:sz w:val="14"/>
                <w:szCs w:val="14"/>
                <w:rtl/>
                <w:lang w:eastAsia="he-IL"/>
              </w:rPr>
            </w:pPr>
            <w:r>
              <w:rPr>
                <w:rFonts w:hint="cs"/>
                <w:color w:val="000000"/>
                <w:spacing w:val="-6"/>
                <w:sz w:val="14"/>
                <w:szCs w:val="14"/>
                <w:rtl/>
                <w:lang w:eastAsia="he-IL"/>
              </w:rPr>
              <w:t>-</w:t>
            </w:r>
          </w:p>
        </w:tc>
        <w:tc>
          <w:tcPr>
            <w:tcW w:w="389" w:type="dxa"/>
          </w:tcPr>
          <w:p w14:paraId="7CD70D34" w14:textId="77777777" w:rsidR="00B758B7" w:rsidRPr="00F4410B" w:rsidRDefault="00B758B7" w:rsidP="00B10CB3">
            <w:pPr>
              <w:spacing w:line="241" w:lineRule="auto"/>
              <w:ind w:left="432" w:hanging="144"/>
              <w:jc w:val="left"/>
              <w:rPr>
                <w:color w:val="000000"/>
                <w:rtl/>
                <w:lang w:eastAsia="he-IL"/>
              </w:rPr>
            </w:pPr>
          </w:p>
        </w:tc>
        <w:tc>
          <w:tcPr>
            <w:tcW w:w="3593" w:type="dxa"/>
            <w:vAlign w:val="bottom"/>
          </w:tcPr>
          <w:p w14:paraId="612273C2" w14:textId="77777777" w:rsidR="00B758B7" w:rsidRPr="00F4410B" w:rsidRDefault="00B758B7" w:rsidP="00B10CB3">
            <w:pPr>
              <w:spacing w:line="241" w:lineRule="auto"/>
              <w:ind w:left="144" w:hanging="144"/>
              <w:jc w:val="left"/>
              <w:rPr>
                <w:b/>
                <w:bCs/>
                <w:color w:val="000000"/>
                <w:sz w:val="18"/>
                <w:szCs w:val="18"/>
                <w:lang w:eastAsia="he-IL"/>
              </w:rPr>
            </w:pPr>
            <w:r w:rsidRPr="00F4410B">
              <w:rPr>
                <w:rFonts w:hint="cs"/>
                <w:color w:val="000000"/>
                <w:sz w:val="18"/>
                <w:szCs w:val="18"/>
                <w:rtl/>
                <w:lang w:eastAsia="he-IL"/>
              </w:rPr>
              <w:t>*</w:t>
            </w:r>
            <w:r>
              <w:rPr>
                <w:rFonts w:hint="cs"/>
                <w:color w:val="000000"/>
                <w:sz w:val="18"/>
                <w:szCs w:val="18"/>
                <w:rtl/>
                <w:lang w:eastAsia="he-IL"/>
              </w:rPr>
              <w:t xml:space="preserve"> </w:t>
            </w:r>
            <w:r w:rsidRPr="00F4410B">
              <w:rPr>
                <w:rFonts w:hint="cs"/>
                <w:color w:val="000000"/>
                <w:sz w:val="18"/>
                <w:szCs w:val="18"/>
                <w:rtl/>
                <w:lang w:eastAsia="he-IL"/>
              </w:rPr>
              <w:t>מזה:</w:t>
            </w:r>
          </w:p>
        </w:tc>
        <w:tc>
          <w:tcPr>
            <w:tcW w:w="744" w:type="dxa"/>
            <w:vAlign w:val="bottom"/>
          </w:tcPr>
          <w:p w14:paraId="01BFBAAA" w14:textId="77777777" w:rsidR="00B758B7" w:rsidRPr="00F4410B" w:rsidRDefault="00B758B7" w:rsidP="00B10CB3">
            <w:pPr>
              <w:spacing w:line="241" w:lineRule="auto"/>
              <w:rPr>
                <w:sz w:val="18"/>
                <w:szCs w:val="18"/>
                <w:rtl/>
              </w:rPr>
            </w:pPr>
          </w:p>
        </w:tc>
        <w:tc>
          <w:tcPr>
            <w:tcW w:w="753" w:type="dxa"/>
            <w:vAlign w:val="bottom"/>
          </w:tcPr>
          <w:p w14:paraId="3368AF6D" w14:textId="77777777" w:rsidR="00B758B7" w:rsidRPr="00F4410B" w:rsidRDefault="00B758B7" w:rsidP="00B10CB3">
            <w:pPr>
              <w:spacing w:line="241" w:lineRule="auto"/>
              <w:rPr>
                <w:sz w:val="18"/>
                <w:szCs w:val="18"/>
                <w:rtl/>
              </w:rPr>
            </w:pPr>
          </w:p>
        </w:tc>
        <w:tc>
          <w:tcPr>
            <w:tcW w:w="869" w:type="dxa"/>
            <w:vAlign w:val="bottom"/>
          </w:tcPr>
          <w:p w14:paraId="521EADC2" w14:textId="77777777" w:rsidR="00B758B7" w:rsidRPr="00F4410B" w:rsidRDefault="00B758B7" w:rsidP="00B10CB3">
            <w:pPr>
              <w:spacing w:line="241" w:lineRule="auto"/>
              <w:rPr>
                <w:sz w:val="18"/>
                <w:szCs w:val="18"/>
                <w:rtl/>
              </w:rPr>
            </w:pPr>
          </w:p>
        </w:tc>
        <w:tc>
          <w:tcPr>
            <w:tcW w:w="727" w:type="dxa"/>
            <w:vAlign w:val="bottom"/>
          </w:tcPr>
          <w:p w14:paraId="7DFCCF0E" w14:textId="77777777" w:rsidR="00B758B7" w:rsidRPr="00F4410B" w:rsidRDefault="00B758B7" w:rsidP="00B10CB3">
            <w:pPr>
              <w:spacing w:line="241" w:lineRule="auto"/>
              <w:rPr>
                <w:sz w:val="18"/>
                <w:szCs w:val="18"/>
                <w:rtl/>
              </w:rPr>
            </w:pPr>
          </w:p>
        </w:tc>
        <w:tc>
          <w:tcPr>
            <w:tcW w:w="938" w:type="dxa"/>
            <w:vAlign w:val="bottom"/>
          </w:tcPr>
          <w:p w14:paraId="66A03549" w14:textId="77777777" w:rsidR="00B758B7" w:rsidRDefault="00B758B7" w:rsidP="00B10CB3">
            <w:pPr>
              <w:spacing w:line="241" w:lineRule="auto"/>
              <w:rPr>
                <w:sz w:val="18"/>
                <w:szCs w:val="18"/>
                <w:rtl/>
              </w:rPr>
            </w:pPr>
          </w:p>
        </w:tc>
        <w:tc>
          <w:tcPr>
            <w:tcW w:w="519" w:type="dxa"/>
            <w:vAlign w:val="bottom"/>
          </w:tcPr>
          <w:p w14:paraId="2B290C42" w14:textId="77777777" w:rsidR="00B758B7" w:rsidRDefault="00B758B7" w:rsidP="00B10CB3">
            <w:pPr>
              <w:spacing w:line="241" w:lineRule="auto"/>
              <w:rPr>
                <w:sz w:val="18"/>
                <w:szCs w:val="18"/>
                <w:rtl/>
              </w:rPr>
            </w:pPr>
          </w:p>
        </w:tc>
      </w:tr>
      <w:tr w:rsidR="00B758B7" w:rsidRPr="00F4410B" w14:paraId="268A12B2" w14:textId="77777777" w:rsidTr="00EC46DF">
        <w:trPr>
          <w:trHeight w:val="245"/>
        </w:trPr>
        <w:tc>
          <w:tcPr>
            <w:tcW w:w="1077" w:type="dxa"/>
          </w:tcPr>
          <w:p w14:paraId="77625ACB" w14:textId="77777777" w:rsidR="00B758B7" w:rsidRPr="00F4410B" w:rsidRDefault="00B758B7" w:rsidP="00B10CB3">
            <w:pPr>
              <w:spacing w:line="241" w:lineRule="auto"/>
              <w:ind w:left="432" w:right="-284" w:hanging="144"/>
              <w:jc w:val="left"/>
              <w:rPr>
                <w:color w:val="000000"/>
                <w:spacing w:val="-6"/>
                <w:rtl/>
                <w:lang w:eastAsia="he-IL"/>
              </w:rPr>
            </w:pPr>
          </w:p>
        </w:tc>
        <w:tc>
          <w:tcPr>
            <w:tcW w:w="389" w:type="dxa"/>
          </w:tcPr>
          <w:p w14:paraId="134216D5" w14:textId="77777777" w:rsidR="00B758B7" w:rsidRPr="00F4410B" w:rsidRDefault="00B758B7" w:rsidP="00B10CB3">
            <w:pPr>
              <w:spacing w:line="241" w:lineRule="auto"/>
              <w:ind w:left="432" w:hanging="144"/>
              <w:jc w:val="left"/>
              <w:rPr>
                <w:color w:val="000000"/>
                <w:rtl/>
                <w:lang w:eastAsia="he-IL"/>
              </w:rPr>
            </w:pPr>
          </w:p>
        </w:tc>
        <w:tc>
          <w:tcPr>
            <w:tcW w:w="3593" w:type="dxa"/>
            <w:vAlign w:val="bottom"/>
          </w:tcPr>
          <w:p w14:paraId="6972B13C" w14:textId="77777777" w:rsidR="00B758B7" w:rsidRPr="00512110" w:rsidRDefault="00B758B7" w:rsidP="00512110">
            <w:pPr>
              <w:spacing w:line="241" w:lineRule="auto"/>
              <w:ind w:left="144"/>
              <w:jc w:val="left"/>
              <w:rPr>
                <w:color w:val="000000"/>
                <w:sz w:val="18"/>
                <w:szCs w:val="18"/>
                <w:rtl/>
                <w:lang w:eastAsia="he-IL"/>
              </w:rPr>
            </w:pPr>
            <w:r w:rsidRPr="00012157">
              <w:rPr>
                <w:rFonts w:hint="cs"/>
                <w:color w:val="000000"/>
                <w:sz w:val="18"/>
                <w:szCs w:val="18"/>
                <w:rtl/>
                <w:lang w:eastAsia="he-IL"/>
              </w:rPr>
              <w:t xml:space="preserve">חובות לא צוברים </w:t>
            </w:r>
          </w:p>
        </w:tc>
        <w:tc>
          <w:tcPr>
            <w:tcW w:w="744" w:type="dxa"/>
            <w:vAlign w:val="bottom"/>
          </w:tcPr>
          <w:p w14:paraId="70062C0D" w14:textId="77777777" w:rsidR="00B758B7" w:rsidRPr="00F4410B" w:rsidRDefault="00B758B7" w:rsidP="00B10CB3">
            <w:pPr>
              <w:spacing w:line="241" w:lineRule="auto"/>
              <w:rPr>
                <w:sz w:val="18"/>
                <w:szCs w:val="18"/>
                <w:rtl/>
              </w:rPr>
            </w:pPr>
            <w:r w:rsidRPr="009E7447">
              <w:rPr>
                <w:sz w:val="18"/>
                <w:szCs w:val="18"/>
                <w:rtl/>
              </w:rPr>
              <w:t xml:space="preserve"> 0</w:t>
            </w:r>
          </w:p>
        </w:tc>
        <w:tc>
          <w:tcPr>
            <w:tcW w:w="753" w:type="dxa"/>
            <w:vAlign w:val="bottom"/>
          </w:tcPr>
          <w:p w14:paraId="37D4E616" w14:textId="77777777" w:rsidR="00B758B7" w:rsidRPr="00F4410B" w:rsidRDefault="00B758B7" w:rsidP="00B10CB3">
            <w:pPr>
              <w:spacing w:line="241" w:lineRule="auto"/>
              <w:rPr>
                <w:sz w:val="18"/>
                <w:szCs w:val="18"/>
                <w:rtl/>
              </w:rPr>
            </w:pPr>
            <w:r w:rsidRPr="009E7447">
              <w:rPr>
                <w:sz w:val="18"/>
                <w:szCs w:val="18"/>
                <w:rtl/>
              </w:rPr>
              <w:t xml:space="preserve"> 0</w:t>
            </w:r>
          </w:p>
        </w:tc>
        <w:tc>
          <w:tcPr>
            <w:tcW w:w="869" w:type="dxa"/>
            <w:vAlign w:val="bottom"/>
          </w:tcPr>
          <w:p w14:paraId="7D8B9B1A" w14:textId="77777777" w:rsidR="00B758B7" w:rsidRPr="00F4410B" w:rsidRDefault="00B758B7" w:rsidP="00B10CB3">
            <w:pPr>
              <w:spacing w:line="241" w:lineRule="auto"/>
              <w:rPr>
                <w:sz w:val="18"/>
                <w:szCs w:val="18"/>
                <w:rtl/>
              </w:rPr>
            </w:pPr>
            <w:r w:rsidRPr="009E7447">
              <w:rPr>
                <w:sz w:val="18"/>
                <w:szCs w:val="18"/>
                <w:rtl/>
              </w:rPr>
              <w:t xml:space="preserve"> 0</w:t>
            </w:r>
          </w:p>
        </w:tc>
        <w:tc>
          <w:tcPr>
            <w:tcW w:w="727" w:type="dxa"/>
            <w:vAlign w:val="bottom"/>
          </w:tcPr>
          <w:p w14:paraId="6FCA2EBA" w14:textId="77777777" w:rsidR="00B758B7" w:rsidRPr="00F4410B" w:rsidRDefault="00B758B7" w:rsidP="00B10CB3">
            <w:pPr>
              <w:spacing w:line="241" w:lineRule="auto"/>
              <w:rPr>
                <w:sz w:val="18"/>
                <w:szCs w:val="18"/>
                <w:rtl/>
              </w:rPr>
            </w:pPr>
            <w:r w:rsidRPr="009E7447">
              <w:rPr>
                <w:sz w:val="18"/>
                <w:szCs w:val="18"/>
                <w:rtl/>
              </w:rPr>
              <w:t xml:space="preserve"> 0</w:t>
            </w:r>
          </w:p>
        </w:tc>
        <w:tc>
          <w:tcPr>
            <w:tcW w:w="938" w:type="dxa"/>
            <w:vAlign w:val="bottom"/>
          </w:tcPr>
          <w:p w14:paraId="3A6F8032" w14:textId="77777777" w:rsidR="00B758B7" w:rsidRDefault="00B758B7" w:rsidP="00B10CB3">
            <w:pPr>
              <w:spacing w:line="241" w:lineRule="auto"/>
              <w:rPr>
                <w:sz w:val="18"/>
                <w:szCs w:val="18"/>
                <w:rtl/>
              </w:rPr>
            </w:pPr>
            <w:r w:rsidRPr="009E7447">
              <w:rPr>
                <w:sz w:val="18"/>
                <w:szCs w:val="18"/>
                <w:rtl/>
              </w:rPr>
              <w:t xml:space="preserve"> 0</w:t>
            </w:r>
          </w:p>
        </w:tc>
        <w:tc>
          <w:tcPr>
            <w:tcW w:w="519" w:type="dxa"/>
            <w:vAlign w:val="bottom"/>
          </w:tcPr>
          <w:p w14:paraId="6295C3EC" w14:textId="77777777" w:rsidR="00B758B7" w:rsidRDefault="00B758B7" w:rsidP="00B10CB3">
            <w:pPr>
              <w:spacing w:line="241" w:lineRule="auto"/>
              <w:rPr>
                <w:sz w:val="18"/>
                <w:szCs w:val="18"/>
                <w:rtl/>
              </w:rPr>
            </w:pPr>
            <w:r w:rsidRPr="009E7447">
              <w:rPr>
                <w:sz w:val="18"/>
                <w:szCs w:val="18"/>
                <w:rtl/>
              </w:rPr>
              <w:t xml:space="preserve"> 0</w:t>
            </w:r>
          </w:p>
        </w:tc>
      </w:tr>
      <w:tr w:rsidR="00B758B7" w:rsidRPr="00F4410B" w14:paraId="67BF5C5C" w14:textId="77777777" w:rsidTr="00EC46DF">
        <w:trPr>
          <w:trHeight w:val="245"/>
        </w:trPr>
        <w:tc>
          <w:tcPr>
            <w:tcW w:w="1077" w:type="dxa"/>
          </w:tcPr>
          <w:p w14:paraId="19FC07F7" w14:textId="77777777" w:rsidR="00B758B7" w:rsidRPr="00F4410B" w:rsidRDefault="00B758B7" w:rsidP="00B10CB3">
            <w:pPr>
              <w:spacing w:line="241" w:lineRule="auto"/>
              <w:ind w:left="432" w:right="-284" w:hanging="144"/>
              <w:jc w:val="left"/>
              <w:rPr>
                <w:color w:val="000000"/>
                <w:spacing w:val="-6"/>
                <w:rtl/>
                <w:lang w:eastAsia="he-IL"/>
              </w:rPr>
            </w:pPr>
          </w:p>
        </w:tc>
        <w:tc>
          <w:tcPr>
            <w:tcW w:w="389" w:type="dxa"/>
          </w:tcPr>
          <w:p w14:paraId="74CA4546" w14:textId="77777777" w:rsidR="00B758B7" w:rsidRPr="00F4410B" w:rsidRDefault="00B758B7" w:rsidP="00B10CB3">
            <w:pPr>
              <w:spacing w:line="241" w:lineRule="auto"/>
              <w:ind w:left="432" w:hanging="144"/>
              <w:jc w:val="left"/>
              <w:rPr>
                <w:color w:val="000000"/>
                <w:rtl/>
                <w:lang w:eastAsia="he-IL"/>
              </w:rPr>
            </w:pPr>
          </w:p>
        </w:tc>
        <w:tc>
          <w:tcPr>
            <w:tcW w:w="3593" w:type="dxa"/>
            <w:vAlign w:val="bottom"/>
          </w:tcPr>
          <w:p w14:paraId="0ED097A0" w14:textId="2DBA4A26" w:rsidR="00B758B7" w:rsidRPr="00012157" w:rsidRDefault="00B758B7" w:rsidP="00512110">
            <w:pPr>
              <w:spacing w:line="241" w:lineRule="auto"/>
              <w:ind w:left="144"/>
              <w:jc w:val="left"/>
              <w:rPr>
                <w:color w:val="000000"/>
                <w:sz w:val="18"/>
                <w:szCs w:val="18"/>
                <w:rtl/>
                <w:lang w:eastAsia="he-IL"/>
              </w:rPr>
            </w:pPr>
            <w:r w:rsidRPr="00317F17">
              <w:rPr>
                <w:rFonts w:hint="cs"/>
                <w:color w:val="000000"/>
                <w:sz w:val="18"/>
                <w:szCs w:val="18"/>
                <w:rtl/>
                <w:lang w:eastAsia="he-IL"/>
              </w:rPr>
              <w:t>חובות בפיגור 90 ימים או יותר</w:t>
            </w:r>
          </w:p>
        </w:tc>
        <w:tc>
          <w:tcPr>
            <w:tcW w:w="744" w:type="dxa"/>
            <w:vAlign w:val="bottom"/>
          </w:tcPr>
          <w:p w14:paraId="73559F14" w14:textId="77777777" w:rsidR="00B758B7" w:rsidRPr="009E7447" w:rsidRDefault="00B758B7" w:rsidP="00B10CB3">
            <w:pPr>
              <w:spacing w:line="241" w:lineRule="auto"/>
              <w:rPr>
                <w:sz w:val="18"/>
                <w:szCs w:val="18"/>
                <w:rtl/>
              </w:rPr>
            </w:pPr>
            <w:r w:rsidRPr="009E7447">
              <w:rPr>
                <w:rFonts w:hint="cs"/>
                <w:sz w:val="18"/>
                <w:szCs w:val="18"/>
                <w:rtl/>
              </w:rPr>
              <w:t xml:space="preserve"> 0</w:t>
            </w:r>
          </w:p>
        </w:tc>
        <w:tc>
          <w:tcPr>
            <w:tcW w:w="753" w:type="dxa"/>
            <w:vAlign w:val="bottom"/>
          </w:tcPr>
          <w:p w14:paraId="36C4A6D2" w14:textId="77777777" w:rsidR="00B758B7" w:rsidRPr="009E7447" w:rsidRDefault="00B758B7" w:rsidP="00B10CB3">
            <w:pPr>
              <w:spacing w:line="241" w:lineRule="auto"/>
              <w:rPr>
                <w:sz w:val="18"/>
                <w:szCs w:val="18"/>
                <w:rtl/>
              </w:rPr>
            </w:pPr>
            <w:r w:rsidRPr="009E7447">
              <w:rPr>
                <w:rFonts w:hint="cs"/>
                <w:sz w:val="18"/>
                <w:szCs w:val="18"/>
                <w:rtl/>
              </w:rPr>
              <w:t xml:space="preserve"> 0</w:t>
            </w:r>
          </w:p>
        </w:tc>
        <w:tc>
          <w:tcPr>
            <w:tcW w:w="869" w:type="dxa"/>
            <w:vAlign w:val="bottom"/>
          </w:tcPr>
          <w:p w14:paraId="31409723" w14:textId="77777777" w:rsidR="00B758B7" w:rsidRPr="009E7447" w:rsidRDefault="00B758B7" w:rsidP="00B10CB3">
            <w:pPr>
              <w:spacing w:line="241" w:lineRule="auto"/>
              <w:rPr>
                <w:sz w:val="18"/>
                <w:szCs w:val="18"/>
                <w:rtl/>
              </w:rPr>
            </w:pPr>
            <w:r w:rsidRPr="009E7447">
              <w:rPr>
                <w:rFonts w:hint="cs"/>
                <w:sz w:val="18"/>
                <w:szCs w:val="18"/>
                <w:rtl/>
              </w:rPr>
              <w:t xml:space="preserve"> 0</w:t>
            </w:r>
          </w:p>
        </w:tc>
        <w:tc>
          <w:tcPr>
            <w:tcW w:w="727" w:type="dxa"/>
            <w:vAlign w:val="bottom"/>
          </w:tcPr>
          <w:p w14:paraId="15F2F32F" w14:textId="77777777" w:rsidR="00B758B7" w:rsidRPr="009E7447" w:rsidRDefault="00B758B7" w:rsidP="00B10CB3">
            <w:pPr>
              <w:spacing w:line="241" w:lineRule="auto"/>
              <w:rPr>
                <w:sz w:val="18"/>
                <w:szCs w:val="18"/>
                <w:rtl/>
              </w:rPr>
            </w:pPr>
            <w:r w:rsidRPr="009E7447">
              <w:rPr>
                <w:rFonts w:hint="cs"/>
                <w:sz w:val="18"/>
                <w:szCs w:val="18"/>
                <w:rtl/>
              </w:rPr>
              <w:t xml:space="preserve"> 0</w:t>
            </w:r>
          </w:p>
        </w:tc>
        <w:tc>
          <w:tcPr>
            <w:tcW w:w="938" w:type="dxa"/>
            <w:vAlign w:val="bottom"/>
          </w:tcPr>
          <w:p w14:paraId="246800E8" w14:textId="77777777" w:rsidR="00B758B7" w:rsidRPr="009E7447" w:rsidRDefault="00B758B7" w:rsidP="00B10CB3">
            <w:pPr>
              <w:spacing w:line="241" w:lineRule="auto"/>
              <w:rPr>
                <w:sz w:val="18"/>
                <w:szCs w:val="18"/>
                <w:rtl/>
              </w:rPr>
            </w:pPr>
            <w:r w:rsidRPr="009E7447">
              <w:rPr>
                <w:rFonts w:hint="cs"/>
                <w:sz w:val="18"/>
                <w:szCs w:val="18"/>
                <w:rtl/>
              </w:rPr>
              <w:t xml:space="preserve"> 0</w:t>
            </w:r>
          </w:p>
        </w:tc>
        <w:tc>
          <w:tcPr>
            <w:tcW w:w="519" w:type="dxa"/>
            <w:vAlign w:val="bottom"/>
          </w:tcPr>
          <w:p w14:paraId="44F78BEA" w14:textId="77777777" w:rsidR="00B758B7" w:rsidRPr="009E7447" w:rsidRDefault="00B758B7" w:rsidP="00B10CB3">
            <w:pPr>
              <w:spacing w:line="241" w:lineRule="auto"/>
              <w:rPr>
                <w:sz w:val="18"/>
                <w:szCs w:val="18"/>
                <w:rtl/>
              </w:rPr>
            </w:pPr>
            <w:r w:rsidRPr="009E7447">
              <w:rPr>
                <w:rFonts w:hint="cs"/>
                <w:sz w:val="18"/>
                <w:szCs w:val="18"/>
                <w:rtl/>
              </w:rPr>
              <w:t xml:space="preserve"> 0</w:t>
            </w:r>
          </w:p>
        </w:tc>
      </w:tr>
      <w:tr w:rsidR="00B758B7" w:rsidRPr="00F4410B" w14:paraId="4BC25DA4" w14:textId="77777777" w:rsidTr="00EC46DF">
        <w:trPr>
          <w:trHeight w:val="245"/>
        </w:trPr>
        <w:tc>
          <w:tcPr>
            <w:tcW w:w="1077" w:type="dxa"/>
          </w:tcPr>
          <w:p w14:paraId="334712C9" w14:textId="77777777" w:rsidR="00B758B7" w:rsidRPr="00F4410B" w:rsidRDefault="00B758B7" w:rsidP="00B10CB3">
            <w:pPr>
              <w:spacing w:line="241" w:lineRule="auto"/>
              <w:ind w:left="432" w:right="-284" w:hanging="144"/>
              <w:jc w:val="left"/>
              <w:rPr>
                <w:color w:val="000000"/>
                <w:spacing w:val="-6"/>
                <w:rtl/>
                <w:lang w:eastAsia="he-IL"/>
              </w:rPr>
            </w:pPr>
          </w:p>
        </w:tc>
        <w:tc>
          <w:tcPr>
            <w:tcW w:w="389" w:type="dxa"/>
          </w:tcPr>
          <w:p w14:paraId="48A868EF" w14:textId="77777777" w:rsidR="00B758B7" w:rsidRPr="00F4410B" w:rsidRDefault="00B758B7" w:rsidP="00B10CB3">
            <w:pPr>
              <w:spacing w:line="241" w:lineRule="auto"/>
              <w:ind w:left="432" w:hanging="144"/>
              <w:jc w:val="left"/>
              <w:rPr>
                <w:color w:val="000000"/>
                <w:rtl/>
                <w:lang w:eastAsia="he-IL"/>
              </w:rPr>
            </w:pPr>
          </w:p>
        </w:tc>
        <w:tc>
          <w:tcPr>
            <w:tcW w:w="3593" w:type="dxa"/>
            <w:vAlign w:val="bottom"/>
          </w:tcPr>
          <w:p w14:paraId="7FCE7056" w14:textId="77777777" w:rsidR="00B758B7" w:rsidRPr="00F4410B" w:rsidRDefault="00B758B7" w:rsidP="00512110">
            <w:pPr>
              <w:spacing w:line="241" w:lineRule="auto"/>
              <w:ind w:left="144"/>
              <w:jc w:val="left"/>
              <w:rPr>
                <w:color w:val="000000"/>
                <w:sz w:val="18"/>
                <w:szCs w:val="18"/>
                <w:rtl/>
                <w:lang w:eastAsia="he-IL"/>
              </w:rPr>
            </w:pPr>
            <w:r w:rsidRPr="00317F17">
              <w:rPr>
                <w:rFonts w:hint="cs"/>
                <w:color w:val="000000"/>
                <w:sz w:val="18"/>
                <w:szCs w:val="18"/>
                <w:rtl/>
                <w:lang w:eastAsia="he-IL"/>
              </w:rPr>
              <w:t>חובות בעייתיים אחרים</w:t>
            </w:r>
          </w:p>
        </w:tc>
        <w:tc>
          <w:tcPr>
            <w:tcW w:w="744" w:type="dxa"/>
            <w:vAlign w:val="bottom"/>
          </w:tcPr>
          <w:p w14:paraId="2DB89971" w14:textId="77777777" w:rsidR="00B758B7" w:rsidRPr="00F4410B" w:rsidRDefault="00B758B7" w:rsidP="00B10CB3">
            <w:pPr>
              <w:pBdr>
                <w:bottom w:val="single" w:sz="4" w:space="1" w:color="auto"/>
              </w:pBdr>
              <w:spacing w:line="241" w:lineRule="auto"/>
              <w:rPr>
                <w:b/>
                <w:bCs/>
                <w:sz w:val="18"/>
                <w:szCs w:val="18"/>
                <w:rtl/>
              </w:rPr>
            </w:pPr>
            <w:r w:rsidRPr="009E7447">
              <w:rPr>
                <w:rFonts w:hint="cs"/>
                <w:sz w:val="18"/>
                <w:szCs w:val="18"/>
                <w:rtl/>
              </w:rPr>
              <w:t xml:space="preserve"> 0</w:t>
            </w:r>
          </w:p>
        </w:tc>
        <w:tc>
          <w:tcPr>
            <w:tcW w:w="753" w:type="dxa"/>
            <w:vAlign w:val="bottom"/>
          </w:tcPr>
          <w:p w14:paraId="1DE343D1" w14:textId="77777777" w:rsidR="00B758B7" w:rsidRPr="00F4410B" w:rsidRDefault="00B758B7" w:rsidP="00B10CB3">
            <w:pPr>
              <w:pBdr>
                <w:bottom w:val="single" w:sz="4" w:space="1" w:color="auto"/>
              </w:pBdr>
              <w:spacing w:line="241" w:lineRule="auto"/>
              <w:rPr>
                <w:b/>
                <w:bCs/>
                <w:sz w:val="18"/>
                <w:szCs w:val="18"/>
                <w:rtl/>
              </w:rPr>
            </w:pPr>
            <w:r w:rsidRPr="009E7447">
              <w:rPr>
                <w:rFonts w:hint="cs"/>
                <w:sz w:val="18"/>
                <w:szCs w:val="18"/>
                <w:rtl/>
              </w:rPr>
              <w:t xml:space="preserve"> 0</w:t>
            </w:r>
          </w:p>
        </w:tc>
        <w:tc>
          <w:tcPr>
            <w:tcW w:w="869" w:type="dxa"/>
            <w:vAlign w:val="bottom"/>
          </w:tcPr>
          <w:p w14:paraId="32AD7282" w14:textId="77777777" w:rsidR="00B758B7" w:rsidRPr="00F4410B" w:rsidRDefault="00B758B7" w:rsidP="00B10CB3">
            <w:pPr>
              <w:pBdr>
                <w:bottom w:val="single" w:sz="4" w:space="1" w:color="auto"/>
              </w:pBdr>
              <w:spacing w:line="241" w:lineRule="auto"/>
              <w:rPr>
                <w:b/>
                <w:bCs/>
                <w:sz w:val="18"/>
                <w:szCs w:val="18"/>
                <w:rtl/>
              </w:rPr>
            </w:pPr>
            <w:r w:rsidRPr="009E7447">
              <w:rPr>
                <w:rFonts w:hint="cs"/>
                <w:sz w:val="18"/>
                <w:szCs w:val="18"/>
                <w:rtl/>
              </w:rPr>
              <w:t xml:space="preserve"> 0</w:t>
            </w:r>
          </w:p>
        </w:tc>
        <w:tc>
          <w:tcPr>
            <w:tcW w:w="727" w:type="dxa"/>
            <w:vAlign w:val="bottom"/>
          </w:tcPr>
          <w:p w14:paraId="430EA6F0" w14:textId="77777777" w:rsidR="00B758B7" w:rsidRPr="00F4410B" w:rsidRDefault="00B758B7" w:rsidP="00B10CB3">
            <w:pPr>
              <w:pBdr>
                <w:bottom w:val="single" w:sz="4" w:space="1" w:color="auto"/>
              </w:pBdr>
              <w:spacing w:line="241" w:lineRule="auto"/>
              <w:rPr>
                <w:b/>
                <w:bCs/>
                <w:sz w:val="18"/>
                <w:szCs w:val="18"/>
                <w:rtl/>
              </w:rPr>
            </w:pPr>
            <w:r w:rsidRPr="009E7447">
              <w:rPr>
                <w:rFonts w:hint="cs"/>
                <w:sz w:val="18"/>
                <w:szCs w:val="18"/>
                <w:rtl/>
              </w:rPr>
              <w:t xml:space="preserve"> 0</w:t>
            </w:r>
          </w:p>
        </w:tc>
        <w:tc>
          <w:tcPr>
            <w:tcW w:w="938" w:type="dxa"/>
            <w:vAlign w:val="bottom"/>
          </w:tcPr>
          <w:p w14:paraId="24272A7E" w14:textId="77777777" w:rsidR="00B758B7" w:rsidRDefault="00B758B7" w:rsidP="00B10CB3">
            <w:pPr>
              <w:pBdr>
                <w:bottom w:val="single" w:sz="4" w:space="1" w:color="auto"/>
              </w:pBdr>
              <w:spacing w:line="241" w:lineRule="auto"/>
              <w:rPr>
                <w:b/>
                <w:bCs/>
                <w:sz w:val="18"/>
                <w:szCs w:val="18"/>
                <w:rtl/>
              </w:rPr>
            </w:pPr>
            <w:r w:rsidRPr="009E7447">
              <w:rPr>
                <w:rFonts w:hint="cs"/>
                <w:sz w:val="18"/>
                <w:szCs w:val="18"/>
                <w:rtl/>
              </w:rPr>
              <w:t xml:space="preserve"> 0</w:t>
            </w:r>
          </w:p>
        </w:tc>
        <w:tc>
          <w:tcPr>
            <w:tcW w:w="519" w:type="dxa"/>
            <w:vAlign w:val="bottom"/>
          </w:tcPr>
          <w:p w14:paraId="0D95ED6E" w14:textId="77777777" w:rsidR="00B758B7" w:rsidRDefault="00B758B7" w:rsidP="00B10CB3">
            <w:pPr>
              <w:pBdr>
                <w:bottom w:val="single" w:sz="4" w:space="1" w:color="auto"/>
              </w:pBdr>
              <w:spacing w:line="241" w:lineRule="auto"/>
              <w:rPr>
                <w:b/>
                <w:bCs/>
                <w:sz w:val="18"/>
                <w:szCs w:val="18"/>
                <w:rtl/>
              </w:rPr>
            </w:pPr>
            <w:r w:rsidRPr="009E7447">
              <w:rPr>
                <w:rFonts w:hint="cs"/>
                <w:sz w:val="18"/>
                <w:szCs w:val="18"/>
                <w:rtl/>
              </w:rPr>
              <w:t xml:space="preserve"> 0</w:t>
            </w:r>
          </w:p>
        </w:tc>
      </w:tr>
      <w:tr w:rsidR="00B758B7" w:rsidRPr="00F4410B" w14:paraId="4258B583" w14:textId="77777777" w:rsidTr="00EC46DF">
        <w:trPr>
          <w:trHeight w:val="329"/>
        </w:trPr>
        <w:tc>
          <w:tcPr>
            <w:tcW w:w="1077" w:type="dxa"/>
          </w:tcPr>
          <w:p w14:paraId="7A8F3DC2" w14:textId="77777777" w:rsidR="00B758B7" w:rsidRPr="00F4410B" w:rsidRDefault="00B758B7" w:rsidP="00B10CB3">
            <w:pPr>
              <w:spacing w:line="241" w:lineRule="auto"/>
              <w:ind w:left="432" w:right="-284" w:hanging="144"/>
              <w:jc w:val="left"/>
              <w:rPr>
                <w:color w:val="000000"/>
                <w:spacing w:val="-6"/>
                <w:rtl/>
                <w:lang w:eastAsia="he-IL"/>
              </w:rPr>
            </w:pPr>
          </w:p>
        </w:tc>
        <w:tc>
          <w:tcPr>
            <w:tcW w:w="389" w:type="dxa"/>
          </w:tcPr>
          <w:p w14:paraId="64412BDE" w14:textId="77777777" w:rsidR="00B758B7" w:rsidRPr="00F4410B" w:rsidRDefault="00B758B7" w:rsidP="00B10CB3">
            <w:pPr>
              <w:spacing w:line="241" w:lineRule="auto"/>
              <w:ind w:left="432" w:hanging="144"/>
              <w:jc w:val="left"/>
              <w:rPr>
                <w:color w:val="000000"/>
                <w:rtl/>
                <w:lang w:eastAsia="he-IL"/>
              </w:rPr>
            </w:pPr>
          </w:p>
        </w:tc>
        <w:tc>
          <w:tcPr>
            <w:tcW w:w="3593" w:type="dxa"/>
            <w:vAlign w:val="center"/>
          </w:tcPr>
          <w:p w14:paraId="333CCF2C" w14:textId="77777777" w:rsidR="00B758B7" w:rsidRPr="00512110" w:rsidRDefault="00B758B7" w:rsidP="00512110">
            <w:pPr>
              <w:spacing w:line="241" w:lineRule="auto"/>
              <w:ind w:left="144"/>
              <w:jc w:val="left"/>
              <w:rPr>
                <w:color w:val="000000"/>
                <w:sz w:val="18"/>
                <w:szCs w:val="18"/>
                <w:rtl/>
                <w:lang w:eastAsia="he-IL"/>
              </w:rPr>
            </w:pPr>
            <w:r w:rsidRPr="00512110">
              <w:rPr>
                <w:rFonts w:hint="eastAsia"/>
                <w:color w:val="000000"/>
                <w:sz w:val="18"/>
                <w:szCs w:val="18"/>
                <w:rtl/>
                <w:lang w:eastAsia="he-IL"/>
              </w:rPr>
              <w:t>סך</w:t>
            </w:r>
            <w:r w:rsidRPr="00512110">
              <w:rPr>
                <w:color w:val="000000"/>
                <w:sz w:val="18"/>
                <w:szCs w:val="18"/>
                <w:rtl/>
                <w:lang w:eastAsia="he-IL"/>
              </w:rPr>
              <w:t xml:space="preserve"> </w:t>
            </w:r>
            <w:r w:rsidRPr="00512110">
              <w:rPr>
                <w:rFonts w:hint="eastAsia"/>
                <w:color w:val="000000"/>
                <w:sz w:val="18"/>
                <w:szCs w:val="18"/>
                <w:rtl/>
                <w:lang w:eastAsia="he-IL"/>
              </w:rPr>
              <w:t>הכל</w:t>
            </w:r>
            <w:r w:rsidRPr="00512110">
              <w:rPr>
                <w:color w:val="000000"/>
                <w:sz w:val="18"/>
                <w:szCs w:val="18"/>
                <w:rtl/>
                <w:lang w:eastAsia="he-IL"/>
              </w:rPr>
              <w:t xml:space="preserve"> חובות בעייתיים</w:t>
            </w:r>
          </w:p>
        </w:tc>
        <w:tc>
          <w:tcPr>
            <w:tcW w:w="744" w:type="dxa"/>
            <w:vAlign w:val="center"/>
          </w:tcPr>
          <w:p w14:paraId="3EE49790" w14:textId="77777777" w:rsidR="00B758B7" w:rsidRPr="00F4410B" w:rsidRDefault="00B758B7" w:rsidP="00512110">
            <w:pPr>
              <w:spacing w:line="241" w:lineRule="auto"/>
              <w:jc w:val="left"/>
              <w:rPr>
                <w:b/>
                <w:bCs/>
                <w:sz w:val="18"/>
                <w:szCs w:val="18"/>
                <w:rtl/>
              </w:rPr>
            </w:pPr>
            <w:r w:rsidRPr="009E7447">
              <w:rPr>
                <w:rFonts w:hint="cs"/>
                <w:sz w:val="18"/>
                <w:szCs w:val="18"/>
                <w:rtl/>
              </w:rPr>
              <w:t xml:space="preserve"> 0</w:t>
            </w:r>
          </w:p>
        </w:tc>
        <w:tc>
          <w:tcPr>
            <w:tcW w:w="753" w:type="dxa"/>
            <w:vAlign w:val="center"/>
          </w:tcPr>
          <w:p w14:paraId="62973B37" w14:textId="77777777" w:rsidR="00B758B7" w:rsidRPr="00F4410B" w:rsidRDefault="00B758B7" w:rsidP="00512110">
            <w:pPr>
              <w:spacing w:line="241" w:lineRule="auto"/>
              <w:jc w:val="left"/>
              <w:rPr>
                <w:b/>
                <w:bCs/>
                <w:sz w:val="18"/>
                <w:szCs w:val="18"/>
                <w:rtl/>
              </w:rPr>
            </w:pPr>
            <w:r w:rsidRPr="009E7447">
              <w:rPr>
                <w:rFonts w:hint="cs"/>
                <w:sz w:val="18"/>
                <w:szCs w:val="18"/>
                <w:rtl/>
              </w:rPr>
              <w:t xml:space="preserve"> 0</w:t>
            </w:r>
          </w:p>
        </w:tc>
        <w:tc>
          <w:tcPr>
            <w:tcW w:w="869" w:type="dxa"/>
            <w:vAlign w:val="center"/>
          </w:tcPr>
          <w:p w14:paraId="5EC786E5" w14:textId="77777777" w:rsidR="00B758B7" w:rsidRPr="00F4410B" w:rsidRDefault="00B758B7" w:rsidP="00512110">
            <w:pPr>
              <w:spacing w:line="241" w:lineRule="auto"/>
              <w:jc w:val="left"/>
              <w:rPr>
                <w:b/>
                <w:bCs/>
                <w:sz w:val="18"/>
                <w:szCs w:val="18"/>
                <w:rtl/>
              </w:rPr>
            </w:pPr>
            <w:r w:rsidRPr="009E7447">
              <w:rPr>
                <w:rFonts w:hint="cs"/>
                <w:sz w:val="18"/>
                <w:szCs w:val="18"/>
                <w:rtl/>
              </w:rPr>
              <w:t xml:space="preserve"> 0</w:t>
            </w:r>
          </w:p>
        </w:tc>
        <w:tc>
          <w:tcPr>
            <w:tcW w:w="727" w:type="dxa"/>
            <w:vAlign w:val="center"/>
          </w:tcPr>
          <w:p w14:paraId="278ED7D5" w14:textId="77777777" w:rsidR="00B758B7" w:rsidRPr="00F4410B" w:rsidRDefault="00B758B7" w:rsidP="00512110">
            <w:pPr>
              <w:spacing w:line="241" w:lineRule="auto"/>
              <w:jc w:val="left"/>
              <w:rPr>
                <w:b/>
                <w:bCs/>
                <w:sz w:val="18"/>
                <w:szCs w:val="18"/>
                <w:rtl/>
              </w:rPr>
            </w:pPr>
            <w:r w:rsidRPr="009E7447">
              <w:rPr>
                <w:rFonts w:hint="cs"/>
                <w:sz w:val="18"/>
                <w:szCs w:val="18"/>
                <w:rtl/>
              </w:rPr>
              <w:t xml:space="preserve"> 0</w:t>
            </w:r>
          </w:p>
        </w:tc>
        <w:tc>
          <w:tcPr>
            <w:tcW w:w="938" w:type="dxa"/>
            <w:vAlign w:val="center"/>
          </w:tcPr>
          <w:p w14:paraId="2DFADBA6" w14:textId="77777777" w:rsidR="00B758B7" w:rsidRDefault="00B758B7" w:rsidP="00512110">
            <w:pPr>
              <w:spacing w:line="241" w:lineRule="auto"/>
              <w:jc w:val="left"/>
              <w:rPr>
                <w:b/>
                <w:bCs/>
                <w:sz w:val="18"/>
                <w:szCs w:val="18"/>
                <w:rtl/>
              </w:rPr>
            </w:pPr>
            <w:r w:rsidRPr="009E7447">
              <w:rPr>
                <w:rFonts w:hint="cs"/>
                <w:sz w:val="18"/>
                <w:szCs w:val="18"/>
                <w:rtl/>
              </w:rPr>
              <w:t xml:space="preserve"> 0</w:t>
            </w:r>
          </w:p>
        </w:tc>
        <w:tc>
          <w:tcPr>
            <w:tcW w:w="519" w:type="dxa"/>
            <w:vAlign w:val="center"/>
          </w:tcPr>
          <w:p w14:paraId="0BC93DE8" w14:textId="77777777" w:rsidR="00B758B7" w:rsidRDefault="00B758B7" w:rsidP="00512110">
            <w:pPr>
              <w:spacing w:line="241" w:lineRule="auto"/>
              <w:jc w:val="left"/>
              <w:rPr>
                <w:b/>
                <w:bCs/>
                <w:sz w:val="18"/>
                <w:szCs w:val="18"/>
                <w:rtl/>
              </w:rPr>
            </w:pPr>
            <w:r w:rsidRPr="009E7447">
              <w:rPr>
                <w:rFonts w:hint="cs"/>
                <w:sz w:val="18"/>
                <w:szCs w:val="18"/>
                <w:rtl/>
              </w:rPr>
              <w:t xml:space="preserve"> 0</w:t>
            </w:r>
          </w:p>
        </w:tc>
      </w:tr>
      <w:tr w:rsidR="00B758B7" w:rsidRPr="00F4410B" w14:paraId="2D9B1900" w14:textId="77777777" w:rsidTr="00EC46DF">
        <w:trPr>
          <w:trHeight w:hRule="exact" w:val="57"/>
        </w:trPr>
        <w:tc>
          <w:tcPr>
            <w:tcW w:w="1077" w:type="dxa"/>
          </w:tcPr>
          <w:p w14:paraId="60384053" w14:textId="77777777" w:rsidR="00B758B7" w:rsidRPr="00F4410B" w:rsidRDefault="00B758B7" w:rsidP="00B10CB3">
            <w:pPr>
              <w:spacing w:line="241" w:lineRule="auto"/>
              <w:ind w:left="432" w:right="-284" w:hanging="144"/>
              <w:jc w:val="left"/>
              <w:rPr>
                <w:color w:val="000000"/>
                <w:spacing w:val="-6"/>
                <w:rtl/>
                <w:lang w:eastAsia="he-IL"/>
              </w:rPr>
            </w:pPr>
          </w:p>
        </w:tc>
        <w:tc>
          <w:tcPr>
            <w:tcW w:w="389" w:type="dxa"/>
          </w:tcPr>
          <w:p w14:paraId="690892E8" w14:textId="77777777" w:rsidR="00B758B7" w:rsidRPr="00F4410B" w:rsidRDefault="00B758B7" w:rsidP="00B10CB3">
            <w:pPr>
              <w:spacing w:line="241" w:lineRule="auto"/>
              <w:ind w:left="432" w:hanging="144"/>
              <w:jc w:val="left"/>
              <w:rPr>
                <w:color w:val="000000"/>
                <w:rtl/>
                <w:lang w:eastAsia="he-IL"/>
              </w:rPr>
            </w:pPr>
          </w:p>
        </w:tc>
        <w:tc>
          <w:tcPr>
            <w:tcW w:w="3593" w:type="dxa"/>
            <w:vAlign w:val="bottom"/>
          </w:tcPr>
          <w:p w14:paraId="08F8B78F" w14:textId="77777777" w:rsidR="00B758B7" w:rsidRPr="00317F17" w:rsidRDefault="00B758B7" w:rsidP="00B10CB3">
            <w:pPr>
              <w:spacing w:line="241" w:lineRule="auto"/>
              <w:ind w:left="144" w:hanging="144"/>
              <w:jc w:val="left"/>
              <w:rPr>
                <w:b/>
                <w:bCs/>
                <w:color w:val="000000"/>
                <w:sz w:val="18"/>
                <w:szCs w:val="18"/>
                <w:rtl/>
                <w:lang w:eastAsia="he-IL"/>
              </w:rPr>
            </w:pPr>
          </w:p>
        </w:tc>
        <w:tc>
          <w:tcPr>
            <w:tcW w:w="744" w:type="dxa"/>
            <w:vAlign w:val="bottom"/>
          </w:tcPr>
          <w:p w14:paraId="48A6A44B" w14:textId="77777777" w:rsidR="00B758B7" w:rsidRPr="009E7447" w:rsidRDefault="00B758B7" w:rsidP="00B10CB3">
            <w:pPr>
              <w:spacing w:line="241" w:lineRule="auto"/>
              <w:rPr>
                <w:sz w:val="18"/>
                <w:szCs w:val="18"/>
                <w:rtl/>
              </w:rPr>
            </w:pPr>
          </w:p>
        </w:tc>
        <w:tc>
          <w:tcPr>
            <w:tcW w:w="753" w:type="dxa"/>
            <w:vAlign w:val="bottom"/>
          </w:tcPr>
          <w:p w14:paraId="3BF9A5B1" w14:textId="77777777" w:rsidR="00B758B7" w:rsidRPr="009E7447" w:rsidRDefault="00B758B7" w:rsidP="00B10CB3">
            <w:pPr>
              <w:spacing w:line="241" w:lineRule="auto"/>
              <w:rPr>
                <w:sz w:val="18"/>
                <w:szCs w:val="18"/>
                <w:rtl/>
              </w:rPr>
            </w:pPr>
          </w:p>
        </w:tc>
        <w:tc>
          <w:tcPr>
            <w:tcW w:w="869" w:type="dxa"/>
            <w:vAlign w:val="bottom"/>
          </w:tcPr>
          <w:p w14:paraId="735645F9" w14:textId="77777777" w:rsidR="00B758B7" w:rsidRPr="009E7447" w:rsidRDefault="00B758B7" w:rsidP="00B10CB3">
            <w:pPr>
              <w:spacing w:line="241" w:lineRule="auto"/>
              <w:rPr>
                <w:sz w:val="18"/>
                <w:szCs w:val="18"/>
                <w:rtl/>
              </w:rPr>
            </w:pPr>
          </w:p>
        </w:tc>
        <w:tc>
          <w:tcPr>
            <w:tcW w:w="727" w:type="dxa"/>
            <w:vAlign w:val="bottom"/>
          </w:tcPr>
          <w:p w14:paraId="4FC75705" w14:textId="77777777" w:rsidR="00B758B7" w:rsidRPr="009E7447" w:rsidRDefault="00B758B7" w:rsidP="00B10CB3">
            <w:pPr>
              <w:spacing w:line="241" w:lineRule="auto"/>
              <w:rPr>
                <w:sz w:val="18"/>
                <w:szCs w:val="18"/>
                <w:rtl/>
              </w:rPr>
            </w:pPr>
          </w:p>
        </w:tc>
        <w:tc>
          <w:tcPr>
            <w:tcW w:w="938" w:type="dxa"/>
            <w:vAlign w:val="bottom"/>
          </w:tcPr>
          <w:p w14:paraId="2D623482" w14:textId="77777777" w:rsidR="00B758B7" w:rsidRPr="009E7447" w:rsidRDefault="00B758B7" w:rsidP="00B10CB3">
            <w:pPr>
              <w:spacing w:line="241" w:lineRule="auto"/>
              <w:rPr>
                <w:sz w:val="18"/>
                <w:szCs w:val="18"/>
                <w:rtl/>
              </w:rPr>
            </w:pPr>
          </w:p>
        </w:tc>
        <w:tc>
          <w:tcPr>
            <w:tcW w:w="519" w:type="dxa"/>
            <w:vAlign w:val="bottom"/>
          </w:tcPr>
          <w:p w14:paraId="2B8522F7" w14:textId="77777777" w:rsidR="00B758B7" w:rsidRPr="009E7447" w:rsidRDefault="00B758B7" w:rsidP="00B10CB3">
            <w:pPr>
              <w:spacing w:line="241" w:lineRule="auto"/>
              <w:rPr>
                <w:sz w:val="18"/>
                <w:szCs w:val="18"/>
                <w:rtl/>
              </w:rPr>
            </w:pPr>
          </w:p>
        </w:tc>
      </w:tr>
      <w:tr w:rsidR="00B758B7" w:rsidRPr="00F4410B" w14:paraId="49E6D137" w14:textId="77777777" w:rsidTr="00EC46DF">
        <w:trPr>
          <w:trHeight w:val="245"/>
        </w:trPr>
        <w:tc>
          <w:tcPr>
            <w:tcW w:w="1077" w:type="dxa"/>
          </w:tcPr>
          <w:p w14:paraId="321AE27A" w14:textId="77777777" w:rsidR="00B758B7" w:rsidRPr="00F4410B" w:rsidRDefault="00B758B7" w:rsidP="00B10CB3">
            <w:pPr>
              <w:spacing w:line="241" w:lineRule="auto"/>
              <w:ind w:left="432" w:right="-284" w:hanging="144"/>
              <w:jc w:val="left"/>
              <w:rPr>
                <w:color w:val="000000"/>
                <w:spacing w:val="-6"/>
                <w:rtl/>
                <w:lang w:eastAsia="he-IL"/>
              </w:rPr>
            </w:pPr>
          </w:p>
        </w:tc>
        <w:tc>
          <w:tcPr>
            <w:tcW w:w="389" w:type="dxa"/>
          </w:tcPr>
          <w:p w14:paraId="4C6F351E" w14:textId="77777777" w:rsidR="00B758B7" w:rsidRPr="00F4410B" w:rsidRDefault="00B758B7" w:rsidP="00B10CB3">
            <w:pPr>
              <w:spacing w:line="241" w:lineRule="auto"/>
              <w:ind w:left="432" w:hanging="144"/>
              <w:jc w:val="left"/>
              <w:rPr>
                <w:color w:val="000000"/>
                <w:rtl/>
                <w:lang w:eastAsia="he-IL"/>
              </w:rPr>
            </w:pPr>
          </w:p>
        </w:tc>
        <w:tc>
          <w:tcPr>
            <w:tcW w:w="3593" w:type="dxa"/>
            <w:vAlign w:val="bottom"/>
          </w:tcPr>
          <w:p w14:paraId="61558EB9" w14:textId="77777777" w:rsidR="00B758B7" w:rsidRPr="00317F17" w:rsidRDefault="00B758B7" w:rsidP="00B10CB3">
            <w:pPr>
              <w:spacing w:line="241" w:lineRule="auto"/>
              <w:ind w:left="144" w:hanging="144"/>
              <w:jc w:val="left"/>
              <w:rPr>
                <w:b/>
                <w:bCs/>
                <w:color w:val="000000"/>
                <w:sz w:val="18"/>
                <w:szCs w:val="18"/>
                <w:rtl/>
                <w:lang w:eastAsia="he-IL"/>
              </w:rPr>
            </w:pPr>
            <w:r w:rsidRPr="009E7447">
              <w:rPr>
                <w:rFonts w:hint="eastAsia"/>
                <w:b/>
                <w:bCs/>
                <w:color w:val="000000"/>
                <w:sz w:val="18"/>
                <w:szCs w:val="18"/>
                <w:u w:val="single"/>
                <w:rtl/>
                <w:lang w:eastAsia="he-IL"/>
              </w:rPr>
              <w:t>יתרת</w:t>
            </w:r>
            <w:r w:rsidRPr="009E7447">
              <w:rPr>
                <w:b/>
                <w:bCs/>
                <w:color w:val="000000"/>
                <w:sz w:val="18"/>
                <w:szCs w:val="18"/>
                <w:u w:val="single"/>
                <w:rtl/>
                <w:lang w:eastAsia="he-IL"/>
              </w:rPr>
              <w:t xml:space="preserve"> </w:t>
            </w:r>
            <w:r w:rsidRPr="009E7447">
              <w:rPr>
                <w:rFonts w:hint="eastAsia"/>
                <w:b/>
                <w:bCs/>
                <w:color w:val="000000"/>
                <w:sz w:val="18"/>
                <w:szCs w:val="18"/>
                <w:u w:val="single"/>
                <w:rtl/>
                <w:lang w:eastAsia="he-IL"/>
              </w:rPr>
              <w:t>הפרשה</w:t>
            </w:r>
            <w:r w:rsidRPr="009E7447">
              <w:rPr>
                <w:b/>
                <w:bCs/>
                <w:color w:val="000000"/>
                <w:sz w:val="18"/>
                <w:szCs w:val="18"/>
                <w:u w:val="single"/>
                <w:rtl/>
                <w:lang w:eastAsia="he-IL"/>
              </w:rPr>
              <w:t xml:space="preserve"> </w:t>
            </w:r>
            <w:r w:rsidRPr="009E7447">
              <w:rPr>
                <w:rFonts w:hint="eastAsia"/>
                <w:b/>
                <w:bCs/>
                <w:color w:val="000000"/>
                <w:sz w:val="18"/>
                <w:szCs w:val="18"/>
                <w:u w:val="single"/>
                <w:rtl/>
                <w:lang w:eastAsia="he-IL"/>
              </w:rPr>
              <w:t>להפסדי</w:t>
            </w:r>
            <w:r w:rsidRPr="009E7447">
              <w:rPr>
                <w:b/>
                <w:bCs/>
                <w:color w:val="000000"/>
                <w:sz w:val="18"/>
                <w:szCs w:val="18"/>
                <w:u w:val="single"/>
                <w:rtl/>
                <w:lang w:eastAsia="he-IL"/>
              </w:rPr>
              <w:t xml:space="preserve"> </w:t>
            </w:r>
            <w:r w:rsidRPr="009E7447">
              <w:rPr>
                <w:rFonts w:hint="eastAsia"/>
                <w:b/>
                <w:bCs/>
                <w:color w:val="000000"/>
                <w:sz w:val="18"/>
                <w:szCs w:val="18"/>
                <w:u w:val="single"/>
                <w:rtl/>
                <w:lang w:eastAsia="he-IL"/>
              </w:rPr>
              <w:t>אשראי</w:t>
            </w:r>
            <w:r w:rsidRPr="009E7447">
              <w:rPr>
                <w:b/>
                <w:bCs/>
                <w:color w:val="000000"/>
                <w:sz w:val="18"/>
                <w:szCs w:val="18"/>
                <w:u w:val="single"/>
                <w:rtl/>
                <w:lang w:eastAsia="he-IL"/>
              </w:rPr>
              <w:t xml:space="preserve"> </w:t>
            </w:r>
            <w:r w:rsidRPr="009E7447">
              <w:rPr>
                <w:rFonts w:hint="eastAsia"/>
                <w:b/>
                <w:bCs/>
                <w:color w:val="000000"/>
                <w:sz w:val="18"/>
                <w:szCs w:val="18"/>
                <w:u w:val="single"/>
                <w:rtl/>
                <w:lang w:eastAsia="he-IL"/>
              </w:rPr>
              <w:t>בגין</w:t>
            </w:r>
            <w:r w:rsidRPr="009E7447">
              <w:rPr>
                <w:b/>
                <w:bCs/>
                <w:color w:val="000000"/>
                <w:sz w:val="18"/>
                <w:szCs w:val="18"/>
                <w:u w:val="single"/>
                <w:rtl/>
                <w:lang w:eastAsia="he-IL"/>
              </w:rPr>
              <w:t xml:space="preserve"> </w:t>
            </w:r>
            <w:r w:rsidRPr="009E7447">
              <w:rPr>
                <w:rFonts w:hint="eastAsia"/>
                <w:b/>
                <w:bCs/>
                <w:color w:val="000000"/>
                <w:sz w:val="18"/>
                <w:szCs w:val="18"/>
                <w:u w:val="single"/>
                <w:rtl/>
                <w:lang w:eastAsia="he-IL"/>
              </w:rPr>
              <w:t>חובות</w:t>
            </w:r>
            <w:r w:rsidRPr="009E7447">
              <w:rPr>
                <w:rFonts w:hint="cs"/>
                <w:b/>
                <w:bCs/>
                <w:color w:val="000000"/>
                <w:sz w:val="18"/>
                <w:szCs w:val="18"/>
                <w:rtl/>
                <w:lang w:eastAsia="he-IL"/>
              </w:rPr>
              <w:t>:</w:t>
            </w:r>
          </w:p>
        </w:tc>
        <w:tc>
          <w:tcPr>
            <w:tcW w:w="744" w:type="dxa"/>
            <w:vAlign w:val="bottom"/>
          </w:tcPr>
          <w:p w14:paraId="2A512C58" w14:textId="77777777" w:rsidR="00B758B7" w:rsidRPr="009E7447" w:rsidRDefault="00B758B7" w:rsidP="00B10CB3">
            <w:pPr>
              <w:spacing w:line="241" w:lineRule="auto"/>
              <w:rPr>
                <w:sz w:val="18"/>
                <w:szCs w:val="18"/>
                <w:rtl/>
              </w:rPr>
            </w:pPr>
          </w:p>
        </w:tc>
        <w:tc>
          <w:tcPr>
            <w:tcW w:w="753" w:type="dxa"/>
            <w:vAlign w:val="bottom"/>
          </w:tcPr>
          <w:p w14:paraId="071EFD58" w14:textId="77777777" w:rsidR="00B758B7" w:rsidRPr="009E7447" w:rsidRDefault="00B758B7" w:rsidP="00B10CB3">
            <w:pPr>
              <w:spacing w:line="241" w:lineRule="auto"/>
              <w:rPr>
                <w:sz w:val="18"/>
                <w:szCs w:val="18"/>
                <w:rtl/>
              </w:rPr>
            </w:pPr>
          </w:p>
        </w:tc>
        <w:tc>
          <w:tcPr>
            <w:tcW w:w="869" w:type="dxa"/>
            <w:vAlign w:val="bottom"/>
          </w:tcPr>
          <w:p w14:paraId="4AE9D67C" w14:textId="77777777" w:rsidR="00B758B7" w:rsidRPr="009E7447" w:rsidRDefault="00B758B7" w:rsidP="00B10CB3">
            <w:pPr>
              <w:spacing w:line="241" w:lineRule="auto"/>
              <w:rPr>
                <w:sz w:val="18"/>
                <w:szCs w:val="18"/>
                <w:rtl/>
              </w:rPr>
            </w:pPr>
          </w:p>
        </w:tc>
        <w:tc>
          <w:tcPr>
            <w:tcW w:w="727" w:type="dxa"/>
            <w:vAlign w:val="bottom"/>
          </w:tcPr>
          <w:p w14:paraId="07D631C3" w14:textId="77777777" w:rsidR="00B758B7" w:rsidRPr="009E7447" w:rsidRDefault="00B758B7" w:rsidP="00B10CB3">
            <w:pPr>
              <w:spacing w:line="241" w:lineRule="auto"/>
              <w:rPr>
                <w:sz w:val="18"/>
                <w:szCs w:val="18"/>
                <w:rtl/>
              </w:rPr>
            </w:pPr>
          </w:p>
        </w:tc>
        <w:tc>
          <w:tcPr>
            <w:tcW w:w="938" w:type="dxa"/>
            <w:vAlign w:val="bottom"/>
          </w:tcPr>
          <w:p w14:paraId="3F3FA9BB" w14:textId="77777777" w:rsidR="00B758B7" w:rsidRPr="009E7447" w:rsidRDefault="00B758B7" w:rsidP="00B10CB3">
            <w:pPr>
              <w:spacing w:line="241" w:lineRule="auto"/>
              <w:rPr>
                <w:sz w:val="18"/>
                <w:szCs w:val="18"/>
                <w:rtl/>
              </w:rPr>
            </w:pPr>
          </w:p>
        </w:tc>
        <w:tc>
          <w:tcPr>
            <w:tcW w:w="519" w:type="dxa"/>
            <w:vAlign w:val="bottom"/>
          </w:tcPr>
          <w:p w14:paraId="085F4500" w14:textId="77777777" w:rsidR="00B758B7" w:rsidRPr="009E7447" w:rsidRDefault="00B758B7" w:rsidP="00B10CB3">
            <w:pPr>
              <w:spacing w:line="241" w:lineRule="auto"/>
              <w:rPr>
                <w:sz w:val="18"/>
                <w:szCs w:val="18"/>
                <w:rtl/>
              </w:rPr>
            </w:pPr>
          </w:p>
        </w:tc>
      </w:tr>
      <w:tr w:rsidR="00B758B7" w:rsidRPr="00F4410B" w14:paraId="22BDF8F8" w14:textId="77777777" w:rsidTr="00EC46DF">
        <w:trPr>
          <w:trHeight w:val="245"/>
        </w:trPr>
        <w:tc>
          <w:tcPr>
            <w:tcW w:w="1077" w:type="dxa"/>
          </w:tcPr>
          <w:p w14:paraId="36F4F802" w14:textId="77777777" w:rsidR="00B758B7" w:rsidRPr="00F4410B" w:rsidRDefault="00B758B7" w:rsidP="00B10CB3">
            <w:pPr>
              <w:spacing w:before="40"/>
              <w:ind w:right="-284"/>
              <w:jc w:val="left"/>
              <w:rPr>
                <w:color w:val="000000"/>
                <w:spacing w:val="-6"/>
                <w:sz w:val="14"/>
                <w:szCs w:val="14"/>
                <w:rtl/>
                <w:lang w:eastAsia="he-IL"/>
              </w:rPr>
            </w:pPr>
          </w:p>
        </w:tc>
        <w:tc>
          <w:tcPr>
            <w:tcW w:w="389" w:type="dxa"/>
          </w:tcPr>
          <w:p w14:paraId="6EDB3413" w14:textId="77777777" w:rsidR="00B758B7" w:rsidRPr="00F4410B" w:rsidRDefault="00B758B7" w:rsidP="00B10CB3">
            <w:pPr>
              <w:spacing w:line="241" w:lineRule="auto"/>
              <w:ind w:left="432" w:hanging="144"/>
              <w:jc w:val="left"/>
              <w:rPr>
                <w:color w:val="000000"/>
                <w:rtl/>
                <w:lang w:eastAsia="he-IL"/>
              </w:rPr>
            </w:pPr>
          </w:p>
        </w:tc>
        <w:tc>
          <w:tcPr>
            <w:tcW w:w="3593" w:type="dxa"/>
            <w:vAlign w:val="bottom"/>
          </w:tcPr>
          <w:p w14:paraId="6A69A473" w14:textId="77777777" w:rsidR="00B758B7" w:rsidRPr="00F4410B" w:rsidRDefault="00B758B7" w:rsidP="00B10CB3">
            <w:pPr>
              <w:spacing w:line="241" w:lineRule="auto"/>
              <w:ind w:left="144" w:hanging="144"/>
              <w:jc w:val="left"/>
              <w:rPr>
                <w:color w:val="000000"/>
                <w:sz w:val="18"/>
                <w:szCs w:val="18"/>
                <w:rtl/>
                <w:lang w:eastAsia="he-IL"/>
              </w:rPr>
            </w:pPr>
            <w:r w:rsidRPr="009E7447">
              <w:rPr>
                <w:rFonts w:hint="cs"/>
                <w:color w:val="000000"/>
                <w:sz w:val="18"/>
                <w:szCs w:val="18"/>
                <w:rtl/>
                <w:lang w:eastAsia="he-IL"/>
              </w:rPr>
              <w:t>בגין חובות שנבדקו על בסיס פרטני</w:t>
            </w:r>
          </w:p>
        </w:tc>
        <w:tc>
          <w:tcPr>
            <w:tcW w:w="744" w:type="dxa"/>
            <w:vAlign w:val="bottom"/>
          </w:tcPr>
          <w:p w14:paraId="71D6D12D" w14:textId="77777777" w:rsidR="00B758B7" w:rsidRPr="00F4410B" w:rsidRDefault="00B758B7" w:rsidP="00B10CB3">
            <w:pPr>
              <w:spacing w:line="241" w:lineRule="auto"/>
              <w:rPr>
                <w:sz w:val="18"/>
                <w:szCs w:val="18"/>
                <w:rtl/>
              </w:rPr>
            </w:pPr>
            <w:r w:rsidRPr="009E7447">
              <w:rPr>
                <w:rFonts w:hint="cs"/>
                <w:sz w:val="18"/>
                <w:szCs w:val="18"/>
                <w:rtl/>
              </w:rPr>
              <w:t xml:space="preserve"> 0</w:t>
            </w:r>
          </w:p>
        </w:tc>
        <w:tc>
          <w:tcPr>
            <w:tcW w:w="753" w:type="dxa"/>
            <w:vAlign w:val="bottom"/>
          </w:tcPr>
          <w:p w14:paraId="59239FC9" w14:textId="77777777" w:rsidR="00B758B7" w:rsidRPr="00F4410B" w:rsidRDefault="00B758B7" w:rsidP="00B10CB3">
            <w:pPr>
              <w:spacing w:line="241" w:lineRule="auto"/>
              <w:rPr>
                <w:sz w:val="18"/>
                <w:szCs w:val="18"/>
                <w:rtl/>
              </w:rPr>
            </w:pPr>
            <w:r w:rsidRPr="009E7447">
              <w:rPr>
                <w:rFonts w:hint="cs"/>
                <w:sz w:val="18"/>
                <w:szCs w:val="18"/>
                <w:rtl/>
              </w:rPr>
              <w:t xml:space="preserve"> 0</w:t>
            </w:r>
          </w:p>
        </w:tc>
        <w:tc>
          <w:tcPr>
            <w:tcW w:w="869" w:type="dxa"/>
            <w:vAlign w:val="bottom"/>
          </w:tcPr>
          <w:p w14:paraId="46B5C659" w14:textId="77777777" w:rsidR="00B758B7" w:rsidRPr="00F4410B" w:rsidRDefault="00B758B7" w:rsidP="00B10CB3">
            <w:pPr>
              <w:spacing w:line="241" w:lineRule="auto"/>
              <w:rPr>
                <w:sz w:val="18"/>
                <w:szCs w:val="18"/>
                <w:rtl/>
              </w:rPr>
            </w:pPr>
            <w:r w:rsidRPr="009E7447">
              <w:rPr>
                <w:rFonts w:hint="cs"/>
                <w:sz w:val="18"/>
                <w:szCs w:val="18"/>
                <w:rtl/>
              </w:rPr>
              <w:t xml:space="preserve"> 0</w:t>
            </w:r>
          </w:p>
        </w:tc>
        <w:tc>
          <w:tcPr>
            <w:tcW w:w="727" w:type="dxa"/>
            <w:vAlign w:val="bottom"/>
          </w:tcPr>
          <w:p w14:paraId="4687267D" w14:textId="77777777" w:rsidR="00B758B7" w:rsidRPr="00F4410B" w:rsidRDefault="00B758B7" w:rsidP="00B10CB3">
            <w:pPr>
              <w:spacing w:line="241" w:lineRule="auto"/>
              <w:rPr>
                <w:sz w:val="18"/>
                <w:szCs w:val="18"/>
                <w:rtl/>
              </w:rPr>
            </w:pPr>
            <w:r w:rsidRPr="009E7447">
              <w:rPr>
                <w:rFonts w:hint="cs"/>
                <w:sz w:val="18"/>
                <w:szCs w:val="18"/>
                <w:rtl/>
              </w:rPr>
              <w:t xml:space="preserve"> 0</w:t>
            </w:r>
          </w:p>
        </w:tc>
        <w:tc>
          <w:tcPr>
            <w:tcW w:w="938" w:type="dxa"/>
            <w:vAlign w:val="bottom"/>
          </w:tcPr>
          <w:p w14:paraId="49DC614D" w14:textId="77777777" w:rsidR="00B758B7" w:rsidRDefault="00B758B7" w:rsidP="00B10CB3">
            <w:pPr>
              <w:spacing w:line="241" w:lineRule="auto"/>
              <w:rPr>
                <w:sz w:val="18"/>
                <w:szCs w:val="18"/>
                <w:rtl/>
              </w:rPr>
            </w:pPr>
            <w:r w:rsidRPr="009E7447">
              <w:rPr>
                <w:rFonts w:hint="cs"/>
                <w:sz w:val="18"/>
                <w:szCs w:val="18"/>
                <w:rtl/>
              </w:rPr>
              <w:t xml:space="preserve"> 0</w:t>
            </w:r>
          </w:p>
        </w:tc>
        <w:tc>
          <w:tcPr>
            <w:tcW w:w="519" w:type="dxa"/>
            <w:vAlign w:val="bottom"/>
          </w:tcPr>
          <w:p w14:paraId="268DA349" w14:textId="77777777" w:rsidR="00B758B7" w:rsidRDefault="00B758B7" w:rsidP="00B10CB3">
            <w:pPr>
              <w:spacing w:line="241" w:lineRule="auto"/>
              <w:rPr>
                <w:sz w:val="18"/>
                <w:szCs w:val="18"/>
                <w:rtl/>
              </w:rPr>
            </w:pPr>
            <w:r w:rsidRPr="009E7447">
              <w:rPr>
                <w:rFonts w:hint="cs"/>
                <w:sz w:val="18"/>
                <w:szCs w:val="18"/>
                <w:rtl/>
              </w:rPr>
              <w:t xml:space="preserve"> 0</w:t>
            </w:r>
          </w:p>
        </w:tc>
      </w:tr>
      <w:tr w:rsidR="00B758B7" w:rsidRPr="00F4410B" w14:paraId="67141B1D" w14:textId="77777777" w:rsidTr="00EC46DF">
        <w:trPr>
          <w:trHeight w:val="245"/>
        </w:trPr>
        <w:tc>
          <w:tcPr>
            <w:tcW w:w="1077" w:type="dxa"/>
          </w:tcPr>
          <w:p w14:paraId="6D050693" w14:textId="77777777" w:rsidR="00B758B7" w:rsidRPr="00F4410B" w:rsidRDefault="00B758B7" w:rsidP="00B10CB3">
            <w:pPr>
              <w:spacing w:before="40"/>
              <w:ind w:right="-284"/>
              <w:jc w:val="left"/>
              <w:rPr>
                <w:color w:val="000000"/>
                <w:spacing w:val="-6"/>
                <w:sz w:val="14"/>
                <w:szCs w:val="14"/>
                <w:rtl/>
                <w:lang w:eastAsia="he-IL"/>
              </w:rPr>
            </w:pPr>
          </w:p>
        </w:tc>
        <w:tc>
          <w:tcPr>
            <w:tcW w:w="389" w:type="dxa"/>
          </w:tcPr>
          <w:p w14:paraId="74DA365A" w14:textId="77777777" w:rsidR="00B758B7" w:rsidRPr="00F4410B" w:rsidRDefault="00B758B7" w:rsidP="00B10CB3">
            <w:pPr>
              <w:spacing w:line="241" w:lineRule="auto"/>
              <w:ind w:left="432" w:hanging="144"/>
              <w:jc w:val="left"/>
              <w:rPr>
                <w:color w:val="000000"/>
                <w:rtl/>
                <w:lang w:eastAsia="he-IL"/>
              </w:rPr>
            </w:pPr>
          </w:p>
        </w:tc>
        <w:tc>
          <w:tcPr>
            <w:tcW w:w="3593" w:type="dxa"/>
            <w:vAlign w:val="bottom"/>
          </w:tcPr>
          <w:p w14:paraId="72640BC2" w14:textId="77777777" w:rsidR="00B758B7" w:rsidRPr="00F4410B" w:rsidRDefault="00B758B7" w:rsidP="00B10CB3">
            <w:pPr>
              <w:spacing w:line="241" w:lineRule="auto"/>
              <w:ind w:left="144" w:hanging="144"/>
              <w:jc w:val="left"/>
              <w:rPr>
                <w:color w:val="000000"/>
                <w:sz w:val="18"/>
                <w:szCs w:val="18"/>
                <w:rtl/>
                <w:lang w:eastAsia="he-IL"/>
              </w:rPr>
            </w:pPr>
            <w:r w:rsidRPr="009E7447">
              <w:rPr>
                <w:rFonts w:hint="cs"/>
                <w:color w:val="000000"/>
                <w:sz w:val="18"/>
                <w:szCs w:val="18"/>
                <w:rtl/>
                <w:lang w:eastAsia="he-IL"/>
              </w:rPr>
              <w:t>בגין חובות שנבדקו על בסיס קבוצתי</w:t>
            </w:r>
          </w:p>
        </w:tc>
        <w:tc>
          <w:tcPr>
            <w:tcW w:w="744" w:type="dxa"/>
            <w:vAlign w:val="bottom"/>
          </w:tcPr>
          <w:p w14:paraId="0324156E" w14:textId="77777777" w:rsidR="00B758B7" w:rsidRPr="00F4410B" w:rsidRDefault="00B758B7" w:rsidP="00B10CB3">
            <w:pPr>
              <w:pBdr>
                <w:bottom w:val="single" w:sz="4" w:space="1" w:color="auto"/>
              </w:pBdr>
              <w:spacing w:line="241" w:lineRule="auto"/>
              <w:rPr>
                <w:sz w:val="18"/>
                <w:szCs w:val="18"/>
                <w:rtl/>
              </w:rPr>
            </w:pPr>
            <w:r w:rsidRPr="009E7447">
              <w:rPr>
                <w:rFonts w:hint="cs"/>
                <w:sz w:val="18"/>
                <w:szCs w:val="18"/>
                <w:rtl/>
              </w:rPr>
              <w:t xml:space="preserve"> 0</w:t>
            </w:r>
          </w:p>
        </w:tc>
        <w:tc>
          <w:tcPr>
            <w:tcW w:w="753" w:type="dxa"/>
            <w:vAlign w:val="bottom"/>
          </w:tcPr>
          <w:p w14:paraId="1A56CB7E" w14:textId="77777777" w:rsidR="00B758B7" w:rsidRPr="00F4410B" w:rsidRDefault="00B758B7" w:rsidP="00B10CB3">
            <w:pPr>
              <w:pBdr>
                <w:bottom w:val="single" w:sz="4" w:space="1" w:color="auto"/>
              </w:pBdr>
              <w:spacing w:line="241" w:lineRule="auto"/>
              <w:rPr>
                <w:sz w:val="18"/>
                <w:szCs w:val="18"/>
                <w:rtl/>
              </w:rPr>
            </w:pPr>
            <w:r w:rsidRPr="009E7447">
              <w:rPr>
                <w:rFonts w:hint="cs"/>
                <w:sz w:val="18"/>
                <w:szCs w:val="18"/>
                <w:rtl/>
              </w:rPr>
              <w:t xml:space="preserve"> 0</w:t>
            </w:r>
          </w:p>
        </w:tc>
        <w:tc>
          <w:tcPr>
            <w:tcW w:w="869" w:type="dxa"/>
            <w:vAlign w:val="bottom"/>
          </w:tcPr>
          <w:p w14:paraId="0EC972E7" w14:textId="77777777" w:rsidR="00B758B7" w:rsidRPr="00F4410B" w:rsidRDefault="00B758B7" w:rsidP="00B10CB3">
            <w:pPr>
              <w:pBdr>
                <w:bottom w:val="single" w:sz="4" w:space="1" w:color="auto"/>
              </w:pBdr>
              <w:spacing w:line="241" w:lineRule="auto"/>
              <w:rPr>
                <w:sz w:val="18"/>
                <w:szCs w:val="18"/>
                <w:rtl/>
              </w:rPr>
            </w:pPr>
            <w:r w:rsidRPr="009E7447">
              <w:rPr>
                <w:rFonts w:hint="cs"/>
                <w:sz w:val="18"/>
                <w:szCs w:val="18"/>
                <w:rtl/>
              </w:rPr>
              <w:t xml:space="preserve"> 0</w:t>
            </w:r>
          </w:p>
        </w:tc>
        <w:tc>
          <w:tcPr>
            <w:tcW w:w="727" w:type="dxa"/>
            <w:vAlign w:val="bottom"/>
          </w:tcPr>
          <w:p w14:paraId="6149AF07" w14:textId="77777777" w:rsidR="00B758B7" w:rsidRPr="00F4410B" w:rsidRDefault="00B758B7" w:rsidP="00B10CB3">
            <w:pPr>
              <w:pBdr>
                <w:bottom w:val="single" w:sz="4" w:space="1" w:color="auto"/>
              </w:pBdr>
              <w:spacing w:line="241" w:lineRule="auto"/>
              <w:rPr>
                <w:sz w:val="18"/>
                <w:szCs w:val="18"/>
                <w:rtl/>
              </w:rPr>
            </w:pPr>
            <w:r w:rsidRPr="009E7447">
              <w:rPr>
                <w:rFonts w:hint="cs"/>
                <w:sz w:val="18"/>
                <w:szCs w:val="18"/>
                <w:rtl/>
              </w:rPr>
              <w:t xml:space="preserve"> 0</w:t>
            </w:r>
          </w:p>
        </w:tc>
        <w:tc>
          <w:tcPr>
            <w:tcW w:w="938" w:type="dxa"/>
            <w:vAlign w:val="bottom"/>
          </w:tcPr>
          <w:p w14:paraId="62CC98B3" w14:textId="77777777" w:rsidR="00B758B7" w:rsidRDefault="00B758B7" w:rsidP="00B10CB3">
            <w:pPr>
              <w:pBdr>
                <w:bottom w:val="single" w:sz="4" w:space="1" w:color="auto"/>
              </w:pBdr>
              <w:spacing w:line="241" w:lineRule="auto"/>
              <w:rPr>
                <w:sz w:val="18"/>
                <w:szCs w:val="18"/>
                <w:rtl/>
              </w:rPr>
            </w:pPr>
            <w:r w:rsidRPr="009E7447">
              <w:rPr>
                <w:rFonts w:hint="cs"/>
                <w:sz w:val="18"/>
                <w:szCs w:val="18"/>
                <w:rtl/>
              </w:rPr>
              <w:t xml:space="preserve"> 0</w:t>
            </w:r>
          </w:p>
        </w:tc>
        <w:tc>
          <w:tcPr>
            <w:tcW w:w="519" w:type="dxa"/>
            <w:vAlign w:val="bottom"/>
          </w:tcPr>
          <w:p w14:paraId="5E0B0037" w14:textId="77777777" w:rsidR="00B758B7" w:rsidRDefault="00B758B7" w:rsidP="00B10CB3">
            <w:pPr>
              <w:pBdr>
                <w:bottom w:val="single" w:sz="4" w:space="1" w:color="auto"/>
              </w:pBdr>
              <w:spacing w:line="241" w:lineRule="auto"/>
              <w:rPr>
                <w:sz w:val="18"/>
                <w:szCs w:val="18"/>
                <w:rtl/>
              </w:rPr>
            </w:pPr>
            <w:r w:rsidRPr="009E7447">
              <w:rPr>
                <w:rFonts w:hint="cs"/>
                <w:sz w:val="18"/>
                <w:szCs w:val="18"/>
                <w:rtl/>
              </w:rPr>
              <w:t xml:space="preserve"> 0</w:t>
            </w:r>
          </w:p>
        </w:tc>
      </w:tr>
      <w:tr w:rsidR="00B758B7" w:rsidRPr="00F4410B" w14:paraId="0C5F4547" w14:textId="77777777" w:rsidTr="00EC46DF">
        <w:trPr>
          <w:trHeight w:val="245"/>
        </w:trPr>
        <w:tc>
          <w:tcPr>
            <w:tcW w:w="1077" w:type="dxa"/>
          </w:tcPr>
          <w:p w14:paraId="09611F46" w14:textId="77777777" w:rsidR="00B758B7" w:rsidRPr="00F4410B" w:rsidRDefault="00B758B7" w:rsidP="00B10CB3">
            <w:pPr>
              <w:spacing w:line="241" w:lineRule="auto"/>
              <w:ind w:left="432" w:right="-284" w:hanging="144"/>
              <w:jc w:val="left"/>
              <w:rPr>
                <w:color w:val="000000"/>
                <w:spacing w:val="-6"/>
                <w:rtl/>
                <w:lang w:eastAsia="he-IL"/>
              </w:rPr>
            </w:pPr>
          </w:p>
        </w:tc>
        <w:tc>
          <w:tcPr>
            <w:tcW w:w="389" w:type="dxa"/>
          </w:tcPr>
          <w:p w14:paraId="6DF97DF1" w14:textId="77777777" w:rsidR="00B758B7" w:rsidRPr="00F4410B" w:rsidRDefault="00B758B7" w:rsidP="00B10CB3">
            <w:pPr>
              <w:spacing w:line="241" w:lineRule="auto"/>
              <w:ind w:left="432" w:hanging="144"/>
              <w:jc w:val="left"/>
              <w:rPr>
                <w:color w:val="000000"/>
                <w:rtl/>
                <w:lang w:eastAsia="he-IL"/>
              </w:rPr>
            </w:pPr>
          </w:p>
        </w:tc>
        <w:tc>
          <w:tcPr>
            <w:tcW w:w="3593" w:type="dxa"/>
            <w:vAlign w:val="bottom"/>
          </w:tcPr>
          <w:p w14:paraId="17618BA0" w14:textId="77777777" w:rsidR="00B758B7" w:rsidRPr="00F4410B" w:rsidRDefault="00B758B7" w:rsidP="00B10CB3">
            <w:pPr>
              <w:spacing w:line="241" w:lineRule="auto"/>
              <w:ind w:left="144" w:hanging="144"/>
              <w:jc w:val="left"/>
              <w:rPr>
                <w:color w:val="000000"/>
                <w:sz w:val="18"/>
                <w:szCs w:val="18"/>
                <w:rtl/>
                <w:lang w:eastAsia="he-IL"/>
              </w:rPr>
            </w:pPr>
            <w:r>
              <w:rPr>
                <w:rFonts w:hint="cs"/>
                <w:b/>
                <w:bCs/>
                <w:color w:val="000000"/>
                <w:sz w:val="18"/>
                <w:szCs w:val="18"/>
                <w:rtl/>
                <w:lang w:eastAsia="he-IL"/>
              </w:rPr>
              <w:t>סך הכל</w:t>
            </w:r>
            <w:r w:rsidRPr="009E7447">
              <w:rPr>
                <w:rFonts w:hint="cs"/>
                <w:b/>
                <w:bCs/>
                <w:color w:val="000000"/>
                <w:sz w:val="18"/>
                <w:szCs w:val="18"/>
                <w:rtl/>
                <w:lang w:eastAsia="he-IL"/>
              </w:rPr>
              <w:t>*</w:t>
            </w:r>
          </w:p>
        </w:tc>
        <w:tc>
          <w:tcPr>
            <w:tcW w:w="744" w:type="dxa"/>
            <w:vAlign w:val="bottom"/>
          </w:tcPr>
          <w:p w14:paraId="14364362" w14:textId="77777777" w:rsidR="00B758B7" w:rsidRPr="00F4410B" w:rsidRDefault="00B758B7" w:rsidP="00B10CB3">
            <w:pPr>
              <w:spacing w:line="241" w:lineRule="auto"/>
              <w:rPr>
                <w:b/>
                <w:bCs/>
                <w:sz w:val="18"/>
                <w:szCs w:val="18"/>
                <w:rtl/>
              </w:rPr>
            </w:pPr>
            <w:r w:rsidRPr="009E7447">
              <w:rPr>
                <w:b/>
                <w:bCs/>
                <w:sz w:val="18"/>
                <w:szCs w:val="18"/>
                <w:rtl/>
              </w:rPr>
              <w:t xml:space="preserve"> 0</w:t>
            </w:r>
          </w:p>
        </w:tc>
        <w:tc>
          <w:tcPr>
            <w:tcW w:w="753" w:type="dxa"/>
            <w:vAlign w:val="bottom"/>
          </w:tcPr>
          <w:p w14:paraId="00C3BA4E" w14:textId="77777777" w:rsidR="00B758B7" w:rsidRPr="00F4410B" w:rsidRDefault="00B758B7" w:rsidP="00B10CB3">
            <w:pPr>
              <w:spacing w:line="241" w:lineRule="auto"/>
              <w:rPr>
                <w:b/>
                <w:bCs/>
                <w:sz w:val="18"/>
                <w:szCs w:val="18"/>
                <w:rtl/>
              </w:rPr>
            </w:pPr>
            <w:r w:rsidRPr="009E7447">
              <w:rPr>
                <w:b/>
                <w:bCs/>
                <w:sz w:val="18"/>
                <w:szCs w:val="18"/>
                <w:rtl/>
              </w:rPr>
              <w:t xml:space="preserve"> 0</w:t>
            </w:r>
          </w:p>
        </w:tc>
        <w:tc>
          <w:tcPr>
            <w:tcW w:w="869" w:type="dxa"/>
            <w:vAlign w:val="bottom"/>
          </w:tcPr>
          <w:p w14:paraId="6FCF028C" w14:textId="77777777" w:rsidR="00B758B7" w:rsidRPr="00F4410B" w:rsidRDefault="00B758B7" w:rsidP="00B10CB3">
            <w:pPr>
              <w:spacing w:line="241" w:lineRule="auto"/>
              <w:rPr>
                <w:b/>
                <w:bCs/>
                <w:sz w:val="18"/>
                <w:szCs w:val="18"/>
                <w:rtl/>
              </w:rPr>
            </w:pPr>
            <w:r w:rsidRPr="009E7447">
              <w:rPr>
                <w:b/>
                <w:bCs/>
                <w:sz w:val="18"/>
                <w:szCs w:val="18"/>
                <w:rtl/>
              </w:rPr>
              <w:t xml:space="preserve"> 0</w:t>
            </w:r>
          </w:p>
        </w:tc>
        <w:tc>
          <w:tcPr>
            <w:tcW w:w="727" w:type="dxa"/>
            <w:vAlign w:val="bottom"/>
          </w:tcPr>
          <w:p w14:paraId="73A1A83F" w14:textId="77777777" w:rsidR="00B758B7" w:rsidRPr="00F4410B" w:rsidRDefault="00B758B7" w:rsidP="00B10CB3">
            <w:pPr>
              <w:spacing w:line="241" w:lineRule="auto"/>
              <w:rPr>
                <w:b/>
                <w:bCs/>
                <w:sz w:val="18"/>
                <w:szCs w:val="18"/>
                <w:rtl/>
              </w:rPr>
            </w:pPr>
            <w:r w:rsidRPr="009E7447">
              <w:rPr>
                <w:b/>
                <w:bCs/>
                <w:sz w:val="18"/>
                <w:szCs w:val="18"/>
                <w:rtl/>
              </w:rPr>
              <w:t xml:space="preserve"> 0</w:t>
            </w:r>
          </w:p>
        </w:tc>
        <w:tc>
          <w:tcPr>
            <w:tcW w:w="938" w:type="dxa"/>
            <w:vAlign w:val="bottom"/>
          </w:tcPr>
          <w:p w14:paraId="1BC07A24" w14:textId="77777777" w:rsidR="00B758B7" w:rsidRDefault="00B758B7" w:rsidP="00B10CB3">
            <w:pPr>
              <w:spacing w:line="241" w:lineRule="auto"/>
              <w:rPr>
                <w:b/>
                <w:bCs/>
                <w:sz w:val="18"/>
                <w:szCs w:val="18"/>
                <w:rtl/>
              </w:rPr>
            </w:pPr>
            <w:r w:rsidRPr="009E7447">
              <w:rPr>
                <w:b/>
                <w:bCs/>
                <w:sz w:val="18"/>
                <w:szCs w:val="18"/>
                <w:rtl/>
              </w:rPr>
              <w:t xml:space="preserve"> 0</w:t>
            </w:r>
          </w:p>
        </w:tc>
        <w:tc>
          <w:tcPr>
            <w:tcW w:w="519" w:type="dxa"/>
            <w:vAlign w:val="bottom"/>
          </w:tcPr>
          <w:p w14:paraId="421A774B" w14:textId="77777777" w:rsidR="00B758B7" w:rsidRDefault="00B758B7" w:rsidP="00B10CB3">
            <w:pPr>
              <w:spacing w:line="241" w:lineRule="auto"/>
              <w:rPr>
                <w:b/>
                <w:bCs/>
                <w:sz w:val="18"/>
                <w:szCs w:val="18"/>
                <w:rtl/>
              </w:rPr>
            </w:pPr>
            <w:r w:rsidRPr="009E7447">
              <w:rPr>
                <w:b/>
                <w:bCs/>
                <w:sz w:val="18"/>
                <w:szCs w:val="18"/>
                <w:rtl/>
              </w:rPr>
              <w:t xml:space="preserve"> 0</w:t>
            </w:r>
          </w:p>
        </w:tc>
      </w:tr>
      <w:tr w:rsidR="00B758B7" w:rsidRPr="00F4410B" w14:paraId="2D7F23F7" w14:textId="77777777" w:rsidTr="00EC46DF">
        <w:trPr>
          <w:trHeight w:val="245"/>
        </w:trPr>
        <w:tc>
          <w:tcPr>
            <w:tcW w:w="1077" w:type="dxa"/>
          </w:tcPr>
          <w:p w14:paraId="3DF15DC7" w14:textId="77777777" w:rsidR="00B758B7" w:rsidRPr="00F4410B" w:rsidRDefault="00B758B7" w:rsidP="00B10CB3">
            <w:pPr>
              <w:spacing w:line="241" w:lineRule="auto"/>
              <w:ind w:left="432" w:right="-284" w:hanging="144"/>
              <w:jc w:val="left"/>
              <w:rPr>
                <w:color w:val="000000"/>
                <w:spacing w:val="-6"/>
                <w:rtl/>
                <w:lang w:eastAsia="he-IL"/>
              </w:rPr>
            </w:pPr>
          </w:p>
        </w:tc>
        <w:tc>
          <w:tcPr>
            <w:tcW w:w="389" w:type="dxa"/>
          </w:tcPr>
          <w:p w14:paraId="6FA782D7" w14:textId="77777777" w:rsidR="00B758B7" w:rsidRPr="00F4410B" w:rsidRDefault="00B758B7" w:rsidP="00B10CB3">
            <w:pPr>
              <w:spacing w:line="241" w:lineRule="auto"/>
              <w:ind w:left="432" w:hanging="144"/>
              <w:jc w:val="left"/>
              <w:rPr>
                <w:color w:val="000000"/>
                <w:rtl/>
                <w:lang w:eastAsia="he-IL"/>
              </w:rPr>
            </w:pPr>
          </w:p>
        </w:tc>
        <w:tc>
          <w:tcPr>
            <w:tcW w:w="3593" w:type="dxa"/>
            <w:vAlign w:val="bottom"/>
          </w:tcPr>
          <w:p w14:paraId="0853735C" w14:textId="77777777" w:rsidR="00B758B7" w:rsidRPr="00F4410B" w:rsidRDefault="00B758B7" w:rsidP="00512110">
            <w:pPr>
              <w:spacing w:before="120"/>
              <w:ind w:left="142" w:hanging="142"/>
              <w:jc w:val="left"/>
              <w:rPr>
                <w:b/>
                <w:bCs/>
                <w:color w:val="000000"/>
                <w:sz w:val="18"/>
                <w:szCs w:val="18"/>
                <w:rtl/>
                <w:lang w:eastAsia="he-IL"/>
              </w:rPr>
            </w:pPr>
            <w:r w:rsidRPr="00797429">
              <w:rPr>
                <w:rFonts w:hint="cs"/>
                <w:color w:val="000000"/>
                <w:sz w:val="18"/>
                <w:szCs w:val="18"/>
                <w:rtl/>
                <w:lang w:eastAsia="he-IL"/>
              </w:rPr>
              <w:t>*</w:t>
            </w:r>
            <w:r>
              <w:rPr>
                <w:rFonts w:hint="cs"/>
                <w:sz w:val="18"/>
                <w:szCs w:val="18"/>
                <w:rtl/>
              </w:rPr>
              <w:t xml:space="preserve"> </w:t>
            </w:r>
            <w:r w:rsidRPr="00797429">
              <w:rPr>
                <w:rFonts w:hint="cs"/>
                <w:sz w:val="18"/>
                <w:szCs w:val="18"/>
                <w:rtl/>
              </w:rPr>
              <w:t xml:space="preserve">מזה: </w:t>
            </w:r>
            <w:r>
              <w:rPr>
                <w:rFonts w:hint="cs"/>
                <w:sz w:val="18"/>
                <w:szCs w:val="18"/>
                <w:rtl/>
              </w:rPr>
              <w:t xml:space="preserve"> </w:t>
            </w:r>
            <w:r w:rsidRPr="00797429">
              <w:rPr>
                <w:rFonts w:hint="cs"/>
                <w:sz w:val="18"/>
                <w:szCs w:val="18"/>
                <w:rtl/>
              </w:rPr>
              <w:t>בגין חובות לא צוברים</w:t>
            </w:r>
          </w:p>
        </w:tc>
        <w:tc>
          <w:tcPr>
            <w:tcW w:w="744" w:type="dxa"/>
            <w:vAlign w:val="bottom"/>
          </w:tcPr>
          <w:p w14:paraId="047D50A4" w14:textId="77777777" w:rsidR="00B758B7" w:rsidRPr="00F4410B" w:rsidRDefault="00B758B7" w:rsidP="00B10CB3">
            <w:pPr>
              <w:spacing w:line="241" w:lineRule="auto"/>
              <w:rPr>
                <w:b/>
                <w:bCs/>
                <w:sz w:val="18"/>
                <w:szCs w:val="18"/>
                <w:rtl/>
              </w:rPr>
            </w:pPr>
            <w:r w:rsidRPr="009E7447">
              <w:rPr>
                <w:rFonts w:hint="cs"/>
                <w:sz w:val="18"/>
                <w:szCs w:val="18"/>
                <w:rtl/>
              </w:rPr>
              <w:t xml:space="preserve"> 0</w:t>
            </w:r>
          </w:p>
        </w:tc>
        <w:tc>
          <w:tcPr>
            <w:tcW w:w="753" w:type="dxa"/>
            <w:vAlign w:val="bottom"/>
          </w:tcPr>
          <w:p w14:paraId="568B4A3D" w14:textId="77777777" w:rsidR="00B758B7" w:rsidRPr="00F4410B" w:rsidRDefault="00B758B7" w:rsidP="00B10CB3">
            <w:pPr>
              <w:spacing w:line="241" w:lineRule="auto"/>
              <w:rPr>
                <w:b/>
                <w:bCs/>
                <w:sz w:val="18"/>
                <w:szCs w:val="18"/>
                <w:rtl/>
              </w:rPr>
            </w:pPr>
            <w:r w:rsidRPr="009E7447">
              <w:rPr>
                <w:rFonts w:hint="cs"/>
                <w:sz w:val="18"/>
                <w:szCs w:val="18"/>
                <w:rtl/>
              </w:rPr>
              <w:t xml:space="preserve"> 0</w:t>
            </w:r>
          </w:p>
        </w:tc>
        <w:tc>
          <w:tcPr>
            <w:tcW w:w="869" w:type="dxa"/>
            <w:vAlign w:val="bottom"/>
          </w:tcPr>
          <w:p w14:paraId="38ABFBE0" w14:textId="77777777" w:rsidR="00B758B7" w:rsidRPr="00F4410B" w:rsidRDefault="00B758B7" w:rsidP="00B10CB3">
            <w:pPr>
              <w:spacing w:line="241" w:lineRule="auto"/>
              <w:rPr>
                <w:b/>
                <w:bCs/>
                <w:sz w:val="18"/>
                <w:szCs w:val="18"/>
                <w:rtl/>
              </w:rPr>
            </w:pPr>
            <w:r w:rsidRPr="009E7447">
              <w:rPr>
                <w:rFonts w:hint="cs"/>
                <w:sz w:val="18"/>
                <w:szCs w:val="18"/>
                <w:rtl/>
              </w:rPr>
              <w:t xml:space="preserve"> 0</w:t>
            </w:r>
          </w:p>
        </w:tc>
        <w:tc>
          <w:tcPr>
            <w:tcW w:w="727" w:type="dxa"/>
            <w:vAlign w:val="bottom"/>
          </w:tcPr>
          <w:p w14:paraId="38EA8190" w14:textId="77777777" w:rsidR="00B758B7" w:rsidRPr="00F4410B" w:rsidRDefault="00B758B7" w:rsidP="00B10CB3">
            <w:pPr>
              <w:spacing w:line="241" w:lineRule="auto"/>
              <w:rPr>
                <w:b/>
                <w:bCs/>
                <w:sz w:val="18"/>
                <w:szCs w:val="18"/>
                <w:rtl/>
              </w:rPr>
            </w:pPr>
            <w:r w:rsidRPr="009E7447">
              <w:rPr>
                <w:rFonts w:hint="cs"/>
                <w:sz w:val="18"/>
                <w:szCs w:val="18"/>
                <w:rtl/>
              </w:rPr>
              <w:t xml:space="preserve"> 0</w:t>
            </w:r>
          </w:p>
        </w:tc>
        <w:tc>
          <w:tcPr>
            <w:tcW w:w="938" w:type="dxa"/>
            <w:vAlign w:val="bottom"/>
          </w:tcPr>
          <w:p w14:paraId="17794C34" w14:textId="77777777" w:rsidR="00B758B7" w:rsidRDefault="00B758B7" w:rsidP="00B10CB3">
            <w:pPr>
              <w:spacing w:line="241" w:lineRule="auto"/>
              <w:rPr>
                <w:b/>
                <w:bCs/>
                <w:sz w:val="18"/>
                <w:szCs w:val="18"/>
                <w:rtl/>
              </w:rPr>
            </w:pPr>
            <w:r w:rsidRPr="009E7447">
              <w:rPr>
                <w:rFonts w:hint="cs"/>
                <w:sz w:val="18"/>
                <w:szCs w:val="18"/>
                <w:rtl/>
              </w:rPr>
              <w:t xml:space="preserve"> 0</w:t>
            </w:r>
          </w:p>
        </w:tc>
        <w:tc>
          <w:tcPr>
            <w:tcW w:w="519" w:type="dxa"/>
            <w:vAlign w:val="bottom"/>
          </w:tcPr>
          <w:p w14:paraId="236D2708" w14:textId="77777777" w:rsidR="00B758B7" w:rsidRDefault="00B758B7" w:rsidP="00B10CB3">
            <w:pPr>
              <w:spacing w:line="241" w:lineRule="auto"/>
              <w:rPr>
                <w:b/>
                <w:bCs/>
                <w:sz w:val="18"/>
                <w:szCs w:val="18"/>
                <w:rtl/>
              </w:rPr>
            </w:pPr>
            <w:r w:rsidRPr="009E7447">
              <w:rPr>
                <w:rFonts w:hint="cs"/>
                <w:sz w:val="18"/>
                <w:szCs w:val="18"/>
                <w:rtl/>
              </w:rPr>
              <w:t xml:space="preserve"> 0</w:t>
            </w:r>
          </w:p>
        </w:tc>
      </w:tr>
      <w:tr w:rsidR="00B758B7" w:rsidRPr="00F4410B" w14:paraId="46D07794" w14:textId="77777777" w:rsidTr="00EC46DF">
        <w:trPr>
          <w:trHeight w:val="245"/>
        </w:trPr>
        <w:tc>
          <w:tcPr>
            <w:tcW w:w="1077" w:type="dxa"/>
          </w:tcPr>
          <w:p w14:paraId="01938E34" w14:textId="77777777" w:rsidR="00B758B7" w:rsidRPr="00F4410B" w:rsidRDefault="00B758B7" w:rsidP="00B10CB3">
            <w:pPr>
              <w:spacing w:line="241" w:lineRule="auto"/>
              <w:ind w:left="432" w:right="-284" w:hanging="144"/>
              <w:jc w:val="left"/>
              <w:rPr>
                <w:color w:val="000000"/>
                <w:spacing w:val="-6"/>
                <w:rtl/>
                <w:lang w:eastAsia="he-IL"/>
              </w:rPr>
            </w:pPr>
          </w:p>
        </w:tc>
        <w:tc>
          <w:tcPr>
            <w:tcW w:w="389" w:type="dxa"/>
          </w:tcPr>
          <w:p w14:paraId="14C321B5" w14:textId="77777777" w:rsidR="00B758B7" w:rsidRPr="00F4410B" w:rsidRDefault="00B758B7" w:rsidP="00B10CB3">
            <w:pPr>
              <w:spacing w:line="241" w:lineRule="auto"/>
              <w:ind w:left="432" w:hanging="144"/>
              <w:jc w:val="left"/>
              <w:rPr>
                <w:color w:val="000000"/>
                <w:rtl/>
                <w:lang w:eastAsia="he-IL"/>
              </w:rPr>
            </w:pPr>
          </w:p>
        </w:tc>
        <w:tc>
          <w:tcPr>
            <w:tcW w:w="3593" w:type="dxa"/>
            <w:vAlign w:val="bottom"/>
          </w:tcPr>
          <w:p w14:paraId="1CF0D4CE" w14:textId="77777777" w:rsidR="00B758B7" w:rsidRPr="00F4410B" w:rsidRDefault="00B758B7" w:rsidP="00B10CB3">
            <w:pPr>
              <w:spacing w:line="241" w:lineRule="auto"/>
              <w:ind w:left="572"/>
              <w:jc w:val="left"/>
              <w:rPr>
                <w:color w:val="000000"/>
                <w:sz w:val="18"/>
                <w:szCs w:val="18"/>
                <w:rtl/>
                <w:lang w:eastAsia="he-IL"/>
              </w:rPr>
            </w:pPr>
            <w:r w:rsidRPr="009E7447">
              <w:rPr>
                <w:rFonts w:hint="cs"/>
                <w:color w:val="000000"/>
                <w:sz w:val="18"/>
                <w:szCs w:val="18"/>
                <w:rtl/>
                <w:lang w:eastAsia="he-IL"/>
              </w:rPr>
              <w:t>ב</w:t>
            </w:r>
            <w:r>
              <w:rPr>
                <w:rFonts w:hint="cs"/>
                <w:color w:val="000000"/>
                <w:sz w:val="18"/>
                <w:szCs w:val="18"/>
                <w:rtl/>
                <w:lang w:eastAsia="he-IL"/>
              </w:rPr>
              <w:t>ג</w:t>
            </w:r>
            <w:r w:rsidRPr="009E7447">
              <w:rPr>
                <w:rFonts w:hint="cs"/>
                <w:color w:val="000000"/>
                <w:sz w:val="18"/>
                <w:szCs w:val="18"/>
                <w:rtl/>
                <w:lang w:eastAsia="he-IL"/>
              </w:rPr>
              <w:t>ין חובות בעייתיים אחרים</w:t>
            </w:r>
          </w:p>
        </w:tc>
        <w:tc>
          <w:tcPr>
            <w:tcW w:w="744" w:type="dxa"/>
            <w:vAlign w:val="bottom"/>
          </w:tcPr>
          <w:p w14:paraId="5E209CB7" w14:textId="77777777" w:rsidR="00B758B7" w:rsidRPr="00F4410B" w:rsidRDefault="00B758B7" w:rsidP="00B10CB3">
            <w:pPr>
              <w:spacing w:line="241" w:lineRule="auto"/>
              <w:rPr>
                <w:sz w:val="18"/>
                <w:szCs w:val="18"/>
                <w:rtl/>
              </w:rPr>
            </w:pPr>
            <w:r w:rsidRPr="009E7447">
              <w:rPr>
                <w:rFonts w:hint="cs"/>
                <w:sz w:val="18"/>
                <w:szCs w:val="18"/>
                <w:rtl/>
              </w:rPr>
              <w:t xml:space="preserve"> 0</w:t>
            </w:r>
          </w:p>
        </w:tc>
        <w:tc>
          <w:tcPr>
            <w:tcW w:w="753" w:type="dxa"/>
            <w:vAlign w:val="bottom"/>
          </w:tcPr>
          <w:p w14:paraId="242911AE" w14:textId="77777777" w:rsidR="00B758B7" w:rsidRPr="00F4410B" w:rsidRDefault="00B758B7" w:rsidP="00B10CB3">
            <w:pPr>
              <w:spacing w:line="241" w:lineRule="auto"/>
              <w:rPr>
                <w:sz w:val="18"/>
                <w:szCs w:val="18"/>
                <w:rtl/>
              </w:rPr>
            </w:pPr>
            <w:r w:rsidRPr="009E7447">
              <w:rPr>
                <w:rFonts w:hint="cs"/>
                <w:sz w:val="18"/>
                <w:szCs w:val="18"/>
                <w:rtl/>
              </w:rPr>
              <w:t xml:space="preserve"> 0</w:t>
            </w:r>
          </w:p>
        </w:tc>
        <w:tc>
          <w:tcPr>
            <w:tcW w:w="869" w:type="dxa"/>
            <w:vAlign w:val="bottom"/>
          </w:tcPr>
          <w:p w14:paraId="5697FF4D" w14:textId="77777777" w:rsidR="00B758B7" w:rsidRPr="00F4410B" w:rsidRDefault="00B758B7" w:rsidP="00B10CB3">
            <w:pPr>
              <w:spacing w:line="241" w:lineRule="auto"/>
              <w:rPr>
                <w:sz w:val="18"/>
                <w:szCs w:val="18"/>
                <w:rtl/>
              </w:rPr>
            </w:pPr>
            <w:r w:rsidRPr="009E7447">
              <w:rPr>
                <w:rFonts w:hint="cs"/>
                <w:sz w:val="18"/>
                <w:szCs w:val="18"/>
                <w:rtl/>
              </w:rPr>
              <w:t xml:space="preserve"> 0</w:t>
            </w:r>
          </w:p>
        </w:tc>
        <w:tc>
          <w:tcPr>
            <w:tcW w:w="727" w:type="dxa"/>
            <w:vAlign w:val="bottom"/>
          </w:tcPr>
          <w:p w14:paraId="202A0491" w14:textId="77777777" w:rsidR="00B758B7" w:rsidRPr="00F4410B" w:rsidRDefault="00B758B7" w:rsidP="00B10CB3">
            <w:pPr>
              <w:spacing w:line="241" w:lineRule="auto"/>
              <w:rPr>
                <w:sz w:val="18"/>
                <w:szCs w:val="18"/>
                <w:rtl/>
              </w:rPr>
            </w:pPr>
            <w:r w:rsidRPr="009E7447">
              <w:rPr>
                <w:rFonts w:hint="cs"/>
                <w:sz w:val="18"/>
                <w:szCs w:val="18"/>
                <w:rtl/>
              </w:rPr>
              <w:t xml:space="preserve"> 0</w:t>
            </w:r>
          </w:p>
        </w:tc>
        <w:tc>
          <w:tcPr>
            <w:tcW w:w="938" w:type="dxa"/>
            <w:vAlign w:val="bottom"/>
          </w:tcPr>
          <w:p w14:paraId="06FDEF1E" w14:textId="77777777" w:rsidR="00B758B7" w:rsidRDefault="00B758B7" w:rsidP="00B10CB3">
            <w:pPr>
              <w:spacing w:line="241" w:lineRule="auto"/>
              <w:rPr>
                <w:sz w:val="18"/>
                <w:szCs w:val="18"/>
                <w:rtl/>
              </w:rPr>
            </w:pPr>
            <w:r w:rsidRPr="009E7447">
              <w:rPr>
                <w:rFonts w:hint="cs"/>
                <w:sz w:val="18"/>
                <w:szCs w:val="18"/>
                <w:rtl/>
              </w:rPr>
              <w:t xml:space="preserve"> 0</w:t>
            </w:r>
          </w:p>
        </w:tc>
        <w:tc>
          <w:tcPr>
            <w:tcW w:w="519" w:type="dxa"/>
            <w:vAlign w:val="bottom"/>
          </w:tcPr>
          <w:p w14:paraId="56CB0D77" w14:textId="77777777" w:rsidR="00B758B7" w:rsidRDefault="00B758B7" w:rsidP="00B10CB3">
            <w:pPr>
              <w:spacing w:line="241" w:lineRule="auto"/>
              <w:rPr>
                <w:sz w:val="18"/>
                <w:szCs w:val="18"/>
                <w:rtl/>
              </w:rPr>
            </w:pPr>
            <w:r w:rsidRPr="009E7447">
              <w:rPr>
                <w:rFonts w:hint="cs"/>
                <w:sz w:val="18"/>
                <w:szCs w:val="18"/>
                <w:rtl/>
              </w:rPr>
              <w:t xml:space="preserve"> 0</w:t>
            </w:r>
          </w:p>
        </w:tc>
      </w:tr>
    </w:tbl>
    <w:p w14:paraId="43AB262B" w14:textId="77777777" w:rsidR="00E67526" w:rsidRDefault="00E67526" w:rsidP="00F4410B">
      <w:pPr>
        <w:ind w:left="1584"/>
        <w:rPr>
          <w:b/>
          <w:bCs/>
          <w:sz w:val="22"/>
          <w:szCs w:val="22"/>
          <w:rtl/>
        </w:rPr>
      </w:pPr>
    </w:p>
    <w:p w14:paraId="17E428E6" w14:textId="77777777" w:rsidR="00D865B4" w:rsidRDefault="00D865B4" w:rsidP="00F4410B">
      <w:pPr>
        <w:ind w:left="1584"/>
        <w:rPr>
          <w:b/>
          <w:bCs/>
          <w:sz w:val="22"/>
          <w:szCs w:val="22"/>
          <w:rtl/>
        </w:rPr>
      </w:pPr>
    </w:p>
    <w:p w14:paraId="04B805FA" w14:textId="77777777" w:rsidR="006E7E3E" w:rsidRDefault="006E7E3E">
      <w:pPr>
        <w:bidi w:val="0"/>
        <w:jc w:val="left"/>
        <w:rPr>
          <w:b/>
          <w:bCs/>
          <w:sz w:val="22"/>
          <w:szCs w:val="22"/>
        </w:rPr>
        <w:sectPr w:rsidR="006E7E3E" w:rsidSect="00587121">
          <w:footnotePr>
            <w:numRestart w:val="eachPage"/>
          </w:footnotePr>
          <w:pgSz w:w="11909" w:h="16834" w:code="9"/>
          <w:pgMar w:top="851" w:right="851" w:bottom="851" w:left="851" w:header="720" w:footer="720" w:gutter="0"/>
          <w:cols w:space="720"/>
          <w:bidi/>
          <w:rtlGutter/>
          <w:docGrid w:linePitch="360"/>
        </w:sectPr>
      </w:pPr>
    </w:p>
    <w:p w14:paraId="02292E34" w14:textId="77777777" w:rsidR="00EC46DF" w:rsidRDefault="00EC46DF"/>
    <w:tbl>
      <w:tblPr>
        <w:bidiVisual/>
        <w:tblW w:w="4720" w:type="pct"/>
        <w:tblInd w:w="29" w:type="dxa"/>
        <w:tblLayout w:type="fixed"/>
        <w:tblLook w:val="04A0" w:firstRow="1" w:lastRow="0" w:firstColumn="1" w:lastColumn="0" w:noHBand="0" w:noVBand="1"/>
      </w:tblPr>
      <w:tblGrid>
        <w:gridCol w:w="1011"/>
        <w:gridCol w:w="8624"/>
      </w:tblGrid>
      <w:tr w:rsidR="00AB0DD8" w:rsidRPr="00543C25" w14:paraId="28C141FD" w14:textId="77777777" w:rsidTr="00AB0DD8">
        <w:trPr>
          <w:trHeight w:val="259"/>
        </w:trPr>
        <w:tc>
          <w:tcPr>
            <w:tcW w:w="1011" w:type="dxa"/>
            <w:vMerge w:val="restart"/>
          </w:tcPr>
          <w:p w14:paraId="29583512" w14:textId="77777777" w:rsidR="00AB0DD8" w:rsidRPr="00543C25" w:rsidRDefault="00AB0DD8" w:rsidP="00AB0DD8">
            <w:pPr>
              <w:pStyle w:val="-fa"/>
              <w:spacing w:before="0" w:after="60"/>
              <w:rPr>
                <w:rtl/>
              </w:rPr>
            </w:pPr>
            <w:r w:rsidRPr="00AB0DD8">
              <w:rPr>
                <w:rFonts w:hint="eastAsia"/>
                <w:rtl/>
              </w:rPr>
              <w:t>מתכונת</w:t>
            </w:r>
            <w:r w:rsidRPr="00AB0DD8">
              <w:rPr>
                <w:rtl/>
              </w:rPr>
              <w:t xml:space="preserve"> ביאור</w:t>
            </w:r>
          </w:p>
          <w:p w14:paraId="22CA0497" w14:textId="37F8C91C" w:rsidR="00AB0DD8" w:rsidRPr="00543C25" w:rsidRDefault="00AB0DD8" w:rsidP="00D439C5">
            <w:pPr>
              <w:pStyle w:val="-fa"/>
              <w:tabs>
                <w:tab w:val="left" w:pos="1376"/>
              </w:tabs>
              <w:spacing w:before="0"/>
              <w:ind w:right="-142"/>
              <w:rPr>
                <w:rtl/>
              </w:rPr>
            </w:pPr>
            <w:r w:rsidRPr="008F53AB">
              <w:rPr>
                <w:rFonts w:hint="cs"/>
                <w:spacing w:val="-8"/>
                <w:rtl/>
              </w:rPr>
              <w:t>עמ'</w:t>
            </w:r>
            <w:r w:rsidRPr="008F53AB">
              <w:rPr>
                <w:spacing w:val="-8"/>
                <w:rtl/>
              </w:rPr>
              <w:t xml:space="preserve"> </w:t>
            </w:r>
            <w:r>
              <w:rPr>
                <w:rFonts w:hint="cs"/>
                <w:spacing w:val="-8"/>
                <w:rtl/>
              </w:rPr>
              <w:t>663-28</w:t>
            </w:r>
            <w:r w:rsidRPr="005268F4">
              <w:rPr>
                <w:rFonts w:hint="cs"/>
                <w:rtl/>
              </w:rPr>
              <w:t xml:space="preserve"> </w:t>
            </w:r>
            <w:r>
              <w:rPr>
                <w:rtl/>
              </w:rPr>
              <w:br/>
            </w:r>
          </w:p>
        </w:tc>
        <w:tc>
          <w:tcPr>
            <w:tcW w:w="8624" w:type="dxa"/>
          </w:tcPr>
          <w:p w14:paraId="3B1ED43F" w14:textId="77777777" w:rsidR="00AB0DD8" w:rsidRDefault="00AB0DD8">
            <w:pPr>
              <w:pStyle w:val="-8"/>
              <w:rPr>
                <w:rtl/>
              </w:rPr>
            </w:pPr>
            <w:r w:rsidRPr="00B44059">
              <w:rPr>
                <w:rtl/>
              </w:rPr>
              <w:t xml:space="preserve">ביאור 6  -  </w:t>
            </w:r>
            <w:r w:rsidRPr="00B44059">
              <w:rPr>
                <w:rFonts w:eastAsia="Arial Unicode MS" w:hint="eastAsia"/>
                <w:rtl/>
              </w:rPr>
              <w:t>סיכון</w:t>
            </w:r>
            <w:r w:rsidRPr="00B44059">
              <w:rPr>
                <w:rFonts w:eastAsia="Arial Unicode MS"/>
                <w:rtl/>
              </w:rPr>
              <w:t xml:space="preserve"> </w:t>
            </w:r>
            <w:r w:rsidRPr="00B44059">
              <w:rPr>
                <w:rFonts w:eastAsia="Arial Unicode MS" w:hint="eastAsia"/>
                <w:rtl/>
              </w:rPr>
              <w:t>אשראי</w:t>
            </w:r>
            <w:r w:rsidRPr="00B44059">
              <w:rPr>
                <w:rFonts w:eastAsia="Arial Unicode MS"/>
                <w:rtl/>
              </w:rPr>
              <w:t xml:space="preserve">, </w:t>
            </w:r>
            <w:r w:rsidRPr="00B44059">
              <w:rPr>
                <w:rFonts w:eastAsia="Arial Unicode MS" w:hint="eastAsia"/>
                <w:rtl/>
              </w:rPr>
              <w:t>אשראי</w:t>
            </w:r>
            <w:r w:rsidRPr="00B44059">
              <w:rPr>
                <w:rFonts w:eastAsia="Arial Unicode MS"/>
                <w:rtl/>
              </w:rPr>
              <w:t xml:space="preserve"> </w:t>
            </w:r>
            <w:r w:rsidRPr="00B44059">
              <w:rPr>
                <w:rFonts w:eastAsia="Arial Unicode MS" w:hint="eastAsia"/>
                <w:rtl/>
              </w:rPr>
              <w:t>לציבור</w:t>
            </w:r>
            <w:r w:rsidRPr="00B44059">
              <w:rPr>
                <w:rFonts w:eastAsia="Arial Unicode MS"/>
                <w:rtl/>
              </w:rPr>
              <w:t xml:space="preserve"> </w:t>
            </w:r>
            <w:r w:rsidRPr="00B44059">
              <w:rPr>
                <w:rFonts w:eastAsia="Arial Unicode MS" w:hint="eastAsia"/>
                <w:rtl/>
              </w:rPr>
              <w:t>והפרשה</w:t>
            </w:r>
            <w:r w:rsidRPr="00B44059">
              <w:rPr>
                <w:rFonts w:eastAsia="Arial Unicode MS"/>
                <w:rtl/>
              </w:rPr>
              <w:t xml:space="preserve"> </w:t>
            </w:r>
            <w:r w:rsidRPr="00B44059">
              <w:rPr>
                <w:rFonts w:eastAsia="Arial Unicode MS" w:hint="eastAsia"/>
                <w:rtl/>
              </w:rPr>
              <w:t>להפסדי</w:t>
            </w:r>
            <w:r w:rsidRPr="00B44059">
              <w:rPr>
                <w:rFonts w:eastAsia="Arial Unicode MS"/>
                <w:rtl/>
              </w:rPr>
              <w:t xml:space="preserve"> </w:t>
            </w:r>
            <w:r w:rsidRPr="00B44059">
              <w:rPr>
                <w:rFonts w:eastAsia="Arial Unicode MS" w:hint="eastAsia"/>
                <w:rtl/>
              </w:rPr>
              <w:t>אשראי</w:t>
            </w:r>
            <w:r w:rsidRPr="00B44059">
              <w:rPr>
                <w:rFonts w:eastAsia="Arial Unicode MS"/>
                <w:rtl/>
              </w:rPr>
              <w:t xml:space="preserve"> (המשך):</w:t>
            </w:r>
            <w:r w:rsidRPr="00B44059">
              <w:rPr>
                <w:sz w:val="18"/>
                <w:szCs w:val="18"/>
                <w:vertAlign w:val="superscript"/>
                <w:rtl/>
              </w:rPr>
              <w:t xml:space="preserve"> </w:t>
            </w:r>
          </w:p>
        </w:tc>
      </w:tr>
      <w:tr w:rsidR="00AB0DD8" w:rsidRPr="00543C25" w14:paraId="1215D2C4" w14:textId="77777777" w:rsidTr="00AB0DD8">
        <w:trPr>
          <w:trHeight w:val="259"/>
        </w:trPr>
        <w:tc>
          <w:tcPr>
            <w:tcW w:w="1011" w:type="dxa"/>
            <w:vMerge/>
          </w:tcPr>
          <w:p w14:paraId="190D5D3B" w14:textId="30402F02" w:rsidR="00AB0DD8" w:rsidRDefault="00AB0DD8" w:rsidP="00D439C5">
            <w:pPr>
              <w:pStyle w:val="-fa"/>
              <w:tabs>
                <w:tab w:val="left" w:pos="1376"/>
              </w:tabs>
              <w:spacing w:before="0"/>
              <w:ind w:right="-142"/>
              <w:rPr>
                <w:rtl/>
              </w:rPr>
            </w:pPr>
          </w:p>
        </w:tc>
        <w:tc>
          <w:tcPr>
            <w:tcW w:w="8624" w:type="dxa"/>
          </w:tcPr>
          <w:p w14:paraId="30BE5D80" w14:textId="57FC14D1" w:rsidR="00AB0DD8" w:rsidRDefault="00AB0DD8" w:rsidP="00EC46DF">
            <w:pPr>
              <w:pStyle w:val="-8"/>
              <w:tabs>
                <w:tab w:val="left" w:pos="292"/>
              </w:tabs>
              <w:spacing w:before="60"/>
              <w:rPr>
                <w:sz w:val="20"/>
                <w:szCs w:val="20"/>
                <w:rtl/>
              </w:rPr>
            </w:pPr>
            <w:r>
              <w:rPr>
                <w:rFonts w:hint="cs"/>
                <w:sz w:val="20"/>
                <w:szCs w:val="20"/>
                <w:rtl/>
              </w:rPr>
              <w:t>ב</w:t>
            </w:r>
            <w:r w:rsidRPr="00747CBC">
              <w:rPr>
                <w:sz w:val="20"/>
                <w:szCs w:val="20"/>
                <w:rtl/>
              </w:rPr>
              <w:t>.</w:t>
            </w:r>
            <w:r w:rsidRPr="00747CBC">
              <w:rPr>
                <w:sz w:val="20"/>
                <w:szCs w:val="20"/>
                <w:rtl/>
              </w:rPr>
              <w:tab/>
            </w:r>
            <w:r w:rsidRPr="00747CBC">
              <w:rPr>
                <w:rFonts w:hint="eastAsia"/>
                <w:sz w:val="20"/>
                <w:szCs w:val="20"/>
                <w:rtl/>
              </w:rPr>
              <w:t>תנועה</w:t>
            </w:r>
            <w:r w:rsidRPr="00747CBC">
              <w:rPr>
                <w:sz w:val="20"/>
                <w:szCs w:val="20"/>
                <w:rtl/>
              </w:rPr>
              <w:t xml:space="preserve"> </w:t>
            </w:r>
            <w:r w:rsidRPr="00747CBC">
              <w:rPr>
                <w:rFonts w:hint="eastAsia"/>
                <w:sz w:val="20"/>
                <w:szCs w:val="20"/>
                <w:rtl/>
              </w:rPr>
              <w:t>ביתרת</w:t>
            </w:r>
            <w:r w:rsidRPr="00747CBC">
              <w:rPr>
                <w:sz w:val="20"/>
                <w:szCs w:val="20"/>
                <w:rtl/>
              </w:rPr>
              <w:t xml:space="preserve"> </w:t>
            </w:r>
            <w:r w:rsidRPr="00747CBC">
              <w:rPr>
                <w:rFonts w:hint="eastAsia"/>
                <w:sz w:val="20"/>
                <w:szCs w:val="20"/>
                <w:rtl/>
              </w:rPr>
              <w:t>ההפרשה</w:t>
            </w:r>
            <w:r w:rsidRPr="00747CBC">
              <w:rPr>
                <w:sz w:val="20"/>
                <w:szCs w:val="20"/>
                <w:rtl/>
              </w:rPr>
              <w:t xml:space="preserve"> </w:t>
            </w:r>
            <w:r w:rsidRPr="00747CBC">
              <w:rPr>
                <w:rFonts w:hint="eastAsia"/>
                <w:sz w:val="20"/>
                <w:szCs w:val="20"/>
                <w:rtl/>
              </w:rPr>
              <w:t>להפסדי</w:t>
            </w:r>
            <w:r w:rsidRPr="00747CBC">
              <w:rPr>
                <w:sz w:val="20"/>
                <w:szCs w:val="20"/>
                <w:rtl/>
              </w:rPr>
              <w:t xml:space="preserve"> </w:t>
            </w:r>
            <w:r w:rsidRPr="00747CBC">
              <w:rPr>
                <w:rFonts w:hint="eastAsia"/>
                <w:sz w:val="20"/>
                <w:szCs w:val="20"/>
                <w:rtl/>
              </w:rPr>
              <w:t>אשראי</w:t>
            </w:r>
            <w:r>
              <w:rPr>
                <w:rFonts w:hint="cs"/>
                <w:sz w:val="20"/>
                <w:szCs w:val="20"/>
                <w:rtl/>
              </w:rPr>
              <w:t>:</w:t>
            </w:r>
          </w:p>
        </w:tc>
      </w:tr>
    </w:tbl>
    <w:p w14:paraId="6A4365D1" w14:textId="77777777" w:rsidR="00D865B4" w:rsidRDefault="00D865B4" w:rsidP="00D865B4">
      <w:pPr>
        <w:bidi w:val="0"/>
        <w:spacing w:line="60" w:lineRule="exact"/>
        <w:rPr>
          <w:rtl/>
        </w:rPr>
      </w:pPr>
    </w:p>
    <w:tbl>
      <w:tblPr>
        <w:bidiVisual/>
        <w:tblW w:w="4999" w:type="pct"/>
        <w:tblInd w:w="-6" w:type="dxa"/>
        <w:tblLayout w:type="fixed"/>
        <w:tblLook w:val="01E0" w:firstRow="1" w:lastRow="1" w:firstColumn="1" w:lastColumn="1" w:noHBand="0" w:noVBand="0"/>
      </w:tblPr>
      <w:tblGrid>
        <w:gridCol w:w="1077"/>
        <w:gridCol w:w="398"/>
        <w:gridCol w:w="3654"/>
        <w:gridCol w:w="398"/>
        <w:gridCol w:w="311"/>
        <w:gridCol w:w="398"/>
        <w:gridCol w:w="167"/>
        <w:gridCol w:w="398"/>
        <w:gridCol w:w="169"/>
        <w:gridCol w:w="398"/>
        <w:gridCol w:w="243"/>
        <w:gridCol w:w="398"/>
        <w:gridCol w:w="804"/>
        <w:gridCol w:w="398"/>
        <w:gridCol w:w="596"/>
        <w:gridCol w:w="398"/>
      </w:tblGrid>
      <w:tr w:rsidR="00EC46DF" w:rsidRPr="00543C25" w14:paraId="12B42171" w14:textId="77777777" w:rsidTr="00AB0DD8">
        <w:trPr>
          <w:gridAfter w:val="1"/>
          <w:wAfter w:w="398" w:type="dxa"/>
          <w:trHeight w:val="259"/>
        </w:trPr>
        <w:tc>
          <w:tcPr>
            <w:tcW w:w="1077" w:type="dxa"/>
          </w:tcPr>
          <w:p w14:paraId="5EE95A68" w14:textId="77777777" w:rsidR="00EC46DF" w:rsidRPr="00543C25" w:rsidRDefault="00EC46DF" w:rsidP="00976DDE">
            <w:pPr>
              <w:pStyle w:val="-7"/>
              <w:spacing w:before="20" w:line="240" w:lineRule="auto"/>
              <w:rPr>
                <w:rtl/>
              </w:rPr>
            </w:pPr>
          </w:p>
        </w:tc>
        <w:tc>
          <w:tcPr>
            <w:tcW w:w="4052" w:type="dxa"/>
            <w:gridSpan w:val="2"/>
            <w:vAlign w:val="bottom"/>
          </w:tcPr>
          <w:p w14:paraId="2296602A" w14:textId="77777777" w:rsidR="00EC46DF" w:rsidRPr="00D439C5" w:rsidRDefault="00EC46DF" w:rsidP="00976DDE">
            <w:pPr>
              <w:pStyle w:val="-0"/>
              <w:rPr>
                <w:rFonts w:asciiTheme="minorBidi" w:hAnsiTheme="minorBidi" w:cstheme="minorBidi"/>
                <w:sz w:val="19"/>
                <w:szCs w:val="19"/>
                <w:rtl/>
              </w:rPr>
            </w:pPr>
          </w:p>
        </w:tc>
        <w:tc>
          <w:tcPr>
            <w:tcW w:w="4678" w:type="dxa"/>
            <w:gridSpan w:val="12"/>
          </w:tcPr>
          <w:p w14:paraId="7DF3F2BC" w14:textId="77777777" w:rsidR="00EC46DF" w:rsidRPr="00D439C5" w:rsidRDefault="00EC46DF" w:rsidP="00976DDE">
            <w:pPr>
              <w:pStyle w:val="-4"/>
              <w:pBdr>
                <w:bottom w:val="single" w:sz="4" w:space="1" w:color="auto"/>
              </w:pBdr>
              <w:rPr>
                <w:rFonts w:asciiTheme="minorBidi" w:hAnsiTheme="minorBidi" w:cstheme="minorBidi"/>
                <w:sz w:val="19"/>
                <w:szCs w:val="19"/>
                <w:rtl/>
              </w:rPr>
            </w:pPr>
            <w:r w:rsidRPr="00D439C5">
              <w:rPr>
                <w:rFonts w:asciiTheme="minorBidi" w:hAnsiTheme="minorBidi" w:cstheme="minorBidi"/>
                <w:sz w:val="19"/>
                <w:szCs w:val="19"/>
                <w:rtl/>
              </w:rPr>
              <w:t>הפרשה להפסדי אשראי</w:t>
            </w:r>
          </w:p>
        </w:tc>
      </w:tr>
      <w:tr w:rsidR="00EC46DF" w:rsidRPr="00543C25" w14:paraId="26D3A668" w14:textId="77777777" w:rsidTr="00AB0DD8">
        <w:trPr>
          <w:gridAfter w:val="1"/>
          <w:wAfter w:w="398" w:type="dxa"/>
          <w:trHeight w:val="259"/>
        </w:trPr>
        <w:tc>
          <w:tcPr>
            <w:tcW w:w="1077" w:type="dxa"/>
          </w:tcPr>
          <w:p w14:paraId="2373AB5E" w14:textId="77777777" w:rsidR="00EC46DF" w:rsidRPr="00543C25" w:rsidRDefault="00EC46DF" w:rsidP="00976DDE">
            <w:pPr>
              <w:pStyle w:val="-7"/>
              <w:spacing w:line="240" w:lineRule="auto"/>
              <w:rPr>
                <w:rtl/>
              </w:rPr>
            </w:pPr>
          </w:p>
        </w:tc>
        <w:tc>
          <w:tcPr>
            <w:tcW w:w="4052" w:type="dxa"/>
            <w:gridSpan w:val="2"/>
            <w:vAlign w:val="bottom"/>
          </w:tcPr>
          <w:p w14:paraId="4091D398" w14:textId="77777777" w:rsidR="00EC46DF" w:rsidRPr="00D439C5" w:rsidRDefault="00EC46DF" w:rsidP="00976DDE">
            <w:pPr>
              <w:pStyle w:val="-0"/>
              <w:rPr>
                <w:rFonts w:asciiTheme="minorBidi" w:hAnsiTheme="minorBidi" w:cstheme="minorBidi"/>
                <w:sz w:val="19"/>
                <w:szCs w:val="19"/>
                <w:rtl/>
              </w:rPr>
            </w:pPr>
          </w:p>
        </w:tc>
        <w:tc>
          <w:tcPr>
            <w:tcW w:w="2482" w:type="dxa"/>
            <w:gridSpan w:val="8"/>
          </w:tcPr>
          <w:p w14:paraId="356F5146" w14:textId="77777777" w:rsidR="00EC46DF" w:rsidRPr="00B62447" w:rsidRDefault="00EC46DF" w:rsidP="00976DDE">
            <w:pPr>
              <w:pStyle w:val="-4"/>
              <w:spacing w:line="240" w:lineRule="auto"/>
              <w:rPr>
                <w:rFonts w:asciiTheme="minorBidi" w:hAnsiTheme="minorBidi" w:cstheme="minorBidi"/>
                <w:sz w:val="16"/>
                <w:szCs w:val="16"/>
                <w:rtl/>
              </w:rPr>
            </w:pPr>
            <w:r w:rsidRPr="00B62447">
              <w:rPr>
                <w:rFonts w:asciiTheme="minorBidi" w:hAnsiTheme="minorBidi" w:cstheme="minorBidi"/>
                <w:sz w:val="16"/>
                <w:szCs w:val="16"/>
                <w:rtl/>
              </w:rPr>
              <w:t>אשראי לציבור</w:t>
            </w:r>
          </w:p>
        </w:tc>
        <w:tc>
          <w:tcPr>
            <w:tcW w:w="1202" w:type="dxa"/>
            <w:gridSpan w:val="2"/>
            <w:vMerge w:val="restart"/>
            <w:vAlign w:val="bottom"/>
          </w:tcPr>
          <w:p w14:paraId="0A8DC938" w14:textId="546E9A05" w:rsidR="00EC46DF" w:rsidRPr="00B62447" w:rsidRDefault="00EC46DF" w:rsidP="00976DDE">
            <w:pPr>
              <w:pStyle w:val="-4"/>
              <w:spacing w:line="240" w:lineRule="auto"/>
              <w:rPr>
                <w:rFonts w:asciiTheme="minorBidi" w:hAnsiTheme="minorBidi" w:cstheme="minorBidi"/>
                <w:sz w:val="16"/>
                <w:szCs w:val="16"/>
                <w:rtl/>
              </w:rPr>
            </w:pPr>
            <w:r w:rsidRPr="00B62447">
              <w:rPr>
                <w:rFonts w:hint="eastAsia"/>
                <w:sz w:val="16"/>
                <w:szCs w:val="16"/>
                <w:rtl/>
              </w:rPr>
              <w:t>בנקים</w:t>
            </w:r>
            <w:r w:rsidRPr="00B62447">
              <w:rPr>
                <w:rFonts w:hint="cs"/>
                <w:sz w:val="16"/>
                <w:szCs w:val="16"/>
                <w:rtl/>
              </w:rPr>
              <w:t xml:space="preserve">, </w:t>
            </w:r>
            <w:r w:rsidRPr="00B62447">
              <w:rPr>
                <w:rFonts w:hint="eastAsia"/>
                <w:sz w:val="16"/>
                <w:szCs w:val="16"/>
                <w:rtl/>
              </w:rPr>
              <w:t>ממשלות</w:t>
            </w:r>
            <w:r w:rsidRPr="00B62447">
              <w:rPr>
                <w:rFonts w:hint="cs"/>
                <w:sz w:val="16"/>
                <w:szCs w:val="16"/>
                <w:rtl/>
              </w:rPr>
              <w:t>, ואגרות חוב</w:t>
            </w:r>
          </w:p>
        </w:tc>
        <w:tc>
          <w:tcPr>
            <w:tcW w:w="994" w:type="dxa"/>
            <w:gridSpan w:val="2"/>
            <w:vMerge w:val="restart"/>
            <w:vAlign w:val="bottom"/>
          </w:tcPr>
          <w:p w14:paraId="7C6D1433" w14:textId="77777777" w:rsidR="00EC46DF" w:rsidRPr="00B62447" w:rsidRDefault="00EC46DF" w:rsidP="00976DDE">
            <w:pPr>
              <w:pStyle w:val="-4"/>
              <w:pBdr>
                <w:bottom w:val="none" w:sz="0" w:space="0" w:color="auto"/>
              </w:pBdr>
              <w:rPr>
                <w:rFonts w:asciiTheme="minorBidi" w:hAnsiTheme="minorBidi" w:cstheme="minorBidi"/>
                <w:sz w:val="16"/>
                <w:szCs w:val="16"/>
                <w:rtl/>
              </w:rPr>
            </w:pPr>
            <w:r w:rsidRPr="00B62447">
              <w:rPr>
                <w:rFonts w:asciiTheme="minorBidi" w:hAnsiTheme="minorBidi" w:cstheme="minorBidi"/>
                <w:sz w:val="16"/>
                <w:szCs w:val="16"/>
                <w:rtl/>
              </w:rPr>
              <w:t>סך</w:t>
            </w:r>
          </w:p>
          <w:p w14:paraId="7FACE4D4" w14:textId="77777777" w:rsidR="00EC46DF" w:rsidRPr="00B62447" w:rsidRDefault="00EC46DF" w:rsidP="00976DDE">
            <w:pPr>
              <w:pStyle w:val="-4"/>
              <w:spacing w:line="240" w:lineRule="auto"/>
              <w:rPr>
                <w:rFonts w:asciiTheme="minorBidi" w:hAnsiTheme="minorBidi" w:cstheme="minorBidi"/>
                <w:sz w:val="16"/>
                <w:szCs w:val="16"/>
                <w:rtl/>
              </w:rPr>
            </w:pPr>
            <w:r w:rsidRPr="00B62447">
              <w:rPr>
                <w:rFonts w:asciiTheme="minorBidi" w:hAnsiTheme="minorBidi" w:cstheme="minorBidi"/>
                <w:sz w:val="16"/>
                <w:szCs w:val="16"/>
                <w:rtl/>
              </w:rPr>
              <w:t>הכל</w:t>
            </w:r>
          </w:p>
        </w:tc>
      </w:tr>
      <w:tr w:rsidR="00EC46DF" w:rsidRPr="00543C25" w14:paraId="3C464870" w14:textId="77777777" w:rsidTr="00AB0DD8">
        <w:trPr>
          <w:gridAfter w:val="1"/>
          <w:wAfter w:w="398" w:type="dxa"/>
          <w:trHeight w:val="259"/>
        </w:trPr>
        <w:tc>
          <w:tcPr>
            <w:tcW w:w="1077" w:type="dxa"/>
          </w:tcPr>
          <w:p w14:paraId="20A3B455" w14:textId="77777777" w:rsidR="00EC46DF" w:rsidRPr="00543C25" w:rsidRDefault="00EC46DF" w:rsidP="00976DDE">
            <w:pPr>
              <w:pStyle w:val="-7"/>
              <w:spacing w:line="240" w:lineRule="auto"/>
              <w:rPr>
                <w:rtl/>
              </w:rPr>
            </w:pPr>
          </w:p>
        </w:tc>
        <w:tc>
          <w:tcPr>
            <w:tcW w:w="4052" w:type="dxa"/>
            <w:gridSpan w:val="2"/>
            <w:tcBorders>
              <w:left w:val="nil"/>
            </w:tcBorders>
            <w:vAlign w:val="bottom"/>
          </w:tcPr>
          <w:p w14:paraId="03E88747" w14:textId="77777777" w:rsidR="00EC46DF" w:rsidRPr="00D439C5" w:rsidRDefault="00EC46DF" w:rsidP="00976DDE">
            <w:pPr>
              <w:pStyle w:val="-0"/>
              <w:rPr>
                <w:rFonts w:asciiTheme="minorBidi" w:hAnsiTheme="minorBidi" w:cstheme="minorBidi"/>
                <w:sz w:val="19"/>
                <w:szCs w:val="19"/>
                <w:rtl/>
              </w:rPr>
            </w:pPr>
          </w:p>
        </w:tc>
        <w:tc>
          <w:tcPr>
            <w:tcW w:w="709" w:type="dxa"/>
            <w:gridSpan w:val="2"/>
            <w:vAlign w:val="bottom"/>
          </w:tcPr>
          <w:p w14:paraId="0A9A4E91" w14:textId="77777777" w:rsidR="00EC46DF" w:rsidRPr="00B62447" w:rsidRDefault="00EC46DF" w:rsidP="00976DDE">
            <w:pPr>
              <w:pStyle w:val="-7"/>
              <w:pBdr>
                <w:bottom w:val="single" w:sz="4" w:space="1" w:color="auto"/>
              </w:pBdr>
              <w:jc w:val="center"/>
              <w:rPr>
                <w:rFonts w:asciiTheme="minorBidi" w:hAnsiTheme="minorBidi" w:cstheme="minorBidi"/>
                <w:b/>
                <w:bCs/>
                <w:sz w:val="16"/>
                <w:szCs w:val="16"/>
                <w:rtl/>
              </w:rPr>
            </w:pPr>
            <w:r w:rsidRPr="00B62447">
              <w:rPr>
                <w:rFonts w:asciiTheme="minorBidi" w:hAnsiTheme="minorBidi" w:cstheme="minorBidi"/>
                <w:b/>
                <w:bCs/>
                <w:sz w:val="16"/>
                <w:szCs w:val="16"/>
                <w:rtl/>
              </w:rPr>
              <w:t>מסחרי</w:t>
            </w:r>
          </w:p>
        </w:tc>
        <w:tc>
          <w:tcPr>
            <w:tcW w:w="565" w:type="dxa"/>
            <w:gridSpan w:val="2"/>
            <w:vAlign w:val="bottom"/>
          </w:tcPr>
          <w:p w14:paraId="5CC4C4C0" w14:textId="77777777" w:rsidR="00EC46DF" w:rsidRPr="00B62447" w:rsidRDefault="00EC46DF" w:rsidP="00976DDE">
            <w:pPr>
              <w:pStyle w:val="-7"/>
              <w:pBdr>
                <w:bottom w:val="single" w:sz="4" w:space="1" w:color="auto"/>
              </w:pBdr>
              <w:jc w:val="center"/>
              <w:rPr>
                <w:rFonts w:asciiTheme="minorBidi" w:hAnsiTheme="minorBidi" w:cstheme="minorBidi"/>
                <w:b/>
                <w:bCs/>
                <w:sz w:val="16"/>
                <w:szCs w:val="16"/>
                <w:rtl/>
              </w:rPr>
            </w:pPr>
            <w:r w:rsidRPr="00B62447">
              <w:rPr>
                <w:rFonts w:asciiTheme="minorBidi" w:hAnsiTheme="minorBidi" w:cstheme="minorBidi"/>
                <w:b/>
                <w:bCs/>
                <w:sz w:val="16"/>
                <w:szCs w:val="16"/>
                <w:rtl/>
              </w:rPr>
              <w:t>לדיור</w:t>
            </w:r>
          </w:p>
        </w:tc>
        <w:tc>
          <w:tcPr>
            <w:tcW w:w="567" w:type="dxa"/>
            <w:gridSpan w:val="2"/>
            <w:vAlign w:val="bottom"/>
          </w:tcPr>
          <w:p w14:paraId="03BCDCCF" w14:textId="77777777" w:rsidR="00EC46DF" w:rsidRPr="00B62447" w:rsidRDefault="00EC46DF" w:rsidP="00976DDE">
            <w:pPr>
              <w:pStyle w:val="-4"/>
              <w:spacing w:line="240" w:lineRule="auto"/>
              <w:ind w:left="-57" w:right="-57"/>
              <w:rPr>
                <w:rFonts w:asciiTheme="minorBidi" w:hAnsiTheme="minorBidi" w:cstheme="minorBidi"/>
                <w:sz w:val="16"/>
                <w:szCs w:val="16"/>
                <w:rtl/>
              </w:rPr>
            </w:pPr>
            <w:r w:rsidRPr="00B62447">
              <w:rPr>
                <w:rFonts w:asciiTheme="minorBidi" w:hAnsiTheme="minorBidi" w:cstheme="minorBidi"/>
                <w:sz w:val="16"/>
                <w:szCs w:val="16"/>
                <w:rtl/>
              </w:rPr>
              <w:t>פרטי אחר</w:t>
            </w:r>
          </w:p>
        </w:tc>
        <w:tc>
          <w:tcPr>
            <w:tcW w:w="641" w:type="dxa"/>
            <w:gridSpan w:val="2"/>
            <w:vAlign w:val="bottom"/>
          </w:tcPr>
          <w:p w14:paraId="7F6FA99E" w14:textId="77777777" w:rsidR="00EC46DF" w:rsidRPr="00B62447" w:rsidRDefault="00EC46DF" w:rsidP="00976DDE">
            <w:pPr>
              <w:pStyle w:val="-4"/>
              <w:spacing w:line="240" w:lineRule="auto"/>
              <w:rPr>
                <w:rFonts w:asciiTheme="minorBidi" w:hAnsiTheme="minorBidi" w:cstheme="minorBidi"/>
                <w:sz w:val="16"/>
                <w:szCs w:val="16"/>
                <w:rtl/>
              </w:rPr>
            </w:pPr>
            <w:r w:rsidRPr="00B62447">
              <w:rPr>
                <w:rFonts w:asciiTheme="minorBidi" w:hAnsiTheme="minorBidi" w:cstheme="minorBidi"/>
                <w:sz w:val="16"/>
                <w:szCs w:val="16"/>
                <w:rtl/>
              </w:rPr>
              <w:t>סך הכל</w:t>
            </w:r>
          </w:p>
        </w:tc>
        <w:tc>
          <w:tcPr>
            <w:tcW w:w="1202" w:type="dxa"/>
            <w:gridSpan w:val="2"/>
            <w:vMerge/>
            <w:vAlign w:val="bottom"/>
          </w:tcPr>
          <w:p w14:paraId="79CB09FB" w14:textId="77777777" w:rsidR="00EC46DF" w:rsidRPr="00B62447" w:rsidRDefault="00EC46DF" w:rsidP="00976DDE">
            <w:pPr>
              <w:pStyle w:val="-4"/>
              <w:spacing w:line="240" w:lineRule="auto"/>
              <w:rPr>
                <w:rFonts w:asciiTheme="minorBidi" w:hAnsiTheme="minorBidi" w:cstheme="minorBidi"/>
                <w:sz w:val="16"/>
                <w:szCs w:val="16"/>
                <w:rtl/>
              </w:rPr>
            </w:pPr>
          </w:p>
        </w:tc>
        <w:tc>
          <w:tcPr>
            <w:tcW w:w="994" w:type="dxa"/>
            <w:gridSpan w:val="2"/>
            <w:vMerge/>
            <w:vAlign w:val="bottom"/>
          </w:tcPr>
          <w:p w14:paraId="7D4ADE7C" w14:textId="77777777" w:rsidR="00EC46DF" w:rsidRPr="00B62447" w:rsidRDefault="00EC46DF" w:rsidP="00976DDE">
            <w:pPr>
              <w:pStyle w:val="-4"/>
              <w:spacing w:line="240" w:lineRule="auto"/>
              <w:rPr>
                <w:rFonts w:asciiTheme="minorBidi" w:hAnsiTheme="minorBidi" w:cstheme="minorBidi"/>
                <w:sz w:val="16"/>
                <w:szCs w:val="16"/>
                <w:rtl/>
              </w:rPr>
            </w:pPr>
          </w:p>
        </w:tc>
      </w:tr>
      <w:tr w:rsidR="00EC46DF" w:rsidRPr="00543C25" w14:paraId="5AFD6F3B" w14:textId="77777777" w:rsidTr="00AB0DD8">
        <w:trPr>
          <w:trHeight w:hRule="exact" w:val="66"/>
        </w:trPr>
        <w:tc>
          <w:tcPr>
            <w:tcW w:w="1475" w:type="dxa"/>
            <w:gridSpan w:val="2"/>
          </w:tcPr>
          <w:p w14:paraId="6F55C13C" w14:textId="77777777" w:rsidR="00EC46DF" w:rsidRPr="00543C25" w:rsidRDefault="00EC46DF" w:rsidP="00976DDE">
            <w:pPr>
              <w:pStyle w:val="-7"/>
              <w:bidi w:val="0"/>
              <w:spacing w:line="60" w:lineRule="exact"/>
              <w:rPr>
                <w:rtl/>
              </w:rPr>
            </w:pPr>
          </w:p>
        </w:tc>
        <w:tc>
          <w:tcPr>
            <w:tcW w:w="4052" w:type="dxa"/>
            <w:gridSpan w:val="2"/>
            <w:vAlign w:val="bottom"/>
          </w:tcPr>
          <w:p w14:paraId="6A53F193" w14:textId="77777777" w:rsidR="00EC46DF" w:rsidRPr="00D439C5" w:rsidRDefault="00EC46DF" w:rsidP="00976DDE">
            <w:pPr>
              <w:pStyle w:val="-0"/>
              <w:bidi w:val="0"/>
              <w:spacing w:line="60" w:lineRule="exact"/>
              <w:jc w:val="both"/>
              <w:rPr>
                <w:rFonts w:asciiTheme="minorBidi" w:hAnsiTheme="minorBidi" w:cstheme="minorBidi"/>
                <w:sz w:val="19"/>
                <w:szCs w:val="19"/>
                <w:rtl/>
              </w:rPr>
            </w:pPr>
          </w:p>
        </w:tc>
        <w:tc>
          <w:tcPr>
            <w:tcW w:w="709" w:type="dxa"/>
            <w:gridSpan w:val="2"/>
          </w:tcPr>
          <w:p w14:paraId="31678ED6" w14:textId="77777777" w:rsidR="00EC46DF" w:rsidRPr="00D439C5" w:rsidRDefault="00EC46DF" w:rsidP="00976DDE">
            <w:pPr>
              <w:pStyle w:val="-7"/>
              <w:bidi w:val="0"/>
              <w:spacing w:line="60" w:lineRule="exact"/>
              <w:rPr>
                <w:rFonts w:asciiTheme="minorBidi" w:hAnsiTheme="minorBidi" w:cstheme="minorBidi"/>
                <w:sz w:val="19"/>
                <w:szCs w:val="19"/>
                <w:rtl/>
              </w:rPr>
            </w:pPr>
          </w:p>
        </w:tc>
        <w:tc>
          <w:tcPr>
            <w:tcW w:w="565" w:type="dxa"/>
            <w:gridSpan w:val="2"/>
          </w:tcPr>
          <w:p w14:paraId="6CDF79F0" w14:textId="77777777" w:rsidR="00EC46DF" w:rsidRPr="00D439C5" w:rsidRDefault="00EC46DF" w:rsidP="00976DDE">
            <w:pPr>
              <w:pStyle w:val="-7"/>
              <w:bidi w:val="0"/>
              <w:spacing w:line="60" w:lineRule="exact"/>
              <w:rPr>
                <w:rFonts w:asciiTheme="minorBidi" w:hAnsiTheme="minorBidi" w:cstheme="minorBidi"/>
                <w:sz w:val="19"/>
                <w:szCs w:val="19"/>
                <w:rtl/>
              </w:rPr>
            </w:pPr>
          </w:p>
        </w:tc>
        <w:tc>
          <w:tcPr>
            <w:tcW w:w="567" w:type="dxa"/>
            <w:gridSpan w:val="2"/>
            <w:vAlign w:val="bottom"/>
          </w:tcPr>
          <w:p w14:paraId="5455CFFE" w14:textId="77777777" w:rsidR="00EC46DF" w:rsidRPr="00D439C5" w:rsidRDefault="00EC46DF" w:rsidP="00976DDE">
            <w:pPr>
              <w:pStyle w:val="-7"/>
              <w:bidi w:val="0"/>
              <w:spacing w:line="60" w:lineRule="exact"/>
              <w:rPr>
                <w:rFonts w:asciiTheme="minorBidi" w:hAnsiTheme="minorBidi" w:cstheme="minorBidi"/>
                <w:sz w:val="19"/>
                <w:szCs w:val="19"/>
                <w:rtl/>
              </w:rPr>
            </w:pPr>
          </w:p>
        </w:tc>
        <w:tc>
          <w:tcPr>
            <w:tcW w:w="641" w:type="dxa"/>
            <w:gridSpan w:val="2"/>
            <w:vAlign w:val="bottom"/>
          </w:tcPr>
          <w:p w14:paraId="7B191B03" w14:textId="77777777" w:rsidR="00EC46DF" w:rsidRPr="00D439C5" w:rsidRDefault="00EC46DF" w:rsidP="00976DDE">
            <w:pPr>
              <w:pStyle w:val="-7"/>
              <w:bidi w:val="0"/>
              <w:spacing w:line="60" w:lineRule="exact"/>
              <w:rPr>
                <w:rFonts w:asciiTheme="minorBidi" w:hAnsiTheme="minorBidi" w:cstheme="minorBidi"/>
                <w:sz w:val="19"/>
                <w:szCs w:val="19"/>
                <w:rtl/>
              </w:rPr>
            </w:pPr>
          </w:p>
        </w:tc>
        <w:tc>
          <w:tcPr>
            <w:tcW w:w="1202" w:type="dxa"/>
            <w:gridSpan w:val="2"/>
            <w:vAlign w:val="bottom"/>
          </w:tcPr>
          <w:p w14:paraId="0D2E36D5" w14:textId="77777777" w:rsidR="00EC46DF" w:rsidRPr="00D439C5" w:rsidRDefault="00EC46DF" w:rsidP="00976DDE">
            <w:pPr>
              <w:pStyle w:val="-7"/>
              <w:bidi w:val="0"/>
              <w:spacing w:line="60" w:lineRule="exact"/>
              <w:rPr>
                <w:rFonts w:asciiTheme="minorBidi" w:hAnsiTheme="minorBidi" w:cstheme="minorBidi"/>
                <w:sz w:val="19"/>
                <w:szCs w:val="19"/>
                <w:rtl/>
              </w:rPr>
            </w:pPr>
          </w:p>
        </w:tc>
        <w:tc>
          <w:tcPr>
            <w:tcW w:w="994" w:type="dxa"/>
            <w:gridSpan w:val="2"/>
            <w:vAlign w:val="bottom"/>
          </w:tcPr>
          <w:p w14:paraId="40FA3CDB" w14:textId="77777777" w:rsidR="00EC46DF" w:rsidRPr="00D439C5" w:rsidRDefault="00EC46DF" w:rsidP="00976DDE">
            <w:pPr>
              <w:pStyle w:val="-7"/>
              <w:bidi w:val="0"/>
              <w:spacing w:line="60" w:lineRule="exact"/>
              <w:rPr>
                <w:rFonts w:asciiTheme="minorBidi" w:hAnsiTheme="minorBidi" w:cstheme="minorBidi"/>
                <w:sz w:val="19"/>
                <w:szCs w:val="19"/>
                <w:rtl/>
              </w:rPr>
            </w:pPr>
          </w:p>
        </w:tc>
      </w:tr>
      <w:tr w:rsidR="00EC46DF" w:rsidRPr="00543C25" w14:paraId="7C0D15F6" w14:textId="77777777" w:rsidTr="00AB0DD8">
        <w:trPr>
          <w:gridAfter w:val="1"/>
          <w:wAfter w:w="398" w:type="dxa"/>
          <w:trHeight w:val="259"/>
        </w:trPr>
        <w:tc>
          <w:tcPr>
            <w:tcW w:w="1077" w:type="dxa"/>
          </w:tcPr>
          <w:p w14:paraId="47A103D3" w14:textId="77777777" w:rsidR="00EC46DF" w:rsidRPr="00543C25" w:rsidRDefault="00EC46DF" w:rsidP="00976DDE">
            <w:pPr>
              <w:pStyle w:val="-7"/>
              <w:spacing w:line="240" w:lineRule="auto"/>
              <w:rPr>
                <w:rtl/>
              </w:rPr>
            </w:pPr>
          </w:p>
        </w:tc>
        <w:tc>
          <w:tcPr>
            <w:tcW w:w="4052" w:type="dxa"/>
            <w:gridSpan w:val="2"/>
            <w:vAlign w:val="bottom"/>
          </w:tcPr>
          <w:p w14:paraId="6BFC1A7D" w14:textId="6A423F8A" w:rsidR="00EC46DF" w:rsidRPr="00D439C5" w:rsidRDefault="00EC46DF" w:rsidP="00976DDE">
            <w:pPr>
              <w:pStyle w:val="-f"/>
              <w:rPr>
                <w:rFonts w:asciiTheme="minorBidi" w:hAnsiTheme="minorBidi" w:cstheme="minorBidi"/>
                <w:b w:val="0"/>
                <w:bCs w:val="0"/>
                <w:sz w:val="19"/>
                <w:szCs w:val="19"/>
                <w:rtl/>
              </w:rPr>
            </w:pPr>
            <w:r>
              <w:rPr>
                <w:rFonts w:hint="cs"/>
                <w:sz w:val="18"/>
                <w:szCs w:val="18"/>
                <w:rtl/>
              </w:rPr>
              <w:t>ל</w:t>
            </w:r>
            <w:r w:rsidRPr="00EA068B">
              <w:rPr>
                <w:rFonts w:hint="cs"/>
                <w:sz w:val="18"/>
                <w:szCs w:val="18"/>
                <w:rtl/>
              </w:rPr>
              <w:t>שלושה חודשים שהסתיימו ביום</w:t>
            </w:r>
            <w:r>
              <w:rPr>
                <w:rFonts w:hint="cs"/>
                <w:sz w:val="18"/>
                <w:szCs w:val="18"/>
                <w:rtl/>
              </w:rPr>
              <w:t xml:space="preserve"> 30 ביוני </w:t>
            </w:r>
            <w:r w:rsidRPr="00EB29D7">
              <w:rPr>
                <w:sz w:val="18"/>
                <w:szCs w:val="18"/>
                <w:rtl/>
              </w:rPr>
              <w:fldChar w:fldCharType="begin"/>
            </w:r>
            <w:r w:rsidRPr="00EB29D7">
              <w:rPr>
                <w:sz w:val="18"/>
                <w:szCs w:val="18"/>
                <w:rtl/>
              </w:rPr>
              <w:instrText xml:space="preserve"> </w:instrText>
            </w:r>
            <w:r w:rsidRPr="00EB29D7">
              <w:rPr>
                <w:rFonts w:hint="cs"/>
                <w:sz w:val="18"/>
                <w:szCs w:val="18"/>
                <w:rtl/>
              </w:rPr>
              <w:instrText xml:space="preserve">= </w:instrText>
            </w:r>
            <w:r w:rsidRPr="00EB29D7">
              <w:rPr>
                <w:rFonts w:hint="cs"/>
                <w:sz w:val="18"/>
                <w:szCs w:val="18"/>
              </w:rPr>
              <w:instrText>CY \* MERGEFORMAT</w:instrText>
            </w:r>
            <w:r w:rsidRPr="00EB29D7">
              <w:rPr>
                <w:sz w:val="18"/>
                <w:szCs w:val="18"/>
                <w:rtl/>
              </w:rPr>
              <w:instrText xml:space="preserve"> </w:instrText>
            </w:r>
            <w:r w:rsidRPr="00EB29D7">
              <w:rPr>
                <w:sz w:val="18"/>
                <w:szCs w:val="18"/>
                <w:rtl/>
              </w:rPr>
              <w:fldChar w:fldCharType="separate"/>
            </w:r>
            <w:r>
              <w:rPr>
                <w:noProof/>
                <w:sz w:val="18"/>
                <w:szCs w:val="18"/>
                <w:rtl/>
              </w:rPr>
              <w:t>2024</w:t>
            </w:r>
            <w:r w:rsidRPr="00EB29D7">
              <w:rPr>
                <w:sz w:val="18"/>
                <w:szCs w:val="18"/>
                <w:rtl/>
              </w:rPr>
              <w:fldChar w:fldCharType="end"/>
            </w:r>
            <w:r>
              <w:rPr>
                <w:sz w:val="18"/>
                <w:szCs w:val="18"/>
                <w:rtl/>
              </w:rPr>
              <w:br/>
            </w:r>
            <w:r w:rsidRPr="00CE19D7">
              <w:rPr>
                <w:rFonts w:hint="cs"/>
                <w:b w:val="0"/>
                <w:bCs w:val="0"/>
                <w:sz w:val="18"/>
                <w:szCs w:val="18"/>
                <w:u w:val="none"/>
                <w:rtl/>
              </w:rPr>
              <w:t>(בלתי מבוקר)</w:t>
            </w:r>
          </w:p>
        </w:tc>
        <w:tc>
          <w:tcPr>
            <w:tcW w:w="709" w:type="dxa"/>
            <w:gridSpan w:val="2"/>
          </w:tcPr>
          <w:p w14:paraId="41911FC0" w14:textId="77777777" w:rsidR="00EC46DF" w:rsidRPr="00D439C5" w:rsidRDefault="00EC46DF" w:rsidP="00976DDE">
            <w:pPr>
              <w:pStyle w:val="-7"/>
              <w:rPr>
                <w:rFonts w:asciiTheme="minorBidi" w:hAnsiTheme="minorBidi" w:cstheme="minorBidi"/>
                <w:sz w:val="19"/>
                <w:szCs w:val="19"/>
                <w:rtl/>
              </w:rPr>
            </w:pPr>
          </w:p>
        </w:tc>
        <w:tc>
          <w:tcPr>
            <w:tcW w:w="565" w:type="dxa"/>
            <w:gridSpan w:val="2"/>
          </w:tcPr>
          <w:p w14:paraId="777BE9C7" w14:textId="77777777" w:rsidR="00EC46DF" w:rsidRPr="00D439C5" w:rsidRDefault="00EC46DF" w:rsidP="00976DDE">
            <w:pPr>
              <w:pStyle w:val="-7"/>
              <w:rPr>
                <w:rFonts w:asciiTheme="minorBidi" w:hAnsiTheme="minorBidi" w:cstheme="minorBidi"/>
                <w:sz w:val="19"/>
                <w:szCs w:val="19"/>
                <w:rtl/>
              </w:rPr>
            </w:pPr>
          </w:p>
        </w:tc>
        <w:tc>
          <w:tcPr>
            <w:tcW w:w="567" w:type="dxa"/>
            <w:gridSpan w:val="2"/>
          </w:tcPr>
          <w:p w14:paraId="67C4801C" w14:textId="77777777" w:rsidR="00EC46DF" w:rsidRPr="00D439C5" w:rsidRDefault="00EC46DF" w:rsidP="00976DDE">
            <w:pPr>
              <w:pStyle w:val="-7"/>
              <w:rPr>
                <w:rFonts w:asciiTheme="minorBidi" w:hAnsiTheme="minorBidi" w:cstheme="minorBidi"/>
                <w:sz w:val="19"/>
                <w:szCs w:val="19"/>
                <w:rtl/>
              </w:rPr>
            </w:pPr>
          </w:p>
        </w:tc>
        <w:tc>
          <w:tcPr>
            <w:tcW w:w="641" w:type="dxa"/>
            <w:gridSpan w:val="2"/>
          </w:tcPr>
          <w:p w14:paraId="7873A615" w14:textId="77777777" w:rsidR="00EC46DF" w:rsidRPr="00D439C5" w:rsidRDefault="00EC46DF" w:rsidP="00976DDE">
            <w:pPr>
              <w:pStyle w:val="-7"/>
              <w:rPr>
                <w:rFonts w:asciiTheme="minorBidi" w:hAnsiTheme="minorBidi" w:cstheme="minorBidi"/>
                <w:sz w:val="19"/>
                <w:szCs w:val="19"/>
                <w:rtl/>
              </w:rPr>
            </w:pPr>
          </w:p>
        </w:tc>
        <w:tc>
          <w:tcPr>
            <w:tcW w:w="1202" w:type="dxa"/>
            <w:gridSpan w:val="2"/>
          </w:tcPr>
          <w:p w14:paraId="07B773C3" w14:textId="77777777" w:rsidR="00EC46DF" w:rsidRPr="00D439C5" w:rsidRDefault="00EC46DF" w:rsidP="00976DDE">
            <w:pPr>
              <w:pStyle w:val="-7"/>
              <w:rPr>
                <w:rFonts w:asciiTheme="minorBidi" w:hAnsiTheme="minorBidi" w:cstheme="minorBidi"/>
                <w:sz w:val="19"/>
                <w:szCs w:val="19"/>
                <w:rtl/>
              </w:rPr>
            </w:pPr>
          </w:p>
        </w:tc>
        <w:tc>
          <w:tcPr>
            <w:tcW w:w="994" w:type="dxa"/>
            <w:gridSpan w:val="2"/>
          </w:tcPr>
          <w:p w14:paraId="23E0A455" w14:textId="77777777" w:rsidR="00EC46DF" w:rsidRPr="00D439C5" w:rsidRDefault="00EC46DF" w:rsidP="00976DDE">
            <w:pPr>
              <w:pStyle w:val="-7"/>
              <w:rPr>
                <w:rFonts w:asciiTheme="minorBidi" w:hAnsiTheme="minorBidi" w:cstheme="minorBidi"/>
                <w:b/>
                <w:bCs/>
                <w:sz w:val="19"/>
                <w:szCs w:val="19"/>
                <w:rtl/>
              </w:rPr>
            </w:pPr>
          </w:p>
        </w:tc>
      </w:tr>
      <w:tr w:rsidR="00EC46DF" w:rsidRPr="00543C25" w14:paraId="4FDD3615" w14:textId="77777777" w:rsidTr="00CE19D7">
        <w:trPr>
          <w:gridAfter w:val="1"/>
          <w:wAfter w:w="398" w:type="dxa"/>
          <w:trHeight w:val="259"/>
        </w:trPr>
        <w:tc>
          <w:tcPr>
            <w:tcW w:w="1077" w:type="dxa"/>
            <w:vAlign w:val="center"/>
          </w:tcPr>
          <w:p w14:paraId="2F36216E" w14:textId="77777777" w:rsidR="00EC46DF" w:rsidRPr="003B24D4" w:rsidRDefault="00EC46DF" w:rsidP="00CE19D7">
            <w:pPr>
              <w:pStyle w:val="-fa"/>
              <w:ind w:right="-142"/>
              <w:rPr>
                <w:rtl/>
              </w:rPr>
            </w:pPr>
          </w:p>
        </w:tc>
        <w:tc>
          <w:tcPr>
            <w:tcW w:w="4052" w:type="dxa"/>
            <w:gridSpan w:val="2"/>
            <w:vAlign w:val="bottom"/>
          </w:tcPr>
          <w:p w14:paraId="7296DEF3" w14:textId="49AE3015" w:rsidR="00EC46DF" w:rsidRPr="00D439C5" w:rsidRDefault="00EC46DF" w:rsidP="00CE19D7">
            <w:pPr>
              <w:pStyle w:val="-b"/>
              <w:spacing w:before="60" w:after="60" w:line="240" w:lineRule="auto"/>
              <w:ind w:left="142" w:hanging="142"/>
              <w:rPr>
                <w:rFonts w:asciiTheme="minorBidi" w:hAnsiTheme="minorBidi" w:cstheme="minorBidi"/>
                <w:b w:val="0"/>
                <w:bCs w:val="0"/>
                <w:sz w:val="18"/>
                <w:szCs w:val="18"/>
                <w:rtl/>
              </w:rPr>
            </w:pPr>
            <w:r w:rsidRPr="00D439C5">
              <w:rPr>
                <w:rFonts w:asciiTheme="minorBidi" w:hAnsiTheme="minorBidi" w:cstheme="minorBidi"/>
                <w:sz w:val="18"/>
                <w:szCs w:val="18"/>
                <w:rtl/>
              </w:rPr>
              <w:t xml:space="preserve">יתרת הפרשה להפסדי אשראי </w:t>
            </w:r>
            <w:r>
              <w:rPr>
                <w:rFonts w:asciiTheme="minorBidi" w:hAnsiTheme="minorBidi" w:cstheme="minorBidi" w:hint="cs"/>
                <w:sz w:val="18"/>
                <w:szCs w:val="18"/>
                <w:rtl/>
              </w:rPr>
              <w:t xml:space="preserve">ליום </w:t>
            </w:r>
            <w:r>
              <w:rPr>
                <w:rFonts w:hint="cs"/>
                <w:sz w:val="18"/>
                <w:szCs w:val="18"/>
                <w:rtl/>
              </w:rPr>
              <w:t xml:space="preserve">31 במרץ </w:t>
            </w:r>
            <w:r w:rsidRPr="00EB29D7">
              <w:rPr>
                <w:sz w:val="14"/>
                <w:szCs w:val="14"/>
                <w:rtl/>
              </w:rPr>
              <w:fldChar w:fldCharType="begin"/>
            </w:r>
            <w:r w:rsidRPr="00EB29D7">
              <w:rPr>
                <w:sz w:val="14"/>
                <w:szCs w:val="14"/>
                <w:rtl/>
              </w:rPr>
              <w:instrText xml:space="preserve"> </w:instrText>
            </w:r>
            <w:r w:rsidRPr="00EB29D7">
              <w:rPr>
                <w:rFonts w:hint="cs"/>
                <w:sz w:val="14"/>
                <w:szCs w:val="14"/>
                <w:rtl/>
              </w:rPr>
              <w:instrText xml:space="preserve">= </w:instrText>
            </w:r>
            <w:r w:rsidRPr="00EB29D7">
              <w:rPr>
                <w:rFonts w:hint="cs"/>
                <w:sz w:val="14"/>
                <w:szCs w:val="14"/>
              </w:rPr>
              <w:instrText>CY \* MERGEFORMAT</w:instrText>
            </w:r>
            <w:r w:rsidRPr="00EB29D7">
              <w:rPr>
                <w:sz w:val="14"/>
                <w:szCs w:val="14"/>
                <w:rtl/>
              </w:rPr>
              <w:instrText xml:space="preserve"> </w:instrText>
            </w:r>
            <w:r w:rsidRPr="00EB29D7">
              <w:rPr>
                <w:sz w:val="14"/>
                <w:szCs w:val="14"/>
                <w:rtl/>
              </w:rPr>
              <w:fldChar w:fldCharType="separate"/>
            </w:r>
            <w:r w:rsidRPr="003A584F">
              <w:rPr>
                <w:noProof/>
                <w:sz w:val="18"/>
                <w:szCs w:val="18"/>
                <w:rtl/>
              </w:rPr>
              <w:t>2024</w:t>
            </w:r>
            <w:r w:rsidRPr="00EB29D7">
              <w:rPr>
                <w:sz w:val="14"/>
                <w:szCs w:val="14"/>
                <w:rtl/>
              </w:rPr>
              <w:fldChar w:fldCharType="end"/>
            </w:r>
          </w:p>
        </w:tc>
        <w:tc>
          <w:tcPr>
            <w:tcW w:w="709" w:type="dxa"/>
            <w:gridSpan w:val="2"/>
            <w:vAlign w:val="bottom"/>
          </w:tcPr>
          <w:p w14:paraId="20F3FF06" w14:textId="77777777" w:rsidR="00EC46DF" w:rsidRPr="002C0AFF" w:rsidRDefault="00EC46DF" w:rsidP="00976DDE">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565" w:type="dxa"/>
            <w:gridSpan w:val="2"/>
            <w:vAlign w:val="bottom"/>
          </w:tcPr>
          <w:p w14:paraId="4B8B4EA3" w14:textId="77777777" w:rsidR="00EC46DF" w:rsidRPr="002C0AFF" w:rsidRDefault="00EC46DF" w:rsidP="00976DDE">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567" w:type="dxa"/>
            <w:gridSpan w:val="2"/>
            <w:vAlign w:val="bottom"/>
          </w:tcPr>
          <w:p w14:paraId="3A54ABAA" w14:textId="77777777" w:rsidR="00EC46DF" w:rsidRPr="002C0AFF" w:rsidRDefault="00EC46DF" w:rsidP="00976DDE">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641" w:type="dxa"/>
            <w:gridSpan w:val="2"/>
            <w:vAlign w:val="bottom"/>
          </w:tcPr>
          <w:p w14:paraId="5D4A7A8A" w14:textId="77777777" w:rsidR="00EC46DF" w:rsidRPr="002C0AFF" w:rsidRDefault="00EC46DF" w:rsidP="00976DDE">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1202" w:type="dxa"/>
            <w:gridSpan w:val="2"/>
            <w:vAlign w:val="bottom"/>
          </w:tcPr>
          <w:p w14:paraId="0D4BDB8C" w14:textId="7BFF9BBE" w:rsidR="00EC46DF" w:rsidRPr="002C0AFF" w:rsidRDefault="00EC46DF" w:rsidP="002C0AFF">
            <w:pPr>
              <w:pStyle w:val="-3"/>
              <w:rPr>
                <w:rFonts w:asciiTheme="minorBidi" w:hAnsiTheme="minorBidi" w:cstheme="minorBidi"/>
                <w:b/>
                <w:bCs/>
                <w:sz w:val="18"/>
                <w:szCs w:val="18"/>
                <w:rtl/>
              </w:rPr>
            </w:pPr>
            <w:r w:rsidRPr="002C0AFF">
              <w:rPr>
                <w:rFonts w:asciiTheme="minorBidi" w:hAnsiTheme="minorBidi" w:cstheme="minorBidi" w:hint="cs"/>
                <w:b/>
                <w:bCs/>
                <w:sz w:val="18"/>
                <w:szCs w:val="18"/>
                <w:rtl/>
              </w:rPr>
              <w:t xml:space="preserve"> 0</w:t>
            </w:r>
          </w:p>
        </w:tc>
        <w:tc>
          <w:tcPr>
            <w:tcW w:w="994" w:type="dxa"/>
            <w:gridSpan w:val="2"/>
            <w:vAlign w:val="bottom"/>
          </w:tcPr>
          <w:p w14:paraId="3232546A" w14:textId="77777777" w:rsidR="00EC46DF" w:rsidRPr="002C0AFF" w:rsidRDefault="00EC46DF" w:rsidP="00976DDE">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r>
      <w:tr w:rsidR="00EC46DF" w:rsidRPr="00543C25" w14:paraId="5CEBF5F2" w14:textId="77777777" w:rsidTr="00AB0DD8">
        <w:trPr>
          <w:gridAfter w:val="1"/>
          <w:wAfter w:w="398" w:type="dxa"/>
          <w:trHeight w:val="259"/>
        </w:trPr>
        <w:tc>
          <w:tcPr>
            <w:tcW w:w="1077" w:type="dxa"/>
          </w:tcPr>
          <w:p w14:paraId="00151A68" w14:textId="77777777" w:rsidR="00EC46DF" w:rsidRPr="003B24D4" w:rsidRDefault="00EC46DF" w:rsidP="00976DDE">
            <w:pPr>
              <w:pStyle w:val="-fa"/>
              <w:ind w:right="-142"/>
              <w:rPr>
                <w:rtl/>
              </w:rPr>
            </w:pPr>
          </w:p>
        </w:tc>
        <w:tc>
          <w:tcPr>
            <w:tcW w:w="4052" w:type="dxa"/>
            <w:gridSpan w:val="2"/>
            <w:vAlign w:val="bottom"/>
          </w:tcPr>
          <w:p w14:paraId="2ED1C8DD" w14:textId="77777777" w:rsidR="00EC46DF" w:rsidRPr="00D439C5" w:rsidRDefault="00EC46DF" w:rsidP="00D6649E">
            <w:pPr>
              <w:pStyle w:val="-0"/>
              <w:spacing w:line="240" w:lineRule="auto"/>
              <w:rPr>
                <w:rFonts w:asciiTheme="minorBidi" w:hAnsiTheme="minorBidi" w:cstheme="minorBidi"/>
                <w:sz w:val="19"/>
                <w:szCs w:val="19"/>
              </w:rPr>
            </w:pPr>
            <w:r w:rsidRPr="00D439C5">
              <w:rPr>
                <w:rFonts w:asciiTheme="minorBidi" w:hAnsiTheme="minorBidi" w:cstheme="minorBidi"/>
                <w:sz w:val="19"/>
                <w:szCs w:val="19"/>
                <w:rtl/>
              </w:rPr>
              <w:t xml:space="preserve">הוצאות בגין הפסדי אשראי </w:t>
            </w:r>
          </w:p>
        </w:tc>
        <w:tc>
          <w:tcPr>
            <w:tcW w:w="709" w:type="dxa"/>
            <w:gridSpan w:val="2"/>
            <w:vAlign w:val="bottom"/>
          </w:tcPr>
          <w:p w14:paraId="411389F2" w14:textId="77777777" w:rsidR="00EC46DF" w:rsidRPr="002C0AFF" w:rsidRDefault="00EC46DF" w:rsidP="00976DDE">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5" w:type="dxa"/>
            <w:gridSpan w:val="2"/>
            <w:vAlign w:val="bottom"/>
          </w:tcPr>
          <w:p w14:paraId="259FE394" w14:textId="77777777" w:rsidR="00EC46DF" w:rsidRPr="002C0AFF" w:rsidRDefault="00EC46DF" w:rsidP="00976DDE">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7" w:type="dxa"/>
            <w:gridSpan w:val="2"/>
            <w:vAlign w:val="bottom"/>
          </w:tcPr>
          <w:p w14:paraId="01EA765E" w14:textId="77777777" w:rsidR="00EC46DF" w:rsidRPr="002C0AFF" w:rsidRDefault="00EC46DF" w:rsidP="00976DDE">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641" w:type="dxa"/>
            <w:gridSpan w:val="2"/>
            <w:vAlign w:val="bottom"/>
          </w:tcPr>
          <w:p w14:paraId="1ACBA035" w14:textId="77777777" w:rsidR="00EC46DF" w:rsidRPr="002C0AFF" w:rsidRDefault="00EC46DF" w:rsidP="00976DDE">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202" w:type="dxa"/>
            <w:gridSpan w:val="2"/>
            <w:vAlign w:val="bottom"/>
          </w:tcPr>
          <w:p w14:paraId="10CDE39B" w14:textId="71719854" w:rsidR="00EC46DF" w:rsidRPr="002C0AFF" w:rsidRDefault="00EC46DF" w:rsidP="002C0AFF">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994" w:type="dxa"/>
            <w:gridSpan w:val="2"/>
            <w:vAlign w:val="bottom"/>
          </w:tcPr>
          <w:p w14:paraId="45A16D53" w14:textId="77777777" w:rsidR="00EC46DF" w:rsidRPr="00EB5088" w:rsidRDefault="00EC46DF" w:rsidP="00976DDE">
            <w:pPr>
              <w:pStyle w:val="-3"/>
              <w:rPr>
                <w:rFonts w:asciiTheme="minorBidi" w:hAnsiTheme="minorBidi" w:cstheme="minorBidi"/>
                <w:sz w:val="18"/>
                <w:szCs w:val="18"/>
                <w:rtl/>
              </w:rPr>
            </w:pPr>
            <w:r w:rsidRPr="00EB5088">
              <w:rPr>
                <w:rFonts w:asciiTheme="minorBidi" w:hAnsiTheme="minorBidi" w:cstheme="minorBidi"/>
                <w:sz w:val="18"/>
                <w:szCs w:val="18"/>
                <w:rtl/>
              </w:rPr>
              <w:t xml:space="preserve"> 0</w:t>
            </w:r>
          </w:p>
        </w:tc>
      </w:tr>
      <w:tr w:rsidR="00EC46DF" w:rsidRPr="00543C25" w14:paraId="7F0215F9" w14:textId="77777777" w:rsidTr="00AB0DD8">
        <w:trPr>
          <w:gridAfter w:val="1"/>
          <w:wAfter w:w="398" w:type="dxa"/>
          <w:trHeight w:val="259"/>
        </w:trPr>
        <w:tc>
          <w:tcPr>
            <w:tcW w:w="1077" w:type="dxa"/>
          </w:tcPr>
          <w:p w14:paraId="63473B39" w14:textId="77777777" w:rsidR="00EC46DF" w:rsidRPr="003B24D4" w:rsidRDefault="00EC46DF" w:rsidP="00976DDE">
            <w:pPr>
              <w:pStyle w:val="-fa"/>
              <w:ind w:right="-142"/>
              <w:rPr>
                <w:rtl/>
              </w:rPr>
            </w:pPr>
          </w:p>
        </w:tc>
        <w:tc>
          <w:tcPr>
            <w:tcW w:w="4052" w:type="dxa"/>
            <w:gridSpan w:val="2"/>
            <w:vAlign w:val="bottom"/>
          </w:tcPr>
          <w:p w14:paraId="31E45DDD" w14:textId="77777777" w:rsidR="00EC46DF" w:rsidRPr="00D439C5" w:rsidRDefault="00EC46DF" w:rsidP="00324FB6">
            <w:pPr>
              <w:pStyle w:val="-21"/>
              <w:spacing w:before="120" w:line="180" w:lineRule="exact"/>
              <w:ind w:left="357" w:right="142" w:hanging="142"/>
              <w:rPr>
                <w:rFonts w:asciiTheme="minorBidi" w:hAnsiTheme="minorBidi" w:cstheme="minorBidi"/>
                <w:b/>
                <w:bCs/>
                <w:sz w:val="19"/>
                <w:szCs w:val="19"/>
              </w:rPr>
            </w:pPr>
            <w:r w:rsidRPr="00D439C5">
              <w:rPr>
                <w:rFonts w:asciiTheme="minorBidi" w:hAnsiTheme="minorBidi" w:cstheme="minorBidi"/>
                <w:sz w:val="19"/>
                <w:szCs w:val="19"/>
                <w:rtl/>
              </w:rPr>
              <w:t xml:space="preserve">מחיקות חשבונאיות </w:t>
            </w:r>
          </w:p>
        </w:tc>
        <w:tc>
          <w:tcPr>
            <w:tcW w:w="709" w:type="dxa"/>
            <w:gridSpan w:val="2"/>
            <w:vAlign w:val="bottom"/>
          </w:tcPr>
          <w:p w14:paraId="20F1AA6C" w14:textId="77777777" w:rsidR="00EC46DF" w:rsidRPr="002C0AFF" w:rsidRDefault="00EC46DF" w:rsidP="00976DDE">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565" w:type="dxa"/>
            <w:gridSpan w:val="2"/>
            <w:vAlign w:val="bottom"/>
          </w:tcPr>
          <w:p w14:paraId="7223C17B" w14:textId="77777777" w:rsidR="00EC46DF" w:rsidRPr="002C0AFF" w:rsidRDefault="00EC46DF" w:rsidP="00976DDE">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567" w:type="dxa"/>
            <w:gridSpan w:val="2"/>
            <w:vAlign w:val="bottom"/>
          </w:tcPr>
          <w:p w14:paraId="60C27A20" w14:textId="77777777" w:rsidR="00EC46DF" w:rsidRPr="002C0AFF" w:rsidRDefault="00EC46DF" w:rsidP="00976DDE">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641" w:type="dxa"/>
            <w:gridSpan w:val="2"/>
            <w:vAlign w:val="bottom"/>
          </w:tcPr>
          <w:p w14:paraId="1FD413F0" w14:textId="77777777" w:rsidR="00EC46DF" w:rsidRPr="002C0AFF" w:rsidRDefault="00EC46DF" w:rsidP="00976DDE">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1202" w:type="dxa"/>
            <w:gridSpan w:val="2"/>
            <w:vAlign w:val="bottom"/>
          </w:tcPr>
          <w:p w14:paraId="260DB0C3" w14:textId="77777777" w:rsidR="00EC46DF" w:rsidRPr="002C0AFF" w:rsidRDefault="00EC46DF" w:rsidP="002C0AFF">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994" w:type="dxa"/>
            <w:gridSpan w:val="2"/>
            <w:vAlign w:val="bottom"/>
          </w:tcPr>
          <w:p w14:paraId="7642E2C2" w14:textId="77777777" w:rsidR="00EC46DF" w:rsidRPr="00EB5088" w:rsidRDefault="00EC46DF" w:rsidP="00976DDE">
            <w:pPr>
              <w:pStyle w:val="-3"/>
              <w:rPr>
                <w:rFonts w:asciiTheme="minorBidi" w:hAnsiTheme="minorBidi" w:cstheme="minorBidi"/>
                <w:sz w:val="18"/>
                <w:szCs w:val="18"/>
                <w:rtl/>
              </w:rPr>
            </w:pPr>
            <w:r w:rsidRPr="00EB5088">
              <w:rPr>
                <w:rFonts w:asciiTheme="minorBidi" w:hAnsiTheme="minorBidi" w:cstheme="minorBidi"/>
                <w:sz w:val="18"/>
                <w:szCs w:val="18"/>
                <w:rtl/>
              </w:rPr>
              <w:t>(0)</w:t>
            </w:r>
          </w:p>
        </w:tc>
      </w:tr>
      <w:tr w:rsidR="00EC46DF" w:rsidRPr="00543C25" w14:paraId="20D75525" w14:textId="77777777" w:rsidTr="00AB0DD8">
        <w:trPr>
          <w:gridAfter w:val="1"/>
          <w:wAfter w:w="398" w:type="dxa"/>
          <w:trHeight w:val="259"/>
        </w:trPr>
        <w:tc>
          <w:tcPr>
            <w:tcW w:w="1077" w:type="dxa"/>
          </w:tcPr>
          <w:p w14:paraId="0E11E812" w14:textId="77777777" w:rsidR="00EC46DF" w:rsidRDefault="00EC46DF" w:rsidP="00976DDE">
            <w:pPr>
              <w:pStyle w:val="-fa"/>
              <w:ind w:right="-142"/>
              <w:rPr>
                <w:rtl/>
              </w:rPr>
            </w:pPr>
            <w:bookmarkStart w:id="26" w:name="_Hlk99891789"/>
          </w:p>
        </w:tc>
        <w:tc>
          <w:tcPr>
            <w:tcW w:w="4052" w:type="dxa"/>
            <w:gridSpan w:val="2"/>
            <w:vAlign w:val="bottom"/>
          </w:tcPr>
          <w:p w14:paraId="1839FD6F" w14:textId="0AF0CAB2" w:rsidR="00EC46DF" w:rsidRPr="00D439C5" w:rsidRDefault="00EC46DF" w:rsidP="00324FB6">
            <w:pPr>
              <w:pStyle w:val="-21"/>
              <w:spacing w:line="180" w:lineRule="exact"/>
              <w:ind w:left="361" w:right="144" w:hanging="142"/>
              <w:rPr>
                <w:rFonts w:asciiTheme="minorBidi" w:hAnsiTheme="minorBidi" w:cstheme="minorBidi"/>
                <w:sz w:val="19"/>
                <w:szCs w:val="19"/>
              </w:rPr>
            </w:pPr>
            <w:r w:rsidRPr="00D439C5">
              <w:rPr>
                <w:rFonts w:asciiTheme="minorBidi" w:hAnsiTheme="minorBidi" w:cstheme="minorBidi"/>
                <w:sz w:val="19"/>
                <w:szCs w:val="19"/>
                <w:rtl/>
              </w:rPr>
              <w:t xml:space="preserve">גביית חובות שנמחקו חשבונאית בשנים </w:t>
            </w:r>
            <w:r>
              <w:rPr>
                <w:rFonts w:asciiTheme="minorBidi" w:hAnsiTheme="minorBidi" w:cstheme="minorBidi" w:hint="cs"/>
                <w:sz w:val="19"/>
                <w:szCs w:val="19"/>
                <w:rtl/>
              </w:rPr>
              <w:t>ק</w:t>
            </w:r>
            <w:r w:rsidRPr="00D439C5">
              <w:rPr>
                <w:rFonts w:asciiTheme="minorBidi" w:hAnsiTheme="minorBidi" w:cstheme="minorBidi"/>
                <w:sz w:val="19"/>
                <w:szCs w:val="19"/>
                <w:rtl/>
              </w:rPr>
              <w:t>ודמות</w:t>
            </w:r>
          </w:p>
        </w:tc>
        <w:tc>
          <w:tcPr>
            <w:tcW w:w="709" w:type="dxa"/>
            <w:gridSpan w:val="2"/>
            <w:vAlign w:val="bottom"/>
          </w:tcPr>
          <w:p w14:paraId="03BC4BD7" w14:textId="77777777" w:rsidR="00EC46DF" w:rsidRPr="002C0AFF" w:rsidRDefault="00EC46DF" w:rsidP="00976DDE">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565" w:type="dxa"/>
            <w:gridSpan w:val="2"/>
            <w:vAlign w:val="bottom"/>
          </w:tcPr>
          <w:p w14:paraId="69B639A4" w14:textId="77777777" w:rsidR="00EC46DF" w:rsidRPr="002C0AFF" w:rsidRDefault="00EC46DF" w:rsidP="00976DDE">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567" w:type="dxa"/>
            <w:gridSpan w:val="2"/>
            <w:vAlign w:val="bottom"/>
          </w:tcPr>
          <w:p w14:paraId="0ECE2DCF" w14:textId="77777777" w:rsidR="00EC46DF" w:rsidRPr="002C0AFF" w:rsidRDefault="00EC46DF" w:rsidP="00976DDE">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641" w:type="dxa"/>
            <w:gridSpan w:val="2"/>
            <w:vAlign w:val="bottom"/>
          </w:tcPr>
          <w:p w14:paraId="16C020E3" w14:textId="77777777" w:rsidR="00EC46DF" w:rsidRPr="002C0AFF" w:rsidRDefault="00EC46DF" w:rsidP="00976DDE">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1202" w:type="dxa"/>
            <w:gridSpan w:val="2"/>
            <w:vAlign w:val="bottom"/>
          </w:tcPr>
          <w:p w14:paraId="63BA7144" w14:textId="3BC628CB" w:rsidR="00EC46DF" w:rsidRPr="002C0AFF" w:rsidRDefault="00EC46DF" w:rsidP="002C0AFF">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hint="cs"/>
                <w:szCs w:val="18"/>
                <w:rtl/>
              </w:rPr>
              <w:t xml:space="preserve"> 0</w:t>
            </w:r>
          </w:p>
        </w:tc>
        <w:tc>
          <w:tcPr>
            <w:tcW w:w="994" w:type="dxa"/>
            <w:gridSpan w:val="2"/>
            <w:vAlign w:val="bottom"/>
          </w:tcPr>
          <w:p w14:paraId="02981E84" w14:textId="77777777" w:rsidR="00EC46DF" w:rsidRPr="00EB5088" w:rsidRDefault="00EC46DF" w:rsidP="00976DDE">
            <w:pPr>
              <w:pStyle w:val="-120"/>
              <w:pBdr>
                <w:top w:val="none" w:sz="0" w:space="0" w:color="auto"/>
                <w:bottom w:val="single" w:sz="4" w:space="1" w:color="auto"/>
              </w:pBdr>
              <w:rPr>
                <w:rFonts w:asciiTheme="minorBidi" w:hAnsiTheme="minorBidi" w:cstheme="minorBidi"/>
                <w:szCs w:val="18"/>
                <w:rtl/>
              </w:rPr>
            </w:pPr>
            <w:r w:rsidRPr="00EB5088">
              <w:rPr>
                <w:rFonts w:asciiTheme="minorBidi" w:hAnsiTheme="minorBidi" w:cstheme="minorBidi"/>
                <w:szCs w:val="18"/>
                <w:rtl/>
              </w:rPr>
              <w:t xml:space="preserve"> 0</w:t>
            </w:r>
          </w:p>
        </w:tc>
      </w:tr>
      <w:bookmarkEnd w:id="26"/>
      <w:tr w:rsidR="00EC46DF" w:rsidRPr="00543C25" w14:paraId="5C4839F4" w14:textId="77777777" w:rsidTr="00AB0DD8">
        <w:trPr>
          <w:gridAfter w:val="1"/>
          <w:wAfter w:w="398" w:type="dxa"/>
          <w:trHeight w:val="259"/>
        </w:trPr>
        <w:tc>
          <w:tcPr>
            <w:tcW w:w="1077" w:type="dxa"/>
          </w:tcPr>
          <w:p w14:paraId="7FEA1FD7" w14:textId="77777777" w:rsidR="00EC46DF" w:rsidRPr="003B24D4" w:rsidRDefault="00EC46DF" w:rsidP="00976DDE">
            <w:pPr>
              <w:pStyle w:val="-fa"/>
              <w:ind w:right="-142"/>
              <w:rPr>
                <w:rtl/>
              </w:rPr>
            </w:pPr>
          </w:p>
        </w:tc>
        <w:tc>
          <w:tcPr>
            <w:tcW w:w="4052" w:type="dxa"/>
            <w:gridSpan w:val="2"/>
            <w:vAlign w:val="bottom"/>
          </w:tcPr>
          <w:p w14:paraId="1AB929CB" w14:textId="1611205A" w:rsidR="00EC46DF" w:rsidRPr="00D439C5" w:rsidRDefault="00EC46DF" w:rsidP="00324FB6">
            <w:pPr>
              <w:pStyle w:val="-0"/>
              <w:ind w:hanging="142"/>
              <w:rPr>
                <w:rFonts w:asciiTheme="minorBidi" w:hAnsiTheme="minorBidi" w:cstheme="minorBidi"/>
                <w:sz w:val="19"/>
                <w:szCs w:val="19"/>
                <w:rtl/>
              </w:rPr>
            </w:pPr>
            <w:r w:rsidRPr="00D439C5">
              <w:rPr>
                <w:rFonts w:asciiTheme="minorBidi" w:hAnsiTheme="minorBidi" w:cstheme="minorBidi"/>
                <w:sz w:val="19"/>
                <w:szCs w:val="19"/>
                <w:rtl/>
              </w:rPr>
              <w:t>מחיקות חשבונאיות</w:t>
            </w:r>
            <w:r>
              <w:rPr>
                <w:rFonts w:asciiTheme="minorBidi" w:hAnsiTheme="minorBidi" w:cstheme="minorBidi" w:hint="cs"/>
                <w:sz w:val="19"/>
                <w:szCs w:val="19"/>
                <w:rtl/>
              </w:rPr>
              <w:t>,</w:t>
            </w:r>
            <w:r w:rsidRPr="00D439C5">
              <w:rPr>
                <w:rFonts w:asciiTheme="minorBidi" w:hAnsiTheme="minorBidi" w:cstheme="minorBidi"/>
                <w:sz w:val="19"/>
                <w:szCs w:val="19"/>
                <w:rtl/>
              </w:rPr>
              <w:t xml:space="preserve"> נטו </w:t>
            </w:r>
          </w:p>
        </w:tc>
        <w:tc>
          <w:tcPr>
            <w:tcW w:w="709" w:type="dxa"/>
            <w:gridSpan w:val="2"/>
            <w:vAlign w:val="bottom"/>
          </w:tcPr>
          <w:p w14:paraId="4C851F6C" w14:textId="77777777" w:rsidR="00EC46DF" w:rsidRPr="002C0AFF" w:rsidRDefault="00EC46DF" w:rsidP="00976DDE">
            <w:pPr>
              <w:pStyle w:val="-3"/>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565" w:type="dxa"/>
            <w:gridSpan w:val="2"/>
            <w:vAlign w:val="bottom"/>
          </w:tcPr>
          <w:p w14:paraId="2A13416F" w14:textId="77777777" w:rsidR="00EC46DF" w:rsidRPr="002C0AFF" w:rsidRDefault="00EC46DF" w:rsidP="00976DDE">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7" w:type="dxa"/>
            <w:gridSpan w:val="2"/>
            <w:vAlign w:val="bottom"/>
          </w:tcPr>
          <w:p w14:paraId="3FC218F0" w14:textId="77777777" w:rsidR="00EC46DF" w:rsidRPr="002C0AFF" w:rsidRDefault="00EC46DF" w:rsidP="00976DDE">
            <w:pPr>
              <w:pStyle w:val="-3"/>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641" w:type="dxa"/>
            <w:gridSpan w:val="2"/>
            <w:vAlign w:val="bottom"/>
          </w:tcPr>
          <w:p w14:paraId="14439252" w14:textId="77777777" w:rsidR="00EC46DF" w:rsidRPr="002C0AFF" w:rsidRDefault="00EC46DF" w:rsidP="00976DDE">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202" w:type="dxa"/>
            <w:gridSpan w:val="2"/>
            <w:vAlign w:val="bottom"/>
          </w:tcPr>
          <w:p w14:paraId="7F51132D" w14:textId="50358283" w:rsidR="00EC46DF" w:rsidRPr="002C0AFF" w:rsidRDefault="00EC46DF" w:rsidP="002C0AFF">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994" w:type="dxa"/>
            <w:gridSpan w:val="2"/>
            <w:vAlign w:val="bottom"/>
          </w:tcPr>
          <w:p w14:paraId="645998CF" w14:textId="77777777" w:rsidR="00EC46DF" w:rsidRPr="00EB5088" w:rsidRDefault="00EC46DF" w:rsidP="00976DDE">
            <w:pPr>
              <w:pStyle w:val="-3"/>
              <w:rPr>
                <w:rFonts w:asciiTheme="minorBidi" w:hAnsiTheme="minorBidi" w:cstheme="minorBidi"/>
                <w:sz w:val="18"/>
                <w:szCs w:val="18"/>
                <w:rtl/>
              </w:rPr>
            </w:pPr>
            <w:r w:rsidRPr="00EB5088">
              <w:rPr>
                <w:rFonts w:asciiTheme="minorBidi" w:hAnsiTheme="minorBidi" w:cstheme="minorBidi"/>
                <w:sz w:val="18"/>
                <w:szCs w:val="18"/>
                <w:rtl/>
              </w:rPr>
              <w:t xml:space="preserve"> 0</w:t>
            </w:r>
          </w:p>
        </w:tc>
      </w:tr>
      <w:tr w:rsidR="00EC46DF" w:rsidRPr="00543C25" w14:paraId="1BE183B6" w14:textId="77777777" w:rsidTr="00AB0DD8">
        <w:trPr>
          <w:gridAfter w:val="1"/>
          <w:wAfter w:w="398" w:type="dxa"/>
          <w:trHeight w:val="259"/>
        </w:trPr>
        <w:tc>
          <w:tcPr>
            <w:tcW w:w="1077" w:type="dxa"/>
          </w:tcPr>
          <w:p w14:paraId="59E4300A" w14:textId="77777777" w:rsidR="00EC46DF" w:rsidRPr="003B24D4" w:rsidRDefault="00EC46DF" w:rsidP="00976DDE">
            <w:pPr>
              <w:pStyle w:val="-fa"/>
              <w:ind w:right="-142"/>
              <w:rPr>
                <w:rtl/>
              </w:rPr>
            </w:pPr>
          </w:p>
        </w:tc>
        <w:tc>
          <w:tcPr>
            <w:tcW w:w="4052" w:type="dxa"/>
            <w:gridSpan w:val="2"/>
            <w:vAlign w:val="bottom"/>
          </w:tcPr>
          <w:p w14:paraId="6BBD7D48" w14:textId="77777777" w:rsidR="00EC46DF" w:rsidRPr="00D439C5" w:rsidRDefault="00EC46DF" w:rsidP="00324FB6">
            <w:pPr>
              <w:pStyle w:val="-0"/>
              <w:spacing w:before="60" w:line="240" w:lineRule="auto"/>
              <w:ind w:left="142" w:hanging="142"/>
              <w:rPr>
                <w:rFonts w:asciiTheme="minorBidi" w:hAnsiTheme="minorBidi" w:cstheme="minorBidi"/>
                <w:sz w:val="19"/>
                <w:szCs w:val="19"/>
                <w:rtl/>
              </w:rPr>
            </w:pPr>
            <w:r w:rsidRPr="00D439C5">
              <w:rPr>
                <w:rFonts w:asciiTheme="minorBidi" w:hAnsiTheme="minorBidi" w:cstheme="minorBidi"/>
                <w:sz w:val="19"/>
                <w:szCs w:val="19"/>
                <w:rtl/>
              </w:rPr>
              <w:t>התאמות מתרגום דוחות כספיים</w:t>
            </w:r>
          </w:p>
        </w:tc>
        <w:tc>
          <w:tcPr>
            <w:tcW w:w="709" w:type="dxa"/>
            <w:gridSpan w:val="2"/>
            <w:vAlign w:val="bottom"/>
          </w:tcPr>
          <w:p w14:paraId="5F7C2DD0" w14:textId="77777777" w:rsidR="00EC46DF" w:rsidRPr="002C0AFF" w:rsidRDefault="00EC46DF" w:rsidP="00976DDE">
            <w:pPr>
              <w:pStyle w:val="-3"/>
              <w:rPr>
                <w:rFonts w:asciiTheme="minorBidi" w:hAnsiTheme="minorBidi" w:cstheme="minorBidi"/>
                <w:sz w:val="18"/>
                <w:szCs w:val="18"/>
              </w:rPr>
            </w:pPr>
            <w:r w:rsidRPr="002C0AFF">
              <w:rPr>
                <w:rFonts w:asciiTheme="minorBidi" w:hAnsiTheme="minorBidi" w:cstheme="minorBidi"/>
                <w:sz w:val="18"/>
                <w:szCs w:val="18"/>
                <w:rtl/>
              </w:rPr>
              <w:t xml:space="preserve"> 0</w:t>
            </w:r>
          </w:p>
        </w:tc>
        <w:tc>
          <w:tcPr>
            <w:tcW w:w="565" w:type="dxa"/>
            <w:gridSpan w:val="2"/>
            <w:vAlign w:val="bottom"/>
          </w:tcPr>
          <w:p w14:paraId="39F66BBD" w14:textId="77777777" w:rsidR="00EC46DF" w:rsidRPr="002C0AFF" w:rsidRDefault="00EC46DF" w:rsidP="00976DDE">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7" w:type="dxa"/>
            <w:gridSpan w:val="2"/>
            <w:vAlign w:val="bottom"/>
          </w:tcPr>
          <w:p w14:paraId="3D901012" w14:textId="77777777" w:rsidR="00EC46DF" w:rsidRPr="002C0AFF" w:rsidRDefault="00EC46DF" w:rsidP="00976DDE">
            <w:pPr>
              <w:pStyle w:val="-3"/>
              <w:rPr>
                <w:rFonts w:asciiTheme="minorBidi" w:hAnsiTheme="minorBidi" w:cstheme="minorBidi"/>
                <w:sz w:val="18"/>
                <w:szCs w:val="18"/>
              </w:rPr>
            </w:pPr>
            <w:r w:rsidRPr="002C0AFF">
              <w:rPr>
                <w:rFonts w:asciiTheme="minorBidi" w:hAnsiTheme="minorBidi" w:cstheme="minorBidi"/>
                <w:sz w:val="18"/>
                <w:szCs w:val="18"/>
                <w:rtl/>
              </w:rPr>
              <w:t xml:space="preserve"> 0</w:t>
            </w:r>
          </w:p>
        </w:tc>
        <w:tc>
          <w:tcPr>
            <w:tcW w:w="641" w:type="dxa"/>
            <w:gridSpan w:val="2"/>
            <w:vAlign w:val="bottom"/>
          </w:tcPr>
          <w:p w14:paraId="5AC55748" w14:textId="77777777" w:rsidR="00EC46DF" w:rsidRPr="002C0AFF" w:rsidRDefault="00EC46DF" w:rsidP="00976DDE">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202" w:type="dxa"/>
            <w:gridSpan w:val="2"/>
            <w:vAlign w:val="bottom"/>
          </w:tcPr>
          <w:p w14:paraId="5FB24FB4" w14:textId="59C60E9A" w:rsidR="00EC46DF" w:rsidRPr="002C0AFF" w:rsidRDefault="00EC46DF" w:rsidP="002C0AFF">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994" w:type="dxa"/>
            <w:gridSpan w:val="2"/>
            <w:vAlign w:val="bottom"/>
          </w:tcPr>
          <w:p w14:paraId="56A89178" w14:textId="77777777" w:rsidR="00EC46DF" w:rsidRPr="00EB5088" w:rsidRDefault="00EC46DF" w:rsidP="00976DDE">
            <w:pPr>
              <w:pStyle w:val="-3"/>
              <w:rPr>
                <w:rFonts w:asciiTheme="minorBidi" w:hAnsiTheme="minorBidi" w:cstheme="minorBidi"/>
                <w:sz w:val="18"/>
                <w:szCs w:val="18"/>
                <w:rtl/>
              </w:rPr>
            </w:pPr>
            <w:r w:rsidRPr="00EB5088">
              <w:rPr>
                <w:rFonts w:asciiTheme="minorBidi" w:hAnsiTheme="minorBidi" w:cstheme="minorBidi"/>
                <w:sz w:val="18"/>
                <w:szCs w:val="18"/>
                <w:rtl/>
              </w:rPr>
              <w:t xml:space="preserve"> 0</w:t>
            </w:r>
          </w:p>
        </w:tc>
      </w:tr>
      <w:tr w:rsidR="00EC46DF" w:rsidRPr="00543C25" w14:paraId="4DA1B056" w14:textId="77777777" w:rsidTr="00AB0DD8">
        <w:trPr>
          <w:gridAfter w:val="1"/>
          <w:wAfter w:w="398" w:type="dxa"/>
          <w:trHeight w:val="259"/>
        </w:trPr>
        <w:tc>
          <w:tcPr>
            <w:tcW w:w="1077" w:type="dxa"/>
          </w:tcPr>
          <w:p w14:paraId="35868BCC" w14:textId="77777777" w:rsidR="00EC46DF" w:rsidRPr="003B24D4" w:rsidRDefault="00EC46DF" w:rsidP="00976DDE">
            <w:pPr>
              <w:pStyle w:val="-fa"/>
              <w:ind w:right="-142"/>
              <w:rPr>
                <w:rtl/>
              </w:rPr>
            </w:pPr>
            <w:bookmarkStart w:id="27" w:name="_Hlk99892064"/>
          </w:p>
        </w:tc>
        <w:tc>
          <w:tcPr>
            <w:tcW w:w="4052" w:type="dxa"/>
            <w:gridSpan w:val="2"/>
            <w:vAlign w:val="bottom"/>
          </w:tcPr>
          <w:p w14:paraId="7D09D336" w14:textId="60A4050B" w:rsidR="00EC46DF" w:rsidRPr="00D439C5" w:rsidRDefault="00EC46DF" w:rsidP="00976DDE">
            <w:pPr>
              <w:pStyle w:val="-0"/>
              <w:spacing w:before="40" w:line="240" w:lineRule="auto"/>
              <w:ind w:left="142" w:hanging="142"/>
              <w:rPr>
                <w:rFonts w:asciiTheme="minorBidi" w:hAnsiTheme="minorBidi" w:cstheme="minorBidi"/>
                <w:b/>
                <w:bCs/>
                <w:sz w:val="19"/>
                <w:szCs w:val="19"/>
              </w:rPr>
            </w:pPr>
            <w:r w:rsidRPr="00D6649E">
              <w:rPr>
                <w:rFonts w:asciiTheme="minorBidi" w:hAnsiTheme="minorBidi" w:cstheme="minorBidi"/>
                <w:sz w:val="19"/>
                <w:szCs w:val="19"/>
                <w:rtl/>
              </w:rPr>
              <w:t>אחר</w:t>
            </w:r>
            <w:r w:rsidRPr="009E7447">
              <w:rPr>
                <w:vertAlign w:val="superscript"/>
                <w:rtl/>
              </w:rPr>
              <w:t>[</w:t>
            </w:r>
            <w:r w:rsidRPr="009E7447">
              <w:rPr>
                <w:vertAlign w:val="superscript"/>
                <w:rtl/>
              </w:rPr>
              <w:footnoteReference w:id="55"/>
            </w:r>
            <w:r w:rsidRPr="009E7447">
              <w:rPr>
                <w:vertAlign w:val="superscript"/>
                <w:rtl/>
              </w:rPr>
              <w:t>]</w:t>
            </w:r>
          </w:p>
        </w:tc>
        <w:tc>
          <w:tcPr>
            <w:tcW w:w="709" w:type="dxa"/>
            <w:gridSpan w:val="2"/>
            <w:vAlign w:val="bottom"/>
          </w:tcPr>
          <w:p w14:paraId="7CF8C197" w14:textId="77777777" w:rsidR="00EC46DF" w:rsidRPr="002C0AFF" w:rsidRDefault="00EC46DF" w:rsidP="00976DDE">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565" w:type="dxa"/>
            <w:gridSpan w:val="2"/>
            <w:vAlign w:val="bottom"/>
          </w:tcPr>
          <w:p w14:paraId="6E27AB2C" w14:textId="77777777" w:rsidR="00EC46DF" w:rsidRPr="002C0AFF" w:rsidRDefault="00EC46DF" w:rsidP="00976DDE">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7" w:type="dxa"/>
            <w:gridSpan w:val="2"/>
            <w:vAlign w:val="bottom"/>
          </w:tcPr>
          <w:p w14:paraId="02DEB7CA" w14:textId="77777777" w:rsidR="00EC46DF" w:rsidRPr="002C0AFF" w:rsidRDefault="00EC46DF" w:rsidP="00976DDE">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641" w:type="dxa"/>
            <w:gridSpan w:val="2"/>
            <w:vAlign w:val="bottom"/>
          </w:tcPr>
          <w:p w14:paraId="353D7D27" w14:textId="77777777" w:rsidR="00EC46DF" w:rsidRPr="002C0AFF" w:rsidRDefault="00EC46DF" w:rsidP="00976DDE">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202" w:type="dxa"/>
            <w:gridSpan w:val="2"/>
            <w:vAlign w:val="bottom"/>
          </w:tcPr>
          <w:p w14:paraId="12F70090" w14:textId="0FFC1D11" w:rsidR="00EC46DF" w:rsidRPr="002C0AFF" w:rsidRDefault="00EC46DF" w:rsidP="002C0AFF">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994" w:type="dxa"/>
            <w:gridSpan w:val="2"/>
            <w:vAlign w:val="bottom"/>
          </w:tcPr>
          <w:p w14:paraId="28DD520E" w14:textId="77777777" w:rsidR="00EC46DF" w:rsidRPr="00EB5088" w:rsidRDefault="00EC46DF" w:rsidP="00976DDE">
            <w:pPr>
              <w:pStyle w:val="-3"/>
              <w:pBdr>
                <w:bottom w:val="single" w:sz="4" w:space="1" w:color="auto"/>
              </w:pBdr>
              <w:rPr>
                <w:rFonts w:asciiTheme="minorBidi" w:hAnsiTheme="minorBidi" w:cstheme="minorBidi"/>
                <w:sz w:val="18"/>
                <w:szCs w:val="18"/>
                <w:rtl/>
              </w:rPr>
            </w:pPr>
            <w:r w:rsidRPr="00EB5088">
              <w:rPr>
                <w:rFonts w:asciiTheme="minorBidi" w:hAnsiTheme="minorBidi" w:cstheme="minorBidi"/>
                <w:sz w:val="18"/>
                <w:szCs w:val="18"/>
                <w:rtl/>
              </w:rPr>
              <w:t xml:space="preserve"> 0</w:t>
            </w:r>
          </w:p>
        </w:tc>
      </w:tr>
      <w:tr w:rsidR="00EC46DF" w:rsidRPr="00BA061F" w14:paraId="18545604" w14:textId="77777777" w:rsidTr="00AB0DD8">
        <w:trPr>
          <w:gridAfter w:val="1"/>
          <w:wAfter w:w="398" w:type="dxa"/>
        </w:trPr>
        <w:tc>
          <w:tcPr>
            <w:tcW w:w="1077" w:type="dxa"/>
          </w:tcPr>
          <w:p w14:paraId="4EF6B77F" w14:textId="77777777" w:rsidR="00EC46DF" w:rsidRDefault="00EC46DF" w:rsidP="00976DDE">
            <w:pPr>
              <w:pStyle w:val="-fa"/>
              <w:bidi w:val="0"/>
              <w:ind w:right="-142"/>
              <w:jc w:val="both"/>
              <w:rPr>
                <w:rtl/>
              </w:rPr>
            </w:pPr>
            <w:bookmarkStart w:id="28" w:name="_Hlk99892174"/>
            <w:bookmarkEnd w:id="27"/>
          </w:p>
        </w:tc>
        <w:tc>
          <w:tcPr>
            <w:tcW w:w="4052" w:type="dxa"/>
            <w:gridSpan w:val="2"/>
            <w:vAlign w:val="bottom"/>
          </w:tcPr>
          <w:p w14:paraId="5F31722A" w14:textId="14ED69E5" w:rsidR="00EC46DF" w:rsidRPr="00D439C5" w:rsidRDefault="00EC46DF" w:rsidP="00976DDE">
            <w:pPr>
              <w:pStyle w:val="-b"/>
              <w:bidi w:val="0"/>
              <w:spacing w:line="240" w:lineRule="auto"/>
              <w:jc w:val="right"/>
              <w:rPr>
                <w:rFonts w:asciiTheme="minorBidi" w:hAnsiTheme="minorBidi" w:cstheme="minorBidi"/>
                <w:sz w:val="19"/>
                <w:szCs w:val="19"/>
              </w:rPr>
            </w:pPr>
            <w:r w:rsidRPr="00A16306">
              <w:rPr>
                <w:sz w:val="18"/>
                <w:szCs w:val="18"/>
                <w:rtl/>
              </w:rPr>
              <w:t>יתר</w:t>
            </w:r>
            <w:r>
              <w:rPr>
                <w:rFonts w:hint="cs"/>
                <w:sz w:val="18"/>
                <w:szCs w:val="18"/>
                <w:rtl/>
              </w:rPr>
              <w:t>ת הפרשה להפסדי אשראי</w:t>
            </w:r>
            <w:r w:rsidRPr="00A16306">
              <w:rPr>
                <w:rFonts w:hint="cs"/>
                <w:sz w:val="18"/>
                <w:szCs w:val="18"/>
                <w:rtl/>
              </w:rPr>
              <w:t xml:space="preserve"> </w:t>
            </w:r>
            <w:r>
              <w:rPr>
                <w:rFonts w:hint="cs"/>
                <w:sz w:val="18"/>
                <w:szCs w:val="18"/>
                <w:rtl/>
              </w:rPr>
              <w:t xml:space="preserve">ליום 30 ביוני </w:t>
            </w:r>
            <w:r w:rsidRPr="00EB29D7">
              <w:rPr>
                <w:sz w:val="18"/>
                <w:szCs w:val="18"/>
                <w:rtl/>
              </w:rPr>
              <w:fldChar w:fldCharType="begin"/>
            </w:r>
            <w:r w:rsidRPr="00EB29D7">
              <w:rPr>
                <w:sz w:val="18"/>
                <w:szCs w:val="18"/>
                <w:rtl/>
              </w:rPr>
              <w:instrText xml:space="preserve"> </w:instrText>
            </w:r>
            <w:r w:rsidRPr="00EB29D7">
              <w:rPr>
                <w:rFonts w:hint="cs"/>
                <w:sz w:val="18"/>
                <w:szCs w:val="18"/>
                <w:rtl/>
              </w:rPr>
              <w:instrText xml:space="preserve">= </w:instrText>
            </w:r>
            <w:r w:rsidRPr="00EB29D7">
              <w:rPr>
                <w:rFonts w:hint="cs"/>
                <w:sz w:val="18"/>
                <w:szCs w:val="18"/>
              </w:rPr>
              <w:instrText>CY \* MERGEFORMAT</w:instrText>
            </w:r>
            <w:r w:rsidRPr="00EB29D7">
              <w:rPr>
                <w:sz w:val="18"/>
                <w:szCs w:val="18"/>
                <w:rtl/>
              </w:rPr>
              <w:instrText xml:space="preserve"> </w:instrText>
            </w:r>
            <w:r w:rsidRPr="00EB29D7">
              <w:rPr>
                <w:sz w:val="18"/>
                <w:szCs w:val="18"/>
                <w:rtl/>
              </w:rPr>
              <w:fldChar w:fldCharType="separate"/>
            </w:r>
            <w:r>
              <w:rPr>
                <w:noProof/>
                <w:sz w:val="18"/>
                <w:szCs w:val="18"/>
                <w:rtl/>
              </w:rPr>
              <w:t>2024</w:t>
            </w:r>
            <w:r w:rsidRPr="00EB29D7">
              <w:rPr>
                <w:sz w:val="18"/>
                <w:szCs w:val="18"/>
                <w:rtl/>
              </w:rPr>
              <w:fldChar w:fldCharType="end"/>
            </w:r>
          </w:p>
        </w:tc>
        <w:tc>
          <w:tcPr>
            <w:tcW w:w="709" w:type="dxa"/>
            <w:gridSpan w:val="2"/>
            <w:vAlign w:val="bottom"/>
          </w:tcPr>
          <w:p w14:paraId="06F59133" w14:textId="77777777" w:rsidR="00EC46DF" w:rsidRPr="00EB5088" w:rsidRDefault="00EC46DF" w:rsidP="00976DDE">
            <w:pPr>
              <w:pStyle w:val="-3"/>
              <w:pBdr>
                <w:bottom w:val="double" w:sz="4" w:space="1" w:color="auto"/>
              </w:pBdr>
              <w:rPr>
                <w:rFonts w:asciiTheme="minorBidi" w:hAnsiTheme="minorBidi" w:cstheme="minorBidi"/>
                <w:b/>
                <w:bCs/>
                <w:sz w:val="18"/>
                <w:szCs w:val="18"/>
                <w:rtl/>
              </w:rPr>
            </w:pPr>
            <w:r w:rsidRPr="00EB5088">
              <w:rPr>
                <w:rFonts w:asciiTheme="minorBidi" w:hAnsiTheme="minorBidi" w:cstheme="minorBidi"/>
                <w:b/>
                <w:bCs/>
                <w:sz w:val="18"/>
                <w:szCs w:val="18"/>
                <w:rtl/>
              </w:rPr>
              <w:t xml:space="preserve"> 0</w:t>
            </w:r>
          </w:p>
        </w:tc>
        <w:tc>
          <w:tcPr>
            <w:tcW w:w="565" w:type="dxa"/>
            <w:gridSpan w:val="2"/>
            <w:vAlign w:val="bottom"/>
          </w:tcPr>
          <w:p w14:paraId="15D00023" w14:textId="77777777" w:rsidR="00EC46DF" w:rsidRPr="00EB5088" w:rsidRDefault="00EC46DF" w:rsidP="00976DDE">
            <w:pPr>
              <w:pStyle w:val="-3"/>
              <w:pBdr>
                <w:bottom w:val="double" w:sz="4" w:space="1" w:color="auto"/>
              </w:pBdr>
              <w:rPr>
                <w:rFonts w:asciiTheme="minorBidi" w:hAnsiTheme="minorBidi" w:cstheme="minorBidi"/>
                <w:b/>
                <w:bCs/>
                <w:sz w:val="18"/>
                <w:szCs w:val="18"/>
                <w:rtl/>
              </w:rPr>
            </w:pPr>
            <w:r w:rsidRPr="00EB5088">
              <w:rPr>
                <w:rFonts w:asciiTheme="minorBidi" w:hAnsiTheme="minorBidi" w:cstheme="minorBidi"/>
                <w:b/>
                <w:bCs/>
                <w:sz w:val="18"/>
                <w:szCs w:val="18"/>
                <w:rtl/>
              </w:rPr>
              <w:t xml:space="preserve"> 0</w:t>
            </w:r>
          </w:p>
        </w:tc>
        <w:tc>
          <w:tcPr>
            <w:tcW w:w="567" w:type="dxa"/>
            <w:gridSpan w:val="2"/>
            <w:vAlign w:val="bottom"/>
          </w:tcPr>
          <w:p w14:paraId="67A1F170" w14:textId="77777777" w:rsidR="00EC46DF" w:rsidRPr="00320701" w:rsidRDefault="00EC46DF" w:rsidP="00976DDE">
            <w:pPr>
              <w:pStyle w:val="-3"/>
              <w:pBdr>
                <w:bottom w:val="double" w:sz="4" w:space="1" w:color="auto"/>
              </w:pBdr>
              <w:rPr>
                <w:rFonts w:asciiTheme="minorBidi" w:hAnsiTheme="minorBidi" w:cstheme="minorBidi"/>
                <w:b/>
                <w:bCs/>
                <w:sz w:val="18"/>
                <w:szCs w:val="18"/>
                <w:rtl/>
              </w:rPr>
            </w:pPr>
            <w:r w:rsidRPr="00EB5088">
              <w:rPr>
                <w:rFonts w:asciiTheme="minorBidi" w:hAnsiTheme="minorBidi" w:cstheme="minorBidi"/>
                <w:b/>
                <w:bCs/>
                <w:sz w:val="18"/>
                <w:szCs w:val="18"/>
                <w:rtl/>
              </w:rPr>
              <w:t xml:space="preserve"> 0</w:t>
            </w:r>
          </w:p>
        </w:tc>
        <w:tc>
          <w:tcPr>
            <w:tcW w:w="641" w:type="dxa"/>
            <w:gridSpan w:val="2"/>
            <w:vAlign w:val="bottom"/>
          </w:tcPr>
          <w:p w14:paraId="4AB854C4" w14:textId="77777777" w:rsidR="00EC46DF" w:rsidRPr="00320701" w:rsidRDefault="00EC46DF" w:rsidP="00976DDE">
            <w:pPr>
              <w:pStyle w:val="-3"/>
              <w:pBdr>
                <w:bottom w:val="double" w:sz="4" w:space="1" w:color="auto"/>
              </w:pBdr>
              <w:rPr>
                <w:rFonts w:asciiTheme="minorBidi" w:hAnsiTheme="minorBidi" w:cstheme="minorBidi"/>
                <w:b/>
                <w:bCs/>
                <w:sz w:val="18"/>
                <w:szCs w:val="18"/>
                <w:rtl/>
              </w:rPr>
            </w:pPr>
            <w:r w:rsidRPr="00EB5088">
              <w:rPr>
                <w:rFonts w:asciiTheme="minorBidi" w:hAnsiTheme="minorBidi" w:cstheme="minorBidi"/>
                <w:b/>
                <w:bCs/>
                <w:sz w:val="18"/>
                <w:szCs w:val="18"/>
                <w:rtl/>
              </w:rPr>
              <w:t xml:space="preserve"> 0</w:t>
            </w:r>
          </w:p>
        </w:tc>
        <w:tc>
          <w:tcPr>
            <w:tcW w:w="1202" w:type="dxa"/>
            <w:gridSpan w:val="2"/>
            <w:vAlign w:val="bottom"/>
          </w:tcPr>
          <w:p w14:paraId="1C98BF71" w14:textId="74A87332" w:rsidR="00EC46DF" w:rsidRPr="002C0AFF" w:rsidRDefault="00EC46DF" w:rsidP="002C0AFF">
            <w:pPr>
              <w:pStyle w:val="-3"/>
              <w:pBdr>
                <w:bottom w:val="double" w:sz="4" w:space="1" w:color="auto"/>
              </w:pBdr>
              <w:rPr>
                <w:rFonts w:asciiTheme="minorBidi" w:hAnsiTheme="minorBidi" w:cstheme="minorBidi"/>
                <w:b/>
                <w:bCs/>
                <w:sz w:val="18"/>
                <w:szCs w:val="18"/>
                <w:rtl/>
              </w:rPr>
            </w:pPr>
            <w:r w:rsidRPr="002C0AFF">
              <w:rPr>
                <w:rFonts w:asciiTheme="minorBidi" w:hAnsiTheme="minorBidi" w:cstheme="minorBidi" w:hint="cs"/>
                <w:b/>
                <w:bCs/>
                <w:sz w:val="18"/>
                <w:szCs w:val="18"/>
                <w:rtl/>
              </w:rPr>
              <w:t xml:space="preserve"> 0</w:t>
            </w:r>
          </w:p>
        </w:tc>
        <w:tc>
          <w:tcPr>
            <w:tcW w:w="994" w:type="dxa"/>
            <w:gridSpan w:val="2"/>
            <w:vAlign w:val="bottom"/>
          </w:tcPr>
          <w:p w14:paraId="2AF51C88" w14:textId="77777777" w:rsidR="00EC46DF" w:rsidRPr="002C0AFF" w:rsidRDefault="00EC46DF" w:rsidP="00976DDE">
            <w:pPr>
              <w:pStyle w:val="-3"/>
              <w:pBdr>
                <w:bottom w:val="double" w:sz="4" w:space="1" w:color="auto"/>
              </w:pBdr>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r>
      <w:bookmarkEnd w:id="28"/>
      <w:tr w:rsidR="00EC46DF" w:rsidRPr="00BA061F" w14:paraId="6A3AE548" w14:textId="77777777" w:rsidTr="00AB0DD8">
        <w:trPr>
          <w:gridAfter w:val="1"/>
          <w:wAfter w:w="398" w:type="dxa"/>
          <w:trHeight w:hRule="exact" w:val="57"/>
        </w:trPr>
        <w:tc>
          <w:tcPr>
            <w:tcW w:w="1077" w:type="dxa"/>
          </w:tcPr>
          <w:p w14:paraId="76748B4D" w14:textId="77777777" w:rsidR="00EC46DF" w:rsidRDefault="00EC46DF" w:rsidP="00976DDE">
            <w:pPr>
              <w:pStyle w:val="-fa"/>
              <w:bidi w:val="0"/>
              <w:ind w:right="-142"/>
              <w:jc w:val="both"/>
              <w:rPr>
                <w:rtl/>
              </w:rPr>
            </w:pPr>
          </w:p>
        </w:tc>
        <w:tc>
          <w:tcPr>
            <w:tcW w:w="4052" w:type="dxa"/>
            <w:gridSpan w:val="2"/>
            <w:vAlign w:val="bottom"/>
          </w:tcPr>
          <w:p w14:paraId="56D96945" w14:textId="77777777" w:rsidR="00EC46DF" w:rsidRPr="00FF46FA" w:rsidRDefault="00EC46DF" w:rsidP="00976DDE">
            <w:pPr>
              <w:pStyle w:val="-b"/>
              <w:bidi w:val="0"/>
              <w:spacing w:line="240" w:lineRule="auto"/>
              <w:jc w:val="right"/>
              <w:rPr>
                <w:rFonts w:asciiTheme="minorBidi" w:hAnsiTheme="minorBidi" w:cstheme="minorBidi"/>
                <w:b w:val="0"/>
                <w:bCs w:val="0"/>
                <w:sz w:val="19"/>
                <w:szCs w:val="19"/>
                <w:rtl/>
              </w:rPr>
            </w:pPr>
          </w:p>
        </w:tc>
        <w:tc>
          <w:tcPr>
            <w:tcW w:w="709" w:type="dxa"/>
            <w:gridSpan w:val="2"/>
            <w:vAlign w:val="bottom"/>
          </w:tcPr>
          <w:p w14:paraId="6DA85335"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c>
          <w:tcPr>
            <w:tcW w:w="565" w:type="dxa"/>
            <w:gridSpan w:val="2"/>
            <w:vAlign w:val="bottom"/>
          </w:tcPr>
          <w:p w14:paraId="6D8CFB9B"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c>
          <w:tcPr>
            <w:tcW w:w="567" w:type="dxa"/>
            <w:gridSpan w:val="2"/>
            <w:vAlign w:val="bottom"/>
          </w:tcPr>
          <w:p w14:paraId="549D641D"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c>
          <w:tcPr>
            <w:tcW w:w="641" w:type="dxa"/>
            <w:gridSpan w:val="2"/>
            <w:vAlign w:val="bottom"/>
          </w:tcPr>
          <w:p w14:paraId="3516A1A6"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c>
          <w:tcPr>
            <w:tcW w:w="1202" w:type="dxa"/>
            <w:gridSpan w:val="2"/>
            <w:vAlign w:val="bottom"/>
          </w:tcPr>
          <w:p w14:paraId="40443379" w14:textId="77777777" w:rsidR="00EC46DF" w:rsidRPr="002C0AFF" w:rsidRDefault="00EC46DF" w:rsidP="00AC7205">
            <w:pPr>
              <w:pStyle w:val="-3"/>
              <w:bidi w:val="0"/>
              <w:spacing w:line="240" w:lineRule="auto"/>
              <w:jc w:val="center"/>
              <w:rPr>
                <w:rFonts w:asciiTheme="minorBidi" w:hAnsiTheme="minorBidi" w:cstheme="minorBidi"/>
                <w:b/>
                <w:bCs/>
                <w:sz w:val="18"/>
                <w:szCs w:val="18"/>
                <w:rtl/>
              </w:rPr>
            </w:pPr>
          </w:p>
        </w:tc>
        <w:tc>
          <w:tcPr>
            <w:tcW w:w="994" w:type="dxa"/>
            <w:gridSpan w:val="2"/>
            <w:vAlign w:val="bottom"/>
          </w:tcPr>
          <w:p w14:paraId="13777E74"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r>
      <w:tr w:rsidR="00EC46DF" w:rsidRPr="00BA061F" w14:paraId="7007BD3E" w14:textId="77777777" w:rsidTr="00AB0DD8">
        <w:trPr>
          <w:gridAfter w:val="1"/>
          <w:wAfter w:w="398" w:type="dxa"/>
        </w:trPr>
        <w:tc>
          <w:tcPr>
            <w:tcW w:w="1077" w:type="dxa"/>
          </w:tcPr>
          <w:p w14:paraId="707ADD62" w14:textId="77777777" w:rsidR="00EC46DF" w:rsidRDefault="00EC46DF" w:rsidP="00976DDE">
            <w:pPr>
              <w:pStyle w:val="-fa"/>
              <w:bidi w:val="0"/>
              <w:ind w:right="-142"/>
              <w:jc w:val="both"/>
              <w:rPr>
                <w:rtl/>
              </w:rPr>
            </w:pPr>
            <w:bookmarkStart w:id="29" w:name="_Hlk99892320"/>
          </w:p>
        </w:tc>
        <w:tc>
          <w:tcPr>
            <w:tcW w:w="4052" w:type="dxa"/>
            <w:gridSpan w:val="2"/>
            <w:vAlign w:val="bottom"/>
          </w:tcPr>
          <w:p w14:paraId="79955FFD" w14:textId="3E956E69" w:rsidR="00EC46DF" w:rsidRPr="00324FB6" w:rsidRDefault="00EC46DF" w:rsidP="00324FB6">
            <w:pPr>
              <w:pStyle w:val="-b"/>
              <w:bidi w:val="0"/>
              <w:spacing w:before="60" w:line="240" w:lineRule="auto"/>
              <w:ind w:left="142" w:right="181" w:hanging="142"/>
              <w:jc w:val="right"/>
              <w:rPr>
                <w:rFonts w:asciiTheme="minorBidi" w:hAnsiTheme="minorBidi" w:cstheme="minorBidi"/>
                <w:b w:val="0"/>
                <w:bCs w:val="0"/>
                <w:sz w:val="19"/>
                <w:szCs w:val="19"/>
              </w:rPr>
            </w:pPr>
            <w:r w:rsidRPr="00324FB6">
              <w:rPr>
                <w:rFonts w:hint="cs"/>
                <w:b w:val="0"/>
                <w:bCs w:val="0"/>
                <w:sz w:val="19"/>
                <w:szCs w:val="19"/>
                <w:rtl/>
              </w:rPr>
              <w:t>מזה: בגין מכשירי אשראי חוץ מאזניים</w:t>
            </w:r>
          </w:p>
        </w:tc>
        <w:tc>
          <w:tcPr>
            <w:tcW w:w="709" w:type="dxa"/>
            <w:gridSpan w:val="2"/>
            <w:vAlign w:val="bottom"/>
          </w:tcPr>
          <w:p w14:paraId="72907307" w14:textId="77777777" w:rsidR="00EC46DF" w:rsidRPr="002C0AFF" w:rsidRDefault="00EC46DF" w:rsidP="00976DDE">
            <w:pPr>
              <w:pStyle w:val="-3"/>
              <w:rPr>
                <w:rFonts w:asciiTheme="minorBidi" w:hAnsiTheme="minorBidi" w:cstheme="minorBidi"/>
                <w:sz w:val="18"/>
                <w:szCs w:val="18"/>
                <w:rtl/>
              </w:rPr>
            </w:pPr>
            <w:r w:rsidRPr="002C0AFF">
              <w:rPr>
                <w:rFonts w:hint="cs"/>
                <w:sz w:val="18"/>
                <w:szCs w:val="18"/>
                <w:rtl/>
              </w:rPr>
              <w:t xml:space="preserve"> 0</w:t>
            </w:r>
          </w:p>
        </w:tc>
        <w:tc>
          <w:tcPr>
            <w:tcW w:w="565" w:type="dxa"/>
            <w:gridSpan w:val="2"/>
            <w:vAlign w:val="bottom"/>
          </w:tcPr>
          <w:p w14:paraId="2A99D924" w14:textId="77777777" w:rsidR="00EC46DF" w:rsidRPr="002C0AFF" w:rsidRDefault="00EC46DF" w:rsidP="00976DDE">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567" w:type="dxa"/>
            <w:gridSpan w:val="2"/>
            <w:vAlign w:val="bottom"/>
          </w:tcPr>
          <w:p w14:paraId="6B2C0ED2" w14:textId="77777777" w:rsidR="00EC46DF" w:rsidRPr="002C0AFF" w:rsidRDefault="00EC46DF" w:rsidP="00976DDE">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641" w:type="dxa"/>
            <w:gridSpan w:val="2"/>
            <w:vAlign w:val="bottom"/>
          </w:tcPr>
          <w:p w14:paraId="144178D7" w14:textId="77777777" w:rsidR="00EC46DF" w:rsidRPr="002C0AFF" w:rsidRDefault="00EC46DF" w:rsidP="00976DDE">
            <w:pPr>
              <w:pStyle w:val="-3"/>
              <w:rPr>
                <w:rFonts w:asciiTheme="minorBidi" w:hAnsiTheme="minorBidi" w:cstheme="minorBidi"/>
                <w:sz w:val="18"/>
                <w:szCs w:val="18"/>
                <w:rtl/>
              </w:rPr>
            </w:pPr>
            <w:r w:rsidRPr="002C0AFF">
              <w:rPr>
                <w:rFonts w:hint="cs"/>
                <w:sz w:val="18"/>
                <w:szCs w:val="18"/>
                <w:rtl/>
              </w:rPr>
              <w:t xml:space="preserve"> 0</w:t>
            </w:r>
          </w:p>
        </w:tc>
        <w:tc>
          <w:tcPr>
            <w:tcW w:w="1202" w:type="dxa"/>
            <w:gridSpan w:val="2"/>
            <w:vAlign w:val="bottom"/>
          </w:tcPr>
          <w:p w14:paraId="2EC58EF9" w14:textId="11B9AA55" w:rsidR="00EC46DF" w:rsidRPr="002C0AFF" w:rsidRDefault="00EC46DF" w:rsidP="002C0AFF">
            <w:pPr>
              <w:pStyle w:val="-3"/>
              <w:rPr>
                <w:sz w:val="18"/>
                <w:szCs w:val="18"/>
                <w:rtl/>
              </w:rPr>
            </w:pPr>
            <w:r w:rsidRPr="002C0AFF">
              <w:rPr>
                <w:rFonts w:hint="cs"/>
                <w:sz w:val="18"/>
                <w:szCs w:val="18"/>
                <w:rtl/>
              </w:rPr>
              <w:t xml:space="preserve"> 0</w:t>
            </w:r>
          </w:p>
        </w:tc>
        <w:tc>
          <w:tcPr>
            <w:tcW w:w="994" w:type="dxa"/>
            <w:gridSpan w:val="2"/>
            <w:vAlign w:val="bottom"/>
          </w:tcPr>
          <w:p w14:paraId="6C0AA924" w14:textId="77777777" w:rsidR="00EC46DF" w:rsidRPr="00EB5088" w:rsidRDefault="00EC46DF" w:rsidP="00976DDE">
            <w:pPr>
              <w:pStyle w:val="-3"/>
              <w:rPr>
                <w:rFonts w:asciiTheme="minorBidi" w:hAnsiTheme="minorBidi" w:cstheme="minorBidi"/>
                <w:sz w:val="18"/>
                <w:szCs w:val="18"/>
                <w:rtl/>
              </w:rPr>
            </w:pPr>
            <w:r w:rsidRPr="00EB5088">
              <w:rPr>
                <w:sz w:val="18"/>
                <w:szCs w:val="18"/>
                <w:rtl/>
              </w:rPr>
              <w:t xml:space="preserve"> 0</w:t>
            </w:r>
          </w:p>
        </w:tc>
      </w:tr>
      <w:bookmarkEnd w:id="29"/>
      <w:tr w:rsidR="00EC46DF" w:rsidRPr="00BA061F" w14:paraId="26C606DD" w14:textId="77777777" w:rsidTr="00CE19D7">
        <w:trPr>
          <w:gridAfter w:val="1"/>
          <w:wAfter w:w="398" w:type="dxa"/>
          <w:trHeight w:val="425"/>
        </w:trPr>
        <w:tc>
          <w:tcPr>
            <w:tcW w:w="1077" w:type="dxa"/>
          </w:tcPr>
          <w:p w14:paraId="73F3D467" w14:textId="77777777" w:rsidR="00EC46DF" w:rsidRDefault="00EC46DF" w:rsidP="00976DDE">
            <w:pPr>
              <w:pStyle w:val="-fa"/>
              <w:bidi w:val="0"/>
              <w:ind w:right="-142"/>
              <w:jc w:val="both"/>
              <w:rPr>
                <w:rtl/>
              </w:rPr>
            </w:pPr>
          </w:p>
        </w:tc>
        <w:tc>
          <w:tcPr>
            <w:tcW w:w="4052" w:type="dxa"/>
            <w:gridSpan w:val="2"/>
            <w:vAlign w:val="bottom"/>
          </w:tcPr>
          <w:p w14:paraId="661F358F" w14:textId="77777777" w:rsidR="00EC46DF" w:rsidRPr="00D439C5" w:rsidRDefault="00EC46DF" w:rsidP="00976DDE">
            <w:pPr>
              <w:pStyle w:val="-b"/>
              <w:bidi w:val="0"/>
              <w:spacing w:line="240" w:lineRule="auto"/>
              <w:jc w:val="both"/>
              <w:rPr>
                <w:rFonts w:asciiTheme="minorBidi" w:hAnsiTheme="minorBidi" w:cstheme="minorBidi"/>
                <w:sz w:val="19"/>
                <w:szCs w:val="19"/>
                <w:rtl/>
              </w:rPr>
            </w:pPr>
          </w:p>
        </w:tc>
        <w:tc>
          <w:tcPr>
            <w:tcW w:w="709" w:type="dxa"/>
            <w:gridSpan w:val="2"/>
            <w:vAlign w:val="bottom"/>
          </w:tcPr>
          <w:p w14:paraId="5656A350"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c>
          <w:tcPr>
            <w:tcW w:w="565" w:type="dxa"/>
            <w:gridSpan w:val="2"/>
            <w:vAlign w:val="bottom"/>
          </w:tcPr>
          <w:p w14:paraId="54C41146"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c>
          <w:tcPr>
            <w:tcW w:w="567" w:type="dxa"/>
            <w:gridSpan w:val="2"/>
            <w:vAlign w:val="bottom"/>
          </w:tcPr>
          <w:p w14:paraId="00D782C6"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c>
          <w:tcPr>
            <w:tcW w:w="641" w:type="dxa"/>
            <w:gridSpan w:val="2"/>
            <w:vAlign w:val="bottom"/>
          </w:tcPr>
          <w:p w14:paraId="66C09F53"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c>
          <w:tcPr>
            <w:tcW w:w="1202" w:type="dxa"/>
            <w:gridSpan w:val="2"/>
            <w:vAlign w:val="bottom"/>
          </w:tcPr>
          <w:p w14:paraId="06AD123E"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c>
          <w:tcPr>
            <w:tcW w:w="994" w:type="dxa"/>
            <w:gridSpan w:val="2"/>
            <w:vAlign w:val="bottom"/>
          </w:tcPr>
          <w:p w14:paraId="38A1805B"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r>
      <w:tr w:rsidR="00EC46DF" w:rsidRPr="00BA061F" w14:paraId="05383975" w14:textId="77777777" w:rsidTr="00AB0DD8">
        <w:trPr>
          <w:gridAfter w:val="1"/>
          <w:wAfter w:w="398" w:type="dxa"/>
        </w:trPr>
        <w:tc>
          <w:tcPr>
            <w:tcW w:w="1077" w:type="dxa"/>
          </w:tcPr>
          <w:p w14:paraId="2593CD32" w14:textId="77777777" w:rsidR="00EC46DF" w:rsidRDefault="00EC46DF" w:rsidP="00976DDE">
            <w:pPr>
              <w:pStyle w:val="-fa"/>
              <w:bidi w:val="0"/>
              <w:ind w:right="-142"/>
              <w:jc w:val="both"/>
              <w:rPr>
                <w:rtl/>
              </w:rPr>
            </w:pPr>
          </w:p>
        </w:tc>
        <w:tc>
          <w:tcPr>
            <w:tcW w:w="4052" w:type="dxa"/>
            <w:gridSpan w:val="2"/>
            <w:vAlign w:val="bottom"/>
          </w:tcPr>
          <w:p w14:paraId="032EC6DE" w14:textId="3E845281" w:rsidR="00EC46DF" w:rsidRPr="00E370D1" w:rsidRDefault="00EC46DF" w:rsidP="00CE19D7">
            <w:pPr>
              <w:pStyle w:val="-b"/>
              <w:spacing w:before="120" w:line="240" w:lineRule="auto"/>
              <w:ind w:left="142" w:hanging="142"/>
              <w:rPr>
                <w:rFonts w:asciiTheme="minorBidi" w:hAnsiTheme="minorBidi" w:cstheme="minorBidi"/>
                <w:sz w:val="19"/>
                <w:szCs w:val="19"/>
                <w:u w:val="single"/>
                <w:rtl/>
              </w:rPr>
            </w:pPr>
            <w:r w:rsidRPr="00E370D1">
              <w:rPr>
                <w:rFonts w:hint="cs"/>
                <w:sz w:val="18"/>
                <w:szCs w:val="18"/>
                <w:u w:val="single"/>
                <w:rtl/>
              </w:rPr>
              <w:t xml:space="preserve">לשלושה חודשים שהסתיימו ביום 30 ביוני </w:t>
            </w:r>
            <w:r w:rsidRPr="00E370D1">
              <w:rPr>
                <w:sz w:val="14"/>
                <w:szCs w:val="14"/>
                <w:u w:val="single"/>
                <w:rtl/>
              </w:rPr>
              <w:fldChar w:fldCharType="begin"/>
            </w:r>
            <w:r w:rsidRPr="00E370D1">
              <w:rPr>
                <w:sz w:val="14"/>
                <w:szCs w:val="14"/>
                <w:u w:val="single"/>
                <w:rtl/>
              </w:rPr>
              <w:instrText xml:space="preserve"> </w:instrText>
            </w:r>
            <w:r w:rsidRPr="00E370D1">
              <w:rPr>
                <w:rFonts w:hint="cs"/>
                <w:sz w:val="14"/>
                <w:szCs w:val="14"/>
                <w:u w:val="single"/>
                <w:rtl/>
              </w:rPr>
              <w:instrText xml:space="preserve">= </w:instrText>
            </w:r>
            <w:r w:rsidRPr="00E370D1">
              <w:rPr>
                <w:rFonts w:hint="cs"/>
                <w:sz w:val="14"/>
                <w:szCs w:val="14"/>
                <w:u w:val="single"/>
              </w:rPr>
              <w:instrText>CY</w:instrText>
            </w:r>
            <w:r w:rsidRPr="00E370D1">
              <w:rPr>
                <w:sz w:val="14"/>
                <w:szCs w:val="14"/>
                <w:u w:val="single"/>
              </w:rPr>
              <w:instrText>-1</w:instrText>
            </w:r>
            <w:r w:rsidRPr="00E370D1">
              <w:rPr>
                <w:rFonts w:hint="cs"/>
                <w:sz w:val="14"/>
                <w:szCs w:val="14"/>
                <w:u w:val="single"/>
              </w:rPr>
              <w:instrText xml:space="preserve"> \* MERGEFORMAT</w:instrText>
            </w:r>
            <w:r w:rsidRPr="00E370D1">
              <w:rPr>
                <w:sz w:val="14"/>
                <w:szCs w:val="14"/>
                <w:u w:val="single"/>
                <w:rtl/>
              </w:rPr>
              <w:instrText xml:space="preserve"> </w:instrText>
            </w:r>
            <w:r w:rsidRPr="00E370D1">
              <w:rPr>
                <w:sz w:val="14"/>
                <w:szCs w:val="14"/>
                <w:u w:val="single"/>
                <w:rtl/>
              </w:rPr>
              <w:fldChar w:fldCharType="separate"/>
            </w:r>
            <w:r w:rsidRPr="003A584F">
              <w:rPr>
                <w:noProof/>
                <w:sz w:val="18"/>
                <w:szCs w:val="18"/>
                <w:u w:val="single"/>
                <w:rtl/>
              </w:rPr>
              <w:t>2023</w:t>
            </w:r>
            <w:r w:rsidRPr="00E370D1">
              <w:rPr>
                <w:sz w:val="14"/>
                <w:szCs w:val="14"/>
                <w:u w:val="single"/>
                <w:rtl/>
              </w:rPr>
              <w:fldChar w:fldCharType="end"/>
            </w:r>
            <w:r w:rsidRPr="00E370D1">
              <w:rPr>
                <w:sz w:val="18"/>
                <w:szCs w:val="18"/>
                <w:u w:val="single"/>
                <w:rtl/>
              </w:rPr>
              <w:br/>
            </w:r>
            <w:r w:rsidRPr="00CE19D7">
              <w:rPr>
                <w:rFonts w:hint="cs"/>
                <w:b w:val="0"/>
                <w:bCs w:val="0"/>
                <w:sz w:val="18"/>
                <w:szCs w:val="18"/>
                <w:rtl/>
              </w:rPr>
              <w:t>(בלתי מבוקר)</w:t>
            </w:r>
          </w:p>
        </w:tc>
        <w:tc>
          <w:tcPr>
            <w:tcW w:w="709" w:type="dxa"/>
            <w:gridSpan w:val="2"/>
            <w:vAlign w:val="bottom"/>
          </w:tcPr>
          <w:p w14:paraId="348FD950"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c>
          <w:tcPr>
            <w:tcW w:w="565" w:type="dxa"/>
            <w:gridSpan w:val="2"/>
            <w:vAlign w:val="bottom"/>
          </w:tcPr>
          <w:p w14:paraId="0D90A16B"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c>
          <w:tcPr>
            <w:tcW w:w="567" w:type="dxa"/>
            <w:gridSpan w:val="2"/>
            <w:vAlign w:val="bottom"/>
          </w:tcPr>
          <w:p w14:paraId="008D37B4"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c>
          <w:tcPr>
            <w:tcW w:w="641" w:type="dxa"/>
            <w:gridSpan w:val="2"/>
            <w:vAlign w:val="bottom"/>
          </w:tcPr>
          <w:p w14:paraId="449E9FD9"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c>
          <w:tcPr>
            <w:tcW w:w="1202" w:type="dxa"/>
            <w:gridSpan w:val="2"/>
            <w:vAlign w:val="bottom"/>
          </w:tcPr>
          <w:p w14:paraId="14672F2A"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c>
          <w:tcPr>
            <w:tcW w:w="994" w:type="dxa"/>
            <w:gridSpan w:val="2"/>
            <w:vAlign w:val="bottom"/>
          </w:tcPr>
          <w:p w14:paraId="55890957" w14:textId="77777777" w:rsidR="00EC46DF" w:rsidRPr="002C0AFF" w:rsidRDefault="00EC46DF" w:rsidP="00976DDE">
            <w:pPr>
              <w:pStyle w:val="-3"/>
              <w:bidi w:val="0"/>
              <w:spacing w:line="240" w:lineRule="auto"/>
              <w:rPr>
                <w:rFonts w:asciiTheme="minorBidi" w:hAnsiTheme="minorBidi" w:cstheme="minorBidi"/>
                <w:b/>
                <w:bCs/>
                <w:sz w:val="18"/>
                <w:szCs w:val="18"/>
                <w:rtl/>
              </w:rPr>
            </w:pPr>
          </w:p>
        </w:tc>
      </w:tr>
      <w:tr w:rsidR="00EC46DF" w:rsidRPr="00BA061F" w14:paraId="42A27C4B" w14:textId="77777777" w:rsidTr="00AB0DD8">
        <w:trPr>
          <w:gridAfter w:val="1"/>
          <w:wAfter w:w="398" w:type="dxa"/>
        </w:trPr>
        <w:tc>
          <w:tcPr>
            <w:tcW w:w="1077" w:type="dxa"/>
          </w:tcPr>
          <w:p w14:paraId="764D5E00" w14:textId="77777777" w:rsidR="00EC46DF" w:rsidRDefault="00EC46DF" w:rsidP="00BB7507">
            <w:pPr>
              <w:pStyle w:val="-fa"/>
              <w:bidi w:val="0"/>
              <w:ind w:right="-142"/>
              <w:jc w:val="both"/>
              <w:rPr>
                <w:rtl/>
              </w:rPr>
            </w:pPr>
          </w:p>
        </w:tc>
        <w:tc>
          <w:tcPr>
            <w:tcW w:w="4052" w:type="dxa"/>
            <w:gridSpan w:val="2"/>
            <w:vAlign w:val="bottom"/>
          </w:tcPr>
          <w:p w14:paraId="7C0A17A4" w14:textId="2FC4D274" w:rsidR="00EC46DF" w:rsidRPr="00D439C5" w:rsidRDefault="00EC46DF" w:rsidP="00324FB6">
            <w:pPr>
              <w:pStyle w:val="-b"/>
              <w:spacing w:before="60" w:after="60" w:line="240" w:lineRule="auto"/>
              <w:ind w:left="142" w:hanging="142"/>
              <w:jc w:val="both"/>
              <w:rPr>
                <w:rFonts w:asciiTheme="minorBidi" w:hAnsiTheme="minorBidi" w:cstheme="minorBidi"/>
                <w:sz w:val="19"/>
                <w:szCs w:val="19"/>
                <w:rtl/>
              </w:rPr>
            </w:pPr>
            <w:r>
              <w:rPr>
                <w:rFonts w:hint="cs"/>
                <w:sz w:val="18"/>
                <w:szCs w:val="18"/>
                <w:rtl/>
              </w:rPr>
              <w:t xml:space="preserve">יתרת הפרשה להפסדי אשראי ליום 31 במרץ </w:t>
            </w:r>
            <w:r w:rsidRPr="00EB29D7">
              <w:rPr>
                <w:sz w:val="14"/>
                <w:szCs w:val="14"/>
                <w:rtl/>
              </w:rPr>
              <w:fldChar w:fldCharType="begin"/>
            </w:r>
            <w:r w:rsidRPr="00EB29D7">
              <w:rPr>
                <w:sz w:val="14"/>
                <w:szCs w:val="14"/>
                <w:rtl/>
              </w:rPr>
              <w:instrText xml:space="preserve"> </w:instrText>
            </w:r>
            <w:r w:rsidRPr="00EB29D7">
              <w:rPr>
                <w:rFonts w:hint="cs"/>
                <w:sz w:val="14"/>
                <w:szCs w:val="14"/>
                <w:rtl/>
              </w:rPr>
              <w:instrText xml:space="preserve">= </w:instrText>
            </w:r>
            <w:r w:rsidRPr="00EB29D7">
              <w:rPr>
                <w:rFonts w:hint="cs"/>
                <w:sz w:val="14"/>
                <w:szCs w:val="14"/>
              </w:rPr>
              <w:instrText>CY</w:instrText>
            </w:r>
            <w:r w:rsidRPr="00EB29D7">
              <w:rPr>
                <w:sz w:val="14"/>
                <w:szCs w:val="14"/>
              </w:rPr>
              <w:instrText>-1</w:instrText>
            </w:r>
            <w:r w:rsidRPr="00EB29D7">
              <w:rPr>
                <w:rFonts w:hint="cs"/>
                <w:sz w:val="14"/>
                <w:szCs w:val="14"/>
              </w:rPr>
              <w:instrText xml:space="preserve"> \* MERGEFORMAT</w:instrText>
            </w:r>
            <w:r w:rsidRPr="00EB29D7">
              <w:rPr>
                <w:sz w:val="14"/>
                <w:szCs w:val="14"/>
                <w:rtl/>
              </w:rPr>
              <w:instrText xml:space="preserve"> </w:instrText>
            </w:r>
            <w:r w:rsidRPr="00EB29D7">
              <w:rPr>
                <w:sz w:val="14"/>
                <w:szCs w:val="14"/>
                <w:rtl/>
              </w:rPr>
              <w:fldChar w:fldCharType="separate"/>
            </w:r>
            <w:r w:rsidRPr="003A584F">
              <w:rPr>
                <w:noProof/>
                <w:sz w:val="18"/>
                <w:szCs w:val="18"/>
                <w:rtl/>
              </w:rPr>
              <w:t>2023</w:t>
            </w:r>
            <w:r w:rsidRPr="00EB29D7">
              <w:rPr>
                <w:sz w:val="14"/>
                <w:szCs w:val="14"/>
                <w:rtl/>
              </w:rPr>
              <w:fldChar w:fldCharType="end"/>
            </w:r>
          </w:p>
        </w:tc>
        <w:tc>
          <w:tcPr>
            <w:tcW w:w="709" w:type="dxa"/>
            <w:gridSpan w:val="2"/>
            <w:vAlign w:val="bottom"/>
          </w:tcPr>
          <w:p w14:paraId="2A39DDA0" w14:textId="392B2C5C"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c>
          <w:tcPr>
            <w:tcW w:w="565" w:type="dxa"/>
            <w:gridSpan w:val="2"/>
            <w:vAlign w:val="bottom"/>
          </w:tcPr>
          <w:p w14:paraId="08F7FE19" w14:textId="48518CAE"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c>
          <w:tcPr>
            <w:tcW w:w="567" w:type="dxa"/>
            <w:gridSpan w:val="2"/>
            <w:vAlign w:val="bottom"/>
          </w:tcPr>
          <w:p w14:paraId="2CDBB6B0" w14:textId="7B8EBF15"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c>
          <w:tcPr>
            <w:tcW w:w="641" w:type="dxa"/>
            <w:gridSpan w:val="2"/>
            <w:vAlign w:val="bottom"/>
          </w:tcPr>
          <w:p w14:paraId="03FC3ADC" w14:textId="2E457A99"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c>
          <w:tcPr>
            <w:tcW w:w="1202" w:type="dxa"/>
            <w:gridSpan w:val="2"/>
            <w:vAlign w:val="bottom"/>
          </w:tcPr>
          <w:p w14:paraId="7E6AB0E2" w14:textId="3A7CFDB3"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c>
          <w:tcPr>
            <w:tcW w:w="994" w:type="dxa"/>
            <w:gridSpan w:val="2"/>
            <w:vAlign w:val="bottom"/>
          </w:tcPr>
          <w:p w14:paraId="5E10B953" w14:textId="681D85C1"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r>
      <w:tr w:rsidR="00EC46DF" w:rsidRPr="00BA061F" w14:paraId="5C572744" w14:textId="77777777" w:rsidTr="00AB0DD8">
        <w:trPr>
          <w:gridAfter w:val="1"/>
          <w:wAfter w:w="398" w:type="dxa"/>
        </w:trPr>
        <w:tc>
          <w:tcPr>
            <w:tcW w:w="1077" w:type="dxa"/>
          </w:tcPr>
          <w:p w14:paraId="7326927D" w14:textId="77777777" w:rsidR="00EC46DF" w:rsidRDefault="00EC46DF" w:rsidP="00BB7507">
            <w:pPr>
              <w:pStyle w:val="-fa"/>
              <w:bidi w:val="0"/>
              <w:ind w:right="-142"/>
              <w:jc w:val="both"/>
              <w:rPr>
                <w:rtl/>
              </w:rPr>
            </w:pPr>
          </w:p>
        </w:tc>
        <w:tc>
          <w:tcPr>
            <w:tcW w:w="4052" w:type="dxa"/>
            <w:gridSpan w:val="2"/>
            <w:vAlign w:val="bottom"/>
          </w:tcPr>
          <w:p w14:paraId="78EDD2E8" w14:textId="44652E3F" w:rsidR="00EC46DF" w:rsidRPr="00BB7507" w:rsidRDefault="00EC46DF" w:rsidP="00BB7507">
            <w:pPr>
              <w:pStyle w:val="-b"/>
              <w:spacing w:line="240" w:lineRule="auto"/>
              <w:jc w:val="both"/>
              <w:rPr>
                <w:rFonts w:asciiTheme="minorBidi" w:hAnsiTheme="minorBidi" w:cstheme="minorBidi"/>
                <w:b w:val="0"/>
                <w:bCs w:val="0"/>
                <w:sz w:val="19"/>
                <w:szCs w:val="19"/>
                <w:rtl/>
              </w:rPr>
            </w:pPr>
            <w:r w:rsidRPr="00BB7507">
              <w:rPr>
                <w:rFonts w:asciiTheme="minorBidi" w:hAnsiTheme="minorBidi" w:cstheme="minorBidi"/>
                <w:b w:val="0"/>
                <w:bCs w:val="0"/>
                <w:sz w:val="19"/>
                <w:szCs w:val="19"/>
                <w:rtl/>
              </w:rPr>
              <w:t>הוצאות בגין הפסדי אשראי</w:t>
            </w:r>
          </w:p>
        </w:tc>
        <w:tc>
          <w:tcPr>
            <w:tcW w:w="709" w:type="dxa"/>
            <w:gridSpan w:val="2"/>
            <w:vAlign w:val="bottom"/>
          </w:tcPr>
          <w:p w14:paraId="56C0F4C8" w14:textId="764838D8"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sz w:val="18"/>
                <w:szCs w:val="18"/>
                <w:rtl/>
              </w:rPr>
              <w:t xml:space="preserve"> 0</w:t>
            </w:r>
          </w:p>
        </w:tc>
        <w:tc>
          <w:tcPr>
            <w:tcW w:w="565" w:type="dxa"/>
            <w:gridSpan w:val="2"/>
            <w:vAlign w:val="bottom"/>
          </w:tcPr>
          <w:p w14:paraId="437B8914" w14:textId="4BB9AAAF"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sz w:val="18"/>
                <w:szCs w:val="18"/>
                <w:rtl/>
              </w:rPr>
              <w:t xml:space="preserve"> 0</w:t>
            </w:r>
          </w:p>
        </w:tc>
        <w:tc>
          <w:tcPr>
            <w:tcW w:w="567" w:type="dxa"/>
            <w:gridSpan w:val="2"/>
            <w:vAlign w:val="bottom"/>
          </w:tcPr>
          <w:p w14:paraId="754697BC" w14:textId="2CD5CAED"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sz w:val="18"/>
                <w:szCs w:val="18"/>
                <w:rtl/>
              </w:rPr>
              <w:t xml:space="preserve"> 0</w:t>
            </w:r>
          </w:p>
        </w:tc>
        <w:tc>
          <w:tcPr>
            <w:tcW w:w="641" w:type="dxa"/>
            <w:gridSpan w:val="2"/>
            <w:vAlign w:val="bottom"/>
          </w:tcPr>
          <w:p w14:paraId="3037EE79" w14:textId="20D6A74A"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sz w:val="18"/>
                <w:szCs w:val="18"/>
                <w:rtl/>
              </w:rPr>
              <w:t xml:space="preserve"> 0</w:t>
            </w:r>
          </w:p>
        </w:tc>
        <w:tc>
          <w:tcPr>
            <w:tcW w:w="1202" w:type="dxa"/>
            <w:gridSpan w:val="2"/>
            <w:vAlign w:val="bottom"/>
          </w:tcPr>
          <w:p w14:paraId="6CC47670" w14:textId="65DC7668"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sz w:val="18"/>
                <w:szCs w:val="18"/>
                <w:rtl/>
              </w:rPr>
              <w:t xml:space="preserve"> 0</w:t>
            </w:r>
          </w:p>
        </w:tc>
        <w:tc>
          <w:tcPr>
            <w:tcW w:w="994" w:type="dxa"/>
            <w:gridSpan w:val="2"/>
            <w:vAlign w:val="bottom"/>
          </w:tcPr>
          <w:p w14:paraId="4800A8C3" w14:textId="55B75A48" w:rsidR="00EC46DF" w:rsidRPr="00EB5088" w:rsidRDefault="00EC46DF" w:rsidP="00BB7507">
            <w:pPr>
              <w:pStyle w:val="-3"/>
              <w:spacing w:line="240" w:lineRule="auto"/>
              <w:rPr>
                <w:rFonts w:asciiTheme="minorBidi" w:hAnsiTheme="minorBidi" w:cstheme="minorBidi"/>
                <w:sz w:val="18"/>
                <w:szCs w:val="18"/>
                <w:rtl/>
              </w:rPr>
            </w:pPr>
            <w:r w:rsidRPr="00EB5088">
              <w:rPr>
                <w:sz w:val="18"/>
                <w:szCs w:val="18"/>
                <w:rtl/>
              </w:rPr>
              <w:t xml:space="preserve"> 0</w:t>
            </w:r>
          </w:p>
        </w:tc>
      </w:tr>
      <w:tr w:rsidR="00EC46DF" w:rsidRPr="00BA061F" w14:paraId="6DA1A388" w14:textId="77777777" w:rsidTr="00AB0DD8">
        <w:trPr>
          <w:gridAfter w:val="1"/>
          <w:wAfter w:w="398" w:type="dxa"/>
        </w:trPr>
        <w:tc>
          <w:tcPr>
            <w:tcW w:w="1077" w:type="dxa"/>
          </w:tcPr>
          <w:p w14:paraId="6FED0181" w14:textId="77777777" w:rsidR="00EC46DF" w:rsidRDefault="00EC46DF" w:rsidP="00BB7507">
            <w:pPr>
              <w:pStyle w:val="-fa"/>
              <w:bidi w:val="0"/>
              <w:ind w:right="-142"/>
              <w:jc w:val="both"/>
              <w:rPr>
                <w:rtl/>
              </w:rPr>
            </w:pPr>
          </w:p>
        </w:tc>
        <w:tc>
          <w:tcPr>
            <w:tcW w:w="4052" w:type="dxa"/>
            <w:gridSpan w:val="2"/>
            <w:vAlign w:val="bottom"/>
          </w:tcPr>
          <w:p w14:paraId="5A8A1B94" w14:textId="78AC066B" w:rsidR="00EC46DF" w:rsidRPr="00BB7507" w:rsidRDefault="00EC46DF" w:rsidP="00324FB6">
            <w:pPr>
              <w:pStyle w:val="-21"/>
              <w:spacing w:before="120" w:line="180" w:lineRule="exact"/>
              <w:ind w:left="357" w:right="142" w:hanging="142"/>
              <w:rPr>
                <w:rFonts w:asciiTheme="minorBidi" w:hAnsiTheme="minorBidi" w:cstheme="minorBidi"/>
                <w:sz w:val="19"/>
                <w:szCs w:val="19"/>
                <w:rtl/>
              </w:rPr>
            </w:pPr>
            <w:r w:rsidRPr="00BB7507">
              <w:rPr>
                <w:rFonts w:asciiTheme="minorBidi" w:hAnsiTheme="minorBidi" w:cstheme="minorBidi"/>
                <w:sz w:val="19"/>
                <w:szCs w:val="19"/>
                <w:rtl/>
              </w:rPr>
              <w:t xml:space="preserve">מחיקות חשבונאיות </w:t>
            </w:r>
          </w:p>
        </w:tc>
        <w:tc>
          <w:tcPr>
            <w:tcW w:w="709" w:type="dxa"/>
            <w:gridSpan w:val="2"/>
            <w:vAlign w:val="bottom"/>
          </w:tcPr>
          <w:p w14:paraId="7F50E9C8" w14:textId="760F6893"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sz w:val="18"/>
                <w:szCs w:val="18"/>
                <w:rtl/>
              </w:rPr>
              <w:t>(0)</w:t>
            </w:r>
          </w:p>
        </w:tc>
        <w:tc>
          <w:tcPr>
            <w:tcW w:w="565" w:type="dxa"/>
            <w:gridSpan w:val="2"/>
            <w:vAlign w:val="bottom"/>
          </w:tcPr>
          <w:p w14:paraId="5E25A8DF" w14:textId="482BC93C"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sz w:val="18"/>
                <w:szCs w:val="18"/>
                <w:rtl/>
              </w:rPr>
              <w:t>(0)</w:t>
            </w:r>
          </w:p>
        </w:tc>
        <w:tc>
          <w:tcPr>
            <w:tcW w:w="567" w:type="dxa"/>
            <w:gridSpan w:val="2"/>
            <w:vAlign w:val="bottom"/>
          </w:tcPr>
          <w:p w14:paraId="65CC5FBB" w14:textId="52D3EA1F"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sz w:val="18"/>
                <w:szCs w:val="18"/>
                <w:rtl/>
              </w:rPr>
              <w:t>(0)</w:t>
            </w:r>
          </w:p>
        </w:tc>
        <w:tc>
          <w:tcPr>
            <w:tcW w:w="641" w:type="dxa"/>
            <w:gridSpan w:val="2"/>
            <w:vAlign w:val="bottom"/>
          </w:tcPr>
          <w:p w14:paraId="6C817846" w14:textId="26C9939C"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sz w:val="18"/>
                <w:szCs w:val="18"/>
                <w:rtl/>
              </w:rPr>
              <w:t>(0)</w:t>
            </w:r>
          </w:p>
        </w:tc>
        <w:tc>
          <w:tcPr>
            <w:tcW w:w="1202" w:type="dxa"/>
            <w:gridSpan w:val="2"/>
            <w:vAlign w:val="bottom"/>
          </w:tcPr>
          <w:p w14:paraId="3DF0127C" w14:textId="1E30942D"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sz w:val="18"/>
                <w:szCs w:val="18"/>
                <w:rtl/>
              </w:rPr>
              <w:t>(0)</w:t>
            </w:r>
          </w:p>
        </w:tc>
        <w:tc>
          <w:tcPr>
            <w:tcW w:w="994" w:type="dxa"/>
            <w:gridSpan w:val="2"/>
            <w:vAlign w:val="bottom"/>
          </w:tcPr>
          <w:p w14:paraId="3E01FF08" w14:textId="48B14748" w:rsidR="00EC46DF" w:rsidRPr="00EB5088" w:rsidRDefault="00EC46DF" w:rsidP="00BB7507">
            <w:pPr>
              <w:pStyle w:val="-3"/>
              <w:spacing w:line="240" w:lineRule="auto"/>
              <w:rPr>
                <w:rFonts w:asciiTheme="minorBidi" w:hAnsiTheme="minorBidi" w:cstheme="minorBidi"/>
                <w:sz w:val="18"/>
                <w:szCs w:val="18"/>
                <w:rtl/>
              </w:rPr>
            </w:pPr>
            <w:r w:rsidRPr="00EB5088">
              <w:rPr>
                <w:sz w:val="18"/>
                <w:szCs w:val="18"/>
                <w:rtl/>
              </w:rPr>
              <w:t>(0)</w:t>
            </w:r>
          </w:p>
        </w:tc>
      </w:tr>
      <w:tr w:rsidR="00EC46DF" w:rsidRPr="00C94190" w14:paraId="166027E3" w14:textId="77777777" w:rsidTr="00AB0DD8">
        <w:trPr>
          <w:gridAfter w:val="1"/>
          <w:wAfter w:w="398" w:type="dxa"/>
          <w:trHeight w:val="259"/>
        </w:trPr>
        <w:tc>
          <w:tcPr>
            <w:tcW w:w="1077" w:type="dxa"/>
          </w:tcPr>
          <w:p w14:paraId="5DF5F132" w14:textId="77777777" w:rsidR="00EC46DF" w:rsidRDefault="00EC46DF" w:rsidP="00396C38">
            <w:pPr>
              <w:pStyle w:val="-fa"/>
              <w:ind w:right="-142"/>
              <w:rPr>
                <w:rtl/>
              </w:rPr>
            </w:pPr>
          </w:p>
        </w:tc>
        <w:tc>
          <w:tcPr>
            <w:tcW w:w="4052" w:type="dxa"/>
            <w:gridSpan w:val="2"/>
            <w:vAlign w:val="bottom"/>
          </w:tcPr>
          <w:p w14:paraId="2364D10A" w14:textId="5E24E0A2" w:rsidR="00EC46DF" w:rsidRPr="00D439C5" w:rsidRDefault="00EC46DF" w:rsidP="00324FB6">
            <w:pPr>
              <w:pStyle w:val="-21"/>
              <w:spacing w:line="180" w:lineRule="exact"/>
              <w:ind w:left="357" w:right="142" w:hanging="142"/>
              <w:rPr>
                <w:rFonts w:asciiTheme="minorBidi" w:hAnsiTheme="minorBidi" w:cstheme="minorBidi"/>
                <w:sz w:val="19"/>
                <w:szCs w:val="19"/>
              </w:rPr>
            </w:pPr>
            <w:r w:rsidRPr="00D439C5">
              <w:rPr>
                <w:rFonts w:asciiTheme="minorBidi" w:hAnsiTheme="minorBidi" w:cstheme="minorBidi"/>
                <w:sz w:val="19"/>
                <w:szCs w:val="19"/>
                <w:rtl/>
              </w:rPr>
              <w:t>גביית חובות שנמחקו חשבונאית</w:t>
            </w:r>
            <w:r>
              <w:rPr>
                <w:rFonts w:asciiTheme="minorBidi" w:hAnsiTheme="minorBidi" w:cstheme="minorBidi" w:hint="cs"/>
                <w:sz w:val="19"/>
                <w:szCs w:val="19"/>
                <w:rtl/>
              </w:rPr>
              <w:t xml:space="preserve"> </w:t>
            </w:r>
            <w:r w:rsidRPr="00D439C5">
              <w:rPr>
                <w:rFonts w:asciiTheme="minorBidi" w:hAnsiTheme="minorBidi" w:cstheme="minorBidi"/>
                <w:sz w:val="19"/>
                <w:szCs w:val="19"/>
                <w:rtl/>
              </w:rPr>
              <w:t>בשנים קודמות</w:t>
            </w:r>
          </w:p>
        </w:tc>
        <w:tc>
          <w:tcPr>
            <w:tcW w:w="709" w:type="dxa"/>
            <w:gridSpan w:val="2"/>
            <w:vAlign w:val="bottom"/>
          </w:tcPr>
          <w:p w14:paraId="6DB43250" w14:textId="77777777" w:rsidR="00EC46DF" w:rsidRPr="002C0AFF" w:rsidRDefault="00EC46DF" w:rsidP="00396C38">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565" w:type="dxa"/>
            <w:gridSpan w:val="2"/>
            <w:vAlign w:val="bottom"/>
          </w:tcPr>
          <w:p w14:paraId="34FB246B" w14:textId="77777777" w:rsidR="00EC46DF" w:rsidRPr="002C0AFF" w:rsidRDefault="00EC46DF" w:rsidP="00396C38">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567" w:type="dxa"/>
            <w:gridSpan w:val="2"/>
            <w:vAlign w:val="bottom"/>
          </w:tcPr>
          <w:p w14:paraId="21B0F25E" w14:textId="77777777" w:rsidR="00EC46DF" w:rsidRPr="002C0AFF" w:rsidRDefault="00EC46DF" w:rsidP="00396C38">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641" w:type="dxa"/>
            <w:gridSpan w:val="2"/>
            <w:vAlign w:val="bottom"/>
          </w:tcPr>
          <w:p w14:paraId="1C4EBD4B" w14:textId="77777777" w:rsidR="00EC46DF" w:rsidRPr="002C0AFF" w:rsidRDefault="00EC46DF" w:rsidP="00396C38">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1202" w:type="dxa"/>
            <w:gridSpan w:val="2"/>
            <w:vAlign w:val="bottom"/>
          </w:tcPr>
          <w:p w14:paraId="13C0A21E" w14:textId="42C2B4C4" w:rsidR="00EC46DF" w:rsidRPr="002C0AFF" w:rsidRDefault="00EC46DF" w:rsidP="00FD4E69">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hint="cs"/>
                <w:szCs w:val="18"/>
                <w:rtl/>
              </w:rPr>
              <w:t xml:space="preserve"> 0</w:t>
            </w:r>
          </w:p>
        </w:tc>
        <w:tc>
          <w:tcPr>
            <w:tcW w:w="994" w:type="dxa"/>
            <w:gridSpan w:val="2"/>
            <w:vAlign w:val="bottom"/>
          </w:tcPr>
          <w:p w14:paraId="60181165" w14:textId="77777777" w:rsidR="00EC46DF" w:rsidRPr="00EB5088" w:rsidRDefault="00EC46DF" w:rsidP="00396C38">
            <w:pPr>
              <w:pStyle w:val="-120"/>
              <w:pBdr>
                <w:top w:val="none" w:sz="0" w:space="0" w:color="auto"/>
                <w:bottom w:val="single" w:sz="4" w:space="1" w:color="auto"/>
              </w:pBdr>
              <w:rPr>
                <w:rFonts w:asciiTheme="minorBidi" w:hAnsiTheme="minorBidi" w:cstheme="minorBidi"/>
                <w:szCs w:val="18"/>
                <w:rtl/>
              </w:rPr>
            </w:pPr>
            <w:r w:rsidRPr="00EB5088">
              <w:rPr>
                <w:rFonts w:asciiTheme="minorBidi" w:hAnsiTheme="minorBidi" w:cstheme="minorBidi"/>
                <w:szCs w:val="18"/>
                <w:rtl/>
              </w:rPr>
              <w:t xml:space="preserve"> 0</w:t>
            </w:r>
          </w:p>
        </w:tc>
      </w:tr>
      <w:tr w:rsidR="00EC46DF" w:rsidRPr="00BA061F" w14:paraId="6EEF0092" w14:textId="77777777" w:rsidTr="00AB0DD8">
        <w:trPr>
          <w:gridAfter w:val="1"/>
          <w:wAfter w:w="398" w:type="dxa"/>
        </w:trPr>
        <w:tc>
          <w:tcPr>
            <w:tcW w:w="1077" w:type="dxa"/>
          </w:tcPr>
          <w:p w14:paraId="605CB958" w14:textId="77777777" w:rsidR="00EC46DF" w:rsidRDefault="00EC46DF" w:rsidP="00BB7507">
            <w:pPr>
              <w:pStyle w:val="-fa"/>
              <w:bidi w:val="0"/>
              <w:ind w:right="-142"/>
              <w:jc w:val="both"/>
              <w:rPr>
                <w:rtl/>
              </w:rPr>
            </w:pPr>
          </w:p>
        </w:tc>
        <w:tc>
          <w:tcPr>
            <w:tcW w:w="4052" w:type="dxa"/>
            <w:gridSpan w:val="2"/>
            <w:vAlign w:val="bottom"/>
          </w:tcPr>
          <w:p w14:paraId="764AD201" w14:textId="262AD184" w:rsidR="00EC46DF" w:rsidRPr="00BB7507" w:rsidRDefault="00EC46DF" w:rsidP="00EB5088">
            <w:pPr>
              <w:pStyle w:val="-b"/>
              <w:spacing w:before="20" w:line="240" w:lineRule="auto"/>
              <w:ind w:left="142" w:hanging="142"/>
              <w:jc w:val="both"/>
              <w:rPr>
                <w:rFonts w:asciiTheme="minorBidi" w:hAnsiTheme="minorBidi" w:cstheme="minorBidi"/>
                <w:b w:val="0"/>
                <w:bCs w:val="0"/>
                <w:sz w:val="19"/>
                <w:szCs w:val="19"/>
                <w:rtl/>
              </w:rPr>
            </w:pPr>
            <w:r w:rsidRPr="00BB7507">
              <w:rPr>
                <w:rFonts w:asciiTheme="minorBidi" w:hAnsiTheme="minorBidi" w:cstheme="minorBidi"/>
                <w:b w:val="0"/>
                <w:bCs w:val="0"/>
                <w:sz w:val="19"/>
                <w:szCs w:val="19"/>
                <w:rtl/>
              </w:rPr>
              <w:t>מחיקות חשבונאיות</w:t>
            </w:r>
            <w:r>
              <w:rPr>
                <w:rFonts w:asciiTheme="minorBidi" w:hAnsiTheme="minorBidi" w:cstheme="minorBidi" w:hint="cs"/>
                <w:b w:val="0"/>
                <w:bCs w:val="0"/>
                <w:sz w:val="19"/>
                <w:szCs w:val="19"/>
                <w:rtl/>
              </w:rPr>
              <w:t>,</w:t>
            </w:r>
            <w:r w:rsidRPr="00BB7507">
              <w:rPr>
                <w:rFonts w:asciiTheme="minorBidi" w:hAnsiTheme="minorBidi" w:cstheme="minorBidi"/>
                <w:b w:val="0"/>
                <w:bCs w:val="0"/>
                <w:sz w:val="19"/>
                <w:szCs w:val="19"/>
                <w:rtl/>
              </w:rPr>
              <w:t xml:space="preserve"> נטו </w:t>
            </w:r>
          </w:p>
        </w:tc>
        <w:tc>
          <w:tcPr>
            <w:tcW w:w="709" w:type="dxa"/>
            <w:gridSpan w:val="2"/>
            <w:vAlign w:val="bottom"/>
          </w:tcPr>
          <w:p w14:paraId="2F676F38" w14:textId="658B41DE" w:rsidR="00EC46DF" w:rsidRPr="002C0AFF" w:rsidRDefault="00EC46DF" w:rsidP="00BB7507">
            <w:pPr>
              <w:pStyle w:val="-3"/>
              <w:spacing w:line="240" w:lineRule="auto"/>
              <w:rPr>
                <w:rFonts w:asciiTheme="minorBidi" w:hAnsiTheme="minorBidi" w:cstheme="minorBidi"/>
                <w:b/>
                <w:bCs/>
                <w:sz w:val="18"/>
                <w:szCs w:val="18"/>
                <w:rtl/>
              </w:rPr>
            </w:pPr>
            <w:r w:rsidRPr="002C0AFF">
              <w:rPr>
                <w:sz w:val="18"/>
                <w:szCs w:val="18"/>
              </w:rPr>
              <w:t xml:space="preserve"> </w:t>
            </w:r>
            <w:r w:rsidRPr="002C0AFF">
              <w:rPr>
                <w:rFonts w:hint="cs"/>
                <w:sz w:val="18"/>
                <w:szCs w:val="18"/>
                <w:rtl/>
              </w:rPr>
              <w:t>0</w:t>
            </w:r>
          </w:p>
        </w:tc>
        <w:tc>
          <w:tcPr>
            <w:tcW w:w="565" w:type="dxa"/>
            <w:gridSpan w:val="2"/>
            <w:vAlign w:val="bottom"/>
          </w:tcPr>
          <w:p w14:paraId="2E227EC0" w14:textId="2A6AC54E"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sz w:val="18"/>
                <w:szCs w:val="18"/>
                <w:rtl/>
              </w:rPr>
              <w:t xml:space="preserve"> 0</w:t>
            </w:r>
          </w:p>
        </w:tc>
        <w:tc>
          <w:tcPr>
            <w:tcW w:w="567" w:type="dxa"/>
            <w:gridSpan w:val="2"/>
            <w:vAlign w:val="bottom"/>
          </w:tcPr>
          <w:p w14:paraId="7C65698F" w14:textId="5D200B24" w:rsidR="00EC46DF" w:rsidRPr="002C0AFF" w:rsidRDefault="00EC46DF" w:rsidP="00BB7507">
            <w:pPr>
              <w:pStyle w:val="-3"/>
              <w:spacing w:line="240" w:lineRule="auto"/>
              <w:rPr>
                <w:rFonts w:asciiTheme="minorBidi" w:hAnsiTheme="minorBidi" w:cstheme="minorBidi"/>
                <w:b/>
                <w:bCs/>
                <w:sz w:val="18"/>
                <w:szCs w:val="18"/>
                <w:rtl/>
              </w:rPr>
            </w:pPr>
            <w:r w:rsidRPr="002C0AFF">
              <w:rPr>
                <w:sz w:val="18"/>
                <w:szCs w:val="18"/>
              </w:rPr>
              <w:t xml:space="preserve"> </w:t>
            </w:r>
            <w:r w:rsidRPr="002C0AFF">
              <w:rPr>
                <w:rFonts w:hint="cs"/>
                <w:sz w:val="18"/>
                <w:szCs w:val="18"/>
                <w:rtl/>
              </w:rPr>
              <w:t>0</w:t>
            </w:r>
          </w:p>
        </w:tc>
        <w:tc>
          <w:tcPr>
            <w:tcW w:w="641" w:type="dxa"/>
            <w:gridSpan w:val="2"/>
            <w:vAlign w:val="bottom"/>
          </w:tcPr>
          <w:p w14:paraId="598F7CAC" w14:textId="31583AB2"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sz w:val="18"/>
                <w:szCs w:val="18"/>
                <w:rtl/>
              </w:rPr>
              <w:t xml:space="preserve"> 0</w:t>
            </w:r>
          </w:p>
        </w:tc>
        <w:tc>
          <w:tcPr>
            <w:tcW w:w="1202" w:type="dxa"/>
            <w:gridSpan w:val="2"/>
            <w:vAlign w:val="bottom"/>
          </w:tcPr>
          <w:p w14:paraId="70AEB7B6" w14:textId="20D0979B"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sz w:val="18"/>
                <w:szCs w:val="18"/>
                <w:rtl/>
              </w:rPr>
              <w:t xml:space="preserve"> 0</w:t>
            </w:r>
          </w:p>
        </w:tc>
        <w:tc>
          <w:tcPr>
            <w:tcW w:w="994" w:type="dxa"/>
            <w:gridSpan w:val="2"/>
            <w:vAlign w:val="bottom"/>
          </w:tcPr>
          <w:p w14:paraId="79CAAA2A" w14:textId="7D54E015" w:rsidR="00EC46DF" w:rsidRPr="00EB5088" w:rsidRDefault="00EC46DF" w:rsidP="00BB7507">
            <w:pPr>
              <w:pStyle w:val="-3"/>
              <w:spacing w:line="240" w:lineRule="auto"/>
              <w:rPr>
                <w:rFonts w:asciiTheme="minorBidi" w:hAnsiTheme="minorBidi" w:cstheme="minorBidi"/>
                <w:sz w:val="18"/>
                <w:szCs w:val="18"/>
                <w:rtl/>
              </w:rPr>
            </w:pPr>
            <w:r w:rsidRPr="00EB5088">
              <w:rPr>
                <w:sz w:val="18"/>
                <w:szCs w:val="18"/>
                <w:rtl/>
              </w:rPr>
              <w:t xml:space="preserve"> 0</w:t>
            </w:r>
          </w:p>
        </w:tc>
      </w:tr>
      <w:tr w:rsidR="00EC46DF" w:rsidRPr="00BA061F" w14:paraId="043FB775" w14:textId="77777777" w:rsidTr="00AB0DD8">
        <w:trPr>
          <w:gridAfter w:val="1"/>
          <w:wAfter w:w="398" w:type="dxa"/>
        </w:trPr>
        <w:tc>
          <w:tcPr>
            <w:tcW w:w="1077" w:type="dxa"/>
          </w:tcPr>
          <w:p w14:paraId="61F5CFDB" w14:textId="77777777" w:rsidR="00EC46DF" w:rsidRDefault="00EC46DF" w:rsidP="00BB7507">
            <w:pPr>
              <w:pStyle w:val="-fa"/>
              <w:bidi w:val="0"/>
              <w:ind w:right="-142"/>
              <w:jc w:val="both"/>
              <w:rPr>
                <w:rtl/>
              </w:rPr>
            </w:pPr>
          </w:p>
        </w:tc>
        <w:tc>
          <w:tcPr>
            <w:tcW w:w="4052" w:type="dxa"/>
            <w:gridSpan w:val="2"/>
            <w:vAlign w:val="bottom"/>
          </w:tcPr>
          <w:p w14:paraId="1AA215CB" w14:textId="54AF9E51" w:rsidR="00EC46DF" w:rsidRPr="00BB7507" w:rsidRDefault="00EC46DF" w:rsidP="00324FB6">
            <w:pPr>
              <w:pStyle w:val="-b"/>
              <w:spacing w:before="60" w:line="240" w:lineRule="auto"/>
              <w:ind w:left="142" w:hanging="142"/>
              <w:jc w:val="both"/>
              <w:rPr>
                <w:rFonts w:asciiTheme="minorBidi" w:hAnsiTheme="minorBidi" w:cstheme="minorBidi"/>
                <w:b w:val="0"/>
                <w:bCs w:val="0"/>
                <w:sz w:val="19"/>
                <w:szCs w:val="19"/>
                <w:rtl/>
              </w:rPr>
            </w:pPr>
            <w:r w:rsidRPr="00BB7507">
              <w:rPr>
                <w:rFonts w:asciiTheme="minorBidi" w:hAnsiTheme="minorBidi" w:cstheme="minorBidi" w:hint="eastAsia"/>
                <w:b w:val="0"/>
                <w:bCs w:val="0"/>
                <w:sz w:val="19"/>
                <w:szCs w:val="19"/>
                <w:rtl/>
              </w:rPr>
              <w:t>התאמות</w:t>
            </w:r>
            <w:r w:rsidRPr="00BB7507">
              <w:rPr>
                <w:rFonts w:asciiTheme="minorBidi" w:hAnsiTheme="minorBidi" w:cstheme="minorBidi"/>
                <w:b w:val="0"/>
                <w:bCs w:val="0"/>
                <w:sz w:val="19"/>
                <w:szCs w:val="19"/>
                <w:rtl/>
              </w:rPr>
              <w:t xml:space="preserve"> </w:t>
            </w:r>
            <w:r w:rsidRPr="00BB7507">
              <w:rPr>
                <w:rFonts w:asciiTheme="minorBidi" w:hAnsiTheme="minorBidi" w:cstheme="minorBidi" w:hint="eastAsia"/>
                <w:b w:val="0"/>
                <w:bCs w:val="0"/>
                <w:sz w:val="19"/>
                <w:szCs w:val="19"/>
                <w:rtl/>
              </w:rPr>
              <w:t>מתרגום</w:t>
            </w:r>
            <w:r w:rsidRPr="00BB7507">
              <w:rPr>
                <w:rFonts w:asciiTheme="minorBidi" w:hAnsiTheme="minorBidi" w:cstheme="minorBidi"/>
                <w:b w:val="0"/>
                <w:bCs w:val="0"/>
                <w:sz w:val="19"/>
                <w:szCs w:val="19"/>
                <w:rtl/>
              </w:rPr>
              <w:t xml:space="preserve"> </w:t>
            </w:r>
            <w:r w:rsidRPr="00BB7507">
              <w:rPr>
                <w:rFonts w:asciiTheme="minorBidi" w:hAnsiTheme="minorBidi" w:cstheme="minorBidi" w:hint="eastAsia"/>
                <w:b w:val="0"/>
                <w:bCs w:val="0"/>
                <w:sz w:val="19"/>
                <w:szCs w:val="19"/>
                <w:rtl/>
              </w:rPr>
              <w:t>דוחות</w:t>
            </w:r>
            <w:r w:rsidRPr="00BB7507">
              <w:rPr>
                <w:rFonts w:asciiTheme="minorBidi" w:hAnsiTheme="minorBidi" w:cstheme="minorBidi"/>
                <w:b w:val="0"/>
                <w:bCs w:val="0"/>
                <w:sz w:val="19"/>
                <w:szCs w:val="19"/>
                <w:rtl/>
              </w:rPr>
              <w:t xml:space="preserve"> </w:t>
            </w:r>
            <w:r w:rsidRPr="00BB7507">
              <w:rPr>
                <w:rFonts w:asciiTheme="minorBidi" w:hAnsiTheme="minorBidi" w:cstheme="minorBidi" w:hint="eastAsia"/>
                <w:b w:val="0"/>
                <w:bCs w:val="0"/>
                <w:sz w:val="19"/>
                <w:szCs w:val="19"/>
                <w:rtl/>
              </w:rPr>
              <w:t>כספיים</w:t>
            </w:r>
          </w:p>
        </w:tc>
        <w:tc>
          <w:tcPr>
            <w:tcW w:w="709" w:type="dxa"/>
            <w:gridSpan w:val="2"/>
            <w:vAlign w:val="bottom"/>
          </w:tcPr>
          <w:p w14:paraId="572ACCA9" w14:textId="3C259079" w:rsidR="00EC46DF" w:rsidRPr="002C0AFF" w:rsidRDefault="00EC46DF" w:rsidP="00BB7507">
            <w:pPr>
              <w:pStyle w:val="-3"/>
              <w:spacing w:line="240" w:lineRule="auto"/>
              <w:rPr>
                <w:rFonts w:asciiTheme="minorBidi" w:hAnsiTheme="minorBidi" w:cstheme="minorBidi"/>
                <w:b/>
                <w:bCs/>
                <w:sz w:val="18"/>
                <w:szCs w:val="18"/>
                <w:rtl/>
              </w:rPr>
            </w:pPr>
            <w:r w:rsidRPr="002C0AFF">
              <w:rPr>
                <w:sz w:val="18"/>
                <w:szCs w:val="18"/>
              </w:rPr>
              <w:t xml:space="preserve"> </w:t>
            </w:r>
            <w:r w:rsidRPr="002C0AFF">
              <w:rPr>
                <w:rFonts w:hint="cs"/>
                <w:sz w:val="18"/>
                <w:szCs w:val="18"/>
                <w:rtl/>
              </w:rPr>
              <w:t>0</w:t>
            </w:r>
          </w:p>
        </w:tc>
        <w:tc>
          <w:tcPr>
            <w:tcW w:w="565" w:type="dxa"/>
            <w:gridSpan w:val="2"/>
            <w:vAlign w:val="bottom"/>
          </w:tcPr>
          <w:p w14:paraId="1FFA46EA" w14:textId="08243BC4"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sz w:val="18"/>
                <w:szCs w:val="18"/>
                <w:rtl/>
              </w:rPr>
              <w:t xml:space="preserve"> 0</w:t>
            </w:r>
          </w:p>
        </w:tc>
        <w:tc>
          <w:tcPr>
            <w:tcW w:w="567" w:type="dxa"/>
            <w:gridSpan w:val="2"/>
            <w:vAlign w:val="bottom"/>
          </w:tcPr>
          <w:p w14:paraId="5F7F387A" w14:textId="71157E74" w:rsidR="00EC46DF" w:rsidRPr="002C0AFF" w:rsidRDefault="00EC46DF" w:rsidP="00BB7507">
            <w:pPr>
              <w:pStyle w:val="-3"/>
              <w:spacing w:line="240" w:lineRule="auto"/>
              <w:rPr>
                <w:rFonts w:asciiTheme="minorBidi" w:hAnsiTheme="minorBidi" w:cstheme="minorBidi"/>
                <w:b/>
                <w:bCs/>
                <w:sz w:val="18"/>
                <w:szCs w:val="18"/>
                <w:rtl/>
              </w:rPr>
            </w:pPr>
            <w:r w:rsidRPr="002C0AFF">
              <w:rPr>
                <w:sz w:val="18"/>
                <w:szCs w:val="18"/>
              </w:rPr>
              <w:t xml:space="preserve"> </w:t>
            </w:r>
            <w:r w:rsidRPr="002C0AFF">
              <w:rPr>
                <w:rFonts w:hint="cs"/>
                <w:sz w:val="18"/>
                <w:szCs w:val="18"/>
                <w:rtl/>
              </w:rPr>
              <w:t>0</w:t>
            </w:r>
          </w:p>
        </w:tc>
        <w:tc>
          <w:tcPr>
            <w:tcW w:w="641" w:type="dxa"/>
            <w:gridSpan w:val="2"/>
            <w:vAlign w:val="bottom"/>
          </w:tcPr>
          <w:p w14:paraId="2EA68660" w14:textId="60A12771"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sz w:val="18"/>
                <w:szCs w:val="18"/>
                <w:rtl/>
              </w:rPr>
              <w:t xml:space="preserve"> 0</w:t>
            </w:r>
          </w:p>
        </w:tc>
        <w:tc>
          <w:tcPr>
            <w:tcW w:w="1202" w:type="dxa"/>
            <w:gridSpan w:val="2"/>
            <w:vAlign w:val="bottom"/>
          </w:tcPr>
          <w:p w14:paraId="457DD37C" w14:textId="21730B45" w:rsidR="00EC46DF" w:rsidRPr="002C0AFF" w:rsidRDefault="00EC46DF" w:rsidP="00BB7507">
            <w:pPr>
              <w:pStyle w:val="-3"/>
              <w:spacing w:line="240" w:lineRule="auto"/>
              <w:rPr>
                <w:rFonts w:asciiTheme="minorBidi" w:hAnsiTheme="minorBidi" w:cstheme="minorBidi"/>
                <w:b/>
                <w:bCs/>
                <w:sz w:val="18"/>
                <w:szCs w:val="18"/>
                <w:rtl/>
              </w:rPr>
            </w:pPr>
            <w:r w:rsidRPr="002C0AFF">
              <w:rPr>
                <w:rFonts w:hint="cs"/>
                <w:sz w:val="18"/>
                <w:szCs w:val="18"/>
                <w:rtl/>
              </w:rPr>
              <w:t xml:space="preserve"> 0</w:t>
            </w:r>
          </w:p>
        </w:tc>
        <w:tc>
          <w:tcPr>
            <w:tcW w:w="994" w:type="dxa"/>
            <w:gridSpan w:val="2"/>
            <w:vAlign w:val="bottom"/>
          </w:tcPr>
          <w:p w14:paraId="0727283F" w14:textId="55841B26" w:rsidR="00EC46DF" w:rsidRPr="00EB5088" w:rsidRDefault="00EC46DF" w:rsidP="00BB7507">
            <w:pPr>
              <w:pStyle w:val="-3"/>
              <w:spacing w:line="240" w:lineRule="auto"/>
              <w:rPr>
                <w:rFonts w:asciiTheme="minorBidi" w:hAnsiTheme="minorBidi" w:cstheme="minorBidi"/>
                <w:sz w:val="18"/>
                <w:szCs w:val="18"/>
                <w:rtl/>
              </w:rPr>
            </w:pPr>
            <w:r w:rsidRPr="00EB5088">
              <w:rPr>
                <w:sz w:val="18"/>
                <w:szCs w:val="18"/>
                <w:rtl/>
              </w:rPr>
              <w:t xml:space="preserve"> 0</w:t>
            </w:r>
          </w:p>
        </w:tc>
      </w:tr>
      <w:tr w:rsidR="00EC46DF" w:rsidRPr="00C94190" w14:paraId="65469206" w14:textId="77777777" w:rsidTr="00AB0DD8">
        <w:trPr>
          <w:gridAfter w:val="1"/>
          <w:wAfter w:w="398" w:type="dxa"/>
          <w:trHeight w:val="259"/>
        </w:trPr>
        <w:tc>
          <w:tcPr>
            <w:tcW w:w="1077" w:type="dxa"/>
          </w:tcPr>
          <w:p w14:paraId="2F5CF1DE" w14:textId="77777777" w:rsidR="00EC46DF" w:rsidRPr="003B24D4" w:rsidRDefault="00EC46DF" w:rsidP="00396C38">
            <w:pPr>
              <w:pStyle w:val="-fa"/>
              <w:ind w:right="-142"/>
              <w:rPr>
                <w:rtl/>
              </w:rPr>
            </w:pPr>
          </w:p>
        </w:tc>
        <w:tc>
          <w:tcPr>
            <w:tcW w:w="4052" w:type="dxa"/>
            <w:gridSpan w:val="2"/>
            <w:vAlign w:val="bottom"/>
          </w:tcPr>
          <w:p w14:paraId="6C3E39FE" w14:textId="45B342C0" w:rsidR="00EC46DF" w:rsidRPr="00D439C5" w:rsidRDefault="00EC46DF" w:rsidP="00396C38">
            <w:pPr>
              <w:pStyle w:val="-0"/>
              <w:spacing w:before="40" w:line="240" w:lineRule="auto"/>
              <w:ind w:left="142" w:hanging="142"/>
              <w:rPr>
                <w:rFonts w:asciiTheme="minorBidi" w:hAnsiTheme="minorBidi" w:cstheme="minorBidi"/>
                <w:b/>
                <w:bCs/>
                <w:sz w:val="19"/>
                <w:szCs w:val="19"/>
                <w:rtl/>
              </w:rPr>
            </w:pPr>
            <w:r w:rsidRPr="00D6649E">
              <w:rPr>
                <w:rFonts w:asciiTheme="minorBidi" w:hAnsiTheme="minorBidi" w:cstheme="minorBidi"/>
                <w:sz w:val="19"/>
                <w:szCs w:val="19"/>
                <w:rtl/>
              </w:rPr>
              <w:t>אחר</w:t>
            </w:r>
          </w:p>
        </w:tc>
        <w:tc>
          <w:tcPr>
            <w:tcW w:w="709" w:type="dxa"/>
            <w:gridSpan w:val="2"/>
            <w:vAlign w:val="bottom"/>
          </w:tcPr>
          <w:p w14:paraId="2A43A3D6" w14:textId="77777777" w:rsidR="00EC46DF" w:rsidRPr="002C0AFF" w:rsidRDefault="00EC46DF" w:rsidP="00396C38">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565" w:type="dxa"/>
            <w:gridSpan w:val="2"/>
            <w:vAlign w:val="bottom"/>
          </w:tcPr>
          <w:p w14:paraId="7FF10535" w14:textId="77777777" w:rsidR="00EC46DF" w:rsidRPr="002C0AFF" w:rsidRDefault="00EC46DF" w:rsidP="00396C38">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7" w:type="dxa"/>
            <w:gridSpan w:val="2"/>
            <w:vAlign w:val="bottom"/>
          </w:tcPr>
          <w:p w14:paraId="5C61B27F" w14:textId="77777777" w:rsidR="00EC46DF" w:rsidRPr="002C0AFF" w:rsidRDefault="00EC46DF" w:rsidP="00396C38">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641" w:type="dxa"/>
            <w:gridSpan w:val="2"/>
            <w:vAlign w:val="bottom"/>
          </w:tcPr>
          <w:p w14:paraId="2B098FE0" w14:textId="77777777" w:rsidR="00EC46DF" w:rsidRPr="002C0AFF" w:rsidRDefault="00EC46DF" w:rsidP="00396C38">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202" w:type="dxa"/>
            <w:gridSpan w:val="2"/>
            <w:vAlign w:val="bottom"/>
          </w:tcPr>
          <w:p w14:paraId="28E140C5" w14:textId="56F4F54B" w:rsidR="00EC46DF" w:rsidRPr="002C0AFF" w:rsidRDefault="00EC46DF" w:rsidP="003D2F53">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994" w:type="dxa"/>
            <w:gridSpan w:val="2"/>
            <w:vAlign w:val="bottom"/>
          </w:tcPr>
          <w:p w14:paraId="647E887A" w14:textId="77777777" w:rsidR="00EC46DF" w:rsidRPr="00EB5088" w:rsidRDefault="00EC46DF" w:rsidP="00396C38">
            <w:pPr>
              <w:pStyle w:val="-3"/>
              <w:pBdr>
                <w:bottom w:val="single" w:sz="4" w:space="1" w:color="auto"/>
              </w:pBdr>
              <w:rPr>
                <w:rFonts w:asciiTheme="minorBidi" w:hAnsiTheme="minorBidi" w:cstheme="minorBidi"/>
                <w:sz w:val="18"/>
                <w:szCs w:val="18"/>
                <w:rtl/>
              </w:rPr>
            </w:pPr>
            <w:r w:rsidRPr="00EB5088">
              <w:rPr>
                <w:rFonts w:asciiTheme="minorBidi" w:hAnsiTheme="minorBidi" w:cstheme="minorBidi"/>
                <w:sz w:val="18"/>
                <w:szCs w:val="18"/>
                <w:rtl/>
              </w:rPr>
              <w:t xml:space="preserve"> 0</w:t>
            </w:r>
          </w:p>
        </w:tc>
      </w:tr>
      <w:tr w:rsidR="00EC46DF" w:rsidRPr="00C94190" w14:paraId="347ABB74" w14:textId="77777777" w:rsidTr="00AB0DD8">
        <w:trPr>
          <w:gridAfter w:val="1"/>
          <w:wAfter w:w="398" w:type="dxa"/>
        </w:trPr>
        <w:tc>
          <w:tcPr>
            <w:tcW w:w="1077" w:type="dxa"/>
          </w:tcPr>
          <w:p w14:paraId="5FD55CF4" w14:textId="77777777" w:rsidR="00EC46DF" w:rsidRDefault="00EC46DF" w:rsidP="00396C38">
            <w:pPr>
              <w:pStyle w:val="-fa"/>
              <w:bidi w:val="0"/>
              <w:ind w:right="-142"/>
              <w:jc w:val="both"/>
              <w:rPr>
                <w:rtl/>
              </w:rPr>
            </w:pPr>
          </w:p>
        </w:tc>
        <w:tc>
          <w:tcPr>
            <w:tcW w:w="4052" w:type="dxa"/>
            <w:gridSpan w:val="2"/>
            <w:vAlign w:val="bottom"/>
          </w:tcPr>
          <w:p w14:paraId="3E0B6722" w14:textId="6F354EDB" w:rsidR="00EC46DF" w:rsidRPr="00D439C5" w:rsidRDefault="00EC46DF" w:rsidP="00396C38">
            <w:pPr>
              <w:pStyle w:val="-b"/>
              <w:bidi w:val="0"/>
              <w:spacing w:line="240" w:lineRule="auto"/>
              <w:jc w:val="right"/>
              <w:rPr>
                <w:rFonts w:asciiTheme="minorBidi" w:hAnsiTheme="minorBidi" w:cstheme="minorBidi"/>
                <w:sz w:val="19"/>
                <w:szCs w:val="19"/>
              </w:rPr>
            </w:pPr>
            <w:r w:rsidRPr="00A16306">
              <w:rPr>
                <w:sz w:val="18"/>
                <w:szCs w:val="18"/>
                <w:rtl/>
              </w:rPr>
              <w:t>יתר</w:t>
            </w:r>
            <w:r>
              <w:rPr>
                <w:rFonts w:hint="cs"/>
                <w:sz w:val="18"/>
                <w:szCs w:val="18"/>
                <w:rtl/>
              </w:rPr>
              <w:t>ת הפרשה להפסדי אשראי</w:t>
            </w:r>
            <w:r w:rsidRPr="00A16306">
              <w:rPr>
                <w:rFonts w:hint="cs"/>
                <w:sz w:val="18"/>
                <w:szCs w:val="18"/>
                <w:rtl/>
              </w:rPr>
              <w:t xml:space="preserve"> </w:t>
            </w:r>
            <w:r>
              <w:rPr>
                <w:rFonts w:hint="cs"/>
                <w:sz w:val="18"/>
                <w:szCs w:val="18"/>
                <w:rtl/>
              </w:rPr>
              <w:t xml:space="preserve">ליום 30 ביוני </w:t>
            </w:r>
            <w:r w:rsidRPr="00EB29D7">
              <w:rPr>
                <w:sz w:val="14"/>
                <w:szCs w:val="14"/>
                <w:rtl/>
              </w:rPr>
              <w:fldChar w:fldCharType="begin"/>
            </w:r>
            <w:r w:rsidRPr="00EB29D7">
              <w:rPr>
                <w:sz w:val="14"/>
                <w:szCs w:val="14"/>
                <w:rtl/>
              </w:rPr>
              <w:instrText xml:space="preserve"> </w:instrText>
            </w:r>
            <w:r w:rsidRPr="00EB29D7">
              <w:rPr>
                <w:rFonts w:hint="cs"/>
                <w:sz w:val="14"/>
                <w:szCs w:val="14"/>
                <w:rtl/>
              </w:rPr>
              <w:instrText xml:space="preserve">= </w:instrText>
            </w:r>
            <w:r w:rsidRPr="00EB29D7">
              <w:rPr>
                <w:rFonts w:hint="cs"/>
                <w:sz w:val="14"/>
                <w:szCs w:val="14"/>
              </w:rPr>
              <w:instrText>CY</w:instrText>
            </w:r>
            <w:r w:rsidRPr="00EB29D7">
              <w:rPr>
                <w:sz w:val="14"/>
                <w:szCs w:val="14"/>
              </w:rPr>
              <w:instrText>-1</w:instrText>
            </w:r>
            <w:r w:rsidRPr="00EB29D7">
              <w:rPr>
                <w:rFonts w:hint="cs"/>
                <w:sz w:val="14"/>
                <w:szCs w:val="14"/>
              </w:rPr>
              <w:instrText xml:space="preserve"> \* MERGEFORMAT</w:instrText>
            </w:r>
            <w:r w:rsidRPr="00EB29D7">
              <w:rPr>
                <w:sz w:val="14"/>
                <w:szCs w:val="14"/>
                <w:rtl/>
              </w:rPr>
              <w:instrText xml:space="preserve"> </w:instrText>
            </w:r>
            <w:r w:rsidRPr="00EB29D7">
              <w:rPr>
                <w:sz w:val="14"/>
                <w:szCs w:val="14"/>
                <w:rtl/>
              </w:rPr>
              <w:fldChar w:fldCharType="separate"/>
            </w:r>
            <w:r w:rsidRPr="003A584F">
              <w:rPr>
                <w:noProof/>
                <w:sz w:val="18"/>
                <w:szCs w:val="18"/>
                <w:rtl/>
              </w:rPr>
              <w:t>2023</w:t>
            </w:r>
            <w:r w:rsidRPr="00EB29D7">
              <w:rPr>
                <w:sz w:val="14"/>
                <w:szCs w:val="14"/>
                <w:rtl/>
              </w:rPr>
              <w:fldChar w:fldCharType="end"/>
            </w:r>
          </w:p>
        </w:tc>
        <w:tc>
          <w:tcPr>
            <w:tcW w:w="709" w:type="dxa"/>
            <w:gridSpan w:val="2"/>
            <w:vAlign w:val="bottom"/>
          </w:tcPr>
          <w:p w14:paraId="568061C3" w14:textId="77777777" w:rsidR="00EC46DF" w:rsidRPr="00EB5088" w:rsidRDefault="00EC46DF" w:rsidP="00396C38">
            <w:pPr>
              <w:pStyle w:val="-3"/>
              <w:pBdr>
                <w:bottom w:val="double" w:sz="4" w:space="1" w:color="auto"/>
              </w:pBdr>
              <w:rPr>
                <w:rFonts w:asciiTheme="minorBidi" w:hAnsiTheme="minorBidi" w:cstheme="minorBidi"/>
                <w:b/>
                <w:bCs/>
                <w:sz w:val="18"/>
                <w:szCs w:val="18"/>
                <w:rtl/>
              </w:rPr>
            </w:pPr>
            <w:r w:rsidRPr="00EB5088">
              <w:rPr>
                <w:rFonts w:asciiTheme="minorBidi" w:hAnsiTheme="minorBidi" w:cstheme="minorBidi"/>
                <w:b/>
                <w:bCs/>
                <w:sz w:val="18"/>
                <w:szCs w:val="18"/>
                <w:rtl/>
              </w:rPr>
              <w:t xml:space="preserve"> 0</w:t>
            </w:r>
          </w:p>
        </w:tc>
        <w:tc>
          <w:tcPr>
            <w:tcW w:w="565" w:type="dxa"/>
            <w:gridSpan w:val="2"/>
            <w:vAlign w:val="bottom"/>
          </w:tcPr>
          <w:p w14:paraId="16334A96" w14:textId="77777777" w:rsidR="00EC46DF" w:rsidRPr="00EB5088" w:rsidRDefault="00EC46DF" w:rsidP="00396C38">
            <w:pPr>
              <w:pStyle w:val="-3"/>
              <w:pBdr>
                <w:bottom w:val="double" w:sz="4" w:space="1" w:color="auto"/>
              </w:pBdr>
              <w:rPr>
                <w:rFonts w:asciiTheme="minorBidi" w:hAnsiTheme="minorBidi" w:cstheme="minorBidi"/>
                <w:b/>
                <w:bCs/>
                <w:sz w:val="18"/>
                <w:szCs w:val="18"/>
                <w:rtl/>
              </w:rPr>
            </w:pPr>
            <w:r w:rsidRPr="00EB5088">
              <w:rPr>
                <w:rFonts w:asciiTheme="minorBidi" w:hAnsiTheme="minorBidi" w:cstheme="minorBidi"/>
                <w:b/>
                <w:bCs/>
                <w:sz w:val="18"/>
                <w:szCs w:val="18"/>
                <w:rtl/>
              </w:rPr>
              <w:t xml:space="preserve"> 0</w:t>
            </w:r>
          </w:p>
        </w:tc>
        <w:tc>
          <w:tcPr>
            <w:tcW w:w="567" w:type="dxa"/>
            <w:gridSpan w:val="2"/>
            <w:vAlign w:val="bottom"/>
          </w:tcPr>
          <w:p w14:paraId="48C120AD" w14:textId="77777777" w:rsidR="00EC46DF" w:rsidRPr="00EB5088" w:rsidRDefault="00EC46DF" w:rsidP="00396C38">
            <w:pPr>
              <w:pStyle w:val="-3"/>
              <w:pBdr>
                <w:bottom w:val="double" w:sz="4" w:space="1" w:color="auto"/>
              </w:pBdr>
              <w:rPr>
                <w:rFonts w:asciiTheme="minorBidi" w:hAnsiTheme="minorBidi" w:cstheme="minorBidi"/>
                <w:b/>
                <w:bCs/>
                <w:sz w:val="18"/>
                <w:szCs w:val="18"/>
                <w:rtl/>
              </w:rPr>
            </w:pPr>
            <w:r w:rsidRPr="00EB5088">
              <w:rPr>
                <w:rFonts w:asciiTheme="minorBidi" w:hAnsiTheme="minorBidi" w:cstheme="minorBidi"/>
                <w:b/>
                <w:bCs/>
                <w:sz w:val="18"/>
                <w:szCs w:val="18"/>
                <w:rtl/>
              </w:rPr>
              <w:t xml:space="preserve"> 0</w:t>
            </w:r>
          </w:p>
        </w:tc>
        <w:tc>
          <w:tcPr>
            <w:tcW w:w="641" w:type="dxa"/>
            <w:gridSpan w:val="2"/>
            <w:vAlign w:val="bottom"/>
          </w:tcPr>
          <w:p w14:paraId="340F71ED" w14:textId="77777777" w:rsidR="00EC46DF" w:rsidRPr="00EB5088" w:rsidRDefault="00EC46DF" w:rsidP="00396C38">
            <w:pPr>
              <w:pStyle w:val="-3"/>
              <w:pBdr>
                <w:bottom w:val="double" w:sz="4" w:space="1" w:color="auto"/>
              </w:pBdr>
              <w:rPr>
                <w:rFonts w:asciiTheme="minorBidi" w:hAnsiTheme="minorBidi" w:cstheme="minorBidi"/>
                <w:b/>
                <w:bCs/>
                <w:sz w:val="18"/>
                <w:szCs w:val="18"/>
                <w:rtl/>
              </w:rPr>
            </w:pPr>
            <w:r w:rsidRPr="00EB5088">
              <w:rPr>
                <w:rFonts w:asciiTheme="minorBidi" w:hAnsiTheme="minorBidi" w:cstheme="minorBidi"/>
                <w:b/>
                <w:bCs/>
                <w:sz w:val="18"/>
                <w:szCs w:val="18"/>
                <w:rtl/>
              </w:rPr>
              <w:t xml:space="preserve"> 0</w:t>
            </w:r>
          </w:p>
        </w:tc>
        <w:tc>
          <w:tcPr>
            <w:tcW w:w="1202" w:type="dxa"/>
            <w:gridSpan w:val="2"/>
            <w:vAlign w:val="bottom"/>
          </w:tcPr>
          <w:p w14:paraId="4F926C36" w14:textId="1B378669" w:rsidR="00EC46DF" w:rsidRPr="00EB5088" w:rsidRDefault="00EC46DF" w:rsidP="00390688">
            <w:pPr>
              <w:pStyle w:val="-3"/>
              <w:pBdr>
                <w:bottom w:val="double" w:sz="4" w:space="1" w:color="auto"/>
              </w:pBdr>
              <w:rPr>
                <w:rFonts w:asciiTheme="minorBidi" w:hAnsiTheme="minorBidi" w:cstheme="minorBidi"/>
                <w:b/>
                <w:bCs/>
                <w:sz w:val="18"/>
                <w:szCs w:val="18"/>
                <w:rtl/>
              </w:rPr>
            </w:pPr>
            <w:r w:rsidRPr="00EB5088">
              <w:rPr>
                <w:rFonts w:asciiTheme="minorBidi" w:hAnsiTheme="minorBidi" w:cstheme="minorBidi"/>
                <w:b/>
                <w:bCs/>
                <w:sz w:val="18"/>
                <w:szCs w:val="18"/>
                <w:rtl/>
              </w:rPr>
              <w:t xml:space="preserve"> 0</w:t>
            </w:r>
          </w:p>
        </w:tc>
        <w:tc>
          <w:tcPr>
            <w:tcW w:w="994" w:type="dxa"/>
            <w:gridSpan w:val="2"/>
            <w:vAlign w:val="bottom"/>
          </w:tcPr>
          <w:p w14:paraId="3F4E28A9" w14:textId="77777777" w:rsidR="00EC46DF" w:rsidRPr="002C0AFF" w:rsidRDefault="00EC46DF" w:rsidP="00396C38">
            <w:pPr>
              <w:pStyle w:val="-3"/>
              <w:pBdr>
                <w:bottom w:val="double" w:sz="4" w:space="1" w:color="auto"/>
              </w:pBdr>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r>
      <w:tr w:rsidR="00EC46DF" w:rsidRPr="00BA061F" w14:paraId="1ECA25B7" w14:textId="77777777" w:rsidTr="00AB0DD8">
        <w:trPr>
          <w:gridAfter w:val="1"/>
          <w:wAfter w:w="398" w:type="dxa"/>
          <w:trHeight w:val="87"/>
        </w:trPr>
        <w:tc>
          <w:tcPr>
            <w:tcW w:w="1077" w:type="dxa"/>
          </w:tcPr>
          <w:p w14:paraId="6519423E" w14:textId="77777777" w:rsidR="00EC46DF" w:rsidRDefault="00EC46DF" w:rsidP="00B85A6A">
            <w:pPr>
              <w:pStyle w:val="-7"/>
              <w:bidi w:val="0"/>
              <w:spacing w:line="60" w:lineRule="exact"/>
              <w:ind w:hanging="142"/>
              <w:rPr>
                <w:rtl/>
              </w:rPr>
            </w:pPr>
          </w:p>
        </w:tc>
        <w:tc>
          <w:tcPr>
            <w:tcW w:w="4052" w:type="dxa"/>
            <w:gridSpan w:val="2"/>
            <w:vAlign w:val="bottom"/>
          </w:tcPr>
          <w:p w14:paraId="0539CBD7" w14:textId="77777777" w:rsidR="00EC46DF" w:rsidRPr="00BB7507" w:rsidRDefault="00EC46DF" w:rsidP="00B85A6A">
            <w:pPr>
              <w:pStyle w:val="-b"/>
              <w:spacing w:line="60" w:lineRule="exact"/>
              <w:ind w:hanging="142"/>
              <w:jc w:val="both"/>
              <w:rPr>
                <w:rFonts w:asciiTheme="minorBidi" w:hAnsiTheme="minorBidi" w:cstheme="minorBidi"/>
                <w:b w:val="0"/>
                <w:bCs w:val="0"/>
                <w:sz w:val="19"/>
                <w:szCs w:val="19"/>
                <w:rtl/>
              </w:rPr>
            </w:pPr>
          </w:p>
        </w:tc>
        <w:tc>
          <w:tcPr>
            <w:tcW w:w="709" w:type="dxa"/>
            <w:gridSpan w:val="2"/>
            <w:vAlign w:val="bottom"/>
          </w:tcPr>
          <w:p w14:paraId="154DBC7E" w14:textId="77777777" w:rsidR="00EC46DF" w:rsidRPr="002C0AFF" w:rsidRDefault="00EC46DF" w:rsidP="00B85A6A">
            <w:pPr>
              <w:pStyle w:val="-3"/>
              <w:spacing w:line="60" w:lineRule="exact"/>
              <w:ind w:hanging="142"/>
              <w:rPr>
                <w:sz w:val="18"/>
                <w:szCs w:val="18"/>
                <w:rtl/>
              </w:rPr>
            </w:pPr>
          </w:p>
        </w:tc>
        <w:tc>
          <w:tcPr>
            <w:tcW w:w="565" w:type="dxa"/>
            <w:gridSpan w:val="2"/>
            <w:vAlign w:val="bottom"/>
          </w:tcPr>
          <w:p w14:paraId="6244E8E4" w14:textId="77777777" w:rsidR="00EC46DF" w:rsidRPr="002C0AFF" w:rsidRDefault="00EC46DF" w:rsidP="00B85A6A">
            <w:pPr>
              <w:pStyle w:val="-3"/>
              <w:spacing w:line="60" w:lineRule="exact"/>
              <w:ind w:hanging="142"/>
              <w:rPr>
                <w:sz w:val="18"/>
                <w:szCs w:val="18"/>
                <w:rtl/>
              </w:rPr>
            </w:pPr>
          </w:p>
        </w:tc>
        <w:tc>
          <w:tcPr>
            <w:tcW w:w="567" w:type="dxa"/>
            <w:gridSpan w:val="2"/>
            <w:vAlign w:val="bottom"/>
          </w:tcPr>
          <w:p w14:paraId="08A758BC" w14:textId="77777777" w:rsidR="00EC46DF" w:rsidRPr="002C0AFF" w:rsidRDefault="00EC46DF" w:rsidP="00B85A6A">
            <w:pPr>
              <w:pStyle w:val="-3"/>
              <w:spacing w:line="60" w:lineRule="exact"/>
              <w:ind w:hanging="142"/>
              <w:rPr>
                <w:sz w:val="18"/>
                <w:szCs w:val="18"/>
                <w:rtl/>
              </w:rPr>
            </w:pPr>
          </w:p>
        </w:tc>
        <w:tc>
          <w:tcPr>
            <w:tcW w:w="641" w:type="dxa"/>
            <w:gridSpan w:val="2"/>
            <w:vAlign w:val="bottom"/>
          </w:tcPr>
          <w:p w14:paraId="1703D8F9" w14:textId="77777777" w:rsidR="00EC46DF" w:rsidRPr="002C0AFF" w:rsidRDefault="00EC46DF" w:rsidP="00B85A6A">
            <w:pPr>
              <w:pStyle w:val="-3"/>
              <w:spacing w:line="60" w:lineRule="exact"/>
              <w:ind w:hanging="142"/>
              <w:rPr>
                <w:sz w:val="18"/>
                <w:szCs w:val="18"/>
                <w:rtl/>
              </w:rPr>
            </w:pPr>
          </w:p>
        </w:tc>
        <w:tc>
          <w:tcPr>
            <w:tcW w:w="1202" w:type="dxa"/>
            <w:gridSpan w:val="2"/>
            <w:vAlign w:val="bottom"/>
          </w:tcPr>
          <w:p w14:paraId="09A79689" w14:textId="77777777" w:rsidR="00EC46DF" w:rsidRPr="002C0AFF" w:rsidRDefault="00EC46DF" w:rsidP="00B85A6A">
            <w:pPr>
              <w:pStyle w:val="-3"/>
              <w:spacing w:line="60" w:lineRule="exact"/>
              <w:ind w:hanging="142"/>
              <w:rPr>
                <w:sz w:val="18"/>
                <w:szCs w:val="18"/>
                <w:rtl/>
              </w:rPr>
            </w:pPr>
          </w:p>
        </w:tc>
        <w:tc>
          <w:tcPr>
            <w:tcW w:w="994" w:type="dxa"/>
            <w:gridSpan w:val="2"/>
            <w:vAlign w:val="bottom"/>
          </w:tcPr>
          <w:p w14:paraId="7D46C395" w14:textId="77777777" w:rsidR="00EC46DF" w:rsidRPr="002C0AFF" w:rsidRDefault="00EC46DF" w:rsidP="00B85A6A">
            <w:pPr>
              <w:pStyle w:val="-3"/>
              <w:spacing w:line="60" w:lineRule="exact"/>
              <w:ind w:hanging="142"/>
              <w:rPr>
                <w:b/>
                <w:bCs/>
                <w:sz w:val="18"/>
                <w:szCs w:val="18"/>
                <w:rtl/>
              </w:rPr>
            </w:pPr>
          </w:p>
        </w:tc>
      </w:tr>
      <w:tr w:rsidR="00EC46DF" w:rsidRPr="00C94190" w14:paraId="2BB53F2A" w14:textId="77777777" w:rsidTr="00AB0DD8">
        <w:trPr>
          <w:gridAfter w:val="1"/>
          <w:wAfter w:w="398" w:type="dxa"/>
        </w:trPr>
        <w:tc>
          <w:tcPr>
            <w:tcW w:w="1077" w:type="dxa"/>
          </w:tcPr>
          <w:p w14:paraId="687E9991" w14:textId="77777777" w:rsidR="00EC46DF" w:rsidRDefault="00EC46DF" w:rsidP="00396C38">
            <w:pPr>
              <w:pStyle w:val="-fa"/>
              <w:bidi w:val="0"/>
              <w:ind w:right="-142"/>
              <w:jc w:val="both"/>
              <w:rPr>
                <w:rtl/>
              </w:rPr>
            </w:pPr>
          </w:p>
        </w:tc>
        <w:tc>
          <w:tcPr>
            <w:tcW w:w="4052" w:type="dxa"/>
            <w:gridSpan w:val="2"/>
            <w:vAlign w:val="bottom"/>
          </w:tcPr>
          <w:p w14:paraId="442E45AA" w14:textId="77777777" w:rsidR="00EC46DF" w:rsidRPr="00324FB6" w:rsidRDefault="00EC46DF" w:rsidP="00324FB6">
            <w:pPr>
              <w:pStyle w:val="-b"/>
              <w:bidi w:val="0"/>
              <w:spacing w:before="60" w:line="240" w:lineRule="auto"/>
              <w:ind w:left="142" w:right="181" w:hanging="142"/>
              <w:jc w:val="right"/>
              <w:rPr>
                <w:rFonts w:asciiTheme="minorBidi" w:hAnsiTheme="minorBidi" w:cstheme="minorBidi"/>
                <w:b w:val="0"/>
                <w:bCs w:val="0"/>
                <w:sz w:val="19"/>
                <w:szCs w:val="19"/>
              </w:rPr>
            </w:pPr>
            <w:r w:rsidRPr="00324FB6">
              <w:rPr>
                <w:rFonts w:hint="cs"/>
                <w:b w:val="0"/>
                <w:bCs w:val="0"/>
                <w:sz w:val="19"/>
                <w:szCs w:val="19"/>
                <w:rtl/>
              </w:rPr>
              <w:t>מזה: בגין מכשירי אשראי חוץ מאזניים</w:t>
            </w:r>
          </w:p>
        </w:tc>
        <w:tc>
          <w:tcPr>
            <w:tcW w:w="709" w:type="dxa"/>
            <w:gridSpan w:val="2"/>
            <w:vAlign w:val="bottom"/>
          </w:tcPr>
          <w:p w14:paraId="3E336E6A" w14:textId="77777777" w:rsidR="00EC46DF" w:rsidRPr="002C0AFF" w:rsidRDefault="00EC46DF" w:rsidP="00396C38">
            <w:pPr>
              <w:pStyle w:val="-3"/>
              <w:rPr>
                <w:rFonts w:asciiTheme="minorBidi" w:hAnsiTheme="minorBidi" w:cstheme="minorBidi"/>
                <w:sz w:val="18"/>
                <w:szCs w:val="18"/>
                <w:rtl/>
              </w:rPr>
            </w:pPr>
            <w:r w:rsidRPr="002C0AFF">
              <w:rPr>
                <w:rFonts w:hint="cs"/>
                <w:sz w:val="18"/>
                <w:szCs w:val="18"/>
                <w:rtl/>
              </w:rPr>
              <w:t xml:space="preserve"> 0</w:t>
            </w:r>
          </w:p>
        </w:tc>
        <w:tc>
          <w:tcPr>
            <w:tcW w:w="565" w:type="dxa"/>
            <w:gridSpan w:val="2"/>
            <w:vAlign w:val="bottom"/>
          </w:tcPr>
          <w:p w14:paraId="561FA250" w14:textId="77777777" w:rsidR="00EC46DF" w:rsidRPr="002C0AFF" w:rsidRDefault="00EC46DF" w:rsidP="00396C38">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567" w:type="dxa"/>
            <w:gridSpan w:val="2"/>
            <w:vAlign w:val="bottom"/>
          </w:tcPr>
          <w:p w14:paraId="16A2ADAF" w14:textId="77777777" w:rsidR="00EC46DF" w:rsidRPr="002C0AFF" w:rsidRDefault="00EC46DF" w:rsidP="00396C38">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641" w:type="dxa"/>
            <w:gridSpan w:val="2"/>
            <w:vAlign w:val="bottom"/>
          </w:tcPr>
          <w:p w14:paraId="79EDC526" w14:textId="77777777" w:rsidR="00EC46DF" w:rsidRPr="002C0AFF" w:rsidRDefault="00EC46DF" w:rsidP="00396C38">
            <w:pPr>
              <w:pStyle w:val="-3"/>
              <w:rPr>
                <w:rFonts w:asciiTheme="minorBidi" w:hAnsiTheme="minorBidi" w:cstheme="minorBidi"/>
                <w:sz w:val="18"/>
                <w:szCs w:val="18"/>
                <w:rtl/>
              </w:rPr>
            </w:pPr>
            <w:r w:rsidRPr="002C0AFF">
              <w:rPr>
                <w:rFonts w:hint="cs"/>
                <w:sz w:val="18"/>
                <w:szCs w:val="18"/>
                <w:rtl/>
              </w:rPr>
              <w:t xml:space="preserve"> 0</w:t>
            </w:r>
          </w:p>
        </w:tc>
        <w:tc>
          <w:tcPr>
            <w:tcW w:w="1202" w:type="dxa"/>
            <w:gridSpan w:val="2"/>
            <w:vAlign w:val="bottom"/>
          </w:tcPr>
          <w:p w14:paraId="31B133F3" w14:textId="3B98D1B2" w:rsidR="00EC46DF" w:rsidRPr="002C0AFF" w:rsidRDefault="00EC46DF" w:rsidP="00390688">
            <w:pPr>
              <w:pStyle w:val="-3"/>
              <w:rPr>
                <w:sz w:val="18"/>
                <w:szCs w:val="18"/>
                <w:rtl/>
              </w:rPr>
            </w:pPr>
            <w:r w:rsidRPr="002C0AFF">
              <w:rPr>
                <w:rFonts w:hint="cs"/>
                <w:sz w:val="18"/>
                <w:szCs w:val="18"/>
                <w:rtl/>
              </w:rPr>
              <w:t xml:space="preserve"> 0</w:t>
            </w:r>
          </w:p>
        </w:tc>
        <w:tc>
          <w:tcPr>
            <w:tcW w:w="994" w:type="dxa"/>
            <w:gridSpan w:val="2"/>
            <w:vAlign w:val="bottom"/>
          </w:tcPr>
          <w:p w14:paraId="7622AF8A" w14:textId="77777777" w:rsidR="00EC46DF" w:rsidRPr="00EB5088" w:rsidRDefault="00EC46DF" w:rsidP="00396C38">
            <w:pPr>
              <w:pStyle w:val="-3"/>
              <w:rPr>
                <w:rFonts w:asciiTheme="minorBidi" w:hAnsiTheme="minorBidi" w:cstheme="minorBidi"/>
                <w:sz w:val="18"/>
                <w:szCs w:val="18"/>
                <w:rtl/>
              </w:rPr>
            </w:pPr>
            <w:r w:rsidRPr="002C0AFF">
              <w:rPr>
                <w:rFonts w:hint="cs"/>
                <w:b/>
                <w:bCs/>
                <w:sz w:val="18"/>
                <w:szCs w:val="18"/>
                <w:rtl/>
              </w:rPr>
              <w:t xml:space="preserve"> </w:t>
            </w:r>
            <w:r w:rsidRPr="00EB5088">
              <w:rPr>
                <w:sz w:val="18"/>
                <w:szCs w:val="18"/>
                <w:rtl/>
              </w:rPr>
              <w:t>0</w:t>
            </w:r>
          </w:p>
        </w:tc>
      </w:tr>
    </w:tbl>
    <w:p w14:paraId="3B3286CC" w14:textId="77777777" w:rsidR="00D865B4" w:rsidRDefault="00D865B4" w:rsidP="00D865B4">
      <w:pPr>
        <w:spacing w:line="360" w:lineRule="auto"/>
        <w:rPr>
          <w:rtl/>
        </w:rPr>
      </w:pPr>
    </w:p>
    <w:p w14:paraId="1C6A1B26" w14:textId="77777777" w:rsidR="007E12E9" w:rsidRDefault="007E12E9" w:rsidP="006E7E3E">
      <w:pPr>
        <w:rPr>
          <w:rtl/>
        </w:rPr>
        <w:sectPr w:rsidR="007E12E9" w:rsidSect="00587121">
          <w:headerReference w:type="default" r:id="rId49"/>
          <w:footnotePr>
            <w:numRestart w:val="eachPage"/>
          </w:footnotePr>
          <w:pgSz w:w="11909" w:h="16834" w:code="9"/>
          <w:pgMar w:top="851" w:right="851" w:bottom="851" w:left="851" w:header="720" w:footer="720" w:gutter="0"/>
          <w:cols w:space="720"/>
          <w:bidi/>
          <w:rtlGutter/>
          <w:docGrid w:linePitch="360"/>
        </w:sectPr>
      </w:pPr>
    </w:p>
    <w:tbl>
      <w:tblPr>
        <w:bidiVisual/>
        <w:tblW w:w="4565" w:type="pct"/>
        <w:tblInd w:w="359" w:type="dxa"/>
        <w:tblLayout w:type="fixed"/>
        <w:tblLook w:val="04A0" w:firstRow="1" w:lastRow="0" w:firstColumn="1" w:lastColumn="0" w:noHBand="0" w:noVBand="1"/>
      </w:tblPr>
      <w:tblGrid>
        <w:gridCol w:w="680"/>
        <w:gridCol w:w="8639"/>
      </w:tblGrid>
      <w:tr w:rsidR="00D865B4" w:rsidRPr="00543C25" w14:paraId="44939897" w14:textId="77777777" w:rsidTr="00EC46DF">
        <w:trPr>
          <w:trHeight w:val="259"/>
        </w:trPr>
        <w:tc>
          <w:tcPr>
            <w:tcW w:w="680" w:type="dxa"/>
          </w:tcPr>
          <w:p w14:paraId="2DA04EE2" w14:textId="77777777" w:rsidR="00D865B4" w:rsidRPr="00543C25" w:rsidRDefault="00D865B4" w:rsidP="00AF08D2">
            <w:pPr>
              <w:pStyle w:val="-fa"/>
              <w:spacing w:before="0" w:after="60"/>
              <w:rPr>
                <w:rtl/>
              </w:rPr>
            </w:pPr>
          </w:p>
        </w:tc>
        <w:tc>
          <w:tcPr>
            <w:tcW w:w="8640" w:type="dxa"/>
          </w:tcPr>
          <w:p w14:paraId="79FEF1EA" w14:textId="77777777" w:rsidR="00D865B4" w:rsidRPr="00543C25" w:rsidRDefault="000714B4" w:rsidP="00AF08D2">
            <w:pPr>
              <w:pStyle w:val="-8"/>
              <w:rPr>
                <w:rtl/>
              </w:rPr>
            </w:pPr>
            <w:r w:rsidRPr="00D865B4">
              <w:rPr>
                <w:rtl/>
              </w:rPr>
              <w:t xml:space="preserve">ביאור </w:t>
            </w:r>
            <w:r w:rsidRPr="00D865B4">
              <w:rPr>
                <w:rFonts w:hint="cs"/>
                <w:rtl/>
              </w:rPr>
              <w:t>6</w:t>
            </w:r>
            <w:r w:rsidRPr="00D865B4">
              <w:rPr>
                <w:rtl/>
              </w:rPr>
              <w:t xml:space="preserve">  -  </w:t>
            </w:r>
            <w:r w:rsidRPr="00D865B4">
              <w:rPr>
                <w:rFonts w:eastAsia="Arial Unicode MS" w:hint="cs"/>
                <w:rtl/>
              </w:rPr>
              <w:t>סיכון אשראי, אשראי לציבור והפרשה להפסדי אשראי (המשך):</w:t>
            </w:r>
          </w:p>
        </w:tc>
      </w:tr>
      <w:tr w:rsidR="00984659" w:rsidRPr="00543C25" w14:paraId="77D00398" w14:textId="77777777" w:rsidTr="00EC46DF">
        <w:trPr>
          <w:trHeight w:val="259"/>
        </w:trPr>
        <w:tc>
          <w:tcPr>
            <w:tcW w:w="680" w:type="dxa"/>
          </w:tcPr>
          <w:p w14:paraId="6D51B8FC" w14:textId="6BDF5677" w:rsidR="00984659" w:rsidRPr="00984659" w:rsidRDefault="00984659" w:rsidP="00984659">
            <w:pPr>
              <w:pStyle w:val="-fa"/>
              <w:spacing w:before="100" w:after="60"/>
              <w:ind w:right="-142"/>
              <w:rPr>
                <w:spacing w:val="0"/>
                <w:rtl/>
              </w:rPr>
            </w:pPr>
          </w:p>
        </w:tc>
        <w:tc>
          <w:tcPr>
            <w:tcW w:w="8640" w:type="dxa"/>
            <w:tcBorders>
              <w:left w:val="nil"/>
            </w:tcBorders>
          </w:tcPr>
          <w:p w14:paraId="73329D78" w14:textId="77777777" w:rsidR="00984659" w:rsidRPr="00984659" w:rsidRDefault="00984659" w:rsidP="00EC46DF">
            <w:pPr>
              <w:pStyle w:val="-8"/>
              <w:tabs>
                <w:tab w:val="left" w:pos="289"/>
              </w:tabs>
              <w:spacing w:before="60"/>
              <w:rPr>
                <w:sz w:val="20"/>
                <w:szCs w:val="20"/>
                <w:rtl/>
              </w:rPr>
            </w:pPr>
            <w:r>
              <w:rPr>
                <w:rFonts w:hint="cs"/>
                <w:sz w:val="20"/>
                <w:szCs w:val="20"/>
                <w:rtl/>
              </w:rPr>
              <w:t>ב.</w:t>
            </w:r>
            <w:r>
              <w:rPr>
                <w:sz w:val="20"/>
                <w:szCs w:val="20"/>
                <w:rtl/>
              </w:rPr>
              <w:tab/>
            </w:r>
            <w:r w:rsidRPr="00984659">
              <w:rPr>
                <w:rFonts w:hint="eastAsia"/>
                <w:sz w:val="20"/>
                <w:szCs w:val="20"/>
                <w:rtl/>
              </w:rPr>
              <w:t>תנועה</w:t>
            </w:r>
            <w:r w:rsidRPr="00984659">
              <w:rPr>
                <w:sz w:val="20"/>
                <w:szCs w:val="20"/>
                <w:rtl/>
              </w:rPr>
              <w:t xml:space="preserve"> </w:t>
            </w:r>
            <w:r w:rsidRPr="00984659">
              <w:rPr>
                <w:rFonts w:hint="eastAsia"/>
                <w:sz w:val="20"/>
                <w:szCs w:val="20"/>
                <w:rtl/>
              </w:rPr>
              <w:t>ביתרת</w:t>
            </w:r>
            <w:r w:rsidRPr="00984659">
              <w:rPr>
                <w:sz w:val="20"/>
                <w:szCs w:val="20"/>
                <w:rtl/>
              </w:rPr>
              <w:t xml:space="preserve"> </w:t>
            </w:r>
            <w:r w:rsidRPr="00984659">
              <w:rPr>
                <w:rFonts w:hint="eastAsia"/>
                <w:sz w:val="20"/>
                <w:szCs w:val="20"/>
                <w:rtl/>
              </w:rPr>
              <w:t>ההפרשה</w:t>
            </w:r>
            <w:r w:rsidRPr="00984659">
              <w:rPr>
                <w:sz w:val="20"/>
                <w:szCs w:val="20"/>
                <w:rtl/>
              </w:rPr>
              <w:t xml:space="preserve"> </w:t>
            </w:r>
            <w:r w:rsidRPr="00984659">
              <w:rPr>
                <w:rFonts w:hint="eastAsia"/>
                <w:sz w:val="20"/>
                <w:szCs w:val="20"/>
                <w:rtl/>
              </w:rPr>
              <w:t>להפסדי</w:t>
            </w:r>
            <w:r w:rsidRPr="00984659">
              <w:rPr>
                <w:sz w:val="20"/>
                <w:szCs w:val="20"/>
                <w:rtl/>
              </w:rPr>
              <w:t xml:space="preserve"> </w:t>
            </w:r>
            <w:r w:rsidRPr="00984659">
              <w:rPr>
                <w:rFonts w:hint="eastAsia"/>
                <w:sz w:val="20"/>
                <w:szCs w:val="20"/>
                <w:rtl/>
              </w:rPr>
              <w:t>אשראי</w:t>
            </w:r>
            <w:r w:rsidRPr="00984659">
              <w:rPr>
                <w:rFonts w:hint="cs"/>
                <w:sz w:val="20"/>
                <w:szCs w:val="20"/>
                <w:rtl/>
              </w:rPr>
              <w:t xml:space="preserve"> (המשך)</w:t>
            </w:r>
            <w:r w:rsidRPr="00984659">
              <w:rPr>
                <w:sz w:val="20"/>
                <w:szCs w:val="20"/>
                <w:rtl/>
              </w:rPr>
              <w:t>:</w:t>
            </w:r>
          </w:p>
        </w:tc>
      </w:tr>
    </w:tbl>
    <w:p w14:paraId="0226D9EE" w14:textId="77777777" w:rsidR="00D865B4" w:rsidRPr="00D268FB" w:rsidRDefault="00D865B4" w:rsidP="00D865B4">
      <w:pPr>
        <w:spacing w:line="60" w:lineRule="exact"/>
      </w:pPr>
    </w:p>
    <w:tbl>
      <w:tblPr>
        <w:bidiVisual/>
        <w:tblW w:w="4663" w:type="pct"/>
        <w:tblInd w:w="441" w:type="dxa"/>
        <w:tblLayout w:type="fixed"/>
        <w:tblLook w:val="01E0" w:firstRow="1" w:lastRow="1" w:firstColumn="1" w:lastColumn="1" w:noHBand="0" w:noVBand="0"/>
      </w:tblPr>
      <w:tblGrid>
        <w:gridCol w:w="625"/>
        <w:gridCol w:w="4082"/>
        <w:gridCol w:w="707"/>
        <w:gridCol w:w="707"/>
        <w:gridCol w:w="707"/>
        <w:gridCol w:w="569"/>
        <w:gridCol w:w="1128"/>
        <w:gridCol w:w="994"/>
      </w:tblGrid>
      <w:tr w:rsidR="00EC46DF" w:rsidRPr="00543C25" w14:paraId="4D315468" w14:textId="77777777" w:rsidTr="00CE19D7">
        <w:trPr>
          <w:trHeight w:val="259"/>
        </w:trPr>
        <w:tc>
          <w:tcPr>
            <w:tcW w:w="625" w:type="dxa"/>
          </w:tcPr>
          <w:p w14:paraId="27832EBE" w14:textId="77777777" w:rsidR="00EC46DF" w:rsidRPr="00543C25" w:rsidRDefault="00EC46DF" w:rsidP="00D9322A">
            <w:pPr>
              <w:pStyle w:val="-7"/>
              <w:spacing w:before="20" w:line="240" w:lineRule="auto"/>
              <w:rPr>
                <w:rtl/>
              </w:rPr>
            </w:pPr>
          </w:p>
        </w:tc>
        <w:tc>
          <w:tcPr>
            <w:tcW w:w="4082" w:type="dxa"/>
            <w:vAlign w:val="bottom"/>
          </w:tcPr>
          <w:p w14:paraId="4A1BA870" w14:textId="77777777" w:rsidR="00EC46DF" w:rsidRPr="00D439C5" w:rsidRDefault="00EC46DF" w:rsidP="00AF08D2">
            <w:pPr>
              <w:pStyle w:val="-0"/>
              <w:rPr>
                <w:rFonts w:asciiTheme="minorBidi" w:hAnsiTheme="minorBidi" w:cstheme="minorBidi"/>
                <w:sz w:val="19"/>
                <w:szCs w:val="19"/>
                <w:rtl/>
              </w:rPr>
            </w:pPr>
          </w:p>
        </w:tc>
        <w:tc>
          <w:tcPr>
            <w:tcW w:w="4812" w:type="dxa"/>
            <w:gridSpan w:val="6"/>
          </w:tcPr>
          <w:p w14:paraId="2219A73B" w14:textId="77777777" w:rsidR="00EC46DF" w:rsidRPr="00D439C5" w:rsidRDefault="00EC46DF">
            <w:pPr>
              <w:pStyle w:val="-4"/>
              <w:pBdr>
                <w:bottom w:val="single" w:sz="4" w:space="1" w:color="auto"/>
              </w:pBdr>
              <w:rPr>
                <w:rFonts w:asciiTheme="minorBidi" w:hAnsiTheme="minorBidi" w:cstheme="minorBidi"/>
                <w:sz w:val="19"/>
                <w:szCs w:val="19"/>
                <w:rtl/>
              </w:rPr>
            </w:pPr>
            <w:r w:rsidRPr="00D439C5">
              <w:rPr>
                <w:rFonts w:asciiTheme="minorBidi" w:hAnsiTheme="minorBidi" w:cstheme="minorBidi"/>
                <w:sz w:val="19"/>
                <w:szCs w:val="19"/>
                <w:rtl/>
              </w:rPr>
              <w:t>הפרשה להפסדי אשראי</w:t>
            </w:r>
          </w:p>
        </w:tc>
      </w:tr>
      <w:tr w:rsidR="00EC46DF" w:rsidRPr="00543C25" w14:paraId="7A086C38" w14:textId="77777777" w:rsidTr="00CE19D7">
        <w:trPr>
          <w:trHeight w:val="259"/>
        </w:trPr>
        <w:tc>
          <w:tcPr>
            <w:tcW w:w="625" w:type="dxa"/>
          </w:tcPr>
          <w:p w14:paraId="787FE8AD" w14:textId="77777777" w:rsidR="00EC46DF" w:rsidRPr="00543C25" w:rsidRDefault="00EC46DF" w:rsidP="00AF08D2">
            <w:pPr>
              <w:pStyle w:val="-7"/>
              <w:spacing w:line="240" w:lineRule="auto"/>
              <w:rPr>
                <w:rtl/>
              </w:rPr>
            </w:pPr>
          </w:p>
        </w:tc>
        <w:tc>
          <w:tcPr>
            <w:tcW w:w="4082" w:type="dxa"/>
            <w:vAlign w:val="bottom"/>
          </w:tcPr>
          <w:p w14:paraId="639FD3AD" w14:textId="77777777" w:rsidR="00EC46DF" w:rsidRPr="00D439C5" w:rsidRDefault="00EC46DF" w:rsidP="00AF08D2">
            <w:pPr>
              <w:pStyle w:val="-0"/>
              <w:rPr>
                <w:rFonts w:asciiTheme="minorBidi" w:hAnsiTheme="minorBidi" w:cstheme="minorBidi"/>
                <w:sz w:val="19"/>
                <w:szCs w:val="19"/>
                <w:rtl/>
              </w:rPr>
            </w:pPr>
          </w:p>
        </w:tc>
        <w:tc>
          <w:tcPr>
            <w:tcW w:w="2690" w:type="dxa"/>
            <w:gridSpan w:val="4"/>
          </w:tcPr>
          <w:p w14:paraId="0588781B" w14:textId="77777777" w:rsidR="00EC46DF" w:rsidRPr="00120AC2" w:rsidRDefault="00EC46DF" w:rsidP="00AF08D2">
            <w:pPr>
              <w:pStyle w:val="-4"/>
              <w:spacing w:line="240" w:lineRule="auto"/>
              <w:rPr>
                <w:rFonts w:asciiTheme="minorBidi" w:hAnsiTheme="minorBidi" w:cstheme="minorBidi"/>
                <w:sz w:val="16"/>
                <w:szCs w:val="16"/>
                <w:rtl/>
              </w:rPr>
            </w:pPr>
            <w:r w:rsidRPr="00120AC2">
              <w:rPr>
                <w:rFonts w:asciiTheme="minorBidi" w:hAnsiTheme="minorBidi" w:cstheme="minorBidi"/>
                <w:sz w:val="16"/>
                <w:szCs w:val="16"/>
                <w:rtl/>
              </w:rPr>
              <w:t>אשראי לציבור</w:t>
            </w:r>
          </w:p>
        </w:tc>
        <w:tc>
          <w:tcPr>
            <w:tcW w:w="1128" w:type="dxa"/>
            <w:vMerge w:val="restart"/>
            <w:vAlign w:val="bottom"/>
          </w:tcPr>
          <w:p w14:paraId="5F7458A2" w14:textId="3D18A7E5" w:rsidR="00EC46DF" w:rsidRPr="00120AC2" w:rsidRDefault="00EC46DF" w:rsidP="00D439C5">
            <w:pPr>
              <w:pStyle w:val="-4"/>
              <w:spacing w:line="240" w:lineRule="auto"/>
              <w:rPr>
                <w:rFonts w:asciiTheme="minorBidi" w:hAnsiTheme="minorBidi" w:cstheme="minorBidi"/>
                <w:sz w:val="16"/>
                <w:szCs w:val="16"/>
                <w:rtl/>
              </w:rPr>
            </w:pPr>
            <w:r w:rsidRPr="00120AC2">
              <w:rPr>
                <w:rFonts w:hint="eastAsia"/>
                <w:sz w:val="16"/>
                <w:szCs w:val="16"/>
                <w:rtl/>
              </w:rPr>
              <w:t>בנקים</w:t>
            </w:r>
            <w:r w:rsidRPr="00120AC2">
              <w:rPr>
                <w:rFonts w:hint="cs"/>
                <w:sz w:val="16"/>
                <w:szCs w:val="16"/>
                <w:rtl/>
              </w:rPr>
              <w:t xml:space="preserve">, </w:t>
            </w:r>
            <w:r w:rsidRPr="00120AC2">
              <w:rPr>
                <w:rFonts w:hint="eastAsia"/>
                <w:sz w:val="16"/>
                <w:szCs w:val="16"/>
                <w:rtl/>
              </w:rPr>
              <w:t>ממשלות</w:t>
            </w:r>
            <w:r w:rsidRPr="00120AC2">
              <w:rPr>
                <w:rFonts w:hint="cs"/>
                <w:sz w:val="16"/>
                <w:szCs w:val="16"/>
                <w:rtl/>
              </w:rPr>
              <w:t>, ואגרות חוב</w:t>
            </w:r>
          </w:p>
        </w:tc>
        <w:tc>
          <w:tcPr>
            <w:tcW w:w="994" w:type="dxa"/>
            <w:vMerge w:val="restart"/>
            <w:vAlign w:val="bottom"/>
          </w:tcPr>
          <w:p w14:paraId="49B321BC" w14:textId="77777777" w:rsidR="00EC46DF" w:rsidRPr="00120AC2" w:rsidRDefault="00EC46DF">
            <w:pPr>
              <w:pStyle w:val="-4"/>
              <w:pBdr>
                <w:bottom w:val="none" w:sz="0" w:space="0" w:color="auto"/>
              </w:pBdr>
              <w:rPr>
                <w:rFonts w:asciiTheme="minorBidi" w:hAnsiTheme="minorBidi" w:cstheme="minorBidi"/>
                <w:sz w:val="16"/>
                <w:szCs w:val="16"/>
                <w:rtl/>
              </w:rPr>
            </w:pPr>
            <w:r w:rsidRPr="00120AC2">
              <w:rPr>
                <w:rFonts w:asciiTheme="minorBidi" w:hAnsiTheme="minorBidi" w:cstheme="minorBidi"/>
                <w:sz w:val="16"/>
                <w:szCs w:val="16"/>
                <w:rtl/>
              </w:rPr>
              <w:t>סך</w:t>
            </w:r>
          </w:p>
          <w:p w14:paraId="0D791ADE" w14:textId="7821FA71" w:rsidR="00EC46DF" w:rsidRPr="00120AC2" w:rsidRDefault="00EC46DF" w:rsidP="00D439C5">
            <w:pPr>
              <w:pStyle w:val="-4"/>
              <w:spacing w:line="240" w:lineRule="auto"/>
              <w:rPr>
                <w:rFonts w:asciiTheme="minorBidi" w:hAnsiTheme="minorBidi" w:cstheme="minorBidi"/>
                <w:sz w:val="16"/>
                <w:szCs w:val="16"/>
                <w:rtl/>
              </w:rPr>
            </w:pPr>
            <w:r w:rsidRPr="00120AC2">
              <w:rPr>
                <w:rFonts w:asciiTheme="minorBidi" w:hAnsiTheme="minorBidi" w:cstheme="minorBidi"/>
                <w:sz w:val="16"/>
                <w:szCs w:val="16"/>
                <w:rtl/>
              </w:rPr>
              <w:t>הכל</w:t>
            </w:r>
          </w:p>
        </w:tc>
      </w:tr>
      <w:tr w:rsidR="00EC46DF" w:rsidRPr="00543C25" w14:paraId="442D999A" w14:textId="77777777" w:rsidTr="00CE19D7">
        <w:trPr>
          <w:trHeight w:val="259"/>
        </w:trPr>
        <w:tc>
          <w:tcPr>
            <w:tcW w:w="625" w:type="dxa"/>
          </w:tcPr>
          <w:p w14:paraId="302C9BAD" w14:textId="77777777" w:rsidR="00EC46DF" w:rsidRPr="00543C25" w:rsidRDefault="00EC46DF" w:rsidP="00AF08D2">
            <w:pPr>
              <w:pStyle w:val="-7"/>
              <w:spacing w:line="240" w:lineRule="auto"/>
              <w:rPr>
                <w:rtl/>
              </w:rPr>
            </w:pPr>
          </w:p>
        </w:tc>
        <w:tc>
          <w:tcPr>
            <w:tcW w:w="4082" w:type="dxa"/>
            <w:vAlign w:val="bottom"/>
          </w:tcPr>
          <w:p w14:paraId="1FFED3A5" w14:textId="77777777" w:rsidR="00EC46DF" w:rsidRPr="00D439C5" w:rsidRDefault="00EC46DF" w:rsidP="00AF08D2">
            <w:pPr>
              <w:pStyle w:val="-0"/>
              <w:rPr>
                <w:rFonts w:asciiTheme="minorBidi" w:hAnsiTheme="minorBidi" w:cstheme="minorBidi"/>
                <w:sz w:val="19"/>
                <w:szCs w:val="19"/>
                <w:rtl/>
              </w:rPr>
            </w:pPr>
          </w:p>
        </w:tc>
        <w:tc>
          <w:tcPr>
            <w:tcW w:w="707" w:type="dxa"/>
            <w:vAlign w:val="bottom"/>
          </w:tcPr>
          <w:p w14:paraId="0E0A34F0" w14:textId="77777777" w:rsidR="00EC46DF" w:rsidRPr="00120AC2" w:rsidRDefault="00EC46DF" w:rsidP="00AF08D2">
            <w:pPr>
              <w:pStyle w:val="-7"/>
              <w:pBdr>
                <w:bottom w:val="single" w:sz="4" w:space="1" w:color="auto"/>
              </w:pBdr>
              <w:jc w:val="center"/>
              <w:rPr>
                <w:rFonts w:asciiTheme="minorBidi" w:hAnsiTheme="minorBidi" w:cstheme="minorBidi"/>
                <w:b/>
                <w:bCs/>
                <w:sz w:val="16"/>
                <w:szCs w:val="16"/>
                <w:rtl/>
              </w:rPr>
            </w:pPr>
            <w:r w:rsidRPr="00120AC2">
              <w:rPr>
                <w:rFonts w:asciiTheme="minorBidi" w:hAnsiTheme="minorBidi" w:cstheme="minorBidi"/>
                <w:b/>
                <w:bCs/>
                <w:sz w:val="16"/>
                <w:szCs w:val="16"/>
                <w:rtl/>
              </w:rPr>
              <w:t>מסחרי</w:t>
            </w:r>
          </w:p>
        </w:tc>
        <w:tc>
          <w:tcPr>
            <w:tcW w:w="707" w:type="dxa"/>
            <w:vAlign w:val="bottom"/>
          </w:tcPr>
          <w:p w14:paraId="389DA66B" w14:textId="77777777" w:rsidR="00EC46DF" w:rsidRPr="00120AC2" w:rsidRDefault="00EC46DF" w:rsidP="00AF08D2">
            <w:pPr>
              <w:pStyle w:val="-7"/>
              <w:pBdr>
                <w:bottom w:val="single" w:sz="4" w:space="1" w:color="auto"/>
              </w:pBdr>
              <w:jc w:val="center"/>
              <w:rPr>
                <w:rFonts w:asciiTheme="minorBidi" w:hAnsiTheme="minorBidi" w:cstheme="minorBidi"/>
                <w:b/>
                <w:bCs/>
                <w:sz w:val="16"/>
                <w:szCs w:val="16"/>
                <w:rtl/>
              </w:rPr>
            </w:pPr>
            <w:r w:rsidRPr="00120AC2">
              <w:rPr>
                <w:rFonts w:asciiTheme="minorBidi" w:hAnsiTheme="minorBidi" w:cstheme="minorBidi"/>
                <w:b/>
                <w:bCs/>
                <w:sz w:val="16"/>
                <w:szCs w:val="16"/>
                <w:rtl/>
              </w:rPr>
              <w:t>לדיור</w:t>
            </w:r>
          </w:p>
        </w:tc>
        <w:tc>
          <w:tcPr>
            <w:tcW w:w="707" w:type="dxa"/>
            <w:vAlign w:val="bottom"/>
          </w:tcPr>
          <w:p w14:paraId="13061870" w14:textId="77777777" w:rsidR="00EC46DF" w:rsidRPr="00120AC2" w:rsidRDefault="00EC46DF" w:rsidP="00AF08D2">
            <w:pPr>
              <w:pStyle w:val="-4"/>
              <w:spacing w:line="240" w:lineRule="auto"/>
              <w:ind w:left="-57" w:right="-57"/>
              <w:rPr>
                <w:rFonts w:asciiTheme="minorBidi" w:hAnsiTheme="minorBidi" w:cstheme="minorBidi"/>
                <w:sz w:val="16"/>
                <w:szCs w:val="16"/>
              </w:rPr>
            </w:pPr>
            <w:r w:rsidRPr="00120AC2">
              <w:rPr>
                <w:rFonts w:asciiTheme="minorBidi" w:hAnsiTheme="minorBidi" w:cstheme="minorBidi"/>
                <w:sz w:val="16"/>
                <w:szCs w:val="16"/>
                <w:rtl/>
              </w:rPr>
              <w:t>פרטי אחר</w:t>
            </w:r>
          </w:p>
        </w:tc>
        <w:tc>
          <w:tcPr>
            <w:tcW w:w="569" w:type="dxa"/>
            <w:vAlign w:val="bottom"/>
          </w:tcPr>
          <w:p w14:paraId="6BE431B0" w14:textId="77777777" w:rsidR="00EC46DF" w:rsidRPr="00120AC2" w:rsidRDefault="00EC46DF" w:rsidP="00AF08D2">
            <w:pPr>
              <w:pStyle w:val="-4"/>
              <w:spacing w:line="240" w:lineRule="auto"/>
              <w:rPr>
                <w:rFonts w:asciiTheme="minorBidi" w:hAnsiTheme="minorBidi" w:cstheme="minorBidi"/>
                <w:sz w:val="16"/>
                <w:szCs w:val="16"/>
                <w:rtl/>
              </w:rPr>
            </w:pPr>
            <w:r w:rsidRPr="00120AC2">
              <w:rPr>
                <w:rFonts w:asciiTheme="minorBidi" w:hAnsiTheme="minorBidi" w:cstheme="minorBidi"/>
                <w:sz w:val="16"/>
                <w:szCs w:val="16"/>
                <w:rtl/>
              </w:rPr>
              <w:t>סך הכל</w:t>
            </w:r>
          </w:p>
        </w:tc>
        <w:tc>
          <w:tcPr>
            <w:tcW w:w="1128" w:type="dxa"/>
            <w:vMerge/>
            <w:vAlign w:val="bottom"/>
          </w:tcPr>
          <w:p w14:paraId="2C532533" w14:textId="71159339" w:rsidR="00EC46DF" w:rsidRPr="00120AC2" w:rsidRDefault="00EC46DF">
            <w:pPr>
              <w:pStyle w:val="-4"/>
              <w:spacing w:line="240" w:lineRule="auto"/>
              <w:rPr>
                <w:rFonts w:asciiTheme="minorBidi" w:hAnsiTheme="minorBidi" w:cstheme="minorBidi"/>
                <w:sz w:val="16"/>
                <w:szCs w:val="16"/>
                <w:rtl/>
              </w:rPr>
            </w:pPr>
          </w:p>
        </w:tc>
        <w:tc>
          <w:tcPr>
            <w:tcW w:w="994" w:type="dxa"/>
            <w:vMerge/>
            <w:vAlign w:val="bottom"/>
          </w:tcPr>
          <w:p w14:paraId="0CC6DD89" w14:textId="2A52E8A1" w:rsidR="00EC46DF" w:rsidRPr="00120AC2" w:rsidRDefault="00EC46DF">
            <w:pPr>
              <w:pStyle w:val="-4"/>
              <w:spacing w:line="240" w:lineRule="auto"/>
              <w:rPr>
                <w:rFonts w:asciiTheme="minorBidi" w:hAnsiTheme="minorBidi" w:cstheme="minorBidi"/>
                <w:sz w:val="16"/>
                <w:szCs w:val="16"/>
                <w:rtl/>
              </w:rPr>
            </w:pPr>
          </w:p>
        </w:tc>
      </w:tr>
      <w:tr w:rsidR="00EC46DF" w:rsidRPr="00543C25" w14:paraId="3A686C81" w14:textId="77777777" w:rsidTr="00CE19D7">
        <w:trPr>
          <w:trHeight w:hRule="exact" w:val="66"/>
        </w:trPr>
        <w:tc>
          <w:tcPr>
            <w:tcW w:w="625" w:type="dxa"/>
          </w:tcPr>
          <w:p w14:paraId="246A71B4" w14:textId="77777777" w:rsidR="00EC46DF" w:rsidRPr="00543C25" w:rsidRDefault="00EC46DF" w:rsidP="00AF08D2">
            <w:pPr>
              <w:pStyle w:val="-7"/>
              <w:bidi w:val="0"/>
              <w:spacing w:line="60" w:lineRule="exact"/>
              <w:rPr>
                <w:rtl/>
              </w:rPr>
            </w:pPr>
          </w:p>
        </w:tc>
        <w:tc>
          <w:tcPr>
            <w:tcW w:w="4082" w:type="dxa"/>
            <w:vAlign w:val="bottom"/>
          </w:tcPr>
          <w:p w14:paraId="5A44529E" w14:textId="77777777" w:rsidR="00EC46DF" w:rsidRPr="00D439C5" w:rsidRDefault="00EC46DF" w:rsidP="00AF08D2">
            <w:pPr>
              <w:pStyle w:val="-0"/>
              <w:bidi w:val="0"/>
              <w:spacing w:line="60" w:lineRule="exact"/>
              <w:jc w:val="both"/>
              <w:rPr>
                <w:rFonts w:asciiTheme="minorBidi" w:hAnsiTheme="minorBidi" w:cstheme="minorBidi"/>
                <w:sz w:val="19"/>
                <w:szCs w:val="19"/>
                <w:rtl/>
              </w:rPr>
            </w:pPr>
          </w:p>
        </w:tc>
        <w:tc>
          <w:tcPr>
            <w:tcW w:w="707" w:type="dxa"/>
          </w:tcPr>
          <w:p w14:paraId="0A22634C" w14:textId="77777777" w:rsidR="00EC46DF" w:rsidRPr="00D439C5" w:rsidRDefault="00EC46DF" w:rsidP="00AF08D2">
            <w:pPr>
              <w:pStyle w:val="-7"/>
              <w:bidi w:val="0"/>
              <w:spacing w:line="60" w:lineRule="exact"/>
              <w:rPr>
                <w:rFonts w:asciiTheme="minorBidi" w:hAnsiTheme="minorBidi" w:cstheme="minorBidi"/>
                <w:sz w:val="19"/>
                <w:szCs w:val="19"/>
                <w:rtl/>
              </w:rPr>
            </w:pPr>
          </w:p>
        </w:tc>
        <w:tc>
          <w:tcPr>
            <w:tcW w:w="707" w:type="dxa"/>
          </w:tcPr>
          <w:p w14:paraId="644823AA" w14:textId="77777777" w:rsidR="00EC46DF" w:rsidRPr="00D439C5" w:rsidRDefault="00EC46DF" w:rsidP="00AF08D2">
            <w:pPr>
              <w:pStyle w:val="-7"/>
              <w:bidi w:val="0"/>
              <w:spacing w:line="60" w:lineRule="exact"/>
              <w:rPr>
                <w:rFonts w:asciiTheme="minorBidi" w:hAnsiTheme="minorBidi" w:cstheme="minorBidi"/>
                <w:sz w:val="19"/>
                <w:szCs w:val="19"/>
                <w:rtl/>
              </w:rPr>
            </w:pPr>
          </w:p>
        </w:tc>
        <w:tc>
          <w:tcPr>
            <w:tcW w:w="707" w:type="dxa"/>
            <w:vAlign w:val="bottom"/>
          </w:tcPr>
          <w:p w14:paraId="3E8D0E6B" w14:textId="77777777" w:rsidR="00EC46DF" w:rsidRPr="00D439C5" w:rsidRDefault="00EC46DF" w:rsidP="00AF08D2">
            <w:pPr>
              <w:pStyle w:val="-7"/>
              <w:bidi w:val="0"/>
              <w:spacing w:line="60" w:lineRule="exact"/>
              <w:rPr>
                <w:rFonts w:asciiTheme="minorBidi" w:hAnsiTheme="minorBidi" w:cstheme="minorBidi"/>
                <w:sz w:val="19"/>
                <w:szCs w:val="19"/>
                <w:rtl/>
              </w:rPr>
            </w:pPr>
          </w:p>
        </w:tc>
        <w:tc>
          <w:tcPr>
            <w:tcW w:w="569" w:type="dxa"/>
            <w:vAlign w:val="bottom"/>
          </w:tcPr>
          <w:p w14:paraId="446EFAA9" w14:textId="77777777" w:rsidR="00EC46DF" w:rsidRPr="00D439C5" w:rsidRDefault="00EC46DF" w:rsidP="00AF08D2">
            <w:pPr>
              <w:pStyle w:val="-7"/>
              <w:bidi w:val="0"/>
              <w:spacing w:line="60" w:lineRule="exact"/>
              <w:rPr>
                <w:rFonts w:asciiTheme="minorBidi" w:hAnsiTheme="minorBidi" w:cstheme="minorBidi"/>
                <w:sz w:val="19"/>
                <w:szCs w:val="19"/>
                <w:rtl/>
              </w:rPr>
            </w:pPr>
          </w:p>
        </w:tc>
        <w:tc>
          <w:tcPr>
            <w:tcW w:w="1128" w:type="dxa"/>
            <w:vAlign w:val="bottom"/>
          </w:tcPr>
          <w:p w14:paraId="7092EC6D" w14:textId="77777777" w:rsidR="00EC46DF" w:rsidRPr="00D439C5" w:rsidRDefault="00EC46DF">
            <w:pPr>
              <w:pStyle w:val="-7"/>
              <w:bidi w:val="0"/>
              <w:spacing w:line="60" w:lineRule="exact"/>
              <w:rPr>
                <w:rFonts w:asciiTheme="minorBidi" w:hAnsiTheme="minorBidi" w:cstheme="minorBidi"/>
                <w:sz w:val="19"/>
                <w:szCs w:val="19"/>
                <w:rtl/>
              </w:rPr>
            </w:pPr>
          </w:p>
        </w:tc>
        <w:tc>
          <w:tcPr>
            <w:tcW w:w="994" w:type="dxa"/>
            <w:vAlign w:val="bottom"/>
          </w:tcPr>
          <w:p w14:paraId="4F84F2EE" w14:textId="77777777" w:rsidR="00EC46DF" w:rsidRPr="00D439C5" w:rsidRDefault="00EC46DF">
            <w:pPr>
              <w:pStyle w:val="-7"/>
              <w:bidi w:val="0"/>
              <w:spacing w:line="60" w:lineRule="exact"/>
              <w:rPr>
                <w:rFonts w:asciiTheme="minorBidi" w:hAnsiTheme="minorBidi" w:cstheme="minorBidi"/>
                <w:sz w:val="19"/>
                <w:szCs w:val="19"/>
                <w:rtl/>
              </w:rPr>
            </w:pPr>
          </w:p>
        </w:tc>
      </w:tr>
      <w:tr w:rsidR="00EC46DF" w:rsidRPr="00543C25" w14:paraId="4E134745" w14:textId="77777777" w:rsidTr="00CE19D7">
        <w:trPr>
          <w:trHeight w:val="259"/>
        </w:trPr>
        <w:tc>
          <w:tcPr>
            <w:tcW w:w="625" w:type="dxa"/>
          </w:tcPr>
          <w:p w14:paraId="531754BF" w14:textId="77777777" w:rsidR="00EC46DF" w:rsidRPr="00543C25" w:rsidRDefault="00EC46DF" w:rsidP="00AF08D2">
            <w:pPr>
              <w:pStyle w:val="-7"/>
              <w:spacing w:line="240" w:lineRule="auto"/>
              <w:rPr>
                <w:rtl/>
              </w:rPr>
            </w:pPr>
          </w:p>
        </w:tc>
        <w:tc>
          <w:tcPr>
            <w:tcW w:w="4082" w:type="dxa"/>
            <w:vAlign w:val="bottom"/>
          </w:tcPr>
          <w:p w14:paraId="46B3063D" w14:textId="0820A791" w:rsidR="00EC46DF" w:rsidRPr="00775294" w:rsidRDefault="00EC46DF" w:rsidP="00CE19D7">
            <w:pPr>
              <w:pStyle w:val="-f"/>
              <w:spacing w:after="40"/>
              <w:rPr>
                <w:rFonts w:asciiTheme="minorBidi" w:hAnsiTheme="minorBidi" w:cstheme="minorBidi"/>
                <w:b w:val="0"/>
                <w:bCs w:val="0"/>
                <w:sz w:val="18"/>
                <w:szCs w:val="18"/>
                <w:rtl/>
              </w:rPr>
            </w:pPr>
            <w:r w:rsidRPr="00775294">
              <w:rPr>
                <w:rFonts w:asciiTheme="minorBidi" w:hAnsiTheme="minorBidi" w:cstheme="minorBidi"/>
                <w:sz w:val="18"/>
                <w:szCs w:val="18"/>
                <w:rtl/>
              </w:rPr>
              <w:t xml:space="preserve">לשישה חודשים שהסתיימו ביום  30 ביוני </w:t>
            </w:r>
            <w:r w:rsidRPr="006F12E4">
              <w:rPr>
                <w:rFonts w:asciiTheme="minorBidi" w:hAnsiTheme="minorBidi" w:cstheme="minorBidi"/>
                <w:noProof/>
                <w:sz w:val="19"/>
                <w:szCs w:val="19"/>
                <w:rtl/>
              </w:rPr>
              <w:fldChar w:fldCharType="begin"/>
            </w:r>
            <w:r w:rsidRPr="006F12E4">
              <w:rPr>
                <w:rFonts w:asciiTheme="minorBidi" w:hAnsiTheme="minorBidi" w:cstheme="minorBidi"/>
                <w:noProof/>
                <w:sz w:val="19"/>
                <w:szCs w:val="19"/>
                <w:rtl/>
              </w:rPr>
              <w:instrText xml:space="preserve"> = </w:instrText>
            </w:r>
            <w:r w:rsidRPr="006F12E4">
              <w:rPr>
                <w:rFonts w:asciiTheme="minorBidi" w:hAnsiTheme="minorBidi" w:cstheme="minorBidi"/>
                <w:noProof/>
                <w:sz w:val="19"/>
                <w:szCs w:val="19"/>
              </w:rPr>
              <w:instrText>CY \* MERGEFORMAT</w:instrText>
            </w:r>
            <w:r w:rsidRPr="006F12E4">
              <w:rPr>
                <w:rFonts w:asciiTheme="minorBidi" w:hAnsiTheme="minorBidi" w:cstheme="minorBidi"/>
                <w:noProof/>
                <w:sz w:val="19"/>
                <w:szCs w:val="19"/>
                <w:rtl/>
              </w:rPr>
              <w:instrText xml:space="preserve"> </w:instrText>
            </w:r>
            <w:r w:rsidRPr="006F12E4">
              <w:rPr>
                <w:rFonts w:asciiTheme="minorBidi" w:hAnsiTheme="minorBidi" w:cstheme="minorBidi"/>
                <w:noProof/>
                <w:sz w:val="19"/>
                <w:szCs w:val="19"/>
                <w:rtl/>
              </w:rPr>
              <w:fldChar w:fldCharType="separate"/>
            </w:r>
            <w:r>
              <w:rPr>
                <w:rFonts w:asciiTheme="minorBidi" w:hAnsiTheme="minorBidi" w:cstheme="minorBidi"/>
                <w:noProof/>
                <w:sz w:val="19"/>
                <w:szCs w:val="19"/>
                <w:rtl/>
              </w:rPr>
              <w:t>2024</w:t>
            </w:r>
            <w:r w:rsidRPr="006F12E4">
              <w:rPr>
                <w:rFonts w:asciiTheme="minorBidi" w:hAnsiTheme="minorBidi" w:cstheme="minorBidi"/>
                <w:noProof/>
                <w:sz w:val="19"/>
                <w:szCs w:val="19"/>
                <w:rtl/>
              </w:rPr>
              <w:fldChar w:fldCharType="end"/>
            </w:r>
            <w:r w:rsidRPr="00775294">
              <w:rPr>
                <w:rFonts w:asciiTheme="minorBidi" w:hAnsiTheme="minorBidi" w:cstheme="minorBidi" w:hint="cs"/>
                <w:sz w:val="18"/>
                <w:szCs w:val="18"/>
                <w:rtl/>
              </w:rPr>
              <w:t xml:space="preserve"> </w:t>
            </w:r>
            <w:r w:rsidR="00CE19D7">
              <w:rPr>
                <w:rFonts w:asciiTheme="minorBidi" w:hAnsiTheme="minorBidi" w:cstheme="minorBidi" w:hint="cs"/>
                <w:b w:val="0"/>
                <w:bCs w:val="0"/>
                <w:sz w:val="18"/>
                <w:szCs w:val="18"/>
                <w:u w:val="none"/>
                <w:rtl/>
              </w:rPr>
              <w:t xml:space="preserve"> </w:t>
            </w:r>
            <w:r w:rsidRPr="00EC46DF">
              <w:rPr>
                <w:rFonts w:asciiTheme="minorBidi" w:hAnsiTheme="minorBidi" w:cstheme="minorBidi"/>
                <w:b w:val="0"/>
                <w:bCs w:val="0"/>
                <w:sz w:val="18"/>
                <w:szCs w:val="18"/>
                <w:u w:val="none"/>
                <w:rtl/>
              </w:rPr>
              <w:t>(בלתי מבוקר)</w:t>
            </w:r>
          </w:p>
        </w:tc>
        <w:tc>
          <w:tcPr>
            <w:tcW w:w="707" w:type="dxa"/>
          </w:tcPr>
          <w:p w14:paraId="5D0325B4" w14:textId="77777777" w:rsidR="00EC46DF" w:rsidRPr="00D439C5" w:rsidRDefault="00EC46DF" w:rsidP="00AF08D2">
            <w:pPr>
              <w:pStyle w:val="-7"/>
              <w:rPr>
                <w:rFonts w:asciiTheme="minorBidi" w:hAnsiTheme="minorBidi" w:cstheme="minorBidi"/>
                <w:sz w:val="19"/>
                <w:szCs w:val="19"/>
                <w:rtl/>
              </w:rPr>
            </w:pPr>
          </w:p>
        </w:tc>
        <w:tc>
          <w:tcPr>
            <w:tcW w:w="707" w:type="dxa"/>
          </w:tcPr>
          <w:p w14:paraId="5CCA5889" w14:textId="77777777" w:rsidR="00EC46DF" w:rsidRPr="00D439C5" w:rsidRDefault="00EC46DF" w:rsidP="00AF08D2">
            <w:pPr>
              <w:pStyle w:val="-7"/>
              <w:rPr>
                <w:rFonts w:asciiTheme="minorBidi" w:hAnsiTheme="minorBidi" w:cstheme="minorBidi"/>
                <w:sz w:val="19"/>
                <w:szCs w:val="19"/>
                <w:rtl/>
              </w:rPr>
            </w:pPr>
          </w:p>
        </w:tc>
        <w:tc>
          <w:tcPr>
            <w:tcW w:w="707" w:type="dxa"/>
          </w:tcPr>
          <w:p w14:paraId="59B35A0F" w14:textId="77777777" w:rsidR="00EC46DF" w:rsidRPr="00D439C5" w:rsidRDefault="00EC46DF" w:rsidP="00AF08D2">
            <w:pPr>
              <w:pStyle w:val="-7"/>
              <w:rPr>
                <w:rFonts w:asciiTheme="minorBidi" w:hAnsiTheme="minorBidi" w:cstheme="minorBidi"/>
                <w:sz w:val="19"/>
                <w:szCs w:val="19"/>
                <w:rtl/>
              </w:rPr>
            </w:pPr>
          </w:p>
        </w:tc>
        <w:tc>
          <w:tcPr>
            <w:tcW w:w="569" w:type="dxa"/>
          </w:tcPr>
          <w:p w14:paraId="5092C691" w14:textId="77777777" w:rsidR="00EC46DF" w:rsidRPr="00D439C5" w:rsidRDefault="00EC46DF" w:rsidP="00AF08D2">
            <w:pPr>
              <w:pStyle w:val="-7"/>
              <w:rPr>
                <w:rFonts w:asciiTheme="minorBidi" w:hAnsiTheme="minorBidi" w:cstheme="minorBidi"/>
                <w:sz w:val="19"/>
                <w:szCs w:val="19"/>
                <w:rtl/>
              </w:rPr>
            </w:pPr>
          </w:p>
        </w:tc>
        <w:tc>
          <w:tcPr>
            <w:tcW w:w="1128" w:type="dxa"/>
          </w:tcPr>
          <w:p w14:paraId="29D88FB4" w14:textId="77777777" w:rsidR="00EC46DF" w:rsidRPr="00D439C5" w:rsidRDefault="00EC46DF">
            <w:pPr>
              <w:pStyle w:val="-7"/>
              <w:rPr>
                <w:rFonts w:asciiTheme="minorBidi" w:hAnsiTheme="minorBidi" w:cstheme="minorBidi"/>
                <w:sz w:val="19"/>
                <w:szCs w:val="19"/>
                <w:rtl/>
              </w:rPr>
            </w:pPr>
          </w:p>
        </w:tc>
        <w:tc>
          <w:tcPr>
            <w:tcW w:w="994" w:type="dxa"/>
          </w:tcPr>
          <w:p w14:paraId="740DBCDC" w14:textId="77777777" w:rsidR="00EC46DF" w:rsidRPr="00D439C5" w:rsidRDefault="00EC46DF">
            <w:pPr>
              <w:pStyle w:val="-7"/>
              <w:rPr>
                <w:rFonts w:asciiTheme="minorBidi" w:hAnsiTheme="minorBidi" w:cstheme="minorBidi"/>
                <w:b/>
                <w:bCs/>
                <w:sz w:val="19"/>
                <w:szCs w:val="19"/>
                <w:rtl/>
              </w:rPr>
            </w:pPr>
          </w:p>
        </w:tc>
      </w:tr>
      <w:tr w:rsidR="00EC46DF" w:rsidRPr="00543C25" w14:paraId="76A9B11D" w14:textId="77777777" w:rsidTr="00CE19D7">
        <w:trPr>
          <w:trHeight w:val="259"/>
        </w:trPr>
        <w:tc>
          <w:tcPr>
            <w:tcW w:w="625" w:type="dxa"/>
          </w:tcPr>
          <w:p w14:paraId="03DD3C50" w14:textId="77777777" w:rsidR="00EC46DF" w:rsidRPr="003B24D4" w:rsidRDefault="00EC46DF" w:rsidP="00CE19D7">
            <w:pPr>
              <w:pStyle w:val="-fa"/>
              <w:ind w:right="-142"/>
              <w:rPr>
                <w:rtl/>
              </w:rPr>
            </w:pPr>
          </w:p>
        </w:tc>
        <w:tc>
          <w:tcPr>
            <w:tcW w:w="4082" w:type="dxa"/>
            <w:vAlign w:val="bottom"/>
          </w:tcPr>
          <w:p w14:paraId="3D034548" w14:textId="7ACB4AFD" w:rsidR="00EC46DF" w:rsidRPr="00775294" w:rsidRDefault="00EC46DF" w:rsidP="00E40FF7">
            <w:pPr>
              <w:pStyle w:val="-b"/>
              <w:rPr>
                <w:rFonts w:asciiTheme="minorBidi" w:hAnsiTheme="minorBidi" w:cstheme="minorBidi"/>
                <w:b w:val="0"/>
                <w:bCs w:val="0"/>
                <w:sz w:val="18"/>
                <w:szCs w:val="18"/>
                <w:rtl/>
              </w:rPr>
            </w:pPr>
            <w:r w:rsidRPr="00775294">
              <w:rPr>
                <w:rFonts w:asciiTheme="minorBidi" w:hAnsiTheme="minorBidi" w:cstheme="minorBidi"/>
                <w:sz w:val="18"/>
                <w:szCs w:val="18"/>
                <w:rtl/>
              </w:rPr>
              <w:t xml:space="preserve">יתרת הפרשה להפסדי אשראי ליום 31 בדצמבר </w:t>
            </w:r>
            <w:r w:rsidRPr="00EB29D7">
              <w:rPr>
                <w:sz w:val="14"/>
                <w:szCs w:val="14"/>
                <w:rtl/>
              </w:rPr>
              <w:fldChar w:fldCharType="begin"/>
            </w:r>
            <w:r w:rsidRPr="00EB29D7">
              <w:rPr>
                <w:sz w:val="14"/>
                <w:szCs w:val="14"/>
                <w:rtl/>
              </w:rPr>
              <w:instrText xml:space="preserve"> </w:instrText>
            </w:r>
            <w:r w:rsidRPr="00EB29D7">
              <w:rPr>
                <w:rFonts w:hint="cs"/>
                <w:sz w:val="14"/>
                <w:szCs w:val="14"/>
                <w:rtl/>
              </w:rPr>
              <w:instrText xml:space="preserve">= </w:instrText>
            </w:r>
            <w:r w:rsidRPr="00EB29D7">
              <w:rPr>
                <w:rFonts w:hint="cs"/>
                <w:sz w:val="14"/>
                <w:szCs w:val="14"/>
              </w:rPr>
              <w:instrText>CY</w:instrText>
            </w:r>
            <w:r w:rsidRPr="00EB29D7">
              <w:rPr>
                <w:sz w:val="14"/>
                <w:szCs w:val="14"/>
              </w:rPr>
              <w:instrText>-1</w:instrText>
            </w:r>
            <w:r w:rsidRPr="00EB29D7">
              <w:rPr>
                <w:rFonts w:hint="cs"/>
                <w:sz w:val="14"/>
                <w:szCs w:val="14"/>
              </w:rPr>
              <w:instrText xml:space="preserve"> \* MERGEFORMAT</w:instrText>
            </w:r>
            <w:r w:rsidRPr="00EB29D7">
              <w:rPr>
                <w:sz w:val="14"/>
                <w:szCs w:val="14"/>
                <w:rtl/>
              </w:rPr>
              <w:instrText xml:space="preserve"> </w:instrText>
            </w:r>
            <w:r w:rsidRPr="00EB29D7">
              <w:rPr>
                <w:sz w:val="14"/>
                <w:szCs w:val="14"/>
                <w:rtl/>
              </w:rPr>
              <w:fldChar w:fldCharType="separate"/>
            </w:r>
            <w:r w:rsidRPr="003A584F">
              <w:rPr>
                <w:noProof/>
                <w:sz w:val="18"/>
                <w:szCs w:val="18"/>
                <w:rtl/>
              </w:rPr>
              <w:t>2023</w:t>
            </w:r>
            <w:r w:rsidRPr="00EB29D7">
              <w:rPr>
                <w:sz w:val="14"/>
                <w:szCs w:val="14"/>
                <w:rtl/>
              </w:rPr>
              <w:fldChar w:fldCharType="end"/>
            </w:r>
          </w:p>
        </w:tc>
        <w:tc>
          <w:tcPr>
            <w:tcW w:w="707" w:type="dxa"/>
            <w:vAlign w:val="bottom"/>
          </w:tcPr>
          <w:p w14:paraId="4185BAC4" w14:textId="7EBC3BEC" w:rsidR="00EC46DF" w:rsidRPr="002C0AFF" w:rsidRDefault="00EC46DF" w:rsidP="00E40FF7">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707" w:type="dxa"/>
            <w:vAlign w:val="bottom"/>
          </w:tcPr>
          <w:p w14:paraId="425AC25A" w14:textId="28C45B1B" w:rsidR="00EC46DF" w:rsidRPr="002C0AFF" w:rsidRDefault="00EC46DF" w:rsidP="00E40FF7">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707" w:type="dxa"/>
            <w:vAlign w:val="bottom"/>
          </w:tcPr>
          <w:p w14:paraId="2EDEC5AC" w14:textId="50A9F596" w:rsidR="00EC46DF" w:rsidRPr="002C0AFF" w:rsidRDefault="00EC46DF" w:rsidP="00E40FF7">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569" w:type="dxa"/>
            <w:vAlign w:val="bottom"/>
          </w:tcPr>
          <w:p w14:paraId="33521C32" w14:textId="538DA373" w:rsidR="00EC46DF" w:rsidRPr="002C0AFF" w:rsidRDefault="00EC46DF" w:rsidP="00E40FF7">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1128" w:type="dxa"/>
            <w:vAlign w:val="bottom"/>
          </w:tcPr>
          <w:p w14:paraId="7010734B" w14:textId="36CA2368" w:rsidR="00EC46DF" w:rsidRPr="002C0AFF" w:rsidRDefault="00EC46DF" w:rsidP="00E40FF7">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994" w:type="dxa"/>
            <w:vAlign w:val="bottom"/>
          </w:tcPr>
          <w:p w14:paraId="4223E8E0" w14:textId="06A85FAB" w:rsidR="00EC46DF" w:rsidRPr="002C0AFF" w:rsidRDefault="00EC46DF" w:rsidP="00E40FF7">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r>
      <w:tr w:rsidR="00EC46DF" w:rsidRPr="00543C25" w14:paraId="781DDBC2" w14:textId="77777777" w:rsidTr="00CE19D7">
        <w:trPr>
          <w:trHeight w:val="259"/>
        </w:trPr>
        <w:tc>
          <w:tcPr>
            <w:tcW w:w="625" w:type="dxa"/>
          </w:tcPr>
          <w:p w14:paraId="48D51ED5" w14:textId="77777777" w:rsidR="00EC46DF" w:rsidRPr="003B24D4" w:rsidRDefault="00EC46DF" w:rsidP="00D439C5">
            <w:pPr>
              <w:pStyle w:val="-fa"/>
              <w:ind w:right="-142"/>
              <w:rPr>
                <w:rtl/>
              </w:rPr>
            </w:pPr>
          </w:p>
        </w:tc>
        <w:tc>
          <w:tcPr>
            <w:tcW w:w="4082" w:type="dxa"/>
            <w:vAlign w:val="center"/>
          </w:tcPr>
          <w:p w14:paraId="06E38299" w14:textId="63D0B6E9" w:rsidR="00EC46DF" w:rsidRPr="00775294" w:rsidRDefault="00EC46DF" w:rsidP="00EB5088">
            <w:pPr>
              <w:pStyle w:val="-0"/>
              <w:spacing w:line="240" w:lineRule="auto"/>
              <w:ind w:left="142" w:hanging="142"/>
              <w:rPr>
                <w:rFonts w:asciiTheme="minorBidi" w:hAnsiTheme="minorBidi" w:cstheme="minorBidi"/>
                <w:sz w:val="18"/>
                <w:szCs w:val="18"/>
              </w:rPr>
            </w:pPr>
            <w:r w:rsidRPr="00775294">
              <w:rPr>
                <w:rFonts w:asciiTheme="minorBidi" w:hAnsiTheme="minorBidi" w:cstheme="minorBidi"/>
                <w:sz w:val="18"/>
                <w:szCs w:val="18"/>
                <w:rtl/>
              </w:rPr>
              <w:t>הוצאות בגין הפסדי אשראי</w:t>
            </w:r>
          </w:p>
        </w:tc>
        <w:tc>
          <w:tcPr>
            <w:tcW w:w="707" w:type="dxa"/>
            <w:vAlign w:val="bottom"/>
          </w:tcPr>
          <w:p w14:paraId="6115E552" w14:textId="363A7D0C" w:rsidR="00EC46DF" w:rsidRPr="002C0AFF" w:rsidRDefault="00EC46DF" w:rsidP="00D439C5">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200B6E68" w14:textId="21962552" w:rsidR="00EC46DF" w:rsidRPr="002C0AFF" w:rsidRDefault="00EC46DF" w:rsidP="00D439C5">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719749AB" w14:textId="0053C5AF" w:rsidR="00EC46DF" w:rsidRPr="002C0AFF" w:rsidRDefault="00EC46DF" w:rsidP="00D439C5">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9" w:type="dxa"/>
            <w:vAlign w:val="bottom"/>
          </w:tcPr>
          <w:p w14:paraId="53F226AC" w14:textId="53E5526A" w:rsidR="00EC46DF" w:rsidRPr="002C0AFF" w:rsidRDefault="00EC46DF" w:rsidP="00D439C5">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128" w:type="dxa"/>
            <w:vAlign w:val="bottom"/>
          </w:tcPr>
          <w:p w14:paraId="0BC27093" w14:textId="132C5474" w:rsidR="00EC46DF" w:rsidRPr="002C0AFF" w:rsidRDefault="00EC46DF" w:rsidP="00D439C5">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994" w:type="dxa"/>
            <w:vAlign w:val="bottom"/>
          </w:tcPr>
          <w:p w14:paraId="3D6573F2" w14:textId="640725C5" w:rsidR="00EC46DF" w:rsidRPr="00EB5088" w:rsidRDefault="00EC46DF" w:rsidP="00D439C5">
            <w:pPr>
              <w:pStyle w:val="-3"/>
              <w:rPr>
                <w:rFonts w:asciiTheme="minorBidi" w:hAnsiTheme="minorBidi" w:cstheme="minorBidi"/>
                <w:sz w:val="18"/>
                <w:szCs w:val="18"/>
                <w:rtl/>
              </w:rPr>
            </w:pPr>
            <w:r w:rsidRPr="00EB5088">
              <w:rPr>
                <w:rFonts w:asciiTheme="minorBidi" w:hAnsiTheme="minorBidi" w:cstheme="minorBidi"/>
                <w:sz w:val="18"/>
                <w:szCs w:val="18"/>
                <w:rtl/>
              </w:rPr>
              <w:t xml:space="preserve"> 0</w:t>
            </w:r>
          </w:p>
        </w:tc>
      </w:tr>
      <w:tr w:rsidR="00EC46DF" w:rsidRPr="00543C25" w14:paraId="1172E42B" w14:textId="77777777" w:rsidTr="00CE19D7">
        <w:trPr>
          <w:trHeight w:val="259"/>
        </w:trPr>
        <w:tc>
          <w:tcPr>
            <w:tcW w:w="625" w:type="dxa"/>
          </w:tcPr>
          <w:p w14:paraId="2C84A14E" w14:textId="77777777" w:rsidR="00EC46DF" w:rsidRPr="003B24D4" w:rsidRDefault="00EC46DF" w:rsidP="00D439C5">
            <w:pPr>
              <w:pStyle w:val="-fa"/>
              <w:ind w:right="-142"/>
              <w:rPr>
                <w:rtl/>
              </w:rPr>
            </w:pPr>
          </w:p>
        </w:tc>
        <w:tc>
          <w:tcPr>
            <w:tcW w:w="4082" w:type="dxa"/>
            <w:vAlign w:val="bottom"/>
          </w:tcPr>
          <w:p w14:paraId="14CCA2C8" w14:textId="3195D447" w:rsidR="00EC46DF" w:rsidRPr="00775294" w:rsidRDefault="00EC46DF" w:rsidP="00EB5088">
            <w:pPr>
              <w:pStyle w:val="-21"/>
              <w:spacing w:before="120"/>
              <w:ind w:left="357" w:right="142" w:hanging="142"/>
              <w:rPr>
                <w:rFonts w:asciiTheme="minorBidi" w:hAnsiTheme="minorBidi" w:cstheme="minorBidi"/>
                <w:b/>
                <w:bCs/>
                <w:sz w:val="18"/>
                <w:szCs w:val="18"/>
              </w:rPr>
            </w:pPr>
            <w:r w:rsidRPr="00775294">
              <w:rPr>
                <w:rFonts w:asciiTheme="minorBidi" w:hAnsiTheme="minorBidi" w:cstheme="minorBidi"/>
                <w:sz w:val="18"/>
                <w:szCs w:val="18"/>
                <w:rtl/>
              </w:rPr>
              <w:t xml:space="preserve">מחיקות חשבונאיות </w:t>
            </w:r>
          </w:p>
        </w:tc>
        <w:tc>
          <w:tcPr>
            <w:tcW w:w="707" w:type="dxa"/>
            <w:vAlign w:val="bottom"/>
          </w:tcPr>
          <w:p w14:paraId="098D96EB" w14:textId="260FD04A"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707" w:type="dxa"/>
            <w:vAlign w:val="bottom"/>
          </w:tcPr>
          <w:p w14:paraId="17E37B0F" w14:textId="39F76A1F"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707" w:type="dxa"/>
            <w:vAlign w:val="bottom"/>
          </w:tcPr>
          <w:p w14:paraId="0CF49F15" w14:textId="4904140F"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569" w:type="dxa"/>
            <w:vAlign w:val="bottom"/>
          </w:tcPr>
          <w:p w14:paraId="1F8797B0" w14:textId="73412F06"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1128" w:type="dxa"/>
            <w:vAlign w:val="bottom"/>
          </w:tcPr>
          <w:p w14:paraId="2FD2F11D" w14:textId="2A308430"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994" w:type="dxa"/>
            <w:vAlign w:val="bottom"/>
          </w:tcPr>
          <w:p w14:paraId="4A78A586" w14:textId="53827288" w:rsidR="00EC46DF" w:rsidRPr="00EB5088" w:rsidRDefault="00EC46DF" w:rsidP="00FF46FA">
            <w:pPr>
              <w:pStyle w:val="-3"/>
              <w:rPr>
                <w:rFonts w:asciiTheme="minorBidi" w:hAnsiTheme="minorBidi" w:cstheme="minorBidi"/>
                <w:sz w:val="18"/>
                <w:szCs w:val="18"/>
                <w:rtl/>
              </w:rPr>
            </w:pPr>
            <w:r w:rsidRPr="00EB5088">
              <w:rPr>
                <w:rFonts w:asciiTheme="minorBidi" w:hAnsiTheme="minorBidi" w:cstheme="minorBidi"/>
                <w:sz w:val="18"/>
                <w:szCs w:val="18"/>
                <w:rtl/>
              </w:rPr>
              <w:t>(0)</w:t>
            </w:r>
          </w:p>
        </w:tc>
      </w:tr>
      <w:tr w:rsidR="00EC46DF" w:rsidRPr="00543C25" w14:paraId="2269326F" w14:textId="77777777" w:rsidTr="00CE19D7">
        <w:trPr>
          <w:trHeight w:val="259"/>
        </w:trPr>
        <w:tc>
          <w:tcPr>
            <w:tcW w:w="625" w:type="dxa"/>
          </w:tcPr>
          <w:p w14:paraId="7FA7FAF7" w14:textId="77777777" w:rsidR="00EC46DF" w:rsidRDefault="00EC46DF" w:rsidP="00D439C5">
            <w:pPr>
              <w:pStyle w:val="-fa"/>
              <w:ind w:right="-142"/>
              <w:rPr>
                <w:rtl/>
              </w:rPr>
            </w:pPr>
          </w:p>
        </w:tc>
        <w:tc>
          <w:tcPr>
            <w:tcW w:w="4082" w:type="dxa"/>
            <w:vAlign w:val="bottom"/>
          </w:tcPr>
          <w:p w14:paraId="2F25EDD8" w14:textId="2B170338" w:rsidR="00EC46DF" w:rsidRPr="00775294" w:rsidRDefault="00EC46DF" w:rsidP="00D6649E">
            <w:pPr>
              <w:pStyle w:val="-21"/>
              <w:ind w:left="361" w:right="144"/>
              <w:rPr>
                <w:rFonts w:asciiTheme="minorBidi" w:hAnsiTheme="minorBidi" w:cstheme="minorBidi"/>
                <w:sz w:val="18"/>
                <w:szCs w:val="18"/>
              </w:rPr>
            </w:pPr>
            <w:r w:rsidRPr="00775294">
              <w:rPr>
                <w:rFonts w:asciiTheme="minorBidi" w:hAnsiTheme="minorBidi" w:cstheme="minorBidi"/>
                <w:sz w:val="18"/>
                <w:szCs w:val="18"/>
                <w:rtl/>
              </w:rPr>
              <w:t>גביית חובות שנמחקו חשבונאית בשנים קודמות</w:t>
            </w:r>
          </w:p>
        </w:tc>
        <w:tc>
          <w:tcPr>
            <w:tcW w:w="707" w:type="dxa"/>
            <w:vAlign w:val="bottom"/>
          </w:tcPr>
          <w:p w14:paraId="5D225607" w14:textId="7B1614BD" w:rsidR="00EC46DF" w:rsidRPr="002C0AFF" w:rsidRDefault="00EC46DF" w:rsidP="00FF46FA">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707" w:type="dxa"/>
            <w:vAlign w:val="bottom"/>
          </w:tcPr>
          <w:p w14:paraId="094B2D3A" w14:textId="79F4BCC1" w:rsidR="00EC46DF" w:rsidRPr="002C0AFF" w:rsidRDefault="00EC46DF" w:rsidP="00FF46FA">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707" w:type="dxa"/>
            <w:vAlign w:val="bottom"/>
          </w:tcPr>
          <w:p w14:paraId="2412C604" w14:textId="64978108" w:rsidR="00EC46DF" w:rsidRPr="002C0AFF" w:rsidRDefault="00EC46DF" w:rsidP="00FF46FA">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569" w:type="dxa"/>
            <w:vAlign w:val="bottom"/>
          </w:tcPr>
          <w:p w14:paraId="7F4346EA" w14:textId="1DC381F1" w:rsidR="00EC46DF" w:rsidRPr="002C0AFF" w:rsidRDefault="00EC46DF" w:rsidP="00FF46FA">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1128" w:type="dxa"/>
            <w:vAlign w:val="bottom"/>
          </w:tcPr>
          <w:p w14:paraId="53047971" w14:textId="328F460C" w:rsidR="00EC46DF" w:rsidRPr="002C0AFF" w:rsidRDefault="00EC46DF" w:rsidP="00FF46FA">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994" w:type="dxa"/>
            <w:vAlign w:val="bottom"/>
          </w:tcPr>
          <w:p w14:paraId="6DB3B665" w14:textId="4D25D1FF" w:rsidR="00EC46DF" w:rsidRPr="00EB5088" w:rsidRDefault="00EC46DF" w:rsidP="00FF46FA">
            <w:pPr>
              <w:pStyle w:val="-120"/>
              <w:pBdr>
                <w:top w:val="none" w:sz="0" w:space="0" w:color="auto"/>
                <w:bottom w:val="single" w:sz="4" w:space="1" w:color="auto"/>
              </w:pBdr>
              <w:rPr>
                <w:rFonts w:asciiTheme="minorBidi" w:hAnsiTheme="minorBidi" w:cstheme="minorBidi"/>
                <w:szCs w:val="18"/>
                <w:rtl/>
              </w:rPr>
            </w:pPr>
            <w:r w:rsidRPr="00EB5088">
              <w:rPr>
                <w:rFonts w:asciiTheme="minorBidi" w:hAnsiTheme="minorBidi" w:cstheme="minorBidi"/>
                <w:szCs w:val="18"/>
                <w:rtl/>
              </w:rPr>
              <w:t xml:space="preserve"> 0</w:t>
            </w:r>
          </w:p>
        </w:tc>
      </w:tr>
      <w:tr w:rsidR="00EC46DF" w:rsidRPr="00543C25" w14:paraId="5761C687" w14:textId="77777777" w:rsidTr="00CE19D7">
        <w:trPr>
          <w:trHeight w:val="259"/>
        </w:trPr>
        <w:tc>
          <w:tcPr>
            <w:tcW w:w="625" w:type="dxa"/>
          </w:tcPr>
          <w:p w14:paraId="38C09BF9" w14:textId="77777777" w:rsidR="00EC46DF" w:rsidRPr="003B24D4" w:rsidRDefault="00EC46DF" w:rsidP="00D439C5">
            <w:pPr>
              <w:pStyle w:val="-fa"/>
              <w:ind w:right="-142"/>
              <w:rPr>
                <w:rtl/>
              </w:rPr>
            </w:pPr>
          </w:p>
        </w:tc>
        <w:tc>
          <w:tcPr>
            <w:tcW w:w="4082" w:type="dxa"/>
            <w:vAlign w:val="bottom"/>
          </w:tcPr>
          <w:p w14:paraId="55B1C4B8" w14:textId="7C9FD349" w:rsidR="00EC46DF" w:rsidRPr="00775294" w:rsidRDefault="00EC46DF" w:rsidP="00D439C5">
            <w:pPr>
              <w:pStyle w:val="-0"/>
              <w:rPr>
                <w:rFonts w:asciiTheme="minorBidi" w:hAnsiTheme="minorBidi" w:cstheme="minorBidi"/>
                <w:sz w:val="18"/>
                <w:szCs w:val="18"/>
                <w:rtl/>
              </w:rPr>
            </w:pPr>
            <w:r w:rsidRPr="00775294">
              <w:rPr>
                <w:rFonts w:asciiTheme="minorBidi" w:hAnsiTheme="minorBidi" w:cstheme="minorBidi"/>
                <w:sz w:val="18"/>
                <w:szCs w:val="18"/>
                <w:rtl/>
              </w:rPr>
              <w:t xml:space="preserve">מחיקות חשבונאיות נטו </w:t>
            </w:r>
          </w:p>
        </w:tc>
        <w:tc>
          <w:tcPr>
            <w:tcW w:w="707" w:type="dxa"/>
            <w:vAlign w:val="bottom"/>
          </w:tcPr>
          <w:p w14:paraId="1FD4AED9" w14:textId="43010582" w:rsidR="00EC46DF" w:rsidRPr="002C0AFF" w:rsidRDefault="00EC46DF" w:rsidP="00D439C5">
            <w:pPr>
              <w:pStyle w:val="-3"/>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707" w:type="dxa"/>
            <w:vAlign w:val="bottom"/>
          </w:tcPr>
          <w:p w14:paraId="3D4472CE" w14:textId="5C1AB2A1" w:rsidR="00EC46DF" w:rsidRPr="002C0AFF" w:rsidRDefault="00EC46DF" w:rsidP="00D439C5">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05F5169E" w14:textId="49405979" w:rsidR="00EC46DF" w:rsidRPr="002C0AFF" w:rsidRDefault="00EC46DF" w:rsidP="00D439C5">
            <w:pPr>
              <w:pStyle w:val="-3"/>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569" w:type="dxa"/>
            <w:vAlign w:val="bottom"/>
          </w:tcPr>
          <w:p w14:paraId="26714D58" w14:textId="795FA57F" w:rsidR="00EC46DF" w:rsidRPr="002C0AFF" w:rsidRDefault="00EC46DF" w:rsidP="00D439C5">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128" w:type="dxa"/>
            <w:vAlign w:val="bottom"/>
          </w:tcPr>
          <w:p w14:paraId="63B0E74F" w14:textId="392443CE" w:rsidR="00EC46DF" w:rsidRPr="002C0AFF" w:rsidRDefault="00EC46DF" w:rsidP="00D439C5">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994" w:type="dxa"/>
            <w:vAlign w:val="bottom"/>
          </w:tcPr>
          <w:p w14:paraId="14A6A056" w14:textId="187BC3AF" w:rsidR="00EC46DF" w:rsidRPr="00EB5088" w:rsidRDefault="00EC46DF" w:rsidP="00D439C5">
            <w:pPr>
              <w:pStyle w:val="-3"/>
              <w:rPr>
                <w:rFonts w:asciiTheme="minorBidi" w:hAnsiTheme="minorBidi" w:cstheme="minorBidi"/>
                <w:sz w:val="18"/>
                <w:szCs w:val="18"/>
                <w:rtl/>
              </w:rPr>
            </w:pPr>
            <w:r w:rsidRPr="00EB5088">
              <w:rPr>
                <w:rFonts w:asciiTheme="minorBidi" w:hAnsiTheme="minorBidi" w:cstheme="minorBidi"/>
                <w:sz w:val="18"/>
                <w:szCs w:val="18"/>
                <w:rtl/>
              </w:rPr>
              <w:t xml:space="preserve"> 0</w:t>
            </w:r>
          </w:p>
        </w:tc>
      </w:tr>
      <w:tr w:rsidR="00EC46DF" w:rsidRPr="00543C25" w14:paraId="6B45A8EA" w14:textId="77777777" w:rsidTr="00CE19D7">
        <w:trPr>
          <w:trHeight w:val="259"/>
        </w:trPr>
        <w:tc>
          <w:tcPr>
            <w:tcW w:w="625" w:type="dxa"/>
          </w:tcPr>
          <w:p w14:paraId="0BFCE5C2" w14:textId="77777777" w:rsidR="00EC46DF" w:rsidRPr="003B24D4" w:rsidRDefault="00EC46DF" w:rsidP="00FF46FA">
            <w:pPr>
              <w:pStyle w:val="-fa"/>
              <w:ind w:right="-142"/>
              <w:rPr>
                <w:rtl/>
              </w:rPr>
            </w:pPr>
          </w:p>
        </w:tc>
        <w:tc>
          <w:tcPr>
            <w:tcW w:w="4082" w:type="dxa"/>
            <w:vAlign w:val="bottom"/>
          </w:tcPr>
          <w:p w14:paraId="2908801D" w14:textId="6B0F656F" w:rsidR="00EC46DF" w:rsidRPr="00775294" w:rsidRDefault="00EC46DF" w:rsidP="00FF46FA">
            <w:pPr>
              <w:pStyle w:val="-0"/>
              <w:rPr>
                <w:rFonts w:asciiTheme="minorBidi" w:hAnsiTheme="minorBidi" w:cstheme="minorBidi"/>
                <w:sz w:val="18"/>
                <w:szCs w:val="18"/>
                <w:rtl/>
              </w:rPr>
            </w:pPr>
            <w:r w:rsidRPr="00775294">
              <w:rPr>
                <w:rFonts w:asciiTheme="minorBidi" w:hAnsiTheme="minorBidi" w:cstheme="minorBidi"/>
                <w:sz w:val="18"/>
                <w:szCs w:val="18"/>
                <w:rtl/>
              </w:rPr>
              <w:t>התאמות מתרגום דוחות כספיים</w:t>
            </w:r>
          </w:p>
        </w:tc>
        <w:tc>
          <w:tcPr>
            <w:tcW w:w="707" w:type="dxa"/>
            <w:vAlign w:val="bottom"/>
          </w:tcPr>
          <w:p w14:paraId="4627953A" w14:textId="7D785610" w:rsidR="00EC46DF" w:rsidRPr="002C0AFF" w:rsidRDefault="00EC46DF" w:rsidP="00FF46FA">
            <w:pPr>
              <w:pStyle w:val="-3"/>
              <w:rPr>
                <w:rFonts w:asciiTheme="minorBidi" w:hAnsiTheme="minorBidi" w:cstheme="minorBidi"/>
                <w:sz w:val="18"/>
                <w:szCs w:val="18"/>
              </w:rPr>
            </w:pPr>
            <w:r w:rsidRPr="002C0AFF">
              <w:rPr>
                <w:rFonts w:asciiTheme="minorBidi" w:hAnsiTheme="minorBidi" w:cstheme="minorBidi"/>
                <w:sz w:val="18"/>
                <w:szCs w:val="18"/>
                <w:rtl/>
              </w:rPr>
              <w:t xml:space="preserve"> 0</w:t>
            </w:r>
          </w:p>
        </w:tc>
        <w:tc>
          <w:tcPr>
            <w:tcW w:w="707" w:type="dxa"/>
            <w:vAlign w:val="bottom"/>
          </w:tcPr>
          <w:p w14:paraId="7794BE7D" w14:textId="0C8A9316"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205CBB3F" w14:textId="3B395C6E" w:rsidR="00EC46DF" w:rsidRPr="002C0AFF" w:rsidRDefault="00EC46DF" w:rsidP="00FF46FA">
            <w:pPr>
              <w:pStyle w:val="-3"/>
              <w:rPr>
                <w:rFonts w:asciiTheme="minorBidi" w:hAnsiTheme="minorBidi" w:cstheme="minorBidi"/>
                <w:sz w:val="18"/>
                <w:szCs w:val="18"/>
              </w:rPr>
            </w:pPr>
            <w:r w:rsidRPr="002C0AFF">
              <w:rPr>
                <w:rFonts w:asciiTheme="minorBidi" w:hAnsiTheme="minorBidi" w:cstheme="minorBidi"/>
                <w:sz w:val="18"/>
                <w:szCs w:val="18"/>
                <w:rtl/>
              </w:rPr>
              <w:t xml:space="preserve"> 0</w:t>
            </w:r>
          </w:p>
        </w:tc>
        <w:tc>
          <w:tcPr>
            <w:tcW w:w="569" w:type="dxa"/>
            <w:vAlign w:val="bottom"/>
          </w:tcPr>
          <w:p w14:paraId="208820DA" w14:textId="229BAC99"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128" w:type="dxa"/>
            <w:vAlign w:val="bottom"/>
          </w:tcPr>
          <w:p w14:paraId="2161112E" w14:textId="49392BBE"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994" w:type="dxa"/>
            <w:vAlign w:val="bottom"/>
          </w:tcPr>
          <w:p w14:paraId="23DCDE37" w14:textId="315000C6" w:rsidR="00EC46DF" w:rsidRPr="00EB5088" w:rsidRDefault="00EC46DF" w:rsidP="00FF46FA">
            <w:pPr>
              <w:pStyle w:val="-3"/>
              <w:rPr>
                <w:rFonts w:asciiTheme="minorBidi" w:hAnsiTheme="minorBidi" w:cstheme="minorBidi"/>
                <w:sz w:val="18"/>
                <w:szCs w:val="18"/>
                <w:rtl/>
              </w:rPr>
            </w:pPr>
            <w:r w:rsidRPr="00EB5088">
              <w:rPr>
                <w:rFonts w:asciiTheme="minorBidi" w:hAnsiTheme="minorBidi" w:cstheme="minorBidi"/>
                <w:sz w:val="18"/>
                <w:szCs w:val="18"/>
                <w:rtl/>
              </w:rPr>
              <w:t xml:space="preserve"> 0</w:t>
            </w:r>
          </w:p>
        </w:tc>
      </w:tr>
      <w:tr w:rsidR="00EC46DF" w:rsidRPr="00543C25" w14:paraId="48BA409A" w14:textId="77777777" w:rsidTr="00CE19D7">
        <w:trPr>
          <w:trHeight w:val="259"/>
        </w:trPr>
        <w:tc>
          <w:tcPr>
            <w:tcW w:w="625" w:type="dxa"/>
          </w:tcPr>
          <w:p w14:paraId="5D0A073A" w14:textId="77777777" w:rsidR="00EC46DF" w:rsidRPr="003B24D4" w:rsidRDefault="00EC46DF" w:rsidP="00FF46FA">
            <w:pPr>
              <w:pStyle w:val="-fa"/>
              <w:ind w:right="-142"/>
              <w:rPr>
                <w:rtl/>
              </w:rPr>
            </w:pPr>
          </w:p>
        </w:tc>
        <w:tc>
          <w:tcPr>
            <w:tcW w:w="4082" w:type="dxa"/>
            <w:vAlign w:val="bottom"/>
          </w:tcPr>
          <w:p w14:paraId="5363A7FA" w14:textId="1B36C0B4" w:rsidR="00EC46DF" w:rsidRPr="00775294" w:rsidRDefault="00EC46DF" w:rsidP="00FF46FA">
            <w:pPr>
              <w:pStyle w:val="-0"/>
              <w:spacing w:before="40" w:line="240" w:lineRule="auto"/>
              <w:ind w:left="142" w:hanging="142"/>
              <w:rPr>
                <w:rFonts w:asciiTheme="minorBidi" w:hAnsiTheme="minorBidi" w:cstheme="minorBidi"/>
                <w:b/>
                <w:bCs/>
                <w:sz w:val="18"/>
                <w:szCs w:val="18"/>
              </w:rPr>
            </w:pPr>
            <w:r w:rsidRPr="00775294">
              <w:rPr>
                <w:rFonts w:asciiTheme="minorBidi" w:hAnsiTheme="minorBidi" w:cstheme="minorBidi"/>
                <w:sz w:val="18"/>
                <w:szCs w:val="18"/>
                <w:rtl/>
              </w:rPr>
              <w:t>אחר</w:t>
            </w:r>
          </w:p>
        </w:tc>
        <w:tc>
          <w:tcPr>
            <w:tcW w:w="707" w:type="dxa"/>
            <w:vAlign w:val="bottom"/>
          </w:tcPr>
          <w:p w14:paraId="313005C7" w14:textId="2FC37B28" w:rsidR="00EC46DF" w:rsidRPr="002C0AFF" w:rsidRDefault="00EC46DF" w:rsidP="00FF46FA">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707" w:type="dxa"/>
            <w:vAlign w:val="bottom"/>
          </w:tcPr>
          <w:p w14:paraId="1A5A629C" w14:textId="50E7205E" w:rsidR="00EC46DF" w:rsidRPr="002C0AFF" w:rsidRDefault="00EC46DF" w:rsidP="00FF46FA">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1885C0CF" w14:textId="7EA70AE2" w:rsidR="00EC46DF" w:rsidRPr="002C0AFF" w:rsidRDefault="00EC46DF" w:rsidP="00FF46FA">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569" w:type="dxa"/>
            <w:vAlign w:val="bottom"/>
          </w:tcPr>
          <w:p w14:paraId="5E427946" w14:textId="2B902B95" w:rsidR="00EC46DF" w:rsidRPr="002C0AFF" w:rsidRDefault="00EC46DF" w:rsidP="00FF46FA">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128" w:type="dxa"/>
            <w:vAlign w:val="bottom"/>
          </w:tcPr>
          <w:p w14:paraId="3733557C" w14:textId="65989A4B" w:rsidR="00EC46DF" w:rsidRPr="002C0AFF" w:rsidRDefault="00EC46DF" w:rsidP="00FF46FA">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994" w:type="dxa"/>
            <w:vAlign w:val="bottom"/>
          </w:tcPr>
          <w:p w14:paraId="476354D5" w14:textId="5E97564E" w:rsidR="00EC46DF" w:rsidRPr="00EB5088" w:rsidRDefault="00EC46DF" w:rsidP="00FF46FA">
            <w:pPr>
              <w:pStyle w:val="-3"/>
              <w:pBdr>
                <w:bottom w:val="single" w:sz="4" w:space="1" w:color="auto"/>
              </w:pBdr>
              <w:rPr>
                <w:rFonts w:asciiTheme="minorBidi" w:hAnsiTheme="minorBidi" w:cstheme="minorBidi"/>
                <w:sz w:val="18"/>
                <w:szCs w:val="18"/>
                <w:rtl/>
              </w:rPr>
            </w:pPr>
            <w:r w:rsidRPr="00EB5088">
              <w:rPr>
                <w:rFonts w:asciiTheme="minorBidi" w:hAnsiTheme="minorBidi" w:cstheme="minorBidi"/>
                <w:sz w:val="18"/>
                <w:szCs w:val="18"/>
                <w:rtl/>
              </w:rPr>
              <w:t xml:space="preserve"> 0</w:t>
            </w:r>
          </w:p>
        </w:tc>
      </w:tr>
      <w:tr w:rsidR="00EC46DF" w:rsidRPr="00BA061F" w14:paraId="06A634D9" w14:textId="77777777" w:rsidTr="00CE19D7">
        <w:tc>
          <w:tcPr>
            <w:tcW w:w="625" w:type="dxa"/>
          </w:tcPr>
          <w:p w14:paraId="42C5E3F7" w14:textId="77777777" w:rsidR="00EC46DF" w:rsidRDefault="00EC46DF" w:rsidP="00FF46FA">
            <w:pPr>
              <w:pStyle w:val="-fa"/>
              <w:bidi w:val="0"/>
              <w:ind w:right="-142"/>
              <w:jc w:val="both"/>
              <w:rPr>
                <w:rtl/>
              </w:rPr>
            </w:pPr>
          </w:p>
        </w:tc>
        <w:tc>
          <w:tcPr>
            <w:tcW w:w="4082" w:type="dxa"/>
            <w:vAlign w:val="bottom"/>
          </w:tcPr>
          <w:p w14:paraId="4817FEC9" w14:textId="3D386C90" w:rsidR="00EC46DF" w:rsidRPr="00775294" w:rsidRDefault="00EC46DF" w:rsidP="00FF46FA">
            <w:pPr>
              <w:pStyle w:val="-b"/>
              <w:bidi w:val="0"/>
              <w:spacing w:line="240" w:lineRule="auto"/>
              <w:jc w:val="right"/>
              <w:rPr>
                <w:rFonts w:asciiTheme="minorBidi" w:hAnsiTheme="minorBidi" w:cstheme="minorBidi"/>
                <w:sz w:val="18"/>
                <w:szCs w:val="18"/>
              </w:rPr>
            </w:pPr>
            <w:r w:rsidRPr="00775294">
              <w:rPr>
                <w:sz w:val="18"/>
                <w:szCs w:val="18"/>
                <w:rtl/>
              </w:rPr>
              <w:t>יתר</w:t>
            </w:r>
            <w:r w:rsidRPr="00775294">
              <w:rPr>
                <w:rFonts w:hint="eastAsia"/>
                <w:sz w:val="18"/>
                <w:szCs w:val="18"/>
                <w:rtl/>
              </w:rPr>
              <w:t>ת</w:t>
            </w:r>
            <w:r w:rsidRPr="00775294">
              <w:rPr>
                <w:sz w:val="18"/>
                <w:szCs w:val="18"/>
                <w:rtl/>
              </w:rPr>
              <w:t xml:space="preserve"> הפרשה להפסדי אשראי ליום 30 </w:t>
            </w:r>
            <w:r w:rsidRPr="00775294">
              <w:rPr>
                <w:rFonts w:hint="eastAsia"/>
                <w:sz w:val="18"/>
                <w:szCs w:val="18"/>
                <w:rtl/>
              </w:rPr>
              <w:t>ביוני</w:t>
            </w:r>
            <w:r w:rsidRPr="00775294">
              <w:rPr>
                <w:sz w:val="18"/>
                <w:szCs w:val="18"/>
                <w:rtl/>
              </w:rPr>
              <w:t xml:space="preserve"> </w:t>
            </w:r>
            <w:r w:rsidRPr="00EB29D7">
              <w:rPr>
                <w:sz w:val="18"/>
                <w:szCs w:val="18"/>
                <w:rtl/>
              </w:rPr>
              <w:fldChar w:fldCharType="begin"/>
            </w:r>
            <w:r w:rsidRPr="00EB29D7">
              <w:rPr>
                <w:sz w:val="18"/>
                <w:szCs w:val="18"/>
                <w:rtl/>
              </w:rPr>
              <w:instrText xml:space="preserve"> </w:instrText>
            </w:r>
            <w:r w:rsidRPr="00EB29D7">
              <w:rPr>
                <w:rFonts w:hint="cs"/>
                <w:sz w:val="18"/>
                <w:szCs w:val="18"/>
                <w:rtl/>
              </w:rPr>
              <w:instrText xml:space="preserve">= </w:instrText>
            </w:r>
            <w:r w:rsidRPr="00EB29D7">
              <w:rPr>
                <w:rFonts w:hint="cs"/>
                <w:sz w:val="18"/>
                <w:szCs w:val="18"/>
              </w:rPr>
              <w:instrText>CY \* MERGEFORMAT</w:instrText>
            </w:r>
            <w:r w:rsidRPr="00EB29D7">
              <w:rPr>
                <w:sz w:val="18"/>
                <w:szCs w:val="18"/>
                <w:rtl/>
              </w:rPr>
              <w:instrText xml:space="preserve"> </w:instrText>
            </w:r>
            <w:r w:rsidRPr="00EB29D7">
              <w:rPr>
                <w:sz w:val="18"/>
                <w:szCs w:val="18"/>
                <w:rtl/>
              </w:rPr>
              <w:fldChar w:fldCharType="separate"/>
            </w:r>
            <w:r>
              <w:rPr>
                <w:noProof/>
                <w:sz w:val="18"/>
                <w:szCs w:val="18"/>
                <w:rtl/>
              </w:rPr>
              <w:t>2024</w:t>
            </w:r>
            <w:r w:rsidRPr="00EB29D7">
              <w:rPr>
                <w:sz w:val="18"/>
                <w:szCs w:val="18"/>
                <w:rtl/>
              </w:rPr>
              <w:fldChar w:fldCharType="end"/>
            </w:r>
          </w:p>
        </w:tc>
        <w:tc>
          <w:tcPr>
            <w:tcW w:w="707" w:type="dxa"/>
            <w:vAlign w:val="bottom"/>
          </w:tcPr>
          <w:p w14:paraId="5B964347" w14:textId="1731AEAB" w:rsidR="00EC46DF" w:rsidRPr="00EB5088" w:rsidRDefault="00EC46DF" w:rsidP="00FF46FA">
            <w:pPr>
              <w:pStyle w:val="-3"/>
              <w:pBdr>
                <w:bottom w:val="double" w:sz="4" w:space="1" w:color="auto"/>
              </w:pBdr>
              <w:rPr>
                <w:rFonts w:asciiTheme="minorBidi" w:hAnsiTheme="minorBidi" w:cstheme="minorBidi"/>
                <w:b/>
                <w:bCs/>
                <w:sz w:val="18"/>
                <w:szCs w:val="18"/>
                <w:rtl/>
              </w:rPr>
            </w:pPr>
            <w:r w:rsidRPr="00EB5088">
              <w:rPr>
                <w:rFonts w:asciiTheme="minorBidi" w:hAnsiTheme="minorBidi" w:cstheme="minorBidi"/>
                <w:b/>
                <w:bCs/>
                <w:sz w:val="18"/>
                <w:szCs w:val="18"/>
                <w:rtl/>
              </w:rPr>
              <w:t xml:space="preserve"> 0</w:t>
            </w:r>
          </w:p>
        </w:tc>
        <w:tc>
          <w:tcPr>
            <w:tcW w:w="707" w:type="dxa"/>
            <w:vAlign w:val="bottom"/>
          </w:tcPr>
          <w:p w14:paraId="2E9FE7F7" w14:textId="68069B81" w:rsidR="00EC46DF" w:rsidRPr="00EB5088" w:rsidRDefault="00EC46DF" w:rsidP="00FF46FA">
            <w:pPr>
              <w:pStyle w:val="-3"/>
              <w:pBdr>
                <w:bottom w:val="double" w:sz="4" w:space="1" w:color="auto"/>
              </w:pBdr>
              <w:rPr>
                <w:rFonts w:asciiTheme="minorBidi" w:hAnsiTheme="minorBidi" w:cstheme="minorBidi"/>
                <w:b/>
                <w:bCs/>
                <w:sz w:val="18"/>
                <w:szCs w:val="18"/>
                <w:rtl/>
              </w:rPr>
            </w:pPr>
            <w:r w:rsidRPr="00EB5088">
              <w:rPr>
                <w:rFonts w:asciiTheme="minorBidi" w:hAnsiTheme="minorBidi" w:cstheme="minorBidi"/>
                <w:b/>
                <w:bCs/>
                <w:sz w:val="18"/>
                <w:szCs w:val="18"/>
                <w:rtl/>
              </w:rPr>
              <w:t xml:space="preserve"> 0</w:t>
            </w:r>
          </w:p>
        </w:tc>
        <w:tc>
          <w:tcPr>
            <w:tcW w:w="707" w:type="dxa"/>
            <w:vAlign w:val="bottom"/>
          </w:tcPr>
          <w:p w14:paraId="4792BB28" w14:textId="60888558" w:rsidR="00EC46DF" w:rsidRPr="00320701" w:rsidRDefault="00EC46DF" w:rsidP="00FF46FA">
            <w:pPr>
              <w:pStyle w:val="-3"/>
              <w:pBdr>
                <w:bottom w:val="double" w:sz="4" w:space="1" w:color="auto"/>
              </w:pBdr>
              <w:rPr>
                <w:rFonts w:asciiTheme="minorBidi" w:hAnsiTheme="minorBidi" w:cstheme="minorBidi"/>
                <w:b/>
                <w:bCs/>
                <w:sz w:val="18"/>
                <w:szCs w:val="18"/>
                <w:rtl/>
              </w:rPr>
            </w:pPr>
            <w:r w:rsidRPr="00EB5088">
              <w:rPr>
                <w:rFonts w:asciiTheme="minorBidi" w:hAnsiTheme="minorBidi" w:cstheme="minorBidi"/>
                <w:b/>
                <w:bCs/>
                <w:sz w:val="18"/>
                <w:szCs w:val="18"/>
                <w:rtl/>
              </w:rPr>
              <w:t xml:space="preserve"> 0</w:t>
            </w:r>
          </w:p>
        </w:tc>
        <w:tc>
          <w:tcPr>
            <w:tcW w:w="569" w:type="dxa"/>
            <w:vAlign w:val="bottom"/>
          </w:tcPr>
          <w:p w14:paraId="6322D1DC" w14:textId="707066DE" w:rsidR="00EC46DF" w:rsidRPr="00320701" w:rsidRDefault="00EC46DF" w:rsidP="00FF46FA">
            <w:pPr>
              <w:pStyle w:val="-3"/>
              <w:pBdr>
                <w:bottom w:val="double" w:sz="4" w:space="1" w:color="auto"/>
              </w:pBdr>
              <w:rPr>
                <w:rFonts w:asciiTheme="minorBidi" w:hAnsiTheme="minorBidi" w:cstheme="minorBidi"/>
                <w:b/>
                <w:bCs/>
                <w:sz w:val="18"/>
                <w:szCs w:val="18"/>
                <w:rtl/>
              </w:rPr>
            </w:pPr>
            <w:r w:rsidRPr="00EB5088">
              <w:rPr>
                <w:rFonts w:asciiTheme="minorBidi" w:hAnsiTheme="minorBidi" w:cstheme="minorBidi"/>
                <w:b/>
                <w:bCs/>
                <w:sz w:val="18"/>
                <w:szCs w:val="18"/>
                <w:rtl/>
              </w:rPr>
              <w:t xml:space="preserve"> 0</w:t>
            </w:r>
          </w:p>
        </w:tc>
        <w:tc>
          <w:tcPr>
            <w:tcW w:w="1128" w:type="dxa"/>
            <w:vAlign w:val="bottom"/>
          </w:tcPr>
          <w:p w14:paraId="49D9C714" w14:textId="2327540D" w:rsidR="00EC46DF" w:rsidRPr="00320701" w:rsidRDefault="00EC46DF" w:rsidP="00FF46FA">
            <w:pPr>
              <w:pStyle w:val="-3"/>
              <w:pBdr>
                <w:bottom w:val="double" w:sz="4" w:space="1" w:color="auto"/>
              </w:pBdr>
              <w:rPr>
                <w:rFonts w:asciiTheme="minorBidi" w:hAnsiTheme="minorBidi" w:cstheme="minorBidi"/>
                <w:b/>
                <w:bCs/>
                <w:sz w:val="18"/>
                <w:szCs w:val="18"/>
                <w:rtl/>
              </w:rPr>
            </w:pPr>
            <w:r w:rsidRPr="00EB5088">
              <w:rPr>
                <w:rFonts w:asciiTheme="minorBidi" w:hAnsiTheme="minorBidi" w:cstheme="minorBidi"/>
                <w:b/>
                <w:bCs/>
                <w:sz w:val="18"/>
                <w:szCs w:val="18"/>
                <w:rtl/>
              </w:rPr>
              <w:t xml:space="preserve"> 0</w:t>
            </w:r>
          </w:p>
        </w:tc>
        <w:tc>
          <w:tcPr>
            <w:tcW w:w="994" w:type="dxa"/>
            <w:vAlign w:val="bottom"/>
          </w:tcPr>
          <w:p w14:paraId="42B72228" w14:textId="36D044E0" w:rsidR="00EC46DF" w:rsidRPr="002C0AFF" w:rsidRDefault="00EC46DF" w:rsidP="00FF46FA">
            <w:pPr>
              <w:pStyle w:val="-3"/>
              <w:pBdr>
                <w:bottom w:val="double" w:sz="4" w:space="1" w:color="auto"/>
              </w:pBdr>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r>
      <w:tr w:rsidR="00EC46DF" w:rsidRPr="00BA061F" w14:paraId="0817E512" w14:textId="77777777" w:rsidTr="00CE19D7">
        <w:trPr>
          <w:trHeight w:hRule="exact" w:val="57"/>
        </w:trPr>
        <w:tc>
          <w:tcPr>
            <w:tcW w:w="625" w:type="dxa"/>
          </w:tcPr>
          <w:p w14:paraId="142026FF" w14:textId="77777777" w:rsidR="00EC46DF" w:rsidRDefault="00EC46DF" w:rsidP="00FF46FA">
            <w:pPr>
              <w:pStyle w:val="-fa"/>
              <w:bidi w:val="0"/>
              <w:ind w:right="-142"/>
              <w:jc w:val="both"/>
              <w:rPr>
                <w:rtl/>
              </w:rPr>
            </w:pPr>
          </w:p>
        </w:tc>
        <w:tc>
          <w:tcPr>
            <w:tcW w:w="4082" w:type="dxa"/>
            <w:vAlign w:val="bottom"/>
          </w:tcPr>
          <w:p w14:paraId="6F83B79A" w14:textId="77777777" w:rsidR="00EC46DF" w:rsidRPr="00775294" w:rsidRDefault="00EC46DF" w:rsidP="00FF46FA">
            <w:pPr>
              <w:pStyle w:val="-b"/>
              <w:bidi w:val="0"/>
              <w:spacing w:line="240" w:lineRule="auto"/>
              <w:jc w:val="right"/>
              <w:rPr>
                <w:rFonts w:asciiTheme="minorBidi" w:hAnsiTheme="minorBidi" w:cstheme="minorBidi"/>
                <w:b w:val="0"/>
                <w:bCs w:val="0"/>
                <w:sz w:val="18"/>
                <w:szCs w:val="18"/>
                <w:rtl/>
              </w:rPr>
            </w:pPr>
          </w:p>
        </w:tc>
        <w:tc>
          <w:tcPr>
            <w:tcW w:w="707" w:type="dxa"/>
            <w:vAlign w:val="bottom"/>
          </w:tcPr>
          <w:p w14:paraId="2B276FAE"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c>
          <w:tcPr>
            <w:tcW w:w="707" w:type="dxa"/>
            <w:vAlign w:val="bottom"/>
          </w:tcPr>
          <w:p w14:paraId="22F42CDF"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c>
          <w:tcPr>
            <w:tcW w:w="707" w:type="dxa"/>
            <w:vAlign w:val="bottom"/>
          </w:tcPr>
          <w:p w14:paraId="0C6A2581"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c>
          <w:tcPr>
            <w:tcW w:w="569" w:type="dxa"/>
            <w:vAlign w:val="bottom"/>
          </w:tcPr>
          <w:p w14:paraId="5F2D8C12"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c>
          <w:tcPr>
            <w:tcW w:w="1128" w:type="dxa"/>
            <w:vAlign w:val="bottom"/>
          </w:tcPr>
          <w:p w14:paraId="71636FF1"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c>
          <w:tcPr>
            <w:tcW w:w="994" w:type="dxa"/>
            <w:vAlign w:val="bottom"/>
          </w:tcPr>
          <w:p w14:paraId="0ECA75DA"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r>
      <w:tr w:rsidR="00EC46DF" w:rsidRPr="00BA061F" w14:paraId="7BBD05F7" w14:textId="77777777" w:rsidTr="00CE19D7">
        <w:tc>
          <w:tcPr>
            <w:tcW w:w="625" w:type="dxa"/>
          </w:tcPr>
          <w:p w14:paraId="3CD7EDEE" w14:textId="77777777" w:rsidR="00EC46DF" w:rsidRDefault="00EC46DF" w:rsidP="00FF46FA">
            <w:pPr>
              <w:pStyle w:val="-fa"/>
              <w:bidi w:val="0"/>
              <w:ind w:right="-142"/>
              <w:jc w:val="both"/>
              <w:rPr>
                <w:rtl/>
              </w:rPr>
            </w:pPr>
          </w:p>
        </w:tc>
        <w:tc>
          <w:tcPr>
            <w:tcW w:w="4082" w:type="dxa"/>
            <w:vAlign w:val="bottom"/>
          </w:tcPr>
          <w:p w14:paraId="2F26436D" w14:textId="3A0296CE" w:rsidR="00EC46DF" w:rsidRPr="00775294" w:rsidRDefault="00EC46DF" w:rsidP="00FE7459">
            <w:pPr>
              <w:pStyle w:val="-b"/>
              <w:bidi w:val="0"/>
              <w:spacing w:line="240" w:lineRule="auto"/>
              <w:ind w:right="180"/>
              <w:jc w:val="right"/>
              <w:rPr>
                <w:rFonts w:asciiTheme="minorBidi" w:hAnsiTheme="minorBidi" w:cstheme="minorBidi"/>
                <w:b w:val="0"/>
                <w:bCs w:val="0"/>
                <w:sz w:val="18"/>
                <w:szCs w:val="18"/>
              </w:rPr>
            </w:pPr>
            <w:r w:rsidRPr="00775294">
              <w:rPr>
                <w:rFonts w:hint="cs"/>
                <w:b w:val="0"/>
                <w:bCs w:val="0"/>
                <w:sz w:val="18"/>
                <w:szCs w:val="18"/>
                <w:rtl/>
              </w:rPr>
              <w:t>מזה: בגין מכשירי אשראי חוץ מאזניים</w:t>
            </w:r>
          </w:p>
        </w:tc>
        <w:tc>
          <w:tcPr>
            <w:tcW w:w="707" w:type="dxa"/>
            <w:vAlign w:val="bottom"/>
          </w:tcPr>
          <w:p w14:paraId="69F5755A" w14:textId="00533952" w:rsidR="00EC46DF" w:rsidRPr="002C0AFF" w:rsidRDefault="00EC46DF" w:rsidP="00FF46FA">
            <w:pPr>
              <w:pStyle w:val="-3"/>
              <w:rPr>
                <w:rFonts w:asciiTheme="minorBidi" w:hAnsiTheme="minorBidi" w:cstheme="minorBidi"/>
                <w:sz w:val="18"/>
                <w:szCs w:val="18"/>
                <w:rtl/>
              </w:rPr>
            </w:pPr>
            <w:r w:rsidRPr="002C0AFF">
              <w:rPr>
                <w:rFonts w:hint="cs"/>
                <w:sz w:val="18"/>
                <w:szCs w:val="18"/>
                <w:rtl/>
              </w:rPr>
              <w:t xml:space="preserve"> 0</w:t>
            </w:r>
          </w:p>
        </w:tc>
        <w:tc>
          <w:tcPr>
            <w:tcW w:w="707" w:type="dxa"/>
            <w:vAlign w:val="bottom"/>
          </w:tcPr>
          <w:p w14:paraId="08A3E5D9" w14:textId="13CAA7C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707" w:type="dxa"/>
            <w:vAlign w:val="bottom"/>
          </w:tcPr>
          <w:p w14:paraId="12B57BBE" w14:textId="60933E7B"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569" w:type="dxa"/>
            <w:vAlign w:val="bottom"/>
          </w:tcPr>
          <w:p w14:paraId="5758ED8E" w14:textId="0BD0DDF1" w:rsidR="00EC46DF" w:rsidRPr="002C0AFF" w:rsidRDefault="00EC46DF" w:rsidP="00FF46FA">
            <w:pPr>
              <w:pStyle w:val="-3"/>
              <w:rPr>
                <w:rFonts w:asciiTheme="minorBidi" w:hAnsiTheme="minorBidi" w:cstheme="minorBidi"/>
                <w:sz w:val="18"/>
                <w:szCs w:val="18"/>
                <w:rtl/>
              </w:rPr>
            </w:pPr>
            <w:r w:rsidRPr="002C0AFF">
              <w:rPr>
                <w:rFonts w:hint="cs"/>
                <w:sz w:val="18"/>
                <w:szCs w:val="18"/>
                <w:rtl/>
              </w:rPr>
              <w:t xml:space="preserve"> 0</w:t>
            </w:r>
          </w:p>
        </w:tc>
        <w:tc>
          <w:tcPr>
            <w:tcW w:w="1128" w:type="dxa"/>
            <w:vAlign w:val="bottom"/>
          </w:tcPr>
          <w:p w14:paraId="099E5002" w14:textId="66DF29C2" w:rsidR="00EC46DF" w:rsidRPr="002C0AFF" w:rsidRDefault="00EC46DF" w:rsidP="00FF46FA">
            <w:pPr>
              <w:pStyle w:val="-3"/>
              <w:rPr>
                <w:sz w:val="18"/>
                <w:szCs w:val="18"/>
                <w:rtl/>
              </w:rPr>
            </w:pPr>
            <w:r w:rsidRPr="002C0AFF">
              <w:rPr>
                <w:rFonts w:hint="cs"/>
                <w:sz w:val="18"/>
                <w:szCs w:val="18"/>
                <w:rtl/>
              </w:rPr>
              <w:t xml:space="preserve"> 0</w:t>
            </w:r>
          </w:p>
        </w:tc>
        <w:tc>
          <w:tcPr>
            <w:tcW w:w="994" w:type="dxa"/>
            <w:vAlign w:val="bottom"/>
          </w:tcPr>
          <w:p w14:paraId="19701407" w14:textId="1A51F50F" w:rsidR="00EC46DF" w:rsidRPr="00EB5088" w:rsidRDefault="00EC46DF" w:rsidP="00FF46FA">
            <w:pPr>
              <w:pStyle w:val="-3"/>
              <w:rPr>
                <w:rFonts w:asciiTheme="minorBidi" w:hAnsiTheme="minorBidi" w:cstheme="minorBidi"/>
                <w:sz w:val="18"/>
                <w:szCs w:val="18"/>
                <w:rtl/>
              </w:rPr>
            </w:pPr>
            <w:r w:rsidRPr="00EB5088">
              <w:rPr>
                <w:sz w:val="18"/>
                <w:szCs w:val="18"/>
                <w:rtl/>
              </w:rPr>
              <w:t xml:space="preserve"> 0</w:t>
            </w:r>
          </w:p>
        </w:tc>
      </w:tr>
      <w:tr w:rsidR="00EC46DF" w:rsidRPr="00BA061F" w14:paraId="68B93EDF" w14:textId="77777777" w:rsidTr="00CE19D7">
        <w:tc>
          <w:tcPr>
            <w:tcW w:w="625" w:type="dxa"/>
          </w:tcPr>
          <w:p w14:paraId="74AA5C29" w14:textId="77777777" w:rsidR="00EC46DF" w:rsidRDefault="00EC46DF" w:rsidP="00FF46FA">
            <w:pPr>
              <w:pStyle w:val="-fa"/>
              <w:bidi w:val="0"/>
              <w:ind w:right="-142"/>
              <w:jc w:val="both"/>
              <w:rPr>
                <w:rtl/>
              </w:rPr>
            </w:pPr>
          </w:p>
        </w:tc>
        <w:tc>
          <w:tcPr>
            <w:tcW w:w="4082" w:type="dxa"/>
            <w:vAlign w:val="bottom"/>
          </w:tcPr>
          <w:p w14:paraId="4D6A8FA8" w14:textId="77777777" w:rsidR="00EC46DF" w:rsidRPr="00D439C5" w:rsidRDefault="00EC46DF" w:rsidP="00FF46FA">
            <w:pPr>
              <w:pStyle w:val="-b"/>
              <w:bidi w:val="0"/>
              <w:spacing w:line="240" w:lineRule="auto"/>
              <w:jc w:val="both"/>
              <w:rPr>
                <w:rFonts w:asciiTheme="minorBidi" w:hAnsiTheme="minorBidi" w:cstheme="minorBidi"/>
                <w:sz w:val="19"/>
                <w:szCs w:val="19"/>
                <w:rtl/>
              </w:rPr>
            </w:pPr>
          </w:p>
        </w:tc>
        <w:tc>
          <w:tcPr>
            <w:tcW w:w="707" w:type="dxa"/>
            <w:vAlign w:val="bottom"/>
          </w:tcPr>
          <w:p w14:paraId="0C160497"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c>
          <w:tcPr>
            <w:tcW w:w="707" w:type="dxa"/>
            <w:vAlign w:val="bottom"/>
          </w:tcPr>
          <w:p w14:paraId="43BABF31"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c>
          <w:tcPr>
            <w:tcW w:w="707" w:type="dxa"/>
            <w:vAlign w:val="bottom"/>
          </w:tcPr>
          <w:p w14:paraId="6E458653"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c>
          <w:tcPr>
            <w:tcW w:w="569" w:type="dxa"/>
            <w:vAlign w:val="bottom"/>
          </w:tcPr>
          <w:p w14:paraId="7C3F21F3"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c>
          <w:tcPr>
            <w:tcW w:w="1128" w:type="dxa"/>
            <w:vAlign w:val="bottom"/>
          </w:tcPr>
          <w:p w14:paraId="1D06549A"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c>
          <w:tcPr>
            <w:tcW w:w="994" w:type="dxa"/>
            <w:vAlign w:val="bottom"/>
          </w:tcPr>
          <w:p w14:paraId="16E84C06"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r>
      <w:tr w:rsidR="00EC46DF" w:rsidRPr="00BA061F" w14:paraId="03A78DFC" w14:textId="77777777" w:rsidTr="00CE19D7">
        <w:trPr>
          <w:trHeight w:val="543"/>
        </w:trPr>
        <w:tc>
          <w:tcPr>
            <w:tcW w:w="625" w:type="dxa"/>
          </w:tcPr>
          <w:p w14:paraId="4D1C4DA8" w14:textId="77777777" w:rsidR="00EC46DF" w:rsidRDefault="00EC46DF" w:rsidP="00FF46FA">
            <w:pPr>
              <w:pStyle w:val="-fa"/>
              <w:bidi w:val="0"/>
              <w:ind w:right="-142"/>
              <w:jc w:val="both"/>
              <w:rPr>
                <w:rtl/>
              </w:rPr>
            </w:pPr>
          </w:p>
        </w:tc>
        <w:tc>
          <w:tcPr>
            <w:tcW w:w="4082" w:type="dxa"/>
            <w:vAlign w:val="bottom"/>
          </w:tcPr>
          <w:p w14:paraId="0066DA84" w14:textId="77777777" w:rsidR="00EC46DF" w:rsidRPr="00D439C5" w:rsidRDefault="00EC46DF" w:rsidP="00FF46FA">
            <w:pPr>
              <w:pStyle w:val="-b"/>
              <w:bidi w:val="0"/>
              <w:spacing w:line="240" w:lineRule="auto"/>
              <w:jc w:val="both"/>
              <w:rPr>
                <w:rFonts w:asciiTheme="minorBidi" w:hAnsiTheme="minorBidi" w:cstheme="minorBidi"/>
                <w:sz w:val="19"/>
                <w:szCs w:val="19"/>
                <w:rtl/>
              </w:rPr>
            </w:pPr>
          </w:p>
        </w:tc>
        <w:tc>
          <w:tcPr>
            <w:tcW w:w="707" w:type="dxa"/>
            <w:vAlign w:val="bottom"/>
          </w:tcPr>
          <w:p w14:paraId="04D9A198"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c>
          <w:tcPr>
            <w:tcW w:w="707" w:type="dxa"/>
            <w:vAlign w:val="bottom"/>
          </w:tcPr>
          <w:p w14:paraId="2C18FB12"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c>
          <w:tcPr>
            <w:tcW w:w="707" w:type="dxa"/>
            <w:vAlign w:val="bottom"/>
          </w:tcPr>
          <w:p w14:paraId="5564A1E3"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c>
          <w:tcPr>
            <w:tcW w:w="569" w:type="dxa"/>
            <w:vAlign w:val="bottom"/>
          </w:tcPr>
          <w:p w14:paraId="10A36BE7"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c>
          <w:tcPr>
            <w:tcW w:w="1128" w:type="dxa"/>
            <w:vAlign w:val="bottom"/>
          </w:tcPr>
          <w:p w14:paraId="686F4466"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c>
          <w:tcPr>
            <w:tcW w:w="994" w:type="dxa"/>
            <w:vAlign w:val="bottom"/>
          </w:tcPr>
          <w:p w14:paraId="0F9FE1D6" w14:textId="77777777" w:rsidR="00EC46DF" w:rsidRPr="002C0AFF" w:rsidRDefault="00EC46DF" w:rsidP="00FF46FA">
            <w:pPr>
              <w:pStyle w:val="-3"/>
              <w:bidi w:val="0"/>
              <w:spacing w:line="240" w:lineRule="auto"/>
              <w:rPr>
                <w:rFonts w:asciiTheme="minorBidi" w:hAnsiTheme="minorBidi" w:cstheme="minorBidi"/>
                <w:b/>
                <w:bCs/>
                <w:sz w:val="18"/>
                <w:szCs w:val="18"/>
                <w:rtl/>
              </w:rPr>
            </w:pPr>
          </w:p>
        </w:tc>
      </w:tr>
      <w:tr w:rsidR="00EC46DF" w:rsidRPr="00BA061F" w14:paraId="37A49A14" w14:textId="77777777" w:rsidTr="00CE19D7">
        <w:trPr>
          <w:trHeight w:val="259"/>
        </w:trPr>
        <w:tc>
          <w:tcPr>
            <w:tcW w:w="625" w:type="dxa"/>
          </w:tcPr>
          <w:p w14:paraId="314613EB" w14:textId="77777777" w:rsidR="00EC46DF" w:rsidRPr="00543C25" w:rsidRDefault="00EC46DF" w:rsidP="00FF46FA">
            <w:pPr>
              <w:pStyle w:val="-7"/>
              <w:spacing w:line="240" w:lineRule="auto"/>
              <w:rPr>
                <w:rtl/>
              </w:rPr>
            </w:pPr>
          </w:p>
        </w:tc>
        <w:tc>
          <w:tcPr>
            <w:tcW w:w="4082" w:type="dxa"/>
            <w:vAlign w:val="bottom"/>
          </w:tcPr>
          <w:p w14:paraId="33E9C626" w14:textId="5FC08E09" w:rsidR="00EC46DF" w:rsidRPr="00D439C5" w:rsidRDefault="00EC46DF" w:rsidP="00FF46FA">
            <w:pPr>
              <w:pStyle w:val="-f"/>
              <w:rPr>
                <w:rFonts w:asciiTheme="minorBidi" w:hAnsiTheme="minorBidi" w:cstheme="minorBidi"/>
                <w:b w:val="0"/>
                <w:bCs w:val="0"/>
                <w:sz w:val="19"/>
                <w:szCs w:val="19"/>
                <w:rtl/>
              </w:rPr>
            </w:pPr>
            <w:r w:rsidRPr="00D439C5">
              <w:rPr>
                <w:rFonts w:asciiTheme="minorBidi" w:hAnsiTheme="minorBidi" w:cstheme="minorBidi"/>
                <w:sz w:val="19"/>
                <w:szCs w:val="19"/>
                <w:rtl/>
              </w:rPr>
              <w:t xml:space="preserve">לשישה חודשים שהסתיימו ביום 30 ביוני </w:t>
            </w:r>
            <w:r w:rsidRPr="00D439C5">
              <w:rPr>
                <w:rFonts w:asciiTheme="minorBidi" w:hAnsiTheme="minorBidi" w:cstheme="minorBidi"/>
                <w:sz w:val="19"/>
                <w:szCs w:val="19"/>
                <w:rtl/>
              </w:rPr>
              <w:fldChar w:fldCharType="begin"/>
            </w:r>
            <w:r w:rsidRPr="00D439C5">
              <w:rPr>
                <w:rFonts w:asciiTheme="minorBidi" w:hAnsiTheme="minorBidi" w:cstheme="minorBidi"/>
                <w:sz w:val="19"/>
                <w:szCs w:val="19"/>
                <w:rtl/>
              </w:rPr>
              <w:instrText xml:space="preserve"> = </w:instrText>
            </w:r>
            <w:r w:rsidRPr="00D439C5">
              <w:rPr>
                <w:rFonts w:asciiTheme="minorBidi" w:hAnsiTheme="minorBidi" w:cstheme="minorBidi"/>
                <w:sz w:val="19"/>
                <w:szCs w:val="19"/>
              </w:rPr>
              <w:instrText>CY-1 \* MERGEFORMAT</w:instrText>
            </w:r>
            <w:r w:rsidRPr="00D439C5">
              <w:rPr>
                <w:rFonts w:asciiTheme="minorBidi" w:hAnsiTheme="minorBidi" w:cstheme="minorBidi"/>
                <w:sz w:val="19"/>
                <w:szCs w:val="19"/>
                <w:rtl/>
              </w:rPr>
              <w:instrText xml:space="preserve"> </w:instrText>
            </w:r>
            <w:r w:rsidRPr="00D439C5">
              <w:rPr>
                <w:rFonts w:asciiTheme="minorBidi" w:hAnsiTheme="minorBidi" w:cstheme="minorBidi"/>
                <w:sz w:val="19"/>
                <w:szCs w:val="19"/>
                <w:rtl/>
              </w:rPr>
              <w:fldChar w:fldCharType="separate"/>
            </w:r>
            <w:r>
              <w:rPr>
                <w:rFonts w:asciiTheme="minorBidi" w:hAnsiTheme="minorBidi" w:cstheme="minorBidi"/>
                <w:noProof/>
                <w:sz w:val="19"/>
                <w:szCs w:val="19"/>
                <w:rtl/>
              </w:rPr>
              <w:t>2023</w:t>
            </w:r>
            <w:r w:rsidRPr="00D439C5">
              <w:rPr>
                <w:rFonts w:asciiTheme="minorBidi" w:hAnsiTheme="minorBidi" w:cstheme="minorBidi"/>
                <w:sz w:val="19"/>
                <w:szCs w:val="19"/>
                <w:rtl/>
              </w:rPr>
              <w:fldChar w:fldCharType="end"/>
            </w:r>
            <w:r>
              <w:rPr>
                <w:rFonts w:asciiTheme="minorBidi" w:hAnsiTheme="minorBidi" w:cstheme="minorBidi" w:hint="cs"/>
                <w:sz w:val="19"/>
                <w:szCs w:val="19"/>
                <w:rtl/>
              </w:rPr>
              <w:t xml:space="preserve"> </w:t>
            </w:r>
            <w:r w:rsidRPr="00EC46DF">
              <w:rPr>
                <w:rFonts w:asciiTheme="minorBidi" w:hAnsiTheme="minorBidi" w:cstheme="minorBidi"/>
                <w:b w:val="0"/>
                <w:bCs w:val="0"/>
                <w:sz w:val="19"/>
                <w:szCs w:val="19"/>
                <w:u w:val="none"/>
                <w:rtl/>
              </w:rPr>
              <w:t>(בלתי מבוקר)</w:t>
            </w:r>
          </w:p>
        </w:tc>
        <w:tc>
          <w:tcPr>
            <w:tcW w:w="707" w:type="dxa"/>
          </w:tcPr>
          <w:p w14:paraId="2A636A6F" w14:textId="77777777" w:rsidR="00EC46DF" w:rsidRPr="002C0AFF" w:rsidRDefault="00EC46DF" w:rsidP="00FF46FA">
            <w:pPr>
              <w:pStyle w:val="-7"/>
              <w:rPr>
                <w:rFonts w:asciiTheme="minorBidi" w:hAnsiTheme="minorBidi" w:cstheme="minorBidi"/>
                <w:sz w:val="18"/>
                <w:szCs w:val="18"/>
                <w:rtl/>
              </w:rPr>
            </w:pPr>
          </w:p>
        </w:tc>
        <w:tc>
          <w:tcPr>
            <w:tcW w:w="707" w:type="dxa"/>
          </w:tcPr>
          <w:p w14:paraId="42F6FADE" w14:textId="77777777" w:rsidR="00EC46DF" w:rsidRPr="002C0AFF" w:rsidRDefault="00EC46DF" w:rsidP="00FF46FA">
            <w:pPr>
              <w:pStyle w:val="-7"/>
              <w:rPr>
                <w:rFonts w:asciiTheme="minorBidi" w:hAnsiTheme="minorBidi" w:cstheme="minorBidi"/>
                <w:sz w:val="18"/>
                <w:szCs w:val="18"/>
                <w:rtl/>
              </w:rPr>
            </w:pPr>
          </w:p>
        </w:tc>
        <w:tc>
          <w:tcPr>
            <w:tcW w:w="707" w:type="dxa"/>
          </w:tcPr>
          <w:p w14:paraId="1802E89F" w14:textId="77777777" w:rsidR="00EC46DF" w:rsidRPr="002C0AFF" w:rsidRDefault="00EC46DF" w:rsidP="00FF46FA">
            <w:pPr>
              <w:pStyle w:val="-7"/>
              <w:rPr>
                <w:rFonts w:asciiTheme="minorBidi" w:hAnsiTheme="minorBidi" w:cstheme="minorBidi"/>
                <w:sz w:val="18"/>
                <w:szCs w:val="18"/>
                <w:rtl/>
              </w:rPr>
            </w:pPr>
          </w:p>
        </w:tc>
        <w:tc>
          <w:tcPr>
            <w:tcW w:w="569" w:type="dxa"/>
          </w:tcPr>
          <w:p w14:paraId="42A2EAA9" w14:textId="77777777" w:rsidR="00EC46DF" w:rsidRPr="002C0AFF" w:rsidRDefault="00EC46DF" w:rsidP="00FF46FA">
            <w:pPr>
              <w:pStyle w:val="-7"/>
              <w:rPr>
                <w:rFonts w:asciiTheme="minorBidi" w:hAnsiTheme="minorBidi" w:cstheme="minorBidi"/>
                <w:sz w:val="18"/>
                <w:szCs w:val="18"/>
                <w:rtl/>
              </w:rPr>
            </w:pPr>
          </w:p>
        </w:tc>
        <w:tc>
          <w:tcPr>
            <w:tcW w:w="1128" w:type="dxa"/>
          </w:tcPr>
          <w:p w14:paraId="7F11397F" w14:textId="77777777" w:rsidR="00EC46DF" w:rsidRPr="002C0AFF" w:rsidRDefault="00EC46DF" w:rsidP="00FF46FA">
            <w:pPr>
              <w:pStyle w:val="-7"/>
              <w:rPr>
                <w:rFonts w:asciiTheme="minorBidi" w:hAnsiTheme="minorBidi" w:cstheme="minorBidi"/>
                <w:sz w:val="18"/>
                <w:szCs w:val="18"/>
                <w:rtl/>
              </w:rPr>
            </w:pPr>
          </w:p>
        </w:tc>
        <w:tc>
          <w:tcPr>
            <w:tcW w:w="994" w:type="dxa"/>
          </w:tcPr>
          <w:p w14:paraId="52D7B0C0" w14:textId="77777777" w:rsidR="00EC46DF" w:rsidRPr="002C0AFF" w:rsidRDefault="00EC46DF" w:rsidP="00FF46FA">
            <w:pPr>
              <w:pStyle w:val="-7"/>
              <w:rPr>
                <w:rFonts w:asciiTheme="minorBidi" w:hAnsiTheme="minorBidi" w:cstheme="minorBidi"/>
                <w:b/>
                <w:bCs/>
                <w:sz w:val="18"/>
                <w:szCs w:val="18"/>
                <w:rtl/>
              </w:rPr>
            </w:pPr>
          </w:p>
        </w:tc>
      </w:tr>
      <w:tr w:rsidR="00EC46DF" w:rsidRPr="00BA061F" w14:paraId="6844F5D2" w14:textId="77777777" w:rsidTr="00CE19D7">
        <w:trPr>
          <w:trHeight w:val="259"/>
        </w:trPr>
        <w:tc>
          <w:tcPr>
            <w:tcW w:w="625" w:type="dxa"/>
          </w:tcPr>
          <w:p w14:paraId="421BD198" w14:textId="77777777" w:rsidR="00EC46DF" w:rsidRPr="003B24D4" w:rsidRDefault="00EC46DF" w:rsidP="00CE19D7">
            <w:pPr>
              <w:pStyle w:val="-fa"/>
              <w:spacing w:before="120"/>
              <w:ind w:right="-142"/>
              <w:rPr>
                <w:rtl/>
              </w:rPr>
            </w:pPr>
          </w:p>
        </w:tc>
        <w:tc>
          <w:tcPr>
            <w:tcW w:w="4082" w:type="dxa"/>
            <w:vAlign w:val="bottom"/>
          </w:tcPr>
          <w:p w14:paraId="1F27BCDA" w14:textId="587FB2EA" w:rsidR="00EC46DF" w:rsidRPr="00775294" w:rsidRDefault="00EC46DF" w:rsidP="00FF46FA">
            <w:pPr>
              <w:pStyle w:val="-b"/>
              <w:rPr>
                <w:rFonts w:asciiTheme="minorBidi" w:hAnsiTheme="minorBidi" w:cstheme="minorBidi"/>
                <w:b w:val="0"/>
                <w:bCs w:val="0"/>
                <w:sz w:val="18"/>
                <w:szCs w:val="18"/>
                <w:rtl/>
              </w:rPr>
            </w:pPr>
            <w:r w:rsidRPr="00775294">
              <w:rPr>
                <w:rFonts w:asciiTheme="minorBidi" w:hAnsiTheme="minorBidi" w:cstheme="minorBidi"/>
                <w:sz w:val="18"/>
                <w:szCs w:val="18"/>
                <w:rtl/>
              </w:rPr>
              <w:t xml:space="preserve">יתרת הפרשה להפסדי אשראי ליום 31 בדצמבר </w:t>
            </w:r>
            <w:r w:rsidRPr="00775294">
              <w:rPr>
                <w:rFonts w:asciiTheme="minorBidi" w:hAnsiTheme="minorBidi" w:cstheme="minorBidi"/>
                <w:sz w:val="18"/>
                <w:szCs w:val="18"/>
                <w:rtl/>
              </w:rPr>
              <w:fldChar w:fldCharType="begin"/>
            </w:r>
            <w:r w:rsidRPr="00775294">
              <w:rPr>
                <w:rFonts w:asciiTheme="minorBidi" w:hAnsiTheme="minorBidi" w:cstheme="minorBidi"/>
                <w:sz w:val="18"/>
                <w:szCs w:val="18"/>
                <w:rtl/>
              </w:rPr>
              <w:instrText xml:space="preserve"> = </w:instrText>
            </w:r>
            <w:r w:rsidRPr="00775294">
              <w:rPr>
                <w:rFonts w:asciiTheme="minorBidi" w:hAnsiTheme="minorBidi" w:cstheme="minorBidi"/>
                <w:sz w:val="18"/>
                <w:szCs w:val="18"/>
              </w:rPr>
              <w:instrText>CY-</w:instrText>
            </w:r>
            <w:r w:rsidRPr="00775294">
              <w:rPr>
                <w:rFonts w:asciiTheme="minorBidi" w:hAnsiTheme="minorBidi" w:cstheme="minorBidi"/>
                <w:sz w:val="18"/>
                <w:szCs w:val="18"/>
                <w:rtl/>
              </w:rPr>
              <w:instrText>2</w:instrText>
            </w:r>
            <w:r w:rsidRPr="00775294">
              <w:rPr>
                <w:rFonts w:asciiTheme="minorBidi" w:hAnsiTheme="minorBidi" w:cstheme="minorBidi"/>
                <w:sz w:val="18"/>
                <w:szCs w:val="18"/>
              </w:rPr>
              <w:instrText xml:space="preserve"> \* MERGEFORMAT</w:instrText>
            </w:r>
            <w:r w:rsidRPr="00775294">
              <w:rPr>
                <w:rFonts w:asciiTheme="minorBidi" w:hAnsiTheme="minorBidi" w:cstheme="minorBidi"/>
                <w:sz w:val="18"/>
                <w:szCs w:val="18"/>
                <w:rtl/>
              </w:rPr>
              <w:instrText xml:space="preserve"> </w:instrText>
            </w:r>
            <w:r w:rsidRPr="00775294">
              <w:rPr>
                <w:rFonts w:asciiTheme="minorBidi" w:hAnsiTheme="minorBidi" w:cstheme="minorBidi"/>
                <w:sz w:val="18"/>
                <w:szCs w:val="18"/>
                <w:rtl/>
              </w:rPr>
              <w:fldChar w:fldCharType="separate"/>
            </w:r>
            <w:r>
              <w:rPr>
                <w:rFonts w:asciiTheme="minorBidi" w:hAnsiTheme="minorBidi" w:cstheme="minorBidi"/>
                <w:noProof/>
                <w:sz w:val="18"/>
                <w:szCs w:val="18"/>
                <w:rtl/>
              </w:rPr>
              <w:t>2022</w:t>
            </w:r>
            <w:r w:rsidRPr="00775294">
              <w:rPr>
                <w:rFonts w:asciiTheme="minorBidi" w:hAnsiTheme="minorBidi" w:cstheme="minorBidi"/>
                <w:sz w:val="18"/>
                <w:szCs w:val="18"/>
                <w:rtl/>
              </w:rPr>
              <w:fldChar w:fldCharType="end"/>
            </w:r>
          </w:p>
        </w:tc>
        <w:tc>
          <w:tcPr>
            <w:tcW w:w="707" w:type="dxa"/>
            <w:vAlign w:val="bottom"/>
          </w:tcPr>
          <w:p w14:paraId="5284AC05" w14:textId="77777777" w:rsidR="00EC46DF" w:rsidRPr="002C0AFF" w:rsidRDefault="00EC46DF" w:rsidP="00FF46FA">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707" w:type="dxa"/>
            <w:vAlign w:val="bottom"/>
          </w:tcPr>
          <w:p w14:paraId="46C817D4" w14:textId="77777777" w:rsidR="00EC46DF" w:rsidRPr="002C0AFF" w:rsidRDefault="00EC46DF" w:rsidP="00FF46FA">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707" w:type="dxa"/>
            <w:vAlign w:val="bottom"/>
          </w:tcPr>
          <w:p w14:paraId="0546FBF5" w14:textId="77777777" w:rsidR="00EC46DF" w:rsidRPr="002C0AFF" w:rsidRDefault="00EC46DF" w:rsidP="00FF46FA">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569" w:type="dxa"/>
            <w:vAlign w:val="bottom"/>
          </w:tcPr>
          <w:p w14:paraId="0F3C949D" w14:textId="77777777" w:rsidR="00EC46DF" w:rsidRPr="002C0AFF" w:rsidRDefault="00EC46DF" w:rsidP="00FF46FA">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1128" w:type="dxa"/>
            <w:vAlign w:val="bottom"/>
          </w:tcPr>
          <w:p w14:paraId="221DFDC4" w14:textId="77777777" w:rsidR="00EC46DF" w:rsidRPr="002C0AFF" w:rsidRDefault="00EC46DF" w:rsidP="00FF46FA">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994" w:type="dxa"/>
            <w:vAlign w:val="bottom"/>
          </w:tcPr>
          <w:p w14:paraId="739CFA8D" w14:textId="77777777" w:rsidR="00EC46DF" w:rsidRPr="002C0AFF" w:rsidRDefault="00EC46DF" w:rsidP="00FF46FA">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r>
      <w:tr w:rsidR="00EC46DF" w:rsidRPr="00BA061F" w14:paraId="11FA8638" w14:textId="77777777" w:rsidTr="00CE19D7">
        <w:trPr>
          <w:trHeight w:val="259"/>
        </w:trPr>
        <w:tc>
          <w:tcPr>
            <w:tcW w:w="625" w:type="dxa"/>
          </w:tcPr>
          <w:p w14:paraId="38976A35" w14:textId="65A64BE6" w:rsidR="00EC46DF" w:rsidRPr="003B24D4" w:rsidRDefault="00EC46DF" w:rsidP="00FF46FA">
            <w:pPr>
              <w:pStyle w:val="-fa"/>
              <w:ind w:right="-142"/>
              <w:rPr>
                <w:rtl/>
              </w:rPr>
            </w:pPr>
          </w:p>
        </w:tc>
        <w:tc>
          <w:tcPr>
            <w:tcW w:w="4082" w:type="dxa"/>
            <w:vAlign w:val="bottom"/>
          </w:tcPr>
          <w:p w14:paraId="545A951B" w14:textId="77777777" w:rsidR="00EC46DF" w:rsidRPr="00775294" w:rsidRDefault="00EC46DF" w:rsidP="00FF46FA">
            <w:pPr>
              <w:pStyle w:val="-0"/>
              <w:rPr>
                <w:rFonts w:asciiTheme="minorBidi" w:hAnsiTheme="minorBidi" w:cstheme="minorBidi"/>
                <w:sz w:val="18"/>
                <w:szCs w:val="18"/>
                <w:rtl/>
              </w:rPr>
            </w:pPr>
            <w:r w:rsidRPr="00775294">
              <w:rPr>
                <w:rFonts w:asciiTheme="minorBidi" w:hAnsiTheme="minorBidi" w:cstheme="minorBidi"/>
                <w:sz w:val="18"/>
                <w:szCs w:val="18"/>
                <w:rtl/>
              </w:rPr>
              <w:t xml:space="preserve">הוצאות בגין הפסדי אשראי </w:t>
            </w:r>
          </w:p>
        </w:tc>
        <w:tc>
          <w:tcPr>
            <w:tcW w:w="707" w:type="dxa"/>
            <w:vAlign w:val="bottom"/>
          </w:tcPr>
          <w:p w14:paraId="321721B3"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3C74914A"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5EF6A5BD"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9" w:type="dxa"/>
            <w:vAlign w:val="bottom"/>
          </w:tcPr>
          <w:p w14:paraId="3741260B"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128" w:type="dxa"/>
            <w:vAlign w:val="bottom"/>
          </w:tcPr>
          <w:p w14:paraId="595D3A6D"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994" w:type="dxa"/>
            <w:vAlign w:val="bottom"/>
          </w:tcPr>
          <w:p w14:paraId="68975DE8" w14:textId="77777777" w:rsidR="00EC46DF" w:rsidRPr="00EB5088" w:rsidRDefault="00EC46DF" w:rsidP="00FF46FA">
            <w:pPr>
              <w:pStyle w:val="-3"/>
              <w:rPr>
                <w:rFonts w:asciiTheme="minorBidi" w:hAnsiTheme="minorBidi" w:cstheme="minorBidi"/>
                <w:sz w:val="18"/>
                <w:szCs w:val="18"/>
                <w:rtl/>
              </w:rPr>
            </w:pPr>
            <w:r w:rsidRPr="00EB5088">
              <w:rPr>
                <w:rFonts w:asciiTheme="minorBidi" w:hAnsiTheme="minorBidi" w:cstheme="minorBidi"/>
                <w:sz w:val="18"/>
                <w:szCs w:val="18"/>
                <w:rtl/>
              </w:rPr>
              <w:t xml:space="preserve"> 0</w:t>
            </w:r>
          </w:p>
        </w:tc>
      </w:tr>
      <w:tr w:rsidR="00EC46DF" w:rsidRPr="00BA061F" w14:paraId="5BDF4D19" w14:textId="77777777" w:rsidTr="00CE19D7">
        <w:trPr>
          <w:trHeight w:val="259"/>
        </w:trPr>
        <w:tc>
          <w:tcPr>
            <w:tcW w:w="625" w:type="dxa"/>
          </w:tcPr>
          <w:p w14:paraId="52FBCC43" w14:textId="77777777" w:rsidR="00EC46DF" w:rsidRPr="003B24D4" w:rsidRDefault="00EC46DF" w:rsidP="00FF46FA">
            <w:pPr>
              <w:pStyle w:val="-fa"/>
              <w:ind w:right="-142"/>
              <w:rPr>
                <w:rtl/>
              </w:rPr>
            </w:pPr>
          </w:p>
        </w:tc>
        <w:tc>
          <w:tcPr>
            <w:tcW w:w="4082" w:type="dxa"/>
            <w:vAlign w:val="bottom"/>
          </w:tcPr>
          <w:p w14:paraId="1BE47B5B" w14:textId="77777777" w:rsidR="00EC46DF" w:rsidRPr="00775294" w:rsidRDefault="00EC46DF" w:rsidP="00EB5088">
            <w:pPr>
              <w:pStyle w:val="-0"/>
              <w:spacing w:before="120" w:line="192" w:lineRule="auto"/>
              <w:ind w:left="357" w:hanging="142"/>
              <w:rPr>
                <w:rFonts w:asciiTheme="minorBidi" w:hAnsiTheme="minorBidi" w:cstheme="minorBidi"/>
                <w:sz w:val="18"/>
                <w:szCs w:val="18"/>
              </w:rPr>
            </w:pPr>
            <w:r w:rsidRPr="00775294">
              <w:rPr>
                <w:rFonts w:asciiTheme="minorBidi" w:hAnsiTheme="minorBidi" w:cstheme="minorBidi"/>
                <w:sz w:val="18"/>
                <w:szCs w:val="18"/>
                <w:rtl/>
              </w:rPr>
              <w:t xml:space="preserve">מחיקות חשבונאיות </w:t>
            </w:r>
          </w:p>
        </w:tc>
        <w:tc>
          <w:tcPr>
            <w:tcW w:w="707" w:type="dxa"/>
            <w:vAlign w:val="bottom"/>
          </w:tcPr>
          <w:p w14:paraId="275D1A24"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707" w:type="dxa"/>
            <w:vAlign w:val="bottom"/>
          </w:tcPr>
          <w:p w14:paraId="39C0A6E1"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707" w:type="dxa"/>
            <w:vAlign w:val="bottom"/>
          </w:tcPr>
          <w:p w14:paraId="2ECECA60"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569" w:type="dxa"/>
            <w:vAlign w:val="bottom"/>
          </w:tcPr>
          <w:p w14:paraId="4E368709"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1128" w:type="dxa"/>
            <w:vAlign w:val="bottom"/>
          </w:tcPr>
          <w:p w14:paraId="1CE74D06"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994" w:type="dxa"/>
            <w:vAlign w:val="bottom"/>
          </w:tcPr>
          <w:p w14:paraId="7082901B" w14:textId="77777777" w:rsidR="00EC46DF" w:rsidRPr="00EB5088" w:rsidRDefault="00EC46DF" w:rsidP="00FF46FA">
            <w:pPr>
              <w:pStyle w:val="-3"/>
              <w:rPr>
                <w:rFonts w:asciiTheme="minorBidi" w:hAnsiTheme="minorBidi" w:cstheme="minorBidi"/>
                <w:sz w:val="18"/>
                <w:szCs w:val="18"/>
                <w:rtl/>
              </w:rPr>
            </w:pPr>
            <w:r w:rsidRPr="00EB5088">
              <w:rPr>
                <w:rFonts w:asciiTheme="minorBidi" w:hAnsiTheme="minorBidi" w:cstheme="minorBidi"/>
                <w:sz w:val="18"/>
                <w:szCs w:val="18"/>
                <w:rtl/>
              </w:rPr>
              <w:t>(0)</w:t>
            </w:r>
          </w:p>
        </w:tc>
      </w:tr>
      <w:tr w:rsidR="00EC46DF" w:rsidRPr="00BA061F" w14:paraId="641310FD" w14:textId="77777777" w:rsidTr="00CE19D7">
        <w:trPr>
          <w:trHeight w:val="259"/>
        </w:trPr>
        <w:tc>
          <w:tcPr>
            <w:tcW w:w="625" w:type="dxa"/>
          </w:tcPr>
          <w:p w14:paraId="209DAA80" w14:textId="77777777" w:rsidR="00EC46DF" w:rsidRPr="003B24D4" w:rsidRDefault="00EC46DF" w:rsidP="00FF46FA">
            <w:pPr>
              <w:pStyle w:val="-fa"/>
              <w:ind w:right="-142"/>
              <w:rPr>
                <w:rtl/>
              </w:rPr>
            </w:pPr>
          </w:p>
        </w:tc>
        <w:tc>
          <w:tcPr>
            <w:tcW w:w="4082" w:type="dxa"/>
            <w:vAlign w:val="bottom"/>
          </w:tcPr>
          <w:p w14:paraId="0B930750" w14:textId="77777777" w:rsidR="00EC46DF" w:rsidRPr="00775294" w:rsidRDefault="00EC46DF" w:rsidP="00EB5088">
            <w:pPr>
              <w:pStyle w:val="-21"/>
              <w:spacing w:before="0" w:line="192" w:lineRule="auto"/>
              <w:ind w:left="357" w:right="142" w:hanging="142"/>
              <w:rPr>
                <w:rFonts w:asciiTheme="minorBidi" w:hAnsiTheme="minorBidi" w:cstheme="minorBidi"/>
                <w:b/>
                <w:bCs/>
                <w:sz w:val="18"/>
                <w:szCs w:val="18"/>
              </w:rPr>
            </w:pPr>
            <w:r w:rsidRPr="00775294">
              <w:rPr>
                <w:rFonts w:asciiTheme="minorBidi" w:hAnsiTheme="minorBidi" w:cstheme="minorBidi"/>
                <w:sz w:val="18"/>
                <w:szCs w:val="18"/>
                <w:rtl/>
              </w:rPr>
              <w:t>גביית חובות שנמחקו חשבונאית בשנים קודמות</w:t>
            </w:r>
          </w:p>
        </w:tc>
        <w:tc>
          <w:tcPr>
            <w:tcW w:w="707" w:type="dxa"/>
            <w:vAlign w:val="bottom"/>
          </w:tcPr>
          <w:p w14:paraId="228C37B8" w14:textId="77777777" w:rsidR="00EC46DF" w:rsidRPr="002C0AFF" w:rsidRDefault="00EC46DF" w:rsidP="00FF46FA">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78425566" w14:textId="77777777" w:rsidR="00EC46DF" w:rsidRPr="002C0AFF" w:rsidRDefault="00EC46DF" w:rsidP="00FF46FA">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23D315CE" w14:textId="77777777" w:rsidR="00EC46DF" w:rsidRPr="002C0AFF" w:rsidRDefault="00EC46DF" w:rsidP="00FF46FA">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9" w:type="dxa"/>
            <w:vAlign w:val="bottom"/>
          </w:tcPr>
          <w:p w14:paraId="73F83B1A" w14:textId="77777777" w:rsidR="00EC46DF" w:rsidRPr="002C0AFF" w:rsidRDefault="00EC46DF" w:rsidP="00FF46FA">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128" w:type="dxa"/>
            <w:vAlign w:val="bottom"/>
          </w:tcPr>
          <w:p w14:paraId="1500484A" w14:textId="77777777" w:rsidR="00EC46DF" w:rsidRPr="002C0AFF" w:rsidRDefault="00EC46DF" w:rsidP="00FF46FA">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994" w:type="dxa"/>
            <w:vAlign w:val="bottom"/>
          </w:tcPr>
          <w:p w14:paraId="46E1EB77" w14:textId="77777777" w:rsidR="00EC46DF" w:rsidRPr="00EB5088" w:rsidRDefault="00EC46DF" w:rsidP="00FF46FA">
            <w:pPr>
              <w:pStyle w:val="-3"/>
              <w:pBdr>
                <w:bottom w:val="single" w:sz="4" w:space="1" w:color="auto"/>
              </w:pBdr>
              <w:rPr>
                <w:rFonts w:asciiTheme="minorBidi" w:hAnsiTheme="minorBidi" w:cstheme="minorBidi"/>
                <w:sz w:val="18"/>
                <w:szCs w:val="18"/>
                <w:rtl/>
              </w:rPr>
            </w:pPr>
            <w:r w:rsidRPr="00EB5088">
              <w:rPr>
                <w:rFonts w:asciiTheme="minorBidi" w:hAnsiTheme="minorBidi" w:cstheme="minorBidi"/>
                <w:sz w:val="18"/>
                <w:szCs w:val="18"/>
                <w:rtl/>
              </w:rPr>
              <w:t xml:space="preserve"> 0</w:t>
            </w:r>
          </w:p>
        </w:tc>
      </w:tr>
      <w:tr w:rsidR="00EC46DF" w:rsidRPr="00BA061F" w14:paraId="36F28CD4" w14:textId="77777777" w:rsidTr="00CE19D7">
        <w:trPr>
          <w:trHeight w:val="259"/>
        </w:trPr>
        <w:tc>
          <w:tcPr>
            <w:tcW w:w="625" w:type="dxa"/>
          </w:tcPr>
          <w:p w14:paraId="4A7FB52B" w14:textId="77777777" w:rsidR="00EC46DF" w:rsidRDefault="00EC46DF" w:rsidP="00FF46FA">
            <w:pPr>
              <w:pStyle w:val="-fa"/>
              <w:ind w:right="-142"/>
              <w:rPr>
                <w:rtl/>
              </w:rPr>
            </w:pPr>
          </w:p>
        </w:tc>
        <w:tc>
          <w:tcPr>
            <w:tcW w:w="4082" w:type="dxa"/>
            <w:vAlign w:val="bottom"/>
          </w:tcPr>
          <w:p w14:paraId="1F00C9DD" w14:textId="77777777" w:rsidR="00EC46DF" w:rsidRPr="00775294" w:rsidRDefault="00EC46DF" w:rsidP="00FF46FA">
            <w:pPr>
              <w:pStyle w:val="-0"/>
              <w:rPr>
                <w:rFonts w:asciiTheme="minorBidi" w:hAnsiTheme="minorBidi" w:cstheme="minorBidi"/>
                <w:sz w:val="18"/>
                <w:szCs w:val="18"/>
              </w:rPr>
            </w:pPr>
            <w:r w:rsidRPr="00775294">
              <w:rPr>
                <w:rFonts w:asciiTheme="minorBidi" w:hAnsiTheme="minorBidi" w:cstheme="minorBidi"/>
                <w:sz w:val="18"/>
                <w:szCs w:val="18"/>
                <w:rtl/>
              </w:rPr>
              <w:t xml:space="preserve">מחיקות חשבונאיות נטו </w:t>
            </w:r>
          </w:p>
        </w:tc>
        <w:tc>
          <w:tcPr>
            <w:tcW w:w="707" w:type="dxa"/>
            <w:vAlign w:val="bottom"/>
          </w:tcPr>
          <w:p w14:paraId="7C4CD8C8" w14:textId="77777777" w:rsidR="00EC46DF" w:rsidRPr="002C0AFF" w:rsidRDefault="00EC46DF" w:rsidP="00FF46FA">
            <w:pPr>
              <w:pStyle w:val="-120"/>
              <w:pBdr>
                <w:top w:val="none" w:sz="0" w:space="0"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707" w:type="dxa"/>
            <w:vAlign w:val="bottom"/>
          </w:tcPr>
          <w:p w14:paraId="2B256506" w14:textId="77777777" w:rsidR="00EC46DF" w:rsidRPr="002C0AFF" w:rsidRDefault="00EC46DF" w:rsidP="00FF46FA">
            <w:pPr>
              <w:pStyle w:val="-120"/>
              <w:pBdr>
                <w:top w:val="none" w:sz="0" w:space="0"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707" w:type="dxa"/>
            <w:vAlign w:val="bottom"/>
          </w:tcPr>
          <w:p w14:paraId="54A14E1A" w14:textId="77777777" w:rsidR="00EC46DF" w:rsidRPr="002C0AFF" w:rsidRDefault="00EC46DF" w:rsidP="00FF46FA">
            <w:pPr>
              <w:pStyle w:val="-120"/>
              <w:pBdr>
                <w:top w:val="none" w:sz="0" w:space="0"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569" w:type="dxa"/>
            <w:vAlign w:val="bottom"/>
          </w:tcPr>
          <w:p w14:paraId="4B3E1AC1" w14:textId="77777777" w:rsidR="00EC46DF" w:rsidRPr="002C0AFF" w:rsidRDefault="00EC46DF" w:rsidP="00FF46FA">
            <w:pPr>
              <w:pStyle w:val="-120"/>
              <w:pBdr>
                <w:top w:val="none" w:sz="0" w:space="0"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1128" w:type="dxa"/>
            <w:vAlign w:val="bottom"/>
          </w:tcPr>
          <w:p w14:paraId="289539C1" w14:textId="77777777" w:rsidR="00EC46DF" w:rsidRPr="002C0AFF" w:rsidRDefault="00EC46DF" w:rsidP="00FF46FA">
            <w:pPr>
              <w:pStyle w:val="-120"/>
              <w:pBdr>
                <w:top w:val="none" w:sz="0" w:space="0"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994" w:type="dxa"/>
            <w:vAlign w:val="bottom"/>
          </w:tcPr>
          <w:p w14:paraId="7FD55A34" w14:textId="77777777" w:rsidR="00EC46DF" w:rsidRPr="00EB5088" w:rsidRDefault="00EC46DF" w:rsidP="00FF46FA">
            <w:pPr>
              <w:pStyle w:val="-120"/>
              <w:pBdr>
                <w:top w:val="none" w:sz="0" w:space="0" w:color="auto"/>
              </w:pBdr>
              <w:rPr>
                <w:rFonts w:asciiTheme="minorBidi" w:hAnsiTheme="minorBidi" w:cstheme="minorBidi"/>
                <w:szCs w:val="18"/>
                <w:rtl/>
              </w:rPr>
            </w:pPr>
            <w:r w:rsidRPr="00EB5088">
              <w:rPr>
                <w:rFonts w:asciiTheme="minorBidi" w:hAnsiTheme="minorBidi" w:cstheme="minorBidi"/>
                <w:szCs w:val="18"/>
                <w:rtl/>
              </w:rPr>
              <w:t xml:space="preserve"> 0</w:t>
            </w:r>
          </w:p>
        </w:tc>
      </w:tr>
      <w:tr w:rsidR="00EC46DF" w:rsidRPr="00BA061F" w14:paraId="53B208D0" w14:textId="77777777" w:rsidTr="00CE19D7">
        <w:trPr>
          <w:trHeight w:val="259"/>
        </w:trPr>
        <w:tc>
          <w:tcPr>
            <w:tcW w:w="625" w:type="dxa"/>
          </w:tcPr>
          <w:p w14:paraId="1211784F" w14:textId="77777777" w:rsidR="00EC46DF" w:rsidRPr="003B24D4" w:rsidRDefault="00EC46DF" w:rsidP="00FF46FA">
            <w:pPr>
              <w:pStyle w:val="-fa"/>
              <w:ind w:right="-142"/>
              <w:rPr>
                <w:rtl/>
              </w:rPr>
            </w:pPr>
          </w:p>
        </w:tc>
        <w:tc>
          <w:tcPr>
            <w:tcW w:w="4082" w:type="dxa"/>
            <w:vAlign w:val="bottom"/>
          </w:tcPr>
          <w:p w14:paraId="384CA18B" w14:textId="77777777" w:rsidR="00EC46DF" w:rsidRPr="00775294" w:rsidRDefault="00EC46DF" w:rsidP="00FF46FA">
            <w:pPr>
              <w:pStyle w:val="-0"/>
              <w:rPr>
                <w:rFonts w:asciiTheme="minorBidi" w:hAnsiTheme="minorBidi" w:cstheme="minorBidi"/>
                <w:sz w:val="18"/>
                <w:szCs w:val="18"/>
                <w:rtl/>
              </w:rPr>
            </w:pPr>
            <w:r w:rsidRPr="00775294">
              <w:rPr>
                <w:rFonts w:asciiTheme="minorBidi" w:hAnsiTheme="minorBidi" w:cstheme="minorBidi"/>
                <w:sz w:val="18"/>
                <w:szCs w:val="18"/>
                <w:rtl/>
              </w:rPr>
              <w:t>התאמות מתרגום דוחות כספיים</w:t>
            </w:r>
          </w:p>
        </w:tc>
        <w:tc>
          <w:tcPr>
            <w:tcW w:w="707" w:type="dxa"/>
            <w:vAlign w:val="bottom"/>
          </w:tcPr>
          <w:p w14:paraId="6EDE12FB"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588B1DF2"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6C08A301"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9" w:type="dxa"/>
            <w:vAlign w:val="bottom"/>
          </w:tcPr>
          <w:p w14:paraId="22625241"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128" w:type="dxa"/>
            <w:vAlign w:val="bottom"/>
          </w:tcPr>
          <w:p w14:paraId="30FA48E1"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994" w:type="dxa"/>
            <w:vAlign w:val="bottom"/>
          </w:tcPr>
          <w:p w14:paraId="0CCA9B3C" w14:textId="77777777" w:rsidR="00EC46DF" w:rsidRPr="00EB5088" w:rsidRDefault="00EC46DF" w:rsidP="00FF46FA">
            <w:pPr>
              <w:pStyle w:val="-3"/>
              <w:rPr>
                <w:rFonts w:asciiTheme="minorBidi" w:hAnsiTheme="minorBidi" w:cstheme="minorBidi"/>
                <w:sz w:val="18"/>
                <w:szCs w:val="18"/>
                <w:rtl/>
              </w:rPr>
            </w:pPr>
            <w:r w:rsidRPr="00EB5088">
              <w:rPr>
                <w:rFonts w:asciiTheme="minorBidi" w:hAnsiTheme="minorBidi" w:cstheme="minorBidi"/>
                <w:sz w:val="18"/>
                <w:szCs w:val="18"/>
                <w:rtl/>
              </w:rPr>
              <w:t xml:space="preserve"> 0</w:t>
            </w:r>
          </w:p>
        </w:tc>
      </w:tr>
      <w:tr w:rsidR="00EC46DF" w:rsidRPr="00BA061F" w14:paraId="0D4A4F54" w14:textId="77777777" w:rsidTr="00CE19D7">
        <w:trPr>
          <w:trHeight w:val="259"/>
        </w:trPr>
        <w:tc>
          <w:tcPr>
            <w:tcW w:w="625" w:type="dxa"/>
          </w:tcPr>
          <w:p w14:paraId="7009005B" w14:textId="77777777" w:rsidR="00EC46DF" w:rsidRPr="003B24D4" w:rsidRDefault="00EC46DF" w:rsidP="00FF46FA">
            <w:pPr>
              <w:pStyle w:val="-fa"/>
              <w:ind w:right="-142"/>
              <w:rPr>
                <w:rtl/>
              </w:rPr>
            </w:pPr>
          </w:p>
        </w:tc>
        <w:tc>
          <w:tcPr>
            <w:tcW w:w="4082" w:type="dxa"/>
            <w:vAlign w:val="bottom"/>
          </w:tcPr>
          <w:p w14:paraId="028BA429" w14:textId="20266B8F" w:rsidR="00EC46DF" w:rsidRPr="00775294" w:rsidRDefault="00EC46DF" w:rsidP="00FF46FA">
            <w:pPr>
              <w:pStyle w:val="-0"/>
              <w:spacing w:before="40" w:line="240" w:lineRule="auto"/>
              <w:ind w:left="142" w:hanging="142"/>
              <w:rPr>
                <w:rFonts w:asciiTheme="minorBidi" w:hAnsiTheme="minorBidi" w:cstheme="minorBidi"/>
                <w:b/>
                <w:bCs/>
                <w:sz w:val="18"/>
                <w:szCs w:val="18"/>
              </w:rPr>
            </w:pPr>
            <w:r w:rsidRPr="00775294">
              <w:rPr>
                <w:rFonts w:asciiTheme="minorBidi" w:hAnsiTheme="minorBidi" w:cstheme="minorBidi"/>
                <w:sz w:val="18"/>
                <w:szCs w:val="18"/>
                <w:rtl/>
              </w:rPr>
              <w:t xml:space="preserve">אחר </w:t>
            </w:r>
          </w:p>
        </w:tc>
        <w:tc>
          <w:tcPr>
            <w:tcW w:w="707" w:type="dxa"/>
            <w:vAlign w:val="bottom"/>
          </w:tcPr>
          <w:p w14:paraId="422579C8" w14:textId="77777777" w:rsidR="00EC46DF" w:rsidRPr="002C0AFF" w:rsidRDefault="00EC46DF" w:rsidP="00FF46FA">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32BDD30A" w14:textId="77777777" w:rsidR="00EC46DF" w:rsidRPr="002C0AFF" w:rsidRDefault="00EC46DF" w:rsidP="00FF46FA">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3755E7E5" w14:textId="77777777" w:rsidR="00EC46DF" w:rsidRPr="002C0AFF" w:rsidRDefault="00EC46DF" w:rsidP="00FF46FA">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9" w:type="dxa"/>
            <w:vAlign w:val="bottom"/>
          </w:tcPr>
          <w:p w14:paraId="75AE1E0B" w14:textId="77777777" w:rsidR="00EC46DF" w:rsidRPr="002C0AFF" w:rsidRDefault="00EC46DF" w:rsidP="00FF46FA">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128" w:type="dxa"/>
            <w:vAlign w:val="bottom"/>
          </w:tcPr>
          <w:p w14:paraId="33C394BE" w14:textId="77777777" w:rsidR="00EC46DF" w:rsidRPr="002C0AFF" w:rsidRDefault="00EC46DF" w:rsidP="00FF46FA">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994" w:type="dxa"/>
            <w:vAlign w:val="bottom"/>
          </w:tcPr>
          <w:p w14:paraId="712E0387" w14:textId="77777777" w:rsidR="00EC46DF" w:rsidRPr="00EB5088" w:rsidRDefault="00EC46DF" w:rsidP="00FF46FA">
            <w:pPr>
              <w:pStyle w:val="-3"/>
              <w:pBdr>
                <w:bottom w:val="single" w:sz="4" w:space="1" w:color="auto"/>
              </w:pBdr>
              <w:rPr>
                <w:rFonts w:asciiTheme="minorBidi" w:hAnsiTheme="minorBidi" w:cstheme="minorBidi"/>
                <w:sz w:val="18"/>
                <w:szCs w:val="18"/>
                <w:rtl/>
              </w:rPr>
            </w:pPr>
            <w:r w:rsidRPr="00EB5088">
              <w:rPr>
                <w:rFonts w:asciiTheme="minorBidi" w:hAnsiTheme="minorBidi" w:cstheme="minorBidi"/>
                <w:sz w:val="18"/>
                <w:szCs w:val="18"/>
                <w:rtl/>
              </w:rPr>
              <w:t xml:space="preserve"> 0</w:t>
            </w:r>
          </w:p>
        </w:tc>
      </w:tr>
      <w:tr w:rsidR="00EC46DF" w:rsidRPr="00BA061F" w14:paraId="448D1888" w14:textId="77777777" w:rsidTr="00CE19D7">
        <w:trPr>
          <w:trHeight w:val="259"/>
        </w:trPr>
        <w:tc>
          <w:tcPr>
            <w:tcW w:w="625" w:type="dxa"/>
          </w:tcPr>
          <w:p w14:paraId="76D1F199" w14:textId="77777777" w:rsidR="00EC46DF" w:rsidRPr="00543C25" w:rsidRDefault="00EC46DF" w:rsidP="00FF46FA">
            <w:pPr>
              <w:pStyle w:val="-7"/>
              <w:rPr>
                <w:rtl/>
              </w:rPr>
            </w:pPr>
          </w:p>
        </w:tc>
        <w:tc>
          <w:tcPr>
            <w:tcW w:w="4082" w:type="dxa"/>
            <w:vAlign w:val="bottom"/>
          </w:tcPr>
          <w:p w14:paraId="662ED712" w14:textId="2A1D8D93" w:rsidR="00EC46DF" w:rsidRPr="00775294" w:rsidRDefault="00EC46DF" w:rsidP="00FF46FA">
            <w:pPr>
              <w:pStyle w:val="-b"/>
              <w:spacing w:before="80" w:line="240" w:lineRule="auto"/>
              <w:ind w:left="221" w:hanging="221"/>
              <w:rPr>
                <w:rFonts w:asciiTheme="minorBidi" w:hAnsiTheme="minorBidi" w:cstheme="minorBidi"/>
                <w:b w:val="0"/>
                <w:bCs w:val="0"/>
                <w:sz w:val="18"/>
                <w:szCs w:val="18"/>
                <w:rtl/>
              </w:rPr>
            </w:pPr>
            <w:r w:rsidRPr="00775294">
              <w:rPr>
                <w:rFonts w:asciiTheme="minorBidi" w:hAnsiTheme="minorBidi" w:cstheme="minorBidi"/>
                <w:sz w:val="18"/>
                <w:szCs w:val="18"/>
                <w:rtl/>
              </w:rPr>
              <w:t xml:space="preserve">יתרת הפרשה להפסדי אשראי ליום 30 ביוני </w:t>
            </w:r>
            <w:r w:rsidRPr="00775294">
              <w:rPr>
                <w:rFonts w:asciiTheme="minorBidi" w:hAnsiTheme="minorBidi" w:cstheme="minorBidi"/>
                <w:sz w:val="18"/>
                <w:szCs w:val="18"/>
                <w:rtl/>
              </w:rPr>
              <w:fldChar w:fldCharType="begin"/>
            </w:r>
            <w:r w:rsidRPr="00775294">
              <w:rPr>
                <w:rFonts w:asciiTheme="minorBidi" w:hAnsiTheme="minorBidi" w:cstheme="minorBidi"/>
                <w:sz w:val="18"/>
                <w:szCs w:val="18"/>
                <w:rtl/>
              </w:rPr>
              <w:instrText xml:space="preserve"> = </w:instrText>
            </w:r>
            <w:r w:rsidRPr="00775294">
              <w:rPr>
                <w:rFonts w:asciiTheme="minorBidi" w:hAnsiTheme="minorBidi" w:cstheme="minorBidi"/>
                <w:sz w:val="18"/>
                <w:szCs w:val="18"/>
              </w:rPr>
              <w:instrText>CY-1 \* MERGEFORMAT</w:instrText>
            </w:r>
            <w:r w:rsidRPr="00775294">
              <w:rPr>
                <w:rFonts w:asciiTheme="minorBidi" w:hAnsiTheme="minorBidi" w:cstheme="minorBidi"/>
                <w:sz w:val="18"/>
                <w:szCs w:val="18"/>
                <w:rtl/>
              </w:rPr>
              <w:instrText xml:space="preserve"> </w:instrText>
            </w:r>
            <w:r w:rsidRPr="00775294">
              <w:rPr>
                <w:rFonts w:asciiTheme="minorBidi" w:hAnsiTheme="minorBidi" w:cstheme="minorBidi"/>
                <w:sz w:val="18"/>
                <w:szCs w:val="18"/>
                <w:rtl/>
              </w:rPr>
              <w:fldChar w:fldCharType="separate"/>
            </w:r>
            <w:r>
              <w:rPr>
                <w:rFonts w:asciiTheme="minorBidi" w:hAnsiTheme="minorBidi" w:cstheme="minorBidi"/>
                <w:noProof/>
                <w:sz w:val="18"/>
                <w:szCs w:val="18"/>
                <w:rtl/>
              </w:rPr>
              <w:t>2023</w:t>
            </w:r>
            <w:r w:rsidRPr="00775294">
              <w:rPr>
                <w:rFonts w:asciiTheme="minorBidi" w:hAnsiTheme="minorBidi" w:cstheme="minorBidi"/>
                <w:sz w:val="18"/>
                <w:szCs w:val="18"/>
                <w:rtl/>
              </w:rPr>
              <w:fldChar w:fldCharType="end"/>
            </w:r>
          </w:p>
        </w:tc>
        <w:tc>
          <w:tcPr>
            <w:tcW w:w="707" w:type="dxa"/>
            <w:vAlign w:val="bottom"/>
          </w:tcPr>
          <w:p w14:paraId="2DFDBD8F" w14:textId="77777777" w:rsidR="00EC46DF" w:rsidRPr="002C0AFF" w:rsidRDefault="00EC46DF" w:rsidP="00FF46FA">
            <w:pPr>
              <w:pStyle w:val="-f1"/>
              <w:pBdr>
                <w:top w:val="none" w:sz="0" w:space="0" w:color="auto"/>
                <w:bottom w:val="doub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7A5DDFA0" w14:textId="77777777" w:rsidR="00EC46DF" w:rsidRPr="002C0AFF" w:rsidRDefault="00EC46DF" w:rsidP="00FF46FA">
            <w:pPr>
              <w:pStyle w:val="-f1"/>
              <w:pBdr>
                <w:top w:val="none" w:sz="0" w:space="0" w:color="auto"/>
                <w:bottom w:val="doub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7E5904AB" w14:textId="77777777" w:rsidR="00EC46DF" w:rsidRPr="002C0AFF" w:rsidRDefault="00EC46DF" w:rsidP="00FF46FA">
            <w:pPr>
              <w:pStyle w:val="-f1"/>
              <w:pBdr>
                <w:top w:val="none" w:sz="0" w:space="0" w:color="auto"/>
                <w:bottom w:val="doub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9" w:type="dxa"/>
            <w:vAlign w:val="bottom"/>
          </w:tcPr>
          <w:p w14:paraId="38150497" w14:textId="77777777" w:rsidR="00EC46DF" w:rsidRPr="002C0AFF" w:rsidRDefault="00EC46DF" w:rsidP="00FF46FA">
            <w:pPr>
              <w:pStyle w:val="-f1"/>
              <w:pBdr>
                <w:top w:val="none" w:sz="0" w:space="0" w:color="auto"/>
                <w:bottom w:val="doub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128" w:type="dxa"/>
            <w:vAlign w:val="bottom"/>
          </w:tcPr>
          <w:p w14:paraId="195DE10F" w14:textId="77777777" w:rsidR="00EC46DF" w:rsidRPr="002C0AFF" w:rsidRDefault="00EC46DF" w:rsidP="00FF46FA">
            <w:pPr>
              <w:pStyle w:val="-f1"/>
              <w:pBdr>
                <w:top w:val="none" w:sz="0" w:space="0" w:color="auto"/>
                <w:bottom w:val="double" w:sz="4" w:space="1" w:color="auto"/>
              </w:pBdr>
              <w:ind w:left="0" w:firstLine="0"/>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994" w:type="dxa"/>
            <w:vAlign w:val="bottom"/>
          </w:tcPr>
          <w:p w14:paraId="418FCBE0" w14:textId="77777777" w:rsidR="00EC46DF" w:rsidRPr="002C0AFF" w:rsidRDefault="00EC46DF" w:rsidP="00FF46FA">
            <w:pPr>
              <w:pStyle w:val="-f1"/>
              <w:pBdr>
                <w:top w:val="none" w:sz="0" w:space="0" w:color="auto"/>
                <w:bottom w:val="double" w:sz="4" w:space="1" w:color="auto"/>
              </w:pBdr>
              <w:ind w:left="0" w:firstLine="0"/>
              <w:rPr>
                <w:rFonts w:asciiTheme="minorBidi" w:hAnsiTheme="minorBidi" w:cstheme="minorBidi"/>
                <w:sz w:val="18"/>
                <w:szCs w:val="18"/>
                <w:rtl/>
              </w:rPr>
            </w:pPr>
            <w:r w:rsidRPr="002C0AFF">
              <w:rPr>
                <w:rFonts w:asciiTheme="minorBidi" w:hAnsiTheme="minorBidi" w:cstheme="minorBidi"/>
                <w:sz w:val="18"/>
                <w:szCs w:val="18"/>
                <w:rtl/>
              </w:rPr>
              <w:t xml:space="preserve"> 0</w:t>
            </w:r>
          </w:p>
        </w:tc>
      </w:tr>
      <w:tr w:rsidR="00EC46DF" w:rsidRPr="00BA061F" w14:paraId="02FD6FDF" w14:textId="77777777" w:rsidTr="00CE19D7">
        <w:trPr>
          <w:trHeight w:hRule="exact" w:val="57"/>
        </w:trPr>
        <w:tc>
          <w:tcPr>
            <w:tcW w:w="625" w:type="dxa"/>
          </w:tcPr>
          <w:p w14:paraId="73F2F02C" w14:textId="77777777" w:rsidR="00EC46DF" w:rsidRPr="003B24D4" w:rsidRDefault="00EC46DF" w:rsidP="00FF46FA">
            <w:pPr>
              <w:pStyle w:val="-fa"/>
              <w:bidi w:val="0"/>
              <w:spacing w:line="60" w:lineRule="exact"/>
              <w:ind w:right="-142"/>
              <w:jc w:val="both"/>
              <w:rPr>
                <w:rtl/>
              </w:rPr>
            </w:pPr>
          </w:p>
        </w:tc>
        <w:tc>
          <w:tcPr>
            <w:tcW w:w="4082" w:type="dxa"/>
            <w:vAlign w:val="bottom"/>
          </w:tcPr>
          <w:p w14:paraId="4AE516E5" w14:textId="77777777" w:rsidR="00EC46DF" w:rsidRPr="00775294" w:rsidRDefault="00EC46DF" w:rsidP="00FF46FA">
            <w:pPr>
              <w:pStyle w:val="-b"/>
              <w:bidi w:val="0"/>
              <w:spacing w:line="60" w:lineRule="exact"/>
              <w:jc w:val="both"/>
              <w:rPr>
                <w:rFonts w:asciiTheme="minorBidi" w:hAnsiTheme="minorBidi" w:cstheme="minorBidi"/>
                <w:sz w:val="18"/>
                <w:szCs w:val="18"/>
                <w:rtl/>
              </w:rPr>
            </w:pPr>
          </w:p>
        </w:tc>
        <w:tc>
          <w:tcPr>
            <w:tcW w:w="707" w:type="dxa"/>
            <w:vAlign w:val="bottom"/>
          </w:tcPr>
          <w:p w14:paraId="51AC3B63" w14:textId="77777777" w:rsidR="00EC46DF" w:rsidRPr="002C0AFF" w:rsidRDefault="00EC46DF" w:rsidP="00FF46FA">
            <w:pPr>
              <w:pStyle w:val="-3"/>
              <w:bidi w:val="0"/>
              <w:spacing w:line="60" w:lineRule="exact"/>
              <w:rPr>
                <w:rFonts w:asciiTheme="minorBidi" w:hAnsiTheme="minorBidi" w:cstheme="minorBidi"/>
                <w:b/>
                <w:bCs/>
                <w:sz w:val="18"/>
                <w:szCs w:val="18"/>
                <w:rtl/>
              </w:rPr>
            </w:pPr>
          </w:p>
        </w:tc>
        <w:tc>
          <w:tcPr>
            <w:tcW w:w="707" w:type="dxa"/>
            <w:vAlign w:val="bottom"/>
          </w:tcPr>
          <w:p w14:paraId="576F29E4" w14:textId="77777777" w:rsidR="00EC46DF" w:rsidRPr="002C0AFF" w:rsidRDefault="00EC46DF" w:rsidP="00FF46FA">
            <w:pPr>
              <w:pStyle w:val="-3"/>
              <w:bidi w:val="0"/>
              <w:spacing w:line="60" w:lineRule="exact"/>
              <w:rPr>
                <w:rFonts w:asciiTheme="minorBidi" w:hAnsiTheme="minorBidi" w:cstheme="minorBidi"/>
                <w:b/>
                <w:bCs/>
                <w:sz w:val="18"/>
                <w:szCs w:val="18"/>
                <w:rtl/>
              </w:rPr>
            </w:pPr>
          </w:p>
        </w:tc>
        <w:tc>
          <w:tcPr>
            <w:tcW w:w="707" w:type="dxa"/>
            <w:vAlign w:val="bottom"/>
          </w:tcPr>
          <w:p w14:paraId="5EA7035E" w14:textId="77777777" w:rsidR="00EC46DF" w:rsidRPr="002C0AFF" w:rsidRDefault="00EC46DF" w:rsidP="00FF46FA">
            <w:pPr>
              <w:pStyle w:val="-3"/>
              <w:bidi w:val="0"/>
              <w:spacing w:line="60" w:lineRule="exact"/>
              <w:rPr>
                <w:rFonts w:asciiTheme="minorBidi" w:hAnsiTheme="minorBidi" w:cstheme="minorBidi"/>
                <w:b/>
                <w:bCs/>
                <w:sz w:val="18"/>
                <w:szCs w:val="18"/>
                <w:rtl/>
              </w:rPr>
            </w:pPr>
          </w:p>
        </w:tc>
        <w:tc>
          <w:tcPr>
            <w:tcW w:w="569" w:type="dxa"/>
            <w:vAlign w:val="bottom"/>
          </w:tcPr>
          <w:p w14:paraId="48390A6F" w14:textId="77777777" w:rsidR="00EC46DF" w:rsidRPr="002C0AFF" w:rsidRDefault="00EC46DF" w:rsidP="00FF46FA">
            <w:pPr>
              <w:pStyle w:val="-3"/>
              <w:bidi w:val="0"/>
              <w:spacing w:line="60" w:lineRule="exact"/>
              <w:rPr>
                <w:rFonts w:asciiTheme="minorBidi" w:hAnsiTheme="minorBidi" w:cstheme="minorBidi"/>
                <w:b/>
                <w:bCs/>
                <w:sz w:val="18"/>
                <w:szCs w:val="18"/>
                <w:rtl/>
              </w:rPr>
            </w:pPr>
          </w:p>
        </w:tc>
        <w:tc>
          <w:tcPr>
            <w:tcW w:w="1128" w:type="dxa"/>
            <w:vAlign w:val="bottom"/>
          </w:tcPr>
          <w:p w14:paraId="4F5223A2" w14:textId="77777777" w:rsidR="00EC46DF" w:rsidRPr="002C0AFF" w:rsidRDefault="00EC46DF" w:rsidP="00FF46FA">
            <w:pPr>
              <w:pStyle w:val="-3"/>
              <w:bidi w:val="0"/>
              <w:spacing w:line="60" w:lineRule="exact"/>
              <w:rPr>
                <w:rFonts w:asciiTheme="minorBidi" w:hAnsiTheme="minorBidi" w:cstheme="minorBidi"/>
                <w:b/>
                <w:bCs/>
                <w:sz w:val="18"/>
                <w:szCs w:val="18"/>
                <w:rtl/>
              </w:rPr>
            </w:pPr>
          </w:p>
        </w:tc>
        <w:tc>
          <w:tcPr>
            <w:tcW w:w="994" w:type="dxa"/>
            <w:vAlign w:val="bottom"/>
          </w:tcPr>
          <w:p w14:paraId="1D2DD97E" w14:textId="77777777" w:rsidR="00EC46DF" w:rsidRPr="002C0AFF" w:rsidRDefault="00EC46DF" w:rsidP="00FF46FA">
            <w:pPr>
              <w:pStyle w:val="-3"/>
              <w:bidi w:val="0"/>
              <w:spacing w:line="60" w:lineRule="exact"/>
              <w:rPr>
                <w:rFonts w:asciiTheme="minorBidi" w:hAnsiTheme="minorBidi" w:cstheme="minorBidi"/>
                <w:b/>
                <w:bCs/>
                <w:sz w:val="18"/>
                <w:szCs w:val="18"/>
                <w:rtl/>
              </w:rPr>
            </w:pPr>
          </w:p>
        </w:tc>
      </w:tr>
      <w:tr w:rsidR="00EC46DF" w:rsidRPr="00EA7CDD" w14:paraId="784611F0" w14:textId="77777777" w:rsidTr="00CE19D7">
        <w:trPr>
          <w:trHeight w:val="81"/>
        </w:trPr>
        <w:tc>
          <w:tcPr>
            <w:tcW w:w="625" w:type="dxa"/>
          </w:tcPr>
          <w:p w14:paraId="4FB98139" w14:textId="77777777" w:rsidR="00EC46DF" w:rsidRPr="00EA7CDD" w:rsidRDefault="00EC46DF" w:rsidP="00FF46FA">
            <w:pPr>
              <w:pStyle w:val="-fa"/>
              <w:ind w:right="-142"/>
              <w:rPr>
                <w:sz w:val="18"/>
                <w:szCs w:val="18"/>
                <w:rtl/>
              </w:rPr>
            </w:pPr>
          </w:p>
        </w:tc>
        <w:tc>
          <w:tcPr>
            <w:tcW w:w="4082" w:type="dxa"/>
            <w:vAlign w:val="bottom"/>
          </w:tcPr>
          <w:p w14:paraId="6A3DE50F" w14:textId="56E79377" w:rsidR="00EC46DF" w:rsidRPr="00775294" w:rsidRDefault="00EC46DF" w:rsidP="00D6649E">
            <w:pPr>
              <w:pStyle w:val="-b"/>
              <w:bidi w:val="0"/>
              <w:spacing w:line="240" w:lineRule="auto"/>
              <w:ind w:right="180"/>
              <w:jc w:val="right"/>
              <w:rPr>
                <w:rFonts w:asciiTheme="minorBidi" w:hAnsiTheme="minorBidi" w:cstheme="minorBidi"/>
                <w:b w:val="0"/>
                <w:bCs w:val="0"/>
                <w:sz w:val="18"/>
                <w:szCs w:val="18"/>
              </w:rPr>
            </w:pPr>
            <w:r w:rsidRPr="00775294">
              <w:rPr>
                <w:rFonts w:asciiTheme="minorBidi" w:hAnsiTheme="minorBidi" w:cstheme="minorBidi"/>
                <w:b w:val="0"/>
                <w:bCs w:val="0"/>
                <w:sz w:val="18"/>
                <w:szCs w:val="18"/>
                <w:rtl/>
              </w:rPr>
              <w:t>מזה: בגין מכשירי אשראי חוץ מאזניים</w:t>
            </w:r>
          </w:p>
        </w:tc>
        <w:tc>
          <w:tcPr>
            <w:tcW w:w="707" w:type="dxa"/>
            <w:vAlign w:val="bottom"/>
          </w:tcPr>
          <w:p w14:paraId="63895DEB"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27E4E8AC"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707" w:type="dxa"/>
            <w:vAlign w:val="bottom"/>
          </w:tcPr>
          <w:p w14:paraId="13BEE255"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9" w:type="dxa"/>
            <w:vAlign w:val="bottom"/>
          </w:tcPr>
          <w:p w14:paraId="1CFD942C"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128" w:type="dxa"/>
            <w:vAlign w:val="bottom"/>
          </w:tcPr>
          <w:p w14:paraId="472A25CA" w14:textId="77777777" w:rsidR="00EC46DF" w:rsidRPr="002C0AFF" w:rsidRDefault="00EC46DF" w:rsidP="00FF46FA">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994" w:type="dxa"/>
            <w:vAlign w:val="bottom"/>
          </w:tcPr>
          <w:p w14:paraId="36F88D00" w14:textId="77777777" w:rsidR="00EC46DF" w:rsidRPr="00EB5088" w:rsidRDefault="00EC46DF" w:rsidP="00FF46FA">
            <w:pPr>
              <w:pStyle w:val="-3"/>
              <w:rPr>
                <w:rFonts w:asciiTheme="minorBidi" w:hAnsiTheme="minorBidi" w:cstheme="minorBidi"/>
                <w:sz w:val="18"/>
                <w:szCs w:val="18"/>
                <w:rtl/>
              </w:rPr>
            </w:pPr>
            <w:r w:rsidRPr="00EB5088">
              <w:rPr>
                <w:rFonts w:asciiTheme="minorBidi" w:hAnsiTheme="minorBidi" w:cstheme="minorBidi"/>
                <w:sz w:val="18"/>
                <w:szCs w:val="18"/>
                <w:rtl/>
              </w:rPr>
              <w:t xml:space="preserve"> 0</w:t>
            </w:r>
          </w:p>
        </w:tc>
      </w:tr>
    </w:tbl>
    <w:p w14:paraId="34BE74FB" w14:textId="77777777" w:rsidR="00C94190" w:rsidRDefault="00C94190"/>
    <w:p w14:paraId="332B1555" w14:textId="77777777" w:rsidR="002F64E0" w:rsidRDefault="002F64E0" w:rsidP="00552DF5">
      <w:pPr>
        <w:rPr>
          <w:b/>
          <w:bCs/>
          <w:rtl/>
        </w:rPr>
      </w:pPr>
    </w:p>
    <w:p w14:paraId="16DE1C26" w14:textId="77777777" w:rsidR="002F64E0" w:rsidRDefault="002F64E0">
      <w:pPr>
        <w:bidi w:val="0"/>
        <w:jc w:val="left"/>
        <w:rPr>
          <w:b/>
          <w:bCs/>
          <w:rtl/>
        </w:rPr>
      </w:pPr>
      <w:r>
        <w:rPr>
          <w:b/>
          <w:bCs/>
          <w:rtl/>
        </w:rPr>
        <w:br w:type="page"/>
      </w:r>
    </w:p>
    <w:p w14:paraId="0E0C9E0F" w14:textId="77777777" w:rsidR="006D22E3" w:rsidRPr="00A13956" w:rsidRDefault="006D22E3" w:rsidP="006D22E3">
      <w:pPr>
        <w:pStyle w:val="-2"/>
        <w:ind w:left="1599"/>
        <w:rPr>
          <w:rtl/>
        </w:rPr>
        <w:sectPr w:rsidR="006D22E3" w:rsidRPr="00A13956" w:rsidSect="00587121">
          <w:headerReference w:type="even" r:id="rId50"/>
          <w:headerReference w:type="default" r:id="rId51"/>
          <w:footnotePr>
            <w:numRestart w:val="eachPage"/>
          </w:footnotePr>
          <w:pgSz w:w="11909" w:h="16834" w:code="9"/>
          <w:pgMar w:top="851" w:right="851" w:bottom="851" w:left="851" w:header="720" w:footer="720" w:gutter="0"/>
          <w:cols w:space="720"/>
          <w:bidi/>
          <w:rtlGutter/>
          <w:docGrid w:linePitch="360"/>
        </w:sectPr>
      </w:pPr>
    </w:p>
    <w:tbl>
      <w:tblPr>
        <w:bidiVisual/>
        <w:tblW w:w="764" w:type="pct"/>
        <w:tblInd w:w="-94" w:type="dxa"/>
        <w:tblLook w:val="04A0" w:firstRow="1" w:lastRow="0" w:firstColumn="1" w:lastColumn="0" w:noHBand="0" w:noVBand="1"/>
      </w:tblPr>
      <w:tblGrid>
        <w:gridCol w:w="1560"/>
      </w:tblGrid>
      <w:tr w:rsidR="00DB4C86" w:rsidRPr="009A3E58" w14:paraId="61AB12AF" w14:textId="77777777" w:rsidTr="00922CED">
        <w:trPr>
          <w:trHeight w:val="259"/>
        </w:trPr>
        <w:tc>
          <w:tcPr>
            <w:tcW w:w="1560" w:type="dxa"/>
          </w:tcPr>
          <w:p w14:paraId="15185615" w14:textId="77777777" w:rsidR="00DB4C86" w:rsidRPr="00030C7C" w:rsidRDefault="00DB4C86" w:rsidP="006F3019">
            <w:pPr>
              <w:pStyle w:val="-fa"/>
              <w:rPr>
                <w:spacing w:val="-4"/>
                <w:rtl/>
              </w:rPr>
            </w:pPr>
            <w:r w:rsidRPr="00030C7C">
              <w:rPr>
                <w:rFonts w:hint="eastAsia"/>
                <w:spacing w:val="-4"/>
                <w:rtl/>
              </w:rPr>
              <w:lastRenderedPageBreak/>
              <w:t>ה</w:t>
            </w:r>
            <w:r w:rsidRPr="00030C7C">
              <w:rPr>
                <w:spacing w:val="-4"/>
                <w:rtl/>
              </w:rPr>
              <w:t xml:space="preserve">. </w:t>
            </w:r>
            <w:r w:rsidRPr="00030C7C">
              <w:rPr>
                <w:rFonts w:hint="eastAsia"/>
                <w:spacing w:val="-4"/>
                <w:rtl/>
              </w:rPr>
              <w:t>המפקח</w:t>
            </w:r>
            <w:r w:rsidRPr="00030C7C">
              <w:rPr>
                <w:spacing w:val="-4"/>
                <w:rtl/>
              </w:rPr>
              <w:t xml:space="preserve"> </w:t>
            </w:r>
            <w:r w:rsidRPr="00030C7C">
              <w:rPr>
                <w:rFonts w:hint="eastAsia"/>
                <w:spacing w:val="-4"/>
                <w:rtl/>
              </w:rPr>
              <w:t>ס</w:t>
            </w:r>
            <w:r w:rsidRPr="00030C7C">
              <w:rPr>
                <w:spacing w:val="-4"/>
                <w:rtl/>
              </w:rPr>
              <w:t>' 36</w:t>
            </w:r>
          </w:p>
        </w:tc>
      </w:tr>
    </w:tbl>
    <w:p w14:paraId="7AF8A01B" w14:textId="77777777" w:rsidR="00DB4C86" w:rsidRDefault="00DB4C86" w:rsidP="00EC46DF">
      <w:pPr>
        <w:pStyle w:val="5"/>
        <w:ind w:firstLine="1135"/>
      </w:pPr>
      <w:bookmarkStart w:id="30" w:name="_Toc160529225"/>
      <w:r w:rsidRPr="00472C61">
        <w:rPr>
          <w:rFonts w:hint="eastAsia"/>
          <w:rtl/>
        </w:rPr>
        <w:t>ביאור</w:t>
      </w:r>
      <w:r w:rsidRPr="00472C61">
        <w:rPr>
          <w:rtl/>
        </w:rPr>
        <w:t xml:space="preserve"> </w:t>
      </w:r>
      <w:r>
        <w:rPr>
          <w:rFonts w:hint="cs"/>
          <w:rtl/>
        </w:rPr>
        <w:t>7</w:t>
      </w:r>
      <w:r w:rsidRPr="00472C61">
        <w:rPr>
          <w:rtl/>
        </w:rPr>
        <w:t xml:space="preserve">  -  </w:t>
      </w:r>
      <w:r w:rsidRPr="00472C61">
        <w:rPr>
          <w:rFonts w:hint="eastAsia"/>
          <w:rtl/>
        </w:rPr>
        <w:t>פיקדונות</w:t>
      </w:r>
      <w:r>
        <w:rPr>
          <w:rtl/>
        </w:rPr>
        <w:t xml:space="preserve"> הציבור</w:t>
      </w:r>
      <w:bookmarkEnd w:id="30"/>
    </w:p>
    <w:tbl>
      <w:tblPr>
        <w:bidiVisual/>
        <w:tblW w:w="5000" w:type="pct"/>
        <w:jc w:val="right"/>
        <w:tblLook w:val="0000" w:firstRow="0" w:lastRow="0" w:firstColumn="0" w:lastColumn="0" w:noHBand="0" w:noVBand="0"/>
      </w:tblPr>
      <w:tblGrid>
        <w:gridCol w:w="1133"/>
        <w:gridCol w:w="9074"/>
      </w:tblGrid>
      <w:tr w:rsidR="002C4102" w:rsidRPr="009A3E58" w14:paraId="2A0D9574" w14:textId="77777777" w:rsidTr="00EC46DF">
        <w:trPr>
          <w:trHeight w:val="245"/>
          <w:jc w:val="right"/>
        </w:trPr>
        <w:tc>
          <w:tcPr>
            <w:tcW w:w="1133" w:type="dxa"/>
          </w:tcPr>
          <w:p w14:paraId="3986AD4A" w14:textId="77777777" w:rsidR="002C4102" w:rsidRDefault="002C4102">
            <w:pPr>
              <w:pStyle w:val="-fa"/>
              <w:spacing w:before="100"/>
              <w:ind w:right="-142"/>
              <w:rPr>
                <w:spacing w:val="-4"/>
                <w:rtl/>
              </w:rPr>
            </w:pPr>
            <w:r w:rsidRPr="00030C7C">
              <w:rPr>
                <w:rFonts w:hint="eastAsia"/>
                <w:spacing w:val="-4"/>
                <w:rtl/>
              </w:rPr>
              <w:t>מתכונת</w:t>
            </w:r>
            <w:r w:rsidRPr="00030C7C">
              <w:rPr>
                <w:spacing w:val="-4"/>
                <w:rtl/>
              </w:rPr>
              <w:t xml:space="preserve"> ביאור</w:t>
            </w:r>
          </w:p>
          <w:p w14:paraId="2F233886" w14:textId="326A77E7" w:rsidR="002C4102" w:rsidRPr="00030C7C" w:rsidRDefault="002C4102" w:rsidP="002C4102">
            <w:pPr>
              <w:pStyle w:val="-fa"/>
              <w:spacing w:before="0"/>
              <w:ind w:right="-142"/>
              <w:rPr>
                <w:spacing w:val="-4"/>
                <w:rtl/>
              </w:rPr>
            </w:pPr>
            <w:r w:rsidRPr="00030C7C">
              <w:rPr>
                <w:spacing w:val="-4"/>
                <w:rtl/>
              </w:rPr>
              <w:t xml:space="preserve"> </w:t>
            </w:r>
            <w:r w:rsidRPr="00030C7C">
              <w:rPr>
                <w:rFonts w:hint="eastAsia"/>
                <w:spacing w:val="-4"/>
                <w:rtl/>
              </w:rPr>
              <w:t>עמ</w:t>
            </w:r>
            <w:r w:rsidRPr="00030C7C">
              <w:rPr>
                <w:spacing w:val="-4"/>
                <w:rtl/>
              </w:rPr>
              <w:t>' 663-29</w:t>
            </w:r>
          </w:p>
        </w:tc>
        <w:tc>
          <w:tcPr>
            <w:tcW w:w="9074" w:type="dxa"/>
          </w:tcPr>
          <w:p w14:paraId="252225B7" w14:textId="0E901E78" w:rsidR="002C4102" w:rsidRDefault="002C4102" w:rsidP="00EB5088">
            <w:pPr>
              <w:pStyle w:val="-f4"/>
              <w:spacing w:after="120" w:line="240" w:lineRule="auto"/>
              <w:rPr>
                <w:rtl/>
              </w:rPr>
            </w:pPr>
            <w:r>
              <w:rPr>
                <w:rFonts w:hint="cs"/>
                <w:rtl/>
              </w:rPr>
              <w:t xml:space="preserve">א. </w:t>
            </w:r>
            <w:r w:rsidRPr="00472C61">
              <w:rPr>
                <w:rFonts w:hint="eastAsia"/>
                <w:rtl/>
              </w:rPr>
              <w:t>סוגי</w:t>
            </w:r>
            <w:r w:rsidRPr="00472C61">
              <w:rPr>
                <w:rtl/>
              </w:rPr>
              <w:t xml:space="preserve"> </w:t>
            </w:r>
            <w:r w:rsidRPr="00472C61">
              <w:rPr>
                <w:rFonts w:hint="eastAsia"/>
                <w:rtl/>
              </w:rPr>
              <w:t>פיקדונות</w:t>
            </w:r>
            <w:r w:rsidRPr="00472C61">
              <w:rPr>
                <w:rtl/>
              </w:rPr>
              <w:t xml:space="preserve"> לפי מקום הגיוס ולפי סוג המפקיד:</w:t>
            </w:r>
          </w:p>
        </w:tc>
      </w:tr>
    </w:tbl>
    <w:p w14:paraId="662B50EA" w14:textId="77777777" w:rsidR="006D22E3" w:rsidRPr="009A3E58" w:rsidRDefault="006D22E3" w:rsidP="006D22E3">
      <w:pPr>
        <w:pStyle w:val="-2"/>
        <w:bidi w:val="0"/>
        <w:spacing w:line="60" w:lineRule="exact"/>
        <w:ind w:left="1584"/>
        <w:rPr>
          <w:sz w:val="16"/>
          <w:szCs w:val="16"/>
          <w:rtl/>
        </w:rPr>
      </w:pPr>
    </w:p>
    <w:tbl>
      <w:tblPr>
        <w:bidiVisual/>
        <w:tblW w:w="4330" w:type="pct"/>
        <w:tblLayout w:type="fixed"/>
        <w:tblLook w:val="04A0" w:firstRow="1" w:lastRow="0" w:firstColumn="1" w:lastColumn="0" w:noHBand="0" w:noVBand="1"/>
      </w:tblPr>
      <w:tblGrid>
        <w:gridCol w:w="1077"/>
        <w:gridCol w:w="4344"/>
        <w:gridCol w:w="1112"/>
        <w:gridCol w:w="883"/>
        <w:gridCol w:w="1423"/>
      </w:tblGrid>
      <w:tr w:rsidR="00EC46DF" w:rsidRPr="009A3E58" w14:paraId="46EAD42C" w14:textId="77777777" w:rsidTr="00AB0DD8">
        <w:trPr>
          <w:trHeight w:val="259"/>
        </w:trPr>
        <w:tc>
          <w:tcPr>
            <w:tcW w:w="1077" w:type="dxa"/>
          </w:tcPr>
          <w:p w14:paraId="3A3B9DEE" w14:textId="77777777" w:rsidR="00EC46DF" w:rsidRPr="009A3E58" w:rsidRDefault="00EC46DF" w:rsidP="006F3019">
            <w:pPr>
              <w:pStyle w:val="-7"/>
              <w:bidi w:val="0"/>
              <w:ind w:right="-231"/>
              <w:jc w:val="left"/>
              <w:rPr>
                <w:spacing w:val="-6"/>
                <w:sz w:val="14"/>
                <w:szCs w:val="14"/>
                <w:rtl/>
              </w:rPr>
            </w:pPr>
          </w:p>
        </w:tc>
        <w:tc>
          <w:tcPr>
            <w:tcW w:w="4344" w:type="dxa"/>
            <w:tcBorders>
              <w:left w:val="nil"/>
            </w:tcBorders>
            <w:vAlign w:val="bottom"/>
          </w:tcPr>
          <w:p w14:paraId="1C269253" w14:textId="77777777" w:rsidR="00EC46DF" w:rsidRPr="009A3E58" w:rsidRDefault="00EC46DF" w:rsidP="006F3019">
            <w:pPr>
              <w:pStyle w:val="-0"/>
              <w:rPr>
                <w:rtl/>
              </w:rPr>
            </w:pPr>
          </w:p>
        </w:tc>
        <w:tc>
          <w:tcPr>
            <w:tcW w:w="1995" w:type="dxa"/>
            <w:gridSpan w:val="2"/>
            <w:vAlign w:val="bottom"/>
          </w:tcPr>
          <w:p w14:paraId="304C0E02" w14:textId="77777777" w:rsidR="00EC46DF" w:rsidRPr="001703B7" w:rsidDel="00AF6AA4" w:rsidRDefault="00EC46DF" w:rsidP="006F3019">
            <w:pPr>
              <w:pStyle w:val="-4"/>
              <w:rPr>
                <w:sz w:val="18"/>
                <w:szCs w:val="18"/>
                <w:rtl/>
              </w:rPr>
            </w:pPr>
            <w:r w:rsidRPr="001703B7">
              <w:rPr>
                <w:rFonts w:hint="cs"/>
                <w:sz w:val="18"/>
                <w:szCs w:val="18"/>
                <w:rtl/>
              </w:rPr>
              <w:t>ליום 30 ביוני</w:t>
            </w:r>
          </w:p>
        </w:tc>
        <w:tc>
          <w:tcPr>
            <w:tcW w:w="1423" w:type="dxa"/>
            <w:vAlign w:val="bottom"/>
          </w:tcPr>
          <w:p w14:paraId="70C223B0" w14:textId="77777777" w:rsidR="00EC46DF" w:rsidRPr="001703B7" w:rsidRDefault="00EC46DF" w:rsidP="006F3019">
            <w:pPr>
              <w:pStyle w:val="-4"/>
              <w:rPr>
                <w:sz w:val="18"/>
                <w:szCs w:val="18"/>
                <w:rtl/>
              </w:rPr>
            </w:pPr>
            <w:r w:rsidRPr="001703B7">
              <w:rPr>
                <w:rFonts w:hint="cs"/>
                <w:sz w:val="18"/>
                <w:szCs w:val="18"/>
                <w:rtl/>
              </w:rPr>
              <w:t>ליום</w:t>
            </w:r>
          </w:p>
          <w:p w14:paraId="62E00348" w14:textId="77777777" w:rsidR="00EC46DF" w:rsidRPr="001703B7" w:rsidDel="00AF6AA4" w:rsidRDefault="00EC46DF" w:rsidP="006F3019">
            <w:pPr>
              <w:pStyle w:val="-4"/>
              <w:rPr>
                <w:sz w:val="18"/>
                <w:szCs w:val="18"/>
                <w:rtl/>
              </w:rPr>
            </w:pPr>
            <w:r w:rsidRPr="001703B7">
              <w:rPr>
                <w:rFonts w:hint="cs"/>
                <w:sz w:val="18"/>
                <w:szCs w:val="18"/>
                <w:rtl/>
              </w:rPr>
              <w:t>31 בדצמבר</w:t>
            </w:r>
          </w:p>
        </w:tc>
      </w:tr>
      <w:tr w:rsidR="00EC46DF" w:rsidRPr="009A3E58" w14:paraId="796E83A7" w14:textId="77777777" w:rsidTr="00AB0DD8">
        <w:trPr>
          <w:trHeight w:val="259"/>
        </w:trPr>
        <w:tc>
          <w:tcPr>
            <w:tcW w:w="1077" w:type="dxa"/>
          </w:tcPr>
          <w:p w14:paraId="39DA6EDB" w14:textId="77777777" w:rsidR="00EC46DF" w:rsidRPr="009A3E58" w:rsidRDefault="00EC46DF" w:rsidP="006F3019">
            <w:pPr>
              <w:pStyle w:val="-7"/>
              <w:bidi w:val="0"/>
              <w:ind w:right="-231"/>
              <w:jc w:val="left"/>
              <w:rPr>
                <w:spacing w:val="-6"/>
                <w:sz w:val="14"/>
                <w:szCs w:val="14"/>
                <w:rtl/>
              </w:rPr>
            </w:pPr>
          </w:p>
        </w:tc>
        <w:tc>
          <w:tcPr>
            <w:tcW w:w="4344" w:type="dxa"/>
            <w:tcBorders>
              <w:left w:val="nil"/>
            </w:tcBorders>
            <w:vAlign w:val="bottom"/>
          </w:tcPr>
          <w:p w14:paraId="0BDB9D5B" w14:textId="77777777" w:rsidR="00EC46DF" w:rsidRPr="009A3E58" w:rsidRDefault="00EC46DF" w:rsidP="006F3019">
            <w:pPr>
              <w:pStyle w:val="-0"/>
              <w:rPr>
                <w:rtl/>
              </w:rPr>
            </w:pPr>
          </w:p>
        </w:tc>
        <w:tc>
          <w:tcPr>
            <w:tcW w:w="1112" w:type="dxa"/>
            <w:vAlign w:val="bottom"/>
          </w:tcPr>
          <w:p w14:paraId="71AE3DDC" w14:textId="351F001E" w:rsidR="00EC46DF" w:rsidRPr="001703B7" w:rsidRDefault="00EC46DF" w:rsidP="001977FC">
            <w:pPr>
              <w:pStyle w:val="-4"/>
              <w:rPr>
                <w:sz w:val="18"/>
                <w:szCs w:val="18"/>
                <w:rtl/>
              </w:rPr>
            </w:pPr>
            <w:r w:rsidRPr="001703B7">
              <w:rPr>
                <w:sz w:val="18"/>
                <w:szCs w:val="18"/>
                <w:rtl/>
              </w:rPr>
              <w:fldChar w:fldCharType="begin"/>
            </w:r>
            <w:r w:rsidRPr="001703B7">
              <w:rPr>
                <w:sz w:val="18"/>
                <w:szCs w:val="18"/>
                <w:rtl/>
              </w:rPr>
              <w:instrText xml:space="preserve"> </w:instrText>
            </w:r>
            <w:r w:rsidRPr="001703B7">
              <w:rPr>
                <w:rFonts w:hint="cs"/>
                <w:sz w:val="18"/>
                <w:szCs w:val="18"/>
                <w:rtl/>
              </w:rPr>
              <w:instrText xml:space="preserve">= </w:instrText>
            </w:r>
            <w:r w:rsidRPr="001703B7">
              <w:rPr>
                <w:rFonts w:hint="cs"/>
                <w:sz w:val="18"/>
                <w:szCs w:val="18"/>
              </w:rPr>
              <w:instrText>CY \* MERGEFORMAT</w:instrText>
            </w:r>
            <w:r w:rsidRPr="001703B7">
              <w:rPr>
                <w:sz w:val="18"/>
                <w:szCs w:val="18"/>
                <w:rtl/>
              </w:rPr>
              <w:instrText xml:space="preserve"> </w:instrText>
            </w:r>
            <w:r w:rsidRPr="001703B7">
              <w:rPr>
                <w:sz w:val="18"/>
                <w:szCs w:val="18"/>
                <w:rtl/>
              </w:rPr>
              <w:fldChar w:fldCharType="separate"/>
            </w:r>
            <w:r w:rsidRPr="001703B7">
              <w:rPr>
                <w:noProof/>
                <w:sz w:val="18"/>
                <w:szCs w:val="18"/>
                <w:rtl/>
              </w:rPr>
              <w:t>2024</w:t>
            </w:r>
            <w:r w:rsidRPr="001703B7">
              <w:rPr>
                <w:sz w:val="18"/>
                <w:szCs w:val="18"/>
                <w:rtl/>
              </w:rPr>
              <w:fldChar w:fldCharType="end"/>
            </w:r>
          </w:p>
        </w:tc>
        <w:tc>
          <w:tcPr>
            <w:tcW w:w="883" w:type="dxa"/>
            <w:vAlign w:val="bottom"/>
          </w:tcPr>
          <w:p w14:paraId="448827A5" w14:textId="18B8408C" w:rsidR="00EC46DF" w:rsidRPr="001703B7" w:rsidRDefault="00EC46DF" w:rsidP="008B4121">
            <w:pPr>
              <w:pStyle w:val="-4"/>
              <w:rPr>
                <w:sz w:val="18"/>
                <w:szCs w:val="18"/>
                <w:rtl/>
              </w:rPr>
            </w:pPr>
            <w:r w:rsidRPr="001703B7">
              <w:rPr>
                <w:sz w:val="18"/>
                <w:szCs w:val="18"/>
                <w:rtl/>
              </w:rPr>
              <w:fldChar w:fldCharType="begin"/>
            </w:r>
            <w:r w:rsidRPr="001703B7">
              <w:rPr>
                <w:sz w:val="18"/>
                <w:szCs w:val="18"/>
                <w:rtl/>
              </w:rPr>
              <w:instrText xml:space="preserve"> </w:instrText>
            </w:r>
            <w:r w:rsidRPr="001703B7">
              <w:rPr>
                <w:rFonts w:hint="cs"/>
                <w:sz w:val="18"/>
                <w:szCs w:val="18"/>
                <w:rtl/>
              </w:rPr>
              <w:instrText xml:space="preserve">= </w:instrText>
            </w:r>
            <w:r w:rsidRPr="001703B7">
              <w:rPr>
                <w:rFonts w:hint="cs"/>
                <w:sz w:val="18"/>
                <w:szCs w:val="18"/>
              </w:rPr>
              <w:instrText>CY</w:instrText>
            </w:r>
            <w:r w:rsidRPr="001703B7">
              <w:rPr>
                <w:sz w:val="18"/>
                <w:szCs w:val="18"/>
              </w:rPr>
              <w:instrText>-1</w:instrText>
            </w:r>
            <w:r w:rsidRPr="001703B7">
              <w:rPr>
                <w:rFonts w:hint="cs"/>
                <w:sz w:val="18"/>
                <w:szCs w:val="18"/>
              </w:rPr>
              <w:instrText xml:space="preserve"> \* MERGEFORMAT</w:instrText>
            </w:r>
            <w:r w:rsidRPr="001703B7">
              <w:rPr>
                <w:sz w:val="18"/>
                <w:szCs w:val="18"/>
                <w:rtl/>
              </w:rPr>
              <w:instrText xml:space="preserve"> </w:instrText>
            </w:r>
            <w:r w:rsidRPr="001703B7">
              <w:rPr>
                <w:sz w:val="18"/>
                <w:szCs w:val="18"/>
                <w:rtl/>
              </w:rPr>
              <w:fldChar w:fldCharType="separate"/>
            </w:r>
            <w:r w:rsidRPr="001703B7">
              <w:rPr>
                <w:noProof/>
                <w:sz w:val="18"/>
                <w:szCs w:val="18"/>
                <w:rtl/>
              </w:rPr>
              <w:t>2023</w:t>
            </w:r>
            <w:r w:rsidRPr="001703B7">
              <w:rPr>
                <w:sz w:val="18"/>
                <w:szCs w:val="18"/>
                <w:rtl/>
              </w:rPr>
              <w:fldChar w:fldCharType="end"/>
            </w:r>
          </w:p>
        </w:tc>
        <w:tc>
          <w:tcPr>
            <w:tcW w:w="1423" w:type="dxa"/>
            <w:vAlign w:val="bottom"/>
          </w:tcPr>
          <w:p w14:paraId="3665C620" w14:textId="2675F205" w:rsidR="00EC46DF" w:rsidRPr="001703B7" w:rsidRDefault="00EC46DF" w:rsidP="00EF3E60">
            <w:pPr>
              <w:pStyle w:val="-4"/>
              <w:rPr>
                <w:sz w:val="18"/>
                <w:szCs w:val="18"/>
                <w:rtl/>
              </w:rPr>
            </w:pPr>
            <w:r w:rsidRPr="001703B7">
              <w:rPr>
                <w:sz w:val="18"/>
                <w:szCs w:val="18"/>
                <w:rtl/>
              </w:rPr>
              <w:fldChar w:fldCharType="begin"/>
            </w:r>
            <w:r w:rsidRPr="001703B7">
              <w:rPr>
                <w:sz w:val="18"/>
                <w:szCs w:val="18"/>
                <w:rtl/>
              </w:rPr>
              <w:instrText xml:space="preserve"> </w:instrText>
            </w:r>
            <w:r w:rsidRPr="001703B7">
              <w:rPr>
                <w:rFonts w:hint="cs"/>
                <w:sz w:val="18"/>
                <w:szCs w:val="18"/>
                <w:rtl/>
              </w:rPr>
              <w:instrText xml:space="preserve">= </w:instrText>
            </w:r>
            <w:r w:rsidRPr="001703B7">
              <w:rPr>
                <w:rFonts w:hint="cs"/>
                <w:sz w:val="18"/>
                <w:szCs w:val="18"/>
              </w:rPr>
              <w:instrText>CY</w:instrText>
            </w:r>
            <w:r w:rsidRPr="001703B7">
              <w:rPr>
                <w:sz w:val="18"/>
                <w:szCs w:val="18"/>
              </w:rPr>
              <w:instrText>-1</w:instrText>
            </w:r>
            <w:r w:rsidRPr="001703B7">
              <w:rPr>
                <w:rFonts w:hint="cs"/>
                <w:sz w:val="18"/>
                <w:szCs w:val="18"/>
              </w:rPr>
              <w:instrText xml:space="preserve"> \* MERGEFORMAT</w:instrText>
            </w:r>
            <w:r w:rsidRPr="001703B7">
              <w:rPr>
                <w:sz w:val="18"/>
                <w:szCs w:val="18"/>
                <w:rtl/>
              </w:rPr>
              <w:instrText xml:space="preserve"> </w:instrText>
            </w:r>
            <w:r w:rsidRPr="001703B7">
              <w:rPr>
                <w:sz w:val="18"/>
                <w:szCs w:val="18"/>
                <w:rtl/>
              </w:rPr>
              <w:fldChar w:fldCharType="separate"/>
            </w:r>
            <w:r w:rsidRPr="001703B7">
              <w:rPr>
                <w:noProof/>
                <w:sz w:val="18"/>
                <w:szCs w:val="18"/>
                <w:rtl/>
              </w:rPr>
              <w:t>2023</w:t>
            </w:r>
            <w:r w:rsidRPr="001703B7">
              <w:rPr>
                <w:sz w:val="18"/>
                <w:szCs w:val="18"/>
                <w:rtl/>
              </w:rPr>
              <w:fldChar w:fldCharType="end"/>
            </w:r>
          </w:p>
        </w:tc>
      </w:tr>
      <w:tr w:rsidR="00EC46DF" w:rsidRPr="009A3E58" w14:paraId="64CC7584" w14:textId="77777777" w:rsidTr="00AB0DD8">
        <w:trPr>
          <w:trHeight w:val="259"/>
        </w:trPr>
        <w:tc>
          <w:tcPr>
            <w:tcW w:w="1077" w:type="dxa"/>
          </w:tcPr>
          <w:p w14:paraId="1FBD8931" w14:textId="77777777" w:rsidR="00EC46DF" w:rsidRPr="009A3E58" w:rsidRDefault="00EC46DF" w:rsidP="006F3019">
            <w:pPr>
              <w:pStyle w:val="-7"/>
              <w:bidi w:val="0"/>
              <w:ind w:right="-231"/>
              <w:jc w:val="left"/>
              <w:rPr>
                <w:spacing w:val="-6"/>
                <w:sz w:val="14"/>
                <w:szCs w:val="14"/>
                <w:rtl/>
              </w:rPr>
            </w:pPr>
          </w:p>
        </w:tc>
        <w:tc>
          <w:tcPr>
            <w:tcW w:w="4344" w:type="dxa"/>
            <w:tcBorders>
              <w:left w:val="nil"/>
            </w:tcBorders>
            <w:vAlign w:val="bottom"/>
          </w:tcPr>
          <w:p w14:paraId="4544E974" w14:textId="77777777" w:rsidR="00EC46DF" w:rsidRPr="009A3E58" w:rsidRDefault="00EC46DF" w:rsidP="006F3019">
            <w:pPr>
              <w:pStyle w:val="-0"/>
              <w:rPr>
                <w:rtl/>
              </w:rPr>
            </w:pPr>
          </w:p>
        </w:tc>
        <w:tc>
          <w:tcPr>
            <w:tcW w:w="1995" w:type="dxa"/>
            <w:gridSpan w:val="2"/>
            <w:vAlign w:val="bottom"/>
          </w:tcPr>
          <w:p w14:paraId="0B047AE3" w14:textId="77777777" w:rsidR="00EC46DF" w:rsidRPr="00D5466B" w:rsidRDefault="00EC46DF" w:rsidP="006F3019">
            <w:pPr>
              <w:pStyle w:val="-4"/>
              <w:rPr>
                <w:b w:val="0"/>
                <w:bCs w:val="0"/>
                <w:sz w:val="18"/>
                <w:szCs w:val="18"/>
                <w:rtl/>
              </w:rPr>
            </w:pPr>
            <w:r w:rsidRPr="00D5466B">
              <w:rPr>
                <w:rFonts w:hint="eastAsia"/>
                <w:b w:val="0"/>
                <w:bCs w:val="0"/>
                <w:sz w:val="18"/>
                <w:szCs w:val="18"/>
                <w:rtl/>
              </w:rPr>
              <w:t>בלתי</w:t>
            </w:r>
            <w:r w:rsidRPr="00D5466B">
              <w:rPr>
                <w:b w:val="0"/>
                <w:bCs w:val="0"/>
                <w:sz w:val="18"/>
                <w:szCs w:val="18"/>
                <w:rtl/>
              </w:rPr>
              <w:t xml:space="preserve"> </w:t>
            </w:r>
            <w:r w:rsidRPr="00D5466B">
              <w:rPr>
                <w:rFonts w:hint="eastAsia"/>
                <w:b w:val="0"/>
                <w:bCs w:val="0"/>
                <w:sz w:val="18"/>
                <w:szCs w:val="18"/>
                <w:rtl/>
              </w:rPr>
              <w:t>מבוקר</w:t>
            </w:r>
          </w:p>
        </w:tc>
        <w:tc>
          <w:tcPr>
            <w:tcW w:w="1423" w:type="dxa"/>
            <w:vAlign w:val="bottom"/>
          </w:tcPr>
          <w:p w14:paraId="45EB0931" w14:textId="77777777" w:rsidR="00EC46DF" w:rsidRPr="00D5466B" w:rsidRDefault="00EC46DF" w:rsidP="006F3019">
            <w:pPr>
              <w:pStyle w:val="-4"/>
              <w:rPr>
                <w:b w:val="0"/>
                <w:bCs w:val="0"/>
                <w:sz w:val="18"/>
                <w:szCs w:val="18"/>
                <w:rtl/>
              </w:rPr>
            </w:pPr>
            <w:r w:rsidRPr="00D5466B">
              <w:rPr>
                <w:rFonts w:hint="eastAsia"/>
                <w:b w:val="0"/>
                <w:bCs w:val="0"/>
                <w:sz w:val="18"/>
                <w:szCs w:val="18"/>
                <w:rtl/>
              </w:rPr>
              <w:t>מבוקר</w:t>
            </w:r>
          </w:p>
        </w:tc>
      </w:tr>
      <w:tr w:rsidR="00EC46DF" w:rsidRPr="009A3E58" w14:paraId="67676303" w14:textId="77777777" w:rsidTr="00AB0DD8">
        <w:trPr>
          <w:trHeight w:val="259"/>
        </w:trPr>
        <w:tc>
          <w:tcPr>
            <w:tcW w:w="1077" w:type="dxa"/>
          </w:tcPr>
          <w:p w14:paraId="12C52531" w14:textId="77777777" w:rsidR="00EC46DF" w:rsidRPr="009A3E58" w:rsidRDefault="00EC46DF" w:rsidP="006F3019">
            <w:pPr>
              <w:pStyle w:val="-fa"/>
              <w:rPr>
                <w:rtl/>
              </w:rPr>
            </w:pPr>
          </w:p>
        </w:tc>
        <w:tc>
          <w:tcPr>
            <w:tcW w:w="4344" w:type="dxa"/>
            <w:tcBorders>
              <w:left w:val="nil"/>
            </w:tcBorders>
            <w:vAlign w:val="bottom"/>
          </w:tcPr>
          <w:p w14:paraId="30309348" w14:textId="77777777" w:rsidR="00EC46DF" w:rsidRPr="009A3E58" w:rsidRDefault="00EC46DF" w:rsidP="00EC46DF">
            <w:pPr>
              <w:pStyle w:val="-f"/>
              <w:ind w:left="306"/>
              <w:rPr>
                <w:rtl/>
              </w:rPr>
            </w:pPr>
            <w:r w:rsidRPr="00472C61">
              <w:rPr>
                <w:rFonts w:hint="eastAsia"/>
                <w:rtl/>
              </w:rPr>
              <w:t>בישראל</w:t>
            </w:r>
          </w:p>
        </w:tc>
        <w:tc>
          <w:tcPr>
            <w:tcW w:w="1112" w:type="dxa"/>
            <w:vAlign w:val="bottom"/>
          </w:tcPr>
          <w:p w14:paraId="5210880D" w14:textId="77777777" w:rsidR="00EC46DF" w:rsidRPr="009A3E58" w:rsidRDefault="00EC46DF" w:rsidP="006F3019">
            <w:pPr>
              <w:jc w:val="center"/>
              <w:rPr>
                <w:rtl/>
              </w:rPr>
            </w:pPr>
          </w:p>
        </w:tc>
        <w:tc>
          <w:tcPr>
            <w:tcW w:w="883" w:type="dxa"/>
            <w:vAlign w:val="bottom"/>
          </w:tcPr>
          <w:p w14:paraId="5F404F3C" w14:textId="77777777" w:rsidR="00EC46DF" w:rsidRPr="009A3E58" w:rsidRDefault="00EC46DF" w:rsidP="006F3019">
            <w:pPr>
              <w:jc w:val="center"/>
              <w:rPr>
                <w:rtl/>
              </w:rPr>
            </w:pPr>
          </w:p>
        </w:tc>
        <w:tc>
          <w:tcPr>
            <w:tcW w:w="1423" w:type="dxa"/>
            <w:vAlign w:val="bottom"/>
          </w:tcPr>
          <w:p w14:paraId="412C9BF2" w14:textId="77777777" w:rsidR="00EC46DF" w:rsidRPr="009A3E58" w:rsidRDefault="00EC46DF" w:rsidP="006F3019">
            <w:pPr>
              <w:jc w:val="center"/>
              <w:rPr>
                <w:rtl/>
              </w:rPr>
            </w:pPr>
          </w:p>
        </w:tc>
      </w:tr>
      <w:tr w:rsidR="00EC46DF" w:rsidRPr="009A3E58" w14:paraId="6B85D83B" w14:textId="77777777" w:rsidTr="00AB0DD8">
        <w:trPr>
          <w:trHeight w:val="259"/>
        </w:trPr>
        <w:tc>
          <w:tcPr>
            <w:tcW w:w="1077" w:type="dxa"/>
          </w:tcPr>
          <w:p w14:paraId="044E4A9A" w14:textId="77777777" w:rsidR="00EC46DF" w:rsidRPr="009A3E58" w:rsidRDefault="00EC46DF" w:rsidP="006F3019">
            <w:pPr>
              <w:pStyle w:val="-7"/>
              <w:bidi w:val="0"/>
              <w:ind w:right="-231"/>
              <w:jc w:val="left"/>
              <w:rPr>
                <w:spacing w:val="-6"/>
                <w:sz w:val="14"/>
                <w:szCs w:val="14"/>
                <w:rtl/>
              </w:rPr>
            </w:pPr>
          </w:p>
        </w:tc>
        <w:tc>
          <w:tcPr>
            <w:tcW w:w="4344" w:type="dxa"/>
            <w:tcBorders>
              <w:left w:val="nil"/>
            </w:tcBorders>
            <w:vAlign w:val="bottom"/>
          </w:tcPr>
          <w:p w14:paraId="4A90A79F" w14:textId="5E20A28A" w:rsidR="00EC46DF" w:rsidRPr="009A3E58" w:rsidRDefault="00EC46DF" w:rsidP="00EC46DF">
            <w:pPr>
              <w:pStyle w:val="-0"/>
              <w:spacing w:line="240" w:lineRule="auto"/>
              <w:ind w:left="590" w:hanging="284"/>
              <w:rPr>
                <w:rtl/>
              </w:rPr>
            </w:pPr>
            <w:r w:rsidRPr="00472C61">
              <w:rPr>
                <w:rFonts w:hint="eastAsia"/>
                <w:rtl/>
              </w:rPr>
              <w:t>לפי</w:t>
            </w:r>
            <w:r w:rsidRPr="00472C61">
              <w:rPr>
                <w:rtl/>
              </w:rPr>
              <w:t xml:space="preserve"> </w:t>
            </w:r>
            <w:r w:rsidRPr="00472C61">
              <w:rPr>
                <w:rFonts w:hint="eastAsia"/>
                <w:rtl/>
              </w:rPr>
              <w:t>דרישה</w:t>
            </w:r>
          </w:p>
        </w:tc>
        <w:tc>
          <w:tcPr>
            <w:tcW w:w="1112" w:type="dxa"/>
            <w:vAlign w:val="bottom"/>
          </w:tcPr>
          <w:p w14:paraId="5B78614B" w14:textId="77777777" w:rsidR="00EC46DF" w:rsidRPr="009A3E58" w:rsidRDefault="00EC46DF" w:rsidP="006F3019">
            <w:pPr>
              <w:pStyle w:val="-3"/>
              <w:rPr>
                <w:rtl/>
              </w:rPr>
            </w:pPr>
          </w:p>
        </w:tc>
        <w:tc>
          <w:tcPr>
            <w:tcW w:w="883" w:type="dxa"/>
            <w:vAlign w:val="bottom"/>
          </w:tcPr>
          <w:p w14:paraId="343965D8" w14:textId="77777777" w:rsidR="00EC46DF" w:rsidRPr="009A3E58" w:rsidRDefault="00EC46DF" w:rsidP="006F3019">
            <w:pPr>
              <w:pStyle w:val="-3"/>
              <w:rPr>
                <w:rtl/>
              </w:rPr>
            </w:pPr>
          </w:p>
        </w:tc>
        <w:tc>
          <w:tcPr>
            <w:tcW w:w="1423" w:type="dxa"/>
            <w:vAlign w:val="bottom"/>
          </w:tcPr>
          <w:p w14:paraId="1904E304" w14:textId="77777777" w:rsidR="00EC46DF" w:rsidRPr="009A3E58" w:rsidRDefault="00EC46DF" w:rsidP="006F3019">
            <w:pPr>
              <w:pStyle w:val="-3"/>
              <w:rPr>
                <w:rtl/>
              </w:rPr>
            </w:pPr>
          </w:p>
        </w:tc>
      </w:tr>
      <w:tr w:rsidR="00EC46DF" w:rsidRPr="009A3E58" w14:paraId="4663C2BD" w14:textId="77777777" w:rsidTr="00AB0DD8">
        <w:trPr>
          <w:trHeight w:val="259"/>
        </w:trPr>
        <w:tc>
          <w:tcPr>
            <w:tcW w:w="1077" w:type="dxa"/>
          </w:tcPr>
          <w:p w14:paraId="08C55017" w14:textId="77777777" w:rsidR="00EC46DF" w:rsidRPr="009A3E58" w:rsidRDefault="00EC46DF" w:rsidP="006F3019">
            <w:pPr>
              <w:pStyle w:val="-fa"/>
              <w:rPr>
                <w:rtl/>
              </w:rPr>
            </w:pPr>
          </w:p>
        </w:tc>
        <w:tc>
          <w:tcPr>
            <w:tcW w:w="4344" w:type="dxa"/>
            <w:tcBorders>
              <w:left w:val="nil"/>
            </w:tcBorders>
            <w:vAlign w:val="bottom"/>
          </w:tcPr>
          <w:p w14:paraId="149E3130" w14:textId="50D666AB" w:rsidR="00EC46DF" w:rsidRPr="009A3E58" w:rsidRDefault="00EC46DF" w:rsidP="00EC46DF">
            <w:pPr>
              <w:pStyle w:val="-0"/>
              <w:ind w:left="589" w:hanging="75"/>
              <w:rPr>
                <w:rtl/>
              </w:rPr>
            </w:pPr>
            <w:r w:rsidRPr="00472C61">
              <w:rPr>
                <w:rFonts w:hint="eastAsia"/>
                <w:rtl/>
              </w:rPr>
              <w:t>אינם</w:t>
            </w:r>
            <w:r w:rsidRPr="00472C61">
              <w:rPr>
                <w:rtl/>
              </w:rPr>
              <w:t xml:space="preserve"> </w:t>
            </w:r>
            <w:r w:rsidRPr="00472C61">
              <w:rPr>
                <w:rFonts w:hint="eastAsia"/>
                <w:rtl/>
              </w:rPr>
              <w:t>נושאים</w:t>
            </w:r>
            <w:r w:rsidRPr="00472C61">
              <w:rPr>
                <w:rtl/>
              </w:rPr>
              <w:t xml:space="preserve"> </w:t>
            </w:r>
            <w:r w:rsidRPr="00472C61">
              <w:rPr>
                <w:rFonts w:hint="eastAsia"/>
                <w:rtl/>
              </w:rPr>
              <w:t>ריבית</w:t>
            </w:r>
          </w:p>
        </w:tc>
        <w:tc>
          <w:tcPr>
            <w:tcW w:w="1112" w:type="dxa"/>
            <w:vAlign w:val="bottom"/>
          </w:tcPr>
          <w:p w14:paraId="71A86CE3" w14:textId="77777777" w:rsidR="00EC46DF" w:rsidRPr="009A3E58" w:rsidRDefault="00EC46DF" w:rsidP="006F3019">
            <w:pPr>
              <w:pStyle w:val="-3"/>
              <w:rPr>
                <w:rtl/>
              </w:rPr>
            </w:pPr>
            <w:r w:rsidRPr="00472C61">
              <w:rPr>
                <w:rtl/>
              </w:rPr>
              <w:t xml:space="preserve"> 0</w:t>
            </w:r>
          </w:p>
        </w:tc>
        <w:tc>
          <w:tcPr>
            <w:tcW w:w="883" w:type="dxa"/>
            <w:vAlign w:val="bottom"/>
          </w:tcPr>
          <w:p w14:paraId="65664430" w14:textId="77777777" w:rsidR="00EC46DF" w:rsidRPr="009A3E58" w:rsidRDefault="00EC46DF" w:rsidP="006F3019">
            <w:pPr>
              <w:pStyle w:val="-3"/>
              <w:rPr>
                <w:rtl/>
              </w:rPr>
            </w:pPr>
            <w:r w:rsidRPr="00472C61">
              <w:rPr>
                <w:rtl/>
              </w:rPr>
              <w:t xml:space="preserve"> 0</w:t>
            </w:r>
          </w:p>
        </w:tc>
        <w:tc>
          <w:tcPr>
            <w:tcW w:w="1423" w:type="dxa"/>
            <w:vAlign w:val="bottom"/>
          </w:tcPr>
          <w:p w14:paraId="1F52CBDE" w14:textId="77777777" w:rsidR="00EC46DF" w:rsidRPr="009A3E58" w:rsidRDefault="00EC46DF" w:rsidP="006F3019">
            <w:pPr>
              <w:pStyle w:val="-3"/>
              <w:rPr>
                <w:rtl/>
              </w:rPr>
            </w:pPr>
            <w:r w:rsidRPr="00472C61">
              <w:rPr>
                <w:rtl/>
              </w:rPr>
              <w:t xml:space="preserve"> 0</w:t>
            </w:r>
          </w:p>
        </w:tc>
      </w:tr>
      <w:tr w:rsidR="00EC46DF" w:rsidRPr="009A3E58" w14:paraId="081EC61E" w14:textId="77777777" w:rsidTr="00AB0DD8">
        <w:trPr>
          <w:trHeight w:val="259"/>
        </w:trPr>
        <w:tc>
          <w:tcPr>
            <w:tcW w:w="1077" w:type="dxa"/>
          </w:tcPr>
          <w:p w14:paraId="7C32A43F" w14:textId="77777777" w:rsidR="00EC46DF" w:rsidRPr="009A3E58" w:rsidRDefault="00EC46DF" w:rsidP="006F3019">
            <w:pPr>
              <w:pStyle w:val="-fa"/>
              <w:rPr>
                <w:rtl/>
              </w:rPr>
            </w:pPr>
          </w:p>
        </w:tc>
        <w:tc>
          <w:tcPr>
            <w:tcW w:w="4344" w:type="dxa"/>
            <w:tcBorders>
              <w:left w:val="nil"/>
            </w:tcBorders>
            <w:vAlign w:val="bottom"/>
          </w:tcPr>
          <w:p w14:paraId="3DD4120D" w14:textId="69E31262" w:rsidR="00EC46DF" w:rsidRPr="009A3E58" w:rsidRDefault="00EC46DF" w:rsidP="00EC46DF">
            <w:pPr>
              <w:pStyle w:val="-0"/>
              <w:ind w:left="589" w:hanging="75"/>
              <w:rPr>
                <w:rtl/>
              </w:rPr>
            </w:pPr>
            <w:r w:rsidRPr="00472C61">
              <w:rPr>
                <w:rFonts w:hint="eastAsia"/>
                <w:rtl/>
              </w:rPr>
              <w:t>נושאים</w:t>
            </w:r>
            <w:r w:rsidRPr="00472C61">
              <w:rPr>
                <w:rtl/>
              </w:rPr>
              <w:t xml:space="preserve"> </w:t>
            </w:r>
            <w:r w:rsidRPr="00472C61">
              <w:rPr>
                <w:rFonts w:hint="eastAsia"/>
                <w:rtl/>
              </w:rPr>
              <w:t>ריבית</w:t>
            </w:r>
          </w:p>
        </w:tc>
        <w:tc>
          <w:tcPr>
            <w:tcW w:w="1112" w:type="dxa"/>
            <w:vAlign w:val="bottom"/>
          </w:tcPr>
          <w:p w14:paraId="2DCD1605" w14:textId="77777777" w:rsidR="00EC46DF" w:rsidRPr="009A3E58" w:rsidRDefault="00EC46DF" w:rsidP="006F3019">
            <w:pPr>
              <w:pStyle w:val="-3"/>
              <w:pBdr>
                <w:bottom w:val="single" w:sz="4" w:space="1" w:color="auto"/>
              </w:pBdr>
              <w:rPr>
                <w:rtl/>
              </w:rPr>
            </w:pPr>
            <w:r w:rsidRPr="00472C61">
              <w:rPr>
                <w:rtl/>
              </w:rPr>
              <w:t xml:space="preserve"> 0</w:t>
            </w:r>
          </w:p>
        </w:tc>
        <w:tc>
          <w:tcPr>
            <w:tcW w:w="883" w:type="dxa"/>
            <w:vAlign w:val="bottom"/>
          </w:tcPr>
          <w:p w14:paraId="2FD28021" w14:textId="77777777" w:rsidR="00EC46DF" w:rsidRPr="009A3E58" w:rsidRDefault="00EC46DF" w:rsidP="006F3019">
            <w:pPr>
              <w:pStyle w:val="-3"/>
              <w:pBdr>
                <w:bottom w:val="single" w:sz="4" w:space="1" w:color="auto"/>
              </w:pBdr>
              <w:rPr>
                <w:rtl/>
              </w:rPr>
            </w:pPr>
            <w:r w:rsidRPr="00472C61">
              <w:rPr>
                <w:rtl/>
              </w:rPr>
              <w:t xml:space="preserve"> 0</w:t>
            </w:r>
          </w:p>
        </w:tc>
        <w:tc>
          <w:tcPr>
            <w:tcW w:w="1423" w:type="dxa"/>
            <w:vAlign w:val="bottom"/>
          </w:tcPr>
          <w:p w14:paraId="398A4250" w14:textId="77777777" w:rsidR="00EC46DF" w:rsidRPr="009A3E58" w:rsidRDefault="00EC46DF" w:rsidP="006F3019">
            <w:pPr>
              <w:pStyle w:val="-3"/>
              <w:pBdr>
                <w:bottom w:val="single" w:sz="4" w:space="1" w:color="auto"/>
              </w:pBdr>
              <w:rPr>
                <w:rtl/>
              </w:rPr>
            </w:pPr>
            <w:r w:rsidRPr="00472C61">
              <w:rPr>
                <w:rtl/>
              </w:rPr>
              <w:t xml:space="preserve"> 0</w:t>
            </w:r>
          </w:p>
        </w:tc>
      </w:tr>
      <w:tr w:rsidR="00EC46DF" w:rsidRPr="009A3E58" w14:paraId="409D5481" w14:textId="77777777" w:rsidTr="00AB0DD8">
        <w:trPr>
          <w:trHeight w:val="259"/>
        </w:trPr>
        <w:tc>
          <w:tcPr>
            <w:tcW w:w="1077" w:type="dxa"/>
          </w:tcPr>
          <w:p w14:paraId="1FA31237" w14:textId="77777777" w:rsidR="00EC46DF" w:rsidRPr="009A3E58" w:rsidRDefault="00EC46DF" w:rsidP="006F3019">
            <w:pPr>
              <w:pStyle w:val="-fa"/>
              <w:rPr>
                <w:rtl/>
              </w:rPr>
            </w:pPr>
          </w:p>
        </w:tc>
        <w:tc>
          <w:tcPr>
            <w:tcW w:w="4344" w:type="dxa"/>
            <w:tcBorders>
              <w:left w:val="nil"/>
            </w:tcBorders>
            <w:vAlign w:val="bottom"/>
          </w:tcPr>
          <w:p w14:paraId="4DFE8CFD" w14:textId="77777777" w:rsidR="00EC46DF" w:rsidRPr="009A3E58" w:rsidRDefault="00EC46DF" w:rsidP="00EC46DF">
            <w:pPr>
              <w:pStyle w:val="-0"/>
              <w:spacing w:line="240" w:lineRule="auto"/>
              <w:ind w:left="590" w:hanging="284"/>
              <w:rPr>
                <w:rtl/>
              </w:rPr>
            </w:pPr>
            <w:r>
              <w:rPr>
                <w:rFonts w:hint="cs"/>
                <w:rtl/>
              </w:rPr>
              <w:t>סה"כ</w:t>
            </w:r>
            <w:r w:rsidRPr="00472C61">
              <w:rPr>
                <w:rtl/>
              </w:rPr>
              <w:t xml:space="preserve"> לפי דרישה</w:t>
            </w:r>
          </w:p>
        </w:tc>
        <w:tc>
          <w:tcPr>
            <w:tcW w:w="1112" w:type="dxa"/>
            <w:vAlign w:val="bottom"/>
          </w:tcPr>
          <w:p w14:paraId="2570A727" w14:textId="77777777" w:rsidR="00EC46DF" w:rsidRPr="009A3E58" w:rsidRDefault="00EC46DF" w:rsidP="006F3019">
            <w:pPr>
              <w:pStyle w:val="-3"/>
              <w:rPr>
                <w:rtl/>
              </w:rPr>
            </w:pPr>
            <w:r w:rsidRPr="00472C61">
              <w:rPr>
                <w:rtl/>
              </w:rPr>
              <w:t xml:space="preserve"> 0</w:t>
            </w:r>
          </w:p>
        </w:tc>
        <w:tc>
          <w:tcPr>
            <w:tcW w:w="883" w:type="dxa"/>
            <w:vAlign w:val="bottom"/>
          </w:tcPr>
          <w:p w14:paraId="6DC95C55" w14:textId="77777777" w:rsidR="00EC46DF" w:rsidRPr="009A3E58" w:rsidRDefault="00EC46DF" w:rsidP="006F3019">
            <w:pPr>
              <w:pStyle w:val="-3"/>
              <w:rPr>
                <w:rtl/>
              </w:rPr>
            </w:pPr>
            <w:r w:rsidRPr="00472C61">
              <w:rPr>
                <w:rtl/>
              </w:rPr>
              <w:t xml:space="preserve"> 0</w:t>
            </w:r>
          </w:p>
        </w:tc>
        <w:tc>
          <w:tcPr>
            <w:tcW w:w="1423" w:type="dxa"/>
            <w:vAlign w:val="bottom"/>
          </w:tcPr>
          <w:p w14:paraId="60E80890" w14:textId="77777777" w:rsidR="00EC46DF" w:rsidRPr="009A3E58" w:rsidRDefault="00EC46DF" w:rsidP="006F3019">
            <w:pPr>
              <w:pStyle w:val="-3"/>
              <w:rPr>
                <w:rtl/>
              </w:rPr>
            </w:pPr>
            <w:r w:rsidRPr="00472C61">
              <w:rPr>
                <w:rtl/>
              </w:rPr>
              <w:t xml:space="preserve"> 0</w:t>
            </w:r>
          </w:p>
        </w:tc>
      </w:tr>
      <w:tr w:rsidR="00EC46DF" w:rsidRPr="009A3E58" w14:paraId="1A3642AB" w14:textId="77777777" w:rsidTr="00AB0DD8">
        <w:trPr>
          <w:trHeight w:val="165"/>
        </w:trPr>
        <w:tc>
          <w:tcPr>
            <w:tcW w:w="1077" w:type="dxa"/>
          </w:tcPr>
          <w:p w14:paraId="6EBFAAAF" w14:textId="77777777" w:rsidR="00EC46DF" w:rsidRPr="009A3E58" w:rsidRDefault="00EC46DF" w:rsidP="006F3019">
            <w:pPr>
              <w:pStyle w:val="-fa"/>
              <w:rPr>
                <w:rtl/>
              </w:rPr>
            </w:pPr>
          </w:p>
        </w:tc>
        <w:tc>
          <w:tcPr>
            <w:tcW w:w="4344" w:type="dxa"/>
            <w:tcBorders>
              <w:left w:val="nil"/>
            </w:tcBorders>
            <w:vAlign w:val="center"/>
          </w:tcPr>
          <w:p w14:paraId="4A03E2E6" w14:textId="5BB4DA49" w:rsidR="00EC46DF" w:rsidRDefault="00EC46DF" w:rsidP="00EC46DF">
            <w:pPr>
              <w:pStyle w:val="-0"/>
              <w:spacing w:line="240" w:lineRule="auto"/>
              <w:ind w:left="590" w:hanging="284"/>
              <w:rPr>
                <w:rtl/>
              </w:rPr>
            </w:pPr>
            <w:r w:rsidRPr="00472C61">
              <w:rPr>
                <w:rFonts w:hint="eastAsia"/>
                <w:rtl/>
              </w:rPr>
              <w:t>לזמן</w:t>
            </w:r>
            <w:r w:rsidRPr="00472C61">
              <w:rPr>
                <w:rtl/>
              </w:rPr>
              <w:t xml:space="preserve"> </w:t>
            </w:r>
            <w:r w:rsidRPr="00472C61">
              <w:rPr>
                <w:rFonts w:hint="eastAsia"/>
                <w:rtl/>
              </w:rPr>
              <w:t>קצוב</w:t>
            </w:r>
            <w:r w:rsidRPr="00E704F0">
              <w:rPr>
                <w:sz w:val="18"/>
                <w:szCs w:val="18"/>
                <w:vertAlign w:val="superscript"/>
                <w:rtl/>
              </w:rPr>
              <w:t>[</w:t>
            </w:r>
            <w:r w:rsidRPr="00E704F0">
              <w:rPr>
                <w:rStyle w:val="a7"/>
                <w:sz w:val="18"/>
                <w:szCs w:val="18"/>
                <w:rtl/>
              </w:rPr>
              <w:footnoteReference w:id="56"/>
            </w:r>
            <w:r w:rsidRPr="00E704F0">
              <w:rPr>
                <w:sz w:val="18"/>
                <w:szCs w:val="18"/>
                <w:vertAlign w:val="superscript"/>
                <w:rtl/>
              </w:rPr>
              <w:t>]</w:t>
            </w:r>
          </w:p>
        </w:tc>
        <w:tc>
          <w:tcPr>
            <w:tcW w:w="1112" w:type="dxa"/>
            <w:vAlign w:val="bottom"/>
          </w:tcPr>
          <w:p w14:paraId="1D01B34B" w14:textId="77777777" w:rsidR="00EC46DF" w:rsidRPr="009A3E58" w:rsidRDefault="00EC46DF" w:rsidP="00EB5088">
            <w:pPr>
              <w:pStyle w:val="-3"/>
              <w:pBdr>
                <w:bottom w:val="single" w:sz="4" w:space="1" w:color="auto"/>
              </w:pBdr>
              <w:spacing w:before="60" w:line="240" w:lineRule="auto"/>
              <w:rPr>
                <w:rtl/>
              </w:rPr>
            </w:pPr>
            <w:r w:rsidRPr="00472C61">
              <w:rPr>
                <w:rtl/>
              </w:rPr>
              <w:t xml:space="preserve"> 0</w:t>
            </w:r>
          </w:p>
        </w:tc>
        <w:tc>
          <w:tcPr>
            <w:tcW w:w="883" w:type="dxa"/>
            <w:vAlign w:val="bottom"/>
          </w:tcPr>
          <w:p w14:paraId="6548050F" w14:textId="77777777" w:rsidR="00EC46DF" w:rsidRPr="009A3E58" w:rsidRDefault="00EC46DF" w:rsidP="00EB5088">
            <w:pPr>
              <w:pStyle w:val="-3"/>
              <w:pBdr>
                <w:bottom w:val="single" w:sz="4" w:space="1" w:color="auto"/>
              </w:pBdr>
              <w:spacing w:before="60" w:line="240" w:lineRule="auto"/>
              <w:rPr>
                <w:rtl/>
              </w:rPr>
            </w:pPr>
            <w:r w:rsidRPr="00472C61">
              <w:rPr>
                <w:rtl/>
              </w:rPr>
              <w:t xml:space="preserve"> 0</w:t>
            </w:r>
          </w:p>
        </w:tc>
        <w:tc>
          <w:tcPr>
            <w:tcW w:w="1423" w:type="dxa"/>
            <w:vAlign w:val="bottom"/>
          </w:tcPr>
          <w:p w14:paraId="16F6EEDD" w14:textId="77777777" w:rsidR="00EC46DF" w:rsidRPr="009A3E58" w:rsidRDefault="00EC46DF" w:rsidP="00EB5088">
            <w:pPr>
              <w:pStyle w:val="-3"/>
              <w:pBdr>
                <w:bottom w:val="single" w:sz="4" w:space="1" w:color="auto"/>
              </w:pBdr>
              <w:spacing w:before="60" w:line="240" w:lineRule="auto"/>
              <w:rPr>
                <w:rtl/>
              </w:rPr>
            </w:pPr>
            <w:r w:rsidRPr="00472C61">
              <w:rPr>
                <w:rtl/>
              </w:rPr>
              <w:t xml:space="preserve"> 0</w:t>
            </w:r>
          </w:p>
        </w:tc>
      </w:tr>
      <w:tr w:rsidR="00EC46DF" w:rsidRPr="009A3E58" w14:paraId="6CDF4EA1" w14:textId="77777777" w:rsidTr="00AB0DD8">
        <w:trPr>
          <w:trHeight w:val="259"/>
        </w:trPr>
        <w:tc>
          <w:tcPr>
            <w:tcW w:w="1077" w:type="dxa"/>
          </w:tcPr>
          <w:p w14:paraId="2EA85E4F" w14:textId="77777777" w:rsidR="00EC46DF" w:rsidRPr="009A3E58" w:rsidRDefault="00EC46DF" w:rsidP="006F3019">
            <w:pPr>
              <w:pStyle w:val="-7"/>
              <w:bidi w:val="0"/>
              <w:ind w:right="-231"/>
              <w:jc w:val="left"/>
              <w:rPr>
                <w:spacing w:val="-6"/>
                <w:sz w:val="14"/>
                <w:szCs w:val="14"/>
                <w:rtl/>
              </w:rPr>
            </w:pPr>
          </w:p>
        </w:tc>
        <w:tc>
          <w:tcPr>
            <w:tcW w:w="4344" w:type="dxa"/>
            <w:tcBorders>
              <w:left w:val="nil"/>
            </w:tcBorders>
            <w:vAlign w:val="center"/>
          </w:tcPr>
          <w:p w14:paraId="0C36BB6B" w14:textId="6EAD3678" w:rsidR="00EC46DF" w:rsidRDefault="00EC46DF" w:rsidP="00EC46DF">
            <w:pPr>
              <w:pStyle w:val="-b"/>
              <w:tabs>
                <w:tab w:val="left" w:pos="0"/>
              </w:tabs>
              <w:ind w:hanging="30"/>
              <w:rPr>
                <w:rtl/>
              </w:rPr>
            </w:pPr>
            <w:r w:rsidRPr="00472C61">
              <w:rPr>
                <w:rtl/>
              </w:rPr>
              <w:tab/>
            </w:r>
            <w:r>
              <w:rPr>
                <w:rFonts w:hint="cs"/>
                <w:rtl/>
              </w:rPr>
              <w:t xml:space="preserve">   סה"כ</w:t>
            </w:r>
            <w:r w:rsidRPr="00472C61">
              <w:rPr>
                <w:rtl/>
              </w:rPr>
              <w:t xml:space="preserve"> פיקדונות בישראל</w:t>
            </w:r>
            <w:r w:rsidRPr="00472C61">
              <w:rPr>
                <w:vertAlign w:val="superscript"/>
                <w:rtl/>
              </w:rPr>
              <w:t>(</w:t>
            </w:r>
            <w:r w:rsidRPr="00472C61">
              <w:rPr>
                <w:rFonts w:hint="eastAsia"/>
                <w:vertAlign w:val="superscript"/>
                <w:rtl/>
              </w:rPr>
              <w:t>א</w:t>
            </w:r>
            <w:r w:rsidRPr="00472C61">
              <w:rPr>
                <w:vertAlign w:val="superscript"/>
                <w:rtl/>
              </w:rPr>
              <w:t>)</w:t>
            </w:r>
          </w:p>
        </w:tc>
        <w:tc>
          <w:tcPr>
            <w:tcW w:w="1112" w:type="dxa"/>
            <w:vAlign w:val="bottom"/>
          </w:tcPr>
          <w:p w14:paraId="3CAB24CE" w14:textId="77777777" w:rsidR="00EC46DF" w:rsidRPr="009A3E58" w:rsidRDefault="00EC46DF" w:rsidP="006F3019">
            <w:pPr>
              <w:pStyle w:val="-f1"/>
              <w:pBdr>
                <w:top w:val="none" w:sz="0" w:space="0" w:color="auto"/>
                <w:bottom w:val="single" w:sz="4" w:space="1" w:color="auto"/>
              </w:pBdr>
              <w:rPr>
                <w:rtl/>
              </w:rPr>
            </w:pPr>
            <w:r w:rsidRPr="00472C61">
              <w:rPr>
                <w:rtl/>
              </w:rPr>
              <w:t xml:space="preserve"> 0</w:t>
            </w:r>
          </w:p>
        </w:tc>
        <w:tc>
          <w:tcPr>
            <w:tcW w:w="883" w:type="dxa"/>
            <w:vAlign w:val="bottom"/>
          </w:tcPr>
          <w:p w14:paraId="0CAFD2E6" w14:textId="77777777" w:rsidR="00EC46DF" w:rsidRPr="009A3E58" w:rsidRDefault="00EC46DF" w:rsidP="006F3019">
            <w:pPr>
              <w:pStyle w:val="-f1"/>
              <w:pBdr>
                <w:top w:val="none" w:sz="0" w:space="0" w:color="auto"/>
                <w:bottom w:val="single" w:sz="4" w:space="1" w:color="auto"/>
              </w:pBdr>
              <w:rPr>
                <w:rtl/>
              </w:rPr>
            </w:pPr>
            <w:r w:rsidRPr="00472C61">
              <w:rPr>
                <w:rtl/>
              </w:rPr>
              <w:t xml:space="preserve"> 0</w:t>
            </w:r>
          </w:p>
        </w:tc>
        <w:tc>
          <w:tcPr>
            <w:tcW w:w="1423" w:type="dxa"/>
            <w:vAlign w:val="bottom"/>
          </w:tcPr>
          <w:p w14:paraId="503A6FC9" w14:textId="77777777" w:rsidR="00EC46DF" w:rsidRPr="009A3E58" w:rsidRDefault="00EC46DF" w:rsidP="006F3019">
            <w:pPr>
              <w:pStyle w:val="-f1"/>
              <w:pBdr>
                <w:top w:val="none" w:sz="0" w:space="0" w:color="auto"/>
                <w:bottom w:val="single" w:sz="4" w:space="1" w:color="auto"/>
              </w:pBdr>
              <w:rPr>
                <w:rtl/>
              </w:rPr>
            </w:pPr>
            <w:r w:rsidRPr="00472C61">
              <w:rPr>
                <w:rtl/>
              </w:rPr>
              <w:t xml:space="preserve"> 0</w:t>
            </w:r>
          </w:p>
        </w:tc>
      </w:tr>
      <w:tr w:rsidR="00EC46DF" w:rsidRPr="009A3E58" w14:paraId="6469D4C9" w14:textId="77777777" w:rsidTr="00AB0DD8">
        <w:tc>
          <w:tcPr>
            <w:tcW w:w="1077" w:type="dxa"/>
          </w:tcPr>
          <w:p w14:paraId="4DD863CF" w14:textId="77777777" w:rsidR="00EC46DF" w:rsidRDefault="00EC46DF">
            <w:pPr>
              <w:pStyle w:val="-7"/>
              <w:bidi w:val="0"/>
              <w:spacing w:line="120" w:lineRule="exact"/>
              <w:ind w:right="-231"/>
              <w:jc w:val="left"/>
              <w:rPr>
                <w:spacing w:val="-6"/>
                <w:sz w:val="14"/>
                <w:szCs w:val="14"/>
                <w:rtl/>
              </w:rPr>
            </w:pPr>
          </w:p>
        </w:tc>
        <w:tc>
          <w:tcPr>
            <w:tcW w:w="4344" w:type="dxa"/>
            <w:tcBorders>
              <w:left w:val="nil"/>
            </w:tcBorders>
            <w:vAlign w:val="center"/>
          </w:tcPr>
          <w:p w14:paraId="0179D6A4" w14:textId="77777777" w:rsidR="00EC46DF" w:rsidRDefault="00EC46DF">
            <w:pPr>
              <w:pStyle w:val="-b"/>
              <w:spacing w:line="120" w:lineRule="exact"/>
              <w:rPr>
                <w:rtl/>
              </w:rPr>
            </w:pPr>
          </w:p>
        </w:tc>
        <w:tc>
          <w:tcPr>
            <w:tcW w:w="1112" w:type="dxa"/>
            <w:vAlign w:val="bottom"/>
          </w:tcPr>
          <w:p w14:paraId="472C4BDA" w14:textId="77777777" w:rsidR="00EC46DF" w:rsidRDefault="00EC46DF">
            <w:pPr>
              <w:pStyle w:val="-f1"/>
              <w:pBdr>
                <w:top w:val="none" w:sz="0" w:space="0" w:color="auto"/>
              </w:pBdr>
              <w:spacing w:line="120" w:lineRule="exact"/>
              <w:rPr>
                <w:rtl/>
              </w:rPr>
            </w:pPr>
          </w:p>
        </w:tc>
        <w:tc>
          <w:tcPr>
            <w:tcW w:w="883" w:type="dxa"/>
            <w:vAlign w:val="bottom"/>
          </w:tcPr>
          <w:p w14:paraId="0966C6E3" w14:textId="77777777" w:rsidR="00EC46DF" w:rsidRDefault="00EC46DF">
            <w:pPr>
              <w:pStyle w:val="-f1"/>
              <w:pBdr>
                <w:top w:val="none" w:sz="0" w:space="0" w:color="auto"/>
              </w:pBdr>
              <w:spacing w:line="120" w:lineRule="exact"/>
              <w:rPr>
                <w:rtl/>
              </w:rPr>
            </w:pPr>
          </w:p>
        </w:tc>
        <w:tc>
          <w:tcPr>
            <w:tcW w:w="1423" w:type="dxa"/>
            <w:vAlign w:val="bottom"/>
          </w:tcPr>
          <w:p w14:paraId="46E89A07" w14:textId="77777777" w:rsidR="00EC46DF" w:rsidRDefault="00EC46DF">
            <w:pPr>
              <w:pStyle w:val="-f1"/>
              <w:pBdr>
                <w:top w:val="none" w:sz="0" w:space="0" w:color="auto"/>
              </w:pBdr>
              <w:spacing w:line="120" w:lineRule="exact"/>
              <w:rPr>
                <w:rtl/>
              </w:rPr>
            </w:pPr>
          </w:p>
        </w:tc>
      </w:tr>
      <w:tr w:rsidR="00EC46DF" w:rsidRPr="009A3E58" w14:paraId="1074BF37" w14:textId="77777777" w:rsidTr="00AB0DD8">
        <w:trPr>
          <w:trHeight w:val="259"/>
        </w:trPr>
        <w:tc>
          <w:tcPr>
            <w:tcW w:w="1077" w:type="dxa"/>
          </w:tcPr>
          <w:p w14:paraId="4B14FF7B" w14:textId="77777777" w:rsidR="00EC46DF" w:rsidRPr="009A3E58" w:rsidRDefault="00EC46DF" w:rsidP="006F3019">
            <w:pPr>
              <w:pStyle w:val="-fa"/>
              <w:rPr>
                <w:rtl/>
              </w:rPr>
            </w:pPr>
          </w:p>
        </w:tc>
        <w:tc>
          <w:tcPr>
            <w:tcW w:w="4344" w:type="dxa"/>
            <w:tcBorders>
              <w:left w:val="nil"/>
            </w:tcBorders>
            <w:vAlign w:val="bottom"/>
          </w:tcPr>
          <w:p w14:paraId="7F99F110" w14:textId="77777777" w:rsidR="00EC46DF" w:rsidRPr="009A3E58" w:rsidRDefault="00EC46DF" w:rsidP="00EC46DF">
            <w:pPr>
              <w:pStyle w:val="-f"/>
              <w:ind w:left="306"/>
              <w:rPr>
                <w:rtl/>
              </w:rPr>
            </w:pPr>
            <w:r w:rsidRPr="00472C61">
              <w:rPr>
                <w:rFonts w:hint="eastAsia"/>
                <w:rtl/>
              </w:rPr>
              <w:t>מחוץ</w:t>
            </w:r>
            <w:r w:rsidRPr="00472C61">
              <w:rPr>
                <w:rtl/>
              </w:rPr>
              <w:t xml:space="preserve"> </w:t>
            </w:r>
            <w:r w:rsidRPr="00472C61">
              <w:rPr>
                <w:rFonts w:hint="eastAsia"/>
                <w:rtl/>
              </w:rPr>
              <w:t>לישראל</w:t>
            </w:r>
            <w:r w:rsidRPr="00D155F9">
              <w:rPr>
                <w:sz w:val="18"/>
                <w:szCs w:val="18"/>
                <w:u w:val="none"/>
                <w:vertAlign w:val="superscript"/>
                <w:rtl/>
              </w:rPr>
              <w:t>[</w:t>
            </w:r>
            <w:r w:rsidRPr="00D155F9">
              <w:rPr>
                <w:rStyle w:val="a7"/>
                <w:sz w:val="18"/>
                <w:szCs w:val="18"/>
                <w:rtl/>
              </w:rPr>
              <w:footnoteReference w:id="57"/>
            </w:r>
            <w:r w:rsidRPr="00D155F9">
              <w:rPr>
                <w:sz w:val="18"/>
                <w:szCs w:val="18"/>
                <w:u w:val="none"/>
                <w:vertAlign w:val="superscript"/>
                <w:rtl/>
              </w:rPr>
              <w:t>]</w:t>
            </w:r>
          </w:p>
        </w:tc>
        <w:tc>
          <w:tcPr>
            <w:tcW w:w="1112" w:type="dxa"/>
            <w:vAlign w:val="bottom"/>
          </w:tcPr>
          <w:p w14:paraId="5FE502FE" w14:textId="77777777" w:rsidR="00EC46DF" w:rsidRPr="009A3E58" w:rsidRDefault="00EC46DF" w:rsidP="006F3019">
            <w:pPr>
              <w:jc w:val="center"/>
              <w:rPr>
                <w:rtl/>
              </w:rPr>
            </w:pPr>
          </w:p>
        </w:tc>
        <w:tc>
          <w:tcPr>
            <w:tcW w:w="883" w:type="dxa"/>
            <w:vAlign w:val="bottom"/>
          </w:tcPr>
          <w:p w14:paraId="6FB0B438" w14:textId="77777777" w:rsidR="00EC46DF" w:rsidRPr="009A3E58" w:rsidRDefault="00EC46DF" w:rsidP="006F3019">
            <w:pPr>
              <w:jc w:val="center"/>
              <w:rPr>
                <w:rtl/>
              </w:rPr>
            </w:pPr>
          </w:p>
        </w:tc>
        <w:tc>
          <w:tcPr>
            <w:tcW w:w="1423" w:type="dxa"/>
            <w:vAlign w:val="bottom"/>
          </w:tcPr>
          <w:p w14:paraId="68FEC266" w14:textId="77777777" w:rsidR="00EC46DF" w:rsidRPr="009A3E58" w:rsidRDefault="00EC46DF" w:rsidP="006F3019">
            <w:pPr>
              <w:jc w:val="center"/>
              <w:rPr>
                <w:rtl/>
              </w:rPr>
            </w:pPr>
          </w:p>
        </w:tc>
      </w:tr>
      <w:tr w:rsidR="00EC46DF" w:rsidRPr="009A3E58" w14:paraId="197715FA" w14:textId="77777777" w:rsidTr="00AB0DD8">
        <w:trPr>
          <w:trHeight w:val="259"/>
        </w:trPr>
        <w:tc>
          <w:tcPr>
            <w:tcW w:w="1077" w:type="dxa"/>
          </w:tcPr>
          <w:p w14:paraId="69D853A1" w14:textId="77777777" w:rsidR="00EC46DF" w:rsidRPr="009A3E58" w:rsidRDefault="00EC46DF" w:rsidP="006F3019">
            <w:pPr>
              <w:pStyle w:val="-7"/>
              <w:bidi w:val="0"/>
              <w:ind w:right="-231"/>
              <w:jc w:val="left"/>
              <w:rPr>
                <w:spacing w:val="-6"/>
                <w:sz w:val="14"/>
                <w:szCs w:val="14"/>
                <w:rtl/>
              </w:rPr>
            </w:pPr>
          </w:p>
        </w:tc>
        <w:tc>
          <w:tcPr>
            <w:tcW w:w="4344" w:type="dxa"/>
            <w:tcBorders>
              <w:left w:val="nil"/>
            </w:tcBorders>
            <w:vAlign w:val="bottom"/>
          </w:tcPr>
          <w:p w14:paraId="2B0D3F9A" w14:textId="7C2A27D4" w:rsidR="00EC46DF" w:rsidRPr="009A3E58" w:rsidRDefault="00EC46DF" w:rsidP="00EC46DF">
            <w:pPr>
              <w:pStyle w:val="-0"/>
              <w:spacing w:line="240" w:lineRule="auto"/>
              <w:ind w:left="590" w:hanging="284"/>
              <w:rPr>
                <w:rtl/>
              </w:rPr>
            </w:pPr>
            <w:r w:rsidRPr="00472C61">
              <w:rPr>
                <w:rFonts w:hint="eastAsia"/>
                <w:rtl/>
              </w:rPr>
              <w:t>לפי</w:t>
            </w:r>
            <w:r w:rsidRPr="00472C61">
              <w:rPr>
                <w:rtl/>
              </w:rPr>
              <w:t xml:space="preserve"> </w:t>
            </w:r>
            <w:r w:rsidRPr="00472C61">
              <w:rPr>
                <w:rFonts w:hint="eastAsia"/>
                <w:rtl/>
              </w:rPr>
              <w:t>דרישה</w:t>
            </w:r>
          </w:p>
        </w:tc>
        <w:tc>
          <w:tcPr>
            <w:tcW w:w="1112" w:type="dxa"/>
            <w:vAlign w:val="bottom"/>
          </w:tcPr>
          <w:p w14:paraId="5D89D7A7" w14:textId="77777777" w:rsidR="00EC46DF" w:rsidRPr="009A3E58" w:rsidRDefault="00EC46DF" w:rsidP="006F3019">
            <w:pPr>
              <w:pStyle w:val="-3"/>
              <w:rPr>
                <w:rtl/>
              </w:rPr>
            </w:pPr>
          </w:p>
        </w:tc>
        <w:tc>
          <w:tcPr>
            <w:tcW w:w="883" w:type="dxa"/>
            <w:vAlign w:val="bottom"/>
          </w:tcPr>
          <w:p w14:paraId="0C231429" w14:textId="77777777" w:rsidR="00EC46DF" w:rsidRPr="009A3E58" w:rsidRDefault="00EC46DF" w:rsidP="006F3019">
            <w:pPr>
              <w:pStyle w:val="-3"/>
              <w:rPr>
                <w:rtl/>
              </w:rPr>
            </w:pPr>
          </w:p>
        </w:tc>
        <w:tc>
          <w:tcPr>
            <w:tcW w:w="1423" w:type="dxa"/>
            <w:vAlign w:val="bottom"/>
          </w:tcPr>
          <w:p w14:paraId="38C9315A" w14:textId="77777777" w:rsidR="00EC46DF" w:rsidRPr="009A3E58" w:rsidRDefault="00EC46DF" w:rsidP="006F3019">
            <w:pPr>
              <w:pStyle w:val="-3"/>
              <w:rPr>
                <w:rtl/>
              </w:rPr>
            </w:pPr>
          </w:p>
        </w:tc>
      </w:tr>
      <w:tr w:rsidR="00EC46DF" w:rsidRPr="009A3E58" w14:paraId="16891800" w14:textId="77777777" w:rsidTr="00AB0DD8">
        <w:trPr>
          <w:trHeight w:val="259"/>
        </w:trPr>
        <w:tc>
          <w:tcPr>
            <w:tcW w:w="1077" w:type="dxa"/>
          </w:tcPr>
          <w:p w14:paraId="0892C7DA" w14:textId="77777777" w:rsidR="00EC46DF" w:rsidRPr="009A3E58" w:rsidRDefault="00EC46DF" w:rsidP="006F3019">
            <w:pPr>
              <w:pStyle w:val="-fa"/>
              <w:rPr>
                <w:rtl/>
              </w:rPr>
            </w:pPr>
          </w:p>
        </w:tc>
        <w:tc>
          <w:tcPr>
            <w:tcW w:w="4344" w:type="dxa"/>
            <w:tcBorders>
              <w:left w:val="nil"/>
            </w:tcBorders>
            <w:vAlign w:val="bottom"/>
          </w:tcPr>
          <w:p w14:paraId="0209BA3C" w14:textId="5FAEED21" w:rsidR="00EC46DF" w:rsidRPr="009A3E58" w:rsidRDefault="00EC46DF" w:rsidP="00EC46DF">
            <w:pPr>
              <w:pStyle w:val="-0"/>
              <w:ind w:left="589" w:hanging="75"/>
              <w:rPr>
                <w:rtl/>
              </w:rPr>
            </w:pPr>
            <w:r w:rsidRPr="00472C61">
              <w:rPr>
                <w:rFonts w:hint="eastAsia"/>
                <w:rtl/>
              </w:rPr>
              <w:t>אינם</w:t>
            </w:r>
            <w:r w:rsidRPr="00472C61">
              <w:rPr>
                <w:rtl/>
              </w:rPr>
              <w:t xml:space="preserve"> </w:t>
            </w:r>
            <w:r w:rsidRPr="00472C61">
              <w:rPr>
                <w:rFonts w:hint="eastAsia"/>
                <w:rtl/>
              </w:rPr>
              <w:t>נושאים</w:t>
            </w:r>
            <w:r w:rsidRPr="00472C61">
              <w:rPr>
                <w:rtl/>
              </w:rPr>
              <w:t xml:space="preserve"> </w:t>
            </w:r>
            <w:r w:rsidRPr="00472C61">
              <w:rPr>
                <w:rFonts w:hint="eastAsia"/>
                <w:rtl/>
              </w:rPr>
              <w:t>ריבית</w:t>
            </w:r>
          </w:p>
        </w:tc>
        <w:tc>
          <w:tcPr>
            <w:tcW w:w="1112" w:type="dxa"/>
            <w:vAlign w:val="bottom"/>
          </w:tcPr>
          <w:p w14:paraId="37CC2AC3" w14:textId="77777777" w:rsidR="00EC46DF" w:rsidRPr="009A3E58" w:rsidRDefault="00EC46DF" w:rsidP="006F3019">
            <w:pPr>
              <w:pStyle w:val="-3"/>
              <w:rPr>
                <w:rtl/>
              </w:rPr>
            </w:pPr>
            <w:r w:rsidRPr="00472C61">
              <w:rPr>
                <w:rtl/>
              </w:rPr>
              <w:t xml:space="preserve"> 0</w:t>
            </w:r>
          </w:p>
        </w:tc>
        <w:tc>
          <w:tcPr>
            <w:tcW w:w="883" w:type="dxa"/>
            <w:vAlign w:val="bottom"/>
          </w:tcPr>
          <w:p w14:paraId="2E913FC6" w14:textId="77777777" w:rsidR="00EC46DF" w:rsidRPr="009A3E58" w:rsidRDefault="00EC46DF" w:rsidP="006F3019">
            <w:pPr>
              <w:pStyle w:val="-3"/>
              <w:rPr>
                <w:rtl/>
              </w:rPr>
            </w:pPr>
            <w:r w:rsidRPr="00472C61">
              <w:rPr>
                <w:rtl/>
              </w:rPr>
              <w:t xml:space="preserve"> 0</w:t>
            </w:r>
          </w:p>
        </w:tc>
        <w:tc>
          <w:tcPr>
            <w:tcW w:w="1423" w:type="dxa"/>
            <w:vAlign w:val="bottom"/>
          </w:tcPr>
          <w:p w14:paraId="15486CF8" w14:textId="77777777" w:rsidR="00EC46DF" w:rsidRPr="009A3E58" w:rsidRDefault="00EC46DF" w:rsidP="006F3019">
            <w:pPr>
              <w:pStyle w:val="-3"/>
              <w:rPr>
                <w:rtl/>
              </w:rPr>
            </w:pPr>
            <w:r w:rsidRPr="00472C61">
              <w:rPr>
                <w:rtl/>
              </w:rPr>
              <w:t xml:space="preserve"> 0</w:t>
            </w:r>
          </w:p>
        </w:tc>
      </w:tr>
      <w:tr w:rsidR="00EC46DF" w:rsidRPr="009A3E58" w14:paraId="04CA2500" w14:textId="77777777" w:rsidTr="00AB0DD8">
        <w:trPr>
          <w:trHeight w:val="259"/>
        </w:trPr>
        <w:tc>
          <w:tcPr>
            <w:tcW w:w="1077" w:type="dxa"/>
          </w:tcPr>
          <w:p w14:paraId="246A6A6E" w14:textId="77777777" w:rsidR="00EC46DF" w:rsidRPr="009A3E58" w:rsidRDefault="00EC46DF" w:rsidP="006F3019">
            <w:pPr>
              <w:pStyle w:val="-fa"/>
              <w:rPr>
                <w:rtl/>
              </w:rPr>
            </w:pPr>
          </w:p>
        </w:tc>
        <w:tc>
          <w:tcPr>
            <w:tcW w:w="4344" w:type="dxa"/>
            <w:tcBorders>
              <w:left w:val="nil"/>
            </w:tcBorders>
            <w:vAlign w:val="bottom"/>
          </w:tcPr>
          <w:p w14:paraId="2181BACE" w14:textId="4FA07C1C" w:rsidR="00EC46DF" w:rsidRPr="009A3E58" w:rsidRDefault="00EC46DF" w:rsidP="00EC46DF">
            <w:pPr>
              <w:pStyle w:val="-0"/>
              <w:ind w:left="589" w:hanging="75"/>
              <w:rPr>
                <w:rtl/>
              </w:rPr>
            </w:pPr>
            <w:r w:rsidRPr="00472C61">
              <w:rPr>
                <w:rFonts w:hint="eastAsia"/>
                <w:rtl/>
              </w:rPr>
              <w:t>נושאים</w:t>
            </w:r>
            <w:r w:rsidRPr="00472C61">
              <w:rPr>
                <w:rtl/>
              </w:rPr>
              <w:t xml:space="preserve"> </w:t>
            </w:r>
            <w:r w:rsidRPr="00472C61">
              <w:rPr>
                <w:rFonts w:hint="eastAsia"/>
                <w:rtl/>
              </w:rPr>
              <w:t>ריבית</w:t>
            </w:r>
          </w:p>
        </w:tc>
        <w:tc>
          <w:tcPr>
            <w:tcW w:w="1112" w:type="dxa"/>
            <w:vAlign w:val="bottom"/>
          </w:tcPr>
          <w:p w14:paraId="4F9A4225" w14:textId="77777777" w:rsidR="00EC46DF" w:rsidRPr="009A3E58" w:rsidRDefault="00EC46DF" w:rsidP="006F3019">
            <w:pPr>
              <w:pStyle w:val="-3"/>
              <w:pBdr>
                <w:bottom w:val="single" w:sz="4" w:space="1" w:color="auto"/>
              </w:pBdr>
              <w:rPr>
                <w:rtl/>
              </w:rPr>
            </w:pPr>
            <w:r w:rsidRPr="00472C61">
              <w:rPr>
                <w:rtl/>
              </w:rPr>
              <w:t xml:space="preserve"> 0</w:t>
            </w:r>
          </w:p>
        </w:tc>
        <w:tc>
          <w:tcPr>
            <w:tcW w:w="883" w:type="dxa"/>
            <w:vAlign w:val="bottom"/>
          </w:tcPr>
          <w:p w14:paraId="6BE85C22" w14:textId="77777777" w:rsidR="00EC46DF" w:rsidRPr="009A3E58" w:rsidRDefault="00EC46DF" w:rsidP="006F3019">
            <w:pPr>
              <w:pStyle w:val="-3"/>
              <w:pBdr>
                <w:bottom w:val="single" w:sz="4" w:space="1" w:color="auto"/>
              </w:pBdr>
              <w:rPr>
                <w:rtl/>
              </w:rPr>
            </w:pPr>
            <w:r w:rsidRPr="00472C61">
              <w:rPr>
                <w:rtl/>
              </w:rPr>
              <w:t xml:space="preserve"> 0</w:t>
            </w:r>
          </w:p>
        </w:tc>
        <w:tc>
          <w:tcPr>
            <w:tcW w:w="1423" w:type="dxa"/>
            <w:vAlign w:val="bottom"/>
          </w:tcPr>
          <w:p w14:paraId="4C236442" w14:textId="77777777" w:rsidR="00EC46DF" w:rsidRPr="009A3E58" w:rsidRDefault="00EC46DF" w:rsidP="006F3019">
            <w:pPr>
              <w:pStyle w:val="-3"/>
              <w:pBdr>
                <w:bottom w:val="single" w:sz="4" w:space="1" w:color="auto"/>
              </w:pBdr>
              <w:rPr>
                <w:rtl/>
              </w:rPr>
            </w:pPr>
            <w:r w:rsidRPr="00472C61">
              <w:rPr>
                <w:rtl/>
              </w:rPr>
              <w:t xml:space="preserve"> 0</w:t>
            </w:r>
          </w:p>
        </w:tc>
      </w:tr>
      <w:tr w:rsidR="00EC46DF" w:rsidRPr="009A3E58" w14:paraId="0B300EDE" w14:textId="77777777" w:rsidTr="00AB0DD8">
        <w:trPr>
          <w:trHeight w:val="259"/>
        </w:trPr>
        <w:tc>
          <w:tcPr>
            <w:tcW w:w="1077" w:type="dxa"/>
          </w:tcPr>
          <w:p w14:paraId="59FA2F7D" w14:textId="77777777" w:rsidR="00EC46DF" w:rsidRPr="009A3E58" w:rsidRDefault="00EC46DF" w:rsidP="006F3019">
            <w:pPr>
              <w:pStyle w:val="-fa"/>
              <w:rPr>
                <w:rtl/>
              </w:rPr>
            </w:pPr>
          </w:p>
        </w:tc>
        <w:tc>
          <w:tcPr>
            <w:tcW w:w="4344" w:type="dxa"/>
            <w:tcBorders>
              <w:left w:val="nil"/>
            </w:tcBorders>
            <w:vAlign w:val="bottom"/>
          </w:tcPr>
          <w:p w14:paraId="6DFCBAFB" w14:textId="77777777" w:rsidR="00EC46DF" w:rsidRPr="009A3E58" w:rsidRDefault="00EC46DF" w:rsidP="00EC46DF">
            <w:pPr>
              <w:pStyle w:val="-0"/>
              <w:spacing w:line="240" w:lineRule="auto"/>
              <w:ind w:left="590" w:hanging="284"/>
              <w:rPr>
                <w:rtl/>
              </w:rPr>
            </w:pPr>
            <w:r>
              <w:rPr>
                <w:rFonts w:hint="cs"/>
                <w:rtl/>
              </w:rPr>
              <w:t>סה"כ</w:t>
            </w:r>
            <w:r w:rsidRPr="00472C61">
              <w:rPr>
                <w:rtl/>
              </w:rPr>
              <w:t xml:space="preserve"> לפי דרישה</w:t>
            </w:r>
          </w:p>
        </w:tc>
        <w:tc>
          <w:tcPr>
            <w:tcW w:w="1112" w:type="dxa"/>
            <w:vAlign w:val="bottom"/>
          </w:tcPr>
          <w:p w14:paraId="31EF4FCA" w14:textId="77777777" w:rsidR="00EC46DF" w:rsidRPr="009A3E58" w:rsidRDefault="00EC46DF" w:rsidP="006F3019">
            <w:pPr>
              <w:pStyle w:val="-3"/>
              <w:rPr>
                <w:rtl/>
              </w:rPr>
            </w:pPr>
            <w:r w:rsidRPr="00472C61">
              <w:rPr>
                <w:rtl/>
              </w:rPr>
              <w:t xml:space="preserve"> 0</w:t>
            </w:r>
          </w:p>
        </w:tc>
        <w:tc>
          <w:tcPr>
            <w:tcW w:w="883" w:type="dxa"/>
            <w:vAlign w:val="bottom"/>
          </w:tcPr>
          <w:p w14:paraId="44D4D78B" w14:textId="77777777" w:rsidR="00EC46DF" w:rsidRPr="009A3E58" w:rsidRDefault="00EC46DF" w:rsidP="006F3019">
            <w:pPr>
              <w:pStyle w:val="-3"/>
              <w:rPr>
                <w:rtl/>
              </w:rPr>
            </w:pPr>
            <w:r w:rsidRPr="00472C61">
              <w:rPr>
                <w:rtl/>
              </w:rPr>
              <w:t xml:space="preserve"> 0</w:t>
            </w:r>
          </w:p>
        </w:tc>
        <w:tc>
          <w:tcPr>
            <w:tcW w:w="1423" w:type="dxa"/>
            <w:vAlign w:val="bottom"/>
          </w:tcPr>
          <w:p w14:paraId="345DBD33" w14:textId="77777777" w:rsidR="00EC46DF" w:rsidRPr="009A3E58" w:rsidRDefault="00EC46DF" w:rsidP="006F3019">
            <w:pPr>
              <w:pStyle w:val="-3"/>
              <w:rPr>
                <w:rtl/>
              </w:rPr>
            </w:pPr>
            <w:r w:rsidRPr="00472C61">
              <w:rPr>
                <w:rtl/>
              </w:rPr>
              <w:t xml:space="preserve"> 0</w:t>
            </w:r>
          </w:p>
        </w:tc>
      </w:tr>
      <w:tr w:rsidR="00EC46DF" w:rsidRPr="009A3E58" w14:paraId="7D038842" w14:textId="77777777" w:rsidTr="00AB0DD8">
        <w:trPr>
          <w:trHeight w:val="259"/>
        </w:trPr>
        <w:tc>
          <w:tcPr>
            <w:tcW w:w="1077" w:type="dxa"/>
            <w:vAlign w:val="center"/>
          </w:tcPr>
          <w:p w14:paraId="4DB71D1C" w14:textId="77777777" w:rsidR="00EC46DF" w:rsidRPr="009A3E58" w:rsidRDefault="00EC46DF" w:rsidP="00E32CDC">
            <w:pPr>
              <w:pStyle w:val="-fa"/>
              <w:rPr>
                <w:rtl/>
              </w:rPr>
            </w:pPr>
          </w:p>
        </w:tc>
        <w:tc>
          <w:tcPr>
            <w:tcW w:w="4344" w:type="dxa"/>
            <w:tcBorders>
              <w:left w:val="nil"/>
            </w:tcBorders>
            <w:vAlign w:val="bottom"/>
          </w:tcPr>
          <w:p w14:paraId="04E49970" w14:textId="1D72328B" w:rsidR="00EC46DF" w:rsidRDefault="00EC46DF" w:rsidP="00EC46DF">
            <w:pPr>
              <w:pStyle w:val="-0"/>
              <w:spacing w:line="240" w:lineRule="auto"/>
              <w:ind w:left="590" w:hanging="284"/>
              <w:rPr>
                <w:rtl/>
              </w:rPr>
            </w:pPr>
            <w:r w:rsidRPr="00472C61">
              <w:rPr>
                <w:rFonts w:hint="eastAsia"/>
                <w:rtl/>
              </w:rPr>
              <w:t>לזמן</w:t>
            </w:r>
            <w:r w:rsidRPr="00472C61">
              <w:rPr>
                <w:rtl/>
              </w:rPr>
              <w:t xml:space="preserve"> </w:t>
            </w:r>
            <w:r w:rsidRPr="00472C61">
              <w:rPr>
                <w:rFonts w:hint="eastAsia"/>
                <w:rtl/>
              </w:rPr>
              <w:t>קצוב</w:t>
            </w:r>
            <w:r w:rsidRPr="00E704F0">
              <w:rPr>
                <w:sz w:val="18"/>
                <w:szCs w:val="18"/>
                <w:vertAlign w:val="superscript"/>
                <w:rtl/>
              </w:rPr>
              <w:t>[</w:t>
            </w:r>
            <w:r>
              <w:rPr>
                <w:rFonts w:hint="cs"/>
                <w:sz w:val="18"/>
                <w:szCs w:val="18"/>
                <w:vertAlign w:val="superscript"/>
                <w:rtl/>
              </w:rPr>
              <w:t>1</w:t>
            </w:r>
            <w:r w:rsidRPr="00E704F0">
              <w:rPr>
                <w:sz w:val="18"/>
                <w:szCs w:val="18"/>
                <w:vertAlign w:val="superscript"/>
                <w:rtl/>
              </w:rPr>
              <w:t>]</w:t>
            </w:r>
          </w:p>
        </w:tc>
        <w:tc>
          <w:tcPr>
            <w:tcW w:w="1112" w:type="dxa"/>
            <w:vAlign w:val="bottom"/>
          </w:tcPr>
          <w:p w14:paraId="15C82AC8" w14:textId="77777777" w:rsidR="00EC46DF" w:rsidRPr="009A3E58" w:rsidRDefault="00EC46DF" w:rsidP="00EB5088">
            <w:pPr>
              <w:pStyle w:val="-3"/>
              <w:pBdr>
                <w:bottom w:val="single" w:sz="4" w:space="1" w:color="auto"/>
              </w:pBdr>
              <w:spacing w:before="60" w:line="240" w:lineRule="auto"/>
              <w:rPr>
                <w:rtl/>
              </w:rPr>
            </w:pPr>
            <w:r w:rsidRPr="00472C61">
              <w:rPr>
                <w:rtl/>
              </w:rPr>
              <w:t xml:space="preserve"> 0</w:t>
            </w:r>
          </w:p>
        </w:tc>
        <w:tc>
          <w:tcPr>
            <w:tcW w:w="883" w:type="dxa"/>
            <w:vAlign w:val="bottom"/>
          </w:tcPr>
          <w:p w14:paraId="3B1DF89F" w14:textId="77777777" w:rsidR="00EC46DF" w:rsidRPr="009A3E58" w:rsidRDefault="00EC46DF" w:rsidP="00EB5088">
            <w:pPr>
              <w:pStyle w:val="-3"/>
              <w:pBdr>
                <w:bottom w:val="single" w:sz="4" w:space="1" w:color="auto"/>
              </w:pBdr>
              <w:spacing w:before="60" w:line="240" w:lineRule="auto"/>
              <w:rPr>
                <w:rtl/>
              </w:rPr>
            </w:pPr>
            <w:r w:rsidRPr="00472C61">
              <w:rPr>
                <w:rtl/>
              </w:rPr>
              <w:t xml:space="preserve"> 0</w:t>
            </w:r>
          </w:p>
        </w:tc>
        <w:tc>
          <w:tcPr>
            <w:tcW w:w="1423" w:type="dxa"/>
            <w:vAlign w:val="bottom"/>
          </w:tcPr>
          <w:p w14:paraId="07D7CDEC" w14:textId="77777777" w:rsidR="00EC46DF" w:rsidRPr="009A3E58" w:rsidRDefault="00EC46DF" w:rsidP="00EB5088">
            <w:pPr>
              <w:pStyle w:val="-3"/>
              <w:pBdr>
                <w:bottom w:val="single" w:sz="4" w:space="1" w:color="auto"/>
              </w:pBdr>
              <w:spacing w:before="60" w:line="240" w:lineRule="auto"/>
              <w:rPr>
                <w:rtl/>
              </w:rPr>
            </w:pPr>
            <w:r w:rsidRPr="00472C61">
              <w:rPr>
                <w:rtl/>
              </w:rPr>
              <w:t xml:space="preserve"> 0</w:t>
            </w:r>
          </w:p>
        </w:tc>
      </w:tr>
      <w:tr w:rsidR="00EC46DF" w:rsidRPr="009A3E58" w14:paraId="54499DE9" w14:textId="77777777" w:rsidTr="00AB0DD8">
        <w:trPr>
          <w:trHeight w:val="80"/>
        </w:trPr>
        <w:tc>
          <w:tcPr>
            <w:tcW w:w="1077" w:type="dxa"/>
          </w:tcPr>
          <w:p w14:paraId="0B8F4EA8" w14:textId="77777777" w:rsidR="00EC46DF" w:rsidRPr="009A3E58" w:rsidRDefault="00EC46DF" w:rsidP="006F3019">
            <w:pPr>
              <w:pStyle w:val="-7"/>
              <w:bidi w:val="0"/>
              <w:ind w:right="-231"/>
              <w:jc w:val="left"/>
              <w:rPr>
                <w:spacing w:val="-6"/>
                <w:sz w:val="14"/>
                <w:szCs w:val="14"/>
                <w:rtl/>
              </w:rPr>
            </w:pPr>
          </w:p>
        </w:tc>
        <w:tc>
          <w:tcPr>
            <w:tcW w:w="4344" w:type="dxa"/>
            <w:tcBorders>
              <w:left w:val="nil"/>
            </w:tcBorders>
            <w:vAlign w:val="center"/>
          </w:tcPr>
          <w:p w14:paraId="13C92E1E" w14:textId="0699FA56" w:rsidR="00EC46DF" w:rsidRDefault="00EC46DF" w:rsidP="00EC46DF">
            <w:pPr>
              <w:pStyle w:val="-b"/>
              <w:tabs>
                <w:tab w:val="left" w:pos="0"/>
              </w:tabs>
              <w:ind w:hanging="30"/>
              <w:rPr>
                <w:rtl/>
              </w:rPr>
            </w:pPr>
            <w:r w:rsidRPr="00472C61">
              <w:rPr>
                <w:rtl/>
              </w:rPr>
              <w:tab/>
            </w:r>
            <w:r>
              <w:rPr>
                <w:rFonts w:hint="cs"/>
                <w:rtl/>
              </w:rPr>
              <w:t xml:space="preserve">   סה"כ</w:t>
            </w:r>
            <w:r w:rsidRPr="00472C61">
              <w:rPr>
                <w:rtl/>
              </w:rPr>
              <w:t xml:space="preserve"> פיקדונות מחוץ לישראל</w:t>
            </w:r>
            <w:r w:rsidRPr="00E704F0">
              <w:rPr>
                <w:sz w:val="18"/>
                <w:szCs w:val="18"/>
                <w:rtl/>
              </w:rPr>
              <w:t xml:space="preserve"> </w:t>
            </w:r>
          </w:p>
        </w:tc>
        <w:tc>
          <w:tcPr>
            <w:tcW w:w="1112" w:type="dxa"/>
            <w:vAlign w:val="bottom"/>
          </w:tcPr>
          <w:p w14:paraId="623DFF30" w14:textId="77777777" w:rsidR="00EC46DF" w:rsidRPr="009A3E58" w:rsidRDefault="00EC46DF" w:rsidP="006F3019">
            <w:pPr>
              <w:pStyle w:val="-f1"/>
              <w:pBdr>
                <w:top w:val="none" w:sz="0" w:space="0" w:color="auto"/>
                <w:bottom w:val="single" w:sz="4" w:space="1" w:color="auto"/>
              </w:pBdr>
              <w:rPr>
                <w:rtl/>
              </w:rPr>
            </w:pPr>
            <w:r w:rsidRPr="00472C61">
              <w:rPr>
                <w:rtl/>
              </w:rPr>
              <w:t xml:space="preserve"> 0</w:t>
            </w:r>
          </w:p>
        </w:tc>
        <w:tc>
          <w:tcPr>
            <w:tcW w:w="883" w:type="dxa"/>
            <w:vAlign w:val="bottom"/>
          </w:tcPr>
          <w:p w14:paraId="7F73C56D" w14:textId="77777777" w:rsidR="00EC46DF" w:rsidRPr="009A3E58" w:rsidRDefault="00EC46DF" w:rsidP="006F3019">
            <w:pPr>
              <w:pStyle w:val="-f1"/>
              <w:pBdr>
                <w:top w:val="none" w:sz="0" w:space="0" w:color="auto"/>
                <w:bottom w:val="single" w:sz="4" w:space="1" w:color="auto"/>
              </w:pBdr>
              <w:rPr>
                <w:rtl/>
              </w:rPr>
            </w:pPr>
            <w:r w:rsidRPr="00472C61">
              <w:rPr>
                <w:rtl/>
              </w:rPr>
              <w:t xml:space="preserve"> 0</w:t>
            </w:r>
          </w:p>
        </w:tc>
        <w:tc>
          <w:tcPr>
            <w:tcW w:w="1423" w:type="dxa"/>
            <w:vAlign w:val="bottom"/>
          </w:tcPr>
          <w:p w14:paraId="1769E382" w14:textId="77777777" w:rsidR="00EC46DF" w:rsidRPr="009A3E58" w:rsidRDefault="00EC46DF" w:rsidP="006F3019">
            <w:pPr>
              <w:pStyle w:val="-f1"/>
              <w:pBdr>
                <w:top w:val="none" w:sz="0" w:space="0" w:color="auto"/>
                <w:bottom w:val="single" w:sz="4" w:space="1" w:color="auto"/>
              </w:pBdr>
              <w:rPr>
                <w:rtl/>
              </w:rPr>
            </w:pPr>
            <w:r w:rsidRPr="00472C61">
              <w:rPr>
                <w:rtl/>
              </w:rPr>
              <w:t xml:space="preserve"> 0</w:t>
            </w:r>
          </w:p>
        </w:tc>
      </w:tr>
      <w:tr w:rsidR="00EC46DF" w:rsidRPr="009A3E58" w14:paraId="2DBF112C" w14:textId="77777777" w:rsidTr="00AB0DD8">
        <w:tc>
          <w:tcPr>
            <w:tcW w:w="1077" w:type="dxa"/>
          </w:tcPr>
          <w:p w14:paraId="273BC984" w14:textId="77777777" w:rsidR="00EC46DF" w:rsidRDefault="00EC46DF">
            <w:pPr>
              <w:pStyle w:val="-7"/>
              <w:bidi w:val="0"/>
              <w:spacing w:line="60" w:lineRule="exact"/>
              <w:ind w:right="-231"/>
              <w:jc w:val="left"/>
              <w:rPr>
                <w:spacing w:val="-6"/>
                <w:sz w:val="14"/>
                <w:szCs w:val="14"/>
                <w:rtl/>
              </w:rPr>
            </w:pPr>
          </w:p>
        </w:tc>
        <w:tc>
          <w:tcPr>
            <w:tcW w:w="4344" w:type="dxa"/>
            <w:tcBorders>
              <w:left w:val="nil"/>
            </w:tcBorders>
            <w:vAlign w:val="center"/>
          </w:tcPr>
          <w:p w14:paraId="3BAE8693" w14:textId="77777777" w:rsidR="00EC46DF" w:rsidRDefault="00EC46DF">
            <w:pPr>
              <w:pStyle w:val="-b"/>
              <w:spacing w:line="60" w:lineRule="exact"/>
              <w:rPr>
                <w:rtl/>
              </w:rPr>
            </w:pPr>
          </w:p>
        </w:tc>
        <w:tc>
          <w:tcPr>
            <w:tcW w:w="1112" w:type="dxa"/>
            <w:vAlign w:val="bottom"/>
          </w:tcPr>
          <w:p w14:paraId="51488446" w14:textId="77777777" w:rsidR="00EC46DF" w:rsidRDefault="00EC46DF">
            <w:pPr>
              <w:pStyle w:val="-f1"/>
              <w:pBdr>
                <w:top w:val="none" w:sz="0" w:space="0" w:color="auto"/>
              </w:pBdr>
              <w:spacing w:line="60" w:lineRule="exact"/>
              <w:rPr>
                <w:rtl/>
              </w:rPr>
            </w:pPr>
          </w:p>
        </w:tc>
        <w:tc>
          <w:tcPr>
            <w:tcW w:w="883" w:type="dxa"/>
            <w:vAlign w:val="bottom"/>
          </w:tcPr>
          <w:p w14:paraId="66075E60" w14:textId="77777777" w:rsidR="00EC46DF" w:rsidRDefault="00EC46DF">
            <w:pPr>
              <w:pStyle w:val="-f1"/>
              <w:pBdr>
                <w:top w:val="none" w:sz="0" w:space="0" w:color="auto"/>
              </w:pBdr>
              <w:spacing w:line="60" w:lineRule="exact"/>
              <w:rPr>
                <w:rtl/>
              </w:rPr>
            </w:pPr>
          </w:p>
        </w:tc>
        <w:tc>
          <w:tcPr>
            <w:tcW w:w="1423" w:type="dxa"/>
            <w:vAlign w:val="bottom"/>
          </w:tcPr>
          <w:p w14:paraId="43BC66C3" w14:textId="77777777" w:rsidR="00EC46DF" w:rsidRDefault="00EC46DF">
            <w:pPr>
              <w:pStyle w:val="-f1"/>
              <w:pBdr>
                <w:top w:val="none" w:sz="0" w:space="0" w:color="auto"/>
              </w:pBdr>
              <w:spacing w:line="60" w:lineRule="exact"/>
              <w:rPr>
                <w:rtl/>
              </w:rPr>
            </w:pPr>
          </w:p>
        </w:tc>
      </w:tr>
      <w:tr w:rsidR="00EC46DF" w:rsidRPr="009A3E58" w14:paraId="0A9974B2" w14:textId="77777777" w:rsidTr="00AB0DD8">
        <w:trPr>
          <w:trHeight w:val="80"/>
        </w:trPr>
        <w:tc>
          <w:tcPr>
            <w:tcW w:w="1077" w:type="dxa"/>
          </w:tcPr>
          <w:p w14:paraId="16027FA8" w14:textId="77777777" w:rsidR="00EC46DF" w:rsidRPr="009A3E58" w:rsidRDefault="00EC46DF" w:rsidP="006F3019">
            <w:pPr>
              <w:pStyle w:val="-7"/>
              <w:bidi w:val="0"/>
              <w:ind w:right="-231"/>
              <w:jc w:val="left"/>
              <w:rPr>
                <w:spacing w:val="-6"/>
                <w:sz w:val="14"/>
                <w:szCs w:val="14"/>
                <w:rtl/>
              </w:rPr>
            </w:pPr>
          </w:p>
        </w:tc>
        <w:tc>
          <w:tcPr>
            <w:tcW w:w="4344" w:type="dxa"/>
            <w:tcBorders>
              <w:left w:val="nil"/>
            </w:tcBorders>
            <w:vAlign w:val="center"/>
          </w:tcPr>
          <w:p w14:paraId="78E80C1F" w14:textId="2382AF04" w:rsidR="00EC46DF" w:rsidRDefault="00EC46DF" w:rsidP="00EC46DF">
            <w:pPr>
              <w:pStyle w:val="-b"/>
              <w:spacing w:before="120" w:line="240" w:lineRule="auto"/>
              <w:rPr>
                <w:rtl/>
              </w:rPr>
            </w:pPr>
            <w:r>
              <w:rPr>
                <w:rFonts w:hint="cs"/>
                <w:rtl/>
              </w:rPr>
              <w:t xml:space="preserve">      </w:t>
            </w:r>
            <w:r w:rsidRPr="00472C61">
              <w:rPr>
                <w:rFonts w:hint="eastAsia"/>
                <w:rtl/>
              </w:rPr>
              <w:t>סך</w:t>
            </w:r>
            <w:r w:rsidRPr="00472C61">
              <w:rPr>
                <w:rtl/>
              </w:rPr>
              <w:t xml:space="preserve"> </w:t>
            </w:r>
            <w:r w:rsidRPr="00472C61">
              <w:rPr>
                <w:rFonts w:hint="eastAsia"/>
                <w:rtl/>
              </w:rPr>
              <w:t>כל</w:t>
            </w:r>
            <w:r w:rsidRPr="00472C61">
              <w:rPr>
                <w:rtl/>
              </w:rPr>
              <w:t xml:space="preserve"> </w:t>
            </w:r>
            <w:r w:rsidRPr="00472C61">
              <w:rPr>
                <w:rFonts w:hint="eastAsia"/>
                <w:rtl/>
              </w:rPr>
              <w:t>פיקדונות</w:t>
            </w:r>
            <w:r w:rsidRPr="00472C61">
              <w:rPr>
                <w:rtl/>
              </w:rPr>
              <w:t xml:space="preserve"> </w:t>
            </w:r>
            <w:r w:rsidRPr="00472C61">
              <w:rPr>
                <w:rFonts w:hint="eastAsia"/>
                <w:rtl/>
              </w:rPr>
              <w:t>הציבור</w:t>
            </w:r>
          </w:p>
        </w:tc>
        <w:tc>
          <w:tcPr>
            <w:tcW w:w="1112" w:type="dxa"/>
            <w:vAlign w:val="bottom"/>
          </w:tcPr>
          <w:p w14:paraId="4035D972" w14:textId="77777777" w:rsidR="00EC46DF" w:rsidRPr="009A3E58" w:rsidRDefault="00EC46DF" w:rsidP="006F3019">
            <w:pPr>
              <w:pStyle w:val="-f1"/>
              <w:pBdr>
                <w:top w:val="none" w:sz="0" w:space="0" w:color="auto"/>
                <w:bottom w:val="double" w:sz="4" w:space="1" w:color="auto"/>
              </w:pBdr>
              <w:rPr>
                <w:rtl/>
              </w:rPr>
            </w:pPr>
            <w:r w:rsidRPr="00472C61">
              <w:rPr>
                <w:rtl/>
              </w:rPr>
              <w:t xml:space="preserve"> 0</w:t>
            </w:r>
          </w:p>
        </w:tc>
        <w:tc>
          <w:tcPr>
            <w:tcW w:w="883" w:type="dxa"/>
            <w:vAlign w:val="bottom"/>
          </w:tcPr>
          <w:p w14:paraId="6CE3C467" w14:textId="77777777" w:rsidR="00EC46DF" w:rsidRPr="009A3E58" w:rsidRDefault="00EC46DF" w:rsidP="006F3019">
            <w:pPr>
              <w:pStyle w:val="-f1"/>
              <w:pBdr>
                <w:top w:val="none" w:sz="0" w:space="0" w:color="auto"/>
                <w:bottom w:val="double" w:sz="4" w:space="1" w:color="auto"/>
              </w:pBdr>
              <w:rPr>
                <w:rtl/>
              </w:rPr>
            </w:pPr>
            <w:r w:rsidRPr="00472C61">
              <w:rPr>
                <w:rtl/>
              </w:rPr>
              <w:t xml:space="preserve"> 0</w:t>
            </w:r>
          </w:p>
        </w:tc>
        <w:tc>
          <w:tcPr>
            <w:tcW w:w="1423" w:type="dxa"/>
            <w:vAlign w:val="bottom"/>
          </w:tcPr>
          <w:p w14:paraId="78F28306" w14:textId="77777777" w:rsidR="00EC46DF" w:rsidRPr="009A3E58" w:rsidRDefault="00EC46DF" w:rsidP="006F3019">
            <w:pPr>
              <w:pStyle w:val="-f1"/>
              <w:pBdr>
                <w:top w:val="none" w:sz="0" w:space="0" w:color="auto"/>
                <w:bottom w:val="double" w:sz="4" w:space="1" w:color="auto"/>
              </w:pBdr>
              <w:rPr>
                <w:rtl/>
              </w:rPr>
            </w:pPr>
            <w:r w:rsidRPr="00472C61">
              <w:rPr>
                <w:rtl/>
              </w:rPr>
              <w:t xml:space="preserve"> 0</w:t>
            </w:r>
          </w:p>
        </w:tc>
      </w:tr>
    </w:tbl>
    <w:p w14:paraId="6F066DE3" w14:textId="77777777" w:rsidR="00EC46DF" w:rsidRDefault="00EC46DF"/>
    <w:tbl>
      <w:tblPr>
        <w:bidiVisual/>
        <w:tblW w:w="4402" w:type="pct"/>
        <w:tblLayout w:type="fixed"/>
        <w:tblLook w:val="04A0" w:firstRow="1" w:lastRow="0" w:firstColumn="1" w:lastColumn="0" w:noHBand="0" w:noVBand="1"/>
      </w:tblPr>
      <w:tblGrid>
        <w:gridCol w:w="1304"/>
        <w:gridCol w:w="4139"/>
        <w:gridCol w:w="1112"/>
        <w:gridCol w:w="886"/>
        <w:gridCol w:w="1419"/>
        <w:gridCol w:w="126"/>
      </w:tblGrid>
      <w:tr w:rsidR="006D22E3" w:rsidRPr="009A3E58" w14:paraId="5A69AF88" w14:textId="77777777" w:rsidTr="00CE19D7">
        <w:trPr>
          <w:trHeight w:val="259"/>
        </w:trPr>
        <w:tc>
          <w:tcPr>
            <w:tcW w:w="1304" w:type="dxa"/>
          </w:tcPr>
          <w:p w14:paraId="5D633F28" w14:textId="77777777" w:rsidR="006D22E3" w:rsidRPr="009A3E58" w:rsidRDefault="006D22E3" w:rsidP="006F3019">
            <w:pPr>
              <w:pStyle w:val="-fa"/>
              <w:rPr>
                <w:rtl/>
              </w:rPr>
            </w:pPr>
          </w:p>
        </w:tc>
        <w:tc>
          <w:tcPr>
            <w:tcW w:w="7682" w:type="dxa"/>
            <w:gridSpan w:val="5"/>
            <w:tcBorders>
              <w:left w:val="nil"/>
            </w:tcBorders>
            <w:vAlign w:val="bottom"/>
          </w:tcPr>
          <w:p w14:paraId="437AD5D2" w14:textId="77777777" w:rsidR="006D22E3" w:rsidRPr="00935B91" w:rsidRDefault="00B44059" w:rsidP="002C4102">
            <w:pPr>
              <w:tabs>
                <w:tab w:val="left" w:pos="232"/>
              </w:tabs>
              <w:ind w:left="232"/>
              <w:jc w:val="left"/>
              <w:rPr>
                <w:sz w:val="18"/>
                <w:szCs w:val="18"/>
                <w:rtl/>
              </w:rPr>
            </w:pPr>
            <w:r w:rsidRPr="00935B91">
              <w:rPr>
                <w:sz w:val="18"/>
                <w:szCs w:val="18"/>
                <w:rtl/>
              </w:rPr>
              <w:t xml:space="preserve">(א) </w:t>
            </w:r>
            <w:r w:rsidRPr="00935B91">
              <w:rPr>
                <w:rFonts w:hint="eastAsia"/>
                <w:sz w:val="18"/>
                <w:szCs w:val="18"/>
                <w:rtl/>
              </w:rPr>
              <w:t>מזה</w:t>
            </w:r>
            <w:r w:rsidRPr="00935B91">
              <w:rPr>
                <w:sz w:val="18"/>
                <w:szCs w:val="18"/>
                <w:rtl/>
              </w:rPr>
              <w:t>:</w:t>
            </w:r>
          </w:p>
        </w:tc>
      </w:tr>
      <w:tr w:rsidR="00EC46DF" w:rsidRPr="009A3E58" w14:paraId="2972A1CE" w14:textId="77777777" w:rsidTr="00CE19D7">
        <w:trPr>
          <w:gridAfter w:val="1"/>
          <w:wAfter w:w="126" w:type="dxa"/>
          <w:trHeight w:val="259"/>
        </w:trPr>
        <w:tc>
          <w:tcPr>
            <w:tcW w:w="1304" w:type="dxa"/>
          </w:tcPr>
          <w:p w14:paraId="237FD0DF" w14:textId="77777777" w:rsidR="00EC46DF" w:rsidRPr="009A3E58" w:rsidRDefault="00EC46DF" w:rsidP="006F3019">
            <w:pPr>
              <w:pStyle w:val="-7"/>
              <w:bidi w:val="0"/>
              <w:ind w:right="-231"/>
              <w:jc w:val="left"/>
              <w:rPr>
                <w:spacing w:val="-6"/>
                <w:sz w:val="14"/>
                <w:szCs w:val="14"/>
                <w:rtl/>
              </w:rPr>
            </w:pPr>
          </w:p>
        </w:tc>
        <w:tc>
          <w:tcPr>
            <w:tcW w:w="4139" w:type="dxa"/>
            <w:tcBorders>
              <w:left w:val="nil"/>
            </w:tcBorders>
            <w:vAlign w:val="bottom"/>
          </w:tcPr>
          <w:p w14:paraId="797CB407" w14:textId="54D1051C" w:rsidR="00EC46DF" w:rsidRPr="008928CA" w:rsidRDefault="00EC46DF" w:rsidP="002C4102">
            <w:pPr>
              <w:pStyle w:val="-0"/>
              <w:spacing w:line="240" w:lineRule="auto"/>
              <w:ind w:left="521" w:firstLine="0"/>
              <w:rPr>
                <w:sz w:val="18"/>
                <w:szCs w:val="18"/>
                <w:rtl/>
              </w:rPr>
            </w:pPr>
            <w:r w:rsidRPr="00B44059">
              <w:rPr>
                <w:rFonts w:hint="eastAsia"/>
                <w:sz w:val="18"/>
                <w:szCs w:val="18"/>
                <w:rtl/>
              </w:rPr>
              <w:t>פיקדונות</w:t>
            </w:r>
            <w:r w:rsidRPr="00B44059">
              <w:rPr>
                <w:sz w:val="18"/>
                <w:szCs w:val="18"/>
                <w:rtl/>
              </w:rPr>
              <w:t xml:space="preserve"> </w:t>
            </w:r>
            <w:r w:rsidRPr="00B44059">
              <w:rPr>
                <w:rFonts w:hint="eastAsia"/>
                <w:sz w:val="18"/>
                <w:szCs w:val="18"/>
                <w:rtl/>
              </w:rPr>
              <w:t>של</w:t>
            </w:r>
            <w:r w:rsidRPr="00B44059">
              <w:rPr>
                <w:sz w:val="18"/>
                <w:szCs w:val="18"/>
                <w:rtl/>
              </w:rPr>
              <w:t xml:space="preserve"> </w:t>
            </w:r>
            <w:r w:rsidRPr="00B44059">
              <w:rPr>
                <w:rFonts w:hint="eastAsia"/>
                <w:sz w:val="18"/>
                <w:szCs w:val="18"/>
                <w:rtl/>
              </w:rPr>
              <w:t>אנשים</w:t>
            </w:r>
            <w:r w:rsidRPr="00B44059">
              <w:rPr>
                <w:sz w:val="18"/>
                <w:szCs w:val="18"/>
                <w:rtl/>
              </w:rPr>
              <w:t xml:space="preserve"> </w:t>
            </w:r>
            <w:r w:rsidRPr="00B44059">
              <w:rPr>
                <w:rFonts w:hint="eastAsia"/>
                <w:sz w:val="18"/>
                <w:szCs w:val="18"/>
                <w:rtl/>
              </w:rPr>
              <w:t>פרטיים</w:t>
            </w:r>
          </w:p>
        </w:tc>
        <w:tc>
          <w:tcPr>
            <w:tcW w:w="1112" w:type="dxa"/>
            <w:vAlign w:val="bottom"/>
          </w:tcPr>
          <w:p w14:paraId="462971ED" w14:textId="77777777" w:rsidR="00EC46DF" w:rsidRPr="008928CA" w:rsidRDefault="00EC46DF" w:rsidP="006F3019">
            <w:pPr>
              <w:pStyle w:val="-3"/>
              <w:rPr>
                <w:sz w:val="18"/>
                <w:szCs w:val="18"/>
                <w:rtl/>
              </w:rPr>
            </w:pPr>
            <w:r w:rsidRPr="00B44059">
              <w:rPr>
                <w:sz w:val="18"/>
                <w:szCs w:val="18"/>
                <w:rtl/>
              </w:rPr>
              <w:t xml:space="preserve"> 0</w:t>
            </w:r>
          </w:p>
        </w:tc>
        <w:tc>
          <w:tcPr>
            <w:tcW w:w="886" w:type="dxa"/>
            <w:vAlign w:val="bottom"/>
          </w:tcPr>
          <w:p w14:paraId="3F047B0C" w14:textId="77777777" w:rsidR="00EC46DF" w:rsidRPr="008928CA" w:rsidRDefault="00EC46DF" w:rsidP="006F3019">
            <w:pPr>
              <w:pStyle w:val="-3"/>
              <w:rPr>
                <w:sz w:val="18"/>
                <w:szCs w:val="18"/>
                <w:rtl/>
              </w:rPr>
            </w:pPr>
            <w:r w:rsidRPr="00B44059">
              <w:rPr>
                <w:sz w:val="18"/>
                <w:szCs w:val="18"/>
                <w:rtl/>
              </w:rPr>
              <w:t xml:space="preserve"> 0</w:t>
            </w:r>
          </w:p>
        </w:tc>
        <w:tc>
          <w:tcPr>
            <w:tcW w:w="1419" w:type="dxa"/>
            <w:vAlign w:val="bottom"/>
          </w:tcPr>
          <w:p w14:paraId="29F14F0E" w14:textId="77777777" w:rsidR="00EC46DF" w:rsidRPr="008928CA" w:rsidRDefault="00EC46DF" w:rsidP="006F3019">
            <w:pPr>
              <w:pStyle w:val="-3"/>
              <w:rPr>
                <w:sz w:val="18"/>
                <w:szCs w:val="18"/>
                <w:rtl/>
              </w:rPr>
            </w:pPr>
            <w:r w:rsidRPr="00B44059">
              <w:rPr>
                <w:sz w:val="18"/>
                <w:szCs w:val="18"/>
                <w:rtl/>
              </w:rPr>
              <w:t xml:space="preserve"> 0</w:t>
            </w:r>
          </w:p>
        </w:tc>
      </w:tr>
      <w:tr w:rsidR="00EC46DF" w:rsidRPr="009A3E58" w14:paraId="6CADC613" w14:textId="77777777" w:rsidTr="00CE19D7">
        <w:trPr>
          <w:gridAfter w:val="1"/>
          <w:wAfter w:w="126" w:type="dxa"/>
          <w:trHeight w:val="259"/>
        </w:trPr>
        <w:tc>
          <w:tcPr>
            <w:tcW w:w="1304" w:type="dxa"/>
          </w:tcPr>
          <w:p w14:paraId="2DB62DE2" w14:textId="77777777" w:rsidR="00EC46DF" w:rsidRPr="009A3E58" w:rsidRDefault="00EC46DF" w:rsidP="006F3019">
            <w:pPr>
              <w:pStyle w:val="-fa"/>
              <w:rPr>
                <w:rtl/>
              </w:rPr>
            </w:pPr>
          </w:p>
        </w:tc>
        <w:tc>
          <w:tcPr>
            <w:tcW w:w="4139" w:type="dxa"/>
            <w:tcBorders>
              <w:left w:val="nil"/>
            </w:tcBorders>
            <w:vAlign w:val="bottom"/>
          </w:tcPr>
          <w:p w14:paraId="410B0CF8" w14:textId="5692EA99" w:rsidR="00EC46DF" w:rsidRPr="008928CA" w:rsidRDefault="00EC46DF" w:rsidP="002C4102">
            <w:pPr>
              <w:pStyle w:val="-0"/>
              <w:spacing w:line="240" w:lineRule="auto"/>
              <w:ind w:left="521" w:firstLine="0"/>
              <w:rPr>
                <w:sz w:val="18"/>
                <w:szCs w:val="18"/>
                <w:rtl/>
              </w:rPr>
            </w:pPr>
            <w:r w:rsidRPr="00B44059">
              <w:rPr>
                <w:rFonts w:hint="eastAsia"/>
                <w:sz w:val="18"/>
                <w:szCs w:val="18"/>
                <w:rtl/>
              </w:rPr>
              <w:t>פיקדונות</w:t>
            </w:r>
            <w:r w:rsidRPr="00B44059">
              <w:rPr>
                <w:sz w:val="18"/>
                <w:szCs w:val="18"/>
                <w:rtl/>
              </w:rPr>
              <w:t xml:space="preserve"> </w:t>
            </w:r>
            <w:r w:rsidRPr="00B44059">
              <w:rPr>
                <w:rFonts w:hint="eastAsia"/>
                <w:sz w:val="18"/>
                <w:szCs w:val="18"/>
                <w:rtl/>
              </w:rPr>
              <w:t>של</w:t>
            </w:r>
            <w:r w:rsidRPr="00B44059">
              <w:rPr>
                <w:sz w:val="18"/>
                <w:szCs w:val="18"/>
                <w:rtl/>
              </w:rPr>
              <w:t xml:space="preserve"> </w:t>
            </w:r>
            <w:r w:rsidRPr="00B44059">
              <w:rPr>
                <w:rFonts w:hint="eastAsia"/>
                <w:sz w:val="18"/>
                <w:szCs w:val="18"/>
                <w:rtl/>
              </w:rPr>
              <w:t>גופים</w:t>
            </w:r>
            <w:r w:rsidRPr="00B44059">
              <w:rPr>
                <w:sz w:val="18"/>
                <w:szCs w:val="18"/>
                <w:rtl/>
              </w:rPr>
              <w:t xml:space="preserve"> </w:t>
            </w:r>
            <w:r w:rsidRPr="00B44059">
              <w:rPr>
                <w:rFonts w:hint="eastAsia"/>
                <w:sz w:val="18"/>
                <w:szCs w:val="18"/>
                <w:rtl/>
              </w:rPr>
              <w:t>מוסדיים</w:t>
            </w:r>
          </w:p>
        </w:tc>
        <w:tc>
          <w:tcPr>
            <w:tcW w:w="1112" w:type="dxa"/>
            <w:vAlign w:val="bottom"/>
          </w:tcPr>
          <w:p w14:paraId="1741DAE5" w14:textId="77777777" w:rsidR="00EC46DF" w:rsidRPr="008928CA" w:rsidRDefault="00EC46DF" w:rsidP="006F3019">
            <w:pPr>
              <w:pStyle w:val="-3"/>
              <w:rPr>
                <w:sz w:val="18"/>
                <w:szCs w:val="18"/>
                <w:rtl/>
              </w:rPr>
            </w:pPr>
            <w:r w:rsidRPr="00B44059">
              <w:rPr>
                <w:sz w:val="18"/>
                <w:szCs w:val="18"/>
                <w:rtl/>
              </w:rPr>
              <w:t xml:space="preserve"> 0</w:t>
            </w:r>
          </w:p>
        </w:tc>
        <w:tc>
          <w:tcPr>
            <w:tcW w:w="886" w:type="dxa"/>
            <w:vAlign w:val="bottom"/>
          </w:tcPr>
          <w:p w14:paraId="54773D8F" w14:textId="77777777" w:rsidR="00EC46DF" w:rsidRPr="008928CA" w:rsidRDefault="00EC46DF" w:rsidP="006F3019">
            <w:pPr>
              <w:pStyle w:val="-3"/>
              <w:rPr>
                <w:sz w:val="18"/>
                <w:szCs w:val="18"/>
                <w:rtl/>
              </w:rPr>
            </w:pPr>
            <w:r w:rsidRPr="00B44059">
              <w:rPr>
                <w:sz w:val="18"/>
                <w:szCs w:val="18"/>
                <w:rtl/>
              </w:rPr>
              <w:t xml:space="preserve"> 0</w:t>
            </w:r>
          </w:p>
        </w:tc>
        <w:tc>
          <w:tcPr>
            <w:tcW w:w="1419" w:type="dxa"/>
            <w:vAlign w:val="bottom"/>
          </w:tcPr>
          <w:p w14:paraId="7D8183E4" w14:textId="77777777" w:rsidR="00EC46DF" w:rsidRPr="008928CA" w:rsidRDefault="00EC46DF" w:rsidP="006F3019">
            <w:pPr>
              <w:pStyle w:val="-3"/>
              <w:rPr>
                <w:sz w:val="18"/>
                <w:szCs w:val="18"/>
                <w:rtl/>
              </w:rPr>
            </w:pPr>
            <w:r w:rsidRPr="00B44059">
              <w:rPr>
                <w:sz w:val="18"/>
                <w:szCs w:val="18"/>
                <w:rtl/>
              </w:rPr>
              <w:t xml:space="preserve"> 0</w:t>
            </w:r>
          </w:p>
        </w:tc>
      </w:tr>
      <w:tr w:rsidR="00EC46DF" w:rsidRPr="009A3E58" w14:paraId="47DB0CF8" w14:textId="77777777" w:rsidTr="00CE19D7">
        <w:trPr>
          <w:gridAfter w:val="1"/>
          <w:wAfter w:w="126" w:type="dxa"/>
          <w:trHeight w:val="259"/>
        </w:trPr>
        <w:tc>
          <w:tcPr>
            <w:tcW w:w="1304" w:type="dxa"/>
          </w:tcPr>
          <w:p w14:paraId="6194B7AB" w14:textId="77777777" w:rsidR="00EC46DF" w:rsidRPr="009A3E58" w:rsidRDefault="00EC46DF" w:rsidP="006F3019">
            <w:pPr>
              <w:pStyle w:val="-fa"/>
              <w:rPr>
                <w:rtl/>
              </w:rPr>
            </w:pPr>
          </w:p>
        </w:tc>
        <w:tc>
          <w:tcPr>
            <w:tcW w:w="4139" w:type="dxa"/>
            <w:tcBorders>
              <w:left w:val="nil"/>
            </w:tcBorders>
            <w:vAlign w:val="bottom"/>
          </w:tcPr>
          <w:p w14:paraId="21570333" w14:textId="1137E2B8" w:rsidR="00EC46DF" w:rsidRPr="008928CA" w:rsidRDefault="00EC46DF" w:rsidP="002C4102">
            <w:pPr>
              <w:pStyle w:val="-0"/>
              <w:spacing w:line="240" w:lineRule="auto"/>
              <w:ind w:left="521" w:firstLine="0"/>
              <w:rPr>
                <w:sz w:val="18"/>
                <w:szCs w:val="18"/>
                <w:rtl/>
              </w:rPr>
            </w:pPr>
            <w:r w:rsidRPr="00B44059">
              <w:rPr>
                <w:rFonts w:hint="eastAsia"/>
                <w:sz w:val="18"/>
                <w:szCs w:val="18"/>
                <w:rtl/>
              </w:rPr>
              <w:t>פיקדונות</w:t>
            </w:r>
            <w:r w:rsidRPr="00B44059">
              <w:rPr>
                <w:sz w:val="18"/>
                <w:szCs w:val="18"/>
                <w:rtl/>
              </w:rPr>
              <w:t xml:space="preserve"> </w:t>
            </w:r>
            <w:r w:rsidRPr="00B44059">
              <w:rPr>
                <w:rFonts w:hint="eastAsia"/>
                <w:sz w:val="18"/>
                <w:szCs w:val="18"/>
                <w:rtl/>
              </w:rPr>
              <w:t>של</w:t>
            </w:r>
            <w:r w:rsidRPr="00B44059">
              <w:rPr>
                <w:sz w:val="18"/>
                <w:szCs w:val="18"/>
                <w:rtl/>
              </w:rPr>
              <w:t xml:space="preserve"> </w:t>
            </w:r>
            <w:r w:rsidRPr="00B44059">
              <w:rPr>
                <w:rFonts w:hint="eastAsia"/>
                <w:sz w:val="18"/>
                <w:szCs w:val="18"/>
                <w:rtl/>
              </w:rPr>
              <w:t>תאגידים</w:t>
            </w:r>
            <w:r w:rsidRPr="00B44059">
              <w:rPr>
                <w:sz w:val="18"/>
                <w:szCs w:val="18"/>
                <w:rtl/>
              </w:rPr>
              <w:t xml:space="preserve"> </w:t>
            </w:r>
            <w:r w:rsidRPr="00B44059">
              <w:rPr>
                <w:rFonts w:hint="eastAsia"/>
                <w:sz w:val="18"/>
                <w:szCs w:val="18"/>
                <w:rtl/>
              </w:rPr>
              <w:t>ואחרים</w:t>
            </w:r>
          </w:p>
        </w:tc>
        <w:tc>
          <w:tcPr>
            <w:tcW w:w="1112" w:type="dxa"/>
            <w:vAlign w:val="bottom"/>
          </w:tcPr>
          <w:p w14:paraId="1FC11740" w14:textId="77777777" w:rsidR="00EC46DF" w:rsidRPr="008928CA" w:rsidRDefault="00EC46DF" w:rsidP="006F3019">
            <w:pPr>
              <w:pStyle w:val="-3"/>
              <w:rPr>
                <w:sz w:val="18"/>
                <w:szCs w:val="18"/>
                <w:rtl/>
              </w:rPr>
            </w:pPr>
            <w:r w:rsidRPr="00B44059">
              <w:rPr>
                <w:sz w:val="18"/>
                <w:szCs w:val="18"/>
                <w:rtl/>
              </w:rPr>
              <w:t xml:space="preserve"> 0</w:t>
            </w:r>
          </w:p>
        </w:tc>
        <w:tc>
          <w:tcPr>
            <w:tcW w:w="886" w:type="dxa"/>
            <w:vAlign w:val="bottom"/>
          </w:tcPr>
          <w:p w14:paraId="4DA5BAEE" w14:textId="77777777" w:rsidR="00EC46DF" w:rsidRPr="008928CA" w:rsidRDefault="00EC46DF" w:rsidP="006F3019">
            <w:pPr>
              <w:pStyle w:val="-3"/>
              <w:rPr>
                <w:sz w:val="18"/>
                <w:szCs w:val="18"/>
                <w:rtl/>
              </w:rPr>
            </w:pPr>
            <w:r w:rsidRPr="00B44059">
              <w:rPr>
                <w:sz w:val="18"/>
                <w:szCs w:val="18"/>
                <w:rtl/>
              </w:rPr>
              <w:t xml:space="preserve"> 0</w:t>
            </w:r>
          </w:p>
        </w:tc>
        <w:tc>
          <w:tcPr>
            <w:tcW w:w="1419" w:type="dxa"/>
            <w:vAlign w:val="bottom"/>
          </w:tcPr>
          <w:p w14:paraId="6A011DA4" w14:textId="77777777" w:rsidR="00EC46DF" w:rsidRPr="008928CA" w:rsidRDefault="00EC46DF" w:rsidP="006F3019">
            <w:pPr>
              <w:pStyle w:val="-3"/>
              <w:rPr>
                <w:sz w:val="18"/>
                <w:szCs w:val="18"/>
                <w:rtl/>
              </w:rPr>
            </w:pPr>
            <w:r w:rsidRPr="00B44059">
              <w:rPr>
                <w:sz w:val="18"/>
                <w:szCs w:val="18"/>
                <w:rtl/>
              </w:rPr>
              <w:t xml:space="preserve"> 0</w:t>
            </w:r>
          </w:p>
        </w:tc>
      </w:tr>
    </w:tbl>
    <w:p w14:paraId="686E16A2" w14:textId="77777777" w:rsidR="002C4102" w:rsidRDefault="002C4102"/>
    <w:p w14:paraId="35429D9E" w14:textId="77777777" w:rsidR="00D5466B" w:rsidRDefault="00D5466B"/>
    <w:tbl>
      <w:tblPr>
        <w:bidiVisual/>
        <w:tblW w:w="4959" w:type="pct"/>
        <w:jc w:val="right"/>
        <w:tblLook w:val="0000" w:firstRow="0" w:lastRow="0" w:firstColumn="0" w:lastColumn="0" w:noHBand="0" w:noVBand="0"/>
      </w:tblPr>
      <w:tblGrid>
        <w:gridCol w:w="904"/>
        <w:gridCol w:w="9219"/>
      </w:tblGrid>
      <w:tr w:rsidR="002C4102" w:rsidRPr="008C4436" w14:paraId="375FD80D" w14:textId="77777777" w:rsidTr="00D5466B">
        <w:trPr>
          <w:trHeight w:val="245"/>
          <w:jc w:val="right"/>
        </w:trPr>
        <w:tc>
          <w:tcPr>
            <w:tcW w:w="904" w:type="dxa"/>
          </w:tcPr>
          <w:p w14:paraId="019E0D8E" w14:textId="77777777" w:rsidR="002C4102" w:rsidRPr="008C4436" w:rsidRDefault="002C4102" w:rsidP="00400DD1">
            <w:pPr>
              <w:pStyle w:val="-fa"/>
              <w:rPr>
                <w:rtl/>
              </w:rPr>
            </w:pPr>
          </w:p>
        </w:tc>
        <w:tc>
          <w:tcPr>
            <w:tcW w:w="9219" w:type="dxa"/>
          </w:tcPr>
          <w:p w14:paraId="2A0FB357" w14:textId="7BE34EEB" w:rsidR="002C4102" w:rsidRDefault="00D5466B" w:rsidP="002C4102">
            <w:pPr>
              <w:pStyle w:val="-f4"/>
              <w:spacing w:after="120" w:line="240" w:lineRule="auto"/>
              <w:rPr>
                <w:b w:val="0"/>
                <w:bCs w:val="0"/>
                <w:rtl/>
              </w:rPr>
            </w:pPr>
            <w:r>
              <w:rPr>
                <w:rFonts w:hint="cs"/>
                <w:rtl/>
              </w:rPr>
              <w:t xml:space="preserve">   </w:t>
            </w:r>
            <w:r w:rsidR="002C4102">
              <w:rPr>
                <w:rFonts w:hint="cs"/>
                <w:rtl/>
              </w:rPr>
              <w:t xml:space="preserve">ב. </w:t>
            </w:r>
            <w:r w:rsidR="002C4102" w:rsidRPr="00472C61">
              <w:rPr>
                <w:rFonts w:hint="eastAsia"/>
                <w:rtl/>
              </w:rPr>
              <w:t>פיקדונות</w:t>
            </w:r>
            <w:r w:rsidR="002C4102" w:rsidRPr="00472C61">
              <w:rPr>
                <w:rtl/>
              </w:rPr>
              <w:t xml:space="preserve"> </w:t>
            </w:r>
            <w:r w:rsidR="002C4102" w:rsidRPr="00472C61">
              <w:rPr>
                <w:rFonts w:hint="eastAsia"/>
                <w:rtl/>
              </w:rPr>
              <w:t>הציבור</w:t>
            </w:r>
            <w:r w:rsidR="002C4102" w:rsidRPr="00472C61">
              <w:rPr>
                <w:rtl/>
              </w:rPr>
              <w:t xml:space="preserve"> </w:t>
            </w:r>
            <w:r w:rsidR="002C4102" w:rsidRPr="00472C61">
              <w:rPr>
                <w:rFonts w:hint="eastAsia"/>
                <w:rtl/>
              </w:rPr>
              <w:t>לפי</w:t>
            </w:r>
            <w:r w:rsidR="002C4102" w:rsidRPr="00472C61">
              <w:rPr>
                <w:rtl/>
              </w:rPr>
              <w:t xml:space="preserve"> </w:t>
            </w:r>
            <w:r w:rsidR="002C4102" w:rsidRPr="00472C61">
              <w:rPr>
                <w:rFonts w:hint="eastAsia"/>
                <w:rtl/>
              </w:rPr>
              <w:t>גודל</w:t>
            </w:r>
            <w:r w:rsidR="002C4102" w:rsidRPr="00472C61">
              <w:rPr>
                <w:rtl/>
              </w:rPr>
              <w:t xml:space="preserve"> </w:t>
            </w:r>
            <w:r w:rsidR="002C4102" w:rsidRPr="00472C61">
              <w:rPr>
                <w:rFonts w:hint="eastAsia"/>
                <w:rtl/>
              </w:rPr>
              <w:t>על</w:t>
            </w:r>
            <w:r w:rsidR="002C4102" w:rsidRPr="00472C61">
              <w:rPr>
                <w:rtl/>
              </w:rPr>
              <w:t xml:space="preserve"> </w:t>
            </w:r>
            <w:r w:rsidR="002C4102" w:rsidRPr="00472C61">
              <w:rPr>
                <w:rFonts w:hint="eastAsia"/>
                <w:rtl/>
              </w:rPr>
              <w:t>בסיס</w:t>
            </w:r>
            <w:r w:rsidR="002C4102" w:rsidRPr="00472C61">
              <w:rPr>
                <w:rtl/>
              </w:rPr>
              <w:t xml:space="preserve"> </w:t>
            </w:r>
            <w:r w:rsidR="002C4102" w:rsidRPr="00472C61">
              <w:rPr>
                <w:rFonts w:hint="eastAsia"/>
                <w:rtl/>
              </w:rPr>
              <w:t>מאוחד</w:t>
            </w:r>
            <w:r w:rsidR="002C4102" w:rsidRPr="00472C61">
              <w:rPr>
                <w:rtl/>
              </w:rPr>
              <w:t xml:space="preserve">, </w:t>
            </w:r>
            <w:r w:rsidR="002C4102" w:rsidRPr="00472C61">
              <w:rPr>
                <w:rFonts w:hint="eastAsia"/>
                <w:rtl/>
              </w:rPr>
              <w:t>סכומים</w:t>
            </w:r>
            <w:r w:rsidR="002C4102" w:rsidRPr="00472C61">
              <w:rPr>
                <w:rtl/>
              </w:rPr>
              <w:t xml:space="preserve"> </w:t>
            </w:r>
            <w:r w:rsidR="002C4102" w:rsidRPr="00472C61">
              <w:rPr>
                <w:rFonts w:hint="eastAsia"/>
                <w:rtl/>
              </w:rPr>
              <w:t>מדווחים</w:t>
            </w:r>
            <w:r w:rsidR="002C4102" w:rsidRPr="00472C61">
              <w:rPr>
                <w:rtl/>
              </w:rPr>
              <w:t>:</w:t>
            </w:r>
            <w:r w:rsidR="002C4102" w:rsidRPr="00E704F0">
              <w:rPr>
                <w:sz w:val="18"/>
                <w:szCs w:val="18"/>
                <w:vertAlign w:val="superscript"/>
                <w:rtl/>
              </w:rPr>
              <w:t>[</w:t>
            </w:r>
            <w:r w:rsidR="002C4102" w:rsidRPr="009265F6">
              <w:rPr>
                <w:b w:val="0"/>
                <w:bCs w:val="0"/>
                <w:sz w:val="18"/>
                <w:szCs w:val="18"/>
                <w:vertAlign w:val="superscript"/>
                <w:rtl/>
              </w:rPr>
              <w:footnoteReference w:id="58"/>
            </w:r>
            <w:r w:rsidR="002C4102" w:rsidRPr="009265F6">
              <w:rPr>
                <w:b w:val="0"/>
                <w:bCs w:val="0"/>
                <w:sz w:val="18"/>
                <w:szCs w:val="18"/>
                <w:vertAlign w:val="superscript"/>
                <w:rtl/>
              </w:rPr>
              <w:t>]</w:t>
            </w:r>
            <w:r w:rsidR="009265F6" w:rsidRPr="009265F6">
              <w:rPr>
                <w:rFonts w:hint="cs"/>
                <w:b w:val="0"/>
                <w:bCs w:val="0"/>
                <w:sz w:val="18"/>
                <w:szCs w:val="18"/>
                <w:vertAlign w:val="superscript"/>
                <w:rtl/>
              </w:rPr>
              <w:t>[</w:t>
            </w:r>
            <w:r w:rsidR="002C4102" w:rsidRPr="009265F6">
              <w:rPr>
                <w:b w:val="0"/>
                <w:bCs w:val="0"/>
                <w:sz w:val="18"/>
                <w:szCs w:val="18"/>
                <w:vertAlign w:val="superscript"/>
                <w:rtl/>
              </w:rPr>
              <w:footnoteReference w:id="59"/>
            </w:r>
            <w:r w:rsidR="002C4102" w:rsidRPr="009265F6">
              <w:rPr>
                <w:b w:val="0"/>
                <w:bCs w:val="0"/>
                <w:sz w:val="18"/>
                <w:szCs w:val="18"/>
                <w:vertAlign w:val="superscript"/>
                <w:rtl/>
              </w:rPr>
              <w:t>]</w:t>
            </w:r>
          </w:p>
        </w:tc>
      </w:tr>
    </w:tbl>
    <w:p w14:paraId="273313C7" w14:textId="77777777" w:rsidR="00D5466B" w:rsidRDefault="00D5466B"/>
    <w:tbl>
      <w:tblPr>
        <w:bidiVisual/>
        <w:tblW w:w="4331" w:type="pct"/>
        <w:tblLook w:val="04A0" w:firstRow="1" w:lastRow="0" w:firstColumn="1" w:lastColumn="0" w:noHBand="0" w:noVBand="1"/>
      </w:tblPr>
      <w:tblGrid>
        <w:gridCol w:w="1019"/>
        <w:gridCol w:w="4405"/>
        <w:gridCol w:w="1107"/>
        <w:gridCol w:w="891"/>
        <w:gridCol w:w="1419"/>
      </w:tblGrid>
      <w:tr w:rsidR="00D5466B" w:rsidRPr="008C4436" w14:paraId="61D271F9" w14:textId="77777777" w:rsidTr="00AB0DD8">
        <w:trPr>
          <w:trHeight w:val="259"/>
        </w:trPr>
        <w:tc>
          <w:tcPr>
            <w:tcW w:w="1020" w:type="dxa"/>
          </w:tcPr>
          <w:p w14:paraId="72F038D5" w14:textId="77777777" w:rsidR="00D5466B" w:rsidRPr="008C4436" w:rsidRDefault="00D5466B" w:rsidP="00400DD1">
            <w:pPr>
              <w:pStyle w:val="-7"/>
              <w:bidi w:val="0"/>
              <w:ind w:right="-231"/>
              <w:jc w:val="left"/>
              <w:rPr>
                <w:spacing w:val="-6"/>
                <w:sz w:val="14"/>
                <w:szCs w:val="14"/>
                <w:rtl/>
              </w:rPr>
            </w:pPr>
          </w:p>
        </w:tc>
        <w:tc>
          <w:tcPr>
            <w:tcW w:w="4405" w:type="dxa"/>
            <w:tcBorders>
              <w:left w:val="nil"/>
            </w:tcBorders>
            <w:vAlign w:val="bottom"/>
          </w:tcPr>
          <w:p w14:paraId="04C13E44" w14:textId="77777777" w:rsidR="00D5466B" w:rsidRPr="008C4436" w:rsidRDefault="00D5466B" w:rsidP="00400DD1">
            <w:pPr>
              <w:pStyle w:val="-0"/>
              <w:rPr>
                <w:rtl/>
              </w:rPr>
            </w:pPr>
          </w:p>
        </w:tc>
        <w:tc>
          <w:tcPr>
            <w:tcW w:w="1998" w:type="dxa"/>
            <w:gridSpan w:val="2"/>
            <w:vAlign w:val="bottom"/>
          </w:tcPr>
          <w:p w14:paraId="001B3FA1" w14:textId="77777777" w:rsidR="00D5466B" w:rsidRPr="001703B7" w:rsidDel="007E2A20" w:rsidRDefault="00D5466B" w:rsidP="00400DD1">
            <w:pPr>
              <w:pStyle w:val="-4"/>
              <w:rPr>
                <w:sz w:val="18"/>
                <w:szCs w:val="18"/>
                <w:rtl/>
              </w:rPr>
            </w:pPr>
            <w:r w:rsidRPr="001703B7">
              <w:rPr>
                <w:rFonts w:hint="cs"/>
                <w:sz w:val="18"/>
                <w:szCs w:val="18"/>
                <w:rtl/>
              </w:rPr>
              <w:t>ליום 30 ביוני</w:t>
            </w:r>
          </w:p>
        </w:tc>
        <w:tc>
          <w:tcPr>
            <w:tcW w:w="1419" w:type="dxa"/>
            <w:vAlign w:val="bottom"/>
          </w:tcPr>
          <w:p w14:paraId="3064B71D" w14:textId="77777777" w:rsidR="00D5466B" w:rsidRPr="001703B7" w:rsidRDefault="00D5466B" w:rsidP="00400DD1">
            <w:pPr>
              <w:pStyle w:val="-4"/>
              <w:rPr>
                <w:sz w:val="18"/>
                <w:szCs w:val="18"/>
                <w:rtl/>
              </w:rPr>
            </w:pPr>
            <w:r w:rsidRPr="001703B7">
              <w:rPr>
                <w:rFonts w:hint="cs"/>
                <w:sz w:val="18"/>
                <w:szCs w:val="18"/>
                <w:rtl/>
              </w:rPr>
              <w:t>ליום</w:t>
            </w:r>
          </w:p>
          <w:p w14:paraId="22D1B326" w14:textId="77777777" w:rsidR="00D5466B" w:rsidRPr="001703B7" w:rsidDel="007E2A20" w:rsidRDefault="00D5466B" w:rsidP="00400DD1">
            <w:pPr>
              <w:pStyle w:val="-4"/>
              <w:rPr>
                <w:sz w:val="18"/>
                <w:szCs w:val="18"/>
                <w:rtl/>
              </w:rPr>
            </w:pPr>
            <w:r w:rsidRPr="001703B7">
              <w:rPr>
                <w:rFonts w:hint="cs"/>
                <w:sz w:val="18"/>
                <w:szCs w:val="18"/>
                <w:rtl/>
              </w:rPr>
              <w:t>31 בדצמבר</w:t>
            </w:r>
          </w:p>
        </w:tc>
      </w:tr>
      <w:tr w:rsidR="00D5466B" w:rsidRPr="008C4436" w14:paraId="44449D78" w14:textId="77777777" w:rsidTr="00AB0DD8">
        <w:trPr>
          <w:trHeight w:val="259"/>
        </w:trPr>
        <w:tc>
          <w:tcPr>
            <w:tcW w:w="1020" w:type="dxa"/>
          </w:tcPr>
          <w:p w14:paraId="616B4DFF" w14:textId="77777777" w:rsidR="00D5466B" w:rsidRPr="008C4436" w:rsidRDefault="00D5466B" w:rsidP="00400DD1">
            <w:pPr>
              <w:pStyle w:val="-7"/>
              <w:bidi w:val="0"/>
              <w:ind w:right="-231"/>
              <w:jc w:val="left"/>
              <w:rPr>
                <w:spacing w:val="-6"/>
                <w:sz w:val="14"/>
                <w:szCs w:val="14"/>
                <w:rtl/>
              </w:rPr>
            </w:pPr>
          </w:p>
        </w:tc>
        <w:tc>
          <w:tcPr>
            <w:tcW w:w="4405" w:type="dxa"/>
            <w:tcBorders>
              <w:left w:val="nil"/>
            </w:tcBorders>
            <w:vAlign w:val="bottom"/>
          </w:tcPr>
          <w:p w14:paraId="6C9C2918" w14:textId="77777777" w:rsidR="00D5466B" w:rsidRPr="008C4436" w:rsidRDefault="00D5466B" w:rsidP="00400DD1">
            <w:pPr>
              <w:pStyle w:val="-0"/>
              <w:rPr>
                <w:rtl/>
              </w:rPr>
            </w:pPr>
          </w:p>
        </w:tc>
        <w:tc>
          <w:tcPr>
            <w:tcW w:w="1107" w:type="dxa"/>
            <w:vAlign w:val="bottom"/>
          </w:tcPr>
          <w:p w14:paraId="0B6F9D87" w14:textId="4673A853" w:rsidR="00D5466B" w:rsidRPr="001703B7" w:rsidRDefault="00D5466B" w:rsidP="00400DD1">
            <w:pPr>
              <w:pStyle w:val="-4"/>
              <w:rPr>
                <w:sz w:val="18"/>
                <w:szCs w:val="18"/>
                <w:rtl/>
              </w:rPr>
            </w:pPr>
            <w:r w:rsidRPr="001703B7">
              <w:rPr>
                <w:sz w:val="18"/>
                <w:szCs w:val="18"/>
                <w:rtl/>
              </w:rPr>
              <w:fldChar w:fldCharType="begin"/>
            </w:r>
            <w:r w:rsidRPr="001703B7">
              <w:rPr>
                <w:sz w:val="18"/>
                <w:szCs w:val="18"/>
                <w:rtl/>
              </w:rPr>
              <w:instrText xml:space="preserve"> </w:instrText>
            </w:r>
            <w:r w:rsidRPr="001703B7">
              <w:rPr>
                <w:rFonts w:hint="cs"/>
                <w:sz w:val="18"/>
                <w:szCs w:val="18"/>
                <w:rtl/>
              </w:rPr>
              <w:instrText xml:space="preserve">= </w:instrText>
            </w:r>
            <w:r w:rsidRPr="001703B7">
              <w:rPr>
                <w:rFonts w:hint="cs"/>
                <w:sz w:val="18"/>
                <w:szCs w:val="18"/>
              </w:rPr>
              <w:instrText>CY \* MERGEFORMAT</w:instrText>
            </w:r>
            <w:r w:rsidRPr="001703B7">
              <w:rPr>
                <w:sz w:val="18"/>
                <w:szCs w:val="18"/>
                <w:rtl/>
              </w:rPr>
              <w:instrText xml:space="preserve"> </w:instrText>
            </w:r>
            <w:r w:rsidRPr="001703B7">
              <w:rPr>
                <w:sz w:val="18"/>
                <w:szCs w:val="18"/>
                <w:rtl/>
              </w:rPr>
              <w:fldChar w:fldCharType="separate"/>
            </w:r>
            <w:r w:rsidRPr="001703B7">
              <w:rPr>
                <w:noProof/>
                <w:sz w:val="18"/>
                <w:szCs w:val="18"/>
                <w:rtl/>
              </w:rPr>
              <w:t>2024</w:t>
            </w:r>
            <w:r w:rsidRPr="001703B7">
              <w:rPr>
                <w:sz w:val="18"/>
                <w:szCs w:val="18"/>
                <w:rtl/>
              </w:rPr>
              <w:fldChar w:fldCharType="end"/>
            </w:r>
          </w:p>
        </w:tc>
        <w:tc>
          <w:tcPr>
            <w:tcW w:w="891" w:type="dxa"/>
            <w:vAlign w:val="bottom"/>
          </w:tcPr>
          <w:p w14:paraId="53FAF08D" w14:textId="42AFF0AF" w:rsidR="00D5466B" w:rsidRPr="001703B7" w:rsidRDefault="00D5466B" w:rsidP="00400DD1">
            <w:pPr>
              <w:pStyle w:val="-4"/>
              <w:rPr>
                <w:sz w:val="18"/>
                <w:szCs w:val="18"/>
                <w:rtl/>
              </w:rPr>
            </w:pPr>
            <w:r w:rsidRPr="001703B7">
              <w:rPr>
                <w:sz w:val="18"/>
                <w:szCs w:val="18"/>
                <w:rtl/>
              </w:rPr>
              <w:fldChar w:fldCharType="begin"/>
            </w:r>
            <w:r w:rsidRPr="001703B7">
              <w:rPr>
                <w:sz w:val="18"/>
                <w:szCs w:val="18"/>
                <w:rtl/>
              </w:rPr>
              <w:instrText xml:space="preserve"> </w:instrText>
            </w:r>
            <w:r w:rsidRPr="001703B7">
              <w:rPr>
                <w:rFonts w:hint="cs"/>
                <w:sz w:val="18"/>
                <w:szCs w:val="18"/>
                <w:rtl/>
              </w:rPr>
              <w:instrText xml:space="preserve">= </w:instrText>
            </w:r>
            <w:r w:rsidRPr="001703B7">
              <w:rPr>
                <w:rFonts w:hint="cs"/>
                <w:sz w:val="18"/>
                <w:szCs w:val="18"/>
              </w:rPr>
              <w:instrText>CY</w:instrText>
            </w:r>
            <w:r w:rsidRPr="001703B7">
              <w:rPr>
                <w:sz w:val="18"/>
                <w:szCs w:val="18"/>
              </w:rPr>
              <w:instrText>-1</w:instrText>
            </w:r>
            <w:r w:rsidRPr="001703B7">
              <w:rPr>
                <w:rFonts w:hint="cs"/>
                <w:sz w:val="18"/>
                <w:szCs w:val="18"/>
              </w:rPr>
              <w:instrText xml:space="preserve"> \* MERGEFORMAT</w:instrText>
            </w:r>
            <w:r w:rsidRPr="001703B7">
              <w:rPr>
                <w:sz w:val="18"/>
                <w:szCs w:val="18"/>
                <w:rtl/>
              </w:rPr>
              <w:instrText xml:space="preserve"> </w:instrText>
            </w:r>
            <w:r w:rsidRPr="001703B7">
              <w:rPr>
                <w:sz w:val="18"/>
                <w:szCs w:val="18"/>
                <w:rtl/>
              </w:rPr>
              <w:fldChar w:fldCharType="separate"/>
            </w:r>
            <w:r w:rsidRPr="001703B7">
              <w:rPr>
                <w:noProof/>
                <w:sz w:val="18"/>
                <w:szCs w:val="18"/>
                <w:rtl/>
              </w:rPr>
              <w:t>2023</w:t>
            </w:r>
            <w:r w:rsidRPr="001703B7">
              <w:rPr>
                <w:sz w:val="18"/>
                <w:szCs w:val="18"/>
                <w:rtl/>
              </w:rPr>
              <w:fldChar w:fldCharType="end"/>
            </w:r>
          </w:p>
        </w:tc>
        <w:tc>
          <w:tcPr>
            <w:tcW w:w="1419" w:type="dxa"/>
            <w:vAlign w:val="bottom"/>
          </w:tcPr>
          <w:p w14:paraId="5CEB2704" w14:textId="14999503" w:rsidR="00D5466B" w:rsidRPr="001703B7" w:rsidRDefault="00D5466B" w:rsidP="00400DD1">
            <w:pPr>
              <w:pStyle w:val="-4"/>
              <w:rPr>
                <w:sz w:val="18"/>
                <w:szCs w:val="18"/>
                <w:rtl/>
              </w:rPr>
            </w:pPr>
            <w:r w:rsidRPr="001703B7">
              <w:rPr>
                <w:sz w:val="18"/>
                <w:szCs w:val="18"/>
                <w:rtl/>
              </w:rPr>
              <w:fldChar w:fldCharType="begin"/>
            </w:r>
            <w:r w:rsidRPr="001703B7">
              <w:rPr>
                <w:sz w:val="18"/>
                <w:szCs w:val="18"/>
                <w:rtl/>
              </w:rPr>
              <w:instrText xml:space="preserve"> </w:instrText>
            </w:r>
            <w:r w:rsidRPr="001703B7">
              <w:rPr>
                <w:rFonts w:hint="cs"/>
                <w:sz w:val="18"/>
                <w:szCs w:val="18"/>
                <w:rtl/>
              </w:rPr>
              <w:instrText xml:space="preserve">= </w:instrText>
            </w:r>
            <w:r w:rsidRPr="001703B7">
              <w:rPr>
                <w:rFonts w:hint="cs"/>
                <w:sz w:val="18"/>
                <w:szCs w:val="18"/>
              </w:rPr>
              <w:instrText>CY</w:instrText>
            </w:r>
            <w:r w:rsidRPr="001703B7">
              <w:rPr>
                <w:sz w:val="18"/>
                <w:szCs w:val="18"/>
              </w:rPr>
              <w:instrText>-1</w:instrText>
            </w:r>
            <w:r w:rsidRPr="001703B7">
              <w:rPr>
                <w:rFonts w:hint="cs"/>
                <w:sz w:val="18"/>
                <w:szCs w:val="18"/>
              </w:rPr>
              <w:instrText xml:space="preserve"> \* MERGEFORMAT</w:instrText>
            </w:r>
            <w:r w:rsidRPr="001703B7">
              <w:rPr>
                <w:sz w:val="18"/>
                <w:szCs w:val="18"/>
                <w:rtl/>
              </w:rPr>
              <w:instrText xml:space="preserve"> </w:instrText>
            </w:r>
            <w:r w:rsidRPr="001703B7">
              <w:rPr>
                <w:sz w:val="18"/>
                <w:szCs w:val="18"/>
                <w:rtl/>
              </w:rPr>
              <w:fldChar w:fldCharType="separate"/>
            </w:r>
            <w:r w:rsidRPr="001703B7">
              <w:rPr>
                <w:noProof/>
                <w:sz w:val="18"/>
                <w:szCs w:val="18"/>
                <w:rtl/>
              </w:rPr>
              <w:t>2023</w:t>
            </w:r>
            <w:r w:rsidRPr="001703B7">
              <w:rPr>
                <w:sz w:val="18"/>
                <w:szCs w:val="18"/>
                <w:rtl/>
              </w:rPr>
              <w:fldChar w:fldCharType="end"/>
            </w:r>
          </w:p>
        </w:tc>
      </w:tr>
      <w:tr w:rsidR="00D5466B" w:rsidRPr="008C4436" w14:paraId="3C7C95C3" w14:textId="77777777" w:rsidTr="00AB0DD8">
        <w:trPr>
          <w:trHeight w:val="259"/>
        </w:trPr>
        <w:tc>
          <w:tcPr>
            <w:tcW w:w="1020" w:type="dxa"/>
          </w:tcPr>
          <w:p w14:paraId="1759D658" w14:textId="77777777" w:rsidR="00D5466B" w:rsidRPr="008C4436" w:rsidRDefault="00D5466B" w:rsidP="00400DD1">
            <w:pPr>
              <w:pStyle w:val="-7"/>
              <w:bidi w:val="0"/>
              <w:ind w:right="-231"/>
              <w:jc w:val="left"/>
              <w:rPr>
                <w:spacing w:val="-6"/>
                <w:sz w:val="14"/>
                <w:szCs w:val="14"/>
                <w:rtl/>
              </w:rPr>
            </w:pPr>
          </w:p>
        </w:tc>
        <w:tc>
          <w:tcPr>
            <w:tcW w:w="4405" w:type="dxa"/>
            <w:tcBorders>
              <w:left w:val="nil"/>
            </w:tcBorders>
            <w:vAlign w:val="bottom"/>
          </w:tcPr>
          <w:p w14:paraId="6C80A7F6" w14:textId="77777777" w:rsidR="00D5466B" w:rsidRPr="008C4436" w:rsidRDefault="00D5466B" w:rsidP="00400DD1">
            <w:pPr>
              <w:pStyle w:val="-0"/>
              <w:rPr>
                <w:rtl/>
              </w:rPr>
            </w:pPr>
          </w:p>
        </w:tc>
        <w:tc>
          <w:tcPr>
            <w:tcW w:w="1998" w:type="dxa"/>
            <w:gridSpan w:val="2"/>
            <w:vAlign w:val="bottom"/>
          </w:tcPr>
          <w:p w14:paraId="260075F2" w14:textId="77777777" w:rsidR="00D5466B" w:rsidRPr="00D5466B" w:rsidRDefault="00D5466B" w:rsidP="00400DD1">
            <w:pPr>
              <w:pStyle w:val="-4"/>
              <w:rPr>
                <w:b w:val="0"/>
                <w:bCs w:val="0"/>
                <w:sz w:val="18"/>
                <w:szCs w:val="18"/>
                <w:rtl/>
              </w:rPr>
            </w:pPr>
            <w:r w:rsidRPr="00D5466B">
              <w:rPr>
                <w:rFonts w:hint="eastAsia"/>
                <w:b w:val="0"/>
                <w:bCs w:val="0"/>
                <w:sz w:val="18"/>
                <w:szCs w:val="18"/>
                <w:rtl/>
              </w:rPr>
              <w:t>בלתי</w:t>
            </w:r>
            <w:r w:rsidRPr="00D5466B">
              <w:rPr>
                <w:b w:val="0"/>
                <w:bCs w:val="0"/>
                <w:sz w:val="18"/>
                <w:szCs w:val="18"/>
                <w:rtl/>
              </w:rPr>
              <w:t xml:space="preserve"> </w:t>
            </w:r>
            <w:r w:rsidRPr="00D5466B">
              <w:rPr>
                <w:rFonts w:hint="eastAsia"/>
                <w:b w:val="0"/>
                <w:bCs w:val="0"/>
                <w:sz w:val="18"/>
                <w:szCs w:val="18"/>
                <w:rtl/>
              </w:rPr>
              <w:t>מבוקר</w:t>
            </w:r>
          </w:p>
        </w:tc>
        <w:tc>
          <w:tcPr>
            <w:tcW w:w="1419" w:type="dxa"/>
            <w:vAlign w:val="bottom"/>
          </w:tcPr>
          <w:p w14:paraId="7AB99456" w14:textId="77777777" w:rsidR="00D5466B" w:rsidRPr="00D5466B" w:rsidRDefault="00D5466B" w:rsidP="00400DD1">
            <w:pPr>
              <w:pStyle w:val="-4"/>
              <w:rPr>
                <w:b w:val="0"/>
                <w:bCs w:val="0"/>
                <w:sz w:val="18"/>
                <w:szCs w:val="18"/>
                <w:rtl/>
              </w:rPr>
            </w:pPr>
            <w:r w:rsidRPr="00D5466B">
              <w:rPr>
                <w:rFonts w:hint="eastAsia"/>
                <w:b w:val="0"/>
                <w:bCs w:val="0"/>
                <w:sz w:val="18"/>
                <w:szCs w:val="18"/>
                <w:rtl/>
              </w:rPr>
              <w:t>מבוקר</w:t>
            </w:r>
          </w:p>
        </w:tc>
      </w:tr>
      <w:tr w:rsidR="00D5466B" w:rsidRPr="008C4436" w14:paraId="0B776E36" w14:textId="77777777" w:rsidTr="00AB0DD8">
        <w:trPr>
          <w:trHeight w:val="259"/>
        </w:trPr>
        <w:tc>
          <w:tcPr>
            <w:tcW w:w="1020" w:type="dxa"/>
          </w:tcPr>
          <w:p w14:paraId="128A30AF" w14:textId="77777777" w:rsidR="00D5466B" w:rsidRPr="008C4436" w:rsidRDefault="00D5466B" w:rsidP="00400DD1">
            <w:pPr>
              <w:pStyle w:val="-fa"/>
              <w:rPr>
                <w:rtl/>
              </w:rPr>
            </w:pPr>
          </w:p>
        </w:tc>
        <w:tc>
          <w:tcPr>
            <w:tcW w:w="4405" w:type="dxa"/>
            <w:tcBorders>
              <w:left w:val="nil"/>
            </w:tcBorders>
            <w:vAlign w:val="bottom"/>
          </w:tcPr>
          <w:p w14:paraId="5A7A710E" w14:textId="30D3BF19" w:rsidR="00D5466B" w:rsidRDefault="00D5466B" w:rsidP="00400DD1">
            <w:pPr>
              <w:pStyle w:val="-f"/>
              <w:pBdr>
                <w:bottom w:val="single" w:sz="4" w:space="1" w:color="auto"/>
              </w:pBdr>
              <w:ind w:left="448" w:right="2453"/>
              <w:rPr>
                <w:u w:val="none"/>
                <w:rtl/>
              </w:rPr>
            </w:pPr>
            <w:r w:rsidRPr="00B44059">
              <w:rPr>
                <w:rFonts w:hint="eastAsia"/>
                <w:u w:val="none"/>
                <w:rtl/>
              </w:rPr>
              <w:t>תקרת</w:t>
            </w:r>
            <w:r w:rsidRPr="00B44059">
              <w:rPr>
                <w:u w:val="none"/>
                <w:rtl/>
              </w:rPr>
              <w:t xml:space="preserve"> </w:t>
            </w:r>
            <w:r w:rsidRPr="00B44059">
              <w:rPr>
                <w:rFonts w:hint="eastAsia"/>
                <w:u w:val="none"/>
                <w:rtl/>
              </w:rPr>
              <w:t>הפיקדון</w:t>
            </w:r>
          </w:p>
        </w:tc>
        <w:tc>
          <w:tcPr>
            <w:tcW w:w="1107" w:type="dxa"/>
            <w:vAlign w:val="bottom"/>
          </w:tcPr>
          <w:p w14:paraId="67BDA5E3" w14:textId="77777777" w:rsidR="00D5466B" w:rsidRPr="00D5466B" w:rsidRDefault="00D5466B" w:rsidP="00400DD1">
            <w:pPr>
              <w:pBdr>
                <w:bottom w:val="single" w:sz="4" w:space="1" w:color="auto"/>
              </w:pBdr>
              <w:jc w:val="center"/>
              <w:rPr>
                <w:sz w:val="18"/>
                <w:szCs w:val="18"/>
                <w:rtl/>
              </w:rPr>
            </w:pPr>
            <w:r w:rsidRPr="00D5466B">
              <w:rPr>
                <w:rFonts w:hint="eastAsia"/>
                <w:sz w:val="18"/>
                <w:szCs w:val="18"/>
                <w:rtl/>
              </w:rPr>
              <w:t>יתרה</w:t>
            </w:r>
          </w:p>
        </w:tc>
        <w:tc>
          <w:tcPr>
            <w:tcW w:w="891" w:type="dxa"/>
            <w:vAlign w:val="bottom"/>
          </w:tcPr>
          <w:p w14:paraId="7191DAFD" w14:textId="77777777" w:rsidR="00D5466B" w:rsidRPr="00D5466B" w:rsidRDefault="00D5466B" w:rsidP="00400DD1">
            <w:pPr>
              <w:pBdr>
                <w:bottom w:val="single" w:sz="4" w:space="1" w:color="auto"/>
              </w:pBdr>
              <w:jc w:val="center"/>
              <w:rPr>
                <w:sz w:val="18"/>
                <w:szCs w:val="18"/>
                <w:rtl/>
              </w:rPr>
            </w:pPr>
            <w:r w:rsidRPr="00D5466B">
              <w:rPr>
                <w:rFonts w:hint="eastAsia"/>
                <w:sz w:val="18"/>
                <w:szCs w:val="18"/>
                <w:rtl/>
              </w:rPr>
              <w:t>יתרה</w:t>
            </w:r>
          </w:p>
        </w:tc>
        <w:tc>
          <w:tcPr>
            <w:tcW w:w="1419" w:type="dxa"/>
            <w:vAlign w:val="bottom"/>
          </w:tcPr>
          <w:p w14:paraId="038B20D6" w14:textId="77777777" w:rsidR="00D5466B" w:rsidRPr="00D5466B" w:rsidRDefault="00D5466B" w:rsidP="00400DD1">
            <w:pPr>
              <w:pBdr>
                <w:bottom w:val="single" w:sz="4" w:space="1" w:color="auto"/>
              </w:pBdr>
              <w:jc w:val="center"/>
              <w:rPr>
                <w:sz w:val="18"/>
                <w:szCs w:val="18"/>
                <w:rtl/>
              </w:rPr>
            </w:pPr>
            <w:r w:rsidRPr="00D5466B">
              <w:rPr>
                <w:rFonts w:hint="eastAsia"/>
                <w:sz w:val="18"/>
                <w:szCs w:val="18"/>
                <w:rtl/>
              </w:rPr>
              <w:t>יתרה</w:t>
            </w:r>
          </w:p>
        </w:tc>
      </w:tr>
      <w:tr w:rsidR="00D5466B" w:rsidRPr="008C4436" w14:paraId="6CF1A923" w14:textId="77777777" w:rsidTr="00AB0DD8">
        <w:trPr>
          <w:trHeight w:val="259"/>
        </w:trPr>
        <w:tc>
          <w:tcPr>
            <w:tcW w:w="1020" w:type="dxa"/>
          </w:tcPr>
          <w:p w14:paraId="7FCBD77E" w14:textId="77777777" w:rsidR="00D5466B" w:rsidRPr="008C4436" w:rsidRDefault="00D5466B" w:rsidP="00400DD1">
            <w:pPr>
              <w:pStyle w:val="-7"/>
              <w:bidi w:val="0"/>
              <w:ind w:right="-231"/>
              <w:jc w:val="left"/>
              <w:rPr>
                <w:spacing w:val="-6"/>
                <w:sz w:val="14"/>
                <w:szCs w:val="14"/>
                <w:rtl/>
              </w:rPr>
            </w:pPr>
          </w:p>
        </w:tc>
        <w:tc>
          <w:tcPr>
            <w:tcW w:w="4405" w:type="dxa"/>
            <w:tcBorders>
              <w:left w:val="nil"/>
            </w:tcBorders>
            <w:vAlign w:val="bottom"/>
          </w:tcPr>
          <w:p w14:paraId="4A1700B9" w14:textId="77777777" w:rsidR="00D5466B" w:rsidRPr="008C4436" w:rsidRDefault="00D5466B" w:rsidP="00400DD1">
            <w:pPr>
              <w:pStyle w:val="-0"/>
              <w:spacing w:line="240" w:lineRule="auto"/>
              <w:ind w:left="448" w:firstLine="0"/>
              <w:rPr>
                <w:rtl/>
              </w:rPr>
            </w:pPr>
            <w:r w:rsidRPr="00472C61">
              <w:rPr>
                <w:rtl/>
              </w:rPr>
              <w:t xml:space="preserve"> עד 1 </w:t>
            </w:r>
          </w:p>
        </w:tc>
        <w:tc>
          <w:tcPr>
            <w:tcW w:w="1107" w:type="dxa"/>
            <w:vAlign w:val="bottom"/>
          </w:tcPr>
          <w:p w14:paraId="24EF4D92" w14:textId="77777777" w:rsidR="00D5466B" w:rsidRPr="008C4436" w:rsidRDefault="00D5466B" w:rsidP="00400DD1">
            <w:pPr>
              <w:pStyle w:val="-3"/>
              <w:rPr>
                <w:rtl/>
              </w:rPr>
            </w:pPr>
            <w:r w:rsidRPr="00472C61">
              <w:rPr>
                <w:rtl/>
              </w:rPr>
              <w:t xml:space="preserve"> 0</w:t>
            </w:r>
          </w:p>
        </w:tc>
        <w:tc>
          <w:tcPr>
            <w:tcW w:w="891" w:type="dxa"/>
            <w:vAlign w:val="bottom"/>
          </w:tcPr>
          <w:p w14:paraId="0B7F9084" w14:textId="77777777" w:rsidR="00D5466B" w:rsidRPr="008C4436" w:rsidRDefault="00D5466B" w:rsidP="00400DD1">
            <w:pPr>
              <w:pStyle w:val="-3"/>
              <w:rPr>
                <w:rtl/>
              </w:rPr>
            </w:pPr>
            <w:r w:rsidRPr="00472C61">
              <w:rPr>
                <w:rtl/>
              </w:rPr>
              <w:t xml:space="preserve"> 0</w:t>
            </w:r>
          </w:p>
        </w:tc>
        <w:tc>
          <w:tcPr>
            <w:tcW w:w="1419" w:type="dxa"/>
            <w:vAlign w:val="bottom"/>
          </w:tcPr>
          <w:p w14:paraId="37D7CD74" w14:textId="77777777" w:rsidR="00D5466B" w:rsidRPr="008C4436" w:rsidRDefault="00D5466B" w:rsidP="00400DD1">
            <w:pPr>
              <w:pStyle w:val="-3"/>
              <w:rPr>
                <w:rtl/>
              </w:rPr>
            </w:pPr>
            <w:r w:rsidRPr="00472C61">
              <w:rPr>
                <w:rtl/>
              </w:rPr>
              <w:t xml:space="preserve"> 0</w:t>
            </w:r>
          </w:p>
        </w:tc>
      </w:tr>
      <w:tr w:rsidR="00D5466B" w:rsidRPr="008C4436" w14:paraId="3D70C125" w14:textId="77777777" w:rsidTr="00AB0DD8">
        <w:trPr>
          <w:trHeight w:val="259"/>
        </w:trPr>
        <w:tc>
          <w:tcPr>
            <w:tcW w:w="1020" w:type="dxa"/>
          </w:tcPr>
          <w:p w14:paraId="0DF2A74B" w14:textId="77777777" w:rsidR="00D5466B" w:rsidRPr="008C4436" w:rsidRDefault="00D5466B" w:rsidP="00400DD1">
            <w:pPr>
              <w:pStyle w:val="-fa"/>
              <w:rPr>
                <w:rtl/>
              </w:rPr>
            </w:pPr>
          </w:p>
        </w:tc>
        <w:tc>
          <w:tcPr>
            <w:tcW w:w="4405" w:type="dxa"/>
            <w:tcBorders>
              <w:left w:val="nil"/>
            </w:tcBorders>
            <w:vAlign w:val="bottom"/>
          </w:tcPr>
          <w:p w14:paraId="31089A39" w14:textId="77777777" w:rsidR="00D5466B" w:rsidRPr="008C4436" w:rsidRDefault="00D5466B" w:rsidP="00400DD1">
            <w:pPr>
              <w:pStyle w:val="-0"/>
              <w:spacing w:line="240" w:lineRule="auto"/>
              <w:ind w:left="448" w:firstLine="0"/>
              <w:rPr>
                <w:rtl/>
              </w:rPr>
            </w:pPr>
            <w:r w:rsidRPr="00472C61">
              <w:rPr>
                <w:rtl/>
              </w:rPr>
              <w:t xml:space="preserve"> מעל 1 עד 10</w:t>
            </w:r>
          </w:p>
        </w:tc>
        <w:tc>
          <w:tcPr>
            <w:tcW w:w="1107" w:type="dxa"/>
            <w:vAlign w:val="bottom"/>
          </w:tcPr>
          <w:p w14:paraId="5F152050" w14:textId="77777777" w:rsidR="00D5466B" w:rsidRPr="008C4436" w:rsidRDefault="00D5466B" w:rsidP="00400DD1">
            <w:pPr>
              <w:pStyle w:val="-3"/>
              <w:rPr>
                <w:rtl/>
              </w:rPr>
            </w:pPr>
            <w:r w:rsidRPr="00472C61">
              <w:rPr>
                <w:rtl/>
              </w:rPr>
              <w:t xml:space="preserve"> 0</w:t>
            </w:r>
          </w:p>
        </w:tc>
        <w:tc>
          <w:tcPr>
            <w:tcW w:w="891" w:type="dxa"/>
            <w:vAlign w:val="bottom"/>
          </w:tcPr>
          <w:p w14:paraId="48858A28" w14:textId="77777777" w:rsidR="00D5466B" w:rsidRPr="008C4436" w:rsidRDefault="00D5466B" w:rsidP="00400DD1">
            <w:pPr>
              <w:pStyle w:val="-3"/>
              <w:rPr>
                <w:rtl/>
              </w:rPr>
            </w:pPr>
            <w:r w:rsidRPr="00472C61">
              <w:rPr>
                <w:rtl/>
              </w:rPr>
              <w:t xml:space="preserve"> 0</w:t>
            </w:r>
          </w:p>
        </w:tc>
        <w:tc>
          <w:tcPr>
            <w:tcW w:w="1419" w:type="dxa"/>
            <w:vAlign w:val="bottom"/>
          </w:tcPr>
          <w:p w14:paraId="46120C5A" w14:textId="77777777" w:rsidR="00D5466B" w:rsidRPr="008C4436" w:rsidRDefault="00D5466B" w:rsidP="00400DD1">
            <w:pPr>
              <w:pStyle w:val="-3"/>
              <w:rPr>
                <w:rtl/>
              </w:rPr>
            </w:pPr>
            <w:r w:rsidRPr="00472C61">
              <w:rPr>
                <w:rtl/>
              </w:rPr>
              <w:t xml:space="preserve"> 0</w:t>
            </w:r>
          </w:p>
        </w:tc>
      </w:tr>
      <w:tr w:rsidR="00D5466B" w:rsidRPr="008C4436" w14:paraId="0DB7D1A7" w14:textId="77777777" w:rsidTr="00AB0DD8">
        <w:trPr>
          <w:trHeight w:val="259"/>
        </w:trPr>
        <w:tc>
          <w:tcPr>
            <w:tcW w:w="1020" w:type="dxa"/>
          </w:tcPr>
          <w:p w14:paraId="29AE8A39" w14:textId="77777777" w:rsidR="00D5466B" w:rsidRPr="008C4436" w:rsidRDefault="00D5466B" w:rsidP="00400DD1">
            <w:pPr>
              <w:pStyle w:val="-fa"/>
              <w:rPr>
                <w:rtl/>
              </w:rPr>
            </w:pPr>
          </w:p>
        </w:tc>
        <w:tc>
          <w:tcPr>
            <w:tcW w:w="4405" w:type="dxa"/>
            <w:tcBorders>
              <w:left w:val="nil"/>
            </w:tcBorders>
            <w:vAlign w:val="bottom"/>
          </w:tcPr>
          <w:p w14:paraId="27F9881F" w14:textId="77777777" w:rsidR="00D5466B" w:rsidRPr="008C4436" w:rsidRDefault="00D5466B" w:rsidP="00400DD1">
            <w:pPr>
              <w:pStyle w:val="-0"/>
              <w:spacing w:line="240" w:lineRule="auto"/>
              <w:ind w:left="448" w:firstLine="0"/>
              <w:rPr>
                <w:rtl/>
              </w:rPr>
            </w:pPr>
            <w:r w:rsidRPr="00472C61">
              <w:rPr>
                <w:rtl/>
              </w:rPr>
              <w:t xml:space="preserve"> מעל 10 עד 100</w:t>
            </w:r>
          </w:p>
        </w:tc>
        <w:tc>
          <w:tcPr>
            <w:tcW w:w="1107" w:type="dxa"/>
            <w:vAlign w:val="bottom"/>
          </w:tcPr>
          <w:p w14:paraId="1B4F3C81" w14:textId="77777777" w:rsidR="00D5466B" w:rsidRPr="008C4436" w:rsidRDefault="00D5466B" w:rsidP="00400DD1">
            <w:pPr>
              <w:pStyle w:val="-3"/>
              <w:rPr>
                <w:rtl/>
              </w:rPr>
            </w:pPr>
            <w:r w:rsidRPr="00472C61">
              <w:rPr>
                <w:rtl/>
              </w:rPr>
              <w:t xml:space="preserve"> 0</w:t>
            </w:r>
          </w:p>
        </w:tc>
        <w:tc>
          <w:tcPr>
            <w:tcW w:w="891" w:type="dxa"/>
            <w:vAlign w:val="bottom"/>
          </w:tcPr>
          <w:p w14:paraId="49D0D098" w14:textId="77777777" w:rsidR="00D5466B" w:rsidRPr="008C4436" w:rsidRDefault="00D5466B" w:rsidP="00400DD1">
            <w:pPr>
              <w:pStyle w:val="-3"/>
              <w:rPr>
                <w:rtl/>
              </w:rPr>
            </w:pPr>
            <w:r w:rsidRPr="00472C61">
              <w:rPr>
                <w:rtl/>
              </w:rPr>
              <w:t xml:space="preserve"> 0</w:t>
            </w:r>
          </w:p>
        </w:tc>
        <w:tc>
          <w:tcPr>
            <w:tcW w:w="1419" w:type="dxa"/>
            <w:vAlign w:val="bottom"/>
          </w:tcPr>
          <w:p w14:paraId="6ADF25BE" w14:textId="77777777" w:rsidR="00D5466B" w:rsidRPr="008C4436" w:rsidRDefault="00D5466B" w:rsidP="00400DD1">
            <w:pPr>
              <w:pStyle w:val="-3"/>
              <w:rPr>
                <w:rtl/>
              </w:rPr>
            </w:pPr>
            <w:r w:rsidRPr="00472C61">
              <w:rPr>
                <w:rtl/>
              </w:rPr>
              <w:t xml:space="preserve"> 0</w:t>
            </w:r>
          </w:p>
        </w:tc>
      </w:tr>
      <w:tr w:rsidR="00D5466B" w:rsidRPr="008C4436" w14:paraId="7499CBBD" w14:textId="77777777" w:rsidTr="00AB0DD8">
        <w:trPr>
          <w:trHeight w:val="259"/>
        </w:trPr>
        <w:tc>
          <w:tcPr>
            <w:tcW w:w="1020" w:type="dxa"/>
          </w:tcPr>
          <w:p w14:paraId="5FF2AF3C" w14:textId="77777777" w:rsidR="00D5466B" w:rsidRPr="008C4436" w:rsidRDefault="00D5466B" w:rsidP="00400DD1">
            <w:pPr>
              <w:pStyle w:val="-fa"/>
              <w:rPr>
                <w:rtl/>
              </w:rPr>
            </w:pPr>
          </w:p>
        </w:tc>
        <w:tc>
          <w:tcPr>
            <w:tcW w:w="4405" w:type="dxa"/>
            <w:tcBorders>
              <w:left w:val="nil"/>
            </w:tcBorders>
            <w:vAlign w:val="bottom"/>
          </w:tcPr>
          <w:p w14:paraId="7C397A25" w14:textId="77777777" w:rsidR="00D5466B" w:rsidRPr="008C4436" w:rsidRDefault="00D5466B" w:rsidP="00400DD1">
            <w:pPr>
              <w:pStyle w:val="-0"/>
              <w:spacing w:line="240" w:lineRule="auto"/>
              <w:ind w:left="448" w:firstLine="0"/>
              <w:rPr>
                <w:rtl/>
              </w:rPr>
            </w:pPr>
            <w:r w:rsidRPr="00472C61">
              <w:rPr>
                <w:rtl/>
              </w:rPr>
              <w:t xml:space="preserve"> מעל 100 עד 500</w:t>
            </w:r>
          </w:p>
        </w:tc>
        <w:tc>
          <w:tcPr>
            <w:tcW w:w="1107" w:type="dxa"/>
            <w:vAlign w:val="bottom"/>
          </w:tcPr>
          <w:p w14:paraId="2C303D4C" w14:textId="77777777" w:rsidR="00D5466B" w:rsidRPr="008C4436" w:rsidRDefault="00D5466B" w:rsidP="00400DD1">
            <w:pPr>
              <w:pStyle w:val="-3"/>
              <w:rPr>
                <w:rtl/>
              </w:rPr>
            </w:pPr>
            <w:r w:rsidRPr="00472C61">
              <w:rPr>
                <w:rtl/>
              </w:rPr>
              <w:t xml:space="preserve"> 0</w:t>
            </w:r>
          </w:p>
        </w:tc>
        <w:tc>
          <w:tcPr>
            <w:tcW w:w="891" w:type="dxa"/>
            <w:vAlign w:val="bottom"/>
          </w:tcPr>
          <w:p w14:paraId="51AC62A0" w14:textId="77777777" w:rsidR="00D5466B" w:rsidRPr="008C4436" w:rsidRDefault="00D5466B" w:rsidP="00400DD1">
            <w:pPr>
              <w:pStyle w:val="-3"/>
              <w:rPr>
                <w:rtl/>
              </w:rPr>
            </w:pPr>
            <w:r w:rsidRPr="00472C61">
              <w:rPr>
                <w:rtl/>
              </w:rPr>
              <w:t xml:space="preserve"> 0</w:t>
            </w:r>
          </w:p>
        </w:tc>
        <w:tc>
          <w:tcPr>
            <w:tcW w:w="1419" w:type="dxa"/>
            <w:vAlign w:val="bottom"/>
          </w:tcPr>
          <w:p w14:paraId="5D50820B" w14:textId="77777777" w:rsidR="00D5466B" w:rsidRPr="008C4436" w:rsidRDefault="00D5466B" w:rsidP="00400DD1">
            <w:pPr>
              <w:pStyle w:val="-3"/>
              <w:rPr>
                <w:rtl/>
              </w:rPr>
            </w:pPr>
            <w:r w:rsidRPr="00472C61">
              <w:rPr>
                <w:rtl/>
              </w:rPr>
              <w:t xml:space="preserve"> 0</w:t>
            </w:r>
          </w:p>
        </w:tc>
      </w:tr>
      <w:tr w:rsidR="00D5466B" w:rsidRPr="008C4436" w14:paraId="56377353" w14:textId="77777777" w:rsidTr="00AB0DD8">
        <w:trPr>
          <w:trHeight w:val="259"/>
        </w:trPr>
        <w:tc>
          <w:tcPr>
            <w:tcW w:w="1020" w:type="dxa"/>
          </w:tcPr>
          <w:p w14:paraId="4B2A1981" w14:textId="77777777" w:rsidR="00D5466B" w:rsidRPr="008C4436" w:rsidRDefault="00D5466B" w:rsidP="00400DD1">
            <w:pPr>
              <w:pStyle w:val="-fa"/>
              <w:rPr>
                <w:rtl/>
              </w:rPr>
            </w:pPr>
          </w:p>
        </w:tc>
        <w:tc>
          <w:tcPr>
            <w:tcW w:w="4405" w:type="dxa"/>
            <w:tcBorders>
              <w:left w:val="nil"/>
            </w:tcBorders>
            <w:vAlign w:val="bottom"/>
          </w:tcPr>
          <w:p w14:paraId="29214FD8" w14:textId="77777777" w:rsidR="00D5466B" w:rsidRPr="008C4436" w:rsidRDefault="00D5466B" w:rsidP="00400DD1">
            <w:pPr>
              <w:pStyle w:val="-0"/>
              <w:spacing w:line="240" w:lineRule="auto"/>
              <w:ind w:left="448" w:firstLine="0"/>
              <w:rPr>
                <w:rtl/>
              </w:rPr>
            </w:pPr>
            <w:r w:rsidRPr="00472C61">
              <w:rPr>
                <w:rtl/>
              </w:rPr>
              <w:t xml:space="preserve"> מעל </w:t>
            </w:r>
            <w:r w:rsidRPr="003C1D63">
              <w:rPr>
                <w:rtl/>
              </w:rPr>
              <w:t>500</w:t>
            </w:r>
            <w:r w:rsidRPr="003C1D63">
              <w:rPr>
                <w:sz w:val="18"/>
                <w:szCs w:val="18"/>
                <w:vertAlign w:val="superscript"/>
                <w:rtl/>
              </w:rPr>
              <w:t>[</w:t>
            </w:r>
            <w:r w:rsidRPr="003C1D63">
              <w:rPr>
                <w:sz w:val="18"/>
                <w:szCs w:val="18"/>
                <w:vertAlign w:val="superscript"/>
                <w:rtl/>
              </w:rPr>
              <w:footnoteReference w:id="60"/>
            </w:r>
            <w:r w:rsidRPr="003C1D63">
              <w:rPr>
                <w:sz w:val="18"/>
                <w:szCs w:val="18"/>
                <w:vertAlign w:val="superscript"/>
                <w:rtl/>
              </w:rPr>
              <w:t>]</w:t>
            </w:r>
          </w:p>
        </w:tc>
        <w:tc>
          <w:tcPr>
            <w:tcW w:w="1107" w:type="dxa"/>
            <w:vAlign w:val="bottom"/>
          </w:tcPr>
          <w:p w14:paraId="7FC99B7C" w14:textId="77777777" w:rsidR="00D5466B" w:rsidRPr="008C4436" w:rsidRDefault="00D5466B" w:rsidP="00400DD1">
            <w:pPr>
              <w:pStyle w:val="-3"/>
              <w:pBdr>
                <w:bottom w:val="single" w:sz="4" w:space="1" w:color="auto"/>
              </w:pBdr>
              <w:rPr>
                <w:rtl/>
              </w:rPr>
            </w:pPr>
            <w:r w:rsidRPr="00472C61">
              <w:rPr>
                <w:rtl/>
              </w:rPr>
              <w:t xml:space="preserve"> 0</w:t>
            </w:r>
          </w:p>
        </w:tc>
        <w:tc>
          <w:tcPr>
            <w:tcW w:w="891" w:type="dxa"/>
            <w:vAlign w:val="bottom"/>
          </w:tcPr>
          <w:p w14:paraId="745EEF09" w14:textId="77777777" w:rsidR="00D5466B" w:rsidRPr="008C4436" w:rsidRDefault="00D5466B" w:rsidP="00400DD1">
            <w:pPr>
              <w:pStyle w:val="-3"/>
              <w:pBdr>
                <w:bottom w:val="single" w:sz="4" w:space="1" w:color="auto"/>
              </w:pBdr>
              <w:rPr>
                <w:rtl/>
              </w:rPr>
            </w:pPr>
            <w:r w:rsidRPr="00472C61">
              <w:rPr>
                <w:rtl/>
              </w:rPr>
              <w:t xml:space="preserve"> 0</w:t>
            </w:r>
          </w:p>
        </w:tc>
        <w:tc>
          <w:tcPr>
            <w:tcW w:w="1419" w:type="dxa"/>
            <w:vAlign w:val="bottom"/>
          </w:tcPr>
          <w:p w14:paraId="79052A5F" w14:textId="77777777" w:rsidR="00D5466B" w:rsidRPr="008C4436" w:rsidRDefault="00D5466B" w:rsidP="00400DD1">
            <w:pPr>
              <w:pStyle w:val="-3"/>
              <w:pBdr>
                <w:bottom w:val="single" w:sz="4" w:space="1" w:color="auto"/>
              </w:pBdr>
              <w:rPr>
                <w:rtl/>
              </w:rPr>
            </w:pPr>
            <w:r w:rsidRPr="00472C61">
              <w:rPr>
                <w:rtl/>
              </w:rPr>
              <w:t xml:space="preserve"> 0</w:t>
            </w:r>
          </w:p>
        </w:tc>
      </w:tr>
      <w:tr w:rsidR="00D5466B" w:rsidRPr="008C4436" w14:paraId="20DE1F43" w14:textId="77777777" w:rsidTr="00AB0DD8">
        <w:trPr>
          <w:trHeight w:val="259"/>
        </w:trPr>
        <w:tc>
          <w:tcPr>
            <w:tcW w:w="1020" w:type="dxa"/>
          </w:tcPr>
          <w:p w14:paraId="285017E3" w14:textId="77777777" w:rsidR="00D5466B" w:rsidRPr="008C4436" w:rsidRDefault="00D5466B" w:rsidP="00400DD1">
            <w:pPr>
              <w:pStyle w:val="-fa"/>
              <w:rPr>
                <w:rtl/>
              </w:rPr>
            </w:pPr>
          </w:p>
        </w:tc>
        <w:tc>
          <w:tcPr>
            <w:tcW w:w="4405" w:type="dxa"/>
            <w:tcBorders>
              <w:left w:val="nil"/>
            </w:tcBorders>
            <w:vAlign w:val="bottom"/>
          </w:tcPr>
          <w:p w14:paraId="23B1260D" w14:textId="77777777" w:rsidR="00D5466B" w:rsidRPr="007956EC" w:rsidRDefault="00D5466B" w:rsidP="002C4102">
            <w:pPr>
              <w:pStyle w:val="-0"/>
              <w:spacing w:line="240" w:lineRule="auto"/>
              <w:ind w:left="690" w:hanging="142"/>
              <w:rPr>
                <w:b/>
                <w:bCs/>
                <w:rtl/>
              </w:rPr>
            </w:pPr>
            <w:r w:rsidRPr="00472C61">
              <w:rPr>
                <w:rFonts w:hint="eastAsia"/>
                <w:b/>
                <w:bCs/>
                <w:rtl/>
              </w:rPr>
              <w:t>סה</w:t>
            </w:r>
            <w:r w:rsidRPr="00472C61">
              <w:rPr>
                <w:b/>
                <w:bCs/>
                <w:rtl/>
              </w:rPr>
              <w:t>"כ</w:t>
            </w:r>
          </w:p>
        </w:tc>
        <w:tc>
          <w:tcPr>
            <w:tcW w:w="1107" w:type="dxa"/>
            <w:vAlign w:val="bottom"/>
          </w:tcPr>
          <w:p w14:paraId="45CAD337" w14:textId="77777777" w:rsidR="00D5466B" w:rsidRPr="007956EC" w:rsidRDefault="00D5466B" w:rsidP="00400DD1">
            <w:pPr>
              <w:pStyle w:val="-3"/>
              <w:pBdr>
                <w:bottom w:val="double" w:sz="4" w:space="1" w:color="auto"/>
              </w:pBdr>
              <w:rPr>
                <w:b/>
                <w:bCs/>
                <w:rtl/>
              </w:rPr>
            </w:pPr>
            <w:r w:rsidRPr="00472C61">
              <w:rPr>
                <w:b/>
                <w:bCs/>
                <w:rtl/>
              </w:rPr>
              <w:t xml:space="preserve"> 0</w:t>
            </w:r>
          </w:p>
        </w:tc>
        <w:tc>
          <w:tcPr>
            <w:tcW w:w="891" w:type="dxa"/>
            <w:vAlign w:val="bottom"/>
          </w:tcPr>
          <w:p w14:paraId="1115C604" w14:textId="77777777" w:rsidR="00D5466B" w:rsidRPr="007956EC" w:rsidRDefault="00D5466B" w:rsidP="00400DD1">
            <w:pPr>
              <w:pStyle w:val="-3"/>
              <w:pBdr>
                <w:bottom w:val="double" w:sz="4" w:space="1" w:color="auto"/>
              </w:pBdr>
              <w:rPr>
                <w:b/>
                <w:bCs/>
                <w:rtl/>
              </w:rPr>
            </w:pPr>
            <w:r w:rsidRPr="00472C61">
              <w:rPr>
                <w:b/>
                <w:bCs/>
                <w:rtl/>
              </w:rPr>
              <w:t xml:space="preserve"> 0</w:t>
            </w:r>
          </w:p>
        </w:tc>
        <w:tc>
          <w:tcPr>
            <w:tcW w:w="1419" w:type="dxa"/>
            <w:vAlign w:val="bottom"/>
          </w:tcPr>
          <w:p w14:paraId="0B5A438D" w14:textId="77777777" w:rsidR="00D5466B" w:rsidRPr="007956EC" w:rsidRDefault="00D5466B" w:rsidP="00400DD1">
            <w:pPr>
              <w:pStyle w:val="-3"/>
              <w:pBdr>
                <w:bottom w:val="double" w:sz="4" w:space="1" w:color="auto"/>
              </w:pBdr>
              <w:rPr>
                <w:b/>
                <w:bCs/>
                <w:rtl/>
              </w:rPr>
            </w:pPr>
            <w:r w:rsidRPr="00472C61">
              <w:rPr>
                <w:b/>
                <w:bCs/>
                <w:rtl/>
              </w:rPr>
              <w:t xml:space="preserve"> 0</w:t>
            </w:r>
          </w:p>
        </w:tc>
      </w:tr>
    </w:tbl>
    <w:p w14:paraId="180B0EE2" w14:textId="77777777" w:rsidR="00184CEB" w:rsidRDefault="00184CEB" w:rsidP="006D22E3">
      <w:pPr>
        <w:pStyle w:val="-2"/>
        <w:ind w:left="1584"/>
        <w:rPr>
          <w:sz w:val="20"/>
          <w:szCs w:val="20"/>
          <w:rtl/>
        </w:rPr>
        <w:sectPr w:rsidR="00184CEB" w:rsidSect="00587121">
          <w:headerReference w:type="even" r:id="rId52"/>
          <w:footnotePr>
            <w:numRestart w:val="eachPage"/>
          </w:footnotePr>
          <w:pgSz w:w="11909" w:h="16834" w:code="9"/>
          <w:pgMar w:top="851" w:right="851" w:bottom="851" w:left="851" w:header="720" w:footer="720" w:gutter="0"/>
          <w:cols w:space="720"/>
          <w:bidi/>
          <w:rtlGutter/>
          <w:docGrid w:linePitch="360"/>
        </w:sectPr>
      </w:pPr>
    </w:p>
    <w:p w14:paraId="7B46A8C6" w14:textId="77777777" w:rsidR="00184CEB" w:rsidRPr="00D9322A" w:rsidRDefault="00184CEB" w:rsidP="00D9322A">
      <w:pPr>
        <w:bidi w:val="0"/>
        <w:spacing w:line="14" w:lineRule="exact"/>
        <w:jc w:val="left"/>
        <w:rPr>
          <w:sz w:val="16"/>
          <w:szCs w:val="16"/>
        </w:rPr>
      </w:pPr>
    </w:p>
    <w:tbl>
      <w:tblPr>
        <w:bidiVisual/>
        <w:tblW w:w="3403" w:type="dxa"/>
        <w:tblInd w:w="-119" w:type="dxa"/>
        <w:tblLayout w:type="fixed"/>
        <w:tblLook w:val="01E0" w:firstRow="1" w:lastRow="1" w:firstColumn="1" w:lastColumn="1" w:noHBand="0" w:noVBand="0"/>
      </w:tblPr>
      <w:tblGrid>
        <w:gridCol w:w="3403"/>
      </w:tblGrid>
      <w:tr w:rsidR="00B93E89" w:rsidRPr="00BF11B9" w14:paraId="1589F437" w14:textId="77777777" w:rsidTr="00161398">
        <w:trPr>
          <w:trHeight w:val="259"/>
        </w:trPr>
        <w:tc>
          <w:tcPr>
            <w:tcW w:w="3403" w:type="dxa"/>
          </w:tcPr>
          <w:p w14:paraId="60C5A85E" w14:textId="77777777" w:rsidR="00B93E89" w:rsidRDefault="00B93E89" w:rsidP="00B93E89">
            <w:pPr>
              <w:pStyle w:val="-7"/>
              <w:spacing w:before="60" w:line="240" w:lineRule="auto"/>
              <w:jc w:val="left"/>
              <w:rPr>
                <w:spacing w:val="-4"/>
                <w:sz w:val="14"/>
                <w:szCs w:val="14"/>
                <w:rtl/>
              </w:rPr>
            </w:pPr>
            <w:r w:rsidRPr="00030C7C">
              <w:rPr>
                <w:rFonts w:hint="eastAsia"/>
                <w:spacing w:val="-4"/>
                <w:sz w:val="14"/>
                <w:szCs w:val="14"/>
                <w:rtl/>
              </w:rPr>
              <w:t>ה</w:t>
            </w:r>
            <w:r w:rsidRPr="00030C7C">
              <w:rPr>
                <w:spacing w:val="-4"/>
                <w:sz w:val="14"/>
                <w:szCs w:val="14"/>
                <w:rtl/>
              </w:rPr>
              <w:t xml:space="preserve">. </w:t>
            </w:r>
            <w:r w:rsidRPr="00030C7C">
              <w:rPr>
                <w:rFonts w:hint="eastAsia"/>
                <w:spacing w:val="-4"/>
                <w:sz w:val="14"/>
                <w:szCs w:val="14"/>
                <w:rtl/>
              </w:rPr>
              <w:t>המפקח</w:t>
            </w:r>
            <w:r w:rsidRPr="00030C7C">
              <w:rPr>
                <w:spacing w:val="-4"/>
                <w:sz w:val="14"/>
                <w:szCs w:val="14"/>
                <w:rtl/>
              </w:rPr>
              <w:t xml:space="preserve"> </w:t>
            </w:r>
            <w:r w:rsidRPr="00030C7C">
              <w:rPr>
                <w:rFonts w:hint="eastAsia"/>
                <w:spacing w:val="-4"/>
                <w:sz w:val="14"/>
                <w:szCs w:val="14"/>
                <w:rtl/>
              </w:rPr>
              <w:t>ס</w:t>
            </w:r>
            <w:r w:rsidRPr="00030C7C">
              <w:rPr>
                <w:spacing w:val="-4"/>
                <w:sz w:val="14"/>
                <w:szCs w:val="14"/>
                <w:rtl/>
              </w:rPr>
              <w:t xml:space="preserve">' </w:t>
            </w:r>
            <w:r>
              <w:rPr>
                <w:rFonts w:hint="cs"/>
                <w:spacing w:val="-4"/>
                <w:sz w:val="14"/>
                <w:szCs w:val="14"/>
                <w:rtl/>
              </w:rPr>
              <w:t>41</w:t>
            </w:r>
          </w:p>
          <w:p w14:paraId="3540E47A" w14:textId="0B1EF220" w:rsidR="00B93E89" w:rsidRPr="00030C7C" w:rsidRDefault="00B93E89" w:rsidP="00E95B49">
            <w:pPr>
              <w:pStyle w:val="-7"/>
              <w:spacing w:line="240" w:lineRule="auto"/>
              <w:jc w:val="left"/>
              <w:rPr>
                <w:spacing w:val="-4"/>
                <w:sz w:val="14"/>
                <w:szCs w:val="14"/>
                <w:rtl/>
              </w:rPr>
            </w:pPr>
            <w:r w:rsidRPr="00E05BA6">
              <w:rPr>
                <w:sz w:val="14"/>
                <w:szCs w:val="14"/>
                <w:rtl/>
              </w:rPr>
              <w:t>מתכונת ביאור עמ'</w:t>
            </w:r>
            <w:r w:rsidR="00E95B49">
              <w:rPr>
                <w:rFonts w:hint="cs"/>
                <w:sz w:val="14"/>
                <w:szCs w:val="14"/>
                <w:rtl/>
              </w:rPr>
              <w:t xml:space="preserve"> </w:t>
            </w:r>
            <w:r w:rsidRPr="00E05BA6">
              <w:rPr>
                <w:sz w:val="14"/>
                <w:szCs w:val="14"/>
                <w:rtl/>
              </w:rPr>
              <w:t>663-29</w:t>
            </w:r>
            <w:r>
              <w:rPr>
                <w:rFonts w:hint="cs"/>
                <w:sz w:val="14"/>
                <w:szCs w:val="14"/>
                <w:rtl/>
              </w:rPr>
              <w:t>.1</w:t>
            </w:r>
            <w:r w:rsidR="00E95B49">
              <w:rPr>
                <w:rFonts w:hint="cs"/>
                <w:sz w:val="14"/>
                <w:szCs w:val="14"/>
                <w:rtl/>
              </w:rPr>
              <w:t xml:space="preserve">  </w:t>
            </w:r>
            <w:r w:rsidR="00E95B49">
              <w:rPr>
                <w:rFonts w:hint="cs"/>
                <w:spacing w:val="-4"/>
                <w:sz w:val="14"/>
                <w:szCs w:val="14"/>
                <w:rtl/>
              </w:rPr>
              <w:t xml:space="preserve"> </w:t>
            </w:r>
          </w:p>
        </w:tc>
      </w:tr>
    </w:tbl>
    <w:p w14:paraId="686A97ED" w14:textId="678FE22D" w:rsidR="00B93E89" w:rsidRDefault="00B93E89" w:rsidP="00FF2B1C">
      <w:pPr>
        <w:pStyle w:val="5"/>
        <w:ind w:firstLine="1560"/>
      </w:pPr>
      <w:bookmarkStart w:id="31" w:name="_Toc160529226"/>
      <w:r w:rsidRPr="006F40BC">
        <w:rPr>
          <w:rtl/>
        </w:rPr>
        <w:t>ביאור 7א  -  הטבות לעובדים</w:t>
      </w:r>
      <w:r>
        <w:rPr>
          <w:rFonts w:hint="cs"/>
          <w:rtl/>
        </w:rPr>
        <w:t xml:space="preserve"> </w:t>
      </w:r>
      <w:r w:rsidR="00CE7ADD">
        <w:rPr>
          <w:rStyle w:val="a7"/>
          <w:rtl/>
        </w:rPr>
        <w:footnoteReference w:id="61"/>
      </w:r>
      <w:r w:rsidR="00D74A6A">
        <w:rPr>
          <w:rFonts w:hint="cs"/>
          <w:rtl/>
        </w:rPr>
        <w:t xml:space="preserve"> </w:t>
      </w:r>
      <w:r w:rsidRPr="00552DF5">
        <w:rPr>
          <w:rStyle w:val="a7"/>
          <w:rtl/>
        </w:rPr>
        <w:footnoteReference w:id="62"/>
      </w:r>
      <w:r w:rsidR="00FF2B1C">
        <w:rPr>
          <w:rFonts w:hint="cs"/>
          <w:sz w:val="20"/>
          <w:szCs w:val="20"/>
          <w:vertAlign w:val="superscript"/>
        </w:rPr>
        <w:t xml:space="preserve"> </w:t>
      </w:r>
      <w:r w:rsidRPr="00552DF5">
        <w:rPr>
          <w:rStyle w:val="a7"/>
          <w:rtl/>
        </w:rPr>
        <w:footnoteReference w:id="63"/>
      </w:r>
      <w:r w:rsidR="00FF2B1C">
        <w:rPr>
          <w:rFonts w:hint="cs"/>
          <w:sz w:val="20"/>
          <w:szCs w:val="20"/>
          <w:vertAlign w:val="superscript"/>
        </w:rPr>
        <w:t xml:space="preserve"> </w:t>
      </w:r>
      <w:r w:rsidR="004320D8">
        <w:rPr>
          <w:rFonts w:hint="cs"/>
          <w:sz w:val="20"/>
          <w:szCs w:val="20"/>
          <w:vertAlign w:val="superscript"/>
          <w:rtl/>
        </w:rPr>
        <w:t xml:space="preserve"> </w:t>
      </w:r>
      <w:r w:rsidRPr="00552DF5">
        <w:rPr>
          <w:rStyle w:val="a7"/>
          <w:rtl/>
        </w:rPr>
        <w:footnoteReference w:id="64"/>
      </w:r>
      <w:r w:rsidR="004320D8">
        <w:rPr>
          <w:sz w:val="20"/>
          <w:szCs w:val="20"/>
          <w:vertAlign w:val="superscript"/>
        </w:rPr>
        <w:t xml:space="preserve"> </w:t>
      </w:r>
      <w:r w:rsidR="00FF2B1C">
        <w:rPr>
          <w:rFonts w:hint="cs"/>
          <w:sz w:val="20"/>
          <w:szCs w:val="20"/>
          <w:vertAlign w:val="superscript"/>
        </w:rPr>
        <w:t xml:space="preserve"> </w:t>
      </w:r>
      <w:r w:rsidRPr="00552DF5">
        <w:rPr>
          <w:rStyle w:val="a7"/>
          <w:rtl/>
        </w:rPr>
        <w:footnoteReference w:id="65"/>
      </w:r>
      <w:bookmarkEnd w:id="31"/>
    </w:p>
    <w:tbl>
      <w:tblPr>
        <w:bidiVisual/>
        <w:tblW w:w="10371" w:type="dxa"/>
        <w:tblLayout w:type="fixed"/>
        <w:tblLook w:val="01E0" w:firstRow="1" w:lastRow="1" w:firstColumn="1" w:lastColumn="1" w:noHBand="0" w:noVBand="0"/>
      </w:tblPr>
      <w:tblGrid>
        <w:gridCol w:w="1570"/>
        <w:gridCol w:w="440"/>
        <w:gridCol w:w="9"/>
        <w:gridCol w:w="3445"/>
        <w:gridCol w:w="884"/>
        <w:gridCol w:w="967"/>
        <w:gridCol w:w="912"/>
        <w:gridCol w:w="940"/>
        <w:gridCol w:w="1204"/>
      </w:tblGrid>
      <w:tr w:rsidR="006D22E3" w:rsidRPr="00BF11B9" w14:paraId="7D562964" w14:textId="77777777" w:rsidTr="00030C7C">
        <w:trPr>
          <w:trHeight w:val="259"/>
        </w:trPr>
        <w:tc>
          <w:tcPr>
            <w:tcW w:w="1570" w:type="dxa"/>
          </w:tcPr>
          <w:p w14:paraId="5C5356E8" w14:textId="77777777" w:rsidR="00F32A2A" w:rsidRPr="00D56E75" w:rsidRDefault="00B87758" w:rsidP="00030C7C">
            <w:pPr>
              <w:pStyle w:val="-7"/>
              <w:spacing w:before="80" w:after="60" w:line="240" w:lineRule="auto"/>
              <w:jc w:val="left"/>
              <w:rPr>
                <w:rFonts w:asciiTheme="minorBidi" w:hAnsiTheme="minorBidi" w:cstheme="minorBidi"/>
                <w:sz w:val="14"/>
                <w:szCs w:val="14"/>
                <w:rtl/>
              </w:rPr>
            </w:pPr>
            <w:r w:rsidRPr="00D56E75">
              <w:rPr>
                <w:rFonts w:asciiTheme="minorBidi" w:hAnsiTheme="minorBidi" w:cstheme="minorBidi"/>
                <w:sz w:val="14"/>
                <w:szCs w:val="14"/>
                <w:rtl/>
              </w:rPr>
              <w:t>(</w:t>
            </w:r>
            <w:r w:rsidRPr="00D56E75">
              <w:rPr>
                <w:rFonts w:asciiTheme="minorBidi" w:hAnsiTheme="minorBidi" w:cstheme="minorBidi"/>
                <w:sz w:val="14"/>
                <w:szCs w:val="14"/>
              </w:rPr>
              <w:t>a</w:t>
            </w:r>
            <w:r w:rsidRPr="00D56E75">
              <w:rPr>
                <w:rFonts w:asciiTheme="minorBidi" w:hAnsiTheme="minorBidi" w:cstheme="minorBidi"/>
                <w:sz w:val="14"/>
                <w:szCs w:val="14"/>
                <w:rtl/>
              </w:rPr>
              <w:t xml:space="preserve">)715-20-50-6 </w:t>
            </w:r>
            <w:r w:rsidRPr="00D56E75">
              <w:rPr>
                <w:rFonts w:asciiTheme="minorBidi" w:hAnsiTheme="minorBidi" w:cstheme="minorBidi"/>
                <w:sz w:val="14"/>
                <w:szCs w:val="14"/>
              </w:rPr>
              <w:t>ASC</w:t>
            </w:r>
            <w:r w:rsidRPr="00D56E75" w:rsidDel="00072ED8">
              <w:rPr>
                <w:rFonts w:asciiTheme="minorBidi" w:hAnsiTheme="minorBidi" w:cstheme="minorBidi"/>
                <w:sz w:val="14"/>
                <w:szCs w:val="14"/>
                <w:rtl/>
              </w:rPr>
              <w:t xml:space="preserve"> </w:t>
            </w:r>
          </w:p>
        </w:tc>
        <w:tc>
          <w:tcPr>
            <w:tcW w:w="449" w:type="dxa"/>
            <w:gridSpan w:val="2"/>
          </w:tcPr>
          <w:p w14:paraId="0439ED22" w14:textId="77777777" w:rsidR="00F32A2A" w:rsidRPr="00D56E75" w:rsidRDefault="00B44059" w:rsidP="00030C7C">
            <w:pPr>
              <w:pStyle w:val="-7"/>
              <w:spacing w:before="60" w:after="60" w:line="240" w:lineRule="auto"/>
              <w:jc w:val="left"/>
              <w:rPr>
                <w:rFonts w:asciiTheme="minorBidi" w:hAnsiTheme="minorBidi" w:cstheme="minorBidi"/>
                <w:b/>
                <w:bCs/>
                <w:sz w:val="18"/>
                <w:szCs w:val="18"/>
                <w:rtl/>
              </w:rPr>
            </w:pPr>
            <w:r w:rsidRPr="00D56E75">
              <w:rPr>
                <w:rFonts w:asciiTheme="minorBidi" w:hAnsiTheme="minorBidi" w:cstheme="minorBidi" w:hint="eastAsia"/>
                <w:b/>
                <w:bCs/>
                <w:sz w:val="18"/>
                <w:szCs w:val="18"/>
                <w:rtl/>
              </w:rPr>
              <w:t>א</w:t>
            </w:r>
            <w:r w:rsidRPr="00D56E75">
              <w:rPr>
                <w:rFonts w:asciiTheme="minorBidi" w:hAnsiTheme="minorBidi" w:cstheme="minorBidi"/>
                <w:b/>
                <w:bCs/>
                <w:sz w:val="18"/>
                <w:szCs w:val="18"/>
                <w:rtl/>
              </w:rPr>
              <w:t>.</w:t>
            </w:r>
          </w:p>
        </w:tc>
        <w:tc>
          <w:tcPr>
            <w:tcW w:w="8352" w:type="dxa"/>
            <w:gridSpan w:val="6"/>
          </w:tcPr>
          <w:p w14:paraId="3D4AE594" w14:textId="77777777" w:rsidR="00F32A2A" w:rsidRPr="00D56E75" w:rsidRDefault="00B44059" w:rsidP="00030C7C">
            <w:pPr>
              <w:pStyle w:val="-4"/>
              <w:pBdr>
                <w:bottom w:val="none" w:sz="0" w:space="0" w:color="auto"/>
              </w:pBdr>
              <w:spacing w:before="60" w:after="60" w:line="240" w:lineRule="auto"/>
              <w:jc w:val="left"/>
              <w:rPr>
                <w:rFonts w:asciiTheme="minorBidi" w:hAnsiTheme="minorBidi" w:cstheme="minorBidi"/>
                <w:b w:val="0"/>
                <w:bCs w:val="0"/>
                <w:sz w:val="18"/>
                <w:szCs w:val="18"/>
                <w:rtl/>
              </w:rPr>
            </w:pPr>
            <w:r w:rsidRPr="00D56E75">
              <w:rPr>
                <w:rFonts w:asciiTheme="minorBidi" w:hAnsiTheme="minorBidi" w:cstheme="minorBidi" w:hint="eastAsia"/>
                <w:sz w:val="18"/>
                <w:szCs w:val="18"/>
                <w:rtl/>
              </w:rPr>
              <w:t>רכיבי</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עלות</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ההטבה</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נטו</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שהוכרו</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ברווח</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והפסד</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בגין</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תכני</w:t>
            </w:r>
            <w:r w:rsidR="000B42EF" w:rsidRPr="00D56E75">
              <w:rPr>
                <w:rFonts w:asciiTheme="minorBidi" w:hAnsiTheme="minorBidi" w:cstheme="minorBidi" w:hint="eastAsia"/>
                <w:sz w:val="18"/>
                <w:szCs w:val="18"/>
                <w:rtl/>
              </w:rPr>
              <w:t>ו</w:t>
            </w:r>
            <w:r w:rsidRPr="00D56E75">
              <w:rPr>
                <w:rFonts w:asciiTheme="minorBidi" w:hAnsiTheme="minorBidi" w:cstheme="minorBidi" w:hint="eastAsia"/>
                <w:sz w:val="18"/>
                <w:szCs w:val="18"/>
                <w:rtl/>
              </w:rPr>
              <w:t>ת</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פנסיה</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להטבה</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מוגדרת</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ולהפקדה</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מוגדרת</w:t>
            </w:r>
            <w:r w:rsidRPr="00D56E75">
              <w:rPr>
                <w:rFonts w:asciiTheme="minorBidi" w:hAnsiTheme="minorBidi" w:cstheme="minorBidi"/>
                <w:sz w:val="18"/>
                <w:szCs w:val="18"/>
                <w:rtl/>
              </w:rPr>
              <w:t>:</w:t>
            </w:r>
          </w:p>
        </w:tc>
      </w:tr>
      <w:tr w:rsidR="006D22E3" w:rsidRPr="008B69B3" w14:paraId="042075CB" w14:textId="77777777" w:rsidTr="00D9322A">
        <w:trPr>
          <w:trHeight w:val="259"/>
        </w:trPr>
        <w:tc>
          <w:tcPr>
            <w:tcW w:w="1570" w:type="dxa"/>
          </w:tcPr>
          <w:p w14:paraId="6D7EDE3B" w14:textId="77777777" w:rsidR="006D22E3" w:rsidRPr="00D56E75" w:rsidRDefault="006D22E3" w:rsidP="008C105D">
            <w:pPr>
              <w:pStyle w:val="-7"/>
              <w:spacing w:line="240" w:lineRule="auto"/>
              <w:jc w:val="left"/>
              <w:rPr>
                <w:rFonts w:asciiTheme="minorBidi" w:hAnsiTheme="minorBidi" w:cstheme="minorBidi"/>
                <w:sz w:val="18"/>
                <w:szCs w:val="18"/>
                <w:rtl/>
              </w:rPr>
            </w:pPr>
          </w:p>
        </w:tc>
        <w:tc>
          <w:tcPr>
            <w:tcW w:w="440" w:type="dxa"/>
            <w:vAlign w:val="bottom"/>
          </w:tcPr>
          <w:p w14:paraId="372075D8" w14:textId="77777777" w:rsidR="006D22E3" w:rsidRPr="00D56E75" w:rsidRDefault="006D22E3" w:rsidP="008C105D">
            <w:pPr>
              <w:pStyle w:val="-7"/>
              <w:spacing w:line="240" w:lineRule="auto"/>
              <w:jc w:val="left"/>
              <w:rPr>
                <w:rFonts w:asciiTheme="minorBidi" w:hAnsiTheme="minorBidi" w:cstheme="minorBidi"/>
                <w:sz w:val="18"/>
                <w:szCs w:val="18"/>
                <w:rtl/>
              </w:rPr>
            </w:pPr>
          </w:p>
        </w:tc>
        <w:tc>
          <w:tcPr>
            <w:tcW w:w="3454" w:type="dxa"/>
            <w:gridSpan w:val="2"/>
            <w:vAlign w:val="bottom"/>
          </w:tcPr>
          <w:p w14:paraId="7355B569" w14:textId="77777777" w:rsidR="006D22E3" w:rsidRPr="00D56E75" w:rsidRDefault="006D22E3" w:rsidP="008C105D">
            <w:pPr>
              <w:pStyle w:val="-0"/>
              <w:spacing w:line="240" w:lineRule="auto"/>
              <w:rPr>
                <w:rFonts w:asciiTheme="minorBidi" w:hAnsiTheme="minorBidi" w:cstheme="minorBidi"/>
                <w:b/>
                <w:bCs/>
                <w:sz w:val="18"/>
                <w:szCs w:val="18"/>
                <w:rtl/>
              </w:rPr>
            </w:pPr>
          </w:p>
        </w:tc>
        <w:tc>
          <w:tcPr>
            <w:tcW w:w="1851" w:type="dxa"/>
            <w:gridSpan w:val="2"/>
            <w:vAlign w:val="bottom"/>
          </w:tcPr>
          <w:p w14:paraId="3A1D6419" w14:textId="77777777" w:rsidR="006D22E3" w:rsidRPr="00D56E75" w:rsidRDefault="006D22E3" w:rsidP="008C105D">
            <w:pPr>
              <w:pStyle w:val="-4"/>
              <w:spacing w:line="240" w:lineRule="auto"/>
              <w:rPr>
                <w:rFonts w:asciiTheme="minorBidi" w:hAnsiTheme="minorBidi" w:cstheme="minorBidi"/>
                <w:sz w:val="18"/>
                <w:szCs w:val="18"/>
                <w:rtl/>
              </w:rPr>
            </w:pPr>
            <w:r w:rsidRPr="00D56E75">
              <w:rPr>
                <w:rFonts w:asciiTheme="minorBidi" w:hAnsiTheme="minorBidi" w:cstheme="minorBidi" w:hint="eastAsia"/>
                <w:sz w:val="18"/>
                <w:szCs w:val="18"/>
                <w:rtl/>
              </w:rPr>
              <w:t>לשלושה</w:t>
            </w:r>
            <w:r w:rsidRPr="00D56E75">
              <w:rPr>
                <w:rFonts w:asciiTheme="minorBidi" w:hAnsiTheme="minorBidi" w:cstheme="minorBidi"/>
                <w:sz w:val="18"/>
                <w:szCs w:val="18"/>
                <w:rtl/>
              </w:rPr>
              <w:t xml:space="preserve"> חודשים שהסתיימו ביום </w:t>
            </w:r>
            <w:r w:rsidRPr="00D56E75">
              <w:rPr>
                <w:rFonts w:asciiTheme="minorBidi" w:hAnsiTheme="minorBidi" w:cstheme="minorBidi"/>
                <w:sz w:val="18"/>
                <w:szCs w:val="18"/>
                <w:rtl/>
              </w:rPr>
              <w:br/>
              <w:t xml:space="preserve">30 </w:t>
            </w:r>
            <w:r w:rsidRPr="00D56E75">
              <w:rPr>
                <w:rFonts w:asciiTheme="minorBidi" w:hAnsiTheme="minorBidi" w:cstheme="minorBidi" w:hint="eastAsia"/>
                <w:sz w:val="18"/>
                <w:szCs w:val="18"/>
                <w:rtl/>
              </w:rPr>
              <w:t>ביוני</w:t>
            </w:r>
          </w:p>
        </w:tc>
        <w:tc>
          <w:tcPr>
            <w:tcW w:w="1852" w:type="dxa"/>
            <w:gridSpan w:val="2"/>
            <w:vAlign w:val="bottom"/>
          </w:tcPr>
          <w:p w14:paraId="1495DCBD" w14:textId="77777777" w:rsidR="006D22E3" w:rsidRPr="00D56E75" w:rsidRDefault="006D22E3" w:rsidP="008C105D">
            <w:pPr>
              <w:pStyle w:val="-4"/>
              <w:spacing w:line="240" w:lineRule="auto"/>
              <w:rPr>
                <w:rFonts w:asciiTheme="minorBidi" w:hAnsiTheme="minorBidi" w:cstheme="minorBidi"/>
                <w:sz w:val="18"/>
                <w:szCs w:val="18"/>
                <w:rtl/>
              </w:rPr>
            </w:pPr>
            <w:r w:rsidRPr="00D56E75">
              <w:rPr>
                <w:rFonts w:asciiTheme="minorBidi" w:hAnsiTheme="minorBidi" w:cstheme="minorBidi" w:hint="eastAsia"/>
                <w:sz w:val="18"/>
                <w:szCs w:val="18"/>
                <w:rtl/>
              </w:rPr>
              <w:t>לשישה</w:t>
            </w:r>
            <w:r w:rsidRPr="00D56E75">
              <w:rPr>
                <w:rFonts w:asciiTheme="minorBidi" w:hAnsiTheme="minorBidi" w:cstheme="minorBidi"/>
                <w:sz w:val="18"/>
                <w:szCs w:val="18"/>
                <w:rtl/>
              </w:rPr>
              <w:t xml:space="preserve"> חודשים שהסתיימו ביום </w:t>
            </w:r>
            <w:r w:rsidRPr="00D56E75">
              <w:rPr>
                <w:rFonts w:asciiTheme="minorBidi" w:hAnsiTheme="minorBidi" w:cstheme="minorBidi"/>
                <w:sz w:val="18"/>
                <w:szCs w:val="18"/>
                <w:rtl/>
              </w:rPr>
              <w:br/>
              <w:t xml:space="preserve">30 </w:t>
            </w:r>
            <w:r w:rsidRPr="00D56E75">
              <w:rPr>
                <w:rFonts w:asciiTheme="minorBidi" w:hAnsiTheme="minorBidi" w:cstheme="minorBidi" w:hint="eastAsia"/>
                <w:sz w:val="18"/>
                <w:szCs w:val="18"/>
                <w:rtl/>
              </w:rPr>
              <w:t>ביוני</w:t>
            </w:r>
          </w:p>
        </w:tc>
        <w:tc>
          <w:tcPr>
            <w:tcW w:w="1204" w:type="dxa"/>
            <w:vAlign w:val="bottom"/>
          </w:tcPr>
          <w:p w14:paraId="54420757" w14:textId="77777777" w:rsidR="00F32A2A" w:rsidRPr="00D56E75" w:rsidRDefault="006D22E3" w:rsidP="008C105D">
            <w:pPr>
              <w:pStyle w:val="-4"/>
              <w:spacing w:line="240" w:lineRule="auto"/>
              <w:rPr>
                <w:rFonts w:asciiTheme="minorBidi" w:hAnsiTheme="minorBidi" w:cstheme="minorBidi"/>
                <w:sz w:val="18"/>
                <w:szCs w:val="18"/>
                <w:rtl/>
              </w:rPr>
            </w:pPr>
            <w:r w:rsidRPr="00D56E75">
              <w:rPr>
                <w:rFonts w:asciiTheme="minorBidi" w:hAnsiTheme="minorBidi" w:cstheme="minorBidi" w:hint="eastAsia"/>
                <w:sz w:val="18"/>
                <w:szCs w:val="18"/>
                <w:rtl/>
              </w:rPr>
              <w:t>לשנה</w:t>
            </w:r>
            <w:r w:rsidR="00E553B9" w:rsidRPr="00D56E75">
              <w:rPr>
                <w:rFonts w:asciiTheme="minorBidi" w:hAnsiTheme="minorBidi" w:cstheme="minorBidi"/>
                <w:sz w:val="18"/>
                <w:szCs w:val="18"/>
                <w:rtl/>
              </w:rPr>
              <w:t xml:space="preserve"> </w:t>
            </w:r>
            <w:r w:rsidR="009474DD" w:rsidRPr="00D56E75">
              <w:rPr>
                <w:rFonts w:asciiTheme="minorBidi" w:hAnsiTheme="minorBidi" w:cstheme="minorBidi"/>
                <w:sz w:val="18"/>
                <w:szCs w:val="18"/>
                <w:rtl/>
              </w:rPr>
              <w:br/>
            </w:r>
            <w:r w:rsidRPr="00D56E75">
              <w:rPr>
                <w:rFonts w:asciiTheme="minorBidi" w:hAnsiTheme="minorBidi" w:cstheme="minorBidi" w:hint="eastAsia"/>
                <w:sz w:val="18"/>
                <w:szCs w:val="18"/>
                <w:rtl/>
              </w:rPr>
              <w:t>שהסתיימה</w:t>
            </w:r>
            <w:r w:rsidR="00E553B9" w:rsidRPr="00D56E75">
              <w:rPr>
                <w:rFonts w:asciiTheme="minorBidi" w:hAnsiTheme="minorBidi" w:cstheme="minorBidi"/>
                <w:sz w:val="18"/>
                <w:szCs w:val="18"/>
                <w:rtl/>
              </w:rPr>
              <w:t xml:space="preserve"> </w:t>
            </w:r>
            <w:r w:rsidRPr="00D56E75">
              <w:rPr>
                <w:rFonts w:asciiTheme="minorBidi" w:hAnsiTheme="minorBidi" w:cstheme="minorBidi"/>
                <w:sz w:val="18"/>
                <w:szCs w:val="18"/>
                <w:rtl/>
              </w:rPr>
              <w:t xml:space="preserve">ביום  </w:t>
            </w:r>
            <w:r w:rsidRPr="00D56E75">
              <w:rPr>
                <w:rFonts w:asciiTheme="minorBidi" w:hAnsiTheme="minorBidi" w:cstheme="minorBidi"/>
                <w:sz w:val="18"/>
                <w:szCs w:val="18"/>
                <w:rtl/>
              </w:rPr>
              <w:br/>
              <w:t xml:space="preserve">31 </w:t>
            </w:r>
            <w:r w:rsidRPr="00D56E75">
              <w:rPr>
                <w:rFonts w:asciiTheme="minorBidi" w:hAnsiTheme="minorBidi" w:cstheme="minorBidi" w:hint="eastAsia"/>
                <w:sz w:val="18"/>
                <w:szCs w:val="18"/>
                <w:rtl/>
              </w:rPr>
              <w:t>בדצמבר</w:t>
            </w:r>
          </w:p>
        </w:tc>
      </w:tr>
      <w:tr w:rsidR="006D22E3" w:rsidRPr="008B69B3" w14:paraId="1F26F93D" w14:textId="77777777" w:rsidTr="00D9322A">
        <w:trPr>
          <w:trHeight w:val="259"/>
        </w:trPr>
        <w:tc>
          <w:tcPr>
            <w:tcW w:w="1570" w:type="dxa"/>
          </w:tcPr>
          <w:p w14:paraId="6C539069" w14:textId="77777777" w:rsidR="006D22E3" w:rsidRPr="00D56E75" w:rsidRDefault="006D22E3" w:rsidP="008C105D">
            <w:pPr>
              <w:pStyle w:val="-7"/>
              <w:spacing w:line="240" w:lineRule="auto"/>
              <w:jc w:val="left"/>
              <w:rPr>
                <w:rFonts w:asciiTheme="minorBidi" w:hAnsiTheme="minorBidi" w:cstheme="minorBidi"/>
                <w:sz w:val="18"/>
                <w:szCs w:val="18"/>
                <w:rtl/>
              </w:rPr>
            </w:pPr>
          </w:p>
        </w:tc>
        <w:tc>
          <w:tcPr>
            <w:tcW w:w="440" w:type="dxa"/>
            <w:vAlign w:val="bottom"/>
          </w:tcPr>
          <w:p w14:paraId="5CD7F7AA" w14:textId="77777777" w:rsidR="006D22E3" w:rsidRPr="00D56E75" w:rsidRDefault="006D22E3" w:rsidP="008C105D">
            <w:pPr>
              <w:pStyle w:val="-7"/>
              <w:spacing w:line="240" w:lineRule="auto"/>
              <w:jc w:val="left"/>
              <w:rPr>
                <w:rFonts w:asciiTheme="minorBidi" w:hAnsiTheme="minorBidi" w:cstheme="minorBidi"/>
                <w:sz w:val="18"/>
                <w:szCs w:val="18"/>
                <w:rtl/>
              </w:rPr>
            </w:pPr>
          </w:p>
        </w:tc>
        <w:tc>
          <w:tcPr>
            <w:tcW w:w="3454" w:type="dxa"/>
            <w:gridSpan w:val="2"/>
            <w:vAlign w:val="bottom"/>
          </w:tcPr>
          <w:p w14:paraId="644527C5" w14:textId="77777777" w:rsidR="006D22E3" w:rsidRPr="00D56E75" w:rsidRDefault="006D22E3" w:rsidP="008C105D">
            <w:pPr>
              <w:pStyle w:val="-0"/>
              <w:spacing w:line="240" w:lineRule="auto"/>
              <w:rPr>
                <w:rFonts w:asciiTheme="minorBidi" w:hAnsiTheme="minorBidi" w:cstheme="minorBidi"/>
                <w:b/>
                <w:bCs/>
                <w:sz w:val="18"/>
                <w:szCs w:val="18"/>
                <w:rtl/>
              </w:rPr>
            </w:pPr>
          </w:p>
        </w:tc>
        <w:tc>
          <w:tcPr>
            <w:tcW w:w="884" w:type="dxa"/>
            <w:vAlign w:val="bottom"/>
          </w:tcPr>
          <w:p w14:paraId="4C13A9CD" w14:textId="1E0A4D01" w:rsidR="006D22E3" w:rsidRPr="00D56E75" w:rsidRDefault="00EF2F8B" w:rsidP="008C105D">
            <w:pPr>
              <w:pStyle w:val="-4"/>
              <w:pBdr>
                <w:bottom w:val="single" w:sz="4" w:space="1" w:color="auto"/>
              </w:pBdr>
              <w:spacing w:line="240" w:lineRule="auto"/>
              <w:rPr>
                <w:rFonts w:asciiTheme="minorBidi" w:hAnsiTheme="minorBidi" w:cstheme="minorBidi"/>
                <w:sz w:val="18"/>
                <w:szCs w:val="18"/>
              </w:rPr>
            </w:pPr>
            <w:r w:rsidRPr="00D56E75">
              <w:rPr>
                <w:rFonts w:asciiTheme="minorBidi" w:hAnsiTheme="minorBidi" w:cstheme="minorBidi"/>
                <w:sz w:val="18"/>
                <w:szCs w:val="18"/>
                <w:rtl/>
              </w:rPr>
              <w:fldChar w:fldCharType="begin"/>
            </w:r>
            <w:r w:rsidRPr="00D56E75">
              <w:rPr>
                <w:rFonts w:asciiTheme="minorBidi" w:hAnsiTheme="minorBidi" w:cstheme="minorBidi"/>
                <w:sz w:val="18"/>
                <w:szCs w:val="18"/>
                <w:rtl/>
              </w:rPr>
              <w:instrText xml:space="preserve"> = </w:instrText>
            </w:r>
            <w:r w:rsidRPr="00D56E75">
              <w:rPr>
                <w:rFonts w:asciiTheme="minorBidi" w:hAnsiTheme="minorBidi" w:cstheme="minorBidi"/>
                <w:sz w:val="18"/>
                <w:szCs w:val="18"/>
              </w:rPr>
              <w:instrText>CY \* MERGEFORMAT</w:instrText>
            </w:r>
            <w:r w:rsidRPr="00D56E75">
              <w:rPr>
                <w:rFonts w:asciiTheme="minorBidi" w:hAnsiTheme="minorBidi" w:cstheme="minorBidi"/>
                <w:sz w:val="18"/>
                <w:szCs w:val="18"/>
                <w:rtl/>
              </w:rPr>
              <w:instrText xml:space="preserve"> </w:instrText>
            </w:r>
            <w:r w:rsidRPr="00D56E75">
              <w:rPr>
                <w:rFonts w:asciiTheme="minorBidi" w:hAnsiTheme="minorBidi" w:cstheme="minorBidi"/>
                <w:sz w:val="18"/>
                <w:szCs w:val="18"/>
                <w:rtl/>
              </w:rPr>
              <w:fldChar w:fldCharType="separate"/>
            </w:r>
            <w:r w:rsidR="003A584F">
              <w:rPr>
                <w:rFonts w:asciiTheme="minorBidi" w:hAnsiTheme="minorBidi" w:cstheme="minorBidi"/>
                <w:noProof/>
                <w:sz w:val="18"/>
                <w:szCs w:val="18"/>
                <w:rtl/>
              </w:rPr>
              <w:t>2024</w:t>
            </w:r>
            <w:r w:rsidRPr="00D56E75">
              <w:rPr>
                <w:rFonts w:asciiTheme="minorBidi" w:hAnsiTheme="minorBidi" w:cstheme="minorBidi"/>
                <w:sz w:val="18"/>
                <w:szCs w:val="18"/>
                <w:rtl/>
              </w:rPr>
              <w:fldChar w:fldCharType="end"/>
            </w:r>
          </w:p>
        </w:tc>
        <w:tc>
          <w:tcPr>
            <w:tcW w:w="967" w:type="dxa"/>
            <w:vAlign w:val="bottom"/>
          </w:tcPr>
          <w:p w14:paraId="2965F344" w14:textId="7D41F9A6" w:rsidR="006D22E3" w:rsidRPr="00D56E75" w:rsidRDefault="00EF2F8B" w:rsidP="008C105D">
            <w:pPr>
              <w:pStyle w:val="-4"/>
              <w:spacing w:line="240" w:lineRule="auto"/>
              <w:rPr>
                <w:rFonts w:asciiTheme="minorBidi" w:hAnsiTheme="minorBidi" w:cstheme="minorBidi"/>
                <w:sz w:val="18"/>
                <w:szCs w:val="18"/>
                <w:rtl/>
              </w:rPr>
            </w:pPr>
            <w:r w:rsidRPr="00D56E75">
              <w:rPr>
                <w:rFonts w:asciiTheme="minorBidi" w:hAnsiTheme="minorBidi" w:cstheme="minorBidi"/>
                <w:sz w:val="18"/>
                <w:szCs w:val="18"/>
                <w:rtl/>
              </w:rPr>
              <w:fldChar w:fldCharType="begin"/>
            </w:r>
            <w:r w:rsidRPr="00D56E75">
              <w:rPr>
                <w:rFonts w:asciiTheme="minorBidi" w:hAnsiTheme="minorBidi" w:cstheme="minorBidi"/>
                <w:sz w:val="18"/>
                <w:szCs w:val="18"/>
                <w:rtl/>
              </w:rPr>
              <w:instrText xml:space="preserve"> = </w:instrText>
            </w:r>
            <w:r w:rsidRPr="00D56E75">
              <w:rPr>
                <w:rFonts w:asciiTheme="minorBidi" w:hAnsiTheme="minorBidi" w:cstheme="minorBidi"/>
                <w:sz w:val="18"/>
                <w:szCs w:val="18"/>
              </w:rPr>
              <w:instrText>CY-1 \* MERGEFORMAT</w:instrText>
            </w:r>
            <w:r w:rsidRPr="00D56E75">
              <w:rPr>
                <w:rFonts w:asciiTheme="minorBidi" w:hAnsiTheme="minorBidi" w:cstheme="minorBidi"/>
                <w:sz w:val="18"/>
                <w:szCs w:val="18"/>
                <w:rtl/>
              </w:rPr>
              <w:instrText xml:space="preserve"> </w:instrText>
            </w:r>
            <w:r w:rsidRPr="00D56E75">
              <w:rPr>
                <w:rFonts w:asciiTheme="minorBidi" w:hAnsiTheme="minorBidi" w:cstheme="minorBidi"/>
                <w:sz w:val="18"/>
                <w:szCs w:val="18"/>
                <w:rtl/>
              </w:rPr>
              <w:fldChar w:fldCharType="separate"/>
            </w:r>
            <w:r w:rsidR="003A584F">
              <w:rPr>
                <w:rFonts w:asciiTheme="minorBidi" w:hAnsiTheme="minorBidi" w:cstheme="minorBidi"/>
                <w:noProof/>
                <w:sz w:val="18"/>
                <w:szCs w:val="18"/>
                <w:rtl/>
              </w:rPr>
              <w:t>2023</w:t>
            </w:r>
            <w:r w:rsidRPr="00D56E75">
              <w:rPr>
                <w:rFonts w:asciiTheme="minorBidi" w:hAnsiTheme="minorBidi" w:cstheme="minorBidi"/>
                <w:sz w:val="18"/>
                <w:szCs w:val="18"/>
                <w:rtl/>
              </w:rPr>
              <w:fldChar w:fldCharType="end"/>
            </w:r>
          </w:p>
        </w:tc>
        <w:tc>
          <w:tcPr>
            <w:tcW w:w="912" w:type="dxa"/>
            <w:vAlign w:val="bottom"/>
          </w:tcPr>
          <w:p w14:paraId="473250B8" w14:textId="6D6D9AD5" w:rsidR="006D22E3" w:rsidRPr="00D56E75" w:rsidRDefault="00EF2F8B" w:rsidP="008C105D">
            <w:pPr>
              <w:pStyle w:val="-4"/>
              <w:spacing w:line="240" w:lineRule="auto"/>
              <w:rPr>
                <w:rFonts w:asciiTheme="minorBidi" w:hAnsiTheme="minorBidi" w:cstheme="minorBidi"/>
                <w:sz w:val="18"/>
                <w:szCs w:val="18"/>
                <w:rtl/>
              </w:rPr>
            </w:pPr>
            <w:r w:rsidRPr="00D56E75">
              <w:rPr>
                <w:rFonts w:asciiTheme="minorBidi" w:hAnsiTheme="minorBidi" w:cstheme="minorBidi"/>
                <w:sz w:val="18"/>
                <w:szCs w:val="18"/>
                <w:rtl/>
              </w:rPr>
              <w:fldChar w:fldCharType="begin"/>
            </w:r>
            <w:r w:rsidRPr="00D56E75">
              <w:rPr>
                <w:rFonts w:asciiTheme="minorBidi" w:hAnsiTheme="minorBidi" w:cstheme="minorBidi"/>
                <w:sz w:val="18"/>
                <w:szCs w:val="18"/>
                <w:rtl/>
              </w:rPr>
              <w:instrText xml:space="preserve"> = </w:instrText>
            </w:r>
            <w:r w:rsidRPr="00D56E75">
              <w:rPr>
                <w:rFonts w:asciiTheme="minorBidi" w:hAnsiTheme="minorBidi" w:cstheme="minorBidi"/>
                <w:sz w:val="18"/>
                <w:szCs w:val="18"/>
              </w:rPr>
              <w:instrText>CY \* MERGEFORMAT</w:instrText>
            </w:r>
            <w:r w:rsidRPr="00D56E75">
              <w:rPr>
                <w:rFonts w:asciiTheme="minorBidi" w:hAnsiTheme="minorBidi" w:cstheme="minorBidi"/>
                <w:sz w:val="18"/>
                <w:szCs w:val="18"/>
                <w:rtl/>
              </w:rPr>
              <w:instrText xml:space="preserve"> </w:instrText>
            </w:r>
            <w:r w:rsidRPr="00D56E75">
              <w:rPr>
                <w:rFonts w:asciiTheme="minorBidi" w:hAnsiTheme="minorBidi" w:cstheme="minorBidi"/>
                <w:sz w:val="18"/>
                <w:szCs w:val="18"/>
                <w:rtl/>
              </w:rPr>
              <w:fldChar w:fldCharType="separate"/>
            </w:r>
            <w:r w:rsidR="003A584F">
              <w:rPr>
                <w:rFonts w:asciiTheme="minorBidi" w:hAnsiTheme="minorBidi" w:cstheme="minorBidi"/>
                <w:noProof/>
                <w:sz w:val="18"/>
                <w:szCs w:val="18"/>
                <w:rtl/>
              </w:rPr>
              <w:t>2024</w:t>
            </w:r>
            <w:r w:rsidRPr="00D56E75">
              <w:rPr>
                <w:rFonts w:asciiTheme="minorBidi" w:hAnsiTheme="minorBidi" w:cstheme="minorBidi"/>
                <w:sz w:val="18"/>
                <w:szCs w:val="18"/>
                <w:rtl/>
              </w:rPr>
              <w:fldChar w:fldCharType="end"/>
            </w:r>
          </w:p>
        </w:tc>
        <w:tc>
          <w:tcPr>
            <w:tcW w:w="940" w:type="dxa"/>
            <w:vAlign w:val="bottom"/>
          </w:tcPr>
          <w:p w14:paraId="704F7497" w14:textId="5CE63F30" w:rsidR="006D22E3" w:rsidRPr="00D56E75" w:rsidRDefault="00EF2F8B" w:rsidP="008C105D">
            <w:pPr>
              <w:pStyle w:val="-4"/>
              <w:spacing w:line="240" w:lineRule="auto"/>
              <w:rPr>
                <w:rFonts w:asciiTheme="minorBidi" w:hAnsiTheme="minorBidi" w:cstheme="minorBidi"/>
                <w:sz w:val="18"/>
                <w:szCs w:val="18"/>
                <w:rtl/>
              </w:rPr>
            </w:pPr>
            <w:r w:rsidRPr="00D56E75">
              <w:rPr>
                <w:rFonts w:asciiTheme="minorBidi" w:hAnsiTheme="minorBidi" w:cstheme="minorBidi"/>
                <w:sz w:val="18"/>
                <w:szCs w:val="18"/>
                <w:rtl/>
              </w:rPr>
              <w:fldChar w:fldCharType="begin"/>
            </w:r>
            <w:r w:rsidRPr="00D56E75">
              <w:rPr>
                <w:rFonts w:asciiTheme="minorBidi" w:hAnsiTheme="minorBidi" w:cstheme="minorBidi"/>
                <w:sz w:val="18"/>
                <w:szCs w:val="18"/>
                <w:rtl/>
              </w:rPr>
              <w:instrText xml:space="preserve"> = </w:instrText>
            </w:r>
            <w:r w:rsidRPr="00D56E75">
              <w:rPr>
                <w:rFonts w:asciiTheme="minorBidi" w:hAnsiTheme="minorBidi" w:cstheme="minorBidi"/>
                <w:sz w:val="18"/>
                <w:szCs w:val="18"/>
              </w:rPr>
              <w:instrText>CY-1 \* MERGEFORMAT</w:instrText>
            </w:r>
            <w:r w:rsidRPr="00D56E75">
              <w:rPr>
                <w:rFonts w:asciiTheme="minorBidi" w:hAnsiTheme="minorBidi" w:cstheme="minorBidi"/>
                <w:sz w:val="18"/>
                <w:szCs w:val="18"/>
                <w:rtl/>
              </w:rPr>
              <w:instrText xml:space="preserve"> </w:instrText>
            </w:r>
            <w:r w:rsidRPr="00D56E75">
              <w:rPr>
                <w:rFonts w:asciiTheme="minorBidi" w:hAnsiTheme="minorBidi" w:cstheme="minorBidi"/>
                <w:sz w:val="18"/>
                <w:szCs w:val="18"/>
                <w:rtl/>
              </w:rPr>
              <w:fldChar w:fldCharType="separate"/>
            </w:r>
            <w:r w:rsidR="003A584F">
              <w:rPr>
                <w:rFonts w:asciiTheme="minorBidi" w:hAnsiTheme="minorBidi" w:cstheme="minorBidi"/>
                <w:noProof/>
                <w:sz w:val="18"/>
                <w:szCs w:val="18"/>
                <w:rtl/>
              </w:rPr>
              <w:t>2023</w:t>
            </w:r>
            <w:r w:rsidRPr="00D56E75">
              <w:rPr>
                <w:rFonts w:asciiTheme="minorBidi" w:hAnsiTheme="minorBidi" w:cstheme="minorBidi"/>
                <w:sz w:val="18"/>
                <w:szCs w:val="18"/>
                <w:rtl/>
              </w:rPr>
              <w:fldChar w:fldCharType="end"/>
            </w:r>
          </w:p>
        </w:tc>
        <w:tc>
          <w:tcPr>
            <w:tcW w:w="1204" w:type="dxa"/>
            <w:vAlign w:val="bottom"/>
          </w:tcPr>
          <w:p w14:paraId="3338A537" w14:textId="5BB5EFA9" w:rsidR="006D22E3" w:rsidRPr="00D56E75" w:rsidRDefault="00EF2F8B" w:rsidP="008C105D">
            <w:pPr>
              <w:pStyle w:val="-4"/>
              <w:spacing w:line="240" w:lineRule="auto"/>
              <w:rPr>
                <w:rFonts w:asciiTheme="minorBidi" w:hAnsiTheme="minorBidi" w:cstheme="minorBidi"/>
                <w:sz w:val="18"/>
                <w:szCs w:val="18"/>
                <w:rtl/>
              </w:rPr>
            </w:pPr>
            <w:r w:rsidRPr="00D56E75">
              <w:rPr>
                <w:rFonts w:asciiTheme="minorBidi" w:hAnsiTheme="minorBidi" w:cstheme="minorBidi"/>
                <w:sz w:val="18"/>
                <w:szCs w:val="18"/>
                <w:rtl/>
              </w:rPr>
              <w:fldChar w:fldCharType="begin"/>
            </w:r>
            <w:r w:rsidRPr="00D56E75">
              <w:rPr>
                <w:rFonts w:asciiTheme="minorBidi" w:hAnsiTheme="minorBidi" w:cstheme="minorBidi"/>
                <w:sz w:val="18"/>
                <w:szCs w:val="18"/>
                <w:rtl/>
              </w:rPr>
              <w:instrText xml:space="preserve"> = </w:instrText>
            </w:r>
            <w:r w:rsidRPr="00D56E75">
              <w:rPr>
                <w:rFonts w:asciiTheme="minorBidi" w:hAnsiTheme="minorBidi" w:cstheme="minorBidi"/>
                <w:sz w:val="18"/>
                <w:szCs w:val="18"/>
              </w:rPr>
              <w:instrText>CY-1 \* MERGEFORMAT</w:instrText>
            </w:r>
            <w:r w:rsidRPr="00D56E75">
              <w:rPr>
                <w:rFonts w:asciiTheme="minorBidi" w:hAnsiTheme="minorBidi" w:cstheme="minorBidi"/>
                <w:sz w:val="18"/>
                <w:szCs w:val="18"/>
                <w:rtl/>
              </w:rPr>
              <w:instrText xml:space="preserve"> </w:instrText>
            </w:r>
            <w:r w:rsidRPr="00D56E75">
              <w:rPr>
                <w:rFonts w:asciiTheme="minorBidi" w:hAnsiTheme="minorBidi" w:cstheme="minorBidi"/>
                <w:sz w:val="18"/>
                <w:szCs w:val="18"/>
                <w:rtl/>
              </w:rPr>
              <w:fldChar w:fldCharType="separate"/>
            </w:r>
            <w:r w:rsidR="003A584F">
              <w:rPr>
                <w:rFonts w:asciiTheme="minorBidi" w:hAnsiTheme="minorBidi" w:cstheme="minorBidi"/>
                <w:noProof/>
                <w:sz w:val="18"/>
                <w:szCs w:val="18"/>
                <w:rtl/>
              </w:rPr>
              <w:t>2023</w:t>
            </w:r>
            <w:r w:rsidRPr="00D56E75">
              <w:rPr>
                <w:rFonts w:asciiTheme="minorBidi" w:hAnsiTheme="minorBidi" w:cstheme="minorBidi"/>
                <w:sz w:val="18"/>
                <w:szCs w:val="18"/>
                <w:rtl/>
              </w:rPr>
              <w:fldChar w:fldCharType="end"/>
            </w:r>
          </w:p>
        </w:tc>
      </w:tr>
      <w:tr w:rsidR="0041398C" w:rsidRPr="008B69B3" w14:paraId="022034A2" w14:textId="77777777" w:rsidTr="00532EE4">
        <w:trPr>
          <w:trHeight w:val="259"/>
        </w:trPr>
        <w:tc>
          <w:tcPr>
            <w:tcW w:w="1570" w:type="dxa"/>
          </w:tcPr>
          <w:p w14:paraId="35344CDD" w14:textId="77777777" w:rsidR="0041398C" w:rsidRPr="00D56E75" w:rsidRDefault="0041398C" w:rsidP="008C105D">
            <w:pPr>
              <w:pStyle w:val="-7"/>
              <w:spacing w:line="240" w:lineRule="auto"/>
              <w:jc w:val="left"/>
              <w:rPr>
                <w:rFonts w:asciiTheme="minorBidi" w:hAnsiTheme="minorBidi" w:cstheme="minorBidi"/>
                <w:sz w:val="18"/>
                <w:szCs w:val="18"/>
                <w:rtl/>
              </w:rPr>
            </w:pPr>
          </w:p>
        </w:tc>
        <w:tc>
          <w:tcPr>
            <w:tcW w:w="440" w:type="dxa"/>
            <w:vAlign w:val="bottom"/>
          </w:tcPr>
          <w:p w14:paraId="32757A80" w14:textId="77777777" w:rsidR="0041398C" w:rsidRPr="00D56E75" w:rsidRDefault="0041398C" w:rsidP="008C105D">
            <w:pPr>
              <w:pStyle w:val="-7"/>
              <w:spacing w:line="240" w:lineRule="auto"/>
              <w:jc w:val="left"/>
              <w:rPr>
                <w:rFonts w:asciiTheme="minorBidi" w:hAnsiTheme="minorBidi" w:cstheme="minorBidi"/>
                <w:sz w:val="18"/>
                <w:szCs w:val="18"/>
                <w:rtl/>
              </w:rPr>
            </w:pPr>
          </w:p>
        </w:tc>
        <w:tc>
          <w:tcPr>
            <w:tcW w:w="3454" w:type="dxa"/>
            <w:gridSpan w:val="2"/>
            <w:vAlign w:val="bottom"/>
          </w:tcPr>
          <w:p w14:paraId="5FE94D86" w14:textId="77777777" w:rsidR="0041398C" w:rsidRPr="00D56E75" w:rsidRDefault="0041398C" w:rsidP="008C105D">
            <w:pPr>
              <w:pStyle w:val="-0"/>
              <w:spacing w:line="240" w:lineRule="auto"/>
              <w:rPr>
                <w:rFonts w:asciiTheme="minorBidi" w:hAnsiTheme="minorBidi" w:cstheme="minorBidi"/>
                <w:b/>
                <w:bCs/>
                <w:sz w:val="18"/>
                <w:szCs w:val="18"/>
                <w:rtl/>
              </w:rPr>
            </w:pPr>
          </w:p>
        </w:tc>
        <w:tc>
          <w:tcPr>
            <w:tcW w:w="1851" w:type="dxa"/>
            <w:gridSpan w:val="2"/>
            <w:vAlign w:val="bottom"/>
          </w:tcPr>
          <w:p w14:paraId="14500365" w14:textId="77777777" w:rsidR="0041398C" w:rsidRPr="00D56E75" w:rsidRDefault="0041398C" w:rsidP="008C105D">
            <w:pPr>
              <w:pStyle w:val="-4"/>
              <w:spacing w:line="240" w:lineRule="auto"/>
              <w:rPr>
                <w:rFonts w:asciiTheme="minorBidi" w:hAnsiTheme="minorBidi" w:cstheme="minorBidi"/>
                <w:sz w:val="18"/>
                <w:szCs w:val="18"/>
                <w:rtl/>
              </w:rPr>
            </w:pPr>
            <w:r w:rsidRPr="00D56E75">
              <w:rPr>
                <w:rFonts w:asciiTheme="minorBidi" w:hAnsiTheme="minorBidi" w:cstheme="minorBidi" w:hint="eastAsia"/>
                <w:sz w:val="18"/>
                <w:szCs w:val="18"/>
                <w:rtl/>
              </w:rPr>
              <w:t>בלתי</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מבוקר</w:t>
            </w:r>
          </w:p>
        </w:tc>
        <w:tc>
          <w:tcPr>
            <w:tcW w:w="1852" w:type="dxa"/>
            <w:gridSpan w:val="2"/>
            <w:vAlign w:val="bottom"/>
          </w:tcPr>
          <w:p w14:paraId="5C9EFAE1" w14:textId="77777777" w:rsidR="0041398C" w:rsidRPr="00D56E75" w:rsidRDefault="0041398C" w:rsidP="008C105D">
            <w:pPr>
              <w:pStyle w:val="-4"/>
              <w:spacing w:line="240" w:lineRule="auto"/>
              <w:rPr>
                <w:rFonts w:asciiTheme="minorBidi" w:hAnsiTheme="minorBidi" w:cstheme="minorBidi"/>
                <w:sz w:val="18"/>
                <w:szCs w:val="18"/>
                <w:rtl/>
              </w:rPr>
            </w:pPr>
            <w:r w:rsidRPr="00D56E75">
              <w:rPr>
                <w:rFonts w:asciiTheme="minorBidi" w:hAnsiTheme="minorBidi" w:cstheme="minorBidi" w:hint="eastAsia"/>
                <w:sz w:val="18"/>
                <w:szCs w:val="18"/>
                <w:rtl/>
              </w:rPr>
              <w:t>בלתי</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מבוקר</w:t>
            </w:r>
          </w:p>
        </w:tc>
        <w:tc>
          <w:tcPr>
            <w:tcW w:w="1204" w:type="dxa"/>
            <w:vAlign w:val="bottom"/>
          </w:tcPr>
          <w:p w14:paraId="5A0B64A0" w14:textId="77777777" w:rsidR="0041398C" w:rsidRPr="00D56E75" w:rsidRDefault="0041398C" w:rsidP="008C105D">
            <w:pPr>
              <w:pStyle w:val="-4"/>
              <w:spacing w:line="240" w:lineRule="auto"/>
              <w:rPr>
                <w:rFonts w:asciiTheme="minorBidi" w:hAnsiTheme="minorBidi" w:cstheme="minorBidi"/>
                <w:sz w:val="18"/>
                <w:szCs w:val="18"/>
                <w:rtl/>
              </w:rPr>
            </w:pPr>
            <w:r w:rsidRPr="00D56E75">
              <w:rPr>
                <w:rFonts w:asciiTheme="minorBidi" w:hAnsiTheme="minorBidi" w:cstheme="minorBidi" w:hint="eastAsia"/>
                <w:sz w:val="18"/>
                <w:szCs w:val="18"/>
                <w:rtl/>
              </w:rPr>
              <w:t>מבוקר</w:t>
            </w:r>
          </w:p>
        </w:tc>
      </w:tr>
      <w:tr w:rsidR="006D22E3" w:rsidRPr="00BF11B9" w14:paraId="4565EC1E" w14:textId="77777777" w:rsidTr="00D9322A">
        <w:trPr>
          <w:trHeight w:val="283"/>
        </w:trPr>
        <w:tc>
          <w:tcPr>
            <w:tcW w:w="1570" w:type="dxa"/>
          </w:tcPr>
          <w:p w14:paraId="288FCA8C"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440" w:type="dxa"/>
            <w:vAlign w:val="bottom"/>
          </w:tcPr>
          <w:p w14:paraId="2F5A3055"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3454" w:type="dxa"/>
            <w:gridSpan w:val="2"/>
            <w:vAlign w:val="bottom"/>
          </w:tcPr>
          <w:p w14:paraId="31FD04B2" w14:textId="77777777" w:rsidR="006D22E3" w:rsidRPr="00D56E75" w:rsidRDefault="006D22E3" w:rsidP="006F3019">
            <w:pPr>
              <w:pStyle w:val="-0"/>
              <w:spacing w:before="20" w:line="220" w:lineRule="atLeast"/>
              <w:ind w:left="0" w:firstLine="0"/>
              <w:rPr>
                <w:rFonts w:asciiTheme="minorBidi" w:hAnsiTheme="minorBidi" w:cstheme="minorBidi"/>
                <w:b/>
                <w:bCs/>
                <w:sz w:val="18"/>
                <w:szCs w:val="18"/>
                <w:rtl/>
              </w:rPr>
            </w:pPr>
            <w:r w:rsidRPr="00D56E75">
              <w:rPr>
                <w:rFonts w:asciiTheme="minorBidi" w:hAnsiTheme="minorBidi" w:cstheme="minorBidi" w:hint="eastAsia"/>
                <w:b/>
                <w:bCs/>
                <w:sz w:val="18"/>
                <w:szCs w:val="18"/>
                <w:rtl/>
              </w:rPr>
              <w:t>תכניות</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פנסיה</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להטבה</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מוגדרת</w:t>
            </w:r>
            <w:r w:rsidRPr="00D56E75">
              <w:rPr>
                <w:rFonts w:asciiTheme="minorBidi" w:hAnsiTheme="minorBidi" w:cstheme="minorBidi"/>
                <w:b/>
                <w:bCs/>
                <w:sz w:val="18"/>
                <w:szCs w:val="18"/>
                <w:rtl/>
              </w:rPr>
              <w:t>:</w:t>
            </w:r>
          </w:p>
        </w:tc>
        <w:tc>
          <w:tcPr>
            <w:tcW w:w="884" w:type="dxa"/>
            <w:vAlign w:val="bottom"/>
          </w:tcPr>
          <w:p w14:paraId="52A9F602" w14:textId="77777777" w:rsidR="006D22E3" w:rsidRPr="00D56E75" w:rsidRDefault="006D22E3" w:rsidP="006F3019">
            <w:pPr>
              <w:pStyle w:val="-7"/>
              <w:spacing w:before="20" w:line="220" w:lineRule="atLeast"/>
              <w:jc w:val="left"/>
              <w:rPr>
                <w:rFonts w:asciiTheme="minorBidi" w:hAnsiTheme="minorBidi" w:cstheme="minorBidi"/>
                <w:sz w:val="17"/>
                <w:szCs w:val="17"/>
                <w:rtl/>
              </w:rPr>
            </w:pPr>
          </w:p>
        </w:tc>
        <w:tc>
          <w:tcPr>
            <w:tcW w:w="967" w:type="dxa"/>
            <w:vAlign w:val="bottom"/>
          </w:tcPr>
          <w:p w14:paraId="5D4F804B" w14:textId="77777777" w:rsidR="006D22E3" w:rsidRPr="00D56E75" w:rsidRDefault="006D22E3" w:rsidP="006F3019">
            <w:pPr>
              <w:pStyle w:val="-7"/>
              <w:spacing w:before="20" w:line="220" w:lineRule="atLeast"/>
              <w:jc w:val="left"/>
              <w:rPr>
                <w:rFonts w:asciiTheme="minorBidi" w:hAnsiTheme="minorBidi" w:cstheme="minorBidi"/>
                <w:sz w:val="17"/>
                <w:szCs w:val="17"/>
                <w:rtl/>
              </w:rPr>
            </w:pPr>
          </w:p>
        </w:tc>
        <w:tc>
          <w:tcPr>
            <w:tcW w:w="912" w:type="dxa"/>
            <w:vAlign w:val="bottom"/>
          </w:tcPr>
          <w:p w14:paraId="4DF9A7B8" w14:textId="77777777" w:rsidR="006D22E3" w:rsidRPr="00D56E75" w:rsidRDefault="006D22E3" w:rsidP="006F3019">
            <w:pPr>
              <w:pStyle w:val="-7"/>
              <w:spacing w:before="20" w:line="220" w:lineRule="atLeast"/>
              <w:jc w:val="left"/>
              <w:rPr>
                <w:rFonts w:asciiTheme="minorBidi" w:hAnsiTheme="minorBidi" w:cstheme="minorBidi"/>
                <w:sz w:val="17"/>
                <w:szCs w:val="17"/>
                <w:rtl/>
              </w:rPr>
            </w:pPr>
          </w:p>
        </w:tc>
        <w:tc>
          <w:tcPr>
            <w:tcW w:w="940" w:type="dxa"/>
          </w:tcPr>
          <w:p w14:paraId="7DA41BF3" w14:textId="77777777" w:rsidR="006D22E3" w:rsidRPr="00D56E75" w:rsidRDefault="006D22E3" w:rsidP="006F3019">
            <w:pPr>
              <w:pStyle w:val="-7"/>
              <w:spacing w:before="20" w:line="220" w:lineRule="atLeast"/>
              <w:jc w:val="left"/>
              <w:rPr>
                <w:rFonts w:asciiTheme="minorBidi" w:hAnsiTheme="minorBidi" w:cstheme="minorBidi"/>
                <w:sz w:val="17"/>
                <w:szCs w:val="17"/>
                <w:rtl/>
              </w:rPr>
            </w:pPr>
          </w:p>
        </w:tc>
        <w:tc>
          <w:tcPr>
            <w:tcW w:w="1204" w:type="dxa"/>
          </w:tcPr>
          <w:p w14:paraId="1BD13EE1" w14:textId="77777777" w:rsidR="006D22E3" w:rsidRPr="00D56E75" w:rsidRDefault="006D22E3" w:rsidP="006F3019">
            <w:pPr>
              <w:pStyle w:val="-7"/>
              <w:spacing w:before="20" w:line="220" w:lineRule="atLeast"/>
              <w:jc w:val="left"/>
              <w:rPr>
                <w:rFonts w:asciiTheme="minorBidi" w:hAnsiTheme="minorBidi" w:cstheme="minorBidi"/>
                <w:sz w:val="17"/>
                <w:szCs w:val="17"/>
                <w:rtl/>
              </w:rPr>
            </w:pPr>
          </w:p>
        </w:tc>
      </w:tr>
      <w:tr w:rsidR="006D22E3" w:rsidRPr="00BF11B9" w14:paraId="15B98491" w14:textId="77777777" w:rsidTr="00D9322A">
        <w:trPr>
          <w:trHeight w:val="283"/>
        </w:trPr>
        <w:tc>
          <w:tcPr>
            <w:tcW w:w="1570" w:type="dxa"/>
          </w:tcPr>
          <w:p w14:paraId="72202572"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440" w:type="dxa"/>
            <w:vAlign w:val="bottom"/>
          </w:tcPr>
          <w:p w14:paraId="56496B7E"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3454" w:type="dxa"/>
            <w:gridSpan w:val="2"/>
            <w:vAlign w:val="bottom"/>
          </w:tcPr>
          <w:p w14:paraId="59AD9BF6" w14:textId="77777777" w:rsidR="006D22E3" w:rsidRPr="00D56E75" w:rsidRDefault="006D22E3" w:rsidP="006F3019">
            <w:pPr>
              <w:pStyle w:val="-0"/>
              <w:spacing w:before="20" w:line="220" w:lineRule="atLeast"/>
              <w:ind w:left="0" w:firstLine="0"/>
              <w:rPr>
                <w:rFonts w:asciiTheme="minorBidi" w:hAnsiTheme="minorBidi" w:cstheme="minorBidi"/>
                <w:sz w:val="18"/>
                <w:szCs w:val="18"/>
                <w:rtl/>
              </w:rPr>
            </w:pPr>
            <w:r w:rsidRPr="00D56E75">
              <w:rPr>
                <w:rFonts w:asciiTheme="minorBidi" w:hAnsiTheme="minorBidi" w:cstheme="minorBidi" w:hint="eastAsia"/>
                <w:sz w:val="18"/>
                <w:szCs w:val="18"/>
                <w:rtl/>
              </w:rPr>
              <w:t>עלות</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שירות</w:t>
            </w:r>
            <w:r w:rsidR="00ED43D8" w:rsidRPr="00D56E75">
              <w:rPr>
                <w:rFonts w:asciiTheme="minorBidi" w:hAnsiTheme="minorBidi" w:cstheme="minorBidi"/>
                <w:sz w:val="18"/>
                <w:szCs w:val="18"/>
                <w:rtl/>
              </w:rPr>
              <w:t xml:space="preserve">   </w:t>
            </w:r>
          </w:p>
        </w:tc>
        <w:tc>
          <w:tcPr>
            <w:tcW w:w="884" w:type="dxa"/>
            <w:vAlign w:val="bottom"/>
          </w:tcPr>
          <w:p w14:paraId="74450860"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67" w:type="dxa"/>
            <w:vAlign w:val="bottom"/>
          </w:tcPr>
          <w:p w14:paraId="175F4D2E"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12" w:type="dxa"/>
            <w:vAlign w:val="bottom"/>
          </w:tcPr>
          <w:p w14:paraId="3E208C64"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40" w:type="dxa"/>
            <w:vAlign w:val="bottom"/>
          </w:tcPr>
          <w:p w14:paraId="01B6B864"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1204" w:type="dxa"/>
            <w:vAlign w:val="bottom"/>
          </w:tcPr>
          <w:p w14:paraId="59CC828F"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r>
      <w:tr w:rsidR="006D22E3" w:rsidRPr="00BF11B9" w14:paraId="40B5663D" w14:textId="77777777" w:rsidTr="00D9322A">
        <w:trPr>
          <w:trHeight w:val="283"/>
        </w:trPr>
        <w:tc>
          <w:tcPr>
            <w:tcW w:w="1570" w:type="dxa"/>
          </w:tcPr>
          <w:p w14:paraId="091F6647"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440" w:type="dxa"/>
            <w:vAlign w:val="bottom"/>
          </w:tcPr>
          <w:p w14:paraId="14A35CBB"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3454" w:type="dxa"/>
            <w:gridSpan w:val="2"/>
            <w:vAlign w:val="bottom"/>
          </w:tcPr>
          <w:p w14:paraId="5A29287B" w14:textId="77777777" w:rsidR="006D22E3" w:rsidRPr="00D56E75" w:rsidRDefault="006D22E3" w:rsidP="006F3019">
            <w:pPr>
              <w:pStyle w:val="-0"/>
              <w:spacing w:before="20" w:line="220" w:lineRule="atLeast"/>
              <w:ind w:left="0" w:firstLine="0"/>
              <w:rPr>
                <w:rFonts w:asciiTheme="minorBidi" w:hAnsiTheme="minorBidi" w:cstheme="minorBidi"/>
                <w:sz w:val="18"/>
                <w:szCs w:val="18"/>
                <w:rtl/>
              </w:rPr>
            </w:pPr>
            <w:r w:rsidRPr="00D56E75">
              <w:rPr>
                <w:rFonts w:asciiTheme="minorBidi" w:hAnsiTheme="minorBidi" w:cstheme="minorBidi" w:hint="eastAsia"/>
                <w:sz w:val="18"/>
                <w:szCs w:val="18"/>
                <w:rtl/>
              </w:rPr>
              <w:t>עלות</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ריבית</w:t>
            </w:r>
          </w:p>
        </w:tc>
        <w:tc>
          <w:tcPr>
            <w:tcW w:w="884" w:type="dxa"/>
            <w:vAlign w:val="bottom"/>
          </w:tcPr>
          <w:p w14:paraId="7802D983"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67" w:type="dxa"/>
            <w:vAlign w:val="bottom"/>
          </w:tcPr>
          <w:p w14:paraId="205F66D6"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12" w:type="dxa"/>
            <w:vAlign w:val="bottom"/>
          </w:tcPr>
          <w:p w14:paraId="06F8D71E"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40" w:type="dxa"/>
            <w:vAlign w:val="bottom"/>
          </w:tcPr>
          <w:p w14:paraId="1361564B"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1204" w:type="dxa"/>
            <w:vAlign w:val="bottom"/>
          </w:tcPr>
          <w:p w14:paraId="18383E29"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r>
      <w:tr w:rsidR="006D22E3" w:rsidRPr="00BF11B9" w14:paraId="04BE82C4" w14:textId="77777777" w:rsidTr="00D9322A">
        <w:trPr>
          <w:trHeight w:val="283"/>
        </w:trPr>
        <w:tc>
          <w:tcPr>
            <w:tcW w:w="1570" w:type="dxa"/>
          </w:tcPr>
          <w:p w14:paraId="0A20069C"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440" w:type="dxa"/>
            <w:vAlign w:val="bottom"/>
          </w:tcPr>
          <w:p w14:paraId="09AA36FD"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3454" w:type="dxa"/>
            <w:gridSpan w:val="2"/>
            <w:vAlign w:val="bottom"/>
          </w:tcPr>
          <w:p w14:paraId="620C30BF" w14:textId="77777777" w:rsidR="006D22E3" w:rsidRPr="00D56E75" w:rsidRDefault="006D22E3" w:rsidP="006F3019">
            <w:pPr>
              <w:pStyle w:val="-0"/>
              <w:spacing w:before="20" w:line="220" w:lineRule="atLeast"/>
              <w:ind w:left="0" w:firstLine="0"/>
              <w:rPr>
                <w:rFonts w:asciiTheme="minorBidi" w:hAnsiTheme="minorBidi" w:cstheme="minorBidi"/>
                <w:sz w:val="18"/>
                <w:szCs w:val="18"/>
                <w:rtl/>
              </w:rPr>
            </w:pPr>
            <w:r w:rsidRPr="00D56E75">
              <w:rPr>
                <w:rFonts w:asciiTheme="minorBidi" w:hAnsiTheme="minorBidi" w:cstheme="minorBidi" w:hint="eastAsia"/>
                <w:sz w:val="18"/>
                <w:szCs w:val="18"/>
                <w:rtl/>
              </w:rPr>
              <w:t>תשואה</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חזויה</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על</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נכסי</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תכנית</w:t>
            </w:r>
          </w:p>
        </w:tc>
        <w:tc>
          <w:tcPr>
            <w:tcW w:w="884" w:type="dxa"/>
            <w:vAlign w:val="bottom"/>
          </w:tcPr>
          <w:p w14:paraId="08B6E901"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67" w:type="dxa"/>
            <w:vAlign w:val="bottom"/>
          </w:tcPr>
          <w:p w14:paraId="6C158821"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12" w:type="dxa"/>
            <w:vAlign w:val="bottom"/>
          </w:tcPr>
          <w:p w14:paraId="11143FBE"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40" w:type="dxa"/>
            <w:vAlign w:val="bottom"/>
          </w:tcPr>
          <w:p w14:paraId="50DE2946"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1204" w:type="dxa"/>
            <w:vAlign w:val="bottom"/>
          </w:tcPr>
          <w:p w14:paraId="75E246AE"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r>
      <w:tr w:rsidR="006D22E3" w:rsidRPr="00BF11B9" w14:paraId="76260C10" w14:textId="77777777" w:rsidTr="00D9322A">
        <w:trPr>
          <w:trHeight w:val="283"/>
        </w:trPr>
        <w:tc>
          <w:tcPr>
            <w:tcW w:w="1570" w:type="dxa"/>
          </w:tcPr>
          <w:p w14:paraId="1BAB4EEE"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440" w:type="dxa"/>
            <w:vAlign w:val="bottom"/>
          </w:tcPr>
          <w:p w14:paraId="15FFBD02"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3454" w:type="dxa"/>
            <w:gridSpan w:val="2"/>
            <w:vAlign w:val="bottom"/>
          </w:tcPr>
          <w:p w14:paraId="0F02A037" w14:textId="77777777" w:rsidR="006D22E3" w:rsidRPr="00D56E75" w:rsidRDefault="006D22E3" w:rsidP="006F3019">
            <w:pPr>
              <w:pStyle w:val="-0"/>
              <w:spacing w:before="20" w:line="220" w:lineRule="atLeast"/>
              <w:ind w:left="0" w:firstLine="0"/>
              <w:rPr>
                <w:rFonts w:asciiTheme="minorBidi" w:hAnsiTheme="minorBidi" w:cstheme="minorBidi"/>
                <w:sz w:val="18"/>
                <w:szCs w:val="18"/>
                <w:rtl/>
              </w:rPr>
            </w:pPr>
            <w:r w:rsidRPr="00D56E75">
              <w:rPr>
                <w:rFonts w:asciiTheme="minorBidi" w:hAnsiTheme="minorBidi" w:cstheme="minorBidi" w:hint="eastAsia"/>
                <w:sz w:val="18"/>
                <w:szCs w:val="18"/>
                <w:rtl/>
              </w:rPr>
              <w:t>הפחתה</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של</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סכומים</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שלא</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הוכרו</w:t>
            </w:r>
            <w:r w:rsidRPr="00D56E75">
              <w:rPr>
                <w:rFonts w:asciiTheme="minorBidi" w:hAnsiTheme="minorBidi" w:cstheme="minorBidi"/>
                <w:sz w:val="18"/>
                <w:szCs w:val="18"/>
                <w:rtl/>
              </w:rPr>
              <w:t>:</w:t>
            </w:r>
          </w:p>
        </w:tc>
        <w:tc>
          <w:tcPr>
            <w:tcW w:w="884" w:type="dxa"/>
            <w:vAlign w:val="bottom"/>
          </w:tcPr>
          <w:p w14:paraId="72C91114" w14:textId="77777777" w:rsidR="006D22E3" w:rsidRPr="00D56E75" w:rsidRDefault="006D22E3" w:rsidP="006F3019">
            <w:pPr>
              <w:pStyle w:val="-7"/>
              <w:spacing w:before="20" w:line="220" w:lineRule="atLeast"/>
              <w:jc w:val="left"/>
              <w:rPr>
                <w:rFonts w:asciiTheme="minorBidi" w:hAnsiTheme="minorBidi" w:cstheme="minorBidi"/>
                <w:sz w:val="17"/>
                <w:szCs w:val="17"/>
                <w:rtl/>
              </w:rPr>
            </w:pPr>
          </w:p>
        </w:tc>
        <w:tc>
          <w:tcPr>
            <w:tcW w:w="967" w:type="dxa"/>
            <w:vAlign w:val="bottom"/>
          </w:tcPr>
          <w:p w14:paraId="26A127D3" w14:textId="77777777" w:rsidR="006D22E3" w:rsidRPr="00D56E75" w:rsidRDefault="006D22E3" w:rsidP="006F3019">
            <w:pPr>
              <w:pStyle w:val="-7"/>
              <w:spacing w:before="20" w:line="220" w:lineRule="atLeast"/>
              <w:jc w:val="left"/>
              <w:rPr>
                <w:rFonts w:asciiTheme="minorBidi" w:hAnsiTheme="minorBidi" w:cstheme="minorBidi"/>
                <w:sz w:val="17"/>
                <w:szCs w:val="17"/>
                <w:rtl/>
              </w:rPr>
            </w:pPr>
          </w:p>
        </w:tc>
        <w:tc>
          <w:tcPr>
            <w:tcW w:w="912" w:type="dxa"/>
            <w:vAlign w:val="bottom"/>
          </w:tcPr>
          <w:p w14:paraId="0F81915D" w14:textId="77777777" w:rsidR="006D22E3" w:rsidRPr="00D56E75" w:rsidRDefault="006D22E3" w:rsidP="006F3019">
            <w:pPr>
              <w:pStyle w:val="-7"/>
              <w:spacing w:before="20" w:line="220" w:lineRule="atLeast"/>
              <w:jc w:val="left"/>
              <w:rPr>
                <w:rFonts w:asciiTheme="minorBidi" w:hAnsiTheme="minorBidi" w:cstheme="minorBidi"/>
                <w:sz w:val="17"/>
                <w:szCs w:val="17"/>
                <w:rtl/>
              </w:rPr>
            </w:pPr>
          </w:p>
        </w:tc>
        <w:tc>
          <w:tcPr>
            <w:tcW w:w="940" w:type="dxa"/>
            <w:vAlign w:val="bottom"/>
          </w:tcPr>
          <w:p w14:paraId="78B249BD" w14:textId="77777777" w:rsidR="006D22E3" w:rsidRPr="00D56E75" w:rsidRDefault="006D22E3" w:rsidP="006F3019">
            <w:pPr>
              <w:pStyle w:val="-7"/>
              <w:spacing w:before="20" w:line="220" w:lineRule="atLeast"/>
              <w:jc w:val="left"/>
              <w:rPr>
                <w:rFonts w:asciiTheme="minorBidi" w:hAnsiTheme="minorBidi" w:cstheme="minorBidi"/>
                <w:sz w:val="17"/>
                <w:szCs w:val="17"/>
                <w:rtl/>
              </w:rPr>
            </w:pPr>
          </w:p>
        </w:tc>
        <w:tc>
          <w:tcPr>
            <w:tcW w:w="1204" w:type="dxa"/>
            <w:vAlign w:val="bottom"/>
          </w:tcPr>
          <w:p w14:paraId="6AC3D743" w14:textId="77777777" w:rsidR="006D22E3" w:rsidRPr="00D56E75" w:rsidRDefault="006D22E3" w:rsidP="006F3019">
            <w:pPr>
              <w:pStyle w:val="-7"/>
              <w:spacing w:before="20" w:line="220" w:lineRule="atLeast"/>
              <w:jc w:val="left"/>
              <w:rPr>
                <w:rFonts w:asciiTheme="minorBidi" w:hAnsiTheme="minorBidi" w:cstheme="minorBidi"/>
                <w:sz w:val="17"/>
                <w:szCs w:val="17"/>
                <w:rtl/>
              </w:rPr>
            </w:pPr>
          </w:p>
        </w:tc>
      </w:tr>
      <w:tr w:rsidR="006D22E3" w:rsidRPr="00BF11B9" w14:paraId="21BC63A5" w14:textId="77777777" w:rsidTr="00D9322A">
        <w:trPr>
          <w:trHeight w:val="283"/>
        </w:trPr>
        <w:tc>
          <w:tcPr>
            <w:tcW w:w="1570" w:type="dxa"/>
          </w:tcPr>
          <w:p w14:paraId="2CA9C324"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440" w:type="dxa"/>
            <w:vAlign w:val="bottom"/>
          </w:tcPr>
          <w:p w14:paraId="07B00357"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3454" w:type="dxa"/>
            <w:gridSpan w:val="2"/>
            <w:vAlign w:val="bottom"/>
          </w:tcPr>
          <w:p w14:paraId="067CCA1F" w14:textId="77777777" w:rsidR="006D22E3" w:rsidRPr="00D56E75" w:rsidRDefault="006D22E3" w:rsidP="00B448FB">
            <w:pPr>
              <w:pStyle w:val="-0"/>
              <w:spacing w:before="20" w:line="220" w:lineRule="atLeast"/>
              <w:ind w:left="172" w:firstLine="0"/>
              <w:rPr>
                <w:rFonts w:asciiTheme="minorBidi" w:hAnsiTheme="minorBidi" w:cstheme="minorBidi"/>
                <w:sz w:val="18"/>
                <w:szCs w:val="18"/>
                <w:rtl/>
              </w:rPr>
            </w:pPr>
            <w:r w:rsidRPr="00D56E75">
              <w:rPr>
                <w:rFonts w:asciiTheme="minorBidi" w:hAnsiTheme="minorBidi" w:cstheme="minorBidi" w:hint="eastAsia"/>
                <w:sz w:val="18"/>
                <w:szCs w:val="18"/>
                <w:rtl/>
              </w:rPr>
              <w:t>הפסד</w:t>
            </w:r>
            <w:r w:rsidRPr="00D56E75">
              <w:rPr>
                <w:rFonts w:asciiTheme="minorBidi" w:hAnsiTheme="minorBidi" w:cstheme="minorBidi"/>
                <w:sz w:val="18"/>
                <w:szCs w:val="18"/>
                <w:rtl/>
              </w:rPr>
              <w:t xml:space="preserve"> (רווח) </w:t>
            </w:r>
            <w:r w:rsidRPr="00D56E75">
              <w:rPr>
                <w:rFonts w:asciiTheme="minorBidi" w:hAnsiTheme="minorBidi" w:cstheme="minorBidi" w:hint="eastAsia"/>
                <w:sz w:val="18"/>
                <w:szCs w:val="18"/>
                <w:rtl/>
              </w:rPr>
              <w:t>אקטוארי</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נטו</w:t>
            </w:r>
          </w:p>
        </w:tc>
        <w:tc>
          <w:tcPr>
            <w:tcW w:w="884" w:type="dxa"/>
            <w:vAlign w:val="bottom"/>
          </w:tcPr>
          <w:p w14:paraId="7C62AC7F"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67" w:type="dxa"/>
            <w:vAlign w:val="bottom"/>
          </w:tcPr>
          <w:p w14:paraId="70808EE7"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12" w:type="dxa"/>
            <w:vAlign w:val="bottom"/>
          </w:tcPr>
          <w:p w14:paraId="0EF71D0C"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40" w:type="dxa"/>
            <w:vAlign w:val="bottom"/>
          </w:tcPr>
          <w:p w14:paraId="392202D7"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1204" w:type="dxa"/>
            <w:vAlign w:val="bottom"/>
          </w:tcPr>
          <w:p w14:paraId="68D3D5C2"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r>
      <w:tr w:rsidR="006D22E3" w:rsidRPr="00BF11B9" w14:paraId="1A75997E" w14:textId="77777777" w:rsidTr="00D9322A">
        <w:trPr>
          <w:trHeight w:val="283"/>
        </w:trPr>
        <w:tc>
          <w:tcPr>
            <w:tcW w:w="1570" w:type="dxa"/>
          </w:tcPr>
          <w:p w14:paraId="1FB0431B"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440" w:type="dxa"/>
            <w:vAlign w:val="bottom"/>
          </w:tcPr>
          <w:p w14:paraId="480B359B"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3454" w:type="dxa"/>
            <w:gridSpan w:val="2"/>
            <w:vAlign w:val="bottom"/>
          </w:tcPr>
          <w:p w14:paraId="71144A21" w14:textId="77777777" w:rsidR="006D22E3" w:rsidRPr="00D56E75" w:rsidRDefault="006D22E3" w:rsidP="00B448FB">
            <w:pPr>
              <w:pStyle w:val="-0"/>
              <w:spacing w:before="20" w:line="220" w:lineRule="atLeast"/>
              <w:ind w:left="172" w:firstLine="0"/>
              <w:rPr>
                <w:rFonts w:asciiTheme="minorBidi" w:hAnsiTheme="minorBidi" w:cstheme="minorBidi"/>
                <w:sz w:val="18"/>
                <w:szCs w:val="18"/>
                <w:rtl/>
              </w:rPr>
            </w:pPr>
            <w:r w:rsidRPr="00D56E75">
              <w:rPr>
                <w:rFonts w:asciiTheme="minorBidi" w:hAnsiTheme="minorBidi" w:cstheme="minorBidi" w:hint="eastAsia"/>
                <w:sz w:val="18"/>
                <w:szCs w:val="18"/>
                <w:rtl/>
              </w:rPr>
              <w:t>עלות</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שירות</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קודם</w:t>
            </w:r>
          </w:p>
        </w:tc>
        <w:tc>
          <w:tcPr>
            <w:tcW w:w="884" w:type="dxa"/>
            <w:vAlign w:val="bottom"/>
          </w:tcPr>
          <w:p w14:paraId="326CD77D"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67" w:type="dxa"/>
            <w:vAlign w:val="bottom"/>
          </w:tcPr>
          <w:p w14:paraId="1493A7DC"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12" w:type="dxa"/>
            <w:vAlign w:val="bottom"/>
          </w:tcPr>
          <w:p w14:paraId="7F9B6767"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40" w:type="dxa"/>
            <w:vAlign w:val="bottom"/>
          </w:tcPr>
          <w:p w14:paraId="07DADB60"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1204" w:type="dxa"/>
            <w:vAlign w:val="bottom"/>
          </w:tcPr>
          <w:p w14:paraId="721E9636"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r>
      <w:tr w:rsidR="006D22E3" w:rsidRPr="00BF11B9" w14:paraId="57154F82" w14:textId="77777777" w:rsidTr="00D9322A">
        <w:trPr>
          <w:trHeight w:val="283"/>
        </w:trPr>
        <w:tc>
          <w:tcPr>
            <w:tcW w:w="1570" w:type="dxa"/>
          </w:tcPr>
          <w:p w14:paraId="2C8E44A0"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440" w:type="dxa"/>
            <w:vAlign w:val="bottom"/>
          </w:tcPr>
          <w:p w14:paraId="68EB7D66"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3454" w:type="dxa"/>
            <w:gridSpan w:val="2"/>
            <w:vAlign w:val="bottom"/>
          </w:tcPr>
          <w:p w14:paraId="2D3692A4" w14:textId="77777777" w:rsidR="006D22E3" w:rsidRPr="00D56E75" w:rsidRDefault="006D22E3" w:rsidP="0034117F">
            <w:pPr>
              <w:pStyle w:val="-0"/>
              <w:spacing w:before="20" w:line="220" w:lineRule="atLeast"/>
              <w:ind w:left="0" w:firstLine="0"/>
              <w:rPr>
                <w:rFonts w:asciiTheme="minorBidi" w:hAnsiTheme="minorBidi" w:cstheme="minorBidi"/>
                <w:sz w:val="18"/>
                <w:szCs w:val="18"/>
                <w:rtl/>
              </w:rPr>
            </w:pPr>
            <w:r w:rsidRPr="00D56E75">
              <w:rPr>
                <w:rFonts w:asciiTheme="minorBidi" w:hAnsiTheme="minorBidi" w:cstheme="minorBidi" w:hint="eastAsia"/>
                <w:sz w:val="18"/>
                <w:szCs w:val="18"/>
                <w:rtl/>
              </w:rPr>
              <w:t>סה</w:t>
            </w:r>
            <w:r w:rsidRPr="00D56E75">
              <w:rPr>
                <w:rFonts w:asciiTheme="minorBidi" w:hAnsiTheme="minorBidi" w:cstheme="minorBidi"/>
                <w:sz w:val="18"/>
                <w:szCs w:val="18"/>
                <w:rtl/>
              </w:rPr>
              <w:t xml:space="preserve">"כ </w:t>
            </w:r>
            <w:r w:rsidRPr="00D56E75">
              <w:rPr>
                <w:rFonts w:asciiTheme="minorBidi" w:hAnsiTheme="minorBidi" w:cstheme="minorBidi" w:hint="eastAsia"/>
                <w:sz w:val="18"/>
                <w:szCs w:val="18"/>
                <w:rtl/>
              </w:rPr>
              <w:t>הפחתות</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של</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סכומים</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שלא</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הוכרו</w:t>
            </w:r>
          </w:p>
        </w:tc>
        <w:tc>
          <w:tcPr>
            <w:tcW w:w="884" w:type="dxa"/>
            <w:vAlign w:val="bottom"/>
          </w:tcPr>
          <w:p w14:paraId="21A4563A"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67" w:type="dxa"/>
            <w:vAlign w:val="bottom"/>
          </w:tcPr>
          <w:p w14:paraId="388CAED6"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12" w:type="dxa"/>
            <w:vAlign w:val="bottom"/>
          </w:tcPr>
          <w:p w14:paraId="081C1153"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40" w:type="dxa"/>
            <w:vAlign w:val="bottom"/>
          </w:tcPr>
          <w:p w14:paraId="37D15EDE"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1204" w:type="dxa"/>
            <w:vAlign w:val="bottom"/>
          </w:tcPr>
          <w:p w14:paraId="76312996" w14:textId="77777777" w:rsidR="006D22E3" w:rsidRPr="00D56E75" w:rsidRDefault="006D22E3" w:rsidP="006F3019">
            <w:pPr>
              <w:pStyle w:val="-7"/>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r>
      <w:tr w:rsidR="006D22E3" w:rsidRPr="00BF11B9" w14:paraId="3F6E1DB3" w14:textId="77777777" w:rsidTr="00D9322A">
        <w:trPr>
          <w:trHeight w:val="283"/>
        </w:trPr>
        <w:tc>
          <w:tcPr>
            <w:tcW w:w="1570" w:type="dxa"/>
          </w:tcPr>
          <w:p w14:paraId="67981D58"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440" w:type="dxa"/>
            <w:vAlign w:val="bottom"/>
          </w:tcPr>
          <w:p w14:paraId="51AAA11E"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3454" w:type="dxa"/>
            <w:gridSpan w:val="2"/>
            <w:vAlign w:val="bottom"/>
          </w:tcPr>
          <w:p w14:paraId="19F3E82C" w14:textId="77777777" w:rsidR="006D22E3" w:rsidRPr="00D56E75" w:rsidRDefault="006D22E3" w:rsidP="006F3019">
            <w:pPr>
              <w:pStyle w:val="-0"/>
              <w:spacing w:before="20" w:line="220" w:lineRule="atLeast"/>
              <w:ind w:left="115" w:hanging="115"/>
              <w:rPr>
                <w:rFonts w:asciiTheme="minorBidi" w:hAnsiTheme="minorBidi" w:cstheme="minorBidi"/>
                <w:sz w:val="18"/>
                <w:szCs w:val="18"/>
                <w:rtl/>
              </w:rPr>
            </w:pPr>
            <w:r w:rsidRPr="00D56E75">
              <w:rPr>
                <w:rFonts w:asciiTheme="minorBidi" w:hAnsiTheme="minorBidi" w:cstheme="minorBidi" w:hint="eastAsia"/>
                <w:sz w:val="18"/>
                <w:szCs w:val="18"/>
                <w:rtl/>
              </w:rPr>
              <w:t>אחר</w:t>
            </w:r>
            <w:r w:rsidRPr="00D56E75">
              <w:rPr>
                <w:rFonts w:asciiTheme="minorBidi" w:hAnsiTheme="minorBidi" w:cstheme="minorBidi"/>
                <w:sz w:val="18"/>
                <w:szCs w:val="18"/>
                <w:rtl/>
              </w:rPr>
              <w:t xml:space="preserve">, לרבות הפסד (רווח) מצמצום או סילוק </w:t>
            </w:r>
            <w:r w:rsidRPr="00D56E75">
              <w:rPr>
                <w:rFonts w:asciiTheme="minorBidi" w:hAnsiTheme="minorBidi" w:cstheme="minorBidi"/>
                <w:b/>
                <w:bCs/>
                <w:sz w:val="18"/>
                <w:szCs w:val="18"/>
                <w:rtl/>
              </w:rPr>
              <w:t>[</w:t>
            </w:r>
            <w:r w:rsidRPr="00D56E75">
              <w:rPr>
                <w:rFonts w:asciiTheme="minorBidi" w:hAnsiTheme="minorBidi" w:cstheme="minorBidi" w:hint="eastAsia"/>
                <w:sz w:val="18"/>
                <w:szCs w:val="18"/>
                <w:rtl/>
              </w:rPr>
              <w:t>פרט</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אם</w:t>
            </w:r>
            <w:r w:rsidRPr="00D56E75">
              <w:rPr>
                <w:rFonts w:asciiTheme="minorBidi" w:hAnsiTheme="minorBidi" w:cstheme="minorBidi"/>
                <w:sz w:val="18"/>
                <w:szCs w:val="18"/>
                <w:rtl/>
              </w:rPr>
              <w:t xml:space="preserve"> </w:t>
            </w:r>
            <w:r w:rsidRPr="00D56E75">
              <w:rPr>
                <w:rFonts w:asciiTheme="minorBidi" w:hAnsiTheme="minorBidi" w:cstheme="minorBidi" w:hint="eastAsia"/>
                <w:sz w:val="18"/>
                <w:szCs w:val="18"/>
                <w:rtl/>
              </w:rPr>
              <w:t>מהותי</w:t>
            </w:r>
            <w:r w:rsidRPr="00D56E75">
              <w:rPr>
                <w:rFonts w:asciiTheme="minorBidi" w:hAnsiTheme="minorBidi" w:cstheme="minorBidi"/>
                <w:b/>
                <w:bCs/>
                <w:sz w:val="18"/>
                <w:szCs w:val="18"/>
                <w:rtl/>
              </w:rPr>
              <w:t>]</w:t>
            </w:r>
          </w:p>
        </w:tc>
        <w:tc>
          <w:tcPr>
            <w:tcW w:w="884" w:type="dxa"/>
            <w:vAlign w:val="bottom"/>
          </w:tcPr>
          <w:p w14:paraId="3D1EA585" w14:textId="77777777" w:rsidR="006D22E3" w:rsidRPr="00D56E75" w:rsidRDefault="006D22E3" w:rsidP="006F3019">
            <w:pPr>
              <w:pStyle w:val="-7"/>
              <w:pBdr>
                <w:bottom w:val="single" w:sz="4" w:space="1" w:color="auto"/>
              </w:pBdr>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67" w:type="dxa"/>
            <w:vAlign w:val="bottom"/>
          </w:tcPr>
          <w:p w14:paraId="5BC0A85F" w14:textId="77777777" w:rsidR="006D22E3" w:rsidRPr="00D56E75" w:rsidRDefault="006D22E3" w:rsidP="006F3019">
            <w:pPr>
              <w:pStyle w:val="-7"/>
              <w:pBdr>
                <w:bottom w:val="single" w:sz="4" w:space="1" w:color="auto"/>
              </w:pBdr>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12" w:type="dxa"/>
            <w:vAlign w:val="bottom"/>
          </w:tcPr>
          <w:p w14:paraId="0908222D" w14:textId="77777777" w:rsidR="006D22E3" w:rsidRPr="00D56E75" w:rsidRDefault="006D22E3" w:rsidP="006F3019">
            <w:pPr>
              <w:pStyle w:val="-7"/>
              <w:pBdr>
                <w:bottom w:val="single" w:sz="4" w:space="1" w:color="auto"/>
              </w:pBdr>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940" w:type="dxa"/>
            <w:vAlign w:val="bottom"/>
          </w:tcPr>
          <w:p w14:paraId="1813CDC6" w14:textId="77777777" w:rsidR="006D22E3" w:rsidRPr="00D56E75" w:rsidRDefault="006D22E3" w:rsidP="006F3019">
            <w:pPr>
              <w:pStyle w:val="-7"/>
              <w:pBdr>
                <w:bottom w:val="single" w:sz="4" w:space="1" w:color="auto"/>
              </w:pBdr>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c>
          <w:tcPr>
            <w:tcW w:w="1204" w:type="dxa"/>
            <w:vAlign w:val="bottom"/>
          </w:tcPr>
          <w:p w14:paraId="4AC9EBF6" w14:textId="77777777" w:rsidR="006D22E3" w:rsidRPr="00D56E75" w:rsidRDefault="006D22E3" w:rsidP="006F3019">
            <w:pPr>
              <w:pStyle w:val="-7"/>
              <w:pBdr>
                <w:bottom w:val="single" w:sz="4" w:space="1" w:color="auto"/>
              </w:pBdr>
              <w:spacing w:before="20" w:line="220" w:lineRule="atLeast"/>
              <w:jc w:val="left"/>
              <w:rPr>
                <w:rFonts w:asciiTheme="minorBidi" w:hAnsiTheme="minorBidi" w:cstheme="minorBidi"/>
                <w:sz w:val="17"/>
                <w:szCs w:val="17"/>
                <w:rtl/>
              </w:rPr>
            </w:pPr>
            <w:r w:rsidRPr="00D56E75">
              <w:rPr>
                <w:rFonts w:asciiTheme="minorBidi" w:hAnsiTheme="minorBidi" w:cstheme="minorBidi"/>
                <w:sz w:val="17"/>
                <w:szCs w:val="17"/>
                <w:rtl/>
              </w:rPr>
              <w:t>0</w:t>
            </w:r>
          </w:p>
        </w:tc>
      </w:tr>
      <w:tr w:rsidR="006D22E3" w:rsidRPr="00BF11B9" w14:paraId="6A06443F" w14:textId="77777777" w:rsidTr="00D9322A">
        <w:trPr>
          <w:trHeight w:val="283"/>
        </w:trPr>
        <w:tc>
          <w:tcPr>
            <w:tcW w:w="1570" w:type="dxa"/>
          </w:tcPr>
          <w:p w14:paraId="7E7633FD"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440" w:type="dxa"/>
            <w:vAlign w:val="bottom"/>
          </w:tcPr>
          <w:p w14:paraId="17B57A8E"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3454" w:type="dxa"/>
            <w:gridSpan w:val="2"/>
            <w:vAlign w:val="bottom"/>
          </w:tcPr>
          <w:p w14:paraId="282B66FD" w14:textId="77777777" w:rsidR="006D22E3" w:rsidRPr="00D56E75" w:rsidRDefault="006D22E3" w:rsidP="006F3019">
            <w:pPr>
              <w:pStyle w:val="-0"/>
              <w:spacing w:before="20" w:line="220" w:lineRule="atLeast"/>
              <w:ind w:left="115" w:hanging="115"/>
              <w:rPr>
                <w:rFonts w:asciiTheme="minorBidi" w:hAnsiTheme="minorBidi" w:cstheme="minorBidi"/>
                <w:b/>
                <w:bCs/>
                <w:sz w:val="18"/>
                <w:szCs w:val="18"/>
                <w:rtl/>
              </w:rPr>
            </w:pPr>
            <w:r w:rsidRPr="00D56E75">
              <w:rPr>
                <w:rFonts w:asciiTheme="minorBidi" w:hAnsiTheme="minorBidi" w:cstheme="minorBidi" w:hint="eastAsia"/>
                <w:b/>
                <w:bCs/>
                <w:sz w:val="18"/>
                <w:szCs w:val="18"/>
                <w:rtl/>
              </w:rPr>
              <w:t>סך</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עלות</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ההטבה</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נטו</w:t>
            </w:r>
          </w:p>
        </w:tc>
        <w:tc>
          <w:tcPr>
            <w:tcW w:w="884" w:type="dxa"/>
            <w:vAlign w:val="bottom"/>
          </w:tcPr>
          <w:p w14:paraId="241AC3BD" w14:textId="77777777" w:rsidR="006D22E3" w:rsidRPr="00D56E75" w:rsidRDefault="006D22E3" w:rsidP="00D9322A">
            <w:pPr>
              <w:pStyle w:val="-7"/>
              <w:pBdr>
                <w:bottom w:val="single" w:sz="4" w:space="1" w:color="auto"/>
              </w:pBdr>
              <w:spacing w:before="20" w:line="220" w:lineRule="atLeast"/>
              <w:jc w:val="left"/>
              <w:rPr>
                <w:rFonts w:asciiTheme="minorBidi" w:hAnsiTheme="minorBidi" w:cstheme="minorBidi"/>
                <w:b/>
                <w:bCs/>
                <w:sz w:val="17"/>
                <w:szCs w:val="17"/>
                <w:rtl/>
              </w:rPr>
            </w:pPr>
            <w:r w:rsidRPr="00D56E75">
              <w:rPr>
                <w:rFonts w:asciiTheme="minorBidi" w:hAnsiTheme="minorBidi" w:cstheme="minorBidi"/>
                <w:b/>
                <w:bCs/>
                <w:sz w:val="17"/>
                <w:szCs w:val="17"/>
                <w:rtl/>
              </w:rPr>
              <w:t>0</w:t>
            </w:r>
          </w:p>
        </w:tc>
        <w:tc>
          <w:tcPr>
            <w:tcW w:w="967" w:type="dxa"/>
            <w:vAlign w:val="bottom"/>
          </w:tcPr>
          <w:p w14:paraId="31D3FC9B" w14:textId="77777777" w:rsidR="006D22E3" w:rsidRPr="00D56E75" w:rsidRDefault="006D22E3" w:rsidP="00D9322A">
            <w:pPr>
              <w:pStyle w:val="-7"/>
              <w:pBdr>
                <w:bottom w:val="single" w:sz="4" w:space="1" w:color="auto"/>
              </w:pBdr>
              <w:spacing w:before="20" w:line="220" w:lineRule="atLeast"/>
              <w:jc w:val="left"/>
              <w:rPr>
                <w:rFonts w:asciiTheme="minorBidi" w:hAnsiTheme="minorBidi" w:cstheme="minorBidi"/>
                <w:b/>
                <w:bCs/>
                <w:sz w:val="17"/>
                <w:szCs w:val="17"/>
                <w:rtl/>
              </w:rPr>
            </w:pPr>
            <w:r w:rsidRPr="00D56E75">
              <w:rPr>
                <w:rFonts w:asciiTheme="minorBidi" w:hAnsiTheme="minorBidi" w:cstheme="minorBidi"/>
                <w:b/>
                <w:bCs/>
                <w:sz w:val="17"/>
                <w:szCs w:val="17"/>
                <w:rtl/>
              </w:rPr>
              <w:t>0</w:t>
            </w:r>
          </w:p>
        </w:tc>
        <w:tc>
          <w:tcPr>
            <w:tcW w:w="912" w:type="dxa"/>
            <w:vAlign w:val="bottom"/>
          </w:tcPr>
          <w:p w14:paraId="2C8EA312" w14:textId="77777777" w:rsidR="006D22E3" w:rsidRPr="00D56E75" w:rsidRDefault="006D22E3" w:rsidP="00D9322A">
            <w:pPr>
              <w:pStyle w:val="-7"/>
              <w:pBdr>
                <w:bottom w:val="single" w:sz="4" w:space="1" w:color="auto"/>
              </w:pBdr>
              <w:spacing w:before="20" w:line="220" w:lineRule="atLeast"/>
              <w:jc w:val="left"/>
              <w:rPr>
                <w:rFonts w:asciiTheme="minorBidi" w:hAnsiTheme="minorBidi" w:cstheme="minorBidi"/>
                <w:b/>
                <w:bCs/>
                <w:sz w:val="17"/>
                <w:szCs w:val="17"/>
                <w:rtl/>
              </w:rPr>
            </w:pPr>
            <w:r w:rsidRPr="00D56E75">
              <w:rPr>
                <w:rFonts w:asciiTheme="minorBidi" w:hAnsiTheme="minorBidi" w:cstheme="minorBidi"/>
                <w:b/>
                <w:bCs/>
                <w:sz w:val="17"/>
                <w:szCs w:val="17"/>
                <w:rtl/>
              </w:rPr>
              <w:t>0</w:t>
            </w:r>
          </w:p>
        </w:tc>
        <w:tc>
          <w:tcPr>
            <w:tcW w:w="940" w:type="dxa"/>
            <w:vAlign w:val="bottom"/>
          </w:tcPr>
          <w:p w14:paraId="7712BE6E" w14:textId="77777777" w:rsidR="006D22E3" w:rsidRPr="00D56E75" w:rsidRDefault="006D22E3" w:rsidP="00D9322A">
            <w:pPr>
              <w:pStyle w:val="-7"/>
              <w:pBdr>
                <w:bottom w:val="single" w:sz="4" w:space="1" w:color="auto"/>
              </w:pBdr>
              <w:spacing w:before="20" w:line="220" w:lineRule="atLeast"/>
              <w:jc w:val="left"/>
              <w:rPr>
                <w:rFonts w:asciiTheme="minorBidi" w:hAnsiTheme="minorBidi" w:cstheme="minorBidi"/>
                <w:b/>
                <w:bCs/>
                <w:sz w:val="17"/>
                <w:szCs w:val="17"/>
                <w:rtl/>
              </w:rPr>
            </w:pPr>
            <w:r w:rsidRPr="00D56E75">
              <w:rPr>
                <w:rFonts w:asciiTheme="minorBidi" w:hAnsiTheme="minorBidi" w:cstheme="minorBidi"/>
                <w:b/>
                <w:bCs/>
                <w:sz w:val="17"/>
                <w:szCs w:val="17"/>
                <w:rtl/>
              </w:rPr>
              <w:t>0</w:t>
            </w:r>
          </w:p>
        </w:tc>
        <w:tc>
          <w:tcPr>
            <w:tcW w:w="1204" w:type="dxa"/>
            <w:vAlign w:val="bottom"/>
          </w:tcPr>
          <w:p w14:paraId="25207A73" w14:textId="77777777" w:rsidR="006D22E3" w:rsidRPr="00D56E75" w:rsidRDefault="006D22E3" w:rsidP="00D9322A">
            <w:pPr>
              <w:pStyle w:val="-7"/>
              <w:pBdr>
                <w:bottom w:val="single" w:sz="4" w:space="1" w:color="auto"/>
              </w:pBdr>
              <w:spacing w:before="20" w:line="220" w:lineRule="atLeast"/>
              <w:jc w:val="left"/>
              <w:rPr>
                <w:rFonts w:asciiTheme="minorBidi" w:hAnsiTheme="minorBidi" w:cstheme="minorBidi"/>
                <w:b/>
                <w:bCs/>
                <w:sz w:val="17"/>
                <w:szCs w:val="17"/>
                <w:rtl/>
              </w:rPr>
            </w:pPr>
            <w:r w:rsidRPr="00D56E75">
              <w:rPr>
                <w:rFonts w:asciiTheme="minorBidi" w:hAnsiTheme="minorBidi" w:cstheme="minorBidi"/>
                <w:b/>
                <w:bCs/>
                <w:sz w:val="17"/>
                <w:szCs w:val="17"/>
                <w:rtl/>
              </w:rPr>
              <w:t>0</w:t>
            </w:r>
          </w:p>
        </w:tc>
      </w:tr>
      <w:tr w:rsidR="006D22E3" w:rsidRPr="00BF11B9" w14:paraId="7BCDBC6D" w14:textId="77777777" w:rsidTr="00D9322A">
        <w:trPr>
          <w:trHeight w:val="283"/>
        </w:trPr>
        <w:tc>
          <w:tcPr>
            <w:tcW w:w="1570" w:type="dxa"/>
          </w:tcPr>
          <w:p w14:paraId="0D75271E"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440" w:type="dxa"/>
            <w:vAlign w:val="bottom"/>
          </w:tcPr>
          <w:p w14:paraId="626A5189"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3454" w:type="dxa"/>
            <w:gridSpan w:val="2"/>
            <w:vAlign w:val="bottom"/>
          </w:tcPr>
          <w:p w14:paraId="23C6D1FB" w14:textId="77777777" w:rsidR="006D22E3" w:rsidRPr="00D56E75" w:rsidRDefault="006D22E3" w:rsidP="006F3019">
            <w:pPr>
              <w:pStyle w:val="-0"/>
              <w:spacing w:before="20" w:line="220" w:lineRule="atLeast"/>
              <w:ind w:left="115" w:hanging="115"/>
              <w:rPr>
                <w:rFonts w:asciiTheme="minorBidi" w:hAnsiTheme="minorBidi" w:cstheme="minorBidi"/>
                <w:b/>
                <w:bCs/>
                <w:sz w:val="18"/>
                <w:szCs w:val="18"/>
                <w:rtl/>
              </w:rPr>
            </w:pPr>
            <w:r w:rsidRPr="00D56E75">
              <w:rPr>
                <w:rFonts w:asciiTheme="minorBidi" w:hAnsiTheme="minorBidi" w:cstheme="minorBidi" w:hint="eastAsia"/>
                <w:b/>
                <w:bCs/>
                <w:sz w:val="18"/>
                <w:szCs w:val="18"/>
                <w:rtl/>
              </w:rPr>
              <w:t>סך</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הוצאה</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בגין</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תכניות</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פנסיה</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להפקדה</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מוגדרת</w:t>
            </w:r>
          </w:p>
        </w:tc>
        <w:tc>
          <w:tcPr>
            <w:tcW w:w="884" w:type="dxa"/>
            <w:vAlign w:val="bottom"/>
          </w:tcPr>
          <w:p w14:paraId="1D726287" w14:textId="77777777" w:rsidR="006D22E3" w:rsidRPr="00D56E75" w:rsidRDefault="006D22E3" w:rsidP="00D9322A">
            <w:pPr>
              <w:pStyle w:val="-7"/>
              <w:pBdr>
                <w:bottom w:val="single" w:sz="4" w:space="1" w:color="auto"/>
              </w:pBdr>
              <w:spacing w:before="20" w:line="220" w:lineRule="atLeast"/>
              <w:jc w:val="left"/>
              <w:rPr>
                <w:rFonts w:asciiTheme="minorBidi" w:hAnsiTheme="minorBidi" w:cstheme="minorBidi"/>
                <w:b/>
                <w:bCs/>
                <w:sz w:val="17"/>
                <w:szCs w:val="17"/>
                <w:rtl/>
              </w:rPr>
            </w:pPr>
            <w:r w:rsidRPr="00D56E75">
              <w:rPr>
                <w:rFonts w:asciiTheme="minorBidi" w:hAnsiTheme="minorBidi" w:cstheme="minorBidi"/>
                <w:b/>
                <w:bCs/>
                <w:sz w:val="17"/>
                <w:szCs w:val="17"/>
                <w:rtl/>
              </w:rPr>
              <w:t>0</w:t>
            </w:r>
          </w:p>
        </w:tc>
        <w:tc>
          <w:tcPr>
            <w:tcW w:w="967" w:type="dxa"/>
            <w:vAlign w:val="bottom"/>
          </w:tcPr>
          <w:p w14:paraId="483A8E70" w14:textId="77777777" w:rsidR="006D22E3" w:rsidRPr="00D56E75" w:rsidRDefault="006D22E3" w:rsidP="00D9322A">
            <w:pPr>
              <w:pStyle w:val="-7"/>
              <w:pBdr>
                <w:bottom w:val="single" w:sz="4" w:space="1" w:color="auto"/>
              </w:pBdr>
              <w:spacing w:before="20" w:line="220" w:lineRule="atLeast"/>
              <w:jc w:val="left"/>
              <w:rPr>
                <w:rFonts w:asciiTheme="minorBidi" w:hAnsiTheme="minorBidi" w:cstheme="minorBidi"/>
                <w:b/>
                <w:bCs/>
                <w:sz w:val="17"/>
                <w:szCs w:val="17"/>
                <w:rtl/>
              </w:rPr>
            </w:pPr>
            <w:r w:rsidRPr="00D56E75">
              <w:rPr>
                <w:rFonts w:asciiTheme="minorBidi" w:hAnsiTheme="minorBidi" w:cstheme="minorBidi"/>
                <w:b/>
                <w:bCs/>
                <w:sz w:val="17"/>
                <w:szCs w:val="17"/>
                <w:rtl/>
              </w:rPr>
              <w:t>0</w:t>
            </w:r>
          </w:p>
        </w:tc>
        <w:tc>
          <w:tcPr>
            <w:tcW w:w="912" w:type="dxa"/>
            <w:vAlign w:val="bottom"/>
          </w:tcPr>
          <w:p w14:paraId="09773DC6" w14:textId="77777777" w:rsidR="006D22E3" w:rsidRPr="00D56E75" w:rsidRDefault="006D22E3" w:rsidP="00D9322A">
            <w:pPr>
              <w:pStyle w:val="-7"/>
              <w:pBdr>
                <w:bottom w:val="single" w:sz="4" w:space="1" w:color="auto"/>
              </w:pBdr>
              <w:spacing w:before="20" w:line="220" w:lineRule="atLeast"/>
              <w:jc w:val="left"/>
              <w:rPr>
                <w:rFonts w:asciiTheme="minorBidi" w:hAnsiTheme="minorBidi" w:cstheme="minorBidi"/>
                <w:b/>
                <w:bCs/>
                <w:sz w:val="17"/>
                <w:szCs w:val="17"/>
                <w:rtl/>
              </w:rPr>
            </w:pPr>
            <w:r w:rsidRPr="00D56E75">
              <w:rPr>
                <w:rFonts w:asciiTheme="minorBidi" w:hAnsiTheme="minorBidi" w:cstheme="minorBidi"/>
                <w:b/>
                <w:bCs/>
                <w:sz w:val="17"/>
                <w:szCs w:val="17"/>
                <w:rtl/>
              </w:rPr>
              <w:t>0</w:t>
            </w:r>
          </w:p>
        </w:tc>
        <w:tc>
          <w:tcPr>
            <w:tcW w:w="940" w:type="dxa"/>
            <w:vAlign w:val="bottom"/>
          </w:tcPr>
          <w:p w14:paraId="3E899BAA" w14:textId="77777777" w:rsidR="006D22E3" w:rsidRPr="00D56E75" w:rsidRDefault="006D22E3" w:rsidP="00D9322A">
            <w:pPr>
              <w:pStyle w:val="-7"/>
              <w:pBdr>
                <w:bottom w:val="single" w:sz="4" w:space="1" w:color="auto"/>
              </w:pBdr>
              <w:spacing w:before="20" w:line="220" w:lineRule="atLeast"/>
              <w:jc w:val="left"/>
              <w:rPr>
                <w:rFonts w:asciiTheme="minorBidi" w:hAnsiTheme="minorBidi" w:cstheme="minorBidi"/>
                <w:b/>
                <w:bCs/>
                <w:sz w:val="17"/>
                <w:szCs w:val="17"/>
                <w:rtl/>
              </w:rPr>
            </w:pPr>
            <w:r w:rsidRPr="00D56E75">
              <w:rPr>
                <w:rFonts w:asciiTheme="minorBidi" w:hAnsiTheme="minorBidi" w:cstheme="minorBidi"/>
                <w:b/>
                <w:bCs/>
                <w:sz w:val="17"/>
                <w:szCs w:val="17"/>
                <w:rtl/>
              </w:rPr>
              <w:t>0</w:t>
            </w:r>
          </w:p>
        </w:tc>
        <w:tc>
          <w:tcPr>
            <w:tcW w:w="1204" w:type="dxa"/>
            <w:vAlign w:val="bottom"/>
          </w:tcPr>
          <w:p w14:paraId="40258E37" w14:textId="77777777" w:rsidR="006D22E3" w:rsidRPr="00D56E75" w:rsidRDefault="006D22E3" w:rsidP="00D9322A">
            <w:pPr>
              <w:pStyle w:val="-7"/>
              <w:pBdr>
                <w:bottom w:val="single" w:sz="4" w:space="1" w:color="auto"/>
              </w:pBdr>
              <w:spacing w:before="20" w:line="220" w:lineRule="atLeast"/>
              <w:jc w:val="left"/>
              <w:rPr>
                <w:rFonts w:asciiTheme="minorBidi" w:hAnsiTheme="minorBidi" w:cstheme="minorBidi"/>
                <w:b/>
                <w:bCs/>
                <w:sz w:val="17"/>
                <w:szCs w:val="17"/>
                <w:rtl/>
              </w:rPr>
            </w:pPr>
            <w:r w:rsidRPr="00D56E75">
              <w:rPr>
                <w:rFonts w:asciiTheme="minorBidi" w:hAnsiTheme="minorBidi" w:cstheme="minorBidi"/>
                <w:b/>
                <w:bCs/>
                <w:sz w:val="17"/>
                <w:szCs w:val="17"/>
                <w:rtl/>
              </w:rPr>
              <w:t>0</w:t>
            </w:r>
          </w:p>
        </w:tc>
      </w:tr>
      <w:tr w:rsidR="006D22E3" w:rsidRPr="00BF11B9" w14:paraId="73C351EA" w14:textId="77777777" w:rsidTr="00D9322A">
        <w:trPr>
          <w:trHeight w:val="283"/>
        </w:trPr>
        <w:tc>
          <w:tcPr>
            <w:tcW w:w="1570" w:type="dxa"/>
          </w:tcPr>
          <w:p w14:paraId="1EC2A9BF"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440" w:type="dxa"/>
            <w:vAlign w:val="bottom"/>
          </w:tcPr>
          <w:p w14:paraId="2CF6B983" w14:textId="77777777" w:rsidR="006D22E3" w:rsidRPr="00D56E75" w:rsidRDefault="006D22E3" w:rsidP="006F3019">
            <w:pPr>
              <w:pStyle w:val="-7"/>
              <w:spacing w:before="20" w:line="220" w:lineRule="atLeast"/>
              <w:jc w:val="left"/>
              <w:rPr>
                <w:rFonts w:asciiTheme="minorBidi" w:hAnsiTheme="minorBidi" w:cstheme="minorBidi"/>
                <w:sz w:val="18"/>
                <w:szCs w:val="18"/>
                <w:rtl/>
              </w:rPr>
            </w:pPr>
          </w:p>
        </w:tc>
        <w:tc>
          <w:tcPr>
            <w:tcW w:w="3454" w:type="dxa"/>
            <w:gridSpan w:val="2"/>
            <w:vAlign w:val="bottom"/>
          </w:tcPr>
          <w:p w14:paraId="1037A81D" w14:textId="77777777" w:rsidR="006D22E3" w:rsidRPr="00D56E75" w:rsidRDefault="006D22E3" w:rsidP="006F3019">
            <w:pPr>
              <w:pStyle w:val="-0"/>
              <w:spacing w:before="20" w:line="220" w:lineRule="atLeast"/>
              <w:ind w:left="115" w:hanging="115"/>
              <w:rPr>
                <w:rFonts w:asciiTheme="minorBidi" w:hAnsiTheme="minorBidi" w:cstheme="minorBidi"/>
                <w:b/>
                <w:bCs/>
                <w:sz w:val="18"/>
                <w:szCs w:val="18"/>
                <w:rtl/>
              </w:rPr>
            </w:pPr>
            <w:r w:rsidRPr="00D56E75">
              <w:rPr>
                <w:rFonts w:asciiTheme="minorBidi" w:hAnsiTheme="minorBidi" w:cstheme="minorBidi" w:hint="eastAsia"/>
                <w:b/>
                <w:bCs/>
                <w:sz w:val="18"/>
                <w:szCs w:val="18"/>
                <w:rtl/>
              </w:rPr>
              <w:t>סך</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הוצאות</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שנכללו</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במשכורות</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והוצאות</w:t>
            </w:r>
            <w:r w:rsidRPr="00D56E75">
              <w:rPr>
                <w:rFonts w:asciiTheme="minorBidi" w:hAnsiTheme="minorBidi" w:cstheme="minorBidi"/>
                <w:b/>
                <w:bCs/>
                <w:sz w:val="18"/>
                <w:szCs w:val="18"/>
                <w:rtl/>
              </w:rPr>
              <w:t xml:space="preserve"> </w:t>
            </w:r>
            <w:r w:rsidRPr="00D56E75">
              <w:rPr>
                <w:rFonts w:asciiTheme="minorBidi" w:hAnsiTheme="minorBidi" w:cstheme="minorBidi" w:hint="eastAsia"/>
                <w:b/>
                <w:bCs/>
                <w:sz w:val="18"/>
                <w:szCs w:val="18"/>
                <w:rtl/>
              </w:rPr>
              <w:t>נלוות</w:t>
            </w:r>
            <w:r w:rsidR="006D1553" w:rsidRPr="00D56E75">
              <w:rPr>
                <w:rFonts w:asciiTheme="minorBidi" w:hAnsiTheme="minorBidi" w:cstheme="minorBidi"/>
                <w:b/>
                <w:bCs/>
                <w:sz w:val="18"/>
                <w:szCs w:val="18"/>
                <w:rtl/>
              </w:rPr>
              <w:t xml:space="preserve"> והוצאות אחרות</w:t>
            </w:r>
          </w:p>
        </w:tc>
        <w:tc>
          <w:tcPr>
            <w:tcW w:w="884" w:type="dxa"/>
            <w:vAlign w:val="bottom"/>
          </w:tcPr>
          <w:p w14:paraId="42392BFD" w14:textId="77777777" w:rsidR="006D22E3" w:rsidRPr="00D56E75" w:rsidRDefault="006D22E3" w:rsidP="006F3019">
            <w:pPr>
              <w:pStyle w:val="-7"/>
              <w:pBdr>
                <w:bottom w:val="double" w:sz="4" w:space="1" w:color="auto"/>
              </w:pBdr>
              <w:spacing w:before="20" w:line="220" w:lineRule="atLeast"/>
              <w:jc w:val="left"/>
              <w:rPr>
                <w:rFonts w:asciiTheme="minorBidi" w:hAnsiTheme="minorBidi" w:cstheme="minorBidi"/>
                <w:b/>
                <w:bCs/>
                <w:sz w:val="17"/>
                <w:szCs w:val="17"/>
                <w:rtl/>
              </w:rPr>
            </w:pPr>
            <w:r w:rsidRPr="00D56E75">
              <w:rPr>
                <w:rFonts w:asciiTheme="minorBidi" w:hAnsiTheme="minorBidi" w:cstheme="minorBidi"/>
                <w:b/>
                <w:bCs/>
                <w:sz w:val="17"/>
                <w:szCs w:val="17"/>
                <w:rtl/>
              </w:rPr>
              <w:t>0</w:t>
            </w:r>
          </w:p>
        </w:tc>
        <w:tc>
          <w:tcPr>
            <w:tcW w:w="967" w:type="dxa"/>
            <w:vAlign w:val="bottom"/>
          </w:tcPr>
          <w:p w14:paraId="26595F61" w14:textId="77777777" w:rsidR="006D22E3" w:rsidRPr="00D56E75" w:rsidRDefault="006D22E3" w:rsidP="006F3019">
            <w:pPr>
              <w:pStyle w:val="-7"/>
              <w:pBdr>
                <w:bottom w:val="double" w:sz="4" w:space="1" w:color="auto"/>
              </w:pBdr>
              <w:spacing w:before="20" w:line="220" w:lineRule="atLeast"/>
              <w:jc w:val="left"/>
              <w:rPr>
                <w:rFonts w:asciiTheme="minorBidi" w:hAnsiTheme="minorBidi" w:cstheme="minorBidi"/>
                <w:b/>
                <w:bCs/>
                <w:sz w:val="17"/>
                <w:szCs w:val="17"/>
                <w:rtl/>
              </w:rPr>
            </w:pPr>
            <w:r w:rsidRPr="00D56E75">
              <w:rPr>
                <w:rFonts w:asciiTheme="minorBidi" w:hAnsiTheme="minorBidi" w:cstheme="minorBidi"/>
                <w:b/>
                <w:bCs/>
                <w:sz w:val="17"/>
                <w:szCs w:val="17"/>
                <w:rtl/>
              </w:rPr>
              <w:t>0</w:t>
            </w:r>
          </w:p>
        </w:tc>
        <w:tc>
          <w:tcPr>
            <w:tcW w:w="912" w:type="dxa"/>
            <w:vAlign w:val="bottom"/>
          </w:tcPr>
          <w:p w14:paraId="4DACD73E" w14:textId="77777777" w:rsidR="006D22E3" w:rsidRPr="00D56E75" w:rsidRDefault="006D22E3" w:rsidP="006F3019">
            <w:pPr>
              <w:pStyle w:val="-7"/>
              <w:pBdr>
                <w:bottom w:val="double" w:sz="4" w:space="1" w:color="auto"/>
              </w:pBdr>
              <w:spacing w:before="20" w:line="220" w:lineRule="atLeast"/>
              <w:jc w:val="left"/>
              <w:rPr>
                <w:rFonts w:asciiTheme="minorBidi" w:hAnsiTheme="minorBidi" w:cstheme="minorBidi"/>
                <w:b/>
                <w:bCs/>
                <w:sz w:val="17"/>
                <w:szCs w:val="17"/>
                <w:rtl/>
              </w:rPr>
            </w:pPr>
            <w:r w:rsidRPr="00D56E75">
              <w:rPr>
                <w:rFonts w:asciiTheme="minorBidi" w:hAnsiTheme="minorBidi" w:cstheme="minorBidi"/>
                <w:b/>
                <w:bCs/>
                <w:sz w:val="17"/>
                <w:szCs w:val="17"/>
                <w:rtl/>
              </w:rPr>
              <w:t>0</w:t>
            </w:r>
          </w:p>
        </w:tc>
        <w:tc>
          <w:tcPr>
            <w:tcW w:w="940" w:type="dxa"/>
            <w:vAlign w:val="bottom"/>
          </w:tcPr>
          <w:p w14:paraId="7ACA388A" w14:textId="77777777" w:rsidR="006D22E3" w:rsidRPr="00D56E75" w:rsidRDefault="006D22E3" w:rsidP="006F3019">
            <w:pPr>
              <w:pStyle w:val="-7"/>
              <w:pBdr>
                <w:bottom w:val="double" w:sz="4" w:space="1" w:color="auto"/>
              </w:pBdr>
              <w:spacing w:before="20" w:line="220" w:lineRule="atLeast"/>
              <w:jc w:val="left"/>
              <w:rPr>
                <w:rFonts w:asciiTheme="minorBidi" w:hAnsiTheme="minorBidi" w:cstheme="minorBidi"/>
                <w:b/>
                <w:bCs/>
                <w:sz w:val="17"/>
                <w:szCs w:val="17"/>
                <w:rtl/>
              </w:rPr>
            </w:pPr>
            <w:r w:rsidRPr="00D56E75">
              <w:rPr>
                <w:rFonts w:asciiTheme="minorBidi" w:hAnsiTheme="minorBidi" w:cstheme="minorBidi"/>
                <w:b/>
                <w:bCs/>
                <w:sz w:val="17"/>
                <w:szCs w:val="17"/>
                <w:rtl/>
              </w:rPr>
              <w:t>0</w:t>
            </w:r>
          </w:p>
        </w:tc>
        <w:tc>
          <w:tcPr>
            <w:tcW w:w="1204" w:type="dxa"/>
            <w:vAlign w:val="bottom"/>
          </w:tcPr>
          <w:p w14:paraId="3AE8103A" w14:textId="77777777" w:rsidR="006D22E3" w:rsidRPr="00D56E75" w:rsidRDefault="006D22E3" w:rsidP="006F3019">
            <w:pPr>
              <w:pStyle w:val="-7"/>
              <w:pBdr>
                <w:bottom w:val="double" w:sz="4" w:space="1" w:color="auto"/>
              </w:pBdr>
              <w:spacing w:before="20" w:line="220" w:lineRule="atLeast"/>
              <w:jc w:val="left"/>
              <w:rPr>
                <w:rFonts w:asciiTheme="minorBidi" w:hAnsiTheme="minorBidi" w:cstheme="minorBidi"/>
                <w:b/>
                <w:bCs/>
                <w:sz w:val="17"/>
                <w:szCs w:val="17"/>
                <w:rtl/>
              </w:rPr>
            </w:pPr>
            <w:r w:rsidRPr="00D56E75">
              <w:rPr>
                <w:rFonts w:asciiTheme="minorBidi" w:hAnsiTheme="minorBidi" w:cstheme="minorBidi"/>
                <w:b/>
                <w:bCs/>
                <w:sz w:val="17"/>
                <w:szCs w:val="17"/>
                <w:rtl/>
              </w:rPr>
              <w:t>0</w:t>
            </w:r>
          </w:p>
        </w:tc>
      </w:tr>
    </w:tbl>
    <w:p w14:paraId="4C08A6BC" w14:textId="77777777" w:rsidR="001A0C5B" w:rsidRDefault="001A0C5B">
      <w:pPr>
        <w:rPr>
          <w:rtl/>
        </w:rPr>
      </w:pPr>
    </w:p>
    <w:p w14:paraId="04AC005F" w14:textId="77777777" w:rsidR="00147C94" w:rsidRDefault="00147C94">
      <w:pPr>
        <w:rPr>
          <w:rtl/>
        </w:rPr>
      </w:pPr>
    </w:p>
    <w:p w14:paraId="6077F8CD" w14:textId="77777777" w:rsidR="00147C94" w:rsidRDefault="00147C94"/>
    <w:tbl>
      <w:tblPr>
        <w:bidiVisual/>
        <w:tblW w:w="10371" w:type="dxa"/>
        <w:tblLayout w:type="fixed"/>
        <w:tblLook w:val="01E0" w:firstRow="1" w:lastRow="1" w:firstColumn="1" w:lastColumn="1" w:noHBand="0" w:noVBand="0"/>
      </w:tblPr>
      <w:tblGrid>
        <w:gridCol w:w="1570"/>
        <w:gridCol w:w="440"/>
        <w:gridCol w:w="2465"/>
        <w:gridCol w:w="995"/>
        <w:gridCol w:w="886"/>
        <w:gridCol w:w="982"/>
        <w:gridCol w:w="913"/>
        <w:gridCol w:w="941"/>
        <w:gridCol w:w="1179"/>
      </w:tblGrid>
      <w:tr w:rsidR="006D22E3" w:rsidRPr="00BF11B9" w14:paraId="7658D533" w14:textId="77777777" w:rsidTr="00D9322A">
        <w:trPr>
          <w:trHeight w:val="259"/>
        </w:trPr>
        <w:tc>
          <w:tcPr>
            <w:tcW w:w="1570" w:type="dxa"/>
            <w:vAlign w:val="center"/>
          </w:tcPr>
          <w:p w14:paraId="272D256D" w14:textId="77777777" w:rsidR="006D22E3" w:rsidRPr="00BF11B9" w:rsidRDefault="006D22E3" w:rsidP="006F3019">
            <w:pPr>
              <w:pStyle w:val="-7"/>
              <w:spacing w:before="60" w:after="60" w:line="240" w:lineRule="auto"/>
              <w:jc w:val="left"/>
              <w:rPr>
                <w:sz w:val="18"/>
                <w:szCs w:val="18"/>
                <w:rtl/>
              </w:rPr>
            </w:pPr>
            <w:r w:rsidRPr="006F40BC">
              <w:rPr>
                <w:sz w:val="14"/>
                <w:szCs w:val="14"/>
                <w:rtl/>
              </w:rPr>
              <w:t>(</w:t>
            </w:r>
            <w:r w:rsidRPr="006F40BC">
              <w:rPr>
                <w:sz w:val="14"/>
                <w:szCs w:val="14"/>
              </w:rPr>
              <w:t>b</w:t>
            </w:r>
            <w:r w:rsidRPr="006F40BC">
              <w:rPr>
                <w:sz w:val="14"/>
                <w:szCs w:val="14"/>
                <w:rtl/>
              </w:rPr>
              <w:t xml:space="preserve">)715-20-50-6 </w:t>
            </w:r>
            <w:r w:rsidRPr="006F40BC">
              <w:rPr>
                <w:sz w:val="14"/>
                <w:szCs w:val="14"/>
              </w:rPr>
              <w:t>ASC</w:t>
            </w:r>
          </w:p>
        </w:tc>
        <w:tc>
          <w:tcPr>
            <w:tcW w:w="8801" w:type="dxa"/>
            <w:gridSpan w:val="8"/>
            <w:vAlign w:val="bottom"/>
          </w:tcPr>
          <w:p w14:paraId="0A017E59" w14:textId="77777777" w:rsidR="006D22E3" w:rsidRPr="006F40BC" w:rsidRDefault="006D22E3" w:rsidP="00552DF5">
            <w:pPr>
              <w:pStyle w:val="-4"/>
              <w:pBdr>
                <w:bottom w:val="none" w:sz="0" w:space="0" w:color="auto"/>
              </w:pBdr>
              <w:spacing w:before="60" w:after="60" w:line="240" w:lineRule="auto"/>
              <w:jc w:val="left"/>
              <w:rPr>
                <w:rtl/>
              </w:rPr>
            </w:pPr>
            <w:r>
              <w:rPr>
                <w:rFonts w:hint="cs"/>
                <w:rtl/>
              </w:rPr>
              <w:t>ב.</w:t>
            </w:r>
            <w:r>
              <w:rPr>
                <w:rtl/>
              </w:rPr>
              <w:tab/>
            </w:r>
            <w:r w:rsidRPr="00D56E75">
              <w:rPr>
                <w:rFonts w:hint="eastAsia"/>
                <w:sz w:val="18"/>
                <w:szCs w:val="18"/>
                <w:rtl/>
              </w:rPr>
              <w:t>הפקדות</w:t>
            </w:r>
            <w:r w:rsidRPr="00D56E75">
              <w:rPr>
                <w:sz w:val="18"/>
                <w:szCs w:val="18"/>
                <w:rtl/>
              </w:rPr>
              <w:t xml:space="preserve"> </w:t>
            </w:r>
            <w:r w:rsidRPr="00D56E75">
              <w:rPr>
                <w:rFonts w:hint="eastAsia"/>
                <w:sz w:val="18"/>
                <w:szCs w:val="18"/>
                <w:rtl/>
              </w:rPr>
              <w:t>בתכניות</w:t>
            </w:r>
            <w:r w:rsidRPr="00D56E75">
              <w:rPr>
                <w:sz w:val="18"/>
                <w:szCs w:val="18"/>
                <w:rtl/>
              </w:rPr>
              <w:t xml:space="preserve"> </w:t>
            </w:r>
            <w:r w:rsidRPr="00D56E75">
              <w:rPr>
                <w:rFonts w:hint="eastAsia"/>
                <w:sz w:val="18"/>
                <w:szCs w:val="18"/>
                <w:rtl/>
              </w:rPr>
              <w:t>פנסיה</w:t>
            </w:r>
            <w:r w:rsidRPr="00D56E75">
              <w:rPr>
                <w:sz w:val="18"/>
                <w:szCs w:val="18"/>
                <w:rtl/>
              </w:rPr>
              <w:t xml:space="preserve"> </w:t>
            </w:r>
            <w:r w:rsidRPr="00D56E75">
              <w:rPr>
                <w:rFonts w:hint="eastAsia"/>
                <w:sz w:val="18"/>
                <w:szCs w:val="18"/>
                <w:rtl/>
              </w:rPr>
              <w:t>להטבה</w:t>
            </w:r>
            <w:r w:rsidRPr="00D56E75">
              <w:rPr>
                <w:sz w:val="18"/>
                <w:szCs w:val="18"/>
                <w:rtl/>
              </w:rPr>
              <w:t xml:space="preserve"> </w:t>
            </w:r>
            <w:r w:rsidRPr="00D56E75">
              <w:rPr>
                <w:rFonts w:hint="eastAsia"/>
                <w:sz w:val="18"/>
                <w:szCs w:val="18"/>
                <w:rtl/>
              </w:rPr>
              <w:t>מוגדרת</w:t>
            </w:r>
            <w:r w:rsidRPr="00D56E75">
              <w:rPr>
                <w:sz w:val="18"/>
                <w:szCs w:val="18"/>
                <w:rtl/>
              </w:rPr>
              <w:t>:</w:t>
            </w:r>
            <w:r w:rsidRPr="001A0C5B">
              <w:rPr>
                <w:sz w:val="18"/>
                <w:szCs w:val="18"/>
                <w:vertAlign w:val="superscript"/>
                <w:rtl/>
              </w:rPr>
              <w:t>[</w:t>
            </w:r>
            <w:r w:rsidRPr="001A0C5B">
              <w:rPr>
                <w:rStyle w:val="a7"/>
                <w:sz w:val="18"/>
                <w:szCs w:val="18"/>
                <w:rtl/>
              </w:rPr>
              <w:footnoteReference w:id="66"/>
            </w:r>
            <w:r w:rsidRPr="001A0C5B">
              <w:rPr>
                <w:sz w:val="18"/>
                <w:szCs w:val="18"/>
                <w:vertAlign w:val="superscript"/>
                <w:rtl/>
              </w:rPr>
              <w:t>]</w:t>
            </w:r>
          </w:p>
        </w:tc>
      </w:tr>
      <w:tr w:rsidR="006D22E3" w:rsidRPr="00BF11B9" w14:paraId="5589F10C" w14:textId="77777777" w:rsidTr="00D9322A">
        <w:trPr>
          <w:trHeight w:val="259"/>
        </w:trPr>
        <w:tc>
          <w:tcPr>
            <w:tcW w:w="1570" w:type="dxa"/>
            <w:vAlign w:val="bottom"/>
          </w:tcPr>
          <w:p w14:paraId="48F8008F" w14:textId="77777777" w:rsidR="006D22E3" w:rsidRPr="00BF11B9" w:rsidRDefault="006D22E3" w:rsidP="008C105D">
            <w:pPr>
              <w:pStyle w:val="-7"/>
              <w:spacing w:line="240" w:lineRule="auto"/>
              <w:jc w:val="center"/>
              <w:rPr>
                <w:sz w:val="18"/>
                <w:szCs w:val="18"/>
                <w:rtl/>
              </w:rPr>
            </w:pPr>
          </w:p>
        </w:tc>
        <w:tc>
          <w:tcPr>
            <w:tcW w:w="440" w:type="dxa"/>
            <w:vAlign w:val="bottom"/>
          </w:tcPr>
          <w:p w14:paraId="6D3A51AD" w14:textId="77777777" w:rsidR="006D22E3" w:rsidRPr="00D56E75" w:rsidRDefault="006D22E3" w:rsidP="008C105D">
            <w:pPr>
              <w:pStyle w:val="-7"/>
              <w:spacing w:line="240" w:lineRule="auto"/>
              <w:jc w:val="center"/>
              <w:rPr>
                <w:sz w:val="17"/>
                <w:szCs w:val="17"/>
                <w:rtl/>
              </w:rPr>
            </w:pPr>
          </w:p>
        </w:tc>
        <w:tc>
          <w:tcPr>
            <w:tcW w:w="2465" w:type="dxa"/>
            <w:vAlign w:val="bottom"/>
          </w:tcPr>
          <w:p w14:paraId="715C50FB" w14:textId="77777777" w:rsidR="006D22E3" w:rsidRPr="00D56E75" w:rsidRDefault="006D22E3" w:rsidP="008C105D">
            <w:pPr>
              <w:pStyle w:val="-0"/>
              <w:spacing w:line="240" w:lineRule="auto"/>
              <w:jc w:val="center"/>
              <w:rPr>
                <w:b/>
                <w:bCs/>
                <w:sz w:val="17"/>
                <w:szCs w:val="17"/>
                <w:rtl/>
              </w:rPr>
            </w:pPr>
          </w:p>
        </w:tc>
        <w:tc>
          <w:tcPr>
            <w:tcW w:w="995" w:type="dxa"/>
            <w:vAlign w:val="bottom"/>
          </w:tcPr>
          <w:p w14:paraId="7D9BA630" w14:textId="77777777" w:rsidR="006D22E3" w:rsidRPr="00D56E75" w:rsidRDefault="006D22E3" w:rsidP="008C105D">
            <w:pPr>
              <w:pStyle w:val="-4"/>
              <w:pBdr>
                <w:bottom w:val="single" w:sz="4" w:space="1" w:color="auto"/>
              </w:pBdr>
              <w:spacing w:line="240" w:lineRule="auto"/>
              <w:rPr>
                <w:sz w:val="17"/>
                <w:szCs w:val="17"/>
                <w:rtl/>
              </w:rPr>
            </w:pPr>
            <w:r w:rsidRPr="00D56E75">
              <w:rPr>
                <w:rFonts w:hint="eastAsia"/>
                <w:sz w:val="17"/>
                <w:szCs w:val="17"/>
                <w:rtl/>
              </w:rPr>
              <w:t>תחזית</w:t>
            </w:r>
            <w:r w:rsidRPr="00D56E75">
              <w:rPr>
                <w:sz w:val="17"/>
                <w:szCs w:val="17"/>
                <w:vertAlign w:val="superscript"/>
                <w:rtl/>
              </w:rPr>
              <w:t>(א)</w:t>
            </w:r>
          </w:p>
        </w:tc>
        <w:tc>
          <w:tcPr>
            <w:tcW w:w="4901" w:type="dxa"/>
            <w:gridSpan w:val="5"/>
            <w:vAlign w:val="bottom"/>
          </w:tcPr>
          <w:p w14:paraId="57438D20" w14:textId="77777777" w:rsidR="006D22E3" w:rsidRPr="00D56E75" w:rsidRDefault="006D22E3" w:rsidP="008C105D">
            <w:pPr>
              <w:pStyle w:val="-4"/>
              <w:spacing w:line="240" w:lineRule="auto"/>
              <w:rPr>
                <w:sz w:val="17"/>
                <w:szCs w:val="17"/>
                <w:rtl/>
              </w:rPr>
            </w:pPr>
            <w:r w:rsidRPr="00D56E75">
              <w:rPr>
                <w:rFonts w:hint="eastAsia"/>
                <w:sz w:val="17"/>
                <w:szCs w:val="17"/>
                <w:rtl/>
              </w:rPr>
              <w:t>הפקדות</w:t>
            </w:r>
            <w:r w:rsidRPr="00D56E75">
              <w:rPr>
                <w:sz w:val="17"/>
                <w:szCs w:val="17"/>
                <w:rtl/>
              </w:rPr>
              <w:t xml:space="preserve"> </w:t>
            </w:r>
            <w:r w:rsidRPr="00D56E75">
              <w:rPr>
                <w:rFonts w:hint="eastAsia"/>
                <w:sz w:val="17"/>
                <w:szCs w:val="17"/>
                <w:rtl/>
              </w:rPr>
              <w:t>בפועל</w:t>
            </w:r>
          </w:p>
        </w:tc>
      </w:tr>
      <w:tr w:rsidR="006D22E3" w:rsidRPr="00BF11B9" w14:paraId="67D1B320" w14:textId="77777777" w:rsidTr="00D9322A">
        <w:trPr>
          <w:trHeight w:val="259"/>
        </w:trPr>
        <w:tc>
          <w:tcPr>
            <w:tcW w:w="1570" w:type="dxa"/>
            <w:vAlign w:val="bottom"/>
          </w:tcPr>
          <w:p w14:paraId="27F12CD5" w14:textId="77777777" w:rsidR="006D22E3" w:rsidRPr="00BF11B9" w:rsidRDefault="006D22E3" w:rsidP="008C105D">
            <w:pPr>
              <w:pStyle w:val="-7"/>
              <w:spacing w:line="240" w:lineRule="auto"/>
              <w:jc w:val="center"/>
              <w:rPr>
                <w:sz w:val="18"/>
                <w:szCs w:val="18"/>
                <w:rtl/>
              </w:rPr>
            </w:pPr>
          </w:p>
        </w:tc>
        <w:tc>
          <w:tcPr>
            <w:tcW w:w="440" w:type="dxa"/>
            <w:vAlign w:val="bottom"/>
          </w:tcPr>
          <w:p w14:paraId="6A51A831" w14:textId="77777777" w:rsidR="006D22E3" w:rsidRPr="00D56E75" w:rsidRDefault="006D22E3" w:rsidP="008C105D">
            <w:pPr>
              <w:pStyle w:val="-7"/>
              <w:spacing w:line="240" w:lineRule="auto"/>
              <w:jc w:val="center"/>
              <w:rPr>
                <w:sz w:val="17"/>
                <w:szCs w:val="17"/>
                <w:rtl/>
              </w:rPr>
            </w:pPr>
          </w:p>
        </w:tc>
        <w:tc>
          <w:tcPr>
            <w:tcW w:w="2465" w:type="dxa"/>
            <w:vAlign w:val="bottom"/>
          </w:tcPr>
          <w:p w14:paraId="59AE3E36" w14:textId="77777777" w:rsidR="006D22E3" w:rsidRPr="00D56E75" w:rsidRDefault="006D22E3" w:rsidP="008C105D">
            <w:pPr>
              <w:pStyle w:val="-0"/>
              <w:spacing w:line="240" w:lineRule="auto"/>
              <w:jc w:val="center"/>
              <w:rPr>
                <w:b/>
                <w:bCs/>
                <w:sz w:val="17"/>
                <w:szCs w:val="17"/>
                <w:rtl/>
              </w:rPr>
            </w:pPr>
          </w:p>
        </w:tc>
        <w:tc>
          <w:tcPr>
            <w:tcW w:w="995" w:type="dxa"/>
            <w:vAlign w:val="bottom"/>
          </w:tcPr>
          <w:p w14:paraId="0C95725D" w14:textId="77777777" w:rsidR="006D22E3" w:rsidRPr="00D56E75" w:rsidRDefault="006D22E3" w:rsidP="008C105D">
            <w:pPr>
              <w:pStyle w:val="-4"/>
              <w:pBdr>
                <w:bottom w:val="single" w:sz="4" w:space="1" w:color="auto"/>
              </w:pBdr>
              <w:spacing w:line="240" w:lineRule="auto"/>
              <w:rPr>
                <w:sz w:val="17"/>
                <w:szCs w:val="17"/>
                <w:rtl/>
              </w:rPr>
            </w:pPr>
            <w:r w:rsidRPr="00D56E75">
              <w:rPr>
                <w:rFonts w:hint="eastAsia"/>
                <w:sz w:val="17"/>
                <w:szCs w:val="17"/>
                <w:rtl/>
              </w:rPr>
              <w:t>לשנת</w:t>
            </w:r>
          </w:p>
        </w:tc>
        <w:tc>
          <w:tcPr>
            <w:tcW w:w="1868" w:type="dxa"/>
            <w:gridSpan w:val="2"/>
            <w:vAlign w:val="bottom"/>
          </w:tcPr>
          <w:p w14:paraId="5C511DF8" w14:textId="77777777" w:rsidR="006D22E3" w:rsidRPr="00D56E75" w:rsidRDefault="006D22E3" w:rsidP="008C105D">
            <w:pPr>
              <w:pStyle w:val="-4"/>
              <w:spacing w:line="240" w:lineRule="auto"/>
              <w:rPr>
                <w:sz w:val="17"/>
                <w:szCs w:val="17"/>
                <w:rtl/>
              </w:rPr>
            </w:pPr>
            <w:r w:rsidRPr="00D56E75">
              <w:rPr>
                <w:rFonts w:hint="eastAsia"/>
                <w:sz w:val="17"/>
                <w:szCs w:val="17"/>
                <w:rtl/>
              </w:rPr>
              <w:t>לשלושה</w:t>
            </w:r>
            <w:r w:rsidRPr="00D56E75">
              <w:rPr>
                <w:sz w:val="17"/>
                <w:szCs w:val="17"/>
                <w:rtl/>
              </w:rPr>
              <w:t xml:space="preserve"> חודשים שהסתיימו ביום </w:t>
            </w:r>
            <w:r w:rsidRPr="00D56E75">
              <w:rPr>
                <w:sz w:val="17"/>
                <w:szCs w:val="17"/>
                <w:rtl/>
              </w:rPr>
              <w:br/>
              <w:t xml:space="preserve">30 </w:t>
            </w:r>
            <w:r w:rsidRPr="00D56E75">
              <w:rPr>
                <w:rFonts w:hint="eastAsia"/>
                <w:sz w:val="17"/>
                <w:szCs w:val="17"/>
                <w:rtl/>
              </w:rPr>
              <w:t>ביוני</w:t>
            </w:r>
          </w:p>
        </w:tc>
        <w:tc>
          <w:tcPr>
            <w:tcW w:w="1854" w:type="dxa"/>
            <w:gridSpan w:val="2"/>
            <w:vAlign w:val="bottom"/>
          </w:tcPr>
          <w:p w14:paraId="2EF7982C" w14:textId="77777777" w:rsidR="006D22E3" w:rsidRPr="00D56E75" w:rsidRDefault="006D22E3" w:rsidP="008C105D">
            <w:pPr>
              <w:pStyle w:val="-4"/>
              <w:spacing w:line="240" w:lineRule="auto"/>
              <w:rPr>
                <w:sz w:val="17"/>
                <w:szCs w:val="17"/>
                <w:rtl/>
              </w:rPr>
            </w:pPr>
            <w:r w:rsidRPr="00D56E75">
              <w:rPr>
                <w:rFonts w:hint="eastAsia"/>
                <w:sz w:val="17"/>
                <w:szCs w:val="17"/>
                <w:rtl/>
              </w:rPr>
              <w:t>לשישה</w:t>
            </w:r>
            <w:r w:rsidRPr="00D56E75">
              <w:rPr>
                <w:sz w:val="17"/>
                <w:szCs w:val="17"/>
                <w:rtl/>
              </w:rPr>
              <w:t xml:space="preserve"> חודשים שהסתיימו ביום </w:t>
            </w:r>
            <w:r w:rsidRPr="00D56E75">
              <w:rPr>
                <w:sz w:val="17"/>
                <w:szCs w:val="17"/>
                <w:rtl/>
              </w:rPr>
              <w:br/>
              <w:t xml:space="preserve">30 </w:t>
            </w:r>
            <w:r w:rsidRPr="00D56E75">
              <w:rPr>
                <w:rFonts w:hint="eastAsia"/>
                <w:sz w:val="17"/>
                <w:szCs w:val="17"/>
                <w:rtl/>
              </w:rPr>
              <w:t>ביוני</w:t>
            </w:r>
          </w:p>
        </w:tc>
        <w:tc>
          <w:tcPr>
            <w:tcW w:w="1179" w:type="dxa"/>
            <w:vAlign w:val="bottom"/>
          </w:tcPr>
          <w:p w14:paraId="6B95AB18" w14:textId="77777777" w:rsidR="00F32A2A" w:rsidRPr="00D56E75" w:rsidRDefault="006D22E3" w:rsidP="008C105D">
            <w:pPr>
              <w:pStyle w:val="-4"/>
              <w:spacing w:line="240" w:lineRule="auto"/>
              <w:rPr>
                <w:sz w:val="17"/>
                <w:szCs w:val="17"/>
                <w:rtl/>
              </w:rPr>
            </w:pPr>
            <w:r w:rsidRPr="00D56E75">
              <w:rPr>
                <w:rFonts w:hint="eastAsia"/>
                <w:sz w:val="17"/>
                <w:szCs w:val="17"/>
                <w:rtl/>
              </w:rPr>
              <w:t>לשנה</w:t>
            </w:r>
            <w:r w:rsidR="00E553B9" w:rsidRPr="00D56E75">
              <w:rPr>
                <w:sz w:val="17"/>
                <w:szCs w:val="17"/>
                <w:rtl/>
              </w:rPr>
              <w:t xml:space="preserve"> </w:t>
            </w:r>
            <w:r w:rsidRPr="00D56E75">
              <w:rPr>
                <w:rFonts w:hint="eastAsia"/>
                <w:sz w:val="17"/>
                <w:szCs w:val="17"/>
                <w:rtl/>
              </w:rPr>
              <w:t>שהסתיימה</w:t>
            </w:r>
            <w:r w:rsidR="00E553B9" w:rsidRPr="00D56E75">
              <w:rPr>
                <w:sz w:val="17"/>
                <w:szCs w:val="17"/>
                <w:rtl/>
              </w:rPr>
              <w:t xml:space="preserve"> </w:t>
            </w:r>
            <w:r w:rsidRPr="00D56E75">
              <w:rPr>
                <w:sz w:val="17"/>
                <w:szCs w:val="17"/>
                <w:rtl/>
              </w:rPr>
              <w:t xml:space="preserve">ביום </w:t>
            </w:r>
            <w:r w:rsidR="00380DF1" w:rsidRPr="00D56E75">
              <w:rPr>
                <w:sz w:val="17"/>
                <w:szCs w:val="17"/>
                <w:rtl/>
              </w:rPr>
              <w:br/>
            </w:r>
            <w:r w:rsidRPr="00D56E75">
              <w:rPr>
                <w:sz w:val="17"/>
                <w:szCs w:val="17"/>
                <w:rtl/>
              </w:rPr>
              <w:t>31</w:t>
            </w:r>
            <w:r w:rsidR="00380DF1" w:rsidRPr="00D56E75">
              <w:rPr>
                <w:sz w:val="17"/>
                <w:szCs w:val="17"/>
                <w:rtl/>
              </w:rPr>
              <w:t xml:space="preserve"> </w:t>
            </w:r>
            <w:r w:rsidRPr="00D56E75">
              <w:rPr>
                <w:rFonts w:hint="eastAsia"/>
                <w:sz w:val="17"/>
                <w:szCs w:val="17"/>
                <w:rtl/>
              </w:rPr>
              <w:t>בדצמבר</w:t>
            </w:r>
          </w:p>
        </w:tc>
      </w:tr>
      <w:tr w:rsidR="006D22E3" w:rsidRPr="00BF11B9" w14:paraId="1BFCA7B3" w14:textId="77777777" w:rsidTr="00D9322A">
        <w:trPr>
          <w:trHeight w:val="259"/>
        </w:trPr>
        <w:tc>
          <w:tcPr>
            <w:tcW w:w="1570" w:type="dxa"/>
            <w:vAlign w:val="bottom"/>
          </w:tcPr>
          <w:p w14:paraId="72D1B2C1" w14:textId="77777777" w:rsidR="006D22E3" w:rsidRPr="00BF11B9" w:rsidRDefault="006D22E3" w:rsidP="008C105D">
            <w:pPr>
              <w:pStyle w:val="-7"/>
              <w:spacing w:line="240" w:lineRule="auto"/>
              <w:jc w:val="center"/>
              <w:rPr>
                <w:sz w:val="18"/>
                <w:szCs w:val="18"/>
                <w:rtl/>
              </w:rPr>
            </w:pPr>
          </w:p>
        </w:tc>
        <w:tc>
          <w:tcPr>
            <w:tcW w:w="440" w:type="dxa"/>
            <w:vAlign w:val="bottom"/>
          </w:tcPr>
          <w:p w14:paraId="71C39809" w14:textId="77777777" w:rsidR="006D22E3" w:rsidRPr="00D56E75" w:rsidRDefault="006D22E3" w:rsidP="008C105D">
            <w:pPr>
              <w:pStyle w:val="-7"/>
              <w:spacing w:line="240" w:lineRule="auto"/>
              <w:jc w:val="center"/>
              <w:rPr>
                <w:sz w:val="17"/>
                <w:szCs w:val="17"/>
                <w:rtl/>
              </w:rPr>
            </w:pPr>
          </w:p>
        </w:tc>
        <w:tc>
          <w:tcPr>
            <w:tcW w:w="2465" w:type="dxa"/>
            <w:vAlign w:val="bottom"/>
          </w:tcPr>
          <w:p w14:paraId="77AC9045" w14:textId="77777777" w:rsidR="006D22E3" w:rsidRPr="00D56E75" w:rsidRDefault="006D22E3" w:rsidP="008C105D">
            <w:pPr>
              <w:pStyle w:val="-0"/>
              <w:spacing w:line="240" w:lineRule="auto"/>
              <w:jc w:val="center"/>
              <w:rPr>
                <w:b/>
                <w:bCs/>
                <w:sz w:val="17"/>
                <w:szCs w:val="17"/>
                <w:rtl/>
              </w:rPr>
            </w:pPr>
          </w:p>
        </w:tc>
        <w:tc>
          <w:tcPr>
            <w:tcW w:w="995" w:type="dxa"/>
            <w:vAlign w:val="bottom"/>
          </w:tcPr>
          <w:p w14:paraId="3227A2C6" w14:textId="464FB695" w:rsidR="006D22E3" w:rsidRPr="00D56E75" w:rsidRDefault="00EF2F8B" w:rsidP="008C105D">
            <w:pPr>
              <w:pStyle w:val="-4"/>
              <w:pBdr>
                <w:bottom w:val="single" w:sz="4" w:space="1" w:color="auto"/>
              </w:pBdr>
              <w:spacing w:line="240" w:lineRule="auto"/>
              <w:rPr>
                <w:sz w:val="17"/>
                <w:szCs w:val="17"/>
              </w:rPr>
            </w:pPr>
            <w:r w:rsidRPr="00D56E75">
              <w:rPr>
                <w:sz w:val="17"/>
                <w:szCs w:val="17"/>
                <w:rtl/>
              </w:rPr>
              <w:fldChar w:fldCharType="begin"/>
            </w:r>
            <w:r w:rsidRPr="00D56E75">
              <w:rPr>
                <w:sz w:val="17"/>
                <w:szCs w:val="17"/>
                <w:rtl/>
              </w:rPr>
              <w:instrText xml:space="preserve"> = </w:instrText>
            </w:r>
            <w:r w:rsidRPr="00D56E75">
              <w:rPr>
                <w:sz w:val="17"/>
                <w:szCs w:val="17"/>
              </w:rPr>
              <w:instrText>CY \* MERGEFORMAT</w:instrText>
            </w:r>
            <w:r w:rsidRPr="00D56E75">
              <w:rPr>
                <w:sz w:val="17"/>
                <w:szCs w:val="17"/>
                <w:rtl/>
              </w:rPr>
              <w:instrText xml:space="preserve"> </w:instrText>
            </w:r>
            <w:r w:rsidRPr="00D56E75">
              <w:rPr>
                <w:sz w:val="17"/>
                <w:szCs w:val="17"/>
                <w:rtl/>
              </w:rPr>
              <w:fldChar w:fldCharType="separate"/>
            </w:r>
            <w:r w:rsidR="003A584F">
              <w:rPr>
                <w:noProof/>
                <w:sz w:val="17"/>
                <w:szCs w:val="17"/>
                <w:rtl/>
              </w:rPr>
              <w:t>2024</w:t>
            </w:r>
            <w:r w:rsidRPr="00D56E75">
              <w:rPr>
                <w:sz w:val="17"/>
                <w:szCs w:val="17"/>
                <w:rtl/>
              </w:rPr>
              <w:fldChar w:fldCharType="end"/>
            </w:r>
          </w:p>
        </w:tc>
        <w:tc>
          <w:tcPr>
            <w:tcW w:w="886" w:type="dxa"/>
            <w:vAlign w:val="bottom"/>
          </w:tcPr>
          <w:p w14:paraId="359C5B93" w14:textId="0705C17F" w:rsidR="006D22E3" w:rsidRPr="00D56E75" w:rsidRDefault="00EF2F8B" w:rsidP="008C105D">
            <w:pPr>
              <w:pStyle w:val="-4"/>
              <w:pBdr>
                <w:bottom w:val="single" w:sz="4" w:space="1" w:color="auto"/>
              </w:pBdr>
              <w:spacing w:line="240" w:lineRule="auto"/>
              <w:rPr>
                <w:sz w:val="17"/>
                <w:szCs w:val="17"/>
              </w:rPr>
            </w:pPr>
            <w:r w:rsidRPr="00D56E75">
              <w:rPr>
                <w:sz w:val="17"/>
                <w:szCs w:val="17"/>
                <w:rtl/>
              </w:rPr>
              <w:fldChar w:fldCharType="begin"/>
            </w:r>
            <w:r w:rsidRPr="00D56E75">
              <w:rPr>
                <w:sz w:val="17"/>
                <w:szCs w:val="17"/>
                <w:rtl/>
              </w:rPr>
              <w:instrText xml:space="preserve"> = </w:instrText>
            </w:r>
            <w:r w:rsidRPr="00D56E75">
              <w:rPr>
                <w:sz w:val="17"/>
                <w:szCs w:val="17"/>
              </w:rPr>
              <w:instrText>CY \* MERGEFORMAT</w:instrText>
            </w:r>
            <w:r w:rsidRPr="00D56E75">
              <w:rPr>
                <w:sz w:val="17"/>
                <w:szCs w:val="17"/>
                <w:rtl/>
              </w:rPr>
              <w:instrText xml:space="preserve"> </w:instrText>
            </w:r>
            <w:r w:rsidRPr="00D56E75">
              <w:rPr>
                <w:sz w:val="17"/>
                <w:szCs w:val="17"/>
                <w:rtl/>
              </w:rPr>
              <w:fldChar w:fldCharType="separate"/>
            </w:r>
            <w:r w:rsidR="003A584F">
              <w:rPr>
                <w:noProof/>
                <w:sz w:val="17"/>
                <w:szCs w:val="17"/>
                <w:rtl/>
              </w:rPr>
              <w:t>2024</w:t>
            </w:r>
            <w:r w:rsidRPr="00D56E75">
              <w:rPr>
                <w:sz w:val="17"/>
                <w:szCs w:val="17"/>
                <w:rtl/>
              </w:rPr>
              <w:fldChar w:fldCharType="end"/>
            </w:r>
          </w:p>
        </w:tc>
        <w:tc>
          <w:tcPr>
            <w:tcW w:w="982" w:type="dxa"/>
            <w:vAlign w:val="bottom"/>
          </w:tcPr>
          <w:p w14:paraId="4A71E17B" w14:textId="6B01ECA4" w:rsidR="006D22E3" w:rsidRPr="00D56E75" w:rsidRDefault="00EF2F8B" w:rsidP="008C105D">
            <w:pPr>
              <w:pStyle w:val="-4"/>
              <w:spacing w:line="240" w:lineRule="auto"/>
              <w:rPr>
                <w:sz w:val="17"/>
                <w:szCs w:val="17"/>
                <w:rtl/>
              </w:rPr>
            </w:pPr>
            <w:r w:rsidRPr="00D56E75">
              <w:rPr>
                <w:sz w:val="17"/>
                <w:szCs w:val="17"/>
                <w:rtl/>
              </w:rPr>
              <w:fldChar w:fldCharType="begin"/>
            </w:r>
            <w:r w:rsidRPr="00D56E75">
              <w:rPr>
                <w:sz w:val="17"/>
                <w:szCs w:val="17"/>
                <w:rtl/>
              </w:rPr>
              <w:instrText xml:space="preserve"> = </w:instrText>
            </w:r>
            <w:r w:rsidRPr="00D56E75">
              <w:rPr>
                <w:sz w:val="17"/>
                <w:szCs w:val="17"/>
              </w:rPr>
              <w:instrText>CY-1 \* MERGEFORMAT</w:instrText>
            </w:r>
            <w:r w:rsidRPr="00D56E75">
              <w:rPr>
                <w:sz w:val="17"/>
                <w:szCs w:val="17"/>
                <w:rtl/>
              </w:rPr>
              <w:instrText xml:space="preserve"> </w:instrText>
            </w:r>
            <w:r w:rsidRPr="00D56E75">
              <w:rPr>
                <w:sz w:val="17"/>
                <w:szCs w:val="17"/>
                <w:rtl/>
              </w:rPr>
              <w:fldChar w:fldCharType="separate"/>
            </w:r>
            <w:r w:rsidR="003A584F">
              <w:rPr>
                <w:noProof/>
                <w:sz w:val="17"/>
                <w:szCs w:val="17"/>
                <w:rtl/>
              </w:rPr>
              <w:t>2023</w:t>
            </w:r>
            <w:r w:rsidRPr="00D56E75">
              <w:rPr>
                <w:sz w:val="17"/>
                <w:szCs w:val="17"/>
                <w:rtl/>
              </w:rPr>
              <w:fldChar w:fldCharType="end"/>
            </w:r>
          </w:p>
        </w:tc>
        <w:tc>
          <w:tcPr>
            <w:tcW w:w="913" w:type="dxa"/>
            <w:vAlign w:val="bottom"/>
          </w:tcPr>
          <w:p w14:paraId="0DE405AD" w14:textId="0ABB89E0" w:rsidR="006D22E3" w:rsidRPr="00D56E75" w:rsidRDefault="00EF2F8B" w:rsidP="008C105D">
            <w:pPr>
              <w:pStyle w:val="-4"/>
              <w:spacing w:line="240" w:lineRule="auto"/>
              <w:rPr>
                <w:sz w:val="17"/>
                <w:szCs w:val="17"/>
                <w:rtl/>
              </w:rPr>
            </w:pPr>
            <w:r w:rsidRPr="00D56E75">
              <w:rPr>
                <w:sz w:val="17"/>
                <w:szCs w:val="17"/>
                <w:rtl/>
              </w:rPr>
              <w:fldChar w:fldCharType="begin"/>
            </w:r>
            <w:r w:rsidRPr="00D56E75">
              <w:rPr>
                <w:sz w:val="17"/>
                <w:szCs w:val="17"/>
                <w:rtl/>
              </w:rPr>
              <w:instrText xml:space="preserve"> = </w:instrText>
            </w:r>
            <w:r w:rsidRPr="00D56E75">
              <w:rPr>
                <w:sz w:val="17"/>
                <w:szCs w:val="17"/>
              </w:rPr>
              <w:instrText>CY \* MERGEFORMAT</w:instrText>
            </w:r>
            <w:r w:rsidRPr="00D56E75">
              <w:rPr>
                <w:sz w:val="17"/>
                <w:szCs w:val="17"/>
                <w:rtl/>
              </w:rPr>
              <w:instrText xml:space="preserve"> </w:instrText>
            </w:r>
            <w:r w:rsidRPr="00D56E75">
              <w:rPr>
                <w:sz w:val="17"/>
                <w:szCs w:val="17"/>
                <w:rtl/>
              </w:rPr>
              <w:fldChar w:fldCharType="separate"/>
            </w:r>
            <w:r w:rsidR="003A584F">
              <w:rPr>
                <w:noProof/>
                <w:sz w:val="17"/>
                <w:szCs w:val="17"/>
                <w:rtl/>
              </w:rPr>
              <w:t>2024</w:t>
            </w:r>
            <w:r w:rsidRPr="00D56E75">
              <w:rPr>
                <w:sz w:val="17"/>
                <w:szCs w:val="17"/>
                <w:rtl/>
              </w:rPr>
              <w:fldChar w:fldCharType="end"/>
            </w:r>
          </w:p>
        </w:tc>
        <w:tc>
          <w:tcPr>
            <w:tcW w:w="941" w:type="dxa"/>
            <w:vAlign w:val="bottom"/>
          </w:tcPr>
          <w:p w14:paraId="7FBA7717" w14:textId="72C252FE" w:rsidR="006D22E3" w:rsidRPr="00D56E75" w:rsidRDefault="00EF2F8B" w:rsidP="008C105D">
            <w:pPr>
              <w:pStyle w:val="-4"/>
              <w:spacing w:line="240" w:lineRule="auto"/>
              <w:rPr>
                <w:sz w:val="17"/>
                <w:szCs w:val="17"/>
                <w:rtl/>
              </w:rPr>
            </w:pPr>
            <w:r w:rsidRPr="00D56E75">
              <w:rPr>
                <w:sz w:val="17"/>
                <w:szCs w:val="17"/>
                <w:rtl/>
              </w:rPr>
              <w:fldChar w:fldCharType="begin"/>
            </w:r>
            <w:r w:rsidRPr="00D56E75">
              <w:rPr>
                <w:sz w:val="17"/>
                <w:szCs w:val="17"/>
                <w:rtl/>
              </w:rPr>
              <w:instrText xml:space="preserve"> = </w:instrText>
            </w:r>
            <w:r w:rsidRPr="00D56E75">
              <w:rPr>
                <w:sz w:val="17"/>
                <w:szCs w:val="17"/>
              </w:rPr>
              <w:instrText>CY-1 \* MERGEFORMAT</w:instrText>
            </w:r>
            <w:r w:rsidRPr="00D56E75">
              <w:rPr>
                <w:sz w:val="17"/>
                <w:szCs w:val="17"/>
                <w:rtl/>
              </w:rPr>
              <w:instrText xml:space="preserve"> </w:instrText>
            </w:r>
            <w:r w:rsidRPr="00D56E75">
              <w:rPr>
                <w:sz w:val="17"/>
                <w:szCs w:val="17"/>
                <w:rtl/>
              </w:rPr>
              <w:fldChar w:fldCharType="separate"/>
            </w:r>
            <w:r w:rsidR="003A584F">
              <w:rPr>
                <w:noProof/>
                <w:sz w:val="17"/>
                <w:szCs w:val="17"/>
                <w:rtl/>
              </w:rPr>
              <w:t>2023</w:t>
            </w:r>
            <w:r w:rsidRPr="00D56E75">
              <w:rPr>
                <w:sz w:val="17"/>
                <w:szCs w:val="17"/>
                <w:rtl/>
              </w:rPr>
              <w:fldChar w:fldCharType="end"/>
            </w:r>
          </w:p>
        </w:tc>
        <w:tc>
          <w:tcPr>
            <w:tcW w:w="1179" w:type="dxa"/>
            <w:vAlign w:val="bottom"/>
          </w:tcPr>
          <w:p w14:paraId="2F77A4DE" w14:textId="4E0EC42D" w:rsidR="006D22E3" w:rsidRPr="00D56E75" w:rsidRDefault="00EF2F8B" w:rsidP="008C105D">
            <w:pPr>
              <w:pStyle w:val="-4"/>
              <w:spacing w:line="240" w:lineRule="auto"/>
              <w:rPr>
                <w:sz w:val="17"/>
                <w:szCs w:val="17"/>
                <w:rtl/>
              </w:rPr>
            </w:pPr>
            <w:r w:rsidRPr="00D56E75">
              <w:rPr>
                <w:sz w:val="17"/>
                <w:szCs w:val="17"/>
                <w:rtl/>
              </w:rPr>
              <w:fldChar w:fldCharType="begin"/>
            </w:r>
            <w:r w:rsidRPr="00D56E75">
              <w:rPr>
                <w:sz w:val="17"/>
                <w:szCs w:val="17"/>
                <w:rtl/>
              </w:rPr>
              <w:instrText xml:space="preserve"> = </w:instrText>
            </w:r>
            <w:r w:rsidRPr="00D56E75">
              <w:rPr>
                <w:sz w:val="17"/>
                <w:szCs w:val="17"/>
              </w:rPr>
              <w:instrText>CY-1 \* MERGEFORMAT</w:instrText>
            </w:r>
            <w:r w:rsidRPr="00D56E75">
              <w:rPr>
                <w:sz w:val="17"/>
                <w:szCs w:val="17"/>
                <w:rtl/>
              </w:rPr>
              <w:instrText xml:space="preserve"> </w:instrText>
            </w:r>
            <w:r w:rsidRPr="00D56E75">
              <w:rPr>
                <w:sz w:val="17"/>
                <w:szCs w:val="17"/>
                <w:rtl/>
              </w:rPr>
              <w:fldChar w:fldCharType="separate"/>
            </w:r>
            <w:r w:rsidR="003A584F">
              <w:rPr>
                <w:noProof/>
                <w:sz w:val="17"/>
                <w:szCs w:val="17"/>
                <w:rtl/>
              </w:rPr>
              <w:t>2023</w:t>
            </w:r>
            <w:r w:rsidRPr="00D56E75">
              <w:rPr>
                <w:sz w:val="17"/>
                <w:szCs w:val="17"/>
                <w:rtl/>
              </w:rPr>
              <w:fldChar w:fldCharType="end"/>
            </w:r>
          </w:p>
        </w:tc>
      </w:tr>
      <w:tr w:rsidR="006D22E3" w:rsidRPr="00BF11B9" w14:paraId="3E108A5A" w14:textId="77777777" w:rsidTr="00D9322A">
        <w:trPr>
          <w:trHeight w:val="259"/>
        </w:trPr>
        <w:tc>
          <w:tcPr>
            <w:tcW w:w="1570" w:type="dxa"/>
            <w:vAlign w:val="bottom"/>
          </w:tcPr>
          <w:p w14:paraId="46BA49B4" w14:textId="77777777" w:rsidR="006D22E3" w:rsidRPr="00BF11B9" w:rsidRDefault="006D22E3" w:rsidP="008C105D">
            <w:pPr>
              <w:pStyle w:val="-7"/>
              <w:spacing w:line="240" w:lineRule="auto"/>
              <w:jc w:val="center"/>
              <w:rPr>
                <w:sz w:val="18"/>
                <w:szCs w:val="18"/>
                <w:rtl/>
              </w:rPr>
            </w:pPr>
          </w:p>
        </w:tc>
        <w:tc>
          <w:tcPr>
            <w:tcW w:w="440" w:type="dxa"/>
            <w:vAlign w:val="bottom"/>
          </w:tcPr>
          <w:p w14:paraId="73AA69C3" w14:textId="77777777" w:rsidR="006D22E3" w:rsidRPr="00D56E75" w:rsidRDefault="006D22E3" w:rsidP="008C105D">
            <w:pPr>
              <w:pStyle w:val="-7"/>
              <w:spacing w:line="240" w:lineRule="auto"/>
              <w:jc w:val="center"/>
              <w:rPr>
                <w:sz w:val="17"/>
                <w:szCs w:val="17"/>
                <w:rtl/>
              </w:rPr>
            </w:pPr>
          </w:p>
        </w:tc>
        <w:tc>
          <w:tcPr>
            <w:tcW w:w="2465" w:type="dxa"/>
            <w:vAlign w:val="bottom"/>
          </w:tcPr>
          <w:p w14:paraId="6BA842D7" w14:textId="77777777" w:rsidR="006D22E3" w:rsidRPr="00D56E75" w:rsidRDefault="006D22E3" w:rsidP="008C105D">
            <w:pPr>
              <w:pStyle w:val="-0"/>
              <w:spacing w:line="240" w:lineRule="auto"/>
              <w:jc w:val="center"/>
              <w:rPr>
                <w:b/>
                <w:bCs/>
                <w:sz w:val="17"/>
                <w:szCs w:val="17"/>
                <w:rtl/>
              </w:rPr>
            </w:pPr>
          </w:p>
        </w:tc>
        <w:tc>
          <w:tcPr>
            <w:tcW w:w="995" w:type="dxa"/>
            <w:vAlign w:val="bottom"/>
          </w:tcPr>
          <w:p w14:paraId="31192C9D" w14:textId="77777777" w:rsidR="006D22E3" w:rsidRPr="00D56E75" w:rsidRDefault="006D22E3" w:rsidP="008C105D">
            <w:pPr>
              <w:pStyle w:val="-4"/>
              <w:pBdr>
                <w:bottom w:val="none" w:sz="0" w:space="0" w:color="auto"/>
              </w:pBdr>
              <w:spacing w:line="240" w:lineRule="auto"/>
              <w:rPr>
                <w:sz w:val="17"/>
                <w:szCs w:val="17"/>
                <w:rtl/>
              </w:rPr>
            </w:pPr>
          </w:p>
        </w:tc>
        <w:tc>
          <w:tcPr>
            <w:tcW w:w="1868" w:type="dxa"/>
            <w:gridSpan w:val="2"/>
            <w:vAlign w:val="bottom"/>
          </w:tcPr>
          <w:p w14:paraId="2DD15C47" w14:textId="77777777" w:rsidR="006D22E3" w:rsidRPr="00D56E75" w:rsidRDefault="006D22E3" w:rsidP="008C105D">
            <w:pPr>
              <w:pStyle w:val="-4"/>
              <w:spacing w:line="240" w:lineRule="auto"/>
              <w:rPr>
                <w:sz w:val="17"/>
                <w:szCs w:val="17"/>
                <w:rtl/>
              </w:rPr>
            </w:pPr>
            <w:r w:rsidRPr="00D56E75">
              <w:rPr>
                <w:rFonts w:hint="eastAsia"/>
                <w:sz w:val="17"/>
                <w:szCs w:val="17"/>
                <w:rtl/>
              </w:rPr>
              <w:t>בלתי</w:t>
            </w:r>
            <w:r w:rsidRPr="00D56E75">
              <w:rPr>
                <w:sz w:val="17"/>
                <w:szCs w:val="17"/>
                <w:rtl/>
              </w:rPr>
              <w:t xml:space="preserve"> </w:t>
            </w:r>
            <w:r w:rsidRPr="00D56E75">
              <w:rPr>
                <w:rFonts w:hint="eastAsia"/>
                <w:sz w:val="17"/>
                <w:szCs w:val="17"/>
                <w:rtl/>
              </w:rPr>
              <w:t>מבוקר</w:t>
            </w:r>
          </w:p>
        </w:tc>
        <w:tc>
          <w:tcPr>
            <w:tcW w:w="1854" w:type="dxa"/>
            <w:gridSpan w:val="2"/>
            <w:vAlign w:val="bottom"/>
          </w:tcPr>
          <w:p w14:paraId="53CDD015" w14:textId="77777777" w:rsidR="006D22E3" w:rsidRPr="00D56E75" w:rsidRDefault="006D22E3" w:rsidP="008C105D">
            <w:pPr>
              <w:pStyle w:val="-4"/>
              <w:spacing w:line="240" w:lineRule="auto"/>
              <w:rPr>
                <w:sz w:val="17"/>
                <w:szCs w:val="17"/>
                <w:rtl/>
              </w:rPr>
            </w:pPr>
            <w:r w:rsidRPr="00D56E75">
              <w:rPr>
                <w:rFonts w:hint="eastAsia"/>
                <w:sz w:val="17"/>
                <w:szCs w:val="17"/>
                <w:rtl/>
              </w:rPr>
              <w:t>בלתי</w:t>
            </w:r>
            <w:r w:rsidRPr="00D56E75">
              <w:rPr>
                <w:sz w:val="17"/>
                <w:szCs w:val="17"/>
                <w:rtl/>
              </w:rPr>
              <w:t xml:space="preserve"> </w:t>
            </w:r>
            <w:r w:rsidRPr="00D56E75">
              <w:rPr>
                <w:rFonts w:hint="eastAsia"/>
                <w:sz w:val="17"/>
                <w:szCs w:val="17"/>
                <w:rtl/>
              </w:rPr>
              <w:t>מבוקר</w:t>
            </w:r>
          </w:p>
        </w:tc>
        <w:tc>
          <w:tcPr>
            <w:tcW w:w="1179" w:type="dxa"/>
            <w:vAlign w:val="bottom"/>
          </w:tcPr>
          <w:p w14:paraId="19B489A0" w14:textId="77777777" w:rsidR="006D22E3" w:rsidRPr="00D56E75" w:rsidRDefault="006D22E3" w:rsidP="008C105D">
            <w:pPr>
              <w:pStyle w:val="-4"/>
              <w:spacing w:line="240" w:lineRule="auto"/>
              <w:rPr>
                <w:sz w:val="17"/>
                <w:szCs w:val="17"/>
                <w:rtl/>
              </w:rPr>
            </w:pPr>
            <w:r w:rsidRPr="00D56E75">
              <w:rPr>
                <w:rFonts w:hint="eastAsia"/>
                <w:sz w:val="17"/>
                <w:szCs w:val="17"/>
                <w:rtl/>
              </w:rPr>
              <w:t>מבוקר</w:t>
            </w:r>
          </w:p>
        </w:tc>
      </w:tr>
      <w:tr w:rsidR="006D22E3" w:rsidRPr="00BF11B9" w14:paraId="1EDD19B0" w14:textId="77777777" w:rsidTr="00D9322A">
        <w:trPr>
          <w:trHeight w:val="283"/>
        </w:trPr>
        <w:tc>
          <w:tcPr>
            <w:tcW w:w="1570" w:type="dxa"/>
          </w:tcPr>
          <w:p w14:paraId="32A7030E" w14:textId="77777777" w:rsidR="006D22E3" w:rsidRPr="00E95B49" w:rsidRDefault="006D22E3" w:rsidP="006F3019">
            <w:pPr>
              <w:pStyle w:val="-7"/>
              <w:jc w:val="left"/>
              <w:rPr>
                <w:sz w:val="17"/>
                <w:szCs w:val="17"/>
                <w:rtl/>
              </w:rPr>
            </w:pPr>
          </w:p>
        </w:tc>
        <w:tc>
          <w:tcPr>
            <w:tcW w:w="440" w:type="dxa"/>
            <w:vAlign w:val="bottom"/>
          </w:tcPr>
          <w:p w14:paraId="4C2CFBB0" w14:textId="77777777" w:rsidR="006D22E3" w:rsidRPr="00E95B49" w:rsidRDefault="006D22E3" w:rsidP="006F3019">
            <w:pPr>
              <w:pStyle w:val="-7"/>
              <w:jc w:val="left"/>
              <w:rPr>
                <w:sz w:val="17"/>
                <w:szCs w:val="17"/>
                <w:rtl/>
              </w:rPr>
            </w:pPr>
          </w:p>
        </w:tc>
        <w:tc>
          <w:tcPr>
            <w:tcW w:w="2465" w:type="dxa"/>
            <w:vAlign w:val="bottom"/>
          </w:tcPr>
          <w:p w14:paraId="74C07357" w14:textId="77777777" w:rsidR="006D22E3" w:rsidRPr="00E95B49" w:rsidRDefault="006D22E3" w:rsidP="006F3019">
            <w:pPr>
              <w:pStyle w:val="-0"/>
              <w:spacing w:line="240" w:lineRule="auto"/>
              <w:ind w:left="0" w:firstLine="0"/>
              <w:rPr>
                <w:sz w:val="17"/>
                <w:szCs w:val="17"/>
                <w:rtl/>
              </w:rPr>
            </w:pPr>
            <w:r w:rsidRPr="00E95B49">
              <w:rPr>
                <w:rFonts w:hint="eastAsia"/>
                <w:sz w:val="17"/>
                <w:szCs w:val="17"/>
                <w:rtl/>
              </w:rPr>
              <w:t>הפקדות</w:t>
            </w:r>
          </w:p>
        </w:tc>
        <w:tc>
          <w:tcPr>
            <w:tcW w:w="995" w:type="dxa"/>
            <w:vAlign w:val="bottom"/>
          </w:tcPr>
          <w:p w14:paraId="1615B9BC" w14:textId="77777777" w:rsidR="006D22E3" w:rsidRPr="00E95B49" w:rsidRDefault="006D22E3" w:rsidP="006F3019">
            <w:pPr>
              <w:pStyle w:val="-7"/>
              <w:jc w:val="left"/>
              <w:rPr>
                <w:sz w:val="17"/>
                <w:szCs w:val="17"/>
                <w:rtl/>
              </w:rPr>
            </w:pPr>
            <w:r w:rsidRPr="00E95B49">
              <w:rPr>
                <w:sz w:val="17"/>
                <w:szCs w:val="17"/>
                <w:rtl/>
              </w:rPr>
              <w:t>0</w:t>
            </w:r>
          </w:p>
        </w:tc>
        <w:tc>
          <w:tcPr>
            <w:tcW w:w="886" w:type="dxa"/>
            <w:vAlign w:val="bottom"/>
          </w:tcPr>
          <w:p w14:paraId="5A830EC7" w14:textId="77777777" w:rsidR="006D22E3" w:rsidRPr="00E95B49" w:rsidRDefault="006D22E3" w:rsidP="006F3019">
            <w:pPr>
              <w:pStyle w:val="-7"/>
              <w:jc w:val="left"/>
              <w:rPr>
                <w:sz w:val="17"/>
                <w:szCs w:val="17"/>
                <w:rtl/>
              </w:rPr>
            </w:pPr>
            <w:r w:rsidRPr="00E95B49">
              <w:rPr>
                <w:sz w:val="17"/>
                <w:szCs w:val="17"/>
                <w:rtl/>
              </w:rPr>
              <w:t>0</w:t>
            </w:r>
          </w:p>
        </w:tc>
        <w:tc>
          <w:tcPr>
            <w:tcW w:w="982" w:type="dxa"/>
            <w:vAlign w:val="bottom"/>
          </w:tcPr>
          <w:p w14:paraId="70DACBF2" w14:textId="77777777" w:rsidR="006D22E3" w:rsidRPr="00E95B49" w:rsidRDefault="006D22E3" w:rsidP="006F3019">
            <w:pPr>
              <w:pStyle w:val="-7"/>
              <w:jc w:val="left"/>
              <w:rPr>
                <w:sz w:val="17"/>
                <w:szCs w:val="17"/>
                <w:rtl/>
              </w:rPr>
            </w:pPr>
            <w:r w:rsidRPr="00E95B49">
              <w:rPr>
                <w:sz w:val="17"/>
                <w:szCs w:val="17"/>
                <w:rtl/>
              </w:rPr>
              <w:t>0</w:t>
            </w:r>
          </w:p>
        </w:tc>
        <w:tc>
          <w:tcPr>
            <w:tcW w:w="913" w:type="dxa"/>
            <w:vAlign w:val="bottom"/>
          </w:tcPr>
          <w:p w14:paraId="14CEF316" w14:textId="77777777" w:rsidR="006D22E3" w:rsidRPr="00E95B49" w:rsidRDefault="006D22E3" w:rsidP="006F3019">
            <w:pPr>
              <w:pStyle w:val="-7"/>
              <w:jc w:val="left"/>
              <w:rPr>
                <w:sz w:val="17"/>
                <w:szCs w:val="17"/>
                <w:rtl/>
              </w:rPr>
            </w:pPr>
            <w:r w:rsidRPr="00E95B49">
              <w:rPr>
                <w:sz w:val="17"/>
                <w:szCs w:val="17"/>
                <w:rtl/>
              </w:rPr>
              <w:t>0</w:t>
            </w:r>
          </w:p>
        </w:tc>
        <w:tc>
          <w:tcPr>
            <w:tcW w:w="941" w:type="dxa"/>
            <w:vAlign w:val="bottom"/>
          </w:tcPr>
          <w:p w14:paraId="62504352" w14:textId="77777777" w:rsidR="006D22E3" w:rsidRPr="00E95B49" w:rsidRDefault="006D22E3" w:rsidP="006F3019">
            <w:pPr>
              <w:pStyle w:val="-7"/>
              <w:jc w:val="left"/>
              <w:rPr>
                <w:sz w:val="17"/>
                <w:szCs w:val="17"/>
                <w:rtl/>
              </w:rPr>
            </w:pPr>
            <w:r w:rsidRPr="00E95B49">
              <w:rPr>
                <w:sz w:val="17"/>
                <w:szCs w:val="17"/>
                <w:rtl/>
              </w:rPr>
              <w:t>0</w:t>
            </w:r>
          </w:p>
        </w:tc>
        <w:tc>
          <w:tcPr>
            <w:tcW w:w="1179" w:type="dxa"/>
            <w:vAlign w:val="bottom"/>
          </w:tcPr>
          <w:p w14:paraId="3C3380B3" w14:textId="77777777" w:rsidR="006D22E3" w:rsidRPr="00E95B49" w:rsidRDefault="006D22E3" w:rsidP="006F3019">
            <w:pPr>
              <w:pStyle w:val="-7"/>
              <w:jc w:val="left"/>
              <w:rPr>
                <w:sz w:val="17"/>
                <w:szCs w:val="17"/>
                <w:rtl/>
              </w:rPr>
            </w:pPr>
            <w:r w:rsidRPr="00E95B49">
              <w:rPr>
                <w:sz w:val="17"/>
                <w:szCs w:val="17"/>
                <w:rtl/>
              </w:rPr>
              <w:t>0</w:t>
            </w:r>
          </w:p>
        </w:tc>
      </w:tr>
    </w:tbl>
    <w:p w14:paraId="457AA2DA" w14:textId="77777777" w:rsidR="001A0C5B" w:rsidRDefault="001A0C5B"/>
    <w:tbl>
      <w:tblPr>
        <w:bidiVisual/>
        <w:tblW w:w="10371" w:type="dxa"/>
        <w:tblLayout w:type="fixed"/>
        <w:tblLook w:val="01E0" w:firstRow="1" w:lastRow="1" w:firstColumn="1" w:lastColumn="1" w:noHBand="0" w:noVBand="0"/>
      </w:tblPr>
      <w:tblGrid>
        <w:gridCol w:w="1570"/>
        <w:gridCol w:w="440"/>
        <w:gridCol w:w="8361"/>
      </w:tblGrid>
      <w:tr w:rsidR="006D22E3" w:rsidRPr="00BF11B9" w14:paraId="13477FCD" w14:textId="77777777" w:rsidTr="00D9322A">
        <w:tc>
          <w:tcPr>
            <w:tcW w:w="1570" w:type="dxa"/>
          </w:tcPr>
          <w:p w14:paraId="53B29E7A" w14:textId="77777777" w:rsidR="006D22E3" w:rsidRDefault="006D22E3" w:rsidP="006F3019">
            <w:pPr>
              <w:pStyle w:val="-7"/>
              <w:bidi w:val="0"/>
              <w:spacing w:line="240" w:lineRule="auto"/>
              <w:rPr>
                <w:sz w:val="18"/>
                <w:szCs w:val="18"/>
                <w:rtl/>
              </w:rPr>
            </w:pPr>
          </w:p>
        </w:tc>
        <w:tc>
          <w:tcPr>
            <w:tcW w:w="440" w:type="dxa"/>
            <w:vAlign w:val="bottom"/>
          </w:tcPr>
          <w:p w14:paraId="0676A263" w14:textId="77777777" w:rsidR="006D22E3" w:rsidRDefault="006D22E3" w:rsidP="006F3019">
            <w:pPr>
              <w:pStyle w:val="-7"/>
              <w:bidi w:val="0"/>
              <w:spacing w:line="240" w:lineRule="auto"/>
              <w:rPr>
                <w:sz w:val="18"/>
                <w:szCs w:val="18"/>
                <w:rtl/>
              </w:rPr>
            </w:pPr>
          </w:p>
        </w:tc>
        <w:tc>
          <w:tcPr>
            <w:tcW w:w="8361" w:type="dxa"/>
            <w:vAlign w:val="bottom"/>
          </w:tcPr>
          <w:p w14:paraId="1040714E" w14:textId="467E3A11" w:rsidR="006D22E3" w:rsidRDefault="006D22E3" w:rsidP="001977FC">
            <w:pPr>
              <w:pStyle w:val="-7"/>
              <w:spacing w:line="240" w:lineRule="auto"/>
              <w:rPr>
                <w:rtl/>
              </w:rPr>
            </w:pPr>
            <w:r w:rsidRPr="009D55C0">
              <w:rPr>
                <w:b/>
                <w:bCs/>
                <w:sz w:val="18"/>
                <w:szCs w:val="18"/>
                <w:rtl/>
              </w:rPr>
              <w:t>(א)</w:t>
            </w:r>
            <w:r w:rsidRPr="009D55C0">
              <w:rPr>
                <w:sz w:val="18"/>
                <w:szCs w:val="18"/>
                <w:rtl/>
              </w:rPr>
              <w:tab/>
            </w:r>
            <w:r w:rsidRPr="009D55C0">
              <w:rPr>
                <w:rFonts w:hint="eastAsia"/>
                <w:sz w:val="18"/>
                <w:szCs w:val="18"/>
                <w:rtl/>
              </w:rPr>
              <w:t>אומדן</w:t>
            </w:r>
            <w:r w:rsidRPr="009D55C0">
              <w:rPr>
                <w:sz w:val="18"/>
                <w:szCs w:val="18"/>
                <w:rtl/>
              </w:rPr>
              <w:t xml:space="preserve"> </w:t>
            </w:r>
            <w:r w:rsidRPr="009D55C0">
              <w:rPr>
                <w:rFonts w:hint="eastAsia"/>
                <w:sz w:val="18"/>
                <w:szCs w:val="18"/>
                <w:rtl/>
              </w:rPr>
              <w:t>הפקדות</w:t>
            </w:r>
            <w:r w:rsidRPr="009D55C0">
              <w:rPr>
                <w:sz w:val="18"/>
                <w:szCs w:val="18"/>
                <w:rtl/>
              </w:rPr>
              <w:t xml:space="preserve"> </w:t>
            </w:r>
            <w:r w:rsidRPr="009D55C0">
              <w:rPr>
                <w:rFonts w:hint="eastAsia"/>
                <w:sz w:val="18"/>
                <w:szCs w:val="18"/>
                <w:rtl/>
              </w:rPr>
              <w:t>שצפוי</w:t>
            </w:r>
            <w:r w:rsidRPr="009D55C0">
              <w:rPr>
                <w:sz w:val="18"/>
                <w:szCs w:val="18"/>
                <w:rtl/>
              </w:rPr>
              <w:t xml:space="preserve"> </w:t>
            </w:r>
            <w:r w:rsidRPr="009D55C0">
              <w:rPr>
                <w:rFonts w:hint="eastAsia"/>
                <w:sz w:val="18"/>
                <w:szCs w:val="18"/>
                <w:rtl/>
              </w:rPr>
              <w:t>לשלמן</w:t>
            </w:r>
            <w:r w:rsidRPr="009D55C0">
              <w:rPr>
                <w:sz w:val="18"/>
                <w:szCs w:val="18"/>
                <w:rtl/>
              </w:rPr>
              <w:t xml:space="preserve"> </w:t>
            </w:r>
            <w:r w:rsidRPr="009D55C0">
              <w:rPr>
                <w:rFonts w:hint="eastAsia"/>
                <w:sz w:val="18"/>
                <w:szCs w:val="18"/>
                <w:rtl/>
              </w:rPr>
              <w:t>לתכניות</w:t>
            </w:r>
            <w:r w:rsidRPr="009D55C0">
              <w:rPr>
                <w:sz w:val="18"/>
                <w:szCs w:val="18"/>
                <w:rtl/>
              </w:rPr>
              <w:t xml:space="preserve"> </w:t>
            </w:r>
            <w:r w:rsidRPr="009D55C0">
              <w:rPr>
                <w:rFonts w:hint="eastAsia"/>
                <w:sz w:val="18"/>
                <w:szCs w:val="18"/>
                <w:rtl/>
              </w:rPr>
              <w:t>פנסיה</w:t>
            </w:r>
            <w:r w:rsidRPr="009D55C0">
              <w:rPr>
                <w:sz w:val="18"/>
                <w:szCs w:val="18"/>
                <w:rtl/>
              </w:rPr>
              <w:t xml:space="preserve"> </w:t>
            </w:r>
            <w:r w:rsidRPr="005D069C">
              <w:rPr>
                <w:rFonts w:hint="eastAsia"/>
                <w:sz w:val="18"/>
                <w:szCs w:val="18"/>
                <w:rtl/>
              </w:rPr>
              <w:t>להטבה</w:t>
            </w:r>
            <w:r w:rsidRPr="005D069C">
              <w:rPr>
                <w:sz w:val="18"/>
                <w:szCs w:val="18"/>
                <w:rtl/>
              </w:rPr>
              <w:t xml:space="preserve"> </w:t>
            </w:r>
            <w:r w:rsidRPr="005D069C">
              <w:rPr>
                <w:rFonts w:hint="eastAsia"/>
                <w:sz w:val="18"/>
                <w:szCs w:val="18"/>
                <w:rtl/>
              </w:rPr>
              <w:t>מוגדרת</w:t>
            </w:r>
            <w:r w:rsidRPr="005D069C">
              <w:rPr>
                <w:sz w:val="18"/>
                <w:szCs w:val="18"/>
                <w:rtl/>
              </w:rPr>
              <w:t xml:space="preserve"> </w:t>
            </w:r>
            <w:r w:rsidRPr="005D069C">
              <w:rPr>
                <w:rFonts w:hint="eastAsia"/>
                <w:sz w:val="18"/>
                <w:szCs w:val="18"/>
                <w:rtl/>
              </w:rPr>
              <w:t>במהלך</w:t>
            </w:r>
            <w:r w:rsidRPr="005D069C">
              <w:rPr>
                <w:sz w:val="18"/>
                <w:szCs w:val="18"/>
                <w:rtl/>
              </w:rPr>
              <w:t xml:space="preserve"> </w:t>
            </w:r>
            <w:r w:rsidRPr="005D069C">
              <w:rPr>
                <w:rFonts w:hint="eastAsia"/>
                <w:sz w:val="18"/>
                <w:szCs w:val="18"/>
                <w:rtl/>
              </w:rPr>
              <w:t>יתרת</w:t>
            </w:r>
            <w:r w:rsidRPr="005D069C">
              <w:rPr>
                <w:sz w:val="18"/>
                <w:szCs w:val="18"/>
                <w:rtl/>
              </w:rPr>
              <w:t xml:space="preserve"> </w:t>
            </w:r>
            <w:r w:rsidRPr="005D069C">
              <w:rPr>
                <w:rFonts w:hint="eastAsia"/>
                <w:sz w:val="18"/>
                <w:szCs w:val="18"/>
                <w:rtl/>
              </w:rPr>
              <w:t>שנת</w:t>
            </w:r>
            <w:r w:rsidRPr="005D069C">
              <w:rPr>
                <w:sz w:val="18"/>
                <w:szCs w:val="18"/>
                <w:rtl/>
              </w:rPr>
              <w:t xml:space="preserve"> </w:t>
            </w:r>
            <w:r w:rsidR="00E23A67" w:rsidRPr="005D069C">
              <w:rPr>
                <w:sz w:val="18"/>
                <w:szCs w:val="18"/>
                <w:rtl/>
              </w:rPr>
              <w:fldChar w:fldCharType="begin"/>
            </w:r>
            <w:r w:rsidR="00E23A67" w:rsidRPr="005D069C">
              <w:rPr>
                <w:sz w:val="18"/>
                <w:szCs w:val="18"/>
                <w:rtl/>
              </w:rPr>
              <w:instrText xml:space="preserve"> </w:instrText>
            </w:r>
            <w:r w:rsidR="00E23A67" w:rsidRPr="005D069C">
              <w:rPr>
                <w:rFonts w:hint="cs"/>
                <w:sz w:val="18"/>
                <w:szCs w:val="18"/>
                <w:rtl/>
              </w:rPr>
              <w:instrText xml:space="preserve">= </w:instrText>
            </w:r>
            <w:r w:rsidR="00E23A67" w:rsidRPr="005D069C">
              <w:rPr>
                <w:rFonts w:hint="cs"/>
                <w:sz w:val="18"/>
                <w:szCs w:val="18"/>
              </w:rPr>
              <w:instrText>CY \* MERGEFORMAT</w:instrText>
            </w:r>
            <w:r w:rsidR="00E23A67" w:rsidRPr="005D069C">
              <w:rPr>
                <w:sz w:val="18"/>
                <w:szCs w:val="18"/>
                <w:rtl/>
              </w:rPr>
              <w:instrText xml:space="preserve"> </w:instrText>
            </w:r>
            <w:r w:rsidR="00E23A67" w:rsidRPr="005D069C">
              <w:rPr>
                <w:sz w:val="18"/>
                <w:szCs w:val="18"/>
                <w:rtl/>
              </w:rPr>
              <w:fldChar w:fldCharType="separate"/>
            </w:r>
            <w:r w:rsidR="003A584F">
              <w:rPr>
                <w:noProof/>
                <w:sz w:val="18"/>
                <w:szCs w:val="18"/>
                <w:rtl/>
              </w:rPr>
              <w:t>2024</w:t>
            </w:r>
            <w:r w:rsidR="00E23A67" w:rsidRPr="005D069C">
              <w:rPr>
                <w:sz w:val="18"/>
                <w:szCs w:val="18"/>
                <w:rtl/>
              </w:rPr>
              <w:fldChar w:fldCharType="end"/>
            </w:r>
            <w:r w:rsidRPr="009D55C0">
              <w:rPr>
                <w:sz w:val="18"/>
                <w:szCs w:val="18"/>
                <w:rtl/>
              </w:rPr>
              <w:t>.</w:t>
            </w:r>
          </w:p>
        </w:tc>
      </w:tr>
    </w:tbl>
    <w:p w14:paraId="38FE935F" w14:textId="77777777" w:rsidR="006D22E3" w:rsidRDefault="006D22E3" w:rsidP="006D22E3">
      <w:pPr>
        <w:rPr>
          <w:rtl/>
        </w:rPr>
        <w:sectPr w:rsidR="006D22E3" w:rsidSect="00587121">
          <w:headerReference w:type="default" r:id="rId53"/>
          <w:footnotePr>
            <w:numRestart w:val="eachPage"/>
          </w:footnotePr>
          <w:pgSz w:w="11909" w:h="16834" w:code="9"/>
          <w:pgMar w:top="851" w:right="851" w:bottom="851" w:left="851" w:header="720" w:footer="720" w:gutter="0"/>
          <w:cols w:space="720"/>
          <w:bidi/>
          <w:rtlGutter/>
          <w:docGrid w:linePitch="360"/>
        </w:sectPr>
      </w:pPr>
    </w:p>
    <w:p w14:paraId="19686A52" w14:textId="77777777" w:rsidR="00D3774E" w:rsidRDefault="00D3774E" w:rsidP="00D7159D">
      <w:pPr>
        <w:pStyle w:val="5"/>
        <w:spacing w:after="40"/>
        <w:ind w:firstLine="1135"/>
      </w:pPr>
      <w:bookmarkStart w:id="32" w:name="_Toc160529227"/>
      <w:r w:rsidRPr="00030C7C">
        <w:rPr>
          <w:rtl/>
        </w:rPr>
        <w:lastRenderedPageBreak/>
        <w:t>ביאור 8  -  הלימות הון, מינוף ונז</w:t>
      </w:r>
      <w:r>
        <w:rPr>
          <w:rtl/>
        </w:rPr>
        <w:t>ילות לפי הוראות המפקח על הבנקים</w:t>
      </w:r>
      <w:bookmarkEnd w:id="32"/>
    </w:p>
    <w:tbl>
      <w:tblPr>
        <w:bidiVisual/>
        <w:tblW w:w="5094" w:type="pct"/>
        <w:jc w:val="right"/>
        <w:tblLook w:val="0000" w:firstRow="0" w:lastRow="0" w:firstColumn="0" w:lastColumn="0" w:noHBand="0" w:noVBand="0"/>
      </w:tblPr>
      <w:tblGrid>
        <w:gridCol w:w="1321"/>
        <w:gridCol w:w="425"/>
        <w:gridCol w:w="8653"/>
      </w:tblGrid>
      <w:tr w:rsidR="006D22E3" w:rsidRPr="007363C7" w14:paraId="1DBC2B74" w14:textId="77777777" w:rsidTr="00D7159D">
        <w:trPr>
          <w:trHeight w:val="259"/>
          <w:jc w:val="right"/>
        </w:trPr>
        <w:tc>
          <w:tcPr>
            <w:tcW w:w="1321" w:type="dxa"/>
          </w:tcPr>
          <w:p w14:paraId="55C39837" w14:textId="0203AA8F" w:rsidR="001028D5" w:rsidRPr="00D7159D" w:rsidRDefault="00D33ADF" w:rsidP="00D7159D">
            <w:pPr>
              <w:pStyle w:val="-7"/>
              <w:spacing w:before="20" w:line="240" w:lineRule="auto"/>
              <w:rPr>
                <w:i/>
                <w:iCs/>
                <w:spacing w:val="-4"/>
                <w:sz w:val="13"/>
                <w:szCs w:val="13"/>
                <w:rtl/>
              </w:rPr>
            </w:pPr>
            <w:r w:rsidRPr="00D7159D">
              <w:rPr>
                <w:rFonts w:hint="cs"/>
                <w:spacing w:val="-4"/>
                <w:sz w:val="13"/>
                <w:szCs w:val="13"/>
                <w:rtl/>
              </w:rPr>
              <w:t>ה. המפקח ס' 45ג</w:t>
            </w:r>
          </w:p>
        </w:tc>
        <w:tc>
          <w:tcPr>
            <w:tcW w:w="425" w:type="dxa"/>
            <w:vAlign w:val="center"/>
          </w:tcPr>
          <w:p w14:paraId="4BB35A4F" w14:textId="43F0D9E7" w:rsidR="008B5817" w:rsidRPr="00543C25" w:rsidRDefault="006D22E3" w:rsidP="00D7159D">
            <w:pPr>
              <w:pStyle w:val="-f4"/>
              <w:spacing w:before="20" w:after="0" w:line="240" w:lineRule="auto"/>
              <w:jc w:val="left"/>
              <w:rPr>
                <w:rtl/>
              </w:rPr>
            </w:pPr>
            <w:r>
              <w:rPr>
                <w:rFonts w:hint="cs"/>
                <w:rtl/>
              </w:rPr>
              <w:t>1.</w:t>
            </w:r>
          </w:p>
        </w:tc>
        <w:tc>
          <w:tcPr>
            <w:tcW w:w="8653" w:type="dxa"/>
            <w:vAlign w:val="center"/>
          </w:tcPr>
          <w:p w14:paraId="3A9C6ADB" w14:textId="600C351B" w:rsidR="00F32A2A" w:rsidRDefault="006D22E3" w:rsidP="00D7159D">
            <w:pPr>
              <w:pStyle w:val="-f4"/>
              <w:spacing w:before="20" w:after="0" w:line="240" w:lineRule="auto"/>
              <w:jc w:val="left"/>
              <w:rPr>
                <w:color w:val="000000"/>
                <w:sz w:val="24"/>
                <w:szCs w:val="24"/>
                <w:rtl/>
                <w:lang w:eastAsia="he-IL"/>
              </w:rPr>
            </w:pPr>
            <w:r>
              <w:rPr>
                <w:rFonts w:hint="cs"/>
                <w:rtl/>
              </w:rPr>
              <w:t>הלימות הון לפי הוראות המפקח על הבנקים:</w:t>
            </w:r>
            <w:r w:rsidR="00976DDE" w:rsidRPr="00216489">
              <w:rPr>
                <w:b w:val="0"/>
                <w:bCs w:val="0"/>
                <w:sz w:val="19"/>
                <w:szCs w:val="19"/>
                <w:vertAlign w:val="superscript"/>
                <w:rtl/>
              </w:rPr>
              <w:t xml:space="preserve"> </w:t>
            </w:r>
            <w:r w:rsidR="00976DDE" w:rsidRPr="00976DDE">
              <w:rPr>
                <w:rFonts w:hint="cs"/>
                <w:b w:val="0"/>
                <w:bCs w:val="0"/>
                <w:sz w:val="16"/>
                <w:szCs w:val="16"/>
                <w:vertAlign w:val="superscript"/>
                <w:rtl/>
              </w:rPr>
              <w:t>[</w:t>
            </w:r>
            <w:r w:rsidR="00976DDE" w:rsidRPr="00976DDE">
              <w:rPr>
                <w:b w:val="0"/>
                <w:bCs w:val="0"/>
                <w:sz w:val="16"/>
                <w:szCs w:val="16"/>
                <w:vertAlign w:val="superscript"/>
                <w:rtl/>
              </w:rPr>
              <w:footnoteReference w:id="67"/>
            </w:r>
            <w:r w:rsidR="00976DDE" w:rsidRPr="00976DDE">
              <w:rPr>
                <w:b w:val="0"/>
                <w:bCs w:val="0"/>
                <w:sz w:val="16"/>
                <w:szCs w:val="16"/>
                <w:vertAlign w:val="superscript"/>
                <w:rtl/>
              </w:rPr>
              <w:t>]</w:t>
            </w:r>
            <w:r w:rsidR="00976DDE" w:rsidRPr="00976DDE" w:rsidDel="00C76BCA">
              <w:rPr>
                <w:rStyle w:val="a7"/>
                <w:b w:val="0"/>
                <w:bCs w:val="0"/>
                <w:sz w:val="16"/>
                <w:szCs w:val="16"/>
                <w:rtl/>
                <w:lang w:eastAsia="he-IL"/>
              </w:rPr>
              <w:t xml:space="preserve"> </w:t>
            </w:r>
          </w:p>
        </w:tc>
      </w:tr>
      <w:tr w:rsidR="006D22E3" w:rsidRPr="007363C7" w14:paraId="60A38960" w14:textId="77777777" w:rsidTr="00D7159D">
        <w:trPr>
          <w:trHeight w:val="245"/>
          <w:jc w:val="right"/>
        </w:trPr>
        <w:tc>
          <w:tcPr>
            <w:tcW w:w="1321" w:type="dxa"/>
          </w:tcPr>
          <w:p w14:paraId="56DBB717" w14:textId="77777777" w:rsidR="00F32A2A" w:rsidRPr="00D7159D" w:rsidRDefault="00D33ADF" w:rsidP="00030C7C">
            <w:pPr>
              <w:pStyle w:val="-7"/>
              <w:spacing w:before="80" w:line="240" w:lineRule="auto"/>
              <w:jc w:val="left"/>
              <w:rPr>
                <w:color w:val="000000"/>
                <w:sz w:val="13"/>
                <w:szCs w:val="13"/>
                <w:rtl/>
                <w:lang w:eastAsia="he-IL"/>
              </w:rPr>
            </w:pPr>
            <w:r w:rsidRPr="00D7159D">
              <w:rPr>
                <w:rFonts w:hint="eastAsia"/>
                <w:spacing w:val="-4"/>
                <w:sz w:val="13"/>
                <w:szCs w:val="13"/>
                <w:rtl/>
              </w:rPr>
              <w:t>מתכונת</w:t>
            </w:r>
            <w:r w:rsidRPr="00D7159D">
              <w:rPr>
                <w:spacing w:val="-4"/>
                <w:sz w:val="13"/>
                <w:szCs w:val="13"/>
                <w:rtl/>
              </w:rPr>
              <w:t xml:space="preserve"> ביאור </w:t>
            </w:r>
            <w:r w:rsidRPr="00D7159D">
              <w:rPr>
                <w:rFonts w:hint="eastAsia"/>
                <w:spacing w:val="-4"/>
                <w:sz w:val="13"/>
                <w:szCs w:val="13"/>
                <w:rtl/>
              </w:rPr>
              <w:t>עמ</w:t>
            </w:r>
            <w:r w:rsidRPr="00D7159D">
              <w:rPr>
                <w:spacing w:val="-4"/>
                <w:sz w:val="13"/>
                <w:szCs w:val="13"/>
                <w:rtl/>
              </w:rPr>
              <w:t>' 663-30</w:t>
            </w:r>
          </w:p>
        </w:tc>
        <w:tc>
          <w:tcPr>
            <w:tcW w:w="425" w:type="dxa"/>
          </w:tcPr>
          <w:p w14:paraId="460BBECD" w14:textId="77777777" w:rsidR="006D22E3" w:rsidRPr="00543C25" w:rsidRDefault="006D22E3" w:rsidP="00030C7C">
            <w:pPr>
              <w:pStyle w:val="-f4"/>
              <w:spacing w:after="0" w:line="240" w:lineRule="auto"/>
              <w:jc w:val="left"/>
              <w:rPr>
                <w:rtl/>
              </w:rPr>
            </w:pPr>
          </w:p>
        </w:tc>
        <w:tc>
          <w:tcPr>
            <w:tcW w:w="8653" w:type="dxa"/>
          </w:tcPr>
          <w:p w14:paraId="4BA3A952" w14:textId="7201210C" w:rsidR="006D22E3" w:rsidRPr="005E38B6" w:rsidRDefault="006D22E3" w:rsidP="00D6057D">
            <w:pPr>
              <w:pStyle w:val="-f4"/>
              <w:numPr>
                <w:ilvl w:val="0"/>
                <w:numId w:val="29"/>
              </w:numPr>
              <w:tabs>
                <w:tab w:val="left" w:pos="290"/>
              </w:tabs>
              <w:spacing w:after="0" w:line="240" w:lineRule="auto"/>
              <w:ind w:left="149" w:hanging="4"/>
              <w:jc w:val="left"/>
              <w:rPr>
                <w:b w:val="0"/>
                <w:bCs w:val="0"/>
                <w:rtl/>
              </w:rPr>
            </w:pPr>
            <w:r w:rsidRPr="005E38B6">
              <w:rPr>
                <w:rFonts w:hint="eastAsia"/>
                <w:rtl/>
              </w:rPr>
              <w:t>בנתוני</w:t>
            </w:r>
            <w:r w:rsidRPr="005E38B6">
              <w:rPr>
                <w:rtl/>
              </w:rPr>
              <w:t xml:space="preserve"> </w:t>
            </w:r>
            <w:r w:rsidRPr="005E38B6">
              <w:rPr>
                <w:rFonts w:hint="eastAsia"/>
                <w:rtl/>
              </w:rPr>
              <w:t>המאוחד</w:t>
            </w:r>
            <w:r w:rsidRPr="005E38B6">
              <w:rPr>
                <w:rtl/>
              </w:rPr>
              <w:t>:</w:t>
            </w:r>
          </w:p>
        </w:tc>
      </w:tr>
    </w:tbl>
    <w:p w14:paraId="7CDA18DD" w14:textId="77777777" w:rsidR="00F32A2A" w:rsidRDefault="00F32A2A">
      <w:pPr>
        <w:bidi w:val="0"/>
        <w:spacing w:line="60" w:lineRule="exact"/>
        <w:rPr>
          <w:rtl/>
        </w:rPr>
      </w:pPr>
    </w:p>
    <w:tbl>
      <w:tblPr>
        <w:bidiVisual/>
        <w:tblW w:w="4681" w:type="pct"/>
        <w:tblInd w:w="20" w:type="dxa"/>
        <w:tblLayout w:type="fixed"/>
        <w:tblLook w:val="01E0" w:firstRow="1" w:lastRow="1" w:firstColumn="1" w:lastColumn="1" w:noHBand="0" w:noVBand="0"/>
      </w:tblPr>
      <w:tblGrid>
        <w:gridCol w:w="1361"/>
        <w:gridCol w:w="5186"/>
        <w:gridCol w:w="975"/>
        <w:gridCol w:w="974"/>
        <w:gridCol w:w="1060"/>
      </w:tblGrid>
      <w:tr w:rsidR="00D7159D" w:rsidRPr="00907C5A" w14:paraId="6B2BC690" w14:textId="77777777" w:rsidTr="00D7159D">
        <w:trPr>
          <w:trHeight w:val="259"/>
        </w:trPr>
        <w:tc>
          <w:tcPr>
            <w:tcW w:w="1361" w:type="dxa"/>
          </w:tcPr>
          <w:p w14:paraId="55F8D331" w14:textId="0892BE4E" w:rsidR="00D7159D" w:rsidRPr="00907C5A" w:rsidRDefault="00D7159D" w:rsidP="001A3A57">
            <w:pPr>
              <w:pStyle w:val="-7"/>
              <w:spacing w:before="24" w:line="216" w:lineRule="auto"/>
              <w:jc w:val="left"/>
              <w:rPr>
                <w:b/>
                <w:bCs/>
                <w:rtl/>
              </w:rPr>
            </w:pPr>
          </w:p>
        </w:tc>
        <w:tc>
          <w:tcPr>
            <w:tcW w:w="5185" w:type="dxa"/>
            <w:vAlign w:val="bottom"/>
          </w:tcPr>
          <w:p w14:paraId="10BAEAB4" w14:textId="77777777" w:rsidR="00D7159D" w:rsidRPr="00907C5A" w:rsidRDefault="00D7159D" w:rsidP="008C105D">
            <w:pPr>
              <w:pStyle w:val="-0"/>
              <w:spacing w:before="24" w:line="180" w:lineRule="exact"/>
              <w:rPr>
                <w:rtl/>
              </w:rPr>
            </w:pPr>
          </w:p>
        </w:tc>
        <w:tc>
          <w:tcPr>
            <w:tcW w:w="1949" w:type="dxa"/>
            <w:gridSpan w:val="2"/>
            <w:vAlign w:val="bottom"/>
          </w:tcPr>
          <w:p w14:paraId="148F01B8" w14:textId="7A5998BF" w:rsidR="00D7159D" w:rsidRPr="00EB5088" w:rsidRDefault="00D7159D" w:rsidP="003E0E94">
            <w:pPr>
              <w:pStyle w:val="-4"/>
              <w:pBdr>
                <w:bottom w:val="single" w:sz="4" w:space="1" w:color="auto"/>
              </w:pBdr>
              <w:spacing w:before="24" w:line="180" w:lineRule="exact"/>
              <w:rPr>
                <w:sz w:val="18"/>
                <w:szCs w:val="18"/>
                <w:rtl/>
              </w:rPr>
            </w:pPr>
            <w:r w:rsidRPr="00EB5088">
              <w:rPr>
                <w:rFonts w:hint="eastAsia"/>
                <w:sz w:val="18"/>
                <w:szCs w:val="18"/>
                <w:rtl/>
              </w:rPr>
              <w:t>ליום</w:t>
            </w:r>
            <w:r w:rsidRPr="00EB5088">
              <w:rPr>
                <w:sz w:val="18"/>
                <w:szCs w:val="18"/>
                <w:rtl/>
              </w:rPr>
              <w:t xml:space="preserve"> 30 ביוני </w:t>
            </w:r>
          </w:p>
        </w:tc>
        <w:tc>
          <w:tcPr>
            <w:tcW w:w="1060" w:type="dxa"/>
            <w:vAlign w:val="bottom"/>
          </w:tcPr>
          <w:p w14:paraId="4D41AA36" w14:textId="678FD0DF" w:rsidR="00D7159D" w:rsidRPr="00EB5088" w:rsidRDefault="00D7159D" w:rsidP="008C105D">
            <w:pPr>
              <w:pStyle w:val="-4"/>
              <w:pBdr>
                <w:bottom w:val="single" w:sz="4" w:space="1" w:color="auto"/>
              </w:pBdr>
              <w:spacing w:before="24" w:line="180" w:lineRule="exact"/>
              <w:rPr>
                <w:sz w:val="18"/>
                <w:szCs w:val="18"/>
                <w:rtl/>
              </w:rPr>
            </w:pPr>
            <w:r w:rsidRPr="00EB5088">
              <w:rPr>
                <w:rFonts w:hint="eastAsia"/>
                <w:sz w:val="18"/>
                <w:szCs w:val="18"/>
                <w:rtl/>
              </w:rPr>
              <w:t>ליום</w:t>
            </w:r>
            <w:r w:rsidRPr="00EB5088">
              <w:rPr>
                <w:sz w:val="18"/>
                <w:szCs w:val="18"/>
                <w:rtl/>
              </w:rPr>
              <w:t xml:space="preserve"> 31 בדצמבר </w:t>
            </w:r>
          </w:p>
        </w:tc>
      </w:tr>
      <w:tr w:rsidR="00D7159D" w:rsidRPr="00907C5A" w14:paraId="6C0B53E7" w14:textId="77777777" w:rsidTr="00D7159D">
        <w:trPr>
          <w:trHeight w:val="259"/>
        </w:trPr>
        <w:tc>
          <w:tcPr>
            <w:tcW w:w="1361" w:type="dxa"/>
          </w:tcPr>
          <w:p w14:paraId="050FC4FF" w14:textId="77777777" w:rsidR="00D7159D" w:rsidRPr="00907C5A" w:rsidRDefault="00D7159D" w:rsidP="001A3A57">
            <w:pPr>
              <w:pStyle w:val="-7"/>
              <w:spacing w:before="24" w:line="216" w:lineRule="auto"/>
              <w:jc w:val="left"/>
              <w:rPr>
                <w:b/>
                <w:bCs/>
                <w:rtl/>
              </w:rPr>
            </w:pPr>
          </w:p>
        </w:tc>
        <w:tc>
          <w:tcPr>
            <w:tcW w:w="5185" w:type="dxa"/>
            <w:vAlign w:val="bottom"/>
          </w:tcPr>
          <w:p w14:paraId="61DA4D4E" w14:textId="77777777" w:rsidR="00D7159D" w:rsidRPr="00907C5A" w:rsidRDefault="00D7159D" w:rsidP="008C105D">
            <w:pPr>
              <w:pStyle w:val="-0"/>
              <w:spacing w:before="24" w:line="180" w:lineRule="exact"/>
              <w:rPr>
                <w:rtl/>
              </w:rPr>
            </w:pPr>
          </w:p>
        </w:tc>
        <w:tc>
          <w:tcPr>
            <w:tcW w:w="975" w:type="dxa"/>
            <w:vAlign w:val="bottom"/>
          </w:tcPr>
          <w:p w14:paraId="0ED4893F" w14:textId="078EF073" w:rsidR="00D7159D" w:rsidRPr="00EB5088" w:rsidRDefault="00D7159D" w:rsidP="008C105D">
            <w:pPr>
              <w:pStyle w:val="-4"/>
              <w:pBdr>
                <w:bottom w:val="single" w:sz="4" w:space="1" w:color="auto"/>
              </w:pBdr>
              <w:spacing w:before="24" w:line="180" w:lineRule="exact"/>
              <w:rPr>
                <w:sz w:val="18"/>
                <w:szCs w:val="18"/>
                <w:rtl/>
              </w:rPr>
            </w:pPr>
            <w:r w:rsidRPr="00EB5088">
              <w:rPr>
                <w:sz w:val="18"/>
                <w:szCs w:val="18"/>
                <w:rtl/>
              </w:rPr>
              <w:fldChar w:fldCharType="begin"/>
            </w:r>
            <w:r w:rsidRPr="00EB5088">
              <w:rPr>
                <w:sz w:val="18"/>
                <w:szCs w:val="18"/>
                <w:rtl/>
              </w:rPr>
              <w:instrText xml:space="preserve"> = </w:instrText>
            </w:r>
            <w:r w:rsidRPr="00EB5088">
              <w:rPr>
                <w:sz w:val="18"/>
                <w:szCs w:val="18"/>
              </w:rPr>
              <w:instrText>CY \* MERGEFORMAT</w:instrText>
            </w:r>
            <w:r w:rsidRPr="00EB5088">
              <w:rPr>
                <w:sz w:val="18"/>
                <w:szCs w:val="18"/>
                <w:rtl/>
              </w:rPr>
              <w:instrText xml:space="preserve"> </w:instrText>
            </w:r>
            <w:r w:rsidRPr="00EB5088">
              <w:rPr>
                <w:sz w:val="18"/>
                <w:szCs w:val="18"/>
                <w:rtl/>
              </w:rPr>
              <w:fldChar w:fldCharType="separate"/>
            </w:r>
            <w:r>
              <w:rPr>
                <w:noProof/>
                <w:sz w:val="18"/>
                <w:szCs w:val="18"/>
                <w:rtl/>
              </w:rPr>
              <w:t>2024</w:t>
            </w:r>
            <w:r w:rsidRPr="00EB5088">
              <w:rPr>
                <w:sz w:val="18"/>
                <w:szCs w:val="18"/>
                <w:rtl/>
              </w:rPr>
              <w:fldChar w:fldCharType="end"/>
            </w:r>
          </w:p>
        </w:tc>
        <w:tc>
          <w:tcPr>
            <w:tcW w:w="974" w:type="dxa"/>
            <w:vAlign w:val="bottom"/>
          </w:tcPr>
          <w:p w14:paraId="0AA1FC8C" w14:textId="6D2B4EA9" w:rsidR="00D7159D" w:rsidRPr="00EB5088" w:rsidRDefault="00D7159D" w:rsidP="008C105D">
            <w:pPr>
              <w:pStyle w:val="-4"/>
              <w:pBdr>
                <w:bottom w:val="single" w:sz="4" w:space="1" w:color="auto"/>
              </w:pBdr>
              <w:spacing w:before="24" w:line="180" w:lineRule="exact"/>
              <w:rPr>
                <w:sz w:val="18"/>
                <w:szCs w:val="18"/>
                <w:rtl/>
              </w:rPr>
            </w:pPr>
            <w:r w:rsidRPr="00EB5088">
              <w:rPr>
                <w:sz w:val="18"/>
                <w:szCs w:val="18"/>
                <w:rtl/>
              </w:rPr>
              <w:fldChar w:fldCharType="begin"/>
            </w:r>
            <w:r w:rsidRPr="00EB5088">
              <w:rPr>
                <w:sz w:val="18"/>
                <w:szCs w:val="18"/>
                <w:rtl/>
              </w:rPr>
              <w:instrText xml:space="preserve"> = </w:instrText>
            </w:r>
            <w:r w:rsidRPr="00EB5088">
              <w:rPr>
                <w:sz w:val="18"/>
                <w:szCs w:val="18"/>
              </w:rPr>
              <w:instrText>CY-1 \* MERGEFORMAT</w:instrText>
            </w:r>
            <w:r w:rsidRPr="00EB5088">
              <w:rPr>
                <w:sz w:val="18"/>
                <w:szCs w:val="18"/>
                <w:rtl/>
              </w:rPr>
              <w:instrText xml:space="preserve"> </w:instrText>
            </w:r>
            <w:r w:rsidRPr="00EB5088">
              <w:rPr>
                <w:sz w:val="18"/>
                <w:szCs w:val="18"/>
                <w:rtl/>
              </w:rPr>
              <w:fldChar w:fldCharType="separate"/>
            </w:r>
            <w:r>
              <w:rPr>
                <w:noProof/>
                <w:sz w:val="18"/>
                <w:szCs w:val="18"/>
                <w:rtl/>
              </w:rPr>
              <w:t>2023</w:t>
            </w:r>
            <w:r w:rsidRPr="00EB5088">
              <w:rPr>
                <w:sz w:val="18"/>
                <w:szCs w:val="18"/>
                <w:rtl/>
              </w:rPr>
              <w:fldChar w:fldCharType="end"/>
            </w:r>
          </w:p>
        </w:tc>
        <w:tc>
          <w:tcPr>
            <w:tcW w:w="1060" w:type="dxa"/>
            <w:vAlign w:val="bottom"/>
          </w:tcPr>
          <w:p w14:paraId="0362455B" w14:textId="09DB65A0" w:rsidR="00D7159D" w:rsidRPr="00EB5088" w:rsidRDefault="00D7159D" w:rsidP="008C105D">
            <w:pPr>
              <w:pStyle w:val="-4"/>
              <w:pBdr>
                <w:bottom w:val="single" w:sz="4" w:space="1" w:color="auto"/>
              </w:pBdr>
              <w:spacing w:before="24" w:line="180" w:lineRule="exact"/>
              <w:rPr>
                <w:sz w:val="18"/>
                <w:szCs w:val="18"/>
                <w:rtl/>
              </w:rPr>
            </w:pPr>
            <w:r w:rsidRPr="00EB5088">
              <w:rPr>
                <w:sz w:val="18"/>
                <w:szCs w:val="18"/>
                <w:rtl/>
              </w:rPr>
              <w:fldChar w:fldCharType="begin"/>
            </w:r>
            <w:r w:rsidRPr="00EB5088">
              <w:rPr>
                <w:sz w:val="18"/>
                <w:szCs w:val="18"/>
                <w:rtl/>
              </w:rPr>
              <w:instrText xml:space="preserve"> = </w:instrText>
            </w:r>
            <w:r w:rsidRPr="00EB5088">
              <w:rPr>
                <w:sz w:val="18"/>
                <w:szCs w:val="18"/>
              </w:rPr>
              <w:instrText>CY-1 \* MERGEFORMAT</w:instrText>
            </w:r>
            <w:r w:rsidRPr="00EB5088">
              <w:rPr>
                <w:sz w:val="18"/>
                <w:szCs w:val="18"/>
                <w:rtl/>
              </w:rPr>
              <w:instrText xml:space="preserve"> </w:instrText>
            </w:r>
            <w:r w:rsidRPr="00EB5088">
              <w:rPr>
                <w:sz w:val="18"/>
                <w:szCs w:val="18"/>
                <w:rtl/>
              </w:rPr>
              <w:fldChar w:fldCharType="separate"/>
            </w:r>
            <w:r>
              <w:rPr>
                <w:noProof/>
                <w:sz w:val="18"/>
                <w:szCs w:val="18"/>
                <w:rtl/>
              </w:rPr>
              <w:t>2023</w:t>
            </w:r>
            <w:r w:rsidRPr="00EB5088">
              <w:rPr>
                <w:sz w:val="18"/>
                <w:szCs w:val="18"/>
                <w:rtl/>
              </w:rPr>
              <w:fldChar w:fldCharType="end"/>
            </w:r>
          </w:p>
        </w:tc>
      </w:tr>
      <w:tr w:rsidR="00D7159D" w:rsidRPr="00907C5A" w14:paraId="3CFBDD6D" w14:textId="77777777" w:rsidTr="00D7159D">
        <w:trPr>
          <w:trHeight w:val="193"/>
        </w:trPr>
        <w:tc>
          <w:tcPr>
            <w:tcW w:w="1361" w:type="dxa"/>
          </w:tcPr>
          <w:p w14:paraId="096D6034" w14:textId="77777777" w:rsidR="00D7159D" w:rsidRPr="00907C5A" w:rsidRDefault="00D7159D" w:rsidP="006F3019">
            <w:pPr>
              <w:pStyle w:val="-7"/>
              <w:jc w:val="left"/>
              <w:rPr>
                <w:rtl/>
              </w:rPr>
            </w:pPr>
          </w:p>
        </w:tc>
        <w:tc>
          <w:tcPr>
            <w:tcW w:w="5185" w:type="dxa"/>
            <w:vAlign w:val="bottom"/>
          </w:tcPr>
          <w:p w14:paraId="40B0E876" w14:textId="77777777" w:rsidR="00D7159D" w:rsidRPr="00907C5A" w:rsidRDefault="00D7159D" w:rsidP="008C105D">
            <w:pPr>
              <w:pStyle w:val="-0"/>
              <w:spacing w:line="180" w:lineRule="exact"/>
              <w:rPr>
                <w:rtl/>
              </w:rPr>
            </w:pPr>
          </w:p>
        </w:tc>
        <w:tc>
          <w:tcPr>
            <w:tcW w:w="1949" w:type="dxa"/>
            <w:gridSpan w:val="2"/>
            <w:vAlign w:val="bottom"/>
          </w:tcPr>
          <w:p w14:paraId="5DD2D533" w14:textId="77777777" w:rsidR="00D7159D" w:rsidRPr="00EB5088" w:rsidRDefault="00D7159D" w:rsidP="008C105D">
            <w:pPr>
              <w:pStyle w:val="-4"/>
              <w:pBdr>
                <w:bottom w:val="single" w:sz="4" w:space="1" w:color="auto"/>
              </w:pBdr>
              <w:spacing w:line="180" w:lineRule="exact"/>
              <w:rPr>
                <w:sz w:val="18"/>
                <w:szCs w:val="18"/>
                <w:rtl/>
              </w:rPr>
            </w:pPr>
            <w:r w:rsidRPr="00EB5088">
              <w:rPr>
                <w:rFonts w:hint="eastAsia"/>
                <w:sz w:val="18"/>
                <w:szCs w:val="18"/>
                <w:rtl/>
              </w:rPr>
              <w:t>בלתי</w:t>
            </w:r>
            <w:r w:rsidRPr="00EB5088">
              <w:rPr>
                <w:sz w:val="18"/>
                <w:szCs w:val="18"/>
                <w:rtl/>
              </w:rPr>
              <w:t xml:space="preserve"> </w:t>
            </w:r>
            <w:r w:rsidRPr="00EB5088">
              <w:rPr>
                <w:rFonts w:hint="eastAsia"/>
                <w:sz w:val="18"/>
                <w:szCs w:val="18"/>
                <w:rtl/>
              </w:rPr>
              <w:t>מבוקר</w:t>
            </w:r>
          </w:p>
        </w:tc>
        <w:tc>
          <w:tcPr>
            <w:tcW w:w="1060" w:type="dxa"/>
            <w:vAlign w:val="bottom"/>
          </w:tcPr>
          <w:p w14:paraId="7C49F9AA" w14:textId="77777777" w:rsidR="00D7159D" w:rsidRPr="00EB5088" w:rsidRDefault="00D7159D" w:rsidP="008C105D">
            <w:pPr>
              <w:pStyle w:val="-4"/>
              <w:pBdr>
                <w:bottom w:val="single" w:sz="4" w:space="1" w:color="auto"/>
              </w:pBdr>
              <w:spacing w:line="180" w:lineRule="exact"/>
              <w:rPr>
                <w:sz w:val="18"/>
                <w:szCs w:val="18"/>
                <w:rtl/>
              </w:rPr>
            </w:pPr>
            <w:r w:rsidRPr="00EB5088">
              <w:rPr>
                <w:rFonts w:hint="eastAsia"/>
                <w:sz w:val="18"/>
                <w:szCs w:val="18"/>
                <w:rtl/>
              </w:rPr>
              <w:t>מבוקר</w:t>
            </w:r>
          </w:p>
        </w:tc>
      </w:tr>
      <w:tr w:rsidR="00D7159D" w:rsidRPr="00461589" w14:paraId="178A5E2C" w14:textId="77777777" w:rsidTr="00D7159D">
        <w:trPr>
          <w:trHeight w:val="211"/>
        </w:trPr>
        <w:tc>
          <w:tcPr>
            <w:tcW w:w="1361" w:type="dxa"/>
          </w:tcPr>
          <w:p w14:paraId="256A8361" w14:textId="77777777" w:rsidR="00D7159D" w:rsidRPr="00461589" w:rsidRDefault="00D7159D" w:rsidP="0079119C">
            <w:pPr>
              <w:pStyle w:val="-7"/>
              <w:jc w:val="left"/>
              <w:rPr>
                <w:sz w:val="18"/>
                <w:szCs w:val="18"/>
                <w:rtl/>
              </w:rPr>
            </w:pPr>
          </w:p>
        </w:tc>
        <w:tc>
          <w:tcPr>
            <w:tcW w:w="5185" w:type="dxa"/>
            <w:vAlign w:val="bottom"/>
          </w:tcPr>
          <w:p w14:paraId="411030D9" w14:textId="77777777" w:rsidR="00D7159D" w:rsidRPr="00461589" w:rsidRDefault="00D7159D" w:rsidP="005E38B6">
            <w:pPr>
              <w:pStyle w:val="-0"/>
              <w:tabs>
                <w:tab w:val="left" w:pos="716"/>
              </w:tabs>
              <w:spacing w:line="240" w:lineRule="auto"/>
              <w:ind w:left="432" w:hanging="283"/>
              <w:rPr>
                <w:b/>
                <w:bCs/>
                <w:sz w:val="18"/>
                <w:szCs w:val="18"/>
                <w:rtl/>
              </w:rPr>
            </w:pPr>
            <w:r w:rsidRPr="00461589">
              <w:rPr>
                <w:rFonts w:hint="cs"/>
                <w:b/>
                <w:bCs/>
                <w:sz w:val="18"/>
                <w:szCs w:val="18"/>
                <w:rtl/>
              </w:rPr>
              <w:t>1)</w:t>
            </w:r>
            <w:r w:rsidRPr="00461589">
              <w:rPr>
                <w:b/>
                <w:bCs/>
                <w:sz w:val="18"/>
                <w:szCs w:val="18"/>
                <w:rtl/>
              </w:rPr>
              <w:tab/>
            </w:r>
            <w:r w:rsidRPr="00461589">
              <w:rPr>
                <w:rFonts w:hint="cs"/>
                <w:b/>
                <w:bCs/>
                <w:sz w:val="18"/>
                <w:szCs w:val="18"/>
                <w:rtl/>
              </w:rPr>
              <w:t>הון לצורך חישוב יחס ההון:</w:t>
            </w:r>
          </w:p>
        </w:tc>
        <w:tc>
          <w:tcPr>
            <w:tcW w:w="975" w:type="dxa"/>
            <w:vAlign w:val="bottom"/>
          </w:tcPr>
          <w:p w14:paraId="252ED365" w14:textId="77777777" w:rsidR="00D7159D" w:rsidRPr="00461589" w:rsidRDefault="00D7159D" w:rsidP="0079119C">
            <w:pPr>
              <w:pStyle w:val="-7"/>
              <w:jc w:val="left"/>
              <w:rPr>
                <w:sz w:val="18"/>
                <w:szCs w:val="18"/>
                <w:rtl/>
              </w:rPr>
            </w:pPr>
          </w:p>
        </w:tc>
        <w:tc>
          <w:tcPr>
            <w:tcW w:w="974" w:type="dxa"/>
            <w:vAlign w:val="bottom"/>
          </w:tcPr>
          <w:p w14:paraId="10709D04" w14:textId="77777777" w:rsidR="00D7159D" w:rsidRPr="00461589" w:rsidRDefault="00D7159D" w:rsidP="00030C7C">
            <w:pPr>
              <w:pStyle w:val="-7"/>
              <w:jc w:val="left"/>
              <w:rPr>
                <w:sz w:val="18"/>
                <w:szCs w:val="18"/>
                <w:rtl/>
              </w:rPr>
            </w:pPr>
          </w:p>
        </w:tc>
        <w:tc>
          <w:tcPr>
            <w:tcW w:w="1060" w:type="dxa"/>
            <w:vAlign w:val="bottom"/>
          </w:tcPr>
          <w:p w14:paraId="4B445554" w14:textId="77777777" w:rsidR="00D7159D" w:rsidRPr="00461589" w:rsidRDefault="00D7159D" w:rsidP="00030C7C">
            <w:pPr>
              <w:pStyle w:val="-7"/>
              <w:jc w:val="left"/>
              <w:rPr>
                <w:sz w:val="18"/>
                <w:szCs w:val="18"/>
                <w:rtl/>
              </w:rPr>
            </w:pPr>
          </w:p>
        </w:tc>
      </w:tr>
      <w:tr w:rsidR="00D7159D" w:rsidRPr="00461589" w14:paraId="5B5C70B8" w14:textId="77777777" w:rsidTr="00D7159D">
        <w:trPr>
          <w:trHeight w:val="283"/>
        </w:trPr>
        <w:tc>
          <w:tcPr>
            <w:tcW w:w="1361" w:type="dxa"/>
          </w:tcPr>
          <w:p w14:paraId="324B6B9E" w14:textId="77777777" w:rsidR="00D7159D" w:rsidRPr="00461589" w:rsidRDefault="00D7159D" w:rsidP="006F3019">
            <w:pPr>
              <w:pStyle w:val="-7"/>
              <w:jc w:val="left"/>
              <w:rPr>
                <w:sz w:val="18"/>
                <w:szCs w:val="18"/>
                <w:rtl/>
              </w:rPr>
            </w:pPr>
          </w:p>
        </w:tc>
        <w:tc>
          <w:tcPr>
            <w:tcW w:w="5185" w:type="dxa"/>
            <w:vAlign w:val="bottom"/>
          </w:tcPr>
          <w:p w14:paraId="616A7D0C" w14:textId="77777777" w:rsidR="00D7159D" w:rsidRPr="00461589" w:rsidRDefault="00D7159D" w:rsidP="005E38B6">
            <w:pPr>
              <w:pStyle w:val="-0"/>
              <w:tabs>
                <w:tab w:val="left" w:pos="716"/>
              </w:tabs>
              <w:spacing w:line="240" w:lineRule="auto"/>
              <w:ind w:left="454" w:hanging="284"/>
              <w:rPr>
                <w:sz w:val="18"/>
                <w:szCs w:val="18"/>
                <w:rtl/>
              </w:rPr>
            </w:pPr>
            <w:r w:rsidRPr="00461589">
              <w:rPr>
                <w:sz w:val="18"/>
                <w:szCs w:val="18"/>
                <w:rtl/>
              </w:rPr>
              <w:tab/>
            </w:r>
            <w:r w:rsidRPr="00461589">
              <w:rPr>
                <w:rFonts w:hint="cs"/>
                <w:sz w:val="18"/>
                <w:szCs w:val="18"/>
                <w:rtl/>
              </w:rPr>
              <w:t>הון עצמי רובד</w:t>
            </w:r>
            <w:r w:rsidRPr="00461589">
              <w:rPr>
                <w:rFonts w:hint="cs"/>
                <w:sz w:val="18"/>
                <w:szCs w:val="18"/>
                <w:vertAlign w:val="superscript"/>
                <w:rtl/>
              </w:rPr>
              <w:t xml:space="preserve"> </w:t>
            </w:r>
            <w:r w:rsidRPr="00461589">
              <w:rPr>
                <w:rFonts w:hint="cs"/>
                <w:sz w:val="18"/>
                <w:szCs w:val="18"/>
                <w:rtl/>
              </w:rPr>
              <w:t>1, לאחר התאמות פיקוחיות וניכויים</w:t>
            </w:r>
          </w:p>
        </w:tc>
        <w:tc>
          <w:tcPr>
            <w:tcW w:w="975" w:type="dxa"/>
            <w:vAlign w:val="bottom"/>
          </w:tcPr>
          <w:p w14:paraId="4D4C3317" w14:textId="77777777" w:rsidR="00D7159D" w:rsidRPr="00461589" w:rsidRDefault="00D7159D" w:rsidP="006F3019">
            <w:pPr>
              <w:pStyle w:val="-7"/>
              <w:jc w:val="left"/>
              <w:rPr>
                <w:sz w:val="18"/>
                <w:szCs w:val="18"/>
                <w:rtl/>
              </w:rPr>
            </w:pPr>
            <w:r w:rsidRPr="00461589">
              <w:rPr>
                <w:rFonts w:hint="cs"/>
                <w:sz w:val="18"/>
                <w:szCs w:val="18"/>
                <w:rtl/>
              </w:rPr>
              <w:t xml:space="preserve"> 0</w:t>
            </w:r>
          </w:p>
        </w:tc>
        <w:tc>
          <w:tcPr>
            <w:tcW w:w="974" w:type="dxa"/>
            <w:vAlign w:val="bottom"/>
          </w:tcPr>
          <w:p w14:paraId="7F50CB40" w14:textId="77777777" w:rsidR="00D7159D" w:rsidRPr="00461589" w:rsidRDefault="00D7159D" w:rsidP="006F3019">
            <w:pPr>
              <w:pStyle w:val="-7"/>
              <w:jc w:val="left"/>
              <w:rPr>
                <w:sz w:val="18"/>
                <w:szCs w:val="18"/>
                <w:rtl/>
              </w:rPr>
            </w:pPr>
            <w:r w:rsidRPr="00461589">
              <w:rPr>
                <w:rFonts w:hint="cs"/>
                <w:sz w:val="18"/>
                <w:szCs w:val="18"/>
                <w:rtl/>
              </w:rPr>
              <w:t xml:space="preserve"> 0</w:t>
            </w:r>
          </w:p>
        </w:tc>
        <w:tc>
          <w:tcPr>
            <w:tcW w:w="1060" w:type="dxa"/>
            <w:vAlign w:val="bottom"/>
          </w:tcPr>
          <w:p w14:paraId="5992448B" w14:textId="77777777" w:rsidR="00D7159D" w:rsidRPr="00461589" w:rsidRDefault="00D7159D" w:rsidP="006F3019">
            <w:pPr>
              <w:pStyle w:val="-7"/>
              <w:jc w:val="left"/>
              <w:rPr>
                <w:sz w:val="18"/>
                <w:szCs w:val="18"/>
                <w:rtl/>
              </w:rPr>
            </w:pPr>
            <w:r w:rsidRPr="00461589">
              <w:rPr>
                <w:rFonts w:hint="cs"/>
                <w:sz w:val="18"/>
                <w:szCs w:val="18"/>
                <w:rtl/>
              </w:rPr>
              <w:t xml:space="preserve"> 0</w:t>
            </w:r>
          </w:p>
        </w:tc>
      </w:tr>
      <w:tr w:rsidR="00D7159D" w:rsidRPr="00461589" w14:paraId="179E79B3" w14:textId="77777777" w:rsidTr="00D7159D">
        <w:trPr>
          <w:trHeight w:val="283"/>
        </w:trPr>
        <w:tc>
          <w:tcPr>
            <w:tcW w:w="1361" w:type="dxa"/>
          </w:tcPr>
          <w:p w14:paraId="045D3616" w14:textId="77777777" w:rsidR="00D7159D" w:rsidRPr="00461589" w:rsidRDefault="00D7159D" w:rsidP="006F3019">
            <w:pPr>
              <w:pStyle w:val="-7"/>
              <w:jc w:val="left"/>
              <w:rPr>
                <w:sz w:val="18"/>
                <w:szCs w:val="18"/>
                <w:rtl/>
              </w:rPr>
            </w:pPr>
          </w:p>
        </w:tc>
        <w:tc>
          <w:tcPr>
            <w:tcW w:w="5185" w:type="dxa"/>
            <w:vAlign w:val="bottom"/>
          </w:tcPr>
          <w:p w14:paraId="59EC7E36" w14:textId="77777777" w:rsidR="00D7159D" w:rsidRPr="00461589" w:rsidRDefault="00D7159D" w:rsidP="005E38B6">
            <w:pPr>
              <w:pStyle w:val="-0"/>
              <w:tabs>
                <w:tab w:val="left" w:pos="716"/>
              </w:tabs>
              <w:spacing w:line="240" w:lineRule="auto"/>
              <w:ind w:left="454" w:hanging="284"/>
              <w:rPr>
                <w:sz w:val="18"/>
                <w:szCs w:val="18"/>
                <w:rtl/>
              </w:rPr>
            </w:pPr>
            <w:r w:rsidRPr="00461589">
              <w:rPr>
                <w:sz w:val="18"/>
                <w:szCs w:val="18"/>
                <w:rtl/>
              </w:rPr>
              <w:tab/>
            </w:r>
            <w:r w:rsidRPr="00461589">
              <w:rPr>
                <w:rFonts w:hint="cs"/>
                <w:sz w:val="18"/>
                <w:szCs w:val="18"/>
                <w:rtl/>
              </w:rPr>
              <w:t>הון רובד 1 נוסף, לאחר ניכויים</w:t>
            </w:r>
          </w:p>
        </w:tc>
        <w:tc>
          <w:tcPr>
            <w:tcW w:w="975" w:type="dxa"/>
            <w:vAlign w:val="bottom"/>
          </w:tcPr>
          <w:p w14:paraId="60B2B7C1" w14:textId="77777777" w:rsidR="00D7159D" w:rsidRPr="00461589" w:rsidRDefault="00D7159D" w:rsidP="006F3019">
            <w:pPr>
              <w:pStyle w:val="-7"/>
              <w:jc w:val="left"/>
              <w:rPr>
                <w:sz w:val="18"/>
                <w:szCs w:val="18"/>
                <w:rtl/>
              </w:rPr>
            </w:pPr>
            <w:r w:rsidRPr="00461589">
              <w:rPr>
                <w:rFonts w:hint="cs"/>
                <w:sz w:val="18"/>
                <w:szCs w:val="18"/>
                <w:rtl/>
              </w:rPr>
              <w:t xml:space="preserve"> 0</w:t>
            </w:r>
          </w:p>
        </w:tc>
        <w:tc>
          <w:tcPr>
            <w:tcW w:w="974" w:type="dxa"/>
            <w:vAlign w:val="bottom"/>
          </w:tcPr>
          <w:p w14:paraId="434054A9" w14:textId="77777777" w:rsidR="00D7159D" w:rsidRPr="00461589" w:rsidRDefault="00D7159D" w:rsidP="006F3019">
            <w:pPr>
              <w:pStyle w:val="-7"/>
              <w:jc w:val="left"/>
              <w:rPr>
                <w:sz w:val="18"/>
                <w:szCs w:val="18"/>
                <w:rtl/>
              </w:rPr>
            </w:pPr>
            <w:r w:rsidRPr="00461589">
              <w:rPr>
                <w:rFonts w:hint="cs"/>
                <w:sz w:val="18"/>
                <w:szCs w:val="18"/>
                <w:rtl/>
              </w:rPr>
              <w:t xml:space="preserve"> 0</w:t>
            </w:r>
          </w:p>
        </w:tc>
        <w:tc>
          <w:tcPr>
            <w:tcW w:w="1060" w:type="dxa"/>
            <w:vAlign w:val="bottom"/>
          </w:tcPr>
          <w:p w14:paraId="15FCA04D" w14:textId="77777777" w:rsidR="00D7159D" w:rsidRPr="00461589" w:rsidRDefault="00D7159D" w:rsidP="006F3019">
            <w:pPr>
              <w:pStyle w:val="-7"/>
              <w:jc w:val="left"/>
              <w:rPr>
                <w:sz w:val="18"/>
                <w:szCs w:val="18"/>
                <w:rtl/>
              </w:rPr>
            </w:pPr>
            <w:r w:rsidRPr="00461589">
              <w:rPr>
                <w:rFonts w:hint="cs"/>
                <w:sz w:val="18"/>
                <w:szCs w:val="18"/>
                <w:rtl/>
              </w:rPr>
              <w:t xml:space="preserve"> 0</w:t>
            </w:r>
          </w:p>
        </w:tc>
      </w:tr>
      <w:tr w:rsidR="00D7159D" w:rsidRPr="00461589" w14:paraId="5759FCD9" w14:textId="77777777" w:rsidTr="00D7159D">
        <w:trPr>
          <w:trHeight w:val="129"/>
        </w:trPr>
        <w:tc>
          <w:tcPr>
            <w:tcW w:w="1361" w:type="dxa"/>
          </w:tcPr>
          <w:p w14:paraId="35AF85B2" w14:textId="77777777" w:rsidR="00D7159D" w:rsidRPr="00461589" w:rsidRDefault="00D7159D" w:rsidP="006F3019">
            <w:pPr>
              <w:pStyle w:val="-7"/>
              <w:spacing w:line="240" w:lineRule="auto"/>
              <w:jc w:val="left"/>
              <w:rPr>
                <w:sz w:val="18"/>
                <w:szCs w:val="18"/>
                <w:rtl/>
              </w:rPr>
            </w:pPr>
          </w:p>
        </w:tc>
        <w:tc>
          <w:tcPr>
            <w:tcW w:w="5185" w:type="dxa"/>
            <w:vAlign w:val="bottom"/>
          </w:tcPr>
          <w:p w14:paraId="4A72034A" w14:textId="77777777" w:rsidR="00D7159D" w:rsidRPr="00461589" w:rsidRDefault="00D7159D" w:rsidP="005E38B6">
            <w:pPr>
              <w:pStyle w:val="-0"/>
              <w:tabs>
                <w:tab w:val="left" w:pos="716"/>
              </w:tabs>
              <w:spacing w:line="240" w:lineRule="auto"/>
              <w:ind w:left="454" w:hanging="284"/>
              <w:rPr>
                <w:sz w:val="18"/>
                <w:szCs w:val="18"/>
                <w:rtl/>
              </w:rPr>
            </w:pPr>
            <w:r w:rsidRPr="00461589">
              <w:rPr>
                <w:sz w:val="18"/>
                <w:szCs w:val="18"/>
                <w:rtl/>
              </w:rPr>
              <w:tab/>
            </w:r>
            <w:r w:rsidRPr="00461589">
              <w:rPr>
                <w:rFonts w:hint="cs"/>
                <w:sz w:val="18"/>
                <w:szCs w:val="18"/>
                <w:rtl/>
              </w:rPr>
              <w:t>הון רובד 2, לאחר ניכויים</w:t>
            </w:r>
          </w:p>
        </w:tc>
        <w:tc>
          <w:tcPr>
            <w:tcW w:w="975" w:type="dxa"/>
            <w:vAlign w:val="bottom"/>
          </w:tcPr>
          <w:p w14:paraId="12F508B3" w14:textId="77777777" w:rsidR="00D7159D" w:rsidRPr="00461589" w:rsidRDefault="00D7159D" w:rsidP="006F3019">
            <w:pPr>
              <w:pStyle w:val="-7"/>
              <w:pBdr>
                <w:bottom w:val="single" w:sz="4" w:space="1" w:color="auto"/>
              </w:pBdr>
              <w:jc w:val="left"/>
              <w:rPr>
                <w:sz w:val="18"/>
                <w:szCs w:val="18"/>
                <w:rtl/>
              </w:rPr>
            </w:pPr>
            <w:r w:rsidRPr="00461589">
              <w:rPr>
                <w:rFonts w:hint="cs"/>
                <w:sz w:val="18"/>
                <w:szCs w:val="18"/>
                <w:rtl/>
              </w:rPr>
              <w:t xml:space="preserve"> 0</w:t>
            </w:r>
          </w:p>
        </w:tc>
        <w:tc>
          <w:tcPr>
            <w:tcW w:w="974" w:type="dxa"/>
            <w:vAlign w:val="bottom"/>
          </w:tcPr>
          <w:p w14:paraId="5D5B7432" w14:textId="77777777" w:rsidR="00D7159D" w:rsidRPr="00461589" w:rsidRDefault="00D7159D" w:rsidP="006F3019">
            <w:pPr>
              <w:pStyle w:val="-7"/>
              <w:pBdr>
                <w:bottom w:val="single" w:sz="4" w:space="1" w:color="auto"/>
              </w:pBdr>
              <w:jc w:val="left"/>
              <w:rPr>
                <w:sz w:val="18"/>
                <w:szCs w:val="18"/>
                <w:rtl/>
              </w:rPr>
            </w:pPr>
            <w:r w:rsidRPr="00461589">
              <w:rPr>
                <w:rFonts w:hint="cs"/>
                <w:sz w:val="18"/>
                <w:szCs w:val="18"/>
                <w:rtl/>
              </w:rPr>
              <w:t xml:space="preserve"> 0</w:t>
            </w:r>
          </w:p>
        </w:tc>
        <w:tc>
          <w:tcPr>
            <w:tcW w:w="1060" w:type="dxa"/>
            <w:vAlign w:val="bottom"/>
          </w:tcPr>
          <w:p w14:paraId="188592B6" w14:textId="77777777" w:rsidR="00D7159D" w:rsidRPr="00461589" w:rsidRDefault="00D7159D" w:rsidP="006F3019">
            <w:pPr>
              <w:pStyle w:val="-7"/>
              <w:pBdr>
                <w:bottom w:val="single" w:sz="4" w:space="1" w:color="auto"/>
              </w:pBdr>
              <w:jc w:val="left"/>
              <w:rPr>
                <w:sz w:val="18"/>
                <w:szCs w:val="18"/>
                <w:rtl/>
              </w:rPr>
            </w:pPr>
            <w:r w:rsidRPr="00461589">
              <w:rPr>
                <w:rFonts w:hint="cs"/>
                <w:sz w:val="18"/>
                <w:szCs w:val="18"/>
                <w:rtl/>
              </w:rPr>
              <w:t xml:space="preserve"> 0</w:t>
            </w:r>
          </w:p>
        </w:tc>
      </w:tr>
      <w:tr w:rsidR="00D7159D" w:rsidRPr="00461589" w14:paraId="0BEB95E0" w14:textId="77777777" w:rsidTr="00D7159D">
        <w:trPr>
          <w:trHeight w:val="259"/>
        </w:trPr>
        <w:tc>
          <w:tcPr>
            <w:tcW w:w="1361" w:type="dxa"/>
          </w:tcPr>
          <w:p w14:paraId="3245FB88" w14:textId="77777777" w:rsidR="00D7159D" w:rsidRPr="00461589" w:rsidRDefault="00D7159D" w:rsidP="006F3019">
            <w:pPr>
              <w:pStyle w:val="-7"/>
              <w:jc w:val="left"/>
              <w:rPr>
                <w:sz w:val="18"/>
                <w:szCs w:val="18"/>
                <w:rtl/>
              </w:rPr>
            </w:pPr>
          </w:p>
        </w:tc>
        <w:tc>
          <w:tcPr>
            <w:tcW w:w="5185" w:type="dxa"/>
            <w:vAlign w:val="bottom"/>
          </w:tcPr>
          <w:p w14:paraId="4B31DB52" w14:textId="77777777" w:rsidR="00D7159D" w:rsidRPr="00461589" w:rsidRDefault="00D7159D" w:rsidP="005E38B6">
            <w:pPr>
              <w:pStyle w:val="-b"/>
              <w:spacing w:line="240" w:lineRule="auto"/>
              <w:ind w:left="1052" w:hanging="284"/>
              <w:rPr>
                <w:sz w:val="18"/>
                <w:szCs w:val="18"/>
                <w:rtl/>
              </w:rPr>
            </w:pPr>
            <w:r w:rsidRPr="00461589">
              <w:rPr>
                <w:rFonts w:hint="cs"/>
                <w:sz w:val="18"/>
                <w:szCs w:val="18"/>
                <w:rtl/>
              </w:rPr>
              <w:t>סך הכל הון כולל</w:t>
            </w:r>
          </w:p>
        </w:tc>
        <w:tc>
          <w:tcPr>
            <w:tcW w:w="975" w:type="dxa"/>
            <w:vAlign w:val="bottom"/>
          </w:tcPr>
          <w:p w14:paraId="52B7AE95" w14:textId="77777777" w:rsidR="00D7159D" w:rsidRPr="00461589" w:rsidRDefault="00D7159D" w:rsidP="006F3019">
            <w:pPr>
              <w:pStyle w:val="-f1"/>
              <w:pBdr>
                <w:top w:val="none" w:sz="0" w:space="0" w:color="auto"/>
                <w:bottom w:val="double" w:sz="4" w:space="1" w:color="auto"/>
              </w:pBdr>
              <w:rPr>
                <w:sz w:val="18"/>
                <w:szCs w:val="18"/>
                <w:rtl/>
              </w:rPr>
            </w:pPr>
            <w:r w:rsidRPr="00461589">
              <w:rPr>
                <w:rFonts w:hint="cs"/>
                <w:sz w:val="18"/>
                <w:szCs w:val="18"/>
                <w:rtl/>
              </w:rPr>
              <w:t xml:space="preserve"> 0</w:t>
            </w:r>
          </w:p>
        </w:tc>
        <w:tc>
          <w:tcPr>
            <w:tcW w:w="974" w:type="dxa"/>
            <w:vAlign w:val="bottom"/>
          </w:tcPr>
          <w:p w14:paraId="6BB16324" w14:textId="77777777" w:rsidR="00D7159D" w:rsidRPr="00461589" w:rsidRDefault="00D7159D" w:rsidP="006F3019">
            <w:pPr>
              <w:pStyle w:val="-f1"/>
              <w:pBdr>
                <w:top w:val="none" w:sz="0" w:space="0" w:color="auto"/>
                <w:bottom w:val="double" w:sz="4" w:space="1" w:color="auto"/>
              </w:pBdr>
              <w:rPr>
                <w:sz w:val="18"/>
                <w:szCs w:val="18"/>
                <w:rtl/>
              </w:rPr>
            </w:pPr>
            <w:r w:rsidRPr="00461589">
              <w:rPr>
                <w:rFonts w:hint="cs"/>
                <w:sz w:val="18"/>
                <w:szCs w:val="18"/>
                <w:rtl/>
              </w:rPr>
              <w:t xml:space="preserve"> 0</w:t>
            </w:r>
          </w:p>
        </w:tc>
        <w:tc>
          <w:tcPr>
            <w:tcW w:w="1060" w:type="dxa"/>
            <w:vAlign w:val="bottom"/>
          </w:tcPr>
          <w:p w14:paraId="0F355431" w14:textId="77777777" w:rsidR="00D7159D" w:rsidRPr="00461589" w:rsidRDefault="00D7159D" w:rsidP="006F3019">
            <w:pPr>
              <w:pStyle w:val="-f1"/>
              <w:pBdr>
                <w:top w:val="none" w:sz="0" w:space="0" w:color="auto"/>
                <w:bottom w:val="double" w:sz="4" w:space="1" w:color="auto"/>
              </w:pBdr>
              <w:rPr>
                <w:sz w:val="18"/>
                <w:szCs w:val="18"/>
                <w:rtl/>
              </w:rPr>
            </w:pPr>
            <w:r w:rsidRPr="00461589">
              <w:rPr>
                <w:rFonts w:hint="cs"/>
                <w:sz w:val="18"/>
                <w:szCs w:val="18"/>
                <w:rtl/>
              </w:rPr>
              <w:t xml:space="preserve"> 0</w:t>
            </w:r>
          </w:p>
        </w:tc>
      </w:tr>
    </w:tbl>
    <w:p w14:paraId="67E15D15" w14:textId="77777777" w:rsidR="00F32A2A" w:rsidRPr="00461589" w:rsidRDefault="00F32A2A">
      <w:pPr>
        <w:spacing w:line="80" w:lineRule="exact"/>
        <w:rPr>
          <w:sz w:val="18"/>
          <w:szCs w:val="18"/>
          <w:rtl/>
        </w:rPr>
      </w:pPr>
    </w:p>
    <w:tbl>
      <w:tblPr>
        <w:bidiVisual/>
        <w:tblW w:w="4710" w:type="pct"/>
        <w:tblLayout w:type="fixed"/>
        <w:tblLook w:val="01E0" w:firstRow="1" w:lastRow="1" w:firstColumn="1" w:lastColumn="1" w:noHBand="0" w:noVBand="0"/>
      </w:tblPr>
      <w:tblGrid>
        <w:gridCol w:w="1417"/>
        <w:gridCol w:w="5173"/>
        <w:gridCol w:w="975"/>
        <w:gridCol w:w="974"/>
        <w:gridCol w:w="1076"/>
      </w:tblGrid>
      <w:tr w:rsidR="00D7159D" w:rsidRPr="00461589" w14:paraId="76B1C648" w14:textId="77777777" w:rsidTr="00D7159D">
        <w:trPr>
          <w:trHeight w:val="283"/>
        </w:trPr>
        <w:tc>
          <w:tcPr>
            <w:tcW w:w="1417" w:type="dxa"/>
          </w:tcPr>
          <w:p w14:paraId="4BBCDCFF" w14:textId="77777777" w:rsidR="00D7159D" w:rsidRPr="00461589" w:rsidRDefault="00D7159D">
            <w:pPr>
              <w:pStyle w:val="-7"/>
              <w:spacing w:line="240" w:lineRule="auto"/>
              <w:jc w:val="left"/>
              <w:rPr>
                <w:sz w:val="18"/>
                <w:szCs w:val="18"/>
                <w:rtl/>
              </w:rPr>
            </w:pPr>
          </w:p>
        </w:tc>
        <w:tc>
          <w:tcPr>
            <w:tcW w:w="5172" w:type="dxa"/>
            <w:vAlign w:val="bottom"/>
          </w:tcPr>
          <w:p w14:paraId="1DF3E123" w14:textId="77777777" w:rsidR="00D7159D" w:rsidRPr="00461589" w:rsidRDefault="00D7159D" w:rsidP="005E38B6">
            <w:pPr>
              <w:pStyle w:val="-0"/>
              <w:tabs>
                <w:tab w:val="left" w:pos="716"/>
              </w:tabs>
              <w:spacing w:line="240" w:lineRule="auto"/>
              <w:ind w:left="432" w:hanging="283"/>
              <w:rPr>
                <w:sz w:val="18"/>
                <w:szCs w:val="18"/>
                <w:rtl/>
              </w:rPr>
            </w:pPr>
            <w:r w:rsidRPr="00461589">
              <w:rPr>
                <w:rFonts w:hint="cs"/>
                <w:b/>
                <w:bCs/>
                <w:sz w:val="18"/>
                <w:szCs w:val="18"/>
                <w:rtl/>
              </w:rPr>
              <w:t>2)</w:t>
            </w:r>
            <w:r w:rsidRPr="00461589">
              <w:rPr>
                <w:b/>
                <w:bCs/>
                <w:sz w:val="18"/>
                <w:szCs w:val="18"/>
                <w:rtl/>
              </w:rPr>
              <w:tab/>
            </w:r>
            <w:r w:rsidRPr="00461589">
              <w:rPr>
                <w:rFonts w:hint="cs"/>
                <w:b/>
                <w:bCs/>
                <w:sz w:val="18"/>
                <w:szCs w:val="18"/>
                <w:rtl/>
              </w:rPr>
              <w:t>יתרות משוקללות של נכסי סיכון:</w:t>
            </w:r>
          </w:p>
        </w:tc>
        <w:tc>
          <w:tcPr>
            <w:tcW w:w="975" w:type="dxa"/>
            <w:vAlign w:val="bottom"/>
          </w:tcPr>
          <w:p w14:paraId="3010BD81" w14:textId="77777777" w:rsidR="00D7159D" w:rsidRPr="00461589" w:rsidRDefault="00D7159D" w:rsidP="006F3019">
            <w:pPr>
              <w:pStyle w:val="-7"/>
              <w:jc w:val="left"/>
              <w:rPr>
                <w:sz w:val="18"/>
                <w:szCs w:val="18"/>
                <w:rtl/>
              </w:rPr>
            </w:pPr>
          </w:p>
        </w:tc>
        <w:tc>
          <w:tcPr>
            <w:tcW w:w="974" w:type="dxa"/>
            <w:vAlign w:val="bottom"/>
          </w:tcPr>
          <w:p w14:paraId="0D42C3C6" w14:textId="77777777" w:rsidR="00D7159D" w:rsidRPr="00461589" w:rsidRDefault="00D7159D" w:rsidP="006F3019">
            <w:pPr>
              <w:pStyle w:val="-7"/>
              <w:jc w:val="left"/>
              <w:rPr>
                <w:sz w:val="18"/>
                <w:szCs w:val="18"/>
                <w:rtl/>
              </w:rPr>
            </w:pPr>
          </w:p>
        </w:tc>
        <w:tc>
          <w:tcPr>
            <w:tcW w:w="1076" w:type="dxa"/>
            <w:vAlign w:val="bottom"/>
          </w:tcPr>
          <w:p w14:paraId="555D4876" w14:textId="77777777" w:rsidR="00D7159D" w:rsidRPr="00461589" w:rsidRDefault="00D7159D" w:rsidP="006F3019">
            <w:pPr>
              <w:pStyle w:val="-7"/>
              <w:jc w:val="left"/>
              <w:rPr>
                <w:sz w:val="18"/>
                <w:szCs w:val="18"/>
                <w:rtl/>
              </w:rPr>
            </w:pPr>
          </w:p>
        </w:tc>
      </w:tr>
      <w:tr w:rsidR="00D7159D" w:rsidRPr="00461589" w14:paraId="45FA96EC" w14:textId="77777777" w:rsidTr="00D7159D">
        <w:trPr>
          <w:trHeight w:val="283"/>
        </w:trPr>
        <w:tc>
          <w:tcPr>
            <w:tcW w:w="1417" w:type="dxa"/>
          </w:tcPr>
          <w:p w14:paraId="1D10BC2F" w14:textId="77777777" w:rsidR="00D7159D" w:rsidRPr="00461589" w:rsidRDefault="00D7159D" w:rsidP="006F3019">
            <w:pPr>
              <w:pStyle w:val="-7"/>
              <w:jc w:val="left"/>
              <w:rPr>
                <w:sz w:val="18"/>
                <w:szCs w:val="18"/>
                <w:rtl/>
              </w:rPr>
            </w:pPr>
          </w:p>
        </w:tc>
        <w:tc>
          <w:tcPr>
            <w:tcW w:w="5172" w:type="dxa"/>
            <w:vAlign w:val="bottom"/>
          </w:tcPr>
          <w:p w14:paraId="50C21146" w14:textId="4E31190B" w:rsidR="00D7159D" w:rsidRPr="00461589" w:rsidRDefault="00D7159D" w:rsidP="00D03909">
            <w:pPr>
              <w:pStyle w:val="-0"/>
              <w:tabs>
                <w:tab w:val="left" w:pos="716"/>
              </w:tabs>
              <w:spacing w:line="240" w:lineRule="auto"/>
              <w:ind w:left="738" w:hanging="284"/>
              <w:rPr>
                <w:sz w:val="18"/>
                <w:szCs w:val="18"/>
                <w:rtl/>
              </w:rPr>
            </w:pPr>
            <w:r w:rsidRPr="00B4733F">
              <w:rPr>
                <w:rFonts w:hint="cs"/>
                <w:sz w:val="18"/>
                <w:szCs w:val="18"/>
                <w:rtl/>
              </w:rPr>
              <w:t>סיכון אשראי</w:t>
            </w:r>
            <w:r w:rsidRPr="00426EDD">
              <w:rPr>
                <w:sz w:val="18"/>
                <w:szCs w:val="18"/>
                <w:vertAlign w:val="superscript"/>
                <w:rtl/>
              </w:rPr>
              <w:t>(</w:t>
            </w:r>
            <w:r w:rsidRPr="00426EDD">
              <w:rPr>
                <w:rFonts w:hint="cs"/>
                <w:sz w:val="18"/>
                <w:szCs w:val="18"/>
                <w:vertAlign w:val="superscript"/>
                <w:rtl/>
              </w:rPr>
              <w:t>ג</w:t>
            </w:r>
            <w:r w:rsidRPr="00426EDD">
              <w:rPr>
                <w:sz w:val="18"/>
                <w:szCs w:val="18"/>
                <w:vertAlign w:val="superscript"/>
                <w:rtl/>
              </w:rPr>
              <w:t>)</w:t>
            </w:r>
          </w:p>
        </w:tc>
        <w:tc>
          <w:tcPr>
            <w:tcW w:w="975" w:type="dxa"/>
            <w:vAlign w:val="bottom"/>
          </w:tcPr>
          <w:p w14:paraId="401D8385" w14:textId="77777777" w:rsidR="00D7159D" w:rsidRPr="00461589" w:rsidRDefault="00D7159D" w:rsidP="006F3019">
            <w:pPr>
              <w:pStyle w:val="-7"/>
              <w:jc w:val="left"/>
              <w:rPr>
                <w:sz w:val="18"/>
                <w:szCs w:val="18"/>
                <w:rtl/>
              </w:rPr>
            </w:pPr>
            <w:r w:rsidRPr="00461589">
              <w:rPr>
                <w:rFonts w:hint="cs"/>
                <w:sz w:val="18"/>
                <w:szCs w:val="18"/>
                <w:rtl/>
              </w:rPr>
              <w:t xml:space="preserve"> 0</w:t>
            </w:r>
          </w:p>
        </w:tc>
        <w:tc>
          <w:tcPr>
            <w:tcW w:w="974" w:type="dxa"/>
            <w:vAlign w:val="bottom"/>
          </w:tcPr>
          <w:p w14:paraId="474B5E08" w14:textId="77777777" w:rsidR="00D7159D" w:rsidRPr="00461589" w:rsidRDefault="00D7159D" w:rsidP="006F3019">
            <w:pPr>
              <w:pStyle w:val="-7"/>
              <w:jc w:val="left"/>
              <w:rPr>
                <w:sz w:val="18"/>
                <w:szCs w:val="18"/>
                <w:rtl/>
              </w:rPr>
            </w:pPr>
            <w:r w:rsidRPr="00461589">
              <w:rPr>
                <w:rFonts w:hint="cs"/>
                <w:sz w:val="18"/>
                <w:szCs w:val="18"/>
                <w:rtl/>
              </w:rPr>
              <w:t xml:space="preserve"> 0</w:t>
            </w:r>
          </w:p>
        </w:tc>
        <w:tc>
          <w:tcPr>
            <w:tcW w:w="1076" w:type="dxa"/>
            <w:vAlign w:val="bottom"/>
          </w:tcPr>
          <w:p w14:paraId="31633525" w14:textId="77777777" w:rsidR="00D7159D" w:rsidRPr="00461589" w:rsidRDefault="00D7159D" w:rsidP="006F3019">
            <w:pPr>
              <w:pStyle w:val="-7"/>
              <w:jc w:val="left"/>
              <w:rPr>
                <w:sz w:val="18"/>
                <w:szCs w:val="18"/>
                <w:rtl/>
              </w:rPr>
            </w:pPr>
            <w:r w:rsidRPr="00461589">
              <w:rPr>
                <w:rFonts w:hint="cs"/>
                <w:sz w:val="18"/>
                <w:szCs w:val="18"/>
                <w:rtl/>
              </w:rPr>
              <w:t xml:space="preserve"> 0</w:t>
            </w:r>
          </w:p>
        </w:tc>
      </w:tr>
      <w:tr w:rsidR="00D7159D" w:rsidRPr="00461589" w14:paraId="0494A006" w14:textId="77777777" w:rsidTr="00D7159D">
        <w:trPr>
          <w:trHeight w:val="283"/>
        </w:trPr>
        <w:tc>
          <w:tcPr>
            <w:tcW w:w="1417" w:type="dxa"/>
          </w:tcPr>
          <w:p w14:paraId="397CA457" w14:textId="77777777" w:rsidR="00D7159D" w:rsidRPr="00461589" w:rsidRDefault="00D7159D" w:rsidP="006F3019">
            <w:pPr>
              <w:pStyle w:val="-7"/>
              <w:jc w:val="left"/>
              <w:rPr>
                <w:sz w:val="18"/>
                <w:szCs w:val="18"/>
                <w:rtl/>
              </w:rPr>
            </w:pPr>
          </w:p>
        </w:tc>
        <w:tc>
          <w:tcPr>
            <w:tcW w:w="5172" w:type="dxa"/>
            <w:vAlign w:val="bottom"/>
          </w:tcPr>
          <w:p w14:paraId="4F368170" w14:textId="77777777" w:rsidR="00D7159D" w:rsidRPr="00461589" w:rsidRDefault="00D7159D" w:rsidP="00D03909">
            <w:pPr>
              <w:pStyle w:val="-0"/>
              <w:tabs>
                <w:tab w:val="left" w:pos="716"/>
              </w:tabs>
              <w:spacing w:line="240" w:lineRule="auto"/>
              <w:ind w:left="738" w:hanging="284"/>
              <w:rPr>
                <w:sz w:val="18"/>
                <w:szCs w:val="18"/>
                <w:rtl/>
              </w:rPr>
            </w:pPr>
            <w:r w:rsidRPr="00461589">
              <w:rPr>
                <w:rFonts w:hint="cs"/>
                <w:sz w:val="18"/>
                <w:szCs w:val="18"/>
                <w:rtl/>
              </w:rPr>
              <w:t>סיכוני שוק</w:t>
            </w:r>
          </w:p>
        </w:tc>
        <w:tc>
          <w:tcPr>
            <w:tcW w:w="975" w:type="dxa"/>
            <w:vAlign w:val="bottom"/>
          </w:tcPr>
          <w:p w14:paraId="791090E8" w14:textId="77777777" w:rsidR="00D7159D" w:rsidRPr="00461589" w:rsidRDefault="00D7159D" w:rsidP="006F3019">
            <w:pPr>
              <w:pStyle w:val="-7"/>
              <w:jc w:val="left"/>
              <w:rPr>
                <w:sz w:val="18"/>
                <w:szCs w:val="18"/>
                <w:rtl/>
              </w:rPr>
            </w:pPr>
            <w:r w:rsidRPr="00461589">
              <w:rPr>
                <w:rFonts w:hint="cs"/>
                <w:sz w:val="18"/>
                <w:szCs w:val="18"/>
                <w:rtl/>
              </w:rPr>
              <w:t xml:space="preserve"> 0</w:t>
            </w:r>
          </w:p>
        </w:tc>
        <w:tc>
          <w:tcPr>
            <w:tcW w:w="974" w:type="dxa"/>
            <w:vAlign w:val="bottom"/>
          </w:tcPr>
          <w:p w14:paraId="0B9411B7" w14:textId="77777777" w:rsidR="00D7159D" w:rsidRPr="00461589" w:rsidRDefault="00D7159D" w:rsidP="006F3019">
            <w:pPr>
              <w:pStyle w:val="-7"/>
              <w:jc w:val="left"/>
              <w:rPr>
                <w:sz w:val="18"/>
                <w:szCs w:val="18"/>
                <w:rtl/>
              </w:rPr>
            </w:pPr>
            <w:r w:rsidRPr="00461589">
              <w:rPr>
                <w:rFonts w:hint="cs"/>
                <w:sz w:val="18"/>
                <w:szCs w:val="18"/>
                <w:rtl/>
              </w:rPr>
              <w:t xml:space="preserve"> 0</w:t>
            </w:r>
          </w:p>
        </w:tc>
        <w:tc>
          <w:tcPr>
            <w:tcW w:w="1076" w:type="dxa"/>
            <w:vAlign w:val="bottom"/>
          </w:tcPr>
          <w:p w14:paraId="4A784FA7" w14:textId="77777777" w:rsidR="00D7159D" w:rsidRPr="00461589" w:rsidRDefault="00D7159D" w:rsidP="006F3019">
            <w:pPr>
              <w:pStyle w:val="-7"/>
              <w:jc w:val="left"/>
              <w:rPr>
                <w:sz w:val="18"/>
                <w:szCs w:val="18"/>
                <w:rtl/>
              </w:rPr>
            </w:pPr>
            <w:r w:rsidRPr="00461589">
              <w:rPr>
                <w:rFonts w:hint="cs"/>
                <w:sz w:val="18"/>
                <w:szCs w:val="18"/>
                <w:rtl/>
              </w:rPr>
              <w:t xml:space="preserve"> 0</w:t>
            </w:r>
          </w:p>
        </w:tc>
      </w:tr>
      <w:tr w:rsidR="00D7159D" w:rsidRPr="00461589" w14:paraId="1DDF333B" w14:textId="77777777" w:rsidTr="00D7159D">
        <w:trPr>
          <w:trHeight w:val="259"/>
        </w:trPr>
        <w:tc>
          <w:tcPr>
            <w:tcW w:w="1417" w:type="dxa"/>
          </w:tcPr>
          <w:p w14:paraId="54CBBE4D" w14:textId="77777777" w:rsidR="00D7159D" w:rsidRPr="00461589" w:rsidRDefault="00D7159D" w:rsidP="006F3019">
            <w:pPr>
              <w:pStyle w:val="-7"/>
              <w:jc w:val="left"/>
              <w:rPr>
                <w:sz w:val="18"/>
                <w:szCs w:val="18"/>
                <w:rtl/>
              </w:rPr>
            </w:pPr>
          </w:p>
        </w:tc>
        <w:tc>
          <w:tcPr>
            <w:tcW w:w="5172" w:type="dxa"/>
            <w:vAlign w:val="bottom"/>
          </w:tcPr>
          <w:p w14:paraId="533FFF00" w14:textId="77777777" w:rsidR="00D7159D" w:rsidRPr="00461589" w:rsidRDefault="00D7159D" w:rsidP="00D03909">
            <w:pPr>
              <w:pStyle w:val="-0"/>
              <w:tabs>
                <w:tab w:val="left" w:pos="716"/>
              </w:tabs>
              <w:spacing w:line="240" w:lineRule="auto"/>
              <w:ind w:left="738" w:hanging="284"/>
              <w:rPr>
                <w:sz w:val="18"/>
                <w:szCs w:val="18"/>
                <w:rtl/>
              </w:rPr>
            </w:pPr>
            <w:r w:rsidRPr="00461589">
              <w:rPr>
                <w:rFonts w:hint="cs"/>
                <w:sz w:val="18"/>
                <w:szCs w:val="18"/>
                <w:rtl/>
              </w:rPr>
              <w:t>סיכון תפעולי</w:t>
            </w:r>
          </w:p>
        </w:tc>
        <w:tc>
          <w:tcPr>
            <w:tcW w:w="975" w:type="dxa"/>
            <w:vAlign w:val="bottom"/>
          </w:tcPr>
          <w:p w14:paraId="59268874" w14:textId="77777777" w:rsidR="00D7159D" w:rsidRPr="00461589" w:rsidRDefault="00D7159D" w:rsidP="006F3019">
            <w:pPr>
              <w:pStyle w:val="-7"/>
              <w:pBdr>
                <w:bottom w:val="single" w:sz="4" w:space="1" w:color="auto"/>
              </w:pBdr>
              <w:jc w:val="left"/>
              <w:rPr>
                <w:sz w:val="18"/>
                <w:szCs w:val="18"/>
                <w:rtl/>
              </w:rPr>
            </w:pPr>
            <w:r w:rsidRPr="00461589">
              <w:rPr>
                <w:rFonts w:hint="cs"/>
                <w:sz w:val="18"/>
                <w:szCs w:val="18"/>
                <w:rtl/>
              </w:rPr>
              <w:t xml:space="preserve"> 0</w:t>
            </w:r>
          </w:p>
        </w:tc>
        <w:tc>
          <w:tcPr>
            <w:tcW w:w="974" w:type="dxa"/>
            <w:vAlign w:val="bottom"/>
          </w:tcPr>
          <w:p w14:paraId="364DA1BC" w14:textId="77777777" w:rsidR="00D7159D" w:rsidRPr="00461589" w:rsidRDefault="00D7159D" w:rsidP="006F3019">
            <w:pPr>
              <w:pStyle w:val="-7"/>
              <w:pBdr>
                <w:bottom w:val="single" w:sz="4" w:space="1" w:color="auto"/>
              </w:pBdr>
              <w:jc w:val="left"/>
              <w:rPr>
                <w:sz w:val="18"/>
                <w:szCs w:val="18"/>
                <w:rtl/>
              </w:rPr>
            </w:pPr>
            <w:r w:rsidRPr="00461589">
              <w:rPr>
                <w:rFonts w:hint="cs"/>
                <w:sz w:val="18"/>
                <w:szCs w:val="18"/>
                <w:rtl/>
              </w:rPr>
              <w:t xml:space="preserve"> 0</w:t>
            </w:r>
          </w:p>
        </w:tc>
        <w:tc>
          <w:tcPr>
            <w:tcW w:w="1076" w:type="dxa"/>
            <w:vAlign w:val="bottom"/>
          </w:tcPr>
          <w:p w14:paraId="5B4269BC" w14:textId="77777777" w:rsidR="00D7159D" w:rsidRPr="00461589" w:rsidRDefault="00D7159D" w:rsidP="006F3019">
            <w:pPr>
              <w:pStyle w:val="-7"/>
              <w:pBdr>
                <w:bottom w:val="single" w:sz="4" w:space="1" w:color="auto"/>
              </w:pBdr>
              <w:jc w:val="left"/>
              <w:rPr>
                <w:sz w:val="18"/>
                <w:szCs w:val="18"/>
                <w:rtl/>
              </w:rPr>
            </w:pPr>
            <w:r w:rsidRPr="00461589">
              <w:rPr>
                <w:rFonts w:hint="cs"/>
                <w:sz w:val="18"/>
                <w:szCs w:val="18"/>
                <w:rtl/>
              </w:rPr>
              <w:t xml:space="preserve"> 0</w:t>
            </w:r>
          </w:p>
        </w:tc>
      </w:tr>
      <w:tr w:rsidR="00D7159D" w:rsidRPr="00461589" w14:paraId="02AB77FA" w14:textId="77777777" w:rsidTr="00D7159D">
        <w:trPr>
          <w:trHeight w:val="259"/>
        </w:trPr>
        <w:tc>
          <w:tcPr>
            <w:tcW w:w="1417" w:type="dxa"/>
          </w:tcPr>
          <w:p w14:paraId="16BD216C" w14:textId="77777777" w:rsidR="00D7159D" w:rsidRPr="00461589" w:rsidRDefault="00D7159D" w:rsidP="00030C7C">
            <w:pPr>
              <w:pStyle w:val="-7"/>
              <w:spacing w:before="20"/>
              <w:jc w:val="left"/>
              <w:rPr>
                <w:sz w:val="18"/>
                <w:szCs w:val="18"/>
                <w:rtl/>
              </w:rPr>
            </w:pPr>
          </w:p>
        </w:tc>
        <w:tc>
          <w:tcPr>
            <w:tcW w:w="5172" w:type="dxa"/>
            <w:vAlign w:val="bottom"/>
          </w:tcPr>
          <w:p w14:paraId="5B47412E" w14:textId="2F5BD584" w:rsidR="00D7159D" w:rsidRPr="00461589" w:rsidRDefault="00D7159D" w:rsidP="00B4733F">
            <w:pPr>
              <w:pStyle w:val="-b"/>
              <w:spacing w:line="240" w:lineRule="auto"/>
              <w:ind w:left="1052" w:hanging="284"/>
              <w:rPr>
                <w:b w:val="0"/>
                <w:bCs w:val="0"/>
                <w:sz w:val="18"/>
                <w:szCs w:val="18"/>
                <w:rtl/>
              </w:rPr>
            </w:pPr>
            <w:r w:rsidRPr="00461589">
              <w:rPr>
                <w:rFonts w:hint="cs"/>
                <w:sz w:val="18"/>
                <w:szCs w:val="18"/>
                <w:rtl/>
              </w:rPr>
              <w:t>סך הכל יתרות משוקללות של נכסי סיכון</w:t>
            </w:r>
            <w:r>
              <w:rPr>
                <w:rFonts w:hint="cs"/>
                <w:b w:val="0"/>
                <w:bCs w:val="0"/>
                <w:sz w:val="18"/>
                <w:szCs w:val="18"/>
                <w:rtl/>
              </w:rPr>
              <w:t xml:space="preserve"> </w:t>
            </w:r>
            <w:r w:rsidRPr="003057FF">
              <w:rPr>
                <w:rFonts w:hint="cs"/>
                <w:b w:val="0"/>
                <w:bCs w:val="0"/>
                <w:sz w:val="19"/>
                <w:szCs w:val="19"/>
                <w:vertAlign w:val="superscript"/>
                <w:rtl/>
              </w:rPr>
              <w:t>(א)</w:t>
            </w:r>
          </w:p>
        </w:tc>
        <w:tc>
          <w:tcPr>
            <w:tcW w:w="975" w:type="dxa"/>
            <w:vAlign w:val="bottom"/>
          </w:tcPr>
          <w:p w14:paraId="579C771F" w14:textId="77777777" w:rsidR="00D7159D" w:rsidRPr="00461589" w:rsidRDefault="00D7159D" w:rsidP="00030C7C">
            <w:pPr>
              <w:pStyle w:val="-f1"/>
              <w:pBdr>
                <w:top w:val="none" w:sz="0" w:space="0" w:color="auto"/>
                <w:bottom w:val="double" w:sz="4" w:space="1" w:color="auto"/>
              </w:pBdr>
              <w:spacing w:before="20"/>
              <w:rPr>
                <w:b w:val="0"/>
                <w:bCs w:val="0"/>
                <w:sz w:val="18"/>
                <w:szCs w:val="18"/>
                <w:rtl/>
              </w:rPr>
            </w:pPr>
            <w:r w:rsidRPr="00461589">
              <w:rPr>
                <w:rFonts w:hint="cs"/>
                <w:sz w:val="18"/>
                <w:szCs w:val="18"/>
                <w:rtl/>
              </w:rPr>
              <w:t xml:space="preserve"> 0</w:t>
            </w:r>
            <w:r w:rsidRPr="00461589">
              <w:rPr>
                <w:sz w:val="18"/>
                <w:szCs w:val="18"/>
                <w:vertAlign w:val="superscript"/>
                <w:rtl/>
              </w:rPr>
              <w:t>(א)</w:t>
            </w:r>
          </w:p>
        </w:tc>
        <w:tc>
          <w:tcPr>
            <w:tcW w:w="974" w:type="dxa"/>
            <w:vAlign w:val="bottom"/>
          </w:tcPr>
          <w:p w14:paraId="2892D24E" w14:textId="77777777" w:rsidR="00D7159D" w:rsidRPr="00461589" w:rsidRDefault="00D7159D" w:rsidP="00030C7C">
            <w:pPr>
              <w:pStyle w:val="-f1"/>
              <w:pBdr>
                <w:top w:val="none" w:sz="0" w:space="0" w:color="auto"/>
                <w:bottom w:val="double" w:sz="4" w:space="1" w:color="auto"/>
              </w:pBdr>
              <w:spacing w:before="20"/>
              <w:rPr>
                <w:b w:val="0"/>
                <w:bCs w:val="0"/>
                <w:sz w:val="18"/>
                <w:szCs w:val="18"/>
                <w:rtl/>
              </w:rPr>
            </w:pPr>
            <w:r w:rsidRPr="00461589">
              <w:rPr>
                <w:rFonts w:hint="cs"/>
                <w:sz w:val="18"/>
                <w:szCs w:val="18"/>
                <w:rtl/>
              </w:rPr>
              <w:t xml:space="preserve"> 0</w:t>
            </w:r>
          </w:p>
        </w:tc>
        <w:tc>
          <w:tcPr>
            <w:tcW w:w="1076" w:type="dxa"/>
            <w:vAlign w:val="bottom"/>
          </w:tcPr>
          <w:p w14:paraId="239ABF59" w14:textId="77777777" w:rsidR="00D7159D" w:rsidRPr="00461589" w:rsidRDefault="00D7159D" w:rsidP="00030C7C">
            <w:pPr>
              <w:pStyle w:val="-f1"/>
              <w:pBdr>
                <w:top w:val="none" w:sz="0" w:space="0" w:color="auto"/>
                <w:bottom w:val="double" w:sz="4" w:space="1" w:color="auto"/>
              </w:pBdr>
              <w:spacing w:before="20"/>
              <w:rPr>
                <w:b w:val="0"/>
                <w:bCs w:val="0"/>
                <w:sz w:val="18"/>
                <w:szCs w:val="18"/>
                <w:rtl/>
              </w:rPr>
            </w:pPr>
            <w:r w:rsidRPr="00461589">
              <w:rPr>
                <w:rFonts w:hint="cs"/>
                <w:sz w:val="18"/>
                <w:szCs w:val="18"/>
                <w:rtl/>
              </w:rPr>
              <w:t xml:space="preserve"> 0</w:t>
            </w:r>
          </w:p>
        </w:tc>
      </w:tr>
    </w:tbl>
    <w:p w14:paraId="07265F9B" w14:textId="77777777" w:rsidR="00F32A2A" w:rsidRPr="00461589" w:rsidRDefault="00F32A2A">
      <w:pPr>
        <w:spacing w:line="80" w:lineRule="exact"/>
        <w:rPr>
          <w:sz w:val="18"/>
          <w:szCs w:val="18"/>
        </w:rPr>
      </w:pPr>
    </w:p>
    <w:tbl>
      <w:tblPr>
        <w:bidiVisual/>
        <w:tblW w:w="4710" w:type="pct"/>
        <w:tblLayout w:type="fixed"/>
        <w:tblLook w:val="01E0" w:firstRow="1" w:lastRow="1" w:firstColumn="1" w:lastColumn="1" w:noHBand="0" w:noVBand="0"/>
      </w:tblPr>
      <w:tblGrid>
        <w:gridCol w:w="1417"/>
        <w:gridCol w:w="5173"/>
        <w:gridCol w:w="975"/>
        <w:gridCol w:w="974"/>
        <w:gridCol w:w="1076"/>
      </w:tblGrid>
      <w:tr w:rsidR="00D7159D" w:rsidRPr="00461589" w14:paraId="5057EBFD" w14:textId="77777777" w:rsidTr="00D7159D">
        <w:trPr>
          <w:trHeight w:val="283"/>
        </w:trPr>
        <w:tc>
          <w:tcPr>
            <w:tcW w:w="1417" w:type="dxa"/>
          </w:tcPr>
          <w:p w14:paraId="662E701C" w14:textId="77777777" w:rsidR="00D7159D" w:rsidRPr="00461589" w:rsidRDefault="00D7159D">
            <w:pPr>
              <w:pStyle w:val="-7"/>
              <w:spacing w:line="240" w:lineRule="auto"/>
              <w:jc w:val="left"/>
              <w:rPr>
                <w:sz w:val="18"/>
                <w:szCs w:val="18"/>
                <w:rtl/>
              </w:rPr>
            </w:pPr>
          </w:p>
        </w:tc>
        <w:tc>
          <w:tcPr>
            <w:tcW w:w="5172" w:type="dxa"/>
            <w:vAlign w:val="bottom"/>
          </w:tcPr>
          <w:p w14:paraId="0F7EE2F6" w14:textId="77777777" w:rsidR="00D7159D" w:rsidRPr="00461589" w:rsidRDefault="00D7159D" w:rsidP="005E38B6">
            <w:pPr>
              <w:pStyle w:val="-0"/>
              <w:tabs>
                <w:tab w:val="left" w:pos="716"/>
              </w:tabs>
              <w:spacing w:line="240" w:lineRule="auto"/>
              <w:ind w:left="432" w:hanging="283"/>
              <w:rPr>
                <w:sz w:val="18"/>
                <w:szCs w:val="18"/>
                <w:rtl/>
              </w:rPr>
            </w:pPr>
            <w:r w:rsidRPr="00461589">
              <w:rPr>
                <w:rFonts w:hint="cs"/>
                <w:b/>
                <w:bCs/>
                <w:sz w:val="18"/>
                <w:szCs w:val="18"/>
                <w:rtl/>
              </w:rPr>
              <w:t>3)</w:t>
            </w:r>
            <w:r w:rsidRPr="00461589">
              <w:rPr>
                <w:b/>
                <w:bCs/>
                <w:sz w:val="18"/>
                <w:szCs w:val="18"/>
                <w:rtl/>
              </w:rPr>
              <w:tab/>
            </w:r>
            <w:r w:rsidRPr="00461589">
              <w:rPr>
                <w:rFonts w:hint="cs"/>
                <w:b/>
                <w:bCs/>
                <w:sz w:val="18"/>
                <w:szCs w:val="18"/>
                <w:rtl/>
              </w:rPr>
              <w:t>יחס ההון לרכיבי סיכון:</w:t>
            </w:r>
          </w:p>
        </w:tc>
        <w:tc>
          <w:tcPr>
            <w:tcW w:w="3025" w:type="dxa"/>
            <w:gridSpan w:val="3"/>
          </w:tcPr>
          <w:p w14:paraId="11D5C0F3" w14:textId="77777777" w:rsidR="00D7159D" w:rsidRPr="00461589" w:rsidRDefault="00D7159D">
            <w:pPr>
              <w:pStyle w:val="-7"/>
              <w:pBdr>
                <w:bottom w:val="single" w:sz="4" w:space="1" w:color="auto"/>
              </w:pBdr>
              <w:spacing w:line="240" w:lineRule="auto"/>
              <w:jc w:val="center"/>
              <w:rPr>
                <w:sz w:val="18"/>
                <w:szCs w:val="18"/>
                <w:rtl/>
              </w:rPr>
            </w:pPr>
            <w:r w:rsidRPr="00461589">
              <w:rPr>
                <w:rFonts w:hint="cs"/>
                <w:b/>
                <w:bCs/>
                <w:sz w:val="18"/>
                <w:szCs w:val="18"/>
                <w:rtl/>
              </w:rPr>
              <w:t>באחוזים</w:t>
            </w:r>
          </w:p>
        </w:tc>
      </w:tr>
      <w:tr w:rsidR="00D7159D" w:rsidRPr="00461589" w14:paraId="0DB644A2" w14:textId="77777777" w:rsidTr="00D7159D">
        <w:trPr>
          <w:trHeight w:val="283"/>
        </w:trPr>
        <w:tc>
          <w:tcPr>
            <w:tcW w:w="1417" w:type="dxa"/>
          </w:tcPr>
          <w:p w14:paraId="58052E36" w14:textId="77777777" w:rsidR="00D7159D" w:rsidRPr="00461589" w:rsidRDefault="00D7159D" w:rsidP="006F3019">
            <w:pPr>
              <w:pStyle w:val="-7"/>
              <w:jc w:val="left"/>
              <w:rPr>
                <w:sz w:val="18"/>
                <w:szCs w:val="18"/>
                <w:rtl/>
              </w:rPr>
            </w:pPr>
          </w:p>
        </w:tc>
        <w:tc>
          <w:tcPr>
            <w:tcW w:w="5172" w:type="dxa"/>
            <w:vAlign w:val="bottom"/>
          </w:tcPr>
          <w:p w14:paraId="51D9DEE5" w14:textId="77777777" w:rsidR="00D7159D" w:rsidRPr="00461589" w:rsidRDefault="00D7159D" w:rsidP="005E38B6">
            <w:pPr>
              <w:pStyle w:val="-0"/>
              <w:tabs>
                <w:tab w:val="left" w:pos="716"/>
              </w:tabs>
              <w:spacing w:line="240" w:lineRule="auto"/>
              <w:ind w:left="738" w:hanging="284"/>
              <w:rPr>
                <w:sz w:val="18"/>
                <w:szCs w:val="18"/>
                <w:rtl/>
              </w:rPr>
            </w:pPr>
            <w:r w:rsidRPr="00461589">
              <w:rPr>
                <w:rFonts w:hint="cs"/>
                <w:sz w:val="18"/>
                <w:szCs w:val="18"/>
                <w:rtl/>
              </w:rPr>
              <w:t>יחס הון עצמי רובד 1 לרכיבי סיכון</w:t>
            </w:r>
          </w:p>
        </w:tc>
        <w:tc>
          <w:tcPr>
            <w:tcW w:w="975" w:type="dxa"/>
            <w:vAlign w:val="bottom"/>
          </w:tcPr>
          <w:p w14:paraId="2E48D860" w14:textId="77777777" w:rsidR="00D7159D" w:rsidRPr="00461589" w:rsidRDefault="00D7159D" w:rsidP="006F3019">
            <w:pPr>
              <w:pStyle w:val="-7"/>
              <w:jc w:val="left"/>
              <w:rPr>
                <w:sz w:val="18"/>
                <w:szCs w:val="18"/>
                <w:rtl/>
              </w:rPr>
            </w:pPr>
            <w:r w:rsidRPr="00461589">
              <w:rPr>
                <w:rFonts w:hint="cs"/>
                <w:sz w:val="18"/>
                <w:szCs w:val="18"/>
                <w:rtl/>
              </w:rPr>
              <w:t>0%</w:t>
            </w:r>
          </w:p>
        </w:tc>
        <w:tc>
          <w:tcPr>
            <w:tcW w:w="974" w:type="dxa"/>
            <w:vAlign w:val="bottom"/>
          </w:tcPr>
          <w:p w14:paraId="3BA1A4E8" w14:textId="77777777" w:rsidR="00D7159D" w:rsidRPr="00461589" w:rsidRDefault="00D7159D" w:rsidP="006F3019">
            <w:pPr>
              <w:pStyle w:val="-7"/>
              <w:jc w:val="left"/>
              <w:rPr>
                <w:sz w:val="18"/>
                <w:szCs w:val="18"/>
                <w:rtl/>
              </w:rPr>
            </w:pPr>
            <w:r w:rsidRPr="00461589">
              <w:rPr>
                <w:rFonts w:hint="cs"/>
                <w:sz w:val="18"/>
                <w:szCs w:val="18"/>
                <w:rtl/>
              </w:rPr>
              <w:t>0%</w:t>
            </w:r>
          </w:p>
        </w:tc>
        <w:tc>
          <w:tcPr>
            <w:tcW w:w="1076" w:type="dxa"/>
            <w:vAlign w:val="bottom"/>
          </w:tcPr>
          <w:p w14:paraId="43401D71" w14:textId="77777777" w:rsidR="00D7159D" w:rsidRPr="00461589" w:rsidRDefault="00D7159D" w:rsidP="006F3019">
            <w:pPr>
              <w:pStyle w:val="-7"/>
              <w:jc w:val="left"/>
              <w:rPr>
                <w:sz w:val="18"/>
                <w:szCs w:val="18"/>
                <w:rtl/>
              </w:rPr>
            </w:pPr>
            <w:r w:rsidRPr="00461589">
              <w:rPr>
                <w:rFonts w:hint="cs"/>
                <w:sz w:val="18"/>
                <w:szCs w:val="18"/>
                <w:rtl/>
              </w:rPr>
              <w:t>0%</w:t>
            </w:r>
          </w:p>
        </w:tc>
      </w:tr>
      <w:tr w:rsidR="00D7159D" w:rsidRPr="00461589" w14:paraId="7A0B180A" w14:textId="77777777" w:rsidTr="00D7159D">
        <w:trPr>
          <w:trHeight w:val="283"/>
        </w:trPr>
        <w:tc>
          <w:tcPr>
            <w:tcW w:w="1417" w:type="dxa"/>
          </w:tcPr>
          <w:p w14:paraId="2473A065" w14:textId="77777777" w:rsidR="00D7159D" w:rsidRPr="00461589" w:rsidRDefault="00D7159D" w:rsidP="006F3019">
            <w:pPr>
              <w:pStyle w:val="-7"/>
              <w:jc w:val="left"/>
              <w:rPr>
                <w:sz w:val="18"/>
                <w:szCs w:val="18"/>
                <w:rtl/>
              </w:rPr>
            </w:pPr>
          </w:p>
        </w:tc>
        <w:tc>
          <w:tcPr>
            <w:tcW w:w="5172" w:type="dxa"/>
            <w:vAlign w:val="bottom"/>
          </w:tcPr>
          <w:p w14:paraId="71DF8129" w14:textId="77777777" w:rsidR="00D7159D" w:rsidRPr="00461589" w:rsidRDefault="00D7159D" w:rsidP="005E38B6">
            <w:pPr>
              <w:pStyle w:val="-0"/>
              <w:tabs>
                <w:tab w:val="left" w:pos="716"/>
              </w:tabs>
              <w:spacing w:line="240" w:lineRule="auto"/>
              <w:ind w:left="738" w:hanging="284"/>
              <w:rPr>
                <w:sz w:val="18"/>
                <w:szCs w:val="18"/>
                <w:rtl/>
              </w:rPr>
            </w:pPr>
            <w:r w:rsidRPr="00461589">
              <w:rPr>
                <w:rFonts w:hint="cs"/>
                <w:sz w:val="18"/>
                <w:szCs w:val="18"/>
                <w:rtl/>
              </w:rPr>
              <w:t>יחס ההון הכולל לרכיבי סיכון</w:t>
            </w:r>
          </w:p>
        </w:tc>
        <w:tc>
          <w:tcPr>
            <w:tcW w:w="975" w:type="dxa"/>
            <w:vAlign w:val="bottom"/>
          </w:tcPr>
          <w:p w14:paraId="266AFD88" w14:textId="77777777" w:rsidR="00D7159D" w:rsidRPr="00461589" w:rsidRDefault="00D7159D" w:rsidP="006F3019">
            <w:pPr>
              <w:pStyle w:val="-7"/>
              <w:jc w:val="left"/>
              <w:rPr>
                <w:sz w:val="18"/>
                <w:szCs w:val="18"/>
                <w:rtl/>
              </w:rPr>
            </w:pPr>
            <w:r w:rsidRPr="00461589">
              <w:rPr>
                <w:rFonts w:hint="cs"/>
                <w:sz w:val="18"/>
                <w:szCs w:val="18"/>
                <w:rtl/>
              </w:rPr>
              <w:t>0%</w:t>
            </w:r>
          </w:p>
        </w:tc>
        <w:tc>
          <w:tcPr>
            <w:tcW w:w="974" w:type="dxa"/>
            <w:vAlign w:val="bottom"/>
          </w:tcPr>
          <w:p w14:paraId="718D09B8" w14:textId="77777777" w:rsidR="00D7159D" w:rsidRPr="00461589" w:rsidRDefault="00D7159D" w:rsidP="006F3019">
            <w:pPr>
              <w:pStyle w:val="-7"/>
              <w:jc w:val="left"/>
              <w:rPr>
                <w:sz w:val="18"/>
                <w:szCs w:val="18"/>
                <w:rtl/>
              </w:rPr>
            </w:pPr>
            <w:r w:rsidRPr="00461589">
              <w:rPr>
                <w:rFonts w:hint="cs"/>
                <w:sz w:val="18"/>
                <w:szCs w:val="18"/>
                <w:rtl/>
              </w:rPr>
              <w:t>0%</w:t>
            </w:r>
          </w:p>
        </w:tc>
        <w:tc>
          <w:tcPr>
            <w:tcW w:w="1076" w:type="dxa"/>
            <w:vAlign w:val="bottom"/>
          </w:tcPr>
          <w:p w14:paraId="4ABAC457" w14:textId="77777777" w:rsidR="00D7159D" w:rsidRPr="00461589" w:rsidRDefault="00D7159D" w:rsidP="006F3019">
            <w:pPr>
              <w:pStyle w:val="-7"/>
              <w:jc w:val="left"/>
              <w:rPr>
                <w:sz w:val="18"/>
                <w:szCs w:val="18"/>
                <w:rtl/>
              </w:rPr>
            </w:pPr>
            <w:r w:rsidRPr="00461589">
              <w:rPr>
                <w:rFonts w:hint="cs"/>
                <w:sz w:val="18"/>
                <w:szCs w:val="18"/>
                <w:rtl/>
              </w:rPr>
              <w:t>0%</w:t>
            </w:r>
          </w:p>
        </w:tc>
      </w:tr>
      <w:tr w:rsidR="00D7159D" w:rsidRPr="00461589" w14:paraId="6BD03163" w14:textId="77777777" w:rsidTr="00D7159D">
        <w:trPr>
          <w:trHeight w:val="259"/>
        </w:trPr>
        <w:tc>
          <w:tcPr>
            <w:tcW w:w="1417" w:type="dxa"/>
          </w:tcPr>
          <w:p w14:paraId="16A6410E" w14:textId="77777777" w:rsidR="00D7159D" w:rsidRPr="00461589" w:rsidRDefault="00D7159D" w:rsidP="006F3019">
            <w:pPr>
              <w:pStyle w:val="-7"/>
              <w:jc w:val="left"/>
              <w:rPr>
                <w:sz w:val="18"/>
                <w:szCs w:val="18"/>
                <w:rtl/>
              </w:rPr>
            </w:pPr>
          </w:p>
        </w:tc>
        <w:tc>
          <w:tcPr>
            <w:tcW w:w="5172" w:type="dxa"/>
            <w:vAlign w:val="bottom"/>
          </w:tcPr>
          <w:p w14:paraId="28140231" w14:textId="336BBF00" w:rsidR="00D7159D" w:rsidRPr="00461589" w:rsidRDefault="00D7159D" w:rsidP="005E38B6">
            <w:pPr>
              <w:pStyle w:val="-0"/>
              <w:tabs>
                <w:tab w:val="left" w:pos="716"/>
              </w:tabs>
              <w:spacing w:line="240" w:lineRule="auto"/>
              <w:ind w:left="738" w:hanging="284"/>
              <w:rPr>
                <w:sz w:val="18"/>
                <w:szCs w:val="18"/>
                <w:rtl/>
              </w:rPr>
            </w:pPr>
            <w:r w:rsidRPr="00461589">
              <w:rPr>
                <w:rFonts w:hint="cs"/>
                <w:sz w:val="18"/>
                <w:szCs w:val="18"/>
                <w:rtl/>
              </w:rPr>
              <w:t>יחס הון עצמי רובד 1 המזערי הנדרש ע"י המפקח על הבנקים</w:t>
            </w:r>
            <w:r w:rsidRPr="00461589">
              <w:rPr>
                <w:rFonts w:hint="cs"/>
                <w:sz w:val="18"/>
                <w:szCs w:val="18"/>
                <w:vertAlign w:val="superscript"/>
                <w:rtl/>
              </w:rPr>
              <w:t>(ב)</w:t>
            </w:r>
          </w:p>
        </w:tc>
        <w:tc>
          <w:tcPr>
            <w:tcW w:w="975" w:type="dxa"/>
            <w:vAlign w:val="bottom"/>
          </w:tcPr>
          <w:p w14:paraId="22A4DF82" w14:textId="77777777" w:rsidR="00D7159D" w:rsidRPr="00461589" w:rsidRDefault="00D7159D" w:rsidP="006F3019">
            <w:pPr>
              <w:pStyle w:val="-7"/>
              <w:jc w:val="left"/>
              <w:rPr>
                <w:sz w:val="18"/>
                <w:szCs w:val="18"/>
                <w:rtl/>
              </w:rPr>
            </w:pPr>
            <w:r w:rsidRPr="00461589">
              <w:rPr>
                <w:rFonts w:hint="cs"/>
                <w:sz w:val="18"/>
                <w:szCs w:val="18"/>
                <w:rtl/>
              </w:rPr>
              <w:t>0%</w:t>
            </w:r>
          </w:p>
        </w:tc>
        <w:tc>
          <w:tcPr>
            <w:tcW w:w="974" w:type="dxa"/>
            <w:vAlign w:val="bottom"/>
          </w:tcPr>
          <w:p w14:paraId="2A1F3035" w14:textId="77777777" w:rsidR="00D7159D" w:rsidRPr="00461589" w:rsidRDefault="00D7159D" w:rsidP="006F3019">
            <w:pPr>
              <w:pStyle w:val="-7"/>
              <w:jc w:val="left"/>
              <w:rPr>
                <w:sz w:val="18"/>
                <w:szCs w:val="18"/>
                <w:rtl/>
              </w:rPr>
            </w:pPr>
            <w:r w:rsidRPr="00461589">
              <w:rPr>
                <w:rFonts w:hint="cs"/>
                <w:sz w:val="18"/>
                <w:szCs w:val="18"/>
                <w:rtl/>
              </w:rPr>
              <w:t>0%</w:t>
            </w:r>
          </w:p>
        </w:tc>
        <w:tc>
          <w:tcPr>
            <w:tcW w:w="1076" w:type="dxa"/>
            <w:vAlign w:val="bottom"/>
          </w:tcPr>
          <w:p w14:paraId="09891AA7" w14:textId="77777777" w:rsidR="00D7159D" w:rsidRPr="00461589" w:rsidRDefault="00D7159D" w:rsidP="006F3019">
            <w:pPr>
              <w:pStyle w:val="-7"/>
              <w:jc w:val="left"/>
              <w:rPr>
                <w:sz w:val="18"/>
                <w:szCs w:val="18"/>
                <w:rtl/>
              </w:rPr>
            </w:pPr>
            <w:r w:rsidRPr="00461589">
              <w:rPr>
                <w:rFonts w:hint="cs"/>
                <w:sz w:val="18"/>
                <w:szCs w:val="18"/>
                <w:rtl/>
              </w:rPr>
              <w:t>0%</w:t>
            </w:r>
          </w:p>
        </w:tc>
      </w:tr>
      <w:tr w:rsidR="00D7159D" w:rsidRPr="00461589" w14:paraId="7C052076" w14:textId="77777777" w:rsidTr="00D7159D">
        <w:trPr>
          <w:trHeight w:val="259"/>
        </w:trPr>
        <w:tc>
          <w:tcPr>
            <w:tcW w:w="1417" w:type="dxa"/>
          </w:tcPr>
          <w:p w14:paraId="2D039010" w14:textId="77777777" w:rsidR="00D7159D" w:rsidRPr="00461589" w:rsidRDefault="00D7159D" w:rsidP="006F3019">
            <w:pPr>
              <w:pStyle w:val="-7"/>
              <w:jc w:val="left"/>
              <w:rPr>
                <w:sz w:val="18"/>
                <w:szCs w:val="18"/>
                <w:rtl/>
              </w:rPr>
            </w:pPr>
          </w:p>
        </w:tc>
        <w:tc>
          <w:tcPr>
            <w:tcW w:w="5172" w:type="dxa"/>
            <w:vAlign w:val="bottom"/>
          </w:tcPr>
          <w:p w14:paraId="1917EE85" w14:textId="77777777" w:rsidR="00D7159D" w:rsidRPr="005E38B6" w:rsidRDefault="00D7159D" w:rsidP="005E38B6">
            <w:pPr>
              <w:pStyle w:val="-0"/>
              <w:tabs>
                <w:tab w:val="left" w:pos="716"/>
              </w:tabs>
              <w:spacing w:line="240" w:lineRule="auto"/>
              <w:ind w:left="738" w:hanging="284"/>
              <w:rPr>
                <w:sz w:val="18"/>
                <w:szCs w:val="18"/>
                <w:rtl/>
              </w:rPr>
            </w:pPr>
            <w:r w:rsidRPr="00461589">
              <w:rPr>
                <w:rFonts w:hint="cs"/>
                <w:sz w:val="18"/>
                <w:szCs w:val="18"/>
                <w:rtl/>
              </w:rPr>
              <w:t>יחס ההון הכולל המזערי הנדרש ע"י המפקח על הבנקים</w:t>
            </w:r>
            <w:r w:rsidRPr="00B4733F">
              <w:rPr>
                <w:sz w:val="18"/>
                <w:szCs w:val="18"/>
                <w:vertAlign w:val="superscript"/>
                <w:rtl/>
              </w:rPr>
              <w:t>(ב)</w:t>
            </w:r>
          </w:p>
        </w:tc>
        <w:tc>
          <w:tcPr>
            <w:tcW w:w="975" w:type="dxa"/>
            <w:vAlign w:val="bottom"/>
          </w:tcPr>
          <w:p w14:paraId="46261FE2" w14:textId="77777777" w:rsidR="00D7159D" w:rsidRPr="00461589" w:rsidRDefault="00D7159D" w:rsidP="003E3A77">
            <w:pPr>
              <w:pStyle w:val="-7"/>
              <w:jc w:val="left"/>
              <w:rPr>
                <w:sz w:val="18"/>
                <w:szCs w:val="18"/>
                <w:rtl/>
              </w:rPr>
            </w:pPr>
            <w:r w:rsidRPr="00461589">
              <w:rPr>
                <w:rFonts w:hint="cs"/>
                <w:sz w:val="18"/>
                <w:szCs w:val="18"/>
                <w:rtl/>
              </w:rPr>
              <w:t>0%</w:t>
            </w:r>
          </w:p>
        </w:tc>
        <w:tc>
          <w:tcPr>
            <w:tcW w:w="974" w:type="dxa"/>
            <w:vAlign w:val="bottom"/>
          </w:tcPr>
          <w:p w14:paraId="3FA20A73" w14:textId="77777777" w:rsidR="00D7159D" w:rsidRPr="00461589" w:rsidRDefault="00D7159D" w:rsidP="003E3A77">
            <w:pPr>
              <w:pStyle w:val="-7"/>
              <w:jc w:val="left"/>
              <w:rPr>
                <w:sz w:val="18"/>
                <w:szCs w:val="18"/>
                <w:rtl/>
              </w:rPr>
            </w:pPr>
            <w:r w:rsidRPr="00461589">
              <w:rPr>
                <w:rFonts w:hint="cs"/>
                <w:sz w:val="18"/>
                <w:szCs w:val="18"/>
                <w:rtl/>
              </w:rPr>
              <w:t>0%</w:t>
            </w:r>
          </w:p>
        </w:tc>
        <w:tc>
          <w:tcPr>
            <w:tcW w:w="1076" w:type="dxa"/>
            <w:vAlign w:val="bottom"/>
          </w:tcPr>
          <w:p w14:paraId="4677C674" w14:textId="77777777" w:rsidR="00D7159D" w:rsidRPr="00461589" w:rsidRDefault="00D7159D" w:rsidP="003E3A77">
            <w:pPr>
              <w:pStyle w:val="-7"/>
              <w:jc w:val="left"/>
              <w:rPr>
                <w:sz w:val="18"/>
                <w:szCs w:val="18"/>
                <w:rtl/>
              </w:rPr>
            </w:pPr>
            <w:r w:rsidRPr="00461589">
              <w:rPr>
                <w:rFonts w:hint="cs"/>
                <w:sz w:val="18"/>
                <w:szCs w:val="18"/>
                <w:rtl/>
              </w:rPr>
              <w:t>0%</w:t>
            </w:r>
          </w:p>
        </w:tc>
      </w:tr>
    </w:tbl>
    <w:p w14:paraId="6BBB4447" w14:textId="77777777" w:rsidR="00F32A2A" w:rsidRPr="00461589" w:rsidRDefault="00F32A2A">
      <w:pPr>
        <w:spacing w:line="80" w:lineRule="exact"/>
        <w:rPr>
          <w:sz w:val="18"/>
          <w:szCs w:val="18"/>
        </w:rPr>
      </w:pPr>
    </w:p>
    <w:p w14:paraId="13F32502" w14:textId="77777777" w:rsidR="00D7159D" w:rsidRDefault="00D7159D"/>
    <w:tbl>
      <w:tblPr>
        <w:bidiVisual/>
        <w:tblW w:w="4712" w:type="pct"/>
        <w:tblLayout w:type="fixed"/>
        <w:tblLook w:val="0000" w:firstRow="0" w:lastRow="0" w:firstColumn="0" w:lastColumn="0" w:noHBand="0" w:noVBand="0"/>
      </w:tblPr>
      <w:tblGrid>
        <w:gridCol w:w="1417"/>
        <w:gridCol w:w="5173"/>
        <w:gridCol w:w="975"/>
        <w:gridCol w:w="974"/>
        <w:gridCol w:w="1080"/>
      </w:tblGrid>
      <w:tr w:rsidR="00D7159D" w:rsidRPr="00461589" w14:paraId="4369AF5A" w14:textId="77777777" w:rsidTr="00D7159D">
        <w:trPr>
          <w:trHeight w:val="245"/>
        </w:trPr>
        <w:tc>
          <w:tcPr>
            <w:tcW w:w="1417" w:type="dxa"/>
          </w:tcPr>
          <w:p w14:paraId="0A3749EA" w14:textId="77777777" w:rsidR="00D7159D" w:rsidRPr="00461589" w:rsidRDefault="00D7159D">
            <w:pPr>
              <w:pStyle w:val="-7"/>
              <w:spacing w:line="240" w:lineRule="auto"/>
              <w:rPr>
                <w:sz w:val="18"/>
                <w:szCs w:val="18"/>
                <w:rtl/>
              </w:rPr>
            </w:pPr>
          </w:p>
        </w:tc>
        <w:tc>
          <w:tcPr>
            <w:tcW w:w="8202" w:type="dxa"/>
            <w:gridSpan w:val="4"/>
          </w:tcPr>
          <w:p w14:paraId="5DCE0383" w14:textId="284C1F20" w:rsidR="00D7159D" w:rsidRPr="00D03909" w:rsidRDefault="00D7159D" w:rsidP="00D6057D">
            <w:pPr>
              <w:pStyle w:val="-f4"/>
              <w:numPr>
                <w:ilvl w:val="0"/>
                <w:numId w:val="29"/>
              </w:numPr>
              <w:tabs>
                <w:tab w:val="left" w:pos="290"/>
              </w:tabs>
              <w:spacing w:after="0" w:line="240" w:lineRule="auto"/>
              <w:ind w:left="149" w:hanging="4"/>
              <w:jc w:val="left"/>
              <w:rPr>
                <w:rtl/>
              </w:rPr>
            </w:pPr>
            <w:r w:rsidRPr="00D03909">
              <w:rPr>
                <w:rFonts w:hint="eastAsia"/>
                <w:rtl/>
              </w:rPr>
              <w:t>רכיבי</w:t>
            </w:r>
            <w:r w:rsidRPr="00D03909">
              <w:rPr>
                <w:rtl/>
              </w:rPr>
              <w:t xml:space="preserve"> </w:t>
            </w:r>
            <w:r w:rsidRPr="00D03909">
              <w:rPr>
                <w:rFonts w:hint="eastAsia"/>
                <w:rtl/>
              </w:rPr>
              <w:t>חברות</w:t>
            </w:r>
            <w:r w:rsidRPr="00D03909">
              <w:rPr>
                <w:rtl/>
              </w:rPr>
              <w:t xml:space="preserve"> </w:t>
            </w:r>
            <w:r w:rsidRPr="00D03909">
              <w:rPr>
                <w:rFonts w:hint="eastAsia"/>
                <w:rtl/>
              </w:rPr>
              <w:t>בנות</w:t>
            </w:r>
            <w:r w:rsidRPr="00D03909">
              <w:rPr>
                <w:rtl/>
              </w:rPr>
              <w:t xml:space="preserve"> </w:t>
            </w:r>
            <w:r w:rsidRPr="00D03909">
              <w:rPr>
                <w:rFonts w:hint="eastAsia"/>
                <w:rtl/>
              </w:rPr>
              <w:t>משמעותיות</w:t>
            </w:r>
            <w:r w:rsidRPr="00D03909">
              <w:rPr>
                <w:rtl/>
              </w:rPr>
              <w:t>:</w:t>
            </w:r>
          </w:p>
        </w:tc>
      </w:tr>
      <w:tr w:rsidR="00D7159D" w:rsidRPr="00461589" w14:paraId="49F28991" w14:textId="77777777" w:rsidTr="00D7159D">
        <w:tblPrEx>
          <w:tblLook w:val="01E0" w:firstRow="1" w:lastRow="1" w:firstColumn="1" w:lastColumn="1" w:noHBand="0" w:noVBand="0"/>
        </w:tblPrEx>
        <w:trPr>
          <w:trHeight w:val="283"/>
        </w:trPr>
        <w:tc>
          <w:tcPr>
            <w:tcW w:w="1417" w:type="dxa"/>
          </w:tcPr>
          <w:p w14:paraId="4EE2C388" w14:textId="77777777" w:rsidR="00D7159D" w:rsidRPr="00461589" w:rsidRDefault="00D7159D" w:rsidP="00B86448">
            <w:pPr>
              <w:pStyle w:val="-7"/>
              <w:jc w:val="left"/>
              <w:rPr>
                <w:sz w:val="18"/>
                <w:szCs w:val="18"/>
                <w:rtl/>
              </w:rPr>
            </w:pPr>
          </w:p>
        </w:tc>
        <w:tc>
          <w:tcPr>
            <w:tcW w:w="5173" w:type="dxa"/>
            <w:vAlign w:val="bottom"/>
          </w:tcPr>
          <w:p w14:paraId="39FE62CE" w14:textId="1E124B2E" w:rsidR="00D7159D" w:rsidRPr="00FD7A2A" w:rsidRDefault="00D7159D" w:rsidP="00D03909">
            <w:pPr>
              <w:pStyle w:val="-0"/>
              <w:tabs>
                <w:tab w:val="left" w:pos="718"/>
              </w:tabs>
              <w:spacing w:line="240" w:lineRule="auto"/>
              <w:ind w:left="574" w:hanging="273"/>
              <w:rPr>
                <w:sz w:val="18"/>
                <w:szCs w:val="18"/>
                <w:rtl/>
              </w:rPr>
            </w:pPr>
            <w:r w:rsidRPr="00FD7A2A">
              <w:rPr>
                <w:sz w:val="18"/>
                <w:szCs w:val="18"/>
                <w:rtl/>
              </w:rPr>
              <w:t>[</w:t>
            </w:r>
            <w:r w:rsidRPr="00FD7A2A">
              <w:rPr>
                <w:rFonts w:hint="eastAsia"/>
                <w:sz w:val="18"/>
                <w:szCs w:val="18"/>
                <w:rtl/>
              </w:rPr>
              <w:t>חברה</w:t>
            </w:r>
            <w:r w:rsidRPr="00FD7A2A">
              <w:rPr>
                <w:sz w:val="18"/>
                <w:szCs w:val="18"/>
                <w:rtl/>
              </w:rPr>
              <w:t xml:space="preserve"> </w:t>
            </w:r>
            <w:r w:rsidRPr="00FD7A2A">
              <w:rPr>
                <w:rFonts w:hint="eastAsia"/>
                <w:sz w:val="18"/>
                <w:szCs w:val="18"/>
                <w:rtl/>
              </w:rPr>
              <w:t>בת</w:t>
            </w:r>
            <w:r w:rsidRPr="00FD7A2A">
              <w:rPr>
                <w:sz w:val="18"/>
                <w:szCs w:val="18"/>
                <w:rtl/>
              </w:rPr>
              <w:t xml:space="preserve"> </w:t>
            </w:r>
            <w:r w:rsidRPr="00FD7A2A">
              <w:rPr>
                <w:rFonts w:hint="eastAsia"/>
                <w:sz w:val="18"/>
                <w:szCs w:val="18"/>
                <w:rtl/>
              </w:rPr>
              <w:t>א</w:t>
            </w:r>
            <w:r w:rsidRPr="00FD7A2A">
              <w:rPr>
                <w:sz w:val="18"/>
                <w:szCs w:val="18"/>
                <w:rtl/>
              </w:rPr>
              <w:t>']</w:t>
            </w:r>
          </w:p>
        </w:tc>
        <w:tc>
          <w:tcPr>
            <w:tcW w:w="975" w:type="dxa"/>
            <w:vAlign w:val="bottom"/>
          </w:tcPr>
          <w:p w14:paraId="6F213E4B" w14:textId="4C8F7B15" w:rsidR="00D7159D" w:rsidRPr="00461589" w:rsidRDefault="00D7159D" w:rsidP="00B86448">
            <w:pPr>
              <w:pStyle w:val="-7"/>
              <w:jc w:val="left"/>
              <w:rPr>
                <w:sz w:val="18"/>
                <w:szCs w:val="18"/>
                <w:rtl/>
              </w:rPr>
            </w:pPr>
          </w:p>
        </w:tc>
        <w:tc>
          <w:tcPr>
            <w:tcW w:w="974" w:type="dxa"/>
            <w:vAlign w:val="bottom"/>
          </w:tcPr>
          <w:p w14:paraId="695FABB2" w14:textId="5AF6E3D6" w:rsidR="00D7159D" w:rsidRPr="00461589" w:rsidRDefault="00D7159D" w:rsidP="00B86448">
            <w:pPr>
              <w:pStyle w:val="-7"/>
              <w:jc w:val="left"/>
              <w:rPr>
                <w:sz w:val="18"/>
                <w:szCs w:val="18"/>
                <w:rtl/>
              </w:rPr>
            </w:pPr>
          </w:p>
        </w:tc>
        <w:tc>
          <w:tcPr>
            <w:tcW w:w="1080" w:type="dxa"/>
            <w:vAlign w:val="bottom"/>
          </w:tcPr>
          <w:p w14:paraId="164AAD99" w14:textId="0F2A0B0E" w:rsidR="00D7159D" w:rsidRPr="00461589" w:rsidRDefault="00D7159D" w:rsidP="00B86448">
            <w:pPr>
              <w:pStyle w:val="-7"/>
              <w:jc w:val="left"/>
              <w:rPr>
                <w:sz w:val="18"/>
                <w:szCs w:val="18"/>
                <w:rtl/>
              </w:rPr>
            </w:pPr>
          </w:p>
        </w:tc>
      </w:tr>
      <w:tr w:rsidR="00D7159D" w:rsidRPr="00461589" w14:paraId="61F7F4EB" w14:textId="77777777" w:rsidTr="00D7159D">
        <w:tblPrEx>
          <w:tblLook w:val="01E0" w:firstRow="1" w:lastRow="1" w:firstColumn="1" w:lastColumn="1" w:noHBand="0" w:noVBand="0"/>
        </w:tblPrEx>
        <w:trPr>
          <w:trHeight w:val="283"/>
        </w:trPr>
        <w:tc>
          <w:tcPr>
            <w:tcW w:w="1417" w:type="dxa"/>
          </w:tcPr>
          <w:p w14:paraId="78946859" w14:textId="77777777" w:rsidR="00D7159D" w:rsidRPr="00461589" w:rsidRDefault="00D7159D" w:rsidP="00B86448">
            <w:pPr>
              <w:pStyle w:val="-7"/>
              <w:jc w:val="left"/>
              <w:rPr>
                <w:sz w:val="18"/>
                <w:szCs w:val="18"/>
                <w:rtl/>
              </w:rPr>
            </w:pPr>
          </w:p>
        </w:tc>
        <w:tc>
          <w:tcPr>
            <w:tcW w:w="5173" w:type="dxa"/>
            <w:vAlign w:val="bottom"/>
          </w:tcPr>
          <w:p w14:paraId="30572FDE" w14:textId="493E11E2" w:rsidR="00D7159D" w:rsidRPr="00584A8F" w:rsidRDefault="00D7159D" w:rsidP="00D03909">
            <w:pPr>
              <w:pStyle w:val="-0"/>
              <w:tabs>
                <w:tab w:val="left" w:pos="716"/>
              </w:tabs>
              <w:spacing w:line="240" w:lineRule="auto"/>
              <w:ind w:left="738" w:hanging="284"/>
              <w:rPr>
                <w:sz w:val="18"/>
                <w:szCs w:val="18"/>
                <w:rtl/>
              </w:rPr>
            </w:pPr>
            <w:r w:rsidRPr="00EB5088">
              <w:rPr>
                <w:rFonts w:hint="eastAsia"/>
                <w:sz w:val="18"/>
                <w:szCs w:val="18"/>
                <w:rtl/>
              </w:rPr>
              <w:t>יחס</w:t>
            </w:r>
            <w:r w:rsidRPr="00EB5088">
              <w:rPr>
                <w:sz w:val="18"/>
                <w:szCs w:val="18"/>
                <w:rtl/>
              </w:rPr>
              <w:t xml:space="preserve"> </w:t>
            </w:r>
            <w:r w:rsidRPr="00EB5088">
              <w:rPr>
                <w:rFonts w:hint="eastAsia"/>
                <w:sz w:val="18"/>
                <w:szCs w:val="18"/>
                <w:rtl/>
              </w:rPr>
              <w:t>הון</w:t>
            </w:r>
            <w:r w:rsidRPr="00EB5088">
              <w:rPr>
                <w:sz w:val="18"/>
                <w:szCs w:val="18"/>
                <w:rtl/>
              </w:rPr>
              <w:t xml:space="preserve"> </w:t>
            </w:r>
            <w:r w:rsidRPr="00EB5088">
              <w:rPr>
                <w:rFonts w:hint="eastAsia"/>
                <w:sz w:val="18"/>
                <w:szCs w:val="18"/>
                <w:rtl/>
              </w:rPr>
              <w:t>עצמי</w:t>
            </w:r>
            <w:r w:rsidRPr="00EB5088">
              <w:rPr>
                <w:sz w:val="18"/>
                <w:szCs w:val="18"/>
                <w:rtl/>
              </w:rPr>
              <w:t xml:space="preserve"> </w:t>
            </w:r>
            <w:r w:rsidRPr="00EB5088">
              <w:rPr>
                <w:rFonts w:hint="eastAsia"/>
                <w:sz w:val="18"/>
                <w:szCs w:val="18"/>
                <w:rtl/>
              </w:rPr>
              <w:t>רובד</w:t>
            </w:r>
            <w:r w:rsidRPr="00EB5088">
              <w:rPr>
                <w:sz w:val="18"/>
                <w:szCs w:val="18"/>
                <w:rtl/>
              </w:rPr>
              <w:t xml:space="preserve"> 1 </w:t>
            </w:r>
            <w:r w:rsidRPr="00EB5088">
              <w:rPr>
                <w:rFonts w:hint="eastAsia"/>
                <w:sz w:val="18"/>
                <w:szCs w:val="18"/>
                <w:rtl/>
              </w:rPr>
              <w:t>לרכיבי</w:t>
            </w:r>
            <w:r w:rsidRPr="00EB5088">
              <w:rPr>
                <w:sz w:val="18"/>
                <w:szCs w:val="18"/>
                <w:rtl/>
              </w:rPr>
              <w:t xml:space="preserve"> </w:t>
            </w:r>
            <w:r w:rsidRPr="00EB5088">
              <w:rPr>
                <w:rFonts w:hint="eastAsia"/>
                <w:sz w:val="18"/>
                <w:szCs w:val="18"/>
                <w:rtl/>
              </w:rPr>
              <w:t>סיכון</w:t>
            </w:r>
          </w:p>
        </w:tc>
        <w:tc>
          <w:tcPr>
            <w:tcW w:w="975" w:type="dxa"/>
            <w:vAlign w:val="bottom"/>
          </w:tcPr>
          <w:p w14:paraId="1BD42367" w14:textId="77777777" w:rsidR="00D7159D" w:rsidRPr="00461589" w:rsidRDefault="00D7159D" w:rsidP="00B86448">
            <w:pPr>
              <w:pStyle w:val="-7"/>
              <w:jc w:val="left"/>
              <w:rPr>
                <w:sz w:val="18"/>
                <w:szCs w:val="18"/>
                <w:rtl/>
              </w:rPr>
            </w:pPr>
            <w:r w:rsidRPr="00461589">
              <w:rPr>
                <w:rFonts w:hint="cs"/>
                <w:sz w:val="18"/>
                <w:szCs w:val="18"/>
                <w:rtl/>
              </w:rPr>
              <w:t>0%</w:t>
            </w:r>
          </w:p>
        </w:tc>
        <w:tc>
          <w:tcPr>
            <w:tcW w:w="974" w:type="dxa"/>
            <w:vAlign w:val="bottom"/>
          </w:tcPr>
          <w:p w14:paraId="345EF265" w14:textId="77777777" w:rsidR="00D7159D" w:rsidRPr="00461589" w:rsidRDefault="00D7159D" w:rsidP="00B86448">
            <w:pPr>
              <w:pStyle w:val="-7"/>
              <w:jc w:val="left"/>
              <w:rPr>
                <w:sz w:val="18"/>
                <w:szCs w:val="18"/>
                <w:rtl/>
              </w:rPr>
            </w:pPr>
            <w:r w:rsidRPr="00461589">
              <w:rPr>
                <w:rFonts w:hint="cs"/>
                <w:sz w:val="18"/>
                <w:szCs w:val="18"/>
                <w:rtl/>
              </w:rPr>
              <w:t>0%</w:t>
            </w:r>
          </w:p>
        </w:tc>
        <w:tc>
          <w:tcPr>
            <w:tcW w:w="1080" w:type="dxa"/>
            <w:vAlign w:val="bottom"/>
          </w:tcPr>
          <w:p w14:paraId="3985ED93" w14:textId="77777777" w:rsidR="00D7159D" w:rsidRPr="00461589" w:rsidRDefault="00D7159D" w:rsidP="00B86448">
            <w:pPr>
              <w:pStyle w:val="-7"/>
              <w:jc w:val="left"/>
              <w:rPr>
                <w:sz w:val="18"/>
                <w:szCs w:val="18"/>
                <w:rtl/>
              </w:rPr>
            </w:pPr>
            <w:r w:rsidRPr="00461589">
              <w:rPr>
                <w:rFonts w:hint="cs"/>
                <w:sz w:val="18"/>
                <w:szCs w:val="18"/>
                <w:rtl/>
              </w:rPr>
              <w:t>0%</w:t>
            </w:r>
          </w:p>
        </w:tc>
      </w:tr>
      <w:tr w:rsidR="00D7159D" w:rsidRPr="00461589" w14:paraId="3DBB94AE" w14:textId="77777777" w:rsidTr="00D7159D">
        <w:tblPrEx>
          <w:tblLook w:val="01E0" w:firstRow="1" w:lastRow="1" w:firstColumn="1" w:lastColumn="1" w:noHBand="0" w:noVBand="0"/>
        </w:tblPrEx>
        <w:trPr>
          <w:trHeight w:val="259"/>
        </w:trPr>
        <w:tc>
          <w:tcPr>
            <w:tcW w:w="1417" w:type="dxa"/>
          </w:tcPr>
          <w:p w14:paraId="007BD762" w14:textId="77777777" w:rsidR="00D7159D" w:rsidRPr="00461589" w:rsidRDefault="00D7159D" w:rsidP="00B86448">
            <w:pPr>
              <w:pStyle w:val="-7"/>
              <w:jc w:val="left"/>
              <w:rPr>
                <w:sz w:val="18"/>
                <w:szCs w:val="18"/>
                <w:rtl/>
              </w:rPr>
            </w:pPr>
          </w:p>
        </w:tc>
        <w:tc>
          <w:tcPr>
            <w:tcW w:w="5173" w:type="dxa"/>
            <w:vAlign w:val="bottom"/>
          </w:tcPr>
          <w:p w14:paraId="419ADD9E" w14:textId="7050840D" w:rsidR="00D7159D" w:rsidRPr="00584A8F" w:rsidRDefault="00D7159D" w:rsidP="00D03909">
            <w:pPr>
              <w:pStyle w:val="-0"/>
              <w:tabs>
                <w:tab w:val="left" w:pos="716"/>
              </w:tabs>
              <w:spacing w:line="240" w:lineRule="auto"/>
              <w:ind w:left="738" w:hanging="284"/>
              <w:rPr>
                <w:sz w:val="18"/>
                <w:szCs w:val="18"/>
                <w:rtl/>
              </w:rPr>
            </w:pPr>
            <w:r w:rsidRPr="00EB5088">
              <w:rPr>
                <w:rFonts w:hint="eastAsia"/>
                <w:sz w:val="18"/>
                <w:szCs w:val="18"/>
                <w:rtl/>
              </w:rPr>
              <w:t>יחס</w:t>
            </w:r>
            <w:r w:rsidRPr="00EB5088">
              <w:rPr>
                <w:sz w:val="18"/>
                <w:szCs w:val="18"/>
                <w:rtl/>
              </w:rPr>
              <w:t xml:space="preserve"> </w:t>
            </w:r>
            <w:r w:rsidRPr="00EB5088">
              <w:rPr>
                <w:rFonts w:hint="eastAsia"/>
                <w:sz w:val="18"/>
                <w:szCs w:val="18"/>
                <w:rtl/>
              </w:rPr>
              <w:t>ההון</w:t>
            </w:r>
            <w:r w:rsidRPr="00EB5088">
              <w:rPr>
                <w:sz w:val="18"/>
                <w:szCs w:val="18"/>
                <w:rtl/>
              </w:rPr>
              <w:t xml:space="preserve"> </w:t>
            </w:r>
            <w:r w:rsidRPr="00EB5088">
              <w:rPr>
                <w:rFonts w:hint="eastAsia"/>
                <w:sz w:val="18"/>
                <w:szCs w:val="18"/>
                <w:rtl/>
              </w:rPr>
              <w:t>הכולל</w:t>
            </w:r>
            <w:r w:rsidRPr="00EB5088">
              <w:rPr>
                <w:sz w:val="18"/>
                <w:szCs w:val="18"/>
                <w:rtl/>
              </w:rPr>
              <w:t xml:space="preserve"> </w:t>
            </w:r>
            <w:r w:rsidRPr="00EB5088">
              <w:rPr>
                <w:rFonts w:hint="eastAsia"/>
                <w:sz w:val="18"/>
                <w:szCs w:val="18"/>
                <w:rtl/>
              </w:rPr>
              <w:t>לרכיבי</w:t>
            </w:r>
            <w:r w:rsidRPr="00EB5088">
              <w:rPr>
                <w:sz w:val="18"/>
                <w:szCs w:val="18"/>
                <w:rtl/>
              </w:rPr>
              <w:t xml:space="preserve"> </w:t>
            </w:r>
            <w:r w:rsidRPr="00EB5088">
              <w:rPr>
                <w:rFonts w:hint="eastAsia"/>
                <w:sz w:val="18"/>
                <w:szCs w:val="18"/>
                <w:rtl/>
              </w:rPr>
              <w:t>סיכון</w:t>
            </w:r>
          </w:p>
        </w:tc>
        <w:tc>
          <w:tcPr>
            <w:tcW w:w="975" w:type="dxa"/>
            <w:vAlign w:val="bottom"/>
          </w:tcPr>
          <w:p w14:paraId="6D34D628" w14:textId="77777777" w:rsidR="00D7159D" w:rsidRPr="00461589" w:rsidRDefault="00D7159D" w:rsidP="00B86448">
            <w:pPr>
              <w:pStyle w:val="-7"/>
              <w:jc w:val="left"/>
              <w:rPr>
                <w:sz w:val="18"/>
                <w:szCs w:val="18"/>
                <w:rtl/>
              </w:rPr>
            </w:pPr>
            <w:r w:rsidRPr="00461589">
              <w:rPr>
                <w:rFonts w:hint="cs"/>
                <w:sz w:val="18"/>
                <w:szCs w:val="18"/>
                <w:rtl/>
              </w:rPr>
              <w:t>0%</w:t>
            </w:r>
          </w:p>
        </w:tc>
        <w:tc>
          <w:tcPr>
            <w:tcW w:w="974" w:type="dxa"/>
            <w:vAlign w:val="bottom"/>
          </w:tcPr>
          <w:p w14:paraId="1F089B9E" w14:textId="77777777" w:rsidR="00D7159D" w:rsidRPr="00461589" w:rsidRDefault="00D7159D" w:rsidP="00B86448">
            <w:pPr>
              <w:pStyle w:val="-7"/>
              <w:jc w:val="left"/>
              <w:rPr>
                <w:sz w:val="18"/>
                <w:szCs w:val="18"/>
                <w:rtl/>
              </w:rPr>
            </w:pPr>
            <w:r w:rsidRPr="00461589">
              <w:rPr>
                <w:rFonts w:hint="cs"/>
                <w:sz w:val="18"/>
                <w:szCs w:val="18"/>
                <w:rtl/>
              </w:rPr>
              <w:t>0%</w:t>
            </w:r>
          </w:p>
        </w:tc>
        <w:tc>
          <w:tcPr>
            <w:tcW w:w="1080" w:type="dxa"/>
            <w:vAlign w:val="bottom"/>
          </w:tcPr>
          <w:p w14:paraId="2846C335" w14:textId="77777777" w:rsidR="00D7159D" w:rsidRPr="00461589" w:rsidRDefault="00D7159D" w:rsidP="00B86448">
            <w:pPr>
              <w:pStyle w:val="-7"/>
              <w:jc w:val="left"/>
              <w:rPr>
                <w:sz w:val="18"/>
                <w:szCs w:val="18"/>
                <w:rtl/>
              </w:rPr>
            </w:pPr>
            <w:r w:rsidRPr="00461589">
              <w:rPr>
                <w:rFonts w:hint="cs"/>
                <w:sz w:val="18"/>
                <w:szCs w:val="18"/>
                <w:rtl/>
              </w:rPr>
              <w:t>0%</w:t>
            </w:r>
          </w:p>
        </w:tc>
      </w:tr>
      <w:tr w:rsidR="00D7159D" w:rsidRPr="00461589" w14:paraId="3966D816" w14:textId="77777777" w:rsidTr="00D7159D">
        <w:tblPrEx>
          <w:tblLook w:val="01E0" w:firstRow="1" w:lastRow="1" w:firstColumn="1" w:lastColumn="1" w:noHBand="0" w:noVBand="0"/>
        </w:tblPrEx>
        <w:trPr>
          <w:trHeight w:val="259"/>
        </w:trPr>
        <w:tc>
          <w:tcPr>
            <w:tcW w:w="1417" w:type="dxa"/>
          </w:tcPr>
          <w:p w14:paraId="6043BB8A" w14:textId="77777777" w:rsidR="00D7159D" w:rsidRPr="00461589" w:rsidRDefault="00D7159D" w:rsidP="00B86448">
            <w:pPr>
              <w:pStyle w:val="-7"/>
              <w:jc w:val="left"/>
              <w:rPr>
                <w:sz w:val="18"/>
                <w:szCs w:val="18"/>
                <w:rtl/>
              </w:rPr>
            </w:pPr>
          </w:p>
        </w:tc>
        <w:tc>
          <w:tcPr>
            <w:tcW w:w="5173" w:type="dxa"/>
            <w:vAlign w:val="bottom"/>
          </w:tcPr>
          <w:p w14:paraId="0CE611C7" w14:textId="44CB5D1F" w:rsidR="00D7159D" w:rsidRPr="00EB5088" w:rsidRDefault="00D7159D" w:rsidP="00D03909">
            <w:pPr>
              <w:pStyle w:val="-0"/>
              <w:tabs>
                <w:tab w:val="left" w:pos="716"/>
              </w:tabs>
              <w:spacing w:line="240" w:lineRule="auto"/>
              <w:ind w:left="738" w:hanging="284"/>
              <w:rPr>
                <w:sz w:val="18"/>
                <w:szCs w:val="18"/>
                <w:rtl/>
              </w:rPr>
            </w:pPr>
            <w:r w:rsidRPr="00EB5088">
              <w:rPr>
                <w:rFonts w:hint="eastAsia"/>
                <w:sz w:val="18"/>
                <w:szCs w:val="18"/>
                <w:rtl/>
              </w:rPr>
              <w:t>יחס</w:t>
            </w:r>
            <w:r w:rsidRPr="00EB5088">
              <w:rPr>
                <w:sz w:val="18"/>
                <w:szCs w:val="18"/>
                <w:rtl/>
              </w:rPr>
              <w:t xml:space="preserve"> </w:t>
            </w:r>
            <w:r w:rsidRPr="00EB5088">
              <w:rPr>
                <w:rFonts w:hint="eastAsia"/>
                <w:sz w:val="18"/>
                <w:szCs w:val="18"/>
                <w:rtl/>
              </w:rPr>
              <w:t>הון</w:t>
            </w:r>
            <w:r w:rsidRPr="00EB5088">
              <w:rPr>
                <w:sz w:val="18"/>
                <w:szCs w:val="18"/>
                <w:rtl/>
              </w:rPr>
              <w:t xml:space="preserve"> </w:t>
            </w:r>
            <w:r w:rsidRPr="00EB5088">
              <w:rPr>
                <w:rFonts w:hint="eastAsia"/>
                <w:sz w:val="18"/>
                <w:szCs w:val="18"/>
                <w:rtl/>
              </w:rPr>
              <w:t>עצמי</w:t>
            </w:r>
            <w:r w:rsidRPr="00EB5088">
              <w:rPr>
                <w:sz w:val="18"/>
                <w:szCs w:val="18"/>
                <w:rtl/>
              </w:rPr>
              <w:t xml:space="preserve"> </w:t>
            </w:r>
            <w:r w:rsidRPr="00EB5088">
              <w:rPr>
                <w:rFonts w:hint="eastAsia"/>
                <w:sz w:val="18"/>
                <w:szCs w:val="18"/>
                <w:rtl/>
              </w:rPr>
              <w:t>רובד</w:t>
            </w:r>
            <w:r w:rsidRPr="00EB5088">
              <w:rPr>
                <w:sz w:val="18"/>
                <w:szCs w:val="18"/>
                <w:rtl/>
              </w:rPr>
              <w:t xml:space="preserve"> 1 </w:t>
            </w:r>
            <w:r w:rsidRPr="00EB5088">
              <w:rPr>
                <w:rFonts w:hint="eastAsia"/>
                <w:sz w:val="18"/>
                <w:szCs w:val="18"/>
                <w:rtl/>
              </w:rPr>
              <w:t>המזערי</w:t>
            </w:r>
            <w:r w:rsidRPr="00EB5088">
              <w:rPr>
                <w:sz w:val="18"/>
                <w:szCs w:val="18"/>
                <w:rtl/>
              </w:rPr>
              <w:t xml:space="preserve"> </w:t>
            </w:r>
            <w:r w:rsidRPr="00EB5088">
              <w:rPr>
                <w:rFonts w:hint="eastAsia"/>
                <w:sz w:val="18"/>
                <w:szCs w:val="18"/>
                <w:rtl/>
              </w:rPr>
              <w:t>הנדרש</w:t>
            </w:r>
            <w:r w:rsidRPr="00EB5088">
              <w:rPr>
                <w:sz w:val="18"/>
                <w:szCs w:val="18"/>
                <w:rtl/>
              </w:rPr>
              <w:t xml:space="preserve"> </w:t>
            </w:r>
            <w:r w:rsidRPr="00EB5088">
              <w:rPr>
                <w:rFonts w:hint="eastAsia"/>
                <w:sz w:val="18"/>
                <w:szCs w:val="18"/>
                <w:rtl/>
              </w:rPr>
              <w:t>ע</w:t>
            </w:r>
            <w:r w:rsidRPr="00EB5088">
              <w:rPr>
                <w:sz w:val="18"/>
                <w:szCs w:val="18"/>
                <w:rtl/>
              </w:rPr>
              <w:t xml:space="preserve">"י </w:t>
            </w:r>
            <w:r w:rsidRPr="00EB5088">
              <w:rPr>
                <w:rFonts w:hint="eastAsia"/>
                <w:sz w:val="18"/>
                <w:szCs w:val="18"/>
                <w:rtl/>
              </w:rPr>
              <w:t>המפקח</w:t>
            </w:r>
            <w:r w:rsidRPr="00EB5088">
              <w:rPr>
                <w:sz w:val="18"/>
                <w:szCs w:val="18"/>
                <w:rtl/>
              </w:rPr>
              <w:t xml:space="preserve"> </w:t>
            </w:r>
            <w:r w:rsidRPr="00EB5088">
              <w:rPr>
                <w:rFonts w:hint="eastAsia"/>
                <w:sz w:val="18"/>
                <w:szCs w:val="18"/>
                <w:rtl/>
              </w:rPr>
              <w:t>על</w:t>
            </w:r>
            <w:r w:rsidRPr="00EB5088">
              <w:rPr>
                <w:sz w:val="18"/>
                <w:szCs w:val="18"/>
                <w:rtl/>
              </w:rPr>
              <w:t xml:space="preserve"> </w:t>
            </w:r>
            <w:r w:rsidRPr="00EB5088">
              <w:rPr>
                <w:rFonts w:hint="eastAsia"/>
                <w:sz w:val="18"/>
                <w:szCs w:val="18"/>
                <w:rtl/>
              </w:rPr>
              <w:t>הבנקים</w:t>
            </w:r>
            <w:r w:rsidRPr="00EB5088">
              <w:rPr>
                <w:sz w:val="18"/>
                <w:szCs w:val="18"/>
                <w:vertAlign w:val="superscript"/>
                <w:rtl/>
              </w:rPr>
              <w:t>(ב)</w:t>
            </w:r>
          </w:p>
        </w:tc>
        <w:tc>
          <w:tcPr>
            <w:tcW w:w="975" w:type="dxa"/>
            <w:vAlign w:val="bottom"/>
          </w:tcPr>
          <w:p w14:paraId="7144B53D" w14:textId="77777777" w:rsidR="00D7159D" w:rsidRPr="00461589" w:rsidRDefault="00D7159D" w:rsidP="00B86448">
            <w:pPr>
              <w:pStyle w:val="-7"/>
              <w:jc w:val="left"/>
              <w:rPr>
                <w:sz w:val="18"/>
                <w:szCs w:val="18"/>
                <w:rtl/>
              </w:rPr>
            </w:pPr>
            <w:r w:rsidRPr="00461589">
              <w:rPr>
                <w:rFonts w:hint="cs"/>
                <w:sz w:val="18"/>
                <w:szCs w:val="18"/>
                <w:rtl/>
              </w:rPr>
              <w:t>0%</w:t>
            </w:r>
          </w:p>
        </w:tc>
        <w:tc>
          <w:tcPr>
            <w:tcW w:w="974" w:type="dxa"/>
            <w:vAlign w:val="bottom"/>
          </w:tcPr>
          <w:p w14:paraId="73E9DCF8" w14:textId="77777777" w:rsidR="00D7159D" w:rsidRPr="00461589" w:rsidRDefault="00D7159D" w:rsidP="00B86448">
            <w:pPr>
              <w:pStyle w:val="-7"/>
              <w:jc w:val="left"/>
              <w:rPr>
                <w:sz w:val="18"/>
                <w:szCs w:val="18"/>
                <w:rtl/>
              </w:rPr>
            </w:pPr>
            <w:r w:rsidRPr="00461589">
              <w:rPr>
                <w:rFonts w:hint="cs"/>
                <w:sz w:val="18"/>
                <w:szCs w:val="18"/>
                <w:rtl/>
              </w:rPr>
              <w:t>0%</w:t>
            </w:r>
          </w:p>
        </w:tc>
        <w:tc>
          <w:tcPr>
            <w:tcW w:w="1080" w:type="dxa"/>
            <w:vAlign w:val="bottom"/>
          </w:tcPr>
          <w:p w14:paraId="6DCF0104" w14:textId="77777777" w:rsidR="00D7159D" w:rsidRPr="00461589" w:rsidRDefault="00D7159D" w:rsidP="00B86448">
            <w:pPr>
              <w:pStyle w:val="-7"/>
              <w:jc w:val="left"/>
              <w:rPr>
                <w:sz w:val="18"/>
                <w:szCs w:val="18"/>
                <w:rtl/>
              </w:rPr>
            </w:pPr>
            <w:r w:rsidRPr="00461589">
              <w:rPr>
                <w:rFonts w:hint="cs"/>
                <w:sz w:val="18"/>
                <w:szCs w:val="18"/>
                <w:rtl/>
              </w:rPr>
              <w:t>0%</w:t>
            </w:r>
          </w:p>
        </w:tc>
      </w:tr>
      <w:tr w:rsidR="00D7159D" w:rsidRPr="00461589" w14:paraId="237BA755" w14:textId="77777777" w:rsidTr="00D7159D">
        <w:tblPrEx>
          <w:tblLook w:val="01E0" w:firstRow="1" w:lastRow="1" w:firstColumn="1" w:lastColumn="1" w:noHBand="0" w:noVBand="0"/>
        </w:tblPrEx>
        <w:trPr>
          <w:trHeight w:val="259"/>
        </w:trPr>
        <w:tc>
          <w:tcPr>
            <w:tcW w:w="1417" w:type="dxa"/>
          </w:tcPr>
          <w:p w14:paraId="1D987EF8" w14:textId="77777777" w:rsidR="00D7159D" w:rsidRPr="00461589" w:rsidRDefault="00D7159D" w:rsidP="00B86448">
            <w:pPr>
              <w:pStyle w:val="-7"/>
              <w:jc w:val="left"/>
              <w:rPr>
                <w:sz w:val="18"/>
                <w:szCs w:val="18"/>
                <w:rtl/>
              </w:rPr>
            </w:pPr>
          </w:p>
        </w:tc>
        <w:tc>
          <w:tcPr>
            <w:tcW w:w="5173" w:type="dxa"/>
            <w:vAlign w:val="bottom"/>
          </w:tcPr>
          <w:p w14:paraId="3A809F2A" w14:textId="2D596F46" w:rsidR="00D7159D" w:rsidRPr="00EB5088" w:rsidRDefault="00D7159D" w:rsidP="00D03909">
            <w:pPr>
              <w:pStyle w:val="-0"/>
              <w:tabs>
                <w:tab w:val="left" w:pos="716"/>
              </w:tabs>
              <w:spacing w:line="240" w:lineRule="auto"/>
              <w:ind w:left="738" w:hanging="284"/>
              <w:rPr>
                <w:sz w:val="18"/>
                <w:szCs w:val="18"/>
                <w:rtl/>
              </w:rPr>
            </w:pPr>
            <w:r w:rsidRPr="00EB5088">
              <w:rPr>
                <w:rFonts w:hint="eastAsia"/>
                <w:sz w:val="18"/>
                <w:szCs w:val="18"/>
                <w:rtl/>
              </w:rPr>
              <w:t>יחס</w:t>
            </w:r>
            <w:r w:rsidRPr="00EB5088">
              <w:rPr>
                <w:sz w:val="18"/>
                <w:szCs w:val="18"/>
                <w:rtl/>
              </w:rPr>
              <w:t xml:space="preserve"> </w:t>
            </w:r>
            <w:r w:rsidRPr="00EB5088">
              <w:rPr>
                <w:rFonts w:hint="eastAsia"/>
                <w:sz w:val="18"/>
                <w:szCs w:val="18"/>
                <w:rtl/>
              </w:rPr>
              <w:t>ההון</w:t>
            </w:r>
            <w:r w:rsidRPr="00EB5088">
              <w:rPr>
                <w:sz w:val="18"/>
                <w:szCs w:val="18"/>
                <w:rtl/>
              </w:rPr>
              <w:t xml:space="preserve"> </w:t>
            </w:r>
            <w:r w:rsidRPr="00EB5088">
              <w:rPr>
                <w:rFonts w:hint="eastAsia"/>
                <w:sz w:val="18"/>
                <w:szCs w:val="18"/>
                <w:rtl/>
              </w:rPr>
              <w:t>הכולל</w:t>
            </w:r>
            <w:r w:rsidRPr="00EB5088">
              <w:rPr>
                <w:sz w:val="18"/>
                <w:szCs w:val="18"/>
                <w:rtl/>
              </w:rPr>
              <w:t xml:space="preserve"> </w:t>
            </w:r>
            <w:r w:rsidRPr="00EB5088">
              <w:rPr>
                <w:rFonts w:hint="eastAsia"/>
                <w:sz w:val="18"/>
                <w:szCs w:val="18"/>
                <w:rtl/>
              </w:rPr>
              <w:t>המזערי</w:t>
            </w:r>
            <w:r w:rsidRPr="00EB5088">
              <w:rPr>
                <w:sz w:val="18"/>
                <w:szCs w:val="18"/>
                <w:rtl/>
              </w:rPr>
              <w:t xml:space="preserve"> </w:t>
            </w:r>
            <w:r w:rsidRPr="00EB5088">
              <w:rPr>
                <w:rFonts w:hint="eastAsia"/>
                <w:sz w:val="18"/>
                <w:szCs w:val="18"/>
                <w:rtl/>
              </w:rPr>
              <w:t>הנדרש</w:t>
            </w:r>
            <w:r w:rsidRPr="00EB5088">
              <w:rPr>
                <w:sz w:val="18"/>
                <w:szCs w:val="18"/>
                <w:rtl/>
              </w:rPr>
              <w:t xml:space="preserve"> </w:t>
            </w:r>
            <w:r w:rsidRPr="00EB5088">
              <w:rPr>
                <w:rFonts w:hint="eastAsia"/>
                <w:sz w:val="18"/>
                <w:szCs w:val="18"/>
                <w:rtl/>
              </w:rPr>
              <w:t>ע</w:t>
            </w:r>
            <w:r w:rsidRPr="00EB5088">
              <w:rPr>
                <w:sz w:val="18"/>
                <w:szCs w:val="18"/>
                <w:rtl/>
              </w:rPr>
              <w:t xml:space="preserve">"י </w:t>
            </w:r>
            <w:r w:rsidRPr="00EB5088">
              <w:rPr>
                <w:rFonts w:hint="eastAsia"/>
                <w:sz w:val="18"/>
                <w:szCs w:val="18"/>
                <w:rtl/>
              </w:rPr>
              <w:t>המפקח</w:t>
            </w:r>
            <w:r w:rsidRPr="00EB5088">
              <w:rPr>
                <w:sz w:val="18"/>
                <w:szCs w:val="18"/>
                <w:rtl/>
              </w:rPr>
              <w:t xml:space="preserve"> </w:t>
            </w:r>
            <w:r w:rsidRPr="00EB5088">
              <w:rPr>
                <w:rFonts w:hint="eastAsia"/>
                <w:sz w:val="18"/>
                <w:szCs w:val="18"/>
                <w:rtl/>
              </w:rPr>
              <w:t>על</w:t>
            </w:r>
            <w:r w:rsidRPr="00EB5088">
              <w:rPr>
                <w:sz w:val="18"/>
                <w:szCs w:val="18"/>
                <w:rtl/>
              </w:rPr>
              <w:t xml:space="preserve"> </w:t>
            </w:r>
            <w:r w:rsidRPr="00EB5088">
              <w:rPr>
                <w:rFonts w:hint="eastAsia"/>
                <w:sz w:val="18"/>
                <w:szCs w:val="18"/>
                <w:rtl/>
              </w:rPr>
              <w:t>הבנקים</w:t>
            </w:r>
            <w:r w:rsidRPr="00EB5088">
              <w:rPr>
                <w:sz w:val="18"/>
                <w:szCs w:val="18"/>
                <w:vertAlign w:val="superscript"/>
                <w:rtl/>
              </w:rPr>
              <w:t>(</w:t>
            </w:r>
            <w:r w:rsidRPr="00EB5088">
              <w:rPr>
                <w:rFonts w:hint="eastAsia"/>
                <w:sz w:val="18"/>
                <w:szCs w:val="18"/>
                <w:vertAlign w:val="superscript"/>
                <w:rtl/>
              </w:rPr>
              <w:t>ב</w:t>
            </w:r>
            <w:r w:rsidRPr="00EB5088">
              <w:rPr>
                <w:sz w:val="18"/>
                <w:szCs w:val="18"/>
                <w:vertAlign w:val="superscript"/>
                <w:rtl/>
              </w:rPr>
              <w:t>)</w:t>
            </w:r>
            <w:r w:rsidRPr="00EB5088" w:rsidDel="00215D23">
              <w:rPr>
                <w:sz w:val="18"/>
                <w:szCs w:val="18"/>
                <w:vertAlign w:val="superscript"/>
                <w:rtl/>
              </w:rPr>
              <w:t xml:space="preserve"> </w:t>
            </w:r>
          </w:p>
        </w:tc>
        <w:tc>
          <w:tcPr>
            <w:tcW w:w="975" w:type="dxa"/>
            <w:vAlign w:val="bottom"/>
          </w:tcPr>
          <w:p w14:paraId="7366DA9B" w14:textId="34B3A4C2" w:rsidR="00D7159D" w:rsidRPr="00461589" w:rsidRDefault="00D7159D" w:rsidP="00B86448">
            <w:pPr>
              <w:pStyle w:val="-7"/>
              <w:jc w:val="left"/>
              <w:rPr>
                <w:sz w:val="18"/>
                <w:szCs w:val="18"/>
                <w:rtl/>
              </w:rPr>
            </w:pPr>
            <w:r w:rsidRPr="00461589">
              <w:rPr>
                <w:rFonts w:hint="cs"/>
                <w:sz w:val="18"/>
                <w:szCs w:val="18"/>
                <w:rtl/>
              </w:rPr>
              <w:t>0%</w:t>
            </w:r>
          </w:p>
        </w:tc>
        <w:tc>
          <w:tcPr>
            <w:tcW w:w="974" w:type="dxa"/>
            <w:vAlign w:val="bottom"/>
          </w:tcPr>
          <w:p w14:paraId="4BDD7008" w14:textId="6AC46CFB" w:rsidR="00D7159D" w:rsidRPr="00461589" w:rsidRDefault="00D7159D" w:rsidP="00B86448">
            <w:pPr>
              <w:pStyle w:val="-7"/>
              <w:jc w:val="left"/>
              <w:rPr>
                <w:sz w:val="18"/>
                <w:szCs w:val="18"/>
                <w:rtl/>
              </w:rPr>
            </w:pPr>
            <w:r w:rsidRPr="00461589">
              <w:rPr>
                <w:rFonts w:hint="cs"/>
                <w:sz w:val="18"/>
                <w:szCs w:val="18"/>
                <w:rtl/>
              </w:rPr>
              <w:t>0%</w:t>
            </w:r>
          </w:p>
        </w:tc>
        <w:tc>
          <w:tcPr>
            <w:tcW w:w="1080" w:type="dxa"/>
            <w:vAlign w:val="bottom"/>
          </w:tcPr>
          <w:p w14:paraId="091FC956" w14:textId="0C95D678" w:rsidR="00D7159D" w:rsidRPr="00461589" w:rsidRDefault="00D7159D" w:rsidP="00B86448">
            <w:pPr>
              <w:pStyle w:val="-7"/>
              <w:jc w:val="left"/>
              <w:rPr>
                <w:sz w:val="18"/>
                <w:szCs w:val="18"/>
                <w:rtl/>
              </w:rPr>
            </w:pPr>
            <w:r w:rsidRPr="00461589">
              <w:rPr>
                <w:rFonts w:hint="cs"/>
                <w:sz w:val="18"/>
                <w:szCs w:val="18"/>
                <w:rtl/>
              </w:rPr>
              <w:t>0%</w:t>
            </w:r>
          </w:p>
        </w:tc>
      </w:tr>
      <w:tr w:rsidR="00D7159D" w:rsidRPr="00907C5A" w14:paraId="6EE5B8EA" w14:textId="77777777" w:rsidTr="00D7159D">
        <w:tblPrEx>
          <w:tblLook w:val="01E0" w:firstRow="1" w:lastRow="1" w:firstColumn="1" w:lastColumn="1" w:noHBand="0" w:noVBand="0"/>
        </w:tblPrEx>
        <w:tc>
          <w:tcPr>
            <w:tcW w:w="1417" w:type="dxa"/>
          </w:tcPr>
          <w:p w14:paraId="397C918B" w14:textId="77777777" w:rsidR="00D7159D" w:rsidRDefault="00D7159D" w:rsidP="00B86448">
            <w:pPr>
              <w:pStyle w:val="-7"/>
              <w:bidi w:val="0"/>
              <w:spacing w:line="60" w:lineRule="exact"/>
              <w:rPr>
                <w:sz w:val="10"/>
                <w:szCs w:val="10"/>
                <w:rtl/>
              </w:rPr>
            </w:pPr>
          </w:p>
        </w:tc>
        <w:tc>
          <w:tcPr>
            <w:tcW w:w="5173" w:type="dxa"/>
            <w:vAlign w:val="bottom"/>
          </w:tcPr>
          <w:p w14:paraId="3F01E40B" w14:textId="77777777" w:rsidR="00D7159D" w:rsidRDefault="00D7159D" w:rsidP="00B86448">
            <w:pPr>
              <w:pStyle w:val="-0"/>
              <w:bidi w:val="0"/>
              <w:spacing w:line="60" w:lineRule="exact"/>
              <w:jc w:val="both"/>
              <w:rPr>
                <w:sz w:val="10"/>
                <w:szCs w:val="10"/>
                <w:rtl/>
              </w:rPr>
            </w:pPr>
          </w:p>
        </w:tc>
        <w:tc>
          <w:tcPr>
            <w:tcW w:w="975" w:type="dxa"/>
          </w:tcPr>
          <w:p w14:paraId="46965795" w14:textId="77777777" w:rsidR="00D7159D" w:rsidRDefault="00D7159D" w:rsidP="00B86448">
            <w:pPr>
              <w:pStyle w:val="-12"/>
              <w:pBdr>
                <w:top w:val="none" w:sz="0" w:space="0" w:color="auto"/>
              </w:pBdr>
              <w:bidi w:val="0"/>
              <w:spacing w:line="60" w:lineRule="exact"/>
              <w:jc w:val="both"/>
              <w:rPr>
                <w:sz w:val="10"/>
                <w:szCs w:val="10"/>
                <w:rtl/>
              </w:rPr>
            </w:pPr>
          </w:p>
        </w:tc>
        <w:tc>
          <w:tcPr>
            <w:tcW w:w="974" w:type="dxa"/>
          </w:tcPr>
          <w:p w14:paraId="10AAC3F3" w14:textId="77777777" w:rsidR="00D7159D" w:rsidRDefault="00D7159D" w:rsidP="00B86448">
            <w:pPr>
              <w:pStyle w:val="-12"/>
              <w:pBdr>
                <w:top w:val="none" w:sz="0" w:space="0" w:color="auto"/>
              </w:pBdr>
              <w:bidi w:val="0"/>
              <w:spacing w:line="60" w:lineRule="exact"/>
              <w:jc w:val="both"/>
              <w:rPr>
                <w:sz w:val="10"/>
                <w:szCs w:val="10"/>
                <w:rtl/>
              </w:rPr>
            </w:pPr>
          </w:p>
        </w:tc>
        <w:tc>
          <w:tcPr>
            <w:tcW w:w="1080" w:type="dxa"/>
          </w:tcPr>
          <w:p w14:paraId="022C0C6F" w14:textId="77777777" w:rsidR="00D7159D" w:rsidRDefault="00D7159D" w:rsidP="00B86448">
            <w:pPr>
              <w:pStyle w:val="-12"/>
              <w:pBdr>
                <w:top w:val="none" w:sz="0" w:space="0" w:color="auto"/>
              </w:pBdr>
              <w:bidi w:val="0"/>
              <w:spacing w:line="60" w:lineRule="exact"/>
              <w:jc w:val="both"/>
              <w:rPr>
                <w:sz w:val="10"/>
                <w:szCs w:val="10"/>
                <w:rtl/>
              </w:rPr>
            </w:pPr>
          </w:p>
        </w:tc>
      </w:tr>
    </w:tbl>
    <w:p w14:paraId="19CD7A74" w14:textId="77777777" w:rsidR="00AE08F3" w:rsidRDefault="00AE08F3" w:rsidP="00444BA9">
      <w:pPr>
        <w:pStyle w:val="-2"/>
        <w:spacing w:line="192" w:lineRule="auto"/>
        <w:ind w:left="2024"/>
        <w:rPr>
          <w:b w:val="0"/>
          <w:bCs w:val="0"/>
          <w:sz w:val="16"/>
          <w:szCs w:val="16"/>
          <w:rtl/>
        </w:rPr>
      </w:pPr>
    </w:p>
    <w:p w14:paraId="017F26BE" w14:textId="77777777" w:rsidR="00215F04" w:rsidRDefault="00215F04" w:rsidP="008745CD">
      <w:pPr>
        <w:spacing w:before="120" w:line="257" w:lineRule="auto"/>
        <w:ind w:left="1418"/>
        <w:rPr>
          <w:sz w:val="16"/>
          <w:szCs w:val="16"/>
          <w:rtl/>
        </w:rPr>
      </w:pPr>
    </w:p>
    <w:p w14:paraId="68A5A339" w14:textId="17DFD871" w:rsidR="00426EDD" w:rsidRPr="00236DE1" w:rsidRDefault="00B86448" w:rsidP="00CE19D7">
      <w:pPr>
        <w:spacing w:before="120" w:line="257" w:lineRule="auto"/>
        <w:ind w:left="1418" w:right="567"/>
        <w:rPr>
          <w:sz w:val="17"/>
          <w:szCs w:val="17"/>
          <w:rtl/>
        </w:rPr>
      </w:pPr>
      <w:r w:rsidRPr="00236DE1">
        <w:rPr>
          <w:rFonts w:hint="eastAsia"/>
          <w:sz w:val="17"/>
          <w:szCs w:val="17"/>
          <w:rtl/>
        </w:rPr>
        <w:t>הנתונים</w:t>
      </w:r>
      <w:r w:rsidRPr="00236DE1">
        <w:rPr>
          <w:sz w:val="17"/>
          <w:szCs w:val="17"/>
          <w:rtl/>
        </w:rPr>
        <w:t xml:space="preserve"> </w:t>
      </w:r>
      <w:r w:rsidRPr="00236DE1">
        <w:rPr>
          <w:rFonts w:hint="eastAsia"/>
          <w:sz w:val="17"/>
          <w:szCs w:val="17"/>
          <w:rtl/>
        </w:rPr>
        <w:t>בביאור</w:t>
      </w:r>
      <w:r w:rsidRPr="00236DE1">
        <w:rPr>
          <w:sz w:val="17"/>
          <w:szCs w:val="17"/>
          <w:rtl/>
        </w:rPr>
        <w:t xml:space="preserve"> </w:t>
      </w:r>
      <w:r w:rsidRPr="00236DE1">
        <w:rPr>
          <w:rFonts w:hint="eastAsia"/>
          <w:sz w:val="17"/>
          <w:szCs w:val="17"/>
          <w:rtl/>
        </w:rPr>
        <w:t>זה</w:t>
      </w:r>
      <w:r w:rsidRPr="00236DE1">
        <w:rPr>
          <w:sz w:val="17"/>
          <w:szCs w:val="17"/>
          <w:rtl/>
        </w:rPr>
        <w:t xml:space="preserve"> </w:t>
      </w:r>
      <w:r w:rsidRPr="00236DE1">
        <w:rPr>
          <w:rFonts w:hint="eastAsia"/>
          <w:sz w:val="17"/>
          <w:szCs w:val="17"/>
          <w:rtl/>
        </w:rPr>
        <w:t>מוצגים</w:t>
      </w:r>
      <w:r w:rsidRPr="00236DE1">
        <w:rPr>
          <w:sz w:val="17"/>
          <w:szCs w:val="17"/>
          <w:rtl/>
        </w:rPr>
        <w:t xml:space="preserve"> </w:t>
      </w:r>
      <w:r w:rsidRPr="00236DE1">
        <w:rPr>
          <w:rFonts w:hint="eastAsia"/>
          <w:sz w:val="17"/>
          <w:szCs w:val="17"/>
          <w:rtl/>
        </w:rPr>
        <w:t>בהתאם</w:t>
      </w:r>
      <w:r w:rsidRPr="00236DE1">
        <w:rPr>
          <w:sz w:val="17"/>
          <w:szCs w:val="17"/>
          <w:rtl/>
        </w:rPr>
        <w:t xml:space="preserve"> </w:t>
      </w:r>
      <w:r w:rsidRPr="00236DE1">
        <w:rPr>
          <w:rFonts w:hint="eastAsia"/>
          <w:sz w:val="17"/>
          <w:szCs w:val="17"/>
          <w:rtl/>
        </w:rPr>
        <w:t>להוראת</w:t>
      </w:r>
      <w:r w:rsidRPr="00236DE1">
        <w:rPr>
          <w:sz w:val="17"/>
          <w:szCs w:val="17"/>
          <w:rtl/>
        </w:rPr>
        <w:t xml:space="preserve"> </w:t>
      </w:r>
      <w:r w:rsidRPr="00236DE1">
        <w:rPr>
          <w:rFonts w:hint="eastAsia"/>
          <w:sz w:val="17"/>
          <w:szCs w:val="17"/>
          <w:rtl/>
        </w:rPr>
        <w:t>ניהול</w:t>
      </w:r>
      <w:r w:rsidRPr="00236DE1">
        <w:rPr>
          <w:sz w:val="17"/>
          <w:szCs w:val="17"/>
          <w:rtl/>
        </w:rPr>
        <w:t xml:space="preserve"> </w:t>
      </w:r>
      <w:r w:rsidRPr="00236DE1">
        <w:rPr>
          <w:rFonts w:hint="eastAsia"/>
          <w:sz w:val="17"/>
          <w:szCs w:val="17"/>
          <w:rtl/>
        </w:rPr>
        <w:t>בנקאי</w:t>
      </w:r>
      <w:r w:rsidRPr="00236DE1">
        <w:rPr>
          <w:sz w:val="17"/>
          <w:szCs w:val="17"/>
          <w:rtl/>
        </w:rPr>
        <w:t xml:space="preserve"> </w:t>
      </w:r>
      <w:r w:rsidRPr="00236DE1">
        <w:rPr>
          <w:rFonts w:hint="eastAsia"/>
          <w:sz w:val="17"/>
          <w:szCs w:val="17"/>
          <w:rtl/>
        </w:rPr>
        <w:t>תקין</w:t>
      </w:r>
      <w:r w:rsidRPr="00236DE1">
        <w:rPr>
          <w:sz w:val="17"/>
          <w:szCs w:val="17"/>
          <w:rtl/>
        </w:rPr>
        <w:t xml:space="preserve"> 202 בדבר "מדידה והלימות הון</w:t>
      </w:r>
      <w:r w:rsidRPr="00236DE1">
        <w:rPr>
          <w:rFonts w:hint="cs"/>
          <w:sz w:val="17"/>
          <w:szCs w:val="17"/>
          <w:rtl/>
        </w:rPr>
        <w:t xml:space="preserve"> - ההון הפיקוחי</w:t>
      </w:r>
      <w:r w:rsidRPr="00236DE1">
        <w:rPr>
          <w:sz w:val="17"/>
          <w:szCs w:val="17"/>
          <w:rtl/>
        </w:rPr>
        <w:t xml:space="preserve">". בנוסף, נתונים אלה כוללים התאמות בגין תכנית ההתייעלות </w:t>
      </w:r>
      <w:r w:rsidRPr="00236DE1">
        <w:rPr>
          <w:rFonts w:hint="eastAsia"/>
          <w:sz w:val="17"/>
          <w:szCs w:val="17"/>
          <w:rtl/>
        </w:rPr>
        <w:t>שנקבעו</w:t>
      </w:r>
      <w:r w:rsidRPr="00236DE1">
        <w:rPr>
          <w:sz w:val="17"/>
          <w:szCs w:val="17"/>
          <w:rtl/>
        </w:rPr>
        <w:t xml:space="preserve"> </w:t>
      </w:r>
      <w:r w:rsidRPr="00236DE1">
        <w:rPr>
          <w:rFonts w:hint="eastAsia"/>
          <w:sz w:val="17"/>
          <w:szCs w:val="17"/>
          <w:rtl/>
        </w:rPr>
        <w:t>לפי</w:t>
      </w:r>
      <w:r w:rsidRPr="00236DE1">
        <w:rPr>
          <w:sz w:val="17"/>
          <w:szCs w:val="17"/>
          <w:rtl/>
        </w:rPr>
        <w:t xml:space="preserve"> </w:t>
      </w:r>
      <w:r w:rsidRPr="00236DE1">
        <w:rPr>
          <w:rFonts w:hint="eastAsia"/>
          <w:sz w:val="17"/>
          <w:szCs w:val="17"/>
          <w:rtl/>
        </w:rPr>
        <w:t>מכתב</w:t>
      </w:r>
      <w:r w:rsidRPr="00236DE1">
        <w:rPr>
          <w:rFonts w:hint="cs"/>
          <w:sz w:val="17"/>
          <w:szCs w:val="17"/>
          <w:rtl/>
        </w:rPr>
        <w:t>י</w:t>
      </w:r>
      <w:r w:rsidRPr="00236DE1">
        <w:rPr>
          <w:sz w:val="17"/>
          <w:szCs w:val="17"/>
          <w:rtl/>
        </w:rPr>
        <w:t xml:space="preserve"> </w:t>
      </w:r>
      <w:r w:rsidRPr="00236DE1">
        <w:rPr>
          <w:rFonts w:hint="eastAsia"/>
          <w:sz w:val="17"/>
          <w:szCs w:val="17"/>
          <w:rtl/>
        </w:rPr>
        <w:t>המפקחת</w:t>
      </w:r>
      <w:r w:rsidRPr="00236DE1">
        <w:rPr>
          <w:sz w:val="17"/>
          <w:szCs w:val="17"/>
          <w:rtl/>
        </w:rPr>
        <w:t xml:space="preserve"> </w:t>
      </w:r>
      <w:r w:rsidRPr="00236DE1">
        <w:rPr>
          <w:rFonts w:hint="eastAsia"/>
          <w:sz w:val="17"/>
          <w:szCs w:val="17"/>
          <w:rtl/>
        </w:rPr>
        <w:t>על</w:t>
      </w:r>
      <w:r w:rsidRPr="00236DE1">
        <w:rPr>
          <w:sz w:val="17"/>
          <w:szCs w:val="17"/>
          <w:rtl/>
        </w:rPr>
        <w:t xml:space="preserve"> </w:t>
      </w:r>
      <w:r w:rsidRPr="00236DE1">
        <w:rPr>
          <w:rFonts w:hint="eastAsia"/>
          <w:sz w:val="17"/>
          <w:szCs w:val="17"/>
          <w:rtl/>
        </w:rPr>
        <w:t>הבנקים</w:t>
      </w:r>
      <w:r w:rsidRPr="00236DE1">
        <w:rPr>
          <w:sz w:val="17"/>
          <w:szCs w:val="17"/>
          <w:rtl/>
        </w:rPr>
        <w:t xml:space="preserve"> </w:t>
      </w:r>
      <w:r w:rsidRPr="00236DE1">
        <w:rPr>
          <w:rFonts w:hint="eastAsia"/>
          <w:sz w:val="17"/>
          <w:szCs w:val="17"/>
          <w:rtl/>
        </w:rPr>
        <w:t>מיום</w:t>
      </w:r>
      <w:r w:rsidRPr="00236DE1">
        <w:rPr>
          <w:sz w:val="17"/>
          <w:szCs w:val="17"/>
          <w:rtl/>
        </w:rPr>
        <w:t xml:space="preserve"> </w:t>
      </w:r>
      <w:r w:rsidR="00D03909" w:rsidRPr="00236DE1">
        <w:rPr>
          <w:rFonts w:hint="cs"/>
          <w:sz w:val="17"/>
          <w:szCs w:val="17"/>
          <w:rtl/>
        </w:rPr>
        <w:t>12.1.2016</w:t>
      </w:r>
      <w:r w:rsidRPr="00236DE1">
        <w:rPr>
          <w:sz w:val="17"/>
          <w:szCs w:val="17"/>
          <w:rtl/>
        </w:rPr>
        <w:t xml:space="preserve"> </w:t>
      </w:r>
      <w:r w:rsidRPr="00236DE1">
        <w:rPr>
          <w:rFonts w:hint="eastAsia"/>
          <w:sz w:val="17"/>
          <w:szCs w:val="17"/>
          <w:rtl/>
        </w:rPr>
        <w:t>בנושא</w:t>
      </w:r>
      <w:r w:rsidRPr="00236DE1">
        <w:rPr>
          <w:sz w:val="17"/>
          <w:szCs w:val="17"/>
          <w:rtl/>
        </w:rPr>
        <w:t xml:space="preserve"> "התייעלות </w:t>
      </w:r>
      <w:r w:rsidRPr="00236DE1">
        <w:rPr>
          <w:rFonts w:hint="eastAsia"/>
          <w:sz w:val="17"/>
          <w:szCs w:val="17"/>
          <w:rtl/>
        </w:rPr>
        <w:t>תפעולית</w:t>
      </w:r>
      <w:r w:rsidRPr="00236DE1">
        <w:rPr>
          <w:sz w:val="17"/>
          <w:szCs w:val="17"/>
          <w:rtl/>
        </w:rPr>
        <w:t xml:space="preserve"> </w:t>
      </w:r>
      <w:r w:rsidRPr="00236DE1">
        <w:rPr>
          <w:rFonts w:hint="eastAsia"/>
          <w:sz w:val="17"/>
          <w:szCs w:val="17"/>
          <w:rtl/>
        </w:rPr>
        <w:t>של</w:t>
      </w:r>
      <w:r w:rsidRPr="00236DE1">
        <w:rPr>
          <w:sz w:val="17"/>
          <w:szCs w:val="17"/>
          <w:rtl/>
        </w:rPr>
        <w:t xml:space="preserve"> </w:t>
      </w:r>
      <w:r w:rsidRPr="00236DE1">
        <w:rPr>
          <w:rFonts w:hint="eastAsia"/>
          <w:sz w:val="17"/>
          <w:szCs w:val="17"/>
          <w:rtl/>
        </w:rPr>
        <w:t>המערכת</w:t>
      </w:r>
      <w:r w:rsidRPr="00236DE1">
        <w:rPr>
          <w:sz w:val="17"/>
          <w:szCs w:val="17"/>
          <w:rtl/>
        </w:rPr>
        <w:t xml:space="preserve"> </w:t>
      </w:r>
      <w:r w:rsidRPr="00236DE1">
        <w:rPr>
          <w:rFonts w:hint="eastAsia"/>
          <w:sz w:val="17"/>
          <w:szCs w:val="17"/>
          <w:rtl/>
        </w:rPr>
        <w:t>הבנקאית</w:t>
      </w:r>
      <w:r w:rsidRPr="00236DE1">
        <w:rPr>
          <w:sz w:val="17"/>
          <w:szCs w:val="17"/>
          <w:rtl/>
        </w:rPr>
        <w:t xml:space="preserve"> </w:t>
      </w:r>
      <w:r w:rsidRPr="00236DE1">
        <w:rPr>
          <w:rFonts w:hint="eastAsia"/>
          <w:sz w:val="17"/>
          <w:szCs w:val="17"/>
          <w:rtl/>
        </w:rPr>
        <w:t>בישראל</w:t>
      </w:r>
      <w:r w:rsidRPr="00236DE1">
        <w:rPr>
          <w:sz w:val="17"/>
          <w:szCs w:val="17"/>
          <w:rtl/>
        </w:rPr>
        <w:t>"</w:t>
      </w:r>
      <w:r w:rsidRPr="00236DE1">
        <w:rPr>
          <w:rFonts w:hint="cs"/>
          <w:sz w:val="17"/>
          <w:szCs w:val="17"/>
          <w:rtl/>
        </w:rPr>
        <w:t xml:space="preserve"> ומיום </w:t>
      </w:r>
      <w:r w:rsidR="00D03909" w:rsidRPr="00236DE1">
        <w:rPr>
          <w:rFonts w:hint="cs"/>
          <w:sz w:val="17"/>
          <w:szCs w:val="17"/>
          <w:rtl/>
        </w:rPr>
        <w:t xml:space="preserve">13.6.2017 </w:t>
      </w:r>
      <w:r w:rsidRPr="00236DE1">
        <w:rPr>
          <w:rFonts w:hint="cs"/>
          <w:sz w:val="17"/>
          <w:szCs w:val="17"/>
          <w:rtl/>
        </w:rPr>
        <w:t>בנושא "התייעלות תפעולית של המערכת הבנקאית בישראל - התייעלות בתחום הנדל"ן</w:t>
      </w:r>
      <w:r w:rsidRPr="00236DE1">
        <w:rPr>
          <w:sz w:val="17"/>
          <w:szCs w:val="17"/>
          <w:rtl/>
        </w:rPr>
        <w:t xml:space="preserve"> (להלן: "</w:t>
      </w:r>
      <w:r w:rsidRPr="00236DE1">
        <w:rPr>
          <w:rFonts w:hint="eastAsia"/>
          <w:sz w:val="17"/>
          <w:szCs w:val="17"/>
          <w:rtl/>
        </w:rPr>
        <w:t>התאמות</w:t>
      </w:r>
      <w:r w:rsidRPr="00236DE1">
        <w:rPr>
          <w:sz w:val="17"/>
          <w:szCs w:val="17"/>
          <w:rtl/>
        </w:rPr>
        <w:t xml:space="preserve"> בגין תכנית ההתייעלות</w:t>
      </w:r>
      <w:r w:rsidRPr="00236DE1">
        <w:rPr>
          <w:rFonts w:hint="cs"/>
          <w:sz w:val="17"/>
          <w:szCs w:val="17"/>
          <w:rtl/>
        </w:rPr>
        <w:t>"</w:t>
      </w:r>
      <w:r w:rsidRPr="00236DE1">
        <w:rPr>
          <w:sz w:val="17"/>
          <w:szCs w:val="17"/>
          <w:rtl/>
        </w:rPr>
        <w:t>), אשר פוחתות בהדרגה</w:t>
      </w:r>
      <w:r w:rsidRPr="00236DE1">
        <w:rPr>
          <w:rFonts w:hint="cs"/>
          <w:sz w:val="17"/>
          <w:szCs w:val="17"/>
          <w:rtl/>
        </w:rPr>
        <w:t xml:space="preserve"> </w:t>
      </w:r>
      <w:r w:rsidRPr="00236DE1">
        <w:rPr>
          <w:sz w:val="17"/>
          <w:szCs w:val="17"/>
          <w:rtl/>
        </w:rPr>
        <w:t xml:space="preserve">עד </w:t>
      </w:r>
      <w:r w:rsidRPr="00236DE1">
        <w:rPr>
          <w:rFonts w:hint="eastAsia"/>
          <w:sz w:val="17"/>
          <w:szCs w:val="17"/>
          <w:rtl/>
        </w:rPr>
        <w:t>ליום</w:t>
      </w:r>
      <w:r w:rsidRPr="00236DE1">
        <w:rPr>
          <w:sz w:val="17"/>
          <w:szCs w:val="17"/>
          <w:rtl/>
        </w:rPr>
        <w:t xml:space="preserve"> __</w:t>
      </w:r>
      <w:r w:rsidR="00D03909" w:rsidRPr="00236DE1">
        <w:rPr>
          <w:rFonts w:hint="cs"/>
          <w:sz w:val="17"/>
          <w:szCs w:val="17"/>
          <w:rtl/>
        </w:rPr>
        <w:t>__</w:t>
      </w:r>
      <w:r w:rsidRPr="00236DE1">
        <w:rPr>
          <w:sz w:val="17"/>
          <w:szCs w:val="17"/>
          <w:rtl/>
        </w:rPr>
        <w:t>_</w:t>
      </w:r>
      <w:r w:rsidR="00D03909" w:rsidRPr="00236DE1">
        <w:rPr>
          <w:rFonts w:hint="cs"/>
          <w:sz w:val="17"/>
          <w:szCs w:val="17"/>
          <w:rtl/>
        </w:rPr>
        <w:t xml:space="preserve"> </w:t>
      </w:r>
      <w:r w:rsidRPr="00236DE1">
        <w:rPr>
          <w:sz w:val="17"/>
          <w:szCs w:val="17"/>
          <w:rtl/>
        </w:rPr>
        <w:t>.</w:t>
      </w:r>
      <w:r w:rsidRPr="00236DE1">
        <w:rPr>
          <w:rFonts w:hint="cs"/>
          <w:sz w:val="17"/>
          <w:szCs w:val="17"/>
          <w:rtl/>
        </w:rPr>
        <w:t xml:space="preserve"> </w:t>
      </w:r>
      <w:bookmarkStart w:id="33" w:name="_Hlk118801454"/>
    </w:p>
    <w:p w14:paraId="522C8B70" w14:textId="3F436B16" w:rsidR="00B86448" w:rsidRPr="00236DE1" w:rsidRDefault="00426EDD" w:rsidP="00CE19D7">
      <w:pPr>
        <w:spacing w:after="60" w:line="257" w:lineRule="auto"/>
        <w:ind w:left="1418" w:right="567"/>
        <w:rPr>
          <w:sz w:val="17"/>
          <w:szCs w:val="17"/>
          <w:rtl/>
        </w:rPr>
      </w:pPr>
      <w:r w:rsidRPr="00236DE1">
        <w:rPr>
          <w:rFonts w:hint="cs"/>
          <w:sz w:val="17"/>
          <w:szCs w:val="17"/>
          <w:rtl/>
        </w:rPr>
        <w:t>כמו כן</w:t>
      </w:r>
      <w:r w:rsidR="00B86448" w:rsidRPr="00236DE1">
        <w:rPr>
          <w:sz w:val="17"/>
          <w:szCs w:val="17"/>
          <w:rtl/>
        </w:rPr>
        <w:t>, נתונים</w:t>
      </w:r>
      <w:bookmarkEnd w:id="33"/>
      <w:r w:rsidR="00B86448" w:rsidRPr="00236DE1">
        <w:rPr>
          <w:sz w:val="17"/>
          <w:szCs w:val="17"/>
          <w:rtl/>
        </w:rPr>
        <w:t xml:space="preserve"> אלה כוללים התאמות בגין השפעת היישום לראשונה של כללי החשבונאות בנושא הפסדי אשראי צפויים (להלן </w:t>
      </w:r>
      <w:r w:rsidR="00D723FD" w:rsidRPr="00236DE1">
        <w:rPr>
          <w:rFonts w:hint="cs"/>
          <w:sz w:val="17"/>
          <w:szCs w:val="17"/>
          <w:rtl/>
        </w:rPr>
        <w:t>-</w:t>
      </w:r>
      <w:r w:rsidR="00B86448" w:rsidRPr="00236DE1">
        <w:rPr>
          <w:sz w:val="17"/>
          <w:szCs w:val="17"/>
          <w:rtl/>
        </w:rPr>
        <w:t xml:space="preserve"> התאמות בגין הפסדי אשראי צפויים), אשר פוחתות בהדרגה עד ליום 31.12.2024</w:t>
      </w:r>
      <w:r w:rsidR="00AB64ED" w:rsidRPr="00236DE1">
        <w:rPr>
          <w:rFonts w:hint="cs"/>
          <w:sz w:val="17"/>
          <w:szCs w:val="17"/>
          <w:rtl/>
        </w:rPr>
        <w:t>.</w:t>
      </w:r>
      <w:r w:rsidRPr="00236DE1">
        <w:rPr>
          <w:rFonts w:hint="cs"/>
          <w:sz w:val="17"/>
          <w:szCs w:val="17"/>
          <w:rtl/>
        </w:rPr>
        <w:t xml:space="preserve"> וכן</w:t>
      </w:r>
      <w:r w:rsidR="00B86448" w:rsidRPr="00236DE1">
        <w:rPr>
          <w:sz w:val="17"/>
          <w:szCs w:val="17"/>
          <w:rtl/>
        </w:rPr>
        <w:t xml:space="preserve"> התאמות בגין השפעת היישום לראשו</w:t>
      </w:r>
      <w:r w:rsidR="00B86448" w:rsidRPr="00236DE1">
        <w:rPr>
          <w:rFonts w:hint="cs"/>
          <w:sz w:val="17"/>
          <w:szCs w:val="17"/>
          <w:rtl/>
        </w:rPr>
        <w:t>נ</w:t>
      </w:r>
      <w:r w:rsidR="00B86448" w:rsidRPr="00236DE1">
        <w:rPr>
          <w:sz w:val="17"/>
          <w:szCs w:val="17"/>
          <w:rtl/>
        </w:rPr>
        <w:t>ה של הוראות המפקח על הב</w:t>
      </w:r>
      <w:r w:rsidR="00B86448" w:rsidRPr="00236DE1">
        <w:rPr>
          <w:rFonts w:hint="cs"/>
          <w:sz w:val="17"/>
          <w:szCs w:val="17"/>
          <w:rtl/>
        </w:rPr>
        <w:t>נ</w:t>
      </w:r>
      <w:r w:rsidR="00B86448" w:rsidRPr="00236DE1">
        <w:rPr>
          <w:sz w:val="17"/>
          <w:szCs w:val="17"/>
          <w:rtl/>
        </w:rPr>
        <w:t xml:space="preserve">קים המתייחסות להגדלת דרישות ההון בגין הלוואות בסיכון מוגבר המיועדות לרכישת קרקע, אשר </w:t>
      </w:r>
      <w:r w:rsidR="0023499F" w:rsidRPr="00236DE1">
        <w:rPr>
          <w:rFonts w:hint="cs"/>
          <w:sz w:val="17"/>
          <w:szCs w:val="17"/>
          <w:rtl/>
        </w:rPr>
        <w:t>פחתו</w:t>
      </w:r>
      <w:r w:rsidR="00B86448" w:rsidRPr="00236DE1">
        <w:rPr>
          <w:sz w:val="17"/>
          <w:szCs w:val="17"/>
          <w:rtl/>
        </w:rPr>
        <w:t xml:space="preserve"> בהדרגה עד ליום 30.6.2023.</w:t>
      </w:r>
      <w:r w:rsidRPr="00236DE1">
        <w:rPr>
          <w:rFonts w:hint="cs"/>
          <w:sz w:val="17"/>
          <w:szCs w:val="17"/>
          <w:rtl/>
        </w:rPr>
        <w:t xml:space="preserve"> </w:t>
      </w:r>
      <w:r w:rsidRPr="00236DE1">
        <w:rPr>
          <w:sz w:val="17"/>
          <w:szCs w:val="17"/>
          <w:rtl/>
        </w:rPr>
        <w:t xml:space="preserve">[לפרטים נוספים על ההתאמות </w:t>
      </w:r>
      <w:r w:rsidRPr="00236DE1">
        <w:rPr>
          <w:rFonts w:hint="cs"/>
          <w:sz w:val="17"/>
          <w:szCs w:val="17"/>
          <w:rtl/>
        </w:rPr>
        <w:t>האמורות</w:t>
      </w:r>
      <w:r w:rsidRPr="00236DE1">
        <w:rPr>
          <w:sz w:val="17"/>
          <w:szCs w:val="17"/>
          <w:rtl/>
        </w:rPr>
        <w:t>, ראה ג.</w:t>
      </w:r>
      <w:r w:rsidR="00236DE1">
        <w:rPr>
          <w:rFonts w:hint="cs"/>
          <w:sz w:val="17"/>
          <w:szCs w:val="17"/>
          <w:rtl/>
        </w:rPr>
        <w:t xml:space="preserve"> ו-</w:t>
      </w:r>
      <w:r w:rsidRPr="00236DE1">
        <w:rPr>
          <w:sz w:val="17"/>
          <w:szCs w:val="17"/>
          <w:rtl/>
        </w:rPr>
        <w:t xml:space="preserve"> ד. להלן.]</w:t>
      </w:r>
    </w:p>
    <w:p w14:paraId="400E06FC" w14:textId="4492517F" w:rsidR="00215F04" w:rsidRPr="00236DE1" w:rsidRDefault="00382A70" w:rsidP="00CE19D7">
      <w:pPr>
        <w:pStyle w:val="-2"/>
        <w:numPr>
          <w:ilvl w:val="0"/>
          <w:numId w:val="40"/>
        </w:numPr>
        <w:spacing w:before="40" w:after="120" w:line="200" w:lineRule="exact"/>
        <w:ind w:left="1775" w:right="567" w:hanging="357"/>
        <w:rPr>
          <w:b w:val="0"/>
          <w:bCs w:val="0"/>
          <w:sz w:val="17"/>
          <w:szCs w:val="17"/>
          <w:rtl/>
        </w:rPr>
      </w:pPr>
      <w:r w:rsidRPr="00236DE1">
        <w:rPr>
          <w:rFonts w:hint="cs"/>
          <w:b w:val="0"/>
          <w:bCs w:val="0"/>
          <w:sz w:val="17"/>
          <w:szCs w:val="17"/>
          <w:rtl/>
        </w:rPr>
        <w:t xml:space="preserve">מסך הכל יתרות משוקללות של נכסי סיכון </w:t>
      </w:r>
      <w:r w:rsidR="00D87EDC" w:rsidRPr="00236DE1">
        <w:rPr>
          <w:rFonts w:hint="cs"/>
          <w:b w:val="0"/>
          <w:bCs w:val="0"/>
          <w:sz w:val="17"/>
          <w:szCs w:val="17"/>
          <w:rtl/>
        </w:rPr>
        <w:t xml:space="preserve">ליום </w:t>
      </w:r>
      <w:r w:rsidR="008C50F5" w:rsidRPr="00236DE1">
        <w:rPr>
          <w:b w:val="0"/>
          <w:bCs w:val="0"/>
          <w:sz w:val="17"/>
          <w:szCs w:val="17"/>
          <w:rtl/>
        </w:rPr>
        <w:fldChar w:fldCharType="begin"/>
      </w:r>
      <w:r w:rsidR="008C50F5" w:rsidRPr="00236DE1">
        <w:rPr>
          <w:b w:val="0"/>
          <w:bCs w:val="0"/>
          <w:sz w:val="17"/>
          <w:szCs w:val="17"/>
          <w:rtl/>
        </w:rPr>
        <w:instrText xml:space="preserve"> </w:instrText>
      </w:r>
      <w:r w:rsidR="008C50F5" w:rsidRPr="00236DE1">
        <w:rPr>
          <w:rFonts w:hint="cs"/>
          <w:b w:val="0"/>
          <w:bCs w:val="0"/>
          <w:sz w:val="17"/>
          <w:szCs w:val="17"/>
          <w:rtl/>
        </w:rPr>
        <w:instrText xml:space="preserve">= </w:instrText>
      </w:r>
      <w:r w:rsidR="008C50F5" w:rsidRPr="00236DE1">
        <w:rPr>
          <w:rFonts w:hint="cs"/>
          <w:b w:val="0"/>
          <w:bCs w:val="0"/>
          <w:sz w:val="17"/>
          <w:szCs w:val="17"/>
        </w:rPr>
        <w:instrText>CY \* MERGEFORMAT</w:instrText>
      </w:r>
      <w:r w:rsidR="008C50F5" w:rsidRPr="00236DE1">
        <w:rPr>
          <w:b w:val="0"/>
          <w:bCs w:val="0"/>
          <w:sz w:val="17"/>
          <w:szCs w:val="17"/>
          <w:rtl/>
        </w:rPr>
        <w:instrText xml:space="preserve"> </w:instrText>
      </w:r>
      <w:r w:rsidR="008C50F5" w:rsidRPr="00236DE1">
        <w:rPr>
          <w:b w:val="0"/>
          <w:bCs w:val="0"/>
          <w:sz w:val="17"/>
          <w:szCs w:val="17"/>
          <w:rtl/>
        </w:rPr>
        <w:fldChar w:fldCharType="separate"/>
      </w:r>
      <w:r w:rsidR="003A584F" w:rsidRPr="00236DE1">
        <w:rPr>
          <w:b w:val="0"/>
          <w:bCs w:val="0"/>
          <w:noProof/>
          <w:sz w:val="17"/>
          <w:szCs w:val="17"/>
          <w:rtl/>
        </w:rPr>
        <w:t>2024</w:t>
      </w:r>
      <w:r w:rsidR="008C50F5" w:rsidRPr="00236DE1">
        <w:rPr>
          <w:b w:val="0"/>
          <w:bCs w:val="0"/>
          <w:sz w:val="17"/>
          <w:szCs w:val="17"/>
          <w:rtl/>
        </w:rPr>
        <w:fldChar w:fldCharType="end"/>
      </w:r>
      <w:r w:rsidR="008C50F5" w:rsidRPr="00236DE1">
        <w:rPr>
          <w:b w:val="0"/>
          <w:bCs w:val="0"/>
          <w:sz w:val="17"/>
          <w:szCs w:val="17"/>
        </w:rPr>
        <w:t>30.6.</w:t>
      </w:r>
      <w:r w:rsidR="008C50F5" w:rsidRPr="00236DE1">
        <w:rPr>
          <w:b w:val="0"/>
          <w:bCs w:val="0"/>
          <w:sz w:val="17"/>
          <w:szCs w:val="17"/>
          <w:rtl/>
        </w:rPr>
        <w:t xml:space="preserve"> </w:t>
      </w:r>
      <w:r w:rsidRPr="00236DE1">
        <w:rPr>
          <w:rFonts w:hint="cs"/>
          <w:b w:val="0"/>
          <w:bCs w:val="0"/>
          <w:sz w:val="17"/>
          <w:szCs w:val="17"/>
          <w:rtl/>
        </w:rPr>
        <w:t>הופחת</w:t>
      </w:r>
      <w:r w:rsidR="00D87EDC" w:rsidRPr="00236DE1">
        <w:rPr>
          <w:rFonts w:hint="cs"/>
          <w:b w:val="0"/>
          <w:bCs w:val="0"/>
          <w:sz w:val="17"/>
          <w:szCs w:val="17"/>
          <w:rtl/>
        </w:rPr>
        <w:t>ו</w:t>
      </w:r>
      <w:r w:rsidRPr="00236DE1">
        <w:rPr>
          <w:rFonts w:hint="cs"/>
          <w:b w:val="0"/>
          <w:bCs w:val="0"/>
          <w:sz w:val="17"/>
          <w:szCs w:val="17"/>
          <w:rtl/>
        </w:rPr>
        <w:t xml:space="preserve"> ס</w:t>
      </w:r>
      <w:r w:rsidR="00D87EDC" w:rsidRPr="00236DE1">
        <w:rPr>
          <w:rFonts w:hint="cs"/>
          <w:b w:val="0"/>
          <w:bCs w:val="0"/>
          <w:sz w:val="17"/>
          <w:szCs w:val="17"/>
          <w:rtl/>
        </w:rPr>
        <w:t>ך</w:t>
      </w:r>
      <w:r w:rsidRPr="00236DE1">
        <w:rPr>
          <w:rFonts w:hint="cs"/>
          <w:b w:val="0"/>
          <w:bCs w:val="0"/>
          <w:sz w:val="17"/>
          <w:szCs w:val="17"/>
          <w:rtl/>
        </w:rPr>
        <w:t xml:space="preserve"> של ___ מיליוני ש"ח </w:t>
      </w:r>
      <w:r w:rsidR="00D87EDC" w:rsidRPr="00236DE1">
        <w:rPr>
          <w:rFonts w:hint="cs"/>
          <w:b w:val="0"/>
          <w:bCs w:val="0"/>
          <w:sz w:val="17"/>
          <w:szCs w:val="17"/>
          <w:rtl/>
        </w:rPr>
        <w:t xml:space="preserve">(ליום </w:t>
      </w:r>
      <w:r w:rsidR="008C50F5" w:rsidRPr="00236DE1">
        <w:rPr>
          <w:b w:val="0"/>
          <w:bCs w:val="0"/>
          <w:sz w:val="17"/>
          <w:szCs w:val="17"/>
          <w:rtl/>
        </w:rPr>
        <w:fldChar w:fldCharType="begin"/>
      </w:r>
      <w:r w:rsidR="008C50F5" w:rsidRPr="00236DE1">
        <w:rPr>
          <w:b w:val="0"/>
          <w:bCs w:val="0"/>
          <w:sz w:val="17"/>
          <w:szCs w:val="17"/>
          <w:rtl/>
        </w:rPr>
        <w:instrText xml:space="preserve"> </w:instrText>
      </w:r>
      <w:r w:rsidR="008C50F5" w:rsidRPr="00236DE1">
        <w:rPr>
          <w:rFonts w:hint="cs"/>
          <w:b w:val="0"/>
          <w:bCs w:val="0"/>
          <w:sz w:val="17"/>
          <w:szCs w:val="17"/>
          <w:rtl/>
        </w:rPr>
        <w:instrText xml:space="preserve">= </w:instrText>
      </w:r>
      <w:r w:rsidR="008C50F5" w:rsidRPr="00236DE1">
        <w:rPr>
          <w:rFonts w:hint="cs"/>
          <w:b w:val="0"/>
          <w:bCs w:val="0"/>
          <w:sz w:val="17"/>
          <w:szCs w:val="17"/>
        </w:rPr>
        <w:instrText>CY</w:instrText>
      </w:r>
      <w:r w:rsidR="008C50F5" w:rsidRPr="00236DE1">
        <w:rPr>
          <w:b w:val="0"/>
          <w:bCs w:val="0"/>
          <w:sz w:val="17"/>
          <w:szCs w:val="17"/>
        </w:rPr>
        <w:instrText>-1</w:instrText>
      </w:r>
      <w:r w:rsidR="008C50F5" w:rsidRPr="00236DE1">
        <w:rPr>
          <w:rFonts w:hint="cs"/>
          <w:b w:val="0"/>
          <w:bCs w:val="0"/>
          <w:sz w:val="17"/>
          <w:szCs w:val="17"/>
        </w:rPr>
        <w:instrText xml:space="preserve"> \* MERGEFORMAT</w:instrText>
      </w:r>
      <w:r w:rsidR="008C50F5" w:rsidRPr="00236DE1">
        <w:rPr>
          <w:b w:val="0"/>
          <w:bCs w:val="0"/>
          <w:sz w:val="17"/>
          <w:szCs w:val="17"/>
          <w:rtl/>
        </w:rPr>
        <w:instrText xml:space="preserve"> </w:instrText>
      </w:r>
      <w:r w:rsidR="008C50F5" w:rsidRPr="00236DE1">
        <w:rPr>
          <w:b w:val="0"/>
          <w:bCs w:val="0"/>
          <w:sz w:val="17"/>
          <w:szCs w:val="17"/>
          <w:rtl/>
        </w:rPr>
        <w:fldChar w:fldCharType="separate"/>
      </w:r>
      <w:r w:rsidR="003A584F" w:rsidRPr="00236DE1">
        <w:rPr>
          <w:b w:val="0"/>
          <w:bCs w:val="0"/>
          <w:noProof/>
          <w:sz w:val="17"/>
          <w:szCs w:val="17"/>
          <w:rtl/>
        </w:rPr>
        <w:t>2023</w:t>
      </w:r>
      <w:r w:rsidR="008C50F5" w:rsidRPr="00236DE1">
        <w:rPr>
          <w:b w:val="0"/>
          <w:bCs w:val="0"/>
          <w:sz w:val="17"/>
          <w:szCs w:val="17"/>
          <w:rtl/>
        </w:rPr>
        <w:fldChar w:fldCharType="end"/>
      </w:r>
      <w:r w:rsidR="008C50F5" w:rsidRPr="00236DE1">
        <w:rPr>
          <w:b w:val="0"/>
          <w:bCs w:val="0"/>
          <w:sz w:val="17"/>
          <w:szCs w:val="17"/>
        </w:rPr>
        <w:t>30.6.</w:t>
      </w:r>
      <w:r w:rsidR="008C50F5" w:rsidRPr="00236DE1">
        <w:rPr>
          <w:rFonts w:hint="cs"/>
          <w:b w:val="0"/>
          <w:bCs w:val="0"/>
          <w:sz w:val="17"/>
          <w:szCs w:val="17"/>
          <w:rtl/>
        </w:rPr>
        <w:t xml:space="preserve"> </w:t>
      </w:r>
      <w:r w:rsidR="00BF2769" w:rsidRPr="00236DE1">
        <w:rPr>
          <w:rFonts w:hint="cs"/>
          <w:b w:val="0"/>
          <w:bCs w:val="0"/>
          <w:sz w:val="17"/>
          <w:szCs w:val="17"/>
          <w:rtl/>
        </w:rPr>
        <w:t xml:space="preserve">ו- </w:t>
      </w:r>
      <w:r w:rsidR="00923D67" w:rsidRPr="00236DE1">
        <w:rPr>
          <w:rFonts w:hint="cs"/>
          <w:b w:val="0"/>
          <w:bCs w:val="0"/>
          <w:sz w:val="17"/>
          <w:szCs w:val="17"/>
          <w:rtl/>
        </w:rPr>
        <w:t>31.12.</w:t>
      </w:r>
      <w:r w:rsidR="00923D67" w:rsidRPr="00236DE1">
        <w:rPr>
          <w:b w:val="0"/>
          <w:bCs w:val="0"/>
          <w:sz w:val="17"/>
          <w:szCs w:val="17"/>
          <w:rtl/>
        </w:rPr>
        <w:fldChar w:fldCharType="begin"/>
      </w:r>
      <w:r w:rsidR="00923D67" w:rsidRPr="00236DE1">
        <w:rPr>
          <w:b w:val="0"/>
          <w:bCs w:val="0"/>
          <w:sz w:val="17"/>
          <w:szCs w:val="17"/>
          <w:rtl/>
        </w:rPr>
        <w:instrText xml:space="preserve"> </w:instrText>
      </w:r>
      <w:r w:rsidR="00923D67" w:rsidRPr="00236DE1">
        <w:rPr>
          <w:rFonts w:hint="cs"/>
          <w:b w:val="0"/>
          <w:bCs w:val="0"/>
          <w:sz w:val="17"/>
          <w:szCs w:val="17"/>
          <w:rtl/>
        </w:rPr>
        <w:instrText xml:space="preserve">= </w:instrText>
      </w:r>
      <w:r w:rsidR="00923D67" w:rsidRPr="00236DE1">
        <w:rPr>
          <w:rFonts w:hint="cs"/>
          <w:b w:val="0"/>
          <w:bCs w:val="0"/>
          <w:sz w:val="17"/>
          <w:szCs w:val="17"/>
        </w:rPr>
        <w:instrText>CY</w:instrText>
      </w:r>
      <w:r w:rsidR="00923D67" w:rsidRPr="00236DE1">
        <w:rPr>
          <w:b w:val="0"/>
          <w:bCs w:val="0"/>
          <w:sz w:val="17"/>
          <w:szCs w:val="17"/>
        </w:rPr>
        <w:instrText>-1</w:instrText>
      </w:r>
      <w:r w:rsidR="00923D67" w:rsidRPr="00236DE1">
        <w:rPr>
          <w:rFonts w:hint="cs"/>
          <w:b w:val="0"/>
          <w:bCs w:val="0"/>
          <w:sz w:val="17"/>
          <w:szCs w:val="17"/>
        </w:rPr>
        <w:instrText xml:space="preserve"> \* MERGEFORMAT</w:instrText>
      </w:r>
      <w:r w:rsidR="00923D67" w:rsidRPr="00236DE1">
        <w:rPr>
          <w:b w:val="0"/>
          <w:bCs w:val="0"/>
          <w:sz w:val="17"/>
          <w:szCs w:val="17"/>
          <w:rtl/>
        </w:rPr>
        <w:instrText xml:space="preserve"> </w:instrText>
      </w:r>
      <w:r w:rsidR="00923D67" w:rsidRPr="00236DE1">
        <w:rPr>
          <w:b w:val="0"/>
          <w:bCs w:val="0"/>
          <w:sz w:val="17"/>
          <w:szCs w:val="17"/>
          <w:rtl/>
        </w:rPr>
        <w:fldChar w:fldCharType="separate"/>
      </w:r>
      <w:r w:rsidR="003A584F" w:rsidRPr="00236DE1">
        <w:rPr>
          <w:b w:val="0"/>
          <w:bCs w:val="0"/>
          <w:noProof/>
          <w:sz w:val="17"/>
          <w:szCs w:val="17"/>
          <w:rtl/>
        </w:rPr>
        <w:t>2023</w:t>
      </w:r>
      <w:r w:rsidR="00923D67" w:rsidRPr="00236DE1">
        <w:rPr>
          <w:b w:val="0"/>
          <w:bCs w:val="0"/>
          <w:sz w:val="17"/>
          <w:szCs w:val="17"/>
          <w:rtl/>
        </w:rPr>
        <w:fldChar w:fldCharType="end"/>
      </w:r>
      <w:r w:rsidR="00BF2769" w:rsidRPr="00236DE1">
        <w:rPr>
          <w:rFonts w:hint="cs"/>
          <w:b w:val="0"/>
          <w:bCs w:val="0"/>
          <w:sz w:val="17"/>
          <w:szCs w:val="17"/>
          <w:rtl/>
        </w:rPr>
        <w:t xml:space="preserve">, </w:t>
      </w:r>
      <w:r w:rsidR="00D87EDC" w:rsidRPr="00236DE1">
        <w:rPr>
          <w:rFonts w:hint="cs"/>
          <w:b w:val="0"/>
          <w:bCs w:val="0"/>
          <w:sz w:val="17"/>
          <w:szCs w:val="17"/>
          <w:rtl/>
        </w:rPr>
        <w:t xml:space="preserve">סך של ___ </w:t>
      </w:r>
      <w:r w:rsidR="00BF2769" w:rsidRPr="00236DE1">
        <w:rPr>
          <w:rFonts w:hint="cs"/>
          <w:b w:val="0"/>
          <w:bCs w:val="0"/>
          <w:sz w:val="17"/>
          <w:szCs w:val="17"/>
          <w:rtl/>
        </w:rPr>
        <w:t xml:space="preserve">ו ____ מיליוני </w:t>
      </w:r>
      <w:r w:rsidR="00993ACB" w:rsidRPr="00236DE1">
        <w:rPr>
          <w:rFonts w:hint="cs"/>
          <w:b w:val="0"/>
          <w:bCs w:val="0"/>
          <w:sz w:val="17"/>
          <w:szCs w:val="17"/>
          <w:rtl/>
        </w:rPr>
        <w:t>ש"ח</w:t>
      </w:r>
      <w:r w:rsidR="00BF2769" w:rsidRPr="00236DE1">
        <w:rPr>
          <w:rFonts w:hint="cs"/>
          <w:b w:val="0"/>
          <w:bCs w:val="0"/>
          <w:sz w:val="17"/>
          <w:szCs w:val="17"/>
          <w:rtl/>
        </w:rPr>
        <w:t>, בהתאמה</w:t>
      </w:r>
      <w:r w:rsidR="00D87EDC" w:rsidRPr="00236DE1">
        <w:rPr>
          <w:rFonts w:hint="cs"/>
          <w:b w:val="0"/>
          <w:bCs w:val="0"/>
          <w:sz w:val="17"/>
          <w:szCs w:val="17"/>
          <w:rtl/>
        </w:rPr>
        <w:t xml:space="preserve">) </w:t>
      </w:r>
      <w:r w:rsidRPr="00236DE1">
        <w:rPr>
          <w:rFonts w:hint="cs"/>
          <w:b w:val="0"/>
          <w:bCs w:val="0"/>
          <w:sz w:val="17"/>
          <w:szCs w:val="17"/>
          <w:rtl/>
        </w:rPr>
        <w:t>בשל התאמות בגין תכנית ההתייעלות</w:t>
      </w:r>
      <w:r w:rsidR="001E6F67" w:rsidRPr="00236DE1">
        <w:rPr>
          <w:rFonts w:hint="cs"/>
          <w:b w:val="0"/>
          <w:bCs w:val="0"/>
          <w:sz w:val="17"/>
          <w:szCs w:val="17"/>
          <w:rtl/>
        </w:rPr>
        <w:t xml:space="preserve"> [</w:t>
      </w:r>
      <w:r w:rsidR="00993ACB" w:rsidRPr="00236DE1">
        <w:rPr>
          <w:rFonts w:hint="cs"/>
          <w:b w:val="0"/>
          <w:bCs w:val="0"/>
          <w:sz w:val="17"/>
          <w:szCs w:val="17"/>
          <w:rtl/>
        </w:rPr>
        <w:t>וכן</w:t>
      </w:r>
      <w:r w:rsidR="001E6F67" w:rsidRPr="00236DE1">
        <w:rPr>
          <w:rFonts w:hint="cs"/>
          <w:b w:val="0"/>
          <w:bCs w:val="0"/>
          <w:sz w:val="17"/>
          <w:szCs w:val="17"/>
          <w:rtl/>
        </w:rPr>
        <w:t>,</w:t>
      </w:r>
      <w:r w:rsidR="00993ACB" w:rsidRPr="00236DE1">
        <w:rPr>
          <w:rFonts w:hint="cs"/>
          <w:b w:val="0"/>
          <w:bCs w:val="0"/>
          <w:sz w:val="17"/>
          <w:szCs w:val="17"/>
          <w:rtl/>
        </w:rPr>
        <w:t xml:space="preserve"> בשל התאמות בגין הגדלת דרישות ההון </w:t>
      </w:r>
      <w:r w:rsidR="001E6F67" w:rsidRPr="00236DE1">
        <w:rPr>
          <w:rFonts w:hint="cs"/>
          <w:b w:val="0"/>
          <w:bCs w:val="0"/>
          <w:sz w:val="17"/>
          <w:szCs w:val="17"/>
          <w:rtl/>
        </w:rPr>
        <w:t>לגבי</w:t>
      </w:r>
      <w:r w:rsidR="00993ACB" w:rsidRPr="00236DE1">
        <w:rPr>
          <w:rFonts w:hint="cs"/>
          <w:b w:val="0"/>
          <w:bCs w:val="0"/>
          <w:sz w:val="17"/>
          <w:szCs w:val="17"/>
          <w:rtl/>
        </w:rPr>
        <w:t xml:space="preserve"> הלוואות בסיכון מוגבר המיועדות לרכישת קרקע</w:t>
      </w:r>
      <w:r w:rsidR="001E6F67" w:rsidRPr="00236DE1">
        <w:rPr>
          <w:rFonts w:hint="cs"/>
          <w:b w:val="0"/>
          <w:bCs w:val="0"/>
          <w:sz w:val="17"/>
          <w:szCs w:val="17"/>
          <w:rtl/>
        </w:rPr>
        <w:t>,</w:t>
      </w:r>
      <w:r w:rsidR="00715ADA" w:rsidRPr="00236DE1">
        <w:rPr>
          <w:rFonts w:hint="cs"/>
          <w:b w:val="0"/>
          <w:bCs w:val="0"/>
          <w:sz w:val="17"/>
          <w:szCs w:val="17"/>
          <w:rtl/>
        </w:rPr>
        <w:t xml:space="preserve"> </w:t>
      </w:r>
      <w:r w:rsidR="001E6F67" w:rsidRPr="00236DE1">
        <w:rPr>
          <w:rFonts w:hint="cs"/>
          <w:b w:val="0"/>
          <w:bCs w:val="0"/>
          <w:sz w:val="17"/>
          <w:szCs w:val="17"/>
          <w:rtl/>
        </w:rPr>
        <w:t xml:space="preserve">הופחתו </w:t>
      </w:r>
      <w:r w:rsidR="00715ADA" w:rsidRPr="00236DE1">
        <w:rPr>
          <w:rFonts w:hint="cs"/>
          <w:b w:val="0"/>
          <w:bCs w:val="0"/>
          <w:sz w:val="17"/>
          <w:szCs w:val="17"/>
          <w:rtl/>
        </w:rPr>
        <w:t xml:space="preserve">ליום </w:t>
      </w:r>
      <w:r w:rsidR="00715ADA" w:rsidRPr="00236DE1">
        <w:rPr>
          <w:b w:val="0"/>
          <w:bCs w:val="0"/>
          <w:sz w:val="17"/>
          <w:szCs w:val="17"/>
          <w:rtl/>
        </w:rPr>
        <w:fldChar w:fldCharType="begin"/>
      </w:r>
      <w:r w:rsidR="00715ADA" w:rsidRPr="00236DE1">
        <w:rPr>
          <w:b w:val="0"/>
          <w:bCs w:val="0"/>
          <w:sz w:val="17"/>
          <w:szCs w:val="17"/>
          <w:rtl/>
        </w:rPr>
        <w:instrText xml:space="preserve"> </w:instrText>
      </w:r>
      <w:r w:rsidR="00715ADA" w:rsidRPr="00236DE1">
        <w:rPr>
          <w:rFonts w:hint="cs"/>
          <w:b w:val="0"/>
          <w:bCs w:val="0"/>
          <w:sz w:val="17"/>
          <w:szCs w:val="17"/>
          <w:rtl/>
        </w:rPr>
        <w:instrText xml:space="preserve">= </w:instrText>
      </w:r>
      <w:r w:rsidR="00715ADA" w:rsidRPr="00236DE1">
        <w:rPr>
          <w:rFonts w:hint="cs"/>
          <w:b w:val="0"/>
          <w:bCs w:val="0"/>
          <w:sz w:val="17"/>
          <w:szCs w:val="17"/>
        </w:rPr>
        <w:instrText>CY</w:instrText>
      </w:r>
      <w:r w:rsidR="00715ADA" w:rsidRPr="00236DE1">
        <w:rPr>
          <w:b w:val="0"/>
          <w:bCs w:val="0"/>
          <w:sz w:val="17"/>
          <w:szCs w:val="17"/>
        </w:rPr>
        <w:instrText>-1</w:instrText>
      </w:r>
      <w:r w:rsidR="00715ADA" w:rsidRPr="00236DE1">
        <w:rPr>
          <w:rFonts w:hint="cs"/>
          <w:b w:val="0"/>
          <w:bCs w:val="0"/>
          <w:sz w:val="17"/>
          <w:szCs w:val="17"/>
        </w:rPr>
        <w:instrText xml:space="preserve"> \* MERGEFORMAT</w:instrText>
      </w:r>
      <w:r w:rsidR="00715ADA" w:rsidRPr="00236DE1">
        <w:rPr>
          <w:b w:val="0"/>
          <w:bCs w:val="0"/>
          <w:sz w:val="17"/>
          <w:szCs w:val="17"/>
          <w:rtl/>
        </w:rPr>
        <w:instrText xml:space="preserve"> </w:instrText>
      </w:r>
      <w:r w:rsidR="00715ADA" w:rsidRPr="00236DE1">
        <w:rPr>
          <w:b w:val="0"/>
          <w:bCs w:val="0"/>
          <w:sz w:val="17"/>
          <w:szCs w:val="17"/>
          <w:rtl/>
        </w:rPr>
        <w:fldChar w:fldCharType="separate"/>
      </w:r>
      <w:r w:rsidR="003A584F" w:rsidRPr="00236DE1">
        <w:rPr>
          <w:b w:val="0"/>
          <w:bCs w:val="0"/>
          <w:noProof/>
          <w:sz w:val="17"/>
          <w:szCs w:val="17"/>
          <w:rtl/>
        </w:rPr>
        <w:t>2023</w:t>
      </w:r>
      <w:r w:rsidR="00715ADA" w:rsidRPr="00236DE1">
        <w:rPr>
          <w:b w:val="0"/>
          <w:bCs w:val="0"/>
          <w:sz w:val="17"/>
          <w:szCs w:val="17"/>
          <w:rtl/>
        </w:rPr>
        <w:fldChar w:fldCharType="end"/>
      </w:r>
      <w:r w:rsidR="00715ADA" w:rsidRPr="00236DE1">
        <w:rPr>
          <w:b w:val="0"/>
          <w:bCs w:val="0"/>
          <w:sz w:val="17"/>
          <w:szCs w:val="17"/>
        </w:rPr>
        <w:t>30.6.</w:t>
      </w:r>
      <w:r w:rsidR="00715ADA" w:rsidRPr="00236DE1">
        <w:rPr>
          <w:rFonts w:hint="cs"/>
          <w:b w:val="0"/>
          <w:bCs w:val="0"/>
          <w:sz w:val="17"/>
          <w:szCs w:val="17"/>
          <w:rtl/>
        </w:rPr>
        <w:t xml:space="preserve"> </w:t>
      </w:r>
      <w:r w:rsidR="001E6F67" w:rsidRPr="00236DE1">
        <w:rPr>
          <w:rFonts w:hint="cs"/>
          <w:b w:val="0"/>
          <w:bCs w:val="0"/>
          <w:sz w:val="17"/>
          <w:szCs w:val="17"/>
          <w:rtl/>
        </w:rPr>
        <w:t>ס</w:t>
      </w:r>
      <w:r w:rsidR="00715ADA" w:rsidRPr="00236DE1">
        <w:rPr>
          <w:rFonts w:hint="cs"/>
          <w:b w:val="0"/>
          <w:bCs w:val="0"/>
          <w:sz w:val="17"/>
          <w:szCs w:val="17"/>
          <w:rtl/>
        </w:rPr>
        <w:t>ך של ___ מיליוני ש"ח</w:t>
      </w:r>
      <w:r w:rsidR="001E6F67" w:rsidRPr="00236DE1">
        <w:rPr>
          <w:rFonts w:hint="cs"/>
          <w:b w:val="0"/>
          <w:bCs w:val="0"/>
          <w:sz w:val="17"/>
          <w:szCs w:val="17"/>
          <w:rtl/>
        </w:rPr>
        <w:t>].</w:t>
      </w:r>
    </w:p>
    <w:p w14:paraId="4CA04E28" w14:textId="309B7A8C" w:rsidR="00215F04" w:rsidRPr="00236DE1" w:rsidRDefault="00771CC6" w:rsidP="00CE19D7">
      <w:pPr>
        <w:pStyle w:val="-2"/>
        <w:numPr>
          <w:ilvl w:val="0"/>
          <w:numId w:val="40"/>
        </w:numPr>
        <w:spacing w:before="40" w:after="120" w:line="200" w:lineRule="exact"/>
        <w:ind w:left="1775" w:right="567" w:hanging="357"/>
        <w:rPr>
          <w:sz w:val="17"/>
          <w:szCs w:val="17"/>
          <w:rtl/>
        </w:rPr>
      </w:pPr>
      <w:r w:rsidRPr="00236DE1">
        <w:rPr>
          <w:rFonts w:hint="cs"/>
          <w:b w:val="0"/>
          <w:bCs w:val="0"/>
          <w:color w:val="000000"/>
          <w:sz w:val="17"/>
          <w:szCs w:val="17"/>
          <w:rtl/>
          <w:lang w:eastAsia="he-IL"/>
        </w:rPr>
        <w:t>ככלל</w:t>
      </w:r>
      <w:r w:rsidRPr="00236DE1">
        <w:rPr>
          <w:b w:val="0"/>
          <w:bCs w:val="0"/>
          <w:color w:val="000000"/>
          <w:sz w:val="17"/>
          <w:szCs w:val="17"/>
          <w:rtl/>
          <w:lang w:eastAsia="he-IL"/>
        </w:rPr>
        <w:t>:</w:t>
      </w:r>
      <w:r w:rsidRPr="00236DE1">
        <w:rPr>
          <w:rFonts w:hint="cs"/>
          <w:b w:val="0"/>
          <w:bCs w:val="0"/>
          <w:color w:val="000000"/>
          <w:sz w:val="17"/>
          <w:szCs w:val="17"/>
          <w:rtl/>
          <w:lang w:eastAsia="he-IL"/>
        </w:rPr>
        <w:t xml:space="preserve"> </w:t>
      </w:r>
      <w:r w:rsidRPr="00236DE1">
        <w:rPr>
          <w:rFonts w:hint="cs"/>
          <w:b w:val="0"/>
          <w:bCs w:val="0"/>
          <w:sz w:val="17"/>
          <w:szCs w:val="17"/>
          <w:rtl/>
        </w:rPr>
        <w:t xml:space="preserve">יחס הון עצמי רובד 1 המזערי הנדרש ויחס ההון הכולל המזערי הנדרש הינם 9% ו-12.5%, או 10% ו-13.5%, בהתאמה. ליחס הון עצמי רובד 1 המזערי הנדרש </w:t>
      </w:r>
      <w:r w:rsidR="00DE68AA" w:rsidRPr="00236DE1">
        <w:rPr>
          <w:rFonts w:hint="cs"/>
          <w:b w:val="0"/>
          <w:bCs w:val="0"/>
          <w:sz w:val="17"/>
          <w:szCs w:val="17"/>
          <w:rtl/>
        </w:rPr>
        <w:t>מתווספת</w:t>
      </w:r>
      <w:r w:rsidRPr="00236DE1">
        <w:rPr>
          <w:rFonts w:hint="cs"/>
          <w:b w:val="0"/>
          <w:bCs w:val="0"/>
          <w:sz w:val="17"/>
          <w:szCs w:val="17"/>
          <w:rtl/>
        </w:rPr>
        <w:t xml:space="preserve"> דרישת הון בשיעור המבטא 1% מיתרת ההלוואות לדיור למועד הדיווח</w:t>
      </w:r>
      <w:r w:rsidR="00DE68AA" w:rsidRPr="00236DE1">
        <w:rPr>
          <w:rFonts w:hint="cs"/>
          <w:b w:val="0"/>
          <w:bCs w:val="0"/>
          <w:sz w:val="17"/>
          <w:szCs w:val="17"/>
          <w:rtl/>
        </w:rPr>
        <w:t>,</w:t>
      </w:r>
      <w:r w:rsidR="00472988" w:rsidRPr="00236DE1">
        <w:rPr>
          <w:b w:val="0"/>
          <w:bCs w:val="0"/>
          <w:sz w:val="17"/>
          <w:szCs w:val="17"/>
          <w:rtl/>
        </w:rPr>
        <w:t xml:space="preserve"> </w:t>
      </w:r>
      <w:r w:rsidR="00DE68AA" w:rsidRPr="00236DE1">
        <w:rPr>
          <w:b w:val="0"/>
          <w:bCs w:val="0"/>
          <w:sz w:val="17"/>
          <w:szCs w:val="17"/>
          <w:rtl/>
        </w:rPr>
        <w:t>למעט הלוואות לדיור לגביהן ניתנה הקלה במסגרת הוראת שעה</w:t>
      </w:r>
      <w:r w:rsidR="00DE68AA" w:rsidRPr="00236DE1">
        <w:rPr>
          <w:rFonts w:hint="cs"/>
          <w:b w:val="0"/>
          <w:bCs w:val="0"/>
          <w:sz w:val="17"/>
          <w:szCs w:val="17"/>
          <w:rtl/>
        </w:rPr>
        <w:t xml:space="preserve"> שתוקפה </w:t>
      </w:r>
      <w:r w:rsidR="0087115E" w:rsidRPr="00236DE1">
        <w:rPr>
          <w:rFonts w:hint="cs"/>
          <w:b w:val="0"/>
          <w:bCs w:val="0"/>
          <w:sz w:val="17"/>
          <w:szCs w:val="17"/>
          <w:rtl/>
        </w:rPr>
        <w:t>פג ב</w:t>
      </w:r>
      <w:r w:rsidR="00DE68AA" w:rsidRPr="00236DE1">
        <w:rPr>
          <w:rFonts w:hint="cs"/>
          <w:b w:val="0"/>
          <w:bCs w:val="0"/>
          <w:sz w:val="17"/>
          <w:szCs w:val="17"/>
          <w:rtl/>
        </w:rPr>
        <w:t>יום 31.12.2023</w:t>
      </w:r>
      <w:r w:rsidR="0087115E" w:rsidRPr="00236DE1">
        <w:rPr>
          <w:rFonts w:hint="cs"/>
          <w:b w:val="0"/>
          <w:bCs w:val="0"/>
          <w:sz w:val="17"/>
          <w:szCs w:val="17"/>
          <w:rtl/>
        </w:rPr>
        <w:t>.</w:t>
      </w:r>
    </w:p>
    <w:p w14:paraId="7460DA34" w14:textId="15BD24C0" w:rsidR="00584A8F" w:rsidRPr="00236DE1" w:rsidRDefault="008B13EB" w:rsidP="00CE19D7">
      <w:pPr>
        <w:pStyle w:val="-2"/>
        <w:numPr>
          <w:ilvl w:val="0"/>
          <w:numId w:val="40"/>
        </w:numPr>
        <w:spacing w:before="40" w:line="200" w:lineRule="exact"/>
        <w:ind w:right="567"/>
        <w:rPr>
          <w:b w:val="0"/>
          <w:bCs w:val="0"/>
          <w:sz w:val="17"/>
          <w:szCs w:val="17"/>
          <w:rtl/>
        </w:rPr>
      </w:pPr>
      <w:r w:rsidRPr="00236DE1">
        <w:rPr>
          <w:rFonts w:hint="cs"/>
          <w:b w:val="0"/>
          <w:bCs w:val="0"/>
          <w:color w:val="000000"/>
          <w:sz w:val="17"/>
          <w:szCs w:val="17"/>
          <w:rtl/>
          <w:lang w:eastAsia="he-IL"/>
        </w:rPr>
        <w:t>סיכון</w:t>
      </w:r>
      <w:r w:rsidRPr="00236DE1">
        <w:rPr>
          <w:rFonts w:hint="cs"/>
          <w:b w:val="0"/>
          <w:bCs w:val="0"/>
          <w:sz w:val="17"/>
          <w:szCs w:val="17"/>
          <w:rtl/>
        </w:rPr>
        <w:t xml:space="preserve"> </w:t>
      </w:r>
      <w:r w:rsidR="00642434" w:rsidRPr="00236DE1">
        <w:rPr>
          <w:rFonts w:hint="cs"/>
          <w:b w:val="0"/>
          <w:bCs w:val="0"/>
          <w:sz w:val="17"/>
          <w:szCs w:val="17"/>
          <w:rtl/>
        </w:rPr>
        <w:t xml:space="preserve">אשראי חושב לאחר יישום העדכונים </w:t>
      </w:r>
      <w:r w:rsidR="005E38B6" w:rsidRPr="00236DE1">
        <w:rPr>
          <w:rFonts w:hint="cs"/>
          <w:b w:val="0"/>
          <w:bCs w:val="0"/>
          <w:sz w:val="17"/>
          <w:szCs w:val="17"/>
          <w:rtl/>
        </w:rPr>
        <w:t xml:space="preserve">בהתאם להוראת ניהול בנקאי תקין </w:t>
      </w:r>
      <w:r w:rsidR="005E38B6" w:rsidRPr="00236DE1">
        <w:rPr>
          <w:rFonts w:hint="cs"/>
          <w:b w:val="0"/>
          <w:bCs w:val="0"/>
          <w:sz w:val="17"/>
          <w:szCs w:val="17"/>
        </w:rPr>
        <w:t>A</w:t>
      </w:r>
      <w:r w:rsidR="005E38B6" w:rsidRPr="00236DE1">
        <w:rPr>
          <w:rFonts w:hint="cs"/>
          <w:b w:val="0"/>
          <w:bCs w:val="0"/>
          <w:sz w:val="17"/>
          <w:szCs w:val="17"/>
          <w:rtl/>
        </w:rPr>
        <w:t xml:space="preserve">203 בנושא </w:t>
      </w:r>
      <w:r w:rsidR="005E38B6" w:rsidRPr="00236DE1">
        <w:rPr>
          <w:b w:val="0"/>
          <w:bCs w:val="0"/>
          <w:sz w:val="17"/>
          <w:szCs w:val="17"/>
          <w:rtl/>
        </w:rPr>
        <w:t>בנושא "מדידה והלימות הון - טיפול בסיכון אשראי של צד נגדי".</w:t>
      </w:r>
    </w:p>
    <w:p w14:paraId="47BE2FE7" w14:textId="77777777" w:rsidR="00B4733F" w:rsidRDefault="00B4733F"/>
    <w:p w14:paraId="78B37BB7" w14:textId="2A371952" w:rsidR="00215F04" w:rsidRDefault="00215F04">
      <w:pPr>
        <w:bidi w:val="0"/>
        <w:jc w:val="left"/>
        <w:rPr>
          <w:rtl/>
        </w:rPr>
      </w:pPr>
      <w:r>
        <w:rPr>
          <w:rtl/>
        </w:rPr>
        <w:br w:type="page"/>
      </w:r>
    </w:p>
    <w:tbl>
      <w:tblPr>
        <w:bidiVisual/>
        <w:tblW w:w="4741" w:type="pct"/>
        <w:tblLook w:val="04A0" w:firstRow="1" w:lastRow="0" w:firstColumn="1" w:lastColumn="0" w:noHBand="0" w:noVBand="1"/>
      </w:tblPr>
      <w:tblGrid>
        <w:gridCol w:w="1020"/>
        <w:gridCol w:w="383"/>
        <w:gridCol w:w="8275"/>
      </w:tblGrid>
      <w:tr w:rsidR="00C561A9" w:rsidRPr="00543C25" w14:paraId="25DBBE5B" w14:textId="77777777" w:rsidTr="007F164F">
        <w:trPr>
          <w:trHeight w:val="259"/>
        </w:trPr>
        <w:tc>
          <w:tcPr>
            <w:tcW w:w="1020" w:type="dxa"/>
          </w:tcPr>
          <w:p w14:paraId="443A4590" w14:textId="77777777" w:rsidR="00C561A9" w:rsidRPr="00543C25" w:rsidRDefault="001C0014" w:rsidP="00C561A9">
            <w:pPr>
              <w:pStyle w:val="-fa"/>
              <w:spacing w:before="0" w:after="60"/>
              <w:rPr>
                <w:rtl/>
              </w:rPr>
            </w:pPr>
            <w:r>
              <w:rPr>
                <w:sz w:val="18"/>
                <w:szCs w:val="18"/>
                <w:rtl/>
              </w:rPr>
              <w:lastRenderedPageBreak/>
              <w:tab/>
            </w:r>
            <w:r>
              <w:rPr>
                <w:sz w:val="18"/>
                <w:szCs w:val="18"/>
                <w:rtl/>
              </w:rPr>
              <w:tab/>
            </w:r>
          </w:p>
        </w:tc>
        <w:tc>
          <w:tcPr>
            <w:tcW w:w="8658" w:type="dxa"/>
            <w:gridSpan w:val="2"/>
          </w:tcPr>
          <w:p w14:paraId="0A8B878C" w14:textId="77777777" w:rsidR="00C561A9" w:rsidRDefault="00C561A9" w:rsidP="00C561A9">
            <w:pPr>
              <w:pStyle w:val="-8"/>
              <w:rPr>
                <w:rtl/>
              </w:rPr>
            </w:pPr>
            <w:r w:rsidRPr="00346496">
              <w:rPr>
                <w:rtl/>
              </w:rPr>
              <w:t>ביאור 8  -  הלימות הון, מינוף ונזילות לפי הוראות המפקח על הבנקים</w:t>
            </w:r>
            <w:r>
              <w:rPr>
                <w:rFonts w:hint="cs"/>
                <w:rtl/>
              </w:rPr>
              <w:t xml:space="preserve"> (המשך)</w:t>
            </w:r>
            <w:r w:rsidRPr="00346496">
              <w:rPr>
                <w:rtl/>
              </w:rPr>
              <w:t>:</w:t>
            </w:r>
          </w:p>
        </w:tc>
      </w:tr>
      <w:tr w:rsidR="00C561A9" w:rsidRPr="007363C7" w14:paraId="122095A2" w14:textId="77777777" w:rsidTr="007F164F">
        <w:tblPrEx>
          <w:tblLook w:val="0000" w:firstRow="0" w:lastRow="0" w:firstColumn="0" w:lastColumn="0" w:noHBand="0" w:noVBand="0"/>
        </w:tblPrEx>
        <w:trPr>
          <w:trHeight w:val="245"/>
        </w:trPr>
        <w:tc>
          <w:tcPr>
            <w:tcW w:w="1020" w:type="dxa"/>
          </w:tcPr>
          <w:p w14:paraId="7A22813F" w14:textId="77777777" w:rsidR="00C561A9" w:rsidRPr="005A601A" w:rsidRDefault="00C561A9" w:rsidP="00C561A9">
            <w:pPr>
              <w:pStyle w:val="-7"/>
              <w:spacing w:before="100" w:after="60" w:line="240" w:lineRule="auto"/>
              <w:rPr>
                <w:spacing w:val="-4"/>
                <w:sz w:val="14"/>
                <w:szCs w:val="14"/>
                <w:rtl/>
              </w:rPr>
            </w:pPr>
          </w:p>
        </w:tc>
        <w:tc>
          <w:tcPr>
            <w:tcW w:w="383" w:type="dxa"/>
          </w:tcPr>
          <w:p w14:paraId="18C54613" w14:textId="77777777" w:rsidR="00C561A9" w:rsidRPr="00543C25" w:rsidRDefault="00C561A9" w:rsidP="00C561A9">
            <w:pPr>
              <w:pStyle w:val="-f4"/>
              <w:spacing w:line="240" w:lineRule="auto"/>
              <w:jc w:val="left"/>
              <w:rPr>
                <w:rtl/>
              </w:rPr>
            </w:pPr>
            <w:r>
              <w:rPr>
                <w:rFonts w:hint="cs"/>
                <w:rtl/>
              </w:rPr>
              <w:t>1.</w:t>
            </w:r>
          </w:p>
        </w:tc>
        <w:tc>
          <w:tcPr>
            <w:tcW w:w="8275" w:type="dxa"/>
          </w:tcPr>
          <w:p w14:paraId="631E07DD" w14:textId="77777777" w:rsidR="00C561A9" w:rsidRDefault="00C561A9" w:rsidP="00030C7C">
            <w:pPr>
              <w:pStyle w:val="-f4"/>
              <w:spacing w:line="240" w:lineRule="auto"/>
              <w:jc w:val="left"/>
              <w:rPr>
                <w:b w:val="0"/>
                <w:bCs w:val="0"/>
                <w:color w:val="000000"/>
                <w:sz w:val="24"/>
                <w:szCs w:val="24"/>
                <w:rtl/>
                <w:lang w:eastAsia="he-IL"/>
              </w:rPr>
            </w:pPr>
            <w:r>
              <w:rPr>
                <w:rFonts w:hint="cs"/>
                <w:rtl/>
              </w:rPr>
              <w:t>הלימות הון לפי הוראות המפקח על הבנקים (המשך):</w:t>
            </w:r>
          </w:p>
        </w:tc>
      </w:tr>
      <w:tr w:rsidR="00C561A9" w:rsidRPr="007363C7" w14:paraId="5AD1080A" w14:textId="77777777" w:rsidTr="007F164F">
        <w:tblPrEx>
          <w:tblLook w:val="0000" w:firstRow="0" w:lastRow="0" w:firstColumn="0" w:lastColumn="0" w:noHBand="0" w:noVBand="0"/>
        </w:tblPrEx>
        <w:trPr>
          <w:trHeight w:val="245"/>
        </w:trPr>
        <w:tc>
          <w:tcPr>
            <w:tcW w:w="1020" w:type="dxa"/>
          </w:tcPr>
          <w:p w14:paraId="0719345B" w14:textId="39B0F0F2" w:rsidR="00C561A9" w:rsidRPr="00346496" w:rsidRDefault="00C561A9" w:rsidP="001A3A57">
            <w:pPr>
              <w:pStyle w:val="-7"/>
              <w:spacing w:before="80" w:line="240" w:lineRule="auto"/>
              <w:jc w:val="left"/>
              <w:rPr>
                <w:color w:val="000000"/>
                <w:sz w:val="14"/>
                <w:szCs w:val="14"/>
                <w:rtl/>
                <w:lang w:eastAsia="he-IL"/>
              </w:rPr>
            </w:pPr>
          </w:p>
        </w:tc>
        <w:tc>
          <w:tcPr>
            <w:tcW w:w="383" w:type="dxa"/>
          </w:tcPr>
          <w:p w14:paraId="6CFA4BFD" w14:textId="77777777" w:rsidR="00C561A9" w:rsidRPr="00543C25" w:rsidRDefault="00C561A9" w:rsidP="00C561A9">
            <w:pPr>
              <w:pStyle w:val="-f4"/>
              <w:spacing w:after="0" w:line="240" w:lineRule="auto"/>
              <w:jc w:val="left"/>
              <w:rPr>
                <w:rtl/>
              </w:rPr>
            </w:pPr>
          </w:p>
        </w:tc>
        <w:tc>
          <w:tcPr>
            <w:tcW w:w="8275" w:type="dxa"/>
            <w:vAlign w:val="bottom"/>
          </w:tcPr>
          <w:p w14:paraId="59422D4F" w14:textId="73808DF6" w:rsidR="00C561A9" w:rsidRPr="009141D3" w:rsidRDefault="00C561A9" w:rsidP="00D6057D">
            <w:pPr>
              <w:pStyle w:val="-f4"/>
              <w:numPr>
                <w:ilvl w:val="0"/>
                <w:numId w:val="29"/>
              </w:numPr>
              <w:tabs>
                <w:tab w:val="left" w:pos="290"/>
              </w:tabs>
              <w:spacing w:after="0" w:line="240" w:lineRule="auto"/>
              <w:ind w:left="149" w:hanging="4"/>
              <w:jc w:val="left"/>
              <w:rPr>
                <w:b w:val="0"/>
                <w:bCs w:val="0"/>
                <w:rtl/>
              </w:rPr>
            </w:pPr>
            <w:r w:rsidRPr="00AC1A00">
              <w:rPr>
                <w:rFonts w:hint="cs"/>
                <w:sz w:val="18"/>
                <w:rtl/>
              </w:rPr>
              <w:t>רכיבי ההון לצורך חישוב יחס ההון (בנתוני המאוחד)</w:t>
            </w:r>
            <w:r w:rsidRPr="00AC1A00">
              <w:rPr>
                <w:rFonts w:hint="cs"/>
                <w:rtl/>
              </w:rPr>
              <w:t>:</w:t>
            </w:r>
          </w:p>
        </w:tc>
      </w:tr>
    </w:tbl>
    <w:p w14:paraId="202E4765" w14:textId="77777777" w:rsidR="00C561A9" w:rsidRDefault="00C561A9" w:rsidP="00C561A9">
      <w:pPr>
        <w:bidi w:val="0"/>
        <w:spacing w:line="60" w:lineRule="exact"/>
      </w:pPr>
    </w:p>
    <w:tbl>
      <w:tblPr>
        <w:bidiVisual/>
        <w:tblW w:w="4831" w:type="pct"/>
        <w:tblLayout w:type="fixed"/>
        <w:tblLook w:val="01E0" w:firstRow="1" w:lastRow="1" w:firstColumn="1" w:lastColumn="1" w:noHBand="0" w:noVBand="0"/>
      </w:tblPr>
      <w:tblGrid>
        <w:gridCol w:w="1417"/>
        <w:gridCol w:w="5326"/>
        <w:gridCol w:w="949"/>
        <w:gridCol w:w="14"/>
        <w:gridCol w:w="1064"/>
        <w:gridCol w:w="14"/>
        <w:gridCol w:w="1064"/>
        <w:gridCol w:w="14"/>
      </w:tblGrid>
      <w:tr w:rsidR="007F164F" w:rsidRPr="00C561A9" w14:paraId="0E929076" w14:textId="77777777" w:rsidTr="00CE19D7">
        <w:trPr>
          <w:gridAfter w:val="1"/>
          <w:wAfter w:w="14" w:type="dxa"/>
          <w:trHeight w:val="259"/>
        </w:trPr>
        <w:tc>
          <w:tcPr>
            <w:tcW w:w="1417" w:type="dxa"/>
          </w:tcPr>
          <w:p w14:paraId="2A75A66A" w14:textId="77777777" w:rsidR="007F164F" w:rsidRPr="00AC1A00" w:rsidRDefault="007F164F" w:rsidP="00030C7C">
            <w:pPr>
              <w:pStyle w:val="-7"/>
              <w:spacing w:before="24" w:line="216" w:lineRule="auto"/>
              <w:jc w:val="left"/>
              <w:rPr>
                <w:rtl/>
              </w:rPr>
            </w:pPr>
          </w:p>
        </w:tc>
        <w:tc>
          <w:tcPr>
            <w:tcW w:w="5326" w:type="dxa"/>
            <w:vAlign w:val="bottom"/>
          </w:tcPr>
          <w:p w14:paraId="4182CAFB" w14:textId="77777777" w:rsidR="007F164F" w:rsidRPr="00C561A9" w:rsidRDefault="007F164F" w:rsidP="00030C7C">
            <w:pPr>
              <w:pStyle w:val="-0"/>
              <w:spacing w:before="24" w:line="216" w:lineRule="auto"/>
              <w:rPr>
                <w:rtl/>
              </w:rPr>
            </w:pPr>
          </w:p>
        </w:tc>
        <w:tc>
          <w:tcPr>
            <w:tcW w:w="2027" w:type="dxa"/>
            <w:gridSpan w:val="3"/>
            <w:vAlign w:val="bottom"/>
          </w:tcPr>
          <w:p w14:paraId="3112F381" w14:textId="05FADB9D" w:rsidR="007F164F" w:rsidRPr="00B4733F" w:rsidRDefault="007F164F" w:rsidP="00B4733F">
            <w:pPr>
              <w:pStyle w:val="-4"/>
              <w:pBdr>
                <w:bottom w:val="single" w:sz="4" w:space="1" w:color="auto"/>
              </w:pBdr>
              <w:spacing w:before="24" w:line="192" w:lineRule="auto"/>
              <w:rPr>
                <w:sz w:val="18"/>
                <w:szCs w:val="18"/>
                <w:rtl/>
              </w:rPr>
            </w:pPr>
            <w:r w:rsidRPr="00B4733F">
              <w:rPr>
                <w:rFonts w:hint="eastAsia"/>
                <w:sz w:val="18"/>
                <w:szCs w:val="18"/>
                <w:rtl/>
              </w:rPr>
              <w:t>ליום</w:t>
            </w:r>
            <w:r w:rsidRPr="00B4733F">
              <w:rPr>
                <w:sz w:val="18"/>
                <w:szCs w:val="18"/>
                <w:rtl/>
              </w:rPr>
              <w:t xml:space="preserve"> 30 ביוני </w:t>
            </w:r>
          </w:p>
        </w:tc>
        <w:tc>
          <w:tcPr>
            <w:tcW w:w="1078" w:type="dxa"/>
            <w:gridSpan w:val="2"/>
            <w:vAlign w:val="bottom"/>
          </w:tcPr>
          <w:p w14:paraId="3F147328" w14:textId="244C5411" w:rsidR="007F164F" w:rsidRPr="00B4733F" w:rsidRDefault="007F164F" w:rsidP="00B4733F">
            <w:pPr>
              <w:pStyle w:val="-4"/>
              <w:pBdr>
                <w:bottom w:val="single" w:sz="4" w:space="1" w:color="auto"/>
              </w:pBdr>
              <w:spacing w:before="24" w:line="192" w:lineRule="auto"/>
              <w:rPr>
                <w:sz w:val="18"/>
                <w:szCs w:val="18"/>
                <w:rtl/>
              </w:rPr>
            </w:pPr>
            <w:r w:rsidRPr="00B4733F">
              <w:rPr>
                <w:rFonts w:hint="eastAsia"/>
                <w:sz w:val="18"/>
                <w:szCs w:val="18"/>
                <w:rtl/>
              </w:rPr>
              <w:t>ליום</w:t>
            </w:r>
            <w:r w:rsidRPr="00B4733F">
              <w:rPr>
                <w:sz w:val="18"/>
                <w:szCs w:val="18"/>
                <w:rtl/>
              </w:rPr>
              <w:t xml:space="preserve"> 31 </w:t>
            </w:r>
            <w:r w:rsidRPr="00B4733F">
              <w:rPr>
                <w:rFonts w:hint="eastAsia"/>
                <w:sz w:val="18"/>
                <w:szCs w:val="18"/>
                <w:rtl/>
              </w:rPr>
              <w:t>בדצמבר</w:t>
            </w:r>
            <w:r w:rsidRPr="00B4733F">
              <w:rPr>
                <w:sz w:val="18"/>
                <w:szCs w:val="18"/>
                <w:rtl/>
              </w:rPr>
              <w:t xml:space="preserve"> </w:t>
            </w:r>
          </w:p>
        </w:tc>
      </w:tr>
      <w:tr w:rsidR="007F164F" w:rsidRPr="00C561A9" w14:paraId="34BED993" w14:textId="77777777" w:rsidTr="00CE19D7">
        <w:trPr>
          <w:gridAfter w:val="1"/>
          <w:wAfter w:w="14" w:type="dxa"/>
          <w:trHeight w:val="259"/>
        </w:trPr>
        <w:tc>
          <w:tcPr>
            <w:tcW w:w="1417" w:type="dxa"/>
          </w:tcPr>
          <w:p w14:paraId="2907DFF8" w14:textId="77777777" w:rsidR="007F164F" w:rsidRPr="00AC1A00" w:rsidRDefault="007F164F" w:rsidP="00030C7C">
            <w:pPr>
              <w:pStyle w:val="-7"/>
              <w:spacing w:before="24" w:line="216" w:lineRule="auto"/>
              <w:jc w:val="left"/>
              <w:rPr>
                <w:rtl/>
              </w:rPr>
            </w:pPr>
          </w:p>
        </w:tc>
        <w:tc>
          <w:tcPr>
            <w:tcW w:w="5326" w:type="dxa"/>
            <w:vAlign w:val="bottom"/>
          </w:tcPr>
          <w:p w14:paraId="4C9F7E89" w14:textId="77777777" w:rsidR="007F164F" w:rsidRPr="00C561A9" w:rsidRDefault="007F164F" w:rsidP="00030C7C">
            <w:pPr>
              <w:pStyle w:val="-0"/>
              <w:spacing w:before="24" w:line="216" w:lineRule="auto"/>
              <w:rPr>
                <w:rtl/>
              </w:rPr>
            </w:pPr>
          </w:p>
        </w:tc>
        <w:tc>
          <w:tcPr>
            <w:tcW w:w="949" w:type="dxa"/>
            <w:vAlign w:val="bottom"/>
          </w:tcPr>
          <w:p w14:paraId="1DC63074" w14:textId="60F9CE4D" w:rsidR="007F164F" w:rsidRPr="00B4733F" w:rsidRDefault="007F164F" w:rsidP="00B4733F">
            <w:pPr>
              <w:pStyle w:val="-4"/>
              <w:pBdr>
                <w:bottom w:val="single" w:sz="4" w:space="1" w:color="auto"/>
              </w:pBdr>
              <w:spacing w:before="24" w:line="192" w:lineRule="auto"/>
              <w:rPr>
                <w:sz w:val="18"/>
                <w:szCs w:val="18"/>
                <w:rtl/>
              </w:rPr>
            </w:pPr>
            <w:r w:rsidRPr="00B4733F">
              <w:rPr>
                <w:sz w:val="18"/>
                <w:szCs w:val="18"/>
                <w:rtl/>
              </w:rPr>
              <w:fldChar w:fldCharType="begin"/>
            </w:r>
            <w:r w:rsidRPr="00B4733F">
              <w:rPr>
                <w:sz w:val="18"/>
                <w:szCs w:val="18"/>
                <w:rtl/>
              </w:rPr>
              <w:instrText xml:space="preserve"> </w:instrText>
            </w:r>
            <w:r w:rsidRPr="00B4733F">
              <w:rPr>
                <w:rFonts w:hint="cs"/>
                <w:sz w:val="18"/>
                <w:szCs w:val="18"/>
                <w:rtl/>
              </w:rPr>
              <w:instrText xml:space="preserve">= </w:instrText>
            </w:r>
            <w:r w:rsidRPr="00B4733F">
              <w:rPr>
                <w:rFonts w:hint="cs"/>
                <w:sz w:val="18"/>
                <w:szCs w:val="18"/>
              </w:rPr>
              <w:instrText>CY \* MERGEFORMAT</w:instrText>
            </w:r>
            <w:r w:rsidRPr="00B4733F">
              <w:rPr>
                <w:sz w:val="18"/>
                <w:szCs w:val="18"/>
                <w:rtl/>
              </w:rPr>
              <w:instrText xml:space="preserve"> </w:instrText>
            </w:r>
            <w:r w:rsidRPr="00B4733F">
              <w:rPr>
                <w:sz w:val="18"/>
                <w:szCs w:val="18"/>
                <w:rtl/>
              </w:rPr>
              <w:fldChar w:fldCharType="separate"/>
            </w:r>
            <w:r>
              <w:rPr>
                <w:noProof/>
                <w:sz w:val="18"/>
                <w:szCs w:val="18"/>
                <w:rtl/>
              </w:rPr>
              <w:t>2024</w:t>
            </w:r>
            <w:r w:rsidRPr="00B4733F">
              <w:rPr>
                <w:sz w:val="18"/>
                <w:szCs w:val="18"/>
                <w:rtl/>
              </w:rPr>
              <w:fldChar w:fldCharType="end"/>
            </w:r>
          </w:p>
        </w:tc>
        <w:tc>
          <w:tcPr>
            <w:tcW w:w="1078" w:type="dxa"/>
            <w:gridSpan w:val="2"/>
            <w:vAlign w:val="bottom"/>
          </w:tcPr>
          <w:p w14:paraId="573D8E15" w14:textId="589EA7F2" w:rsidR="007F164F" w:rsidRPr="00B4733F" w:rsidRDefault="007F164F" w:rsidP="00B4733F">
            <w:pPr>
              <w:pStyle w:val="-4"/>
              <w:pBdr>
                <w:bottom w:val="single" w:sz="4" w:space="1" w:color="auto"/>
              </w:pBdr>
              <w:spacing w:before="24" w:line="192" w:lineRule="auto"/>
              <w:rPr>
                <w:sz w:val="18"/>
                <w:szCs w:val="18"/>
                <w:rtl/>
              </w:rPr>
            </w:pPr>
            <w:r w:rsidRPr="00B4733F">
              <w:rPr>
                <w:sz w:val="18"/>
                <w:szCs w:val="18"/>
                <w:rtl/>
              </w:rPr>
              <w:fldChar w:fldCharType="begin"/>
            </w:r>
            <w:r w:rsidRPr="00B4733F">
              <w:rPr>
                <w:sz w:val="18"/>
                <w:szCs w:val="18"/>
                <w:rtl/>
              </w:rPr>
              <w:instrText xml:space="preserve"> </w:instrText>
            </w:r>
            <w:r w:rsidRPr="00B4733F">
              <w:rPr>
                <w:rFonts w:hint="cs"/>
                <w:sz w:val="18"/>
                <w:szCs w:val="18"/>
                <w:rtl/>
              </w:rPr>
              <w:instrText xml:space="preserve">= </w:instrText>
            </w:r>
            <w:r w:rsidRPr="00B4733F">
              <w:rPr>
                <w:rFonts w:hint="cs"/>
                <w:sz w:val="18"/>
                <w:szCs w:val="18"/>
              </w:rPr>
              <w:instrText>CY</w:instrText>
            </w:r>
            <w:r w:rsidRPr="00B4733F">
              <w:rPr>
                <w:sz w:val="18"/>
                <w:szCs w:val="18"/>
              </w:rPr>
              <w:instrText>-1</w:instrText>
            </w:r>
            <w:r w:rsidRPr="00B4733F">
              <w:rPr>
                <w:rFonts w:hint="cs"/>
                <w:sz w:val="18"/>
                <w:szCs w:val="18"/>
              </w:rPr>
              <w:instrText xml:space="preserve"> \* MERGEFORMAT</w:instrText>
            </w:r>
            <w:r w:rsidRPr="00B4733F">
              <w:rPr>
                <w:sz w:val="18"/>
                <w:szCs w:val="18"/>
                <w:rtl/>
              </w:rPr>
              <w:instrText xml:space="preserve"> </w:instrText>
            </w:r>
            <w:r w:rsidRPr="00B4733F">
              <w:rPr>
                <w:sz w:val="18"/>
                <w:szCs w:val="18"/>
                <w:rtl/>
              </w:rPr>
              <w:fldChar w:fldCharType="separate"/>
            </w:r>
            <w:r>
              <w:rPr>
                <w:noProof/>
                <w:sz w:val="18"/>
                <w:szCs w:val="18"/>
                <w:rtl/>
              </w:rPr>
              <w:t>2023</w:t>
            </w:r>
            <w:r w:rsidRPr="00B4733F">
              <w:rPr>
                <w:sz w:val="18"/>
                <w:szCs w:val="18"/>
                <w:rtl/>
              </w:rPr>
              <w:fldChar w:fldCharType="end"/>
            </w:r>
          </w:p>
        </w:tc>
        <w:tc>
          <w:tcPr>
            <w:tcW w:w="1078" w:type="dxa"/>
            <w:gridSpan w:val="2"/>
            <w:vAlign w:val="bottom"/>
          </w:tcPr>
          <w:p w14:paraId="6F80A174" w14:textId="145F4EF8" w:rsidR="007F164F" w:rsidRPr="00B4733F" w:rsidRDefault="007F164F" w:rsidP="00B4733F">
            <w:pPr>
              <w:pStyle w:val="-4"/>
              <w:pBdr>
                <w:bottom w:val="single" w:sz="4" w:space="1" w:color="auto"/>
              </w:pBdr>
              <w:spacing w:before="24" w:line="192" w:lineRule="auto"/>
              <w:rPr>
                <w:sz w:val="18"/>
                <w:szCs w:val="18"/>
                <w:rtl/>
              </w:rPr>
            </w:pPr>
            <w:r w:rsidRPr="00B4733F">
              <w:rPr>
                <w:sz w:val="18"/>
                <w:szCs w:val="18"/>
                <w:rtl/>
              </w:rPr>
              <w:fldChar w:fldCharType="begin"/>
            </w:r>
            <w:r w:rsidRPr="00B4733F">
              <w:rPr>
                <w:sz w:val="18"/>
                <w:szCs w:val="18"/>
                <w:rtl/>
              </w:rPr>
              <w:instrText xml:space="preserve"> </w:instrText>
            </w:r>
            <w:r w:rsidRPr="00B4733F">
              <w:rPr>
                <w:rFonts w:hint="cs"/>
                <w:sz w:val="18"/>
                <w:szCs w:val="18"/>
                <w:rtl/>
              </w:rPr>
              <w:instrText xml:space="preserve">= </w:instrText>
            </w:r>
            <w:r w:rsidRPr="00B4733F">
              <w:rPr>
                <w:rFonts w:hint="cs"/>
                <w:sz w:val="18"/>
                <w:szCs w:val="18"/>
              </w:rPr>
              <w:instrText>CY</w:instrText>
            </w:r>
            <w:r w:rsidRPr="00B4733F">
              <w:rPr>
                <w:sz w:val="18"/>
                <w:szCs w:val="18"/>
              </w:rPr>
              <w:instrText>-1</w:instrText>
            </w:r>
            <w:r w:rsidRPr="00B4733F">
              <w:rPr>
                <w:rFonts w:hint="cs"/>
                <w:sz w:val="18"/>
                <w:szCs w:val="18"/>
              </w:rPr>
              <w:instrText xml:space="preserve"> \* MERGEFORMAT</w:instrText>
            </w:r>
            <w:r w:rsidRPr="00B4733F">
              <w:rPr>
                <w:sz w:val="18"/>
                <w:szCs w:val="18"/>
                <w:rtl/>
              </w:rPr>
              <w:instrText xml:space="preserve"> </w:instrText>
            </w:r>
            <w:r w:rsidRPr="00B4733F">
              <w:rPr>
                <w:sz w:val="18"/>
                <w:szCs w:val="18"/>
                <w:rtl/>
              </w:rPr>
              <w:fldChar w:fldCharType="separate"/>
            </w:r>
            <w:r>
              <w:rPr>
                <w:noProof/>
                <w:sz w:val="18"/>
                <w:szCs w:val="18"/>
                <w:rtl/>
              </w:rPr>
              <w:t>2023</w:t>
            </w:r>
            <w:r w:rsidRPr="00B4733F">
              <w:rPr>
                <w:sz w:val="18"/>
                <w:szCs w:val="18"/>
                <w:rtl/>
              </w:rPr>
              <w:fldChar w:fldCharType="end"/>
            </w:r>
          </w:p>
        </w:tc>
      </w:tr>
      <w:tr w:rsidR="007F164F" w:rsidRPr="00C561A9" w14:paraId="0CDB69CA" w14:textId="77777777" w:rsidTr="00CE19D7">
        <w:trPr>
          <w:gridAfter w:val="1"/>
          <w:wAfter w:w="14" w:type="dxa"/>
          <w:trHeight w:val="259"/>
        </w:trPr>
        <w:tc>
          <w:tcPr>
            <w:tcW w:w="1417" w:type="dxa"/>
          </w:tcPr>
          <w:p w14:paraId="27BCCAEC" w14:textId="77777777" w:rsidR="007F164F" w:rsidRPr="00AC1A00" w:rsidRDefault="007F164F" w:rsidP="00C561A9">
            <w:pPr>
              <w:pStyle w:val="-7"/>
              <w:jc w:val="left"/>
              <w:rPr>
                <w:rtl/>
              </w:rPr>
            </w:pPr>
          </w:p>
        </w:tc>
        <w:tc>
          <w:tcPr>
            <w:tcW w:w="5326" w:type="dxa"/>
            <w:vAlign w:val="bottom"/>
          </w:tcPr>
          <w:p w14:paraId="6A87381A" w14:textId="77777777" w:rsidR="007F164F" w:rsidRPr="00C561A9" w:rsidRDefault="007F164F" w:rsidP="00C561A9">
            <w:pPr>
              <w:pStyle w:val="-0"/>
              <w:rPr>
                <w:rtl/>
              </w:rPr>
            </w:pPr>
          </w:p>
        </w:tc>
        <w:tc>
          <w:tcPr>
            <w:tcW w:w="2027" w:type="dxa"/>
            <w:gridSpan w:val="3"/>
            <w:vAlign w:val="bottom"/>
          </w:tcPr>
          <w:p w14:paraId="608039D3" w14:textId="77777777" w:rsidR="007F164F" w:rsidRPr="00B4733F" w:rsidRDefault="007F164F" w:rsidP="00B4733F">
            <w:pPr>
              <w:pStyle w:val="-4"/>
              <w:pBdr>
                <w:bottom w:val="single" w:sz="4" w:space="1" w:color="auto"/>
              </w:pBdr>
              <w:spacing w:line="192" w:lineRule="auto"/>
              <w:rPr>
                <w:sz w:val="18"/>
                <w:szCs w:val="18"/>
                <w:rtl/>
              </w:rPr>
            </w:pPr>
            <w:r w:rsidRPr="00B4733F">
              <w:rPr>
                <w:rFonts w:hint="eastAsia"/>
                <w:sz w:val="18"/>
                <w:szCs w:val="18"/>
                <w:rtl/>
              </w:rPr>
              <w:t>בלתי</w:t>
            </w:r>
            <w:r w:rsidRPr="00B4733F">
              <w:rPr>
                <w:sz w:val="18"/>
                <w:szCs w:val="18"/>
                <w:rtl/>
              </w:rPr>
              <w:t xml:space="preserve"> </w:t>
            </w:r>
            <w:r w:rsidRPr="00B4733F">
              <w:rPr>
                <w:rFonts w:hint="eastAsia"/>
                <w:sz w:val="18"/>
                <w:szCs w:val="18"/>
                <w:rtl/>
              </w:rPr>
              <w:t>מבוקר</w:t>
            </w:r>
          </w:p>
        </w:tc>
        <w:tc>
          <w:tcPr>
            <w:tcW w:w="1078" w:type="dxa"/>
            <w:gridSpan w:val="2"/>
            <w:vAlign w:val="bottom"/>
          </w:tcPr>
          <w:p w14:paraId="32374193" w14:textId="77777777" w:rsidR="007F164F" w:rsidRPr="00B4733F" w:rsidRDefault="007F164F" w:rsidP="00B4733F">
            <w:pPr>
              <w:pStyle w:val="-4"/>
              <w:pBdr>
                <w:bottom w:val="single" w:sz="4" w:space="1" w:color="auto"/>
              </w:pBdr>
              <w:spacing w:line="192" w:lineRule="auto"/>
              <w:rPr>
                <w:sz w:val="18"/>
                <w:szCs w:val="18"/>
                <w:rtl/>
              </w:rPr>
            </w:pPr>
            <w:r w:rsidRPr="00B4733F">
              <w:rPr>
                <w:rFonts w:hint="eastAsia"/>
                <w:sz w:val="18"/>
                <w:szCs w:val="18"/>
                <w:rtl/>
              </w:rPr>
              <w:t>מבוקר</w:t>
            </w:r>
          </w:p>
        </w:tc>
      </w:tr>
      <w:tr w:rsidR="007F164F" w:rsidRPr="00AC1A00" w14:paraId="28A1BAC9" w14:textId="77777777" w:rsidTr="00CE19D7">
        <w:trPr>
          <w:gridAfter w:val="1"/>
          <w:wAfter w:w="14" w:type="dxa"/>
          <w:trHeight w:val="283"/>
        </w:trPr>
        <w:tc>
          <w:tcPr>
            <w:tcW w:w="1417" w:type="dxa"/>
          </w:tcPr>
          <w:p w14:paraId="58762580" w14:textId="77777777" w:rsidR="007F164F" w:rsidRPr="00AC1A00" w:rsidRDefault="007F164F" w:rsidP="0079119C">
            <w:pPr>
              <w:pStyle w:val="-7"/>
              <w:jc w:val="left"/>
              <w:rPr>
                <w:rtl/>
              </w:rPr>
            </w:pPr>
          </w:p>
        </w:tc>
        <w:tc>
          <w:tcPr>
            <w:tcW w:w="5326" w:type="dxa"/>
            <w:vAlign w:val="bottom"/>
          </w:tcPr>
          <w:p w14:paraId="01CF9B76" w14:textId="77777777" w:rsidR="007F164F" w:rsidRPr="00B4733F" w:rsidRDefault="007F164F" w:rsidP="00B4733F">
            <w:pPr>
              <w:pStyle w:val="-0"/>
              <w:tabs>
                <w:tab w:val="left" w:pos="716"/>
              </w:tabs>
              <w:spacing w:line="240" w:lineRule="auto"/>
              <w:ind w:left="432" w:hanging="283"/>
              <w:rPr>
                <w:b/>
                <w:bCs/>
                <w:sz w:val="18"/>
                <w:szCs w:val="18"/>
                <w:rtl/>
              </w:rPr>
            </w:pPr>
            <w:r w:rsidRPr="00B4733F">
              <w:rPr>
                <w:b/>
                <w:bCs/>
                <w:sz w:val="18"/>
                <w:szCs w:val="18"/>
                <w:rtl/>
              </w:rPr>
              <w:t>1)</w:t>
            </w:r>
            <w:r w:rsidRPr="00B4733F">
              <w:rPr>
                <w:b/>
                <w:bCs/>
                <w:sz w:val="18"/>
                <w:szCs w:val="18"/>
                <w:rtl/>
              </w:rPr>
              <w:tab/>
            </w:r>
            <w:r w:rsidRPr="00B4733F">
              <w:rPr>
                <w:rFonts w:hint="eastAsia"/>
                <w:b/>
                <w:bCs/>
                <w:sz w:val="18"/>
                <w:szCs w:val="18"/>
                <w:rtl/>
              </w:rPr>
              <w:t>הון</w:t>
            </w:r>
            <w:r w:rsidRPr="00B4733F">
              <w:rPr>
                <w:b/>
                <w:bCs/>
                <w:sz w:val="18"/>
                <w:szCs w:val="18"/>
                <w:rtl/>
              </w:rPr>
              <w:t xml:space="preserve"> </w:t>
            </w:r>
            <w:r w:rsidRPr="00B4733F">
              <w:rPr>
                <w:rFonts w:hint="eastAsia"/>
                <w:b/>
                <w:bCs/>
                <w:sz w:val="18"/>
                <w:szCs w:val="18"/>
                <w:rtl/>
              </w:rPr>
              <w:t>עצמי</w:t>
            </w:r>
            <w:r w:rsidRPr="00B4733F">
              <w:rPr>
                <w:b/>
                <w:bCs/>
                <w:sz w:val="18"/>
                <w:szCs w:val="18"/>
                <w:rtl/>
              </w:rPr>
              <w:t xml:space="preserve"> </w:t>
            </w:r>
            <w:r w:rsidRPr="00B4733F">
              <w:rPr>
                <w:rFonts w:hint="eastAsia"/>
                <w:b/>
                <w:bCs/>
                <w:sz w:val="18"/>
                <w:szCs w:val="18"/>
                <w:rtl/>
              </w:rPr>
              <w:t>רובד</w:t>
            </w:r>
            <w:r w:rsidRPr="00B4733F">
              <w:rPr>
                <w:b/>
                <w:bCs/>
                <w:sz w:val="18"/>
                <w:szCs w:val="18"/>
                <w:rtl/>
              </w:rPr>
              <w:t xml:space="preserve"> 1:</w:t>
            </w:r>
          </w:p>
        </w:tc>
        <w:tc>
          <w:tcPr>
            <w:tcW w:w="949" w:type="dxa"/>
            <w:vAlign w:val="bottom"/>
          </w:tcPr>
          <w:p w14:paraId="148BA595" w14:textId="77777777" w:rsidR="007F164F" w:rsidRPr="00AC1A00" w:rsidRDefault="007F164F" w:rsidP="0079119C">
            <w:pPr>
              <w:pStyle w:val="-7"/>
              <w:jc w:val="left"/>
              <w:rPr>
                <w:rtl/>
              </w:rPr>
            </w:pPr>
          </w:p>
        </w:tc>
        <w:tc>
          <w:tcPr>
            <w:tcW w:w="1078" w:type="dxa"/>
            <w:gridSpan w:val="2"/>
            <w:vAlign w:val="bottom"/>
          </w:tcPr>
          <w:p w14:paraId="4C5C02F2" w14:textId="77777777" w:rsidR="007F164F" w:rsidRPr="00AC1A00" w:rsidRDefault="007F164F" w:rsidP="00030C7C">
            <w:pPr>
              <w:pStyle w:val="-7"/>
              <w:jc w:val="left"/>
              <w:rPr>
                <w:rtl/>
              </w:rPr>
            </w:pPr>
          </w:p>
        </w:tc>
        <w:tc>
          <w:tcPr>
            <w:tcW w:w="1078" w:type="dxa"/>
            <w:gridSpan w:val="2"/>
          </w:tcPr>
          <w:p w14:paraId="00E9E924" w14:textId="77777777" w:rsidR="007F164F" w:rsidRPr="00AC1A00" w:rsidRDefault="007F164F" w:rsidP="00030C7C">
            <w:pPr>
              <w:pStyle w:val="-7"/>
              <w:jc w:val="left"/>
              <w:rPr>
                <w:rtl/>
              </w:rPr>
            </w:pPr>
          </w:p>
        </w:tc>
      </w:tr>
      <w:tr w:rsidR="007F164F" w:rsidRPr="00AC1A00" w14:paraId="2A70405B" w14:textId="77777777" w:rsidTr="00CE19D7">
        <w:trPr>
          <w:gridAfter w:val="1"/>
          <w:wAfter w:w="14" w:type="dxa"/>
          <w:trHeight w:val="283"/>
        </w:trPr>
        <w:tc>
          <w:tcPr>
            <w:tcW w:w="1417" w:type="dxa"/>
          </w:tcPr>
          <w:p w14:paraId="5F87670B" w14:textId="77777777" w:rsidR="007F164F" w:rsidRPr="00AC1A00" w:rsidRDefault="007F164F" w:rsidP="00C561A9">
            <w:pPr>
              <w:pStyle w:val="-7"/>
              <w:spacing w:before="60"/>
              <w:jc w:val="left"/>
              <w:rPr>
                <w:rtl/>
              </w:rPr>
            </w:pPr>
          </w:p>
        </w:tc>
        <w:tc>
          <w:tcPr>
            <w:tcW w:w="5326" w:type="dxa"/>
            <w:vAlign w:val="bottom"/>
          </w:tcPr>
          <w:p w14:paraId="692883FB" w14:textId="77777777" w:rsidR="007F164F" w:rsidRPr="00675677" w:rsidRDefault="007F164F" w:rsidP="00B4733F">
            <w:pPr>
              <w:pStyle w:val="-0"/>
              <w:tabs>
                <w:tab w:val="left" w:pos="686"/>
              </w:tabs>
              <w:spacing w:line="264" w:lineRule="auto"/>
              <w:ind w:left="846" w:hanging="392"/>
              <w:rPr>
                <w:b/>
                <w:bCs/>
                <w:sz w:val="19"/>
                <w:szCs w:val="19"/>
                <w:rtl/>
              </w:rPr>
            </w:pPr>
            <w:r w:rsidRPr="00675677">
              <w:rPr>
                <w:sz w:val="19"/>
                <w:szCs w:val="19"/>
                <w:rtl/>
              </w:rPr>
              <w:t>הון עצמי</w:t>
            </w:r>
          </w:p>
        </w:tc>
        <w:tc>
          <w:tcPr>
            <w:tcW w:w="949" w:type="dxa"/>
            <w:vAlign w:val="bottom"/>
          </w:tcPr>
          <w:p w14:paraId="525C1F41" w14:textId="77777777" w:rsidR="007F164F" w:rsidRPr="00AC1A00" w:rsidRDefault="007F164F" w:rsidP="00C561A9">
            <w:pPr>
              <w:pStyle w:val="-7"/>
              <w:spacing w:before="60"/>
              <w:jc w:val="left"/>
              <w:rPr>
                <w:b/>
                <w:bCs/>
                <w:rtl/>
              </w:rPr>
            </w:pPr>
            <w:r w:rsidRPr="00AC1A00">
              <w:rPr>
                <w:rtl/>
              </w:rPr>
              <w:t xml:space="preserve"> 0</w:t>
            </w:r>
          </w:p>
        </w:tc>
        <w:tc>
          <w:tcPr>
            <w:tcW w:w="1078" w:type="dxa"/>
            <w:gridSpan w:val="2"/>
            <w:vAlign w:val="bottom"/>
          </w:tcPr>
          <w:p w14:paraId="3327F01C" w14:textId="77777777" w:rsidR="007F164F" w:rsidRPr="00AC1A00" w:rsidRDefault="007F164F" w:rsidP="00C561A9">
            <w:pPr>
              <w:pStyle w:val="-7"/>
              <w:spacing w:before="60"/>
              <w:jc w:val="left"/>
              <w:rPr>
                <w:b/>
                <w:bCs/>
                <w:rtl/>
              </w:rPr>
            </w:pPr>
            <w:r w:rsidRPr="00AC1A00">
              <w:rPr>
                <w:rtl/>
              </w:rPr>
              <w:t xml:space="preserve"> 0</w:t>
            </w:r>
          </w:p>
        </w:tc>
        <w:tc>
          <w:tcPr>
            <w:tcW w:w="1078" w:type="dxa"/>
            <w:gridSpan w:val="2"/>
            <w:vAlign w:val="bottom"/>
          </w:tcPr>
          <w:p w14:paraId="1E332071" w14:textId="77777777" w:rsidR="007F164F" w:rsidRPr="00AC1A00" w:rsidRDefault="007F164F" w:rsidP="00C561A9">
            <w:pPr>
              <w:pStyle w:val="-7"/>
              <w:spacing w:before="60"/>
              <w:jc w:val="left"/>
              <w:rPr>
                <w:rtl/>
              </w:rPr>
            </w:pPr>
            <w:r w:rsidRPr="00AC1A00">
              <w:rPr>
                <w:rtl/>
              </w:rPr>
              <w:t xml:space="preserve"> 0</w:t>
            </w:r>
          </w:p>
        </w:tc>
      </w:tr>
      <w:tr w:rsidR="007F164F" w:rsidRPr="00AC1A00" w14:paraId="5B699494" w14:textId="77777777" w:rsidTr="00CE19D7">
        <w:trPr>
          <w:gridAfter w:val="1"/>
          <w:wAfter w:w="14" w:type="dxa"/>
          <w:trHeight w:val="283"/>
        </w:trPr>
        <w:tc>
          <w:tcPr>
            <w:tcW w:w="1417" w:type="dxa"/>
          </w:tcPr>
          <w:p w14:paraId="2F61AA77" w14:textId="77777777" w:rsidR="007F164F" w:rsidRPr="00AC1A00" w:rsidRDefault="007F164F" w:rsidP="00C561A9">
            <w:pPr>
              <w:pStyle w:val="-7"/>
              <w:spacing w:line="240" w:lineRule="auto"/>
              <w:jc w:val="left"/>
              <w:rPr>
                <w:rtl/>
              </w:rPr>
            </w:pPr>
          </w:p>
        </w:tc>
        <w:tc>
          <w:tcPr>
            <w:tcW w:w="5326" w:type="dxa"/>
            <w:vAlign w:val="bottom"/>
          </w:tcPr>
          <w:p w14:paraId="27F7EA5C" w14:textId="2AE7AF9C" w:rsidR="007F164F" w:rsidRPr="00675677" w:rsidRDefault="007F164F" w:rsidP="00B4733F">
            <w:pPr>
              <w:pStyle w:val="-0"/>
              <w:tabs>
                <w:tab w:val="left" w:pos="543"/>
              </w:tabs>
              <w:spacing w:line="264" w:lineRule="auto"/>
              <w:ind w:left="596" w:hanging="142"/>
              <w:rPr>
                <w:sz w:val="19"/>
                <w:szCs w:val="19"/>
                <w:rtl/>
              </w:rPr>
            </w:pPr>
            <w:r w:rsidRPr="00675677">
              <w:rPr>
                <w:sz w:val="19"/>
                <w:szCs w:val="19"/>
                <w:rtl/>
              </w:rPr>
              <w:t xml:space="preserve">הבדלים בין </w:t>
            </w:r>
            <w:r w:rsidRPr="00675677">
              <w:rPr>
                <w:rFonts w:hint="eastAsia"/>
                <w:sz w:val="19"/>
                <w:szCs w:val="19"/>
                <w:rtl/>
              </w:rPr>
              <w:t>הון</w:t>
            </w:r>
            <w:r w:rsidRPr="00675677">
              <w:rPr>
                <w:sz w:val="19"/>
                <w:szCs w:val="19"/>
                <w:rtl/>
              </w:rPr>
              <w:t xml:space="preserve"> </w:t>
            </w:r>
            <w:r w:rsidRPr="00675677">
              <w:rPr>
                <w:rFonts w:hint="eastAsia"/>
                <w:sz w:val="19"/>
                <w:szCs w:val="19"/>
                <w:rtl/>
              </w:rPr>
              <w:t>עצמי</w:t>
            </w:r>
            <w:r w:rsidRPr="00675677">
              <w:rPr>
                <w:sz w:val="19"/>
                <w:szCs w:val="19"/>
                <w:rtl/>
              </w:rPr>
              <w:t xml:space="preserve"> </w:t>
            </w:r>
            <w:r w:rsidRPr="00675677">
              <w:rPr>
                <w:rFonts w:hint="eastAsia"/>
                <w:sz w:val="19"/>
                <w:szCs w:val="19"/>
                <w:rtl/>
              </w:rPr>
              <w:t>לבין</w:t>
            </w:r>
            <w:r w:rsidRPr="00675677">
              <w:rPr>
                <w:sz w:val="19"/>
                <w:szCs w:val="19"/>
                <w:rtl/>
              </w:rPr>
              <w:t xml:space="preserve"> </w:t>
            </w:r>
            <w:r w:rsidRPr="00675677">
              <w:rPr>
                <w:rFonts w:hint="eastAsia"/>
                <w:sz w:val="19"/>
                <w:szCs w:val="19"/>
                <w:rtl/>
              </w:rPr>
              <w:t>הון</w:t>
            </w:r>
            <w:r w:rsidRPr="00675677">
              <w:rPr>
                <w:sz w:val="19"/>
                <w:szCs w:val="19"/>
                <w:rtl/>
              </w:rPr>
              <w:t xml:space="preserve"> </w:t>
            </w:r>
            <w:r w:rsidRPr="00675677">
              <w:rPr>
                <w:rFonts w:hint="cs"/>
                <w:sz w:val="19"/>
                <w:szCs w:val="19"/>
                <w:rtl/>
              </w:rPr>
              <w:t xml:space="preserve">עצמי </w:t>
            </w:r>
            <w:r w:rsidRPr="00675677">
              <w:rPr>
                <w:rFonts w:hint="eastAsia"/>
                <w:sz w:val="19"/>
                <w:szCs w:val="19"/>
                <w:rtl/>
              </w:rPr>
              <w:t>רובד</w:t>
            </w:r>
            <w:r w:rsidRPr="00675677">
              <w:rPr>
                <w:rFonts w:hint="cs"/>
                <w:sz w:val="19"/>
                <w:szCs w:val="19"/>
                <w:rtl/>
              </w:rPr>
              <w:t xml:space="preserve"> 1 [פרט אם מהותי]</w:t>
            </w:r>
          </w:p>
        </w:tc>
        <w:tc>
          <w:tcPr>
            <w:tcW w:w="949" w:type="dxa"/>
            <w:vAlign w:val="bottom"/>
          </w:tcPr>
          <w:p w14:paraId="6CE68A36" w14:textId="77777777" w:rsidR="007F164F" w:rsidRPr="00AC1A00" w:rsidRDefault="007F164F" w:rsidP="00C561A9">
            <w:pPr>
              <w:pStyle w:val="-7"/>
              <w:pBdr>
                <w:bottom w:val="single" w:sz="4" w:space="1" w:color="auto"/>
              </w:pBdr>
              <w:spacing w:line="240" w:lineRule="auto"/>
              <w:jc w:val="left"/>
              <w:rPr>
                <w:b/>
                <w:bCs/>
                <w:rtl/>
              </w:rPr>
            </w:pPr>
            <w:r w:rsidRPr="00AC1A00">
              <w:rPr>
                <w:rtl/>
              </w:rPr>
              <w:t xml:space="preserve"> 0</w:t>
            </w:r>
          </w:p>
        </w:tc>
        <w:tc>
          <w:tcPr>
            <w:tcW w:w="1078" w:type="dxa"/>
            <w:gridSpan w:val="2"/>
            <w:vAlign w:val="bottom"/>
          </w:tcPr>
          <w:p w14:paraId="63511BB2" w14:textId="77777777" w:rsidR="007F164F" w:rsidRPr="00AC1A00" w:rsidRDefault="007F164F" w:rsidP="00C561A9">
            <w:pPr>
              <w:pStyle w:val="-7"/>
              <w:pBdr>
                <w:bottom w:val="single" w:sz="4" w:space="1" w:color="auto"/>
              </w:pBdr>
              <w:spacing w:line="240" w:lineRule="auto"/>
              <w:jc w:val="left"/>
              <w:rPr>
                <w:b/>
                <w:bCs/>
                <w:rtl/>
              </w:rPr>
            </w:pPr>
            <w:r w:rsidRPr="00AC1A00">
              <w:rPr>
                <w:rtl/>
              </w:rPr>
              <w:t xml:space="preserve"> 0</w:t>
            </w:r>
          </w:p>
        </w:tc>
        <w:tc>
          <w:tcPr>
            <w:tcW w:w="1078" w:type="dxa"/>
            <w:gridSpan w:val="2"/>
            <w:vAlign w:val="bottom"/>
          </w:tcPr>
          <w:p w14:paraId="39A07307" w14:textId="77777777" w:rsidR="007F164F" w:rsidRPr="00AC1A00" w:rsidRDefault="007F164F" w:rsidP="00C561A9">
            <w:pPr>
              <w:pStyle w:val="-7"/>
              <w:pBdr>
                <w:bottom w:val="single" w:sz="4" w:space="1" w:color="auto"/>
              </w:pBdr>
              <w:spacing w:line="240" w:lineRule="auto"/>
              <w:jc w:val="left"/>
              <w:rPr>
                <w:rtl/>
              </w:rPr>
            </w:pPr>
            <w:r w:rsidRPr="00AC1A00">
              <w:rPr>
                <w:rtl/>
              </w:rPr>
              <w:t xml:space="preserve"> 0</w:t>
            </w:r>
          </w:p>
        </w:tc>
      </w:tr>
      <w:tr w:rsidR="007F164F" w:rsidRPr="00AC1A00" w14:paraId="35A6916B" w14:textId="77777777" w:rsidTr="00CE19D7">
        <w:trPr>
          <w:gridAfter w:val="1"/>
          <w:wAfter w:w="14" w:type="dxa"/>
          <w:trHeight w:val="283"/>
        </w:trPr>
        <w:tc>
          <w:tcPr>
            <w:tcW w:w="1417" w:type="dxa"/>
          </w:tcPr>
          <w:p w14:paraId="7C75E514" w14:textId="77777777" w:rsidR="007F164F" w:rsidRPr="00AC1A00" w:rsidRDefault="007F164F" w:rsidP="00C561A9">
            <w:pPr>
              <w:pStyle w:val="-7"/>
              <w:spacing w:line="240" w:lineRule="auto"/>
              <w:jc w:val="left"/>
              <w:rPr>
                <w:rtl/>
              </w:rPr>
            </w:pPr>
          </w:p>
        </w:tc>
        <w:tc>
          <w:tcPr>
            <w:tcW w:w="5326" w:type="dxa"/>
            <w:vAlign w:val="bottom"/>
          </w:tcPr>
          <w:p w14:paraId="6ACC7B8C" w14:textId="77777777" w:rsidR="007F164F" w:rsidRPr="00675677" w:rsidRDefault="007F164F" w:rsidP="00B4733F">
            <w:pPr>
              <w:pStyle w:val="-0"/>
              <w:tabs>
                <w:tab w:val="left" w:pos="543"/>
              </w:tabs>
              <w:spacing w:line="264" w:lineRule="auto"/>
              <w:ind w:left="596" w:hanging="142"/>
              <w:rPr>
                <w:b/>
                <w:bCs/>
                <w:sz w:val="19"/>
                <w:szCs w:val="19"/>
                <w:rtl/>
              </w:rPr>
            </w:pPr>
            <w:r w:rsidRPr="00675677">
              <w:rPr>
                <w:sz w:val="19"/>
                <w:szCs w:val="19"/>
                <w:rtl/>
              </w:rPr>
              <w:t>סך הון עצמי רובד 1, לפני התאמות פיקוחיות וניכויים</w:t>
            </w:r>
          </w:p>
        </w:tc>
        <w:tc>
          <w:tcPr>
            <w:tcW w:w="949" w:type="dxa"/>
            <w:vAlign w:val="bottom"/>
          </w:tcPr>
          <w:p w14:paraId="41AC924F" w14:textId="77777777" w:rsidR="007F164F" w:rsidRPr="00AC1A00" w:rsidRDefault="007F164F" w:rsidP="00C561A9">
            <w:pPr>
              <w:pStyle w:val="-7"/>
              <w:spacing w:line="240" w:lineRule="auto"/>
              <w:jc w:val="left"/>
              <w:rPr>
                <w:b/>
                <w:bCs/>
                <w:rtl/>
              </w:rPr>
            </w:pPr>
            <w:r w:rsidRPr="00AC1A00">
              <w:rPr>
                <w:rtl/>
              </w:rPr>
              <w:t xml:space="preserve"> 0</w:t>
            </w:r>
          </w:p>
        </w:tc>
        <w:tc>
          <w:tcPr>
            <w:tcW w:w="1078" w:type="dxa"/>
            <w:gridSpan w:val="2"/>
            <w:vAlign w:val="bottom"/>
          </w:tcPr>
          <w:p w14:paraId="1475C2A2" w14:textId="77777777" w:rsidR="007F164F" w:rsidRPr="00AC1A00" w:rsidRDefault="007F164F" w:rsidP="00C561A9">
            <w:pPr>
              <w:pStyle w:val="-7"/>
              <w:spacing w:line="240" w:lineRule="auto"/>
              <w:jc w:val="left"/>
              <w:rPr>
                <w:b/>
                <w:bCs/>
                <w:rtl/>
              </w:rPr>
            </w:pPr>
            <w:r w:rsidRPr="00AC1A00">
              <w:rPr>
                <w:rtl/>
              </w:rPr>
              <w:t xml:space="preserve"> 0</w:t>
            </w:r>
          </w:p>
        </w:tc>
        <w:tc>
          <w:tcPr>
            <w:tcW w:w="1078" w:type="dxa"/>
            <w:gridSpan w:val="2"/>
            <w:vAlign w:val="bottom"/>
          </w:tcPr>
          <w:p w14:paraId="04B883D7" w14:textId="77777777" w:rsidR="007F164F" w:rsidRPr="00AC1A00" w:rsidRDefault="007F164F" w:rsidP="00C561A9">
            <w:pPr>
              <w:pStyle w:val="-7"/>
              <w:spacing w:line="240" w:lineRule="auto"/>
              <w:jc w:val="left"/>
              <w:rPr>
                <w:rtl/>
              </w:rPr>
            </w:pPr>
            <w:r w:rsidRPr="00AC1A00">
              <w:rPr>
                <w:rtl/>
              </w:rPr>
              <w:t xml:space="preserve"> 0</w:t>
            </w:r>
          </w:p>
        </w:tc>
      </w:tr>
      <w:tr w:rsidR="007F164F" w:rsidRPr="00AC1A00" w14:paraId="58849D67" w14:textId="77777777" w:rsidTr="00CE19D7">
        <w:trPr>
          <w:gridAfter w:val="1"/>
          <w:wAfter w:w="14" w:type="dxa"/>
          <w:trHeight w:val="283"/>
        </w:trPr>
        <w:tc>
          <w:tcPr>
            <w:tcW w:w="1417" w:type="dxa"/>
          </w:tcPr>
          <w:p w14:paraId="52258632" w14:textId="77777777" w:rsidR="007F164F" w:rsidRPr="00AC1A00" w:rsidRDefault="007F164F" w:rsidP="00C561A9">
            <w:pPr>
              <w:pStyle w:val="-7"/>
              <w:spacing w:line="240" w:lineRule="auto"/>
              <w:jc w:val="left"/>
              <w:rPr>
                <w:rtl/>
              </w:rPr>
            </w:pPr>
          </w:p>
        </w:tc>
        <w:tc>
          <w:tcPr>
            <w:tcW w:w="5326" w:type="dxa"/>
            <w:vAlign w:val="bottom"/>
          </w:tcPr>
          <w:p w14:paraId="224738A9" w14:textId="77777777" w:rsidR="007F164F" w:rsidRPr="00675677" w:rsidRDefault="007F164F" w:rsidP="00B4733F">
            <w:pPr>
              <w:pStyle w:val="-0"/>
              <w:spacing w:line="240" w:lineRule="auto"/>
              <w:ind w:left="596" w:hanging="142"/>
              <w:rPr>
                <w:b/>
                <w:bCs/>
                <w:sz w:val="19"/>
                <w:szCs w:val="19"/>
                <w:u w:val="single"/>
                <w:rtl/>
              </w:rPr>
            </w:pPr>
            <w:r w:rsidRPr="00675677">
              <w:rPr>
                <w:rFonts w:hint="eastAsia"/>
                <w:sz w:val="19"/>
                <w:szCs w:val="19"/>
                <w:u w:val="single"/>
                <w:rtl/>
              </w:rPr>
              <w:t>התאמות</w:t>
            </w:r>
            <w:r w:rsidRPr="00675677">
              <w:rPr>
                <w:sz w:val="19"/>
                <w:szCs w:val="19"/>
                <w:u w:val="single"/>
                <w:rtl/>
              </w:rPr>
              <w:t xml:space="preserve"> פיקוחיות וניכויים</w:t>
            </w:r>
            <w:r w:rsidRPr="00675677">
              <w:rPr>
                <w:sz w:val="19"/>
                <w:szCs w:val="19"/>
                <w:rtl/>
              </w:rPr>
              <w:t xml:space="preserve">: </w:t>
            </w:r>
          </w:p>
        </w:tc>
        <w:tc>
          <w:tcPr>
            <w:tcW w:w="949" w:type="dxa"/>
            <w:vAlign w:val="bottom"/>
          </w:tcPr>
          <w:p w14:paraId="21557068" w14:textId="77777777" w:rsidR="007F164F" w:rsidRPr="00AC1A00" w:rsidRDefault="007F164F" w:rsidP="00C561A9">
            <w:pPr>
              <w:pStyle w:val="-7"/>
              <w:spacing w:line="240" w:lineRule="auto"/>
              <w:jc w:val="left"/>
              <w:rPr>
                <w:rtl/>
              </w:rPr>
            </w:pPr>
          </w:p>
        </w:tc>
        <w:tc>
          <w:tcPr>
            <w:tcW w:w="1078" w:type="dxa"/>
            <w:gridSpan w:val="2"/>
            <w:vAlign w:val="bottom"/>
          </w:tcPr>
          <w:p w14:paraId="65C6046B" w14:textId="77777777" w:rsidR="007F164F" w:rsidRPr="00AC1A00" w:rsidRDefault="007F164F" w:rsidP="00C561A9">
            <w:pPr>
              <w:pStyle w:val="-7"/>
              <w:spacing w:line="240" w:lineRule="auto"/>
              <w:jc w:val="left"/>
              <w:rPr>
                <w:rtl/>
              </w:rPr>
            </w:pPr>
          </w:p>
        </w:tc>
        <w:tc>
          <w:tcPr>
            <w:tcW w:w="1078" w:type="dxa"/>
            <w:gridSpan w:val="2"/>
            <w:vAlign w:val="bottom"/>
          </w:tcPr>
          <w:p w14:paraId="78A47760" w14:textId="77777777" w:rsidR="007F164F" w:rsidRPr="00AC1A00" w:rsidRDefault="007F164F" w:rsidP="00C561A9">
            <w:pPr>
              <w:pStyle w:val="-7"/>
              <w:spacing w:line="240" w:lineRule="auto"/>
              <w:jc w:val="left"/>
              <w:rPr>
                <w:rtl/>
              </w:rPr>
            </w:pPr>
          </w:p>
        </w:tc>
      </w:tr>
      <w:tr w:rsidR="007F164F" w:rsidRPr="00AC1A00" w14:paraId="27776BCA" w14:textId="77777777" w:rsidTr="00CE19D7">
        <w:trPr>
          <w:gridAfter w:val="1"/>
          <w:wAfter w:w="14" w:type="dxa"/>
          <w:trHeight w:val="283"/>
        </w:trPr>
        <w:tc>
          <w:tcPr>
            <w:tcW w:w="1417" w:type="dxa"/>
          </w:tcPr>
          <w:p w14:paraId="72975840" w14:textId="77777777" w:rsidR="007F164F" w:rsidRPr="00AC1A00" w:rsidRDefault="007F164F" w:rsidP="00C561A9">
            <w:pPr>
              <w:pStyle w:val="-7"/>
              <w:spacing w:line="240" w:lineRule="auto"/>
              <w:jc w:val="left"/>
              <w:rPr>
                <w:rtl/>
              </w:rPr>
            </w:pPr>
          </w:p>
        </w:tc>
        <w:tc>
          <w:tcPr>
            <w:tcW w:w="5326" w:type="dxa"/>
            <w:vAlign w:val="bottom"/>
          </w:tcPr>
          <w:p w14:paraId="259DF419" w14:textId="77777777" w:rsidR="007F164F" w:rsidRPr="00675677" w:rsidRDefault="007F164F" w:rsidP="005C0B40">
            <w:pPr>
              <w:pStyle w:val="-0"/>
              <w:tabs>
                <w:tab w:val="left" w:pos="686"/>
              </w:tabs>
              <w:spacing w:line="264" w:lineRule="auto"/>
              <w:ind w:left="1078" w:hanging="392"/>
              <w:rPr>
                <w:sz w:val="19"/>
                <w:szCs w:val="19"/>
                <w:rtl/>
              </w:rPr>
            </w:pPr>
            <w:r w:rsidRPr="00675677">
              <w:rPr>
                <w:sz w:val="19"/>
                <w:szCs w:val="19"/>
                <w:rtl/>
              </w:rPr>
              <w:t xml:space="preserve">מוניטין ונכסים בלתי </w:t>
            </w:r>
            <w:r w:rsidRPr="00675677">
              <w:rPr>
                <w:rFonts w:hint="eastAsia"/>
                <w:sz w:val="19"/>
                <w:szCs w:val="19"/>
                <w:rtl/>
              </w:rPr>
              <w:t>מוחשיים</w:t>
            </w:r>
          </w:p>
        </w:tc>
        <w:tc>
          <w:tcPr>
            <w:tcW w:w="949" w:type="dxa"/>
            <w:vAlign w:val="bottom"/>
          </w:tcPr>
          <w:p w14:paraId="37AA36DA" w14:textId="77777777" w:rsidR="007F164F" w:rsidRPr="00AC1A00" w:rsidRDefault="007F164F" w:rsidP="00C561A9">
            <w:pPr>
              <w:pStyle w:val="-7"/>
              <w:spacing w:line="240" w:lineRule="auto"/>
              <w:jc w:val="left"/>
              <w:rPr>
                <w:b/>
                <w:bCs/>
                <w:rtl/>
              </w:rPr>
            </w:pPr>
            <w:r w:rsidRPr="00AC1A00">
              <w:rPr>
                <w:rtl/>
              </w:rPr>
              <w:t xml:space="preserve"> 0</w:t>
            </w:r>
          </w:p>
        </w:tc>
        <w:tc>
          <w:tcPr>
            <w:tcW w:w="1078" w:type="dxa"/>
            <w:gridSpan w:val="2"/>
            <w:vAlign w:val="bottom"/>
          </w:tcPr>
          <w:p w14:paraId="180725E2" w14:textId="77777777" w:rsidR="007F164F" w:rsidRPr="00AC1A00" w:rsidRDefault="007F164F" w:rsidP="00C561A9">
            <w:pPr>
              <w:pStyle w:val="-7"/>
              <w:spacing w:line="240" w:lineRule="auto"/>
              <w:jc w:val="left"/>
              <w:rPr>
                <w:b/>
                <w:bCs/>
                <w:rtl/>
              </w:rPr>
            </w:pPr>
            <w:r w:rsidRPr="00AC1A00">
              <w:rPr>
                <w:rtl/>
              </w:rPr>
              <w:t xml:space="preserve"> 0</w:t>
            </w:r>
          </w:p>
        </w:tc>
        <w:tc>
          <w:tcPr>
            <w:tcW w:w="1078" w:type="dxa"/>
            <w:gridSpan w:val="2"/>
            <w:vAlign w:val="bottom"/>
          </w:tcPr>
          <w:p w14:paraId="65451D06" w14:textId="77777777" w:rsidR="007F164F" w:rsidRPr="00AC1A00" w:rsidRDefault="007F164F" w:rsidP="00C561A9">
            <w:pPr>
              <w:pStyle w:val="-7"/>
              <w:spacing w:line="240" w:lineRule="auto"/>
              <w:jc w:val="left"/>
              <w:rPr>
                <w:rtl/>
              </w:rPr>
            </w:pPr>
            <w:r w:rsidRPr="00AC1A00">
              <w:rPr>
                <w:rtl/>
              </w:rPr>
              <w:t xml:space="preserve"> 0</w:t>
            </w:r>
          </w:p>
        </w:tc>
      </w:tr>
      <w:tr w:rsidR="007F164F" w:rsidRPr="00AC1A00" w14:paraId="4230E1E1" w14:textId="77777777" w:rsidTr="00CE19D7">
        <w:trPr>
          <w:gridAfter w:val="1"/>
          <w:wAfter w:w="14" w:type="dxa"/>
          <w:trHeight w:val="283"/>
        </w:trPr>
        <w:tc>
          <w:tcPr>
            <w:tcW w:w="1417" w:type="dxa"/>
          </w:tcPr>
          <w:p w14:paraId="2B6EDA7C" w14:textId="77777777" w:rsidR="007F164F" w:rsidRPr="00AC1A00" w:rsidRDefault="007F164F" w:rsidP="00C561A9">
            <w:pPr>
              <w:pStyle w:val="-7"/>
              <w:spacing w:line="240" w:lineRule="auto"/>
              <w:jc w:val="left"/>
              <w:rPr>
                <w:rtl/>
              </w:rPr>
            </w:pPr>
          </w:p>
        </w:tc>
        <w:tc>
          <w:tcPr>
            <w:tcW w:w="5326" w:type="dxa"/>
            <w:vAlign w:val="bottom"/>
          </w:tcPr>
          <w:p w14:paraId="31FDEEC8" w14:textId="77777777" w:rsidR="007F164F" w:rsidRPr="00675677" w:rsidRDefault="007F164F" w:rsidP="005C0B40">
            <w:pPr>
              <w:pStyle w:val="-0"/>
              <w:tabs>
                <w:tab w:val="left" w:pos="686"/>
              </w:tabs>
              <w:spacing w:line="264" w:lineRule="auto"/>
              <w:ind w:left="1078" w:hanging="392"/>
              <w:rPr>
                <w:b/>
                <w:bCs/>
                <w:sz w:val="19"/>
                <w:szCs w:val="19"/>
                <w:rtl/>
              </w:rPr>
            </w:pPr>
            <w:r w:rsidRPr="00675677">
              <w:rPr>
                <w:sz w:val="19"/>
                <w:szCs w:val="19"/>
                <w:rtl/>
              </w:rPr>
              <w:t>מסים נדחים לקבל</w:t>
            </w:r>
          </w:p>
        </w:tc>
        <w:tc>
          <w:tcPr>
            <w:tcW w:w="949" w:type="dxa"/>
            <w:vAlign w:val="bottom"/>
          </w:tcPr>
          <w:p w14:paraId="75BE49FE" w14:textId="77777777" w:rsidR="007F164F" w:rsidRPr="00AC1A00" w:rsidRDefault="007F164F" w:rsidP="00C561A9">
            <w:pPr>
              <w:pStyle w:val="-7"/>
              <w:spacing w:line="240" w:lineRule="auto"/>
              <w:jc w:val="left"/>
              <w:rPr>
                <w:b/>
                <w:bCs/>
                <w:rtl/>
              </w:rPr>
            </w:pPr>
            <w:r w:rsidRPr="00AC1A00">
              <w:rPr>
                <w:rtl/>
              </w:rPr>
              <w:t xml:space="preserve"> 0</w:t>
            </w:r>
          </w:p>
        </w:tc>
        <w:tc>
          <w:tcPr>
            <w:tcW w:w="1078" w:type="dxa"/>
            <w:gridSpan w:val="2"/>
            <w:vAlign w:val="bottom"/>
          </w:tcPr>
          <w:p w14:paraId="20297F39" w14:textId="77777777" w:rsidR="007F164F" w:rsidRPr="00AC1A00" w:rsidRDefault="007F164F" w:rsidP="00C561A9">
            <w:pPr>
              <w:pStyle w:val="-7"/>
              <w:spacing w:line="240" w:lineRule="auto"/>
              <w:jc w:val="left"/>
              <w:rPr>
                <w:b/>
                <w:bCs/>
                <w:rtl/>
              </w:rPr>
            </w:pPr>
            <w:r w:rsidRPr="00AC1A00">
              <w:rPr>
                <w:rtl/>
              </w:rPr>
              <w:t xml:space="preserve"> 0</w:t>
            </w:r>
          </w:p>
        </w:tc>
        <w:tc>
          <w:tcPr>
            <w:tcW w:w="1078" w:type="dxa"/>
            <w:gridSpan w:val="2"/>
            <w:vAlign w:val="bottom"/>
          </w:tcPr>
          <w:p w14:paraId="7302818D" w14:textId="77777777" w:rsidR="007F164F" w:rsidRPr="00AC1A00" w:rsidRDefault="007F164F" w:rsidP="00C561A9">
            <w:pPr>
              <w:pStyle w:val="-7"/>
              <w:spacing w:line="240" w:lineRule="auto"/>
              <w:jc w:val="left"/>
              <w:rPr>
                <w:rtl/>
              </w:rPr>
            </w:pPr>
            <w:r w:rsidRPr="00AC1A00">
              <w:rPr>
                <w:rtl/>
              </w:rPr>
              <w:t xml:space="preserve"> 0</w:t>
            </w:r>
          </w:p>
        </w:tc>
      </w:tr>
      <w:tr w:rsidR="007F164F" w:rsidRPr="00F82CF8" w14:paraId="51CDD3F4" w14:textId="77777777" w:rsidTr="00CE19D7">
        <w:trPr>
          <w:gridAfter w:val="1"/>
          <w:wAfter w:w="14" w:type="dxa"/>
          <w:trHeight w:val="283"/>
        </w:trPr>
        <w:tc>
          <w:tcPr>
            <w:tcW w:w="1417" w:type="dxa"/>
          </w:tcPr>
          <w:p w14:paraId="68563EB1" w14:textId="77777777" w:rsidR="007F164F" w:rsidRPr="00AC1A00" w:rsidRDefault="007F164F" w:rsidP="00C561A9">
            <w:pPr>
              <w:pStyle w:val="-7"/>
              <w:spacing w:line="240" w:lineRule="auto"/>
              <w:jc w:val="left"/>
              <w:rPr>
                <w:rtl/>
              </w:rPr>
            </w:pPr>
          </w:p>
        </w:tc>
        <w:tc>
          <w:tcPr>
            <w:tcW w:w="5326" w:type="dxa"/>
            <w:vAlign w:val="bottom"/>
          </w:tcPr>
          <w:p w14:paraId="2BB7D242" w14:textId="77777777" w:rsidR="007F164F" w:rsidRPr="00675677" w:rsidRDefault="007F164F" w:rsidP="005C0B40">
            <w:pPr>
              <w:pStyle w:val="-0"/>
              <w:tabs>
                <w:tab w:val="left" w:pos="686"/>
              </w:tabs>
              <w:spacing w:line="264" w:lineRule="auto"/>
              <w:ind w:left="969" w:hanging="283"/>
              <w:rPr>
                <w:sz w:val="19"/>
                <w:szCs w:val="19"/>
                <w:rtl/>
              </w:rPr>
            </w:pPr>
            <w:r w:rsidRPr="00675677">
              <w:rPr>
                <w:sz w:val="19"/>
                <w:szCs w:val="19"/>
                <w:rtl/>
              </w:rPr>
              <w:t xml:space="preserve">השקעות בהון של תאגידים </w:t>
            </w:r>
            <w:r w:rsidRPr="00675677">
              <w:rPr>
                <w:rFonts w:hint="eastAsia"/>
                <w:sz w:val="19"/>
                <w:szCs w:val="19"/>
                <w:rtl/>
              </w:rPr>
              <w:t>פיננסיים</w:t>
            </w:r>
            <w:r w:rsidRPr="00675677">
              <w:rPr>
                <w:rFonts w:hint="cs"/>
                <w:sz w:val="19"/>
                <w:szCs w:val="19"/>
                <w:rtl/>
              </w:rPr>
              <w:t xml:space="preserve"> </w:t>
            </w:r>
            <w:r w:rsidRPr="00675677">
              <w:rPr>
                <w:sz w:val="19"/>
                <w:szCs w:val="19"/>
                <w:rtl/>
              </w:rPr>
              <w:t>שאינם מאוחדים בדוחות לציבור</w:t>
            </w:r>
          </w:p>
        </w:tc>
        <w:tc>
          <w:tcPr>
            <w:tcW w:w="949" w:type="dxa"/>
            <w:vAlign w:val="bottom"/>
          </w:tcPr>
          <w:p w14:paraId="4609F981" w14:textId="77777777" w:rsidR="007F164F" w:rsidRPr="00F82CF8" w:rsidRDefault="007F164F" w:rsidP="00C561A9">
            <w:pPr>
              <w:pStyle w:val="-7"/>
              <w:spacing w:line="240" w:lineRule="auto"/>
              <w:jc w:val="left"/>
              <w:rPr>
                <w:b/>
                <w:bCs/>
                <w:rtl/>
              </w:rPr>
            </w:pPr>
            <w:r w:rsidRPr="00F82CF8">
              <w:rPr>
                <w:rtl/>
              </w:rPr>
              <w:t xml:space="preserve"> 0</w:t>
            </w:r>
          </w:p>
        </w:tc>
        <w:tc>
          <w:tcPr>
            <w:tcW w:w="1078" w:type="dxa"/>
            <w:gridSpan w:val="2"/>
            <w:vAlign w:val="bottom"/>
          </w:tcPr>
          <w:p w14:paraId="07B5A74D" w14:textId="77777777" w:rsidR="007F164F" w:rsidRPr="00F82CF8" w:rsidRDefault="007F164F" w:rsidP="00C561A9">
            <w:pPr>
              <w:pStyle w:val="-7"/>
              <w:spacing w:line="240" w:lineRule="auto"/>
              <w:jc w:val="left"/>
              <w:rPr>
                <w:b/>
                <w:bCs/>
                <w:rtl/>
              </w:rPr>
            </w:pPr>
            <w:r w:rsidRPr="00F82CF8">
              <w:rPr>
                <w:rtl/>
              </w:rPr>
              <w:t xml:space="preserve"> 0</w:t>
            </w:r>
          </w:p>
        </w:tc>
        <w:tc>
          <w:tcPr>
            <w:tcW w:w="1078" w:type="dxa"/>
            <w:gridSpan w:val="2"/>
            <w:vAlign w:val="bottom"/>
          </w:tcPr>
          <w:p w14:paraId="5EDFFBDA" w14:textId="77777777" w:rsidR="007F164F" w:rsidRPr="00F82CF8" w:rsidRDefault="007F164F" w:rsidP="00C561A9">
            <w:pPr>
              <w:pStyle w:val="-7"/>
              <w:spacing w:line="240" w:lineRule="auto"/>
              <w:jc w:val="left"/>
              <w:rPr>
                <w:rtl/>
              </w:rPr>
            </w:pPr>
            <w:r w:rsidRPr="00F82CF8">
              <w:rPr>
                <w:rtl/>
              </w:rPr>
              <w:t xml:space="preserve"> 0</w:t>
            </w:r>
          </w:p>
        </w:tc>
      </w:tr>
      <w:tr w:rsidR="007F164F" w:rsidRPr="00F82CF8" w14:paraId="5CD384AE" w14:textId="77777777" w:rsidTr="00CE19D7">
        <w:trPr>
          <w:gridAfter w:val="1"/>
          <w:wAfter w:w="14" w:type="dxa"/>
          <w:trHeight w:val="283"/>
        </w:trPr>
        <w:tc>
          <w:tcPr>
            <w:tcW w:w="1417" w:type="dxa"/>
          </w:tcPr>
          <w:p w14:paraId="604917D9" w14:textId="77777777" w:rsidR="007F164F" w:rsidRPr="00AC1A00" w:rsidRDefault="007F164F" w:rsidP="00C561A9">
            <w:pPr>
              <w:pStyle w:val="-7"/>
              <w:spacing w:line="240" w:lineRule="auto"/>
              <w:jc w:val="left"/>
              <w:rPr>
                <w:rtl/>
              </w:rPr>
            </w:pPr>
          </w:p>
        </w:tc>
        <w:tc>
          <w:tcPr>
            <w:tcW w:w="5326" w:type="dxa"/>
            <w:vAlign w:val="bottom"/>
          </w:tcPr>
          <w:p w14:paraId="70413E27" w14:textId="77777777" w:rsidR="007F164F" w:rsidRPr="00675677" w:rsidRDefault="007F164F" w:rsidP="005C0B40">
            <w:pPr>
              <w:pStyle w:val="-0"/>
              <w:tabs>
                <w:tab w:val="left" w:pos="686"/>
              </w:tabs>
              <w:spacing w:line="264" w:lineRule="auto"/>
              <w:ind w:left="1078" w:hanging="392"/>
              <w:rPr>
                <w:b/>
                <w:bCs/>
                <w:sz w:val="19"/>
                <w:szCs w:val="19"/>
                <w:rtl/>
              </w:rPr>
            </w:pPr>
            <w:r w:rsidRPr="00675677">
              <w:rPr>
                <w:rFonts w:hint="cs"/>
                <w:sz w:val="19"/>
                <w:szCs w:val="19"/>
                <w:rtl/>
              </w:rPr>
              <w:t xml:space="preserve">התאמות פיקוחיות וניכויים אחרים - הון עצמי רובד 1 </w:t>
            </w:r>
          </w:p>
        </w:tc>
        <w:tc>
          <w:tcPr>
            <w:tcW w:w="949" w:type="dxa"/>
            <w:vAlign w:val="bottom"/>
          </w:tcPr>
          <w:p w14:paraId="11FA4C64" w14:textId="77777777" w:rsidR="007F164F" w:rsidRPr="00F82CF8" w:rsidRDefault="007F164F" w:rsidP="00C561A9">
            <w:pPr>
              <w:pStyle w:val="-7"/>
              <w:pBdr>
                <w:bottom w:val="single" w:sz="4" w:space="1" w:color="auto"/>
              </w:pBdr>
              <w:spacing w:line="240" w:lineRule="auto"/>
              <w:jc w:val="left"/>
              <w:rPr>
                <w:b/>
                <w:bCs/>
                <w:rtl/>
              </w:rPr>
            </w:pPr>
            <w:r w:rsidRPr="00F82CF8">
              <w:rPr>
                <w:rtl/>
              </w:rPr>
              <w:t xml:space="preserve"> 0</w:t>
            </w:r>
          </w:p>
        </w:tc>
        <w:tc>
          <w:tcPr>
            <w:tcW w:w="1078" w:type="dxa"/>
            <w:gridSpan w:val="2"/>
            <w:vAlign w:val="bottom"/>
          </w:tcPr>
          <w:p w14:paraId="4A51534C" w14:textId="77777777" w:rsidR="007F164F" w:rsidRPr="00F82CF8" w:rsidRDefault="007F164F" w:rsidP="00C561A9">
            <w:pPr>
              <w:pStyle w:val="-7"/>
              <w:pBdr>
                <w:bottom w:val="single" w:sz="4" w:space="1" w:color="auto"/>
              </w:pBdr>
              <w:spacing w:line="240" w:lineRule="auto"/>
              <w:jc w:val="left"/>
              <w:rPr>
                <w:b/>
                <w:bCs/>
                <w:rtl/>
              </w:rPr>
            </w:pPr>
            <w:r w:rsidRPr="00F82CF8">
              <w:rPr>
                <w:rtl/>
              </w:rPr>
              <w:t xml:space="preserve"> 0</w:t>
            </w:r>
          </w:p>
        </w:tc>
        <w:tc>
          <w:tcPr>
            <w:tcW w:w="1078" w:type="dxa"/>
            <w:gridSpan w:val="2"/>
            <w:vAlign w:val="bottom"/>
          </w:tcPr>
          <w:p w14:paraId="2CF56294" w14:textId="77777777" w:rsidR="007F164F" w:rsidRPr="00F82CF8" w:rsidRDefault="007F164F" w:rsidP="00C561A9">
            <w:pPr>
              <w:pStyle w:val="-7"/>
              <w:pBdr>
                <w:bottom w:val="single" w:sz="4" w:space="1" w:color="auto"/>
              </w:pBdr>
              <w:spacing w:line="240" w:lineRule="auto"/>
              <w:jc w:val="left"/>
              <w:rPr>
                <w:rtl/>
              </w:rPr>
            </w:pPr>
            <w:r w:rsidRPr="00F82CF8">
              <w:rPr>
                <w:rtl/>
              </w:rPr>
              <w:t xml:space="preserve"> 0</w:t>
            </w:r>
          </w:p>
        </w:tc>
      </w:tr>
      <w:tr w:rsidR="007F164F" w:rsidRPr="00F82CF8" w14:paraId="274EF1B2" w14:textId="77777777" w:rsidTr="00CE19D7">
        <w:trPr>
          <w:gridAfter w:val="1"/>
          <w:wAfter w:w="14" w:type="dxa"/>
          <w:trHeight w:val="283"/>
        </w:trPr>
        <w:tc>
          <w:tcPr>
            <w:tcW w:w="1417" w:type="dxa"/>
          </w:tcPr>
          <w:p w14:paraId="3995FAE7" w14:textId="77777777" w:rsidR="007F164F" w:rsidRPr="00AC1A00" w:rsidRDefault="007F164F" w:rsidP="00C561A9">
            <w:pPr>
              <w:pStyle w:val="-7"/>
              <w:spacing w:line="240" w:lineRule="auto"/>
              <w:jc w:val="left"/>
              <w:rPr>
                <w:rtl/>
              </w:rPr>
            </w:pPr>
          </w:p>
        </w:tc>
        <w:tc>
          <w:tcPr>
            <w:tcW w:w="5326" w:type="dxa"/>
            <w:vAlign w:val="bottom"/>
          </w:tcPr>
          <w:p w14:paraId="7A408D5B" w14:textId="6F0E4858" w:rsidR="007F164F" w:rsidRPr="00675677" w:rsidRDefault="007F164F" w:rsidP="00B4733F">
            <w:pPr>
              <w:pStyle w:val="-0"/>
              <w:tabs>
                <w:tab w:val="left" w:pos="686"/>
              </w:tabs>
              <w:spacing w:line="264" w:lineRule="auto"/>
              <w:ind w:left="596" w:hanging="142"/>
              <w:rPr>
                <w:sz w:val="19"/>
                <w:szCs w:val="19"/>
                <w:rtl/>
              </w:rPr>
            </w:pPr>
            <w:r w:rsidRPr="00675677">
              <w:rPr>
                <w:rFonts w:hint="cs"/>
                <w:sz w:val="19"/>
                <w:szCs w:val="19"/>
                <w:rtl/>
              </w:rPr>
              <w:t xml:space="preserve">סך הכל התאמות פיקוחיות וניכויים, לפני התאמות בגין תכנית ההתייעלות </w:t>
            </w:r>
            <w:r>
              <w:rPr>
                <w:rFonts w:hint="cs"/>
                <w:sz w:val="19"/>
                <w:szCs w:val="19"/>
                <w:rtl/>
              </w:rPr>
              <w:t>ו</w:t>
            </w:r>
            <w:r w:rsidRPr="00675677">
              <w:rPr>
                <w:sz w:val="19"/>
                <w:szCs w:val="19"/>
                <w:rtl/>
              </w:rPr>
              <w:t>בגין הפסדי אשראי צפויים</w:t>
            </w:r>
            <w:r w:rsidRPr="00675677">
              <w:rPr>
                <w:rFonts w:hint="cs"/>
                <w:sz w:val="19"/>
                <w:szCs w:val="19"/>
                <w:rtl/>
              </w:rPr>
              <w:t xml:space="preserve"> - הון עצמי רובד 1</w:t>
            </w:r>
          </w:p>
        </w:tc>
        <w:tc>
          <w:tcPr>
            <w:tcW w:w="949" w:type="dxa"/>
            <w:vAlign w:val="bottom"/>
          </w:tcPr>
          <w:p w14:paraId="197BDED0" w14:textId="77777777" w:rsidR="007F164F" w:rsidRPr="00F82CF8" w:rsidRDefault="007F164F" w:rsidP="00C561A9">
            <w:pPr>
              <w:pStyle w:val="-7"/>
              <w:spacing w:line="240" w:lineRule="auto"/>
              <w:jc w:val="left"/>
              <w:rPr>
                <w:rtl/>
              </w:rPr>
            </w:pPr>
            <w:r w:rsidRPr="00F82CF8">
              <w:rPr>
                <w:rFonts w:hint="cs"/>
                <w:rtl/>
              </w:rPr>
              <w:t xml:space="preserve"> 0</w:t>
            </w:r>
          </w:p>
        </w:tc>
        <w:tc>
          <w:tcPr>
            <w:tcW w:w="1078" w:type="dxa"/>
            <w:gridSpan w:val="2"/>
            <w:vAlign w:val="bottom"/>
          </w:tcPr>
          <w:p w14:paraId="401F83B1" w14:textId="77777777" w:rsidR="007F164F" w:rsidRPr="00F82CF8" w:rsidRDefault="007F164F" w:rsidP="00C561A9">
            <w:pPr>
              <w:pStyle w:val="-7"/>
              <w:spacing w:line="240" w:lineRule="auto"/>
              <w:jc w:val="left"/>
              <w:rPr>
                <w:rtl/>
              </w:rPr>
            </w:pPr>
            <w:r w:rsidRPr="00F82CF8">
              <w:rPr>
                <w:rFonts w:hint="cs"/>
                <w:rtl/>
              </w:rPr>
              <w:t xml:space="preserve"> 0</w:t>
            </w:r>
          </w:p>
        </w:tc>
        <w:tc>
          <w:tcPr>
            <w:tcW w:w="1078" w:type="dxa"/>
            <w:gridSpan w:val="2"/>
            <w:vAlign w:val="bottom"/>
          </w:tcPr>
          <w:p w14:paraId="140BE4A3" w14:textId="77777777" w:rsidR="007F164F" w:rsidRPr="00F82CF8" w:rsidRDefault="007F164F" w:rsidP="00C561A9">
            <w:pPr>
              <w:pStyle w:val="-7"/>
              <w:spacing w:line="240" w:lineRule="auto"/>
              <w:jc w:val="left"/>
              <w:rPr>
                <w:rtl/>
              </w:rPr>
            </w:pPr>
            <w:r w:rsidRPr="00F82CF8">
              <w:rPr>
                <w:rFonts w:hint="cs"/>
                <w:rtl/>
              </w:rPr>
              <w:t xml:space="preserve"> 0</w:t>
            </w:r>
          </w:p>
        </w:tc>
      </w:tr>
      <w:tr w:rsidR="007F164F" w:rsidRPr="00AC1A00" w14:paraId="67FF99BE" w14:textId="77777777" w:rsidTr="00CE19D7">
        <w:trPr>
          <w:gridAfter w:val="1"/>
          <w:wAfter w:w="14" w:type="dxa"/>
          <w:trHeight w:val="283"/>
        </w:trPr>
        <w:tc>
          <w:tcPr>
            <w:tcW w:w="1417" w:type="dxa"/>
          </w:tcPr>
          <w:p w14:paraId="1A9B0126" w14:textId="77777777" w:rsidR="007F164F" w:rsidRPr="00AC1A00" w:rsidRDefault="007F164F" w:rsidP="00C561A9">
            <w:pPr>
              <w:pStyle w:val="-7"/>
              <w:spacing w:line="240" w:lineRule="auto"/>
              <w:jc w:val="left"/>
              <w:rPr>
                <w:rtl/>
              </w:rPr>
            </w:pPr>
          </w:p>
        </w:tc>
        <w:tc>
          <w:tcPr>
            <w:tcW w:w="5326" w:type="dxa"/>
            <w:vAlign w:val="bottom"/>
          </w:tcPr>
          <w:p w14:paraId="3FD8C2F2" w14:textId="77777777" w:rsidR="007F164F" w:rsidRPr="00675677" w:rsidRDefault="007F164F" w:rsidP="00F737B4">
            <w:pPr>
              <w:pStyle w:val="-0"/>
              <w:tabs>
                <w:tab w:val="left" w:pos="686"/>
              </w:tabs>
              <w:spacing w:line="264" w:lineRule="auto"/>
              <w:ind w:left="846" w:hanging="392"/>
              <w:rPr>
                <w:sz w:val="19"/>
                <w:szCs w:val="19"/>
                <w:rtl/>
              </w:rPr>
            </w:pPr>
            <w:r w:rsidRPr="00675677">
              <w:rPr>
                <w:rFonts w:hint="cs"/>
                <w:sz w:val="19"/>
                <w:szCs w:val="19"/>
                <w:rtl/>
              </w:rPr>
              <w:t>סך התאמות בגין תכנית ההתייעלות - הון עצמי רובד 1</w:t>
            </w:r>
          </w:p>
        </w:tc>
        <w:tc>
          <w:tcPr>
            <w:tcW w:w="949" w:type="dxa"/>
            <w:vAlign w:val="bottom"/>
          </w:tcPr>
          <w:p w14:paraId="79BBA370" w14:textId="77777777" w:rsidR="007F164F" w:rsidRDefault="007F164F" w:rsidP="009B5079">
            <w:pPr>
              <w:pStyle w:val="-7"/>
              <w:spacing w:line="240" w:lineRule="auto"/>
              <w:jc w:val="left"/>
              <w:rPr>
                <w:rtl/>
              </w:rPr>
            </w:pPr>
            <w:r>
              <w:rPr>
                <w:rFonts w:hint="cs"/>
                <w:rtl/>
              </w:rPr>
              <w:t xml:space="preserve"> 0</w:t>
            </w:r>
          </w:p>
        </w:tc>
        <w:tc>
          <w:tcPr>
            <w:tcW w:w="1078" w:type="dxa"/>
            <w:gridSpan w:val="2"/>
            <w:vAlign w:val="bottom"/>
          </w:tcPr>
          <w:p w14:paraId="2E7A049D" w14:textId="77777777" w:rsidR="007F164F" w:rsidRDefault="007F164F" w:rsidP="009B5079">
            <w:pPr>
              <w:pStyle w:val="-7"/>
              <w:spacing w:line="240" w:lineRule="auto"/>
              <w:jc w:val="left"/>
              <w:rPr>
                <w:rtl/>
              </w:rPr>
            </w:pPr>
            <w:r>
              <w:rPr>
                <w:rFonts w:hint="cs"/>
                <w:rtl/>
              </w:rPr>
              <w:t xml:space="preserve"> 0</w:t>
            </w:r>
          </w:p>
        </w:tc>
        <w:tc>
          <w:tcPr>
            <w:tcW w:w="1078" w:type="dxa"/>
            <w:gridSpan w:val="2"/>
            <w:vAlign w:val="bottom"/>
          </w:tcPr>
          <w:p w14:paraId="1A0FB781" w14:textId="77777777" w:rsidR="007F164F" w:rsidRDefault="007F164F" w:rsidP="009B5079">
            <w:pPr>
              <w:pStyle w:val="-7"/>
              <w:spacing w:line="240" w:lineRule="auto"/>
              <w:jc w:val="left"/>
              <w:rPr>
                <w:rtl/>
              </w:rPr>
            </w:pPr>
            <w:r>
              <w:rPr>
                <w:rFonts w:hint="cs"/>
                <w:rtl/>
              </w:rPr>
              <w:t xml:space="preserve"> 0</w:t>
            </w:r>
          </w:p>
        </w:tc>
      </w:tr>
      <w:tr w:rsidR="007F164F" w:rsidRPr="00AC1A00" w14:paraId="025E2BE5" w14:textId="77777777" w:rsidTr="00CE19D7">
        <w:trPr>
          <w:gridAfter w:val="1"/>
          <w:wAfter w:w="14" w:type="dxa"/>
          <w:trHeight w:val="283"/>
        </w:trPr>
        <w:tc>
          <w:tcPr>
            <w:tcW w:w="1417" w:type="dxa"/>
          </w:tcPr>
          <w:p w14:paraId="6EFDF3C5" w14:textId="77777777" w:rsidR="007F164F" w:rsidRPr="00AC1A00" w:rsidRDefault="007F164F" w:rsidP="009B5079">
            <w:pPr>
              <w:pStyle w:val="-7"/>
              <w:spacing w:line="240" w:lineRule="auto"/>
              <w:jc w:val="left"/>
              <w:rPr>
                <w:rtl/>
              </w:rPr>
            </w:pPr>
          </w:p>
        </w:tc>
        <w:tc>
          <w:tcPr>
            <w:tcW w:w="5326" w:type="dxa"/>
            <w:vAlign w:val="bottom"/>
          </w:tcPr>
          <w:p w14:paraId="33BBC637" w14:textId="44AEA287" w:rsidR="007F164F" w:rsidRPr="00675677" w:rsidRDefault="007F164F" w:rsidP="00F737B4">
            <w:pPr>
              <w:pStyle w:val="-0"/>
              <w:tabs>
                <w:tab w:val="left" w:pos="686"/>
              </w:tabs>
              <w:spacing w:line="264" w:lineRule="auto"/>
              <w:ind w:left="846" w:hanging="392"/>
              <w:rPr>
                <w:sz w:val="19"/>
                <w:szCs w:val="19"/>
                <w:rtl/>
              </w:rPr>
            </w:pPr>
            <w:r w:rsidRPr="00675677">
              <w:rPr>
                <w:sz w:val="19"/>
                <w:szCs w:val="19"/>
                <w:rtl/>
              </w:rPr>
              <w:t>סך התאמות בגין הפסדי אשראי צפויים</w:t>
            </w:r>
            <w:r>
              <w:rPr>
                <w:rFonts w:hint="cs"/>
                <w:sz w:val="19"/>
                <w:szCs w:val="19"/>
                <w:rtl/>
              </w:rPr>
              <w:t xml:space="preserve"> </w:t>
            </w:r>
            <w:r w:rsidRPr="00675677">
              <w:rPr>
                <w:rFonts w:hint="cs"/>
                <w:sz w:val="19"/>
                <w:szCs w:val="19"/>
                <w:rtl/>
              </w:rPr>
              <w:t>-</w:t>
            </w:r>
            <w:r w:rsidRPr="00675677">
              <w:rPr>
                <w:sz w:val="19"/>
                <w:szCs w:val="19"/>
                <w:rtl/>
              </w:rPr>
              <w:t xml:space="preserve"> הון עצמי רובד 1</w:t>
            </w:r>
          </w:p>
        </w:tc>
        <w:tc>
          <w:tcPr>
            <w:tcW w:w="949" w:type="dxa"/>
            <w:vAlign w:val="bottom"/>
          </w:tcPr>
          <w:p w14:paraId="45AFF543" w14:textId="7C487729" w:rsidR="007F164F" w:rsidRDefault="007F164F" w:rsidP="009B5079">
            <w:pPr>
              <w:pStyle w:val="-7"/>
              <w:pBdr>
                <w:bottom w:val="single" w:sz="4" w:space="1" w:color="auto"/>
              </w:pBdr>
              <w:spacing w:line="240" w:lineRule="auto"/>
              <w:jc w:val="left"/>
              <w:rPr>
                <w:rtl/>
              </w:rPr>
            </w:pPr>
            <w:r>
              <w:rPr>
                <w:rFonts w:hint="cs"/>
                <w:rtl/>
              </w:rPr>
              <w:t xml:space="preserve"> 0</w:t>
            </w:r>
          </w:p>
        </w:tc>
        <w:tc>
          <w:tcPr>
            <w:tcW w:w="1078" w:type="dxa"/>
            <w:gridSpan w:val="2"/>
            <w:vAlign w:val="bottom"/>
          </w:tcPr>
          <w:p w14:paraId="0A60D78C" w14:textId="6FB796C6" w:rsidR="007F164F" w:rsidRDefault="007F164F" w:rsidP="009B5079">
            <w:pPr>
              <w:pStyle w:val="-7"/>
              <w:pBdr>
                <w:bottom w:val="single" w:sz="4" w:space="1" w:color="auto"/>
              </w:pBdr>
              <w:spacing w:line="240" w:lineRule="auto"/>
              <w:jc w:val="left"/>
              <w:rPr>
                <w:rtl/>
              </w:rPr>
            </w:pPr>
            <w:r>
              <w:rPr>
                <w:rFonts w:hint="cs"/>
                <w:rtl/>
              </w:rPr>
              <w:t xml:space="preserve"> 0</w:t>
            </w:r>
          </w:p>
        </w:tc>
        <w:tc>
          <w:tcPr>
            <w:tcW w:w="1078" w:type="dxa"/>
            <w:gridSpan w:val="2"/>
            <w:vAlign w:val="bottom"/>
          </w:tcPr>
          <w:p w14:paraId="4039BEEC" w14:textId="4EF4B2D6" w:rsidR="007F164F" w:rsidRDefault="007F164F" w:rsidP="009B5079">
            <w:pPr>
              <w:pStyle w:val="-7"/>
              <w:pBdr>
                <w:bottom w:val="single" w:sz="4" w:space="1" w:color="auto"/>
              </w:pBdr>
              <w:spacing w:line="240" w:lineRule="auto"/>
              <w:jc w:val="left"/>
              <w:rPr>
                <w:rtl/>
              </w:rPr>
            </w:pPr>
            <w:r>
              <w:rPr>
                <w:rFonts w:hint="cs"/>
                <w:rtl/>
              </w:rPr>
              <w:t xml:space="preserve"> 0</w:t>
            </w:r>
          </w:p>
        </w:tc>
      </w:tr>
      <w:tr w:rsidR="007F164F" w:rsidRPr="00AC1A00" w14:paraId="013CC48E" w14:textId="77777777" w:rsidTr="00CE19D7">
        <w:trPr>
          <w:gridAfter w:val="1"/>
          <w:wAfter w:w="14" w:type="dxa"/>
          <w:trHeight w:val="259"/>
        </w:trPr>
        <w:tc>
          <w:tcPr>
            <w:tcW w:w="1417" w:type="dxa"/>
          </w:tcPr>
          <w:p w14:paraId="53B9EB9C" w14:textId="77777777" w:rsidR="007F164F" w:rsidRPr="00AC1A00" w:rsidRDefault="007F164F" w:rsidP="00C561A9">
            <w:pPr>
              <w:pStyle w:val="-7"/>
              <w:spacing w:line="240" w:lineRule="auto"/>
              <w:jc w:val="left"/>
              <w:rPr>
                <w:rtl/>
              </w:rPr>
            </w:pPr>
          </w:p>
        </w:tc>
        <w:tc>
          <w:tcPr>
            <w:tcW w:w="5326" w:type="dxa"/>
            <w:vAlign w:val="bottom"/>
          </w:tcPr>
          <w:p w14:paraId="2B9D70EE" w14:textId="16464004" w:rsidR="007F164F" w:rsidRPr="00F737B4" w:rsidRDefault="004D3BB9" w:rsidP="004D3BB9">
            <w:pPr>
              <w:pStyle w:val="-0"/>
              <w:tabs>
                <w:tab w:val="left" w:pos="716"/>
              </w:tabs>
              <w:spacing w:line="240" w:lineRule="auto"/>
              <w:ind w:left="432" w:hanging="31"/>
              <w:rPr>
                <w:b/>
                <w:bCs/>
                <w:sz w:val="18"/>
                <w:szCs w:val="18"/>
                <w:rtl/>
              </w:rPr>
            </w:pPr>
            <w:r>
              <w:rPr>
                <w:rFonts w:hint="cs"/>
                <w:b/>
                <w:bCs/>
                <w:sz w:val="18"/>
                <w:szCs w:val="18"/>
                <w:rtl/>
              </w:rPr>
              <w:t xml:space="preserve"> </w:t>
            </w:r>
            <w:r w:rsidR="007F164F" w:rsidRPr="00F737B4">
              <w:rPr>
                <w:rFonts w:hint="eastAsia"/>
                <w:b/>
                <w:bCs/>
                <w:sz w:val="18"/>
                <w:szCs w:val="18"/>
                <w:rtl/>
              </w:rPr>
              <w:t>סך</w:t>
            </w:r>
            <w:r w:rsidR="007F164F" w:rsidRPr="00F737B4">
              <w:rPr>
                <w:b/>
                <w:bCs/>
                <w:sz w:val="18"/>
                <w:szCs w:val="18"/>
                <w:rtl/>
              </w:rPr>
              <w:t xml:space="preserve"> </w:t>
            </w:r>
            <w:r w:rsidR="007F164F" w:rsidRPr="00F737B4">
              <w:rPr>
                <w:rFonts w:hint="eastAsia"/>
                <w:b/>
                <w:bCs/>
                <w:sz w:val="18"/>
                <w:szCs w:val="18"/>
                <w:rtl/>
              </w:rPr>
              <w:t>הכל</w:t>
            </w:r>
            <w:r w:rsidR="007F164F" w:rsidRPr="00F737B4">
              <w:rPr>
                <w:b/>
                <w:bCs/>
                <w:sz w:val="18"/>
                <w:szCs w:val="18"/>
                <w:rtl/>
              </w:rPr>
              <w:t xml:space="preserve"> </w:t>
            </w:r>
            <w:r w:rsidR="007F164F" w:rsidRPr="00F737B4">
              <w:rPr>
                <w:rFonts w:hint="eastAsia"/>
                <w:b/>
                <w:bCs/>
                <w:sz w:val="18"/>
                <w:szCs w:val="18"/>
                <w:rtl/>
              </w:rPr>
              <w:t>הון</w:t>
            </w:r>
            <w:r w:rsidR="007F164F" w:rsidRPr="00F737B4">
              <w:rPr>
                <w:b/>
                <w:bCs/>
                <w:sz w:val="18"/>
                <w:szCs w:val="18"/>
                <w:rtl/>
              </w:rPr>
              <w:t xml:space="preserve"> </w:t>
            </w:r>
            <w:r w:rsidR="007F164F" w:rsidRPr="00F737B4">
              <w:rPr>
                <w:rFonts w:hint="cs"/>
                <w:b/>
                <w:bCs/>
                <w:sz w:val="18"/>
                <w:szCs w:val="18"/>
                <w:rtl/>
              </w:rPr>
              <w:t xml:space="preserve">עצמי </w:t>
            </w:r>
            <w:r w:rsidR="007F164F" w:rsidRPr="00F737B4">
              <w:rPr>
                <w:rFonts w:hint="eastAsia"/>
                <w:b/>
                <w:bCs/>
                <w:sz w:val="18"/>
                <w:szCs w:val="18"/>
                <w:rtl/>
              </w:rPr>
              <w:t>רובד</w:t>
            </w:r>
            <w:r w:rsidR="007F164F" w:rsidRPr="00F737B4">
              <w:rPr>
                <w:b/>
                <w:bCs/>
                <w:sz w:val="18"/>
                <w:szCs w:val="18"/>
                <w:rtl/>
              </w:rPr>
              <w:t xml:space="preserve"> 1, </w:t>
            </w:r>
            <w:r w:rsidR="007F164F" w:rsidRPr="00F737B4">
              <w:rPr>
                <w:rFonts w:hint="eastAsia"/>
                <w:b/>
                <w:bCs/>
                <w:sz w:val="18"/>
                <w:szCs w:val="18"/>
                <w:rtl/>
              </w:rPr>
              <w:t>לאחר</w:t>
            </w:r>
            <w:r w:rsidR="007F164F" w:rsidRPr="00F737B4">
              <w:rPr>
                <w:b/>
                <w:bCs/>
                <w:sz w:val="18"/>
                <w:szCs w:val="18"/>
                <w:rtl/>
              </w:rPr>
              <w:t xml:space="preserve"> </w:t>
            </w:r>
            <w:r w:rsidR="007F164F" w:rsidRPr="00F737B4">
              <w:rPr>
                <w:rFonts w:hint="eastAsia"/>
                <w:b/>
                <w:bCs/>
                <w:sz w:val="18"/>
                <w:szCs w:val="18"/>
                <w:rtl/>
              </w:rPr>
              <w:t>התאמות</w:t>
            </w:r>
            <w:r w:rsidR="007F164F" w:rsidRPr="00F737B4">
              <w:rPr>
                <w:b/>
                <w:bCs/>
                <w:sz w:val="18"/>
                <w:szCs w:val="18"/>
                <w:rtl/>
              </w:rPr>
              <w:t xml:space="preserve"> </w:t>
            </w:r>
            <w:r w:rsidR="007F164F" w:rsidRPr="00F737B4">
              <w:rPr>
                <w:rFonts w:hint="eastAsia"/>
                <w:b/>
                <w:bCs/>
                <w:sz w:val="18"/>
                <w:szCs w:val="18"/>
                <w:rtl/>
              </w:rPr>
              <w:t>פיקוחיות</w:t>
            </w:r>
            <w:r w:rsidR="007F164F" w:rsidRPr="00F737B4">
              <w:rPr>
                <w:b/>
                <w:bCs/>
                <w:sz w:val="18"/>
                <w:szCs w:val="18"/>
                <w:rtl/>
              </w:rPr>
              <w:t xml:space="preserve"> </w:t>
            </w:r>
            <w:r w:rsidR="007F164F" w:rsidRPr="00F737B4">
              <w:rPr>
                <w:rFonts w:hint="eastAsia"/>
                <w:b/>
                <w:bCs/>
                <w:sz w:val="18"/>
                <w:szCs w:val="18"/>
                <w:rtl/>
              </w:rPr>
              <w:t>וניכויים</w:t>
            </w:r>
          </w:p>
        </w:tc>
        <w:tc>
          <w:tcPr>
            <w:tcW w:w="949" w:type="dxa"/>
            <w:vAlign w:val="bottom"/>
          </w:tcPr>
          <w:p w14:paraId="5202150E" w14:textId="77777777" w:rsidR="007F164F" w:rsidRPr="00AC1A00" w:rsidRDefault="007F164F" w:rsidP="00C561A9">
            <w:pPr>
              <w:pStyle w:val="-f1"/>
              <w:pBdr>
                <w:top w:val="none" w:sz="0" w:space="0" w:color="auto"/>
                <w:bottom w:val="double" w:sz="4" w:space="1" w:color="auto"/>
              </w:pBdr>
              <w:spacing w:line="240" w:lineRule="auto"/>
              <w:rPr>
                <w:b w:val="0"/>
                <w:bCs w:val="0"/>
                <w:rtl/>
              </w:rPr>
            </w:pPr>
            <w:r w:rsidRPr="00AC1A00">
              <w:rPr>
                <w:rtl/>
              </w:rPr>
              <w:t xml:space="preserve"> 0</w:t>
            </w:r>
          </w:p>
        </w:tc>
        <w:tc>
          <w:tcPr>
            <w:tcW w:w="1078" w:type="dxa"/>
            <w:gridSpan w:val="2"/>
            <w:vAlign w:val="bottom"/>
          </w:tcPr>
          <w:p w14:paraId="34EE9593" w14:textId="77777777" w:rsidR="007F164F" w:rsidRPr="00AC1A00" w:rsidRDefault="007F164F" w:rsidP="00C561A9">
            <w:pPr>
              <w:pStyle w:val="-f1"/>
              <w:pBdr>
                <w:top w:val="none" w:sz="0" w:space="0" w:color="auto"/>
                <w:bottom w:val="double" w:sz="4" w:space="1" w:color="auto"/>
              </w:pBdr>
              <w:spacing w:line="240" w:lineRule="auto"/>
              <w:rPr>
                <w:b w:val="0"/>
                <w:bCs w:val="0"/>
                <w:rtl/>
              </w:rPr>
            </w:pPr>
            <w:r w:rsidRPr="00AC1A00">
              <w:rPr>
                <w:rtl/>
              </w:rPr>
              <w:t xml:space="preserve"> 0</w:t>
            </w:r>
          </w:p>
        </w:tc>
        <w:tc>
          <w:tcPr>
            <w:tcW w:w="1078" w:type="dxa"/>
            <w:gridSpan w:val="2"/>
            <w:vAlign w:val="bottom"/>
          </w:tcPr>
          <w:p w14:paraId="3FECF9ED" w14:textId="77777777" w:rsidR="007F164F" w:rsidRPr="00AC1A00" w:rsidRDefault="007F164F" w:rsidP="00C561A9">
            <w:pPr>
              <w:pStyle w:val="-f1"/>
              <w:pBdr>
                <w:top w:val="none" w:sz="0" w:space="0" w:color="auto"/>
                <w:bottom w:val="double" w:sz="4" w:space="1" w:color="auto"/>
              </w:pBdr>
              <w:spacing w:line="240" w:lineRule="auto"/>
              <w:rPr>
                <w:rtl/>
              </w:rPr>
            </w:pPr>
            <w:r w:rsidRPr="00AC1A00">
              <w:rPr>
                <w:rtl/>
              </w:rPr>
              <w:t xml:space="preserve"> 0</w:t>
            </w:r>
          </w:p>
        </w:tc>
      </w:tr>
      <w:tr w:rsidR="007F164F" w:rsidRPr="00AC1A00" w14:paraId="4EB66CEF" w14:textId="77777777" w:rsidTr="00CE19D7">
        <w:trPr>
          <w:gridAfter w:val="1"/>
          <w:wAfter w:w="14" w:type="dxa"/>
          <w:trHeight w:val="66"/>
        </w:trPr>
        <w:tc>
          <w:tcPr>
            <w:tcW w:w="1417" w:type="dxa"/>
          </w:tcPr>
          <w:p w14:paraId="134D2BB1" w14:textId="77777777" w:rsidR="007F164F" w:rsidRPr="00AC1A00" w:rsidRDefault="007F164F" w:rsidP="00C561A9">
            <w:pPr>
              <w:pStyle w:val="-7"/>
              <w:bidi w:val="0"/>
              <w:spacing w:line="60" w:lineRule="exact"/>
              <w:rPr>
                <w:sz w:val="10"/>
                <w:szCs w:val="10"/>
                <w:rtl/>
              </w:rPr>
            </w:pPr>
          </w:p>
        </w:tc>
        <w:tc>
          <w:tcPr>
            <w:tcW w:w="5326" w:type="dxa"/>
            <w:vAlign w:val="bottom"/>
          </w:tcPr>
          <w:p w14:paraId="03BCBEDD" w14:textId="77777777" w:rsidR="007F164F" w:rsidRPr="00AC1A00" w:rsidRDefault="007F164F" w:rsidP="00C561A9">
            <w:pPr>
              <w:pStyle w:val="-0"/>
              <w:bidi w:val="0"/>
              <w:spacing w:line="60" w:lineRule="exact"/>
              <w:jc w:val="both"/>
              <w:rPr>
                <w:sz w:val="10"/>
                <w:szCs w:val="10"/>
                <w:rtl/>
              </w:rPr>
            </w:pPr>
          </w:p>
        </w:tc>
        <w:tc>
          <w:tcPr>
            <w:tcW w:w="949" w:type="dxa"/>
          </w:tcPr>
          <w:p w14:paraId="7AF2C9EF" w14:textId="77777777" w:rsidR="007F164F" w:rsidRPr="00AC1A00" w:rsidRDefault="007F164F" w:rsidP="00C561A9">
            <w:pPr>
              <w:pStyle w:val="-12"/>
              <w:pBdr>
                <w:top w:val="none" w:sz="0" w:space="0" w:color="auto"/>
              </w:pBdr>
              <w:bidi w:val="0"/>
              <w:spacing w:line="60" w:lineRule="exact"/>
              <w:jc w:val="both"/>
              <w:rPr>
                <w:sz w:val="10"/>
                <w:szCs w:val="10"/>
                <w:rtl/>
              </w:rPr>
            </w:pPr>
          </w:p>
        </w:tc>
        <w:tc>
          <w:tcPr>
            <w:tcW w:w="1078" w:type="dxa"/>
            <w:gridSpan w:val="2"/>
          </w:tcPr>
          <w:p w14:paraId="4F39CD5F" w14:textId="77777777" w:rsidR="007F164F" w:rsidRPr="00AC1A00" w:rsidRDefault="007F164F" w:rsidP="00C561A9">
            <w:pPr>
              <w:pStyle w:val="-12"/>
              <w:pBdr>
                <w:top w:val="none" w:sz="0" w:space="0" w:color="auto"/>
              </w:pBdr>
              <w:bidi w:val="0"/>
              <w:spacing w:line="60" w:lineRule="exact"/>
              <w:jc w:val="both"/>
              <w:rPr>
                <w:sz w:val="10"/>
                <w:szCs w:val="10"/>
                <w:rtl/>
              </w:rPr>
            </w:pPr>
          </w:p>
        </w:tc>
        <w:tc>
          <w:tcPr>
            <w:tcW w:w="1078" w:type="dxa"/>
            <w:gridSpan w:val="2"/>
          </w:tcPr>
          <w:p w14:paraId="77889B30" w14:textId="77777777" w:rsidR="007F164F" w:rsidRPr="00AC1A00" w:rsidRDefault="007F164F" w:rsidP="00C561A9">
            <w:pPr>
              <w:pStyle w:val="-12"/>
              <w:pBdr>
                <w:top w:val="none" w:sz="0" w:space="0" w:color="auto"/>
              </w:pBdr>
              <w:bidi w:val="0"/>
              <w:spacing w:line="60" w:lineRule="exact"/>
              <w:jc w:val="both"/>
              <w:rPr>
                <w:sz w:val="10"/>
                <w:szCs w:val="10"/>
                <w:rtl/>
              </w:rPr>
            </w:pPr>
          </w:p>
        </w:tc>
      </w:tr>
      <w:tr w:rsidR="007F164F" w:rsidRPr="00AC1A00" w14:paraId="1980B03C" w14:textId="77777777" w:rsidTr="00CE19D7">
        <w:trPr>
          <w:trHeight w:val="283"/>
        </w:trPr>
        <w:tc>
          <w:tcPr>
            <w:tcW w:w="1417" w:type="dxa"/>
          </w:tcPr>
          <w:p w14:paraId="477DE743" w14:textId="77777777" w:rsidR="007F164F" w:rsidRPr="00AC1A00" w:rsidRDefault="007F164F" w:rsidP="00C561A9">
            <w:pPr>
              <w:pStyle w:val="-7"/>
              <w:spacing w:before="160"/>
              <w:jc w:val="left"/>
              <w:rPr>
                <w:rtl/>
              </w:rPr>
            </w:pPr>
          </w:p>
        </w:tc>
        <w:tc>
          <w:tcPr>
            <w:tcW w:w="5326" w:type="dxa"/>
            <w:vAlign w:val="bottom"/>
          </w:tcPr>
          <w:p w14:paraId="4803797A" w14:textId="77777777" w:rsidR="007F164F" w:rsidRPr="00F737B4" w:rsidRDefault="007F164F" w:rsidP="00F737B4">
            <w:pPr>
              <w:pStyle w:val="-0"/>
              <w:tabs>
                <w:tab w:val="left" w:pos="716"/>
              </w:tabs>
              <w:spacing w:line="240" w:lineRule="auto"/>
              <w:ind w:left="432" w:hanging="283"/>
              <w:rPr>
                <w:b/>
                <w:bCs/>
                <w:sz w:val="18"/>
                <w:szCs w:val="18"/>
                <w:rtl/>
              </w:rPr>
            </w:pPr>
            <w:r w:rsidRPr="00F737B4">
              <w:rPr>
                <w:rFonts w:hint="cs"/>
                <w:b/>
                <w:bCs/>
                <w:sz w:val="18"/>
                <w:szCs w:val="18"/>
                <w:rtl/>
              </w:rPr>
              <w:t>2)</w:t>
            </w:r>
            <w:r w:rsidRPr="00F737B4">
              <w:rPr>
                <w:b/>
                <w:bCs/>
                <w:sz w:val="18"/>
                <w:szCs w:val="18"/>
                <w:rtl/>
              </w:rPr>
              <w:t xml:space="preserve"> </w:t>
            </w:r>
            <w:r w:rsidRPr="00F737B4">
              <w:rPr>
                <w:b/>
                <w:bCs/>
                <w:sz w:val="18"/>
                <w:szCs w:val="18"/>
                <w:rtl/>
              </w:rPr>
              <w:tab/>
            </w:r>
            <w:r w:rsidRPr="00F737B4">
              <w:rPr>
                <w:rFonts w:hint="eastAsia"/>
                <w:b/>
                <w:bCs/>
                <w:sz w:val="18"/>
                <w:szCs w:val="18"/>
                <w:rtl/>
              </w:rPr>
              <w:t>הון</w:t>
            </w:r>
            <w:r w:rsidRPr="00F737B4">
              <w:rPr>
                <w:b/>
                <w:bCs/>
                <w:sz w:val="18"/>
                <w:szCs w:val="18"/>
                <w:rtl/>
              </w:rPr>
              <w:t xml:space="preserve"> </w:t>
            </w:r>
            <w:r w:rsidRPr="00F737B4">
              <w:rPr>
                <w:rFonts w:hint="eastAsia"/>
                <w:b/>
                <w:bCs/>
                <w:sz w:val="18"/>
                <w:szCs w:val="18"/>
                <w:rtl/>
              </w:rPr>
              <w:t>רובד</w:t>
            </w:r>
            <w:r w:rsidRPr="00F737B4">
              <w:rPr>
                <w:b/>
                <w:bCs/>
                <w:sz w:val="18"/>
                <w:szCs w:val="18"/>
                <w:rtl/>
              </w:rPr>
              <w:t xml:space="preserve"> 1 </w:t>
            </w:r>
            <w:r w:rsidRPr="00F737B4">
              <w:rPr>
                <w:rFonts w:hint="eastAsia"/>
                <w:b/>
                <w:bCs/>
                <w:sz w:val="18"/>
                <w:szCs w:val="18"/>
                <w:rtl/>
              </w:rPr>
              <w:t>נוסף</w:t>
            </w:r>
            <w:r w:rsidRPr="00F737B4">
              <w:rPr>
                <w:b/>
                <w:bCs/>
                <w:sz w:val="18"/>
                <w:szCs w:val="18"/>
                <w:rtl/>
              </w:rPr>
              <w:t>:</w:t>
            </w:r>
          </w:p>
        </w:tc>
        <w:tc>
          <w:tcPr>
            <w:tcW w:w="963" w:type="dxa"/>
            <w:gridSpan w:val="2"/>
            <w:vAlign w:val="bottom"/>
          </w:tcPr>
          <w:p w14:paraId="48580E8B" w14:textId="77777777" w:rsidR="007F164F" w:rsidRPr="00AC1A00" w:rsidRDefault="007F164F" w:rsidP="00C561A9">
            <w:pPr>
              <w:pStyle w:val="-7"/>
              <w:spacing w:before="160"/>
              <w:jc w:val="left"/>
              <w:rPr>
                <w:rtl/>
              </w:rPr>
            </w:pPr>
          </w:p>
        </w:tc>
        <w:tc>
          <w:tcPr>
            <w:tcW w:w="1078" w:type="dxa"/>
            <w:gridSpan w:val="2"/>
          </w:tcPr>
          <w:p w14:paraId="7532C070" w14:textId="77777777" w:rsidR="007F164F" w:rsidRPr="00AC1A00" w:rsidRDefault="007F164F" w:rsidP="00C561A9">
            <w:pPr>
              <w:pStyle w:val="-7"/>
              <w:spacing w:before="160"/>
              <w:jc w:val="left"/>
              <w:rPr>
                <w:rtl/>
              </w:rPr>
            </w:pPr>
          </w:p>
        </w:tc>
        <w:tc>
          <w:tcPr>
            <w:tcW w:w="1078" w:type="dxa"/>
            <w:gridSpan w:val="2"/>
            <w:vAlign w:val="bottom"/>
          </w:tcPr>
          <w:p w14:paraId="370D6FA4" w14:textId="77777777" w:rsidR="007F164F" w:rsidRPr="00AC1A00" w:rsidRDefault="007F164F" w:rsidP="00C561A9">
            <w:pPr>
              <w:pStyle w:val="-7"/>
              <w:spacing w:before="160"/>
              <w:jc w:val="left"/>
              <w:rPr>
                <w:rtl/>
              </w:rPr>
            </w:pPr>
          </w:p>
        </w:tc>
      </w:tr>
      <w:tr w:rsidR="007F164F" w:rsidRPr="00AC1A00" w14:paraId="36CACB09" w14:textId="77777777" w:rsidTr="00CE19D7">
        <w:trPr>
          <w:trHeight w:val="283"/>
        </w:trPr>
        <w:tc>
          <w:tcPr>
            <w:tcW w:w="1417" w:type="dxa"/>
          </w:tcPr>
          <w:p w14:paraId="78F5B679" w14:textId="77777777" w:rsidR="007F164F" w:rsidRPr="00AC1A00" w:rsidRDefault="007F164F" w:rsidP="00C561A9">
            <w:pPr>
              <w:pStyle w:val="-7"/>
              <w:spacing w:before="60"/>
              <w:jc w:val="left"/>
              <w:rPr>
                <w:rtl/>
              </w:rPr>
            </w:pPr>
          </w:p>
        </w:tc>
        <w:tc>
          <w:tcPr>
            <w:tcW w:w="5326" w:type="dxa"/>
            <w:vAlign w:val="bottom"/>
          </w:tcPr>
          <w:p w14:paraId="3FD1E9F8" w14:textId="220706A7" w:rsidR="007F164F" w:rsidRPr="00675677" w:rsidRDefault="007F164F" w:rsidP="00F737B4">
            <w:pPr>
              <w:pStyle w:val="-0"/>
              <w:tabs>
                <w:tab w:val="left" w:pos="686"/>
              </w:tabs>
              <w:spacing w:line="264" w:lineRule="auto"/>
              <w:ind w:left="846" w:hanging="392"/>
              <w:rPr>
                <w:b/>
                <w:bCs/>
                <w:sz w:val="19"/>
                <w:szCs w:val="19"/>
                <w:rtl/>
              </w:rPr>
            </w:pPr>
            <w:r w:rsidRPr="00675677">
              <w:rPr>
                <w:rFonts w:hint="eastAsia"/>
                <w:sz w:val="19"/>
                <w:szCs w:val="19"/>
                <w:rtl/>
              </w:rPr>
              <w:t>הון</w:t>
            </w:r>
            <w:r w:rsidRPr="00675677">
              <w:rPr>
                <w:sz w:val="19"/>
                <w:szCs w:val="19"/>
                <w:rtl/>
              </w:rPr>
              <w:t xml:space="preserve"> </w:t>
            </w:r>
            <w:r w:rsidRPr="00675677">
              <w:rPr>
                <w:rFonts w:hint="eastAsia"/>
                <w:sz w:val="19"/>
                <w:szCs w:val="19"/>
                <w:rtl/>
              </w:rPr>
              <w:t>רובד</w:t>
            </w:r>
            <w:r w:rsidRPr="00675677">
              <w:rPr>
                <w:sz w:val="19"/>
                <w:szCs w:val="19"/>
                <w:rtl/>
              </w:rPr>
              <w:t xml:space="preserve"> 1 </w:t>
            </w:r>
            <w:r w:rsidRPr="00675677">
              <w:rPr>
                <w:rFonts w:hint="eastAsia"/>
                <w:sz w:val="19"/>
                <w:szCs w:val="19"/>
                <w:rtl/>
              </w:rPr>
              <w:t>נוסף</w:t>
            </w:r>
            <w:r w:rsidRPr="00675677">
              <w:rPr>
                <w:rFonts w:hint="cs"/>
                <w:sz w:val="19"/>
                <w:szCs w:val="19"/>
                <w:rtl/>
              </w:rPr>
              <w:t>:</w:t>
            </w:r>
            <w:r w:rsidRPr="00675677">
              <w:rPr>
                <w:sz w:val="19"/>
                <w:szCs w:val="19"/>
                <w:rtl/>
              </w:rPr>
              <w:t xml:space="preserve"> </w:t>
            </w:r>
            <w:r w:rsidRPr="00675677">
              <w:rPr>
                <w:rFonts w:hint="eastAsia"/>
                <w:sz w:val="19"/>
                <w:szCs w:val="19"/>
                <w:rtl/>
              </w:rPr>
              <w:t>מכשירים</w:t>
            </w:r>
            <w:r w:rsidRPr="00675677">
              <w:rPr>
                <w:rFonts w:hint="cs"/>
                <w:sz w:val="19"/>
                <w:szCs w:val="19"/>
                <w:rtl/>
              </w:rPr>
              <w:t xml:space="preserve"> ועודפים, לפני ניכויים </w:t>
            </w:r>
            <w:r w:rsidRPr="00F737B4">
              <w:rPr>
                <w:rFonts w:hint="cs"/>
                <w:sz w:val="18"/>
                <w:szCs w:val="18"/>
                <w:rtl/>
              </w:rPr>
              <w:t>[פרט אם מהותי]</w:t>
            </w:r>
            <w:r w:rsidRPr="00675677">
              <w:rPr>
                <w:sz w:val="19"/>
                <w:szCs w:val="19"/>
                <w:vertAlign w:val="superscript"/>
                <w:rtl/>
              </w:rPr>
              <w:t xml:space="preserve"> </w:t>
            </w:r>
          </w:p>
        </w:tc>
        <w:tc>
          <w:tcPr>
            <w:tcW w:w="963" w:type="dxa"/>
            <w:gridSpan w:val="2"/>
            <w:vAlign w:val="bottom"/>
          </w:tcPr>
          <w:p w14:paraId="73099B38" w14:textId="77777777" w:rsidR="007F164F" w:rsidRPr="00AC1A00" w:rsidRDefault="007F164F" w:rsidP="00C561A9">
            <w:pPr>
              <w:pStyle w:val="-7"/>
              <w:spacing w:before="60"/>
              <w:jc w:val="left"/>
              <w:rPr>
                <w:b/>
                <w:bCs/>
                <w:rtl/>
              </w:rPr>
            </w:pPr>
            <w:r w:rsidRPr="00AC1A00">
              <w:rPr>
                <w:rtl/>
              </w:rPr>
              <w:t xml:space="preserve"> 0</w:t>
            </w:r>
          </w:p>
        </w:tc>
        <w:tc>
          <w:tcPr>
            <w:tcW w:w="1078" w:type="dxa"/>
            <w:gridSpan w:val="2"/>
            <w:vAlign w:val="bottom"/>
          </w:tcPr>
          <w:p w14:paraId="5294A229" w14:textId="77777777" w:rsidR="007F164F" w:rsidRPr="00AC1A00" w:rsidRDefault="007F164F" w:rsidP="00C561A9">
            <w:pPr>
              <w:pStyle w:val="-7"/>
              <w:spacing w:before="60"/>
              <w:jc w:val="left"/>
              <w:rPr>
                <w:rtl/>
              </w:rPr>
            </w:pPr>
            <w:r w:rsidRPr="00AC1A00">
              <w:rPr>
                <w:rtl/>
              </w:rPr>
              <w:t xml:space="preserve"> 0</w:t>
            </w:r>
          </w:p>
        </w:tc>
        <w:tc>
          <w:tcPr>
            <w:tcW w:w="1078" w:type="dxa"/>
            <w:gridSpan w:val="2"/>
            <w:vAlign w:val="bottom"/>
          </w:tcPr>
          <w:p w14:paraId="2B1DF19D" w14:textId="77777777" w:rsidR="007F164F" w:rsidRPr="00AC1A00" w:rsidRDefault="007F164F" w:rsidP="00C561A9">
            <w:pPr>
              <w:pStyle w:val="-7"/>
              <w:spacing w:before="60"/>
              <w:jc w:val="left"/>
              <w:rPr>
                <w:b/>
                <w:bCs/>
                <w:rtl/>
              </w:rPr>
            </w:pPr>
            <w:r w:rsidRPr="00AC1A00">
              <w:rPr>
                <w:rtl/>
              </w:rPr>
              <w:t xml:space="preserve"> 0</w:t>
            </w:r>
          </w:p>
        </w:tc>
      </w:tr>
      <w:tr w:rsidR="007F164F" w:rsidRPr="00AC1A00" w14:paraId="7084B789" w14:textId="77777777" w:rsidTr="00CE19D7">
        <w:trPr>
          <w:trHeight w:val="283"/>
        </w:trPr>
        <w:tc>
          <w:tcPr>
            <w:tcW w:w="1417" w:type="dxa"/>
          </w:tcPr>
          <w:p w14:paraId="1CDBD830" w14:textId="77777777" w:rsidR="007F164F" w:rsidRPr="00AC1A00" w:rsidRDefault="007F164F" w:rsidP="00C561A9">
            <w:pPr>
              <w:pStyle w:val="-7"/>
              <w:spacing w:line="240" w:lineRule="auto"/>
              <w:jc w:val="left"/>
              <w:rPr>
                <w:rtl/>
              </w:rPr>
            </w:pPr>
          </w:p>
        </w:tc>
        <w:tc>
          <w:tcPr>
            <w:tcW w:w="5326" w:type="dxa"/>
            <w:vAlign w:val="bottom"/>
          </w:tcPr>
          <w:p w14:paraId="03FD32B1" w14:textId="47532F03" w:rsidR="007F164F" w:rsidRPr="00675677" w:rsidRDefault="007F164F" w:rsidP="00F737B4">
            <w:pPr>
              <w:pStyle w:val="-0"/>
              <w:tabs>
                <w:tab w:val="left" w:pos="686"/>
              </w:tabs>
              <w:spacing w:line="264" w:lineRule="auto"/>
              <w:ind w:left="846" w:hanging="392"/>
              <w:rPr>
                <w:b/>
                <w:bCs/>
                <w:sz w:val="19"/>
                <w:szCs w:val="19"/>
                <w:rtl/>
              </w:rPr>
            </w:pPr>
            <w:r w:rsidRPr="00675677">
              <w:rPr>
                <w:rFonts w:hint="eastAsia"/>
                <w:sz w:val="19"/>
                <w:szCs w:val="19"/>
                <w:rtl/>
              </w:rPr>
              <w:t>סך</w:t>
            </w:r>
            <w:r w:rsidRPr="00675677">
              <w:rPr>
                <w:sz w:val="19"/>
                <w:szCs w:val="19"/>
                <w:rtl/>
              </w:rPr>
              <w:t xml:space="preserve"> </w:t>
            </w:r>
            <w:r w:rsidRPr="00675677">
              <w:rPr>
                <w:rFonts w:hint="eastAsia"/>
                <w:sz w:val="19"/>
                <w:szCs w:val="19"/>
                <w:rtl/>
              </w:rPr>
              <w:t>הכל</w:t>
            </w:r>
            <w:r w:rsidRPr="00675677">
              <w:rPr>
                <w:sz w:val="19"/>
                <w:szCs w:val="19"/>
                <w:rtl/>
              </w:rPr>
              <w:t xml:space="preserve"> ניכויים</w:t>
            </w:r>
            <w:r w:rsidRPr="00675677">
              <w:rPr>
                <w:rFonts w:hint="cs"/>
                <w:sz w:val="19"/>
                <w:szCs w:val="19"/>
                <w:rtl/>
              </w:rPr>
              <w:t xml:space="preserve"> </w:t>
            </w:r>
            <w:r w:rsidRPr="00675677">
              <w:rPr>
                <w:sz w:val="19"/>
                <w:szCs w:val="19"/>
                <w:rtl/>
              </w:rPr>
              <w:t xml:space="preserve">- הון רובד </w:t>
            </w:r>
            <w:r w:rsidRPr="00675677">
              <w:rPr>
                <w:rFonts w:hint="cs"/>
                <w:sz w:val="19"/>
                <w:szCs w:val="19"/>
                <w:rtl/>
              </w:rPr>
              <w:t xml:space="preserve">1 </w:t>
            </w:r>
            <w:r w:rsidRPr="00675677">
              <w:rPr>
                <w:sz w:val="19"/>
                <w:szCs w:val="19"/>
                <w:rtl/>
              </w:rPr>
              <w:t>נוסף</w:t>
            </w:r>
            <w:r w:rsidRPr="00675677">
              <w:rPr>
                <w:rFonts w:hint="cs"/>
                <w:sz w:val="19"/>
                <w:szCs w:val="19"/>
                <w:vertAlign w:val="superscript"/>
                <w:rtl/>
              </w:rPr>
              <w:t xml:space="preserve"> </w:t>
            </w:r>
            <w:r w:rsidRPr="00F737B4">
              <w:rPr>
                <w:rFonts w:hint="cs"/>
                <w:sz w:val="18"/>
                <w:szCs w:val="18"/>
                <w:rtl/>
              </w:rPr>
              <w:t>[פרט אם מהותי]</w:t>
            </w:r>
          </w:p>
        </w:tc>
        <w:tc>
          <w:tcPr>
            <w:tcW w:w="963" w:type="dxa"/>
            <w:gridSpan w:val="2"/>
            <w:vAlign w:val="bottom"/>
          </w:tcPr>
          <w:p w14:paraId="238E6FFE" w14:textId="77777777" w:rsidR="007F164F" w:rsidRPr="00AC1A00" w:rsidRDefault="007F164F" w:rsidP="00C561A9">
            <w:pPr>
              <w:pStyle w:val="-7"/>
              <w:pBdr>
                <w:bottom w:val="single" w:sz="4" w:space="1" w:color="auto"/>
              </w:pBdr>
              <w:spacing w:line="240" w:lineRule="auto"/>
              <w:jc w:val="left"/>
              <w:rPr>
                <w:b/>
                <w:bCs/>
                <w:rtl/>
              </w:rPr>
            </w:pPr>
            <w:r w:rsidRPr="00AC1A00">
              <w:rPr>
                <w:rtl/>
              </w:rPr>
              <w:t xml:space="preserve"> 0</w:t>
            </w:r>
          </w:p>
        </w:tc>
        <w:tc>
          <w:tcPr>
            <w:tcW w:w="1078" w:type="dxa"/>
            <w:gridSpan w:val="2"/>
            <w:vAlign w:val="bottom"/>
          </w:tcPr>
          <w:p w14:paraId="2A6B25E3" w14:textId="77777777" w:rsidR="007F164F" w:rsidRPr="00AC1A00" w:rsidRDefault="007F164F" w:rsidP="00C561A9">
            <w:pPr>
              <w:pStyle w:val="-7"/>
              <w:pBdr>
                <w:bottom w:val="single" w:sz="4" w:space="1" w:color="auto"/>
              </w:pBdr>
              <w:spacing w:line="240" w:lineRule="auto"/>
              <w:jc w:val="left"/>
              <w:rPr>
                <w:rtl/>
              </w:rPr>
            </w:pPr>
            <w:r w:rsidRPr="00AC1A00">
              <w:rPr>
                <w:rtl/>
              </w:rPr>
              <w:t xml:space="preserve"> 0</w:t>
            </w:r>
          </w:p>
        </w:tc>
        <w:tc>
          <w:tcPr>
            <w:tcW w:w="1078" w:type="dxa"/>
            <w:gridSpan w:val="2"/>
            <w:vAlign w:val="bottom"/>
          </w:tcPr>
          <w:p w14:paraId="6B993B4C" w14:textId="77777777" w:rsidR="007F164F" w:rsidRPr="00AC1A00" w:rsidRDefault="007F164F" w:rsidP="00C561A9">
            <w:pPr>
              <w:pStyle w:val="-7"/>
              <w:pBdr>
                <w:bottom w:val="single" w:sz="4" w:space="1" w:color="auto"/>
              </w:pBdr>
              <w:spacing w:line="240" w:lineRule="auto"/>
              <w:jc w:val="left"/>
              <w:rPr>
                <w:b/>
                <w:bCs/>
                <w:rtl/>
              </w:rPr>
            </w:pPr>
            <w:r w:rsidRPr="00AC1A00">
              <w:rPr>
                <w:rtl/>
              </w:rPr>
              <w:t xml:space="preserve"> 0</w:t>
            </w:r>
          </w:p>
        </w:tc>
      </w:tr>
      <w:tr w:rsidR="007F164F" w:rsidRPr="00AC1A00" w14:paraId="5314CB85" w14:textId="77777777" w:rsidTr="00CE19D7">
        <w:trPr>
          <w:trHeight w:val="283"/>
        </w:trPr>
        <w:tc>
          <w:tcPr>
            <w:tcW w:w="1417" w:type="dxa"/>
          </w:tcPr>
          <w:p w14:paraId="2E81F663" w14:textId="77777777" w:rsidR="007F164F" w:rsidRPr="00AC1A00" w:rsidRDefault="007F164F" w:rsidP="00C561A9">
            <w:pPr>
              <w:pStyle w:val="-7"/>
              <w:spacing w:line="240" w:lineRule="auto"/>
              <w:jc w:val="left"/>
              <w:rPr>
                <w:rtl/>
              </w:rPr>
            </w:pPr>
          </w:p>
        </w:tc>
        <w:tc>
          <w:tcPr>
            <w:tcW w:w="5326" w:type="dxa"/>
            <w:vAlign w:val="bottom"/>
          </w:tcPr>
          <w:p w14:paraId="0CAF199F" w14:textId="7B34383E" w:rsidR="007F164F" w:rsidRPr="00F737B4" w:rsidRDefault="004D3BB9" w:rsidP="00C3721D">
            <w:pPr>
              <w:pStyle w:val="-0"/>
              <w:tabs>
                <w:tab w:val="left" w:pos="686"/>
              </w:tabs>
              <w:spacing w:line="264" w:lineRule="auto"/>
              <w:ind w:left="794" w:hanging="391"/>
              <w:rPr>
                <w:b/>
                <w:bCs/>
                <w:sz w:val="18"/>
                <w:szCs w:val="18"/>
                <w:rtl/>
              </w:rPr>
            </w:pPr>
            <w:r>
              <w:rPr>
                <w:rFonts w:hint="cs"/>
                <w:b/>
                <w:bCs/>
                <w:sz w:val="18"/>
                <w:szCs w:val="18"/>
                <w:rtl/>
              </w:rPr>
              <w:t xml:space="preserve"> </w:t>
            </w:r>
            <w:r w:rsidR="007F164F" w:rsidRPr="00F737B4">
              <w:rPr>
                <w:rFonts w:hint="eastAsia"/>
                <w:b/>
                <w:bCs/>
                <w:sz w:val="18"/>
                <w:szCs w:val="18"/>
                <w:rtl/>
              </w:rPr>
              <w:t>סך</w:t>
            </w:r>
            <w:r w:rsidR="007F164F" w:rsidRPr="00F737B4">
              <w:rPr>
                <w:b/>
                <w:bCs/>
                <w:sz w:val="18"/>
                <w:szCs w:val="18"/>
                <w:rtl/>
              </w:rPr>
              <w:t xml:space="preserve"> </w:t>
            </w:r>
            <w:r w:rsidR="007F164F" w:rsidRPr="00F737B4">
              <w:rPr>
                <w:rFonts w:hint="eastAsia"/>
                <w:b/>
                <w:bCs/>
                <w:sz w:val="18"/>
                <w:szCs w:val="18"/>
                <w:rtl/>
              </w:rPr>
              <w:t>הכל</w:t>
            </w:r>
            <w:r w:rsidR="007F164F" w:rsidRPr="00F737B4">
              <w:rPr>
                <w:b/>
                <w:bCs/>
                <w:sz w:val="18"/>
                <w:szCs w:val="18"/>
                <w:rtl/>
              </w:rPr>
              <w:t xml:space="preserve"> הון רובד 1 נוסף, לאחר ניכויים</w:t>
            </w:r>
          </w:p>
        </w:tc>
        <w:tc>
          <w:tcPr>
            <w:tcW w:w="963" w:type="dxa"/>
            <w:gridSpan w:val="2"/>
            <w:vAlign w:val="bottom"/>
          </w:tcPr>
          <w:p w14:paraId="34769A4A" w14:textId="77777777" w:rsidR="007F164F" w:rsidRPr="00AC1A00" w:rsidRDefault="007F164F" w:rsidP="00C561A9">
            <w:pPr>
              <w:pStyle w:val="-7"/>
              <w:pBdr>
                <w:bottom w:val="double" w:sz="4" w:space="1" w:color="auto"/>
              </w:pBdr>
              <w:spacing w:line="240" w:lineRule="auto"/>
              <w:jc w:val="left"/>
              <w:rPr>
                <w:b/>
                <w:bCs/>
                <w:rtl/>
              </w:rPr>
            </w:pPr>
            <w:r w:rsidRPr="00AC1A00">
              <w:rPr>
                <w:b/>
                <w:bCs/>
                <w:rtl/>
              </w:rPr>
              <w:t xml:space="preserve"> 0</w:t>
            </w:r>
          </w:p>
        </w:tc>
        <w:tc>
          <w:tcPr>
            <w:tcW w:w="1078" w:type="dxa"/>
            <w:gridSpan w:val="2"/>
            <w:vAlign w:val="bottom"/>
          </w:tcPr>
          <w:p w14:paraId="4509E532" w14:textId="77777777" w:rsidR="007F164F" w:rsidRPr="00AC1A00" w:rsidRDefault="007F164F" w:rsidP="00C561A9">
            <w:pPr>
              <w:pStyle w:val="-7"/>
              <w:pBdr>
                <w:bottom w:val="double" w:sz="4" w:space="1" w:color="auto"/>
              </w:pBdr>
              <w:spacing w:line="240" w:lineRule="auto"/>
              <w:jc w:val="left"/>
              <w:rPr>
                <w:b/>
                <w:bCs/>
                <w:rtl/>
              </w:rPr>
            </w:pPr>
            <w:r w:rsidRPr="00AC1A00">
              <w:rPr>
                <w:b/>
                <w:bCs/>
                <w:rtl/>
              </w:rPr>
              <w:t xml:space="preserve"> 0</w:t>
            </w:r>
          </w:p>
        </w:tc>
        <w:tc>
          <w:tcPr>
            <w:tcW w:w="1078" w:type="dxa"/>
            <w:gridSpan w:val="2"/>
            <w:vAlign w:val="bottom"/>
          </w:tcPr>
          <w:p w14:paraId="27AA809D" w14:textId="77777777" w:rsidR="007F164F" w:rsidRPr="00AC1A00" w:rsidRDefault="007F164F" w:rsidP="00C561A9">
            <w:pPr>
              <w:pStyle w:val="-7"/>
              <w:pBdr>
                <w:bottom w:val="double" w:sz="4" w:space="1" w:color="auto"/>
              </w:pBdr>
              <w:spacing w:line="240" w:lineRule="auto"/>
              <w:jc w:val="left"/>
              <w:rPr>
                <w:b/>
                <w:bCs/>
                <w:rtl/>
              </w:rPr>
            </w:pPr>
            <w:r w:rsidRPr="00AC1A00">
              <w:rPr>
                <w:b/>
                <w:bCs/>
                <w:rtl/>
              </w:rPr>
              <w:t xml:space="preserve"> 0</w:t>
            </w:r>
          </w:p>
        </w:tc>
      </w:tr>
      <w:tr w:rsidR="007F164F" w:rsidRPr="00AC1A00" w14:paraId="3825107A" w14:textId="77777777" w:rsidTr="00CE19D7">
        <w:trPr>
          <w:trHeight w:val="20"/>
        </w:trPr>
        <w:tc>
          <w:tcPr>
            <w:tcW w:w="1417" w:type="dxa"/>
          </w:tcPr>
          <w:p w14:paraId="5FD087E7" w14:textId="77777777" w:rsidR="007F164F" w:rsidRPr="00AC1A00" w:rsidRDefault="007F164F" w:rsidP="00C561A9">
            <w:pPr>
              <w:pStyle w:val="-7"/>
              <w:bidi w:val="0"/>
              <w:spacing w:line="60" w:lineRule="exact"/>
              <w:rPr>
                <w:rtl/>
              </w:rPr>
            </w:pPr>
          </w:p>
        </w:tc>
        <w:tc>
          <w:tcPr>
            <w:tcW w:w="5326" w:type="dxa"/>
            <w:vAlign w:val="bottom"/>
          </w:tcPr>
          <w:p w14:paraId="71EF562F" w14:textId="77777777" w:rsidR="007F164F" w:rsidRPr="00AC1A00" w:rsidRDefault="007F164F" w:rsidP="00C561A9">
            <w:pPr>
              <w:pStyle w:val="-13"/>
              <w:tabs>
                <w:tab w:val="clear" w:pos="446"/>
              </w:tabs>
              <w:bidi w:val="0"/>
              <w:spacing w:before="20" w:line="60" w:lineRule="exact"/>
              <w:ind w:left="527" w:firstLine="0"/>
              <w:rPr>
                <w:rtl/>
              </w:rPr>
            </w:pPr>
          </w:p>
        </w:tc>
        <w:tc>
          <w:tcPr>
            <w:tcW w:w="963" w:type="dxa"/>
            <w:gridSpan w:val="2"/>
            <w:vAlign w:val="bottom"/>
          </w:tcPr>
          <w:p w14:paraId="05CA416A" w14:textId="77777777" w:rsidR="007F164F" w:rsidRPr="00AC1A00" w:rsidRDefault="007F164F" w:rsidP="00C561A9">
            <w:pPr>
              <w:pStyle w:val="-7"/>
              <w:bidi w:val="0"/>
              <w:spacing w:line="60" w:lineRule="exact"/>
              <w:rPr>
                <w:rtl/>
              </w:rPr>
            </w:pPr>
          </w:p>
        </w:tc>
        <w:tc>
          <w:tcPr>
            <w:tcW w:w="1078" w:type="dxa"/>
            <w:gridSpan w:val="2"/>
          </w:tcPr>
          <w:p w14:paraId="3B3C2832" w14:textId="77777777" w:rsidR="007F164F" w:rsidRPr="00AC1A00" w:rsidRDefault="007F164F" w:rsidP="00C561A9">
            <w:pPr>
              <w:pStyle w:val="-7"/>
              <w:bidi w:val="0"/>
              <w:spacing w:line="60" w:lineRule="exact"/>
              <w:rPr>
                <w:rtl/>
              </w:rPr>
            </w:pPr>
          </w:p>
        </w:tc>
        <w:tc>
          <w:tcPr>
            <w:tcW w:w="1078" w:type="dxa"/>
            <w:gridSpan w:val="2"/>
            <w:vAlign w:val="bottom"/>
          </w:tcPr>
          <w:p w14:paraId="0DDED1D8" w14:textId="77777777" w:rsidR="007F164F" w:rsidRPr="00AC1A00" w:rsidRDefault="007F164F" w:rsidP="00C561A9">
            <w:pPr>
              <w:pStyle w:val="-7"/>
              <w:bidi w:val="0"/>
              <w:spacing w:line="60" w:lineRule="exact"/>
              <w:rPr>
                <w:rtl/>
              </w:rPr>
            </w:pPr>
          </w:p>
        </w:tc>
      </w:tr>
      <w:tr w:rsidR="007F164F" w:rsidRPr="00AC1A00" w14:paraId="32E7D44F" w14:textId="77777777" w:rsidTr="00CE19D7">
        <w:trPr>
          <w:trHeight w:val="283"/>
        </w:trPr>
        <w:tc>
          <w:tcPr>
            <w:tcW w:w="1417" w:type="dxa"/>
          </w:tcPr>
          <w:p w14:paraId="00F5FD54" w14:textId="77777777" w:rsidR="007F164F" w:rsidRPr="00AC1A00" w:rsidRDefault="007F164F" w:rsidP="00C561A9">
            <w:pPr>
              <w:pStyle w:val="-7"/>
              <w:spacing w:before="160"/>
              <w:jc w:val="left"/>
              <w:rPr>
                <w:rtl/>
              </w:rPr>
            </w:pPr>
          </w:p>
        </w:tc>
        <w:tc>
          <w:tcPr>
            <w:tcW w:w="5326" w:type="dxa"/>
            <w:vAlign w:val="bottom"/>
          </w:tcPr>
          <w:p w14:paraId="534A95C6" w14:textId="60716011" w:rsidR="007F164F" w:rsidRPr="00F737B4" w:rsidRDefault="007F164F" w:rsidP="00F737B4">
            <w:pPr>
              <w:pStyle w:val="-0"/>
              <w:tabs>
                <w:tab w:val="left" w:pos="716"/>
              </w:tabs>
              <w:spacing w:line="240" w:lineRule="auto"/>
              <w:ind w:left="432" w:hanging="283"/>
              <w:rPr>
                <w:b/>
                <w:bCs/>
                <w:sz w:val="18"/>
                <w:szCs w:val="18"/>
                <w:rtl/>
              </w:rPr>
            </w:pPr>
            <w:r w:rsidRPr="00F737B4">
              <w:rPr>
                <w:rFonts w:hint="cs"/>
                <w:b/>
                <w:bCs/>
                <w:sz w:val="18"/>
                <w:szCs w:val="18"/>
                <w:rtl/>
              </w:rPr>
              <w:t>3)</w:t>
            </w:r>
            <w:r w:rsidRPr="00F737B4">
              <w:rPr>
                <w:b/>
                <w:bCs/>
                <w:sz w:val="18"/>
                <w:szCs w:val="18"/>
                <w:rtl/>
              </w:rPr>
              <w:tab/>
              <w:t>הון רובד 2</w:t>
            </w:r>
            <w:r w:rsidRPr="00F737B4">
              <w:rPr>
                <w:sz w:val="18"/>
                <w:szCs w:val="18"/>
                <w:rtl/>
              </w:rPr>
              <w:t>:</w:t>
            </w:r>
            <w:r w:rsidRPr="00F737B4">
              <w:rPr>
                <w:rFonts w:hint="cs"/>
                <w:sz w:val="18"/>
                <w:szCs w:val="18"/>
                <w:vertAlign w:val="superscript"/>
                <w:rtl/>
              </w:rPr>
              <w:t xml:space="preserve"> [</w:t>
            </w:r>
            <w:r w:rsidRPr="00F737B4">
              <w:rPr>
                <w:rStyle w:val="a7"/>
                <w:b/>
                <w:bCs/>
                <w:sz w:val="18"/>
                <w:szCs w:val="18"/>
                <w:rtl/>
              </w:rPr>
              <w:footnoteReference w:id="68"/>
            </w:r>
            <w:r w:rsidRPr="00F737B4">
              <w:rPr>
                <w:rFonts w:hint="cs"/>
                <w:sz w:val="18"/>
                <w:szCs w:val="18"/>
                <w:vertAlign w:val="superscript"/>
                <w:rtl/>
              </w:rPr>
              <w:t>]</w:t>
            </w:r>
          </w:p>
        </w:tc>
        <w:tc>
          <w:tcPr>
            <w:tcW w:w="949" w:type="dxa"/>
            <w:vAlign w:val="bottom"/>
          </w:tcPr>
          <w:p w14:paraId="6F60B826" w14:textId="77777777" w:rsidR="007F164F" w:rsidRPr="00AC1A00" w:rsidRDefault="007F164F" w:rsidP="00C561A9">
            <w:pPr>
              <w:pStyle w:val="-7"/>
              <w:spacing w:before="160"/>
              <w:jc w:val="left"/>
              <w:rPr>
                <w:rtl/>
              </w:rPr>
            </w:pPr>
          </w:p>
        </w:tc>
        <w:tc>
          <w:tcPr>
            <w:tcW w:w="1078" w:type="dxa"/>
            <w:gridSpan w:val="2"/>
          </w:tcPr>
          <w:p w14:paraId="6C85873B" w14:textId="77777777" w:rsidR="007F164F" w:rsidRPr="00AC1A00" w:rsidRDefault="007F164F" w:rsidP="00C561A9">
            <w:pPr>
              <w:pStyle w:val="-7"/>
              <w:spacing w:before="160"/>
              <w:jc w:val="left"/>
              <w:rPr>
                <w:rtl/>
              </w:rPr>
            </w:pPr>
          </w:p>
        </w:tc>
        <w:tc>
          <w:tcPr>
            <w:tcW w:w="1092" w:type="dxa"/>
            <w:gridSpan w:val="3"/>
            <w:vAlign w:val="bottom"/>
          </w:tcPr>
          <w:p w14:paraId="59A1E555" w14:textId="77777777" w:rsidR="007F164F" w:rsidRPr="00AC1A00" w:rsidRDefault="007F164F" w:rsidP="00C561A9">
            <w:pPr>
              <w:pStyle w:val="-7"/>
              <w:spacing w:before="160"/>
              <w:jc w:val="left"/>
              <w:rPr>
                <w:rtl/>
              </w:rPr>
            </w:pPr>
          </w:p>
        </w:tc>
      </w:tr>
      <w:tr w:rsidR="007F164F" w:rsidRPr="00AC1A00" w14:paraId="186300D5" w14:textId="77777777" w:rsidTr="00CE19D7">
        <w:trPr>
          <w:trHeight w:val="283"/>
        </w:trPr>
        <w:tc>
          <w:tcPr>
            <w:tcW w:w="1417" w:type="dxa"/>
          </w:tcPr>
          <w:p w14:paraId="02C899CB" w14:textId="77777777" w:rsidR="007F164F" w:rsidRPr="00AC1A00" w:rsidRDefault="007F164F" w:rsidP="00C561A9">
            <w:pPr>
              <w:pStyle w:val="-7"/>
              <w:spacing w:before="60"/>
              <w:jc w:val="left"/>
              <w:rPr>
                <w:rtl/>
              </w:rPr>
            </w:pPr>
          </w:p>
        </w:tc>
        <w:tc>
          <w:tcPr>
            <w:tcW w:w="5326" w:type="dxa"/>
            <w:vAlign w:val="bottom"/>
          </w:tcPr>
          <w:p w14:paraId="4F788443" w14:textId="77777777" w:rsidR="007F164F" w:rsidRPr="00675677" w:rsidRDefault="007F164F" w:rsidP="00F737B4">
            <w:pPr>
              <w:pStyle w:val="-0"/>
              <w:tabs>
                <w:tab w:val="left" w:pos="686"/>
              </w:tabs>
              <w:spacing w:line="264" w:lineRule="auto"/>
              <w:ind w:left="846" w:hanging="392"/>
              <w:rPr>
                <w:b/>
                <w:bCs/>
                <w:sz w:val="19"/>
                <w:szCs w:val="19"/>
                <w:rtl/>
              </w:rPr>
            </w:pPr>
            <w:r w:rsidRPr="00675677">
              <w:rPr>
                <w:sz w:val="19"/>
                <w:szCs w:val="19"/>
                <w:rtl/>
              </w:rPr>
              <w:t>הון רובד 2: מכשירים, לפני ניכויים</w:t>
            </w:r>
          </w:p>
        </w:tc>
        <w:tc>
          <w:tcPr>
            <w:tcW w:w="949" w:type="dxa"/>
            <w:vAlign w:val="bottom"/>
          </w:tcPr>
          <w:p w14:paraId="5D76D0E9" w14:textId="77777777" w:rsidR="007F164F" w:rsidRPr="00AC1A00" w:rsidRDefault="007F164F" w:rsidP="00C561A9">
            <w:pPr>
              <w:pStyle w:val="-7"/>
              <w:spacing w:before="60"/>
              <w:jc w:val="left"/>
              <w:rPr>
                <w:b/>
                <w:bCs/>
                <w:rtl/>
              </w:rPr>
            </w:pPr>
            <w:r w:rsidRPr="00AC1A00">
              <w:rPr>
                <w:rtl/>
              </w:rPr>
              <w:t xml:space="preserve"> 0</w:t>
            </w:r>
          </w:p>
        </w:tc>
        <w:tc>
          <w:tcPr>
            <w:tcW w:w="1078" w:type="dxa"/>
            <w:gridSpan w:val="2"/>
            <w:vAlign w:val="bottom"/>
          </w:tcPr>
          <w:p w14:paraId="32395AEE" w14:textId="77777777" w:rsidR="007F164F" w:rsidRPr="00AC1A00" w:rsidRDefault="007F164F" w:rsidP="00C561A9">
            <w:pPr>
              <w:pStyle w:val="-7"/>
              <w:spacing w:before="60"/>
              <w:jc w:val="left"/>
              <w:rPr>
                <w:rtl/>
              </w:rPr>
            </w:pPr>
            <w:r w:rsidRPr="00AC1A00">
              <w:rPr>
                <w:rtl/>
              </w:rPr>
              <w:t xml:space="preserve"> 0</w:t>
            </w:r>
          </w:p>
        </w:tc>
        <w:tc>
          <w:tcPr>
            <w:tcW w:w="1092" w:type="dxa"/>
            <w:gridSpan w:val="3"/>
            <w:vAlign w:val="bottom"/>
          </w:tcPr>
          <w:p w14:paraId="5D621F98" w14:textId="77777777" w:rsidR="007F164F" w:rsidRPr="00AC1A00" w:rsidRDefault="007F164F" w:rsidP="00C561A9">
            <w:pPr>
              <w:pStyle w:val="-7"/>
              <w:spacing w:before="60"/>
              <w:jc w:val="left"/>
              <w:rPr>
                <w:b/>
                <w:bCs/>
                <w:rtl/>
              </w:rPr>
            </w:pPr>
            <w:r w:rsidRPr="00AC1A00">
              <w:rPr>
                <w:rtl/>
              </w:rPr>
              <w:t xml:space="preserve"> 0</w:t>
            </w:r>
          </w:p>
        </w:tc>
      </w:tr>
      <w:tr w:rsidR="007F164F" w:rsidRPr="00AC1A00" w14:paraId="6470E62E" w14:textId="77777777" w:rsidTr="00CE19D7">
        <w:trPr>
          <w:trHeight w:val="283"/>
        </w:trPr>
        <w:tc>
          <w:tcPr>
            <w:tcW w:w="1417" w:type="dxa"/>
          </w:tcPr>
          <w:p w14:paraId="2923B376" w14:textId="77777777" w:rsidR="007F164F" w:rsidRPr="00AC1A00" w:rsidRDefault="007F164F" w:rsidP="00C561A9">
            <w:pPr>
              <w:pStyle w:val="-7"/>
              <w:spacing w:line="240" w:lineRule="auto"/>
              <w:jc w:val="left"/>
              <w:rPr>
                <w:rtl/>
              </w:rPr>
            </w:pPr>
          </w:p>
        </w:tc>
        <w:tc>
          <w:tcPr>
            <w:tcW w:w="5326" w:type="dxa"/>
            <w:vAlign w:val="bottom"/>
          </w:tcPr>
          <w:p w14:paraId="311CB5C2" w14:textId="77777777" w:rsidR="007F164F" w:rsidRPr="00F737B4" w:rsidRDefault="007F164F" w:rsidP="00F737B4">
            <w:pPr>
              <w:pStyle w:val="-0"/>
              <w:tabs>
                <w:tab w:val="left" w:pos="686"/>
              </w:tabs>
              <w:spacing w:line="264" w:lineRule="auto"/>
              <w:ind w:left="846" w:hanging="392"/>
              <w:rPr>
                <w:sz w:val="19"/>
                <w:szCs w:val="19"/>
                <w:rtl/>
              </w:rPr>
            </w:pPr>
            <w:r w:rsidRPr="00675677">
              <w:rPr>
                <w:sz w:val="19"/>
                <w:szCs w:val="19"/>
                <w:rtl/>
              </w:rPr>
              <w:t>הון רובד 2: הפרשות, לפני ניכויים</w:t>
            </w:r>
          </w:p>
        </w:tc>
        <w:tc>
          <w:tcPr>
            <w:tcW w:w="949" w:type="dxa"/>
            <w:vAlign w:val="bottom"/>
          </w:tcPr>
          <w:p w14:paraId="357595A4" w14:textId="77777777" w:rsidR="007F164F" w:rsidRPr="00AC1A00" w:rsidRDefault="007F164F" w:rsidP="00C561A9">
            <w:pPr>
              <w:pStyle w:val="-7"/>
              <w:pBdr>
                <w:bottom w:val="single" w:sz="4" w:space="1" w:color="auto"/>
              </w:pBdr>
              <w:spacing w:line="240" w:lineRule="auto"/>
              <w:jc w:val="left"/>
              <w:rPr>
                <w:b/>
                <w:bCs/>
                <w:rtl/>
              </w:rPr>
            </w:pPr>
            <w:r w:rsidRPr="00AC1A00">
              <w:rPr>
                <w:rtl/>
              </w:rPr>
              <w:t xml:space="preserve"> 0</w:t>
            </w:r>
          </w:p>
        </w:tc>
        <w:tc>
          <w:tcPr>
            <w:tcW w:w="1078" w:type="dxa"/>
            <w:gridSpan w:val="2"/>
            <w:vAlign w:val="bottom"/>
          </w:tcPr>
          <w:p w14:paraId="7AFA76F6" w14:textId="77777777" w:rsidR="007F164F" w:rsidRPr="00AC1A00" w:rsidRDefault="007F164F" w:rsidP="00C561A9">
            <w:pPr>
              <w:pStyle w:val="-7"/>
              <w:pBdr>
                <w:bottom w:val="single" w:sz="4" w:space="1" w:color="auto"/>
              </w:pBdr>
              <w:spacing w:line="240" w:lineRule="auto"/>
              <w:jc w:val="left"/>
              <w:rPr>
                <w:rtl/>
              </w:rPr>
            </w:pPr>
            <w:r w:rsidRPr="00AC1A00">
              <w:rPr>
                <w:rtl/>
              </w:rPr>
              <w:t xml:space="preserve"> 0</w:t>
            </w:r>
          </w:p>
        </w:tc>
        <w:tc>
          <w:tcPr>
            <w:tcW w:w="1092" w:type="dxa"/>
            <w:gridSpan w:val="3"/>
            <w:vAlign w:val="bottom"/>
          </w:tcPr>
          <w:p w14:paraId="75B2B905" w14:textId="77777777" w:rsidR="007F164F" w:rsidRPr="00AC1A00" w:rsidRDefault="007F164F" w:rsidP="00C561A9">
            <w:pPr>
              <w:pStyle w:val="-7"/>
              <w:pBdr>
                <w:bottom w:val="single" w:sz="4" w:space="1" w:color="auto"/>
              </w:pBdr>
              <w:spacing w:line="240" w:lineRule="auto"/>
              <w:jc w:val="left"/>
              <w:rPr>
                <w:b/>
                <w:bCs/>
                <w:rtl/>
              </w:rPr>
            </w:pPr>
            <w:r w:rsidRPr="00AC1A00">
              <w:rPr>
                <w:rtl/>
              </w:rPr>
              <w:t xml:space="preserve"> 0</w:t>
            </w:r>
          </w:p>
        </w:tc>
      </w:tr>
      <w:tr w:rsidR="007F164F" w:rsidRPr="00AC1A00" w14:paraId="2F45D333" w14:textId="77777777" w:rsidTr="00CE19D7">
        <w:trPr>
          <w:trHeight w:val="283"/>
        </w:trPr>
        <w:tc>
          <w:tcPr>
            <w:tcW w:w="1417" w:type="dxa"/>
          </w:tcPr>
          <w:p w14:paraId="5A3B6C2B" w14:textId="77777777" w:rsidR="007F164F" w:rsidRPr="00AC1A00" w:rsidRDefault="007F164F" w:rsidP="00C561A9">
            <w:pPr>
              <w:pStyle w:val="-7"/>
              <w:spacing w:line="240" w:lineRule="auto"/>
              <w:jc w:val="left"/>
              <w:rPr>
                <w:rtl/>
              </w:rPr>
            </w:pPr>
          </w:p>
        </w:tc>
        <w:tc>
          <w:tcPr>
            <w:tcW w:w="5326" w:type="dxa"/>
            <w:vAlign w:val="bottom"/>
          </w:tcPr>
          <w:p w14:paraId="1C2D4E71" w14:textId="77777777" w:rsidR="007F164F" w:rsidRPr="00F737B4" w:rsidRDefault="007F164F" w:rsidP="00F737B4">
            <w:pPr>
              <w:pStyle w:val="-0"/>
              <w:tabs>
                <w:tab w:val="left" w:pos="686"/>
              </w:tabs>
              <w:spacing w:line="264" w:lineRule="auto"/>
              <w:ind w:left="846" w:hanging="392"/>
              <w:rPr>
                <w:sz w:val="19"/>
                <w:szCs w:val="19"/>
                <w:rtl/>
              </w:rPr>
            </w:pPr>
            <w:r w:rsidRPr="00675677">
              <w:rPr>
                <w:sz w:val="19"/>
                <w:szCs w:val="19"/>
                <w:rtl/>
              </w:rPr>
              <w:t xml:space="preserve">סך </w:t>
            </w:r>
            <w:r w:rsidRPr="00675677">
              <w:rPr>
                <w:rFonts w:hint="cs"/>
                <w:sz w:val="19"/>
                <w:szCs w:val="19"/>
                <w:rtl/>
              </w:rPr>
              <w:t>הון</w:t>
            </w:r>
            <w:r w:rsidRPr="00675677">
              <w:rPr>
                <w:sz w:val="19"/>
                <w:szCs w:val="19"/>
                <w:rtl/>
              </w:rPr>
              <w:t xml:space="preserve"> רובד 2, לפני ניכויים</w:t>
            </w:r>
          </w:p>
        </w:tc>
        <w:tc>
          <w:tcPr>
            <w:tcW w:w="949" w:type="dxa"/>
            <w:vAlign w:val="bottom"/>
          </w:tcPr>
          <w:p w14:paraId="112717ED" w14:textId="77777777" w:rsidR="007F164F" w:rsidRPr="00AC1A00" w:rsidRDefault="007F164F" w:rsidP="00C561A9">
            <w:pPr>
              <w:pStyle w:val="-7"/>
              <w:spacing w:line="240" w:lineRule="auto"/>
              <w:jc w:val="left"/>
              <w:rPr>
                <w:b/>
                <w:bCs/>
                <w:rtl/>
              </w:rPr>
            </w:pPr>
            <w:r w:rsidRPr="00AC1A00">
              <w:rPr>
                <w:rtl/>
              </w:rPr>
              <w:t xml:space="preserve"> 0</w:t>
            </w:r>
          </w:p>
        </w:tc>
        <w:tc>
          <w:tcPr>
            <w:tcW w:w="1078" w:type="dxa"/>
            <w:gridSpan w:val="2"/>
            <w:vAlign w:val="bottom"/>
          </w:tcPr>
          <w:p w14:paraId="23CD8E88" w14:textId="77777777" w:rsidR="007F164F" w:rsidRPr="00AC1A00" w:rsidRDefault="007F164F" w:rsidP="00C561A9">
            <w:pPr>
              <w:pStyle w:val="-7"/>
              <w:spacing w:line="240" w:lineRule="auto"/>
              <w:jc w:val="left"/>
              <w:rPr>
                <w:rtl/>
              </w:rPr>
            </w:pPr>
            <w:r w:rsidRPr="00AC1A00">
              <w:rPr>
                <w:rtl/>
              </w:rPr>
              <w:t xml:space="preserve"> 0</w:t>
            </w:r>
          </w:p>
        </w:tc>
        <w:tc>
          <w:tcPr>
            <w:tcW w:w="1092" w:type="dxa"/>
            <w:gridSpan w:val="3"/>
            <w:vAlign w:val="bottom"/>
          </w:tcPr>
          <w:p w14:paraId="1FE1AA0F" w14:textId="77777777" w:rsidR="007F164F" w:rsidRPr="00AC1A00" w:rsidRDefault="007F164F" w:rsidP="00C561A9">
            <w:pPr>
              <w:pStyle w:val="-7"/>
              <w:spacing w:line="240" w:lineRule="auto"/>
              <w:jc w:val="left"/>
              <w:rPr>
                <w:b/>
                <w:bCs/>
                <w:rtl/>
              </w:rPr>
            </w:pPr>
            <w:r w:rsidRPr="00AC1A00">
              <w:rPr>
                <w:rtl/>
              </w:rPr>
              <w:t xml:space="preserve"> 0</w:t>
            </w:r>
          </w:p>
        </w:tc>
      </w:tr>
      <w:tr w:rsidR="007F164F" w:rsidRPr="00AC1A00" w14:paraId="1DBA0CC9" w14:textId="77777777" w:rsidTr="00CE19D7">
        <w:trPr>
          <w:trHeight w:val="283"/>
        </w:trPr>
        <w:tc>
          <w:tcPr>
            <w:tcW w:w="1417" w:type="dxa"/>
          </w:tcPr>
          <w:p w14:paraId="24C40586" w14:textId="77777777" w:rsidR="007F164F" w:rsidRPr="00AC1A00" w:rsidRDefault="007F164F" w:rsidP="00C561A9">
            <w:pPr>
              <w:pStyle w:val="-7"/>
              <w:spacing w:line="240" w:lineRule="auto"/>
              <w:jc w:val="left"/>
              <w:rPr>
                <w:rtl/>
              </w:rPr>
            </w:pPr>
          </w:p>
        </w:tc>
        <w:tc>
          <w:tcPr>
            <w:tcW w:w="5326" w:type="dxa"/>
            <w:vAlign w:val="bottom"/>
          </w:tcPr>
          <w:p w14:paraId="27A87E26" w14:textId="77777777" w:rsidR="007F164F" w:rsidRPr="00F737B4" w:rsidRDefault="007F164F" w:rsidP="00F737B4">
            <w:pPr>
              <w:pStyle w:val="-0"/>
              <w:tabs>
                <w:tab w:val="left" w:pos="686"/>
              </w:tabs>
              <w:spacing w:line="264" w:lineRule="auto"/>
              <w:ind w:left="846" w:hanging="392"/>
              <w:rPr>
                <w:sz w:val="19"/>
                <w:szCs w:val="19"/>
                <w:u w:val="single"/>
                <w:rtl/>
              </w:rPr>
            </w:pPr>
            <w:r w:rsidRPr="00F737B4">
              <w:rPr>
                <w:rFonts w:hint="eastAsia"/>
                <w:sz w:val="19"/>
                <w:szCs w:val="19"/>
                <w:u w:val="single"/>
                <w:rtl/>
              </w:rPr>
              <w:t>ניכויים</w:t>
            </w:r>
            <w:r w:rsidRPr="00F737B4">
              <w:rPr>
                <w:sz w:val="19"/>
                <w:szCs w:val="19"/>
                <w:u w:val="single"/>
                <w:rtl/>
              </w:rPr>
              <w:t>:</w:t>
            </w:r>
          </w:p>
        </w:tc>
        <w:tc>
          <w:tcPr>
            <w:tcW w:w="949" w:type="dxa"/>
            <w:vAlign w:val="bottom"/>
          </w:tcPr>
          <w:p w14:paraId="05FC4044" w14:textId="77777777" w:rsidR="007F164F" w:rsidRPr="00AC1A00" w:rsidRDefault="007F164F" w:rsidP="00C561A9">
            <w:pPr>
              <w:pStyle w:val="-7"/>
              <w:spacing w:line="240" w:lineRule="auto"/>
              <w:jc w:val="left"/>
              <w:rPr>
                <w:b/>
                <w:bCs/>
                <w:rtl/>
              </w:rPr>
            </w:pPr>
            <w:r w:rsidRPr="00AC1A00">
              <w:rPr>
                <w:rtl/>
              </w:rPr>
              <w:t xml:space="preserve"> </w:t>
            </w:r>
          </w:p>
        </w:tc>
        <w:tc>
          <w:tcPr>
            <w:tcW w:w="1078" w:type="dxa"/>
            <w:gridSpan w:val="2"/>
            <w:vAlign w:val="bottom"/>
          </w:tcPr>
          <w:p w14:paraId="393A169E" w14:textId="77777777" w:rsidR="007F164F" w:rsidRPr="00AC1A00" w:rsidRDefault="007F164F" w:rsidP="00C561A9">
            <w:pPr>
              <w:pStyle w:val="-7"/>
              <w:spacing w:line="240" w:lineRule="auto"/>
              <w:jc w:val="left"/>
              <w:rPr>
                <w:rtl/>
              </w:rPr>
            </w:pPr>
            <w:r w:rsidRPr="00AC1A00">
              <w:rPr>
                <w:rtl/>
              </w:rPr>
              <w:t xml:space="preserve"> </w:t>
            </w:r>
          </w:p>
        </w:tc>
        <w:tc>
          <w:tcPr>
            <w:tcW w:w="1092" w:type="dxa"/>
            <w:gridSpan w:val="3"/>
            <w:vAlign w:val="bottom"/>
          </w:tcPr>
          <w:p w14:paraId="048281CB" w14:textId="77777777" w:rsidR="007F164F" w:rsidRPr="00AC1A00" w:rsidRDefault="007F164F" w:rsidP="00C561A9">
            <w:pPr>
              <w:pStyle w:val="-7"/>
              <w:spacing w:line="240" w:lineRule="auto"/>
              <w:jc w:val="left"/>
              <w:rPr>
                <w:b/>
                <w:bCs/>
                <w:rtl/>
              </w:rPr>
            </w:pPr>
            <w:r w:rsidRPr="00AC1A00">
              <w:rPr>
                <w:rtl/>
              </w:rPr>
              <w:t xml:space="preserve"> </w:t>
            </w:r>
          </w:p>
        </w:tc>
      </w:tr>
      <w:tr w:rsidR="007F164F" w:rsidRPr="00AC1A00" w14:paraId="3C5C0D4A" w14:textId="77777777" w:rsidTr="00CE19D7">
        <w:trPr>
          <w:trHeight w:val="259"/>
        </w:trPr>
        <w:tc>
          <w:tcPr>
            <w:tcW w:w="1417" w:type="dxa"/>
          </w:tcPr>
          <w:p w14:paraId="05892BCD" w14:textId="77777777" w:rsidR="007F164F" w:rsidRPr="00AC1A00" w:rsidRDefault="007F164F" w:rsidP="00C561A9">
            <w:pPr>
              <w:pStyle w:val="-7"/>
              <w:spacing w:line="240" w:lineRule="auto"/>
              <w:jc w:val="left"/>
              <w:rPr>
                <w:rtl/>
              </w:rPr>
            </w:pPr>
          </w:p>
        </w:tc>
        <w:tc>
          <w:tcPr>
            <w:tcW w:w="5326" w:type="dxa"/>
            <w:vAlign w:val="bottom"/>
          </w:tcPr>
          <w:p w14:paraId="1FB7ED87" w14:textId="77777777" w:rsidR="007F164F" w:rsidRPr="00675677" w:rsidRDefault="007F164F" w:rsidP="00F737B4">
            <w:pPr>
              <w:pStyle w:val="-0"/>
              <w:tabs>
                <w:tab w:val="left" w:pos="686"/>
              </w:tabs>
              <w:spacing w:line="264" w:lineRule="auto"/>
              <w:ind w:left="1078" w:hanging="392"/>
              <w:rPr>
                <w:b/>
                <w:bCs/>
                <w:sz w:val="19"/>
                <w:szCs w:val="19"/>
                <w:rtl/>
              </w:rPr>
            </w:pPr>
            <w:r w:rsidRPr="00675677">
              <w:rPr>
                <w:sz w:val="19"/>
                <w:szCs w:val="19"/>
                <w:rtl/>
              </w:rPr>
              <w:t xml:space="preserve">סך </w:t>
            </w:r>
            <w:r w:rsidRPr="00675677">
              <w:rPr>
                <w:rFonts w:hint="eastAsia"/>
                <w:sz w:val="19"/>
                <w:szCs w:val="19"/>
                <w:rtl/>
              </w:rPr>
              <w:t>הכל</w:t>
            </w:r>
            <w:r w:rsidRPr="00675677">
              <w:rPr>
                <w:sz w:val="19"/>
                <w:szCs w:val="19"/>
                <w:rtl/>
              </w:rPr>
              <w:t xml:space="preserve"> ניכויים </w:t>
            </w:r>
            <w:r w:rsidRPr="00675677">
              <w:rPr>
                <w:rFonts w:hint="cs"/>
                <w:sz w:val="19"/>
                <w:szCs w:val="19"/>
                <w:rtl/>
              </w:rPr>
              <w:t>-</w:t>
            </w:r>
            <w:r w:rsidRPr="00675677">
              <w:rPr>
                <w:sz w:val="19"/>
                <w:szCs w:val="19"/>
                <w:rtl/>
              </w:rPr>
              <w:t xml:space="preserve"> הון רובד 2</w:t>
            </w:r>
            <w:r w:rsidRPr="00675677">
              <w:rPr>
                <w:rFonts w:hint="cs"/>
                <w:sz w:val="19"/>
                <w:szCs w:val="19"/>
                <w:vertAlign w:val="superscript"/>
                <w:rtl/>
              </w:rPr>
              <w:t xml:space="preserve"> </w:t>
            </w:r>
            <w:r w:rsidRPr="00675677">
              <w:rPr>
                <w:rFonts w:hint="cs"/>
                <w:sz w:val="19"/>
                <w:szCs w:val="19"/>
                <w:rtl/>
              </w:rPr>
              <w:t>[פרט אם מהותי]</w:t>
            </w:r>
            <w:r w:rsidRPr="00675677" w:rsidDel="00507866">
              <w:rPr>
                <w:sz w:val="19"/>
                <w:szCs w:val="19"/>
                <w:vertAlign w:val="superscript"/>
                <w:rtl/>
              </w:rPr>
              <w:t xml:space="preserve"> </w:t>
            </w:r>
          </w:p>
        </w:tc>
        <w:tc>
          <w:tcPr>
            <w:tcW w:w="949" w:type="dxa"/>
            <w:vAlign w:val="bottom"/>
          </w:tcPr>
          <w:p w14:paraId="6E2014DA" w14:textId="77777777" w:rsidR="007F164F" w:rsidRPr="00AC1A00" w:rsidRDefault="007F164F" w:rsidP="00C561A9">
            <w:pPr>
              <w:pStyle w:val="-7"/>
              <w:pBdr>
                <w:bottom w:val="single" w:sz="4" w:space="1" w:color="auto"/>
              </w:pBdr>
              <w:spacing w:line="240" w:lineRule="auto"/>
              <w:jc w:val="left"/>
              <w:rPr>
                <w:b/>
                <w:bCs/>
                <w:rtl/>
              </w:rPr>
            </w:pPr>
            <w:r w:rsidRPr="00AC1A00">
              <w:rPr>
                <w:rtl/>
              </w:rPr>
              <w:t xml:space="preserve"> 0</w:t>
            </w:r>
          </w:p>
        </w:tc>
        <w:tc>
          <w:tcPr>
            <w:tcW w:w="1078" w:type="dxa"/>
            <w:gridSpan w:val="2"/>
            <w:vAlign w:val="bottom"/>
          </w:tcPr>
          <w:p w14:paraId="5FCCF3F7" w14:textId="77777777" w:rsidR="007F164F" w:rsidRPr="00AC1A00" w:rsidRDefault="007F164F" w:rsidP="00C561A9">
            <w:pPr>
              <w:pStyle w:val="-7"/>
              <w:pBdr>
                <w:bottom w:val="single" w:sz="4" w:space="1" w:color="auto"/>
              </w:pBdr>
              <w:spacing w:line="240" w:lineRule="auto"/>
              <w:jc w:val="left"/>
              <w:rPr>
                <w:rtl/>
              </w:rPr>
            </w:pPr>
            <w:r w:rsidRPr="00AC1A00">
              <w:rPr>
                <w:rtl/>
              </w:rPr>
              <w:t xml:space="preserve"> 0</w:t>
            </w:r>
          </w:p>
        </w:tc>
        <w:tc>
          <w:tcPr>
            <w:tcW w:w="1092" w:type="dxa"/>
            <w:gridSpan w:val="3"/>
            <w:vAlign w:val="bottom"/>
          </w:tcPr>
          <w:p w14:paraId="54B845D6" w14:textId="77777777" w:rsidR="007F164F" w:rsidRPr="00AC1A00" w:rsidRDefault="007F164F" w:rsidP="00C561A9">
            <w:pPr>
              <w:pStyle w:val="-7"/>
              <w:pBdr>
                <w:bottom w:val="single" w:sz="4" w:space="1" w:color="auto"/>
              </w:pBdr>
              <w:spacing w:line="240" w:lineRule="auto"/>
              <w:jc w:val="left"/>
              <w:rPr>
                <w:b/>
                <w:bCs/>
                <w:rtl/>
              </w:rPr>
            </w:pPr>
            <w:r w:rsidRPr="00AC1A00">
              <w:rPr>
                <w:rtl/>
              </w:rPr>
              <w:t xml:space="preserve"> 0</w:t>
            </w:r>
          </w:p>
        </w:tc>
      </w:tr>
      <w:tr w:rsidR="007F164F" w:rsidRPr="00AC1A00" w14:paraId="17225644" w14:textId="77777777" w:rsidTr="00CE19D7">
        <w:trPr>
          <w:trHeight w:val="259"/>
        </w:trPr>
        <w:tc>
          <w:tcPr>
            <w:tcW w:w="1417" w:type="dxa"/>
          </w:tcPr>
          <w:p w14:paraId="3276B4F6" w14:textId="77777777" w:rsidR="007F164F" w:rsidRPr="00AC1A00" w:rsidRDefault="007F164F" w:rsidP="00C561A9">
            <w:pPr>
              <w:pStyle w:val="-7"/>
              <w:spacing w:line="240" w:lineRule="auto"/>
              <w:jc w:val="left"/>
              <w:rPr>
                <w:rtl/>
              </w:rPr>
            </w:pPr>
          </w:p>
        </w:tc>
        <w:tc>
          <w:tcPr>
            <w:tcW w:w="5326" w:type="dxa"/>
            <w:vAlign w:val="bottom"/>
          </w:tcPr>
          <w:p w14:paraId="6B966FBA" w14:textId="77777777" w:rsidR="007F164F" w:rsidRPr="00F737B4" w:rsidRDefault="007F164F" w:rsidP="00F737B4">
            <w:pPr>
              <w:pStyle w:val="-0"/>
              <w:tabs>
                <w:tab w:val="left" w:pos="543"/>
              </w:tabs>
              <w:spacing w:line="264" w:lineRule="auto"/>
              <w:ind w:left="543" w:hanging="140"/>
              <w:rPr>
                <w:b/>
                <w:bCs/>
                <w:sz w:val="18"/>
                <w:szCs w:val="18"/>
                <w:rtl/>
              </w:rPr>
            </w:pPr>
            <w:r w:rsidRPr="00F737B4">
              <w:rPr>
                <w:b/>
                <w:bCs/>
                <w:sz w:val="18"/>
                <w:szCs w:val="18"/>
                <w:rtl/>
              </w:rPr>
              <w:t>סך הכל הון רובד 2</w:t>
            </w:r>
          </w:p>
        </w:tc>
        <w:tc>
          <w:tcPr>
            <w:tcW w:w="949" w:type="dxa"/>
            <w:vAlign w:val="bottom"/>
          </w:tcPr>
          <w:p w14:paraId="054912A2" w14:textId="77777777" w:rsidR="007F164F" w:rsidRPr="00AC1A00" w:rsidRDefault="007F164F" w:rsidP="00C561A9">
            <w:pPr>
              <w:pStyle w:val="-f1"/>
              <w:pBdr>
                <w:top w:val="none" w:sz="0" w:space="0" w:color="auto"/>
                <w:bottom w:val="double" w:sz="4" w:space="1" w:color="auto"/>
              </w:pBdr>
              <w:spacing w:line="240" w:lineRule="auto"/>
              <w:rPr>
                <w:b w:val="0"/>
                <w:bCs w:val="0"/>
                <w:rtl/>
              </w:rPr>
            </w:pPr>
            <w:r w:rsidRPr="00AC1A00">
              <w:rPr>
                <w:rtl/>
              </w:rPr>
              <w:t xml:space="preserve"> 0</w:t>
            </w:r>
          </w:p>
        </w:tc>
        <w:tc>
          <w:tcPr>
            <w:tcW w:w="1078" w:type="dxa"/>
            <w:gridSpan w:val="2"/>
            <w:vAlign w:val="bottom"/>
          </w:tcPr>
          <w:p w14:paraId="5F5C7F3B" w14:textId="77777777" w:rsidR="007F164F" w:rsidRPr="00AC1A00" w:rsidRDefault="007F164F" w:rsidP="00C561A9">
            <w:pPr>
              <w:pStyle w:val="-f1"/>
              <w:pBdr>
                <w:top w:val="none" w:sz="0" w:space="0" w:color="auto"/>
                <w:bottom w:val="double" w:sz="4" w:space="1" w:color="auto"/>
              </w:pBdr>
              <w:spacing w:line="240" w:lineRule="auto"/>
              <w:rPr>
                <w:rtl/>
              </w:rPr>
            </w:pPr>
            <w:r w:rsidRPr="00AC1A00">
              <w:rPr>
                <w:rtl/>
              </w:rPr>
              <w:t xml:space="preserve"> 0</w:t>
            </w:r>
          </w:p>
        </w:tc>
        <w:tc>
          <w:tcPr>
            <w:tcW w:w="1092" w:type="dxa"/>
            <w:gridSpan w:val="3"/>
            <w:vAlign w:val="bottom"/>
          </w:tcPr>
          <w:p w14:paraId="7A89E4FA" w14:textId="77777777" w:rsidR="007F164F" w:rsidRPr="00AC1A00" w:rsidRDefault="007F164F" w:rsidP="00C561A9">
            <w:pPr>
              <w:pStyle w:val="-f1"/>
              <w:pBdr>
                <w:top w:val="none" w:sz="0" w:space="0" w:color="auto"/>
                <w:bottom w:val="double" w:sz="4" w:space="1" w:color="auto"/>
              </w:pBdr>
              <w:spacing w:line="240" w:lineRule="auto"/>
              <w:rPr>
                <w:b w:val="0"/>
                <w:bCs w:val="0"/>
                <w:rtl/>
              </w:rPr>
            </w:pPr>
            <w:r w:rsidRPr="00AC1A00">
              <w:rPr>
                <w:rtl/>
              </w:rPr>
              <w:t xml:space="preserve"> 0</w:t>
            </w:r>
          </w:p>
        </w:tc>
      </w:tr>
      <w:tr w:rsidR="007F164F" w:rsidRPr="00AC1A00" w14:paraId="442B4185" w14:textId="77777777" w:rsidTr="00CE19D7">
        <w:tc>
          <w:tcPr>
            <w:tcW w:w="1417" w:type="dxa"/>
          </w:tcPr>
          <w:p w14:paraId="1B542388" w14:textId="77777777" w:rsidR="007F164F" w:rsidRPr="00AC1A00" w:rsidRDefault="007F164F" w:rsidP="00030C7C">
            <w:pPr>
              <w:pStyle w:val="-7"/>
              <w:bidi w:val="0"/>
              <w:spacing w:line="60" w:lineRule="exact"/>
              <w:rPr>
                <w:rtl/>
              </w:rPr>
            </w:pPr>
          </w:p>
        </w:tc>
        <w:tc>
          <w:tcPr>
            <w:tcW w:w="5326" w:type="dxa"/>
            <w:vAlign w:val="bottom"/>
          </w:tcPr>
          <w:p w14:paraId="0F64CB07" w14:textId="77777777" w:rsidR="007F164F" w:rsidRPr="00AC1A00" w:rsidRDefault="007F164F" w:rsidP="00030C7C">
            <w:pPr>
              <w:pStyle w:val="-b"/>
              <w:bidi w:val="0"/>
              <w:spacing w:line="60" w:lineRule="exact"/>
              <w:ind w:left="914" w:firstLine="0"/>
              <w:jc w:val="both"/>
              <w:rPr>
                <w:rtl/>
              </w:rPr>
            </w:pPr>
          </w:p>
        </w:tc>
        <w:tc>
          <w:tcPr>
            <w:tcW w:w="949" w:type="dxa"/>
            <w:vAlign w:val="bottom"/>
          </w:tcPr>
          <w:p w14:paraId="28CD7A26" w14:textId="77777777" w:rsidR="007F164F" w:rsidRPr="00AC1A00" w:rsidRDefault="007F164F" w:rsidP="00030C7C">
            <w:pPr>
              <w:pStyle w:val="-f1"/>
              <w:pBdr>
                <w:top w:val="none" w:sz="0" w:space="0" w:color="auto"/>
              </w:pBdr>
              <w:bidi w:val="0"/>
              <w:spacing w:line="60" w:lineRule="exact"/>
              <w:jc w:val="both"/>
              <w:rPr>
                <w:rtl/>
              </w:rPr>
            </w:pPr>
          </w:p>
        </w:tc>
        <w:tc>
          <w:tcPr>
            <w:tcW w:w="1078" w:type="dxa"/>
            <w:gridSpan w:val="2"/>
            <w:vAlign w:val="bottom"/>
          </w:tcPr>
          <w:p w14:paraId="6DD3DCE4" w14:textId="77777777" w:rsidR="007F164F" w:rsidRPr="00AC1A00" w:rsidRDefault="007F164F" w:rsidP="00030C7C">
            <w:pPr>
              <w:pStyle w:val="-f1"/>
              <w:pBdr>
                <w:top w:val="none" w:sz="0" w:space="0" w:color="auto"/>
              </w:pBdr>
              <w:bidi w:val="0"/>
              <w:spacing w:line="60" w:lineRule="exact"/>
              <w:jc w:val="both"/>
              <w:rPr>
                <w:rtl/>
              </w:rPr>
            </w:pPr>
          </w:p>
        </w:tc>
        <w:tc>
          <w:tcPr>
            <w:tcW w:w="1092" w:type="dxa"/>
            <w:gridSpan w:val="3"/>
            <w:vAlign w:val="bottom"/>
          </w:tcPr>
          <w:p w14:paraId="73CE15E7" w14:textId="77777777" w:rsidR="007F164F" w:rsidRPr="00AC1A00" w:rsidRDefault="007F164F" w:rsidP="00030C7C">
            <w:pPr>
              <w:pStyle w:val="-f1"/>
              <w:pBdr>
                <w:top w:val="none" w:sz="0" w:space="0" w:color="auto"/>
              </w:pBdr>
              <w:bidi w:val="0"/>
              <w:spacing w:line="60" w:lineRule="exact"/>
              <w:jc w:val="both"/>
              <w:rPr>
                <w:rtl/>
              </w:rPr>
            </w:pPr>
          </w:p>
        </w:tc>
      </w:tr>
    </w:tbl>
    <w:p w14:paraId="4A7D55DF" w14:textId="77777777" w:rsidR="00F05EF0" w:rsidRDefault="00F05EF0" w:rsidP="00F05EF0">
      <w:pPr>
        <w:pStyle w:val="-2"/>
        <w:spacing w:line="240" w:lineRule="exact"/>
        <w:ind w:left="1985" w:right="-294"/>
        <w:rPr>
          <w:b w:val="0"/>
          <w:bCs w:val="0"/>
          <w:sz w:val="18"/>
          <w:szCs w:val="18"/>
          <w:rtl/>
        </w:rPr>
      </w:pPr>
    </w:p>
    <w:tbl>
      <w:tblPr>
        <w:bidiVisual/>
        <w:tblW w:w="4890" w:type="pct"/>
        <w:tblLook w:val="0000" w:firstRow="0" w:lastRow="0" w:firstColumn="0" w:lastColumn="0" w:noHBand="0" w:noVBand="0"/>
      </w:tblPr>
      <w:tblGrid>
        <w:gridCol w:w="1562"/>
        <w:gridCol w:w="8420"/>
      </w:tblGrid>
      <w:tr w:rsidR="007F164F" w:rsidRPr="001E5014" w14:paraId="153B5D15" w14:textId="77777777" w:rsidTr="007F164F">
        <w:trPr>
          <w:trHeight w:val="245"/>
        </w:trPr>
        <w:tc>
          <w:tcPr>
            <w:tcW w:w="1562" w:type="dxa"/>
          </w:tcPr>
          <w:p w14:paraId="45541B96" w14:textId="77777777" w:rsidR="007F164F" w:rsidRDefault="007F164F">
            <w:pPr>
              <w:pStyle w:val="-7"/>
              <w:spacing w:before="60" w:after="40" w:line="240" w:lineRule="auto"/>
              <w:rPr>
                <w:sz w:val="14"/>
                <w:szCs w:val="14"/>
                <w:rtl/>
              </w:rPr>
            </w:pPr>
            <w:r>
              <w:rPr>
                <w:rFonts w:hint="cs"/>
                <w:sz w:val="14"/>
                <w:szCs w:val="14"/>
                <w:rtl/>
              </w:rPr>
              <w:t>ה. המפקח ס' 45ג(ב)(2)</w:t>
            </w:r>
          </w:p>
        </w:tc>
        <w:tc>
          <w:tcPr>
            <w:tcW w:w="8421" w:type="dxa"/>
          </w:tcPr>
          <w:p w14:paraId="60CF8C04" w14:textId="77777777" w:rsidR="007F164F" w:rsidRPr="00FD7A2A" w:rsidRDefault="007F164F">
            <w:pPr>
              <w:pStyle w:val="-f4"/>
              <w:spacing w:after="40"/>
              <w:rPr>
                <w:b w:val="0"/>
                <w:bCs w:val="0"/>
                <w:sz w:val="18"/>
                <w:szCs w:val="18"/>
                <w:rtl/>
              </w:rPr>
            </w:pPr>
            <w:r w:rsidRPr="00FD7A2A">
              <w:rPr>
                <w:b w:val="0"/>
                <w:bCs w:val="0"/>
                <w:sz w:val="18"/>
                <w:szCs w:val="18"/>
                <w:rtl/>
              </w:rPr>
              <w:t>[</w:t>
            </w:r>
            <w:r w:rsidRPr="00FD7A2A">
              <w:rPr>
                <w:rFonts w:hint="eastAsia"/>
                <w:b w:val="0"/>
                <w:bCs w:val="0"/>
                <w:sz w:val="18"/>
                <w:szCs w:val="18"/>
                <w:rtl/>
              </w:rPr>
              <w:t>יינתן</w:t>
            </w:r>
            <w:r w:rsidRPr="00FD7A2A">
              <w:rPr>
                <w:b w:val="0"/>
                <w:bCs w:val="0"/>
                <w:sz w:val="18"/>
                <w:szCs w:val="18"/>
                <w:rtl/>
              </w:rPr>
              <w:t xml:space="preserve"> </w:t>
            </w:r>
            <w:r w:rsidRPr="00FD7A2A">
              <w:rPr>
                <w:rFonts w:hint="eastAsia"/>
                <w:b w:val="0"/>
                <w:bCs w:val="0"/>
                <w:sz w:val="18"/>
                <w:szCs w:val="18"/>
                <w:rtl/>
              </w:rPr>
              <w:t>גילוי</w:t>
            </w:r>
            <w:r w:rsidRPr="00FD7A2A">
              <w:rPr>
                <w:b w:val="0"/>
                <w:bCs w:val="0"/>
                <w:sz w:val="18"/>
                <w:szCs w:val="18"/>
                <w:rtl/>
              </w:rPr>
              <w:t xml:space="preserve"> </w:t>
            </w:r>
            <w:r w:rsidRPr="00FD7A2A">
              <w:rPr>
                <w:rFonts w:hint="eastAsia"/>
                <w:b w:val="0"/>
                <w:bCs w:val="0"/>
                <w:sz w:val="18"/>
                <w:szCs w:val="18"/>
                <w:rtl/>
              </w:rPr>
              <w:t>להשפעות</w:t>
            </w:r>
            <w:r w:rsidRPr="00FD7A2A">
              <w:rPr>
                <w:b w:val="0"/>
                <w:bCs w:val="0"/>
                <w:sz w:val="18"/>
                <w:szCs w:val="18"/>
                <w:rtl/>
              </w:rPr>
              <w:t xml:space="preserve"> </w:t>
            </w:r>
            <w:r w:rsidRPr="00FD7A2A">
              <w:rPr>
                <w:rFonts w:hint="eastAsia"/>
                <w:b w:val="0"/>
                <w:bCs w:val="0"/>
                <w:sz w:val="18"/>
                <w:szCs w:val="18"/>
                <w:rtl/>
              </w:rPr>
              <w:t>האפשריות</w:t>
            </w:r>
            <w:r w:rsidRPr="00FD7A2A">
              <w:rPr>
                <w:b w:val="0"/>
                <w:bCs w:val="0"/>
                <w:sz w:val="18"/>
                <w:szCs w:val="18"/>
                <w:rtl/>
              </w:rPr>
              <w:t xml:space="preserve"> (או </w:t>
            </w:r>
            <w:r w:rsidRPr="00FD7A2A">
              <w:rPr>
                <w:rFonts w:hint="eastAsia"/>
                <w:b w:val="0"/>
                <w:bCs w:val="0"/>
                <w:sz w:val="18"/>
                <w:szCs w:val="18"/>
                <w:rtl/>
              </w:rPr>
              <w:t>ההשפעות</w:t>
            </w:r>
            <w:r w:rsidRPr="00FD7A2A">
              <w:rPr>
                <w:b w:val="0"/>
                <w:bCs w:val="0"/>
                <w:sz w:val="18"/>
                <w:szCs w:val="18"/>
                <w:rtl/>
              </w:rPr>
              <w:t xml:space="preserve"> </w:t>
            </w:r>
            <w:r w:rsidRPr="00FD7A2A">
              <w:rPr>
                <w:rFonts w:hint="eastAsia"/>
                <w:b w:val="0"/>
                <w:bCs w:val="0"/>
                <w:sz w:val="18"/>
                <w:szCs w:val="18"/>
                <w:rtl/>
              </w:rPr>
              <w:t>בפועל</w:t>
            </w:r>
            <w:r w:rsidRPr="00FD7A2A">
              <w:rPr>
                <w:b w:val="0"/>
                <w:bCs w:val="0"/>
                <w:sz w:val="18"/>
                <w:szCs w:val="18"/>
                <w:rtl/>
              </w:rPr>
              <w:t xml:space="preserve">) </w:t>
            </w:r>
            <w:r w:rsidRPr="00FD7A2A">
              <w:rPr>
                <w:rFonts w:hint="eastAsia"/>
                <w:b w:val="0"/>
                <w:bCs w:val="0"/>
                <w:sz w:val="18"/>
                <w:szCs w:val="18"/>
                <w:rtl/>
              </w:rPr>
              <w:t>של</w:t>
            </w:r>
            <w:r w:rsidRPr="00FD7A2A">
              <w:rPr>
                <w:b w:val="0"/>
                <w:bCs w:val="0"/>
                <w:sz w:val="18"/>
                <w:szCs w:val="18"/>
                <w:rtl/>
              </w:rPr>
              <w:t xml:space="preserve"> </w:t>
            </w:r>
            <w:r w:rsidRPr="00FD7A2A">
              <w:rPr>
                <w:rFonts w:hint="eastAsia"/>
                <w:b w:val="0"/>
                <w:bCs w:val="0"/>
                <w:sz w:val="18"/>
                <w:szCs w:val="18"/>
                <w:rtl/>
              </w:rPr>
              <w:t>אי</w:t>
            </w:r>
            <w:r w:rsidRPr="00FD7A2A">
              <w:rPr>
                <w:b w:val="0"/>
                <w:bCs w:val="0"/>
                <w:sz w:val="18"/>
                <w:szCs w:val="18"/>
                <w:rtl/>
              </w:rPr>
              <w:t xml:space="preserve"> </w:t>
            </w:r>
            <w:r w:rsidRPr="00FD7A2A">
              <w:rPr>
                <w:rFonts w:hint="eastAsia"/>
                <w:b w:val="0"/>
                <w:bCs w:val="0"/>
                <w:sz w:val="18"/>
                <w:szCs w:val="18"/>
                <w:rtl/>
              </w:rPr>
              <w:t>עמידה</w:t>
            </w:r>
            <w:r w:rsidRPr="00FD7A2A">
              <w:rPr>
                <w:b w:val="0"/>
                <w:bCs w:val="0"/>
                <w:sz w:val="18"/>
                <w:szCs w:val="18"/>
                <w:rtl/>
              </w:rPr>
              <w:t xml:space="preserve"> </w:t>
            </w:r>
            <w:r w:rsidRPr="00FD7A2A">
              <w:rPr>
                <w:rFonts w:hint="eastAsia"/>
                <w:b w:val="0"/>
                <w:bCs w:val="0"/>
                <w:sz w:val="18"/>
                <w:szCs w:val="18"/>
                <w:rtl/>
              </w:rPr>
              <w:t>בדרישות</w:t>
            </w:r>
            <w:r w:rsidRPr="00FD7A2A">
              <w:rPr>
                <w:b w:val="0"/>
                <w:bCs w:val="0"/>
                <w:sz w:val="18"/>
                <w:szCs w:val="18"/>
                <w:rtl/>
              </w:rPr>
              <w:t xml:space="preserve"> </w:t>
            </w:r>
            <w:r w:rsidRPr="00FD7A2A">
              <w:rPr>
                <w:rFonts w:hint="eastAsia"/>
                <w:b w:val="0"/>
                <w:bCs w:val="0"/>
                <w:sz w:val="18"/>
                <w:szCs w:val="18"/>
                <w:rtl/>
              </w:rPr>
              <w:t>המפקח</w:t>
            </w:r>
            <w:r w:rsidRPr="00FD7A2A">
              <w:rPr>
                <w:b w:val="0"/>
                <w:bCs w:val="0"/>
                <w:sz w:val="18"/>
                <w:szCs w:val="18"/>
                <w:rtl/>
              </w:rPr>
              <w:t xml:space="preserve"> </w:t>
            </w:r>
            <w:r w:rsidRPr="00FD7A2A">
              <w:rPr>
                <w:rFonts w:hint="eastAsia"/>
                <w:b w:val="0"/>
                <w:bCs w:val="0"/>
                <w:sz w:val="18"/>
                <w:szCs w:val="18"/>
                <w:rtl/>
              </w:rPr>
              <w:t>על</w:t>
            </w:r>
            <w:r w:rsidRPr="00FD7A2A">
              <w:rPr>
                <w:b w:val="0"/>
                <w:bCs w:val="0"/>
                <w:sz w:val="18"/>
                <w:szCs w:val="18"/>
                <w:rtl/>
              </w:rPr>
              <w:t xml:space="preserve"> </w:t>
            </w:r>
            <w:r w:rsidRPr="00FD7A2A">
              <w:rPr>
                <w:rFonts w:hint="eastAsia"/>
                <w:b w:val="0"/>
                <w:bCs w:val="0"/>
                <w:sz w:val="18"/>
                <w:szCs w:val="18"/>
                <w:rtl/>
              </w:rPr>
              <w:t>הבנקים</w:t>
            </w:r>
            <w:r w:rsidRPr="00FD7A2A">
              <w:rPr>
                <w:b w:val="0"/>
                <w:bCs w:val="0"/>
                <w:sz w:val="18"/>
                <w:szCs w:val="18"/>
                <w:rtl/>
              </w:rPr>
              <w:t xml:space="preserve"> </w:t>
            </w:r>
            <w:r w:rsidRPr="00FD7A2A">
              <w:rPr>
                <w:rFonts w:hint="eastAsia"/>
                <w:b w:val="0"/>
                <w:bCs w:val="0"/>
                <w:sz w:val="18"/>
                <w:szCs w:val="18"/>
                <w:rtl/>
              </w:rPr>
              <w:t>להלימות</w:t>
            </w:r>
            <w:r w:rsidRPr="00FD7A2A">
              <w:rPr>
                <w:b w:val="0"/>
                <w:bCs w:val="0"/>
                <w:sz w:val="18"/>
                <w:szCs w:val="18"/>
                <w:rtl/>
              </w:rPr>
              <w:t xml:space="preserve"> </w:t>
            </w:r>
            <w:r w:rsidRPr="00FD7A2A">
              <w:rPr>
                <w:rFonts w:hint="eastAsia"/>
                <w:b w:val="0"/>
                <w:bCs w:val="0"/>
                <w:sz w:val="18"/>
                <w:szCs w:val="18"/>
                <w:rtl/>
              </w:rPr>
              <w:t>ההון</w:t>
            </w:r>
            <w:r w:rsidRPr="00FD7A2A">
              <w:rPr>
                <w:b w:val="0"/>
                <w:bCs w:val="0"/>
                <w:sz w:val="18"/>
                <w:szCs w:val="18"/>
                <w:rtl/>
              </w:rPr>
              <w:t>].</w:t>
            </w:r>
          </w:p>
        </w:tc>
      </w:tr>
      <w:tr w:rsidR="007F164F" w:rsidRPr="001E5014" w14:paraId="2D2203D3" w14:textId="77777777" w:rsidTr="007F164F">
        <w:trPr>
          <w:trHeight w:val="245"/>
        </w:trPr>
        <w:tc>
          <w:tcPr>
            <w:tcW w:w="1562" w:type="dxa"/>
          </w:tcPr>
          <w:p w14:paraId="216EAA20" w14:textId="77777777" w:rsidR="007F164F" w:rsidRDefault="007F164F">
            <w:pPr>
              <w:pStyle w:val="-7"/>
              <w:spacing w:before="60" w:line="240" w:lineRule="auto"/>
              <w:jc w:val="left"/>
              <w:rPr>
                <w:spacing w:val="-6"/>
                <w:sz w:val="14"/>
                <w:szCs w:val="14"/>
                <w:rtl/>
              </w:rPr>
            </w:pPr>
            <w:r w:rsidRPr="00B44059">
              <w:rPr>
                <w:rFonts w:hint="eastAsia"/>
                <w:spacing w:val="-6"/>
                <w:sz w:val="14"/>
                <w:szCs w:val="14"/>
                <w:rtl/>
              </w:rPr>
              <w:t>ה</w:t>
            </w:r>
            <w:r w:rsidRPr="00B44059">
              <w:rPr>
                <w:spacing w:val="-6"/>
                <w:sz w:val="14"/>
                <w:szCs w:val="14"/>
                <w:rtl/>
              </w:rPr>
              <w:t xml:space="preserve">. </w:t>
            </w:r>
            <w:r w:rsidRPr="00B44059">
              <w:rPr>
                <w:rFonts w:hint="eastAsia"/>
                <w:spacing w:val="-6"/>
                <w:sz w:val="14"/>
                <w:szCs w:val="14"/>
                <w:rtl/>
              </w:rPr>
              <w:t>המפקח</w:t>
            </w:r>
            <w:r w:rsidRPr="00B44059">
              <w:rPr>
                <w:spacing w:val="-6"/>
                <w:sz w:val="14"/>
                <w:szCs w:val="14"/>
                <w:rtl/>
              </w:rPr>
              <w:t xml:space="preserve"> </w:t>
            </w:r>
            <w:r w:rsidRPr="00B44059">
              <w:rPr>
                <w:rFonts w:hint="eastAsia"/>
                <w:spacing w:val="-6"/>
                <w:sz w:val="14"/>
                <w:szCs w:val="14"/>
                <w:rtl/>
              </w:rPr>
              <w:t>ס</w:t>
            </w:r>
            <w:r w:rsidRPr="00B44059">
              <w:rPr>
                <w:spacing w:val="-6"/>
                <w:sz w:val="14"/>
                <w:szCs w:val="14"/>
                <w:rtl/>
              </w:rPr>
              <w:t>' 45ג(ב)(3)(2)</w:t>
            </w:r>
          </w:p>
        </w:tc>
        <w:tc>
          <w:tcPr>
            <w:tcW w:w="8421" w:type="dxa"/>
          </w:tcPr>
          <w:p w14:paraId="53F30560" w14:textId="77777777" w:rsidR="007F164F" w:rsidRPr="00FD7A2A" w:rsidRDefault="007F164F">
            <w:pPr>
              <w:pStyle w:val="-f4"/>
              <w:spacing w:after="0" w:line="240" w:lineRule="auto"/>
              <w:rPr>
                <w:b w:val="0"/>
                <w:bCs w:val="0"/>
                <w:sz w:val="18"/>
                <w:szCs w:val="18"/>
                <w:rtl/>
              </w:rPr>
            </w:pPr>
            <w:r w:rsidRPr="00FD7A2A">
              <w:rPr>
                <w:b w:val="0"/>
                <w:bCs w:val="0"/>
                <w:sz w:val="18"/>
                <w:szCs w:val="18"/>
                <w:rtl/>
              </w:rPr>
              <w:t>[</w:t>
            </w:r>
            <w:r w:rsidRPr="00FD7A2A">
              <w:rPr>
                <w:rFonts w:hint="eastAsia"/>
                <w:b w:val="0"/>
                <w:bCs w:val="0"/>
                <w:sz w:val="18"/>
                <w:szCs w:val="18"/>
                <w:rtl/>
              </w:rPr>
              <w:t>יינתן</w:t>
            </w:r>
            <w:r w:rsidRPr="00FD7A2A">
              <w:rPr>
                <w:b w:val="0"/>
                <w:bCs w:val="0"/>
                <w:sz w:val="18"/>
                <w:szCs w:val="18"/>
                <w:rtl/>
              </w:rPr>
              <w:t xml:space="preserve"> </w:t>
            </w:r>
            <w:r w:rsidRPr="00FD7A2A">
              <w:rPr>
                <w:rFonts w:hint="eastAsia"/>
                <w:b w:val="0"/>
                <w:bCs w:val="0"/>
                <w:sz w:val="18"/>
                <w:szCs w:val="18"/>
                <w:rtl/>
              </w:rPr>
              <w:t>גילוי</w:t>
            </w:r>
            <w:r w:rsidRPr="00FD7A2A">
              <w:rPr>
                <w:b w:val="0"/>
                <w:bCs w:val="0"/>
                <w:sz w:val="18"/>
                <w:szCs w:val="18"/>
                <w:rtl/>
              </w:rPr>
              <w:t xml:space="preserve"> </w:t>
            </w:r>
            <w:r w:rsidRPr="00FD7A2A">
              <w:rPr>
                <w:rFonts w:hint="eastAsia"/>
                <w:b w:val="0"/>
                <w:bCs w:val="0"/>
                <w:sz w:val="18"/>
                <w:szCs w:val="18"/>
                <w:rtl/>
              </w:rPr>
              <w:t>לגורמים</w:t>
            </w:r>
            <w:r w:rsidRPr="00FD7A2A">
              <w:rPr>
                <w:b w:val="0"/>
                <w:bCs w:val="0"/>
                <w:sz w:val="18"/>
                <w:szCs w:val="18"/>
                <w:rtl/>
              </w:rPr>
              <w:t xml:space="preserve"> </w:t>
            </w:r>
            <w:r w:rsidRPr="00FD7A2A">
              <w:rPr>
                <w:rFonts w:hint="eastAsia"/>
                <w:b w:val="0"/>
                <w:bCs w:val="0"/>
                <w:sz w:val="18"/>
                <w:szCs w:val="18"/>
                <w:rtl/>
              </w:rPr>
              <w:t>היכולים</w:t>
            </w:r>
            <w:r w:rsidRPr="00FD7A2A">
              <w:rPr>
                <w:b w:val="0"/>
                <w:bCs w:val="0"/>
                <w:sz w:val="18"/>
                <w:szCs w:val="18"/>
                <w:rtl/>
              </w:rPr>
              <w:t xml:space="preserve"> </w:t>
            </w:r>
            <w:r w:rsidRPr="00FD7A2A">
              <w:rPr>
                <w:rFonts w:hint="eastAsia"/>
                <w:b w:val="0"/>
                <w:bCs w:val="0"/>
                <w:sz w:val="18"/>
                <w:szCs w:val="18"/>
                <w:rtl/>
              </w:rPr>
              <w:t>להשפיע</w:t>
            </w:r>
            <w:r w:rsidRPr="00FD7A2A">
              <w:rPr>
                <w:b w:val="0"/>
                <w:bCs w:val="0"/>
                <w:sz w:val="18"/>
                <w:szCs w:val="18"/>
                <w:rtl/>
              </w:rPr>
              <w:t xml:space="preserve"> </w:t>
            </w:r>
            <w:r w:rsidRPr="00FD7A2A">
              <w:rPr>
                <w:rFonts w:hint="eastAsia"/>
                <w:b w:val="0"/>
                <w:bCs w:val="0"/>
                <w:sz w:val="18"/>
                <w:szCs w:val="18"/>
                <w:rtl/>
              </w:rPr>
              <w:t>באופן</w:t>
            </w:r>
            <w:r w:rsidRPr="00FD7A2A">
              <w:rPr>
                <w:b w:val="0"/>
                <w:bCs w:val="0"/>
                <w:sz w:val="18"/>
                <w:szCs w:val="18"/>
                <w:rtl/>
              </w:rPr>
              <w:t xml:space="preserve"> </w:t>
            </w:r>
            <w:r w:rsidRPr="00FD7A2A">
              <w:rPr>
                <w:rFonts w:hint="eastAsia"/>
                <w:b w:val="0"/>
                <w:bCs w:val="0"/>
                <w:sz w:val="18"/>
                <w:szCs w:val="18"/>
                <w:rtl/>
              </w:rPr>
              <w:t>מהותי</w:t>
            </w:r>
            <w:r w:rsidRPr="00FD7A2A">
              <w:rPr>
                <w:b w:val="0"/>
                <w:bCs w:val="0"/>
                <w:sz w:val="18"/>
                <w:szCs w:val="18"/>
                <w:rtl/>
              </w:rPr>
              <w:t xml:space="preserve"> </w:t>
            </w:r>
            <w:r w:rsidRPr="00FD7A2A">
              <w:rPr>
                <w:rFonts w:hint="eastAsia"/>
                <w:b w:val="0"/>
                <w:bCs w:val="0"/>
                <w:sz w:val="18"/>
                <w:szCs w:val="18"/>
                <w:rtl/>
              </w:rPr>
              <w:t>על</w:t>
            </w:r>
            <w:r w:rsidRPr="00FD7A2A">
              <w:rPr>
                <w:b w:val="0"/>
                <w:bCs w:val="0"/>
                <w:sz w:val="18"/>
                <w:szCs w:val="18"/>
                <w:rtl/>
              </w:rPr>
              <w:t xml:space="preserve"> </w:t>
            </w:r>
            <w:r w:rsidRPr="00FD7A2A">
              <w:rPr>
                <w:rFonts w:hint="eastAsia"/>
                <w:b w:val="0"/>
                <w:bCs w:val="0"/>
                <w:sz w:val="18"/>
                <w:szCs w:val="18"/>
                <w:rtl/>
              </w:rPr>
              <w:t>הלימות</w:t>
            </w:r>
            <w:r w:rsidRPr="00FD7A2A">
              <w:rPr>
                <w:b w:val="0"/>
                <w:bCs w:val="0"/>
                <w:sz w:val="18"/>
                <w:szCs w:val="18"/>
                <w:rtl/>
              </w:rPr>
              <w:t xml:space="preserve"> </w:t>
            </w:r>
            <w:r w:rsidRPr="00FD7A2A">
              <w:rPr>
                <w:rFonts w:hint="eastAsia"/>
                <w:b w:val="0"/>
                <w:bCs w:val="0"/>
                <w:sz w:val="18"/>
                <w:szCs w:val="18"/>
                <w:rtl/>
              </w:rPr>
              <w:t>ההון</w:t>
            </w:r>
            <w:r w:rsidRPr="00FD7A2A">
              <w:rPr>
                <w:b w:val="0"/>
                <w:bCs w:val="0"/>
                <w:sz w:val="18"/>
                <w:szCs w:val="18"/>
                <w:rtl/>
              </w:rPr>
              <w:t xml:space="preserve">, </w:t>
            </w:r>
            <w:r w:rsidRPr="00FD7A2A">
              <w:rPr>
                <w:rFonts w:hint="eastAsia"/>
                <w:b w:val="0"/>
                <w:bCs w:val="0"/>
                <w:sz w:val="18"/>
                <w:szCs w:val="18"/>
                <w:rtl/>
              </w:rPr>
              <w:t>כגון</w:t>
            </w:r>
            <w:r w:rsidRPr="00FD7A2A">
              <w:rPr>
                <w:b w:val="0"/>
                <w:bCs w:val="0"/>
                <w:sz w:val="18"/>
                <w:szCs w:val="18"/>
                <w:rtl/>
              </w:rPr>
              <w:t xml:space="preserve"> </w:t>
            </w:r>
            <w:r w:rsidRPr="00FD7A2A">
              <w:rPr>
                <w:rFonts w:hint="eastAsia"/>
                <w:b w:val="0"/>
                <w:bCs w:val="0"/>
                <w:sz w:val="18"/>
                <w:szCs w:val="18"/>
                <w:rtl/>
              </w:rPr>
              <w:t>רכיבי</w:t>
            </w:r>
            <w:r w:rsidRPr="00FD7A2A">
              <w:rPr>
                <w:b w:val="0"/>
                <w:bCs w:val="0"/>
                <w:sz w:val="18"/>
                <w:szCs w:val="18"/>
                <w:rtl/>
              </w:rPr>
              <w:t xml:space="preserve"> </w:t>
            </w:r>
            <w:r w:rsidRPr="00FD7A2A">
              <w:rPr>
                <w:rFonts w:hint="eastAsia"/>
                <w:b w:val="0"/>
                <w:bCs w:val="0"/>
                <w:sz w:val="18"/>
                <w:szCs w:val="18"/>
                <w:rtl/>
              </w:rPr>
              <w:t>הון</w:t>
            </w:r>
            <w:r w:rsidRPr="00FD7A2A">
              <w:rPr>
                <w:b w:val="0"/>
                <w:bCs w:val="0"/>
                <w:sz w:val="18"/>
                <w:szCs w:val="18"/>
                <w:rtl/>
              </w:rPr>
              <w:t xml:space="preserve"> </w:t>
            </w:r>
            <w:r w:rsidRPr="00FD7A2A">
              <w:rPr>
                <w:rFonts w:hint="eastAsia"/>
                <w:b w:val="0"/>
                <w:bCs w:val="0"/>
                <w:sz w:val="18"/>
                <w:szCs w:val="18"/>
                <w:rtl/>
              </w:rPr>
              <w:t>הנתונים</w:t>
            </w:r>
            <w:r w:rsidRPr="00FD7A2A">
              <w:rPr>
                <w:b w:val="0"/>
                <w:bCs w:val="0"/>
                <w:sz w:val="18"/>
                <w:szCs w:val="18"/>
                <w:rtl/>
              </w:rPr>
              <w:t xml:space="preserve"> </w:t>
            </w:r>
            <w:r w:rsidRPr="00FD7A2A">
              <w:rPr>
                <w:rFonts w:hint="eastAsia"/>
                <w:b w:val="0"/>
                <w:bCs w:val="0"/>
                <w:sz w:val="18"/>
                <w:szCs w:val="18"/>
                <w:rtl/>
              </w:rPr>
              <w:t>לתנודתיות</w:t>
            </w:r>
            <w:r w:rsidRPr="00FD7A2A">
              <w:rPr>
                <w:b w:val="0"/>
                <w:bCs w:val="0"/>
                <w:sz w:val="18"/>
                <w:szCs w:val="18"/>
                <w:rtl/>
              </w:rPr>
              <w:t>].</w:t>
            </w:r>
          </w:p>
        </w:tc>
      </w:tr>
    </w:tbl>
    <w:p w14:paraId="0CF9883A" w14:textId="77777777" w:rsidR="006D22E3" w:rsidRDefault="006D22E3" w:rsidP="006D22E3">
      <w:pPr>
        <w:bidi w:val="0"/>
        <w:spacing w:line="50" w:lineRule="exact"/>
      </w:pPr>
    </w:p>
    <w:p w14:paraId="5BEBD2FD" w14:textId="77777777" w:rsidR="00C4025C" w:rsidRDefault="00C4025C" w:rsidP="00C4025C">
      <w:pPr>
        <w:bidi w:val="0"/>
        <w:spacing w:line="50" w:lineRule="exact"/>
        <w:sectPr w:rsidR="00C4025C" w:rsidSect="00587121">
          <w:headerReference w:type="even" r:id="rId54"/>
          <w:headerReference w:type="default" r:id="rId55"/>
          <w:footnotePr>
            <w:numRestart w:val="eachPage"/>
          </w:footnotePr>
          <w:pgSz w:w="11909" w:h="16834" w:code="9"/>
          <w:pgMar w:top="851" w:right="851" w:bottom="851" w:left="851" w:header="720" w:footer="720" w:gutter="0"/>
          <w:cols w:space="720"/>
          <w:bidi/>
          <w:rtlGutter/>
          <w:docGrid w:linePitch="360"/>
        </w:sectPr>
      </w:pPr>
    </w:p>
    <w:tbl>
      <w:tblPr>
        <w:bidiVisual/>
        <w:tblW w:w="4741" w:type="pct"/>
        <w:tblLook w:val="04A0" w:firstRow="1" w:lastRow="0" w:firstColumn="1" w:lastColumn="0" w:noHBand="0" w:noVBand="1"/>
      </w:tblPr>
      <w:tblGrid>
        <w:gridCol w:w="1020"/>
        <w:gridCol w:w="446"/>
        <w:gridCol w:w="8212"/>
      </w:tblGrid>
      <w:tr w:rsidR="006D22E3" w:rsidRPr="00543C25" w14:paraId="1C9C8BC7" w14:textId="77777777" w:rsidTr="007F164F">
        <w:trPr>
          <w:trHeight w:val="259"/>
        </w:trPr>
        <w:tc>
          <w:tcPr>
            <w:tcW w:w="1020" w:type="dxa"/>
          </w:tcPr>
          <w:p w14:paraId="010A1D6A" w14:textId="77777777" w:rsidR="006D22E3" w:rsidRPr="005A601A" w:rsidRDefault="006D22E3" w:rsidP="0079119C">
            <w:pPr>
              <w:pStyle w:val="-fa"/>
              <w:spacing w:before="0" w:after="60"/>
              <w:rPr>
                <w:rtl/>
              </w:rPr>
            </w:pPr>
          </w:p>
        </w:tc>
        <w:tc>
          <w:tcPr>
            <w:tcW w:w="0" w:type="auto"/>
            <w:gridSpan w:val="2"/>
          </w:tcPr>
          <w:p w14:paraId="7C171564" w14:textId="77777777" w:rsidR="00F32A2A" w:rsidRDefault="006D22E3" w:rsidP="0079119C">
            <w:pPr>
              <w:pStyle w:val="-8"/>
              <w:rPr>
                <w:rtl/>
              </w:rPr>
            </w:pPr>
            <w:r w:rsidRPr="007363C7">
              <w:rPr>
                <w:rtl/>
              </w:rPr>
              <w:t xml:space="preserve">ביאור </w:t>
            </w:r>
            <w:r>
              <w:rPr>
                <w:rFonts w:hint="cs"/>
                <w:rtl/>
              </w:rPr>
              <w:t>8</w:t>
            </w:r>
            <w:r w:rsidRPr="007363C7">
              <w:rPr>
                <w:rtl/>
              </w:rPr>
              <w:t xml:space="preserve"> </w:t>
            </w:r>
            <w:r>
              <w:rPr>
                <w:rFonts w:hint="cs"/>
                <w:rtl/>
              </w:rPr>
              <w:t xml:space="preserve"> </w:t>
            </w:r>
            <w:r w:rsidRPr="007363C7">
              <w:rPr>
                <w:rtl/>
              </w:rPr>
              <w:t xml:space="preserve">- </w:t>
            </w:r>
            <w:r>
              <w:rPr>
                <w:rFonts w:hint="cs"/>
                <w:rtl/>
              </w:rPr>
              <w:t xml:space="preserve"> הלימות הון, מינוף ונזילות לפי הוראות המפקח על הבנקים (המשך):</w:t>
            </w:r>
          </w:p>
        </w:tc>
      </w:tr>
      <w:tr w:rsidR="006D22E3" w:rsidRPr="007363C7" w14:paraId="0D937F82" w14:textId="77777777" w:rsidTr="007F164F">
        <w:tblPrEx>
          <w:jc w:val="right"/>
          <w:tblLook w:val="0000" w:firstRow="0" w:lastRow="0" w:firstColumn="0" w:lastColumn="0" w:noHBand="0" w:noVBand="0"/>
        </w:tblPrEx>
        <w:trPr>
          <w:trHeight w:val="245"/>
          <w:jc w:val="right"/>
        </w:trPr>
        <w:tc>
          <w:tcPr>
            <w:tcW w:w="1020" w:type="dxa"/>
          </w:tcPr>
          <w:p w14:paraId="3CAB0645" w14:textId="77777777" w:rsidR="00F32A2A" w:rsidRDefault="00F32A2A" w:rsidP="00030C7C">
            <w:pPr>
              <w:pStyle w:val="-7"/>
              <w:spacing w:before="60" w:after="60" w:line="240" w:lineRule="auto"/>
              <w:rPr>
                <w:spacing w:val="-8"/>
                <w:sz w:val="14"/>
                <w:szCs w:val="14"/>
                <w:rtl/>
              </w:rPr>
            </w:pPr>
          </w:p>
        </w:tc>
        <w:tc>
          <w:tcPr>
            <w:tcW w:w="446" w:type="dxa"/>
          </w:tcPr>
          <w:p w14:paraId="081C48A8" w14:textId="77777777" w:rsidR="006D22E3" w:rsidRPr="00543C25" w:rsidRDefault="006D22E3" w:rsidP="00030C7C">
            <w:pPr>
              <w:pStyle w:val="-f4"/>
              <w:spacing w:line="240" w:lineRule="auto"/>
              <w:jc w:val="left"/>
              <w:rPr>
                <w:b w:val="0"/>
                <w:bCs w:val="0"/>
                <w:rtl/>
              </w:rPr>
            </w:pPr>
            <w:r>
              <w:rPr>
                <w:rFonts w:hint="cs"/>
                <w:rtl/>
              </w:rPr>
              <w:t>1.</w:t>
            </w:r>
          </w:p>
        </w:tc>
        <w:tc>
          <w:tcPr>
            <w:tcW w:w="8212" w:type="dxa"/>
          </w:tcPr>
          <w:p w14:paraId="401C025D" w14:textId="77777777" w:rsidR="006D22E3" w:rsidRPr="009141D3" w:rsidRDefault="006D22E3" w:rsidP="00030C7C">
            <w:pPr>
              <w:pStyle w:val="-f4"/>
              <w:spacing w:line="240" w:lineRule="auto"/>
              <w:jc w:val="left"/>
              <w:rPr>
                <w:b w:val="0"/>
                <w:bCs w:val="0"/>
                <w:rtl/>
              </w:rPr>
            </w:pPr>
            <w:r>
              <w:rPr>
                <w:rFonts w:hint="cs"/>
                <w:rtl/>
              </w:rPr>
              <w:t>הלימות הון לפי הוראות המפקח על הבנקים (המשך):</w:t>
            </w:r>
          </w:p>
        </w:tc>
      </w:tr>
      <w:tr w:rsidR="006D22E3" w:rsidRPr="007363C7" w14:paraId="672F9EC4" w14:textId="77777777" w:rsidTr="007F164F">
        <w:tblPrEx>
          <w:jc w:val="right"/>
          <w:tblLook w:val="0000" w:firstRow="0" w:lastRow="0" w:firstColumn="0" w:lastColumn="0" w:noHBand="0" w:noVBand="0"/>
        </w:tblPrEx>
        <w:trPr>
          <w:trHeight w:val="245"/>
          <w:jc w:val="right"/>
        </w:trPr>
        <w:tc>
          <w:tcPr>
            <w:tcW w:w="1020" w:type="dxa"/>
          </w:tcPr>
          <w:p w14:paraId="6E8F49E8" w14:textId="445A3BD9" w:rsidR="006D22E3" w:rsidRPr="00030C7C" w:rsidRDefault="006D22E3" w:rsidP="001A3A57">
            <w:pPr>
              <w:pStyle w:val="-7"/>
              <w:spacing w:before="80" w:line="240" w:lineRule="auto"/>
              <w:rPr>
                <w:sz w:val="14"/>
                <w:szCs w:val="14"/>
                <w:rtl/>
              </w:rPr>
            </w:pPr>
          </w:p>
        </w:tc>
        <w:tc>
          <w:tcPr>
            <w:tcW w:w="446" w:type="dxa"/>
          </w:tcPr>
          <w:p w14:paraId="0A134584" w14:textId="77777777" w:rsidR="006D22E3" w:rsidRPr="00543C25" w:rsidRDefault="006D22E3" w:rsidP="006F3019">
            <w:pPr>
              <w:pStyle w:val="-f4"/>
              <w:spacing w:after="0" w:line="240" w:lineRule="auto"/>
              <w:jc w:val="left"/>
              <w:rPr>
                <w:rtl/>
              </w:rPr>
            </w:pPr>
          </w:p>
        </w:tc>
        <w:tc>
          <w:tcPr>
            <w:tcW w:w="8212" w:type="dxa"/>
          </w:tcPr>
          <w:p w14:paraId="205E92BA" w14:textId="38326FE0" w:rsidR="006D22E3" w:rsidRPr="009141D3" w:rsidRDefault="006D22E3" w:rsidP="00D6057D">
            <w:pPr>
              <w:pStyle w:val="-f4"/>
              <w:numPr>
                <w:ilvl w:val="0"/>
                <w:numId w:val="29"/>
              </w:numPr>
              <w:tabs>
                <w:tab w:val="left" w:pos="305"/>
              </w:tabs>
              <w:spacing w:after="0" w:line="240" w:lineRule="auto"/>
              <w:ind w:left="301" w:hanging="141"/>
              <w:jc w:val="left"/>
              <w:rPr>
                <w:rtl/>
              </w:rPr>
            </w:pPr>
            <w:r>
              <w:rPr>
                <w:rFonts w:hint="cs"/>
                <w:rtl/>
              </w:rPr>
              <w:t xml:space="preserve">השפעת </w:t>
            </w:r>
            <w:r w:rsidR="00636C86">
              <w:rPr>
                <w:rFonts w:hint="cs"/>
                <w:rtl/>
              </w:rPr>
              <w:t>התאמות בגין תכנית התייעלות</w:t>
            </w:r>
            <w:r w:rsidR="001028D5">
              <w:rPr>
                <w:rtl/>
              </w:rPr>
              <w:t xml:space="preserve"> </w:t>
            </w:r>
            <w:r w:rsidR="001028D5">
              <w:rPr>
                <w:rFonts w:hint="cs"/>
                <w:rtl/>
              </w:rPr>
              <w:t>ו</w:t>
            </w:r>
            <w:r w:rsidR="001028D5" w:rsidRPr="001028D5">
              <w:rPr>
                <w:rtl/>
              </w:rPr>
              <w:t>בגין הפסדי אשראי צפויים</w:t>
            </w:r>
            <w:r w:rsidR="00636C86">
              <w:rPr>
                <w:rFonts w:hint="cs"/>
                <w:rtl/>
              </w:rPr>
              <w:t xml:space="preserve"> </w:t>
            </w:r>
            <w:r w:rsidR="00586747" w:rsidRPr="00586747">
              <w:rPr>
                <w:rtl/>
              </w:rPr>
              <w:t>והלוואות בסיכון מוגבר לרכישת קרקע</w:t>
            </w:r>
            <w:r w:rsidR="00586747">
              <w:rPr>
                <w:rFonts w:hint="cs"/>
                <w:rtl/>
              </w:rPr>
              <w:t xml:space="preserve"> </w:t>
            </w:r>
            <w:r>
              <w:rPr>
                <w:rFonts w:hint="cs"/>
                <w:rtl/>
              </w:rPr>
              <w:t>על יחס הון עצמי רובד 1:</w:t>
            </w:r>
          </w:p>
        </w:tc>
      </w:tr>
    </w:tbl>
    <w:p w14:paraId="28EAC40F" w14:textId="77777777" w:rsidR="006D22E3" w:rsidRPr="00C12C16" w:rsidRDefault="006D22E3" w:rsidP="006D22E3">
      <w:pPr>
        <w:rPr>
          <w:sz w:val="2"/>
          <w:szCs w:val="2"/>
          <w:rtl/>
        </w:rPr>
      </w:pPr>
    </w:p>
    <w:tbl>
      <w:tblPr>
        <w:bidiVisual/>
        <w:tblW w:w="5000" w:type="pct"/>
        <w:tblLayout w:type="fixed"/>
        <w:tblLook w:val="01E0" w:firstRow="1" w:lastRow="1" w:firstColumn="1" w:lastColumn="1" w:noHBand="0" w:noVBand="0"/>
      </w:tblPr>
      <w:tblGrid>
        <w:gridCol w:w="1020"/>
        <w:gridCol w:w="440"/>
        <w:gridCol w:w="82"/>
        <w:gridCol w:w="440"/>
        <w:gridCol w:w="4807"/>
        <w:gridCol w:w="522"/>
        <w:gridCol w:w="399"/>
        <w:gridCol w:w="522"/>
        <w:gridCol w:w="440"/>
        <w:gridCol w:w="522"/>
        <w:gridCol w:w="491"/>
        <w:gridCol w:w="522"/>
      </w:tblGrid>
      <w:tr w:rsidR="003E0E94" w:rsidRPr="00907C5A" w14:paraId="3D034E52" w14:textId="77777777" w:rsidTr="007F164F">
        <w:trPr>
          <w:gridAfter w:val="1"/>
          <w:wAfter w:w="522" w:type="dxa"/>
          <w:trHeight w:val="259"/>
        </w:trPr>
        <w:tc>
          <w:tcPr>
            <w:tcW w:w="1020" w:type="dxa"/>
          </w:tcPr>
          <w:p w14:paraId="51703AC8" w14:textId="77777777" w:rsidR="003E0E94" w:rsidRPr="00907C5A" w:rsidRDefault="003E0E94" w:rsidP="00030C7C">
            <w:pPr>
              <w:pStyle w:val="-7"/>
              <w:spacing w:before="24" w:line="216" w:lineRule="auto"/>
              <w:jc w:val="left"/>
              <w:rPr>
                <w:rtl/>
              </w:rPr>
            </w:pPr>
          </w:p>
        </w:tc>
        <w:tc>
          <w:tcPr>
            <w:tcW w:w="440" w:type="dxa"/>
            <w:vAlign w:val="bottom"/>
          </w:tcPr>
          <w:p w14:paraId="598BE17F" w14:textId="77777777" w:rsidR="003E0E94" w:rsidRPr="00907C5A" w:rsidRDefault="003E0E94" w:rsidP="00030C7C">
            <w:pPr>
              <w:pStyle w:val="-7"/>
              <w:spacing w:before="24" w:line="216" w:lineRule="auto"/>
              <w:jc w:val="left"/>
              <w:rPr>
                <w:rtl/>
              </w:rPr>
            </w:pPr>
          </w:p>
        </w:tc>
        <w:tc>
          <w:tcPr>
            <w:tcW w:w="5329" w:type="dxa"/>
            <w:gridSpan w:val="3"/>
            <w:vAlign w:val="bottom"/>
          </w:tcPr>
          <w:p w14:paraId="6656B2FB" w14:textId="77777777" w:rsidR="003E0E94" w:rsidRPr="00617BCF" w:rsidRDefault="003E0E94" w:rsidP="00675677">
            <w:pPr>
              <w:pStyle w:val="-0"/>
              <w:spacing w:before="24" w:line="216" w:lineRule="auto"/>
              <w:ind w:left="910" w:hanging="586"/>
              <w:rPr>
                <w:u w:val="single"/>
                <w:rtl/>
              </w:rPr>
            </w:pPr>
            <w:r w:rsidRPr="00617BCF">
              <w:rPr>
                <w:rFonts w:hint="cs"/>
                <w:u w:val="single"/>
                <w:rtl/>
              </w:rPr>
              <w:t>יחס ההון לרכיבי סיכון</w:t>
            </w:r>
          </w:p>
        </w:tc>
        <w:tc>
          <w:tcPr>
            <w:tcW w:w="1883" w:type="dxa"/>
            <w:gridSpan w:val="4"/>
            <w:vAlign w:val="bottom"/>
          </w:tcPr>
          <w:p w14:paraId="252C61F9" w14:textId="043092AC" w:rsidR="003E0E94" w:rsidRPr="006F749D" w:rsidRDefault="003E0E94" w:rsidP="00CA6063">
            <w:pPr>
              <w:pStyle w:val="-4"/>
              <w:pBdr>
                <w:bottom w:val="single" w:sz="4" w:space="1" w:color="auto"/>
              </w:pBdr>
              <w:spacing w:before="24" w:line="168" w:lineRule="auto"/>
              <w:rPr>
                <w:sz w:val="18"/>
                <w:szCs w:val="18"/>
                <w:rtl/>
              </w:rPr>
            </w:pPr>
            <w:r w:rsidRPr="006F749D">
              <w:rPr>
                <w:rFonts w:hint="cs"/>
                <w:sz w:val="18"/>
                <w:szCs w:val="18"/>
                <w:rtl/>
              </w:rPr>
              <w:t>ליום 30 ביוני</w:t>
            </w:r>
            <w:r w:rsidRPr="006F749D" w:rsidDel="00252F4F">
              <w:rPr>
                <w:rFonts w:hint="cs"/>
                <w:sz w:val="18"/>
                <w:szCs w:val="18"/>
                <w:rtl/>
              </w:rPr>
              <w:t xml:space="preserve"> </w:t>
            </w:r>
          </w:p>
        </w:tc>
        <w:tc>
          <w:tcPr>
            <w:tcW w:w="1013" w:type="dxa"/>
            <w:gridSpan w:val="2"/>
            <w:vAlign w:val="bottom"/>
          </w:tcPr>
          <w:p w14:paraId="32B74C9F" w14:textId="6655EF95" w:rsidR="003E0E94" w:rsidRPr="006F749D" w:rsidRDefault="003E0E94" w:rsidP="00CA6063">
            <w:pPr>
              <w:pStyle w:val="-4"/>
              <w:spacing w:before="24" w:line="168" w:lineRule="auto"/>
              <w:rPr>
                <w:sz w:val="18"/>
                <w:szCs w:val="18"/>
                <w:rtl/>
              </w:rPr>
            </w:pPr>
            <w:r w:rsidRPr="006F749D">
              <w:rPr>
                <w:rFonts w:hint="cs"/>
                <w:sz w:val="18"/>
                <w:szCs w:val="18"/>
                <w:rtl/>
              </w:rPr>
              <w:t>ליום 31 בדצמבר</w:t>
            </w:r>
            <w:r w:rsidRPr="006F749D" w:rsidDel="00252F4F">
              <w:rPr>
                <w:rFonts w:hint="cs"/>
                <w:sz w:val="18"/>
                <w:szCs w:val="18"/>
                <w:rtl/>
              </w:rPr>
              <w:t xml:space="preserve"> </w:t>
            </w:r>
          </w:p>
        </w:tc>
      </w:tr>
      <w:tr w:rsidR="003E0E94" w:rsidRPr="00907C5A" w14:paraId="2452C8DF" w14:textId="77777777" w:rsidTr="007F164F">
        <w:trPr>
          <w:gridAfter w:val="1"/>
          <w:wAfter w:w="522" w:type="dxa"/>
          <w:trHeight w:val="259"/>
        </w:trPr>
        <w:tc>
          <w:tcPr>
            <w:tcW w:w="1020" w:type="dxa"/>
          </w:tcPr>
          <w:p w14:paraId="11BF247F" w14:textId="77777777" w:rsidR="003E0E94" w:rsidRPr="00907C5A" w:rsidRDefault="003E0E94" w:rsidP="00030C7C">
            <w:pPr>
              <w:pStyle w:val="-7"/>
              <w:spacing w:before="24" w:line="216" w:lineRule="auto"/>
              <w:jc w:val="left"/>
              <w:rPr>
                <w:rtl/>
              </w:rPr>
            </w:pPr>
          </w:p>
        </w:tc>
        <w:tc>
          <w:tcPr>
            <w:tcW w:w="440" w:type="dxa"/>
            <w:vAlign w:val="bottom"/>
          </w:tcPr>
          <w:p w14:paraId="6CE7C425" w14:textId="77777777" w:rsidR="003E0E94" w:rsidRPr="00907C5A" w:rsidRDefault="003E0E94" w:rsidP="00030C7C">
            <w:pPr>
              <w:pStyle w:val="-7"/>
              <w:spacing w:before="24" w:line="216" w:lineRule="auto"/>
              <w:jc w:val="left"/>
              <w:rPr>
                <w:rtl/>
              </w:rPr>
            </w:pPr>
          </w:p>
        </w:tc>
        <w:tc>
          <w:tcPr>
            <w:tcW w:w="5329" w:type="dxa"/>
            <w:gridSpan w:val="3"/>
            <w:vAlign w:val="bottom"/>
          </w:tcPr>
          <w:p w14:paraId="125CBF7F" w14:textId="77777777" w:rsidR="003E0E94" w:rsidRPr="00617BCF" w:rsidRDefault="003E0E94" w:rsidP="008C105D">
            <w:pPr>
              <w:pStyle w:val="-0"/>
              <w:spacing w:before="24" w:line="216" w:lineRule="auto"/>
              <w:ind w:left="642"/>
              <w:rPr>
                <w:u w:val="single"/>
                <w:rtl/>
              </w:rPr>
            </w:pPr>
          </w:p>
        </w:tc>
        <w:tc>
          <w:tcPr>
            <w:tcW w:w="921" w:type="dxa"/>
            <w:gridSpan w:val="2"/>
            <w:vAlign w:val="bottom"/>
          </w:tcPr>
          <w:p w14:paraId="0B2B2EF3" w14:textId="7401B0F8" w:rsidR="003E0E94" w:rsidRPr="006F749D" w:rsidRDefault="003E0E94" w:rsidP="00CA6063">
            <w:pPr>
              <w:pStyle w:val="-4"/>
              <w:pBdr>
                <w:bottom w:val="single" w:sz="4" w:space="1" w:color="auto"/>
              </w:pBdr>
              <w:spacing w:before="24" w:line="192" w:lineRule="auto"/>
              <w:rPr>
                <w:sz w:val="18"/>
                <w:szCs w:val="18"/>
                <w:rtl/>
              </w:rPr>
            </w:pPr>
            <w:r w:rsidRPr="006F749D">
              <w:rPr>
                <w:sz w:val="18"/>
                <w:szCs w:val="18"/>
                <w:rtl/>
              </w:rPr>
              <w:fldChar w:fldCharType="begin"/>
            </w:r>
            <w:r w:rsidRPr="006F749D">
              <w:rPr>
                <w:sz w:val="18"/>
                <w:szCs w:val="18"/>
                <w:rtl/>
              </w:rPr>
              <w:instrText xml:space="preserve"> </w:instrText>
            </w:r>
            <w:r w:rsidRPr="006F749D">
              <w:rPr>
                <w:rFonts w:hint="cs"/>
                <w:sz w:val="18"/>
                <w:szCs w:val="18"/>
                <w:rtl/>
              </w:rPr>
              <w:instrText xml:space="preserve">= </w:instrText>
            </w:r>
            <w:r w:rsidRPr="006F749D">
              <w:rPr>
                <w:rFonts w:hint="cs"/>
                <w:sz w:val="18"/>
                <w:szCs w:val="18"/>
              </w:rPr>
              <w:instrText>CY \* MERGEFORMAT</w:instrText>
            </w:r>
            <w:r w:rsidRPr="006F749D">
              <w:rPr>
                <w:sz w:val="18"/>
                <w:szCs w:val="18"/>
                <w:rtl/>
              </w:rPr>
              <w:instrText xml:space="preserve"> </w:instrText>
            </w:r>
            <w:r w:rsidRPr="006F749D">
              <w:rPr>
                <w:sz w:val="18"/>
                <w:szCs w:val="18"/>
                <w:rtl/>
              </w:rPr>
              <w:fldChar w:fldCharType="separate"/>
            </w:r>
            <w:r w:rsidR="003A584F">
              <w:rPr>
                <w:noProof/>
                <w:sz w:val="18"/>
                <w:szCs w:val="18"/>
                <w:rtl/>
              </w:rPr>
              <w:t>2024</w:t>
            </w:r>
            <w:r w:rsidRPr="006F749D">
              <w:rPr>
                <w:sz w:val="18"/>
                <w:szCs w:val="18"/>
                <w:rtl/>
              </w:rPr>
              <w:fldChar w:fldCharType="end"/>
            </w:r>
          </w:p>
        </w:tc>
        <w:tc>
          <w:tcPr>
            <w:tcW w:w="962" w:type="dxa"/>
            <w:gridSpan w:val="2"/>
            <w:vAlign w:val="bottom"/>
          </w:tcPr>
          <w:p w14:paraId="12B4E284" w14:textId="13ADFD53" w:rsidR="003E0E94" w:rsidRPr="006F749D" w:rsidRDefault="003E0E94" w:rsidP="00CA6063">
            <w:pPr>
              <w:pStyle w:val="-4"/>
              <w:spacing w:before="24" w:line="168" w:lineRule="auto"/>
              <w:rPr>
                <w:sz w:val="18"/>
                <w:szCs w:val="18"/>
                <w:rtl/>
              </w:rPr>
            </w:pPr>
            <w:r w:rsidRPr="006F749D">
              <w:rPr>
                <w:sz w:val="18"/>
                <w:szCs w:val="18"/>
                <w:rtl/>
              </w:rPr>
              <w:fldChar w:fldCharType="begin"/>
            </w:r>
            <w:r w:rsidRPr="006F749D">
              <w:rPr>
                <w:sz w:val="18"/>
                <w:szCs w:val="18"/>
                <w:rtl/>
              </w:rPr>
              <w:instrText xml:space="preserve"> </w:instrText>
            </w:r>
            <w:r w:rsidRPr="006F749D">
              <w:rPr>
                <w:rFonts w:hint="cs"/>
                <w:sz w:val="18"/>
                <w:szCs w:val="18"/>
                <w:rtl/>
              </w:rPr>
              <w:instrText xml:space="preserve">= </w:instrText>
            </w:r>
            <w:r w:rsidRPr="006F749D">
              <w:rPr>
                <w:rFonts w:hint="cs"/>
                <w:sz w:val="18"/>
                <w:szCs w:val="18"/>
              </w:rPr>
              <w:instrText>CY</w:instrText>
            </w:r>
            <w:r w:rsidRPr="006F749D">
              <w:rPr>
                <w:sz w:val="18"/>
                <w:szCs w:val="18"/>
              </w:rPr>
              <w:instrText>-1</w:instrText>
            </w:r>
            <w:r w:rsidRPr="006F749D">
              <w:rPr>
                <w:rFonts w:hint="cs"/>
                <w:sz w:val="18"/>
                <w:szCs w:val="18"/>
              </w:rPr>
              <w:instrText xml:space="preserve"> \* MERGEFORMAT</w:instrText>
            </w:r>
            <w:r w:rsidRPr="006F749D">
              <w:rPr>
                <w:sz w:val="18"/>
                <w:szCs w:val="18"/>
                <w:rtl/>
              </w:rPr>
              <w:instrText xml:space="preserve"> </w:instrText>
            </w:r>
            <w:r w:rsidRPr="006F749D">
              <w:rPr>
                <w:sz w:val="18"/>
                <w:szCs w:val="18"/>
                <w:rtl/>
              </w:rPr>
              <w:fldChar w:fldCharType="separate"/>
            </w:r>
            <w:r w:rsidR="003A584F">
              <w:rPr>
                <w:noProof/>
                <w:sz w:val="18"/>
                <w:szCs w:val="18"/>
                <w:rtl/>
              </w:rPr>
              <w:t>2023</w:t>
            </w:r>
            <w:r w:rsidRPr="006F749D">
              <w:rPr>
                <w:sz w:val="18"/>
                <w:szCs w:val="18"/>
                <w:rtl/>
              </w:rPr>
              <w:fldChar w:fldCharType="end"/>
            </w:r>
          </w:p>
        </w:tc>
        <w:tc>
          <w:tcPr>
            <w:tcW w:w="1013" w:type="dxa"/>
            <w:gridSpan w:val="2"/>
            <w:vAlign w:val="bottom"/>
          </w:tcPr>
          <w:p w14:paraId="4062AB4F" w14:textId="5CFF1E91" w:rsidR="003E0E94" w:rsidRPr="006F749D" w:rsidRDefault="003E0E94" w:rsidP="00CA6063">
            <w:pPr>
              <w:pStyle w:val="-4"/>
              <w:spacing w:before="24" w:line="168" w:lineRule="auto"/>
              <w:rPr>
                <w:sz w:val="18"/>
                <w:szCs w:val="18"/>
                <w:rtl/>
              </w:rPr>
            </w:pPr>
            <w:r w:rsidRPr="006F749D">
              <w:rPr>
                <w:sz w:val="18"/>
                <w:szCs w:val="18"/>
                <w:rtl/>
              </w:rPr>
              <w:fldChar w:fldCharType="begin"/>
            </w:r>
            <w:r w:rsidRPr="006F749D">
              <w:rPr>
                <w:sz w:val="18"/>
                <w:szCs w:val="18"/>
                <w:rtl/>
              </w:rPr>
              <w:instrText xml:space="preserve"> </w:instrText>
            </w:r>
            <w:r w:rsidRPr="006F749D">
              <w:rPr>
                <w:rFonts w:hint="cs"/>
                <w:sz w:val="18"/>
                <w:szCs w:val="18"/>
                <w:rtl/>
              </w:rPr>
              <w:instrText xml:space="preserve">= </w:instrText>
            </w:r>
            <w:r w:rsidRPr="006F749D">
              <w:rPr>
                <w:rFonts w:hint="cs"/>
                <w:sz w:val="18"/>
                <w:szCs w:val="18"/>
              </w:rPr>
              <w:instrText>CY</w:instrText>
            </w:r>
            <w:r w:rsidRPr="006F749D">
              <w:rPr>
                <w:sz w:val="18"/>
                <w:szCs w:val="18"/>
              </w:rPr>
              <w:instrText>-1</w:instrText>
            </w:r>
            <w:r w:rsidRPr="006F749D">
              <w:rPr>
                <w:rFonts w:hint="cs"/>
                <w:sz w:val="18"/>
                <w:szCs w:val="18"/>
              </w:rPr>
              <w:instrText xml:space="preserve"> \* MERGEFORMAT</w:instrText>
            </w:r>
            <w:r w:rsidRPr="006F749D">
              <w:rPr>
                <w:sz w:val="18"/>
                <w:szCs w:val="18"/>
                <w:rtl/>
              </w:rPr>
              <w:instrText xml:space="preserve"> </w:instrText>
            </w:r>
            <w:r w:rsidRPr="006F749D">
              <w:rPr>
                <w:sz w:val="18"/>
                <w:szCs w:val="18"/>
                <w:rtl/>
              </w:rPr>
              <w:fldChar w:fldCharType="separate"/>
            </w:r>
            <w:r w:rsidR="003A584F">
              <w:rPr>
                <w:noProof/>
                <w:sz w:val="18"/>
                <w:szCs w:val="18"/>
                <w:rtl/>
              </w:rPr>
              <w:t>2023</w:t>
            </w:r>
            <w:r w:rsidRPr="006F749D">
              <w:rPr>
                <w:sz w:val="18"/>
                <w:szCs w:val="18"/>
                <w:rtl/>
              </w:rPr>
              <w:fldChar w:fldCharType="end"/>
            </w:r>
          </w:p>
        </w:tc>
      </w:tr>
      <w:tr w:rsidR="006D22E3" w:rsidRPr="00907C5A" w14:paraId="0C0FA205" w14:textId="77777777" w:rsidTr="007F164F">
        <w:trPr>
          <w:gridAfter w:val="1"/>
          <w:wAfter w:w="522" w:type="dxa"/>
          <w:trHeight w:val="259"/>
        </w:trPr>
        <w:tc>
          <w:tcPr>
            <w:tcW w:w="1020" w:type="dxa"/>
          </w:tcPr>
          <w:p w14:paraId="42E08278" w14:textId="77777777" w:rsidR="006D22E3" w:rsidRPr="00907C5A" w:rsidRDefault="006D22E3" w:rsidP="006F3019">
            <w:pPr>
              <w:pStyle w:val="-7"/>
              <w:jc w:val="left"/>
              <w:rPr>
                <w:rtl/>
              </w:rPr>
            </w:pPr>
          </w:p>
        </w:tc>
        <w:tc>
          <w:tcPr>
            <w:tcW w:w="440" w:type="dxa"/>
            <w:vAlign w:val="bottom"/>
          </w:tcPr>
          <w:p w14:paraId="39FA17E6" w14:textId="77777777" w:rsidR="006D22E3" w:rsidRPr="00907C5A" w:rsidRDefault="006D22E3" w:rsidP="006F3019">
            <w:pPr>
              <w:pStyle w:val="-7"/>
              <w:jc w:val="left"/>
              <w:rPr>
                <w:rtl/>
              </w:rPr>
            </w:pPr>
          </w:p>
        </w:tc>
        <w:tc>
          <w:tcPr>
            <w:tcW w:w="5329" w:type="dxa"/>
            <w:gridSpan w:val="3"/>
            <w:vAlign w:val="bottom"/>
          </w:tcPr>
          <w:p w14:paraId="4A73B862" w14:textId="77777777" w:rsidR="006D22E3" w:rsidRPr="00907C5A" w:rsidRDefault="006D22E3" w:rsidP="006F3019">
            <w:pPr>
              <w:pStyle w:val="-0"/>
              <w:rPr>
                <w:rtl/>
              </w:rPr>
            </w:pPr>
          </w:p>
        </w:tc>
        <w:tc>
          <w:tcPr>
            <w:tcW w:w="1883" w:type="dxa"/>
            <w:gridSpan w:val="4"/>
            <w:vAlign w:val="bottom"/>
          </w:tcPr>
          <w:p w14:paraId="54755BAC" w14:textId="77777777" w:rsidR="006D22E3" w:rsidRPr="006F749D" w:rsidRDefault="006D22E3" w:rsidP="00CA6063">
            <w:pPr>
              <w:pStyle w:val="-4"/>
              <w:pBdr>
                <w:bottom w:val="single" w:sz="4" w:space="1" w:color="auto"/>
              </w:pBdr>
              <w:spacing w:line="168" w:lineRule="auto"/>
              <w:rPr>
                <w:sz w:val="18"/>
                <w:szCs w:val="18"/>
                <w:rtl/>
              </w:rPr>
            </w:pPr>
            <w:r w:rsidRPr="006F749D">
              <w:rPr>
                <w:rFonts w:hint="cs"/>
                <w:sz w:val="18"/>
                <w:szCs w:val="18"/>
                <w:rtl/>
              </w:rPr>
              <w:t>בלתי מבוקר</w:t>
            </w:r>
          </w:p>
        </w:tc>
        <w:tc>
          <w:tcPr>
            <w:tcW w:w="1013" w:type="dxa"/>
            <w:gridSpan w:val="2"/>
            <w:vAlign w:val="bottom"/>
          </w:tcPr>
          <w:p w14:paraId="354AA7AF" w14:textId="77777777" w:rsidR="006D22E3" w:rsidRPr="006F749D" w:rsidRDefault="006D22E3" w:rsidP="00CA6063">
            <w:pPr>
              <w:pStyle w:val="-4"/>
              <w:spacing w:line="168" w:lineRule="auto"/>
              <w:rPr>
                <w:sz w:val="18"/>
                <w:szCs w:val="18"/>
                <w:rtl/>
              </w:rPr>
            </w:pPr>
            <w:r w:rsidRPr="006F749D">
              <w:rPr>
                <w:rFonts w:hint="cs"/>
                <w:sz w:val="18"/>
                <w:szCs w:val="18"/>
                <w:rtl/>
              </w:rPr>
              <w:t>מבוקר</w:t>
            </w:r>
          </w:p>
        </w:tc>
      </w:tr>
      <w:tr w:rsidR="006D22E3" w:rsidRPr="00907C5A" w14:paraId="3E6C0799" w14:textId="77777777" w:rsidTr="007F164F">
        <w:trPr>
          <w:gridAfter w:val="1"/>
          <w:wAfter w:w="522" w:type="dxa"/>
          <w:trHeight w:val="259"/>
        </w:trPr>
        <w:tc>
          <w:tcPr>
            <w:tcW w:w="1020" w:type="dxa"/>
          </w:tcPr>
          <w:p w14:paraId="4EC74B32" w14:textId="77777777" w:rsidR="006D22E3" w:rsidRPr="00907C5A" w:rsidRDefault="006D22E3" w:rsidP="006F3019">
            <w:pPr>
              <w:pStyle w:val="-7"/>
              <w:jc w:val="left"/>
              <w:rPr>
                <w:rtl/>
              </w:rPr>
            </w:pPr>
          </w:p>
        </w:tc>
        <w:tc>
          <w:tcPr>
            <w:tcW w:w="440" w:type="dxa"/>
            <w:vAlign w:val="bottom"/>
          </w:tcPr>
          <w:p w14:paraId="4E9C8B8A" w14:textId="77777777" w:rsidR="006D22E3" w:rsidRPr="00907C5A" w:rsidRDefault="006D22E3" w:rsidP="006F3019">
            <w:pPr>
              <w:pStyle w:val="-7"/>
              <w:jc w:val="left"/>
              <w:rPr>
                <w:rtl/>
              </w:rPr>
            </w:pPr>
          </w:p>
        </w:tc>
        <w:tc>
          <w:tcPr>
            <w:tcW w:w="5329" w:type="dxa"/>
            <w:gridSpan w:val="3"/>
            <w:vAlign w:val="bottom"/>
          </w:tcPr>
          <w:p w14:paraId="66A206D2" w14:textId="77777777" w:rsidR="006D22E3" w:rsidRPr="00907C5A" w:rsidRDefault="006D22E3" w:rsidP="006F3019">
            <w:pPr>
              <w:pStyle w:val="-0"/>
              <w:rPr>
                <w:rtl/>
              </w:rPr>
            </w:pPr>
          </w:p>
        </w:tc>
        <w:tc>
          <w:tcPr>
            <w:tcW w:w="2896" w:type="dxa"/>
            <w:gridSpan w:val="6"/>
            <w:vAlign w:val="bottom"/>
          </w:tcPr>
          <w:p w14:paraId="70EC9063" w14:textId="77777777" w:rsidR="006D22E3" w:rsidRPr="006F749D" w:rsidRDefault="006D22E3" w:rsidP="00CA6063">
            <w:pPr>
              <w:pStyle w:val="-4"/>
              <w:spacing w:line="168" w:lineRule="auto"/>
              <w:rPr>
                <w:sz w:val="18"/>
                <w:szCs w:val="18"/>
                <w:rtl/>
              </w:rPr>
            </w:pPr>
            <w:r w:rsidRPr="006F749D">
              <w:rPr>
                <w:rFonts w:hint="cs"/>
                <w:sz w:val="18"/>
                <w:szCs w:val="18"/>
                <w:rtl/>
              </w:rPr>
              <w:t>באחוזים</w:t>
            </w:r>
          </w:p>
        </w:tc>
      </w:tr>
      <w:tr w:rsidR="006D22E3" w:rsidRPr="00907C5A" w14:paraId="2B329B55" w14:textId="77777777" w:rsidTr="007F164F">
        <w:trPr>
          <w:gridAfter w:val="1"/>
          <w:wAfter w:w="522" w:type="dxa"/>
          <w:trHeight w:val="283"/>
        </w:trPr>
        <w:tc>
          <w:tcPr>
            <w:tcW w:w="1020" w:type="dxa"/>
          </w:tcPr>
          <w:p w14:paraId="516C4622" w14:textId="77777777" w:rsidR="006D22E3" w:rsidRPr="00907C5A" w:rsidRDefault="006D22E3" w:rsidP="006F3019">
            <w:pPr>
              <w:pStyle w:val="-7"/>
              <w:jc w:val="left"/>
              <w:rPr>
                <w:rtl/>
              </w:rPr>
            </w:pPr>
          </w:p>
        </w:tc>
        <w:tc>
          <w:tcPr>
            <w:tcW w:w="440" w:type="dxa"/>
            <w:vAlign w:val="bottom"/>
          </w:tcPr>
          <w:p w14:paraId="41CB601E" w14:textId="77777777" w:rsidR="006D22E3" w:rsidRPr="00907C5A" w:rsidRDefault="006D22E3" w:rsidP="006F3019">
            <w:pPr>
              <w:pStyle w:val="-7"/>
              <w:jc w:val="left"/>
              <w:rPr>
                <w:rtl/>
              </w:rPr>
            </w:pPr>
          </w:p>
        </w:tc>
        <w:tc>
          <w:tcPr>
            <w:tcW w:w="5329" w:type="dxa"/>
            <w:gridSpan w:val="3"/>
            <w:vAlign w:val="bottom"/>
          </w:tcPr>
          <w:p w14:paraId="3233299A" w14:textId="4001B8E3" w:rsidR="00F32A2A" w:rsidRPr="00675677" w:rsidRDefault="006D22E3" w:rsidP="004D61B4">
            <w:pPr>
              <w:pStyle w:val="-0"/>
              <w:spacing w:before="40" w:line="192" w:lineRule="auto"/>
              <w:ind w:left="778" w:hanging="454"/>
              <w:rPr>
                <w:b/>
                <w:bCs/>
                <w:color w:val="auto"/>
                <w:sz w:val="18"/>
                <w:szCs w:val="18"/>
                <w:rtl/>
              </w:rPr>
            </w:pPr>
            <w:r w:rsidRPr="00675677">
              <w:rPr>
                <w:rFonts w:hint="cs"/>
                <w:color w:val="auto"/>
                <w:sz w:val="18"/>
                <w:szCs w:val="18"/>
                <w:rtl/>
              </w:rPr>
              <w:t>יחס הון עצמי רובד 1 לרכיבי סיכון</w:t>
            </w:r>
            <w:r w:rsidR="006947A1" w:rsidRPr="00675677">
              <w:rPr>
                <w:rFonts w:hint="cs"/>
                <w:color w:val="auto"/>
                <w:sz w:val="18"/>
                <w:szCs w:val="18"/>
              </w:rPr>
              <w:t xml:space="preserve"> </w:t>
            </w:r>
            <w:r w:rsidR="00636C86" w:rsidRPr="00675677">
              <w:rPr>
                <w:rFonts w:hint="cs"/>
                <w:color w:val="auto"/>
                <w:sz w:val="18"/>
                <w:szCs w:val="18"/>
                <w:rtl/>
              </w:rPr>
              <w:t xml:space="preserve">לפני השפעת ההתאמות </w:t>
            </w:r>
          </w:p>
        </w:tc>
        <w:tc>
          <w:tcPr>
            <w:tcW w:w="921" w:type="dxa"/>
            <w:gridSpan w:val="2"/>
            <w:vAlign w:val="bottom"/>
          </w:tcPr>
          <w:p w14:paraId="6FCFD674" w14:textId="77777777" w:rsidR="00F32A2A" w:rsidRDefault="006D22E3" w:rsidP="004D61B4">
            <w:pPr>
              <w:pStyle w:val="-7"/>
              <w:spacing w:line="192" w:lineRule="auto"/>
              <w:jc w:val="left"/>
              <w:rPr>
                <w:b/>
                <w:bCs/>
                <w:rtl/>
              </w:rPr>
            </w:pPr>
            <w:r w:rsidRPr="00907C5A">
              <w:rPr>
                <w:rFonts w:hint="cs"/>
                <w:rtl/>
              </w:rPr>
              <w:t xml:space="preserve"> </w:t>
            </w:r>
            <w:r>
              <w:rPr>
                <w:rFonts w:hint="cs"/>
                <w:rtl/>
              </w:rPr>
              <w:t>0%</w:t>
            </w:r>
          </w:p>
        </w:tc>
        <w:tc>
          <w:tcPr>
            <w:tcW w:w="962" w:type="dxa"/>
            <w:gridSpan w:val="2"/>
            <w:vAlign w:val="bottom"/>
          </w:tcPr>
          <w:p w14:paraId="1363145C" w14:textId="77777777" w:rsidR="006D22E3" w:rsidRPr="00907C5A" w:rsidRDefault="006D22E3" w:rsidP="004D61B4">
            <w:pPr>
              <w:pStyle w:val="-7"/>
              <w:spacing w:line="192" w:lineRule="auto"/>
              <w:jc w:val="left"/>
              <w:rPr>
                <w:rtl/>
              </w:rPr>
            </w:pPr>
            <w:r w:rsidRPr="00907C5A">
              <w:rPr>
                <w:rFonts w:hint="cs"/>
                <w:rtl/>
              </w:rPr>
              <w:t xml:space="preserve"> </w:t>
            </w:r>
            <w:r>
              <w:rPr>
                <w:rFonts w:hint="cs"/>
                <w:rtl/>
              </w:rPr>
              <w:t>0%</w:t>
            </w:r>
          </w:p>
        </w:tc>
        <w:tc>
          <w:tcPr>
            <w:tcW w:w="1013" w:type="dxa"/>
            <w:gridSpan w:val="2"/>
            <w:vAlign w:val="bottom"/>
          </w:tcPr>
          <w:p w14:paraId="5B10B668" w14:textId="77777777" w:rsidR="006D22E3" w:rsidRPr="00907C5A" w:rsidRDefault="006D22E3" w:rsidP="004D61B4">
            <w:pPr>
              <w:pStyle w:val="-7"/>
              <w:spacing w:line="192" w:lineRule="auto"/>
              <w:jc w:val="left"/>
              <w:rPr>
                <w:rtl/>
              </w:rPr>
            </w:pPr>
            <w:r w:rsidRPr="00907C5A">
              <w:rPr>
                <w:rFonts w:hint="cs"/>
                <w:rtl/>
              </w:rPr>
              <w:t xml:space="preserve"> </w:t>
            </w:r>
            <w:r>
              <w:rPr>
                <w:rFonts w:hint="cs"/>
                <w:rtl/>
              </w:rPr>
              <w:t>0%</w:t>
            </w:r>
          </w:p>
        </w:tc>
      </w:tr>
      <w:tr w:rsidR="005B42D1" w:rsidRPr="00907C5A" w14:paraId="68664577" w14:textId="77777777" w:rsidTr="007F164F">
        <w:trPr>
          <w:gridAfter w:val="1"/>
          <w:wAfter w:w="522" w:type="dxa"/>
          <w:trHeight w:val="70"/>
        </w:trPr>
        <w:tc>
          <w:tcPr>
            <w:tcW w:w="1020" w:type="dxa"/>
          </w:tcPr>
          <w:p w14:paraId="5B7285BC" w14:textId="77777777" w:rsidR="005B42D1" w:rsidRPr="00907C5A" w:rsidRDefault="005B42D1" w:rsidP="005B42D1">
            <w:pPr>
              <w:pStyle w:val="-7"/>
              <w:spacing w:line="60" w:lineRule="exact"/>
              <w:jc w:val="left"/>
              <w:rPr>
                <w:rtl/>
              </w:rPr>
            </w:pPr>
          </w:p>
        </w:tc>
        <w:tc>
          <w:tcPr>
            <w:tcW w:w="440" w:type="dxa"/>
            <w:vAlign w:val="bottom"/>
          </w:tcPr>
          <w:p w14:paraId="5381624D" w14:textId="77777777" w:rsidR="005B42D1" w:rsidRPr="00907C5A" w:rsidRDefault="005B42D1" w:rsidP="005B42D1">
            <w:pPr>
              <w:pStyle w:val="-7"/>
              <w:spacing w:line="60" w:lineRule="exact"/>
              <w:jc w:val="left"/>
              <w:rPr>
                <w:rtl/>
              </w:rPr>
            </w:pPr>
          </w:p>
        </w:tc>
        <w:tc>
          <w:tcPr>
            <w:tcW w:w="5329" w:type="dxa"/>
            <w:gridSpan w:val="3"/>
            <w:vAlign w:val="bottom"/>
          </w:tcPr>
          <w:p w14:paraId="25A4F81E" w14:textId="77777777" w:rsidR="005B42D1" w:rsidRPr="00675677" w:rsidRDefault="005B42D1" w:rsidP="004D61B4">
            <w:pPr>
              <w:pStyle w:val="-0"/>
              <w:spacing w:line="192" w:lineRule="auto"/>
              <w:ind w:left="652" w:hanging="324"/>
              <w:rPr>
                <w:sz w:val="18"/>
                <w:szCs w:val="18"/>
                <w:rtl/>
              </w:rPr>
            </w:pPr>
          </w:p>
        </w:tc>
        <w:tc>
          <w:tcPr>
            <w:tcW w:w="921" w:type="dxa"/>
            <w:gridSpan w:val="2"/>
            <w:vAlign w:val="bottom"/>
          </w:tcPr>
          <w:p w14:paraId="44CF7010" w14:textId="77777777" w:rsidR="005B42D1" w:rsidRPr="00907C5A" w:rsidRDefault="005B42D1" w:rsidP="004D61B4">
            <w:pPr>
              <w:pStyle w:val="-7"/>
              <w:spacing w:line="192" w:lineRule="auto"/>
              <w:jc w:val="left"/>
              <w:rPr>
                <w:rtl/>
              </w:rPr>
            </w:pPr>
          </w:p>
        </w:tc>
        <w:tc>
          <w:tcPr>
            <w:tcW w:w="962" w:type="dxa"/>
            <w:gridSpan w:val="2"/>
            <w:vAlign w:val="bottom"/>
          </w:tcPr>
          <w:p w14:paraId="650AF57E" w14:textId="77777777" w:rsidR="005B42D1" w:rsidRPr="00907C5A" w:rsidRDefault="005B42D1" w:rsidP="004D61B4">
            <w:pPr>
              <w:pStyle w:val="-7"/>
              <w:spacing w:line="192" w:lineRule="auto"/>
              <w:jc w:val="left"/>
              <w:rPr>
                <w:rtl/>
              </w:rPr>
            </w:pPr>
          </w:p>
        </w:tc>
        <w:tc>
          <w:tcPr>
            <w:tcW w:w="1013" w:type="dxa"/>
            <w:gridSpan w:val="2"/>
            <w:vAlign w:val="bottom"/>
          </w:tcPr>
          <w:p w14:paraId="7078E140" w14:textId="77777777" w:rsidR="005B42D1" w:rsidRPr="00907C5A" w:rsidRDefault="005B42D1" w:rsidP="004D61B4">
            <w:pPr>
              <w:pStyle w:val="-7"/>
              <w:spacing w:line="192" w:lineRule="auto"/>
              <w:jc w:val="left"/>
              <w:rPr>
                <w:rtl/>
              </w:rPr>
            </w:pPr>
          </w:p>
        </w:tc>
      </w:tr>
      <w:tr w:rsidR="00636C86" w:rsidRPr="00907C5A" w14:paraId="55851DEB" w14:textId="77777777" w:rsidTr="007F164F">
        <w:trPr>
          <w:gridAfter w:val="1"/>
          <w:wAfter w:w="522" w:type="dxa"/>
          <w:trHeight w:val="129"/>
        </w:trPr>
        <w:tc>
          <w:tcPr>
            <w:tcW w:w="1020" w:type="dxa"/>
          </w:tcPr>
          <w:p w14:paraId="21DBDC95" w14:textId="77777777" w:rsidR="00636C86" w:rsidRPr="00907C5A" w:rsidRDefault="00636C86" w:rsidP="006F3019">
            <w:pPr>
              <w:pStyle w:val="-7"/>
              <w:spacing w:line="240" w:lineRule="auto"/>
              <w:jc w:val="left"/>
              <w:rPr>
                <w:rtl/>
              </w:rPr>
            </w:pPr>
          </w:p>
        </w:tc>
        <w:tc>
          <w:tcPr>
            <w:tcW w:w="440" w:type="dxa"/>
            <w:vAlign w:val="bottom"/>
          </w:tcPr>
          <w:p w14:paraId="0AA9F748" w14:textId="77777777" w:rsidR="00636C86" w:rsidRPr="00907C5A" w:rsidRDefault="00636C86" w:rsidP="006F3019">
            <w:pPr>
              <w:pStyle w:val="-7"/>
              <w:spacing w:line="240" w:lineRule="auto"/>
              <w:jc w:val="left"/>
              <w:rPr>
                <w:rtl/>
              </w:rPr>
            </w:pPr>
          </w:p>
        </w:tc>
        <w:tc>
          <w:tcPr>
            <w:tcW w:w="5329" w:type="dxa"/>
            <w:gridSpan w:val="3"/>
            <w:vAlign w:val="bottom"/>
          </w:tcPr>
          <w:p w14:paraId="35802CA5" w14:textId="514F7911" w:rsidR="00636C86" w:rsidRPr="00675677" w:rsidRDefault="00636C86" w:rsidP="004D61B4">
            <w:pPr>
              <w:pStyle w:val="-0"/>
              <w:spacing w:before="40" w:line="192" w:lineRule="auto"/>
              <w:ind w:left="778" w:hanging="454"/>
              <w:rPr>
                <w:sz w:val="18"/>
                <w:szCs w:val="18"/>
              </w:rPr>
            </w:pPr>
            <w:r w:rsidRPr="00675677">
              <w:rPr>
                <w:rFonts w:hint="cs"/>
                <w:sz w:val="18"/>
                <w:szCs w:val="18"/>
                <w:rtl/>
              </w:rPr>
              <w:t>השפעת ההתאמות בגין תכנית ההתייעלו</w:t>
            </w:r>
            <w:r w:rsidR="006947A1" w:rsidRPr="00675677">
              <w:rPr>
                <w:rFonts w:hint="cs"/>
                <w:sz w:val="18"/>
                <w:szCs w:val="18"/>
                <w:rtl/>
              </w:rPr>
              <w:t>ת</w:t>
            </w:r>
            <w:r w:rsidR="006947A1" w:rsidRPr="00675677">
              <w:rPr>
                <w:rFonts w:hint="cs"/>
                <w:sz w:val="18"/>
                <w:szCs w:val="18"/>
              </w:rPr>
              <w:t xml:space="preserve"> </w:t>
            </w:r>
          </w:p>
        </w:tc>
        <w:tc>
          <w:tcPr>
            <w:tcW w:w="921" w:type="dxa"/>
            <w:gridSpan w:val="2"/>
            <w:vAlign w:val="bottom"/>
          </w:tcPr>
          <w:p w14:paraId="113D8538" w14:textId="77777777" w:rsidR="00636C86" w:rsidRPr="00907C5A" w:rsidRDefault="00636C86" w:rsidP="004D61B4">
            <w:pPr>
              <w:pStyle w:val="-7"/>
              <w:spacing w:line="192" w:lineRule="auto"/>
              <w:jc w:val="left"/>
              <w:rPr>
                <w:rtl/>
              </w:rPr>
            </w:pPr>
            <w:r w:rsidRPr="00907C5A">
              <w:rPr>
                <w:rFonts w:hint="cs"/>
                <w:rtl/>
              </w:rPr>
              <w:t xml:space="preserve"> </w:t>
            </w:r>
            <w:r>
              <w:rPr>
                <w:rFonts w:hint="cs"/>
                <w:rtl/>
              </w:rPr>
              <w:t>0%</w:t>
            </w:r>
          </w:p>
        </w:tc>
        <w:tc>
          <w:tcPr>
            <w:tcW w:w="962" w:type="dxa"/>
            <w:gridSpan w:val="2"/>
            <w:vAlign w:val="bottom"/>
          </w:tcPr>
          <w:p w14:paraId="002C6F91" w14:textId="77777777" w:rsidR="00636C86" w:rsidRPr="00907C5A" w:rsidRDefault="00636C86" w:rsidP="004D61B4">
            <w:pPr>
              <w:pStyle w:val="-7"/>
              <w:spacing w:line="192" w:lineRule="auto"/>
              <w:jc w:val="left"/>
              <w:rPr>
                <w:rtl/>
              </w:rPr>
            </w:pPr>
            <w:r w:rsidRPr="00907C5A">
              <w:rPr>
                <w:rFonts w:hint="cs"/>
                <w:rtl/>
              </w:rPr>
              <w:t xml:space="preserve"> </w:t>
            </w:r>
            <w:r>
              <w:rPr>
                <w:rFonts w:hint="cs"/>
                <w:rtl/>
              </w:rPr>
              <w:t>0%</w:t>
            </w:r>
          </w:p>
        </w:tc>
        <w:tc>
          <w:tcPr>
            <w:tcW w:w="1013" w:type="dxa"/>
            <w:gridSpan w:val="2"/>
            <w:vAlign w:val="bottom"/>
          </w:tcPr>
          <w:p w14:paraId="43C0C652" w14:textId="77777777" w:rsidR="00636C86" w:rsidRPr="00907C5A" w:rsidRDefault="00636C86" w:rsidP="004D61B4">
            <w:pPr>
              <w:pStyle w:val="-7"/>
              <w:spacing w:line="192" w:lineRule="auto"/>
              <w:jc w:val="left"/>
              <w:rPr>
                <w:rtl/>
              </w:rPr>
            </w:pPr>
            <w:r w:rsidRPr="00907C5A">
              <w:rPr>
                <w:rFonts w:hint="cs"/>
                <w:rtl/>
              </w:rPr>
              <w:t xml:space="preserve"> </w:t>
            </w:r>
            <w:r>
              <w:rPr>
                <w:rFonts w:hint="cs"/>
                <w:rtl/>
              </w:rPr>
              <w:t>0%</w:t>
            </w:r>
          </w:p>
        </w:tc>
      </w:tr>
      <w:tr w:rsidR="006C08F6" w:rsidRPr="00907C5A" w14:paraId="22F39D93" w14:textId="77777777" w:rsidTr="007F164F">
        <w:trPr>
          <w:gridAfter w:val="1"/>
          <w:wAfter w:w="522" w:type="dxa"/>
          <w:trHeight w:val="129"/>
        </w:trPr>
        <w:tc>
          <w:tcPr>
            <w:tcW w:w="1020" w:type="dxa"/>
          </w:tcPr>
          <w:p w14:paraId="1388EDA6" w14:textId="77777777" w:rsidR="006C08F6" w:rsidRPr="00907C5A" w:rsidRDefault="006C08F6" w:rsidP="006C08F6">
            <w:pPr>
              <w:pStyle w:val="-7"/>
              <w:spacing w:line="240" w:lineRule="auto"/>
              <w:jc w:val="left"/>
              <w:rPr>
                <w:rtl/>
              </w:rPr>
            </w:pPr>
          </w:p>
        </w:tc>
        <w:tc>
          <w:tcPr>
            <w:tcW w:w="440" w:type="dxa"/>
            <w:vAlign w:val="bottom"/>
          </w:tcPr>
          <w:p w14:paraId="0711C7AF" w14:textId="77777777" w:rsidR="006C08F6" w:rsidRPr="00907C5A" w:rsidRDefault="006C08F6" w:rsidP="006C08F6">
            <w:pPr>
              <w:pStyle w:val="-7"/>
              <w:spacing w:line="240" w:lineRule="auto"/>
              <w:jc w:val="left"/>
              <w:rPr>
                <w:rtl/>
              </w:rPr>
            </w:pPr>
          </w:p>
        </w:tc>
        <w:tc>
          <w:tcPr>
            <w:tcW w:w="5329" w:type="dxa"/>
            <w:gridSpan w:val="3"/>
            <w:vAlign w:val="bottom"/>
          </w:tcPr>
          <w:p w14:paraId="502637E6" w14:textId="5B4D5BB7" w:rsidR="006C08F6" w:rsidRPr="00675677" w:rsidRDefault="006C08F6" w:rsidP="004D61B4">
            <w:pPr>
              <w:pStyle w:val="-0"/>
              <w:spacing w:before="40" w:line="192" w:lineRule="auto"/>
              <w:ind w:left="778" w:hanging="454"/>
              <w:rPr>
                <w:sz w:val="18"/>
                <w:szCs w:val="18"/>
                <w:rtl/>
              </w:rPr>
            </w:pPr>
            <w:r w:rsidRPr="00675677">
              <w:rPr>
                <w:color w:val="auto"/>
                <w:sz w:val="18"/>
                <w:szCs w:val="18"/>
                <w:rtl/>
              </w:rPr>
              <w:t>השפעת</w:t>
            </w:r>
            <w:r w:rsidRPr="00675677">
              <w:rPr>
                <w:sz w:val="18"/>
                <w:szCs w:val="18"/>
                <w:rtl/>
              </w:rPr>
              <w:t xml:space="preserve"> ההתאמות בגין הפסדי אשראי צפויים</w:t>
            </w:r>
          </w:p>
        </w:tc>
        <w:tc>
          <w:tcPr>
            <w:tcW w:w="921" w:type="dxa"/>
            <w:gridSpan w:val="2"/>
            <w:vAlign w:val="bottom"/>
          </w:tcPr>
          <w:p w14:paraId="653B5CA7" w14:textId="71684604" w:rsidR="006C08F6" w:rsidRPr="00907C5A" w:rsidRDefault="006C08F6" w:rsidP="004D61B4">
            <w:pPr>
              <w:pStyle w:val="-7"/>
              <w:spacing w:line="192" w:lineRule="auto"/>
              <w:jc w:val="left"/>
              <w:rPr>
                <w:rtl/>
              </w:rPr>
            </w:pPr>
            <w:r w:rsidRPr="00907C5A">
              <w:rPr>
                <w:rFonts w:hint="cs"/>
                <w:rtl/>
              </w:rPr>
              <w:t xml:space="preserve"> </w:t>
            </w:r>
            <w:r>
              <w:rPr>
                <w:rFonts w:hint="cs"/>
                <w:rtl/>
              </w:rPr>
              <w:t>0%</w:t>
            </w:r>
          </w:p>
        </w:tc>
        <w:tc>
          <w:tcPr>
            <w:tcW w:w="962" w:type="dxa"/>
            <w:gridSpan w:val="2"/>
            <w:vAlign w:val="bottom"/>
          </w:tcPr>
          <w:p w14:paraId="315E544D" w14:textId="34314B97" w:rsidR="006C08F6" w:rsidRPr="00907C5A" w:rsidRDefault="006C08F6" w:rsidP="004D61B4">
            <w:pPr>
              <w:pStyle w:val="-7"/>
              <w:spacing w:line="192" w:lineRule="auto"/>
              <w:jc w:val="left"/>
              <w:rPr>
                <w:rtl/>
              </w:rPr>
            </w:pPr>
            <w:r w:rsidRPr="00907C5A">
              <w:rPr>
                <w:rFonts w:hint="cs"/>
                <w:rtl/>
              </w:rPr>
              <w:t xml:space="preserve"> </w:t>
            </w:r>
            <w:r>
              <w:rPr>
                <w:rFonts w:hint="cs"/>
                <w:rtl/>
              </w:rPr>
              <w:t>0%</w:t>
            </w:r>
          </w:p>
        </w:tc>
        <w:tc>
          <w:tcPr>
            <w:tcW w:w="1013" w:type="dxa"/>
            <w:gridSpan w:val="2"/>
            <w:vAlign w:val="bottom"/>
          </w:tcPr>
          <w:p w14:paraId="0AD4DB74" w14:textId="0D59A8F0" w:rsidR="006C08F6" w:rsidRPr="00907C5A" w:rsidRDefault="006C08F6" w:rsidP="004D61B4">
            <w:pPr>
              <w:pStyle w:val="-7"/>
              <w:spacing w:line="192" w:lineRule="auto"/>
              <w:jc w:val="left"/>
              <w:rPr>
                <w:rtl/>
              </w:rPr>
            </w:pPr>
            <w:r w:rsidRPr="00907C5A">
              <w:rPr>
                <w:rFonts w:hint="cs"/>
                <w:rtl/>
              </w:rPr>
              <w:t xml:space="preserve"> </w:t>
            </w:r>
            <w:r>
              <w:rPr>
                <w:rFonts w:hint="cs"/>
                <w:rtl/>
              </w:rPr>
              <w:t>0%</w:t>
            </w:r>
          </w:p>
        </w:tc>
      </w:tr>
      <w:tr w:rsidR="006C08F6" w:rsidRPr="00907C5A" w14:paraId="71A25D12" w14:textId="77777777" w:rsidTr="007F164F">
        <w:trPr>
          <w:gridAfter w:val="1"/>
          <w:wAfter w:w="522" w:type="dxa"/>
          <w:trHeight w:val="129"/>
        </w:trPr>
        <w:tc>
          <w:tcPr>
            <w:tcW w:w="1020" w:type="dxa"/>
          </w:tcPr>
          <w:p w14:paraId="24A115E5" w14:textId="77777777" w:rsidR="006C08F6" w:rsidRPr="00907C5A" w:rsidRDefault="006C08F6" w:rsidP="006C08F6">
            <w:pPr>
              <w:pStyle w:val="-7"/>
              <w:spacing w:line="240" w:lineRule="auto"/>
              <w:jc w:val="left"/>
              <w:rPr>
                <w:rtl/>
              </w:rPr>
            </w:pPr>
          </w:p>
        </w:tc>
        <w:tc>
          <w:tcPr>
            <w:tcW w:w="440" w:type="dxa"/>
            <w:vAlign w:val="bottom"/>
          </w:tcPr>
          <w:p w14:paraId="52D1B2B4" w14:textId="77777777" w:rsidR="006C08F6" w:rsidRPr="00907C5A" w:rsidRDefault="006C08F6" w:rsidP="006C08F6">
            <w:pPr>
              <w:pStyle w:val="-7"/>
              <w:spacing w:line="240" w:lineRule="auto"/>
              <w:jc w:val="left"/>
              <w:rPr>
                <w:rtl/>
              </w:rPr>
            </w:pPr>
          </w:p>
        </w:tc>
        <w:tc>
          <w:tcPr>
            <w:tcW w:w="5329" w:type="dxa"/>
            <w:gridSpan w:val="3"/>
            <w:vAlign w:val="bottom"/>
          </w:tcPr>
          <w:p w14:paraId="51C197CA" w14:textId="6EE16A45" w:rsidR="006C08F6" w:rsidRPr="00675677" w:rsidRDefault="006C08F6" w:rsidP="004D61B4">
            <w:pPr>
              <w:pStyle w:val="-0"/>
              <w:spacing w:before="40" w:line="192" w:lineRule="auto"/>
              <w:ind w:left="778" w:hanging="454"/>
              <w:rPr>
                <w:color w:val="auto"/>
                <w:sz w:val="18"/>
                <w:szCs w:val="18"/>
                <w:rtl/>
              </w:rPr>
            </w:pPr>
            <w:r w:rsidRPr="00675677">
              <w:rPr>
                <w:color w:val="auto"/>
                <w:sz w:val="18"/>
                <w:szCs w:val="18"/>
                <w:rtl/>
              </w:rPr>
              <w:t>השפעת ההתאמות בגין הלוואות בסיכון מוגבר לרכישת קרקע</w:t>
            </w:r>
          </w:p>
        </w:tc>
        <w:tc>
          <w:tcPr>
            <w:tcW w:w="921" w:type="dxa"/>
            <w:gridSpan w:val="2"/>
            <w:vAlign w:val="bottom"/>
          </w:tcPr>
          <w:p w14:paraId="0AE9143A" w14:textId="538FBF9F" w:rsidR="006C08F6" w:rsidRPr="00907C5A" w:rsidRDefault="006C08F6" w:rsidP="004D61B4">
            <w:pPr>
              <w:pStyle w:val="-7"/>
              <w:spacing w:line="192" w:lineRule="auto"/>
              <w:jc w:val="left"/>
              <w:rPr>
                <w:rtl/>
              </w:rPr>
            </w:pPr>
            <w:r w:rsidRPr="00907C5A">
              <w:rPr>
                <w:rFonts w:hint="cs"/>
                <w:rtl/>
              </w:rPr>
              <w:t xml:space="preserve"> </w:t>
            </w:r>
            <w:r>
              <w:rPr>
                <w:rFonts w:hint="cs"/>
                <w:rtl/>
              </w:rPr>
              <w:t>0%</w:t>
            </w:r>
          </w:p>
        </w:tc>
        <w:tc>
          <w:tcPr>
            <w:tcW w:w="962" w:type="dxa"/>
            <w:gridSpan w:val="2"/>
            <w:vAlign w:val="bottom"/>
          </w:tcPr>
          <w:p w14:paraId="2AB9A181" w14:textId="351B4440" w:rsidR="006C08F6" w:rsidRPr="00907C5A" w:rsidRDefault="006C08F6" w:rsidP="004D61B4">
            <w:pPr>
              <w:pStyle w:val="-7"/>
              <w:spacing w:line="192" w:lineRule="auto"/>
              <w:jc w:val="left"/>
              <w:rPr>
                <w:rtl/>
              </w:rPr>
            </w:pPr>
            <w:r w:rsidRPr="00907C5A">
              <w:rPr>
                <w:rFonts w:hint="cs"/>
                <w:rtl/>
              </w:rPr>
              <w:t xml:space="preserve"> </w:t>
            </w:r>
            <w:r w:rsidR="00C3721D">
              <w:rPr>
                <w:rFonts w:hint="cs"/>
                <w:rtl/>
              </w:rPr>
              <w:t>0%</w:t>
            </w:r>
          </w:p>
        </w:tc>
        <w:tc>
          <w:tcPr>
            <w:tcW w:w="1013" w:type="dxa"/>
            <w:gridSpan w:val="2"/>
            <w:vAlign w:val="bottom"/>
          </w:tcPr>
          <w:p w14:paraId="2E75A0B0" w14:textId="7BC41270" w:rsidR="006C08F6" w:rsidRPr="00907C5A" w:rsidRDefault="006C08F6" w:rsidP="004D61B4">
            <w:pPr>
              <w:pStyle w:val="-7"/>
              <w:spacing w:line="192" w:lineRule="auto"/>
              <w:jc w:val="left"/>
              <w:rPr>
                <w:rtl/>
              </w:rPr>
            </w:pPr>
            <w:r w:rsidRPr="00907C5A">
              <w:rPr>
                <w:rFonts w:hint="cs"/>
                <w:rtl/>
              </w:rPr>
              <w:t xml:space="preserve"> </w:t>
            </w:r>
            <w:r>
              <w:rPr>
                <w:rFonts w:hint="cs"/>
                <w:rtl/>
              </w:rPr>
              <w:t>0%</w:t>
            </w:r>
          </w:p>
        </w:tc>
      </w:tr>
      <w:tr w:rsidR="00636C86" w:rsidRPr="00907C5A" w14:paraId="74070B06" w14:textId="77777777" w:rsidTr="007F164F">
        <w:trPr>
          <w:gridAfter w:val="1"/>
          <w:wAfter w:w="522" w:type="dxa"/>
          <w:trHeight w:val="129"/>
        </w:trPr>
        <w:tc>
          <w:tcPr>
            <w:tcW w:w="1020" w:type="dxa"/>
          </w:tcPr>
          <w:p w14:paraId="6ED99856" w14:textId="77777777" w:rsidR="00636C86" w:rsidRPr="00907C5A" w:rsidRDefault="00636C86" w:rsidP="006F3019">
            <w:pPr>
              <w:pStyle w:val="-7"/>
              <w:spacing w:line="240" w:lineRule="auto"/>
              <w:jc w:val="left"/>
              <w:rPr>
                <w:rtl/>
              </w:rPr>
            </w:pPr>
          </w:p>
        </w:tc>
        <w:tc>
          <w:tcPr>
            <w:tcW w:w="440" w:type="dxa"/>
            <w:vAlign w:val="bottom"/>
          </w:tcPr>
          <w:p w14:paraId="2CB5FE86" w14:textId="77777777" w:rsidR="00636C86" w:rsidRPr="00907C5A" w:rsidRDefault="00636C86" w:rsidP="006F3019">
            <w:pPr>
              <w:pStyle w:val="-7"/>
              <w:spacing w:line="240" w:lineRule="auto"/>
              <w:jc w:val="left"/>
              <w:rPr>
                <w:rtl/>
              </w:rPr>
            </w:pPr>
          </w:p>
        </w:tc>
        <w:tc>
          <w:tcPr>
            <w:tcW w:w="5329" w:type="dxa"/>
            <w:gridSpan w:val="3"/>
            <w:vAlign w:val="bottom"/>
          </w:tcPr>
          <w:p w14:paraId="5CF22814" w14:textId="77777777" w:rsidR="00636C86" w:rsidRPr="00675677" w:rsidRDefault="00636C86" w:rsidP="004D61B4">
            <w:pPr>
              <w:pStyle w:val="-0"/>
              <w:spacing w:before="40" w:line="192" w:lineRule="auto"/>
              <w:ind w:left="778" w:hanging="454"/>
              <w:rPr>
                <w:sz w:val="18"/>
                <w:szCs w:val="18"/>
                <w:rtl/>
              </w:rPr>
            </w:pPr>
            <w:r w:rsidRPr="00675677">
              <w:rPr>
                <w:rFonts w:hint="cs"/>
                <w:color w:val="auto"/>
                <w:sz w:val="18"/>
                <w:szCs w:val="18"/>
                <w:rtl/>
              </w:rPr>
              <w:t>יחס</w:t>
            </w:r>
            <w:r w:rsidRPr="00675677">
              <w:rPr>
                <w:rFonts w:hint="cs"/>
                <w:sz w:val="18"/>
                <w:szCs w:val="18"/>
                <w:rtl/>
              </w:rPr>
              <w:t xml:space="preserve"> הון עצמי רובד 1 לרכיבי סיכון</w:t>
            </w:r>
          </w:p>
        </w:tc>
        <w:tc>
          <w:tcPr>
            <w:tcW w:w="921" w:type="dxa"/>
            <w:gridSpan w:val="2"/>
            <w:vAlign w:val="bottom"/>
          </w:tcPr>
          <w:p w14:paraId="50F87975" w14:textId="77777777" w:rsidR="00636C86" w:rsidRPr="00907C5A" w:rsidRDefault="00636C86" w:rsidP="004D61B4">
            <w:pPr>
              <w:pStyle w:val="-7"/>
              <w:spacing w:line="192" w:lineRule="auto"/>
              <w:jc w:val="left"/>
              <w:rPr>
                <w:rtl/>
              </w:rPr>
            </w:pPr>
            <w:r w:rsidRPr="00907C5A">
              <w:rPr>
                <w:rFonts w:hint="cs"/>
                <w:rtl/>
              </w:rPr>
              <w:t xml:space="preserve"> </w:t>
            </w:r>
            <w:r>
              <w:rPr>
                <w:rFonts w:hint="cs"/>
                <w:rtl/>
              </w:rPr>
              <w:t>0%</w:t>
            </w:r>
          </w:p>
        </w:tc>
        <w:tc>
          <w:tcPr>
            <w:tcW w:w="962" w:type="dxa"/>
            <w:gridSpan w:val="2"/>
            <w:vAlign w:val="bottom"/>
          </w:tcPr>
          <w:p w14:paraId="67585073" w14:textId="77777777" w:rsidR="00636C86" w:rsidRPr="00907C5A" w:rsidRDefault="00636C86" w:rsidP="004D61B4">
            <w:pPr>
              <w:pStyle w:val="-7"/>
              <w:spacing w:line="192" w:lineRule="auto"/>
              <w:jc w:val="left"/>
              <w:rPr>
                <w:rtl/>
              </w:rPr>
            </w:pPr>
            <w:r w:rsidRPr="00907C5A">
              <w:rPr>
                <w:rFonts w:hint="cs"/>
                <w:rtl/>
              </w:rPr>
              <w:t xml:space="preserve"> </w:t>
            </w:r>
            <w:r>
              <w:rPr>
                <w:rFonts w:hint="cs"/>
                <w:rtl/>
              </w:rPr>
              <w:t>0%</w:t>
            </w:r>
          </w:p>
        </w:tc>
        <w:tc>
          <w:tcPr>
            <w:tcW w:w="1013" w:type="dxa"/>
            <w:gridSpan w:val="2"/>
            <w:vAlign w:val="bottom"/>
          </w:tcPr>
          <w:p w14:paraId="4213288A" w14:textId="77777777" w:rsidR="00636C86" w:rsidRPr="00907C5A" w:rsidRDefault="00636C86" w:rsidP="004D61B4">
            <w:pPr>
              <w:pStyle w:val="-7"/>
              <w:spacing w:line="192" w:lineRule="auto"/>
              <w:jc w:val="left"/>
              <w:rPr>
                <w:rtl/>
              </w:rPr>
            </w:pPr>
            <w:r w:rsidRPr="00907C5A">
              <w:rPr>
                <w:rFonts w:hint="cs"/>
                <w:rtl/>
              </w:rPr>
              <w:t xml:space="preserve"> </w:t>
            </w:r>
            <w:r>
              <w:rPr>
                <w:rFonts w:hint="cs"/>
                <w:rtl/>
              </w:rPr>
              <w:t>0%</w:t>
            </w:r>
          </w:p>
        </w:tc>
      </w:tr>
      <w:tr w:rsidR="00636C86" w:rsidRPr="00907C5A" w14:paraId="16805F51" w14:textId="77777777" w:rsidTr="006947A1">
        <w:tc>
          <w:tcPr>
            <w:tcW w:w="1542" w:type="dxa"/>
            <w:gridSpan w:val="3"/>
          </w:tcPr>
          <w:p w14:paraId="4D3EDDAA" w14:textId="77777777" w:rsidR="00636C86" w:rsidRDefault="00636C86">
            <w:pPr>
              <w:pStyle w:val="-7"/>
              <w:bidi w:val="0"/>
              <w:spacing w:line="60" w:lineRule="exact"/>
              <w:rPr>
                <w:rtl/>
              </w:rPr>
            </w:pPr>
          </w:p>
        </w:tc>
        <w:tc>
          <w:tcPr>
            <w:tcW w:w="440" w:type="dxa"/>
            <w:vAlign w:val="bottom"/>
          </w:tcPr>
          <w:p w14:paraId="7FCA9F97" w14:textId="77777777" w:rsidR="00636C86" w:rsidRDefault="00636C86">
            <w:pPr>
              <w:pStyle w:val="-7"/>
              <w:bidi w:val="0"/>
              <w:spacing w:line="60" w:lineRule="exact"/>
              <w:rPr>
                <w:rtl/>
              </w:rPr>
            </w:pPr>
          </w:p>
        </w:tc>
        <w:tc>
          <w:tcPr>
            <w:tcW w:w="5329" w:type="dxa"/>
            <w:gridSpan w:val="2"/>
            <w:vAlign w:val="bottom"/>
          </w:tcPr>
          <w:p w14:paraId="1B596615" w14:textId="77777777" w:rsidR="00636C86" w:rsidRDefault="00636C86">
            <w:pPr>
              <w:pStyle w:val="-0"/>
              <w:bidi w:val="0"/>
              <w:spacing w:line="60" w:lineRule="exact"/>
              <w:ind w:left="475" w:firstLine="0"/>
              <w:jc w:val="both"/>
              <w:rPr>
                <w:rtl/>
              </w:rPr>
            </w:pPr>
          </w:p>
        </w:tc>
        <w:tc>
          <w:tcPr>
            <w:tcW w:w="921" w:type="dxa"/>
            <w:gridSpan w:val="2"/>
            <w:vAlign w:val="bottom"/>
          </w:tcPr>
          <w:p w14:paraId="4FAE01C7" w14:textId="77777777" w:rsidR="00636C86" w:rsidRDefault="00636C86">
            <w:pPr>
              <w:pStyle w:val="-7"/>
              <w:bidi w:val="0"/>
              <w:spacing w:line="60" w:lineRule="exact"/>
              <w:rPr>
                <w:rtl/>
              </w:rPr>
            </w:pPr>
          </w:p>
        </w:tc>
        <w:tc>
          <w:tcPr>
            <w:tcW w:w="962" w:type="dxa"/>
            <w:gridSpan w:val="2"/>
            <w:vAlign w:val="bottom"/>
          </w:tcPr>
          <w:p w14:paraId="61871A70" w14:textId="77777777" w:rsidR="00636C86" w:rsidRDefault="00636C86">
            <w:pPr>
              <w:pStyle w:val="-7"/>
              <w:bidi w:val="0"/>
              <w:spacing w:line="60" w:lineRule="exact"/>
              <w:rPr>
                <w:rtl/>
              </w:rPr>
            </w:pPr>
          </w:p>
        </w:tc>
        <w:tc>
          <w:tcPr>
            <w:tcW w:w="1013" w:type="dxa"/>
            <w:gridSpan w:val="2"/>
            <w:vAlign w:val="bottom"/>
          </w:tcPr>
          <w:p w14:paraId="170E3127" w14:textId="77777777" w:rsidR="00636C86" w:rsidRDefault="00636C86">
            <w:pPr>
              <w:pStyle w:val="-7"/>
              <w:bidi w:val="0"/>
              <w:spacing w:line="60" w:lineRule="exact"/>
              <w:rPr>
                <w:rtl/>
              </w:rPr>
            </w:pPr>
          </w:p>
        </w:tc>
      </w:tr>
    </w:tbl>
    <w:p w14:paraId="55D5581A" w14:textId="77777777" w:rsidR="006D22E3" w:rsidRDefault="006D22E3" w:rsidP="006D22E3">
      <w:pPr>
        <w:pStyle w:val="-2"/>
        <w:ind w:left="286" w:hanging="283"/>
        <w:rPr>
          <w:b w:val="0"/>
          <w:bCs w:val="0"/>
          <w:sz w:val="4"/>
          <w:szCs w:val="4"/>
          <w:rtl/>
        </w:rPr>
      </w:pPr>
    </w:p>
    <w:p w14:paraId="74A1C7B1" w14:textId="77777777" w:rsidR="006D22E3" w:rsidRPr="003057C5" w:rsidRDefault="006D22E3" w:rsidP="006D22E3">
      <w:pPr>
        <w:pStyle w:val="-2"/>
        <w:ind w:left="286" w:hanging="283"/>
        <w:rPr>
          <w:b w:val="0"/>
          <w:bCs w:val="0"/>
          <w:sz w:val="4"/>
          <w:szCs w:val="4"/>
          <w:rtl/>
        </w:rPr>
      </w:pPr>
    </w:p>
    <w:p w14:paraId="2B1B7E4A" w14:textId="77777777" w:rsidR="008A3A2A" w:rsidRDefault="008A3A2A"/>
    <w:tbl>
      <w:tblPr>
        <w:bidiVisual/>
        <w:tblW w:w="4638" w:type="pct"/>
        <w:jc w:val="right"/>
        <w:tblLook w:val="0000" w:firstRow="0" w:lastRow="0" w:firstColumn="0" w:lastColumn="0" w:noHBand="0" w:noVBand="0"/>
      </w:tblPr>
      <w:tblGrid>
        <w:gridCol w:w="964"/>
        <w:gridCol w:w="8504"/>
      </w:tblGrid>
      <w:tr w:rsidR="007F164F" w:rsidRPr="007363C7" w14:paraId="15251F16" w14:textId="77777777" w:rsidTr="007F164F">
        <w:trPr>
          <w:trHeight w:val="245"/>
          <w:jc w:val="right"/>
        </w:trPr>
        <w:tc>
          <w:tcPr>
            <w:tcW w:w="964" w:type="dxa"/>
          </w:tcPr>
          <w:p w14:paraId="68B23AC8" w14:textId="77777777" w:rsidR="007F164F" w:rsidRPr="00346496" w:rsidRDefault="007F164F" w:rsidP="001A3A57">
            <w:pPr>
              <w:pStyle w:val="-7"/>
              <w:spacing w:before="80" w:line="240" w:lineRule="auto"/>
              <w:rPr>
                <w:sz w:val="14"/>
                <w:szCs w:val="14"/>
                <w:rtl/>
              </w:rPr>
            </w:pPr>
          </w:p>
        </w:tc>
        <w:tc>
          <w:tcPr>
            <w:tcW w:w="8504" w:type="dxa"/>
          </w:tcPr>
          <w:p w14:paraId="66BDA9B9" w14:textId="0012C076" w:rsidR="007F164F" w:rsidRPr="008A3A2A" w:rsidRDefault="007F164F" w:rsidP="001A646D">
            <w:pPr>
              <w:pStyle w:val="-f4"/>
              <w:spacing w:after="0" w:line="240" w:lineRule="auto"/>
              <w:jc w:val="left"/>
              <w:rPr>
                <w:rtl/>
              </w:rPr>
            </w:pPr>
            <w:r w:rsidRPr="00D6057D">
              <w:rPr>
                <w:rFonts w:asciiTheme="minorBidi" w:hAnsiTheme="minorBidi" w:cstheme="minorBidi" w:hint="cs"/>
                <w:sz w:val="19"/>
                <w:szCs w:val="19"/>
                <w:rtl/>
              </w:rPr>
              <w:t xml:space="preserve">ה. </w:t>
            </w:r>
            <w:r w:rsidRPr="00D6057D">
              <w:rPr>
                <w:rFonts w:asciiTheme="minorBidi" w:hAnsiTheme="minorBidi" w:cstheme="minorBidi"/>
                <w:sz w:val="19"/>
                <w:szCs w:val="19"/>
                <w:rtl/>
              </w:rPr>
              <w:t>גיוס הון פיקוחי על ידי הנפקת כתבי התחייבות נדחים עם מנגנון לספיגת הפסדים</w:t>
            </w:r>
            <w:r>
              <w:rPr>
                <w:rFonts w:hint="cs"/>
                <w:rtl/>
              </w:rPr>
              <w:t xml:space="preserve"> </w:t>
            </w:r>
            <w:r w:rsidRPr="008A3A2A">
              <w:rPr>
                <w:rFonts w:hint="cs"/>
                <w:b w:val="0"/>
                <w:bCs w:val="0"/>
                <w:sz w:val="18"/>
                <w:szCs w:val="18"/>
                <w:rtl/>
              </w:rPr>
              <w:t>[</w:t>
            </w:r>
            <w:r>
              <w:rPr>
                <w:rFonts w:asciiTheme="minorBidi" w:hAnsiTheme="minorBidi" w:cstheme="minorBidi" w:hint="cs"/>
                <w:b w:val="0"/>
                <w:bCs w:val="0"/>
                <w:i/>
                <w:iCs/>
                <w:sz w:val="18"/>
                <w:szCs w:val="18"/>
                <w:rtl/>
              </w:rPr>
              <w:t>ככל שרלוונטי התאגיד הבנקאי יכלול גילוי מתייחס</w:t>
            </w:r>
            <w:r w:rsidRPr="008A3A2A">
              <w:rPr>
                <w:rFonts w:hint="cs"/>
                <w:b w:val="0"/>
                <w:bCs w:val="0"/>
                <w:sz w:val="18"/>
                <w:szCs w:val="18"/>
                <w:rtl/>
              </w:rPr>
              <w:t>]</w:t>
            </w:r>
          </w:p>
        </w:tc>
      </w:tr>
    </w:tbl>
    <w:p w14:paraId="754F74EF" w14:textId="448FB2CA" w:rsidR="008A3A2A" w:rsidRDefault="008A3A2A">
      <w:pPr>
        <w:rPr>
          <w:rtl/>
        </w:rPr>
      </w:pPr>
    </w:p>
    <w:p w14:paraId="57CAC699" w14:textId="77777777" w:rsidR="008A3A2A" w:rsidRDefault="008A3A2A"/>
    <w:tbl>
      <w:tblPr>
        <w:bidiVisual/>
        <w:tblW w:w="4914" w:type="pct"/>
        <w:jc w:val="right"/>
        <w:tblLook w:val="0000" w:firstRow="0" w:lastRow="0" w:firstColumn="0" w:lastColumn="0" w:noHBand="0" w:noVBand="0"/>
      </w:tblPr>
      <w:tblGrid>
        <w:gridCol w:w="820"/>
        <w:gridCol w:w="425"/>
        <w:gridCol w:w="5889"/>
        <w:gridCol w:w="903"/>
        <w:gridCol w:w="968"/>
        <w:gridCol w:w="1026"/>
      </w:tblGrid>
      <w:tr w:rsidR="008C0C84" w:rsidRPr="007363C7" w14:paraId="2E23C7C6" w14:textId="77777777" w:rsidTr="007F164F">
        <w:trPr>
          <w:trHeight w:val="245"/>
          <w:jc w:val="right"/>
        </w:trPr>
        <w:tc>
          <w:tcPr>
            <w:tcW w:w="820" w:type="dxa"/>
          </w:tcPr>
          <w:p w14:paraId="43FD5461" w14:textId="2CFD7193" w:rsidR="008C0C84" w:rsidRPr="00346496" w:rsidRDefault="008C0C84" w:rsidP="001A3A57">
            <w:pPr>
              <w:pStyle w:val="-7"/>
              <w:spacing w:before="80" w:line="240" w:lineRule="auto"/>
              <w:rPr>
                <w:sz w:val="14"/>
                <w:szCs w:val="14"/>
                <w:rtl/>
              </w:rPr>
            </w:pPr>
          </w:p>
        </w:tc>
        <w:tc>
          <w:tcPr>
            <w:tcW w:w="425" w:type="dxa"/>
          </w:tcPr>
          <w:p w14:paraId="689AD7DD" w14:textId="77777777" w:rsidR="008C0C84" w:rsidRDefault="008C0C84" w:rsidP="001A646D">
            <w:pPr>
              <w:pStyle w:val="-f4"/>
              <w:spacing w:after="0" w:line="240" w:lineRule="auto"/>
              <w:jc w:val="left"/>
              <w:rPr>
                <w:rtl/>
              </w:rPr>
            </w:pPr>
            <w:r>
              <w:rPr>
                <w:rFonts w:hint="cs"/>
                <w:rtl/>
              </w:rPr>
              <w:t>2.</w:t>
            </w:r>
          </w:p>
        </w:tc>
        <w:tc>
          <w:tcPr>
            <w:tcW w:w="8786" w:type="dxa"/>
            <w:gridSpan w:val="4"/>
          </w:tcPr>
          <w:p w14:paraId="17583632" w14:textId="732C97CC" w:rsidR="008C0C84" w:rsidRDefault="008C0C84" w:rsidP="001A646D">
            <w:pPr>
              <w:pStyle w:val="-f4"/>
              <w:spacing w:after="0" w:line="240" w:lineRule="auto"/>
              <w:jc w:val="left"/>
              <w:rPr>
                <w:rtl/>
              </w:rPr>
            </w:pPr>
            <w:r>
              <w:rPr>
                <w:rFonts w:hint="cs"/>
                <w:rtl/>
              </w:rPr>
              <w:t>יחס מינוף לפי הוראות המפקח על הבנקים:</w:t>
            </w:r>
            <w:r w:rsidRPr="00E704F0">
              <w:rPr>
                <w:rFonts w:hint="cs"/>
                <w:sz w:val="18"/>
                <w:szCs w:val="18"/>
                <w:vertAlign w:val="superscript"/>
                <w:rtl/>
              </w:rPr>
              <w:t>(א)</w:t>
            </w:r>
          </w:p>
        </w:tc>
      </w:tr>
      <w:tr w:rsidR="003E0E94" w:rsidRPr="00F078C3" w14:paraId="7C85E4EE" w14:textId="77777777" w:rsidTr="007F164F">
        <w:tblPrEx>
          <w:tblLook w:val="01E0" w:firstRow="1" w:lastRow="1" w:firstColumn="1" w:lastColumn="1" w:noHBand="0" w:noVBand="0"/>
        </w:tblPrEx>
        <w:trPr>
          <w:jc w:val="right"/>
        </w:trPr>
        <w:tc>
          <w:tcPr>
            <w:tcW w:w="820" w:type="dxa"/>
          </w:tcPr>
          <w:p w14:paraId="2DB3C5D5" w14:textId="77777777" w:rsidR="003E0E94" w:rsidRPr="00F078C3" w:rsidRDefault="003E0E94" w:rsidP="00030C7C">
            <w:pPr>
              <w:pStyle w:val="-7"/>
              <w:spacing w:before="24" w:line="216" w:lineRule="auto"/>
              <w:jc w:val="left"/>
              <w:rPr>
                <w:b/>
                <w:bCs/>
                <w:rtl/>
              </w:rPr>
            </w:pPr>
          </w:p>
        </w:tc>
        <w:tc>
          <w:tcPr>
            <w:tcW w:w="425" w:type="dxa"/>
            <w:vAlign w:val="bottom"/>
          </w:tcPr>
          <w:p w14:paraId="64B93A1E" w14:textId="77777777" w:rsidR="003E0E94" w:rsidRPr="00F078C3" w:rsidRDefault="003E0E94" w:rsidP="00030C7C">
            <w:pPr>
              <w:pStyle w:val="-7"/>
              <w:spacing w:before="24" w:line="216" w:lineRule="auto"/>
              <w:jc w:val="left"/>
              <w:rPr>
                <w:b/>
                <w:bCs/>
                <w:rtl/>
              </w:rPr>
            </w:pPr>
          </w:p>
        </w:tc>
        <w:tc>
          <w:tcPr>
            <w:tcW w:w="5889" w:type="dxa"/>
            <w:vAlign w:val="bottom"/>
          </w:tcPr>
          <w:p w14:paraId="30F78484" w14:textId="77777777" w:rsidR="003E0E94" w:rsidRPr="00C01349" w:rsidRDefault="003E0E94" w:rsidP="00030C7C">
            <w:pPr>
              <w:pStyle w:val="-0"/>
              <w:spacing w:before="24" w:line="216" w:lineRule="auto"/>
              <w:ind w:left="392" w:hanging="392"/>
              <w:jc w:val="center"/>
              <w:rPr>
                <w:b/>
                <w:bCs/>
                <w:sz w:val="18"/>
                <w:szCs w:val="18"/>
                <w:rtl/>
              </w:rPr>
            </w:pPr>
          </w:p>
        </w:tc>
        <w:tc>
          <w:tcPr>
            <w:tcW w:w="1871" w:type="dxa"/>
            <w:gridSpan w:val="2"/>
            <w:vAlign w:val="bottom"/>
          </w:tcPr>
          <w:p w14:paraId="74862EA7" w14:textId="770253F1" w:rsidR="003E0E94" w:rsidRPr="00C01349" w:rsidRDefault="003E0E94" w:rsidP="00CA6063">
            <w:pPr>
              <w:pStyle w:val="-4"/>
              <w:pBdr>
                <w:bottom w:val="single" w:sz="4" w:space="1" w:color="auto"/>
              </w:pBdr>
              <w:spacing w:before="24" w:line="168" w:lineRule="auto"/>
              <w:rPr>
                <w:sz w:val="18"/>
                <w:szCs w:val="18"/>
                <w:rtl/>
              </w:rPr>
            </w:pPr>
            <w:r w:rsidRPr="00C01349">
              <w:rPr>
                <w:rFonts w:hint="cs"/>
                <w:sz w:val="18"/>
                <w:szCs w:val="18"/>
                <w:rtl/>
              </w:rPr>
              <w:t>ליום 30 ביוני</w:t>
            </w:r>
          </w:p>
        </w:tc>
        <w:tc>
          <w:tcPr>
            <w:tcW w:w="1026" w:type="dxa"/>
            <w:vAlign w:val="bottom"/>
          </w:tcPr>
          <w:p w14:paraId="5AB8BF0B" w14:textId="7F40828C" w:rsidR="003E0E94" w:rsidRPr="00C01349" w:rsidRDefault="003E0E94" w:rsidP="00CA6063">
            <w:pPr>
              <w:pStyle w:val="-4"/>
              <w:pBdr>
                <w:bottom w:val="single" w:sz="4" w:space="1" w:color="auto"/>
              </w:pBdr>
              <w:spacing w:before="24" w:line="168" w:lineRule="auto"/>
              <w:rPr>
                <w:sz w:val="18"/>
                <w:szCs w:val="18"/>
                <w:rtl/>
              </w:rPr>
            </w:pPr>
            <w:r w:rsidRPr="00C01349">
              <w:rPr>
                <w:rFonts w:hint="cs"/>
                <w:sz w:val="18"/>
                <w:szCs w:val="18"/>
                <w:rtl/>
              </w:rPr>
              <w:t xml:space="preserve">ליום 31 בדצמבר </w:t>
            </w:r>
          </w:p>
        </w:tc>
      </w:tr>
      <w:tr w:rsidR="003E0E94" w:rsidRPr="00F078C3" w14:paraId="0085E7EF" w14:textId="77777777" w:rsidTr="007F164F">
        <w:tblPrEx>
          <w:tblLook w:val="01E0" w:firstRow="1" w:lastRow="1" w:firstColumn="1" w:lastColumn="1" w:noHBand="0" w:noVBand="0"/>
        </w:tblPrEx>
        <w:trPr>
          <w:jc w:val="right"/>
        </w:trPr>
        <w:tc>
          <w:tcPr>
            <w:tcW w:w="820" w:type="dxa"/>
          </w:tcPr>
          <w:p w14:paraId="1B7FC792" w14:textId="77777777" w:rsidR="003E0E94" w:rsidRPr="00F078C3" w:rsidRDefault="003E0E94" w:rsidP="00030C7C">
            <w:pPr>
              <w:pStyle w:val="-7"/>
              <w:spacing w:before="24" w:line="216" w:lineRule="auto"/>
              <w:jc w:val="left"/>
              <w:rPr>
                <w:b/>
                <w:bCs/>
                <w:rtl/>
              </w:rPr>
            </w:pPr>
          </w:p>
        </w:tc>
        <w:tc>
          <w:tcPr>
            <w:tcW w:w="425" w:type="dxa"/>
            <w:vAlign w:val="bottom"/>
          </w:tcPr>
          <w:p w14:paraId="1017F0AD" w14:textId="77777777" w:rsidR="003E0E94" w:rsidRPr="00F078C3" w:rsidRDefault="003E0E94" w:rsidP="00030C7C">
            <w:pPr>
              <w:pStyle w:val="-7"/>
              <w:spacing w:before="24" w:line="216" w:lineRule="auto"/>
              <w:jc w:val="left"/>
              <w:rPr>
                <w:b/>
                <w:bCs/>
                <w:rtl/>
              </w:rPr>
            </w:pPr>
          </w:p>
        </w:tc>
        <w:tc>
          <w:tcPr>
            <w:tcW w:w="5889" w:type="dxa"/>
            <w:vAlign w:val="bottom"/>
          </w:tcPr>
          <w:p w14:paraId="0178DF03" w14:textId="77777777" w:rsidR="003E0E94" w:rsidRPr="00C01349" w:rsidRDefault="003E0E94" w:rsidP="00030C7C">
            <w:pPr>
              <w:pStyle w:val="-0"/>
              <w:spacing w:before="24" w:line="216" w:lineRule="auto"/>
              <w:ind w:left="392" w:hanging="392"/>
              <w:jc w:val="center"/>
              <w:rPr>
                <w:b/>
                <w:bCs/>
                <w:sz w:val="18"/>
                <w:szCs w:val="18"/>
                <w:rtl/>
              </w:rPr>
            </w:pPr>
          </w:p>
        </w:tc>
        <w:tc>
          <w:tcPr>
            <w:tcW w:w="903" w:type="dxa"/>
            <w:vAlign w:val="bottom"/>
          </w:tcPr>
          <w:p w14:paraId="1510387B" w14:textId="5ABD8D5D" w:rsidR="003E0E94" w:rsidRPr="00C01349" w:rsidRDefault="003E0E94" w:rsidP="00CA6063">
            <w:pPr>
              <w:pStyle w:val="-4"/>
              <w:pBdr>
                <w:bottom w:val="single" w:sz="4" w:space="1" w:color="auto"/>
              </w:pBdr>
              <w:spacing w:before="24" w:line="168" w:lineRule="auto"/>
              <w:rPr>
                <w:sz w:val="18"/>
                <w:szCs w:val="18"/>
                <w:rtl/>
              </w:rPr>
            </w:pPr>
            <w:r w:rsidRPr="00C01349">
              <w:rPr>
                <w:sz w:val="18"/>
                <w:szCs w:val="18"/>
                <w:rtl/>
              </w:rPr>
              <w:fldChar w:fldCharType="begin"/>
            </w:r>
            <w:r w:rsidRPr="00C01349">
              <w:rPr>
                <w:sz w:val="18"/>
                <w:szCs w:val="18"/>
                <w:rtl/>
              </w:rPr>
              <w:instrText xml:space="preserve"> </w:instrText>
            </w:r>
            <w:r w:rsidRPr="00C01349">
              <w:rPr>
                <w:rFonts w:hint="cs"/>
                <w:sz w:val="18"/>
                <w:szCs w:val="18"/>
                <w:rtl/>
              </w:rPr>
              <w:instrText xml:space="preserve">= </w:instrText>
            </w:r>
            <w:r w:rsidRPr="00C01349">
              <w:rPr>
                <w:rFonts w:hint="cs"/>
                <w:sz w:val="18"/>
                <w:szCs w:val="18"/>
              </w:rPr>
              <w:instrText>CY \* MERGEFORMAT</w:instrText>
            </w:r>
            <w:r w:rsidRPr="00C01349">
              <w:rPr>
                <w:sz w:val="18"/>
                <w:szCs w:val="18"/>
                <w:rtl/>
              </w:rPr>
              <w:instrText xml:space="preserve"> </w:instrText>
            </w:r>
            <w:r w:rsidRPr="00C01349">
              <w:rPr>
                <w:sz w:val="18"/>
                <w:szCs w:val="18"/>
                <w:rtl/>
              </w:rPr>
              <w:fldChar w:fldCharType="separate"/>
            </w:r>
            <w:r w:rsidR="003A584F">
              <w:rPr>
                <w:noProof/>
                <w:sz w:val="18"/>
                <w:szCs w:val="18"/>
                <w:rtl/>
              </w:rPr>
              <w:t>2024</w:t>
            </w:r>
            <w:r w:rsidRPr="00C01349">
              <w:rPr>
                <w:sz w:val="18"/>
                <w:szCs w:val="18"/>
                <w:rtl/>
              </w:rPr>
              <w:fldChar w:fldCharType="end"/>
            </w:r>
          </w:p>
        </w:tc>
        <w:tc>
          <w:tcPr>
            <w:tcW w:w="968" w:type="dxa"/>
            <w:vAlign w:val="bottom"/>
          </w:tcPr>
          <w:p w14:paraId="2A53779D" w14:textId="4FC80FA0" w:rsidR="003E0E94" w:rsidRPr="00C01349" w:rsidRDefault="003E0E94" w:rsidP="00CA6063">
            <w:pPr>
              <w:pStyle w:val="-4"/>
              <w:pBdr>
                <w:bottom w:val="single" w:sz="4" w:space="1" w:color="auto"/>
              </w:pBdr>
              <w:spacing w:before="24" w:line="168" w:lineRule="auto"/>
              <w:rPr>
                <w:sz w:val="18"/>
                <w:szCs w:val="18"/>
                <w:rtl/>
              </w:rPr>
            </w:pPr>
            <w:r w:rsidRPr="00C01349">
              <w:rPr>
                <w:sz w:val="18"/>
                <w:szCs w:val="18"/>
                <w:rtl/>
              </w:rPr>
              <w:fldChar w:fldCharType="begin"/>
            </w:r>
            <w:r w:rsidRPr="00C01349">
              <w:rPr>
                <w:sz w:val="18"/>
                <w:szCs w:val="18"/>
                <w:rtl/>
              </w:rPr>
              <w:instrText xml:space="preserve"> </w:instrText>
            </w:r>
            <w:r w:rsidRPr="00C01349">
              <w:rPr>
                <w:rFonts w:hint="cs"/>
                <w:sz w:val="18"/>
                <w:szCs w:val="18"/>
                <w:rtl/>
              </w:rPr>
              <w:instrText xml:space="preserve">= </w:instrText>
            </w:r>
            <w:r w:rsidRPr="00C01349">
              <w:rPr>
                <w:rFonts w:hint="cs"/>
                <w:sz w:val="18"/>
                <w:szCs w:val="18"/>
              </w:rPr>
              <w:instrText>CY</w:instrText>
            </w:r>
            <w:r w:rsidRPr="00C01349">
              <w:rPr>
                <w:sz w:val="18"/>
                <w:szCs w:val="18"/>
              </w:rPr>
              <w:instrText>-1</w:instrText>
            </w:r>
            <w:r w:rsidRPr="00C01349">
              <w:rPr>
                <w:rFonts w:hint="cs"/>
                <w:sz w:val="18"/>
                <w:szCs w:val="18"/>
              </w:rPr>
              <w:instrText xml:space="preserve"> \* MERGEFORMAT</w:instrText>
            </w:r>
            <w:r w:rsidRPr="00C01349">
              <w:rPr>
                <w:sz w:val="18"/>
                <w:szCs w:val="18"/>
                <w:rtl/>
              </w:rPr>
              <w:instrText xml:space="preserve"> </w:instrText>
            </w:r>
            <w:r w:rsidRPr="00C01349">
              <w:rPr>
                <w:sz w:val="18"/>
                <w:szCs w:val="18"/>
                <w:rtl/>
              </w:rPr>
              <w:fldChar w:fldCharType="separate"/>
            </w:r>
            <w:r w:rsidR="003A584F">
              <w:rPr>
                <w:noProof/>
                <w:sz w:val="18"/>
                <w:szCs w:val="18"/>
                <w:rtl/>
              </w:rPr>
              <w:t>2023</w:t>
            </w:r>
            <w:r w:rsidRPr="00C01349">
              <w:rPr>
                <w:sz w:val="18"/>
                <w:szCs w:val="18"/>
                <w:rtl/>
              </w:rPr>
              <w:fldChar w:fldCharType="end"/>
            </w:r>
          </w:p>
        </w:tc>
        <w:tc>
          <w:tcPr>
            <w:tcW w:w="1026" w:type="dxa"/>
            <w:vAlign w:val="bottom"/>
          </w:tcPr>
          <w:p w14:paraId="5F209877" w14:textId="77EB7950" w:rsidR="003E0E94" w:rsidRPr="00C01349" w:rsidRDefault="003E0E94" w:rsidP="00CA6063">
            <w:pPr>
              <w:pStyle w:val="-4"/>
              <w:pBdr>
                <w:bottom w:val="single" w:sz="4" w:space="1" w:color="auto"/>
              </w:pBdr>
              <w:spacing w:before="24" w:line="168" w:lineRule="auto"/>
              <w:rPr>
                <w:sz w:val="18"/>
                <w:szCs w:val="18"/>
                <w:rtl/>
              </w:rPr>
            </w:pPr>
            <w:r w:rsidRPr="00C01349">
              <w:rPr>
                <w:sz w:val="18"/>
                <w:szCs w:val="18"/>
                <w:rtl/>
              </w:rPr>
              <w:fldChar w:fldCharType="begin"/>
            </w:r>
            <w:r w:rsidRPr="00C01349">
              <w:rPr>
                <w:sz w:val="18"/>
                <w:szCs w:val="18"/>
                <w:rtl/>
              </w:rPr>
              <w:instrText xml:space="preserve"> </w:instrText>
            </w:r>
            <w:r w:rsidRPr="00C01349">
              <w:rPr>
                <w:rFonts w:hint="cs"/>
                <w:sz w:val="18"/>
                <w:szCs w:val="18"/>
                <w:rtl/>
              </w:rPr>
              <w:instrText xml:space="preserve">= </w:instrText>
            </w:r>
            <w:r w:rsidRPr="00C01349">
              <w:rPr>
                <w:rFonts w:hint="cs"/>
                <w:sz w:val="18"/>
                <w:szCs w:val="18"/>
              </w:rPr>
              <w:instrText>CY</w:instrText>
            </w:r>
            <w:r w:rsidRPr="00C01349">
              <w:rPr>
                <w:sz w:val="18"/>
                <w:szCs w:val="18"/>
              </w:rPr>
              <w:instrText>-1</w:instrText>
            </w:r>
            <w:r w:rsidRPr="00C01349">
              <w:rPr>
                <w:rFonts w:hint="cs"/>
                <w:sz w:val="18"/>
                <w:szCs w:val="18"/>
              </w:rPr>
              <w:instrText xml:space="preserve"> \* MERGEFORMAT</w:instrText>
            </w:r>
            <w:r w:rsidRPr="00C01349">
              <w:rPr>
                <w:sz w:val="18"/>
                <w:szCs w:val="18"/>
                <w:rtl/>
              </w:rPr>
              <w:instrText xml:space="preserve"> </w:instrText>
            </w:r>
            <w:r w:rsidRPr="00C01349">
              <w:rPr>
                <w:sz w:val="18"/>
                <w:szCs w:val="18"/>
                <w:rtl/>
              </w:rPr>
              <w:fldChar w:fldCharType="separate"/>
            </w:r>
            <w:r w:rsidR="003A584F">
              <w:rPr>
                <w:noProof/>
                <w:sz w:val="18"/>
                <w:szCs w:val="18"/>
                <w:rtl/>
              </w:rPr>
              <w:t>2023</w:t>
            </w:r>
            <w:r w:rsidRPr="00C01349">
              <w:rPr>
                <w:sz w:val="18"/>
                <w:szCs w:val="18"/>
                <w:rtl/>
              </w:rPr>
              <w:fldChar w:fldCharType="end"/>
            </w:r>
          </w:p>
        </w:tc>
      </w:tr>
      <w:tr w:rsidR="008C0C84" w:rsidRPr="00F078C3" w14:paraId="5E7595FD" w14:textId="77777777" w:rsidTr="007F164F">
        <w:tblPrEx>
          <w:tblLook w:val="01E0" w:firstRow="1" w:lastRow="1" w:firstColumn="1" w:lastColumn="1" w:noHBand="0" w:noVBand="0"/>
        </w:tblPrEx>
        <w:trPr>
          <w:jc w:val="right"/>
        </w:trPr>
        <w:tc>
          <w:tcPr>
            <w:tcW w:w="820" w:type="dxa"/>
          </w:tcPr>
          <w:p w14:paraId="37AC79CB" w14:textId="77777777" w:rsidR="008C0C84" w:rsidRPr="00F078C3" w:rsidRDefault="008C0C84" w:rsidP="001A646D">
            <w:pPr>
              <w:pStyle w:val="-7"/>
              <w:jc w:val="left"/>
              <w:rPr>
                <w:b/>
                <w:bCs/>
                <w:rtl/>
              </w:rPr>
            </w:pPr>
          </w:p>
        </w:tc>
        <w:tc>
          <w:tcPr>
            <w:tcW w:w="425" w:type="dxa"/>
            <w:vAlign w:val="bottom"/>
          </w:tcPr>
          <w:p w14:paraId="6EC939FC" w14:textId="77777777" w:rsidR="008C0C84" w:rsidRPr="00F078C3" w:rsidRDefault="008C0C84" w:rsidP="001A646D">
            <w:pPr>
              <w:pStyle w:val="-7"/>
              <w:jc w:val="left"/>
              <w:rPr>
                <w:b/>
                <w:bCs/>
                <w:rtl/>
              </w:rPr>
            </w:pPr>
          </w:p>
        </w:tc>
        <w:tc>
          <w:tcPr>
            <w:tcW w:w="5889" w:type="dxa"/>
            <w:vAlign w:val="bottom"/>
          </w:tcPr>
          <w:p w14:paraId="38C25F33" w14:textId="77777777" w:rsidR="008C0C84" w:rsidRPr="00C01349" w:rsidRDefault="008C0C84" w:rsidP="001A646D">
            <w:pPr>
              <w:pStyle w:val="-0"/>
              <w:spacing w:line="240" w:lineRule="auto"/>
              <w:ind w:left="392" w:hanging="392"/>
              <w:jc w:val="center"/>
              <w:rPr>
                <w:b/>
                <w:bCs/>
                <w:sz w:val="18"/>
                <w:szCs w:val="18"/>
                <w:rtl/>
              </w:rPr>
            </w:pPr>
          </w:p>
        </w:tc>
        <w:tc>
          <w:tcPr>
            <w:tcW w:w="1871" w:type="dxa"/>
            <w:gridSpan w:val="2"/>
            <w:vAlign w:val="bottom"/>
          </w:tcPr>
          <w:p w14:paraId="13CAFBAD" w14:textId="77777777" w:rsidR="008C0C84" w:rsidRPr="00C01349" w:rsidRDefault="008C0C84" w:rsidP="00CA6063">
            <w:pPr>
              <w:pStyle w:val="-7"/>
              <w:pBdr>
                <w:bottom w:val="single" w:sz="4" w:space="1" w:color="auto"/>
              </w:pBdr>
              <w:spacing w:line="168" w:lineRule="auto"/>
              <w:jc w:val="center"/>
              <w:rPr>
                <w:b/>
                <w:bCs/>
                <w:color w:val="000000"/>
                <w:sz w:val="18"/>
                <w:szCs w:val="18"/>
                <w:rtl/>
                <w:lang w:eastAsia="he-IL"/>
              </w:rPr>
            </w:pPr>
            <w:r w:rsidRPr="00C01349">
              <w:rPr>
                <w:rFonts w:hint="cs"/>
                <w:b/>
                <w:bCs/>
                <w:sz w:val="18"/>
                <w:szCs w:val="18"/>
                <w:rtl/>
              </w:rPr>
              <w:t>בלתי מבוקר</w:t>
            </w:r>
          </w:p>
        </w:tc>
        <w:tc>
          <w:tcPr>
            <w:tcW w:w="1026" w:type="dxa"/>
            <w:vAlign w:val="bottom"/>
          </w:tcPr>
          <w:p w14:paraId="6D25CEA6" w14:textId="77777777" w:rsidR="008C0C84" w:rsidRPr="00C01349" w:rsidRDefault="008C0C84" w:rsidP="00CA6063">
            <w:pPr>
              <w:pStyle w:val="-7"/>
              <w:pBdr>
                <w:bottom w:val="single" w:sz="4" w:space="1" w:color="auto"/>
              </w:pBdr>
              <w:spacing w:line="168" w:lineRule="auto"/>
              <w:jc w:val="center"/>
              <w:rPr>
                <w:b/>
                <w:bCs/>
                <w:color w:val="000000"/>
                <w:sz w:val="18"/>
                <w:szCs w:val="18"/>
                <w:rtl/>
                <w:lang w:eastAsia="he-IL"/>
              </w:rPr>
            </w:pPr>
            <w:r w:rsidRPr="00C01349">
              <w:rPr>
                <w:rFonts w:hint="cs"/>
                <w:b/>
                <w:bCs/>
                <w:sz w:val="18"/>
                <w:szCs w:val="18"/>
                <w:rtl/>
              </w:rPr>
              <w:t>מבוקר</w:t>
            </w:r>
          </w:p>
        </w:tc>
      </w:tr>
      <w:tr w:rsidR="008C0C84" w:rsidRPr="00907C5A" w14:paraId="3C2517BF" w14:textId="77777777" w:rsidTr="007F164F">
        <w:tblPrEx>
          <w:tblLook w:val="01E0" w:firstRow="1" w:lastRow="1" w:firstColumn="1" w:lastColumn="1" w:noHBand="0" w:noVBand="0"/>
        </w:tblPrEx>
        <w:trPr>
          <w:trHeight w:val="227"/>
          <w:jc w:val="right"/>
        </w:trPr>
        <w:tc>
          <w:tcPr>
            <w:tcW w:w="820" w:type="dxa"/>
          </w:tcPr>
          <w:p w14:paraId="6007E319" w14:textId="77777777" w:rsidR="008C0C84" w:rsidRDefault="008C0C84" w:rsidP="001A646D">
            <w:pPr>
              <w:pStyle w:val="-7"/>
              <w:spacing w:line="240" w:lineRule="exact"/>
              <w:jc w:val="left"/>
              <w:rPr>
                <w:rtl/>
              </w:rPr>
            </w:pPr>
          </w:p>
        </w:tc>
        <w:tc>
          <w:tcPr>
            <w:tcW w:w="425" w:type="dxa"/>
            <w:vAlign w:val="bottom"/>
          </w:tcPr>
          <w:p w14:paraId="29A02E45" w14:textId="77777777" w:rsidR="008C0C84" w:rsidRDefault="008C0C84" w:rsidP="001A646D">
            <w:pPr>
              <w:pStyle w:val="-7"/>
              <w:spacing w:line="240" w:lineRule="exact"/>
              <w:jc w:val="left"/>
              <w:rPr>
                <w:rtl/>
              </w:rPr>
            </w:pPr>
          </w:p>
        </w:tc>
        <w:tc>
          <w:tcPr>
            <w:tcW w:w="5889" w:type="dxa"/>
            <w:vAlign w:val="bottom"/>
          </w:tcPr>
          <w:p w14:paraId="011BCE09" w14:textId="77777777" w:rsidR="008C0C84" w:rsidRPr="00C01349" w:rsidRDefault="008C0C84" w:rsidP="00675677">
            <w:pPr>
              <w:pStyle w:val="-0"/>
              <w:tabs>
                <w:tab w:val="left" w:pos="313"/>
              </w:tabs>
              <w:spacing w:line="240" w:lineRule="exact"/>
              <w:ind w:left="313" w:hanging="313"/>
              <w:rPr>
                <w:b/>
                <w:bCs/>
                <w:sz w:val="18"/>
                <w:szCs w:val="18"/>
                <w:rtl/>
              </w:rPr>
            </w:pPr>
            <w:r w:rsidRPr="00C01349">
              <w:rPr>
                <w:rFonts w:hint="eastAsia"/>
                <w:b/>
                <w:bCs/>
                <w:sz w:val="18"/>
                <w:szCs w:val="18"/>
                <w:rtl/>
              </w:rPr>
              <w:t>א</w:t>
            </w:r>
            <w:r w:rsidRPr="00C01349">
              <w:rPr>
                <w:b/>
                <w:bCs/>
                <w:sz w:val="18"/>
                <w:szCs w:val="18"/>
                <w:rtl/>
              </w:rPr>
              <w:t>.</w:t>
            </w:r>
            <w:r w:rsidRPr="00C01349">
              <w:rPr>
                <w:b/>
                <w:bCs/>
                <w:sz w:val="18"/>
                <w:szCs w:val="18"/>
                <w:rtl/>
              </w:rPr>
              <w:tab/>
            </w:r>
            <w:r w:rsidRPr="00C01349">
              <w:rPr>
                <w:rFonts w:hint="eastAsia"/>
                <w:b/>
                <w:bCs/>
                <w:sz w:val="18"/>
                <w:szCs w:val="18"/>
                <w:rtl/>
              </w:rPr>
              <w:t>בנתוני</w:t>
            </w:r>
            <w:r w:rsidRPr="00C01349">
              <w:rPr>
                <w:b/>
                <w:bCs/>
                <w:sz w:val="18"/>
                <w:szCs w:val="18"/>
                <w:rtl/>
              </w:rPr>
              <w:t xml:space="preserve"> </w:t>
            </w:r>
            <w:r w:rsidRPr="00C01349">
              <w:rPr>
                <w:rFonts w:hint="eastAsia"/>
                <w:b/>
                <w:bCs/>
                <w:sz w:val="18"/>
                <w:szCs w:val="18"/>
                <w:rtl/>
              </w:rPr>
              <w:t>המאוחד</w:t>
            </w:r>
            <w:r w:rsidRPr="00C01349">
              <w:rPr>
                <w:rFonts w:hint="cs"/>
                <w:b/>
                <w:bCs/>
                <w:sz w:val="18"/>
                <w:szCs w:val="18"/>
                <w:rtl/>
              </w:rPr>
              <w:t>:</w:t>
            </w:r>
          </w:p>
        </w:tc>
        <w:tc>
          <w:tcPr>
            <w:tcW w:w="903" w:type="dxa"/>
          </w:tcPr>
          <w:p w14:paraId="22BBCEE4" w14:textId="77777777" w:rsidR="008C0C84" w:rsidRPr="00C01349" w:rsidRDefault="008C0C84" w:rsidP="001A646D">
            <w:pPr>
              <w:pStyle w:val="-7"/>
              <w:spacing w:line="240" w:lineRule="exact"/>
              <w:jc w:val="left"/>
              <w:rPr>
                <w:sz w:val="18"/>
                <w:szCs w:val="18"/>
                <w:rtl/>
              </w:rPr>
            </w:pPr>
          </w:p>
        </w:tc>
        <w:tc>
          <w:tcPr>
            <w:tcW w:w="968" w:type="dxa"/>
          </w:tcPr>
          <w:p w14:paraId="19FCCD55" w14:textId="77777777" w:rsidR="008C0C84" w:rsidRPr="00C01349" w:rsidRDefault="008C0C84" w:rsidP="001A646D">
            <w:pPr>
              <w:pStyle w:val="-7"/>
              <w:spacing w:line="240" w:lineRule="exact"/>
              <w:jc w:val="left"/>
              <w:rPr>
                <w:sz w:val="18"/>
                <w:szCs w:val="18"/>
                <w:rtl/>
              </w:rPr>
            </w:pPr>
          </w:p>
        </w:tc>
        <w:tc>
          <w:tcPr>
            <w:tcW w:w="1026" w:type="dxa"/>
            <w:vAlign w:val="bottom"/>
          </w:tcPr>
          <w:p w14:paraId="125E0651" w14:textId="77777777" w:rsidR="008C0C84" w:rsidRPr="00C01349" w:rsidRDefault="008C0C84" w:rsidP="001A646D">
            <w:pPr>
              <w:pStyle w:val="-7"/>
              <w:spacing w:line="240" w:lineRule="exact"/>
              <w:jc w:val="left"/>
              <w:rPr>
                <w:sz w:val="18"/>
                <w:szCs w:val="18"/>
                <w:rtl/>
              </w:rPr>
            </w:pPr>
          </w:p>
        </w:tc>
      </w:tr>
      <w:tr w:rsidR="008C0C84" w:rsidRPr="00907C5A" w14:paraId="01B01E11" w14:textId="77777777" w:rsidTr="007F164F">
        <w:tblPrEx>
          <w:tblLook w:val="01E0" w:firstRow="1" w:lastRow="1" w:firstColumn="1" w:lastColumn="1" w:noHBand="0" w:noVBand="0"/>
        </w:tblPrEx>
        <w:trPr>
          <w:trHeight w:val="227"/>
          <w:jc w:val="right"/>
        </w:trPr>
        <w:tc>
          <w:tcPr>
            <w:tcW w:w="820" w:type="dxa"/>
          </w:tcPr>
          <w:p w14:paraId="760CD310" w14:textId="77777777" w:rsidR="008C0C84" w:rsidRDefault="008C0C84" w:rsidP="001A646D">
            <w:pPr>
              <w:pStyle w:val="-7"/>
              <w:spacing w:line="240" w:lineRule="exact"/>
              <w:jc w:val="left"/>
              <w:rPr>
                <w:rtl/>
              </w:rPr>
            </w:pPr>
          </w:p>
        </w:tc>
        <w:tc>
          <w:tcPr>
            <w:tcW w:w="425" w:type="dxa"/>
            <w:vAlign w:val="bottom"/>
          </w:tcPr>
          <w:p w14:paraId="6509F8B5" w14:textId="77777777" w:rsidR="008C0C84" w:rsidRDefault="008C0C84" w:rsidP="001A646D">
            <w:pPr>
              <w:pStyle w:val="-7"/>
              <w:spacing w:line="240" w:lineRule="exact"/>
              <w:jc w:val="left"/>
              <w:rPr>
                <w:rtl/>
              </w:rPr>
            </w:pPr>
          </w:p>
        </w:tc>
        <w:tc>
          <w:tcPr>
            <w:tcW w:w="5889" w:type="dxa"/>
            <w:vAlign w:val="bottom"/>
          </w:tcPr>
          <w:p w14:paraId="4A97272C" w14:textId="77777777" w:rsidR="008C0C84" w:rsidRPr="00C01349" w:rsidRDefault="008C0C84" w:rsidP="001A646D">
            <w:pPr>
              <w:pStyle w:val="-0"/>
              <w:spacing w:line="240" w:lineRule="exact"/>
              <w:ind w:left="382" w:firstLine="0"/>
              <w:rPr>
                <w:sz w:val="18"/>
                <w:szCs w:val="18"/>
                <w:rtl/>
              </w:rPr>
            </w:pPr>
            <w:r w:rsidRPr="00C01349">
              <w:rPr>
                <w:rFonts w:hint="cs"/>
                <w:sz w:val="18"/>
                <w:szCs w:val="18"/>
                <w:rtl/>
              </w:rPr>
              <w:t>הון רובד 1</w:t>
            </w:r>
            <w:r w:rsidRPr="00C01349">
              <w:rPr>
                <w:sz w:val="18"/>
                <w:szCs w:val="18"/>
                <w:vertAlign w:val="superscript"/>
                <w:rtl/>
              </w:rPr>
              <w:t>(ב)</w:t>
            </w:r>
          </w:p>
        </w:tc>
        <w:tc>
          <w:tcPr>
            <w:tcW w:w="903" w:type="dxa"/>
            <w:vAlign w:val="bottom"/>
          </w:tcPr>
          <w:p w14:paraId="23C6A0A6"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c>
          <w:tcPr>
            <w:tcW w:w="968" w:type="dxa"/>
            <w:vAlign w:val="bottom"/>
          </w:tcPr>
          <w:p w14:paraId="160DB5BB"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c>
          <w:tcPr>
            <w:tcW w:w="1026" w:type="dxa"/>
            <w:vAlign w:val="bottom"/>
          </w:tcPr>
          <w:p w14:paraId="27018DF8"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r>
      <w:tr w:rsidR="008C0C84" w:rsidRPr="00907C5A" w14:paraId="47A7382D" w14:textId="77777777" w:rsidTr="007F164F">
        <w:tblPrEx>
          <w:tblLook w:val="01E0" w:firstRow="1" w:lastRow="1" w:firstColumn="1" w:lastColumn="1" w:noHBand="0" w:noVBand="0"/>
        </w:tblPrEx>
        <w:trPr>
          <w:trHeight w:val="227"/>
          <w:jc w:val="right"/>
        </w:trPr>
        <w:tc>
          <w:tcPr>
            <w:tcW w:w="820" w:type="dxa"/>
          </w:tcPr>
          <w:p w14:paraId="5C7E23C7" w14:textId="77777777" w:rsidR="008C0C84" w:rsidRDefault="008C0C84" w:rsidP="001A646D">
            <w:pPr>
              <w:pStyle w:val="-7"/>
              <w:spacing w:line="240" w:lineRule="exact"/>
              <w:jc w:val="left"/>
              <w:rPr>
                <w:rtl/>
              </w:rPr>
            </w:pPr>
          </w:p>
        </w:tc>
        <w:tc>
          <w:tcPr>
            <w:tcW w:w="425" w:type="dxa"/>
            <w:vAlign w:val="bottom"/>
          </w:tcPr>
          <w:p w14:paraId="6E2F6C93" w14:textId="77777777" w:rsidR="008C0C84" w:rsidRDefault="008C0C84" w:rsidP="001A646D">
            <w:pPr>
              <w:pStyle w:val="-7"/>
              <w:spacing w:line="240" w:lineRule="exact"/>
              <w:jc w:val="left"/>
              <w:rPr>
                <w:rtl/>
              </w:rPr>
            </w:pPr>
          </w:p>
        </w:tc>
        <w:tc>
          <w:tcPr>
            <w:tcW w:w="5889" w:type="dxa"/>
            <w:vAlign w:val="bottom"/>
          </w:tcPr>
          <w:p w14:paraId="2C6527BC" w14:textId="035E8C63" w:rsidR="008C0C84" w:rsidRPr="00C01349" w:rsidRDefault="008C0C84" w:rsidP="001A646D">
            <w:pPr>
              <w:pStyle w:val="-0"/>
              <w:spacing w:line="240" w:lineRule="exact"/>
              <w:ind w:left="382" w:firstLine="0"/>
              <w:rPr>
                <w:sz w:val="18"/>
                <w:szCs w:val="18"/>
                <w:rtl/>
              </w:rPr>
            </w:pPr>
            <w:r w:rsidRPr="00C01349">
              <w:rPr>
                <w:rFonts w:hint="cs"/>
                <w:sz w:val="18"/>
                <w:szCs w:val="18"/>
                <w:rtl/>
              </w:rPr>
              <w:t>סך החשיפות</w:t>
            </w:r>
            <w:r w:rsidR="00E43130" w:rsidRPr="00C01349">
              <w:rPr>
                <w:rFonts w:hint="cs"/>
                <w:sz w:val="18"/>
                <w:szCs w:val="18"/>
                <w:vertAlign w:val="superscript"/>
                <w:rtl/>
              </w:rPr>
              <w:t>(ג)</w:t>
            </w:r>
          </w:p>
        </w:tc>
        <w:tc>
          <w:tcPr>
            <w:tcW w:w="903" w:type="dxa"/>
            <w:vAlign w:val="bottom"/>
          </w:tcPr>
          <w:p w14:paraId="3FB2132A"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c>
          <w:tcPr>
            <w:tcW w:w="968" w:type="dxa"/>
            <w:vAlign w:val="bottom"/>
          </w:tcPr>
          <w:p w14:paraId="2D96111E"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c>
          <w:tcPr>
            <w:tcW w:w="1026" w:type="dxa"/>
            <w:vAlign w:val="bottom"/>
          </w:tcPr>
          <w:p w14:paraId="711B8416"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r>
      <w:tr w:rsidR="008C0C84" w14:paraId="202F276C" w14:textId="77777777" w:rsidTr="007F164F">
        <w:tblPrEx>
          <w:tblLook w:val="01E0" w:firstRow="1" w:lastRow="1" w:firstColumn="1" w:lastColumn="1" w:noHBand="0" w:noVBand="0"/>
        </w:tblPrEx>
        <w:trPr>
          <w:jc w:val="right"/>
        </w:trPr>
        <w:tc>
          <w:tcPr>
            <w:tcW w:w="820" w:type="dxa"/>
          </w:tcPr>
          <w:p w14:paraId="7522FDAC" w14:textId="77777777" w:rsidR="008C0C84" w:rsidRDefault="008C0C84" w:rsidP="001A646D">
            <w:pPr>
              <w:pStyle w:val="-7"/>
              <w:spacing w:line="120" w:lineRule="exact"/>
              <w:jc w:val="left"/>
              <w:rPr>
                <w:rtl/>
              </w:rPr>
            </w:pPr>
          </w:p>
        </w:tc>
        <w:tc>
          <w:tcPr>
            <w:tcW w:w="425" w:type="dxa"/>
            <w:vAlign w:val="bottom"/>
          </w:tcPr>
          <w:p w14:paraId="5A6A9BD4" w14:textId="77777777" w:rsidR="008C0C84" w:rsidRDefault="008C0C84" w:rsidP="001A646D">
            <w:pPr>
              <w:pStyle w:val="-7"/>
              <w:spacing w:line="120" w:lineRule="exact"/>
              <w:jc w:val="left"/>
              <w:rPr>
                <w:rtl/>
              </w:rPr>
            </w:pPr>
          </w:p>
        </w:tc>
        <w:tc>
          <w:tcPr>
            <w:tcW w:w="5889" w:type="dxa"/>
            <w:vAlign w:val="bottom"/>
          </w:tcPr>
          <w:p w14:paraId="46E90708" w14:textId="77777777" w:rsidR="008C0C84" w:rsidRPr="00C01349" w:rsidRDefault="008C0C84" w:rsidP="001A646D">
            <w:pPr>
              <w:pStyle w:val="-0"/>
              <w:spacing w:line="120" w:lineRule="exact"/>
              <w:ind w:left="382" w:firstLine="0"/>
              <w:rPr>
                <w:sz w:val="18"/>
                <w:szCs w:val="18"/>
                <w:rtl/>
              </w:rPr>
            </w:pPr>
          </w:p>
        </w:tc>
        <w:tc>
          <w:tcPr>
            <w:tcW w:w="903" w:type="dxa"/>
          </w:tcPr>
          <w:p w14:paraId="74BF90C6" w14:textId="77777777" w:rsidR="008C0C84" w:rsidRPr="00C01349" w:rsidRDefault="008C0C84" w:rsidP="001A646D">
            <w:pPr>
              <w:pStyle w:val="-7"/>
              <w:spacing w:line="120" w:lineRule="exact"/>
              <w:jc w:val="left"/>
              <w:rPr>
                <w:sz w:val="18"/>
                <w:szCs w:val="18"/>
                <w:rtl/>
              </w:rPr>
            </w:pPr>
          </w:p>
        </w:tc>
        <w:tc>
          <w:tcPr>
            <w:tcW w:w="968" w:type="dxa"/>
          </w:tcPr>
          <w:p w14:paraId="7421F815" w14:textId="77777777" w:rsidR="008C0C84" w:rsidRPr="00C01349" w:rsidRDefault="008C0C84" w:rsidP="001A646D">
            <w:pPr>
              <w:pStyle w:val="-7"/>
              <w:spacing w:line="120" w:lineRule="exact"/>
              <w:jc w:val="left"/>
              <w:rPr>
                <w:sz w:val="18"/>
                <w:szCs w:val="18"/>
                <w:rtl/>
              </w:rPr>
            </w:pPr>
          </w:p>
        </w:tc>
        <w:tc>
          <w:tcPr>
            <w:tcW w:w="1026" w:type="dxa"/>
            <w:vAlign w:val="bottom"/>
          </w:tcPr>
          <w:p w14:paraId="56373D15" w14:textId="77777777" w:rsidR="008C0C84" w:rsidRPr="00C01349" w:rsidRDefault="008C0C84" w:rsidP="001A646D">
            <w:pPr>
              <w:pStyle w:val="-7"/>
              <w:spacing w:line="120" w:lineRule="exact"/>
              <w:jc w:val="left"/>
              <w:rPr>
                <w:sz w:val="18"/>
                <w:szCs w:val="18"/>
                <w:rtl/>
              </w:rPr>
            </w:pPr>
          </w:p>
        </w:tc>
      </w:tr>
      <w:tr w:rsidR="008C0C84" w:rsidRPr="00F078C3" w14:paraId="4EBAA326" w14:textId="77777777" w:rsidTr="007F164F">
        <w:tblPrEx>
          <w:tblLook w:val="01E0" w:firstRow="1" w:lastRow="1" w:firstColumn="1" w:lastColumn="1" w:noHBand="0" w:noVBand="0"/>
        </w:tblPrEx>
        <w:trPr>
          <w:trHeight w:val="227"/>
          <w:jc w:val="right"/>
        </w:trPr>
        <w:tc>
          <w:tcPr>
            <w:tcW w:w="820" w:type="dxa"/>
          </w:tcPr>
          <w:p w14:paraId="4C081713" w14:textId="77777777" w:rsidR="008C0C84" w:rsidRDefault="008C0C84" w:rsidP="001A646D">
            <w:pPr>
              <w:pStyle w:val="-7"/>
              <w:spacing w:line="240" w:lineRule="exact"/>
              <w:jc w:val="left"/>
              <w:rPr>
                <w:b/>
                <w:bCs/>
                <w:rtl/>
              </w:rPr>
            </w:pPr>
          </w:p>
        </w:tc>
        <w:tc>
          <w:tcPr>
            <w:tcW w:w="425" w:type="dxa"/>
            <w:vAlign w:val="bottom"/>
          </w:tcPr>
          <w:p w14:paraId="6D6A209F" w14:textId="77777777" w:rsidR="008C0C84" w:rsidRDefault="008C0C84" w:rsidP="001A646D">
            <w:pPr>
              <w:pStyle w:val="-7"/>
              <w:spacing w:line="240" w:lineRule="exact"/>
              <w:jc w:val="left"/>
              <w:rPr>
                <w:b/>
                <w:bCs/>
                <w:rtl/>
              </w:rPr>
            </w:pPr>
          </w:p>
        </w:tc>
        <w:tc>
          <w:tcPr>
            <w:tcW w:w="5889" w:type="dxa"/>
            <w:vAlign w:val="bottom"/>
          </w:tcPr>
          <w:p w14:paraId="1B72631C" w14:textId="77777777" w:rsidR="008C0C84" w:rsidRPr="00C01349" w:rsidRDefault="008C0C84" w:rsidP="001A646D">
            <w:pPr>
              <w:pStyle w:val="-0"/>
              <w:spacing w:line="240" w:lineRule="exact"/>
              <w:ind w:left="392" w:hanging="392"/>
              <w:rPr>
                <w:b/>
                <w:bCs/>
                <w:sz w:val="18"/>
                <w:szCs w:val="18"/>
                <w:rtl/>
              </w:rPr>
            </w:pPr>
          </w:p>
        </w:tc>
        <w:tc>
          <w:tcPr>
            <w:tcW w:w="2897" w:type="dxa"/>
            <w:gridSpan w:val="3"/>
          </w:tcPr>
          <w:p w14:paraId="0E50D9A7" w14:textId="77777777" w:rsidR="008C0C84" w:rsidRPr="00C01349" w:rsidRDefault="008C0C84" w:rsidP="001A646D">
            <w:pPr>
              <w:pStyle w:val="-7"/>
              <w:pBdr>
                <w:bottom w:val="single" w:sz="4" w:space="1" w:color="auto"/>
              </w:pBdr>
              <w:spacing w:line="240" w:lineRule="exact"/>
              <w:jc w:val="center"/>
              <w:rPr>
                <w:b/>
                <w:bCs/>
                <w:sz w:val="18"/>
                <w:szCs w:val="18"/>
                <w:rtl/>
              </w:rPr>
            </w:pPr>
            <w:r w:rsidRPr="00C01349">
              <w:rPr>
                <w:rFonts w:hint="cs"/>
                <w:b/>
                <w:bCs/>
                <w:sz w:val="18"/>
                <w:szCs w:val="18"/>
                <w:rtl/>
              </w:rPr>
              <w:t>באחוזים</w:t>
            </w:r>
          </w:p>
        </w:tc>
      </w:tr>
      <w:tr w:rsidR="008C0C84" w14:paraId="2D900130" w14:textId="77777777" w:rsidTr="007F164F">
        <w:tblPrEx>
          <w:tblLook w:val="01E0" w:firstRow="1" w:lastRow="1" w:firstColumn="1" w:lastColumn="1" w:noHBand="0" w:noVBand="0"/>
        </w:tblPrEx>
        <w:trPr>
          <w:jc w:val="right"/>
        </w:trPr>
        <w:tc>
          <w:tcPr>
            <w:tcW w:w="820" w:type="dxa"/>
          </w:tcPr>
          <w:p w14:paraId="6911CD95" w14:textId="77777777" w:rsidR="008C0C84" w:rsidRDefault="008C0C84" w:rsidP="001A646D">
            <w:pPr>
              <w:pStyle w:val="-7"/>
              <w:spacing w:line="120" w:lineRule="exact"/>
              <w:jc w:val="left"/>
              <w:rPr>
                <w:rtl/>
              </w:rPr>
            </w:pPr>
          </w:p>
        </w:tc>
        <w:tc>
          <w:tcPr>
            <w:tcW w:w="425" w:type="dxa"/>
            <w:vAlign w:val="bottom"/>
          </w:tcPr>
          <w:p w14:paraId="6B08B2BB" w14:textId="77777777" w:rsidR="008C0C84" w:rsidRDefault="008C0C84" w:rsidP="001A646D">
            <w:pPr>
              <w:pStyle w:val="-7"/>
              <w:spacing w:line="120" w:lineRule="exact"/>
              <w:jc w:val="left"/>
              <w:rPr>
                <w:rtl/>
              </w:rPr>
            </w:pPr>
          </w:p>
        </w:tc>
        <w:tc>
          <w:tcPr>
            <w:tcW w:w="5889" w:type="dxa"/>
            <w:vAlign w:val="bottom"/>
          </w:tcPr>
          <w:p w14:paraId="47BD9576" w14:textId="77777777" w:rsidR="008C0C84" w:rsidRPr="00C01349" w:rsidRDefault="008C0C84" w:rsidP="001A646D">
            <w:pPr>
              <w:pStyle w:val="-0"/>
              <w:spacing w:line="120" w:lineRule="exact"/>
              <w:ind w:left="382" w:firstLine="0"/>
              <w:rPr>
                <w:sz w:val="18"/>
                <w:szCs w:val="18"/>
                <w:rtl/>
              </w:rPr>
            </w:pPr>
          </w:p>
        </w:tc>
        <w:tc>
          <w:tcPr>
            <w:tcW w:w="903" w:type="dxa"/>
          </w:tcPr>
          <w:p w14:paraId="4F1BAE80" w14:textId="77777777" w:rsidR="008C0C84" w:rsidRPr="00C01349" w:rsidRDefault="008C0C84" w:rsidP="001A646D">
            <w:pPr>
              <w:pStyle w:val="-7"/>
              <w:spacing w:line="120" w:lineRule="exact"/>
              <w:jc w:val="left"/>
              <w:rPr>
                <w:sz w:val="18"/>
                <w:szCs w:val="18"/>
                <w:rtl/>
              </w:rPr>
            </w:pPr>
          </w:p>
        </w:tc>
        <w:tc>
          <w:tcPr>
            <w:tcW w:w="968" w:type="dxa"/>
          </w:tcPr>
          <w:p w14:paraId="74024E25" w14:textId="77777777" w:rsidR="008C0C84" w:rsidRPr="00C01349" w:rsidRDefault="008C0C84" w:rsidP="001A646D">
            <w:pPr>
              <w:pStyle w:val="-7"/>
              <w:spacing w:line="120" w:lineRule="exact"/>
              <w:jc w:val="left"/>
              <w:rPr>
                <w:sz w:val="18"/>
                <w:szCs w:val="18"/>
                <w:rtl/>
              </w:rPr>
            </w:pPr>
          </w:p>
        </w:tc>
        <w:tc>
          <w:tcPr>
            <w:tcW w:w="1026" w:type="dxa"/>
            <w:vAlign w:val="bottom"/>
          </w:tcPr>
          <w:p w14:paraId="177CE5FE" w14:textId="77777777" w:rsidR="008C0C84" w:rsidRPr="00C01349" w:rsidRDefault="008C0C84" w:rsidP="001A646D">
            <w:pPr>
              <w:pStyle w:val="-7"/>
              <w:spacing w:line="120" w:lineRule="exact"/>
              <w:jc w:val="left"/>
              <w:rPr>
                <w:sz w:val="18"/>
                <w:szCs w:val="18"/>
                <w:rtl/>
              </w:rPr>
            </w:pPr>
          </w:p>
        </w:tc>
      </w:tr>
      <w:tr w:rsidR="008C0C84" w:rsidRPr="00907C5A" w14:paraId="4F70B965" w14:textId="77777777" w:rsidTr="007F164F">
        <w:tblPrEx>
          <w:tblLook w:val="01E0" w:firstRow="1" w:lastRow="1" w:firstColumn="1" w:lastColumn="1" w:noHBand="0" w:noVBand="0"/>
        </w:tblPrEx>
        <w:trPr>
          <w:trHeight w:val="227"/>
          <w:jc w:val="right"/>
        </w:trPr>
        <w:tc>
          <w:tcPr>
            <w:tcW w:w="820" w:type="dxa"/>
          </w:tcPr>
          <w:p w14:paraId="088A65F5" w14:textId="77777777" w:rsidR="008C0C84" w:rsidRDefault="008C0C84" w:rsidP="001A646D">
            <w:pPr>
              <w:pStyle w:val="-7"/>
              <w:spacing w:line="240" w:lineRule="exact"/>
              <w:jc w:val="left"/>
              <w:rPr>
                <w:rtl/>
              </w:rPr>
            </w:pPr>
          </w:p>
        </w:tc>
        <w:tc>
          <w:tcPr>
            <w:tcW w:w="425" w:type="dxa"/>
            <w:vAlign w:val="bottom"/>
          </w:tcPr>
          <w:p w14:paraId="40762179" w14:textId="77777777" w:rsidR="008C0C84" w:rsidRDefault="008C0C84" w:rsidP="001A646D">
            <w:pPr>
              <w:pStyle w:val="-7"/>
              <w:spacing w:line="240" w:lineRule="exact"/>
              <w:jc w:val="left"/>
              <w:rPr>
                <w:rtl/>
              </w:rPr>
            </w:pPr>
          </w:p>
        </w:tc>
        <w:tc>
          <w:tcPr>
            <w:tcW w:w="5889" w:type="dxa"/>
            <w:vAlign w:val="bottom"/>
          </w:tcPr>
          <w:p w14:paraId="0EEF0503" w14:textId="77777777" w:rsidR="008C0C84" w:rsidRPr="00C01349" w:rsidRDefault="008C0C84" w:rsidP="001A646D">
            <w:pPr>
              <w:pStyle w:val="-0"/>
              <w:spacing w:line="240" w:lineRule="exact"/>
              <w:ind w:left="382" w:firstLine="0"/>
              <w:rPr>
                <w:sz w:val="18"/>
                <w:szCs w:val="18"/>
                <w:rtl/>
              </w:rPr>
            </w:pPr>
            <w:r w:rsidRPr="00C01349">
              <w:rPr>
                <w:rFonts w:hint="cs"/>
                <w:sz w:val="18"/>
                <w:szCs w:val="18"/>
                <w:rtl/>
              </w:rPr>
              <w:t xml:space="preserve">יחס המינוף </w:t>
            </w:r>
          </w:p>
        </w:tc>
        <w:tc>
          <w:tcPr>
            <w:tcW w:w="903" w:type="dxa"/>
            <w:vAlign w:val="bottom"/>
          </w:tcPr>
          <w:p w14:paraId="02A006B5"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c>
          <w:tcPr>
            <w:tcW w:w="968" w:type="dxa"/>
            <w:vAlign w:val="bottom"/>
          </w:tcPr>
          <w:p w14:paraId="502DED39"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c>
          <w:tcPr>
            <w:tcW w:w="1026" w:type="dxa"/>
            <w:vAlign w:val="bottom"/>
          </w:tcPr>
          <w:p w14:paraId="0CF288A4"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r>
      <w:tr w:rsidR="008C0C84" w:rsidRPr="00907C5A" w14:paraId="5FA712F1" w14:textId="77777777" w:rsidTr="007F164F">
        <w:tblPrEx>
          <w:tblLook w:val="01E0" w:firstRow="1" w:lastRow="1" w:firstColumn="1" w:lastColumn="1" w:noHBand="0" w:noVBand="0"/>
        </w:tblPrEx>
        <w:trPr>
          <w:trHeight w:val="227"/>
          <w:jc w:val="right"/>
        </w:trPr>
        <w:tc>
          <w:tcPr>
            <w:tcW w:w="820" w:type="dxa"/>
          </w:tcPr>
          <w:p w14:paraId="32852BE9" w14:textId="77777777" w:rsidR="008C0C84" w:rsidRDefault="008C0C84" w:rsidP="001A646D">
            <w:pPr>
              <w:pStyle w:val="-7"/>
              <w:spacing w:line="240" w:lineRule="exact"/>
              <w:jc w:val="left"/>
              <w:rPr>
                <w:rtl/>
              </w:rPr>
            </w:pPr>
          </w:p>
        </w:tc>
        <w:tc>
          <w:tcPr>
            <w:tcW w:w="425" w:type="dxa"/>
            <w:vAlign w:val="bottom"/>
          </w:tcPr>
          <w:p w14:paraId="39F269C7" w14:textId="77777777" w:rsidR="008C0C84" w:rsidRDefault="008C0C84" w:rsidP="001A646D">
            <w:pPr>
              <w:pStyle w:val="-7"/>
              <w:spacing w:line="240" w:lineRule="exact"/>
              <w:jc w:val="left"/>
              <w:rPr>
                <w:rtl/>
              </w:rPr>
            </w:pPr>
          </w:p>
        </w:tc>
        <w:tc>
          <w:tcPr>
            <w:tcW w:w="5889" w:type="dxa"/>
            <w:vAlign w:val="bottom"/>
          </w:tcPr>
          <w:p w14:paraId="23D0D2DB" w14:textId="730A50EB" w:rsidR="008C0C84" w:rsidRPr="00C01349" w:rsidRDefault="008C0C84" w:rsidP="001A646D">
            <w:pPr>
              <w:pStyle w:val="-0"/>
              <w:spacing w:line="240" w:lineRule="exact"/>
              <w:ind w:left="553" w:hanging="171"/>
              <w:rPr>
                <w:b/>
                <w:bCs/>
                <w:sz w:val="18"/>
                <w:szCs w:val="18"/>
                <w:rtl/>
              </w:rPr>
            </w:pPr>
            <w:r w:rsidRPr="00C01349">
              <w:rPr>
                <w:rFonts w:hint="cs"/>
                <w:sz w:val="18"/>
                <w:szCs w:val="18"/>
                <w:rtl/>
              </w:rPr>
              <w:t>יחס המינוף המזערי הנדרש ע"י המפקח על הבנקים</w:t>
            </w:r>
            <w:r w:rsidRPr="00C01349">
              <w:rPr>
                <w:sz w:val="18"/>
                <w:szCs w:val="18"/>
                <w:vertAlign w:val="superscript"/>
                <w:rtl/>
              </w:rPr>
              <w:t>(</w:t>
            </w:r>
            <w:r w:rsidR="00E43130" w:rsidRPr="00C01349">
              <w:rPr>
                <w:rFonts w:hint="cs"/>
                <w:sz w:val="18"/>
                <w:szCs w:val="18"/>
                <w:vertAlign w:val="superscript"/>
                <w:rtl/>
              </w:rPr>
              <w:t>ד</w:t>
            </w:r>
            <w:r w:rsidRPr="00C01349">
              <w:rPr>
                <w:sz w:val="18"/>
                <w:szCs w:val="18"/>
                <w:vertAlign w:val="superscript"/>
                <w:rtl/>
              </w:rPr>
              <w:t>)</w:t>
            </w:r>
          </w:p>
        </w:tc>
        <w:tc>
          <w:tcPr>
            <w:tcW w:w="903" w:type="dxa"/>
            <w:vAlign w:val="bottom"/>
          </w:tcPr>
          <w:p w14:paraId="1D35F40D"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c>
          <w:tcPr>
            <w:tcW w:w="968" w:type="dxa"/>
            <w:vAlign w:val="bottom"/>
          </w:tcPr>
          <w:p w14:paraId="39E05E0E"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c>
          <w:tcPr>
            <w:tcW w:w="1026" w:type="dxa"/>
            <w:vAlign w:val="bottom"/>
          </w:tcPr>
          <w:p w14:paraId="6F8515ED"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r>
      <w:tr w:rsidR="008C0C84" w14:paraId="62D201DE" w14:textId="77777777" w:rsidTr="007F164F">
        <w:tblPrEx>
          <w:tblLook w:val="01E0" w:firstRow="1" w:lastRow="1" w:firstColumn="1" w:lastColumn="1" w:noHBand="0" w:noVBand="0"/>
        </w:tblPrEx>
        <w:trPr>
          <w:jc w:val="right"/>
        </w:trPr>
        <w:tc>
          <w:tcPr>
            <w:tcW w:w="820" w:type="dxa"/>
          </w:tcPr>
          <w:p w14:paraId="278E8C7B" w14:textId="77777777" w:rsidR="008C0C84" w:rsidRDefault="008C0C84" w:rsidP="001A646D">
            <w:pPr>
              <w:pStyle w:val="-7"/>
              <w:spacing w:line="120" w:lineRule="exact"/>
              <w:jc w:val="left"/>
              <w:rPr>
                <w:rtl/>
              </w:rPr>
            </w:pPr>
          </w:p>
        </w:tc>
        <w:tc>
          <w:tcPr>
            <w:tcW w:w="425" w:type="dxa"/>
            <w:vAlign w:val="bottom"/>
          </w:tcPr>
          <w:p w14:paraId="22B017DD" w14:textId="77777777" w:rsidR="008C0C84" w:rsidRDefault="008C0C84" w:rsidP="001A646D">
            <w:pPr>
              <w:pStyle w:val="-7"/>
              <w:spacing w:line="120" w:lineRule="exact"/>
              <w:jc w:val="left"/>
              <w:rPr>
                <w:rtl/>
              </w:rPr>
            </w:pPr>
          </w:p>
        </w:tc>
        <w:tc>
          <w:tcPr>
            <w:tcW w:w="5889" w:type="dxa"/>
            <w:vAlign w:val="bottom"/>
          </w:tcPr>
          <w:p w14:paraId="58903035" w14:textId="77777777" w:rsidR="008C0C84" w:rsidRPr="00C01349" w:rsidRDefault="008C0C84" w:rsidP="001A646D">
            <w:pPr>
              <w:pStyle w:val="-0"/>
              <w:spacing w:line="120" w:lineRule="exact"/>
              <w:ind w:left="382" w:firstLine="0"/>
              <w:rPr>
                <w:sz w:val="18"/>
                <w:szCs w:val="18"/>
                <w:rtl/>
              </w:rPr>
            </w:pPr>
          </w:p>
        </w:tc>
        <w:tc>
          <w:tcPr>
            <w:tcW w:w="903" w:type="dxa"/>
            <w:vAlign w:val="bottom"/>
          </w:tcPr>
          <w:p w14:paraId="2E964090" w14:textId="77777777" w:rsidR="008C0C84" w:rsidRPr="00C01349" w:rsidRDefault="008C0C84" w:rsidP="001A646D">
            <w:pPr>
              <w:pStyle w:val="-7"/>
              <w:spacing w:line="120" w:lineRule="exact"/>
              <w:jc w:val="left"/>
              <w:rPr>
                <w:sz w:val="18"/>
                <w:szCs w:val="18"/>
                <w:rtl/>
              </w:rPr>
            </w:pPr>
          </w:p>
        </w:tc>
        <w:tc>
          <w:tcPr>
            <w:tcW w:w="968" w:type="dxa"/>
            <w:vAlign w:val="bottom"/>
          </w:tcPr>
          <w:p w14:paraId="5537AFF3" w14:textId="77777777" w:rsidR="008C0C84" w:rsidRPr="00C01349" w:rsidRDefault="008C0C84" w:rsidP="001A646D">
            <w:pPr>
              <w:pStyle w:val="-7"/>
              <w:spacing w:line="120" w:lineRule="exact"/>
              <w:jc w:val="left"/>
              <w:rPr>
                <w:sz w:val="18"/>
                <w:szCs w:val="18"/>
                <w:rtl/>
              </w:rPr>
            </w:pPr>
          </w:p>
        </w:tc>
        <w:tc>
          <w:tcPr>
            <w:tcW w:w="1026" w:type="dxa"/>
            <w:vAlign w:val="bottom"/>
          </w:tcPr>
          <w:p w14:paraId="5465DCBC" w14:textId="77777777" w:rsidR="008C0C84" w:rsidRPr="00C01349" w:rsidRDefault="008C0C84" w:rsidP="001A646D">
            <w:pPr>
              <w:pStyle w:val="-7"/>
              <w:spacing w:line="120" w:lineRule="exact"/>
              <w:jc w:val="left"/>
              <w:rPr>
                <w:sz w:val="18"/>
                <w:szCs w:val="18"/>
                <w:rtl/>
              </w:rPr>
            </w:pPr>
          </w:p>
        </w:tc>
      </w:tr>
      <w:tr w:rsidR="008C0C84" w:rsidRPr="00907C5A" w14:paraId="7E3DB120" w14:textId="77777777" w:rsidTr="007F164F">
        <w:tblPrEx>
          <w:tblLook w:val="01E0" w:firstRow="1" w:lastRow="1" w:firstColumn="1" w:lastColumn="1" w:noHBand="0" w:noVBand="0"/>
        </w:tblPrEx>
        <w:trPr>
          <w:trHeight w:val="283"/>
          <w:jc w:val="right"/>
        </w:trPr>
        <w:tc>
          <w:tcPr>
            <w:tcW w:w="820" w:type="dxa"/>
          </w:tcPr>
          <w:p w14:paraId="2D9E9F3B" w14:textId="77777777" w:rsidR="008C0C84" w:rsidRDefault="008C0C84" w:rsidP="001A646D">
            <w:pPr>
              <w:pStyle w:val="-7"/>
              <w:spacing w:line="240" w:lineRule="exact"/>
              <w:jc w:val="left"/>
              <w:rPr>
                <w:rtl/>
              </w:rPr>
            </w:pPr>
          </w:p>
        </w:tc>
        <w:tc>
          <w:tcPr>
            <w:tcW w:w="425" w:type="dxa"/>
            <w:vAlign w:val="bottom"/>
          </w:tcPr>
          <w:p w14:paraId="394F5E65" w14:textId="77777777" w:rsidR="008C0C84" w:rsidRDefault="008C0C84" w:rsidP="001A646D">
            <w:pPr>
              <w:pStyle w:val="-7"/>
              <w:spacing w:line="240" w:lineRule="exact"/>
              <w:jc w:val="left"/>
              <w:rPr>
                <w:rtl/>
              </w:rPr>
            </w:pPr>
          </w:p>
        </w:tc>
        <w:tc>
          <w:tcPr>
            <w:tcW w:w="5889" w:type="dxa"/>
            <w:vAlign w:val="bottom"/>
          </w:tcPr>
          <w:p w14:paraId="34E518DE" w14:textId="07EE5B85" w:rsidR="008C0C84" w:rsidRPr="00C01349" w:rsidRDefault="008C0C84" w:rsidP="00675677">
            <w:pPr>
              <w:pStyle w:val="-0"/>
              <w:tabs>
                <w:tab w:val="left" w:pos="313"/>
              </w:tabs>
              <w:spacing w:line="240" w:lineRule="exact"/>
              <w:ind w:left="313" w:hanging="313"/>
              <w:rPr>
                <w:b/>
                <w:bCs/>
                <w:sz w:val="18"/>
                <w:szCs w:val="18"/>
                <w:rtl/>
              </w:rPr>
            </w:pPr>
            <w:r w:rsidRPr="00C01349">
              <w:rPr>
                <w:rFonts w:hint="cs"/>
                <w:b/>
                <w:bCs/>
                <w:sz w:val="18"/>
                <w:szCs w:val="18"/>
                <w:rtl/>
              </w:rPr>
              <w:t>ב.</w:t>
            </w:r>
            <w:r w:rsidRPr="00C01349">
              <w:rPr>
                <w:b/>
                <w:bCs/>
                <w:sz w:val="18"/>
                <w:szCs w:val="18"/>
                <w:rtl/>
              </w:rPr>
              <w:tab/>
            </w:r>
            <w:r w:rsidR="005E117A" w:rsidRPr="00C01349">
              <w:rPr>
                <w:b/>
                <w:bCs/>
                <w:sz w:val="18"/>
                <w:szCs w:val="18"/>
                <w:rtl/>
              </w:rPr>
              <w:t>חברות ב</w:t>
            </w:r>
            <w:r w:rsidR="00E17D70" w:rsidRPr="00C01349">
              <w:rPr>
                <w:rFonts w:hint="cs"/>
                <w:b/>
                <w:bCs/>
                <w:sz w:val="18"/>
                <w:szCs w:val="18"/>
                <w:rtl/>
              </w:rPr>
              <w:t>נות</w:t>
            </w:r>
            <w:r w:rsidR="005E117A" w:rsidRPr="00C01349">
              <w:rPr>
                <w:b/>
                <w:bCs/>
                <w:sz w:val="18"/>
                <w:szCs w:val="18"/>
                <w:rtl/>
              </w:rPr>
              <w:t xml:space="preserve"> משמעותיות</w:t>
            </w:r>
            <w:r w:rsidR="005E117A" w:rsidRPr="00C01349">
              <w:rPr>
                <w:rFonts w:hint="cs"/>
                <w:b/>
                <w:bCs/>
                <w:sz w:val="18"/>
                <w:szCs w:val="18"/>
                <w:rtl/>
              </w:rPr>
              <w:t>:</w:t>
            </w:r>
          </w:p>
        </w:tc>
        <w:tc>
          <w:tcPr>
            <w:tcW w:w="903" w:type="dxa"/>
            <w:vAlign w:val="bottom"/>
          </w:tcPr>
          <w:p w14:paraId="53F7BDC3" w14:textId="77777777" w:rsidR="008C0C84" w:rsidRPr="00C01349" w:rsidRDefault="008C0C84" w:rsidP="001A646D">
            <w:pPr>
              <w:pStyle w:val="-7"/>
              <w:spacing w:line="240" w:lineRule="exact"/>
              <w:jc w:val="left"/>
              <w:rPr>
                <w:sz w:val="18"/>
                <w:szCs w:val="18"/>
                <w:rtl/>
              </w:rPr>
            </w:pPr>
          </w:p>
        </w:tc>
        <w:tc>
          <w:tcPr>
            <w:tcW w:w="968" w:type="dxa"/>
            <w:vAlign w:val="bottom"/>
          </w:tcPr>
          <w:p w14:paraId="6237B5C2" w14:textId="77777777" w:rsidR="008C0C84" w:rsidRPr="00C01349" w:rsidRDefault="008C0C84" w:rsidP="001A646D">
            <w:pPr>
              <w:pStyle w:val="-7"/>
              <w:spacing w:line="240" w:lineRule="exact"/>
              <w:jc w:val="left"/>
              <w:rPr>
                <w:sz w:val="18"/>
                <w:szCs w:val="18"/>
                <w:rtl/>
              </w:rPr>
            </w:pPr>
          </w:p>
        </w:tc>
        <w:tc>
          <w:tcPr>
            <w:tcW w:w="1026" w:type="dxa"/>
            <w:vAlign w:val="bottom"/>
          </w:tcPr>
          <w:p w14:paraId="0E44BE1A" w14:textId="77777777" w:rsidR="008C0C84" w:rsidRPr="00C01349" w:rsidRDefault="008C0C84" w:rsidP="001A646D">
            <w:pPr>
              <w:pStyle w:val="-7"/>
              <w:spacing w:line="240" w:lineRule="exact"/>
              <w:jc w:val="left"/>
              <w:rPr>
                <w:sz w:val="18"/>
                <w:szCs w:val="18"/>
                <w:rtl/>
              </w:rPr>
            </w:pPr>
          </w:p>
        </w:tc>
      </w:tr>
      <w:tr w:rsidR="008C0C84" w:rsidRPr="00907C5A" w14:paraId="204BE7E4" w14:textId="77777777" w:rsidTr="007F164F">
        <w:tblPrEx>
          <w:tblLook w:val="01E0" w:firstRow="1" w:lastRow="1" w:firstColumn="1" w:lastColumn="1" w:noHBand="0" w:noVBand="0"/>
        </w:tblPrEx>
        <w:trPr>
          <w:trHeight w:val="227"/>
          <w:jc w:val="right"/>
        </w:trPr>
        <w:tc>
          <w:tcPr>
            <w:tcW w:w="820" w:type="dxa"/>
          </w:tcPr>
          <w:p w14:paraId="4031B7E0" w14:textId="77777777" w:rsidR="008C0C84" w:rsidRDefault="008C0C84" w:rsidP="001A646D">
            <w:pPr>
              <w:pStyle w:val="-7"/>
              <w:spacing w:line="240" w:lineRule="exact"/>
              <w:jc w:val="left"/>
              <w:rPr>
                <w:rtl/>
              </w:rPr>
            </w:pPr>
          </w:p>
        </w:tc>
        <w:tc>
          <w:tcPr>
            <w:tcW w:w="425" w:type="dxa"/>
            <w:vAlign w:val="bottom"/>
          </w:tcPr>
          <w:p w14:paraId="4E67D25C" w14:textId="77777777" w:rsidR="008C0C84" w:rsidRDefault="008C0C84" w:rsidP="001A646D">
            <w:pPr>
              <w:pStyle w:val="-7"/>
              <w:spacing w:line="240" w:lineRule="exact"/>
              <w:jc w:val="left"/>
              <w:rPr>
                <w:rtl/>
              </w:rPr>
            </w:pPr>
          </w:p>
        </w:tc>
        <w:tc>
          <w:tcPr>
            <w:tcW w:w="5889" w:type="dxa"/>
            <w:vAlign w:val="bottom"/>
          </w:tcPr>
          <w:p w14:paraId="7FFDF6EC" w14:textId="77777777" w:rsidR="008C0C84" w:rsidRPr="00C01349" w:rsidRDefault="008C0C84" w:rsidP="005E117A">
            <w:pPr>
              <w:pStyle w:val="-0"/>
              <w:spacing w:line="240" w:lineRule="exact"/>
              <w:ind w:left="382" w:firstLine="0"/>
              <w:rPr>
                <w:sz w:val="18"/>
                <w:szCs w:val="18"/>
                <w:rtl/>
              </w:rPr>
            </w:pPr>
            <w:r w:rsidRPr="00C01349">
              <w:rPr>
                <w:rFonts w:hint="cs"/>
                <w:sz w:val="18"/>
                <w:szCs w:val="18"/>
                <w:rtl/>
              </w:rPr>
              <w:t xml:space="preserve">יחס המינוף </w:t>
            </w:r>
          </w:p>
        </w:tc>
        <w:tc>
          <w:tcPr>
            <w:tcW w:w="903" w:type="dxa"/>
            <w:vAlign w:val="bottom"/>
          </w:tcPr>
          <w:p w14:paraId="4CF6C454"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c>
          <w:tcPr>
            <w:tcW w:w="968" w:type="dxa"/>
            <w:vAlign w:val="bottom"/>
          </w:tcPr>
          <w:p w14:paraId="31D6A973"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c>
          <w:tcPr>
            <w:tcW w:w="1026" w:type="dxa"/>
            <w:vAlign w:val="bottom"/>
          </w:tcPr>
          <w:p w14:paraId="132F7FF0"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r>
      <w:tr w:rsidR="008C0C84" w:rsidRPr="00907C5A" w14:paraId="130DED71" w14:textId="77777777" w:rsidTr="007F164F">
        <w:tblPrEx>
          <w:tblLook w:val="01E0" w:firstRow="1" w:lastRow="1" w:firstColumn="1" w:lastColumn="1" w:noHBand="0" w:noVBand="0"/>
        </w:tblPrEx>
        <w:trPr>
          <w:trHeight w:val="227"/>
          <w:jc w:val="right"/>
        </w:trPr>
        <w:tc>
          <w:tcPr>
            <w:tcW w:w="820" w:type="dxa"/>
          </w:tcPr>
          <w:p w14:paraId="1B0BD72B" w14:textId="77777777" w:rsidR="008C0C84" w:rsidRDefault="008C0C84" w:rsidP="001A646D">
            <w:pPr>
              <w:pStyle w:val="-7"/>
              <w:spacing w:line="240" w:lineRule="exact"/>
              <w:jc w:val="left"/>
              <w:rPr>
                <w:rtl/>
              </w:rPr>
            </w:pPr>
          </w:p>
        </w:tc>
        <w:tc>
          <w:tcPr>
            <w:tcW w:w="425" w:type="dxa"/>
            <w:vAlign w:val="bottom"/>
          </w:tcPr>
          <w:p w14:paraId="304A4F15" w14:textId="77777777" w:rsidR="008C0C84" w:rsidRDefault="008C0C84" w:rsidP="001A646D">
            <w:pPr>
              <w:pStyle w:val="-7"/>
              <w:spacing w:line="240" w:lineRule="exact"/>
              <w:jc w:val="left"/>
              <w:rPr>
                <w:rtl/>
              </w:rPr>
            </w:pPr>
          </w:p>
        </w:tc>
        <w:tc>
          <w:tcPr>
            <w:tcW w:w="5889" w:type="dxa"/>
            <w:vAlign w:val="bottom"/>
          </w:tcPr>
          <w:p w14:paraId="2DC8B6E4" w14:textId="3F14E9D4" w:rsidR="008C0C84" w:rsidRPr="00C01349" w:rsidRDefault="008C0C84" w:rsidP="005E117A">
            <w:pPr>
              <w:pStyle w:val="-0"/>
              <w:spacing w:line="240" w:lineRule="exact"/>
              <w:ind w:left="382" w:firstLine="0"/>
              <w:rPr>
                <w:b/>
                <w:bCs/>
                <w:sz w:val="18"/>
                <w:szCs w:val="18"/>
                <w:rtl/>
              </w:rPr>
            </w:pPr>
            <w:r w:rsidRPr="00C01349">
              <w:rPr>
                <w:rFonts w:hint="cs"/>
                <w:sz w:val="18"/>
                <w:szCs w:val="18"/>
                <w:rtl/>
              </w:rPr>
              <w:t>יחס המינוף המזערי הנדרש ע"י המפקח על הבנקים</w:t>
            </w:r>
            <w:r w:rsidRPr="00C01349">
              <w:rPr>
                <w:rFonts w:hint="cs"/>
                <w:sz w:val="18"/>
                <w:szCs w:val="18"/>
                <w:vertAlign w:val="superscript"/>
                <w:rtl/>
              </w:rPr>
              <w:t>(</w:t>
            </w:r>
            <w:r w:rsidR="00E43130" w:rsidRPr="00C01349">
              <w:rPr>
                <w:rFonts w:hint="cs"/>
                <w:sz w:val="18"/>
                <w:szCs w:val="18"/>
                <w:vertAlign w:val="superscript"/>
                <w:rtl/>
              </w:rPr>
              <w:t>ד</w:t>
            </w:r>
            <w:r w:rsidRPr="00C01349">
              <w:rPr>
                <w:rFonts w:hint="cs"/>
                <w:sz w:val="18"/>
                <w:szCs w:val="18"/>
                <w:vertAlign w:val="superscript"/>
                <w:rtl/>
              </w:rPr>
              <w:t>)</w:t>
            </w:r>
          </w:p>
        </w:tc>
        <w:tc>
          <w:tcPr>
            <w:tcW w:w="903" w:type="dxa"/>
            <w:vAlign w:val="bottom"/>
          </w:tcPr>
          <w:p w14:paraId="081D0FA4"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c>
          <w:tcPr>
            <w:tcW w:w="968" w:type="dxa"/>
            <w:vAlign w:val="bottom"/>
          </w:tcPr>
          <w:p w14:paraId="5DEDACA4"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c>
          <w:tcPr>
            <w:tcW w:w="1026" w:type="dxa"/>
            <w:vAlign w:val="bottom"/>
          </w:tcPr>
          <w:p w14:paraId="0204F3E9" w14:textId="77777777" w:rsidR="008C0C84" w:rsidRPr="00C01349" w:rsidRDefault="008C0C84" w:rsidP="001A646D">
            <w:pPr>
              <w:pStyle w:val="-7"/>
              <w:spacing w:line="240" w:lineRule="exact"/>
              <w:jc w:val="left"/>
              <w:rPr>
                <w:sz w:val="18"/>
                <w:szCs w:val="18"/>
                <w:rtl/>
              </w:rPr>
            </w:pPr>
            <w:r w:rsidRPr="00C01349">
              <w:rPr>
                <w:rFonts w:hint="cs"/>
                <w:sz w:val="18"/>
                <w:szCs w:val="18"/>
                <w:rtl/>
              </w:rPr>
              <w:t>0%</w:t>
            </w:r>
          </w:p>
        </w:tc>
      </w:tr>
      <w:tr w:rsidR="008C0C84" w:rsidRPr="00907C5A" w14:paraId="1F5520D7" w14:textId="77777777" w:rsidTr="007F164F">
        <w:tblPrEx>
          <w:tblLook w:val="01E0" w:firstRow="1" w:lastRow="1" w:firstColumn="1" w:lastColumn="1" w:noHBand="0" w:noVBand="0"/>
        </w:tblPrEx>
        <w:trPr>
          <w:jc w:val="right"/>
        </w:trPr>
        <w:tc>
          <w:tcPr>
            <w:tcW w:w="820" w:type="dxa"/>
          </w:tcPr>
          <w:p w14:paraId="185AB995" w14:textId="77777777" w:rsidR="008C0C84" w:rsidRDefault="008C0C84" w:rsidP="001A646D">
            <w:pPr>
              <w:pStyle w:val="-7"/>
              <w:bidi w:val="0"/>
              <w:spacing w:line="60" w:lineRule="exact"/>
              <w:rPr>
                <w:rtl/>
              </w:rPr>
            </w:pPr>
          </w:p>
        </w:tc>
        <w:tc>
          <w:tcPr>
            <w:tcW w:w="425" w:type="dxa"/>
            <w:vAlign w:val="bottom"/>
          </w:tcPr>
          <w:p w14:paraId="6B8E5614" w14:textId="77777777" w:rsidR="008C0C84" w:rsidRDefault="008C0C84" w:rsidP="001A646D">
            <w:pPr>
              <w:pStyle w:val="-7"/>
              <w:bidi w:val="0"/>
              <w:spacing w:line="60" w:lineRule="exact"/>
              <w:rPr>
                <w:rtl/>
              </w:rPr>
            </w:pPr>
          </w:p>
        </w:tc>
        <w:tc>
          <w:tcPr>
            <w:tcW w:w="5889" w:type="dxa"/>
            <w:vAlign w:val="bottom"/>
          </w:tcPr>
          <w:p w14:paraId="4E892C02" w14:textId="77777777" w:rsidR="008C0C84" w:rsidRDefault="008C0C84" w:rsidP="001A646D">
            <w:pPr>
              <w:pStyle w:val="-0"/>
              <w:bidi w:val="0"/>
              <w:spacing w:line="60" w:lineRule="exact"/>
              <w:ind w:left="1078" w:hanging="170"/>
              <w:jc w:val="both"/>
              <w:rPr>
                <w:rtl/>
              </w:rPr>
            </w:pPr>
          </w:p>
        </w:tc>
        <w:tc>
          <w:tcPr>
            <w:tcW w:w="903" w:type="dxa"/>
            <w:vAlign w:val="bottom"/>
          </w:tcPr>
          <w:p w14:paraId="7F6A348B" w14:textId="77777777" w:rsidR="008C0C84" w:rsidRDefault="008C0C84" w:rsidP="001A646D">
            <w:pPr>
              <w:pStyle w:val="-7"/>
              <w:bidi w:val="0"/>
              <w:spacing w:line="60" w:lineRule="exact"/>
              <w:rPr>
                <w:rtl/>
              </w:rPr>
            </w:pPr>
          </w:p>
        </w:tc>
        <w:tc>
          <w:tcPr>
            <w:tcW w:w="968" w:type="dxa"/>
            <w:vAlign w:val="bottom"/>
          </w:tcPr>
          <w:p w14:paraId="286EC750" w14:textId="77777777" w:rsidR="008C0C84" w:rsidRDefault="008C0C84" w:rsidP="001A646D">
            <w:pPr>
              <w:pStyle w:val="-7"/>
              <w:bidi w:val="0"/>
              <w:spacing w:line="60" w:lineRule="exact"/>
              <w:rPr>
                <w:rtl/>
              </w:rPr>
            </w:pPr>
          </w:p>
        </w:tc>
        <w:tc>
          <w:tcPr>
            <w:tcW w:w="1026" w:type="dxa"/>
            <w:vAlign w:val="bottom"/>
          </w:tcPr>
          <w:p w14:paraId="3CE103A2" w14:textId="77777777" w:rsidR="008C0C84" w:rsidRDefault="008C0C84" w:rsidP="001A646D">
            <w:pPr>
              <w:pStyle w:val="-7"/>
              <w:bidi w:val="0"/>
              <w:spacing w:line="60" w:lineRule="exact"/>
              <w:rPr>
                <w:rtl/>
              </w:rPr>
            </w:pPr>
          </w:p>
        </w:tc>
      </w:tr>
    </w:tbl>
    <w:p w14:paraId="1FD99A6B" w14:textId="5B28B016" w:rsidR="00F05EF0" w:rsidRDefault="00F05EF0" w:rsidP="00F05EF0">
      <w:pPr>
        <w:pStyle w:val="-2"/>
        <w:spacing w:line="240" w:lineRule="exact"/>
        <w:ind w:left="1985" w:right="-294"/>
        <w:rPr>
          <w:b w:val="0"/>
          <w:bCs w:val="0"/>
          <w:sz w:val="18"/>
          <w:szCs w:val="18"/>
          <w:rtl/>
        </w:rPr>
      </w:pPr>
    </w:p>
    <w:tbl>
      <w:tblPr>
        <w:tblStyle w:val="aa"/>
        <w:tblpPr w:leftFromText="180" w:rightFromText="180" w:vertAnchor="text" w:horzAnchor="page" w:tblpX="850" w:tblpY="4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
        <w:gridCol w:w="8220"/>
      </w:tblGrid>
      <w:tr w:rsidR="00606B64" w14:paraId="6BBA86C4" w14:textId="77777777" w:rsidTr="00400DD1">
        <w:tc>
          <w:tcPr>
            <w:tcW w:w="438" w:type="dxa"/>
          </w:tcPr>
          <w:p w14:paraId="100CEE6A" w14:textId="77777777" w:rsidR="00606B64" w:rsidRDefault="00606B64" w:rsidP="00400DD1">
            <w:pPr>
              <w:pStyle w:val="-2"/>
              <w:spacing w:line="240" w:lineRule="exact"/>
              <w:ind w:right="-294"/>
              <w:rPr>
                <w:b w:val="0"/>
                <w:bCs w:val="0"/>
                <w:sz w:val="18"/>
                <w:szCs w:val="18"/>
                <w:rtl/>
              </w:rPr>
            </w:pPr>
            <w:r>
              <w:rPr>
                <w:rFonts w:hint="cs"/>
                <w:b w:val="0"/>
                <w:bCs w:val="0"/>
                <w:sz w:val="18"/>
                <w:szCs w:val="18"/>
                <w:rtl/>
              </w:rPr>
              <w:t>(א)</w:t>
            </w:r>
          </w:p>
        </w:tc>
        <w:tc>
          <w:tcPr>
            <w:tcW w:w="8220" w:type="dxa"/>
          </w:tcPr>
          <w:p w14:paraId="5B2313C6" w14:textId="77777777" w:rsidR="00606B64" w:rsidRDefault="00606B64" w:rsidP="00A85610">
            <w:pPr>
              <w:pStyle w:val="-2"/>
              <w:spacing w:before="80" w:line="240" w:lineRule="exact"/>
              <w:rPr>
                <w:b w:val="0"/>
                <w:bCs w:val="0"/>
                <w:sz w:val="18"/>
                <w:szCs w:val="18"/>
                <w:rtl/>
              </w:rPr>
            </w:pPr>
            <w:r w:rsidRPr="002F0DB7">
              <w:rPr>
                <w:b w:val="0"/>
                <w:bCs w:val="0"/>
                <w:sz w:val="18"/>
                <w:szCs w:val="18"/>
                <w:rtl/>
              </w:rPr>
              <w:t>מחושב בהתאם להוראת ניהול בנקאי תקין מספר 218 בדבר "יחס מינוף".</w:t>
            </w:r>
          </w:p>
        </w:tc>
      </w:tr>
      <w:tr w:rsidR="00606B64" w14:paraId="709DD9C0" w14:textId="77777777" w:rsidTr="00400DD1">
        <w:tc>
          <w:tcPr>
            <w:tcW w:w="438" w:type="dxa"/>
          </w:tcPr>
          <w:p w14:paraId="6DD1065C" w14:textId="77777777" w:rsidR="00606B64" w:rsidRDefault="00606B64" w:rsidP="00400DD1">
            <w:pPr>
              <w:pStyle w:val="-2"/>
              <w:spacing w:line="240" w:lineRule="exact"/>
              <w:ind w:right="-294"/>
              <w:rPr>
                <w:b w:val="0"/>
                <w:bCs w:val="0"/>
                <w:sz w:val="18"/>
                <w:szCs w:val="18"/>
                <w:rtl/>
              </w:rPr>
            </w:pPr>
            <w:r>
              <w:rPr>
                <w:rFonts w:hint="cs"/>
                <w:b w:val="0"/>
                <w:bCs w:val="0"/>
                <w:sz w:val="18"/>
                <w:szCs w:val="18"/>
                <w:rtl/>
              </w:rPr>
              <w:t>(ב)</w:t>
            </w:r>
          </w:p>
        </w:tc>
        <w:tc>
          <w:tcPr>
            <w:tcW w:w="8220" w:type="dxa"/>
          </w:tcPr>
          <w:p w14:paraId="06EDECB0" w14:textId="77777777" w:rsidR="00606B64" w:rsidRDefault="00606B64" w:rsidP="00A85610">
            <w:pPr>
              <w:pStyle w:val="-2"/>
              <w:spacing w:before="80" w:line="240" w:lineRule="exact"/>
              <w:rPr>
                <w:b w:val="0"/>
                <w:bCs w:val="0"/>
                <w:sz w:val="18"/>
                <w:szCs w:val="18"/>
                <w:rtl/>
              </w:rPr>
            </w:pPr>
            <w:r w:rsidRPr="002F0DB7">
              <w:rPr>
                <w:b w:val="0"/>
                <w:bCs w:val="0"/>
                <w:sz w:val="18"/>
                <w:szCs w:val="18"/>
                <w:rtl/>
              </w:rPr>
              <w:t>להשפעת ההתאמות בגין תכנית ההתייעלות ובגין הפסדי אשראי צפויים, ראה סעיפים 1.ג., 1.ד.  לעיל.</w:t>
            </w:r>
          </w:p>
        </w:tc>
      </w:tr>
      <w:tr w:rsidR="00606B64" w14:paraId="06CE54BB" w14:textId="77777777" w:rsidTr="00400DD1">
        <w:tc>
          <w:tcPr>
            <w:tcW w:w="438" w:type="dxa"/>
          </w:tcPr>
          <w:p w14:paraId="72B79554" w14:textId="77777777" w:rsidR="00606B64" w:rsidRDefault="00606B64" w:rsidP="00400DD1">
            <w:pPr>
              <w:pStyle w:val="-2"/>
              <w:spacing w:line="240" w:lineRule="exact"/>
              <w:ind w:right="-294"/>
              <w:rPr>
                <w:b w:val="0"/>
                <w:bCs w:val="0"/>
                <w:sz w:val="18"/>
                <w:szCs w:val="18"/>
                <w:rtl/>
              </w:rPr>
            </w:pPr>
            <w:r>
              <w:rPr>
                <w:rFonts w:hint="cs"/>
                <w:b w:val="0"/>
                <w:bCs w:val="0"/>
                <w:sz w:val="18"/>
                <w:szCs w:val="18"/>
                <w:rtl/>
              </w:rPr>
              <w:t>(ג)</w:t>
            </w:r>
          </w:p>
        </w:tc>
        <w:tc>
          <w:tcPr>
            <w:tcW w:w="8220" w:type="dxa"/>
          </w:tcPr>
          <w:p w14:paraId="07E8BE04" w14:textId="0CD50CE8" w:rsidR="00606B64" w:rsidRDefault="00666640" w:rsidP="00A85610">
            <w:pPr>
              <w:pStyle w:val="-2"/>
              <w:spacing w:before="80" w:line="200" w:lineRule="exact"/>
              <w:rPr>
                <w:b w:val="0"/>
                <w:bCs w:val="0"/>
                <w:sz w:val="18"/>
                <w:szCs w:val="18"/>
                <w:rtl/>
              </w:rPr>
            </w:pPr>
            <w:r w:rsidRPr="00C01349">
              <w:rPr>
                <w:rFonts w:hint="cs"/>
                <w:b w:val="0"/>
                <w:bCs w:val="0"/>
                <w:sz w:val="18"/>
                <w:szCs w:val="18"/>
                <w:rtl/>
              </w:rPr>
              <w:t xml:space="preserve">סך החשיפות </w:t>
            </w:r>
            <w:r w:rsidR="00606B64" w:rsidRPr="002F0DB7">
              <w:rPr>
                <w:b w:val="0"/>
                <w:bCs w:val="0"/>
                <w:sz w:val="18"/>
                <w:szCs w:val="18"/>
                <w:rtl/>
              </w:rPr>
              <w:t xml:space="preserve">חושבו לאחר יישום עדכון הוראת נב"ת 218 בעקבות הוראה </w:t>
            </w:r>
            <w:r w:rsidR="00606B64" w:rsidRPr="002F0DB7">
              <w:rPr>
                <w:b w:val="0"/>
                <w:bCs w:val="0"/>
                <w:sz w:val="18"/>
                <w:szCs w:val="18"/>
              </w:rPr>
              <w:t>203</w:t>
            </w:r>
            <w:r w:rsidR="00A85610">
              <w:rPr>
                <w:b w:val="0"/>
                <w:bCs w:val="0"/>
                <w:sz w:val="18"/>
                <w:szCs w:val="18"/>
              </w:rPr>
              <w:t>A</w:t>
            </w:r>
            <w:r w:rsidR="00606B64" w:rsidRPr="002F0DB7">
              <w:rPr>
                <w:b w:val="0"/>
                <w:bCs w:val="0"/>
                <w:sz w:val="18"/>
                <w:szCs w:val="18"/>
                <w:rtl/>
              </w:rPr>
              <w:t xml:space="preserve"> </w:t>
            </w:r>
            <w:bookmarkStart w:id="34" w:name="_Hlk132539393"/>
            <w:r w:rsidR="00606B64" w:rsidRPr="002F0DB7">
              <w:rPr>
                <w:b w:val="0"/>
                <w:bCs w:val="0"/>
                <w:sz w:val="18"/>
                <w:szCs w:val="18"/>
                <w:rtl/>
              </w:rPr>
              <w:t>בנושא "</w:t>
            </w:r>
            <w:r w:rsidR="001103CB" w:rsidRPr="00C01349">
              <w:rPr>
                <w:rFonts w:hint="cs"/>
                <w:b w:val="0"/>
                <w:bCs w:val="0"/>
                <w:sz w:val="18"/>
                <w:szCs w:val="18"/>
                <w:rtl/>
              </w:rPr>
              <w:t xml:space="preserve">מדידה והלימות הון </w:t>
            </w:r>
            <w:r w:rsidR="001103CB">
              <w:rPr>
                <w:rFonts w:hint="cs"/>
                <w:b w:val="0"/>
                <w:bCs w:val="0"/>
                <w:sz w:val="18"/>
                <w:szCs w:val="18"/>
                <w:rtl/>
              </w:rPr>
              <w:t xml:space="preserve">- </w:t>
            </w:r>
            <w:r w:rsidR="00580821">
              <w:rPr>
                <w:rFonts w:hint="cs"/>
                <w:b w:val="0"/>
                <w:bCs w:val="0"/>
                <w:sz w:val="18"/>
                <w:szCs w:val="18"/>
                <w:rtl/>
              </w:rPr>
              <w:t>טיפול בסיכון אשראי של צד נגדי</w:t>
            </w:r>
            <w:r w:rsidR="00606B64" w:rsidRPr="002F0DB7">
              <w:rPr>
                <w:b w:val="0"/>
                <w:bCs w:val="0"/>
                <w:sz w:val="18"/>
                <w:szCs w:val="18"/>
                <w:rtl/>
              </w:rPr>
              <w:t>"</w:t>
            </w:r>
            <w:bookmarkEnd w:id="34"/>
            <w:r w:rsidR="00C01349">
              <w:rPr>
                <w:rFonts w:hint="cs"/>
                <w:b w:val="0"/>
                <w:bCs w:val="0"/>
                <w:sz w:val="18"/>
                <w:szCs w:val="18"/>
                <w:rtl/>
              </w:rPr>
              <w:t>.</w:t>
            </w:r>
            <w:r>
              <w:rPr>
                <w:rFonts w:hint="cs"/>
                <w:b w:val="0"/>
                <w:bCs w:val="0"/>
                <w:sz w:val="18"/>
                <w:szCs w:val="18"/>
              </w:rPr>
              <w:t xml:space="preserve">  </w:t>
            </w:r>
            <w:r>
              <w:rPr>
                <w:rFonts w:hint="cs"/>
                <w:b w:val="0"/>
                <w:bCs w:val="0"/>
                <w:sz w:val="18"/>
                <w:szCs w:val="18"/>
                <w:rtl/>
              </w:rPr>
              <w:t xml:space="preserve">  </w:t>
            </w:r>
          </w:p>
        </w:tc>
      </w:tr>
      <w:tr w:rsidR="00606B64" w14:paraId="7A504F1D" w14:textId="77777777" w:rsidTr="00400DD1">
        <w:tc>
          <w:tcPr>
            <w:tcW w:w="438" w:type="dxa"/>
          </w:tcPr>
          <w:p w14:paraId="34954308" w14:textId="77777777" w:rsidR="00606B64" w:rsidRDefault="00606B64" w:rsidP="00400DD1">
            <w:pPr>
              <w:pStyle w:val="-2"/>
              <w:spacing w:line="240" w:lineRule="exact"/>
              <w:ind w:right="-294"/>
              <w:rPr>
                <w:b w:val="0"/>
                <w:bCs w:val="0"/>
                <w:sz w:val="18"/>
                <w:szCs w:val="18"/>
                <w:rtl/>
              </w:rPr>
            </w:pPr>
            <w:r>
              <w:rPr>
                <w:rFonts w:hint="cs"/>
                <w:b w:val="0"/>
                <w:bCs w:val="0"/>
                <w:sz w:val="18"/>
                <w:szCs w:val="18"/>
                <w:rtl/>
              </w:rPr>
              <w:t>(ד)</w:t>
            </w:r>
          </w:p>
        </w:tc>
        <w:tc>
          <w:tcPr>
            <w:tcW w:w="8220" w:type="dxa"/>
          </w:tcPr>
          <w:p w14:paraId="5D394D1E" w14:textId="24ECDC37" w:rsidR="00606B64" w:rsidRDefault="00606B64" w:rsidP="00A85610">
            <w:pPr>
              <w:pStyle w:val="-2"/>
              <w:spacing w:before="80" w:line="200" w:lineRule="exact"/>
              <w:rPr>
                <w:b w:val="0"/>
                <w:bCs w:val="0"/>
                <w:sz w:val="18"/>
                <w:szCs w:val="18"/>
                <w:rtl/>
              </w:rPr>
            </w:pPr>
            <w:r w:rsidRPr="002F0DB7">
              <w:rPr>
                <w:b w:val="0"/>
                <w:bCs w:val="0"/>
                <w:sz w:val="18"/>
                <w:szCs w:val="18"/>
                <w:rtl/>
              </w:rPr>
              <w:t>תאגיד בנקאי נדרש לעמוד ביחס המינוף המזערי שנדרש על ידי המפקח על הבנקים החל מיום 1.1.2018. בהתאם להוראות שעה בדבר התאמות להוראות ניהול בנקאי תקין לצורך התמודדות עם משבר הקורונה, תאגיד בנקאי יעמוד ביחס מינוף שלא יפחת מ- 4.5%, או מ- 5.5% (בהתאמה לפי היקף נכסים), זאת עד תום תוקף ההוראה; למועד פרסום הדוחות הכספיים תוקף ההקלה חל עד יום ____.</w:t>
            </w:r>
            <w:r w:rsidRPr="00FD7A2A">
              <w:rPr>
                <w:rFonts w:hint="cs"/>
                <w:sz w:val="17"/>
                <w:szCs w:val="17"/>
                <w:vertAlign w:val="superscript"/>
                <w:rtl/>
              </w:rPr>
              <w:t>[</w:t>
            </w:r>
            <w:r w:rsidRPr="00FD7A2A">
              <w:rPr>
                <w:rStyle w:val="a7"/>
                <w:rtl/>
              </w:rPr>
              <w:footnoteReference w:id="69"/>
            </w:r>
            <w:r w:rsidRPr="00FD7A2A">
              <w:rPr>
                <w:rFonts w:hint="cs"/>
                <w:sz w:val="17"/>
                <w:szCs w:val="17"/>
                <w:vertAlign w:val="superscript"/>
                <w:rtl/>
              </w:rPr>
              <w:t xml:space="preserve">] </w:t>
            </w:r>
            <w:r w:rsidRPr="00046DE4">
              <w:rPr>
                <w:sz w:val="17"/>
                <w:szCs w:val="17"/>
                <w:rtl/>
              </w:rPr>
              <w:t xml:space="preserve"> </w:t>
            </w:r>
          </w:p>
        </w:tc>
      </w:tr>
    </w:tbl>
    <w:p w14:paraId="42F81A7A" w14:textId="4F2D5A48" w:rsidR="004B5EE8" w:rsidRDefault="004B5EE8" w:rsidP="00F05EF0">
      <w:pPr>
        <w:pStyle w:val="-2"/>
        <w:spacing w:line="240" w:lineRule="exact"/>
        <w:ind w:left="1985" w:right="-294"/>
        <w:rPr>
          <w:b w:val="0"/>
          <w:bCs w:val="0"/>
          <w:sz w:val="18"/>
          <w:szCs w:val="18"/>
          <w:rtl/>
        </w:rPr>
      </w:pPr>
    </w:p>
    <w:tbl>
      <w:tblPr>
        <w:bidiVisual/>
        <w:tblW w:w="5004" w:type="pct"/>
        <w:jc w:val="right"/>
        <w:tblLook w:val="0000" w:firstRow="0" w:lastRow="0" w:firstColumn="0" w:lastColumn="0" w:noHBand="0" w:noVBand="0"/>
      </w:tblPr>
      <w:tblGrid>
        <w:gridCol w:w="1573"/>
        <w:gridCol w:w="8642"/>
      </w:tblGrid>
      <w:tr w:rsidR="00606B64" w14:paraId="2A8D4E75" w14:textId="77777777" w:rsidTr="008A3A2A">
        <w:trPr>
          <w:trHeight w:val="245"/>
          <w:jc w:val="right"/>
        </w:trPr>
        <w:tc>
          <w:tcPr>
            <w:tcW w:w="1573" w:type="dxa"/>
          </w:tcPr>
          <w:p w14:paraId="3DE7C376" w14:textId="7911919A" w:rsidR="00606B64" w:rsidRDefault="00046DE4" w:rsidP="001A646D">
            <w:pPr>
              <w:pStyle w:val="-7"/>
              <w:spacing w:before="80" w:after="60" w:line="240" w:lineRule="auto"/>
              <w:rPr>
                <w:sz w:val="14"/>
                <w:szCs w:val="14"/>
                <w:rtl/>
              </w:rPr>
            </w:pPr>
            <w:r w:rsidRPr="00046DE4">
              <w:rPr>
                <w:sz w:val="17"/>
                <w:szCs w:val="17"/>
                <w:rtl/>
              </w:rPr>
              <w:t xml:space="preserve"> </w:t>
            </w:r>
            <w:r w:rsidR="00606B64">
              <w:rPr>
                <w:rFonts w:hint="cs"/>
                <w:sz w:val="14"/>
                <w:szCs w:val="14"/>
                <w:rtl/>
              </w:rPr>
              <w:t>ה. המפקח ס' 45ד(ב)(2)</w:t>
            </w:r>
          </w:p>
        </w:tc>
        <w:tc>
          <w:tcPr>
            <w:tcW w:w="8642" w:type="dxa"/>
          </w:tcPr>
          <w:p w14:paraId="31ABE56D" w14:textId="77777777" w:rsidR="00606B64" w:rsidRPr="00FD7A2A" w:rsidRDefault="00606B64" w:rsidP="001A646D">
            <w:pPr>
              <w:pStyle w:val="-f4"/>
              <w:rPr>
                <w:b w:val="0"/>
                <w:bCs w:val="0"/>
                <w:sz w:val="18"/>
                <w:szCs w:val="18"/>
                <w:rtl/>
              </w:rPr>
            </w:pPr>
            <w:r w:rsidRPr="00FD7A2A">
              <w:rPr>
                <w:rFonts w:hint="cs"/>
                <w:b w:val="0"/>
                <w:bCs w:val="0"/>
                <w:sz w:val="18"/>
                <w:szCs w:val="18"/>
                <w:rtl/>
              </w:rPr>
              <w:t>[יינתן גילוי להשפעות האפשריות (או ההשפעות בפועל) של אי עמידה בדרישות המפקח על הבנקים ליחס המינוף].</w:t>
            </w:r>
          </w:p>
        </w:tc>
      </w:tr>
      <w:tr w:rsidR="00606B64" w:rsidRPr="00A23DCD" w14:paraId="4EC33193" w14:textId="77777777" w:rsidTr="008A3A2A">
        <w:trPr>
          <w:trHeight w:val="245"/>
          <w:jc w:val="right"/>
        </w:trPr>
        <w:tc>
          <w:tcPr>
            <w:tcW w:w="1573" w:type="dxa"/>
          </w:tcPr>
          <w:p w14:paraId="0A079967" w14:textId="77777777" w:rsidR="00606B64" w:rsidRDefault="00606B64" w:rsidP="001A646D">
            <w:pPr>
              <w:pStyle w:val="-7"/>
              <w:spacing w:before="60" w:line="240" w:lineRule="auto"/>
              <w:rPr>
                <w:spacing w:val="-6"/>
                <w:sz w:val="14"/>
                <w:szCs w:val="14"/>
                <w:rtl/>
              </w:rPr>
            </w:pPr>
            <w:r w:rsidRPr="00B44059">
              <w:rPr>
                <w:rFonts w:hint="eastAsia"/>
                <w:spacing w:val="-6"/>
                <w:sz w:val="14"/>
                <w:szCs w:val="14"/>
                <w:rtl/>
              </w:rPr>
              <w:t>ה</w:t>
            </w:r>
            <w:r w:rsidRPr="00B44059">
              <w:rPr>
                <w:spacing w:val="-6"/>
                <w:sz w:val="14"/>
                <w:szCs w:val="14"/>
                <w:rtl/>
              </w:rPr>
              <w:t xml:space="preserve">. </w:t>
            </w:r>
            <w:r w:rsidRPr="00B44059">
              <w:rPr>
                <w:rFonts w:hint="eastAsia"/>
                <w:spacing w:val="-6"/>
                <w:sz w:val="14"/>
                <w:szCs w:val="14"/>
                <w:rtl/>
              </w:rPr>
              <w:t>המפקח</w:t>
            </w:r>
            <w:r w:rsidRPr="00B44059">
              <w:rPr>
                <w:spacing w:val="-6"/>
                <w:sz w:val="14"/>
                <w:szCs w:val="14"/>
                <w:rtl/>
              </w:rPr>
              <w:t xml:space="preserve"> </w:t>
            </w:r>
            <w:r w:rsidRPr="00B44059">
              <w:rPr>
                <w:rFonts w:hint="eastAsia"/>
                <w:spacing w:val="-6"/>
                <w:sz w:val="14"/>
                <w:szCs w:val="14"/>
                <w:rtl/>
              </w:rPr>
              <w:t>ס</w:t>
            </w:r>
            <w:r w:rsidRPr="00B44059">
              <w:rPr>
                <w:spacing w:val="-6"/>
                <w:sz w:val="14"/>
                <w:szCs w:val="14"/>
                <w:rtl/>
              </w:rPr>
              <w:t>' 45ד(ב)(3)(2)</w:t>
            </w:r>
          </w:p>
        </w:tc>
        <w:tc>
          <w:tcPr>
            <w:tcW w:w="8642" w:type="dxa"/>
          </w:tcPr>
          <w:p w14:paraId="430C6D20" w14:textId="15783FAF" w:rsidR="00606B64" w:rsidRPr="00FD7A2A" w:rsidRDefault="00606B64" w:rsidP="006C42B2">
            <w:pPr>
              <w:pStyle w:val="-f4"/>
              <w:spacing w:after="0" w:line="240" w:lineRule="auto"/>
              <w:rPr>
                <w:b w:val="0"/>
                <w:bCs w:val="0"/>
                <w:sz w:val="18"/>
                <w:szCs w:val="18"/>
                <w:rtl/>
              </w:rPr>
            </w:pPr>
            <w:r w:rsidRPr="00FD7A2A">
              <w:rPr>
                <w:rFonts w:hint="cs"/>
                <w:b w:val="0"/>
                <w:bCs w:val="0"/>
                <w:sz w:val="18"/>
                <w:szCs w:val="18"/>
                <w:rtl/>
              </w:rPr>
              <w:t>[יינתן גילוי לגורמים היכולים להשפיע באופן מהותי על יחס המינוף].</w:t>
            </w:r>
          </w:p>
        </w:tc>
      </w:tr>
    </w:tbl>
    <w:p w14:paraId="6B2B5204" w14:textId="77777777" w:rsidR="007A0C61" w:rsidRDefault="007A0C61"/>
    <w:p w14:paraId="28C6334B" w14:textId="41E28B3C" w:rsidR="00C01349" w:rsidRDefault="00C01349">
      <w:pPr>
        <w:bidi w:val="0"/>
        <w:jc w:val="left"/>
        <w:rPr>
          <w:rtl/>
        </w:rPr>
      </w:pPr>
      <w:r>
        <w:rPr>
          <w:rtl/>
        </w:rPr>
        <w:br w:type="page"/>
      </w:r>
    </w:p>
    <w:tbl>
      <w:tblPr>
        <w:bidiVisual/>
        <w:tblW w:w="4729" w:type="pct"/>
        <w:tblLook w:val="04A0" w:firstRow="1" w:lastRow="0" w:firstColumn="1" w:lastColumn="0" w:noHBand="0" w:noVBand="1"/>
      </w:tblPr>
      <w:tblGrid>
        <w:gridCol w:w="1020"/>
        <w:gridCol w:w="8634"/>
      </w:tblGrid>
      <w:tr w:rsidR="006D22E3" w:rsidRPr="00543C25" w14:paraId="31293944" w14:textId="77777777" w:rsidTr="00F011BA">
        <w:trPr>
          <w:trHeight w:val="259"/>
        </w:trPr>
        <w:tc>
          <w:tcPr>
            <w:tcW w:w="1020" w:type="dxa"/>
          </w:tcPr>
          <w:p w14:paraId="4199890C" w14:textId="2D0BB5BD" w:rsidR="006D22E3" w:rsidRPr="00543C25" w:rsidRDefault="00856D70" w:rsidP="006F3019">
            <w:pPr>
              <w:pStyle w:val="-fa"/>
              <w:spacing w:before="0" w:after="60"/>
            </w:pPr>
            <w:r>
              <w:lastRenderedPageBreak/>
              <w:br w:type="page"/>
            </w:r>
            <w:r w:rsidR="00947E75">
              <w:rPr>
                <w:rtl/>
              </w:rPr>
              <w:br/>
            </w:r>
          </w:p>
        </w:tc>
        <w:tc>
          <w:tcPr>
            <w:tcW w:w="0" w:type="auto"/>
          </w:tcPr>
          <w:p w14:paraId="3A2B7B62" w14:textId="77777777" w:rsidR="00F32A2A" w:rsidRDefault="006D22E3">
            <w:pPr>
              <w:pStyle w:val="-8"/>
              <w:rPr>
                <w:color w:val="000000"/>
                <w:rtl/>
                <w:lang w:eastAsia="he-IL"/>
              </w:rPr>
            </w:pPr>
            <w:r w:rsidRPr="007363C7">
              <w:rPr>
                <w:rtl/>
              </w:rPr>
              <w:t xml:space="preserve">ביאור </w:t>
            </w:r>
            <w:r>
              <w:rPr>
                <w:rFonts w:hint="cs"/>
                <w:rtl/>
              </w:rPr>
              <w:t>8</w:t>
            </w:r>
            <w:r w:rsidRPr="007363C7">
              <w:rPr>
                <w:rtl/>
              </w:rPr>
              <w:t xml:space="preserve"> </w:t>
            </w:r>
            <w:r>
              <w:rPr>
                <w:rFonts w:hint="cs"/>
                <w:rtl/>
              </w:rPr>
              <w:t xml:space="preserve"> </w:t>
            </w:r>
            <w:r w:rsidRPr="007363C7">
              <w:rPr>
                <w:rtl/>
              </w:rPr>
              <w:t xml:space="preserve">- </w:t>
            </w:r>
            <w:r>
              <w:rPr>
                <w:rFonts w:hint="cs"/>
                <w:rtl/>
              </w:rPr>
              <w:t xml:space="preserve"> הלימות הון, מינוף ונזילות לפי הוראות המפקח על הבנקים (המשך):</w:t>
            </w:r>
          </w:p>
        </w:tc>
      </w:tr>
      <w:tr w:rsidR="00354B72" w:rsidRPr="00543C25" w14:paraId="757E1009" w14:textId="77777777" w:rsidTr="00F011BA">
        <w:tc>
          <w:tcPr>
            <w:tcW w:w="1020" w:type="dxa"/>
          </w:tcPr>
          <w:p w14:paraId="1586B74E" w14:textId="4BC38277" w:rsidR="00354B72" w:rsidRPr="00354B72" w:rsidRDefault="004F0EA3" w:rsidP="001A3A57">
            <w:pPr>
              <w:pStyle w:val="-fa"/>
              <w:spacing w:before="80"/>
              <w:ind w:right="-142"/>
              <w:rPr>
                <w:spacing w:val="0"/>
                <w:rtl/>
              </w:rPr>
            </w:pPr>
            <w:r w:rsidRPr="00AC1A00">
              <w:rPr>
                <w:rFonts w:hint="cs"/>
                <w:spacing w:val="0"/>
                <w:rtl/>
              </w:rPr>
              <w:t>מתכונת ביאור</w:t>
            </w:r>
            <w:r w:rsidRPr="00AC1A00">
              <w:rPr>
                <w:spacing w:val="0"/>
                <w:rtl/>
              </w:rPr>
              <w:br/>
            </w:r>
            <w:r w:rsidRPr="00AC1A00">
              <w:rPr>
                <w:rFonts w:hint="cs"/>
                <w:spacing w:val="0"/>
                <w:rtl/>
              </w:rPr>
              <w:t xml:space="preserve">עמ' </w:t>
            </w:r>
            <w:r>
              <w:rPr>
                <w:rFonts w:hint="cs"/>
                <w:spacing w:val="0"/>
                <w:rtl/>
              </w:rPr>
              <w:t>663</w:t>
            </w:r>
            <w:r w:rsidRPr="00AC1A00">
              <w:rPr>
                <w:rFonts w:hint="cs"/>
                <w:spacing w:val="0"/>
                <w:rtl/>
              </w:rPr>
              <w:t>-</w:t>
            </w:r>
            <w:r>
              <w:rPr>
                <w:rFonts w:hint="cs"/>
                <w:spacing w:val="0"/>
                <w:rtl/>
              </w:rPr>
              <w:t>30.1</w:t>
            </w:r>
          </w:p>
        </w:tc>
        <w:tc>
          <w:tcPr>
            <w:tcW w:w="0" w:type="auto"/>
          </w:tcPr>
          <w:p w14:paraId="6C32D764" w14:textId="3F380A19" w:rsidR="00354B72" w:rsidRDefault="00354B72" w:rsidP="00E148B0">
            <w:pPr>
              <w:pStyle w:val="-8"/>
              <w:spacing w:before="60" w:after="0"/>
              <w:ind w:left="334" w:hanging="334"/>
              <w:rPr>
                <w:b w:val="0"/>
                <w:bCs w:val="0"/>
                <w:color w:val="000000"/>
                <w:rtl/>
                <w:lang w:eastAsia="he-IL"/>
              </w:rPr>
            </w:pPr>
            <w:r w:rsidRPr="00B44059">
              <w:rPr>
                <w:sz w:val="20"/>
                <w:szCs w:val="20"/>
                <w:rtl/>
              </w:rPr>
              <w:t>3.</w:t>
            </w:r>
            <w:r w:rsidRPr="00B44059">
              <w:rPr>
                <w:sz w:val="20"/>
                <w:szCs w:val="20"/>
                <w:rtl/>
              </w:rPr>
              <w:tab/>
            </w:r>
            <w:r w:rsidRPr="00B44059">
              <w:rPr>
                <w:rFonts w:hint="eastAsia"/>
                <w:sz w:val="20"/>
                <w:szCs w:val="20"/>
                <w:rtl/>
              </w:rPr>
              <w:t>יחס</w:t>
            </w:r>
            <w:r w:rsidRPr="00B44059">
              <w:rPr>
                <w:sz w:val="20"/>
                <w:szCs w:val="20"/>
                <w:rtl/>
              </w:rPr>
              <w:t xml:space="preserve"> </w:t>
            </w:r>
            <w:r w:rsidRPr="00B44059">
              <w:rPr>
                <w:rFonts w:hint="eastAsia"/>
                <w:sz w:val="20"/>
                <w:szCs w:val="20"/>
                <w:rtl/>
              </w:rPr>
              <w:t>כיסוי</w:t>
            </w:r>
            <w:r w:rsidRPr="00B44059">
              <w:rPr>
                <w:sz w:val="20"/>
                <w:szCs w:val="20"/>
                <w:rtl/>
              </w:rPr>
              <w:t xml:space="preserve"> </w:t>
            </w:r>
            <w:r w:rsidRPr="00B44059">
              <w:rPr>
                <w:rFonts w:hint="eastAsia"/>
                <w:sz w:val="20"/>
                <w:szCs w:val="20"/>
                <w:rtl/>
              </w:rPr>
              <w:t>נזילות</w:t>
            </w:r>
            <w:r w:rsidRPr="00B44059">
              <w:rPr>
                <w:sz w:val="20"/>
                <w:szCs w:val="20"/>
                <w:rtl/>
              </w:rPr>
              <w:t xml:space="preserve"> </w:t>
            </w:r>
            <w:r w:rsidRPr="00B44059">
              <w:rPr>
                <w:rFonts w:hint="eastAsia"/>
                <w:sz w:val="20"/>
                <w:szCs w:val="20"/>
                <w:rtl/>
              </w:rPr>
              <w:t>לפי</w:t>
            </w:r>
            <w:r w:rsidRPr="00B44059">
              <w:rPr>
                <w:sz w:val="20"/>
                <w:szCs w:val="20"/>
                <w:rtl/>
              </w:rPr>
              <w:t xml:space="preserve"> </w:t>
            </w:r>
            <w:r w:rsidRPr="00B44059">
              <w:rPr>
                <w:rFonts w:hint="eastAsia"/>
                <w:sz w:val="20"/>
                <w:szCs w:val="20"/>
                <w:rtl/>
              </w:rPr>
              <w:t>הוראות</w:t>
            </w:r>
            <w:r w:rsidRPr="00B44059">
              <w:rPr>
                <w:sz w:val="20"/>
                <w:szCs w:val="20"/>
                <w:rtl/>
              </w:rPr>
              <w:t xml:space="preserve"> </w:t>
            </w:r>
            <w:r w:rsidRPr="00B44059">
              <w:rPr>
                <w:rFonts w:hint="eastAsia"/>
                <w:sz w:val="20"/>
                <w:szCs w:val="20"/>
                <w:rtl/>
              </w:rPr>
              <w:t>המפקח</w:t>
            </w:r>
            <w:r w:rsidRPr="00B44059">
              <w:rPr>
                <w:sz w:val="20"/>
                <w:szCs w:val="20"/>
                <w:rtl/>
              </w:rPr>
              <w:t xml:space="preserve"> </w:t>
            </w:r>
            <w:r w:rsidRPr="00B44059">
              <w:rPr>
                <w:rFonts w:hint="eastAsia"/>
                <w:sz w:val="20"/>
                <w:szCs w:val="20"/>
                <w:rtl/>
              </w:rPr>
              <w:t>על</w:t>
            </w:r>
            <w:r w:rsidRPr="00B44059">
              <w:rPr>
                <w:sz w:val="20"/>
                <w:szCs w:val="20"/>
                <w:rtl/>
              </w:rPr>
              <w:t xml:space="preserve"> </w:t>
            </w:r>
            <w:r w:rsidRPr="00B44059">
              <w:rPr>
                <w:rFonts w:hint="eastAsia"/>
                <w:sz w:val="20"/>
                <w:szCs w:val="20"/>
                <w:rtl/>
              </w:rPr>
              <w:t>הבנקים</w:t>
            </w:r>
            <w:r w:rsidRPr="00B44059">
              <w:rPr>
                <w:sz w:val="20"/>
                <w:szCs w:val="20"/>
                <w:rtl/>
              </w:rPr>
              <w:t>:</w:t>
            </w:r>
            <w:r w:rsidRPr="00E704F0">
              <w:rPr>
                <w:rFonts w:hint="cs"/>
                <w:sz w:val="18"/>
                <w:szCs w:val="18"/>
                <w:vertAlign w:val="superscript"/>
                <w:rtl/>
              </w:rPr>
              <w:t>(</w:t>
            </w:r>
            <w:r w:rsidRPr="00374340">
              <w:rPr>
                <w:rFonts w:hint="cs"/>
                <w:sz w:val="20"/>
                <w:szCs w:val="20"/>
                <w:vertAlign w:val="superscript"/>
                <w:rtl/>
              </w:rPr>
              <w:t>א)</w:t>
            </w:r>
          </w:p>
        </w:tc>
      </w:tr>
    </w:tbl>
    <w:p w14:paraId="003A1B17" w14:textId="77777777" w:rsidR="001D069C" w:rsidRDefault="001D069C" w:rsidP="00030C7C">
      <w:pPr>
        <w:bidi w:val="0"/>
        <w:spacing w:line="60" w:lineRule="exact"/>
        <w:rPr>
          <w:rtl/>
        </w:rPr>
      </w:pPr>
    </w:p>
    <w:tbl>
      <w:tblPr>
        <w:bidiVisual/>
        <w:tblW w:w="4771" w:type="pct"/>
        <w:tblLayout w:type="fixed"/>
        <w:tblLook w:val="01E0" w:firstRow="1" w:lastRow="1" w:firstColumn="1" w:lastColumn="1" w:noHBand="0" w:noVBand="0"/>
      </w:tblPr>
      <w:tblGrid>
        <w:gridCol w:w="1191"/>
        <w:gridCol w:w="328"/>
        <w:gridCol w:w="4386"/>
        <w:gridCol w:w="1251"/>
        <w:gridCol w:w="1390"/>
        <w:gridCol w:w="1194"/>
      </w:tblGrid>
      <w:tr w:rsidR="004E536C" w:rsidRPr="00907C5A" w14:paraId="21A54A5E" w14:textId="77777777" w:rsidTr="00F011BA">
        <w:trPr>
          <w:trHeight w:val="57"/>
        </w:trPr>
        <w:tc>
          <w:tcPr>
            <w:tcW w:w="1191" w:type="dxa"/>
          </w:tcPr>
          <w:p w14:paraId="502DF189" w14:textId="77777777" w:rsidR="004E536C" w:rsidRPr="00024859" w:rsidRDefault="004E536C" w:rsidP="00030C7C">
            <w:pPr>
              <w:pStyle w:val="-7"/>
              <w:spacing w:before="60" w:line="240" w:lineRule="auto"/>
              <w:jc w:val="left"/>
              <w:rPr>
                <w:b/>
                <w:bCs/>
                <w:sz w:val="18"/>
                <w:szCs w:val="18"/>
                <w:rtl/>
              </w:rPr>
            </w:pPr>
          </w:p>
        </w:tc>
        <w:tc>
          <w:tcPr>
            <w:tcW w:w="328" w:type="dxa"/>
            <w:vAlign w:val="bottom"/>
          </w:tcPr>
          <w:p w14:paraId="0D97E6BF" w14:textId="77777777" w:rsidR="004E536C" w:rsidRPr="00024859" w:rsidRDefault="004E536C" w:rsidP="0053663A">
            <w:pPr>
              <w:pStyle w:val="-7"/>
              <w:spacing w:line="240" w:lineRule="auto"/>
              <w:jc w:val="center"/>
              <w:rPr>
                <w:b/>
                <w:bCs/>
                <w:sz w:val="18"/>
                <w:szCs w:val="18"/>
                <w:rtl/>
              </w:rPr>
            </w:pPr>
          </w:p>
        </w:tc>
        <w:tc>
          <w:tcPr>
            <w:tcW w:w="4386" w:type="dxa"/>
            <w:vAlign w:val="bottom"/>
          </w:tcPr>
          <w:p w14:paraId="177BE450" w14:textId="77777777" w:rsidR="004E536C" w:rsidRPr="00024859" w:rsidRDefault="004E536C" w:rsidP="0053663A">
            <w:pPr>
              <w:pStyle w:val="-0"/>
              <w:spacing w:line="240" w:lineRule="auto"/>
              <w:ind w:left="392" w:hanging="392"/>
              <w:jc w:val="center"/>
              <w:rPr>
                <w:b/>
                <w:bCs/>
                <w:sz w:val="18"/>
                <w:szCs w:val="18"/>
                <w:rtl/>
              </w:rPr>
            </w:pPr>
          </w:p>
        </w:tc>
        <w:tc>
          <w:tcPr>
            <w:tcW w:w="3835" w:type="dxa"/>
            <w:gridSpan w:val="3"/>
            <w:vAlign w:val="bottom"/>
          </w:tcPr>
          <w:p w14:paraId="06F28A03" w14:textId="77777777" w:rsidR="004E536C" w:rsidRPr="00024859" w:rsidRDefault="004E536C" w:rsidP="004D61B4">
            <w:pPr>
              <w:pStyle w:val="-7"/>
              <w:pBdr>
                <w:bottom w:val="single" w:sz="4" w:space="1" w:color="auto"/>
              </w:pBdr>
              <w:spacing w:line="192" w:lineRule="auto"/>
              <w:jc w:val="center"/>
              <w:rPr>
                <w:b/>
                <w:bCs/>
                <w:sz w:val="18"/>
                <w:szCs w:val="18"/>
                <w:rtl/>
              </w:rPr>
            </w:pPr>
            <w:r w:rsidRPr="00024859">
              <w:rPr>
                <w:rFonts w:hint="cs"/>
                <w:b/>
                <w:bCs/>
                <w:sz w:val="18"/>
                <w:szCs w:val="18"/>
                <w:rtl/>
              </w:rPr>
              <w:t>לשלושה חודשים שהסתיימו ביום</w:t>
            </w:r>
          </w:p>
        </w:tc>
      </w:tr>
      <w:tr w:rsidR="004E536C" w:rsidRPr="00907C5A" w14:paraId="0933F21E" w14:textId="77777777" w:rsidTr="00F011BA">
        <w:trPr>
          <w:trHeight w:val="198"/>
        </w:trPr>
        <w:tc>
          <w:tcPr>
            <w:tcW w:w="1191" w:type="dxa"/>
          </w:tcPr>
          <w:p w14:paraId="5D22B13E" w14:textId="77777777" w:rsidR="004E536C" w:rsidRPr="00024859" w:rsidRDefault="004E536C" w:rsidP="00030C7C">
            <w:pPr>
              <w:pStyle w:val="-7"/>
              <w:spacing w:line="240" w:lineRule="auto"/>
              <w:jc w:val="left"/>
              <w:rPr>
                <w:b/>
                <w:bCs/>
                <w:sz w:val="18"/>
                <w:szCs w:val="18"/>
                <w:rtl/>
              </w:rPr>
            </w:pPr>
          </w:p>
        </w:tc>
        <w:tc>
          <w:tcPr>
            <w:tcW w:w="328" w:type="dxa"/>
            <w:vAlign w:val="bottom"/>
          </w:tcPr>
          <w:p w14:paraId="16F6811A" w14:textId="77777777" w:rsidR="004E536C" w:rsidRPr="00024859" w:rsidRDefault="004E536C" w:rsidP="0053663A">
            <w:pPr>
              <w:pStyle w:val="-7"/>
              <w:spacing w:line="240" w:lineRule="auto"/>
              <w:jc w:val="center"/>
              <w:rPr>
                <w:b/>
                <w:bCs/>
                <w:sz w:val="18"/>
                <w:szCs w:val="18"/>
                <w:rtl/>
              </w:rPr>
            </w:pPr>
          </w:p>
        </w:tc>
        <w:tc>
          <w:tcPr>
            <w:tcW w:w="4386" w:type="dxa"/>
            <w:vAlign w:val="bottom"/>
          </w:tcPr>
          <w:p w14:paraId="09C3734D" w14:textId="77777777" w:rsidR="004E536C" w:rsidRPr="00024859" w:rsidRDefault="004E536C" w:rsidP="005A25AC">
            <w:pPr>
              <w:pStyle w:val="-0"/>
              <w:spacing w:line="192" w:lineRule="auto"/>
              <w:ind w:left="391" w:hanging="391"/>
              <w:jc w:val="center"/>
              <w:rPr>
                <w:b/>
                <w:bCs/>
                <w:sz w:val="18"/>
                <w:szCs w:val="18"/>
                <w:rtl/>
              </w:rPr>
            </w:pPr>
          </w:p>
        </w:tc>
        <w:tc>
          <w:tcPr>
            <w:tcW w:w="2641" w:type="dxa"/>
            <w:gridSpan w:val="2"/>
            <w:vAlign w:val="bottom"/>
          </w:tcPr>
          <w:p w14:paraId="2A2B14EF" w14:textId="77777777" w:rsidR="004E536C" w:rsidRPr="00024859" w:rsidRDefault="004E536C" w:rsidP="004D61B4">
            <w:pPr>
              <w:pStyle w:val="-4"/>
              <w:pBdr>
                <w:bottom w:val="single" w:sz="4" w:space="1" w:color="auto"/>
              </w:pBdr>
              <w:spacing w:line="192" w:lineRule="auto"/>
              <w:rPr>
                <w:sz w:val="18"/>
                <w:szCs w:val="18"/>
                <w:rtl/>
              </w:rPr>
            </w:pPr>
            <w:r w:rsidRPr="00024859">
              <w:rPr>
                <w:rFonts w:hint="cs"/>
                <w:sz w:val="18"/>
                <w:szCs w:val="18"/>
                <w:rtl/>
              </w:rPr>
              <w:t>30 ביוני</w:t>
            </w:r>
          </w:p>
        </w:tc>
        <w:tc>
          <w:tcPr>
            <w:tcW w:w="1194" w:type="dxa"/>
            <w:vAlign w:val="bottom"/>
          </w:tcPr>
          <w:p w14:paraId="51CEE4FF" w14:textId="77777777" w:rsidR="004E536C" w:rsidRPr="00024859" w:rsidRDefault="004E536C" w:rsidP="004D61B4">
            <w:pPr>
              <w:pStyle w:val="-4"/>
              <w:pBdr>
                <w:bottom w:val="single" w:sz="4" w:space="1" w:color="auto"/>
              </w:pBdr>
              <w:spacing w:line="192" w:lineRule="auto"/>
              <w:rPr>
                <w:sz w:val="18"/>
                <w:szCs w:val="18"/>
                <w:rtl/>
              </w:rPr>
            </w:pPr>
            <w:r w:rsidRPr="00024859">
              <w:rPr>
                <w:rFonts w:hint="cs"/>
                <w:sz w:val="18"/>
                <w:szCs w:val="18"/>
                <w:rtl/>
              </w:rPr>
              <w:t>31 בדצמבר</w:t>
            </w:r>
          </w:p>
        </w:tc>
      </w:tr>
      <w:tr w:rsidR="004E536C" w:rsidRPr="00907C5A" w14:paraId="3121CB2E" w14:textId="77777777" w:rsidTr="00F011BA">
        <w:trPr>
          <w:trHeight w:val="198"/>
        </w:trPr>
        <w:tc>
          <w:tcPr>
            <w:tcW w:w="1191" w:type="dxa"/>
            <w:vAlign w:val="bottom"/>
          </w:tcPr>
          <w:p w14:paraId="28DC1675" w14:textId="77777777" w:rsidR="004E536C" w:rsidRPr="00024859" w:rsidRDefault="004E536C" w:rsidP="0053663A">
            <w:pPr>
              <w:pStyle w:val="-7"/>
              <w:spacing w:line="240" w:lineRule="auto"/>
              <w:jc w:val="center"/>
              <w:rPr>
                <w:b/>
                <w:bCs/>
                <w:sz w:val="18"/>
                <w:szCs w:val="18"/>
                <w:rtl/>
              </w:rPr>
            </w:pPr>
          </w:p>
        </w:tc>
        <w:tc>
          <w:tcPr>
            <w:tcW w:w="328" w:type="dxa"/>
            <w:vAlign w:val="bottom"/>
          </w:tcPr>
          <w:p w14:paraId="1E564AC4" w14:textId="77777777" w:rsidR="004E536C" w:rsidRPr="00024859" w:rsidRDefault="004E536C" w:rsidP="0053663A">
            <w:pPr>
              <w:pStyle w:val="-7"/>
              <w:spacing w:line="240" w:lineRule="auto"/>
              <w:jc w:val="center"/>
              <w:rPr>
                <w:b/>
                <w:bCs/>
                <w:sz w:val="18"/>
                <w:szCs w:val="18"/>
                <w:rtl/>
              </w:rPr>
            </w:pPr>
          </w:p>
        </w:tc>
        <w:tc>
          <w:tcPr>
            <w:tcW w:w="4386" w:type="dxa"/>
            <w:vAlign w:val="bottom"/>
          </w:tcPr>
          <w:p w14:paraId="6F7F06E2" w14:textId="77777777" w:rsidR="004E536C" w:rsidRPr="00024859" w:rsidRDefault="004E536C" w:rsidP="0053663A">
            <w:pPr>
              <w:pStyle w:val="-0"/>
              <w:spacing w:line="240" w:lineRule="auto"/>
              <w:ind w:left="392" w:hanging="392"/>
              <w:jc w:val="center"/>
              <w:rPr>
                <w:b/>
                <w:bCs/>
                <w:sz w:val="18"/>
                <w:szCs w:val="18"/>
                <w:rtl/>
              </w:rPr>
            </w:pPr>
          </w:p>
        </w:tc>
        <w:tc>
          <w:tcPr>
            <w:tcW w:w="1251" w:type="dxa"/>
            <w:vAlign w:val="bottom"/>
          </w:tcPr>
          <w:p w14:paraId="77380974" w14:textId="6DB10650" w:rsidR="004E536C" w:rsidRPr="00024859" w:rsidRDefault="00EF2F8B" w:rsidP="004D61B4">
            <w:pPr>
              <w:pStyle w:val="-4"/>
              <w:pBdr>
                <w:bottom w:val="single" w:sz="4" w:space="1" w:color="auto"/>
              </w:pBdr>
              <w:spacing w:line="192" w:lineRule="auto"/>
              <w:rPr>
                <w:sz w:val="18"/>
                <w:szCs w:val="18"/>
                <w:rtl/>
              </w:rPr>
            </w:pPr>
            <w:r w:rsidRPr="00024859">
              <w:rPr>
                <w:sz w:val="18"/>
                <w:szCs w:val="18"/>
                <w:rtl/>
              </w:rPr>
              <w:fldChar w:fldCharType="begin"/>
            </w:r>
            <w:r w:rsidRPr="00024859">
              <w:rPr>
                <w:sz w:val="18"/>
                <w:szCs w:val="18"/>
                <w:rtl/>
              </w:rPr>
              <w:instrText xml:space="preserve"> </w:instrText>
            </w:r>
            <w:r w:rsidRPr="00024859">
              <w:rPr>
                <w:rFonts w:hint="cs"/>
                <w:sz w:val="18"/>
                <w:szCs w:val="18"/>
                <w:rtl/>
              </w:rPr>
              <w:instrText xml:space="preserve">= </w:instrText>
            </w:r>
            <w:r w:rsidRPr="00024859">
              <w:rPr>
                <w:rFonts w:hint="cs"/>
                <w:sz w:val="18"/>
                <w:szCs w:val="18"/>
              </w:rPr>
              <w:instrText>CY \* MERGEFORMAT</w:instrText>
            </w:r>
            <w:r w:rsidRPr="00024859">
              <w:rPr>
                <w:sz w:val="18"/>
                <w:szCs w:val="18"/>
                <w:rtl/>
              </w:rPr>
              <w:instrText xml:space="preserve"> </w:instrText>
            </w:r>
            <w:r w:rsidRPr="00024859">
              <w:rPr>
                <w:sz w:val="18"/>
                <w:szCs w:val="18"/>
                <w:rtl/>
              </w:rPr>
              <w:fldChar w:fldCharType="separate"/>
            </w:r>
            <w:r w:rsidR="003A584F">
              <w:rPr>
                <w:noProof/>
                <w:sz w:val="18"/>
                <w:szCs w:val="18"/>
                <w:rtl/>
              </w:rPr>
              <w:t>2024</w:t>
            </w:r>
            <w:r w:rsidRPr="00024859">
              <w:rPr>
                <w:sz w:val="18"/>
                <w:szCs w:val="18"/>
                <w:rtl/>
              </w:rPr>
              <w:fldChar w:fldCharType="end"/>
            </w:r>
          </w:p>
        </w:tc>
        <w:tc>
          <w:tcPr>
            <w:tcW w:w="1390" w:type="dxa"/>
            <w:vAlign w:val="bottom"/>
          </w:tcPr>
          <w:p w14:paraId="3BCFA2FF" w14:textId="7227D86A" w:rsidR="004E536C" w:rsidRPr="00024859" w:rsidRDefault="00EF2F8B" w:rsidP="004D61B4">
            <w:pPr>
              <w:pStyle w:val="-4"/>
              <w:pBdr>
                <w:bottom w:val="single" w:sz="4" w:space="1" w:color="auto"/>
              </w:pBdr>
              <w:spacing w:line="192" w:lineRule="auto"/>
              <w:rPr>
                <w:sz w:val="18"/>
                <w:szCs w:val="18"/>
                <w:rtl/>
              </w:rPr>
            </w:pPr>
            <w:r w:rsidRPr="00024859">
              <w:rPr>
                <w:sz w:val="18"/>
                <w:szCs w:val="18"/>
                <w:rtl/>
              </w:rPr>
              <w:fldChar w:fldCharType="begin"/>
            </w:r>
            <w:r w:rsidRPr="00024859">
              <w:rPr>
                <w:sz w:val="18"/>
                <w:szCs w:val="18"/>
                <w:rtl/>
              </w:rPr>
              <w:instrText xml:space="preserve"> </w:instrText>
            </w:r>
            <w:r w:rsidRPr="00024859">
              <w:rPr>
                <w:rFonts w:hint="cs"/>
                <w:sz w:val="18"/>
                <w:szCs w:val="18"/>
                <w:rtl/>
              </w:rPr>
              <w:instrText xml:space="preserve">= </w:instrText>
            </w:r>
            <w:r w:rsidRPr="00024859">
              <w:rPr>
                <w:rFonts w:hint="cs"/>
                <w:sz w:val="18"/>
                <w:szCs w:val="18"/>
              </w:rPr>
              <w:instrText>CY</w:instrText>
            </w:r>
            <w:r w:rsidRPr="00024859">
              <w:rPr>
                <w:sz w:val="18"/>
                <w:szCs w:val="18"/>
              </w:rPr>
              <w:instrText>-1</w:instrText>
            </w:r>
            <w:r w:rsidRPr="00024859">
              <w:rPr>
                <w:rFonts w:hint="cs"/>
                <w:sz w:val="18"/>
                <w:szCs w:val="18"/>
              </w:rPr>
              <w:instrText xml:space="preserve"> \* MERGEFORMAT</w:instrText>
            </w:r>
            <w:r w:rsidRPr="00024859">
              <w:rPr>
                <w:sz w:val="18"/>
                <w:szCs w:val="18"/>
                <w:rtl/>
              </w:rPr>
              <w:instrText xml:space="preserve"> </w:instrText>
            </w:r>
            <w:r w:rsidRPr="00024859">
              <w:rPr>
                <w:sz w:val="18"/>
                <w:szCs w:val="18"/>
                <w:rtl/>
              </w:rPr>
              <w:fldChar w:fldCharType="separate"/>
            </w:r>
            <w:r w:rsidR="003A584F">
              <w:rPr>
                <w:noProof/>
                <w:sz w:val="18"/>
                <w:szCs w:val="18"/>
                <w:rtl/>
              </w:rPr>
              <w:t>2023</w:t>
            </w:r>
            <w:r w:rsidRPr="00024859">
              <w:rPr>
                <w:sz w:val="18"/>
                <w:szCs w:val="18"/>
                <w:rtl/>
              </w:rPr>
              <w:fldChar w:fldCharType="end"/>
            </w:r>
          </w:p>
        </w:tc>
        <w:tc>
          <w:tcPr>
            <w:tcW w:w="1194" w:type="dxa"/>
            <w:vAlign w:val="bottom"/>
          </w:tcPr>
          <w:p w14:paraId="27ACF438" w14:textId="6E4C93F8" w:rsidR="004E536C" w:rsidRPr="00024859" w:rsidRDefault="00EF2F8B" w:rsidP="004D61B4">
            <w:pPr>
              <w:pStyle w:val="-4"/>
              <w:pBdr>
                <w:bottom w:val="single" w:sz="4" w:space="1" w:color="auto"/>
              </w:pBdr>
              <w:spacing w:line="192" w:lineRule="auto"/>
              <w:rPr>
                <w:sz w:val="18"/>
                <w:szCs w:val="18"/>
                <w:rtl/>
              </w:rPr>
            </w:pPr>
            <w:r w:rsidRPr="00024859">
              <w:rPr>
                <w:sz w:val="18"/>
                <w:szCs w:val="18"/>
                <w:rtl/>
              </w:rPr>
              <w:fldChar w:fldCharType="begin"/>
            </w:r>
            <w:r w:rsidRPr="00024859">
              <w:rPr>
                <w:sz w:val="18"/>
                <w:szCs w:val="18"/>
                <w:rtl/>
              </w:rPr>
              <w:instrText xml:space="preserve"> </w:instrText>
            </w:r>
            <w:r w:rsidRPr="00024859">
              <w:rPr>
                <w:rFonts w:hint="cs"/>
                <w:sz w:val="18"/>
                <w:szCs w:val="18"/>
                <w:rtl/>
              </w:rPr>
              <w:instrText xml:space="preserve">= </w:instrText>
            </w:r>
            <w:r w:rsidRPr="00024859">
              <w:rPr>
                <w:rFonts w:hint="cs"/>
                <w:sz w:val="18"/>
                <w:szCs w:val="18"/>
              </w:rPr>
              <w:instrText>CY</w:instrText>
            </w:r>
            <w:r w:rsidRPr="00024859">
              <w:rPr>
                <w:sz w:val="18"/>
                <w:szCs w:val="18"/>
              </w:rPr>
              <w:instrText>-1</w:instrText>
            </w:r>
            <w:r w:rsidRPr="00024859">
              <w:rPr>
                <w:rFonts w:hint="cs"/>
                <w:sz w:val="18"/>
                <w:szCs w:val="18"/>
              </w:rPr>
              <w:instrText xml:space="preserve"> \* MERGEFORMAT</w:instrText>
            </w:r>
            <w:r w:rsidRPr="00024859">
              <w:rPr>
                <w:sz w:val="18"/>
                <w:szCs w:val="18"/>
                <w:rtl/>
              </w:rPr>
              <w:instrText xml:space="preserve"> </w:instrText>
            </w:r>
            <w:r w:rsidRPr="00024859">
              <w:rPr>
                <w:sz w:val="18"/>
                <w:szCs w:val="18"/>
                <w:rtl/>
              </w:rPr>
              <w:fldChar w:fldCharType="separate"/>
            </w:r>
            <w:r w:rsidR="003A584F">
              <w:rPr>
                <w:noProof/>
                <w:sz w:val="18"/>
                <w:szCs w:val="18"/>
                <w:rtl/>
              </w:rPr>
              <w:t>2023</w:t>
            </w:r>
            <w:r w:rsidRPr="00024859">
              <w:rPr>
                <w:sz w:val="18"/>
                <w:szCs w:val="18"/>
                <w:rtl/>
              </w:rPr>
              <w:fldChar w:fldCharType="end"/>
            </w:r>
          </w:p>
        </w:tc>
      </w:tr>
      <w:tr w:rsidR="004E536C" w:rsidRPr="00907C5A" w14:paraId="630F3F90" w14:textId="77777777" w:rsidTr="00F011BA">
        <w:trPr>
          <w:trHeight w:val="198"/>
        </w:trPr>
        <w:tc>
          <w:tcPr>
            <w:tcW w:w="1191" w:type="dxa"/>
            <w:vAlign w:val="bottom"/>
          </w:tcPr>
          <w:p w14:paraId="787C7E72" w14:textId="77777777" w:rsidR="004E536C" w:rsidRPr="00024859" w:rsidRDefault="004E536C" w:rsidP="0053663A">
            <w:pPr>
              <w:pStyle w:val="-7"/>
              <w:spacing w:line="240" w:lineRule="auto"/>
              <w:jc w:val="center"/>
              <w:rPr>
                <w:b/>
                <w:bCs/>
                <w:sz w:val="18"/>
                <w:szCs w:val="18"/>
                <w:rtl/>
              </w:rPr>
            </w:pPr>
          </w:p>
        </w:tc>
        <w:tc>
          <w:tcPr>
            <w:tcW w:w="328" w:type="dxa"/>
            <w:vAlign w:val="bottom"/>
          </w:tcPr>
          <w:p w14:paraId="5B0BDA57" w14:textId="77777777" w:rsidR="004E536C" w:rsidRPr="00024859" w:rsidRDefault="004E536C" w:rsidP="0053663A">
            <w:pPr>
              <w:pStyle w:val="-7"/>
              <w:spacing w:line="240" w:lineRule="auto"/>
              <w:jc w:val="center"/>
              <w:rPr>
                <w:b/>
                <w:bCs/>
                <w:sz w:val="18"/>
                <w:szCs w:val="18"/>
                <w:rtl/>
              </w:rPr>
            </w:pPr>
          </w:p>
        </w:tc>
        <w:tc>
          <w:tcPr>
            <w:tcW w:w="4386" w:type="dxa"/>
            <w:vAlign w:val="bottom"/>
          </w:tcPr>
          <w:p w14:paraId="70C4306B" w14:textId="77777777" w:rsidR="004E536C" w:rsidRPr="00024859" w:rsidRDefault="004E536C" w:rsidP="0053663A">
            <w:pPr>
              <w:pStyle w:val="-0"/>
              <w:spacing w:line="240" w:lineRule="auto"/>
              <w:ind w:left="392" w:hanging="392"/>
              <w:jc w:val="center"/>
              <w:rPr>
                <w:b/>
                <w:bCs/>
                <w:sz w:val="18"/>
                <w:szCs w:val="18"/>
                <w:rtl/>
              </w:rPr>
            </w:pPr>
          </w:p>
        </w:tc>
        <w:tc>
          <w:tcPr>
            <w:tcW w:w="2641" w:type="dxa"/>
            <w:gridSpan w:val="2"/>
            <w:vAlign w:val="bottom"/>
          </w:tcPr>
          <w:p w14:paraId="31825988" w14:textId="77777777" w:rsidR="004E536C" w:rsidRPr="00024859" w:rsidRDefault="004E536C" w:rsidP="004D61B4">
            <w:pPr>
              <w:pStyle w:val="-7"/>
              <w:pBdr>
                <w:bottom w:val="single" w:sz="4" w:space="1" w:color="auto"/>
              </w:pBdr>
              <w:spacing w:line="192" w:lineRule="auto"/>
              <w:jc w:val="center"/>
              <w:rPr>
                <w:b/>
                <w:bCs/>
                <w:sz w:val="18"/>
                <w:szCs w:val="18"/>
                <w:rtl/>
              </w:rPr>
            </w:pPr>
            <w:r w:rsidRPr="00024859">
              <w:rPr>
                <w:rFonts w:hint="cs"/>
                <w:b/>
                <w:bCs/>
                <w:sz w:val="18"/>
                <w:szCs w:val="18"/>
                <w:rtl/>
              </w:rPr>
              <w:t>בלתי מבוקר</w:t>
            </w:r>
          </w:p>
        </w:tc>
        <w:tc>
          <w:tcPr>
            <w:tcW w:w="1194" w:type="dxa"/>
            <w:vAlign w:val="bottom"/>
          </w:tcPr>
          <w:p w14:paraId="70B1762B" w14:textId="77777777" w:rsidR="004E536C" w:rsidRPr="00024859" w:rsidRDefault="004E536C" w:rsidP="004D61B4">
            <w:pPr>
              <w:pStyle w:val="-7"/>
              <w:pBdr>
                <w:bottom w:val="single" w:sz="4" w:space="1" w:color="auto"/>
              </w:pBdr>
              <w:spacing w:line="192" w:lineRule="auto"/>
              <w:jc w:val="center"/>
              <w:rPr>
                <w:b/>
                <w:bCs/>
                <w:sz w:val="18"/>
                <w:szCs w:val="18"/>
                <w:rtl/>
              </w:rPr>
            </w:pPr>
            <w:r w:rsidRPr="00024859">
              <w:rPr>
                <w:rFonts w:hint="cs"/>
                <w:b/>
                <w:bCs/>
                <w:sz w:val="18"/>
                <w:szCs w:val="18"/>
                <w:rtl/>
              </w:rPr>
              <w:t>מבוקר</w:t>
            </w:r>
          </w:p>
        </w:tc>
      </w:tr>
      <w:tr w:rsidR="004E536C" w:rsidRPr="00907C5A" w14:paraId="5424C762" w14:textId="77777777" w:rsidTr="00F011BA">
        <w:trPr>
          <w:trHeight w:val="113"/>
        </w:trPr>
        <w:tc>
          <w:tcPr>
            <w:tcW w:w="1191" w:type="dxa"/>
            <w:vAlign w:val="bottom"/>
          </w:tcPr>
          <w:p w14:paraId="5B065F89" w14:textId="77777777" w:rsidR="004E536C" w:rsidRPr="00024859" w:rsidRDefault="004E536C" w:rsidP="0053663A">
            <w:pPr>
              <w:pStyle w:val="-7"/>
              <w:spacing w:line="240" w:lineRule="auto"/>
              <w:jc w:val="center"/>
              <w:rPr>
                <w:b/>
                <w:bCs/>
                <w:sz w:val="18"/>
                <w:szCs w:val="18"/>
                <w:rtl/>
              </w:rPr>
            </w:pPr>
          </w:p>
        </w:tc>
        <w:tc>
          <w:tcPr>
            <w:tcW w:w="328" w:type="dxa"/>
            <w:vAlign w:val="bottom"/>
          </w:tcPr>
          <w:p w14:paraId="1E8BFE03" w14:textId="77777777" w:rsidR="004E536C" w:rsidRPr="00024859" w:rsidRDefault="004E536C" w:rsidP="0053663A">
            <w:pPr>
              <w:pStyle w:val="-7"/>
              <w:spacing w:line="240" w:lineRule="auto"/>
              <w:jc w:val="center"/>
              <w:rPr>
                <w:b/>
                <w:bCs/>
                <w:sz w:val="18"/>
                <w:szCs w:val="18"/>
                <w:rtl/>
              </w:rPr>
            </w:pPr>
          </w:p>
        </w:tc>
        <w:tc>
          <w:tcPr>
            <w:tcW w:w="4386" w:type="dxa"/>
            <w:vAlign w:val="bottom"/>
          </w:tcPr>
          <w:p w14:paraId="7B9C7A80" w14:textId="77777777" w:rsidR="004E536C" w:rsidRPr="00024859" w:rsidRDefault="004E536C" w:rsidP="0053663A">
            <w:pPr>
              <w:pStyle w:val="-0"/>
              <w:spacing w:line="240" w:lineRule="auto"/>
              <w:ind w:left="392" w:hanging="392"/>
              <w:jc w:val="center"/>
              <w:rPr>
                <w:b/>
                <w:bCs/>
                <w:sz w:val="18"/>
                <w:szCs w:val="18"/>
                <w:rtl/>
              </w:rPr>
            </w:pPr>
          </w:p>
        </w:tc>
        <w:tc>
          <w:tcPr>
            <w:tcW w:w="3835" w:type="dxa"/>
            <w:gridSpan w:val="3"/>
            <w:vAlign w:val="bottom"/>
          </w:tcPr>
          <w:p w14:paraId="3D14704B" w14:textId="77777777" w:rsidR="004E536C" w:rsidRPr="00024859" w:rsidRDefault="004E536C" w:rsidP="004D61B4">
            <w:pPr>
              <w:pStyle w:val="-7"/>
              <w:pBdr>
                <w:bottom w:val="single" w:sz="4" w:space="1" w:color="auto"/>
              </w:pBdr>
              <w:spacing w:line="192" w:lineRule="auto"/>
              <w:jc w:val="center"/>
              <w:rPr>
                <w:b/>
                <w:bCs/>
                <w:sz w:val="18"/>
                <w:szCs w:val="18"/>
                <w:rtl/>
              </w:rPr>
            </w:pPr>
            <w:r w:rsidRPr="00024859">
              <w:rPr>
                <w:rFonts w:hint="cs"/>
                <w:b/>
                <w:bCs/>
                <w:sz w:val="18"/>
                <w:szCs w:val="18"/>
                <w:rtl/>
              </w:rPr>
              <w:t>באחוזים</w:t>
            </w:r>
          </w:p>
        </w:tc>
      </w:tr>
      <w:tr w:rsidR="004D61B4" w:rsidRPr="00907C5A" w14:paraId="57A2FFE7" w14:textId="77777777" w:rsidTr="00F011BA">
        <w:trPr>
          <w:trHeight w:val="283"/>
        </w:trPr>
        <w:tc>
          <w:tcPr>
            <w:tcW w:w="1191" w:type="dxa"/>
            <w:vAlign w:val="bottom"/>
          </w:tcPr>
          <w:p w14:paraId="2201E826" w14:textId="77777777" w:rsidR="004D61B4" w:rsidRPr="00024859" w:rsidRDefault="004D61B4" w:rsidP="004D61B4">
            <w:pPr>
              <w:pStyle w:val="-7"/>
              <w:spacing w:line="168" w:lineRule="auto"/>
              <w:jc w:val="center"/>
              <w:rPr>
                <w:sz w:val="18"/>
                <w:szCs w:val="18"/>
                <w:rtl/>
              </w:rPr>
            </w:pPr>
          </w:p>
        </w:tc>
        <w:tc>
          <w:tcPr>
            <w:tcW w:w="4714" w:type="dxa"/>
            <w:gridSpan w:val="2"/>
            <w:vAlign w:val="bottom"/>
          </w:tcPr>
          <w:p w14:paraId="62C18FD7" w14:textId="77777777" w:rsidR="004D61B4" w:rsidRPr="00024859" w:rsidRDefault="004D61B4" w:rsidP="004D61B4">
            <w:pPr>
              <w:pStyle w:val="-0"/>
              <w:spacing w:line="168" w:lineRule="auto"/>
              <w:ind w:left="279" w:hanging="279"/>
              <w:rPr>
                <w:b/>
                <w:bCs/>
                <w:sz w:val="18"/>
                <w:szCs w:val="18"/>
              </w:rPr>
            </w:pPr>
            <w:r w:rsidRPr="00024859">
              <w:rPr>
                <w:rFonts w:hint="eastAsia"/>
                <w:b/>
                <w:bCs/>
                <w:sz w:val="18"/>
                <w:szCs w:val="18"/>
                <w:rtl/>
              </w:rPr>
              <w:t>א</w:t>
            </w:r>
            <w:r w:rsidRPr="00024859">
              <w:rPr>
                <w:b/>
                <w:bCs/>
                <w:sz w:val="18"/>
                <w:szCs w:val="18"/>
                <w:rtl/>
              </w:rPr>
              <w:t>.</w:t>
            </w:r>
            <w:r w:rsidRPr="00024859">
              <w:rPr>
                <w:b/>
                <w:bCs/>
                <w:sz w:val="18"/>
                <w:szCs w:val="18"/>
                <w:rtl/>
              </w:rPr>
              <w:tab/>
            </w:r>
            <w:r w:rsidRPr="00024859">
              <w:rPr>
                <w:rFonts w:hint="eastAsia"/>
                <w:b/>
                <w:bCs/>
                <w:sz w:val="18"/>
                <w:szCs w:val="18"/>
                <w:rtl/>
              </w:rPr>
              <w:t>בנתוני</w:t>
            </w:r>
            <w:r w:rsidRPr="00024859">
              <w:rPr>
                <w:b/>
                <w:bCs/>
                <w:sz w:val="18"/>
                <w:szCs w:val="18"/>
                <w:rtl/>
              </w:rPr>
              <w:t xml:space="preserve"> </w:t>
            </w:r>
            <w:r w:rsidRPr="00024859">
              <w:rPr>
                <w:rFonts w:hint="eastAsia"/>
                <w:b/>
                <w:bCs/>
                <w:sz w:val="18"/>
                <w:szCs w:val="18"/>
                <w:rtl/>
              </w:rPr>
              <w:t>המאוחד</w:t>
            </w:r>
            <w:r w:rsidRPr="00024859">
              <w:rPr>
                <w:rFonts w:hint="cs"/>
                <w:b/>
                <w:bCs/>
                <w:sz w:val="18"/>
                <w:szCs w:val="18"/>
                <w:rtl/>
              </w:rPr>
              <w:t>:</w:t>
            </w:r>
            <w:r w:rsidRPr="00024859">
              <w:rPr>
                <w:rFonts w:hint="cs"/>
                <w:b/>
                <w:bCs/>
                <w:sz w:val="18"/>
                <w:szCs w:val="18"/>
                <w:vertAlign w:val="superscript"/>
                <w:rtl/>
              </w:rPr>
              <w:t>(ב)</w:t>
            </w:r>
          </w:p>
        </w:tc>
        <w:tc>
          <w:tcPr>
            <w:tcW w:w="1251" w:type="dxa"/>
            <w:vAlign w:val="bottom"/>
          </w:tcPr>
          <w:p w14:paraId="36B80F23" w14:textId="77777777" w:rsidR="004D61B4" w:rsidRPr="00024859" w:rsidRDefault="004D61B4" w:rsidP="004D61B4">
            <w:pPr>
              <w:pStyle w:val="-7"/>
              <w:spacing w:line="168" w:lineRule="auto"/>
              <w:jc w:val="center"/>
              <w:rPr>
                <w:sz w:val="18"/>
                <w:szCs w:val="18"/>
                <w:rtl/>
              </w:rPr>
            </w:pPr>
          </w:p>
        </w:tc>
        <w:tc>
          <w:tcPr>
            <w:tcW w:w="1390" w:type="dxa"/>
            <w:vAlign w:val="bottom"/>
          </w:tcPr>
          <w:p w14:paraId="4E2977FF" w14:textId="77777777" w:rsidR="004D61B4" w:rsidRPr="00024859" w:rsidRDefault="004D61B4" w:rsidP="004D61B4">
            <w:pPr>
              <w:pStyle w:val="-7"/>
              <w:spacing w:line="168" w:lineRule="auto"/>
              <w:jc w:val="center"/>
              <w:rPr>
                <w:sz w:val="18"/>
                <w:szCs w:val="18"/>
                <w:rtl/>
              </w:rPr>
            </w:pPr>
          </w:p>
        </w:tc>
        <w:tc>
          <w:tcPr>
            <w:tcW w:w="1194" w:type="dxa"/>
            <w:vAlign w:val="bottom"/>
          </w:tcPr>
          <w:p w14:paraId="27ED5A03" w14:textId="77777777" w:rsidR="004D61B4" w:rsidRPr="00024859" w:rsidRDefault="004D61B4" w:rsidP="004D61B4">
            <w:pPr>
              <w:pStyle w:val="-7"/>
              <w:spacing w:line="168" w:lineRule="auto"/>
              <w:jc w:val="center"/>
              <w:rPr>
                <w:sz w:val="18"/>
                <w:szCs w:val="18"/>
                <w:rtl/>
              </w:rPr>
            </w:pPr>
          </w:p>
        </w:tc>
      </w:tr>
      <w:tr w:rsidR="004D61B4" w:rsidRPr="00907C5A" w14:paraId="3F12A122" w14:textId="77777777" w:rsidTr="00F011BA">
        <w:trPr>
          <w:trHeight w:val="283"/>
        </w:trPr>
        <w:tc>
          <w:tcPr>
            <w:tcW w:w="1191" w:type="dxa"/>
          </w:tcPr>
          <w:p w14:paraId="23402074" w14:textId="77777777" w:rsidR="004D61B4" w:rsidRPr="00024859" w:rsidRDefault="004D61B4" w:rsidP="004D61B4">
            <w:pPr>
              <w:pStyle w:val="-7"/>
              <w:spacing w:line="168" w:lineRule="auto"/>
              <w:jc w:val="left"/>
              <w:rPr>
                <w:sz w:val="18"/>
                <w:szCs w:val="18"/>
                <w:rtl/>
              </w:rPr>
            </w:pPr>
          </w:p>
        </w:tc>
        <w:tc>
          <w:tcPr>
            <w:tcW w:w="4714" w:type="dxa"/>
            <w:gridSpan w:val="2"/>
            <w:vAlign w:val="bottom"/>
          </w:tcPr>
          <w:p w14:paraId="549038E2" w14:textId="77777777" w:rsidR="004D61B4" w:rsidRPr="00024859" w:rsidRDefault="004D61B4" w:rsidP="00024859">
            <w:pPr>
              <w:pStyle w:val="-0"/>
              <w:spacing w:line="192" w:lineRule="auto"/>
              <w:ind w:left="279" w:firstLine="0"/>
              <w:rPr>
                <w:sz w:val="18"/>
                <w:szCs w:val="18"/>
                <w:rtl/>
              </w:rPr>
            </w:pPr>
            <w:r w:rsidRPr="00024859">
              <w:rPr>
                <w:rFonts w:hint="cs"/>
                <w:sz w:val="18"/>
                <w:szCs w:val="18"/>
                <w:rtl/>
              </w:rPr>
              <w:t>יחס כיסוי הנזילות</w:t>
            </w:r>
          </w:p>
        </w:tc>
        <w:tc>
          <w:tcPr>
            <w:tcW w:w="1251" w:type="dxa"/>
            <w:vAlign w:val="bottom"/>
          </w:tcPr>
          <w:p w14:paraId="3BE320E0" w14:textId="77777777" w:rsidR="004D61B4" w:rsidRPr="00024859" w:rsidRDefault="004D61B4" w:rsidP="00024859">
            <w:pPr>
              <w:pStyle w:val="-7"/>
              <w:spacing w:line="192" w:lineRule="auto"/>
              <w:jc w:val="left"/>
              <w:rPr>
                <w:sz w:val="18"/>
                <w:szCs w:val="18"/>
                <w:rtl/>
              </w:rPr>
            </w:pPr>
            <w:r w:rsidRPr="00024859">
              <w:rPr>
                <w:rFonts w:hint="cs"/>
                <w:sz w:val="18"/>
                <w:szCs w:val="18"/>
                <w:rtl/>
              </w:rPr>
              <w:t>0%</w:t>
            </w:r>
          </w:p>
        </w:tc>
        <w:tc>
          <w:tcPr>
            <w:tcW w:w="1390" w:type="dxa"/>
            <w:vAlign w:val="bottom"/>
          </w:tcPr>
          <w:p w14:paraId="137104FF" w14:textId="77777777" w:rsidR="004D61B4" w:rsidRPr="00024859" w:rsidRDefault="004D61B4" w:rsidP="00024859">
            <w:pPr>
              <w:pStyle w:val="-7"/>
              <w:spacing w:line="192" w:lineRule="auto"/>
              <w:jc w:val="left"/>
              <w:rPr>
                <w:sz w:val="18"/>
                <w:szCs w:val="18"/>
                <w:rtl/>
              </w:rPr>
            </w:pPr>
            <w:r w:rsidRPr="00024859">
              <w:rPr>
                <w:rFonts w:hint="cs"/>
                <w:sz w:val="18"/>
                <w:szCs w:val="18"/>
                <w:rtl/>
              </w:rPr>
              <w:t>0%</w:t>
            </w:r>
          </w:p>
        </w:tc>
        <w:tc>
          <w:tcPr>
            <w:tcW w:w="1194" w:type="dxa"/>
            <w:vAlign w:val="bottom"/>
          </w:tcPr>
          <w:p w14:paraId="71D97962" w14:textId="77777777" w:rsidR="004D61B4" w:rsidRPr="00024859" w:rsidRDefault="004D61B4" w:rsidP="00024859">
            <w:pPr>
              <w:pStyle w:val="-7"/>
              <w:spacing w:line="192" w:lineRule="auto"/>
              <w:jc w:val="left"/>
              <w:rPr>
                <w:sz w:val="18"/>
                <w:szCs w:val="18"/>
                <w:rtl/>
              </w:rPr>
            </w:pPr>
            <w:r w:rsidRPr="00024859">
              <w:rPr>
                <w:rFonts w:hint="cs"/>
                <w:sz w:val="18"/>
                <w:szCs w:val="18"/>
                <w:rtl/>
              </w:rPr>
              <w:t>0%</w:t>
            </w:r>
          </w:p>
        </w:tc>
      </w:tr>
      <w:tr w:rsidR="004D61B4" w:rsidRPr="00907C5A" w14:paraId="47C8FBA9" w14:textId="77777777" w:rsidTr="00F011BA">
        <w:trPr>
          <w:trHeight w:val="283"/>
        </w:trPr>
        <w:tc>
          <w:tcPr>
            <w:tcW w:w="1191" w:type="dxa"/>
          </w:tcPr>
          <w:p w14:paraId="48BC6AFF" w14:textId="77777777" w:rsidR="004D61B4" w:rsidRPr="00024859" w:rsidRDefault="004D61B4" w:rsidP="004D61B4">
            <w:pPr>
              <w:pStyle w:val="-7"/>
              <w:spacing w:line="168" w:lineRule="auto"/>
              <w:jc w:val="left"/>
              <w:rPr>
                <w:sz w:val="18"/>
                <w:szCs w:val="18"/>
                <w:rtl/>
              </w:rPr>
            </w:pPr>
          </w:p>
        </w:tc>
        <w:tc>
          <w:tcPr>
            <w:tcW w:w="4714" w:type="dxa"/>
            <w:gridSpan w:val="2"/>
            <w:vAlign w:val="bottom"/>
          </w:tcPr>
          <w:p w14:paraId="5B06DD78" w14:textId="77777777" w:rsidR="004D61B4" w:rsidRPr="00024859" w:rsidRDefault="004D61B4" w:rsidP="00024859">
            <w:pPr>
              <w:pStyle w:val="-0"/>
              <w:spacing w:line="192" w:lineRule="auto"/>
              <w:ind w:left="421" w:hanging="142"/>
              <w:rPr>
                <w:sz w:val="18"/>
                <w:szCs w:val="18"/>
                <w:rtl/>
              </w:rPr>
            </w:pPr>
            <w:r w:rsidRPr="00024859">
              <w:rPr>
                <w:rFonts w:hint="cs"/>
                <w:sz w:val="18"/>
                <w:szCs w:val="18"/>
                <w:rtl/>
              </w:rPr>
              <w:t>יחס כיסוי הנזילות המזערי הנדרש ע"י המפקח על הבנקים</w:t>
            </w:r>
          </w:p>
        </w:tc>
        <w:tc>
          <w:tcPr>
            <w:tcW w:w="1251" w:type="dxa"/>
            <w:vAlign w:val="bottom"/>
          </w:tcPr>
          <w:p w14:paraId="316B2447" w14:textId="77777777" w:rsidR="004D61B4" w:rsidRPr="00024859" w:rsidRDefault="004D61B4" w:rsidP="00024859">
            <w:pPr>
              <w:pStyle w:val="-7"/>
              <w:spacing w:line="192" w:lineRule="auto"/>
              <w:jc w:val="left"/>
              <w:rPr>
                <w:sz w:val="18"/>
                <w:szCs w:val="18"/>
                <w:rtl/>
              </w:rPr>
            </w:pPr>
            <w:r w:rsidRPr="00024859">
              <w:rPr>
                <w:rFonts w:hint="cs"/>
                <w:sz w:val="18"/>
                <w:szCs w:val="18"/>
                <w:rtl/>
              </w:rPr>
              <w:t>0%</w:t>
            </w:r>
          </w:p>
        </w:tc>
        <w:tc>
          <w:tcPr>
            <w:tcW w:w="1390" w:type="dxa"/>
            <w:vAlign w:val="bottom"/>
          </w:tcPr>
          <w:p w14:paraId="765B8FE8" w14:textId="77777777" w:rsidR="004D61B4" w:rsidRPr="00024859" w:rsidRDefault="004D61B4" w:rsidP="00024859">
            <w:pPr>
              <w:pStyle w:val="-7"/>
              <w:spacing w:line="192" w:lineRule="auto"/>
              <w:jc w:val="left"/>
              <w:rPr>
                <w:sz w:val="18"/>
                <w:szCs w:val="18"/>
                <w:rtl/>
              </w:rPr>
            </w:pPr>
            <w:r w:rsidRPr="00024859">
              <w:rPr>
                <w:rFonts w:hint="cs"/>
                <w:sz w:val="18"/>
                <w:szCs w:val="18"/>
                <w:rtl/>
              </w:rPr>
              <w:t>0%</w:t>
            </w:r>
          </w:p>
        </w:tc>
        <w:tc>
          <w:tcPr>
            <w:tcW w:w="1194" w:type="dxa"/>
            <w:vAlign w:val="bottom"/>
          </w:tcPr>
          <w:p w14:paraId="31ACA880" w14:textId="77777777" w:rsidR="004D61B4" w:rsidRPr="00024859" w:rsidRDefault="004D61B4" w:rsidP="00024859">
            <w:pPr>
              <w:pStyle w:val="-7"/>
              <w:spacing w:line="192" w:lineRule="auto"/>
              <w:jc w:val="left"/>
              <w:rPr>
                <w:sz w:val="18"/>
                <w:szCs w:val="18"/>
                <w:rtl/>
              </w:rPr>
            </w:pPr>
            <w:r w:rsidRPr="00024859">
              <w:rPr>
                <w:rFonts w:hint="cs"/>
                <w:sz w:val="18"/>
                <w:szCs w:val="18"/>
                <w:rtl/>
              </w:rPr>
              <w:t>0%</w:t>
            </w:r>
          </w:p>
        </w:tc>
      </w:tr>
      <w:tr w:rsidR="004E536C" w:rsidRPr="00907C5A" w14:paraId="7712EEC3" w14:textId="77777777" w:rsidTr="00F011BA">
        <w:tc>
          <w:tcPr>
            <w:tcW w:w="1191" w:type="dxa"/>
          </w:tcPr>
          <w:p w14:paraId="046B4EFA" w14:textId="77777777" w:rsidR="004E536C" w:rsidRPr="00024859" w:rsidRDefault="004E536C" w:rsidP="004D61B4">
            <w:pPr>
              <w:pStyle w:val="-7"/>
              <w:spacing w:line="168" w:lineRule="auto"/>
              <w:jc w:val="left"/>
              <w:rPr>
                <w:sz w:val="18"/>
                <w:szCs w:val="18"/>
                <w:rtl/>
              </w:rPr>
            </w:pPr>
          </w:p>
        </w:tc>
        <w:tc>
          <w:tcPr>
            <w:tcW w:w="328" w:type="dxa"/>
            <w:vAlign w:val="bottom"/>
          </w:tcPr>
          <w:p w14:paraId="23C1725D" w14:textId="77777777" w:rsidR="004E536C" w:rsidRPr="00024859" w:rsidRDefault="004E536C" w:rsidP="004D61B4">
            <w:pPr>
              <w:pStyle w:val="-7"/>
              <w:spacing w:line="168" w:lineRule="auto"/>
              <w:jc w:val="left"/>
              <w:rPr>
                <w:sz w:val="18"/>
                <w:szCs w:val="18"/>
                <w:rtl/>
              </w:rPr>
            </w:pPr>
          </w:p>
        </w:tc>
        <w:tc>
          <w:tcPr>
            <w:tcW w:w="4386" w:type="dxa"/>
            <w:vAlign w:val="bottom"/>
          </w:tcPr>
          <w:p w14:paraId="4F4D0D56" w14:textId="77777777" w:rsidR="004E536C" w:rsidRPr="00024859" w:rsidRDefault="004E536C" w:rsidP="004D61B4">
            <w:pPr>
              <w:pStyle w:val="-0"/>
              <w:spacing w:line="168" w:lineRule="auto"/>
              <w:ind w:left="382" w:firstLine="0"/>
              <w:rPr>
                <w:sz w:val="18"/>
                <w:szCs w:val="18"/>
                <w:rtl/>
              </w:rPr>
            </w:pPr>
          </w:p>
        </w:tc>
        <w:tc>
          <w:tcPr>
            <w:tcW w:w="1251" w:type="dxa"/>
            <w:vAlign w:val="bottom"/>
          </w:tcPr>
          <w:p w14:paraId="5A0574E2" w14:textId="77777777" w:rsidR="004E536C" w:rsidRPr="00024859" w:rsidRDefault="004E536C" w:rsidP="004D61B4">
            <w:pPr>
              <w:pStyle w:val="-7"/>
              <w:spacing w:line="168" w:lineRule="auto"/>
              <w:jc w:val="left"/>
              <w:rPr>
                <w:sz w:val="18"/>
                <w:szCs w:val="18"/>
                <w:rtl/>
              </w:rPr>
            </w:pPr>
          </w:p>
        </w:tc>
        <w:tc>
          <w:tcPr>
            <w:tcW w:w="1390" w:type="dxa"/>
            <w:vAlign w:val="bottom"/>
          </w:tcPr>
          <w:p w14:paraId="1E61D75F" w14:textId="77777777" w:rsidR="004E536C" w:rsidRPr="00024859" w:rsidRDefault="004E536C" w:rsidP="004D61B4">
            <w:pPr>
              <w:pStyle w:val="-7"/>
              <w:spacing w:line="168" w:lineRule="auto"/>
              <w:jc w:val="left"/>
              <w:rPr>
                <w:sz w:val="18"/>
                <w:szCs w:val="18"/>
                <w:rtl/>
              </w:rPr>
            </w:pPr>
          </w:p>
        </w:tc>
        <w:tc>
          <w:tcPr>
            <w:tcW w:w="1194" w:type="dxa"/>
            <w:vAlign w:val="bottom"/>
          </w:tcPr>
          <w:p w14:paraId="2A90261D" w14:textId="77777777" w:rsidR="004E536C" w:rsidRPr="00024859" w:rsidRDefault="004E536C" w:rsidP="004D61B4">
            <w:pPr>
              <w:pStyle w:val="-7"/>
              <w:spacing w:line="168" w:lineRule="auto"/>
              <w:jc w:val="left"/>
              <w:rPr>
                <w:sz w:val="18"/>
                <w:szCs w:val="18"/>
                <w:rtl/>
              </w:rPr>
            </w:pPr>
          </w:p>
        </w:tc>
      </w:tr>
      <w:tr w:rsidR="004D61B4" w:rsidRPr="00907C5A" w14:paraId="6C9F5B41" w14:textId="77777777" w:rsidTr="00F011BA">
        <w:trPr>
          <w:trHeight w:val="283"/>
        </w:trPr>
        <w:tc>
          <w:tcPr>
            <w:tcW w:w="1191" w:type="dxa"/>
          </w:tcPr>
          <w:p w14:paraId="2C5EB2F1" w14:textId="77777777" w:rsidR="004D61B4" w:rsidRPr="00024859" w:rsidRDefault="004D61B4" w:rsidP="004D61B4">
            <w:pPr>
              <w:pStyle w:val="-7"/>
              <w:spacing w:line="168" w:lineRule="auto"/>
              <w:jc w:val="left"/>
              <w:rPr>
                <w:sz w:val="18"/>
                <w:szCs w:val="18"/>
                <w:rtl/>
              </w:rPr>
            </w:pPr>
          </w:p>
        </w:tc>
        <w:tc>
          <w:tcPr>
            <w:tcW w:w="4714" w:type="dxa"/>
            <w:gridSpan w:val="2"/>
            <w:vAlign w:val="bottom"/>
          </w:tcPr>
          <w:p w14:paraId="49EC7DB2" w14:textId="77777777" w:rsidR="004D61B4" w:rsidRPr="00024859" w:rsidRDefault="004D61B4" w:rsidP="004D61B4">
            <w:pPr>
              <w:pStyle w:val="-0"/>
              <w:spacing w:line="168" w:lineRule="auto"/>
              <w:ind w:left="279" w:hanging="279"/>
              <w:rPr>
                <w:b/>
                <w:bCs/>
                <w:sz w:val="18"/>
                <w:szCs w:val="18"/>
                <w:rtl/>
              </w:rPr>
            </w:pPr>
            <w:r w:rsidRPr="00024859">
              <w:rPr>
                <w:rFonts w:hint="cs"/>
                <w:b/>
                <w:bCs/>
                <w:sz w:val="18"/>
                <w:szCs w:val="18"/>
                <w:rtl/>
              </w:rPr>
              <w:t>ב.</w:t>
            </w:r>
            <w:r w:rsidRPr="00024859">
              <w:rPr>
                <w:b/>
                <w:bCs/>
                <w:sz w:val="18"/>
                <w:szCs w:val="18"/>
                <w:rtl/>
              </w:rPr>
              <w:tab/>
            </w:r>
            <w:r w:rsidRPr="00024859">
              <w:rPr>
                <w:rFonts w:hint="cs"/>
                <w:b/>
                <w:bCs/>
                <w:sz w:val="18"/>
                <w:szCs w:val="18"/>
                <w:rtl/>
              </w:rPr>
              <w:t>בנתוני התאגיד הבנקאי</w:t>
            </w:r>
            <w:r w:rsidRPr="00024859">
              <w:rPr>
                <w:rFonts w:hint="cs"/>
                <w:b/>
                <w:bCs/>
                <w:sz w:val="18"/>
                <w:szCs w:val="18"/>
                <w:vertAlign w:val="superscript"/>
                <w:rtl/>
              </w:rPr>
              <w:t>:(ג)</w:t>
            </w:r>
          </w:p>
        </w:tc>
        <w:tc>
          <w:tcPr>
            <w:tcW w:w="1251" w:type="dxa"/>
            <w:vAlign w:val="bottom"/>
          </w:tcPr>
          <w:p w14:paraId="109EF341" w14:textId="77777777" w:rsidR="004D61B4" w:rsidRPr="00024859" w:rsidRDefault="004D61B4" w:rsidP="004D61B4">
            <w:pPr>
              <w:pStyle w:val="-7"/>
              <w:spacing w:line="168" w:lineRule="auto"/>
              <w:jc w:val="left"/>
              <w:rPr>
                <w:sz w:val="18"/>
                <w:szCs w:val="18"/>
                <w:rtl/>
              </w:rPr>
            </w:pPr>
          </w:p>
        </w:tc>
        <w:tc>
          <w:tcPr>
            <w:tcW w:w="1390" w:type="dxa"/>
            <w:vAlign w:val="bottom"/>
          </w:tcPr>
          <w:p w14:paraId="3CE6B312" w14:textId="77777777" w:rsidR="004D61B4" w:rsidRPr="00024859" w:rsidRDefault="004D61B4" w:rsidP="004D61B4">
            <w:pPr>
              <w:pStyle w:val="-7"/>
              <w:spacing w:line="168" w:lineRule="auto"/>
              <w:jc w:val="left"/>
              <w:rPr>
                <w:sz w:val="18"/>
                <w:szCs w:val="18"/>
                <w:rtl/>
              </w:rPr>
            </w:pPr>
          </w:p>
        </w:tc>
        <w:tc>
          <w:tcPr>
            <w:tcW w:w="1194" w:type="dxa"/>
            <w:vAlign w:val="bottom"/>
          </w:tcPr>
          <w:p w14:paraId="797084B0" w14:textId="77777777" w:rsidR="004D61B4" w:rsidRPr="00024859" w:rsidRDefault="004D61B4" w:rsidP="004D61B4">
            <w:pPr>
              <w:pStyle w:val="-7"/>
              <w:spacing w:line="168" w:lineRule="auto"/>
              <w:jc w:val="left"/>
              <w:rPr>
                <w:sz w:val="18"/>
                <w:szCs w:val="18"/>
                <w:rtl/>
              </w:rPr>
            </w:pPr>
          </w:p>
        </w:tc>
      </w:tr>
      <w:tr w:rsidR="004D61B4" w:rsidRPr="00907C5A" w14:paraId="5D5A1F45" w14:textId="77777777" w:rsidTr="00F011BA">
        <w:trPr>
          <w:trHeight w:val="283"/>
        </w:trPr>
        <w:tc>
          <w:tcPr>
            <w:tcW w:w="1191" w:type="dxa"/>
          </w:tcPr>
          <w:p w14:paraId="387CCE9D" w14:textId="77777777" w:rsidR="004D61B4" w:rsidRPr="00024859" w:rsidRDefault="004D61B4" w:rsidP="004D61B4">
            <w:pPr>
              <w:pStyle w:val="-7"/>
              <w:spacing w:line="168" w:lineRule="auto"/>
              <w:jc w:val="left"/>
              <w:rPr>
                <w:sz w:val="18"/>
                <w:szCs w:val="18"/>
                <w:rtl/>
              </w:rPr>
            </w:pPr>
          </w:p>
        </w:tc>
        <w:tc>
          <w:tcPr>
            <w:tcW w:w="4714" w:type="dxa"/>
            <w:gridSpan w:val="2"/>
            <w:vAlign w:val="bottom"/>
          </w:tcPr>
          <w:p w14:paraId="0E937739" w14:textId="77777777" w:rsidR="004D61B4" w:rsidRPr="00024859" w:rsidRDefault="004D61B4" w:rsidP="004D61B4">
            <w:pPr>
              <w:pStyle w:val="-0"/>
              <w:spacing w:line="168" w:lineRule="auto"/>
              <w:ind w:left="279" w:firstLine="0"/>
              <w:rPr>
                <w:sz w:val="18"/>
                <w:szCs w:val="18"/>
                <w:rtl/>
              </w:rPr>
            </w:pPr>
            <w:r w:rsidRPr="00024859">
              <w:rPr>
                <w:rFonts w:hint="cs"/>
                <w:sz w:val="18"/>
                <w:szCs w:val="18"/>
                <w:rtl/>
              </w:rPr>
              <w:t>יחס כיסוי הנזילות</w:t>
            </w:r>
          </w:p>
        </w:tc>
        <w:tc>
          <w:tcPr>
            <w:tcW w:w="1251" w:type="dxa"/>
            <w:vAlign w:val="bottom"/>
          </w:tcPr>
          <w:p w14:paraId="4A517270" w14:textId="77777777" w:rsidR="004D61B4" w:rsidRPr="00024859" w:rsidRDefault="004D61B4" w:rsidP="004D61B4">
            <w:pPr>
              <w:pStyle w:val="-7"/>
              <w:spacing w:line="192" w:lineRule="auto"/>
              <w:jc w:val="left"/>
              <w:rPr>
                <w:sz w:val="18"/>
                <w:szCs w:val="18"/>
                <w:rtl/>
              </w:rPr>
            </w:pPr>
            <w:r w:rsidRPr="00024859">
              <w:rPr>
                <w:rFonts w:hint="cs"/>
                <w:sz w:val="18"/>
                <w:szCs w:val="18"/>
                <w:rtl/>
              </w:rPr>
              <w:t>0%</w:t>
            </w:r>
          </w:p>
        </w:tc>
        <w:tc>
          <w:tcPr>
            <w:tcW w:w="1390" w:type="dxa"/>
            <w:vAlign w:val="bottom"/>
          </w:tcPr>
          <w:p w14:paraId="31A01D63" w14:textId="77777777" w:rsidR="004D61B4" w:rsidRPr="00024859" w:rsidRDefault="004D61B4" w:rsidP="004D61B4">
            <w:pPr>
              <w:pStyle w:val="-7"/>
              <w:spacing w:line="192" w:lineRule="auto"/>
              <w:jc w:val="left"/>
              <w:rPr>
                <w:sz w:val="18"/>
                <w:szCs w:val="18"/>
                <w:rtl/>
              </w:rPr>
            </w:pPr>
            <w:r w:rsidRPr="00024859">
              <w:rPr>
                <w:rFonts w:hint="cs"/>
                <w:sz w:val="18"/>
                <w:szCs w:val="18"/>
                <w:rtl/>
              </w:rPr>
              <w:t>0%</w:t>
            </w:r>
          </w:p>
        </w:tc>
        <w:tc>
          <w:tcPr>
            <w:tcW w:w="1194" w:type="dxa"/>
            <w:vAlign w:val="bottom"/>
          </w:tcPr>
          <w:p w14:paraId="66942B9D" w14:textId="77777777" w:rsidR="004D61B4" w:rsidRPr="00024859" w:rsidRDefault="004D61B4" w:rsidP="004D61B4">
            <w:pPr>
              <w:pStyle w:val="-7"/>
              <w:spacing w:line="192" w:lineRule="auto"/>
              <w:jc w:val="left"/>
              <w:rPr>
                <w:sz w:val="18"/>
                <w:szCs w:val="18"/>
                <w:rtl/>
              </w:rPr>
            </w:pPr>
            <w:r w:rsidRPr="00024859">
              <w:rPr>
                <w:rFonts w:hint="cs"/>
                <w:sz w:val="18"/>
                <w:szCs w:val="18"/>
                <w:rtl/>
              </w:rPr>
              <w:t>0%</w:t>
            </w:r>
          </w:p>
        </w:tc>
      </w:tr>
      <w:tr w:rsidR="004D61B4" w:rsidRPr="00907C5A" w14:paraId="72F0518F" w14:textId="77777777" w:rsidTr="00F011BA">
        <w:trPr>
          <w:trHeight w:val="283"/>
        </w:trPr>
        <w:tc>
          <w:tcPr>
            <w:tcW w:w="1191" w:type="dxa"/>
          </w:tcPr>
          <w:p w14:paraId="656E6FDB" w14:textId="77777777" w:rsidR="004D61B4" w:rsidRPr="00024859" w:rsidRDefault="004D61B4" w:rsidP="004D61B4">
            <w:pPr>
              <w:pStyle w:val="-7"/>
              <w:spacing w:line="168" w:lineRule="auto"/>
              <w:jc w:val="left"/>
              <w:rPr>
                <w:sz w:val="18"/>
                <w:szCs w:val="18"/>
                <w:rtl/>
              </w:rPr>
            </w:pPr>
          </w:p>
        </w:tc>
        <w:tc>
          <w:tcPr>
            <w:tcW w:w="4714" w:type="dxa"/>
            <w:gridSpan w:val="2"/>
            <w:vAlign w:val="bottom"/>
          </w:tcPr>
          <w:p w14:paraId="445D7FEF" w14:textId="77777777" w:rsidR="004D61B4" w:rsidRPr="00024859" w:rsidRDefault="004D61B4" w:rsidP="004D61B4">
            <w:pPr>
              <w:pStyle w:val="-0"/>
              <w:spacing w:line="192" w:lineRule="auto"/>
              <w:ind w:left="421" w:hanging="142"/>
              <w:rPr>
                <w:sz w:val="18"/>
                <w:szCs w:val="18"/>
                <w:rtl/>
              </w:rPr>
            </w:pPr>
            <w:r w:rsidRPr="00024859">
              <w:rPr>
                <w:rFonts w:hint="cs"/>
                <w:sz w:val="18"/>
                <w:szCs w:val="18"/>
                <w:rtl/>
              </w:rPr>
              <w:t>יחס כיסוי הנזילות המזערי הנדרש ע"י המפקח על הבנקים</w:t>
            </w:r>
          </w:p>
        </w:tc>
        <w:tc>
          <w:tcPr>
            <w:tcW w:w="1251" w:type="dxa"/>
            <w:vAlign w:val="bottom"/>
          </w:tcPr>
          <w:p w14:paraId="5201D42E" w14:textId="77777777" w:rsidR="004D61B4" w:rsidRPr="00024859" w:rsidRDefault="004D61B4" w:rsidP="004D61B4">
            <w:pPr>
              <w:pStyle w:val="-7"/>
              <w:spacing w:line="192" w:lineRule="auto"/>
              <w:jc w:val="left"/>
              <w:rPr>
                <w:sz w:val="18"/>
                <w:szCs w:val="18"/>
                <w:rtl/>
              </w:rPr>
            </w:pPr>
            <w:r w:rsidRPr="00024859">
              <w:rPr>
                <w:rFonts w:hint="cs"/>
                <w:sz w:val="18"/>
                <w:szCs w:val="18"/>
                <w:rtl/>
              </w:rPr>
              <w:t>0%</w:t>
            </w:r>
          </w:p>
        </w:tc>
        <w:tc>
          <w:tcPr>
            <w:tcW w:w="1390" w:type="dxa"/>
            <w:vAlign w:val="bottom"/>
          </w:tcPr>
          <w:p w14:paraId="2B35D92E" w14:textId="77777777" w:rsidR="004D61B4" w:rsidRPr="00024859" w:rsidRDefault="004D61B4" w:rsidP="004D61B4">
            <w:pPr>
              <w:pStyle w:val="-7"/>
              <w:spacing w:line="192" w:lineRule="auto"/>
              <w:jc w:val="left"/>
              <w:rPr>
                <w:sz w:val="18"/>
                <w:szCs w:val="18"/>
                <w:rtl/>
              </w:rPr>
            </w:pPr>
            <w:r w:rsidRPr="00024859">
              <w:rPr>
                <w:rFonts w:hint="cs"/>
                <w:sz w:val="18"/>
                <w:szCs w:val="18"/>
                <w:rtl/>
              </w:rPr>
              <w:t>0%</w:t>
            </w:r>
          </w:p>
        </w:tc>
        <w:tc>
          <w:tcPr>
            <w:tcW w:w="1194" w:type="dxa"/>
            <w:vAlign w:val="bottom"/>
          </w:tcPr>
          <w:p w14:paraId="4BD985D6" w14:textId="77777777" w:rsidR="004D61B4" w:rsidRPr="00024859" w:rsidRDefault="004D61B4" w:rsidP="004D61B4">
            <w:pPr>
              <w:pStyle w:val="-7"/>
              <w:spacing w:line="192" w:lineRule="auto"/>
              <w:jc w:val="left"/>
              <w:rPr>
                <w:sz w:val="18"/>
                <w:szCs w:val="18"/>
                <w:rtl/>
              </w:rPr>
            </w:pPr>
            <w:r w:rsidRPr="00024859">
              <w:rPr>
                <w:rFonts w:hint="cs"/>
                <w:sz w:val="18"/>
                <w:szCs w:val="18"/>
                <w:rtl/>
              </w:rPr>
              <w:t>0%</w:t>
            </w:r>
          </w:p>
        </w:tc>
      </w:tr>
      <w:tr w:rsidR="004E536C" w:rsidRPr="00907C5A" w14:paraId="3BC8C8FC" w14:textId="77777777" w:rsidTr="00F011BA">
        <w:tc>
          <w:tcPr>
            <w:tcW w:w="1191" w:type="dxa"/>
          </w:tcPr>
          <w:p w14:paraId="0875CD98" w14:textId="77777777" w:rsidR="004E536C" w:rsidRPr="00024859" w:rsidRDefault="004E536C" w:rsidP="004D61B4">
            <w:pPr>
              <w:pStyle w:val="-7"/>
              <w:spacing w:line="168" w:lineRule="auto"/>
              <w:jc w:val="left"/>
              <w:rPr>
                <w:sz w:val="18"/>
                <w:szCs w:val="18"/>
                <w:rtl/>
              </w:rPr>
            </w:pPr>
          </w:p>
        </w:tc>
        <w:tc>
          <w:tcPr>
            <w:tcW w:w="328" w:type="dxa"/>
            <w:vAlign w:val="bottom"/>
          </w:tcPr>
          <w:p w14:paraId="2A5CF066" w14:textId="77777777" w:rsidR="004E536C" w:rsidRPr="00024859" w:rsidRDefault="004E536C" w:rsidP="004D61B4">
            <w:pPr>
              <w:pStyle w:val="-7"/>
              <w:spacing w:line="168" w:lineRule="auto"/>
              <w:jc w:val="left"/>
              <w:rPr>
                <w:sz w:val="18"/>
                <w:szCs w:val="18"/>
                <w:rtl/>
              </w:rPr>
            </w:pPr>
          </w:p>
        </w:tc>
        <w:tc>
          <w:tcPr>
            <w:tcW w:w="4386" w:type="dxa"/>
            <w:vAlign w:val="bottom"/>
          </w:tcPr>
          <w:p w14:paraId="4A7F4B07" w14:textId="77777777" w:rsidR="004E536C" w:rsidRPr="00024859" w:rsidRDefault="004E536C" w:rsidP="004D61B4">
            <w:pPr>
              <w:pStyle w:val="-0"/>
              <w:spacing w:line="168" w:lineRule="auto"/>
              <w:ind w:left="382" w:firstLine="0"/>
              <w:rPr>
                <w:sz w:val="18"/>
                <w:szCs w:val="18"/>
                <w:rtl/>
              </w:rPr>
            </w:pPr>
          </w:p>
        </w:tc>
        <w:tc>
          <w:tcPr>
            <w:tcW w:w="1251" w:type="dxa"/>
            <w:vAlign w:val="bottom"/>
          </w:tcPr>
          <w:p w14:paraId="106E1A72" w14:textId="77777777" w:rsidR="004E536C" w:rsidRPr="00024859" w:rsidRDefault="004E536C" w:rsidP="004D61B4">
            <w:pPr>
              <w:pStyle w:val="-7"/>
              <w:spacing w:line="192" w:lineRule="auto"/>
              <w:jc w:val="left"/>
              <w:rPr>
                <w:sz w:val="18"/>
                <w:szCs w:val="18"/>
                <w:rtl/>
              </w:rPr>
            </w:pPr>
          </w:p>
        </w:tc>
        <w:tc>
          <w:tcPr>
            <w:tcW w:w="1390" w:type="dxa"/>
            <w:vAlign w:val="bottom"/>
          </w:tcPr>
          <w:p w14:paraId="6AF94527" w14:textId="77777777" w:rsidR="004E536C" w:rsidRPr="00024859" w:rsidRDefault="004E536C" w:rsidP="004D61B4">
            <w:pPr>
              <w:pStyle w:val="-7"/>
              <w:spacing w:line="192" w:lineRule="auto"/>
              <w:jc w:val="left"/>
              <w:rPr>
                <w:sz w:val="18"/>
                <w:szCs w:val="18"/>
                <w:rtl/>
              </w:rPr>
            </w:pPr>
          </w:p>
        </w:tc>
        <w:tc>
          <w:tcPr>
            <w:tcW w:w="1194" w:type="dxa"/>
            <w:vAlign w:val="bottom"/>
          </w:tcPr>
          <w:p w14:paraId="77DEDCC7" w14:textId="77777777" w:rsidR="004E536C" w:rsidRPr="00024859" w:rsidRDefault="004E536C" w:rsidP="004D61B4">
            <w:pPr>
              <w:pStyle w:val="-7"/>
              <w:spacing w:line="192" w:lineRule="auto"/>
              <w:jc w:val="left"/>
              <w:rPr>
                <w:sz w:val="18"/>
                <w:szCs w:val="18"/>
                <w:rtl/>
              </w:rPr>
            </w:pPr>
          </w:p>
        </w:tc>
      </w:tr>
      <w:tr w:rsidR="004D61B4" w:rsidRPr="00907C5A" w14:paraId="5258505D" w14:textId="77777777" w:rsidTr="00F011BA">
        <w:trPr>
          <w:trHeight w:val="283"/>
        </w:trPr>
        <w:tc>
          <w:tcPr>
            <w:tcW w:w="1191" w:type="dxa"/>
          </w:tcPr>
          <w:p w14:paraId="20D34DC8" w14:textId="77777777" w:rsidR="004D61B4" w:rsidRPr="00024859" w:rsidRDefault="004D61B4" w:rsidP="004D61B4">
            <w:pPr>
              <w:pStyle w:val="-7"/>
              <w:spacing w:line="168" w:lineRule="auto"/>
              <w:jc w:val="left"/>
              <w:rPr>
                <w:sz w:val="18"/>
                <w:szCs w:val="18"/>
                <w:rtl/>
              </w:rPr>
            </w:pPr>
          </w:p>
        </w:tc>
        <w:tc>
          <w:tcPr>
            <w:tcW w:w="4714" w:type="dxa"/>
            <w:gridSpan w:val="2"/>
            <w:vAlign w:val="bottom"/>
          </w:tcPr>
          <w:p w14:paraId="089B725D" w14:textId="79D50451" w:rsidR="004D61B4" w:rsidRPr="00024859" w:rsidRDefault="004D61B4" w:rsidP="004D61B4">
            <w:pPr>
              <w:pStyle w:val="-0"/>
              <w:spacing w:line="168" w:lineRule="auto"/>
              <w:ind w:left="279" w:hanging="279"/>
              <w:rPr>
                <w:b/>
                <w:bCs/>
                <w:sz w:val="18"/>
                <w:szCs w:val="18"/>
              </w:rPr>
            </w:pPr>
            <w:r w:rsidRPr="00024859">
              <w:rPr>
                <w:rFonts w:hint="cs"/>
                <w:b/>
                <w:bCs/>
                <w:sz w:val="18"/>
                <w:szCs w:val="18"/>
                <w:rtl/>
              </w:rPr>
              <w:t>ג.</w:t>
            </w:r>
            <w:r w:rsidRPr="00024859">
              <w:rPr>
                <w:b/>
                <w:bCs/>
                <w:sz w:val="18"/>
                <w:szCs w:val="18"/>
                <w:rtl/>
              </w:rPr>
              <w:tab/>
              <w:t>חברות ב</w:t>
            </w:r>
            <w:r w:rsidRPr="00024859">
              <w:rPr>
                <w:rFonts w:hint="cs"/>
                <w:b/>
                <w:bCs/>
                <w:sz w:val="18"/>
                <w:szCs w:val="18"/>
                <w:rtl/>
              </w:rPr>
              <w:t>נות</w:t>
            </w:r>
            <w:r w:rsidRPr="00024859">
              <w:rPr>
                <w:b/>
                <w:bCs/>
                <w:sz w:val="18"/>
                <w:szCs w:val="18"/>
                <w:rtl/>
              </w:rPr>
              <w:t xml:space="preserve"> משמעותיות</w:t>
            </w:r>
            <w:r w:rsidRPr="00024859">
              <w:rPr>
                <w:rFonts w:hint="cs"/>
                <w:b/>
                <w:bCs/>
                <w:sz w:val="18"/>
                <w:szCs w:val="18"/>
                <w:rtl/>
              </w:rPr>
              <w:t>:</w:t>
            </w:r>
          </w:p>
        </w:tc>
        <w:tc>
          <w:tcPr>
            <w:tcW w:w="1251" w:type="dxa"/>
            <w:vAlign w:val="bottom"/>
          </w:tcPr>
          <w:p w14:paraId="4E7F053E" w14:textId="77777777" w:rsidR="004D61B4" w:rsidRPr="00024859" w:rsidRDefault="004D61B4" w:rsidP="004D61B4">
            <w:pPr>
              <w:pStyle w:val="-7"/>
              <w:spacing w:line="192" w:lineRule="auto"/>
              <w:jc w:val="left"/>
              <w:rPr>
                <w:sz w:val="18"/>
                <w:szCs w:val="18"/>
                <w:rtl/>
              </w:rPr>
            </w:pPr>
          </w:p>
        </w:tc>
        <w:tc>
          <w:tcPr>
            <w:tcW w:w="1390" w:type="dxa"/>
            <w:vAlign w:val="bottom"/>
          </w:tcPr>
          <w:p w14:paraId="79F902D9" w14:textId="77777777" w:rsidR="004D61B4" w:rsidRPr="00024859" w:rsidRDefault="004D61B4" w:rsidP="004D61B4">
            <w:pPr>
              <w:pStyle w:val="-7"/>
              <w:spacing w:line="192" w:lineRule="auto"/>
              <w:jc w:val="left"/>
              <w:rPr>
                <w:sz w:val="18"/>
                <w:szCs w:val="18"/>
                <w:rtl/>
              </w:rPr>
            </w:pPr>
          </w:p>
        </w:tc>
        <w:tc>
          <w:tcPr>
            <w:tcW w:w="1194" w:type="dxa"/>
            <w:vAlign w:val="bottom"/>
          </w:tcPr>
          <w:p w14:paraId="60EF2B2D" w14:textId="77777777" w:rsidR="004D61B4" w:rsidRPr="00024859" w:rsidRDefault="004D61B4" w:rsidP="004D61B4">
            <w:pPr>
              <w:pStyle w:val="-7"/>
              <w:spacing w:line="192" w:lineRule="auto"/>
              <w:jc w:val="left"/>
              <w:rPr>
                <w:sz w:val="18"/>
                <w:szCs w:val="18"/>
                <w:rtl/>
              </w:rPr>
            </w:pPr>
          </w:p>
        </w:tc>
      </w:tr>
      <w:tr w:rsidR="004D61B4" w:rsidRPr="00907C5A" w14:paraId="2CFED18C" w14:textId="77777777" w:rsidTr="00F011BA">
        <w:trPr>
          <w:trHeight w:val="283"/>
        </w:trPr>
        <w:tc>
          <w:tcPr>
            <w:tcW w:w="1191" w:type="dxa"/>
          </w:tcPr>
          <w:p w14:paraId="22FFE5E3" w14:textId="77777777" w:rsidR="004D61B4" w:rsidRPr="00024859" w:rsidRDefault="004D61B4" w:rsidP="004D61B4">
            <w:pPr>
              <w:pStyle w:val="-7"/>
              <w:spacing w:line="168" w:lineRule="auto"/>
              <w:jc w:val="left"/>
              <w:rPr>
                <w:sz w:val="18"/>
                <w:szCs w:val="18"/>
                <w:rtl/>
              </w:rPr>
            </w:pPr>
          </w:p>
        </w:tc>
        <w:tc>
          <w:tcPr>
            <w:tcW w:w="4714" w:type="dxa"/>
            <w:gridSpan w:val="2"/>
            <w:vAlign w:val="bottom"/>
          </w:tcPr>
          <w:p w14:paraId="2F7F927F" w14:textId="77777777" w:rsidR="004D61B4" w:rsidRPr="00024859" w:rsidRDefault="004D61B4" w:rsidP="004D61B4">
            <w:pPr>
              <w:pStyle w:val="-0"/>
              <w:spacing w:line="168" w:lineRule="auto"/>
              <w:ind w:left="279" w:firstLine="0"/>
              <w:rPr>
                <w:b/>
                <w:bCs/>
                <w:sz w:val="18"/>
                <w:szCs w:val="18"/>
                <w:rtl/>
              </w:rPr>
            </w:pPr>
            <w:r w:rsidRPr="00024859">
              <w:rPr>
                <w:rFonts w:hint="cs"/>
                <w:sz w:val="18"/>
                <w:szCs w:val="18"/>
                <w:rtl/>
              </w:rPr>
              <w:t>יחס כיסוי הנזילות</w:t>
            </w:r>
          </w:p>
        </w:tc>
        <w:tc>
          <w:tcPr>
            <w:tcW w:w="1251" w:type="dxa"/>
            <w:vAlign w:val="bottom"/>
          </w:tcPr>
          <w:p w14:paraId="4C23D80B" w14:textId="77777777" w:rsidR="004D61B4" w:rsidRPr="00024859" w:rsidRDefault="004D61B4" w:rsidP="004D61B4">
            <w:pPr>
              <w:pStyle w:val="-7"/>
              <w:spacing w:line="192" w:lineRule="auto"/>
              <w:jc w:val="left"/>
              <w:rPr>
                <w:sz w:val="18"/>
                <w:szCs w:val="18"/>
                <w:rtl/>
              </w:rPr>
            </w:pPr>
            <w:r w:rsidRPr="00024859">
              <w:rPr>
                <w:rFonts w:hint="cs"/>
                <w:sz w:val="18"/>
                <w:szCs w:val="18"/>
                <w:rtl/>
              </w:rPr>
              <w:t>0%</w:t>
            </w:r>
          </w:p>
        </w:tc>
        <w:tc>
          <w:tcPr>
            <w:tcW w:w="1390" w:type="dxa"/>
            <w:vAlign w:val="bottom"/>
          </w:tcPr>
          <w:p w14:paraId="162409E5" w14:textId="77777777" w:rsidR="004D61B4" w:rsidRPr="00024859" w:rsidRDefault="004D61B4" w:rsidP="004D61B4">
            <w:pPr>
              <w:pStyle w:val="-7"/>
              <w:spacing w:line="192" w:lineRule="auto"/>
              <w:jc w:val="left"/>
              <w:rPr>
                <w:sz w:val="18"/>
                <w:szCs w:val="18"/>
                <w:rtl/>
              </w:rPr>
            </w:pPr>
            <w:r w:rsidRPr="00024859">
              <w:rPr>
                <w:rFonts w:hint="cs"/>
                <w:sz w:val="18"/>
                <w:szCs w:val="18"/>
                <w:rtl/>
              </w:rPr>
              <w:t>0%</w:t>
            </w:r>
          </w:p>
        </w:tc>
        <w:tc>
          <w:tcPr>
            <w:tcW w:w="1194" w:type="dxa"/>
            <w:vAlign w:val="bottom"/>
          </w:tcPr>
          <w:p w14:paraId="7F9C5F3E" w14:textId="77777777" w:rsidR="004D61B4" w:rsidRPr="00024859" w:rsidRDefault="004D61B4" w:rsidP="004D61B4">
            <w:pPr>
              <w:pStyle w:val="-7"/>
              <w:spacing w:line="192" w:lineRule="auto"/>
              <w:jc w:val="left"/>
              <w:rPr>
                <w:sz w:val="18"/>
                <w:szCs w:val="18"/>
                <w:rtl/>
              </w:rPr>
            </w:pPr>
            <w:r w:rsidRPr="00024859">
              <w:rPr>
                <w:rFonts w:hint="cs"/>
                <w:sz w:val="18"/>
                <w:szCs w:val="18"/>
                <w:rtl/>
              </w:rPr>
              <w:t>0%</w:t>
            </w:r>
          </w:p>
        </w:tc>
      </w:tr>
      <w:tr w:rsidR="004D61B4" w:rsidRPr="00907C5A" w14:paraId="3D9C670D" w14:textId="77777777" w:rsidTr="00F011BA">
        <w:trPr>
          <w:trHeight w:val="283"/>
        </w:trPr>
        <w:tc>
          <w:tcPr>
            <w:tcW w:w="1191" w:type="dxa"/>
          </w:tcPr>
          <w:p w14:paraId="46B9C3CC" w14:textId="77777777" w:rsidR="004D61B4" w:rsidRPr="00024859" w:rsidRDefault="004D61B4" w:rsidP="004D61B4">
            <w:pPr>
              <w:pStyle w:val="-7"/>
              <w:spacing w:line="168" w:lineRule="auto"/>
              <w:jc w:val="left"/>
              <w:rPr>
                <w:sz w:val="18"/>
                <w:szCs w:val="18"/>
                <w:rtl/>
              </w:rPr>
            </w:pPr>
          </w:p>
        </w:tc>
        <w:tc>
          <w:tcPr>
            <w:tcW w:w="4714" w:type="dxa"/>
            <w:gridSpan w:val="2"/>
            <w:vAlign w:val="bottom"/>
          </w:tcPr>
          <w:p w14:paraId="14EF5E5C" w14:textId="77777777" w:rsidR="004D61B4" w:rsidRPr="00024859" w:rsidRDefault="004D61B4" w:rsidP="004D61B4">
            <w:pPr>
              <w:pStyle w:val="-0"/>
              <w:spacing w:line="168" w:lineRule="auto"/>
              <w:ind w:left="421" w:hanging="142"/>
              <w:rPr>
                <w:b/>
                <w:bCs/>
                <w:sz w:val="18"/>
                <w:szCs w:val="18"/>
                <w:rtl/>
              </w:rPr>
            </w:pPr>
            <w:r w:rsidRPr="00024859">
              <w:rPr>
                <w:rFonts w:hint="cs"/>
                <w:sz w:val="18"/>
                <w:szCs w:val="18"/>
                <w:rtl/>
              </w:rPr>
              <w:t>יחס כיסוי הנזילות המזערי הנדרש ע"י המפקח על הבנקים</w:t>
            </w:r>
            <w:r w:rsidRPr="00024859">
              <w:rPr>
                <w:rFonts w:hint="cs"/>
                <w:sz w:val="18"/>
                <w:szCs w:val="18"/>
                <w:vertAlign w:val="superscript"/>
                <w:rtl/>
              </w:rPr>
              <w:t>(ג)</w:t>
            </w:r>
          </w:p>
        </w:tc>
        <w:tc>
          <w:tcPr>
            <w:tcW w:w="1251" w:type="dxa"/>
            <w:vAlign w:val="bottom"/>
          </w:tcPr>
          <w:p w14:paraId="3E03A1C6" w14:textId="77777777" w:rsidR="004D61B4" w:rsidRPr="00024859" w:rsidRDefault="004D61B4" w:rsidP="004D61B4">
            <w:pPr>
              <w:pStyle w:val="-7"/>
              <w:spacing w:line="192" w:lineRule="auto"/>
              <w:jc w:val="left"/>
              <w:rPr>
                <w:sz w:val="18"/>
                <w:szCs w:val="18"/>
                <w:rtl/>
              </w:rPr>
            </w:pPr>
            <w:r w:rsidRPr="00024859">
              <w:rPr>
                <w:rFonts w:hint="cs"/>
                <w:sz w:val="18"/>
                <w:szCs w:val="18"/>
                <w:rtl/>
              </w:rPr>
              <w:t>0%</w:t>
            </w:r>
          </w:p>
        </w:tc>
        <w:tc>
          <w:tcPr>
            <w:tcW w:w="1390" w:type="dxa"/>
            <w:vAlign w:val="bottom"/>
          </w:tcPr>
          <w:p w14:paraId="2C62052B" w14:textId="77777777" w:rsidR="004D61B4" w:rsidRPr="00024859" w:rsidRDefault="004D61B4" w:rsidP="004D61B4">
            <w:pPr>
              <w:pStyle w:val="-7"/>
              <w:spacing w:line="192" w:lineRule="auto"/>
              <w:jc w:val="left"/>
              <w:rPr>
                <w:sz w:val="18"/>
                <w:szCs w:val="18"/>
                <w:rtl/>
              </w:rPr>
            </w:pPr>
            <w:r w:rsidRPr="00024859">
              <w:rPr>
                <w:rFonts w:hint="cs"/>
                <w:sz w:val="18"/>
                <w:szCs w:val="18"/>
                <w:rtl/>
              </w:rPr>
              <w:t>0%</w:t>
            </w:r>
          </w:p>
        </w:tc>
        <w:tc>
          <w:tcPr>
            <w:tcW w:w="1194" w:type="dxa"/>
            <w:vAlign w:val="bottom"/>
          </w:tcPr>
          <w:p w14:paraId="476D0D1A" w14:textId="77777777" w:rsidR="004D61B4" w:rsidRPr="00024859" w:rsidRDefault="004D61B4" w:rsidP="004D61B4">
            <w:pPr>
              <w:pStyle w:val="-7"/>
              <w:spacing w:line="192" w:lineRule="auto"/>
              <w:jc w:val="left"/>
              <w:rPr>
                <w:sz w:val="18"/>
                <w:szCs w:val="18"/>
                <w:rtl/>
              </w:rPr>
            </w:pPr>
            <w:r w:rsidRPr="00024859">
              <w:rPr>
                <w:rFonts w:hint="cs"/>
                <w:sz w:val="18"/>
                <w:szCs w:val="18"/>
                <w:rtl/>
              </w:rPr>
              <w:t>0%</w:t>
            </w:r>
          </w:p>
        </w:tc>
      </w:tr>
      <w:tr w:rsidR="004E536C" w:rsidRPr="00907C5A" w14:paraId="164F3615" w14:textId="77777777" w:rsidTr="00F011BA">
        <w:tc>
          <w:tcPr>
            <w:tcW w:w="1191" w:type="dxa"/>
          </w:tcPr>
          <w:p w14:paraId="342A37F0" w14:textId="77777777" w:rsidR="004E536C" w:rsidRPr="00907C5A" w:rsidRDefault="004E536C" w:rsidP="004D61B4">
            <w:pPr>
              <w:pStyle w:val="-7"/>
              <w:bidi w:val="0"/>
              <w:spacing w:line="168" w:lineRule="auto"/>
              <w:rPr>
                <w:rtl/>
              </w:rPr>
            </w:pPr>
          </w:p>
        </w:tc>
        <w:tc>
          <w:tcPr>
            <w:tcW w:w="328" w:type="dxa"/>
            <w:vAlign w:val="bottom"/>
          </w:tcPr>
          <w:p w14:paraId="52B0C056" w14:textId="77777777" w:rsidR="004E536C" w:rsidRPr="00907C5A" w:rsidRDefault="004E536C" w:rsidP="004D61B4">
            <w:pPr>
              <w:pStyle w:val="-7"/>
              <w:bidi w:val="0"/>
              <w:spacing w:line="168" w:lineRule="auto"/>
              <w:rPr>
                <w:rtl/>
              </w:rPr>
            </w:pPr>
          </w:p>
        </w:tc>
        <w:tc>
          <w:tcPr>
            <w:tcW w:w="4386" w:type="dxa"/>
            <w:vAlign w:val="bottom"/>
          </w:tcPr>
          <w:p w14:paraId="61CF8E63" w14:textId="77777777" w:rsidR="004E536C" w:rsidRDefault="004E536C" w:rsidP="004D61B4">
            <w:pPr>
              <w:pStyle w:val="-0"/>
              <w:bidi w:val="0"/>
              <w:spacing w:line="168" w:lineRule="auto"/>
              <w:ind w:left="1080" w:hanging="142"/>
              <w:jc w:val="both"/>
              <w:rPr>
                <w:rtl/>
              </w:rPr>
            </w:pPr>
          </w:p>
        </w:tc>
        <w:tc>
          <w:tcPr>
            <w:tcW w:w="1251" w:type="dxa"/>
            <w:vAlign w:val="bottom"/>
          </w:tcPr>
          <w:p w14:paraId="7296626C" w14:textId="77777777" w:rsidR="004E536C" w:rsidRDefault="004E536C" w:rsidP="004D61B4">
            <w:pPr>
              <w:pStyle w:val="-7"/>
              <w:bidi w:val="0"/>
              <w:spacing w:line="168" w:lineRule="auto"/>
              <w:rPr>
                <w:rtl/>
              </w:rPr>
            </w:pPr>
          </w:p>
        </w:tc>
        <w:tc>
          <w:tcPr>
            <w:tcW w:w="1390" w:type="dxa"/>
            <w:vAlign w:val="bottom"/>
          </w:tcPr>
          <w:p w14:paraId="0E4AD01C" w14:textId="77777777" w:rsidR="004E536C" w:rsidRDefault="004E536C" w:rsidP="004D61B4">
            <w:pPr>
              <w:pStyle w:val="-7"/>
              <w:bidi w:val="0"/>
              <w:spacing w:line="168" w:lineRule="auto"/>
              <w:rPr>
                <w:rtl/>
              </w:rPr>
            </w:pPr>
          </w:p>
        </w:tc>
        <w:tc>
          <w:tcPr>
            <w:tcW w:w="1194" w:type="dxa"/>
            <w:vAlign w:val="bottom"/>
          </w:tcPr>
          <w:p w14:paraId="671E73D9" w14:textId="77777777" w:rsidR="004E536C" w:rsidRDefault="004E536C" w:rsidP="004D61B4">
            <w:pPr>
              <w:pStyle w:val="-7"/>
              <w:bidi w:val="0"/>
              <w:spacing w:line="168" w:lineRule="auto"/>
              <w:rPr>
                <w:rtl/>
              </w:rPr>
            </w:pPr>
          </w:p>
        </w:tc>
      </w:tr>
    </w:tbl>
    <w:p w14:paraId="77DA8CD5" w14:textId="77777777" w:rsidR="00F05EF0" w:rsidRDefault="00F05EF0" w:rsidP="004D61B4">
      <w:pPr>
        <w:pStyle w:val="-2"/>
        <w:spacing w:line="168" w:lineRule="auto"/>
        <w:ind w:left="1985" w:right="-294"/>
        <w:rPr>
          <w:b w:val="0"/>
          <w:bCs w:val="0"/>
          <w:sz w:val="18"/>
          <w:szCs w:val="18"/>
          <w:rtl/>
        </w:rPr>
      </w:pPr>
    </w:p>
    <w:p w14:paraId="1659B2FB" w14:textId="77777777" w:rsidR="001D069C" w:rsidRPr="005A25AC" w:rsidRDefault="00E148B0" w:rsidP="00F011BA">
      <w:pPr>
        <w:spacing w:before="40" w:after="40"/>
        <w:ind w:left="1843" w:hanging="282"/>
        <w:rPr>
          <w:sz w:val="18"/>
          <w:szCs w:val="18"/>
          <w:rtl/>
        </w:rPr>
      </w:pPr>
      <w:r w:rsidRPr="005A25AC">
        <w:rPr>
          <w:rFonts w:hint="cs"/>
          <w:sz w:val="18"/>
          <w:szCs w:val="18"/>
          <w:rtl/>
        </w:rPr>
        <w:t>(א)</w:t>
      </w:r>
      <w:r w:rsidRPr="005A25AC">
        <w:rPr>
          <w:sz w:val="18"/>
          <w:szCs w:val="18"/>
          <w:rtl/>
        </w:rPr>
        <w:tab/>
      </w:r>
      <w:r w:rsidR="001D069C" w:rsidRPr="005A25AC">
        <w:rPr>
          <w:rFonts w:hint="eastAsia"/>
          <w:sz w:val="18"/>
          <w:szCs w:val="18"/>
          <w:rtl/>
        </w:rPr>
        <w:t>מחושב</w:t>
      </w:r>
      <w:r w:rsidR="001D069C" w:rsidRPr="005A25AC">
        <w:rPr>
          <w:sz w:val="18"/>
          <w:szCs w:val="18"/>
          <w:rtl/>
        </w:rPr>
        <w:t xml:space="preserve"> </w:t>
      </w:r>
      <w:r w:rsidR="001D069C" w:rsidRPr="005A25AC">
        <w:rPr>
          <w:rFonts w:hint="eastAsia"/>
          <w:sz w:val="18"/>
          <w:szCs w:val="18"/>
          <w:rtl/>
        </w:rPr>
        <w:t>בהתאם</w:t>
      </w:r>
      <w:r w:rsidR="001D069C" w:rsidRPr="005A25AC">
        <w:rPr>
          <w:sz w:val="18"/>
          <w:szCs w:val="18"/>
          <w:rtl/>
        </w:rPr>
        <w:t xml:space="preserve"> </w:t>
      </w:r>
      <w:r w:rsidR="001D069C" w:rsidRPr="005A25AC">
        <w:rPr>
          <w:rFonts w:hint="eastAsia"/>
          <w:sz w:val="18"/>
          <w:szCs w:val="18"/>
          <w:rtl/>
        </w:rPr>
        <w:t>להוראת</w:t>
      </w:r>
      <w:r w:rsidR="001D069C" w:rsidRPr="005A25AC">
        <w:rPr>
          <w:sz w:val="18"/>
          <w:szCs w:val="18"/>
          <w:rtl/>
        </w:rPr>
        <w:t xml:space="preserve"> </w:t>
      </w:r>
      <w:r w:rsidR="001D069C" w:rsidRPr="005A25AC">
        <w:rPr>
          <w:rFonts w:hint="eastAsia"/>
          <w:sz w:val="18"/>
          <w:szCs w:val="18"/>
          <w:rtl/>
        </w:rPr>
        <w:t>ניהול</w:t>
      </w:r>
      <w:r w:rsidR="001D069C" w:rsidRPr="005A25AC">
        <w:rPr>
          <w:sz w:val="18"/>
          <w:szCs w:val="18"/>
          <w:rtl/>
        </w:rPr>
        <w:t xml:space="preserve"> </w:t>
      </w:r>
      <w:r w:rsidR="001D069C" w:rsidRPr="005A25AC">
        <w:rPr>
          <w:rFonts w:hint="eastAsia"/>
          <w:sz w:val="18"/>
          <w:szCs w:val="18"/>
          <w:rtl/>
        </w:rPr>
        <w:t>בנקאי</w:t>
      </w:r>
      <w:r w:rsidR="001D069C" w:rsidRPr="005A25AC">
        <w:rPr>
          <w:sz w:val="18"/>
          <w:szCs w:val="18"/>
          <w:rtl/>
        </w:rPr>
        <w:t xml:space="preserve"> </w:t>
      </w:r>
      <w:r w:rsidR="001D069C" w:rsidRPr="005A25AC">
        <w:rPr>
          <w:rFonts w:hint="eastAsia"/>
          <w:sz w:val="18"/>
          <w:szCs w:val="18"/>
          <w:rtl/>
        </w:rPr>
        <w:t>תקין</w:t>
      </w:r>
      <w:r w:rsidR="001D069C" w:rsidRPr="005A25AC">
        <w:rPr>
          <w:sz w:val="18"/>
          <w:szCs w:val="18"/>
          <w:rtl/>
        </w:rPr>
        <w:t xml:space="preserve"> 221 </w:t>
      </w:r>
      <w:r w:rsidR="001D069C" w:rsidRPr="005A25AC">
        <w:rPr>
          <w:rFonts w:hint="eastAsia"/>
          <w:sz w:val="18"/>
          <w:szCs w:val="18"/>
          <w:rtl/>
        </w:rPr>
        <w:t>בדבר</w:t>
      </w:r>
      <w:r w:rsidR="001D069C" w:rsidRPr="005A25AC">
        <w:rPr>
          <w:sz w:val="18"/>
          <w:szCs w:val="18"/>
          <w:rtl/>
        </w:rPr>
        <w:t xml:space="preserve"> "יחס </w:t>
      </w:r>
      <w:r w:rsidR="001D069C" w:rsidRPr="005A25AC">
        <w:rPr>
          <w:rFonts w:hint="eastAsia"/>
          <w:sz w:val="18"/>
          <w:szCs w:val="18"/>
          <w:rtl/>
        </w:rPr>
        <w:t>כיסוי</w:t>
      </w:r>
      <w:r w:rsidR="001D069C" w:rsidRPr="005A25AC">
        <w:rPr>
          <w:sz w:val="18"/>
          <w:szCs w:val="18"/>
          <w:rtl/>
        </w:rPr>
        <w:t xml:space="preserve"> </w:t>
      </w:r>
      <w:r w:rsidR="001D069C" w:rsidRPr="005A25AC">
        <w:rPr>
          <w:rFonts w:hint="cs"/>
          <w:sz w:val="18"/>
          <w:szCs w:val="18"/>
          <w:rtl/>
        </w:rPr>
        <w:t>ה</w:t>
      </w:r>
      <w:r w:rsidR="001D069C" w:rsidRPr="005A25AC">
        <w:rPr>
          <w:rFonts w:hint="eastAsia"/>
          <w:sz w:val="18"/>
          <w:szCs w:val="18"/>
          <w:rtl/>
        </w:rPr>
        <w:t>נזילות</w:t>
      </w:r>
      <w:r w:rsidR="001D069C" w:rsidRPr="005A25AC">
        <w:rPr>
          <w:sz w:val="18"/>
          <w:szCs w:val="18"/>
          <w:rtl/>
        </w:rPr>
        <w:t>".</w:t>
      </w:r>
    </w:p>
    <w:p w14:paraId="0A33F45E" w14:textId="4B128BD0" w:rsidR="00E678AD" w:rsidRPr="005A25AC" w:rsidRDefault="00E148B0" w:rsidP="00F011BA">
      <w:pPr>
        <w:spacing w:before="40" w:after="40"/>
        <w:ind w:left="1843" w:hanging="282"/>
        <w:rPr>
          <w:sz w:val="18"/>
          <w:szCs w:val="18"/>
          <w:rtl/>
        </w:rPr>
      </w:pPr>
      <w:r w:rsidRPr="005A25AC">
        <w:rPr>
          <w:rFonts w:hint="cs"/>
          <w:sz w:val="18"/>
          <w:szCs w:val="18"/>
          <w:rtl/>
        </w:rPr>
        <w:t>(ב)</w:t>
      </w:r>
      <w:r w:rsidRPr="005A25AC">
        <w:rPr>
          <w:sz w:val="18"/>
          <w:szCs w:val="18"/>
          <w:rtl/>
        </w:rPr>
        <w:tab/>
      </w:r>
      <w:r w:rsidR="00E678AD" w:rsidRPr="005A25AC">
        <w:rPr>
          <w:rFonts w:hint="cs"/>
          <w:sz w:val="18"/>
          <w:szCs w:val="18"/>
          <w:rtl/>
        </w:rPr>
        <w:t>המידע מוצג במונחים של ממוצעים פשוטים של תצפיות יומיות במשך הרבעון המדווח.</w:t>
      </w:r>
    </w:p>
    <w:p w14:paraId="063281EF" w14:textId="77777777" w:rsidR="001D069C" w:rsidRPr="00FB2425" w:rsidRDefault="00E148B0" w:rsidP="00F011BA">
      <w:pPr>
        <w:spacing w:before="40" w:after="40"/>
        <w:ind w:left="1843" w:hanging="282"/>
        <w:rPr>
          <w:sz w:val="18"/>
          <w:szCs w:val="18"/>
          <w:rtl/>
        </w:rPr>
      </w:pPr>
      <w:r w:rsidRPr="005A25AC">
        <w:rPr>
          <w:rFonts w:hint="cs"/>
          <w:sz w:val="18"/>
          <w:szCs w:val="18"/>
          <w:rtl/>
        </w:rPr>
        <w:t>(ג)</w:t>
      </w:r>
      <w:r>
        <w:rPr>
          <w:sz w:val="18"/>
          <w:szCs w:val="18"/>
          <w:rtl/>
        </w:rPr>
        <w:tab/>
      </w:r>
      <w:r w:rsidR="00E678AD">
        <w:rPr>
          <w:rFonts w:hint="cs"/>
          <w:sz w:val="18"/>
          <w:szCs w:val="18"/>
          <w:rtl/>
        </w:rPr>
        <w:t>גילוי זה יינתן כאשר התאגיד הבנקאי נדרש לשמור גם על יחס כיסוי נזילות מזערי על בסיס לא מאוחד לפי הוראות ניהול בנקאי תקין. המידע יוצג במונחים של ממוצעים פשוטים של תצפיות יומיות במשך הרבעון המדווח.</w:t>
      </w:r>
    </w:p>
    <w:tbl>
      <w:tblPr>
        <w:bidiVisual/>
        <w:tblW w:w="5028" w:type="pct"/>
        <w:jc w:val="right"/>
        <w:tblLook w:val="0000" w:firstRow="0" w:lastRow="0" w:firstColumn="0" w:lastColumn="0" w:noHBand="0" w:noVBand="0"/>
      </w:tblPr>
      <w:tblGrid>
        <w:gridCol w:w="1192"/>
        <w:gridCol w:w="425"/>
        <w:gridCol w:w="8647"/>
      </w:tblGrid>
      <w:tr w:rsidR="001D069C" w:rsidRPr="001E5014" w14:paraId="698DC5C6" w14:textId="77777777" w:rsidTr="00F011BA">
        <w:trPr>
          <w:trHeight w:val="245"/>
          <w:jc w:val="right"/>
        </w:trPr>
        <w:tc>
          <w:tcPr>
            <w:tcW w:w="1192" w:type="dxa"/>
          </w:tcPr>
          <w:p w14:paraId="1545D7DF" w14:textId="7D58CE0A" w:rsidR="001D069C" w:rsidRPr="00A23DCD" w:rsidRDefault="001D069C" w:rsidP="005A25AC">
            <w:pPr>
              <w:pStyle w:val="-7"/>
              <w:spacing w:before="60" w:line="240" w:lineRule="auto"/>
              <w:jc w:val="left"/>
              <w:rPr>
                <w:sz w:val="14"/>
                <w:szCs w:val="14"/>
                <w:rtl/>
              </w:rPr>
            </w:pPr>
            <w:r>
              <w:rPr>
                <w:rFonts w:hint="cs"/>
                <w:sz w:val="14"/>
                <w:szCs w:val="14"/>
                <w:rtl/>
              </w:rPr>
              <w:t>ה.המפקח ס' 45ה(ב)(2)</w:t>
            </w:r>
          </w:p>
        </w:tc>
        <w:tc>
          <w:tcPr>
            <w:tcW w:w="425" w:type="dxa"/>
          </w:tcPr>
          <w:p w14:paraId="337746AD" w14:textId="77777777" w:rsidR="001D069C" w:rsidRDefault="001D069C" w:rsidP="0053663A">
            <w:pPr>
              <w:pStyle w:val="-f4"/>
              <w:spacing w:before="120"/>
              <w:jc w:val="left"/>
              <w:rPr>
                <w:sz w:val="19"/>
                <w:szCs w:val="19"/>
                <w:rtl/>
              </w:rPr>
            </w:pPr>
          </w:p>
        </w:tc>
        <w:tc>
          <w:tcPr>
            <w:tcW w:w="8647" w:type="dxa"/>
          </w:tcPr>
          <w:p w14:paraId="01DF2B53" w14:textId="77777777" w:rsidR="001D069C" w:rsidRPr="004F68FD" w:rsidRDefault="001D069C" w:rsidP="009A5BDA">
            <w:pPr>
              <w:pStyle w:val="-f4"/>
              <w:ind w:left="-113"/>
              <w:rPr>
                <w:b w:val="0"/>
                <w:bCs w:val="0"/>
                <w:sz w:val="18"/>
                <w:szCs w:val="18"/>
                <w:rtl/>
              </w:rPr>
            </w:pPr>
            <w:r w:rsidRPr="004F68FD">
              <w:rPr>
                <w:b w:val="0"/>
                <w:bCs w:val="0"/>
                <w:sz w:val="18"/>
                <w:szCs w:val="18"/>
                <w:rtl/>
              </w:rPr>
              <w:t>[</w:t>
            </w:r>
            <w:r w:rsidRPr="004F68FD">
              <w:rPr>
                <w:rFonts w:hint="eastAsia"/>
                <w:b w:val="0"/>
                <w:bCs w:val="0"/>
                <w:sz w:val="18"/>
                <w:szCs w:val="18"/>
                <w:rtl/>
              </w:rPr>
              <w:t>יינתן</w:t>
            </w:r>
            <w:r w:rsidRPr="004F68FD">
              <w:rPr>
                <w:b w:val="0"/>
                <w:bCs w:val="0"/>
                <w:sz w:val="18"/>
                <w:szCs w:val="18"/>
                <w:rtl/>
              </w:rPr>
              <w:t xml:space="preserve"> </w:t>
            </w:r>
            <w:r w:rsidRPr="004F68FD">
              <w:rPr>
                <w:rFonts w:hint="eastAsia"/>
                <w:b w:val="0"/>
                <w:bCs w:val="0"/>
                <w:sz w:val="18"/>
                <w:szCs w:val="18"/>
                <w:rtl/>
              </w:rPr>
              <w:t>גילוי</w:t>
            </w:r>
            <w:r w:rsidRPr="004F68FD">
              <w:rPr>
                <w:b w:val="0"/>
                <w:bCs w:val="0"/>
                <w:sz w:val="18"/>
                <w:szCs w:val="18"/>
                <w:rtl/>
              </w:rPr>
              <w:t xml:space="preserve"> </w:t>
            </w:r>
            <w:r w:rsidRPr="004F68FD">
              <w:rPr>
                <w:rFonts w:hint="eastAsia"/>
                <w:b w:val="0"/>
                <w:bCs w:val="0"/>
                <w:sz w:val="18"/>
                <w:szCs w:val="18"/>
                <w:rtl/>
              </w:rPr>
              <w:t>להשפעות</w:t>
            </w:r>
            <w:r w:rsidRPr="004F68FD">
              <w:rPr>
                <w:b w:val="0"/>
                <w:bCs w:val="0"/>
                <w:sz w:val="18"/>
                <w:szCs w:val="18"/>
                <w:rtl/>
              </w:rPr>
              <w:t xml:space="preserve"> </w:t>
            </w:r>
            <w:r w:rsidRPr="004F68FD">
              <w:rPr>
                <w:rFonts w:hint="eastAsia"/>
                <w:b w:val="0"/>
                <w:bCs w:val="0"/>
                <w:sz w:val="18"/>
                <w:szCs w:val="18"/>
                <w:rtl/>
              </w:rPr>
              <w:t>האפשריות</w:t>
            </w:r>
            <w:r w:rsidRPr="004F68FD">
              <w:rPr>
                <w:b w:val="0"/>
                <w:bCs w:val="0"/>
                <w:sz w:val="18"/>
                <w:szCs w:val="18"/>
                <w:rtl/>
              </w:rPr>
              <w:t xml:space="preserve"> (או </w:t>
            </w:r>
            <w:r w:rsidRPr="004F68FD">
              <w:rPr>
                <w:rFonts w:hint="eastAsia"/>
                <w:b w:val="0"/>
                <w:bCs w:val="0"/>
                <w:sz w:val="18"/>
                <w:szCs w:val="18"/>
                <w:rtl/>
              </w:rPr>
              <w:t>ההשפעות</w:t>
            </w:r>
            <w:r w:rsidRPr="004F68FD">
              <w:rPr>
                <w:b w:val="0"/>
                <w:bCs w:val="0"/>
                <w:sz w:val="18"/>
                <w:szCs w:val="18"/>
                <w:rtl/>
              </w:rPr>
              <w:t xml:space="preserve"> </w:t>
            </w:r>
            <w:r w:rsidRPr="004F68FD">
              <w:rPr>
                <w:rFonts w:hint="eastAsia"/>
                <w:b w:val="0"/>
                <w:bCs w:val="0"/>
                <w:sz w:val="18"/>
                <w:szCs w:val="18"/>
                <w:rtl/>
              </w:rPr>
              <w:t>בפועל</w:t>
            </w:r>
            <w:r w:rsidRPr="004F68FD">
              <w:rPr>
                <w:b w:val="0"/>
                <w:bCs w:val="0"/>
                <w:sz w:val="18"/>
                <w:szCs w:val="18"/>
                <w:rtl/>
              </w:rPr>
              <w:t xml:space="preserve">) </w:t>
            </w:r>
            <w:r w:rsidRPr="004F68FD">
              <w:rPr>
                <w:rFonts w:hint="eastAsia"/>
                <w:b w:val="0"/>
                <w:bCs w:val="0"/>
                <w:sz w:val="18"/>
                <w:szCs w:val="18"/>
                <w:rtl/>
              </w:rPr>
              <w:t>של</w:t>
            </w:r>
            <w:r w:rsidRPr="004F68FD">
              <w:rPr>
                <w:b w:val="0"/>
                <w:bCs w:val="0"/>
                <w:sz w:val="18"/>
                <w:szCs w:val="18"/>
                <w:rtl/>
              </w:rPr>
              <w:t xml:space="preserve"> </w:t>
            </w:r>
            <w:r w:rsidRPr="004F68FD">
              <w:rPr>
                <w:rFonts w:hint="eastAsia"/>
                <w:b w:val="0"/>
                <w:bCs w:val="0"/>
                <w:sz w:val="18"/>
                <w:szCs w:val="18"/>
                <w:rtl/>
              </w:rPr>
              <w:t>אי</w:t>
            </w:r>
            <w:r w:rsidRPr="004F68FD">
              <w:rPr>
                <w:b w:val="0"/>
                <w:bCs w:val="0"/>
                <w:sz w:val="18"/>
                <w:szCs w:val="18"/>
                <w:rtl/>
              </w:rPr>
              <w:t xml:space="preserve"> </w:t>
            </w:r>
            <w:r w:rsidRPr="004F68FD">
              <w:rPr>
                <w:rFonts w:hint="eastAsia"/>
                <w:b w:val="0"/>
                <w:bCs w:val="0"/>
                <w:sz w:val="18"/>
                <w:szCs w:val="18"/>
                <w:rtl/>
              </w:rPr>
              <w:t>עמידה</w:t>
            </w:r>
            <w:r w:rsidRPr="004F68FD">
              <w:rPr>
                <w:b w:val="0"/>
                <w:bCs w:val="0"/>
                <w:sz w:val="18"/>
                <w:szCs w:val="18"/>
                <w:rtl/>
              </w:rPr>
              <w:t xml:space="preserve"> </w:t>
            </w:r>
            <w:r w:rsidRPr="004F68FD">
              <w:rPr>
                <w:rFonts w:hint="eastAsia"/>
                <w:b w:val="0"/>
                <w:bCs w:val="0"/>
                <w:sz w:val="18"/>
                <w:szCs w:val="18"/>
                <w:rtl/>
              </w:rPr>
              <w:t>בדרישות</w:t>
            </w:r>
            <w:r w:rsidRPr="004F68FD">
              <w:rPr>
                <w:b w:val="0"/>
                <w:bCs w:val="0"/>
                <w:sz w:val="18"/>
                <w:szCs w:val="18"/>
                <w:rtl/>
              </w:rPr>
              <w:t xml:space="preserve"> </w:t>
            </w:r>
            <w:r w:rsidRPr="004F68FD">
              <w:rPr>
                <w:rFonts w:hint="eastAsia"/>
                <w:b w:val="0"/>
                <w:bCs w:val="0"/>
                <w:sz w:val="18"/>
                <w:szCs w:val="18"/>
                <w:rtl/>
              </w:rPr>
              <w:t>המפקח</w:t>
            </w:r>
            <w:r w:rsidRPr="004F68FD">
              <w:rPr>
                <w:b w:val="0"/>
                <w:bCs w:val="0"/>
                <w:sz w:val="18"/>
                <w:szCs w:val="18"/>
                <w:rtl/>
              </w:rPr>
              <w:t xml:space="preserve"> </w:t>
            </w:r>
            <w:r w:rsidRPr="004F68FD">
              <w:rPr>
                <w:rFonts w:hint="eastAsia"/>
                <w:b w:val="0"/>
                <w:bCs w:val="0"/>
                <w:sz w:val="18"/>
                <w:szCs w:val="18"/>
                <w:rtl/>
              </w:rPr>
              <w:t>על</w:t>
            </w:r>
            <w:r w:rsidRPr="004F68FD">
              <w:rPr>
                <w:b w:val="0"/>
                <w:bCs w:val="0"/>
                <w:sz w:val="18"/>
                <w:szCs w:val="18"/>
                <w:rtl/>
              </w:rPr>
              <w:t xml:space="preserve"> </w:t>
            </w:r>
            <w:r w:rsidRPr="004F68FD">
              <w:rPr>
                <w:rFonts w:hint="eastAsia"/>
                <w:b w:val="0"/>
                <w:bCs w:val="0"/>
                <w:sz w:val="18"/>
                <w:szCs w:val="18"/>
                <w:rtl/>
              </w:rPr>
              <w:t>הבנקים</w:t>
            </w:r>
            <w:r w:rsidRPr="004F68FD">
              <w:rPr>
                <w:b w:val="0"/>
                <w:bCs w:val="0"/>
                <w:sz w:val="18"/>
                <w:szCs w:val="18"/>
                <w:rtl/>
              </w:rPr>
              <w:t xml:space="preserve"> </w:t>
            </w:r>
            <w:r w:rsidRPr="004F68FD">
              <w:rPr>
                <w:rFonts w:hint="eastAsia"/>
                <w:b w:val="0"/>
                <w:bCs w:val="0"/>
                <w:sz w:val="18"/>
                <w:szCs w:val="18"/>
                <w:rtl/>
              </w:rPr>
              <w:t>ליחס</w:t>
            </w:r>
            <w:r w:rsidRPr="004F68FD">
              <w:rPr>
                <w:b w:val="0"/>
                <w:bCs w:val="0"/>
                <w:sz w:val="18"/>
                <w:szCs w:val="18"/>
                <w:rtl/>
              </w:rPr>
              <w:t xml:space="preserve"> </w:t>
            </w:r>
            <w:r w:rsidRPr="004F68FD">
              <w:rPr>
                <w:rFonts w:hint="eastAsia"/>
                <w:b w:val="0"/>
                <w:bCs w:val="0"/>
                <w:sz w:val="18"/>
                <w:szCs w:val="18"/>
                <w:rtl/>
              </w:rPr>
              <w:t>כיסוי</w:t>
            </w:r>
            <w:r w:rsidRPr="004F68FD">
              <w:rPr>
                <w:b w:val="0"/>
                <w:bCs w:val="0"/>
                <w:sz w:val="18"/>
                <w:szCs w:val="18"/>
                <w:rtl/>
              </w:rPr>
              <w:t xml:space="preserve"> </w:t>
            </w:r>
            <w:r w:rsidRPr="004F68FD">
              <w:rPr>
                <w:rFonts w:hint="eastAsia"/>
                <w:b w:val="0"/>
                <w:bCs w:val="0"/>
                <w:sz w:val="18"/>
                <w:szCs w:val="18"/>
                <w:rtl/>
              </w:rPr>
              <w:t>הנזילות</w:t>
            </w:r>
            <w:r w:rsidRPr="004F68FD">
              <w:rPr>
                <w:b w:val="0"/>
                <w:bCs w:val="0"/>
                <w:sz w:val="18"/>
                <w:szCs w:val="18"/>
                <w:rtl/>
              </w:rPr>
              <w:t>].</w:t>
            </w:r>
          </w:p>
        </w:tc>
      </w:tr>
      <w:tr w:rsidR="001D069C" w:rsidRPr="001E5014" w14:paraId="67D90CCF" w14:textId="77777777" w:rsidTr="00F011BA">
        <w:trPr>
          <w:trHeight w:val="245"/>
          <w:jc w:val="right"/>
        </w:trPr>
        <w:tc>
          <w:tcPr>
            <w:tcW w:w="1192" w:type="dxa"/>
          </w:tcPr>
          <w:p w14:paraId="7EE926BA" w14:textId="77777777" w:rsidR="001D069C" w:rsidRPr="00D351F6" w:rsidRDefault="001D069C" w:rsidP="0053663A">
            <w:pPr>
              <w:pStyle w:val="-7"/>
              <w:spacing w:before="60" w:line="240" w:lineRule="auto"/>
              <w:jc w:val="left"/>
              <w:rPr>
                <w:spacing w:val="-6"/>
                <w:sz w:val="14"/>
                <w:szCs w:val="14"/>
                <w:rtl/>
              </w:rPr>
            </w:pPr>
            <w:r w:rsidRPr="008540A0">
              <w:rPr>
                <w:rFonts w:hint="eastAsia"/>
                <w:spacing w:val="-6"/>
                <w:sz w:val="14"/>
                <w:szCs w:val="14"/>
                <w:rtl/>
              </w:rPr>
              <w:t>ה</w:t>
            </w:r>
            <w:r w:rsidRPr="008540A0">
              <w:rPr>
                <w:spacing w:val="-6"/>
                <w:sz w:val="14"/>
                <w:szCs w:val="14"/>
                <w:rtl/>
              </w:rPr>
              <w:t xml:space="preserve">. </w:t>
            </w:r>
            <w:r w:rsidRPr="008540A0">
              <w:rPr>
                <w:rFonts w:hint="eastAsia"/>
                <w:spacing w:val="-6"/>
                <w:sz w:val="14"/>
                <w:szCs w:val="14"/>
                <w:rtl/>
              </w:rPr>
              <w:t>המפקח</w:t>
            </w:r>
            <w:r w:rsidRPr="008540A0">
              <w:rPr>
                <w:spacing w:val="-6"/>
                <w:sz w:val="14"/>
                <w:szCs w:val="14"/>
                <w:rtl/>
              </w:rPr>
              <w:t xml:space="preserve"> </w:t>
            </w:r>
            <w:r w:rsidRPr="008540A0">
              <w:rPr>
                <w:rFonts w:hint="eastAsia"/>
                <w:spacing w:val="-6"/>
                <w:sz w:val="14"/>
                <w:szCs w:val="14"/>
                <w:rtl/>
              </w:rPr>
              <w:t>ס</w:t>
            </w:r>
            <w:r w:rsidRPr="008540A0">
              <w:rPr>
                <w:spacing w:val="-6"/>
                <w:sz w:val="14"/>
                <w:szCs w:val="14"/>
                <w:rtl/>
              </w:rPr>
              <w:t>' 45ה(ב)(3)(2)</w:t>
            </w:r>
          </w:p>
        </w:tc>
        <w:tc>
          <w:tcPr>
            <w:tcW w:w="425" w:type="dxa"/>
          </w:tcPr>
          <w:p w14:paraId="517FB0B2" w14:textId="77777777" w:rsidR="001D069C" w:rsidRDefault="001D069C" w:rsidP="0053663A">
            <w:pPr>
              <w:pStyle w:val="-f4"/>
              <w:spacing w:before="120" w:line="240" w:lineRule="auto"/>
              <w:jc w:val="left"/>
              <w:rPr>
                <w:sz w:val="19"/>
                <w:szCs w:val="19"/>
                <w:rtl/>
              </w:rPr>
            </w:pPr>
          </w:p>
        </w:tc>
        <w:tc>
          <w:tcPr>
            <w:tcW w:w="8647" w:type="dxa"/>
          </w:tcPr>
          <w:p w14:paraId="2AAA71B6" w14:textId="77777777" w:rsidR="001D069C" w:rsidRPr="004F68FD" w:rsidRDefault="001D069C" w:rsidP="009A5BDA">
            <w:pPr>
              <w:pStyle w:val="-f4"/>
              <w:spacing w:line="240" w:lineRule="auto"/>
              <w:ind w:left="-113"/>
              <w:rPr>
                <w:b w:val="0"/>
                <w:bCs w:val="0"/>
                <w:sz w:val="18"/>
                <w:szCs w:val="18"/>
                <w:rtl/>
              </w:rPr>
            </w:pPr>
            <w:r w:rsidRPr="004F68FD">
              <w:rPr>
                <w:b w:val="0"/>
                <w:bCs w:val="0"/>
                <w:sz w:val="18"/>
                <w:szCs w:val="18"/>
                <w:rtl/>
              </w:rPr>
              <w:t>[</w:t>
            </w:r>
            <w:r w:rsidRPr="004F68FD">
              <w:rPr>
                <w:rFonts w:hint="eastAsia"/>
                <w:b w:val="0"/>
                <w:bCs w:val="0"/>
                <w:sz w:val="18"/>
                <w:szCs w:val="18"/>
                <w:rtl/>
              </w:rPr>
              <w:t>יינתן</w:t>
            </w:r>
            <w:r w:rsidRPr="004F68FD">
              <w:rPr>
                <w:b w:val="0"/>
                <w:bCs w:val="0"/>
                <w:sz w:val="18"/>
                <w:szCs w:val="18"/>
                <w:rtl/>
              </w:rPr>
              <w:t xml:space="preserve"> </w:t>
            </w:r>
            <w:r w:rsidRPr="004F68FD">
              <w:rPr>
                <w:rFonts w:hint="eastAsia"/>
                <w:b w:val="0"/>
                <w:bCs w:val="0"/>
                <w:sz w:val="18"/>
                <w:szCs w:val="18"/>
                <w:rtl/>
              </w:rPr>
              <w:t>גילוי</w:t>
            </w:r>
            <w:r w:rsidRPr="004F68FD">
              <w:rPr>
                <w:b w:val="0"/>
                <w:bCs w:val="0"/>
                <w:sz w:val="18"/>
                <w:szCs w:val="18"/>
                <w:rtl/>
              </w:rPr>
              <w:t xml:space="preserve"> </w:t>
            </w:r>
            <w:r w:rsidRPr="004F68FD">
              <w:rPr>
                <w:rFonts w:hint="eastAsia"/>
                <w:b w:val="0"/>
                <w:bCs w:val="0"/>
                <w:sz w:val="18"/>
                <w:szCs w:val="18"/>
                <w:rtl/>
              </w:rPr>
              <w:t>לגורמים</w:t>
            </w:r>
            <w:r w:rsidRPr="004F68FD">
              <w:rPr>
                <w:b w:val="0"/>
                <w:bCs w:val="0"/>
                <w:sz w:val="18"/>
                <w:szCs w:val="18"/>
                <w:rtl/>
              </w:rPr>
              <w:t xml:space="preserve"> </w:t>
            </w:r>
            <w:r w:rsidRPr="004F68FD">
              <w:rPr>
                <w:rFonts w:hint="eastAsia"/>
                <w:b w:val="0"/>
                <w:bCs w:val="0"/>
                <w:sz w:val="18"/>
                <w:szCs w:val="18"/>
                <w:rtl/>
              </w:rPr>
              <w:t>היכולים</w:t>
            </w:r>
            <w:r w:rsidRPr="004F68FD">
              <w:rPr>
                <w:b w:val="0"/>
                <w:bCs w:val="0"/>
                <w:sz w:val="18"/>
                <w:szCs w:val="18"/>
                <w:rtl/>
              </w:rPr>
              <w:t xml:space="preserve"> </w:t>
            </w:r>
            <w:r w:rsidRPr="004F68FD">
              <w:rPr>
                <w:rFonts w:hint="eastAsia"/>
                <w:b w:val="0"/>
                <w:bCs w:val="0"/>
                <w:sz w:val="18"/>
                <w:szCs w:val="18"/>
                <w:rtl/>
              </w:rPr>
              <w:t>להשפיע</w:t>
            </w:r>
            <w:r w:rsidRPr="004F68FD">
              <w:rPr>
                <w:b w:val="0"/>
                <w:bCs w:val="0"/>
                <w:sz w:val="18"/>
                <w:szCs w:val="18"/>
                <w:rtl/>
              </w:rPr>
              <w:t xml:space="preserve"> </w:t>
            </w:r>
            <w:r w:rsidRPr="004F68FD">
              <w:rPr>
                <w:rFonts w:hint="eastAsia"/>
                <w:b w:val="0"/>
                <w:bCs w:val="0"/>
                <w:sz w:val="18"/>
                <w:szCs w:val="18"/>
                <w:rtl/>
              </w:rPr>
              <w:t>באופן</w:t>
            </w:r>
            <w:r w:rsidRPr="004F68FD">
              <w:rPr>
                <w:b w:val="0"/>
                <w:bCs w:val="0"/>
                <w:sz w:val="18"/>
                <w:szCs w:val="18"/>
                <w:rtl/>
              </w:rPr>
              <w:t xml:space="preserve"> </w:t>
            </w:r>
            <w:r w:rsidRPr="004F68FD">
              <w:rPr>
                <w:rFonts w:hint="eastAsia"/>
                <w:b w:val="0"/>
                <w:bCs w:val="0"/>
                <w:sz w:val="18"/>
                <w:szCs w:val="18"/>
                <w:rtl/>
              </w:rPr>
              <w:t>מהותי</w:t>
            </w:r>
            <w:r w:rsidRPr="004F68FD">
              <w:rPr>
                <w:b w:val="0"/>
                <w:bCs w:val="0"/>
                <w:sz w:val="18"/>
                <w:szCs w:val="18"/>
                <w:rtl/>
              </w:rPr>
              <w:t xml:space="preserve"> </w:t>
            </w:r>
            <w:r w:rsidRPr="004F68FD">
              <w:rPr>
                <w:rFonts w:hint="eastAsia"/>
                <w:b w:val="0"/>
                <w:bCs w:val="0"/>
                <w:sz w:val="18"/>
                <w:szCs w:val="18"/>
                <w:rtl/>
              </w:rPr>
              <w:t>על</w:t>
            </w:r>
            <w:r w:rsidRPr="004F68FD">
              <w:rPr>
                <w:b w:val="0"/>
                <w:bCs w:val="0"/>
                <w:sz w:val="18"/>
                <w:szCs w:val="18"/>
                <w:rtl/>
              </w:rPr>
              <w:t xml:space="preserve"> </w:t>
            </w:r>
            <w:r w:rsidRPr="004F68FD">
              <w:rPr>
                <w:rFonts w:hint="eastAsia"/>
                <w:b w:val="0"/>
                <w:bCs w:val="0"/>
                <w:sz w:val="18"/>
                <w:szCs w:val="18"/>
                <w:rtl/>
              </w:rPr>
              <w:t>יחס</w:t>
            </w:r>
            <w:r w:rsidRPr="004F68FD">
              <w:rPr>
                <w:b w:val="0"/>
                <w:bCs w:val="0"/>
                <w:sz w:val="18"/>
                <w:szCs w:val="18"/>
                <w:rtl/>
              </w:rPr>
              <w:t xml:space="preserve"> </w:t>
            </w:r>
            <w:r w:rsidRPr="004F68FD">
              <w:rPr>
                <w:rFonts w:hint="eastAsia"/>
                <w:b w:val="0"/>
                <w:bCs w:val="0"/>
                <w:sz w:val="18"/>
                <w:szCs w:val="18"/>
                <w:rtl/>
              </w:rPr>
              <w:t>כיסוי</w:t>
            </w:r>
            <w:r w:rsidRPr="004F68FD">
              <w:rPr>
                <w:b w:val="0"/>
                <w:bCs w:val="0"/>
                <w:sz w:val="18"/>
                <w:szCs w:val="18"/>
                <w:rtl/>
              </w:rPr>
              <w:t xml:space="preserve"> </w:t>
            </w:r>
            <w:r w:rsidRPr="004F68FD">
              <w:rPr>
                <w:rFonts w:hint="eastAsia"/>
                <w:b w:val="0"/>
                <w:bCs w:val="0"/>
                <w:sz w:val="18"/>
                <w:szCs w:val="18"/>
                <w:rtl/>
              </w:rPr>
              <w:t>הנזילות</w:t>
            </w:r>
            <w:r w:rsidRPr="004F68FD">
              <w:rPr>
                <w:b w:val="0"/>
                <w:bCs w:val="0"/>
                <w:sz w:val="18"/>
                <w:szCs w:val="18"/>
                <w:rtl/>
              </w:rPr>
              <w:t>].</w:t>
            </w:r>
          </w:p>
        </w:tc>
      </w:tr>
    </w:tbl>
    <w:p w14:paraId="74CCE934" w14:textId="77777777" w:rsidR="005407BB" w:rsidRDefault="005407BB"/>
    <w:tbl>
      <w:tblPr>
        <w:bidiVisual/>
        <w:tblW w:w="4871" w:type="pct"/>
        <w:tblLayout w:type="fixed"/>
        <w:tblLook w:val="04A0" w:firstRow="1" w:lastRow="0" w:firstColumn="1" w:lastColumn="0" w:noHBand="0" w:noVBand="1"/>
      </w:tblPr>
      <w:tblGrid>
        <w:gridCol w:w="1133"/>
        <w:gridCol w:w="247"/>
        <w:gridCol w:w="5163"/>
        <w:gridCol w:w="706"/>
        <w:gridCol w:w="145"/>
        <w:gridCol w:w="1134"/>
        <w:gridCol w:w="239"/>
        <w:gridCol w:w="1177"/>
      </w:tblGrid>
      <w:tr w:rsidR="00820863" w:rsidRPr="00AC1A00" w14:paraId="7E43D3E3" w14:textId="5165457D" w:rsidTr="00F011BA">
        <w:trPr>
          <w:gridAfter w:val="1"/>
          <w:wAfter w:w="592" w:type="pct"/>
          <w:trHeight w:val="259"/>
        </w:trPr>
        <w:tc>
          <w:tcPr>
            <w:tcW w:w="570" w:type="pct"/>
          </w:tcPr>
          <w:p w14:paraId="5306BB2B" w14:textId="4B275895" w:rsidR="00820863" w:rsidRPr="00AC1A00" w:rsidRDefault="00820863" w:rsidP="00BE1387">
            <w:pPr>
              <w:pStyle w:val="-fa"/>
              <w:spacing w:before="40"/>
              <w:ind w:right="-142"/>
              <w:rPr>
                <w:spacing w:val="0"/>
                <w:rtl/>
              </w:rPr>
            </w:pPr>
          </w:p>
        </w:tc>
        <w:tc>
          <w:tcPr>
            <w:tcW w:w="3075" w:type="pct"/>
            <w:gridSpan w:val="3"/>
          </w:tcPr>
          <w:p w14:paraId="44474C38" w14:textId="468C3942" w:rsidR="00820863" w:rsidRPr="00AC1A00" w:rsidRDefault="00820863" w:rsidP="00BE1387">
            <w:pPr>
              <w:pStyle w:val="-10"/>
              <w:spacing w:before="40" w:after="0" w:line="312" w:lineRule="auto"/>
              <w:ind w:left="300" w:hanging="300"/>
              <w:rPr>
                <w:b/>
                <w:bCs/>
                <w:color w:val="000000"/>
                <w:sz w:val="24"/>
                <w:szCs w:val="24"/>
                <w:rtl/>
                <w:lang w:eastAsia="he-IL"/>
              </w:rPr>
            </w:pPr>
            <w:r>
              <w:rPr>
                <w:rFonts w:hint="cs"/>
                <w:b/>
                <w:bCs/>
                <w:rtl/>
              </w:rPr>
              <w:t>4</w:t>
            </w:r>
            <w:r w:rsidRPr="00AC1A00">
              <w:rPr>
                <w:b/>
                <w:bCs/>
                <w:rtl/>
              </w:rPr>
              <w:t>.</w:t>
            </w:r>
            <w:r w:rsidRPr="00AC1A00">
              <w:rPr>
                <w:b/>
                <w:bCs/>
                <w:rtl/>
              </w:rPr>
              <w:tab/>
            </w:r>
            <w:r w:rsidRPr="00AC1A00">
              <w:rPr>
                <w:rFonts w:hint="eastAsia"/>
                <w:b/>
                <w:bCs/>
                <w:rtl/>
              </w:rPr>
              <w:t>יחס</w:t>
            </w:r>
            <w:r w:rsidRPr="00AC1A00">
              <w:rPr>
                <w:b/>
                <w:bCs/>
                <w:rtl/>
              </w:rPr>
              <w:t xml:space="preserve"> </w:t>
            </w:r>
            <w:r>
              <w:rPr>
                <w:rFonts w:hint="cs"/>
                <w:b/>
                <w:bCs/>
                <w:rtl/>
              </w:rPr>
              <w:t>מימון יציב נטו</w:t>
            </w:r>
            <w:r w:rsidRPr="00AC1A00">
              <w:rPr>
                <w:b/>
                <w:bCs/>
                <w:rtl/>
              </w:rPr>
              <w:t xml:space="preserve"> </w:t>
            </w:r>
            <w:r w:rsidRPr="00AC1A00">
              <w:rPr>
                <w:rFonts w:hint="eastAsia"/>
                <w:b/>
                <w:bCs/>
                <w:rtl/>
              </w:rPr>
              <w:t>לפי</w:t>
            </w:r>
            <w:r w:rsidRPr="00AC1A00">
              <w:rPr>
                <w:b/>
                <w:bCs/>
                <w:rtl/>
              </w:rPr>
              <w:t xml:space="preserve"> </w:t>
            </w:r>
            <w:r w:rsidRPr="00AC1A00">
              <w:rPr>
                <w:rFonts w:hint="eastAsia"/>
                <w:b/>
                <w:bCs/>
                <w:rtl/>
              </w:rPr>
              <w:t>הוראות</w:t>
            </w:r>
            <w:r w:rsidRPr="00AC1A00">
              <w:rPr>
                <w:b/>
                <w:bCs/>
                <w:rtl/>
              </w:rPr>
              <w:t xml:space="preserve"> </w:t>
            </w:r>
            <w:r w:rsidRPr="00AC1A00">
              <w:rPr>
                <w:rFonts w:hint="eastAsia"/>
                <w:b/>
                <w:bCs/>
                <w:rtl/>
              </w:rPr>
              <w:t>המפקח</w:t>
            </w:r>
            <w:r w:rsidRPr="00AC1A00">
              <w:rPr>
                <w:b/>
                <w:bCs/>
                <w:rtl/>
              </w:rPr>
              <w:t xml:space="preserve"> </w:t>
            </w:r>
            <w:r w:rsidRPr="00AC1A00">
              <w:rPr>
                <w:rFonts w:hint="eastAsia"/>
                <w:b/>
                <w:bCs/>
                <w:rtl/>
              </w:rPr>
              <w:t>על</w:t>
            </w:r>
            <w:r w:rsidRPr="00AC1A00">
              <w:rPr>
                <w:b/>
                <w:bCs/>
                <w:rtl/>
              </w:rPr>
              <w:t xml:space="preserve"> </w:t>
            </w:r>
            <w:r w:rsidRPr="00AC1A00">
              <w:rPr>
                <w:rFonts w:hint="eastAsia"/>
                <w:b/>
                <w:bCs/>
                <w:rtl/>
              </w:rPr>
              <w:t>הבנקים</w:t>
            </w:r>
            <w:r w:rsidRPr="00FE3C51">
              <w:rPr>
                <w:rFonts w:hint="cs"/>
                <w:vertAlign w:val="superscript"/>
                <w:rtl/>
              </w:rPr>
              <w:t>(א)</w:t>
            </w:r>
            <w:r w:rsidRPr="00AC1A00">
              <w:rPr>
                <w:b/>
                <w:bCs/>
                <w:rtl/>
              </w:rPr>
              <w:t>:</w:t>
            </w:r>
          </w:p>
        </w:tc>
        <w:tc>
          <w:tcPr>
            <w:tcW w:w="643" w:type="pct"/>
            <w:gridSpan w:val="2"/>
          </w:tcPr>
          <w:p w14:paraId="4514CC57" w14:textId="77777777" w:rsidR="00820863" w:rsidRDefault="00820863" w:rsidP="00BE1387">
            <w:pPr>
              <w:pStyle w:val="-10"/>
              <w:spacing w:before="40" w:after="0" w:line="312" w:lineRule="auto"/>
              <w:ind w:left="300" w:hanging="300"/>
              <w:rPr>
                <w:b/>
                <w:bCs/>
                <w:rtl/>
              </w:rPr>
            </w:pPr>
          </w:p>
        </w:tc>
        <w:tc>
          <w:tcPr>
            <w:tcW w:w="120" w:type="pct"/>
          </w:tcPr>
          <w:p w14:paraId="35279DEF" w14:textId="63EE3930" w:rsidR="00820863" w:rsidRDefault="00820863" w:rsidP="00BE1387">
            <w:pPr>
              <w:pStyle w:val="-10"/>
              <w:spacing w:before="40" w:after="0" w:line="312" w:lineRule="auto"/>
              <w:ind w:left="300" w:hanging="300"/>
              <w:rPr>
                <w:b/>
                <w:bCs/>
                <w:rtl/>
              </w:rPr>
            </w:pPr>
          </w:p>
        </w:tc>
      </w:tr>
      <w:tr w:rsidR="00AA03E2" w:rsidRPr="00AC1A00" w14:paraId="166422C9" w14:textId="77777777" w:rsidTr="00F011BA">
        <w:tblPrEx>
          <w:tblLook w:val="01E0" w:firstRow="1" w:lastRow="1" w:firstColumn="1" w:lastColumn="1" w:noHBand="0" w:noVBand="0"/>
        </w:tblPrEx>
        <w:trPr>
          <w:trHeight w:val="283"/>
        </w:trPr>
        <w:tc>
          <w:tcPr>
            <w:tcW w:w="570" w:type="pct"/>
          </w:tcPr>
          <w:p w14:paraId="0B24999D" w14:textId="77777777" w:rsidR="00AA03E2" w:rsidRPr="00D31A9D" w:rsidRDefault="00AA03E2" w:rsidP="00820863">
            <w:pPr>
              <w:jc w:val="left"/>
              <w:rPr>
                <w:b/>
                <w:bCs/>
                <w:sz w:val="14"/>
                <w:szCs w:val="14"/>
                <w:rtl/>
              </w:rPr>
            </w:pPr>
          </w:p>
        </w:tc>
        <w:tc>
          <w:tcPr>
            <w:tcW w:w="124" w:type="pct"/>
            <w:tcBorders>
              <w:left w:val="nil"/>
            </w:tcBorders>
            <w:vAlign w:val="bottom"/>
          </w:tcPr>
          <w:p w14:paraId="1625D01D" w14:textId="77777777" w:rsidR="00AA03E2" w:rsidRPr="00AC1A00" w:rsidRDefault="00AA03E2" w:rsidP="00820863">
            <w:pPr>
              <w:spacing w:line="240" w:lineRule="exact"/>
              <w:jc w:val="left"/>
              <w:rPr>
                <w:b/>
                <w:bCs/>
                <w:rtl/>
              </w:rPr>
            </w:pPr>
          </w:p>
        </w:tc>
        <w:tc>
          <w:tcPr>
            <w:tcW w:w="2596" w:type="pct"/>
            <w:vAlign w:val="bottom"/>
          </w:tcPr>
          <w:p w14:paraId="43ADA53A" w14:textId="77777777" w:rsidR="00AA03E2" w:rsidRPr="00AA03E2" w:rsidRDefault="00AA03E2" w:rsidP="00820863">
            <w:pPr>
              <w:spacing w:line="240" w:lineRule="exact"/>
              <w:ind w:left="392" w:hanging="392"/>
              <w:jc w:val="left"/>
              <w:rPr>
                <w:b/>
                <w:bCs/>
                <w:color w:val="000000"/>
                <w:sz w:val="18"/>
                <w:szCs w:val="18"/>
                <w:rtl/>
                <w:lang w:eastAsia="he-IL"/>
              </w:rPr>
            </w:pPr>
          </w:p>
        </w:tc>
        <w:tc>
          <w:tcPr>
            <w:tcW w:w="998" w:type="pct"/>
            <w:gridSpan w:val="3"/>
            <w:vAlign w:val="center"/>
          </w:tcPr>
          <w:p w14:paraId="3D46234A" w14:textId="77777777" w:rsidR="00AA03E2" w:rsidRPr="00AA03E2" w:rsidRDefault="00AA03E2" w:rsidP="00AA03E2">
            <w:pPr>
              <w:pBdr>
                <w:bottom w:val="single" w:sz="4" w:space="1" w:color="auto"/>
              </w:pBdr>
              <w:spacing w:line="216" w:lineRule="auto"/>
              <w:jc w:val="center"/>
              <w:rPr>
                <w:b/>
                <w:bCs/>
                <w:sz w:val="18"/>
                <w:szCs w:val="18"/>
                <w:rtl/>
              </w:rPr>
            </w:pPr>
          </w:p>
          <w:p w14:paraId="17558805" w14:textId="08B82C63" w:rsidR="00AA03E2" w:rsidRPr="00AA03E2" w:rsidRDefault="00AA03E2" w:rsidP="00AA03E2">
            <w:pPr>
              <w:pBdr>
                <w:bottom w:val="single" w:sz="4" w:space="1" w:color="auto"/>
              </w:pBdr>
              <w:spacing w:line="216" w:lineRule="auto"/>
              <w:jc w:val="center"/>
              <w:rPr>
                <w:b/>
                <w:bCs/>
                <w:sz w:val="18"/>
                <w:szCs w:val="18"/>
                <w:rtl/>
              </w:rPr>
            </w:pPr>
            <w:r w:rsidRPr="00AA03E2">
              <w:rPr>
                <w:rFonts w:hint="cs"/>
                <w:b/>
                <w:bCs/>
                <w:sz w:val="18"/>
                <w:szCs w:val="18"/>
                <w:rtl/>
              </w:rPr>
              <w:t>ליום 30 ביוני</w:t>
            </w:r>
          </w:p>
        </w:tc>
        <w:tc>
          <w:tcPr>
            <w:tcW w:w="712" w:type="pct"/>
            <w:gridSpan w:val="2"/>
            <w:vAlign w:val="center"/>
          </w:tcPr>
          <w:p w14:paraId="77A880DA" w14:textId="49F000A5" w:rsidR="00AA03E2" w:rsidRPr="00AA03E2" w:rsidRDefault="00AA03E2" w:rsidP="00AA03E2">
            <w:pPr>
              <w:pBdr>
                <w:bottom w:val="single" w:sz="4" w:space="1" w:color="auto"/>
              </w:pBdr>
              <w:spacing w:line="216" w:lineRule="auto"/>
              <w:jc w:val="center"/>
              <w:rPr>
                <w:b/>
                <w:bCs/>
                <w:sz w:val="18"/>
                <w:szCs w:val="18"/>
                <w:rtl/>
              </w:rPr>
            </w:pPr>
            <w:r w:rsidRPr="00AA03E2">
              <w:rPr>
                <w:rFonts w:hint="cs"/>
                <w:b/>
                <w:bCs/>
                <w:sz w:val="18"/>
                <w:szCs w:val="18"/>
                <w:rtl/>
              </w:rPr>
              <w:t>ליום 31 בדצמבר</w:t>
            </w:r>
          </w:p>
        </w:tc>
      </w:tr>
      <w:tr w:rsidR="00AA03E2" w:rsidRPr="00AC1A00" w14:paraId="2FD58072" w14:textId="77777777" w:rsidTr="00F011BA">
        <w:tblPrEx>
          <w:tblLook w:val="01E0" w:firstRow="1" w:lastRow="1" w:firstColumn="1" w:lastColumn="1" w:noHBand="0" w:noVBand="0"/>
        </w:tblPrEx>
        <w:trPr>
          <w:trHeight w:val="283"/>
        </w:trPr>
        <w:tc>
          <w:tcPr>
            <w:tcW w:w="570" w:type="pct"/>
          </w:tcPr>
          <w:p w14:paraId="51E00347" w14:textId="77777777" w:rsidR="00AA03E2" w:rsidRPr="00D31A9D" w:rsidRDefault="00AA03E2" w:rsidP="00820863">
            <w:pPr>
              <w:jc w:val="left"/>
              <w:rPr>
                <w:b/>
                <w:bCs/>
                <w:sz w:val="14"/>
                <w:szCs w:val="14"/>
                <w:rtl/>
              </w:rPr>
            </w:pPr>
          </w:p>
        </w:tc>
        <w:tc>
          <w:tcPr>
            <w:tcW w:w="124" w:type="pct"/>
            <w:tcBorders>
              <w:left w:val="nil"/>
            </w:tcBorders>
            <w:vAlign w:val="bottom"/>
          </w:tcPr>
          <w:p w14:paraId="19EAA45F" w14:textId="77777777" w:rsidR="00AA03E2" w:rsidRPr="00AC1A00" w:rsidRDefault="00AA03E2" w:rsidP="00820863">
            <w:pPr>
              <w:spacing w:line="240" w:lineRule="exact"/>
              <w:jc w:val="left"/>
              <w:rPr>
                <w:b/>
                <w:bCs/>
                <w:rtl/>
              </w:rPr>
            </w:pPr>
          </w:p>
        </w:tc>
        <w:tc>
          <w:tcPr>
            <w:tcW w:w="2596" w:type="pct"/>
            <w:vAlign w:val="bottom"/>
          </w:tcPr>
          <w:p w14:paraId="59B0815D" w14:textId="77777777" w:rsidR="00AA03E2" w:rsidRPr="00AA03E2" w:rsidRDefault="00AA03E2" w:rsidP="00820863">
            <w:pPr>
              <w:spacing w:line="240" w:lineRule="exact"/>
              <w:ind w:left="392" w:hanging="392"/>
              <w:jc w:val="left"/>
              <w:rPr>
                <w:b/>
                <w:bCs/>
                <w:color w:val="000000"/>
                <w:sz w:val="18"/>
                <w:szCs w:val="18"/>
                <w:rtl/>
                <w:lang w:eastAsia="he-IL"/>
              </w:rPr>
            </w:pPr>
          </w:p>
        </w:tc>
        <w:tc>
          <w:tcPr>
            <w:tcW w:w="998" w:type="pct"/>
            <w:gridSpan w:val="3"/>
            <w:vAlign w:val="center"/>
          </w:tcPr>
          <w:p w14:paraId="635FB71B" w14:textId="17977404" w:rsidR="00AA03E2" w:rsidRPr="00AA03E2" w:rsidRDefault="00AA03E2" w:rsidP="00AA03E2">
            <w:pPr>
              <w:pBdr>
                <w:bottom w:val="single" w:sz="4" w:space="1" w:color="auto"/>
              </w:pBdr>
              <w:spacing w:line="216" w:lineRule="auto"/>
              <w:jc w:val="center"/>
              <w:rPr>
                <w:b/>
                <w:bCs/>
                <w:sz w:val="18"/>
                <w:szCs w:val="18"/>
                <w:rtl/>
              </w:rPr>
            </w:pPr>
            <w:r w:rsidRPr="00AA03E2">
              <w:rPr>
                <w:rFonts w:hint="cs"/>
                <w:b/>
                <w:bCs/>
                <w:sz w:val="18"/>
                <w:szCs w:val="18"/>
                <w:rtl/>
              </w:rPr>
              <w:t>בלתי מבוקר</w:t>
            </w:r>
          </w:p>
        </w:tc>
        <w:tc>
          <w:tcPr>
            <w:tcW w:w="712" w:type="pct"/>
            <w:gridSpan w:val="2"/>
            <w:vAlign w:val="center"/>
          </w:tcPr>
          <w:p w14:paraId="6A007D58" w14:textId="538ABC9B" w:rsidR="00AA03E2" w:rsidRPr="00AA03E2" w:rsidRDefault="00AA03E2" w:rsidP="00AA03E2">
            <w:pPr>
              <w:pBdr>
                <w:bottom w:val="single" w:sz="4" w:space="1" w:color="auto"/>
              </w:pBdr>
              <w:spacing w:line="216" w:lineRule="auto"/>
              <w:jc w:val="center"/>
              <w:rPr>
                <w:b/>
                <w:bCs/>
                <w:sz w:val="18"/>
                <w:szCs w:val="18"/>
                <w:rtl/>
              </w:rPr>
            </w:pPr>
            <w:r w:rsidRPr="00AA03E2">
              <w:rPr>
                <w:rFonts w:hint="cs"/>
                <w:b/>
                <w:bCs/>
                <w:sz w:val="18"/>
                <w:szCs w:val="18"/>
                <w:rtl/>
              </w:rPr>
              <w:t>מבוקר</w:t>
            </w:r>
          </w:p>
        </w:tc>
      </w:tr>
      <w:tr w:rsidR="00820863" w:rsidRPr="00AC1A00" w14:paraId="4889D385" w14:textId="77777777" w:rsidTr="00F011BA">
        <w:tblPrEx>
          <w:tblLook w:val="01E0" w:firstRow="1" w:lastRow="1" w:firstColumn="1" w:lastColumn="1" w:noHBand="0" w:noVBand="0"/>
        </w:tblPrEx>
        <w:trPr>
          <w:trHeight w:val="283"/>
        </w:trPr>
        <w:tc>
          <w:tcPr>
            <w:tcW w:w="570" w:type="pct"/>
          </w:tcPr>
          <w:p w14:paraId="1A97289A" w14:textId="77777777" w:rsidR="00820863" w:rsidRPr="00AC1A00" w:rsidRDefault="00820863" w:rsidP="00820863">
            <w:pPr>
              <w:spacing w:line="240" w:lineRule="exact"/>
              <w:jc w:val="left"/>
              <w:rPr>
                <w:b/>
                <w:bCs/>
                <w:rtl/>
              </w:rPr>
            </w:pPr>
          </w:p>
        </w:tc>
        <w:tc>
          <w:tcPr>
            <w:tcW w:w="124" w:type="pct"/>
            <w:tcBorders>
              <w:left w:val="nil"/>
            </w:tcBorders>
            <w:vAlign w:val="bottom"/>
          </w:tcPr>
          <w:p w14:paraId="33FD5C89" w14:textId="77777777" w:rsidR="00820863" w:rsidRPr="00AC1A00" w:rsidRDefault="00820863" w:rsidP="00820863">
            <w:pPr>
              <w:spacing w:line="240" w:lineRule="exact"/>
              <w:jc w:val="left"/>
              <w:rPr>
                <w:b/>
                <w:bCs/>
                <w:rtl/>
              </w:rPr>
            </w:pPr>
          </w:p>
        </w:tc>
        <w:tc>
          <w:tcPr>
            <w:tcW w:w="2596" w:type="pct"/>
            <w:vAlign w:val="bottom"/>
          </w:tcPr>
          <w:p w14:paraId="19D3BD47" w14:textId="77777777" w:rsidR="00820863" w:rsidRPr="00AA03E2" w:rsidRDefault="00820863" w:rsidP="00820863">
            <w:pPr>
              <w:spacing w:line="240" w:lineRule="exact"/>
              <w:ind w:left="392" w:hanging="392"/>
              <w:jc w:val="left"/>
              <w:rPr>
                <w:b/>
                <w:bCs/>
                <w:color w:val="000000"/>
                <w:sz w:val="18"/>
                <w:szCs w:val="18"/>
                <w:rtl/>
                <w:lang w:eastAsia="he-IL"/>
              </w:rPr>
            </w:pPr>
          </w:p>
        </w:tc>
        <w:tc>
          <w:tcPr>
            <w:tcW w:w="428" w:type="pct"/>
            <w:gridSpan w:val="2"/>
            <w:vAlign w:val="center"/>
          </w:tcPr>
          <w:p w14:paraId="7B158DEB" w14:textId="39FB12FC" w:rsidR="00820863" w:rsidRPr="00AA03E2" w:rsidRDefault="00820863" w:rsidP="00AA03E2">
            <w:pPr>
              <w:pBdr>
                <w:bottom w:val="single" w:sz="4" w:space="1" w:color="auto"/>
              </w:pBdr>
              <w:spacing w:line="216" w:lineRule="auto"/>
              <w:jc w:val="center"/>
              <w:rPr>
                <w:b/>
                <w:bCs/>
                <w:sz w:val="18"/>
                <w:szCs w:val="18"/>
                <w:rtl/>
              </w:rPr>
            </w:pPr>
            <w:r w:rsidRPr="00AA03E2">
              <w:rPr>
                <w:b/>
                <w:bCs/>
                <w:sz w:val="18"/>
                <w:szCs w:val="18"/>
                <w:rtl/>
              </w:rPr>
              <w:fldChar w:fldCharType="begin"/>
            </w:r>
            <w:r w:rsidRPr="00AA03E2">
              <w:rPr>
                <w:b/>
                <w:bCs/>
                <w:sz w:val="18"/>
                <w:szCs w:val="18"/>
                <w:rtl/>
              </w:rPr>
              <w:instrText xml:space="preserve"> </w:instrText>
            </w:r>
            <w:r w:rsidRPr="00AA03E2">
              <w:rPr>
                <w:rFonts w:hint="cs"/>
                <w:b/>
                <w:bCs/>
                <w:sz w:val="18"/>
                <w:szCs w:val="18"/>
                <w:rtl/>
              </w:rPr>
              <w:instrText xml:space="preserve">= </w:instrText>
            </w:r>
            <w:r w:rsidRPr="00AA03E2">
              <w:rPr>
                <w:rFonts w:hint="cs"/>
                <w:b/>
                <w:bCs/>
                <w:sz w:val="18"/>
                <w:szCs w:val="18"/>
              </w:rPr>
              <w:instrText>CY \* MERGEFORMAT</w:instrText>
            </w:r>
            <w:r w:rsidRPr="00AA03E2">
              <w:rPr>
                <w:b/>
                <w:bCs/>
                <w:sz w:val="18"/>
                <w:szCs w:val="18"/>
                <w:rtl/>
              </w:rPr>
              <w:instrText xml:space="preserve"> </w:instrText>
            </w:r>
            <w:r w:rsidRPr="00AA03E2">
              <w:rPr>
                <w:b/>
                <w:bCs/>
                <w:sz w:val="18"/>
                <w:szCs w:val="18"/>
                <w:rtl/>
              </w:rPr>
              <w:fldChar w:fldCharType="separate"/>
            </w:r>
            <w:r w:rsidR="003A584F">
              <w:rPr>
                <w:b/>
                <w:bCs/>
                <w:noProof/>
                <w:sz w:val="18"/>
                <w:szCs w:val="18"/>
                <w:rtl/>
              </w:rPr>
              <w:t>2024</w:t>
            </w:r>
            <w:r w:rsidRPr="00AA03E2">
              <w:rPr>
                <w:b/>
                <w:bCs/>
                <w:sz w:val="18"/>
                <w:szCs w:val="18"/>
                <w:rtl/>
              </w:rPr>
              <w:fldChar w:fldCharType="end"/>
            </w:r>
          </w:p>
        </w:tc>
        <w:tc>
          <w:tcPr>
            <w:tcW w:w="569" w:type="pct"/>
            <w:vAlign w:val="center"/>
          </w:tcPr>
          <w:p w14:paraId="5F294C12" w14:textId="4DB10FBC" w:rsidR="00820863" w:rsidRPr="00AA03E2" w:rsidRDefault="00820863" w:rsidP="00AA03E2">
            <w:pPr>
              <w:pBdr>
                <w:bottom w:val="single" w:sz="4" w:space="1" w:color="auto"/>
              </w:pBdr>
              <w:spacing w:line="216" w:lineRule="auto"/>
              <w:jc w:val="center"/>
              <w:rPr>
                <w:b/>
                <w:bCs/>
                <w:sz w:val="18"/>
                <w:szCs w:val="18"/>
                <w:rtl/>
              </w:rPr>
            </w:pPr>
            <w:r w:rsidRPr="00AA03E2">
              <w:rPr>
                <w:b/>
                <w:bCs/>
                <w:sz w:val="18"/>
                <w:szCs w:val="18"/>
                <w:rtl/>
              </w:rPr>
              <w:fldChar w:fldCharType="begin"/>
            </w:r>
            <w:r w:rsidRPr="00AA03E2">
              <w:rPr>
                <w:b/>
                <w:bCs/>
                <w:sz w:val="18"/>
                <w:szCs w:val="18"/>
                <w:rtl/>
              </w:rPr>
              <w:instrText xml:space="preserve"> </w:instrText>
            </w:r>
            <w:r w:rsidRPr="00AA03E2">
              <w:rPr>
                <w:rFonts w:hint="cs"/>
                <w:b/>
                <w:bCs/>
                <w:sz w:val="18"/>
                <w:szCs w:val="18"/>
                <w:rtl/>
              </w:rPr>
              <w:instrText xml:space="preserve">= </w:instrText>
            </w:r>
            <w:r w:rsidRPr="00AA03E2">
              <w:rPr>
                <w:rFonts w:hint="cs"/>
                <w:b/>
                <w:bCs/>
                <w:sz w:val="18"/>
                <w:szCs w:val="18"/>
              </w:rPr>
              <w:instrText>CY</w:instrText>
            </w:r>
            <w:r w:rsidRPr="00AA03E2">
              <w:rPr>
                <w:b/>
                <w:bCs/>
                <w:sz w:val="18"/>
                <w:szCs w:val="18"/>
              </w:rPr>
              <w:instrText>-1</w:instrText>
            </w:r>
            <w:r w:rsidRPr="00AA03E2">
              <w:rPr>
                <w:rFonts w:hint="cs"/>
                <w:b/>
                <w:bCs/>
                <w:sz w:val="18"/>
                <w:szCs w:val="18"/>
              </w:rPr>
              <w:instrText xml:space="preserve"> \* MERGEFORMAT</w:instrText>
            </w:r>
            <w:r w:rsidRPr="00AA03E2">
              <w:rPr>
                <w:b/>
                <w:bCs/>
                <w:sz w:val="18"/>
                <w:szCs w:val="18"/>
                <w:rtl/>
              </w:rPr>
              <w:instrText xml:space="preserve"> </w:instrText>
            </w:r>
            <w:r w:rsidRPr="00AA03E2">
              <w:rPr>
                <w:b/>
                <w:bCs/>
                <w:sz w:val="18"/>
                <w:szCs w:val="18"/>
                <w:rtl/>
              </w:rPr>
              <w:fldChar w:fldCharType="separate"/>
            </w:r>
            <w:r w:rsidR="003A584F">
              <w:rPr>
                <w:b/>
                <w:bCs/>
                <w:noProof/>
                <w:sz w:val="18"/>
                <w:szCs w:val="18"/>
                <w:rtl/>
              </w:rPr>
              <w:t>2023</w:t>
            </w:r>
            <w:r w:rsidRPr="00AA03E2">
              <w:rPr>
                <w:b/>
                <w:bCs/>
                <w:sz w:val="18"/>
                <w:szCs w:val="18"/>
                <w:rtl/>
              </w:rPr>
              <w:fldChar w:fldCharType="end"/>
            </w:r>
          </w:p>
        </w:tc>
        <w:tc>
          <w:tcPr>
            <w:tcW w:w="712" w:type="pct"/>
            <w:gridSpan w:val="2"/>
            <w:vAlign w:val="center"/>
          </w:tcPr>
          <w:p w14:paraId="075AFC33" w14:textId="79E0BAC7" w:rsidR="00820863" w:rsidRPr="00AA03E2" w:rsidRDefault="00820863" w:rsidP="00AA03E2">
            <w:pPr>
              <w:pBdr>
                <w:bottom w:val="single" w:sz="4" w:space="1" w:color="auto"/>
              </w:pBdr>
              <w:spacing w:line="216" w:lineRule="auto"/>
              <w:jc w:val="center"/>
              <w:rPr>
                <w:b/>
                <w:bCs/>
                <w:sz w:val="18"/>
                <w:szCs w:val="18"/>
                <w:rtl/>
              </w:rPr>
            </w:pPr>
            <w:r w:rsidRPr="00AA03E2">
              <w:rPr>
                <w:b/>
                <w:bCs/>
                <w:sz w:val="18"/>
                <w:szCs w:val="18"/>
                <w:rtl/>
              </w:rPr>
              <w:fldChar w:fldCharType="begin"/>
            </w:r>
            <w:r w:rsidRPr="00AA03E2">
              <w:rPr>
                <w:b/>
                <w:bCs/>
                <w:sz w:val="18"/>
                <w:szCs w:val="18"/>
                <w:rtl/>
              </w:rPr>
              <w:instrText xml:space="preserve"> </w:instrText>
            </w:r>
            <w:r w:rsidRPr="00AA03E2">
              <w:rPr>
                <w:rFonts w:hint="cs"/>
                <w:b/>
                <w:bCs/>
                <w:sz w:val="18"/>
                <w:szCs w:val="18"/>
                <w:rtl/>
              </w:rPr>
              <w:instrText xml:space="preserve">= </w:instrText>
            </w:r>
            <w:r w:rsidRPr="00AA03E2">
              <w:rPr>
                <w:rFonts w:hint="cs"/>
                <w:b/>
                <w:bCs/>
                <w:sz w:val="18"/>
                <w:szCs w:val="18"/>
              </w:rPr>
              <w:instrText>CY-1 \* MERGEFORMAT</w:instrText>
            </w:r>
            <w:r w:rsidRPr="00AA03E2">
              <w:rPr>
                <w:b/>
                <w:bCs/>
                <w:sz w:val="18"/>
                <w:szCs w:val="18"/>
                <w:rtl/>
              </w:rPr>
              <w:instrText xml:space="preserve"> </w:instrText>
            </w:r>
            <w:r w:rsidRPr="00AA03E2">
              <w:rPr>
                <w:b/>
                <w:bCs/>
                <w:sz w:val="18"/>
                <w:szCs w:val="18"/>
                <w:rtl/>
              </w:rPr>
              <w:fldChar w:fldCharType="separate"/>
            </w:r>
            <w:r w:rsidR="003A584F">
              <w:rPr>
                <w:b/>
                <w:bCs/>
                <w:noProof/>
                <w:sz w:val="18"/>
                <w:szCs w:val="18"/>
                <w:rtl/>
              </w:rPr>
              <w:t>2023</w:t>
            </w:r>
            <w:r w:rsidRPr="00AA03E2">
              <w:rPr>
                <w:b/>
                <w:bCs/>
                <w:sz w:val="18"/>
                <w:szCs w:val="18"/>
                <w:rtl/>
              </w:rPr>
              <w:fldChar w:fldCharType="end"/>
            </w:r>
          </w:p>
        </w:tc>
      </w:tr>
      <w:tr w:rsidR="00820863" w:rsidRPr="00AC1A00" w14:paraId="4A414683" w14:textId="77777777" w:rsidTr="00F011BA">
        <w:tblPrEx>
          <w:tblLook w:val="01E0" w:firstRow="1" w:lastRow="1" w:firstColumn="1" w:lastColumn="1" w:noHBand="0" w:noVBand="0"/>
        </w:tblPrEx>
        <w:trPr>
          <w:trHeight w:val="283"/>
        </w:trPr>
        <w:tc>
          <w:tcPr>
            <w:tcW w:w="570" w:type="pct"/>
          </w:tcPr>
          <w:p w14:paraId="6A84687C" w14:textId="77777777" w:rsidR="00820863" w:rsidRPr="00AC1A00" w:rsidRDefault="00820863" w:rsidP="00BE1387">
            <w:pPr>
              <w:spacing w:line="241" w:lineRule="auto"/>
              <w:jc w:val="left"/>
              <w:rPr>
                <w:rtl/>
              </w:rPr>
            </w:pPr>
          </w:p>
        </w:tc>
        <w:tc>
          <w:tcPr>
            <w:tcW w:w="124" w:type="pct"/>
            <w:tcBorders>
              <w:left w:val="nil"/>
            </w:tcBorders>
            <w:vAlign w:val="bottom"/>
          </w:tcPr>
          <w:p w14:paraId="74A94EB6" w14:textId="77777777" w:rsidR="00820863" w:rsidRPr="00AC1A00" w:rsidRDefault="00820863" w:rsidP="00BE1387">
            <w:pPr>
              <w:spacing w:line="241" w:lineRule="auto"/>
              <w:jc w:val="left"/>
              <w:rPr>
                <w:rtl/>
              </w:rPr>
            </w:pPr>
          </w:p>
        </w:tc>
        <w:tc>
          <w:tcPr>
            <w:tcW w:w="2596" w:type="pct"/>
            <w:vAlign w:val="bottom"/>
          </w:tcPr>
          <w:p w14:paraId="1E3D8B03" w14:textId="77777777" w:rsidR="00820863" w:rsidRPr="00AA03E2" w:rsidRDefault="00820863" w:rsidP="00BE1387">
            <w:pPr>
              <w:ind w:left="392" w:hanging="392"/>
              <w:jc w:val="left"/>
              <w:rPr>
                <w:b/>
                <w:bCs/>
                <w:color w:val="000000"/>
                <w:sz w:val="18"/>
                <w:szCs w:val="18"/>
                <w:rtl/>
                <w:lang w:eastAsia="he-IL"/>
              </w:rPr>
            </w:pPr>
          </w:p>
        </w:tc>
        <w:tc>
          <w:tcPr>
            <w:tcW w:w="1710" w:type="pct"/>
            <w:gridSpan w:val="5"/>
          </w:tcPr>
          <w:p w14:paraId="3A0AC556" w14:textId="4E582EAC" w:rsidR="00820863" w:rsidRPr="00AA03E2" w:rsidRDefault="00820863" w:rsidP="00AA03E2">
            <w:pPr>
              <w:pBdr>
                <w:bottom w:val="single" w:sz="4" w:space="1" w:color="auto"/>
              </w:pBdr>
              <w:spacing w:line="192" w:lineRule="auto"/>
              <w:jc w:val="center"/>
              <w:rPr>
                <w:sz w:val="18"/>
                <w:szCs w:val="18"/>
                <w:rtl/>
              </w:rPr>
            </w:pPr>
            <w:r w:rsidRPr="00AA03E2">
              <w:rPr>
                <w:rFonts w:hint="cs"/>
                <w:b/>
                <w:bCs/>
                <w:sz w:val="18"/>
                <w:szCs w:val="18"/>
                <w:rtl/>
              </w:rPr>
              <w:t>באחוזים</w:t>
            </w:r>
          </w:p>
        </w:tc>
      </w:tr>
      <w:tr w:rsidR="00820863" w:rsidRPr="00AC1A00" w14:paraId="3CD060FE" w14:textId="77777777" w:rsidTr="00F011BA">
        <w:tblPrEx>
          <w:tblLook w:val="01E0" w:firstRow="1" w:lastRow="1" w:firstColumn="1" w:lastColumn="1" w:noHBand="0" w:noVBand="0"/>
        </w:tblPrEx>
        <w:trPr>
          <w:trHeight w:val="283"/>
        </w:trPr>
        <w:tc>
          <w:tcPr>
            <w:tcW w:w="570" w:type="pct"/>
          </w:tcPr>
          <w:p w14:paraId="453AFA5D" w14:textId="77777777" w:rsidR="00820863" w:rsidRPr="00AC1A00" w:rsidRDefault="00820863" w:rsidP="00BE1387">
            <w:pPr>
              <w:spacing w:line="241" w:lineRule="auto"/>
              <w:jc w:val="left"/>
              <w:rPr>
                <w:rtl/>
              </w:rPr>
            </w:pPr>
          </w:p>
        </w:tc>
        <w:tc>
          <w:tcPr>
            <w:tcW w:w="124" w:type="pct"/>
            <w:tcBorders>
              <w:left w:val="nil"/>
            </w:tcBorders>
            <w:vAlign w:val="bottom"/>
          </w:tcPr>
          <w:p w14:paraId="02A39569" w14:textId="77777777" w:rsidR="00820863" w:rsidRPr="00AC1A00" w:rsidRDefault="00820863" w:rsidP="00BE1387">
            <w:pPr>
              <w:spacing w:line="241" w:lineRule="auto"/>
              <w:jc w:val="left"/>
              <w:rPr>
                <w:rtl/>
              </w:rPr>
            </w:pPr>
          </w:p>
        </w:tc>
        <w:tc>
          <w:tcPr>
            <w:tcW w:w="2596" w:type="pct"/>
            <w:vAlign w:val="bottom"/>
          </w:tcPr>
          <w:p w14:paraId="58A78588" w14:textId="77777777" w:rsidR="00820863" w:rsidRPr="00AA03E2" w:rsidRDefault="00820863" w:rsidP="005A25AC">
            <w:pPr>
              <w:pStyle w:val="-0"/>
              <w:spacing w:line="240" w:lineRule="auto"/>
              <w:ind w:left="279" w:hanging="279"/>
              <w:rPr>
                <w:b/>
                <w:bCs/>
                <w:sz w:val="18"/>
                <w:szCs w:val="18"/>
                <w:rtl/>
              </w:rPr>
            </w:pPr>
            <w:r w:rsidRPr="00AA03E2">
              <w:rPr>
                <w:rFonts w:hint="eastAsia"/>
                <w:b/>
                <w:bCs/>
                <w:sz w:val="18"/>
                <w:szCs w:val="18"/>
                <w:rtl/>
              </w:rPr>
              <w:t>א</w:t>
            </w:r>
            <w:r w:rsidRPr="00AA03E2">
              <w:rPr>
                <w:b/>
                <w:bCs/>
                <w:sz w:val="18"/>
                <w:szCs w:val="18"/>
                <w:rtl/>
              </w:rPr>
              <w:t>.</w:t>
            </w:r>
            <w:r w:rsidRPr="00AA03E2">
              <w:rPr>
                <w:b/>
                <w:bCs/>
                <w:sz w:val="18"/>
                <w:szCs w:val="18"/>
                <w:rtl/>
              </w:rPr>
              <w:tab/>
            </w:r>
            <w:r w:rsidRPr="00AA03E2">
              <w:rPr>
                <w:rFonts w:hint="eastAsia"/>
                <w:b/>
                <w:bCs/>
                <w:sz w:val="18"/>
                <w:szCs w:val="18"/>
                <w:rtl/>
              </w:rPr>
              <w:t>בנתוני</w:t>
            </w:r>
            <w:r w:rsidRPr="00AA03E2">
              <w:rPr>
                <w:b/>
                <w:bCs/>
                <w:sz w:val="18"/>
                <w:szCs w:val="18"/>
                <w:rtl/>
              </w:rPr>
              <w:t xml:space="preserve"> </w:t>
            </w:r>
            <w:r w:rsidRPr="00AA03E2">
              <w:rPr>
                <w:rFonts w:hint="eastAsia"/>
                <w:b/>
                <w:bCs/>
                <w:sz w:val="18"/>
                <w:szCs w:val="18"/>
                <w:rtl/>
              </w:rPr>
              <w:t>המאוחד</w:t>
            </w:r>
            <w:r w:rsidRPr="00AA03E2">
              <w:rPr>
                <w:rFonts w:hint="cs"/>
                <w:b/>
                <w:bCs/>
                <w:sz w:val="18"/>
                <w:szCs w:val="18"/>
                <w:rtl/>
              </w:rPr>
              <w:t>:</w:t>
            </w:r>
          </w:p>
        </w:tc>
        <w:tc>
          <w:tcPr>
            <w:tcW w:w="428" w:type="pct"/>
            <w:gridSpan w:val="2"/>
            <w:vAlign w:val="bottom"/>
          </w:tcPr>
          <w:p w14:paraId="0640CA3F" w14:textId="77777777" w:rsidR="00820863" w:rsidRPr="00AA03E2" w:rsidRDefault="00820863" w:rsidP="00BE1387">
            <w:pPr>
              <w:spacing w:line="241" w:lineRule="auto"/>
              <w:jc w:val="left"/>
              <w:rPr>
                <w:sz w:val="18"/>
                <w:szCs w:val="18"/>
                <w:rtl/>
              </w:rPr>
            </w:pPr>
          </w:p>
        </w:tc>
        <w:tc>
          <w:tcPr>
            <w:tcW w:w="569" w:type="pct"/>
          </w:tcPr>
          <w:p w14:paraId="266F1E87" w14:textId="77777777" w:rsidR="00820863" w:rsidRPr="00AA03E2" w:rsidRDefault="00820863" w:rsidP="00BE1387">
            <w:pPr>
              <w:spacing w:line="241" w:lineRule="auto"/>
              <w:jc w:val="left"/>
              <w:rPr>
                <w:sz w:val="18"/>
                <w:szCs w:val="18"/>
                <w:rtl/>
              </w:rPr>
            </w:pPr>
          </w:p>
        </w:tc>
        <w:tc>
          <w:tcPr>
            <w:tcW w:w="712" w:type="pct"/>
            <w:gridSpan w:val="2"/>
          </w:tcPr>
          <w:p w14:paraId="68165BE5" w14:textId="23559CDA" w:rsidR="00820863" w:rsidRPr="00AA03E2" w:rsidRDefault="00820863" w:rsidP="00BE1387">
            <w:pPr>
              <w:spacing w:line="241" w:lineRule="auto"/>
              <w:jc w:val="left"/>
              <w:rPr>
                <w:sz w:val="18"/>
                <w:szCs w:val="18"/>
                <w:rtl/>
              </w:rPr>
            </w:pPr>
          </w:p>
        </w:tc>
      </w:tr>
      <w:tr w:rsidR="001816D9" w:rsidRPr="00AC1A00" w14:paraId="539D8358" w14:textId="77777777" w:rsidTr="00F011BA">
        <w:tblPrEx>
          <w:tblLook w:val="01E0" w:firstRow="1" w:lastRow="1" w:firstColumn="1" w:lastColumn="1" w:noHBand="0" w:noVBand="0"/>
        </w:tblPrEx>
        <w:trPr>
          <w:trHeight w:val="283"/>
        </w:trPr>
        <w:tc>
          <w:tcPr>
            <w:tcW w:w="570" w:type="pct"/>
          </w:tcPr>
          <w:p w14:paraId="2125D355" w14:textId="77777777" w:rsidR="001816D9" w:rsidRPr="00AC1A00" w:rsidRDefault="001816D9" w:rsidP="001816D9">
            <w:pPr>
              <w:spacing w:line="241" w:lineRule="auto"/>
              <w:jc w:val="left"/>
              <w:rPr>
                <w:rtl/>
              </w:rPr>
            </w:pPr>
          </w:p>
        </w:tc>
        <w:tc>
          <w:tcPr>
            <w:tcW w:w="124" w:type="pct"/>
            <w:tcBorders>
              <w:left w:val="nil"/>
            </w:tcBorders>
            <w:vAlign w:val="bottom"/>
          </w:tcPr>
          <w:p w14:paraId="43291C4D" w14:textId="77777777" w:rsidR="001816D9" w:rsidRPr="00AC1A00" w:rsidRDefault="001816D9" w:rsidP="001816D9">
            <w:pPr>
              <w:spacing w:line="241" w:lineRule="auto"/>
              <w:jc w:val="left"/>
              <w:rPr>
                <w:rtl/>
              </w:rPr>
            </w:pPr>
          </w:p>
        </w:tc>
        <w:tc>
          <w:tcPr>
            <w:tcW w:w="2596" w:type="pct"/>
            <w:vAlign w:val="bottom"/>
          </w:tcPr>
          <w:p w14:paraId="1B2F8733" w14:textId="77777777" w:rsidR="001816D9" w:rsidRPr="00AA03E2" w:rsidRDefault="001816D9" w:rsidP="001816D9">
            <w:pPr>
              <w:ind w:left="382"/>
              <w:jc w:val="left"/>
              <w:rPr>
                <w:color w:val="000000"/>
                <w:sz w:val="18"/>
                <w:szCs w:val="18"/>
                <w:rtl/>
                <w:lang w:eastAsia="he-IL"/>
              </w:rPr>
            </w:pPr>
            <w:r w:rsidRPr="00AA03E2">
              <w:rPr>
                <w:rFonts w:hint="cs"/>
                <w:color w:val="000000"/>
                <w:sz w:val="18"/>
                <w:szCs w:val="18"/>
                <w:rtl/>
                <w:lang w:eastAsia="he-IL"/>
              </w:rPr>
              <w:t>יחס מימון יציב נטו</w:t>
            </w:r>
          </w:p>
        </w:tc>
        <w:tc>
          <w:tcPr>
            <w:tcW w:w="428" w:type="pct"/>
            <w:gridSpan w:val="2"/>
            <w:vAlign w:val="bottom"/>
          </w:tcPr>
          <w:p w14:paraId="2EEBD60E" w14:textId="5051EFAD" w:rsidR="001816D9" w:rsidRPr="00AA03E2" w:rsidRDefault="001816D9" w:rsidP="001816D9">
            <w:pPr>
              <w:spacing w:line="241" w:lineRule="auto"/>
              <w:jc w:val="center"/>
              <w:rPr>
                <w:sz w:val="18"/>
                <w:szCs w:val="18"/>
                <w:rtl/>
              </w:rPr>
            </w:pPr>
            <w:r w:rsidRPr="00AA03E2">
              <w:rPr>
                <w:rFonts w:hint="cs"/>
                <w:sz w:val="18"/>
                <w:szCs w:val="18"/>
                <w:rtl/>
              </w:rPr>
              <w:t>0%</w:t>
            </w:r>
          </w:p>
        </w:tc>
        <w:tc>
          <w:tcPr>
            <w:tcW w:w="569" w:type="pct"/>
            <w:vAlign w:val="bottom"/>
          </w:tcPr>
          <w:p w14:paraId="771C86F2" w14:textId="698E77D9" w:rsidR="001816D9" w:rsidRPr="00AA03E2" w:rsidRDefault="001816D9" w:rsidP="001816D9">
            <w:pPr>
              <w:spacing w:line="241" w:lineRule="auto"/>
              <w:jc w:val="center"/>
              <w:rPr>
                <w:sz w:val="18"/>
                <w:szCs w:val="18"/>
                <w:rtl/>
              </w:rPr>
            </w:pPr>
            <w:r w:rsidRPr="00AA03E2">
              <w:rPr>
                <w:rFonts w:hint="cs"/>
                <w:sz w:val="18"/>
                <w:szCs w:val="18"/>
                <w:rtl/>
              </w:rPr>
              <w:t>0%</w:t>
            </w:r>
          </w:p>
        </w:tc>
        <w:tc>
          <w:tcPr>
            <w:tcW w:w="712" w:type="pct"/>
            <w:gridSpan w:val="2"/>
            <w:vAlign w:val="bottom"/>
          </w:tcPr>
          <w:p w14:paraId="1DE775C3" w14:textId="0FF2F7E3" w:rsidR="001816D9" w:rsidRPr="00AA03E2" w:rsidRDefault="001816D9" w:rsidP="001816D9">
            <w:pPr>
              <w:spacing w:line="241" w:lineRule="auto"/>
              <w:jc w:val="center"/>
              <w:rPr>
                <w:sz w:val="18"/>
                <w:szCs w:val="18"/>
                <w:rtl/>
              </w:rPr>
            </w:pPr>
            <w:r w:rsidRPr="00AA03E2">
              <w:rPr>
                <w:rFonts w:hint="cs"/>
                <w:sz w:val="18"/>
                <w:szCs w:val="18"/>
                <w:rtl/>
              </w:rPr>
              <w:t>0%</w:t>
            </w:r>
          </w:p>
        </w:tc>
      </w:tr>
      <w:tr w:rsidR="001816D9" w:rsidRPr="00AC1A00" w14:paraId="4C7B0659" w14:textId="77777777" w:rsidTr="00F011BA">
        <w:tblPrEx>
          <w:tblLook w:val="01E0" w:firstRow="1" w:lastRow="1" w:firstColumn="1" w:lastColumn="1" w:noHBand="0" w:noVBand="0"/>
        </w:tblPrEx>
        <w:trPr>
          <w:trHeight w:val="283"/>
        </w:trPr>
        <w:tc>
          <w:tcPr>
            <w:tcW w:w="570" w:type="pct"/>
          </w:tcPr>
          <w:p w14:paraId="5CC4A813" w14:textId="77777777" w:rsidR="001816D9" w:rsidRPr="00AC1A00" w:rsidRDefault="001816D9" w:rsidP="001816D9">
            <w:pPr>
              <w:spacing w:line="241" w:lineRule="auto"/>
              <w:jc w:val="left"/>
              <w:rPr>
                <w:rtl/>
              </w:rPr>
            </w:pPr>
          </w:p>
        </w:tc>
        <w:tc>
          <w:tcPr>
            <w:tcW w:w="124" w:type="pct"/>
            <w:tcBorders>
              <w:left w:val="nil"/>
            </w:tcBorders>
            <w:vAlign w:val="bottom"/>
          </w:tcPr>
          <w:p w14:paraId="7F70CA53" w14:textId="77777777" w:rsidR="001816D9" w:rsidRPr="00AC1A00" w:rsidRDefault="001816D9" w:rsidP="001816D9">
            <w:pPr>
              <w:spacing w:line="241" w:lineRule="auto"/>
              <w:jc w:val="left"/>
              <w:rPr>
                <w:rtl/>
              </w:rPr>
            </w:pPr>
          </w:p>
        </w:tc>
        <w:tc>
          <w:tcPr>
            <w:tcW w:w="2596" w:type="pct"/>
            <w:vAlign w:val="bottom"/>
          </w:tcPr>
          <w:p w14:paraId="250EC1CC" w14:textId="77777777" w:rsidR="001816D9" w:rsidRPr="00AA03E2" w:rsidRDefault="001816D9" w:rsidP="001816D9">
            <w:pPr>
              <w:ind w:left="382"/>
              <w:jc w:val="left"/>
              <w:rPr>
                <w:color w:val="000000"/>
                <w:sz w:val="18"/>
                <w:szCs w:val="18"/>
                <w:rtl/>
                <w:lang w:eastAsia="he-IL"/>
              </w:rPr>
            </w:pPr>
            <w:r w:rsidRPr="00AA03E2">
              <w:rPr>
                <w:color w:val="000000"/>
                <w:sz w:val="18"/>
                <w:szCs w:val="18"/>
                <w:rtl/>
                <w:lang w:eastAsia="he-IL"/>
              </w:rPr>
              <w:t>יחס מימון יציב נטו המזערי הנדרש ע"י המפקח על הבנקים</w:t>
            </w:r>
          </w:p>
        </w:tc>
        <w:tc>
          <w:tcPr>
            <w:tcW w:w="428" w:type="pct"/>
            <w:gridSpan w:val="2"/>
            <w:vAlign w:val="bottom"/>
          </w:tcPr>
          <w:p w14:paraId="42A568F2" w14:textId="34D9DD55" w:rsidR="001816D9" w:rsidRPr="00AA03E2" w:rsidRDefault="001816D9" w:rsidP="001816D9">
            <w:pPr>
              <w:spacing w:line="241" w:lineRule="auto"/>
              <w:jc w:val="center"/>
              <w:rPr>
                <w:sz w:val="18"/>
                <w:szCs w:val="18"/>
                <w:rtl/>
              </w:rPr>
            </w:pPr>
            <w:r w:rsidRPr="00AA03E2">
              <w:rPr>
                <w:rFonts w:hint="cs"/>
                <w:sz w:val="18"/>
                <w:szCs w:val="18"/>
                <w:rtl/>
              </w:rPr>
              <w:t>0%</w:t>
            </w:r>
          </w:p>
        </w:tc>
        <w:tc>
          <w:tcPr>
            <w:tcW w:w="569" w:type="pct"/>
            <w:vAlign w:val="bottom"/>
          </w:tcPr>
          <w:p w14:paraId="564629FA" w14:textId="1998C189" w:rsidR="001816D9" w:rsidRPr="00AA03E2" w:rsidRDefault="001816D9" w:rsidP="001816D9">
            <w:pPr>
              <w:spacing w:line="241" w:lineRule="auto"/>
              <w:jc w:val="center"/>
              <w:rPr>
                <w:sz w:val="18"/>
                <w:szCs w:val="18"/>
                <w:rtl/>
              </w:rPr>
            </w:pPr>
            <w:r w:rsidRPr="00AA03E2">
              <w:rPr>
                <w:rFonts w:hint="cs"/>
                <w:sz w:val="18"/>
                <w:szCs w:val="18"/>
                <w:rtl/>
              </w:rPr>
              <w:t>0%</w:t>
            </w:r>
          </w:p>
        </w:tc>
        <w:tc>
          <w:tcPr>
            <w:tcW w:w="712" w:type="pct"/>
            <w:gridSpan w:val="2"/>
            <w:vAlign w:val="bottom"/>
          </w:tcPr>
          <w:p w14:paraId="65E63B3A" w14:textId="1C71D6B2" w:rsidR="001816D9" w:rsidRPr="00AA03E2" w:rsidRDefault="001816D9" w:rsidP="001816D9">
            <w:pPr>
              <w:spacing w:line="241" w:lineRule="auto"/>
              <w:jc w:val="center"/>
              <w:rPr>
                <w:sz w:val="18"/>
                <w:szCs w:val="18"/>
                <w:rtl/>
              </w:rPr>
            </w:pPr>
            <w:r w:rsidRPr="00AA03E2">
              <w:rPr>
                <w:rFonts w:hint="cs"/>
                <w:sz w:val="18"/>
                <w:szCs w:val="18"/>
                <w:rtl/>
              </w:rPr>
              <w:t>0%</w:t>
            </w:r>
          </w:p>
        </w:tc>
      </w:tr>
      <w:tr w:rsidR="001816D9" w:rsidRPr="00AC1A00" w14:paraId="60673982" w14:textId="77777777" w:rsidTr="00F011BA">
        <w:tblPrEx>
          <w:tblLook w:val="01E0" w:firstRow="1" w:lastRow="1" w:firstColumn="1" w:lastColumn="1" w:noHBand="0" w:noVBand="0"/>
        </w:tblPrEx>
        <w:tc>
          <w:tcPr>
            <w:tcW w:w="570" w:type="pct"/>
          </w:tcPr>
          <w:p w14:paraId="26AF5BDA" w14:textId="77777777" w:rsidR="001816D9" w:rsidRPr="00AC1A00" w:rsidRDefault="001816D9" w:rsidP="001816D9">
            <w:pPr>
              <w:spacing w:line="120" w:lineRule="exact"/>
              <w:jc w:val="left"/>
              <w:rPr>
                <w:rtl/>
              </w:rPr>
            </w:pPr>
          </w:p>
        </w:tc>
        <w:tc>
          <w:tcPr>
            <w:tcW w:w="124" w:type="pct"/>
            <w:tcBorders>
              <w:left w:val="nil"/>
            </w:tcBorders>
            <w:vAlign w:val="bottom"/>
          </w:tcPr>
          <w:p w14:paraId="306373AB" w14:textId="77777777" w:rsidR="001816D9" w:rsidRPr="00AC1A00" w:rsidRDefault="001816D9" w:rsidP="001816D9">
            <w:pPr>
              <w:spacing w:line="120" w:lineRule="exact"/>
              <w:jc w:val="left"/>
              <w:rPr>
                <w:rtl/>
              </w:rPr>
            </w:pPr>
          </w:p>
        </w:tc>
        <w:tc>
          <w:tcPr>
            <w:tcW w:w="2596" w:type="pct"/>
            <w:vAlign w:val="bottom"/>
          </w:tcPr>
          <w:p w14:paraId="725926CF" w14:textId="77777777" w:rsidR="001816D9" w:rsidRPr="00AA03E2" w:rsidRDefault="001816D9" w:rsidP="001816D9">
            <w:pPr>
              <w:spacing w:line="120" w:lineRule="exact"/>
              <w:ind w:left="382"/>
              <w:jc w:val="left"/>
              <w:rPr>
                <w:color w:val="000000"/>
                <w:sz w:val="18"/>
                <w:szCs w:val="18"/>
                <w:rtl/>
                <w:lang w:eastAsia="he-IL"/>
              </w:rPr>
            </w:pPr>
          </w:p>
        </w:tc>
        <w:tc>
          <w:tcPr>
            <w:tcW w:w="428" w:type="pct"/>
            <w:gridSpan w:val="2"/>
            <w:vAlign w:val="bottom"/>
          </w:tcPr>
          <w:p w14:paraId="5126A113" w14:textId="77777777" w:rsidR="001816D9" w:rsidRPr="00AA03E2" w:rsidRDefault="001816D9" w:rsidP="001816D9">
            <w:pPr>
              <w:spacing w:line="120" w:lineRule="exact"/>
              <w:jc w:val="left"/>
              <w:rPr>
                <w:sz w:val="18"/>
                <w:szCs w:val="18"/>
                <w:rtl/>
              </w:rPr>
            </w:pPr>
          </w:p>
        </w:tc>
        <w:tc>
          <w:tcPr>
            <w:tcW w:w="569" w:type="pct"/>
            <w:vAlign w:val="bottom"/>
          </w:tcPr>
          <w:p w14:paraId="177425DE" w14:textId="77777777" w:rsidR="001816D9" w:rsidRPr="00AA03E2" w:rsidRDefault="001816D9" w:rsidP="001816D9">
            <w:pPr>
              <w:spacing w:line="120" w:lineRule="exact"/>
              <w:jc w:val="left"/>
              <w:rPr>
                <w:sz w:val="18"/>
                <w:szCs w:val="18"/>
                <w:rtl/>
              </w:rPr>
            </w:pPr>
          </w:p>
        </w:tc>
        <w:tc>
          <w:tcPr>
            <w:tcW w:w="712" w:type="pct"/>
            <w:gridSpan w:val="2"/>
            <w:vAlign w:val="bottom"/>
          </w:tcPr>
          <w:p w14:paraId="7269D041" w14:textId="5CC54851" w:rsidR="001816D9" w:rsidRPr="00AA03E2" w:rsidRDefault="001816D9" w:rsidP="001816D9">
            <w:pPr>
              <w:spacing w:line="120" w:lineRule="exact"/>
              <w:jc w:val="left"/>
              <w:rPr>
                <w:sz w:val="18"/>
                <w:szCs w:val="18"/>
                <w:rtl/>
              </w:rPr>
            </w:pPr>
          </w:p>
        </w:tc>
      </w:tr>
      <w:tr w:rsidR="001816D9" w:rsidRPr="00AC1A00" w14:paraId="3A59A834" w14:textId="77777777" w:rsidTr="00F011BA">
        <w:tblPrEx>
          <w:tblLook w:val="01E0" w:firstRow="1" w:lastRow="1" w:firstColumn="1" w:lastColumn="1" w:noHBand="0" w:noVBand="0"/>
        </w:tblPrEx>
        <w:trPr>
          <w:trHeight w:val="283"/>
        </w:trPr>
        <w:tc>
          <w:tcPr>
            <w:tcW w:w="570" w:type="pct"/>
          </w:tcPr>
          <w:p w14:paraId="73161FA4" w14:textId="77777777" w:rsidR="001816D9" w:rsidRPr="00AC1A00" w:rsidRDefault="001816D9" w:rsidP="001816D9">
            <w:pPr>
              <w:spacing w:before="60"/>
              <w:jc w:val="left"/>
              <w:rPr>
                <w:rtl/>
              </w:rPr>
            </w:pPr>
          </w:p>
        </w:tc>
        <w:tc>
          <w:tcPr>
            <w:tcW w:w="124" w:type="pct"/>
            <w:tcBorders>
              <w:left w:val="nil"/>
            </w:tcBorders>
            <w:vAlign w:val="bottom"/>
          </w:tcPr>
          <w:p w14:paraId="32C8DA9A" w14:textId="77777777" w:rsidR="001816D9" w:rsidRPr="00AC1A00" w:rsidRDefault="001816D9" w:rsidP="001816D9">
            <w:pPr>
              <w:spacing w:before="60"/>
              <w:jc w:val="left"/>
              <w:rPr>
                <w:rtl/>
              </w:rPr>
            </w:pPr>
          </w:p>
        </w:tc>
        <w:tc>
          <w:tcPr>
            <w:tcW w:w="2596" w:type="pct"/>
            <w:vAlign w:val="bottom"/>
          </w:tcPr>
          <w:p w14:paraId="5E7721E1" w14:textId="2EABA562" w:rsidR="001816D9" w:rsidRPr="00AA03E2" w:rsidRDefault="001816D9" w:rsidP="005A25AC">
            <w:pPr>
              <w:pStyle w:val="-0"/>
              <w:spacing w:line="240" w:lineRule="auto"/>
              <w:ind w:left="279" w:hanging="279"/>
              <w:rPr>
                <w:b/>
                <w:bCs/>
                <w:sz w:val="18"/>
                <w:szCs w:val="18"/>
                <w:rtl/>
              </w:rPr>
            </w:pPr>
            <w:r w:rsidRPr="00AA03E2">
              <w:rPr>
                <w:rFonts w:hint="cs"/>
                <w:b/>
                <w:bCs/>
                <w:sz w:val="18"/>
                <w:szCs w:val="18"/>
                <w:rtl/>
              </w:rPr>
              <w:t>ב.</w:t>
            </w:r>
            <w:r w:rsidRPr="00AA03E2">
              <w:rPr>
                <w:b/>
                <w:bCs/>
                <w:sz w:val="18"/>
                <w:szCs w:val="18"/>
                <w:rtl/>
              </w:rPr>
              <w:tab/>
              <w:t>חברות בת משמעותיות</w:t>
            </w:r>
            <w:r w:rsidRPr="00AA03E2">
              <w:rPr>
                <w:rFonts w:hint="cs"/>
                <w:b/>
                <w:bCs/>
                <w:sz w:val="18"/>
                <w:szCs w:val="18"/>
                <w:rtl/>
              </w:rPr>
              <w:t>:</w:t>
            </w:r>
          </w:p>
        </w:tc>
        <w:tc>
          <w:tcPr>
            <w:tcW w:w="428" w:type="pct"/>
            <w:gridSpan w:val="2"/>
            <w:vAlign w:val="bottom"/>
          </w:tcPr>
          <w:p w14:paraId="22EFB5DD" w14:textId="77777777" w:rsidR="001816D9" w:rsidRPr="00AA03E2" w:rsidRDefault="001816D9" w:rsidP="001816D9">
            <w:pPr>
              <w:spacing w:before="60"/>
              <w:jc w:val="center"/>
              <w:rPr>
                <w:sz w:val="18"/>
                <w:szCs w:val="18"/>
                <w:rtl/>
              </w:rPr>
            </w:pPr>
          </w:p>
        </w:tc>
        <w:tc>
          <w:tcPr>
            <w:tcW w:w="569" w:type="pct"/>
            <w:vAlign w:val="bottom"/>
          </w:tcPr>
          <w:p w14:paraId="13785265" w14:textId="77777777" w:rsidR="001816D9" w:rsidRPr="00AA03E2" w:rsidRDefault="001816D9" w:rsidP="001816D9">
            <w:pPr>
              <w:spacing w:before="60"/>
              <w:jc w:val="center"/>
              <w:rPr>
                <w:sz w:val="18"/>
                <w:szCs w:val="18"/>
                <w:rtl/>
              </w:rPr>
            </w:pPr>
          </w:p>
        </w:tc>
        <w:tc>
          <w:tcPr>
            <w:tcW w:w="712" w:type="pct"/>
            <w:gridSpan w:val="2"/>
            <w:vAlign w:val="bottom"/>
          </w:tcPr>
          <w:p w14:paraId="277E7BA1" w14:textId="5DDD7257" w:rsidR="001816D9" w:rsidRPr="00AA03E2" w:rsidRDefault="001816D9" w:rsidP="001816D9">
            <w:pPr>
              <w:spacing w:before="60"/>
              <w:jc w:val="center"/>
              <w:rPr>
                <w:sz w:val="18"/>
                <w:szCs w:val="18"/>
                <w:rtl/>
              </w:rPr>
            </w:pPr>
          </w:p>
        </w:tc>
      </w:tr>
      <w:tr w:rsidR="001816D9" w:rsidRPr="00AC1A00" w14:paraId="1D002588" w14:textId="77777777" w:rsidTr="00F011BA">
        <w:tblPrEx>
          <w:tblLook w:val="01E0" w:firstRow="1" w:lastRow="1" w:firstColumn="1" w:lastColumn="1" w:noHBand="0" w:noVBand="0"/>
        </w:tblPrEx>
        <w:trPr>
          <w:trHeight w:val="283"/>
        </w:trPr>
        <w:tc>
          <w:tcPr>
            <w:tcW w:w="570" w:type="pct"/>
          </w:tcPr>
          <w:p w14:paraId="06A0DB74" w14:textId="77777777" w:rsidR="001816D9" w:rsidRPr="00AC1A00" w:rsidRDefault="001816D9" w:rsidP="001816D9">
            <w:pPr>
              <w:spacing w:before="60"/>
              <w:jc w:val="left"/>
              <w:rPr>
                <w:rtl/>
              </w:rPr>
            </w:pPr>
          </w:p>
        </w:tc>
        <w:tc>
          <w:tcPr>
            <w:tcW w:w="124" w:type="pct"/>
            <w:tcBorders>
              <w:left w:val="nil"/>
            </w:tcBorders>
            <w:vAlign w:val="bottom"/>
          </w:tcPr>
          <w:p w14:paraId="640FAB48" w14:textId="77777777" w:rsidR="001816D9" w:rsidRPr="00AC1A00" w:rsidRDefault="001816D9" w:rsidP="001816D9">
            <w:pPr>
              <w:spacing w:before="60"/>
              <w:jc w:val="left"/>
              <w:rPr>
                <w:rtl/>
              </w:rPr>
            </w:pPr>
          </w:p>
        </w:tc>
        <w:tc>
          <w:tcPr>
            <w:tcW w:w="2596" w:type="pct"/>
            <w:vAlign w:val="bottom"/>
          </w:tcPr>
          <w:p w14:paraId="482AE78F" w14:textId="77777777" w:rsidR="001816D9" w:rsidRPr="00AA03E2" w:rsidRDefault="001816D9" w:rsidP="001816D9">
            <w:pPr>
              <w:ind w:left="382"/>
              <w:jc w:val="left"/>
              <w:rPr>
                <w:color w:val="000000"/>
                <w:sz w:val="18"/>
                <w:szCs w:val="18"/>
                <w:rtl/>
                <w:lang w:eastAsia="he-IL"/>
              </w:rPr>
            </w:pPr>
            <w:r w:rsidRPr="00AA03E2">
              <w:rPr>
                <w:rFonts w:hint="cs"/>
                <w:color w:val="000000"/>
                <w:sz w:val="18"/>
                <w:szCs w:val="18"/>
                <w:rtl/>
                <w:lang w:eastAsia="he-IL"/>
              </w:rPr>
              <w:t>יחס מימון יציב נטו</w:t>
            </w:r>
          </w:p>
        </w:tc>
        <w:tc>
          <w:tcPr>
            <w:tcW w:w="428" w:type="pct"/>
            <w:gridSpan w:val="2"/>
            <w:vAlign w:val="bottom"/>
          </w:tcPr>
          <w:p w14:paraId="3CEA2F16" w14:textId="606633EF" w:rsidR="001816D9" w:rsidRPr="00AA03E2" w:rsidRDefault="001816D9" w:rsidP="001816D9">
            <w:pPr>
              <w:spacing w:before="60"/>
              <w:jc w:val="center"/>
              <w:rPr>
                <w:sz w:val="18"/>
                <w:szCs w:val="18"/>
                <w:rtl/>
              </w:rPr>
            </w:pPr>
            <w:r w:rsidRPr="00AA03E2">
              <w:rPr>
                <w:rFonts w:hint="cs"/>
                <w:sz w:val="18"/>
                <w:szCs w:val="18"/>
                <w:rtl/>
              </w:rPr>
              <w:t>0%</w:t>
            </w:r>
          </w:p>
        </w:tc>
        <w:tc>
          <w:tcPr>
            <w:tcW w:w="569" w:type="pct"/>
            <w:vAlign w:val="bottom"/>
          </w:tcPr>
          <w:p w14:paraId="60ABD22A" w14:textId="1445685C" w:rsidR="001816D9" w:rsidRPr="00AA03E2" w:rsidRDefault="001816D9" w:rsidP="001816D9">
            <w:pPr>
              <w:spacing w:before="60"/>
              <w:jc w:val="center"/>
              <w:rPr>
                <w:sz w:val="18"/>
                <w:szCs w:val="18"/>
                <w:rtl/>
              </w:rPr>
            </w:pPr>
            <w:r w:rsidRPr="00AA03E2">
              <w:rPr>
                <w:rFonts w:hint="cs"/>
                <w:sz w:val="18"/>
                <w:szCs w:val="18"/>
                <w:rtl/>
              </w:rPr>
              <w:t>0%</w:t>
            </w:r>
          </w:p>
        </w:tc>
        <w:tc>
          <w:tcPr>
            <w:tcW w:w="712" w:type="pct"/>
            <w:gridSpan w:val="2"/>
            <w:vAlign w:val="bottom"/>
          </w:tcPr>
          <w:p w14:paraId="3ED8C4BC" w14:textId="09FD978E" w:rsidR="001816D9" w:rsidRPr="00AA03E2" w:rsidRDefault="001816D9" w:rsidP="001816D9">
            <w:pPr>
              <w:spacing w:before="60"/>
              <w:jc w:val="center"/>
              <w:rPr>
                <w:b/>
                <w:bCs/>
                <w:sz w:val="18"/>
                <w:szCs w:val="18"/>
                <w:rtl/>
              </w:rPr>
            </w:pPr>
            <w:r w:rsidRPr="00AA03E2">
              <w:rPr>
                <w:rFonts w:hint="cs"/>
                <w:sz w:val="18"/>
                <w:szCs w:val="18"/>
                <w:rtl/>
              </w:rPr>
              <w:t>0%</w:t>
            </w:r>
          </w:p>
        </w:tc>
      </w:tr>
      <w:tr w:rsidR="001816D9" w:rsidRPr="00AC1A00" w14:paraId="10F9BB31" w14:textId="77777777" w:rsidTr="00F011BA">
        <w:tblPrEx>
          <w:tblLook w:val="01E0" w:firstRow="1" w:lastRow="1" w:firstColumn="1" w:lastColumn="1" w:noHBand="0" w:noVBand="0"/>
        </w:tblPrEx>
        <w:trPr>
          <w:trHeight w:val="283"/>
        </w:trPr>
        <w:tc>
          <w:tcPr>
            <w:tcW w:w="570" w:type="pct"/>
          </w:tcPr>
          <w:p w14:paraId="29ACA5F4" w14:textId="77777777" w:rsidR="001816D9" w:rsidRPr="00AC1A00" w:rsidRDefault="001816D9" w:rsidP="001816D9">
            <w:pPr>
              <w:spacing w:line="241" w:lineRule="auto"/>
              <w:jc w:val="left"/>
              <w:rPr>
                <w:rtl/>
              </w:rPr>
            </w:pPr>
          </w:p>
        </w:tc>
        <w:tc>
          <w:tcPr>
            <w:tcW w:w="124" w:type="pct"/>
            <w:tcBorders>
              <w:left w:val="nil"/>
            </w:tcBorders>
            <w:vAlign w:val="bottom"/>
          </w:tcPr>
          <w:p w14:paraId="5F67496C" w14:textId="77777777" w:rsidR="001816D9" w:rsidRPr="00AC1A00" w:rsidRDefault="001816D9" w:rsidP="001816D9">
            <w:pPr>
              <w:spacing w:line="241" w:lineRule="auto"/>
              <w:jc w:val="left"/>
              <w:rPr>
                <w:rtl/>
              </w:rPr>
            </w:pPr>
          </w:p>
        </w:tc>
        <w:tc>
          <w:tcPr>
            <w:tcW w:w="2596" w:type="pct"/>
            <w:vAlign w:val="bottom"/>
          </w:tcPr>
          <w:p w14:paraId="18788E87" w14:textId="77777777" w:rsidR="001816D9" w:rsidRPr="00AA03E2" w:rsidRDefault="001816D9" w:rsidP="001816D9">
            <w:pPr>
              <w:ind w:left="382"/>
              <w:jc w:val="left"/>
              <w:rPr>
                <w:color w:val="000000"/>
                <w:sz w:val="18"/>
                <w:szCs w:val="18"/>
                <w:rtl/>
                <w:lang w:eastAsia="he-IL"/>
              </w:rPr>
            </w:pPr>
            <w:r w:rsidRPr="00AA03E2">
              <w:rPr>
                <w:color w:val="000000"/>
                <w:sz w:val="18"/>
                <w:szCs w:val="18"/>
                <w:rtl/>
                <w:lang w:eastAsia="he-IL"/>
              </w:rPr>
              <w:t>יחס מימון יציב נטו המזערי הנדרש ע"י המפקח על הבנקים</w:t>
            </w:r>
          </w:p>
        </w:tc>
        <w:tc>
          <w:tcPr>
            <w:tcW w:w="428" w:type="pct"/>
            <w:gridSpan w:val="2"/>
            <w:vAlign w:val="bottom"/>
          </w:tcPr>
          <w:p w14:paraId="2067860D" w14:textId="099C8E81" w:rsidR="001816D9" w:rsidRPr="00AA03E2" w:rsidRDefault="001816D9" w:rsidP="001816D9">
            <w:pPr>
              <w:spacing w:line="241" w:lineRule="auto"/>
              <w:jc w:val="center"/>
              <w:rPr>
                <w:sz w:val="18"/>
                <w:szCs w:val="18"/>
                <w:rtl/>
              </w:rPr>
            </w:pPr>
            <w:r w:rsidRPr="00AA03E2">
              <w:rPr>
                <w:rFonts w:hint="cs"/>
                <w:sz w:val="18"/>
                <w:szCs w:val="18"/>
                <w:rtl/>
              </w:rPr>
              <w:t>0%</w:t>
            </w:r>
          </w:p>
        </w:tc>
        <w:tc>
          <w:tcPr>
            <w:tcW w:w="569" w:type="pct"/>
            <w:vAlign w:val="bottom"/>
          </w:tcPr>
          <w:p w14:paraId="396BED1F" w14:textId="45C13EC1" w:rsidR="001816D9" w:rsidRPr="00AA03E2" w:rsidRDefault="001816D9" w:rsidP="001816D9">
            <w:pPr>
              <w:spacing w:line="241" w:lineRule="auto"/>
              <w:jc w:val="center"/>
              <w:rPr>
                <w:sz w:val="18"/>
                <w:szCs w:val="18"/>
                <w:rtl/>
              </w:rPr>
            </w:pPr>
            <w:r w:rsidRPr="00AA03E2">
              <w:rPr>
                <w:rFonts w:hint="cs"/>
                <w:sz w:val="18"/>
                <w:szCs w:val="18"/>
                <w:rtl/>
              </w:rPr>
              <w:t>0%</w:t>
            </w:r>
          </w:p>
        </w:tc>
        <w:tc>
          <w:tcPr>
            <w:tcW w:w="712" w:type="pct"/>
            <w:gridSpan w:val="2"/>
            <w:vAlign w:val="bottom"/>
          </w:tcPr>
          <w:p w14:paraId="02339C24" w14:textId="3AAA7C36" w:rsidR="001816D9" w:rsidRPr="00AA03E2" w:rsidRDefault="001816D9" w:rsidP="001816D9">
            <w:pPr>
              <w:spacing w:line="241" w:lineRule="auto"/>
              <w:jc w:val="center"/>
              <w:rPr>
                <w:sz w:val="18"/>
                <w:szCs w:val="18"/>
                <w:rtl/>
              </w:rPr>
            </w:pPr>
            <w:r w:rsidRPr="00AA03E2">
              <w:rPr>
                <w:rFonts w:hint="cs"/>
                <w:sz w:val="18"/>
                <w:szCs w:val="18"/>
                <w:rtl/>
              </w:rPr>
              <w:t>0%</w:t>
            </w:r>
          </w:p>
        </w:tc>
      </w:tr>
    </w:tbl>
    <w:p w14:paraId="097A73B7" w14:textId="35D7CFAF" w:rsidR="00E14405" w:rsidRDefault="00E14405" w:rsidP="00E14405">
      <w:pPr>
        <w:spacing w:line="120" w:lineRule="auto"/>
        <w:rPr>
          <w:rtl/>
        </w:rPr>
      </w:pPr>
    </w:p>
    <w:p w14:paraId="334736FB" w14:textId="77777777" w:rsidR="005A25AC" w:rsidRDefault="005A25AC" w:rsidP="00E14405">
      <w:pPr>
        <w:spacing w:line="120" w:lineRule="auto"/>
      </w:pPr>
    </w:p>
    <w:tbl>
      <w:tblPr>
        <w:bidiVisual/>
        <w:tblW w:w="4777" w:type="pct"/>
        <w:tblLayout w:type="fixed"/>
        <w:tblLook w:val="01E0" w:firstRow="1" w:lastRow="1" w:firstColumn="1" w:lastColumn="1" w:noHBand="0" w:noVBand="0"/>
      </w:tblPr>
      <w:tblGrid>
        <w:gridCol w:w="1076"/>
        <w:gridCol w:w="293"/>
        <w:gridCol w:w="8383"/>
      </w:tblGrid>
      <w:tr w:rsidR="005407BB" w:rsidRPr="00AC1A00" w14:paraId="17FBC105" w14:textId="77777777" w:rsidTr="00F011BA">
        <w:trPr>
          <w:trHeight w:val="283"/>
        </w:trPr>
        <w:tc>
          <w:tcPr>
            <w:tcW w:w="552" w:type="pct"/>
          </w:tcPr>
          <w:p w14:paraId="4326B928" w14:textId="77777777" w:rsidR="005407BB" w:rsidRPr="00AC1A00" w:rsidRDefault="005407BB" w:rsidP="00BE1387">
            <w:pPr>
              <w:spacing w:line="241" w:lineRule="auto"/>
              <w:jc w:val="left"/>
              <w:rPr>
                <w:rtl/>
              </w:rPr>
            </w:pPr>
          </w:p>
        </w:tc>
        <w:tc>
          <w:tcPr>
            <w:tcW w:w="150" w:type="pct"/>
            <w:vAlign w:val="bottom"/>
          </w:tcPr>
          <w:p w14:paraId="3F9A1730" w14:textId="77777777" w:rsidR="005407BB" w:rsidRPr="00AC1A00" w:rsidRDefault="005407BB" w:rsidP="00BE1387">
            <w:pPr>
              <w:spacing w:line="241" w:lineRule="auto"/>
              <w:jc w:val="left"/>
              <w:rPr>
                <w:rtl/>
              </w:rPr>
            </w:pPr>
          </w:p>
        </w:tc>
        <w:tc>
          <w:tcPr>
            <w:tcW w:w="4298" w:type="pct"/>
            <w:vAlign w:val="bottom"/>
          </w:tcPr>
          <w:p w14:paraId="44915F24" w14:textId="2B833AA5" w:rsidR="005407BB" w:rsidRPr="00AC1A00" w:rsidRDefault="005407BB" w:rsidP="00D6057D">
            <w:pPr>
              <w:pStyle w:val="-2"/>
              <w:numPr>
                <w:ilvl w:val="0"/>
                <w:numId w:val="17"/>
              </w:numPr>
              <w:rPr>
                <w:rtl/>
              </w:rPr>
            </w:pPr>
            <w:r w:rsidRPr="00AC1A00">
              <w:rPr>
                <w:rFonts w:hint="eastAsia"/>
                <w:b w:val="0"/>
                <w:bCs w:val="0"/>
                <w:sz w:val="18"/>
                <w:szCs w:val="18"/>
                <w:rtl/>
              </w:rPr>
              <w:t>מחושב</w:t>
            </w:r>
            <w:r w:rsidRPr="00AC1A00">
              <w:rPr>
                <w:b w:val="0"/>
                <w:bCs w:val="0"/>
                <w:sz w:val="18"/>
                <w:szCs w:val="18"/>
                <w:rtl/>
              </w:rPr>
              <w:t xml:space="preserve"> </w:t>
            </w:r>
            <w:r w:rsidRPr="00AC1A00">
              <w:rPr>
                <w:rFonts w:hint="eastAsia"/>
                <w:b w:val="0"/>
                <w:bCs w:val="0"/>
                <w:sz w:val="18"/>
                <w:szCs w:val="18"/>
                <w:rtl/>
              </w:rPr>
              <w:t>בהתאם</w:t>
            </w:r>
            <w:r w:rsidRPr="00AC1A00">
              <w:rPr>
                <w:b w:val="0"/>
                <w:bCs w:val="0"/>
                <w:sz w:val="18"/>
                <w:szCs w:val="18"/>
                <w:rtl/>
              </w:rPr>
              <w:t xml:space="preserve"> </w:t>
            </w:r>
            <w:r w:rsidRPr="00AC1A00">
              <w:rPr>
                <w:rFonts w:hint="eastAsia"/>
                <w:b w:val="0"/>
                <w:bCs w:val="0"/>
                <w:sz w:val="18"/>
                <w:szCs w:val="18"/>
                <w:rtl/>
              </w:rPr>
              <w:t>להוראת</w:t>
            </w:r>
            <w:r w:rsidRPr="00AC1A00">
              <w:rPr>
                <w:b w:val="0"/>
                <w:bCs w:val="0"/>
                <w:sz w:val="18"/>
                <w:szCs w:val="18"/>
                <w:rtl/>
              </w:rPr>
              <w:t xml:space="preserve"> </w:t>
            </w:r>
            <w:r w:rsidRPr="00AC1A00">
              <w:rPr>
                <w:rFonts w:hint="eastAsia"/>
                <w:b w:val="0"/>
                <w:bCs w:val="0"/>
                <w:sz w:val="18"/>
                <w:szCs w:val="18"/>
                <w:rtl/>
              </w:rPr>
              <w:t>ניהול</w:t>
            </w:r>
            <w:r w:rsidRPr="00AC1A00">
              <w:rPr>
                <w:b w:val="0"/>
                <w:bCs w:val="0"/>
                <w:sz w:val="18"/>
                <w:szCs w:val="18"/>
                <w:rtl/>
              </w:rPr>
              <w:t xml:space="preserve"> </w:t>
            </w:r>
            <w:r w:rsidRPr="00AC1A00">
              <w:rPr>
                <w:rFonts w:hint="eastAsia"/>
                <w:b w:val="0"/>
                <w:bCs w:val="0"/>
                <w:sz w:val="18"/>
                <w:szCs w:val="18"/>
                <w:rtl/>
              </w:rPr>
              <w:t>בנקאי</w:t>
            </w:r>
            <w:r w:rsidRPr="00AC1A00">
              <w:rPr>
                <w:b w:val="0"/>
                <w:bCs w:val="0"/>
                <w:sz w:val="18"/>
                <w:szCs w:val="18"/>
                <w:rtl/>
              </w:rPr>
              <w:t xml:space="preserve"> </w:t>
            </w:r>
            <w:r w:rsidRPr="00AC1A00">
              <w:rPr>
                <w:rFonts w:hint="eastAsia"/>
                <w:b w:val="0"/>
                <w:bCs w:val="0"/>
                <w:sz w:val="18"/>
                <w:szCs w:val="18"/>
                <w:rtl/>
              </w:rPr>
              <w:t>תקין</w:t>
            </w:r>
            <w:r w:rsidRPr="00AC1A00">
              <w:rPr>
                <w:b w:val="0"/>
                <w:bCs w:val="0"/>
                <w:sz w:val="18"/>
                <w:szCs w:val="18"/>
                <w:rtl/>
              </w:rPr>
              <w:t xml:space="preserve"> מספר 22</w:t>
            </w:r>
            <w:r>
              <w:rPr>
                <w:rFonts w:hint="cs"/>
                <w:b w:val="0"/>
                <w:bCs w:val="0"/>
                <w:sz w:val="18"/>
                <w:szCs w:val="18"/>
                <w:rtl/>
              </w:rPr>
              <w:t>2</w:t>
            </w:r>
            <w:r w:rsidRPr="00AC1A00">
              <w:rPr>
                <w:b w:val="0"/>
                <w:bCs w:val="0"/>
                <w:sz w:val="18"/>
                <w:szCs w:val="18"/>
                <w:rtl/>
              </w:rPr>
              <w:t xml:space="preserve"> </w:t>
            </w:r>
            <w:r w:rsidRPr="00AC1A00">
              <w:rPr>
                <w:rFonts w:hint="eastAsia"/>
                <w:b w:val="0"/>
                <w:bCs w:val="0"/>
                <w:sz w:val="18"/>
                <w:szCs w:val="18"/>
                <w:rtl/>
              </w:rPr>
              <w:t>בדבר</w:t>
            </w:r>
            <w:r w:rsidRPr="00AC1A00">
              <w:rPr>
                <w:b w:val="0"/>
                <w:bCs w:val="0"/>
                <w:sz w:val="18"/>
                <w:szCs w:val="18"/>
                <w:rtl/>
              </w:rPr>
              <w:t xml:space="preserve"> "יחס </w:t>
            </w:r>
            <w:r>
              <w:rPr>
                <w:rFonts w:hint="cs"/>
                <w:b w:val="0"/>
                <w:bCs w:val="0"/>
                <w:sz w:val="18"/>
                <w:szCs w:val="18"/>
                <w:rtl/>
              </w:rPr>
              <w:t>מימון יציב נטו</w:t>
            </w:r>
            <w:r w:rsidRPr="00AC1A00">
              <w:rPr>
                <w:rFonts w:hint="cs"/>
                <w:b w:val="0"/>
                <w:bCs w:val="0"/>
                <w:sz w:val="18"/>
                <w:szCs w:val="18"/>
                <w:rtl/>
              </w:rPr>
              <w:t>"</w:t>
            </w:r>
            <w:r w:rsidRPr="00AC1A00">
              <w:rPr>
                <w:b w:val="0"/>
                <w:bCs w:val="0"/>
                <w:sz w:val="18"/>
                <w:szCs w:val="18"/>
                <w:rtl/>
              </w:rPr>
              <w:t>.</w:t>
            </w:r>
          </w:p>
        </w:tc>
      </w:tr>
    </w:tbl>
    <w:p w14:paraId="0CCD5C29" w14:textId="77777777" w:rsidR="006F3019" w:rsidRPr="005407BB" w:rsidRDefault="006F3019" w:rsidP="006D22E3">
      <w:pPr>
        <w:rPr>
          <w:rtl/>
        </w:rPr>
        <w:sectPr w:rsidR="006F3019" w:rsidRPr="005407BB" w:rsidSect="00587121">
          <w:headerReference w:type="default" r:id="rId56"/>
          <w:footnotePr>
            <w:numRestart w:val="eachPage"/>
          </w:footnotePr>
          <w:pgSz w:w="11909" w:h="16834" w:code="9"/>
          <w:pgMar w:top="851" w:right="851" w:bottom="851" w:left="851" w:header="720" w:footer="720" w:gutter="0"/>
          <w:cols w:space="720"/>
          <w:bidi/>
          <w:rtlGutter/>
          <w:docGrid w:linePitch="360"/>
        </w:sectPr>
      </w:pPr>
    </w:p>
    <w:tbl>
      <w:tblPr>
        <w:bidiVisual/>
        <w:tblW w:w="4726" w:type="pct"/>
        <w:tblLook w:val="04A0" w:firstRow="1" w:lastRow="0" w:firstColumn="1" w:lastColumn="0" w:noHBand="0" w:noVBand="1"/>
      </w:tblPr>
      <w:tblGrid>
        <w:gridCol w:w="1020"/>
        <w:gridCol w:w="8628"/>
      </w:tblGrid>
      <w:tr w:rsidR="002070C0" w:rsidRPr="00543C25" w14:paraId="2FE19307" w14:textId="77777777" w:rsidTr="00F011BA">
        <w:trPr>
          <w:trHeight w:val="259"/>
        </w:trPr>
        <w:tc>
          <w:tcPr>
            <w:tcW w:w="1020" w:type="dxa"/>
          </w:tcPr>
          <w:p w14:paraId="515856B6" w14:textId="77777777" w:rsidR="002070C0" w:rsidRPr="006F1FEB" w:rsidRDefault="002070C0" w:rsidP="00396C38">
            <w:pPr>
              <w:pStyle w:val="-fa"/>
              <w:spacing w:before="0" w:after="60"/>
              <w:rPr>
                <w:color w:val="2E74B5" w:themeColor="accent1" w:themeShade="BF"/>
              </w:rPr>
            </w:pPr>
            <w:r w:rsidRPr="006F1FEB">
              <w:rPr>
                <w:color w:val="2E74B5" w:themeColor="accent1" w:themeShade="BF"/>
                <w:rtl/>
              </w:rPr>
              <w:lastRenderedPageBreak/>
              <w:br/>
            </w:r>
          </w:p>
        </w:tc>
        <w:tc>
          <w:tcPr>
            <w:tcW w:w="0" w:type="auto"/>
          </w:tcPr>
          <w:p w14:paraId="45036FB7" w14:textId="77777777" w:rsidR="002070C0" w:rsidRPr="001816D9" w:rsidRDefault="002070C0" w:rsidP="00396C38">
            <w:pPr>
              <w:pStyle w:val="-8"/>
              <w:rPr>
                <w:rtl/>
                <w:lang w:eastAsia="he-IL"/>
              </w:rPr>
            </w:pPr>
            <w:r w:rsidRPr="001816D9">
              <w:rPr>
                <w:rtl/>
              </w:rPr>
              <w:t xml:space="preserve">ביאור </w:t>
            </w:r>
            <w:r w:rsidRPr="001816D9">
              <w:rPr>
                <w:rFonts w:hint="cs"/>
                <w:rtl/>
              </w:rPr>
              <w:t>8</w:t>
            </w:r>
            <w:r w:rsidRPr="001816D9">
              <w:rPr>
                <w:rtl/>
              </w:rPr>
              <w:t xml:space="preserve"> </w:t>
            </w:r>
            <w:r w:rsidRPr="001816D9">
              <w:rPr>
                <w:rFonts w:hint="cs"/>
                <w:rtl/>
              </w:rPr>
              <w:t xml:space="preserve"> </w:t>
            </w:r>
            <w:r w:rsidRPr="001816D9">
              <w:rPr>
                <w:rtl/>
              </w:rPr>
              <w:t xml:space="preserve">- </w:t>
            </w:r>
            <w:r w:rsidRPr="001816D9">
              <w:rPr>
                <w:rFonts w:hint="cs"/>
                <w:rtl/>
              </w:rPr>
              <w:t xml:space="preserve"> הלימות הון, מינוף ונזילות לפי הוראות המפקח על הבנקים (המשך):</w:t>
            </w:r>
          </w:p>
        </w:tc>
      </w:tr>
    </w:tbl>
    <w:p w14:paraId="525FD2A2" w14:textId="77777777" w:rsidR="006501FC" w:rsidRDefault="006501FC"/>
    <w:tbl>
      <w:tblPr>
        <w:bidiVisual/>
        <w:tblW w:w="4487" w:type="pct"/>
        <w:tblLook w:val="01E0" w:firstRow="1" w:lastRow="1" w:firstColumn="1" w:lastColumn="1" w:noHBand="0" w:noVBand="0"/>
      </w:tblPr>
      <w:tblGrid>
        <w:gridCol w:w="1077"/>
        <w:gridCol w:w="8083"/>
      </w:tblGrid>
      <w:tr w:rsidR="006501FC" w:rsidRPr="00786567" w14:paraId="4957739B" w14:textId="77777777" w:rsidTr="00F011BA">
        <w:trPr>
          <w:trHeight w:val="283"/>
        </w:trPr>
        <w:tc>
          <w:tcPr>
            <w:tcW w:w="1077" w:type="dxa"/>
          </w:tcPr>
          <w:p w14:paraId="5C6625C3" w14:textId="77777777" w:rsidR="006501FC" w:rsidRPr="00786567" w:rsidRDefault="006501FC" w:rsidP="00400DD1">
            <w:pPr>
              <w:spacing w:line="241" w:lineRule="auto"/>
              <w:jc w:val="left"/>
              <w:rPr>
                <w:rtl/>
              </w:rPr>
            </w:pPr>
          </w:p>
        </w:tc>
        <w:tc>
          <w:tcPr>
            <w:tcW w:w="8083" w:type="dxa"/>
            <w:shd w:val="clear" w:color="auto" w:fill="auto"/>
          </w:tcPr>
          <w:p w14:paraId="55C38879" w14:textId="77777777" w:rsidR="006501FC" w:rsidRPr="00786567" w:rsidRDefault="006501FC" w:rsidP="00400DD1">
            <w:pPr>
              <w:spacing w:before="40" w:line="312" w:lineRule="auto"/>
              <w:ind w:left="300" w:hanging="300"/>
              <w:rPr>
                <w:b/>
                <w:bCs/>
                <w:sz w:val="19"/>
                <w:szCs w:val="19"/>
                <w:rtl/>
              </w:rPr>
            </w:pPr>
            <w:r w:rsidRPr="00786567">
              <w:rPr>
                <w:rFonts w:hint="cs"/>
                <w:b/>
                <w:bCs/>
                <w:sz w:val="19"/>
                <w:szCs w:val="19"/>
                <w:rtl/>
              </w:rPr>
              <w:t>5</w:t>
            </w:r>
            <w:r w:rsidRPr="00786567">
              <w:rPr>
                <w:b/>
                <w:bCs/>
                <w:sz w:val="19"/>
                <w:szCs w:val="19"/>
                <w:rtl/>
              </w:rPr>
              <w:t>.</w:t>
            </w:r>
            <w:r w:rsidRPr="00786567">
              <w:rPr>
                <w:b/>
                <w:bCs/>
                <w:sz w:val="19"/>
                <w:szCs w:val="19"/>
                <w:rtl/>
              </w:rPr>
              <w:tab/>
              <w:t>הוראות הנוגעות להקצאת הון בגין מכשירים פיננסיים נגזרים:</w:t>
            </w:r>
          </w:p>
        </w:tc>
      </w:tr>
      <w:tr w:rsidR="006501FC" w:rsidRPr="00786567" w14:paraId="13E3A95F" w14:textId="77777777" w:rsidTr="00F011BA">
        <w:trPr>
          <w:trHeight w:val="283"/>
        </w:trPr>
        <w:tc>
          <w:tcPr>
            <w:tcW w:w="1077" w:type="dxa"/>
          </w:tcPr>
          <w:p w14:paraId="3AFADF7E" w14:textId="77777777" w:rsidR="006501FC" w:rsidRPr="00786567" w:rsidRDefault="006501FC" w:rsidP="00400DD1">
            <w:pPr>
              <w:spacing w:line="241" w:lineRule="auto"/>
              <w:jc w:val="left"/>
              <w:rPr>
                <w:rtl/>
              </w:rPr>
            </w:pPr>
          </w:p>
        </w:tc>
        <w:tc>
          <w:tcPr>
            <w:tcW w:w="8083" w:type="dxa"/>
            <w:shd w:val="clear" w:color="auto" w:fill="auto"/>
          </w:tcPr>
          <w:p w14:paraId="455CCAFA" w14:textId="77777777" w:rsidR="006501FC" w:rsidRPr="00786567" w:rsidRDefault="006501FC" w:rsidP="00400DD1">
            <w:pPr>
              <w:spacing w:line="259" w:lineRule="auto"/>
              <w:ind w:left="323"/>
              <w:rPr>
                <w:color w:val="000000"/>
                <w:sz w:val="18"/>
                <w:szCs w:val="18"/>
                <w:rtl/>
                <w:lang w:eastAsia="he-IL"/>
              </w:rPr>
            </w:pPr>
            <w:r>
              <w:rPr>
                <w:rFonts w:hint="cs"/>
                <w:color w:val="000000"/>
                <w:sz w:val="18"/>
                <w:szCs w:val="18"/>
                <w:rtl/>
                <w:lang w:eastAsia="he-IL"/>
              </w:rPr>
              <w:t xml:space="preserve">החל מיום 1.7.2022 מיושמת </w:t>
            </w:r>
            <w:r w:rsidRPr="00786567">
              <w:rPr>
                <w:color w:val="000000"/>
                <w:sz w:val="18"/>
                <w:szCs w:val="18"/>
                <w:rtl/>
                <w:lang w:eastAsia="he-IL"/>
              </w:rPr>
              <w:t xml:space="preserve">הוראת נב"ת </w:t>
            </w:r>
            <w:r w:rsidRPr="00786567">
              <w:rPr>
                <w:color w:val="000000"/>
                <w:sz w:val="18"/>
                <w:szCs w:val="18"/>
                <w:lang w:eastAsia="he-IL"/>
              </w:rPr>
              <w:t>A</w:t>
            </w:r>
            <w:r w:rsidRPr="00786567">
              <w:rPr>
                <w:color w:val="000000"/>
                <w:sz w:val="18"/>
                <w:szCs w:val="18"/>
                <w:rtl/>
                <w:lang w:eastAsia="he-IL"/>
              </w:rPr>
              <w:t>203</w:t>
            </w:r>
            <w:r w:rsidRPr="00786567">
              <w:rPr>
                <w:color w:val="000000"/>
                <w:sz w:val="18"/>
                <w:szCs w:val="18"/>
                <w:lang w:eastAsia="he-IL"/>
              </w:rPr>
              <w:t xml:space="preserve"> </w:t>
            </w:r>
            <w:r w:rsidRPr="00786567">
              <w:rPr>
                <w:color w:val="000000"/>
                <w:sz w:val="18"/>
                <w:szCs w:val="18"/>
                <w:rtl/>
                <w:lang w:eastAsia="he-IL"/>
              </w:rPr>
              <w:t>"טיפול בסיכון אשראי של צד נגדי"</w:t>
            </w:r>
            <w:r w:rsidRPr="00786567">
              <w:rPr>
                <w:rFonts w:hint="cs"/>
                <w:color w:val="000000"/>
                <w:sz w:val="18"/>
                <w:szCs w:val="18"/>
                <w:rtl/>
                <w:lang w:eastAsia="he-IL"/>
              </w:rPr>
              <w:t>, ה</w:t>
            </w:r>
            <w:r w:rsidRPr="00786567">
              <w:rPr>
                <w:color w:val="000000"/>
                <w:sz w:val="18"/>
                <w:szCs w:val="18"/>
                <w:rtl/>
                <w:lang w:eastAsia="he-IL"/>
              </w:rPr>
              <w:t>כוללת גישה חדשה, הגישה הסטנדרטית</w:t>
            </w:r>
            <w:r w:rsidRPr="00786567">
              <w:rPr>
                <w:rFonts w:hint="cs"/>
                <w:color w:val="000000"/>
                <w:sz w:val="18"/>
                <w:szCs w:val="18"/>
                <w:rtl/>
                <w:lang w:eastAsia="he-IL"/>
              </w:rPr>
              <w:t xml:space="preserve"> </w:t>
            </w:r>
            <w:r w:rsidRPr="00786567">
              <w:rPr>
                <w:color w:val="000000"/>
                <w:sz w:val="18"/>
                <w:szCs w:val="18"/>
                <w:lang w:eastAsia="he-IL"/>
              </w:rPr>
              <w:t>SA-CCR</w:t>
            </w:r>
            <w:r w:rsidRPr="00786567">
              <w:rPr>
                <w:rFonts w:hint="cs"/>
                <w:color w:val="000000"/>
                <w:sz w:val="18"/>
                <w:szCs w:val="18"/>
                <w:rtl/>
                <w:lang w:eastAsia="he-IL"/>
              </w:rPr>
              <w:t>, ש</w:t>
            </w:r>
            <w:r w:rsidRPr="00786567">
              <w:rPr>
                <w:color w:val="000000"/>
                <w:sz w:val="18"/>
                <w:szCs w:val="18"/>
                <w:rtl/>
                <w:lang w:eastAsia="he-IL"/>
              </w:rPr>
              <w:t xml:space="preserve">מחליפה את הגישות בהוראת </w:t>
            </w:r>
            <w:r w:rsidRPr="00786567">
              <w:rPr>
                <w:rFonts w:hint="cs"/>
                <w:color w:val="000000"/>
                <w:sz w:val="18"/>
                <w:szCs w:val="18"/>
                <w:rtl/>
                <w:lang w:eastAsia="he-IL"/>
              </w:rPr>
              <w:t xml:space="preserve">נב"ת </w:t>
            </w:r>
            <w:r w:rsidRPr="00786567">
              <w:rPr>
                <w:color w:val="000000"/>
                <w:sz w:val="18"/>
                <w:szCs w:val="18"/>
                <w:rtl/>
                <w:lang w:eastAsia="he-IL"/>
              </w:rPr>
              <w:t>203</w:t>
            </w:r>
            <w:r w:rsidRPr="00786567">
              <w:rPr>
                <w:rFonts w:hint="cs"/>
                <w:color w:val="000000"/>
                <w:sz w:val="18"/>
                <w:szCs w:val="18"/>
                <w:rtl/>
                <w:lang w:eastAsia="he-IL"/>
              </w:rPr>
              <w:t xml:space="preserve"> (</w:t>
            </w:r>
            <w:r w:rsidRPr="00786567">
              <w:rPr>
                <w:color w:val="000000"/>
                <w:sz w:val="18"/>
                <w:szCs w:val="18"/>
                <w:rtl/>
                <w:lang w:eastAsia="he-IL"/>
              </w:rPr>
              <w:t>גישת החשיפה הנוכחית והגישה הסטנדרטית</w:t>
            </w:r>
            <w:r w:rsidRPr="00786567">
              <w:rPr>
                <w:rFonts w:hint="cs"/>
                <w:color w:val="000000"/>
                <w:sz w:val="18"/>
                <w:szCs w:val="18"/>
                <w:rtl/>
                <w:lang w:eastAsia="he-IL"/>
              </w:rPr>
              <w:t>)</w:t>
            </w:r>
            <w:r w:rsidRPr="00786567">
              <w:rPr>
                <w:color w:val="000000"/>
                <w:sz w:val="18"/>
                <w:szCs w:val="18"/>
                <w:rtl/>
                <w:lang w:eastAsia="he-IL"/>
              </w:rPr>
              <w:t xml:space="preserve"> לחישוב חשיפה לצד נגדי במקרה כשל </w:t>
            </w:r>
            <w:r w:rsidRPr="00786567">
              <w:rPr>
                <w:color w:val="000000"/>
                <w:sz w:val="18"/>
                <w:szCs w:val="18"/>
                <w:lang w:eastAsia="he-IL"/>
              </w:rPr>
              <w:t>EAD)</w:t>
            </w:r>
            <w:r w:rsidRPr="00786567">
              <w:rPr>
                <w:rFonts w:hint="cs"/>
                <w:color w:val="000000"/>
                <w:sz w:val="18"/>
                <w:szCs w:val="18"/>
                <w:rtl/>
                <w:lang w:eastAsia="he-IL"/>
              </w:rPr>
              <w:t xml:space="preserve">). </w:t>
            </w:r>
          </w:p>
        </w:tc>
      </w:tr>
      <w:tr w:rsidR="006501FC" w:rsidRPr="00786567" w14:paraId="3187E7C2" w14:textId="77777777" w:rsidTr="00F011BA">
        <w:trPr>
          <w:trHeight w:val="283"/>
        </w:trPr>
        <w:tc>
          <w:tcPr>
            <w:tcW w:w="1077" w:type="dxa"/>
          </w:tcPr>
          <w:p w14:paraId="1FE55F1B" w14:textId="77777777" w:rsidR="006501FC" w:rsidRPr="00786567" w:rsidRDefault="006501FC" w:rsidP="00400DD1">
            <w:pPr>
              <w:spacing w:line="241" w:lineRule="auto"/>
              <w:jc w:val="left"/>
              <w:rPr>
                <w:rtl/>
              </w:rPr>
            </w:pPr>
          </w:p>
        </w:tc>
        <w:tc>
          <w:tcPr>
            <w:tcW w:w="8083" w:type="dxa"/>
            <w:shd w:val="clear" w:color="auto" w:fill="auto"/>
          </w:tcPr>
          <w:p w14:paraId="3D7E4E20" w14:textId="77777777" w:rsidR="006501FC" w:rsidRPr="00786567" w:rsidRDefault="006501FC" w:rsidP="00400DD1">
            <w:pPr>
              <w:spacing w:after="80" w:line="259" w:lineRule="auto"/>
              <w:ind w:left="323"/>
              <w:rPr>
                <w:color w:val="000000"/>
                <w:sz w:val="18"/>
                <w:szCs w:val="18"/>
                <w:rtl/>
                <w:lang w:eastAsia="he-IL"/>
              </w:rPr>
            </w:pPr>
            <w:r w:rsidRPr="00786567">
              <w:rPr>
                <w:color w:val="000000"/>
                <w:sz w:val="18"/>
                <w:szCs w:val="18"/>
                <w:rtl/>
                <w:lang w:eastAsia="he-IL"/>
              </w:rPr>
              <w:t xml:space="preserve">יישום </w:t>
            </w:r>
            <w:r w:rsidRPr="00786567">
              <w:rPr>
                <w:rFonts w:hint="cs"/>
                <w:color w:val="000000"/>
                <w:sz w:val="18"/>
                <w:szCs w:val="18"/>
                <w:rtl/>
                <w:lang w:eastAsia="he-IL"/>
              </w:rPr>
              <w:t>הגישה החדשה</w:t>
            </w:r>
            <w:r w:rsidRPr="00786567">
              <w:rPr>
                <w:color w:val="000000"/>
                <w:sz w:val="18"/>
                <w:szCs w:val="18"/>
                <w:rtl/>
                <w:lang w:eastAsia="he-IL"/>
              </w:rPr>
              <w:t xml:space="preserve"> </w:t>
            </w:r>
            <w:r w:rsidRPr="00786567">
              <w:rPr>
                <w:rFonts w:hint="cs"/>
                <w:color w:val="000000"/>
                <w:sz w:val="18"/>
                <w:szCs w:val="18"/>
                <w:rtl/>
                <w:lang w:eastAsia="he-IL"/>
              </w:rPr>
              <w:t xml:space="preserve">מביא </w:t>
            </w:r>
            <w:r w:rsidRPr="00786567">
              <w:rPr>
                <w:color w:val="000000"/>
                <w:sz w:val="18"/>
                <w:szCs w:val="18"/>
                <w:rtl/>
                <w:lang w:eastAsia="he-IL"/>
              </w:rPr>
              <w:t xml:space="preserve">להגדלה בדרישות ההון בגין מכשירים נגזרים, לקיטון ביחס המינוף וכן </w:t>
            </w:r>
            <w:r w:rsidRPr="00786567">
              <w:rPr>
                <w:rFonts w:hint="cs"/>
                <w:color w:val="000000"/>
                <w:sz w:val="18"/>
                <w:szCs w:val="18"/>
                <w:rtl/>
                <w:lang w:eastAsia="he-IL"/>
              </w:rPr>
              <w:t>המ</w:t>
            </w:r>
            <w:r w:rsidRPr="00786567">
              <w:rPr>
                <w:color w:val="000000"/>
                <w:sz w:val="18"/>
                <w:szCs w:val="18"/>
                <w:rtl/>
                <w:lang w:eastAsia="he-IL"/>
              </w:rPr>
              <w:t xml:space="preserve">שפיע על חישוב מגבלת לווה בודד. </w:t>
            </w:r>
          </w:p>
        </w:tc>
      </w:tr>
      <w:tr w:rsidR="006501FC" w:rsidRPr="00786567" w14:paraId="7DF8B798" w14:textId="77777777" w:rsidTr="00F011BA">
        <w:trPr>
          <w:trHeight w:val="283"/>
        </w:trPr>
        <w:tc>
          <w:tcPr>
            <w:tcW w:w="1077" w:type="dxa"/>
          </w:tcPr>
          <w:p w14:paraId="45D2D7EA" w14:textId="77777777" w:rsidR="006501FC" w:rsidRPr="00786567" w:rsidRDefault="006501FC" w:rsidP="00400DD1">
            <w:pPr>
              <w:spacing w:line="241" w:lineRule="auto"/>
              <w:jc w:val="left"/>
              <w:rPr>
                <w:rtl/>
              </w:rPr>
            </w:pPr>
          </w:p>
        </w:tc>
        <w:tc>
          <w:tcPr>
            <w:tcW w:w="8083" w:type="dxa"/>
            <w:shd w:val="clear" w:color="auto" w:fill="auto"/>
          </w:tcPr>
          <w:p w14:paraId="44B20F10" w14:textId="77777777" w:rsidR="006501FC" w:rsidRPr="00786567" w:rsidRDefault="006501FC" w:rsidP="00400DD1">
            <w:pPr>
              <w:spacing w:line="259" w:lineRule="auto"/>
              <w:ind w:left="323"/>
              <w:rPr>
                <w:color w:val="000000"/>
                <w:sz w:val="18"/>
                <w:szCs w:val="18"/>
                <w:rtl/>
                <w:lang w:eastAsia="he-IL"/>
              </w:rPr>
            </w:pPr>
            <w:r w:rsidRPr="00786567">
              <w:rPr>
                <w:rFonts w:hint="cs"/>
                <w:color w:val="000000"/>
                <w:sz w:val="18"/>
                <w:szCs w:val="18"/>
                <w:rtl/>
                <w:lang w:eastAsia="he-IL"/>
              </w:rPr>
              <w:t>כמו כן</w:t>
            </w:r>
            <w:r w:rsidRPr="00786567">
              <w:rPr>
                <w:color w:val="000000"/>
                <w:sz w:val="18"/>
                <w:szCs w:val="18"/>
                <w:rtl/>
                <w:lang w:eastAsia="he-IL"/>
              </w:rPr>
              <w:t xml:space="preserve">, נוספה הוראה </w:t>
            </w:r>
            <w:r w:rsidRPr="00786567">
              <w:rPr>
                <w:color w:val="000000"/>
                <w:sz w:val="18"/>
                <w:szCs w:val="18"/>
                <w:lang w:eastAsia="he-IL"/>
              </w:rPr>
              <w:t>A</w:t>
            </w:r>
            <w:r w:rsidRPr="00786567">
              <w:rPr>
                <w:color w:val="000000"/>
                <w:sz w:val="18"/>
                <w:szCs w:val="18"/>
                <w:rtl/>
                <w:lang w:eastAsia="he-IL"/>
              </w:rPr>
              <w:t>20</w:t>
            </w:r>
            <w:r w:rsidRPr="00786567">
              <w:rPr>
                <w:rFonts w:hint="cs"/>
                <w:color w:val="000000"/>
                <w:sz w:val="18"/>
                <w:szCs w:val="18"/>
                <w:rtl/>
                <w:lang w:eastAsia="he-IL"/>
              </w:rPr>
              <w:t>8</w:t>
            </w:r>
            <w:r w:rsidRPr="00786567">
              <w:rPr>
                <w:rFonts w:hint="cs"/>
                <w:color w:val="000000"/>
                <w:sz w:val="18"/>
                <w:szCs w:val="18"/>
                <w:lang w:eastAsia="he-IL"/>
              </w:rPr>
              <w:t xml:space="preserve"> </w:t>
            </w:r>
            <w:r w:rsidRPr="00786567">
              <w:rPr>
                <w:rFonts w:hint="cs"/>
                <w:color w:val="000000"/>
                <w:sz w:val="18"/>
                <w:szCs w:val="18"/>
                <w:rtl/>
                <w:lang w:eastAsia="he-IL"/>
              </w:rPr>
              <w:t>"התאמת שווי בגין סיכון אשראי (</w:t>
            </w:r>
            <w:r w:rsidRPr="00786567">
              <w:rPr>
                <w:rFonts w:hint="cs"/>
                <w:color w:val="000000"/>
                <w:sz w:val="18"/>
                <w:szCs w:val="18"/>
                <w:lang w:eastAsia="he-IL"/>
              </w:rPr>
              <w:t>CVA</w:t>
            </w:r>
            <w:r w:rsidRPr="00786567">
              <w:rPr>
                <w:rFonts w:hint="cs"/>
                <w:color w:val="000000"/>
                <w:sz w:val="18"/>
                <w:szCs w:val="18"/>
                <w:rtl/>
                <w:lang w:eastAsia="he-IL"/>
              </w:rPr>
              <w:t xml:space="preserve">)" אשר </w:t>
            </w:r>
            <w:r w:rsidRPr="00786567">
              <w:rPr>
                <w:color w:val="000000"/>
                <w:sz w:val="18"/>
                <w:szCs w:val="18"/>
                <w:rtl/>
                <w:lang w:eastAsia="he-IL"/>
              </w:rPr>
              <w:t xml:space="preserve">מציגה גישות </w:t>
            </w:r>
            <w:r w:rsidRPr="00786567">
              <w:rPr>
                <w:rFonts w:hint="cs"/>
                <w:color w:val="000000"/>
                <w:sz w:val="18"/>
                <w:szCs w:val="18"/>
                <w:rtl/>
                <w:lang w:eastAsia="he-IL"/>
              </w:rPr>
              <w:t xml:space="preserve">חדשות </w:t>
            </w:r>
            <w:r w:rsidRPr="00786567">
              <w:rPr>
                <w:color w:val="000000"/>
                <w:sz w:val="18"/>
                <w:szCs w:val="18"/>
                <w:rtl/>
                <w:lang w:eastAsia="he-IL"/>
              </w:rPr>
              <w:t xml:space="preserve">לחישוב הקצאת הון בגין סיכון </w:t>
            </w:r>
            <w:r w:rsidRPr="00786567">
              <w:rPr>
                <w:color w:val="000000"/>
                <w:sz w:val="18"/>
                <w:szCs w:val="18"/>
                <w:lang w:eastAsia="he-IL"/>
              </w:rPr>
              <w:t>.CVA</w:t>
            </w:r>
            <w:r w:rsidRPr="00786567">
              <w:rPr>
                <w:color w:val="000000"/>
                <w:sz w:val="18"/>
                <w:szCs w:val="18"/>
                <w:rtl/>
                <w:lang w:eastAsia="he-IL"/>
              </w:rPr>
              <w:t xml:space="preserve"> ההוראה</w:t>
            </w:r>
            <w:r w:rsidRPr="00786567">
              <w:rPr>
                <w:rFonts w:hint="cs"/>
                <w:color w:val="000000"/>
                <w:sz w:val="18"/>
                <w:szCs w:val="18"/>
                <w:rtl/>
                <w:lang w:eastAsia="he-IL"/>
              </w:rPr>
              <w:t xml:space="preserve"> תיכנס </w:t>
            </w:r>
            <w:r w:rsidRPr="00786567">
              <w:rPr>
                <w:color w:val="000000"/>
                <w:sz w:val="18"/>
                <w:szCs w:val="18"/>
                <w:rtl/>
                <w:lang w:eastAsia="he-IL"/>
              </w:rPr>
              <w:t xml:space="preserve">לתוקף </w:t>
            </w:r>
            <w:r w:rsidRPr="00786567">
              <w:rPr>
                <w:rFonts w:hint="cs"/>
                <w:color w:val="000000"/>
                <w:sz w:val="18"/>
                <w:szCs w:val="18"/>
                <w:rtl/>
                <w:lang w:eastAsia="he-IL"/>
              </w:rPr>
              <w:t>ב</w:t>
            </w:r>
            <w:r w:rsidRPr="00786567">
              <w:rPr>
                <w:color w:val="000000"/>
                <w:sz w:val="18"/>
                <w:szCs w:val="18"/>
                <w:rtl/>
                <w:lang w:eastAsia="he-IL"/>
              </w:rPr>
              <w:t xml:space="preserve">יום </w:t>
            </w:r>
            <w:r w:rsidRPr="00786567">
              <w:rPr>
                <w:rFonts w:hint="cs"/>
                <w:color w:val="000000"/>
                <w:sz w:val="18"/>
                <w:szCs w:val="18"/>
                <w:rtl/>
                <w:lang w:eastAsia="he-IL"/>
              </w:rPr>
              <w:t>1.1.25</w:t>
            </w:r>
            <w:r w:rsidRPr="00786567">
              <w:rPr>
                <w:color w:val="000000"/>
                <w:sz w:val="18"/>
                <w:szCs w:val="18"/>
                <w:rtl/>
                <w:lang w:eastAsia="he-IL"/>
              </w:rPr>
              <w:t>.</w:t>
            </w:r>
          </w:p>
        </w:tc>
      </w:tr>
    </w:tbl>
    <w:p w14:paraId="4D45B514" w14:textId="77777777" w:rsidR="001816D9" w:rsidRPr="006501FC" w:rsidRDefault="001816D9"/>
    <w:p w14:paraId="561CC6F7" w14:textId="77777777" w:rsidR="002070C0" w:rsidRPr="00B42DDC" w:rsidRDefault="002070C0"/>
    <w:tbl>
      <w:tblPr>
        <w:bidiVisual/>
        <w:tblW w:w="760" w:type="pct"/>
        <w:tblLook w:val="04A0" w:firstRow="1" w:lastRow="0" w:firstColumn="1" w:lastColumn="0" w:noHBand="0" w:noVBand="1"/>
      </w:tblPr>
      <w:tblGrid>
        <w:gridCol w:w="1551"/>
      </w:tblGrid>
      <w:tr w:rsidR="003C659F" w:rsidRPr="00543C25" w14:paraId="3F4FAC6B" w14:textId="77777777" w:rsidTr="002070C0">
        <w:trPr>
          <w:trHeight w:val="259"/>
        </w:trPr>
        <w:tc>
          <w:tcPr>
            <w:tcW w:w="1551" w:type="dxa"/>
          </w:tcPr>
          <w:p w14:paraId="3D554725" w14:textId="77777777" w:rsidR="003C659F" w:rsidRPr="00030C7C" w:rsidRDefault="003C659F" w:rsidP="003C659F">
            <w:pPr>
              <w:pStyle w:val="-fa"/>
              <w:spacing w:before="0"/>
              <w:ind w:right="-142"/>
              <w:rPr>
                <w:spacing w:val="-4"/>
                <w:rtl/>
              </w:rPr>
            </w:pPr>
            <w:r w:rsidRPr="00030C7C">
              <w:rPr>
                <w:rFonts w:hint="eastAsia"/>
                <w:spacing w:val="-4"/>
                <w:rtl/>
              </w:rPr>
              <w:t>ה</w:t>
            </w:r>
            <w:r w:rsidRPr="00030C7C">
              <w:rPr>
                <w:spacing w:val="-4"/>
                <w:rtl/>
              </w:rPr>
              <w:t xml:space="preserve">. </w:t>
            </w:r>
            <w:r w:rsidRPr="00030C7C">
              <w:rPr>
                <w:rFonts w:hint="eastAsia"/>
                <w:spacing w:val="-4"/>
                <w:rtl/>
              </w:rPr>
              <w:t>המפקח</w:t>
            </w:r>
            <w:r w:rsidRPr="00030C7C">
              <w:rPr>
                <w:spacing w:val="-4"/>
                <w:rtl/>
              </w:rPr>
              <w:t xml:space="preserve"> </w:t>
            </w:r>
            <w:r w:rsidRPr="00030C7C">
              <w:rPr>
                <w:rFonts w:hint="eastAsia"/>
                <w:spacing w:val="-4"/>
                <w:rtl/>
              </w:rPr>
              <w:t>ס</w:t>
            </w:r>
            <w:r w:rsidRPr="00030C7C">
              <w:rPr>
                <w:spacing w:val="-4"/>
                <w:rtl/>
              </w:rPr>
              <w:t>' 47</w:t>
            </w:r>
          </w:p>
          <w:p w14:paraId="0B971D67" w14:textId="77777777" w:rsidR="004F4FBE" w:rsidRPr="00030C7C" w:rsidRDefault="003C659F" w:rsidP="00E148B0">
            <w:pPr>
              <w:pStyle w:val="-fa"/>
              <w:spacing w:before="0"/>
              <w:ind w:right="-142"/>
              <w:rPr>
                <w:spacing w:val="-4"/>
                <w:rtl/>
              </w:rPr>
            </w:pPr>
            <w:r w:rsidRPr="00030C7C">
              <w:rPr>
                <w:rFonts w:hint="eastAsia"/>
                <w:spacing w:val="-4"/>
                <w:rtl/>
              </w:rPr>
              <w:t>מתכונת</w:t>
            </w:r>
            <w:r w:rsidRPr="00030C7C">
              <w:rPr>
                <w:spacing w:val="-4"/>
                <w:rtl/>
              </w:rPr>
              <w:t xml:space="preserve"> </w:t>
            </w:r>
            <w:r w:rsidRPr="00030C7C">
              <w:rPr>
                <w:spacing w:val="-4"/>
                <w:rtl/>
              </w:rPr>
              <w:br w:type="page"/>
            </w:r>
            <w:r w:rsidRPr="00030C7C">
              <w:rPr>
                <w:rFonts w:hint="eastAsia"/>
                <w:spacing w:val="-4"/>
                <w:rtl/>
              </w:rPr>
              <w:t>ביאור</w:t>
            </w:r>
            <w:r w:rsidRPr="00030C7C">
              <w:rPr>
                <w:spacing w:val="-4"/>
                <w:rtl/>
              </w:rPr>
              <w:t xml:space="preserve"> </w:t>
            </w:r>
            <w:r w:rsidRPr="00030C7C">
              <w:rPr>
                <w:rFonts w:hint="eastAsia"/>
                <w:spacing w:val="-4"/>
                <w:rtl/>
              </w:rPr>
              <w:t>עמ</w:t>
            </w:r>
            <w:r w:rsidRPr="00030C7C">
              <w:rPr>
                <w:spacing w:val="-4"/>
                <w:rtl/>
              </w:rPr>
              <w:t>' 663-31</w:t>
            </w:r>
          </w:p>
        </w:tc>
      </w:tr>
    </w:tbl>
    <w:p w14:paraId="6E9660F5" w14:textId="77777777" w:rsidR="003C659F" w:rsidRDefault="003C659F" w:rsidP="00F011BA">
      <w:pPr>
        <w:pStyle w:val="5"/>
        <w:ind w:firstLine="1135"/>
      </w:pPr>
      <w:bookmarkStart w:id="35" w:name="_Toc160529228"/>
      <w:r w:rsidRPr="00B44059">
        <w:rPr>
          <w:rtl/>
        </w:rPr>
        <w:t>ביאור 9  -  התחייבויות תלויות והתקשרויות מיוחדות</w:t>
      </w:r>
      <w:r>
        <w:rPr>
          <w:rFonts w:hint="cs"/>
          <w:rtl/>
        </w:rPr>
        <w:t xml:space="preserve"> </w:t>
      </w:r>
      <w:r w:rsidRPr="00664B20">
        <w:rPr>
          <w:rStyle w:val="a7"/>
          <w:rtl/>
        </w:rPr>
        <w:footnoteReference w:id="70"/>
      </w:r>
      <w:bookmarkEnd w:id="35"/>
    </w:p>
    <w:p w14:paraId="6A3599E5" w14:textId="77777777" w:rsidR="00672326" w:rsidRDefault="00672326"/>
    <w:tbl>
      <w:tblPr>
        <w:bidiVisual/>
        <w:tblW w:w="4946" w:type="pct"/>
        <w:jc w:val="right"/>
        <w:tblLook w:val="0000" w:firstRow="0" w:lastRow="0" w:firstColumn="0" w:lastColumn="0" w:noHBand="0" w:noVBand="0"/>
      </w:tblPr>
      <w:tblGrid>
        <w:gridCol w:w="1020"/>
        <w:gridCol w:w="425"/>
        <w:gridCol w:w="8652"/>
      </w:tblGrid>
      <w:tr w:rsidR="006F3019" w:rsidRPr="007363C7" w14:paraId="25B824D2" w14:textId="77777777" w:rsidTr="00F011BA">
        <w:trPr>
          <w:trHeight w:val="245"/>
          <w:jc w:val="right"/>
        </w:trPr>
        <w:tc>
          <w:tcPr>
            <w:tcW w:w="1020" w:type="dxa"/>
          </w:tcPr>
          <w:p w14:paraId="23318AEC" w14:textId="77777777" w:rsidR="00F32A2A" w:rsidRDefault="00F32A2A">
            <w:pPr>
              <w:pStyle w:val="-7"/>
              <w:spacing w:before="100" w:after="60" w:line="240" w:lineRule="auto"/>
              <w:rPr>
                <w:spacing w:val="-4"/>
                <w:sz w:val="14"/>
                <w:szCs w:val="14"/>
                <w:rtl/>
              </w:rPr>
            </w:pPr>
          </w:p>
        </w:tc>
        <w:tc>
          <w:tcPr>
            <w:tcW w:w="425" w:type="dxa"/>
          </w:tcPr>
          <w:p w14:paraId="3EAB53BB" w14:textId="75311F1C" w:rsidR="006F3019" w:rsidRPr="00672326" w:rsidRDefault="00672326" w:rsidP="006F3019">
            <w:pPr>
              <w:pStyle w:val="-f4"/>
              <w:spacing w:line="240" w:lineRule="auto"/>
              <w:jc w:val="left"/>
              <w:rPr>
                <w:b w:val="0"/>
                <w:bCs w:val="0"/>
                <w:rtl/>
              </w:rPr>
            </w:pPr>
            <w:r w:rsidRPr="00672326">
              <w:rPr>
                <w:rFonts w:hint="cs"/>
                <w:b w:val="0"/>
                <w:bCs w:val="0"/>
                <w:rtl/>
              </w:rPr>
              <w:t>א.</w:t>
            </w:r>
          </w:p>
        </w:tc>
        <w:tc>
          <w:tcPr>
            <w:tcW w:w="8652" w:type="dxa"/>
          </w:tcPr>
          <w:p w14:paraId="4DB7F829" w14:textId="77777777" w:rsidR="006F3019" w:rsidRDefault="006F3019" w:rsidP="006F3019">
            <w:pPr>
              <w:pStyle w:val="-10"/>
              <w:spacing w:line="240" w:lineRule="auto"/>
              <w:rPr>
                <w:rtl/>
              </w:rPr>
            </w:pPr>
            <w:r w:rsidRPr="00E4386B">
              <w:rPr>
                <w:rtl/>
              </w:rPr>
              <w:t>קיימות התחייבויות תלויות והתקש</w:t>
            </w:r>
            <w:r>
              <w:rPr>
                <w:rtl/>
              </w:rPr>
              <w:t xml:space="preserve">רויות </w:t>
            </w:r>
            <w:r w:rsidRPr="008119A2">
              <w:rPr>
                <w:rtl/>
              </w:rPr>
              <w:t xml:space="preserve">מיוחדות לסוף </w:t>
            </w:r>
            <w:r w:rsidRPr="008119A2">
              <w:rPr>
                <w:rFonts w:hint="eastAsia"/>
                <w:rtl/>
              </w:rPr>
              <w:t>תקופת</w:t>
            </w:r>
            <w:r w:rsidRPr="008119A2">
              <w:rPr>
                <w:rtl/>
              </w:rPr>
              <w:t xml:space="preserve"> </w:t>
            </w:r>
            <w:r w:rsidRPr="008119A2">
              <w:rPr>
                <w:rFonts w:hint="eastAsia"/>
                <w:rtl/>
              </w:rPr>
              <w:t>הדיווח</w:t>
            </w:r>
            <w:r>
              <w:rPr>
                <w:rtl/>
              </w:rPr>
              <w:t xml:space="preserve"> כדלהלן</w:t>
            </w:r>
            <w:r>
              <w:rPr>
                <w:rFonts w:hint="cs"/>
                <w:rtl/>
              </w:rPr>
              <w:t>:</w:t>
            </w:r>
          </w:p>
        </w:tc>
      </w:tr>
    </w:tbl>
    <w:p w14:paraId="246963A8" w14:textId="77777777" w:rsidR="006F3019" w:rsidRPr="004F64E3" w:rsidRDefault="006F3019" w:rsidP="006F3019">
      <w:pPr>
        <w:rPr>
          <w:sz w:val="2"/>
          <w:szCs w:val="2"/>
          <w:rtl/>
        </w:rPr>
      </w:pPr>
    </w:p>
    <w:tbl>
      <w:tblPr>
        <w:bidiVisual/>
        <w:tblW w:w="4751" w:type="pct"/>
        <w:tblLayout w:type="fixed"/>
        <w:tblLook w:val="04A0" w:firstRow="1" w:lastRow="0" w:firstColumn="1" w:lastColumn="0" w:noHBand="0" w:noVBand="1"/>
      </w:tblPr>
      <w:tblGrid>
        <w:gridCol w:w="1550"/>
        <w:gridCol w:w="5363"/>
        <w:gridCol w:w="832"/>
        <w:gridCol w:w="976"/>
        <w:gridCol w:w="978"/>
      </w:tblGrid>
      <w:tr w:rsidR="00F011BA" w:rsidRPr="00543C25" w14:paraId="5A910C5F" w14:textId="77777777" w:rsidTr="00F011BA">
        <w:trPr>
          <w:trHeight w:val="259"/>
        </w:trPr>
        <w:tc>
          <w:tcPr>
            <w:tcW w:w="1550" w:type="dxa"/>
          </w:tcPr>
          <w:p w14:paraId="7A20F5ED" w14:textId="77777777" w:rsidR="00F011BA" w:rsidRPr="00543C25" w:rsidRDefault="00F011BA" w:rsidP="006F3019">
            <w:pPr>
              <w:pStyle w:val="-0"/>
              <w:rPr>
                <w:rtl/>
              </w:rPr>
            </w:pPr>
          </w:p>
        </w:tc>
        <w:tc>
          <w:tcPr>
            <w:tcW w:w="5362" w:type="dxa"/>
            <w:vAlign w:val="bottom"/>
          </w:tcPr>
          <w:p w14:paraId="3062AB8E" w14:textId="77777777" w:rsidR="00F011BA" w:rsidRDefault="00F011BA">
            <w:pPr>
              <w:pStyle w:val="-0"/>
              <w:rPr>
                <w:rtl/>
              </w:rPr>
            </w:pPr>
          </w:p>
        </w:tc>
        <w:tc>
          <w:tcPr>
            <w:tcW w:w="1808" w:type="dxa"/>
            <w:gridSpan w:val="2"/>
            <w:tcMar>
              <w:left w:w="58" w:type="dxa"/>
              <w:right w:w="58" w:type="dxa"/>
            </w:tcMar>
            <w:vAlign w:val="bottom"/>
          </w:tcPr>
          <w:p w14:paraId="545C3376" w14:textId="77777777" w:rsidR="00F011BA" w:rsidRPr="006F749D" w:rsidRDefault="00F011BA">
            <w:pPr>
              <w:pStyle w:val="-4"/>
              <w:pBdr>
                <w:bottom w:val="single" w:sz="4" w:space="1" w:color="auto"/>
              </w:pBdr>
              <w:rPr>
                <w:sz w:val="18"/>
                <w:szCs w:val="18"/>
                <w:rtl/>
              </w:rPr>
            </w:pPr>
            <w:r w:rsidRPr="006F749D">
              <w:rPr>
                <w:rFonts w:hint="eastAsia"/>
                <w:sz w:val="18"/>
                <w:szCs w:val="18"/>
                <w:rtl/>
              </w:rPr>
              <w:t>ליום</w:t>
            </w:r>
            <w:r w:rsidRPr="006F749D">
              <w:rPr>
                <w:sz w:val="18"/>
                <w:szCs w:val="18"/>
                <w:rtl/>
              </w:rPr>
              <w:t xml:space="preserve"> 30 </w:t>
            </w:r>
            <w:r w:rsidRPr="006F749D">
              <w:rPr>
                <w:rFonts w:hint="eastAsia"/>
                <w:sz w:val="18"/>
                <w:szCs w:val="18"/>
                <w:rtl/>
              </w:rPr>
              <w:t>ביוני</w:t>
            </w:r>
          </w:p>
        </w:tc>
        <w:tc>
          <w:tcPr>
            <w:tcW w:w="978" w:type="dxa"/>
            <w:vAlign w:val="bottom"/>
          </w:tcPr>
          <w:p w14:paraId="702F1DA4" w14:textId="77777777" w:rsidR="00F011BA" w:rsidRPr="006F749D" w:rsidRDefault="00F011BA">
            <w:pPr>
              <w:pStyle w:val="-4"/>
              <w:pBdr>
                <w:bottom w:val="single" w:sz="4" w:space="1" w:color="auto"/>
              </w:pBdr>
              <w:rPr>
                <w:sz w:val="18"/>
                <w:szCs w:val="18"/>
                <w:rtl/>
              </w:rPr>
            </w:pPr>
            <w:r w:rsidRPr="006F749D">
              <w:rPr>
                <w:rFonts w:hint="eastAsia"/>
                <w:sz w:val="18"/>
                <w:szCs w:val="18"/>
                <w:rtl/>
              </w:rPr>
              <w:t>ליום</w:t>
            </w:r>
            <w:r w:rsidRPr="006F749D">
              <w:rPr>
                <w:sz w:val="18"/>
                <w:szCs w:val="18"/>
                <w:rtl/>
              </w:rPr>
              <w:t xml:space="preserve"> 31 </w:t>
            </w:r>
            <w:r w:rsidRPr="006F749D">
              <w:rPr>
                <w:rFonts w:hint="eastAsia"/>
                <w:sz w:val="18"/>
                <w:szCs w:val="18"/>
                <w:rtl/>
              </w:rPr>
              <w:t>בדצמבר</w:t>
            </w:r>
          </w:p>
        </w:tc>
      </w:tr>
      <w:tr w:rsidR="00F011BA" w:rsidRPr="00543C25" w14:paraId="455053A7" w14:textId="77777777" w:rsidTr="00F011BA">
        <w:trPr>
          <w:trHeight w:val="259"/>
        </w:trPr>
        <w:tc>
          <w:tcPr>
            <w:tcW w:w="1550" w:type="dxa"/>
          </w:tcPr>
          <w:p w14:paraId="099472A7" w14:textId="77777777" w:rsidR="00F011BA" w:rsidRPr="00543C25" w:rsidRDefault="00F011BA" w:rsidP="006F3019">
            <w:pPr>
              <w:pStyle w:val="-0"/>
              <w:rPr>
                <w:rtl/>
              </w:rPr>
            </w:pPr>
          </w:p>
        </w:tc>
        <w:tc>
          <w:tcPr>
            <w:tcW w:w="5362" w:type="dxa"/>
            <w:vAlign w:val="bottom"/>
          </w:tcPr>
          <w:p w14:paraId="400E6F1A" w14:textId="77777777" w:rsidR="00F011BA" w:rsidRDefault="00F011BA">
            <w:pPr>
              <w:pStyle w:val="-0"/>
              <w:rPr>
                <w:rtl/>
              </w:rPr>
            </w:pPr>
          </w:p>
        </w:tc>
        <w:tc>
          <w:tcPr>
            <w:tcW w:w="832" w:type="dxa"/>
            <w:tcMar>
              <w:left w:w="58" w:type="dxa"/>
              <w:right w:w="58" w:type="dxa"/>
            </w:tcMar>
            <w:vAlign w:val="bottom"/>
          </w:tcPr>
          <w:p w14:paraId="04C9082C" w14:textId="36A6A1FD" w:rsidR="00F011BA" w:rsidRPr="006F749D" w:rsidRDefault="00F011BA" w:rsidP="001977FC">
            <w:pPr>
              <w:pStyle w:val="-4"/>
              <w:pBdr>
                <w:bottom w:val="single" w:sz="4" w:space="1" w:color="auto"/>
              </w:pBdr>
              <w:rPr>
                <w:sz w:val="18"/>
                <w:szCs w:val="18"/>
                <w:rtl/>
              </w:rPr>
            </w:pPr>
            <w:r w:rsidRPr="006F749D">
              <w:rPr>
                <w:sz w:val="18"/>
                <w:szCs w:val="18"/>
                <w:rtl/>
              </w:rPr>
              <w:fldChar w:fldCharType="begin"/>
            </w:r>
            <w:r w:rsidRPr="006F749D">
              <w:rPr>
                <w:sz w:val="18"/>
                <w:szCs w:val="18"/>
                <w:rtl/>
              </w:rPr>
              <w:instrText xml:space="preserve"> </w:instrText>
            </w:r>
            <w:r w:rsidRPr="006F749D">
              <w:rPr>
                <w:rFonts w:hint="cs"/>
                <w:sz w:val="18"/>
                <w:szCs w:val="18"/>
                <w:rtl/>
              </w:rPr>
              <w:instrText xml:space="preserve">= </w:instrText>
            </w:r>
            <w:r w:rsidRPr="006F749D">
              <w:rPr>
                <w:rFonts w:hint="cs"/>
                <w:sz w:val="18"/>
                <w:szCs w:val="18"/>
              </w:rPr>
              <w:instrText>CY \* MERGEFORMAT</w:instrText>
            </w:r>
            <w:r w:rsidRPr="006F749D">
              <w:rPr>
                <w:sz w:val="18"/>
                <w:szCs w:val="18"/>
                <w:rtl/>
              </w:rPr>
              <w:instrText xml:space="preserve"> </w:instrText>
            </w:r>
            <w:r w:rsidRPr="006F749D">
              <w:rPr>
                <w:sz w:val="18"/>
                <w:szCs w:val="18"/>
                <w:rtl/>
              </w:rPr>
              <w:fldChar w:fldCharType="separate"/>
            </w:r>
            <w:r>
              <w:rPr>
                <w:noProof/>
                <w:sz w:val="18"/>
                <w:szCs w:val="18"/>
                <w:rtl/>
              </w:rPr>
              <w:t>2024</w:t>
            </w:r>
            <w:r w:rsidRPr="006F749D">
              <w:rPr>
                <w:sz w:val="18"/>
                <w:szCs w:val="18"/>
                <w:rtl/>
              </w:rPr>
              <w:fldChar w:fldCharType="end"/>
            </w:r>
          </w:p>
        </w:tc>
        <w:tc>
          <w:tcPr>
            <w:tcW w:w="976" w:type="dxa"/>
            <w:vAlign w:val="bottom"/>
          </w:tcPr>
          <w:p w14:paraId="2F4B3DA7" w14:textId="0E24A6A1" w:rsidR="00F011BA" w:rsidRPr="006F749D" w:rsidRDefault="00F011BA" w:rsidP="008B4121">
            <w:pPr>
              <w:pStyle w:val="-4"/>
              <w:pBdr>
                <w:bottom w:val="single" w:sz="4" w:space="1" w:color="auto"/>
              </w:pBdr>
              <w:rPr>
                <w:sz w:val="18"/>
                <w:szCs w:val="18"/>
                <w:rtl/>
              </w:rPr>
            </w:pPr>
            <w:r w:rsidRPr="006F749D">
              <w:rPr>
                <w:sz w:val="18"/>
                <w:szCs w:val="18"/>
                <w:rtl/>
              </w:rPr>
              <w:fldChar w:fldCharType="begin"/>
            </w:r>
            <w:r w:rsidRPr="006F749D">
              <w:rPr>
                <w:sz w:val="18"/>
                <w:szCs w:val="18"/>
                <w:rtl/>
              </w:rPr>
              <w:instrText xml:space="preserve"> </w:instrText>
            </w:r>
            <w:r w:rsidRPr="006F749D">
              <w:rPr>
                <w:rFonts w:hint="cs"/>
                <w:sz w:val="18"/>
                <w:szCs w:val="18"/>
                <w:rtl/>
              </w:rPr>
              <w:instrText xml:space="preserve">= </w:instrText>
            </w:r>
            <w:r w:rsidRPr="006F749D">
              <w:rPr>
                <w:rFonts w:hint="cs"/>
                <w:sz w:val="18"/>
                <w:szCs w:val="18"/>
              </w:rPr>
              <w:instrText>CY</w:instrText>
            </w:r>
            <w:r w:rsidRPr="006F749D">
              <w:rPr>
                <w:sz w:val="18"/>
                <w:szCs w:val="18"/>
              </w:rPr>
              <w:instrText>-1</w:instrText>
            </w:r>
            <w:r w:rsidRPr="006F749D">
              <w:rPr>
                <w:rFonts w:hint="cs"/>
                <w:sz w:val="18"/>
                <w:szCs w:val="18"/>
              </w:rPr>
              <w:instrText xml:space="preserve"> \* MERGEFORMAT</w:instrText>
            </w:r>
            <w:r w:rsidRPr="006F749D">
              <w:rPr>
                <w:sz w:val="18"/>
                <w:szCs w:val="18"/>
                <w:rtl/>
              </w:rPr>
              <w:instrText xml:space="preserve"> </w:instrText>
            </w:r>
            <w:r w:rsidRPr="006F749D">
              <w:rPr>
                <w:sz w:val="18"/>
                <w:szCs w:val="18"/>
                <w:rtl/>
              </w:rPr>
              <w:fldChar w:fldCharType="separate"/>
            </w:r>
            <w:r>
              <w:rPr>
                <w:noProof/>
                <w:sz w:val="18"/>
                <w:szCs w:val="18"/>
                <w:rtl/>
              </w:rPr>
              <w:t>2023</w:t>
            </w:r>
            <w:r w:rsidRPr="006F749D">
              <w:rPr>
                <w:sz w:val="18"/>
                <w:szCs w:val="18"/>
                <w:rtl/>
              </w:rPr>
              <w:fldChar w:fldCharType="end"/>
            </w:r>
          </w:p>
        </w:tc>
        <w:tc>
          <w:tcPr>
            <w:tcW w:w="978" w:type="dxa"/>
            <w:vAlign w:val="bottom"/>
          </w:tcPr>
          <w:p w14:paraId="7488F5F3" w14:textId="735B2556" w:rsidR="00F011BA" w:rsidRPr="006F749D" w:rsidRDefault="00F011BA" w:rsidP="00EF3E60">
            <w:pPr>
              <w:pStyle w:val="-7"/>
              <w:pBdr>
                <w:bottom w:val="single" w:sz="4" w:space="1" w:color="auto"/>
              </w:pBdr>
              <w:jc w:val="center"/>
              <w:rPr>
                <w:b/>
                <w:bCs/>
                <w:sz w:val="18"/>
                <w:szCs w:val="18"/>
                <w:rtl/>
              </w:rPr>
            </w:pPr>
            <w:r w:rsidRPr="006F749D">
              <w:rPr>
                <w:b/>
                <w:bCs/>
                <w:sz w:val="18"/>
                <w:szCs w:val="18"/>
                <w:rtl/>
              </w:rPr>
              <w:fldChar w:fldCharType="begin"/>
            </w:r>
            <w:r w:rsidRPr="006F749D">
              <w:rPr>
                <w:b/>
                <w:bCs/>
                <w:sz w:val="18"/>
                <w:szCs w:val="18"/>
                <w:rtl/>
              </w:rPr>
              <w:instrText xml:space="preserve"> </w:instrText>
            </w:r>
            <w:r w:rsidRPr="006F749D">
              <w:rPr>
                <w:rFonts w:hint="cs"/>
                <w:b/>
                <w:bCs/>
                <w:sz w:val="18"/>
                <w:szCs w:val="18"/>
                <w:rtl/>
              </w:rPr>
              <w:instrText xml:space="preserve">= </w:instrText>
            </w:r>
            <w:r w:rsidRPr="006F749D">
              <w:rPr>
                <w:rFonts w:hint="cs"/>
                <w:b/>
                <w:bCs/>
                <w:sz w:val="18"/>
                <w:szCs w:val="18"/>
              </w:rPr>
              <w:instrText>CY</w:instrText>
            </w:r>
            <w:r w:rsidRPr="006F749D">
              <w:rPr>
                <w:b/>
                <w:bCs/>
                <w:sz w:val="18"/>
                <w:szCs w:val="18"/>
              </w:rPr>
              <w:instrText>-1</w:instrText>
            </w:r>
            <w:r w:rsidRPr="006F749D">
              <w:rPr>
                <w:rFonts w:hint="cs"/>
                <w:b/>
                <w:bCs/>
                <w:sz w:val="18"/>
                <w:szCs w:val="18"/>
              </w:rPr>
              <w:instrText xml:space="preserve"> \* MERGEFORMAT</w:instrText>
            </w:r>
            <w:r w:rsidRPr="006F749D">
              <w:rPr>
                <w:b/>
                <w:bCs/>
                <w:sz w:val="18"/>
                <w:szCs w:val="18"/>
                <w:rtl/>
              </w:rPr>
              <w:instrText xml:space="preserve"> </w:instrText>
            </w:r>
            <w:r w:rsidRPr="006F749D">
              <w:rPr>
                <w:b/>
                <w:bCs/>
                <w:sz w:val="18"/>
                <w:szCs w:val="18"/>
                <w:rtl/>
              </w:rPr>
              <w:fldChar w:fldCharType="separate"/>
            </w:r>
            <w:r>
              <w:rPr>
                <w:b/>
                <w:bCs/>
                <w:noProof/>
                <w:sz w:val="18"/>
                <w:szCs w:val="18"/>
                <w:rtl/>
              </w:rPr>
              <w:t>2023</w:t>
            </w:r>
            <w:r w:rsidRPr="006F749D">
              <w:rPr>
                <w:b/>
                <w:bCs/>
                <w:sz w:val="18"/>
                <w:szCs w:val="18"/>
                <w:rtl/>
              </w:rPr>
              <w:fldChar w:fldCharType="end"/>
            </w:r>
          </w:p>
        </w:tc>
      </w:tr>
      <w:tr w:rsidR="00F011BA" w:rsidRPr="00543C25" w14:paraId="0788090D" w14:textId="77777777" w:rsidTr="00F011BA">
        <w:trPr>
          <w:trHeight w:val="259"/>
        </w:trPr>
        <w:tc>
          <w:tcPr>
            <w:tcW w:w="1550" w:type="dxa"/>
          </w:tcPr>
          <w:p w14:paraId="35A6088F" w14:textId="77777777" w:rsidR="00F011BA" w:rsidRPr="00543C25" w:rsidRDefault="00F011BA" w:rsidP="006F3019">
            <w:pPr>
              <w:pStyle w:val="-0"/>
              <w:rPr>
                <w:rtl/>
              </w:rPr>
            </w:pPr>
          </w:p>
        </w:tc>
        <w:tc>
          <w:tcPr>
            <w:tcW w:w="5362" w:type="dxa"/>
            <w:vAlign w:val="bottom"/>
          </w:tcPr>
          <w:p w14:paraId="3493366A" w14:textId="77777777" w:rsidR="00F011BA" w:rsidRDefault="00F011BA">
            <w:pPr>
              <w:pStyle w:val="-0"/>
              <w:rPr>
                <w:rtl/>
              </w:rPr>
            </w:pPr>
          </w:p>
        </w:tc>
        <w:tc>
          <w:tcPr>
            <w:tcW w:w="1808" w:type="dxa"/>
            <w:gridSpan w:val="2"/>
            <w:tcMar>
              <w:left w:w="58" w:type="dxa"/>
              <w:right w:w="58" w:type="dxa"/>
            </w:tcMar>
            <w:vAlign w:val="bottom"/>
          </w:tcPr>
          <w:p w14:paraId="0E9B53FB" w14:textId="77777777" w:rsidR="00F011BA" w:rsidRPr="006F749D" w:rsidRDefault="00F011BA">
            <w:pPr>
              <w:pStyle w:val="-4"/>
              <w:pBdr>
                <w:bottom w:val="single" w:sz="4" w:space="1" w:color="auto"/>
              </w:pBdr>
              <w:rPr>
                <w:sz w:val="18"/>
                <w:szCs w:val="18"/>
                <w:rtl/>
              </w:rPr>
            </w:pPr>
            <w:r w:rsidRPr="006F749D">
              <w:rPr>
                <w:rFonts w:hint="eastAsia"/>
                <w:sz w:val="18"/>
                <w:szCs w:val="18"/>
                <w:rtl/>
              </w:rPr>
              <w:t>בלתי</w:t>
            </w:r>
            <w:r w:rsidRPr="006F749D">
              <w:rPr>
                <w:sz w:val="18"/>
                <w:szCs w:val="18"/>
                <w:rtl/>
              </w:rPr>
              <w:t xml:space="preserve"> </w:t>
            </w:r>
            <w:r w:rsidRPr="006F749D">
              <w:rPr>
                <w:rFonts w:hint="eastAsia"/>
                <w:sz w:val="18"/>
                <w:szCs w:val="18"/>
                <w:rtl/>
              </w:rPr>
              <w:t>מבוקר</w:t>
            </w:r>
          </w:p>
        </w:tc>
        <w:tc>
          <w:tcPr>
            <w:tcW w:w="978" w:type="dxa"/>
            <w:vAlign w:val="bottom"/>
          </w:tcPr>
          <w:p w14:paraId="77F184FE" w14:textId="77777777" w:rsidR="00F011BA" w:rsidRPr="006F749D" w:rsidRDefault="00F011BA">
            <w:pPr>
              <w:pStyle w:val="-4"/>
              <w:pBdr>
                <w:bottom w:val="single" w:sz="4" w:space="1" w:color="auto"/>
              </w:pBdr>
              <w:rPr>
                <w:sz w:val="18"/>
                <w:szCs w:val="18"/>
                <w:rtl/>
              </w:rPr>
            </w:pPr>
            <w:r w:rsidRPr="006F749D">
              <w:rPr>
                <w:rFonts w:hint="eastAsia"/>
                <w:sz w:val="18"/>
                <w:szCs w:val="18"/>
                <w:rtl/>
              </w:rPr>
              <w:t>מבוקר</w:t>
            </w:r>
          </w:p>
        </w:tc>
      </w:tr>
      <w:tr w:rsidR="00F011BA" w:rsidRPr="00543C25" w14:paraId="1B3665E0" w14:textId="77777777" w:rsidTr="00F011BA">
        <w:trPr>
          <w:trHeight w:hRule="exact" w:val="144"/>
        </w:trPr>
        <w:tc>
          <w:tcPr>
            <w:tcW w:w="1550" w:type="dxa"/>
          </w:tcPr>
          <w:p w14:paraId="08CFE61B" w14:textId="77777777" w:rsidR="00F011BA" w:rsidRDefault="00F011BA">
            <w:pPr>
              <w:pStyle w:val="-0"/>
              <w:rPr>
                <w:rtl/>
              </w:rPr>
            </w:pPr>
          </w:p>
        </w:tc>
        <w:tc>
          <w:tcPr>
            <w:tcW w:w="5362" w:type="dxa"/>
          </w:tcPr>
          <w:p w14:paraId="7111BE59" w14:textId="77777777" w:rsidR="00F011BA" w:rsidRDefault="00F011BA">
            <w:pPr>
              <w:pStyle w:val="-0"/>
              <w:rPr>
                <w:rtl/>
              </w:rPr>
            </w:pPr>
          </w:p>
        </w:tc>
        <w:tc>
          <w:tcPr>
            <w:tcW w:w="832" w:type="dxa"/>
            <w:tcMar>
              <w:left w:w="58" w:type="dxa"/>
              <w:right w:w="58" w:type="dxa"/>
            </w:tcMar>
          </w:tcPr>
          <w:p w14:paraId="50C05DCF" w14:textId="77777777" w:rsidR="00F011BA" w:rsidRDefault="00F011BA">
            <w:pPr>
              <w:pStyle w:val="-7"/>
              <w:rPr>
                <w:rtl/>
              </w:rPr>
            </w:pPr>
          </w:p>
        </w:tc>
        <w:tc>
          <w:tcPr>
            <w:tcW w:w="976" w:type="dxa"/>
            <w:vAlign w:val="bottom"/>
          </w:tcPr>
          <w:p w14:paraId="7EDBA33D" w14:textId="77777777" w:rsidR="00F011BA" w:rsidRDefault="00F011BA">
            <w:pPr>
              <w:jc w:val="center"/>
              <w:rPr>
                <w:rtl/>
              </w:rPr>
            </w:pPr>
          </w:p>
        </w:tc>
        <w:tc>
          <w:tcPr>
            <w:tcW w:w="978" w:type="dxa"/>
            <w:vAlign w:val="bottom"/>
          </w:tcPr>
          <w:p w14:paraId="4B126195" w14:textId="77777777" w:rsidR="00F011BA" w:rsidRDefault="00F011BA">
            <w:pPr>
              <w:jc w:val="center"/>
              <w:rPr>
                <w:rtl/>
              </w:rPr>
            </w:pPr>
          </w:p>
        </w:tc>
      </w:tr>
      <w:tr w:rsidR="00F011BA" w:rsidRPr="00543C25" w14:paraId="243F8D0E" w14:textId="77777777" w:rsidTr="00F011BA">
        <w:trPr>
          <w:trHeight w:val="259"/>
        </w:trPr>
        <w:tc>
          <w:tcPr>
            <w:tcW w:w="1550" w:type="dxa"/>
          </w:tcPr>
          <w:p w14:paraId="10EF0690" w14:textId="598D6DD7" w:rsidR="00F011BA" w:rsidRPr="00030C7C" w:rsidRDefault="00F011BA" w:rsidP="00500F83">
            <w:pPr>
              <w:pStyle w:val="-fa"/>
              <w:rPr>
                <w:spacing w:val="-4"/>
                <w:rtl/>
              </w:rPr>
            </w:pPr>
          </w:p>
        </w:tc>
        <w:tc>
          <w:tcPr>
            <w:tcW w:w="5362" w:type="dxa"/>
            <w:vAlign w:val="bottom"/>
          </w:tcPr>
          <w:p w14:paraId="4BF1C4A8" w14:textId="77777777" w:rsidR="00F011BA" w:rsidRPr="00DF3870" w:rsidRDefault="00F011BA" w:rsidP="006F3019">
            <w:pPr>
              <w:pStyle w:val="-0"/>
              <w:spacing w:line="240" w:lineRule="auto"/>
            </w:pPr>
            <w:r w:rsidRPr="001415AA">
              <w:rPr>
                <w:rtl/>
              </w:rPr>
              <w:t>חיתום ניירות ערך</w:t>
            </w:r>
          </w:p>
        </w:tc>
        <w:tc>
          <w:tcPr>
            <w:tcW w:w="832" w:type="dxa"/>
            <w:tcMar>
              <w:left w:w="58" w:type="dxa"/>
              <w:right w:w="58" w:type="dxa"/>
            </w:tcMar>
            <w:vAlign w:val="bottom"/>
          </w:tcPr>
          <w:p w14:paraId="15123614" w14:textId="77777777" w:rsidR="00F011BA" w:rsidRDefault="00F011BA" w:rsidP="006F3019">
            <w:pPr>
              <w:pStyle w:val="-3"/>
              <w:rPr>
                <w:rtl/>
              </w:rPr>
            </w:pPr>
            <w:r>
              <w:rPr>
                <w:rFonts w:hint="cs"/>
                <w:rtl/>
              </w:rPr>
              <w:t xml:space="preserve"> </w:t>
            </w:r>
            <w:r>
              <w:rPr>
                <w:rtl/>
              </w:rPr>
              <w:t>0</w:t>
            </w:r>
          </w:p>
        </w:tc>
        <w:tc>
          <w:tcPr>
            <w:tcW w:w="976" w:type="dxa"/>
            <w:vAlign w:val="bottom"/>
          </w:tcPr>
          <w:p w14:paraId="76B156F5" w14:textId="77777777" w:rsidR="00F011BA" w:rsidRDefault="00F011BA" w:rsidP="006F3019">
            <w:pPr>
              <w:pStyle w:val="-3"/>
              <w:rPr>
                <w:rtl/>
              </w:rPr>
            </w:pPr>
            <w:r>
              <w:rPr>
                <w:rFonts w:hint="cs"/>
                <w:rtl/>
              </w:rPr>
              <w:t xml:space="preserve"> </w:t>
            </w:r>
            <w:r>
              <w:rPr>
                <w:rtl/>
              </w:rPr>
              <w:t>0</w:t>
            </w:r>
          </w:p>
        </w:tc>
        <w:tc>
          <w:tcPr>
            <w:tcW w:w="978" w:type="dxa"/>
            <w:vAlign w:val="bottom"/>
          </w:tcPr>
          <w:p w14:paraId="0C61EFF7" w14:textId="77777777" w:rsidR="00F011BA" w:rsidRDefault="00F011BA" w:rsidP="006F3019">
            <w:pPr>
              <w:pStyle w:val="-3"/>
              <w:rPr>
                <w:rtl/>
              </w:rPr>
            </w:pPr>
            <w:r>
              <w:rPr>
                <w:rFonts w:hint="cs"/>
                <w:rtl/>
              </w:rPr>
              <w:t xml:space="preserve"> </w:t>
            </w:r>
            <w:r>
              <w:rPr>
                <w:rtl/>
              </w:rPr>
              <w:t>0</w:t>
            </w:r>
          </w:p>
        </w:tc>
      </w:tr>
      <w:tr w:rsidR="00F011BA" w:rsidRPr="00543C25" w14:paraId="2AA089D5" w14:textId="77777777" w:rsidTr="00F011BA">
        <w:trPr>
          <w:trHeight w:val="259"/>
        </w:trPr>
        <w:tc>
          <w:tcPr>
            <w:tcW w:w="1550" w:type="dxa"/>
          </w:tcPr>
          <w:p w14:paraId="35132003" w14:textId="21BBA926" w:rsidR="00F011BA" w:rsidRPr="00030C7C" w:rsidRDefault="00F011BA" w:rsidP="00500F83">
            <w:pPr>
              <w:pStyle w:val="-fa"/>
              <w:rPr>
                <w:spacing w:val="-4"/>
                <w:rtl/>
              </w:rPr>
            </w:pPr>
          </w:p>
        </w:tc>
        <w:tc>
          <w:tcPr>
            <w:tcW w:w="5362" w:type="dxa"/>
            <w:vAlign w:val="bottom"/>
          </w:tcPr>
          <w:p w14:paraId="12673E58" w14:textId="77777777" w:rsidR="00F011BA" w:rsidRDefault="00F011BA" w:rsidP="006F3019">
            <w:pPr>
              <w:pStyle w:val="-0"/>
              <w:spacing w:line="240" w:lineRule="auto"/>
              <w:rPr>
                <w:snapToGrid w:val="0"/>
                <w:rtl/>
              </w:rPr>
            </w:pPr>
            <w:r w:rsidRPr="001415AA">
              <w:rPr>
                <w:rtl/>
              </w:rPr>
              <w:t>התחייבויות לרכישת ניירות ערך</w:t>
            </w:r>
          </w:p>
        </w:tc>
        <w:tc>
          <w:tcPr>
            <w:tcW w:w="832" w:type="dxa"/>
            <w:tcMar>
              <w:left w:w="58" w:type="dxa"/>
              <w:right w:w="58" w:type="dxa"/>
            </w:tcMar>
            <w:vAlign w:val="bottom"/>
          </w:tcPr>
          <w:p w14:paraId="1DCF6EFE" w14:textId="77777777" w:rsidR="00F011BA" w:rsidRDefault="00F011BA" w:rsidP="006F3019">
            <w:pPr>
              <w:pStyle w:val="-3"/>
              <w:rPr>
                <w:rtl/>
              </w:rPr>
            </w:pPr>
            <w:r>
              <w:rPr>
                <w:rFonts w:hint="cs"/>
                <w:rtl/>
              </w:rPr>
              <w:t xml:space="preserve"> </w:t>
            </w:r>
            <w:r>
              <w:rPr>
                <w:rtl/>
              </w:rPr>
              <w:t>0</w:t>
            </w:r>
          </w:p>
        </w:tc>
        <w:tc>
          <w:tcPr>
            <w:tcW w:w="976" w:type="dxa"/>
            <w:vAlign w:val="bottom"/>
          </w:tcPr>
          <w:p w14:paraId="39E1C284" w14:textId="77777777" w:rsidR="00F011BA" w:rsidRDefault="00F011BA" w:rsidP="006F3019">
            <w:pPr>
              <w:pStyle w:val="-3"/>
              <w:rPr>
                <w:rtl/>
              </w:rPr>
            </w:pPr>
            <w:r>
              <w:rPr>
                <w:rFonts w:hint="cs"/>
                <w:rtl/>
              </w:rPr>
              <w:t xml:space="preserve"> </w:t>
            </w:r>
            <w:r>
              <w:rPr>
                <w:rtl/>
              </w:rPr>
              <w:t>0</w:t>
            </w:r>
          </w:p>
        </w:tc>
        <w:tc>
          <w:tcPr>
            <w:tcW w:w="978" w:type="dxa"/>
            <w:vAlign w:val="bottom"/>
          </w:tcPr>
          <w:p w14:paraId="24F01D4B" w14:textId="77777777" w:rsidR="00F011BA" w:rsidRDefault="00F011BA" w:rsidP="006F3019">
            <w:pPr>
              <w:pStyle w:val="-3"/>
              <w:rPr>
                <w:rtl/>
              </w:rPr>
            </w:pPr>
            <w:r>
              <w:rPr>
                <w:rFonts w:hint="cs"/>
                <w:rtl/>
              </w:rPr>
              <w:t xml:space="preserve"> </w:t>
            </w:r>
            <w:r>
              <w:rPr>
                <w:rtl/>
              </w:rPr>
              <w:t>0</w:t>
            </w:r>
          </w:p>
        </w:tc>
      </w:tr>
      <w:tr w:rsidR="00F011BA" w:rsidRPr="00543C25" w14:paraId="66575AEB" w14:textId="77777777" w:rsidTr="00F011BA">
        <w:trPr>
          <w:trHeight w:val="259"/>
        </w:trPr>
        <w:tc>
          <w:tcPr>
            <w:tcW w:w="1550" w:type="dxa"/>
          </w:tcPr>
          <w:p w14:paraId="6BD48412" w14:textId="3754DAB1" w:rsidR="00F011BA" w:rsidRPr="00030C7C" w:rsidRDefault="00F011BA" w:rsidP="00500F83">
            <w:pPr>
              <w:pStyle w:val="-fa"/>
              <w:rPr>
                <w:spacing w:val="-4"/>
                <w:rtl/>
              </w:rPr>
            </w:pPr>
          </w:p>
        </w:tc>
        <w:tc>
          <w:tcPr>
            <w:tcW w:w="5362" w:type="dxa"/>
            <w:vAlign w:val="bottom"/>
          </w:tcPr>
          <w:p w14:paraId="4EFA7FCF" w14:textId="77777777" w:rsidR="00F011BA" w:rsidRDefault="00F011BA" w:rsidP="006F3019">
            <w:pPr>
              <w:pStyle w:val="-0"/>
              <w:spacing w:line="240" w:lineRule="auto"/>
              <w:rPr>
                <w:snapToGrid w:val="0"/>
                <w:rtl/>
              </w:rPr>
            </w:pPr>
            <w:r w:rsidRPr="001415AA">
              <w:rPr>
                <w:rtl/>
              </w:rPr>
              <w:t>הקמת בניינים וציוד ורכישתם</w:t>
            </w:r>
          </w:p>
        </w:tc>
        <w:tc>
          <w:tcPr>
            <w:tcW w:w="832" w:type="dxa"/>
            <w:tcMar>
              <w:left w:w="58" w:type="dxa"/>
              <w:right w:w="58" w:type="dxa"/>
            </w:tcMar>
            <w:vAlign w:val="bottom"/>
          </w:tcPr>
          <w:p w14:paraId="7B05FE10" w14:textId="77777777" w:rsidR="00F011BA" w:rsidRDefault="00F011BA" w:rsidP="006F3019">
            <w:pPr>
              <w:pStyle w:val="-3"/>
              <w:rPr>
                <w:rtl/>
              </w:rPr>
            </w:pPr>
            <w:r>
              <w:rPr>
                <w:rFonts w:hint="cs"/>
                <w:rtl/>
              </w:rPr>
              <w:t xml:space="preserve"> </w:t>
            </w:r>
            <w:r>
              <w:rPr>
                <w:rtl/>
              </w:rPr>
              <w:t>0</w:t>
            </w:r>
          </w:p>
        </w:tc>
        <w:tc>
          <w:tcPr>
            <w:tcW w:w="976" w:type="dxa"/>
            <w:vAlign w:val="bottom"/>
          </w:tcPr>
          <w:p w14:paraId="2FF0B229" w14:textId="77777777" w:rsidR="00F011BA" w:rsidRDefault="00F011BA" w:rsidP="006F3019">
            <w:pPr>
              <w:pStyle w:val="-3"/>
              <w:rPr>
                <w:rtl/>
              </w:rPr>
            </w:pPr>
            <w:r>
              <w:rPr>
                <w:rFonts w:hint="cs"/>
                <w:rtl/>
              </w:rPr>
              <w:t xml:space="preserve"> </w:t>
            </w:r>
            <w:r>
              <w:rPr>
                <w:rtl/>
              </w:rPr>
              <w:t>0</w:t>
            </w:r>
          </w:p>
        </w:tc>
        <w:tc>
          <w:tcPr>
            <w:tcW w:w="978" w:type="dxa"/>
            <w:vAlign w:val="bottom"/>
          </w:tcPr>
          <w:p w14:paraId="3FEF9C98" w14:textId="77777777" w:rsidR="00F011BA" w:rsidRDefault="00F011BA" w:rsidP="006F3019">
            <w:pPr>
              <w:pStyle w:val="-3"/>
              <w:rPr>
                <w:rtl/>
              </w:rPr>
            </w:pPr>
            <w:r>
              <w:rPr>
                <w:rFonts w:hint="cs"/>
                <w:rtl/>
              </w:rPr>
              <w:t xml:space="preserve"> </w:t>
            </w:r>
            <w:r>
              <w:rPr>
                <w:rtl/>
              </w:rPr>
              <w:t>0</w:t>
            </w:r>
          </w:p>
        </w:tc>
      </w:tr>
      <w:tr w:rsidR="00F011BA" w:rsidRPr="00030C2B" w14:paraId="5CB51769" w14:textId="77777777" w:rsidTr="00F011BA">
        <w:trPr>
          <w:trHeight w:val="259"/>
        </w:trPr>
        <w:tc>
          <w:tcPr>
            <w:tcW w:w="1550" w:type="dxa"/>
          </w:tcPr>
          <w:p w14:paraId="4047D232" w14:textId="77777777" w:rsidR="00F011BA" w:rsidRPr="00030C2B" w:rsidRDefault="00F011BA" w:rsidP="006F3019">
            <w:pPr>
              <w:pStyle w:val="-0"/>
              <w:rPr>
                <w:rtl/>
              </w:rPr>
            </w:pPr>
          </w:p>
        </w:tc>
        <w:tc>
          <w:tcPr>
            <w:tcW w:w="5362" w:type="dxa"/>
            <w:vAlign w:val="bottom"/>
          </w:tcPr>
          <w:p w14:paraId="23986A68" w14:textId="77777777" w:rsidR="00F011BA" w:rsidRPr="00030C2B" w:rsidRDefault="00F011BA" w:rsidP="006F3019">
            <w:pPr>
              <w:pStyle w:val="-0"/>
              <w:spacing w:line="240" w:lineRule="auto"/>
              <w:rPr>
                <w:snapToGrid w:val="0"/>
                <w:rtl/>
              </w:rPr>
            </w:pPr>
            <w:r w:rsidRPr="00030C2B">
              <w:rPr>
                <w:rtl/>
              </w:rPr>
              <w:t>אחרות</w:t>
            </w:r>
          </w:p>
        </w:tc>
        <w:tc>
          <w:tcPr>
            <w:tcW w:w="832" w:type="dxa"/>
            <w:tcMar>
              <w:left w:w="58" w:type="dxa"/>
              <w:right w:w="58" w:type="dxa"/>
            </w:tcMar>
            <w:vAlign w:val="bottom"/>
          </w:tcPr>
          <w:p w14:paraId="2936E436" w14:textId="77777777" w:rsidR="00F011BA" w:rsidRPr="00030C2B" w:rsidRDefault="00F011BA" w:rsidP="006F3019">
            <w:pPr>
              <w:pStyle w:val="-3"/>
              <w:rPr>
                <w:rtl/>
              </w:rPr>
            </w:pPr>
            <w:r w:rsidRPr="00030C2B">
              <w:rPr>
                <w:rFonts w:hint="cs"/>
                <w:rtl/>
              </w:rPr>
              <w:t xml:space="preserve"> </w:t>
            </w:r>
            <w:r w:rsidRPr="00030C2B">
              <w:rPr>
                <w:rtl/>
              </w:rPr>
              <w:t>0</w:t>
            </w:r>
          </w:p>
        </w:tc>
        <w:tc>
          <w:tcPr>
            <w:tcW w:w="976" w:type="dxa"/>
            <w:vAlign w:val="bottom"/>
          </w:tcPr>
          <w:p w14:paraId="39DDA995" w14:textId="77777777" w:rsidR="00F011BA" w:rsidRPr="00030C2B" w:rsidRDefault="00F011BA" w:rsidP="006F3019">
            <w:pPr>
              <w:pStyle w:val="-3"/>
              <w:rPr>
                <w:rtl/>
              </w:rPr>
            </w:pPr>
            <w:r w:rsidRPr="00030C2B">
              <w:rPr>
                <w:rFonts w:hint="cs"/>
                <w:rtl/>
              </w:rPr>
              <w:t xml:space="preserve"> </w:t>
            </w:r>
            <w:r w:rsidRPr="00030C2B">
              <w:rPr>
                <w:rtl/>
              </w:rPr>
              <w:t>0</w:t>
            </w:r>
          </w:p>
        </w:tc>
        <w:tc>
          <w:tcPr>
            <w:tcW w:w="978" w:type="dxa"/>
            <w:vAlign w:val="bottom"/>
          </w:tcPr>
          <w:p w14:paraId="07BF9B4A" w14:textId="77777777" w:rsidR="00F011BA" w:rsidRPr="00030C2B" w:rsidRDefault="00F011BA" w:rsidP="006F3019">
            <w:pPr>
              <w:pStyle w:val="-3"/>
              <w:rPr>
                <w:rtl/>
              </w:rPr>
            </w:pPr>
            <w:r w:rsidRPr="00030C2B">
              <w:rPr>
                <w:rFonts w:hint="cs"/>
                <w:rtl/>
              </w:rPr>
              <w:t xml:space="preserve"> </w:t>
            </w:r>
            <w:r w:rsidRPr="00030C2B">
              <w:rPr>
                <w:rtl/>
              </w:rPr>
              <w:t>0</w:t>
            </w:r>
          </w:p>
        </w:tc>
      </w:tr>
      <w:tr w:rsidR="00F011BA" w:rsidRPr="00030C2B" w14:paraId="257C6E32" w14:textId="77777777" w:rsidTr="00F011BA">
        <w:trPr>
          <w:trHeight w:val="259"/>
        </w:trPr>
        <w:tc>
          <w:tcPr>
            <w:tcW w:w="1550" w:type="dxa"/>
          </w:tcPr>
          <w:p w14:paraId="2A4FF375" w14:textId="77777777" w:rsidR="00F011BA" w:rsidRPr="00030C2B" w:rsidRDefault="00F011BA" w:rsidP="006F3019">
            <w:pPr>
              <w:pStyle w:val="-0"/>
              <w:rPr>
                <w:rtl/>
              </w:rPr>
            </w:pPr>
          </w:p>
        </w:tc>
        <w:tc>
          <w:tcPr>
            <w:tcW w:w="5362" w:type="dxa"/>
            <w:vAlign w:val="bottom"/>
          </w:tcPr>
          <w:p w14:paraId="029A7521" w14:textId="77777777" w:rsidR="00F011BA" w:rsidRPr="00030C2B" w:rsidRDefault="00F011BA" w:rsidP="006F3019">
            <w:pPr>
              <w:pStyle w:val="-0"/>
            </w:pPr>
          </w:p>
        </w:tc>
        <w:tc>
          <w:tcPr>
            <w:tcW w:w="832" w:type="dxa"/>
            <w:tcMar>
              <w:left w:w="58" w:type="dxa"/>
              <w:right w:w="58" w:type="dxa"/>
            </w:tcMar>
            <w:vAlign w:val="bottom"/>
          </w:tcPr>
          <w:p w14:paraId="7A8C2736" w14:textId="77777777" w:rsidR="00F011BA" w:rsidRPr="00030C2B" w:rsidRDefault="00F011BA" w:rsidP="006F3019">
            <w:pPr>
              <w:pStyle w:val="-7"/>
              <w:rPr>
                <w:rtl/>
              </w:rPr>
            </w:pPr>
          </w:p>
        </w:tc>
        <w:tc>
          <w:tcPr>
            <w:tcW w:w="976" w:type="dxa"/>
            <w:vAlign w:val="bottom"/>
          </w:tcPr>
          <w:p w14:paraId="6DC9339C" w14:textId="77777777" w:rsidR="00F011BA" w:rsidRPr="00030C2B" w:rsidRDefault="00F011BA" w:rsidP="006F3019">
            <w:pPr>
              <w:pStyle w:val="-3"/>
              <w:rPr>
                <w:rtl/>
              </w:rPr>
            </w:pPr>
          </w:p>
        </w:tc>
        <w:tc>
          <w:tcPr>
            <w:tcW w:w="978" w:type="dxa"/>
            <w:vAlign w:val="bottom"/>
          </w:tcPr>
          <w:p w14:paraId="5ACDD54A" w14:textId="77777777" w:rsidR="00F011BA" w:rsidRPr="00030C2B" w:rsidRDefault="00F011BA" w:rsidP="006F3019">
            <w:pPr>
              <w:pStyle w:val="-3"/>
              <w:rPr>
                <w:rtl/>
              </w:rPr>
            </w:pPr>
          </w:p>
        </w:tc>
      </w:tr>
    </w:tbl>
    <w:p w14:paraId="319C46BC" w14:textId="77777777" w:rsidR="006F3019" w:rsidRPr="00030C2B" w:rsidRDefault="006F3019" w:rsidP="006F3019">
      <w:pPr>
        <w:rPr>
          <w:sz w:val="2"/>
          <w:szCs w:val="2"/>
          <w:rtl/>
        </w:rPr>
      </w:pPr>
    </w:p>
    <w:tbl>
      <w:tblPr>
        <w:bidiVisual/>
        <w:tblW w:w="4918" w:type="pct"/>
        <w:jc w:val="right"/>
        <w:tblLook w:val="0000" w:firstRow="0" w:lastRow="0" w:firstColumn="0" w:lastColumn="0" w:noHBand="0" w:noVBand="0"/>
      </w:tblPr>
      <w:tblGrid>
        <w:gridCol w:w="973"/>
        <w:gridCol w:w="425"/>
        <w:gridCol w:w="8642"/>
      </w:tblGrid>
      <w:tr w:rsidR="006F3019" w:rsidRPr="00030C2B" w14:paraId="43C274F8" w14:textId="77777777" w:rsidTr="00F011BA">
        <w:trPr>
          <w:trHeight w:val="245"/>
          <w:jc w:val="right"/>
        </w:trPr>
        <w:tc>
          <w:tcPr>
            <w:tcW w:w="973" w:type="dxa"/>
          </w:tcPr>
          <w:p w14:paraId="6B478E01" w14:textId="77777777" w:rsidR="006F3019" w:rsidRPr="00030C2B" w:rsidRDefault="006F3019" w:rsidP="006F3019">
            <w:pPr>
              <w:pStyle w:val="-7"/>
              <w:spacing w:before="60" w:after="60" w:line="240" w:lineRule="auto"/>
              <w:rPr>
                <w:rtl/>
              </w:rPr>
            </w:pPr>
          </w:p>
        </w:tc>
        <w:tc>
          <w:tcPr>
            <w:tcW w:w="425" w:type="dxa"/>
          </w:tcPr>
          <w:p w14:paraId="331FBE5D" w14:textId="5A799F1D" w:rsidR="006F3019" w:rsidRPr="00672326" w:rsidRDefault="00672326" w:rsidP="006F3019">
            <w:pPr>
              <w:pStyle w:val="-f4"/>
              <w:spacing w:line="240" w:lineRule="auto"/>
              <w:jc w:val="left"/>
              <w:rPr>
                <w:b w:val="0"/>
                <w:bCs w:val="0"/>
                <w:rtl/>
              </w:rPr>
            </w:pPr>
            <w:r w:rsidRPr="00672326">
              <w:rPr>
                <w:rFonts w:hint="cs"/>
                <w:b w:val="0"/>
                <w:bCs w:val="0"/>
                <w:rtl/>
              </w:rPr>
              <w:t>ב.</w:t>
            </w:r>
          </w:p>
        </w:tc>
        <w:tc>
          <w:tcPr>
            <w:tcW w:w="8642" w:type="dxa"/>
          </w:tcPr>
          <w:p w14:paraId="63D6D551" w14:textId="77777777" w:rsidR="00F32A2A" w:rsidRDefault="006F3019">
            <w:pPr>
              <w:pStyle w:val="-10"/>
              <w:spacing w:line="240" w:lineRule="auto"/>
              <w:ind w:left="241" w:hanging="241"/>
              <w:rPr>
                <w:rtl/>
              </w:rPr>
            </w:pPr>
            <w:r w:rsidRPr="00030C2B">
              <w:rPr>
                <w:rtl/>
              </w:rPr>
              <w:t>ערבות התאגיד הבנקאי וחברות ב</w:t>
            </w:r>
            <w:r>
              <w:rPr>
                <w:rFonts w:hint="cs"/>
                <w:rtl/>
              </w:rPr>
              <w:t>נו</w:t>
            </w:r>
            <w:r w:rsidRPr="00030C2B">
              <w:rPr>
                <w:rtl/>
              </w:rPr>
              <w:t xml:space="preserve">ת שלו </w:t>
            </w:r>
            <w:r w:rsidRPr="00030C2B">
              <w:rPr>
                <w:rFonts w:hint="cs"/>
                <w:rtl/>
              </w:rPr>
              <w:t xml:space="preserve">___ </w:t>
            </w:r>
            <w:r w:rsidRPr="00030C2B">
              <w:rPr>
                <w:rtl/>
              </w:rPr>
              <w:t xml:space="preserve">לחברי קופת גמל של </w:t>
            </w:r>
            <w:r w:rsidRPr="00030C2B">
              <w:rPr>
                <w:rFonts w:hint="cs"/>
                <w:rtl/>
              </w:rPr>
              <w:t>___.</w:t>
            </w:r>
            <w:r w:rsidRPr="00D429C3">
              <w:rPr>
                <w:rFonts w:hint="cs"/>
                <w:sz w:val="18"/>
                <w:szCs w:val="18"/>
                <w:vertAlign w:val="superscript"/>
                <w:rtl/>
              </w:rPr>
              <w:t>[</w:t>
            </w:r>
            <w:r w:rsidRPr="00D429C3">
              <w:rPr>
                <w:rStyle w:val="a7"/>
                <w:sz w:val="18"/>
                <w:szCs w:val="18"/>
                <w:rtl/>
              </w:rPr>
              <w:footnoteReference w:id="71"/>
            </w:r>
            <w:r w:rsidRPr="00D429C3">
              <w:rPr>
                <w:rFonts w:hint="cs"/>
                <w:sz w:val="18"/>
                <w:szCs w:val="18"/>
                <w:vertAlign w:val="superscript"/>
                <w:rtl/>
              </w:rPr>
              <w:t>]</w:t>
            </w:r>
          </w:p>
        </w:tc>
      </w:tr>
      <w:tr w:rsidR="006F3019" w:rsidRPr="007363C7" w14:paraId="48CF8905" w14:textId="77777777" w:rsidTr="00F011BA">
        <w:trPr>
          <w:trHeight w:val="245"/>
          <w:jc w:val="right"/>
        </w:trPr>
        <w:tc>
          <w:tcPr>
            <w:tcW w:w="973" w:type="dxa"/>
          </w:tcPr>
          <w:p w14:paraId="160E2131" w14:textId="77777777" w:rsidR="00F32A2A" w:rsidRDefault="00F32A2A">
            <w:pPr>
              <w:pStyle w:val="-7"/>
              <w:spacing w:before="120" w:after="60" w:line="240" w:lineRule="auto"/>
              <w:rPr>
                <w:rtl/>
              </w:rPr>
            </w:pPr>
          </w:p>
        </w:tc>
        <w:tc>
          <w:tcPr>
            <w:tcW w:w="425" w:type="dxa"/>
          </w:tcPr>
          <w:p w14:paraId="371C1923" w14:textId="49E5E8EE" w:rsidR="00F32A2A" w:rsidRPr="00672326" w:rsidRDefault="00672326">
            <w:pPr>
              <w:pStyle w:val="-f4"/>
              <w:spacing w:before="120" w:line="240" w:lineRule="auto"/>
              <w:jc w:val="left"/>
              <w:rPr>
                <w:b w:val="0"/>
                <w:bCs w:val="0"/>
                <w:rtl/>
              </w:rPr>
            </w:pPr>
            <w:r>
              <w:rPr>
                <w:rFonts w:hint="cs"/>
                <w:b w:val="0"/>
                <w:bCs w:val="0"/>
                <w:rtl/>
              </w:rPr>
              <w:t>ג</w:t>
            </w:r>
            <w:r w:rsidRPr="00672326">
              <w:rPr>
                <w:rFonts w:hint="cs"/>
                <w:b w:val="0"/>
                <w:bCs w:val="0"/>
                <w:rtl/>
              </w:rPr>
              <w:t>.</w:t>
            </w:r>
          </w:p>
        </w:tc>
        <w:tc>
          <w:tcPr>
            <w:tcW w:w="8642" w:type="dxa"/>
          </w:tcPr>
          <w:p w14:paraId="4BFD205E" w14:textId="77777777" w:rsidR="00F32A2A" w:rsidRPr="00672326" w:rsidRDefault="006F3019">
            <w:pPr>
              <w:pStyle w:val="-10"/>
              <w:spacing w:before="120" w:line="240" w:lineRule="auto"/>
              <w:rPr>
                <w:rtl/>
              </w:rPr>
            </w:pPr>
            <w:r w:rsidRPr="00672326">
              <w:rPr>
                <w:rFonts w:hint="cs"/>
                <w:rtl/>
              </w:rPr>
              <w:t>תביעות משפטיות:</w:t>
            </w:r>
          </w:p>
        </w:tc>
      </w:tr>
      <w:tr w:rsidR="006F3019" w:rsidRPr="007363C7" w14:paraId="0111BFEF" w14:textId="77777777" w:rsidTr="00F011BA">
        <w:trPr>
          <w:trHeight w:val="245"/>
          <w:jc w:val="right"/>
        </w:trPr>
        <w:tc>
          <w:tcPr>
            <w:tcW w:w="973" w:type="dxa"/>
          </w:tcPr>
          <w:p w14:paraId="5CC85A9C" w14:textId="77777777" w:rsidR="006F3019" w:rsidRPr="00030C2B" w:rsidRDefault="006F3019" w:rsidP="006F3019">
            <w:pPr>
              <w:pStyle w:val="-7"/>
              <w:spacing w:before="60" w:after="60" w:line="240" w:lineRule="auto"/>
              <w:rPr>
                <w:rtl/>
              </w:rPr>
            </w:pPr>
          </w:p>
        </w:tc>
        <w:tc>
          <w:tcPr>
            <w:tcW w:w="425" w:type="dxa"/>
          </w:tcPr>
          <w:p w14:paraId="0D48EBB1" w14:textId="77777777" w:rsidR="006F3019" w:rsidRPr="00030C2B" w:rsidRDefault="006F3019" w:rsidP="006F3019">
            <w:pPr>
              <w:pStyle w:val="-f4"/>
              <w:spacing w:line="240" w:lineRule="auto"/>
              <w:jc w:val="left"/>
              <w:rPr>
                <w:rtl/>
              </w:rPr>
            </w:pPr>
          </w:p>
        </w:tc>
        <w:tc>
          <w:tcPr>
            <w:tcW w:w="8642" w:type="dxa"/>
          </w:tcPr>
          <w:p w14:paraId="096A9071" w14:textId="49ABE67A" w:rsidR="008B3A9A" w:rsidRDefault="008B3A9A" w:rsidP="008B3A9A">
            <w:pPr>
              <w:pStyle w:val="-10"/>
              <w:spacing w:line="240" w:lineRule="auto"/>
              <w:rPr>
                <w:rtl/>
              </w:rPr>
            </w:pPr>
            <w:r w:rsidRPr="008B3A9A">
              <w:rPr>
                <w:rtl/>
              </w:rPr>
              <w:t>נגד התאגיד הבנקאי וחברות בנות שלו קיימות תביעות תלויות שונות לרבות תביעות ייצוגיות.</w:t>
            </w:r>
          </w:p>
          <w:p w14:paraId="08A89BB6" w14:textId="77777777" w:rsidR="006F3019" w:rsidRDefault="008B3A9A" w:rsidP="008B3A9A">
            <w:pPr>
              <w:pStyle w:val="-10"/>
              <w:spacing w:line="240" w:lineRule="auto"/>
              <w:rPr>
                <w:rtl/>
              </w:rPr>
            </w:pPr>
            <w:r w:rsidRPr="008B3A9A">
              <w:rPr>
                <w:rtl/>
              </w:rPr>
              <w:t>לדעת הנהלת התאגיד הבנקאי, המסתמכת על חוות דעת משפטיות באשר לסיכויי תביעות תלויות, נכללו בדוחות הכספיים הפרשות נאותות, בהתאם לכללי חשבונאות מקובלים.</w:t>
            </w:r>
          </w:p>
          <w:p w14:paraId="626969EE" w14:textId="383E0961" w:rsidR="008B3A9A" w:rsidDel="00FA201E" w:rsidRDefault="008B3A9A" w:rsidP="008B3A9A">
            <w:pPr>
              <w:pStyle w:val="-10"/>
              <w:spacing w:line="240" w:lineRule="auto"/>
              <w:rPr>
                <w:rtl/>
              </w:rPr>
            </w:pPr>
            <w:r w:rsidRPr="00D34C2D">
              <w:rPr>
                <w:rFonts w:hint="cs"/>
                <w:szCs w:val="18"/>
                <w:rtl/>
              </w:rPr>
              <w:t>לגבי תביעות תלויות והתקשרויות מיוחדות אחרות שניתן להן גילוי בדוח הכספי השנתי ליום 31 בדצמבר</w:t>
            </w:r>
            <w:r w:rsidR="0031500E">
              <w:rPr>
                <w:rFonts w:hint="cs"/>
                <w:szCs w:val="18"/>
                <w:rtl/>
              </w:rPr>
              <w:t xml:space="preserve"> </w:t>
            </w:r>
            <w:r>
              <w:rPr>
                <w:rFonts w:hint="cs"/>
                <w:szCs w:val="18"/>
                <w:rtl/>
              </w:rPr>
              <w:t>2022</w:t>
            </w:r>
            <w:r w:rsidR="0031500E">
              <w:rPr>
                <w:rFonts w:hint="cs"/>
                <w:szCs w:val="18"/>
                <w:rtl/>
              </w:rPr>
              <w:t>, ראה פירוט בביאורים המתייחסים.</w:t>
            </w:r>
          </w:p>
        </w:tc>
      </w:tr>
    </w:tbl>
    <w:p w14:paraId="20FCD997" w14:textId="77777777" w:rsidR="006F3019" w:rsidRDefault="006F3019" w:rsidP="006F3019">
      <w:pPr>
        <w:rPr>
          <w:rtl/>
        </w:rPr>
      </w:pPr>
    </w:p>
    <w:p w14:paraId="1F343E51" w14:textId="77777777" w:rsidR="006F3019" w:rsidRDefault="006F3019" w:rsidP="006F3019">
      <w:pPr>
        <w:rPr>
          <w:rtl/>
        </w:rPr>
      </w:pPr>
    </w:p>
    <w:p w14:paraId="32475AD8" w14:textId="77777777" w:rsidR="003F7545" w:rsidRDefault="003F7545" w:rsidP="006F3019">
      <w:pPr>
        <w:rPr>
          <w:rtl/>
        </w:rPr>
      </w:pPr>
    </w:p>
    <w:p w14:paraId="7674CF25" w14:textId="77777777" w:rsidR="003F7545" w:rsidRDefault="003F7545" w:rsidP="006F3019">
      <w:pPr>
        <w:rPr>
          <w:rtl/>
        </w:rPr>
      </w:pPr>
    </w:p>
    <w:p w14:paraId="7A3BA940" w14:textId="77777777" w:rsidR="003F7545" w:rsidRDefault="003F7545" w:rsidP="006F3019">
      <w:pPr>
        <w:rPr>
          <w:rtl/>
        </w:rPr>
      </w:pPr>
    </w:p>
    <w:p w14:paraId="5DD8E692" w14:textId="77777777" w:rsidR="003F7545" w:rsidRDefault="003F7545" w:rsidP="006F3019">
      <w:pPr>
        <w:rPr>
          <w:rtl/>
        </w:rPr>
      </w:pPr>
    </w:p>
    <w:p w14:paraId="651265A6" w14:textId="77777777" w:rsidR="003F7545" w:rsidRDefault="003F7545" w:rsidP="006F3019">
      <w:pPr>
        <w:rPr>
          <w:rtl/>
        </w:rPr>
      </w:pPr>
    </w:p>
    <w:p w14:paraId="0DD27FC1" w14:textId="77777777" w:rsidR="003F7545" w:rsidRDefault="003F7545" w:rsidP="006F3019">
      <w:pPr>
        <w:rPr>
          <w:rtl/>
        </w:rPr>
      </w:pPr>
    </w:p>
    <w:p w14:paraId="5F7BB88C" w14:textId="77777777" w:rsidR="003F7545" w:rsidRDefault="003F7545" w:rsidP="006F3019">
      <w:pPr>
        <w:rPr>
          <w:rtl/>
        </w:rPr>
      </w:pPr>
    </w:p>
    <w:p w14:paraId="0EFF6E5D" w14:textId="77777777" w:rsidR="00672326" w:rsidRDefault="00672326">
      <w:pPr>
        <w:bidi w:val="0"/>
        <w:jc w:val="left"/>
        <w:rPr>
          <w:rFonts w:ascii="Calibri" w:hAnsi="Calibri"/>
          <w:b/>
          <w:bCs/>
          <w:i/>
          <w:sz w:val="26"/>
          <w:szCs w:val="22"/>
          <w:rtl/>
        </w:rPr>
      </w:pPr>
      <w:r>
        <w:rPr>
          <w:rtl/>
        </w:rPr>
        <w:br w:type="page"/>
      </w:r>
    </w:p>
    <w:p w14:paraId="2E2927CB" w14:textId="77777777" w:rsidR="00A0684C" w:rsidRDefault="00A0684C" w:rsidP="007E4CF9">
      <w:pPr>
        <w:pStyle w:val="5"/>
        <w:ind w:firstLine="1135"/>
      </w:pPr>
      <w:bookmarkStart w:id="36" w:name="_Toc160529229"/>
      <w:r w:rsidRPr="007369EE">
        <w:rPr>
          <w:rFonts w:eastAsia="Arial Unicode MS"/>
          <w:rtl/>
        </w:rPr>
        <w:lastRenderedPageBreak/>
        <w:t xml:space="preserve">ביאור </w:t>
      </w:r>
      <w:r>
        <w:rPr>
          <w:rFonts w:eastAsia="Arial Unicode MS" w:hint="cs"/>
          <w:rtl/>
        </w:rPr>
        <w:t>10</w:t>
      </w:r>
      <w:r w:rsidRPr="007369EE">
        <w:rPr>
          <w:rFonts w:eastAsia="Arial Unicode MS" w:hint="cs"/>
          <w:rtl/>
        </w:rPr>
        <w:t xml:space="preserve">  </w:t>
      </w:r>
      <w:r w:rsidRPr="007369EE">
        <w:rPr>
          <w:rFonts w:eastAsia="Arial Unicode MS"/>
          <w:rtl/>
        </w:rPr>
        <w:t>-</w:t>
      </w:r>
      <w:r w:rsidRPr="007369EE">
        <w:rPr>
          <w:rFonts w:eastAsia="Arial Unicode MS" w:hint="cs"/>
          <w:rtl/>
        </w:rPr>
        <w:t xml:space="preserve"> </w:t>
      </w:r>
      <w:r w:rsidRPr="007369EE">
        <w:rPr>
          <w:rFonts w:eastAsia="Arial Unicode MS"/>
          <w:rtl/>
        </w:rPr>
        <w:t xml:space="preserve"> </w:t>
      </w:r>
      <w:r>
        <w:rPr>
          <w:rFonts w:hint="cs"/>
          <w:rtl/>
        </w:rPr>
        <w:t xml:space="preserve">פעילות במכשירים נגזרים </w:t>
      </w:r>
      <w:r>
        <w:t>-</w:t>
      </w:r>
      <w:r>
        <w:rPr>
          <w:rFonts w:hint="cs"/>
          <w:rtl/>
        </w:rPr>
        <w:t xml:space="preserve"> היקף, סיכוני אשראי ומועדי פירעון</w:t>
      </w:r>
      <w:bookmarkEnd w:id="36"/>
    </w:p>
    <w:tbl>
      <w:tblPr>
        <w:bidiVisual/>
        <w:tblW w:w="5000" w:type="pct"/>
        <w:jc w:val="right"/>
        <w:tblLook w:val="0000" w:firstRow="0" w:lastRow="0" w:firstColumn="0" w:lastColumn="0" w:noHBand="0" w:noVBand="0"/>
      </w:tblPr>
      <w:tblGrid>
        <w:gridCol w:w="1135"/>
        <w:gridCol w:w="425"/>
        <w:gridCol w:w="8647"/>
      </w:tblGrid>
      <w:tr w:rsidR="00601E8F" w:rsidRPr="007363C7" w14:paraId="5020056C" w14:textId="77777777" w:rsidTr="007E4CF9">
        <w:trPr>
          <w:trHeight w:val="245"/>
          <w:jc w:val="right"/>
        </w:trPr>
        <w:tc>
          <w:tcPr>
            <w:tcW w:w="1135" w:type="dxa"/>
          </w:tcPr>
          <w:p w14:paraId="0E92E28A" w14:textId="77777777" w:rsidR="0086769E" w:rsidRDefault="002955F7" w:rsidP="0086769E">
            <w:pPr>
              <w:pStyle w:val="-fa"/>
              <w:spacing w:before="40" w:line="192" w:lineRule="auto"/>
              <w:ind w:right="-142"/>
              <w:rPr>
                <w:spacing w:val="-4"/>
                <w:rtl/>
              </w:rPr>
            </w:pPr>
            <w:r w:rsidRPr="00030C7C">
              <w:rPr>
                <w:rFonts w:hint="eastAsia"/>
                <w:spacing w:val="-4"/>
                <w:rtl/>
              </w:rPr>
              <w:t>מתכונת</w:t>
            </w:r>
            <w:r w:rsidRPr="00030C7C">
              <w:rPr>
                <w:spacing w:val="-4"/>
                <w:rtl/>
              </w:rPr>
              <w:t xml:space="preserve"> </w:t>
            </w:r>
            <w:r w:rsidRPr="00030C7C">
              <w:rPr>
                <w:spacing w:val="-4"/>
                <w:rtl/>
              </w:rPr>
              <w:br w:type="page"/>
            </w:r>
            <w:r w:rsidRPr="00030C7C">
              <w:rPr>
                <w:rFonts w:hint="eastAsia"/>
                <w:spacing w:val="-4"/>
                <w:rtl/>
              </w:rPr>
              <w:t>ביאור</w:t>
            </w:r>
            <w:r w:rsidRPr="00030C7C">
              <w:rPr>
                <w:spacing w:val="-4"/>
                <w:rtl/>
              </w:rPr>
              <w:t xml:space="preserve"> </w:t>
            </w:r>
            <w:r w:rsidRPr="00030C7C">
              <w:rPr>
                <w:rFonts w:hint="eastAsia"/>
                <w:spacing w:val="-4"/>
                <w:rtl/>
              </w:rPr>
              <w:t>עמ</w:t>
            </w:r>
            <w:r w:rsidRPr="00030C7C">
              <w:rPr>
                <w:spacing w:val="-4"/>
                <w:rtl/>
              </w:rPr>
              <w:t>'</w:t>
            </w:r>
          </w:p>
          <w:p w14:paraId="1F7BD8EF" w14:textId="6C7B2791" w:rsidR="00601E8F" w:rsidRPr="003116CC" w:rsidRDefault="002955F7" w:rsidP="003116CC">
            <w:pPr>
              <w:pStyle w:val="-fa"/>
              <w:spacing w:before="40" w:line="192" w:lineRule="auto"/>
              <w:ind w:right="-142"/>
              <w:rPr>
                <w:spacing w:val="-4"/>
                <w:rtl/>
              </w:rPr>
            </w:pPr>
            <w:r w:rsidRPr="00030C7C">
              <w:rPr>
                <w:spacing w:val="-4"/>
                <w:rtl/>
              </w:rPr>
              <w:t xml:space="preserve"> 663-3</w:t>
            </w:r>
            <w:r>
              <w:rPr>
                <w:rFonts w:hint="cs"/>
                <w:spacing w:val="-4"/>
                <w:rtl/>
              </w:rPr>
              <w:t>2</w:t>
            </w:r>
            <w:r w:rsidR="0086769E">
              <w:rPr>
                <w:rFonts w:hint="cs"/>
                <w:spacing w:val="-4"/>
                <w:rtl/>
              </w:rPr>
              <w:t>,33</w:t>
            </w:r>
          </w:p>
        </w:tc>
        <w:tc>
          <w:tcPr>
            <w:tcW w:w="425" w:type="dxa"/>
          </w:tcPr>
          <w:p w14:paraId="6D3E07FD" w14:textId="77777777" w:rsidR="00601E8F" w:rsidRDefault="00601E8F" w:rsidP="00FE40C9">
            <w:pPr>
              <w:pStyle w:val="-f4"/>
              <w:spacing w:line="240" w:lineRule="auto"/>
              <w:jc w:val="left"/>
              <w:rPr>
                <w:rtl/>
              </w:rPr>
            </w:pPr>
            <w:r>
              <w:rPr>
                <w:rFonts w:hint="cs"/>
                <w:rtl/>
              </w:rPr>
              <w:t>א.</w:t>
            </w:r>
          </w:p>
        </w:tc>
        <w:tc>
          <w:tcPr>
            <w:tcW w:w="8647" w:type="dxa"/>
          </w:tcPr>
          <w:p w14:paraId="7FC55377" w14:textId="373DE8BF" w:rsidR="00601E8F" w:rsidRDefault="00601E8F" w:rsidP="00601E8F">
            <w:pPr>
              <w:pStyle w:val="-f4"/>
              <w:spacing w:line="240" w:lineRule="auto"/>
              <w:jc w:val="left"/>
              <w:rPr>
                <w:rtl/>
              </w:rPr>
            </w:pPr>
            <w:r>
              <w:rPr>
                <w:rFonts w:hint="cs"/>
                <w:rtl/>
              </w:rPr>
              <w:t>היקף הפעילות על בסיס מאוחד</w:t>
            </w:r>
            <w:r w:rsidR="00527DCE" w:rsidRPr="0001523C">
              <w:rPr>
                <w:vertAlign w:val="superscript"/>
                <w:rtl/>
              </w:rPr>
              <w:t xml:space="preserve"> </w:t>
            </w:r>
            <w:r w:rsidR="00540606" w:rsidRPr="0001523C">
              <w:rPr>
                <w:vertAlign w:val="superscript"/>
                <w:rtl/>
              </w:rPr>
              <w:t>[</w:t>
            </w:r>
            <w:r w:rsidR="00540606" w:rsidRPr="00540606">
              <w:rPr>
                <w:rStyle w:val="a7"/>
                <w:rtl/>
              </w:rPr>
              <w:footnoteReference w:id="72"/>
            </w:r>
            <w:r w:rsidR="00540606" w:rsidRPr="0001523C">
              <w:rPr>
                <w:vertAlign w:val="superscript"/>
                <w:rtl/>
              </w:rPr>
              <w:t>]</w:t>
            </w:r>
            <w:r>
              <w:rPr>
                <w:rFonts w:hint="cs"/>
                <w:rtl/>
              </w:rPr>
              <w:t>:</w:t>
            </w:r>
          </w:p>
        </w:tc>
      </w:tr>
      <w:tr w:rsidR="00601E8F" w:rsidRPr="007363C7" w14:paraId="3519128B" w14:textId="77777777" w:rsidTr="007E4CF9">
        <w:trPr>
          <w:trHeight w:val="245"/>
          <w:jc w:val="right"/>
        </w:trPr>
        <w:tc>
          <w:tcPr>
            <w:tcW w:w="1135" w:type="dxa"/>
          </w:tcPr>
          <w:p w14:paraId="777CF08C" w14:textId="231E7655" w:rsidR="00601E8F" w:rsidRPr="00601E8F" w:rsidRDefault="00601E8F" w:rsidP="00FE40C9">
            <w:pPr>
              <w:pStyle w:val="-fa"/>
              <w:ind w:right="-142"/>
              <w:rPr>
                <w:b/>
                <w:bCs/>
                <w:i/>
                <w:iCs/>
                <w:color w:val="FF0000"/>
                <w:sz w:val="20"/>
                <w:szCs w:val="20"/>
                <w:u w:val="single"/>
                <w:rtl/>
              </w:rPr>
            </w:pPr>
          </w:p>
        </w:tc>
        <w:tc>
          <w:tcPr>
            <w:tcW w:w="425" w:type="dxa"/>
          </w:tcPr>
          <w:p w14:paraId="0F2535C8" w14:textId="77777777" w:rsidR="00601E8F" w:rsidRDefault="00601E8F" w:rsidP="00FE40C9">
            <w:pPr>
              <w:pStyle w:val="-f4"/>
              <w:spacing w:line="240" w:lineRule="auto"/>
              <w:jc w:val="left"/>
              <w:rPr>
                <w:rtl/>
              </w:rPr>
            </w:pPr>
          </w:p>
        </w:tc>
        <w:tc>
          <w:tcPr>
            <w:tcW w:w="8647" w:type="dxa"/>
          </w:tcPr>
          <w:p w14:paraId="218CE425" w14:textId="5411E8B1" w:rsidR="003116CC" w:rsidRDefault="00601E8F" w:rsidP="007E4CF9">
            <w:pPr>
              <w:pStyle w:val="-f4"/>
              <w:tabs>
                <w:tab w:val="left" w:pos="348"/>
              </w:tabs>
              <w:spacing w:before="0" w:after="120" w:line="240" w:lineRule="auto"/>
              <w:jc w:val="left"/>
              <w:rPr>
                <w:rtl/>
              </w:rPr>
            </w:pPr>
            <w:r>
              <w:rPr>
                <w:rFonts w:hint="cs"/>
                <w:rtl/>
              </w:rPr>
              <w:t>1.</w:t>
            </w:r>
            <w:r>
              <w:rPr>
                <w:rtl/>
              </w:rPr>
              <w:tab/>
            </w:r>
            <w:r w:rsidRPr="00CC661B">
              <w:rPr>
                <w:rFonts w:hint="cs"/>
                <w:rtl/>
              </w:rPr>
              <w:t>סכום נקוב של מכשירים נגזרים</w:t>
            </w:r>
            <w:r w:rsidR="00540606" w:rsidRPr="0001523C">
              <w:rPr>
                <w:vertAlign w:val="superscript"/>
                <w:rtl/>
              </w:rPr>
              <w:t>[</w:t>
            </w:r>
            <w:r w:rsidR="00540606" w:rsidRPr="00540606">
              <w:rPr>
                <w:rStyle w:val="a7"/>
                <w:rtl/>
              </w:rPr>
              <w:footnoteReference w:id="73"/>
            </w:r>
            <w:r w:rsidR="00540606" w:rsidRPr="0001523C">
              <w:rPr>
                <w:vertAlign w:val="superscript"/>
                <w:rtl/>
              </w:rPr>
              <w:t>]</w:t>
            </w:r>
            <w:r w:rsidRPr="00CC661B">
              <w:rPr>
                <w:rFonts w:hint="cs"/>
                <w:rtl/>
              </w:rPr>
              <w:t>:</w:t>
            </w:r>
          </w:p>
        </w:tc>
      </w:tr>
    </w:tbl>
    <w:p w14:paraId="1DE933B1" w14:textId="77777777" w:rsidR="003B472B" w:rsidRPr="003B472B" w:rsidRDefault="003B472B" w:rsidP="00FA14E9">
      <w:pPr>
        <w:spacing w:line="60" w:lineRule="exact"/>
        <w:rPr>
          <w:vanish/>
        </w:rPr>
      </w:pPr>
    </w:p>
    <w:tbl>
      <w:tblPr>
        <w:bidiVisual/>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735"/>
        <w:gridCol w:w="735"/>
        <w:gridCol w:w="694"/>
        <w:gridCol w:w="841"/>
        <w:gridCol w:w="847"/>
        <w:gridCol w:w="698"/>
        <w:gridCol w:w="769"/>
        <w:gridCol w:w="735"/>
        <w:gridCol w:w="611"/>
      </w:tblGrid>
      <w:tr w:rsidR="00F86341" w:rsidRPr="00CE3FC5" w14:paraId="6B541BE2" w14:textId="4316E236" w:rsidTr="00141177">
        <w:tc>
          <w:tcPr>
            <w:tcW w:w="1726" w:type="pct"/>
            <w:tcBorders>
              <w:top w:val="nil"/>
              <w:left w:val="nil"/>
              <w:bottom w:val="nil"/>
              <w:right w:val="nil"/>
            </w:tcBorders>
            <w:vAlign w:val="bottom"/>
          </w:tcPr>
          <w:p w14:paraId="01A5A12E" w14:textId="77777777" w:rsidR="00F86341" w:rsidRPr="00F86341" w:rsidRDefault="00F86341" w:rsidP="00F86341">
            <w:pPr>
              <w:pStyle w:val="-0"/>
              <w:spacing w:line="240" w:lineRule="auto"/>
              <w:ind w:left="0"/>
              <w:rPr>
                <w:b/>
                <w:bCs/>
                <w:sz w:val="18"/>
                <w:szCs w:val="18"/>
                <w:rtl/>
              </w:rPr>
            </w:pPr>
          </w:p>
        </w:tc>
        <w:tc>
          <w:tcPr>
            <w:tcW w:w="1063" w:type="pct"/>
            <w:gridSpan w:val="3"/>
            <w:tcBorders>
              <w:top w:val="nil"/>
              <w:left w:val="nil"/>
              <w:bottom w:val="nil"/>
              <w:right w:val="nil"/>
            </w:tcBorders>
            <w:vAlign w:val="bottom"/>
          </w:tcPr>
          <w:p w14:paraId="359102C0" w14:textId="43E4820E" w:rsidR="00F86341" w:rsidRDefault="00F86341" w:rsidP="00F86341">
            <w:pPr>
              <w:pBdr>
                <w:bottom w:val="single" w:sz="6" w:space="1" w:color="auto"/>
              </w:pBdr>
              <w:jc w:val="center"/>
              <w:rPr>
                <w:rFonts w:eastAsia="Calibri"/>
                <w:b/>
                <w:bCs/>
                <w:sz w:val="18"/>
                <w:szCs w:val="18"/>
                <w:rtl/>
              </w:rPr>
            </w:pPr>
            <w:r w:rsidRPr="00A844E9">
              <w:rPr>
                <w:rFonts w:hint="cs"/>
                <w:b/>
                <w:bCs/>
                <w:sz w:val="18"/>
                <w:szCs w:val="18"/>
                <w:rtl/>
              </w:rPr>
              <w:t xml:space="preserve">ליום 30 ביוני </w:t>
            </w:r>
            <w:r w:rsidRPr="00A844E9">
              <w:rPr>
                <w:b/>
                <w:bCs/>
                <w:sz w:val="18"/>
                <w:szCs w:val="18"/>
                <w:rtl/>
              </w:rPr>
              <w:fldChar w:fldCharType="begin"/>
            </w:r>
            <w:r w:rsidRPr="00A844E9">
              <w:rPr>
                <w:b/>
                <w:bCs/>
                <w:sz w:val="18"/>
                <w:szCs w:val="18"/>
                <w:rtl/>
              </w:rPr>
              <w:instrText xml:space="preserve"> </w:instrText>
            </w:r>
            <w:r w:rsidRPr="00A844E9">
              <w:rPr>
                <w:rFonts w:hint="cs"/>
                <w:b/>
                <w:bCs/>
                <w:sz w:val="18"/>
                <w:szCs w:val="18"/>
                <w:rtl/>
              </w:rPr>
              <w:instrText xml:space="preserve">= </w:instrText>
            </w:r>
            <w:r w:rsidRPr="00A844E9">
              <w:rPr>
                <w:rFonts w:hint="cs"/>
                <w:b/>
                <w:bCs/>
                <w:sz w:val="18"/>
                <w:szCs w:val="18"/>
              </w:rPr>
              <w:instrText>CY \* MERGEFORMAT</w:instrText>
            </w:r>
            <w:r w:rsidRPr="00A844E9">
              <w:rPr>
                <w:b/>
                <w:bCs/>
                <w:sz w:val="18"/>
                <w:szCs w:val="18"/>
                <w:rtl/>
              </w:rPr>
              <w:instrText xml:space="preserve"> </w:instrText>
            </w:r>
            <w:r w:rsidRPr="00A844E9">
              <w:rPr>
                <w:b/>
                <w:bCs/>
                <w:sz w:val="18"/>
                <w:szCs w:val="18"/>
                <w:rtl/>
              </w:rPr>
              <w:fldChar w:fldCharType="separate"/>
            </w:r>
            <w:r w:rsidR="003A584F">
              <w:rPr>
                <w:b/>
                <w:bCs/>
                <w:noProof/>
                <w:sz w:val="18"/>
                <w:szCs w:val="18"/>
                <w:rtl/>
              </w:rPr>
              <w:t>2024</w:t>
            </w:r>
            <w:r w:rsidRPr="00A844E9">
              <w:rPr>
                <w:b/>
                <w:bCs/>
                <w:sz w:val="18"/>
                <w:szCs w:val="18"/>
                <w:rtl/>
              </w:rPr>
              <w:fldChar w:fldCharType="end"/>
            </w:r>
            <w:r w:rsidRPr="00A844E9">
              <w:rPr>
                <w:rFonts w:eastAsia="Calibri" w:hint="cs"/>
                <w:b/>
                <w:bCs/>
                <w:sz w:val="18"/>
                <w:szCs w:val="18"/>
                <w:rtl/>
              </w:rPr>
              <w:t xml:space="preserve"> </w:t>
            </w:r>
          </w:p>
          <w:p w14:paraId="4A2518B5" w14:textId="6C312CCF" w:rsidR="00F86341" w:rsidRPr="006A77F4" w:rsidRDefault="00F86341" w:rsidP="00F86341">
            <w:pPr>
              <w:pBdr>
                <w:bottom w:val="single" w:sz="6" w:space="1" w:color="auto"/>
              </w:pBdr>
              <w:jc w:val="center"/>
              <w:rPr>
                <w:sz w:val="18"/>
                <w:szCs w:val="18"/>
                <w:rtl/>
              </w:rPr>
            </w:pPr>
            <w:r w:rsidRPr="006A77F4">
              <w:rPr>
                <w:rFonts w:hint="cs"/>
                <w:sz w:val="18"/>
                <w:szCs w:val="18"/>
                <w:rtl/>
              </w:rPr>
              <w:t>(בלתי מבוקר)</w:t>
            </w:r>
          </w:p>
        </w:tc>
        <w:tc>
          <w:tcPr>
            <w:tcW w:w="1172" w:type="pct"/>
            <w:gridSpan w:val="3"/>
            <w:tcBorders>
              <w:top w:val="nil"/>
              <w:left w:val="nil"/>
              <w:bottom w:val="nil"/>
              <w:right w:val="nil"/>
            </w:tcBorders>
          </w:tcPr>
          <w:p w14:paraId="30CC0064" w14:textId="26590402" w:rsidR="00F86341" w:rsidRDefault="00F86341" w:rsidP="00F86341">
            <w:pPr>
              <w:pBdr>
                <w:bottom w:val="single" w:sz="6" w:space="1" w:color="auto"/>
              </w:pBdr>
              <w:jc w:val="center"/>
              <w:rPr>
                <w:sz w:val="18"/>
                <w:szCs w:val="18"/>
                <w:rtl/>
              </w:rPr>
            </w:pPr>
            <w:r w:rsidRPr="00A844E9">
              <w:rPr>
                <w:rFonts w:hint="cs"/>
                <w:b/>
                <w:bCs/>
                <w:sz w:val="18"/>
                <w:szCs w:val="18"/>
                <w:rtl/>
              </w:rPr>
              <w:t xml:space="preserve">ליום 30 ביוני </w:t>
            </w:r>
            <w:r w:rsidRPr="00A844E9">
              <w:rPr>
                <w:b/>
                <w:bCs/>
                <w:sz w:val="18"/>
                <w:szCs w:val="18"/>
                <w:rtl/>
              </w:rPr>
              <w:fldChar w:fldCharType="begin"/>
            </w:r>
            <w:r w:rsidRPr="00A844E9">
              <w:rPr>
                <w:b/>
                <w:bCs/>
                <w:sz w:val="18"/>
                <w:szCs w:val="18"/>
                <w:rtl/>
              </w:rPr>
              <w:instrText xml:space="preserve"> </w:instrText>
            </w:r>
            <w:r w:rsidRPr="00A844E9">
              <w:rPr>
                <w:rFonts w:hint="cs"/>
                <w:b/>
                <w:bCs/>
                <w:sz w:val="18"/>
                <w:szCs w:val="18"/>
                <w:rtl/>
              </w:rPr>
              <w:instrText xml:space="preserve">= </w:instrText>
            </w:r>
            <w:r w:rsidRPr="00A844E9">
              <w:rPr>
                <w:rFonts w:hint="cs"/>
                <w:b/>
                <w:bCs/>
                <w:sz w:val="18"/>
                <w:szCs w:val="18"/>
              </w:rPr>
              <w:instrText>CY</w:instrText>
            </w:r>
            <w:r w:rsidRPr="00A844E9">
              <w:rPr>
                <w:b/>
                <w:bCs/>
                <w:sz w:val="18"/>
                <w:szCs w:val="18"/>
              </w:rPr>
              <w:instrText>-1</w:instrText>
            </w:r>
            <w:r w:rsidRPr="00A844E9">
              <w:rPr>
                <w:rFonts w:hint="cs"/>
                <w:b/>
                <w:bCs/>
                <w:sz w:val="18"/>
                <w:szCs w:val="18"/>
              </w:rPr>
              <w:instrText xml:space="preserve"> \* MERGEFORMAT</w:instrText>
            </w:r>
            <w:r w:rsidRPr="00A844E9">
              <w:rPr>
                <w:b/>
                <w:bCs/>
                <w:sz w:val="18"/>
                <w:szCs w:val="18"/>
                <w:rtl/>
              </w:rPr>
              <w:instrText xml:space="preserve"> </w:instrText>
            </w:r>
            <w:r w:rsidRPr="00A844E9">
              <w:rPr>
                <w:b/>
                <w:bCs/>
                <w:sz w:val="18"/>
                <w:szCs w:val="18"/>
                <w:rtl/>
              </w:rPr>
              <w:fldChar w:fldCharType="separate"/>
            </w:r>
            <w:r w:rsidR="003A584F">
              <w:rPr>
                <w:b/>
                <w:bCs/>
                <w:noProof/>
                <w:sz w:val="18"/>
                <w:szCs w:val="18"/>
                <w:rtl/>
              </w:rPr>
              <w:t>2023</w:t>
            </w:r>
            <w:r w:rsidRPr="00A844E9">
              <w:rPr>
                <w:b/>
                <w:bCs/>
                <w:sz w:val="18"/>
                <w:szCs w:val="18"/>
                <w:rtl/>
              </w:rPr>
              <w:fldChar w:fldCharType="end"/>
            </w:r>
            <w:r w:rsidRPr="00A844E9">
              <w:rPr>
                <w:rFonts w:hint="cs"/>
                <w:sz w:val="18"/>
                <w:szCs w:val="18"/>
                <w:rtl/>
              </w:rPr>
              <w:t xml:space="preserve"> </w:t>
            </w:r>
          </w:p>
          <w:p w14:paraId="0C31BE09" w14:textId="2B107101" w:rsidR="00F86341" w:rsidRPr="006A77F4" w:rsidRDefault="00F86341" w:rsidP="00F86341">
            <w:pPr>
              <w:pBdr>
                <w:bottom w:val="single" w:sz="6" w:space="1" w:color="auto"/>
              </w:pBdr>
              <w:jc w:val="center"/>
              <w:rPr>
                <w:sz w:val="18"/>
                <w:szCs w:val="18"/>
                <w:rtl/>
              </w:rPr>
            </w:pPr>
            <w:r w:rsidRPr="006A77F4">
              <w:rPr>
                <w:rFonts w:hint="cs"/>
                <w:sz w:val="18"/>
                <w:szCs w:val="18"/>
                <w:rtl/>
              </w:rPr>
              <w:t>(בלתי מבוקר)</w:t>
            </w:r>
          </w:p>
        </w:tc>
        <w:tc>
          <w:tcPr>
            <w:tcW w:w="1039" w:type="pct"/>
            <w:gridSpan w:val="3"/>
            <w:tcBorders>
              <w:top w:val="nil"/>
              <w:left w:val="nil"/>
              <w:bottom w:val="nil"/>
              <w:right w:val="nil"/>
            </w:tcBorders>
          </w:tcPr>
          <w:p w14:paraId="7D776B61" w14:textId="2D6C17A4" w:rsidR="00F86341" w:rsidRDefault="00F86341" w:rsidP="00F86341">
            <w:pPr>
              <w:pBdr>
                <w:bottom w:val="single" w:sz="6" w:space="1" w:color="auto"/>
              </w:pBdr>
              <w:jc w:val="center"/>
              <w:rPr>
                <w:b/>
                <w:bCs/>
                <w:sz w:val="18"/>
                <w:szCs w:val="18"/>
                <w:rtl/>
              </w:rPr>
            </w:pPr>
            <w:r w:rsidRPr="00A844E9">
              <w:rPr>
                <w:rFonts w:hint="cs"/>
                <w:b/>
                <w:bCs/>
                <w:sz w:val="18"/>
                <w:szCs w:val="18"/>
                <w:rtl/>
              </w:rPr>
              <w:t xml:space="preserve">ליום </w:t>
            </w:r>
            <w:r>
              <w:rPr>
                <w:rFonts w:hint="cs"/>
                <w:b/>
                <w:bCs/>
                <w:sz w:val="18"/>
                <w:szCs w:val="18"/>
                <w:rtl/>
              </w:rPr>
              <w:t>31</w:t>
            </w:r>
            <w:r w:rsidRPr="00A844E9">
              <w:rPr>
                <w:rFonts w:hint="cs"/>
                <w:b/>
                <w:bCs/>
                <w:sz w:val="18"/>
                <w:szCs w:val="18"/>
                <w:rtl/>
              </w:rPr>
              <w:t xml:space="preserve"> </w:t>
            </w:r>
            <w:r w:rsidR="00141177">
              <w:rPr>
                <w:rFonts w:hint="cs"/>
                <w:b/>
                <w:bCs/>
                <w:sz w:val="18"/>
                <w:szCs w:val="18"/>
                <w:rtl/>
              </w:rPr>
              <w:t>בדצמבר</w:t>
            </w:r>
            <w:r w:rsidRPr="00A844E9">
              <w:rPr>
                <w:rFonts w:hint="cs"/>
                <w:b/>
                <w:bCs/>
                <w:sz w:val="18"/>
                <w:szCs w:val="18"/>
                <w:rtl/>
              </w:rPr>
              <w:t xml:space="preserve"> </w:t>
            </w:r>
            <w:r w:rsidRPr="00A844E9">
              <w:rPr>
                <w:b/>
                <w:bCs/>
                <w:sz w:val="18"/>
                <w:szCs w:val="18"/>
                <w:rtl/>
              </w:rPr>
              <w:fldChar w:fldCharType="begin"/>
            </w:r>
            <w:r w:rsidRPr="00A844E9">
              <w:rPr>
                <w:b/>
                <w:bCs/>
                <w:sz w:val="18"/>
                <w:szCs w:val="18"/>
                <w:rtl/>
              </w:rPr>
              <w:instrText xml:space="preserve"> </w:instrText>
            </w:r>
            <w:r w:rsidRPr="00A844E9">
              <w:rPr>
                <w:rFonts w:hint="cs"/>
                <w:b/>
                <w:bCs/>
                <w:sz w:val="18"/>
                <w:szCs w:val="18"/>
                <w:rtl/>
              </w:rPr>
              <w:instrText xml:space="preserve">= </w:instrText>
            </w:r>
            <w:r w:rsidRPr="00A844E9">
              <w:rPr>
                <w:rFonts w:hint="cs"/>
                <w:b/>
                <w:bCs/>
                <w:sz w:val="18"/>
                <w:szCs w:val="18"/>
              </w:rPr>
              <w:instrText>CY</w:instrText>
            </w:r>
            <w:r w:rsidRPr="00A844E9">
              <w:rPr>
                <w:b/>
                <w:bCs/>
                <w:sz w:val="18"/>
                <w:szCs w:val="18"/>
              </w:rPr>
              <w:instrText>-1</w:instrText>
            </w:r>
            <w:r w:rsidRPr="00A844E9">
              <w:rPr>
                <w:rFonts w:hint="cs"/>
                <w:b/>
                <w:bCs/>
                <w:sz w:val="18"/>
                <w:szCs w:val="18"/>
              </w:rPr>
              <w:instrText xml:space="preserve"> \* MERGEFORMAT</w:instrText>
            </w:r>
            <w:r w:rsidRPr="00A844E9">
              <w:rPr>
                <w:b/>
                <w:bCs/>
                <w:sz w:val="18"/>
                <w:szCs w:val="18"/>
                <w:rtl/>
              </w:rPr>
              <w:instrText xml:space="preserve"> </w:instrText>
            </w:r>
            <w:r w:rsidRPr="00A844E9">
              <w:rPr>
                <w:b/>
                <w:bCs/>
                <w:sz w:val="18"/>
                <w:szCs w:val="18"/>
                <w:rtl/>
              </w:rPr>
              <w:fldChar w:fldCharType="separate"/>
            </w:r>
            <w:r w:rsidR="003A584F">
              <w:rPr>
                <w:b/>
                <w:bCs/>
                <w:noProof/>
                <w:sz w:val="18"/>
                <w:szCs w:val="18"/>
                <w:rtl/>
              </w:rPr>
              <w:t>2023</w:t>
            </w:r>
            <w:r w:rsidRPr="00A844E9">
              <w:rPr>
                <w:b/>
                <w:bCs/>
                <w:sz w:val="18"/>
                <w:szCs w:val="18"/>
                <w:rtl/>
              </w:rPr>
              <w:fldChar w:fldCharType="end"/>
            </w:r>
            <w:r w:rsidRPr="00A844E9">
              <w:rPr>
                <w:rFonts w:hint="cs"/>
                <w:sz w:val="18"/>
                <w:szCs w:val="18"/>
                <w:rtl/>
              </w:rPr>
              <w:t xml:space="preserve"> </w:t>
            </w:r>
          </w:p>
          <w:p w14:paraId="5FF0F739" w14:textId="2F16B281" w:rsidR="00F86341" w:rsidRPr="006A77F4" w:rsidRDefault="00F86341" w:rsidP="00F86341">
            <w:pPr>
              <w:pBdr>
                <w:bottom w:val="single" w:sz="6" w:space="1" w:color="auto"/>
              </w:pBdr>
              <w:jc w:val="center"/>
              <w:rPr>
                <w:sz w:val="18"/>
                <w:szCs w:val="18"/>
                <w:rtl/>
              </w:rPr>
            </w:pPr>
            <w:r w:rsidRPr="006A77F4">
              <w:rPr>
                <w:rFonts w:hint="cs"/>
                <w:sz w:val="18"/>
                <w:szCs w:val="18"/>
                <w:rtl/>
              </w:rPr>
              <w:t>(מבוקר)</w:t>
            </w:r>
          </w:p>
        </w:tc>
      </w:tr>
      <w:tr w:rsidR="00F86341" w:rsidRPr="00CE3FC5" w14:paraId="7EF4333B" w14:textId="3A493C18" w:rsidTr="00141177">
        <w:tc>
          <w:tcPr>
            <w:tcW w:w="1726" w:type="pct"/>
            <w:tcBorders>
              <w:top w:val="nil"/>
              <w:left w:val="nil"/>
              <w:bottom w:val="nil"/>
              <w:right w:val="nil"/>
            </w:tcBorders>
            <w:vAlign w:val="bottom"/>
          </w:tcPr>
          <w:p w14:paraId="71BDBE7F" w14:textId="77777777" w:rsidR="00F86341" w:rsidRPr="00A844E9" w:rsidRDefault="00F86341" w:rsidP="00F86341">
            <w:pPr>
              <w:pStyle w:val="-0"/>
              <w:spacing w:line="240" w:lineRule="auto"/>
              <w:ind w:left="0"/>
              <w:rPr>
                <w:i/>
                <w:iCs/>
                <w:sz w:val="18"/>
                <w:szCs w:val="18"/>
                <w:rtl/>
              </w:rPr>
            </w:pPr>
            <w:r w:rsidRPr="00A844E9">
              <w:rPr>
                <w:rFonts w:hint="cs"/>
                <w:b/>
                <w:bCs/>
                <w:sz w:val="18"/>
                <w:szCs w:val="18"/>
                <w:rtl/>
              </w:rPr>
              <w:t xml:space="preserve">                  </w:t>
            </w:r>
          </w:p>
        </w:tc>
        <w:tc>
          <w:tcPr>
            <w:tcW w:w="361" w:type="pct"/>
            <w:tcBorders>
              <w:top w:val="nil"/>
              <w:left w:val="nil"/>
              <w:bottom w:val="nil"/>
              <w:right w:val="nil"/>
            </w:tcBorders>
            <w:vAlign w:val="bottom"/>
          </w:tcPr>
          <w:p w14:paraId="17420A12" w14:textId="77777777" w:rsidR="00F86341" w:rsidRPr="00141177" w:rsidRDefault="00F86341" w:rsidP="00F86341">
            <w:pPr>
              <w:pBdr>
                <w:bottom w:val="single" w:sz="6" w:space="1" w:color="auto"/>
              </w:pBdr>
              <w:jc w:val="center"/>
              <w:rPr>
                <w:rFonts w:asciiTheme="minorBidi" w:hAnsiTheme="minorBidi" w:cstheme="minorBidi"/>
                <w:b/>
                <w:bCs/>
                <w:sz w:val="18"/>
                <w:szCs w:val="18"/>
                <w:rtl/>
              </w:rPr>
            </w:pPr>
            <w:r w:rsidRPr="00141177">
              <w:rPr>
                <w:rFonts w:asciiTheme="minorBidi" w:hAnsiTheme="minorBidi" w:cstheme="minorBidi"/>
                <w:b/>
                <w:bCs/>
                <w:sz w:val="18"/>
                <w:szCs w:val="18"/>
                <w:rtl/>
              </w:rPr>
              <w:t>נגזרים שאינם למסחר</w:t>
            </w:r>
          </w:p>
        </w:tc>
        <w:tc>
          <w:tcPr>
            <w:tcW w:w="361" w:type="pct"/>
            <w:tcBorders>
              <w:top w:val="nil"/>
              <w:left w:val="nil"/>
              <w:bottom w:val="nil"/>
              <w:right w:val="nil"/>
            </w:tcBorders>
          </w:tcPr>
          <w:p w14:paraId="5B8918CC" w14:textId="77777777" w:rsidR="00F86341" w:rsidRPr="00141177" w:rsidRDefault="00F86341" w:rsidP="00F86341">
            <w:pPr>
              <w:pBdr>
                <w:bottom w:val="single" w:sz="6" w:space="1" w:color="auto"/>
              </w:pBdr>
              <w:jc w:val="center"/>
              <w:rPr>
                <w:rFonts w:asciiTheme="minorBidi" w:hAnsiTheme="minorBidi" w:cstheme="minorBidi"/>
                <w:b/>
                <w:bCs/>
                <w:sz w:val="18"/>
                <w:szCs w:val="18"/>
                <w:rtl/>
              </w:rPr>
            </w:pPr>
          </w:p>
          <w:p w14:paraId="35893628" w14:textId="77777777" w:rsidR="00F86341" w:rsidRPr="00141177" w:rsidRDefault="00F86341" w:rsidP="00F86341">
            <w:pPr>
              <w:pBdr>
                <w:bottom w:val="single" w:sz="6" w:space="1" w:color="auto"/>
              </w:pBdr>
              <w:jc w:val="center"/>
              <w:rPr>
                <w:rFonts w:asciiTheme="minorBidi" w:hAnsiTheme="minorBidi" w:cstheme="minorBidi"/>
                <w:b/>
                <w:bCs/>
                <w:sz w:val="18"/>
                <w:szCs w:val="18"/>
                <w:rtl/>
              </w:rPr>
            </w:pPr>
            <w:r w:rsidRPr="00141177">
              <w:rPr>
                <w:rFonts w:asciiTheme="minorBidi" w:hAnsiTheme="minorBidi" w:cstheme="minorBidi"/>
                <w:b/>
                <w:bCs/>
                <w:sz w:val="18"/>
                <w:szCs w:val="18"/>
                <w:rtl/>
              </w:rPr>
              <w:t>נגזרים למסחר</w:t>
            </w:r>
          </w:p>
        </w:tc>
        <w:tc>
          <w:tcPr>
            <w:tcW w:w="341" w:type="pct"/>
            <w:tcBorders>
              <w:top w:val="nil"/>
              <w:left w:val="nil"/>
              <w:bottom w:val="nil"/>
              <w:right w:val="nil"/>
            </w:tcBorders>
          </w:tcPr>
          <w:p w14:paraId="313597AD" w14:textId="77777777" w:rsidR="00F86341" w:rsidRPr="00141177" w:rsidRDefault="00F86341" w:rsidP="00F86341">
            <w:pPr>
              <w:pBdr>
                <w:bottom w:val="single" w:sz="6" w:space="1" w:color="auto"/>
              </w:pBdr>
              <w:jc w:val="center"/>
              <w:rPr>
                <w:rFonts w:asciiTheme="minorBidi" w:hAnsiTheme="minorBidi" w:cstheme="minorBidi"/>
                <w:b/>
                <w:bCs/>
                <w:sz w:val="18"/>
                <w:szCs w:val="18"/>
                <w:rtl/>
              </w:rPr>
            </w:pPr>
          </w:p>
          <w:p w14:paraId="5D910398" w14:textId="77777777" w:rsidR="00F86341" w:rsidRPr="00141177" w:rsidRDefault="00F86341" w:rsidP="00F86341">
            <w:pPr>
              <w:pBdr>
                <w:bottom w:val="single" w:sz="6" w:space="1" w:color="auto"/>
              </w:pBdr>
              <w:jc w:val="center"/>
              <w:rPr>
                <w:rFonts w:asciiTheme="minorBidi" w:hAnsiTheme="minorBidi" w:cstheme="minorBidi"/>
                <w:b/>
                <w:bCs/>
                <w:sz w:val="18"/>
                <w:szCs w:val="18"/>
                <w:rtl/>
              </w:rPr>
            </w:pPr>
          </w:p>
          <w:p w14:paraId="6BEF7385" w14:textId="6459A161" w:rsidR="00F86341" w:rsidRPr="00141177" w:rsidRDefault="00F86341" w:rsidP="00F86341">
            <w:pPr>
              <w:pBdr>
                <w:bottom w:val="single" w:sz="6" w:space="1" w:color="auto"/>
              </w:pBdr>
              <w:jc w:val="center"/>
              <w:rPr>
                <w:rFonts w:asciiTheme="minorBidi" w:hAnsiTheme="minorBidi" w:cstheme="minorBidi"/>
                <w:b/>
                <w:bCs/>
                <w:sz w:val="18"/>
                <w:szCs w:val="18"/>
                <w:rtl/>
              </w:rPr>
            </w:pPr>
            <w:r w:rsidRPr="00141177">
              <w:rPr>
                <w:rFonts w:asciiTheme="minorBidi" w:hAnsiTheme="minorBidi" w:cstheme="minorBidi"/>
                <w:b/>
                <w:bCs/>
                <w:sz w:val="18"/>
                <w:szCs w:val="18"/>
                <w:rtl/>
              </w:rPr>
              <w:t>סה"כ</w:t>
            </w:r>
          </w:p>
        </w:tc>
        <w:tc>
          <w:tcPr>
            <w:tcW w:w="413" w:type="pct"/>
            <w:tcBorders>
              <w:top w:val="nil"/>
              <w:left w:val="nil"/>
              <w:bottom w:val="nil"/>
              <w:right w:val="nil"/>
            </w:tcBorders>
          </w:tcPr>
          <w:p w14:paraId="5C2FB119" w14:textId="77777777" w:rsidR="00F86341" w:rsidRPr="00141177" w:rsidRDefault="00F86341" w:rsidP="00F86341">
            <w:pPr>
              <w:pBdr>
                <w:bottom w:val="single" w:sz="6" w:space="1" w:color="auto"/>
              </w:pBdr>
              <w:jc w:val="center"/>
              <w:rPr>
                <w:rFonts w:asciiTheme="minorBidi" w:hAnsiTheme="minorBidi" w:cstheme="minorBidi"/>
                <w:b/>
                <w:bCs/>
                <w:sz w:val="18"/>
                <w:szCs w:val="18"/>
                <w:rtl/>
              </w:rPr>
            </w:pPr>
            <w:r w:rsidRPr="00141177">
              <w:rPr>
                <w:rFonts w:asciiTheme="minorBidi" w:hAnsiTheme="minorBidi" w:cstheme="minorBidi"/>
                <w:b/>
                <w:bCs/>
                <w:sz w:val="18"/>
                <w:szCs w:val="18"/>
                <w:rtl/>
              </w:rPr>
              <w:t>נגזרים שאינם למסחר</w:t>
            </w:r>
          </w:p>
        </w:tc>
        <w:tc>
          <w:tcPr>
            <w:tcW w:w="416" w:type="pct"/>
            <w:tcBorders>
              <w:top w:val="nil"/>
              <w:left w:val="nil"/>
              <w:bottom w:val="nil"/>
              <w:right w:val="nil"/>
            </w:tcBorders>
            <w:vAlign w:val="bottom"/>
          </w:tcPr>
          <w:p w14:paraId="2CA9E89F" w14:textId="77777777" w:rsidR="00F86341" w:rsidRPr="00141177" w:rsidRDefault="00F86341" w:rsidP="00F86341">
            <w:pPr>
              <w:pBdr>
                <w:bottom w:val="single" w:sz="6" w:space="1" w:color="auto"/>
              </w:pBdr>
              <w:jc w:val="center"/>
              <w:rPr>
                <w:rFonts w:asciiTheme="minorBidi" w:hAnsiTheme="minorBidi" w:cstheme="minorBidi"/>
                <w:b/>
                <w:bCs/>
                <w:sz w:val="18"/>
                <w:szCs w:val="18"/>
                <w:rtl/>
              </w:rPr>
            </w:pPr>
            <w:r w:rsidRPr="00141177">
              <w:rPr>
                <w:rFonts w:asciiTheme="minorBidi" w:hAnsiTheme="minorBidi" w:cstheme="minorBidi"/>
                <w:b/>
                <w:bCs/>
                <w:sz w:val="18"/>
                <w:szCs w:val="18"/>
                <w:rtl/>
              </w:rPr>
              <w:t>נגזרים למסחר</w:t>
            </w:r>
          </w:p>
        </w:tc>
        <w:tc>
          <w:tcPr>
            <w:tcW w:w="343" w:type="pct"/>
            <w:tcBorders>
              <w:top w:val="nil"/>
              <w:left w:val="nil"/>
              <w:bottom w:val="nil"/>
              <w:right w:val="nil"/>
            </w:tcBorders>
            <w:vAlign w:val="bottom"/>
          </w:tcPr>
          <w:p w14:paraId="0D4DDBC1" w14:textId="77777777" w:rsidR="00F86341" w:rsidRPr="00141177" w:rsidRDefault="00F86341" w:rsidP="00F86341">
            <w:pPr>
              <w:pBdr>
                <w:bottom w:val="single" w:sz="6" w:space="1" w:color="auto"/>
              </w:pBdr>
              <w:jc w:val="center"/>
              <w:rPr>
                <w:rFonts w:asciiTheme="minorBidi" w:hAnsiTheme="minorBidi" w:cstheme="minorBidi"/>
                <w:b/>
                <w:bCs/>
                <w:sz w:val="18"/>
                <w:szCs w:val="18"/>
                <w:rtl/>
              </w:rPr>
            </w:pPr>
            <w:r w:rsidRPr="00141177">
              <w:rPr>
                <w:rFonts w:asciiTheme="minorBidi" w:hAnsiTheme="minorBidi" w:cstheme="minorBidi"/>
                <w:b/>
                <w:bCs/>
                <w:sz w:val="18"/>
                <w:szCs w:val="18"/>
                <w:rtl/>
              </w:rPr>
              <w:t>סה"כ</w:t>
            </w:r>
          </w:p>
        </w:tc>
        <w:tc>
          <w:tcPr>
            <w:tcW w:w="378" w:type="pct"/>
            <w:tcBorders>
              <w:top w:val="nil"/>
              <w:left w:val="nil"/>
              <w:bottom w:val="nil"/>
              <w:right w:val="nil"/>
            </w:tcBorders>
          </w:tcPr>
          <w:p w14:paraId="21A1BB1F" w14:textId="2DFBE05D" w:rsidR="00F86341" w:rsidRPr="00141177" w:rsidRDefault="00F86341" w:rsidP="00F86341">
            <w:pPr>
              <w:pBdr>
                <w:bottom w:val="single" w:sz="6" w:space="1" w:color="auto"/>
              </w:pBdr>
              <w:jc w:val="center"/>
              <w:rPr>
                <w:rFonts w:asciiTheme="minorBidi" w:hAnsiTheme="minorBidi" w:cstheme="minorBidi"/>
                <w:b/>
                <w:bCs/>
                <w:sz w:val="18"/>
                <w:szCs w:val="18"/>
                <w:rtl/>
              </w:rPr>
            </w:pPr>
            <w:r w:rsidRPr="00141177">
              <w:rPr>
                <w:rFonts w:asciiTheme="minorBidi" w:hAnsiTheme="minorBidi" w:cstheme="minorBidi"/>
                <w:b/>
                <w:bCs/>
                <w:sz w:val="18"/>
                <w:szCs w:val="18"/>
                <w:rtl/>
              </w:rPr>
              <w:t>נגזרים שאינם למסחר</w:t>
            </w:r>
          </w:p>
        </w:tc>
        <w:tc>
          <w:tcPr>
            <w:tcW w:w="361" w:type="pct"/>
            <w:tcBorders>
              <w:top w:val="nil"/>
              <w:left w:val="nil"/>
              <w:bottom w:val="nil"/>
              <w:right w:val="nil"/>
            </w:tcBorders>
            <w:vAlign w:val="bottom"/>
          </w:tcPr>
          <w:p w14:paraId="6895C3E2" w14:textId="32DB1D56" w:rsidR="00F86341" w:rsidRPr="00141177" w:rsidRDefault="00F86341" w:rsidP="00F86341">
            <w:pPr>
              <w:pBdr>
                <w:bottom w:val="single" w:sz="6" w:space="1" w:color="auto"/>
              </w:pBdr>
              <w:jc w:val="center"/>
              <w:rPr>
                <w:rFonts w:asciiTheme="minorBidi" w:hAnsiTheme="minorBidi" w:cstheme="minorBidi"/>
                <w:b/>
                <w:bCs/>
                <w:sz w:val="18"/>
                <w:szCs w:val="18"/>
                <w:rtl/>
              </w:rPr>
            </w:pPr>
            <w:r w:rsidRPr="00141177">
              <w:rPr>
                <w:rFonts w:asciiTheme="minorBidi" w:hAnsiTheme="minorBidi" w:cstheme="minorBidi"/>
                <w:b/>
                <w:bCs/>
                <w:sz w:val="18"/>
                <w:szCs w:val="18"/>
                <w:rtl/>
              </w:rPr>
              <w:t>נגזרים למסחר</w:t>
            </w:r>
          </w:p>
        </w:tc>
        <w:tc>
          <w:tcPr>
            <w:tcW w:w="300" w:type="pct"/>
            <w:tcBorders>
              <w:top w:val="nil"/>
              <w:left w:val="nil"/>
              <w:bottom w:val="nil"/>
              <w:right w:val="nil"/>
            </w:tcBorders>
            <w:vAlign w:val="bottom"/>
          </w:tcPr>
          <w:p w14:paraId="26933E43" w14:textId="1B014602" w:rsidR="00F86341" w:rsidRPr="00141177" w:rsidRDefault="00F86341" w:rsidP="00F86341">
            <w:pPr>
              <w:pBdr>
                <w:bottom w:val="single" w:sz="6" w:space="1" w:color="auto"/>
              </w:pBdr>
              <w:jc w:val="center"/>
              <w:rPr>
                <w:rFonts w:asciiTheme="minorBidi" w:hAnsiTheme="minorBidi" w:cstheme="minorBidi"/>
                <w:b/>
                <w:bCs/>
                <w:sz w:val="18"/>
                <w:szCs w:val="18"/>
                <w:rtl/>
              </w:rPr>
            </w:pPr>
            <w:r w:rsidRPr="00141177">
              <w:rPr>
                <w:rFonts w:asciiTheme="minorBidi" w:hAnsiTheme="minorBidi" w:cstheme="minorBidi"/>
                <w:b/>
                <w:bCs/>
                <w:sz w:val="18"/>
                <w:szCs w:val="18"/>
                <w:rtl/>
              </w:rPr>
              <w:t>סה"כ</w:t>
            </w:r>
          </w:p>
        </w:tc>
      </w:tr>
      <w:tr w:rsidR="00F86341" w:rsidRPr="00A844E9" w14:paraId="62100209" w14:textId="79C84623" w:rsidTr="00141177">
        <w:trPr>
          <w:trHeight w:val="259"/>
        </w:trPr>
        <w:tc>
          <w:tcPr>
            <w:tcW w:w="1726" w:type="pct"/>
            <w:tcBorders>
              <w:top w:val="nil"/>
              <w:left w:val="nil"/>
              <w:bottom w:val="nil"/>
              <w:right w:val="nil"/>
            </w:tcBorders>
            <w:vAlign w:val="bottom"/>
          </w:tcPr>
          <w:p w14:paraId="34A941A8" w14:textId="77777777" w:rsidR="00F86341" w:rsidRPr="00A844E9" w:rsidRDefault="00F86341" w:rsidP="00AB0DD8">
            <w:pPr>
              <w:ind w:firstLine="999"/>
              <w:jc w:val="left"/>
              <w:rPr>
                <w:b/>
                <w:bCs/>
                <w:color w:val="000000"/>
                <w:sz w:val="18"/>
                <w:szCs w:val="18"/>
                <w:u w:val="single"/>
                <w:rtl/>
                <w:lang w:eastAsia="he-IL"/>
              </w:rPr>
            </w:pPr>
            <w:r w:rsidRPr="00A844E9">
              <w:rPr>
                <w:rFonts w:hint="cs"/>
                <w:b/>
                <w:bCs/>
                <w:color w:val="000000"/>
                <w:sz w:val="18"/>
                <w:szCs w:val="18"/>
                <w:rtl/>
                <w:lang w:eastAsia="he-IL"/>
              </w:rPr>
              <w:t xml:space="preserve">    </w:t>
            </w:r>
            <w:r w:rsidRPr="00A844E9">
              <w:rPr>
                <w:rFonts w:hint="cs"/>
                <w:b/>
                <w:bCs/>
                <w:color w:val="000000"/>
                <w:sz w:val="18"/>
                <w:szCs w:val="18"/>
                <w:u w:val="single"/>
                <w:rtl/>
                <w:lang w:eastAsia="he-IL"/>
              </w:rPr>
              <w:t>חוזי ריבית</w:t>
            </w:r>
            <w:r w:rsidRPr="00A844E9">
              <w:rPr>
                <w:b/>
                <w:bCs/>
                <w:color w:val="000000"/>
                <w:sz w:val="18"/>
                <w:szCs w:val="18"/>
                <w:u w:val="single"/>
                <w:vertAlign w:val="superscript"/>
                <w:rtl/>
                <w:lang w:eastAsia="he-IL"/>
              </w:rPr>
              <w:t>[</w:t>
            </w:r>
            <w:r w:rsidRPr="00A844E9">
              <w:rPr>
                <w:rStyle w:val="a7"/>
                <w:b/>
                <w:bCs/>
                <w:sz w:val="18"/>
                <w:szCs w:val="18"/>
                <w:rtl/>
                <w:lang w:eastAsia="he-IL"/>
              </w:rPr>
              <w:footnoteReference w:id="74"/>
            </w:r>
            <w:r w:rsidRPr="00A844E9">
              <w:rPr>
                <w:b/>
                <w:bCs/>
                <w:color w:val="000000"/>
                <w:sz w:val="18"/>
                <w:szCs w:val="18"/>
                <w:u w:val="single"/>
                <w:vertAlign w:val="superscript"/>
                <w:rtl/>
                <w:lang w:eastAsia="he-IL"/>
              </w:rPr>
              <w:t>]</w:t>
            </w:r>
          </w:p>
        </w:tc>
        <w:tc>
          <w:tcPr>
            <w:tcW w:w="361" w:type="pct"/>
            <w:tcBorders>
              <w:top w:val="nil"/>
              <w:left w:val="nil"/>
              <w:bottom w:val="nil"/>
              <w:right w:val="nil"/>
            </w:tcBorders>
            <w:vAlign w:val="bottom"/>
          </w:tcPr>
          <w:p w14:paraId="5C488932" w14:textId="77777777" w:rsidR="00F86341" w:rsidRPr="00141177" w:rsidRDefault="00F86341" w:rsidP="00F86341">
            <w:pPr>
              <w:ind w:left="144" w:hanging="144"/>
              <w:jc w:val="left"/>
              <w:rPr>
                <w:rFonts w:asciiTheme="minorBidi" w:hAnsiTheme="minorBidi" w:cstheme="minorBidi"/>
                <w:b/>
                <w:bCs/>
                <w:color w:val="000000"/>
                <w:sz w:val="18"/>
                <w:szCs w:val="18"/>
                <w:rtl/>
                <w:lang w:eastAsia="he-IL"/>
              </w:rPr>
            </w:pPr>
          </w:p>
        </w:tc>
        <w:tc>
          <w:tcPr>
            <w:tcW w:w="361" w:type="pct"/>
            <w:tcBorders>
              <w:top w:val="nil"/>
              <w:left w:val="nil"/>
              <w:bottom w:val="nil"/>
              <w:right w:val="nil"/>
            </w:tcBorders>
          </w:tcPr>
          <w:p w14:paraId="65C421B9" w14:textId="77777777" w:rsidR="00F86341" w:rsidRPr="00141177" w:rsidRDefault="00F86341" w:rsidP="00F86341">
            <w:pPr>
              <w:ind w:left="144" w:hanging="144"/>
              <w:jc w:val="left"/>
              <w:rPr>
                <w:rFonts w:asciiTheme="minorBidi" w:hAnsiTheme="minorBidi" w:cstheme="minorBidi"/>
                <w:b/>
                <w:bCs/>
                <w:color w:val="000000"/>
                <w:sz w:val="18"/>
                <w:szCs w:val="18"/>
                <w:rtl/>
                <w:lang w:eastAsia="he-IL"/>
              </w:rPr>
            </w:pPr>
          </w:p>
        </w:tc>
        <w:tc>
          <w:tcPr>
            <w:tcW w:w="341" w:type="pct"/>
            <w:tcBorders>
              <w:top w:val="nil"/>
              <w:left w:val="nil"/>
              <w:bottom w:val="nil"/>
              <w:right w:val="nil"/>
            </w:tcBorders>
          </w:tcPr>
          <w:p w14:paraId="304E98E4" w14:textId="77777777" w:rsidR="00F86341" w:rsidRPr="00141177" w:rsidRDefault="00F86341" w:rsidP="00F86341">
            <w:pPr>
              <w:ind w:left="144" w:hanging="144"/>
              <w:jc w:val="left"/>
              <w:rPr>
                <w:rFonts w:asciiTheme="minorBidi" w:hAnsiTheme="minorBidi" w:cstheme="minorBidi"/>
                <w:b/>
                <w:bCs/>
                <w:color w:val="000000"/>
                <w:sz w:val="18"/>
                <w:szCs w:val="18"/>
                <w:rtl/>
                <w:lang w:eastAsia="he-IL"/>
              </w:rPr>
            </w:pPr>
          </w:p>
        </w:tc>
        <w:tc>
          <w:tcPr>
            <w:tcW w:w="413" w:type="pct"/>
            <w:tcBorders>
              <w:top w:val="nil"/>
              <w:left w:val="nil"/>
              <w:bottom w:val="nil"/>
              <w:right w:val="nil"/>
            </w:tcBorders>
          </w:tcPr>
          <w:p w14:paraId="524C1EC5" w14:textId="77777777" w:rsidR="00F86341" w:rsidRPr="00141177" w:rsidRDefault="00F86341" w:rsidP="00F86341">
            <w:pPr>
              <w:ind w:left="144" w:hanging="144"/>
              <w:jc w:val="left"/>
              <w:rPr>
                <w:rFonts w:asciiTheme="minorBidi" w:hAnsiTheme="minorBidi" w:cstheme="minorBidi"/>
                <w:b/>
                <w:bCs/>
                <w:color w:val="000000"/>
                <w:sz w:val="18"/>
                <w:szCs w:val="18"/>
                <w:rtl/>
                <w:lang w:eastAsia="he-IL"/>
              </w:rPr>
            </w:pPr>
          </w:p>
        </w:tc>
        <w:tc>
          <w:tcPr>
            <w:tcW w:w="416" w:type="pct"/>
            <w:tcBorders>
              <w:top w:val="nil"/>
              <w:left w:val="nil"/>
              <w:bottom w:val="nil"/>
              <w:right w:val="nil"/>
            </w:tcBorders>
            <w:vAlign w:val="bottom"/>
          </w:tcPr>
          <w:p w14:paraId="4D455165" w14:textId="77777777" w:rsidR="00F86341" w:rsidRPr="00141177" w:rsidRDefault="00F86341" w:rsidP="00F86341">
            <w:pPr>
              <w:ind w:left="144" w:hanging="144"/>
              <w:jc w:val="left"/>
              <w:rPr>
                <w:rFonts w:asciiTheme="minorBidi" w:hAnsiTheme="minorBidi" w:cstheme="minorBidi"/>
                <w:b/>
                <w:bCs/>
                <w:color w:val="000000"/>
                <w:sz w:val="18"/>
                <w:szCs w:val="18"/>
                <w:rtl/>
                <w:lang w:eastAsia="he-IL"/>
              </w:rPr>
            </w:pPr>
          </w:p>
        </w:tc>
        <w:tc>
          <w:tcPr>
            <w:tcW w:w="343" w:type="pct"/>
            <w:tcBorders>
              <w:top w:val="nil"/>
              <w:left w:val="nil"/>
              <w:bottom w:val="nil"/>
              <w:right w:val="nil"/>
            </w:tcBorders>
            <w:vAlign w:val="bottom"/>
          </w:tcPr>
          <w:p w14:paraId="775063C2" w14:textId="77777777" w:rsidR="00F86341" w:rsidRPr="00141177" w:rsidRDefault="00F86341" w:rsidP="00F86341">
            <w:pPr>
              <w:ind w:left="144" w:hanging="144"/>
              <w:jc w:val="left"/>
              <w:rPr>
                <w:rFonts w:asciiTheme="minorBidi" w:hAnsiTheme="minorBidi" w:cstheme="minorBidi"/>
                <w:b/>
                <w:bCs/>
                <w:color w:val="000000"/>
                <w:sz w:val="18"/>
                <w:szCs w:val="18"/>
                <w:rtl/>
                <w:lang w:eastAsia="he-IL"/>
              </w:rPr>
            </w:pPr>
          </w:p>
        </w:tc>
        <w:tc>
          <w:tcPr>
            <w:tcW w:w="378" w:type="pct"/>
            <w:tcBorders>
              <w:top w:val="nil"/>
              <w:left w:val="nil"/>
              <w:bottom w:val="nil"/>
              <w:right w:val="nil"/>
            </w:tcBorders>
          </w:tcPr>
          <w:p w14:paraId="587F8499" w14:textId="77777777" w:rsidR="00F86341" w:rsidRPr="00141177" w:rsidRDefault="00F86341" w:rsidP="00F86341">
            <w:pPr>
              <w:ind w:left="144" w:hanging="144"/>
              <w:jc w:val="left"/>
              <w:rPr>
                <w:rFonts w:asciiTheme="minorBidi" w:hAnsiTheme="minorBidi" w:cstheme="minorBidi"/>
                <w:b/>
                <w:bCs/>
                <w:color w:val="000000"/>
                <w:sz w:val="18"/>
                <w:szCs w:val="18"/>
                <w:rtl/>
                <w:lang w:eastAsia="he-IL"/>
              </w:rPr>
            </w:pPr>
          </w:p>
        </w:tc>
        <w:tc>
          <w:tcPr>
            <w:tcW w:w="361" w:type="pct"/>
            <w:tcBorders>
              <w:top w:val="nil"/>
              <w:left w:val="nil"/>
              <w:bottom w:val="nil"/>
              <w:right w:val="nil"/>
            </w:tcBorders>
          </w:tcPr>
          <w:p w14:paraId="1AC8ACB6" w14:textId="77777777" w:rsidR="00F86341" w:rsidRPr="00141177" w:rsidRDefault="00F86341" w:rsidP="00F86341">
            <w:pPr>
              <w:ind w:left="144" w:hanging="144"/>
              <w:jc w:val="left"/>
              <w:rPr>
                <w:rFonts w:asciiTheme="minorBidi" w:hAnsiTheme="minorBidi" w:cstheme="minorBidi"/>
                <w:b/>
                <w:bCs/>
                <w:color w:val="000000"/>
                <w:sz w:val="18"/>
                <w:szCs w:val="18"/>
                <w:rtl/>
                <w:lang w:eastAsia="he-IL"/>
              </w:rPr>
            </w:pPr>
          </w:p>
        </w:tc>
        <w:tc>
          <w:tcPr>
            <w:tcW w:w="300" w:type="pct"/>
            <w:tcBorders>
              <w:top w:val="nil"/>
              <w:left w:val="nil"/>
              <w:bottom w:val="nil"/>
              <w:right w:val="nil"/>
            </w:tcBorders>
          </w:tcPr>
          <w:p w14:paraId="13379697" w14:textId="77777777" w:rsidR="00F86341" w:rsidRPr="00141177" w:rsidRDefault="00F86341" w:rsidP="00F86341">
            <w:pPr>
              <w:ind w:left="144" w:hanging="144"/>
              <w:jc w:val="left"/>
              <w:rPr>
                <w:rFonts w:asciiTheme="minorBidi" w:hAnsiTheme="minorBidi" w:cstheme="minorBidi"/>
                <w:b/>
                <w:bCs/>
                <w:color w:val="000000"/>
                <w:sz w:val="18"/>
                <w:szCs w:val="18"/>
                <w:rtl/>
                <w:lang w:eastAsia="he-IL"/>
              </w:rPr>
            </w:pPr>
          </w:p>
        </w:tc>
      </w:tr>
      <w:tr w:rsidR="00F86341" w:rsidRPr="00A844E9" w14:paraId="4F75CBF1" w14:textId="5698EBA8" w:rsidTr="00141177">
        <w:trPr>
          <w:trHeight w:hRule="exact" w:val="72"/>
        </w:trPr>
        <w:tc>
          <w:tcPr>
            <w:tcW w:w="1726" w:type="pct"/>
            <w:tcBorders>
              <w:top w:val="nil"/>
              <w:left w:val="nil"/>
              <w:bottom w:val="nil"/>
              <w:right w:val="nil"/>
            </w:tcBorders>
            <w:vAlign w:val="bottom"/>
          </w:tcPr>
          <w:p w14:paraId="5A584B83" w14:textId="77777777" w:rsidR="00F86341" w:rsidRPr="00A844E9" w:rsidRDefault="00F86341" w:rsidP="00AB0DD8">
            <w:pPr>
              <w:spacing w:line="241" w:lineRule="auto"/>
              <w:ind w:firstLine="999"/>
              <w:rPr>
                <w:sz w:val="18"/>
                <w:szCs w:val="18"/>
                <w:rtl/>
              </w:rPr>
            </w:pPr>
          </w:p>
        </w:tc>
        <w:tc>
          <w:tcPr>
            <w:tcW w:w="361" w:type="pct"/>
            <w:tcBorders>
              <w:top w:val="nil"/>
              <w:left w:val="nil"/>
              <w:bottom w:val="nil"/>
              <w:right w:val="nil"/>
            </w:tcBorders>
            <w:vAlign w:val="bottom"/>
          </w:tcPr>
          <w:p w14:paraId="0855D136" w14:textId="77777777" w:rsidR="00F86341" w:rsidRPr="00141177" w:rsidRDefault="00F86341" w:rsidP="00F86341">
            <w:pPr>
              <w:spacing w:line="241" w:lineRule="auto"/>
              <w:rPr>
                <w:rFonts w:asciiTheme="minorBidi" w:hAnsiTheme="minorBidi" w:cstheme="minorBidi"/>
                <w:sz w:val="18"/>
                <w:szCs w:val="18"/>
                <w:rtl/>
              </w:rPr>
            </w:pPr>
          </w:p>
        </w:tc>
        <w:tc>
          <w:tcPr>
            <w:tcW w:w="361" w:type="pct"/>
            <w:tcBorders>
              <w:top w:val="nil"/>
              <w:left w:val="nil"/>
              <w:bottom w:val="nil"/>
              <w:right w:val="nil"/>
            </w:tcBorders>
          </w:tcPr>
          <w:p w14:paraId="5F47B851" w14:textId="77777777" w:rsidR="00F86341" w:rsidRPr="00141177" w:rsidRDefault="00F86341" w:rsidP="00F86341">
            <w:pPr>
              <w:spacing w:line="241" w:lineRule="auto"/>
              <w:rPr>
                <w:rFonts w:asciiTheme="minorBidi" w:hAnsiTheme="minorBidi" w:cstheme="minorBidi"/>
                <w:sz w:val="18"/>
                <w:szCs w:val="18"/>
                <w:rtl/>
              </w:rPr>
            </w:pPr>
          </w:p>
        </w:tc>
        <w:tc>
          <w:tcPr>
            <w:tcW w:w="341" w:type="pct"/>
            <w:tcBorders>
              <w:top w:val="nil"/>
              <w:left w:val="nil"/>
              <w:bottom w:val="nil"/>
              <w:right w:val="nil"/>
            </w:tcBorders>
          </w:tcPr>
          <w:p w14:paraId="5D76E200" w14:textId="77777777" w:rsidR="00F86341" w:rsidRPr="00141177" w:rsidRDefault="00F86341" w:rsidP="00F86341">
            <w:pPr>
              <w:spacing w:line="241" w:lineRule="auto"/>
              <w:rPr>
                <w:rFonts w:asciiTheme="minorBidi" w:hAnsiTheme="minorBidi" w:cstheme="minorBidi"/>
                <w:sz w:val="18"/>
                <w:szCs w:val="18"/>
                <w:rtl/>
              </w:rPr>
            </w:pPr>
          </w:p>
        </w:tc>
        <w:tc>
          <w:tcPr>
            <w:tcW w:w="413" w:type="pct"/>
            <w:tcBorders>
              <w:top w:val="nil"/>
              <w:left w:val="nil"/>
              <w:bottom w:val="nil"/>
              <w:right w:val="nil"/>
            </w:tcBorders>
          </w:tcPr>
          <w:p w14:paraId="34C90D64" w14:textId="77777777" w:rsidR="00F86341" w:rsidRPr="00141177" w:rsidRDefault="00F86341" w:rsidP="00F86341">
            <w:pPr>
              <w:spacing w:line="241" w:lineRule="auto"/>
              <w:rPr>
                <w:rFonts w:asciiTheme="minorBidi" w:hAnsiTheme="minorBidi" w:cstheme="minorBidi"/>
                <w:sz w:val="18"/>
                <w:szCs w:val="18"/>
                <w:rtl/>
              </w:rPr>
            </w:pPr>
          </w:p>
        </w:tc>
        <w:tc>
          <w:tcPr>
            <w:tcW w:w="416" w:type="pct"/>
            <w:tcBorders>
              <w:top w:val="nil"/>
              <w:left w:val="nil"/>
              <w:bottom w:val="nil"/>
              <w:right w:val="nil"/>
            </w:tcBorders>
            <w:vAlign w:val="bottom"/>
          </w:tcPr>
          <w:p w14:paraId="201384AE" w14:textId="77777777" w:rsidR="00F86341" w:rsidRPr="00141177" w:rsidRDefault="00F86341" w:rsidP="00F86341">
            <w:pPr>
              <w:spacing w:line="241" w:lineRule="auto"/>
              <w:rPr>
                <w:rFonts w:asciiTheme="minorBidi" w:hAnsiTheme="minorBidi" w:cstheme="minorBidi"/>
                <w:sz w:val="18"/>
                <w:szCs w:val="18"/>
                <w:rtl/>
              </w:rPr>
            </w:pPr>
          </w:p>
        </w:tc>
        <w:tc>
          <w:tcPr>
            <w:tcW w:w="343" w:type="pct"/>
            <w:tcBorders>
              <w:top w:val="nil"/>
              <w:left w:val="nil"/>
              <w:bottom w:val="nil"/>
              <w:right w:val="nil"/>
            </w:tcBorders>
            <w:vAlign w:val="bottom"/>
          </w:tcPr>
          <w:p w14:paraId="27D5C866" w14:textId="77777777" w:rsidR="00F86341" w:rsidRPr="00141177" w:rsidRDefault="00F86341" w:rsidP="00F86341">
            <w:pPr>
              <w:spacing w:line="241" w:lineRule="auto"/>
              <w:rPr>
                <w:rFonts w:asciiTheme="minorBidi" w:hAnsiTheme="minorBidi" w:cstheme="minorBidi"/>
                <w:sz w:val="18"/>
                <w:szCs w:val="18"/>
                <w:rtl/>
              </w:rPr>
            </w:pPr>
          </w:p>
        </w:tc>
        <w:tc>
          <w:tcPr>
            <w:tcW w:w="378" w:type="pct"/>
            <w:tcBorders>
              <w:top w:val="nil"/>
              <w:left w:val="nil"/>
              <w:bottom w:val="nil"/>
              <w:right w:val="nil"/>
            </w:tcBorders>
          </w:tcPr>
          <w:p w14:paraId="63A34B1F" w14:textId="77777777" w:rsidR="00F86341" w:rsidRPr="00141177" w:rsidRDefault="00F86341" w:rsidP="00F86341">
            <w:pPr>
              <w:spacing w:line="241" w:lineRule="auto"/>
              <w:rPr>
                <w:rFonts w:asciiTheme="minorBidi" w:hAnsiTheme="minorBidi" w:cstheme="minorBidi"/>
                <w:sz w:val="18"/>
                <w:szCs w:val="18"/>
                <w:rtl/>
              </w:rPr>
            </w:pPr>
          </w:p>
        </w:tc>
        <w:tc>
          <w:tcPr>
            <w:tcW w:w="361" w:type="pct"/>
            <w:tcBorders>
              <w:top w:val="nil"/>
              <w:left w:val="nil"/>
              <w:bottom w:val="nil"/>
              <w:right w:val="nil"/>
            </w:tcBorders>
          </w:tcPr>
          <w:p w14:paraId="6A6C36EA" w14:textId="77777777" w:rsidR="00F86341" w:rsidRPr="00141177" w:rsidRDefault="00F86341" w:rsidP="00F86341">
            <w:pPr>
              <w:spacing w:line="241" w:lineRule="auto"/>
              <w:rPr>
                <w:rFonts w:asciiTheme="minorBidi" w:hAnsiTheme="minorBidi" w:cstheme="minorBidi"/>
                <w:sz w:val="18"/>
                <w:szCs w:val="18"/>
                <w:rtl/>
              </w:rPr>
            </w:pPr>
          </w:p>
        </w:tc>
        <w:tc>
          <w:tcPr>
            <w:tcW w:w="300" w:type="pct"/>
            <w:tcBorders>
              <w:top w:val="nil"/>
              <w:left w:val="nil"/>
              <w:bottom w:val="nil"/>
              <w:right w:val="nil"/>
            </w:tcBorders>
          </w:tcPr>
          <w:p w14:paraId="43956CD7" w14:textId="77777777" w:rsidR="00F86341" w:rsidRPr="00141177" w:rsidRDefault="00F86341" w:rsidP="00F86341">
            <w:pPr>
              <w:spacing w:line="241" w:lineRule="auto"/>
              <w:rPr>
                <w:rFonts w:asciiTheme="minorBidi" w:hAnsiTheme="minorBidi" w:cstheme="minorBidi"/>
                <w:sz w:val="18"/>
                <w:szCs w:val="18"/>
                <w:rtl/>
              </w:rPr>
            </w:pPr>
          </w:p>
        </w:tc>
      </w:tr>
      <w:tr w:rsidR="00F86341" w:rsidRPr="00A844E9" w14:paraId="3CCB4D74" w14:textId="567D41A8" w:rsidTr="00141177">
        <w:tc>
          <w:tcPr>
            <w:tcW w:w="1726" w:type="pct"/>
            <w:tcBorders>
              <w:top w:val="nil"/>
              <w:left w:val="nil"/>
              <w:bottom w:val="nil"/>
              <w:right w:val="nil"/>
            </w:tcBorders>
            <w:vAlign w:val="bottom"/>
          </w:tcPr>
          <w:p w14:paraId="11D0B626" w14:textId="14912BD1" w:rsidR="00F86341" w:rsidRPr="00A844E9" w:rsidRDefault="00F86341" w:rsidP="00AB0DD8">
            <w:pPr>
              <w:ind w:left="4" w:firstLine="1136"/>
              <w:jc w:val="left"/>
              <w:rPr>
                <w:color w:val="000000"/>
                <w:sz w:val="18"/>
                <w:szCs w:val="18"/>
                <w:lang w:eastAsia="he-IL"/>
              </w:rPr>
            </w:pPr>
            <w:r w:rsidRPr="00A844E9">
              <w:rPr>
                <w:b/>
                <w:bCs/>
                <w:color w:val="000000"/>
                <w:sz w:val="18"/>
                <w:szCs w:val="18"/>
                <w:rtl/>
                <w:lang w:eastAsia="he-IL"/>
              </w:rPr>
              <w:t xml:space="preserve"> </w:t>
            </w:r>
            <w:r w:rsidRPr="00A844E9">
              <w:rPr>
                <w:rFonts w:hint="cs"/>
                <w:color w:val="000000"/>
                <w:sz w:val="18"/>
                <w:szCs w:val="18"/>
                <w:rtl/>
                <w:lang w:eastAsia="he-IL"/>
              </w:rPr>
              <w:t xml:space="preserve">חוזי </w:t>
            </w:r>
            <w:r w:rsidRPr="00A844E9">
              <w:rPr>
                <w:rFonts w:hint="cs"/>
                <w:color w:val="000000"/>
                <w:sz w:val="18"/>
                <w:szCs w:val="18"/>
                <w:lang w:eastAsia="he-IL"/>
              </w:rPr>
              <w:t>F</w:t>
            </w:r>
            <w:r w:rsidRPr="00A844E9">
              <w:rPr>
                <w:color w:val="000000"/>
                <w:sz w:val="18"/>
                <w:szCs w:val="18"/>
                <w:lang w:eastAsia="he-IL"/>
              </w:rPr>
              <w:t>utures</w:t>
            </w:r>
            <w:r w:rsidRPr="00A844E9">
              <w:rPr>
                <w:rFonts w:hint="cs"/>
                <w:color w:val="000000"/>
                <w:sz w:val="18"/>
                <w:szCs w:val="18"/>
                <w:rtl/>
                <w:lang w:eastAsia="he-IL"/>
              </w:rPr>
              <w:t xml:space="preserve"> ו-</w:t>
            </w:r>
            <w:r w:rsidRPr="00A844E9">
              <w:rPr>
                <w:rFonts w:hint="cs"/>
                <w:color w:val="000000"/>
                <w:sz w:val="18"/>
                <w:szCs w:val="18"/>
                <w:lang w:eastAsia="he-IL"/>
              </w:rPr>
              <w:t xml:space="preserve"> F</w:t>
            </w:r>
            <w:r w:rsidRPr="00A844E9">
              <w:rPr>
                <w:color w:val="000000"/>
                <w:sz w:val="18"/>
                <w:szCs w:val="18"/>
                <w:lang w:eastAsia="he-IL"/>
              </w:rPr>
              <w:t>orward</w:t>
            </w:r>
          </w:p>
        </w:tc>
        <w:tc>
          <w:tcPr>
            <w:tcW w:w="361" w:type="pct"/>
            <w:tcBorders>
              <w:top w:val="nil"/>
              <w:left w:val="nil"/>
              <w:bottom w:val="nil"/>
              <w:right w:val="nil"/>
            </w:tcBorders>
            <w:vAlign w:val="bottom"/>
          </w:tcPr>
          <w:p w14:paraId="0EE87CFD"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080FBDB2"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1" w:type="pct"/>
            <w:tcBorders>
              <w:top w:val="nil"/>
              <w:left w:val="nil"/>
              <w:bottom w:val="nil"/>
              <w:right w:val="nil"/>
            </w:tcBorders>
            <w:vAlign w:val="bottom"/>
          </w:tcPr>
          <w:p w14:paraId="5EED0996" w14:textId="6CA09058"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3" w:type="pct"/>
            <w:tcBorders>
              <w:top w:val="nil"/>
              <w:left w:val="nil"/>
              <w:bottom w:val="nil"/>
              <w:right w:val="nil"/>
            </w:tcBorders>
            <w:vAlign w:val="bottom"/>
          </w:tcPr>
          <w:p w14:paraId="4695BAF9"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6" w:type="pct"/>
            <w:tcBorders>
              <w:top w:val="nil"/>
              <w:left w:val="nil"/>
              <w:bottom w:val="nil"/>
              <w:right w:val="nil"/>
            </w:tcBorders>
            <w:vAlign w:val="bottom"/>
          </w:tcPr>
          <w:p w14:paraId="7932C97B"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3" w:type="pct"/>
            <w:tcBorders>
              <w:top w:val="nil"/>
              <w:left w:val="nil"/>
              <w:bottom w:val="nil"/>
              <w:right w:val="nil"/>
            </w:tcBorders>
            <w:vAlign w:val="bottom"/>
          </w:tcPr>
          <w:p w14:paraId="2C686A85"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78" w:type="pct"/>
            <w:tcBorders>
              <w:top w:val="nil"/>
              <w:left w:val="nil"/>
              <w:bottom w:val="nil"/>
              <w:right w:val="nil"/>
            </w:tcBorders>
            <w:vAlign w:val="bottom"/>
          </w:tcPr>
          <w:p w14:paraId="47EEDC36" w14:textId="40329408"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581F7C3B" w14:textId="6F65DC48"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00" w:type="pct"/>
            <w:tcBorders>
              <w:top w:val="nil"/>
              <w:left w:val="nil"/>
              <w:bottom w:val="nil"/>
              <w:right w:val="nil"/>
            </w:tcBorders>
            <w:vAlign w:val="bottom"/>
          </w:tcPr>
          <w:p w14:paraId="1E4CA3CC" w14:textId="31C0AD25"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r>
      <w:tr w:rsidR="00F86341" w:rsidRPr="00A844E9" w14:paraId="5F2ED904" w14:textId="7D3493CF" w:rsidTr="00141177">
        <w:trPr>
          <w:trHeight w:val="259"/>
        </w:trPr>
        <w:tc>
          <w:tcPr>
            <w:tcW w:w="1726" w:type="pct"/>
            <w:tcBorders>
              <w:top w:val="nil"/>
              <w:left w:val="nil"/>
              <w:bottom w:val="nil"/>
              <w:right w:val="nil"/>
            </w:tcBorders>
            <w:vAlign w:val="bottom"/>
          </w:tcPr>
          <w:p w14:paraId="37238178" w14:textId="77777777" w:rsidR="00F86341" w:rsidRPr="00A844E9" w:rsidRDefault="00F86341" w:rsidP="00AB0DD8">
            <w:pPr>
              <w:ind w:firstLine="999"/>
              <w:jc w:val="left"/>
              <w:rPr>
                <w:color w:val="000000"/>
                <w:sz w:val="18"/>
                <w:szCs w:val="18"/>
                <w:rtl/>
                <w:lang w:eastAsia="he-IL"/>
              </w:rPr>
            </w:pPr>
            <w:r w:rsidRPr="00A844E9">
              <w:rPr>
                <w:rFonts w:hint="cs"/>
                <w:color w:val="000000"/>
                <w:sz w:val="18"/>
                <w:szCs w:val="18"/>
                <w:rtl/>
                <w:lang w:eastAsia="he-IL"/>
              </w:rPr>
              <w:t xml:space="preserve">    אופציות שנכתבו</w:t>
            </w:r>
            <w:r w:rsidRPr="00A844E9">
              <w:rPr>
                <w:color w:val="000000"/>
                <w:sz w:val="18"/>
                <w:szCs w:val="18"/>
                <w:rtl/>
                <w:lang w:eastAsia="he-IL"/>
              </w:rPr>
              <w:t xml:space="preserve"> </w:t>
            </w:r>
          </w:p>
        </w:tc>
        <w:tc>
          <w:tcPr>
            <w:tcW w:w="361" w:type="pct"/>
            <w:tcBorders>
              <w:top w:val="nil"/>
              <w:left w:val="nil"/>
              <w:bottom w:val="nil"/>
              <w:right w:val="nil"/>
            </w:tcBorders>
            <w:vAlign w:val="bottom"/>
          </w:tcPr>
          <w:p w14:paraId="682AB74D"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49C6F597"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1" w:type="pct"/>
            <w:tcBorders>
              <w:top w:val="nil"/>
              <w:left w:val="nil"/>
              <w:bottom w:val="nil"/>
              <w:right w:val="nil"/>
            </w:tcBorders>
            <w:vAlign w:val="bottom"/>
          </w:tcPr>
          <w:p w14:paraId="70C87BEB" w14:textId="18B7F50C"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3" w:type="pct"/>
            <w:tcBorders>
              <w:top w:val="nil"/>
              <w:left w:val="nil"/>
              <w:bottom w:val="nil"/>
              <w:right w:val="nil"/>
            </w:tcBorders>
            <w:vAlign w:val="bottom"/>
          </w:tcPr>
          <w:p w14:paraId="5646CCF2"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6" w:type="pct"/>
            <w:tcBorders>
              <w:top w:val="nil"/>
              <w:left w:val="nil"/>
              <w:bottom w:val="nil"/>
              <w:right w:val="nil"/>
            </w:tcBorders>
            <w:vAlign w:val="bottom"/>
          </w:tcPr>
          <w:p w14:paraId="75315360"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3" w:type="pct"/>
            <w:tcBorders>
              <w:top w:val="nil"/>
              <w:left w:val="nil"/>
              <w:bottom w:val="nil"/>
              <w:right w:val="nil"/>
            </w:tcBorders>
            <w:vAlign w:val="bottom"/>
          </w:tcPr>
          <w:p w14:paraId="0058868F"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78" w:type="pct"/>
            <w:tcBorders>
              <w:top w:val="nil"/>
              <w:left w:val="nil"/>
              <w:bottom w:val="nil"/>
              <w:right w:val="nil"/>
            </w:tcBorders>
            <w:vAlign w:val="bottom"/>
          </w:tcPr>
          <w:p w14:paraId="05D27388" w14:textId="47BF2900"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20827593" w14:textId="0B94C68F"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00" w:type="pct"/>
            <w:tcBorders>
              <w:top w:val="nil"/>
              <w:left w:val="nil"/>
              <w:bottom w:val="nil"/>
              <w:right w:val="nil"/>
            </w:tcBorders>
            <w:vAlign w:val="bottom"/>
          </w:tcPr>
          <w:p w14:paraId="65177012" w14:textId="65922274"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r>
      <w:tr w:rsidR="00F86341" w:rsidRPr="00A844E9" w14:paraId="73DA1A5A" w14:textId="4F3356C1" w:rsidTr="00141177">
        <w:trPr>
          <w:trHeight w:val="259"/>
        </w:trPr>
        <w:tc>
          <w:tcPr>
            <w:tcW w:w="1726" w:type="pct"/>
            <w:tcBorders>
              <w:top w:val="nil"/>
              <w:left w:val="nil"/>
              <w:bottom w:val="nil"/>
              <w:right w:val="nil"/>
            </w:tcBorders>
            <w:vAlign w:val="bottom"/>
          </w:tcPr>
          <w:p w14:paraId="2740E2D9" w14:textId="77777777" w:rsidR="00F86341" w:rsidRPr="00A844E9" w:rsidRDefault="00F86341" w:rsidP="00AB0DD8">
            <w:pPr>
              <w:ind w:firstLine="999"/>
              <w:jc w:val="left"/>
              <w:rPr>
                <w:color w:val="000000"/>
                <w:sz w:val="18"/>
                <w:szCs w:val="18"/>
                <w:rtl/>
                <w:lang w:eastAsia="he-IL"/>
              </w:rPr>
            </w:pPr>
            <w:r w:rsidRPr="00A844E9">
              <w:rPr>
                <w:rFonts w:hint="cs"/>
                <w:color w:val="000000"/>
                <w:sz w:val="18"/>
                <w:szCs w:val="18"/>
                <w:rtl/>
                <w:lang w:eastAsia="he-IL"/>
              </w:rPr>
              <w:t xml:space="preserve">    אופציות שנקנו</w:t>
            </w:r>
          </w:p>
        </w:tc>
        <w:tc>
          <w:tcPr>
            <w:tcW w:w="361" w:type="pct"/>
            <w:tcBorders>
              <w:top w:val="nil"/>
              <w:left w:val="nil"/>
              <w:bottom w:val="nil"/>
              <w:right w:val="nil"/>
            </w:tcBorders>
            <w:vAlign w:val="bottom"/>
          </w:tcPr>
          <w:p w14:paraId="7F4B71D9"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0C5B9BEE"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1" w:type="pct"/>
            <w:tcBorders>
              <w:top w:val="nil"/>
              <w:left w:val="nil"/>
              <w:bottom w:val="nil"/>
              <w:right w:val="nil"/>
            </w:tcBorders>
            <w:vAlign w:val="bottom"/>
          </w:tcPr>
          <w:p w14:paraId="3179A3F2" w14:textId="1E330E86"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3" w:type="pct"/>
            <w:tcBorders>
              <w:top w:val="nil"/>
              <w:left w:val="nil"/>
              <w:bottom w:val="nil"/>
              <w:right w:val="nil"/>
            </w:tcBorders>
            <w:vAlign w:val="bottom"/>
          </w:tcPr>
          <w:p w14:paraId="22935461"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6" w:type="pct"/>
            <w:tcBorders>
              <w:top w:val="nil"/>
              <w:left w:val="nil"/>
              <w:bottom w:val="nil"/>
              <w:right w:val="nil"/>
            </w:tcBorders>
            <w:vAlign w:val="bottom"/>
          </w:tcPr>
          <w:p w14:paraId="0918E26F"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3" w:type="pct"/>
            <w:tcBorders>
              <w:top w:val="nil"/>
              <w:left w:val="nil"/>
              <w:bottom w:val="nil"/>
              <w:right w:val="nil"/>
            </w:tcBorders>
            <w:vAlign w:val="bottom"/>
          </w:tcPr>
          <w:p w14:paraId="1AB383F5"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78" w:type="pct"/>
            <w:tcBorders>
              <w:top w:val="nil"/>
              <w:left w:val="nil"/>
              <w:bottom w:val="nil"/>
              <w:right w:val="nil"/>
            </w:tcBorders>
            <w:vAlign w:val="bottom"/>
          </w:tcPr>
          <w:p w14:paraId="1D3FDF6C" w14:textId="3240B96C"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41FA441B" w14:textId="781632AE"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00" w:type="pct"/>
            <w:tcBorders>
              <w:top w:val="nil"/>
              <w:left w:val="nil"/>
              <w:bottom w:val="nil"/>
              <w:right w:val="nil"/>
            </w:tcBorders>
            <w:vAlign w:val="bottom"/>
          </w:tcPr>
          <w:p w14:paraId="7F93F962" w14:textId="06A3443C"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r>
      <w:tr w:rsidR="00F86341" w:rsidRPr="00A844E9" w14:paraId="57279D7E" w14:textId="6AD32B8C" w:rsidTr="00141177">
        <w:trPr>
          <w:trHeight w:val="259"/>
        </w:trPr>
        <w:tc>
          <w:tcPr>
            <w:tcW w:w="1726" w:type="pct"/>
            <w:tcBorders>
              <w:top w:val="nil"/>
              <w:left w:val="nil"/>
              <w:bottom w:val="nil"/>
              <w:right w:val="nil"/>
            </w:tcBorders>
            <w:vAlign w:val="bottom"/>
          </w:tcPr>
          <w:p w14:paraId="442DD94C" w14:textId="77777777" w:rsidR="00F86341" w:rsidRPr="00A844E9" w:rsidRDefault="00F86341" w:rsidP="00AB0DD8">
            <w:pPr>
              <w:spacing w:line="241" w:lineRule="auto"/>
              <w:ind w:firstLine="999"/>
              <w:jc w:val="left"/>
              <w:rPr>
                <w:color w:val="000000"/>
                <w:sz w:val="18"/>
                <w:szCs w:val="18"/>
                <w:rtl/>
                <w:lang w:eastAsia="he-IL"/>
              </w:rPr>
            </w:pPr>
            <w:r w:rsidRPr="00A844E9">
              <w:rPr>
                <w:rFonts w:hint="cs"/>
                <w:color w:val="000000"/>
                <w:sz w:val="18"/>
                <w:szCs w:val="18"/>
                <w:lang w:eastAsia="he-IL"/>
              </w:rPr>
              <w:t>S</w:t>
            </w:r>
            <w:r w:rsidRPr="00A844E9">
              <w:rPr>
                <w:color w:val="000000"/>
                <w:sz w:val="18"/>
                <w:szCs w:val="18"/>
                <w:lang w:eastAsia="he-IL"/>
              </w:rPr>
              <w:t xml:space="preserve">waps    </w:t>
            </w:r>
            <w:r w:rsidRPr="00A844E9">
              <w:rPr>
                <w:rFonts w:hint="cs"/>
                <w:color w:val="000000"/>
                <w:sz w:val="18"/>
                <w:szCs w:val="18"/>
                <w:vertAlign w:val="superscript"/>
                <w:rtl/>
                <w:lang w:eastAsia="he-IL"/>
              </w:rPr>
              <w:t>(א)</w:t>
            </w:r>
          </w:p>
        </w:tc>
        <w:tc>
          <w:tcPr>
            <w:tcW w:w="361" w:type="pct"/>
            <w:tcBorders>
              <w:top w:val="nil"/>
              <w:left w:val="nil"/>
              <w:bottom w:val="nil"/>
              <w:right w:val="nil"/>
            </w:tcBorders>
            <w:vAlign w:val="bottom"/>
          </w:tcPr>
          <w:p w14:paraId="2DF61E10"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61" w:type="pct"/>
            <w:tcBorders>
              <w:top w:val="nil"/>
              <w:left w:val="nil"/>
              <w:bottom w:val="nil"/>
              <w:right w:val="nil"/>
            </w:tcBorders>
            <w:vAlign w:val="bottom"/>
          </w:tcPr>
          <w:p w14:paraId="55EC2367"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41" w:type="pct"/>
            <w:tcBorders>
              <w:top w:val="nil"/>
              <w:left w:val="nil"/>
              <w:bottom w:val="nil"/>
              <w:right w:val="nil"/>
            </w:tcBorders>
            <w:vAlign w:val="bottom"/>
          </w:tcPr>
          <w:p w14:paraId="5F170D38" w14:textId="2D6512B6"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413" w:type="pct"/>
            <w:tcBorders>
              <w:top w:val="nil"/>
              <w:left w:val="nil"/>
              <w:bottom w:val="nil"/>
              <w:right w:val="nil"/>
            </w:tcBorders>
            <w:vAlign w:val="bottom"/>
          </w:tcPr>
          <w:p w14:paraId="1262FF47"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416" w:type="pct"/>
            <w:tcBorders>
              <w:top w:val="nil"/>
              <w:left w:val="nil"/>
              <w:bottom w:val="nil"/>
              <w:right w:val="nil"/>
            </w:tcBorders>
            <w:vAlign w:val="bottom"/>
          </w:tcPr>
          <w:p w14:paraId="7AE809C7"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43" w:type="pct"/>
            <w:tcBorders>
              <w:top w:val="nil"/>
              <w:left w:val="nil"/>
              <w:bottom w:val="nil"/>
              <w:right w:val="nil"/>
            </w:tcBorders>
            <w:vAlign w:val="bottom"/>
          </w:tcPr>
          <w:p w14:paraId="32CBFFF8"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78" w:type="pct"/>
            <w:tcBorders>
              <w:top w:val="nil"/>
              <w:left w:val="nil"/>
              <w:bottom w:val="nil"/>
              <w:right w:val="nil"/>
            </w:tcBorders>
            <w:vAlign w:val="bottom"/>
          </w:tcPr>
          <w:p w14:paraId="410365DF" w14:textId="407D7190"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61" w:type="pct"/>
            <w:tcBorders>
              <w:top w:val="nil"/>
              <w:left w:val="nil"/>
              <w:bottom w:val="nil"/>
              <w:right w:val="nil"/>
            </w:tcBorders>
            <w:vAlign w:val="bottom"/>
          </w:tcPr>
          <w:p w14:paraId="40AF5ED4" w14:textId="277A6AE5"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00" w:type="pct"/>
            <w:tcBorders>
              <w:top w:val="nil"/>
              <w:left w:val="nil"/>
              <w:bottom w:val="nil"/>
              <w:right w:val="nil"/>
            </w:tcBorders>
            <w:vAlign w:val="bottom"/>
          </w:tcPr>
          <w:p w14:paraId="423A78F2" w14:textId="1E6394E8"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r>
      <w:tr w:rsidR="00F86341" w:rsidRPr="00A844E9" w14:paraId="48BBA149" w14:textId="583EA2B8" w:rsidTr="00141177">
        <w:trPr>
          <w:trHeight w:val="259"/>
        </w:trPr>
        <w:tc>
          <w:tcPr>
            <w:tcW w:w="1726" w:type="pct"/>
            <w:tcBorders>
              <w:top w:val="nil"/>
              <w:left w:val="nil"/>
              <w:bottom w:val="nil"/>
              <w:right w:val="nil"/>
            </w:tcBorders>
            <w:vAlign w:val="bottom"/>
          </w:tcPr>
          <w:p w14:paraId="7ADDF34D" w14:textId="77777777" w:rsidR="00F86341" w:rsidRPr="00A844E9" w:rsidRDefault="00F86341" w:rsidP="00AB0DD8">
            <w:pPr>
              <w:spacing w:line="241" w:lineRule="auto"/>
              <w:ind w:firstLine="999"/>
              <w:jc w:val="left"/>
              <w:rPr>
                <w:b/>
                <w:bCs/>
                <w:color w:val="000000"/>
                <w:sz w:val="18"/>
                <w:szCs w:val="18"/>
                <w:lang w:eastAsia="he-IL"/>
              </w:rPr>
            </w:pPr>
            <w:r w:rsidRPr="00A844E9">
              <w:rPr>
                <w:rFonts w:hint="cs"/>
                <w:b/>
                <w:bCs/>
                <w:color w:val="000000"/>
                <w:sz w:val="18"/>
                <w:szCs w:val="18"/>
                <w:rtl/>
                <w:lang w:eastAsia="he-IL"/>
              </w:rPr>
              <w:t xml:space="preserve">    סה"כ</w:t>
            </w:r>
            <w:r w:rsidRPr="00A844E9">
              <w:rPr>
                <w:rFonts w:hint="cs"/>
                <w:color w:val="000000"/>
                <w:sz w:val="18"/>
                <w:szCs w:val="18"/>
                <w:vertAlign w:val="superscript"/>
                <w:rtl/>
                <w:lang w:eastAsia="he-IL"/>
              </w:rPr>
              <w:t>(ב)</w:t>
            </w:r>
          </w:p>
        </w:tc>
        <w:tc>
          <w:tcPr>
            <w:tcW w:w="361" w:type="pct"/>
            <w:tcBorders>
              <w:top w:val="nil"/>
              <w:left w:val="nil"/>
              <w:bottom w:val="nil"/>
              <w:right w:val="nil"/>
            </w:tcBorders>
            <w:vAlign w:val="bottom"/>
          </w:tcPr>
          <w:p w14:paraId="2FCBBCB9"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61" w:type="pct"/>
            <w:tcBorders>
              <w:top w:val="nil"/>
              <w:left w:val="nil"/>
              <w:bottom w:val="nil"/>
              <w:right w:val="nil"/>
            </w:tcBorders>
            <w:vAlign w:val="bottom"/>
          </w:tcPr>
          <w:p w14:paraId="3613C07A"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41" w:type="pct"/>
            <w:tcBorders>
              <w:top w:val="nil"/>
              <w:left w:val="nil"/>
              <w:bottom w:val="nil"/>
              <w:right w:val="nil"/>
            </w:tcBorders>
            <w:vAlign w:val="bottom"/>
          </w:tcPr>
          <w:p w14:paraId="2ECBD5CC" w14:textId="1E8547DC"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413" w:type="pct"/>
            <w:tcBorders>
              <w:top w:val="nil"/>
              <w:left w:val="nil"/>
              <w:bottom w:val="nil"/>
              <w:right w:val="nil"/>
            </w:tcBorders>
            <w:vAlign w:val="bottom"/>
          </w:tcPr>
          <w:p w14:paraId="5CD5C5E7"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416" w:type="pct"/>
            <w:tcBorders>
              <w:top w:val="nil"/>
              <w:left w:val="nil"/>
              <w:bottom w:val="nil"/>
              <w:right w:val="nil"/>
            </w:tcBorders>
            <w:vAlign w:val="bottom"/>
          </w:tcPr>
          <w:p w14:paraId="1016241C"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43" w:type="pct"/>
            <w:tcBorders>
              <w:top w:val="nil"/>
              <w:left w:val="nil"/>
              <w:bottom w:val="nil"/>
              <w:right w:val="nil"/>
            </w:tcBorders>
            <w:vAlign w:val="bottom"/>
          </w:tcPr>
          <w:p w14:paraId="3C73FCF2"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78" w:type="pct"/>
            <w:tcBorders>
              <w:top w:val="nil"/>
              <w:left w:val="nil"/>
              <w:bottom w:val="nil"/>
              <w:right w:val="nil"/>
            </w:tcBorders>
            <w:vAlign w:val="bottom"/>
          </w:tcPr>
          <w:p w14:paraId="41387EE7" w14:textId="6D544738"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61" w:type="pct"/>
            <w:tcBorders>
              <w:top w:val="nil"/>
              <w:left w:val="nil"/>
              <w:bottom w:val="nil"/>
              <w:right w:val="nil"/>
            </w:tcBorders>
            <w:vAlign w:val="bottom"/>
          </w:tcPr>
          <w:p w14:paraId="7F32A89D" w14:textId="553D1F5C"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00" w:type="pct"/>
            <w:tcBorders>
              <w:top w:val="nil"/>
              <w:left w:val="nil"/>
              <w:bottom w:val="nil"/>
              <w:right w:val="nil"/>
            </w:tcBorders>
            <w:vAlign w:val="bottom"/>
          </w:tcPr>
          <w:p w14:paraId="75F55FA2" w14:textId="24E8FB8B"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r>
      <w:tr w:rsidR="00F86341" w:rsidRPr="00A844E9" w14:paraId="5F908E31" w14:textId="6162AE2E" w:rsidTr="00141177">
        <w:trPr>
          <w:trHeight w:val="259"/>
        </w:trPr>
        <w:tc>
          <w:tcPr>
            <w:tcW w:w="1726" w:type="pct"/>
            <w:tcBorders>
              <w:top w:val="nil"/>
              <w:left w:val="nil"/>
              <w:bottom w:val="nil"/>
              <w:right w:val="nil"/>
            </w:tcBorders>
            <w:vAlign w:val="bottom"/>
          </w:tcPr>
          <w:p w14:paraId="3C6A94C4" w14:textId="77777777" w:rsidR="00F86341" w:rsidRPr="00A844E9" w:rsidRDefault="00F86341" w:rsidP="00AB0DD8">
            <w:pPr>
              <w:spacing w:line="241" w:lineRule="auto"/>
              <w:ind w:firstLine="999"/>
              <w:jc w:val="left"/>
              <w:rPr>
                <w:color w:val="000000"/>
                <w:sz w:val="18"/>
                <w:szCs w:val="18"/>
                <w:rtl/>
                <w:lang w:eastAsia="he-IL"/>
              </w:rPr>
            </w:pPr>
            <w:r w:rsidRPr="00A844E9">
              <w:rPr>
                <w:rFonts w:hint="cs"/>
                <w:color w:val="000000"/>
                <w:sz w:val="18"/>
                <w:szCs w:val="18"/>
                <w:rtl/>
                <w:lang w:eastAsia="he-IL"/>
              </w:rPr>
              <w:t xml:space="preserve">    מזה: נגזרים מגדרים</w:t>
            </w:r>
            <w:r w:rsidRPr="00A844E9">
              <w:rPr>
                <w:rFonts w:hint="cs"/>
                <w:color w:val="000000"/>
                <w:sz w:val="18"/>
                <w:szCs w:val="18"/>
                <w:vertAlign w:val="superscript"/>
                <w:rtl/>
                <w:lang w:eastAsia="he-IL"/>
              </w:rPr>
              <w:t>(ג)</w:t>
            </w:r>
          </w:p>
        </w:tc>
        <w:tc>
          <w:tcPr>
            <w:tcW w:w="361" w:type="pct"/>
            <w:tcBorders>
              <w:top w:val="nil"/>
              <w:left w:val="nil"/>
              <w:bottom w:val="nil"/>
              <w:right w:val="nil"/>
            </w:tcBorders>
            <w:vAlign w:val="bottom"/>
          </w:tcPr>
          <w:p w14:paraId="5FD9ED75"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46777B91" w14:textId="77777777" w:rsidR="00F86341" w:rsidRPr="00141177" w:rsidRDefault="00F86341" w:rsidP="00F86341">
            <w:pPr>
              <w:ind w:left="144" w:hanging="144"/>
              <w:jc w:val="left"/>
              <w:rPr>
                <w:rFonts w:asciiTheme="minorBidi" w:hAnsiTheme="minorBidi" w:cstheme="minorBidi"/>
                <w:b/>
                <w:bCs/>
                <w:color w:val="000000"/>
                <w:sz w:val="18"/>
                <w:szCs w:val="18"/>
                <w:rtl/>
                <w:lang w:eastAsia="he-IL"/>
              </w:rPr>
            </w:pPr>
            <w:r w:rsidRPr="00141177">
              <w:rPr>
                <w:rFonts w:asciiTheme="minorBidi" w:hAnsiTheme="minorBidi" w:cstheme="minorBidi"/>
                <w:color w:val="000000"/>
                <w:sz w:val="18"/>
                <w:szCs w:val="18"/>
                <w:rtl/>
                <w:lang w:eastAsia="he-IL"/>
              </w:rPr>
              <w:t>0</w:t>
            </w:r>
          </w:p>
        </w:tc>
        <w:tc>
          <w:tcPr>
            <w:tcW w:w="341" w:type="pct"/>
            <w:tcBorders>
              <w:top w:val="nil"/>
              <w:left w:val="nil"/>
              <w:bottom w:val="nil"/>
              <w:right w:val="nil"/>
            </w:tcBorders>
            <w:vAlign w:val="bottom"/>
          </w:tcPr>
          <w:p w14:paraId="70CC5040" w14:textId="18080E83"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3" w:type="pct"/>
            <w:tcBorders>
              <w:top w:val="nil"/>
              <w:left w:val="nil"/>
              <w:bottom w:val="nil"/>
              <w:right w:val="nil"/>
            </w:tcBorders>
            <w:vAlign w:val="bottom"/>
          </w:tcPr>
          <w:p w14:paraId="692F9AA3"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6" w:type="pct"/>
            <w:tcBorders>
              <w:top w:val="nil"/>
              <w:left w:val="nil"/>
              <w:bottom w:val="nil"/>
              <w:right w:val="nil"/>
            </w:tcBorders>
            <w:vAlign w:val="bottom"/>
          </w:tcPr>
          <w:p w14:paraId="624C54ED"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3" w:type="pct"/>
            <w:tcBorders>
              <w:top w:val="nil"/>
              <w:left w:val="nil"/>
              <w:bottom w:val="nil"/>
              <w:right w:val="nil"/>
            </w:tcBorders>
            <w:vAlign w:val="bottom"/>
          </w:tcPr>
          <w:p w14:paraId="2562EFA7"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78" w:type="pct"/>
            <w:tcBorders>
              <w:top w:val="nil"/>
              <w:left w:val="nil"/>
              <w:bottom w:val="nil"/>
              <w:right w:val="nil"/>
            </w:tcBorders>
            <w:vAlign w:val="bottom"/>
          </w:tcPr>
          <w:p w14:paraId="7292D73C" w14:textId="1906C549"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7F5592F0" w14:textId="33CB476E"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00" w:type="pct"/>
            <w:tcBorders>
              <w:top w:val="nil"/>
              <w:left w:val="nil"/>
              <w:bottom w:val="nil"/>
              <w:right w:val="nil"/>
            </w:tcBorders>
            <w:vAlign w:val="bottom"/>
          </w:tcPr>
          <w:p w14:paraId="21C0FCF2" w14:textId="18800C7F"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r>
      <w:tr w:rsidR="00F86341" w:rsidRPr="00A844E9" w14:paraId="4AE32624" w14:textId="03B4886A" w:rsidTr="00141177">
        <w:trPr>
          <w:trHeight w:val="259"/>
        </w:trPr>
        <w:tc>
          <w:tcPr>
            <w:tcW w:w="1726" w:type="pct"/>
            <w:tcBorders>
              <w:top w:val="nil"/>
              <w:left w:val="nil"/>
              <w:bottom w:val="nil"/>
              <w:right w:val="nil"/>
            </w:tcBorders>
            <w:vAlign w:val="bottom"/>
          </w:tcPr>
          <w:p w14:paraId="25FC7A65" w14:textId="77777777" w:rsidR="00F86341" w:rsidRPr="00A844E9" w:rsidRDefault="00F86341" w:rsidP="00AB0DD8">
            <w:pPr>
              <w:spacing w:line="241" w:lineRule="auto"/>
              <w:ind w:firstLine="999"/>
              <w:jc w:val="left"/>
              <w:rPr>
                <w:b/>
                <w:bCs/>
                <w:color w:val="000000"/>
                <w:sz w:val="18"/>
                <w:szCs w:val="18"/>
                <w:u w:val="single"/>
                <w:rtl/>
                <w:lang w:eastAsia="he-IL"/>
              </w:rPr>
            </w:pPr>
            <w:r w:rsidRPr="00A844E9">
              <w:rPr>
                <w:rFonts w:hint="cs"/>
                <w:b/>
                <w:bCs/>
                <w:color w:val="000000"/>
                <w:sz w:val="18"/>
                <w:szCs w:val="18"/>
                <w:rtl/>
                <w:lang w:eastAsia="he-IL"/>
              </w:rPr>
              <w:t xml:space="preserve">    </w:t>
            </w:r>
            <w:r w:rsidRPr="00A844E9">
              <w:rPr>
                <w:rFonts w:hint="cs"/>
                <w:b/>
                <w:bCs/>
                <w:color w:val="000000"/>
                <w:sz w:val="18"/>
                <w:szCs w:val="18"/>
                <w:u w:val="single"/>
                <w:rtl/>
                <w:lang w:eastAsia="he-IL"/>
              </w:rPr>
              <w:t>חוזי מטבע חוץ</w:t>
            </w:r>
            <w:r w:rsidRPr="00A844E9">
              <w:rPr>
                <w:b/>
                <w:bCs/>
                <w:color w:val="000000"/>
                <w:sz w:val="18"/>
                <w:szCs w:val="18"/>
                <w:u w:val="single"/>
                <w:vertAlign w:val="superscript"/>
                <w:rtl/>
                <w:lang w:eastAsia="he-IL"/>
              </w:rPr>
              <w:t>[</w:t>
            </w:r>
            <w:r w:rsidRPr="00551B31">
              <w:rPr>
                <w:color w:val="000000"/>
                <w:sz w:val="18"/>
                <w:szCs w:val="18"/>
                <w:u w:val="single"/>
                <w:vertAlign w:val="superscript"/>
                <w:rtl/>
              </w:rPr>
              <w:footnoteReference w:id="75"/>
            </w:r>
            <w:r w:rsidRPr="00551B31">
              <w:rPr>
                <w:b/>
                <w:bCs/>
                <w:color w:val="000000"/>
                <w:sz w:val="18"/>
                <w:szCs w:val="18"/>
                <w:u w:val="single"/>
                <w:vertAlign w:val="superscript"/>
                <w:rtl/>
                <w:lang w:eastAsia="he-IL"/>
              </w:rPr>
              <w:t>]</w:t>
            </w:r>
          </w:p>
        </w:tc>
        <w:tc>
          <w:tcPr>
            <w:tcW w:w="361" w:type="pct"/>
            <w:tcBorders>
              <w:top w:val="nil"/>
              <w:left w:val="nil"/>
              <w:bottom w:val="nil"/>
              <w:right w:val="nil"/>
            </w:tcBorders>
            <w:vAlign w:val="bottom"/>
          </w:tcPr>
          <w:p w14:paraId="61F04829"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61" w:type="pct"/>
            <w:tcBorders>
              <w:top w:val="nil"/>
              <w:left w:val="nil"/>
              <w:bottom w:val="nil"/>
              <w:right w:val="nil"/>
            </w:tcBorders>
            <w:vAlign w:val="bottom"/>
          </w:tcPr>
          <w:p w14:paraId="5A0D3412"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41" w:type="pct"/>
            <w:tcBorders>
              <w:top w:val="nil"/>
              <w:left w:val="nil"/>
              <w:bottom w:val="nil"/>
              <w:right w:val="nil"/>
            </w:tcBorders>
            <w:vAlign w:val="bottom"/>
          </w:tcPr>
          <w:p w14:paraId="479374F3"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413" w:type="pct"/>
            <w:tcBorders>
              <w:top w:val="nil"/>
              <w:left w:val="nil"/>
              <w:bottom w:val="nil"/>
              <w:right w:val="nil"/>
            </w:tcBorders>
            <w:vAlign w:val="bottom"/>
          </w:tcPr>
          <w:p w14:paraId="7EFA6305"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416" w:type="pct"/>
            <w:tcBorders>
              <w:top w:val="nil"/>
              <w:left w:val="nil"/>
              <w:bottom w:val="nil"/>
              <w:right w:val="nil"/>
            </w:tcBorders>
            <w:vAlign w:val="bottom"/>
          </w:tcPr>
          <w:p w14:paraId="66B5A15D"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43" w:type="pct"/>
            <w:tcBorders>
              <w:top w:val="nil"/>
              <w:left w:val="nil"/>
              <w:bottom w:val="nil"/>
              <w:right w:val="nil"/>
            </w:tcBorders>
            <w:vAlign w:val="bottom"/>
          </w:tcPr>
          <w:p w14:paraId="60FC5203"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78" w:type="pct"/>
            <w:tcBorders>
              <w:top w:val="nil"/>
              <w:left w:val="nil"/>
              <w:bottom w:val="nil"/>
              <w:right w:val="nil"/>
            </w:tcBorders>
            <w:vAlign w:val="bottom"/>
          </w:tcPr>
          <w:p w14:paraId="792090A5"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61" w:type="pct"/>
            <w:tcBorders>
              <w:top w:val="nil"/>
              <w:left w:val="nil"/>
              <w:bottom w:val="nil"/>
              <w:right w:val="nil"/>
            </w:tcBorders>
            <w:vAlign w:val="bottom"/>
          </w:tcPr>
          <w:p w14:paraId="535E641C"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00" w:type="pct"/>
            <w:tcBorders>
              <w:top w:val="nil"/>
              <w:left w:val="nil"/>
              <w:bottom w:val="nil"/>
              <w:right w:val="nil"/>
            </w:tcBorders>
            <w:vAlign w:val="bottom"/>
          </w:tcPr>
          <w:p w14:paraId="3FE1FC56"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r>
      <w:tr w:rsidR="00F86341" w:rsidRPr="00A844E9" w14:paraId="79093E4C" w14:textId="5B9A4110" w:rsidTr="00141177">
        <w:trPr>
          <w:trHeight w:val="259"/>
        </w:trPr>
        <w:tc>
          <w:tcPr>
            <w:tcW w:w="1726" w:type="pct"/>
            <w:tcBorders>
              <w:top w:val="nil"/>
              <w:left w:val="nil"/>
              <w:bottom w:val="nil"/>
              <w:right w:val="nil"/>
            </w:tcBorders>
            <w:vAlign w:val="bottom"/>
          </w:tcPr>
          <w:p w14:paraId="7D773B8B" w14:textId="65341A24" w:rsidR="00F86341" w:rsidRPr="00A844E9" w:rsidRDefault="00F86341" w:rsidP="00AB0DD8">
            <w:pPr>
              <w:ind w:firstLine="999"/>
              <w:jc w:val="left"/>
              <w:rPr>
                <w:color w:val="000000"/>
                <w:sz w:val="18"/>
                <w:szCs w:val="18"/>
                <w:lang w:eastAsia="he-IL"/>
              </w:rPr>
            </w:pPr>
            <w:r w:rsidRPr="00A844E9">
              <w:rPr>
                <w:b/>
                <w:bCs/>
                <w:color w:val="000000"/>
                <w:sz w:val="18"/>
                <w:szCs w:val="18"/>
                <w:rtl/>
                <w:lang w:eastAsia="he-IL"/>
              </w:rPr>
              <w:t xml:space="preserve"> </w:t>
            </w:r>
            <w:r w:rsidR="00452273">
              <w:rPr>
                <w:rFonts w:hint="cs"/>
                <w:color w:val="000000"/>
                <w:sz w:val="18"/>
                <w:szCs w:val="18"/>
                <w:rtl/>
                <w:lang w:eastAsia="he-IL"/>
              </w:rPr>
              <w:t xml:space="preserve">  </w:t>
            </w:r>
            <w:r w:rsidRPr="00A844E9">
              <w:rPr>
                <w:rFonts w:hint="cs"/>
                <w:color w:val="000000"/>
                <w:sz w:val="18"/>
                <w:szCs w:val="18"/>
                <w:rtl/>
                <w:lang w:eastAsia="he-IL"/>
              </w:rPr>
              <w:t xml:space="preserve"> חוזי </w:t>
            </w:r>
            <w:r w:rsidRPr="00A844E9">
              <w:rPr>
                <w:rFonts w:hint="cs"/>
                <w:color w:val="000000"/>
                <w:sz w:val="18"/>
                <w:szCs w:val="18"/>
                <w:lang w:eastAsia="he-IL"/>
              </w:rPr>
              <w:t>F</w:t>
            </w:r>
            <w:r w:rsidRPr="00A844E9">
              <w:rPr>
                <w:color w:val="000000"/>
                <w:sz w:val="18"/>
                <w:szCs w:val="18"/>
                <w:lang w:eastAsia="he-IL"/>
              </w:rPr>
              <w:t>utures</w:t>
            </w:r>
            <w:r w:rsidRPr="00A844E9">
              <w:rPr>
                <w:rFonts w:hint="cs"/>
                <w:color w:val="000000"/>
                <w:sz w:val="18"/>
                <w:szCs w:val="18"/>
                <w:rtl/>
                <w:lang w:eastAsia="he-IL"/>
              </w:rPr>
              <w:t xml:space="preserve"> ו-</w:t>
            </w:r>
            <w:r w:rsidRPr="00A844E9">
              <w:rPr>
                <w:rFonts w:hint="cs"/>
                <w:color w:val="000000"/>
                <w:sz w:val="18"/>
                <w:szCs w:val="18"/>
                <w:lang w:eastAsia="he-IL"/>
              </w:rPr>
              <w:t>F</w:t>
            </w:r>
            <w:r w:rsidRPr="00A844E9">
              <w:rPr>
                <w:color w:val="000000"/>
                <w:sz w:val="18"/>
                <w:szCs w:val="18"/>
                <w:lang w:eastAsia="he-IL"/>
              </w:rPr>
              <w:t>orward</w:t>
            </w:r>
            <w:r w:rsidRPr="00A844E9">
              <w:rPr>
                <w:rFonts w:hint="cs"/>
                <w:color w:val="000000"/>
                <w:sz w:val="18"/>
                <w:szCs w:val="18"/>
                <w:vertAlign w:val="superscript"/>
                <w:rtl/>
                <w:lang w:eastAsia="he-IL"/>
              </w:rPr>
              <w:t>(ד)</w:t>
            </w:r>
          </w:p>
        </w:tc>
        <w:tc>
          <w:tcPr>
            <w:tcW w:w="361" w:type="pct"/>
            <w:tcBorders>
              <w:top w:val="nil"/>
              <w:left w:val="nil"/>
              <w:bottom w:val="nil"/>
              <w:right w:val="nil"/>
            </w:tcBorders>
            <w:vAlign w:val="bottom"/>
          </w:tcPr>
          <w:p w14:paraId="62343769"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083E90FD"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1" w:type="pct"/>
            <w:tcBorders>
              <w:top w:val="nil"/>
              <w:left w:val="nil"/>
              <w:bottom w:val="nil"/>
              <w:right w:val="nil"/>
            </w:tcBorders>
            <w:vAlign w:val="bottom"/>
          </w:tcPr>
          <w:p w14:paraId="634CE538" w14:textId="07FADB7C"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3" w:type="pct"/>
            <w:tcBorders>
              <w:top w:val="nil"/>
              <w:left w:val="nil"/>
              <w:bottom w:val="nil"/>
              <w:right w:val="nil"/>
            </w:tcBorders>
            <w:vAlign w:val="bottom"/>
          </w:tcPr>
          <w:p w14:paraId="18026EBC"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6" w:type="pct"/>
            <w:tcBorders>
              <w:top w:val="nil"/>
              <w:left w:val="nil"/>
              <w:bottom w:val="nil"/>
              <w:right w:val="nil"/>
            </w:tcBorders>
            <w:vAlign w:val="bottom"/>
          </w:tcPr>
          <w:p w14:paraId="305EF086"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3" w:type="pct"/>
            <w:tcBorders>
              <w:top w:val="nil"/>
              <w:left w:val="nil"/>
              <w:bottom w:val="nil"/>
              <w:right w:val="nil"/>
            </w:tcBorders>
            <w:vAlign w:val="bottom"/>
          </w:tcPr>
          <w:p w14:paraId="453E106F"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78" w:type="pct"/>
            <w:tcBorders>
              <w:top w:val="nil"/>
              <w:left w:val="nil"/>
              <w:bottom w:val="nil"/>
              <w:right w:val="nil"/>
            </w:tcBorders>
            <w:vAlign w:val="bottom"/>
          </w:tcPr>
          <w:p w14:paraId="261EA0F2" w14:textId="036C2D32"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3972BF34" w14:textId="680E8E76"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00" w:type="pct"/>
            <w:tcBorders>
              <w:top w:val="nil"/>
              <w:left w:val="nil"/>
              <w:bottom w:val="nil"/>
              <w:right w:val="nil"/>
            </w:tcBorders>
            <w:vAlign w:val="bottom"/>
          </w:tcPr>
          <w:p w14:paraId="47BEEA23" w14:textId="117C20A8"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r>
      <w:tr w:rsidR="00F86341" w:rsidRPr="00A844E9" w14:paraId="687D1E4F" w14:textId="02292D11" w:rsidTr="00141177">
        <w:trPr>
          <w:trHeight w:val="259"/>
        </w:trPr>
        <w:tc>
          <w:tcPr>
            <w:tcW w:w="1726" w:type="pct"/>
            <w:tcBorders>
              <w:top w:val="nil"/>
              <w:left w:val="nil"/>
              <w:bottom w:val="nil"/>
              <w:right w:val="nil"/>
            </w:tcBorders>
            <w:vAlign w:val="bottom"/>
          </w:tcPr>
          <w:p w14:paraId="2FCFD627" w14:textId="77777777" w:rsidR="00F86341" w:rsidRPr="00A844E9" w:rsidRDefault="00F86341" w:rsidP="00AB0DD8">
            <w:pPr>
              <w:ind w:firstLine="999"/>
              <w:jc w:val="left"/>
              <w:rPr>
                <w:color w:val="000000"/>
                <w:sz w:val="18"/>
                <w:szCs w:val="18"/>
                <w:rtl/>
                <w:lang w:eastAsia="he-IL"/>
              </w:rPr>
            </w:pPr>
            <w:r w:rsidRPr="00A844E9">
              <w:rPr>
                <w:rFonts w:hint="cs"/>
                <w:color w:val="000000"/>
                <w:sz w:val="18"/>
                <w:szCs w:val="18"/>
                <w:rtl/>
                <w:lang w:eastAsia="he-IL"/>
              </w:rPr>
              <w:t xml:space="preserve">    אופציות שנכתבו</w:t>
            </w:r>
            <w:r w:rsidRPr="00A844E9">
              <w:rPr>
                <w:color w:val="000000"/>
                <w:sz w:val="18"/>
                <w:szCs w:val="18"/>
                <w:rtl/>
                <w:lang w:eastAsia="he-IL"/>
              </w:rPr>
              <w:t xml:space="preserve"> </w:t>
            </w:r>
          </w:p>
        </w:tc>
        <w:tc>
          <w:tcPr>
            <w:tcW w:w="361" w:type="pct"/>
            <w:tcBorders>
              <w:top w:val="nil"/>
              <w:left w:val="nil"/>
              <w:bottom w:val="nil"/>
              <w:right w:val="nil"/>
            </w:tcBorders>
            <w:vAlign w:val="bottom"/>
          </w:tcPr>
          <w:p w14:paraId="535772DA"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5CDE097C"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1" w:type="pct"/>
            <w:tcBorders>
              <w:top w:val="nil"/>
              <w:left w:val="nil"/>
              <w:bottom w:val="nil"/>
              <w:right w:val="nil"/>
            </w:tcBorders>
            <w:vAlign w:val="bottom"/>
          </w:tcPr>
          <w:p w14:paraId="4D1EB04A" w14:textId="78656F3E"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3" w:type="pct"/>
            <w:tcBorders>
              <w:top w:val="nil"/>
              <w:left w:val="nil"/>
              <w:bottom w:val="nil"/>
              <w:right w:val="nil"/>
            </w:tcBorders>
            <w:vAlign w:val="bottom"/>
          </w:tcPr>
          <w:p w14:paraId="2D5DE359"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6" w:type="pct"/>
            <w:tcBorders>
              <w:top w:val="nil"/>
              <w:left w:val="nil"/>
              <w:bottom w:val="nil"/>
              <w:right w:val="nil"/>
            </w:tcBorders>
            <w:vAlign w:val="bottom"/>
          </w:tcPr>
          <w:p w14:paraId="05E7865B"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3" w:type="pct"/>
            <w:tcBorders>
              <w:top w:val="nil"/>
              <w:left w:val="nil"/>
              <w:bottom w:val="nil"/>
              <w:right w:val="nil"/>
            </w:tcBorders>
            <w:vAlign w:val="bottom"/>
          </w:tcPr>
          <w:p w14:paraId="1E1A0D4E"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78" w:type="pct"/>
            <w:tcBorders>
              <w:top w:val="nil"/>
              <w:left w:val="nil"/>
              <w:bottom w:val="nil"/>
              <w:right w:val="nil"/>
            </w:tcBorders>
            <w:vAlign w:val="bottom"/>
          </w:tcPr>
          <w:p w14:paraId="2F0AF757" w14:textId="61FD9410"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517AEC60" w14:textId="58260B25"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00" w:type="pct"/>
            <w:tcBorders>
              <w:top w:val="nil"/>
              <w:left w:val="nil"/>
              <w:bottom w:val="nil"/>
              <w:right w:val="nil"/>
            </w:tcBorders>
            <w:vAlign w:val="bottom"/>
          </w:tcPr>
          <w:p w14:paraId="00B28B52" w14:textId="46866268"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r>
      <w:tr w:rsidR="00F86341" w:rsidRPr="00A844E9" w14:paraId="726CDFBE" w14:textId="5C97675C" w:rsidTr="00141177">
        <w:trPr>
          <w:trHeight w:val="259"/>
        </w:trPr>
        <w:tc>
          <w:tcPr>
            <w:tcW w:w="1726" w:type="pct"/>
            <w:tcBorders>
              <w:top w:val="nil"/>
              <w:left w:val="nil"/>
              <w:bottom w:val="nil"/>
              <w:right w:val="nil"/>
            </w:tcBorders>
            <w:vAlign w:val="bottom"/>
          </w:tcPr>
          <w:p w14:paraId="6B0601FF" w14:textId="77777777" w:rsidR="00F86341" w:rsidRPr="00A844E9" w:rsidRDefault="00F86341" w:rsidP="00AB0DD8">
            <w:pPr>
              <w:ind w:firstLine="999"/>
              <w:jc w:val="left"/>
              <w:rPr>
                <w:color w:val="000000"/>
                <w:sz w:val="18"/>
                <w:szCs w:val="18"/>
                <w:rtl/>
                <w:lang w:eastAsia="he-IL"/>
              </w:rPr>
            </w:pPr>
            <w:r w:rsidRPr="00A844E9">
              <w:rPr>
                <w:rFonts w:hint="cs"/>
                <w:color w:val="000000"/>
                <w:sz w:val="18"/>
                <w:szCs w:val="18"/>
                <w:rtl/>
                <w:lang w:eastAsia="he-IL"/>
              </w:rPr>
              <w:t xml:space="preserve">    אופציות שנקנו</w:t>
            </w:r>
          </w:p>
        </w:tc>
        <w:tc>
          <w:tcPr>
            <w:tcW w:w="361" w:type="pct"/>
            <w:tcBorders>
              <w:top w:val="nil"/>
              <w:left w:val="nil"/>
              <w:bottom w:val="nil"/>
              <w:right w:val="nil"/>
            </w:tcBorders>
            <w:vAlign w:val="bottom"/>
          </w:tcPr>
          <w:p w14:paraId="60878FB7"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4BA157E4"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1" w:type="pct"/>
            <w:tcBorders>
              <w:top w:val="nil"/>
              <w:left w:val="nil"/>
              <w:bottom w:val="nil"/>
              <w:right w:val="nil"/>
            </w:tcBorders>
            <w:vAlign w:val="bottom"/>
          </w:tcPr>
          <w:p w14:paraId="07B59BB3" w14:textId="7C89FDAD"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3" w:type="pct"/>
            <w:tcBorders>
              <w:top w:val="nil"/>
              <w:left w:val="nil"/>
              <w:bottom w:val="nil"/>
              <w:right w:val="nil"/>
            </w:tcBorders>
            <w:vAlign w:val="bottom"/>
          </w:tcPr>
          <w:p w14:paraId="5D22DBA5"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6" w:type="pct"/>
            <w:tcBorders>
              <w:top w:val="nil"/>
              <w:left w:val="nil"/>
              <w:bottom w:val="nil"/>
              <w:right w:val="nil"/>
            </w:tcBorders>
            <w:vAlign w:val="bottom"/>
          </w:tcPr>
          <w:p w14:paraId="1D513CEF"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3" w:type="pct"/>
            <w:tcBorders>
              <w:top w:val="nil"/>
              <w:left w:val="nil"/>
              <w:bottom w:val="nil"/>
              <w:right w:val="nil"/>
            </w:tcBorders>
            <w:vAlign w:val="bottom"/>
          </w:tcPr>
          <w:p w14:paraId="509B5731"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78" w:type="pct"/>
            <w:tcBorders>
              <w:top w:val="nil"/>
              <w:left w:val="nil"/>
              <w:bottom w:val="nil"/>
              <w:right w:val="nil"/>
            </w:tcBorders>
            <w:vAlign w:val="bottom"/>
          </w:tcPr>
          <w:p w14:paraId="1AAD2C0E" w14:textId="2C7A1310"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50A55FC3" w14:textId="623A1A23"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00" w:type="pct"/>
            <w:tcBorders>
              <w:top w:val="nil"/>
              <w:left w:val="nil"/>
              <w:bottom w:val="nil"/>
              <w:right w:val="nil"/>
            </w:tcBorders>
            <w:vAlign w:val="bottom"/>
          </w:tcPr>
          <w:p w14:paraId="37652974" w14:textId="6A099BEF"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r>
      <w:tr w:rsidR="00F86341" w:rsidRPr="00A844E9" w14:paraId="73CBFAFB" w14:textId="3EF42999" w:rsidTr="00141177">
        <w:trPr>
          <w:trHeight w:val="259"/>
        </w:trPr>
        <w:tc>
          <w:tcPr>
            <w:tcW w:w="1726" w:type="pct"/>
            <w:tcBorders>
              <w:top w:val="nil"/>
              <w:left w:val="nil"/>
              <w:bottom w:val="nil"/>
              <w:right w:val="nil"/>
            </w:tcBorders>
            <w:vAlign w:val="bottom"/>
          </w:tcPr>
          <w:p w14:paraId="3AD5C7D6" w14:textId="77777777" w:rsidR="00F86341" w:rsidRPr="00A844E9" w:rsidRDefault="00F86341" w:rsidP="00AB0DD8">
            <w:pPr>
              <w:spacing w:line="241" w:lineRule="auto"/>
              <w:ind w:firstLine="999"/>
              <w:jc w:val="left"/>
              <w:rPr>
                <w:color w:val="000000"/>
                <w:sz w:val="18"/>
                <w:szCs w:val="18"/>
                <w:rtl/>
                <w:lang w:eastAsia="he-IL"/>
              </w:rPr>
            </w:pPr>
            <w:r w:rsidRPr="00A844E9">
              <w:rPr>
                <w:rFonts w:hint="cs"/>
                <w:color w:val="000000"/>
                <w:sz w:val="18"/>
                <w:szCs w:val="18"/>
                <w:lang w:eastAsia="he-IL"/>
              </w:rPr>
              <w:t>S</w:t>
            </w:r>
            <w:r w:rsidRPr="00A844E9">
              <w:rPr>
                <w:color w:val="000000"/>
                <w:sz w:val="18"/>
                <w:szCs w:val="18"/>
                <w:lang w:eastAsia="he-IL"/>
              </w:rPr>
              <w:t xml:space="preserve">waps    </w:t>
            </w:r>
          </w:p>
        </w:tc>
        <w:tc>
          <w:tcPr>
            <w:tcW w:w="361" w:type="pct"/>
            <w:tcBorders>
              <w:top w:val="nil"/>
              <w:left w:val="nil"/>
              <w:bottom w:val="nil"/>
              <w:right w:val="nil"/>
            </w:tcBorders>
            <w:vAlign w:val="bottom"/>
          </w:tcPr>
          <w:p w14:paraId="36601E61"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61" w:type="pct"/>
            <w:tcBorders>
              <w:top w:val="nil"/>
              <w:left w:val="nil"/>
              <w:bottom w:val="nil"/>
              <w:right w:val="nil"/>
            </w:tcBorders>
            <w:vAlign w:val="bottom"/>
          </w:tcPr>
          <w:p w14:paraId="207A4D93"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41" w:type="pct"/>
            <w:tcBorders>
              <w:top w:val="nil"/>
              <w:left w:val="nil"/>
              <w:bottom w:val="nil"/>
              <w:right w:val="nil"/>
            </w:tcBorders>
            <w:vAlign w:val="bottom"/>
          </w:tcPr>
          <w:p w14:paraId="0EFECE2E" w14:textId="2A4AE4DA"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413" w:type="pct"/>
            <w:tcBorders>
              <w:top w:val="nil"/>
              <w:left w:val="nil"/>
              <w:bottom w:val="nil"/>
              <w:right w:val="nil"/>
            </w:tcBorders>
            <w:vAlign w:val="bottom"/>
          </w:tcPr>
          <w:p w14:paraId="60388304"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416" w:type="pct"/>
            <w:tcBorders>
              <w:top w:val="nil"/>
              <w:left w:val="nil"/>
              <w:bottom w:val="nil"/>
              <w:right w:val="nil"/>
            </w:tcBorders>
            <w:vAlign w:val="bottom"/>
          </w:tcPr>
          <w:p w14:paraId="73071527"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43" w:type="pct"/>
            <w:tcBorders>
              <w:top w:val="nil"/>
              <w:left w:val="nil"/>
              <w:bottom w:val="nil"/>
              <w:right w:val="nil"/>
            </w:tcBorders>
            <w:vAlign w:val="bottom"/>
          </w:tcPr>
          <w:p w14:paraId="71C37E2A"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78" w:type="pct"/>
            <w:tcBorders>
              <w:top w:val="nil"/>
              <w:left w:val="nil"/>
              <w:bottom w:val="nil"/>
              <w:right w:val="nil"/>
            </w:tcBorders>
            <w:vAlign w:val="bottom"/>
          </w:tcPr>
          <w:p w14:paraId="43C7B0C2" w14:textId="0DB01D42"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61" w:type="pct"/>
            <w:tcBorders>
              <w:top w:val="nil"/>
              <w:left w:val="nil"/>
              <w:bottom w:val="nil"/>
              <w:right w:val="nil"/>
            </w:tcBorders>
            <w:vAlign w:val="bottom"/>
          </w:tcPr>
          <w:p w14:paraId="025B02C8" w14:textId="385F2300"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00" w:type="pct"/>
            <w:tcBorders>
              <w:top w:val="nil"/>
              <w:left w:val="nil"/>
              <w:bottom w:val="nil"/>
              <w:right w:val="nil"/>
            </w:tcBorders>
            <w:vAlign w:val="bottom"/>
          </w:tcPr>
          <w:p w14:paraId="37EC9FFC" w14:textId="34CE8F6B"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r>
      <w:tr w:rsidR="00F86341" w:rsidRPr="00A844E9" w14:paraId="5DECEFBF" w14:textId="0BC25261" w:rsidTr="00141177">
        <w:trPr>
          <w:trHeight w:val="259"/>
        </w:trPr>
        <w:tc>
          <w:tcPr>
            <w:tcW w:w="1726" w:type="pct"/>
            <w:tcBorders>
              <w:top w:val="nil"/>
              <w:left w:val="nil"/>
              <w:bottom w:val="nil"/>
              <w:right w:val="nil"/>
            </w:tcBorders>
            <w:vAlign w:val="bottom"/>
          </w:tcPr>
          <w:p w14:paraId="047B2946" w14:textId="77777777" w:rsidR="00F86341" w:rsidRPr="00A844E9" w:rsidRDefault="00F86341" w:rsidP="00AB0DD8">
            <w:pPr>
              <w:spacing w:line="241" w:lineRule="auto"/>
              <w:ind w:firstLine="999"/>
              <w:jc w:val="left"/>
              <w:rPr>
                <w:b/>
                <w:bCs/>
                <w:color w:val="000000"/>
                <w:sz w:val="18"/>
                <w:szCs w:val="18"/>
                <w:rtl/>
                <w:lang w:eastAsia="he-IL"/>
              </w:rPr>
            </w:pPr>
            <w:r w:rsidRPr="00A844E9">
              <w:rPr>
                <w:rFonts w:hint="cs"/>
                <w:b/>
                <w:bCs/>
                <w:color w:val="000000"/>
                <w:sz w:val="18"/>
                <w:szCs w:val="18"/>
                <w:rtl/>
                <w:lang w:eastAsia="he-IL"/>
              </w:rPr>
              <w:t xml:space="preserve">    סה"כ</w:t>
            </w:r>
          </w:p>
        </w:tc>
        <w:tc>
          <w:tcPr>
            <w:tcW w:w="361" w:type="pct"/>
            <w:tcBorders>
              <w:top w:val="nil"/>
              <w:left w:val="nil"/>
              <w:bottom w:val="nil"/>
              <w:right w:val="nil"/>
            </w:tcBorders>
            <w:vAlign w:val="bottom"/>
          </w:tcPr>
          <w:p w14:paraId="03EB0FEA"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61" w:type="pct"/>
            <w:tcBorders>
              <w:top w:val="nil"/>
              <w:left w:val="nil"/>
              <w:bottom w:val="nil"/>
              <w:right w:val="nil"/>
            </w:tcBorders>
            <w:vAlign w:val="bottom"/>
          </w:tcPr>
          <w:p w14:paraId="6BCE414C"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41" w:type="pct"/>
            <w:tcBorders>
              <w:top w:val="nil"/>
              <w:left w:val="nil"/>
              <w:bottom w:val="nil"/>
              <w:right w:val="nil"/>
            </w:tcBorders>
            <w:vAlign w:val="bottom"/>
          </w:tcPr>
          <w:p w14:paraId="62ABF0C6" w14:textId="57A19E00"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413" w:type="pct"/>
            <w:tcBorders>
              <w:top w:val="nil"/>
              <w:left w:val="nil"/>
              <w:bottom w:val="nil"/>
              <w:right w:val="nil"/>
            </w:tcBorders>
            <w:vAlign w:val="bottom"/>
          </w:tcPr>
          <w:p w14:paraId="7940D8FB"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416" w:type="pct"/>
            <w:tcBorders>
              <w:top w:val="nil"/>
              <w:left w:val="nil"/>
              <w:bottom w:val="nil"/>
              <w:right w:val="nil"/>
            </w:tcBorders>
            <w:vAlign w:val="bottom"/>
          </w:tcPr>
          <w:p w14:paraId="47D11B74"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43" w:type="pct"/>
            <w:tcBorders>
              <w:top w:val="nil"/>
              <w:left w:val="nil"/>
              <w:bottom w:val="nil"/>
              <w:right w:val="nil"/>
            </w:tcBorders>
            <w:vAlign w:val="bottom"/>
          </w:tcPr>
          <w:p w14:paraId="3C171E29"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78" w:type="pct"/>
            <w:tcBorders>
              <w:top w:val="nil"/>
              <w:left w:val="nil"/>
              <w:bottom w:val="nil"/>
              <w:right w:val="nil"/>
            </w:tcBorders>
            <w:vAlign w:val="bottom"/>
          </w:tcPr>
          <w:p w14:paraId="256B7FB4" w14:textId="7360BC3B"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61" w:type="pct"/>
            <w:tcBorders>
              <w:top w:val="nil"/>
              <w:left w:val="nil"/>
              <w:bottom w:val="nil"/>
              <w:right w:val="nil"/>
            </w:tcBorders>
            <w:vAlign w:val="bottom"/>
          </w:tcPr>
          <w:p w14:paraId="596A5C9C" w14:textId="612224C2"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00" w:type="pct"/>
            <w:tcBorders>
              <w:top w:val="nil"/>
              <w:left w:val="nil"/>
              <w:bottom w:val="nil"/>
              <w:right w:val="nil"/>
            </w:tcBorders>
            <w:vAlign w:val="bottom"/>
          </w:tcPr>
          <w:p w14:paraId="38DEFFD2" w14:textId="75E91418"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r>
      <w:tr w:rsidR="00F86341" w:rsidRPr="00A844E9" w14:paraId="5296B987" w14:textId="5E08F80C" w:rsidTr="00141177">
        <w:trPr>
          <w:trHeight w:val="259"/>
        </w:trPr>
        <w:tc>
          <w:tcPr>
            <w:tcW w:w="1726" w:type="pct"/>
            <w:tcBorders>
              <w:top w:val="nil"/>
              <w:left w:val="nil"/>
              <w:bottom w:val="nil"/>
              <w:right w:val="nil"/>
            </w:tcBorders>
            <w:vAlign w:val="bottom"/>
          </w:tcPr>
          <w:p w14:paraId="2065BE6A" w14:textId="77777777" w:rsidR="00F86341" w:rsidRPr="00A844E9" w:rsidRDefault="00F86341" w:rsidP="00AB0DD8">
            <w:pPr>
              <w:spacing w:line="241" w:lineRule="auto"/>
              <w:ind w:firstLine="999"/>
              <w:jc w:val="left"/>
              <w:rPr>
                <w:color w:val="000000"/>
                <w:sz w:val="18"/>
                <w:szCs w:val="18"/>
                <w:rtl/>
                <w:lang w:eastAsia="he-IL"/>
              </w:rPr>
            </w:pPr>
            <w:r w:rsidRPr="00A844E9">
              <w:rPr>
                <w:rFonts w:hint="cs"/>
                <w:color w:val="000000"/>
                <w:sz w:val="18"/>
                <w:szCs w:val="18"/>
                <w:rtl/>
                <w:lang w:eastAsia="he-IL"/>
              </w:rPr>
              <w:t xml:space="preserve">    מזה: נגזרים מגדרים</w:t>
            </w:r>
            <w:r w:rsidRPr="00A844E9">
              <w:rPr>
                <w:rFonts w:hint="cs"/>
                <w:color w:val="000000"/>
                <w:sz w:val="18"/>
                <w:szCs w:val="18"/>
                <w:vertAlign w:val="superscript"/>
                <w:rtl/>
                <w:lang w:eastAsia="he-IL"/>
              </w:rPr>
              <w:t>(ג)</w:t>
            </w:r>
          </w:p>
        </w:tc>
        <w:tc>
          <w:tcPr>
            <w:tcW w:w="361" w:type="pct"/>
            <w:tcBorders>
              <w:top w:val="nil"/>
              <w:left w:val="nil"/>
              <w:bottom w:val="nil"/>
              <w:right w:val="nil"/>
            </w:tcBorders>
            <w:vAlign w:val="bottom"/>
          </w:tcPr>
          <w:p w14:paraId="7A46A113"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029E5B6E" w14:textId="77777777" w:rsidR="00F86341" w:rsidRPr="00141177" w:rsidRDefault="00F86341" w:rsidP="00F86341">
            <w:pPr>
              <w:ind w:left="144" w:hanging="144"/>
              <w:jc w:val="left"/>
              <w:rPr>
                <w:rFonts w:asciiTheme="minorBidi" w:hAnsiTheme="minorBidi" w:cstheme="minorBidi"/>
                <w:b/>
                <w:bCs/>
                <w:color w:val="000000"/>
                <w:sz w:val="18"/>
                <w:szCs w:val="18"/>
                <w:rtl/>
                <w:lang w:eastAsia="he-IL"/>
              </w:rPr>
            </w:pPr>
            <w:r w:rsidRPr="00141177">
              <w:rPr>
                <w:rFonts w:asciiTheme="minorBidi" w:hAnsiTheme="minorBidi" w:cstheme="minorBidi"/>
                <w:color w:val="000000"/>
                <w:sz w:val="18"/>
                <w:szCs w:val="18"/>
                <w:rtl/>
                <w:lang w:eastAsia="he-IL"/>
              </w:rPr>
              <w:t>0</w:t>
            </w:r>
          </w:p>
        </w:tc>
        <w:tc>
          <w:tcPr>
            <w:tcW w:w="341" w:type="pct"/>
            <w:tcBorders>
              <w:top w:val="nil"/>
              <w:left w:val="nil"/>
              <w:bottom w:val="nil"/>
              <w:right w:val="nil"/>
            </w:tcBorders>
            <w:vAlign w:val="bottom"/>
          </w:tcPr>
          <w:p w14:paraId="10263274" w14:textId="5AC3B3D1"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3" w:type="pct"/>
            <w:tcBorders>
              <w:top w:val="nil"/>
              <w:left w:val="nil"/>
              <w:bottom w:val="nil"/>
              <w:right w:val="nil"/>
            </w:tcBorders>
            <w:vAlign w:val="bottom"/>
          </w:tcPr>
          <w:p w14:paraId="246A350E"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6" w:type="pct"/>
            <w:tcBorders>
              <w:top w:val="nil"/>
              <w:left w:val="nil"/>
              <w:bottom w:val="nil"/>
              <w:right w:val="nil"/>
            </w:tcBorders>
            <w:vAlign w:val="bottom"/>
          </w:tcPr>
          <w:p w14:paraId="19822B50"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3" w:type="pct"/>
            <w:tcBorders>
              <w:top w:val="nil"/>
              <w:left w:val="nil"/>
              <w:bottom w:val="nil"/>
              <w:right w:val="nil"/>
            </w:tcBorders>
            <w:vAlign w:val="bottom"/>
          </w:tcPr>
          <w:p w14:paraId="31C44BA5"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78" w:type="pct"/>
            <w:tcBorders>
              <w:top w:val="nil"/>
              <w:left w:val="nil"/>
              <w:bottom w:val="nil"/>
              <w:right w:val="nil"/>
            </w:tcBorders>
            <w:vAlign w:val="bottom"/>
          </w:tcPr>
          <w:p w14:paraId="5F2EBC71" w14:textId="09B4D2F6"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35458D6B" w14:textId="790DCCC1"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00" w:type="pct"/>
            <w:tcBorders>
              <w:top w:val="nil"/>
              <w:left w:val="nil"/>
              <w:bottom w:val="nil"/>
              <w:right w:val="nil"/>
            </w:tcBorders>
            <w:vAlign w:val="bottom"/>
          </w:tcPr>
          <w:p w14:paraId="1920DF9E" w14:textId="2174FA75"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r>
      <w:tr w:rsidR="00F86341" w:rsidRPr="00A844E9" w14:paraId="0A762453" w14:textId="1D2F8286" w:rsidTr="00141177">
        <w:trPr>
          <w:trHeight w:val="259"/>
        </w:trPr>
        <w:tc>
          <w:tcPr>
            <w:tcW w:w="1726" w:type="pct"/>
            <w:tcBorders>
              <w:top w:val="nil"/>
              <w:left w:val="nil"/>
              <w:bottom w:val="nil"/>
              <w:right w:val="nil"/>
            </w:tcBorders>
            <w:vAlign w:val="bottom"/>
          </w:tcPr>
          <w:p w14:paraId="08644EC1" w14:textId="77777777" w:rsidR="00F86341" w:rsidRPr="00A844E9" w:rsidRDefault="00F86341" w:rsidP="00AB0DD8">
            <w:pPr>
              <w:spacing w:line="241" w:lineRule="auto"/>
              <w:ind w:firstLine="999"/>
              <w:jc w:val="left"/>
              <w:rPr>
                <w:b/>
                <w:bCs/>
                <w:color w:val="000000"/>
                <w:sz w:val="18"/>
                <w:szCs w:val="18"/>
                <w:u w:val="single"/>
                <w:rtl/>
                <w:lang w:eastAsia="he-IL"/>
              </w:rPr>
            </w:pPr>
            <w:r w:rsidRPr="00A844E9">
              <w:rPr>
                <w:rFonts w:hint="cs"/>
                <w:b/>
                <w:bCs/>
                <w:color w:val="000000"/>
                <w:sz w:val="18"/>
                <w:szCs w:val="18"/>
                <w:rtl/>
                <w:lang w:eastAsia="he-IL"/>
              </w:rPr>
              <w:t xml:space="preserve">    </w:t>
            </w:r>
            <w:r w:rsidRPr="00A844E9">
              <w:rPr>
                <w:rFonts w:hint="cs"/>
                <w:b/>
                <w:bCs/>
                <w:color w:val="000000"/>
                <w:sz w:val="18"/>
                <w:szCs w:val="18"/>
                <w:u w:val="single"/>
                <w:rtl/>
                <w:lang w:eastAsia="he-IL"/>
              </w:rPr>
              <w:t>חוזים בגין מניות</w:t>
            </w:r>
          </w:p>
        </w:tc>
        <w:tc>
          <w:tcPr>
            <w:tcW w:w="361" w:type="pct"/>
            <w:tcBorders>
              <w:top w:val="nil"/>
              <w:left w:val="nil"/>
              <w:bottom w:val="nil"/>
              <w:right w:val="nil"/>
            </w:tcBorders>
            <w:vAlign w:val="bottom"/>
          </w:tcPr>
          <w:p w14:paraId="0B2E052D"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61" w:type="pct"/>
            <w:tcBorders>
              <w:top w:val="nil"/>
              <w:left w:val="nil"/>
              <w:bottom w:val="nil"/>
              <w:right w:val="nil"/>
            </w:tcBorders>
            <w:vAlign w:val="bottom"/>
          </w:tcPr>
          <w:p w14:paraId="7F8958A0"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41" w:type="pct"/>
            <w:tcBorders>
              <w:top w:val="nil"/>
              <w:left w:val="nil"/>
              <w:bottom w:val="nil"/>
              <w:right w:val="nil"/>
            </w:tcBorders>
            <w:vAlign w:val="bottom"/>
          </w:tcPr>
          <w:p w14:paraId="5319E4B1"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413" w:type="pct"/>
            <w:tcBorders>
              <w:top w:val="nil"/>
              <w:left w:val="nil"/>
              <w:bottom w:val="nil"/>
              <w:right w:val="nil"/>
            </w:tcBorders>
            <w:vAlign w:val="bottom"/>
          </w:tcPr>
          <w:p w14:paraId="236729CD"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416" w:type="pct"/>
            <w:tcBorders>
              <w:top w:val="nil"/>
              <w:left w:val="nil"/>
              <w:bottom w:val="nil"/>
              <w:right w:val="nil"/>
            </w:tcBorders>
            <w:vAlign w:val="bottom"/>
          </w:tcPr>
          <w:p w14:paraId="47BB6C99"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43" w:type="pct"/>
            <w:tcBorders>
              <w:top w:val="nil"/>
              <w:left w:val="nil"/>
              <w:bottom w:val="nil"/>
              <w:right w:val="nil"/>
            </w:tcBorders>
            <w:vAlign w:val="bottom"/>
          </w:tcPr>
          <w:p w14:paraId="7C41FC39"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78" w:type="pct"/>
            <w:tcBorders>
              <w:top w:val="nil"/>
              <w:left w:val="nil"/>
              <w:bottom w:val="nil"/>
              <w:right w:val="nil"/>
            </w:tcBorders>
            <w:vAlign w:val="bottom"/>
          </w:tcPr>
          <w:p w14:paraId="6547714B"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61" w:type="pct"/>
            <w:tcBorders>
              <w:top w:val="nil"/>
              <w:left w:val="nil"/>
              <w:bottom w:val="nil"/>
              <w:right w:val="nil"/>
            </w:tcBorders>
            <w:vAlign w:val="bottom"/>
          </w:tcPr>
          <w:p w14:paraId="1E65611A"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00" w:type="pct"/>
            <w:tcBorders>
              <w:top w:val="nil"/>
              <w:left w:val="nil"/>
              <w:bottom w:val="nil"/>
              <w:right w:val="nil"/>
            </w:tcBorders>
            <w:vAlign w:val="bottom"/>
          </w:tcPr>
          <w:p w14:paraId="42AF0527"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r>
      <w:tr w:rsidR="00F86341" w:rsidRPr="00A844E9" w14:paraId="145572CA" w14:textId="4F658508" w:rsidTr="00141177">
        <w:trPr>
          <w:trHeight w:val="259"/>
        </w:trPr>
        <w:tc>
          <w:tcPr>
            <w:tcW w:w="1726" w:type="pct"/>
            <w:tcBorders>
              <w:top w:val="nil"/>
              <w:left w:val="nil"/>
              <w:bottom w:val="nil"/>
              <w:right w:val="nil"/>
            </w:tcBorders>
            <w:vAlign w:val="bottom"/>
          </w:tcPr>
          <w:p w14:paraId="7B8F58FB" w14:textId="65B33DB4" w:rsidR="00F86341" w:rsidRPr="00A844E9" w:rsidRDefault="00F86341" w:rsidP="00AB0DD8">
            <w:pPr>
              <w:ind w:left="4" w:firstLine="1136"/>
              <w:jc w:val="left"/>
              <w:rPr>
                <w:color w:val="000000"/>
                <w:sz w:val="18"/>
                <w:szCs w:val="18"/>
                <w:lang w:eastAsia="he-IL"/>
              </w:rPr>
            </w:pPr>
            <w:r w:rsidRPr="00A844E9">
              <w:rPr>
                <w:b/>
                <w:bCs/>
                <w:color w:val="000000"/>
                <w:sz w:val="18"/>
                <w:szCs w:val="18"/>
                <w:rtl/>
                <w:lang w:eastAsia="he-IL"/>
              </w:rPr>
              <w:t xml:space="preserve"> </w:t>
            </w:r>
            <w:r w:rsidRPr="00A844E9">
              <w:rPr>
                <w:rFonts w:hint="cs"/>
                <w:color w:val="000000"/>
                <w:sz w:val="18"/>
                <w:szCs w:val="18"/>
                <w:rtl/>
                <w:lang w:eastAsia="he-IL"/>
              </w:rPr>
              <w:t xml:space="preserve">חוזי </w:t>
            </w:r>
            <w:r w:rsidRPr="00A844E9">
              <w:rPr>
                <w:rFonts w:hint="cs"/>
                <w:color w:val="000000"/>
                <w:sz w:val="18"/>
                <w:szCs w:val="18"/>
                <w:lang w:eastAsia="he-IL"/>
              </w:rPr>
              <w:t>F</w:t>
            </w:r>
            <w:r w:rsidRPr="00A844E9">
              <w:rPr>
                <w:color w:val="000000"/>
                <w:sz w:val="18"/>
                <w:szCs w:val="18"/>
                <w:lang w:eastAsia="he-IL"/>
              </w:rPr>
              <w:t>utures</w:t>
            </w:r>
            <w:r w:rsidRPr="00A844E9">
              <w:rPr>
                <w:rFonts w:hint="cs"/>
                <w:color w:val="000000"/>
                <w:sz w:val="18"/>
                <w:szCs w:val="18"/>
                <w:rtl/>
                <w:lang w:eastAsia="he-IL"/>
              </w:rPr>
              <w:t xml:space="preserve"> ו-</w:t>
            </w:r>
            <w:r w:rsidRPr="00A844E9">
              <w:rPr>
                <w:rFonts w:hint="cs"/>
                <w:color w:val="000000"/>
                <w:sz w:val="18"/>
                <w:szCs w:val="18"/>
                <w:lang w:eastAsia="he-IL"/>
              </w:rPr>
              <w:t xml:space="preserve"> F</w:t>
            </w:r>
            <w:r w:rsidRPr="00A844E9">
              <w:rPr>
                <w:color w:val="000000"/>
                <w:sz w:val="18"/>
                <w:szCs w:val="18"/>
                <w:lang w:eastAsia="he-IL"/>
              </w:rPr>
              <w:t>orward</w:t>
            </w:r>
          </w:p>
        </w:tc>
        <w:tc>
          <w:tcPr>
            <w:tcW w:w="361" w:type="pct"/>
            <w:tcBorders>
              <w:top w:val="nil"/>
              <w:left w:val="nil"/>
              <w:bottom w:val="nil"/>
              <w:right w:val="nil"/>
            </w:tcBorders>
            <w:vAlign w:val="bottom"/>
          </w:tcPr>
          <w:p w14:paraId="45559E61"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00A9B932"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1" w:type="pct"/>
            <w:tcBorders>
              <w:top w:val="nil"/>
              <w:left w:val="nil"/>
              <w:bottom w:val="nil"/>
              <w:right w:val="nil"/>
            </w:tcBorders>
            <w:vAlign w:val="bottom"/>
          </w:tcPr>
          <w:p w14:paraId="0A32715C" w14:textId="55E1C9CE"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3" w:type="pct"/>
            <w:tcBorders>
              <w:top w:val="nil"/>
              <w:left w:val="nil"/>
              <w:bottom w:val="nil"/>
              <w:right w:val="nil"/>
            </w:tcBorders>
            <w:vAlign w:val="bottom"/>
          </w:tcPr>
          <w:p w14:paraId="4C3380C2"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6" w:type="pct"/>
            <w:tcBorders>
              <w:top w:val="nil"/>
              <w:left w:val="nil"/>
              <w:bottom w:val="nil"/>
              <w:right w:val="nil"/>
            </w:tcBorders>
            <w:vAlign w:val="bottom"/>
          </w:tcPr>
          <w:p w14:paraId="6EDF6981"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3" w:type="pct"/>
            <w:tcBorders>
              <w:top w:val="nil"/>
              <w:left w:val="nil"/>
              <w:bottom w:val="nil"/>
              <w:right w:val="nil"/>
            </w:tcBorders>
            <w:vAlign w:val="bottom"/>
          </w:tcPr>
          <w:p w14:paraId="0BDF65EA"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78" w:type="pct"/>
            <w:tcBorders>
              <w:top w:val="nil"/>
              <w:left w:val="nil"/>
              <w:bottom w:val="nil"/>
              <w:right w:val="nil"/>
            </w:tcBorders>
            <w:vAlign w:val="bottom"/>
          </w:tcPr>
          <w:p w14:paraId="1D3A1E11" w14:textId="1FB9152D"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7D7EBF13" w14:textId="1A6E1B71"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00" w:type="pct"/>
            <w:tcBorders>
              <w:top w:val="nil"/>
              <w:left w:val="nil"/>
              <w:bottom w:val="nil"/>
              <w:right w:val="nil"/>
            </w:tcBorders>
            <w:vAlign w:val="bottom"/>
          </w:tcPr>
          <w:p w14:paraId="04AD51E9" w14:textId="0D1F8B75"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r>
      <w:tr w:rsidR="00F86341" w:rsidRPr="00A844E9" w14:paraId="14059130" w14:textId="082C0E7F" w:rsidTr="00141177">
        <w:trPr>
          <w:trHeight w:val="259"/>
        </w:trPr>
        <w:tc>
          <w:tcPr>
            <w:tcW w:w="1726" w:type="pct"/>
            <w:tcBorders>
              <w:top w:val="nil"/>
              <w:left w:val="nil"/>
              <w:bottom w:val="nil"/>
              <w:right w:val="nil"/>
            </w:tcBorders>
            <w:vAlign w:val="bottom"/>
          </w:tcPr>
          <w:p w14:paraId="7647732B" w14:textId="77777777" w:rsidR="00F86341" w:rsidRPr="00A844E9" w:rsidRDefault="00F86341" w:rsidP="00AB0DD8">
            <w:pPr>
              <w:ind w:firstLine="999"/>
              <w:jc w:val="left"/>
              <w:rPr>
                <w:color w:val="000000"/>
                <w:sz w:val="18"/>
                <w:szCs w:val="18"/>
                <w:rtl/>
                <w:lang w:eastAsia="he-IL"/>
              </w:rPr>
            </w:pPr>
            <w:r w:rsidRPr="00A844E9">
              <w:rPr>
                <w:rFonts w:hint="cs"/>
                <w:color w:val="000000"/>
                <w:sz w:val="18"/>
                <w:szCs w:val="18"/>
                <w:rtl/>
                <w:lang w:eastAsia="he-IL"/>
              </w:rPr>
              <w:t xml:space="preserve">    אופציות שנכתבו</w:t>
            </w:r>
            <w:r w:rsidRPr="00A844E9">
              <w:rPr>
                <w:color w:val="000000"/>
                <w:sz w:val="18"/>
                <w:szCs w:val="18"/>
                <w:rtl/>
                <w:lang w:eastAsia="he-IL"/>
              </w:rPr>
              <w:t xml:space="preserve"> </w:t>
            </w:r>
          </w:p>
        </w:tc>
        <w:tc>
          <w:tcPr>
            <w:tcW w:w="361" w:type="pct"/>
            <w:tcBorders>
              <w:top w:val="nil"/>
              <w:left w:val="nil"/>
              <w:bottom w:val="nil"/>
              <w:right w:val="nil"/>
            </w:tcBorders>
            <w:vAlign w:val="bottom"/>
          </w:tcPr>
          <w:p w14:paraId="2E1A1FB9"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3B3FD3A6"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1" w:type="pct"/>
            <w:tcBorders>
              <w:top w:val="nil"/>
              <w:left w:val="nil"/>
              <w:bottom w:val="nil"/>
              <w:right w:val="nil"/>
            </w:tcBorders>
            <w:vAlign w:val="bottom"/>
          </w:tcPr>
          <w:p w14:paraId="1AA7602C" w14:textId="0CEAB432"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3" w:type="pct"/>
            <w:tcBorders>
              <w:top w:val="nil"/>
              <w:left w:val="nil"/>
              <w:bottom w:val="nil"/>
              <w:right w:val="nil"/>
            </w:tcBorders>
            <w:vAlign w:val="bottom"/>
          </w:tcPr>
          <w:p w14:paraId="22213BCC"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6" w:type="pct"/>
            <w:tcBorders>
              <w:top w:val="nil"/>
              <w:left w:val="nil"/>
              <w:bottom w:val="nil"/>
              <w:right w:val="nil"/>
            </w:tcBorders>
            <w:vAlign w:val="bottom"/>
          </w:tcPr>
          <w:p w14:paraId="6FFFC358"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3" w:type="pct"/>
            <w:tcBorders>
              <w:top w:val="nil"/>
              <w:left w:val="nil"/>
              <w:bottom w:val="nil"/>
              <w:right w:val="nil"/>
            </w:tcBorders>
            <w:vAlign w:val="bottom"/>
          </w:tcPr>
          <w:p w14:paraId="41F5F6B0"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78" w:type="pct"/>
            <w:tcBorders>
              <w:top w:val="nil"/>
              <w:left w:val="nil"/>
              <w:bottom w:val="nil"/>
              <w:right w:val="nil"/>
            </w:tcBorders>
            <w:vAlign w:val="bottom"/>
          </w:tcPr>
          <w:p w14:paraId="708C2C6F" w14:textId="0E35ACF9"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6439C474" w14:textId="3C39790A"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00" w:type="pct"/>
            <w:tcBorders>
              <w:top w:val="nil"/>
              <w:left w:val="nil"/>
              <w:bottom w:val="nil"/>
              <w:right w:val="nil"/>
            </w:tcBorders>
            <w:vAlign w:val="bottom"/>
          </w:tcPr>
          <w:p w14:paraId="1D34D01E" w14:textId="03E55166"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r>
      <w:tr w:rsidR="00F86341" w:rsidRPr="00A844E9" w14:paraId="23CEEF6A" w14:textId="0E20C84C" w:rsidTr="00141177">
        <w:trPr>
          <w:trHeight w:val="259"/>
        </w:trPr>
        <w:tc>
          <w:tcPr>
            <w:tcW w:w="1726" w:type="pct"/>
            <w:tcBorders>
              <w:top w:val="nil"/>
              <w:left w:val="nil"/>
              <w:bottom w:val="nil"/>
              <w:right w:val="nil"/>
            </w:tcBorders>
            <w:vAlign w:val="bottom"/>
          </w:tcPr>
          <w:p w14:paraId="678B3CBD" w14:textId="77777777" w:rsidR="00F86341" w:rsidRPr="00A844E9" w:rsidRDefault="00F86341" w:rsidP="00AB0DD8">
            <w:pPr>
              <w:ind w:firstLine="999"/>
              <w:jc w:val="left"/>
              <w:rPr>
                <w:color w:val="000000"/>
                <w:sz w:val="18"/>
                <w:szCs w:val="18"/>
                <w:rtl/>
                <w:lang w:eastAsia="he-IL"/>
              </w:rPr>
            </w:pPr>
            <w:r w:rsidRPr="00A844E9">
              <w:rPr>
                <w:rFonts w:hint="cs"/>
                <w:color w:val="000000"/>
                <w:sz w:val="18"/>
                <w:szCs w:val="18"/>
                <w:rtl/>
                <w:lang w:eastAsia="he-IL"/>
              </w:rPr>
              <w:t xml:space="preserve">    אופציות שנקנו</w:t>
            </w:r>
            <w:r w:rsidRPr="00A844E9">
              <w:rPr>
                <w:rFonts w:hint="cs"/>
                <w:color w:val="000000"/>
                <w:sz w:val="18"/>
                <w:szCs w:val="18"/>
                <w:vertAlign w:val="superscript"/>
                <w:rtl/>
                <w:lang w:eastAsia="he-IL"/>
              </w:rPr>
              <w:t>(ה)</w:t>
            </w:r>
          </w:p>
        </w:tc>
        <w:tc>
          <w:tcPr>
            <w:tcW w:w="361" w:type="pct"/>
            <w:tcBorders>
              <w:top w:val="nil"/>
              <w:left w:val="nil"/>
              <w:bottom w:val="nil"/>
              <w:right w:val="nil"/>
            </w:tcBorders>
            <w:vAlign w:val="bottom"/>
          </w:tcPr>
          <w:p w14:paraId="63A618A4"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61" w:type="pct"/>
            <w:tcBorders>
              <w:top w:val="nil"/>
              <w:left w:val="nil"/>
              <w:bottom w:val="nil"/>
              <w:right w:val="nil"/>
            </w:tcBorders>
            <w:vAlign w:val="bottom"/>
          </w:tcPr>
          <w:p w14:paraId="760C40B0"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41" w:type="pct"/>
            <w:tcBorders>
              <w:top w:val="nil"/>
              <w:left w:val="nil"/>
              <w:bottom w:val="nil"/>
              <w:right w:val="nil"/>
            </w:tcBorders>
            <w:vAlign w:val="bottom"/>
          </w:tcPr>
          <w:p w14:paraId="4F1A9C78" w14:textId="2AE3641C"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413" w:type="pct"/>
            <w:tcBorders>
              <w:top w:val="nil"/>
              <w:left w:val="nil"/>
              <w:bottom w:val="nil"/>
              <w:right w:val="nil"/>
            </w:tcBorders>
            <w:vAlign w:val="bottom"/>
          </w:tcPr>
          <w:p w14:paraId="4AF17D3D"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416" w:type="pct"/>
            <w:tcBorders>
              <w:top w:val="nil"/>
              <w:left w:val="nil"/>
              <w:bottom w:val="nil"/>
              <w:right w:val="nil"/>
            </w:tcBorders>
            <w:vAlign w:val="bottom"/>
          </w:tcPr>
          <w:p w14:paraId="2D5E583D"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43" w:type="pct"/>
            <w:tcBorders>
              <w:top w:val="nil"/>
              <w:left w:val="nil"/>
              <w:bottom w:val="nil"/>
              <w:right w:val="nil"/>
            </w:tcBorders>
            <w:vAlign w:val="bottom"/>
          </w:tcPr>
          <w:p w14:paraId="176BF627"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78" w:type="pct"/>
            <w:tcBorders>
              <w:top w:val="nil"/>
              <w:left w:val="nil"/>
              <w:bottom w:val="nil"/>
              <w:right w:val="nil"/>
            </w:tcBorders>
            <w:vAlign w:val="bottom"/>
          </w:tcPr>
          <w:p w14:paraId="05F7BB59" w14:textId="0F70649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61" w:type="pct"/>
            <w:tcBorders>
              <w:top w:val="nil"/>
              <w:left w:val="nil"/>
              <w:bottom w:val="nil"/>
              <w:right w:val="nil"/>
            </w:tcBorders>
            <w:vAlign w:val="bottom"/>
          </w:tcPr>
          <w:p w14:paraId="07F2D6D9" w14:textId="65CFA09D"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00" w:type="pct"/>
            <w:tcBorders>
              <w:top w:val="nil"/>
              <w:left w:val="nil"/>
              <w:bottom w:val="nil"/>
              <w:right w:val="nil"/>
            </w:tcBorders>
            <w:vAlign w:val="bottom"/>
          </w:tcPr>
          <w:p w14:paraId="1AB0C455" w14:textId="695183DE"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r>
      <w:tr w:rsidR="00F86341" w:rsidRPr="00A844E9" w14:paraId="1FDAFD20" w14:textId="0A68B79D" w:rsidTr="00141177">
        <w:trPr>
          <w:trHeight w:val="259"/>
        </w:trPr>
        <w:tc>
          <w:tcPr>
            <w:tcW w:w="1726" w:type="pct"/>
            <w:tcBorders>
              <w:top w:val="nil"/>
              <w:left w:val="nil"/>
              <w:bottom w:val="nil"/>
              <w:right w:val="nil"/>
            </w:tcBorders>
            <w:vAlign w:val="bottom"/>
          </w:tcPr>
          <w:p w14:paraId="6C11AA01" w14:textId="77777777" w:rsidR="00F86341" w:rsidRPr="00A844E9" w:rsidRDefault="00F86341" w:rsidP="00AB0DD8">
            <w:pPr>
              <w:spacing w:line="241" w:lineRule="auto"/>
              <w:ind w:firstLine="999"/>
              <w:jc w:val="left"/>
              <w:rPr>
                <w:b/>
                <w:bCs/>
                <w:color w:val="000000"/>
                <w:sz w:val="18"/>
                <w:szCs w:val="18"/>
                <w:lang w:eastAsia="he-IL"/>
              </w:rPr>
            </w:pPr>
            <w:r w:rsidRPr="00A844E9">
              <w:rPr>
                <w:rFonts w:hint="cs"/>
                <w:b/>
                <w:bCs/>
                <w:color w:val="000000"/>
                <w:sz w:val="18"/>
                <w:szCs w:val="18"/>
                <w:rtl/>
                <w:lang w:eastAsia="he-IL"/>
              </w:rPr>
              <w:t xml:space="preserve">    סה"כ</w:t>
            </w:r>
          </w:p>
        </w:tc>
        <w:tc>
          <w:tcPr>
            <w:tcW w:w="361" w:type="pct"/>
            <w:tcBorders>
              <w:top w:val="nil"/>
              <w:left w:val="nil"/>
              <w:bottom w:val="nil"/>
              <w:right w:val="nil"/>
            </w:tcBorders>
            <w:vAlign w:val="bottom"/>
          </w:tcPr>
          <w:p w14:paraId="7CB3D36F"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61" w:type="pct"/>
            <w:tcBorders>
              <w:top w:val="nil"/>
              <w:left w:val="nil"/>
              <w:bottom w:val="nil"/>
              <w:right w:val="nil"/>
            </w:tcBorders>
            <w:vAlign w:val="bottom"/>
          </w:tcPr>
          <w:p w14:paraId="19C338E5"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41" w:type="pct"/>
            <w:tcBorders>
              <w:top w:val="nil"/>
              <w:left w:val="nil"/>
              <w:bottom w:val="nil"/>
              <w:right w:val="nil"/>
            </w:tcBorders>
            <w:vAlign w:val="bottom"/>
          </w:tcPr>
          <w:p w14:paraId="716A6E7F" w14:textId="1F41FD56"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413" w:type="pct"/>
            <w:tcBorders>
              <w:top w:val="nil"/>
              <w:left w:val="nil"/>
              <w:bottom w:val="nil"/>
              <w:right w:val="nil"/>
            </w:tcBorders>
            <w:vAlign w:val="bottom"/>
          </w:tcPr>
          <w:p w14:paraId="1B1DFF04"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416" w:type="pct"/>
            <w:tcBorders>
              <w:top w:val="nil"/>
              <w:left w:val="nil"/>
              <w:bottom w:val="nil"/>
              <w:right w:val="nil"/>
            </w:tcBorders>
            <w:vAlign w:val="bottom"/>
          </w:tcPr>
          <w:p w14:paraId="68CD001C"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43" w:type="pct"/>
            <w:tcBorders>
              <w:top w:val="nil"/>
              <w:left w:val="nil"/>
              <w:bottom w:val="nil"/>
              <w:right w:val="nil"/>
            </w:tcBorders>
            <w:vAlign w:val="bottom"/>
          </w:tcPr>
          <w:p w14:paraId="1B8A3333"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78" w:type="pct"/>
            <w:tcBorders>
              <w:top w:val="nil"/>
              <w:left w:val="nil"/>
              <w:bottom w:val="nil"/>
              <w:right w:val="nil"/>
            </w:tcBorders>
            <w:vAlign w:val="bottom"/>
          </w:tcPr>
          <w:p w14:paraId="6A62908D" w14:textId="773CDDDF"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61" w:type="pct"/>
            <w:tcBorders>
              <w:top w:val="nil"/>
              <w:left w:val="nil"/>
              <w:bottom w:val="nil"/>
              <w:right w:val="nil"/>
            </w:tcBorders>
            <w:vAlign w:val="bottom"/>
          </w:tcPr>
          <w:p w14:paraId="635DE543" w14:textId="7518A85F"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00" w:type="pct"/>
            <w:tcBorders>
              <w:top w:val="nil"/>
              <w:left w:val="nil"/>
              <w:bottom w:val="nil"/>
              <w:right w:val="nil"/>
            </w:tcBorders>
            <w:vAlign w:val="bottom"/>
          </w:tcPr>
          <w:p w14:paraId="6E58C77E" w14:textId="4E004829"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r>
      <w:tr w:rsidR="00F86341" w:rsidRPr="00A844E9" w14:paraId="11BA4D7A" w14:textId="5EEA1539" w:rsidTr="00141177">
        <w:trPr>
          <w:trHeight w:val="259"/>
        </w:trPr>
        <w:tc>
          <w:tcPr>
            <w:tcW w:w="1726" w:type="pct"/>
            <w:tcBorders>
              <w:top w:val="nil"/>
              <w:left w:val="nil"/>
              <w:bottom w:val="nil"/>
              <w:right w:val="nil"/>
            </w:tcBorders>
            <w:vAlign w:val="bottom"/>
          </w:tcPr>
          <w:p w14:paraId="00A2A9B6" w14:textId="77777777" w:rsidR="00F86341" w:rsidRPr="00A844E9" w:rsidRDefault="00F86341" w:rsidP="00AB0DD8">
            <w:pPr>
              <w:spacing w:line="241" w:lineRule="auto"/>
              <w:ind w:firstLine="999"/>
              <w:jc w:val="left"/>
              <w:rPr>
                <w:b/>
                <w:bCs/>
                <w:color w:val="000000"/>
                <w:sz w:val="18"/>
                <w:szCs w:val="18"/>
                <w:u w:val="single"/>
                <w:rtl/>
                <w:lang w:eastAsia="he-IL"/>
              </w:rPr>
            </w:pPr>
            <w:r w:rsidRPr="00A844E9">
              <w:rPr>
                <w:rFonts w:hint="cs"/>
                <w:b/>
                <w:bCs/>
                <w:color w:val="000000"/>
                <w:sz w:val="18"/>
                <w:szCs w:val="18"/>
                <w:rtl/>
                <w:lang w:eastAsia="he-IL"/>
              </w:rPr>
              <w:t xml:space="preserve">    </w:t>
            </w:r>
            <w:r w:rsidRPr="00A844E9">
              <w:rPr>
                <w:rFonts w:hint="cs"/>
                <w:b/>
                <w:bCs/>
                <w:color w:val="000000"/>
                <w:sz w:val="18"/>
                <w:szCs w:val="18"/>
                <w:u w:val="single"/>
                <w:rtl/>
                <w:lang w:eastAsia="he-IL"/>
              </w:rPr>
              <w:t>חוזי סחורות ואחרים</w:t>
            </w:r>
          </w:p>
        </w:tc>
        <w:tc>
          <w:tcPr>
            <w:tcW w:w="361" w:type="pct"/>
            <w:tcBorders>
              <w:top w:val="nil"/>
              <w:left w:val="nil"/>
              <w:bottom w:val="nil"/>
              <w:right w:val="nil"/>
            </w:tcBorders>
            <w:vAlign w:val="bottom"/>
          </w:tcPr>
          <w:p w14:paraId="7B555021"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61" w:type="pct"/>
            <w:tcBorders>
              <w:top w:val="nil"/>
              <w:left w:val="nil"/>
              <w:bottom w:val="nil"/>
              <w:right w:val="nil"/>
            </w:tcBorders>
            <w:vAlign w:val="bottom"/>
          </w:tcPr>
          <w:p w14:paraId="12EFF7DB"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41" w:type="pct"/>
            <w:tcBorders>
              <w:top w:val="nil"/>
              <w:left w:val="nil"/>
              <w:bottom w:val="nil"/>
              <w:right w:val="nil"/>
            </w:tcBorders>
            <w:vAlign w:val="bottom"/>
          </w:tcPr>
          <w:p w14:paraId="1B0440F0"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413" w:type="pct"/>
            <w:tcBorders>
              <w:top w:val="nil"/>
              <w:left w:val="nil"/>
              <w:bottom w:val="nil"/>
              <w:right w:val="nil"/>
            </w:tcBorders>
            <w:vAlign w:val="bottom"/>
          </w:tcPr>
          <w:p w14:paraId="0D3BE965"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416" w:type="pct"/>
            <w:tcBorders>
              <w:top w:val="nil"/>
              <w:left w:val="nil"/>
              <w:bottom w:val="nil"/>
              <w:right w:val="nil"/>
            </w:tcBorders>
            <w:vAlign w:val="bottom"/>
          </w:tcPr>
          <w:p w14:paraId="4E756FA1"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43" w:type="pct"/>
            <w:tcBorders>
              <w:top w:val="nil"/>
              <w:left w:val="nil"/>
              <w:bottom w:val="nil"/>
              <w:right w:val="nil"/>
            </w:tcBorders>
            <w:vAlign w:val="bottom"/>
          </w:tcPr>
          <w:p w14:paraId="0A484636"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78" w:type="pct"/>
            <w:tcBorders>
              <w:top w:val="nil"/>
              <w:left w:val="nil"/>
              <w:bottom w:val="nil"/>
              <w:right w:val="nil"/>
            </w:tcBorders>
            <w:vAlign w:val="bottom"/>
          </w:tcPr>
          <w:p w14:paraId="3F92BD02"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61" w:type="pct"/>
            <w:tcBorders>
              <w:top w:val="nil"/>
              <w:left w:val="nil"/>
              <w:bottom w:val="nil"/>
              <w:right w:val="nil"/>
            </w:tcBorders>
            <w:vAlign w:val="bottom"/>
          </w:tcPr>
          <w:p w14:paraId="0CD4F70E"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00" w:type="pct"/>
            <w:tcBorders>
              <w:top w:val="nil"/>
              <w:left w:val="nil"/>
              <w:bottom w:val="nil"/>
              <w:right w:val="nil"/>
            </w:tcBorders>
            <w:vAlign w:val="bottom"/>
          </w:tcPr>
          <w:p w14:paraId="553D0DA3"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r>
      <w:tr w:rsidR="00F86341" w:rsidRPr="00A844E9" w14:paraId="545321B6" w14:textId="22410F91" w:rsidTr="00141177">
        <w:trPr>
          <w:trHeight w:val="259"/>
        </w:trPr>
        <w:tc>
          <w:tcPr>
            <w:tcW w:w="1726" w:type="pct"/>
            <w:tcBorders>
              <w:top w:val="nil"/>
              <w:left w:val="nil"/>
              <w:bottom w:val="nil"/>
              <w:right w:val="nil"/>
            </w:tcBorders>
            <w:vAlign w:val="bottom"/>
          </w:tcPr>
          <w:p w14:paraId="78EA9AFA" w14:textId="476210AA" w:rsidR="00F86341" w:rsidRPr="00A844E9" w:rsidRDefault="00F86341" w:rsidP="00AB0DD8">
            <w:pPr>
              <w:ind w:firstLine="999"/>
              <w:jc w:val="left"/>
              <w:rPr>
                <w:color w:val="000000"/>
                <w:sz w:val="18"/>
                <w:szCs w:val="18"/>
                <w:lang w:eastAsia="he-IL"/>
              </w:rPr>
            </w:pPr>
            <w:r w:rsidRPr="00A844E9">
              <w:rPr>
                <w:b/>
                <w:bCs/>
                <w:color w:val="000000"/>
                <w:sz w:val="18"/>
                <w:szCs w:val="18"/>
                <w:rtl/>
                <w:lang w:eastAsia="he-IL"/>
              </w:rPr>
              <w:t xml:space="preserve"> </w:t>
            </w:r>
            <w:r w:rsidR="00452273">
              <w:rPr>
                <w:rFonts w:hint="cs"/>
                <w:color w:val="000000"/>
                <w:sz w:val="18"/>
                <w:szCs w:val="18"/>
                <w:rtl/>
                <w:lang w:eastAsia="he-IL"/>
              </w:rPr>
              <w:t xml:space="preserve">   </w:t>
            </w:r>
            <w:r w:rsidRPr="00A844E9">
              <w:rPr>
                <w:rFonts w:hint="cs"/>
                <w:color w:val="000000"/>
                <w:sz w:val="18"/>
                <w:szCs w:val="18"/>
                <w:rtl/>
                <w:lang w:eastAsia="he-IL"/>
              </w:rPr>
              <w:t xml:space="preserve">חוזי </w:t>
            </w:r>
            <w:r w:rsidRPr="00A844E9">
              <w:rPr>
                <w:rFonts w:hint="cs"/>
                <w:color w:val="000000"/>
                <w:sz w:val="18"/>
                <w:szCs w:val="18"/>
                <w:lang w:eastAsia="he-IL"/>
              </w:rPr>
              <w:t>F</w:t>
            </w:r>
            <w:r w:rsidRPr="00A844E9">
              <w:rPr>
                <w:color w:val="000000"/>
                <w:sz w:val="18"/>
                <w:szCs w:val="18"/>
                <w:lang w:eastAsia="he-IL"/>
              </w:rPr>
              <w:t>utures</w:t>
            </w:r>
            <w:r w:rsidRPr="00A844E9">
              <w:rPr>
                <w:rFonts w:hint="cs"/>
                <w:color w:val="000000"/>
                <w:sz w:val="18"/>
                <w:szCs w:val="18"/>
                <w:rtl/>
                <w:lang w:eastAsia="he-IL"/>
              </w:rPr>
              <w:t xml:space="preserve"> ו-</w:t>
            </w:r>
            <w:r w:rsidRPr="00A844E9">
              <w:rPr>
                <w:rFonts w:hint="cs"/>
                <w:color w:val="000000"/>
                <w:sz w:val="18"/>
                <w:szCs w:val="18"/>
                <w:lang w:eastAsia="he-IL"/>
              </w:rPr>
              <w:t xml:space="preserve"> F</w:t>
            </w:r>
            <w:r w:rsidRPr="00A844E9">
              <w:rPr>
                <w:color w:val="000000"/>
                <w:sz w:val="18"/>
                <w:szCs w:val="18"/>
                <w:lang w:eastAsia="he-IL"/>
              </w:rPr>
              <w:t>orward</w:t>
            </w:r>
          </w:p>
        </w:tc>
        <w:tc>
          <w:tcPr>
            <w:tcW w:w="361" w:type="pct"/>
            <w:tcBorders>
              <w:top w:val="nil"/>
              <w:left w:val="nil"/>
              <w:bottom w:val="nil"/>
              <w:right w:val="nil"/>
            </w:tcBorders>
            <w:vAlign w:val="bottom"/>
          </w:tcPr>
          <w:p w14:paraId="5B485038"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003A67AA"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1" w:type="pct"/>
            <w:tcBorders>
              <w:top w:val="nil"/>
              <w:left w:val="nil"/>
              <w:bottom w:val="nil"/>
              <w:right w:val="nil"/>
            </w:tcBorders>
            <w:vAlign w:val="bottom"/>
          </w:tcPr>
          <w:p w14:paraId="5BA786C6" w14:textId="479AED22"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3" w:type="pct"/>
            <w:tcBorders>
              <w:top w:val="nil"/>
              <w:left w:val="nil"/>
              <w:bottom w:val="nil"/>
              <w:right w:val="nil"/>
            </w:tcBorders>
            <w:vAlign w:val="bottom"/>
          </w:tcPr>
          <w:p w14:paraId="44EA459A"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6" w:type="pct"/>
            <w:tcBorders>
              <w:top w:val="nil"/>
              <w:left w:val="nil"/>
              <w:bottom w:val="nil"/>
              <w:right w:val="nil"/>
            </w:tcBorders>
            <w:vAlign w:val="bottom"/>
          </w:tcPr>
          <w:p w14:paraId="6A7D0DD8"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3" w:type="pct"/>
            <w:tcBorders>
              <w:top w:val="nil"/>
              <w:left w:val="nil"/>
              <w:bottom w:val="nil"/>
              <w:right w:val="nil"/>
            </w:tcBorders>
            <w:vAlign w:val="bottom"/>
          </w:tcPr>
          <w:p w14:paraId="5A88FCB2"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78" w:type="pct"/>
            <w:tcBorders>
              <w:top w:val="nil"/>
              <w:left w:val="nil"/>
              <w:bottom w:val="nil"/>
              <w:right w:val="nil"/>
            </w:tcBorders>
            <w:vAlign w:val="bottom"/>
          </w:tcPr>
          <w:p w14:paraId="244CEADC" w14:textId="7BDD2C46"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391EE831" w14:textId="6EF88265"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00" w:type="pct"/>
            <w:tcBorders>
              <w:top w:val="nil"/>
              <w:left w:val="nil"/>
              <w:bottom w:val="nil"/>
              <w:right w:val="nil"/>
            </w:tcBorders>
            <w:vAlign w:val="bottom"/>
          </w:tcPr>
          <w:p w14:paraId="34FEEFFD" w14:textId="4EAF5E64"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r>
      <w:tr w:rsidR="00F86341" w:rsidRPr="00A844E9" w14:paraId="02411A2D" w14:textId="33498D3C" w:rsidTr="00141177">
        <w:trPr>
          <w:trHeight w:val="259"/>
        </w:trPr>
        <w:tc>
          <w:tcPr>
            <w:tcW w:w="1726" w:type="pct"/>
            <w:tcBorders>
              <w:top w:val="nil"/>
              <w:left w:val="nil"/>
              <w:bottom w:val="nil"/>
              <w:right w:val="nil"/>
            </w:tcBorders>
            <w:vAlign w:val="bottom"/>
          </w:tcPr>
          <w:p w14:paraId="24CC48F7" w14:textId="77777777" w:rsidR="00F86341" w:rsidRPr="00A844E9" w:rsidRDefault="00F86341" w:rsidP="00AB0DD8">
            <w:pPr>
              <w:ind w:firstLine="999"/>
              <w:jc w:val="left"/>
              <w:rPr>
                <w:color w:val="000000"/>
                <w:sz w:val="18"/>
                <w:szCs w:val="18"/>
                <w:rtl/>
                <w:lang w:eastAsia="he-IL"/>
              </w:rPr>
            </w:pPr>
            <w:r w:rsidRPr="00A844E9">
              <w:rPr>
                <w:rFonts w:hint="cs"/>
                <w:color w:val="000000"/>
                <w:sz w:val="18"/>
                <w:szCs w:val="18"/>
                <w:rtl/>
                <w:lang w:eastAsia="he-IL"/>
              </w:rPr>
              <w:t xml:space="preserve">    אופציות שנכתבו</w:t>
            </w:r>
            <w:r w:rsidRPr="00A844E9">
              <w:rPr>
                <w:color w:val="000000"/>
                <w:sz w:val="18"/>
                <w:szCs w:val="18"/>
                <w:rtl/>
                <w:lang w:eastAsia="he-IL"/>
              </w:rPr>
              <w:t xml:space="preserve"> </w:t>
            </w:r>
          </w:p>
        </w:tc>
        <w:tc>
          <w:tcPr>
            <w:tcW w:w="361" w:type="pct"/>
            <w:tcBorders>
              <w:top w:val="nil"/>
              <w:left w:val="nil"/>
              <w:bottom w:val="nil"/>
              <w:right w:val="nil"/>
            </w:tcBorders>
            <w:vAlign w:val="bottom"/>
          </w:tcPr>
          <w:p w14:paraId="4C17F948"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4EC318EB"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1" w:type="pct"/>
            <w:tcBorders>
              <w:top w:val="nil"/>
              <w:left w:val="nil"/>
              <w:bottom w:val="nil"/>
              <w:right w:val="nil"/>
            </w:tcBorders>
            <w:vAlign w:val="bottom"/>
          </w:tcPr>
          <w:p w14:paraId="2D9FE070" w14:textId="078F6390"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3" w:type="pct"/>
            <w:tcBorders>
              <w:top w:val="nil"/>
              <w:left w:val="nil"/>
              <w:bottom w:val="nil"/>
              <w:right w:val="nil"/>
            </w:tcBorders>
            <w:vAlign w:val="bottom"/>
          </w:tcPr>
          <w:p w14:paraId="69720632"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6" w:type="pct"/>
            <w:tcBorders>
              <w:top w:val="nil"/>
              <w:left w:val="nil"/>
              <w:bottom w:val="nil"/>
              <w:right w:val="nil"/>
            </w:tcBorders>
            <w:vAlign w:val="bottom"/>
          </w:tcPr>
          <w:p w14:paraId="5664A060"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3" w:type="pct"/>
            <w:tcBorders>
              <w:top w:val="nil"/>
              <w:left w:val="nil"/>
              <w:bottom w:val="nil"/>
              <w:right w:val="nil"/>
            </w:tcBorders>
            <w:vAlign w:val="bottom"/>
          </w:tcPr>
          <w:p w14:paraId="6D697883"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78" w:type="pct"/>
            <w:tcBorders>
              <w:top w:val="nil"/>
              <w:left w:val="nil"/>
              <w:bottom w:val="nil"/>
              <w:right w:val="nil"/>
            </w:tcBorders>
            <w:vAlign w:val="bottom"/>
          </w:tcPr>
          <w:p w14:paraId="24658F42" w14:textId="38C50C5A"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317BAF34" w14:textId="7A77B35B"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00" w:type="pct"/>
            <w:tcBorders>
              <w:top w:val="nil"/>
              <w:left w:val="nil"/>
              <w:bottom w:val="nil"/>
              <w:right w:val="nil"/>
            </w:tcBorders>
            <w:vAlign w:val="bottom"/>
          </w:tcPr>
          <w:p w14:paraId="27BC05D9" w14:textId="5D28A204" w:rsidR="00F86341" w:rsidRPr="00141177" w:rsidRDefault="00F86341" w:rsidP="00F86341">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r>
      <w:tr w:rsidR="00F86341" w:rsidRPr="00A844E9" w14:paraId="291A80F7" w14:textId="73392182" w:rsidTr="00141177">
        <w:trPr>
          <w:trHeight w:val="259"/>
        </w:trPr>
        <w:tc>
          <w:tcPr>
            <w:tcW w:w="1726" w:type="pct"/>
            <w:tcBorders>
              <w:top w:val="nil"/>
              <w:left w:val="nil"/>
              <w:bottom w:val="nil"/>
              <w:right w:val="nil"/>
            </w:tcBorders>
            <w:vAlign w:val="bottom"/>
          </w:tcPr>
          <w:p w14:paraId="101B1E47" w14:textId="77777777" w:rsidR="00F86341" w:rsidRPr="00A844E9" w:rsidRDefault="00F86341" w:rsidP="00AB0DD8">
            <w:pPr>
              <w:ind w:firstLine="999"/>
              <w:jc w:val="left"/>
              <w:rPr>
                <w:color w:val="000000"/>
                <w:sz w:val="18"/>
                <w:szCs w:val="18"/>
                <w:rtl/>
                <w:lang w:eastAsia="he-IL"/>
              </w:rPr>
            </w:pPr>
            <w:r w:rsidRPr="00A844E9">
              <w:rPr>
                <w:rFonts w:hint="cs"/>
                <w:color w:val="000000"/>
                <w:sz w:val="18"/>
                <w:szCs w:val="18"/>
                <w:rtl/>
                <w:lang w:eastAsia="he-IL"/>
              </w:rPr>
              <w:t xml:space="preserve">    אופציות שנקנו</w:t>
            </w:r>
          </w:p>
        </w:tc>
        <w:tc>
          <w:tcPr>
            <w:tcW w:w="361" w:type="pct"/>
            <w:tcBorders>
              <w:top w:val="nil"/>
              <w:left w:val="nil"/>
              <w:bottom w:val="nil"/>
              <w:right w:val="nil"/>
            </w:tcBorders>
            <w:vAlign w:val="bottom"/>
          </w:tcPr>
          <w:p w14:paraId="7B653FE3"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61" w:type="pct"/>
            <w:tcBorders>
              <w:top w:val="nil"/>
              <w:left w:val="nil"/>
              <w:bottom w:val="nil"/>
              <w:right w:val="nil"/>
            </w:tcBorders>
            <w:vAlign w:val="bottom"/>
          </w:tcPr>
          <w:p w14:paraId="7650ED35"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41" w:type="pct"/>
            <w:tcBorders>
              <w:top w:val="nil"/>
              <w:left w:val="nil"/>
              <w:bottom w:val="nil"/>
              <w:right w:val="nil"/>
            </w:tcBorders>
            <w:vAlign w:val="bottom"/>
          </w:tcPr>
          <w:p w14:paraId="19A9134D" w14:textId="354AA343"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413" w:type="pct"/>
            <w:tcBorders>
              <w:top w:val="nil"/>
              <w:left w:val="nil"/>
              <w:bottom w:val="nil"/>
              <w:right w:val="nil"/>
            </w:tcBorders>
            <w:vAlign w:val="bottom"/>
          </w:tcPr>
          <w:p w14:paraId="06562CFE"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416" w:type="pct"/>
            <w:tcBorders>
              <w:top w:val="nil"/>
              <w:left w:val="nil"/>
              <w:bottom w:val="nil"/>
              <w:right w:val="nil"/>
            </w:tcBorders>
            <w:vAlign w:val="bottom"/>
          </w:tcPr>
          <w:p w14:paraId="3308D2B5"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43" w:type="pct"/>
            <w:tcBorders>
              <w:top w:val="nil"/>
              <w:left w:val="nil"/>
              <w:bottom w:val="nil"/>
              <w:right w:val="nil"/>
            </w:tcBorders>
            <w:vAlign w:val="bottom"/>
          </w:tcPr>
          <w:p w14:paraId="748839B3" w14:textId="77777777"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78" w:type="pct"/>
            <w:tcBorders>
              <w:top w:val="nil"/>
              <w:left w:val="nil"/>
              <w:bottom w:val="nil"/>
              <w:right w:val="nil"/>
            </w:tcBorders>
            <w:vAlign w:val="bottom"/>
          </w:tcPr>
          <w:p w14:paraId="100CA7C7" w14:textId="7ADC6C4F"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61" w:type="pct"/>
            <w:tcBorders>
              <w:top w:val="nil"/>
              <w:left w:val="nil"/>
              <w:bottom w:val="nil"/>
              <w:right w:val="nil"/>
            </w:tcBorders>
            <w:vAlign w:val="bottom"/>
          </w:tcPr>
          <w:p w14:paraId="39CEFAF5" w14:textId="75341260"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00" w:type="pct"/>
            <w:tcBorders>
              <w:top w:val="nil"/>
              <w:left w:val="nil"/>
              <w:bottom w:val="nil"/>
              <w:right w:val="nil"/>
            </w:tcBorders>
            <w:vAlign w:val="bottom"/>
          </w:tcPr>
          <w:p w14:paraId="71C76399" w14:textId="69B1DA7E" w:rsidR="00F86341" w:rsidRPr="00141177" w:rsidRDefault="00F86341" w:rsidP="00F86341">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r>
      <w:tr w:rsidR="00F86341" w:rsidRPr="00A844E9" w14:paraId="3B5C9325" w14:textId="0944C9AA" w:rsidTr="00141177">
        <w:trPr>
          <w:trHeight w:val="259"/>
        </w:trPr>
        <w:tc>
          <w:tcPr>
            <w:tcW w:w="1726" w:type="pct"/>
            <w:tcBorders>
              <w:top w:val="nil"/>
              <w:left w:val="nil"/>
              <w:bottom w:val="nil"/>
              <w:right w:val="nil"/>
            </w:tcBorders>
            <w:vAlign w:val="bottom"/>
          </w:tcPr>
          <w:p w14:paraId="3499B28C" w14:textId="77777777" w:rsidR="00F86341" w:rsidRPr="00A844E9" w:rsidRDefault="00F86341" w:rsidP="00AB0DD8">
            <w:pPr>
              <w:spacing w:line="241" w:lineRule="auto"/>
              <w:ind w:firstLine="999"/>
              <w:jc w:val="left"/>
              <w:rPr>
                <w:b/>
                <w:bCs/>
                <w:color w:val="000000"/>
                <w:sz w:val="18"/>
                <w:szCs w:val="18"/>
                <w:lang w:eastAsia="he-IL"/>
              </w:rPr>
            </w:pPr>
            <w:r w:rsidRPr="00A844E9">
              <w:rPr>
                <w:rFonts w:hint="cs"/>
                <w:b/>
                <w:bCs/>
                <w:color w:val="000000"/>
                <w:sz w:val="18"/>
                <w:szCs w:val="18"/>
                <w:rtl/>
                <w:lang w:eastAsia="he-IL"/>
              </w:rPr>
              <w:t xml:space="preserve">    סה"כ</w:t>
            </w:r>
          </w:p>
        </w:tc>
        <w:tc>
          <w:tcPr>
            <w:tcW w:w="361" w:type="pct"/>
            <w:tcBorders>
              <w:top w:val="nil"/>
              <w:left w:val="nil"/>
              <w:bottom w:val="nil"/>
              <w:right w:val="nil"/>
            </w:tcBorders>
            <w:vAlign w:val="bottom"/>
          </w:tcPr>
          <w:p w14:paraId="07636D05"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61" w:type="pct"/>
            <w:tcBorders>
              <w:top w:val="nil"/>
              <w:left w:val="nil"/>
              <w:bottom w:val="nil"/>
              <w:right w:val="nil"/>
            </w:tcBorders>
            <w:vAlign w:val="bottom"/>
          </w:tcPr>
          <w:p w14:paraId="0C5A0939"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41" w:type="pct"/>
            <w:tcBorders>
              <w:top w:val="nil"/>
              <w:left w:val="nil"/>
              <w:bottom w:val="nil"/>
              <w:right w:val="nil"/>
            </w:tcBorders>
            <w:vAlign w:val="bottom"/>
          </w:tcPr>
          <w:p w14:paraId="75209038" w14:textId="68023BCF"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413" w:type="pct"/>
            <w:tcBorders>
              <w:top w:val="nil"/>
              <w:left w:val="nil"/>
              <w:bottom w:val="nil"/>
              <w:right w:val="nil"/>
            </w:tcBorders>
            <w:vAlign w:val="bottom"/>
          </w:tcPr>
          <w:p w14:paraId="7D499D3D"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416" w:type="pct"/>
            <w:tcBorders>
              <w:top w:val="nil"/>
              <w:left w:val="nil"/>
              <w:bottom w:val="nil"/>
              <w:right w:val="nil"/>
            </w:tcBorders>
            <w:vAlign w:val="bottom"/>
          </w:tcPr>
          <w:p w14:paraId="0C2238C1"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43" w:type="pct"/>
            <w:tcBorders>
              <w:top w:val="nil"/>
              <w:left w:val="nil"/>
              <w:bottom w:val="nil"/>
              <w:right w:val="nil"/>
            </w:tcBorders>
            <w:vAlign w:val="bottom"/>
          </w:tcPr>
          <w:p w14:paraId="17E806E1" w14:textId="77777777"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78" w:type="pct"/>
            <w:tcBorders>
              <w:top w:val="nil"/>
              <w:left w:val="nil"/>
              <w:bottom w:val="nil"/>
              <w:right w:val="nil"/>
            </w:tcBorders>
            <w:vAlign w:val="bottom"/>
          </w:tcPr>
          <w:p w14:paraId="521F180D" w14:textId="67180A15"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61" w:type="pct"/>
            <w:tcBorders>
              <w:top w:val="nil"/>
              <w:left w:val="nil"/>
              <w:bottom w:val="nil"/>
              <w:right w:val="nil"/>
            </w:tcBorders>
            <w:vAlign w:val="bottom"/>
          </w:tcPr>
          <w:p w14:paraId="0CCE6ABC" w14:textId="2047C091"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00" w:type="pct"/>
            <w:tcBorders>
              <w:top w:val="nil"/>
              <w:left w:val="nil"/>
              <w:bottom w:val="nil"/>
              <w:right w:val="nil"/>
            </w:tcBorders>
            <w:vAlign w:val="bottom"/>
          </w:tcPr>
          <w:p w14:paraId="2EF93395" w14:textId="7BB33498" w:rsidR="00F86341" w:rsidRPr="00141177" w:rsidRDefault="00F86341" w:rsidP="00F86341">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r>
      <w:tr w:rsidR="00F86341" w:rsidRPr="00A844E9" w14:paraId="0A5F1A2D" w14:textId="293CB724" w:rsidTr="00141177">
        <w:trPr>
          <w:trHeight w:val="259"/>
        </w:trPr>
        <w:tc>
          <w:tcPr>
            <w:tcW w:w="1726" w:type="pct"/>
            <w:tcBorders>
              <w:top w:val="nil"/>
              <w:left w:val="nil"/>
              <w:bottom w:val="nil"/>
              <w:right w:val="nil"/>
            </w:tcBorders>
            <w:vAlign w:val="bottom"/>
          </w:tcPr>
          <w:p w14:paraId="4D67F2EA" w14:textId="77777777" w:rsidR="00F86341" w:rsidRPr="00A844E9" w:rsidRDefault="00F86341" w:rsidP="00AB0DD8">
            <w:pPr>
              <w:spacing w:line="241" w:lineRule="auto"/>
              <w:ind w:firstLine="999"/>
              <w:jc w:val="left"/>
              <w:rPr>
                <w:b/>
                <w:bCs/>
                <w:color w:val="000000"/>
                <w:sz w:val="18"/>
                <w:szCs w:val="18"/>
                <w:u w:val="single"/>
                <w:rtl/>
                <w:lang w:eastAsia="he-IL"/>
              </w:rPr>
            </w:pPr>
            <w:r w:rsidRPr="00A844E9">
              <w:rPr>
                <w:rFonts w:hint="cs"/>
                <w:b/>
                <w:bCs/>
                <w:color w:val="000000"/>
                <w:sz w:val="18"/>
                <w:szCs w:val="18"/>
                <w:rtl/>
                <w:lang w:eastAsia="he-IL"/>
              </w:rPr>
              <w:t xml:space="preserve">    </w:t>
            </w:r>
            <w:r w:rsidRPr="00A844E9">
              <w:rPr>
                <w:rFonts w:hint="cs"/>
                <w:b/>
                <w:bCs/>
                <w:color w:val="000000"/>
                <w:sz w:val="18"/>
                <w:szCs w:val="18"/>
                <w:u w:val="single"/>
                <w:rtl/>
                <w:lang w:eastAsia="he-IL"/>
              </w:rPr>
              <w:t>חוזי אשראי</w:t>
            </w:r>
          </w:p>
        </w:tc>
        <w:tc>
          <w:tcPr>
            <w:tcW w:w="361" w:type="pct"/>
            <w:tcBorders>
              <w:top w:val="nil"/>
              <w:left w:val="nil"/>
              <w:bottom w:val="nil"/>
              <w:right w:val="nil"/>
            </w:tcBorders>
            <w:vAlign w:val="bottom"/>
          </w:tcPr>
          <w:p w14:paraId="27DED141"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61" w:type="pct"/>
            <w:tcBorders>
              <w:top w:val="nil"/>
              <w:left w:val="nil"/>
              <w:bottom w:val="nil"/>
              <w:right w:val="nil"/>
            </w:tcBorders>
            <w:vAlign w:val="bottom"/>
          </w:tcPr>
          <w:p w14:paraId="2A0E60B7"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41" w:type="pct"/>
            <w:tcBorders>
              <w:top w:val="nil"/>
              <w:left w:val="nil"/>
              <w:bottom w:val="nil"/>
              <w:right w:val="nil"/>
            </w:tcBorders>
            <w:vAlign w:val="bottom"/>
          </w:tcPr>
          <w:p w14:paraId="04A10581"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413" w:type="pct"/>
            <w:tcBorders>
              <w:top w:val="nil"/>
              <w:left w:val="nil"/>
              <w:bottom w:val="nil"/>
              <w:right w:val="nil"/>
            </w:tcBorders>
            <w:vAlign w:val="bottom"/>
          </w:tcPr>
          <w:p w14:paraId="305CE21B"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416" w:type="pct"/>
            <w:tcBorders>
              <w:top w:val="nil"/>
              <w:left w:val="nil"/>
              <w:bottom w:val="nil"/>
              <w:right w:val="nil"/>
            </w:tcBorders>
            <w:vAlign w:val="bottom"/>
          </w:tcPr>
          <w:p w14:paraId="765B0125"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43" w:type="pct"/>
            <w:tcBorders>
              <w:top w:val="nil"/>
              <w:left w:val="nil"/>
              <w:bottom w:val="nil"/>
              <w:right w:val="nil"/>
            </w:tcBorders>
            <w:vAlign w:val="bottom"/>
          </w:tcPr>
          <w:p w14:paraId="1C47D264"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78" w:type="pct"/>
            <w:tcBorders>
              <w:top w:val="nil"/>
              <w:left w:val="nil"/>
              <w:bottom w:val="nil"/>
              <w:right w:val="nil"/>
            </w:tcBorders>
            <w:vAlign w:val="bottom"/>
          </w:tcPr>
          <w:p w14:paraId="78A75D16"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61" w:type="pct"/>
            <w:tcBorders>
              <w:top w:val="nil"/>
              <w:left w:val="nil"/>
              <w:bottom w:val="nil"/>
              <w:right w:val="nil"/>
            </w:tcBorders>
            <w:vAlign w:val="bottom"/>
          </w:tcPr>
          <w:p w14:paraId="12C6F6BA"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c>
          <w:tcPr>
            <w:tcW w:w="300" w:type="pct"/>
            <w:tcBorders>
              <w:top w:val="nil"/>
              <w:left w:val="nil"/>
              <w:bottom w:val="nil"/>
              <w:right w:val="nil"/>
            </w:tcBorders>
            <w:vAlign w:val="bottom"/>
          </w:tcPr>
          <w:p w14:paraId="194ABC05" w14:textId="77777777" w:rsidR="00F86341" w:rsidRPr="00141177" w:rsidRDefault="00F86341" w:rsidP="00F86341">
            <w:pPr>
              <w:ind w:left="144" w:hanging="144"/>
              <w:jc w:val="left"/>
              <w:rPr>
                <w:rFonts w:asciiTheme="minorBidi" w:hAnsiTheme="minorBidi" w:cstheme="minorBidi"/>
                <w:color w:val="000000"/>
                <w:sz w:val="18"/>
                <w:szCs w:val="18"/>
                <w:rtl/>
                <w:lang w:eastAsia="he-IL"/>
              </w:rPr>
            </w:pPr>
          </w:p>
        </w:tc>
      </w:tr>
      <w:tr w:rsidR="00141177" w:rsidRPr="00A844E9" w14:paraId="1874CA5E" w14:textId="631BBA6C" w:rsidTr="00141177">
        <w:trPr>
          <w:trHeight w:val="259"/>
        </w:trPr>
        <w:tc>
          <w:tcPr>
            <w:tcW w:w="1726" w:type="pct"/>
            <w:tcBorders>
              <w:top w:val="nil"/>
              <w:left w:val="nil"/>
              <w:bottom w:val="nil"/>
              <w:right w:val="nil"/>
            </w:tcBorders>
            <w:vAlign w:val="bottom"/>
          </w:tcPr>
          <w:p w14:paraId="16587663" w14:textId="77777777" w:rsidR="00141177" w:rsidRPr="00A844E9" w:rsidRDefault="00141177" w:rsidP="00AB0DD8">
            <w:pPr>
              <w:spacing w:line="241" w:lineRule="auto"/>
              <w:ind w:firstLine="999"/>
              <w:jc w:val="left"/>
              <w:rPr>
                <w:color w:val="000000"/>
                <w:sz w:val="18"/>
                <w:szCs w:val="18"/>
                <w:rtl/>
                <w:lang w:eastAsia="he-IL"/>
              </w:rPr>
            </w:pPr>
            <w:r w:rsidRPr="00A844E9">
              <w:rPr>
                <w:rFonts w:hint="cs"/>
                <w:color w:val="000000"/>
                <w:sz w:val="18"/>
                <w:szCs w:val="18"/>
                <w:rtl/>
                <w:lang w:eastAsia="he-IL"/>
              </w:rPr>
              <w:t xml:space="preserve">    הבנק ערב</w:t>
            </w:r>
          </w:p>
        </w:tc>
        <w:tc>
          <w:tcPr>
            <w:tcW w:w="361" w:type="pct"/>
            <w:tcBorders>
              <w:top w:val="nil"/>
              <w:left w:val="nil"/>
              <w:bottom w:val="nil"/>
              <w:right w:val="nil"/>
            </w:tcBorders>
            <w:vAlign w:val="bottom"/>
          </w:tcPr>
          <w:p w14:paraId="5AC2644B" w14:textId="77777777" w:rsidR="00141177" w:rsidRPr="00141177" w:rsidRDefault="00141177" w:rsidP="00141177">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6E8E7127" w14:textId="77777777" w:rsidR="00141177" w:rsidRPr="00141177" w:rsidRDefault="00141177" w:rsidP="00141177">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1" w:type="pct"/>
            <w:tcBorders>
              <w:top w:val="nil"/>
              <w:left w:val="nil"/>
              <w:bottom w:val="nil"/>
              <w:right w:val="nil"/>
            </w:tcBorders>
            <w:vAlign w:val="bottom"/>
          </w:tcPr>
          <w:p w14:paraId="6997D230" w14:textId="5760E281" w:rsidR="00141177" w:rsidRPr="00141177" w:rsidRDefault="00141177" w:rsidP="00141177">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3" w:type="pct"/>
            <w:tcBorders>
              <w:top w:val="nil"/>
              <w:left w:val="nil"/>
              <w:bottom w:val="nil"/>
              <w:right w:val="nil"/>
            </w:tcBorders>
            <w:vAlign w:val="bottom"/>
          </w:tcPr>
          <w:p w14:paraId="0067605F" w14:textId="77777777" w:rsidR="00141177" w:rsidRPr="00141177" w:rsidRDefault="00141177" w:rsidP="00141177">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416" w:type="pct"/>
            <w:tcBorders>
              <w:top w:val="nil"/>
              <w:left w:val="nil"/>
              <w:bottom w:val="nil"/>
              <w:right w:val="nil"/>
            </w:tcBorders>
            <w:vAlign w:val="bottom"/>
          </w:tcPr>
          <w:p w14:paraId="18E8C354" w14:textId="77777777" w:rsidR="00141177" w:rsidRPr="00141177" w:rsidRDefault="00141177" w:rsidP="00141177">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43" w:type="pct"/>
            <w:tcBorders>
              <w:top w:val="nil"/>
              <w:left w:val="nil"/>
              <w:bottom w:val="nil"/>
              <w:right w:val="nil"/>
            </w:tcBorders>
            <w:vAlign w:val="bottom"/>
          </w:tcPr>
          <w:p w14:paraId="349A2471" w14:textId="77777777" w:rsidR="00141177" w:rsidRPr="00141177" w:rsidRDefault="00141177" w:rsidP="00141177">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78" w:type="pct"/>
            <w:tcBorders>
              <w:top w:val="nil"/>
              <w:left w:val="nil"/>
              <w:bottom w:val="nil"/>
              <w:right w:val="nil"/>
            </w:tcBorders>
            <w:vAlign w:val="bottom"/>
          </w:tcPr>
          <w:p w14:paraId="06DACDA0" w14:textId="5FD22F4F" w:rsidR="00141177" w:rsidRPr="00141177" w:rsidRDefault="00141177" w:rsidP="00141177">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61" w:type="pct"/>
            <w:tcBorders>
              <w:top w:val="nil"/>
              <w:left w:val="nil"/>
              <w:bottom w:val="nil"/>
              <w:right w:val="nil"/>
            </w:tcBorders>
            <w:vAlign w:val="bottom"/>
          </w:tcPr>
          <w:p w14:paraId="291A3A8D" w14:textId="1D6DE36C" w:rsidR="00141177" w:rsidRPr="00141177" w:rsidRDefault="00141177" w:rsidP="00141177">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c>
          <w:tcPr>
            <w:tcW w:w="300" w:type="pct"/>
            <w:tcBorders>
              <w:top w:val="nil"/>
              <w:left w:val="nil"/>
              <w:bottom w:val="nil"/>
              <w:right w:val="nil"/>
            </w:tcBorders>
            <w:vAlign w:val="bottom"/>
          </w:tcPr>
          <w:p w14:paraId="39CB9A53" w14:textId="1BBA6FD1" w:rsidR="00141177" w:rsidRPr="00141177" w:rsidRDefault="00141177" w:rsidP="00141177">
            <w:pPr>
              <w:ind w:left="144" w:hanging="144"/>
              <w:jc w:val="left"/>
              <w:rPr>
                <w:rFonts w:asciiTheme="minorBidi" w:hAnsiTheme="minorBidi" w:cstheme="minorBidi"/>
                <w:color w:val="000000"/>
                <w:sz w:val="18"/>
                <w:szCs w:val="18"/>
                <w:rtl/>
                <w:lang w:eastAsia="he-IL"/>
              </w:rPr>
            </w:pPr>
            <w:r w:rsidRPr="00141177">
              <w:rPr>
                <w:rFonts w:asciiTheme="minorBidi" w:hAnsiTheme="minorBidi" w:cstheme="minorBidi"/>
                <w:color w:val="000000"/>
                <w:sz w:val="18"/>
                <w:szCs w:val="18"/>
                <w:rtl/>
                <w:lang w:eastAsia="he-IL"/>
              </w:rPr>
              <w:t>0</w:t>
            </w:r>
          </w:p>
        </w:tc>
      </w:tr>
      <w:tr w:rsidR="00141177" w:rsidRPr="00A844E9" w14:paraId="2175F6CD" w14:textId="52EC3ADE" w:rsidTr="00141177">
        <w:trPr>
          <w:trHeight w:val="259"/>
        </w:trPr>
        <w:tc>
          <w:tcPr>
            <w:tcW w:w="1726" w:type="pct"/>
            <w:tcBorders>
              <w:top w:val="nil"/>
              <w:left w:val="nil"/>
              <w:bottom w:val="nil"/>
              <w:right w:val="nil"/>
            </w:tcBorders>
            <w:vAlign w:val="bottom"/>
          </w:tcPr>
          <w:p w14:paraId="11454265" w14:textId="77777777" w:rsidR="00141177" w:rsidRPr="00A844E9" w:rsidRDefault="00141177" w:rsidP="00AB0DD8">
            <w:pPr>
              <w:spacing w:line="241" w:lineRule="auto"/>
              <w:ind w:firstLine="999"/>
              <w:jc w:val="left"/>
              <w:rPr>
                <w:color w:val="000000"/>
                <w:sz w:val="18"/>
                <w:szCs w:val="18"/>
                <w:rtl/>
                <w:lang w:eastAsia="he-IL"/>
              </w:rPr>
            </w:pPr>
            <w:r w:rsidRPr="00A844E9">
              <w:rPr>
                <w:rFonts w:hint="cs"/>
                <w:color w:val="000000"/>
                <w:sz w:val="18"/>
                <w:szCs w:val="18"/>
                <w:rtl/>
                <w:lang w:eastAsia="he-IL"/>
              </w:rPr>
              <w:t xml:space="preserve">    הבנק מוטב</w:t>
            </w:r>
          </w:p>
        </w:tc>
        <w:tc>
          <w:tcPr>
            <w:tcW w:w="361" w:type="pct"/>
            <w:tcBorders>
              <w:top w:val="nil"/>
              <w:left w:val="nil"/>
              <w:bottom w:val="nil"/>
              <w:right w:val="nil"/>
            </w:tcBorders>
            <w:vAlign w:val="bottom"/>
          </w:tcPr>
          <w:p w14:paraId="2910D065" w14:textId="77777777" w:rsidR="00141177" w:rsidRPr="00141177" w:rsidRDefault="00141177" w:rsidP="00141177">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61" w:type="pct"/>
            <w:tcBorders>
              <w:top w:val="nil"/>
              <w:left w:val="nil"/>
              <w:bottom w:val="nil"/>
              <w:right w:val="nil"/>
            </w:tcBorders>
            <w:vAlign w:val="bottom"/>
          </w:tcPr>
          <w:p w14:paraId="051772E9" w14:textId="77777777" w:rsidR="00141177" w:rsidRPr="00141177" w:rsidRDefault="00141177" w:rsidP="00141177">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41" w:type="pct"/>
            <w:tcBorders>
              <w:top w:val="nil"/>
              <w:left w:val="nil"/>
              <w:bottom w:val="nil"/>
              <w:right w:val="nil"/>
            </w:tcBorders>
            <w:vAlign w:val="bottom"/>
          </w:tcPr>
          <w:p w14:paraId="6F9FFB4E" w14:textId="7BAC3DAA" w:rsidR="00141177" w:rsidRPr="00141177" w:rsidRDefault="00141177" w:rsidP="00141177">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413" w:type="pct"/>
            <w:tcBorders>
              <w:top w:val="nil"/>
              <w:left w:val="nil"/>
              <w:bottom w:val="nil"/>
              <w:right w:val="nil"/>
            </w:tcBorders>
            <w:vAlign w:val="bottom"/>
          </w:tcPr>
          <w:p w14:paraId="6778D50C" w14:textId="77777777" w:rsidR="00141177" w:rsidRPr="00141177" w:rsidRDefault="00141177" w:rsidP="00141177">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416" w:type="pct"/>
            <w:tcBorders>
              <w:top w:val="nil"/>
              <w:left w:val="nil"/>
              <w:bottom w:val="nil"/>
              <w:right w:val="nil"/>
            </w:tcBorders>
            <w:vAlign w:val="bottom"/>
          </w:tcPr>
          <w:p w14:paraId="219214FD" w14:textId="77777777" w:rsidR="00141177" w:rsidRPr="00141177" w:rsidRDefault="00141177" w:rsidP="00141177">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43" w:type="pct"/>
            <w:tcBorders>
              <w:top w:val="nil"/>
              <w:left w:val="nil"/>
              <w:bottom w:val="nil"/>
              <w:right w:val="nil"/>
            </w:tcBorders>
            <w:vAlign w:val="bottom"/>
          </w:tcPr>
          <w:p w14:paraId="7C3BE966" w14:textId="77777777" w:rsidR="00141177" w:rsidRPr="00141177" w:rsidRDefault="00141177" w:rsidP="00141177">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78" w:type="pct"/>
            <w:tcBorders>
              <w:top w:val="nil"/>
              <w:left w:val="nil"/>
              <w:bottom w:val="nil"/>
              <w:right w:val="nil"/>
            </w:tcBorders>
            <w:vAlign w:val="bottom"/>
          </w:tcPr>
          <w:p w14:paraId="47629274" w14:textId="5A6066A3" w:rsidR="00141177" w:rsidRPr="00141177" w:rsidRDefault="00141177" w:rsidP="00141177">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61" w:type="pct"/>
            <w:tcBorders>
              <w:top w:val="nil"/>
              <w:left w:val="nil"/>
              <w:bottom w:val="nil"/>
              <w:right w:val="nil"/>
            </w:tcBorders>
            <w:vAlign w:val="bottom"/>
          </w:tcPr>
          <w:p w14:paraId="6966783E" w14:textId="3F4E6085" w:rsidR="00141177" w:rsidRPr="00141177" w:rsidRDefault="00141177" w:rsidP="00141177">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c>
          <w:tcPr>
            <w:tcW w:w="300" w:type="pct"/>
            <w:tcBorders>
              <w:top w:val="nil"/>
              <w:left w:val="nil"/>
              <w:bottom w:val="nil"/>
              <w:right w:val="nil"/>
            </w:tcBorders>
            <w:vAlign w:val="bottom"/>
          </w:tcPr>
          <w:p w14:paraId="4B9B32E3" w14:textId="3CD997F9" w:rsidR="00141177" w:rsidRPr="00141177" w:rsidRDefault="00141177" w:rsidP="00141177">
            <w:pPr>
              <w:pBdr>
                <w:bottom w:val="single" w:sz="4" w:space="1" w:color="auto"/>
              </w:pBdr>
              <w:spacing w:line="241" w:lineRule="auto"/>
              <w:rPr>
                <w:rFonts w:asciiTheme="minorBidi" w:hAnsiTheme="minorBidi" w:cstheme="minorBidi"/>
                <w:sz w:val="18"/>
                <w:szCs w:val="18"/>
                <w:rtl/>
              </w:rPr>
            </w:pPr>
            <w:r w:rsidRPr="00141177">
              <w:rPr>
                <w:rFonts w:asciiTheme="minorBidi" w:hAnsiTheme="minorBidi" w:cstheme="minorBidi"/>
                <w:sz w:val="18"/>
                <w:szCs w:val="18"/>
                <w:rtl/>
              </w:rPr>
              <w:t>0</w:t>
            </w:r>
          </w:p>
        </w:tc>
      </w:tr>
      <w:tr w:rsidR="00141177" w:rsidRPr="00A844E9" w14:paraId="4B4CCDEA" w14:textId="1BFBF8F2" w:rsidTr="00141177">
        <w:trPr>
          <w:trHeight w:val="259"/>
        </w:trPr>
        <w:tc>
          <w:tcPr>
            <w:tcW w:w="1726" w:type="pct"/>
            <w:tcBorders>
              <w:top w:val="nil"/>
              <w:left w:val="nil"/>
              <w:bottom w:val="nil"/>
              <w:right w:val="nil"/>
            </w:tcBorders>
            <w:vAlign w:val="bottom"/>
          </w:tcPr>
          <w:p w14:paraId="54EF6019" w14:textId="77777777" w:rsidR="00141177" w:rsidRPr="00A844E9" w:rsidRDefault="00141177" w:rsidP="00AB0DD8">
            <w:pPr>
              <w:spacing w:line="241" w:lineRule="auto"/>
              <w:ind w:firstLine="999"/>
              <w:jc w:val="left"/>
              <w:rPr>
                <w:b/>
                <w:bCs/>
                <w:color w:val="000000"/>
                <w:sz w:val="18"/>
                <w:szCs w:val="18"/>
                <w:lang w:eastAsia="he-IL"/>
              </w:rPr>
            </w:pPr>
            <w:r w:rsidRPr="00A844E9">
              <w:rPr>
                <w:rFonts w:hint="cs"/>
                <w:b/>
                <w:bCs/>
                <w:color w:val="000000"/>
                <w:sz w:val="18"/>
                <w:szCs w:val="18"/>
                <w:rtl/>
                <w:lang w:eastAsia="he-IL"/>
              </w:rPr>
              <w:t xml:space="preserve">    סה"כ</w:t>
            </w:r>
          </w:p>
        </w:tc>
        <w:tc>
          <w:tcPr>
            <w:tcW w:w="361" w:type="pct"/>
            <w:tcBorders>
              <w:top w:val="nil"/>
              <w:left w:val="nil"/>
              <w:bottom w:val="nil"/>
              <w:right w:val="nil"/>
            </w:tcBorders>
            <w:vAlign w:val="bottom"/>
          </w:tcPr>
          <w:p w14:paraId="7E4693E4" w14:textId="77777777" w:rsidR="00141177" w:rsidRPr="00141177" w:rsidRDefault="00141177" w:rsidP="00141177">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61" w:type="pct"/>
            <w:tcBorders>
              <w:top w:val="nil"/>
              <w:left w:val="nil"/>
              <w:bottom w:val="nil"/>
              <w:right w:val="nil"/>
            </w:tcBorders>
            <w:vAlign w:val="bottom"/>
          </w:tcPr>
          <w:p w14:paraId="74A498D9" w14:textId="77777777" w:rsidR="00141177" w:rsidRPr="00141177" w:rsidRDefault="00141177" w:rsidP="00141177">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41" w:type="pct"/>
            <w:tcBorders>
              <w:top w:val="nil"/>
              <w:left w:val="nil"/>
              <w:bottom w:val="nil"/>
              <w:right w:val="nil"/>
            </w:tcBorders>
            <w:vAlign w:val="bottom"/>
          </w:tcPr>
          <w:p w14:paraId="6988A2F5" w14:textId="733B9690" w:rsidR="00141177" w:rsidRPr="00141177" w:rsidRDefault="00141177" w:rsidP="00141177">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413" w:type="pct"/>
            <w:tcBorders>
              <w:top w:val="nil"/>
              <w:left w:val="nil"/>
              <w:bottom w:val="nil"/>
              <w:right w:val="nil"/>
            </w:tcBorders>
            <w:vAlign w:val="bottom"/>
          </w:tcPr>
          <w:p w14:paraId="39E08106" w14:textId="77777777" w:rsidR="00141177" w:rsidRPr="00141177" w:rsidRDefault="00141177" w:rsidP="00141177">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416" w:type="pct"/>
            <w:tcBorders>
              <w:top w:val="nil"/>
              <w:left w:val="nil"/>
              <w:bottom w:val="nil"/>
              <w:right w:val="nil"/>
            </w:tcBorders>
            <w:vAlign w:val="bottom"/>
          </w:tcPr>
          <w:p w14:paraId="74C28BDB" w14:textId="77777777" w:rsidR="00141177" w:rsidRPr="00141177" w:rsidRDefault="00141177" w:rsidP="00141177">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43" w:type="pct"/>
            <w:tcBorders>
              <w:top w:val="nil"/>
              <w:left w:val="nil"/>
              <w:bottom w:val="nil"/>
              <w:right w:val="nil"/>
            </w:tcBorders>
            <w:vAlign w:val="bottom"/>
          </w:tcPr>
          <w:p w14:paraId="667C581A" w14:textId="77777777" w:rsidR="00141177" w:rsidRPr="00141177" w:rsidRDefault="00141177" w:rsidP="00141177">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78" w:type="pct"/>
            <w:tcBorders>
              <w:top w:val="nil"/>
              <w:left w:val="nil"/>
              <w:bottom w:val="nil"/>
              <w:right w:val="nil"/>
            </w:tcBorders>
            <w:vAlign w:val="bottom"/>
          </w:tcPr>
          <w:p w14:paraId="323E1E6F" w14:textId="02A7F424" w:rsidR="00141177" w:rsidRPr="00141177" w:rsidRDefault="00141177" w:rsidP="00141177">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61" w:type="pct"/>
            <w:tcBorders>
              <w:top w:val="nil"/>
              <w:left w:val="nil"/>
              <w:bottom w:val="nil"/>
              <w:right w:val="nil"/>
            </w:tcBorders>
            <w:vAlign w:val="bottom"/>
          </w:tcPr>
          <w:p w14:paraId="2E0DF07D" w14:textId="004DC3E7" w:rsidR="00141177" w:rsidRPr="00141177" w:rsidRDefault="00141177" w:rsidP="00141177">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c>
          <w:tcPr>
            <w:tcW w:w="300" w:type="pct"/>
            <w:tcBorders>
              <w:top w:val="nil"/>
              <w:left w:val="nil"/>
              <w:bottom w:val="nil"/>
              <w:right w:val="nil"/>
            </w:tcBorders>
            <w:vAlign w:val="bottom"/>
          </w:tcPr>
          <w:p w14:paraId="2C8A2485" w14:textId="42611896" w:rsidR="00141177" w:rsidRPr="00141177" w:rsidRDefault="00141177" w:rsidP="00141177">
            <w:pPr>
              <w:pBdr>
                <w:bottom w:val="single" w:sz="4" w:space="1" w:color="auto"/>
              </w:pBdr>
              <w:spacing w:line="241" w:lineRule="auto"/>
              <w:rPr>
                <w:rFonts w:asciiTheme="minorBidi" w:hAnsiTheme="minorBidi" w:cstheme="minorBidi"/>
                <w:b/>
                <w:bCs/>
                <w:sz w:val="18"/>
                <w:szCs w:val="18"/>
                <w:rtl/>
              </w:rPr>
            </w:pPr>
            <w:r w:rsidRPr="00141177">
              <w:rPr>
                <w:rFonts w:asciiTheme="minorBidi" w:hAnsiTheme="minorBidi" w:cstheme="minorBidi"/>
                <w:b/>
                <w:bCs/>
                <w:sz w:val="18"/>
                <w:szCs w:val="18"/>
                <w:rtl/>
              </w:rPr>
              <w:t>0</w:t>
            </w:r>
          </w:p>
        </w:tc>
      </w:tr>
      <w:tr w:rsidR="00141177" w:rsidRPr="00A844E9" w14:paraId="52DEACA8" w14:textId="4AA7DC88" w:rsidTr="00141177">
        <w:trPr>
          <w:trHeight w:val="259"/>
        </w:trPr>
        <w:tc>
          <w:tcPr>
            <w:tcW w:w="1726" w:type="pct"/>
            <w:tcBorders>
              <w:top w:val="nil"/>
              <w:left w:val="nil"/>
              <w:bottom w:val="nil"/>
              <w:right w:val="nil"/>
            </w:tcBorders>
            <w:vAlign w:val="bottom"/>
          </w:tcPr>
          <w:p w14:paraId="5BE9452B" w14:textId="77777777" w:rsidR="00141177" w:rsidRPr="00A844E9" w:rsidRDefault="00141177" w:rsidP="00AB0DD8">
            <w:pPr>
              <w:spacing w:line="241" w:lineRule="auto"/>
              <w:ind w:firstLine="999"/>
              <w:jc w:val="left"/>
              <w:rPr>
                <w:b/>
                <w:bCs/>
                <w:color w:val="000000"/>
                <w:sz w:val="18"/>
                <w:szCs w:val="18"/>
                <w:rtl/>
                <w:lang w:eastAsia="he-IL"/>
              </w:rPr>
            </w:pPr>
            <w:r w:rsidRPr="00A844E9">
              <w:rPr>
                <w:rFonts w:hint="cs"/>
                <w:b/>
                <w:bCs/>
                <w:color w:val="000000"/>
                <w:sz w:val="18"/>
                <w:szCs w:val="18"/>
                <w:rtl/>
                <w:lang w:eastAsia="he-IL"/>
              </w:rPr>
              <w:t xml:space="preserve">    סה"כ סכום נקוב</w:t>
            </w:r>
          </w:p>
        </w:tc>
        <w:tc>
          <w:tcPr>
            <w:tcW w:w="361" w:type="pct"/>
            <w:tcBorders>
              <w:top w:val="nil"/>
              <w:left w:val="nil"/>
              <w:bottom w:val="nil"/>
              <w:right w:val="nil"/>
            </w:tcBorders>
            <w:vAlign w:val="bottom"/>
          </w:tcPr>
          <w:p w14:paraId="1F0F7544" w14:textId="77777777" w:rsidR="00141177" w:rsidRPr="00141177" w:rsidRDefault="00141177" w:rsidP="00141177">
            <w:pPr>
              <w:rPr>
                <w:rFonts w:asciiTheme="minorBidi" w:hAnsiTheme="minorBidi" w:cstheme="minorBidi"/>
                <w:b/>
                <w:bCs/>
                <w:sz w:val="18"/>
                <w:szCs w:val="18"/>
                <w:rtl/>
              </w:rPr>
            </w:pPr>
            <w:r w:rsidRPr="00141177">
              <w:rPr>
                <w:rFonts w:asciiTheme="minorBidi" w:hAnsiTheme="minorBidi" w:cstheme="minorBidi"/>
                <w:b/>
                <w:bCs/>
                <w:sz w:val="18"/>
                <w:szCs w:val="18"/>
              </w:rPr>
              <w:t>0</w:t>
            </w:r>
          </w:p>
        </w:tc>
        <w:tc>
          <w:tcPr>
            <w:tcW w:w="361" w:type="pct"/>
            <w:tcBorders>
              <w:top w:val="nil"/>
              <w:left w:val="nil"/>
              <w:bottom w:val="nil"/>
              <w:right w:val="nil"/>
            </w:tcBorders>
            <w:vAlign w:val="bottom"/>
          </w:tcPr>
          <w:p w14:paraId="2F1261BC" w14:textId="77777777" w:rsidR="00141177" w:rsidRPr="00141177" w:rsidRDefault="00141177" w:rsidP="00141177">
            <w:pPr>
              <w:rPr>
                <w:rFonts w:asciiTheme="minorBidi" w:hAnsiTheme="minorBidi" w:cstheme="minorBidi"/>
                <w:b/>
                <w:bCs/>
                <w:sz w:val="18"/>
                <w:szCs w:val="18"/>
              </w:rPr>
            </w:pPr>
            <w:r w:rsidRPr="00141177">
              <w:rPr>
                <w:rFonts w:asciiTheme="minorBidi" w:hAnsiTheme="minorBidi" w:cstheme="minorBidi"/>
                <w:b/>
                <w:bCs/>
                <w:sz w:val="18"/>
                <w:szCs w:val="18"/>
              </w:rPr>
              <w:t>0</w:t>
            </w:r>
          </w:p>
        </w:tc>
        <w:tc>
          <w:tcPr>
            <w:tcW w:w="341" w:type="pct"/>
            <w:tcBorders>
              <w:top w:val="nil"/>
              <w:left w:val="nil"/>
              <w:bottom w:val="nil"/>
              <w:right w:val="nil"/>
            </w:tcBorders>
            <w:vAlign w:val="bottom"/>
          </w:tcPr>
          <w:p w14:paraId="6F3C2D54" w14:textId="76666F5B" w:rsidR="00141177" w:rsidRPr="00141177" w:rsidRDefault="00141177" w:rsidP="00141177">
            <w:pPr>
              <w:rPr>
                <w:rFonts w:asciiTheme="minorBidi" w:hAnsiTheme="minorBidi" w:cstheme="minorBidi"/>
                <w:b/>
                <w:bCs/>
                <w:sz w:val="18"/>
                <w:szCs w:val="18"/>
              </w:rPr>
            </w:pPr>
            <w:r w:rsidRPr="00141177">
              <w:rPr>
                <w:rFonts w:asciiTheme="minorBidi" w:hAnsiTheme="minorBidi" w:cstheme="minorBidi"/>
                <w:b/>
                <w:bCs/>
                <w:sz w:val="18"/>
                <w:szCs w:val="18"/>
              </w:rPr>
              <w:t>0</w:t>
            </w:r>
          </w:p>
        </w:tc>
        <w:tc>
          <w:tcPr>
            <w:tcW w:w="413" w:type="pct"/>
            <w:tcBorders>
              <w:top w:val="nil"/>
              <w:left w:val="nil"/>
              <w:bottom w:val="nil"/>
              <w:right w:val="nil"/>
            </w:tcBorders>
            <w:vAlign w:val="bottom"/>
          </w:tcPr>
          <w:p w14:paraId="72A3ED05" w14:textId="77777777" w:rsidR="00141177" w:rsidRPr="00141177" w:rsidRDefault="00141177" w:rsidP="00141177">
            <w:pPr>
              <w:rPr>
                <w:rFonts w:asciiTheme="minorBidi" w:hAnsiTheme="minorBidi" w:cstheme="minorBidi"/>
                <w:b/>
                <w:bCs/>
                <w:sz w:val="18"/>
                <w:szCs w:val="18"/>
              </w:rPr>
            </w:pPr>
            <w:r w:rsidRPr="00141177">
              <w:rPr>
                <w:rFonts w:asciiTheme="minorBidi" w:hAnsiTheme="minorBidi" w:cstheme="minorBidi"/>
                <w:b/>
                <w:bCs/>
                <w:sz w:val="18"/>
                <w:szCs w:val="18"/>
              </w:rPr>
              <w:t>0</w:t>
            </w:r>
          </w:p>
        </w:tc>
        <w:tc>
          <w:tcPr>
            <w:tcW w:w="416" w:type="pct"/>
            <w:tcBorders>
              <w:top w:val="nil"/>
              <w:left w:val="nil"/>
              <w:bottom w:val="nil"/>
              <w:right w:val="nil"/>
            </w:tcBorders>
            <w:vAlign w:val="bottom"/>
          </w:tcPr>
          <w:p w14:paraId="15C8BC40" w14:textId="77777777" w:rsidR="00141177" w:rsidRPr="00141177" w:rsidRDefault="00141177" w:rsidP="00141177">
            <w:pPr>
              <w:rPr>
                <w:rFonts w:asciiTheme="minorBidi" w:hAnsiTheme="minorBidi" w:cstheme="minorBidi"/>
                <w:b/>
                <w:bCs/>
                <w:sz w:val="18"/>
                <w:szCs w:val="18"/>
              </w:rPr>
            </w:pPr>
            <w:r w:rsidRPr="00141177">
              <w:rPr>
                <w:rFonts w:asciiTheme="minorBidi" w:hAnsiTheme="minorBidi" w:cstheme="minorBidi"/>
                <w:b/>
                <w:bCs/>
                <w:sz w:val="18"/>
                <w:szCs w:val="18"/>
              </w:rPr>
              <w:t>0</w:t>
            </w:r>
          </w:p>
        </w:tc>
        <w:tc>
          <w:tcPr>
            <w:tcW w:w="343" w:type="pct"/>
            <w:tcBorders>
              <w:top w:val="nil"/>
              <w:left w:val="nil"/>
              <w:bottom w:val="nil"/>
              <w:right w:val="nil"/>
            </w:tcBorders>
            <w:vAlign w:val="bottom"/>
          </w:tcPr>
          <w:p w14:paraId="50EA9839" w14:textId="77777777" w:rsidR="00141177" w:rsidRPr="00141177" w:rsidRDefault="00141177" w:rsidP="00141177">
            <w:pPr>
              <w:rPr>
                <w:rFonts w:asciiTheme="minorBidi" w:hAnsiTheme="minorBidi" w:cstheme="minorBidi"/>
                <w:b/>
                <w:bCs/>
                <w:sz w:val="18"/>
                <w:szCs w:val="18"/>
              </w:rPr>
            </w:pPr>
            <w:r w:rsidRPr="00141177">
              <w:rPr>
                <w:rFonts w:asciiTheme="minorBidi" w:hAnsiTheme="minorBidi" w:cstheme="minorBidi"/>
                <w:b/>
                <w:bCs/>
                <w:sz w:val="18"/>
                <w:szCs w:val="18"/>
              </w:rPr>
              <w:t>0</w:t>
            </w:r>
          </w:p>
        </w:tc>
        <w:tc>
          <w:tcPr>
            <w:tcW w:w="378" w:type="pct"/>
            <w:tcBorders>
              <w:top w:val="nil"/>
              <w:left w:val="nil"/>
              <w:bottom w:val="nil"/>
              <w:right w:val="nil"/>
            </w:tcBorders>
            <w:vAlign w:val="bottom"/>
          </w:tcPr>
          <w:p w14:paraId="050023BD" w14:textId="21F90EA7" w:rsidR="00141177" w:rsidRPr="00141177" w:rsidRDefault="00141177" w:rsidP="00141177">
            <w:pPr>
              <w:rPr>
                <w:rFonts w:asciiTheme="minorBidi" w:hAnsiTheme="minorBidi" w:cstheme="minorBidi"/>
                <w:b/>
                <w:bCs/>
                <w:sz w:val="18"/>
                <w:szCs w:val="18"/>
              </w:rPr>
            </w:pPr>
            <w:r w:rsidRPr="00141177">
              <w:rPr>
                <w:rFonts w:asciiTheme="minorBidi" w:hAnsiTheme="minorBidi" w:cstheme="minorBidi"/>
                <w:b/>
                <w:bCs/>
                <w:sz w:val="18"/>
                <w:szCs w:val="18"/>
              </w:rPr>
              <w:t>0</w:t>
            </w:r>
          </w:p>
        </w:tc>
        <w:tc>
          <w:tcPr>
            <w:tcW w:w="361" w:type="pct"/>
            <w:tcBorders>
              <w:top w:val="nil"/>
              <w:left w:val="nil"/>
              <w:bottom w:val="nil"/>
              <w:right w:val="nil"/>
            </w:tcBorders>
            <w:vAlign w:val="bottom"/>
          </w:tcPr>
          <w:p w14:paraId="2861BED7" w14:textId="6AB3CFEB" w:rsidR="00141177" w:rsidRPr="00141177" w:rsidRDefault="00141177" w:rsidP="00141177">
            <w:pPr>
              <w:rPr>
                <w:rFonts w:asciiTheme="minorBidi" w:hAnsiTheme="minorBidi" w:cstheme="minorBidi"/>
                <w:b/>
                <w:bCs/>
                <w:sz w:val="18"/>
                <w:szCs w:val="18"/>
              </w:rPr>
            </w:pPr>
            <w:r w:rsidRPr="00141177">
              <w:rPr>
                <w:rFonts w:asciiTheme="minorBidi" w:hAnsiTheme="minorBidi" w:cstheme="minorBidi"/>
                <w:b/>
                <w:bCs/>
                <w:sz w:val="18"/>
                <w:szCs w:val="18"/>
              </w:rPr>
              <w:t>0</w:t>
            </w:r>
          </w:p>
        </w:tc>
        <w:tc>
          <w:tcPr>
            <w:tcW w:w="300" w:type="pct"/>
            <w:tcBorders>
              <w:top w:val="nil"/>
              <w:left w:val="nil"/>
              <w:bottom w:val="nil"/>
              <w:right w:val="nil"/>
            </w:tcBorders>
            <w:vAlign w:val="bottom"/>
          </w:tcPr>
          <w:p w14:paraId="24C41B8F" w14:textId="0F3C4D81" w:rsidR="00141177" w:rsidRPr="00141177" w:rsidRDefault="00141177" w:rsidP="00141177">
            <w:pPr>
              <w:rPr>
                <w:rFonts w:asciiTheme="minorBidi" w:hAnsiTheme="minorBidi" w:cstheme="minorBidi"/>
                <w:b/>
                <w:bCs/>
                <w:sz w:val="18"/>
                <w:szCs w:val="18"/>
              </w:rPr>
            </w:pPr>
            <w:r w:rsidRPr="00141177">
              <w:rPr>
                <w:rFonts w:asciiTheme="minorBidi" w:hAnsiTheme="minorBidi" w:cstheme="minorBidi"/>
                <w:b/>
                <w:bCs/>
                <w:sz w:val="18"/>
                <w:szCs w:val="18"/>
              </w:rPr>
              <w:t>0</w:t>
            </w:r>
          </w:p>
        </w:tc>
      </w:tr>
      <w:tr w:rsidR="00F86341" w:rsidRPr="00CE3FC5" w14:paraId="360A1EBD" w14:textId="17175834" w:rsidTr="00141177">
        <w:tc>
          <w:tcPr>
            <w:tcW w:w="1726" w:type="pct"/>
            <w:tcBorders>
              <w:top w:val="nil"/>
              <w:left w:val="nil"/>
              <w:bottom w:val="nil"/>
              <w:right w:val="nil"/>
            </w:tcBorders>
            <w:vAlign w:val="bottom"/>
          </w:tcPr>
          <w:p w14:paraId="34EA22CC" w14:textId="77777777" w:rsidR="00F86341" w:rsidRPr="00CE3FC5" w:rsidRDefault="00F86341" w:rsidP="00F86341">
            <w:pPr>
              <w:bidi w:val="0"/>
              <w:spacing w:line="60" w:lineRule="exact"/>
              <w:ind w:hanging="144"/>
              <w:rPr>
                <w:color w:val="000000"/>
                <w:rtl/>
                <w:lang w:eastAsia="he-IL"/>
              </w:rPr>
            </w:pPr>
          </w:p>
        </w:tc>
        <w:tc>
          <w:tcPr>
            <w:tcW w:w="361" w:type="pct"/>
            <w:tcBorders>
              <w:top w:val="nil"/>
              <w:left w:val="nil"/>
              <w:bottom w:val="nil"/>
              <w:right w:val="nil"/>
            </w:tcBorders>
            <w:vAlign w:val="bottom"/>
          </w:tcPr>
          <w:p w14:paraId="1545CE91" w14:textId="77777777" w:rsidR="00F86341" w:rsidRPr="00CE3FC5" w:rsidRDefault="00F86341" w:rsidP="00F86341">
            <w:pPr>
              <w:bidi w:val="0"/>
              <w:spacing w:line="60" w:lineRule="exact"/>
              <w:ind w:left="144" w:hanging="144"/>
              <w:rPr>
                <w:color w:val="000000"/>
                <w:rtl/>
                <w:lang w:eastAsia="he-IL"/>
              </w:rPr>
            </w:pPr>
          </w:p>
        </w:tc>
        <w:tc>
          <w:tcPr>
            <w:tcW w:w="361" w:type="pct"/>
            <w:tcBorders>
              <w:top w:val="nil"/>
              <w:left w:val="nil"/>
              <w:bottom w:val="nil"/>
              <w:right w:val="nil"/>
            </w:tcBorders>
          </w:tcPr>
          <w:p w14:paraId="32125E14" w14:textId="77777777" w:rsidR="00F86341" w:rsidRPr="00CE3FC5" w:rsidRDefault="00F86341" w:rsidP="00F86341">
            <w:pPr>
              <w:bidi w:val="0"/>
              <w:spacing w:line="60" w:lineRule="exact"/>
              <w:ind w:left="144" w:hanging="144"/>
              <w:rPr>
                <w:color w:val="000000"/>
                <w:rtl/>
                <w:lang w:eastAsia="he-IL"/>
              </w:rPr>
            </w:pPr>
          </w:p>
        </w:tc>
        <w:tc>
          <w:tcPr>
            <w:tcW w:w="341" w:type="pct"/>
            <w:tcBorders>
              <w:top w:val="nil"/>
              <w:left w:val="nil"/>
              <w:bottom w:val="nil"/>
              <w:right w:val="nil"/>
            </w:tcBorders>
          </w:tcPr>
          <w:p w14:paraId="05AFF119" w14:textId="67362E39" w:rsidR="00F86341" w:rsidRPr="00CE3FC5" w:rsidRDefault="00F86341" w:rsidP="00F86341">
            <w:pPr>
              <w:bidi w:val="0"/>
              <w:spacing w:line="60" w:lineRule="exact"/>
              <w:ind w:left="144" w:hanging="144"/>
              <w:rPr>
                <w:color w:val="000000"/>
                <w:rtl/>
                <w:lang w:eastAsia="he-IL"/>
              </w:rPr>
            </w:pPr>
          </w:p>
        </w:tc>
        <w:tc>
          <w:tcPr>
            <w:tcW w:w="413" w:type="pct"/>
            <w:tcBorders>
              <w:top w:val="nil"/>
              <w:left w:val="nil"/>
              <w:bottom w:val="nil"/>
              <w:right w:val="nil"/>
            </w:tcBorders>
          </w:tcPr>
          <w:p w14:paraId="49C0F8AA" w14:textId="77777777" w:rsidR="00F86341" w:rsidRPr="00CE3FC5" w:rsidRDefault="00F86341" w:rsidP="00F86341">
            <w:pPr>
              <w:bidi w:val="0"/>
              <w:spacing w:line="60" w:lineRule="exact"/>
              <w:ind w:left="144" w:hanging="144"/>
              <w:rPr>
                <w:color w:val="000000"/>
                <w:rtl/>
                <w:lang w:eastAsia="he-IL"/>
              </w:rPr>
            </w:pPr>
          </w:p>
        </w:tc>
        <w:tc>
          <w:tcPr>
            <w:tcW w:w="416" w:type="pct"/>
            <w:tcBorders>
              <w:top w:val="nil"/>
              <w:left w:val="nil"/>
              <w:bottom w:val="nil"/>
              <w:right w:val="nil"/>
            </w:tcBorders>
            <w:vAlign w:val="bottom"/>
          </w:tcPr>
          <w:p w14:paraId="0B106E86" w14:textId="77777777" w:rsidR="00F86341" w:rsidRPr="00CE3FC5" w:rsidRDefault="00F86341" w:rsidP="00F86341">
            <w:pPr>
              <w:bidi w:val="0"/>
              <w:spacing w:line="60" w:lineRule="exact"/>
              <w:ind w:left="144" w:hanging="144"/>
              <w:rPr>
                <w:color w:val="000000"/>
                <w:rtl/>
                <w:lang w:eastAsia="he-IL"/>
              </w:rPr>
            </w:pPr>
          </w:p>
        </w:tc>
        <w:tc>
          <w:tcPr>
            <w:tcW w:w="343" w:type="pct"/>
            <w:tcBorders>
              <w:top w:val="nil"/>
              <w:left w:val="nil"/>
              <w:bottom w:val="nil"/>
              <w:right w:val="nil"/>
            </w:tcBorders>
            <w:vAlign w:val="bottom"/>
          </w:tcPr>
          <w:p w14:paraId="106CB937" w14:textId="77777777" w:rsidR="00F86341" w:rsidRPr="00CE3FC5" w:rsidRDefault="00F86341" w:rsidP="00F86341">
            <w:pPr>
              <w:bidi w:val="0"/>
              <w:spacing w:line="60" w:lineRule="exact"/>
              <w:ind w:left="144" w:hanging="144"/>
              <w:rPr>
                <w:color w:val="000000"/>
                <w:rtl/>
                <w:lang w:eastAsia="he-IL"/>
              </w:rPr>
            </w:pPr>
          </w:p>
        </w:tc>
        <w:tc>
          <w:tcPr>
            <w:tcW w:w="378" w:type="pct"/>
            <w:tcBorders>
              <w:top w:val="nil"/>
              <w:left w:val="nil"/>
              <w:bottom w:val="nil"/>
              <w:right w:val="nil"/>
            </w:tcBorders>
          </w:tcPr>
          <w:p w14:paraId="244AAE06" w14:textId="77777777" w:rsidR="00F86341" w:rsidRPr="00CE3FC5" w:rsidRDefault="00F86341" w:rsidP="00F86341">
            <w:pPr>
              <w:bidi w:val="0"/>
              <w:spacing w:line="60" w:lineRule="exact"/>
              <w:ind w:left="144" w:hanging="144"/>
              <w:rPr>
                <w:color w:val="000000"/>
                <w:rtl/>
                <w:lang w:eastAsia="he-IL"/>
              </w:rPr>
            </w:pPr>
          </w:p>
        </w:tc>
        <w:tc>
          <w:tcPr>
            <w:tcW w:w="361" w:type="pct"/>
            <w:tcBorders>
              <w:top w:val="nil"/>
              <w:left w:val="nil"/>
              <w:bottom w:val="nil"/>
              <w:right w:val="nil"/>
            </w:tcBorders>
          </w:tcPr>
          <w:p w14:paraId="1FE2A2D0" w14:textId="77777777" w:rsidR="00F86341" w:rsidRPr="00CE3FC5" w:rsidRDefault="00F86341" w:rsidP="00F86341">
            <w:pPr>
              <w:bidi w:val="0"/>
              <w:spacing w:line="60" w:lineRule="exact"/>
              <w:ind w:left="144" w:hanging="144"/>
              <w:rPr>
                <w:color w:val="000000"/>
                <w:rtl/>
                <w:lang w:eastAsia="he-IL"/>
              </w:rPr>
            </w:pPr>
          </w:p>
        </w:tc>
        <w:tc>
          <w:tcPr>
            <w:tcW w:w="300" w:type="pct"/>
            <w:tcBorders>
              <w:top w:val="nil"/>
              <w:left w:val="nil"/>
              <w:bottom w:val="nil"/>
              <w:right w:val="nil"/>
            </w:tcBorders>
          </w:tcPr>
          <w:p w14:paraId="759F7491" w14:textId="77777777" w:rsidR="00F86341" w:rsidRPr="00CE3FC5" w:rsidRDefault="00F86341" w:rsidP="00F86341">
            <w:pPr>
              <w:bidi w:val="0"/>
              <w:spacing w:line="60" w:lineRule="exact"/>
              <w:ind w:left="144" w:hanging="144"/>
              <w:rPr>
                <w:color w:val="000000"/>
                <w:rtl/>
                <w:lang w:eastAsia="he-IL"/>
              </w:rPr>
            </w:pPr>
          </w:p>
        </w:tc>
      </w:tr>
    </w:tbl>
    <w:p w14:paraId="3D4A157F" w14:textId="77777777" w:rsidR="0086203B" w:rsidRDefault="0086203B" w:rsidP="0001523C">
      <w:pPr>
        <w:spacing w:line="40" w:lineRule="exact"/>
      </w:pPr>
    </w:p>
    <w:p w14:paraId="16BB4ECA" w14:textId="77777777" w:rsidR="00F86341" w:rsidRDefault="00F86341"/>
    <w:tbl>
      <w:tblPr>
        <w:bidiVisual/>
        <w:tblW w:w="4934" w:type="pct"/>
        <w:tblInd w:w="94" w:type="dxa"/>
        <w:tblLayout w:type="fixed"/>
        <w:tblLook w:val="01E0" w:firstRow="1" w:lastRow="1" w:firstColumn="1" w:lastColumn="1" w:noHBand="0" w:noVBand="0"/>
      </w:tblPr>
      <w:tblGrid>
        <w:gridCol w:w="426"/>
        <w:gridCol w:w="9646"/>
      </w:tblGrid>
      <w:tr w:rsidR="00795BC1" w:rsidRPr="0086769E" w14:paraId="637F89C3" w14:textId="77777777" w:rsidTr="0086769E">
        <w:trPr>
          <w:trHeight w:val="245"/>
        </w:trPr>
        <w:tc>
          <w:tcPr>
            <w:tcW w:w="426" w:type="dxa"/>
          </w:tcPr>
          <w:p w14:paraId="2A802036" w14:textId="77777777" w:rsidR="00795BC1" w:rsidRPr="0086769E" w:rsidRDefault="00795BC1" w:rsidP="00FE40C9">
            <w:pPr>
              <w:ind w:right="-288"/>
              <w:rPr>
                <w:sz w:val="18"/>
                <w:szCs w:val="18"/>
                <w:rtl/>
              </w:rPr>
            </w:pPr>
            <w:r w:rsidRPr="0086769E">
              <w:rPr>
                <w:sz w:val="18"/>
                <w:szCs w:val="18"/>
                <w:rtl/>
              </w:rPr>
              <w:t>(א)</w:t>
            </w:r>
          </w:p>
        </w:tc>
        <w:tc>
          <w:tcPr>
            <w:tcW w:w="9646" w:type="dxa"/>
          </w:tcPr>
          <w:p w14:paraId="10608FF6" w14:textId="7564C1B0" w:rsidR="00795BC1" w:rsidRPr="0086769E" w:rsidRDefault="00795BC1" w:rsidP="00FE40C9">
            <w:pPr>
              <w:rPr>
                <w:sz w:val="18"/>
                <w:szCs w:val="18"/>
                <w:rtl/>
              </w:rPr>
            </w:pPr>
            <w:r w:rsidRPr="0086769E">
              <w:rPr>
                <w:rFonts w:hint="cs"/>
                <w:sz w:val="18"/>
                <w:szCs w:val="18"/>
                <w:rtl/>
              </w:rPr>
              <w:t>מזה:</w:t>
            </w:r>
            <w:r w:rsidRPr="0086769E">
              <w:rPr>
                <w:sz w:val="18"/>
                <w:szCs w:val="18"/>
              </w:rPr>
              <w:t xml:space="preserve">swaps </w:t>
            </w:r>
            <w:r w:rsidRPr="0086769E">
              <w:rPr>
                <w:rFonts w:hint="cs"/>
                <w:sz w:val="18"/>
                <w:szCs w:val="18"/>
                <w:rtl/>
              </w:rPr>
              <w:t xml:space="preserve"> שהתאגיד משלם שיעור ריבית קבוע בסך </w:t>
            </w:r>
            <w:r w:rsidRPr="0086769E">
              <w:rPr>
                <w:sz w:val="18"/>
                <w:szCs w:val="18"/>
                <w:rtl/>
              </w:rPr>
              <w:t>___</w:t>
            </w:r>
            <w:r w:rsidRPr="0086769E">
              <w:rPr>
                <w:rFonts w:hint="cs"/>
                <w:sz w:val="18"/>
                <w:szCs w:val="18"/>
                <w:rtl/>
              </w:rPr>
              <w:t xml:space="preserve"> מיליוני ש"ח </w:t>
            </w:r>
            <w:r w:rsidR="0086769E" w:rsidRPr="0086769E">
              <w:rPr>
                <w:sz w:val="18"/>
                <w:szCs w:val="18"/>
                <w:rtl/>
              </w:rPr>
              <w:t>(</w:t>
            </w:r>
            <w:r w:rsidR="0086769E" w:rsidRPr="0086769E">
              <w:rPr>
                <w:rFonts w:hint="eastAsia"/>
                <w:sz w:val="18"/>
                <w:szCs w:val="18"/>
                <w:rtl/>
              </w:rPr>
              <w:t>ליום</w:t>
            </w:r>
            <w:r w:rsidR="0086769E" w:rsidRPr="0086769E">
              <w:rPr>
                <w:sz w:val="18"/>
                <w:szCs w:val="18"/>
                <w:rtl/>
              </w:rPr>
              <w:t xml:space="preserve"> 30 ביוני </w:t>
            </w:r>
            <w:r w:rsidR="0086769E" w:rsidRPr="0086769E">
              <w:rPr>
                <w:sz w:val="18"/>
                <w:szCs w:val="18"/>
                <w:rtl/>
              </w:rPr>
              <w:fldChar w:fldCharType="begin"/>
            </w:r>
            <w:r w:rsidR="0086769E" w:rsidRPr="0086769E">
              <w:rPr>
                <w:sz w:val="18"/>
                <w:szCs w:val="18"/>
                <w:rtl/>
              </w:rPr>
              <w:instrText xml:space="preserve"> </w:instrText>
            </w:r>
            <w:r w:rsidR="0086769E" w:rsidRPr="0086769E">
              <w:rPr>
                <w:rFonts w:hint="cs"/>
                <w:sz w:val="18"/>
                <w:szCs w:val="18"/>
                <w:rtl/>
              </w:rPr>
              <w:instrText xml:space="preserve">= </w:instrText>
            </w:r>
            <w:r w:rsidR="0086769E" w:rsidRPr="0086769E">
              <w:rPr>
                <w:rFonts w:hint="cs"/>
                <w:sz w:val="18"/>
                <w:szCs w:val="18"/>
              </w:rPr>
              <w:instrText>CY</w:instrText>
            </w:r>
            <w:r w:rsidR="0086769E" w:rsidRPr="0086769E">
              <w:rPr>
                <w:sz w:val="18"/>
                <w:szCs w:val="18"/>
              </w:rPr>
              <w:instrText>-1</w:instrText>
            </w:r>
            <w:r w:rsidR="0086769E" w:rsidRPr="0086769E">
              <w:rPr>
                <w:rFonts w:hint="cs"/>
                <w:sz w:val="18"/>
                <w:szCs w:val="18"/>
              </w:rPr>
              <w:instrText xml:space="preserve"> \* MERGEFORMAT</w:instrText>
            </w:r>
            <w:r w:rsidR="0086769E" w:rsidRPr="0086769E">
              <w:rPr>
                <w:sz w:val="18"/>
                <w:szCs w:val="18"/>
                <w:rtl/>
              </w:rPr>
              <w:instrText xml:space="preserve"> </w:instrText>
            </w:r>
            <w:r w:rsidR="0086769E" w:rsidRPr="0086769E">
              <w:rPr>
                <w:sz w:val="18"/>
                <w:szCs w:val="18"/>
                <w:rtl/>
              </w:rPr>
              <w:fldChar w:fldCharType="separate"/>
            </w:r>
            <w:r w:rsidR="003A584F">
              <w:rPr>
                <w:noProof/>
                <w:sz w:val="18"/>
                <w:szCs w:val="18"/>
                <w:rtl/>
              </w:rPr>
              <w:t>2023</w:t>
            </w:r>
            <w:r w:rsidR="0086769E" w:rsidRPr="0086769E">
              <w:rPr>
                <w:sz w:val="18"/>
                <w:szCs w:val="18"/>
                <w:rtl/>
              </w:rPr>
              <w:fldChar w:fldCharType="end"/>
            </w:r>
            <w:r w:rsidR="0086769E" w:rsidRPr="0086769E">
              <w:rPr>
                <w:rFonts w:hint="cs"/>
                <w:sz w:val="18"/>
                <w:szCs w:val="18"/>
                <w:rtl/>
              </w:rPr>
              <w:t xml:space="preserve"> </w:t>
            </w:r>
            <w:r w:rsidR="0086769E" w:rsidRPr="0086769E">
              <w:rPr>
                <w:sz w:val="18"/>
                <w:szCs w:val="18"/>
                <w:rtl/>
              </w:rPr>
              <w:t xml:space="preserve">וליום 31 בדצמבר </w:t>
            </w:r>
            <w:r w:rsidR="0086769E" w:rsidRPr="0086769E">
              <w:rPr>
                <w:sz w:val="18"/>
                <w:szCs w:val="18"/>
                <w:rtl/>
              </w:rPr>
              <w:fldChar w:fldCharType="begin"/>
            </w:r>
            <w:r w:rsidR="0086769E" w:rsidRPr="0086769E">
              <w:rPr>
                <w:sz w:val="18"/>
                <w:szCs w:val="18"/>
                <w:rtl/>
              </w:rPr>
              <w:instrText xml:space="preserve"> </w:instrText>
            </w:r>
            <w:r w:rsidR="0086769E" w:rsidRPr="0086769E">
              <w:rPr>
                <w:rFonts w:hint="cs"/>
                <w:sz w:val="18"/>
                <w:szCs w:val="18"/>
                <w:rtl/>
              </w:rPr>
              <w:instrText xml:space="preserve">= </w:instrText>
            </w:r>
            <w:r w:rsidR="0086769E" w:rsidRPr="0086769E">
              <w:rPr>
                <w:rFonts w:hint="cs"/>
                <w:sz w:val="18"/>
                <w:szCs w:val="18"/>
              </w:rPr>
              <w:instrText>CY</w:instrText>
            </w:r>
            <w:r w:rsidR="0086769E" w:rsidRPr="0086769E">
              <w:rPr>
                <w:sz w:val="18"/>
                <w:szCs w:val="18"/>
              </w:rPr>
              <w:instrText>-1</w:instrText>
            </w:r>
            <w:r w:rsidR="0086769E" w:rsidRPr="0086769E">
              <w:rPr>
                <w:rFonts w:hint="cs"/>
                <w:sz w:val="18"/>
                <w:szCs w:val="18"/>
              </w:rPr>
              <w:instrText xml:space="preserve"> \* MERGEFORMAT</w:instrText>
            </w:r>
            <w:r w:rsidR="0086769E" w:rsidRPr="0086769E">
              <w:rPr>
                <w:sz w:val="18"/>
                <w:szCs w:val="18"/>
                <w:rtl/>
              </w:rPr>
              <w:instrText xml:space="preserve"> </w:instrText>
            </w:r>
            <w:r w:rsidR="0086769E" w:rsidRPr="0086769E">
              <w:rPr>
                <w:sz w:val="18"/>
                <w:szCs w:val="18"/>
                <w:rtl/>
              </w:rPr>
              <w:fldChar w:fldCharType="separate"/>
            </w:r>
            <w:r w:rsidR="003A584F">
              <w:rPr>
                <w:noProof/>
                <w:sz w:val="18"/>
                <w:szCs w:val="18"/>
                <w:rtl/>
              </w:rPr>
              <w:t>2023</w:t>
            </w:r>
            <w:r w:rsidR="0086769E" w:rsidRPr="0086769E">
              <w:rPr>
                <w:sz w:val="18"/>
                <w:szCs w:val="18"/>
                <w:rtl/>
              </w:rPr>
              <w:fldChar w:fldCharType="end"/>
            </w:r>
            <w:r w:rsidR="0086769E" w:rsidRPr="0086769E">
              <w:rPr>
                <w:sz w:val="18"/>
                <w:szCs w:val="18"/>
                <w:rtl/>
              </w:rPr>
              <w:t xml:space="preserve">, </w:t>
            </w:r>
            <w:r w:rsidR="0086769E" w:rsidRPr="0086769E">
              <w:rPr>
                <w:rFonts w:hint="eastAsia"/>
                <w:sz w:val="18"/>
                <w:szCs w:val="18"/>
                <w:rtl/>
              </w:rPr>
              <w:t>בסך</w:t>
            </w:r>
            <w:r w:rsidR="0086769E" w:rsidRPr="0086769E">
              <w:rPr>
                <w:sz w:val="18"/>
                <w:szCs w:val="18"/>
                <w:rtl/>
              </w:rPr>
              <w:t xml:space="preserve"> ___, ___ </w:t>
            </w:r>
            <w:r w:rsidR="0086769E" w:rsidRPr="0086769E">
              <w:rPr>
                <w:rFonts w:hint="eastAsia"/>
                <w:sz w:val="18"/>
                <w:szCs w:val="18"/>
                <w:rtl/>
              </w:rPr>
              <w:t>מיליוני</w:t>
            </w:r>
            <w:r w:rsidR="0086769E" w:rsidRPr="0086769E">
              <w:rPr>
                <w:sz w:val="18"/>
                <w:szCs w:val="18"/>
                <w:rtl/>
              </w:rPr>
              <w:t xml:space="preserve"> </w:t>
            </w:r>
            <w:r w:rsidR="0086769E" w:rsidRPr="0086769E">
              <w:rPr>
                <w:rFonts w:hint="eastAsia"/>
                <w:sz w:val="18"/>
                <w:szCs w:val="18"/>
                <w:rtl/>
              </w:rPr>
              <w:t>ש</w:t>
            </w:r>
            <w:r w:rsidR="0086769E" w:rsidRPr="0086769E">
              <w:rPr>
                <w:sz w:val="18"/>
                <w:szCs w:val="18"/>
                <w:rtl/>
              </w:rPr>
              <w:t xml:space="preserve">"ח, </w:t>
            </w:r>
            <w:r w:rsidR="0086769E" w:rsidRPr="0086769E">
              <w:rPr>
                <w:rFonts w:hint="eastAsia"/>
                <w:sz w:val="18"/>
                <w:szCs w:val="18"/>
                <w:rtl/>
              </w:rPr>
              <w:t>בהתאמה</w:t>
            </w:r>
            <w:r w:rsidRPr="0086769E">
              <w:rPr>
                <w:rFonts w:hint="cs"/>
                <w:sz w:val="18"/>
                <w:szCs w:val="18"/>
                <w:rtl/>
              </w:rPr>
              <w:t>).</w:t>
            </w:r>
          </w:p>
        </w:tc>
      </w:tr>
      <w:tr w:rsidR="00795BC1" w:rsidRPr="0086769E" w14:paraId="6B9A4994" w14:textId="77777777" w:rsidTr="0086769E">
        <w:trPr>
          <w:trHeight w:val="245"/>
        </w:trPr>
        <w:tc>
          <w:tcPr>
            <w:tcW w:w="426" w:type="dxa"/>
          </w:tcPr>
          <w:p w14:paraId="36404ED7" w14:textId="77777777" w:rsidR="00795BC1" w:rsidRPr="0086769E" w:rsidRDefault="00795BC1" w:rsidP="00FE40C9">
            <w:pPr>
              <w:ind w:right="-288"/>
              <w:rPr>
                <w:sz w:val="18"/>
                <w:szCs w:val="18"/>
                <w:rtl/>
              </w:rPr>
            </w:pPr>
            <w:r w:rsidRPr="0086769E">
              <w:rPr>
                <w:sz w:val="18"/>
                <w:szCs w:val="18"/>
                <w:rtl/>
              </w:rPr>
              <w:t>(</w:t>
            </w:r>
            <w:r w:rsidRPr="0086769E">
              <w:rPr>
                <w:rFonts w:hint="eastAsia"/>
                <w:sz w:val="18"/>
                <w:szCs w:val="18"/>
                <w:rtl/>
              </w:rPr>
              <w:t>ב</w:t>
            </w:r>
            <w:r w:rsidRPr="0086769E">
              <w:rPr>
                <w:sz w:val="18"/>
                <w:szCs w:val="18"/>
                <w:rtl/>
              </w:rPr>
              <w:t>)</w:t>
            </w:r>
          </w:p>
        </w:tc>
        <w:tc>
          <w:tcPr>
            <w:tcW w:w="9646" w:type="dxa"/>
          </w:tcPr>
          <w:p w14:paraId="5C1D5031" w14:textId="78EBE2A6" w:rsidR="00795BC1" w:rsidRPr="0086769E" w:rsidRDefault="00795BC1" w:rsidP="00FE40C9">
            <w:pPr>
              <w:rPr>
                <w:sz w:val="18"/>
                <w:szCs w:val="18"/>
                <w:rtl/>
              </w:rPr>
            </w:pPr>
            <w:r w:rsidRPr="0086769E">
              <w:rPr>
                <w:rFonts w:hint="cs"/>
                <w:sz w:val="18"/>
                <w:szCs w:val="18"/>
                <w:rtl/>
              </w:rPr>
              <w:t xml:space="preserve">מזה: חוזי החלפת שקל-מדד בסך </w:t>
            </w:r>
            <w:r w:rsidRPr="0086769E">
              <w:rPr>
                <w:sz w:val="18"/>
                <w:szCs w:val="18"/>
                <w:rtl/>
              </w:rPr>
              <w:t>___</w:t>
            </w:r>
            <w:r w:rsidRPr="0086769E">
              <w:rPr>
                <w:rFonts w:hint="cs"/>
                <w:sz w:val="18"/>
                <w:szCs w:val="18"/>
                <w:rtl/>
              </w:rPr>
              <w:t xml:space="preserve"> מיליוני ש"ח </w:t>
            </w:r>
            <w:r w:rsidR="0086769E" w:rsidRPr="0086769E">
              <w:rPr>
                <w:sz w:val="18"/>
                <w:szCs w:val="18"/>
                <w:rtl/>
              </w:rPr>
              <w:t>(</w:t>
            </w:r>
            <w:r w:rsidR="0086769E" w:rsidRPr="0086769E">
              <w:rPr>
                <w:rFonts w:hint="eastAsia"/>
                <w:sz w:val="18"/>
                <w:szCs w:val="18"/>
                <w:rtl/>
              </w:rPr>
              <w:t>ליום</w:t>
            </w:r>
            <w:r w:rsidR="0086769E" w:rsidRPr="0086769E">
              <w:rPr>
                <w:sz w:val="18"/>
                <w:szCs w:val="18"/>
                <w:rtl/>
              </w:rPr>
              <w:t xml:space="preserve"> 30 ביוני </w:t>
            </w:r>
            <w:r w:rsidR="0086769E" w:rsidRPr="0086769E">
              <w:rPr>
                <w:sz w:val="18"/>
                <w:szCs w:val="18"/>
                <w:rtl/>
              </w:rPr>
              <w:fldChar w:fldCharType="begin"/>
            </w:r>
            <w:r w:rsidR="0086769E" w:rsidRPr="0086769E">
              <w:rPr>
                <w:sz w:val="18"/>
                <w:szCs w:val="18"/>
                <w:rtl/>
              </w:rPr>
              <w:instrText xml:space="preserve"> </w:instrText>
            </w:r>
            <w:r w:rsidR="0086769E" w:rsidRPr="0086769E">
              <w:rPr>
                <w:rFonts w:hint="cs"/>
                <w:sz w:val="18"/>
                <w:szCs w:val="18"/>
                <w:rtl/>
              </w:rPr>
              <w:instrText xml:space="preserve">= </w:instrText>
            </w:r>
            <w:r w:rsidR="0086769E" w:rsidRPr="0086769E">
              <w:rPr>
                <w:rFonts w:hint="cs"/>
                <w:sz w:val="18"/>
                <w:szCs w:val="18"/>
              </w:rPr>
              <w:instrText>CY</w:instrText>
            </w:r>
            <w:r w:rsidR="0086769E" w:rsidRPr="0086769E">
              <w:rPr>
                <w:sz w:val="18"/>
                <w:szCs w:val="18"/>
              </w:rPr>
              <w:instrText>-1</w:instrText>
            </w:r>
            <w:r w:rsidR="0086769E" w:rsidRPr="0086769E">
              <w:rPr>
                <w:rFonts w:hint="cs"/>
                <w:sz w:val="18"/>
                <w:szCs w:val="18"/>
              </w:rPr>
              <w:instrText xml:space="preserve"> \* MERGEFORMAT</w:instrText>
            </w:r>
            <w:r w:rsidR="0086769E" w:rsidRPr="0086769E">
              <w:rPr>
                <w:sz w:val="18"/>
                <w:szCs w:val="18"/>
                <w:rtl/>
              </w:rPr>
              <w:instrText xml:space="preserve"> </w:instrText>
            </w:r>
            <w:r w:rsidR="0086769E" w:rsidRPr="0086769E">
              <w:rPr>
                <w:sz w:val="18"/>
                <w:szCs w:val="18"/>
                <w:rtl/>
              </w:rPr>
              <w:fldChar w:fldCharType="separate"/>
            </w:r>
            <w:r w:rsidR="003A584F">
              <w:rPr>
                <w:noProof/>
                <w:sz w:val="18"/>
                <w:szCs w:val="18"/>
                <w:rtl/>
              </w:rPr>
              <w:t>2023</w:t>
            </w:r>
            <w:r w:rsidR="0086769E" w:rsidRPr="0086769E">
              <w:rPr>
                <w:sz w:val="18"/>
                <w:szCs w:val="18"/>
                <w:rtl/>
              </w:rPr>
              <w:fldChar w:fldCharType="end"/>
            </w:r>
            <w:r w:rsidR="0086769E" w:rsidRPr="0086769E">
              <w:rPr>
                <w:rFonts w:hint="cs"/>
                <w:sz w:val="18"/>
                <w:szCs w:val="18"/>
                <w:rtl/>
              </w:rPr>
              <w:t xml:space="preserve"> </w:t>
            </w:r>
            <w:r w:rsidR="0086769E" w:rsidRPr="0086769E">
              <w:rPr>
                <w:sz w:val="18"/>
                <w:szCs w:val="18"/>
                <w:rtl/>
              </w:rPr>
              <w:t xml:space="preserve">וליום 31 בדצמבר </w:t>
            </w:r>
            <w:r w:rsidR="0086769E" w:rsidRPr="0086769E">
              <w:rPr>
                <w:sz w:val="18"/>
                <w:szCs w:val="18"/>
                <w:rtl/>
              </w:rPr>
              <w:fldChar w:fldCharType="begin"/>
            </w:r>
            <w:r w:rsidR="0086769E" w:rsidRPr="0086769E">
              <w:rPr>
                <w:sz w:val="18"/>
                <w:szCs w:val="18"/>
                <w:rtl/>
              </w:rPr>
              <w:instrText xml:space="preserve"> </w:instrText>
            </w:r>
            <w:r w:rsidR="0086769E" w:rsidRPr="0086769E">
              <w:rPr>
                <w:rFonts w:hint="cs"/>
                <w:sz w:val="18"/>
                <w:szCs w:val="18"/>
                <w:rtl/>
              </w:rPr>
              <w:instrText xml:space="preserve">= </w:instrText>
            </w:r>
            <w:r w:rsidR="0086769E" w:rsidRPr="0086769E">
              <w:rPr>
                <w:rFonts w:hint="cs"/>
                <w:sz w:val="18"/>
                <w:szCs w:val="18"/>
              </w:rPr>
              <w:instrText>CY</w:instrText>
            </w:r>
            <w:r w:rsidR="0086769E" w:rsidRPr="0086769E">
              <w:rPr>
                <w:sz w:val="18"/>
                <w:szCs w:val="18"/>
              </w:rPr>
              <w:instrText>-1</w:instrText>
            </w:r>
            <w:r w:rsidR="0086769E" w:rsidRPr="0086769E">
              <w:rPr>
                <w:rFonts w:hint="cs"/>
                <w:sz w:val="18"/>
                <w:szCs w:val="18"/>
              </w:rPr>
              <w:instrText xml:space="preserve"> \* MERGEFORMAT</w:instrText>
            </w:r>
            <w:r w:rsidR="0086769E" w:rsidRPr="0086769E">
              <w:rPr>
                <w:sz w:val="18"/>
                <w:szCs w:val="18"/>
                <w:rtl/>
              </w:rPr>
              <w:instrText xml:space="preserve"> </w:instrText>
            </w:r>
            <w:r w:rsidR="0086769E" w:rsidRPr="0086769E">
              <w:rPr>
                <w:sz w:val="18"/>
                <w:szCs w:val="18"/>
                <w:rtl/>
              </w:rPr>
              <w:fldChar w:fldCharType="separate"/>
            </w:r>
            <w:r w:rsidR="003A584F">
              <w:rPr>
                <w:noProof/>
                <w:sz w:val="18"/>
                <w:szCs w:val="18"/>
                <w:rtl/>
              </w:rPr>
              <w:t>2023</w:t>
            </w:r>
            <w:r w:rsidR="0086769E" w:rsidRPr="0086769E">
              <w:rPr>
                <w:sz w:val="18"/>
                <w:szCs w:val="18"/>
                <w:rtl/>
              </w:rPr>
              <w:fldChar w:fldCharType="end"/>
            </w:r>
            <w:r w:rsidR="0086769E" w:rsidRPr="0086769E">
              <w:rPr>
                <w:sz w:val="18"/>
                <w:szCs w:val="18"/>
                <w:rtl/>
              </w:rPr>
              <w:t xml:space="preserve">, </w:t>
            </w:r>
            <w:r w:rsidR="0086769E" w:rsidRPr="0086769E">
              <w:rPr>
                <w:rFonts w:hint="eastAsia"/>
                <w:sz w:val="18"/>
                <w:szCs w:val="18"/>
                <w:rtl/>
              </w:rPr>
              <w:t>בסך</w:t>
            </w:r>
            <w:r w:rsidR="0086769E" w:rsidRPr="0086769E">
              <w:rPr>
                <w:sz w:val="18"/>
                <w:szCs w:val="18"/>
                <w:rtl/>
              </w:rPr>
              <w:t xml:space="preserve"> ___, ___ </w:t>
            </w:r>
            <w:r w:rsidR="0086769E" w:rsidRPr="0086769E">
              <w:rPr>
                <w:rFonts w:hint="eastAsia"/>
                <w:sz w:val="18"/>
                <w:szCs w:val="18"/>
                <w:rtl/>
              </w:rPr>
              <w:t>מיליוני</w:t>
            </w:r>
            <w:r w:rsidR="0086769E" w:rsidRPr="0086769E">
              <w:rPr>
                <w:sz w:val="18"/>
                <w:szCs w:val="18"/>
                <w:rtl/>
              </w:rPr>
              <w:t xml:space="preserve"> </w:t>
            </w:r>
            <w:r w:rsidR="0086769E" w:rsidRPr="0086769E">
              <w:rPr>
                <w:rFonts w:hint="eastAsia"/>
                <w:sz w:val="18"/>
                <w:szCs w:val="18"/>
                <w:rtl/>
              </w:rPr>
              <w:t>ש</w:t>
            </w:r>
            <w:r w:rsidR="0086769E" w:rsidRPr="0086769E">
              <w:rPr>
                <w:sz w:val="18"/>
                <w:szCs w:val="18"/>
                <w:rtl/>
              </w:rPr>
              <w:t xml:space="preserve">"ח, </w:t>
            </w:r>
            <w:r w:rsidR="0086769E" w:rsidRPr="0086769E">
              <w:rPr>
                <w:rFonts w:hint="eastAsia"/>
                <w:sz w:val="18"/>
                <w:szCs w:val="18"/>
                <w:rtl/>
              </w:rPr>
              <w:t>בהתאמה</w:t>
            </w:r>
            <w:r w:rsidR="0086769E" w:rsidRPr="0086769E">
              <w:rPr>
                <w:rFonts w:hint="cs"/>
                <w:sz w:val="18"/>
                <w:szCs w:val="18"/>
                <w:rtl/>
              </w:rPr>
              <w:t>).</w:t>
            </w:r>
          </w:p>
        </w:tc>
      </w:tr>
      <w:tr w:rsidR="00795BC1" w:rsidRPr="0086769E" w14:paraId="7F2EDDE9" w14:textId="77777777" w:rsidTr="0086769E">
        <w:trPr>
          <w:trHeight w:val="245"/>
        </w:trPr>
        <w:tc>
          <w:tcPr>
            <w:tcW w:w="426" w:type="dxa"/>
          </w:tcPr>
          <w:p w14:paraId="1B3DD94D" w14:textId="77777777" w:rsidR="00795BC1" w:rsidRPr="0086769E" w:rsidRDefault="00795BC1" w:rsidP="00FE40C9">
            <w:pPr>
              <w:ind w:right="-288"/>
              <w:rPr>
                <w:sz w:val="18"/>
                <w:szCs w:val="18"/>
                <w:rtl/>
              </w:rPr>
            </w:pPr>
            <w:r w:rsidRPr="0086769E">
              <w:rPr>
                <w:sz w:val="18"/>
                <w:szCs w:val="18"/>
                <w:rtl/>
              </w:rPr>
              <w:t>(</w:t>
            </w:r>
            <w:r w:rsidRPr="0086769E">
              <w:rPr>
                <w:rFonts w:hint="eastAsia"/>
                <w:sz w:val="18"/>
                <w:szCs w:val="18"/>
                <w:rtl/>
              </w:rPr>
              <w:t>ג</w:t>
            </w:r>
            <w:r w:rsidRPr="0086769E">
              <w:rPr>
                <w:sz w:val="18"/>
                <w:szCs w:val="18"/>
                <w:rtl/>
              </w:rPr>
              <w:t>)</w:t>
            </w:r>
          </w:p>
        </w:tc>
        <w:tc>
          <w:tcPr>
            <w:tcW w:w="9646" w:type="dxa"/>
          </w:tcPr>
          <w:p w14:paraId="2EC60EB4" w14:textId="77777777" w:rsidR="00795BC1" w:rsidRPr="0086769E" w:rsidRDefault="00795BC1" w:rsidP="00FE40C9">
            <w:pPr>
              <w:rPr>
                <w:sz w:val="18"/>
                <w:szCs w:val="18"/>
                <w:rtl/>
              </w:rPr>
            </w:pPr>
            <w:r w:rsidRPr="0086769E">
              <w:rPr>
                <w:rFonts w:hint="cs"/>
                <w:sz w:val="18"/>
                <w:szCs w:val="18"/>
                <w:rtl/>
              </w:rPr>
              <w:t>תאר את סוגי החוזים העיקריים באמצעותם התאגיד הבנקאי מבצע גידור חשבונאי.</w:t>
            </w:r>
          </w:p>
        </w:tc>
      </w:tr>
      <w:tr w:rsidR="00795BC1" w:rsidRPr="0086769E" w14:paraId="5F2BCDB2" w14:textId="77777777" w:rsidTr="0086769E">
        <w:trPr>
          <w:trHeight w:val="245"/>
        </w:trPr>
        <w:tc>
          <w:tcPr>
            <w:tcW w:w="426" w:type="dxa"/>
          </w:tcPr>
          <w:p w14:paraId="05EE7302" w14:textId="77777777" w:rsidR="00795BC1" w:rsidRPr="0086769E" w:rsidRDefault="00795BC1" w:rsidP="00FE40C9">
            <w:pPr>
              <w:ind w:right="-288"/>
              <w:rPr>
                <w:sz w:val="18"/>
                <w:szCs w:val="18"/>
                <w:rtl/>
              </w:rPr>
            </w:pPr>
            <w:r w:rsidRPr="0086769E">
              <w:rPr>
                <w:sz w:val="18"/>
                <w:szCs w:val="18"/>
                <w:rtl/>
              </w:rPr>
              <w:t>(</w:t>
            </w:r>
            <w:r w:rsidRPr="0086769E">
              <w:rPr>
                <w:rFonts w:hint="eastAsia"/>
                <w:sz w:val="18"/>
                <w:szCs w:val="18"/>
                <w:rtl/>
              </w:rPr>
              <w:t>ד</w:t>
            </w:r>
            <w:r w:rsidRPr="0086769E">
              <w:rPr>
                <w:sz w:val="18"/>
                <w:szCs w:val="18"/>
                <w:rtl/>
              </w:rPr>
              <w:t>)</w:t>
            </w:r>
          </w:p>
        </w:tc>
        <w:tc>
          <w:tcPr>
            <w:tcW w:w="9646" w:type="dxa"/>
          </w:tcPr>
          <w:p w14:paraId="27BED631" w14:textId="5BD7DD45" w:rsidR="00795BC1" w:rsidRPr="0086769E" w:rsidRDefault="00795BC1" w:rsidP="00FE40C9">
            <w:pPr>
              <w:rPr>
                <w:sz w:val="18"/>
                <w:szCs w:val="18"/>
                <w:rtl/>
              </w:rPr>
            </w:pPr>
            <w:r w:rsidRPr="0086769E">
              <w:rPr>
                <w:rFonts w:hint="cs"/>
                <w:sz w:val="18"/>
                <w:szCs w:val="18"/>
                <w:rtl/>
              </w:rPr>
              <w:t>מזה: חוזי החלפת מטבע חוץ ספוט</w:t>
            </w:r>
            <w:r w:rsidRPr="0086769E">
              <w:rPr>
                <w:sz w:val="18"/>
                <w:szCs w:val="18"/>
                <w:vertAlign w:val="superscript"/>
                <w:rtl/>
              </w:rPr>
              <w:t>[</w:t>
            </w:r>
            <w:r w:rsidRPr="0086769E">
              <w:rPr>
                <w:rStyle w:val="a7"/>
                <w:sz w:val="18"/>
                <w:szCs w:val="18"/>
                <w:rtl/>
              </w:rPr>
              <w:footnoteReference w:id="76"/>
            </w:r>
            <w:r w:rsidRPr="0086769E">
              <w:rPr>
                <w:sz w:val="18"/>
                <w:szCs w:val="18"/>
                <w:vertAlign w:val="superscript"/>
                <w:rtl/>
              </w:rPr>
              <w:t>]</w:t>
            </w:r>
            <w:r w:rsidR="00315101">
              <w:rPr>
                <w:rFonts w:hint="cs"/>
                <w:sz w:val="18"/>
                <w:szCs w:val="18"/>
                <w:vertAlign w:val="superscript"/>
                <w:rtl/>
              </w:rPr>
              <w:t xml:space="preserve"> </w:t>
            </w:r>
            <w:r w:rsidRPr="0086769E">
              <w:rPr>
                <w:rFonts w:hint="cs"/>
                <w:sz w:val="18"/>
                <w:szCs w:val="18"/>
                <w:rtl/>
              </w:rPr>
              <w:t xml:space="preserve">בסך  </w:t>
            </w:r>
            <w:r w:rsidRPr="0086769E">
              <w:rPr>
                <w:sz w:val="18"/>
                <w:szCs w:val="18"/>
                <w:rtl/>
              </w:rPr>
              <w:t>___</w:t>
            </w:r>
            <w:r w:rsidRPr="0086769E">
              <w:rPr>
                <w:rFonts w:hint="cs"/>
                <w:sz w:val="18"/>
                <w:szCs w:val="18"/>
                <w:rtl/>
              </w:rPr>
              <w:t xml:space="preserve"> מיליוני ש"ח </w:t>
            </w:r>
            <w:r w:rsidR="0086769E" w:rsidRPr="0086769E">
              <w:rPr>
                <w:sz w:val="18"/>
                <w:szCs w:val="18"/>
                <w:rtl/>
              </w:rPr>
              <w:t>(</w:t>
            </w:r>
            <w:r w:rsidR="0086769E" w:rsidRPr="0086769E">
              <w:rPr>
                <w:rFonts w:hint="eastAsia"/>
                <w:sz w:val="18"/>
                <w:szCs w:val="18"/>
                <w:rtl/>
              </w:rPr>
              <w:t>ליום</w:t>
            </w:r>
            <w:r w:rsidR="0086769E" w:rsidRPr="0086769E">
              <w:rPr>
                <w:sz w:val="18"/>
                <w:szCs w:val="18"/>
                <w:rtl/>
              </w:rPr>
              <w:t xml:space="preserve"> 30 ביוני </w:t>
            </w:r>
            <w:r w:rsidR="0086769E" w:rsidRPr="0086769E">
              <w:rPr>
                <w:sz w:val="18"/>
                <w:szCs w:val="18"/>
                <w:rtl/>
              </w:rPr>
              <w:fldChar w:fldCharType="begin"/>
            </w:r>
            <w:r w:rsidR="0086769E" w:rsidRPr="0086769E">
              <w:rPr>
                <w:sz w:val="18"/>
                <w:szCs w:val="18"/>
                <w:rtl/>
              </w:rPr>
              <w:instrText xml:space="preserve"> </w:instrText>
            </w:r>
            <w:r w:rsidR="0086769E" w:rsidRPr="0086769E">
              <w:rPr>
                <w:rFonts w:hint="cs"/>
                <w:sz w:val="18"/>
                <w:szCs w:val="18"/>
                <w:rtl/>
              </w:rPr>
              <w:instrText xml:space="preserve">= </w:instrText>
            </w:r>
            <w:r w:rsidR="0086769E" w:rsidRPr="0086769E">
              <w:rPr>
                <w:rFonts w:hint="cs"/>
                <w:sz w:val="18"/>
                <w:szCs w:val="18"/>
              </w:rPr>
              <w:instrText>CY</w:instrText>
            </w:r>
            <w:r w:rsidR="0086769E" w:rsidRPr="0086769E">
              <w:rPr>
                <w:sz w:val="18"/>
                <w:szCs w:val="18"/>
              </w:rPr>
              <w:instrText>-1</w:instrText>
            </w:r>
            <w:r w:rsidR="0086769E" w:rsidRPr="0086769E">
              <w:rPr>
                <w:rFonts w:hint="cs"/>
                <w:sz w:val="18"/>
                <w:szCs w:val="18"/>
              </w:rPr>
              <w:instrText xml:space="preserve"> \* MERGEFORMAT</w:instrText>
            </w:r>
            <w:r w:rsidR="0086769E" w:rsidRPr="0086769E">
              <w:rPr>
                <w:sz w:val="18"/>
                <w:szCs w:val="18"/>
                <w:rtl/>
              </w:rPr>
              <w:instrText xml:space="preserve"> </w:instrText>
            </w:r>
            <w:r w:rsidR="0086769E" w:rsidRPr="0086769E">
              <w:rPr>
                <w:sz w:val="18"/>
                <w:szCs w:val="18"/>
                <w:rtl/>
              </w:rPr>
              <w:fldChar w:fldCharType="separate"/>
            </w:r>
            <w:r w:rsidR="003A584F">
              <w:rPr>
                <w:noProof/>
                <w:sz w:val="18"/>
                <w:szCs w:val="18"/>
                <w:rtl/>
              </w:rPr>
              <w:t>2023</w:t>
            </w:r>
            <w:r w:rsidR="0086769E" w:rsidRPr="0086769E">
              <w:rPr>
                <w:sz w:val="18"/>
                <w:szCs w:val="18"/>
                <w:rtl/>
              </w:rPr>
              <w:fldChar w:fldCharType="end"/>
            </w:r>
            <w:r w:rsidR="0086769E" w:rsidRPr="0086769E">
              <w:rPr>
                <w:rFonts w:hint="cs"/>
                <w:sz w:val="18"/>
                <w:szCs w:val="18"/>
                <w:rtl/>
              </w:rPr>
              <w:t xml:space="preserve"> </w:t>
            </w:r>
            <w:r w:rsidR="0086769E" w:rsidRPr="0086769E">
              <w:rPr>
                <w:sz w:val="18"/>
                <w:szCs w:val="18"/>
                <w:rtl/>
              </w:rPr>
              <w:t xml:space="preserve">וליום 31 בדצמבר </w:t>
            </w:r>
            <w:r w:rsidR="0086769E" w:rsidRPr="0086769E">
              <w:rPr>
                <w:sz w:val="18"/>
                <w:szCs w:val="18"/>
                <w:rtl/>
              </w:rPr>
              <w:fldChar w:fldCharType="begin"/>
            </w:r>
            <w:r w:rsidR="0086769E" w:rsidRPr="0086769E">
              <w:rPr>
                <w:sz w:val="18"/>
                <w:szCs w:val="18"/>
                <w:rtl/>
              </w:rPr>
              <w:instrText xml:space="preserve"> </w:instrText>
            </w:r>
            <w:r w:rsidR="0086769E" w:rsidRPr="0086769E">
              <w:rPr>
                <w:rFonts w:hint="cs"/>
                <w:sz w:val="18"/>
                <w:szCs w:val="18"/>
                <w:rtl/>
              </w:rPr>
              <w:instrText xml:space="preserve">= </w:instrText>
            </w:r>
            <w:r w:rsidR="0086769E" w:rsidRPr="0086769E">
              <w:rPr>
                <w:rFonts w:hint="cs"/>
                <w:sz w:val="18"/>
                <w:szCs w:val="18"/>
              </w:rPr>
              <w:instrText>CY</w:instrText>
            </w:r>
            <w:r w:rsidR="0086769E" w:rsidRPr="0086769E">
              <w:rPr>
                <w:sz w:val="18"/>
                <w:szCs w:val="18"/>
              </w:rPr>
              <w:instrText>-1</w:instrText>
            </w:r>
            <w:r w:rsidR="0086769E" w:rsidRPr="0086769E">
              <w:rPr>
                <w:rFonts w:hint="cs"/>
                <w:sz w:val="18"/>
                <w:szCs w:val="18"/>
              </w:rPr>
              <w:instrText xml:space="preserve"> \* MERGEFORMAT</w:instrText>
            </w:r>
            <w:r w:rsidR="0086769E" w:rsidRPr="0086769E">
              <w:rPr>
                <w:sz w:val="18"/>
                <w:szCs w:val="18"/>
                <w:rtl/>
              </w:rPr>
              <w:instrText xml:space="preserve"> </w:instrText>
            </w:r>
            <w:r w:rsidR="0086769E" w:rsidRPr="0086769E">
              <w:rPr>
                <w:sz w:val="18"/>
                <w:szCs w:val="18"/>
                <w:rtl/>
              </w:rPr>
              <w:fldChar w:fldCharType="separate"/>
            </w:r>
            <w:r w:rsidR="003A584F">
              <w:rPr>
                <w:noProof/>
                <w:sz w:val="18"/>
                <w:szCs w:val="18"/>
                <w:rtl/>
              </w:rPr>
              <w:t>2023</w:t>
            </w:r>
            <w:r w:rsidR="0086769E" w:rsidRPr="0086769E">
              <w:rPr>
                <w:sz w:val="18"/>
                <w:szCs w:val="18"/>
                <w:rtl/>
              </w:rPr>
              <w:fldChar w:fldCharType="end"/>
            </w:r>
            <w:r w:rsidR="0086769E" w:rsidRPr="0086769E">
              <w:rPr>
                <w:sz w:val="18"/>
                <w:szCs w:val="18"/>
                <w:rtl/>
              </w:rPr>
              <w:t xml:space="preserve">, </w:t>
            </w:r>
            <w:r w:rsidR="0086769E" w:rsidRPr="0086769E">
              <w:rPr>
                <w:rFonts w:hint="eastAsia"/>
                <w:sz w:val="18"/>
                <w:szCs w:val="18"/>
                <w:rtl/>
              </w:rPr>
              <w:t>בסך</w:t>
            </w:r>
            <w:r w:rsidR="0086769E" w:rsidRPr="0086769E">
              <w:rPr>
                <w:sz w:val="18"/>
                <w:szCs w:val="18"/>
                <w:rtl/>
              </w:rPr>
              <w:t xml:space="preserve"> ___, ___ </w:t>
            </w:r>
            <w:r w:rsidR="0086769E" w:rsidRPr="0086769E">
              <w:rPr>
                <w:rFonts w:hint="eastAsia"/>
                <w:sz w:val="18"/>
                <w:szCs w:val="18"/>
                <w:rtl/>
              </w:rPr>
              <w:t>מיליוני</w:t>
            </w:r>
            <w:r w:rsidR="0086769E" w:rsidRPr="0086769E">
              <w:rPr>
                <w:sz w:val="18"/>
                <w:szCs w:val="18"/>
                <w:rtl/>
              </w:rPr>
              <w:t xml:space="preserve"> </w:t>
            </w:r>
            <w:r w:rsidR="0086769E" w:rsidRPr="0086769E">
              <w:rPr>
                <w:rFonts w:hint="eastAsia"/>
                <w:sz w:val="18"/>
                <w:szCs w:val="18"/>
                <w:rtl/>
              </w:rPr>
              <w:t>ש</w:t>
            </w:r>
            <w:r w:rsidR="0086769E" w:rsidRPr="0086769E">
              <w:rPr>
                <w:sz w:val="18"/>
                <w:szCs w:val="18"/>
                <w:rtl/>
              </w:rPr>
              <w:t xml:space="preserve">"ח, </w:t>
            </w:r>
            <w:r w:rsidR="0086769E" w:rsidRPr="0086769E">
              <w:rPr>
                <w:rFonts w:hint="eastAsia"/>
                <w:sz w:val="18"/>
                <w:szCs w:val="18"/>
                <w:rtl/>
              </w:rPr>
              <w:t>בהתאמה</w:t>
            </w:r>
            <w:r w:rsidR="0086769E" w:rsidRPr="0086769E">
              <w:rPr>
                <w:rFonts w:hint="cs"/>
                <w:sz w:val="18"/>
                <w:szCs w:val="18"/>
                <w:rtl/>
              </w:rPr>
              <w:t>).</w:t>
            </w:r>
          </w:p>
        </w:tc>
      </w:tr>
      <w:tr w:rsidR="00795BC1" w:rsidRPr="0086769E" w14:paraId="2588DB38" w14:textId="77777777" w:rsidTr="0086769E">
        <w:trPr>
          <w:trHeight w:val="245"/>
        </w:trPr>
        <w:tc>
          <w:tcPr>
            <w:tcW w:w="426" w:type="dxa"/>
          </w:tcPr>
          <w:p w14:paraId="63631DF3" w14:textId="77777777" w:rsidR="00795BC1" w:rsidRPr="0086769E" w:rsidRDefault="00795BC1" w:rsidP="00FE40C9">
            <w:pPr>
              <w:ind w:right="-288"/>
              <w:rPr>
                <w:sz w:val="18"/>
                <w:szCs w:val="18"/>
                <w:rtl/>
              </w:rPr>
            </w:pPr>
            <w:r w:rsidRPr="0086769E">
              <w:rPr>
                <w:sz w:val="18"/>
                <w:szCs w:val="18"/>
                <w:rtl/>
              </w:rPr>
              <w:t>(</w:t>
            </w:r>
            <w:r w:rsidRPr="0086769E">
              <w:rPr>
                <w:rFonts w:hint="eastAsia"/>
                <w:sz w:val="18"/>
                <w:szCs w:val="18"/>
                <w:rtl/>
              </w:rPr>
              <w:t>ה</w:t>
            </w:r>
            <w:r w:rsidRPr="0086769E">
              <w:rPr>
                <w:sz w:val="18"/>
                <w:szCs w:val="18"/>
                <w:rtl/>
              </w:rPr>
              <w:t>)</w:t>
            </w:r>
          </w:p>
        </w:tc>
        <w:tc>
          <w:tcPr>
            <w:tcW w:w="9646" w:type="dxa"/>
          </w:tcPr>
          <w:p w14:paraId="6C80D56E" w14:textId="0525E9C9" w:rsidR="00795BC1" w:rsidRPr="0086769E" w:rsidRDefault="00795BC1" w:rsidP="00FE40C9">
            <w:pPr>
              <w:rPr>
                <w:sz w:val="18"/>
                <w:szCs w:val="18"/>
                <w:rtl/>
              </w:rPr>
            </w:pPr>
            <w:r w:rsidRPr="0086769E">
              <w:rPr>
                <w:rFonts w:hint="cs"/>
                <w:sz w:val="18"/>
                <w:szCs w:val="18"/>
                <w:rtl/>
              </w:rPr>
              <w:t xml:space="preserve">מזה: נסחרים בבורסה בסך  </w:t>
            </w:r>
            <w:r w:rsidRPr="0086769E">
              <w:rPr>
                <w:sz w:val="18"/>
                <w:szCs w:val="18"/>
                <w:rtl/>
              </w:rPr>
              <w:t>___</w:t>
            </w:r>
            <w:r w:rsidRPr="0086769E">
              <w:rPr>
                <w:rFonts w:hint="cs"/>
                <w:sz w:val="18"/>
                <w:szCs w:val="18"/>
                <w:rtl/>
              </w:rPr>
              <w:t xml:space="preserve"> מיליוני ש"ח </w:t>
            </w:r>
            <w:r w:rsidR="0086769E" w:rsidRPr="0086769E">
              <w:rPr>
                <w:sz w:val="18"/>
                <w:szCs w:val="18"/>
                <w:rtl/>
              </w:rPr>
              <w:t>(</w:t>
            </w:r>
            <w:r w:rsidR="0086769E" w:rsidRPr="0086769E">
              <w:rPr>
                <w:rFonts w:hint="eastAsia"/>
                <w:sz w:val="18"/>
                <w:szCs w:val="18"/>
                <w:rtl/>
              </w:rPr>
              <w:t>ליום</w:t>
            </w:r>
            <w:r w:rsidR="0086769E" w:rsidRPr="0086769E">
              <w:rPr>
                <w:sz w:val="18"/>
                <w:szCs w:val="18"/>
                <w:rtl/>
              </w:rPr>
              <w:t xml:space="preserve"> 30 ביוני </w:t>
            </w:r>
            <w:r w:rsidR="0086769E" w:rsidRPr="0086769E">
              <w:rPr>
                <w:sz w:val="18"/>
                <w:szCs w:val="18"/>
                <w:rtl/>
              </w:rPr>
              <w:fldChar w:fldCharType="begin"/>
            </w:r>
            <w:r w:rsidR="0086769E" w:rsidRPr="0086769E">
              <w:rPr>
                <w:sz w:val="18"/>
                <w:szCs w:val="18"/>
                <w:rtl/>
              </w:rPr>
              <w:instrText xml:space="preserve"> </w:instrText>
            </w:r>
            <w:r w:rsidR="0086769E" w:rsidRPr="0086769E">
              <w:rPr>
                <w:rFonts w:hint="cs"/>
                <w:sz w:val="18"/>
                <w:szCs w:val="18"/>
                <w:rtl/>
              </w:rPr>
              <w:instrText xml:space="preserve">= </w:instrText>
            </w:r>
            <w:r w:rsidR="0086769E" w:rsidRPr="0086769E">
              <w:rPr>
                <w:rFonts w:hint="cs"/>
                <w:sz w:val="18"/>
                <w:szCs w:val="18"/>
              </w:rPr>
              <w:instrText>CY</w:instrText>
            </w:r>
            <w:r w:rsidR="0086769E" w:rsidRPr="0086769E">
              <w:rPr>
                <w:sz w:val="18"/>
                <w:szCs w:val="18"/>
              </w:rPr>
              <w:instrText>-1</w:instrText>
            </w:r>
            <w:r w:rsidR="0086769E" w:rsidRPr="0086769E">
              <w:rPr>
                <w:rFonts w:hint="cs"/>
                <w:sz w:val="18"/>
                <w:szCs w:val="18"/>
              </w:rPr>
              <w:instrText xml:space="preserve"> \* MERGEFORMAT</w:instrText>
            </w:r>
            <w:r w:rsidR="0086769E" w:rsidRPr="0086769E">
              <w:rPr>
                <w:sz w:val="18"/>
                <w:szCs w:val="18"/>
                <w:rtl/>
              </w:rPr>
              <w:instrText xml:space="preserve"> </w:instrText>
            </w:r>
            <w:r w:rsidR="0086769E" w:rsidRPr="0086769E">
              <w:rPr>
                <w:sz w:val="18"/>
                <w:szCs w:val="18"/>
                <w:rtl/>
              </w:rPr>
              <w:fldChar w:fldCharType="separate"/>
            </w:r>
            <w:r w:rsidR="003A584F">
              <w:rPr>
                <w:noProof/>
                <w:sz w:val="18"/>
                <w:szCs w:val="18"/>
                <w:rtl/>
              </w:rPr>
              <w:t>2023</w:t>
            </w:r>
            <w:r w:rsidR="0086769E" w:rsidRPr="0086769E">
              <w:rPr>
                <w:sz w:val="18"/>
                <w:szCs w:val="18"/>
                <w:rtl/>
              </w:rPr>
              <w:fldChar w:fldCharType="end"/>
            </w:r>
            <w:r w:rsidR="0086769E" w:rsidRPr="0086769E">
              <w:rPr>
                <w:rFonts w:hint="cs"/>
                <w:sz w:val="18"/>
                <w:szCs w:val="18"/>
                <w:rtl/>
              </w:rPr>
              <w:t xml:space="preserve"> </w:t>
            </w:r>
            <w:r w:rsidR="0086769E" w:rsidRPr="0086769E">
              <w:rPr>
                <w:sz w:val="18"/>
                <w:szCs w:val="18"/>
                <w:rtl/>
              </w:rPr>
              <w:t xml:space="preserve">וליום 31 בדצמבר </w:t>
            </w:r>
            <w:r w:rsidR="0086769E" w:rsidRPr="0086769E">
              <w:rPr>
                <w:sz w:val="18"/>
                <w:szCs w:val="18"/>
                <w:rtl/>
              </w:rPr>
              <w:fldChar w:fldCharType="begin"/>
            </w:r>
            <w:r w:rsidR="0086769E" w:rsidRPr="0086769E">
              <w:rPr>
                <w:sz w:val="18"/>
                <w:szCs w:val="18"/>
                <w:rtl/>
              </w:rPr>
              <w:instrText xml:space="preserve"> </w:instrText>
            </w:r>
            <w:r w:rsidR="0086769E" w:rsidRPr="0086769E">
              <w:rPr>
                <w:rFonts w:hint="cs"/>
                <w:sz w:val="18"/>
                <w:szCs w:val="18"/>
                <w:rtl/>
              </w:rPr>
              <w:instrText xml:space="preserve">= </w:instrText>
            </w:r>
            <w:r w:rsidR="0086769E" w:rsidRPr="0086769E">
              <w:rPr>
                <w:rFonts w:hint="cs"/>
                <w:sz w:val="18"/>
                <w:szCs w:val="18"/>
              </w:rPr>
              <w:instrText>CY</w:instrText>
            </w:r>
            <w:r w:rsidR="0086769E" w:rsidRPr="0086769E">
              <w:rPr>
                <w:sz w:val="18"/>
                <w:szCs w:val="18"/>
              </w:rPr>
              <w:instrText>-1</w:instrText>
            </w:r>
            <w:r w:rsidR="0086769E" w:rsidRPr="0086769E">
              <w:rPr>
                <w:rFonts w:hint="cs"/>
                <w:sz w:val="18"/>
                <w:szCs w:val="18"/>
              </w:rPr>
              <w:instrText xml:space="preserve"> \* MERGEFORMAT</w:instrText>
            </w:r>
            <w:r w:rsidR="0086769E" w:rsidRPr="0086769E">
              <w:rPr>
                <w:sz w:val="18"/>
                <w:szCs w:val="18"/>
                <w:rtl/>
              </w:rPr>
              <w:instrText xml:space="preserve"> </w:instrText>
            </w:r>
            <w:r w:rsidR="0086769E" w:rsidRPr="0086769E">
              <w:rPr>
                <w:sz w:val="18"/>
                <w:szCs w:val="18"/>
                <w:rtl/>
              </w:rPr>
              <w:fldChar w:fldCharType="separate"/>
            </w:r>
            <w:r w:rsidR="003A584F">
              <w:rPr>
                <w:noProof/>
                <w:sz w:val="18"/>
                <w:szCs w:val="18"/>
                <w:rtl/>
              </w:rPr>
              <w:t>2023</w:t>
            </w:r>
            <w:r w:rsidR="0086769E" w:rsidRPr="0086769E">
              <w:rPr>
                <w:sz w:val="18"/>
                <w:szCs w:val="18"/>
                <w:rtl/>
              </w:rPr>
              <w:fldChar w:fldCharType="end"/>
            </w:r>
            <w:r w:rsidR="0086769E" w:rsidRPr="0086769E">
              <w:rPr>
                <w:sz w:val="18"/>
                <w:szCs w:val="18"/>
                <w:rtl/>
              </w:rPr>
              <w:t xml:space="preserve">, </w:t>
            </w:r>
            <w:r w:rsidR="0086769E" w:rsidRPr="0086769E">
              <w:rPr>
                <w:rFonts w:hint="eastAsia"/>
                <w:sz w:val="18"/>
                <w:szCs w:val="18"/>
                <w:rtl/>
              </w:rPr>
              <w:t>בסך</w:t>
            </w:r>
            <w:r w:rsidR="0086769E" w:rsidRPr="0086769E">
              <w:rPr>
                <w:sz w:val="18"/>
                <w:szCs w:val="18"/>
                <w:rtl/>
              </w:rPr>
              <w:t xml:space="preserve"> ___, ___ </w:t>
            </w:r>
            <w:r w:rsidR="0086769E" w:rsidRPr="0086769E">
              <w:rPr>
                <w:rFonts w:hint="eastAsia"/>
                <w:sz w:val="18"/>
                <w:szCs w:val="18"/>
                <w:rtl/>
              </w:rPr>
              <w:t>מיליוני</w:t>
            </w:r>
            <w:r w:rsidR="0086769E" w:rsidRPr="0086769E">
              <w:rPr>
                <w:sz w:val="18"/>
                <w:szCs w:val="18"/>
                <w:rtl/>
              </w:rPr>
              <w:t xml:space="preserve"> </w:t>
            </w:r>
            <w:r w:rsidR="0086769E" w:rsidRPr="0086769E">
              <w:rPr>
                <w:rFonts w:hint="eastAsia"/>
                <w:sz w:val="18"/>
                <w:szCs w:val="18"/>
                <w:rtl/>
              </w:rPr>
              <w:t>ש</w:t>
            </w:r>
            <w:r w:rsidR="0086769E" w:rsidRPr="0086769E">
              <w:rPr>
                <w:sz w:val="18"/>
                <w:szCs w:val="18"/>
                <w:rtl/>
              </w:rPr>
              <w:t xml:space="preserve">"ח, </w:t>
            </w:r>
            <w:r w:rsidR="0086769E" w:rsidRPr="0086769E">
              <w:rPr>
                <w:rFonts w:hint="eastAsia"/>
                <w:sz w:val="18"/>
                <w:szCs w:val="18"/>
                <w:rtl/>
              </w:rPr>
              <w:t>בהתאמה</w:t>
            </w:r>
            <w:r w:rsidR="0086769E" w:rsidRPr="0086769E">
              <w:rPr>
                <w:rFonts w:hint="cs"/>
                <w:sz w:val="18"/>
                <w:szCs w:val="18"/>
                <w:rtl/>
              </w:rPr>
              <w:t>).</w:t>
            </w:r>
          </w:p>
        </w:tc>
      </w:tr>
    </w:tbl>
    <w:p w14:paraId="01D229DE" w14:textId="77777777" w:rsidR="006A5664" w:rsidRDefault="006A5664" w:rsidP="00CE3FC5">
      <w:pPr>
        <w:tabs>
          <w:tab w:val="left" w:pos="2070"/>
        </w:tabs>
        <w:rPr>
          <w:rtl/>
        </w:rPr>
        <w:sectPr w:rsidR="006A5664" w:rsidSect="00587121">
          <w:footnotePr>
            <w:numRestart w:val="eachPage"/>
          </w:footnotePr>
          <w:pgSz w:w="11909" w:h="16834" w:code="9"/>
          <w:pgMar w:top="851" w:right="851" w:bottom="851" w:left="851" w:header="720" w:footer="720" w:gutter="0"/>
          <w:cols w:space="720"/>
          <w:bidi/>
          <w:rtlGutter/>
          <w:docGrid w:linePitch="360"/>
        </w:sectPr>
      </w:pPr>
    </w:p>
    <w:tbl>
      <w:tblPr>
        <w:bidiVisual/>
        <w:tblW w:w="4905" w:type="pct"/>
        <w:tblLook w:val="04A0" w:firstRow="1" w:lastRow="0" w:firstColumn="1" w:lastColumn="0" w:noHBand="0" w:noVBand="1"/>
      </w:tblPr>
      <w:tblGrid>
        <w:gridCol w:w="1635"/>
        <w:gridCol w:w="48"/>
        <w:gridCol w:w="358"/>
        <w:gridCol w:w="376"/>
        <w:gridCol w:w="734"/>
        <w:gridCol w:w="611"/>
        <w:gridCol w:w="736"/>
        <w:gridCol w:w="734"/>
        <w:gridCol w:w="614"/>
        <w:gridCol w:w="224"/>
        <w:gridCol w:w="762"/>
        <w:gridCol w:w="736"/>
        <w:gridCol w:w="615"/>
        <w:gridCol w:w="737"/>
        <w:gridCol w:w="736"/>
        <w:gridCol w:w="612"/>
        <w:gridCol w:w="260"/>
        <w:gridCol w:w="828"/>
        <w:gridCol w:w="734"/>
        <w:gridCol w:w="673"/>
        <w:gridCol w:w="734"/>
        <w:gridCol w:w="736"/>
        <w:gridCol w:w="611"/>
      </w:tblGrid>
      <w:tr w:rsidR="006A5664" w:rsidRPr="00543C25" w14:paraId="2E9158A3" w14:textId="77777777" w:rsidTr="00920568">
        <w:trPr>
          <w:trHeight w:val="259"/>
        </w:trPr>
        <w:tc>
          <w:tcPr>
            <w:tcW w:w="1672" w:type="dxa"/>
          </w:tcPr>
          <w:p w14:paraId="66E2A9B7" w14:textId="77777777" w:rsidR="006A5664" w:rsidRPr="00030C7C" w:rsidRDefault="006A5664" w:rsidP="000A69A2">
            <w:pPr>
              <w:pStyle w:val="-fa"/>
              <w:ind w:right="-142"/>
              <w:rPr>
                <w:spacing w:val="-4"/>
                <w:rtl/>
              </w:rPr>
            </w:pPr>
          </w:p>
        </w:tc>
        <w:tc>
          <w:tcPr>
            <w:tcW w:w="13174" w:type="dxa"/>
            <w:gridSpan w:val="22"/>
          </w:tcPr>
          <w:p w14:paraId="2095D176" w14:textId="77777777" w:rsidR="006A5664" w:rsidRDefault="006A5664" w:rsidP="000A69A2">
            <w:pPr>
              <w:pStyle w:val="-8"/>
              <w:rPr>
                <w:rtl/>
              </w:rPr>
            </w:pPr>
            <w:r w:rsidRPr="007369EE">
              <w:rPr>
                <w:rFonts w:eastAsia="Arial Unicode MS"/>
                <w:rtl/>
              </w:rPr>
              <w:t xml:space="preserve">ביאור </w:t>
            </w:r>
            <w:r>
              <w:rPr>
                <w:rFonts w:eastAsia="Arial Unicode MS" w:hint="cs"/>
                <w:rtl/>
              </w:rPr>
              <w:t>10</w:t>
            </w:r>
            <w:r w:rsidRPr="007369EE">
              <w:rPr>
                <w:rFonts w:eastAsia="Arial Unicode MS" w:hint="cs"/>
                <w:rtl/>
              </w:rPr>
              <w:t xml:space="preserve">  </w:t>
            </w:r>
            <w:r w:rsidRPr="007369EE">
              <w:rPr>
                <w:rFonts w:eastAsia="Arial Unicode MS"/>
                <w:rtl/>
              </w:rPr>
              <w:t>-</w:t>
            </w:r>
            <w:r w:rsidRPr="007369EE">
              <w:rPr>
                <w:rFonts w:eastAsia="Arial Unicode MS" w:hint="cs"/>
                <w:rtl/>
              </w:rPr>
              <w:t xml:space="preserve"> </w:t>
            </w:r>
            <w:r w:rsidRPr="007369EE">
              <w:rPr>
                <w:rFonts w:eastAsia="Arial Unicode MS"/>
                <w:rtl/>
              </w:rPr>
              <w:t xml:space="preserve"> </w:t>
            </w:r>
            <w:r>
              <w:rPr>
                <w:rFonts w:hint="cs"/>
                <w:rtl/>
              </w:rPr>
              <w:t xml:space="preserve">פעילות במכשירים נגזרים </w:t>
            </w:r>
            <w:r>
              <w:t>-</w:t>
            </w:r>
            <w:r>
              <w:rPr>
                <w:rFonts w:hint="cs"/>
                <w:rtl/>
              </w:rPr>
              <w:t xml:space="preserve"> היקף, סיכוני אשראי ומועדי פירעון (המשך):</w:t>
            </w:r>
          </w:p>
        </w:tc>
      </w:tr>
      <w:tr w:rsidR="006A5664" w:rsidRPr="007363C7" w14:paraId="077F88E1" w14:textId="77777777" w:rsidTr="00920568">
        <w:tblPrEx>
          <w:jc w:val="right"/>
          <w:tblLook w:val="0000" w:firstRow="0" w:lastRow="0" w:firstColumn="0" w:lastColumn="0" w:noHBand="0" w:noVBand="0"/>
        </w:tblPrEx>
        <w:trPr>
          <w:trHeight w:val="245"/>
          <w:jc w:val="right"/>
        </w:trPr>
        <w:tc>
          <w:tcPr>
            <w:tcW w:w="1672" w:type="dxa"/>
          </w:tcPr>
          <w:p w14:paraId="1902249B" w14:textId="77777777" w:rsidR="006A5664" w:rsidRDefault="006A5664" w:rsidP="000A69A2">
            <w:pPr>
              <w:pStyle w:val="-fa"/>
              <w:spacing w:before="0"/>
              <w:ind w:right="-142"/>
              <w:rPr>
                <w:spacing w:val="-4"/>
                <w:rtl/>
              </w:rPr>
            </w:pPr>
            <w:r w:rsidRPr="00030C7C">
              <w:rPr>
                <w:rFonts w:hint="eastAsia"/>
                <w:spacing w:val="-4"/>
                <w:rtl/>
              </w:rPr>
              <w:t>מתכונת</w:t>
            </w:r>
            <w:r w:rsidRPr="00030C7C">
              <w:rPr>
                <w:spacing w:val="-4"/>
                <w:rtl/>
              </w:rPr>
              <w:t xml:space="preserve"> </w:t>
            </w:r>
            <w:r w:rsidRPr="00030C7C">
              <w:rPr>
                <w:spacing w:val="-4"/>
                <w:rtl/>
              </w:rPr>
              <w:br w:type="page"/>
            </w:r>
            <w:r w:rsidRPr="00030C7C">
              <w:rPr>
                <w:rFonts w:hint="eastAsia"/>
                <w:spacing w:val="-4"/>
                <w:rtl/>
              </w:rPr>
              <w:t>ביאור</w:t>
            </w:r>
          </w:p>
          <w:p w14:paraId="02431B6A" w14:textId="77777777" w:rsidR="006A5664" w:rsidRPr="00E748B9" w:rsidRDefault="006A5664" w:rsidP="000A69A2">
            <w:pPr>
              <w:pStyle w:val="-fa"/>
              <w:spacing w:before="0"/>
              <w:ind w:right="-142"/>
              <w:rPr>
                <w:b/>
                <w:bCs/>
                <w:spacing w:val="-4"/>
                <w:sz w:val="20"/>
                <w:szCs w:val="20"/>
                <w:rtl/>
              </w:rPr>
            </w:pPr>
            <w:r w:rsidRPr="00030C7C">
              <w:rPr>
                <w:spacing w:val="-4"/>
                <w:rtl/>
              </w:rPr>
              <w:t xml:space="preserve"> </w:t>
            </w:r>
            <w:r w:rsidRPr="00030C7C">
              <w:rPr>
                <w:rFonts w:hint="eastAsia"/>
                <w:spacing w:val="-4"/>
                <w:rtl/>
              </w:rPr>
              <w:t>עמ</w:t>
            </w:r>
            <w:r w:rsidRPr="00030C7C">
              <w:rPr>
                <w:spacing w:val="-4"/>
                <w:rtl/>
              </w:rPr>
              <w:t>' 663-</w:t>
            </w:r>
            <w:r>
              <w:rPr>
                <w:rFonts w:hint="cs"/>
                <w:spacing w:val="-4"/>
                <w:rtl/>
              </w:rPr>
              <w:t>34</w:t>
            </w:r>
          </w:p>
        </w:tc>
        <w:tc>
          <w:tcPr>
            <w:tcW w:w="406" w:type="dxa"/>
            <w:gridSpan w:val="2"/>
          </w:tcPr>
          <w:p w14:paraId="637F6176" w14:textId="77777777" w:rsidR="006A5664" w:rsidRDefault="006A5664" w:rsidP="000A69A2">
            <w:pPr>
              <w:pStyle w:val="-f4"/>
              <w:spacing w:line="240" w:lineRule="auto"/>
              <w:jc w:val="left"/>
              <w:rPr>
                <w:rtl/>
              </w:rPr>
            </w:pPr>
            <w:r>
              <w:rPr>
                <w:rFonts w:hint="cs"/>
                <w:rtl/>
              </w:rPr>
              <w:t>א.</w:t>
            </w:r>
          </w:p>
        </w:tc>
        <w:tc>
          <w:tcPr>
            <w:tcW w:w="12768" w:type="dxa"/>
            <w:gridSpan w:val="20"/>
          </w:tcPr>
          <w:p w14:paraId="28CACF4D" w14:textId="7F659AAF" w:rsidR="006A5664" w:rsidRDefault="006A5664" w:rsidP="000A69A2">
            <w:pPr>
              <w:pStyle w:val="-f4"/>
              <w:spacing w:line="240" w:lineRule="auto"/>
              <w:jc w:val="left"/>
              <w:rPr>
                <w:rtl/>
              </w:rPr>
            </w:pPr>
            <w:r>
              <w:rPr>
                <w:rFonts w:hint="cs"/>
                <w:rtl/>
              </w:rPr>
              <w:t xml:space="preserve">היקף הפעילות על בסיס מאוחד (המשך):   </w:t>
            </w:r>
          </w:p>
        </w:tc>
      </w:tr>
      <w:tr w:rsidR="006A5664" w:rsidRPr="007363C7" w14:paraId="064FA3E2" w14:textId="77777777" w:rsidTr="00920568">
        <w:tblPrEx>
          <w:jc w:val="right"/>
          <w:tblLook w:val="0000" w:firstRow="0" w:lastRow="0" w:firstColumn="0" w:lastColumn="0" w:noHBand="0" w:noVBand="0"/>
        </w:tblPrEx>
        <w:trPr>
          <w:trHeight w:val="245"/>
          <w:jc w:val="right"/>
        </w:trPr>
        <w:tc>
          <w:tcPr>
            <w:tcW w:w="1672" w:type="dxa"/>
          </w:tcPr>
          <w:p w14:paraId="42B2D34A" w14:textId="77777777" w:rsidR="006A5664" w:rsidRPr="00601E8F" w:rsidRDefault="006A5664" w:rsidP="000A69A2">
            <w:pPr>
              <w:pStyle w:val="-fa"/>
              <w:ind w:right="-142"/>
              <w:rPr>
                <w:b/>
                <w:bCs/>
                <w:i/>
                <w:iCs/>
                <w:color w:val="FF0000"/>
                <w:sz w:val="20"/>
                <w:szCs w:val="20"/>
                <w:u w:val="single"/>
                <w:rtl/>
              </w:rPr>
            </w:pPr>
          </w:p>
        </w:tc>
        <w:tc>
          <w:tcPr>
            <w:tcW w:w="406" w:type="dxa"/>
            <w:gridSpan w:val="2"/>
          </w:tcPr>
          <w:p w14:paraId="61609685" w14:textId="77777777" w:rsidR="006A5664" w:rsidRDefault="006A5664" w:rsidP="000A69A2">
            <w:pPr>
              <w:pStyle w:val="-f4"/>
              <w:spacing w:line="240" w:lineRule="auto"/>
              <w:jc w:val="left"/>
              <w:rPr>
                <w:rtl/>
              </w:rPr>
            </w:pPr>
          </w:p>
        </w:tc>
        <w:tc>
          <w:tcPr>
            <w:tcW w:w="12768" w:type="dxa"/>
            <w:gridSpan w:val="20"/>
          </w:tcPr>
          <w:p w14:paraId="517B67F3" w14:textId="77777777" w:rsidR="006A5664" w:rsidRPr="00AA5377" w:rsidRDefault="006A5664" w:rsidP="000A69A2">
            <w:pPr>
              <w:pStyle w:val="-f4"/>
              <w:tabs>
                <w:tab w:val="left" w:pos="299"/>
              </w:tabs>
              <w:spacing w:line="240" w:lineRule="auto"/>
              <w:jc w:val="left"/>
              <w:rPr>
                <w:rtl/>
              </w:rPr>
            </w:pPr>
            <w:r w:rsidRPr="00AA5377">
              <w:rPr>
                <w:rFonts w:hint="cs"/>
                <w:rtl/>
              </w:rPr>
              <w:t>2.</w:t>
            </w:r>
            <w:r w:rsidRPr="00AA5377">
              <w:rPr>
                <w:rtl/>
              </w:rPr>
              <w:tab/>
            </w:r>
            <w:r w:rsidRPr="00AA5377">
              <w:rPr>
                <w:rFonts w:hint="cs"/>
                <w:rtl/>
              </w:rPr>
              <w:t>שווי הוגן ברוטו של מכשירים נגזרים:</w:t>
            </w:r>
          </w:p>
        </w:tc>
      </w:tr>
      <w:tr w:rsidR="00E6519F" w14:paraId="093FE114" w14:textId="74A0CFB9" w:rsidTr="00920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dxa"/>
            <w:gridSpan w:val="2"/>
            <w:tcBorders>
              <w:top w:val="nil"/>
              <w:left w:val="nil"/>
              <w:bottom w:val="nil"/>
              <w:right w:val="nil"/>
            </w:tcBorders>
            <w:vAlign w:val="bottom"/>
          </w:tcPr>
          <w:p w14:paraId="307BE420" w14:textId="77777777" w:rsidR="00E6519F" w:rsidRDefault="00E6519F" w:rsidP="00AE50CF">
            <w:pPr>
              <w:pStyle w:val="-0"/>
              <w:spacing w:before="120" w:line="240" w:lineRule="auto"/>
              <w:ind w:left="57" w:hanging="142"/>
              <w:rPr>
                <w:b/>
                <w:bCs/>
                <w:sz w:val="18"/>
                <w:szCs w:val="18"/>
                <w:rtl/>
              </w:rPr>
            </w:pPr>
          </w:p>
        </w:tc>
        <w:tc>
          <w:tcPr>
            <w:tcW w:w="4165" w:type="dxa"/>
            <w:gridSpan w:val="7"/>
            <w:tcBorders>
              <w:top w:val="nil"/>
              <w:left w:val="nil"/>
              <w:bottom w:val="nil"/>
              <w:right w:val="nil"/>
            </w:tcBorders>
            <w:vAlign w:val="bottom"/>
          </w:tcPr>
          <w:p w14:paraId="338B7CCF" w14:textId="2A1E949D"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 xml:space="preserve">ליום 30 ביוני </w:t>
            </w:r>
            <w:r w:rsidRPr="006F749D">
              <w:rPr>
                <w:b/>
                <w:bCs/>
                <w:sz w:val="18"/>
                <w:szCs w:val="18"/>
                <w:rtl/>
              </w:rPr>
              <w:fldChar w:fldCharType="begin"/>
            </w:r>
            <w:r w:rsidRPr="006F749D">
              <w:rPr>
                <w:b/>
                <w:bCs/>
                <w:sz w:val="18"/>
                <w:szCs w:val="18"/>
                <w:rtl/>
              </w:rPr>
              <w:instrText xml:space="preserve"> = </w:instrText>
            </w:r>
            <w:r w:rsidRPr="006F749D">
              <w:rPr>
                <w:b/>
                <w:bCs/>
                <w:sz w:val="18"/>
                <w:szCs w:val="18"/>
              </w:rPr>
              <w:instrText>CY \* MERGEFORMAT</w:instrText>
            </w:r>
            <w:r w:rsidRPr="006F749D">
              <w:rPr>
                <w:b/>
                <w:bCs/>
                <w:sz w:val="18"/>
                <w:szCs w:val="18"/>
                <w:rtl/>
              </w:rPr>
              <w:instrText xml:space="preserve"> </w:instrText>
            </w:r>
            <w:r w:rsidRPr="006F749D">
              <w:rPr>
                <w:b/>
                <w:bCs/>
                <w:sz w:val="18"/>
                <w:szCs w:val="18"/>
                <w:rtl/>
              </w:rPr>
              <w:fldChar w:fldCharType="separate"/>
            </w:r>
            <w:r>
              <w:rPr>
                <w:b/>
                <w:bCs/>
                <w:noProof/>
                <w:sz w:val="18"/>
                <w:szCs w:val="18"/>
                <w:rtl/>
              </w:rPr>
              <w:t>2024</w:t>
            </w:r>
            <w:r w:rsidRPr="006F749D">
              <w:rPr>
                <w:b/>
                <w:bCs/>
                <w:sz w:val="18"/>
                <w:szCs w:val="18"/>
                <w:rtl/>
              </w:rPr>
              <w:fldChar w:fldCharType="end"/>
            </w:r>
            <w:r w:rsidRPr="006F749D">
              <w:rPr>
                <w:rFonts w:hint="cs"/>
                <w:b/>
                <w:bCs/>
                <w:sz w:val="18"/>
                <w:szCs w:val="18"/>
                <w:rtl/>
              </w:rPr>
              <w:t xml:space="preserve"> </w:t>
            </w:r>
            <w:r w:rsidRPr="006F749D">
              <w:rPr>
                <w:rFonts w:hint="cs"/>
                <w:sz w:val="18"/>
                <w:szCs w:val="18"/>
                <w:rtl/>
              </w:rPr>
              <w:t>(בלתי מבוקר)</w:t>
            </w:r>
          </w:p>
        </w:tc>
        <w:tc>
          <w:tcPr>
            <w:tcW w:w="224" w:type="dxa"/>
            <w:tcBorders>
              <w:top w:val="nil"/>
              <w:left w:val="nil"/>
              <w:bottom w:val="nil"/>
              <w:right w:val="nil"/>
            </w:tcBorders>
          </w:tcPr>
          <w:p w14:paraId="1E09EB3C" w14:textId="77777777" w:rsidR="00E6519F" w:rsidRPr="006F749D" w:rsidRDefault="00E6519F" w:rsidP="00E6519F">
            <w:pPr>
              <w:jc w:val="center"/>
              <w:rPr>
                <w:b/>
                <w:bCs/>
                <w:sz w:val="18"/>
                <w:szCs w:val="18"/>
                <w:rtl/>
              </w:rPr>
            </w:pPr>
          </w:p>
        </w:tc>
        <w:tc>
          <w:tcPr>
            <w:tcW w:w="4204" w:type="dxa"/>
            <w:gridSpan w:val="6"/>
            <w:tcBorders>
              <w:top w:val="nil"/>
              <w:left w:val="nil"/>
              <w:bottom w:val="nil"/>
              <w:right w:val="nil"/>
            </w:tcBorders>
            <w:vAlign w:val="bottom"/>
          </w:tcPr>
          <w:p w14:paraId="7E0648DF" w14:textId="1F265EA7"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 xml:space="preserve">ליום 30 ביוני </w:t>
            </w:r>
            <w:r w:rsidRPr="006F749D">
              <w:rPr>
                <w:b/>
                <w:bCs/>
                <w:sz w:val="18"/>
                <w:szCs w:val="18"/>
                <w:rtl/>
              </w:rPr>
              <w:fldChar w:fldCharType="begin"/>
            </w:r>
            <w:r w:rsidRPr="006F749D">
              <w:rPr>
                <w:b/>
                <w:bCs/>
                <w:sz w:val="18"/>
                <w:szCs w:val="18"/>
                <w:rtl/>
              </w:rPr>
              <w:instrText xml:space="preserve"> = </w:instrText>
            </w:r>
            <w:r w:rsidRPr="006F749D">
              <w:rPr>
                <w:b/>
                <w:bCs/>
                <w:sz w:val="18"/>
                <w:szCs w:val="18"/>
              </w:rPr>
              <w:instrText>CY</w:instrText>
            </w:r>
            <w:r>
              <w:rPr>
                <w:b/>
                <w:bCs/>
                <w:sz w:val="18"/>
                <w:szCs w:val="18"/>
              </w:rPr>
              <w:instrText>-1</w:instrText>
            </w:r>
            <w:r w:rsidRPr="006F749D">
              <w:rPr>
                <w:b/>
                <w:bCs/>
                <w:sz w:val="18"/>
                <w:szCs w:val="18"/>
              </w:rPr>
              <w:instrText xml:space="preserve"> \* MERGEFORMAT</w:instrText>
            </w:r>
            <w:r w:rsidRPr="006F749D">
              <w:rPr>
                <w:b/>
                <w:bCs/>
                <w:sz w:val="18"/>
                <w:szCs w:val="18"/>
                <w:rtl/>
              </w:rPr>
              <w:instrText xml:space="preserve"> </w:instrText>
            </w:r>
            <w:r w:rsidRPr="006F749D">
              <w:rPr>
                <w:b/>
                <w:bCs/>
                <w:sz w:val="18"/>
                <w:szCs w:val="18"/>
                <w:rtl/>
              </w:rPr>
              <w:fldChar w:fldCharType="separate"/>
            </w:r>
            <w:r>
              <w:rPr>
                <w:b/>
                <w:bCs/>
                <w:noProof/>
                <w:sz w:val="18"/>
                <w:szCs w:val="18"/>
                <w:rtl/>
              </w:rPr>
              <w:t>2023</w:t>
            </w:r>
            <w:r w:rsidRPr="006F749D">
              <w:rPr>
                <w:b/>
                <w:bCs/>
                <w:sz w:val="18"/>
                <w:szCs w:val="18"/>
                <w:rtl/>
              </w:rPr>
              <w:fldChar w:fldCharType="end"/>
            </w:r>
            <w:r w:rsidRPr="006F749D">
              <w:rPr>
                <w:rFonts w:hint="cs"/>
                <w:b/>
                <w:bCs/>
                <w:sz w:val="18"/>
                <w:szCs w:val="18"/>
                <w:rtl/>
              </w:rPr>
              <w:t xml:space="preserve"> </w:t>
            </w:r>
            <w:r w:rsidRPr="006F749D">
              <w:rPr>
                <w:rFonts w:hint="cs"/>
                <w:sz w:val="18"/>
                <w:szCs w:val="18"/>
                <w:rtl/>
              </w:rPr>
              <w:t>(בלתי מבוקר)</w:t>
            </w:r>
          </w:p>
        </w:tc>
        <w:tc>
          <w:tcPr>
            <w:tcW w:w="267" w:type="dxa"/>
            <w:tcBorders>
              <w:top w:val="nil"/>
              <w:left w:val="nil"/>
              <w:bottom w:val="nil"/>
              <w:right w:val="nil"/>
            </w:tcBorders>
          </w:tcPr>
          <w:p w14:paraId="49756879" w14:textId="77777777" w:rsidR="00E6519F" w:rsidRPr="006F749D" w:rsidRDefault="00E6519F" w:rsidP="00E6519F">
            <w:pPr>
              <w:jc w:val="center"/>
              <w:rPr>
                <w:b/>
                <w:bCs/>
                <w:sz w:val="18"/>
                <w:szCs w:val="18"/>
                <w:rtl/>
              </w:rPr>
            </w:pPr>
          </w:p>
        </w:tc>
        <w:tc>
          <w:tcPr>
            <w:tcW w:w="4266" w:type="dxa"/>
            <w:gridSpan w:val="6"/>
            <w:tcBorders>
              <w:top w:val="nil"/>
              <w:left w:val="nil"/>
              <w:bottom w:val="nil"/>
              <w:right w:val="nil"/>
            </w:tcBorders>
            <w:vAlign w:val="bottom"/>
          </w:tcPr>
          <w:p w14:paraId="40E92484" w14:textId="0B0E94F6"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 xml:space="preserve">ליום </w:t>
            </w:r>
            <w:r>
              <w:rPr>
                <w:rFonts w:hint="cs"/>
                <w:b/>
                <w:bCs/>
                <w:sz w:val="18"/>
                <w:szCs w:val="18"/>
                <w:rtl/>
              </w:rPr>
              <w:t>31</w:t>
            </w:r>
            <w:r w:rsidRPr="006F749D">
              <w:rPr>
                <w:rFonts w:hint="cs"/>
                <w:b/>
                <w:bCs/>
                <w:sz w:val="18"/>
                <w:szCs w:val="18"/>
                <w:rtl/>
              </w:rPr>
              <w:t xml:space="preserve"> </w:t>
            </w:r>
            <w:r>
              <w:rPr>
                <w:rFonts w:hint="cs"/>
                <w:b/>
                <w:bCs/>
                <w:sz w:val="18"/>
                <w:szCs w:val="18"/>
                <w:rtl/>
              </w:rPr>
              <w:t>בדצמבר</w:t>
            </w:r>
            <w:r w:rsidRPr="006F749D">
              <w:rPr>
                <w:rFonts w:hint="cs"/>
                <w:b/>
                <w:bCs/>
                <w:sz w:val="18"/>
                <w:szCs w:val="18"/>
                <w:rtl/>
              </w:rPr>
              <w:t xml:space="preserve"> </w:t>
            </w:r>
            <w:r w:rsidRPr="006F749D">
              <w:rPr>
                <w:b/>
                <w:bCs/>
                <w:sz w:val="18"/>
                <w:szCs w:val="18"/>
                <w:rtl/>
              </w:rPr>
              <w:fldChar w:fldCharType="begin"/>
            </w:r>
            <w:r w:rsidRPr="006F749D">
              <w:rPr>
                <w:b/>
                <w:bCs/>
                <w:sz w:val="18"/>
                <w:szCs w:val="18"/>
                <w:rtl/>
              </w:rPr>
              <w:instrText xml:space="preserve"> = </w:instrText>
            </w:r>
            <w:r w:rsidRPr="006F749D">
              <w:rPr>
                <w:b/>
                <w:bCs/>
                <w:sz w:val="18"/>
                <w:szCs w:val="18"/>
              </w:rPr>
              <w:instrText>CY</w:instrText>
            </w:r>
            <w:r>
              <w:rPr>
                <w:b/>
                <w:bCs/>
                <w:sz w:val="18"/>
                <w:szCs w:val="18"/>
              </w:rPr>
              <w:instrText>-1</w:instrText>
            </w:r>
            <w:r w:rsidRPr="006F749D">
              <w:rPr>
                <w:b/>
                <w:bCs/>
                <w:sz w:val="18"/>
                <w:szCs w:val="18"/>
              </w:rPr>
              <w:instrText xml:space="preserve"> \* MERGEFORMAT</w:instrText>
            </w:r>
            <w:r w:rsidRPr="006F749D">
              <w:rPr>
                <w:b/>
                <w:bCs/>
                <w:sz w:val="18"/>
                <w:szCs w:val="18"/>
                <w:rtl/>
              </w:rPr>
              <w:instrText xml:space="preserve"> </w:instrText>
            </w:r>
            <w:r w:rsidRPr="006F749D">
              <w:rPr>
                <w:b/>
                <w:bCs/>
                <w:sz w:val="18"/>
                <w:szCs w:val="18"/>
                <w:rtl/>
              </w:rPr>
              <w:fldChar w:fldCharType="separate"/>
            </w:r>
            <w:r>
              <w:rPr>
                <w:b/>
                <w:bCs/>
                <w:noProof/>
                <w:sz w:val="18"/>
                <w:szCs w:val="18"/>
                <w:rtl/>
              </w:rPr>
              <w:t>2023</w:t>
            </w:r>
            <w:r w:rsidRPr="006F749D">
              <w:rPr>
                <w:b/>
                <w:bCs/>
                <w:sz w:val="18"/>
                <w:szCs w:val="18"/>
                <w:rtl/>
              </w:rPr>
              <w:fldChar w:fldCharType="end"/>
            </w:r>
            <w:r w:rsidRPr="006F749D">
              <w:rPr>
                <w:rFonts w:hint="cs"/>
                <w:b/>
                <w:bCs/>
                <w:sz w:val="18"/>
                <w:szCs w:val="18"/>
                <w:rtl/>
              </w:rPr>
              <w:t xml:space="preserve"> </w:t>
            </w:r>
            <w:r w:rsidRPr="006F749D">
              <w:rPr>
                <w:rFonts w:hint="cs"/>
                <w:sz w:val="18"/>
                <w:szCs w:val="18"/>
                <w:rtl/>
              </w:rPr>
              <w:t>(בלתי מבוקר)</w:t>
            </w:r>
          </w:p>
        </w:tc>
      </w:tr>
      <w:tr w:rsidR="00E6519F" w14:paraId="094740E8" w14:textId="4B2AA5D5" w:rsidTr="00920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dxa"/>
            <w:gridSpan w:val="2"/>
            <w:tcBorders>
              <w:top w:val="nil"/>
              <w:left w:val="nil"/>
              <w:bottom w:val="nil"/>
              <w:right w:val="nil"/>
            </w:tcBorders>
            <w:vAlign w:val="bottom"/>
          </w:tcPr>
          <w:p w14:paraId="4C50EB02" w14:textId="77777777" w:rsidR="00E6519F" w:rsidRDefault="00E6519F" w:rsidP="00E6519F">
            <w:pPr>
              <w:pStyle w:val="-0"/>
              <w:spacing w:line="240" w:lineRule="auto"/>
              <w:ind w:left="57"/>
              <w:rPr>
                <w:b/>
                <w:bCs/>
                <w:sz w:val="18"/>
                <w:szCs w:val="18"/>
                <w:rtl/>
              </w:rPr>
            </w:pPr>
          </w:p>
        </w:tc>
        <w:tc>
          <w:tcPr>
            <w:tcW w:w="2079" w:type="dxa"/>
            <w:gridSpan w:val="4"/>
            <w:tcBorders>
              <w:top w:val="nil"/>
              <w:left w:val="nil"/>
              <w:bottom w:val="nil"/>
              <w:right w:val="nil"/>
            </w:tcBorders>
            <w:vAlign w:val="bottom"/>
            <w:hideMark/>
          </w:tcPr>
          <w:p w14:paraId="57547A7A" w14:textId="77777777" w:rsidR="00E6519F" w:rsidRPr="006F749D" w:rsidRDefault="00E6519F" w:rsidP="00E6519F">
            <w:pPr>
              <w:pBdr>
                <w:bottom w:val="single" w:sz="6" w:space="1" w:color="auto"/>
              </w:pBdr>
              <w:jc w:val="center"/>
              <w:rPr>
                <w:b/>
                <w:bCs/>
                <w:sz w:val="18"/>
                <w:szCs w:val="18"/>
                <w:rtl/>
              </w:rPr>
            </w:pPr>
            <w:r w:rsidRPr="006F749D">
              <w:rPr>
                <w:rFonts w:hint="cs"/>
                <w:b/>
                <w:bCs/>
                <w:sz w:val="18"/>
                <w:szCs w:val="18"/>
                <w:rtl/>
              </w:rPr>
              <w:t>נכסים בגין נגזרים ברוטו</w:t>
            </w:r>
          </w:p>
        </w:tc>
        <w:tc>
          <w:tcPr>
            <w:tcW w:w="2086" w:type="dxa"/>
            <w:gridSpan w:val="3"/>
            <w:tcBorders>
              <w:top w:val="nil"/>
              <w:left w:val="nil"/>
              <w:bottom w:val="nil"/>
              <w:right w:val="nil"/>
            </w:tcBorders>
            <w:hideMark/>
          </w:tcPr>
          <w:p w14:paraId="5EEB707C" w14:textId="77777777" w:rsidR="00E6519F" w:rsidRPr="006F749D" w:rsidRDefault="00E6519F" w:rsidP="00E6519F">
            <w:pPr>
              <w:pBdr>
                <w:bottom w:val="single" w:sz="6" w:space="1" w:color="auto"/>
              </w:pBdr>
              <w:jc w:val="center"/>
              <w:rPr>
                <w:b/>
                <w:bCs/>
                <w:sz w:val="18"/>
                <w:szCs w:val="18"/>
                <w:rtl/>
              </w:rPr>
            </w:pPr>
            <w:r w:rsidRPr="006F749D">
              <w:rPr>
                <w:rFonts w:hint="cs"/>
                <w:b/>
                <w:bCs/>
                <w:sz w:val="18"/>
                <w:szCs w:val="18"/>
                <w:rtl/>
              </w:rPr>
              <w:t>התחייבויות בגין נגזרים ברוטו</w:t>
            </w:r>
          </w:p>
        </w:tc>
        <w:tc>
          <w:tcPr>
            <w:tcW w:w="224" w:type="dxa"/>
            <w:tcBorders>
              <w:top w:val="nil"/>
              <w:left w:val="nil"/>
              <w:bottom w:val="nil"/>
              <w:right w:val="nil"/>
            </w:tcBorders>
          </w:tcPr>
          <w:p w14:paraId="6B6112BE" w14:textId="77777777" w:rsidR="00E6519F" w:rsidRPr="006F749D" w:rsidRDefault="00E6519F" w:rsidP="00E6519F">
            <w:pPr>
              <w:jc w:val="center"/>
              <w:rPr>
                <w:b/>
                <w:bCs/>
                <w:sz w:val="18"/>
                <w:szCs w:val="18"/>
                <w:rtl/>
              </w:rPr>
            </w:pPr>
          </w:p>
        </w:tc>
        <w:tc>
          <w:tcPr>
            <w:tcW w:w="2119" w:type="dxa"/>
            <w:gridSpan w:val="3"/>
            <w:tcBorders>
              <w:top w:val="nil"/>
              <w:left w:val="nil"/>
              <w:bottom w:val="nil"/>
              <w:right w:val="nil"/>
            </w:tcBorders>
            <w:vAlign w:val="bottom"/>
          </w:tcPr>
          <w:p w14:paraId="2C82FB62" w14:textId="7D9229F8" w:rsidR="00E6519F" w:rsidRPr="006F749D" w:rsidRDefault="00E6519F" w:rsidP="00E6519F">
            <w:pPr>
              <w:pBdr>
                <w:bottom w:val="single" w:sz="6" w:space="1" w:color="auto"/>
              </w:pBdr>
              <w:jc w:val="center"/>
              <w:rPr>
                <w:b/>
                <w:bCs/>
                <w:sz w:val="18"/>
                <w:szCs w:val="18"/>
                <w:rtl/>
              </w:rPr>
            </w:pPr>
            <w:r w:rsidRPr="006F749D">
              <w:rPr>
                <w:rFonts w:hint="cs"/>
                <w:b/>
                <w:bCs/>
                <w:sz w:val="18"/>
                <w:szCs w:val="18"/>
                <w:rtl/>
              </w:rPr>
              <w:t>נכסים בגין נגזרים ברוטו</w:t>
            </w:r>
          </w:p>
        </w:tc>
        <w:tc>
          <w:tcPr>
            <w:tcW w:w="2085" w:type="dxa"/>
            <w:gridSpan w:val="3"/>
            <w:tcBorders>
              <w:top w:val="nil"/>
              <w:left w:val="nil"/>
              <w:bottom w:val="nil"/>
              <w:right w:val="nil"/>
            </w:tcBorders>
            <w:vAlign w:val="bottom"/>
          </w:tcPr>
          <w:p w14:paraId="37F2B9DD" w14:textId="59416127" w:rsidR="00E6519F" w:rsidRPr="006F749D" w:rsidRDefault="00E6519F" w:rsidP="00E6519F">
            <w:pPr>
              <w:pBdr>
                <w:bottom w:val="single" w:sz="6" w:space="1" w:color="auto"/>
              </w:pBdr>
              <w:jc w:val="center"/>
              <w:rPr>
                <w:b/>
                <w:bCs/>
                <w:sz w:val="18"/>
                <w:szCs w:val="18"/>
                <w:rtl/>
              </w:rPr>
            </w:pPr>
            <w:r w:rsidRPr="006F749D">
              <w:rPr>
                <w:rFonts w:hint="cs"/>
                <w:b/>
                <w:bCs/>
                <w:sz w:val="18"/>
                <w:szCs w:val="18"/>
                <w:rtl/>
              </w:rPr>
              <w:t>נכסים בגין נגזרים ברוטו</w:t>
            </w:r>
          </w:p>
        </w:tc>
        <w:tc>
          <w:tcPr>
            <w:tcW w:w="267" w:type="dxa"/>
            <w:tcBorders>
              <w:top w:val="nil"/>
              <w:left w:val="nil"/>
              <w:bottom w:val="nil"/>
              <w:right w:val="nil"/>
            </w:tcBorders>
          </w:tcPr>
          <w:p w14:paraId="03D001D3" w14:textId="77777777" w:rsidR="00E6519F" w:rsidRPr="006F749D" w:rsidRDefault="00E6519F" w:rsidP="00E6519F">
            <w:pPr>
              <w:jc w:val="center"/>
              <w:rPr>
                <w:b/>
                <w:bCs/>
                <w:sz w:val="18"/>
                <w:szCs w:val="18"/>
                <w:rtl/>
              </w:rPr>
            </w:pPr>
          </w:p>
        </w:tc>
        <w:tc>
          <w:tcPr>
            <w:tcW w:w="2264" w:type="dxa"/>
            <w:gridSpan w:val="3"/>
            <w:tcBorders>
              <w:top w:val="nil"/>
              <w:left w:val="nil"/>
              <w:bottom w:val="nil"/>
              <w:right w:val="nil"/>
            </w:tcBorders>
            <w:vAlign w:val="bottom"/>
          </w:tcPr>
          <w:p w14:paraId="3E28B9F7" w14:textId="3835D242" w:rsidR="00E6519F" w:rsidRPr="006F749D" w:rsidRDefault="00E6519F" w:rsidP="00E6519F">
            <w:pPr>
              <w:pBdr>
                <w:bottom w:val="single" w:sz="6" w:space="1" w:color="auto"/>
              </w:pBdr>
              <w:jc w:val="center"/>
              <w:rPr>
                <w:b/>
                <w:bCs/>
                <w:sz w:val="18"/>
                <w:szCs w:val="18"/>
                <w:rtl/>
              </w:rPr>
            </w:pPr>
            <w:r w:rsidRPr="006F749D">
              <w:rPr>
                <w:rFonts w:hint="cs"/>
                <w:b/>
                <w:bCs/>
                <w:sz w:val="18"/>
                <w:szCs w:val="18"/>
                <w:rtl/>
              </w:rPr>
              <w:t>נכסים בגין נגזרים ברוטו</w:t>
            </w:r>
          </w:p>
        </w:tc>
        <w:tc>
          <w:tcPr>
            <w:tcW w:w="2002" w:type="dxa"/>
            <w:gridSpan w:val="3"/>
            <w:tcBorders>
              <w:top w:val="nil"/>
              <w:left w:val="nil"/>
              <w:bottom w:val="nil"/>
              <w:right w:val="nil"/>
            </w:tcBorders>
            <w:vAlign w:val="bottom"/>
          </w:tcPr>
          <w:p w14:paraId="3B730D8D" w14:textId="6867F066" w:rsidR="00E6519F" w:rsidRPr="006F749D" w:rsidRDefault="00E6519F" w:rsidP="00E6519F">
            <w:pPr>
              <w:pBdr>
                <w:bottom w:val="single" w:sz="6" w:space="1" w:color="auto"/>
              </w:pBdr>
              <w:jc w:val="center"/>
              <w:rPr>
                <w:b/>
                <w:bCs/>
                <w:sz w:val="18"/>
                <w:szCs w:val="18"/>
                <w:rtl/>
              </w:rPr>
            </w:pPr>
            <w:r w:rsidRPr="006F749D">
              <w:rPr>
                <w:rFonts w:hint="cs"/>
                <w:b/>
                <w:bCs/>
                <w:sz w:val="18"/>
                <w:szCs w:val="18"/>
                <w:rtl/>
              </w:rPr>
              <w:t>נכסים בגין נגזרים ברוטו</w:t>
            </w:r>
          </w:p>
        </w:tc>
      </w:tr>
      <w:tr w:rsidR="00920568" w14:paraId="4DFB279A" w14:textId="5B398B98" w:rsidTr="00920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dxa"/>
            <w:gridSpan w:val="2"/>
            <w:tcBorders>
              <w:top w:val="nil"/>
              <w:left w:val="nil"/>
              <w:bottom w:val="nil"/>
              <w:right w:val="nil"/>
            </w:tcBorders>
            <w:vAlign w:val="bottom"/>
            <w:hideMark/>
          </w:tcPr>
          <w:p w14:paraId="2BB62E78" w14:textId="77777777" w:rsidR="00E6519F" w:rsidRDefault="00E6519F" w:rsidP="006A5664">
            <w:pPr>
              <w:pStyle w:val="-0"/>
              <w:spacing w:line="240" w:lineRule="auto"/>
              <w:ind w:left="57"/>
              <w:rPr>
                <w:rtl/>
              </w:rPr>
            </w:pPr>
            <w:r>
              <w:rPr>
                <w:rFonts w:hint="cs"/>
                <w:b/>
                <w:bCs/>
                <w:sz w:val="18"/>
                <w:szCs w:val="18"/>
                <w:rtl/>
              </w:rPr>
              <w:t xml:space="preserve">                 </w:t>
            </w:r>
          </w:p>
        </w:tc>
        <w:tc>
          <w:tcPr>
            <w:tcW w:w="734" w:type="dxa"/>
            <w:gridSpan w:val="2"/>
            <w:tcBorders>
              <w:top w:val="nil"/>
              <w:left w:val="nil"/>
              <w:bottom w:val="nil"/>
              <w:right w:val="nil"/>
            </w:tcBorders>
            <w:vAlign w:val="bottom"/>
            <w:hideMark/>
          </w:tcPr>
          <w:p w14:paraId="07216A18" w14:textId="77777777"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נגזרים שאינם למסחר</w:t>
            </w:r>
          </w:p>
        </w:tc>
        <w:tc>
          <w:tcPr>
            <w:tcW w:w="734" w:type="dxa"/>
            <w:tcBorders>
              <w:top w:val="nil"/>
              <w:left w:val="nil"/>
              <w:bottom w:val="nil"/>
              <w:right w:val="nil"/>
            </w:tcBorders>
          </w:tcPr>
          <w:p w14:paraId="27EFCC8C" w14:textId="77777777" w:rsidR="00E6519F" w:rsidRPr="006F749D" w:rsidRDefault="00E6519F" w:rsidP="006A5664">
            <w:pPr>
              <w:pBdr>
                <w:bottom w:val="single" w:sz="6" w:space="1" w:color="auto"/>
              </w:pBdr>
              <w:jc w:val="center"/>
              <w:rPr>
                <w:b/>
                <w:bCs/>
                <w:sz w:val="18"/>
                <w:szCs w:val="18"/>
                <w:rtl/>
              </w:rPr>
            </w:pPr>
          </w:p>
          <w:p w14:paraId="3586E8AF" w14:textId="77777777"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נגזרים למסחר</w:t>
            </w:r>
          </w:p>
        </w:tc>
        <w:tc>
          <w:tcPr>
            <w:tcW w:w="611" w:type="dxa"/>
            <w:tcBorders>
              <w:top w:val="nil"/>
              <w:left w:val="nil"/>
              <w:bottom w:val="nil"/>
              <w:right w:val="nil"/>
            </w:tcBorders>
            <w:vAlign w:val="bottom"/>
            <w:hideMark/>
          </w:tcPr>
          <w:p w14:paraId="1399428A" w14:textId="77777777"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סה"כ</w:t>
            </w:r>
          </w:p>
        </w:tc>
        <w:tc>
          <w:tcPr>
            <w:tcW w:w="738" w:type="dxa"/>
            <w:tcBorders>
              <w:top w:val="nil"/>
              <w:left w:val="nil"/>
              <w:bottom w:val="nil"/>
              <w:right w:val="nil"/>
            </w:tcBorders>
            <w:hideMark/>
          </w:tcPr>
          <w:p w14:paraId="799A6E1D" w14:textId="77777777"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נגזרים שאינם למסחר</w:t>
            </w:r>
          </w:p>
        </w:tc>
        <w:tc>
          <w:tcPr>
            <w:tcW w:w="734" w:type="dxa"/>
            <w:tcBorders>
              <w:top w:val="nil"/>
              <w:left w:val="nil"/>
              <w:bottom w:val="nil"/>
              <w:right w:val="nil"/>
            </w:tcBorders>
            <w:vAlign w:val="bottom"/>
            <w:hideMark/>
          </w:tcPr>
          <w:p w14:paraId="347F4167" w14:textId="77777777"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נגזרים למסחר</w:t>
            </w:r>
          </w:p>
        </w:tc>
        <w:tc>
          <w:tcPr>
            <w:tcW w:w="614" w:type="dxa"/>
            <w:tcBorders>
              <w:top w:val="nil"/>
              <w:left w:val="nil"/>
              <w:bottom w:val="nil"/>
              <w:right w:val="nil"/>
            </w:tcBorders>
            <w:vAlign w:val="bottom"/>
            <w:hideMark/>
          </w:tcPr>
          <w:p w14:paraId="10FCD16E" w14:textId="77777777"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סה"כ</w:t>
            </w:r>
          </w:p>
        </w:tc>
        <w:tc>
          <w:tcPr>
            <w:tcW w:w="224" w:type="dxa"/>
            <w:tcBorders>
              <w:top w:val="nil"/>
              <w:left w:val="nil"/>
              <w:bottom w:val="nil"/>
              <w:right w:val="nil"/>
            </w:tcBorders>
          </w:tcPr>
          <w:p w14:paraId="03B29277" w14:textId="77777777" w:rsidR="00E6519F" w:rsidRPr="006F749D" w:rsidRDefault="00E6519F" w:rsidP="00E6519F">
            <w:pPr>
              <w:jc w:val="center"/>
              <w:rPr>
                <w:b/>
                <w:bCs/>
                <w:sz w:val="18"/>
                <w:szCs w:val="18"/>
                <w:rtl/>
              </w:rPr>
            </w:pPr>
          </w:p>
        </w:tc>
        <w:tc>
          <w:tcPr>
            <w:tcW w:w="767" w:type="dxa"/>
            <w:tcBorders>
              <w:top w:val="nil"/>
              <w:left w:val="nil"/>
              <w:bottom w:val="nil"/>
              <w:right w:val="nil"/>
            </w:tcBorders>
            <w:vAlign w:val="bottom"/>
          </w:tcPr>
          <w:p w14:paraId="064B4591" w14:textId="0618E269"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נגזרים שאינם למסחר</w:t>
            </w:r>
          </w:p>
        </w:tc>
        <w:tc>
          <w:tcPr>
            <w:tcW w:w="736" w:type="dxa"/>
            <w:tcBorders>
              <w:top w:val="nil"/>
              <w:left w:val="nil"/>
              <w:bottom w:val="nil"/>
              <w:right w:val="nil"/>
            </w:tcBorders>
          </w:tcPr>
          <w:p w14:paraId="5FDA17FC" w14:textId="77777777" w:rsidR="00E6519F" w:rsidRPr="006F749D" w:rsidRDefault="00E6519F" w:rsidP="006A5664">
            <w:pPr>
              <w:pBdr>
                <w:bottom w:val="single" w:sz="6" w:space="1" w:color="auto"/>
              </w:pBdr>
              <w:jc w:val="center"/>
              <w:rPr>
                <w:b/>
                <w:bCs/>
                <w:sz w:val="18"/>
                <w:szCs w:val="18"/>
                <w:rtl/>
              </w:rPr>
            </w:pPr>
          </w:p>
          <w:p w14:paraId="10B88719" w14:textId="4CD71A41"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נגזרים למסחר</w:t>
            </w:r>
          </w:p>
        </w:tc>
        <w:tc>
          <w:tcPr>
            <w:tcW w:w="616" w:type="dxa"/>
            <w:tcBorders>
              <w:top w:val="nil"/>
              <w:left w:val="nil"/>
              <w:bottom w:val="nil"/>
              <w:right w:val="nil"/>
            </w:tcBorders>
            <w:vAlign w:val="bottom"/>
          </w:tcPr>
          <w:p w14:paraId="12237F22" w14:textId="7317052E"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סה"כ</w:t>
            </w:r>
          </w:p>
        </w:tc>
        <w:tc>
          <w:tcPr>
            <w:tcW w:w="737" w:type="dxa"/>
            <w:tcBorders>
              <w:top w:val="nil"/>
              <w:left w:val="nil"/>
              <w:bottom w:val="nil"/>
              <w:right w:val="nil"/>
            </w:tcBorders>
          </w:tcPr>
          <w:p w14:paraId="76D105E7" w14:textId="552EA02F"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נגזרים שאינם למסחר</w:t>
            </w:r>
          </w:p>
        </w:tc>
        <w:tc>
          <w:tcPr>
            <w:tcW w:w="736" w:type="dxa"/>
            <w:tcBorders>
              <w:top w:val="nil"/>
              <w:left w:val="nil"/>
              <w:bottom w:val="nil"/>
              <w:right w:val="nil"/>
            </w:tcBorders>
            <w:vAlign w:val="bottom"/>
          </w:tcPr>
          <w:p w14:paraId="4BDC64DB" w14:textId="78C40942"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נגזרים למסחר</w:t>
            </w:r>
          </w:p>
        </w:tc>
        <w:tc>
          <w:tcPr>
            <w:tcW w:w="612" w:type="dxa"/>
            <w:tcBorders>
              <w:top w:val="nil"/>
              <w:left w:val="nil"/>
              <w:bottom w:val="nil"/>
              <w:right w:val="nil"/>
            </w:tcBorders>
            <w:vAlign w:val="bottom"/>
          </w:tcPr>
          <w:p w14:paraId="6115FBCD" w14:textId="13A40F2F"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סה"כ</w:t>
            </w:r>
          </w:p>
        </w:tc>
        <w:tc>
          <w:tcPr>
            <w:tcW w:w="267" w:type="dxa"/>
            <w:tcBorders>
              <w:top w:val="nil"/>
              <w:left w:val="nil"/>
              <w:bottom w:val="nil"/>
              <w:right w:val="nil"/>
            </w:tcBorders>
          </w:tcPr>
          <w:p w14:paraId="5DDDE5B8" w14:textId="77777777" w:rsidR="00E6519F" w:rsidRPr="006F749D" w:rsidRDefault="00E6519F" w:rsidP="00E6519F">
            <w:pPr>
              <w:jc w:val="center"/>
              <w:rPr>
                <w:b/>
                <w:bCs/>
                <w:sz w:val="18"/>
                <w:szCs w:val="18"/>
                <w:rtl/>
              </w:rPr>
            </w:pPr>
          </w:p>
        </w:tc>
        <w:tc>
          <w:tcPr>
            <w:tcW w:w="846" w:type="dxa"/>
            <w:tcBorders>
              <w:top w:val="nil"/>
              <w:left w:val="nil"/>
              <w:bottom w:val="nil"/>
              <w:right w:val="nil"/>
            </w:tcBorders>
            <w:vAlign w:val="bottom"/>
          </w:tcPr>
          <w:p w14:paraId="49AD36B0" w14:textId="5DE2B8F1"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נגזרים שאינם למסחר</w:t>
            </w:r>
          </w:p>
        </w:tc>
        <w:tc>
          <w:tcPr>
            <w:tcW w:w="734" w:type="dxa"/>
            <w:tcBorders>
              <w:top w:val="nil"/>
              <w:left w:val="nil"/>
              <w:bottom w:val="nil"/>
              <w:right w:val="nil"/>
            </w:tcBorders>
          </w:tcPr>
          <w:p w14:paraId="7D54C3F0" w14:textId="77777777" w:rsidR="00E6519F" w:rsidRPr="006F749D" w:rsidRDefault="00E6519F" w:rsidP="006A5664">
            <w:pPr>
              <w:pBdr>
                <w:bottom w:val="single" w:sz="6" w:space="1" w:color="auto"/>
              </w:pBdr>
              <w:jc w:val="center"/>
              <w:rPr>
                <w:b/>
                <w:bCs/>
                <w:sz w:val="18"/>
                <w:szCs w:val="18"/>
                <w:rtl/>
              </w:rPr>
            </w:pPr>
          </w:p>
          <w:p w14:paraId="1517CA11" w14:textId="37EDC5EC"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נגזרים למסחר</w:t>
            </w:r>
          </w:p>
        </w:tc>
        <w:tc>
          <w:tcPr>
            <w:tcW w:w="684" w:type="dxa"/>
            <w:tcBorders>
              <w:top w:val="nil"/>
              <w:left w:val="nil"/>
              <w:bottom w:val="nil"/>
              <w:right w:val="nil"/>
            </w:tcBorders>
            <w:vAlign w:val="bottom"/>
          </w:tcPr>
          <w:p w14:paraId="4CAFB6A2" w14:textId="37CED2C4"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סה"כ</w:t>
            </w:r>
          </w:p>
        </w:tc>
        <w:tc>
          <w:tcPr>
            <w:tcW w:w="734" w:type="dxa"/>
            <w:tcBorders>
              <w:top w:val="nil"/>
              <w:left w:val="nil"/>
              <w:bottom w:val="nil"/>
              <w:right w:val="nil"/>
            </w:tcBorders>
          </w:tcPr>
          <w:p w14:paraId="0BFE3122" w14:textId="14786F7D"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נגזרים שאינם למסחר</w:t>
            </w:r>
          </w:p>
        </w:tc>
        <w:tc>
          <w:tcPr>
            <w:tcW w:w="736" w:type="dxa"/>
            <w:tcBorders>
              <w:top w:val="nil"/>
              <w:left w:val="nil"/>
              <w:bottom w:val="nil"/>
              <w:right w:val="nil"/>
            </w:tcBorders>
            <w:vAlign w:val="bottom"/>
          </w:tcPr>
          <w:p w14:paraId="31AF9562" w14:textId="6B59D06B"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נגזרים למסחר</w:t>
            </w:r>
          </w:p>
        </w:tc>
        <w:tc>
          <w:tcPr>
            <w:tcW w:w="532" w:type="dxa"/>
            <w:tcBorders>
              <w:top w:val="nil"/>
              <w:left w:val="nil"/>
              <w:bottom w:val="nil"/>
              <w:right w:val="nil"/>
            </w:tcBorders>
            <w:vAlign w:val="bottom"/>
          </w:tcPr>
          <w:p w14:paraId="380294A3" w14:textId="6F9D9A0B" w:rsidR="00E6519F" w:rsidRPr="006F749D" w:rsidRDefault="00E6519F" w:rsidP="006A5664">
            <w:pPr>
              <w:pBdr>
                <w:bottom w:val="single" w:sz="6" w:space="1" w:color="auto"/>
              </w:pBdr>
              <w:jc w:val="center"/>
              <w:rPr>
                <w:b/>
                <w:bCs/>
                <w:sz w:val="18"/>
                <w:szCs w:val="18"/>
                <w:rtl/>
              </w:rPr>
            </w:pPr>
            <w:r w:rsidRPr="006F749D">
              <w:rPr>
                <w:rFonts w:hint="cs"/>
                <w:b/>
                <w:bCs/>
                <w:sz w:val="18"/>
                <w:szCs w:val="18"/>
                <w:rtl/>
              </w:rPr>
              <w:t>סה"כ</w:t>
            </w:r>
          </w:p>
        </w:tc>
      </w:tr>
      <w:tr w:rsidR="00920568" w14:paraId="39ADCA25" w14:textId="560D085B" w:rsidTr="00920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dxa"/>
            <w:gridSpan w:val="2"/>
            <w:tcBorders>
              <w:top w:val="nil"/>
              <w:left w:val="nil"/>
              <w:bottom w:val="nil"/>
              <w:right w:val="nil"/>
            </w:tcBorders>
            <w:vAlign w:val="bottom"/>
            <w:hideMark/>
          </w:tcPr>
          <w:p w14:paraId="0A883286" w14:textId="77777777" w:rsidR="00E6519F" w:rsidRPr="00E6519F" w:rsidRDefault="00E6519F" w:rsidP="006A5664">
            <w:pPr>
              <w:spacing w:before="20"/>
              <w:ind w:left="57" w:hanging="144"/>
              <w:jc w:val="left"/>
              <w:rPr>
                <w:b/>
                <w:bCs/>
                <w:color w:val="000000"/>
                <w:sz w:val="17"/>
                <w:szCs w:val="17"/>
                <w:rtl/>
                <w:lang w:eastAsia="he-IL"/>
              </w:rPr>
            </w:pPr>
            <w:r w:rsidRPr="00E6519F">
              <w:rPr>
                <w:rFonts w:hint="cs"/>
                <w:b/>
                <w:bCs/>
                <w:color w:val="000000"/>
                <w:sz w:val="17"/>
                <w:szCs w:val="17"/>
                <w:rtl/>
                <w:lang w:eastAsia="he-IL"/>
              </w:rPr>
              <w:t>חוזי ריבית</w:t>
            </w:r>
          </w:p>
        </w:tc>
        <w:tc>
          <w:tcPr>
            <w:tcW w:w="734" w:type="dxa"/>
            <w:gridSpan w:val="2"/>
            <w:tcBorders>
              <w:top w:val="nil"/>
              <w:left w:val="nil"/>
              <w:bottom w:val="nil"/>
              <w:right w:val="nil"/>
            </w:tcBorders>
            <w:vAlign w:val="bottom"/>
            <w:hideMark/>
          </w:tcPr>
          <w:p w14:paraId="2606F800"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 </w:t>
            </w:r>
          </w:p>
        </w:tc>
        <w:tc>
          <w:tcPr>
            <w:tcW w:w="734" w:type="dxa"/>
            <w:tcBorders>
              <w:top w:val="nil"/>
              <w:left w:val="nil"/>
              <w:bottom w:val="nil"/>
              <w:right w:val="nil"/>
            </w:tcBorders>
            <w:vAlign w:val="bottom"/>
            <w:hideMark/>
          </w:tcPr>
          <w:p w14:paraId="7464F01D"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 </w:t>
            </w:r>
          </w:p>
        </w:tc>
        <w:tc>
          <w:tcPr>
            <w:tcW w:w="611" w:type="dxa"/>
            <w:tcBorders>
              <w:top w:val="nil"/>
              <w:left w:val="nil"/>
              <w:bottom w:val="nil"/>
              <w:right w:val="nil"/>
            </w:tcBorders>
            <w:vAlign w:val="bottom"/>
            <w:hideMark/>
          </w:tcPr>
          <w:p w14:paraId="5F5C79C0"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 </w:t>
            </w:r>
          </w:p>
        </w:tc>
        <w:tc>
          <w:tcPr>
            <w:tcW w:w="738" w:type="dxa"/>
            <w:tcBorders>
              <w:top w:val="nil"/>
              <w:left w:val="nil"/>
              <w:bottom w:val="nil"/>
              <w:right w:val="nil"/>
            </w:tcBorders>
            <w:vAlign w:val="bottom"/>
            <w:hideMark/>
          </w:tcPr>
          <w:p w14:paraId="79B7A645"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 </w:t>
            </w:r>
          </w:p>
        </w:tc>
        <w:tc>
          <w:tcPr>
            <w:tcW w:w="734" w:type="dxa"/>
            <w:tcBorders>
              <w:top w:val="nil"/>
              <w:left w:val="nil"/>
              <w:bottom w:val="nil"/>
              <w:right w:val="nil"/>
            </w:tcBorders>
            <w:vAlign w:val="bottom"/>
            <w:hideMark/>
          </w:tcPr>
          <w:p w14:paraId="15729802"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 </w:t>
            </w:r>
          </w:p>
        </w:tc>
        <w:tc>
          <w:tcPr>
            <w:tcW w:w="614" w:type="dxa"/>
            <w:tcBorders>
              <w:top w:val="nil"/>
              <w:left w:val="nil"/>
              <w:bottom w:val="nil"/>
              <w:right w:val="nil"/>
            </w:tcBorders>
            <w:vAlign w:val="bottom"/>
            <w:hideMark/>
          </w:tcPr>
          <w:p w14:paraId="683E50C7"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 </w:t>
            </w:r>
          </w:p>
        </w:tc>
        <w:tc>
          <w:tcPr>
            <w:tcW w:w="224" w:type="dxa"/>
            <w:tcBorders>
              <w:top w:val="nil"/>
              <w:left w:val="nil"/>
              <w:bottom w:val="nil"/>
              <w:right w:val="nil"/>
            </w:tcBorders>
          </w:tcPr>
          <w:p w14:paraId="29B2CCD0" w14:textId="77777777" w:rsidR="00E6519F" w:rsidRPr="00BF28F2" w:rsidRDefault="00E6519F" w:rsidP="006A5664">
            <w:pPr>
              <w:spacing w:before="20"/>
              <w:ind w:left="144" w:hanging="144"/>
              <w:jc w:val="left"/>
              <w:rPr>
                <w:b/>
                <w:bCs/>
                <w:color w:val="000000"/>
                <w:sz w:val="18"/>
                <w:szCs w:val="18"/>
                <w:rtl/>
                <w:lang w:eastAsia="he-IL"/>
              </w:rPr>
            </w:pPr>
          </w:p>
        </w:tc>
        <w:tc>
          <w:tcPr>
            <w:tcW w:w="767" w:type="dxa"/>
            <w:tcBorders>
              <w:top w:val="nil"/>
              <w:left w:val="nil"/>
              <w:bottom w:val="nil"/>
              <w:right w:val="nil"/>
            </w:tcBorders>
            <w:vAlign w:val="bottom"/>
          </w:tcPr>
          <w:p w14:paraId="2B8E8736" w14:textId="74A99B2C"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 </w:t>
            </w:r>
          </w:p>
        </w:tc>
        <w:tc>
          <w:tcPr>
            <w:tcW w:w="736" w:type="dxa"/>
            <w:tcBorders>
              <w:top w:val="nil"/>
              <w:left w:val="nil"/>
              <w:bottom w:val="nil"/>
              <w:right w:val="nil"/>
            </w:tcBorders>
            <w:vAlign w:val="bottom"/>
          </w:tcPr>
          <w:p w14:paraId="15E5DEDD" w14:textId="1A004FEF"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 </w:t>
            </w:r>
          </w:p>
        </w:tc>
        <w:tc>
          <w:tcPr>
            <w:tcW w:w="616" w:type="dxa"/>
            <w:tcBorders>
              <w:top w:val="nil"/>
              <w:left w:val="nil"/>
              <w:bottom w:val="nil"/>
              <w:right w:val="nil"/>
            </w:tcBorders>
            <w:vAlign w:val="bottom"/>
          </w:tcPr>
          <w:p w14:paraId="2EA37943" w14:textId="19074324"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 </w:t>
            </w:r>
          </w:p>
        </w:tc>
        <w:tc>
          <w:tcPr>
            <w:tcW w:w="737" w:type="dxa"/>
            <w:tcBorders>
              <w:top w:val="nil"/>
              <w:left w:val="nil"/>
              <w:bottom w:val="nil"/>
              <w:right w:val="nil"/>
            </w:tcBorders>
            <w:vAlign w:val="bottom"/>
          </w:tcPr>
          <w:p w14:paraId="506FC2ED" w14:textId="46A78236"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 </w:t>
            </w:r>
          </w:p>
        </w:tc>
        <w:tc>
          <w:tcPr>
            <w:tcW w:w="736" w:type="dxa"/>
            <w:tcBorders>
              <w:top w:val="nil"/>
              <w:left w:val="nil"/>
              <w:bottom w:val="nil"/>
              <w:right w:val="nil"/>
            </w:tcBorders>
            <w:vAlign w:val="bottom"/>
          </w:tcPr>
          <w:p w14:paraId="6A95D1CA" w14:textId="233B2C0F"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 </w:t>
            </w:r>
          </w:p>
        </w:tc>
        <w:tc>
          <w:tcPr>
            <w:tcW w:w="612" w:type="dxa"/>
            <w:tcBorders>
              <w:top w:val="nil"/>
              <w:left w:val="nil"/>
              <w:bottom w:val="nil"/>
              <w:right w:val="nil"/>
            </w:tcBorders>
            <w:vAlign w:val="bottom"/>
          </w:tcPr>
          <w:p w14:paraId="109E2E78" w14:textId="3015F824"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 </w:t>
            </w:r>
          </w:p>
        </w:tc>
        <w:tc>
          <w:tcPr>
            <w:tcW w:w="267" w:type="dxa"/>
            <w:tcBorders>
              <w:top w:val="nil"/>
              <w:left w:val="nil"/>
              <w:bottom w:val="nil"/>
              <w:right w:val="nil"/>
            </w:tcBorders>
          </w:tcPr>
          <w:p w14:paraId="58AC79CE" w14:textId="77777777" w:rsidR="00E6519F" w:rsidRPr="00BF28F2" w:rsidRDefault="00E6519F" w:rsidP="006A5664">
            <w:pPr>
              <w:spacing w:before="20"/>
              <w:ind w:left="144" w:hanging="144"/>
              <w:jc w:val="left"/>
              <w:rPr>
                <w:b/>
                <w:bCs/>
                <w:color w:val="000000"/>
                <w:sz w:val="18"/>
                <w:szCs w:val="18"/>
                <w:rtl/>
                <w:lang w:eastAsia="he-IL"/>
              </w:rPr>
            </w:pPr>
          </w:p>
        </w:tc>
        <w:tc>
          <w:tcPr>
            <w:tcW w:w="846" w:type="dxa"/>
            <w:tcBorders>
              <w:top w:val="nil"/>
              <w:left w:val="nil"/>
              <w:bottom w:val="nil"/>
              <w:right w:val="nil"/>
            </w:tcBorders>
            <w:vAlign w:val="bottom"/>
          </w:tcPr>
          <w:p w14:paraId="4D066E6A" w14:textId="24C29A76"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 </w:t>
            </w:r>
          </w:p>
        </w:tc>
        <w:tc>
          <w:tcPr>
            <w:tcW w:w="734" w:type="dxa"/>
            <w:tcBorders>
              <w:top w:val="nil"/>
              <w:left w:val="nil"/>
              <w:bottom w:val="nil"/>
              <w:right w:val="nil"/>
            </w:tcBorders>
            <w:vAlign w:val="bottom"/>
          </w:tcPr>
          <w:p w14:paraId="0AC6ACCE" w14:textId="00552473"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 </w:t>
            </w:r>
          </w:p>
        </w:tc>
        <w:tc>
          <w:tcPr>
            <w:tcW w:w="684" w:type="dxa"/>
            <w:tcBorders>
              <w:top w:val="nil"/>
              <w:left w:val="nil"/>
              <w:bottom w:val="nil"/>
              <w:right w:val="nil"/>
            </w:tcBorders>
            <w:vAlign w:val="bottom"/>
          </w:tcPr>
          <w:p w14:paraId="02E01B94" w14:textId="5D64037A"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 </w:t>
            </w:r>
          </w:p>
        </w:tc>
        <w:tc>
          <w:tcPr>
            <w:tcW w:w="734" w:type="dxa"/>
            <w:tcBorders>
              <w:top w:val="nil"/>
              <w:left w:val="nil"/>
              <w:bottom w:val="nil"/>
              <w:right w:val="nil"/>
            </w:tcBorders>
            <w:vAlign w:val="bottom"/>
          </w:tcPr>
          <w:p w14:paraId="6A8EADD7" w14:textId="60E645E6"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 </w:t>
            </w:r>
          </w:p>
        </w:tc>
        <w:tc>
          <w:tcPr>
            <w:tcW w:w="736" w:type="dxa"/>
            <w:tcBorders>
              <w:top w:val="nil"/>
              <w:left w:val="nil"/>
              <w:bottom w:val="nil"/>
              <w:right w:val="nil"/>
            </w:tcBorders>
            <w:vAlign w:val="bottom"/>
          </w:tcPr>
          <w:p w14:paraId="7EB01055" w14:textId="7D1463F7"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 </w:t>
            </w:r>
          </w:p>
        </w:tc>
        <w:tc>
          <w:tcPr>
            <w:tcW w:w="532" w:type="dxa"/>
            <w:tcBorders>
              <w:top w:val="nil"/>
              <w:left w:val="nil"/>
              <w:bottom w:val="nil"/>
              <w:right w:val="nil"/>
            </w:tcBorders>
            <w:vAlign w:val="bottom"/>
          </w:tcPr>
          <w:p w14:paraId="436F8E0E" w14:textId="124BEBA7"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 </w:t>
            </w:r>
          </w:p>
        </w:tc>
      </w:tr>
      <w:tr w:rsidR="00920568" w:rsidRPr="003A2007" w14:paraId="3A920116" w14:textId="29A98E9F" w:rsidTr="00920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dxa"/>
            <w:gridSpan w:val="2"/>
            <w:tcBorders>
              <w:top w:val="nil"/>
              <w:left w:val="nil"/>
              <w:bottom w:val="nil"/>
              <w:right w:val="nil"/>
            </w:tcBorders>
            <w:vAlign w:val="bottom"/>
            <w:hideMark/>
          </w:tcPr>
          <w:p w14:paraId="77EFB71F" w14:textId="77777777" w:rsidR="00E6519F" w:rsidRPr="00E6519F" w:rsidRDefault="00E6519F" w:rsidP="006A5664">
            <w:pPr>
              <w:spacing w:before="20"/>
              <w:ind w:left="57" w:hanging="144"/>
              <w:jc w:val="left"/>
              <w:rPr>
                <w:color w:val="000000"/>
                <w:sz w:val="17"/>
                <w:szCs w:val="17"/>
                <w:rtl/>
                <w:lang w:eastAsia="he-IL"/>
              </w:rPr>
            </w:pPr>
            <w:r w:rsidRPr="00E6519F">
              <w:rPr>
                <w:rFonts w:hint="cs"/>
                <w:color w:val="000000"/>
                <w:sz w:val="17"/>
                <w:szCs w:val="17"/>
                <w:rtl/>
                <w:lang w:eastAsia="he-IL"/>
              </w:rPr>
              <w:t>מזה: נגזרים מגדרים</w:t>
            </w:r>
          </w:p>
        </w:tc>
        <w:tc>
          <w:tcPr>
            <w:tcW w:w="734" w:type="dxa"/>
            <w:gridSpan w:val="2"/>
            <w:tcBorders>
              <w:top w:val="nil"/>
              <w:left w:val="nil"/>
              <w:bottom w:val="nil"/>
              <w:right w:val="nil"/>
            </w:tcBorders>
            <w:vAlign w:val="bottom"/>
            <w:hideMark/>
          </w:tcPr>
          <w:p w14:paraId="42510E2F" w14:textId="77777777" w:rsidR="00E6519F" w:rsidRPr="00BF28F2" w:rsidRDefault="00E6519F" w:rsidP="006A5664">
            <w:pPr>
              <w:spacing w:before="20"/>
              <w:ind w:left="144" w:hanging="144"/>
              <w:jc w:val="left"/>
              <w:rPr>
                <w:color w:val="000000"/>
                <w:sz w:val="18"/>
                <w:szCs w:val="18"/>
                <w:lang w:eastAsia="he-IL"/>
              </w:rPr>
            </w:pPr>
            <w:r w:rsidRPr="00BF28F2">
              <w:rPr>
                <w:color w:val="000000"/>
                <w:sz w:val="18"/>
                <w:szCs w:val="18"/>
                <w:rtl/>
                <w:lang w:eastAsia="he-IL"/>
              </w:rPr>
              <w:t xml:space="preserve"> </w:t>
            </w:r>
            <w:r w:rsidRPr="00BF28F2">
              <w:rPr>
                <w:rFonts w:hint="cs"/>
                <w:color w:val="000000"/>
                <w:sz w:val="18"/>
                <w:szCs w:val="18"/>
                <w:rtl/>
                <w:lang w:eastAsia="he-IL"/>
              </w:rPr>
              <w:t xml:space="preserve">0 </w:t>
            </w:r>
          </w:p>
        </w:tc>
        <w:tc>
          <w:tcPr>
            <w:tcW w:w="734" w:type="dxa"/>
            <w:tcBorders>
              <w:top w:val="nil"/>
              <w:left w:val="nil"/>
              <w:bottom w:val="nil"/>
              <w:right w:val="nil"/>
            </w:tcBorders>
            <w:vAlign w:val="bottom"/>
            <w:hideMark/>
          </w:tcPr>
          <w:p w14:paraId="3A99E689"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611" w:type="dxa"/>
            <w:tcBorders>
              <w:top w:val="nil"/>
              <w:left w:val="nil"/>
              <w:bottom w:val="nil"/>
              <w:right w:val="nil"/>
            </w:tcBorders>
            <w:vAlign w:val="bottom"/>
            <w:hideMark/>
          </w:tcPr>
          <w:p w14:paraId="3D2DD7DB"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738" w:type="dxa"/>
            <w:tcBorders>
              <w:top w:val="nil"/>
              <w:left w:val="nil"/>
              <w:bottom w:val="nil"/>
              <w:right w:val="nil"/>
            </w:tcBorders>
            <w:vAlign w:val="bottom"/>
            <w:hideMark/>
          </w:tcPr>
          <w:p w14:paraId="22BECE58"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734" w:type="dxa"/>
            <w:tcBorders>
              <w:top w:val="nil"/>
              <w:left w:val="nil"/>
              <w:bottom w:val="nil"/>
              <w:right w:val="nil"/>
            </w:tcBorders>
            <w:vAlign w:val="bottom"/>
            <w:hideMark/>
          </w:tcPr>
          <w:p w14:paraId="0CFEBB05"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614" w:type="dxa"/>
            <w:tcBorders>
              <w:top w:val="nil"/>
              <w:left w:val="nil"/>
              <w:bottom w:val="nil"/>
              <w:right w:val="nil"/>
            </w:tcBorders>
            <w:vAlign w:val="bottom"/>
            <w:hideMark/>
          </w:tcPr>
          <w:p w14:paraId="2359795F"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224" w:type="dxa"/>
            <w:tcBorders>
              <w:top w:val="nil"/>
              <w:left w:val="nil"/>
              <w:bottom w:val="nil"/>
              <w:right w:val="nil"/>
            </w:tcBorders>
          </w:tcPr>
          <w:p w14:paraId="73FBC7EA" w14:textId="77777777" w:rsidR="00E6519F" w:rsidRPr="00BF28F2" w:rsidRDefault="00E6519F" w:rsidP="006A5664">
            <w:pPr>
              <w:spacing w:before="20"/>
              <w:ind w:left="144" w:hanging="144"/>
              <w:jc w:val="left"/>
              <w:rPr>
                <w:color w:val="000000"/>
                <w:sz w:val="18"/>
                <w:szCs w:val="18"/>
                <w:rtl/>
                <w:lang w:eastAsia="he-IL"/>
              </w:rPr>
            </w:pPr>
          </w:p>
        </w:tc>
        <w:tc>
          <w:tcPr>
            <w:tcW w:w="767" w:type="dxa"/>
            <w:tcBorders>
              <w:top w:val="nil"/>
              <w:left w:val="nil"/>
              <w:bottom w:val="nil"/>
              <w:right w:val="nil"/>
            </w:tcBorders>
            <w:vAlign w:val="bottom"/>
          </w:tcPr>
          <w:p w14:paraId="282C42AA" w14:textId="4B681BB5" w:rsidR="00E6519F" w:rsidRPr="00BF28F2" w:rsidRDefault="00E6519F" w:rsidP="006A5664">
            <w:pPr>
              <w:spacing w:before="20"/>
              <w:ind w:left="144" w:hanging="144"/>
              <w:jc w:val="left"/>
              <w:rPr>
                <w:color w:val="000000"/>
                <w:sz w:val="18"/>
                <w:szCs w:val="18"/>
                <w:rtl/>
                <w:lang w:eastAsia="he-IL"/>
              </w:rPr>
            </w:pPr>
            <w:r w:rsidRPr="00BF28F2">
              <w:rPr>
                <w:color w:val="000000"/>
                <w:sz w:val="18"/>
                <w:szCs w:val="18"/>
                <w:rtl/>
                <w:lang w:eastAsia="he-IL"/>
              </w:rPr>
              <w:t xml:space="preserve"> </w:t>
            </w:r>
            <w:r w:rsidRPr="00BF28F2">
              <w:rPr>
                <w:rFonts w:hint="cs"/>
                <w:color w:val="000000"/>
                <w:sz w:val="18"/>
                <w:szCs w:val="18"/>
                <w:rtl/>
                <w:lang w:eastAsia="he-IL"/>
              </w:rPr>
              <w:t xml:space="preserve">0 </w:t>
            </w:r>
          </w:p>
        </w:tc>
        <w:tc>
          <w:tcPr>
            <w:tcW w:w="736" w:type="dxa"/>
            <w:tcBorders>
              <w:top w:val="nil"/>
              <w:left w:val="nil"/>
              <w:bottom w:val="nil"/>
              <w:right w:val="nil"/>
            </w:tcBorders>
            <w:vAlign w:val="bottom"/>
          </w:tcPr>
          <w:p w14:paraId="45062D61" w14:textId="2819FE82"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616" w:type="dxa"/>
            <w:tcBorders>
              <w:top w:val="nil"/>
              <w:left w:val="nil"/>
              <w:bottom w:val="nil"/>
              <w:right w:val="nil"/>
            </w:tcBorders>
            <w:vAlign w:val="bottom"/>
          </w:tcPr>
          <w:p w14:paraId="1907AFDE" w14:textId="0845972C"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737" w:type="dxa"/>
            <w:tcBorders>
              <w:top w:val="nil"/>
              <w:left w:val="nil"/>
              <w:bottom w:val="nil"/>
              <w:right w:val="nil"/>
            </w:tcBorders>
            <w:vAlign w:val="bottom"/>
          </w:tcPr>
          <w:p w14:paraId="56F29204" w14:textId="70C53392"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736" w:type="dxa"/>
            <w:tcBorders>
              <w:top w:val="nil"/>
              <w:left w:val="nil"/>
              <w:bottom w:val="nil"/>
              <w:right w:val="nil"/>
            </w:tcBorders>
            <w:vAlign w:val="bottom"/>
          </w:tcPr>
          <w:p w14:paraId="32D89066" w14:textId="585857E8"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612" w:type="dxa"/>
            <w:tcBorders>
              <w:top w:val="nil"/>
              <w:left w:val="nil"/>
              <w:bottom w:val="nil"/>
              <w:right w:val="nil"/>
            </w:tcBorders>
            <w:vAlign w:val="bottom"/>
          </w:tcPr>
          <w:p w14:paraId="392876F1" w14:textId="50314076"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267" w:type="dxa"/>
            <w:tcBorders>
              <w:top w:val="nil"/>
              <w:left w:val="nil"/>
              <w:bottom w:val="nil"/>
              <w:right w:val="nil"/>
            </w:tcBorders>
          </w:tcPr>
          <w:p w14:paraId="36968F4D" w14:textId="77777777" w:rsidR="00E6519F" w:rsidRPr="00BF28F2" w:rsidRDefault="00E6519F" w:rsidP="006A5664">
            <w:pPr>
              <w:spacing w:before="20"/>
              <w:ind w:left="144" w:hanging="144"/>
              <w:jc w:val="left"/>
              <w:rPr>
                <w:color w:val="000000"/>
                <w:sz w:val="18"/>
                <w:szCs w:val="18"/>
                <w:rtl/>
                <w:lang w:eastAsia="he-IL"/>
              </w:rPr>
            </w:pPr>
          </w:p>
        </w:tc>
        <w:tc>
          <w:tcPr>
            <w:tcW w:w="846" w:type="dxa"/>
            <w:tcBorders>
              <w:top w:val="nil"/>
              <w:left w:val="nil"/>
              <w:bottom w:val="nil"/>
              <w:right w:val="nil"/>
            </w:tcBorders>
            <w:vAlign w:val="bottom"/>
          </w:tcPr>
          <w:p w14:paraId="68D133F0" w14:textId="6BC9C4FA" w:rsidR="00E6519F" w:rsidRPr="00BF28F2" w:rsidRDefault="00E6519F" w:rsidP="006A5664">
            <w:pPr>
              <w:spacing w:before="20"/>
              <w:ind w:left="144" w:hanging="144"/>
              <w:jc w:val="left"/>
              <w:rPr>
                <w:color w:val="000000"/>
                <w:sz w:val="18"/>
                <w:szCs w:val="18"/>
                <w:rtl/>
                <w:lang w:eastAsia="he-IL"/>
              </w:rPr>
            </w:pPr>
            <w:r w:rsidRPr="00BF28F2">
              <w:rPr>
                <w:color w:val="000000"/>
                <w:sz w:val="18"/>
                <w:szCs w:val="18"/>
                <w:rtl/>
                <w:lang w:eastAsia="he-IL"/>
              </w:rPr>
              <w:t xml:space="preserve"> </w:t>
            </w:r>
            <w:r w:rsidRPr="00BF28F2">
              <w:rPr>
                <w:rFonts w:hint="cs"/>
                <w:color w:val="000000"/>
                <w:sz w:val="18"/>
                <w:szCs w:val="18"/>
                <w:rtl/>
                <w:lang w:eastAsia="he-IL"/>
              </w:rPr>
              <w:t xml:space="preserve">0 </w:t>
            </w:r>
          </w:p>
        </w:tc>
        <w:tc>
          <w:tcPr>
            <w:tcW w:w="734" w:type="dxa"/>
            <w:tcBorders>
              <w:top w:val="nil"/>
              <w:left w:val="nil"/>
              <w:bottom w:val="nil"/>
              <w:right w:val="nil"/>
            </w:tcBorders>
            <w:vAlign w:val="bottom"/>
          </w:tcPr>
          <w:p w14:paraId="3CC277A6" w14:textId="4EF683B3"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684" w:type="dxa"/>
            <w:tcBorders>
              <w:top w:val="nil"/>
              <w:left w:val="nil"/>
              <w:bottom w:val="nil"/>
              <w:right w:val="nil"/>
            </w:tcBorders>
            <w:vAlign w:val="bottom"/>
          </w:tcPr>
          <w:p w14:paraId="0B74DFA5" w14:textId="62275ACB"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734" w:type="dxa"/>
            <w:tcBorders>
              <w:top w:val="nil"/>
              <w:left w:val="nil"/>
              <w:bottom w:val="nil"/>
              <w:right w:val="nil"/>
            </w:tcBorders>
            <w:vAlign w:val="bottom"/>
          </w:tcPr>
          <w:p w14:paraId="1DB4633B" w14:textId="1AD305C0"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736" w:type="dxa"/>
            <w:tcBorders>
              <w:top w:val="nil"/>
              <w:left w:val="nil"/>
              <w:bottom w:val="nil"/>
              <w:right w:val="nil"/>
            </w:tcBorders>
            <w:vAlign w:val="bottom"/>
          </w:tcPr>
          <w:p w14:paraId="2C4FA14E" w14:textId="2C904EB9"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532" w:type="dxa"/>
            <w:tcBorders>
              <w:top w:val="nil"/>
              <w:left w:val="nil"/>
              <w:bottom w:val="nil"/>
              <w:right w:val="nil"/>
            </w:tcBorders>
            <w:vAlign w:val="bottom"/>
          </w:tcPr>
          <w:p w14:paraId="05EC0322" w14:textId="3728DCFC"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r>
      <w:tr w:rsidR="00920568" w14:paraId="57E8E27D" w14:textId="4A40E201" w:rsidTr="00920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dxa"/>
            <w:gridSpan w:val="2"/>
            <w:tcBorders>
              <w:top w:val="nil"/>
              <w:left w:val="nil"/>
              <w:bottom w:val="nil"/>
              <w:right w:val="nil"/>
            </w:tcBorders>
            <w:vAlign w:val="bottom"/>
            <w:hideMark/>
          </w:tcPr>
          <w:p w14:paraId="5B583D84" w14:textId="77777777" w:rsidR="00E6519F" w:rsidRPr="00E6519F" w:rsidRDefault="00E6519F" w:rsidP="006A5664">
            <w:pPr>
              <w:spacing w:before="20"/>
              <w:ind w:left="57" w:hanging="144"/>
              <w:jc w:val="left"/>
              <w:rPr>
                <w:color w:val="000000"/>
                <w:sz w:val="17"/>
                <w:szCs w:val="17"/>
                <w:rtl/>
                <w:lang w:eastAsia="he-IL"/>
              </w:rPr>
            </w:pPr>
            <w:r w:rsidRPr="00E6519F">
              <w:rPr>
                <w:rFonts w:hint="cs"/>
                <w:b/>
                <w:bCs/>
                <w:color w:val="000000"/>
                <w:sz w:val="17"/>
                <w:szCs w:val="17"/>
                <w:rtl/>
                <w:lang w:eastAsia="he-IL"/>
              </w:rPr>
              <w:t>חוזי מטבע חוץ</w:t>
            </w:r>
          </w:p>
        </w:tc>
        <w:tc>
          <w:tcPr>
            <w:tcW w:w="734" w:type="dxa"/>
            <w:gridSpan w:val="2"/>
            <w:tcBorders>
              <w:top w:val="nil"/>
              <w:left w:val="nil"/>
              <w:bottom w:val="nil"/>
              <w:right w:val="nil"/>
            </w:tcBorders>
            <w:vAlign w:val="bottom"/>
            <w:hideMark/>
          </w:tcPr>
          <w:p w14:paraId="633CD894"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734" w:type="dxa"/>
            <w:tcBorders>
              <w:top w:val="nil"/>
              <w:left w:val="nil"/>
              <w:bottom w:val="nil"/>
              <w:right w:val="nil"/>
            </w:tcBorders>
            <w:vAlign w:val="bottom"/>
            <w:hideMark/>
          </w:tcPr>
          <w:p w14:paraId="304D87A0"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611" w:type="dxa"/>
            <w:tcBorders>
              <w:top w:val="nil"/>
              <w:left w:val="nil"/>
              <w:bottom w:val="nil"/>
              <w:right w:val="nil"/>
            </w:tcBorders>
            <w:vAlign w:val="bottom"/>
            <w:hideMark/>
          </w:tcPr>
          <w:p w14:paraId="2958C125"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738" w:type="dxa"/>
            <w:tcBorders>
              <w:top w:val="nil"/>
              <w:left w:val="nil"/>
              <w:bottom w:val="nil"/>
              <w:right w:val="nil"/>
            </w:tcBorders>
            <w:vAlign w:val="bottom"/>
            <w:hideMark/>
          </w:tcPr>
          <w:p w14:paraId="4CF66EE0"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734" w:type="dxa"/>
            <w:tcBorders>
              <w:top w:val="nil"/>
              <w:left w:val="nil"/>
              <w:bottom w:val="nil"/>
              <w:right w:val="nil"/>
            </w:tcBorders>
            <w:vAlign w:val="bottom"/>
            <w:hideMark/>
          </w:tcPr>
          <w:p w14:paraId="25085753"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614" w:type="dxa"/>
            <w:tcBorders>
              <w:top w:val="nil"/>
              <w:left w:val="nil"/>
              <w:bottom w:val="nil"/>
              <w:right w:val="nil"/>
            </w:tcBorders>
            <w:vAlign w:val="bottom"/>
            <w:hideMark/>
          </w:tcPr>
          <w:p w14:paraId="4C0ADDB9"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224" w:type="dxa"/>
            <w:tcBorders>
              <w:top w:val="nil"/>
              <w:left w:val="nil"/>
              <w:bottom w:val="nil"/>
              <w:right w:val="nil"/>
            </w:tcBorders>
          </w:tcPr>
          <w:p w14:paraId="0A8B8B48" w14:textId="77777777" w:rsidR="00E6519F" w:rsidRPr="00BF28F2" w:rsidRDefault="00E6519F" w:rsidP="006A5664">
            <w:pPr>
              <w:spacing w:before="20"/>
              <w:ind w:left="144" w:hanging="144"/>
              <w:jc w:val="left"/>
              <w:rPr>
                <w:b/>
                <w:bCs/>
                <w:color w:val="000000"/>
                <w:sz w:val="18"/>
                <w:szCs w:val="18"/>
                <w:rtl/>
                <w:lang w:eastAsia="he-IL"/>
              </w:rPr>
            </w:pPr>
          </w:p>
        </w:tc>
        <w:tc>
          <w:tcPr>
            <w:tcW w:w="767" w:type="dxa"/>
            <w:tcBorders>
              <w:top w:val="nil"/>
              <w:left w:val="nil"/>
              <w:bottom w:val="nil"/>
              <w:right w:val="nil"/>
            </w:tcBorders>
            <w:vAlign w:val="bottom"/>
          </w:tcPr>
          <w:p w14:paraId="081F29C6" w14:textId="1D31620F"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736" w:type="dxa"/>
            <w:tcBorders>
              <w:top w:val="nil"/>
              <w:left w:val="nil"/>
              <w:bottom w:val="nil"/>
              <w:right w:val="nil"/>
            </w:tcBorders>
            <w:vAlign w:val="bottom"/>
          </w:tcPr>
          <w:p w14:paraId="2E924D06" w14:textId="13BBD280"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616" w:type="dxa"/>
            <w:tcBorders>
              <w:top w:val="nil"/>
              <w:left w:val="nil"/>
              <w:bottom w:val="nil"/>
              <w:right w:val="nil"/>
            </w:tcBorders>
            <w:vAlign w:val="bottom"/>
          </w:tcPr>
          <w:p w14:paraId="3DA1AC95" w14:textId="27874514"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737" w:type="dxa"/>
            <w:tcBorders>
              <w:top w:val="nil"/>
              <w:left w:val="nil"/>
              <w:bottom w:val="nil"/>
              <w:right w:val="nil"/>
            </w:tcBorders>
            <w:vAlign w:val="bottom"/>
          </w:tcPr>
          <w:p w14:paraId="7E669BF4" w14:textId="0B71DC2C"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736" w:type="dxa"/>
            <w:tcBorders>
              <w:top w:val="nil"/>
              <w:left w:val="nil"/>
              <w:bottom w:val="nil"/>
              <w:right w:val="nil"/>
            </w:tcBorders>
            <w:vAlign w:val="bottom"/>
          </w:tcPr>
          <w:p w14:paraId="4179D8F3" w14:textId="2A183789"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612" w:type="dxa"/>
            <w:tcBorders>
              <w:top w:val="nil"/>
              <w:left w:val="nil"/>
              <w:bottom w:val="nil"/>
              <w:right w:val="nil"/>
            </w:tcBorders>
            <w:vAlign w:val="bottom"/>
          </w:tcPr>
          <w:p w14:paraId="7A84BF1C" w14:textId="7E175B68"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267" w:type="dxa"/>
            <w:tcBorders>
              <w:top w:val="nil"/>
              <w:left w:val="nil"/>
              <w:bottom w:val="nil"/>
              <w:right w:val="nil"/>
            </w:tcBorders>
          </w:tcPr>
          <w:p w14:paraId="441C16E9" w14:textId="77777777" w:rsidR="00E6519F" w:rsidRPr="00BF28F2" w:rsidRDefault="00E6519F" w:rsidP="006A5664">
            <w:pPr>
              <w:spacing w:before="20"/>
              <w:ind w:left="144" w:hanging="144"/>
              <w:jc w:val="left"/>
              <w:rPr>
                <w:b/>
                <w:bCs/>
                <w:color w:val="000000"/>
                <w:sz w:val="18"/>
                <w:szCs w:val="18"/>
                <w:rtl/>
                <w:lang w:eastAsia="he-IL"/>
              </w:rPr>
            </w:pPr>
          </w:p>
        </w:tc>
        <w:tc>
          <w:tcPr>
            <w:tcW w:w="846" w:type="dxa"/>
            <w:tcBorders>
              <w:top w:val="nil"/>
              <w:left w:val="nil"/>
              <w:bottom w:val="nil"/>
              <w:right w:val="nil"/>
            </w:tcBorders>
            <w:vAlign w:val="bottom"/>
          </w:tcPr>
          <w:p w14:paraId="362B121C" w14:textId="490446C7"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734" w:type="dxa"/>
            <w:tcBorders>
              <w:top w:val="nil"/>
              <w:left w:val="nil"/>
              <w:bottom w:val="nil"/>
              <w:right w:val="nil"/>
            </w:tcBorders>
            <w:vAlign w:val="bottom"/>
          </w:tcPr>
          <w:p w14:paraId="2D629C88" w14:textId="1AACCAE7"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684" w:type="dxa"/>
            <w:tcBorders>
              <w:top w:val="nil"/>
              <w:left w:val="nil"/>
              <w:bottom w:val="nil"/>
              <w:right w:val="nil"/>
            </w:tcBorders>
            <w:vAlign w:val="bottom"/>
          </w:tcPr>
          <w:p w14:paraId="3B1BD783" w14:textId="71F0B830"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734" w:type="dxa"/>
            <w:tcBorders>
              <w:top w:val="nil"/>
              <w:left w:val="nil"/>
              <w:bottom w:val="nil"/>
              <w:right w:val="nil"/>
            </w:tcBorders>
            <w:vAlign w:val="bottom"/>
          </w:tcPr>
          <w:p w14:paraId="362788B8" w14:textId="3AD6F316"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736" w:type="dxa"/>
            <w:tcBorders>
              <w:top w:val="nil"/>
              <w:left w:val="nil"/>
              <w:bottom w:val="nil"/>
              <w:right w:val="nil"/>
            </w:tcBorders>
            <w:vAlign w:val="bottom"/>
          </w:tcPr>
          <w:p w14:paraId="25B4C34D" w14:textId="63387153"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532" w:type="dxa"/>
            <w:tcBorders>
              <w:top w:val="nil"/>
              <w:left w:val="nil"/>
              <w:bottom w:val="nil"/>
              <w:right w:val="nil"/>
            </w:tcBorders>
            <w:vAlign w:val="bottom"/>
          </w:tcPr>
          <w:p w14:paraId="22B52D40" w14:textId="0760714C"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r>
      <w:tr w:rsidR="00920568" w:rsidRPr="003A2007" w14:paraId="0AA415E0" w14:textId="1B95C6A5" w:rsidTr="00920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dxa"/>
            <w:gridSpan w:val="2"/>
            <w:tcBorders>
              <w:top w:val="nil"/>
              <w:left w:val="nil"/>
              <w:bottom w:val="nil"/>
              <w:right w:val="nil"/>
            </w:tcBorders>
            <w:vAlign w:val="bottom"/>
            <w:hideMark/>
          </w:tcPr>
          <w:p w14:paraId="3AB9C0E5" w14:textId="77777777" w:rsidR="00E6519F" w:rsidRPr="00E6519F" w:rsidRDefault="00E6519F" w:rsidP="006A5664">
            <w:pPr>
              <w:spacing w:before="20"/>
              <w:ind w:left="57" w:hanging="144"/>
              <w:jc w:val="left"/>
              <w:rPr>
                <w:color w:val="000000"/>
                <w:sz w:val="17"/>
                <w:szCs w:val="17"/>
                <w:rtl/>
                <w:lang w:eastAsia="he-IL"/>
              </w:rPr>
            </w:pPr>
            <w:r w:rsidRPr="00E6519F">
              <w:rPr>
                <w:rFonts w:hint="cs"/>
                <w:color w:val="000000"/>
                <w:sz w:val="17"/>
                <w:szCs w:val="17"/>
                <w:rtl/>
                <w:lang w:eastAsia="he-IL"/>
              </w:rPr>
              <w:t>מזה: נגזרים מגדרים</w:t>
            </w:r>
          </w:p>
        </w:tc>
        <w:tc>
          <w:tcPr>
            <w:tcW w:w="734" w:type="dxa"/>
            <w:gridSpan w:val="2"/>
            <w:tcBorders>
              <w:top w:val="nil"/>
              <w:left w:val="nil"/>
              <w:bottom w:val="nil"/>
              <w:right w:val="nil"/>
            </w:tcBorders>
            <w:vAlign w:val="bottom"/>
            <w:hideMark/>
          </w:tcPr>
          <w:p w14:paraId="0329D947"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734" w:type="dxa"/>
            <w:tcBorders>
              <w:top w:val="nil"/>
              <w:left w:val="nil"/>
              <w:bottom w:val="nil"/>
              <w:right w:val="nil"/>
            </w:tcBorders>
            <w:vAlign w:val="bottom"/>
            <w:hideMark/>
          </w:tcPr>
          <w:p w14:paraId="7781223A"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611" w:type="dxa"/>
            <w:tcBorders>
              <w:top w:val="nil"/>
              <w:left w:val="nil"/>
              <w:bottom w:val="nil"/>
              <w:right w:val="nil"/>
            </w:tcBorders>
            <w:vAlign w:val="bottom"/>
            <w:hideMark/>
          </w:tcPr>
          <w:p w14:paraId="300AF612"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738" w:type="dxa"/>
            <w:tcBorders>
              <w:top w:val="nil"/>
              <w:left w:val="nil"/>
              <w:bottom w:val="nil"/>
              <w:right w:val="nil"/>
            </w:tcBorders>
            <w:vAlign w:val="bottom"/>
            <w:hideMark/>
          </w:tcPr>
          <w:p w14:paraId="2F8EE9C8"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734" w:type="dxa"/>
            <w:tcBorders>
              <w:top w:val="nil"/>
              <w:left w:val="nil"/>
              <w:bottom w:val="nil"/>
              <w:right w:val="nil"/>
            </w:tcBorders>
            <w:vAlign w:val="bottom"/>
            <w:hideMark/>
          </w:tcPr>
          <w:p w14:paraId="18AB5DF3"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614" w:type="dxa"/>
            <w:tcBorders>
              <w:top w:val="nil"/>
              <w:left w:val="nil"/>
              <w:bottom w:val="nil"/>
              <w:right w:val="nil"/>
            </w:tcBorders>
            <w:vAlign w:val="bottom"/>
            <w:hideMark/>
          </w:tcPr>
          <w:p w14:paraId="013FE0EA"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224" w:type="dxa"/>
            <w:tcBorders>
              <w:top w:val="nil"/>
              <w:left w:val="nil"/>
              <w:bottom w:val="nil"/>
              <w:right w:val="nil"/>
            </w:tcBorders>
          </w:tcPr>
          <w:p w14:paraId="7037125C" w14:textId="77777777" w:rsidR="00E6519F" w:rsidRPr="00BF28F2" w:rsidRDefault="00E6519F" w:rsidP="006A5664">
            <w:pPr>
              <w:spacing w:before="20"/>
              <w:ind w:left="144" w:hanging="144"/>
              <w:jc w:val="left"/>
              <w:rPr>
                <w:color w:val="000000"/>
                <w:sz w:val="18"/>
                <w:szCs w:val="18"/>
                <w:rtl/>
                <w:lang w:eastAsia="he-IL"/>
              </w:rPr>
            </w:pPr>
          </w:p>
        </w:tc>
        <w:tc>
          <w:tcPr>
            <w:tcW w:w="767" w:type="dxa"/>
            <w:tcBorders>
              <w:top w:val="nil"/>
              <w:left w:val="nil"/>
              <w:bottom w:val="nil"/>
              <w:right w:val="nil"/>
            </w:tcBorders>
            <w:vAlign w:val="bottom"/>
          </w:tcPr>
          <w:p w14:paraId="3250F235" w14:textId="266AF49E"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736" w:type="dxa"/>
            <w:tcBorders>
              <w:top w:val="nil"/>
              <w:left w:val="nil"/>
              <w:bottom w:val="nil"/>
              <w:right w:val="nil"/>
            </w:tcBorders>
            <w:vAlign w:val="bottom"/>
          </w:tcPr>
          <w:p w14:paraId="6668A009" w14:textId="5588D142"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616" w:type="dxa"/>
            <w:tcBorders>
              <w:top w:val="nil"/>
              <w:left w:val="nil"/>
              <w:bottom w:val="nil"/>
              <w:right w:val="nil"/>
            </w:tcBorders>
            <w:vAlign w:val="bottom"/>
          </w:tcPr>
          <w:p w14:paraId="56D06FBB" w14:textId="7CD0A724"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737" w:type="dxa"/>
            <w:tcBorders>
              <w:top w:val="nil"/>
              <w:left w:val="nil"/>
              <w:bottom w:val="nil"/>
              <w:right w:val="nil"/>
            </w:tcBorders>
            <w:vAlign w:val="bottom"/>
          </w:tcPr>
          <w:p w14:paraId="155B3972" w14:textId="6BA90BEF"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736" w:type="dxa"/>
            <w:tcBorders>
              <w:top w:val="nil"/>
              <w:left w:val="nil"/>
              <w:bottom w:val="nil"/>
              <w:right w:val="nil"/>
            </w:tcBorders>
            <w:vAlign w:val="bottom"/>
          </w:tcPr>
          <w:p w14:paraId="67B77C17" w14:textId="4F3BB36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612" w:type="dxa"/>
            <w:tcBorders>
              <w:top w:val="nil"/>
              <w:left w:val="nil"/>
              <w:bottom w:val="nil"/>
              <w:right w:val="nil"/>
            </w:tcBorders>
            <w:vAlign w:val="bottom"/>
          </w:tcPr>
          <w:p w14:paraId="0520689C" w14:textId="405E5FB1"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267" w:type="dxa"/>
            <w:tcBorders>
              <w:top w:val="nil"/>
              <w:left w:val="nil"/>
              <w:bottom w:val="nil"/>
              <w:right w:val="nil"/>
            </w:tcBorders>
          </w:tcPr>
          <w:p w14:paraId="32BA6246" w14:textId="77777777" w:rsidR="00E6519F" w:rsidRPr="00BF28F2" w:rsidRDefault="00E6519F" w:rsidP="006A5664">
            <w:pPr>
              <w:spacing w:before="20"/>
              <w:ind w:left="144" w:hanging="144"/>
              <w:jc w:val="left"/>
              <w:rPr>
                <w:color w:val="000000"/>
                <w:sz w:val="18"/>
                <w:szCs w:val="18"/>
                <w:rtl/>
                <w:lang w:eastAsia="he-IL"/>
              </w:rPr>
            </w:pPr>
          </w:p>
        </w:tc>
        <w:tc>
          <w:tcPr>
            <w:tcW w:w="846" w:type="dxa"/>
            <w:tcBorders>
              <w:top w:val="nil"/>
              <w:left w:val="nil"/>
              <w:bottom w:val="nil"/>
              <w:right w:val="nil"/>
            </w:tcBorders>
            <w:vAlign w:val="bottom"/>
          </w:tcPr>
          <w:p w14:paraId="5BF26BFA" w14:textId="04A7C19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734" w:type="dxa"/>
            <w:tcBorders>
              <w:top w:val="nil"/>
              <w:left w:val="nil"/>
              <w:bottom w:val="nil"/>
              <w:right w:val="nil"/>
            </w:tcBorders>
            <w:vAlign w:val="bottom"/>
          </w:tcPr>
          <w:p w14:paraId="7E252CF5" w14:textId="50BF8FED"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684" w:type="dxa"/>
            <w:tcBorders>
              <w:top w:val="nil"/>
              <w:left w:val="nil"/>
              <w:bottom w:val="nil"/>
              <w:right w:val="nil"/>
            </w:tcBorders>
            <w:vAlign w:val="bottom"/>
          </w:tcPr>
          <w:p w14:paraId="733ABCB8" w14:textId="600155BB"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734" w:type="dxa"/>
            <w:tcBorders>
              <w:top w:val="nil"/>
              <w:left w:val="nil"/>
              <w:bottom w:val="nil"/>
              <w:right w:val="nil"/>
            </w:tcBorders>
            <w:vAlign w:val="bottom"/>
          </w:tcPr>
          <w:p w14:paraId="2F66D9A7" w14:textId="2E42D095"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736" w:type="dxa"/>
            <w:tcBorders>
              <w:top w:val="nil"/>
              <w:left w:val="nil"/>
              <w:bottom w:val="nil"/>
              <w:right w:val="nil"/>
            </w:tcBorders>
            <w:vAlign w:val="bottom"/>
          </w:tcPr>
          <w:p w14:paraId="17B8AA6C" w14:textId="5448C250"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c>
          <w:tcPr>
            <w:tcW w:w="532" w:type="dxa"/>
            <w:tcBorders>
              <w:top w:val="nil"/>
              <w:left w:val="nil"/>
              <w:bottom w:val="nil"/>
              <w:right w:val="nil"/>
            </w:tcBorders>
            <w:vAlign w:val="bottom"/>
          </w:tcPr>
          <w:p w14:paraId="226EA10A" w14:textId="06535D45"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 </w:t>
            </w:r>
          </w:p>
        </w:tc>
      </w:tr>
      <w:tr w:rsidR="00920568" w14:paraId="1430D424" w14:textId="0924D221" w:rsidTr="00920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dxa"/>
            <w:gridSpan w:val="2"/>
            <w:tcBorders>
              <w:top w:val="nil"/>
              <w:left w:val="nil"/>
              <w:bottom w:val="nil"/>
              <w:right w:val="nil"/>
            </w:tcBorders>
            <w:vAlign w:val="bottom"/>
            <w:hideMark/>
          </w:tcPr>
          <w:p w14:paraId="0486210F" w14:textId="77777777" w:rsidR="00E6519F" w:rsidRPr="00E6519F" w:rsidRDefault="00E6519F" w:rsidP="006A5664">
            <w:pPr>
              <w:spacing w:before="20"/>
              <w:ind w:left="57" w:hanging="144"/>
              <w:jc w:val="left"/>
              <w:rPr>
                <w:color w:val="000000"/>
                <w:sz w:val="17"/>
                <w:szCs w:val="17"/>
                <w:rtl/>
                <w:lang w:eastAsia="he-IL"/>
              </w:rPr>
            </w:pPr>
            <w:r w:rsidRPr="00E6519F">
              <w:rPr>
                <w:rFonts w:hint="cs"/>
                <w:b/>
                <w:bCs/>
                <w:color w:val="000000"/>
                <w:sz w:val="17"/>
                <w:szCs w:val="17"/>
                <w:rtl/>
                <w:lang w:eastAsia="he-IL"/>
              </w:rPr>
              <w:t>חוזים בגין מניות</w:t>
            </w:r>
          </w:p>
        </w:tc>
        <w:tc>
          <w:tcPr>
            <w:tcW w:w="734" w:type="dxa"/>
            <w:gridSpan w:val="2"/>
            <w:tcBorders>
              <w:top w:val="nil"/>
              <w:left w:val="nil"/>
              <w:bottom w:val="nil"/>
              <w:right w:val="nil"/>
            </w:tcBorders>
            <w:vAlign w:val="bottom"/>
            <w:hideMark/>
          </w:tcPr>
          <w:p w14:paraId="28AEF698"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734" w:type="dxa"/>
            <w:tcBorders>
              <w:top w:val="nil"/>
              <w:left w:val="nil"/>
              <w:bottom w:val="nil"/>
              <w:right w:val="nil"/>
            </w:tcBorders>
            <w:vAlign w:val="bottom"/>
            <w:hideMark/>
          </w:tcPr>
          <w:p w14:paraId="5B36FD42"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611" w:type="dxa"/>
            <w:tcBorders>
              <w:top w:val="nil"/>
              <w:left w:val="nil"/>
              <w:bottom w:val="nil"/>
              <w:right w:val="nil"/>
            </w:tcBorders>
            <w:vAlign w:val="bottom"/>
            <w:hideMark/>
          </w:tcPr>
          <w:p w14:paraId="679EB739"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738" w:type="dxa"/>
            <w:tcBorders>
              <w:top w:val="nil"/>
              <w:left w:val="nil"/>
              <w:bottom w:val="nil"/>
              <w:right w:val="nil"/>
            </w:tcBorders>
            <w:vAlign w:val="bottom"/>
            <w:hideMark/>
          </w:tcPr>
          <w:p w14:paraId="4EE7F546"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734" w:type="dxa"/>
            <w:tcBorders>
              <w:top w:val="nil"/>
              <w:left w:val="nil"/>
              <w:bottom w:val="nil"/>
              <w:right w:val="nil"/>
            </w:tcBorders>
            <w:vAlign w:val="bottom"/>
            <w:hideMark/>
          </w:tcPr>
          <w:p w14:paraId="33B96A07"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614" w:type="dxa"/>
            <w:tcBorders>
              <w:top w:val="nil"/>
              <w:left w:val="nil"/>
              <w:bottom w:val="nil"/>
              <w:right w:val="nil"/>
            </w:tcBorders>
            <w:vAlign w:val="bottom"/>
            <w:hideMark/>
          </w:tcPr>
          <w:p w14:paraId="6B256216"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224" w:type="dxa"/>
            <w:tcBorders>
              <w:top w:val="nil"/>
              <w:left w:val="nil"/>
              <w:bottom w:val="nil"/>
              <w:right w:val="nil"/>
            </w:tcBorders>
          </w:tcPr>
          <w:p w14:paraId="1C433538" w14:textId="77777777" w:rsidR="00E6519F" w:rsidRPr="00BF28F2" w:rsidRDefault="00E6519F" w:rsidP="006A5664">
            <w:pPr>
              <w:spacing w:before="20"/>
              <w:ind w:left="144" w:hanging="144"/>
              <w:jc w:val="left"/>
              <w:rPr>
                <w:b/>
                <w:bCs/>
                <w:color w:val="000000"/>
                <w:sz w:val="18"/>
                <w:szCs w:val="18"/>
                <w:rtl/>
                <w:lang w:eastAsia="he-IL"/>
              </w:rPr>
            </w:pPr>
          </w:p>
        </w:tc>
        <w:tc>
          <w:tcPr>
            <w:tcW w:w="767" w:type="dxa"/>
            <w:tcBorders>
              <w:top w:val="nil"/>
              <w:left w:val="nil"/>
              <w:bottom w:val="nil"/>
              <w:right w:val="nil"/>
            </w:tcBorders>
            <w:vAlign w:val="bottom"/>
          </w:tcPr>
          <w:p w14:paraId="5AE14C30" w14:textId="0BC83FC6"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736" w:type="dxa"/>
            <w:tcBorders>
              <w:top w:val="nil"/>
              <w:left w:val="nil"/>
              <w:bottom w:val="nil"/>
              <w:right w:val="nil"/>
            </w:tcBorders>
            <w:vAlign w:val="bottom"/>
          </w:tcPr>
          <w:p w14:paraId="1034A0FC" w14:textId="6909802B"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616" w:type="dxa"/>
            <w:tcBorders>
              <w:top w:val="nil"/>
              <w:left w:val="nil"/>
              <w:bottom w:val="nil"/>
              <w:right w:val="nil"/>
            </w:tcBorders>
            <w:vAlign w:val="bottom"/>
          </w:tcPr>
          <w:p w14:paraId="4E10AB54" w14:textId="2C86E6BC"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737" w:type="dxa"/>
            <w:tcBorders>
              <w:top w:val="nil"/>
              <w:left w:val="nil"/>
              <w:bottom w:val="nil"/>
              <w:right w:val="nil"/>
            </w:tcBorders>
            <w:vAlign w:val="bottom"/>
          </w:tcPr>
          <w:p w14:paraId="70898FCD" w14:textId="4E4E9077"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736" w:type="dxa"/>
            <w:tcBorders>
              <w:top w:val="nil"/>
              <w:left w:val="nil"/>
              <w:bottom w:val="nil"/>
              <w:right w:val="nil"/>
            </w:tcBorders>
            <w:vAlign w:val="bottom"/>
          </w:tcPr>
          <w:p w14:paraId="685EA6F4" w14:textId="3708FAB9"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612" w:type="dxa"/>
            <w:tcBorders>
              <w:top w:val="nil"/>
              <w:left w:val="nil"/>
              <w:bottom w:val="nil"/>
              <w:right w:val="nil"/>
            </w:tcBorders>
            <w:vAlign w:val="bottom"/>
          </w:tcPr>
          <w:p w14:paraId="1237C5AC" w14:textId="6E876EB6"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267" w:type="dxa"/>
            <w:tcBorders>
              <w:top w:val="nil"/>
              <w:left w:val="nil"/>
              <w:bottom w:val="nil"/>
              <w:right w:val="nil"/>
            </w:tcBorders>
          </w:tcPr>
          <w:p w14:paraId="72052596" w14:textId="77777777" w:rsidR="00E6519F" w:rsidRPr="00BF28F2" w:rsidRDefault="00E6519F" w:rsidP="006A5664">
            <w:pPr>
              <w:spacing w:before="20"/>
              <w:ind w:left="144" w:hanging="144"/>
              <w:jc w:val="left"/>
              <w:rPr>
                <w:b/>
                <w:bCs/>
                <w:color w:val="000000"/>
                <w:sz w:val="18"/>
                <w:szCs w:val="18"/>
                <w:rtl/>
                <w:lang w:eastAsia="he-IL"/>
              </w:rPr>
            </w:pPr>
          </w:p>
        </w:tc>
        <w:tc>
          <w:tcPr>
            <w:tcW w:w="846" w:type="dxa"/>
            <w:tcBorders>
              <w:top w:val="nil"/>
              <w:left w:val="nil"/>
              <w:bottom w:val="nil"/>
              <w:right w:val="nil"/>
            </w:tcBorders>
            <w:vAlign w:val="bottom"/>
          </w:tcPr>
          <w:p w14:paraId="649DF921" w14:textId="3358D58C"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734" w:type="dxa"/>
            <w:tcBorders>
              <w:top w:val="nil"/>
              <w:left w:val="nil"/>
              <w:bottom w:val="nil"/>
              <w:right w:val="nil"/>
            </w:tcBorders>
            <w:vAlign w:val="bottom"/>
          </w:tcPr>
          <w:p w14:paraId="1B6B4939" w14:textId="42B4DD34"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684" w:type="dxa"/>
            <w:tcBorders>
              <w:top w:val="nil"/>
              <w:left w:val="nil"/>
              <w:bottom w:val="nil"/>
              <w:right w:val="nil"/>
            </w:tcBorders>
            <w:vAlign w:val="bottom"/>
          </w:tcPr>
          <w:p w14:paraId="7DE4C833" w14:textId="2F96F992"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734" w:type="dxa"/>
            <w:tcBorders>
              <w:top w:val="nil"/>
              <w:left w:val="nil"/>
              <w:bottom w:val="nil"/>
              <w:right w:val="nil"/>
            </w:tcBorders>
            <w:vAlign w:val="bottom"/>
          </w:tcPr>
          <w:p w14:paraId="4CE14B15" w14:textId="4DF11C2C"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736" w:type="dxa"/>
            <w:tcBorders>
              <w:top w:val="nil"/>
              <w:left w:val="nil"/>
              <w:bottom w:val="nil"/>
              <w:right w:val="nil"/>
            </w:tcBorders>
            <w:vAlign w:val="bottom"/>
          </w:tcPr>
          <w:p w14:paraId="7A0A3686" w14:textId="35D29E6C"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532" w:type="dxa"/>
            <w:tcBorders>
              <w:top w:val="nil"/>
              <w:left w:val="nil"/>
              <w:bottom w:val="nil"/>
              <w:right w:val="nil"/>
            </w:tcBorders>
            <w:vAlign w:val="bottom"/>
          </w:tcPr>
          <w:p w14:paraId="74DAA0F9" w14:textId="6C14784A"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r>
      <w:tr w:rsidR="00920568" w14:paraId="2D20CF1C" w14:textId="025E58B0" w:rsidTr="00920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dxa"/>
            <w:gridSpan w:val="2"/>
            <w:tcBorders>
              <w:top w:val="nil"/>
              <w:left w:val="nil"/>
              <w:bottom w:val="nil"/>
              <w:right w:val="nil"/>
            </w:tcBorders>
            <w:vAlign w:val="bottom"/>
            <w:hideMark/>
          </w:tcPr>
          <w:p w14:paraId="33364439" w14:textId="77777777" w:rsidR="00E6519F" w:rsidRPr="00E6519F" w:rsidRDefault="00E6519F" w:rsidP="006A5664">
            <w:pPr>
              <w:spacing w:before="20"/>
              <w:ind w:left="57" w:hanging="144"/>
              <w:jc w:val="left"/>
              <w:rPr>
                <w:b/>
                <w:bCs/>
                <w:color w:val="000000"/>
                <w:sz w:val="17"/>
                <w:szCs w:val="17"/>
                <w:rtl/>
                <w:lang w:eastAsia="he-IL"/>
              </w:rPr>
            </w:pPr>
            <w:r w:rsidRPr="00E6519F">
              <w:rPr>
                <w:rFonts w:hint="cs"/>
                <w:b/>
                <w:bCs/>
                <w:color w:val="000000"/>
                <w:sz w:val="17"/>
                <w:szCs w:val="17"/>
                <w:rtl/>
                <w:lang w:eastAsia="he-IL"/>
              </w:rPr>
              <w:t>חוזי סחורות ואחרים</w:t>
            </w:r>
          </w:p>
        </w:tc>
        <w:tc>
          <w:tcPr>
            <w:tcW w:w="734" w:type="dxa"/>
            <w:gridSpan w:val="2"/>
            <w:tcBorders>
              <w:top w:val="nil"/>
              <w:left w:val="nil"/>
              <w:bottom w:val="nil"/>
              <w:right w:val="nil"/>
            </w:tcBorders>
            <w:vAlign w:val="bottom"/>
            <w:hideMark/>
          </w:tcPr>
          <w:p w14:paraId="43E41D7E" w14:textId="77777777" w:rsidR="00E6519F" w:rsidRPr="00BF28F2" w:rsidRDefault="00E6519F" w:rsidP="006A5664">
            <w:pPr>
              <w:spacing w:before="20"/>
              <w:ind w:left="144" w:hanging="144"/>
              <w:jc w:val="left"/>
              <w:rPr>
                <w:color w:val="000000"/>
                <w:sz w:val="18"/>
                <w:szCs w:val="18"/>
                <w:lang w:eastAsia="he-IL"/>
              </w:rPr>
            </w:pPr>
            <w:r w:rsidRPr="00BF28F2">
              <w:rPr>
                <w:b/>
                <w:bCs/>
                <w:color w:val="000000"/>
                <w:sz w:val="18"/>
                <w:szCs w:val="18"/>
                <w:rtl/>
                <w:lang w:eastAsia="he-IL"/>
              </w:rPr>
              <w:t xml:space="preserve"> </w:t>
            </w:r>
            <w:r w:rsidRPr="00BF28F2">
              <w:rPr>
                <w:rFonts w:hint="cs"/>
                <w:b/>
                <w:bCs/>
                <w:color w:val="000000"/>
                <w:sz w:val="18"/>
                <w:szCs w:val="18"/>
                <w:rtl/>
                <w:lang w:eastAsia="he-IL"/>
              </w:rPr>
              <w:t>0</w:t>
            </w:r>
          </w:p>
        </w:tc>
        <w:tc>
          <w:tcPr>
            <w:tcW w:w="734" w:type="dxa"/>
            <w:tcBorders>
              <w:top w:val="nil"/>
              <w:left w:val="nil"/>
              <w:bottom w:val="nil"/>
              <w:right w:val="nil"/>
            </w:tcBorders>
            <w:vAlign w:val="bottom"/>
            <w:hideMark/>
          </w:tcPr>
          <w:p w14:paraId="214C3BFF"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611" w:type="dxa"/>
            <w:tcBorders>
              <w:top w:val="nil"/>
              <w:left w:val="nil"/>
              <w:bottom w:val="nil"/>
              <w:right w:val="nil"/>
            </w:tcBorders>
            <w:vAlign w:val="bottom"/>
            <w:hideMark/>
          </w:tcPr>
          <w:p w14:paraId="04A67B95"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738" w:type="dxa"/>
            <w:tcBorders>
              <w:top w:val="nil"/>
              <w:left w:val="nil"/>
              <w:bottom w:val="nil"/>
              <w:right w:val="nil"/>
            </w:tcBorders>
            <w:vAlign w:val="bottom"/>
            <w:hideMark/>
          </w:tcPr>
          <w:p w14:paraId="01DFC3B9"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734" w:type="dxa"/>
            <w:tcBorders>
              <w:top w:val="nil"/>
              <w:left w:val="nil"/>
              <w:bottom w:val="nil"/>
              <w:right w:val="nil"/>
            </w:tcBorders>
            <w:vAlign w:val="bottom"/>
            <w:hideMark/>
          </w:tcPr>
          <w:p w14:paraId="0064335A"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614" w:type="dxa"/>
            <w:tcBorders>
              <w:top w:val="nil"/>
              <w:left w:val="nil"/>
              <w:bottom w:val="nil"/>
              <w:right w:val="nil"/>
            </w:tcBorders>
            <w:vAlign w:val="bottom"/>
            <w:hideMark/>
          </w:tcPr>
          <w:p w14:paraId="1F12BE72" w14:textId="77777777" w:rsidR="00E6519F" w:rsidRPr="00BF28F2" w:rsidRDefault="00E6519F" w:rsidP="006A5664">
            <w:pPr>
              <w:spacing w:before="20"/>
              <w:ind w:left="144" w:hanging="144"/>
              <w:jc w:val="left"/>
              <w:rPr>
                <w:color w:val="000000"/>
                <w:sz w:val="18"/>
                <w:szCs w:val="18"/>
                <w:rtl/>
                <w:lang w:eastAsia="he-IL"/>
              </w:rPr>
            </w:pPr>
            <w:r w:rsidRPr="00BF28F2">
              <w:rPr>
                <w:rFonts w:hint="cs"/>
                <w:b/>
                <w:bCs/>
                <w:color w:val="000000"/>
                <w:sz w:val="18"/>
                <w:szCs w:val="18"/>
                <w:rtl/>
                <w:lang w:eastAsia="he-IL"/>
              </w:rPr>
              <w:t xml:space="preserve"> 0</w:t>
            </w:r>
          </w:p>
        </w:tc>
        <w:tc>
          <w:tcPr>
            <w:tcW w:w="224" w:type="dxa"/>
            <w:tcBorders>
              <w:top w:val="nil"/>
              <w:left w:val="nil"/>
              <w:bottom w:val="nil"/>
              <w:right w:val="nil"/>
            </w:tcBorders>
          </w:tcPr>
          <w:p w14:paraId="71D9ABC5" w14:textId="77777777" w:rsidR="00E6519F" w:rsidRPr="00BF28F2" w:rsidRDefault="00E6519F" w:rsidP="006A5664">
            <w:pPr>
              <w:spacing w:before="20"/>
              <w:ind w:left="144" w:hanging="144"/>
              <w:jc w:val="left"/>
              <w:rPr>
                <w:b/>
                <w:bCs/>
                <w:color w:val="000000"/>
                <w:sz w:val="18"/>
                <w:szCs w:val="18"/>
                <w:rtl/>
                <w:lang w:eastAsia="he-IL"/>
              </w:rPr>
            </w:pPr>
          </w:p>
        </w:tc>
        <w:tc>
          <w:tcPr>
            <w:tcW w:w="767" w:type="dxa"/>
            <w:tcBorders>
              <w:top w:val="nil"/>
              <w:left w:val="nil"/>
              <w:bottom w:val="nil"/>
              <w:right w:val="nil"/>
            </w:tcBorders>
            <w:vAlign w:val="bottom"/>
          </w:tcPr>
          <w:p w14:paraId="21F50135" w14:textId="595D7837" w:rsidR="00E6519F" w:rsidRPr="00BF28F2" w:rsidRDefault="00E6519F" w:rsidP="006A5664">
            <w:pPr>
              <w:spacing w:before="20"/>
              <w:ind w:left="144" w:hanging="144"/>
              <w:jc w:val="left"/>
              <w:rPr>
                <w:b/>
                <w:bCs/>
                <w:color w:val="000000"/>
                <w:sz w:val="18"/>
                <w:szCs w:val="18"/>
                <w:rtl/>
                <w:lang w:eastAsia="he-IL"/>
              </w:rPr>
            </w:pPr>
            <w:r w:rsidRPr="00BF28F2">
              <w:rPr>
                <w:b/>
                <w:bCs/>
                <w:color w:val="000000"/>
                <w:sz w:val="18"/>
                <w:szCs w:val="18"/>
                <w:rtl/>
                <w:lang w:eastAsia="he-IL"/>
              </w:rPr>
              <w:t xml:space="preserve"> </w:t>
            </w:r>
            <w:r w:rsidRPr="00BF28F2">
              <w:rPr>
                <w:rFonts w:hint="cs"/>
                <w:b/>
                <w:bCs/>
                <w:color w:val="000000"/>
                <w:sz w:val="18"/>
                <w:szCs w:val="18"/>
                <w:rtl/>
                <w:lang w:eastAsia="he-IL"/>
              </w:rPr>
              <w:t>0</w:t>
            </w:r>
          </w:p>
        </w:tc>
        <w:tc>
          <w:tcPr>
            <w:tcW w:w="736" w:type="dxa"/>
            <w:tcBorders>
              <w:top w:val="nil"/>
              <w:left w:val="nil"/>
              <w:bottom w:val="nil"/>
              <w:right w:val="nil"/>
            </w:tcBorders>
            <w:vAlign w:val="bottom"/>
          </w:tcPr>
          <w:p w14:paraId="4F3C11B1" w14:textId="452C1B44"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616" w:type="dxa"/>
            <w:tcBorders>
              <w:top w:val="nil"/>
              <w:left w:val="nil"/>
              <w:bottom w:val="nil"/>
              <w:right w:val="nil"/>
            </w:tcBorders>
            <w:vAlign w:val="bottom"/>
          </w:tcPr>
          <w:p w14:paraId="4E7F848F" w14:textId="481EDEDD"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737" w:type="dxa"/>
            <w:tcBorders>
              <w:top w:val="nil"/>
              <w:left w:val="nil"/>
              <w:bottom w:val="nil"/>
              <w:right w:val="nil"/>
            </w:tcBorders>
            <w:vAlign w:val="bottom"/>
          </w:tcPr>
          <w:p w14:paraId="0D0D4E99" w14:textId="635891FC"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736" w:type="dxa"/>
            <w:tcBorders>
              <w:top w:val="nil"/>
              <w:left w:val="nil"/>
              <w:bottom w:val="nil"/>
              <w:right w:val="nil"/>
            </w:tcBorders>
            <w:vAlign w:val="bottom"/>
          </w:tcPr>
          <w:p w14:paraId="528D0598" w14:textId="57E5583F"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612" w:type="dxa"/>
            <w:tcBorders>
              <w:top w:val="nil"/>
              <w:left w:val="nil"/>
              <w:bottom w:val="nil"/>
              <w:right w:val="nil"/>
            </w:tcBorders>
            <w:vAlign w:val="bottom"/>
          </w:tcPr>
          <w:p w14:paraId="071C7309" w14:textId="147751B7"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267" w:type="dxa"/>
            <w:tcBorders>
              <w:top w:val="nil"/>
              <w:left w:val="nil"/>
              <w:bottom w:val="nil"/>
              <w:right w:val="nil"/>
            </w:tcBorders>
          </w:tcPr>
          <w:p w14:paraId="26FAEF00" w14:textId="77777777" w:rsidR="00E6519F" w:rsidRPr="00BF28F2" w:rsidRDefault="00E6519F" w:rsidP="006A5664">
            <w:pPr>
              <w:spacing w:before="20"/>
              <w:ind w:left="144" w:hanging="144"/>
              <w:jc w:val="left"/>
              <w:rPr>
                <w:b/>
                <w:bCs/>
                <w:color w:val="000000"/>
                <w:sz w:val="18"/>
                <w:szCs w:val="18"/>
                <w:rtl/>
                <w:lang w:eastAsia="he-IL"/>
              </w:rPr>
            </w:pPr>
          </w:p>
        </w:tc>
        <w:tc>
          <w:tcPr>
            <w:tcW w:w="846" w:type="dxa"/>
            <w:tcBorders>
              <w:top w:val="nil"/>
              <w:left w:val="nil"/>
              <w:bottom w:val="nil"/>
              <w:right w:val="nil"/>
            </w:tcBorders>
            <w:vAlign w:val="bottom"/>
          </w:tcPr>
          <w:p w14:paraId="787CFE86" w14:textId="4A7FE181" w:rsidR="00E6519F" w:rsidRPr="00BF28F2" w:rsidRDefault="00E6519F" w:rsidP="006A5664">
            <w:pPr>
              <w:spacing w:before="20"/>
              <w:ind w:left="144" w:hanging="144"/>
              <w:jc w:val="left"/>
              <w:rPr>
                <w:b/>
                <w:bCs/>
                <w:color w:val="000000"/>
                <w:sz w:val="18"/>
                <w:szCs w:val="18"/>
                <w:rtl/>
                <w:lang w:eastAsia="he-IL"/>
              </w:rPr>
            </w:pPr>
            <w:r w:rsidRPr="00BF28F2">
              <w:rPr>
                <w:b/>
                <w:bCs/>
                <w:color w:val="000000"/>
                <w:sz w:val="18"/>
                <w:szCs w:val="18"/>
                <w:rtl/>
                <w:lang w:eastAsia="he-IL"/>
              </w:rPr>
              <w:t xml:space="preserve"> </w:t>
            </w:r>
            <w:r w:rsidRPr="00BF28F2">
              <w:rPr>
                <w:rFonts w:hint="cs"/>
                <w:b/>
                <w:bCs/>
                <w:color w:val="000000"/>
                <w:sz w:val="18"/>
                <w:szCs w:val="18"/>
                <w:rtl/>
                <w:lang w:eastAsia="he-IL"/>
              </w:rPr>
              <w:t>0</w:t>
            </w:r>
          </w:p>
        </w:tc>
        <w:tc>
          <w:tcPr>
            <w:tcW w:w="734" w:type="dxa"/>
            <w:tcBorders>
              <w:top w:val="nil"/>
              <w:left w:val="nil"/>
              <w:bottom w:val="nil"/>
              <w:right w:val="nil"/>
            </w:tcBorders>
            <w:vAlign w:val="bottom"/>
          </w:tcPr>
          <w:p w14:paraId="6E3D496C" w14:textId="01E2AA6C"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684" w:type="dxa"/>
            <w:tcBorders>
              <w:top w:val="nil"/>
              <w:left w:val="nil"/>
              <w:bottom w:val="nil"/>
              <w:right w:val="nil"/>
            </w:tcBorders>
            <w:vAlign w:val="bottom"/>
          </w:tcPr>
          <w:p w14:paraId="4036B6FC" w14:textId="6FB0A7C8"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734" w:type="dxa"/>
            <w:tcBorders>
              <w:top w:val="nil"/>
              <w:left w:val="nil"/>
              <w:bottom w:val="nil"/>
              <w:right w:val="nil"/>
            </w:tcBorders>
            <w:vAlign w:val="bottom"/>
          </w:tcPr>
          <w:p w14:paraId="0E16BA0A" w14:textId="6721867D"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736" w:type="dxa"/>
            <w:tcBorders>
              <w:top w:val="nil"/>
              <w:left w:val="nil"/>
              <w:bottom w:val="nil"/>
              <w:right w:val="nil"/>
            </w:tcBorders>
            <w:vAlign w:val="bottom"/>
          </w:tcPr>
          <w:p w14:paraId="18EBD8F8" w14:textId="0C314A4C"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c>
          <w:tcPr>
            <w:tcW w:w="532" w:type="dxa"/>
            <w:tcBorders>
              <w:top w:val="nil"/>
              <w:left w:val="nil"/>
              <w:bottom w:val="nil"/>
              <w:right w:val="nil"/>
            </w:tcBorders>
            <w:vAlign w:val="bottom"/>
          </w:tcPr>
          <w:p w14:paraId="2AEF5293" w14:textId="59FBF3C4" w:rsidR="00E6519F" w:rsidRPr="00BF28F2" w:rsidRDefault="00E6519F" w:rsidP="006A5664">
            <w:pPr>
              <w:spacing w:before="20"/>
              <w:ind w:left="144" w:hanging="144"/>
              <w:jc w:val="left"/>
              <w:rPr>
                <w:b/>
                <w:bCs/>
                <w:color w:val="000000"/>
                <w:sz w:val="18"/>
                <w:szCs w:val="18"/>
                <w:rtl/>
                <w:lang w:eastAsia="he-IL"/>
              </w:rPr>
            </w:pPr>
            <w:r w:rsidRPr="00BF28F2">
              <w:rPr>
                <w:rFonts w:hint="cs"/>
                <w:b/>
                <w:bCs/>
                <w:color w:val="000000"/>
                <w:sz w:val="18"/>
                <w:szCs w:val="18"/>
                <w:rtl/>
                <w:lang w:eastAsia="he-IL"/>
              </w:rPr>
              <w:t xml:space="preserve"> 0</w:t>
            </w:r>
          </w:p>
        </w:tc>
      </w:tr>
      <w:tr w:rsidR="00920568" w14:paraId="0FCFBCD1" w14:textId="3A3F98E2" w:rsidTr="00920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dxa"/>
            <w:gridSpan w:val="2"/>
            <w:tcBorders>
              <w:top w:val="nil"/>
              <w:left w:val="nil"/>
              <w:bottom w:val="nil"/>
              <w:right w:val="nil"/>
            </w:tcBorders>
            <w:vAlign w:val="bottom"/>
            <w:hideMark/>
          </w:tcPr>
          <w:p w14:paraId="10150DD8" w14:textId="77777777" w:rsidR="00E6519F" w:rsidRPr="00E6519F" w:rsidRDefault="00E6519F" w:rsidP="006A5664">
            <w:pPr>
              <w:spacing w:before="20"/>
              <w:ind w:left="57" w:hanging="144"/>
              <w:jc w:val="left"/>
              <w:rPr>
                <w:color w:val="000000"/>
                <w:sz w:val="17"/>
                <w:szCs w:val="17"/>
                <w:rtl/>
                <w:lang w:eastAsia="he-IL"/>
              </w:rPr>
            </w:pPr>
            <w:r w:rsidRPr="00E6519F">
              <w:rPr>
                <w:rFonts w:hint="cs"/>
                <w:b/>
                <w:bCs/>
                <w:color w:val="000000"/>
                <w:sz w:val="17"/>
                <w:szCs w:val="17"/>
                <w:rtl/>
                <w:lang w:eastAsia="he-IL"/>
              </w:rPr>
              <w:t>חוזי אשראי</w:t>
            </w:r>
          </w:p>
        </w:tc>
        <w:tc>
          <w:tcPr>
            <w:tcW w:w="734" w:type="dxa"/>
            <w:gridSpan w:val="2"/>
            <w:tcBorders>
              <w:top w:val="nil"/>
              <w:left w:val="nil"/>
              <w:bottom w:val="nil"/>
              <w:right w:val="nil"/>
            </w:tcBorders>
            <w:vAlign w:val="bottom"/>
            <w:hideMark/>
          </w:tcPr>
          <w:p w14:paraId="12C0CC5F"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  </w:t>
            </w:r>
          </w:p>
        </w:tc>
        <w:tc>
          <w:tcPr>
            <w:tcW w:w="734" w:type="dxa"/>
            <w:tcBorders>
              <w:top w:val="nil"/>
              <w:left w:val="nil"/>
              <w:bottom w:val="nil"/>
              <w:right w:val="nil"/>
            </w:tcBorders>
            <w:vAlign w:val="bottom"/>
            <w:hideMark/>
          </w:tcPr>
          <w:p w14:paraId="096D1522"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 </w:t>
            </w:r>
          </w:p>
        </w:tc>
        <w:tc>
          <w:tcPr>
            <w:tcW w:w="611" w:type="dxa"/>
            <w:tcBorders>
              <w:top w:val="nil"/>
              <w:left w:val="nil"/>
              <w:bottom w:val="nil"/>
              <w:right w:val="nil"/>
            </w:tcBorders>
            <w:vAlign w:val="bottom"/>
            <w:hideMark/>
          </w:tcPr>
          <w:p w14:paraId="38D06ACE"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w:t>
            </w:r>
          </w:p>
        </w:tc>
        <w:tc>
          <w:tcPr>
            <w:tcW w:w="738" w:type="dxa"/>
            <w:tcBorders>
              <w:top w:val="nil"/>
              <w:left w:val="nil"/>
              <w:bottom w:val="nil"/>
              <w:right w:val="nil"/>
            </w:tcBorders>
            <w:vAlign w:val="bottom"/>
            <w:hideMark/>
          </w:tcPr>
          <w:p w14:paraId="2E9E362E"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 </w:t>
            </w:r>
          </w:p>
        </w:tc>
        <w:tc>
          <w:tcPr>
            <w:tcW w:w="734" w:type="dxa"/>
            <w:tcBorders>
              <w:top w:val="nil"/>
              <w:left w:val="nil"/>
              <w:bottom w:val="nil"/>
              <w:right w:val="nil"/>
            </w:tcBorders>
            <w:vAlign w:val="bottom"/>
            <w:hideMark/>
          </w:tcPr>
          <w:p w14:paraId="06915848"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 </w:t>
            </w:r>
          </w:p>
        </w:tc>
        <w:tc>
          <w:tcPr>
            <w:tcW w:w="614" w:type="dxa"/>
            <w:tcBorders>
              <w:top w:val="nil"/>
              <w:left w:val="nil"/>
              <w:bottom w:val="nil"/>
              <w:right w:val="nil"/>
            </w:tcBorders>
            <w:vAlign w:val="bottom"/>
            <w:hideMark/>
          </w:tcPr>
          <w:p w14:paraId="10F48645"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w:t>
            </w:r>
          </w:p>
        </w:tc>
        <w:tc>
          <w:tcPr>
            <w:tcW w:w="224" w:type="dxa"/>
            <w:tcBorders>
              <w:top w:val="nil"/>
              <w:left w:val="nil"/>
              <w:bottom w:val="nil"/>
              <w:right w:val="nil"/>
            </w:tcBorders>
          </w:tcPr>
          <w:p w14:paraId="75614CA8" w14:textId="77777777" w:rsidR="00E6519F" w:rsidRPr="00BF28F2" w:rsidRDefault="00E6519F" w:rsidP="00E6519F">
            <w:pPr>
              <w:spacing w:before="20"/>
              <w:rPr>
                <w:b/>
                <w:bCs/>
                <w:sz w:val="18"/>
                <w:szCs w:val="18"/>
                <w:rtl/>
              </w:rPr>
            </w:pPr>
          </w:p>
        </w:tc>
        <w:tc>
          <w:tcPr>
            <w:tcW w:w="767" w:type="dxa"/>
            <w:tcBorders>
              <w:top w:val="nil"/>
              <w:left w:val="nil"/>
              <w:bottom w:val="nil"/>
              <w:right w:val="nil"/>
            </w:tcBorders>
            <w:vAlign w:val="bottom"/>
          </w:tcPr>
          <w:p w14:paraId="69238E3A" w14:textId="469FA3F2"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736" w:type="dxa"/>
            <w:tcBorders>
              <w:top w:val="nil"/>
              <w:left w:val="nil"/>
              <w:bottom w:val="nil"/>
              <w:right w:val="nil"/>
            </w:tcBorders>
            <w:vAlign w:val="bottom"/>
          </w:tcPr>
          <w:p w14:paraId="14144088" w14:textId="0583FD0D"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616" w:type="dxa"/>
            <w:tcBorders>
              <w:top w:val="nil"/>
              <w:left w:val="nil"/>
              <w:bottom w:val="nil"/>
              <w:right w:val="nil"/>
            </w:tcBorders>
            <w:vAlign w:val="bottom"/>
          </w:tcPr>
          <w:p w14:paraId="67FC65BD" w14:textId="338F81CA"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w:t>
            </w:r>
          </w:p>
        </w:tc>
        <w:tc>
          <w:tcPr>
            <w:tcW w:w="737" w:type="dxa"/>
            <w:tcBorders>
              <w:top w:val="nil"/>
              <w:left w:val="nil"/>
              <w:bottom w:val="nil"/>
              <w:right w:val="nil"/>
            </w:tcBorders>
            <w:vAlign w:val="bottom"/>
          </w:tcPr>
          <w:p w14:paraId="58D7F6AD" w14:textId="2372E05A"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736" w:type="dxa"/>
            <w:tcBorders>
              <w:top w:val="nil"/>
              <w:left w:val="nil"/>
              <w:bottom w:val="nil"/>
              <w:right w:val="nil"/>
            </w:tcBorders>
            <w:vAlign w:val="bottom"/>
          </w:tcPr>
          <w:p w14:paraId="701F1DB7" w14:textId="0915987E"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612" w:type="dxa"/>
            <w:tcBorders>
              <w:top w:val="nil"/>
              <w:left w:val="nil"/>
              <w:bottom w:val="nil"/>
              <w:right w:val="nil"/>
            </w:tcBorders>
            <w:vAlign w:val="bottom"/>
          </w:tcPr>
          <w:p w14:paraId="74C3F1A2" w14:textId="1C87CB4E"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w:t>
            </w:r>
          </w:p>
        </w:tc>
        <w:tc>
          <w:tcPr>
            <w:tcW w:w="267" w:type="dxa"/>
            <w:tcBorders>
              <w:top w:val="nil"/>
              <w:left w:val="nil"/>
              <w:bottom w:val="nil"/>
              <w:right w:val="nil"/>
            </w:tcBorders>
          </w:tcPr>
          <w:p w14:paraId="0441B465" w14:textId="77777777" w:rsidR="00E6519F" w:rsidRPr="00BF28F2" w:rsidRDefault="00E6519F" w:rsidP="00E6519F">
            <w:pPr>
              <w:spacing w:before="20"/>
              <w:rPr>
                <w:b/>
                <w:bCs/>
                <w:sz w:val="18"/>
                <w:szCs w:val="18"/>
                <w:rtl/>
              </w:rPr>
            </w:pPr>
          </w:p>
        </w:tc>
        <w:tc>
          <w:tcPr>
            <w:tcW w:w="846" w:type="dxa"/>
            <w:tcBorders>
              <w:top w:val="nil"/>
              <w:left w:val="nil"/>
              <w:bottom w:val="nil"/>
              <w:right w:val="nil"/>
            </w:tcBorders>
            <w:vAlign w:val="bottom"/>
          </w:tcPr>
          <w:p w14:paraId="34D8FAE2" w14:textId="03AFA460"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734" w:type="dxa"/>
            <w:tcBorders>
              <w:top w:val="nil"/>
              <w:left w:val="nil"/>
              <w:bottom w:val="nil"/>
              <w:right w:val="nil"/>
            </w:tcBorders>
            <w:vAlign w:val="bottom"/>
          </w:tcPr>
          <w:p w14:paraId="031D6F58" w14:textId="3372FEE9"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684" w:type="dxa"/>
            <w:tcBorders>
              <w:top w:val="nil"/>
              <w:left w:val="nil"/>
              <w:bottom w:val="nil"/>
              <w:right w:val="nil"/>
            </w:tcBorders>
            <w:vAlign w:val="bottom"/>
          </w:tcPr>
          <w:p w14:paraId="1B454223" w14:textId="5DAA0AA2"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w:t>
            </w:r>
          </w:p>
        </w:tc>
        <w:tc>
          <w:tcPr>
            <w:tcW w:w="734" w:type="dxa"/>
            <w:tcBorders>
              <w:top w:val="nil"/>
              <w:left w:val="nil"/>
              <w:bottom w:val="nil"/>
              <w:right w:val="nil"/>
            </w:tcBorders>
            <w:vAlign w:val="bottom"/>
          </w:tcPr>
          <w:p w14:paraId="4B06F0EA" w14:textId="5F66C875"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736" w:type="dxa"/>
            <w:tcBorders>
              <w:top w:val="nil"/>
              <w:left w:val="nil"/>
              <w:bottom w:val="nil"/>
              <w:right w:val="nil"/>
            </w:tcBorders>
            <w:vAlign w:val="bottom"/>
          </w:tcPr>
          <w:p w14:paraId="64551454" w14:textId="05252805"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532" w:type="dxa"/>
            <w:tcBorders>
              <w:top w:val="nil"/>
              <w:left w:val="nil"/>
              <w:bottom w:val="nil"/>
              <w:right w:val="nil"/>
            </w:tcBorders>
            <w:vAlign w:val="bottom"/>
          </w:tcPr>
          <w:p w14:paraId="2EF9B3C2" w14:textId="7D7CF06D"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w:t>
            </w:r>
          </w:p>
        </w:tc>
      </w:tr>
      <w:tr w:rsidR="00920568" w14:paraId="0493CFED" w14:textId="3C71D9C4" w:rsidTr="00920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dxa"/>
            <w:gridSpan w:val="2"/>
            <w:tcBorders>
              <w:top w:val="nil"/>
              <w:left w:val="nil"/>
              <w:bottom w:val="nil"/>
              <w:right w:val="nil"/>
            </w:tcBorders>
            <w:vAlign w:val="bottom"/>
            <w:hideMark/>
          </w:tcPr>
          <w:p w14:paraId="0F8DA4C8" w14:textId="561AA0D8" w:rsidR="00E6519F" w:rsidRPr="00E6519F" w:rsidRDefault="00E6519F" w:rsidP="006A5664">
            <w:pPr>
              <w:spacing w:before="20"/>
              <w:ind w:left="57" w:hanging="144"/>
              <w:jc w:val="left"/>
              <w:rPr>
                <w:b/>
                <w:bCs/>
                <w:color w:val="000000"/>
                <w:sz w:val="17"/>
                <w:szCs w:val="17"/>
                <w:rtl/>
                <w:lang w:eastAsia="he-IL"/>
              </w:rPr>
            </w:pPr>
            <w:r w:rsidRPr="00E6519F">
              <w:rPr>
                <w:rFonts w:hint="cs"/>
                <w:b/>
                <w:bCs/>
                <w:color w:val="000000"/>
                <w:sz w:val="17"/>
                <w:szCs w:val="17"/>
                <w:rtl/>
                <w:lang w:eastAsia="he-IL"/>
              </w:rPr>
              <w:t>סך נכסים/התחייבויות בגין נגזרים ברוטו</w:t>
            </w:r>
            <w:r w:rsidRPr="00E6519F">
              <w:rPr>
                <w:rFonts w:hint="cs"/>
                <w:color w:val="000000"/>
                <w:sz w:val="16"/>
                <w:szCs w:val="16"/>
                <w:vertAlign w:val="superscript"/>
                <w:rtl/>
                <w:lang w:eastAsia="he-IL"/>
              </w:rPr>
              <w:t>(א)[</w:t>
            </w:r>
            <w:r w:rsidRPr="00E6519F">
              <w:rPr>
                <w:rStyle w:val="a7"/>
                <w:sz w:val="16"/>
                <w:szCs w:val="16"/>
                <w:rtl/>
                <w:lang w:eastAsia="he-IL"/>
              </w:rPr>
              <w:footnoteReference w:id="77"/>
            </w:r>
            <w:r w:rsidRPr="00E6519F">
              <w:rPr>
                <w:rFonts w:hint="cs"/>
                <w:color w:val="000000"/>
                <w:sz w:val="16"/>
                <w:szCs w:val="16"/>
                <w:vertAlign w:val="superscript"/>
                <w:rtl/>
                <w:lang w:eastAsia="he-IL"/>
              </w:rPr>
              <w:t>]</w:t>
            </w:r>
          </w:p>
        </w:tc>
        <w:tc>
          <w:tcPr>
            <w:tcW w:w="734" w:type="dxa"/>
            <w:gridSpan w:val="2"/>
            <w:tcBorders>
              <w:top w:val="nil"/>
              <w:left w:val="nil"/>
              <w:bottom w:val="nil"/>
              <w:right w:val="nil"/>
            </w:tcBorders>
            <w:vAlign w:val="bottom"/>
            <w:hideMark/>
          </w:tcPr>
          <w:p w14:paraId="47F749DF"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w:t>
            </w:r>
          </w:p>
        </w:tc>
        <w:tc>
          <w:tcPr>
            <w:tcW w:w="734" w:type="dxa"/>
            <w:tcBorders>
              <w:top w:val="nil"/>
              <w:left w:val="nil"/>
              <w:bottom w:val="nil"/>
              <w:right w:val="nil"/>
            </w:tcBorders>
            <w:vAlign w:val="bottom"/>
            <w:hideMark/>
          </w:tcPr>
          <w:p w14:paraId="74D9D935"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 </w:t>
            </w:r>
          </w:p>
        </w:tc>
        <w:tc>
          <w:tcPr>
            <w:tcW w:w="611" w:type="dxa"/>
            <w:tcBorders>
              <w:top w:val="nil"/>
              <w:left w:val="nil"/>
              <w:bottom w:val="nil"/>
              <w:right w:val="nil"/>
            </w:tcBorders>
            <w:vAlign w:val="bottom"/>
            <w:hideMark/>
          </w:tcPr>
          <w:p w14:paraId="646EC75A"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w:t>
            </w:r>
          </w:p>
        </w:tc>
        <w:tc>
          <w:tcPr>
            <w:tcW w:w="738" w:type="dxa"/>
            <w:tcBorders>
              <w:top w:val="nil"/>
              <w:left w:val="nil"/>
              <w:bottom w:val="nil"/>
              <w:right w:val="nil"/>
            </w:tcBorders>
            <w:vAlign w:val="bottom"/>
            <w:hideMark/>
          </w:tcPr>
          <w:p w14:paraId="08E2C6B4"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 </w:t>
            </w:r>
          </w:p>
        </w:tc>
        <w:tc>
          <w:tcPr>
            <w:tcW w:w="734" w:type="dxa"/>
            <w:tcBorders>
              <w:top w:val="nil"/>
              <w:left w:val="nil"/>
              <w:bottom w:val="nil"/>
              <w:right w:val="nil"/>
            </w:tcBorders>
            <w:vAlign w:val="bottom"/>
            <w:hideMark/>
          </w:tcPr>
          <w:p w14:paraId="7EED964B"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 </w:t>
            </w:r>
          </w:p>
        </w:tc>
        <w:tc>
          <w:tcPr>
            <w:tcW w:w="614" w:type="dxa"/>
            <w:tcBorders>
              <w:top w:val="nil"/>
              <w:left w:val="nil"/>
              <w:bottom w:val="nil"/>
              <w:right w:val="nil"/>
            </w:tcBorders>
            <w:vAlign w:val="bottom"/>
            <w:hideMark/>
          </w:tcPr>
          <w:p w14:paraId="7BABB035"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 </w:t>
            </w:r>
          </w:p>
        </w:tc>
        <w:tc>
          <w:tcPr>
            <w:tcW w:w="224" w:type="dxa"/>
            <w:tcBorders>
              <w:top w:val="nil"/>
              <w:left w:val="nil"/>
              <w:bottom w:val="nil"/>
              <w:right w:val="nil"/>
            </w:tcBorders>
          </w:tcPr>
          <w:p w14:paraId="561CE95E" w14:textId="77777777" w:rsidR="00E6519F" w:rsidRPr="00BF28F2" w:rsidRDefault="00E6519F" w:rsidP="00E6519F">
            <w:pPr>
              <w:spacing w:before="20"/>
              <w:rPr>
                <w:b/>
                <w:bCs/>
                <w:sz w:val="18"/>
                <w:szCs w:val="18"/>
                <w:rtl/>
              </w:rPr>
            </w:pPr>
          </w:p>
        </w:tc>
        <w:tc>
          <w:tcPr>
            <w:tcW w:w="767" w:type="dxa"/>
            <w:tcBorders>
              <w:top w:val="nil"/>
              <w:left w:val="nil"/>
              <w:bottom w:val="nil"/>
              <w:right w:val="nil"/>
            </w:tcBorders>
            <w:vAlign w:val="bottom"/>
          </w:tcPr>
          <w:p w14:paraId="25CC3021" w14:textId="30C6CFC1"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w:t>
            </w:r>
          </w:p>
        </w:tc>
        <w:tc>
          <w:tcPr>
            <w:tcW w:w="736" w:type="dxa"/>
            <w:tcBorders>
              <w:top w:val="nil"/>
              <w:left w:val="nil"/>
              <w:bottom w:val="nil"/>
              <w:right w:val="nil"/>
            </w:tcBorders>
            <w:vAlign w:val="bottom"/>
          </w:tcPr>
          <w:p w14:paraId="255F1ED5" w14:textId="2E9632F8"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616" w:type="dxa"/>
            <w:tcBorders>
              <w:top w:val="nil"/>
              <w:left w:val="nil"/>
              <w:bottom w:val="nil"/>
              <w:right w:val="nil"/>
            </w:tcBorders>
            <w:vAlign w:val="bottom"/>
          </w:tcPr>
          <w:p w14:paraId="4D2E97BC" w14:textId="532E1894"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w:t>
            </w:r>
          </w:p>
        </w:tc>
        <w:tc>
          <w:tcPr>
            <w:tcW w:w="737" w:type="dxa"/>
            <w:tcBorders>
              <w:top w:val="nil"/>
              <w:left w:val="nil"/>
              <w:bottom w:val="nil"/>
              <w:right w:val="nil"/>
            </w:tcBorders>
            <w:vAlign w:val="bottom"/>
          </w:tcPr>
          <w:p w14:paraId="0F7FF6A5" w14:textId="2A71C05B"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736" w:type="dxa"/>
            <w:tcBorders>
              <w:top w:val="nil"/>
              <w:left w:val="nil"/>
              <w:bottom w:val="nil"/>
              <w:right w:val="nil"/>
            </w:tcBorders>
            <w:vAlign w:val="bottom"/>
          </w:tcPr>
          <w:p w14:paraId="3B25C845" w14:textId="68ED2DAF"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612" w:type="dxa"/>
            <w:tcBorders>
              <w:top w:val="nil"/>
              <w:left w:val="nil"/>
              <w:bottom w:val="nil"/>
              <w:right w:val="nil"/>
            </w:tcBorders>
            <w:vAlign w:val="bottom"/>
          </w:tcPr>
          <w:p w14:paraId="3380DEFA" w14:textId="6DFE8F7A"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267" w:type="dxa"/>
            <w:tcBorders>
              <w:top w:val="nil"/>
              <w:left w:val="nil"/>
              <w:bottom w:val="nil"/>
              <w:right w:val="nil"/>
            </w:tcBorders>
          </w:tcPr>
          <w:p w14:paraId="3C292CE3" w14:textId="77777777" w:rsidR="00E6519F" w:rsidRPr="00BF28F2" w:rsidRDefault="00E6519F" w:rsidP="00E6519F">
            <w:pPr>
              <w:spacing w:before="20"/>
              <w:rPr>
                <w:b/>
                <w:bCs/>
                <w:sz w:val="18"/>
                <w:szCs w:val="18"/>
                <w:rtl/>
              </w:rPr>
            </w:pPr>
          </w:p>
        </w:tc>
        <w:tc>
          <w:tcPr>
            <w:tcW w:w="846" w:type="dxa"/>
            <w:tcBorders>
              <w:top w:val="nil"/>
              <w:left w:val="nil"/>
              <w:bottom w:val="nil"/>
              <w:right w:val="nil"/>
            </w:tcBorders>
            <w:vAlign w:val="bottom"/>
          </w:tcPr>
          <w:p w14:paraId="76BC0832" w14:textId="67B23F09"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w:t>
            </w:r>
          </w:p>
        </w:tc>
        <w:tc>
          <w:tcPr>
            <w:tcW w:w="734" w:type="dxa"/>
            <w:tcBorders>
              <w:top w:val="nil"/>
              <w:left w:val="nil"/>
              <w:bottom w:val="nil"/>
              <w:right w:val="nil"/>
            </w:tcBorders>
            <w:vAlign w:val="bottom"/>
          </w:tcPr>
          <w:p w14:paraId="269357C2" w14:textId="208F3FB1"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684" w:type="dxa"/>
            <w:tcBorders>
              <w:top w:val="nil"/>
              <w:left w:val="nil"/>
              <w:bottom w:val="nil"/>
              <w:right w:val="nil"/>
            </w:tcBorders>
            <w:vAlign w:val="bottom"/>
          </w:tcPr>
          <w:p w14:paraId="7D9A6F09" w14:textId="328B2E89"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w:t>
            </w:r>
          </w:p>
        </w:tc>
        <w:tc>
          <w:tcPr>
            <w:tcW w:w="734" w:type="dxa"/>
            <w:tcBorders>
              <w:top w:val="nil"/>
              <w:left w:val="nil"/>
              <w:bottom w:val="nil"/>
              <w:right w:val="nil"/>
            </w:tcBorders>
            <w:vAlign w:val="bottom"/>
          </w:tcPr>
          <w:p w14:paraId="28A2AA00" w14:textId="20851151"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736" w:type="dxa"/>
            <w:tcBorders>
              <w:top w:val="nil"/>
              <w:left w:val="nil"/>
              <w:bottom w:val="nil"/>
              <w:right w:val="nil"/>
            </w:tcBorders>
            <w:vAlign w:val="bottom"/>
          </w:tcPr>
          <w:p w14:paraId="0360940D" w14:textId="2BF61835"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532" w:type="dxa"/>
            <w:tcBorders>
              <w:top w:val="nil"/>
              <w:left w:val="nil"/>
              <w:bottom w:val="nil"/>
              <w:right w:val="nil"/>
            </w:tcBorders>
            <w:vAlign w:val="bottom"/>
          </w:tcPr>
          <w:p w14:paraId="2B1C663B" w14:textId="1B0B838C"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r>
      <w:tr w:rsidR="00920568" w14:paraId="5E6BE15B" w14:textId="7B8A9F0D" w:rsidTr="00920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dxa"/>
            <w:gridSpan w:val="2"/>
            <w:tcBorders>
              <w:top w:val="nil"/>
              <w:left w:val="nil"/>
              <w:bottom w:val="nil"/>
              <w:right w:val="nil"/>
            </w:tcBorders>
            <w:vAlign w:val="bottom"/>
            <w:hideMark/>
          </w:tcPr>
          <w:p w14:paraId="4E550831" w14:textId="77777777" w:rsidR="00E6519F" w:rsidRPr="00E6519F" w:rsidRDefault="00E6519F" w:rsidP="006A5664">
            <w:pPr>
              <w:spacing w:before="20"/>
              <w:ind w:left="57" w:hanging="446"/>
              <w:jc w:val="left"/>
              <w:rPr>
                <w:color w:val="000000"/>
                <w:sz w:val="17"/>
                <w:szCs w:val="17"/>
                <w:rtl/>
                <w:lang w:eastAsia="he-IL"/>
              </w:rPr>
            </w:pPr>
            <w:r w:rsidRPr="00E6519F">
              <w:rPr>
                <w:rFonts w:hint="cs"/>
                <w:b/>
                <w:bCs/>
                <w:color w:val="000000"/>
                <w:sz w:val="17"/>
                <w:szCs w:val="17"/>
                <w:rtl/>
                <w:lang w:eastAsia="he-IL"/>
              </w:rPr>
              <w:t xml:space="preserve"> </w:t>
            </w:r>
            <w:r w:rsidRPr="00E6519F">
              <w:rPr>
                <w:rFonts w:hint="cs"/>
                <w:b/>
                <w:bCs/>
                <w:color w:val="000000"/>
                <w:sz w:val="17"/>
                <w:szCs w:val="17"/>
                <w:rtl/>
                <w:lang w:eastAsia="he-IL"/>
              </w:rPr>
              <w:tab/>
            </w:r>
            <w:r w:rsidRPr="00E6519F">
              <w:rPr>
                <w:rFonts w:hint="cs"/>
                <w:color w:val="000000"/>
                <w:sz w:val="17"/>
                <w:szCs w:val="17"/>
                <w:rtl/>
                <w:lang w:eastAsia="he-IL"/>
              </w:rPr>
              <w:t>סכומים שקוזזו במאזן</w:t>
            </w:r>
            <w:r w:rsidRPr="00E6519F">
              <w:rPr>
                <w:rFonts w:hint="cs"/>
                <w:color w:val="000000"/>
                <w:sz w:val="17"/>
                <w:szCs w:val="17"/>
                <w:vertAlign w:val="superscript"/>
                <w:rtl/>
                <w:lang w:eastAsia="he-IL"/>
              </w:rPr>
              <w:t>[</w:t>
            </w:r>
            <w:r w:rsidRPr="00E6519F">
              <w:rPr>
                <w:rStyle w:val="a7"/>
                <w:sz w:val="17"/>
                <w:szCs w:val="17"/>
                <w:rtl/>
                <w:lang w:eastAsia="he-IL"/>
              </w:rPr>
              <w:footnoteReference w:id="78"/>
            </w:r>
            <w:r w:rsidRPr="00E6519F">
              <w:rPr>
                <w:rFonts w:hint="cs"/>
                <w:color w:val="000000"/>
                <w:sz w:val="17"/>
                <w:szCs w:val="17"/>
                <w:vertAlign w:val="superscript"/>
                <w:rtl/>
                <w:lang w:eastAsia="he-IL"/>
              </w:rPr>
              <w:t>][</w:t>
            </w:r>
            <w:r w:rsidRPr="00E6519F">
              <w:rPr>
                <w:rStyle w:val="a7"/>
                <w:sz w:val="17"/>
                <w:szCs w:val="17"/>
                <w:rtl/>
                <w:lang w:eastAsia="he-IL"/>
              </w:rPr>
              <w:footnoteReference w:id="79"/>
            </w:r>
            <w:r w:rsidRPr="00E6519F">
              <w:rPr>
                <w:rFonts w:hint="cs"/>
                <w:color w:val="000000"/>
                <w:sz w:val="17"/>
                <w:szCs w:val="17"/>
                <w:vertAlign w:val="superscript"/>
                <w:rtl/>
                <w:lang w:eastAsia="he-IL"/>
              </w:rPr>
              <w:t>]</w:t>
            </w:r>
          </w:p>
        </w:tc>
        <w:tc>
          <w:tcPr>
            <w:tcW w:w="734" w:type="dxa"/>
            <w:gridSpan w:val="2"/>
            <w:tcBorders>
              <w:top w:val="nil"/>
              <w:left w:val="nil"/>
              <w:bottom w:val="nil"/>
              <w:right w:val="nil"/>
            </w:tcBorders>
            <w:vAlign w:val="bottom"/>
            <w:hideMark/>
          </w:tcPr>
          <w:p w14:paraId="2F282554" w14:textId="77777777" w:rsidR="00E6519F" w:rsidRPr="00BF28F2" w:rsidRDefault="00E6519F" w:rsidP="006A5664">
            <w:pPr>
              <w:pBdr>
                <w:bottom w:val="single" w:sz="4" w:space="1" w:color="auto"/>
              </w:pBdr>
              <w:spacing w:before="20"/>
              <w:rPr>
                <w:sz w:val="18"/>
                <w:szCs w:val="18"/>
              </w:rPr>
            </w:pPr>
            <w:r w:rsidRPr="00BF28F2">
              <w:rPr>
                <w:rFonts w:hint="cs"/>
                <w:sz w:val="18"/>
                <w:szCs w:val="18"/>
                <w:rtl/>
              </w:rPr>
              <w:t xml:space="preserve">(0)  </w:t>
            </w:r>
          </w:p>
        </w:tc>
        <w:tc>
          <w:tcPr>
            <w:tcW w:w="734" w:type="dxa"/>
            <w:tcBorders>
              <w:top w:val="nil"/>
              <w:left w:val="nil"/>
              <w:bottom w:val="nil"/>
              <w:right w:val="nil"/>
            </w:tcBorders>
            <w:vAlign w:val="bottom"/>
            <w:hideMark/>
          </w:tcPr>
          <w:p w14:paraId="322CE614" w14:textId="77777777"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c>
          <w:tcPr>
            <w:tcW w:w="611" w:type="dxa"/>
            <w:tcBorders>
              <w:top w:val="nil"/>
              <w:left w:val="nil"/>
              <w:bottom w:val="nil"/>
              <w:right w:val="nil"/>
            </w:tcBorders>
            <w:vAlign w:val="bottom"/>
            <w:hideMark/>
          </w:tcPr>
          <w:p w14:paraId="7F834994" w14:textId="77777777"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c>
          <w:tcPr>
            <w:tcW w:w="738" w:type="dxa"/>
            <w:tcBorders>
              <w:top w:val="nil"/>
              <w:left w:val="nil"/>
              <w:bottom w:val="nil"/>
              <w:right w:val="nil"/>
            </w:tcBorders>
            <w:vAlign w:val="bottom"/>
            <w:hideMark/>
          </w:tcPr>
          <w:p w14:paraId="6AAABB6F" w14:textId="77777777"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c>
          <w:tcPr>
            <w:tcW w:w="734" w:type="dxa"/>
            <w:tcBorders>
              <w:top w:val="nil"/>
              <w:left w:val="nil"/>
              <w:bottom w:val="nil"/>
              <w:right w:val="nil"/>
            </w:tcBorders>
            <w:vAlign w:val="bottom"/>
            <w:hideMark/>
          </w:tcPr>
          <w:p w14:paraId="32E57727" w14:textId="77777777"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c>
          <w:tcPr>
            <w:tcW w:w="614" w:type="dxa"/>
            <w:tcBorders>
              <w:top w:val="nil"/>
              <w:left w:val="nil"/>
              <w:bottom w:val="nil"/>
              <w:right w:val="nil"/>
            </w:tcBorders>
            <w:vAlign w:val="bottom"/>
            <w:hideMark/>
          </w:tcPr>
          <w:p w14:paraId="2818E73D" w14:textId="77777777"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c>
          <w:tcPr>
            <w:tcW w:w="224" w:type="dxa"/>
            <w:tcBorders>
              <w:top w:val="nil"/>
              <w:left w:val="nil"/>
              <w:bottom w:val="nil"/>
              <w:right w:val="nil"/>
            </w:tcBorders>
          </w:tcPr>
          <w:p w14:paraId="3F361F32" w14:textId="77777777" w:rsidR="00E6519F" w:rsidRPr="00BF28F2" w:rsidRDefault="00E6519F" w:rsidP="00E6519F">
            <w:pPr>
              <w:spacing w:before="20"/>
              <w:rPr>
                <w:sz w:val="18"/>
                <w:szCs w:val="18"/>
                <w:rtl/>
              </w:rPr>
            </w:pPr>
          </w:p>
        </w:tc>
        <w:tc>
          <w:tcPr>
            <w:tcW w:w="767" w:type="dxa"/>
            <w:tcBorders>
              <w:top w:val="nil"/>
              <w:left w:val="nil"/>
              <w:bottom w:val="nil"/>
              <w:right w:val="nil"/>
            </w:tcBorders>
            <w:vAlign w:val="bottom"/>
          </w:tcPr>
          <w:p w14:paraId="2781A42D" w14:textId="2E319537"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c>
          <w:tcPr>
            <w:tcW w:w="736" w:type="dxa"/>
            <w:tcBorders>
              <w:top w:val="nil"/>
              <w:left w:val="nil"/>
              <w:bottom w:val="nil"/>
              <w:right w:val="nil"/>
            </w:tcBorders>
            <w:vAlign w:val="bottom"/>
          </w:tcPr>
          <w:p w14:paraId="338418B5" w14:textId="16718315"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c>
          <w:tcPr>
            <w:tcW w:w="616" w:type="dxa"/>
            <w:tcBorders>
              <w:top w:val="nil"/>
              <w:left w:val="nil"/>
              <w:bottom w:val="nil"/>
              <w:right w:val="nil"/>
            </w:tcBorders>
            <w:vAlign w:val="bottom"/>
          </w:tcPr>
          <w:p w14:paraId="6DB4A0BB" w14:textId="1BBE884F"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c>
          <w:tcPr>
            <w:tcW w:w="737" w:type="dxa"/>
            <w:tcBorders>
              <w:top w:val="nil"/>
              <w:left w:val="nil"/>
              <w:bottom w:val="nil"/>
              <w:right w:val="nil"/>
            </w:tcBorders>
            <w:vAlign w:val="bottom"/>
          </w:tcPr>
          <w:p w14:paraId="458722FD" w14:textId="778003B5"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c>
          <w:tcPr>
            <w:tcW w:w="736" w:type="dxa"/>
            <w:tcBorders>
              <w:top w:val="nil"/>
              <w:left w:val="nil"/>
              <w:bottom w:val="nil"/>
              <w:right w:val="nil"/>
            </w:tcBorders>
            <w:vAlign w:val="bottom"/>
          </w:tcPr>
          <w:p w14:paraId="6C5623E4" w14:textId="051B1BC3"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c>
          <w:tcPr>
            <w:tcW w:w="612" w:type="dxa"/>
            <w:tcBorders>
              <w:top w:val="nil"/>
              <w:left w:val="nil"/>
              <w:bottom w:val="nil"/>
              <w:right w:val="nil"/>
            </w:tcBorders>
            <w:vAlign w:val="bottom"/>
          </w:tcPr>
          <w:p w14:paraId="3FABD5D1" w14:textId="7C04B59E"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c>
          <w:tcPr>
            <w:tcW w:w="267" w:type="dxa"/>
            <w:tcBorders>
              <w:top w:val="nil"/>
              <w:left w:val="nil"/>
              <w:bottom w:val="nil"/>
              <w:right w:val="nil"/>
            </w:tcBorders>
          </w:tcPr>
          <w:p w14:paraId="65EB539E" w14:textId="77777777" w:rsidR="00E6519F" w:rsidRPr="00BF28F2" w:rsidRDefault="00E6519F" w:rsidP="00E6519F">
            <w:pPr>
              <w:spacing w:before="20"/>
              <w:rPr>
                <w:sz w:val="18"/>
                <w:szCs w:val="18"/>
                <w:rtl/>
              </w:rPr>
            </w:pPr>
          </w:p>
        </w:tc>
        <w:tc>
          <w:tcPr>
            <w:tcW w:w="846" w:type="dxa"/>
            <w:tcBorders>
              <w:top w:val="nil"/>
              <w:left w:val="nil"/>
              <w:bottom w:val="nil"/>
              <w:right w:val="nil"/>
            </w:tcBorders>
            <w:vAlign w:val="bottom"/>
          </w:tcPr>
          <w:p w14:paraId="1004A9B7" w14:textId="12ABDA88"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c>
          <w:tcPr>
            <w:tcW w:w="734" w:type="dxa"/>
            <w:tcBorders>
              <w:top w:val="nil"/>
              <w:left w:val="nil"/>
              <w:bottom w:val="nil"/>
              <w:right w:val="nil"/>
            </w:tcBorders>
            <w:vAlign w:val="bottom"/>
          </w:tcPr>
          <w:p w14:paraId="1DEF8BDA" w14:textId="6E35AE0F"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c>
          <w:tcPr>
            <w:tcW w:w="684" w:type="dxa"/>
            <w:tcBorders>
              <w:top w:val="nil"/>
              <w:left w:val="nil"/>
              <w:bottom w:val="nil"/>
              <w:right w:val="nil"/>
            </w:tcBorders>
            <w:vAlign w:val="bottom"/>
          </w:tcPr>
          <w:p w14:paraId="09D4F0C8" w14:textId="1C636C4A"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c>
          <w:tcPr>
            <w:tcW w:w="734" w:type="dxa"/>
            <w:tcBorders>
              <w:top w:val="nil"/>
              <w:left w:val="nil"/>
              <w:bottom w:val="nil"/>
              <w:right w:val="nil"/>
            </w:tcBorders>
            <w:vAlign w:val="bottom"/>
          </w:tcPr>
          <w:p w14:paraId="4925E02E" w14:textId="2D3E09A8"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c>
          <w:tcPr>
            <w:tcW w:w="736" w:type="dxa"/>
            <w:tcBorders>
              <w:top w:val="nil"/>
              <w:left w:val="nil"/>
              <w:bottom w:val="nil"/>
              <w:right w:val="nil"/>
            </w:tcBorders>
            <w:vAlign w:val="bottom"/>
          </w:tcPr>
          <w:p w14:paraId="4D160F0A" w14:textId="40054367"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c>
          <w:tcPr>
            <w:tcW w:w="532" w:type="dxa"/>
            <w:tcBorders>
              <w:top w:val="nil"/>
              <w:left w:val="nil"/>
              <w:bottom w:val="nil"/>
              <w:right w:val="nil"/>
            </w:tcBorders>
            <w:vAlign w:val="bottom"/>
          </w:tcPr>
          <w:p w14:paraId="624BD3AA" w14:textId="24F7AA4D" w:rsidR="00E6519F" w:rsidRPr="00BF28F2" w:rsidRDefault="00E6519F" w:rsidP="006A5664">
            <w:pPr>
              <w:pBdr>
                <w:bottom w:val="single" w:sz="4" w:space="1" w:color="auto"/>
              </w:pBdr>
              <w:spacing w:before="20"/>
              <w:rPr>
                <w:sz w:val="18"/>
                <w:szCs w:val="18"/>
                <w:rtl/>
              </w:rPr>
            </w:pPr>
            <w:r w:rsidRPr="00BF28F2">
              <w:rPr>
                <w:rFonts w:hint="cs"/>
                <w:sz w:val="18"/>
                <w:szCs w:val="18"/>
                <w:rtl/>
              </w:rPr>
              <w:t xml:space="preserve">(0)  </w:t>
            </w:r>
          </w:p>
        </w:tc>
      </w:tr>
      <w:tr w:rsidR="00920568" w14:paraId="4FA86156" w14:textId="12040337" w:rsidTr="00920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dxa"/>
            <w:gridSpan w:val="2"/>
            <w:tcBorders>
              <w:top w:val="nil"/>
              <w:left w:val="nil"/>
              <w:bottom w:val="nil"/>
              <w:right w:val="nil"/>
            </w:tcBorders>
            <w:vAlign w:val="bottom"/>
            <w:hideMark/>
          </w:tcPr>
          <w:p w14:paraId="0A854D08" w14:textId="77777777" w:rsidR="00E6519F" w:rsidRPr="00E6519F" w:rsidRDefault="00E6519F" w:rsidP="006A5664">
            <w:pPr>
              <w:spacing w:before="20"/>
              <w:ind w:left="57" w:hanging="144"/>
              <w:jc w:val="left"/>
              <w:rPr>
                <w:color w:val="000000"/>
                <w:sz w:val="17"/>
                <w:szCs w:val="17"/>
                <w:rtl/>
                <w:lang w:eastAsia="he-IL"/>
              </w:rPr>
            </w:pPr>
            <w:r w:rsidRPr="00E6519F">
              <w:rPr>
                <w:rFonts w:hint="cs"/>
                <w:b/>
                <w:bCs/>
                <w:color w:val="000000"/>
                <w:sz w:val="17"/>
                <w:szCs w:val="17"/>
                <w:rtl/>
                <w:lang w:eastAsia="he-IL"/>
              </w:rPr>
              <w:t>יתרה מאזנית</w:t>
            </w:r>
            <w:r w:rsidRPr="00E6519F">
              <w:rPr>
                <w:rFonts w:hint="cs"/>
                <w:color w:val="000000"/>
                <w:sz w:val="17"/>
                <w:szCs w:val="17"/>
                <w:vertAlign w:val="superscript"/>
                <w:rtl/>
                <w:lang w:eastAsia="he-IL"/>
              </w:rPr>
              <w:t>[</w:t>
            </w:r>
            <w:r w:rsidRPr="00E6519F">
              <w:rPr>
                <w:rStyle w:val="a7"/>
                <w:sz w:val="17"/>
                <w:szCs w:val="17"/>
                <w:rtl/>
                <w:lang w:eastAsia="he-IL"/>
              </w:rPr>
              <w:footnoteReference w:id="80"/>
            </w:r>
            <w:r w:rsidRPr="00E6519F">
              <w:rPr>
                <w:rFonts w:hint="cs"/>
                <w:color w:val="000000"/>
                <w:sz w:val="17"/>
                <w:szCs w:val="17"/>
                <w:vertAlign w:val="superscript"/>
                <w:rtl/>
                <w:lang w:eastAsia="he-IL"/>
              </w:rPr>
              <w:t>]</w:t>
            </w:r>
          </w:p>
        </w:tc>
        <w:tc>
          <w:tcPr>
            <w:tcW w:w="734" w:type="dxa"/>
            <w:gridSpan w:val="2"/>
            <w:tcBorders>
              <w:top w:val="nil"/>
              <w:left w:val="nil"/>
              <w:bottom w:val="nil"/>
              <w:right w:val="nil"/>
            </w:tcBorders>
            <w:vAlign w:val="bottom"/>
            <w:hideMark/>
          </w:tcPr>
          <w:p w14:paraId="36E8D3FE"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w:t>
            </w:r>
          </w:p>
        </w:tc>
        <w:tc>
          <w:tcPr>
            <w:tcW w:w="734" w:type="dxa"/>
            <w:tcBorders>
              <w:top w:val="nil"/>
              <w:left w:val="nil"/>
              <w:bottom w:val="nil"/>
              <w:right w:val="nil"/>
            </w:tcBorders>
            <w:vAlign w:val="bottom"/>
            <w:hideMark/>
          </w:tcPr>
          <w:p w14:paraId="1D1997EF"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 </w:t>
            </w:r>
          </w:p>
        </w:tc>
        <w:tc>
          <w:tcPr>
            <w:tcW w:w="611" w:type="dxa"/>
            <w:tcBorders>
              <w:top w:val="nil"/>
              <w:left w:val="nil"/>
              <w:bottom w:val="nil"/>
              <w:right w:val="nil"/>
            </w:tcBorders>
            <w:vAlign w:val="bottom"/>
            <w:hideMark/>
          </w:tcPr>
          <w:p w14:paraId="79E66B6F"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w:t>
            </w:r>
          </w:p>
        </w:tc>
        <w:tc>
          <w:tcPr>
            <w:tcW w:w="738" w:type="dxa"/>
            <w:tcBorders>
              <w:top w:val="nil"/>
              <w:left w:val="nil"/>
              <w:bottom w:val="nil"/>
              <w:right w:val="nil"/>
            </w:tcBorders>
            <w:vAlign w:val="bottom"/>
            <w:hideMark/>
          </w:tcPr>
          <w:p w14:paraId="17B489B2"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 </w:t>
            </w:r>
          </w:p>
        </w:tc>
        <w:tc>
          <w:tcPr>
            <w:tcW w:w="734" w:type="dxa"/>
            <w:tcBorders>
              <w:top w:val="nil"/>
              <w:left w:val="nil"/>
              <w:bottom w:val="nil"/>
              <w:right w:val="nil"/>
            </w:tcBorders>
            <w:vAlign w:val="bottom"/>
            <w:hideMark/>
          </w:tcPr>
          <w:p w14:paraId="04133B9F"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 </w:t>
            </w:r>
          </w:p>
        </w:tc>
        <w:tc>
          <w:tcPr>
            <w:tcW w:w="614" w:type="dxa"/>
            <w:tcBorders>
              <w:top w:val="nil"/>
              <w:left w:val="nil"/>
              <w:bottom w:val="nil"/>
              <w:right w:val="nil"/>
            </w:tcBorders>
            <w:vAlign w:val="bottom"/>
            <w:hideMark/>
          </w:tcPr>
          <w:p w14:paraId="70E300F3" w14:textId="77777777" w:rsidR="00E6519F" w:rsidRPr="00BF28F2" w:rsidRDefault="00E6519F" w:rsidP="006A5664">
            <w:pPr>
              <w:pBdr>
                <w:bottom w:val="single" w:sz="4" w:space="1" w:color="auto"/>
              </w:pBdr>
              <w:spacing w:before="20"/>
              <w:rPr>
                <w:sz w:val="18"/>
                <w:szCs w:val="18"/>
                <w:rtl/>
              </w:rPr>
            </w:pPr>
            <w:r w:rsidRPr="00BF28F2">
              <w:rPr>
                <w:rFonts w:hint="cs"/>
                <w:b/>
                <w:bCs/>
                <w:sz w:val="18"/>
                <w:szCs w:val="18"/>
                <w:rtl/>
              </w:rPr>
              <w:t xml:space="preserve"> 0 </w:t>
            </w:r>
          </w:p>
        </w:tc>
        <w:tc>
          <w:tcPr>
            <w:tcW w:w="224" w:type="dxa"/>
            <w:tcBorders>
              <w:top w:val="nil"/>
              <w:left w:val="nil"/>
              <w:bottom w:val="nil"/>
              <w:right w:val="nil"/>
            </w:tcBorders>
          </w:tcPr>
          <w:p w14:paraId="2BF6BD27" w14:textId="77777777" w:rsidR="00E6519F" w:rsidRPr="00BF28F2" w:rsidRDefault="00E6519F" w:rsidP="00E6519F">
            <w:pPr>
              <w:spacing w:before="20"/>
              <w:rPr>
                <w:b/>
                <w:bCs/>
                <w:sz w:val="18"/>
                <w:szCs w:val="18"/>
                <w:rtl/>
              </w:rPr>
            </w:pPr>
          </w:p>
        </w:tc>
        <w:tc>
          <w:tcPr>
            <w:tcW w:w="767" w:type="dxa"/>
            <w:tcBorders>
              <w:top w:val="nil"/>
              <w:left w:val="nil"/>
              <w:bottom w:val="nil"/>
              <w:right w:val="nil"/>
            </w:tcBorders>
            <w:vAlign w:val="bottom"/>
          </w:tcPr>
          <w:p w14:paraId="4ECB80FA" w14:textId="1A578E31"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w:t>
            </w:r>
          </w:p>
        </w:tc>
        <w:tc>
          <w:tcPr>
            <w:tcW w:w="736" w:type="dxa"/>
            <w:tcBorders>
              <w:top w:val="nil"/>
              <w:left w:val="nil"/>
              <w:bottom w:val="nil"/>
              <w:right w:val="nil"/>
            </w:tcBorders>
            <w:vAlign w:val="bottom"/>
          </w:tcPr>
          <w:p w14:paraId="701FD4B4" w14:textId="4D5DFCEE"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616" w:type="dxa"/>
            <w:tcBorders>
              <w:top w:val="nil"/>
              <w:left w:val="nil"/>
              <w:bottom w:val="nil"/>
              <w:right w:val="nil"/>
            </w:tcBorders>
            <w:vAlign w:val="bottom"/>
          </w:tcPr>
          <w:p w14:paraId="102FEE16" w14:textId="29BD1C84"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w:t>
            </w:r>
          </w:p>
        </w:tc>
        <w:tc>
          <w:tcPr>
            <w:tcW w:w="737" w:type="dxa"/>
            <w:tcBorders>
              <w:top w:val="nil"/>
              <w:left w:val="nil"/>
              <w:bottom w:val="nil"/>
              <w:right w:val="nil"/>
            </w:tcBorders>
            <w:vAlign w:val="bottom"/>
          </w:tcPr>
          <w:p w14:paraId="19CD7CAA" w14:textId="56FBB690"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736" w:type="dxa"/>
            <w:tcBorders>
              <w:top w:val="nil"/>
              <w:left w:val="nil"/>
              <w:bottom w:val="nil"/>
              <w:right w:val="nil"/>
            </w:tcBorders>
            <w:vAlign w:val="bottom"/>
          </w:tcPr>
          <w:p w14:paraId="7B3441D9" w14:textId="11979E83"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612" w:type="dxa"/>
            <w:tcBorders>
              <w:top w:val="nil"/>
              <w:left w:val="nil"/>
              <w:bottom w:val="nil"/>
              <w:right w:val="nil"/>
            </w:tcBorders>
            <w:vAlign w:val="bottom"/>
          </w:tcPr>
          <w:p w14:paraId="1ECF1599" w14:textId="00A8C629"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267" w:type="dxa"/>
            <w:tcBorders>
              <w:top w:val="nil"/>
              <w:left w:val="nil"/>
              <w:bottom w:val="nil"/>
              <w:right w:val="nil"/>
            </w:tcBorders>
          </w:tcPr>
          <w:p w14:paraId="16445FBC" w14:textId="77777777" w:rsidR="00E6519F" w:rsidRPr="00BF28F2" w:rsidRDefault="00E6519F" w:rsidP="00E6519F">
            <w:pPr>
              <w:spacing w:before="20"/>
              <w:rPr>
                <w:b/>
                <w:bCs/>
                <w:sz w:val="18"/>
                <w:szCs w:val="18"/>
                <w:rtl/>
              </w:rPr>
            </w:pPr>
          </w:p>
        </w:tc>
        <w:tc>
          <w:tcPr>
            <w:tcW w:w="846" w:type="dxa"/>
            <w:tcBorders>
              <w:top w:val="nil"/>
              <w:left w:val="nil"/>
              <w:bottom w:val="nil"/>
              <w:right w:val="nil"/>
            </w:tcBorders>
            <w:vAlign w:val="bottom"/>
          </w:tcPr>
          <w:p w14:paraId="3EFC2262" w14:textId="0FF3C7CB"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w:t>
            </w:r>
          </w:p>
        </w:tc>
        <w:tc>
          <w:tcPr>
            <w:tcW w:w="734" w:type="dxa"/>
            <w:tcBorders>
              <w:top w:val="nil"/>
              <w:left w:val="nil"/>
              <w:bottom w:val="nil"/>
              <w:right w:val="nil"/>
            </w:tcBorders>
            <w:vAlign w:val="bottom"/>
          </w:tcPr>
          <w:p w14:paraId="69BFD56D" w14:textId="41AB880B"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684" w:type="dxa"/>
            <w:tcBorders>
              <w:top w:val="nil"/>
              <w:left w:val="nil"/>
              <w:bottom w:val="nil"/>
              <w:right w:val="nil"/>
            </w:tcBorders>
            <w:vAlign w:val="bottom"/>
          </w:tcPr>
          <w:p w14:paraId="7F6BAFE7" w14:textId="6C8EE80F"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w:t>
            </w:r>
          </w:p>
        </w:tc>
        <w:tc>
          <w:tcPr>
            <w:tcW w:w="734" w:type="dxa"/>
            <w:tcBorders>
              <w:top w:val="nil"/>
              <w:left w:val="nil"/>
              <w:bottom w:val="nil"/>
              <w:right w:val="nil"/>
            </w:tcBorders>
            <w:vAlign w:val="bottom"/>
          </w:tcPr>
          <w:p w14:paraId="6148340A" w14:textId="41696E07"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736" w:type="dxa"/>
            <w:tcBorders>
              <w:top w:val="nil"/>
              <w:left w:val="nil"/>
              <w:bottom w:val="nil"/>
              <w:right w:val="nil"/>
            </w:tcBorders>
            <w:vAlign w:val="bottom"/>
          </w:tcPr>
          <w:p w14:paraId="2A015F0B" w14:textId="04AECFA6"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c>
          <w:tcPr>
            <w:tcW w:w="532" w:type="dxa"/>
            <w:tcBorders>
              <w:top w:val="nil"/>
              <w:left w:val="nil"/>
              <w:bottom w:val="nil"/>
              <w:right w:val="nil"/>
            </w:tcBorders>
            <w:vAlign w:val="bottom"/>
          </w:tcPr>
          <w:p w14:paraId="11A7E2B2" w14:textId="4160C342" w:rsidR="00E6519F" w:rsidRPr="00BF28F2" w:rsidRDefault="00E6519F" w:rsidP="006A5664">
            <w:pPr>
              <w:pBdr>
                <w:bottom w:val="single" w:sz="4" w:space="1" w:color="auto"/>
              </w:pBdr>
              <w:spacing w:before="20"/>
              <w:rPr>
                <w:b/>
                <w:bCs/>
                <w:sz w:val="18"/>
                <w:szCs w:val="18"/>
                <w:rtl/>
              </w:rPr>
            </w:pPr>
            <w:r w:rsidRPr="00BF28F2">
              <w:rPr>
                <w:rFonts w:hint="cs"/>
                <w:b/>
                <w:bCs/>
                <w:sz w:val="18"/>
                <w:szCs w:val="18"/>
                <w:rtl/>
              </w:rPr>
              <w:t xml:space="preserve"> 0 </w:t>
            </w:r>
          </w:p>
        </w:tc>
      </w:tr>
      <w:tr w:rsidR="00920568" w:rsidRPr="003A2007" w14:paraId="47E27EB4" w14:textId="70B074E4" w:rsidTr="00920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0" w:type="dxa"/>
            <w:gridSpan w:val="2"/>
            <w:tcBorders>
              <w:top w:val="nil"/>
              <w:left w:val="nil"/>
              <w:bottom w:val="nil"/>
              <w:right w:val="nil"/>
            </w:tcBorders>
            <w:vAlign w:val="bottom"/>
            <w:hideMark/>
          </w:tcPr>
          <w:p w14:paraId="02E65FA9" w14:textId="77777777" w:rsidR="00E6519F" w:rsidRPr="00E6519F" w:rsidRDefault="00E6519F" w:rsidP="006A5664">
            <w:pPr>
              <w:spacing w:before="20"/>
              <w:ind w:left="57" w:hanging="144"/>
              <w:jc w:val="left"/>
              <w:rPr>
                <w:color w:val="000000"/>
                <w:sz w:val="17"/>
                <w:szCs w:val="17"/>
                <w:rtl/>
                <w:lang w:eastAsia="he-IL"/>
              </w:rPr>
            </w:pPr>
            <w:r w:rsidRPr="00E6519F">
              <w:rPr>
                <w:rFonts w:hint="cs"/>
                <w:color w:val="000000"/>
                <w:sz w:val="17"/>
                <w:szCs w:val="17"/>
                <w:rtl/>
                <w:lang w:eastAsia="he-IL"/>
              </w:rPr>
              <w:t xml:space="preserve">מזה: שאינם כפופים להסדר התחשבנות נטו או הסדרים דומים </w:t>
            </w:r>
          </w:p>
        </w:tc>
        <w:tc>
          <w:tcPr>
            <w:tcW w:w="734" w:type="dxa"/>
            <w:gridSpan w:val="2"/>
            <w:tcBorders>
              <w:top w:val="nil"/>
              <w:left w:val="nil"/>
              <w:bottom w:val="nil"/>
              <w:right w:val="nil"/>
            </w:tcBorders>
            <w:vAlign w:val="bottom"/>
            <w:hideMark/>
          </w:tcPr>
          <w:p w14:paraId="5AF09928"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734" w:type="dxa"/>
            <w:tcBorders>
              <w:top w:val="nil"/>
              <w:left w:val="nil"/>
              <w:bottom w:val="nil"/>
              <w:right w:val="nil"/>
            </w:tcBorders>
            <w:vAlign w:val="bottom"/>
            <w:hideMark/>
          </w:tcPr>
          <w:p w14:paraId="5B30674D"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611" w:type="dxa"/>
            <w:tcBorders>
              <w:top w:val="nil"/>
              <w:left w:val="nil"/>
              <w:bottom w:val="nil"/>
              <w:right w:val="nil"/>
            </w:tcBorders>
            <w:vAlign w:val="bottom"/>
            <w:hideMark/>
          </w:tcPr>
          <w:p w14:paraId="6AF7E8A9"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738" w:type="dxa"/>
            <w:tcBorders>
              <w:top w:val="nil"/>
              <w:left w:val="nil"/>
              <w:bottom w:val="nil"/>
              <w:right w:val="nil"/>
            </w:tcBorders>
            <w:vAlign w:val="bottom"/>
            <w:hideMark/>
          </w:tcPr>
          <w:p w14:paraId="43A5869E"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734" w:type="dxa"/>
            <w:tcBorders>
              <w:top w:val="nil"/>
              <w:left w:val="nil"/>
              <w:bottom w:val="nil"/>
              <w:right w:val="nil"/>
            </w:tcBorders>
            <w:vAlign w:val="bottom"/>
            <w:hideMark/>
          </w:tcPr>
          <w:p w14:paraId="402A328A"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614" w:type="dxa"/>
            <w:tcBorders>
              <w:top w:val="nil"/>
              <w:left w:val="nil"/>
              <w:bottom w:val="nil"/>
              <w:right w:val="nil"/>
            </w:tcBorders>
            <w:vAlign w:val="bottom"/>
            <w:hideMark/>
          </w:tcPr>
          <w:p w14:paraId="2DE1BB7D" w14:textId="77777777"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224" w:type="dxa"/>
            <w:tcBorders>
              <w:top w:val="nil"/>
              <w:left w:val="nil"/>
              <w:bottom w:val="nil"/>
              <w:right w:val="nil"/>
            </w:tcBorders>
          </w:tcPr>
          <w:p w14:paraId="64D577F2" w14:textId="77777777" w:rsidR="00E6519F" w:rsidRPr="00BF28F2" w:rsidRDefault="00E6519F" w:rsidP="006A5664">
            <w:pPr>
              <w:spacing w:before="20"/>
              <w:ind w:left="144" w:hanging="144"/>
              <w:jc w:val="left"/>
              <w:rPr>
                <w:color w:val="000000"/>
                <w:sz w:val="18"/>
                <w:szCs w:val="18"/>
                <w:rtl/>
                <w:lang w:eastAsia="he-IL"/>
              </w:rPr>
            </w:pPr>
          </w:p>
        </w:tc>
        <w:tc>
          <w:tcPr>
            <w:tcW w:w="767" w:type="dxa"/>
            <w:tcBorders>
              <w:top w:val="nil"/>
              <w:left w:val="nil"/>
              <w:bottom w:val="nil"/>
              <w:right w:val="nil"/>
            </w:tcBorders>
            <w:vAlign w:val="bottom"/>
          </w:tcPr>
          <w:p w14:paraId="02A820F7" w14:textId="33C3425B"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736" w:type="dxa"/>
            <w:tcBorders>
              <w:top w:val="nil"/>
              <w:left w:val="nil"/>
              <w:bottom w:val="nil"/>
              <w:right w:val="nil"/>
            </w:tcBorders>
            <w:vAlign w:val="bottom"/>
          </w:tcPr>
          <w:p w14:paraId="07055603" w14:textId="13CF320B"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616" w:type="dxa"/>
            <w:tcBorders>
              <w:top w:val="nil"/>
              <w:left w:val="nil"/>
              <w:bottom w:val="nil"/>
              <w:right w:val="nil"/>
            </w:tcBorders>
            <w:vAlign w:val="bottom"/>
          </w:tcPr>
          <w:p w14:paraId="72C15FFF" w14:textId="0EBF9469"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737" w:type="dxa"/>
            <w:tcBorders>
              <w:top w:val="nil"/>
              <w:left w:val="nil"/>
              <w:bottom w:val="nil"/>
              <w:right w:val="nil"/>
            </w:tcBorders>
            <w:vAlign w:val="bottom"/>
          </w:tcPr>
          <w:p w14:paraId="7F8C9F3A" w14:textId="66AD2D66"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736" w:type="dxa"/>
            <w:tcBorders>
              <w:top w:val="nil"/>
              <w:left w:val="nil"/>
              <w:bottom w:val="nil"/>
              <w:right w:val="nil"/>
            </w:tcBorders>
            <w:vAlign w:val="bottom"/>
          </w:tcPr>
          <w:p w14:paraId="50C570D3" w14:textId="1CB3972C"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612" w:type="dxa"/>
            <w:tcBorders>
              <w:top w:val="nil"/>
              <w:left w:val="nil"/>
              <w:bottom w:val="nil"/>
              <w:right w:val="nil"/>
            </w:tcBorders>
            <w:vAlign w:val="bottom"/>
          </w:tcPr>
          <w:p w14:paraId="41863920" w14:textId="30BB22CA"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267" w:type="dxa"/>
            <w:tcBorders>
              <w:top w:val="nil"/>
              <w:left w:val="nil"/>
              <w:bottom w:val="nil"/>
              <w:right w:val="nil"/>
            </w:tcBorders>
          </w:tcPr>
          <w:p w14:paraId="62FD1FEF" w14:textId="77777777" w:rsidR="00E6519F" w:rsidRPr="00BF28F2" w:rsidRDefault="00E6519F" w:rsidP="006A5664">
            <w:pPr>
              <w:spacing w:before="20"/>
              <w:ind w:left="144" w:hanging="144"/>
              <w:jc w:val="left"/>
              <w:rPr>
                <w:color w:val="000000"/>
                <w:sz w:val="18"/>
                <w:szCs w:val="18"/>
                <w:rtl/>
                <w:lang w:eastAsia="he-IL"/>
              </w:rPr>
            </w:pPr>
          </w:p>
        </w:tc>
        <w:tc>
          <w:tcPr>
            <w:tcW w:w="846" w:type="dxa"/>
            <w:tcBorders>
              <w:top w:val="nil"/>
              <w:left w:val="nil"/>
              <w:bottom w:val="nil"/>
              <w:right w:val="nil"/>
            </w:tcBorders>
            <w:vAlign w:val="bottom"/>
          </w:tcPr>
          <w:p w14:paraId="3C8151CE" w14:textId="5819707C"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734" w:type="dxa"/>
            <w:tcBorders>
              <w:top w:val="nil"/>
              <w:left w:val="nil"/>
              <w:bottom w:val="nil"/>
              <w:right w:val="nil"/>
            </w:tcBorders>
            <w:vAlign w:val="bottom"/>
          </w:tcPr>
          <w:p w14:paraId="482C12CB" w14:textId="15DCD70C"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684" w:type="dxa"/>
            <w:tcBorders>
              <w:top w:val="nil"/>
              <w:left w:val="nil"/>
              <w:bottom w:val="nil"/>
              <w:right w:val="nil"/>
            </w:tcBorders>
            <w:vAlign w:val="bottom"/>
          </w:tcPr>
          <w:p w14:paraId="5DD9D01C" w14:textId="5432A3FA"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734" w:type="dxa"/>
            <w:tcBorders>
              <w:top w:val="nil"/>
              <w:left w:val="nil"/>
              <w:bottom w:val="nil"/>
              <w:right w:val="nil"/>
            </w:tcBorders>
            <w:vAlign w:val="bottom"/>
          </w:tcPr>
          <w:p w14:paraId="08119E43" w14:textId="35C985A3"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736" w:type="dxa"/>
            <w:tcBorders>
              <w:top w:val="nil"/>
              <w:left w:val="nil"/>
              <w:bottom w:val="nil"/>
              <w:right w:val="nil"/>
            </w:tcBorders>
            <w:vAlign w:val="bottom"/>
          </w:tcPr>
          <w:p w14:paraId="26F12CE2" w14:textId="0F189390"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c>
          <w:tcPr>
            <w:tcW w:w="532" w:type="dxa"/>
            <w:tcBorders>
              <w:top w:val="nil"/>
              <w:left w:val="nil"/>
              <w:bottom w:val="nil"/>
              <w:right w:val="nil"/>
            </w:tcBorders>
            <w:vAlign w:val="bottom"/>
          </w:tcPr>
          <w:p w14:paraId="0D53AAF4" w14:textId="3CE1AA85" w:rsidR="00E6519F" w:rsidRPr="00BF28F2" w:rsidRDefault="00E6519F" w:rsidP="006A5664">
            <w:pPr>
              <w:spacing w:before="20"/>
              <w:ind w:left="144" w:hanging="144"/>
              <w:jc w:val="left"/>
              <w:rPr>
                <w:color w:val="000000"/>
                <w:sz w:val="18"/>
                <w:szCs w:val="18"/>
                <w:rtl/>
                <w:lang w:eastAsia="he-IL"/>
              </w:rPr>
            </w:pPr>
            <w:r w:rsidRPr="00BF28F2">
              <w:rPr>
                <w:rFonts w:hint="cs"/>
                <w:color w:val="000000"/>
                <w:sz w:val="18"/>
                <w:szCs w:val="18"/>
                <w:rtl/>
                <w:lang w:eastAsia="he-IL"/>
              </w:rPr>
              <w:t xml:space="preserve"> 0</w:t>
            </w:r>
          </w:p>
        </w:tc>
      </w:tr>
    </w:tbl>
    <w:p w14:paraId="4D51B1DD" w14:textId="77777777" w:rsidR="006A5664" w:rsidRDefault="006A5664"/>
    <w:tbl>
      <w:tblPr>
        <w:tblpPr w:leftFromText="180" w:rightFromText="180" w:vertAnchor="text" w:horzAnchor="margin" w:tblpY="181"/>
        <w:bidiVisual/>
        <w:tblW w:w="4983" w:type="pct"/>
        <w:tblLook w:val="01E0" w:firstRow="1" w:lastRow="1" w:firstColumn="1" w:lastColumn="1" w:noHBand="0" w:noVBand="0"/>
      </w:tblPr>
      <w:tblGrid>
        <w:gridCol w:w="1644"/>
        <w:gridCol w:w="13437"/>
      </w:tblGrid>
      <w:tr w:rsidR="00AE50CF" w14:paraId="3C2D7A29" w14:textId="77777777" w:rsidTr="00920568">
        <w:trPr>
          <w:trHeight w:val="564"/>
        </w:trPr>
        <w:tc>
          <w:tcPr>
            <w:tcW w:w="1644" w:type="dxa"/>
            <w:tcBorders>
              <w:top w:val="nil"/>
              <w:bottom w:val="nil"/>
              <w:right w:val="nil"/>
            </w:tcBorders>
          </w:tcPr>
          <w:p w14:paraId="7FF1B58D" w14:textId="77777777" w:rsidR="00AE50CF" w:rsidRPr="0086769E" w:rsidRDefault="00AE50CF" w:rsidP="000A69A2">
            <w:pPr>
              <w:ind w:right="-288"/>
              <w:rPr>
                <w:sz w:val="18"/>
                <w:szCs w:val="18"/>
              </w:rPr>
            </w:pPr>
          </w:p>
        </w:tc>
        <w:tc>
          <w:tcPr>
            <w:tcW w:w="13436" w:type="dxa"/>
            <w:hideMark/>
          </w:tcPr>
          <w:p w14:paraId="7BCB2A94" w14:textId="7E3BC542" w:rsidR="00AE50CF" w:rsidRPr="003A2007" w:rsidRDefault="00AE50CF" w:rsidP="00970C35">
            <w:pPr>
              <w:ind w:left="313" w:right="-289" w:hanging="283"/>
              <w:jc w:val="left"/>
              <w:rPr>
                <w:sz w:val="18"/>
                <w:szCs w:val="18"/>
                <w:rtl/>
              </w:rPr>
            </w:pPr>
            <w:r w:rsidRPr="0086769E">
              <w:rPr>
                <w:rFonts w:hint="cs"/>
                <w:sz w:val="18"/>
                <w:szCs w:val="18"/>
                <w:rtl/>
              </w:rPr>
              <w:t>(א)</w:t>
            </w:r>
            <w:r>
              <w:rPr>
                <w:rFonts w:hint="cs"/>
                <w:sz w:val="18"/>
                <w:szCs w:val="18"/>
                <w:rtl/>
              </w:rPr>
              <w:t xml:space="preserve"> </w:t>
            </w:r>
            <w:r w:rsidRPr="00DB47CA">
              <w:rPr>
                <w:sz w:val="18"/>
                <w:szCs w:val="18"/>
                <w:rtl/>
              </w:rPr>
              <w:t>מזה: שווי הוגן ברוטו של נכסים בגין נגזר</w:t>
            </w:r>
            <w:r>
              <w:rPr>
                <w:sz w:val="18"/>
                <w:szCs w:val="18"/>
                <w:rtl/>
              </w:rPr>
              <w:t>ים משובצים בסך __ מיליוני ש" ח</w:t>
            </w:r>
            <w:r>
              <w:rPr>
                <w:rFonts w:hint="cs"/>
                <w:sz w:val="18"/>
                <w:szCs w:val="18"/>
                <w:rtl/>
              </w:rPr>
              <w:t xml:space="preserve"> ו</w:t>
            </w:r>
            <w:r w:rsidRPr="00DB47CA">
              <w:rPr>
                <w:sz w:val="18"/>
                <w:szCs w:val="18"/>
                <w:rtl/>
              </w:rPr>
              <w:t xml:space="preserve">שווי הוגן ברוטו של התחייבויות בגין נגזרים משובצים בסך __ מיליוני </w:t>
            </w:r>
            <w:r w:rsidR="00970C35">
              <w:rPr>
                <w:rFonts w:hint="cs"/>
                <w:sz w:val="18"/>
                <w:szCs w:val="18"/>
                <w:rtl/>
              </w:rPr>
              <w:t xml:space="preserve">₪ (ליום </w:t>
            </w:r>
            <w:r w:rsidR="00970C35">
              <w:rPr>
                <w:rtl/>
              </w:rPr>
              <w:t xml:space="preserve"> </w:t>
            </w:r>
            <w:r w:rsidR="00970C35" w:rsidRPr="00970C35">
              <w:rPr>
                <w:sz w:val="18"/>
                <w:szCs w:val="18"/>
                <w:rtl/>
              </w:rPr>
              <w:t xml:space="preserve">ליום 30 ביוני 2023 </w:t>
            </w:r>
            <w:r w:rsidR="00970C35">
              <w:rPr>
                <w:rFonts w:hint="cs"/>
                <w:sz w:val="18"/>
                <w:szCs w:val="18"/>
                <w:rtl/>
              </w:rPr>
              <w:t xml:space="preserve">סך של __ ו- __ </w:t>
            </w:r>
            <w:r w:rsidR="00D618C6" w:rsidRPr="00DB47CA">
              <w:rPr>
                <w:sz w:val="18"/>
                <w:szCs w:val="18"/>
                <w:rtl/>
              </w:rPr>
              <w:t xml:space="preserve"> מיליוני </w:t>
            </w:r>
            <w:r w:rsidR="00D618C6">
              <w:rPr>
                <w:rFonts w:hint="cs"/>
                <w:sz w:val="18"/>
                <w:szCs w:val="18"/>
                <w:rtl/>
              </w:rPr>
              <w:t>₪</w:t>
            </w:r>
            <w:r w:rsidR="00920568">
              <w:rPr>
                <w:rFonts w:hint="cs"/>
                <w:sz w:val="18"/>
                <w:szCs w:val="18"/>
                <w:rtl/>
              </w:rPr>
              <w:t>,</w:t>
            </w:r>
            <w:r w:rsidR="00D618C6">
              <w:rPr>
                <w:rFonts w:hint="cs"/>
                <w:sz w:val="18"/>
                <w:szCs w:val="18"/>
                <w:rtl/>
              </w:rPr>
              <w:t xml:space="preserve"> </w:t>
            </w:r>
            <w:r w:rsidR="00970C35">
              <w:rPr>
                <w:rFonts w:hint="cs"/>
                <w:sz w:val="18"/>
                <w:szCs w:val="18"/>
                <w:rtl/>
              </w:rPr>
              <w:t xml:space="preserve">בהתאמה; וליום </w:t>
            </w:r>
            <w:r w:rsidR="00970C35" w:rsidRPr="00970C35">
              <w:rPr>
                <w:sz w:val="18"/>
                <w:szCs w:val="18"/>
                <w:rtl/>
              </w:rPr>
              <w:t>31 בדצמבר 2023</w:t>
            </w:r>
            <w:r w:rsidR="00970C35">
              <w:rPr>
                <w:rFonts w:hint="cs"/>
                <w:sz w:val="18"/>
                <w:szCs w:val="18"/>
                <w:rtl/>
              </w:rPr>
              <w:t xml:space="preserve">  סך של __ ו- __ </w:t>
            </w:r>
            <w:r w:rsidR="00D618C6" w:rsidRPr="00DB47CA">
              <w:rPr>
                <w:sz w:val="18"/>
                <w:szCs w:val="18"/>
                <w:rtl/>
              </w:rPr>
              <w:t xml:space="preserve"> מיליוני </w:t>
            </w:r>
            <w:r w:rsidR="00D618C6">
              <w:rPr>
                <w:rFonts w:hint="cs"/>
                <w:sz w:val="18"/>
                <w:szCs w:val="18"/>
                <w:rtl/>
              </w:rPr>
              <w:t>₪</w:t>
            </w:r>
            <w:r w:rsidR="00920568">
              <w:rPr>
                <w:rFonts w:hint="cs"/>
                <w:sz w:val="18"/>
                <w:szCs w:val="18"/>
                <w:rtl/>
              </w:rPr>
              <w:t>,</w:t>
            </w:r>
            <w:r w:rsidR="00D618C6">
              <w:rPr>
                <w:rFonts w:hint="cs"/>
                <w:sz w:val="18"/>
                <w:szCs w:val="18"/>
                <w:rtl/>
              </w:rPr>
              <w:t xml:space="preserve"> </w:t>
            </w:r>
            <w:r w:rsidR="00970C35">
              <w:rPr>
                <w:rFonts w:hint="cs"/>
                <w:sz w:val="18"/>
                <w:szCs w:val="18"/>
                <w:rtl/>
              </w:rPr>
              <w:t>בהתאמה)</w:t>
            </w:r>
            <w:r w:rsidRPr="00DB47CA">
              <w:rPr>
                <w:sz w:val="18"/>
                <w:szCs w:val="18"/>
                <w:rtl/>
              </w:rPr>
              <w:t>.</w:t>
            </w:r>
          </w:p>
        </w:tc>
      </w:tr>
    </w:tbl>
    <w:p w14:paraId="1929544A" w14:textId="77777777" w:rsidR="006A5664" w:rsidRDefault="006A5664" w:rsidP="00CE3FC5">
      <w:pPr>
        <w:tabs>
          <w:tab w:val="left" w:pos="2070"/>
        </w:tabs>
        <w:rPr>
          <w:rtl/>
        </w:rPr>
      </w:pPr>
    </w:p>
    <w:p w14:paraId="6B04C4F3" w14:textId="77777777" w:rsidR="006A5664" w:rsidRDefault="006A5664" w:rsidP="00CE3FC5">
      <w:pPr>
        <w:tabs>
          <w:tab w:val="left" w:pos="2070"/>
        </w:tabs>
        <w:rPr>
          <w:rtl/>
        </w:rPr>
      </w:pPr>
    </w:p>
    <w:p w14:paraId="4E894790" w14:textId="77777777" w:rsidR="006A5664" w:rsidRDefault="006A5664" w:rsidP="00CE3FC5">
      <w:pPr>
        <w:tabs>
          <w:tab w:val="left" w:pos="2070"/>
        </w:tabs>
        <w:rPr>
          <w:rtl/>
        </w:rPr>
        <w:sectPr w:rsidR="006A5664" w:rsidSect="006A5664">
          <w:footnotePr>
            <w:numRestart w:val="eachPage"/>
          </w:footnotePr>
          <w:pgSz w:w="16834" w:h="11909" w:orient="landscape" w:code="9"/>
          <w:pgMar w:top="851" w:right="851" w:bottom="851" w:left="851" w:header="720" w:footer="720" w:gutter="0"/>
          <w:cols w:space="720"/>
          <w:bidi/>
          <w:rtlGutter/>
          <w:docGrid w:linePitch="360"/>
        </w:sectPr>
      </w:pPr>
    </w:p>
    <w:p w14:paraId="29936971" w14:textId="4103F667" w:rsidR="00F97173" w:rsidRDefault="00F97173">
      <w:pPr>
        <w:bidi w:val="0"/>
        <w:jc w:val="left"/>
      </w:pPr>
    </w:p>
    <w:tbl>
      <w:tblPr>
        <w:bidiVisual/>
        <w:tblW w:w="5087" w:type="pct"/>
        <w:tblInd w:w="-82" w:type="dxa"/>
        <w:tblLayout w:type="fixed"/>
        <w:tblLook w:val="04A0" w:firstRow="1" w:lastRow="0" w:firstColumn="1" w:lastColumn="0" w:noHBand="0" w:noVBand="1"/>
      </w:tblPr>
      <w:tblGrid>
        <w:gridCol w:w="1166"/>
        <w:gridCol w:w="425"/>
        <w:gridCol w:w="8794"/>
      </w:tblGrid>
      <w:tr w:rsidR="00F97173" w14:paraId="267B3249" w14:textId="77777777" w:rsidTr="008320B3">
        <w:trPr>
          <w:trHeight w:val="259"/>
        </w:trPr>
        <w:tc>
          <w:tcPr>
            <w:tcW w:w="1166" w:type="dxa"/>
            <w:hideMark/>
          </w:tcPr>
          <w:p w14:paraId="1740D444" w14:textId="77777777" w:rsidR="00F97173" w:rsidRDefault="00F97173" w:rsidP="00B14CB8">
            <w:pPr>
              <w:pStyle w:val="-fa"/>
              <w:ind w:right="-142"/>
              <w:rPr>
                <w:spacing w:val="-4"/>
              </w:rPr>
            </w:pPr>
          </w:p>
        </w:tc>
        <w:tc>
          <w:tcPr>
            <w:tcW w:w="9219" w:type="dxa"/>
            <w:gridSpan w:val="2"/>
            <w:hideMark/>
          </w:tcPr>
          <w:p w14:paraId="2D1C01BB" w14:textId="77777777" w:rsidR="00F97173" w:rsidRDefault="00F97173" w:rsidP="00E56CA3">
            <w:pPr>
              <w:pStyle w:val="-8"/>
              <w:rPr>
                <w:rtl/>
              </w:rPr>
            </w:pPr>
            <w:r>
              <w:rPr>
                <w:rFonts w:eastAsia="Arial Unicode MS" w:hint="cs"/>
                <w:rtl/>
              </w:rPr>
              <w:t xml:space="preserve">ביאור </w:t>
            </w:r>
            <w:r w:rsidR="00E56CA3">
              <w:rPr>
                <w:rFonts w:eastAsia="Arial Unicode MS" w:hint="cs"/>
                <w:rtl/>
              </w:rPr>
              <w:t>10</w:t>
            </w:r>
            <w:r>
              <w:rPr>
                <w:rFonts w:eastAsia="Arial Unicode MS" w:hint="cs"/>
                <w:rtl/>
              </w:rPr>
              <w:t xml:space="preserve"> - </w:t>
            </w:r>
            <w:r>
              <w:rPr>
                <w:rFonts w:hint="cs"/>
                <w:rtl/>
              </w:rPr>
              <w:t xml:space="preserve">פעילות במכשירים נגזרים </w:t>
            </w:r>
            <w:r>
              <w:t>-</w:t>
            </w:r>
            <w:r>
              <w:rPr>
                <w:rFonts w:hint="cs"/>
                <w:rtl/>
              </w:rPr>
              <w:t xml:space="preserve"> היקף, סיכוני אשראי ומועדי פירעון (המשך):</w:t>
            </w:r>
          </w:p>
        </w:tc>
      </w:tr>
      <w:tr w:rsidR="00F97173" w14:paraId="0C2ECEB1" w14:textId="77777777" w:rsidTr="008320B3">
        <w:trPr>
          <w:trHeight w:val="245"/>
        </w:trPr>
        <w:tc>
          <w:tcPr>
            <w:tcW w:w="1166" w:type="dxa"/>
            <w:tcBorders>
              <w:top w:val="nil"/>
              <w:left w:val="nil"/>
              <w:bottom w:val="nil"/>
            </w:tcBorders>
          </w:tcPr>
          <w:p w14:paraId="5F44DBB5" w14:textId="77777777" w:rsidR="00F97173" w:rsidRPr="006A34E5" w:rsidRDefault="00F97173" w:rsidP="00B14CB8">
            <w:pPr>
              <w:pStyle w:val="-fa"/>
              <w:spacing w:line="120" w:lineRule="auto"/>
              <w:ind w:right="-142"/>
              <w:rPr>
                <w:b/>
                <w:bCs/>
                <w:spacing w:val="-4"/>
                <w:sz w:val="20"/>
                <w:szCs w:val="20"/>
                <w:rtl/>
              </w:rPr>
            </w:pPr>
          </w:p>
        </w:tc>
        <w:tc>
          <w:tcPr>
            <w:tcW w:w="425" w:type="dxa"/>
            <w:tcBorders>
              <w:top w:val="nil"/>
              <w:bottom w:val="nil"/>
              <w:right w:val="nil"/>
            </w:tcBorders>
            <w:hideMark/>
          </w:tcPr>
          <w:p w14:paraId="6FAD89A4" w14:textId="77777777" w:rsidR="00F97173" w:rsidRDefault="00F97173" w:rsidP="00B14CB8">
            <w:pPr>
              <w:pStyle w:val="-f4"/>
              <w:spacing w:line="240" w:lineRule="auto"/>
              <w:jc w:val="left"/>
              <w:rPr>
                <w:rtl/>
              </w:rPr>
            </w:pPr>
            <w:r>
              <w:rPr>
                <w:rFonts w:hint="cs"/>
                <w:rtl/>
              </w:rPr>
              <w:t>א.</w:t>
            </w:r>
          </w:p>
        </w:tc>
        <w:tc>
          <w:tcPr>
            <w:tcW w:w="8794" w:type="dxa"/>
            <w:hideMark/>
          </w:tcPr>
          <w:p w14:paraId="6F863F14" w14:textId="77777777" w:rsidR="00F97173" w:rsidRDefault="00F97173" w:rsidP="00B14CB8">
            <w:pPr>
              <w:pStyle w:val="-f4"/>
              <w:spacing w:line="240" w:lineRule="auto"/>
              <w:jc w:val="left"/>
              <w:rPr>
                <w:rtl/>
              </w:rPr>
            </w:pPr>
            <w:r>
              <w:rPr>
                <w:rFonts w:hint="cs"/>
                <w:rtl/>
              </w:rPr>
              <w:t>היקף הפעילות על בסיס מאוחד (המשך):</w:t>
            </w:r>
          </w:p>
        </w:tc>
      </w:tr>
      <w:tr w:rsidR="00F97173" w14:paraId="682D7132" w14:textId="77777777" w:rsidTr="008320B3">
        <w:trPr>
          <w:trHeight w:val="245"/>
        </w:trPr>
        <w:tc>
          <w:tcPr>
            <w:tcW w:w="1591" w:type="dxa"/>
            <w:gridSpan w:val="2"/>
            <w:tcBorders>
              <w:top w:val="nil"/>
              <w:left w:val="nil"/>
              <w:bottom w:val="nil"/>
            </w:tcBorders>
          </w:tcPr>
          <w:p w14:paraId="1AC4A1D5" w14:textId="2D22460B" w:rsidR="00F97173" w:rsidRPr="002444FE" w:rsidRDefault="00F97173" w:rsidP="00077CE4">
            <w:pPr>
              <w:pStyle w:val="-f4"/>
              <w:spacing w:before="0" w:line="240" w:lineRule="auto"/>
              <w:jc w:val="left"/>
              <w:rPr>
                <w:b w:val="0"/>
                <w:bCs w:val="0"/>
                <w:sz w:val="16"/>
                <w:szCs w:val="16"/>
                <w:rtl/>
              </w:rPr>
            </w:pPr>
          </w:p>
        </w:tc>
        <w:tc>
          <w:tcPr>
            <w:tcW w:w="8794" w:type="dxa"/>
            <w:hideMark/>
          </w:tcPr>
          <w:p w14:paraId="04811C75" w14:textId="1AB53913" w:rsidR="00F97173" w:rsidRPr="00A26F60" w:rsidRDefault="00F97173" w:rsidP="00E148B0">
            <w:pPr>
              <w:pStyle w:val="-f4"/>
              <w:spacing w:line="240" w:lineRule="auto"/>
              <w:ind w:left="317" w:hanging="317"/>
              <w:jc w:val="left"/>
              <w:rPr>
                <w:b w:val="0"/>
                <w:bCs w:val="0"/>
                <w:vertAlign w:val="superscript"/>
                <w:rtl/>
              </w:rPr>
            </w:pPr>
            <w:r>
              <w:rPr>
                <w:rFonts w:hint="cs"/>
                <w:rtl/>
              </w:rPr>
              <w:t xml:space="preserve">3. </w:t>
            </w:r>
            <w:r>
              <w:rPr>
                <w:rtl/>
              </w:rPr>
              <w:tab/>
            </w:r>
            <w:r>
              <w:rPr>
                <w:rFonts w:hint="cs"/>
                <w:rtl/>
              </w:rPr>
              <w:t xml:space="preserve">רווחים (הפסדים) בגין </w:t>
            </w:r>
            <w:r w:rsidRPr="008971B6">
              <w:rPr>
                <w:rtl/>
              </w:rPr>
              <w:t xml:space="preserve">מכשירים נגזרים שאינם מיועדים או </w:t>
            </w:r>
            <w:r>
              <w:rPr>
                <w:rFonts w:hint="cs"/>
                <w:rtl/>
              </w:rPr>
              <w:t>כשירים לשמש</w:t>
            </w:r>
            <w:r w:rsidRPr="008971B6">
              <w:rPr>
                <w:rtl/>
              </w:rPr>
              <w:t xml:space="preserve"> כמכשירים</w:t>
            </w:r>
            <w:r w:rsidR="00E148B0">
              <w:rPr>
                <w:rFonts w:hint="cs"/>
                <w:rtl/>
              </w:rPr>
              <w:t xml:space="preserve"> </w:t>
            </w:r>
            <w:r w:rsidRPr="008971B6">
              <w:rPr>
                <w:rtl/>
              </w:rPr>
              <w:t>מגדרים</w:t>
            </w:r>
            <w:r w:rsidRPr="00A26F60">
              <w:rPr>
                <w:rFonts w:hint="cs"/>
                <w:b w:val="0"/>
                <w:bCs w:val="0"/>
                <w:rtl/>
              </w:rPr>
              <w:t>:</w:t>
            </w:r>
            <w:r w:rsidRPr="00A26F60">
              <w:rPr>
                <w:rFonts w:hint="cs"/>
                <w:b w:val="0"/>
                <w:bCs w:val="0"/>
                <w:sz w:val="18"/>
                <w:szCs w:val="18"/>
                <w:vertAlign w:val="superscript"/>
                <w:rtl/>
              </w:rPr>
              <w:t>[</w:t>
            </w:r>
            <w:r w:rsidRPr="00A26F60">
              <w:rPr>
                <w:rStyle w:val="a7"/>
                <w:b w:val="0"/>
                <w:bCs w:val="0"/>
                <w:sz w:val="18"/>
                <w:szCs w:val="18"/>
                <w:rtl/>
              </w:rPr>
              <w:footnoteReference w:id="81"/>
            </w:r>
            <w:r w:rsidRPr="00A26F60">
              <w:rPr>
                <w:rFonts w:hint="cs"/>
                <w:b w:val="0"/>
                <w:bCs w:val="0"/>
                <w:sz w:val="18"/>
                <w:szCs w:val="18"/>
                <w:vertAlign w:val="superscript"/>
                <w:rtl/>
              </w:rPr>
              <w:t>]</w:t>
            </w:r>
            <w:r w:rsidR="00107478">
              <w:rPr>
                <w:rFonts w:hint="cs"/>
                <w:b w:val="0"/>
                <w:bCs w:val="0"/>
                <w:vertAlign w:val="superscript"/>
                <w:rtl/>
              </w:rPr>
              <w:t xml:space="preserve"> </w:t>
            </w:r>
            <w:r w:rsidR="00107478" w:rsidRPr="00107478">
              <w:rPr>
                <w:rFonts w:hint="cs"/>
                <w:b w:val="0"/>
                <w:bCs w:val="0"/>
                <w:sz w:val="18"/>
                <w:szCs w:val="18"/>
                <w:vertAlign w:val="superscript"/>
                <w:rtl/>
              </w:rPr>
              <w:t>(א)</w:t>
            </w:r>
          </w:p>
        </w:tc>
      </w:tr>
    </w:tbl>
    <w:p w14:paraId="325C69F3" w14:textId="77777777" w:rsidR="00FB54AC" w:rsidRPr="00F97173" w:rsidRDefault="00FB54AC" w:rsidP="00FB54AC">
      <w:pPr>
        <w:rPr>
          <w:rtl/>
        </w:rPr>
      </w:pPr>
    </w:p>
    <w:tbl>
      <w:tblPr>
        <w:tblpPr w:leftFromText="180" w:rightFromText="180" w:vertAnchor="text" w:horzAnchor="margin" w:tblpXSpec="center" w:tblpY="8"/>
        <w:bidiVisual/>
        <w:tblW w:w="3196" w:type="pct"/>
        <w:tblBorders>
          <w:left w:val="single" w:sz="4" w:space="0" w:color="auto"/>
        </w:tblBorders>
        <w:tblLook w:val="04A0" w:firstRow="1" w:lastRow="0" w:firstColumn="1" w:lastColumn="0" w:noHBand="0" w:noVBand="1"/>
      </w:tblPr>
      <w:tblGrid>
        <w:gridCol w:w="2118"/>
        <w:gridCol w:w="994"/>
        <w:gridCol w:w="1156"/>
        <w:gridCol w:w="252"/>
        <w:gridCol w:w="864"/>
        <w:gridCol w:w="1140"/>
      </w:tblGrid>
      <w:tr w:rsidR="00A26F60" w14:paraId="404C85D2" w14:textId="77777777" w:rsidTr="00903534">
        <w:trPr>
          <w:trHeight w:val="277"/>
        </w:trPr>
        <w:tc>
          <w:tcPr>
            <w:tcW w:w="2117" w:type="dxa"/>
            <w:vMerge w:val="restart"/>
            <w:tcBorders>
              <w:left w:val="nil"/>
            </w:tcBorders>
            <w:vAlign w:val="bottom"/>
          </w:tcPr>
          <w:p w14:paraId="3E9BE8B8" w14:textId="77777777" w:rsidR="00A26F60" w:rsidRDefault="00A26F60" w:rsidP="00A26F60">
            <w:pPr>
              <w:pStyle w:val="-0"/>
              <w:ind w:left="57"/>
              <w:rPr>
                <w:b/>
                <w:bCs/>
                <w:sz w:val="18"/>
                <w:szCs w:val="18"/>
                <w:rtl/>
              </w:rPr>
            </w:pPr>
          </w:p>
        </w:tc>
        <w:tc>
          <w:tcPr>
            <w:tcW w:w="2149" w:type="dxa"/>
            <w:gridSpan w:val="2"/>
            <w:tcBorders>
              <w:bottom w:val="nil"/>
            </w:tcBorders>
            <w:vAlign w:val="bottom"/>
            <w:hideMark/>
          </w:tcPr>
          <w:p w14:paraId="7E3BB2CE" w14:textId="77777777" w:rsidR="00A26F60" w:rsidRPr="009A5BDA" w:rsidRDefault="00A26F60" w:rsidP="009A5BDA">
            <w:pPr>
              <w:pBdr>
                <w:bottom w:val="single" w:sz="4" w:space="1" w:color="auto"/>
              </w:pBdr>
              <w:jc w:val="center"/>
              <w:rPr>
                <w:b/>
                <w:bCs/>
                <w:sz w:val="18"/>
                <w:szCs w:val="18"/>
                <w:highlight w:val="yellow"/>
                <w:rtl/>
              </w:rPr>
            </w:pPr>
            <w:r w:rsidRPr="009A5BDA">
              <w:rPr>
                <w:rFonts w:hint="eastAsia"/>
                <w:b/>
                <w:bCs/>
                <w:sz w:val="18"/>
                <w:szCs w:val="18"/>
                <w:rtl/>
              </w:rPr>
              <w:t>לתקופה</w:t>
            </w:r>
            <w:r w:rsidRPr="009A5BDA">
              <w:rPr>
                <w:b/>
                <w:bCs/>
                <w:sz w:val="18"/>
                <w:szCs w:val="18"/>
                <w:rtl/>
              </w:rPr>
              <w:t xml:space="preserve"> של </w:t>
            </w:r>
            <w:r w:rsidRPr="009A5BDA">
              <w:rPr>
                <w:rFonts w:hint="cs"/>
                <w:b/>
                <w:bCs/>
                <w:sz w:val="18"/>
                <w:szCs w:val="18"/>
                <w:rtl/>
              </w:rPr>
              <w:t>3</w:t>
            </w:r>
            <w:r w:rsidRPr="009A5BDA">
              <w:rPr>
                <w:b/>
                <w:bCs/>
                <w:sz w:val="18"/>
                <w:szCs w:val="18"/>
                <w:rtl/>
              </w:rPr>
              <w:t xml:space="preserve"> </w:t>
            </w:r>
            <w:r w:rsidRPr="009A5BDA">
              <w:rPr>
                <w:rFonts w:hint="cs"/>
                <w:b/>
                <w:bCs/>
                <w:sz w:val="18"/>
                <w:szCs w:val="18"/>
                <w:rtl/>
              </w:rPr>
              <w:t>חודשים שהסתיימו ביום</w:t>
            </w:r>
          </w:p>
        </w:tc>
        <w:tc>
          <w:tcPr>
            <w:tcW w:w="252" w:type="dxa"/>
          </w:tcPr>
          <w:p w14:paraId="5347927A" w14:textId="77777777" w:rsidR="00A26F60" w:rsidRPr="009A5BDA" w:rsidRDefault="00A26F60" w:rsidP="009A5BDA">
            <w:pPr>
              <w:jc w:val="center"/>
              <w:rPr>
                <w:b/>
                <w:bCs/>
                <w:sz w:val="18"/>
                <w:szCs w:val="18"/>
                <w:rtl/>
              </w:rPr>
            </w:pPr>
          </w:p>
        </w:tc>
        <w:tc>
          <w:tcPr>
            <w:tcW w:w="2003" w:type="dxa"/>
            <w:gridSpan w:val="2"/>
            <w:vAlign w:val="bottom"/>
          </w:tcPr>
          <w:p w14:paraId="7BCB4615" w14:textId="77777777" w:rsidR="00A26F60" w:rsidRPr="009A5BDA" w:rsidRDefault="00A26F60" w:rsidP="009A5BDA">
            <w:pPr>
              <w:pBdr>
                <w:bottom w:val="single" w:sz="4" w:space="1" w:color="auto"/>
              </w:pBdr>
              <w:jc w:val="center"/>
              <w:rPr>
                <w:b/>
                <w:bCs/>
                <w:sz w:val="18"/>
                <w:szCs w:val="18"/>
                <w:rtl/>
              </w:rPr>
            </w:pPr>
            <w:r w:rsidRPr="009A5BDA">
              <w:rPr>
                <w:rFonts w:hint="eastAsia"/>
                <w:b/>
                <w:bCs/>
                <w:sz w:val="18"/>
                <w:szCs w:val="18"/>
                <w:rtl/>
              </w:rPr>
              <w:t>לתקופה</w:t>
            </w:r>
            <w:r w:rsidRPr="009A5BDA">
              <w:rPr>
                <w:b/>
                <w:bCs/>
                <w:sz w:val="18"/>
                <w:szCs w:val="18"/>
                <w:rtl/>
              </w:rPr>
              <w:t xml:space="preserve"> של </w:t>
            </w:r>
            <w:r w:rsidRPr="009A5BDA">
              <w:rPr>
                <w:rFonts w:hint="cs"/>
                <w:b/>
                <w:bCs/>
                <w:sz w:val="18"/>
                <w:szCs w:val="18"/>
                <w:rtl/>
              </w:rPr>
              <w:t>6</w:t>
            </w:r>
            <w:r w:rsidRPr="009A5BDA">
              <w:rPr>
                <w:b/>
                <w:bCs/>
                <w:sz w:val="18"/>
                <w:szCs w:val="18"/>
                <w:rtl/>
              </w:rPr>
              <w:t xml:space="preserve"> חודשים</w:t>
            </w:r>
            <w:r w:rsidRPr="009A5BDA">
              <w:rPr>
                <w:rFonts w:hint="cs"/>
                <w:b/>
                <w:bCs/>
                <w:sz w:val="18"/>
                <w:szCs w:val="18"/>
                <w:rtl/>
              </w:rPr>
              <w:t xml:space="preserve"> שהסתיימו ביום</w:t>
            </w:r>
            <w:r w:rsidRPr="009A5BDA">
              <w:rPr>
                <w:b/>
                <w:bCs/>
                <w:sz w:val="18"/>
                <w:szCs w:val="18"/>
                <w:rtl/>
              </w:rPr>
              <w:t xml:space="preserve">  </w:t>
            </w:r>
          </w:p>
        </w:tc>
      </w:tr>
      <w:tr w:rsidR="00A26F60" w14:paraId="56FAF0D8" w14:textId="77777777" w:rsidTr="00903534">
        <w:trPr>
          <w:trHeight w:val="276"/>
        </w:trPr>
        <w:tc>
          <w:tcPr>
            <w:tcW w:w="2117" w:type="dxa"/>
            <w:vMerge/>
            <w:tcBorders>
              <w:top w:val="nil"/>
              <w:left w:val="nil"/>
            </w:tcBorders>
            <w:vAlign w:val="bottom"/>
          </w:tcPr>
          <w:p w14:paraId="52B69C3C" w14:textId="77777777" w:rsidR="00A26F60" w:rsidRDefault="00A26F60" w:rsidP="00A26F60">
            <w:pPr>
              <w:pStyle w:val="-0"/>
              <w:ind w:left="57"/>
              <w:rPr>
                <w:b/>
                <w:bCs/>
                <w:sz w:val="18"/>
                <w:szCs w:val="18"/>
                <w:rtl/>
              </w:rPr>
            </w:pPr>
          </w:p>
        </w:tc>
        <w:tc>
          <w:tcPr>
            <w:tcW w:w="4404" w:type="dxa"/>
            <w:gridSpan w:val="5"/>
            <w:tcBorders>
              <w:top w:val="nil"/>
            </w:tcBorders>
          </w:tcPr>
          <w:p w14:paraId="4294868F" w14:textId="12CB6337" w:rsidR="00A26F60" w:rsidRPr="009A5BDA" w:rsidRDefault="00A26F60" w:rsidP="009A5BDA">
            <w:pPr>
              <w:pBdr>
                <w:bottom w:val="single" w:sz="6" w:space="1" w:color="auto"/>
              </w:pBdr>
              <w:jc w:val="center"/>
              <w:rPr>
                <w:b/>
                <w:bCs/>
                <w:sz w:val="18"/>
                <w:szCs w:val="18"/>
                <w:rtl/>
              </w:rPr>
            </w:pPr>
            <w:r w:rsidRPr="009A5BDA">
              <w:rPr>
                <w:b/>
                <w:bCs/>
                <w:sz w:val="18"/>
                <w:szCs w:val="18"/>
                <w:rtl/>
              </w:rPr>
              <w:t xml:space="preserve">30 ביוני </w:t>
            </w:r>
            <w:r w:rsidRPr="009A5BDA">
              <w:rPr>
                <w:b/>
                <w:bCs/>
                <w:sz w:val="18"/>
                <w:szCs w:val="18"/>
                <w:rtl/>
              </w:rPr>
              <w:fldChar w:fldCharType="begin"/>
            </w:r>
            <w:r w:rsidRPr="009A5BDA">
              <w:rPr>
                <w:b/>
                <w:bCs/>
                <w:sz w:val="18"/>
                <w:szCs w:val="18"/>
                <w:rtl/>
              </w:rPr>
              <w:instrText xml:space="preserve"> = </w:instrText>
            </w:r>
            <w:r w:rsidRPr="009A5BDA">
              <w:rPr>
                <w:b/>
                <w:bCs/>
                <w:sz w:val="18"/>
                <w:szCs w:val="18"/>
              </w:rPr>
              <w:instrText>CY \* MERGEFORMAT</w:instrText>
            </w:r>
            <w:r w:rsidRPr="009A5BDA">
              <w:rPr>
                <w:b/>
                <w:bCs/>
                <w:sz w:val="18"/>
                <w:szCs w:val="18"/>
                <w:rtl/>
              </w:rPr>
              <w:instrText xml:space="preserve"> </w:instrText>
            </w:r>
            <w:r w:rsidRPr="009A5BDA">
              <w:rPr>
                <w:b/>
                <w:bCs/>
                <w:sz w:val="18"/>
                <w:szCs w:val="18"/>
                <w:rtl/>
              </w:rPr>
              <w:fldChar w:fldCharType="separate"/>
            </w:r>
            <w:r w:rsidR="003A584F">
              <w:rPr>
                <w:b/>
                <w:bCs/>
                <w:noProof/>
                <w:sz w:val="18"/>
                <w:szCs w:val="18"/>
                <w:rtl/>
              </w:rPr>
              <w:t>2024</w:t>
            </w:r>
            <w:r w:rsidRPr="009A5BDA">
              <w:rPr>
                <w:b/>
                <w:bCs/>
                <w:sz w:val="18"/>
                <w:szCs w:val="18"/>
                <w:rtl/>
              </w:rPr>
              <w:fldChar w:fldCharType="end"/>
            </w:r>
            <w:r w:rsidRPr="009A5BDA">
              <w:rPr>
                <w:b/>
                <w:bCs/>
                <w:sz w:val="18"/>
                <w:szCs w:val="18"/>
                <w:rtl/>
              </w:rPr>
              <w:t xml:space="preserve"> </w:t>
            </w:r>
            <w:r w:rsidRPr="006F749D">
              <w:rPr>
                <w:sz w:val="18"/>
                <w:szCs w:val="18"/>
                <w:rtl/>
              </w:rPr>
              <w:t xml:space="preserve">(בלתי </w:t>
            </w:r>
            <w:r w:rsidRPr="006F749D">
              <w:rPr>
                <w:rFonts w:hint="eastAsia"/>
                <w:sz w:val="18"/>
                <w:szCs w:val="18"/>
                <w:rtl/>
              </w:rPr>
              <w:t>מבוקר</w:t>
            </w:r>
            <w:r w:rsidRPr="006F749D">
              <w:rPr>
                <w:sz w:val="18"/>
                <w:szCs w:val="18"/>
                <w:rtl/>
              </w:rPr>
              <w:t>)</w:t>
            </w:r>
          </w:p>
        </w:tc>
      </w:tr>
      <w:tr w:rsidR="00A26F60" w14:paraId="497CA14A" w14:textId="77777777" w:rsidTr="00903534">
        <w:tc>
          <w:tcPr>
            <w:tcW w:w="2117" w:type="dxa"/>
            <w:tcBorders>
              <w:left w:val="nil"/>
            </w:tcBorders>
            <w:vAlign w:val="bottom"/>
            <w:hideMark/>
          </w:tcPr>
          <w:p w14:paraId="73F66096" w14:textId="77777777" w:rsidR="00A26F60" w:rsidRDefault="00A26F60" w:rsidP="00A26F60">
            <w:pPr>
              <w:pStyle w:val="-0"/>
              <w:ind w:left="57"/>
              <w:rPr>
                <w:rtl/>
              </w:rPr>
            </w:pPr>
            <w:r>
              <w:rPr>
                <w:rFonts w:hint="cs"/>
                <w:b/>
                <w:bCs/>
                <w:sz w:val="18"/>
                <w:szCs w:val="18"/>
                <w:rtl/>
              </w:rPr>
              <w:t xml:space="preserve">                 </w:t>
            </w:r>
          </w:p>
        </w:tc>
        <w:tc>
          <w:tcPr>
            <w:tcW w:w="994" w:type="dxa"/>
            <w:vAlign w:val="bottom"/>
            <w:hideMark/>
          </w:tcPr>
          <w:p w14:paraId="4DE45DB1" w14:textId="77777777" w:rsidR="00A26F60" w:rsidRPr="009A5BDA" w:rsidRDefault="00A26F60" w:rsidP="009A5BDA">
            <w:pPr>
              <w:pBdr>
                <w:bottom w:val="single" w:sz="6" w:space="1" w:color="auto"/>
              </w:pBdr>
              <w:jc w:val="center"/>
              <w:rPr>
                <w:b/>
                <w:bCs/>
                <w:sz w:val="18"/>
                <w:szCs w:val="18"/>
                <w:rtl/>
              </w:rPr>
            </w:pPr>
            <w:r w:rsidRPr="009A5BDA">
              <w:rPr>
                <w:rFonts w:hint="cs"/>
                <w:b/>
                <w:bCs/>
                <w:sz w:val="18"/>
                <w:szCs w:val="18"/>
                <w:rtl/>
              </w:rPr>
              <w:t>נגזרים שאינם למסחר</w:t>
            </w:r>
          </w:p>
        </w:tc>
        <w:tc>
          <w:tcPr>
            <w:tcW w:w="1155" w:type="dxa"/>
          </w:tcPr>
          <w:p w14:paraId="4CEB2B3D" w14:textId="77777777" w:rsidR="00A26F60" w:rsidRPr="009A5BDA" w:rsidRDefault="00A26F60" w:rsidP="009A5BDA">
            <w:pPr>
              <w:pBdr>
                <w:bottom w:val="single" w:sz="6" w:space="1" w:color="auto"/>
              </w:pBdr>
              <w:jc w:val="center"/>
              <w:rPr>
                <w:b/>
                <w:bCs/>
                <w:sz w:val="18"/>
                <w:szCs w:val="18"/>
                <w:rtl/>
              </w:rPr>
            </w:pPr>
          </w:p>
          <w:p w14:paraId="74E69820" w14:textId="77777777" w:rsidR="00A26F60" w:rsidRPr="009A5BDA" w:rsidRDefault="00A26F60" w:rsidP="009A5BDA">
            <w:pPr>
              <w:pBdr>
                <w:bottom w:val="single" w:sz="6" w:space="1" w:color="auto"/>
              </w:pBdr>
              <w:jc w:val="center"/>
              <w:rPr>
                <w:b/>
                <w:bCs/>
                <w:sz w:val="18"/>
                <w:szCs w:val="18"/>
                <w:rtl/>
              </w:rPr>
            </w:pPr>
            <w:r w:rsidRPr="009A5BDA">
              <w:rPr>
                <w:rFonts w:hint="cs"/>
                <w:b/>
                <w:bCs/>
                <w:sz w:val="18"/>
                <w:szCs w:val="18"/>
                <w:rtl/>
              </w:rPr>
              <w:t>נגזרים למסחר</w:t>
            </w:r>
          </w:p>
        </w:tc>
        <w:tc>
          <w:tcPr>
            <w:tcW w:w="252" w:type="dxa"/>
          </w:tcPr>
          <w:p w14:paraId="4D670314" w14:textId="77777777" w:rsidR="00A26F60" w:rsidRPr="009A5BDA" w:rsidRDefault="00A26F60" w:rsidP="009A5BDA">
            <w:pPr>
              <w:jc w:val="center"/>
              <w:rPr>
                <w:b/>
                <w:bCs/>
                <w:sz w:val="18"/>
                <w:szCs w:val="18"/>
                <w:rtl/>
              </w:rPr>
            </w:pPr>
          </w:p>
        </w:tc>
        <w:tc>
          <w:tcPr>
            <w:tcW w:w="864" w:type="dxa"/>
            <w:vAlign w:val="bottom"/>
          </w:tcPr>
          <w:p w14:paraId="03EDEF0F" w14:textId="77777777" w:rsidR="00A26F60" w:rsidRPr="009A5BDA" w:rsidRDefault="00A26F60" w:rsidP="009A5BDA">
            <w:pPr>
              <w:pBdr>
                <w:bottom w:val="single" w:sz="6" w:space="1" w:color="auto"/>
              </w:pBdr>
              <w:jc w:val="center"/>
              <w:rPr>
                <w:b/>
                <w:bCs/>
                <w:sz w:val="18"/>
                <w:szCs w:val="18"/>
                <w:rtl/>
              </w:rPr>
            </w:pPr>
            <w:r w:rsidRPr="009A5BDA">
              <w:rPr>
                <w:rFonts w:hint="cs"/>
                <w:b/>
                <w:bCs/>
                <w:sz w:val="18"/>
                <w:szCs w:val="18"/>
                <w:rtl/>
              </w:rPr>
              <w:t>נגזרים שאינם למסחר</w:t>
            </w:r>
          </w:p>
        </w:tc>
        <w:tc>
          <w:tcPr>
            <w:tcW w:w="1139" w:type="dxa"/>
          </w:tcPr>
          <w:p w14:paraId="59F8CF4A" w14:textId="77777777" w:rsidR="00A26F60" w:rsidRPr="009A5BDA" w:rsidRDefault="00A26F60" w:rsidP="009A5BDA">
            <w:pPr>
              <w:pBdr>
                <w:bottom w:val="single" w:sz="6" w:space="1" w:color="auto"/>
              </w:pBdr>
              <w:jc w:val="center"/>
              <w:rPr>
                <w:b/>
                <w:bCs/>
                <w:sz w:val="18"/>
                <w:szCs w:val="18"/>
                <w:rtl/>
              </w:rPr>
            </w:pPr>
          </w:p>
          <w:p w14:paraId="3935369B" w14:textId="77777777" w:rsidR="00A26F60" w:rsidRPr="009A5BDA" w:rsidRDefault="00A26F60" w:rsidP="009A5BDA">
            <w:pPr>
              <w:pBdr>
                <w:bottom w:val="single" w:sz="6" w:space="1" w:color="auto"/>
              </w:pBdr>
              <w:jc w:val="center"/>
              <w:rPr>
                <w:b/>
                <w:bCs/>
                <w:sz w:val="18"/>
                <w:szCs w:val="18"/>
                <w:rtl/>
              </w:rPr>
            </w:pPr>
            <w:r w:rsidRPr="009A5BDA">
              <w:rPr>
                <w:rFonts w:hint="cs"/>
                <w:b/>
                <w:bCs/>
                <w:sz w:val="18"/>
                <w:szCs w:val="18"/>
                <w:rtl/>
              </w:rPr>
              <w:t>נגזרים למסחר</w:t>
            </w:r>
          </w:p>
        </w:tc>
      </w:tr>
      <w:tr w:rsidR="00A26F60" w14:paraId="0C5D88D4" w14:textId="77777777" w:rsidTr="00903534">
        <w:trPr>
          <w:trHeight w:val="259"/>
        </w:trPr>
        <w:tc>
          <w:tcPr>
            <w:tcW w:w="2117" w:type="dxa"/>
            <w:tcBorders>
              <w:left w:val="nil"/>
            </w:tcBorders>
            <w:vAlign w:val="bottom"/>
            <w:hideMark/>
          </w:tcPr>
          <w:p w14:paraId="4D446A93" w14:textId="77777777" w:rsidR="00A26F60" w:rsidRPr="00445BD5" w:rsidRDefault="00A26F60" w:rsidP="00A26F60">
            <w:pPr>
              <w:spacing w:line="324" w:lineRule="auto"/>
              <w:ind w:left="57" w:hanging="144"/>
              <w:jc w:val="left"/>
              <w:rPr>
                <w:color w:val="000000"/>
                <w:sz w:val="19"/>
                <w:szCs w:val="19"/>
                <w:rtl/>
                <w:lang w:eastAsia="he-IL"/>
              </w:rPr>
            </w:pPr>
            <w:r w:rsidRPr="00445BD5">
              <w:rPr>
                <w:rFonts w:hint="cs"/>
                <w:color w:val="000000"/>
                <w:sz w:val="19"/>
                <w:szCs w:val="19"/>
                <w:rtl/>
                <w:lang w:eastAsia="he-IL"/>
              </w:rPr>
              <w:t>חוזי ריבית</w:t>
            </w:r>
          </w:p>
        </w:tc>
        <w:tc>
          <w:tcPr>
            <w:tcW w:w="994" w:type="dxa"/>
            <w:vAlign w:val="bottom"/>
            <w:hideMark/>
          </w:tcPr>
          <w:p w14:paraId="54B9694F"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 </w:t>
            </w:r>
          </w:p>
        </w:tc>
        <w:tc>
          <w:tcPr>
            <w:tcW w:w="1155" w:type="dxa"/>
            <w:vAlign w:val="bottom"/>
            <w:hideMark/>
          </w:tcPr>
          <w:p w14:paraId="6809E8B8"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 </w:t>
            </w:r>
          </w:p>
        </w:tc>
        <w:tc>
          <w:tcPr>
            <w:tcW w:w="252" w:type="dxa"/>
          </w:tcPr>
          <w:p w14:paraId="5F31BFB2" w14:textId="77777777" w:rsidR="00A26F60" w:rsidRPr="00F76F91" w:rsidRDefault="00A26F60" w:rsidP="00A26F60">
            <w:pPr>
              <w:spacing w:line="324" w:lineRule="auto"/>
              <w:ind w:left="144" w:hanging="144"/>
              <w:jc w:val="left"/>
              <w:rPr>
                <w:color w:val="000000"/>
                <w:rtl/>
                <w:lang w:eastAsia="he-IL"/>
              </w:rPr>
            </w:pPr>
          </w:p>
        </w:tc>
        <w:tc>
          <w:tcPr>
            <w:tcW w:w="864" w:type="dxa"/>
            <w:vAlign w:val="bottom"/>
          </w:tcPr>
          <w:p w14:paraId="1293FC3D"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 </w:t>
            </w:r>
          </w:p>
        </w:tc>
        <w:tc>
          <w:tcPr>
            <w:tcW w:w="1139" w:type="dxa"/>
            <w:vAlign w:val="bottom"/>
          </w:tcPr>
          <w:p w14:paraId="52406B34"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 </w:t>
            </w:r>
          </w:p>
        </w:tc>
      </w:tr>
      <w:tr w:rsidR="00A26F60" w14:paraId="009056C3" w14:textId="77777777" w:rsidTr="00903534">
        <w:trPr>
          <w:trHeight w:val="259"/>
        </w:trPr>
        <w:tc>
          <w:tcPr>
            <w:tcW w:w="2117" w:type="dxa"/>
            <w:tcBorders>
              <w:left w:val="nil"/>
            </w:tcBorders>
            <w:vAlign w:val="bottom"/>
            <w:hideMark/>
          </w:tcPr>
          <w:p w14:paraId="7B56E5CF" w14:textId="77777777" w:rsidR="00A26F60" w:rsidRPr="00445BD5" w:rsidRDefault="00A26F60" w:rsidP="00A26F60">
            <w:pPr>
              <w:spacing w:line="324" w:lineRule="auto"/>
              <w:ind w:left="57" w:hanging="144"/>
              <w:jc w:val="left"/>
              <w:rPr>
                <w:color w:val="000000"/>
                <w:sz w:val="19"/>
                <w:szCs w:val="19"/>
                <w:rtl/>
                <w:lang w:eastAsia="he-IL"/>
              </w:rPr>
            </w:pPr>
            <w:r w:rsidRPr="00445BD5">
              <w:rPr>
                <w:rFonts w:hint="cs"/>
                <w:color w:val="000000"/>
                <w:sz w:val="19"/>
                <w:szCs w:val="19"/>
                <w:rtl/>
                <w:lang w:eastAsia="he-IL"/>
              </w:rPr>
              <w:t>חוזי מטבע חוץ</w:t>
            </w:r>
          </w:p>
        </w:tc>
        <w:tc>
          <w:tcPr>
            <w:tcW w:w="994" w:type="dxa"/>
            <w:vAlign w:val="bottom"/>
            <w:hideMark/>
          </w:tcPr>
          <w:p w14:paraId="4FBB2A43"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c>
          <w:tcPr>
            <w:tcW w:w="1155" w:type="dxa"/>
            <w:vAlign w:val="bottom"/>
            <w:hideMark/>
          </w:tcPr>
          <w:p w14:paraId="5A51341D"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c>
          <w:tcPr>
            <w:tcW w:w="252" w:type="dxa"/>
          </w:tcPr>
          <w:p w14:paraId="78492C53" w14:textId="77777777" w:rsidR="00A26F60" w:rsidRPr="00F76F91" w:rsidRDefault="00A26F60" w:rsidP="00A26F60">
            <w:pPr>
              <w:spacing w:line="324" w:lineRule="auto"/>
              <w:ind w:left="144" w:hanging="144"/>
              <w:jc w:val="left"/>
              <w:rPr>
                <w:color w:val="000000"/>
                <w:rtl/>
                <w:lang w:eastAsia="he-IL"/>
              </w:rPr>
            </w:pPr>
          </w:p>
        </w:tc>
        <w:tc>
          <w:tcPr>
            <w:tcW w:w="864" w:type="dxa"/>
            <w:vAlign w:val="bottom"/>
          </w:tcPr>
          <w:p w14:paraId="2A366CA8"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c>
          <w:tcPr>
            <w:tcW w:w="1139" w:type="dxa"/>
            <w:vAlign w:val="bottom"/>
          </w:tcPr>
          <w:p w14:paraId="04F3304B"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r>
      <w:tr w:rsidR="00A26F60" w14:paraId="681D1457" w14:textId="77777777" w:rsidTr="00903534">
        <w:trPr>
          <w:trHeight w:val="259"/>
        </w:trPr>
        <w:tc>
          <w:tcPr>
            <w:tcW w:w="2117" w:type="dxa"/>
            <w:tcBorders>
              <w:left w:val="nil"/>
            </w:tcBorders>
            <w:vAlign w:val="bottom"/>
            <w:hideMark/>
          </w:tcPr>
          <w:p w14:paraId="3C5D1C14" w14:textId="77777777" w:rsidR="00A26F60" w:rsidRPr="00445BD5" w:rsidRDefault="00A26F60" w:rsidP="00A26F60">
            <w:pPr>
              <w:spacing w:line="324" w:lineRule="auto"/>
              <w:ind w:left="57" w:hanging="144"/>
              <w:jc w:val="left"/>
              <w:rPr>
                <w:color w:val="000000"/>
                <w:sz w:val="19"/>
                <w:szCs w:val="19"/>
                <w:rtl/>
                <w:lang w:eastAsia="he-IL"/>
              </w:rPr>
            </w:pPr>
            <w:r w:rsidRPr="00445BD5">
              <w:rPr>
                <w:rFonts w:hint="cs"/>
                <w:color w:val="000000"/>
                <w:sz w:val="19"/>
                <w:szCs w:val="19"/>
                <w:rtl/>
                <w:lang w:eastAsia="he-IL"/>
              </w:rPr>
              <w:t>חוזים בגין מניות</w:t>
            </w:r>
          </w:p>
        </w:tc>
        <w:tc>
          <w:tcPr>
            <w:tcW w:w="994" w:type="dxa"/>
            <w:vAlign w:val="bottom"/>
            <w:hideMark/>
          </w:tcPr>
          <w:p w14:paraId="5B0B0FAB"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c>
          <w:tcPr>
            <w:tcW w:w="1155" w:type="dxa"/>
            <w:vAlign w:val="bottom"/>
            <w:hideMark/>
          </w:tcPr>
          <w:p w14:paraId="526507B5"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c>
          <w:tcPr>
            <w:tcW w:w="252" w:type="dxa"/>
          </w:tcPr>
          <w:p w14:paraId="08E59CE0" w14:textId="77777777" w:rsidR="00A26F60" w:rsidRPr="00F76F91" w:rsidRDefault="00A26F60" w:rsidP="00A26F60">
            <w:pPr>
              <w:spacing w:line="324" w:lineRule="auto"/>
              <w:ind w:left="144" w:hanging="144"/>
              <w:jc w:val="left"/>
              <w:rPr>
                <w:color w:val="000000"/>
                <w:rtl/>
                <w:lang w:eastAsia="he-IL"/>
              </w:rPr>
            </w:pPr>
          </w:p>
        </w:tc>
        <w:tc>
          <w:tcPr>
            <w:tcW w:w="864" w:type="dxa"/>
            <w:vAlign w:val="bottom"/>
          </w:tcPr>
          <w:p w14:paraId="6BBFE2FD"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c>
          <w:tcPr>
            <w:tcW w:w="1139" w:type="dxa"/>
            <w:vAlign w:val="bottom"/>
          </w:tcPr>
          <w:p w14:paraId="3B73E4CB"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r>
      <w:tr w:rsidR="00A26F60" w14:paraId="3087E880" w14:textId="77777777" w:rsidTr="00903534">
        <w:trPr>
          <w:trHeight w:val="259"/>
        </w:trPr>
        <w:tc>
          <w:tcPr>
            <w:tcW w:w="2117" w:type="dxa"/>
            <w:tcBorders>
              <w:left w:val="nil"/>
            </w:tcBorders>
            <w:vAlign w:val="bottom"/>
            <w:hideMark/>
          </w:tcPr>
          <w:p w14:paraId="3EA22A38" w14:textId="77777777" w:rsidR="00A26F60" w:rsidRPr="00445BD5" w:rsidRDefault="00A26F60" w:rsidP="00A26F60">
            <w:pPr>
              <w:spacing w:line="324" w:lineRule="auto"/>
              <w:ind w:left="57" w:hanging="144"/>
              <w:jc w:val="left"/>
              <w:rPr>
                <w:color w:val="000000"/>
                <w:sz w:val="19"/>
                <w:szCs w:val="19"/>
                <w:rtl/>
                <w:lang w:eastAsia="he-IL"/>
              </w:rPr>
            </w:pPr>
            <w:r w:rsidRPr="00445BD5">
              <w:rPr>
                <w:rFonts w:hint="cs"/>
                <w:color w:val="000000"/>
                <w:sz w:val="19"/>
                <w:szCs w:val="19"/>
                <w:rtl/>
                <w:lang w:eastAsia="he-IL"/>
              </w:rPr>
              <w:t>חוזי סחורות ואחרים</w:t>
            </w:r>
          </w:p>
        </w:tc>
        <w:tc>
          <w:tcPr>
            <w:tcW w:w="994" w:type="dxa"/>
            <w:vAlign w:val="bottom"/>
            <w:hideMark/>
          </w:tcPr>
          <w:p w14:paraId="6E3A6D4C" w14:textId="77777777" w:rsidR="00A26F60" w:rsidRPr="00F76F91" w:rsidRDefault="00A26F60" w:rsidP="00A26F60">
            <w:pPr>
              <w:spacing w:line="324" w:lineRule="auto"/>
              <w:ind w:left="144" w:hanging="144"/>
              <w:jc w:val="left"/>
              <w:rPr>
                <w:color w:val="000000"/>
                <w:rtl/>
                <w:lang w:eastAsia="he-IL"/>
              </w:rPr>
            </w:pPr>
            <w:r w:rsidRPr="00F76F91">
              <w:rPr>
                <w:color w:val="000000"/>
                <w:rtl/>
                <w:lang w:eastAsia="he-IL"/>
              </w:rPr>
              <w:t xml:space="preserve"> </w:t>
            </w:r>
            <w:r w:rsidRPr="00F76F91">
              <w:rPr>
                <w:rFonts w:hint="cs"/>
                <w:color w:val="000000"/>
                <w:rtl/>
                <w:lang w:eastAsia="he-IL"/>
              </w:rPr>
              <w:t>0</w:t>
            </w:r>
          </w:p>
        </w:tc>
        <w:tc>
          <w:tcPr>
            <w:tcW w:w="1155" w:type="dxa"/>
            <w:vAlign w:val="bottom"/>
            <w:hideMark/>
          </w:tcPr>
          <w:p w14:paraId="527FFD56"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c>
          <w:tcPr>
            <w:tcW w:w="252" w:type="dxa"/>
          </w:tcPr>
          <w:p w14:paraId="1326A87B" w14:textId="77777777" w:rsidR="00A26F60" w:rsidRPr="00F76F91" w:rsidRDefault="00A26F60" w:rsidP="00A26F60">
            <w:pPr>
              <w:spacing w:line="324" w:lineRule="auto"/>
              <w:ind w:left="144" w:hanging="144"/>
              <w:jc w:val="left"/>
              <w:rPr>
                <w:color w:val="000000"/>
                <w:rtl/>
                <w:lang w:eastAsia="he-IL"/>
              </w:rPr>
            </w:pPr>
          </w:p>
        </w:tc>
        <w:tc>
          <w:tcPr>
            <w:tcW w:w="864" w:type="dxa"/>
            <w:vAlign w:val="bottom"/>
          </w:tcPr>
          <w:p w14:paraId="4D1A4129" w14:textId="77777777" w:rsidR="00A26F60" w:rsidRPr="00F76F91" w:rsidRDefault="00A26F60" w:rsidP="00A26F60">
            <w:pPr>
              <w:spacing w:line="324" w:lineRule="auto"/>
              <w:ind w:left="144" w:hanging="144"/>
              <w:jc w:val="left"/>
              <w:rPr>
                <w:color w:val="000000"/>
                <w:rtl/>
                <w:lang w:eastAsia="he-IL"/>
              </w:rPr>
            </w:pPr>
            <w:r w:rsidRPr="00F76F91">
              <w:rPr>
                <w:color w:val="000000"/>
                <w:rtl/>
                <w:lang w:eastAsia="he-IL"/>
              </w:rPr>
              <w:t xml:space="preserve"> </w:t>
            </w:r>
            <w:r w:rsidRPr="00F76F91">
              <w:rPr>
                <w:rFonts w:hint="cs"/>
                <w:color w:val="000000"/>
                <w:rtl/>
                <w:lang w:eastAsia="he-IL"/>
              </w:rPr>
              <w:t>0</w:t>
            </w:r>
          </w:p>
        </w:tc>
        <w:tc>
          <w:tcPr>
            <w:tcW w:w="1139" w:type="dxa"/>
            <w:vAlign w:val="bottom"/>
          </w:tcPr>
          <w:p w14:paraId="0342B0DE"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r>
      <w:tr w:rsidR="00A26F60" w14:paraId="3FA8B4ED" w14:textId="77777777" w:rsidTr="00903534">
        <w:trPr>
          <w:trHeight w:val="259"/>
        </w:trPr>
        <w:tc>
          <w:tcPr>
            <w:tcW w:w="2117" w:type="dxa"/>
            <w:tcBorders>
              <w:left w:val="nil"/>
            </w:tcBorders>
            <w:vAlign w:val="bottom"/>
            <w:hideMark/>
          </w:tcPr>
          <w:p w14:paraId="68EF44A6" w14:textId="77777777" w:rsidR="00A26F60" w:rsidRPr="00445BD5" w:rsidRDefault="00A26F60" w:rsidP="00A26F60">
            <w:pPr>
              <w:spacing w:line="324" w:lineRule="auto"/>
              <w:ind w:left="57" w:hanging="144"/>
              <w:jc w:val="left"/>
              <w:rPr>
                <w:color w:val="000000"/>
                <w:sz w:val="19"/>
                <w:szCs w:val="19"/>
                <w:rtl/>
                <w:lang w:eastAsia="he-IL"/>
              </w:rPr>
            </w:pPr>
            <w:r w:rsidRPr="00445BD5">
              <w:rPr>
                <w:rFonts w:hint="cs"/>
                <w:color w:val="000000"/>
                <w:sz w:val="19"/>
                <w:szCs w:val="19"/>
                <w:rtl/>
                <w:lang w:eastAsia="he-IL"/>
              </w:rPr>
              <w:t>חוזי אשראי</w:t>
            </w:r>
          </w:p>
        </w:tc>
        <w:tc>
          <w:tcPr>
            <w:tcW w:w="994" w:type="dxa"/>
            <w:vAlign w:val="bottom"/>
            <w:hideMark/>
          </w:tcPr>
          <w:p w14:paraId="3E299675" w14:textId="77777777" w:rsidR="00A26F60" w:rsidRPr="00F76F91" w:rsidRDefault="00A26F60" w:rsidP="00A26F60">
            <w:pPr>
              <w:pBdr>
                <w:bottom w:val="single" w:sz="4" w:space="1" w:color="auto"/>
              </w:pBdr>
              <w:rPr>
                <w:rtl/>
              </w:rPr>
            </w:pPr>
            <w:r w:rsidRPr="00F76F91">
              <w:rPr>
                <w:rFonts w:hint="cs"/>
                <w:rtl/>
              </w:rPr>
              <w:t xml:space="preserve"> 0  </w:t>
            </w:r>
          </w:p>
        </w:tc>
        <w:tc>
          <w:tcPr>
            <w:tcW w:w="1155" w:type="dxa"/>
            <w:vAlign w:val="bottom"/>
            <w:hideMark/>
          </w:tcPr>
          <w:p w14:paraId="5C7DCD89" w14:textId="77777777" w:rsidR="00A26F60" w:rsidRPr="00F76F91" w:rsidRDefault="00A26F60" w:rsidP="00A26F60">
            <w:pPr>
              <w:pBdr>
                <w:bottom w:val="single" w:sz="4" w:space="1" w:color="auto"/>
              </w:pBdr>
              <w:rPr>
                <w:rtl/>
              </w:rPr>
            </w:pPr>
            <w:r w:rsidRPr="00F76F91">
              <w:rPr>
                <w:rFonts w:hint="cs"/>
                <w:rtl/>
              </w:rPr>
              <w:t xml:space="preserve"> 0 </w:t>
            </w:r>
          </w:p>
        </w:tc>
        <w:tc>
          <w:tcPr>
            <w:tcW w:w="252" w:type="dxa"/>
          </w:tcPr>
          <w:p w14:paraId="6142E21A" w14:textId="77777777" w:rsidR="00A26F60" w:rsidRPr="00F76F91" w:rsidRDefault="00A26F60" w:rsidP="00A26F60">
            <w:pPr>
              <w:rPr>
                <w:rtl/>
              </w:rPr>
            </w:pPr>
          </w:p>
        </w:tc>
        <w:tc>
          <w:tcPr>
            <w:tcW w:w="864" w:type="dxa"/>
            <w:vAlign w:val="bottom"/>
          </w:tcPr>
          <w:p w14:paraId="5DE8D769" w14:textId="77777777" w:rsidR="00A26F60" w:rsidRPr="00F76F91" w:rsidRDefault="00A26F60" w:rsidP="00A26F60">
            <w:pPr>
              <w:pBdr>
                <w:bottom w:val="single" w:sz="4" w:space="1" w:color="auto"/>
              </w:pBdr>
              <w:rPr>
                <w:rtl/>
              </w:rPr>
            </w:pPr>
            <w:r w:rsidRPr="00F76F91">
              <w:rPr>
                <w:rFonts w:hint="cs"/>
                <w:rtl/>
              </w:rPr>
              <w:t xml:space="preserve"> 0  </w:t>
            </w:r>
          </w:p>
        </w:tc>
        <w:tc>
          <w:tcPr>
            <w:tcW w:w="1139" w:type="dxa"/>
            <w:vAlign w:val="bottom"/>
          </w:tcPr>
          <w:p w14:paraId="489CBA6D" w14:textId="77777777" w:rsidR="00A26F60" w:rsidRPr="00F76F91" w:rsidRDefault="00A26F60" w:rsidP="00A26F60">
            <w:pPr>
              <w:pBdr>
                <w:bottom w:val="single" w:sz="4" w:space="1" w:color="auto"/>
              </w:pBdr>
              <w:rPr>
                <w:rtl/>
              </w:rPr>
            </w:pPr>
            <w:r w:rsidRPr="00F76F91">
              <w:rPr>
                <w:rFonts w:hint="cs"/>
                <w:rtl/>
              </w:rPr>
              <w:t xml:space="preserve"> 0 </w:t>
            </w:r>
          </w:p>
        </w:tc>
      </w:tr>
      <w:tr w:rsidR="00A26F60" w14:paraId="48D28787" w14:textId="77777777" w:rsidTr="00903534">
        <w:trPr>
          <w:trHeight w:val="259"/>
        </w:trPr>
        <w:tc>
          <w:tcPr>
            <w:tcW w:w="2117" w:type="dxa"/>
            <w:tcBorders>
              <w:left w:val="nil"/>
            </w:tcBorders>
            <w:vAlign w:val="bottom"/>
          </w:tcPr>
          <w:p w14:paraId="4631ACF5" w14:textId="77777777" w:rsidR="00A26F60" w:rsidRPr="00445BD5" w:rsidRDefault="00A26F60" w:rsidP="00A26F60">
            <w:pPr>
              <w:ind w:left="57" w:hanging="142"/>
              <w:jc w:val="left"/>
              <w:rPr>
                <w:b/>
                <w:bCs/>
                <w:color w:val="000000"/>
                <w:sz w:val="19"/>
                <w:szCs w:val="19"/>
                <w:rtl/>
                <w:lang w:eastAsia="he-IL"/>
              </w:rPr>
            </w:pPr>
            <w:r w:rsidRPr="00445BD5">
              <w:rPr>
                <w:rFonts w:hint="cs"/>
                <w:b/>
                <w:bCs/>
                <w:color w:val="000000"/>
                <w:sz w:val="19"/>
                <w:szCs w:val="19"/>
                <w:rtl/>
                <w:lang w:eastAsia="he-IL"/>
              </w:rPr>
              <w:t xml:space="preserve">סך הכל רווחים (הפסדים) </w:t>
            </w:r>
          </w:p>
        </w:tc>
        <w:tc>
          <w:tcPr>
            <w:tcW w:w="994" w:type="dxa"/>
            <w:vAlign w:val="bottom"/>
          </w:tcPr>
          <w:p w14:paraId="7AC50A11" w14:textId="77777777" w:rsidR="00A26F60" w:rsidRDefault="00A26F60" w:rsidP="00A26F60">
            <w:pPr>
              <w:pBdr>
                <w:bottom w:val="double" w:sz="4" w:space="1" w:color="auto"/>
              </w:pBdr>
              <w:rPr>
                <w:b/>
                <w:bCs/>
                <w:rtl/>
              </w:rPr>
            </w:pPr>
            <w:r>
              <w:rPr>
                <w:rFonts w:hint="cs"/>
                <w:b/>
                <w:bCs/>
                <w:rtl/>
              </w:rPr>
              <w:t xml:space="preserve"> 0</w:t>
            </w:r>
          </w:p>
        </w:tc>
        <w:tc>
          <w:tcPr>
            <w:tcW w:w="1155" w:type="dxa"/>
            <w:vAlign w:val="bottom"/>
          </w:tcPr>
          <w:p w14:paraId="742030EC" w14:textId="77777777" w:rsidR="00A26F60" w:rsidRDefault="00A26F60" w:rsidP="00A26F60">
            <w:pPr>
              <w:pBdr>
                <w:bottom w:val="double" w:sz="4" w:space="1" w:color="auto"/>
              </w:pBdr>
              <w:rPr>
                <w:b/>
                <w:bCs/>
                <w:rtl/>
              </w:rPr>
            </w:pPr>
            <w:r>
              <w:rPr>
                <w:rFonts w:hint="cs"/>
                <w:b/>
                <w:bCs/>
                <w:rtl/>
              </w:rPr>
              <w:t xml:space="preserve"> 0</w:t>
            </w:r>
          </w:p>
        </w:tc>
        <w:tc>
          <w:tcPr>
            <w:tcW w:w="252" w:type="dxa"/>
          </w:tcPr>
          <w:p w14:paraId="1201CC97" w14:textId="77777777" w:rsidR="00A26F60" w:rsidRDefault="00A26F60" w:rsidP="00A26F60">
            <w:pPr>
              <w:rPr>
                <w:b/>
                <w:bCs/>
                <w:rtl/>
              </w:rPr>
            </w:pPr>
          </w:p>
        </w:tc>
        <w:tc>
          <w:tcPr>
            <w:tcW w:w="864" w:type="dxa"/>
            <w:vAlign w:val="bottom"/>
          </w:tcPr>
          <w:p w14:paraId="6A128443" w14:textId="77777777" w:rsidR="00A26F60" w:rsidRDefault="00A26F60" w:rsidP="00A26F60">
            <w:pPr>
              <w:pBdr>
                <w:bottom w:val="double" w:sz="4" w:space="1" w:color="auto"/>
              </w:pBdr>
              <w:rPr>
                <w:b/>
                <w:bCs/>
                <w:rtl/>
              </w:rPr>
            </w:pPr>
            <w:r>
              <w:rPr>
                <w:rFonts w:hint="cs"/>
                <w:b/>
                <w:bCs/>
                <w:rtl/>
              </w:rPr>
              <w:t xml:space="preserve"> 0</w:t>
            </w:r>
          </w:p>
        </w:tc>
        <w:tc>
          <w:tcPr>
            <w:tcW w:w="1139" w:type="dxa"/>
            <w:vAlign w:val="bottom"/>
          </w:tcPr>
          <w:p w14:paraId="6368DC26" w14:textId="77777777" w:rsidR="00A26F60" w:rsidRDefault="00A26F60" w:rsidP="00A26F60">
            <w:pPr>
              <w:pBdr>
                <w:bottom w:val="double" w:sz="4" w:space="1" w:color="auto"/>
              </w:pBdr>
              <w:rPr>
                <w:b/>
                <w:bCs/>
                <w:rtl/>
              </w:rPr>
            </w:pPr>
            <w:r>
              <w:rPr>
                <w:rFonts w:hint="cs"/>
                <w:b/>
                <w:bCs/>
                <w:rtl/>
              </w:rPr>
              <w:t xml:space="preserve"> 0</w:t>
            </w:r>
          </w:p>
        </w:tc>
      </w:tr>
    </w:tbl>
    <w:p w14:paraId="33DAF0A3" w14:textId="3746DD05" w:rsidR="00F97173" w:rsidRDefault="00F97173" w:rsidP="00FB54AC">
      <w:pPr>
        <w:rPr>
          <w:rtl/>
        </w:rPr>
      </w:pPr>
      <w:r>
        <w:rPr>
          <w:rtl/>
        </w:rPr>
        <w:br/>
      </w:r>
    </w:p>
    <w:p w14:paraId="3499D2B2" w14:textId="31C8AB28" w:rsidR="002E545A" w:rsidRDefault="002E545A" w:rsidP="00FB54AC">
      <w:pPr>
        <w:rPr>
          <w:rtl/>
        </w:rPr>
      </w:pPr>
    </w:p>
    <w:p w14:paraId="7A5AF412" w14:textId="75BEA7AF" w:rsidR="002E545A" w:rsidRDefault="002E545A" w:rsidP="00FB54AC">
      <w:pPr>
        <w:rPr>
          <w:rtl/>
        </w:rPr>
      </w:pPr>
    </w:p>
    <w:p w14:paraId="2E33EB72" w14:textId="51A1FABE" w:rsidR="002E545A" w:rsidRDefault="002E545A" w:rsidP="00FB54AC">
      <w:pPr>
        <w:rPr>
          <w:rtl/>
        </w:rPr>
      </w:pPr>
    </w:p>
    <w:p w14:paraId="4E1D2C21" w14:textId="253DDB4E" w:rsidR="002E545A" w:rsidRDefault="002E545A" w:rsidP="00FB54AC">
      <w:pPr>
        <w:rPr>
          <w:rtl/>
        </w:rPr>
      </w:pPr>
    </w:p>
    <w:p w14:paraId="5112FAC1" w14:textId="7C21CD02" w:rsidR="002E545A" w:rsidRDefault="002E545A" w:rsidP="00FB54AC">
      <w:pPr>
        <w:rPr>
          <w:rtl/>
        </w:rPr>
      </w:pPr>
    </w:p>
    <w:p w14:paraId="37C2D1C5" w14:textId="20F6339C" w:rsidR="002E545A" w:rsidRDefault="002E545A" w:rsidP="00FB54AC">
      <w:pPr>
        <w:rPr>
          <w:rtl/>
        </w:rPr>
      </w:pPr>
    </w:p>
    <w:p w14:paraId="20269AC6" w14:textId="0285C1EF" w:rsidR="002E545A" w:rsidRDefault="002E545A" w:rsidP="00FB54AC">
      <w:pPr>
        <w:rPr>
          <w:rtl/>
        </w:rPr>
      </w:pPr>
    </w:p>
    <w:p w14:paraId="606D9B74" w14:textId="1DD3CECD" w:rsidR="002E545A" w:rsidRDefault="002E545A" w:rsidP="00FB54AC">
      <w:pPr>
        <w:rPr>
          <w:rtl/>
        </w:rPr>
      </w:pPr>
    </w:p>
    <w:p w14:paraId="61B14398" w14:textId="35226F2B" w:rsidR="002E545A" w:rsidRDefault="002E545A" w:rsidP="00FB54AC">
      <w:pPr>
        <w:rPr>
          <w:rtl/>
        </w:rPr>
      </w:pPr>
    </w:p>
    <w:p w14:paraId="050FA5A8" w14:textId="6B5C8146" w:rsidR="002E545A" w:rsidRDefault="002E545A" w:rsidP="00FB54AC">
      <w:pPr>
        <w:rPr>
          <w:rtl/>
        </w:rPr>
      </w:pPr>
    </w:p>
    <w:p w14:paraId="56D84E1E" w14:textId="77777777" w:rsidR="002E545A" w:rsidRDefault="002E545A" w:rsidP="00FB54AC">
      <w:pPr>
        <w:rPr>
          <w:rtl/>
        </w:rPr>
      </w:pPr>
    </w:p>
    <w:p w14:paraId="587656AE" w14:textId="77777777" w:rsidR="002E545A" w:rsidRDefault="002E545A"/>
    <w:p w14:paraId="3C8BBB32" w14:textId="77777777" w:rsidR="002E545A" w:rsidRDefault="002E545A"/>
    <w:p w14:paraId="597E762B" w14:textId="77777777" w:rsidR="00FB54AC" w:rsidRDefault="00FB54AC" w:rsidP="00FB54AC">
      <w:pPr>
        <w:rPr>
          <w:rtl/>
        </w:rPr>
      </w:pPr>
    </w:p>
    <w:p w14:paraId="1951EB20" w14:textId="77777777" w:rsidR="00AC3844" w:rsidRDefault="00AC3844" w:rsidP="00FB54AC">
      <w:pPr>
        <w:rPr>
          <w:rtl/>
        </w:rPr>
      </w:pPr>
    </w:p>
    <w:p w14:paraId="3C04C6E0" w14:textId="5C947561" w:rsidR="00D710F0" w:rsidRDefault="00D710F0" w:rsidP="00FB54AC">
      <w:pPr>
        <w:rPr>
          <w:rtl/>
        </w:rPr>
      </w:pPr>
    </w:p>
    <w:p w14:paraId="4667EE31" w14:textId="2CDE3191" w:rsidR="00A26F60" w:rsidRDefault="00A26F60" w:rsidP="00FB54AC">
      <w:pPr>
        <w:rPr>
          <w:rtl/>
        </w:rPr>
      </w:pPr>
    </w:p>
    <w:p w14:paraId="63205E71" w14:textId="77777777" w:rsidR="00A26F60" w:rsidRDefault="00A26F60" w:rsidP="00FB54AC">
      <w:pPr>
        <w:rPr>
          <w:rtl/>
        </w:rPr>
      </w:pPr>
    </w:p>
    <w:tbl>
      <w:tblPr>
        <w:tblpPr w:leftFromText="180" w:rightFromText="180" w:vertAnchor="text" w:horzAnchor="margin" w:tblpXSpec="center" w:tblpY="38"/>
        <w:bidiVisual/>
        <w:tblW w:w="3196" w:type="pct"/>
        <w:tblBorders>
          <w:left w:val="single" w:sz="4" w:space="0" w:color="auto"/>
        </w:tblBorders>
        <w:tblLook w:val="04A0" w:firstRow="1" w:lastRow="0" w:firstColumn="1" w:lastColumn="0" w:noHBand="0" w:noVBand="1"/>
      </w:tblPr>
      <w:tblGrid>
        <w:gridCol w:w="2119"/>
        <w:gridCol w:w="994"/>
        <w:gridCol w:w="1156"/>
        <w:gridCol w:w="252"/>
        <w:gridCol w:w="863"/>
        <w:gridCol w:w="1140"/>
      </w:tblGrid>
      <w:tr w:rsidR="00A26F60" w14:paraId="7D760684" w14:textId="77777777" w:rsidTr="00903534">
        <w:trPr>
          <w:trHeight w:val="277"/>
        </w:trPr>
        <w:tc>
          <w:tcPr>
            <w:tcW w:w="2118" w:type="dxa"/>
            <w:vMerge w:val="restart"/>
            <w:tcBorders>
              <w:left w:val="nil"/>
            </w:tcBorders>
            <w:vAlign w:val="bottom"/>
          </w:tcPr>
          <w:p w14:paraId="3B42162A" w14:textId="77777777" w:rsidR="00A26F60" w:rsidRDefault="00A26F60" w:rsidP="00A26F60">
            <w:pPr>
              <w:pStyle w:val="-0"/>
              <w:ind w:left="57"/>
              <w:rPr>
                <w:b/>
                <w:bCs/>
                <w:sz w:val="18"/>
                <w:szCs w:val="18"/>
                <w:rtl/>
              </w:rPr>
            </w:pPr>
          </w:p>
        </w:tc>
        <w:tc>
          <w:tcPr>
            <w:tcW w:w="2149" w:type="dxa"/>
            <w:gridSpan w:val="2"/>
            <w:tcBorders>
              <w:bottom w:val="nil"/>
            </w:tcBorders>
            <w:vAlign w:val="bottom"/>
            <w:hideMark/>
          </w:tcPr>
          <w:p w14:paraId="71591E73" w14:textId="77777777" w:rsidR="00A26F60" w:rsidRPr="009A5BDA" w:rsidRDefault="00A26F60" w:rsidP="009A5BDA">
            <w:pPr>
              <w:pBdr>
                <w:bottom w:val="single" w:sz="4" w:space="1" w:color="auto"/>
              </w:pBdr>
              <w:jc w:val="center"/>
              <w:rPr>
                <w:b/>
                <w:bCs/>
                <w:sz w:val="18"/>
                <w:szCs w:val="18"/>
                <w:highlight w:val="yellow"/>
                <w:rtl/>
              </w:rPr>
            </w:pPr>
            <w:r w:rsidRPr="009A5BDA">
              <w:rPr>
                <w:rFonts w:hint="eastAsia"/>
                <w:b/>
                <w:bCs/>
                <w:sz w:val="18"/>
                <w:szCs w:val="18"/>
                <w:rtl/>
              </w:rPr>
              <w:t>לתקופה</w:t>
            </w:r>
            <w:r w:rsidRPr="009A5BDA">
              <w:rPr>
                <w:b/>
                <w:bCs/>
                <w:sz w:val="18"/>
                <w:szCs w:val="18"/>
                <w:rtl/>
              </w:rPr>
              <w:t xml:space="preserve"> של </w:t>
            </w:r>
            <w:r w:rsidRPr="009A5BDA">
              <w:rPr>
                <w:rFonts w:hint="cs"/>
                <w:b/>
                <w:bCs/>
                <w:sz w:val="18"/>
                <w:szCs w:val="18"/>
                <w:rtl/>
              </w:rPr>
              <w:t>3</w:t>
            </w:r>
            <w:r w:rsidRPr="009A5BDA">
              <w:rPr>
                <w:b/>
                <w:bCs/>
                <w:sz w:val="18"/>
                <w:szCs w:val="18"/>
                <w:rtl/>
              </w:rPr>
              <w:t xml:space="preserve"> </w:t>
            </w:r>
            <w:r w:rsidRPr="009A5BDA">
              <w:rPr>
                <w:rFonts w:hint="cs"/>
                <w:b/>
                <w:bCs/>
                <w:sz w:val="18"/>
                <w:szCs w:val="18"/>
                <w:rtl/>
              </w:rPr>
              <w:t>חודשים שהסתיימו ביום</w:t>
            </w:r>
          </w:p>
        </w:tc>
        <w:tc>
          <w:tcPr>
            <w:tcW w:w="252" w:type="dxa"/>
          </w:tcPr>
          <w:p w14:paraId="02F20FC7" w14:textId="77777777" w:rsidR="00A26F60" w:rsidRPr="009A5BDA" w:rsidRDefault="00A26F60" w:rsidP="009A5BDA">
            <w:pPr>
              <w:jc w:val="center"/>
              <w:rPr>
                <w:b/>
                <w:bCs/>
                <w:sz w:val="18"/>
                <w:szCs w:val="18"/>
                <w:rtl/>
              </w:rPr>
            </w:pPr>
          </w:p>
        </w:tc>
        <w:tc>
          <w:tcPr>
            <w:tcW w:w="2002" w:type="dxa"/>
            <w:gridSpan w:val="2"/>
            <w:vAlign w:val="bottom"/>
          </w:tcPr>
          <w:p w14:paraId="1B53EB49" w14:textId="77777777" w:rsidR="00A26F60" w:rsidRPr="009A5BDA" w:rsidRDefault="00A26F60" w:rsidP="009A5BDA">
            <w:pPr>
              <w:pBdr>
                <w:bottom w:val="single" w:sz="4" w:space="1" w:color="auto"/>
              </w:pBdr>
              <w:jc w:val="center"/>
              <w:rPr>
                <w:b/>
                <w:bCs/>
                <w:sz w:val="18"/>
                <w:szCs w:val="18"/>
                <w:rtl/>
              </w:rPr>
            </w:pPr>
            <w:r w:rsidRPr="009A5BDA">
              <w:rPr>
                <w:rFonts w:hint="eastAsia"/>
                <w:b/>
                <w:bCs/>
                <w:sz w:val="18"/>
                <w:szCs w:val="18"/>
                <w:rtl/>
              </w:rPr>
              <w:t>לתקופה</w:t>
            </w:r>
            <w:r w:rsidRPr="009A5BDA">
              <w:rPr>
                <w:b/>
                <w:bCs/>
                <w:sz w:val="18"/>
                <w:szCs w:val="18"/>
                <w:rtl/>
              </w:rPr>
              <w:t xml:space="preserve"> של </w:t>
            </w:r>
            <w:r w:rsidRPr="009A5BDA">
              <w:rPr>
                <w:rFonts w:hint="cs"/>
                <w:b/>
                <w:bCs/>
                <w:sz w:val="18"/>
                <w:szCs w:val="18"/>
                <w:rtl/>
              </w:rPr>
              <w:t>6</w:t>
            </w:r>
            <w:r w:rsidRPr="009A5BDA">
              <w:rPr>
                <w:b/>
                <w:bCs/>
                <w:sz w:val="18"/>
                <w:szCs w:val="18"/>
                <w:rtl/>
              </w:rPr>
              <w:t xml:space="preserve"> חודשים</w:t>
            </w:r>
            <w:r w:rsidRPr="009A5BDA">
              <w:rPr>
                <w:rFonts w:hint="cs"/>
                <w:b/>
                <w:bCs/>
                <w:sz w:val="18"/>
                <w:szCs w:val="18"/>
                <w:rtl/>
              </w:rPr>
              <w:t xml:space="preserve"> שהסתיימו ביום</w:t>
            </w:r>
            <w:r w:rsidRPr="009A5BDA">
              <w:rPr>
                <w:b/>
                <w:bCs/>
                <w:sz w:val="18"/>
                <w:szCs w:val="18"/>
                <w:rtl/>
              </w:rPr>
              <w:t xml:space="preserve">  </w:t>
            </w:r>
          </w:p>
        </w:tc>
      </w:tr>
      <w:tr w:rsidR="00A26F60" w14:paraId="7C4D129F" w14:textId="77777777" w:rsidTr="00903534">
        <w:trPr>
          <w:trHeight w:val="276"/>
        </w:trPr>
        <w:tc>
          <w:tcPr>
            <w:tcW w:w="2118" w:type="dxa"/>
            <w:vMerge/>
            <w:tcBorders>
              <w:top w:val="nil"/>
              <w:left w:val="nil"/>
            </w:tcBorders>
            <w:vAlign w:val="bottom"/>
          </w:tcPr>
          <w:p w14:paraId="7154133E" w14:textId="77777777" w:rsidR="00A26F60" w:rsidRDefault="00A26F60" w:rsidP="00A26F60">
            <w:pPr>
              <w:pStyle w:val="-0"/>
              <w:ind w:left="57"/>
              <w:rPr>
                <w:b/>
                <w:bCs/>
                <w:sz w:val="18"/>
                <w:szCs w:val="18"/>
                <w:rtl/>
              </w:rPr>
            </w:pPr>
          </w:p>
        </w:tc>
        <w:tc>
          <w:tcPr>
            <w:tcW w:w="4403" w:type="dxa"/>
            <w:gridSpan w:val="5"/>
            <w:tcBorders>
              <w:top w:val="nil"/>
            </w:tcBorders>
          </w:tcPr>
          <w:p w14:paraId="4173388B" w14:textId="55EB4F4B" w:rsidR="00A26F60" w:rsidRPr="009A5BDA" w:rsidRDefault="00A26F60" w:rsidP="009A5BDA">
            <w:pPr>
              <w:pBdr>
                <w:bottom w:val="single" w:sz="6" w:space="1" w:color="auto"/>
              </w:pBdr>
              <w:jc w:val="center"/>
              <w:rPr>
                <w:b/>
                <w:bCs/>
                <w:sz w:val="18"/>
                <w:szCs w:val="18"/>
                <w:rtl/>
              </w:rPr>
            </w:pPr>
            <w:r w:rsidRPr="009A5BDA">
              <w:rPr>
                <w:b/>
                <w:bCs/>
                <w:sz w:val="18"/>
                <w:szCs w:val="18"/>
                <w:rtl/>
              </w:rPr>
              <w:t xml:space="preserve">30 ביוני </w:t>
            </w:r>
            <w:r w:rsidRPr="009A5BDA">
              <w:rPr>
                <w:b/>
                <w:bCs/>
                <w:sz w:val="18"/>
                <w:szCs w:val="18"/>
                <w:rtl/>
              </w:rPr>
              <w:fldChar w:fldCharType="begin"/>
            </w:r>
            <w:r w:rsidRPr="009A5BDA">
              <w:rPr>
                <w:b/>
                <w:bCs/>
                <w:sz w:val="18"/>
                <w:szCs w:val="18"/>
                <w:rtl/>
              </w:rPr>
              <w:instrText xml:space="preserve"> = </w:instrText>
            </w:r>
            <w:r w:rsidRPr="009A5BDA">
              <w:rPr>
                <w:b/>
                <w:bCs/>
                <w:sz w:val="18"/>
                <w:szCs w:val="18"/>
              </w:rPr>
              <w:instrText>CY-1 \* MERGEFORMAT</w:instrText>
            </w:r>
            <w:r w:rsidRPr="009A5BDA">
              <w:rPr>
                <w:b/>
                <w:bCs/>
                <w:sz w:val="18"/>
                <w:szCs w:val="18"/>
                <w:rtl/>
              </w:rPr>
              <w:instrText xml:space="preserve"> </w:instrText>
            </w:r>
            <w:r w:rsidRPr="009A5BDA">
              <w:rPr>
                <w:b/>
                <w:bCs/>
                <w:sz w:val="18"/>
                <w:szCs w:val="18"/>
                <w:rtl/>
              </w:rPr>
              <w:fldChar w:fldCharType="separate"/>
            </w:r>
            <w:r w:rsidR="003A584F">
              <w:rPr>
                <w:b/>
                <w:bCs/>
                <w:noProof/>
                <w:sz w:val="18"/>
                <w:szCs w:val="18"/>
                <w:rtl/>
              </w:rPr>
              <w:t>2023</w:t>
            </w:r>
            <w:r w:rsidRPr="009A5BDA">
              <w:rPr>
                <w:b/>
                <w:bCs/>
                <w:sz w:val="18"/>
                <w:szCs w:val="18"/>
                <w:rtl/>
              </w:rPr>
              <w:fldChar w:fldCharType="end"/>
            </w:r>
            <w:r w:rsidRPr="009A5BDA">
              <w:rPr>
                <w:b/>
                <w:bCs/>
                <w:sz w:val="18"/>
                <w:szCs w:val="18"/>
                <w:rtl/>
              </w:rPr>
              <w:t xml:space="preserve"> </w:t>
            </w:r>
            <w:r w:rsidRPr="006F749D">
              <w:rPr>
                <w:sz w:val="18"/>
                <w:szCs w:val="18"/>
                <w:rtl/>
              </w:rPr>
              <w:t xml:space="preserve">(בלתי </w:t>
            </w:r>
            <w:r w:rsidRPr="006F749D">
              <w:rPr>
                <w:rFonts w:hint="eastAsia"/>
                <w:sz w:val="18"/>
                <w:szCs w:val="18"/>
                <w:rtl/>
              </w:rPr>
              <w:t>מבוקר</w:t>
            </w:r>
            <w:r w:rsidRPr="006F749D">
              <w:rPr>
                <w:sz w:val="18"/>
                <w:szCs w:val="18"/>
                <w:rtl/>
              </w:rPr>
              <w:t>)</w:t>
            </w:r>
          </w:p>
        </w:tc>
      </w:tr>
      <w:tr w:rsidR="00A26F60" w14:paraId="7FED56B6" w14:textId="77777777" w:rsidTr="00903534">
        <w:tc>
          <w:tcPr>
            <w:tcW w:w="2118" w:type="dxa"/>
            <w:tcBorders>
              <w:left w:val="nil"/>
            </w:tcBorders>
            <w:vAlign w:val="bottom"/>
            <w:hideMark/>
          </w:tcPr>
          <w:p w14:paraId="5941DA9D" w14:textId="77777777" w:rsidR="00A26F60" w:rsidRDefault="00A26F60" w:rsidP="00A26F60">
            <w:pPr>
              <w:pStyle w:val="-0"/>
              <w:ind w:left="57"/>
              <w:rPr>
                <w:rtl/>
              </w:rPr>
            </w:pPr>
            <w:r>
              <w:rPr>
                <w:rFonts w:hint="cs"/>
                <w:b/>
                <w:bCs/>
                <w:sz w:val="18"/>
                <w:szCs w:val="18"/>
                <w:rtl/>
              </w:rPr>
              <w:t xml:space="preserve">                 </w:t>
            </w:r>
          </w:p>
        </w:tc>
        <w:tc>
          <w:tcPr>
            <w:tcW w:w="994" w:type="dxa"/>
            <w:vAlign w:val="bottom"/>
            <w:hideMark/>
          </w:tcPr>
          <w:p w14:paraId="4E6CAC46" w14:textId="77777777" w:rsidR="00A26F60" w:rsidRPr="009A5BDA" w:rsidRDefault="00A26F60" w:rsidP="009A5BDA">
            <w:pPr>
              <w:pBdr>
                <w:bottom w:val="single" w:sz="6" w:space="1" w:color="auto"/>
              </w:pBdr>
              <w:jc w:val="center"/>
              <w:rPr>
                <w:b/>
                <w:bCs/>
                <w:sz w:val="18"/>
                <w:szCs w:val="18"/>
                <w:rtl/>
              </w:rPr>
            </w:pPr>
            <w:r w:rsidRPr="009A5BDA">
              <w:rPr>
                <w:rFonts w:hint="cs"/>
                <w:b/>
                <w:bCs/>
                <w:sz w:val="18"/>
                <w:szCs w:val="18"/>
                <w:rtl/>
              </w:rPr>
              <w:t>נגזרים שאינם למסחר</w:t>
            </w:r>
          </w:p>
        </w:tc>
        <w:tc>
          <w:tcPr>
            <w:tcW w:w="1155" w:type="dxa"/>
          </w:tcPr>
          <w:p w14:paraId="3A19E135" w14:textId="77777777" w:rsidR="00A26F60" w:rsidRPr="009A5BDA" w:rsidRDefault="00A26F60" w:rsidP="009A5BDA">
            <w:pPr>
              <w:pBdr>
                <w:bottom w:val="single" w:sz="6" w:space="1" w:color="auto"/>
              </w:pBdr>
              <w:jc w:val="center"/>
              <w:rPr>
                <w:b/>
                <w:bCs/>
                <w:sz w:val="18"/>
                <w:szCs w:val="18"/>
                <w:rtl/>
              </w:rPr>
            </w:pPr>
          </w:p>
          <w:p w14:paraId="0DE177B0" w14:textId="77777777" w:rsidR="00A26F60" w:rsidRPr="009A5BDA" w:rsidRDefault="00A26F60" w:rsidP="009A5BDA">
            <w:pPr>
              <w:pBdr>
                <w:bottom w:val="single" w:sz="6" w:space="1" w:color="auto"/>
              </w:pBdr>
              <w:jc w:val="center"/>
              <w:rPr>
                <w:b/>
                <w:bCs/>
                <w:sz w:val="18"/>
                <w:szCs w:val="18"/>
                <w:rtl/>
              </w:rPr>
            </w:pPr>
            <w:r w:rsidRPr="009A5BDA">
              <w:rPr>
                <w:rFonts w:hint="cs"/>
                <w:b/>
                <w:bCs/>
                <w:sz w:val="18"/>
                <w:szCs w:val="18"/>
                <w:rtl/>
              </w:rPr>
              <w:t>נגזרים למסחר</w:t>
            </w:r>
          </w:p>
        </w:tc>
        <w:tc>
          <w:tcPr>
            <w:tcW w:w="252" w:type="dxa"/>
          </w:tcPr>
          <w:p w14:paraId="1DB94EB7" w14:textId="77777777" w:rsidR="00A26F60" w:rsidRPr="009A5BDA" w:rsidRDefault="00A26F60" w:rsidP="009A5BDA">
            <w:pPr>
              <w:jc w:val="center"/>
              <w:rPr>
                <w:b/>
                <w:bCs/>
                <w:sz w:val="18"/>
                <w:szCs w:val="18"/>
                <w:rtl/>
              </w:rPr>
            </w:pPr>
          </w:p>
        </w:tc>
        <w:tc>
          <w:tcPr>
            <w:tcW w:w="863" w:type="dxa"/>
            <w:vAlign w:val="bottom"/>
          </w:tcPr>
          <w:p w14:paraId="690D89A9" w14:textId="77777777" w:rsidR="00A26F60" w:rsidRPr="009A5BDA" w:rsidRDefault="00A26F60" w:rsidP="009A5BDA">
            <w:pPr>
              <w:pBdr>
                <w:bottom w:val="single" w:sz="6" w:space="1" w:color="auto"/>
              </w:pBdr>
              <w:jc w:val="center"/>
              <w:rPr>
                <w:b/>
                <w:bCs/>
                <w:sz w:val="18"/>
                <w:szCs w:val="18"/>
                <w:rtl/>
              </w:rPr>
            </w:pPr>
            <w:r w:rsidRPr="009A5BDA">
              <w:rPr>
                <w:rFonts w:hint="cs"/>
                <w:b/>
                <w:bCs/>
                <w:sz w:val="18"/>
                <w:szCs w:val="18"/>
                <w:rtl/>
              </w:rPr>
              <w:t>נגזרים שאינם למסחר</w:t>
            </w:r>
          </w:p>
        </w:tc>
        <w:tc>
          <w:tcPr>
            <w:tcW w:w="1139" w:type="dxa"/>
          </w:tcPr>
          <w:p w14:paraId="476707AA" w14:textId="77777777" w:rsidR="00A26F60" w:rsidRPr="009A5BDA" w:rsidRDefault="00A26F60" w:rsidP="009A5BDA">
            <w:pPr>
              <w:pBdr>
                <w:bottom w:val="single" w:sz="6" w:space="1" w:color="auto"/>
              </w:pBdr>
              <w:jc w:val="center"/>
              <w:rPr>
                <w:b/>
                <w:bCs/>
                <w:sz w:val="18"/>
                <w:szCs w:val="18"/>
                <w:rtl/>
              </w:rPr>
            </w:pPr>
          </w:p>
          <w:p w14:paraId="569DD47B" w14:textId="77777777" w:rsidR="00A26F60" w:rsidRPr="009A5BDA" w:rsidRDefault="00A26F60" w:rsidP="009A5BDA">
            <w:pPr>
              <w:pBdr>
                <w:bottom w:val="single" w:sz="6" w:space="1" w:color="auto"/>
              </w:pBdr>
              <w:jc w:val="center"/>
              <w:rPr>
                <w:b/>
                <w:bCs/>
                <w:sz w:val="18"/>
                <w:szCs w:val="18"/>
                <w:rtl/>
              </w:rPr>
            </w:pPr>
            <w:r w:rsidRPr="009A5BDA">
              <w:rPr>
                <w:rFonts w:hint="cs"/>
                <w:b/>
                <w:bCs/>
                <w:sz w:val="18"/>
                <w:szCs w:val="18"/>
                <w:rtl/>
              </w:rPr>
              <w:t>נגזרים למסחר</w:t>
            </w:r>
          </w:p>
        </w:tc>
      </w:tr>
      <w:tr w:rsidR="00A26F60" w14:paraId="56F289A9" w14:textId="77777777" w:rsidTr="00903534">
        <w:trPr>
          <w:trHeight w:val="259"/>
        </w:trPr>
        <w:tc>
          <w:tcPr>
            <w:tcW w:w="2118" w:type="dxa"/>
            <w:tcBorders>
              <w:left w:val="nil"/>
            </w:tcBorders>
            <w:vAlign w:val="bottom"/>
            <w:hideMark/>
          </w:tcPr>
          <w:p w14:paraId="4406D15D" w14:textId="77777777" w:rsidR="00A26F60" w:rsidRPr="00445BD5" w:rsidRDefault="00A26F60" w:rsidP="00A26F60">
            <w:pPr>
              <w:spacing w:line="324" w:lineRule="auto"/>
              <w:ind w:left="57" w:hanging="144"/>
              <w:jc w:val="left"/>
              <w:rPr>
                <w:color w:val="000000"/>
                <w:sz w:val="19"/>
                <w:szCs w:val="19"/>
                <w:rtl/>
                <w:lang w:eastAsia="he-IL"/>
              </w:rPr>
            </w:pPr>
            <w:r w:rsidRPr="00445BD5">
              <w:rPr>
                <w:rFonts w:hint="cs"/>
                <w:color w:val="000000"/>
                <w:sz w:val="19"/>
                <w:szCs w:val="19"/>
                <w:rtl/>
                <w:lang w:eastAsia="he-IL"/>
              </w:rPr>
              <w:t>חוזי ריבית</w:t>
            </w:r>
          </w:p>
        </w:tc>
        <w:tc>
          <w:tcPr>
            <w:tcW w:w="994" w:type="dxa"/>
            <w:vAlign w:val="bottom"/>
            <w:hideMark/>
          </w:tcPr>
          <w:p w14:paraId="549AC589"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 </w:t>
            </w:r>
          </w:p>
        </w:tc>
        <w:tc>
          <w:tcPr>
            <w:tcW w:w="1155" w:type="dxa"/>
            <w:vAlign w:val="bottom"/>
            <w:hideMark/>
          </w:tcPr>
          <w:p w14:paraId="5098F00F"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 </w:t>
            </w:r>
          </w:p>
        </w:tc>
        <w:tc>
          <w:tcPr>
            <w:tcW w:w="252" w:type="dxa"/>
          </w:tcPr>
          <w:p w14:paraId="163E60BE" w14:textId="77777777" w:rsidR="00A26F60" w:rsidRPr="00F76F91" w:rsidRDefault="00A26F60" w:rsidP="00A26F60">
            <w:pPr>
              <w:spacing w:line="324" w:lineRule="auto"/>
              <w:ind w:left="144" w:hanging="144"/>
              <w:jc w:val="left"/>
              <w:rPr>
                <w:color w:val="000000"/>
                <w:rtl/>
                <w:lang w:eastAsia="he-IL"/>
              </w:rPr>
            </w:pPr>
          </w:p>
        </w:tc>
        <w:tc>
          <w:tcPr>
            <w:tcW w:w="863" w:type="dxa"/>
            <w:vAlign w:val="bottom"/>
          </w:tcPr>
          <w:p w14:paraId="72122513"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 </w:t>
            </w:r>
          </w:p>
        </w:tc>
        <w:tc>
          <w:tcPr>
            <w:tcW w:w="1139" w:type="dxa"/>
            <w:vAlign w:val="bottom"/>
          </w:tcPr>
          <w:p w14:paraId="3D2531C1"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 </w:t>
            </w:r>
          </w:p>
        </w:tc>
      </w:tr>
      <w:tr w:rsidR="00A26F60" w14:paraId="5CDCBD74" w14:textId="77777777" w:rsidTr="00903534">
        <w:trPr>
          <w:trHeight w:val="259"/>
        </w:trPr>
        <w:tc>
          <w:tcPr>
            <w:tcW w:w="2118" w:type="dxa"/>
            <w:tcBorders>
              <w:left w:val="nil"/>
            </w:tcBorders>
            <w:vAlign w:val="bottom"/>
            <w:hideMark/>
          </w:tcPr>
          <w:p w14:paraId="2EB8C803" w14:textId="77777777" w:rsidR="00A26F60" w:rsidRPr="00445BD5" w:rsidRDefault="00A26F60" w:rsidP="00A26F60">
            <w:pPr>
              <w:spacing w:line="324" w:lineRule="auto"/>
              <w:ind w:left="57" w:hanging="144"/>
              <w:jc w:val="left"/>
              <w:rPr>
                <w:color w:val="000000"/>
                <w:sz w:val="19"/>
                <w:szCs w:val="19"/>
                <w:rtl/>
                <w:lang w:eastAsia="he-IL"/>
              </w:rPr>
            </w:pPr>
            <w:r w:rsidRPr="00445BD5">
              <w:rPr>
                <w:rFonts w:hint="cs"/>
                <w:color w:val="000000"/>
                <w:sz w:val="19"/>
                <w:szCs w:val="19"/>
                <w:rtl/>
                <w:lang w:eastAsia="he-IL"/>
              </w:rPr>
              <w:t>חוזי מטבע חוץ</w:t>
            </w:r>
          </w:p>
        </w:tc>
        <w:tc>
          <w:tcPr>
            <w:tcW w:w="994" w:type="dxa"/>
            <w:vAlign w:val="bottom"/>
            <w:hideMark/>
          </w:tcPr>
          <w:p w14:paraId="01DDE13A"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c>
          <w:tcPr>
            <w:tcW w:w="1155" w:type="dxa"/>
            <w:vAlign w:val="bottom"/>
            <w:hideMark/>
          </w:tcPr>
          <w:p w14:paraId="38162225"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c>
          <w:tcPr>
            <w:tcW w:w="252" w:type="dxa"/>
          </w:tcPr>
          <w:p w14:paraId="4428C880" w14:textId="77777777" w:rsidR="00A26F60" w:rsidRPr="00F76F91" w:rsidRDefault="00A26F60" w:rsidP="00A26F60">
            <w:pPr>
              <w:spacing w:line="324" w:lineRule="auto"/>
              <w:ind w:left="144" w:hanging="144"/>
              <w:jc w:val="left"/>
              <w:rPr>
                <w:color w:val="000000"/>
                <w:rtl/>
                <w:lang w:eastAsia="he-IL"/>
              </w:rPr>
            </w:pPr>
          </w:p>
        </w:tc>
        <w:tc>
          <w:tcPr>
            <w:tcW w:w="863" w:type="dxa"/>
            <w:vAlign w:val="bottom"/>
          </w:tcPr>
          <w:p w14:paraId="6BA0A5EC"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c>
          <w:tcPr>
            <w:tcW w:w="1139" w:type="dxa"/>
            <w:vAlign w:val="bottom"/>
          </w:tcPr>
          <w:p w14:paraId="0D0A3D42"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r>
      <w:tr w:rsidR="00A26F60" w14:paraId="3D11C577" w14:textId="77777777" w:rsidTr="00903534">
        <w:trPr>
          <w:trHeight w:val="259"/>
        </w:trPr>
        <w:tc>
          <w:tcPr>
            <w:tcW w:w="2118" w:type="dxa"/>
            <w:tcBorders>
              <w:left w:val="nil"/>
            </w:tcBorders>
            <w:vAlign w:val="bottom"/>
            <w:hideMark/>
          </w:tcPr>
          <w:p w14:paraId="58C8C053" w14:textId="77777777" w:rsidR="00A26F60" w:rsidRPr="00445BD5" w:rsidRDefault="00A26F60" w:rsidP="00A26F60">
            <w:pPr>
              <w:spacing w:line="324" w:lineRule="auto"/>
              <w:ind w:left="57" w:hanging="144"/>
              <w:jc w:val="left"/>
              <w:rPr>
                <w:color w:val="000000"/>
                <w:sz w:val="19"/>
                <w:szCs w:val="19"/>
                <w:rtl/>
                <w:lang w:eastAsia="he-IL"/>
              </w:rPr>
            </w:pPr>
            <w:r w:rsidRPr="00445BD5">
              <w:rPr>
                <w:rFonts w:hint="cs"/>
                <w:color w:val="000000"/>
                <w:sz w:val="19"/>
                <w:szCs w:val="19"/>
                <w:rtl/>
                <w:lang w:eastAsia="he-IL"/>
              </w:rPr>
              <w:t>חוזים בגין מניות</w:t>
            </w:r>
          </w:p>
        </w:tc>
        <w:tc>
          <w:tcPr>
            <w:tcW w:w="994" w:type="dxa"/>
            <w:vAlign w:val="bottom"/>
            <w:hideMark/>
          </w:tcPr>
          <w:p w14:paraId="288715C2"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c>
          <w:tcPr>
            <w:tcW w:w="1155" w:type="dxa"/>
            <w:vAlign w:val="bottom"/>
            <w:hideMark/>
          </w:tcPr>
          <w:p w14:paraId="615A72A4"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c>
          <w:tcPr>
            <w:tcW w:w="252" w:type="dxa"/>
          </w:tcPr>
          <w:p w14:paraId="65ECDC23" w14:textId="77777777" w:rsidR="00A26F60" w:rsidRPr="00F76F91" w:rsidRDefault="00A26F60" w:rsidP="00A26F60">
            <w:pPr>
              <w:spacing w:line="324" w:lineRule="auto"/>
              <w:ind w:left="144" w:hanging="144"/>
              <w:jc w:val="left"/>
              <w:rPr>
                <w:color w:val="000000"/>
                <w:rtl/>
                <w:lang w:eastAsia="he-IL"/>
              </w:rPr>
            </w:pPr>
          </w:p>
        </w:tc>
        <w:tc>
          <w:tcPr>
            <w:tcW w:w="863" w:type="dxa"/>
            <w:vAlign w:val="bottom"/>
          </w:tcPr>
          <w:p w14:paraId="4AC60D65"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c>
          <w:tcPr>
            <w:tcW w:w="1139" w:type="dxa"/>
            <w:vAlign w:val="bottom"/>
          </w:tcPr>
          <w:p w14:paraId="2AFCBE00"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r>
      <w:tr w:rsidR="00A26F60" w14:paraId="0E8F3CB7" w14:textId="77777777" w:rsidTr="00903534">
        <w:trPr>
          <w:trHeight w:val="259"/>
        </w:trPr>
        <w:tc>
          <w:tcPr>
            <w:tcW w:w="2118" w:type="dxa"/>
            <w:tcBorders>
              <w:left w:val="nil"/>
            </w:tcBorders>
            <w:vAlign w:val="bottom"/>
            <w:hideMark/>
          </w:tcPr>
          <w:p w14:paraId="0EB66E2C" w14:textId="77777777" w:rsidR="00A26F60" w:rsidRPr="00445BD5" w:rsidRDefault="00A26F60" w:rsidP="00A26F60">
            <w:pPr>
              <w:spacing w:line="324" w:lineRule="auto"/>
              <w:ind w:left="57" w:hanging="144"/>
              <w:jc w:val="left"/>
              <w:rPr>
                <w:color w:val="000000"/>
                <w:sz w:val="19"/>
                <w:szCs w:val="19"/>
                <w:rtl/>
                <w:lang w:eastAsia="he-IL"/>
              </w:rPr>
            </w:pPr>
            <w:r w:rsidRPr="00445BD5">
              <w:rPr>
                <w:rFonts w:hint="cs"/>
                <w:color w:val="000000"/>
                <w:sz w:val="19"/>
                <w:szCs w:val="19"/>
                <w:rtl/>
                <w:lang w:eastAsia="he-IL"/>
              </w:rPr>
              <w:t>חוזי סחורות ואחרים</w:t>
            </w:r>
          </w:p>
        </w:tc>
        <w:tc>
          <w:tcPr>
            <w:tcW w:w="994" w:type="dxa"/>
            <w:vAlign w:val="bottom"/>
            <w:hideMark/>
          </w:tcPr>
          <w:p w14:paraId="07AD4B81" w14:textId="77777777" w:rsidR="00A26F60" w:rsidRPr="00F76F91" w:rsidRDefault="00A26F60" w:rsidP="00A26F60">
            <w:pPr>
              <w:spacing w:line="324" w:lineRule="auto"/>
              <w:ind w:left="144" w:hanging="144"/>
              <w:jc w:val="left"/>
              <w:rPr>
                <w:color w:val="000000"/>
                <w:rtl/>
                <w:lang w:eastAsia="he-IL"/>
              </w:rPr>
            </w:pPr>
            <w:r w:rsidRPr="00F76F91">
              <w:rPr>
                <w:color w:val="000000"/>
                <w:rtl/>
                <w:lang w:eastAsia="he-IL"/>
              </w:rPr>
              <w:t xml:space="preserve"> </w:t>
            </w:r>
            <w:r w:rsidRPr="00F76F91">
              <w:rPr>
                <w:rFonts w:hint="cs"/>
                <w:color w:val="000000"/>
                <w:rtl/>
                <w:lang w:eastAsia="he-IL"/>
              </w:rPr>
              <w:t>0</w:t>
            </w:r>
          </w:p>
        </w:tc>
        <w:tc>
          <w:tcPr>
            <w:tcW w:w="1155" w:type="dxa"/>
            <w:vAlign w:val="bottom"/>
            <w:hideMark/>
          </w:tcPr>
          <w:p w14:paraId="1E364C36"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c>
          <w:tcPr>
            <w:tcW w:w="252" w:type="dxa"/>
          </w:tcPr>
          <w:p w14:paraId="24167DE0" w14:textId="77777777" w:rsidR="00A26F60" w:rsidRPr="00F76F91" w:rsidRDefault="00A26F60" w:rsidP="00A26F60">
            <w:pPr>
              <w:spacing w:line="324" w:lineRule="auto"/>
              <w:ind w:left="144" w:hanging="144"/>
              <w:jc w:val="left"/>
              <w:rPr>
                <w:color w:val="000000"/>
                <w:rtl/>
                <w:lang w:eastAsia="he-IL"/>
              </w:rPr>
            </w:pPr>
          </w:p>
        </w:tc>
        <w:tc>
          <w:tcPr>
            <w:tcW w:w="863" w:type="dxa"/>
            <w:vAlign w:val="bottom"/>
          </w:tcPr>
          <w:p w14:paraId="0DE7AE14" w14:textId="77777777" w:rsidR="00A26F60" w:rsidRPr="00F76F91" w:rsidRDefault="00A26F60" w:rsidP="00A26F60">
            <w:pPr>
              <w:spacing w:line="324" w:lineRule="auto"/>
              <w:ind w:left="144" w:hanging="144"/>
              <w:jc w:val="left"/>
              <w:rPr>
                <w:color w:val="000000"/>
                <w:rtl/>
                <w:lang w:eastAsia="he-IL"/>
              </w:rPr>
            </w:pPr>
            <w:r w:rsidRPr="00F76F91">
              <w:rPr>
                <w:color w:val="000000"/>
                <w:rtl/>
                <w:lang w:eastAsia="he-IL"/>
              </w:rPr>
              <w:t xml:space="preserve"> </w:t>
            </w:r>
            <w:r w:rsidRPr="00F76F91">
              <w:rPr>
                <w:rFonts w:hint="cs"/>
                <w:color w:val="000000"/>
                <w:rtl/>
                <w:lang w:eastAsia="he-IL"/>
              </w:rPr>
              <w:t>0</w:t>
            </w:r>
          </w:p>
        </w:tc>
        <w:tc>
          <w:tcPr>
            <w:tcW w:w="1139" w:type="dxa"/>
            <w:vAlign w:val="bottom"/>
          </w:tcPr>
          <w:p w14:paraId="0C0DF57C" w14:textId="77777777" w:rsidR="00A26F60" w:rsidRPr="00F76F91" w:rsidRDefault="00A26F60" w:rsidP="00A26F60">
            <w:pPr>
              <w:spacing w:line="324" w:lineRule="auto"/>
              <w:ind w:left="144" w:hanging="144"/>
              <w:jc w:val="left"/>
              <w:rPr>
                <w:color w:val="000000"/>
                <w:rtl/>
                <w:lang w:eastAsia="he-IL"/>
              </w:rPr>
            </w:pPr>
            <w:r w:rsidRPr="00F76F91">
              <w:rPr>
                <w:rFonts w:hint="cs"/>
                <w:color w:val="000000"/>
                <w:rtl/>
                <w:lang w:eastAsia="he-IL"/>
              </w:rPr>
              <w:t xml:space="preserve"> 0</w:t>
            </w:r>
          </w:p>
        </w:tc>
      </w:tr>
      <w:tr w:rsidR="00A26F60" w14:paraId="7FB99244" w14:textId="77777777" w:rsidTr="00903534">
        <w:trPr>
          <w:trHeight w:val="259"/>
        </w:trPr>
        <w:tc>
          <w:tcPr>
            <w:tcW w:w="2118" w:type="dxa"/>
            <w:tcBorders>
              <w:left w:val="nil"/>
            </w:tcBorders>
            <w:vAlign w:val="bottom"/>
            <w:hideMark/>
          </w:tcPr>
          <w:p w14:paraId="5D8E79C8" w14:textId="77777777" w:rsidR="00A26F60" w:rsidRPr="00445BD5" w:rsidRDefault="00A26F60" w:rsidP="00A26F60">
            <w:pPr>
              <w:spacing w:line="324" w:lineRule="auto"/>
              <w:ind w:left="57" w:hanging="144"/>
              <w:jc w:val="left"/>
              <w:rPr>
                <w:color w:val="000000"/>
                <w:sz w:val="19"/>
                <w:szCs w:val="19"/>
                <w:rtl/>
                <w:lang w:eastAsia="he-IL"/>
              </w:rPr>
            </w:pPr>
            <w:r w:rsidRPr="00445BD5">
              <w:rPr>
                <w:rFonts w:hint="cs"/>
                <w:color w:val="000000"/>
                <w:sz w:val="19"/>
                <w:szCs w:val="19"/>
                <w:rtl/>
                <w:lang w:eastAsia="he-IL"/>
              </w:rPr>
              <w:t>חוזי אשראי</w:t>
            </w:r>
          </w:p>
        </w:tc>
        <w:tc>
          <w:tcPr>
            <w:tcW w:w="994" w:type="dxa"/>
            <w:vAlign w:val="bottom"/>
            <w:hideMark/>
          </w:tcPr>
          <w:p w14:paraId="3DE2C88B" w14:textId="77777777" w:rsidR="00A26F60" w:rsidRPr="00F76F91" w:rsidRDefault="00A26F60" w:rsidP="00A26F60">
            <w:pPr>
              <w:pBdr>
                <w:bottom w:val="single" w:sz="4" w:space="1" w:color="auto"/>
              </w:pBdr>
              <w:rPr>
                <w:rtl/>
              </w:rPr>
            </w:pPr>
            <w:r w:rsidRPr="00F76F91">
              <w:rPr>
                <w:rFonts w:hint="cs"/>
                <w:rtl/>
              </w:rPr>
              <w:t xml:space="preserve"> 0  </w:t>
            </w:r>
          </w:p>
        </w:tc>
        <w:tc>
          <w:tcPr>
            <w:tcW w:w="1155" w:type="dxa"/>
            <w:vAlign w:val="bottom"/>
            <w:hideMark/>
          </w:tcPr>
          <w:p w14:paraId="40346300" w14:textId="77777777" w:rsidR="00A26F60" w:rsidRPr="00F76F91" w:rsidRDefault="00A26F60" w:rsidP="00A26F60">
            <w:pPr>
              <w:pBdr>
                <w:bottom w:val="single" w:sz="4" w:space="1" w:color="auto"/>
              </w:pBdr>
              <w:rPr>
                <w:rtl/>
              </w:rPr>
            </w:pPr>
            <w:r w:rsidRPr="00F76F91">
              <w:rPr>
                <w:rFonts w:hint="cs"/>
                <w:rtl/>
              </w:rPr>
              <w:t xml:space="preserve"> 0 </w:t>
            </w:r>
          </w:p>
        </w:tc>
        <w:tc>
          <w:tcPr>
            <w:tcW w:w="252" w:type="dxa"/>
          </w:tcPr>
          <w:p w14:paraId="34C6BD0F" w14:textId="77777777" w:rsidR="00A26F60" w:rsidRPr="00F76F91" w:rsidRDefault="00A26F60" w:rsidP="00A26F60">
            <w:pPr>
              <w:rPr>
                <w:rtl/>
              </w:rPr>
            </w:pPr>
          </w:p>
        </w:tc>
        <w:tc>
          <w:tcPr>
            <w:tcW w:w="863" w:type="dxa"/>
            <w:vAlign w:val="bottom"/>
          </w:tcPr>
          <w:p w14:paraId="474FBBEB" w14:textId="77777777" w:rsidR="00A26F60" w:rsidRPr="00F76F91" w:rsidRDefault="00A26F60" w:rsidP="00A26F60">
            <w:pPr>
              <w:pBdr>
                <w:bottom w:val="single" w:sz="4" w:space="1" w:color="auto"/>
              </w:pBdr>
              <w:rPr>
                <w:rtl/>
              </w:rPr>
            </w:pPr>
            <w:r w:rsidRPr="00F76F91">
              <w:rPr>
                <w:rFonts w:hint="cs"/>
                <w:rtl/>
              </w:rPr>
              <w:t xml:space="preserve"> 0  </w:t>
            </w:r>
          </w:p>
        </w:tc>
        <w:tc>
          <w:tcPr>
            <w:tcW w:w="1139" w:type="dxa"/>
            <w:vAlign w:val="bottom"/>
          </w:tcPr>
          <w:p w14:paraId="58E90D8C" w14:textId="77777777" w:rsidR="00A26F60" w:rsidRPr="00F76F91" w:rsidRDefault="00A26F60" w:rsidP="00A26F60">
            <w:pPr>
              <w:pBdr>
                <w:bottom w:val="single" w:sz="4" w:space="1" w:color="auto"/>
              </w:pBdr>
              <w:rPr>
                <w:rtl/>
              </w:rPr>
            </w:pPr>
            <w:r w:rsidRPr="00F76F91">
              <w:rPr>
                <w:rFonts w:hint="cs"/>
                <w:rtl/>
              </w:rPr>
              <w:t xml:space="preserve"> 0 </w:t>
            </w:r>
          </w:p>
        </w:tc>
      </w:tr>
      <w:tr w:rsidR="00A26F60" w14:paraId="0ABE6BD3" w14:textId="77777777" w:rsidTr="00903534">
        <w:trPr>
          <w:trHeight w:val="259"/>
        </w:trPr>
        <w:tc>
          <w:tcPr>
            <w:tcW w:w="2118" w:type="dxa"/>
            <w:tcBorders>
              <w:left w:val="nil"/>
            </w:tcBorders>
            <w:vAlign w:val="bottom"/>
          </w:tcPr>
          <w:p w14:paraId="1A7630D3" w14:textId="77777777" w:rsidR="00A26F60" w:rsidRPr="00445BD5" w:rsidRDefault="00A26F60" w:rsidP="00A26F60">
            <w:pPr>
              <w:ind w:left="57" w:hanging="142"/>
              <w:jc w:val="left"/>
              <w:rPr>
                <w:b/>
                <w:bCs/>
                <w:color w:val="000000"/>
                <w:sz w:val="19"/>
                <w:szCs w:val="19"/>
                <w:rtl/>
                <w:lang w:eastAsia="he-IL"/>
              </w:rPr>
            </w:pPr>
            <w:r w:rsidRPr="00445BD5">
              <w:rPr>
                <w:rFonts w:hint="cs"/>
                <w:b/>
                <w:bCs/>
                <w:color w:val="000000"/>
                <w:sz w:val="19"/>
                <w:szCs w:val="19"/>
                <w:rtl/>
                <w:lang w:eastAsia="he-IL"/>
              </w:rPr>
              <w:t xml:space="preserve">סך הכל רווחים (הפסדים) </w:t>
            </w:r>
          </w:p>
        </w:tc>
        <w:tc>
          <w:tcPr>
            <w:tcW w:w="994" w:type="dxa"/>
            <w:vAlign w:val="bottom"/>
          </w:tcPr>
          <w:p w14:paraId="433BD456" w14:textId="77777777" w:rsidR="00A26F60" w:rsidRDefault="00A26F60" w:rsidP="00A26F60">
            <w:pPr>
              <w:pBdr>
                <w:bottom w:val="double" w:sz="4" w:space="1" w:color="auto"/>
              </w:pBdr>
              <w:rPr>
                <w:b/>
                <w:bCs/>
                <w:rtl/>
              </w:rPr>
            </w:pPr>
            <w:r>
              <w:rPr>
                <w:rFonts w:hint="cs"/>
                <w:b/>
                <w:bCs/>
                <w:rtl/>
              </w:rPr>
              <w:t xml:space="preserve"> 0</w:t>
            </w:r>
          </w:p>
        </w:tc>
        <w:tc>
          <w:tcPr>
            <w:tcW w:w="1155" w:type="dxa"/>
            <w:vAlign w:val="bottom"/>
          </w:tcPr>
          <w:p w14:paraId="694DBE3B" w14:textId="77777777" w:rsidR="00A26F60" w:rsidRDefault="00A26F60" w:rsidP="00A26F60">
            <w:pPr>
              <w:pBdr>
                <w:bottom w:val="double" w:sz="4" w:space="1" w:color="auto"/>
              </w:pBdr>
              <w:rPr>
                <w:b/>
                <w:bCs/>
                <w:rtl/>
              </w:rPr>
            </w:pPr>
            <w:r>
              <w:rPr>
                <w:rFonts w:hint="cs"/>
                <w:b/>
                <w:bCs/>
                <w:rtl/>
              </w:rPr>
              <w:t xml:space="preserve"> 0</w:t>
            </w:r>
          </w:p>
        </w:tc>
        <w:tc>
          <w:tcPr>
            <w:tcW w:w="252" w:type="dxa"/>
          </w:tcPr>
          <w:p w14:paraId="6687D937" w14:textId="77777777" w:rsidR="00A26F60" w:rsidRDefault="00A26F60" w:rsidP="00A26F60">
            <w:pPr>
              <w:rPr>
                <w:b/>
                <w:bCs/>
                <w:rtl/>
              </w:rPr>
            </w:pPr>
          </w:p>
        </w:tc>
        <w:tc>
          <w:tcPr>
            <w:tcW w:w="863" w:type="dxa"/>
            <w:vAlign w:val="bottom"/>
          </w:tcPr>
          <w:p w14:paraId="04A4EF85" w14:textId="77777777" w:rsidR="00A26F60" w:rsidRDefault="00A26F60" w:rsidP="00A26F60">
            <w:pPr>
              <w:pBdr>
                <w:bottom w:val="double" w:sz="4" w:space="1" w:color="auto"/>
              </w:pBdr>
              <w:rPr>
                <w:b/>
                <w:bCs/>
                <w:rtl/>
              </w:rPr>
            </w:pPr>
            <w:r>
              <w:rPr>
                <w:rFonts w:hint="cs"/>
                <w:b/>
                <w:bCs/>
                <w:rtl/>
              </w:rPr>
              <w:t xml:space="preserve"> 0</w:t>
            </w:r>
          </w:p>
        </w:tc>
        <w:tc>
          <w:tcPr>
            <w:tcW w:w="1139" w:type="dxa"/>
            <w:vAlign w:val="bottom"/>
          </w:tcPr>
          <w:p w14:paraId="4685814E" w14:textId="77777777" w:rsidR="00A26F60" w:rsidRDefault="00A26F60" w:rsidP="00A26F60">
            <w:pPr>
              <w:pBdr>
                <w:bottom w:val="double" w:sz="4" w:space="1" w:color="auto"/>
              </w:pBdr>
              <w:rPr>
                <w:b/>
                <w:bCs/>
                <w:rtl/>
              </w:rPr>
            </w:pPr>
            <w:r>
              <w:rPr>
                <w:rFonts w:hint="cs"/>
                <w:b/>
                <w:bCs/>
                <w:rtl/>
              </w:rPr>
              <w:t xml:space="preserve"> 0</w:t>
            </w:r>
          </w:p>
        </w:tc>
      </w:tr>
    </w:tbl>
    <w:p w14:paraId="5380CDE4" w14:textId="77777777" w:rsidR="00445BD5" w:rsidRDefault="00445BD5" w:rsidP="00FB54AC">
      <w:pPr>
        <w:rPr>
          <w:rtl/>
        </w:rPr>
      </w:pPr>
    </w:p>
    <w:p w14:paraId="1E4E46A2" w14:textId="77777777" w:rsidR="00D710F0" w:rsidRDefault="00D710F0" w:rsidP="00FB54AC">
      <w:pPr>
        <w:rPr>
          <w:rtl/>
        </w:rPr>
      </w:pPr>
    </w:p>
    <w:p w14:paraId="3BF884BA" w14:textId="77777777" w:rsidR="00D710F0" w:rsidRDefault="00D710F0" w:rsidP="00FB54AC">
      <w:pPr>
        <w:rPr>
          <w:rtl/>
        </w:rPr>
      </w:pPr>
    </w:p>
    <w:p w14:paraId="48089F2C" w14:textId="77777777" w:rsidR="00D710F0" w:rsidRDefault="00D710F0" w:rsidP="00FB54AC">
      <w:pPr>
        <w:rPr>
          <w:rtl/>
        </w:rPr>
      </w:pPr>
    </w:p>
    <w:p w14:paraId="0DCF3F64" w14:textId="77777777" w:rsidR="00D710F0" w:rsidRDefault="00D710F0" w:rsidP="00FB54AC">
      <w:pPr>
        <w:rPr>
          <w:rtl/>
        </w:rPr>
      </w:pPr>
    </w:p>
    <w:p w14:paraId="62BFA216" w14:textId="77777777" w:rsidR="00AC3844" w:rsidRDefault="00AC3844" w:rsidP="00FB54AC">
      <w:pPr>
        <w:rPr>
          <w:rtl/>
        </w:rPr>
      </w:pPr>
    </w:p>
    <w:p w14:paraId="6CBA201F" w14:textId="77777777" w:rsidR="00A912AF" w:rsidRDefault="00A912AF" w:rsidP="00FB54AC">
      <w:pPr>
        <w:rPr>
          <w:rtl/>
        </w:rPr>
      </w:pPr>
    </w:p>
    <w:p w14:paraId="3B6F4850" w14:textId="77777777" w:rsidR="00D710F0" w:rsidRDefault="00D710F0" w:rsidP="00FB54AC">
      <w:pPr>
        <w:rPr>
          <w:rtl/>
        </w:rPr>
      </w:pPr>
    </w:p>
    <w:p w14:paraId="33B0E4D1" w14:textId="75FC9C4A" w:rsidR="00D710F0" w:rsidRDefault="00D710F0" w:rsidP="00FB54AC">
      <w:pPr>
        <w:rPr>
          <w:rtl/>
        </w:rPr>
      </w:pPr>
    </w:p>
    <w:p w14:paraId="3CEFB660" w14:textId="77777777" w:rsidR="00D710F0" w:rsidRDefault="00D710F0" w:rsidP="00FB54AC">
      <w:pPr>
        <w:rPr>
          <w:rtl/>
        </w:rPr>
      </w:pPr>
      <w:r>
        <w:rPr>
          <w:rtl/>
        </w:rPr>
        <w:br/>
      </w:r>
    </w:p>
    <w:p w14:paraId="46035C4E" w14:textId="77777777" w:rsidR="00D710F0" w:rsidRDefault="00D710F0" w:rsidP="00FB54AC">
      <w:pPr>
        <w:rPr>
          <w:rtl/>
        </w:rPr>
      </w:pPr>
    </w:p>
    <w:p w14:paraId="09F8E47F" w14:textId="77777777" w:rsidR="00F97173" w:rsidRDefault="00F97173" w:rsidP="00FB54AC">
      <w:pPr>
        <w:rPr>
          <w:rtl/>
        </w:rPr>
      </w:pPr>
    </w:p>
    <w:p w14:paraId="677AD95A" w14:textId="705FE12F" w:rsidR="00A912AF" w:rsidRDefault="00A912AF" w:rsidP="00710CE6">
      <w:pPr>
        <w:bidi w:val="0"/>
        <w:jc w:val="left"/>
      </w:pPr>
    </w:p>
    <w:p w14:paraId="6EF13ABE" w14:textId="77777777" w:rsidR="00A912AF" w:rsidRDefault="00A912AF" w:rsidP="00FB54AC">
      <w:pPr>
        <w:rPr>
          <w:rtl/>
        </w:rPr>
      </w:pPr>
    </w:p>
    <w:p w14:paraId="376789A7" w14:textId="77777777" w:rsidR="00A912AF" w:rsidRDefault="00A912AF" w:rsidP="00FB54AC">
      <w:pPr>
        <w:rPr>
          <w:rtl/>
        </w:rPr>
      </w:pPr>
    </w:p>
    <w:p w14:paraId="1A18A49C" w14:textId="7B1FEBA6" w:rsidR="00A912AF" w:rsidRDefault="00A912AF" w:rsidP="00FB54AC">
      <w:pPr>
        <w:rPr>
          <w:rtl/>
        </w:rPr>
      </w:pPr>
    </w:p>
    <w:p w14:paraId="12A03026" w14:textId="77777777" w:rsidR="00C92174" w:rsidRDefault="00C92174" w:rsidP="00FB54AC">
      <w:pPr>
        <w:rPr>
          <w:rtl/>
        </w:rPr>
      </w:pPr>
    </w:p>
    <w:tbl>
      <w:tblPr>
        <w:tblpPr w:leftFromText="180" w:rightFromText="180" w:vertAnchor="text" w:horzAnchor="margin" w:tblpY="129"/>
        <w:bidiVisual/>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8788"/>
      </w:tblGrid>
      <w:tr w:rsidR="00C92174" w14:paraId="273B623E" w14:textId="77777777" w:rsidTr="00C92174">
        <w:trPr>
          <w:trHeight w:val="259"/>
        </w:trPr>
        <w:tc>
          <w:tcPr>
            <w:tcW w:w="1372" w:type="dxa"/>
            <w:tcBorders>
              <w:top w:val="nil"/>
              <w:left w:val="nil"/>
              <w:bottom w:val="nil"/>
              <w:right w:val="nil"/>
            </w:tcBorders>
          </w:tcPr>
          <w:p w14:paraId="54673C19" w14:textId="77777777" w:rsidR="00C92174" w:rsidRDefault="00C92174" w:rsidP="00C92174">
            <w:pPr>
              <w:spacing w:before="50" w:after="50" w:line="300" w:lineRule="auto"/>
              <w:ind w:left="57" w:hanging="144"/>
              <w:jc w:val="left"/>
              <w:rPr>
                <w:b/>
                <w:bCs/>
                <w:color w:val="000000"/>
                <w:u w:val="single"/>
                <w:rtl/>
                <w:lang w:eastAsia="he-IL"/>
              </w:rPr>
            </w:pPr>
            <w:r w:rsidRPr="00AC1A00">
              <w:rPr>
                <w:rFonts w:hint="cs"/>
                <w:sz w:val="14"/>
                <w:szCs w:val="14"/>
                <w:rtl/>
              </w:rPr>
              <w:t>ה. המפקח ס' 22</w:t>
            </w:r>
            <w:r>
              <w:rPr>
                <w:rFonts w:hint="cs"/>
                <w:sz w:val="14"/>
                <w:szCs w:val="14"/>
                <w:rtl/>
              </w:rPr>
              <w:t>א.(ב)(1)</w:t>
            </w:r>
          </w:p>
        </w:tc>
        <w:tc>
          <w:tcPr>
            <w:tcW w:w="8788" w:type="dxa"/>
            <w:tcBorders>
              <w:top w:val="nil"/>
              <w:left w:val="nil"/>
              <w:bottom w:val="nil"/>
              <w:right w:val="nil"/>
            </w:tcBorders>
            <w:vAlign w:val="bottom"/>
          </w:tcPr>
          <w:p w14:paraId="17796599" w14:textId="1D86F6B8" w:rsidR="00C92174" w:rsidRPr="00F40E3F" w:rsidRDefault="00C92174" w:rsidP="00C92174">
            <w:pPr>
              <w:spacing w:before="50" w:after="50"/>
              <w:ind w:left="311" w:hanging="311"/>
              <w:rPr>
                <w:b/>
                <w:bCs/>
                <w:sz w:val="18"/>
                <w:szCs w:val="18"/>
                <w:rtl/>
              </w:rPr>
            </w:pPr>
            <w:r w:rsidRPr="00F40E3F">
              <w:rPr>
                <w:rFonts w:hint="cs"/>
                <w:sz w:val="18"/>
                <w:szCs w:val="18"/>
                <w:rtl/>
              </w:rPr>
              <w:t>(א)</w:t>
            </w:r>
            <w:r w:rsidRPr="00F40E3F">
              <w:rPr>
                <w:rFonts w:hint="cs"/>
                <w:b/>
                <w:bCs/>
                <w:sz w:val="18"/>
                <w:szCs w:val="18"/>
                <w:rtl/>
              </w:rPr>
              <w:t xml:space="preserve"> </w:t>
            </w:r>
            <w:r w:rsidRPr="00F40E3F">
              <w:rPr>
                <w:sz w:val="18"/>
                <w:szCs w:val="18"/>
                <w:rtl/>
              </w:rPr>
              <w:t xml:space="preserve">פעילות </w:t>
            </w:r>
            <w:r w:rsidRPr="00F40E3F">
              <w:rPr>
                <w:rFonts w:hint="cs"/>
                <w:sz w:val="18"/>
                <w:szCs w:val="18"/>
                <w:rtl/>
              </w:rPr>
              <w:t xml:space="preserve">התאגיד הבנקאי </w:t>
            </w:r>
            <w:r w:rsidRPr="00F40E3F">
              <w:rPr>
                <w:sz w:val="18"/>
                <w:szCs w:val="18"/>
                <w:rtl/>
              </w:rPr>
              <w:t>בתחום הנגזרים למסחר</w:t>
            </w:r>
            <w:r w:rsidRPr="00F40E3F">
              <w:rPr>
                <w:rFonts w:hint="cs"/>
                <w:sz w:val="18"/>
                <w:szCs w:val="18"/>
                <w:vertAlign w:val="superscript"/>
                <w:rtl/>
              </w:rPr>
              <w:t xml:space="preserve"> </w:t>
            </w:r>
            <w:r w:rsidRPr="00F40E3F">
              <w:rPr>
                <w:sz w:val="18"/>
                <w:szCs w:val="18"/>
                <w:rtl/>
              </w:rPr>
              <w:t>כוללת</w:t>
            </w:r>
            <w:r w:rsidRPr="00F40E3F">
              <w:rPr>
                <w:rFonts w:hint="cs"/>
                <w:sz w:val="18"/>
                <w:szCs w:val="18"/>
                <w:rtl/>
              </w:rPr>
              <w:t>:</w:t>
            </w:r>
            <w:r w:rsidRPr="00F40E3F">
              <w:rPr>
                <w:sz w:val="18"/>
                <w:szCs w:val="18"/>
                <w:rtl/>
              </w:rPr>
              <w:t xml:space="preserve"> מסחר שוטף</w:t>
            </w:r>
            <w:r w:rsidRPr="00F40E3F">
              <w:rPr>
                <w:sz w:val="18"/>
                <w:szCs w:val="18"/>
              </w:rPr>
              <w:t xml:space="preserve"> </w:t>
            </w:r>
            <w:r w:rsidRPr="00F40E3F">
              <w:rPr>
                <w:sz w:val="18"/>
                <w:szCs w:val="18"/>
                <w:rtl/>
              </w:rPr>
              <w:t>בנגזרים, רכישה או נטילת פוזיציה במכשירים אלו אשר מטרתה העיקרית היא מכירה בטווח הקצר או מתוך כוונה לבצע בדרך אחרת מכירה חוזרת (או רכישה חוזרת) כדי להשיג רווחים בטווח הקצר, וכן רכישה או נטילת פוזיציה במכשירים אלו כדי לכסות פעולות בנגזרים שיזמו לקוחות</w:t>
            </w:r>
            <w:r w:rsidR="005E1748" w:rsidRPr="00A26F60">
              <w:rPr>
                <w:b/>
                <w:bCs/>
                <w:sz w:val="18"/>
                <w:szCs w:val="18"/>
                <w:rtl/>
              </w:rPr>
              <w:t xml:space="preserve"> </w:t>
            </w:r>
            <w:r w:rsidR="005E1748" w:rsidRPr="00A26F60">
              <w:rPr>
                <w:b/>
                <w:bCs/>
                <w:sz w:val="18"/>
                <w:szCs w:val="18"/>
                <w:vertAlign w:val="superscript"/>
                <w:rtl/>
              </w:rPr>
              <w:t>[</w:t>
            </w:r>
            <w:r w:rsidR="005E1748" w:rsidRPr="00A26F60">
              <w:rPr>
                <w:rStyle w:val="a7"/>
                <w:b/>
                <w:bCs/>
                <w:sz w:val="18"/>
                <w:szCs w:val="18"/>
                <w:rtl/>
              </w:rPr>
              <w:footnoteReference w:id="82"/>
            </w:r>
            <w:r w:rsidR="005E1748" w:rsidRPr="00A26F60">
              <w:rPr>
                <w:b/>
                <w:bCs/>
                <w:sz w:val="18"/>
                <w:szCs w:val="18"/>
                <w:vertAlign w:val="superscript"/>
                <w:rtl/>
              </w:rPr>
              <w:t>]</w:t>
            </w:r>
            <w:r w:rsidR="00A26F60">
              <w:rPr>
                <w:rFonts w:hint="cs"/>
                <w:b/>
                <w:bCs/>
                <w:sz w:val="18"/>
                <w:szCs w:val="18"/>
                <w:rtl/>
              </w:rPr>
              <w:t>.</w:t>
            </w:r>
          </w:p>
        </w:tc>
      </w:tr>
    </w:tbl>
    <w:p w14:paraId="3E6FBF73" w14:textId="77777777" w:rsidR="00A912AF" w:rsidRDefault="00A912AF" w:rsidP="00FB54AC">
      <w:pPr>
        <w:rPr>
          <w:rtl/>
        </w:rPr>
      </w:pPr>
    </w:p>
    <w:p w14:paraId="60108341" w14:textId="28F1B4EB" w:rsidR="00BE19F8" w:rsidRDefault="00BE19F8">
      <w:pPr>
        <w:bidi w:val="0"/>
        <w:jc w:val="left"/>
        <w:rPr>
          <w:rtl/>
        </w:rPr>
      </w:pPr>
      <w:r>
        <w:rPr>
          <w:rtl/>
        </w:rPr>
        <w:br w:type="page"/>
      </w:r>
    </w:p>
    <w:tbl>
      <w:tblPr>
        <w:bidiVisual/>
        <w:tblW w:w="4972" w:type="pct"/>
        <w:tblLook w:val="04A0" w:firstRow="1" w:lastRow="0" w:firstColumn="1" w:lastColumn="0" w:noHBand="0" w:noVBand="1"/>
      </w:tblPr>
      <w:tblGrid>
        <w:gridCol w:w="1071"/>
        <w:gridCol w:w="387"/>
        <w:gridCol w:w="8692"/>
      </w:tblGrid>
      <w:tr w:rsidR="00AC3844" w:rsidRPr="00543C25" w14:paraId="3B49838E" w14:textId="77777777" w:rsidTr="00435A20">
        <w:trPr>
          <w:trHeight w:val="259"/>
        </w:trPr>
        <w:tc>
          <w:tcPr>
            <w:tcW w:w="1077" w:type="dxa"/>
          </w:tcPr>
          <w:p w14:paraId="748844B4" w14:textId="77777777" w:rsidR="00AC3844" w:rsidRPr="00030C7C" w:rsidRDefault="00485777" w:rsidP="00077CE4">
            <w:pPr>
              <w:pStyle w:val="-fa"/>
              <w:ind w:right="-142"/>
              <w:rPr>
                <w:spacing w:val="-4"/>
                <w:rtl/>
              </w:rPr>
            </w:pPr>
            <w:r>
              <w:rPr>
                <w:rtl/>
              </w:rPr>
              <w:lastRenderedPageBreak/>
              <w:br w:type="page"/>
            </w:r>
          </w:p>
        </w:tc>
        <w:tc>
          <w:tcPr>
            <w:tcW w:w="9073" w:type="dxa"/>
            <w:gridSpan w:val="2"/>
          </w:tcPr>
          <w:p w14:paraId="2AC0A368" w14:textId="77777777" w:rsidR="00AC3844" w:rsidRDefault="00AC3844" w:rsidP="00DA0217">
            <w:pPr>
              <w:pStyle w:val="-8"/>
              <w:rPr>
                <w:rtl/>
              </w:rPr>
            </w:pPr>
            <w:r w:rsidRPr="007369EE">
              <w:rPr>
                <w:rFonts w:eastAsia="Arial Unicode MS"/>
                <w:rtl/>
              </w:rPr>
              <w:t xml:space="preserve">ביאור </w:t>
            </w:r>
            <w:r>
              <w:rPr>
                <w:rFonts w:eastAsia="Arial Unicode MS" w:hint="cs"/>
                <w:rtl/>
              </w:rPr>
              <w:t>10</w:t>
            </w:r>
            <w:r w:rsidRPr="007369EE">
              <w:rPr>
                <w:rFonts w:eastAsia="Arial Unicode MS" w:hint="cs"/>
                <w:rtl/>
              </w:rPr>
              <w:t xml:space="preserve">  </w:t>
            </w:r>
            <w:r w:rsidRPr="007369EE">
              <w:rPr>
                <w:rFonts w:eastAsia="Arial Unicode MS"/>
                <w:rtl/>
              </w:rPr>
              <w:t>-</w:t>
            </w:r>
            <w:r w:rsidRPr="007369EE">
              <w:rPr>
                <w:rFonts w:eastAsia="Arial Unicode MS" w:hint="cs"/>
                <w:rtl/>
              </w:rPr>
              <w:t xml:space="preserve"> </w:t>
            </w:r>
            <w:r w:rsidRPr="007369EE">
              <w:rPr>
                <w:rFonts w:eastAsia="Arial Unicode MS"/>
                <w:rtl/>
              </w:rPr>
              <w:t xml:space="preserve"> </w:t>
            </w:r>
            <w:r>
              <w:rPr>
                <w:rFonts w:hint="cs"/>
                <w:rtl/>
              </w:rPr>
              <w:t xml:space="preserve">פעילות במכשירים נגזרים </w:t>
            </w:r>
            <w:r>
              <w:t>-</w:t>
            </w:r>
            <w:r>
              <w:rPr>
                <w:rFonts w:hint="cs"/>
                <w:rtl/>
              </w:rPr>
              <w:t xml:space="preserve"> היקף, סיכוני אשראי ומועדי פירעון (המשך):</w:t>
            </w:r>
          </w:p>
        </w:tc>
      </w:tr>
      <w:tr w:rsidR="001C09B0" w:rsidRPr="007363C7" w14:paraId="16D596D2" w14:textId="77777777" w:rsidTr="00435A20">
        <w:tblPrEx>
          <w:jc w:val="right"/>
          <w:tblLook w:val="0000" w:firstRow="0" w:lastRow="0" w:firstColumn="0" w:lastColumn="0" w:noHBand="0" w:noVBand="0"/>
        </w:tblPrEx>
        <w:trPr>
          <w:trHeight w:val="245"/>
          <w:jc w:val="right"/>
        </w:trPr>
        <w:tc>
          <w:tcPr>
            <w:tcW w:w="1077" w:type="dxa"/>
          </w:tcPr>
          <w:p w14:paraId="0BE5D1A3" w14:textId="77777777" w:rsidR="00435A20" w:rsidRDefault="001C09B0" w:rsidP="00435A20">
            <w:pPr>
              <w:pStyle w:val="-fa"/>
              <w:spacing w:before="0"/>
              <w:ind w:right="-142"/>
              <w:rPr>
                <w:spacing w:val="-4"/>
                <w:rtl/>
              </w:rPr>
            </w:pPr>
            <w:r>
              <w:rPr>
                <w:rtl/>
              </w:rPr>
              <w:br w:type="page"/>
            </w:r>
            <w:r>
              <w:rPr>
                <w:rtl/>
              </w:rPr>
              <w:br w:type="page"/>
            </w:r>
            <w:r w:rsidRPr="00030C7C">
              <w:rPr>
                <w:rFonts w:hint="eastAsia"/>
                <w:spacing w:val="-4"/>
                <w:rtl/>
              </w:rPr>
              <w:t>מתכונת</w:t>
            </w:r>
            <w:r w:rsidRPr="00030C7C">
              <w:rPr>
                <w:spacing w:val="-4"/>
                <w:rtl/>
              </w:rPr>
              <w:t xml:space="preserve"> </w:t>
            </w:r>
            <w:r w:rsidRPr="00030C7C">
              <w:rPr>
                <w:spacing w:val="-4"/>
                <w:rtl/>
              </w:rPr>
              <w:br w:type="page"/>
            </w:r>
            <w:r w:rsidRPr="00030C7C">
              <w:rPr>
                <w:rFonts w:hint="eastAsia"/>
                <w:spacing w:val="-4"/>
                <w:rtl/>
              </w:rPr>
              <w:t>ביאור</w:t>
            </w:r>
          </w:p>
          <w:p w14:paraId="0E48AFF6" w14:textId="2105D73C" w:rsidR="001C09B0" w:rsidRPr="00E748B9" w:rsidRDefault="001C09B0" w:rsidP="00435A20">
            <w:pPr>
              <w:pStyle w:val="-fa"/>
              <w:spacing w:before="0"/>
              <w:ind w:right="-142"/>
              <w:rPr>
                <w:b/>
                <w:bCs/>
                <w:spacing w:val="-4"/>
                <w:sz w:val="22"/>
                <w:szCs w:val="22"/>
                <w:rtl/>
              </w:rPr>
            </w:pPr>
            <w:r w:rsidRPr="00030C7C">
              <w:rPr>
                <w:spacing w:val="-4"/>
                <w:rtl/>
              </w:rPr>
              <w:t xml:space="preserve"> </w:t>
            </w:r>
            <w:r w:rsidRPr="00030C7C">
              <w:rPr>
                <w:rFonts w:hint="eastAsia"/>
                <w:spacing w:val="-4"/>
                <w:rtl/>
              </w:rPr>
              <w:t>עמ</w:t>
            </w:r>
            <w:r w:rsidRPr="00030C7C">
              <w:rPr>
                <w:spacing w:val="-4"/>
                <w:rtl/>
              </w:rPr>
              <w:t>' 663-</w:t>
            </w:r>
            <w:r>
              <w:rPr>
                <w:rFonts w:hint="cs"/>
                <w:spacing w:val="-4"/>
                <w:rtl/>
              </w:rPr>
              <w:t>38</w:t>
            </w:r>
          </w:p>
        </w:tc>
        <w:tc>
          <w:tcPr>
            <w:tcW w:w="283" w:type="dxa"/>
          </w:tcPr>
          <w:p w14:paraId="15932DE3" w14:textId="77777777" w:rsidR="001C09B0" w:rsidRDefault="001C09B0" w:rsidP="001C09B0">
            <w:pPr>
              <w:pStyle w:val="-f4"/>
              <w:spacing w:line="240" w:lineRule="auto"/>
              <w:jc w:val="left"/>
              <w:rPr>
                <w:rtl/>
              </w:rPr>
            </w:pPr>
            <w:r>
              <w:rPr>
                <w:rFonts w:hint="cs"/>
                <w:rtl/>
              </w:rPr>
              <w:t>ב.</w:t>
            </w:r>
          </w:p>
        </w:tc>
        <w:tc>
          <w:tcPr>
            <w:tcW w:w="8790" w:type="dxa"/>
          </w:tcPr>
          <w:p w14:paraId="4A5415D0" w14:textId="4E19F68E" w:rsidR="001C09B0" w:rsidRPr="00AC3844" w:rsidRDefault="001C09B0" w:rsidP="001C09B0">
            <w:pPr>
              <w:pStyle w:val="-f4"/>
              <w:spacing w:line="240" w:lineRule="auto"/>
              <w:jc w:val="left"/>
              <w:rPr>
                <w:rtl/>
              </w:rPr>
            </w:pPr>
            <w:r>
              <w:rPr>
                <w:rFonts w:hint="cs"/>
                <w:rtl/>
              </w:rPr>
              <w:t>סיכון אשראי בגין מכשירים נגזרים לפי צד נגדי לחוזה על בסיס מאוחד</w:t>
            </w:r>
            <w:r w:rsidR="00870F50" w:rsidRPr="00870F50">
              <w:rPr>
                <w:rFonts w:hint="cs"/>
                <w:rtl/>
              </w:rPr>
              <w:t>:</w:t>
            </w:r>
            <w:r w:rsidR="00870F50">
              <w:rPr>
                <w:rFonts w:hint="cs"/>
                <w:rtl/>
              </w:rPr>
              <w:t xml:space="preserve"> </w:t>
            </w:r>
            <w:r w:rsidRPr="00870F50">
              <w:rPr>
                <w:rFonts w:eastAsia="Arial Unicode MS" w:hint="cs"/>
                <w:b w:val="0"/>
                <w:bCs w:val="0"/>
                <w:vertAlign w:val="superscript"/>
                <w:rtl/>
              </w:rPr>
              <w:t>[</w:t>
            </w:r>
            <w:r w:rsidRPr="00870F50">
              <w:rPr>
                <w:rStyle w:val="a7"/>
                <w:b w:val="0"/>
                <w:bCs w:val="0"/>
                <w:rtl/>
              </w:rPr>
              <w:footnoteReference w:id="83"/>
            </w:r>
            <w:r w:rsidRPr="00870F50">
              <w:rPr>
                <w:rFonts w:hint="cs"/>
                <w:b w:val="0"/>
                <w:bCs w:val="0"/>
                <w:vertAlign w:val="superscript"/>
                <w:rtl/>
              </w:rPr>
              <w:t>]</w:t>
            </w:r>
          </w:p>
        </w:tc>
      </w:tr>
    </w:tbl>
    <w:p w14:paraId="61864D5F" w14:textId="39D23130" w:rsidR="006936EB" w:rsidRDefault="006936EB" w:rsidP="00AC3844">
      <w:pPr>
        <w:tabs>
          <w:tab w:val="left" w:pos="2070"/>
        </w:tabs>
        <w:rPr>
          <w:rtl/>
        </w:rPr>
      </w:pPr>
    </w:p>
    <w:tbl>
      <w:tblPr>
        <w:bidiVisual/>
        <w:tblW w:w="5000" w:type="pct"/>
        <w:tblInd w:w="-5" w:type="dxa"/>
        <w:tblLayout w:type="fixed"/>
        <w:tblLook w:val="01E0" w:firstRow="1" w:lastRow="1" w:firstColumn="1" w:lastColumn="1" w:noHBand="0" w:noVBand="0"/>
      </w:tblPr>
      <w:tblGrid>
        <w:gridCol w:w="709"/>
        <w:gridCol w:w="3984"/>
        <w:gridCol w:w="847"/>
        <w:gridCol w:w="712"/>
        <w:gridCol w:w="851"/>
        <w:gridCol w:w="847"/>
        <w:gridCol w:w="853"/>
        <w:gridCol w:w="710"/>
        <w:gridCol w:w="694"/>
      </w:tblGrid>
      <w:tr w:rsidR="00D03FC3" w:rsidRPr="00A56C3A" w14:paraId="79E76B3E" w14:textId="77777777" w:rsidTr="006D2BE9">
        <w:trPr>
          <w:trHeight w:val="259"/>
        </w:trPr>
        <w:tc>
          <w:tcPr>
            <w:tcW w:w="347" w:type="pct"/>
            <w:shd w:val="clear" w:color="auto" w:fill="auto"/>
          </w:tcPr>
          <w:p w14:paraId="7F6B9B44" w14:textId="77777777" w:rsidR="00D03FC3" w:rsidRPr="00A56C3A" w:rsidRDefault="00D03FC3" w:rsidP="00B10CB3">
            <w:pPr>
              <w:rPr>
                <w:i/>
                <w:iCs/>
                <w:sz w:val="18"/>
                <w:szCs w:val="18"/>
              </w:rPr>
            </w:pPr>
          </w:p>
        </w:tc>
        <w:tc>
          <w:tcPr>
            <w:tcW w:w="1951" w:type="pct"/>
            <w:shd w:val="clear" w:color="auto" w:fill="auto"/>
            <w:vAlign w:val="bottom"/>
          </w:tcPr>
          <w:p w14:paraId="0490E5A7" w14:textId="77777777" w:rsidR="00D03FC3" w:rsidRPr="00A56C3A" w:rsidRDefault="00D03FC3" w:rsidP="00B10CB3">
            <w:pPr>
              <w:rPr>
                <w:sz w:val="18"/>
                <w:szCs w:val="18"/>
                <w:rtl/>
              </w:rPr>
            </w:pPr>
          </w:p>
        </w:tc>
        <w:tc>
          <w:tcPr>
            <w:tcW w:w="2702" w:type="pct"/>
            <w:gridSpan w:val="7"/>
            <w:shd w:val="clear" w:color="auto" w:fill="auto"/>
          </w:tcPr>
          <w:p w14:paraId="45C6E261" w14:textId="280EEB7E" w:rsidR="00D03FC3" w:rsidRPr="00315101" w:rsidRDefault="00D03FC3" w:rsidP="00315101">
            <w:pPr>
              <w:jc w:val="center"/>
              <w:rPr>
                <w:b/>
                <w:bCs/>
                <w:color w:val="000000"/>
                <w:sz w:val="18"/>
                <w:szCs w:val="18"/>
                <w:u w:val="single"/>
                <w:rtl/>
                <w:lang w:eastAsia="he-IL"/>
              </w:rPr>
            </w:pPr>
            <w:r w:rsidRPr="00315101">
              <w:rPr>
                <w:rFonts w:hint="cs"/>
                <w:b/>
                <w:bCs/>
                <w:sz w:val="18"/>
                <w:szCs w:val="18"/>
                <w:u w:val="single"/>
                <w:rtl/>
              </w:rPr>
              <w:t xml:space="preserve">ליום 30 ביוני </w:t>
            </w:r>
            <w:r w:rsidRPr="00315101">
              <w:rPr>
                <w:b/>
                <w:bCs/>
                <w:sz w:val="18"/>
                <w:szCs w:val="18"/>
                <w:u w:val="single"/>
                <w:rtl/>
              </w:rPr>
              <w:fldChar w:fldCharType="begin"/>
            </w:r>
            <w:r w:rsidRPr="00315101">
              <w:rPr>
                <w:b/>
                <w:bCs/>
                <w:sz w:val="18"/>
                <w:szCs w:val="18"/>
                <w:u w:val="single"/>
                <w:rtl/>
              </w:rPr>
              <w:instrText xml:space="preserve"> </w:instrText>
            </w:r>
            <w:r w:rsidRPr="00315101">
              <w:rPr>
                <w:rFonts w:hint="cs"/>
                <w:b/>
                <w:bCs/>
                <w:sz w:val="18"/>
                <w:szCs w:val="18"/>
                <w:u w:val="single"/>
                <w:rtl/>
              </w:rPr>
              <w:instrText xml:space="preserve">= </w:instrText>
            </w:r>
            <w:r w:rsidRPr="00315101">
              <w:rPr>
                <w:rFonts w:hint="cs"/>
                <w:b/>
                <w:bCs/>
                <w:sz w:val="18"/>
                <w:szCs w:val="18"/>
                <w:u w:val="single"/>
              </w:rPr>
              <w:instrText>CY \* MERGEFORMAT</w:instrText>
            </w:r>
            <w:r w:rsidRPr="00315101">
              <w:rPr>
                <w:b/>
                <w:bCs/>
                <w:sz w:val="18"/>
                <w:szCs w:val="18"/>
                <w:u w:val="single"/>
                <w:rtl/>
              </w:rPr>
              <w:instrText xml:space="preserve"> </w:instrText>
            </w:r>
            <w:r w:rsidRPr="00315101">
              <w:rPr>
                <w:b/>
                <w:bCs/>
                <w:sz w:val="18"/>
                <w:szCs w:val="18"/>
                <w:u w:val="single"/>
                <w:rtl/>
              </w:rPr>
              <w:fldChar w:fldCharType="separate"/>
            </w:r>
            <w:r w:rsidR="003A584F" w:rsidRPr="00315101">
              <w:rPr>
                <w:b/>
                <w:bCs/>
                <w:noProof/>
                <w:sz w:val="18"/>
                <w:szCs w:val="18"/>
                <w:u w:val="single"/>
                <w:rtl/>
              </w:rPr>
              <w:t>2024</w:t>
            </w:r>
            <w:r w:rsidRPr="00315101">
              <w:rPr>
                <w:b/>
                <w:bCs/>
                <w:sz w:val="18"/>
                <w:szCs w:val="18"/>
                <w:u w:val="single"/>
                <w:rtl/>
              </w:rPr>
              <w:fldChar w:fldCharType="end"/>
            </w:r>
            <w:r w:rsidR="006F749D" w:rsidRPr="00315101">
              <w:rPr>
                <w:rFonts w:hint="cs"/>
                <w:b/>
                <w:bCs/>
                <w:color w:val="000000"/>
                <w:sz w:val="18"/>
                <w:szCs w:val="18"/>
                <w:u w:val="single"/>
                <w:rtl/>
                <w:lang w:eastAsia="he-IL"/>
              </w:rPr>
              <w:t xml:space="preserve">  </w:t>
            </w:r>
            <w:r w:rsidR="006F749D" w:rsidRPr="00315101">
              <w:rPr>
                <w:rFonts w:hint="cs"/>
                <w:sz w:val="18"/>
                <w:szCs w:val="18"/>
                <w:u w:val="single"/>
                <w:rtl/>
              </w:rPr>
              <w:t>(בלתי מבוקר)</w:t>
            </w:r>
          </w:p>
        </w:tc>
      </w:tr>
      <w:tr w:rsidR="00D03FC3" w:rsidRPr="00A56C3A" w14:paraId="6952A48C" w14:textId="77777777" w:rsidTr="006D2BE9">
        <w:trPr>
          <w:trHeight w:val="259"/>
        </w:trPr>
        <w:tc>
          <w:tcPr>
            <w:tcW w:w="347" w:type="pct"/>
            <w:shd w:val="clear" w:color="auto" w:fill="auto"/>
          </w:tcPr>
          <w:p w14:paraId="2727DA71" w14:textId="77777777" w:rsidR="00D03FC3" w:rsidRPr="00A56C3A" w:rsidRDefault="00D03FC3" w:rsidP="00B10CB3">
            <w:pPr>
              <w:rPr>
                <w:sz w:val="18"/>
                <w:szCs w:val="18"/>
                <w:rtl/>
              </w:rPr>
            </w:pPr>
          </w:p>
        </w:tc>
        <w:tc>
          <w:tcPr>
            <w:tcW w:w="1951" w:type="pct"/>
            <w:shd w:val="clear" w:color="auto" w:fill="auto"/>
            <w:vAlign w:val="bottom"/>
          </w:tcPr>
          <w:p w14:paraId="2BBFB59F" w14:textId="77777777" w:rsidR="00D03FC3" w:rsidRPr="00A56C3A" w:rsidRDefault="00D03FC3" w:rsidP="00B10CB3">
            <w:pPr>
              <w:ind w:left="144" w:hanging="144"/>
              <w:jc w:val="left"/>
              <w:rPr>
                <w:sz w:val="18"/>
                <w:szCs w:val="18"/>
              </w:rPr>
            </w:pPr>
          </w:p>
        </w:tc>
        <w:tc>
          <w:tcPr>
            <w:tcW w:w="415" w:type="pct"/>
            <w:shd w:val="clear" w:color="auto" w:fill="auto"/>
            <w:vAlign w:val="bottom"/>
            <w:hideMark/>
          </w:tcPr>
          <w:p w14:paraId="74A76A7A" w14:textId="77777777" w:rsidR="00D03FC3" w:rsidRPr="00D03FC3" w:rsidRDefault="00D03FC3" w:rsidP="00B10CB3">
            <w:pPr>
              <w:pBdr>
                <w:bottom w:val="single" w:sz="4" w:space="1" w:color="auto"/>
              </w:pBdr>
              <w:jc w:val="center"/>
              <w:rPr>
                <w:b/>
                <w:bCs/>
                <w:sz w:val="17"/>
                <w:szCs w:val="17"/>
                <w:rtl/>
              </w:rPr>
            </w:pPr>
            <w:r w:rsidRPr="00D03FC3">
              <w:rPr>
                <w:rFonts w:hint="cs"/>
                <w:b/>
                <w:bCs/>
                <w:sz w:val="17"/>
                <w:szCs w:val="17"/>
                <w:rtl/>
              </w:rPr>
              <w:t>בורסות</w:t>
            </w:r>
          </w:p>
        </w:tc>
        <w:tc>
          <w:tcPr>
            <w:tcW w:w="349" w:type="pct"/>
            <w:shd w:val="clear" w:color="auto" w:fill="auto"/>
            <w:vAlign w:val="bottom"/>
            <w:hideMark/>
          </w:tcPr>
          <w:p w14:paraId="55ACC2BB" w14:textId="77777777" w:rsidR="00D03FC3" w:rsidRPr="00D03FC3" w:rsidRDefault="00D03FC3" w:rsidP="00B10CB3">
            <w:pPr>
              <w:pBdr>
                <w:bottom w:val="single" w:sz="4" w:space="1" w:color="auto"/>
              </w:pBdr>
              <w:jc w:val="center"/>
              <w:rPr>
                <w:b/>
                <w:bCs/>
                <w:sz w:val="17"/>
                <w:szCs w:val="17"/>
                <w:rtl/>
              </w:rPr>
            </w:pPr>
            <w:r w:rsidRPr="00D03FC3">
              <w:rPr>
                <w:rFonts w:hint="cs"/>
                <w:b/>
                <w:bCs/>
                <w:sz w:val="17"/>
                <w:szCs w:val="17"/>
                <w:rtl/>
              </w:rPr>
              <w:t>בנקים</w:t>
            </w:r>
          </w:p>
        </w:tc>
        <w:tc>
          <w:tcPr>
            <w:tcW w:w="417" w:type="pct"/>
            <w:shd w:val="clear" w:color="auto" w:fill="auto"/>
            <w:vAlign w:val="bottom"/>
            <w:hideMark/>
          </w:tcPr>
          <w:p w14:paraId="5FB755E0" w14:textId="77777777" w:rsidR="00D03FC3" w:rsidRPr="00D03FC3" w:rsidRDefault="00D03FC3" w:rsidP="00B10CB3">
            <w:pPr>
              <w:pBdr>
                <w:bottom w:val="single" w:sz="4" w:space="1" w:color="auto"/>
              </w:pBdr>
              <w:jc w:val="center"/>
              <w:rPr>
                <w:b/>
                <w:bCs/>
                <w:sz w:val="17"/>
                <w:szCs w:val="17"/>
                <w:rtl/>
              </w:rPr>
            </w:pPr>
            <w:r w:rsidRPr="00D03FC3">
              <w:rPr>
                <w:rFonts w:hint="cs"/>
                <w:b/>
                <w:bCs/>
                <w:sz w:val="17"/>
                <w:szCs w:val="17"/>
                <w:rtl/>
              </w:rPr>
              <w:t>דילרים/ ברוקרים</w:t>
            </w:r>
          </w:p>
        </w:tc>
        <w:tc>
          <w:tcPr>
            <w:tcW w:w="415" w:type="pct"/>
            <w:shd w:val="clear" w:color="auto" w:fill="auto"/>
            <w:vAlign w:val="bottom"/>
            <w:hideMark/>
          </w:tcPr>
          <w:p w14:paraId="17665954" w14:textId="77777777" w:rsidR="00D03FC3" w:rsidRPr="00D03FC3" w:rsidRDefault="00D03FC3" w:rsidP="00B10CB3">
            <w:pPr>
              <w:pBdr>
                <w:bottom w:val="single" w:sz="4" w:space="1" w:color="auto"/>
              </w:pBdr>
              <w:jc w:val="center"/>
              <w:rPr>
                <w:b/>
                <w:bCs/>
                <w:sz w:val="17"/>
                <w:szCs w:val="17"/>
                <w:rtl/>
              </w:rPr>
            </w:pPr>
            <w:r w:rsidRPr="00D03FC3">
              <w:rPr>
                <w:rFonts w:hint="cs"/>
                <w:b/>
                <w:bCs/>
                <w:sz w:val="17"/>
                <w:szCs w:val="17"/>
                <w:rtl/>
              </w:rPr>
              <w:t>ממשלות ובנקים מרכזיים</w:t>
            </w:r>
          </w:p>
        </w:tc>
        <w:tc>
          <w:tcPr>
            <w:tcW w:w="418" w:type="pct"/>
            <w:shd w:val="clear" w:color="auto" w:fill="auto"/>
          </w:tcPr>
          <w:p w14:paraId="4C7DB505" w14:textId="77777777" w:rsidR="00D03FC3" w:rsidRPr="00D03FC3" w:rsidRDefault="00D03FC3" w:rsidP="00B10CB3">
            <w:pPr>
              <w:pBdr>
                <w:bottom w:val="single" w:sz="4" w:space="1" w:color="auto"/>
              </w:pBdr>
              <w:jc w:val="center"/>
              <w:rPr>
                <w:b/>
                <w:bCs/>
                <w:sz w:val="17"/>
                <w:szCs w:val="17"/>
                <w:rtl/>
              </w:rPr>
            </w:pPr>
          </w:p>
          <w:p w14:paraId="0D9661ED" w14:textId="4682CD8A" w:rsidR="00D03FC3" w:rsidRPr="00D03FC3" w:rsidRDefault="00D03FC3" w:rsidP="00B10CB3">
            <w:pPr>
              <w:pBdr>
                <w:bottom w:val="single" w:sz="4" w:space="1" w:color="auto"/>
              </w:pBdr>
              <w:jc w:val="center"/>
              <w:rPr>
                <w:b/>
                <w:bCs/>
                <w:sz w:val="17"/>
                <w:szCs w:val="17"/>
                <w:rtl/>
              </w:rPr>
            </w:pPr>
            <w:r w:rsidRPr="00D03FC3">
              <w:rPr>
                <w:rFonts w:hint="cs"/>
                <w:b/>
                <w:bCs/>
                <w:sz w:val="17"/>
                <w:szCs w:val="17"/>
                <w:rtl/>
              </w:rPr>
              <w:t>גופים מוסדיים</w:t>
            </w:r>
          </w:p>
        </w:tc>
        <w:tc>
          <w:tcPr>
            <w:tcW w:w="348" w:type="pct"/>
            <w:shd w:val="clear" w:color="auto" w:fill="auto"/>
            <w:vAlign w:val="bottom"/>
            <w:hideMark/>
          </w:tcPr>
          <w:p w14:paraId="5D378428" w14:textId="77777777" w:rsidR="00D03FC3" w:rsidRPr="00D03FC3" w:rsidRDefault="00D03FC3" w:rsidP="00B10CB3">
            <w:pPr>
              <w:pBdr>
                <w:bottom w:val="single" w:sz="4" w:space="1" w:color="auto"/>
              </w:pBdr>
              <w:jc w:val="center"/>
              <w:rPr>
                <w:b/>
                <w:bCs/>
                <w:sz w:val="17"/>
                <w:szCs w:val="17"/>
                <w:rtl/>
              </w:rPr>
            </w:pPr>
            <w:r w:rsidRPr="00D03FC3">
              <w:rPr>
                <w:rFonts w:hint="cs"/>
                <w:b/>
                <w:bCs/>
                <w:sz w:val="17"/>
                <w:szCs w:val="17"/>
                <w:rtl/>
              </w:rPr>
              <w:t>אחרים</w:t>
            </w:r>
          </w:p>
        </w:tc>
        <w:tc>
          <w:tcPr>
            <w:tcW w:w="341" w:type="pct"/>
            <w:shd w:val="clear" w:color="auto" w:fill="auto"/>
            <w:vAlign w:val="bottom"/>
            <w:hideMark/>
          </w:tcPr>
          <w:p w14:paraId="35D5E22D" w14:textId="77777777" w:rsidR="00D03FC3" w:rsidRPr="00D03FC3" w:rsidRDefault="00D03FC3" w:rsidP="00B10CB3">
            <w:pPr>
              <w:pBdr>
                <w:bottom w:val="single" w:sz="4" w:space="1" w:color="auto"/>
              </w:pBdr>
              <w:jc w:val="center"/>
              <w:rPr>
                <w:b/>
                <w:bCs/>
                <w:sz w:val="17"/>
                <w:szCs w:val="17"/>
                <w:rtl/>
              </w:rPr>
            </w:pPr>
            <w:r w:rsidRPr="00D03FC3">
              <w:rPr>
                <w:rFonts w:hint="cs"/>
                <w:b/>
                <w:bCs/>
                <w:sz w:val="17"/>
                <w:szCs w:val="17"/>
                <w:rtl/>
              </w:rPr>
              <w:t>סה"כ</w:t>
            </w:r>
          </w:p>
        </w:tc>
      </w:tr>
      <w:tr w:rsidR="00D03FC3" w:rsidRPr="00A56C3A" w14:paraId="28936602" w14:textId="77777777" w:rsidTr="006D2BE9">
        <w:trPr>
          <w:trHeight w:hRule="exact" w:val="144"/>
        </w:trPr>
        <w:tc>
          <w:tcPr>
            <w:tcW w:w="347" w:type="pct"/>
            <w:shd w:val="clear" w:color="auto" w:fill="auto"/>
          </w:tcPr>
          <w:p w14:paraId="227F84A6" w14:textId="77777777" w:rsidR="00D03FC3" w:rsidRPr="00A56C3A" w:rsidRDefault="00D03FC3" w:rsidP="00B10CB3">
            <w:pPr>
              <w:rPr>
                <w:sz w:val="18"/>
                <w:szCs w:val="18"/>
                <w:rtl/>
              </w:rPr>
            </w:pPr>
          </w:p>
        </w:tc>
        <w:tc>
          <w:tcPr>
            <w:tcW w:w="1951" w:type="pct"/>
            <w:shd w:val="clear" w:color="auto" w:fill="auto"/>
            <w:vAlign w:val="bottom"/>
          </w:tcPr>
          <w:p w14:paraId="454F31A2" w14:textId="77777777" w:rsidR="00D03FC3" w:rsidRPr="00A56C3A" w:rsidRDefault="00D03FC3" w:rsidP="00B10CB3">
            <w:pPr>
              <w:ind w:left="144" w:hanging="144"/>
              <w:jc w:val="left"/>
              <w:rPr>
                <w:color w:val="000000"/>
                <w:sz w:val="18"/>
                <w:szCs w:val="18"/>
                <w:rtl/>
                <w:lang w:eastAsia="he-IL"/>
              </w:rPr>
            </w:pPr>
          </w:p>
        </w:tc>
        <w:tc>
          <w:tcPr>
            <w:tcW w:w="415" w:type="pct"/>
            <w:shd w:val="clear" w:color="auto" w:fill="auto"/>
            <w:vAlign w:val="bottom"/>
          </w:tcPr>
          <w:p w14:paraId="0A2FFABB" w14:textId="77777777" w:rsidR="00D03FC3" w:rsidRPr="00A56C3A" w:rsidRDefault="00D03FC3" w:rsidP="00B10CB3">
            <w:pPr>
              <w:rPr>
                <w:sz w:val="18"/>
                <w:szCs w:val="18"/>
                <w:rtl/>
              </w:rPr>
            </w:pPr>
          </w:p>
        </w:tc>
        <w:tc>
          <w:tcPr>
            <w:tcW w:w="349" w:type="pct"/>
            <w:shd w:val="clear" w:color="auto" w:fill="auto"/>
            <w:vAlign w:val="bottom"/>
          </w:tcPr>
          <w:p w14:paraId="6DB29A78" w14:textId="77777777" w:rsidR="00D03FC3" w:rsidRPr="00A56C3A" w:rsidRDefault="00D03FC3" w:rsidP="00B10CB3">
            <w:pPr>
              <w:rPr>
                <w:sz w:val="18"/>
                <w:szCs w:val="18"/>
                <w:rtl/>
              </w:rPr>
            </w:pPr>
          </w:p>
        </w:tc>
        <w:tc>
          <w:tcPr>
            <w:tcW w:w="417" w:type="pct"/>
            <w:shd w:val="clear" w:color="auto" w:fill="auto"/>
            <w:vAlign w:val="bottom"/>
          </w:tcPr>
          <w:p w14:paraId="77DCD2D2" w14:textId="77777777" w:rsidR="00D03FC3" w:rsidRPr="00A56C3A" w:rsidRDefault="00D03FC3" w:rsidP="00B10CB3">
            <w:pPr>
              <w:rPr>
                <w:sz w:val="18"/>
                <w:szCs w:val="18"/>
                <w:rtl/>
              </w:rPr>
            </w:pPr>
          </w:p>
        </w:tc>
        <w:tc>
          <w:tcPr>
            <w:tcW w:w="415" w:type="pct"/>
            <w:shd w:val="clear" w:color="auto" w:fill="auto"/>
            <w:vAlign w:val="bottom"/>
          </w:tcPr>
          <w:p w14:paraId="6D90AB69" w14:textId="77777777" w:rsidR="00D03FC3" w:rsidRPr="00A56C3A" w:rsidRDefault="00D03FC3" w:rsidP="00B10CB3">
            <w:pPr>
              <w:rPr>
                <w:sz w:val="18"/>
                <w:szCs w:val="18"/>
                <w:rtl/>
              </w:rPr>
            </w:pPr>
          </w:p>
        </w:tc>
        <w:tc>
          <w:tcPr>
            <w:tcW w:w="418" w:type="pct"/>
            <w:shd w:val="clear" w:color="auto" w:fill="auto"/>
          </w:tcPr>
          <w:p w14:paraId="620CD55A" w14:textId="77777777" w:rsidR="00D03FC3" w:rsidRPr="00A56C3A" w:rsidRDefault="00D03FC3" w:rsidP="00B10CB3">
            <w:pPr>
              <w:rPr>
                <w:sz w:val="18"/>
                <w:szCs w:val="18"/>
                <w:rtl/>
              </w:rPr>
            </w:pPr>
          </w:p>
        </w:tc>
        <w:tc>
          <w:tcPr>
            <w:tcW w:w="348" w:type="pct"/>
            <w:shd w:val="clear" w:color="auto" w:fill="auto"/>
            <w:vAlign w:val="bottom"/>
          </w:tcPr>
          <w:p w14:paraId="2161C16D" w14:textId="77777777" w:rsidR="00D03FC3" w:rsidRPr="00A56C3A" w:rsidRDefault="00D03FC3" w:rsidP="00B10CB3">
            <w:pPr>
              <w:rPr>
                <w:sz w:val="18"/>
                <w:szCs w:val="18"/>
                <w:rtl/>
              </w:rPr>
            </w:pPr>
          </w:p>
        </w:tc>
        <w:tc>
          <w:tcPr>
            <w:tcW w:w="341" w:type="pct"/>
            <w:shd w:val="clear" w:color="auto" w:fill="auto"/>
            <w:vAlign w:val="bottom"/>
          </w:tcPr>
          <w:p w14:paraId="3E46435F" w14:textId="77777777" w:rsidR="00D03FC3" w:rsidRPr="00A56C3A" w:rsidRDefault="00D03FC3" w:rsidP="00B10CB3">
            <w:pPr>
              <w:rPr>
                <w:sz w:val="18"/>
                <w:szCs w:val="18"/>
                <w:rtl/>
              </w:rPr>
            </w:pPr>
          </w:p>
        </w:tc>
      </w:tr>
      <w:tr w:rsidR="00D03FC3" w:rsidRPr="00A56C3A" w14:paraId="6ED40E43" w14:textId="77777777" w:rsidTr="006D2BE9">
        <w:trPr>
          <w:trHeight w:val="259"/>
        </w:trPr>
        <w:tc>
          <w:tcPr>
            <w:tcW w:w="347" w:type="pct"/>
            <w:shd w:val="clear" w:color="auto" w:fill="auto"/>
          </w:tcPr>
          <w:p w14:paraId="39BD340B" w14:textId="77777777" w:rsidR="00D03FC3" w:rsidRPr="00A56C3A" w:rsidRDefault="00D03FC3" w:rsidP="00B10CB3">
            <w:pPr>
              <w:spacing w:before="60"/>
              <w:jc w:val="left"/>
              <w:rPr>
                <w:color w:val="000000"/>
                <w:spacing w:val="-6"/>
                <w:sz w:val="18"/>
                <w:szCs w:val="18"/>
                <w:rtl/>
                <w:lang w:eastAsia="he-IL"/>
              </w:rPr>
            </w:pPr>
          </w:p>
        </w:tc>
        <w:tc>
          <w:tcPr>
            <w:tcW w:w="1951" w:type="pct"/>
            <w:shd w:val="clear" w:color="auto" w:fill="auto"/>
            <w:vAlign w:val="bottom"/>
            <w:hideMark/>
          </w:tcPr>
          <w:p w14:paraId="6473FA7C" w14:textId="77777777" w:rsidR="00D03FC3" w:rsidRPr="00D03FC3" w:rsidRDefault="00D03FC3" w:rsidP="00D03FC3">
            <w:pPr>
              <w:jc w:val="left"/>
              <w:rPr>
                <w:color w:val="000000"/>
                <w:sz w:val="18"/>
                <w:szCs w:val="18"/>
                <w:rtl/>
                <w:lang w:eastAsia="he-IL"/>
              </w:rPr>
            </w:pPr>
            <w:r w:rsidRPr="00D03FC3">
              <w:rPr>
                <w:rFonts w:hint="cs"/>
                <w:color w:val="000000"/>
                <w:sz w:val="18"/>
                <w:szCs w:val="18"/>
                <w:rtl/>
                <w:lang w:eastAsia="he-IL"/>
              </w:rPr>
              <w:t>יתרה מאזנית של נכסים בגין מכשירים נגזרים</w:t>
            </w:r>
          </w:p>
        </w:tc>
        <w:tc>
          <w:tcPr>
            <w:tcW w:w="415" w:type="pct"/>
            <w:shd w:val="clear" w:color="auto" w:fill="auto"/>
            <w:vAlign w:val="bottom"/>
            <w:hideMark/>
          </w:tcPr>
          <w:p w14:paraId="505D5903" w14:textId="77777777" w:rsidR="00D03FC3" w:rsidRPr="00A56C3A" w:rsidRDefault="00D03FC3" w:rsidP="00B10CB3">
            <w:pPr>
              <w:rPr>
                <w:sz w:val="18"/>
                <w:szCs w:val="18"/>
                <w:rtl/>
              </w:rPr>
            </w:pPr>
            <w:r w:rsidRPr="00A56C3A">
              <w:rPr>
                <w:rFonts w:hint="cs"/>
                <w:sz w:val="18"/>
                <w:szCs w:val="18"/>
                <w:rtl/>
              </w:rPr>
              <w:t xml:space="preserve"> 0</w:t>
            </w:r>
          </w:p>
        </w:tc>
        <w:tc>
          <w:tcPr>
            <w:tcW w:w="349" w:type="pct"/>
            <w:shd w:val="clear" w:color="auto" w:fill="auto"/>
            <w:vAlign w:val="bottom"/>
            <w:hideMark/>
          </w:tcPr>
          <w:p w14:paraId="282CAC7F" w14:textId="77777777" w:rsidR="00D03FC3" w:rsidRPr="00A56C3A" w:rsidRDefault="00D03FC3" w:rsidP="00B10CB3">
            <w:pPr>
              <w:rPr>
                <w:sz w:val="18"/>
                <w:szCs w:val="18"/>
                <w:rtl/>
              </w:rPr>
            </w:pPr>
            <w:r w:rsidRPr="00A56C3A">
              <w:rPr>
                <w:rFonts w:hint="cs"/>
                <w:sz w:val="18"/>
                <w:szCs w:val="18"/>
                <w:rtl/>
              </w:rPr>
              <w:t xml:space="preserve"> 0</w:t>
            </w:r>
          </w:p>
        </w:tc>
        <w:tc>
          <w:tcPr>
            <w:tcW w:w="417" w:type="pct"/>
            <w:shd w:val="clear" w:color="auto" w:fill="auto"/>
            <w:vAlign w:val="bottom"/>
            <w:hideMark/>
          </w:tcPr>
          <w:p w14:paraId="54E246E6" w14:textId="77777777" w:rsidR="00D03FC3" w:rsidRPr="00A56C3A" w:rsidRDefault="00D03FC3" w:rsidP="00B10CB3">
            <w:pPr>
              <w:rPr>
                <w:sz w:val="18"/>
                <w:szCs w:val="18"/>
                <w:rtl/>
              </w:rPr>
            </w:pPr>
            <w:r w:rsidRPr="00A56C3A">
              <w:rPr>
                <w:rFonts w:hint="cs"/>
                <w:sz w:val="18"/>
                <w:szCs w:val="18"/>
                <w:rtl/>
              </w:rPr>
              <w:t xml:space="preserve"> 0</w:t>
            </w:r>
          </w:p>
        </w:tc>
        <w:tc>
          <w:tcPr>
            <w:tcW w:w="415" w:type="pct"/>
            <w:shd w:val="clear" w:color="auto" w:fill="auto"/>
            <w:vAlign w:val="bottom"/>
            <w:hideMark/>
          </w:tcPr>
          <w:p w14:paraId="07C6B954" w14:textId="77777777" w:rsidR="00D03FC3" w:rsidRPr="00A56C3A" w:rsidRDefault="00D03FC3" w:rsidP="00B10CB3">
            <w:pPr>
              <w:rPr>
                <w:sz w:val="18"/>
                <w:szCs w:val="18"/>
                <w:rtl/>
              </w:rPr>
            </w:pPr>
            <w:r w:rsidRPr="00A56C3A">
              <w:rPr>
                <w:rFonts w:hint="cs"/>
                <w:sz w:val="18"/>
                <w:szCs w:val="18"/>
                <w:rtl/>
              </w:rPr>
              <w:t xml:space="preserve"> 0</w:t>
            </w:r>
          </w:p>
        </w:tc>
        <w:tc>
          <w:tcPr>
            <w:tcW w:w="418" w:type="pct"/>
            <w:shd w:val="clear" w:color="auto" w:fill="auto"/>
            <w:vAlign w:val="bottom"/>
          </w:tcPr>
          <w:p w14:paraId="6DC081D6" w14:textId="77777777" w:rsidR="00D03FC3" w:rsidRPr="00A56C3A" w:rsidRDefault="00D03FC3" w:rsidP="00B10CB3">
            <w:pPr>
              <w:rPr>
                <w:sz w:val="18"/>
                <w:szCs w:val="18"/>
                <w:rtl/>
              </w:rPr>
            </w:pPr>
            <w:r w:rsidRPr="00A56C3A">
              <w:rPr>
                <w:rFonts w:hint="cs"/>
                <w:sz w:val="18"/>
                <w:szCs w:val="18"/>
                <w:rtl/>
              </w:rPr>
              <w:t xml:space="preserve"> 0</w:t>
            </w:r>
          </w:p>
        </w:tc>
        <w:tc>
          <w:tcPr>
            <w:tcW w:w="348" w:type="pct"/>
            <w:shd w:val="clear" w:color="auto" w:fill="auto"/>
            <w:vAlign w:val="bottom"/>
            <w:hideMark/>
          </w:tcPr>
          <w:p w14:paraId="0D41E309" w14:textId="77777777" w:rsidR="00D03FC3" w:rsidRPr="00A56C3A" w:rsidRDefault="00D03FC3" w:rsidP="00B10CB3">
            <w:pPr>
              <w:rPr>
                <w:sz w:val="18"/>
                <w:szCs w:val="18"/>
                <w:rtl/>
              </w:rPr>
            </w:pPr>
            <w:r w:rsidRPr="00A56C3A">
              <w:rPr>
                <w:rFonts w:hint="cs"/>
                <w:sz w:val="18"/>
                <w:szCs w:val="18"/>
                <w:rtl/>
              </w:rPr>
              <w:t xml:space="preserve"> 0</w:t>
            </w:r>
          </w:p>
        </w:tc>
        <w:tc>
          <w:tcPr>
            <w:tcW w:w="341" w:type="pct"/>
            <w:shd w:val="clear" w:color="auto" w:fill="auto"/>
            <w:vAlign w:val="bottom"/>
            <w:hideMark/>
          </w:tcPr>
          <w:p w14:paraId="33AF8026" w14:textId="77777777" w:rsidR="00D03FC3" w:rsidRPr="00A56C3A" w:rsidRDefault="00D03FC3" w:rsidP="00B10CB3">
            <w:pPr>
              <w:rPr>
                <w:sz w:val="18"/>
                <w:szCs w:val="18"/>
                <w:rtl/>
              </w:rPr>
            </w:pPr>
            <w:r w:rsidRPr="00A56C3A">
              <w:rPr>
                <w:rFonts w:hint="cs"/>
                <w:sz w:val="18"/>
                <w:szCs w:val="18"/>
                <w:rtl/>
              </w:rPr>
              <w:t xml:space="preserve"> 0</w:t>
            </w:r>
          </w:p>
        </w:tc>
      </w:tr>
      <w:tr w:rsidR="00D03FC3" w:rsidRPr="00A56C3A" w14:paraId="1E599364" w14:textId="77777777" w:rsidTr="006D2BE9">
        <w:trPr>
          <w:trHeight w:val="259"/>
        </w:trPr>
        <w:tc>
          <w:tcPr>
            <w:tcW w:w="347" w:type="pct"/>
            <w:shd w:val="clear" w:color="auto" w:fill="auto"/>
          </w:tcPr>
          <w:p w14:paraId="58342616" w14:textId="77777777" w:rsidR="00D03FC3" w:rsidRPr="00A56C3A" w:rsidRDefault="00D03FC3" w:rsidP="00B10CB3">
            <w:pPr>
              <w:spacing w:before="60"/>
              <w:rPr>
                <w:sz w:val="18"/>
                <w:szCs w:val="18"/>
                <w:rtl/>
              </w:rPr>
            </w:pPr>
          </w:p>
        </w:tc>
        <w:tc>
          <w:tcPr>
            <w:tcW w:w="1951" w:type="pct"/>
            <w:shd w:val="clear" w:color="auto" w:fill="auto"/>
            <w:vAlign w:val="center"/>
            <w:hideMark/>
          </w:tcPr>
          <w:p w14:paraId="71DB34CA" w14:textId="77777777" w:rsidR="00D03FC3" w:rsidRPr="00D03FC3" w:rsidRDefault="00D03FC3" w:rsidP="00B10CB3">
            <w:pPr>
              <w:ind w:left="144" w:hanging="144"/>
              <w:jc w:val="left"/>
              <w:rPr>
                <w:color w:val="000000"/>
                <w:sz w:val="18"/>
                <w:szCs w:val="18"/>
                <w:rtl/>
                <w:lang w:eastAsia="he-IL"/>
              </w:rPr>
            </w:pPr>
            <w:r w:rsidRPr="00D03FC3">
              <w:rPr>
                <w:rFonts w:hint="cs"/>
                <w:color w:val="000000"/>
                <w:sz w:val="18"/>
                <w:szCs w:val="18"/>
                <w:u w:val="single"/>
                <w:rtl/>
                <w:lang w:eastAsia="he-IL"/>
              </w:rPr>
              <w:t>סכומים ברוטו שלא קוזזו במאזן</w:t>
            </w:r>
            <w:r w:rsidRPr="00D03FC3">
              <w:rPr>
                <w:rFonts w:hint="cs"/>
                <w:color w:val="000000"/>
                <w:sz w:val="18"/>
                <w:szCs w:val="18"/>
                <w:rtl/>
                <w:lang w:eastAsia="he-IL"/>
              </w:rPr>
              <w:t>:</w:t>
            </w:r>
            <w:r w:rsidRPr="00D03FC3">
              <w:rPr>
                <w:rFonts w:eastAsia="Arial Unicode MS" w:hint="cs"/>
                <w:color w:val="000000"/>
                <w:sz w:val="18"/>
                <w:szCs w:val="18"/>
                <w:vertAlign w:val="superscript"/>
                <w:rtl/>
                <w:lang w:eastAsia="he-IL"/>
              </w:rPr>
              <w:t xml:space="preserve"> </w:t>
            </w:r>
          </w:p>
        </w:tc>
        <w:tc>
          <w:tcPr>
            <w:tcW w:w="415" w:type="pct"/>
            <w:shd w:val="clear" w:color="auto" w:fill="auto"/>
            <w:vAlign w:val="bottom"/>
          </w:tcPr>
          <w:p w14:paraId="01850F37" w14:textId="77777777" w:rsidR="00D03FC3" w:rsidRPr="00A56C3A" w:rsidRDefault="00D03FC3" w:rsidP="00B10CB3">
            <w:pPr>
              <w:rPr>
                <w:sz w:val="18"/>
                <w:szCs w:val="18"/>
                <w:rtl/>
              </w:rPr>
            </w:pPr>
          </w:p>
        </w:tc>
        <w:tc>
          <w:tcPr>
            <w:tcW w:w="349" w:type="pct"/>
            <w:shd w:val="clear" w:color="auto" w:fill="auto"/>
            <w:vAlign w:val="bottom"/>
          </w:tcPr>
          <w:p w14:paraId="68A55EC2" w14:textId="77777777" w:rsidR="00D03FC3" w:rsidRPr="00A56C3A" w:rsidRDefault="00D03FC3" w:rsidP="00B10CB3">
            <w:pPr>
              <w:rPr>
                <w:sz w:val="18"/>
                <w:szCs w:val="18"/>
                <w:rtl/>
              </w:rPr>
            </w:pPr>
          </w:p>
        </w:tc>
        <w:tc>
          <w:tcPr>
            <w:tcW w:w="417" w:type="pct"/>
            <w:shd w:val="clear" w:color="auto" w:fill="auto"/>
            <w:vAlign w:val="bottom"/>
          </w:tcPr>
          <w:p w14:paraId="2B313802" w14:textId="77777777" w:rsidR="00D03FC3" w:rsidRPr="00A56C3A" w:rsidRDefault="00D03FC3" w:rsidP="00B10CB3">
            <w:pPr>
              <w:rPr>
                <w:sz w:val="18"/>
                <w:szCs w:val="18"/>
                <w:rtl/>
              </w:rPr>
            </w:pPr>
          </w:p>
        </w:tc>
        <w:tc>
          <w:tcPr>
            <w:tcW w:w="415" w:type="pct"/>
            <w:shd w:val="clear" w:color="auto" w:fill="auto"/>
            <w:vAlign w:val="bottom"/>
          </w:tcPr>
          <w:p w14:paraId="1A3E6983" w14:textId="77777777" w:rsidR="00D03FC3" w:rsidRPr="00A56C3A" w:rsidRDefault="00D03FC3" w:rsidP="00B10CB3">
            <w:pPr>
              <w:rPr>
                <w:sz w:val="18"/>
                <w:szCs w:val="18"/>
                <w:rtl/>
              </w:rPr>
            </w:pPr>
          </w:p>
        </w:tc>
        <w:tc>
          <w:tcPr>
            <w:tcW w:w="418" w:type="pct"/>
            <w:shd w:val="clear" w:color="auto" w:fill="auto"/>
            <w:vAlign w:val="bottom"/>
          </w:tcPr>
          <w:p w14:paraId="676296B0" w14:textId="77777777" w:rsidR="00D03FC3" w:rsidRPr="00A56C3A" w:rsidRDefault="00D03FC3" w:rsidP="00B10CB3">
            <w:pPr>
              <w:rPr>
                <w:sz w:val="18"/>
                <w:szCs w:val="18"/>
                <w:rtl/>
              </w:rPr>
            </w:pPr>
          </w:p>
        </w:tc>
        <w:tc>
          <w:tcPr>
            <w:tcW w:w="348" w:type="pct"/>
            <w:shd w:val="clear" w:color="auto" w:fill="auto"/>
            <w:vAlign w:val="bottom"/>
          </w:tcPr>
          <w:p w14:paraId="4C3BBE72" w14:textId="77777777" w:rsidR="00D03FC3" w:rsidRPr="00A56C3A" w:rsidRDefault="00D03FC3" w:rsidP="00B10CB3">
            <w:pPr>
              <w:rPr>
                <w:sz w:val="18"/>
                <w:szCs w:val="18"/>
                <w:rtl/>
              </w:rPr>
            </w:pPr>
          </w:p>
        </w:tc>
        <w:tc>
          <w:tcPr>
            <w:tcW w:w="341" w:type="pct"/>
            <w:shd w:val="clear" w:color="auto" w:fill="auto"/>
            <w:vAlign w:val="bottom"/>
          </w:tcPr>
          <w:p w14:paraId="2B05F375" w14:textId="77777777" w:rsidR="00D03FC3" w:rsidRPr="00A56C3A" w:rsidRDefault="00D03FC3" w:rsidP="00B10CB3">
            <w:pPr>
              <w:rPr>
                <w:sz w:val="18"/>
                <w:szCs w:val="18"/>
                <w:rtl/>
              </w:rPr>
            </w:pPr>
          </w:p>
        </w:tc>
      </w:tr>
      <w:tr w:rsidR="00D03FC3" w:rsidRPr="00A56C3A" w14:paraId="3D6B4604" w14:textId="77777777" w:rsidTr="006D2BE9">
        <w:trPr>
          <w:trHeight w:val="259"/>
        </w:trPr>
        <w:tc>
          <w:tcPr>
            <w:tcW w:w="347" w:type="pct"/>
            <w:shd w:val="clear" w:color="auto" w:fill="auto"/>
          </w:tcPr>
          <w:p w14:paraId="6D782C88" w14:textId="324D10B4" w:rsidR="00D03FC3" w:rsidRPr="00A56C3A" w:rsidRDefault="00D03FC3" w:rsidP="00B10CB3">
            <w:pPr>
              <w:rPr>
                <w:sz w:val="18"/>
                <w:szCs w:val="18"/>
                <w:rtl/>
              </w:rPr>
            </w:pPr>
          </w:p>
        </w:tc>
        <w:tc>
          <w:tcPr>
            <w:tcW w:w="1951" w:type="pct"/>
            <w:shd w:val="clear" w:color="auto" w:fill="auto"/>
            <w:vAlign w:val="center"/>
            <w:hideMark/>
          </w:tcPr>
          <w:p w14:paraId="676A7EE8" w14:textId="77777777" w:rsidR="00D03FC3" w:rsidRPr="00D03FC3" w:rsidRDefault="00D03FC3" w:rsidP="00D03FC3">
            <w:pPr>
              <w:ind w:left="170"/>
              <w:jc w:val="left"/>
              <w:rPr>
                <w:color w:val="000000"/>
                <w:sz w:val="18"/>
                <w:szCs w:val="18"/>
                <w:rtl/>
                <w:lang w:eastAsia="he-IL"/>
              </w:rPr>
            </w:pPr>
            <w:r w:rsidRPr="00D03FC3">
              <w:rPr>
                <w:rFonts w:hint="cs"/>
                <w:color w:val="000000"/>
                <w:sz w:val="18"/>
                <w:szCs w:val="18"/>
                <w:rtl/>
                <w:lang w:eastAsia="he-IL"/>
              </w:rPr>
              <w:t>הפחתת סיכון אשראי בגין מכשירים פיננסיים</w:t>
            </w:r>
          </w:p>
        </w:tc>
        <w:tc>
          <w:tcPr>
            <w:tcW w:w="415" w:type="pct"/>
            <w:shd w:val="clear" w:color="auto" w:fill="auto"/>
            <w:vAlign w:val="bottom"/>
            <w:hideMark/>
          </w:tcPr>
          <w:p w14:paraId="7B93786C" w14:textId="77777777" w:rsidR="00D03FC3" w:rsidRPr="00A56C3A" w:rsidRDefault="00D03FC3" w:rsidP="00B10CB3">
            <w:pPr>
              <w:rPr>
                <w:sz w:val="18"/>
                <w:szCs w:val="18"/>
                <w:rtl/>
              </w:rPr>
            </w:pPr>
            <w:r w:rsidRPr="00A56C3A">
              <w:rPr>
                <w:rFonts w:hint="cs"/>
                <w:sz w:val="18"/>
                <w:szCs w:val="18"/>
                <w:rtl/>
              </w:rPr>
              <w:t>(0)</w:t>
            </w:r>
          </w:p>
        </w:tc>
        <w:tc>
          <w:tcPr>
            <w:tcW w:w="349" w:type="pct"/>
            <w:shd w:val="clear" w:color="auto" w:fill="auto"/>
            <w:vAlign w:val="bottom"/>
            <w:hideMark/>
          </w:tcPr>
          <w:p w14:paraId="637FC7E2" w14:textId="77777777" w:rsidR="00D03FC3" w:rsidRPr="00A56C3A" w:rsidRDefault="00D03FC3" w:rsidP="00B10CB3">
            <w:pPr>
              <w:rPr>
                <w:sz w:val="18"/>
                <w:szCs w:val="18"/>
                <w:rtl/>
              </w:rPr>
            </w:pPr>
            <w:r w:rsidRPr="00A56C3A">
              <w:rPr>
                <w:rFonts w:hint="cs"/>
                <w:sz w:val="18"/>
                <w:szCs w:val="18"/>
                <w:rtl/>
              </w:rPr>
              <w:t>(0)</w:t>
            </w:r>
          </w:p>
        </w:tc>
        <w:tc>
          <w:tcPr>
            <w:tcW w:w="417" w:type="pct"/>
            <w:shd w:val="clear" w:color="auto" w:fill="auto"/>
            <w:vAlign w:val="bottom"/>
            <w:hideMark/>
          </w:tcPr>
          <w:p w14:paraId="382424A9" w14:textId="77777777" w:rsidR="00D03FC3" w:rsidRPr="00A56C3A" w:rsidRDefault="00D03FC3" w:rsidP="00B10CB3">
            <w:pPr>
              <w:rPr>
                <w:sz w:val="18"/>
                <w:szCs w:val="18"/>
                <w:rtl/>
              </w:rPr>
            </w:pPr>
            <w:r w:rsidRPr="00A56C3A">
              <w:rPr>
                <w:rFonts w:hint="cs"/>
                <w:sz w:val="18"/>
                <w:szCs w:val="18"/>
                <w:rtl/>
              </w:rPr>
              <w:t>(0)</w:t>
            </w:r>
          </w:p>
        </w:tc>
        <w:tc>
          <w:tcPr>
            <w:tcW w:w="415" w:type="pct"/>
            <w:shd w:val="clear" w:color="auto" w:fill="auto"/>
            <w:vAlign w:val="bottom"/>
            <w:hideMark/>
          </w:tcPr>
          <w:p w14:paraId="5D9F2F06" w14:textId="77777777" w:rsidR="00D03FC3" w:rsidRPr="00A56C3A" w:rsidRDefault="00D03FC3" w:rsidP="00B10CB3">
            <w:pPr>
              <w:rPr>
                <w:sz w:val="18"/>
                <w:szCs w:val="18"/>
                <w:rtl/>
              </w:rPr>
            </w:pPr>
            <w:r w:rsidRPr="00A56C3A">
              <w:rPr>
                <w:rFonts w:hint="cs"/>
                <w:sz w:val="18"/>
                <w:szCs w:val="18"/>
                <w:rtl/>
              </w:rPr>
              <w:t>(0)</w:t>
            </w:r>
          </w:p>
        </w:tc>
        <w:tc>
          <w:tcPr>
            <w:tcW w:w="418" w:type="pct"/>
            <w:shd w:val="clear" w:color="auto" w:fill="auto"/>
            <w:vAlign w:val="bottom"/>
          </w:tcPr>
          <w:p w14:paraId="3EDBEBE5" w14:textId="77777777" w:rsidR="00D03FC3" w:rsidRPr="00A56C3A" w:rsidRDefault="00D03FC3" w:rsidP="00B10CB3">
            <w:pPr>
              <w:rPr>
                <w:sz w:val="18"/>
                <w:szCs w:val="18"/>
                <w:rtl/>
              </w:rPr>
            </w:pPr>
            <w:r w:rsidRPr="00A56C3A">
              <w:rPr>
                <w:rFonts w:hint="cs"/>
                <w:sz w:val="18"/>
                <w:szCs w:val="18"/>
                <w:rtl/>
              </w:rPr>
              <w:t>(0)</w:t>
            </w:r>
          </w:p>
        </w:tc>
        <w:tc>
          <w:tcPr>
            <w:tcW w:w="348" w:type="pct"/>
            <w:shd w:val="clear" w:color="auto" w:fill="auto"/>
            <w:vAlign w:val="bottom"/>
            <w:hideMark/>
          </w:tcPr>
          <w:p w14:paraId="15F58D8E" w14:textId="77777777" w:rsidR="00D03FC3" w:rsidRPr="00A56C3A" w:rsidRDefault="00D03FC3" w:rsidP="00B10CB3">
            <w:pPr>
              <w:rPr>
                <w:sz w:val="18"/>
                <w:szCs w:val="18"/>
                <w:rtl/>
              </w:rPr>
            </w:pPr>
            <w:r w:rsidRPr="00A56C3A">
              <w:rPr>
                <w:rFonts w:hint="cs"/>
                <w:sz w:val="18"/>
                <w:szCs w:val="18"/>
                <w:rtl/>
              </w:rPr>
              <w:t>(0)</w:t>
            </w:r>
          </w:p>
        </w:tc>
        <w:tc>
          <w:tcPr>
            <w:tcW w:w="341" w:type="pct"/>
            <w:shd w:val="clear" w:color="auto" w:fill="auto"/>
            <w:vAlign w:val="bottom"/>
            <w:hideMark/>
          </w:tcPr>
          <w:p w14:paraId="08444081" w14:textId="27B30BDA" w:rsidR="00D03FC3" w:rsidRPr="00A56C3A" w:rsidRDefault="00D03FC3" w:rsidP="00B10CB3">
            <w:pPr>
              <w:rPr>
                <w:sz w:val="18"/>
                <w:szCs w:val="18"/>
                <w:rtl/>
              </w:rPr>
            </w:pPr>
            <w:r w:rsidRPr="00A56C3A">
              <w:rPr>
                <w:rFonts w:hint="cs"/>
                <w:sz w:val="18"/>
                <w:szCs w:val="18"/>
                <w:rtl/>
              </w:rPr>
              <w:t>(0)</w:t>
            </w:r>
            <w:r w:rsidRPr="00A56C3A">
              <w:rPr>
                <w:rFonts w:hint="cs"/>
                <w:sz w:val="18"/>
                <w:szCs w:val="18"/>
                <w:vertAlign w:val="superscript"/>
                <w:rtl/>
              </w:rPr>
              <w:t>(</w:t>
            </w:r>
            <w:r w:rsidR="00941197">
              <w:rPr>
                <w:rFonts w:hint="cs"/>
                <w:sz w:val="18"/>
                <w:szCs w:val="18"/>
                <w:vertAlign w:val="superscript"/>
                <w:rtl/>
              </w:rPr>
              <w:t>א</w:t>
            </w:r>
            <w:r w:rsidRPr="00A56C3A">
              <w:rPr>
                <w:rFonts w:hint="cs"/>
                <w:sz w:val="18"/>
                <w:szCs w:val="18"/>
                <w:vertAlign w:val="superscript"/>
                <w:rtl/>
              </w:rPr>
              <w:t>)</w:t>
            </w:r>
          </w:p>
        </w:tc>
      </w:tr>
      <w:tr w:rsidR="00D03FC3" w:rsidRPr="00A56C3A" w14:paraId="1DF35E52" w14:textId="77777777" w:rsidTr="006D2BE9">
        <w:trPr>
          <w:trHeight w:val="259"/>
        </w:trPr>
        <w:tc>
          <w:tcPr>
            <w:tcW w:w="347" w:type="pct"/>
            <w:shd w:val="clear" w:color="auto" w:fill="auto"/>
          </w:tcPr>
          <w:p w14:paraId="5769E749" w14:textId="77777777" w:rsidR="00D03FC3" w:rsidRPr="00A56C3A" w:rsidRDefault="00D03FC3" w:rsidP="00B10CB3">
            <w:pPr>
              <w:rPr>
                <w:sz w:val="18"/>
                <w:szCs w:val="18"/>
                <w:rtl/>
              </w:rPr>
            </w:pPr>
          </w:p>
        </w:tc>
        <w:tc>
          <w:tcPr>
            <w:tcW w:w="1951" w:type="pct"/>
            <w:shd w:val="clear" w:color="auto" w:fill="auto"/>
            <w:vAlign w:val="center"/>
            <w:hideMark/>
          </w:tcPr>
          <w:p w14:paraId="2740E704" w14:textId="77777777" w:rsidR="00D03FC3" w:rsidRPr="00D03FC3" w:rsidRDefault="00D03FC3" w:rsidP="00445BD5">
            <w:pPr>
              <w:ind w:left="170"/>
              <w:jc w:val="left"/>
              <w:rPr>
                <w:color w:val="000000"/>
                <w:sz w:val="18"/>
                <w:szCs w:val="18"/>
                <w:rtl/>
                <w:lang w:eastAsia="he-IL"/>
              </w:rPr>
            </w:pPr>
            <w:r w:rsidRPr="00D03FC3">
              <w:rPr>
                <w:rFonts w:hint="cs"/>
                <w:color w:val="000000"/>
                <w:sz w:val="18"/>
                <w:szCs w:val="18"/>
                <w:rtl/>
                <w:lang w:eastAsia="he-IL"/>
              </w:rPr>
              <w:t>הפחתת סיכון אשראי בגין ביטחון במזומן שהתקבל</w:t>
            </w:r>
          </w:p>
        </w:tc>
        <w:tc>
          <w:tcPr>
            <w:tcW w:w="415" w:type="pct"/>
            <w:shd w:val="clear" w:color="auto" w:fill="auto"/>
            <w:vAlign w:val="bottom"/>
            <w:hideMark/>
          </w:tcPr>
          <w:p w14:paraId="7FEB4A48" w14:textId="77777777" w:rsidR="00D03FC3" w:rsidRPr="00A56C3A" w:rsidRDefault="00D03FC3" w:rsidP="00B10CB3">
            <w:pPr>
              <w:pBdr>
                <w:bottom w:val="single" w:sz="4" w:space="1" w:color="auto"/>
              </w:pBdr>
              <w:rPr>
                <w:sz w:val="18"/>
                <w:szCs w:val="18"/>
                <w:rtl/>
              </w:rPr>
            </w:pPr>
            <w:r w:rsidRPr="00A56C3A">
              <w:rPr>
                <w:rFonts w:hint="cs"/>
                <w:sz w:val="18"/>
                <w:szCs w:val="18"/>
                <w:rtl/>
              </w:rPr>
              <w:t>(0)</w:t>
            </w:r>
          </w:p>
        </w:tc>
        <w:tc>
          <w:tcPr>
            <w:tcW w:w="349" w:type="pct"/>
            <w:shd w:val="clear" w:color="auto" w:fill="auto"/>
            <w:vAlign w:val="bottom"/>
            <w:hideMark/>
          </w:tcPr>
          <w:p w14:paraId="008DB774" w14:textId="77777777" w:rsidR="00D03FC3" w:rsidRPr="00A56C3A" w:rsidRDefault="00D03FC3" w:rsidP="00B10CB3">
            <w:pPr>
              <w:pBdr>
                <w:bottom w:val="single" w:sz="4" w:space="1" w:color="auto"/>
              </w:pBdr>
              <w:rPr>
                <w:sz w:val="18"/>
                <w:szCs w:val="18"/>
                <w:rtl/>
              </w:rPr>
            </w:pPr>
            <w:r w:rsidRPr="00A56C3A">
              <w:rPr>
                <w:rFonts w:hint="cs"/>
                <w:sz w:val="18"/>
                <w:szCs w:val="18"/>
                <w:rtl/>
              </w:rPr>
              <w:t>(0)</w:t>
            </w:r>
          </w:p>
        </w:tc>
        <w:tc>
          <w:tcPr>
            <w:tcW w:w="417" w:type="pct"/>
            <w:shd w:val="clear" w:color="auto" w:fill="auto"/>
            <w:vAlign w:val="bottom"/>
            <w:hideMark/>
          </w:tcPr>
          <w:p w14:paraId="57C38407" w14:textId="77777777" w:rsidR="00D03FC3" w:rsidRPr="00A56C3A" w:rsidRDefault="00D03FC3" w:rsidP="00B10CB3">
            <w:pPr>
              <w:pBdr>
                <w:bottom w:val="single" w:sz="4" w:space="1" w:color="auto"/>
              </w:pBdr>
              <w:rPr>
                <w:sz w:val="18"/>
                <w:szCs w:val="18"/>
                <w:rtl/>
              </w:rPr>
            </w:pPr>
            <w:r w:rsidRPr="00A56C3A">
              <w:rPr>
                <w:rFonts w:hint="cs"/>
                <w:sz w:val="18"/>
                <w:szCs w:val="18"/>
                <w:rtl/>
              </w:rPr>
              <w:t>(0)</w:t>
            </w:r>
          </w:p>
        </w:tc>
        <w:tc>
          <w:tcPr>
            <w:tcW w:w="415" w:type="pct"/>
            <w:shd w:val="clear" w:color="auto" w:fill="auto"/>
            <w:vAlign w:val="bottom"/>
            <w:hideMark/>
          </w:tcPr>
          <w:p w14:paraId="02ACE4CD" w14:textId="77777777" w:rsidR="00D03FC3" w:rsidRPr="00A56C3A" w:rsidRDefault="00D03FC3" w:rsidP="00B10CB3">
            <w:pPr>
              <w:pBdr>
                <w:bottom w:val="single" w:sz="4" w:space="1" w:color="auto"/>
              </w:pBdr>
              <w:rPr>
                <w:sz w:val="18"/>
                <w:szCs w:val="18"/>
                <w:rtl/>
              </w:rPr>
            </w:pPr>
            <w:r w:rsidRPr="00A56C3A">
              <w:rPr>
                <w:rFonts w:hint="cs"/>
                <w:sz w:val="18"/>
                <w:szCs w:val="18"/>
                <w:rtl/>
              </w:rPr>
              <w:t>(0)</w:t>
            </w:r>
          </w:p>
        </w:tc>
        <w:tc>
          <w:tcPr>
            <w:tcW w:w="418" w:type="pct"/>
            <w:shd w:val="clear" w:color="auto" w:fill="auto"/>
            <w:vAlign w:val="bottom"/>
          </w:tcPr>
          <w:p w14:paraId="3DD24CC3" w14:textId="77777777" w:rsidR="00D03FC3" w:rsidRPr="00A56C3A" w:rsidRDefault="00D03FC3" w:rsidP="00B10CB3">
            <w:pPr>
              <w:pBdr>
                <w:bottom w:val="single" w:sz="4" w:space="1" w:color="auto"/>
              </w:pBdr>
              <w:rPr>
                <w:sz w:val="18"/>
                <w:szCs w:val="18"/>
                <w:rtl/>
              </w:rPr>
            </w:pPr>
            <w:r w:rsidRPr="00A56C3A">
              <w:rPr>
                <w:rFonts w:hint="cs"/>
                <w:sz w:val="18"/>
                <w:szCs w:val="18"/>
                <w:rtl/>
              </w:rPr>
              <w:t>(0)</w:t>
            </w:r>
          </w:p>
        </w:tc>
        <w:tc>
          <w:tcPr>
            <w:tcW w:w="348" w:type="pct"/>
            <w:shd w:val="clear" w:color="auto" w:fill="auto"/>
            <w:vAlign w:val="bottom"/>
            <w:hideMark/>
          </w:tcPr>
          <w:p w14:paraId="47D7A8D6" w14:textId="77777777" w:rsidR="00D03FC3" w:rsidRPr="00A56C3A" w:rsidRDefault="00D03FC3" w:rsidP="00B10CB3">
            <w:pPr>
              <w:pBdr>
                <w:bottom w:val="single" w:sz="4" w:space="1" w:color="auto"/>
              </w:pBdr>
              <w:rPr>
                <w:sz w:val="18"/>
                <w:szCs w:val="18"/>
                <w:rtl/>
              </w:rPr>
            </w:pPr>
            <w:r w:rsidRPr="00A56C3A">
              <w:rPr>
                <w:rFonts w:hint="cs"/>
                <w:sz w:val="18"/>
                <w:szCs w:val="18"/>
                <w:rtl/>
              </w:rPr>
              <w:t>(0)</w:t>
            </w:r>
          </w:p>
        </w:tc>
        <w:tc>
          <w:tcPr>
            <w:tcW w:w="341" w:type="pct"/>
            <w:shd w:val="clear" w:color="auto" w:fill="auto"/>
            <w:vAlign w:val="bottom"/>
            <w:hideMark/>
          </w:tcPr>
          <w:p w14:paraId="3774FBF9" w14:textId="77777777" w:rsidR="00D03FC3" w:rsidRPr="00A56C3A" w:rsidRDefault="00D03FC3" w:rsidP="00B10CB3">
            <w:pPr>
              <w:pBdr>
                <w:bottom w:val="single" w:sz="4" w:space="1" w:color="auto"/>
              </w:pBdr>
              <w:rPr>
                <w:sz w:val="18"/>
                <w:szCs w:val="18"/>
                <w:rtl/>
              </w:rPr>
            </w:pPr>
            <w:r w:rsidRPr="00A56C3A">
              <w:rPr>
                <w:rFonts w:hint="cs"/>
                <w:sz w:val="18"/>
                <w:szCs w:val="18"/>
                <w:rtl/>
              </w:rPr>
              <w:t>(0)</w:t>
            </w:r>
          </w:p>
        </w:tc>
      </w:tr>
      <w:tr w:rsidR="00D03FC3" w:rsidRPr="00A56C3A" w14:paraId="25975484" w14:textId="77777777" w:rsidTr="006D2BE9">
        <w:trPr>
          <w:trHeight w:val="259"/>
        </w:trPr>
        <w:tc>
          <w:tcPr>
            <w:tcW w:w="347" w:type="pct"/>
            <w:shd w:val="clear" w:color="auto" w:fill="auto"/>
          </w:tcPr>
          <w:p w14:paraId="1C76219E" w14:textId="77777777" w:rsidR="00D03FC3" w:rsidRPr="00A56C3A" w:rsidRDefault="00D03FC3" w:rsidP="00B10CB3">
            <w:pPr>
              <w:rPr>
                <w:sz w:val="18"/>
                <w:szCs w:val="18"/>
                <w:rtl/>
              </w:rPr>
            </w:pPr>
          </w:p>
        </w:tc>
        <w:tc>
          <w:tcPr>
            <w:tcW w:w="1951" w:type="pct"/>
            <w:shd w:val="clear" w:color="auto" w:fill="auto"/>
            <w:vAlign w:val="bottom"/>
            <w:hideMark/>
          </w:tcPr>
          <w:p w14:paraId="104E57AC" w14:textId="3D8B6D92" w:rsidR="00D03FC3" w:rsidRPr="00D03FC3" w:rsidRDefault="00D03FC3" w:rsidP="001E1FDE">
            <w:pPr>
              <w:jc w:val="left"/>
              <w:rPr>
                <w:color w:val="000000"/>
                <w:sz w:val="18"/>
                <w:szCs w:val="18"/>
                <w:rtl/>
                <w:lang w:eastAsia="he-IL"/>
              </w:rPr>
            </w:pPr>
            <w:r w:rsidRPr="00D03FC3">
              <w:rPr>
                <w:rFonts w:hint="cs"/>
                <w:color w:val="000000"/>
                <w:sz w:val="18"/>
                <w:szCs w:val="18"/>
                <w:rtl/>
                <w:lang w:eastAsia="he-IL"/>
              </w:rPr>
              <w:t>סיכון אשראי מאזני בגין</w:t>
            </w:r>
            <w:r w:rsidRPr="00D03FC3">
              <w:rPr>
                <w:color w:val="000000"/>
                <w:sz w:val="18"/>
                <w:szCs w:val="18"/>
                <w:rtl/>
                <w:lang w:eastAsia="he-IL"/>
              </w:rPr>
              <w:t xml:space="preserve"> מכשירים </w:t>
            </w:r>
            <w:r w:rsidRPr="00D03FC3">
              <w:rPr>
                <w:rFonts w:hint="cs"/>
                <w:color w:val="000000"/>
                <w:sz w:val="18"/>
                <w:szCs w:val="18"/>
                <w:rtl/>
                <w:lang w:eastAsia="he-IL"/>
              </w:rPr>
              <w:t>נגזרים</w:t>
            </w:r>
          </w:p>
        </w:tc>
        <w:tc>
          <w:tcPr>
            <w:tcW w:w="415" w:type="pct"/>
            <w:shd w:val="clear" w:color="auto" w:fill="auto"/>
            <w:vAlign w:val="bottom"/>
            <w:hideMark/>
          </w:tcPr>
          <w:p w14:paraId="2886278B" w14:textId="77777777" w:rsidR="00D03FC3" w:rsidRPr="00A56C3A" w:rsidRDefault="00D03FC3" w:rsidP="00B10CB3">
            <w:pPr>
              <w:rPr>
                <w:sz w:val="18"/>
                <w:szCs w:val="18"/>
                <w:rtl/>
              </w:rPr>
            </w:pPr>
            <w:r w:rsidRPr="00A56C3A">
              <w:rPr>
                <w:rFonts w:hint="cs"/>
                <w:sz w:val="18"/>
                <w:szCs w:val="18"/>
                <w:rtl/>
              </w:rPr>
              <w:t xml:space="preserve"> 0</w:t>
            </w:r>
          </w:p>
        </w:tc>
        <w:tc>
          <w:tcPr>
            <w:tcW w:w="349" w:type="pct"/>
            <w:shd w:val="clear" w:color="auto" w:fill="auto"/>
            <w:vAlign w:val="bottom"/>
            <w:hideMark/>
          </w:tcPr>
          <w:p w14:paraId="3DA7D2F7" w14:textId="77777777" w:rsidR="00D03FC3" w:rsidRPr="00A56C3A" w:rsidRDefault="00D03FC3" w:rsidP="00B10CB3">
            <w:pPr>
              <w:rPr>
                <w:sz w:val="18"/>
                <w:szCs w:val="18"/>
                <w:rtl/>
              </w:rPr>
            </w:pPr>
            <w:r w:rsidRPr="00A56C3A">
              <w:rPr>
                <w:rFonts w:hint="cs"/>
                <w:sz w:val="18"/>
                <w:szCs w:val="18"/>
                <w:rtl/>
              </w:rPr>
              <w:t xml:space="preserve"> 0</w:t>
            </w:r>
          </w:p>
        </w:tc>
        <w:tc>
          <w:tcPr>
            <w:tcW w:w="417" w:type="pct"/>
            <w:shd w:val="clear" w:color="auto" w:fill="auto"/>
            <w:vAlign w:val="bottom"/>
            <w:hideMark/>
          </w:tcPr>
          <w:p w14:paraId="6A5534E8" w14:textId="77777777" w:rsidR="00D03FC3" w:rsidRPr="00A56C3A" w:rsidRDefault="00D03FC3" w:rsidP="00B10CB3">
            <w:pPr>
              <w:rPr>
                <w:sz w:val="18"/>
                <w:szCs w:val="18"/>
                <w:rtl/>
              </w:rPr>
            </w:pPr>
            <w:r w:rsidRPr="00A56C3A">
              <w:rPr>
                <w:rFonts w:hint="cs"/>
                <w:sz w:val="18"/>
                <w:szCs w:val="18"/>
                <w:rtl/>
              </w:rPr>
              <w:t xml:space="preserve"> 0</w:t>
            </w:r>
          </w:p>
        </w:tc>
        <w:tc>
          <w:tcPr>
            <w:tcW w:w="415" w:type="pct"/>
            <w:shd w:val="clear" w:color="auto" w:fill="auto"/>
            <w:vAlign w:val="bottom"/>
            <w:hideMark/>
          </w:tcPr>
          <w:p w14:paraId="61DB86B0" w14:textId="77777777" w:rsidR="00D03FC3" w:rsidRPr="00A56C3A" w:rsidRDefault="00D03FC3" w:rsidP="00B10CB3">
            <w:pPr>
              <w:rPr>
                <w:sz w:val="18"/>
                <w:szCs w:val="18"/>
                <w:rtl/>
              </w:rPr>
            </w:pPr>
            <w:r w:rsidRPr="00A56C3A">
              <w:rPr>
                <w:rFonts w:hint="cs"/>
                <w:sz w:val="18"/>
                <w:szCs w:val="18"/>
                <w:rtl/>
              </w:rPr>
              <w:t xml:space="preserve"> 0</w:t>
            </w:r>
          </w:p>
        </w:tc>
        <w:tc>
          <w:tcPr>
            <w:tcW w:w="418" w:type="pct"/>
            <w:shd w:val="clear" w:color="auto" w:fill="auto"/>
            <w:vAlign w:val="bottom"/>
          </w:tcPr>
          <w:p w14:paraId="3DCB090C" w14:textId="77777777" w:rsidR="00D03FC3" w:rsidRPr="00A56C3A" w:rsidRDefault="00D03FC3" w:rsidP="00B10CB3">
            <w:pPr>
              <w:rPr>
                <w:sz w:val="18"/>
                <w:szCs w:val="18"/>
                <w:rtl/>
              </w:rPr>
            </w:pPr>
            <w:r w:rsidRPr="00A56C3A">
              <w:rPr>
                <w:rFonts w:hint="cs"/>
                <w:sz w:val="18"/>
                <w:szCs w:val="18"/>
                <w:rtl/>
              </w:rPr>
              <w:t xml:space="preserve"> 0</w:t>
            </w:r>
          </w:p>
        </w:tc>
        <w:tc>
          <w:tcPr>
            <w:tcW w:w="348" w:type="pct"/>
            <w:shd w:val="clear" w:color="auto" w:fill="auto"/>
            <w:vAlign w:val="bottom"/>
            <w:hideMark/>
          </w:tcPr>
          <w:p w14:paraId="3126D58C" w14:textId="77777777" w:rsidR="00D03FC3" w:rsidRPr="00A56C3A" w:rsidRDefault="00D03FC3" w:rsidP="00B10CB3">
            <w:pPr>
              <w:rPr>
                <w:sz w:val="18"/>
                <w:szCs w:val="18"/>
                <w:rtl/>
              </w:rPr>
            </w:pPr>
            <w:r w:rsidRPr="00A56C3A">
              <w:rPr>
                <w:rFonts w:hint="cs"/>
                <w:sz w:val="18"/>
                <w:szCs w:val="18"/>
                <w:rtl/>
              </w:rPr>
              <w:t xml:space="preserve"> 0</w:t>
            </w:r>
          </w:p>
        </w:tc>
        <w:tc>
          <w:tcPr>
            <w:tcW w:w="341" w:type="pct"/>
            <w:shd w:val="clear" w:color="auto" w:fill="auto"/>
            <w:vAlign w:val="bottom"/>
            <w:hideMark/>
          </w:tcPr>
          <w:p w14:paraId="39DB1A93" w14:textId="77777777" w:rsidR="00D03FC3" w:rsidRPr="00A56C3A" w:rsidRDefault="00D03FC3" w:rsidP="00B10CB3">
            <w:pPr>
              <w:rPr>
                <w:sz w:val="18"/>
                <w:szCs w:val="18"/>
                <w:rtl/>
              </w:rPr>
            </w:pPr>
            <w:r w:rsidRPr="00A56C3A">
              <w:rPr>
                <w:rFonts w:hint="cs"/>
                <w:sz w:val="18"/>
                <w:szCs w:val="18"/>
                <w:rtl/>
              </w:rPr>
              <w:t xml:space="preserve"> 0</w:t>
            </w:r>
          </w:p>
        </w:tc>
      </w:tr>
      <w:tr w:rsidR="00D03FC3" w:rsidRPr="00A56C3A" w14:paraId="432D55FB" w14:textId="77777777" w:rsidTr="006D2BE9">
        <w:trPr>
          <w:trHeight w:val="74"/>
        </w:trPr>
        <w:tc>
          <w:tcPr>
            <w:tcW w:w="347" w:type="pct"/>
            <w:shd w:val="clear" w:color="auto" w:fill="auto"/>
          </w:tcPr>
          <w:p w14:paraId="399220FF" w14:textId="77777777" w:rsidR="00D03FC3" w:rsidRPr="00A56C3A" w:rsidRDefault="00D03FC3" w:rsidP="00B10CB3">
            <w:pPr>
              <w:bidi w:val="0"/>
              <w:spacing w:line="60" w:lineRule="exact"/>
              <w:rPr>
                <w:sz w:val="18"/>
                <w:szCs w:val="18"/>
                <w:rtl/>
              </w:rPr>
            </w:pPr>
          </w:p>
        </w:tc>
        <w:tc>
          <w:tcPr>
            <w:tcW w:w="1951" w:type="pct"/>
            <w:shd w:val="clear" w:color="auto" w:fill="auto"/>
            <w:vAlign w:val="bottom"/>
          </w:tcPr>
          <w:p w14:paraId="07559F43" w14:textId="77777777" w:rsidR="00D03FC3" w:rsidRPr="00D03FC3" w:rsidRDefault="00D03FC3" w:rsidP="00B10CB3">
            <w:pPr>
              <w:bidi w:val="0"/>
              <w:spacing w:before="40" w:line="60" w:lineRule="exact"/>
              <w:ind w:left="142" w:hanging="142"/>
              <w:rPr>
                <w:color w:val="000000"/>
                <w:sz w:val="18"/>
                <w:szCs w:val="18"/>
                <w:rtl/>
                <w:lang w:eastAsia="he-IL"/>
              </w:rPr>
            </w:pPr>
          </w:p>
        </w:tc>
        <w:tc>
          <w:tcPr>
            <w:tcW w:w="415" w:type="pct"/>
            <w:shd w:val="clear" w:color="auto" w:fill="auto"/>
            <w:vAlign w:val="bottom"/>
          </w:tcPr>
          <w:p w14:paraId="7ACB8396" w14:textId="77777777" w:rsidR="00D03FC3" w:rsidRPr="00A56C3A" w:rsidRDefault="00D03FC3" w:rsidP="00B10CB3">
            <w:pPr>
              <w:bidi w:val="0"/>
              <w:spacing w:line="60" w:lineRule="exact"/>
              <w:rPr>
                <w:sz w:val="18"/>
                <w:szCs w:val="18"/>
                <w:rtl/>
              </w:rPr>
            </w:pPr>
          </w:p>
        </w:tc>
        <w:tc>
          <w:tcPr>
            <w:tcW w:w="349" w:type="pct"/>
            <w:shd w:val="clear" w:color="auto" w:fill="auto"/>
            <w:vAlign w:val="bottom"/>
          </w:tcPr>
          <w:p w14:paraId="6C83FECF" w14:textId="77777777" w:rsidR="00D03FC3" w:rsidRPr="00A56C3A" w:rsidRDefault="00D03FC3" w:rsidP="00B10CB3">
            <w:pPr>
              <w:bidi w:val="0"/>
              <w:spacing w:line="60" w:lineRule="exact"/>
              <w:rPr>
                <w:sz w:val="18"/>
                <w:szCs w:val="18"/>
                <w:rtl/>
              </w:rPr>
            </w:pPr>
          </w:p>
        </w:tc>
        <w:tc>
          <w:tcPr>
            <w:tcW w:w="417" w:type="pct"/>
            <w:shd w:val="clear" w:color="auto" w:fill="auto"/>
            <w:vAlign w:val="bottom"/>
          </w:tcPr>
          <w:p w14:paraId="1ED34C01" w14:textId="77777777" w:rsidR="00D03FC3" w:rsidRPr="00A56C3A" w:rsidRDefault="00D03FC3" w:rsidP="00B10CB3">
            <w:pPr>
              <w:bidi w:val="0"/>
              <w:spacing w:line="60" w:lineRule="exact"/>
              <w:rPr>
                <w:sz w:val="18"/>
                <w:szCs w:val="18"/>
                <w:rtl/>
              </w:rPr>
            </w:pPr>
          </w:p>
        </w:tc>
        <w:tc>
          <w:tcPr>
            <w:tcW w:w="415" w:type="pct"/>
            <w:shd w:val="clear" w:color="auto" w:fill="auto"/>
            <w:vAlign w:val="bottom"/>
          </w:tcPr>
          <w:p w14:paraId="2B177F22" w14:textId="77777777" w:rsidR="00D03FC3" w:rsidRPr="00A56C3A" w:rsidRDefault="00D03FC3" w:rsidP="00B10CB3">
            <w:pPr>
              <w:bidi w:val="0"/>
              <w:spacing w:line="60" w:lineRule="exact"/>
              <w:rPr>
                <w:sz w:val="18"/>
                <w:szCs w:val="18"/>
                <w:rtl/>
              </w:rPr>
            </w:pPr>
          </w:p>
        </w:tc>
        <w:tc>
          <w:tcPr>
            <w:tcW w:w="418" w:type="pct"/>
            <w:shd w:val="clear" w:color="auto" w:fill="auto"/>
            <w:vAlign w:val="bottom"/>
          </w:tcPr>
          <w:p w14:paraId="3F74FABE" w14:textId="77777777" w:rsidR="00D03FC3" w:rsidRPr="00A56C3A" w:rsidRDefault="00D03FC3" w:rsidP="00B10CB3">
            <w:pPr>
              <w:bidi w:val="0"/>
              <w:spacing w:line="60" w:lineRule="exact"/>
              <w:rPr>
                <w:sz w:val="18"/>
                <w:szCs w:val="18"/>
                <w:rtl/>
              </w:rPr>
            </w:pPr>
          </w:p>
        </w:tc>
        <w:tc>
          <w:tcPr>
            <w:tcW w:w="348" w:type="pct"/>
            <w:shd w:val="clear" w:color="auto" w:fill="auto"/>
            <w:vAlign w:val="bottom"/>
          </w:tcPr>
          <w:p w14:paraId="05C41821" w14:textId="77777777" w:rsidR="00D03FC3" w:rsidRPr="00A56C3A" w:rsidRDefault="00D03FC3" w:rsidP="00B10CB3">
            <w:pPr>
              <w:bidi w:val="0"/>
              <w:spacing w:line="60" w:lineRule="exact"/>
              <w:rPr>
                <w:sz w:val="18"/>
                <w:szCs w:val="18"/>
                <w:rtl/>
              </w:rPr>
            </w:pPr>
          </w:p>
        </w:tc>
        <w:tc>
          <w:tcPr>
            <w:tcW w:w="341" w:type="pct"/>
            <w:shd w:val="clear" w:color="auto" w:fill="auto"/>
            <w:vAlign w:val="bottom"/>
          </w:tcPr>
          <w:p w14:paraId="4EDE59F1" w14:textId="77777777" w:rsidR="00D03FC3" w:rsidRPr="00A56C3A" w:rsidRDefault="00D03FC3" w:rsidP="00B10CB3">
            <w:pPr>
              <w:bidi w:val="0"/>
              <w:spacing w:line="60" w:lineRule="exact"/>
              <w:rPr>
                <w:sz w:val="18"/>
                <w:szCs w:val="18"/>
                <w:rtl/>
              </w:rPr>
            </w:pPr>
          </w:p>
        </w:tc>
      </w:tr>
      <w:tr w:rsidR="00D03FC3" w:rsidRPr="00A56C3A" w14:paraId="213CB26B" w14:textId="77777777" w:rsidTr="006D2BE9">
        <w:trPr>
          <w:trHeight w:val="259"/>
        </w:trPr>
        <w:tc>
          <w:tcPr>
            <w:tcW w:w="347" w:type="pct"/>
            <w:shd w:val="clear" w:color="auto" w:fill="auto"/>
          </w:tcPr>
          <w:p w14:paraId="3D485972" w14:textId="77777777" w:rsidR="00D03FC3" w:rsidRPr="00A56C3A" w:rsidRDefault="00D03FC3" w:rsidP="00B10CB3">
            <w:pPr>
              <w:rPr>
                <w:sz w:val="18"/>
                <w:szCs w:val="18"/>
                <w:rtl/>
              </w:rPr>
            </w:pPr>
          </w:p>
        </w:tc>
        <w:tc>
          <w:tcPr>
            <w:tcW w:w="1951" w:type="pct"/>
            <w:shd w:val="clear" w:color="auto" w:fill="auto"/>
            <w:vAlign w:val="bottom"/>
            <w:hideMark/>
          </w:tcPr>
          <w:p w14:paraId="5651F382" w14:textId="38521CBD" w:rsidR="00D03FC3" w:rsidRPr="00D03FC3" w:rsidRDefault="00D03FC3" w:rsidP="001E1FDE">
            <w:pPr>
              <w:jc w:val="left"/>
              <w:rPr>
                <w:color w:val="000000"/>
                <w:sz w:val="18"/>
                <w:szCs w:val="18"/>
                <w:rtl/>
                <w:lang w:eastAsia="he-IL"/>
              </w:rPr>
            </w:pPr>
            <w:r w:rsidRPr="00D03FC3">
              <w:rPr>
                <w:rFonts w:hint="cs"/>
                <w:color w:val="000000"/>
                <w:sz w:val="18"/>
                <w:szCs w:val="18"/>
                <w:rtl/>
                <w:lang w:eastAsia="he-IL"/>
              </w:rPr>
              <w:t>סיכון אשראי חוץ מאזני נטו בגין מכשירים נגזרים</w:t>
            </w:r>
            <w:r w:rsidRPr="00D03FC3">
              <w:rPr>
                <w:rFonts w:hint="cs"/>
                <w:color w:val="000000"/>
                <w:sz w:val="18"/>
                <w:szCs w:val="18"/>
                <w:vertAlign w:val="superscript"/>
                <w:rtl/>
                <w:lang w:eastAsia="he-IL"/>
              </w:rPr>
              <w:t xml:space="preserve"> </w:t>
            </w:r>
            <w:r w:rsidR="00870F50">
              <w:rPr>
                <w:rFonts w:hint="cs"/>
                <w:color w:val="000000"/>
                <w:sz w:val="18"/>
                <w:szCs w:val="18"/>
                <w:vertAlign w:val="superscript"/>
                <w:rtl/>
                <w:lang w:eastAsia="he-IL"/>
              </w:rPr>
              <w:t>(</w:t>
            </w:r>
            <w:r w:rsidR="00941197">
              <w:rPr>
                <w:rFonts w:hint="cs"/>
                <w:color w:val="000000"/>
                <w:sz w:val="18"/>
                <w:szCs w:val="18"/>
                <w:vertAlign w:val="superscript"/>
                <w:rtl/>
                <w:lang w:eastAsia="he-IL"/>
              </w:rPr>
              <w:t>ב</w:t>
            </w:r>
            <w:r w:rsidR="00870F50">
              <w:rPr>
                <w:rFonts w:hint="cs"/>
                <w:color w:val="000000"/>
                <w:sz w:val="18"/>
                <w:szCs w:val="18"/>
                <w:vertAlign w:val="superscript"/>
                <w:rtl/>
                <w:lang w:eastAsia="he-IL"/>
              </w:rPr>
              <w:t>)</w:t>
            </w:r>
          </w:p>
        </w:tc>
        <w:tc>
          <w:tcPr>
            <w:tcW w:w="415" w:type="pct"/>
            <w:shd w:val="clear" w:color="auto" w:fill="auto"/>
            <w:vAlign w:val="bottom"/>
            <w:hideMark/>
          </w:tcPr>
          <w:p w14:paraId="20F79792" w14:textId="77777777" w:rsidR="00D03FC3" w:rsidRPr="00A56C3A" w:rsidRDefault="00D03FC3" w:rsidP="00B10CB3">
            <w:pPr>
              <w:pBdr>
                <w:bottom w:val="single" w:sz="4" w:space="1" w:color="auto"/>
              </w:pBdr>
              <w:rPr>
                <w:sz w:val="18"/>
                <w:szCs w:val="18"/>
                <w:rtl/>
              </w:rPr>
            </w:pPr>
            <w:r w:rsidRPr="00A56C3A">
              <w:rPr>
                <w:rFonts w:hint="cs"/>
                <w:sz w:val="18"/>
                <w:szCs w:val="18"/>
                <w:rtl/>
              </w:rPr>
              <w:t xml:space="preserve"> 0</w:t>
            </w:r>
          </w:p>
        </w:tc>
        <w:tc>
          <w:tcPr>
            <w:tcW w:w="349" w:type="pct"/>
            <w:shd w:val="clear" w:color="auto" w:fill="auto"/>
            <w:vAlign w:val="bottom"/>
            <w:hideMark/>
          </w:tcPr>
          <w:p w14:paraId="557E919B" w14:textId="77777777" w:rsidR="00D03FC3" w:rsidRPr="00A56C3A" w:rsidRDefault="00D03FC3" w:rsidP="00B10CB3">
            <w:pPr>
              <w:pBdr>
                <w:bottom w:val="single" w:sz="4" w:space="1" w:color="auto"/>
              </w:pBdr>
              <w:rPr>
                <w:sz w:val="18"/>
                <w:szCs w:val="18"/>
                <w:rtl/>
              </w:rPr>
            </w:pPr>
            <w:r w:rsidRPr="00A56C3A">
              <w:rPr>
                <w:rFonts w:hint="cs"/>
                <w:sz w:val="18"/>
                <w:szCs w:val="18"/>
                <w:rtl/>
              </w:rPr>
              <w:t xml:space="preserve"> 0</w:t>
            </w:r>
          </w:p>
        </w:tc>
        <w:tc>
          <w:tcPr>
            <w:tcW w:w="417" w:type="pct"/>
            <w:shd w:val="clear" w:color="auto" w:fill="auto"/>
            <w:vAlign w:val="bottom"/>
            <w:hideMark/>
          </w:tcPr>
          <w:p w14:paraId="73A4D1C7" w14:textId="77777777" w:rsidR="00D03FC3" w:rsidRPr="00A56C3A" w:rsidRDefault="00D03FC3" w:rsidP="00B10CB3">
            <w:pPr>
              <w:pBdr>
                <w:bottom w:val="single" w:sz="4" w:space="1" w:color="auto"/>
              </w:pBdr>
              <w:rPr>
                <w:sz w:val="18"/>
                <w:szCs w:val="18"/>
                <w:rtl/>
              </w:rPr>
            </w:pPr>
            <w:r w:rsidRPr="00A56C3A">
              <w:rPr>
                <w:rFonts w:hint="cs"/>
                <w:sz w:val="18"/>
                <w:szCs w:val="18"/>
                <w:rtl/>
              </w:rPr>
              <w:t xml:space="preserve"> 0</w:t>
            </w:r>
          </w:p>
        </w:tc>
        <w:tc>
          <w:tcPr>
            <w:tcW w:w="415" w:type="pct"/>
            <w:shd w:val="clear" w:color="auto" w:fill="auto"/>
            <w:vAlign w:val="bottom"/>
            <w:hideMark/>
          </w:tcPr>
          <w:p w14:paraId="1510C3C5" w14:textId="77777777" w:rsidR="00D03FC3" w:rsidRPr="00A56C3A" w:rsidRDefault="00D03FC3" w:rsidP="00B10CB3">
            <w:pPr>
              <w:pBdr>
                <w:bottom w:val="single" w:sz="4" w:space="1" w:color="auto"/>
              </w:pBdr>
              <w:rPr>
                <w:sz w:val="18"/>
                <w:szCs w:val="18"/>
                <w:rtl/>
              </w:rPr>
            </w:pPr>
            <w:r w:rsidRPr="00A56C3A">
              <w:rPr>
                <w:rFonts w:hint="cs"/>
                <w:sz w:val="18"/>
                <w:szCs w:val="18"/>
                <w:rtl/>
              </w:rPr>
              <w:t xml:space="preserve"> 0</w:t>
            </w:r>
          </w:p>
        </w:tc>
        <w:tc>
          <w:tcPr>
            <w:tcW w:w="418" w:type="pct"/>
            <w:shd w:val="clear" w:color="auto" w:fill="auto"/>
            <w:vAlign w:val="bottom"/>
          </w:tcPr>
          <w:p w14:paraId="3F331570" w14:textId="77777777" w:rsidR="00D03FC3" w:rsidRPr="00A56C3A" w:rsidRDefault="00D03FC3" w:rsidP="00B10CB3">
            <w:pPr>
              <w:pBdr>
                <w:bottom w:val="single" w:sz="4" w:space="1" w:color="auto"/>
              </w:pBdr>
              <w:rPr>
                <w:sz w:val="18"/>
                <w:szCs w:val="18"/>
                <w:rtl/>
              </w:rPr>
            </w:pPr>
            <w:r w:rsidRPr="00A56C3A">
              <w:rPr>
                <w:rFonts w:hint="cs"/>
                <w:sz w:val="18"/>
                <w:szCs w:val="18"/>
                <w:rtl/>
              </w:rPr>
              <w:t xml:space="preserve"> 0</w:t>
            </w:r>
          </w:p>
        </w:tc>
        <w:tc>
          <w:tcPr>
            <w:tcW w:w="348" w:type="pct"/>
            <w:shd w:val="clear" w:color="auto" w:fill="auto"/>
            <w:vAlign w:val="bottom"/>
            <w:hideMark/>
          </w:tcPr>
          <w:p w14:paraId="25CA3E5C" w14:textId="77777777" w:rsidR="00D03FC3" w:rsidRPr="00A56C3A" w:rsidRDefault="00D03FC3" w:rsidP="00B10CB3">
            <w:pPr>
              <w:pBdr>
                <w:bottom w:val="single" w:sz="4" w:space="1" w:color="auto"/>
              </w:pBdr>
              <w:rPr>
                <w:sz w:val="18"/>
                <w:szCs w:val="18"/>
                <w:rtl/>
              </w:rPr>
            </w:pPr>
            <w:r w:rsidRPr="00A56C3A">
              <w:rPr>
                <w:rFonts w:hint="cs"/>
                <w:sz w:val="18"/>
                <w:szCs w:val="18"/>
                <w:rtl/>
              </w:rPr>
              <w:t xml:space="preserve"> 0</w:t>
            </w:r>
          </w:p>
        </w:tc>
        <w:tc>
          <w:tcPr>
            <w:tcW w:w="341" w:type="pct"/>
            <w:shd w:val="clear" w:color="auto" w:fill="auto"/>
            <w:vAlign w:val="bottom"/>
            <w:hideMark/>
          </w:tcPr>
          <w:p w14:paraId="5AC70CA3" w14:textId="77777777" w:rsidR="00D03FC3" w:rsidRPr="00A56C3A" w:rsidRDefault="00D03FC3" w:rsidP="00B10CB3">
            <w:pPr>
              <w:pBdr>
                <w:bottom w:val="single" w:sz="4" w:space="1" w:color="auto"/>
              </w:pBdr>
              <w:rPr>
                <w:sz w:val="18"/>
                <w:szCs w:val="18"/>
                <w:rtl/>
              </w:rPr>
            </w:pPr>
            <w:r w:rsidRPr="00A56C3A">
              <w:rPr>
                <w:rFonts w:hint="cs"/>
                <w:sz w:val="18"/>
                <w:szCs w:val="18"/>
                <w:rtl/>
              </w:rPr>
              <w:t xml:space="preserve"> 0</w:t>
            </w:r>
          </w:p>
        </w:tc>
      </w:tr>
      <w:tr w:rsidR="00D03FC3" w:rsidRPr="00A56C3A" w14:paraId="1F609957" w14:textId="77777777" w:rsidTr="006D2BE9">
        <w:trPr>
          <w:trHeight w:val="259"/>
        </w:trPr>
        <w:tc>
          <w:tcPr>
            <w:tcW w:w="347" w:type="pct"/>
            <w:shd w:val="clear" w:color="auto" w:fill="auto"/>
          </w:tcPr>
          <w:p w14:paraId="3095673F" w14:textId="77777777" w:rsidR="00D03FC3" w:rsidRPr="00A56C3A" w:rsidRDefault="00D03FC3" w:rsidP="00B10CB3">
            <w:pPr>
              <w:rPr>
                <w:sz w:val="18"/>
                <w:szCs w:val="18"/>
                <w:rtl/>
              </w:rPr>
            </w:pPr>
          </w:p>
        </w:tc>
        <w:tc>
          <w:tcPr>
            <w:tcW w:w="1951" w:type="pct"/>
            <w:shd w:val="clear" w:color="auto" w:fill="auto"/>
            <w:vAlign w:val="bottom"/>
            <w:hideMark/>
          </w:tcPr>
          <w:p w14:paraId="0C659472" w14:textId="77777777" w:rsidR="00D03FC3" w:rsidRPr="00D03FC3" w:rsidRDefault="00D03FC3" w:rsidP="001E1FDE">
            <w:pPr>
              <w:jc w:val="left"/>
              <w:rPr>
                <w:color w:val="000000"/>
                <w:sz w:val="18"/>
                <w:szCs w:val="18"/>
                <w:rtl/>
                <w:lang w:eastAsia="he-IL"/>
              </w:rPr>
            </w:pPr>
            <w:r w:rsidRPr="00D03FC3">
              <w:rPr>
                <w:rFonts w:hint="cs"/>
                <w:color w:val="000000"/>
                <w:sz w:val="18"/>
                <w:szCs w:val="18"/>
                <w:rtl/>
                <w:lang w:eastAsia="he-IL"/>
              </w:rPr>
              <w:t>סך הכל סיכון אשראי בגין מכשירים נגזרים</w:t>
            </w:r>
          </w:p>
        </w:tc>
        <w:tc>
          <w:tcPr>
            <w:tcW w:w="415" w:type="pct"/>
            <w:shd w:val="clear" w:color="auto" w:fill="auto"/>
            <w:vAlign w:val="bottom"/>
            <w:hideMark/>
          </w:tcPr>
          <w:p w14:paraId="2FFC85D9" w14:textId="77777777" w:rsidR="00D03FC3" w:rsidRPr="00A56C3A" w:rsidRDefault="00D03FC3" w:rsidP="00B10CB3">
            <w:pPr>
              <w:pBdr>
                <w:bottom w:val="double" w:sz="4" w:space="1" w:color="auto"/>
              </w:pBdr>
              <w:rPr>
                <w:sz w:val="18"/>
                <w:szCs w:val="18"/>
                <w:rtl/>
              </w:rPr>
            </w:pPr>
            <w:r w:rsidRPr="00A56C3A">
              <w:rPr>
                <w:rFonts w:hint="cs"/>
                <w:sz w:val="18"/>
                <w:szCs w:val="18"/>
                <w:rtl/>
              </w:rPr>
              <w:t xml:space="preserve"> 0</w:t>
            </w:r>
          </w:p>
        </w:tc>
        <w:tc>
          <w:tcPr>
            <w:tcW w:w="349" w:type="pct"/>
            <w:shd w:val="clear" w:color="auto" w:fill="auto"/>
            <w:vAlign w:val="bottom"/>
            <w:hideMark/>
          </w:tcPr>
          <w:p w14:paraId="05A7A4A9" w14:textId="77777777" w:rsidR="00D03FC3" w:rsidRPr="00A56C3A" w:rsidRDefault="00D03FC3" w:rsidP="00B10CB3">
            <w:pPr>
              <w:pBdr>
                <w:bottom w:val="double" w:sz="4" w:space="1" w:color="auto"/>
              </w:pBdr>
              <w:rPr>
                <w:sz w:val="18"/>
                <w:szCs w:val="18"/>
                <w:rtl/>
              </w:rPr>
            </w:pPr>
            <w:r w:rsidRPr="00A56C3A">
              <w:rPr>
                <w:rFonts w:hint="cs"/>
                <w:sz w:val="18"/>
                <w:szCs w:val="18"/>
                <w:rtl/>
              </w:rPr>
              <w:t xml:space="preserve"> 0</w:t>
            </w:r>
          </w:p>
        </w:tc>
        <w:tc>
          <w:tcPr>
            <w:tcW w:w="417" w:type="pct"/>
            <w:shd w:val="clear" w:color="auto" w:fill="auto"/>
            <w:vAlign w:val="bottom"/>
            <w:hideMark/>
          </w:tcPr>
          <w:p w14:paraId="0B649E2C" w14:textId="77777777" w:rsidR="00D03FC3" w:rsidRPr="00A56C3A" w:rsidRDefault="00D03FC3" w:rsidP="00B10CB3">
            <w:pPr>
              <w:pBdr>
                <w:bottom w:val="double" w:sz="4" w:space="1" w:color="auto"/>
              </w:pBdr>
              <w:rPr>
                <w:sz w:val="18"/>
                <w:szCs w:val="18"/>
                <w:rtl/>
              </w:rPr>
            </w:pPr>
            <w:r w:rsidRPr="00A56C3A">
              <w:rPr>
                <w:rFonts w:hint="cs"/>
                <w:sz w:val="18"/>
                <w:szCs w:val="18"/>
                <w:rtl/>
              </w:rPr>
              <w:t xml:space="preserve"> 0</w:t>
            </w:r>
          </w:p>
        </w:tc>
        <w:tc>
          <w:tcPr>
            <w:tcW w:w="415" w:type="pct"/>
            <w:shd w:val="clear" w:color="auto" w:fill="auto"/>
            <w:vAlign w:val="bottom"/>
            <w:hideMark/>
          </w:tcPr>
          <w:p w14:paraId="2E14A8FF" w14:textId="77777777" w:rsidR="00D03FC3" w:rsidRPr="00A56C3A" w:rsidRDefault="00D03FC3" w:rsidP="00B10CB3">
            <w:pPr>
              <w:pBdr>
                <w:bottom w:val="double" w:sz="4" w:space="1" w:color="auto"/>
              </w:pBdr>
              <w:rPr>
                <w:sz w:val="18"/>
                <w:szCs w:val="18"/>
                <w:rtl/>
              </w:rPr>
            </w:pPr>
            <w:r w:rsidRPr="00A56C3A">
              <w:rPr>
                <w:rFonts w:hint="cs"/>
                <w:sz w:val="18"/>
                <w:szCs w:val="18"/>
                <w:rtl/>
              </w:rPr>
              <w:t xml:space="preserve"> 0</w:t>
            </w:r>
          </w:p>
        </w:tc>
        <w:tc>
          <w:tcPr>
            <w:tcW w:w="418" w:type="pct"/>
            <w:shd w:val="clear" w:color="auto" w:fill="auto"/>
            <w:vAlign w:val="bottom"/>
          </w:tcPr>
          <w:p w14:paraId="69A3FC27" w14:textId="77777777" w:rsidR="00D03FC3" w:rsidRPr="00A56C3A" w:rsidRDefault="00D03FC3" w:rsidP="00B10CB3">
            <w:pPr>
              <w:pBdr>
                <w:bottom w:val="double" w:sz="4" w:space="1" w:color="auto"/>
              </w:pBdr>
              <w:rPr>
                <w:sz w:val="18"/>
                <w:szCs w:val="18"/>
                <w:rtl/>
              </w:rPr>
            </w:pPr>
            <w:r w:rsidRPr="00A56C3A">
              <w:rPr>
                <w:rFonts w:hint="cs"/>
                <w:sz w:val="18"/>
                <w:szCs w:val="18"/>
                <w:rtl/>
              </w:rPr>
              <w:t xml:space="preserve"> 0</w:t>
            </w:r>
          </w:p>
        </w:tc>
        <w:tc>
          <w:tcPr>
            <w:tcW w:w="348" w:type="pct"/>
            <w:shd w:val="clear" w:color="auto" w:fill="auto"/>
            <w:vAlign w:val="bottom"/>
            <w:hideMark/>
          </w:tcPr>
          <w:p w14:paraId="530D42E0" w14:textId="77777777" w:rsidR="00D03FC3" w:rsidRPr="00A56C3A" w:rsidRDefault="00D03FC3" w:rsidP="00B10CB3">
            <w:pPr>
              <w:pBdr>
                <w:bottom w:val="double" w:sz="4" w:space="1" w:color="auto"/>
              </w:pBdr>
              <w:rPr>
                <w:sz w:val="18"/>
                <w:szCs w:val="18"/>
                <w:rtl/>
              </w:rPr>
            </w:pPr>
            <w:r w:rsidRPr="00A56C3A">
              <w:rPr>
                <w:rFonts w:hint="cs"/>
                <w:sz w:val="18"/>
                <w:szCs w:val="18"/>
                <w:rtl/>
              </w:rPr>
              <w:t xml:space="preserve"> 0</w:t>
            </w:r>
          </w:p>
        </w:tc>
        <w:tc>
          <w:tcPr>
            <w:tcW w:w="341" w:type="pct"/>
            <w:shd w:val="clear" w:color="auto" w:fill="auto"/>
            <w:vAlign w:val="bottom"/>
            <w:hideMark/>
          </w:tcPr>
          <w:p w14:paraId="3ECB7BFE" w14:textId="77777777" w:rsidR="00D03FC3" w:rsidRPr="00A56C3A" w:rsidRDefault="00D03FC3" w:rsidP="00B10CB3">
            <w:pPr>
              <w:pBdr>
                <w:bottom w:val="double" w:sz="4" w:space="1" w:color="auto"/>
              </w:pBdr>
              <w:rPr>
                <w:sz w:val="18"/>
                <w:szCs w:val="18"/>
                <w:rtl/>
              </w:rPr>
            </w:pPr>
            <w:r w:rsidRPr="00A56C3A">
              <w:rPr>
                <w:rFonts w:hint="cs"/>
                <w:sz w:val="18"/>
                <w:szCs w:val="18"/>
                <w:rtl/>
              </w:rPr>
              <w:t xml:space="preserve"> 0</w:t>
            </w:r>
          </w:p>
        </w:tc>
      </w:tr>
      <w:tr w:rsidR="00D03FC3" w:rsidRPr="00A56C3A" w14:paraId="44FEFF7E" w14:textId="77777777" w:rsidTr="006D2BE9">
        <w:trPr>
          <w:trHeight w:val="117"/>
        </w:trPr>
        <w:tc>
          <w:tcPr>
            <w:tcW w:w="347" w:type="pct"/>
            <w:shd w:val="clear" w:color="auto" w:fill="auto"/>
          </w:tcPr>
          <w:p w14:paraId="57E75ED1" w14:textId="77777777" w:rsidR="00D03FC3" w:rsidRPr="00A56C3A" w:rsidRDefault="00D03FC3" w:rsidP="00B10CB3">
            <w:pPr>
              <w:bidi w:val="0"/>
              <w:spacing w:before="40" w:line="120" w:lineRule="exact"/>
              <w:rPr>
                <w:sz w:val="18"/>
                <w:szCs w:val="18"/>
                <w:rtl/>
              </w:rPr>
            </w:pPr>
          </w:p>
        </w:tc>
        <w:tc>
          <w:tcPr>
            <w:tcW w:w="1951" w:type="pct"/>
            <w:shd w:val="clear" w:color="auto" w:fill="auto"/>
            <w:vAlign w:val="bottom"/>
          </w:tcPr>
          <w:p w14:paraId="037AD1C7" w14:textId="77777777" w:rsidR="00D03FC3" w:rsidRPr="00D03FC3" w:rsidRDefault="00D03FC3" w:rsidP="00B10CB3">
            <w:pPr>
              <w:bidi w:val="0"/>
              <w:spacing w:before="40" w:line="120" w:lineRule="exact"/>
              <w:ind w:left="382" w:hanging="144"/>
              <w:rPr>
                <w:color w:val="000000"/>
                <w:sz w:val="18"/>
                <w:szCs w:val="18"/>
                <w:rtl/>
                <w:lang w:eastAsia="he-IL"/>
              </w:rPr>
            </w:pPr>
          </w:p>
        </w:tc>
        <w:tc>
          <w:tcPr>
            <w:tcW w:w="415" w:type="pct"/>
            <w:shd w:val="clear" w:color="auto" w:fill="auto"/>
            <w:vAlign w:val="bottom"/>
          </w:tcPr>
          <w:p w14:paraId="19CE807C" w14:textId="77777777" w:rsidR="00D03FC3" w:rsidRPr="00A56C3A" w:rsidRDefault="00D03FC3" w:rsidP="00B10CB3">
            <w:pPr>
              <w:bidi w:val="0"/>
              <w:spacing w:before="40" w:line="120" w:lineRule="exact"/>
              <w:rPr>
                <w:sz w:val="18"/>
                <w:szCs w:val="18"/>
                <w:rtl/>
              </w:rPr>
            </w:pPr>
          </w:p>
        </w:tc>
        <w:tc>
          <w:tcPr>
            <w:tcW w:w="349" w:type="pct"/>
            <w:shd w:val="clear" w:color="auto" w:fill="auto"/>
            <w:vAlign w:val="bottom"/>
          </w:tcPr>
          <w:p w14:paraId="2223C993" w14:textId="77777777" w:rsidR="00D03FC3" w:rsidRPr="00A56C3A" w:rsidRDefault="00D03FC3" w:rsidP="00B10CB3">
            <w:pPr>
              <w:bidi w:val="0"/>
              <w:spacing w:before="40" w:line="120" w:lineRule="exact"/>
              <w:rPr>
                <w:sz w:val="18"/>
                <w:szCs w:val="18"/>
                <w:rtl/>
              </w:rPr>
            </w:pPr>
          </w:p>
        </w:tc>
        <w:tc>
          <w:tcPr>
            <w:tcW w:w="417" w:type="pct"/>
            <w:shd w:val="clear" w:color="auto" w:fill="auto"/>
            <w:vAlign w:val="bottom"/>
          </w:tcPr>
          <w:p w14:paraId="51F8CC8A" w14:textId="77777777" w:rsidR="00D03FC3" w:rsidRPr="00A56C3A" w:rsidRDefault="00D03FC3" w:rsidP="00B10CB3">
            <w:pPr>
              <w:bidi w:val="0"/>
              <w:spacing w:before="40" w:line="120" w:lineRule="exact"/>
              <w:rPr>
                <w:sz w:val="18"/>
                <w:szCs w:val="18"/>
                <w:rtl/>
              </w:rPr>
            </w:pPr>
          </w:p>
        </w:tc>
        <w:tc>
          <w:tcPr>
            <w:tcW w:w="415" w:type="pct"/>
            <w:shd w:val="clear" w:color="auto" w:fill="auto"/>
            <w:vAlign w:val="bottom"/>
          </w:tcPr>
          <w:p w14:paraId="50CBB68E" w14:textId="77777777" w:rsidR="00D03FC3" w:rsidRPr="00A56C3A" w:rsidRDefault="00D03FC3" w:rsidP="00B10CB3">
            <w:pPr>
              <w:bidi w:val="0"/>
              <w:spacing w:before="40" w:line="120" w:lineRule="exact"/>
              <w:rPr>
                <w:sz w:val="18"/>
                <w:szCs w:val="18"/>
                <w:rtl/>
              </w:rPr>
            </w:pPr>
          </w:p>
        </w:tc>
        <w:tc>
          <w:tcPr>
            <w:tcW w:w="418" w:type="pct"/>
            <w:shd w:val="clear" w:color="auto" w:fill="auto"/>
            <w:vAlign w:val="bottom"/>
          </w:tcPr>
          <w:p w14:paraId="3227390F" w14:textId="77777777" w:rsidR="00D03FC3" w:rsidRPr="00A56C3A" w:rsidRDefault="00D03FC3" w:rsidP="00B10CB3">
            <w:pPr>
              <w:bidi w:val="0"/>
              <w:spacing w:before="40" w:line="120" w:lineRule="exact"/>
              <w:rPr>
                <w:sz w:val="18"/>
                <w:szCs w:val="18"/>
                <w:rtl/>
              </w:rPr>
            </w:pPr>
          </w:p>
        </w:tc>
        <w:tc>
          <w:tcPr>
            <w:tcW w:w="348" w:type="pct"/>
            <w:shd w:val="clear" w:color="auto" w:fill="auto"/>
            <w:vAlign w:val="bottom"/>
          </w:tcPr>
          <w:p w14:paraId="25C4B544" w14:textId="77777777" w:rsidR="00D03FC3" w:rsidRPr="00A56C3A" w:rsidRDefault="00D03FC3" w:rsidP="00B10CB3">
            <w:pPr>
              <w:bidi w:val="0"/>
              <w:spacing w:before="40" w:line="120" w:lineRule="exact"/>
              <w:rPr>
                <w:sz w:val="18"/>
                <w:szCs w:val="18"/>
                <w:rtl/>
              </w:rPr>
            </w:pPr>
          </w:p>
        </w:tc>
        <w:tc>
          <w:tcPr>
            <w:tcW w:w="341" w:type="pct"/>
            <w:shd w:val="clear" w:color="auto" w:fill="auto"/>
            <w:vAlign w:val="bottom"/>
          </w:tcPr>
          <w:p w14:paraId="066AA9C1" w14:textId="77777777" w:rsidR="00D03FC3" w:rsidRPr="00A56C3A" w:rsidRDefault="00D03FC3" w:rsidP="00B10CB3">
            <w:pPr>
              <w:bidi w:val="0"/>
              <w:spacing w:before="40" w:line="120" w:lineRule="exact"/>
              <w:rPr>
                <w:sz w:val="18"/>
                <w:szCs w:val="18"/>
                <w:rtl/>
              </w:rPr>
            </w:pPr>
          </w:p>
        </w:tc>
      </w:tr>
      <w:tr w:rsidR="00D03FC3" w:rsidRPr="00A56C3A" w14:paraId="6AEF2CB0" w14:textId="77777777" w:rsidTr="006D2BE9">
        <w:trPr>
          <w:trHeight w:val="401"/>
        </w:trPr>
        <w:tc>
          <w:tcPr>
            <w:tcW w:w="347" w:type="pct"/>
            <w:shd w:val="clear" w:color="auto" w:fill="auto"/>
          </w:tcPr>
          <w:p w14:paraId="605BECCB" w14:textId="77777777" w:rsidR="00D03FC3" w:rsidRPr="00A56C3A" w:rsidRDefault="00D03FC3" w:rsidP="00B10CB3">
            <w:pPr>
              <w:bidi w:val="0"/>
              <w:rPr>
                <w:sz w:val="18"/>
                <w:szCs w:val="18"/>
                <w:rtl/>
              </w:rPr>
            </w:pPr>
          </w:p>
        </w:tc>
        <w:tc>
          <w:tcPr>
            <w:tcW w:w="1951" w:type="pct"/>
            <w:shd w:val="clear" w:color="auto" w:fill="auto"/>
            <w:vAlign w:val="bottom"/>
            <w:hideMark/>
          </w:tcPr>
          <w:p w14:paraId="7F7349CF" w14:textId="77777777" w:rsidR="00D03FC3" w:rsidRPr="00D03FC3" w:rsidRDefault="00D03FC3" w:rsidP="001E1FDE">
            <w:pPr>
              <w:jc w:val="left"/>
              <w:rPr>
                <w:color w:val="000000"/>
                <w:sz w:val="18"/>
                <w:szCs w:val="18"/>
                <w:rtl/>
                <w:lang w:eastAsia="he-IL"/>
              </w:rPr>
            </w:pPr>
            <w:r w:rsidRPr="00D03FC3">
              <w:rPr>
                <w:rFonts w:hint="cs"/>
                <w:color w:val="000000"/>
                <w:sz w:val="18"/>
                <w:szCs w:val="18"/>
                <w:rtl/>
                <w:lang w:eastAsia="he-IL"/>
              </w:rPr>
              <w:t>יתרה מאזנית של התחייבויות בגין מכשירים נגזרים</w:t>
            </w:r>
            <w:r w:rsidRPr="00D03FC3">
              <w:rPr>
                <w:color w:val="000000"/>
                <w:sz w:val="18"/>
                <w:szCs w:val="18"/>
                <w:lang w:eastAsia="he-IL"/>
              </w:rPr>
              <w:t xml:space="preserve">  </w:t>
            </w:r>
          </w:p>
        </w:tc>
        <w:tc>
          <w:tcPr>
            <w:tcW w:w="415" w:type="pct"/>
            <w:shd w:val="clear" w:color="auto" w:fill="auto"/>
            <w:vAlign w:val="bottom"/>
            <w:hideMark/>
          </w:tcPr>
          <w:p w14:paraId="04E37833" w14:textId="77777777" w:rsidR="00D03FC3" w:rsidRPr="00A56C3A" w:rsidRDefault="00D03FC3" w:rsidP="00B10CB3">
            <w:pPr>
              <w:rPr>
                <w:sz w:val="18"/>
                <w:szCs w:val="18"/>
              </w:rPr>
            </w:pPr>
            <w:r w:rsidRPr="00A56C3A">
              <w:rPr>
                <w:rFonts w:hint="cs"/>
                <w:sz w:val="18"/>
                <w:szCs w:val="18"/>
                <w:rtl/>
              </w:rPr>
              <w:t xml:space="preserve"> 0</w:t>
            </w:r>
          </w:p>
        </w:tc>
        <w:tc>
          <w:tcPr>
            <w:tcW w:w="349" w:type="pct"/>
            <w:shd w:val="clear" w:color="auto" w:fill="auto"/>
            <w:vAlign w:val="bottom"/>
            <w:hideMark/>
          </w:tcPr>
          <w:p w14:paraId="2586E285" w14:textId="77777777" w:rsidR="00D03FC3" w:rsidRPr="00A56C3A" w:rsidRDefault="00D03FC3" w:rsidP="00B10CB3">
            <w:pPr>
              <w:rPr>
                <w:sz w:val="18"/>
                <w:szCs w:val="18"/>
                <w:rtl/>
              </w:rPr>
            </w:pPr>
            <w:r w:rsidRPr="00A56C3A">
              <w:rPr>
                <w:rFonts w:hint="cs"/>
                <w:sz w:val="18"/>
                <w:szCs w:val="18"/>
                <w:rtl/>
              </w:rPr>
              <w:t xml:space="preserve"> 0</w:t>
            </w:r>
          </w:p>
        </w:tc>
        <w:tc>
          <w:tcPr>
            <w:tcW w:w="417" w:type="pct"/>
            <w:shd w:val="clear" w:color="auto" w:fill="auto"/>
            <w:vAlign w:val="bottom"/>
            <w:hideMark/>
          </w:tcPr>
          <w:p w14:paraId="42ACBF50" w14:textId="77777777" w:rsidR="00D03FC3" w:rsidRPr="00A56C3A" w:rsidRDefault="00D03FC3" w:rsidP="00B10CB3">
            <w:pPr>
              <w:rPr>
                <w:sz w:val="18"/>
                <w:szCs w:val="18"/>
                <w:rtl/>
              </w:rPr>
            </w:pPr>
            <w:r w:rsidRPr="00A56C3A">
              <w:rPr>
                <w:rFonts w:hint="cs"/>
                <w:sz w:val="18"/>
                <w:szCs w:val="18"/>
                <w:rtl/>
              </w:rPr>
              <w:t xml:space="preserve"> 0</w:t>
            </w:r>
          </w:p>
        </w:tc>
        <w:tc>
          <w:tcPr>
            <w:tcW w:w="415" w:type="pct"/>
            <w:shd w:val="clear" w:color="auto" w:fill="auto"/>
            <w:vAlign w:val="bottom"/>
            <w:hideMark/>
          </w:tcPr>
          <w:p w14:paraId="78344656" w14:textId="77777777" w:rsidR="00D03FC3" w:rsidRPr="00A56C3A" w:rsidRDefault="00D03FC3" w:rsidP="00B10CB3">
            <w:pPr>
              <w:rPr>
                <w:sz w:val="18"/>
                <w:szCs w:val="18"/>
                <w:rtl/>
              </w:rPr>
            </w:pPr>
            <w:r w:rsidRPr="00A56C3A">
              <w:rPr>
                <w:rFonts w:hint="cs"/>
                <w:sz w:val="18"/>
                <w:szCs w:val="18"/>
                <w:rtl/>
              </w:rPr>
              <w:t xml:space="preserve"> 0</w:t>
            </w:r>
          </w:p>
        </w:tc>
        <w:tc>
          <w:tcPr>
            <w:tcW w:w="418" w:type="pct"/>
            <w:shd w:val="clear" w:color="auto" w:fill="auto"/>
            <w:vAlign w:val="bottom"/>
          </w:tcPr>
          <w:p w14:paraId="087B4F20" w14:textId="77777777" w:rsidR="00D03FC3" w:rsidRPr="00A56C3A" w:rsidRDefault="00D03FC3" w:rsidP="00B10CB3">
            <w:pPr>
              <w:rPr>
                <w:sz w:val="18"/>
                <w:szCs w:val="18"/>
                <w:rtl/>
              </w:rPr>
            </w:pPr>
            <w:r w:rsidRPr="00A56C3A">
              <w:rPr>
                <w:rFonts w:hint="cs"/>
                <w:sz w:val="18"/>
                <w:szCs w:val="18"/>
                <w:rtl/>
              </w:rPr>
              <w:t xml:space="preserve"> 0</w:t>
            </w:r>
          </w:p>
        </w:tc>
        <w:tc>
          <w:tcPr>
            <w:tcW w:w="348" w:type="pct"/>
            <w:shd w:val="clear" w:color="auto" w:fill="auto"/>
            <w:vAlign w:val="bottom"/>
            <w:hideMark/>
          </w:tcPr>
          <w:p w14:paraId="7D973817" w14:textId="77777777" w:rsidR="00D03FC3" w:rsidRPr="00A56C3A" w:rsidRDefault="00D03FC3" w:rsidP="00B10CB3">
            <w:pPr>
              <w:rPr>
                <w:sz w:val="18"/>
                <w:szCs w:val="18"/>
                <w:rtl/>
              </w:rPr>
            </w:pPr>
            <w:r w:rsidRPr="00A56C3A">
              <w:rPr>
                <w:rFonts w:hint="cs"/>
                <w:sz w:val="18"/>
                <w:szCs w:val="18"/>
                <w:rtl/>
              </w:rPr>
              <w:t xml:space="preserve"> 0</w:t>
            </w:r>
          </w:p>
        </w:tc>
        <w:tc>
          <w:tcPr>
            <w:tcW w:w="341" w:type="pct"/>
            <w:shd w:val="clear" w:color="auto" w:fill="auto"/>
            <w:vAlign w:val="bottom"/>
            <w:hideMark/>
          </w:tcPr>
          <w:p w14:paraId="2D4FD6C6" w14:textId="77777777" w:rsidR="00D03FC3" w:rsidRPr="00A56C3A" w:rsidRDefault="00D03FC3" w:rsidP="00B10CB3">
            <w:pPr>
              <w:rPr>
                <w:sz w:val="18"/>
                <w:szCs w:val="18"/>
                <w:rtl/>
              </w:rPr>
            </w:pPr>
            <w:r w:rsidRPr="00A56C3A">
              <w:rPr>
                <w:rFonts w:hint="cs"/>
                <w:sz w:val="18"/>
                <w:szCs w:val="18"/>
                <w:rtl/>
              </w:rPr>
              <w:t xml:space="preserve"> 0</w:t>
            </w:r>
          </w:p>
        </w:tc>
      </w:tr>
      <w:tr w:rsidR="00D03FC3" w:rsidRPr="00A56C3A" w14:paraId="34C67E18" w14:textId="77777777" w:rsidTr="006D2BE9">
        <w:trPr>
          <w:trHeight w:val="259"/>
        </w:trPr>
        <w:tc>
          <w:tcPr>
            <w:tcW w:w="347" w:type="pct"/>
            <w:vMerge w:val="restart"/>
            <w:shd w:val="clear" w:color="auto" w:fill="auto"/>
          </w:tcPr>
          <w:p w14:paraId="74925611" w14:textId="77777777" w:rsidR="00D03FC3" w:rsidRPr="00A56C3A" w:rsidRDefault="00D03FC3" w:rsidP="00B10CB3">
            <w:pPr>
              <w:spacing w:before="60"/>
              <w:jc w:val="left"/>
              <w:rPr>
                <w:color w:val="000000"/>
                <w:spacing w:val="-6"/>
                <w:sz w:val="18"/>
                <w:szCs w:val="18"/>
                <w:rtl/>
                <w:lang w:eastAsia="he-IL"/>
              </w:rPr>
            </w:pPr>
          </w:p>
        </w:tc>
        <w:tc>
          <w:tcPr>
            <w:tcW w:w="1951" w:type="pct"/>
            <w:shd w:val="clear" w:color="auto" w:fill="auto"/>
            <w:vAlign w:val="center"/>
            <w:hideMark/>
          </w:tcPr>
          <w:p w14:paraId="795FB7CF" w14:textId="77777777" w:rsidR="00D03FC3" w:rsidRPr="00D03FC3" w:rsidRDefault="00D03FC3" w:rsidP="00B10CB3">
            <w:pPr>
              <w:ind w:left="144" w:hanging="144"/>
              <w:jc w:val="left"/>
              <w:rPr>
                <w:color w:val="000000"/>
                <w:sz w:val="18"/>
                <w:szCs w:val="18"/>
                <w:rtl/>
                <w:lang w:eastAsia="he-IL"/>
              </w:rPr>
            </w:pPr>
            <w:r w:rsidRPr="00D03FC3">
              <w:rPr>
                <w:rFonts w:hint="cs"/>
                <w:color w:val="000000"/>
                <w:sz w:val="18"/>
                <w:szCs w:val="18"/>
                <w:u w:val="single"/>
                <w:rtl/>
                <w:lang w:eastAsia="he-IL"/>
              </w:rPr>
              <w:t>סכומים ברוטו שלא קוזזו במאזן</w:t>
            </w:r>
            <w:r w:rsidRPr="00D03FC3">
              <w:rPr>
                <w:rFonts w:hint="cs"/>
                <w:color w:val="000000"/>
                <w:sz w:val="18"/>
                <w:szCs w:val="18"/>
                <w:rtl/>
                <w:lang w:eastAsia="he-IL"/>
              </w:rPr>
              <w:t>:</w:t>
            </w:r>
          </w:p>
        </w:tc>
        <w:tc>
          <w:tcPr>
            <w:tcW w:w="415" w:type="pct"/>
            <w:shd w:val="clear" w:color="auto" w:fill="auto"/>
            <w:vAlign w:val="bottom"/>
          </w:tcPr>
          <w:p w14:paraId="681B7B87" w14:textId="77777777" w:rsidR="00D03FC3" w:rsidRPr="00A56C3A" w:rsidRDefault="00D03FC3" w:rsidP="00B10CB3">
            <w:pPr>
              <w:rPr>
                <w:sz w:val="18"/>
                <w:szCs w:val="18"/>
                <w:rtl/>
              </w:rPr>
            </w:pPr>
          </w:p>
        </w:tc>
        <w:tc>
          <w:tcPr>
            <w:tcW w:w="349" w:type="pct"/>
            <w:shd w:val="clear" w:color="auto" w:fill="auto"/>
            <w:vAlign w:val="bottom"/>
          </w:tcPr>
          <w:p w14:paraId="015EE9A6" w14:textId="77777777" w:rsidR="00D03FC3" w:rsidRPr="00A56C3A" w:rsidRDefault="00D03FC3" w:rsidP="00B10CB3">
            <w:pPr>
              <w:rPr>
                <w:sz w:val="18"/>
                <w:szCs w:val="18"/>
                <w:rtl/>
              </w:rPr>
            </w:pPr>
          </w:p>
        </w:tc>
        <w:tc>
          <w:tcPr>
            <w:tcW w:w="417" w:type="pct"/>
            <w:shd w:val="clear" w:color="auto" w:fill="auto"/>
            <w:vAlign w:val="bottom"/>
          </w:tcPr>
          <w:p w14:paraId="31364598" w14:textId="77777777" w:rsidR="00D03FC3" w:rsidRPr="00A56C3A" w:rsidRDefault="00D03FC3" w:rsidP="00B10CB3">
            <w:pPr>
              <w:rPr>
                <w:sz w:val="18"/>
                <w:szCs w:val="18"/>
                <w:rtl/>
              </w:rPr>
            </w:pPr>
          </w:p>
        </w:tc>
        <w:tc>
          <w:tcPr>
            <w:tcW w:w="415" w:type="pct"/>
            <w:shd w:val="clear" w:color="auto" w:fill="auto"/>
            <w:vAlign w:val="bottom"/>
          </w:tcPr>
          <w:p w14:paraId="0A18AC38" w14:textId="77777777" w:rsidR="00D03FC3" w:rsidRPr="00A56C3A" w:rsidRDefault="00D03FC3" w:rsidP="00B10CB3">
            <w:pPr>
              <w:rPr>
                <w:sz w:val="18"/>
                <w:szCs w:val="18"/>
                <w:rtl/>
              </w:rPr>
            </w:pPr>
          </w:p>
        </w:tc>
        <w:tc>
          <w:tcPr>
            <w:tcW w:w="418" w:type="pct"/>
            <w:shd w:val="clear" w:color="auto" w:fill="auto"/>
            <w:vAlign w:val="bottom"/>
          </w:tcPr>
          <w:p w14:paraId="6F9390B5" w14:textId="77777777" w:rsidR="00D03FC3" w:rsidRPr="00A56C3A" w:rsidRDefault="00D03FC3" w:rsidP="00B10CB3">
            <w:pPr>
              <w:rPr>
                <w:sz w:val="18"/>
                <w:szCs w:val="18"/>
                <w:rtl/>
              </w:rPr>
            </w:pPr>
          </w:p>
        </w:tc>
        <w:tc>
          <w:tcPr>
            <w:tcW w:w="348" w:type="pct"/>
            <w:shd w:val="clear" w:color="auto" w:fill="auto"/>
            <w:vAlign w:val="bottom"/>
          </w:tcPr>
          <w:p w14:paraId="0B236655" w14:textId="77777777" w:rsidR="00D03FC3" w:rsidRPr="00A56C3A" w:rsidRDefault="00D03FC3" w:rsidP="00B10CB3">
            <w:pPr>
              <w:rPr>
                <w:sz w:val="18"/>
                <w:szCs w:val="18"/>
                <w:rtl/>
              </w:rPr>
            </w:pPr>
          </w:p>
        </w:tc>
        <w:tc>
          <w:tcPr>
            <w:tcW w:w="341" w:type="pct"/>
            <w:shd w:val="clear" w:color="auto" w:fill="auto"/>
            <w:vAlign w:val="bottom"/>
          </w:tcPr>
          <w:p w14:paraId="68197C68" w14:textId="77777777" w:rsidR="00D03FC3" w:rsidRPr="00A56C3A" w:rsidRDefault="00D03FC3" w:rsidP="00B10CB3">
            <w:pPr>
              <w:rPr>
                <w:sz w:val="18"/>
                <w:szCs w:val="18"/>
                <w:rtl/>
              </w:rPr>
            </w:pPr>
          </w:p>
        </w:tc>
      </w:tr>
      <w:tr w:rsidR="00D03FC3" w:rsidRPr="00A56C3A" w14:paraId="3ABE29AC" w14:textId="77777777" w:rsidTr="006D2BE9">
        <w:trPr>
          <w:trHeight w:val="259"/>
        </w:trPr>
        <w:tc>
          <w:tcPr>
            <w:tcW w:w="347" w:type="pct"/>
            <w:vMerge/>
            <w:shd w:val="clear" w:color="auto" w:fill="auto"/>
            <w:vAlign w:val="center"/>
            <w:hideMark/>
          </w:tcPr>
          <w:p w14:paraId="3DE0302B" w14:textId="77777777" w:rsidR="00D03FC3" w:rsidRPr="00A56C3A" w:rsidRDefault="00D03FC3" w:rsidP="00B10CB3">
            <w:pPr>
              <w:jc w:val="left"/>
              <w:rPr>
                <w:color w:val="000000"/>
                <w:spacing w:val="-6"/>
                <w:sz w:val="18"/>
                <w:szCs w:val="18"/>
                <w:lang w:eastAsia="he-IL"/>
              </w:rPr>
            </w:pPr>
          </w:p>
        </w:tc>
        <w:tc>
          <w:tcPr>
            <w:tcW w:w="1951" w:type="pct"/>
            <w:shd w:val="clear" w:color="auto" w:fill="auto"/>
            <w:vAlign w:val="center"/>
            <w:hideMark/>
          </w:tcPr>
          <w:p w14:paraId="33853466" w14:textId="77777777" w:rsidR="00D03FC3" w:rsidRPr="00D03FC3" w:rsidRDefault="00D03FC3" w:rsidP="00445BD5">
            <w:pPr>
              <w:ind w:left="170"/>
              <w:jc w:val="left"/>
              <w:rPr>
                <w:b/>
                <w:bCs/>
                <w:sz w:val="18"/>
                <w:szCs w:val="18"/>
                <w:rtl/>
              </w:rPr>
            </w:pPr>
            <w:r w:rsidRPr="00D03FC3">
              <w:rPr>
                <w:rFonts w:hint="cs"/>
                <w:color w:val="000000"/>
                <w:sz w:val="18"/>
                <w:szCs w:val="18"/>
                <w:rtl/>
                <w:lang w:eastAsia="he-IL"/>
              </w:rPr>
              <w:t>מכשירים</w:t>
            </w:r>
            <w:r w:rsidRPr="00D03FC3">
              <w:rPr>
                <w:rFonts w:hint="cs"/>
                <w:sz w:val="18"/>
                <w:szCs w:val="18"/>
                <w:rtl/>
              </w:rPr>
              <w:t xml:space="preserve"> פיננסיים</w:t>
            </w:r>
          </w:p>
        </w:tc>
        <w:tc>
          <w:tcPr>
            <w:tcW w:w="415" w:type="pct"/>
            <w:shd w:val="clear" w:color="auto" w:fill="auto"/>
            <w:vAlign w:val="center"/>
            <w:hideMark/>
          </w:tcPr>
          <w:p w14:paraId="1837F7B0" w14:textId="77777777" w:rsidR="00D03FC3" w:rsidRPr="00A56C3A" w:rsidRDefault="00D03FC3" w:rsidP="00B10CB3">
            <w:pPr>
              <w:rPr>
                <w:sz w:val="18"/>
                <w:szCs w:val="18"/>
                <w:rtl/>
              </w:rPr>
            </w:pPr>
            <w:r w:rsidRPr="00A56C3A">
              <w:rPr>
                <w:rFonts w:hint="cs"/>
                <w:sz w:val="18"/>
                <w:szCs w:val="18"/>
                <w:rtl/>
              </w:rPr>
              <w:t>(0)</w:t>
            </w:r>
          </w:p>
        </w:tc>
        <w:tc>
          <w:tcPr>
            <w:tcW w:w="349" w:type="pct"/>
            <w:shd w:val="clear" w:color="auto" w:fill="auto"/>
            <w:vAlign w:val="center"/>
            <w:hideMark/>
          </w:tcPr>
          <w:p w14:paraId="3625CB1E" w14:textId="77777777" w:rsidR="00D03FC3" w:rsidRPr="00A56C3A" w:rsidRDefault="00D03FC3" w:rsidP="00B10CB3">
            <w:pPr>
              <w:rPr>
                <w:sz w:val="18"/>
                <w:szCs w:val="18"/>
                <w:rtl/>
              </w:rPr>
            </w:pPr>
            <w:r w:rsidRPr="00A56C3A">
              <w:rPr>
                <w:rFonts w:hint="cs"/>
                <w:sz w:val="18"/>
                <w:szCs w:val="18"/>
                <w:rtl/>
              </w:rPr>
              <w:t>(0)</w:t>
            </w:r>
          </w:p>
        </w:tc>
        <w:tc>
          <w:tcPr>
            <w:tcW w:w="417" w:type="pct"/>
            <w:shd w:val="clear" w:color="auto" w:fill="auto"/>
            <w:vAlign w:val="center"/>
            <w:hideMark/>
          </w:tcPr>
          <w:p w14:paraId="62EE0FDE" w14:textId="77777777" w:rsidR="00D03FC3" w:rsidRPr="00A56C3A" w:rsidRDefault="00D03FC3" w:rsidP="00B10CB3">
            <w:pPr>
              <w:rPr>
                <w:sz w:val="18"/>
                <w:szCs w:val="18"/>
                <w:rtl/>
              </w:rPr>
            </w:pPr>
            <w:r w:rsidRPr="00A56C3A">
              <w:rPr>
                <w:rFonts w:hint="cs"/>
                <w:sz w:val="18"/>
                <w:szCs w:val="18"/>
                <w:rtl/>
              </w:rPr>
              <w:t>(0)</w:t>
            </w:r>
          </w:p>
        </w:tc>
        <w:tc>
          <w:tcPr>
            <w:tcW w:w="415" w:type="pct"/>
            <w:shd w:val="clear" w:color="auto" w:fill="auto"/>
            <w:vAlign w:val="center"/>
            <w:hideMark/>
          </w:tcPr>
          <w:p w14:paraId="61E3ACE9" w14:textId="77777777" w:rsidR="00D03FC3" w:rsidRPr="00A56C3A" w:rsidRDefault="00D03FC3" w:rsidP="00B10CB3">
            <w:pPr>
              <w:rPr>
                <w:sz w:val="18"/>
                <w:szCs w:val="18"/>
                <w:rtl/>
              </w:rPr>
            </w:pPr>
            <w:r w:rsidRPr="00A56C3A">
              <w:rPr>
                <w:rFonts w:hint="cs"/>
                <w:sz w:val="18"/>
                <w:szCs w:val="18"/>
                <w:rtl/>
              </w:rPr>
              <w:t>(0)</w:t>
            </w:r>
          </w:p>
        </w:tc>
        <w:tc>
          <w:tcPr>
            <w:tcW w:w="418" w:type="pct"/>
            <w:shd w:val="clear" w:color="auto" w:fill="auto"/>
            <w:vAlign w:val="center"/>
          </w:tcPr>
          <w:p w14:paraId="766D4ABF" w14:textId="77777777" w:rsidR="00D03FC3" w:rsidRPr="00A56C3A" w:rsidRDefault="00D03FC3" w:rsidP="00B10CB3">
            <w:pPr>
              <w:rPr>
                <w:sz w:val="18"/>
                <w:szCs w:val="18"/>
                <w:rtl/>
              </w:rPr>
            </w:pPr>
            <w:r w:rsidRPr="00A56C3A">
              <w:rPr>
                <w:rFonts w:hint="cs"/>
                <w:sz w:val="18"/>
                <w:szCs w:val="18"/>
                <w:rtl/>
              </w:rPr>
              <w:t>(0)</w:t>
            </w:r>
          </w:p>
        </w:tc>
        <w:tc>
          <w:tcPr>
            <w:tcW w:w="348" w:type="pct"/>
            <w:shd w:val="clear" w:color="auto" w:fill="auto"/>
            <w:vAlign w:val="center"/>
            <w:hideMark/>
          </w:tcPr>
          <w:p w14:paraId="59D97500" w14:textId="77777777" w:rsidR="00D03FC3" w:rsidRPr="00A56C3A" w:rsidRDefault="00D03FC3" w:rsidP="00B10CB3">
            <w:pPr>
              <w:rPr>
                <w:sz w:val="18"/>
                <w:szCs w:val="18"/>
                <w:rtl/>
              </w:rPr>
            </w:pPr>
            <w:r w:rsidRPr="00A56C3A">
              <w:rPr>
                <w:rFonts w:hint="cs"/>
                <w:sz w:val="18"/>
                <w:szCs w:val="18"/>
                <w:rtl/>
              </w:rPr>
              <w:t>(0)</w:t>
            </w:r>
          </w:p>
        </w:tc>
        <w:tc>
          <w:tcPr>
            <w:tcW w:w="341" w:type="pct"/>
            <w:shd w:val="clear" w:color="auto" w:fill="auto"/>
            <w:vAlign w:val="center"/>
            <w:hideMark/>
          </w:tcPr>
          <w:p w14:paraId="066A6555" w14:textId="77777777" w:rsidR="00D03FC3" w:rsidRPr="00A56C3A" w:rsidRDefault="00D03FC3" w:rsidP="00B10CB3">
            <w:pPr>
              <w:rPr>
                <w:sz w:val="18"/>
                <w:szCs w:val="18"/>
                <w:rtl/>
              </w:rPr>
            </w:pPr>
            <w:r w:rsidRPr="00A56C3A">
              <w:rPr>
                <w:rFonts w:hint="cs"/>
                <w:sz w:val="18"/>
                <w:szCs w:val="18"/>
                <w:rtl/>
              </w:rPr>
              <w:t>(0)</w:t>
            </w:r>
          </w:p>
        </w:tc>
      </w:tr>
      <w:tr w:rsidR="00D03FC3" w:rsidRPr="00A56C3A" w14:paraId="6EB49897" w14:textId="77777777" w:rsidTr="006D2BE9">
        <w:trPr>
          <w:trHeight w:val="259"/>
        </w:trPr>
        <w:tc>
          <w:tcPr>
            <w:tcW w:w="347" w:type="pct"/>
            <w:shd w:val="clear" w:color="auto" w:fill="auto"/>
          </w:tcPr>
          <w:p w14:paraId="2C518360" w14:textId="77777777" w:rsidR="00D03FC3" w:rsidRPr="00A56C3A" w:rsidRDefault="00D03FC3" w:rsidP="00B10CB3">
            <w:pPr>
              <w:rPr>
                <w:sz w:val="18"/>
                <w:szCs w:val="18"/>
                <w:rtl/>
              </w:rPr>
            </w:pPr>
          </w:p>
        </w:tc>
        <w:tc>
          <w:tcPr>
            <w:tcW w:w="1951" w:type="pct"/>
            <w:shd w:val="clear" w:color="auto" w:fill="auto"/>
            <w:vAlign w:val="center"/>
            <w:hideMark/>
          </w:tcPr>
          <w:p w14:paraId="360AC0E3" w14:textId="77777777" w:rsidR="00D03FC3" w:rsidRPr="00D03FC3" w:rsidRDefault="00D03FC3" w:rsidP="00445BD5">
            <w:pPr>
              <w:ind w:left="170"/>
              <w:jc w:val="left"/>
              <w:rPr>
                <w:b/>
                <w:bCs/>
                <w:sz w:val="18"/>
                <w:szCs w:val="18"/>
                <w:rtl/>
              </w:rPr>
            </w:pPr>
            <w:r w:rsidRPr="00D03FC3">
              <w:rPr>
                <w:rFonts w:hint="cs"/>
                <w:sz w:val="18"/>
                <w:szCs w:val="18"/>
                <w:rtl/>
              </w:rPr>
              <w:t>ביטחון במזומן ששועבד</w:t>
            </w:r>
          </w:p>
        </w:tc>
        <w:tc>
          <w:tcPr>
            <w:tcW w:w="415" w:type="pct"/>
            <w:shd w:val="clear" w:color="auto" w:fill="auto"/>
            <w:vAlign w:val="bottom"/>
            <w:hideMark/>
          </w:tcPr>
          <w:p w14:paraId="559688F3" w14:textId="77777777" w:rsidR="00D03FC3" w:rsidRPr="00A56C3A" w:rsidRDefault="00D03FC3" w:rsidP="00B10CB3">
            <w:pPr>
              <w:pBdr>
                <w:bottom w:val="single" w:sz="4" w:space="1" w:color="auto"/>
              </w:pBdr>
              <w:rPr>
                <w:sz w:val="18"/>
                <w:szCs w:val="18"/>
                <w:rtl/>
              </w:rPr>
            </w:pPr>
            <w:r w:rsidRPr="00A56C3A">
              <w:rPr>
                <w:rFonts w:hint="cs"/>
                <w:sz w:val="18"/>
                <w:szCs w:val="18"/>
                <w:rtl/>
              </w:rPr>
              <w:t>(0)</w:t>
            </w:r>
          </w:p>
        </w:tc>
        <w:tc>
          <w:tcPr>
            <w:tcW w:w="349" w:type="pct"/>
            <w:shd w:val="clear" w:color="auto" w:fill="auto"/>
            <w:vAlign w:val="bottom"/>
            <w:hideMark/>
          </w:tcPr>
          <w:p w14:paraId="0B10ACDF" w14:textId="77777777" w:rsidR="00D03FC3" w:rsidRPr="00A56C3A" w:rsidRDefault="00D03FC3" w:rsidP="00B10CB3">
            <w:pPr>
              <w:pBdr>
                <w:bottom w:val="single" w:sz="4" w:space="1" w:color="auto"/>
              </w:pBdr>
              <w:rPr>
                <w:sz w:val="18"/>
                <w:szCs w:val="18"/>
                <w:rtl/>
              </w:rPr>
            </w:pPr>
            <w:r w:rsidRPr="00A56C3A">
              <w:rPr>
                <w:rFonts w:hint="cs"/>
                <w:sz w:val="18"/>
                <w:szCs w:val="18"/>
                <w:rtl/>
              </w:rPr>
              <w:t>(0)</w:t>
            </w:r>
          </w:p>
        </w:tc>
        <w:tc>
          <w:tcPr>
            <w:tcW w:w="417" w:type="pct"/>
            <w:shd w:val="clear" w:color="auto" w:fill="auto"/>
            <w:vAlign w:val="bottom"/>
            <w:hideMark/>
          </w:tcPr>
          <w:p w14:paraId="19C48B48" w14:textId="77777777" w:rsidR="00D03FC3" w:rsidRPr="00A56C3A" w:rsidRDefault="00D03FC3" w:rsidP="00B10CB3">
            <w:pPr>
              <w:pBdr>
                <w:bottom w:val="single" w:sz="4" w:space="1" w:color="auto"/>
              </w:pBdr>
              <w:rPr>
                <w:sz w:val="18"/>
                <w:szCs w:val="18"/>
                <w:rtl/>
              </w:rPr>
            </w:pPr>
            <w:r w:rsidRPr="00A56C3A">
              <w:rPr>
                <w:rFonts w:hint="cs"/>
                <w:sz w:val="18"/>
                <w:szCs w:val="18"/>
                <w:rtl/>
              </w:rPr>
              <w:t>(0)</w:t>
            </w:r>
          </w:p>
        </w:tc>
        <w:tc>
          <w:tcPr>
            <w:tcW w:w="415" w:type="pct"/>
            <w:shd w:val="clear" w:color="auto" w:fill="auto"/>
            <w:vAlign w:val="bottom"/>
            <w:hideMark/>
          </w:tcPr>
          <w:p w14:paraId="241FF956" w14:textId="77777777" w:rsidR="00D03FC3" w:rsidRPr="00A56C3A" w:rsidRDefault="00D03FC3" w:rsidP="00B10CB3">
            <w:pPr>
              <w:pBdr>
                <w:bottom w:val="single" w:sz="4" w:space="1" w:color="auto"/>
              </w:pBdr>
              <w:rPr>
                <w:sz w:val="18"/>
                <w:szCs w:val="18"/>
                <w:rtl/>
              </w:rPr>
            </w:pPr>
            <w:r w:rsidRPr="00A56C3A">
              <w:rPr>
                <w:rFonts w:hint="cs"/>
                <w:sz w:val="18"/>
                <w:szCs w:val="18"/>
                <w:rtl/>
              </w:rPr>
              <w:t>(0)</w:t>
            </w:r>
          </w:p>
        </w:tc>
        <w:tc>
          <w:tcPr>
            <w:tcW w:w="418" w:type="pct"/>
            <w:shd w:val="clear" w:color="auto" w:fill="auto"/>
            <w:vAlign w:val="bottom"/>
          </w:tcPr>
          <w:p w14:paraId="79AD2A36" w14:textId="77777777" w:rsidR="00D03FC3" w:rsidRPr="00A56C3A" w:rsidRDefault="00D03FC3" w:rsidP="00B10CB3">
            <w:pPr>
              <w:pBdr>
                <w:bottom w:val="single" w:sz="4" w:space="1" w:color="auto"/>
              </w:pBdr>
              <w:rPr>
                <w:sz w:val="18"/>
                <w:szCs w:val="18"/>
                <w:rtl/>
              </w:rPr>
            </w:pPr>
            <w:r w:rsidRPr="00A56C3A">
              <w:rPr>
                <w:rFonts w:hint="cs"/>
                <w:sz w:val="18"/>
                <w:szCs w:val="18"/>
                <w:rtl/>
              </w:rPr>
              <w:t>(0)</w:t>
            </w:r>
          </w:p>
        </w:tc>
        <w:tc>
          <w:tcPr>
            <w:tcW w:w="348" w:type="pct"/>
            <w:shd w:val="clear" w:color="auto" w:fill="auto"/>
            <w:vAlign w:val="bottom"/>
            <w:hideMark/>
          </w:tcPr>
          <w:p w14:paraId="03394EE2" w14:textId="77777777" w:rsidR="00D03FC3" w:rsidRPr="00A56C3A" w:rsidRDefault="00D03FC3" w:rsidP="00B10CB3">
            <w:pPr>
              <w:pBdr>
                <w:bottom w:val="single" w:sz="4" w:space="1" w:color="auto"/>
              </w:pBdr>
              <w:rPr>
                <w:sz w:val="18"/>
                <w:szCs w:val="18"/>
                <w:rtl/>
              </w:rPr>
            </w:pPr>
            <w:r w:rsidRPr="00A56C3A">
              <w:rPr>
                <w:rFonts w:hint="cs"/>
                <w:sz w:val="18"/>
                <w:szCs w:val="18"/>
                <w:rtl/>
              </w:rPr>
              <w:t>(0)</w:t>
            </w:r>
          </w:p>
        </w:tc>
        <w:tc>
          <w:tcPr>
            <w:tcW w:w="341" w:type="pct"/>
            <w:shd w:val="clear" w:color="auto" w:fill="auto"/>
            <w:vAlign w:val="bottom"/>
            <w:hideMark/>
          </w:tcPr>
          <w:p w14:paraId="4893F1EB" w14:textId="77777777" w:rsidR="00D03FC3" w:rsidRPr="00A56C3A" w:rsidRDefault="00D03FC3" w:rsidP="00B10CB3">
            <w:pPr>
              <w:pBdr>
                <w:bottom w:val="single" w:sz="4" w:space="1" w:color="auto"/>
              </w:pBdr>
              <w:rPr>
                <w:sz w:val="18"/>
                <w:szCs w:val="18"/>
                <w:rtl/>
              </w:rPr>
            </w:pPr>
            <w:r w:rsidRPr="00A56C3A">
              <w:rPr>
                <w:rFonts w:hint="cs"/>
                <w:sz w:val="18"/>
                <w:szCs w:val="18"/>
                <w:rtl/>
              </w:rPr>
              <w:t>(0)</w:t>
            </w:r>
          </w:p>
        </w:tc>
      </w:tr>
      <w:tr w:rsidR="00D03FC3" w:rsidRPr="00A56C3A" w14:paraId="30FA0539" w14:textId="77777777" w:rsidTr="006D2BE9">
        <w:trPr>
          <w:trHeight w:val="259"/>
        </w:trPr>
        <w:tc>
          <w:tcPr>
            <w:tcW w:w="347" w:type="pct"/>
            <w:shd w:val="clear" w:color="auto" w:fill="auto"/>
          </w:tcPr>
          <w:p w14:paraId="214ECFFE" w14:textId="77777777" w:rsidR="00D03FC3" w:rsidRPr="00A56C3A" w:rsidRDefault="00D03FC3" w:rsidP="00B10CB3">
            <w:pPr>
              <w:rPr>
                <w:sz w:val="18"/>
                <w:szCs w:val="18"/>
                <w:rtl/>
              </w:rPr>
            </w:pPr>
          </w:p>
        </w:tc>
        <w:tc>
          <w:tcPr>
            <w:tcW w:w="1951" w:type="pct"/>
            <w:shd w:val="clear" w:color="auto" w:fill="auto"/>
            <w:vAlign w:val="bottom"/>
            <w:hideMark/>
          </w:tcPr>
          <w:p w14:paraId="50EBBF9F" w14:textId="77777777" w:rsidR="00D03FC3" w:rsidRPr="00D03FC3" w:rsidRDefault="00D03FC3" w:rsidP="001E1FDE">
            <w:pPr>
              <w:pStyle w:val="-23"/>
              <w:spacing w:before="60" w:line="220" w:lineRule="exact"/>
              <w:ind w:left="0" w:firstLine="0"/>
              <w:rPr>
                <w:b w:val="0"/>
                <w:bCs w:val="0"/>
                <w:sz w:val="18"/>
                <w:szCs w:val="18"/>
                <w:rtl/>
              </w:rPr>
            </w:pPr>
            <w:r w:rsidRPr="00D03FC3">
              <w:rPr>
                <w:rFonts w:hint="cs"/>
                <w:b w:val="0"/>
                <w:bCs w:val="0"/>
                <w:sz w:val="18"/>
                <w:szCs w:val="18"/>
                <w:rtl/>
              </w:rPr>
              <w:t>סכום נטו של התחייבויות בגין מכשירים נגזרים</w:t>
            </w:r>
          </w:p>
        </w:tc>
        <w:tc>
          <w:tcPr>
            <w:tcW w:w="415" w:type="pct"/>
            <w:shd w:val="clear" w:color="auto" w:fill="auto"/>
            <w:vAlign w:val="bottom"/>
            <w:hideMark/>
          </w:tcPr>
          <w:p w14:paraId="7F231C23" w14:textId="77777777" w:rsidR="00D03FC3" w:rsidRPr="00A56C3A" w:rsidRDefault="00D03FC3" w:rsidP="00B10CB3">
            <w:pPr>
              <w:pBdr>
                <w:bottom w:val="double" w:sz="4" w:space="1" w:color="auto"/>
              </w:pBdr>
              <w:rPr>
                <w:sz w:val="18"/>
                <w:szCs w:val="18"/>
                <w:u w:val="single"/>
                <w:rtl/>
              </w:rPr>
            </w:pPr>
            <w:r w:rsidRPr="00A56C3A">
              <w:rPr>
                <w:rFonts w:hint="cs"/>
                <w:sz w:val="18"/>
                <w:szCs w:val="18"/>
                <w:rtl/>
              </w:rPr>
              <w:t xml:space="preserve"> 0</w:t>
            </w:r>
          </w:p>
        </w:tc>
        <w:tc>
          <w:tcPr>
            <w:tcW w:w="349" w:type="pct"/>
            <w:shd w:val="clear" w:color="auto" w:fill="auto"/>
            <w:vAlign w:val="bottom"/>
            <w:hideMark/>
          </w:tcPr>
          <w:p w14:paraId="00FB61B5" w14:textId="77777777" w:rsidR="00D03FC3" w:rsidRPr="00A56C3A" w:rsidRDefault="00D03FC3" w:rsidP="00B10CB3">
            <w:pPr>
              <w:pBdr>
                <w:bottom w:val="double" w:sz="4" w:space="1" w:color="auto"/>
              </w:pBdr>
              <w:rPr>
                <w:sz w:val="18"/>
                <w:szCs w:val="18"/>
                <w:rtl/>
              </w:rPr>
            </w:pPr>
            <w:r w:rsidRPr="00A56C3A">
              <w:rPr>
                <w:rFonts w:hint="cs"/>
                <w:sz w:val="18"/>
                <w:szCs w:val="18"/>
                <w:rtl/>
              </w:rPr>
              <w:t xml:space="preserve"> 0</w:t>
            </w:r>
          </w:p>
        </w:tc>
        <w:tc>
          <w:tcPr>
            <w:tcW w:w="417" w:type="pct"/>
            <w:shd w:val="clear" w:color="auto" w:fill="auto"/>
            <w:vAlign w:val="bottom"/>
            <w:hideMark/>
          </w:tcPr>
          <w:p w14:paraId="46DFFAF3" w14:textId="77777777" w:rsidR="00D03FC3" w:rsidRPr="00A56C3A" w:rsidRDefault="00D03FC3" w:rsidP="00B10CB3">
            <w:pPr>
              <w:pBdr>
                <w:bottom w:val="double" w:sz="4" w:space="1" w:color="auto"/>
              </w:pBdr>
              <w:rPr>
                <w:sz w:val="18"/>
                <w:szCs w:val="18"/>
                <w:rtl/>
              </w:rPr>
            </w:pPr>
            <w:r w:rsidRPr="00A56C3A">
              <w:rPr>
                <w:rFonts w:hint="cs"/>
                <w:sz w:val="18"/>
                <w:szCs w:val="18"/>
                <w:rtl/>
              </w:rPr>
              <w:t xml:space="preserve"> 0</w:t>
            </w:r>
          </w:p>
        </w:tc>
        <w:tc>
          <w:tcPr>
            <w:tcW w:w="415" w:type="pct"/>
            <w:shd w:val="clear" w:color="auto" w:fill="auto"/>
            <w:vAlign w:val="bottom"/>
            <w:hideMark/>
          </w:tcPr>
          <w:p w14:paraId="19AB1DD6" w14:textId="77777777" w:rsidR="00D03FC3" w:rsidRPr="00A56C3A" w:rsidRDefault="00D03FC3" w:rsidP="00B10CB3">
            <w:pPr>
              <w:pBdr>
                <w:bottom w:val="double" w:sz="4" w:space="1" w:color="auto"/>
              </w:pBdr>
              <w:rPr>
                <w:sz w:val="18"/>
                <w:szCs w:val="18"/>
                <w:rtl/>
              </w:rPr>
            </w:pPr>
            <w:r w:rsidRPr="00A56C3A">
              <w:rPr>
                <w:rFonts w:hint="cs"/>
                <w:sz w:val="18"/>
                <w:szCs w:val="18"/>
                <w:rtl/>
              </w:rPr>
              <w:t xml:space="preserve"> 0</w:t>
            </w:r>
          </w:p>
        </w:tc>
        <w:tc>
          <w:tcPr>
            <w:tcW w:w="418" w:type="pct"/>
            <w:shd w:val="clear" w:color="auto" w:fill="auto"/>
            <w:vAlign w:val="bottom"/>
          </w:tcPr>
          <w:p w14:paraId="54A46CB6" w14:textId="77777777" w:rsidR="00D03FC3" w:rsidRPr="00A56C3A" w:rsidRDefault="00D03FC3" w:rsidP="00B10CB3">
            <w:pPr>
              <w:pBdr>
                <w:bottom w:val="double" w:sz="4" w:space="1" w:color="auto"/>
              </w:pBdr>
              <w:rPr>
                <w:sz w:val="18"/>
                <w:szCs w:val="18"/>
                <w:rtl/>
              </w:rPr>
            </w:pPr>
            <w:r w:rsidRPr="00A56C3A">
              <w:rPr>
                <w:rFonts w:hint="cs"/>
                <w:sz w:val="18"/>
                <w:szCs w:val="18"/>
                <w:rtl/>
              </w:rPr>
              <w:t xml:space="preserve"> 0</w:t>
            </w:r>
          </w:p>
        </w:tc>
        <w:tc>
          <w:tcPr>
            <w:tcW w:w="348" w:type="pct"/>
            <w:shd w:val="clear" w:color="auto" w:fill="auto"/>
            <w:vAlign w:val="bottom"/>
            <w:hideMark/>
          </w:tcPr>
          <w:p w14:paraId="42EB7761" w14:textId="77777777" w:rsidR="00D03FC3" w:rsidRPr="00A56C3A" w:rsidRDefault="00D03FC3" w:rsidP="00B10CB3">
            <w:pPr>
              <w:pBdr>
                <w:bottom w:val="double" w:sz="4" w:space="1" w:color="auto"/>
              </w:pBdr>
              <w:rPr>
                <w:sz w:val="18"/>
                <w:szCs w:val="18"/>
                <w:rtl/>
              </w:rPr>
            </w:pPr>
            <w:r w:rsidRPr="00A56C3A">
              <w:rPr>
                <w:rFonts w:hint="cs"/>
                <w:sz w:val="18"/>
                <w:szCs w:val="18"/>
                <w:rtl/>
              </w:rPr>
              <w:t xml:space="preserve"> 0</w:t>
            </w:r>
          </w:p>
        </w:tc>
        <w:tc>
          <w:tcPr>
            <w:tcW w:w="341" w:type="pct"/>
            <w:shd w:val="clear" w:color="auto" w:fill="auto"/>
            <w:vAlign w:val="bottom"/>
            <w:hideMark/>
          </w:tcPr>
          <w:p w14:paraId="5E4FA857" w14:textId="77777777" w:rsidR="00D03FC3" w:rsidRPr="00A56C3A" w:rsidRDefault="00D03FC3" w:rsidP="00B10CB3">
            <w:pPr>
              <w:pBdr>
                <w:bottom w:val="double" w:sz="4" w:space="1" w:color="auto"/>
              </w:pBdr>
              <w:rPr>
                <w:sz w:val="18"/>
                <w:szCs w:val="18"/>
                <w:rtl/>
              </w:rPr>
            </w:pPr>
            <w:r w:rsidRPr="00A56C3A">
              <w:rPr>
                <w:rFonts w:hint="cs"/>
                <w:sz w:val="18"/>
                <w:szCs w:val="18"/>
                <w:rtl/>
              </w:rPr>
              <w:t xml:space="preserve"> 0</w:t>
            </w:r>
          </w:p>
        </w:tc>
      </w:tr>
    </w:tbl>
    <w:p w14:paraId="3DB0A623" w14:textId="3E997D6F" w:rsidR="006102BF" w:rsidRPr="00A56C3A" w:rsidRDefault="006102BF" w:rsidP="00AC3844">
      <w:pPr>
        <w:tabs>
          <w:tab w:val="left" w:pos="2070"/>
        </w:tabs>
        <w:rPr>
          <w:sz w:val="18"/>
          <w:szCs w:val="18"/>
          <w:rtl/>
        </w:rPr>
      </w:pPr>
    </w:p>
    <w:p w14:paraId="2A9BD39D" w14:textId="77777777" w:rsidR="006501FC" w:rsidRDefault="006501FC"/>
    <w:tbl>
      <w:tblPr>
        <w:bidiVisual/>
        <w:tblW w:w="5000" w:type="pct"/>
        <w:tblInd w:w="-5" w:type="dxa"/>
        <w:tblLayout w:type="fixed"/>
        <w:tblLook w:val="01E0" w:firstRow="1" w:lastRow="1" w:firstColumn="1" w:lastColumn="1" w:noHBand="0" w:noVBand="0"/>
      </w:tblPr>
      <w:tblGrid>
        <w:gridCol w:w="709"/>
        <w:gridCol w:w="3982"/>
        <w:gridCol w:w="847"/>
        <w:gridCol w:w="712"/>
        <w:gridCol w:w="851"/>
        <w:gridCol w:w="847"/>
        <w:gridCol w:w="853"/>
        <w:gridCol w:w="710"/>
        <w:gridCol w:w="696"/>
      </w:tblGrid>
      <w:tr w:rsidR="006501FC" w:rsidRPr="00A56C3A" w14:paraId="34FA8D12" w14:textId="77777777" w:rsidTr="00315101">
        <w:trPr>
          <w:trHeight w:val="259"/>
        </w:trPr>
        <w:tc>
          <w:tcPr>
            <w:tcW w:w="347" w:type="pct"/>
            <w:shd w:val="clear" w:color="auto" w:fill="auto"/>
          </w:tcPr>
          <w:p w14:paraId="45B04856" w14:textId="77777777" w:rsidR="006501FC" w:rsidRPr="00A56C3A" w:rsidRDefault="006501FC" w:rsidP="00400DD1">
            <w:pPr>
              <w:rPr>
                <w:i/>
                <w:iCs/>
                <w:sz w:val="18"/>
                <w:szCs w:val="18"/>
              </w:rPr>
            </w:pPr>
          </w:p>
        </w:tc>
        <w:tc>
          <w:tcPr>
            <w:tcW w:w="1950" w:type="pct"/>
            <w:shd w:val="clear" w:color="auto" w:fill="auto"/>
            <w:vAlign w:val="bottom"/>
          </w:tcPr>
          <w:p w14:paraId="16D3F040" w14:textId="77777777" w:rsidR="006501FC" w:rsidRPr="00A56C3A" w:rsidRDefault="006501FC" w:rsidP="00400DD1">
            <w:pPr>
              <w:rPr>
                <w:sz w:val="18"/>
                <w:szCs w:val="18"/>
                <w:rtl/>
              </w:rPr>
            </w:pPr>
          </w:p>
        </w:tc>
        <w:tc>
          <w:tcPr>
            <w:tcW w:w="2703" w:type="pct"/>
            <w:gridSpan w:val="7"/>
            <w:shd w:val="clear" w:color="auto" w:fill="auto"/>
          </w:tcPr>
          <w:p w14:paraId="5BB47508" w14:textId="7B61E197" w:rsidR="006501FC" w:rsidRPr="00315101" w:rsidRDefault="006501FC" w:rsidP="00315101">
            <w:pPr>
              <w:jc w:val="center"/>
              <w:rPr>
                <w:b/>
                <w:bCs/>
                <w:color w:val="000000"/>
                <w:sz w:val="18"/>
                <w:szCs w:val="18"/>
                <w:u w:val="single"/>
                <w:rtl/>
                <w:lang w:eastAsia="he-IL"/>
              </w:rPr>
            </w:pPr>
            <w:r w:rsidRPr="00315101">
              <w:rPr>
                <w:rFonts w:hint="cs"/>
                <w:b/>
                <w:bCs/>
                <w:sz w:val="18"/>
                <w:szCs w:val="18"/>
                <w:u w:val="single"/>
                <w:rtl/>
              </w:rPr>
              <w:t xml:space="preserve">ליום 30 ביוני </w:t>
            </w:r>
            <w:r w:rsidRPr="00315101">
              <w:rPr>
                <w:b/>
                <w:bCs/>
                <w:sz w:val="18"/>
                <w:szCs w:val="18"/>
                <w:u w:val="single"/>
                <w:rtl/>
              </w:rPr>
              <w:fldChar w:fldCharType="begin"/>
            </w:r>
            <w:r w:rsidRPr="00315101">
              <w:rPr>
                <w:b/>
                <w:bCs/>
                <w:sz w:val="18"/>
                <w:szCs w:val="18"/>
                <w:u w:val="single"/>
                <w:rtl/>
              </w:rPr>
              <w:instrText xml:space="preserve"> </w:instrText>
            </w:r>
            <w:r w:rsidRPr="00315101">
              <w:rPr>
                <w:rFonts w:hint="cs"/>
                <w:b/>
                <w:bCs/>
                <w:sz w:val="18"/>
                <w:szCs w:val="18"/>
                <w:u w:val="single"/>
                <w:rtl/>
              </w:rPr>
              <w:instrText xml:space="preserve">= </w:instrText>
            </w:r>
            <w:r w:rsidRPr="00315101">
              <w:rPr>
                <w:rFonts w:hint="cs"/>
                <w:b/>
                <w:bCs/>
                <w:sz w:val="18"/>
                <w:szCs w:val="18"/>
                <w:u w:val="single"/>
              </w:rPr>
              <w:instrText>CY</w:instrText>
            </w:r>
            <w:r w:rsidRPr="00315101">
              <w:rPr>
                <w:b/>
                <w:bCs/>
                <w:sz w:val="18"/>
                <w:szCs w:val="18"/>
                <w:u w:val="single"/>
              </w:rPr>
              <w:instrText>-1</w:instrText>
            </w:r>
            <w:r w:rsidRPr="00315101">
              <w:rPr>
                <w:rFonts w:hint="cs"/>
                <w:b/>
                <w:bCs/>
                <w:sz w:val="18"/>
                <w:szCs w:val="18"/>
                <w:u w:val="single"/>
              </w:rPr>
              <w:instrText xml:space="preserve"> \* MERGEFORMAT</w:instrText>
            </w:r>
            <w:r w:rsidRPr="00315101">
              <w:rPr>
                <w:b/>
                <w:bCs/>
                <w:sz w:val="18"/>
                <w:szCs w:val="18"/>
                <w:u w:val="single"/>
                <w:rtl/>
              </w:rPr>
              <w:instrText xml:space="preserve"> </w:instrText>
            </w:r>
            <w:r w:rsidRPr="00315101">
              <w:rPr>
                <w:b/>
                <w:bCs/>
                <w:sz w:val="18"/>
                <w:szCs w:val="18"/>
                <w:u w:val="single"/>
                <w:rtl/>
              </w:rPr>
              <w:fldChar w:fldCharType="separate"/>
            </w:r>
            <w:r w:rsidRPr="00315101">
              <w:rPr>
                <w:b/>
                <w:bCs/>
                <w:noProof/>
                <w:sz w:val="18"/>
                <w:szCs w:val="18"/>
                <w:u w:val="single"/>
                <w:rtl/>
              </w:rPr>
              <w:t>2023</w:t>
            </w:r>
            <w:r w:rsidRPr="00315101">
              <w:rPr>
                <w:b/>
                <w:bCs/>
                <w:sz w:val="18"/>
                <w:szCs w:val="18"/>
                <w:u w:val="single"/>
                <w:rtl/>
              </w:rPr>
              <w:fldChar w:fldCharType="end"/>
            </w:r>
            <w:r w:rsidRPr="00315101">
              <w:rPr>
                <w:rFonts w:hint="cs"/>
                <w:b/>
                <w:bCs/>
                <w:color w:val="000000"/>
                <w:sz w:val="18"/>
                <w:szCs w:val="18"/>
                <w:u w:val="single"/>
                <w:rtl/>
                <w:lang w:eastAsia="he-IL"/>
              </w:rPr>
              <w:t xml:space="preserve">  </w:t>
            </w:r>
            <w:r w:rsidRPr="00315101">
              <w:rPr>
                <w:rFonts w:hint="cs"/>
                <w:sz w:val="18"/>
                <w:szCs w:val="18"/>
                <w:u w:val="single"/>
                <w:rtl/>
              </w:rPr>
              <w:t>(בלתי מבוקר)</w:t>
            </w:r>
          </w:p>
        </w:tc>
      </w:tr>
      <w:tr w:rsidR="006501FC" w:rsidRPr="00A56C3A" w14:paraId="44C4B415" w14:textId="77777777" w:rsidTr="00315101">
        <w:trPr>
          <w:trHeight w:val="259"/>
        </w:trPr>
        <w:tc>
          <w:tcPr>
            <w:tcW w:w="347" w:type="pct"/>
            <w:shd w:val="clear" w:color="auto" w:fill="auto"/>
          </w:tcPr>
          <w:p w14:paraId="0B02CB3A" w14:textId="77777777" w:rsidR="006501FC" w:rsidRPr="00A56C3A" w:rsidRDefault="006501FC" w:rsidP="00400DD1">
            <w:pPr>
              <w:rPr>
                <w:sz w:val="18"/>
                <w:szCs w:val="18"/>
                <w:rtl/>
              </w:rPr>
            </w:pPr>
          </w:p>
        </w:tc>
        <w:tc>
          <w:tcPr>
            <w:tcW w:w="1950" w:type="pct"/>
            <w:shd w:val="clear" w:color="auto" w:fill="auto"/>
            <w:vAlign w:val="bottom"/>
          </w:tcPr>
          <w:p w14:paraId="053B21D4" w14:textId="77777777" w:rsidR="006501FC" w:rsidRPr="00A56C3A" w:rsidRDefault="006501FC" w:rsidP="00400DD1">
            <w:pPr>
              <w:ind w:left="144" w:hanging="144"/>
              <w:jc w:val="left"/>
              <w:rPr>
                <w:sz w:val="18"/>
                <w:szCs w:val="18"/>
              </w:rPr>
            </w:pPr>
          </w:p>
        </w:tc>
        <w:tc>
          <w:tcPr>
            <w:tcW w:w="415" w:type="pct"/>
            <w:shd w:val="clear" w:color="auto" w:fill="auto"/>
            <w:vAlign w:val="bottom"/>
            <w:hideMark/>
          </w:tcPr>
          <w:p w14:paraId="488D6681" w14:textId="77777777" w:rsidR="006501FC" w:rsidRPr="00D03FC3" w:rsidRDefault="006501FC" w:rsidP="00400DD1">
            <w:pPr>
              <w:pBdr>
                <w:bottom w:val="single" w:sz="4" w:space="1" w:color="auto"/>
              </w:pBdr>
              <w:jc w:val="center"/>
              <w:rPr>
                <w:b/>
                <w:bCs/>
                <w:sz w:val="17"/>
                <w:szCs w:val="17"/>
                <w:rtl/>
              </w:rPr>
            </w:pPr>
            <w:r w:rsidRPr="00D03FC3">
              <w:rPr>
                <w:rFonts w:hint="cs"/>
                <w:b/>
                <w:bCs/>
                <w:sz w:val="17"/>
                <w:szCs w:val="17"/>
                <w:rtl/>
              </w:rPr>
              <w:t>בורסות</w:t>
            </w:r>
          </w:p>
        </w:tc>
        <w:tc>
          <w:tcPr>
            <w:tcW w:w="349" w:type="pct"/>
            <w:shd w:val="clear" w:color="auto" w:fill="auto"/>
            <w:vAlign w:val="bottom"/>
            <w:hideMark/>
          </w:tcPr>
          <w:p w14:paraId="73A24E4F" w14:textId="77777777" w:rsidR="006501FC" w:rsidRPr="00D03FC3" w:rsidRDefault="006501FC" w:rsidP="00400DD1">
            <w:pPr>
              <w:pBdr>
                <w:bottom w:val="single" w:sz="4" w:space="1" w:color="auto"/>
              </w:pBdr>
              <w:jc w:val="center"/>
              <w:rPr>
                <w:b/>
                <w:bCs/>
                <w:sz w:val="17"/>
                <w:szCs w:val="17"/>
                <w:rtl/>
              </w:rPr>
            </w:pPr>
            <w:r w:rsidRPr="00D03FC3">
              <w:rPr>
                <w:rFonts w:hint="cs"/>
                <w:b/>
                <w:bCs/>
                <w:sz w:val="17"/>
                <w:szCs w:val="17"/>
                <w:rtl/>
              </w:rPr>
              <w:t>בנקים</w:t>
            </w:r>
          </w:p>
        </w:tc>
        <w:tc>
          <w:tcPr>
            <w:tcW w:w="417" w:type="pct"/>
            <w:shd w:val="clear" w:color="auto" w:fill="auto"/>
            <w:vAlign w:val="bottom"/>
            <w:hideMark/>
          </w:tcPr>
          <w:p w14:paraId="34A318AC" w14:textId="77777777" w:rsidR="006501FC" w:rsidRPr="00D03FC3" w:rsidRDefault="006501FC" w:rsidP="00400DD1">
            <w:pPr>
              <w:pBdr>
                <w:bottom w:val="single" w:sz="4" w:space="1" w:color="auto"/>
              </w:pBdr>
              <w:jc w:val="center"/>
              <w:rPr>
                <w:b/>
                <w:bCs/>
                <w:sz w:val="17"/>
                <w:szCs w:val="17"/>
                <w:rtl/>
              </w:rPr>
            </w:pPr>
            <w:r w:rsidRPr="00D03FC3">
              <w:rPr>
                <w:rFonts w:hint="cs"/>
                <w:b/>
                <w:bCs/>
                <w:sz w:val="17"/>
                <w:szCs w:val="17"/>
                <w:rtl/>
              </w:rPr>
              <w:t>דילרים/ ברוקרים</w:t>
            </w:r>
          </w:p>
        </w:tc>
        <w:tc>
          <w:tcPr>
            <w:tcW w:w="415" w:type="pct"/>
            <w:shd w:val="clear" w:color="auto" w:fill="auto"/>
            <w:vAlign w:val="bottom"/>
            <w:hideMark/>
          </w:tcPr>
          <w:p w14:paraId="6FF64E95" w14:textId="77777777" w:rsidR="006501FC" w:rsidRPr="00D03FC3" w:rsidRDefault="006501FC" w:rsidP="00400DD1">
            <w:pPr>
              <w:pBdr>
                <w:bottom w:val="single" w:sz="4" w:space="1" w:color="auto"/>
              </w:pBdr>
              <w:jc w:val="center"/>
              <w:rPr>
                <w:b/>
                <w:bCs/>
                <w:sz w:val="17"/>
                <w:szCs w:val="17"/>
                <w:rtl/>
              </w:rPr>
            </w:pPr>
            <w:r w:rsidRPr="00D03FC3">
              <w:rPr>
                <w:rFonts w:hint="cs"/>
                <w:b/>
                <w:bCs/>
                <w:sz w:val="17"/>
                <w:szCs w:val="17"/>
                <w:rtl/>
              </w:rPr>
              <w:t>ממשלות ובנקים מרכזיים</w:t>
            </w:r>
          </w:p>
        </w:tc>
        <w:tc>
          <w:tcPr>
            <w:tcW w:w="418" w:type="pct"/>
            <w:shd w:val="clear" w:color="auto" w:fill="auto"/>
          </w:tcPr>
          <w:p w14:paraId="57318AA3" w14:textId="77777777" w:rsidR="006501FC" w:rsidRPr="00D03FC3" w:rsidRDefault="006501FC" w:rsidP="00400DD1">
            <w:pPr>
              <w:pBdr>
                <w:bottom w:val="single" w:sz="4" w:space="1" w:color="auto"/>
              </w:pBdr>
              <w:jc w:val="center"/>
              <w:rPr>
                <w:b/>
                <w:bCs/>
                <w:sz w:val="17"/>
                <w:szCs w:val="17"/>
                <w:rtl/>
              </w:rPr>
            </w:pPr>
          </w:p>
          <w:p w14:paraId="22A06742" w14:textId="77777777" w:rsidR="006501FC" w:rsidRPr="00D03FC3" w:rsidRDefault="006501FC" w:rsidP="00400DD1">
            <w:pPr>
              <w:pBdr>
                <w:bottom w:val="single" w:sz="4" w:space="1" w:color="auto"/>
              </w:pBdr>
              <w:jc w:val="center"/>
              <w:rPr>
                <w:b/>
                <w:bCs/>
                <w:sz w:val="17"/>
                <w:szCs w:val="17"/>
                <w:rtl/>
              </w:rPr>
            </w:pPr>
            <w:r w:rsidRPr="00D03FC3">
              <w:rPr>
                <w:rFonts w:hint="cs"/>
                <w:b/>
                <w:bCs/>
                <w:sz w:val="17"/>
                <w:szCs w:val="17"/>
                <w:rtl/>
              </w:rPr>
              <w:t>גופים מוסדיים</w:t>
            </w:r>
          </w:p>
        </w:tc>
        <w:tc>
          <w:tcPr>
            <w:tcW w:w="348" w:type="pct"/>
            <w:shd w:val="clear" w:color="auto" w:fill="auto"/>
            <w:vAlign w:val="bottom"/>
            <w:hideMark/>
          </w:tcPr>
          <w:p w14:paraId="7EA612DC" w14:textId="77777777" w:rsidR="006501FC" w:rsidRPr="00D03FC3" w:rsidRDefault="006501FC" w:rsidP="00400DD1">
            <w:pPr>
              <w:pBdr>
                <w:bottom w:val="single" w:sz="4" w:space="1" w:color="auto"/>
              </w:pBdr>
              <w:jc w:val="center"/>
              <w:rPr>
                <w:b/>
                <w:bCs/>
                <w:sz w:val="17"/>
                <w:szCs w:val="17"/>
                <w:rtl/>
              </w:rPr>
            </w:pPr>
            <w:r w:rsidRPr="00D03FC3">
              <w:rPr>
                <w:rFonts w:hint="cs"/>
                <w:b/>
                <w:bCs/>
                <w:sz w:val="17"/>
                <w:szCs w:val="17"/>
                <w:rtl/>
              </w:rPr>
              <w:t>אחרים</w:t>
            </w:r>
          </w:p>
        </w:tc>
        <w:tc>
          <w:tcPr>
            <w:tcW w:w="342" w:type="pct"/>
            <w:shd w:val="clear" w:color="auto" w:fill="auto"/>
            <w:vAlign w:val="bottom"/>
            <w:hideMark/>
          </w:tcPr>
          <w:p w14:paraId="442E717D" w14:textId="77777777" w:rsidR="006501FC" w:rsidRPr="00D03FC3" w:rsidRDefault="006501FC" w:rsidP="00400DD1">
            <w:pPr>
              <w:pBdr>
                <w:bottom w:val="single" w:sz="4" w:space="1" w:color="auto"/>
              </w:pBdr>
              <w:jc w:val="center"/>
              <w:rPr>
                <w:b/>
                <w:bCs/>
                <w:sz w:val="17"/>
                <w:szCs w:val="17"/>
                <w:rtl/>
              </w:rPr>
            </w:pPr>
            <w:r w:rsidRPr="00D03FC3">
              <w:rPr>
                <w:rFonts w:hint="cs"/>
                <w:b/>
                <w:bCs/>
                <w:sz w:val="17"/>
                <w:szCs w:val="17"/>
                <w:rtl/>
              </w:rPr>
              <w:t>סה"כ</w:t>
            </w:r>
          </w:p>
        </w:tc>
      </w:tr>
      <w:tr w:rsidR="006501FC" w:rsidRPr="00A56C3A" w14:paraId="3F09568C" w14:textId="77777777" w:rsidTr="00315101">
        <w:trPr>
          <w:trHeight w:hRule="exact" w:val="144"/>
        </w:trPr>
        <w:tc>
          <w:tcPr>
            <w:tcW w:w="347" w:type="pct"/>
            <w:shd w:val="clear" w:color="auto" w:fill="auto"/>
          </w:tcPr>
          <w:p w14:paraId="493D6424" w14:textId="77777777" w:rsidR="006501FC" w:rsidRPr="00A56C3A" w:rsidRDefault="006501FC" w:rsidP="00400DD1">
            <w:pPr>
              <w:rPr>
                <w:sz w:val="18"/>
                <w:szCs w:val="18"/>
                <w:rtl/>
              </w:rPr>
            </w:pPr>
          </w:p>
        </w:tc>
        <w:tc>
          <w:tcPr>
            <w:tcW w:w="1950" w:type="pct"/>
            <w:shd w:val="clear" w:color="auto" w:fill="auto"/>
            <w:vAlign w:val="bottom"/>
          </w:tcPr>
          <w:p w14:paraId="5337A31A" w14:textId="77777777" w:rsidR="006501FC" w:rsidRPr="00A56C3A" w:rsidRDefault="006501FC" w:rsidP="00400DD1">
            <w:pPr>
              <w:ind w:left="144" w:hanging="144"/>
              <w:jc w:val="left"/>
              <w:rPr>
                <w:color w:val="000000"/>
                <w:sz w:val="18"/>
                <w:szCs w:val="18"/>
                <w:rtl/>
                <w:lang w:eastAsia="he-IL"/>
              </w:rPr>
            </w:pPr>
          </w:p>
        </w:tc>
        <w:tc>
          <w:tcPr>
            <w:tcW w:w="415" w:type="pct"/>
            <w:shd w:val="clear" w:color="auto" w:fill="auto"/>
            <w:vAlign w:val="bottom"/>
          </w:tcPr>
          <w:p w14:paraId="1878F71C" w14:textId="77777777" w:rsidR="006501FC" w:rsidRPr="00A56C3A" w:rsidRDefault="006501FC" w:rsidP="00400DD1">
            <w:pPr>
              <w:rPr>
                <w:sz w:val="18"/>
                <w:szCs w:val="18"/>
                <w:rtl/>
              </w:rPr>
            </w:pPr>
          </w:p>
        </w:tc>
        <w:tc>
          <w:tcPr>
            <w:tcW w:w="349" w:type="pct"/>
            <w:shd w:val="clear" w:color="auto" w:fill="auto"/>
            <w:vAlign w:val="bottom"/>
          </w:tcPr>
          <w:p w14:paraId="73ACBEC4" w14:textId="77777777" w:rsidR="006501FC" w:rsidRPr="00A56C3A" w:rsidRDefault="006501FC" w:rsidP="00400DD1">
            <w:pPr>
              <w:rPr>
                <w:sz w:val="18"/>
                <w:szCs w:val="18"/>
                <w:rtl/>
              </w:rPr>
            </w:pPr>
          </w:p>
        </w:tc>
        <w:tc>
          <w:tcPr>
            <w:tcW w:w="417" w:type="pct"/>
            <w:shd w:val="clear" w:color="auto" w:fill="auto"/>
            <w:vAlign w:val="bottom"/>
          </w:tcPr>
          <w:p w14:paraId="451F5DFD" w14:textId="77777777" w:rsidR="006501FC" w:rsidRPr="00A56C3A" w:rsidRDefault="006501FC" w:rsidP="00400DD1">
            <w:pPr>
              <w:rPr>
                <w:sz w:val="18"/>
                <w:szCs w:val="18"/>
                <w:rtl/>
              </w:rPr>
            </w:pPr>
          </w:p>
        </w:tc>
        <w:tc>
          <w:tcPr>
            <w:tcW w:w="415" w:type="pct"/>
            <w:shd w:val="clear" w:color="auto" w:fill="auto"/>
            <w:vAlign w:val="bottom"/>
          </w:tcPr>
          <w:p w14:paraId="5F658541" w14:textId="77777777" w:rsidR="006501FC" w:rsidRPr="00A56C3A" w:rsidRDefault="006501FC" w:rsidP="00400DD1">
            <w:pPr>
              <w:rPr>
                <w:sz w:val="18"/>
                <w:szCs w:val="18"/>
                <w:rtl/>
              </w:rPr>
            </w:pPr>
          </w:p>
        </w:tc>
        <w:tc>
          <w:tcPr>
            <w:tcW w:w="418" w:type="pct"/>
            <w:shd w:val="clear" w:color="auto" w:fill="auto"/>
          </w:tcPr>
          <w:p w14:paraId="54B6005A" w14:textId="77777777" w:rsidR="006501FC" w:rsidRPr="00A56C3A" w:rsidRDefault="006501FC" w:rsidP="00400DD1">
            <w:pPr>
              <w:rPr>
                <w:sz w:val="18"/>
                <w:szCs w:val="18"/>
                <w:rtl/>
              </w:rPr>
            </w:pPr>
          </w:p>
        </w:tc>
        <w:tc>
          <w:tcPr>
            <w:tcW w:w="348" w:type="pct"/>
            <w:shd w:val="clear" w:color="auto" w:fill="auto"/>
            <w:vAlign w:val="bottom"/>
          </w:tcPr>
          <w:p w14:paraId="6538728E" w14:textId="77777777" w:rsidR="006501FC" w:rsidRPr="00A56C3A" w:rsidRDefault="006501FC" w:rsidP="00400DD1">
            <w:pPr>
              <w:rPr>
                <w:sz w:val="18"/>
                <w:szCs w:val="18"/>
                <w:rtl/>
              </w:rPr>
            </w:pPr>
          </w:p>
        </w:tc>
        <w:tc>
          <w:tcPr>
            <w:tcW w:w="342" w:type="pct"/>
            <w:shd w:val="clear" w:color="auto" w:fill="auto"/>
            <w:vAlign w:val="bottom"/>
          </w:tcPr>
          <w:p w14:paraId="418FA713" w14:textId="77777777" w:rsidR="006501FC" w:rsidRPr="00A56C3A" w:rsidRDefault="006501FC" w:rsidP="00400DD1">
            <w:pPr>
              <w:rPr>
                <w:sz w:val="18"/>
                <w:szCs w:val="18"/>
                <w:rtl/>
              </w:rPr>
            </w:pPr>
          </w:p>
        </w:tc>
      </w:tr>
      <w:tr w:rsidR="006501FC" w:rsidRPr="00A56C3A" w14:paraId="6304B753" w14:textId="77777777" w:rsidTr="00315101">
        <w:trPr>
          <w:trHeight w:val="259"/>
        </w:trPr>
        <w:tc>
          <w:tcPr>
            <w:tcW w:w="347" w:type="pct"/>
            <w:shd w:val="clear" w:color="auto" w:fill="auto"/>
          </w:tcPr>
          <w:p w14:paraId="644A201C" w14:textId="77777777" w:rsidR="006501FC" w:rsidRPr="00A56C3A" w:rsidRDefault="006501FC" w:rsidP="00400DD1">
            <w:pPr>
              <w:spacing w:before="60"/>
              <w:jc w:val="left"/>
              <w:rPr>
                <w:color w:val="000000"/>
                <w:spacing w:val="-6"/>
                <w:sz w:val="18"/>
                <w:szCs w:val="18"/>
                <w:rtl/>
                <w:lang w:eastAsia="he-IL"/>
              </w:rPr>
            </w:pPr>
          </w:p>
        </w:tc>
        <w:tc>
          <w:tcPr>
            <w:tcW w:w="1950" w:type="pct"/>
            <w:shd w:val="clear" w:color="auto" w:fill="auto"/>
            <w:vAlign w:val="bottom"/>
            <w:hideMark/>
          </w:tcPr>
          <w:p w14:paraId="0ABEB78E" w14:textId="77777777" w:rsidR="006501FC" w:rsidRPr="00D03FC3" w:rsidRDefault="006501FC" w:rsidP="00400DD1">
            <w:pPr>
              <w:jc w:val="left"/>
              <w:rPr>
                <w:color w:val="000000"/>
                <w:sz w:val="18"/>
                <w:szCs w:val="18"/>
                <w:rtl/>
                <w:lang w:eastAsia="he-IL"/>
              </w:rPr>
            </w:pPr>
            <w:r w:rsidRPr="00D03FC3">
              <w:rPr>
                <w:rFonts w:hint="cs"/>
                <w:color w:val="000000"/>
                <w:sz w:val="18"/>
                <w:szCs w:val="18"/>
                <w:rtl/>
                <w:lang w:eastAsia="he-IL"/>
              </w:rPr>
              <w:t>יתרה מאזנית של נכסים בגין מכשירים נגזרים</w:t>
            </w:r>
          </w:p>
        </w:tc>
        <w:tc>
          <w:tcPr>
            <w:tcW w:w="415" w:type="pct"/>
            <w:shd w:val="clear" w:color="auto" w:fill="auto"/>
            <w:vAlign w:val="bottom"/>
            <w:hideMark/>
          </w:tcPr>
          <w:p w14:paraId="51946CD8" w14:textId="77777777" w:rsidR="006501FC" w:rsidRPr="00A56C3A" w:rsidRDefault="006501FC" w:rsidP="00400DD1">
            <w:pPr>
              <w:rPr>
                <w:sz w:val="18"/>
                <w:szCs w:val="18"/>
                <w:rtl/>
              </w:rPr>
            </w:pPr>
            <w:r w:rsidRPr="00A56C3A">
              <w:rPr>
                <w:rFonts w:hint="cs"/>
                <w:sz w:val="18"/>
                <w:szCs w:val="18"/>
                <w:rtl/>
              </w:rPr>
              <w:t xml:space="preserve"> 0</w:t>
            </w:r>
          </w:p>
        </w:tc>
        <w:tc>
          <w:tcPr>
            <w:tcW w:w="349" w:type="pct"/>
            <w:shd w:val="clear" w:color="auto" w:fill="auto"/>
            <w:vAlign w:val="bottom"/>
            <w:hideMark/>
          </w:tcPr>
          <w:p w14:paraId="46208564" w14:textId="77777777" w:rsidR="006501FC" w:rsidRPr="00A56C3A" w:rsidRDefault="006501FC" w:rsidP="00400DD1">
            <w:pPr>
              <w:rPr>
                <w:sz w:val="18"/>
                <w:szCs w:val="18"/>
                <w:rtl/>
              </w:rPr>
            </w:pPr>
            <w:r w:rsidRPr="00A56C3A">
              <w:rPr>
                <w:rFonts w:hint="cs"/>
                <w:sz w:val="18"/>
                <w:szCs w:val="18"/>
                <w:rtl/>
              </w:rPr>
              <w:t xml:space="preserve"> 0</w:t>
            </w:r>
          </w:p>
        </w:tc>
        <w:tc>
          <w:tcPr>
            <w:tcW w:w="417" w:type="pct"/>
            <w:shd w:val="clear" w:color="auto" w:fill="auto"/>
            <w:vAlign w:val="bottom"/>
            <w:hideMark/>
          </w:tcPr>
          <w:p w14:paraId="68AA2EE2" w14:textId="77777777" w:rsidR="006501FC" w:rsidRPr="00A56C3A" w:rsidRDefault="006501FC" w:rsidP="00400DD1">
            <w:pPr>
              <w:rPr>
                <w:sz w:val="18"/>
                <w:szCs w:val="18"/>
                <w:rtl/>
              </w:rPr>
            </w:pPr>
            <w:r w:rsidRPr="00A56C3A">
              <w:rPr>
                <w:rFonts w:hint="cs"/>
                <w:sz w:val="18"/>
                <w:szCs w:val="18"/>
                <w:rtl/>
              </w:rPr>
              <w:t xml:space="preserve"> 0</w:t>
            </w:r>
          </w:p>
        </w:tc>
        <w:tc>
          <w:tcPr>
            <w:tcW w:w="415" w:type="pct"/>
            <w:shd w:val="clear" w:color="auto" w:fill="auto"/>
            <w:vAlign w:val="bottom"/>
            <w:hideMark/>
          </w:tcPr>
          <w:p w14:paraId="63D580F8" w14:textId="77777777" w:rsidR="006501FC" w:rsidRPr="00A56C3A" w:rsidRDefault="006501FC" w:rsidP="00400DD1">
            <w:pPr>
              <w:rPr>
                <w:sz w:val="18"/>
                <w:szCs w:val="18"/>
                <w:rtl/>
              </w:rPr>
            </w:pPr>
            <w:r w:rsidRPr="00A56C3A">
              <w:rPr>
                <w:rFonts w:hint="cs"/>
                <w:sz w:val="18"/>
                <w:szCs w:val="18"/>
                <w:rtl/>
              </w:rPr>
              <w:t xml:space="preserve"> 0</w:t>
            </w:r>
          </w:p>
        </w:tc>
        <w:tc>
          <w:tcPr>
            <w:tcW w:w="418" w:type="pct"/>
            <w:shd w:val="clear" w:color="auto" w:fill="auto"/>
            <w:vAlign w:val="bottom"/>
          </w:tcPr>
          <w:p w14:paraId="10C1A761" w14:textId="77777777" w:rsidR="006501FC" w:rsidRPr="00A56C3A" w:rsidRDefault="006501FC" w:rsidP="00400DD1">
            <w:pPr>
              <w:rPr>
                <w:sz w:val="18"/>
                <w:szCs w:val="18"/>
                <w:rtl/>
              </w:rPr>
            </w:pPr>
            <w:r w:rsidRPr="00A56C3A">
              <w:rPr>
                <w:rFonts w:hint="cs"/>
                <w:sz w:val="18"/>
                <w:szCs w:val="18"/>
                <w:rtl/>
              </w:rPr>
              <w:t xml:space="preserve"> 0</w:t>
            </w:r>
          </w:p>
        </w:tc>
        <w:tc>
          <w:tcPr>
            <w:tcW w:w="348" w:type="pct"/>
            <w:shd w:val="clear" w:color="auto" w:fill="auto"/>
            <w:vAlign w:val="bottom"/>
            <w:hideMark/>
          </w:tcPr>
          <w:p w14:paraId="703EDC53" w14:textId="77777777" w:rsidR="006501FC" w:rsidRPr="00A56C3A" w:rsidRDefault="006501FC" w:rsidP="00400DD1">
            <w:pPr>
              <w:rPr>
                <w:sz w:val="18"/>
                <w:szCs w:val="18"/>
                <w:rtl/>
              </w:rPr>
            </w:pPr>
            <w:r w:rsidRPr="00A56C3A">
              <w:rPr>
                <w:rFonts w:hint="cs"/>
                <w:sz w:val="18"/>
                <w:szCs w:val="18"/>
                <w:rtl/>
              </w:rPr>
              <w:t xml:space="preserve"> 0</w:t>
            </w:r>
          </w:p>
        </w:tc>
        <w:tc>
          <w:tcPr>
            <w:tcW w:w="342" w:type="pct"/>
            <w:shd w:val="clear" w:color="auto" w:fill="auto"/>
            <w:vAlign w:val="bottom"/>
            <w:hideMark/>
          </w:tcPr>
          <w:p w14:paraId="36973CD0" w14:textId="77777777" w:rsidR="006501FC" w:rsidRPr="00A56C3A" w:rsidRDefault="006501FC" w:rsidP="00400DD1">
            <w:pPr>
              <w:rPr>
                <w:sz w:val="18"/>
                <w:szCs w:val="18"/>
                <w:rtl/>
              </w:rPr>
            </w:pPr>
            <w:r w:rsidRPr="00A56C3A">
              <w:rPr>
                <w:rFonts w:hint="cs"/>
                <w:sz w:val="18"/>
                <w:szCs w:val="18"/>
                <w:rtl/>
              </w:rPr>
              <w:t xml:space="preserve"> 0</w:t>
            </w:r>
          </w:p>
        </w:tc>
      </w:tr>
      <w:tr w:rsidR="006501FC" w:rsidRPr="00A56C3A" w14:paraId="07C40F39" w14:textId="77777777" w:rsidTr="00315101">
        <w:trPr>
          <w:trHeight w:val="259"/>
        </w:trPr>
        <w:tc>
          <w:tcPr>
            <w:tcW w:w="347" w:type="pct"/>
            <w:shd w:val="clear" w:color="auto" w:fill="auto"/>
          </w:tcPr>
          <w:p w14:paraId="46F9DB18" w14:textId="77777777" w:rsidR="006501FC" w:rsidRPr="00A56C3A" w:rsidRDefault="006501FC" w:rsidP="00400DD1">
            <w:pPr>
              <w:spacing w:before="60"/>
              <w:rPr>
                <w:sz w:val="18"/>
                <w:szCs w:val="18"/>
                <w:rtl/>
              </w:rPr>
            </w:pPr>
          </w:p>
        </w:tc>
        <w:tc>
          <w:tcPr>
            <w:tcW w:w="1950" w:type="pct"/>
            <w:shd w:val="clear" w:color="auto" w:fill="auto"/>
            <w:vAlign w:val="center"/>
            <w:hideMark/>
          </w:tcPr>
          <w:p w14:paraId="7A570FCA" w14:textId="77777777" w:rsidR="006501FC" w:rsidRPr="00D03FC3" w:rsidRDefault="006501FC" w:rsidP="00400DD1">
            <w:pPr>
              <w:ind w:left="144" w:hanging="144"/>
              <w:jc w:val="left"/>
              <w:rPr>
                <w:color w:val="000000"/>
                <w:sz w:val="18"/>
                <w:szCs w:val="18"/>
                <w:rtl/>
                <w:lang w:eastAsia="he-IL"/>
              </w:rPr>
            </w:pPr>
            <w:r w:rsidRPr="00D03FC3">
              <w:rPr>
                <w:rFonts w:hint="cs"/>
                <w:color w:val="000000"/>
                <w:sz w:val="18"/>
                <w:szCs w:val="18"/>
                <w:u w:val="single"/>
                <w:rtl/>
                <w:lang w:eastAsia="he-IL"/>
              </w:rPr>
              <w:t>סכומים ברוטו שלא קוזזו במאזן</w:t>
            </w:r>
            <w:r w:rsidRPr="00D03FC3">
              <w:rPr>
                <w:rFonts w:hint="cs"/>
                <w:color w:val="000000"/>
                <w:sz w:val="18"/>
                <w:szCs w:val="18"/>
                <w:rtl/>
                <w:lang w:eastAsia="he-IL"/>
              </w:rPr>
              <w:t>:</w:t>
            </w:r>
            <w:r w:rsidRPr="00D03FC3">
              <w:rPr>
                <w:rFonts w:eastAsia="Arial Unicode MS" w:hint="cs"/>
                <w:color w:val="000000"/>
                <w:sz w:val="18"/>
                <w:szCs w:val="18"/>
                <w:vertAlign w:val="superscript"/>
                <w:rtl/>
                <w:lang w:eastAsia="he-IL"/>
              </w:rPr>
              <w:t xml:space="preserve"> </w:t>
            </w:r>
          </w:p>
        </w:tc>
        <w:tc>
          <w:tcPr>
            <w:tcW w:w="415" w:type="pct"/>
            <w:shd w:val="clear" w:color="auto" w:fill="auto"/>
            <w:vAlign w:val="bottom"/>
          </w:tcPr>
          <w:p w14:paraId="7905C40C" w14:textId="77777777" w:rsidR="006501FC" w:rsidRPr="00A56C3A" w:rsidRDefault="006501FC" w:rsidP="00400DD1">
            <w:pPr>
              <w:rPr>
                <w:sz w:val="18"/>
                <w:szCs w:val="18"/>
                <w:rtl/>
              </w:rPr>
            </w:pPr>
          </w:p>
        </w:tc>
        <w:tc>
          <w:tcPr>
            <w:tcW w:w="349" w:type="pct"/>
            <w:shd w:val="clear" w:color="auto" w:fill="auto"/>
            <w:vAlign w:val="bottom"/>
          </w:tcPr>
          <w:p w14:paraId="6D3EF060" w14:textId="77777777" w:rsidR="006501FC" w:rsidRPr="00A56C3A" w:rsidRDefault="006501FC" w:rsidP="00400DD1">
            <w:pPr>
              <w:rPr>
                <w:sz w:val="18"/>
                <w:szCs w:val="18"/>
                <w:rtl/>
              </w:rPr>
            </w:pPr>
          </w:p>
        </w:tc>
        <w:tc>
          <w:tcPr>
            <w:tcW w:w="417" w:type="pct"/>
            <w:shd w:val="clear" w:color="auto" w:fill="auto"/>
            <w:vAlign w:val="bottom"/>
          </w:tcPr>
          <w:p w14:paraId="229881FF" w14:textId="77777777" w:rsidR="006501FC" w:rsidRPr="00A56C3A" w:rsidRDefault="006501FC" w:rsidP="00400DD1">
            <w:pPr>
              <w:rPr>
                <w:sz w:val="18"/>
                <w:szCs w:val="18"/>
                <w:rtl/>
              </w:rPr>
            </w:pPr>
          </w:p>
        </w:tc>
        <w:tc>
          <w:tcPr>
            <w:tcW w:w="415" w:type="pct"/>
            <w:shd w:val="clear" w:color="auto" w:fill="auto"/>
            <w:vAlign w:val="bottom"/>
          </w:tcPr>
          <w:p w14:paraId="4FBFD580" w14:textId="77777777" w:rsidR="006501FC" w:rsidRPr="00A56C3A" w:rsidRDefault="006501FC" w:rsidP="00400DD1">
            <w:pPr>
              <w:rPr>
                <w:sz w:val="18"/>
                <w:szCs w:val="18"/>
                <w:rtl/>
              </w:rPr>
            </w:pPr>
          </w:p>
        </w:tc>
        <w:tc>
          <w:tcPr>
            <w:tcW w:w="418" w:type="pct"/>
            <w:shd w:val="clear" w:color="auto" w:fill="auto"/>
            <w:vAlign w:val="bottom"/>
          </w:tcPr>
          <w:p w14:paraId="0D6E5C61" w14:textId="77777777" w:rsidR="006501FC" w:rsidRPr="00A56C3A" w:rsidRDefault="006501FC" w:rsidP="00400DD1">
            <w:pPr>
              <w:rPr>
                <w:sz w:val="18"/>
                <w:szCs w:val="18"/>
                <w:rtl/>
              </w:rPr>
            </w:pPr>
          </w:p>
        </w:tc>
        <w:tc>
          <w:tcPr>
            <w:tcW w:w="348" w:type="pct"/>
            <w:shd w:val="clear" w:color="auto" w:fill="auto"/>
            <w:vAlign w:val="bottom"/>
          </w:tcPr>
          <w:p w14:paraId="5DDAB6A6" w14:textId="77777777" w:rsidR="006501FC" w:rsidRPr="00A56C3A" w:rsidRDefault="006501FC" w:rsidP="00400DD1">
            <w:pPr>
              <w:rPr>
                <w:sz w:val="18"/>
                <w:szCs w:val="18"/>
                <w:rtl/>
              </w:rPr>
            </w:pPr>
          </w:p>
        </w:tc>
        <w:tc>
          <w:tcPr>
            <w:tcW w:w="342" w:type="pct"/>
            <w:shd w:val="clear" w:color="auto" w:fill="auto"/>
            <w:vAlign w:val="bottom"/>
          </w:tcPr>
          <w:p w14:paraId="2A9DEE19" w14:textId="77777777" w:rsidR="006501FC" w:rsidRPr="00A56C3A" w:rsidRDefault="006501FC" w:rsidP="00400DD1">
            <w:pPr>
              <w:rPr>
                <w:sz w:val="18"/>
                <w:szCs w:val="18"/>
                <w:rtl/>
              </w:rPr>
            </w:pPr>
          </w:p>
        </w:tc>
      </w:tr>
      <w:tr w:rsidR="006501FC" w:rsidRPr="00A56C3A" w14:paraId="5327B187" w14:textId="77777777" w:rsidTr="00315101">
        <w:trPr>
          <w:trHeight w:val="259"/>
        </w:trPr>
        <w:tc>
          <w:tcPr>
            <w:tcW w:w="347" w:type="pct"/>
            <w:shd w:val="clear" w:color="auto" w:fill="auto"/>
          </w:tcPr>
          <w:p w14:paraId="0788C4E5" w14:textId="77777777" w:rsidR="006501FC" w:rsidRPr="00A56C3A" w:rsidRDefault="006501FC" w:rsidP="00400DD1">
            <w:pPr>
              <w:rPr>
                <w:sz w:val="18"/>
                <w:szCs w:val="18"/>
                <w:rtl/>
              </w:rPr>
            </w:pPr>
          </w:p>
        </w:tc>
        <w:tc>
          <w:tcPr>
            <w:tcW w:w="1950" w:type="pct"/>
            <w:shd w:val="clear" w:color="auto" w:fill="auto"/>
            <w:vAlign w:val="center"/>
            <w:hideMark/>
          </w:tcPr>
          <w:p w14:paraId="24F627BC" w14:textId="77777777" w:rsidR="006501FC" w:rsidRPr="00D03FC3" w:rsidRDefault="006501FC" w:rsidP="00400DD1">
            <w:pPr>
              <w:ind w:left="170"/>
              <w:jc w:val="left"/>
              <w:rPr>
                <w:color w:val="000000"/>
                <w:sz w:val="18"/>
                <w:szCs w:val="18"/>
                <w:rtl/>
                <w:lang w:eastAsia="he-IL"/>
              </w:rPr>
            </w:pPr>
            <w:r w:rsidRPr="00D03FC3">
              <w:rPr>
                <w:rFonts w:hint="cs"/>
                <w:color w:val="000000"/>
                <w:sz w:val="18"/>
                <w:szCs w:val="18"/>
                <w:rtl/>
                <w:lang w:eastAsia="he-IL"/>
              </w:rPr>
              <w:t>הפחתת סיכון אשראי בגין מכשירים פיננסיים</w:t>
            </w:r>
          </w:p>
        </w:tc>
        <w:tc>
          <w:tcPr>
            <w:tcW w:w="415" w:type="pct"/>
            <w:shd w:val="clear" w:color="auto" w:fill="auto"/>
            <w:vAlign w:val="bottom"/>
            <w:hideMark/>
          </w:tcPr>
          <w:p w14:paraId="125F2706" w14:textId="77777777" w:rsidR="006501FC" w:rsidRPr="00A56C3A" w:rsidRDefault="006501FC" w:rsidP="00400DD1">
            <w:pPr>
              <w:rPr>
                <w:sz w:val="18"/>
                <w:szCs w:val="18"/>
                <w:rtl/>
              </w:rPr>
            </w:pPr>
            <w:r w:rsidRPr="00A56C3A">
              <w:rPr>
                <w:rFonts w:hint="cs"/>
                <w:sz w:val="18"/>
                <w:szCs w:val="18"/>
                <w:rtl/>
              </w:rPr>
              <w:t>(0)</w:t>
            </w:r>
          </w:p>
        </w:tc>
        <w:tc>
          <w:tcPr>
            <w:tcW w:w="349" w:type="pct"/>
            <w:shd w:val="clear" w:color="auto" w:fill="auto"/>
            <w:vAlign w:val="bottom"/>
            <w:hideMark/>
          </w:tcPr>
          <w:p w14:paraId="6768CED8" w14:textId="77777777" w:rsidR="006501FC" w:rsidRPr="00A56C3A" w:rsidRDefault="006501FC" w:rsidP="00400DD1">
            <w:pPr>
              <w:rPr>
                <w:sz w:val="18"/>
                <w:szCs w:val="18"/>
                <w:rtl/>
              </w:rPr>
            </w:pPr>
            <w:r w:rsidRPr="00A56C3A">
              <w:rPr>
                <w:rFonts w:hint="cs"/>
                <w:sz w:val="18"/>
                <w:szCs w:val="18"/>
                <w:rtl/>
              </w:rPr>
              <w:t>(0)</w:t>
            </w:r>
          </w:p>
        </w:tc>
        <w:tc>
          <w:tcPr>
            <w:tcW w:w="417" w:type="pct"/>
            <w:shd w:val="clear" w:color="auto" w:fill="auto"/>
            <w:vAlign w:val="bottom"/>
            <w:hideMark/>
          </w:tcPr>
          <w:p w14:paraId="3AD4211E" w14:textId="77777777" w:rsidR="006501FC" w:rsidRPr="00A56C3A" w:rsidRDefault="006501FC" w:rsidP="00400DD1">
            <w:pPr>
              <w:rPr>
                <w:sz w:val="18"/>
                <w:szCs w:val="18"/>
                <w:rtl/>
              </w:rPr>
            </w:pPr>
            <w:r w:rsidRPr="00A56C3A">
              <w:rPr>
                <w:rFonts w:hint="cs"/>
                <w:sz w:val="18"/>
                <w:szCs w:val="18"/>
                <w:rtl/>
              </w:rPr>
              <w:t>(0)</w:t>
            </w:r>
          </w:p>
        </w:tc>
        <w:tc>
          <w:tcPr>
            <w:tcW w:w="415" w:type="pct"/>
            <w:shd w:val="clear" w:color="auto" w:fill="auto"/>
            <w:vAlign w:val="bottom"/>
            <w:hideMark/>
          </w:tcPr>
          <w:p w14:paraId="77073DE8" w14:textId="77777777" w:rsidR="006501FC" w:rsidRPr="00A56C3A" w:rsidRDefault="006501FC" w:rsidP="00400DD1">
            <w:pPr>
              <w:rPr>
                <w:sz w:val="18"/>
                <w:szCs w:val="18"/>
                <w:rtl/>
              </w:rPr>
            </w:pPr>
            <w:r w:rsidRPr="00A56C3A">
              <w:rPr>
                <w:rFonts w:hint="cs"/>
                <w:sz w:val="18"/>
                <w:szCs w:val="18"/>
                <w:rtl/>
              </w:rPr>
              <w:t>(0)</w:t>
            </w:r>
          </w:p>
        </w:tc>
        <w:tc>
          <w:tcPr>
            <w:tcW w:w="418" w:type="pct"/>
            <w:shd w:val="clear" w:color="auto" w:fill="auto"/>
            <w:vAlign w:val="bottom"/>
          </w:tcPr>
          <w:p w14:paraId="6BDEEE75" w14:textId="77777777" w:rsidR="006501FC" w:rsidRPr="00A56C3A" w:rsidRDefault="006501FC" w:rsidP="00400DD1">
            <w:pPr>
              <w:rPr>
                <w:sz w:val="18"/>
                <w:szCs w:val="18"/>
                <w:rtl/>
              </w:rPr>
            </w:pPr>
            <w:r w:rsidRPr="00A56C3A">
              <w:rPr>
                <w:rFonts w:hint="cs"/>
                <w:sz w:val="18"/>
                <w:szCs w:val="18"/>
                <w:rtl/>
              </w:rPr>
              <w:t>(0)</w:t>
            </w:r>
          </w:p>
        </w:tc>
        <w:tc>
          <w:tcPr>
            <w:tcW w:w="348" w:type="pct"/>
            <w:shd w:val="clear" w:color="auto" w:fill="auto"/>
            <w:vAlign w:val="bottom"/>
            <w:hideMark/>
          </w:tcPr>
          <w:p w14:paraId="626EDE09" w14:textId="77777777" w:rsidR="006501FC" w:rsidRPr="00A56C3A" w:rsidRDefault="006501FC" w:rsidP="00400DD1">
            <w:pPr>
              <w:rPr>
                <w:sz w:val="18"/>
                <w:szCs w:val="18"/>
                <w:rtl/>
              </w:rPr>
            </w:pPr>
            <w:r w:rsidRPr="00A56C3A">
              <w:rPr>
                <w:rFonts w:hint="cs"/>
                <w:sz w:val="18"/>
                <w:szCs w:val="18"/>
                <w:rtl/>
              </w:rPr>
              <w:t>(0)</w:t>
            </w:r>
          </w:p>
        </w:tc>
        <w:tc>
          <w:tcPr>
            <w:tcW w:w="342" w:type="pct"/>
            <w:shd w:val="clear" w:color="auto" w:fill="auto"/>
            <w:vAlign w:val="bottom"/>
            <w:hideMark/>
          </w:tcPr>
          <w:p w14:paraId="5248EFE3" w14:textId="77777777" w:rsidR="006501FC" w:rsidRPr="00A56C3A" w:rsidRDefault="006501FC" w:rsidP="00400DD1">
            <w:pPr>
              <w:rPr>
                <w:sz w:val="18"/>
                <w:szCs w:val="18"/>
                <w:rtl/>
              </w:rPr>
            </w:pPr>
            <w:r w:rsidRPr="00A56C3A">
              <w:rPr>
                <w:rFonts w:hint="cs"/>
                <w:sz w:val="18"/>
                <w:szCs w:val="18"/>
                <w:rtl/>
              </w:rPr>
              <w:t>(0)</w:t>
            </w:r>
            <w:r w:rsidRPr="00A56C3A">
              <w:rPr>
                <w:rFonts w:hint="cs"/>
                <w:sz w:val="18"/>
                <w:szCs w:val="18"/>
                <w:vertAlign w:val="superscript"/>
                <w:rtl/>
              </w:rPr>
              <w:t>(</w:t>
            </w:r>
            <w:r>
              <w:rPr>
                <w:rFonts w:hint="cs"/>
                <w:sz w:val="18"/>
                <w:szCs w:val="18"/>
                <w:vertAlign w:val="superscript"/>
                <w:rtl/>
              </w:rPr>
              <w:t>א</w:t>
            </w:r>
            <w:r w:rsidRPr="00A56C3A">
              <w:rPr>
                <w:rFonts w:hint="cs"/>
                <w:sz w:val="18"/>
                <w:szCs w:val="18"/>
                <w:vertAlign w:val="superscript"/>
                <w:rtl/>
              </w:rPr>
              <w:t>)</w:t>
            </w:r>
          </w:p>
        </w:tc>
      </w:tr>
      <w:tr w:rsidR="006501FC" w:rsidRPr="00A56C3A" w14:paraId="2327D897" w14:textId="77777777" w:rsidTr="00315101">
        <w:trPr>
          <w:trHeight w:val="259"/>
        </w:trPr>
        <w:tc>
          <w:tcPr>
            <w:tcW w:w="347" w:type="pct"/>
            <w:shd w:val="clear" w:color="auto" w:fill="auto"/>
          </w:tcPr>
          <w:p w14:paraId="34D26E9F" w14:textId="77777777" w:rsidR="006501FC" w:rsidRPr="00A56C3A" w:rsidRDefault="006501FC" w:rsidP="00400DD1">
            <w:pPr>
              <w:rPr>
                <w:sz w:val="18"/>
                <w:szCs w:val="18"/>
                <w:rtl/>
              </w:rPr>
            </w:pPr>
          </w:p>
        </w:tc>
        <w:tc>
          <w:tcPr>
            <w:tcW w:w="1950" w:type="pct"/>
            <w:shd w:val="clear" w:color="auto" w:fill="auto"/>
            <w:vAlign w:val="center"/>
            <w:hideMark/>
          </w:tcPr>
          <w:p w14:paraId="07EA96CB" w14:textId="77777777" w:rsidR="006501FC" w:rsidRPr="00D03FC3" w:rsidRDefault="006501FC" w:rsidP="00400DD1">
            <w:pPr>
              <w:ind w:left="170"/>
              <w:jc w:val="left"/>
              <w:rPr>
                <w:color w:val="000000"/>
                <w:sz w:val="18"/>
                <w:szCs w:val="18"/>
                <w:rtl/>
                <w:lang w:eastAsia="he-IL"/>
              </w:rPr>
            </w:pPr>
            <w:r w:rsidRPr="00D03FC3">
              <w:rPr>
                <w:rFonts w:hint="cs"/>
                <w:color w:val="000000"/>
                <w:sz w:val="18"/>
                <w:szCs w:val="18"/>
                <w:rtl/>
                <w:lang w:eastAsia="he-IL"/>
              </w:rPr>
              <w:t>הפחתת סיכון אשראי בגין ביטחון במזומן שהתקבל</w:t>
            </w:r>
          </w:p>
        </w:tc>
        <w:tc>
          <w:tcPr>
            <w:tcW w:w="415" w:type="pct"/>
            <w:shd w:val="clear" w:color="auto" w:fill="auto"/>
            <w:vAlign w:val="bottom"/>
            <w:hideMark/>
          </w:tcPr>
          <w:p w14:paraId="4DA792BB"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349" w:type="pct"/>
            <w:shd w:val="clear" w:color="auto" w:fill="auto"/>
            <w:vAlign w:val="bottom"/>
            <w:hideMark/>
          </w:tcPr>
          <w:p w14:paraId="30B4F77C"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417" w:type="pct"/>
            <w:shd w:val="clear" w:color="auto" w:fill="auto"/>
            <w:vAlign w:val="bottom"/>
            <w:hideMark/>
          </w:tcPr>
          <w:p w14:paraId="29872AF0"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415" w:type="pct"/>
            <w:shd w:val="clear" w:color="auto" w:fill="auto"/>
            <w:vAlign w:val="bottom"/>
            <w:hideMark/>
          </w:tcPr>
          <w:p w14:paraId="4186F954"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418" w:type="pct"/>
            <w:shd w:val="clear" w:color="auto" w:fill="auto"/>
            <w:vAlign w:val="bottom"/>
          </w:tcPr>
          <w:p w14:paraId="7217D192"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348" w:type="pct"/>
            <w:shd w:val="clear" w:color="auto" w:fill="auto"/>
            <w:vAlign w:val="bottom"/>
            <w:hideMark/>
          </w:tcPr>
          <w:p w14:paraId="16CFC7E0"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342" w:type="pct"/>
            <w:shd w:val="clear" w:color="auto" w:fill="auto"/>
            <w:vAlign w:val="bottom"/>
            <w:hideMark/>
          </w:tcPr>
          <w:p w14:paraId="3C339D57"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r>
      <w:tr w:rsidR="006501FC" w:rsidRPr="00A56C3A" w14:paraId="04E9809E" w14:textId="77777777" w:rsidTr="00315101">
        <w:trPr>
          <w:trHeight w:val="259"/>
        </w:trPr>
        <w:tc>
          <w:tcPr>
            <w:tcW w:w="347" w:type="pct"/>
            <w:shd w:val="clear" w:color="auto" w:fill="auto"/>
          </w:tcPr>
          <w:p w14:paraId="4AACE55B" w14:textId="77777777" w:rsidR="006501FC" w:rsidRPr="00A56C3A" w:rsidRDefault="006501FC" w:rsidP="00400DD1">
            <w:pPr>
              <w:rPr>
                <w:sz w:val="18"/>
                <w:szCs w:val="18"/>
                <w:rtl/>
              </w:rPr>
            </w:pPr>
          </w:p>
        </w:tc>
        <w:tc>
          <w:tcPr>
            <w:tcW w:w="1950" w:type="pct"/>
            <w:shd w:val="clear" w:color="auto" w:fill="auto"/>
            <w:vAlign w:val="bottom"/>
            <w:hideMark/>
          </w:tcPr>
          <w:p w14:paraId="65E7BF5B" w14:textId="77777777" w:rsidR="006501FC" w:rsidRPr="00D03FC3" w:rsidRDefault="006501FC" w:rsidP="00400DD1">
            <w:pPr>
              <w:jc w:val="left"/>
              <w:rPr>
                <w:color w:val="000000"/>
                <w:sz w:val="18"/>
                <w:szCs w:val="18"/>
                <w:rtl/>
                <w:lang w:eastAsia="he-IL"/>
              </w:rPr>
            </w:pPr>
            <w:r w:rsidRPr="00D03FC3">
              <w:rPr>
                <w:rFonts w:hint="cs"/>
                <w:color w:val="000000"/>
                <w:sz w:val="18"/>
                <w:szCs w:val="18"/>
                <w:rtl/>
                <w:lang w:eastAsia="he-IL"/>
              </w:rPr>
              <w:t>סיכון אשראי מאזני בגין</w:t>
            </w:r>
            <w:r w:rsidRPr="00D03FC3">
              <w:rPr>
                <w:color w:val="000000"/>
                <w:sz w:val="18"/>
                <w:szCs w:val="18"/>
                <w:rtl/>
                <w:lang w:eastAsia="he-IL"/>
              </w:rPr>
              <w:t xml:space="preserve"> מכשירים </w:t>
            </w:r>
            <w:r w:rsidRPr="00D03FC3">
              <w:rPr>
                <w:rFonts w:hint="cs"/>
                <w:color w:val="000000"/>
                <w:sz w:val="18"/>
                <w:szCs w:val="18"/>
                <w:rtl/>
                <w:lang w:eastAsia="he-IL"/>
              </w:rPr>
              <w:t>נגזרים</w:t>
            </w:r>
          </w:p>
        </w:tc>
        <w:tc>
          <w:tcPr>
            <w:tcW w:w="415" w:type="pct"/>
            <w:shd w:val="clear" w:color="auto" w:fill="auto"/>
            <w:vAlign w:val="bottom"/>
            <w:hideMark/>
          </w:tcPr>
          <w:p w14:paraId="06A4E419" w14:textId="77777777" w:rsidR="006501FC" w:rsidRPr="00A56C3A" w:rsidRDefault="006501FC" w:rsidP="00400DD1">
            <w:pPr>
              <w:rPr>
                <w:sz w:val="18"/>
                <w:szCs w:val="18"/>
                <w:rtl/>
              </w:rPr>
            </w:pPr>
            <w:r w:rsidRPr="00A56C3A">
              <w:rPr>
                <w:rFonts w:hint="cs"/>
                <w:sz w:val="18"/>
                <w:szCs w:val="18"/>
                <w:rtl/>
              </w:rPr>
              <w:t xml:space="preserve"> 0</w:t>
            </w:r>
          </w:p>
        </w:tc>
        <w:tc>
          <w:tcPr>
            <w:tcW w:w="349" w:type="pct"/>
            <w:shd w:val="clear" w:color="auto" w:fill="auto"/>
            <w:vAlign w:val="bottom"/>
            <w:hideMark/>
          </w:tcPr>
          <w:p w14:paraId="7ECF44FB" w14:textId="77777777" w:rsidR="006501FC" w:rsidRPr="00A56C3A" w:rsidRDefault="006501FC" w:rsidP="00400DD1">
            <w:pPr>
              <w:rPr>
                <w:sz w:val="18"/>
                <w:szCs w:val="18"/>
                <w:rtl/>
              </w:rPr>
            </w:pPr>
            <w:r w:rsidRPr="00A56C3A">
              <w:rPr>
                <w:rFonts w:hint="cs"/>
                <w:sz w:val="18"/>
                <w:szCs w:val="18"/>
                <w:rtl/>
              </w:rPr>
              <w:t xml:space="preserve"> 0</w:t>
            </w:r>
          </w:p>
        </w:tc>
        <w:tc>
          <w:tcPr>
            <w:tcW w:w="417" w:type="pct"/>
            <w:shd w:val="clear" w:color="auto" w:fill="auto"/>
            <w:vAlign w:val="bottom"/>
            <w:hideMark/>
          </w:tcPr>
          <w:p w14:paraId="70965056" w14:textId="77777777" w:rsidR="006501FC" w:rsidRPr="00A56C3A" w:rsidRDefault="006501FC" w:rsidP="00400DD1">
            <w:pPr>
              <w:rPr>
                <w:sz w:val="18"/>
                <w:szCs w:val="18"/>
                <w:rtl/>
              </w:rPr>
            </w:pPr>
            <w:r w:rsidRPr="00A56C3A">
              <w:rPr>
                <w:rFonts w:hint="cs"/>
                <w:sz w:val="18"/>
                <w:szCs w:val="18"/>
                <w:rtl/>
              </w:rPr>
              <w:t xml:space="preserve"> 0</w:t>
            </w:r>
          </w:p>
        </w:tc>
        <w:tc>
          <w:tcPr>
            <w:tcW w:w="415" w:type="pct"/>
            <w:shd w:val="clear" w:color="auto" w:fill="auto"/>
            <w:vAlign w:val="bottom"/>
            <w:hideMark/>
          </w:tcPr>
          <w:p w14:paraId="5194D685" w14:textId="77777777" w:rsidR="006501FC" w:rsidRPr="00A56C3A" w:rsidRDefault="006501FC" w:rsidP="00400DD1">
            <w:pPr>
              <w:rPr>
                <w:sz w:val="18"/>
                <w:szCs w:val="18"/>
                <w:rtl/>
              </w:rPr>
            </w:pPr>
            <w:r w:rsidRPr="00A56C3A">
              <w:rPr>
                <w:rFonts w:hint="cs"/>
                <w:sz w:val="18"/>
                <w:szCs w:val="18"/>
                <w:rtl/>
              </w:rPr>
              <w:t xml:space="preserve"> 0</w:t>
            </w:r>
          </w:p>
        </w:tc>
        <w:tc>
          <w:tcPr>
            <w:tcW w:w="418" w:type="pct"/>
            <w:shd w:val="clear" w:color="auto" w:fill="auto"/>
            <w:vAlign w:val="bottom"/>
          </w:tcPr>
          <w:p w14:paraId="55F6A014" w14:textId="77777777" w:rsidR="006501FC" w:rsidRPr="00A56C3A" w:rsidRDefault="006501FC" w:rsidP="00400DD1">
            <w:pPr>
              <w:rPr>
                <w:sz w:val="18"/>
                <w:szCs w:val="18"/>
                <w:rtl/>
              </w:rPr>
            </w:pPr>
            <w:r w:rsidRPr="00A56C3A">
              <w:rPr>
                <w:rFonts w:hint="cs"/>
                <w:sz w:val="18"/>
                <w:szCs w:val="18"/>
                <w:rtl/>
              </w:rPr>
              <w:t xml:space="preserve"> 0</w:t>
            </w:r>
          </w:p>
        </w:tc>
        <w:tc>
          <w:tcPr>
            <w:tcW w:w="348" w:type="pct"/>
            <w:shd w:val="clear" w:color="auto" w:fill="auto"/>
            <w:vAlign w:val="bottom"/>
            <w:hideMark/>
          </w:tcPr>
          <w:p w14:paraId="71681174" w14:textId="77777777" w:rsidR="006501FC" w:rsidRPr="00A56C3A" w:rsidRDefault="006501FC" w:rsidP="00400DD1">
            <w:pPr>
              <w:rPr>
                <w:sz w:val="18"/>
                <w:szCs w:val="18"/>
                <w:rtl/>
              </w:rPr>
            </w:pPr>
            <w:r w:rsidRPr="00A56C3A">
              <w:rPr>
                <w:rFonts w:hint="cs"/>
                <w:sz w:val="18"/>
                <w:szCs w:val="18"/>
                <w:rtl/>
              </w:rPr>
              <w:t xml:space="preserve"> 0</w:t>
            </w:r>
          </w:p>
        </w:tc>
        <w:tc>
          <w:tcPr>
            <w:tcW w:w="342" w:type="pct"/>
            <w:shd w:val="clear" w:color="auto" w:fill="auto"/>
            <w:vAlign w:val="bottom"/>
            <w:hideMark/>
          </w:tcPr>
          <w:p w14:paraId="40728873" w14:textId="77777777" w:rsidR="006501FC" w:rsidRPr="00A56C3A" w:rsidRDefault="006501FC" w:rsidP="00400DD1">
            <w:pPr>
              <w:rPr>
                <w:sz w:val="18"/>
                <w:szCs w:val="18"/>
                <w:rtl/>
              </w:rPr>
            </w:pPr>
            <w:r w:rsidRPr="00A56C3A">
              <w:rPr>
                <w:rFonts w:hint="cs"/>
                <w:sz w:val="18"/>
                <w:szCs w:val="18"/>
                <w:rtl/>
              </w:rPr>
              <w:t xml:space="preserve"> 0</w:t>
            </w:r>
          </w:p>
        </w:tc>
      </w:tr>
      <w:tr w:rsidR="006501FC" w:rsidRPr="00A56C3A" w14:paraId="37BC61A0" w14:textId="77777777" w:rsidTr="00315101">
        <w:trPr>
          <w:trHeight w:val="74"/>
        </w:trPr>
        <w:tc>
          <w:tcPr>
            <w:tcW w:w="347" w:type="pct"/>
            <w:shd w:val="clear" w:color="auto" w:fill="auto"/>
          </w:tcPr>
          <w:p w14:paraId="0CF7E2E7" w14:textId="77777777" w:rsidR="006501FC" w:rsidRPr="00A56C3A" w:rsidRDefault="006501FC" w:rsidP="00400DD1">
            <w:pPr>
              <w:bidi w:val="0"/>
              <w:spacing w:line="60" w:lineRule="exact"/>
              <w:rPr>
                <w:sz w:val="18"/>
                <w:szCs w:val="18"/>
                <w:rtl/>
              </w:rPr>
            </w:pPr>
          </w:p>
        </w:tc>
        <w:tc>
          <w:tcPr>
            <w:tcW w:w="1950" w:type="pct"/>
            <w:shd w:val="clear" w:color="auto" w:fill="auto"/>
            <w:vAlign w:val="bottom"/>
          </w:tcPr>
          <w:p w14:paraId="1CC85F8F" w14:textId="77777777" w:rsidR="006501FC" w:rsidRPr="00D03FC3" w:rsidRDefault="006501FC" w:rsidP="00400DD1">
            <w:pPr>
              <w:bidi w:val="0"/>
              <w:spacing w:before="40" w:line="60" w:lineRule="exact"/>
              <w:ind w:left="142" w:hanging="142"/>
              <w:rPr>
                <w:color w:val="000000"/>
                <w:sz w:val="18"/>
                <w:szCs w:val="18"/>
                <w:rtl/>
                <w:lang w:eastAsia="he-IL"/>
              </w:rPr>
            </w:pPr>
          </w:p>
        </w:tc>
        <w:tc>
          <w:tcPr>
            <w:tcW w:w="415" w:type="pct"/>
            <w:shd w:val="clear" w:color="auto" w:fill="auto"/>
            <w:vAlign w:val="bottom"/>
          </w:tcPr>
          <w:p w14:paraId="4E06A7CC" w14:textId="77777777" w:rsidR="006501FC" w:rsidRPr="00A56C3A" w:rsidRDefault="006501FC" w:rsidP="00400DD1">
            <w:pPr>
              <w:bidi w:val="0"/>
              <w:spacing w:line="60" w:lineRule="exact"/>
              <w:rPr>
                <w:sz w:val="18"/>
                <w:szCs w:val="18"/>
                <w:rtl/>
              </w:rPr>
            </w:pPr>
          </w:p>
        </w:tc>
        <w:tc>
          <w:tcPr>
            <w:tcW w:w="349" w:type="pct"/>
            <w:shd w:val="clear" w:color="auto" w:fill="auto"/>
            <w:vAlign w:val="bottom"/>
          </w:tcPr>
          <w:p w14:paraId="70601572" w14:textId="77777777" w:rsidR="006501FC" w:rsidRPr="00A56C3A" w:rsidRDefault="006501FC" w:rsidP="00400DD1">
            <w:pPr>
              <w:bidi w:val="0"/>
              <w:spacing w:line="60" w:lineRule="exact"/>
              <w:rPr>
                <w:sz w:val="18"/>
                <w:szCs w:val="18"/>
                <w:rtl/>
              </w:rPr>
            </w:pPr>
          </w:p>
        </w:tc>
        <w:tc>
          <w:tcPr>
            <w:tcW w:w="417" w:type="pct"/>
            <w:shd w:val="clear" w:color="auto" w:fill="auto"/>
            <w:vAlign w:val="bottom"/>
          </w:tcPr>
          <w:p w14:paraId="3123BC89" w14:textId="77777777" w:rsidR="006501FC" w:rsidRPr="00A56C3A" w:rsidRDefault="006501FC" w:rsidP="00400DD1">
            <w:pPr>
              <w:bidi w:val="0"/>
              <w:spacing w:line="60" w:lineRule="exact"/>
              <w:rPr>
                <w:sz w:val="18"/>
                <w:szCs w:val="18"/>
                <w:rtl/>
              </w:rPr>
            </w:pPr>
          </w:p>
        </w:tc>
        <w:tc>
          <w:tcPr>
            <w:tcW w:w="415" w:type="pct"/>
            <w:shd w:val="clear" w:color="auto" w:fill="auto"/>
            <w:vAlign w:val="bottom"/>
          </w:tcPr>
          <w:p w14:paraId="4304B301" w14:textId="77777777" w:rsidR="006501FC" w:rsidRPr="00A56C3A" w:rsidRDefault="006501FC" w:rsidP="00400DD1">
            <w:pPr>
              <w:bidi w:val="0"/>
              <w:spacing w:line="60" w:lineRule="exact"/>
              <w:rPr>
                <w:sz w:val="18"/>
                <w:szCs w:val="18"/>
                <w:rtl/>
              </w:rPr>
            </w:pPr>
          </w:p>
        </w:tc>
        <w:tc>
          <w:tcPr>
            <w:tcW w:w="418" w:type="pct"/>
            <w:shd w:val="clear" w:color="auto" w:fill="auto"/>
            <w:vAlign w:val="bottom"/>
          </w:tcPr>
          <w:p w14:paraId="26540209" w14:textId="77777777" w:rsidR="006501FC" w:rsidRPr="00A56C3A" w:rsidRDefault="006501FC" w:rsidP="00400DD1">
            <w:pPr>
              <w:bidi w:val="0"/>
              <w:spacing w:line="60" w:lineRule="exact"/>
              <w:rPr>
                <w:sz w:val="18"/>
                <w:szCs w:val="18"/>
                <w:rtl/>
              </w:rPr>
            </w:pPr>
          </w:p>
        </w:tc>
        <w:tc>
          <w:tcPr>
            <w:tcW w:w="348" w:type="pct"/>
            <w:shd w:val="clear" w:color="auto" w:fill="auto"/>
            <w:vAlign w:val="bottom"/>
          </w:tcPr>
          <w:p w14:paraId="7FDED07B" w14:textId="77777777" w:rsidR="006501FC" w:rsidRPr="00A56C3A" w:rsidRDefault="006501FC" w:rsidP="00400DD1">
            <w:pPr>
              <w:bidi w:val="0"/>
              <w:spacing w:line="60" w:lineRule="exact"/>
              <w:rPr>
                <w:sz w:val="18"/>
                <w:szCs w:val="18"/>
                <w:rtl/>
              </w:rPr>
            </w:pPr>
          </w:p>
        </w:tc>
        <w:tc>
          <w:tcPr>
            <w:tcW w:w="342" w:type="pct"/>
            <w:shd w:val="clear" w:color="auto" w:fill="auto"/>
            <w:vAlign w:val="bottom"/>
          </w:tcPr>
          <w:p w14:paraId="21F10E40" w14:textId="77777777" w:rsidR="006501FC" w:rsidRPr="00A56C3A" w:rsidRDefault="006501FC" w:rsidP="00400DD1">
            <w:pPr>
              <w:bidi w:val="0"/>
              <w:spacing w:line="60" w:lineRule="exact"/>
              <w:rPr>
                <w:sz w:val="18"/>
                <w:szCs w:val="18"/>
                <w:rtl/>
              </w:rPr>
            </w:pPr>
          </w:p>
        </w:tc>
      </w:tr>
      <w:tr w:rsidR="006501FC" w:rsidRPr="00A56C3A" w14:paraId="438FB133" w14:textId="77777777" w:rsidTr="00315101">
        <w:trPr>
          <w:trHeight w:val="259"/>
        </w:trPr>
        <w:tc>
          <w:tcPr>
            <w:tcW w:w="347" w:type="pct"/>
            <w:shd w:val="clear" w:color="auto" w:fill="auto"/>
          </w:tcPr>
          <w:p w14:paraId="50FA0FB1" w14:textId="77777777" w:rsidR="006501FC" w:rsidRPr="00A56C3A" w:rsidRDefault="006501FC" w:rsidP="00400DD1">
            <w:pPr>
              <w:rPr>
                <w:sz w:val="18"/>
                <w:szCs w:val="18"/>
                <w:rtl/>
              </w:rPr>
            </w:pPr>
          </w:p>
        </w:tc>
        <w:tc>
          <w:tcPr>
            <w:tcW w:w="1950" w:type="pct"/>
            <w:shd w:val="clear" w:color="auto" w:fill="auto"/>
            <w:vAlign w:val="bottom"/>
            <w:hideMark/>
          </w:tcPr>
          <w:p w14:paraId="2438C79A" w14:textId="77777777" w:rsidR="006501FC" w:rsidRPr="00D03FC3" w:rsidRDefault="006501FC" w:rsidP="00400DD1">
            <w:pPr>
              <w:jc w:val="left"/>
              <w:rPr>
                <w:color w:val="000000"/>
                <w:sz w:val="18"/>
                <w:szCs w:val="18"/>
                <w:rtl/>
                <w:lang w:eastAsia="he-IL"/>
              </w:rPr>
            </w:pPr>
            <w:r w:rsidRPr="00D03FC3">
              <w:rPr>
                <w:rFonts w:hint="cs"/>
                <w:color w:val="000000"/>
                <w:sz w:val="18"/>
                <w:szCs w:val="18"/>
                <w:rtl/>
                <w:lang w:eastAsia="he-IL"/>
              </w:rPr>
              <w:t>סיכון אשראי חוץ מאזני נטו בגין מכשירים נגזרים</w:t>
            </w:r>
            <w:r w:rsidRPr="00D03FC3">
              <w:rPr>
                <w:rFonts w:hint="cs"/>
                <w:color w:val="000000"/>
                <w:sz w:val="18"/>
                <w:szCs w:val="18"/>
                <w:vertAlign w:val="superscript"/>
                <w:rtl/>
                <w:lang w:eastAsia="he-IL"/>
              </w:rPr>
              <w:t xml:space="preserve"> </w:t>
            </w:r>
            <w:r>
              <w:rPr>
                <w:rFonts w:hint="cs"/>
                <w:color w:val="000000"/>
                <w:sz w:val="18"/>
                <w:szCs w:val="18"/>
                <w:vertAlign w:val="superscript"/>
                <w:rtl/>
                <w:lang w:eastAsia="he-IL"/>
              </w:rPr>
              <w:t>(ב)</w:t>
            </w:r>
          </w:p>
        </w:tc>
        <w:tc>
          <w:tcPr>
            <w:tcW w:w="415" w:type="pct"/>
            <w:shd w:val="clear" w:color="auto" w:fill="auto"/>
            <w:vAlign w:val="bottom"/>
            <w:hideMark/>
          </w:tcPr>
          <w:p w14:paraId="314E31AB" w14:textId="77777777" w:rsidR="006501FC" w:rsidRPr="00A56C3A" w:rsidRDefault="006501FC" w:rsidP="00400DD1">
            <w:pPr>
              <w:pBdr>
                <w:bottom w:val="single" w:sz="4" w:space="1" w:color="auto"/>
              </w:pBdr>
              <w:rPr>
                <w:sz w:val="18"/>
                <w:szCs w:val="18"/>
                <w:rtl/>
              </w:rPr>
            </w:pPr>
            <w:r w:rsidRPr="00A56C3A">
              <w:rPr>
                <w:rFonts w:hint="cs"/>
                <w:sz w:val="18"/>
                <w:szCs w:val="18"/>
                <w:rtl/>
              </w:rPr>
              <w:t xml:space="preserve"> 0</w:t>
            </w:r>
          </w:p>
        </w:tc>
        <w:tc>
          <w:tcPr>
            <w:tcW w:w="349" w:type="pct"/>
            <w:shd w:val="clear" w:color="auto" w:fill="auto"/>
            <w:vAlign w:val="bottom"/>
            <w:hideMark/>
          </w:tcPr>
          <w:p w14:paraId="1FD434FB" w14:textId="77777777" w:rsidR="006501FC" w:rsidRPr="00A56C3A" w:rsidRDefault="006501FC" w:rsidP="00400DD1">
            <w:pPr>
              <w:pBdr>
                <w:bottom w:val="single" w:sz="4" w:space="1" w:color="auto"/>
              </w:pBdr>
              <w:rPr>
                <w:sz w:val="18"/>
                <w:szCs w:val="18"/>
                <w:rtl/>
              </w:rPr>
            </w:pPr>
            <w:r w:rsidRPr="00A56C3A">
              <w:rPr>
                <w:rFonts w:hint="cs"/>
                <w:sz w:val="18"/>
                <w:szCs w:val="18"/>
                <w:rtl/>
              </w:rPr>
              <w:t xml:space="preserve"> 0</w:t>
            </w:r>
          </w:p>
        </w:tc>
        <w:tc>
          <w:tcPr>
            <w:tcW w:w="417" w:type="pct"/>
            <w:shd w:val="clear" w:color="auto" w:fill="auto"/>
            <w:vAlign w:val="bottom"/>
            <w:hideMark/>
          </w:tcPr>
          <w:p w14:paraId="2B013C14" w14:textId="77777777" w:rsidR="006501FC" w:rsidRPr="00A56C3A" w:rsidRDefault="006501FC" w:rsidP="00400DD1">
            <w:pPr>
              <w:pBdr>
                <w:bottom w:val="single" w:sz="4" w:space="1" w:color="auto"/>
              </w:pBdr>
              <w:rPr>
                <w:sz w:val="18"/>
                <w:szCs w:val="18"/>
                <w:rtl/>
              </w:rPr>
            </w:pPr>
            <w:r w:rsidRPr="00A56C3A">
              <w:rPr>
                <w:rFonts w:hint="cs"/>
                <w:sz w:val="18"/>
                <w:szCs w:val="18"/>
                <w:rtl/>
              </w:rPr>
              <w:t xml:space="preserve"> 0</w:t>
            </w:r>
          </w:p>
        </w:tc>
        <w:tc>
          <w:tcPr>
            <w:tcW w:w="415" w:type="pct"/>
            <w:shd w:val="clear" w:color="auto" w:fill="auto"/>
            <w:vAlign w:val="bottom"/>
            <w:hideMark/>
          </w:tcPr>
          <w:p w14:paraId="696A9C43" w14:textId="77777777" w:rsidR="006501FC" w:rsidRPr="00A56C3A" w:rsidRDefault="006501FC" w:rsidP="00400DD1">
            <w:pPr>
              <w:pBdr>
                <w:bottom w:val="single" w:sz="4" w:space="1" w:color="auto"/>
              </w:pBdr>
              <w:rPr>
                <w:sz w:val="18"/>
                <w:szCs w:val="18"/>
                <w:rtl/>
              </w:rPr>
            </w:pPr>
            <w:r w:rsidRPr="00A56C3A">
              <w:rPr>
                <w:rFonts w:hint="cs"/>
                <w:sz w:val="18"/>
                <w:szCs w:val="18"/>
                <w:rtl/>
              </w:rPr>
              <w:t xml:space="preserve"> 0</w:t>
            </w:r>
          </w:p>
        </w:tc>
        <w:tc>
          <w:tcPr>
            <w:tcW w:w="418" w:type="pct"/>
            <w:shd w:val="clear" w:color="auto" w:fill="auto"/>
            <w:vAlign w:val="bottom"/>
          </w:tcPr>
          <w:p w14:paraId="39F99DBE" w14:textId="77777777" w:rsidR="006501FC" w:rsidRPr="00A56C3A" w:rsidRDefault="006501FC" w:rsidP="00400DD1">
            <w:pPr>
              <w:pBdr>
                <w:bottom w:val="single" w:sz="4" w:space="1" w:color="auto"/>
              </w:pBdr>
              <w:rPr>
                <w:sz w:val="18"/>
                <w:szCs w:val="18"/>
                <w:rtl/>
              </w:rPr>
            </w:pPr>
            <w:r w:rsidRPr="00A56C3A">
              <w:rPr>
                <w:rFonts w:hint="cs"/>
                <w:sz w:val="18"/>
                <w:szCs w:val="18"/>
                <w:rtl/>
              </w:rPr>
              <w:t xml:space="preserve"> 0</w:t>
            </w:r>
          </w:p>
        </w:tc>
        <w:tc>
          <w:tcPr>
            <w:tcW w:w="348" w:type="pct"/>
            <w:shd w:val="clear" w:color="auto" w:fill="auto"/>
            <w:vAlign w:val="bottom"/>
            <w:hideMark/>
          </w:tcPr>
          <w:p w14:paraId="38254EFA" w14:textId="77777777" w:rsidR="006501FC" w:rsidRPr="00A56C3A" w:rsidRDefault="006501FC" w:rsidP="00400DD1">
            <w:pPr>
              <w:pBdr>
                <w:bottom w:val="single" w:sz="4" w:space="1" w:color="auto"/>
              </w:pBdr>
              <w:rPr>
                <w:sz w:val="18"/>
                <w:szCs w:val="18"/>
                <w:rtl/>
              </w:rPr>
            </w:pPr>
            <w:r w:rsidRPr="00A56C3A">
              <w:rPr>
                <w:rFonts w:hint="cs"/>
                <w:sz w:val="18"/>
                <w:szCs w:val="18"/>
                <w:rtl/>
              </w:rPr>
              <w:t xml:space="preserve"> 0</w:t>
            </w:r>
          </w:p>
        </w:tc>
        <w:tc>
          <w:tcPr>
            <w:tcW w:w="342" w:type="pct"/>
            <w:shd w:val="clear" w:color="auto" w:fill="auto"/>
            <w:vAlign w:val="bottom"/>
            <w:hideMark/>
          </w:tcPr>
          <w:p w14:paraId="0A539534" w14:textId="77777777" w:rsidR="006501FC" w:rsidRPr="00A56C3A" w:rsidRDefault="006501FC" w:rsidP="00400DD1">
            <w:pPr>
              <w:pBdr>
                <w:bottom w:val="single" w:sz="4" w:space="1" w:color="auto"/>
              </w:pBdr>
              <w:rPr>
                <w:sz w:val="18"/>
                <w:szCs w:val="18"/>
                <w:rtl/>
              </w:rPr>
            </w:pPr>
            <w:r w:rsidRPr="00A56C3A">
              <w:rPr>
                <w:rFonts w:hint="cs"/>
                <w:sz w:val="18"/>
                <w:szCs w:val="18"/>
                <w:rtl/>
              </w:rPr>
              <w:t xml:space="preserve"> 0</w:t>
            </w:r>
          </w:p>
        </w:tc>
      </w:tr>
      <w:tr w:rsidR="006501FC" w:rsidRPr="00A56C3A" w14:paraId="756E4EC6" w14:textId="77777777" w:rsidTr="00315101">
        <w:trPr>
          <w:trHeight w:val="259"/>
        </w:trPr>
        <w:tc>
          <w:tcPr>
            <w:tcW w:w="347" w:type="pct"/>
            <w:shd w:val="clear" w:color="auto" w:fill="auto"/>
          </w:tcPr>
          <w:p w14:paraId="7A8DCC0A" w14:textId="77777777" w:rsidR="006501FC" w:rsidRPr="00A56C3A" w:rsidRDefault="006501FC" w:rsidP="00400DD1">
            <w:pPr>
              <w:rPr>
                <w:sz w:val="18"/>
                <w:szCs w:val="18"/>
                <w:rtl/>
              </w:rPr>
            </w:pPr>
          </w:p>
        </w:tc>
        <w:tc>
          <w:tcPr>
            <w:tcW w:w="1950" w:type="pct"/>
            <w:shd w:val="clear" w:color="auto" w:fill="auto"/>
            <w:vAlign w:val="bottom"/>
            <w:hideMark/>
          </w:tcPr>
          <w:p w14:paraId="2CD985A8" w14:textId="77777777" w:rsidR="006501FC" w:rsidRPr="00D03FC3" w:rsidRDefault="006501FC" w:rsidP="00400DD1">
            <w:pPr>
              <w:jc w:val="left"/>
              <w:rPr>
                <w:color w:val="000000"/>
                <w:sz w:val="18"/>
                <w:szCs w:val="18"/>
                <w:rtl/>
                <w:lang w:eastAsia="he-IL"/>
              </w:rPr>
            </w:pPr>
            <w:r w:rsidRPr="00D03FC3">
              <w:rPr>
                <w:rFonts w:hint="cs"/>
                <w:color w:val="000000"/>
                <w:sz w:val="18"/>
                <w:szCs w:val="18"/>
                <w:rtl/>
                <w:lang w:eastAsia="he-IL"/>
              </w:rPr>
              <w:t>סך הכל סיכון אשראי בגין מכשירים נגזרים</w:t>
            </w:r>
          </w:p>
        </w:tc>
        <w:tc>
          <w:tcPr>
            <w:tcW w:w="415" w:type="pct"/>
            <w:shd w:val="clear" w:color="auto" w:fill="auto"/>
            <w:vAlign w:val="bottom"/>
            <w:hideMark/>
          </w:tcPr>
          <w:p w14:paraId="2FE958C5"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349" w:type="pct"/>
            <w:shd w:val="clear" w:color="auto" w:fill="auto"/>
            <w:vAlign w:val="bottom"/>
            <w:hideMark/>
          </w:tcPr>
          <w:p w14:paraId="25FF5622"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417" w:type="pct"/>
            <w:shd w:val="clear" w:color="auto" w:fill="auto"/>
            <w:vAlign w:val="bottom"/>
            <w:hideMark/>
          </w:tcPr>
          <w:p w14:paraId="4F9824A7"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415" w:type="pct"/>
            <w:shd w:val="clear" w:color="auto" w:fill="auto"/>
            <w:vAlign w:val="bottom"/>
            <w:hideMark/>
          </w:tcPr>
          <w:p w14:paraId="1AC2ED64"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418" w:type="pct"/>
            <w:shd w:val="clear" w:color="auto" w:fill="auto"/>
            <w:vAlign w:val="bottom"/>
          </w:tcPr>
          <w:p w14:paraId="4319DD2F"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348" w:type="pct"/>
            <w:shd w:val="clear" w:color="auto" w:fill="auto"/>
            <w:vAlign w:val="bottom"/>
            <w:hideMark/>
          </w:tcPr>
          <w:p w14:paraId="52473555"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342" w:type="pct"/>
            <w:shd w:val="clear" w:color="auto" w:fill="auto"/>
            <w:vAlign w:val="bottom"/>
            <w:hideMark/>
          </w:tcPr>
          <w:p w14:paraId="10D5CEE1"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r>
      <w:tr w:rsidR="006501FC" w:rsidRPr="00A56C3A" w14:paraId="3EC2C01A" w14:textId="77777777" w:rsidTr="00315101">
        <w:trPr>
          <w:trHeight w:val="117"/>
        </w:trPr>
        <w:tc>
          <w:tcPr>
            <w:tcW w:w="347" w:type="pct"/>
            <w:shd w:val="clear" w:color="auto" w:fill="auto"/>
          </w:tcPr>
          <w:p w14:paraId="23D0F53F" w14:textId="77777777" w:rsidR="006501FC" w:rsidRPr="00A56C3A" w:rsidRDefault="006501FC" w:rsidP="00400DD1">
            <w:pPr>
              <w:bidi w:val="0"/>
              <w:spacing w:before="40" w:line="120" w:lineRule="exact"/>
              <w:rPr>
                <w:sz w:val="18"/>
                <w:szCs w:val="18"/>
                <w:rtl/>
              </w:rPr>
            </w:pPr>
          </w:p>
        </w:tc>
        <w:tc>
          <w:tcPr>
            <w:tcW w:w="1950" w:type="pct"/>
            <w:shd w:val="clear" w:color="auto" w:fill="auto"/>
            <w:vAlign w:val="bottom"/>
          </w:tcPr>
          <w:p w14:paraId="225D3A58" w14:textId="77777777" w:rsidR="006501FC" w:rsidRPr="00D03FC3" w:rsidRDefault="006501FC" w:rsidP="00400DD1">
            <w:pPr>
              <w:bidi w:val="0"/>
              <w:spacing w:before="40" w:line="120" w:lineRule="exact"/>
              <w:ind w:left="382" w:hanging="144"/>
              <w:rPr>
                <w:color w:val="000000"/>
                <w:sz w:val="18"/>
                <w:szCs w:val="18"/>
                <w:rtl/>
                <w:lang w:eastAsia="he-IL"/>
              </w:rPr>
            </w:pPr>
          </w:p>
        </w:tc>
        <w:tc>
          <w:tcPr>
            <w:tcW w:w="415" w:type="pct"/>
            <w:shd w:val="clear" w:color="auto" w:fill="auto"/>
            <w:vAlign w:val="bottom"/>
          </w:tcPr>
          <w:p w14:paraId="6D940E3E" w14:textId="77777777" w:rsidR="006501FC" w:rsidRPr="00A56C3A" w:rsidRDefault="006501FC" w:rsidP="00400DD1">
            <w:pPr>
              <w:bidi w:val="0"/>
              <w:spacing w:before="40" w:line="120" w:lineRule="exact"/>
              <w:rPr>
                <w:sz w:val="18"/>
                <w:szCs w:val="18"/>
                <w:rtl/>
              </w:rPr>
            </w:pPr>
          </w:p>
        </w:tc>
        <w:tc>
          <w:tcPr>
            <w:tcW w:w="349" w:type="pct"/>
            <w:shd w:val="clear" w:color="auto" w:fill="auto"/>
            <w:vAlign w:val="bottom"/>
          </w:tcPr>
          <w:p w14:paraId="63F35D47" w14:textId="77777777" w:rsidR="006501FC" w:rsidRPr="00A56C3A" w:rsidRDefault="006501FC" w:rsidP="00400DD1">
            <w:pPr>
              <w:bidi w:val="0"/>
              <w:spacing w:before="40" w:line="120" w:lineRule="exact"/>
              <w:rPr>
                <w:sz w:val="18"/>
                <w:szCs w:val="18"/>
                <w:rtl/>
              </w:rPr>
            </w:pPr>
          </w:p>
        </w:tc>
        <w:tc>
          <w:tcPr>
            <w:tcW w:w="417" w:type="pct"/>
            <w:shd w:val="clear" w:color="auto" w:fill="auto"/>
            <w:vAlign w:val="bottom"/>
          </w:tcPr>
          <w:p w14:paraId="0A4E5745" w14:textId="77777777" w:rsidR="006501FC" w:rsidRPr="00A56C3A" w:rsidRDefault="006501FC" w:rsidP="00400DD1">
            <w:pPr>
              <w:bidi w:val="0"/>
              <w:spacing w:before="40" w:line="120" w:lineRule="exact"/>
              <w:rPr>
                <w:sz w:val="18"/>
                <w:szCs w:val="18"/>
                <w:rtl/>
              </w:rPr>
            </w:pPr>
          </w:p>
        </w:tc>
        <w:tc>
          <w:tcPr>
            <w:tcW w:w="415" w:type="pct"/>
            <w:shd w:val="clear" w:color="auto" w:fill="auto"/>
            <w:vAlign w:val="bottom"/>
          </w:tcPr>
          <w:p w14:paraId="7A76A9CF" w14:textId="77777777" w:rsidR="006501FC" w:rsidRPr="00A56C3A" w:rsidRDefault="006501FC" w:rsidP="00400DD1">
            <w:pPr>
              <w:bidi w:val="0"/>
              <w:spacing w:before="40" w:line="120" w:lineRule="exact"/>
              <w:rPr>
                <w:sz w:val="18"/>
                <w:szCs w:val="18"/>
                <w:rtl/>
              </w:rPr>
            </w:pPr>
          </w:p>
        </w:tc>
        <w:tc>
          <w:tcPr>
            <w:tcW w:w="418" w:type="pct"/>
            <w:shd w:val="clear" w:color="auto" w:fill="auto"/>
            <w:vAlign w:val="bottom"/>
          </w:tcPr>
          <w:p w14:paraId="355D6FCC" w14:textId="77777777" w:rsidR="006501FC" w:rsidRPr="00A56C3A" w:rsidRDefault="006501FC" w:rsidP="00400DD1">
            <w:pPr>
              <w:bidi w:val="0"/>
              <w:spacing w:before="40" w:line="120" w:lineRule="exact"/>
              <w:rPr>
                <w:sz w:val="18"/>
                <w:szCs w:val="18"/>
                <w:rtl/>
              </w:rPr>
            </w:pPr>
          </w:p>
        </w:tc>
        <w:tc>
          <w:tcPr>
            <w:tcW w:w="348" w:type="pct"/>
            <w:shd w:val="clear" w:color="auto" w:fill="auto"/>
            <w:vAlign w:val="bottom"/>
          </w:tcPr>
          <w:p w14:paraId="5C96B9DA" w14:textId="77777777" w:rsidR="006501FC" w:rsidRPr="00A56C3A" w:rsidRDefault="006501FC" w:rsidP="00400DD1">
            <w:pPr>
              <w:bidi w:val="0"/>
              <w:spacing w:before="40" w:line="120" w:lineRule="exact"/>
              <w:rPr>
                <w:sz w:val="18"/>
                <w:szCs w:val="18"/>
                <w:rtl/>
              </w:rPr>
            </w:pPr>
          </w:p>
        </w:tc>
        <w:tc>
          <w:tcPr>
            <w:tcW w:w="342" w:type="pct"/>
            <w:shd w:val="clear" w:color="auto" w:fill="auto"/>
            <w:vAlign w:val="bottom"/>
          </w:tcPr>
          <w:p w14:paraId="1D64CABF" w14:textId="77777777" w:rsidR="006501FC" w:rsidRPr="00A56C3A" w:rsidRDefault="006501FC" w:rsidP="00400DD1">
            <w:pPr>
              <w:bidi w:val="0"/>
              <w:spacing w:before="40" w:line="120" w:lineRule="exact"/>
              <w:rPr>
                <w:sz w:val="18"/>
                <w:szCs w:val="18"/>
                <w:rtl/>
              </w:rPr>
            </w:pPr>
          </w:p>
        </w:tc>
      </w:tr>
      <w:tr w:rsidR="006501FC" w:rsidRPr="00A56C3A" w14:paraId="45C7B79B" w14:textId="77777777" w:rsidTr="00315101">
        <w:trPr>
          <w:trHeight w:val="401"/>
        </w:trPr>
        <w:tc>
          <w:tcPr>
            <w:tcW w:w="347" w:type="pct"/>
            <w:shd w:val="clear" w:color="auto" w:fill="auto"/>
          </w:tcPr>
          <w:p w14:paraId="5050808F" w14:textId="77777777" w:rsidR="006501FC" w:rsidRPr="00A56C3A" w:rsidRDefault="006501FC" w:rsidP="00400DD1">
            <w:pPr>
              <w:bidi w:val="0"/>
              <w:rPr>
                <w:sz w:val="18"/>
                <w:szCs w:val="18"/>
                <w:rtl/>
              </w:rPr>
            </w:pPr>
          </w:p>
        </w:tc>
        <w:tc>
          <w:tcPr>
            <w:tcW w:w="1950" w:type="pct"/>
            <w:shd w:val="clear" w:color="auto" w:fill="auto"/>
            <w:vAlign w:val="bottom"/>
            <w:hideMark/>
          </w:tcPr>
          <w:p w14:paraId="3B60C2FE" w14:textId="77777777" w:rsidR="006501FC" w:rsidRPr="00D03FC3" w:rsidRDefault="006501FC" w:rsidP="00400DD1">
            <w:pPr>
              <w:jc w:val="left"/>
              <w:rPr>
                <w:color w:val="000000"/>
                <w:sz w:val="18"/>
                <w:szCs w:val="18"/>
                <w:rtl/>
                <w:lang w:eastAsia="he-IL"/>
              </w:rPr>
            </w:pPr>
            <w:r w:rsidRPr="00D03FC3">
              <w:rPr>
                <w:rFonts w:hint="cs"/>
                <w:color w:val="000000"/>
                <w:sz w:val="18"/>
                <w:szCs w:val="18"/>
                <w:rtl/>
                <w:lang w:eastAsia="he-IL"/>
              </w:rPr>
              <w:t>יתרה מאזנית של התחייבויות בגין מכשירים נגזרים</w:t>
            </w:r>
            <w:r w:rsidRPr="00D03FC3">
              <w:rPr>
                <w:color w:val="000000"/>
                <w:sz w:val="18"/>
                <w:szCs w:val="18"/>
                <w:lang w:eastAsia="he-IL"/>
              </w:rPr>
              <w:t xml:space="preserve">  </w:t>
            </w:r>
          </w:p>
        </w:tc>
        <w:tc>
          <w:tcPr>
            <w:tcW w:w="415" w:type="pct"/>
            <w:shd w:val="clear" w:color="auto" w:fill="auto"/>
            <w:vAlign w:val="bottom"/>
            <w:hideMark/>
          </w:tcPr>
          <w:p w14:paraId="0A256A56" w14:textId="77777777" w:rsidR="006501FC" w:rsidRPr="00A56C3A" w:rsidRDefault="006501FC" w:rsidP="00400DD1">
            <w:pPr>
              <w:rPr>
                <w:sz w:val="18"/>
                <w:szCs w:val="18"/>
              </w:rPr>
            </w:pPr>
            <w:r w:rsidRPr="00A56C3A">
              <w:rPr>
                <w:rFonts w:hint="cs"/>
                <w:sz w:val="18"/>
                <w:szCs w:val="18"/>
                <w:rtl/>
              </w:rPr>
              <w:t xml:space="preserve"> 0</w:t>
            </w:r>
          </w:p>
        </w:tc>
        <w:tc>
          <w:tcPr>
            <w:tcW w:w="349" w:type="pct"/>
            <w:shd w:val="clear" w:color="auto" w:fill="auto"/>
            <w:vAlign w:val="bottom"/>
            <w:hideMark/>
          </w:tcPr>
          <w:p w14:paraId="586D1379" w14:textId="77777777" w:rsidR="006501FC" w:rsidRPr="00A56C3A" w:rsidRDefault="006501FC" w:rsidP="00400DD1">
            <w:pPr>
              <w:rPr>
                <w:sz w:val="18"/>
                <w:szCs w:val="18"/>
                <w:rtl/>
              </w:rPr>
            </w:pPr>
            <w:r w:rsidRPr="00A56C3A">
              <w:rPr>
                <w:rFonts w:hint="cs"/>
                <w:sz w:val="18"/>
                <w:szCs w:val="18"/>
                <w:rtl/>
              </w:rPr>
              <w:t xml:space="preserve"> 0</w:t>
            </w:r>
          </w:p>
        </w:tc>
        <w:tc>
          <w:tcPr>
            <w:tcW w:w="417" w:type="pct"/>
            <w:shd w:val="clear" w:color="auto" w:fill="auto"/>
            <w:vAlign w:val="bottom"/>
            <w:hideMark/>
          </w:tcPr>
          <w:p w14:paraId="6B90E591" w14:textId="77777777" w:rsidR="006501FC" w:rsidRPr="00A56C3A" w:rsidRDefault="006501FC" w:rsidP="00400DD1">
            <w:pPr>
              <w:rPr>
                <w:sz w:val="18"/>
                <w:szCs w:val="18"/>
                <w:rtl/>
              </w:rPr>
            </w:pPr>
            <w:r w:rsidRPr="00A56C3A">
              <w:rPr>
                <w:rFonts w:hint="cs"/>
                <w:sz w:val="18"/>
                <w:szCs w:val="18"/>
                <w:rtl/>
              </w:rPr>
              <w:t xml:space="preserve"> 0</w:t>
            </w:r>
          </w:p>
        </w:tc>
        <w:tc>
          <w:tcPr>
            <w:tcW w:w="415" w:type="pct"/>
            <w:shd w:val="clear" w:color="auto" w:fill="auto"/>
            <w:vAlign w:val="bottom"/>
            <w:hideMark/>
          </w:tcPr>
          <w:p w14:paraId="30C3D8FF" w14:textId="77777777" w:rsidR="006501FC" w:rsidRPr="00A56C3A" w:rsidRDefault="006501FC" w:rsidP="00400DD1">
            <w:pPr>
              <w:rPr>
                <w:sz w:val="18"/>
                <w:szCs w:val="18"/>
                <w:rtl/>
              </w:rPr>
            </w:pPr>
            <w:r w:rsidRPr="00A56C3A">
              <w:rPr>
                <w:rFonts w:hint="cs"/>
                <w:sz w:val="18"/>
                <w:szCs w:val="18"/>
                <w:rtl/>
              </w:rPr>
              <w:t xml:space="preserve"> 0</w:t>
            </w:r>
          </w:p>
        </w:tc>
        <w:tc>
          <w:tcPr>
            <w:tcW w:w="418" w:type="pct"/>
            <w:shd w:val="clear" w:color="auto" w:fill="auto"/>
            <w:vAlign w:val="bottom"/>
          </w:tcPr>
          <w:p w14:paraId="64688913" w14:textId="77777777" w:rsidR="006501FC" w:rsidRPr="00A56C3A" w:rsidRDefault="006501FC" w:rsidP="00400DD1">
            <w:pPr>
              <w:rPr>
                <w:sz w:val="18"/>
                <w:szCs w:val="18"/>
                <w:rtl/>
              </w:rPr>
            </w:pPr>
            <w:r w:rsidRPr="00A56C3A">
              <w:rPr>
                <w:rFonts w:hint="cs"/>
                <w:sz w:val="18"/>
                <w:szCs w:val="18"/>
                <w:rtl/>
              </w:rPr>
              <w:t xml:space="preserve"> 0</w:t>
            </w:r>
          </w:p>
        </w:tc>
        <w:tc>
          <w:tcPr>
            <w:tcW w:w="348" w:type="pct"/>
            <w:shd w:val="clear" w:color="auto" w:fill="auto"/>
            <w:vAlign w:val="bottom"/>
            <w:hideMark/>
          </w:tcPr>
          <w:p w14:paraId="195F80F6" w14:textId="77777777" w:rsidR="006501FC" w:rsidRPr="00A56C3A" w:rsidRDefault="006501FC" w:rsidP="00400DD1">
            <w:pPr>
              <w:rPr>
                <w:sz w:val="18"/>
                <w:szCs w:val="18"/>
                <w:rtl/>
              </w:rPr>
            </w:pPr>
            <w:r w:rsidRPr="00A56C3A">
              <w:rPr>
                <w:rFonts w:hint="cs"/>
                <w:sz w:val="18"/>
                <w:szCs w:val="18"/>
                <w:rtl/>
              </w:rPr>
              <w:t xml:space="preserve"> 0</w:t>
            </w:r>
          </w:p>
        </w:tc>
        <w:tc>
          <w:tcPr>
            <w:tcW w:w="342" w:type="pct"/>
            <w:shd w:val="clear" w:color="auto" w:fill="auto"/>
            <w:vAlign w:val="bottom"/>
            <w:hideMark/>
          </w:tcPr>
          <w:p w14:paraId="7FE315C9" w14:textId="77777777" w:rsidR="006501FC" w:rsidRPr="00A56C3A" w:rsidRDefault="006501FC" w:rsidP="00400DD1">
            <w:pPr>
              <w:rPr>
                <w:sz w:val="18"/>
                <w:szCs w:val="18"/>
                <w:rtl/>
              </w:rPr>
            </w:pPr>
            <w:r w:rsidRPr="00A56C3A">
              <w:rPr>
                <w:rFonts w:hint="cs"/>
                <w:sz w:val="18"/>
                <w:szCs w:val="18"/>
                <w:rtl/>
              </w:rPr>
              <w:t xml:space="preserve"> 0</w:t>
            </w:r>
          </w:p>
        </w:tc>
      </w:tr>
      <w:tr w:rsidR="006501FC" w:rsidRPr="00A56C3A" w14:paraId="626F18E0" w14:textId="77777777" w:rsidTr="00315101">
        <w:trPr>
          <w:trHeight w:val="259"/>
        </w:trPr>
        <w:tc>
          <w:tcPr>
            <w:tcW w:w="347" w:type="pct"/>
            <w:vMerge w:val="restart"/>
            <w:shd w:val="clear" w:color="auto" w:fill="auto"/>
          </w:tcPr>
          <w:p w14:paraId="19DB8B41" w14:textId="77777777" w:rsidR="006501FC" w:rsidRPr="00A56C3A" w:rsidRDefault="006501FC" w:rsidP="00400DD1">
            <w:pPr>
              <w:spacing w:before="60"/>
              <w:jc w:val="left"/>
              <w:rPr>
                <w:color w:val="000000"/>
                <w:spacing w:val="-6"/>
                <w:sz w:val="18"/>
                <w:szCs w:val="18"/>
                <w:rtl/>
                <w:lang w:eastAsia="he-IL"/>
              </w:rPr>
            </w:pPr>
          </w:p>
        </w:tc>
        <w:tc>
          <w:tcPr>
            <w:tcW w:w="1950" w:type="pct"/>
            <w:shd w:val="clear" w:color="auto" w:fill="auto"/>
            <w:vAlign w:val="center"/>
            <w:hideMark/>
          </w:tcPr>
          <w:p w14:paraId="1679FD34" w14:textId="77777777" w:rsidR="006501FC" w:rsidRPr="00D03FC3" w:rsidRDefault="006501FC" w:rsidP="00400DD1">
            <w:pPr>
              <w:ind w:left="144" w:hanging="144"/>
              <w:jc w:val="left"/>
              <w:rPr>
                <w:color w:val="000000"/>
                <w:sz w:val="18"/>
                <w:szCs w:val="18"/>
                <w:rtl/>
                <w:lang w:eastAsia="he-IL"/>
              </w:rPr>
            </w:pPr>
            <w:r w:rsidRPr="00D03FC3">
              <w:rPr>
                <w:rFonts w:hint="cs"/>
                <w:color w:val="000000"/>
                <w:sz w:val="18"/>
                <w:szCs w:val="18"/>
                <w:u w:val="single"/>
                <w:rtl/>
                <w:lang w:eastAsia="he-IL"/>
              </w:rPr>
              <w:t>סכומים ברוטו שלא קוזזו במאזן</w:t>
            </w:r>
            <w:r w:rsidRPr="00D03FC3">
              <w:rPr>
                <w:rFonts w:hint="cs"/>
                <w:color w:val="000000"/>
                <w:sz w:val="18"/>
                <w:szCs w:val="18"/>
                <w:rtl/>
                <w:lang w:eastAsia="he-IL"/>
              </w:rPr>
              <w:t>:</w:t>
            </w:r>
          </w:p>
        </w:tc>
        <w:tc>
          <w:tcPr>
            <w:tcW w:w="415" w:type="pct"/>
            <w:shd w:val="clear" w:color="auto" w:fill="auto"/>
            <w:vAlign w:val="bottom"/>
          </w:tcPr>
          <w:p w14:paraId="60F37D65" w14:textId="77777777" w:rsidR="006501FC" w:rsidRPr="00A56C3A" w:rsidRDefault="006501FC" w:rsidP="00400DD1">
            <w:pPr>
              <w:rPr>
                <w:sz w:val="18"/>
                <w:szCs w:val="18"/>
                <w:rtl/>
              </w:rPr>
            </w:pPr>
          </w:p>
        </w:tc>
        <w:tc>
          <w:tcPr>
            <w:tcW w:w="349" w:type="pct"/>
            <w:shd w:val="clear" w:color="auto" w:fill="auto"/>
            <w:vAlign w:val="bottom"/>
          </w:tcPr>
          <w:p w14:paraId="781E6CCC" w14:textId="77777777" w:rsidR="006501FC" w:rsidRPr="00A56C3A" w:rsidRDefault="006501FC" w:rsidP="00400DD1">
            <w:pPr>
              <w:rPr>
                <w:sz w:val="18"/>
                <w:szCs w:val="18"/>
                <w:rtl/>
              </w:rPr>
            </w:pPr>
          </w:p>
        </w:tc>
        <w:tc>
          <w:tcPr>
            <w:tcW w:w="417" w:type="pct"/>
            <w:shd w:val="clear" w:color="auto" w:fill="auto"/>
            <w:vAlign w:val="bottom"/>
          </w:tcPr>
          <w:p w14:paraId="4240B789" w14:textId="77777777" w:rsidR="006501FC" w:rsidRPr="00A56C3A" w:rsidRDefault="006501FC" w:rsidP="00400DD1">
            <w:pPr>
              <w:rPr>
                <w:sz w:val="18"/>
                <w:szCs w:val="18"/>
                <w:rtl/>
              </w:rPr>
            </w:pPr>
          </w:p>
        </w:tc>
        <w:tc>
          <w:tcPr>
            <w:tcW w:w="415" w:type="pct"/>
            <w:shd w:val="clear" w:color="auto" w:fill="auto"/>
            <w:vAlign w:val="bottom"/>
          </w:tcPr>
          <w:p w14:paraId="47CDCC20" w14:textId="77777777" w:rsidR="006501FC" w:rsidRPr="00A56C3A" w:rsidRDefault="006501FC" w:rsidP="00400DD1">
            <w:pPr>
              <w:rPr>
                <w:sz w:val="18"/>
                <w:szCs w:val="18"/>
                <w:rtl/>
              </w:rPr>
            </w:pPr>
          </w:p>
        </w:tc>
        <w:tc>
          <w:tcPr>
            <w:tcW w:w="418" w:type="pct"/>
            <w:shd w:val="clear" w:color="auto" w:fill="auto"/>
            <w:vAlign w:val="bottom"/>
          </w:tcPr>
          <w:p w14:paraId="3D1CBACC" w14:textId="77777777" w:rsidR="006501FC" w:rsidRPr="00A56C3A" w:rsidRDefault="006501FC" w:rsidP="00400DD1">
            <w:pPr>
              <w:rPr>
                <w:sz w:val="18"/>
                <w:szCs w:val="18"/>
                <w:rtl/>
              </w:rPr>
            </w:pPr>
          </w:p>
        </w:tc>
        <w:tc>
          <w:tcPr>
            <w:tcW w:w="348" w:type="pct"/>
            <w:shd w:val="clear" w:color="auto" w:fill="auto"/>
            <w:vAlign w:val="bottom"/>
          </w:tcPr>
          <w:p w14:paraId="1236EF6A" w14:textId="77777777" w:rsidR="006501FC" w:rsidRPr="00A56C3A" w:rsidRDefault="006501FC" w:rsidP="00400DD1">
            <w:pPr>
              <w:rPr>
                <w:sz w:val="18"/>
                <w:szCs w:val="18"/>
                <w:rtl/>
              </w:rPr>
            </w:pPr>
          </w:p>
        </w:tc>
        <w:tc>
          <w:tcPr>
            <w:tcW w:w="342" w:type="pct"/>
            <w:shd w:val="clear" w:color="auto" w:fill="auto"/>
            <w:vAlign w:val="bottom"/>
          </w:tcPr>
          <w:p w14:paraId="608B7E09" w14:textId="77777777" w:rsidR="006501FC" w:rsidRPr="00A56C3A" w:rsidRDefault="006501FC" w:rsidP="00400DD1">
            <w:pPr>
              <w:rPr>
                <w:sz w:val="18"/>
                <w:szCs w:val="18"/>
                <w:rtl/>
              </w:rPr>
            </w:pPr>
          </w:p>
        </w:tc>
      </w:tr>
      <w:tr w:rsidR="006501FC" w:rsidRPr="00A56C3A" w14:paraId="798A24A9" w14:textId="77777777" w:rsidTr="00315101">
        <w:trPr>
          <w:trHeight w:val="259"/>
        </w:trPr>
        <w:tc>
          <w:tcPr>
            <w:tcW w:w="347" w:type="pct"/>
            <w:vMerge/>
            <w:shd w:val="clear" w:color="auto" w:fill="auto"/>
            <w:vAlign w:val="center"/>
            <w:hideMark/>
          </w:tcPr>
          <w:p w14:paraId="5B1A4202" w14:textId="77777777" w:rsidR="006501FC" w:rsidRPr="00A56C3A" w:rsidRDefault="006501FC" w:rsidP="00400DD1">
            <w:pPr>
              <w:jc w:val="left"/>
              <w:rPr>
                <w:color w:val="000000"/>
                <w:spacing w:val="-6"/>
                <w:sz w:val="18"/>
                <w:szCs w:val="18"/>
                <w:lang w:eastAsia="he-IL"/>
              </w:rPr>
            </w:pPr>
          </w:p>
        </w:tc>
        <w:tc>
          <w:tcPr>
            <w:tcW w:w="1950" w:type="pct"/>
            <w:shd w:val="clear" w:color="auto" w:fill="auto"/>
            <w:vAlign w:val="center"/>
            <w:hideMark/>
          </w:tcPr>
          <w:p w14:paraId="19633181" w14:textId="77777777" w:rsidR="006501FC" w:rsidRPr="00D03FC3" w:rsidRDefault="006501FC" w:rsidP="00400DD1">
            <w:pPr>
              <w:ind w:left="170"/>
              <w:jc w:val="left"/>
              <w:rPr>
                <w:b/>
                <w:bCs/>
                <w:sz w:val="18"/>
                <w:szCs w:val="18"/>
                <w:rtl/>
              </w:rPr>
            </w:pPr>
            <w:r w:rsidRPr="00D03FC3">
              <w:rPr>
                <w:rFonts w:hint="cs"/>
                <w:color w:val="000000"/>
                <w:sz w:val="18"/>
                <w:szCs w:val="18"/>
                <w:rtl/>
                <w:lang w:eastAsia="he-IL"/>
              </w:rPr>
              <w:t>מכשירים</w:t>
            </w:r>
            <w:r w:rsidRPr="00D03FC3">
              <w:rPr>
                <w:rFonts w:hint="cs"/>
                <w:sz w:val="18"/>
                <w:szCs w:val="18"/>
                <w:rtl/>
              </w:rPr>
              <w:t xml:space="preserve"> פיננסיים</w:t>
            </w:r>
          </w:p>
        </w:tc>
        <w:tc>
          <w:tcPr>
            <w:tcW w:w="415" w:type="pct"/>
            <w:shd w:val="clear" w:color="auto" w:fill="auto"/>
            <w:vAlign w:val="center"/>
            <w:hideMark/>
          </w:tcPr>
          <w:p w14:paraId="0D6ECF20" w14:textId="77777777" w:rsidR="006501FC" w:rsidRPr="00A56C3A" w:rsidRDefault="006501FC" w:rsidP="00400DD1">
            <w:pPr>
              <w:rPr>
                <w:sz w:val="18"/>
                <w:szCs w:val="18"/>
                <w:rtl/>
              </w:rPr>
            </w:pPr>
            <w:r w:rsidRPr="00A56C3A">
              <w:rPr>
                <w:rFonts w:hint="cs"/>
                <w:sz w:val="18"/>
                <w:szCs w:val="18"/>
                <w:rtl/>
              </w:rPr>
              <w:t>(0)</w:t>
            </w:r>
          </w:p>
        </w:tc>
        <w:tc>
          <w:tcPr>
            <w:tcW w:w="349" w:type="pct"/>
            <w:shd w:val="clear" w:color="auto" w:fill="auto"/>
            <w:vAlign w:val="center"/>
            <w:hideMark/>
          </w:tcPr>
          <w:p w14:paraId="6F0CA702" w14:textId="77777777" w:rsidR="006501FC" w:rsidRPr="00A56C3A" w:rsidRDefault="006501FC" w:rsidP="00400DD1">
            <w:pPr>
              <w:rPr>
                <w:sz w:val="18"/>
                <w:szCs w:val="18"/>
                <w:rtl/>
              </w:rPr>
            </w:pPr>
            <w:r w:rsidRPr="00A56C3A">
              <w:rPr>
                <w:rFonts w:hint="cs"/>
                <w:sz w:val="18"/>
                <w:szCs w:val="18"/>
                <w:rtl/>
              </w:rPr>
              <w:t>(0)</w:t>
            </w:r>
          </w:p>
        </w:tc>
        <w:tc>
          <w:tcPr>
            <w:tcW w:w="417" w:type="pct"/>
            <w:shd w:val="clear" w:color="auto" w:fill="auto"/>
            <w:vAlign w:val="center"/>
            <w:hideMark/>
          </w:tcPr>
          <w:p w14:paraId="536FF442" w14:textId="77777777" w:rsidR="006501FC" w:rsidRPr="00A56C3A" w:rsidRDefault="006501FC" w:rsidP="00400DD1">
            <w:pPr>
              <w:rPr>
                <w:sz w:val="18"/>
                <w:szCs w:val="18"/>
                <w:rtl/>
              </w:rPr>
            </w:pPr>
            <w:r w:rsidRPr="00A56C3A">
              <w:rPr>
                <w:rFonts w:hint="cs"/>
                <w:sz w:val="18"/>
                <w:szCs w:val="18"/>
                <w:rtl/>
              </w:rPr>
              <w:t>(0)</w:t>
            </w:r>
          </w:p>
        </w:tc>
        <w:tc>
          <w:tcPr>
            <w:tcW w:w="415" w:type="pct"/>
            <w:shd w:val="clear" w:color="auto" w:fill="auto"/>
            <w:vAlign w:val="center"/>
            <w:hideMark/>
          </w:tcPr>
          <w:p w14:paraId="08FA5DA0" w14:textId="77777777" w:rsidR="006501FC" w:rsidRPr="00A56C3A" w:rsidRDefault="006501FC" w:rsidP="00400DD1">
            <w:pPr>
              <w:rPr>
                <w:sz w:val="18"/>
                <w:szCs w:val="18"/>
                <w:rtl/>
              </w:rPr>
            </w:pPr>
            <w:r w:rsidRPr="00A56C3A">
              <w:rPr>
                <w:rFonts w:hint="cs"/>
                <w:sz w:val="18"/>
                <w:szCs w:val="18"/>
                <w:rtl/>
              </w:rPr>
              <w:t>(0)</w:t>
            </w:r>
          </w:p>
        </w:tc>
        <w:tc>
          <w:tcPr>
            <w:tcW w:w="418" w:type="pct"/>
            <w:shd w:val="clear" w:color="auto" w:fill="auto"/>
            <w:vAlign w:val="center"/>
          </w:tcPr>
          <w:p w14:paraId="07E667D8" w14:textId="77777777" w:rsidR="006501FC" w:rsidRPr="00A56C3A" w:rsidRDefault="006501FC" w:rsidP="00400DD1">
            <w:pPr>
              <w:rPr>
                <w:sz w:val="18"/>
                <w:szCs w:val="18"/>
                <w:rtl/>
              </w:rPr>
            </w:pPr>
            <w:r w:rsidRPr="00A56C3A">
              <w:rPr>
                <w:rFonts w:hint="cs"/>
                <w:sz w:val="18"/>
                <w:szCs w:val="18"/>
                <w:rtl/>
              </w:rPr>
              <w:t>(0)</w:t>
            </w:r>
          </w:p>
        </w:tc>
        <w:tc>
          <w:tcPr>
            <w:tcW w:w="348" w:type="pct"/>
            <w:shd w:val="clear" w:color="auto" w:fill="auto"/>
            <w:vAlign w:val="center"/>
            <w:hideMark/>
          </w:tcPr>
          <w:p w14:paraId="2D2A7D19" w14:textId="77777777" w:rsidR="006501FC" w:rsidRPr="00A56C3A" w:rsidRDefault="006501FC" w:rsidP="00400DD1">
            <w:pPr>
              <w:rPr>
                <w:sz w:val="18"/>
                <w:szCs w:val="18"/>
                <w:rtl/>
              </w:rPr>
            </w:pPr>
            <w:r w:rsidRPr="00A56C3A">
              <w:rPr>
                <w:rFonts w:hint="cs"/>
                <w:sz w:val="18"/>
                <w:szCs w:val="18"/>
                <w:rtl/>
              </w:rPr>
              <w:t>(0)</w:t>
            </w:r>
          </w:p>
        </w:tc>
        <w:tc>
          <w:tcPr>
            <w:tcW w:w="342" w:type="pct"/>
            <w:shd w:val="clear" w:color="auto" w:fill="auto"/>
            <w:vAlign w:val="center"/>
            <w:hideMark/>
          </w:tcPr>
          <w:p w14:paraId="520DE154" w14:textId="77777777" w:rsidR="006501FC" w:rsidRPr="00A56C3A" w:rsidRDefault="006501FC" w:rsidP="00400DD1">
            <w:pPr>
              <w:rPr>
                <w:sz w:val="18"/>
                <w:szCs w:val="18"/>
                <w:rtl/>
              </w:rPr>
            </w:pPr>
            <w:r w:rsidRPr="00A56C3A">
              <w:rPr>
                <w:rFonts w:hint="cs"/>
                <w:sz w:val="18"/>
                <w:szCs w:val="18"/>
                <w:rtl/>
              </w:rPr>
              <w:t>(0)</w:t>
            </w:r>
          </w:p>
        </w:tc>
      </w:tr>
      <w:tr w:rsidR="006501FC" w:rsidRPr="00A56C3A" w14:paraId="6EAB5899" w14:textId="77777777" w:rsidTr="00315101">
        <w:trPr>
          <w:trHeight w:val="259"/>
        </w:trPr>
        <w:tc>
          <w:tcPr>
            <w:tcW w:w="347" w:type="pct"/>
            <w:shd w:val="clear" w:color="auto" w:fill="auto"/>
          </w:tcPr>
          <w:p w14:paraId="43AD5CBB" w14:textId="77777777" w:rsidR="006501FC" w:rsidRPr="00A56C3A" w:rsidRDefault="006501FC" w:rsidP="00400DD1">
            <w:pPr>
              <w:rPr>
                <w:sz w:val="18"/>
                <w:szCs w:val="18"/>
                <w:rtl/>
              </w:rPr>
            </w:pPr>
          </w:p>
        </w:tc>
        <w:tc>
          <w:tcPr>
            <w:tcW w:w="1950" w:type="pct"/>
            <w:shd w:val="clear" w:color="auto" w:fill="auto"/>
            <w:vAlign w:val="center"/>
            <w:hideMark/>
          </w:tcPr>
          <w:p w14:paraId="6CCB5D27" w14:textId="77777777" w:rsidR="006501FC" w:rsidRPr="00D03FC3" w:rsidRDefault="006501FC" w:rsidP="00400DD1">
            <w:pPr>
              <w:ind w:left="170"/>
              <w:jc w:val="left"/>
              <w:rPr>
                <w:b/>
                <w:bCs/>
                <w:sz w:val="18"/>
                <w:szCs w:val="18"/>
                <w:rtl/>
              </w:rPr>
            </w:pPr>
            <w:r w:rsidRPr="00D03FC3">
              <w:rPr>
                <w:rFonts w:hint="cs"/>
                <w:sz w:val="18"/>
                <w:szCs w:val="18"/>
                <w:rtl/>
              </w:rPr>
              <w:t>ביטחון במזומן ששועבד</w:t>
            </w:r>
          </w:p>
        </w:tc>
        <w:tc>
          <w:tcPr>
            <w:tcW w:w="415" w:type="pct"/>
            <w:shd w:val="clear" w:color="auto" w:fill="auto"/>
            <w:vAlign w:val="bottom"/>
            <w:hideMark/>
          </w:tcPr>
          <w:p w14:paraId="50C19E99"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349" w:type="pct"/>
            <w:shd w:val="clear" w:color="auto" w:fill="auto"/>
            <w:vAlign w:val="bottom"/>
            <w:hideMark/>
          </w:tcPr>
          <w:p w14:paraId="2EEE301F"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417" w:type="pct"/>
            <w:shd w:val="clear" w:color="auto" w:fill="auto"/>
            <w:vAlign w:val="bottom"/>
            <w:hideMark/>
          </w:tcPr>
          <w:p w14:paraId="02B8D541"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415" w:type="pct"/>
            <w:shd w:val="clear" w:color="auto" w:fill="auto"/>
            <w:vAlign w:val="bottom"/>
            <w:hideMark/>
          </w:tcPr>
          <w:p w14:paraId="07D9D6BD"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418" w:type="pct"/>
            <w:shd w:val="clear" w:color="auto" w:fill="auto"/>
            <w:vAlign w:val="bottom"/>
          </w:tcPr>
          <w:p w14:paraId="4B0FC603"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348" w:type="pct"/>
            <w:shd w:val="clear" w:color="auto" w:fill="auto"/>
            <w:vAlign w:val="bottom"/>
            <w:hideMark/>
          </w:tcPr>
          <w:p w14:paraId="372C3826"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342" w:type="pct"/>
            <w:shd w:val="clear" w:color="auto" w:fill="auto"/>
            <w:vAlign w:val="bottom"/>
            <w:hideMark/>
          </w:tcPr>
          <w:p w14:paraId="3672D6E8"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r>
      <w:tr w:rsidR="006501FC" w:rsidRPr="00A56C3A" w14:paraId="2AB50F10" w14:textId="77777777" w:rsidTr="00315101">
        <w:trPr>
          <w:trHeight w:val="259"/>
        </w:trPr>
        <w:tc>
          <w:tcPr>
            <w:tcW w:w="347" w:type="pct"/>
            <w:shd w:val="clear" w:color="auto" w:fill="auto"/>
          </w:tcPr>
          <w:p w14:paraId="3E72C903" w14:textId="77777777" w:rsidR="006501FC" w:rsidRPr="00A56C3A" w:rsidRDefault="006501FC" w:rsidP="00400DD1">
            <w:pPr>
              <w:rPr>
                <w:sz w:val="18"/>
                <w:szCs w:val="18"/>
                <w:rtl/>
              </w:rPr>
            </w:pPr>
          </w:p>
        </w:tc>
        <w:tc>
          <w:tcPr>
            <w:tcW w:w="1950" w:type="pct"/>
            <w:shd w:val="clear" w:color="auto" w:fill="auto"/>
            <w:vAlign w:val="bottom"/>
            <w:hideMark/>
          </w:tcPr>
          <w:p w14:paraId="5496536D" w14:textId="77777777" w:rsidR="006501FC" w:rsidRPr="00D03FC3" w:rsidRDefault="006501FC" w:rsidP="00400DD1">
            <w:pPr>
              <w:pStyle w:val="-23"/>
              <w:spacing w:before="60" w:line="220" w:lineRule="exact"/>
              <w:ind w:left="0" w:firstLine="0"/>
              <w:rPr>
                <w:b w:val="0"/>
                <w:bCs w:val="0"/>
                <w:sz w:val="18"/>
                <w:szCs w:val="18"/>
                <w:rtl/>
              </w:rPr>
            </w:pPr>
            <w:r w:rsidRPr="00D03FC3">
              <w:rPr>
                <w:rFonts w:hint="cs"/>
                <w:b w:val="0"/>
                <w:bCs w:val="0"/>
                <w:sz w:val="18"/>
                <w:szCs w:val="18"/>
                <w:rtl/>
              </w:rPr>
              <w:t>סכום נטו של התחייבויות בגין מכשירים נגזרים</w:t>
            </w:r>
          </w:p>
        </w:tc>
        <w:tc>
          <w:tcPr>
            <w:tcW w:w="415" w:type="pct"/>
            <w:shd w:val="clear" w:color="auto" w:fill="auto"/>
            <w:vAlign w:val="bottom"/>
            <w:hideMark/>
          </w:tcPr>
          <w:p w14:paraId="260B668C" w14:textId="77777777" w:rsidR="006501FC" w:rsidRPr="00A56C3A" w:rsidRDefault="006501FC" w:rsidP="00400DD1">
            <w:pPr>
              <w:pBdr>
                <w:bottom w:val="double" w:sz="4" w:space="1" w:color="auto"/>
              </w:pBdr>
              <w:rPr>
                <w:sz w:val="18"/>
                <w:szCs w:val="18"/>
                <w:u w:val="single"/>
                <w:rtl/>
              </w:rPr>
            </w:pPr>
            <w:r w:rsidRPr="00A56C3A">
              <w:rPr>
                <w:rFonts w:hint="cs"/>
                <w:sz w:val="18"/>
                <w:szCs w:val="18"/>
                <w:rtl/>
              </w:rPr>
              <w:t xml:space="preserve"> 0</w:t>
            </w:r>
          </w:p>
        </w:tc>
        <w:tc>
          <w:tcPr>
            <w:tcW w:w="349" w:type="pct"/>
            <w:shd w:val="clear" w:color="auto" w:fill="auto"/>
            <w:vAlign w:val="bottom"/>
            <w:hideMark/>
          </w:tcPr>
          <w:p w14:paraId="1E69DC8F"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417" w:type="pct"/>
            <w:shd w:val="clear" w:color="auto" w:fill="auto"/>
            <w:vAlign w:val="bottom"/>
            <w:hideMark/>
          </w:tcPr>
          <w:p w14:paraId="5E3F094D"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415" w:type="pct"/>
            <w:shd w:val="clear" w:color="auto" w:fill="auto"/>
            <w:vAlign w:val="bottom"/>
            <w:hideMark/>
          </w:tcPr>
          <w:p w14:paraId="3354C762"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418" w:type="pct"/>
            <w:shd w:val="clear" w:color="auto" w:fill="auto"/>
            <w:vAlign w:val="bottom"/>
          </w:tcPr>
          <w:p w14:paraId="5671D078"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348" w:type="pct"/>
            <w:shd w:val="clear" w:color="auto" w:fill="auto"/>
            <w:vAlign w:val="bottom"/>
            <w:hideMark/>
          </w:tcPr>
          <w:p w14:paraId="67576B93"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342" w:type="pct"/>
            <w:shd w:val="clear" w:color="auto" w:fill="auto"/>
            <w:vAlign w:val="bottom"/>
            <w:hideMark/>
          </w:tcPr>
          <w:p w14:paraId="1FC6DA65"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r>
    </w:tbl>
    <w:p w14:paraId="1AEB27D3" w14:textId="5ABB7E02" w:rsidR="00E63A17" w:rsidRDefault="00E63A17" w:rsidP="00EA192D">
      <w:pPr>
        <w:rPr>
          <w:rtl/>
        </w:rPr>
      </w:pPr>
    </w:p>
    <w:p w14:paraId="65DDF2DC" w14:textId="77777777" w:rsidR="003116CC" w:rsidRPr="00F679A6" w:rsidRDefault="003116CC" w:rsidP="00EA192D">
      <w:pPr>
        <w:rPr>
          <w:rtl/>
        </w:rPr>
      </w:pPr>
    </w:p>
    <w:p w14:paraId="36F4B25C" w14:textId="77777777" w:rsidR="009D55F5" w:rsidRDefault="009D55F5" w:rsidP="00D25C82">
      <w:pPr>
        <w:rPr>
          <w:rtl/>
        </w:rPr>
      </w:pPr>
    </w:p>
    <w:tbl>
      <w:tblPr>
        <w:bidiVisual/>
        <w:tblW w:w="5000" w:type="pct"/>
        <w:tblInd w:w="-5" w:type="dxa"/>
        <w:tblLook w:val="01E0" w:firstRow="1" w:lastRow="1" w:firstColumn="1" w:lastColumn="1" w:noHBand="0" w:noVBand="0"/>
      </w:tblPr>
      <w:tblGrid>
        <w:gridCol w:w="712"/>
        <w:gridCol w:w="441"/>
        <w:gridCol w:w="9054"/>
      </w:tblGrid>
      <w:tr w:rsidR="00E44FC7" w:rsidRPr="002E126A" w14:paraId="78E429F5" w14:textId="77777777" w:rsidTr="00400DD1">
        <w:trPr>
          <w:trHeight w:val="245"/>
        </w:trPr>
        <w:tc>
          <w:tcPr>
            <w:tcW w:w="349" w:type="pct"/>
          </w:tcPr>
          <w:p w14:paraId="30D55D6D" w14:textId="77777777" w:rsidR="00E44FC7" w:rsidRPr="002E126A" w:rsidRDefault="00E44FC7" w:rsidP="00400DD1">
            <w:pPr>
              <w:bidi w:val="0"/>
              <w:jc w:val="right"/>
            </w:pPr>
          </w:p>
        </w:tc>
        <w:tc>
          <w:tcPr>
            <w:tcW w:w="216" w:type="pct"/>
          </w:tcPr>
          <w:p w14:paraId="046DE735" w14:textId="77777777" w:rsidR="00E44FC7" w:rsidRPr="002E126A" w:rsidRDefault="00E44FC7" w:rsidP="00400DD1">
            <w:pPr>
              <w:bidi w:val="0"/>
              <w:jc w:val="left"/>
              <w:rPr>
                <w:sz w:val="18"/>
                <w:szCs w:val="18"/>
                <w:rtl/>
              </w:rPr>
            </w:pPr>
            <w:r w:rsidRPr="002E126A">
              <w:rPr>
                <w:sz w:val="18"/>
                <w:szCs w:val="18"/>
                <w:rtl/>
              </w:rPr>
              <w:t>(</w:t>
            </w:r>
            <w:r>
              <w:rPr>
                <w:rFonts w:hint="cs"/>
                <w:sz w:val="18"/>
                <w:szCs w:val="18"/>
                <w:rtl/>
              </w:rPr>
              <w:t>א</w:t>
            </w:r>
            <w:r w:rsidRPr="002E126A">
              <w:rPr>
                <w:rFonts w:hint="cs"/>
                <w:sz w:val="18"/>
                <w:szCs w:val="18"/>
                <w:rtl/>
              </w:rPr>
              <w:t>)</w:t>
            </w:r>
          </w:p>
        </w:tc>
        <w:tc>
          <w:tcPr>
            <w:tcW w:w="4435" w:type="pct"/>
          </w:tcPr>
          <w:p w14:paraId="074B901C" w14:textId="77777777" w:rsidR="00E44FC7" w:rsidRPr="002E126A" w:rsidRDefault="00E44FC7" w:rsidP="00400DD1">
            <w:pPr>
              <w:spacing w:afterLines="60" w:after="144"/>
              <w:rPr>
                <w:sz w:val="18"/>
                <w:szCs w:val="18"/>
                <w:rtl/>
              </w:rPr>
            </w:pPr>
            <w:r w:rsidRPr="002E126A">
              <w:rPr>
                <w:rFonts w:hint="cs"/>
                <w:sz w:val="18"/>
                <w:szCs w:val="18"/>
                <w:rtl/>
              </w:rPr>
              <w:t>פרט את השווי ההוגן לפי סוגי מכשירים עיקריים (מכשירים נגזרים שכפופים להסכמי קיזוז, ביטחון שהתקבל באג"ח ממשלתי, וכו')</w:t>
            </w:r>
            <w:r w:rsidRPr="009D55F5">
              <w:rPr>
                <w:rFonts w:hint="cs"/>
                <w:sz w:val="18"/>
                <w:szCs w:val="18"/>
                <w:rtl/>
              </w:rPr>
              <w:t>.</w:t>
            </w:r>
          </w:p>
        </w:tc>
      </w:tr>
      <w:tr w:rsidR="00E44FC7" w:rsidRPr="002E126A" w14:paraId="0E837B71" w14:textId="77777777" w:rsidTr="00400DD1">
        <w:trPr>
          <w:trHeight w:val="245"/>
        </w:trPr>
        <w:tc>
          <w:tcPr>
            <w:tcW w:w="349" w:type="pct"/>
          </w:tcPr>
          <w:p w14:paraId="642A8726" w14:textId="77777777" w:rsidR="00E44FC7" w:rsidRPr="002E126A" w:rsidRDefault="00E44FC7" w:rsidP="00400DD1">
            <w:pPr>
              <w:bidi w:val="0"/>
              <w:jc w:val="right"/>
            </w:pPr>
          </w:p>
        </w:tc>
        <w:tc>
          <w:tcPr>
            <w:tcW w:w="216" w:type="pct"/>
          </w:tcPr>
          <w:p w14:paraId="4E8FB36A" w14:textId="77777777" w:rsidR="00E44FC7" w:rsidRPr="002E126A" w:rsidRDefault="00E44FC7" w:rsidP="00400DD1">
            <w:pPr>
              <w:bidi w:val="0"/>
              <w:jc w:val="left"/>
              <w:rPr>
                <w:sz w:val="18"/>
                <w:szCs w:val="18"/>
                <w:rtl/>
              </w:rPr>
            </w:pPr>
            <w:r w:rsidRPr="002E126A">
              <w:rPr>
                <w:sz w:val="18"/>
                <w:szCs w:val="18"/>
                <w:rtl/>
              </w:rPr>
              <w:t>(</w:t>
            </w:r>
            <w:r>
              <w:rPr>
                <w:rFonts w:hint="cs"/>
                <w:sz w:val="18"/>
                <w:szCs w:val="18"/>
                <w:rtl/>
              </w:rPr>
              <w:t>ב</w:t>
            </w:r>
            <w:r w:rsidRPr="002E126A">
              <w:rPr>
                <w:rFonts w:hint="cs"/>
                <w:sz w:val="18"/>
                <w:szCs w:val="18"/>
                <w:rtl/>
              </w:rPr>
              <w:t>)</w:t>
            </w:r>
          </w:p>
        </w:tc>
        <w:tc>
          <w:tcPr>
            <w:tcW w:w="4435" w:type="pct"/>
          </w:tcPr>
          <w:p w14:paraId="79E2D7F3" w14:textId="0396D73A" w:rsidR="00E44FC7" w:rsidRPr="002E126A" w:rsidRDefault="00E44FC7" w:rsidP="00400DD1">
            <w:pPr>
              <w:spacing w:afterLines="60" w:after="144"/>
              <w:rPr>
                <w:sz w:val="18"/>
                <w:szCs w:val="18"/>
                <w:rtl/>
              </w:rPr>
            </w:pPr>
            <w:r w:rsidRPr="00E44FC7">
              <w:rPr>
                <w:sz w:val="18"/>
                <w:szCs w:val="18"/>
                <w:rtl/>
              </w:rPr>
              <w:t>ההפרש, אם הוא חיובי, בין סך כל הסכומים בגין מכשירים נגזרים (לרבות בגין מכשירים נגזרים עם שווי הוגן שלילי) שנכללו בחבות הלווה, כפי שחושבו לצורך מגבלות על חבות של לווה, לפני הפחתת סיכון אשראי, לבין היתרה המאזנית של נכסים בגין מכשירים נגזרים של הלווה.</w:t>
            </w:r>
          </w:p>
        </w:tc>
      </w:tr>
    </w:tbl>
    <w:p w14:paraId="4F311102" w14:textId="5BF090ED" w:rsidR="00D25C82" w:rsidRPr="00D25C82" w:rsidRDefault="00EF3E60" w:rsidP="00D25C82">
      <w:pPr>
        <w:rPr>
          <w:sz w:val="2"/>
          <w:szCs w:val="2"/>
          <w:rtl/>
        </w:rPr>
      </w:pPr>
      <w:r>
        <w:rPr>
          <w:rtl/>
        </w:rPr>
        <w:br w:type="page"/>
      </w:r>
    </w:p>
    <w:tbl>
      <w:tblPr>
        <w:bidiVisual/>
        <w:tblW w:w="5001" w:type="pct"/>
        <w:tblInd w:w="-5" w:type="dxa"/>
        <w:tblLook w:val="04A0" w:firstRow="1" w:lastRow="0" w:firstColumn="1" w:lastColumn="0" w:noHBand="0" w:noVBand="1"/>
      </w:tblPr>
      <w:tblGrid>
        <w:gridCol w:w="1020"/>
        <w:gridCol w:w="425"/>
        <w:gridCol w:w="8764"/>
      </w:tblGrid>
      <w:tr w:rsidR="00D25C82" w:rsidRPr="00543C25" w14:paraId="520C1F78" w14:textId="77777777" w:rsidTr="00435A20">
        <w:trPr>
          <w:trHeight w:val="259"/>
        </w:trPr>
        <w:tc>
          <w:tcPr>
            <w:tcW w:w="1020" w:type="dxa"/>
          </w:tcPr>
          <w:p w14:paraId="28664D93" w14:textId="77777777" w:rsidR="00D25C82" w:rsidRPr="00030C7C" w:rsidRDefault="00D25C82" w:rsidP="00077CE4">
            <w:pPr>
              <w:pStyle w:val="-fa"/>
              <w:ind w:right="-142"/>
              <w:rPr>
                <w:spacing w:val="-4"/>
                <w:rtl/>
              </w:rPr>
            </w:pPr>
            <w:r>
              <w:rPr>
                <w:rtl/>
              </w:rPr>
              <w:lastRenderedPageBreak/>
              <w:br w:type="page"/>
            </w:r>
            <w:r>
              <w:rPr>
                <w:rtl/>
              </w:rPr>
              <w:br w:type="page"/>
            </w:r>
          </w:p>
        </w:tc>
        <w:tc>
          <w:tcPr>
            <w:tcW w:w="9189" w:type="dxa"/>
            <w:gridSpan w:val="2"/>
          </w:tcPr>
          <w:p w14:paraId="77BABDB1" w14:textId="77777777" w:rsidR="00D25C82" w:rsidRDefault="00D25C82" w:rsidP="00DA0217">
            <w:pPr>
              <w:pStyle w:val="-8"/>
              <w:rPr>
                <w:rtl/>
              </w:rPr>
            </w:pPr>
            <w:r w:rsidRPr="007369EE">
              <w:rPr>
                <w:rFonts w:eastAsia="Arial Unicode MS"/>
                <w:rtl/>
              </w:rPr>
              <w:t xml:space="preserve">ביאור </w:t>
            </w:r>
            <w:r>
              <w:rPr>
                <w:rFonts w:eastAsia="Arial Unicode MS" w:hint="cs"/>
                <w:rtl/>
              </w:rPr>
              <w:t>10</w:t>
            </w:r>
            <w:r w:rsidRPr="007369EE">
              <w:rPr>
                <w:rFonts w:eastAsia="Arial Unicode MS" w:hint="cs"/>
                <w:rtl/>
              </w:rPr>
              <w:t xml:space="preserve">  </w:t>
            </w:r>
            <w:r w:rsidRPr="007369EE">
              <w:rPr>
                <w:rFonts w:eastAsia="Arial Unicode MS"/>
                <w:rtl/>
              </w:rPr>
              <w:t>-</w:t>
            </w:r>
            <w:r w:rsidRPr="007369EE">
              <w:rPr>
                <w:rFonts w:eastAsia="Arial Unicode MS" w:hint="cs"/>
                <w:rtl/>
              </w:rPr>
              <w:t xml:space="preserve"> </w:t>
            </w:r>
            <w:r w:rsidRPr="007369EE">
              <w:rPr>
                <w:rFonts w:eastAsia="Arial Unicode MS"/>
                <w:rtl/>
              </w:rPr>
              <w:t xml:space="preserve"> </w:t>
            </w:r>
            <w:r>
              <w:rPr>
                <w:rFonts w:hint="cs"/>
                <w:rtl/>
              </w:rPr>
              <w:t xml:space="preserve">פעילות במכשירים נגזרים </w:t>
            </w:r>
            <w:r>
              <w:t>-</w:t>
            </w:r>
            <w:r>
              <w:rPr>
                <w:rFonts w:hint="cs"/>
                <w:rtl/>
              </w:rPr>
              <w:t xml:space="preserve"> היקף, סיכוני אשראי ומועדי פירעון (המשך):</w:t>
            </w:r>
          </w:p>
        </w:tc>
      </w:tr>
      <w:tr w:rsidR="00D25C82" w:rsidRPr="007363C7" w14:paraId="44DC4540" w14:textId="77777777" w:rsidTr="00435A20">
        <w:tblPrEx>
          <w:jc w:val="right"/>
          <w:tblInd w:w="0" w:type="dxa"/>
          <w:tblLook w:val="0000" w:firstRow="0" w:lastRow="0" w:firstColumn="0" w:lastColumn="0" w:noHBand="0" w:noVBand="0"/>
        </w:tblPrEx>
        <w:trPr>
          <w:trHeight w:val="245"/>
          <w:jc w:val="right"/>
        </w:trPr>
        <w:tc>
          <w:tcPr>
            <w:tcW w:w="1020" w:type="dxa"/>
          </w:tcPr>
          <w:p w14:paraId="36201549" w14:textId="562A3FCC" w:rsidR="00D25C82" w:rsidRPr="00601E8F" w:rsidRDefault="00D25C82" w:rsidP="00DA0217">
            <w:pPr>
              <w:pStyle w:val="-fa"/>
              <w:ind w:right="-142"/>
              <w:rPr>
                <w:b/>
                <w:bCs/>
                <w:spacing w:val="-4"/>
                <w:sz w:val="20"/>
                <w:szCs w:val="20"/>
                <w:rtl/>
              </w:rPr>
            </w:pPr>
          </w:p>
        </w:tc>
        <w:tc>
          <w:tcPr>
            <w:tcW w:w="425" w:type="dxa"/>
          </w:tcPr>
          <w:p w14:paraId="07DD716E" w14:textId="77777777" w:rsidR="00D25C82" w:rsidRDefault="00F441DD" w:rsidP="00DA0217">
            <w:pPr>
              <w:pStyle w:val="-f4"/>
              <w:spacing w:line="240" w:lineRule="auto"/>
              <w:jc w:val="left"/>
              <w:rPr>
                <w:rtl/>
              </w:rPr>
            </w:pPr>
            <w:r>
              <w:rPr>
                <w:rFonts w:hint="cs"/>
                <w:rtl/>
              </w:rPr>
              <w:t>ב</w:t>
            </w:r>
            <w:r w:rsidR="00D25C82">
              <w:rPr>
                <w:rFonts w:hint="cs"/>
                <w:rtl/>
              </w:rPr>
              <w:t>.</w:t>
            </w:r>
          </w:p>
        </w:tc>
        <w:tc>
          <w:tcPr>
            <w:tcW w:w="8764" w:type="dxa"/>
          </w:tcPr>
          <w:p w14:paraId="2344EC87" w14:textId="77777777" w:rsidR="00D25C82" w:rsidRDefault="00D25C82" w:rsidP="00DA0217">
            <w:pPr>
              <w:pStyle w:val="-f4"/>
              <w:spacing w:line="240" w:lineRule="auto"/>
              <w:jc w:val="left"/>
              <w:rPr>
                <w:rtl/>
              </w:rPr>
            </w:pPr>
            <w:r w:rsidRPr="00AC3844">
              <w:rPr>
                <w:rFonts w:hint="cs"/>
                <w:rtl/>
              </w:rPr>
              <w:t>סיכון אשראי בגין מכשירים נגזרים לפי צד נגדי לחוזה על בסיס מאוחד</w:t>
            </w:r>
            <w:r>
              <w:rPr>
                <w:rFonts w:hint="cs"/>
                <w:rtl/>
              </w:rPr>
              <w:t xml:space="preserve"> (המשך)</w:t>
            </w:r>
            <w:r w:rsidRPr="00AC3844">
              <w:rPr>
                <w:rFonts w:hint="cs"/>
                <w:rtl/>
              </w:rPr>
              <w:t>:</w:t>
            </w:r>
          </w:p>
          <w:p w14:paraId="55554F9E" w14:textId="188AE376" w:rsidR="005A2AC8" w:rsidRPr="00AC3844" w:rsidRDefault="005A2AC8" w:rsidP="00DA0217">
            <w:pPr>
              <w:pStyle w:val="-f4"/>
              <w:spacing w:line="240" w:lineRule="auto"/>
              <w:jc w:val="left"/>
              <w:rPr>
                <w:rtl/>
              </w:rPr>
            </w:pPr>
          </w:p>
        </w:tc>
      </w:tr>
    </w:tbl>
    <w:p w14:paraId="34A464E2" w14:textId="77777777" w:rsidR="006E7DC5" w:rsidRDefault="006E7DC5"/>
    <w:tbl>
      <w:tblPr>
        <w:bidiVisual/>
        <w:tblW w:w="5000" w:type="pct"/>
        <w:tblInd w:w="-5" w:type="dxa"/>
        <w:tblLayout w:type="fixed"/>
        <w:tblLook w:val="01E0" w:firstRow="1" w:lastRow="1" w:firstColumn="1" w:lastColumn="1" w:noHBand="0" w:noVBand="0"/>
      </w:tblPr>
      <w:tblGrid>
        <w:gridCol w:w="709"/>
        <w:gridCol w:w="3982"/>
        <w:gridCol w:w="847"/>
        <w:gridCol w:w="712"/>
        <w:gridCol w:w="851"/>
        <w:gridCol w:w="847"/>
        <w:gridCol w:w="853"/>
        <w:gridCol w:w="710"/>
        <w:gridCol w:w="696"/>
      </w:tblGrid>
      <w:tr w:rsidR="006501FC" w:rsidRPr="00A56C3A" w14:paraId="61C1C345" w14:textId="77777777" w:rsidTr="00400DD1">
        <w:trPr>
          <w:trHeight w:val="259"/>
        </w:trPr>
        <w:tc>
          <w:tcPr>
            <w:tcW w:w="347" w:type="pct"/>
            <w:shd w:val="clear" w:color="auto" w:fill="auto"/>
          </w:tcPr>
          <w:p w14:paraId="3DA8BB2D" w14:textId="77777777" w:rsidR="006501FC" w:rsidRPr="00A56C3A" w:rsidRDefault="006501FC" w:rsidP="00400DD1">
            <w:pPr>
              <w:rPr>
                <w:i/>
                <w:iCs/>
                <w:sz w:val="18"/>
                <w:szCs w:val="18"/>
              </w:rPr>
            </w:pPr>
          </w:p>
        </w:tc>
        <w:tc>
          <w:tcPr>
            <w:tcW w:w="1950" w:type="pct"/>
            <w:shd w:val="clear" w:color="auto" w:fill="auto"/>
            <w:vAlign w:val="bottom"/>
          </w:tcPr>
          <w:p w14:paraId="0D21925B" w14:textId="77777777" w:rsidR="006501FC" w:rsidRPr="00A56C3A" w:rsidRDefault="006501FC" w:rsidP="00400DD1">
            <w:pPr>
              <w:rPr>
                <w:sz w:val="18"/>
                <w:szCs w:val="18"/>
                <w:rtl/>
              </w:rPr>
            </w:pPr>
          </w:p>
        </w:tc>
        <w:tc>
          <w:tcPr>
            <w:tcW w:w="2703" w:type="pct"/>
            <w:gridSpan w:val="7"/>
            <w:shd w:val="clear" w:color="auto" w:fill="auto"/>
          </w:tcPr>
          <w:p w14:paraId="5BF85AD7" w14:textId="32779D04" w:rsidR="006501FC" w:rsidRPr="00265FD2" w:rsidRDefault="006501FC" w:rsidP="00265FD2">
            <w:pPr>
              <w:jc w:val="center"/>
              <w:rPr>
                <w:b/>
                <w:bCs/>
                <w:color w:val="000000"/>
                <w:sz w:val="18"/>
                <w:szCs w:val="18"/>
                <w:u w:val="single"/>
                <w:rtl/>
                <w:lang w:eastAsia="he-IL"/>
              </w:rPr>
            </w:pPr>
            <w:r w:rsidRPr="00265FD2">
              <w:rPr>
                <w:rFonts w:hint="cs"/>
                <w:b/>
                <w:bCs/>
                <w:sz w:val="18"/>
                <w:szCs w:val="18"/>
                <w:u w:val="single"/>
                <w:rtl/>
              </w:rPr>
              <w:t xml:space="preserve">ליום 31 בדצמבר </w:t>
            </w:r>
            <w:r w:rsidRPr="00265FD2">
              <w:rPr>
                <w:b/>
                <w:bCs/>
                <w:sz w:val="18"/>
                <w:szCs w:val="18"/>
                <w:u w:val="single"/>
                <w:rtl/>
              </w:rPr>
              <w:fldChar w:fldCharType="begin"/>
            </w:r>
            <w:r w:rsidRPr="00265FD2">
              <w:rPr>
                <w:b/>
                <w:bCs/>
                <w:sz w:val="18"/>
                <w:szCs w:val="18"/>
                <w:u w:val="single"/>
                <w:rtl/>
              </w:rPr>
              <w:instrText xml:space="preserve"> </w:instrText>
            </w:r>
            <w:r w:rsidRPr="00265FD2">
              <w:rPr>
                <w:rFonts w:hint="cs"/>
                <w:b/>
                <w:bCs/>
                <w:sz w:val="18"/>
                <w:szCs w:val="18"/>
                <w:u w:val="single"/>
                <w:rtl/>
              </w:rPr>
              <w:instrText xml:space="preserve">= </w:instrText>
            </w:r>
            <w:r w:rsidRPr="00265FD2">
              <w:rPr>
                <w:rFonts w:hint="cs"/>
                <w:b/>
                <w:bCs/>
                <w:sz w:val="18"/>
                <w:szCs w:val="18"/>
                <w:u w:val="single"/>
              </w:rPr>
              <w:instrText>CY</w:instrText>
            </w:r>
            <w:r w:rsidRPr="00265FD2">
              <w:rPr>
                <w:b/>
                <w:bCs/>
                <w:sz w:val="18"/>
                <w:szCs w:val="18"/>
                <w:u w:val="single"/>
              </w:rPr>
              <w:instrText>-1</w:instrText>
            </w:r>
            <w:r w:rsidRPr="00265FD2">
              <w:rPr>
                <w:rFonts w:hint="cs"/>
                <w:b/>
                <w:bCs/>
                <w:sz w:val="18"/>
                <w:szCs w:val="18"/>
                <w:u w:val="single"/>
              </w:rPr>
              <w:instrText xml:space="preserve"> \* MERGEFORMAT</w:instrText>
            </w:r>
            <w:r w:rsidRPr="00265FD2">
              <w:rPr>
                <w:b/>
                <w:bCs/>
                <w:sz w:val="18"/>
                <w:szCs w:val="18"/>
                <w:u w:val="single"/>
                <w:rtl/>
              </w:rPr>
              <w:instrText xml:space="preserve"> </w:instrText>
            </w:r>
            <w:r w:rsidRPr="00265FD2">
              <w:rPr>
                <w:b/>
                <w:bCs/>
                <w:sz w:val="18"/>
                <w:szCs w:val="18"/>
                <w:u w:val="single"/>
                <w:rtl/>
              </w:rPr>
              <w:fldChar w:fldCharType="separate"/>
            </w:r>
            <w:r w:rsidRPr="00265FD2">
              <w:rPr>
                <w:b/>
                <w:bCs/>
                <w:noProof/>
                <w:sz w:val="18"/>
                <w:szCs w:val="18"/>
                <w:u w:val="single"/>
                <w:rtl/>
              </w:rPr>
              <w:t>2023</w:t>
            </w:r>
            <w:r w:rsidRPr="00265FD2">
              <w:rPr>
                <w:b/>
                <w:bCs/>
                <w:sz w:val="18"/>
                <w:szCs w:val="18"/>
                <w:u w:val="single"/>
                <w:rtl/>
              </w:rPr>
              <w:fldChar w:fldCharType="end"/>
            </w:r>
            <w:r w:rsidRPr="00265FD2">
              <w:rPr>
                <w:rFonts w:hint="cs"/>
                <w:b/>
                <w:bCs/>
                <w:color w:val="000000"/>
                <w:sz w:val="18"/>
                <w:szCs w:val="18"/>
                <w:u w:val="single"/>
                <w:rtl/>
                <w:lang w:eastAsia="he-IL"/>
              </w:rPr>
              <w:t xml:space="preserve">  </w:t>
            </w:r>
            <w:r w:rsidRPr="00265FD2">
              <w:rPr>
                <w:rFonts w:hint="cs"/>
                <w:sz w:val="18"/>
                <w:szCs w:val="18"/>
                <w:u w:val="single"/>
                <w:rtl/>
              </w:rPr>
              <w:t>(מבוקר)</w:t>
            </w:r>
          </w:p>
        </w:tc>
      </w:tr>
      <w:tr w:rsidR="006501FC" w:rsidRPr="00A56C3A" w14:paraId="4F93EF7E" w14:textId="77777777" w:rsidTr="00400DD1">
        <w:trPr>
          <w:trHeight w:val="259"/>
        </w:trPr>
        <w:tc>
          <w:tcPr>
            <w:tcW w:w="347" w:type="pct"/>
            <w:shd w:val="clear" w:color="auto" w:fill="auto"/>
          </w:tcPr>
          <w:p w14:paraId="616D0DC0" w14:textId="77777777" w:rsidR="006501FC" w:rsidRPr="00A56C3A" w:rsidRDefault="006501FC" w:rsidP="00400DD1">
            <w:pPr>
              <w:rPr>
                <w:sz w:val="18"/>
                <w:szCs w:val="18"/>
                <w:rtl/>
              </w:rPr>
            </w:pPr>
          </w:p>
        </w:tc>
        <w:tc>
          <w:tcPr>
            <w:tcW w:w="1950" w:type="pct"/>
            <w:shd w:val="clear" w:color="auto" w:fill="auto"/>
            <w:vAlign w:val="bottom"/>
          </w:tcPr>
          <w:p w14:paraId="2FB556DE" w14:textId="77777777" w:rsidR="006501FC" w:rsidRPr="00A56C3A" w:rsidRDefault="006501FC" w:rsidP="00400DD1">
            <w:pPr>
              <w:ind w:left="144" w:hanging="144"/>
              <w:jc w:val="left"/>
              <w:rPr>
                <w:sz w:val="18"/>
                <w:szCs w:val="18"/>
              </w:rPr>
            </w:pPr>
          </w:p>
        </w:tc>
        <w:tc>
          <w:tcPr>
            <w:tcW w:w="415" w:type="pct"/>
            <w:shd w:val="clear" w:color="auto" w:fill="auto"/>
            <w:vAlign w:val="bottom"/>
            <w:hideMark/>
          </w:tcPr>
          <w:p w14:paraId="5AD24D80" w14:textId="77777777" w:rsidR="006501FC" w:rsidRPr="00D03FC3" w:rsidRDefault="006501FC" w:rsidP="00400DD1">
            <w:pPr>
              <w:pBdr>
                <w:bottom w:val="single" w:sz="4" w:space="1" w:color="auto"/>
              </w:pBdr>
              <w:jc w:val="center"/>
              <w:rPr>
                <w:b/>
                <w:bCs/>
                <w:sz w:val="17"/>
                <w:szCs w:val="17"/>
                <w:rtl/>
              </w:rPr>
            </w:pPr>
            <w:r w:rsidRPr="00D03FC3">
              <w:rPr>
                <w:rFonts w:hint="cs"/>
                <w:b/>
                <w:bCs/>
                <w:sz w:val="17"/>
                <w:szCs w:val="17"/>
                <w:rtl/>
              </w:rPr>
              <w:t>בורסות</w:t>
            </w:r>
          </w:p>
        </w:tc>
        <w:tc>
          <w:tcPr>
            <w:tcW w:w="349" w:type="pct"/>
            <w:shd w:val="clear" w:color="auto" w:fill="auto"/>
            <w:vAlign w:val="bottom"/>
            <w:hideMark/>
          </w:tcPr>
          <w:p w14:paraId="50F412F2" w14:textId="77777777" w:rsidR="006501FC" w:rsidRPr="00D03FC3" w:rsidRDefault="006501FC" w:rsidP="00400DD1">
            <w:pPr>
              <w:pBdr>
                <w:bottom w:val="single" w:sz="4" w:space="1" w:color="auto"/>
              </w:pBdr>
              <w:jc w:val="center"/>
              <w:rPr>
                <w:b/>
                <w:bCs/>
                <w:sz w:val="17"/>
                <w:szCs w:val="17"/>
                <w:rtl/>
              </w:rPr>
            </w:pPr>
            <w:r w:rsidRPr="00D03FC3">
              <w:rPr>
                <w:rFonts w:hint="cs"/>
                <w:b/>
                <w:bCs/>
                <w:sz w:val="17"/>
                <w:szCs w:val="17"/>
                <w:rtl/>
              </w:rPr>
              <w:t>בנקים</w:t>
            </w:r>
          </w:p>
        </w:tc>
        <w:tc>
          <w:tcPr>
            <w:tcW w:w="417" w:type="pct"/>
            <w:shd w:val="clear" w:color="auto" w:fill="auto"/>
            <w:vAlign w:val="bottom"/>
            <w:hideMark/>
          </w:tcPr>
          <w:p w14:paraId="3E87B9E3" w14:textId="77777777" w:rsidR="006501FC" w:rsidRPr="00D03FC3" w:rsidRDefault="006501FC" w:rsidP="00400DD1">
            <w:pPr>
              <w:pBdr>
                <w:bottom w:val="single" w:sz="4" w:space="1" w:color="auto"/>
              </w:pBdr>
              <w:jc w:val="center"/>
              <w:rPr>
                <w:b/>
                <w:bCs/>
                <w:sz w:val="17"/>
                <w:szCs w:val="17"/>
                <w:rtl/>
              </w:rPr>
            </w:pPr>
            <w:r w:rsidRPr="00D03FC3">
              <w:rPr>
                <w:rFonts w:hint="cs"/>
                <w:b/>
                <w:bCs/>
                <w:sz w:val="17"/>
                <w:szCs w:val="17"/>
                <w:rtl/>
              </w:rPr>
              <w:t>דילרים/ ברוקרים</w:t>
            </w:r>
          </w:p>
        </w:tc>
        <w:tc>
          <w:tcPr>
            <w:tcW w:w="415" w:type="pct"/>
            <w:shd w:val="clear" w:color="auto" w:fill="auto"/>
            <w:vAlign w:val="bottom"/>
            <w:hideMark/>
          </w:tcPr>
          <w:p w14:paraId="77F3097C" w14:textId="77777777" w:rsidR="006501FC" w:rsidRPr="00D03FC3" w:rsidRDefault="006501FC" w:rsidP="00400DD1">
            <w:pPr>
              <w:pBdr>
                <w:bottom w:val="single" w:sz="4" w:space="1" w:color="auto"/>
              </w:pBdr>
              <w:jc w:val="center"/>
              <w:rPr>
                <w:b/>
                <w:bCs/>
                <w:sz w:val="17"/>
                <w:szCs w:val="17"/>
                <w:rtl/>
              </w:rPr>
            </w:pPr>
            <w:r w:rsidRPr="00D03FC3">
              <w:rPr>
                <w:rFonts w:hint="cs"/>
                <w:b/>
                <w:bCs/>
                <w:sz w:val="17"/>
                <w:szCs w:val="17"/>
                <w:rtl/>
              </w:rPr>
              <w:t>ממשלות ובנקים מרכזיים</w:t>
            </w:r>
          </w:p>
        </w:tc>
        <w:tc>
          <w:tcPr>
            <w:tcW w:w="418" w:type="pct"/>
            <w:shd w:val="clear" w:color="auto" w:fill="auto"/>
          </w:tcPr>
          <w:p w14:paraId="41BFD9F3" w14:textId="77777777" w:rsidR="006501FC" w:rsidRPr="00D03FC3" w:rsidRDefault="006501FC" w:rsidP="00400DD1">
            <w:pPr>
              <w:pBdr>
                <w:bottom w:val="single" w:sz="4" w:space="1" w:color="auto"/>
              </w:pBdr>
              <w:jc w:val="center"/>
              <w:rPr>
                <w:b/>
                <w:bCs/>
                <w:sz w:val="17"/>
                <w:szCs w:val="17"/>
                <w:rtl/>
              </w:rPr>
            </w:pPr>
          </w:p>
          <w:p w14:paraId="78191B83" w14:textId="77777777" w:rsidR="006501FC" w:rsidRPr="00D03FC3" w:rsidRDefault="006501FC" w:rsidP="00400DD1">
            <w:pPr>
              <w:pBdr>
                <w:bottom w:val="single" w:sz="4" w:space="1" w:color="auto"/>
              </w:pBdr>
              <w:jc w:val="center"/>
              <w:rPr>
                <w:b/>
                <w:bCs/>
                <w:sz w:val="17"/>
                <w:szCs w:val="17"/>
                <w:rtl/>
              </w:rPr>
            </w:pPr>
            <w:r w:rsidRPr="00D03FC3">
              <w:rPr>
                <w:rFonts w:hint="cs"/>
                <w:b/>
                <w:bCs/>
                <w:sz w:val="17"/>
                <w:szCs w:val="17"/>
                <w:rtl/>
              </w:rPr>
              <w:t>גופים מוסדיים</w:t>
            </w:r>
          </w:p>
        </w:tc>
        <w:tc>
          <w:tcPr>
            <w:tcW w:w="348" w:type="pct"/>
            <w:shd w:val="clear" w:color="auto" w:fill="auto"/>
            <w:vAlign w:val="bottom"/>
            <w:hideMark/>
          </w:tcPr>
          <w:p w14:paraId="7641616E" w14:textId="77777777" w:rsidR="006501FC" w:rsidRPr="00D03FC3" w:rsidRDefault="006501FC" w:rsidP="00400DD1">
            <w:pPr>
              <w:pBdr>
                <w:bottom w:val="single" w:sz="4" w:space="1" w:color="auto"/>
              </w:pBdr>
              <w:jc w:val="center"/>
              <w:rPr>
                <w:b/>
                <w:bCs/>
                <w:sz w:val="17"/>
                <w:szCs w:val="17"/>
                <w:rtl/>
              </w:rPr>
            </w:pPr>
            <w:r w:rsidRPr="00D03FC3">
              <w:rPr>
                <w:rFonts w:hint="cs"/>
                <w:b/>
                <w:bCs/>
                <w:sz w:val="17"/>
                <w:szCs w:val="17"/>
                <w:rtl/>
              </w:rPr>
              <w:t>אחרים</w:t>
            </w:r>
          </w:p>
        </w:tc>
        <w:tc>
          <w:tcPr>
            <w:tcW w:w="342" w:type="pct"/>
            <w:shd w:val="clear" w:color="auto" w:fill="auto"/>
            <w:vAlign w:val="bottom"/>
            <w:hideMark/>
          </w:tcPr>
          <w:p w14:paraId="4543A814" w14:textId="77777777" w:rsidR="006501FC" w:rsidRPr="00D03FC3" w:rsidRDefault="006501FC" w:rsidP="00400DD1">
            <w:pPr>
              <w:pBdr>
                <w:bottom w:val="single" w:sz="4" w:space="1" w:color="auto"/>
              </w:pBdr>
              <w:jc w:val="center"/>
              <w:rPr>
                <w:b/>
                <w:bCs/>
                <w:sz w:val="17"/>
                <w:szCs w:val="17"/>
                <w:rtl/>
              </w:rPr>
            </w:pPr>
            <w:r w:rsidRPr="00D03FC3">
              <w:rPr>
                <w:rFonts w:hint="cs"/>
                <w:b/>
                <w:bCs/>
                <w:sz w:val="17"/>
                <w:szCs w:val="17"/>
                <w:rtl/>
              </w:rPr>
              <w:t>סה"כ</w:t>
            </w:r>
          </w:p>
        </w:tc>
      </w:tr>
      <w:tr w:rsidR="006501FC" w:rsidRPr="00A56C3A" w14:paraId="0591AE04" w14:textId="77777777" w:rsidTr="00400DD1">
        <w:trPr>
          <w:trHeight w:hRule="exact" w:val="144"/>
        </w:trPr>
        <w:tc>
          <w:tcPr>
            <w:tcW w:w="347" w:type="pct"/>
            <w:shd w:val="clear" w:color="auto" w:fill="auto"/>
          </w:tcPr>
          <w:p w14:paraId="795781A6" w14:textId="77777777" w:rsidR="006501FC" w:rsidRPr="00A56C3A" w:rsidRDefault="006501FC" w:rsidP="00400DD1">
            <w:pPr>
              <w:rPr>
                <w:sz w:val="18"/>
                <w:szCs w:val="18"/>
                <w:rtl/>
              </w:rPr>
            </w:pPr>
          </w:p>
        </w:tc>
        <w:tc>
          <w:tcPr>
            <w:tcW w:w="1950" w:type="pct"/>
            <w:shd w:val="clear" w:color="auto" w:fill="auto"/>
            <w:vAlign w:val="bottom"/>
          </w:tcPr>
          <w:p w14:paraId="2D15A515" w14:textId="77777777" w:rsidR="006501FC" w:rsidRPr="00A56C3A" w:rsidRDefault="006501FC" w:rsidP="00400DD1">
            <w:pPr>
              <w:ind w:left="144" w:hanging="144"/>
              <w:jc w:val="left"/>
              <w:rPr>
                <w:color w:val="000000"/>
                <w:sz w:val="18"/>
                <w:szCs w:val="18"/>
                <w:rtl/>
                <w:lang w:eastAsia="he-IL"/>
              </w:rPr>
            </w:pPr>
          </w:p>
        </w:tc>
        <w:tc>
          <w:tcPr>
            <w:tcW w:w="415" w:type="pct"/>
            <w:shd w:val="clear" w:color="auto" w:fill="auto"/>
            <w:vAlign w:val="bottom"/>
          </w:tcPr>
          <w:p w14:paraId="326AE022" w14:textId="77777777" w:rsidR="006501FC" w:rsidRPr="00A56C3A" w:rsidRDefault="006501FC" w:rsidP="00400DD1">
            <w:pPr>
              <w:rPr>
                <w:sz w:val="18"/>
                <w:szCs w:val="18"/>
                <w:rtl/>
              </w:rPr>
            </w:pPr>
          </w:p>
        </w:tc>
        <w:tc>
          <w:tcPr>
            <w:tcW w:w="349" w:type="pct"/>
            <w:shd w:val="clear" w:color="auto" w:fill="auto"/>
            <w:vAlign w:val="bottom"/>
          </w:tcPr>
          <w:p w14:paraId="49255975" w14:textId="77777777" w:rsidR="006501FC" w:rsidRPr="00A56C3A" w:rsidRDefault="006501FC" w:rsidP="00400DD1">
            <w:pPr>
              <w:rPr>
                <w:sz w:val="18"/>
                <w:szCs w:val="18"/>
                <w:rtl/>
              </w:rPr>
            </w:pPr>
          </w:p>
        </w:tc>
        <w:tc>
          <w:tcPr>
            <w:tcW w:w="417" w:type="pct"/>
            <w:shd w:val="clear" w:color="auto" w:fill="auto"/>
            <w:vAlign w:val="bottom"/>
          </w:tcPr>
          <w:p w14:paraId="38E5C6EE" w14:textId="77777777" w:rsidR="006501FC" w:rsidRPr="00A56C3A" w:rsidRDefault="006501FC" w:rsidP="00400DD1">
            <w:pPr>
              <w:rPr>
                <w:sz w:val="18"/>
                <w:szCs w:val="18"/>
                <w:rtl/>
              </w:rPr>
            </w:pPr>
          </w:p>
        </w:tc>
        <w:tc>
          <w:tcPr>
            <w:tcW w:w="415" w:type="pct"/>
            <w:shd w:val="clear" w:color="auto" w:fill="auto"/>
            <w:vAlign w:val="bottom"/>
          </w:tcPr>
          <w:p w14:paraId="620D61BD" w14:textId="77777777" w:rsidR="006501FC" w:rsidRPr="00A56C3A" w:rsidRDefault="006501FC" w:rsidP="00400DD1">
            <w:pPr>
              <w:rPr>
                <w:sz w:val="18"/>
                <w:szCs w:val="18"/>
                <w:rtl/>
              </w:rPr>
            </w:pPr>
          </w:p>
        </w:tc>
        <w:tc>
          <w:tcPr>
            <w:tcW w:w="418" w:type="pct"/>
            <w:shd w:val="clear" w:color="auto" w:fill="auto"/>
          </w:tcPr>
          <w:p w14:paraId="366B823A" w14:textId="77777777" w:rsidR="006501FC" w:rsidRPr="00A56C3A" w:rsidRDefault="006501FC" w:rsidP="00400DD1">
            <w:pPr>
              <w:rPr>
                <w:sz w:val="18"/>
                <w:szCs w:val="18"/>
                <w:rtl/>
              </w:rPr>
            </w:pPr>
          </w:p>
        </w:tc>
        <w:tc>
          <w:tcPr>
            <w:tcW w:w="348" w:type="pct"/>
            <w:shd w:val="clear" w:color="auto" w:fill="auto"/>
            <w:vAlign w:val="bottom"/>
          </w:tcPr>
          <w:p w14:paraId="556FBA7E" w14:textId="77777777" w:rsidR="006501FC" w:rsidRPr="00A56C3A" w:rsidRDefault="006501FC" w:rsidP="00400DD1">
            <w:pPr>
              <w:rPr>
                <w:sz w:val="18"/>
                <w:szCs w:val="18"/>
                <w:rtl/>
              </w:rPr>
            </w:pPr>
          </w:p>
        </w:tc>
        <w:tc>
          <w:tcPr>
            <w:tcW w:w="342" w:type="pct"/>
            <w:shd w:val="clear" w:color="auto" w:fill="auto"/>
            <w:vAlign w:val="bottom"/>
          </w:tcPr>
          <w:p w14:paraId="3A52624B" w14:textId="77777777" w:rsidR="006501FC" w:rsidRPr="00A56C3A" w:rsidRDefault="006501FC" w:rsidP="00400DD1">
            <w:pPr>
              <w:rPr>
                <w:sz w:val="18"/>
                <w:szCs w:val="18"/>
                <w:rtl/>
              </w:rPr>
            </w:pPr>
          </w:p>
        </w:tc>
      </w:tr>
      <w:tr w:rsidR="006501FC" w:rsidRPr="00A56C3A" w14:paraId="0EF464FB" w14:textId="77777777" w:rsidTr="00400DD1">
        <w:trPr>
          <w:trHeight w:val="259"/>
        </w:trPr>
        <w:tc>
          <w:tcPr>
            <w:tcW w:w="347" w:type="pct"/>
            <w:shd w:val="clear" w:color="auto" w:fill="auto"/>
          </w:tcPr>
          <w:p w14:paraId="40CD8FF7" w14:textId="77777777" w:rsidR="006501FC" w:rsidRPr="00A56C3A" w:rsidRDefault="006501FC" w:rsidP="00400DD1">
            <w:pPr>
              <w:spacing w:before="60"/>
              <w:jc w:val="left"/>
              <w:rPr>
                <w:color w:val="000000"/>
                <w:spacing w:val="-6"/>
                <w:sz w:val="18"/>
                <w:szCs w:val="18"/>
                <w:rtl/>
                <w:lang w:eastAsia="he-IL"/>
              </w:rPr>
            </w:pPr>
          </w:p>
        </w:tc>
        <w:tc>
          <w:tcPr>
            <w:tcW w:w="1950" w:type="pct"/>
            <w:shd w:val="clear" w:color="auto" w:fill="auto"/>
            <w:vAlign w:val="bottom"/>
            <w:hideMark/>
          </w:tcPr>
          <w:p w14:paraId="2918DFA2" w14:textId="77777777" w:rsidR="006501FC" w:rsidRPr="00D03FC3" w:rsidRDefault="006501FC" w:rsidP="00400DD1">
            <w:pPr>
              <w:jc w:val="left"/>
              <w:rPr>
                <w:color w:val="000000"/>
                <w:sz w:val="18"/>
                <w:szCs w:val="18"/>
                <w:rtl/>
                <w:lang w:eastAsia="he-IL"/>
              </w:rPr>
            </w:pPr>
            <w:r w:rsidRPr="00D03FC3">
              <w:rPr>
                <w:rFonts w:hint="cs"/>
                <w:color w:val="000000"/>
                <w:sz w:val="18"/>
                <w:szCs w:val="18"/>
                <w:rtl/>
                <w:lang w:eastAsia="he-IL"/>
              </w:rPr>
              <w:t>יתרה מאזנית של נכסים בגין מכשירים נגזרים</w:t>
            </w:r>
          </w:p>
        </w:tc>
        <w:tc>
          <w:tcPr>
            <w:tcW w:w="415" w:type="pct"/>
            <w:shd w:val="clear" w:color="auto" w:fill="auto"/>
            <w:vAlign w:val="bottom"/>
            <w:hideMark/>
          </w:tcPr>
          <w:p w14:paraId="3A4808B8" w14:textId="77777777" w:rsidR="006501FC" w:rsidRPr="00A56C3A" w:rsidRDefault="006501FC" w:rsidP="00400DD1">
            <w:pPr>
              <w:rPr>
                <w:sz w:val="18"/>
                <w:szCs w:val="18"/>
                <w:rtl/>
              </w:rPr>
            </w:pPr>
            <w:r w:rsidRPr="00A56C3A">
              <w:rPr>
                <w:rFonts w:hint="cs"/>
                <w:sz w:val="18"/>
                <w:szCs w:val="18"/>
                <w:rtl/>
              </w:rPr>
              <w:t xml:space="preserve"> 0</w:t>
            </w:r>
          </w:p>
        </w:tc>
        <w:tc>
          <w:tcPr>
            <w:tcW w:w="349" w:type="pct"/>
            <w:shd w:val="clear" w:color="auto" w:fill="auto"/>
            <w:vAlign w:val="bottom"/>
            <w:hideMark/>
          </w:tcPr>
          <w:p w14:paraId="78833D87" w14:textId="77777777" w:rsidR="006501FC" w:rsidRPr="00A56C3A" w:rsidRDefault="006501FC" w:rsidP="00400DD1">
            <w:pPr>
              <w:rPr>
                <w:sz w:val="18"/>
                <w:szCs w:val="18"/>
                <w:rtl/>
              </w:rPr>
            </w:pPr>
            <w:r w:rsidRPr="00A56C3A">
              <w:rPr>
                <w:rFonts w:hint="cs"/>
                <w:sz w:val="18"/>
                <w:szCs w:val="18"/>
                <w:rtl/>
              </w:rPr>
              <w:t xml:space="preserve"> 0</w:t>
            </w:r>
          </w:p>
        </w:tc>
        <w:tc>
          <w:tcPr>
            <w:tcW w:w="417" w:type="pct"/>
            <w:shd w:val="clear" w:color="auto" w:fill="auto"/>
            <w:vAlign w:val="bottom"/>
            <w:hideMark/>
          </w:tcPr>
          <w:p w14:paraId="5DDC5735" w14:textId="77777777" w:rsidR="006501FC" w:rsidRPr="00A56C3A" w:rsidRDefault="006501FC" w:rsidP="00400DD1">
            <w:pPr>
              <w:rPr>
                <w:sz w:val="18"/>
                <w:szCs w:val="18"/>
                <w:rtl/>
              </w:rPr>
            </w:pPr>
            <w:r w:rsidRPr="00A56C3A">
              <w:rPr>
                <w:rFonts w:hint="cs"/>
                <w:sz w:val="18"/>
                <w:szCs w:val="18"/>
                <w:rtl/>
              </w:rPr>
              <w:t xml:space="preserve"> 0</w:t>
            </w:r>
          </w:p>
        </w:tc>
        <w:tc>
          <w:tcPr>
            <w:tcW w:w="415" w:type="pct"/>
            <w:shd w:val="clear" w:color="auto" w:fill="auto"/>
            <w:vAlign w:val="bottom"/>
            <w:hideMark/>
          </w:tcPr>
          <w:p w14:paraId="690A6D22" w14:textId="77777777" w:rsidR="006501FC" w:rsidRPr="00A56C3A" w:rsidRDefault="006501FC" w:rsidP="00400DD1">
            <w:pPr>
              <w:rPr>
                <w:sz w:val="18"/>
                <w:szCs w:val="18"/>
                <w:rtl/>
              </w:rPr>
            </w:pPr>
            <w:r w:rsidRPr="00A56C3A">
              <w:rPr>
                <w:rFonts w:hint="cs"/>
                <w:sz w:val="18"/>
                <w:szCs w:val="18"/>
                <w:rtl/>
              </w:rPr>
              <w:t xml:space="preserve"> 0</w:t>
            </w:r>
          </w:p>
        </w:tc>
        <w:tc>
          <w:tcPr>
            <w:tcW w:w="418" w:type="pct"/>
            <w:shd w:val="clear" w:color="auto" w:fill="auto"/>
            <w:vAlign w:val="bottom"/>
          </w:tcPr>
          <w:p w14:paraId="5009AC3C" w14:textId="77777777" w:rsidR="006501FC" w:rsidRPr="00A56C3A" w:rsidRDefault="006501FC" w:rsidP="00400DD1">
            <w:pPr>
              <w:rPr>
                <w:sz w:val="18"/>
                <w:szCs w:val="18"/>
                <w:rtl/>
              </w:rPr>
            </w:pPr>
            <w:r w:rsidRPr="00A56C3A">
              <w:rPr>
                <w:rFonts w:hint="cs"/>
                <w:sz w:val="18"/>
                <w:szCs w:val="18"/>
                <w:rtl/>
              </w:rPr>
              <w:t xml:space="preserve"> 0</w:t>
            </w:r>
          </w:p>
        </w:tc>
        <w:tc>
          <w:tcPr>
            <w:tcW w:w="348" w:type="pct"/>
            <w:shd w:val="clear" w:color="auto" w:fill="auto"/>
            <w:vAlign w:val="bottom"/>
            <w:hideMark/>
          </w:tcPr>
          <w:p w14:paraId="1E214F71" w14:textId="77777777" w:rsidR="006501FC" w:rsidRPr="00A56C3A" w:rsidRDefault="006501FC" w:rsidP="00400DD1">
            <w:pPr>
              <w:rPr>
                <w:sz w:val="18"/>
                <w:szCs w:val="18"/>
                <w:rtl/>
              </w:rPr>
            </w:pPr>
            <w:r w:rsidRPr="00A56C3A">
              <w:rPr>
                <w:rFonts w:hint="cs"/>
                <w:sz w:val="18"/>
                <w:szCs w:val="18"/>
                <w:rtl/>
              </w:rPr>
              <w:t xml:space="preserve"> 0</w:t>
            </w:r>
          </w:p>
        </w:tc>
        <w:tc>
          <w:tcPr>
            <w:tcW w:w="342" w:type="pct"/>
            <w:shd w:val="clear" w:color="auto" w:fill="auto"/>
            <w:vAlign w:val="bottom"/>
            <w:hideMark/>
          </w:tcPr>
          <w:p w14:paraId="7EF16D20" w14:textId="77777777" w:rsidR="006501FC" w:rsidRPr="00A56C3A" w:rsidRDefault="006501FC" w:rsidP="00400DD1">
            <w:pPr>
              <w:rPr>
                <w:sz w:val="18"/>
                <w:szCs w:val="18"/>
                <w:rtl/>
              </w:rPr>
            </w:pPr>
            <w:r w:rsidRPr="00A56C3A">
              <w:rPr>
                <w:rFonts w:hint="cs"/>
                <w:sz w:val="18"/>
                <w:szCs w:val="18"/>
                <w:rtl/>
              </w:rPr>
              <w:t xml:space="preserve"> 0</w:t>
            </w:r>
          </w:p>
        </w:tc>
      </w:tr>
      <w:tr w:rsidR="006501FC" w:rsidRPr="00A56C3A" w14:paraId="56BE2005" w14:textId="77777777" w:rsidTr="00400DD1">
        <w:trPr>
          <w:trHeight w:val="259"/>
        </w:trPr>
        <w:tc>
          <w:tcPr>
            <w:tcW w:w="347" w:type="pct"/>
            <w:shd w:val="clear" w:color="auto" w:fill="auto"/>
          </w:tcPr>
          <w:p w14:paraId="50D2AA81" w14:textId="77777777" w:rsidR="006501FC" w:rsidRPr="00A56C3A" w:rsidRDefault="006501FC" w:rsidP="00400DD1">
            <w:pPr>
              <w:spacing w:before="60"/>
              <w:rPr>
                <w:sz w:val="18"/>
                <w:szCs w:val="18"/>
                <w:rtl/>
              </w:rPr>
            </w:pPr>
          </w:p>
        </w:tc>
        <w:tc>
          <w:tcPr>
            <w:tcW w:w="1950" w:type="pct"/>
            <w:shd w:val="clear" w:color="auto" w:fill="auto"/>
            <w:vAlign w:val="center"/>
            <w:hideMark/>
          </w:tcPr>
          <w:p w14:paraId="3CE3EEFB" w14:textId="77777777" w:rsidR="006501FC" w:rsidRPr="00D03FC3" w:rsidRDefault="006501FC" w:rsidP="00400DD1">
            <w:pPr>
              <w:ind w:left="144" w:hanging="144"/>
              <w:jc w:val="left"/>
              <w:rPr>
                <w:color w:val="000000"/>
                <w:sz w:val="18"/>
                <w:szCs w:val="18"/>
                <w:rtl/>
                <w:lang w:eastAsia="he-IL"/>
              </w:rPr>
            </w:pPr>
            <w:r w:rsidRPr="00D03FC3">
              <w:rPr>
                <w:rFonts w:hint="cs"/>
                <w:color w:val="000000"/>
                <w:sz w:val="18"/>
                <w:szCs w:val="18"/>
                <w:u w:val="single"/>
                <w:rtl/>
                <w:lang w:eastAsia="he-IL"/>
              </w:rPr>
              <w:t>סכומים ברוטו שלא קוזזו במאזן</w:t>
            </w:r>
            <w:r w:rsidRPr="00D03FC3">
              <w:rPr>
                <w:rFonts w:hint="cs"/>
                <w:color w:val="000000"/>
                <w:sz w:val="18"/>
                <w:szCs w:val="18"/>
                <w:rtl/>
                <w:lang w:eastAsia="he-IL"/>
              </w:rPr>
              <w:t>:</w:t>
            </w:r>
            <w:r w:rsidRPr="00D03FC3">
              <w:rPr>
                <w:rFonts w:eastAsia="Arial Unicode MS" w:hint="cs"/>
                <w:color w:val="000000"/>
                <w:sz w:val="18"/>
                <w:szCs w:val="18"/>
                <w:vertAlign w:val="superscript"/>
                <w:rtl/>
                <w:lang w:eastAsia="he-IL"/>
              </w:rPr>
              <w:t xml:space="preserve"> </w:t>
            </w:r>
          </w:p>
        </w:tc>
        <w:tc>
          <w:tcPr>
            <w:tcW w:w="415" w:type="pct"/>
            <w:shd w:val="clear" w:color="auto" w:fill="auto"/>
            <w:vAlign w:val="bottom"/>
          </w:tcPr>
          <w:p w14:paraId="0F53DE0A" w14:textId="77777777" w:rsidR="006501FC" w:rsidRPr="00A56C3A" w:rsidRDefault="006501FC" w:rsidP="00400DD1">
            <w:pPr>
              <w:rPr>
                <w:sz w:val="18"/>
                <w:szCs w:val="18"/>
                <w:rtl/>
              </w:rPr>
            </w:pPr>
          </w:p>
        </w:tc>
        <w:tc>
          <w:tcPr>
            <w:tcW w:w="349" w:type="pct"/>
            <w:shd w:val="clear" w:color="auto" w:fill="auto"/>
            <w:vAlign w:val="bottom"/>
          </w:tcPr>
          <w:p w14:paraId="1F79EAB8" w14:textId="77777777" w:rsidR="006501FC" w:rsidRPr="00A56C3A" w:rsidRDefault="006501FC" w:rsidP="00400DD1">
            <w:pPr>
              <w:rPr>
                <w:sz w:val="18"/>
                <w:szCs w:val="18"/>
                <w:rtl/>
              </w:rPr>
            </w:pPr>
          </w:p>
        </w:tc>
        <w:tc>
          <w:tcPr>
            <w:tcW w:w="417" w:type="pct"/>
            <w:shd w:val="clear" w:color="auto" w:fill="auto"/>
            <w:vAlign w:val="bottom"/>
          </w:tcPr>
          <w:p w14:paraId="232E5A74" w14:textId="77777777" w:rsidR="006501FC" w:rsidRPr="00A56C3A" w:rsidRDefault="006501FC" w:rsidP="00400DD1">
            <w:pPr>
              <w:rPr>
                <w:sz w:val="18"/>
                <w:szCs w:val="18"/>
                <w:rtl/>
              </w:rPr>
            </w:pPr>
          </w:p>
        </w:tc>
        <w:tc>
          <w:tcPr>
            <w:tcW w:w="415" w:type="pct"/>
            <w:shd w:val="clear" w:color="auto" w:fill="auto"/>
            <w:vAlign w:val="bottom"/>
          </w:tcPr>
          <w:p w14:paraId="4450E42A" w14:textId="77777777" w:rsidR="006501FC" w:rsidRPr="00A56C3A" w:rsidRDefault="006501FC" w:rsidP="00400DD1">
            <w:pPr>
              <w:rPr>
                <w:sz w:val="18"/>
                <w:szCs w:val="18"/>
                <w:rtl/>
              </w:rPr>
            </w:pPr>
          </w:p>
        </w:tc>
        <w:tc>
          <w:tcPr>
            <w:tcW w:w="418" w:type="pct"/>
            <w:shd w:val="clear" w:color="auto" w:fill="auto"/>
            <w:vAlign w:val="bottom"/>
          </w:tcPr>
          <w:p w14:paraId="6E4DF8CB" w14:textId="77777777" w:rsidR="006501FC" w:rsidRPr="00A56C3A" w:rsidRDefault="006501FC" w:rsidP="00400DD1">
            <w:pPr>
              <w:rPr>
                <w:sz w:val="18"/>
                <w:szCs w:val="18"/>
                <w:rtl/>
              </w:rPr>
            </w:pPr>
          </w:p>
        </w:tc>
        <w:tc>
          <w:tcPr>
            <w:tcW w:w="348" w:type="pct"/>
            <w:shd w:val="clear" w:color="auto" w:fill="auto"/>
            <w:vAlign w:val="bottom"/>
          </w:tcPr>
          <w:p w14:paraId="404E8646" w14:textId="77777777" w:rsidR="006501FC" w:rsidRPr="00A56C3A" w:rsidRDefault="006501FC" w:rsidP="00400DD1">
            <w:pPr>
              <w:rPr>
                <w:sz w:val="18"/>
                <w:szCs w:val="18"/>
                <w:rtl/>
              </w:rPr>
            </w:pPr>
          </w:p>
        </w:tc>
        <w:tc>
          <w:tcPr>
            <w:tcW w:w="342" w:type="pct"/>
            <w:shd w:val="clear" w:color="auto" w:fill="auto"/>
            <w:vAlign w:val="bottom"/>
          </w:tcPr>
          <w:p w14:paraId="1F81EF18" w14:textId="77777777" w:rsidR="006501FC" w:rsidRPr="00A56C3A" w:rsidRDefault="006501FC" w:rsidP="00400DD1">
            <w:pPr>
              <w:rPr>
                <w:sz w:val="18"/>
                <w:szCs w:val="18"/>
                <w:rtl/>
              </w:rPr>
            </w:pPr>
          </w:p>
        </w:tc>
      </w:tr>
      <w:tr w:rsidR="006501FC" w:rsidRPr="00A56C3A" w14:paraId="4968A92C" w14:textId="77777777" w:rsidTr="00400DD1">
        <w:trPr>
          <w:trHeight w:val="259"/>
        </w:trPr>
        <w:tc>
          <w:tcPr>
            <w:tcW w:w="347" w:type="pct"/>
            <w:shd w:val="clear" w:color="auto" w:fill="auto"/>
          </w:tcPr>
          <w:p w14:paraId="56DF316A" w14:textId="77777777" w:rsidR="006501FC" w:rsidRPr="00A56C3A" w:rsidRDefault="006501FC" w:rsidP="00400DD1">
            <w:pPr>
              <w:rPr>
                <w:sz w:val="18"/>
                <w:szCs w:val="18"/>
                <w:rtl/>
              </w:rPr>
            </w:pPr>
          </w:p>
        </w:tc>
        <w:tc>
          <w:tcPr>
            <w:tcW w:w="1950" w:type="pct"/>
            <w:shd w:val="clear" w:color="auto" w:fill="auto"/>
            <w:vAlign w:val="center"/>
            <w:hideMark/>
          </w:tcPr>
          <w:p w14:paraId="4B7781EE" w14:textId="77777777" w:rsidR="006501FC" w:rsidRPr="00D03FC3" w:rsidRDefault="006501FC" w:rsidP="00400DD1">
            <w:pPr>
              <w:ind w:left="170"/>
              <w:jc w:val="left"/>
              <w:rPr>
                <w:color w:val="000000"/>
                <w:sz w:val="18"/>
                <w:szCs w:val="18"/>
                <w:rtl/>
                <w:lang w:eastAsia="he-IL"/>
              </w:rPr>
            </w:pPr>
            <w:r w:rsidRPr="00D03FC3">
              <w:rPr>
                <w:rFonts w:hint="cs"/>
                <w:color w:val="000000"/>
                <w:sz w:val="18"/>
                <w:szCs w:val="18"/>
                <w:rtl/>
                <w:lang w:eastAsia="he-IL"/>
              </w:rPr>
              <w:t>הפחתת סיכון אשראי בגין מכשירים פיננסיים</w:t>
            </w:r>
          </w:p>
        </w:tc>
        <w:tc>
          <w:tcPr>
            <w:tcW w:w="415" w:type="pct"/>
            <w:shd w:val="clear" w:color="auto" w:fill="auto"/>
            <w:vAlign w:val="bottom"/>
            <w:hideMark/>
          </w:tcPr>
          <w:p w14:paraId="42C059CF" w14:textId="77777777" w:rsidR="006501FC" w:rsidRPr="00A56C3A" w:rsidRDefault="006501FC" w:rsidP="00400DD1">
            <w:pPr>
              <w:rPr>
                <w:sz w:val="18"/>
                <w:szCs w:val="18"/>
                <w:rtl/>
              </w:rPr>
            </w:pPr>
            <w:r w:rsidRPr="00A56C3A">
              <w:rPr>
                <w:rFonts w:hint="cs"/>
                <w:sz w:val="18"/>
                <w:szCs w:val="18"/>
                <w:rtl/>
              </w:rPr>
              <w:t>(0)</w:t>
            </w:r>
          </w:p>
        </w:tc>
        <w:tc>
          <w:tcPr>
            <w:tcW w:w="349" w:type="pct"/>
            <w:shd w:val="clear" w:color="auto" w:fill="auto"/>
            <w:vAlign w:val="bottom"/>
            <w:hideMark/>
          </w:tcPr>
          <w:p w14:paraId="68422593" w14:textId="77777777" w:rsidR="006501FC" w:rsidRPr="00A56C3A" w:rsidRDefault="006501FC" w:rsidP="00400DD1">
            <w:pPr>
              <w:rPr>
                <w:sz w:val="18"/>
                <w:szCs w:val="18"/>
                <w:rtl/>
              </w:rPr>
            </w:pPr>
            <w:r w:rsidRPr="00A56C3A">
              <w:rPr>
                <w:rFonts w:hint="cs"/>
                <w:sz w:val="18"/>
                <w:szCs w:val="18"/>
                <w:rtl/>
              </w:rPr>
              <w:t>(0)</w:t>
            </w:r>
          </w:p>
        </w:tc>
        <w:tc>
          <w:tcPr>
            <w:tcW w:w="417" w:type="pct"/>
            <w:shd w:val="clear" w:color="auto" w:fill="auto"/>
            <w:vAlign w:val="bottom"/>
            <w:hideMark/>
          </w:tcPr>
          <w:p w14:paraId="4CA86E44" w14:textId="77777777" w:rsidR="006501FC" w:rsidRPr="00A56C3A" w:rsidRDefault="006501FC" w:rsidP="00400DD1">
            <w:pPr>
              <w:rPr>
                <w:sz w:val="18"/>
                <w:szCs w:val="18"/>
                <w:rtl/>
              </w:rPr>
            </w:pPr>
            <w:r w:rsidRPr="00A56C3A">
              <w:rPr>
                <w:rFonts w:hint="cs"/>
                <w:sz w:val="18"/>
                <w:szCs w:val="18"/>
                <w:rtl/>
              </w:rPr>
              <w:t>(0)</w:t>
            </w:r>
          </w:p>
        </w:tc>
        <w:tc>
          <w:tcPr>
            <w:tcW w:w="415" w:type="pct"/>
            <w:shd w:val="clear" w:color="auto" w:fill="auto"/>
            <w:vAlign w:val="bottom"/>
            <w:hideMark/>
          </w:tcPr>
          <w:p w14:paraId="749AF5D3" w14:textId="77777777" w:rsidR="006501FC" w:rsidRPr="00A56C3A" w:rsidRDefault="006501FC" w:rsidP="00400DD1">
            <w:pPr>
              <w:rPr>
                <w:sz w:val="18"/>
                <w:szCs w:val="18"/>
                <w:rtl/>
              </w:rPr>
            </w:pPr>
            <w:r w:rsidRPr="00A56C3A">
              <w:rPr>
                <w:rFonts w:hint="cs"/>
                <w:sz w:val="18"/>
                <w:szCs w:val="18"/>
                <w:rtl/>
              </w:rPr>
              <w:t>(0)</w:t>
            </w:r>
          </w:p>
        </w:tc>
        <w:tc>
          <w:tcPr>
            <w:tcW w:w="418" w:type="pct"/>
            <w:shd w:val="clear" w:color="auto" w:fill="auto"/>
            <w:vAlign w:val="bottom"/>
          </w:tcPr>
          <w:p w14:paraId="77D598A9" w14:textId="77777777" w:rsidR="006501FC" w:rsidRPr="00A56C3A" w:rsidRDefault="006501FC" w:rsidP="00400DD1">
            <w:pPr>
              <w:rPr>
                <w:sz w:val="18"/>
                <w:szCs w:val="18"/>
                <w:rtl/>
              </w:rPr>
            </w:pPr>
            <w:r w:rsidRPr="00A56C3A">
              <w:rPr>
                <w:rFonts w:hint="cs"/>
                <w:sz w:val="18"/>
                <w:szCs w:val="18"/>
                <w:rtl/>
              </w:rPr>
              <w:t>(0)</w:t>
            </w:r>
          </w:p>
        </w:tc>
        <w:tc>
          <w:tcPr>
            <w:tcW w:w="348" w:type="pct"/>
            <w:shd w:val="clear" w:color="auto" w:fill="auto"/>
            <w:vAlign w:val="bottom"/>
            <w:hideMark/>
          </w:tcPr>
          <w:p w14:paraId="584E72B8" w14:textId="77777777" w:rsidR="006501FC" w:rsidRPr="00A56C3A" w:rsidRDefault="006501FC" w:rsidP="00400DD1">
            <w:pPr>
              <w:rPr>
                <w:sz w:val="18"/>
                <w:szCs w:val="18"/>
                <w:rtl/>
              </w:rPr>
            </w:pPr>
            <w:r w:rsidRPr="00A56C3A">
              <w:rPr>
                <w:rFonts w:hint="cs"/>
                <w:sz w:val="18"/>
                <w:szCs w:val="18"/>
                <w:rtl/>
              </w:rPr>
              <w:t>(0)</w:t>
            </w:r>
          </w:p>
        </w:tc>
        <w:tc>
          <w:tcPr>
            <w:tcW w:w="342" w:type="pct"/>
            <w:shd w:val="clear" w:color="auto" w:fill="auto"/>
            <w:vAlign w:val="bottom"/>
            <w:hideMark/>
          </w:tcPr>
          <w:p w14:paraId="5493E944" w14:textId="77777777" w:rsidR="006501FC" w:rsidRPr="00A56C3A" w:rsidRDefault="006501FC" w:rsidP="00400DD1">
            <w:pPr>
              <w:rPr>
                <w:sz w:val="18"/>
                <w:szCs w:val="18"/>
                <w:rtl/>
              </w:rPr>
            </w:pPr>
            <w:r w:rsidRPr="00A56C3A">
              <w:rPr>
                <w:rFonts w:hint="cs"/>
                <w:sz w:val="18"/>
                <w:szCs w:val="18"/>
                <w:rtl/>
              </w:rPr>
              <w:t>(0)</w:t>
            </w:r>
            <w:r w:rsidRPr="00A56C3A">
              <w:rPr>
                <w:rFonts w:hint="cs"/>
                <w:sz w:val="18"/>
                <w:szCs w:val="18"/>
                <w:vertAlign w:val="superscript"/>
                <w:rtl/>
              </w:rPr>
              <w:t>(</w:t>
            </w:r>
            <w:r>
              <w:rPr>
                <w:rFonts w:hint="cs"/>
                <w:sz w:val="18"/>
                <w:szCs w:val="18"/>
                <w:vertAlign w:val="superscript"/>
                <w:rtl/>
              </w:rPr>
              <w:t>א</w:t>
            </w:r>
            <w:r w:rsidRPr="00A56C3A">
              <w:rPr>
                <w:rFonts w:hint="cs"/>
                <w:sz w:val="18"/>
                <w:szCs w:val="18"/>
                <w:vertAlign w:val="superscript"/>
                <w:rtl/>
              </w:rPr>
              <w:t>)</w:t>
            </w:r>
          </w:p>
        </w:tc>
      </w:tr>
      <w:tr w:rsidR="006501FC" w:rsidRPr="00A56C3A" w14:paraId="58F61837" w14:textId="77777777" w:rsidTr="00400DD1">
        <w:trPr>
          <w:trHeight w:val="259"/>
        </w:trPr>
        <w:tc>
          <w:tcPr>
            <w:tcW w:w="347" w:type="pct"/>
            <w:shd w:val="clear" w:color="auto" w:fill="auto"/>
          </w:tcPr>
          <w:p w14:paraId="4F2EE429" w14:textId="77777777" w:rsidR="006501FC" w:rsidRPr="00A56C3A" w:rsidRDefault="006501FC" w:rsidP="00400DD1">
            <w:pPr>
              <w:rPr>
                <w:sz w:val="18"/>
                <w:szCs w:val="18"/>
                <w:rtl/>
              </w:rPr>
            </w:pPr>
          </w:p>
        </w:tc>
        <w:tc>
          <w:tcPr>
            <w:tcW w:w="1950" w:type="pct"/>
            <w:shd w:val="clear" w:color="auto" w:fill="auto"/>
            <w:vAlign w:val="center"/>
            <w:hideMark/>
          </w:tcPr>
          <w:p w14:paraId="54F3D74E" w14:textId="77777777" w:rsidR="006501FC" w:rsidRPr="00D03FC3" w:rsidRDefault="006501FC" w:rsidP="00400DD1">
            <w:pPr>
              <w:ind w:left="170"/>
              <w:jc w:val="left"/>
              <w:rPr>
                <w:color w:val="000000"/>
                <w:sz w:val="18"/>
                <w:szCs w:val="18"/>
                <w:rtl/>
                <w:lang w:eastAsia="he-IL"/>
              </w:rPr>
            </w:pPr>
            <w:r w:rsidRPr="00D03FC3">
              <w:rPr>
                <w:rFonts w:hint="cs"/>
                <w:color w:val="000000"/>
                <w:sz w:val="18"/>
                <w:szCs w:val="18"/>
                <w:rtl/>
                <w:lang w:eastAsia="he-IL"/>
              </w:rPr>
              <w:t>הפחתת סיכון אשראי בגין ביטחון במזומן שהתקבל</w:t>
            </w:r>
          </w:p>
        </w:tc>
        <w:tc>
          <w:tcPr>
            <w:tcW w:w="415" w:type="pct"/>
            <w:shd w:val="clear" w:color="auto" w:fill="auto"/>
            <w:vAlign w:val="bottom"/>
            <w:hideMark/>
          </w:tcPr>
          <w:p w14:paraId="2997A015"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349" w:type="pct"/>
            <w:shd w:val="clear" w:color="auto" w:fill="auto"/>
            <w:vAlign w:val="bottom"/>
            <w:hideMark/>
          </w:tcPr>
          <w:p w14:paraId="38E509D0"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417" w:type="pct"/>
            <w:shd w:val="clear" w:color="auto" w:fill="auto"/>
            <w:vAlign w:val="bottom"/>
            <w:hideMark/>
          </w:tcPr>
          <w:p w14:paraId="45B655A4"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415" w:type="pct"/>
            <w:shd w:val="clear" w:color="auto" w:fill="auto"/>
            <w:vAlign w:val="bottom"/>
            <w:hideMark/>
          </w:tcPr>
          <w:p w14:paraId="7F004FB0"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418" w:type="pct"/>
            <w:shd w:val="clear" w:color="auto" w:fill="auto"/>
            <w:vAlign w:val="bottom"/>
          </w:tcPr>
          <w:p w14:paraId="49FE0E58"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348" w:type="pct"/>
            <w:shd w:val="clear" w:color="auto" w:fill="auto"/>
            <w:vAlign w:val="bottom"/>
            <w:hideMark/>
          </w:tcPr>
          <w:p w14:paraId="3279261A"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342" w:type="pct"/>
            <w:shd w:val="clear" w:color="auto" w:fill="auto"/>
            <w:vAlign w:val="bottom"/>
            <w:hideMark/>
          </w:tcPr>
          <w:p w14:paraId="6CB78F01"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r>
      <w:tr w:rsidR="006501FC" w:rsidRPr="00A56C3A" w14:paraId="2B2FF4AD" w14:textId="77777777" w:rsidTr="00400DD1">
        <w:trPr>
          <w:trHeight w:val="259"/>
        </w:trPr>
        <w:tc>
          <w:tcPr>
            <w:tcW w:w="347" w:type="pct"/>
            <w:shd w:val="clear" w:color="auto" w:fill="auto"/>
          </w:tcPr>
          <w:p w14:paraId="740BE3BF" w14:textId="77777777" w:rsidR="006501FC" w:rsidRPr="00A56C3A" w:rsidRDefault="006501FC" w:rsidP="00400DD1">
            <w:pPr>
              <w:rPr>
                <w:sz w:val="18"/>
                <w:szCs w:val="18"/>
                <w:rtl/>
              </w:rPr>
            </w:pPr>
          </w:p>
        </w:tc>
        <w:tc>
          <w:tcPr>
            <w:tcW w:w="1950" w:type="pct"/>
            <w:shd w:val="clear" w:color="auto" w:fill="auto"/>
            <w:vAlign w:val="bottom"/>
            <w:hideMark/>
          </w:tcPr>
          <w:p w14:paraId="072D1A90" w14:textId="77777777" w:rsidR="006501FC" w:rsidRPr="00D03FC3" w:rsidRDefault="006501FC" w:rsidP="00400DD1">
            <w:pPr>
              <w:jc w:val="left"/>
              <w:rPr>
                <w:color w:val="000000"/>
                <w:sz w:val="18"/>
                <w:szCs w:val="18"/>
                <w:rtl/>
                <w:lang w:eastAsia="he-IL"/>
              </w:rPr>
            </w:pPr>
            <w:r w:rsidRPr="00D03FC3">
              <w:rPr>
                <w:rFonts w:hint="cs"/>
                <w:color w:val="000000"/>
                <w:sz w:val="18"/>
                <w:szCs w:val="18"/>
                <w:rtl/>
                <w:lang w:eastAsia="he-IL"/>
              </w:rPr>
              <w:t>סיכון אשראי מאזני בגין</w:t>
            </w:r>
            <w:r w:rsidRPr="00D03FC3">
              <w:rPr>
                <w:color w:val="000000"/>
                <w:sz w:val="18"/>
                <w:szCs w:val="18"/>
                <w:rtl/>
                <w:lang w:eastAsia="he-IL"/>
              </w:rPr>
              <w:t xml:space="preserve"> מכשירים </w:t>
            </w:r>
            <w:r w:rsidRPr="00D03FC3">
              <w:rPr>
                <w:rFonts w:hint="cs"/>
                <w:color w:val="000000"/>
                <w:sz w:val="18"/>
                <w:szCs w:val="18"/>
                <w:rtl/>
                <w:lang w:eastAsia="he-IL"/>
              </w:rPr>
              <w:t>נגזרים</w:t>
            </w:r>
          </w:p>
        </w:tc>
        <w:tc>
          <w:tcPr>
            <w:tcW w:w="415" w:type="pct"/>
            <w:shd w:val="clear" w:color="auto" w:fill="auto"/>
            <w:vAlign w:val="bottom"/>
            <w:hideMark/>
          </w:tcPr>
          <w:p w14:paraId="6860C9AC" w14:textId="77777777" w:rsidR="006501FC" w:rsidRPr="00A56C3A" w:rsidRDefault="006501FC" w:rsidP="00400DD1">
            <w:pPr>
              <w:rPr>
                <w:sz w:val="18"/>
                <w:szCs w:val="18"/>
                <w:rtl/>
              </w:rPr>
            </w:pPr>
            <w:r w:rsidRPr="00A56C3A">
              <w:rPr>
                <w:rFonts w:hint="cs"/>
                <w:sz w:val="18"/>
                <w:szCs w:val="18"/>
                <w:rtl/>
              </w:rPr>
              <w:t xml:space="preserve"> 0</w:t>
            </w:r>
          </w:p>
        </w:tc>
        <w:tc>
          <w:tcPr>
            <w:tcW w:w="349" w:type="pct"/>
            <w:shd w:val="clear" w:color="auto" w:fill="auto"/>
            <w:vAlign w:val="bottom"/>
            <w:hideMark/>
          </w:tcPr>
          <w:p w14:paraId="6425B0A3" w14:textId="77777777" w:rsidR="006501FC" w:rsidRPr="00A56C3A" w:rsidRDefault="006501FC" w:rsidP="00400DD1">
            <w:pPr>
              <w:rPr>
                <w:sz w:val="18"/>
                <w:szCs w:val="18"/>
                <w:rtl/>
              </w:rPr>
            </w:pPr>
            <w:r w:rsidRPr="00A56C3A">
              <w:rPr>
                <w:rFonts w:hint="cs"/>
                <w:sz w:val="18"/>
                <w:szCs w:val="18"/>
                <w:rtl/>
              </w:rPr>
              <w:t xml:space="preserve"> 0</w:t>
            </w:r>
          </w:p>
        </w:tc>
        <w:tc>
          <w:tcPr>
            <w:tcW w:w="417" w:type="pct"/>
            <w:shd w:val="clear" w:color="auto" w:fill="auto"/>
            <w:vAlign w:val="bottom"/>
            <w:hideMark/>
          </w:tcPr>
          <w:p w14:paraId="14F63F4D" w14:textId="77777777" w:rsidR="006501FC" w:rsidRPr="00A56C3A" w:rsidRDefault="006501FC" w:rsidP="00400DD1">
            <w:pPr>
              <w:rPr>
                <w:sz w:val="18"/>
                <w:szCs w:val="18"/>
                <w:rtl/>
              </w:rPr>
            </w:pPr>
            <w:r w:rsidRPr="00A56C3A">
              <w:rPr>
                <w:rFonts w:hint="cs"/>
                <w:sz w:val="18"/>
                <w:szCs w:val="18"/>
                <w:rtl/>
              </w:rPr>
              <w:t xml:space="preserve"> 0</w:t>
            </w:r>
          </w:p>
        </w:tc>
        <w:tc>
          <w:tcPr>
            <w:tcW w:w="415" w:type="pct"/>
            <w:shd w:val="clear" w:color="auto" w:fill="auto"/>
            <w:vAlign w:val="bottom"/>
            <w:hideMark/>
          </w:tcPr>
          <w:p w14:paraId="45E71788" w14:textId="77777777" w:rsidR="006501FC" w:rsidRPr="00A56C3A" w:rsidRDefault="006501FC" w:rsidP="00400DD1">
            <w:pPr>
              <w:rPr>
                <w:sz w:val="18"/>
                <w:szCs w:val="18"/>
                <w:rtl/>
              </w:rPr>
            </w:pPr>
            <w:r w:rsidRPr="00A56C3A">
              <w:rPr>
                <w:rFonts w:hint="cs"/>
                <w:sz w:val="18"/>
                <w:szCs w:val="18"/>
                <w:rtl/>
              </w:rPr>
              <w:t xml:space="preserve"> 0</w:t>
            </w:r>
          </w:p>
        </w:tc>
        <w:tc>
          <w:tcPr>
            <w:tcW w:w="418" w:type="pct"/>
            <w:shd w:val="clear" w:color="auto" w:fill="auto"/>
            <w:vAlign w:val="bottom"/>
          </w:tcPr>
          <w:p w14:paraId="4D7E9CD7" w14:textId="77777777" w:rsidR="006501FC" w:rsidRPr="00A56C3A" w:rsidRDefault="006501FC" w:rsidP="00400DD1">
            <w:pPr>
              <w:rPr>
                <w:sz w:val="18"/>
                <w:szCs w:val="18"/>
                <w:rtl/>
              </w:rPr>
            </w:pPr>
            <w:r w:rsidRPr="00A56C3A">
              <w:rPr>
                <w:rFonts w:hint="cs"/>
                <w:sz w:val="18"/>
                <w:szCs w:val="18"/>
                <w:rtl/>
              </w:rPr>
              <w:t xml:space="preserve"> 0</w:t>
            </w:r>
          </w:p>
        </w:tc>
        <w:tc>
          <w:tcPr>
            <w:tcW w:w="348" w:type="pct"/>
            <w:shd w:val="clear" w:color="auto" w:fill="auto"/>
            <w:vAlign w:val="bottom"/>
            <w:hideMark/>
          </w:tcPr>
          <w:p w14:paraId="0D53B52E" w14:textId="77777777" w:rsidR="006501FC" w:rsidRPr="00A56C3A" w:rsidRDefault="006501FC" w:rsidP="00400DD1">
            <w:pPr>
              <w:rPr>
                <w:sz w:val="18"/>
                <w:szCs w:val="18"/>
                <w:rtl/>
              </w:rPr>
            </w:pPr>
            <w:r w:rsidRPr="00A56C3A">
              <w:rPr>
                <w:rFonts w:hint="cs"/>
                <w:sz w:val="18"/>
                <w:szCs w:val="18"/>
                <w:rtl/>
              </w:rPr>
              <w:t xml:space="preserve"> 0</w:t>
            </w:r>
          </w:p>
        </w:tc>
        <w:tc>
          <w:tcPr>
            <w:tcW w:w="342" w:type="pct"/>
            <w:shd w:val="clear" w:color="auto" w:fill="auto"/>
            <w:vAlign w:val="bottom"/>
            <w:hideMark/>
          </w:tcPr>
          <w:p w14:paraId="5F5A6DB7" w14:textId="77777777" w:rsidR="006501FC" w:rsidRPr="00A56C3A" w:rsidRDefault="006501FC" w:rsidP="00400DD1">
            <w:pPr>
              <w:rPr>
                <w:sz w:val="18"/>
                <w:szCs w:val="18"/>
                <w:rtl/>
              </w:rPr>
            </w:pPr>
            <w:r w:rsidRPr="00A56C3A">
              <w:rPr>
                <w:rFonts w:hint="cs"/>
                <w:sz w:val="18"/>
                <w:szCs w:val="18"/>
                <w:rtl/>
              </w:rPr>
              <w:t xml:space="preserve"> 0</w:t>
            </w:r>
          </w:p>
        </w:tc>
      </w:tr>
      <w:tr w:rsidR="006501FC" w:rsidRPr="00A56C3A" w14:paraId="5F1AD038" w14:textId="77777777" w:rsidTr="00400DD1">
        <w:trPr>
          <w:trHeight w:val="74"/>
        </w:trPr>
        <w:tc>
          <w:tcPr>
            <w:tcW w:w="347" w:type="pct"/>
            <w:shd w:val="clear" w:color="auto" w:fill="auto"/>
          </w:tcPr>
          <w:p w14:paraId="69CA599A" w14:textId="77777777" w:rsidR="006501FC" w:rsidRPr="00A56C3A" w:rsidRDefault="006501FC" w:rsidP="00400DD1">
            <w:pPr>
              <w:bidi w:val="0"/>
              <w:spacing w:line="60" w:lineRule="exact"/>
              <w:rPr>
                <w:sz w:val="18"/>
                <w:szCs w:val="18"/>
                <w:rtl/>
              </w:rPr>
            </w:pPr>
          </w:p>
        </w:tc>
        <w:tc>
          <w:tcPr>
            <w:tcW w:w="1950" w:type="pct"/>
            <w:shd w:val="clear" w:color="auto" w:fill="auto"/>
            <w:vAlign w:val="bottom"/>
          </w:tcPr>
          <w:p w14:paraId="12DC5119" w14:textId="77777777" w:rsidR="006501FC" w:rsidRPr="00D03FC3" w:rsidRDefault="006501FC" w:rsidP="00400DD1">
            <w:pPr>
              <w:bidi w:val="0"/>
              <w:spacing w:before="40" w:line="60" w:lineRule="exact"/>
              <w:ind w:left="142" w:hanging="142"/>
              <w:rPr>
                <w:color w:val="000000"/>
                <w:sz w:val="18"/>
                <w:szCs w:val="18"/>
                <w:rtl/>
                <w:lang w:eastAsia="he-IL"/>
              </w:rPr>
            </w:pPr>
          </w:p>
        </w:tc>
        <w:tc>
          <w:tcPr>
            <w:tcW w:w="415" w:type="pct"/>
            <w:shd w:val="clear" w:color="auto" w:fill="auto"/>
            <w:vAlign w:val="bottom"/>
          </w:tcPr>
          <w:p w14:paraId="291FF1FE" w14:textId="77777777" w:rsidR="006501FC" w:rsidRPr="00A56C3A" w:rsidRDefault="006501FC" w:rsidP="00400DD1">
            <w:pPr>
              <w:bidi w:val="0"/>
              <w:spacing w:line="60" w:lineRule="exact"/>
              <w:rPr>
                <w:sz w:val="18"/>
                <w:szCs w:val="18"/>
                <w:rtl/>
              </w:rPr>
            </w:pPr>
          </w:p>
        </w:tc>
        <w:tc>
          <w:tcPr>
            <w:tcW w:w="349" w:type="pct"/>
            <w:shd w:val="clear" w:color="auto" w:fill="auto"/>
            <w:vAlign w:val="bottom"/>
          </w:tcPr>
          <w:p w14:paraId="499362CE" w14:textId="77777777" w:rsidR="006501FC" w:rsidRPr="00A56C3A" w:rsidRDefault="006501FC" w:rsidP="00400DD1">
            <w:pPr>
              <w:bidi w:val="0"/>
              <w:spacing w:line="60" w:lineRule="exact"/>
              <w:rPr>
                <w:sz w:val="18"/>
                <w:szCs w:val="18"/>
                <w:rtl/>
              </w:rPr>
            </w:pPr>
          </w:p>
        </w:tc>
        <w:tc>
          <w:tcPr>
            <w:tcW w:w="417" w:type="pct"/>
            <w:shd w:val="clear" w:color="auto" w:fill="auto"/>
            <w:vAlign w:val="bottom"/>
          </w:tcPr>
          <w:p w14:paraId="36426841" w14:textId="77777777" w:rsidR="006501FC" w:rsidRPr="00A56C3A" w:rsidRDefault="006501FC" w:rsidP="00400DD1">
            <w:pPr>
              <w:bidi w:val="0"/>
              <w:spacing w:line="60" w:lineRule="exact"/>
              <w:rPr>
                <w:sz w:val="18"/>
                <w:szCs w:val="18"/>
                <w:rtl/>
              </w:rPr>
            </w:pPr>
          </w:p>
        </w:tc>
        <w:tc>
          <w:tcPr>
            <w:tcW w:w="415" w:type="pct"/>
            <w:shd w:val="clear" w:color="auto" w:fill="auto"/>
            <w:vAlign w:val="bottom"/>
          </w:tcPr>
          <w:p w14:paraId="2CA66346" w14:textId="77777777" w:rsidR="006501FC" w:rsidRPr="00A56C3A" w:rsidRDefault="006501FC" w:rsidP="00400DD1">
            <w:pPr>
              <w:bidi w:val="0"/>
              <w:spacing w:line="60" w:lineRule="exact"/>
              <w:rPr>
                <w:sz w:val="18"/>
                <w:szCs w:val="18"/>
                <w:rtl/>
              </w:rPr>
            </w:pPr>
          </w:p>
        </w:tc>
        <w:tc>
          <w:tcPr>
            <w:tcW w:w="418" w:type="pct"/>
            <w:shd w:val="clear" w:color="auto" w:fill="auto"/>
            <w:vAlign w:val="bottom"/>
          </w:tcPr>
          <w:p w14:paraId="063B5038" w14:textId="77777777" w:rsidR="006501FC" w:rsidRPr="00A56C3A" w:rsidRDefault="006501FC" w:rsidP="00400DD1">
            <w:pPr>
              <w:bidi w:val="0"/>
              <w:spacing w:line="60" w:lineRule="exact"/>
              <w:rPr>
                <w:sz w:val="18"/>
                <w:szCs w:val="18"/>
                <w:rtl/>
              </w:rPr>
            </w:pPr>
          </w:p>
        </w:tc>
        <w:tc>
          <w:tcPr>
            <w:tcW w:w="348" w:type="pct"/>
            <w:shd w:val="clear" w:color="auto" w:fill="auto"/>
            <w:vAlign w:val="bottom"/>
          </w:tcPr>
          <w:p w14:paraId="2C813B61" w14:textId="77777777" w:rsidR="006501FC" w:rsidRPr="00A56C3A" w:rsidRDefault="006501FC" w:rsidP="00400DD1">
            <w:pPr>
              <w:bidi w:val="0"/>
              <w:spacing w:line="60" w:lineRule="exact"/>
              <w:rPr>
                <w:sz w:val="18"/>
                <w:szCs w:val="18"/>
                <w:rtl/>
              </w:rPr>
            </w:pPr>
          </w:p>
        </w:tc>
        <w:tc>
          <w:tcPr>
            <w:tcW w:w="342" w:type="pct"/>
            <w:shd w:val="clear" w:color="auto" w:fill="auto"/>
            <w:vAlign w:val="bottom"/>
          </w:tcPr>
          <w:p w14:paraId="74CFB334" w14:textId="77777777" w:rsidR="006501FC" w:rsidRPr="00A56C3A" w:rsidRDefault="006501FC" w:rsidP="00400DD1">
            <w:pPr>
              <w:bidi w:val="0"/>
              <w:spacing w:line="60" w:lineRule="exact"/>
              <w:rPr>
                <w:sz w:val="18"/>
                <w:szCs w:val="18"/>
                <w:rtl/>
              </w:rPr>
            </w:pPr>
          </w:p>
        </w:tc>
      </w:tr>
      <w:tr w:rsidR="006501FC" w:rsidRPr="00A56C3A" w14:paraId="37F70DDE" w14:textId="77777777" w:rsidTr="00400DD1">
        <w:trPr>
          <w:trHeight w:val="259"/>
        </w:trPr>
        <w:tc>
          <w:tcPr>
            <w:tcW w:w="347" w:type="pct"/>
            <w:shd w:val="clear" w:color="auto" w:fill="auto"/>
          </w:tcPr>
          <w:p w14:paraId="22B2D7C7" w14:textId="77777777" w:rsidR="006501FC" w:rsidRPr="00A56C3A" w:rsidRDefault="006501FC" w:rsidP="00400DD1">
            <w:pPr>
              <w:rPr>
                <w:sz w:val="18"/>
                <w:szCs w:val="18"/>
                <w:rtl/>
              </w:rPr>
            </w:pPr>
          </w:p>
        </w:tc>
        <w:tc>
          <w:tcPr>
            <w:tcW w:w="1950" w:type="pct"/>
            <w:shd w:val="clear" w:color="auto" w:fill="auto"/>
            <w:vAlign w:val="bottom"/>
            <w:hideMark/>
          </w:tcPr>
          <w:p w14:paraId="420CA231" w14:textId="77777777" w:rsidR="006501FC" w:rsidRPr="00D03FC3" w:rsidRDefault="006501FC" w:rsidP="00400DD1">
            <w:pPr>
              <w:jc w:val="left"/>
              <w:rPr>
                <w:color w:val="000000"/>
                <w:sz w:val="18"/>
                <w:szCs w:val="18"/>
                <w:rtl/>
                <w:lang w:eastAsia="he-IL"/>
              </w:rPr>
            </w:pPr>
            <w:r w:rsidRPr="00D03FC3">
              <w:rPr>
                <w:rFonts w:hint="cs"/>
                <w:color w:val="000000"/>
                <w:sz w:val="18"/>
                <w:szCs w:val="18"/>
                <w:rtl/>
                <w:lang w:eastAsia="he-IL"/>
              </w:rPr>
              <w:t>סיכון אשראי חוץ מאזני נטו בגין מכשירים נגזרים</w:t>
            </w:r>
            <w:r w:rsidRPr="00D03FC3">
              <w:rPr>
                <w:rFonts w:hint="cs"/>
                <w:color w:val="000000"/>
                <w:sz w:val="18"/>
                <w:szCs w:val="18"/>
                <w:vertAlign w:val="superscript"/>
                <w:rtl/>
                <w:lang w:eastAsia="he-IL"/>
              </w:rPr>
              <w:t xml:space="preserve"> </w:t>
            </w:r>
            <w:r>
              <w:rPr>
                <w:rFonts w:hint="cs"/>
                <w:color w:val="000000"/>
                <w:sz w:val="18"/>
                <w:szCs w:val="18"/>
                <w:vertAlign w:val="superscript"/>
                <w:rtl/>
                <w:lang w:eastAsia="he-IL"/>
              </w:rPr>
              <w:t>(ב)</w:t>
            </w:r>
          </w:p>
        </w:tc>
        <w:tc>
          <w:tcPr>
            <w:tcW w:w="415" w:type="pct"/>
            <w:shd w:val="clear" w:color="auto" w:fill="auto"/>
            <w:vAlign w:val="bottom"/>
            <w:hideMark/>
          </w:tcPr>
          <w:p w14:paraId="79B714C7" w14:textId="77777777" w:rsidR="006501FC" w:rsidRPr="00A56C3A" w:rsidRDefault="006501FC" w:rsidP="00400DD1">
            <w:pPr>
              <w:pBdr>
                <w:bottom w:val="single" w:sz="4" w:space="1" w:color="auto"/>
              </w:pBdr>
              <w:rPr>
                <w:sz w:val="18"/>
                <w:szCs w:val="18"/>
                <w:rtl/>
              </w:rPr>
            </w:pPr>
            <w:r w:rsidRPr="00A56C3A">
              <w:rPr>
                <w:rFonts w:hint="cs"/>
                <w:sz w:val="18"/>
                <w:szCs w:val="18"/>
                <w:rtl/>
              </w:rPr>
              <w:t xml:space="preserve"> 0</w:t>
            </w:r>
          </w:p>
        </w:tc>
        <w:tc>
          <w:tcPr>
            <w:tcW w:w="349" w:type="pct"/>
            <w:shd w:val="clear" w:color="auto" w:fill="auto"/>
            <w:vAlign w:val="bottom"/>
            <w:hideMark/>
          </w:tcPr>
          <w:p w14:paraId="7FA51478" w14:textId="77777777" w:rsidR="006501FC" w:rsidRPr="00A56C3A" w:rsidRDefault="006501FC" w:rsidP="00400DD1">
            <w:pPr>
              <w:pBdr>
                <w:bottom w:val="single" w:sz="4" w:space="1" w:color="auto"/>
              </w:pBdr>
              <w:rPr>
                <w:sz w:val="18"/>
                <w:szCs w:val="18"/>
                <w:rtl/>
              </w:rPr>
            </w:pPr>
            <w:r w:rsidRPr="00A56C3A">
              <w:rPr>
                <w:rFonts w:hint="cs"/>
                <w:sz w:val="18"/>
                <w:szCs w:val="18"/>
                <w:rtl/>
              </w:rPr>
              <w:t xml:space="preserve"> 0</w:t>
            </w:r>
          </w:p>
        </w:tc>
        <w:tc>
          <w:tcPr>
            <w:tcW w:w="417" w:type="pct"/>
            <w:shd w:val="clear" w:color="auto" w:fill="auto"/>
            <w:vAlign w:val="bottom"/>
            <w:hideMark/>
          </w:tcPr>
          <w:p w14:paraId="7B0F3B4C" w14:textId="77777777" w:rsidR="006501FC" w:rsidRPr="00A56C3A" w:rsidRDefault="006501FC" w:rsidP="00400DD1">
            <w:pPr>
              <w:pBdr>
                <w:bottom w:val="single" w:sz="4" w:space="1" w:color="auto"/>
              </w:pBdr>
              <w:rPr>
                <w:sz w:val="18"/>
                <w:szCs w:val="18"/>
                <w:rtl/>
              </w:rPr>
            </w:pPr>
            <w:r w:rsidRPr="00A56C3A">
              <w:rPr>
                <w:rFonts w:hint="cs"/>
                <w:sz w:val="18"/>
                <w:szCs w:val="18"/>
                <w:rtl/>
              </w:rPr>
              <w:t xml:space="preserve"> 0</w:t>
            </w:r>
          </w:p>
        </w:tc>
        <w:tc>
          <w:tcPr>
            <w:tcW w:w="415" w:type="pct"/>
            <w:shd w:val="clear" w:color="auto" w:fill="auto"/>
            <w:vAlign w:val="bottom"/>
            <w:hideMark/>
          </w:tcPr>
          <w:p w14:paraId="1262CE9E" w14:textId="77777777" w:rsidR="006501FC" w:rsidRPr="00A56C3A" w:rsidRDefault="006501FC" w:rsidP="00400DD1">
            <w:pPr>
              <w:pBdr>
                <w:bottom w:val="single" w:sz="4" w:space="1" w:color="auto"/>
              </w:pBdr>
              <w:rPr>
                <w:sz w:val="18"/>
                <w:szCs w:val="18"/>
                <w:rtl/>
              </w:rPr>
            </w:pPr>
            <w:r w:rsidRPr="00A56C3A">
              <w:rPr>
                <w:rFonts w:hint="cs"/>
                <w:sz w:val="18"/>
                <w:szCs w:val="18"/>
                <w:rtl/>
              </w:rPr>
              <w:t xml:space="preserve"> 0</w:t>
            </w:r>
          </w:p>
        </w:tc>
        <w:tc>
          <w:tcPr>
            <w:tcW w:w="418" w:type="pct"/>
            <w:shd w:val="clear" w:color="auto" w:fill="auto"/>
            <w:vAlign w:val="bottom"/>
          </w:tcPr>
          <w:p w14:paraId="739D4E8C" w14:textId="77777777" w:rsidR="006501FC" w:rsidRPr="00A56C3A" w:rsidRDefault="006501FC" w:rsidP="00400DD1">
            <w:pPr>
              <w:pBdr>
                <w:bottom w:val="single" w:sz="4" w:space="1" w:color="auto"/>
              </w:pBdr>
              <w:rPr>
                <w:sz w:val="18"/>
                <w:szCs w:val="18"/>
                <w:rtl/>
              </w:rPr>
            </w:pPr>
            <w:r w:rsidRPr="00A56C3A">
              <w:rPr>
                <w:rFonts w:hint="cs"/>
                <w:sz w:val="18"/>
                <w:szCs w:val="18"/>
                <w:rtl/>
              </w:rPr>
              <w:t xml:space="preserve"> 0</w:t>
            </w:r>
          </w:p>
        </w:tc>
        <w:tc>
          <w:tcPr>
            <w:tcW w:w="348" w:type="pct"/>
            <w:shd w:val="clear" w:color="auto" w:fill="auto"/>
            <w:vAlign w:val="bottom"/>
            <w:hideMark/>
          </w:tcPr>
          <w:p w14:paraId="74DB582D" w14:textId="77777777" w:rsidR="006501FC" w:rsidRPr="00A56C3A" w:rsidRDefault="006501FC" w:rsidP="00400DD1">
            <w:pPr>
              <w:pBdr>
                <w:bottom w:val="single" w:sz="4" w:space="1" w:color="auto"/>
              </w:pBdr>
              <w:rPr>
                <w:sz w:val="18"/>
                <w:szCs w:val="18"/>
                <w:rtl/>
              </w:rPr>
            </w:pPr>
            <w:r w:rsidRPr="00A56C3A">
              <w:rPr>
                <w:rFonts w:hint="cs"/>
                <w:sz w:val="18"/>
                <w:szCs w:val="18"/>
                <w:rtl/>
              </w:rPr>
              <w:t xml:space="preserve"> 0</w:t>
            </w:r>
          </w:p>
        </w:tc>
        <w:tc>
          <w:tcPr>
            <w:tcW w:w="342" w:type="pct"/>
            <w:shd w:val="clear" w:color="auto" w:fill="auto"/>
            <w:vAlign w:val="bottom"/>
            <w:hideMark/>
          </w:tcPr>
          <w:p w14:paraId="1DD2B85A" w14:textId="77777777" w:rsidR="006501FC" w:rsidRPr="00A56C3A" w:rsidRDefault="006501FC" w:rsidP="00400DD1">
            <w:pPr>
              <w:pBdr>
                <w:bottom w:val="single" w:sz="4" w:space="1" w:color="auto"/>
              </w:pBdr>
              <w:rPr>
                <w:sz w:val="18"/>
                <w:szCs w:val="18"/>
                <w:rtl/>
              </w:rPr>
            </w:pPr>
            <w:r w:rsidRPr="00A56C3A">
              <w:rPr>
                <w:rFonts w:hint="cs"/>
                <w:sz w:val="18"/>
                <w:szCs w:val="18"/>
                <w:rtl/>
              </w:rPr>
              <w:t xml:space="preserve"> 0</w:t>
            </w:r>
          </w:p>
        </w:tc>
      </w:tr>
      <w:tr w:rsidR="006501FC" w:rsidRPr="00A56C3A" w14:paraId="3F15D580" w14:textId="77777777" w:rsidTr="00400DD1">
        <w:trPr>
          <w:trHeight w:val="259"/>
        </w:trPr>
        <w:tc>
          <w:tcPr>
            <w:tcW w:w="347" w:type="pct"/>
            <w:shd w:val="clear" w:color="auto" w:fill="auto"/>
          </w:tcPr>
          <w:p w14:paraId="1BDBC7D4" w14:textId="77777777" w:rsidR="006501FC" w:rsidRPr="00A56C3A" w:rsidRDefault="006501FC" w:rsidP="00400DD1">
            <w:pPr>
              <w:rPr>
                <w:sz w:val="18"/>
                <w:szCs w:val="18"/>
                <w:rtl/>
              </w:rPr>
            </w:pPr>
          </w:p>
        </w:tc>
        <w:tc>
          <w:tcPr>
            <w:tcW w:w="1950" w:type="pct"/>
            <w:shd w:val="clear" w:color="auto" w:fill="auto"/>
            <w:vAlign w:val="bottom"/>
            <w:hideMark/>
          </w:tcPr>
          <w:p w14:paraId="598DE31C" w14:textId="77777777" w:rsidR="006501FC" w:rsidRPr="00D03FC3" w:rsidRDefault="006501FC" w:rsidP="00400DD1">
            <w:pPr>
              <w:jc w:val="left"/>
              <w:rPr>
                <w:color w:val="000000"/>
                <w:sz w:val="18"/>
                <w:szCs w:val="18"/>
                <w:rtl/>
                <w:lang w:eastAsia="he-IL"/>
              </w:rPr>
            </w:pPr>
            <w:r w:rsidRPr="00D03FC3">
              <w:rPr>
                <w:rFonts w:hint="cs"/>
                <w:color w:val="000000"/>
                <w:sz w:val="18"/>
                <w:szCs w:val="18"/>
                <w:rtl/>
                <w:lang w:eastAsia="he-IL"/>
              </w:rPr>
              <w:t>סך הכל סיכון אשראי בגין מכשירים נגזרים</w:t>
            </w:r>
          </w:p>
        </w:tc>
        <w:tc>
          <w:tcPr>
            <w:tcW w:w="415" w:type="pct"/>
            <w:shd w:val="clear" w:color="auto" w:fill="auto"/>
            <w:vAlign w:val="bottom"/>
            <w:hideMark/>
          </w:tcPr>
          <w:p w14:paraId="334E93DF"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349" w:type="pct"/>
            <w:shd w:val="clear" w:color="auto" w:fill="auto"/>
            <w:vAlign w:val="bottom"/>
            <w:hideMark/>
          </w:tcPr>
          <w:p w14:paraId="688B9EA9"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417" w:type="pct"/>
            <w:shd w:val="clear" w:color="auto" w:fill="auto"/>
            <w:vAlign w:val="bottom"/>
            <w:hideMark/>
          </w:tcPr>
          <w:p w14:paraId="4F52B2A1"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415" w:type="pct"/>
            <w:shd w:val="clear" w:color="auto" w:fill="auto"/>
            <w:vAlign w:val="bottom"/>
            <w:hideMark/>
          </w:tcPr>
          <w:p w14:paraId="329BA048"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418" w:type="pct"/>
            <w:shd w:val="clear" w:color="auto" w:fill="auto"/>
            <w:vAlign w:val="bottom"/>
          </w:tcPr>
          <w:p w14:paraId="1760C32D"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348" w:type="pct"/>
            <w:shd w:val="clear" w:color="auto" w:fill="auto"/>
            <w:vAlign w:val="bottom"/>
            <w:hideMark/>
          </w:tcPr>
          <w:p w14:paraId="762C40BA"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342" w:type="pct"/>
            <w:shd w:val="clear" w:color="auto" w:fill="auto"/>
            <w:vAlign w:val="bottom"/>
            <w:hideMark/>
          </w:tcPr>
          <w:p w14:paraId="1ABC264B"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r>
      <w:tr w:rsidR="006501FC" w:rsidRPr="00A56C3A" w14:paraId="6A69D195" w14:textId="77777777" w:rsidTr="00400DD1">
        <w:trPr>
          <w:trHeight w:val="117"/>
        </w:trPr>
        <w:tc>
          <w:tcPr>
            <w:tcW w:w="347" w:type="pct"/>
            <w:shd w:val="clear" w:color="auto" w:fill="auto"/>
          </w:tcPr>
          <w:p w14:paraId="43AC6990" w14:textId="77777777" w:rsidR="006501FC" w:rsidRPr="00A56C3A" w:rsidRDefault="006501FC" w:rsidP="00400DD1">
            <w:pPr>
              <w:bidi w:val="0"/>
              <w:spacing w:before="40" w:line="120" w:lineRule="exact"/>
              <w:rPr>
                <w:sz w:val="18"/>
                <w:szCs w:val="18"/>
                <w:rtl/>
              </w:rPr>
            </w:pPr>
          </w:p>
        </w:tc>
        <w:tc>
          <w:tcPr>
            <w:tcW w:w="1950" w:type="pct"/>
            <w:shd w:val="clear" w:color="auto" w:fill="auto"/>
            <w:vAlign w:val="bottom"/>
          </w:tcPr>
          <w:p w14:paraId="485A9FE4" w14:textId="77777777" w:rsidR="006501FC" w:rsidRPr="00D03FC3" w:rsidRDefault="006501FC" w:rsidP="00400DD1">
            <w:pPr>
              <w:bidi w:val="0"/>
              <w:spacing w:before="40" w:line="120" w:lineRule="exact"/>
              <w:ind w:left="382" w:hanging="144"/>
              <w:rPr>
                <w:color w:val="000000"/>
                <w:sz w:val="18"/>
                <w:szCs w:val="18"/>
                <w:rtl/>
                <w:lang w:eastAsia="he-IL"/>
              </w:rPr>
            </w:pPr>
          </w:p>
        </w:tc>
        <w:tc>
          <w:tcPr>
            <w:tcW w:w="415" w:type="pct"/>
            <w:shd w:val="clear" w:color="auto" w:fill="auto"/>
            <w:vAlign w:val="bottom"/>
          </w:tcPr>
          <w:p w14:paraId="57B4BADA" w14:textId="77777777" w:rsidR="006501FC" w:rsidRPr="00A56C3A" w:rsidRDefault="006501FC" w:rsidP="00400DD1">
            <w:pPr>
              <w:bidi w:val="0"/>
              <w:spacing w:before="40" w:line="120" w:lineRule="exact"/>
              <w:rPr>
                <w:sz w:val="18"/>
                <w:szCs w:val="18"/>
                <w:rtl/>
              </w:rPr>
            </w:pPr>
          </w:p>
        </w:tc>
        <w:tc>
          <w:tcPr>
            <w:tcW w:w="349" w:type="pct"/>
            <w:shd w:val="clear" w:color="auto" w:fill="auto"/>
            <w:vAlign w:val="bottom"/>
          </w:tcPr>
          <w:p w14:paraId="4B7132E8" w14:textId="77777777" w:rsidR="006501FC" w:rsidRPr="00A56C3A" w:rsidRDefault="006501FC" w:rsidP="00400DD1">
            <w:pPr>
              <w:bidi w:val="0"/>
              <w:spacing w:before="40" w:line="120" w:lineRule="exact"/>
              <w:rPr>
                <w:sz w:val="18"/>
                <w:szCs w:val="18"/>
                <w:rtl/>
              </w:rPr>
            </w:pPr>
          </w:p>
        </w:tc>
        <w:tc>
          <w:tcPr>
            <w:tcW w:w="417" w:type="pct"/>
            <w:shd w:val="clear" w:color="auto" w:fill="auto"/>
            <w:vAlign w:val="bottom"/>
          </w:tcPr>
          <w:p w14:paraId="50BAD5D5" w14:textId="77777777" w:rsidR="006501FC" w:rsidRPr="00A56C3A" w:rsidRDefault="006501FC" w:rsidP="00400DD1">
            <w:pPr>
              <w:bidi w:val="0"/>
              <w:spacing w:before="40" w:line="120" w:lineRule="exact"/>
              <w:rPr>
                <w:sz w:val="18"/>
                <w:szCs w:val="18"/>
                <w:rtl/>
              </w:rPr>
            </w:pPr>
          </w:p>
        </w:tc>
        <w:tc>
          <w:tcPr>
            <w:tcW w:w="415" w:type="pct"/>
            <w:shd w:val="clear" w:color="auto" w:fill="auto"/>
            <w:vAlign w:val="bottom"/>
          </w:tcPr>
          <w:p w14:paraId="2AAA2745" w14:textId="77777777" w:rsidR="006501FC" w:rsidRPr="00A56C3A" w:rsidRDefault="006501FC" w:rsidP="00400DD1">
            <w:pPr>
              <w:bidi w:val="0"/>
              <w:spacing w:before="40" w:line="120" w:lineRule="exact"/>
              <w:rPr>
                <w:sz w:val="18"/>
                <w:szCs w:val="18"/>
                <w:rtl/>
              </w:rPr>
            </w:pPr>
          </w:p>
        </w:tc>
        <w:tc>
          <w:tcPr>
            <w:tcW w:w="418" w:type="pct"/>
            <w:shd w:val="clear" w:color="auto" w:fill="auto"/>
            <w:vAlign w:val="bottom"/>
          </w:tcPr>
          <w:p w14:paraId="5CB14234" w14:textId="77777777" w:rsidR="006501FC" w:rsidRPr="00A56C3A" w:rsidRDefault="006501FC" w:rsidP="00400DD1">
            <w:pPr>
              <w:bidi w:val="0"/>
              <w:spacing w:before="40" w:line="120" w:lineRule="exact"/>
              <w:rPr>
                <w:sz w:val="18"/>
                <w:szCs w:val="18"/>
                <w:rtl/>
              </w:rPr>
            </w:pPr>
          </w:p>
        </w:tc>
        <w:tc>
          <w:tcPr>
            <w:tcW w:w="348" w:type="pct"/>
            <w:shd w:val="clear" w:color="auto" w:fill="auto"/>
            <w:vAlign w:val="bottom"/>
          </w:tcPr>
          <w:p w14:paraId="1745B151" w14:textId="77777777" w:rsidR="006501FC" w:rsidRPr="00A56C3A" w:rsidRDefault="006501FC" w:rsidP="00400DD1">
            <w:pPr>
              <w:bidi w:val="0"/>
              <w:spacing w:before="40" w:line="120" w:lineRule="exact"/>
              <w:rPr>
                <w:sz w:val="18"/>
                <w:szCs w:val="18"/>
                <w:rtl/>
              </w:rPr>
            </w:pPr>
          </w:p>
        </w:tc>
        <w:tc>
          <w:tcPr>
            <w:tcW w:w="342" w:type="pct"/>
            <w:shd w:val="clear" w:color="auto" w:fill="auto"/>
            <w:vAlign w:val="bottom"/>
          </w:tcPr>
          <w:p w14:paraId="67B01D88" w14:textId="77777777" w:rsidR="006501FC" w:rsidRPr="00A56C3A" w:rsidRDefault="006501FC" w:rsidP="00400DD1">
            <w:pPr>
              <w:bidi w:val="0"/>
              <w:spacing w:before="40" w:line="120" w:lineRule="exact"/>
              <w:rPr>
                <w:sz w:val="18"/>
                <w:szCs w:val="18"/>
                <w:rtl/>
              </w:rPr>
            </w:pPr>
          </w:p>
        </w:tc>
      </w:tr>
      <w:tr w:rsidR="006501FC" w:rsidRPr="00A56C3A" w14:paraId="027825B2" w14:textId="77777777" w:rsidTr="00400DD1">
        <w:trPr>
          <w:trHeight w:val="401"/>
        </w:trPr>
        <w:tc>
          <w:tcPr>
            <w:tcW w:w="347" w:type="pct"/>
            <w:shd w:val="clear" w:color="auto" w:fill="auto"/>
          </w:tcPr>
          <w:p w14:paraId="789A1F89" w14:textId="77777777" w:rsidR="006501FC" w:rsidRPr="00A56C3A" w:rsidRDefault="006501FC" w:rsidP="00400DD1">
            <w:pPr>
              <w:bidi w:val="0"/>
              <w:rPr>
                <w:sz w:val="18"/>
                <w:szCs w:val="18"/>
                <w:rtl/>
              </w:rPr>
            </w:pPr>
          </w:p>
        </w:tc>
        <w:tc>
          <w:tcPr>
            <w:tcW w:w="1950" w:type="pct"/>
            <w:shd w:val="clear" w:color="auto" w:fill="auto"/>
            <w:vAlign w:val="bottom"/>
            <w:hideMark/>
          </w:tcPr>
          <w:p w14:paraId="4BB8C5E0" w14:textId="77777777" w:rsidR="006501FC" w:rsidRPr="00D03FC3" w:rsidRDefault="006501FC" w:rsidP="00400DD1">
            <w:pPr>
              <w:jc w:val="left"/>
              <w:rPr>
                <w:color w:val="000000"/>
                <w:sz w:val="18"/>
                <w:szCs w:val="18"/>
                <w:rtl/>
                <w:lang w:eastAsia="he-IL"/>
              </w:rPr>
            </w:pPr>
            <w:r w:rsidRPr="00D03FC3">
              <w:rPr>
                <w:rFonts w:hint="cs"/>
                <w:color w:val="000000"/>
                <w:sz w:val="18"/>
                <w:szCs w:val="18"/>
                <w:rtl/>
                <w:lang w:eastAsia="he-IL"/>
              </w:rPr>
              <w:t>יתרה מאזנית של התחייבויות בגין מכשירים נגזרים</w:t>
            </w:r>
            <w:r w:rsidRPr="00D03FC3">
              <w:rPr>
                <w:color w:val="000000"/>
                <w:sz w:val="18"/>
                <w:szCs w:val="18"/>
                <w:lang w:eastAsia="he-IL"/>
              </w:rPr>
              <w:t xml:space="preserve">  </w:t>
            </w:r>
          </w:p>
        </w:tc>
        <w:tc>
          <w:tcPr>
            <w:tcW w:w="415" w:type="pct"/>
            <w:shd w:val="clear" w:color="auto" w:fill="auto"/>
            <w:vAlign w:val="bottom"/>
            <w:hideMark/>
          </w:tcPr>
          <w:p w14:paraId="0A8C0D00" w14:textId="77777777" w:rsidR="006501FC" w:rsidRPr="00A56C3A" w:rsidRDefault="006501FC" w:rsidP="00400DD1">
            <w:pPr>
              <w:rPr>
                <w:sz w:val="18"/>
                <w:szCs w:val="18"/>
              </w:rPr>
            </w:pPr>
            <w:r w:rsidRPr="00A56C3A">
              <w:rPr>
                <w:rFonts w:hint="cs"/>
                <w:sz w:val="18"/>
                <w:szCs w:val="18"/>
                <w:rtl/>
              </w:rPr>
              <w:t xml:space="preserve"> 0</w:t>
            </w:r>
          </w:p>
        </w:tc>
        <w:tc>
          <w:tcPr>
            <w:tcW w:w="349" w:type="pct"/>
            <w:shd w:val="clear" w:color="auto" w:fill="auto"/>
            <w:vAlign w:val="bottom"/>
            <w:hideMark/>
          </w:tcPr>
          <w:p w14:paraId="39DB7EAF" w14:textId="77777777" w:rsidR="006501FC" w:rsidRPr="00A56C3A" w:rsidRDefault="006501FC" w:rsidP="00400DD1">
            <w:pPr>
              <w:rPr>
                <w:sz w:val="18"/>
                <w:szCs w:val="18"/>
                <w:rtl/>
              </w:rPr>
            </w:pPr>
            <w:r w:rsidRPr="00A56C3A">
              <w:rPr>
                <w:rFonts w:hint="cs"/>
                <w:sz w:val="18"/>
                <w:szCs w:val="18"/>
                <w:rtl/>
              </w:rPr>
              <w:t xml:space="preserve"> 0</w:t>
            </w:r>
          </w:p>
        </w:tc>
        <w:tc>
          <w:tcPr>
            <w:tcW w:w="417" w:type="pct"/>
            <w:shd w:val="clear" w:color="auto" w:fill="auto"/>
            <w:vAlign w:val="bottom"/>
            <w:hideMark/>
          </w:tcPr>
          <w:p w14:paraId="3497D691" w14:textId="77777777" w:rsidR="006501FC" w:rsidRPr="00A56C3A" w:rsidRDefault="006501FC" w:rsidP="00400DD1">
            <w:pPr>
              <w:rPr>
                <w:sz w:val="18"/>
                <w:szCs w:val="18"/>
                <w:rtl/>
              </w:rPr>
            </w:pPr>
            <w:r w:rsidRPr="00A56C3A">
              <w:rPr>
                <w:rFonts w:hint="cs"/>
                <w:sz w:val="18"/>
                <w:szCs w:val="18"/>
                <w:rtl/>
              </w:rPr>
              <w:t xml:space="preserve"> 0</w:t>
            </w:r>
          </w:p>
        </w:tc>
        <w:tc>
          <w:tcPr>
            <w:tcW w:w="415" w:type="pct"/>
            <w:shd w:val="clear" w:color="auto" w:fill="auto"/>
            <w:vAlign w:val="bottom"/>
            <w:hideMark/>
          </w:tcPr>
          <w:p w14:paraId="400F4E18" w14:textId="77777777" w:rsidR="006501FC" w:rsidRPr="00A56C3A" w:rsidRDefault="006501FC" w:rsidP="00400DD1">
            <w:pPr>
              <w:rPr>
                <w:sz w:val="18"/>
                <w:szCs w:val="18"/>
                <w:rtl/>
              </w:rPr>
            </w:pPr>
            <w:r w:rsidRPr="00A56C3A">
              <w:rPr>
                <w:rFonts w:hint="cs"/>
                <w:sz w:val="18"/>
                <w:szCs w:val="18"/>
                <w:rtl/>
              </w:rPr>
              <w:t xml:space="preserve"> 0</w:t>
            </w:r>
          </w:p>
        </w:tc>
        <w:tc>
          <w:tcPr>
            <w:tcW w:w="418" w:type="pct"/>
            <w:shd w:val="clear" w:color="auto" w:fill="auto"/>
            <w:vAlign w:val="bottom"/>
          </w:tcPr>
          <w:p w14:paraId="2633CB42" w14:textId="77777777" w:rsidR="006501FC" w:rsidRPr="00A56C3A" w:rsidRDefault="006501FC" w:rsidP="00400DD1">
            <w:pPr>
              <w:rPr>
                <w:sz w:val="18"/>
                <w:szCs w:val="18"/>
                <w:rtl/>
              </w:rPr>
            </w:pPr>
            <w:r w:rsidRPr="00A56C3A">
              <w:rPr>
                <w:rFonts w:hint="cs"/>
                <w:sz w:val="18"/>
                <w:szCs w:val="18"/>
                <w:rtl/>
              </w:rPr>
              <w:t xml:space="preserve"> 0</w:t>
            </w:r>
          </w:p>
        </w:tc>
        <w:tc>
          <w:tcPr>
            <w:tcW w:w="348" w:type="pct"/>
            <w:shd w:val="clear" w:color="auto" w:fill="auto"/>
            <w:vAlign w:val="bottom"/>
            <w:hideMark/>
          </w:tcPr>
          <w:p w14:paraId="2C0962F8" w14:textId="77777777" w:rsidR="006501FC" w:rsidRPr="00A56C3A" w:rsidRDefault="006501FC" w:rsidP="00400DD1">
            <w:pPr>
              <w:rPr>
                <w:sz w:val="18"/>
                <w:szCs w:val="18"/>
                <w:rtl/>
              </w:rPr>
            </w:pPr>
            <w:r w:rsidRPr="00A56C3A">
              <w:rPr>
                <w:rFonts w:hint="cs"/>
                <w:sz w:val="18"/>
                <w:szCs w:val="18"/>
                <w:rtl/>
              </w:rPr>
              <w:t xml:space="preserve"> 0</w:t>
            </w:r>
          </w:p>
        </w:tc>
        <w:tc>
          <w:tcPr>
            <w:tcW w:w="342" w:type="pct"/>
            <w:shd w:val="clear" w:color="auto" w:fill="auto"/>
            <w:vAlign w:val="bottom"/>
            <w:hideMark/>
          </w:tcPr>
          <w:p w14:paraId="7F267C36" w14:textId="77777777" w:rsidR="006501FC" w:rsidRPr="00A56C3A" w:rsidRDefault="006501FC" w:rsidP="00400DD1">
            <w:pPr>
              <w:rPr>
                <w:sz w:val="18"/>
                <w:szCs w:val="18"/>
                <w:rtl/>
              </w:rPr>
            </w:pPr>
            <w:r w:rsidRPr="00A56C3A">
              <w:rPr>
                <w:rFonts w:hint="cs"/>
                <w:sz w:val="18"/>
                <w:szCs w:val="18"/>
                <w:rtl/>
              </w:rPr>
              <w:t xml:space="preserve"> 0</w:t>
            </w:r>
          </w:p>
        </w:tc>
      </w:tr>
      <w:tr w:rsidR="006501FC" w:rsidRPr="00A56C3A" w14:paraId="5B170F50" w14:textId="77777777" w:rsidTr="00400DD1">
        <w:trPr>
          <w:trHeight w:val="259"/>
        </w:trPr>
        <w:tc>
          <w:tcPr>
            <w:tcW w:w="347" w:type="pct"/>
            <w:vMerge w:val="restart"/>
            <w:shd w:val="clear" w:color="auto" w:fill="auto"/>
          </w:tcPr>
          <w:p w14:paraId="564ADDBA" w14:textId="77777777" w:rsidR="006501FC" w:rsidRPr="00A56C3A" w:rsidRDefault="006501FC" w:rsidP="00400DD1">
            <w:pPr>
              <w:spacing w:before="60"/>
              <w:jc w:val="left"/>
              <w:rPr>
                <w:color w:val="000000"/>
                <w:spacing w:val="-6"/>
                <w:sz w:val="18"/>
                <w:szCs w:val="18"/>
                <w:rtl/>
                <w:lang w:eastAsia="he-IL"/>
              </w:rPr>
            </w:pPr>
          </w:p>
        </w:tc>
        <w:tc>
          <w:tcPr>
            <w:tcW w:w="1950" w:type="pct"/>
            <w:shd w:val="clear" w:color="auto" w:fill="auto"/>
            <w:vAlign w:val="center"/>
            <w:hideMark/>
          </w:tcPr>
          <w:p w14:paraId="11290E07" w14:textId="77777777" w:rsidR="006501FC" w:rsidRPr="00D03FC3" w:rsidRDefault="006501FC" w:rsidP="00400DD1">
            <w:pPr>
              <w:ind w:left="144" w:hanging="144"/>
              <w:jc w:val="left"/>
              <w:rPr>
                <w:color w:val="000000"/>
                <w:sz w:val="18"/>
                <w:szCs w:val="18"/>
                <w:rtl/>
                <w:lang w:eastAsia="he-IL"/>
              </w:rPr>
            </w:pPr>
            <w:r w:rsidRPr="00D03FC3">
              <w:rPr>
                <w:rFonts w:hint="cs"/>
                <w:color w:val="000000"/>
                <w:sz w:val="18"/>
                <w:szCs w:val="18"/>
                <w:u w:val="single"/>
                <w:rtl/>
                <w:lang w:eastAsia="he-IL"/>
              </w:rPr>
              <w:t>סכומים ברוטו שלא קוזזו במאזן</w:t>
            </w:r>
            <w:r w:rsidRPr="00D03FC3">
              <w:rPr>
                <w:rFonts w:hint="cs"/>
                <w:color w:val="000000"/>
                <w:sz w:val="18"/>
                <w:szCs w:val="18"/>
                <w:rtl/>
                <w:lang w:eastAsia="he-IL"/>
              </w:rPr>
              <w:t>:</w:t>
            </w:r>
          </w:p>
        </w:tc>
        <w:tc>
          <w:tcPr>
            <w:tcW w:w="415" w:type="pct"/>
            <w:shd w:val="clear" w:color="auto" w:fill="auto"/>
            <w:vAlign w:val="bottom"/>
          </w:tcPr>
          <w:p w14:paraId="6F0BEAC5" w14:textId="77777777" w:rsidR="006501FC" w:rsidRPr="00A56C3A" w:rsidRDefault="006501FC" w:rsidP="00400DD1">
            <w:pPr>
              <w:rPr>
                <w:sz w:val="18"/>
                <w:szCs w:val="18"/>
                <w:rtl/>
              </w:rPr>
            </w:pPr>
          </w:p>
        </w:tc>
        <w:tc>
          <w:tcPr>
            <w:tcW w:w="349" w:type="pct"/>
            <w:shd w:val="clear" w:color="auto" w:fill="auto"/>
            <w:vAlign w:val="bottom"/>
          </w:tcPr>
          <w:p w14:paraId="373A8BAA" w14:textId="77777777" w:rsidR="006501FC" w:rsidRPr="00A56C3A" w:rsidRDefault="006501FC" w:rsidP="00400DD1">
            <w:pPr>
              <w:rPr>
                <w:sz w:val="18"/>
                <w:szCs w:val="18"/>
                <w:rtl/>
              </w:rPr>
            </w:pPr>
          </w:p>
        </w:tc>
        <w:tc>
          <w:tcPr>
            <w:tcW w:w="417" w:type="pct"/>
            <w:shd w:val="clear" w:color="auto" w:fill="auto"/>
            <w:vAlign w:val="bottom"/>
          </w:tcPr>
          <w:p w14:paraId="5C0CDB96" w14:textId="77777777" w:rsidR="006501FC" w:rsidRPr="00A56C3A" w:rsidRDefault="006501FC" w:rsidP="00400DD1">
            <w:pPr>
              <w:rPr>
                <w:sz w:val="18"/>
                <w:szCs w:val="18"/>
                <w:rtl/>
              </w:rPr>
            </w:pPr>
          </w:p>
        </w:tc>
        <w:tc>
          <w:tcPr>
            <w:tcW w:w="415" w:type="pct"/>
            <w:shd w:val="clear" w:color="auto" w:fill="auto"/>
            <w:vAlign w:val="bottom"/>
          </w:tcPr>
          <w:p w14:paraId="7450F9BB" w14:textId="77777777" w:rsidR="006501FC" w:rsidRPr="00A56C3A" w:rsidRDefault="006501FC" w:rsidP="00400DD1">
            <w:pPr>
              <w:rPr>
                <w:sz w:val="18"/>
                <w:szCs w:val="18"/>
                <w:rtl/>
              </w:rPr>
            </w:pPr>
          </w:p>
        </w:tc>
        <w:tc>
          <w:tcPr>
            <w:tcW w:w="418" w:type="pct"/>
            <w:shd w:val="clear" w:color="auto" w:fill="auto"/>
            <w:vAlign w:val="bottom"/>
          </w:tcPr>
          <w:p w14:paraId="61897EE1" w14:textId="77777777" w:rsidR="006501FC" w:rsidRPr="00A56C3A" w:rsidRDefault="006501FC" w:rsidP="00400DD1">
            <w:pPr>
              <w:rPr>
                <w:sz w:val="18"/>
                <w:szCs w:val="18"/>
                <w:rtl/>
              </w:rPr>
            </w:pPr>
          </w:p>
        </w:tc>
        <w:tc>
          <w:tcPr>
            <w:tcW w:w="348" w:type="pct"/>
            <w:shd w:val="clear" w:color="auto" w:fill="auto"/>
            <w:vAlign w:val="bottom"/>
          </w:tcPr>
          <w:p w14:paraId="72D578FE" w14:textId="77777777" w:rsidR="006501FC" w:rsidRPr="00A56C3A" w:rsidRDefault="006501FC" w:rsidP="00400DD1">
            <w:pPr>
              <w:rPr>
                <w:sz w:val="18"/>
                <w:szCs w:val="18"/>
                <w:rtl/>
              </w:rPr>
            </w:pPr>
          </w:p>
        </w:tc>
        <w:tc>
          <w:tcPr>
            <w:tcW w:w="342" w:type="pct"/>
            <w:shd w:val="clear" w:color="auto" w:fill="auto"/>
            <w:vAlign w:val="bottom"/>
          </w:tcPr>
          <w:p w14:paraId="028FA0C3" w14:textId="77777777" w:rsidR="006501FC" w:rsidRPr="00A56C3A" w:rsidRDefault="006501FC" w:rsidP="00400DD1">
            <w:pPr>
              <w:rPr>
                <w:sz w:val="18"/>
                <w:szCs w:val="18"/>
                <w:rtl/>
              </w:rPr>
            </w:pPr>
          </w:p>
        </w:tc>
      </w:tr>
      <w:tr w:rsidR="006501FC" w:rsidRPr="00A56C3A" w14:paraId="16942122" w14:textId="77777777" w:rsidTr="00400DD1">
        <w:trPr>
          <w:trHeight w:val="259"/>
        </w:trPr>
        <w:tc>
          <w:tcPr>
            <w:tcW w:w="347" w:type="pct"/>
            <w:vMerge/>
            <w:shd w:val="clear" w:color="auto" w:fill="auto"/>
            <w:vAlign w:val="center"/>
            <w:hideMark/>
          </w:tcPr>
          <w:p w14:paraId="1EB34BEE" w14:textId="77777777" w:rsidR="006501FC" w:rsidRPr="00A56C3A" w:rsidRDefault="006501FC" w:rsidP="00400DD1">
            <w:pPr>
              <w:jc w:val="left"/>
              <w:rPr>
                <w:color w:val="000000"/>
                <w:spacing w:val="-6"/>
                <w:sz w:val="18"/>
                <w:szCs w:val="18"/>
                <w:lang w:eastAsia="he-IL"/>
              </w:rPr>
            </w:pPr>
          </w:p>
        </w:tc>
        <w:tc>
          <w:tcPr>
            <w:tcW w:w="1950" w:type="pct"/>
            <w:shd w:val="clear" w:color="auto" w:fill="auto"/>
            <w:vAlign w:val="center"/>
            <w:hideMark/>
          </w:tcPr>
          <w:p w14:paraId="5F74A819" w14:textId="77777777" w:rsidR="006501FC" w:rsidRPr="00D03FC3" w:rsidRDefault="006501FC" w:rsidP="00400DD1">
            <w:pPr>
              <w:ind w:left="170"/>
              <w:jc w:val="left"/>
              <w:rPr>
                <w:b/>
                <w:bCs/>
                <w:sz w:val="18"/>
                <w:szCs w:val="18"/>
                <w:rtl/>
              </w:rPr>
            </w:pPr>
            <w:r w:rsidRPr="00D03FC3">
              <w:rPr>
                <w:rFonts w:hint="cs"/>
                <w:color w:val="000000"/>
                <w:sz w:val="18"/>
                <w:szCs w:val="18"/>
                <w:rtl/>
                <w:lang w:eastAsia="he-IL"/>
              </w:rPr>
              <w:t>מכשירים</w:t>
            </w:r>
            <w:r w:rsidRPr="00D03FC3">
              <w:rPr>
                <w:rFonts w:hint="cs"/>
                <w:sz w:val="18"/>
                <w:szCs w:val="18"/>
                <w:rtl/>
              </w:rPr>
              <w:t xml:space="preserve"> פיננסיים</w:t>
            </w:r>
          </w:p>
        </w:tc>
        <w:tc>
          <w:tcPr>
            <w:tcW w:w="415" w:type="pct"/>
            <w:shd w:val="clear" w:color="auto" w:fill="auto"/>
            <w:vAlign w:val="center"/>
            <w:hideMark/>
          </w:tcPr>
          <w:p w14:paraId="1961C198" w14:textId="77777777" w:rsidR="006501FC" w:rsidRPr="00A56C3A" w:rsidRDefault="006501FC" w:rsidP="00400DD1">
            <w:pPr>
              <w:rPr>
                <w:sz w:val="18"/>
                <w:szCs w:val="18"/>
                <w:rtl/>
              </w:rPr>
            </w:pPr>
            <w:r w:rsidRPr="00A56C3A">
              <w:rPr>
                <w:rFonts w:hint="cs"/>
                <w:sz w:val="18"/>
                <w:szCs w:val="18"/>
                <w:rtl/>
              </w:rPr>
              <w:t>(0)</w:t>
            </w:r>
          </w:p>
        </w:tc>
        <w:tc>
          <w:tcPr>
            <w:tcW w:w="349" w:type="pct"/>
            <w:shd w:val="clear" w:color="auto" w:fill="auto"/>
            <w:vAlign w:val="center"/>
            <w:hideMark/>
          </w:tcPr>
          <w:p w14:paraId="564C9705" w14:textId="77777777" w:rsidR="006501FC" w:rsidRPr="00A56C3A" w:rsidRDefault="006501FC" w:rsidP="00400DD1">
            <w:pPr>
              <w:rPr>
                <w:sz w:val="18"/>
                <w:szCs w:val="18"/>
                <w:rtl/>
              </w:rPr>
            </w:pPr>
            <w:r w:rsidRPr="00A56C3A">
              <w:rPr>
                <w:rFonts w:hint="cs"/>
                <w:sz w:val="18"/>
                <w:szCs w:val="18"/>
                <w:rtl/>
              </w:rPr>
              <w:t>(0)</w:t>
            </w:r>
          </w:p>
        </w:tc>
        <w:tc>
          <w:tcPr>
            <w:tcW w:w="417" w:type="pct"/>
            <w:shd w:val="clear" w:color="auto" w:fill="auto"/>
            <w:vAlign w:val="center"/>
            <w:hideMark/>
          </w:tcPr>
          <w:p w14:paraId="534A7A80" w14:textId="77777777" w:rsidR="006501FC" w:rsidRPr="00A56C3A" w:rsidRDefault="006501FC" w:rsidP="00400DD1">
            <w:pPr>
              <w:rPr>
                <w:sz w:val="18"/>
                <w:szCs w:val="18"/>
                <w:rtl/>
              </w:rPr>
            </w:pPr>
            <w:r w:rsidRPr="00A56C3A">
              <w:rPr>
                <w:rFonts w:hint="cs"/>
                <w:sz w:val="18"/>
                <w:szCs w:val="18"/>
                <w:rtl/>
              </w:rPr>
              <w:t>(0)</w:t>
            </w:r>
          </w:p>
        </w:tc>
        <w:tc>
          <w:tcPr>
            <w:tcW w:w="415" w:type="pct"/>
            <w:shd w:val="clear" w:color="auto" w:fill="auto"/>
            <w:vAlign w:val="center"/>
            <w:hideMark/>
          </w:tcPr>
          <w:p w14:paraId="6B4A589D" w14:textId="77777777" w:rsidR="006501FC" w:rsidRPr="00A56C3A" w:rsidRDefault="006501FC" w:rsidP="00400DD1">
            <w:pPr>
              <w:rPr>
                <w:sz w:val="18"/>
                <w:szCs w:val="18"/>
                <w:rtl/>
              </w:rPr>
            </w:pPr>
            <w:r w:rsidRPr="00A56C3A">
              <w:rPr>
                <w:rFonts w:hint="cs"/>
                <w:sz w:val="18"/>
                <w:szCs w:val="18"/>
                <w:rtl/>
              </w:rPr>
              <w:t>(0)</w:t>
            </w:r>
          </w:p>
        </w:tc>
        <w:tc>
          <w:tcPr>
            <w:tcW w:w="418" w:type="pct"/>
            <w:shd w:val="clear" w:color="auto" w:fill="auto"/>
            <w:vAlign w:val="center"/>
          </w:tcPr>
          <w:p w14:paraId="1E367041" w14:textId="77777777" w:rsidR="006501FC" w:rsidRPr="00A56C3A" w:rsidRDefault="006501FC" w:rsidP="00400DD1">
            <w:pPr>
              <w:rPr>
                <w:sz w:val="18"/>
                <w:szCs w:val="18"/>
                <w:rtl/>
              </w:rPr>
            </w:pPr>
            <w:r w:rsidRPr="00A56C3A">
              <w:rPr>
                <w:rFonts w:hint="cs"/>
                <w:sz w:val="18"/>
                <w:szCs w:val="18"/>
                <w:rtl/>
              </w:rPr>
              <w:t>(0)</w:t>
            </w:r>
          </w:p>
        </w:tc>
        <w:tc>
          <w:tcPr>
            <w:tcW w:w="348" w:type="pct"/>
            <w:shd w:val="clear" w:color="auto" w:fill="auto"/>
            <w:vAlign w:val="center"/>
            <w:hideMark/>
          </w:tcPr>
          <w:p w14:paraId="297D32C6" w14:textId="77777777" w:rsidR="006501FC" w:rsidRPr="00A56C3A" w:rsidRDefault="006501FC" w:rsidP="00400DD1">
            <w:pPr>
              <w:rPr>
                <w:sz w:val="18"/>
                <w:szCs w:val="18"/>
                <w:rtl/>
              </w:rPr>
            </w:pPr>
            <w:r w:rsidRPr="00A56C3A">
              <w:rPr>
                <w:rFonts w:hint="cs"/>
                <w:sz w:val="18"/>
                <w:szCs w:val="18"/>
                <w:rtl/>
              </w:rPr>
              <w:t>(0)</w:t>
            </w:r>
          </w:p>
        </w:tc>
        <w:tc>
          <w:tcPr>
            <w:tcW w:w="342" w:type="pct"/>
            <w:shd w:val="clear" w:color="auto" w:fill="auto"/>
            <w:vAlign w:val="center"/>
            <w:hideMark/>
          </w:tcPr>
          <w:p w14:paraId="4311A282" w14:textId="77777777" w:rsidR="006501FC" w:rsidRPr="00A56C3A" w:rsidRDefault="006501FC" w:rsidP="00400DD1">
            <w:pPr>
              <w:rPr>
                <w:sz w:val="18"/>
                <w:szCs w:val="18"/>
                <w:rtl/>
              </w:rPr>
            </w:pPr>
            <w:r w:rsidRPr="00A56C3A">
              <w:rPr>
                <w:rFonts w:hint="cs"/>
                <w:sz w:val="18"/>
                <w:szCs w:val="18"/>
                <w:rtl/>
              </w:rPr>
              <w:t>(0)</w:t>
            </w:r>
          </w:p>
        </w:tc>
      </w:tr>
      <w:tr w:rsidR="006501FC" w:rsidRPr="00A56C3A" w14:paraId="65E110AA" w14:textId="77777777" w:rsidTr="00400DD1">
        <w:trPr>
          <w:trHeight w:val="259"/>
        </w:trPr>
        <w:tc>
          <w:tcPr>
            <w:tcW w:w="347" w:type="pct"/>
            <w:shd w:val="clear" w:color="auto" w:fill="auto"/>
          </w:tcPr>
          <w:p w14:paraId="4BC7C8E7" w14:textId="77777777" w:rsidR="006501FC" w:rsidRPr="00A56C3A" w:rsidRDefault="006501FC" w:rsidP="00400DD1">
            <w:pPr>
              <w:rPr>
                <w:sz w:val="18"/>
                <w:szCs w:val="18"/>
                <w:rtl/>
              </w:rPr>
            </w:pPr>
          </w:p>
        </w:tc>
        <w:tc>
          <w:tcPr>
            <w:tcW w:w="1950" w:type="pct"/>
            <w:shd w:val="clear" w:color="auto" w:fill="auto"/>
            <w:vAlign w:val="center"/>
            <w:hideMark/>
          </w:tcPr>
          <w:p w14:paraId="4A731E8F" w14:textId="77777777" w:rsidR="006501FC" w:rsidRPr="00D03FC3" w:rsidRDefault="006501FC" w:rsidP="00400DD1">
            <w:pPr>
              <w:ind w:left="170"/>
              <w:jc w:val="left"/>
              <w:rPr>
                <w:b/>
                <w:bCs/>
                <w:sz w:val="18"/>
                <w:szCs w:val="18"/>
                <w:rtl/>
              </w:rPr>
            </w:pPr>
            <w:r w:rsidRPr="00D03FC3">
              <w:rPr>
                <w:rFonts w:hint="cs"/>
                <w:sz w:val="18"/>
                <w:szCs w:val="18"/>
                <w:rtl/>
              </w:rPr>
              <w:t>ביטחון במזומן ששועבד</w:t>
            </w:r>
          </w:p>
        </w:tc>
        <w:tc>
          <w:tcPr>
            <w:tcW w:w="415" w:type="pct"/>
            <w:shd w:val="clear" w:color="auto" w:fill="auto"/>
            <w:vAlign w:val="bottom"/>
            <w:hideMark/>
          </w:tcPr>
          <w:p w14:paraId="3D682938"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349" w:type="pct"/>
            <w:shd w:val="clear" w:color="auto" w:fill="auto"/>
            <w:vAlign w:val="bottom"/>
            <w:hideMark/>
          </w:tcPr>
          <w:p w14:paraId="600217F1"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417" w:type="pct"/>
            <w:shd w:val="clear" w:color="auto" w:fill="auto"/>
            <w:vAlign w:val="bottom"/>
            <w:hideMark/>
          </w:tcPr>
          <w:p w14:paraId="4B5D6725"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415" w:type="pct"/>
            <w:shd w:val="clear" w:color="auto" w:fill="auto"/>
            <w:vAlign w:val="bottom"/>
            <w:hideMark/>
          </w:tcPr>
          <w:p w14:paraId="594AD42D"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418" w:type="pct"/>
            <w:shd w:val="clear" w:color="auto" w:fill="auto"/>
            <w:vAlign w:val="bottom"/>
          </w:tcPr>
          <w:p w14:paraId="26BAA51B"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348" w:type="pct"/>
            <w:shd w:val="clear" w:color="auto" w:fill="auto"/>
            <w:vAlign w:val="bottom"/>
            <w:hideMark/>
          </w:tcPr>
          <w:p w14:paraId="615CBFB8"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c>
          <w:tcPr>
            <w:tcW w:w="342" w:type="pct"/>
            <w:shd w:val="clear" w:color="auto" w:fill="auto"/>
            <w:vAlign w:val="bottom"/>
            <w:hideMark/>
          </w:tcPr>
          <w:p w14:paraId="3E33D78D" w14:textId="77777777" w:rsidR="006501FC" w:rsidRPr="00A56C3A" w:rsidRDefault="006501FC" w:rsidP="00400DD1">
            <w:pPr>
              <w:pBdr>
                <w:bottom w:val="single" w:sz="4" w:space="1" w:color="auto"/>
              </w:pBdr>
              <w:rPr>
                <w:sz w:val="18"/>
                <w:szCs w:val="18"/>
                <w:rtl/>
              </w:rPr>
            </w:pPr>
            <w:r w:rsidRPr="00A56C3A">
              <w:rPr>
                <w:rFonts w:hint="cs"/>
                <w:sz w:val="18"/>
                <w:szCs w:val="18"/>
                <w:rtl/>
              </w:rPr>
              <w:t>(0)</w:t>
            </w:r>
          </w:p>
        </w:tc>
      </w:tr>
      <w:tr w:rsidR="006501FC" w:rsidRPr="00A56C3A" w14:paraId="50F57EF5" w14:textId="77777777" w:rsidTr="00400DD1">
        <w:trPr>
          <w:trHeight w:val="259"/>
        </w:trPr>
        <w:tc>
          <w:tcPr>
            <w:tcW w:w="347" w:type="pct"/>
            <w:shd w:val="clear" w:color="auto" w:fill="auto"/>
          </w:tcPr>
          <w:p w14:paraId="06493ECD" w14:textId="77777777" w:rsidR="006501FC" w:rsidRPr="00A56C3A" w:rsidRDefault="006501FC" w:rsidP="00400DD1">
            <w:pPr>
              <w:rPr>
                <w:sz w:val="18"/>
                <w:szCs w:val="18"/>
                <w:rtl/>
              </w:rPr>
            </w:pPr>
          </w:p>
        </w:tc>
        <w:tc>
          <w:tcPr>
            <w:tcW w:w="1950" w:type="pct"/>
            <w:shd w:val="clear" w:color="auto" w:fill="auto"/>
            <w:vAlign w:val="bottom"/>
            <w:hideMark/>
          </w:tcPr>
          <w:p w14:paraId="42FAE74F" w14:textId="77777777" w:rsidR="006501FC" w:rsidRPr="00D03FC3" w:rsidRDefault="006501FC" w:rsidP="00400DD1">
            <w:pPr>
              <w:pStyle w:val="-23"/>
              <w:spacing w:before="60" w:line="220" w:lineRule="exact"/>
              <w:ind w:left="0" w:firstLine="0"/>
              <w:rPr>
                <w:b w:val="0"/>
                <w:bCs w:val="0"/>
                <w:sz w:val="18"/>
                <w:szCs w:val="18"/>
                <w:rtl/>
              </w:rPr>
            </w:pPr>
            <w:r w:rsidRPr="00D03FC3">
              <w:rPr>
                <w:rFonts w:hint="cs"/>
                <w:b w:val="0"/>
                <w:bCs w:val="0"/>
                <w:sz w:val="18"/>
                <w:szCs w:val="18"/>
                <w:rtl/>
              </w:rPr>
              <w:t>סכום נטו של התחייבויות בגין מכשירים נגזרים</w:t>
            </w:r>
          </w:p>
        </w:tc>
        <w:tc>
          <w:tcPr>
            <w:tcW w:w="415" w:type="pct"/>
            <w:shd w:val="clear" w:color="auto" w:fill="auto"/>
            <w:vAlign w:val="bottom"/>
            <w:hideMark/>
          </w:tcPr>
          <w:p w14:paraId="2E889B51" w14:textId="77777777" w:rsidR="006501FC" w:rsidRPr="00A56C3A" w:rsidRDefault="006501FC" w:rsidP="00400DD1">
            <w:pPr>
              <w:pBdr>
                <w:bottom w:val="double" w:sz="4" w:space="1" w:color="auto"/>
              </w:pBdr>
              <w:rPr>
                <w:sz w:val="18"/>
                <w:szCs w:val="18"/>
                <w:u w:val="single"/>
                <w:rtl/>
              </w:rPr>
            </w:pPr>
            <w:r w:rsidRPr="00A56C3A">
              <w:rPr>
                <w:rFonts w:hint="cs"/>
                <w:sz w:val="18"/>
                <w:szCs w:val="18"/>
                <w:rtl/>
              </w:rPr>
              <w:t xml:space="preserve"> 0</w:t>
            </w:r>
          </w:p>
        </w:tc>
        <w:tc>
          <w:tcPr>
            <w:tcW w:w="349" w:type="pct"/>
            <w:shd w:val="clear" w:color="auto" w:fill="auto"/>
            <w:vAlign w:val="bottom"/>
            <w:hideMark/>
          </w:tcPr>
          <w:p w14:paraId="49BB2F31"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417" w:type="pct"/>
            <w:shd w:val="clear" w:color="auto" w:fill="auto"/>
            <w:vAlign w:val="bottom"/>
            <w:hideMark/>
          </w:tcPr>
          <w:p w14:paraId="2D0E508E"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415" w:type="pct"/>
            <w:shd w:val="clear" w:color="auto" w:fill="auto"/>
            <w:vAlign w:val="bottom"/>
            <w:hideMark/>
          </w:tcPr>
          <w:p w14:paraId="193524B1"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418" w:type="pct"/>
            <w:shd w:val="clear" w:color="auto" w:fill="auto"/>
            <w:vAlign w:val="bottom"/>
          </w:tcPr>
          <w:p w14:paraId="26CD4A42"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348" w:type="pct"/>
            <w:shd w:val="clear" w:color="auto" w:fill="auto"/>
            <w:vAlign w:val="bottom"/>
            <w:hideMark/>
          </w:tcPr>
          <w:p w14:paraId="2CA6830B"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c>
          <w:tcPr>
            <w:tcW w:w="342" w:type="pct"/>
            <w:shd w:val="clear" w:color="auto" w:fill="auto"/>
            <w:vAlign w:val="bottom"/>
            <w:hideMark/>
          </w:tcPr>
          <w:p w14:paraId="0AFE1843" w14:textId="77777777" w:rsidR="006501FC" w:rsidRPr="00A56C3A" w:rsidRDefault="006501FC" w:rsidP="00400DD1">
            <w:pPr>
              <w:pBdr>
                <w:bottom w:val="double" w:sz="4" w:space="1" w:color="auto"/>
              </w:pBdr>
              <w:rPr>
                <w:sz w:val="18"/>
                <w:szCs w:val="18"/>
                <w:rtl/>
              </w:rPr>
            </w:pPr>
            <w:r w:rsidRPr="00A56C3A">
              <w:rPr>
                <w:rFonts w:hint="cs"/>
                <w:sz w:val="18"/>
                <w:szCs w:val="18"/>
                <w:rtl/>
              </w:rPr>
              <w:t xml:space="preserve"> 0</w:t>
            </w:r>
          </w:p>
        </w:tc>
      </w:tr>
    </w:tbl>
    <w:p w14:paraId="515994D2" w14:textId="543C90FC" w:rsidR="00D25C82" w:rsidRDefault="00D25C82" w:rsidP="00D25C82">
      <w:pPr>
        <w:tabs>
          <w:tab w:val="left" w:pos="2070"/>
        </w:tabs>
        <w:rPr>
          <w:sz w:val="18"/>
          <w:szCs w:val="18"/>
          <w:rtl/>
        </w:rPr>
      </w:pPr>
    </w:p>
    <w:p w14:paraId="3292E419" w14:textId="77777777" w:rsidR="00E44FC7" w:rsidRDefault="00E44FC7" w:rsidP="00D25C82">
      <w:pPr>
        <w:tabs>
          <w:tab w:val="left" w:pos="2070"/>
        </w:tabs>
        <w:rPr>
          <w:sz w:val="18"/>
          <w:szCs w:val="18"/>
          <w:rtl/>
        </w:rPr>
      </w:pPr>
    </w:p>
    <w:tbl>
      <w:tblPr>
        <w:bidiVisual/>
        <w:tblW w:w="5000" w:type="pct"/>
        <w:tblInd w:w="-5" w:type="dxa"/>
        <w:tblLook w:val="01E0" w:firstRow="1" w:lastRow="1" w:firstColumn="1" w:lastColumn="1" w:noHBand="0" w:noVBand="0"/>
      </w:tblPr>
      <w:tblGrid>
        <w:gridCol w:w="712"/>
        <w:gridCol w:w="441"/>
        <w:gridCol w:w="9054"/>
      </w:tblGrid>
      <w:tr w:rsidR="00E44FC7" w:rsidRPr="002E126A" w14:paraId="44BB5E3E" w14:textId="77777777" w:rsidTr="00400DD1">
        <w:trPr>
          <w:trHeight w:val="245"/>
        </w:trPr>
        <w:tc>
          <w:tcPr>
            <w:tcW w:w="349" w:type="pct"/>
          </w:tcPr>
          <w:p w14:paraId="55D148BE" w14:textId="77777777" w:rsidR="00E44FC7" w:rsidRPr="002E126A" w:rsidRDefault="00E44FC7" w:rsidP="00400DD1">
            <w:pPr>
              <w:bidi w:val="0"/>
              <w:jc w:val="right"/>
            </w:pPr>
          </w:p>
        </w:tc>
        <w:tc>
          <w:tcPr>
            <w:tcW w:w="216" w:type="pct"/>
          </w:tcPr>
          <w:p w14:paraId="58E08281" w14:textId="77777777" w:rsidR="00E44FC7" w:rsidRPr="002E126A" w:rsidRDefault="00E44FC7" w:rsidP="00400DD1">
            <w:pPr>
              <w:bidi w:val="0"/>
              <w:jc w:val="left"/>
              <w:rPr>
                <w:sz w:val="18"/>
                <w:szCs w:val="18"/>
                <w:rtl/>
              </w:rPr>
            </w:pPr>
            <w:r w:rsidRPr="002E126A">
              <w:rPr>
                <w:sz w:val="18"/>
                <w:szCs w:val="18"/>
                <w:rtl/>
              </w:rPr>
              <w:t>(</w:t>
            </w:r>
            <w:r>
              <w:rPr>
                <w:rFonts w:hint="cs"/>
                <w:sz w:val="18"/>
                <w:szCs w:val="18"/>
                <w:rtl/>
              </w:rPr>
              <w:t>א</w:t>
            </w:r>
            <w:r w:rsidRPr="002E126A">
              <w:rPr>
                <w:rFonts w:hint="cs"/>
                <w:sz w:val="18"/>
                <w:szCs w:val="18"/>
                <w:rtl/>
              </w:rPr>
              <w:t>)</w:t>
            </w:r>
          </w:p>
        </w:tc>
        <w:tc>
          <w:tcPr>
            <w:tcW w:w="4435" w:type="pct"/>
          </w:tcPr>
          <w:p w14:paraId="37FB74C4" w14:textId="77777777" w:rsidR="00E44FC7" w:rsidRPr="002E126A" w:rsidRDefault="00E44FC7" w:rsidP="00400DD1">
            <w:pPr>
              <w:spacing w:afterLines="60" w:after="144"/>
              <w:rPr>
                <w:sz w:val="18"/>
                <w:szCs w:val="18"/>
                <w:rtl/>
              </w:rPr>
            </w:pPr>
            <w:r w:rsidRPr="002E126A">
              <w:rPr>
                <w:rFonts w:hint="cs"/>
                <w:sz w:val="18"/>
                <w:szCs w:val="18"/>
                <w:rtl/>
              </w:rPr>
              <w:t>פרט את השווי ההוגן לפי סוגי מכשירים עיקריים (מכשירים נגזרים שכפופים להסכמי קיזוז, ביטחון שהתקבל באג"ח ממשלתי, וכו')</w:t>
            </w:r>
            <w:r w:rsidRPr="009D55F5">
              <w:rPr>
                <w:rFonts w:hint="cs"/>
                <w:sz w:val="18"/>
                <w:szCs w:val="18"/>
                <w:rtl/>
              </w:rPr>
              <w:t>.</w:t>
            </w:r>
          </w:p>
        </w:tc>
      </w:tr>
      <w:tr w:rsidR="00E44FC7" w:rsidRPr="002E126A" w14:paraId="38A82795" w14:textId="77777777" w:rsidTr="00400DD1">
        <w:trPr>
          <w:trHeight w:val="245"/>
        </w:trPr>
        <w:tc>
          <w:tcPr>
            <w:tcW w:w="349" w:type="pct"/>
          </w:tcPr>
          <w:p w14:paraId="631B3E99" w14:textId="77777777" w:rsidR="00E44FC7" w:rsidRPr="002E126A" w:rsidRDefault="00E44FC7" w:rsidP="00400DD1">
            <w:pPr>
              <w:bidi w:val="0"/>
              <w:jc w:val="right"/>
            </w:pPr>
          </w:p>
        </w:tc>
        <w:tc>
          <w:tcPr>
            <w:tcW w:w="216" w:type="pct"/>
          </w:tcPr>
          <w:p w14:paraId="273D57C3" w14:textId="77777777" w:rsidR="00E44FC7" w:rsidRPr="002E126A" w:rsidRDefault="00E44FC7" w:rsidP="00400DD1">
            <w:pPr>
              <w:bidi w:val="0"/>
              <w:jc w:val="left"/>
              <w:rPr>
                <w:sz w:val="18"/>
                <w:szCs w:val="18"/>
                <w:rtl/>
              </w:rPr>
            </w:pPr>
            <w:r w:rsidRPr="002E126A">
              <w:rPr>
                <w:sz w:val="18"/>
                <w:szCs w:val="18"/>
                <w:rtl/>
              </w:rPr>
              <w:t>(</w:t>
            </w:r>
            <w:r>
              <w:rPr>
                <w:rFonts w:hint="cs"/>
                <w:sz w:val="18"/>
                <w:szCs w:val="18"/>
                <w:rtl/>
              </w:rPr>
              <w:t>ב</w:t>
            </w:r>
            <w:r w:rsidRPr="002E126A">
              <w:rPr>
                <w:rFonts w:hint="cs"/>
                <w:sz w:val="18"/>
                <w:szCs w:val="18"/>
                <w:rtl/>
              </w:rPr>
              <w:t>)</w:t>
            </w:r>
          </w:p>
        </w:tc>
        <w:tc>
          <w:tcPr>
            <w:tcW w:w="4435" w:type="pct"/>
          </w:tcPr>
          <w:p w14:paraId="775CA80E" w14:textId="77777777" w:rsidR="00E44FC7" w:rsidRPr="002E126A" w:rsidRDefault="00E44FC7" w:rsidP="00400DD1">
            <w:pPr>
              <w:spacing w:afterLines="60" w:after="144"/>
              <w:rPr>
                <w:sz w:val="18"/>
                <w:szCs w:val="18"/>
                <w:rtl/>
              </w:rPr>
            </w:pPr>
            <w:r w:rsidRPr="00445BD5">
              <w:rPr>
                <w:rFonts w:hint="cs"/>
                <w:sz w:val="18"/>
                <w:szCs w:val="18"/>
                <w:rtl/>
              </w:rPr>
              <w:t xml:space="preserve">ההפרש, אם הוא חיובי, בין סך כל הסכומים בגין מכשירים נגזרים (לרבות בגין מכשירים נגזרים עם שווי הוגן שלילי) שנכללו בחבות הלווה, כפי שחושבו לצורך מגבלות על חבות של לווה, </w:t>
            </w:r>
            <w:r w:rsidRPr="00870F50">
              <w:rPr>
                <w:rFonts w:hint="cs"/>
                <w:sz w:val="18"/>
                <w:szCs w:val="18"/>
                <w:rtl/>
              </w:rPr>
              <w:t>לאחר</w:t>
            </w:r>
            <w:r w:rsidRPr="00445BD5">
              <w:rPr>
                <w:rFonts w:hint="cs"/>
                <w:sz w:val="18"/>
                <w:szCs w:val="18"/>
                <w:rtl/>
              </w:rPr>
              <w:t xml:space="preserve"> הפחתת סיכון אשראי, לבין </w:t>
            </w:r>
            <w:r w:rsidRPr="00870F50">
              <w:rPr>
                <w:sz w:val="18"/>
                <w:szCs w:val="18"/>
                <w:rtl/>
              </w:rPr>
              <w:t>סיכון האשראי המאזני</w:t>
            </w:r>
            <w:r w:rsidRPr="00870F50">
              <w:rPr>
                <w:rFonts w:hint="cs"/>
                <w:sz w:val="18"/>
                <w:szCs w:val="18"/>
                <w:rtl/>
              </w:rPr>
              <w:t xml:space="preserve"> </w:t>
            </w:r>
            <w:r w:rsidRPr="00445BD5">
              <w:rPr>
                <w:rFonts w:hint="cs"/>
                <w:sz w:val="18"/>
                <w:szCs w:val="18"/>
                <w:rtl/>
              </w:rPr>
              <w:t>בגין מכשירים נגזרים של הלווה.</w:t>
            </w:r>
          </w:p>
        </w:tc>
      </w:tr>
    </w:tbl>
    <w:p w14:paraId="08E4DA15" w14:textId="77777777" w:rsidR="009807B3" w:rsidRPr="00A56C3A" w:rsidRDefault="009807B3" w:rsidP="00D25C82">
      <w:pPr>
        <w:tabs>
          <w:tab w:val="left" w:pos="2070"/>
        </w:tabs>
        <w:rPr>
          <w:sz w:val="18"/>
          <w:szCs w:val="18"/>
          <w:rtl/>
        </w:rPr>
      </w:pPr>
    </w:p>
    <w:p w14:paraId="0E5ADEBF" w14:textId="3BFBD808" w:rsidR="00EF3E60" w:rsidRDefault="00EF3E60" w:rsidP="00D25C82">
      <w:pPr>
        <w:rPr>
          <w:rtl/>
        </w:rPr>
      </w:pPr>
      <w:r>
        <w:rPr>
          <w:rtl/>
        </w:rPr>
        <w:tab/>
      </w:r>
    </w:p>
    <w:p w14:paraId="4730FDB7" w14:textId="479B79E1" w:rsidR="003427B5" w:rsidRDefault="003427B5" w:rsidP="00D25C82">
      <w:pPr>
        <w:rPr>
          <w:rtl/>
        </w:rPr>
      </w:pPr>
      <w:r>
        <w:rPr>
          <w:noProof/>
          <w:rtl/>
          <w:lang w:val="he-IL"/>
        </w:rPr>
        <mc:AlternateContent>
          <mc:Choice Requires="wps">
            <w:drawing>
              <wp:anchor distT="0" distB="0" distL="114300" distR="114300" simplePos="0" relativeHeight="251660288" behindDoc="0" locked="0" layoutInCell="1" allowOverlap="1" wp14:anchorId="3FFA970F" wp14:editId="6692BE63">
                <wp:simplePos x="0" y="0"/>
                <wp:positionH relativeFrom="column">
                  <wp:posOffset>-79527</wp:posOffset>
                </wp:positionH>
                <wp:positionV relativeFrom="paragraph">
                  <wp:posOffset>79451</wp:posOffset>
                </wp:positionV>
                <wp:extent cx="6143929" cy="716890"/>
                <wp:effectExtent l="0" t="0" r="28575" b="26670"/>
                <wp:wrapNone/>
                <wp:docPr id="6" name="סוגר מרובע כפול 6"/>
                <wp:cNvGraphicFramePr/>
                <a:graphic xmlns:a="http://schemas.openxmlformats.org/drawingml/2006/main">
                  <a:graphicData uri="http://schemas.microsoft.com/office/word/2010/wordprocessingShape">
                    <wps:wsp>
                      <wps:cNvSpPr/>
                      <wps:spPr>
                        <a:xfrm>
                          <a:off x="0" y="0"/>
                          <a:ext cx="6143929" cy="71689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42E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סוגר מרובע כפול 6" o:spid="_x0000_s1026" type="#_x0000_t185" style="position:absolute;left:0;text-align:left;margin-left:-6.25pt;margin-top:6.25pt;width:483.75pt;height:5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" strokecolor="black [3200]" strokeweight=".5pt">
                <v:stroke joinstyle="miter"/>
              </v:shape>
            </w:pict>
          </mc:Fallback>
        </mc:AlternateContent>
      </w:r>
    </w:p>
    <w:p w14:paraId="5EF7B7A6" w14:textId="1FE6183C" w:rsidR="003427B5" w:rsidRPr="003427B5" w:rsidRDefault="003427B5" w:rsidP="003427B5">
      <w:pPr>
        <w:spacing w:after="40"/>
        <w:ind w:left="1985" w:hanging="1134"/>
        <w:rPr>
          <w:sz w:val="18"/>
          <w:szCs w:val="18"/>
          <w:rtl/>
        </w:rPr>
      </w:pPr>
      <w:r w:rsidRPr="003427B5">
        <w:rPr>
          <w:rFonts w:hint="cs"/>
          <w:sz w:val="18"/>
          <w:szCs w:val="18"/>
          <w:rtl/>
        </w:rPr>
        <w:t>ב.1 זכויות קיזוז הכפופות להסדר התחשבנות נטו והסכמים דומים:</w:t>
      </w:r>
    </w:p>
    <w:p w14:paraId="2DD103A1" w14:textId="13D7BD52" w:rsidR="00B7406D" w:rsidRPr="003427B5" w:rsidRDefault="003427B5" w:rsidP="003427B5">
      <w:pPr>
        <w:ind w:left="1135"/>
        <w:rPr>
          <w:sz w:val="18"/>
          <w:szCs w:val="18"/>
        </w:rPr>
      </w:pPr>
      <w:r w:rsidRPr="003427B5">
        <w:rPr>
          <w:rFonts w:hint="cs"/>
          <w:sz w:val="18"/>
          <w:szCs w:val="18"/>
          <w:rtl/>
        </w:rPr>
        <w:t xml:space="preserve">יש לתאר את הסוגים של זכויות קיזוז הכפופות להסדר התחשבנות נטו הניתן לאכיפה ושל הסכמים דומים, לרבות המהות של זכויות כאמור, אשר לא קוזזו בהתאם למדיניות החשבונאית שנבחרה על ידי הנהלת הבנק, או אינם עומדים בהנחיות הקיזוז. </w:t>
      </w:r>
      <w:r w:rsidRPr="003427B5">
        <w:rPr>
          <w:rFonts w:hint="cs"/>
          <w:b/>
          <w:bCs/>
          <w:sz w:val="18"/>
          <w:szCs w:val="18"/>
          <w:rtl/>
        </w:rPr>
        <w:t>(</w:t>
      </w:r>
      <w:r w:rsidRPr="003427B5">
        <w:rPr>
          <w:rFonts w:hint="cs"/>
          <w:sz w:val="18"/>
          <w:szCs w:val="18"/>
          <w:rtl/>
        </w:rPr>
        <w:t>לדוגמה יש לתאר את התנאים של ביטחון פיננסי שהתקבל או שועבד, כגון, כאשר הביטחון מוגבל</w:t>
      </w:r>
      <w:r w:rsidRPr="003427B5">
        <w:rPr>
          <w:rFonts w:hint="cs"/>
          <w:b/>
          <w:bCs/>
          <w:sz w:val="18"/>
          <w:szCs w:val="18"/>
          <w:rtl/>
        </w:rPr>
        <w:t>).</w:t>
      </w:r>
      <w:r w:rsidRPr="003427B5">
        <w:rPr>
          <w:rFonts w:hint="cs"/>
          <w:sz w:val="18"/>
          <w:szCs w:val="18"/>
          <w:rtl/>
        </w:rPr>
        <w:t xml:space="preserve">   </w:t>
      </w:r>
      <w:r w:rsidRPr="004F33C2">
        <w:rPr>
          <w:rFonts w:hint="cs"/>
          <w:sz w:val="16"/>
          <w:szCs w:val="16"/>
          <w:rtl/>
        </w:rPr>
        <w:t>(</w:t>
      </w:r>
      <w:r w:rsidRPr="004F33C2">
        <w:rPr>
          <w:rFonts w:hint="eastAsia"/>
          <w:sz w:val="16"/>
          <w:szCs w:val="16"/>
          <w:rtl/>
        </w:rPr>
        <w:t>ה</w:t>
      </w:r>
      <w:r w:rsidRPr="004F33C2">
        <w:rPr>
          <w:sz w:val="16"/>
          <w:szCs w:val="16"/>
          <w:rtl/>
        </w:rPr>
        <w:t xml:space="preserve">. </w:t>
      </w:r>
      <w:r w:rsidRPr="004F33C2">
        <w:rPr>
          <w:rFonts w:hint="eastAsia"/>
          <w:sz w:val="16"/>
          <w:szCs w:val="16"/>
          <w:rtl/>
        </w:rPr>
        <w:t>המפקח</w:t>
      </w:r>
      <w:r w:rsidRPr="004F33C2">
        <w:rPr>
          <w:sz w:val="16"/>
          <w:szCs w:val="16"/>
          <w:rtl/>
        </w:rPr>
        <w:t xml:space="preserve"> </w:t>
      </w:r>
      <w:r w:rsidRPr="004F33C2">
        <w:rPr>
          <w:rFonts w:hint="eastAsia"/>
          <w:sz w:val="16"/>
          <w:szCs w:val="16"/>
          <w:rtl/>
        </w:rPr>
        <w:t>ס</w:t>
      </w:r>
      <w:r w:rsidRPr="004F33C2">
        <w:rPr>
          <w:sz w:val="16"/>
          <w:szCs w:val="16"/>
          <w:rtl/>
        </w:rPr>
        <w:t xml:space="preserve">' </w:t>
      </w:r>
      <w:r w:rsidRPr="004F33C2">
        <w:rPr>
          <w:rFonts w:hint="cs"/>
          <w:sz w:val="16"/>
          <w:szCs w:val="16"/>
          <w:rtl/>
        </w:rPr>
        <w:t>15א</w:t>
      </w:r>
      <w:r w:rsidRPr="004F33C2">
        <w:rPr>
          <w:sz w:val="16"/>
          <w:szCs w:val="16"/>
          <w:rtl/>
        </w:rPr>
        <w:t xml:space="preserve"> (</w:t>
      </w:r>
      <w:r w:rsidRPr="004F33C2">
        <w:rPr>
          <w:rFonts w:hint="cs"/>
          <w:sz w:val="16"/>
          <w:szCs w:val="16"/>
          <w:rtl/>
        </w:rPr>
        <w:t>ח</w:t>
      </w:r>
      <w:r w:rsidRPr="004F33C2">
        <w:rPr>
          <w:sz w:val="16"/>
          <w:szCs w:val="16"/>
          <w:rtl/>
        </w:rPr>
        <w:t>)(</w:t>
      </w:r>
      <w:r w:rsidRPr="004F33C2">
        <w:rPr>
          <w:rFonts w:hint="cs"/>
          <w:sz w:val="16"/>
          <w:szCs w:val="16"/>
          <w:rtl/>
        </w:rPr>
        <w:t>14</w:t>
      </w:r>
      <w:r w:rsidRPr="004F33C2">
        <w:rPr>
          <w:sz w:val="16"/>
          <w:szCs w:val="16"/>
          <w:rtl/>
        </w:rPr>
        <w:t>)</w:t>
      </w:r>
      <w:r w:rsidRPr="004F33C2">
        <w:rPr>
          <w:rFonts w:hint="cs"/>
          <w:sz w:val="16"/>
          <w:szCs w:val="16"/>
          <w:rtl/>
        </w:rPr>
        <w:t>)</w:t>
      </w:r>
    </w:p>
    <w:p w14:paraId="268A3825" w14:textId="77777777" w:rsidR="00B7406D" w:rsidRDefault="00B7406D"/>
    <w:p w14:paraId="357BC78D" w14:textId="77777777" w:rsidR="007440B4" w:rsidRPr="00B7406D" w:rsidRDefault="007440B4" w:rsidP="00D7780F">
      <w:pPr>
        <w:rPr>
          <w:rtl/>
        </w:rPr>
      </w:pPr>
    </w:p>
    <w:p w14:paraId="68A33A5F" w14:textId="77777777" w:rsidR="009D05DD" w:rsidRDefault="009D05DD">
      <w:pPr>
        <w:bidi w:val="0"/>
        <w:jc w:val="left"/>
      </w:pPr>
      <w:r>
        <w:rPr>
          <w:rtl/>
        </w:rPr>
        <w:br w:type="page"/>
      </w:r>
    </w:p>
    <w:tbl>
      <w:tblPr>
        <w:bidiVisual/>
        <w:tblW w:w="5071" w:type="pct"/>
        <w:tblInd w:w="-109" w:type="dxa"/>
        <w:tblLook w:val="04A0" w:firstRow="1" w:lastRow="0" w:firstColumn="1" w:lastColumn="0" w:noHBand="0" w:noVBand="1"/>
      </w:tblPr>
      <w:tblGrid>
        <w:gridCol w:w="1134"/>
        <w:gridCol w:w="425"/>
        <w:gridCol w:w="8793"/>
      </w:tblGrid>
      <w:tr w:rsidR="00940F68" w:rsidRPr="00543C25" w14:paraId="6CC93A47" w14:textId="77777777" w:rsidTr="00435A20">
        <w:trPr>
          <w:trHeight w:val="259"/>
        </w:trPr>
        <w:tc>
          <w:tcPr>
            <w:tcW w:w="1134" w:type="dxa"/>
          </w:tcPr>
          <w:p w14:paraId="590339A8" w14:textId="77777777" w:rsidR="00940F68" w:rsidRPr="00030C7C" w:rsidRDefault="00940F68" w:rsidP="00077CE4">
            <w:pPr>
              <w:pStyle w:val="-fa"/>
              <w:ind w:right="-142"/>
              <w:rPr>
                <w:spacing w:val="-4"/>
                <w:rtl/>
              </w:rPr>
            </w:pPr>
            <w:r>
              <w:rPr>
                <w:rtl/>
              </w:rPr>
              <w:lastRenderedPageBreak/>
              <w:br w:type="page"/>
            </w:r>
            <w:r>
              <w:rPr>
                <w:rtl/>
              </w:rPr>
              <w:br w:type="page"/>
            </w:r>
          </w:p>
        </w:tc>
        <w:tc>
          <w:tcPr>
            <w:tcW w:w="9218" w:type="dxa"/>
            <w:gridSpan w:val="2"/>
          </w:tcPr>
          <w:p w14:paraId="6BC7D87E" w14:textId="77777777" w:rsidR="00940F68" w:rsidRDefault="00940F68" w:rsidP="00DA0217">
            <w:pPr>
              <w:pStyle w:val="-8"/>
              <w:rPr>
                <w:rtl/>
              </w:rPr>
            </w:pPr>
            <w:r w:rsidRPr="007369EE">
              <w:rPr>
                <w:rFonts w:eastAsia="Arial Unicode MS"/>
                <w:rtl/>
              </w:rPr>
              <w:t xml:space="preserve">ביאור </w:t>
            </w:r>
            <w:r>
              <w:rPr>
                <w:rFonts w:eastAsia="Arial Unicode MS" w:hint="cs"/>
                <w:rtl/>
              </w:rPr>
              <w:t>10</w:t>
            </w:r>
            <w:r w:rsidRPr="007369EE">
              <w:rPr>
                <w:rFonts w:eastAsia="Arial Unicode MS" w:hint="cs"/>
                <w:rtl/>
              </w:rPr>
              <w:t xml:space="preserve">  </w:t>
            </w:r>
            <w:r w:rsidRPr="007369EE">
              <w:rPr>
                <w:rFonts w:eastAsia="Arial Unicode MS"/>
                <w:rtl/>
              </w:rPr>
              <w:t>-</w:t>
            </w:r>
            <w:r w:rsidRPr="007369EE">
              <w:rPr>
                <w:rFonts w:eastAsia="Arial Unicode MS" w:hint="cs"/>
                <w:rtl/>
              </w:rPr>
              <w:t xml:space="preserve"> </w:t>
            </w:r>
            <w:r w:rsidRPr="007369EE">
              <w:rPr>
                <w:rFonts w:eastAsia="Arial Unicode MS"/>
                <w:rtl/>
              </w:rPr>
              <w:t xml:space="preserve"> </w:t>
            </w:r>
            <w:r>
              <w:rPr>
                <w:rFonts w:hint="cs"/>
                <w:rtl/>
              </w:rPr>
              <w:t xml:space="preserve">פעילות במכשירים נגזרים </w:t>
            </w:r>
            <w:r>
              <w:t>-</w:t>
            </w:r>
            <w:r>
              <w:rPr>
                <w:rFonts w:hint="cs"/>
                <w:rtl/>
              </w:rPr>
              <w:t xml:space="preserve"> היקף, סיכוני אשראי ומועדי פירעון (המשך):</w:t>
            </w:r>
          </w:p>
        </w:tc>
      </w:tr>
      <w:tr w:rsidR="00940F68" w:rsidRPr="007363C7" w14:paraId="1AAFC67A" w14:textId="77777777" w:rsidTr="00435A20">
        <w:tblPrEx>
          <w:jc w:val="right"/>
          <w:tblInd w:w="0" w:type="dxa"/>
          <w:tblLook w:val="0000" w:firstRow="0" w:lastRow="0" w:firstColumn="0" w:lastColumn="0" w:noHBand="0" w:noVBand="0"/>
        </w:tblPrEx>
        <w:trPr>
          <w:trHeight w:val="245"/>
          <w:jc w:val="right"/>
        </w:trPr>
        <w:tc>
          <w:tcPr>
            <w:tcW w:w="1134" w:type="dxa"/>
          </w:tcPr>
          <w:p w14:paraId="69202D5D" w14:textId="77777777" w:rsidR="00435A20" w:rsidRDefault="005719A4" w:rsidP="00435A20">
            <w:pPr>
              <w:pStyle w:val="-fa"/>
              <w:spacing w:before="0"/>
              <w:ind w:right="-142"/>
              <w:rPr>
                <w:spacing w:val="-4"/>
                <w:rtl/>
              </w:rPr>
            </w:pPr>
            <w:r w:rsidRPr="00030C7C">
              <w:rPr>
                <w:rFonts w:hint="eastAsia"/>
                <w:spacing w:val="-4"/>
                <w:rtl/>
              </w:rPr>
              <w:t>מתכונת</w:t>
            </w:r>
            <w:r w:rsidRPr="00030C7C">
              <w:rPr>
                <w:spacing w:val="-4"/>
                <w:rtl/>
              </w:rPr>
              <w:t xml:space="preserve"> </w:t>
            </w:r>
            <w:r w:rsidRPr="00030C7C">
              <w:rPr>
                <w:spacing w:val="-4"/>
                <w:rtl/>
              </w:rPr>
              <w:br w:type="page"/>
            </w:r>
            <w:r w:rsidRPr="00030C7C">
              <w:rPr>
                <w:rFonts w:hint="eastAsia"/>
                <w:spacing w:val="-4"/>
                <w:rtl/>
              </w:rPr>
              <w:t>ביאור</w:t>
            </w:r>
            <w:r w:rsidRPr="00030C7C">
              <w:rPr>
                <w:spacing w:val="-4"/>
                <w:rtl/>
              </w:rPr>
              <w:t xml:space="preserve"> </w:t>
            </w:r>
          </w:p>
          <w:p w14:paraId="7ECDB432" w14:textId="609D39A9" w:rsidR="00940F68" w:rsidRPr="00601E8F" w:rsidRDefault="005719A4" w:rsidP="00435A20">
            <w:pPr>
              <w:pStyle w:val="-fa"/>
              <w:spacing w:before="0"/>
              <w:ind w:right="-142"/>
              <w:rPr>
                <w:b/>
                <w:bCs/>
                <w:spacing w:val="-4"/>
                <w:sz w:val="20"/>
                <w:szCs w:val="20"/>
                <w:rtl/>
              </w:rPr>
            </w:pPr>
            <w:r w:rsidRPr="00030C7C">
              <w:rPr>
                <w:rFonts w:hint="eastAsia"/>
                <w:spacing w:val="-4"/>
                <w:rtl/>
              </w:rPr>
              <w:t>עמ</w:t>
            </w:r>
            <w:r w:rsidRPr="00030C7C">
              <w:rPr>
                <w:spacing w:val="-4"/>
                <w:rtl/>
              </w:rPr>
              <w:t>' 663-</w:t>
            </w:r>
            <w:r>
              <w:rPr>
                <w:rFonts w:hint="cs"/>
                <w:spacing w:val="-4"/>
                <w:rtl/>
              </w:rPr>
              <w:t>39</w:t>
            </w:r>
          </w:p>
        </w:tc>
        <w:tc>
          <w:tcPr>
            <w:tcW w:w="425" w:type="dxa"/>
          </w:tcPr>
          <w:p w14:paraId="3486CC7D" w14:textId="77777777" w:rsidR="00940F68" w:rsidRDefault="00F441DD" w:rsidP="00DA0217">
            <w:pPr>
              <w:pStyle w:val="-f4"/>
              <w:spacing w:line="240" w:lineRule="auto"/>
              <w:jc w:val="left"/>
              <w:rPr>
                <w:rtl/>
              </w:rPr>
            </w:pPr>
            <w:r>
              <w:rPr>
                <w:rFonts w:hint="cs"/>
                <w:rtl/>
              </w:rPr>
              <w:t>ג</w:t>
            </w:r>
            <w:r w:rsidR="00940F68">
              <w:rPr>
                <w:rFonts w:hint="cs"/>
                <w:rtl/>
              </w:rPr>
              <w:t>.</w:t>
            </w:r>
          </w:p>
        </w:tc>
        <w:tc>
          <w:tcPr>
            <w:tcW w:w="8793" w:type="dxa"/>
          </w:tcPr>
          <w:p w14:paraId="325FA7A9" w14:textId="77777777" w:rsidR="00940F68" w:rsidRPr="00940F68" w:rsidRDefault="00940F68" w:rsidP="00DA0217">
            <w:pPr>
              <w:pStyle w:val="-f4"/>
              <w:spacing w:line="240" w:lineRule="auto"/>
              <w:jc w:val="left"/>
              <w:rPr>
                <w:rtl/>
              </w:rPr>
            </w:pPr>
            <w:r w:rsidRPr="00940F68">
              <w:rPr>
                <w:rFonts w:hint="cs"/>
                <w:rtl/>
              </w:rPr>
              <w:t>פירוט מועדי פירעון - סכומים נקובים: יתרות על בסיס מאוחד:</w:t>
            </w:r>
          </w:p>
        </w:tc>
      </w:tr>
    </w:tbl>
    <w:p w14:paraId="645E061E" w14:textId="77777777" w:rsidR="00940F68" w:rsidRPr="00940F68" w:rsidRDefault="00940F68">
      <w:pPr>
        <w:rPr>
          <w:rtl/>
        </w:rPr>
      </w:pPr>
    </w:p>
    <w:p w14:paraId="061D97E6" w14:textId="77777777" w:rsidR="00021280" w:rsidRPr="00021280" w:rsidRDefault="00021280" w:rsidP="00021280">
      <w:pPr>
        <w:rPr>
          <w:vanish/>
        </w:rPr>
      </w:pPr>
    </w:p>
    <w:tbl>
      <w:tblPr>
        <w:bidiVisual/>
        <w:tblW w:w="4786" w:type="pct"/>
        <w:jc w:val="right"/>
        <w:tblLook w:val="01E0" w:firstRow="1" w:lastRow="1" w:firstColumn="1" w:lastColumn="1" w:noHBand="0" w:noVBand="0"/>
      </w:tblPr>
      <w:tblGrid>
        <w:gridCol w:w="989"/>
        <w:gridCol w:w="3969"/>
        <w:gridCol w:w="590"/>
        <w:gridCol w:w="254"/>
        <w:gridCol w:w="590"/>
        <w:gridCol w:w="254"/>
        <w:gridCol w:w="590"/>
        <w:gridCol w:w="254"/>
        <w:gridCol w:w="590"/>
        <w:gridCol w:w="254"/>
        <w:gridCol w:w="590"/>
        <w:gridCol w:w="264"/>
        <w:gridCol w:w="582"/>
      </w:tblGrid>
      <w:tr w:rsidR="00435A20" w:rsidRPr="00EF3E60" w14:paraId="0A94578E" w14:textId="77777777" w:rsidTr="00903534">
        <w:trPr>
          <w:gridAfter w:val="1"/>
          <w:wAfter w:w="299" w:type="pct"/>
          <w:jc w:val="right"/>
        </w:trPr>
        <w:tc>
          <w:tcPr>
            <w:tcW w:w="506" w:type="pct"/>
          </w:tcPr>
          <w:p w14:paraId="385914B8" w14:textId="77777777" w:rsidR="00435A20" w:rsidRPr="00EF3E60" w:rsidRDefault="00435A20" w:rsidP="00D7780F">
            <w:pPr>
              <w:spacing w:line="241" w:lineRule="auto"/>
              <w:rPr>
                <w:rtl/>
              </w:rPr>
            </w:pPr>
          </w:p>
        </w:tc>
        <w:tc>
          <w:tcPr>
            <w:tcW w:w="2031" w:type="pct"/>
            <w:vAlign w:val="bottom"/>
          </w:tcPr>
          <w:p w14:paraId="630F43B9" w14:textId="77777777" w:rsidR="00435A20" w:rsidRPr="00EF3E60" w:rsidRDefault="00435A20" w:rsidP="00D7780F">
            <w:pPr>
              <w:ind w:left="144" w:hanging="144"/>
              <w:jc w:val="left"/>
              <w:rPr>
                <w:rtl/>
              </w:rPr>
            </w:pPr>
          </w:p>
        </w:tc>
        <w:tc>
          <w:tcPr>
            <w:tcW w:w="2164" w:type="pct"/>
            <w:gridSpan w:val="10"/>
            <w:vAlign w:val="bottom"/>
          </w:tcPr>
          <w:p w14:paraId="5BA6017F" w14:textId="49826C1C" w:rsidR="00435A20" w:rsidRPr="006F749D" w:rsidRDefault="00435A20" w:rsidP="00D7780F">
            <w:pPr>
              <w:pBdr>
                <w:bottom w:val="single" w:sz="6" w:space="1" w:color="auto"/>
              </w:pBdr>
              <w:spacing w:line="241" w:lineRule="auto"/>
              <w:jc w:val="center"/>
              <w:rPr>
                <w:b/>
                <w:bCs/>
                <w:color w:val="000000"/>
                <w:sz w:val="18"/>
                <w:szCs w:val="18"/>
                <w:rtl/>
                <w:lang w:eastAsia="he-IL"/>
              </w:rPr>
            </w:pPr>
            <w:r w:rsidRPr="006F749D">
              <w:rPr>
                <w:rFonts w:hint="cs"/>
                <w:b/>
                <w:bCs/>
                <w:sz w:val="18"/>
                <w:szCs w:val="18"/>
                <w:rtl/>
              </w:rPr>
              <w:t xml:space="preserve">ליום 30 ביוני </w:t>
            </w:r>
            <w:r w:rsidRPr="006F749D">
              <w:rPr>
                <w:b/>
                <w:bCs/>
                <w:sz w:val="18"/>
                <w:szCs w:val="18"/>
                <w:rtl/>
              </w:rPr>
              <w:fldChar w:fldCharType="begin"/>
            </w:r>
            <w:r w:rsidRPr="006F749D">
              <w:rPr>
                <w:b/>
                <w:bCs/>
                <w:sz w:val="18"/>
                <w:szCs w:val="18"/>
                <w:rtl/>
              </w:rPr>
              <w:instrText xml:space="preserve"> </w:instrText>
            </w:r>
            <w:r w:rsidRPr="006F749D">
              <w:rPr>
                <w:rFonts w:hint="cs"/>
                <w:b/>
                <w:bCs/>
                <w:sz w:val="18"/>
                <w:szCs w:val="18"/>
                <w:rtl/>
              </w:rPr>
              <w:instrText xml:space="preserve">= </w:instrText>
            </w:r>
            <w:r w:rsidRPr="006F749D">
              <w:rPr>
                <w:rFonts w:hint="cs"/>
                <w:b/>
                <w:bCs/>
                <w:sz w:val="18"/>
                <w:szCs w:val="18"/>
              </w:rPr>
              <w:instrText>CY \* MERGEFORMAT</w:instrText>
            </w:r>
            <w:r w:rsidRPr="006F749D">
              <w:rPr>
                <w:b/>
                <w:bCs/>
                <w:sz w:val="18"/>
                <w:szCs w:val="18"/>
                <w:rtl/>
              </w:rPr>
              <w:instrText xml:space="preserve"> </w:instrText>
            </w:r>
            <w:r w:rsidRPr="006F749D">
              <w:rPr>
                <w:b/>
                <w:bCs/>
                <w:sz w:val="18"/>
                <w:szCs w:val="18"/>
                <w:rtl/>
              </w:rPr>
              <w:fldChar w:fldCharType="separate"/>
            </w:r>
            <w:r>
              <w:rPr>
                <w:b/>
                <w:bCs/>
                <w:noProof/>
                <w:sz w:val="18"/>
                <w:szCs w:val="18"/>
                <w:rtl/>
              </w:rPr>
              <w:t>2024</w:t>
            </w:r>
            <w:r w:rsidRPr="006F749D">
              <w:rPr>
                <w:b/>
                <w:bCs/>
                <w:sz w:val="18"/>
                <w:szCs w:val="18"/>
                <w:rtl/>
              </w:rPr>
              <w:fldChar w:fldCharType="end"/>
            </w:r>
            <w:r w:rsidRPr="006F749D">
              <w:rPr>
                <w:rFonts w:hint="cs"/>
                <w:b/>
                <w:bCs/>
                <w:color w:val="000000"/>
                <w:sz w:val="18"/>
                <w:szCs w:val="18"/>
                <w:rtl/>
                <w:lang w:eastAsia="he-IL"/>
              </w:rPr>
              <w:t xml:space="preserve">  </w:t>
            </w:r>
            <w:r w:rsidRPr="006F749D">
              <w:rPr>
                <w:rFonts w:hint="cs"/>
                <w:sz w:val="18"/>
                <w:szCs w:val="18"/>
                <w:rtl/>
              </w:rPr>
              <w:t>(בלתי מבוקר)</w:t>
            </w:r>
          </w:p>
        </w:tc>
      </w:tr>
      <w:tr w:rsidR="00435A20" w:rsidRPr="00EF3E60" w14:paraId="3558418D" w14:textId="77777777" w:rsidTr="00903534">
        <w:trPr>
          <w:gridAfter w:val="1"/>
          <w:wAfter w:w="299" w:type="pct"/>
          <w:jc w:val="right"/>
        </w:trPr>
        <w:tc>
          <w:tcPr>
            <w:tcW w:w="506" w:type="pct"/>
          </w:tcPr>
          <w:p w14:paraId="4D3CD186" w14:textId="77777777" w:rsidR="00435A20" w:rsidRPr="00EF3E60" w:rsidRDefault="00435A20" w:rsidP="00D7780F">
            <w:pPr>
              <w:spacing w:line="241" w:lineRule="auto"/>
              <w:rPr>
                <w:sz w:val="14"/>
                <w:szCs w:val="14"/>
                <w:rtl/>
              </w:rPr>
            </w:pPr>
          </w:p>
        </w:tc>
        <w:tc>
          <w:tcPr>
            <w:tcW w:w="2031" w:type="pct"/>
            <w:vAlign w:val="bottom"/>
          </w:tcPr>
          <w:p w14:paraId="54C00DE2" w14:textId="77777777" w:rsidR="00435A20" w:rsidRPr="00EF3E60" w:rsidRDefault="00435A20" w:rsidP="00D7780F">
            <w:pPr>
              <w:spacing w:line="241" w:lineRule="auto"/>
              <w:rPr>
                <w:sz w:val="18"/>
                <w:szCs w:val="18"/>
                <w:rtl/>
              </w:rPr>
            </w:pPr>
          </w:p>
        </w:tc>
        <w:tc>
          <w:tcPr>
            <w:tcW w:w="432" w:type="pct"/>
            <w:gridSpan w:val="2"/>
            <w:vAlign w:val="bottom"/>
          </w:tcPr>
          <w:p w14:paraId="66E1694C" w14:textId="77777777" w:rsidR="00435A20" w:rsidRPr="00EF3E60" w:rsidRDefault="00435A20" w:rsidP="00D7780F">
            <w:pPr>
              <w:pBdr>
                <w:bottom w:val="single" w:sz="6" w:space="1" w:color="auto"/>
              </w:pBdr>
              <w:spacing w:line="241" w:lineRule="auto"/>
              <w:jc w:val="center"/>
              <w:rPr>
                <w:b/>
                <w:bCs/>
                <w:sz w:val="18"/>
                <w:szCs w:val="18"/>
                <w:rtl/>
              </w:rPr>
            </w:pPr>
            <w:r w:rsidRPr="00EF3E60">
              <w:rPr>
                <w:rFonts w:hint="eastAsia"/>
                <w:b/>
                <w:bCs/>
                <w:sz w:val="18"/>
                <w:szCs w:val="18"/>
                <w:rtl/>
              </w:rPr>
              <w:t>עד</w:t>
            </w:r>
            <w:r w:rsidRPr="00EF3E60">
              <w:rPr>
                <w:b/>
                <w:bCs/>
                <w:sz w:val="18"/>
                <w:szCs w:val="18"/>
                <w:rtl/>
              </w:rPr>
              <w:t xml:space="preserve"> 3 </w:t>
            </w:r>
            <w:r w:rsidRPr="00EF3E60">
              <w:rPr>
                <w:rFonts w:hint="eastAsia"/>
                <w:b/>
                <w:bCs/>
                <w:sz w:val="18"/>
                <w:szCs w:val="18"/>
                <w:rtl/>
              </w:rPr>
              <w:t>חודשים</w:t>
            </w:r>
          </w:p>
        </w:tc>
        <w:tc>
          <w:tcPr>
            <w:tcW w:w="432" w:type="pct"/>
            <w:gridSpan w:val="2"/>
            <w:vAlign w:val="bottom"/>
          </w:tcPr>
          <w:p w14:paraId="70916C69" w14:textId="77777777" w:rsidR="00435A20" w:rsidRPr="006F749D" w:rsidRDefault="00435A20" w:rsidP="00D7780F">
            <w:pPr>
              <w:pBdr>
                <w:bottom w:val="single" w:sz="6" w:space="1" w:color="auto"/>
              </w:pBdr>
              <w:spacing w:line="241" w:lineRule="auto"/>
              <w:jc w:val="center"/>
              <w:rPr>
                <w:b/>
                <w:bCs/>
                <w:sz w:val="18"/>
                <w:szCs w:val="18"/>
                <w:rtl/>
              </w:rPr>
            </w:pPr>
            <w:r w:rsidRPr="006F749D">
              <w:rPr>
                <w:rFonts w:hint="eastAsia"/>
                <w:b/>
                <w:bCs/>
                <w:sz w:val="18"/>
                <w:szCs w:val="18"/>
                <w:rtl/>
              </w:rPr>
              <w:t>מעל</w:t>
            </w:r>
            <w:r w:rsidRPr="006F749D">
              <w:rPr>
                <w:b/>
                <w:bCs/>
                <w:sz w:val="18"/>
                <w:szCs w:val="18"/>
                <w:rtl/>
              </w:rPr>
              <w:t xml:space="preserve"> 3 </w:t>
            </w:r>
            <w:r w:rsidRPr="006F749D">
              <w:rPr>
                <w:rFonts w:hint="eastAsia"/>
                <w:b/>
                <w:bCs/>
                <w:sz w:val="18"/>
                <w:szCs w:val="18"/>
                <w:rtl/>
              </w:rPr>
              <w:t>חודשים</w:t>
            </w:r>
            <w:r w:rsidRPr="006F749D">
              <w:rPr>
                <w:b/>
                <w:bCs/>
                <w:sz w:val="18"/>
                <w:szCs w:val="18"/>
                <w:rtl/>
              </w:rPr>
              <w:t xml:space="preserve"> </w:t>
            </w:r>
            <w:r w:rsidRPr="006F749D">
              <w:rPr>
                <w:rFonts w:hint="eastAsia"/>
                <w:b/>
                <w:bCs/>
                <w:sz w:val="18"/>
                <w:szCs w:val="18"/>
                <w:rtl/>
              </w:rPr>
              <w:t>ועד</w:t>
            </w:r>
            <w:r w:rsidRPr="006F749D">
              <w:rPr>
                <w:b/>
                <w:bCs/>
                <w:sz w:val="18"/>
                <w:szCs w:val="18"/>
                <w:rtl/>
              </w:rPr>
              <w:t xml:space="preserve"> </w:t>
            </w:r>
            <w:r w:rsidRPr="006F749D">
              <w:rPr>
                <w:rFonts w:hint="eastAsia"/>
                <w:b/>
                <w:bCs/>
                <w:sz w:val="18"/>
                <w:szCs w:val="18"/>
                <w:rtl/>
              </w:rPr>
              <w:t>שנה</w:t>
            </w:r>
          </w:p>
        </w:tc>
        <w:tc>
          <w:tcPr>
            <w:tcW w:w="432" w:type="pct"/>
            <w:gridSpan w:val="2"/>
            <w:vAlign w:val="bottom"/>
          </w:tcPr>
          <w:p w14:paraId="15F8F640" w14:textId="77777777" w:rsidR="00435A20" w:rsidRPr="006F749D" w:rsidRDefault="00435A20" w:rsidP="00D7780F">
            <w:pPr>
              <w:pBdr>
                <w:bottom w:val="single" w:sz="6" w:space="1" w:color="auto"/>
              </w:pBdr>
              <w:spacing w:line="241" w:lineRule="auto"/>
              <w:jc w:val="center"/>
              <w:rPr>
                <w:b/>
                <w:bCs/>
                <w:sz w:val="18"/>
                <w:szCs w:val="18"/>
                <w:rtl/>
              </w:rPr>
            </w:pPr>
            <w:r w:rsidRPr="006F749D">
              <w:rPr>
                <w:rFonts w:hint="eastAsia"/>
                <w:b/>
                <w:bCs/>
                <w:sz w:val="18"/>
                <w:szCs w:val="18"/>
                <w:rtl/>
              </w:rPr>
              <w:t>מעל</w:t>
            </w:r>
            <w:r w:rsidRPr="006F749D">
              <w:rPr>
                <w:b/>
                <w:bCs/>
                <w:sz w:val="18"/>
                <w:szCs w:val="18"/>
                <w:rtl/>
              </w:rPr>
              <w:t xml:space="preserve"> </w:t>
            </w:r>
            <w:r w:rsidRPr="006F749D">
              <w:rPr>
                <w:rFonts w:hint="eastAsia"/>
                <w:b/>
                <w:bCs/>
                <w:sz w:val="18"/>
                <w:szCs w:val="18"/>
                <w:rtl/>
              </w:rPr>
              <w:t>שנה</w:t>
            </w:r>
            <w:r w:rsidRPr="006F749D">
              <w:rPr>
                <w:b/>
                <w:bCs/>
                <w:sz w:val="18"/>
                <w:szCs w:val="18"/>
                <w:rtl/>
              </w:rPr>
              <w:t xml:space="preserve"> </w:t>
            </w:r>
            <w:r w:rsidRPr="006F749D">
              <w:rPr>
                <w:rFonts w:hint="eastAsia"/>
                <w:b/>
                <w:bCs/>
                <w:sz w:val="18"/>
                <w:szCs w:val="18"/>
                <w:rtl/>
              </w:rPr>
              <w:t>ועד</w:t>
            </w:r>
            <w:r w:rsidRPr="006F749D">
              <w:rPr>
                <w:b/>
                <w:bCs/>
                <w:sz w:val="18"/>
                <w:szCs w:val="18"/>
                <w:rtl/>
              </w:rPr>
              <w:t xml:space="preserve"> 5 </w:t>
            </w:r>
            <w:r w:rsidRPr="006F749D">
              <w:rPr>
                <w:rFonts w:hint="eastAsia"/>
                <w:b/>
                <w:bCs/>
                <w:sz w:val="18"/>
                <w:szCs w:val="18"/>
                <w:rtl/>
              </w:rPr>
              <w:t>שנים</w:t>
            </w:r>
          </w:p>
        </w:tc>
        <w:tc>
          <w:tcPr>
            <w:tcW w:w="432" w:type="pct"/>
            <w:gridSpan w:val="2"/>
            <w:vAlign w:val="bottom"/>
          </w:tcPr>
          <w:p w14:paraId="0B0BC3B4" w14:textId="77777777" w:rsidR="00435A20" w:rsidRPr="006F749D" w:rsidRDefault="00435A20" w:rsidP="00D7780F">
            <w:pPr>
              <w:pBdr>
                <w:bottom w:val="single" w:sz="6" w:space="1" w:color="auto"/>
              </w:pBdr>
              <w:spacing w:line="241" w:lineRule="auto"/>
              <w:jc w:val="center"/>
              <w:rPr>
                <w:b/>
                <w:bCs/>
                <w:sz w:val="18"/>
                <w:szCs w:val="18"/>
                <w:rtl/>
              </w:rPr>
            </w:pPr>
            <w:r w:rsidRPr="006F749D">
              <w:rPr>
                <w:rFonts w:hint="eastAsia"/>
                <w:b/>
                <w:bCs/>
                <w:sz w:val="18"/>
                <w:szCs w:val="18"/>
                <w:rtl/>
              </w:rPr>
              <w:t>מעל</w:t>
            </w:r>
            <w:r w:rsidRPr="006F749D">
              <w:rPr>
                <w:b/>
                <w:bCs/>
                <w:sz w:val="18"/>
                <w:szCs w:val="18"/>
                <w:rtl/>
              </w:rPr>
              <w:t xml:space="preserve"> 5 </w:t>
            </w:r>
            <w:r w:rsidRPr="006F749D">
              <w:rPr>
                <w:rFonts w:hint="eastAsia"/>
                <w:b/>
                <w:bCs/>
                <w:sz w:val="18"/>
                <w:szCs w:val="18"/>
                <w:rtl/>
              </w:rPr>
              <w:t>שנים</w:t>
            </w:r>
          </w:p>
        </w:tc>
        <w:tc>
          <w:tcPr>
            <w:tcW w:w="437" w:type="pct"/>
            <w:gridSpan w:val="2"/>
            <w:vAlign w:val="bottom"/>
          </w:tcPr>
          <w:p w14:paraId="5D5F8AAF" w14:textId="77777777" w:rsidR="00435A20" w:rsidRPr="006F749D" w:rsidRDefault="00435A20" w:rsidP="00D7780F">
            <w:pPr>
              <w:pBdr>
                <w:bottom w:val="single" w:sz="6" w:space="1" w:color="auto"/>
              </w:pBdr>
              <w:spacing w:line="241" w:lineRule="auto"/>
              <w:jc w:val="center"/>
              <w:rPr>
                <w:b/>
                <w:bCs/>
                <w:sz w:val="18"/>
                <w:szCs w:val="18"/>
                <w:rtl/>
              </w:rPr>
            </w:pPr>
            <w:r w:rsidRPr="006F749D">
              <w:rPr>
                <w:rFonts w:hint="eastAsia"/>
                <w:b/>
                <w:bCs/>
                <w:sz w:val="18"/>
                <w:szCs w:val="18"/>
                <w:rtl/>
              </w:rPr>
              <w:t>סך</w:t>
            </w:r>
            <w:r w:rsidRPr="006F749D">
              <w:rPr>
                <w:b/>
                <w:bCs/>
                <w:sz w:val="18"/>
                <w:szCs w:val="18"/>
                <w:rtl/>
              </w:rPr>
              <w:t xml:space="preserve"> </w:t>
            </w:r>
            <w:r w:rsidRPr="006F749D">
              <w:rPr>
                <w:rFonts w:hint="eastAsia"/>
                <w:b/>
                <w:bCs/>
                <w:sz w:val="18"/>
                <w:szCs w:val="18"/>
                <w:rtl/>
              </w:rPr>
              <w:t>הכל</w:t>
            </w:r>
          </w:p>
        </w:tc>
      </w:tr>
      <w:tr w:rsidR="00435A20" w:rsidRPr="00EF3E60" w14:paraId="6BD246FD" w14:textId="77777777" w:rsidTr="00903534">
        <w:trPr>
          <w:gridAfter w:val="1"/>
          <w:wAfter w:w="299" w:type="pct"/>
          <w:jc w:val="right"/>
        </w:trPr>
        <w:tc>
          <w:tcPr>
            <w:tcW w:w="506" w:type="pct"/>
          </w:tcPr>
          <w:p w14:paraId="43F3244F" w14:textId="77777777" w:rsidR="00435A20" w:rsidRPr="00EF3E60" w:rsidRDefault="00435A20" w:rsidP="00D7780F">
            <w:pPr>
              <w:jc w:val="left"/>
              <w:rPr>
                <w:sz w:val="14"/>
                <w:szCs w:val="14"/>
                <w:rtl/>
              </w:rPr>
            </w:pPr>
          </w:p>
        </w:tc>
        <w:tc>
          <w:tcPr>
            <w:tcW w:w="2031" w:type="pct"/>
            <w:vAlign w:val="bottom"/>
          </w:tcPr>
          <w:p w14:paraId="53E2DD3F" w14:textId="77777777" w:rsidR="00435A20" w:rsidRPr="00EF3E60" w:rsidRDefault="00435A20" w:rsidP="00D7780F">
            <w:pPr>
              <w:spacing w:line="200" w:lineRule="exact"/>
              <w:jc w:val="left"/>
              <w:rPr>
                <w:color w:val="000000"/>
                <w:rtl/>
                <w:lang w:eastAsia="he-IL"/>
              </w:rPr>
            </w:pPr>
            <w:r w:rsidRPr="00EF3E60">
              <w:rPr>
                <w:rFonts w:hint="cs"/>
                <w:color w:val="000000"/>
                <w:rtl/>
                <w:lang w:eastAsia="he-IL"/>
              </w:rPr>
              <w:t>חוזי ריבית:</w:t>
            </w:r>
          </w:p>
        </w:tc>
        <w:tc>
          <w:tcPr>
            <w:tcW w:w="432" w:type="pct"/>
            <w:gridSpan w:val="2"/>
            <w:vAlign w:val="bottom"/>
          </w:tcPr>
          <w:p w14:paraId="414E8D35" w14:textId="77777777" w:rsidR="00435A20" w:rsidRPr="00EF3E60" w:rsidRDefault="00435A20" w:rsidP="00D7780F">
            <w:pPr>
              <w:spacing w:line="241" w:lineRule="auto"/>
              <w:rPr>
                <w:rtl/>
              </w:rPr>
            </w:pPr>
          </w:p>
        </w:tc>
        <w:tc>
          <w:tcPr>
            <w:tcW w:w="432" w:type="pct"/>
            <w:gridSpan w:val="2"/>
            <w:vAlign w:val="bottom"/>
          </w:tcPr>
          <w:p w14:paraId="7D8C037D" w14:textId="77777777" w:rsidR="00435A20" w:rsidRPr="00EF3E60" w:rsidRDefault="00435A20" w:rsidP="00D7780F">
            <w:pPr>
              <w:spacing w:line="241" w:lineRule="auto"/>
              <w:rPr>
                <w:rtl/>
              </w:rPr>
            </w:pPr>
          </w:p>
        </w:tc>
        <w:tc>
          <w:tcPr>
            <w:tcW w:w="432" w:type="pct"/>
            <w:gridSpan w:val="2"/>
            <w:vAlign w:val="bottom"/>
          </w:tcPr>
          <w:p w14:paraId="7F6EDF6C" w14:textId="77777777" w:rsidR="00435A20" w:rsidRPr="00EF3E60" w:rsidRDefault="00435A20" w:rsidP="00D7780F">
            <w:pPr>
              <w:spacing w:line="241" w:lineRule="auto"/>
              <w:rPr>
                <w:rtl/>
              </w:rPr>
            </w:pPr>
          </w:p>
        </w:tc>
        <w:tc>
          <w:tcPr>
            <w:tcW w:w="432" w:type="pct"/>
            <w:gridSpan w:val="2"/>
            <w:vAlign w:val="bottom"/>
          </w:tcPr>
          <w:p w14:paraId="5B7E2CBE" w14:textId="77777777" w:rsidR="00435A20" w:rsidRPr="00EF3E60" w:rsidRDefault="00435A20" w:rsidP="00D7780F">
            <w:pPr>
              <w:spacing w:line="241" w:lineRule="auto"/>
              <w:rPr>
                <w:rtl/>
              </w:rPr>
            </w:pPr>
          </w:p>
        </w:tc>
        <w:tc>
          <w:tcPr>
            <w:tcW w:w="437" w:type="pct"/>
            <w:gridSpan w:val="2"/>
            <w:vAlign w:val="bottom"/>
          </w:tcPr>
          <w:p w14:paraId="12874E44" w14:textId="77777777" w:rsidR="00435A20" w:rsidRPr="00EF3E60" w:rsidRDefault="00435A20" w:rsidP="00D7780F">
            <w:pPr>
              <w:spacing w:line="241" w:lineRule="auto"/>
              <w:rPr>
                <w:rtl/>
              </w:rPr>
            </w:pPr>
          </w:p>
        </w:tc>
      </w:tr>
      <w:tr w:rsidR="00435A20" w:rsidRPr="00EF3E60" w14:paraId="40C00F83" w14:textId="77777777" w:rsidTr="00903534">
        <w:trPr>
          <w:gridAfter w:val="1"/>
          <w:wAfter w:w="299" w:type="pct"/>
          <w:jc w:val="right"/>
        </w:trPr>
        <w:tc>
          <w:tcPr>
            <w:tcW w:w="506" w:type="pct"/>
          </w:tcPr>
          <w:p w14:paraId="7CFA5244" w14:textId="77777777" w:rsidR="00435A20" w:rsidRPr="00EF3E60" w:rsidRDefault="00435A20" w:rsidP="00D7780F">
            <w:pPr>
              <w:jc w:val="left"/>
              <w:rPr>
                <w:sz w:val="14"/>
                <w:szCs w:val="14"/>
                <w:rtl/>
              </w:rPr>
            </w:pPr>
          </w:p>
        </w:tc>
        <w:tc>
          <w:tcPr>
            <w:tcW w:w="2031" w:type="pct"/>
            <w:vAlign w:val="bottom"/>
          </w:tcPr>
          <w:p w14:paraId="7EA2C11D" w14:textId="77777777" w:rsidR="00435A20" w:rsidRPr="00EF3E60" w:rsidRDefault="00435A20" w:rsidP="00060732">
            <w:pPr>
              <w:spacing w:line="200" w:lineRule="exact"/>
              <w:ind w:left="170"/>
              <w:jc w:val="left"/>
              <w:rPr>
                <w:color w:val="000000"/>
                <w:rtl/>
                <w:lang w:eastAsia="he-IL"/>
              </w:rPr>
            </w:pPr>
            <w:r w:rsidRPr="00EF3E60">
              <w:rPr>
                <w:rFonts w:hint="cs"/>
                <w:color w:val="000000"/>
                <w:rtl/>
                <w:lang w:eastAsia="he-IL"/>
              </w:rPr>
              <w:t>שקל-מדד</w:t>
            </w:r>
          </w:p>
        </w:tc>
        <w:tc>
          <w:tcPr>
            <w:tcW w:w="432" w:type="pct"/>
            <w:gridSpan w:val="2"/>
            <w:vAlign w:val="bottom"/>
          </w:tcPr>
          <w:p w14:paraId="44D7761D"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18DB04B0"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254F98B9"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79A2C14D" w14:textId="77777777" w:rsidR="00435A20" w:rsidRPr="00EF3E60" w:rsidRDefault="00435A20" w:rsidP="00D7780F">
            <w:pPr>
              <w:spacing w:line="241" w:lineRule="auto"/>
              <w:rPr>
                <w:rtl/>
              </w:rPr>
            </w:pPr>
            <w:r w:rsidRPr="00EF3E60">
              <w:rPr>
                <w:rFonts w:hint="cs"/>
                <w:rtl/>
              </w:rPr>
              <w:t>0</w:t>
            </w:r>
          </w:p>
        </w:tc>
        <w:tc>
          <w:tcPr>
            <w:tcW w:w="437" w:type="pct"/>
            <w:gridSpan w:val="2"/>
            <w:vAlign w:val="bottom"/>
          </w:tcPr>
          <w:p w14:paraId="73DEADD7" w14:textId="77777777" w:rsidR="00435A20" w:rsidRPr="00EF3E60" w:rsidRDefault="00435A20" w:rsidP="00D7780F">
            <w:pPr>
              <w:spacing w:line="241" w:lineRule="auto"/>
              <w:rPr>
                <w:rtl/>
              </w:rPr>
            </w:pPr>
            <w:r w:rsidRPr="00EF3E60">
              <w:rPr>
                <w:rFonts w:hint="cs"/>
                <w:rtl/>
              </w:rPr>
              <w:t>0</w:t>
            </w:r>
          </w:p>
        </w:tc>
      </w:tr>
      <w:tr w:rsidR="00435A20" w:rsidRPr="00EF3E60" w14:paraId="3F213E6B" w14:textId="77777777" w:rsidTr="00903534">
        <w:trPr>
          <w:gridAfter w:val="1"/>
          <w:wAfter w:w="299" w:type="pct"/>
          <w:jc w:val="right"/>
        </w:trPr>
        <w:tc>
          <w:tcPr>
            <w:tcW w:w="506" w:type="pct"/>
          </w:tcPr>
          <w:p w14:paraId="231FD88D" w14:textId="77777777" w:rsidR="00435A20" w:rsidRPr="00EF3E60" w:rsidRDefault="00435A20" w:rsidP="00D7780F">
            <w:pPr>
              <w:jc w:val="left"/>
              <w:rPr>
                <w:sz w:val="14"/>
                <w:szCs w:val="14"/>
                <w:rtl/>
              </w:rPr>
            </w:pPr>
          </w:p>
        </w:tc>
        <w:tc>
          <w:tcPr>
            <w:tcW w:w="2031" w:type="pct"/>
            <w:vAlign w:val="bottom"/>
          </w:tcPr>
          <w:p w14:paraId="3EAF2F2B" w14:textId="3873F44C" w:rsidR="00435A20" w:rsidRPr="00EF3E60" w:rsidRDefault="00435A20" w:rsidP="00060732">
            <w:pPr>
              <w:spacing w:line="200" w:lineRule="exact"/>
              <w:ind w:left="57" w:firstLine="142"/>
              <w:jc w:val="left"/>
              <w:rPr>
                <w:color w:val="000000"/>
                <w:rtl/>
                <w:lang w:eastAsia="he-IL"/>
              </w:rPr>
            </w:pPr>
            <w:r w:rsidRPr="00EF3E60">
              <w:rPr>
                <w:rFonts w:hint="cs"/>
                <w:color w:val="000000"/>
                <w:rtl/>
                <w:lang w:eastAsia="he-IL"/>
              </w:rPr>
              <w:t>אחר</w:t>
            </w:r>
          </w:p>
        </w:tc>
        <w:tc>
          <w:tcPr>
            <w:tcW w:w="432" w:type="pct"/>
            <w:gridSpan w:val="2"/>
            <w:vAlign w:val="bottom"/>
          </w:tcPr>
          <w:p w14:paraId="61B1588A"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6B9E90C1"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3D242829"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2F25840A" w14:textId="77777777" w:rsidR="00435A20" w:rsidRPr="00EF3E60" w:rsidRDefault="00435A20" w:rsidP="00D7780F">
            <w:pPr>
              <w:spacing w:line="241" w:lineRule="auto"/>
              <w:rPr>
                <w:rtl/>
              </w:rPr>
            </w:pPr>
            <w:r w:rsidRPr="00EF3E60">
              <w:rPr>
                <w:rFonts w:hint="cs"/>
                <w:rtl/>
              </w:rPr>
              <w:t>0</w:t>
            </w:r>
          </w:p>
        </w:tc>
        <w:tc>
          <w:tcPr>
            <w:tcW w:w="437" w:type="pct"/>
            <w:gridSpan w:val="2"/>
            <w:vAlign w:val="bottom"/>
          </w:tcPr>
          <w:p w14:paraId="4D4730A0" w14:textId="77777777" w:rsidR="00435A20" w:rsidRPr="00EF3E60" w:rsidRDefault="00435A20" w:rsidP="00D7780F">
            <w:pPr>
              <w:spacing w:line="241" w:lineRule="auto"/>
              <w:rPr>
                <w:rtl/>
              </w:rPr>
            </w:pPr>
            <w:r w:rsidRPr="00EF3E60">
              <w:rPr>
                <w:rFonts w:hint="cs"/>
                <w:rtl/>
              </w:rPr>
              <w:t>0</w:t>
            </w:r>
          </w:p>
        </w:tc>
      </w:tr>
      <w:tr w:rsidR="00435A20" w:rsidRPr="00EF3E60" w14:paraId="4322B120" w14:textId="77777777" w:rsidTr="00903534">
        <w:trPr>
          <w:gridAfter w:val="1"/>
          <w:wAfter w:w="299" w:type="pct"/>
          <w:jc w:val="right"/>
        </w:trPr>
        <w:tc>
          <w:tcPr>
            <w:tcW w:w="506" w:type="pct"/>
          </w:tcPr>
          <w:p w14:paraId="796475F8" w14:textId="77777777" w:rsidR="00435A20" w:rsidRPr="00EF3E60" w:rsidRDefault="00435A20" w:rsidP="00D7780F">
            <w:pPr>
              <w:jc w:val="left"/>
              <w:rPr>
                <w:sz w:val="14"/>
                <w:szCs w:val="14"/>
                <w:rtl/>
              </w:rPr>
            </w:pPr>
          </w:p>
        </w:tc>
        <w:tc>
          <w:tcPr>
            <w:tcW w:w="2031" w:type="pct"/>
            <w:vAlign w:val="bottom"/>
          </w:tcPr>
          <w:p w14:paraId="3372587F" w14:textId="77777777" w:rsidR="00435A20" w:rsidRPr="00EF3E60" w:rsidRDefault="00435A20" w:rsidP="00D7780F">
            <w:pPr>
              <w:spacing w:line="200" w:lineRule="exact"/>
              <w:jc w:val="left"/>
              <w:rPr>
                <w:color w:val="000000"/>
                <w:rtl/>
                <w:lang w:eastAsia="he-IL"/>
              </w:rPr>
            </w:pPr>
            <w:r w:rsidRPr="00EF3E60">
              <w:rPr>
                <w:rFonts w:hint="cs"/>
                <w:color w:val="000000"/>
                <w:rtl/>
                <w:lang w:eastAsia="he-IL"/>
              </w:rPr>
              <w:t>חוזי מטבע חוץ</w:t>
            </w:r>
          </w:p>
        </w:tc>
        <w:tc>
          <w:tcPr>
            <w:tcW w:w="432" w:type="pct"/>
            <w:gridSpan w:val="2"/>
            <w:vAlign w:val="bottom"/>
          </w:tcPr>
          <w:p w14:paraId="44B9CAEA"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26AA577D"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6FEB2023"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2A3CD4BB" w14:textId="77777777" w:rsidR="00435A20" w:rsidRPr="00EF3E60" w:rsidRDefault="00435A20" w:rsidP="00D7780F">
            <w:pPr>
              <w:spacing w:line="241" w:lineRule="auto"/>
              <w:rPr>
                <w:rtl/>
              </w:rPr>
            </w:pPr>
            <w:r w:rsidRPr="00EF3E60">
              <w:rPr>
                <w:rFonts w:hint="cs"/>
                <w:rtl/>
              </w:rPr>
              <w:t>0</w:t>
            </w:r>
          </w:p>
        </w:tc>
        <w:tc>
          <w:tcPr>
            <w:tcW w:w="437" w:type="pct"/>
            <w:gridSpan w:val="2"/>
            <w:vAlign w:val="bottom"/>
          </w:tcPr>
          <w:p w14:paraId="7AB9C0B4" w14:textId="77777777" w:rsidR="00435A20" w:rsidRPr="00EF3E60" w:rsidRDefault="00435A20" w:rsidP="00D7780F">
            <w:pPr>
              <w:spacing w:line="241" w:lineRule="auto"/>
              <w:rPr>
                <w:rtl/>
              </w:rPr>
            </w:pPr>
            <w:r w:rsidRPr="00EF3E60">
              <w:rPr>
                <w:rFonts w:hint="cs"/>
                <w:rtl/>
              </w:rPr>
              <w:t>0</w:t>
            </w:r>
          </w:p>
        </w:tc>
      </w:tr>
      <w:tr w:rsidR="00435A20" w:rsidRPr="00EF3E60" w14:paraId="3CE800AD" w14:textId="77777777" w:rsidTr="00903534">
        <w:trPr>
          <w:gridAfter w:val="1"/>
          <w:wAfter w:w="299" w:type="pct"/>
          <w:jc w:val="right"/>
        </w:trPr>
        <w:tc>
          <w:tcPr>
            <w:tcW w:w="506" w:type="pct"/>
          </w:tcPr>
          <w:p w14:paraId="24F1FCA8" w14:textId="77777777" w:rsidR="00435A20" w:rsidRPr="00EF3E60" w:rsidRDefault="00435A20" w:rsidP="00D7780F">
            <w:pPr>
              <w:jc w:val="left"/>
              <w:rPr>
                <w:sz w:val="14"/>
                <w:szCs w:val="14"/>
                <w:rtl/>
              </w:rPr>
            </w:pPr>
          </w:p>
        </w:tc>
        <w:tc>
          <w:tcPr>
            <w:tcW w:w="2031" w:type="pct"/>
            <w:vAlign w:val="bottom"/>
          </w:tcPr>
          <w:p w14:paraId="46FF0870" w14:textId="77777777" w:rsidR="00435A20" w:rsidRPr="00EF3E60" w:rsidRDefault="00435A20" w:rsidP="00D7780F">
            <w:pPr>
              <w:spacing w:line="200" w:lineRule="exact"/>
              <w:jc w:val="left"/>
              <w:rPr>
                <w:color w:val="000000"/>
                <w:rtl/>
                <w:lang w:eastAsia="he-IL"/>
              </w:rPr>
            </w:pPr>
            <w:r w:rsidRPr="00EF3E60">
              <w:rPr>
                <w:rFonts w:hint="cs"/>
                <w:color w:val="000000"/>
                <w:rtl/>
                <w:lang w:eastAsia="he-IL"/>
              </w:rPr>
              <w:t>חוזים בגין מניות</w:t>
            </w:r>
          </w:p>
        </w:tc>
        <w:tc>
          <w:tcPr>
            <w:tcW w:w="432" w:type="pct"/>
            <w:gridSpan w:val="2"/>
            <w:vAlign w:val="bottom"/>
          </w:tcPr>
          <w:p w14:paraId="40F38B93"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5A3E6CE7"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27E4C657"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0E99CB14" w14:textId="77777777" w:rsidR="00435A20" w:rsidRPr="00EF3E60" w:rsidRDefault="00435A20" w:rsidP="00D7780F">
            <w:pPr>
              <w:spacing w:line="241" w:lineRule="auto"/>
              <w:rPr>
                <w:rtl/>
              </w:rPr>
            </w:pPr>
            <w:r w:rsidRPr="00EF3E60">
              <w:rPr>
                <w:rFonts w:hint="cs"/>
                <w:rtl/>
              </w:rPr>
              <w:t>0</w:t>
            </w:r>
          </w:p>
        </w:tc>
        <w:tc>
          <w:tcPr>
            <w:tcW w:w="437" w:type="pct"/>
            <w:gridSpan w:val="2"/>
            <w:vAlign w:val="bottom"/>
          </w:tcPr>
          <w:p w14:paraId="3D107F14" w14:textId="77777777" w:rsidR="00435A20" w:rsidRPr="00EF3E60" w:rsidRDefault="00435A20" w:rsidP="00D7780F">
            <w:pPr>
              <w:spacing w:line="241" w:lineRule="auto"/>
              <w:rPr>
                <w:rtl/>
              </w:rPr>
            </w:pPr>
            <w:r w:rsidRPr="00EF3E60">
              <w:rPr>
                <w:rFonts w:hint="cs"/>
                <w:rtl/>
              </w:rPr>
              <w:t>0</w:t>
            </w:r>
          </w:p>
        </w:tc>
      </w:tr>
      <w:tr w:rsidR="00435A20" w:rsidRPr="00EF3E60" w14:paraId="20E00EBB" w14:textId="77777777" w:rsidTr="00903534">
        <w:trPr>
          <w:gridAfter w:val="1"/>
          <w:wAfter w:w="299" w:type="pct"/>
          <w:jc w:val="right"/>
        </w:trPr>
        <w:tc>
          <w:tcPr>
            <w:tcW w:w="506" w:type="pct"/>
          </w:tcPr>
          <w:p w14:paraId="2B6EC198" w14:textId="77777777" w:rsidR="00435A20" w:rsidRPr="00EF3E60" w:rsidRDefault="00435A20" w:rsidP="00D7780F">
            <w:pPr>
              <w:jc w:val="left"/>
              <w:rPr>
                <w:sz w:val="14"/>
                <w:szCs w:val="14"/>
                <w:rtl/>
              </w:rPr>
            </w:pPr>
          </w:p>
        </w:tc>
        <w:tc>
          <w:tcPr>
            <w:tcW w:w="2031" w:type="pct"/>
            <w:vAlign w:val="bottom"/>
          </w:tcPr>
          <w:p w14:paraId="1B1A5C80" w14:textId="77777777" w:rsidR="00435A20" w:rsidRPr="00EF3E60" w:rsidRDefault="00435A20" w:rsidP="00D7780F">
            <w:pPr>
              <w:spacing w:line="200" w:lineRule="exact"/>
              <w:jc w:val="left"/>
              <w:rPr>
                <w:color w:val="000000"/>
                <w:rtl/>
                <w:lang w:eastAsia="he-IL"/>
              </w:rPr>
            </w:pPr>
            <w:r w:rsidRPr="00EF3E60">
              <w:rPr>
                <w:rFonts w:hint="cs"/>
                <w:color w:val="000000"/>
                <w:rtl/>
                <w:lang w:eastAsia="he-IL"/>
              </w:rPr>
              <w:t>חוזי סחורות ואחרים</w:t>
            </w:r>
          </w:p>
        </w:tc>
        <w:tc>
          <w:tcPr>
            <w:tcW w:w="432" w:type="pct"/>
            <w:gridSpan w:val="2"/>
            <w:vAlign w:val="bottom"/>
          </w:tcPr>
          <w:p w14:paraId="5D5B4F40" w14:textId="77777777" w:rsidR="00435A20" w:rsidRPr="00EF3E60" w:rsidRDefault="00435A20" w:rsidP="00D7780F">
            <w:pPr>
              <w:pBdr>
                <w:bottom w:val="single" w:sz="4" w:space="1" w:color="auto"/>
              </w:pBdr>
              <w:spacing w:line="241" w:lineRule="auto"/>
              <w:rPr>
                <w:rtl/>
              </w:rPr>
            </w:pPr>
            <w:r w:rsidRPr="00EF3E60">
              <w:rPr>
                <w:rFonts w:hint="cs"/>
                <w:rtl/>
              </w:rPr>
              <w:t>0</w:t>
            </w:r>
          </w:p>
        </w:tc>
        <w:tc>
          <w:tcPr>
            <w:tcW w:w="432" w:type="pct"/>
            <w:gridSpan w:val="2"/>
            <w:vAlign w:val="bottom"/>
          </w:tcPr>
          <w:p w14:paraId="12FC1F4C" w14:textId="77777777" w:rsidR="00435A20" w:rsidRPr="00EF3E60" w:rsidRDefault="00435A20" w:rsidP="00D7780F">
            <w:pPr>
              <w:pBdr>
                <w:bottom w:val="single" w:sz="4" w:space="1" w:color="auto"/>
              </w:pBdr>
              <w:spacing w:line="241" w:lineRule="auto"/>
              <w:rPr>
                <w:rtl/>
              </w:rPr>
            </w:pPr>
            <w:r w:rsidRPr="00EF3E60">
              <w:rPr>
                <w:rFonts w:hint="cs"/>
                <w:rtl/>
              </w:rPr>
              <w:t>0</w:t>
            </w:r>
          </w:p>
        </w:tc>
        <w:tc>
          <w:tcPr>
            <w:tcW w:w="432" w:type="pct"/>
            <w:gridSpan w:val="2"/>
            <w:vAlign w:val="bottom"/>
          </w:tcPr>
          <w:p w14:paraId="6D49604D" w14:textId="77777777" w:rsidR="00435A20" w:rsidRPr="00EF3E60" w:rsidRDefault="00435A20" w:rsidP="00D7780F">
            <w:pPr>
              <w:pBdr>
                <w:bottom w:val="single" w:sz="4" w:space="1" w:color="auto"/>
              </w:pBdr>
              <w:spacing w:line="241" w:lineRule="auto"/>
              <w:rPr>
                <w:rtl/>
              </w:rPr>
            </w:pPr>
            <w:r w:rsidRPr="00EF3E60">
              <w:rPr>
                <w:rFonts w:hint="cs"/>
                <w:rtl/>
              </w:rPr>
              <w:t>0</w:t>
            </w:r>
          </w:p>
        </w:tc>
        <w:tc>
          <w:tcPr>
            <w:tcW w:w="432" w:type="pct"/>
            <w:gridSpan w:val="2"/>
            <w:vAlign w:val="bottom"/>
          </w:tcPr>
          <w:p w14:paraId="330064EE" w14:textId="77777777" w:rsidR="00435A20" w:rsidRPr="00EF3E60" w:rsidRDefault="00435A20" w:rsidP="00D7780F">
            <w:pPr>
              <w:pBdr>
                <w:bottom w:val="single" w:sz="4" w:space="1" w:color="auto"/>
              </w:pBdr>
              <w:spacing w:line="241" w:lineRule="auto"/>
              <w:rPr>
                <w:rtl/>
              </w:rPr>
            </w:pPr>
            <w:r w:rsidRPr="00EF3E60">
              <w:rPr>
                <w:rFonts w:hint="cs"/>
                <w:rtl/>
              </w:rPr>
              <w:t>0</w:t>
            </w:r>
          </w:p>
        </w:tc>
        <w:tc>
          <w:tcPr>
            <w:tcW w:w="437" w:type="pct"/>
            <w:gridSpan w:val="2"/>
            <w:vAlign w:val="bottom"/>
          </w:tcPr>
          <w:p w14:paraId="312CDB26" w14:textId="77777777" w:rsidR="00435A20" w:rsidRPr="00EF3E60" w:rsidRDefault="00435A20" w:rsidP="00D7780F">
            <w:pPr>
              <w:pBdr>
                <w:bottom w:val="single" w:sz="4" w:space="1" w:color="auto"/>
              </w:pBdr>
              <w:spacing w:line="241" w:lineRule="auto"/>
              <w:rPr>
                <w:rtl/>
              </w:rPr>
            </w:pPr>
            <w:r w:rsidRPr="00EF3E60">
              <w:rPr>
                <w:rFonts w:hint="cs"/>
                <w:rtl/>
              </w:rPr>
              <w:t>0</w:t>
            </w:r>
          </w:p>
        </w:tc>
      </w:tr>
      <w:tr w:rsidR="00435A20" w:rsidRPr="00EF3E60" w14:paraId="63B04FA6" w14:textId="77777777" w:rsidTr="00903534">
        <w:trPr>
          <w:gridAfter w:val="1"/>
          <w:wAfter w:w="299" w:type="pct"/>
          <w:jc w:val="right"/>
        </w:trPr>
        <w:tc>
          <w:tcPr>
            <w:tcW w:w="506" w:type="pct"/>
          </w:tcPr>
          <w:p w14:paraId="4EA1F22D" w14:textId="77777777" w:rsidR="00435A20" w:rsidRPr="00EF3E60" w:rsidRDefault="00435A20" w:rsidP="00D7780F">
            <w:pPr>
              <w:bidi w:val="0"/>
              <w:spacing w:line="60" w:lineRule="exact"/>
              <w:rPr>
                <w:sz w:val="14"/>
                <w:szCs w:val="14"/>
                <w:rtl/>
              </w:rPr>
            </w:pPr>
          </w:p>
        </w:tc>
        <w:tc>
          <w:tcPr>
            <w:tcW w:w="2031" w:type="pct"/>
            <w:vAlign w:val="bottom"/>
          </w:tcPr>
          <w:p w14:paraId="34F7D895" w14:textId="77777777" w:rsidR="00435A20" w:rsidRPr="00EF3E60" w:rsidRDefault="00435A20" w:rsidP="00D7780F">
            <w:pPr>
              <w:bidi w:val="0"/>
              <w:spacing w:line="60" w:lineRule="exact"/>
              <w:rPr>
                <w:color w:val="000000"/>
                <w:rtl/>
                <w:lang w:eastAsia="he-IL"/>
              </w:rPr>
            </w:pPr>
          </w:p>
        </w:tc>
        <w:tc>
          <w:tcPr>
            <w:tcW w:w="432" w:type="pct"/>
            <w:gridSpan w:val="2"/>
            <w:vAlign w:val="bottom"/>
          </w:tcPr>
          <w:p w14:paraId="233CAEBD" w14:textId="77777777" w:rsidR="00435A20" w:rsidRPr="00EF3E60" w:rsidRDefault="00435A20" w:rsidP="00D7780F">
            <w:pPr>
              <w:bidi w:val="0"/>
              <w:spacing w:line="60" w:lineRule="exact"/>
              <w:rPr>
                <w:rtl/>
              </w:rPr>
            </w:pPr>
          </w:p>
        </w:tc>
        <w:tc>
          <w:tcPr>
            <w:tcW w:w="432" w:type="pct"/>
            <w:gridSpan w:val="2"/>
            <w:vAlign w:val="bottom"/>
          </w:tcPr>
          <w:p w14:paraId="6A083DA2" w14:textId="77777777" w:rsidR="00435A20" w:rsidRPr="00EF3E60" w:rsidRDefault="00435A20" w:rsidP="00D7780F">
            <w:pPr>
              <w:bidi w:val="0"/>
              <w:spacing w:line="60" w:lineRule="exact"/>
              <w:rPr>
                <w:rtl/>
              </w:rPr>
            </w:pPr>
          </w:p>
        </w:tc>
        <w:tc>
          <w:tcPr>
            <w:tcW w:w="432" w:type="pct"/>
            <w:gridSpan w:val="2"/>
            <w:vAlign w:val="bottom"/>
          </w:tcPr>
          <w:p w14:paraId="593159CD" w14:textId="77777777" w:rsidR="00435A20" w:rsidRPr="00EF3E60" w:rsidRDefault="00435A20" w:rsidP="00D7780F">
            <w:pPr>
              <w:bidi w:val="0"/>
              <w:spacing w:line="60" w:lineRule="exact"/>
              <w:rPr>
                <w:rtl/>
              </w:rPr>
            </w:pPr>
          </w:p>
        </w:tc>
        <w:tc>
          <w:tcPr>
            <w:tcW w:w="432" w:type="pct"/>
            <w:gridSpan w:val="2"/>
            <w:vAlign w:val="bottom"/>
          </w:tcPr>
          <w:p w14:paraId="554EE12B" w14:textId="77777777" w:rsidR="00435A20" w:rsidRPr="00EF3E60" w:rsidRDefault="00435A20" w:rsidP="00D7780F">
            <w:pPr>
              <w:bidi w:val="0"/>
              <w:spacing w:line="60" w:lineRule="exact"/>
              <w:rPr>
                <w:rtl/>
              </w:rPr>
            </w:pPr>
          </w:p>
        </w:tc>
        <w:tc>
          <w:tcPr>
            <w:tcW w:w="437" w:type="pct"/>
            <w:gridSpan w:val="2"/>
            <w:vAlign w:val="bottom"/>
          </w:tcPr>
          <w:p w14:paraId="4E210457" w14:textId="77777777" w:rsidR="00435A20" w:rsidRPr="00EF3E60" w:rsidRDefault="00435A20" w:rsidP="00D7780F">
            <w:pPr>
              <w:bidi w:val="0"/>
              <w:spacing w:line="60" w:lineRule="exact"/>
              <w:rPr>
                <w:rtl/>
              </w:rPr>
            </w:pPr>
          </w:p>
        </w:tc>
      </w:tr>
      <w:tr w:rsidR="00435A20" w:rsidRPr="00EF3E60" w14:paraId="7ABAA908" w14:textId="77777777" w:rsidTr="00903534">
        <w:trPr>
          <w:gridAfter w:val="1"/>
          <w:wAfter w:w="299" w:type="pct"/>
          <w:jc w:val="right"/>
        </w:trPr>
        <w:tc>
          <w:tcPr>
            <w:tcW w:w="506" w:type="pct"/>
          </w:tcPr>
          <w:p w14:paraId="7DEC8F88" w14:textId="77777777" w:rsidR="00435A20" w:rsidRPr="00EF3E60" w:rsidRDefault="00435A20" w:rsidP="00D7780F">
            <w:pPr>
              <w:jc w:val="left"/>
              <w:rPr>
                <w:sz w:val="14"/>
                <w:szCs w:val="14"/>
                <w:rtl/>
              </w:rPr>
            </w:pPr>
          </w:p>
        </w:tc>
        <w:tc>
          <w:tcPr>
            <w:tcW w:w="2031" w:type="pct"/>
            <w:vAlign w:val="bottom"/>
          </w:tcPr>
          <w:p w14:paraId="20E56BD1" w14:textId="77777777" w:rsidR="00435A20" w:rsidRPr="00B678F5" w:rsidRDefault="00435A20" w:rsidP="00D7780F">
            <w:pPr>
              <w:spacing w:line="200" w:lineRule="exact"/>
              <w:jc w:val="left"/>
              <w:rPr>
                <w:color w:val="000000"/>
                <w:rtl/>
                <w:lang w:eastAsia="he-IL"/>
              </w:rPr>
            </w:pPr>
            <w:r w:rsidRPr="00B678F5">
              <w:rPr>
                <w:rFonts w:hint="cs"/>
                <w:color w:val="000000"/>
                <w:rtl/>
                <w:lang w:eastAsia="he-IL"/>
              </w:rPr>
              <w:t>סה"כ</w:t>
            </w:r>
          </w:p>
        </w:tc>
        <w:tc>
          <w:tcPr>
            <w:tcW w:w="432" w:type="pct"/>
            <w:gridSpan w:val="2"/>
            <w:vAlign w:val="bottom"/>
          </w:tcPr>
          <w:p w14:paraId="1C65F257" w14:textId="77777777" w:rsidR="00435A20" w:rsidRPr="00EF3E60" w:rsidRDefault="00435A20" w:rsidP="00D7780F">
            <w:pPr>
              <w:pBdr>
                <w:bottom w:val="double" w:sz="4" w:space="1" w:color="auto"/>
              </w:pBdr>
              <w:spacing w:line="241" w:lineRule="auto"/>
              <w:rPr>
                <w:b/>
                <w:bCs/>
                <w:rtl/>
              </w:rPr>
            </w:pPr>
            <w:r w:rsidRPr="00EF3E60">
              <w:rPr>
                <w:rFonts w:hint="cs"/>
                <w:b/>
                <w:bCs/>
                <w:rtl/>
              </w:rPr>
              <w:t>0</w:t>
            </w:r>
          </w:p>
        </w:tc>
        <w:tc>
          <w:tcPr>
            <w:tcW w:w="432" w:type="pct"/>
            <w:gridSpan w:val="2"/>
            <w:vAlign w:val="bottom"/>
          </w:tcPr>
          <w:p w14:paraId="0E0EBD0A" w14:textId="77777777" w:rsidR="00435A20" w:rsidRPr="00EF3E60" w:rsidRDefault="00435A20" w:rsidP="00D7780F">
            <w:pPr>
              <w:pBdr>
                <w:bottom w:val="double" w:sz="4" w:space="1" w:color="auto"/>
              </w:pBdr>
              <w:spacing w:line="241" w:lineRule="auto"/>
              <w:rPr>
                <w:b/>
                <w:bCs/>
                <w:rtl/>
              </w:rPr>
            </w:pPr>
            <w:r w:rsidRPr="00EF3E60">
              <w:rPr>
                <w:rFonts w:hint="cs"/>
                <w:b/>
                <w:bCs/>
                <w:rtl/>
              </w:rPr>
              <w:t>0</w:t>
            </w:r>
          </w:p>
        </w:tc>
        <w:tc>
          <w:tcPr>
            <w:tcW w:w="432" w:type="pct"/>
            <w:gridSpan w:val="2"/>
            <w:vAlign w:val="bottom"/>
          </w:tcPr>
          <w:p w14:paraId="6676DC68" w14:textId="77777777" w:rsidR="00435A20" w:rsidRPr="00EF3E60" w:rsidRDefault="00435A20" w:rsidP="00D7780F">
            <w:pPr>
              <w:pBdr>
                <w:bottom w:val="double" w:sz="4" w:space="1" w:color="auto"/>
              </w:pBdr>
              <w:spacing w:line="241" w:lineRule="auto"/>
              <w:rPr>
                <w:b/>
                <w:bCs/>
                <w:rtl/>
              </w:rPr>
            </w:pPr>
            <w:r w:rsidRPr="00EF3E60">
              <w:rPr>
                <w:rFonts w:hint="cs"/>
                <w:b/>
                <w:bCs/>
                <w:rtl/>
              </w:rPr>
              <w:t>0</w:t>
            </w:r>
          </w:p>
        </w:tc>
        <w:tc>
          <w:tcPr>
            <w:tcW w:w="432" w:type="pct"/>
            <w:gridSpan w:val="2"/>
            <w:vAlign w:val="bottom"/>
          </w:tcPr>
          <w:p w14:paraId="78F26F53" w14:textId="77777777" w:rsidR="00435A20" w:rsidRPr="00EF3E60" w:rsidRDefault="00435A20" w:rsidP="00D7780F">
            <w:pPr>
              <w:pBdr>
                <w:bottom w:val="double" w:sz="4" w:space="1" w:color="auto"/>
              </w:pBdr>
              <w:spacing w:line="241" w:lineRule="auto"/>
              <w:rPr>
                <w:b/>
                <w:bCs/>
                <w:rtl/>
              </w:rPr>
            </w:pPr>
            <w:r w:rsidRPr="00EF3E60">
              <w:rPr>
                <w:rFonts w:hint="cs"/>
                <w:b/>
                <w:bCs/>
                <w:rtl/>
              </w:rPr>
              <w:t>0</w:t>
            </w:r>
          </w:p>
        </w:tc>
        <w:tc>
          <w:tcPr>
            <w:tcW w:w="437" w:type="pct"/>
            <w:gridSpan w:val="2"/>
            <w:vAlign w:val="bottom"/>
          </w:tcPr>
          <w:p w14:paraId="07A5B26D" w14:textId="77777777" w:rsidR="00435A20" w:rsidRPr="00EF3E60" w:rsidRDefault="00435A20" w:rsidP="00D7780F">
            <w:pPr>
              <w:pBdr>
                <w:bottom w:val="double" w:sz="4" w:space="1" w:color="auto"/>
              </w:pBdr>
              <w:spacing w:line="241" w:lineRule="auto"/>
              <w:rPr>
                <w:b/>
                <w:bCs/>
                <w:rtl/>
              </w:rPr>
            </w:pPr>
            <w:r w:rsidRPr="00EF3E60">
              <w:rPr>
                <w:rFonts w:hint="cs"/>
                <w:b/>
                <w:bCs/>
                <w:rtl/>
              </w:rPr>
              <w:t>0</w:t>
            </w:r>
          </w:p>
        </w:tc>
      </w:tr>
      <w:tr w:rsidR="00435A20" w:rsidRPr="00EF3E60" w14:paraId="6B9F053F" w14:textId="77777777" w:rsidTr="00903534">
        <w:trPr>
          <w:jc w:val="right"/>
        </w:trPr>
        <w:tc>
          <w:tcPr>
            <w:tcW w:w="506" w:type="pct"/>
          </w:tcPr>
          <w:p w14:paraId="65F382E7" w14:textId="77777777" w:rsidR="00435A20" w:rsidRPr="00EF3E60" w:rsidRDefault="00435A20" w:rsidP="00D7780F">
            <w:pPr>
              <w:bidi w:val="0"/>
              <w:spacing w:line="60" w:lineRule="exact"/>
              <w:rPr>
                <w:sz w:val="14"/>
                <w:szCs w:val="14"/>
                <w:rtl/>
              </w:rPr>
            </w:pPr>
          </w:p>
        </w:tc>
        <w:tc>
          <w:tcPr>
            <w:tcW w:w="2333" w:type="pct"/>
            <w:gridSpan w:val="2"/>
            <w:vAlign w:val="bottom"/>
          </w:tcPr>
          <w:p w14:paraId="5A7097CD" w14:textId="77777777" w:rsidR="00435A20" w:rsidRPr="00EF3E60" w:rsidRDefault="00435A20" w:rsidP="00D7780F">
            <w:pPr>
              <w:bidi w:val="0"/>
              <w:spacing w:line="60" w:lineRule="exact"/>
              <w:rPr>
                <w:b/>
                <w:bCs/>
                <w:color w:val="000000"/>
                <w:rtl/>
                <w:lang w:eastAsia="he-IL"/>
              </w:rPr>
            </w:pPr>
          </w:p>
        </w:tc>
        <w:tc>
          <w:tcPr>
            <w:tcW w:w="432" w:type="pct"/>
            <w:gridSpan w:val="2"/>
            <w:vAlign w:val="bottom"/>
          </w:tcPr>
          <w:p w14:paraId="2C7C6AC4" w14:textId="77777777" w:rsidR="00435A20" w:rsidRPr="00EF3E60" w:rsidRDefault="00435A20" w:rsidP="00D7780F">
            <w:pPr>
              <w:bidi w:val="0"/>
              <w:spacing w:line="60" w:lineRule="exact"/>
              <w:rPr>
                <w:rtl/>
              </w:rPr>
            </w:pPr>
          </w:p>
        </w:tc>
        <w:tc>
          <w:tcPr>
            <w:tcW w:w="432" w:type="pct"/>
            <w:gridSpan w:val="2"/>
            <w:vAlign w:val="bottom"/>
          </w:tcPr>
          <w:p w14:paraId="3C18AC22" w14:textId="77777777" w:rsidR="00435A20" w:rsidRPr="00EF3E60" w:rsidRDefault="00435A20" w:rsidP="00D7780F">
            <w:pPr>
              <w:bidi w:val="0"/>
              <w:spacing w:line="60" w:lineRule="exact"/>
              <w:rPr>
                <w:rtl/>
              </w:rPr>
            </w:pPr>
          </w:p>
        </w:tc>
        <w:tc>
          <w:tcPr>
            <w:tcW w:w="432" w:type="pct"/>
            <w:gridSpan w:val="2"/>
            <w:vAlign w:val="bottom"/>
          </w:tcPr>
          <w:p w14:paraId="19906068" w14:textId="77777777" w:rsidR="00435A20" w:rsidRPr="00EF3E60" w:rsidRDefault="00435A20" w:rsidP="00D7780F">
            <w:pPr>
              <w:bidi w:val="0"/>
              <w:spacing w:line="60" w:lineRule="exact"/>
              <w:rPr>
                <w:rtl/>
              </w:rPr>
            </w:pPr>
          </w:p>
        </w:tc>
        <w:tc>
          <w:tcPr>
            <w:tcW w:w="432" w:type="pct"/>
            <w:gridSpan w:val="2"/>
            <w:vAlign w:val="bottom"/>
          </w:tcPr>
          <w:p w14:paraId="52CF3745" w14:textId="77777777" w:rsidR="00435A20" w:rsidRPr="00EF3E60" w:rsidRDefault="00435A20" w:rsidP="00D7780F">
            <w:pPr>
              <w:bidi w:val="0"/>
              <w:spacing w:line="60" w:lineRule="exact"/>
              <w:rPr>
                <w:rtl/>
              </w:rPr>
            </w:pPr>
          </w:p>
        </w:tc>
        <w:tc>
          <w:tcPr>
            <w:tcW w:w="434" w:type="pct"/>
            <w:gridSpan w:val="2"/>
            <w:vAlign w:val="bottom"/>
          </w:tcPr>
          <w:p w14:paraId="72882276" w14:textId="77777777" w:rsidR="00435A20" w:rsidRPr="00EF3E60" w:rsidRDefault="00435A20" w:rsidP="00D7780F">
            <w:pPr>
              <w:bidi w:val="0"/>
              <w:spacing w:line="60" w:lineRule="exact"/>
              <w:rPr>
                <w:rtl/>
              </w:rPr>
            </w:pPr>
          </w:p>
        </w:tc>
      </w:tr>
    </w:tbl>
    <w:p w14:paraId="4E992FCE" w14:textId="77777777" w:rsidR="00021280" w:rsidRPr="00021280" w:rsidRDefault="00021280" w:rsidP="00021280">
      <w:pPr>
        <w:rPr>
          <w:vanish/>
        </w:rPr>
      </w:pPr>
    </w:p>
    <w:p w14:paraId="65CBDDA8" w14:textId="77777777" w:rsidR="00940F68" w:rsidRDefault="00940F68"/>
    <w:p w14:paraId="59035E7B" w14:textId="77777777" w:rsidR="00940F68" w:rsidRDefault="00940F68">
      <w:pPr>
        <w:rPr>
          <w:rtl/>
        </w:rPr>
      </w:pPr>
    </w:p>
    <w:p w14:paraId="714C7676" w14:textId="77777777" w:rsidR="00940F68" w:rsidRDefault="00940F68"/>
    <w:tbl>
      <w:tblPr>
        <w:bidiVisual/>
        <w:tblW w:w="4786" w:type="pct"/>
        <w:jc w:val="right"/>
        <w:tblLook w:val="01E0" w:firstRow="1" w:lastRow="1" w:firstColumn="1" w:lastColumn="1" w:noHBand="0" w:noVBand="0"/>
      </w:tblPr>
      <w:tblGrid>
        <w:gridCol w:w="989"/>
        <w:gridCol w:w="3969"/>
        <w:gridCol w:w="590"/>
        <w:gridCol w:w="254"/>
        <w:gridCol w:w="590"/>
        <w:gridCol w:w="254"/>
        <w:gridCol w:w="590"/>
        <w:gridCol w:w="254"/>
        <w:gridCol w:w="590"/>
        <w:gridCol w:w="254"/>
        <w:gridCol w:w="590"/>
        <w:gridCol w:w="264"/>
        <w:gridCol w:w="582"/>
      </w:tblGrid>
      <w:tr w:rsidR="00435A20" w:rsidRPr="00EF3E60" w14:paraId="01BA22E4" w14:textId="77777777" w:rsidTr="00903534">
        <w:trPr>
          <w:gridAfter w:val="1"/>
          <w:wAfter w:w="299" w:type="pct"/>
          <w:jc w:val="right"/>
        </w:trPr>
        <w:tc>
          <w:tcPr>
            <w:tcW w:w="506" w:type="pct"/>
          </w:tcPr>
          <w:p w14:paraId="1D698EA5" w14:textId="77777777" w:rsidR="00435A20" w:rsidRPr="00EF3E60" w:rsidRDefault="00435A20" w:rsidP="00D7780F">
            <w:pPr>
              <w:spacing w:line="241" w:lineRule="auto"/>
              <w:rPr>
                <w:rtl/>
              </w:rPr>
            </w:pPr>
          </w:p>
        </w:tc>
        <w:tc>
          <w:tcPr>
            <w:tcW w:w="2031" w:type="pct"/>
            <w:vAlign w:val="bottom"/>
          </w:tcPr>
          <w:p w14:paraId="010F49B7" w14:textId="77777777" w:rsidR="00435A20" w:rsidRPr="00EF3E60" w:rsidRDefault="00435A20" w:rsidP="00D7780F">
            <w:pPr>
              <w:spacing w:line="241" w:lineRule="auto"/>
              <w:rPr>
                <w:rtl/>
              </w:rPr>
            </w:pPr>
          </w:p>
        </w:tc>
        <w:tc>
          <w:tcPr>
            <w:tcW w:w="2164" w:type="pct"/>
            <w:gridSpan w:val="10"/>
            <w:vAlign w:val="bottom"/>
          </w:tcPr>
          <w:p w14:paraId="428BA15C" w14:textId="0B8B7F63" w:rsidR="00435A20" w:rsidRPr="006F749D" w:rsidRDefault="00435A20" w:rsidP="00D7780F">
            <w:pPr>
              <w:pBdr>
                <w:bottom w:val="single" w:sz="6" w:space="1" w:color="auto"/>
              </w:pBdr>
              <w:spacing w:line="241" w:lineRule="auto"/>
              <w:jc w:val="center"/>
              <w:rPr>
                <w:b/>
                <w:bCs/>
                <w:sz w:val="18"/>
                <w:szCs w:val="18"/>
                <w:rtl/>
              </w:rPr>
            </w:pPr>
            <w:r w:rsidRPr="006F749D">
              <w:rPr>
                <w:rFonts w:hint="cs"/>
                <w:b/>
                <w:bCs/>
                <w:sz w:val="18"/>
                <w:szCs w:val="18"/>
                <w:rtl/>
              </w:rPr>
              <w:t xml:space="preserve">ליום 30 ביוני </w:t>
            </w:r>
            <w:r w:rsidRPr="006F749D">
              <w:rPr>
                <w:b/>
                <w:bCs/>
                <w:sz w:val="18"/>
                <w:szCs w:val="18"/>
                <w:rtl/>
              </w:rPr>
              <w:fldChar w:fldCharType="begin"/>
            </w:r>
            <w:r w:rsidRPr="006F749D">
              <w:rPr>
                <w:b/>
                <w:bCs/>
                <w:sz w:val="18"/>
                <w:szCs w:val="18"/>
                <w:rtl/>
              </w:rPr>
              <w:instrText xml:space="preserve"> </w:instrText>
            </w:r>
            <w:r w:rsidRPr="006F749D">
              <w:rPr>
                <w:rFonts w:hint="cs"/>
                <w:b/>
                <w:bCs/>
                <w:sz w:val="18"/>
                <w:szCs w:val="18"/>
                <w:rtl/>
              </w:rPr>
              <w:instrText xml:space="preserve">= </w:instrText>
            </w:r>
            <w:r w:rsidRPr="006F749D">
              <w:rPr>
                <w:rFonts w:hint="cs"/>
                <w:b/>
                <w:bCs/>
                <w:sz w:val="18"/>
                <w:szCs w:val="18"/>
              </w:rPr>
              <w:instrText>CY</w:instrText>
            </w:r>
            <w:r w:rsidRPr="006F749D">
              <w:rPr>
                <w:b/>
                <w:bCs/>
                <w:sz w:val="18"/>
                <w:szCs w:val="18"/>
              </w:rPr>
              <w:instrText>-1</w:instrText>
            </w:r>
            <w:r w:rsidRPr="006F749D">
              <w:rPr>
                <w:rFonts w:hint="cs"/>
                <w:b/>
                <w:bCs/>
                <w:sz w:val="18"/>
                <w:szCs w:val="18"/>
              </w:rPr>
              <w:instrText xml:space="preserve"> \* MERGEFORMAT</w:instrText>
            </w:r>
            <w:r w:rsidRPr="006F749D">
              <w:rPr>
                <w:b/>
                <w:bCs/>
                <w:sz w:val="18"/>
                <w:szCs w:val="18"/>
                <w:rtl/>
              </w:rPr>
              <w:instrText xml:space="preserve"> </w:instrText>
            </w:r>
            <w:r w:rsidRPr="006F749D">
              <w:rPr>
                <w:b/>
                <w:bCs/>
                <w:sz w:val="18"/>
                <w:szCs w:val="18"/>
                <w:rtl/>
              </w:rPr>
              <w:fldChar w:fldCharType="separate"/>
            </w:r>
            <w:r>
              <w:rPr>
                <w:b/>
                <w:bCs/>
                <w:noProof/>
                <w:sz w:val="18"/>
                <w:szCs w:val="18"/>
                <w:rtl/>
              </w:rPr>
              <w:t>2023</w:t>
            </w:r>
            <w:r w:rsidRPr="006F749D">
              <w:rPr>
                <w:b/>
                <w:bCs/>
                <w:sz w:val="18"/>
                <w:szCs w:val="18"/>
                <w:rtl/>
              </w:rPr>
              <w:fldChar w:fldCharType="end"/>
            </w:r>
            <w:r>
              <w:rPr>
                <w:rFonts w:hint="cs"/>
                <w:b/>
                <w:bCs/>
                <w:sz w:val="18"/>
                <w:szCs w:val="18"/>
                <w:rtl/>
              </w:rPr>
              <w:t xml:space="preserve">  </w:t>
            </w:r>
            <w:r w:rsidRPr="003B1E70">
              <w:rPr>
                <w:rFonts w:hint="cs"/>
                <w:sz w:val="18"/>
                <w:szCs w:val="18"/>
                <w:rtl/>
              </w:rPr>
              <w:t>(בלתי מבוקר)</w:t>
            </w:r>
          </w:p>
        </w:tc>
      </w:tr>
      <w:tr w:rsidR="00435A20" w:rsidRPr="00EF3E60" w14:paraId="1CED796A" w14:textId="77777777" w:rsidTr="00903534">
        <w:trPr>
          <w:gridAfter w:val="1"/>
          <w:wAfter w:w="299" w:type="pct"/>
          <w:jc w:val="right"/>
        </w:trPr>
        <w:tc>
          <w:tcPr>
            <w:tcW w:w="506" w:type="pct"/>
          </w:tcPr>
          <w:p w14:paraId="457E0F21" w14:textId="77777777" w:rsidR="00435A20" w:rsidRPr="00EF3E60" w:rsidRDefault="00435A20" w:rsidP="00D7780F">
            <w:pPr>
              <w:spacing w:line="241" w:lineRule="auto"/>
              <w:rPr>
                <w:rtl/>
              </w:rPr>
            </w:pPr>
          </w:p>
        </w:tc>
        <w:tc>
          <w:tcPr>
            <w:tcW w:w="2031" w:type="pct"/>
            <w:vAlign w:val="bottom"/>
          </w:tcPr>
          <w:p w14:paraId="675096FF" w14:textId="0F8DB6CC" w:rsidR="00435A20" w:rsidRPr="00EF3E60" w:rsidRDefault="00435A20" w:rsidP="00D7780F">
            <w:pPr>
              <w:spacing w:line="241" w:lineRule="auto"/>
              <w:rPr>
                <w:sz w:val="18"/>
                <w:szCs w:val="18"/>
                <w:rtl/>
              </w:rPr>
            </w:pPr>
          </w:p>
        </w:tc>
        <w:tc>
          <w:tcPr>
            <w:tcW w:w="432" w:type="pct"/>
            <w:gridSpan w:val="2"/>
            <w:vAlign w:val="bottom"/>
          </w:tcPr>
          <w:p w14:paraId="19BD9885" w14:textId="77777777" w:rsidR="00435A20" w:rsidRPr="006F749D" w:rsidRDefault="00435A20" w:rsidP="00D7780F">
            <w:pPr>
              <w:pBdr>
                <w:bottom w:val="single" w:sz="6" w:space="1" w:color="auto"/>
              </w:pBdr>
              <w:spacing w:line="241" w:lineRule="auto"/>
              <w:jc w:val="center"/>
              <w:rPr>
                <w:b/>
                <w:bCs/>
                <w:sz w:val="18"/>
                <w:szCs w:val="18"/>
                <w:rtl/>
              </w:rPr>
            </w:pPr>
            <w:r w:rsidRPr="006F749D">
              <w:rPr>
                <w:rFonts w:hint="eastAsia"/>
                <w:b/>
                <w:bCs/>
                <w:sz w:val="18"/>
                <w:szCs w:val="18"/>
                <w:rtl/>
              </w:rPr>
              <w:t>עד</w:t>
            </w:r>
            <w:r w:rsidRPr="006F749D">
              <w:rPr>
                <w:b/>
                <w:bCs/>
                <w:sz w:val="18"/>
                <w:szCs w:val="18"/>
                <w:rtl/>
              </w:rPr>
              <w:t xml:space="preserve"> 3 </w:t>
            </w:r>
            <w:r w:rsidRPr="006F749D">
              <w:rPr>
                <w:rFonts w:hint="eastAsia"/>
                <w:b/>
                <w:bCs/>
                <w:sz w:val="18"/>
                <w:szCs w:val="18"/>
                <w:rtl/>
              </w:rPr>
              <w:t>חודשים</w:t>
            </w:r>
          </w:p>
        </w:tc>
        <w:tc>
          <w:tcPr>
            <w:tcW w:w="432" w:type="pct"/>
            <w:gridSpan w:val="2"/>
            <w:vAlign w:val="bottom"/>
          </w:tcPr>
          <w:p w14:paraId="1990DEAA" w14:textId="77777777" w:rsidR="00435A20" w:rsidRPr="006F749D" w:rsidRDefault="00435A20" w:rsidP="00D7780F">
            <w:pPr>
              <w:pBdr>
                <w:bottom w:val="single" w:sz="6" w:space="1" w:color="auto"/>
              </w:pBdr>
              <w:spacing w:line="241" w:lineRule="auto"/>
              <w:jc w:val="center"/>
              <w:rPr>
                <w:b/>
                <w:bCs/>
                <w:sz w:val="18"/>
                <w:szCs w:val="18"/>
                <w:rtl/>
              </w:rPr>
            </w:pPr>
            <w:r w:rsidRPr="006F749D">
              <w:rPr>
                <w:rFonts w:hint="eastAsia"/>
                <w:b/>
                <w:bCs/>
                <w:sz w:val="18"/>
                <w:szCs w:val="18"/>
                <w:rtl/>
              </w:rPr>
              <w:t>מעל</w:t>
            </w:r>
            <w:r w:rsidRPr="006F749D">
              <w:rPr>
                <w:b/>
                <w:bCs/>
                <w:sz w:val="18"/>
                <w:szCs w:val="18"/>
                <w:rtl/>
              </w:rPr>
              <w:t xml:space="preserve"> 3 </w:t>
            </w:r>
            <w:r w:rsidRPr="006F749D">
              <w:rPr>
                <w:rFonts w:hint="eastAsia"/>
                <w:b/>
                <w:bCs/>
                <w:sz w:val="18"/>
                <w:szCs w:val="18"/>
                <w:rtl/>
              </w:rPr>
              <w:t>חודשים</w:t>
            </w:r>
            <w:r w:rsidRPr="006F749D">
              <w:rPr>
                <w:b/>
                <w:bCs/>
                <w:sz w:val="18"/>
                <w:szCs w:val="18"/>
                <w:rtl/>
              </w:rPr>
              <w:t xml:space="preserve"> </w:t>
            </w:r>
            <w:r w:rsidRPr="006F749D">
              <w:rPr>
                <w:rFonts w:hint="eastAsia"/>
                <w:b/>
                <w:bCs/>
                <w:sz w:val="18"/>
                <w:szCs w:val="18"/>
                <w:rtl/>
              </w:rPr>
              <w:t>ועד</w:t>
            </w:r>
            <w:r w:rsidRPr="006F749D">
              <w:rPr>
                <w:b/>
                <w:bCs/>
                <w:sz w:val="18"/>
                <w:szCs w:val="18"/>
                <w:rtl/>
              </w:rPr>
              <w:t xml:space="preserve"> </w:t>
            </w:r>
            <w:r w:rsidRPr="006F749D">
              <w:rPr>
                <w:rFonts w:hint="eastAsia"/>
                <w:b/>
                <w:bCs/>
                <w:sz w:val="18"/>
                <w:szCs w:val="18"/>
                <w:rtl/>
              </w:rPr>
              <w:t>שנה</w:t>
            </w:r>
          </w:p>
        </w:tc>
        <w:tc>
          <w:tcPr>
            <w:tcW w:w="432" w:type="pct"/>
            <w:gridSpan w:val="2"/>
            <w:vAlign w:val="bottom"/>
          </w:tcPr>
          <w:p w14:paraId="65BAEA03" w14:textId="77777777" w:rsidR="00435A20" w:rsidRPr="006F749D" w:rsidRDefault="00435A20" w:rsidP="00D7780F">
            <w:pPr>
              <w:pBdr>
                <w:bottom w:val="single" w:sz="6" w:space="1" w:color="auto"/>
              </w:pBdr>
              <w:spacing w:line="241" w:lineRule="auto"/>
              <w:jc w:val="center"/>
              <w:rPr>
                <w:b/>
                <w:bCs/>
                <w:sz w:val="18"/>
                <w:szCs w:val="18"/>
                <w:rtl/>
              </w:rPr>
            </w:pPr>
            <w:r w:rsidRPr="006F749D">
              <w:rPr>
                <w:rFonts w:hint="eastAsia"/>
                <w:b/>
                <w:bCs/>
                <w:sz w:val="18"/>
                <w:szCs w:val="18"/>
                <w:rtl/>
              </w:rPr>
              <w:t>מעל</w:t>
            </w:r>
            <w:r w:rsidRPr="006F749D">
              <w:rPr>
                <w:b/>
                <w:bCs/>
                <w:sz w:val="18"/>
                <w:szCs w:val="18"/>
                <w:rtl/>
              </w:rPr>
              <w:t xml:space="preserve"> </w:t>
            </w:r>
            <w:r w:rsidRPr="006F749D">
              <w:rPr>
                <w:rFonts w:hint="eastAsia"/>
                <w:b/>
                <w:bCs/>
                <w:sz w:val="18"/>
                <w:szCs w:val="18"/>
                <w:rtl/>
              </w:rPr>
              <w:t>שנה</w:t>
            </w:r>
            <w:r w:rsidRPr="006F749D">
              <w:rPr>
                <w:b/>
                <w:bCs/>
                <w:sz w:val="18"/>
                <w:szCs w:val="18"/>
                <w:rtl/>
              </w:rPr>
              <w:t xml:space="preserve"> </w:t>
            </w:r>
            <w:r w:rsidRPr="006F749D">
              <w:rPr>
                <w:rFonts w:hint="eastAsia"/>
                <w:b/>
                <w:bCs/>
                <w:sz w:val="18"/>
                <w:szCs w:val="18"/>
                <w:rtl/>
              </w:rPr>
              <w:t>ועד</w:t>
            </w:r>
            <w:r w:rsidRPr="006F749D">
              <w:rPr>
                <w:b/>
                <w:bCs/>
                <w:sz w:val="18"/>
                <w:szCs w:val="18"/>
                <w:rtl/>
              </w:rPr>
              <w:t xml:space="preserve"> 5 </w:t>
            </w:r>
            <w:r w:rsidRPr="006F749D">
              <w:rPr>
                <w:rFonts w:hint="eastAsia"/>
                <w:b/>
                <w:bCs/>
                <w:sz w:val="18"/>
                <w:szCs w:val="18"/>
                <w:rtl/>
              </w:rPr>
              <w:t>שנים</w:t>
            </w:r>
          </w:p>
        </w:tc>
        <w:tc>
          <w:tcPr>
            <w:tcW w:w="432" w:type="pct"/>
            <w:gridSpan w:val="2"/>
            <w:vAlign w:val="bottom"/>
          </w:tcPr>
          <w:p w14:paraId="4EB04F27" w14:textId="77777777" w:rsidR="00435A20" w:rsidRPr="006F749D" w:rsidRDefault="00435A20" w:rsidP="00D7780F">
            <w:pPr>
              <w:pBdr>
                <w:bottom w:val="single" w:sz="6" w:space="1" w:color="auto"/>
              </w:pBdr>
              <w:spacing w:line="241" w:lineRule="auto"/>
              <w:jc w:val="center"/>
              <w:rPr>
                <w:b/>
                <w:bCs/>
                <w:sz w:val="18"/>
                <w:szCs w:val="18"/>
                <w:rtl/>
              </w:rPr>
            </w:pPr>
            <w:r w:rsidRPr="006F749D">
              <w:rPr>
                <w:rFonts w:hint="eastAsia"/>
                <w:b/>
                <w:bCs/>
                <w:sz w:val="18"/>
                <w:szCs w:val="18"/>
                <w:rtl/>
              </w:rPr>
              <w:t>מעל</w:t>
            </w:r>
            <w:r w:rsidRPr="006F749D">
              <w:rPr>
                <w:b/>
                <w:bCs/>
                <w:sz w:val="18"/>
                <w:szCs w:val="18"/>
                <w:rtl/>
              </w:rPr>
              <w:t xml:space="preserve"> 5 </w:t>
            </w:r>
            <w:r w:rsidRPr="006F749D">
              <w:rPr>
                <w:rFonts w:hint="eastAsia"/>
                <w:b/>
                <w:bCs/>
                <w:sz w:val="18"/>
                <w:szCs w:val="18"/>
                <w:rtl/>
              </w:rPr>
              <w:t>שנים</w:t>
            </w:r>
          </w:p>
        </w:tc>
        <w:tc>
          <w:tcPr>
            <w:tcW w:w="437" w:type="pct"/>
            <w:gridSpan w:val="2"/>
            <w:vAlign w:val="bottom"/>
          </w:tcPr>
          <w:p w14:paraId="5CD971BE" w14:textId="77777777" w:rsidR="00435A20" w:rsidRPr="006F749D" w:rsidRDefault="00435A20" w:rsidP="00D7780F">
            <w:pPr>
              <w:pBdr>
                <w:bottom w:val="single" w:sz="6" w:space="1" w:color="auto"/>
              </w:pBdr>
              <w:spacing w:line="241" w:lineRule="auto"/>
              <w:jc w:val="center"/>
              <w:rPr>
                <w:b/>
                <w:bCs/>
                <w:sz w:val="18"/>
                <w:szCs w:val="18"/>
                <w:rtl/>
              </w:rPr>
            </w:pPr>
            <w:r w:rsidRPr="006F749D">
              <w:rPr>
                <w:rFonts w:hint="eastAsia"/>
                <w:b/>
                <w:bCs/>
                <w:sz w:val="18"/>
                <w:szCs w:val="18"/>
                <w:rtl/>
              </w:rPr>
              <w:t>סך</w:t>
            </w:r>
            <w:r w:rsidRPr="006F749D">
              <w:rPr>
                <w:b/>
                <w:bCs/>
                <w:sz w:val="18"/>
                <w:szCs w:val="18"/>
                <w:rtl/>
              </w:rPr>
              <w:t xml:space="preserve"> </w:t>
            </w:r>
            <w:r w:rsidRPr="006F749D">
              <w:rPr>
                <w:rFonts w:hint="eastAsia"/>
                <w:b/>
                <w:bCs/>
                <w:sz w:val="18"/>
                <w:szCs w:val="18"/>
                <w:rtl/>
              </w:rPr>
              <w:t>הכל</w:t>
            </w:r>
          </w:p>
        </w:tc>
      </w:tr>
      <w:tr w:rsidR="00435A20" w:rsidRPr="00EF3E60" w14:paraId="591E33C1" w14:textId="77777777" w:rsidTr="00903534">
        <w:trPr>
          <w:gridAfter w:val="1"/>
          <w:wAfter w:w="299" w:type="pct"/>
          <w:jc w:val="right"/>
        </w:trPr>
        <w:tc>
          <w:tcPr>
            <w:tcW w:w="506" w:type="pct"/>
          </w:tcPr>
          <w:p w14:paraId="299BF2A7" w14:textId="77777777" w:rsidR="00435A20" w:rsidRPr="00EF3E60" w:rsidRDefault="00435A20" w:rsidP="00D7780F">
            <w:pPr>
              <w:jc w:val="left"/>
              <w:rPr>
                <w:sz w:val="14"/>
                <w:szCs w:val="14"/>
                <w:rtl/>
              </w:rPr>
            </w:pPr>
          </w:p>
        </w:tc>
        <w:tc>
          <w:tcPr>
            <w:tcW w:w="2031" w:type="pct"/>
            <w:vAlign w:val="bottom"/>
          </w:tcPr>
          <w:p w14:paraId="6F3871AF" w14:textId="77777777" w:rsidR="00435A20" w:rsidRPr="00EF3E60" w:rsidRDefault="00435A20" w:rsidP="00D7780F">
            <w:pPr>
              <w:spacing w:line="200" w:lineRule="exact"/>
              <w:ind w:left="144" w:hanging="144"/>
              <w:jc w:val="left"/>
              <w:rPr>
                <w:color w:val="000000"/>
                <w:rtl/>
                <w:lang w:eastAsia="he-IL"/>
              </w:rPr>
            </w:pPr>
            <w:r w:rsidRPr="00EF3E60">
              <w:rPr>
                <w:rFonts w:hint="cs"/>
                <w:color w:val="000000"/>
                <w:rtl/>
                <w:lang w:eastAsia="he-IL"/>
              </w:rPr>
              <w:t>חוזי ריבית:</w:t>
            </w:r>
          </w:p>
        </w:tc>
        <w:tc>
          <w:tcPr>
            <w:tcW w:w="432" w:type="pct"/>
            <w:gridSpan w:val="2"/>
            <w:vAlign w:val="bottom"/>
          </w:tcPr>
          <w:p w14:paraId="636E425B" w14:textId="77777777" w:rsidR="00435A20" w:rsidRPr="00EF3E60" w:rsidRDefault="00435A20" w:rsidP="00D7780F">
            <w:pPr>
              <w:spacing w:line="241" w:lineRule="auto"/>
              <w:rPr>
                <w:rtl/>
              </w:rPr>
            </w:pPr>
          </w:p>
        </w:tc>
        <w:tc>
          <w:tcPr>
            <w:tcW w:w="432" w:type="pct"/>
            <w:gridSpan w:val="2"/>
            <w:vAlign w:val="bottom"/>
          </w:tcPr>
          <w:p w14:paraId="17F47999" w14:textId="77777777" w:rsidR="00435A20" w:rsidRPr="00EF3E60" w:rsidRDefault="00435A20" w:rsidP="00D7780F">
            <w:pPr>
              <w:spacing w:line="241" w:lineRule="auto"/>
              <w:rPr>
                <w:rtl/>
              </w:rPr>
            </w:pPr>
          </w:p>
        </w:tc>
        <w:tc>
          <w:tcPr>
            <w:tcW w:w="432" w:type="pct"/>
            <w:gridSpan w:val="2"/>
            <w:vAlign w:val="bottom"/>
          </w:tcPr>
          <w:p w14:paraId="18E9A293" w14:textId="77777777" w:rsidR="00435A20" w:rsidRPr="00EF3E60" w:rsidRDefault="00435A20" w:rsidP="00D7780F">
            <w:pPr>
              <w:spacing w:line="241" w:lineRule="auto"/>
              <w:rPr>
                <w:rtl/>
              </w:rPr>
            </w:pPr>
          </w:p>
        </w:tc>
        <w:tc>
          <w:tcPr>
            <w:tcW w:w="432" w:type="pct"/>
            <w:gridSpan w:val="2"/>
            <w:vAlign w:val="bottom"/>
          </w:tcPr>
          <w:p w14:paraId="560E9986" w14:textId="77777777" w:rsidR="00435A20" w:rsidRPr="00EF3E60" w:rsidRDefault="00435A20" w:rsidP="00D7780F">
            <w:pPr>
              <w:spacing w:line="241" w:lineRule="auto"/>
              <w:rPr>
                <w:rtl/>
              </w:rPr>
            </w:pPr>
          </w:p>
        </w:tc>
        <w:tc>
          <w:tcPr>
            <w:tcW w:w="437" w:type="pct"/>
            <w:gridSpan w:val="2"/>
            <w:vAlign w:val="bottom"/>
          </w:tcPr>
          <w:p w14:paraId="09248565" w14:textId="77777777" w:rsidR="00435A20" w:rsidRPr="00EF3E60" w:rsidRDefault="00435A20" w:rsidP="00D7780F">
            <w:pPr>
              <w:spacing w:line="241" w:lineRule="auto"/>
              <w:rPr>
                <w:rtl/>
              </w:rPr>
            </w:pPr>
          </w:p>
        </w:tc>
      </w:tr>
      <w:tr w:rsidR="00435A20" w:rsidRPr="00EF3E60" w14:paraId="7531997D" w14:textId="77777777" w:rsidTr="00903534">
        <w:trPr>
          <w:gridAfter w:val="1"/>
          <w:wAfter w:w="299" w:type="pct"/>
          <w:jc w:val="right"/>
        </w:trPr>
        <w:tc>
          <w:tcPr>
            <w:tcW w:w="506" w:type="pct"/>
          </w:tcPr>
          <w:p w14:paraId="76B45890" w14:textId="77777777" w:rsidR="00435A20" w:rsidRPr="00EF3E60" w:rsidRDefault="00435A20" w:rsidP="00D7780F">
            <w:pPr>
              <w:jc w:val="left"/>
              <w:rPr>
                <w:sz w:val="14"/>
                <w:szCs w:val="14"/>
                <w:rtl/>
              </w:rPr>
            </w:pPr>
          </w:p>
        </w:tc>
        <w:tc>
          <w:tcPr>
            <w:tcW w:w="2031" w:type="pct"/>
            <w:vAlign w:val="bottom"/>
          </w:tcPr>
          <w:p w14:paraId="18E33995" w14:textId="77777777" w:rsidR="00435A20" w:rsidRPr="00EF3E60" w:rsidRDefault="00435A20" w:rsidP="00757C90">
            <w:pPr>
              <w:spacing w:line="200" w:lineRule="exact"/>
              <w:ind w:left="170"/>
              <w:jc w:val="left"/>
              <w:rPr>
                <w:color w:val="000000"/>
                <w:rtl/>
                <w:lang w:eastAsia="he-IL"/>
              </w:rPr>
            </w:pPr>
            <w:r w:rsidRPr="00EF3E60">
              <w:rPr>
                <w:rFonts w:hint="cs"/>
                <w:color w:val="000000"/>
                <w:rtl/>
                <w:lang w:eastAsia="he-IL"/>
              </w:rPr>
              <w:t>שקל-מדד</w:t>
            </w:r>
          </w:p>
        </w:tc>
        <w:tc>
          <w:tcPr>
            <w:tcW w:w="432" w:type="pct"/>
            <w:gridSpan w:val="2"/>
            <w:vAlign w:val="bottom"/>
          </w:tcPr>
          <w:p w14:paraId="6024CBBD"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7EA8FDDA"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341F9F7D"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3C364BA9" w14:textId="77777777" w:rsidR="00435A20" w:rsidRPr="00EF3E60" w:rsidRDefault="00435A20" w:rsidP="00D7780F">
            <w:pPr>
              <w:spacing w:line="241" w:lineRule="auto"/>
              <w:rPr>
                <w:rtl/>
              </w:rPr>
            </w:pPr>
            <w:r w:rsidRPr="00EF3E60">
              <w:rPr>
                <w:rFonts w:hint="cs"/>
                <w:rtl/>
              </w:rPr>
              <w:t>0</w:t>
            </w:r>
          </w:p>
        </w:tc>
        <w:tc>
          <w:tcPr>
            <w:tcW w:w="437" w:type="pct"/>
            <w:gridSpan w:val="2"/>
            <w:vAlign w:val="bottom"/>
          </w:tcPr>
          <w:p w14:paraId="0A0176A7" w14:textId="77777777" w:rsidR="00435A20" w:rsidRPr="00EF3E60" w:rsidRDefault="00435A20" w:rsidP="00D7780F">
            <w:pPr>
              <w:spacing w:line="241" w:lineRule="auto"/>
              <w:rPr>
                <w:rtl/>
              </w:rPr>
            </w:pPr>
            <w:r w:rsidRPr="00EF3E60">
              <w:rPr>
                <w:rFonts w:hint="cs"/>
                <w:rtl/>
              </w:rPr>
              <w:t>0</w:t>
            </w:r>
          </w:p>
        </w:tc>
      </w:tr>
      <w:tr w:rsidR="00435A20" w:rsidRPr="00EF3E60" w14:paraId="52437D1D" w14:textId="77777777" w:rsidTr="00903534">
        <w:trPr>
          <w:gridAfter w:val="1"/>
          <w:wAfter w:w="299" w:type="pct"/>
          <w:jc w:val="right"/>
        </w:trPr>
        <w:tc>
          <w:tcPr>
            <w:tcW w:w="506" w:type="pct"/>
          </w:tcPr>
          <w:p w14:paraId="0ADA52CA" w14:textId="77777777" w:rsidR="00435A20" w:rsidRPr="00EF3E60" w:rsidRDefault="00435A20" w:rsidP="00D7780F">
            <w:pPr>
              <w:jc w:val="left"/>
              <w:rPr>
                <w:sz w:val="14"/>
                <w:szCs w:val="14"/>
                <w:rtl/>
              </w:rPr>
            </w:pPr>
          </w:p>
        </w:tc>
        <w:tc>
          <w:tcPr>
            <w:tcW w:w="2031" w:type="pct"/>
            <w:vAlign w:val="bottom"/>
          </w:tcPr>
          <w:p w14:paraId="3CDEBFF9" w14:textId="7147FD58" w:rsidR="00435A20" w:rsidRPr="00EF3E60" w:rsidRDefault="00435A20" w:rsidP="00060732">
            <w:pPr>
              <w:spacing w:line="200" w:lineRule="exact"/>
              <w:ind w:left="105" w:hanging="48"/>
              <w:jc w:val="left"/>
              <w:rPr>
                <w:color w:val="000000"/>
                <w:rtl/>
                <w:lang w:eastAsia="he-IL"/>
              </w:rPr>
            </w:pPr>
            <w:r w:rsidRPr="00EF3E60">
              <w:rPr>
                <w:rFonts w:hint="cs"/>
                <w:color w:val="000000"/>
                <w:rtl/>
                <w:lang w:eastAsia="he-IL"/>
              </w:rPr>
              <w:t xml:space="preserve">  אחר</w:t>
            </w:r>
          </w:p>
        </w:tc>
        <w:tc>
          <w:tcPr>
            <w:tcW w:w="432" w:type="pct"/>
            <w:gridSpan w:val="2"/>
            <w:vAlign w:val="bottom"/>
          </w:tcPr>
          <w:p w14:paraId="48778CB2"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2D5D6F51"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74844A6B"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1227DC77" w14:textId="77777777" w:rsidR="00435A20" w:rsidRPr="00EF3E60" w:rsidRDefault="00435A20" w:rsidP="00D7780F">
            <w:pPr>
              <w:spacing w:line="241" w:lineRule="auto"/>
              <w:rPr>
                <w:rtl/>
              </w:rPr>
            </w:pPr>
            <w:r w:rsidRPr="00EF3E60">
              <w:rPr>
                <w:rFonts w:hint="cs"/>
                <w:rtl/>
              </w:rPr>
              <w:t>0</w:t>
            </w:r>
          </w:p>
        </w:tc>
        <w:tc>
          <w:tcPr>
            <w:tcW w:w="437" w:type="pct"/>
            <w:gridSpan w:val="2"/>
            <w:vAlign w:val="bottom"/>
          </w:tcPr>
          <w:p w14:paraId="1E4182CC" w14:textId="77777777" w:rsidR="00435A20" w:rsidRPr="00EF3E60" w:rsidRDefault="00435A20" w:rsidP="00D7780F">
            <w:pPr>
              <w:spacing w:line="241" w:lineRule="auto"/>
              <w:rPr>
                <w:rtl/>
              </w:rPr>
            </w:pPr>
            <w:r w:rsidRPr="00EF3E60">
              <w:rPr>
                <w:rFonts w:hint="cs"/>
                <w:rtl/>
              </w:rPr>
              <w:t>0</w:t>
            </w:r>
          </w:p>
        </w:tc>
      </w:tr>
      <w:tr w:rsidR="00435A20" w:rsidRPr="00EF3E60" w14:paraId="38B46907" w14:textId="77777777" w:rsidTr="00903534">
        <w:trPr>
          <w:gridAfter w:val="1"/>
          <w:wAfter w:w="299" w:type="pct"/>
          <w:jc w:val="right"/>
        </w:trPr>
        <w:tc>
          <w:tcPr>
            <w:tcW w:w="506" w:type="pct"/>
          </w:tcPr>
          <w:p w14:paraId="02239370" w14:textId="77777777" w:rsidR="00435A20" w:rsidRPr="00EF3E60" w:rsidRDefault="00435A20" w:rsidP="00D7780F">
            <w:pPr>
              <w:jc w:val="left"/>
              <w:rPr>
                <w:sz w:val="14"/>
                <w:szCs w:val="14"/>
                <w:rtl/>
              </w:rPr>
            </w:pPr>
          </w:p>
        </w:tc>
        <w:tc>
          <w:tcPr>
            <w:tcW w:w="2031" w:type="pct"/>
            <w:vAlign w:val="bottom"/>
          </w:tcPr>
          <w:p w14:paraId="70F792D7" w14:textId="77777777" w:rsidR="00435A20" w:rsidRPr="00EF3E60" w:rsidRDefault="00435A20" w:rsidP="00D7780F">
            <w:pPr>
              <w:spacing w:line="200" w:lineRule="exact"/>
              <w:ind w:left="144" w:hanging="144"/>
              <w:jc w:val="left"/>
              <w:rPr>
                <w:color w:val="000000"/>
                <w:rtl/>
                <w:lang w:eastAsia="he-IL"/>
              </w:rPr>
            </w:pPr>
            <w:r w:rsidRPr="00EF3E60">
              <w:rPr>
                <w:rFonts w:hint="cs"/>
                <w:color w:val="000000"/>
                <w:rtl/>
                <w:lang w:eastAsia="he-IL"/>
              </w:rPr>
              <w:t>חוזי מטבע חוץ</w:t>
            </w:r>
          </w:p>
        </w:tc>
        <w:tc>
          <w:tcPr>
            <w:tcW w:w="432" w:type="pct"/>
            <w:gridSpan w:val="2"/>
            <w:vAlign w:val="bottom"/>
          </w:tcPr>
          <w:p w14:paraId="64C925FC"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13C31356"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3DC9751A"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749E3C63" w14:textId="77777777" w:rsidR="00435A20" w:rsidRPr="00EF3E60" w:rsidRDefault="00435A20" w:rsidP="00D7780F">
            <w:pPr>
              <w:spacing w:line="241" w:lineRule="auto"/>
              <w:rPr>
                <w:rtl/>
              </w:rPr>
            </w:pPr>
            <w:r w:rsidRPr="00EF3E60">
              <w:rPr>
                <w:rFonts w:hint="cs"/>
                <w:rtl/>
              </w:rPr>
              <w:t>0</w:t>
            </w:r>
          </w:p>
        </w:tc>
        <w:tc>
          <w:tcPr>
            <w:tcW w:w="437" w:type="pct"/>
            <w:gridSpan w:val="2"/>
            <w:vAlign w:val="bottom"/>
          </w:tcPr>
          <w:p w14:paraId="757F88EA" w14:textId="77777777" w:rsidR="00435A20" w:rsidRPr="00EF3E60" w:rsidRDefault="00435A20" w:rsidP="00D7780F">
            <w:pPr>
              <w:spacing w:line="241" w:lineRule="auto"/>
              <w:rPr>
                <w:rtl/>
              </w:rPr>
            </w:pPr>
            <w:r w:rsidRPr="00EF3E60">
              <w:rPr>
                <w:rFonts w:hint="cs"/>
                <w:rtl/>
              </w:rPr>
              <w:t>0</w:t>
            </w:r>
          </w:p>
        </w:tc>
      </w:tr>
      <w:tr w:rsidR="00435A20" w:rsidRPr="00EF3E60" w14:paraId="77197375" w14:textId="77777777" w:rsidTr="00903534">
        <w:trPr>
          <w:gridAfter w:val="1"/>
          <w:wAfter w:w="299" w:type="pct"/>
          <w:jc w:val="right"/>
        </w:trPr>
        <w:tc>
          <w:tcPr>
            <w:tcW w:w="506" w:type="pct"/>
          </w:tcPr>
          <w:p w14:paraId="7C2DFA4C" w14:textId="77777777" w:rsidR="00435A20" w:rsidRPr="00EF3E60" w:rsidRDefault="00435A20" w:rsidP="00D7780F">
            <w:pPr>
              <w:jc w:val="left"/>
              <w:rPr>
                <w:sz w:val="14"/>
                <w:szCs w:val="14"/>
                <w:rtl/>
              </w:rPr>
            </w:pPr>
          </w:p>
        </w:tc>
        <w:tc>
          <w:tcPr>
            <w:tcW w:w="2031" w:type="pct"/>
            <w:vAlign w:val="bottom"/>
          </w:tcPr>
          <w:p w14:paraId="05CA87E7" w14:textId="77777777" w:rsidR="00435A20" w:rsidRPr="00EF3E60" w:rsidRDefault="00435A20" w:rsidP="00D7780F">
            <w:pPr>
              <w:spacing w:line="200" w:lineRule="exact"/>
              <w:ind w:left="144" w:hanging="144"/>
              <w:jc w:val="left"/>
              <w:rPr>
                <w:color w:val="000000"/>
                <w:rtl/>
                <w:lang w:eastAsia="he-IL"/>
              </w:rPr>
            </w:pPr>
            <w:r w:rsidRPr="00EF3E60">
              <w:rPr>
                <w:rFonts w:hint="cs"/>
                <w:color w:val="000000"/>
                <w:rtl/>
                <w:lang w:eastAsia="he-IL"/>
              </w:rPr>
              <w:t>חוזים בגין מניות</w:t>
            </w:r>
          </w:p>
        </w:tc>
        <w:tc>
          <w:tcPr>
            <w:tcW w:w="432" w:type="pct"/>
            <w:gridSpan w:val="2"/>
            <w:vAlign w:val="bottom"/>
          </w:tcPr>
          <w:p w14:paraId="45CC5606"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4B0D0B5B"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4E798078" w14:textId="77777777" w:rsidR="00435A20" w:rsidRPr="00EF3E60" w:rsidRDefault="00435A20" w:rsidP="00D7780F">
            <w:pPr>
              <w:spacing w:line="241" w:lineRule="auto"/>
              <w:rPr>
                <w:rtl/>
              </w:rPr>
            </w:pPr>
            <w:r w:rsidRPr="00EF3E60">
              <w:rPr>
                <w:rFonts w:hint="cs"/>
                <w:rtl/>
              </w:rPr>
              <w:t>0</w:t>
            </w:r>
          </w:p>
        </w:tc>
        <w:tc>
          <w:tcPr>
            <w:tcW w:w="432" w:type="pct"/>
            <w:gridSpan w:val="2"/>
            <w:vAlign w:val="bottom"/>
          </w:tcPr>
          <w:p w14:paraId="26425057" w14:textId="77777777" w:rsidR="00435A20" w:rsidRPr="00EF3E60" w:rsidRDefault="00435A20" w:rsidP="00D7780F">
            <w:pPr>
              <w:spacing w:line="241" w:lineRule="auto"/>
              <w:rPr>
                <w:rtl/>
              </w:rPr>
            </w:pPr>
            <w:r w:rsidRPr="00EF3E60">
              <w:rPr>
                <w:rFonts w:hint="cs"/>
                <w:rtl/>
              </w:rPr>
              <w:t>0</w:t>
            </w:r>
          </w:p>
        </w:tc>
        <w:tc>
          <w:tcPr>
            <w:tcW w:w="437" w:type="pct"/>
            <w:gridSpan w:val="2"/>
            <w:vAlign w:val="bottom"/>
          </w:tcPr>
          <w:p w14:paraId="5910DDCA" w14:textId="77777777" w:rsidR="00435A20" w:rsidRPr="00EF3E60" w:rsidRDefault="00435A20" w:rsidP="00D7780F">
            <w:pPr>
              <w:spacing w:line="241" w:lineRule="auto"/>
              <w:rPr>
                <w:rtl/>
              </w:rPr>
            </w:pPr>
            <w:r w:rsidRPr="00EF3E60">
              <w:rPr>
                <w:rFonts w:hint="cs"/>
                <w:rtl/>
              </w:rPr>
              <w:t>0</w:t>
            </w:r>
          </w:p>
        </w:tc>
      </w:tr>
      <w:tr w:rsidR="00435A20" w:rsidRPr="00EF3E60" w14:paraId="4464DFD2" w14:textId="77777777" w:rsidTr="00903534">
        <w:trPr>
          <w:gridAfter w:val="1"/>
          <w:wAfter w:w="299" w:type="pct"/>
          <w:jc w:val="right"/>
        </w:trPr>
        <w:tc>
          <w:tcPr>
            <w:tcW w:w="506" w:type="pct"/>
          </w:tcPr>
          <w:p w14:paraId="266F50FB" w14:textId="77777777" w:rsidR="00435A20" w:rsidRPr="00EF3E60" w:rsidRDefault="00435A20" w:rsidP="00D7780F">
            <w:pPr>
              <w:jc w:val="left"/>
              <w:rPr>
                <w:sz w:val="14"/>
                <w:szCs w:val="14"/>
                <w:rtl/>
              </w:rPr>
            </w:pPr>
          </w:p>
        </w:tc>
        <w:tc>
          <w:tcPr>
            <w:tcW w:w="2031" w:type="pct"/>
            <w:vAlign w:val="bottom"/>
          </w:tcPr>
          <w:p w14:paraId="04CACB22" w14:textId="77777777" w:rsidR="00435A20" w:rsidRPr="00EF3E60" w:rsidRDefault="00435A20" w:rsidP="00D7780F">
            <w:pPr>
              <w:spacing w:line="200" w:lineRule="exact"/>
              <w:ind w:left="144" w:hanging="144"/>
              <w:jc w:val="left"/>
              <w:rPr>
                <w:color w:val="000000"/>
                <w:rtl/>
                <w:lang w:eastAsia="he-IL"/>
              </w:rPr>
            </w:pPr>
            <w:r w:rsidRPr="00EF3E60">
              <w:rPr>
                <w:rFonts w:hint="cs"/>
                <w:color w:val="000000"/>
                <w:rtl/>
                <w:lang w:eastAsia="he-IL"/>
              </w:rPr>
              <w:t>חוזי סחורות ואחרים</w:t>
            </w:r>
          </w:p>
        </w:tc>
        <w:tc>
          <w:tcPr>
            <w:tcW w:w="432" w:type="pct"/>
            <w:gridSpan w:val="2"/>
            <w:vAlign w:val="bottom"/>
          </w:tcPr>
          <w:p w14:paraId="72DF8594" w14:textId="77777777" w:rsidR="00435A20" w:rsidRPr="00EF3E60" w:rsidRDefault="00435A20" w:rsidP="00D7780F">
            <w:pPr>
              <w:pBdr>
                <w:bottom w:val="single" w:sz="4" w:space="1" w:color="auto"/>
              </w:pBdr>
              <w:spacing w:line="241" w:lineRule="auto"/>
              <w:rPr>
                <w:rtl/>
              </w:rPr>
            </w:pPr>
            <w:r w:rsidRPr="00EF3E60">
              <w:rPr>
                <w:rFonts w:hint="cs"/>
                <w:rtl/>
              </w:rPr>
              <w:t>0</w:t>
            </w:r>
          </w:p>
        </w:tc>
        <w:tc>
          <w:tcPr>
            <w:tcW w:w="432" w:type="pct"/>
            <w:gridSpan w:val="2"/>
            <w:vAlign w:val="bottom"/>
          </w:tcPr>
          <w:p w14:paraId="041481BF" w14:textId="77777777" w:rsidR="00435A20" w:rsidRPr="00EF3E60" w:rsidRDefault="00435A20" w:rsidP="00D7780F">
            <w:pPr>
              <w:pBdr>
                <w:bottom w:val="single" w:sz="4" w:space="1" w:color="auto"/>
              </w:pBdr>
              <w:spacing w:line="241" w:lineRule="auto"/>
              <w:rPr>
                <w:rtl/>
              </w:rPr>
            </w:pPr>
            <w:r w:rsidRPr="00EF3E60">
              <w:rPr>
                <w:rFonts w:hint="cs"/>
                <w:rtl/>
              </w:rPr>
              <w:t>0</w:t>
            </w:r>
          </w:p>
        </w:tc>
        <w:tc>
          <w:tcPr>
            <w:tcW w:w="432" w:type="pct"/>
            <w:gridSpan w:val="2"/>
            <w:vAlign w:val="bottom"/>
          </w:tcPr>
          <w:p w14:paraId="21C21CFC" w14:textId="77777777" w:rsidR="00435A20" w:rsidRPr="00EF3E60" w:rsidRDefault="00435A20" w:rsidP="00D7780F">
            <w:pPr>
              <w:pBdr>
                <w:bottom w:val="single" w:sz="4" w:space="1" w:color="auto"/>
              </w:pBdr>
              <w:spacing w:line="241" w:lineRule="auto"/>
              <w:rPr>
                <w:rtl/>
              </w:rPr>
            </w:pPr>
            <w:r w:rsidRPr="00EF3E60">
              <w:rPr>
                <w:rFonts w:hint="cs"/>
                <w:rtl/>
              </w:rPr>
              <w:t>0</w:t>
            </w:r>
          </w:p>
        </w:tc>
        <w:tc>
          <w:tcPr>
            <w:tcW w:w="432" w:type="pct"/>
            <w:gridSpan w:val="2"/>
            <w:vAlign w:val="bottom"/>
          </w:tcPr>
          <w:p w14:paraId="2EDEA38C" w14:textId="77777777" w:rsidR="00435A20" w:rsidRPr="00EF3E60" w:rsidRDefault="00435A20" w:rsidP="00D7780F">
            <w:pPr>
              <w:pBdr>
                <w:bottom w:val="single" w:sz="4" w:space="1" w:color="auto"/>
              </w:pBdr>
              <w:spacing w:line="241" w:lineRule="auto"/>
              <w:rPr>
                <w:rtl/>
              </w:rPr>
            </w:pPr>
            <w:r w:rsidRPr="00EF3E60">
              <w:rPr>
                <w:rFonts w:hint="cs"/>
                <w:rtl/>
              </w:rPr>
              <w:t>0</w:t>
            </w:r>
          </w:p>
        </w:tc>
        <w:tc>
          <w:tcPr>
            <w:tcW w:w="437" w:type="pct"/>
            <w:gridSpan w:val="2"/>
            <w:vAlign w:val="bottom"/>
          </w:tcPr>
          <w:p w14:paraId="2E350DF3" w14:textId="77777777" w:rsidR="00435A20" w:rsidRPr="00EF3E60" w:rsidRDefault="00435A20" w:rsidP="00D7780F">
            <w:pPr>
              <w:pBdr>
                <w:bottom w:val="single" w:sz="4" w:space="1" w:color="auto"/>
              </w:pBdr>
              <w:spacing w:line="241" w:lineRule="auto"/>
              <w:rPr>
                <w:rtl/>
              </w:rPr>
            </w:pPr>
            <w:r w:rsidRPr="00EF3E60">
              <w:rPr>
                <w:rFonts w:hint="cs"/>
                <w:rtl/>
              </w:rPr>
              <w:t>0</w:t>
            </w:r>
          </w:p>
        </w:tc>
      </w:tr>
      <w:tr w:rsidR="00435A20" w:rsidRPr="00EF3E60" w14:paraId="23423EF4" w14:textId="77777777" w:rsidTr="00903534">
        <w:trPr>
          <w:gridAfter w:val="1"/>
          <w:wAfter w:w="299" w:type="pct"/>
          <w:jc w:val="right"/>
        </w:trPr>
        <w:tc>
          <w:tcPr>
            <w:tcW w:w="506" w:type="pct"/>
          </w:tcPr>
          <w:p w14:paraId="6CEB4C22" w14:textId="77777777" w:rsidR="00435A20" w:rsidRPr="00EF3E60" w:rsidRDefault="00435A20" w:rsidP="00D7780F">
            <w:pPr>
              <w:bidi w:val="0"/>
              <w:spacing w:line="60" w:lineRule="exact"/>
              <w:rPr>
                <w:sz w:val="14"/>
                <w:szCs w:val="14"/>
                <w:rtl/>
              </w:rPr>
            </w:pPr>
          </w:p>
        </w:tc>
        <w:tc>
          <w:tcPr>
            <w:tcW w:w="2031" w:type="pct"/>
            <w:vAlign w:val="bottom"/>
          </w:tcPr>
          <w:p w14:paraId="10111E0F" w14:textId="77777777" w:rsidR="00435A20" w:rsidRPr="00EF3E60" w:rsidRDefault="00435A20" w:rsidP="00D7780F">
            <w:pPr>
              <w:bidi w:val="0"/>
              <w:spacing w:line="60" w:lineRule="exact"/>
              <w:ind w:left="144" w:hanging="144"/>
              <w:rPr>
                <w:color w:val="000000"/>
                <w:rtl/>
                <w:lang w:eastAsia="he-IL"/>
              </w:rPr>
            </w:pPr>
          </w:p>
        </w:tc>
        <w:tc>
          <w:tcPr>
            <w:tcW w:w="432" w:type="pct"/>
            <w:gridSpan w:val="2"/>
            <w:vAlign w:val="bottom"/>
          </w:tcPr>
          <w:p w14:paraId="7BBAD4A7" w14:textId="77777777" w:rsidR="00435A20" w:rsidRPr="00EF3E60" w:rsidRDefault="00435A20" w:rsidP="00D7780F">
            <w:pPr>
              <w:bidi w:val="0"/>
              <w:spacing w:line="60" w:lineRule="exact"/>
              <w:rPr>
                <w:rtl/>
              </w:rPr>
            </w:pPr>
          </w:p>
        </w:tc>
        <w:tc>
          <w:tcPr>
            <w:tcW w:w="432" w:type="pct"/>
            <w:gridSpan w:val="2"/>
            <w:vAlign w:val="bottom"/>
          </w:tcPr>
          <w:p w14:paraId="497CF524" w14:textId="77777777" w:rsidR="00435A20" w:rsidRPr="00EF3E60" w:rsidRDefault="00435A20" w:rsidP="00D7780F">
            <w:pPr>
              <w:bidi w:val="0"/>
              <w:spacing w:line="60" w:lineRule="exact"/>
              <w:rPr>
                <w:rtl/>
              </w:rPr>
            </w:pPr>
          </w:p>
        </w:tc>
        <w:tc>
          <w:tcPr>
            <w:tcW w:w="432" w:type="pct"/>
            <w:gridSpan w:val="2"/>
            <w:vAlign w:val="bottom"/>
          </w:tcPr>
          <w:p w14:paraId="59D54443" w14:textId="77777777" w:rsidR="00435A20" w:rsidRPr="00EF3E60" w:rsidRDefault="00435A20" w:rsidP="00D7780F">
            <w:pPr>
              <w:bidi w:val="0"/>
              <w:spacing w:line="60" w:lineRule="exact"/>
              <w:rPr>
                <w:rtl/>
              </w:rPr>
            </w:pPr>
          </w:p>
        </w:tc>
        <w:tc>
          <w:tcPr>
            <w:tcW w:w="432" w:type="pct"/>
            <w:gridSpan w:val="2"/>
            <w:vAlign w:val="bottom"/>
          </w:tcPr>
          <w:p w14:paraId="65A8A48A" w14:textId="77777777" w:rsidR="00435A20" w:rsidRPr="00EF3E60" w:rsidRDefault="00435A20" w:rsidP="00D7780F">
            <w:pPr>
              <w:bidi w:val="0"/>
              <w:spacing w:line="60" w:lineRule="exact"/>
              <w:rPr>
                <w:rtl/>
              </w:rPr>
            </w:pPr>
          </w:p>
        </w:tc>
        <w:tc>
          <w:tcPr>
            <w:tcW w:w="437" w:type="pct"/>
            <w:gridSpan w:val="2"/>
            <w:vAlign w:val="bottom"/>
          </w:tcPr>
          <w:p w14:paraId="11BD390C" w14:textId="77777777" w:rsidR="00435A20" w:rsidRPr="00EF3E60" w:rsidRDefault="00435A20" w:rsidP="00D7780F">
            <w:pPr>
              <w:bidi w:val="0"/>
              <w:spacing w:line="60" w:lineRule="exact"/>
              <w:rPr>
                <w:rtl/>
              </w:rPr>
            </w:pPr>
          </w:p>
        </w:tc>
      </w:tr>
      <w:tr w:rsidR="00435A20" w:rsidRPr="00EF3E60" w14:paraId="296C0580" w14:textId="77777777" w:rsidTr="00903534">
        <w:trPr>
          <w:gridAfter w:val="1"/>
          <w:wAfter w:w="299" w:type="pct"/>
          <w:jc w:val="right"/>
        </w:trPr>
        <w:tc>
          <w:tcPr>
            <w:tcW w:w="506" w:type="pct"/>
          </w:tcPr>
          <w:p w14:paraId="3F75D5F5" w14:textId="77777777" w:rsidR="00435A20" w:rsidRPr="00EF3E60" w:rsidRDefault="00435A20" w:rsidP="00D7780F">
            <w:pPr>
              <w:jc w:val="left"/>
              <w:rPr>
                <w:sz w:val="14"/>
                <w:szCs w:val="14"/>
                <w:rtl/>
              </w:rPr>
            </w:pPr>
          </w:p>
        </w:tc>
        <w:tc>
          <w:tcPr>
            <w:tcW w:w="2031" w:type="pct"/>
            <w:vAlign w:val="bottom"/>
          </w:tcPr>
          <w:p w14:paraId="115FBF28" w14:textId="77777777" w:rsidR="00435A20" w:rsidRPr="00B678F5" w:rsidRDefault="00435A20" w:rsidP="00D7780F">
            <w:pPr>
              <w:spacing w:line="200" w:lineRule="exact"/>
              <w:ind w:left="144" w:hanging="144"/>
              <w:jc w:val="left"/>
              <w:rPr>
                <w:color w:val="000000"/>
                <w:rtl/>
                <w:lang w:eastAsia="he-IL"/>
              </w:rPr>
            </w:pPr>
            <w:r w:rsidRPr="00B678F5">
              <w:rPr>
                <w:rFonts w:hint="cs"/>
                <w:color w:val="000000"/>
                <w:rtl/>
                <w:lang w:eastAsia="he-IL"/>
              </w:rPr>
              <w:t>סה"כ</w:t>
            </w:r>
          </w:p>
        </w:tc>
        <w:tc>
          <w:tcPr>
            <w:tcW w:w="432" w:type="pct"/>
            <w:gridSpan w:val="2"/>
            <w:vAlign w:val="bottom"/>
          </w:tcPr>
          <w:p w14:paraId="21351E3A" w14:textId="77777777" w:rsidR="00435A20" w:rsidRPr="00EF3E60" w:rsidRDefault="00435A20" w:rsidP="00D7780F">
            <w:pPr>
              <w:pBdr>
                <w:bottom w:val="double" w:sz="4" w:space="1" w:color="auto"/>
              </w:pBdr>
              <w:spacing w:line="241" w:lineRule="auto"/>
              <w:rPr>
                <w:b/>
                <w:bCs/>
                <w:rtl/>
              </w:rPr>
            </w:pPr>
            <w:r w:rsidRPr="00EF3E60">
              <w:rPr>
                <w:rFonts w:hint="cs"/>
                <w:b/>
                <w:bCs/>
                <w:rtl/>
              </w:rPr>
              <w:t>0</w:t>
            </w:r>
          </w:p>
        </w:tc>
        <w:tc>
          <w:tcPr>
            <w:tcW w:w="432" w:type="pct"/>
            <w:gridSpan w:val="2"/>
            <w:vAlign w:val="bottom"/>
          </w:tcPr>
          <w:p w14:paraId="0DD54F7F" w14:textId="77777777" w:rsidR="00435A20" w:rsidRPr="00EF3E60" w:rsidRDefault="00435A20" w:rsidP="00D7780F">
            <w:pPr>
              <w:pBdr>
                <w:bottom w:val="double" w:sz="4" w:space="1" w:color="auto"/>
              </w:pBdr>
              <w:spacing w:line="241" w:lineRule="auto"/>
              <w:rPr>
                <w:b/>
                <w:bCs/>
                <w:rtl/>
              </w:rPr>
            </w:pPr>
            <w:r w:rsidRPr="00EF3E60">
              <w:rPr>
                <w:rFonts w:hint="cs"/>
                <w:b/>
                <w:bCs/>
                <w:rtl/>
              </w:rPr>
              <w:t>0</w:t>
            </w:r>
          </w:p>
        </w:tc>
        <w:tc>
          <w:tcPr>
            <w:tcW w:w="432" w:type="pct"/>
            <w:gridSpan w:val="2"/>
            <w:vAlign w:val="bottom"/>
          </w:tcPr>
          <w:p w14:paraId="4B5765FF" w14:textId="77777777" w:rsidR="00435A20" w:rsidRPr="00EF3E60" w:rsidRDefault="00435A20" w:rsidP="00D7780F">
            <w:pPr>
              <w:pBdr>
                <w:bottom w:val="double" w:sz="4" w:space="1" w:color="auto"/>
              </w:pBdr>
              <w:spacing w:line="241" w:lineRule="auto"/>
              <w:rPr>
                <w:b/>
                <w:bCs/>
                <w:rtl/>
              </w:rPr>
            </w:pPr>
            <w:r w:rsidRPr="00EF3E60">
              <w:rPr>
                <w:rFonts w:hint="cs"/>
                <w:b/>
                <w:bCs/>
                <w:rtl/>
              </w:rPr>
              <w:t>0</w:t>
            </w:r>
          </w:p>
        </w:tc>
        <w:tc>
          <w:tcPr>
            <w:tcW w:w="432" w:type="pct"/>
            <w:gridSpan w:val="2"/>
            <w:vAlign w:val="bottom"/>
          </w:tcPr>
          <w:p w14:paraId="72F0BD94" w14:textId="77777777" w:rsidR="00435A20" w:rsidRPr="00EF3E60" w:rsidRDefault="00435A20" w:rsidP="00D7780F">
            <w:pPr>
              <w:pBdr>
                <w:bottom w:val="double" w:sz="4" w:space="1" w:color="auto"/>
              </w:pBdr>
              <w:spacing w:line="241" w:lineRule="auto"/>
              <w:rPr>
                <w:b/>
                <w:bCs/>
                <w:rtl/>
              </w:rPr>
            </w:pPr>
            <w:r w:rsidRPr="00EF3E60">
              <w:rPr>
                <w:rFonts w:hint="cs"/>
                <w:b/>
                <w:bCs/>
                <w:rtl/>
              </w:rPr>
              <w:t>0</w:t>
            </w:r>
          </w:p>
        </w:tc>
        <w:tc>
          <w:tcPr>
            <w:tcW w:w="437" w:type="pct"/>
            <w:gridSpan w:val="2"/>
            <w:vAlign w:val="bottom"/>
          </w:tcPr>
          <w:p w14:paraId="18A5BDB8" w14:textId="77777777" w:rsidR="00435A20" w:rsidRPr="00EF3E60" w:rsidRDefault="00435A20" w:rsidP="00D7780F">
            <w:pPr>
              <w:pBdr>
                <w:bottom w:val="double" w:sz="4" w:space="1" w:color="auto"/>
              </w:pBdr>
              <w:spacing w:line="241" w:lineRule="auto"/>
              <w:rPr>
                <w:b/>
                <w:bCs/>
                <w:rtl/>
              </w:rPr>
            </w:pPr>
            <w:r w:rsidRPr="00EF3E60">
              <w:rPr>
                <w:rFonts w:hint="cs"/>
                <w:b/>
                <w:bCs/>
                <w:rtl/>
              </w:rPr>
              <w:t>0</w:t>
            </w:r>
          </w:p>
        </w:tc>
      </w:tr>
      <w:tr w:rsidR="00435A20" w:rsidRPr="00EF3E60" w14:paraId="7C154C6F" w14:textId="77777777" w:rsidTr="00903534">
        <w:trPr>
          <w:jc w:val="right"/>
        </w:trPr>
        <w:tc>
          <w:tcPr>
            <w:tcW w:w="506" w:type="pct"/>
          </w:tcPr>
          <w:p w14:paraId="301BC82F" w14:textId="77777777" w:rsidR="00435A20" w:rsidRPr="00EF3E60" w:rsidRDefault="00435A20" w:rsidP="00D7780F">
            <w:pPr>
              <w:bidi w:val="0"/>
              <w:spacing w:line="60" w:lineRule="exact"/>
              <w:rPr>
                <w:sz w:val="14"/>
                <w:szCs w:val="14"/>
                <w:rtl/>
              </w:rPr>
            </w:pPr>
          </w:p>
        </w:tc>
        <w:tc>
          <w:tcPr>
            <w:tcW w:w="2333" w:type="pct"/>
            <w:gridSpan w:val="2"/>
            <w:vAlign w:val="bottom"/>
          </w:tcPr>
          <w:p w14:paraId="6113B438" w14:textId="77777777" w:rsidR="00435A20" w:rsidRPr="00EF3E60" w:rsidRDefault="00435A20" w:rsidP="00D7780F">
            <w:pPr>
              <w:bidi w:val="0"/>
              <w:spacing w:line="60" w:lineRule="exact"/>
              <w:ind w:left="144" w:hanging="144"/>
              <w:rPr>
                <w:b/>
                <w:bCs/>
                <w:color w:val="000000"/>
                <w:rtl/>
                <w:lang w:eastAsia="he-IL"/>
              </w:rPr>
            </w:pPr>
          </w:p>
        </w:tc>
        <w:tc>
          <w:tcPr>
            <w:tcW w:w="432" w:type="pct"/>
            <w:gridSpan w:val="2"/>
            <w:vAlign w:val="bottom"/>
          </w:tcPr>
          <w:p w14:paraId="4BF5B3DE" w14:textId="77777777" w:rsidR="00435A20" w:rsidRPr="00EF3E60" w:rsidRDefault="00435A20" w:rsidP="00D7780F">
            <w:pPr>
              <w:bidi w:val="0"/>
              <w:spacing w:line="60" w:lineRule="exact"/>
              <w:rPr>
                <w:rtl/>
              </w:rPr>
            </w:pPr>
          </w:p>
        </w:tc>
        <w:tc>
          <w:tcPr>
            <w:tcW w:w="432" w:type="pct"/>
            <w:gridSpan w:val="2"/>
            <w:vAlign w:val="bottom"/>
          </w:tcPr>
          <w:p w14:paraId="2C02183A" w14:textId="77777777" w:rsidR="00435A20" w:rsidRPr="00EF3E60" w:rsidRDefault="00435A20" w:rsidP="00D7780F">
            <w:pPr>
              <w:bidi w:val="0"/>
              <w:spacing w:line="60" w:lineRule="exact"/>
              <w:rPr>
                <w:rtl/>
              </w:rPr>
            </w:pPr>
          </w:p>
        </w:tc>
        <w:tc>
          <w:tcPr>
            <w:tcW w:w="432" w:type="pct"/>
            <w:gridSpan w:val="2"/>
            <w:vAlign w:val="bottom"/>
          </w:tcPr>
          <w:p w14:paraId="676834F8" w14:textId="77777777" w:rsidR="00435A20" w:rsidRPr="00EF3E60" w:rsidRDefault="00435A20" w:rsidP="00D7780F">
            <w:pPr>
              <w:bidi w:val="0"/>
              <w:spacing w:line="60" w:lineRule="exact"/>
              <w:rPr>
                <w:rtl/>
              </w:rPr>
            </w:pPr>
          </w:p>
        </w:tc>
        <w:tc>
          <w:tcPr>
            <w:tcW w:w="432" w:type="pct"/>
            <w:gridSpan w:val="2"/>
            <w:vAlign w:val="bottom"/>
          </w:tcPr>
          <w:p w14:paraId="23C50E5F" w14:textId="77777777" w:rsidR="00435A20" w:rsidRPr="00EF3E60" w:rsidRDefault="00435A20" w:rsidP="00D7780F">
            <w:pPr>
              <w:bidi w:val="0"/>
              <w:spacing w:line="60" w:lineRule="exact"/>
              <w:rPr>
                <w:rtl/>
              </w:rPr>
            </w:pPr>
          </w:p>
        </w:tc>
        <w:tc>
          <w:tcPr>
            <w:tcW w:w="434" w:type="pct"/>
            <w:gridSpan w:val="2"/>
            <w:vAlign w:val="bottom"/>
          </w:tcPr>
          <w:p w14:paraId="59C52B27" w14:textId="77777777" w:rsidR="00435A20" w:rsidRPr="00EF3E60" w:rsidRDefault="00435A20" w:rsidP="00D7780F">
            <w:pPr>
              <w:bidi w:val="0"/>
              <w:spacing w:line="60" w:lineRule="exact"/>
              <w:rPr>
                <w:rtl/>
              </w:rPr>
            </w:pPr>
          </w:p>
        </w:tc>
      </w:tr>
    </w:tbl>
    <w:p w14:paraId="58223349" w14:textId="77777777" w:rsidR="00EF3E60" w:rsidRPr="00EF3E60" w:rsidRDefault="00EF3E60" w:rsidP="00EF3E60">
      <w:pPr>
        <w:rPr>
          <w:rtl/>
        </w:rPr>
      </w:pPr>
    </w:p>
    <w:p w14:paraId="33166631" w14:textId="77777777" w:rsidR="00EF3E60" w:rsidRPr="009C6672" w:rsidRDefault="00EF3E60" w:rsidP="00EA192D">
      <w:pPr>
        <w:rPr>
          <w:rtl/>
        </w:rPr>
      </w:pPr>
    </w:p>
    <w:tbl>
      <w:tblPr>
        <w:bidiVisual/>
        <w:tblW w:w="4786" w:type="pct"/>
        <w:jc w:val="right"/>
        <w:tblLook w:val="01E0" w:firstRow="1" w:lastRow="1" w:firstColumn="1" w:lastColumn="1" w:noHBand="0" w:noVBand="0"/>
      </w:tblPr>
      <w:tblGrid>
        <w:gridCol w:w="989"/>
        <w:gridCol w:w="3969"/>
        <w:gridCol w:w="590"/>
        <w:gridCol w:w="254"/>
        <w:gridCol w:w="590"/>
        <w:gridCol w:w="254"/>
        <w:gridCol w:w="590"/>
        <w:gridCol w:w="254"/>
        <w:gridCol w:w="590"/>
        <w:gridCol w:w="254"/>
        <w:gridCol w:w="590"/>
        <w:gridCol w:w="264"/>
        <w:gridCol w:w="582"/>
      </w:tblGrid>
      <w:tr w:rsidR="00903534" w:rsidRPr="00EF3E60" w14:paraId="46EED011" w14:textId="77777777" w:rsidTr="00903534">
        <w:trPr>
          <w:gridAfter w:val="1"/>
          <w:wAfter w:w="298" w:type="pct"/>
          <w:jc w:val="right"/>
        </w:trPr>
        <w:tc>
          <w:tcPr>
            <w:tcW w:w="506" w:type="pct"/>
          </w:tcPr>
          <w:p w14:paraId="4D8090FB" w14:textId="77777777" w:rsidR="00903534" w:rsidRPr="00EF3E60" w:rsidRDefault="00903534" w:rsidP="00903534">
            <w:pPr>
              <w:spacing w:line="241" w:lineRule="auto"/>
              <w:rPr>
                <w:rtl/>
              </w:rPr>
            </w:pPr>
          </w:p>
        </w:tc>
        <w:tc>
          <w:tcPr>
            <w:tcW w:w="2031" w:type="pct"/>
            <w:vAlign w:val="bottom"/>
          </w:tcPr>
          <w:p w14:paraId="5846BF27" w14:textId="77777777" w:rsidR="00903534" w:rsidRPr="00EF3E60" w:rsidRDefault="00903534" w:rsidP="00903534">
            <w:pPr>
              <w:spacing w:line="241" w:lineRule="auto"/>
              <w:rPr>
                <w:rtl/>
              </w:rPr>
            </w:pPr>
          </w:p>
        </w:tc>
        <w:tc>
          <w:tcPr>
            <w:tcW w:w="2165" w:type="pct"/>
            <w:gridSpan w:val="10"/>
            <w:vAlign w:val="bottom"/>
          </w:tcPr>
          <w:p w14:paraId="2D20306F" w14:textId="42FBEE83" w:rsidR="00903534" w:rsidRPr="006F749D" w:rsidRDefault="00903534" w:rsidP="00903534">
            <w:pPr>
              <w:pBdr>
                <w:bottom w:val="single" w:sz="6" w:space="1" w:color="auto"/>
              </w:pBdr>
              <w:spacing w:line="241" w:lineRule="auto"/>
              <w:jc w:val="center"/>
              <w:rPr>
                <w:b/>
                <w:bCs/>
                <w:sz w:val="18"/>
                <w:szCs w:val="18"/>
                <w:rtl/>
              </w:rPr>
            </w:pPr>
            <w:r w:rsidRPr="006F749D">
              <w:rPr>
                <w:rFonts w:hint="cs"/>
                <w:b/>
                <w:bCs/>
                <w:sz w:val="18"/>
                <w:szCs w:val="18"/>
                <w:rtl/>
              </w:rPr>
              <w:t xml:space="preserve">ליום 31 בדצמבר </w:t>
            </w:r>
            <w:r w:rsidRPr="006F749D">
              <w:rPr>
                <w:b/>
                <w:bCs/>
                <w:sz w:val="18"/>
                <w:szCs w:val="18"/>
                <w:rtl/>
              </w:rPr>
              <w:fldChar w:fldCharType="begin"/>
            </w:r>
            <w:r w:rsidRPr="006F749D">
              <w:rPr>
                <w:b/>
                <w:bCs/>
                <w:sz w:val="18"/>
                <w:szCs w:val="18"/>
                <w:rtl/>
              </w:rPr>
              <w:instrText xml:space="preserve"> </w:instrText>
            </w:r>
            <w:r w:rsidRPr="006F749D">
              <w:rPr>
                <w:rFonts w:hint="cs"/>
                <w:b/>
                <w:bCs/>
                <w:sz w:val="18"/>
                <w:szCs w:val="18"/>
                <w:rtl/>
              </w:rPr>
              <w:instrText xml:space="preserve">= </w:instrText>
            </w:r>
            <w:r w:rsidRPr="006F749D">
              <w:rPr>
                <w:rFonts w:hint="cs"/>
                <w:b/>
                <w:bCs/>
                <w:sz w:val="18"/>
                <w:szCs w:val="18"/>
              </w:rPr>
              <w:instrText>CY</w:instrText>
            </w:r>
            <w:r w:rsidRPr="006F749D">
              <w:rPr>
                <w:b/>
                <w:bCs/>
                <w:sz w:val="18"/>
                <w:szCs w:val="18"/>
              </w:rPr>
              <w:instrText>-1</w:instrText>
            </w:r>
            <w:r w:rsidRPr="006F749D">
              <w:rPr>
                <w:rFonts w:hint="cs"/>
                <w:b/>
                <w:bCs/>
                <w:sz w:val="18"/>
                <w:szCs w:val="18"/>
              </w:rPr>
              <w:instrText xml:space="preserve"> \* MERGEFORMAT</w:instrText>
            </w:r>
            <w:r w:rsidRPr="006F749D">
              <w:rPr>
                <w:b/>
                <w:bCs/>
                <w:sz w:val="18"/>
                <w:szCs w:val="18"/>
                <w:rtl/>
              </w:rPr>
              <w:instrText xml:space="preserve"> </w:instrText>
            </w:r>
            <w:r w:rsidRPr="006F749D">
              <w:rPr>
                <w:b/>
                <w:bCs/>
                <w:sz w:val="18"/>
                <w:szCs w:val="18"/>
                <w:rtl/>
              </w:rPr>
              <w:fldChar w:fldCharType="separate"/>
            </w:r>
            <w:r>
              <w:rPr>
                <w:b/>
                <w:bCs/>
                <w:noProof/>
                <w:sz w:val="18"/>
                <w:szCs w:val="18"/>
                <w:rtl/>
              </w:rPr>
              <w:t>2023</w:t>
            </w:r>
            <w:r w:rsidRPr="006F749D">
              <w:rPr>
                <w:b/>
                <w:bCs/>
                <w:sz w:val="18"/>
                <w:szCs w:val="18"/>
                <w:rtl/>
              </w:rPr>
              <w:fldChar w:fldCharType="end"/>
            </w:r>
            <w:r>
              <w:rPr>
                <w:rFonts w:hint="cs"/>
                <w:b/>
                <w:bCs/>
                <w:sz w:val="18"/>
                <w:szCs w:val="18"/>
                <w:rtl/>
              </w:rPr>
              <w:t xml:space="preserve">  </w:t>
            </w:r>
            <w:r w:rsidRPr="003B1E70">
              <w:rPr>
                <w:rFonts w:hint="cs"/>
                <w:sz w:val="18"/>
                <w:szCs w:val="18"/>
                <w:rtl/>
              </w:rPr>
              <w:t>(מבוקר)</w:t>
            </w:r>
          </w:p>
        </w:tc>
      </w:tr>
      <w:tr w:rsidR="00903534" w:rsidRPr="00EF3E60" w14:paraId="105C868C" w14:textId="77777777" w:rsidTr="000A69A2">
        <w:trPr>
          <w:gridAfter w:val="1"/>
          <w:wAfter w:w="298" w:type="pct"/>
          <w:jc w:val="right"/>
        </w:trPr>
        <w:tc>
          <w:tcPr>
            <w:tcW w:w="506" w:type="pct"/>
          </w:tcPr>
          <w:p w14:paraId="52B0E96D" w14:textId="77777777" w:rsidR="00903534" w:rsidRPr="00EF3E60" w:rsidRDefault="00903534" w:rsidP="000A69A2">
            <w:pPr>
              <w:spacing w:line="241" w:lineRule="auto"/>
              <w:rPr>
                <w:rtl/>
              </w:rPr>
            </w:pPr>
          </w:p>
        </w:tc>
        <w:tc>
          <w:tcPr>
            <w:tcW w:w="2031" w:type="pct"/>
            <w:vAlign w:val="bottom"/>
          </w:tcPr>
          <w:p w14:paraId="67F7DED9" w14:textId="77777777" w:rsidR="00903534" w:rsidRPr="00EF3E60" w:rsidRDefault="00903534" w:rsidP="000A69A2">
            <w:pPr>
              <w:spacing w:line="241" w:lineRule="auto"/>
              <w:rPr>
                <w:sz w:val="18"/>
                <w:szCs w:val="18"/>
                <w:rtl/>
              </w:rPr>
            </w:pPr>
            <w:r w:rsidRPr="006F749D">
              <w:rPr>
                <w:rFonts w:hint="cs"/>
                <w:b/>
                <w:bCs/>
                <w:sz w:val="18"/>
                <w:szCs w:val="18"/>
                <w:rtl/>
              </w:rPr>
              <w:t xml:space="preserve">ליום 31 בדצמבר </w:t>
            </w:r>
            <w:r w:rsidRPr="006F749D">
              <w:rPr>
                <w:b/>
                <w:bCs/>
                <w:sz w:val="18"/>
                <w:szCs w:val="18"/>
                <w:rtl/>
              </w:rPr>
              <w:fldChar w:fldCharType="begin"/>
            </w:r>
            <w:r w:rsidRPr="006F749D">
              <w:rPr>
                <w:b/>
                <w:bCs/>
                <w:sz w:val="18"/>
                <w:szCs w:val="18"/>
                <w:rtl/>
              </w:rPr>
              <w:instrText xml:space="preserve"> </w:instrText>
            </w:r>
            <w:r w:rsidRPr="006F749D">
              <w:rPr>
                <w:rFonts w:hint="cs"/>
                <w:b/>
                <w:bCs/>
                <w:sz w:val="18"/>
                <w:szCs w:val="18"/>
                <w:rtl/>
              </w:rPr>
              <w:instrText xml:space="preserve">= </w:instrText>
            </w:r>
            <w:r w:rsidRPr="006F749D">
              <w:rPr>
                <w:rFonts w:hint="cs"/>
                <w:b/>
                <w:bCs/>
                <w:sz w:val="18"/>
                <w:szCs w:val="18"/>
              </w:rPr>
              <w:instrText>CY</w:instrText>
            </w:r>
            <w:r w:rsidRPr="006F749D">
              <w:rPr>
                <w:b/>
                <w:bCs/>
                <w:sz w:val="18"/>
                <w:szCs w:val="18"/>
              </w:rPr>
              <w:instrText>-1</w:instrText>
            </w:r>
            <w:r w:rsidRPr="006F749D">
              <w:rPr>
                <w:rFonts w:hint="cs"/>
                <w:b/>
                <w:bCs/>
                <w:sz w:val="18"/>
                <w:szCs w:val="18"/>
              </w:rPr>
              <w:instrText xml:space="preserve"> \* MERGEFORMAT</w:instrText>
            </w:r>
            <w:r w:rsidRPr="006F749D">
              <w:rPr>
                <w:b/>
                <w:bCs/>
                <w:sz w:val="18"/>
                <w:szCs w:val="18"/>
                <w:rtl/>
              </w:rPr>
              <w:instrText xml:space="preserve"> </w:instrText>
            </w:r>
            <w:r w:rsidRPr="006F749D">
              <w:rPr>
                <w:b/>
                <w:bCs/>
                <w:sz w:val="18"/>
                <w:szCs w:val="18"/>
                <w:rtl/>
              </w:rPr>
              <w:fldChar w:fldCharType="separate"/>
            </w:r>
            <w:r>
              <w:rPr>
                <w:b/>
                <w:bCs/>
                <w:noProof/>
                <w:sz w:val="18"/>
                <w:szCs w:val="18"/>
                <w:rtl/>
              </w:rPr>
              <w:t>2023</w:t>
            </w:r>
            <w:r w:rsidRPr="006F749D">
              <w:rPr>
                <w:b/>
                <w:bCs/>
                <w:sz w:val="18"/>
                <w:szCs w:val="18"/>
                <w:rtl/>
              </w:rPr>
              <w:fldChar w:fldCharType="end"/>
            </w:r>
            <w:r>
              <w:rPr>
                <w:rFonts w:hint="cs"/>
                <w:b/>
                <w:bCs/>
                <w:sz w:val="18"/>
                <w:szCs w:val="18"/>
                <w:rtl/>
              </w:rPr>
              <w:t xml:space="preserve">  </w:t>
            </w:r>
            <w:r w:rsidRPr="003B1E70">
              <w:rPr>
                <w:rFonts w:hint="cs"/>
                <w:sz w:val="18"/>
                <w:szCs w:val="18"/>
                <w:rtl/>
              </w:rPr>
              <w:t>(מבוקר)</w:t>
            </w:r>
          </w:p>
        </w:tc>
        <w:tc>
          <w:tcPr>
            <w:tcW w:w="432" w:type="pct"/>
            <w:gridSpan w:val="2"/>
            <w:vAlign w:val="bottom"/>
          </w:tcPr>
          <w:p w14:paraId="2B2D2C62" w14:textId="77777777" w:rsidR="00903534" w:rsidRPr="006F749D" w:rsidRDefault="00903534" w:rsidP="000A69A2">
            <w:pPr>
              <w:pBdr>
                <w:bottom w:val="single" w:sz="6" w:space="1" w:color="auto"/>
              </w:pBdr>
              <w:spacing w:line="241" w:lineRule="auto"/>
              <w:jc w:val="center"/>
              <w:rPr>
                <w:b/>
                <w:bCs/>
                <w:sz w:val="18"/>
                <w:szCs w:val="18"/>
                <w:rtl/>
              </w:rPr>
            </w:pPr>
            <w:r w:rsidRPr="006F749D">
              <w:rPr>
                <w:rFonts w:hint="eastAsia"/>
                <w:b/>
                <w:bCs/>
                <w:sz w:val="18"/>
                <w:szCs w:val="18"/>
                <w:rtl/>
              </w:rPr>
              <w:t>עד</w:t>
            </w:r>
            <w:r w:rsidRPr="006F749D">
              <w:rPr>
                <w:b/>
                <w:bCs/>
                <w:sz w:val="18"/>
                <w:szCs w:val="18"/>
                <w:rtl/>
              </w:rPr>
              <w:t xml:space="preserve"> 3 </w:t>
            </w:r>
            <w:r w:rsidRPr="006F749D">
              <w:rPr>
                <w:rFonts w:hint="eastAsia"/>
                <w:b/>
                <w:bCs/>
                <w:sz w:val="18"/>
                <w:szCs w:val="18"/>
                <w:rtl/>
              </w:rPr>
              <w:t>חודשים</w:t>
            </w:r>
          </w:p>
        </w:tc>
        <w:tc>
          <w:tcPr>
            <w:tcW w:w="432" w:type="pct"/>
            <w:gridSpan w:val="2"/>
            <w:vAlign w:val="bottom"/>
          </w:tcPr>
          <w:p w14:paraId="7F0C879C" w14:textId="77777777" w:rsidR="00903534" w:rsidRPr="006F749D" w:rsidRDefault="00903534" w:rsidP="000A69A2">
            <w:pPr>
              <w:pBdr>
                <w:bottom w:val="single" w:sz="6" w:space="1" w:color="auto"/>
              </w:pBdr>
              <w:spacing w:line="241" w:lineRule="auto"/>
              <w:jc w:val="center"/>
              <w:rPr>
                <w:b/>
                <w:bCs/>
                <w:sz w:val="18"/>
                <w:szCs w:val="18"/>
                <w:rtl/>
              </w:rPr>
            </w:pPr>
            <w:r w:rsidRPr="006F749D">
              <w:rPr>
                <w:rFonts w:hint="eastAsia"/>
                <w:b/>
                <w:bCs/>
                <w:sz w:val="18"/>
                <w:szCs w:val="18"/>
                <w:rtl/>
              </w:rPr>
              <w:t>מעל</w:t>
            </w:r>
            <w:r w:rsidRPr="006F749D">
              <w:rPr>
                <w:b/>
                <w:bCs/>
                <w:sz w:val="18"/>
                <w:szCs w:val="18"/>
                <w:rtl/>
              </w:rPr>
              <w:t xml:space="preserve"> 3 </w:t>
            </w:r>
            <w:r w:rsidRPr="006F749D">
              <w:rPr>
                <w:rFonts w:hint="eastAsia"/>
                <w:b/>
                <w:bCs/>
                <w:sz w:val="18"/>
                <w:szCs w:val="18"/>
                <w:rtl/>
              </w:rPr>
              <w:t>חודשים</w:t>
            </w:r>
            <w:r w:rsidRPr="006F749D">
              <w:rPr>
                <w:b/>
                <w:bCs/>
                <w:sz w:val="18"/>
                <w:szCs w:val="18"/>
                <w:rtl/>
              </w:rPr>
              <w:t xml:space="preserve"> </w:t>
            </w:r>
            <w:r w:rsidRPr="006F749D">
              <w:rPr>
                <w:rFonts w:hint="eastAsia"/>
                <w:b/>
                <w:bCs/>
                <w:sz w:val="18"/>
                <w:szCs w:val="18"/>
                <w:rtl/>
              </w:rPr>
              <w:t>ועד</w:t>
            </w:r>
            <w:r w:rsidRPr="006F749D">
              <w:rPr>
                <w:b/>
                <w:bCs/>
                <w:sz w:val="18"/>
                <w:szCs w:val="18"/>
                <w:rtl/>
              </w:rPr>
              <w:t xml:space="preserve"> </w:t>
            </w:r>
            <w:r w:rsidRPr="006F749D">
              <w:rPr>
                <w:rFonts w:hint="eastAsia"/>
                <w:b/>
                <w:bCs/>
                <w:sz w:val="18"/>
                <w:szCs w:val="18"/>
                <w:rtl/>
              </w:rPr>
              <w:t>שנה</w:t>
            </w:r>
          </w:p>
        </w:tc>
        <w:tc>
          <w:tcPr>
            <w:tcW w:w="432" w:type="pct"/>
            <w:gridSpan w:val="2"/>
            <w:vAlign w:val="bottom"/>
          </w:tcPr>
          <w:p w14:paraId="1EBB6DF9" w14:textId="77777777" w:rsidR="00903534" w:rsidRPr="006F749D" w:rsidRDefault="00903534" w:rsidP="000A69A2">
            <w:pPr>
              <w:pBdr>
                <w:bottom w:val="single" w:sz="6" w:space="1" w:color="auto"/>
              </w:pBdr>
              <w:spacing w:line="241" w:lineRule="auto"/>
              <w:jc w:val="center"/>
              <w:rPr>
                <w:b/>
                <w:bCs/>
                <w:sz w:val="18"/>
                <w:szCs w:val="18"/>
                <w:rtl/>
              </w:rPr>
            </w:pPr>
            <w:r w:rsidRPr="006F749D">
              <w:rPr>
                <w:rFonts w:hint="eastAsia"/>
                <w:b/>
                <w:bCs/>
                <w:sz w:val="18"/>
                <w:szCs w:val="18"/>
                <w:rtl/>
              </w:rPr>
              <w:t>מעל</w:t>
            </w:r>
            <w:r w:rsidRPr="006F749D">
              <w:rPr>
                <w:b/>
                <w:bCs/>
                <w:sz w:val="18"/>
                <w:szCs w:val="18"/>
                <w:rtl/>
              </w:rPr>
              <w:t xml:space="preserve"> </w:t>
            </w:r>
            <w:r w:rsidRPr="006F749D">
              <w:rPr>
                <w:rFonts w:hint="eastAsia"/>
                <w:b/>
                <w:bCs/>
                <w:sz w:val="18"/>
                <w:szCs w:val="18"/>
                <w:rtl/>
              </w:rPr>
              <w:t>שנה</w:t>
            </w:r>
            <w:r w:rsidRPr="006F749D">
              <w:rPr>
                <w:b/>
                <w:bCs/>
                <w:sz w:val="18"/>
                <w:szCs w:val="18"/>
                <w:rtl/>
              </w:rPr>
              <w:t xml:space="preserve"> </w:t>
            </w:r>
            <w:r w:rsidRPr="006F749D">
              <w:rPr>
                <w:rFonts w:hint="eastAsia"/>
                <w:b/>
                <w:bCs/>
                <w:sz w:val="18"/>
                <w:szCs w:val="18"/>
                <w:rtl/>
              </w:rPr>
              <w:t>ועד</w:t>
            </w:r>
            <w:r w:rsidRPr="006F749D">
              <w:rPr>
                <w:b/>
                <w:bCs/>
                <w:sz w:val="18"/>
                <w:szCs w:val="18"/>
                <w:rtl/>
              </w:rPr>
              <w:t xml:space="preserve"> 5 </w:t>
            </w:r>
            <w:r w:rsidRPr="006F749D">
              <w:rPr>
                <w:rFonts w:hint="eastAsia"/>
                <w:b/>
                <w:bCs/>
                <w:sz w:val="18"/>
                <w:szCs w:val="18"/>
                <w:rtl/>
              </w:rPr>
              <w:t>שנים</w:t>
            </w:r>
          </w:p>
        </w:tc>
        <w:tc>
          <w:tcPr>
            <w:tcW w:w="432" w:type="pct"/>
            <w:gridSpan w:val="2"/>
            <w:vAlign w:val="bottom"/>
          </w:tcPr>
          <w:p w14:paraId="1776BE81" w14:textId="77777777" w:rsidR="00903534" w:rsidRPr="006F749D" w:rsidRDefault="00903534" w:rsidP="000A69A2">
            <w:pPr>
              <w:pBdr>
                <w:bottom w:val="single" w:sz="6" w:space="1" w:color="auto"/>
              </w:pBdr>
              <w:spacing w:line="241" w:lineRule="auto"/>
              <w:jc w:val="center"/>
              <w:rPr>
                <w:b/>
                <w:bCs/>
                <w:sz w:val="18"/>
                <w:szCs w:val="18"/>
                <w:rtl/>
              </w:rPr>
            </w:pPr>
            <w:r w:rsidRPr="006F749D">
              <w:rPr>
                <w:rFonts w:hint="eastAsia"/>
                <w:b/>
                <w:bCs/>
                <w:sz w:val="18"/>
                <w:szCs w:val="18"/>
                <w:rtl/>
              </w:rPr>
              <w:t>מעל</w:t>
            </w:r>
            <w:r w:rsidRPr="006F749D">
              <w:rPr>
                <w:b/>
                <w:bCs/>
                <w:sz w:val="18"/>
                <w:szCs w:val="18"/>
                <w:rtl/>
              </w:rPr>
              <w:t xml:space="preserve"> 5 </w:t>
            </w:r>
            <w:r w:rsidRPr="006F749D">
              <w:rPr>
                <w:rFonts w:hint="eastAsia"/>
                <w:b/>
                <w:bCs/>
                <w:sz w:val="18"/>
                <w:szCs w:val="18"/>
                <w:rtl/>
              </w:rPr>
              <w:t>שנים</w:t>
            </w:r>
          </w:p>
        </w:tc>
        <w:tc>
          <w:tcPr>
            <w:tcW w:w="437" w:type="pct"/>
            <w:gridSpan w:val="2"/>
            <w:vAlign w:val="bottom"/>
          </w:tcPr>
          <w:p w14:paraId="4177148F" w14:textId="77777777" w:rsidR="00903534" w:rsidRPr="006F749D" w:rsidRDefault="00903534" w:rsidP="000A69A2">
            <w:pPr>
              <w:pBdr>
                <w:bottom w:val="single" w:sz="6" w:space="1" w:color="auto"/>
              </w:pBdr>
              <w:spacing w:line="241" w:lineRule="auto"/>
              <w:jc w:val="center"/>
              <w:rPr>
                <w:b/>
                <w:bCs/>
                <w:sz w:val="18"/>
                <w:szCs w:val="18"/>
                <w:rtl/>
              </w:rPr>
            </w:pPr>
            <w:r w:rsidRPr="006F749D">
              <w:rPr>
                <w:rFonts w:hint="eastAsia"/>
                <w:b/>
                <w:bCs/>
                <w:sz w:val="18"/>
                <w:szCs w:val="18"/>
                <w:rtl/>
              </w:rPr>
              <w:t>סך</w:t>
            </w:r>
            <w:r w:rsidRPr="006F749D">
              <w:rPr>
                <w:b/>
                <w:bCs/>
                <w:sz w:val="18"/>
                <w:szCs w:val="18"/>
                <w:rtl/>
              </w:rPr>
              <w:t xml:space="preserve"> </w:t>
            </w:r>
            <w:r w:rsidRPr="006F749D">
              <w:rPr>
                <w:rFonts w:hint="eastAsia"/>
                <w:b/>
                <w:bCs/>
                <w:sz w:val="18"/>
                <w:szCs w:val="18"/>
                <w:rtl/>
              </w:rPr>
              <w:t>הכל</w:t>
            </w:r>
          </w:p>
        </w:tc>
      </w:tr>
      <w:tr w:rsidR="00903534" w:rsidRPr="00EF3E60" w14:paraId="3407287D" w14:textId="77777777" w:rsidTr="000A69A2">
        <w:trPr>
          <w:gridAfter w:val="1"/>
          <w:wAfter w:w="298" w:type="pct"/>
          <w:jc w:val="right"/>
        </w:trPr>
        <w:tc>
          <w:tcPr>
            <w:tcW w:w="506" w:type="pct"/>
          </w:tcPr>
          <w:p w14:paraId="48A25F1B" w14:textId="77777777" w:rsidR="00903534" w:rsidRPr="00EF3E60" w:rsidRDefault="00903534" w:rsidP="000A69A2">
            <w:pPr>
              <w:jc w:val="left"/>
              <w:rPr>
                <w:sz w:val="14"/>
                <w:szCs w:val="14"/>
                <w:rtl/>
              </w:rPr>
            </w:pPr>
          </w:p>
        </w:tc>
        <w:tc>
          <w:tcPr>
            <w:tcW w:w="2031" w:type="pct"/>
            <w:vAlign w:val="bottom"/>
          </w:tcPr>
          <w:p w14:paraId="18277C22" w14:textId="77777777" w:rsidR="00903534" w:rsidRPr="00EF3E60" w:rsidRDefault="00903534" w:rsidP="000A69A2">
            <w:pPr>
              <w:spacing w:line="200" w:lineRule="exact"/>
              <w:ind w:left="144" w:hanging="144"/>
              <w:jc w:val="left"/>
              <w:rPr>
                <w:color w:val="000000"/>
                <w:rtl/>
                <w:lang w:eastAsia="he-IL"/>
              </w:rPr>
            </w:pPr>
            <w:r w:rsidRPr="00EF3E60">
              <w:rPr>
                <w:rFonts w:hint="cs"/>
                <w:color w:val="000000"/>
                <w:rtl/>
                <w:lang w:eastAsia="he-IL"/>
              </w:rPr>
              <w:t>חוזי ריבית:</w:t>
            </w:r>
          </w:p>
        </w:tc>
        <w:tc>
          <w:tcPr>
            <w:tcW w:w="432" w:type="pct"/>
            <w:gridSpan w:val="2"/>
            <w:vAlign w:val="bottom"/>
          </w:tcPr>
          <w:p w14:paraId="3DD1D85A" w14:textId="77777777" w:rsidR="00903534" w:rsidRPr="00EF3E60" w:rsidRDefault="00903534" w:rsidP="000A69A2">
            <w:pPr>
              <w:spacing w:line="241" w:lineRule="auto"/>
              <w:rPr>
                <w:rtl/>
              </w:rPr>
            </w:pPr>
          </w:p>
        </w:tc>
        <w:tc>
          <w:tcPr>
            <w:tcW w:w="432" w:type="pct"/>
            <w:gridSpan w:val="2"/>
            <w:vAlign w:val="bottom"/>
          </w:tcPr>
          <w:p w14:paraId="3665D0C8" w14:textId="77777777" w:rsidR="00903534" w:rsidRPr="00EF3E60" w:rsidRDefault="00903534" w:rsidP="000A69A2">
            <w:pPr>
              <w:spacing w:line="241" w:lineRule="auto"/>
              <w:rPr>
                <w:rtl/>
              </w:rPr>
            </w:pPr>
          </w:p>
        </w:tc>
        <w:tc>
          <w:tcPr>
            <w:tcW w:w="432" w:type="pct"/>
            <w:gridSpan w:val="2"/>
            <w:vAlign w:val="bottom"/>
          </w:tcPr>
          <w:p w14:paraId="7B076B8F" w14:textId="77777777" w:rsidR="00903534" w:rsidRPr="00EF3E60" w:rsidRDefault="00903534" w:rsidP="000A69A2">
            <w:pPr>
              <w:spacing w:line="241" w:lineRule="auto"/>
              <w:rPr>
                <w:rtl/>
              </w:rPr>
            </w:pPr>
          </w:p>
        </w:tc>
        <w:tc>
          <w:tcPr>
            <w:tcW w:w="432" w:type="pct"/>
            <w:gridSpan w:val="2"/>
            <w:vAlign w:val="bottom"/>
          </w:tcPr>
          <w:p w14:paraId="66B64428" w14:textId="77777777" w:rsidR="00903534" w:rsidRPr="00EF3E60" w:rsidRDefault="00903534" w:rsidP="000A69A2">
            <w:pPr>
              <w:spacing w:line="241" w:lineRule="auto"/>
              <w:rPr>
                <w:rtl/>
              </w:rPr>
            </w:pPr>
          </w:p>
        </w:tc>
        <w:tc>
          <w:tcPr>
            <w:tcW w:w="437" w:type="pct"/>
            <w:gridSpan w:val="2"/>
            <w:vAlign w:val="bottom"/>
          </w:tcPr>
          <w:p w14:paraId="7961B26E" w14:textId="77777777" w:rsidR="00903534" w:rsidRPr="00EF3E60" w:rsidRDefault="00903534" w:rsidP="000A69A2">
            <w:pPr>
              <w:spacing w:line="241" w:lineRule="auto"/>
              <w:rPr>
                <w:rtl/>
              </w:rPr>
            </w:pPr>
          </w:p>
        </w:tc>
      </w:tr>
      <w:tr w:rsidR="00903534" w:rsidRPr="00EF3E60" w14:paraId="12B6626C" w14:textId="77777777" w:rsidTr="000A69A2">
        <w:trPr>
          <w:gridAfter w:val="1"/>
          <w:wAfter w:w="298" w:type="pct"/>
          <w:jc w:val="right"/>
        </w:trPr>
        <w:tc>
          <w:tcPr>
            <w:tcW w:w="506" w:type="pct"/>
          </w:tcPr>
          <w:p w14:paraId="11A90713" w14:textId="77777777" w:rsidR="00903534" w:rsidRPr="00EF3E60" w:rsidRDefault="00903534" w:rsidP="000A69A2">
            <w:pPr>
              <w:jc w:val="left"/>
              <w:rPr>
                <w:sz w:val="14"/>
                <w:szCs w:val="14"/>
                <w:rtl/>
              </w:rPr>
            </w:pPr>
          </w:p>
        </w:tc>
        <w:tc>
          <w:tcPr>
            <w:tcW w:w="2031" w:type="pct"/>
            <w:vAlign w:val="bottom"/>
          </w:tcPr>
          <w:p w14:paraId="1C811834" w14:textId="77777777" w:rsidR="00903534" w:rsidRPr="00EF3E60" w:rsidRDefault="00903534" w:rsidP="000A69A2">
            <w:pPr>
              <w:spacing w:line="200" w:lineRule="exact"/>
              <w:ind w:left="170"/>
              <w:jc w:val="left"/>
              <w:rPr>
                <w:color w:val="000000"/>
                <w:rtl/>
                <w:lang w:eastAsia="he-IL"/>
              </w:rPr>
            </w:pPr>
            <w:r w:rsidRPr="00EF3E60">
              <w:rPr>
                <w:rFonts w:hint="cs"/>
                <w:color w:val="000000"/>
                <w:rtl/>
                <w:lang w:eastAsia="he-IL"/>
              </w:rPr>
              <w:t>שקל-מדד</w:t>
            </w:r>
          </w:p>
        </w:tc>
        <w:tc>
          <w:tcPr>
            <w:tcW w:w="432" w:type="pct"/>
            <w:gridSpan w:val="2"/>
            <w:vAlign w:val="bottom"/>
          </w:tcPr>
          <w:p w14:paraId="1F8A547D" w14:textId="77777777" w:rsidR="00903534" w:rsidRPr="00EF3E60" w:rsidRDefault="00903534" w:rsidP="000A69A2">
            <w:pPr>
              <w:spacing w:line="241" w:lineRule="auto"/>
              <w:rPr>
                <w:rtl/>
              </w:rPr>
            </w:pPr>
            <w:r w:rsidRPr="00EF3E60">
              <w:rPr>
                <w:rFonts w:hint="cs"/>
                <w:rtl/>
              </w:rPr>
              <w:t>0</w:t>
            </w:r>
          </w:p>
        </w:tc>
        <w:tc>
          <w:tcPr>
            <w:tcW w:w="432" w:type="pct"/>
            <w:gridSpan w:val="2"/>
            <w:vAlign w:val="bottom"/>
          </w:tcPr>
          <w:p w14:paraId="18D811D6" w14:textId="77777777" w:rsidR="00903534" w:rsidRPr="00EF3E60" w:rsidRDefault="00903534" w:rsidP="000A69A2">
            <w:pPr>
              <w:spacing w:line="241" w:lineRule="auto"/>
              <w:rPr>
                <w:rtl/>
              </w:rPr>
            </w:pPr>
            <w:r w:rsidRPr="00EF3E60">
              <w:rPr>
                <w:rFonts w:hint="cs"/>
                <w:rtl/>
              </w:rPr>
              <w:t>0</w:t>
            </w:r>
          </w:p>
        </w:tc>
        <w:tc>
          <w:tcPr>
            <w:tcW w:w="432" w:type="pct"/>
            <w:gridSpan w:val="2"/>
            <w:vAlign w:val="bottom"/>
          </w:tcPr>
          <w:p w14:paraId="3430EABA" w14:textId="77777777" w:rsidR="00903534" w:rsidRPr="00EF3E60" w:rsidRDefault="00903534" w:rsidP="000A69A2">
            <w:pPr>
              <w:spacing w:line="241" w:lineRule="auto"/>
              <w:rPr>
                <w:rtl/>
              </w:rPr>
            </w:pPr>
            <w:r w:rsidRPr="00EF3E60">
              <w:rPr>
                <w:rFonts w:hint="cs"/>
                <w:rtl/>
              </w:rPr>
              <w:t>0</w:t>
            </w:r>
          </w:p>
        </w:tc>
        <w:tc>
          <w:tcPr>
            <w:tcW w:w="432" w:type="pct"/>
            <w:gridSpan w:val="2"/>
            <w:vAlign w:val="bottom"/>
          </w:tcPr>
          <w:p w14:paraId="53A9ACF3" w14:textId="77777777" w:rsidR="00903534" w:rsidRPr="00EF3E60" w:rsidRDefault="00903534" w:rsidP="000A69A2">
            <w:pPr>
              <w:spacing w:line="241" w:lineRule="auto"/>
              <w:rPr>
                <w:rtl/>
              </w:rPr>
            </w:pPr>
            <w:r w:rsidRPr="00EF3E60">
              <w:rPr>
                <w:rFonts w:hint="cs"/>
                <w:rtl/>
              </w:rPr>
              <w:t>0</w:t>
            </w:r>
          </w:p>
        </w:tc>
        <w:tc>
          <w:tcPr>
            <w:tcW w:w="437" w:type="pct"/>
            <w:gridSpan w:val="2"/>
            <w:vAlign w:val="bottom"/>
          </w:tcPr>
          <w:p w14:paraId="2F5CB5C7" w14:textId="77777777" w:rsidR="00903534" w:rsidRPr="00EF3E60" w:rsidRDefault="00903534" w:rsidP="000A69A2">
            <w:pPr>
              <w:spacing w:line="241" w:lineRule="auto"/>
              <w:rPr>
                <w:rtl/>
              </w:rPr>
            </w:pPr>
            <w:r w:rsidRPr="00EF3E60">
              <w:rPr>
                <w:rFonts w:hint="cs"/>
                <w:rtl/>
              </w:rPr>
              <w:t>0</w:t>
            </w:r>
          </w:p>
        </w:tc>
      </w:tr>
      <w:tr w:rsidR="00903534" w:rsidRPr="00EF3E60" w14:paraId="177349D4" w14:textId="77777777" w:rsidTr="000A69A2">
        <w:trPr>
          <w:gridAfter w:val="1"/>
          <w:wAfter w:w="298" w:type="pct"/>
          <w:jc w:val="right"/>
        </w:trPr>
        <w:tc>
          <w:tcPr>
            <w:tcW w:w="506" w:type="pct"/>
          </w:tcPr>
          <w:p w14:paraId="79EA7584" w14:textId="77777777" w:rsidR="00903534" w:rsidRPr="00EF3E60" w:rsidRDefault="00903534" w:rsidP="000A69A2">
            <w:pPr>
              <w:jc w:val="left"/>
              <w:rPr>
                <w:sz w:val="14"/>
                <w:szCs w:val="14"/>
                <w:rtl/>
              </w:rPr>
            </w:pPr>
          </w:p>
        </w:tc>
        <w:tc>
          <w:tcPr>
            <w:tcW w:w="2031" w:type="pct"/>
            <w:vAlign w:val="bottom"/>
          </w:tcPr>
          <w:p w14:paraId="32AB3035" w14:textId="77777777" w:rsidR="00903534" w:rsidRPr="00EF3E60" w:rsidRDefault="00903534" w:rsidP="000A69A2">
            <w:pPr>
              <w:spacing w:line="200" w:lineRule="exact"/>
              <w:ind w:left="105" w:hanging="48"/>
              <w:jc w:val="left"/>
              <w:rPr>
                <w:color w:val="000000"/>
                <w:rtl/>
                <w:lang w:eastAsia="he-IL"/>
              </w:rPr>
            </w:pPr>
            <w:r w:rsidRPr="00EF3E60">
              <w:rPr>
                <w:rFonts w:hint="cs"/>
                <w:color w:val="000000"/>
                <w:rtl/>
                <w:lang w:eastAsia="he-IL"/>
              </w:rPr>
              <w:t xml:space="preserve">  אחר</w:t>
            </w:r>
          </w:p>
        </w:tc>
        <w:tc>
          <w:tcPr>
            <w:tcW w:w="432" w:type="pct"/>
            <w:gridSpan w:val="2"/>
            <w:vAlign w:val="bottom"/>
          </w:tcPr>
          <w:p w14:paraId="6C65206B" w14:textId="77777777" w:rsidR="00903534" w:rsidRPr="00EF3E60" w:rsidRDefault="00903534" w:rsidP="000A69A2">
            <w:pPr>
              <w:spacing w:line="241" w:lineRule="auto"/>
              <w:rPr>
                <w:rtl/>
              </w:rPr>
            </w:pPr>
            <w:r w:rsidRPr="00EF3E60">
              <w:rPr>
                <w:rFonts w:hint="cs"/>
                <w:rtl/>
              </w:rPr>
              <w:t>0</w:t>
            </w:r>
          </w:p>
        </w:tc>
        <w:tc>
          <w:tcPr>
            <w:tcW w:w="432" w:type="pct"/>
            <w:gridSpan w:val="2"/>
            <w:vAlign w:val="bottom"/>
          </w:tcPr>
          <w:p w14:paraId="7E99876D" w14:textId="77777777" w:rsidR="00903534" w:rsidRPr="00EF3E60" w:rsidRDefault="00903534" w:rsidP="000A69A2">
            <w:pPr>
              <w:spacing w:line="241" w:lineRule="auto"/>
              <w:rPr>
                <w:rtl/>
              </w:rPr>
            </w:pPr>
            <w:r w:rsidRPr="00EF3E60">
              <w:rPr>
                <w:rFonts w:hint="cs"/>
                <w:rtl/>
              </w:rPr>
              <w:t>0</w:t>
            </w:r>
          </w:p>
        </w:tc>
        <w:tc>
          <w:tcPr>
            <w:tcW w:w="432" w:type="pct"/>
            <w:gridSpan w:val="2"/>
            <w:vAlign w:val="bottom"/>
          </w:tcPr>
          <w:p w14:paraId="62ED69CA" w14:textId="77777777" w:rsidR="00903534" w:rsidRPr="00EF3E60" w:rsidRDefault="00903534" w:rsidP="000A69A2">
            <w:pPr>
              <w:spacing w:line="241" w:lineRule="auto"/>
              <w:rPr>
                <w:rtl/>
              </w:rPr>
            </w:pPr>
            <w:r w:rsidRPr="00EF3E60">
              <w:rPr>
                <w:rFonts w:hint="cs"/>
                <w:rtl/>
              </w:rPr>
              <w:t>0</w:t>
            </w:r>
          </w:p>
        </w:tc>
        <w:tc>
          <w:tcPr>
            <w:tcW w:w="432" w:type="pct"/>
            <w:gridSpan w:val="2"/>
            <w:vAlign w:val="bottom"/>
          </w:tcPr>
          <w:p w14:paraId="49005AB3" w14:textId="77777777" w:rsidR="00903534" w:rsidRPr="00EF3E60" w:rsidRDefault="00903534" w:rsidP="000A69A2">
            <w:pPr>
              <w:spacing w:line="241" w:lineRule="auto"/>
              <w:rPr>
                <w:rtl/>
              </w:rPr>
            </w:pPr>
            <w:r w:rsidRPr="00EF3E60">
              <w:rPr>
                <w:rFonts w:hint="cs"/>
                <w:rtl/>
              </w:rPr>
              <w:t>0</w:t>
            </w:r>
          </w:p>
        </w:tc>
        <w:tc>
          <w:tcPr>
            <w:tcW w:w="437" w:type="pct"/>
            <w:gridSpan w:val="2"/>
            <w:vAlign w:val="bottom"/>
          </w:tcPr>
          <w:p w14:paraId="2DA46995" w14:textId="77777777" w:rsidR="00903534" w:rsidRPr="00EF3E60" w:rsidRDefault="00903534" w:rsidP="000A69A2">
            <w:pPr>
              <w:spacing w:line="241" w:lineRule="auto"/>
              <w:rPr>
                <w:rtl/>
              </w:rPr>
            </w:pPr>
            <w:r w:rsidRPr="00EF3E60">
              <w:rPr>
                <w:rFonts w:hint="cs"/>
                <w:rtl/>
              </w:rPr>
              <w:t>0</w:t>
            </w:r>
          </w:p>
        </w:tc>
      </w:tr>
      <w:tr w:rsidR="00903534" w:rsidRPr="00EF3E60" w14:paraId="3F85AF0F" w14:textId="77777777" w:rsidTr="000A69A2">
        <w:trPr>
          <w:gridAfter w:val="1"/>
          <w:wAfter w:w="298" w:type="pct"/>
          <w:jc w:val="right"/>
        </w:trPr>
        <w:tc>
          <w:tcPr>
            <w:tcW w:w="506" w:type="pct"/>
          </w:tcPr>
          <w:p w14:paraId="3CE4158B" w14:textId="77777777" w:rsidR="00903534" w:rsidRPr="00EF3E60" w:rsidRDefault="00903534" w:rsidP="000A69A2">
            <w:pPr>
              <w:jc w:val="left"/>
              <w:rPr>
                <w:sz w:val="14"/>
                <w:szCs w:val="14"/>
                <w:rtl/>
              </w:rPr>
            </w:pPr>
          </w:p>
        </w:tc>
        <w:tc>
          <w:tcPr>
            <w:tcW w:w="2031" w:type="pct"/>
            <w:vAlign w:val="bottom"/>
          </w:tcPr>
          <w:p w14:paraId="151B52EF" w14:textId="77777777" w:rsidR="00903534" w:rsidRPr="00EF3E60" w:rsidRDefault="00903534" w:rsidP="000A69A2">
            <w:pPr>
              <w:spacing w:line="200" w:lineRule="exact"/>
              <w:ind w:left="144" w:hanging="144"/>
              <w:jc w:val="left"/>
              <w:rPr>
                <w:color w:val="000000"/>
                <w:rtl/>
                <w:lang w:eastAsia="he-IL"/>
              </w:rPr>
            </w:pPr>
            <w:r w:rsidRPr="00EF3E60">
              <w:rPr>
                <w:rFonts w:hint="cs"/>
                <w:color w:val="000000"/>
                <w:rtl/>
                <w:lang w:eastAsia="he-IL"/>
              </w:rPr>
              <w:t>חוזי מטבע חוץ</w:t>
            </w:r>
          </w:p>
        </w:tc>
        <w:tc>
          <w:tcPr>
            <w:tcW w:w="432" w:type="pct"/>
            <w:gridSpan w:val="2"/>
            <w:vAlign w:val="bottom"/>
          </w:tcPr>
          <w:p w14:paraId="544961B5" w14:textId="77777777" w:rsidR="00903534" w:rsidRPr="00EF3E60" w:rsidRDefault="00903534" w:rsidP="000A69A2">
            <w:pPr>
              <w:spacing w:line="241" w:lineRule="auto"/>
              <w:rPr>
                <w:rtl/>
              </w:rPr>
            </w:pPr>
            <w:r w:rsidRPr="00EF3E60">
              <w:rPr>
                <w:rFonts w:hint="cs"/>
                <w:rtl/>
              </w:rPr>
              <w:t>0</w:t>
            </w:r>
          </w:p>
        </w:tc>
        <w:tc>
          <w:tcPr>
            <w:tcW w:w="432" w:type="pct"/>
            <w:gridSpan w:val="2"/>
            <w:vAlign w:val="bottom"/>
          </w:tcPr>
          <w:p w14:paraId="1E363027" w14:textId="77777777" w:rsidR="00903534" w:rsidRPr="00EF3E60" w:rsidRDefault="00903534" w:rsidP="000A69A2">
            <w:pPr>
              <w:spacing w:line="241" w:lineRule="auto"/>
              <w:rPr>
                <w:rtl/>
              </w:rPr>
            </w:pPr>
            <w:r w:rsidRPr="00EF3E60">
              <w:rPr>
                <w:rFonts w:hint="cs"/>
                <w:rtl/>
              </w:rPr>
              <w:t>0</w:t>
            </w:r>
          </w:p>
        </w:tc>
        <w:tc>
          <w:tcPr>
            <w:tcW w:w="432" w:type="pct"/>
            <w:gridSpan w:val="2"/>
            <w:vAlign w:val="bottom"/>
          </w:tcPr>
          <w:p w14:paraId="1FE20204" w14:textId="77777777" w:rsidR="00903534" w:rsidRPr="00EF3E60" w:rsidRDefault="00903534" w:rsidP="000A69A2">
            <w:pPr>
              <w:spacing w:line="241" w:lineRule="auto"/>
              <w:rPr>
                <w:rtl/>
              </w:rPr>
            </w:pPr>
            <w:r w:rsidRPr="00EF3E60">
              <w:rPr>
                <w:rFonts w:hint="cs"/>
                <w:rtl/>
              </w:rPr>
              <w:t>0</w:t>
            </w:r>
          </w:p>
        </w:tc>
        <w:tc>
          <w:tcPr>
            <w:tcW w:w="432" w:type="pct"/>
            <w:gridSpan w:val="2"/>
            <w:vAlign w:val="bottom"/>
          </w:tcPr>
          <w:p w14:paraId="3C740F9F" w14:textId="77777777" w:rsidR="00903534" w:rsidRPr="00EF3E60" w:rsidRDefault="00903534" w:rsidP="000A69A2">
            <w:pPr>
              <w:spacing w:line="241" w:lineRule="auto"/>
              <w:rPr>
                <w:rtl/>
              </w:rPr>
            </w:pPr>
            <w:r w:rsidRPr="00EF3E60">
              <w:rPr>
                <w:rFonts w:hint="cs"/>
                <w:rtl/>
              </w:rPr>
              <w:t>0</w:t>
            </w:r>
          </w:p>
        </w:tc>
        <w:tc>
          <w:tcPr>
            <w:tcW w:w="437" w:type="pct"/>
            <w:gridSpan w:val="2"/>
            <w:vAlign w:val="bottom"/>
          </w:tcPr>
          <w:p w14:paraId="4B881B21" w14:textId="77777777" w:rsidR="00903534" w:rsidRPr="00EF3E60" w:rsidRDefault="00903534" w:rsidP="000A69A2">
            <w:pPr>
              <w:spacing w:line="241" w:lineRule="auto"/>
              <w:rPr>
                <w:rtl/>
              </w:rPr>
            </w:pPr>
            <w:r w:rsidRPr="00EF3E60">
              <w:rPr>
                <w:rFonts w:hint="cs"/>
                <w:rtl/>
              </w:rPr>
              <w:t>0</w:t>
            </w:r>
          </w:p>
        </w:tc>
      </w:tr>
      <w:tr w:rsidR="00903534" w:rsidRPr="00EF3E60" w14:paraId="50AEB15E" w14:textId="77777777" w:rsidTr="000A69A2">
        <w:trPr>
          <w:gridAfter w:val="1"/>
          <w:wAfter w:w="298" w:type="pct"/>
          <w:jc w:val="right"/>
        </w:trPr>
        <w:tc>
          <w:tcPr>
            <w:tcW w:w="506" w:type="pct"/>
          </w:tcPr>
          <w:p w14:paraId="0699A5C6" w14:textId="77777777" w:rsidR="00903534" w:rsidRPr="00EF3E60" w:rsidRDefault="00903534" w:rsidP="000A69A2">
            <w:pPr>
              <w:jc w:val="left"/>
              <w:rPr>
                <w:sz w:val="14"/>
                <w:szCs w:val="14"/>
                <w:rtl/>
              </w:rPr>
            </w:pPr>
          </w:p>
        </w:tc>
        <w:tc>
          <w:tcPr>
            <w:tcW w:w="2031" w:type="pct"/>
            <w:vAlign w:val="bottom"/>
          </w:tcPr>
          <w:p w14:paraId="4F794FCE" w14:textId="77777777" w:rsidR="00903534" w:rsidRPr="00EF3E60" w:rsidRDefault="00903534" w:rsidP="000A69A2">
            <w:pPr>
              <w:spacing w:line="200" w:lineRule="exact"/>
              <w:ind w:left="144" w:hanging="144"/>
              <w:jc w:val="left"/>
              <w:rPr>
                <w:color w:val="000000"/>
                <w:rtl/>
                <w:lang w:eastAsia="he-IL"/>
              </w:rPr>
            </w:pPr>
            <w:r w:rsidRPr="00EF3E60">
              <w:rPr>
                <w:rFonts w:hint="cs"/>
                <w:color w:val="000000"/>
                <w:rtl/>
                <w:lang w:eastAsia="he-IL"/>
              </w:rPr>
              <w:t>חוזים בגין מניות</w:t>
            </w:r>
          </w:p>
        </w:tc>
        <w:tc>
          <w:tcPr>
            <w:tcW w:w="432" w:type="pct"/>
            <w:gridSpan w:val="2"/>
            <w:vAlign w:val="bottom"/>
          </w:tcPr>
          <w:p w14:paraId="7BF7787C" w14:textId="77777777" w:rsidR="00903534" w:rsidRPr="00EF3E60" w:rsidRDefault="00903534" w:rsidP="000A69A2">
            <w:pPr>
              <w:spacing w:line="241" w:lineRule="auto"/>
              <w:rPr>
                <w:rtl/>
              </w:rPr>
            </w:pPr>
            <w:r w:rsidRPr="00EF3E60">
              <w:rPr>
                <w:rFonts w:hint="cs"/>
                <w:rtl/>
              </w:rPr>
              <w:t>0</w:t>
            </w:r>
          </w:p>
        </w:tc>
        <w:tc>
          <w:tcPr>
            <w:tcW w:w="432" w:type="pct"/>
            <w:gridSpan w:val="2"/>
            <w:vAlign w:val="bottom"/>
          </w:tcPr>
          <w:p w14:paraId="5FD62767" w14:textId="77777777" w:rsidR="00903534" w:rsidRPr="00EF3E60" w:rsidRDefault="00903534" w:rsidP="000A69A2">
            <w:pPr>
              <w:spacing w:line="241" w:lineRule="auto"/>
              <w:rPr>
                <w:rtl/>
              </w:rPr>
            </w:pPr>
            <w:r w:rsidRPr="00EF3E60">
              <w:rPr>
                <w:rFonts w:hint="cs"/>
                <w:rtl/>
              </w:rPr>
              <w:t>0</w:t>
            </w:r>
          </w:p>
        </w:tc>
        <w:tc>
          <w:tcPr>
            <w:tcW w:w="432" w:type="pct"/>
            <w:gridSpan w:val="2"/>
            <w:vAlign w:val="bottom"/>
          </w:tcPr>
          <w:p w14:paraId="35B28C16" w14:textId="77777777" w:rsidR="00903534" w:rsidRPr="00EF3E60" w:rsidRDefault="00903534" w:rsidP="000A69A2">
            <w:pPr>
              <w:spacing w:line="241" w:lineRule="auto"/>
              <w:rPr>
                <w:rtl/>
              </w:rPr>
            </w:pPr>
            <w:r w:rsidRPr="00EF3E60">
              <w:rPr>
                <w:rFonts w:hint="cs"/>
                <w:rtl/>
              </w:rPr>
              <w:t>0</w:t>
            </w:r>
          </w:p>
        </w:tc>
        <w:tc>
          <w:tcPr>
            <w:tcW w:w="432" w:type="pct"/>
            <w:gridSpan w:val="2"/>
            <w:vAlign w:val="bottom"/>
          </w:tcPr>
          <w:p w14:paraId="1DB4F086" w14:textId="77777777" w:rsidR="00903534" w:rsidRPr="00EF3E60" w:rsidRDefault="00903534" w:rsidP="000A69A2">
            <w:pPr>
              <w:spacing w:line="241" w:lineRule="auto"/>
              <w:rPr>
                <w:rtl/>
              </w:rPr>
            </w:pPr>
            <w:r w:rsidRPr="00EF3E60">
              <w:rPr>
                <w:rFonts w:hint="cs"/>
                <w:rtl/>
              </w:rPr>
              <w:t>0</w:t>
            </w:r>
          </w:p>
        </w:tc>
        <w:tc>
          <w:tcPr>
            <w:tcW w:w="437" w:type="pct"/>
            <w:gridSpan w:val="2"/>
            <w:vAlign w:val="bottom"/>
          </w:tcPr>
          <w:p w14:paraId="417C17ED" w14:textId="77777777" w:rsidR="00903534" w:rsidRPr="00EF3E60" w:rsidRDefault="00903534" w:rsidP="000A69A2">
            <w:pPr>
              <w:spacing w:line="241" w:lineRule="auto"/>
              <w:rPr>
                <w:rtl/>
              </w:rPr>
            </w:pPr>
            <w:r w:rsidRPr="00EF3E60">
              <w:rPr>
                <w:rFonts w:hint="cs"/>
                <w:rtl/>
              </w:rPr>
              <w:t>0</w:t>
            </w:r>
          </w:p>
        </w:tc>
      </w:tr>
      <w:tr w:rsidR="00903534" w:rsidRPr="00EF3E60" w14:paraId="56C0E9C8" w14:textId="77777777" w:rsidTr="000A69A2">
        <w:trPr>
          <w:gridAfter w:val="1"/>
          <w:wAfter w:w="298" w:type="pct"/>
          <w:jc w:val="right"/>
        </w:trPr>
        <w:tc>
          <w:tcPr>
            <w:tcW w:w="506" w:type="pct"/>
          </w:tcPr>
          <w:p w14:paraId="58D74DEC" w14:textId="77777777" w:rsidR="00903534" w:rsidRPr="00EF3E60" w:rsidRDefault="00903534" w:rsidP="000A69A2">
            <w:pPr>
              <w:jc w:val="left"/>
              <w:rPr>
                <w:sz w:val="14"/>
                <w:szCs w:val="14"/>
                <w:rtl/>
              </w:rPr>
            </w:pPr>
          </w:p>
        </w:tc>
        <w:tc>
          <w:tcPr>
            <w:tcW w:w="2031" w:type="pct"/>
            <w:vAlign w:val="bottom"/>
          </w:tcPr>
          <w:p w14:paraId="56D52A5A" w14:textId="77777777" w:rsidR="00903534" w:rsidRPr="00EF3E60" w:rsidRDefault="00903534" w:rsidP="000A69A2">
            <w:pPr>
              <w:spacing w:line="200" w:lineRule="exact"/>
              <w:ind w:left="144" w:hanging="144"/>
              <w:jc w:val="left"/>
              <w:rPr>
                <w:color w:val="000000"/>
                <w:rtl/>
                <w:lang w:eastAsia="he-IL"/>
              </w:rPr>
            </w:pPr>
            <w:r w:rsidRPr="00EF3E60">
              <w:rPr>
                <w:rFonts w:hint="cs"/>
                <w:color w:val="000000"/>
                <w:rtl/>
                <w:lang w:eastAsia="he-IL"/>
              </w:rPr>
              <w:t>חוזי סחורות ואחרים</w:t>
            </w:r>
          </w:p>
        </w:tc>
        <w:tc>
          <w:tcPr>
            <w:tcW w:w="432" w:type="pct"/>
            <w:gridSpan w:val="2"/>
            <w:vAlign w:val="bottom"/>
          </w:tcPr>
          <w:p w14:paraId="4AC6B3CF" w14:textId="77777777" w:rsidR="00903534" w:rsidRPr="00EF3E60" w:rsidRDefault="00903534" w:rsidP="000A69A2">
            <w:pPr>
              <w:pBdr>
                <w:bottom w:val="single" w:sz="4" w:space="1" w:color="auto"/>
              </w:pBdr>
              <w:spacing w:line="241" w:lineRule="auto"/>
              <w:rPr>
                <w:rtl/>
              </w:rPr>
            </w:pPr>
            <w:r w:rsidRPr="00EF3E60">
              <w:rPr>
                <w:rFonts w:hint="cs"/>
                <w:rtl/>
              </w:rPr>
              <w:t>0</w:t>
            </w:r>
          </w:p>
        </w:tc>
        <w:tc>
          <w:tcPr>
            <w:tcW w:w="432" w:type="pct"/>
            <w:gridSpan w:val="2"/>
            <w:vAlign w:val="bottom"/>
          </w:tcPr>
          <w:p w14:paraId="43ECE25E" w14:textId="77777777" w:rsidR="00903534" w:rsidRPr="00EF3E60" w:rsidRDefault="00903534" w:rsidP="000A69A2">
            <w:pPr>
              <w:pBdr>
                <w:bottom w:val="single" w:sz="4" w:space="1" w:color="auto"/>
              </w:pBdr>
              <w:spacing w:line="241" w:lineRule="auto"/>
              <w:rPr>
                <w:rtl/>
              </w:rPr>
            </w:pPr>
            <w:r w:rsidRPr="00EF3E60">
              <w:rPr>
                <w:rFonts w:hint="cs"/>
                <w:rtl/>
              </w:rPr>
              <w:t>0</w:t>
            </w:r>
          </w:p>
        </w:tc>
        <w:tc>
          <w:tcPr>
            <w:tcW w:w="432" w:type="pct"/>
            <w:gridSpan w:val="2"/>
            <w:vAlign w:val="bottom"/>
          </w:tcPr>
          <w:p w14:paraId="71B505A4" w14:textId="77777777" w:rsidR="00903534" w:rsidRPr="00EF3E60" w:rsidRDefault="00903534" w:rsidP="000A69A2">
            <w:pPr>
              <w:pBdr>
                <w:bottom w:val="single" w:sz="4" w:space="1" w:color="auto"/>
              </w:pBdr>
              <w:spacing w:line="241" w:lineRule="auto"/>
              <w:rPr>
                <w:rtl/>
              </w:rPr>
            </w:pPr>
            <w:r w:rsidRPr="00EF3E60">
              <w:rPr>
                <w:rFonts w:hint="cs"/>
                <w:rtl/>
              </w:rPr>
              <w:t>0</w:t>
            </w:r>
          </w:p>
        </w:tc>
        <w:tc>
          <w:tcPr>
            <w:tcW w:w="432" w:type="pct"/>
            <w:gridSpan w:val="2"/>
            <w:vAlign w:val="bottom"/>
          </w:tcPr>
          <w:p w14:paraId="48A64815" w14:textId="77777777" w:rsidR="00903534" w:rsidRPr="00EF3E60" w:rsidRDefault="00903534" w:rsidP="000A69A2">
            <w:pPr>
              <w:pBdr>
                <w:bottom w:val="single" w:sz="4" w:space="1" w:color="auto"/>
              </w:pBdr>
              <w:spacing w:line="241" w:lineRule="auto"/>
              <w:rPr>
                <w:rtl/>
              </w:rPr>
            </w:pPr>
            <w:r w:rsidRPr="00EF3E60">
              <w:rPr>
                <w:rFonts w:hint="cs"/>
                <w:rtl/>
              </w:rPr>
              <w:t>0</w:t>
            </w:r>
          </w:p>
        </w:tc>
        <w:tc>
          <w:tcPr>
            <w:tcW w:w="437" w:type="pct"/>
            <w:gridSpan w:val="2"/>
            <w:vAlign w:val="bottom"/>
          </w:tcPr>
          <w:p w14:paraId="2E282FDC" w14:textId="77777777" w:rsidR="00903534" w:rsidRPr="00EF3E60" w:rsidRDefault="00903534" w:rsidP="000A69A2">
            <w:pPr>
              <w:pBdr>
                <w:bottom w:val="single" w:sz="4" w:space="1" w:color="auto"/>
              </w:pBdr>
              <w:spacing w:line="241" w:lineRule="auto"/>
              <w:rPr>
                <w:rtl/>
              </w:rPr>
            </w:pPr>
            <w:r w:rsidRPr="00EF3E60">
              <w:rPr>
                <w:rFonts w:hint="cs"/>
                <w:rtl/>
              </w:rPr>
              <w:t>0</w:t>
            </w:r>
          </w:p>
        </w:tc>
      </w:tr>
      <w:tr w:rsidR="00903534" w:rsidRPr="00EF3E60" w14:paraId="437A4F84" w14:textId="77777777" w:rsidTr="000A69A2">
        <w:trPr>
          <w:gridAfter w:val="1"/>
          <w:wAfter w:w="298" w:type="pct"/>
          <w:jc w:val="right"/>
        </w:trPr>
        <w:tc>
          <w:tcPr>
            <w:tcW w:w="506" w:type="pct"/>
          </w:tcPr>
          <w:p w14:paraId="41D575D9" w14:textId="77777777" w:rsidR="00903534" w:rsidRPr="00EF3E60" w:rsidRDefault="00903534" w:rsidP="000A69A2">
            <w:pPr>
              <w:bidi w:val="0"/>
              <w:spacing w:line="60" w:lineRule="exact"/>
              <w:rPr>
                <w:sz w:val="14"/>
                <w:szCs w:val="14"/>
                <w:rtl/>
              </w:rPr>
            </w:pPr>
          </w:p>
        </w:tc>
        <w:tc>
          <w:tcPr>
            <w:tcW w:w="2031" w:type="pct"/>
            <w:vAlign w:val="bottom"/>
          </w:tcPr>
          <w:p w14:paraId="3516D7A8" w14:textId="77777777" w:rsidR="00903534" w:rsidRPr="00EF3E60" w:rsidRDefault="00903534" w:rsidP="000A69A2">
            <w:pPr>
              <w:bidi w:val="0"/>
              <w:spacing w:line="60" w:lineRule="exact"/>
              <w:ind w:left="144" w:hanging="144"/>
              <w:rPr>
                <w:color w:val="000000"/>
                <w:rtl/>
                <w:lang w:eastAsia="he-IL"/>
              </w:rPr>
            </w:pPr>
          </w:p>
        </w:tc>
        <w:tc>
          <w:tcPr>
            <w:tcW w:w="432" w:type="pct"/>
            <w:gridSpan w:val="2"/>
            <w:vAlign w:val="bottom"/>
          </w:tcPr>
          <w:p w14:paraId="485C08FE" w14:textId="77777777" w:rsidR="00903534" w:rsidRPr="00EF3E60" w:rsidRDefault="00903534" w:rsidP="000A69A2">
            <w:pPr>
              <w:bidi w:val="0"/>
              <w:spacing w:line="60" w:lineRule="exact"/>
              <w:rPr>
                <w:rtl/>
              </w:rPr>
            </w:pPr>
          </w:p>
        </w:tc>
        <w:tc>
          <w:tcPr>
            <w:tcW w:w="432" w:type="pct"/>
            <w:gridSpan w:val="2"/>
            <w:vAlign w:val="bottom"/>
          </w:tcPr>
          <w:p w14:paraId="0DD1E4A0" w14:textId="77777777" w:rsidR="00903534" w:rsidRPr="00EF3E60" w:rsidRDefault="00903534" w:rsidP="000A69A2">
            <w:pPr>
              <w:bidi w:val="0"/>
              <w:spacing w:line="60" w:lineRule="exact"/>
              <w:rPr>
                <w:rtl/>
              </w:rPr>
            </w:pPr>
          </w:p>
        </w:tc>
        <w:tc>
          <w:tcPr>
            <w:tcW w:w="432" w:type="pct"/>
            <w:gridSpan w:val="2"/>
            <w:vAlign w:val="bottom"/>
          </w:tcPr>
          <w:p w14:paraId="483C7443" w14:textId="77777777" w:rsidR="00903534" w:rsidRPr="00EF3E60" w:rsidRDefault="00903534" w:rsidP="000A69A2">
            <w:pPr>
              <w:bidi w:val="0"/>
              <w:spacing w:line="60" w:lineRule="exact"/>
              <w:rPr>
                <w:rtl/>
              </w:rPr>
            </w:pPr>
          </w:p>
        </w:tc>
        <w:tc>
          <w:tcPr>
            <w:tcW w:w="432" w:type="pct"/>
            <w:gridSpan w:val="2"/>
            <w:vAlign w:val="bottom"/>
          </w:tcPr>
          <w:p w14:paraId="524519A3" w14:textId="77777777" w:rsidR="00903534" w:rsidRPr="00EF3E60" w:rsidRDefault="00903534" w:rsidP="000A69A2">
            <w:pPr>
              <w:bidi w:val="0"/>
              <w:spacing w:line="60" w:lineRule="exact"/>
              <w:rPr>
                <w:rtl/>
              </w:rPr>
            </w:pPr>
          </w:p>
        </w:tc>
        <w:tc>
          <w:tcPr>
            <w:tcW w:w="437" w:type="pct"/>
            <w:gridSpan w:val="2"/>
            <w:vAlign w:val="bottom"/>
          </w:tcPr>
          <w:p w14:paraId="3FF56040" w14:textId="77777777" w:rsidR="00903534" w:rsidRPr="00EF3E60" w:rsidRDefault="00903534" w:rsidP="000A69A2">
            <w:pPr>
              <w:bidi w:val="0"/>
              <w:spacing w:line="60" w:lineRule="exact"/>
              <w:rPr>
                <w:rtl/>
              </w:rPr>
            </w:pPr>
          </w:p>
        </w:tc>
      </w:tr>
      <w:tr w:rsidR="00903534" w:rsidRPr="00EF3E60" w14:paraId="0CC35224" w14:textId="77777777" w:rsidTr="000A69A2">
        <w:trPr>
          <w:gridAfter w:val="1"/>
          <w:wAfter w:w="298" w:type="pct"/>
          <w:jc w:val="right"/>
        </w:trPr>
        <w:tc>
          <w:tcPr>
            <w:tcW w:w="506" w:type="pct"/>
          </w:tcPr>
          <w:p w14:paraId="464953BE" w14:textId="77777777" w:rsidR="00903534" w:rsidRPr="00EF3E60" w:rsidRDefault="00903534" w:rsidP="000A69A2">
            <w:pPr>
              <w:jc w:val="left"/>
              <w:rPr>
                <w:sz w:val="14"/>
                <w:szCs w:val="14"/>
                <w:rtl/>
              </w:rPr>
            </w:pPr>
          </w:p>
        </w:tc>
        <w:tc>
          <w:tcPr>
            <w:tcW w:w="2031" w:type="pct"/>
            <w:vAlign w:val="bottom"/>
          </w:tcPr>
          <w:p w14:paraId="061E833B" w14:textId="77777777" w:rsidR="00903534" w:rsidRPr="00B678F5" w:rsidRDefault="00903534" w:rsidP="000A69A2">
            <w:pPr>
              <w:spacing w:line="200" w:lineRule="exact"/>
              <w:ind w:left="144" w:hanging="144"/>
              <w:jc w:val="left"/>
              <w:rPr>
                <w:color w:val="000000"/>
                <w:rtl/>
                <w:lang w:eastAsia="he-IL"/>
              </w:rPr>
            </w:pPr>
            <w:r w:rsidRPr="00B678F5">
              <w:rPr>
                <w:rFonts w:hint="cs"/>
                <w:color w:val="000000"/>
                <w:rtl/>
                <w:lang w:eastAsia="he-IL"/>
              </w:rPr>
              <w:t>סה"כ</w:t>
            </w:r>
          </w:p>
        </w:tc>
        <w:tc>
          <w:tcPr>
            <w:tcW w:w="432" w:type="pct"/>
            <w:gridSpan w:val="2"/>
            <w:vAlign w:val="bottom"/>
          </w:tcPr>
          <w:p w14:paraId="5B9D34CA" w14:textId="77777777" w:rsidR="00903534" w:rsidRPr="00EF3E60" w:rsidRDefault="00903534" w:rsidP="000A69A2">
            <w:pPr>
              <w:pBdr>
                <w:bottom w:val="double" w:sz="4" w:space="1" w:color="auto"/>
              </w:pBdr>
              <w:spacing w:line="241" w:lineRule="auto"/>
              <w:rPr>
                <w:b/>
                <w:bCs/>
                <w:rtl/>
              </w:rPr>
            </w:pPr>
            <w:r w:rsidRPr="00EF3E60">
              <w:rPr>
                <w:rFonts w:hint="cs"/>
                <w:b/>
                <w:bCs/>
                <w:rtl/>
              </w:rPr>
              <w:t>0</w:t>
            </w:r>
          </w:p>
        </w:tc>
        <w:tc>
          <w:tcPr>
            <w:tcW w:w="432" w:type="pct"/>
            <w:gridSpan w:val="2"/>
            <w:vAlign w:val="bottom"/>
          </w:tcPr>
          <w:p w14:paraId="38FF18BA" w14:textId="77777777" w:rsidR="00903534" w:rsidRPr="00EF3E60" w:rsidRDefault="00903534" w:rsidP="000A69A2">
            <w:pPr>
              <w:pBdr>
                <w:bottom w:val="double" w:sz="4" w:space="1" w:color="auto"/>
              </w:pBdr>
              <w:spacing w:line="241" w:lineRule="auto"/>
              <w:rPr>
                <w:b/>
                <w:bCs/>
                <w:rtl/>
              </w:rPr>
            </w:pPr>
            <w:r w:rsidRPr="00EF3E60">
              <w:rPr>
                <w:rFonts w:hint="cs"/>
                <w:b/>
                <w:bCs/>
                <w:rtl/>
              </w:rPr>
              <w:t>0</w:t>
            </w:r>
          </w:p>
        </w:tc>
        <w:tc>
          <w:tcPr>
            <w:tcW w:w="432" w:type="pct"/>
            <w:gridSpan w:val="2"/>
            <w:vAlign w:val="bottom"/>
          </w:tcPr>
          <w:p w14:paraId="2D646E44" w14:textId="77777777" w:rsidR="00903534" w:rsidRPr="00EF3E60" w:rsidRDefault="00903534" w:rsidP="000A69A2">
            <w:pPr>
              <w:pBdr>
                <w:bottom w:val="double" w:sz="4" w:space="1" w:color="auto"/>
              </w:pBdr>
              <w:spacing w:line="241" w:lineRule="auto"/>
              <w:rPr>
                <w:b/>
                <w:bCs/>
                <w:rtl/>
              </w:rPr>
            </w:pPr>
            <w:r w:rsidRPr="00EF3E60">
              <w:rPr>
                <w:rFonts w:hint="cs"/>
                <w:b/>
                <w:bCs/>
                <w:rtl/>
              </w:rPr>
              <w:t>0</w:t>
            </w:r>
          </w:p>
        </w:tc>
        <w:tc>
          <w:tcPr>
            <w:tcW w:w="432" w:type="pct"/>
            <w:gridSpan w:val="2"/>
            <w:vAlign w:val="bottom"/>
          </w:tcPr>
          <w:p w14:paraId="00E6E041" w14:textId="77777777" w:rsidR="00903534" w:rsidRPr="00EF3E60" w:rsidRDefault="00903534" w:rsidP="000A69A2">
            <w:pPr>
              <w:pBdr>
                <w:bottom w:val="double" w:sz="4" w:space="1" w:color="auto"/>
              </w:pBdr>
              <w:spacing w:line="241" w:lineRule="auto"/>
              <w:rPr>
                <w:b/>
                <w:bCs/>
                <w:rtl/>
              </w:rPr>
            </w:pPr>
            <w:r w:rsidRPr="00EF3E60">
              <w:rPr>
                <w:rFonts w:hint="cs"/>
                <w:b/>
                <w:bCs/>
                <w:rtl/>
              </w:rPr>
              <w:t>0</w:t>
            </w:r>
          </w:p>
        </w:tc>
        <w:tc>
          <w:tcPr>
            <w:tcW w:w="437" w:type="pct"/>
            <w:gridSpan w:val="2"/>
            <w:vAlign w:val="bottom"/>
          </w:tcPr>
          <w:p w14:paraId="3435BDE9" w14:textId="77777777" w:rsidR="00903534" w:rsidRPr="00EF3E60" w:rsidRDefault="00903534" w:rsidP="000A69A2">
            <w:pPr>
              <w:pBdr>
                <w:bottom w:val="double" w:sz="4" w:space="1" w:color="auto"/>
              </w:pBdr>
              <w:spacing w:line="241" w:lineRule="auto"/>
              <w:rPr>
                <w:b/>
                <w:bCs/>
                <w:rtl/>
              </w:rPr>
            </w:pPr>
            <w:r w:rsidRPr="00EF3E60">
              <w:rPr>
                <w:rFonts w:hint="cs"/>
                <w:b/>
                <w:bCs/>
                <w:rtl/>
              </w:rPr>
              <w:t>0</w:t>
            </w:r>
          </w:p>
        </w:tc>
      </w:tr>
      <w:tr w:rsidR="00903534" w:rsidRPr="00EF3E60" w14:paraId="5067E598" w14:textId="77777777" w:rsidTr="00903534">
        <w:trPr>
          <w:jc w:val="right"/>
        </w:trPr>
        <w:tc>
          <w:tcPr>
            <w:tcW w:w="506" w:type="pct"/>
          </w:tcPr>
          <w:p w14:paraId="3C32DA6D" w14:textId="77777777" w:rsidR="00903534" w:rsidRPr="00EF3E60" w:rsidRDefault="00903534" w:rsidP="000A69A2">
            <w:pPr>
              <w:bidi w:val="0"/>
              <w:spacing w:line="60" w:lineRule="exact"/>
              <w:rPr>
                <w:sz w:val="14"/>
                <w:szCs w:val="14"/>
                <w:rtl/>
              </w:rPr>
            </w:pPr>
          </w:p>
        </w:tc>
        <w:tc>
          <w:tcPr>
            <w:tcW w:w="2333" w:type="pct"/>
            <w:gridSpan w:val="2"/>
            <w:vAlign w:val="bottom"/>
          </w:tcPr>
          <w:p w14:paraId="05F2514B" w14:textId="77777777" w:rsidR="00903534" w:rsidRPr="00EF3E60" w:rsidRDefault="00903534" w:rsidP="000A69A2">
            <w:pPr>
              <w:bidi w:val="0"/>
              <w:spacing w:line="60" w:lineRule="exact"/>
              <w:ind w:left="144" w:hanging="144"/>
              <w:rPr>
                <w:b/>
                <w:bCs/>
                <w:color w:val="000000"/>
                <w:rtl/>
                <w:lang w:eastAsia="he-IL"/>
              </w:rPr>
            </w:pPr>
          </w:p>
        </w:tc>
        <w:tc>
          <w:tcPr>
            <w:tcW w:w="432" w:type="pct"/>
            <w:gridSpan w:val="2"/>
            <w:vAlign w:val="bottom"/>
          </w:tcPr>
          <w:p w14:paraId="3C256331" w14:textId="77777777" w:rsidR="00903534" w:rsidRPr="00EF3E60" w:rsidRDefault="00903534" w:rsidP="000A69A2">
            <w:pPr>
              <w:bidi w:val="0"/>
              <w:spacing w:line="60" w:lineRule="exact"/>
              <w:rPr>
                <w:rtl/>
              </w:rPr>
            </w:pPr>
          </w:p>
        </w:tc>
        <w:tc>
          <w:tcPr>
            <w:tcW w:w="432" w:type="pct"/>
            <w:gridSpan w:val="2"/>
            <w:vAlign w:val="bottom"/>
          </w:tcPr>
          <w:p w14:paraId="015B2A71" w14:textId="77777777" w:rsidR="00903534" w:rsidRPr="00EF3E60" w:rsidRDefault="00903534" w:rsidP="000A69A2">
            <w:pPr>
              <w:bidi w:val="0"/>
              <w:spacing w:line="60" w:lineRule="exact"/>
              <w:rPr>
                <w:rtl/>
              </w:rPr>
            </w:pPr>
          </w:p>
        </w:tc>
        <w:tc>
          <w:tcPr>
            <w:tcW w:w="432" w:type="pct"/>
            <w:gridSpan w:val="2"/>
            <w:vAlign w:val="bottom"/>
          </w:tcPr>
          <w:p w14:paraId="2177EA26" w14:textId="77777777" w:rsidR="00903534" w:rsidRPr="00EF3E60" w:rsidRDefault="00903534" w:rsidP="000A69A2">
            <w:pPr>
              <w:bidi w:val="0"/>
              <w:spacing w:line="60" w:lineRule="exact"/>
              <w:rPr>
                <w:rtl/>
              </w:rPr>
            </w:pPr>
          </w:p>
        </w:tc>
        <w:tc>
          <w:tcPr>
            <w:tcW w:w="432" w:type="pct"/>
            <w:gridSpan w:val="2"/>
            <w:vAlign w:val="bottom"/>
          </w:tcPr>
          <w:p w14:paraId="105E7705" w14:textId="77777777" w:rsidR="00903534" w:rsidRPr="00EF3E60" w:rsidRDefault="00903534" w:rsidP="000A69A2">
            <w:pPr>
              <w:bidi w:val="0"/>
              <w:spacing w:line="60" w:lineRule="exact"/>
              <w:rPr>
                <w:rtl/>
              </w:rPr>
            </w:pPr>
          </w:p>
        </w:tc>
        <w:tc>
          <w:tcPr>
            <w:tcW w:w="433" w:type="pct"/>
            <w:gridSpan w:val="2"/>
            <w:vAlign w:val="bottom"/>
          </w:tcPr>
          <w:p w14:paraId="1308B72D" w14:textId="77777777" w:rsidR="00903534" w:rsidRPr="00EF3E60" w:rsidRDefault="00903534" w:rsidP="000A69A2">
            <w:pPr>
              <w:bidi w:val="0"/>
              <w:spacing w:line="60" w:lineRule="exact"/>
              <w:rPr>
                <w:rtl/>
              </w:rPr>
            </w:pPr>
          </w:p>
        </w:tc>
      </w:tr>
    </w:tbl>
    <w:p w14:paraId="7AC55663" w14:textId="77777777" w:rsidR="00EF3E60" w:rsidRDefault="00EF3E60" w:rsidP="00594FC9">
      <w:pPr>
        <w:tabs>
          <w:tab w:val="left" w:pos="2708"/>
        </w:tabs>
        <w:rPr>
          <w:rtl/>
        </w:rPr>
      </w:pPr>
      <w:r>
        <w:rPr>
          <w:rtl/>
        </w:rPr>
        <w:tab/>
      </w:r>
    </w:p>
    <w:p w14:paraId="7F9005DA" w14:textId="77777777" w:rsidR="00EF3E60" w:rsidRDefault="00EF3E60" w:rsidP="00EF3E60">
      <w:pPr>
        <w:tabs>
          <w:tab w:val="left" w:pos="2708"/>
        </w:tabs>
        <w:rPr>
          <w:rtl/>
        </w:rPr>
      </w:pPr>
      <w:r>
        <w:rPr>
          <w:rtl/>
        </w:rPr>
        <w:tab/>
      </w:r>
    </w:p>
    <w:p w14:paraId="533D7FFE" w14:textId="77777777" w:rsidR="00EF3E60" w:rsidRPr="009C6672" w:rsidRDefault="00EF3E60" w:rsidP="00594FC9">
      <w:pPr>
        <w:rPr>
          <w:rtl/>
        </w:rPr>
      </w:pPr>
    </w:p>
    <w:p w14:paraId="79642097" w14:textId="77777777" w:rsidR="00EF3E60" w:rsidRDefault="00EF3E60" w:rsidP="00D7780F">
      <w:pPr>
        <w:rPr>
          <w:rtl/>
        </w:rPr>
      </w:pPr>
    </w:p>
    <w:p w14:paraId="11434196" w14:textId="77777777" w:rsidR="000029B3" w:rsidRDefault="000029B3">
      <w:pPr>
        <w:bidi w:val="0"/>
        <w:jc w:val="left"/>
      </w:pPr>
      <w:r>
        <w:rPr>
          <w:rtl/>
        </w:rPr>
        <w:br w:type="page"/>
      </w:r>
    </w:p>
    <w:tbl>
      <w:tblPr>
        <w:bidiVisual/>
        <w:tblW w:w="5000" w:type="pct"/>
        <w:jc w:val="center"/>
        <w:tblLayout w:type="fixed"/>
        <w:tblLook w:val="04A0" w:firstRow="1" w:lastRow="0" w:firstColumn="1" w:lastColumn="0" w:noHBand="0" w:noVBand="1"/>
      </w:tblPr>
      <w:tblGrid>
        <w:gridCol w:w="1022"/>
        <w:gridCol w:w="415"/>
        <w:gridCol w:w="1692"/>
        <w:gridCol w:w="1568"/>
        <w:gridCol w:w="853"/>
        <w:gridCol w:w="708"/>
        <w:gridCol w:w="847"/>
        <w:gridCol w:w="992"/>
        <w:gridCol w:w="851"/>
        <w:gridCol w:w="851"/>
        <w:gridCol w:w="408"/>
      </w:tblGrid>
      <w:tr w:rsidR="00485A05" w:rsidRPr="00EF3E60" w14:paraId="7E513E17" w14:textId="77777777" w:rsidTr="00C97742">
        <w:trPr>
          <w:gridAfter w:val="1"/>
          <w:wAfter w:w="201" w:type="pct"/>
          <w:trHeight w:val="284"/>
          <w:jc w:val="center"/>
        </w:trPr>
        <w:tc>
          <w:tcPr>
            <w:tcW w:w="500" w:type="pct"/>
          </w:tcPr>
          <w:p w14:paraId="5C37CD5D" w14:textId="77777777" w:rsidR="00485A05" w:rsidRPr="00EA192D" w:rsidRDefault="00485A05" w:rsidP="00EA192D">
            <w:pPr>
              <w:jc w:val="left"/>
              <w:rPr>
                <w:b/>
                <w:bCs/>
                <w:color w:val="000000"/>
                <w:sz w:val="18"/>
                <w:szCs w:val="18"/>
                <w:rtl/>
                <w:lang w:eastAsia="he-IL"/>
              </w:rPr>
            </w:pPr>
            <w:r>
              <w:rPr>
                <w:rtl/>
              </w:rPr>
              <w:lastRenderedPageBreak/>
              <w:br w:type="page"/>
            </w:r>
          </w:p>
        </w:tc>
        <w:tc>
          <w:tcPr>
            <w:tcW w:w="4300" w:type="pct"/>
            <w:gridSpan w:val="9"/>
          </w:tcPr>
          <w:p w14:paraId="63CE59A0" w14:textId="4055ED9E" w:rsidR="00485A05" w:rsidRPr="00EF3E60" w:rsidRDefault="00485A05" w:rsidP="00D7780F">
            <w:pPr>
              <w:spacing w:after="60"/>
              <w:rPr>
                <w:b/>
                <w:bCs/>
                <w:sz w:val="22"/>
                <w:szCs w:val="22"/>
              </w:rPr>
            </w:pPr>
            <w:r w:rsidRPr="00EF3E60">
              <w:rPr>
                <w:rFonts w:eastAsia="Arial Unicode MS"/>
                <w:b/>
                <w:bCs/>
                <w:sz w:val="22"/>
                <w:szCs w:val="22"/>
                <w:rtl/>
              </w:rPr>
              <w:t xml:space="preserve">ביאור </w:t>
            </w:r>
            <w:r w:rsidRPr="00EF3E60">
              <w:rPr>
                <w:rFonts w:eastAsia="Arial Unicode MS" w:hint="cs"/>
                <w:b/>
                <w:bCs/>
                <w:sz w:val="22"/>
                <w:szCs w:val="22"/>
                <w:rtl/>
              </w:rPr>
              <w:t xml:space="preserve">10  </w:t>
            </w:r>
            <w:r w:rsidRPr="00EF3E60">
              <w:rPr>
                <w:rFonts w:eastAsia="Arial Unicode MS"/>
                <w:b/>
                <w:bCs/>
                <w:sz w:val="22"/>
                <w:szCs w:val="22"/>
                <w:rtl/>
              </w:rPr>
              <w:t>-</w:t>
            </w:r>
            <w:r>
              <w:rPr>
                <w:rFonts w:eastAsia="Arial Unicode MS" w:hint="cs"/>
                <w:b/>
                <w:bCs/>
                <w:sz w:val="22"/>
                <w:szCs w:val="22"/>
                <w:rtl/>
              </w:rPr>
              <w:t xml:space="preserve"> </w:t>
            </w:r>
            <w:r w:rsidRPr="00EF3E60">
              <w:rPr>
                <w:rFonts w:eastAsia="Arial Unicode MS"/>
                <w:b/>
                <w:bCs/>
                <w:sz w:val="22"/>
                <w:szCs w:val="22"/>
                <w:rtl/>
              </w:rPr>
              <w:t xml:space="preserve"> </w:t>
            </w:r>
            <w:r w:rsidRPr="00EF3E60">
              <w:rPr>
                <w:rFonts w:hint="cs"/>
                <w:b/>
                <w:bCs/>
                <w:sz w:val="22"/>
                <w:szCs w:val="22"/>
                <w:rtl/>
              </w:rPr>
              <w:t xml:space="preserve">פעילות במכשירים נגזרים </w:t>
            </w:r>
            <w:r>
              <w:rPr>
                <w:rFonts w:hint="cs"/>
                <w:b/>
                <w:bCs/>
                <w:sz w:val="22"/>
                <w:szCs w:val="22"/>
                <w:rtl/>
              </w:rPr>
              <w:t xml:space="preserve">- </w:t>
            </w:r>
            <w:r w:rsidRPr="00EF3E60">
              <w:rPr>
                <w:rFonts w:hint="cs"/>
                <w:b/>
                <w:bCs/>
                <w:sz w:val="22"/>
                <w:szCs w:val="22"/>
                <w:rtl/>
              </w:rPr>
              <w:t>היקף, סיכוני אשראי ומועדי פירעון (המשך</w:t>
            </w:r>
            <w:r>
              <w:rPr>
                <w:rFonts w:hint="cs"/>
                <w:b/>
                <w:bCs/>
                <w:sz w:val="22"/>
                <w:szCs w:val="22"/>
                <w:rtl/>
              </w:rPr>
              <w:t>):</w:t>
            </w:r>
          </w:p>
        </w:tc>
      </w:tr>
      <w:tr w:rsidR="00485A05" w:rsidRPr="00EF3E60" w14:paraId="2F69599B" w14:textId="77777777" w:rsidTr="00C97742">
        <w:tblPrEx>
          <w:tblLook w:val="0000" w:firstRow="0" w:lastRow="0" w:firstColumn="0" w:lastColumn="0" w:noHBand="0" w:noVBand="0"/>
        </w:tblPrEx>
        <w:trPr>
          <w:gridAfter w:val="1"/>
          <w:wAfter w:w="201" w:type="pct"/>
          <w:trHeight w:val="245"/>
          <w:jc w:val="center"/>
        </w:trPr>
        <w:tc>
          <w:tcPr>
            <w:tcW w:w="500" w:type="pct"/>
          </w:tcPr>
          <w:p w14:paraId="0DC7F8F0" w14:textId="03B4877A" w:rsidR="00485A05" w:rsidRPr="002F28B0" w:rsidRDefault="00485A05" w:rsidP="007A5721">
            <w:pPr>
              <w:spacing w:before="60" w:after="40"/>
              <w:jc w:val="left"/>
              <w:rPr>
                <w:b/>
                <w:bCs/>
                <w:i/>
                <w:iCs/>
                <w:sz w:val="22"/>
                <w:szCs w:val="22"/>
                <w:rtl/>
              </w:rPr>
            </w:pPr>
          </w:p>
        </w:tc>
        <w:tc>
          <w:tcPr>
            <w:tcW w:w="4300" w:type="pct"/>
            <w:gridSpan w:val="9"/>
          </w:tcPr>
          <w:p w14:paraId="4BA5B6F9" w14:textId="289BC3EE" w:rsidR="00485A05" w:rsidRPr="00EF3E60" w:rsidRDefault="00485A05" w:rsidP="00E641F4">
            <w:pPr>
              <w:tabs>
                <w:tab w:val="left" w:pos="333"/>
              </w:tabs>
              <w:spacing w:before="60" w:after="40"/>
              <w:jc w:val="left"/>
              <w:rPr>
                <w:b/>
                <w:bCs/>
                <w:rtl/>
              </w:rPr>
            </w:pPr>
            <w:r>
              <w:rPr>
                <w:rFonts w:hint="cs"/>
                <w:b/>
                <w:bCs/>
                <w:rtl/>
              </w:rPr>
              <w:t>ד</w:t>
            </w:r>
            <w:r w:rsidRPr="00EF3E60">
              <w:rPr>
                <w:rFonts w:hint="cs"/>
                <w:b/>
                <w:bCs/>
                <w:rtl/>
              </w:rPr>
              <w:t>.</w:t>
            </w:r>
            <w:r>
              <w:rPr>
                <w:b/>
                <w:bCs/>
                <w:rtl/>
              </w:rPr>
              <w:tab/>
            </w:r>
            <w:r>
              <w:rPr>
                <w:rFonts w:hint="cs"/>
                <w:b/>
                <w:bCs/>
                <w:rtl/>
              </w:rPr>
              <w:t>השפעות הפעילות במכשירים נגזרים בגידורי שווי הוגן:</w:t>
            </w:r>
          </w:p>
        </w:tc>
      </w:tr>
      <w:tr w:rsidR="00485A05" w:rsidRPr="00EF3E60" w14:paraId="7C013EFB" w14:textId="77777777" w:rsidTr="00C97742">
        <w:tblPrEx>
          <w:tblLook w:val="0000" w:firstRow="0" w:lastRow="0" w:firstColumn="0" w:lastColumn="0" w:noHBand="0" w:noVBand="0"/>
        </w:tblPrEx>
        <w:trPr>
          <w:trHeight w:val="369"/>
          <w:jc w:val="center"/>
        </w:trPr>
        <w:tc>
          <w:tcPr>
            <w:tcW w:w="703" w:type="pct"/>
            <w:gridSpan w:val="2"/>
          </w:tcPr>
          <w:p w14:paraId="144C6E0C" w14:textId="77777777" w:rsidR="00C97742" w:rsidRPr="00C97742" w:rsidRDefault="00485A05" w:rsidP="006C2965">
            <w:pPr>
              <w:spacing w:before="60" w:after="60"/>
              <w:jc w:val="right"/>
              <w:rPr>
                <w:sz w:val="12"/>
                <w:szCs w:val="12"/>
              </w:rPr>
            </w:pPr>
            <w:r w:rsidRPr="00C97742">
              <w:rPr>
                <w:sz w:val="12"/>
                <w:szCs w:val="12"/>
              </w:rPr>
              <w:t>ASC 815-10-50-4A(c)</w:t>
            </w:r>
          </w:p>
          <w:p w14:paraId="779F5F67" w14:textId="40FF116E" w:rsidR="00485A05" w:rsidRPr="00176C15" w:rsidRDefault="00485A05" w:rsidP="006C2965">
            <w:pPr>
              <w:spacing w:before="60" w:after="60"/>
              <w:jc w:val="right"/>
              <w:rPr>
                <w:sz w:val="14"/>
                <w:szCs w:val="14"/>
                <w:rtl/>
              </w:rPr>
            </w:pPr>
            <w:r w:rsidRPr="00C97742">
              <w:rPr>
                <w:sz w:val="12"/>
                <w:szCs w:val="12"/>
              </w:rPr>
              <w:t xml:space="preserve"> ASC 815-10-50-4C</w:t>
            </w:r>
          </w:p>
        </w:tc>
        <w:tc>
          <w:tcPr>
            <w:tcW w:w="4297" w:type="pct"/>
            <w:gridSpan w:val="9"/>
          </w:tcPr>
          <w:p w14:paraId="243763ED" w14:textId="0BD5DEB2" w:rsidR="00485A05" w:rsidRPr="0081023A" w:rsidRDefault="00485A05" w:rsidP="00C97742">
            <w:pPr>
              <w:numPr>
                <w:ilvl w:val="0"/>
                <w:numId w:val="13"/>
              </w:numPr>
              <w:spacing w:before="60" w:after="60"/>
              <w:ind w:left="299" w:hanging="284"/>
              <w:rPr>
                <w:b/>
                <w:bCs/>
                <w:rtl/>
              </w:rPr>
            </w:pPr>
            <w:r w:rsidRPr="00D7780F">
              <w:rPr>
                <w:rFonts w:hint="cs"/>
                <w:b/>
                <w:bCs/>
                <w:rtl/>
              </w:rPr>
              <w:t>רווחים והפסדים בגין גידורי שווי הוגן</w:t>
            </w:r>
            <w:r>
              <w:rPr>
                <w:rFonts w:hint="cs"/>
                <w:b/>
                <w:bCs/>
                <w:rtl/>
              </w:rPr>
              <w:t>:</w:t>
            </w:r>
          </w:p>
        </w:tc>
      </w:tr>
      <w:tr w:rsidR="00547F17" w:rsidRPr="001434E6" w14:paraId="681A2BD1" w14:textId="77777777" w:rsidTr="00C97742">
        <w:trPr>
          <w:trHeight w:val="737"/>
          <w:jc w:val="center"/>
        </w:trPr>
        <w:tc>
          <w:tcPr>
            <w:tcW w:w="703" w:type="pct"/>
            <w:gridSpan w:val="2"/>
            <w:tcBorders>
              <w:top w:val="nil"/>
              <w:left w:val="nil"/>
              <w:bottom w:val="nil"/>
            </w:tcBorders>
            <w:vAlign w:val="bottom"/>
          </w:tcPr>
          <w:p w14:paraId="46E64049" w14:textId="7619FA21" w:rsidR="00485A05" w:rsidRPr="00485A05" w:rsidRDefault="00485A05" w:rsidP="00485A05">
            <w:pPr>
              <w:jc w:val="center"/>
              <w:rPr>
                <w:b/>
                <w:bCs/>
                <w:sz w:val="18"/>
                <w:szCs w:val="18"/>
              </w:rPr>
            </w:pPr>
          </w:p>
        </w:tc>
        <w:tc>
          <w:tcPr>
            <w:tcW w:w="829" w:type="pct"/>
            <w:tcBorders>
              <w:top w:val="nil"/>
              <w:left w:val="nil"/>
              <w:bottom w:val="nil"/>
            </w:tcBorders>
            <w:vAlign w:val="bottom"/>
          </w:tcPr>
          <w:p w14:paraId="3096D742" w14:textId="76F0E9D7" w:rsidR="00485A05" w:rsidRPr="00485A05" w:rsidRDefault="00485A05" w:rsidP="00485A05">
            <w:pPr>
              <w:jc w:val="center"/>
              <w:rPr>
                <w:sz w:val="18"/>
                <w:szCs w:val="18"/>
                <w:rtl/>
              </w:rPr>
            </w:pPr>
          </w:p>
        </w:tc>
        <w:tc>
          <w:tcPr>
            <w:tcW w:w="768" w:type="pct"/>
            <w:tcBorders>
              <w:top w:val="nil"/>
              <w:left w:val="nil"/>
              <w:bottom w:val="nil"/>
              <w:right w:val="nil"/>
            </w:tcBorders>
            <w:vAlign w:val="bottom"/>
          </w:tcPr>
          <w:p w14:paraId="0A3D1A2C" w14:textId="20607C8C" w:rsidR="00485A05" w:rsidRPr="00485A05" w:rsidRDefault="00485A05" w:rsidP="00485A05">
            <w:pPr>
              <w:jc w:val="center"/>
              <w:rPr>
                <w:sz w:val="18"/>
                <w:szCs w:val="18"/>
                <w:rtl/>
              </w:rPr>
            </w:pPr>
          </w:p>
        </w:tc>
        <w:tc>
          <w:tcPr>
            <w:tcW w:w="1180" w:type="pct"/>
            <w:gridSpan w:val="3"/>
            <w:vAlign w:val="bottom"/>
            <w:hideMark/>
          </w:tcPr>
          <w:p w14:paraId="6521C1CE" w14:textId="77777777" w:rsidR="00485A05" w:rsidRPr="00485A05" w:rsidRDefault="00485A05" w:rsidP="00485A05">
            <w:pPr>
              <w:pBdr>
                <w:bottom w:val="single" w:sz="4" w:space="1" w:color="auto"/>
              </w:pBdr>
              <w:jc w:val="center"/>
              <w:rPr>
                <w:b/>
                <w:bCs/>
                <w:sz w:val="18"/>
                <w:szCs w:val="18"/>
                <w:rtl/>
              </w:rPr>
            </w:pPr>
            <w:r w:rsidRPr="00485A05">
              <w:rPr>
                <w:rFonts w:hint="cs"/>
                <w:b/>
                <w:bCs/>
                <w:sz w:val="18"/>
                <w:szCs w:val="18"/>
                <w:rtl/>
              </w:rPr>
              <w:t xml:space="preserve">רווחים (הפסדים) שהוכרו </w:t>
            </w:r>
            <w:r w:rsidRPr="00485A05">
              <w:rPr>
                <w:rFonts w:hint="cs"/>
                <w:b/>
                <w:bCs/>
                <w:sz w:val="18"/>
                <w:szCs w:val="18"/>
                <w:rtl/>
              </w:rPr>
              <w:br/>
              <w:t>ברווח והפסד</w:t>
            </w:r>
            <w:r w:rsidRPr="00485A05">
              <w:rPr>
                <w:rFonts w:hint="cs"/>
                <w:b/>
                <w:bCs/>
                <w:sz w:val="18"/>
                <w:szCs w:val="18"/>
                <w:vertAlign w:val="superscript"/>
                <w:rtl/>
              </w:rPr>
              <w:t>[</w:t>
            </w:r>
            <w:r w:rsidRPr="00485A05">
              <w:rPr>
                <w:b/>
                <w:bCs/>
                <w:sz w:val="18"/>
                <w:szCs w:val="18"/>
                <w:vertAlign w:val="superscript"/>
                <w:rtl/>
              </w:rPr>
              <w:footnoteReference w:id="84"/>
            </w:r>
            <w:r w:rsidRPr="00485A05">
              <w:rPr>
                <w:rFonts w:hint="cs"/>
                <w:b/>
                <w:bCs/>
                <w:sz w:val="18"/>
                <w:szCs w:val="18"/>
                <w:vertAlign w:val="superscript"/>
                <w:rtl/>
              </w:rPr>
              <w:t>]</w:t>
            </w:r>
          </w:p>
        </w:tc>
        <w:tc>
          <w:tcPr>
            <w:tcW w:w="903" w:type="pct"/>
            <w:gridSpan w:val="2"/>
            <w:vAlign w:val="bottom"/>
            <w:hideMark/>
          </w:tcPr>
          <w:p w14:paraId="5B14E209" w14:textId="4614BB38" w:rsidR="00485A05" w:rsidRPr="00485A05" w:rsidRDefault="00485A05" w:rsidP="00485A05">
            <w:pPr>
              <w:pBdr>
                <w:bottom w:val="single" w:sz="4" w:space="1" w:color="auto"/>
              </w:pBdr>
              <w:jc w:val="center"/>
              <w:rPr>
                <w:b/>
                <w:bCs/>
                <w:sz w:val="18"/>
                <w:szCs w:val="18"/>
                <w:rtl/>
              </w:rPr>
            </w:pPr>
            <w:r w:rsidRPr="00485A05">
              <w:rPr>
                <w:rFonts w:hint="cs"/>
                <w:b/>
                <w:bCs/>
                <w:sz w:val="18"/>
                <w:szCs w:val="18"/>
                <w:rtl/>
              </w:rPr>
              <w:t>השפעה על רווח והפסד של סכומים שלא נכללו בהערכת אפקטיביות הגידור</w:t>
            </w:r>
            <w:r w:rsidRPr="00485A05">
              <w:rPr>
                <w:rFonts w:hint="cs"/>
                <w:b/>
                <w:bCs/>
                <w:sz w:val="18"/>
                <w:szCs w:val="18"/>
                <w:vertAlign w:val="superscript"/>
                <w:rtl/>
              </w:rPr>
              <w:t>[1]</w:t>
            </w:r>
          </w:p>
        </w:tc>
        <w:tc>
          <w:tcPr>
            <w:tcW w:w="618" w:type="pct"/>
            <w:gridSpan w:val="2"/>
            <w:vMerge w:val="restart"/>
            <w:vAlign w:val="bottom"/>
            <w:hideMark/>
          </w:tcPr>
          <w:p w14:paraId="4B306A2E" w14:textId="77777777" w:rsidR="00485A05" w:rsidRPr="00485A05" w:rsidRDefault="00485A05" w:rsidP="00485A05">
            <w:pPr>
              <w:pBdr>
                <w:bottom w:val="single" w:sz="4" w:space="1" w:color="auto"/>
              </w:pBdr>
              <w:jc w:val="center"/>
              <w:rPr>
                <w:b/>
                <w:bCs/>
                <w:sz w:val="18"/>
                <w:szCs w:val="18"/>
                <w:rtl/>
              </w:rPr>
            </w:pPr>
          </w:p>
          <w:p w14:paraId="3E4B4170" w14:textId="31AF6621" w:rsidR="00485A05" w:rsidRPr="00485A05" w:rsidRDefault="00485A05" w:rsidP="00937447">
            <w:pPr>
              <w:pBdr>
                <w:bottom w:val="single" w:sz="4" w:space="1" w:color="auto"/>
              </w:pBdr>
              <w:jc w:val="center"/>
              <w:rPr>
                <w:b/>
                <w:bCs/>
                <w:sz w:val="18"/>
                <w:szCs w:val="18"/>
                <w:rtl/>
              </w:rPr>
            </w:pPr>
            <w:r w:rsidRPr="00485A05">
              <w:rPr>
                <w:rFonts w:hint="cs"/>
                <w:b/>
                <w:bCs/>
                <w:sz w:val="18"/>
                <w:szCs w:val="18"/>
                <w:rtl/>
              </w:rPr>
              <w:t xml:space="preserve">השפעה על רווחים והפסדים שהוכרו ברווח </w:t>
            </w:r>
            <w:r w:rsidRPr="00485A05">
              <w:rPr>
                <w:rFonts w:hint="cs"/>
                <w:b/>
                <w:bCs/>
                <w:sz w:val="18"/>
                <w:szCs w:val="18"/>
                <w:rtl/>
              </w:rPr>
              <w:br/>
              <w:t>כולל אחר</w:t>
            </w:r>
            <w:r w:rsidRPr="00485A05">
              <w:rPr>
                <w:rFonts w:hint="cs"/>
                <w:b/>
                <w:bCs/>
                <w:sz w:val="18"/>
                <w:szCs w:val="18"/>
                <w:vertAlign w:val="superscript"/>
                <w:rtl/>
              </w:rPr>
              <w:t>[1]</w:t>
            </w:r>
          </w:p>
        </w:tc>
      </w:tr>
      <w:tr w:rsidR="00547F17" w:rsidRPr="001434E6" w14:paraId="6D1C0DAA" w14:textId="77777777" w:rsidTr="00C97742">
        <w:trPr>
          <w:jc w:val="center"/>
        </w:trPr>
        <w:tc>
          <w:tcPr>
            <w:tcW w:w="703" w:type="pct"/>
            <w:gridSpan w:val="2"/>
            <w:tcBorders>
              <w:top w:val="nil"/>
              <w:left w:val="nil"/>
              <w:bottom w:val="nil"/>
            </w:tcBorders>
            <w:vAlign w:val="bottom"/>
          </w:tcPr>
          <w:p w14:paraId="31B94FA0" w14:textId="5D9DC3E4" w:rsidR="00485A05" w:rsidRPr="00485A05" w:rsidRDefault="00485A05" w:rsidP="00DC13EA">
            <w:pPr>
              <w:jc w:val="center"/>
              <w:rPr>
                <w:b/>
                <w:bCs/>
                <w:sz w:val="18"/>
                <w:szCs w:val="18"/>
                <w:rtl/>
              </w:rPr>
            </w:pPr>
          </w:p>
        </w:tc>
        <w:tc>
          <w:tcPr>
            <w:tcW w:w="829" w:type="pct"/>
            <w:tcBorders>
              <w:top w:val="nil"/>
              <w:left w:val="nil"/>
              <w:bottom w:val="nil"/>
            </w:tcBorders>
            <w:vAlign w:val="bottom"/>
          </w:tcPr>
          <w:p w14:paraId="3E140232" w14:textId="58233067" w:rsidR="00485A05" w:rsidRPr="00485A05" w:rsidRDefault="00485A05" w:rsidP="00937447">
            <w:pPr>
              <w:pBdr>
                <w:bottom w:val="single" w:sz="4" w:space="1" w:color="auto"/>
              </w:pBdr>
              <w:jc w:val="left"/>
              <w:rPr>
                <w:b/>
                <w:bCs/>
                <w:sz w:val="18"/>
                <w:szCs w:val="18"/>
                <w:rtl/>
              </w:rPr>
            </w:pPr>
            <w:r w:rsidRPr="00485A05">
              <w:rPr>
                <w:b/>
                <w:bCs/>
                <w:sz w:val="18"/>
                <w:szCs w:val="18"/>
                <w:rtl/>
              </w:rPr>
              <w:t>3 חודשים שהסתיימו</w:t>
            </w:r>
            <w:r w:rsidRPr="00485A05">
              <w:rPr>
                <w:rFonts w:hint="cs"/>
                <w:b/>
                <w:bCs/>
                <w:sz w:val="18"/>
                <w:szCs w:val="18"/>
                <w:rtl/>
              </w:rPr>
              <w:t xml:space="preserve"> ביום</w:t>
            </w:r>
          </w:p>
        </w:tc>
        <w:tc>
          <w:tcPr>
            <w:tcW w:w="768" w:type="pct"/>
            <w:tcBorders>
              <w:top w:val="nil"/>
              <w:left w:val="nil"/>
              <w:bottom w:val="nil"/>
              <w:right w:val="nil"/>
            </w:tcBorders>
            <w:vAlign w:val="bottom"/>
            <w:hideMark/>
          </w:tcPr>
          <w:p w14:paraId="2D308BE9" w14:textId="25CCD4FF" w:rsidR="00485A05" w:rsidRPr="00485A05" w:rsidRDefault="00485A05" w:rsidP="00485A05">
            <w:pPr>
              <w:pBdr>
                <w:bottom w:val="single" w:sz="4" w:space="1" w:color="auto"/>
              </w:pBdr>
              <w:jc w:val="center"/>
              <w:rPr>
                <w:b/>
                <w:bCs/>
                <w:sz w:val="18"/>
                <w:szCs w:val="18"/>
                <w:rtl/>
              </w:rPr>
            </w:pPr>
            <w:r w:rsidRPr="00485A05">
              <w:rPr>
                <w:rFonts w:hint="cs"/>
                <w:b/>
                <w:bCs/>
                <w:sz w:val="18"/>
                <w:szCs w:val="18"/>
                <w:rtl/>
              </w:rPr>
              <w:t>חוזה הגידור</w:t>
            </w:r>
          </w:p>
        </w:tc>
        <w:tc>
          <w:tcPr>
            <w:tcW w:w="418" w:type="pct"/>
            <w:vAlign w:val="bottom"/>
            <w:hideMark/>
          </w:tcPr>
          <w:p w14:paraId="3A743ADE" w14:textId="77777777" w:rsidR="00485A05" w:rsidRPr="00485A05" w:rsidRDefault="00485A05" w:rsidP="00485A05">
            <w:pPr>
              <w:pBdr>
                <w:bottom w:val="single" w:sz="4" w:space="1" w:color="auto"/>
              </w:pBdr>
              <w:jc w:val="center"/>
              <w:rPr>
                <w:b/>
                <w:bCs/>
                <w:sz w:val="18"/>
                <w:szCs w:val="18"/>
                <w:rtl/>
              </w:rPr>
            </w:pPr>
            <w:r w:rsidRPr="00485A05">
              <w:rPr>
                <w:rFonts w:hint="cs"/>
                <w:b/>
                <w:bCs/>
                <w:sz w:val="18"/>
                <w:szCs w:val="18"/>
                <w:rtl/>
              </w:rPr>
              <w:t xml:space="preserve">מכשיר </w:t>
            </w:r>
            <w:r w:rsidRPr="00485A05">
              <w:rPr>
                <w:rFonts w:hint="cs"/>
                <w:b/>
                <w:bCs/>
                <w:sz w:val="18"/>
                <w:szCs w:val="18"/>
                <w:rtl/>
              </w:rPr>
              <w:br/>
              <w:t>נגזר</w:t>
            </w:r>
          </w:p>
        </w:tc>
        <w:tc>
          <w:tcPr>
            <w:tcW w:w="347" w:type="pct"/>
            <w:vAlign w:val="bottom"/>
            <w:hideMark/>
          </w:tcPr>
          <w:p w14:paraId="18032C98" w14:textId="77777777" w:rsidR="00485A05" w:rsidRPr="00485A05" w:rsidRDefault="00485A05" w:rsidP="00485A05">
            <w:pPr>
              <w:pBdr>
                <w:bottom w:val="single" w:sz="4" w:space="1" w:color="auto"/>
              </w:pBdr>
              <w:jc w:val="center"/>
              <w:rPr>
                <w:b/>
                <w:bCs/>
                <w:sz w:val="18"/>
                <w:szCs w:val="18"/>
                <w:rtl/>
              </w:rPr>
            </w:pPr>
            <w:r w:rsidRPr="00485A05">
              <w:rPr>
                <w:rFonts w:hint="cs"/>
                <w:b/>
                <w:bCs/>
                <w:sz w:val="18"/>
                <w:szCs w:val="18"/>
                <w:rtl/>
              </w:rPr>
              <w:t>פריט מגודר</w:t>
            </w:r>
          </w:p>
        </w:tc>
        <w:tc>
          <w:tcPr>
            <w:tcW w:w="415" w:type="pct"/>
            <w:vAlign w:val="bottom"/>
            <w:hideMark/>
          </w:tcPr>
          <w:p w14:paraId="4CD283CE" w14:textId="168C6693" w:rsidR="00485A05" w:rsidRPr="00485A05" w:rsidRDefault="00485A05" w:rsidP="00485A05">
            <w:pPr>
              <w:pBdr>
                <w:bottom w:val="single" w:sz="4" w:space="1" w:color="auto"/>
              </w:pBdr>
              <w:jc w:val="center"/>
              <w:rPr>
                <w:b/>
                <w:bCs/>
                <w:sz w:val="18"/>
                <w:szCs w:val="18"/>
                <w:rtl/>
              </w:rPr>
            </w:pPr>
            <w:r w:rsidRPr="00485A05">
              <w:rPr>
                <w:rFonts w:hint="cs"/>
                <w:b/>
                <w:bCs/>
                <w:sz w:val="18"/>
                <w:szCs w:val="18"/>
                <w:rtl/>
              </w:rPr>
              <w:t>השפעה ברווח והפסד</w:t>
            </w:r>
          </w:p>
        </w:tc>
        <w:tc>
          <w:tcPr>
            <w:tcW w:w="486" w:type="pct"/>
            <w:vAlign w:val="bottom"/>
            <w:hideMark/>
          </w:tcPr>
          <w:p w14:paraId="431765B4" w14:textId="77777777" w:rsidR="00485A05" w:rsidRPr="00485A05" w:rsidRDefault="00485A05" w:rsidP="00485A05">
            <w:pPr>
              <w:pBdr>
                <w:bottom w:val="single" w:sz="4" w:space="1" w:color="auto"/>
              </w:pBdr>
              <w:jc w:val="center"/>
              <w:rPr>
                <w:b/>
                <w:bCs/>
                <w:sz w:val="18"/>
                <w:szCs w:val="18"/>
                <w:rtl/>
              </w:rPr>
            </w:pPr>
            <w:r w:rsidRPr="00485A05">
              <w:rPr>
                <w:rFonts w:hint="cs"/>
                <w:b/>
                <w:bCs/>
                <w:sz w:val="18"/>
                <w:szCs w:val="18"/>
                <w:rtl/>
              </w:rPr>
              <w:t xml:space="preserve">שיטת </w:t>
            </w:r>
            <w:r w:rsidRPr="00485A05">
              <w:rPr>
                <w:rFonts w:hint="cs"/>
                <w:b/>
                <w:bCs/>
                <w:sz w:val="18"/>
                <w:szCs w:val="18"/>
                <w:rtl/>
              </w:rPr>
              <w:br/>
              <w:t xml:space="preserve">הפחתה </w:t>
            </w:r>
            <w:r w:rsidRPr="00485A05">
              <w:rPr>
                <w:rFonts w:hint="cs"/>
                <w:b/>
                <w:bCs/>
                <w:sz w:val="18"/>
                <w:szCs w:val="18"/>
                <w:vertAlign w:val="superscript"/>
                <w:rtl/>
              </w:rPr>
              <w:t>(א)</w:t>
            </w:r>
          </w:p>
        </w:tc>
        <w:tc>
          <w:tcPr>
            <w:tcW w:w="417" w:type="pct"/>
            <w:vAlign w:val="bottom"/>
            <w:hideMark/>
          </w:tcPr>
          <w:p w14:paraId="73A58B7F" w14:textId="77777777" w:rsidR="00485A05" w:rsidRPr="00485A05" w:rsidRDefault="00485A05" w:rsidP="00485A05">
            <w:pPr>
              <w:pBdr>
                <w:bottom w:val="single" w:sz="4" w:space="1" w:color="auto"/>
              </w:pBdr>
              <w:jc w:val="center"/>
              <w:rPr>
                <w:b/>
                <w:bCs/>
                <w:sz w:val="18"/>
                <w:szCs w:val="18"/>
                <w:rtl/>
              </w:rPr>
            </w:pPr>
            <w:r w:rsidRPr="00485A05">
              <w:rPr>
                <w:rFonts w:hint="cs"/>
                <w:b/>
                <w:bCs/>
                <w:sz w:val="18"/>
                <w:szCs w:val="18"/>
                <w:rtl/>
              </w:rPr>
              <w:t xml:space="preserve">שינויים </w:t>
            </w:r>
            <w:r w:rsidRPr="00485A05">
              <w:rPr>
                <w:rFonts w:hint="cs"/>
                <w:b/>
                <w:bCs/>
                <w:sz w:val="18"/>
                <w:szCs w:val="18"/>
                <w:rtl/>
              </w:rPr>
              <w:br/>
              <w:t xml:space="preserve">בשווי הוגן </w:t>
            </w:r>
            <w:r w:rsidRPr="00485A05">
              <w:rPr>
                <w:rFonts w:hint="cs"/>
                <w:b/>
                <w:bCs/>
                <w:sz w:val="18"/>
                <w:szCs w:val="18"/>
                <w:vertAlign w:val="superscript"/>
                <w:rtl/>
              </w:rPr>
              <w:t>(א)</w:t>
            </w:r>
          </w:p>
        </w:tc>
        <w:tc>
          <w:tcPr>
            <w:tcW w:w="618" w:type="pct"/>
            <w:gridSpan w:val="2"/>
            <w:vMerge/>
            <w:vAlign w:val="bottom"/>
            <w:hideMark/>
          </w:tcPr>
          <w:p w14:paraId="30E57090" w14:textId="77777777" w:rsidR="00485A05" w:rsidRPr="00485A05" w:rsidRDefault="00485A05" w:rsidP="00485A05">
            <w:pPr>
              <w:pBdr>
                <w:bottom w:val="single" w:sz="4" w:space="1" w:color="auto"/>
              </w:pBdr>
              <w:jc w:val="center"/>
              <w:rPr>
                <w:b/>
                <w:bCs/>
                <w:sz w:val="18"/>
                <w:szCs w:val="18"/>
                <w:rtl/>
              </w:rPr>
            </w:pPr>
          </w:p>
        </w:tc>
      </w:tr>
      <w:tr w:rsidR="00547F17" w:rsidRPr="001434E6" w14:paraId="03E8D6FB" w14:textId="77777777" w:rsidTr="00C97742">
        <w:trPr>
          <w:trHeight w:val="187"/>
          <w:jc w:val="center"/>
        </w:trPr>
        <w:tc>
          <w:tcPr>
            <w:tcW w:w="703" w:type="pct"/>
            <w:gridSpan w:val="2"/>
            <w:vMerge w:val="restart"/>
            <w:tcBorders>
              <w:top w:val="nil"/>
              <w:left w:val="nil"/>
            </w:tcBorders>
            <w:vAlign w:val="center"/>
          </w:tcPr>
          <w:p w14:paraId="68452C4A" w14:textId="0870DE12" w:rsidR="00547F17" w:rsidRPr="00485A05" w:rsidRDefault="00547F17" w:rsidP="00485A05">
            <w:pPr>
              <w:spacing w:before="40" w:line="276" w:lineRule="auto"/>
              <w:jc w:val="center"/>
              <w:rPr>
                <w:sz w:val="18"/>
                <w:szCs w:val="18"/>
                <w:rtl/>
              </w:rPr>
            </w:pPr>
          </w:p>
        </w:tc>
        <w:tc>
          <w:tcPr>
            <w:tcW w:w="829" w:type="pct"/>
            <w:vMerge w:val="restart"/>
            <w:tcBorders>
              <w:top w:val="nil"/>
              <w:left w:val="nil"/>
            </w:tcBorders>
            <w:vAlign w:val="center"/>
          </w:tcPr>
          <w:p w14:paraId="43C49F0F" w14:textId="65F73CB7" w:rsidR="00547F17" w:rsidRDefault="00547F17" w:rsidP="00547F17">
            <w:pPr>
              <w:spacing w:before="40" w:line="192" w:lineRule="auto"/>
              <w:jc w:val="left"/>
              <w:rPr>
                <w:sz w:val="18"/>
                <w:szCs w:val="18"/>
                <w:rtl/>
              </w:rPr>
            </w:pPr>
            <w:r w:rsidRPr="00485A05">
              <w:rPr>
                <w:b/>
                <w:bCs/>
                <w:sz w:val="18"/>
                <w:szCs w:val="18"/>
                <w:rtl/>
              </w:rPr>
              <w:t xml:space="preserve">30 ביוני </w:t>
            </w:r>
            <w:r w:rsidRPr="00485A05">
              <w:rPr>
                <w:b/>
                <w:bCs/>
                <w:sz w:val="18"/>
                <w:szCs w:val="18"/>
                <w:rtl/>
              </w:rPr>
              <w:fldChar w:fldCharType="begin"/>
            </w:r>
            <w:r w:rsidRPr="00485A05">
              <w:rPr>
                <w:b/>
                <w:bCs/>
                <w:sz w:val="18"/>
                <w:szCs w:val="18"/>
                <w:rtl/>
              </w:rPr>
              <w:instrText xml:space="preserve"> = </w:instrText>
            </w:r>
            <w:r w:rsidRPr="00485A05">
              <w:rPr>
                <w:b/>
                <w:bCs/>
                <w:sz w:val="18"/>
                <w:szCs w:val="18"/>
              </w:rPr>
              <w:instrText>CY \* MERGEFORMAT</w:instrText>
            </w:r>
            <w:r w:rsidRPr="00485A05">
              <w:rPr>
                <w:b/>
                <w:bCs/>
                <w:sz w:val="18"/>
                <w:szCs w:val="18"/>
                <w:rtl/>
              </w:rPr>
              <w:instrText xml:space="preserve"> </w:instrText>
            </w:r>
            <w:r w:rsidRPr="00485A05">
              <w:rPr>
                <w:b/>
                <w:bCs/>
                <w:sz w:val="18"/>
                <w:szCs w:val="18"/>
                <w:rtl/>
              </w:rPr>
              <w:fldChar w:fldCharType="separate"/>
            </w:r>
            <w:r w:rsidR="003A584F">
              <w:rPr>
                <w:b/>
                <w:bCs/>
                <w:noProof/>
                <w:sz w:val="18"/>
                <w:szCs w:val="18"/>
                <w:rtl/>
              </w:rPr>
              <w:t>2024</w:t>
            </w:r>
            <w:r w:rsidRPr="00485A05">
              <w:rPr>
                <w:b/>
                <w:bCs/>
                <w:sz w:val="18"/>
                <w:szCs w:val="18"/>
                <w:rtl/>
              </w:rPr>
              <w:fldChar w:fldCharType="end"/>
            </w:r>
            <w:r>
              <w:rPr>
                <w:rFonts w:hint="cs"/>
                <w:sz w:val="18"/>
                <w:szCs w:val="18"/>
                <w:rtl/>
              </w:rPr>
              <w:t xml:space="preserve"> </w:t>
            </w:r>
          </w:p>
          <w:p w14:paraId="749FC557" w14:textId="7C40247C" w:rsidR="00547F17" w:rsidRPr="00485A05" w:rsidRDefault="00547F17" w:rsidP="00547F17">
            <w:pPr>
              <w:spacing w:before="40" w:line="192" w:lineRule="auto"/>
              <w:jc w:val="left"/>
              <w:rPr>
                <w:sz w:val="18"/>
                <w:szCs w:val="18"/>
                <w:rtl/>
              </w:rPr>
            </w:pPr>
            <w:r>
              <w:rPr>
                <w:rFonts w:hint="cs"/>
                <w:sz w:val="18"/>
                <w:szCs w:val="18"/>
                <w:rtl/>
              </w:rPr>
              <w:t>(בלתי מבוקר)</w:t>
            </w:r>
          </w:p>
        </w:tc>
        <w:tc>
          <w:tcPr>
            <w:tcW w:w="768" w:type="pct"/>
            <w:tcBorders>
              <w:top w:val="nil"/>
              <w:left w:val="nil"/>
              <w:bottom w:val="nil"/>
              <w:right w:val="nil"/>
            </w:tcBorders>
            <w:hideMark/>
          </w:tcPr>
          <w:p w14:paraId="40C104B3" w14:textId="20A4FD8D" w:rsidR="00547F17" w:rsidRPr="00485A05" w:rsidRDefault="00547F17" w:rsidP="00485A05">
            <w:pPr>
              <w:spacing w:before="40" w:line="276" w:lineRule="auto"/>
              <w:rPr>
                <w:sz w:val="18"/>
                <w:szCs w:val="18"/>
                <w:rtl/>
              </w:rPr>
            </w:pPr>
            <w:r w:rsidRPr="00485A05">
              <w:rPr>
                <w:rFonts w:hint="cs"/>
                <w:sz w:val="18"/>
                <w:szCs w:val="18"/>
                <w:rtl/>
              </w:rPr>
              <w:t>שיעור ריבית</w:t>
            </w:r>
            <w:r w:rsidRPr="00485A05">
              <w:rPr>
                <w:rFonts w:hint="cs"/>
                <w:sz w:val="18"/>
                <w:szCs w:val="18"/>
                <w:vertAlign w:val="superscript"/>
                <w:rtl/>
              </w:rPr>
              <w:t>[</w:t>
            </w:r>
            <w:r w:rsidRPr="00485A05">
              <w:rPr>
                <w:sz w:val="18"/>
                <w:szCs w:val="18"/>
                <w:vertAlign w:val="superscript"/>
                <w:rtl/>
              </w:rPr>
              <w:footnoteReference w:id="85"/>
            </w:r>
            <w:r w:rsidRPr="00485A05">
              <w:rPr>
                <w:rFonts w:hint="cs"/>
                <w:sz w:val="18"/>
                <w:szCs w:val="18"/>
                <w:vertAlign w:val="superscript"/>
                <w:rtl/>
              </w:rPr>
              <w:t>]</w:t>
            </w:r>
          </w:p>
        </w:tc>
        <w:tc>
          <w:tcPr>
            <w:tcW w:w="418" w:type="pct"/>
            <w:hideMark/>
          </w:tcPr>
          <w:p w14:paraId="47DE1D7F"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347" w:type="pct"/>
            <w:hideMark/>
          </w:tcPr>
          <w:p w14:paraId="2F1E5C24"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15" w:type="pct"/>
            <w:hideMark/>
          </w:tcPr>
          <w:p w14:paraId="3AC1A419"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86" w:type="pct"/>
            <w:hideMark/>
          </w:tcPr>
          <w:p w14:paraId="31C136D0"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17" w:type="pct"/>
            <w:hideMark/>
          </w:tcPr>
          <w:p w14:paraId="5C609A55"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618" w:type="pct"/>
            <w:gridSpan w:val="2"/>
            <w:hideMark/>
          </w:tcPr>
          <w:p w14:paraId="010DA7BE" w14:textId="77777777" w:rsidR="00547F17" w:rsidRPr="00485A05" w:rsidRDefault="00547F17" w:rsidP="00485A05">
            <w:pPr>
              <w:spacing w:before="40" w:line="276" w:lineRule="auto"/>
              <w:rPr>
                <w:sz w:val="18"/>
                <w:szCs w:val="18"/>
                <w:rtl/>
              </w:rPr>
            </w:pPr>
            <w:r w:rsidRPr="00485A05">
              <w:rPr>
                <w:rFonts w:hint="cs"/>
                <w:sz w:val="18"/>
                <w:szCs w:val="18"/>
                <w:rtl/>
              </w:rPr>
              <w:t>0</w:t>
            </w:r>
          </w:p>
        </w:tc>
      </w:tr>
      <w:tr w:rsidR="00547F17" w:rsidRPr="001434E6" w14:paraId="2CCFAD97" w14:textId="77777777" w:rsidTr="00C97742">
        <w:trPr>
          <w:trHeight w:val="187"/>
          <w:jc w:val="center"/>
        </w:trPr>
        <w:tc>
          <w:tcPr>
            <w:tcW w:w="703" w:type="pct"/>
            <w:gridSpan w:val="2"/>
            <w:vMerge/>
            <w:tcBorders>
              <w:left w:val="nil"/>
              <w:bottom w:val="nil"/>
            </w:tcBorders>
            <w:vAlign w:val="center"/>
          </w:tcPr>
          <w:p w14:paraId="168BFC15" w14:textId="77777777" w:rsidR="00547F17" w:rsidRPr="00485A05" w:rsidRDefault="00547F17" w:rsidP="00485A05">
            <w:pPr>
              <w:spacing w:before="40" w:line="276" w:lineRule="auto"/>
              <w:jc w:val="center"/>
              <w:rPr>
                <w:sz w:val="18"/>
                <w:szCs w:val="18"/>
                <w:rtl/>
              </w:rPr>
            </w:pPr>
          </w:p>
        </w:tc>
        <w:tc>
          <w:tcPr>
            <w:tcW w:w="829" w:type="pct"/>
            <w:vMerge/>
            <w:tcBorders>
              <w:left w:val="nil"/>
              <w:bottom w:val="nil"/>
            </w:tcBorders>
            <w:vAlign w:val="center"/>
          </w:tcPr>
          <w:p w14:paraId="4DE8D644" w14:textId="77777777" w:rsidR="00547F17" w:rsidRPr="00485A05" w:rsidRDefault="00547F17" w:rsidP="00485A05">
            <w:pPr>
              <w:spacing w:before="40" w:line="276" w:lineRule="auto"/>
              <w:rPr>
                <w:sz w:val="18"/>
                <w:szCs w:val="18"/>
                <w:rtl/>
              </w:rPr>
            </w:pPr>
          </w:p>
        </w:tc>
        <w:tc>
          <w:tcPr>
            <w:tcW w:w="768" w:type="pct"/>
            <w:tcBorders>
              <w:top w:val="nil"/>
              <w:left w:val="nil"/>
              <w:bottom w:val="nil"/>
              <w:right w:val="nil"/>
            </w:tcBorders>
            <w:hideMark/>
          </w:tcPr>
          <w:p w14:paraId="135266A4" w14:textId="30628082" w:rsidR="00547F17" w:rsidRPr="00485A05" w:rsidRDefault="00547F17" w:rsidP="00485A05">
            <w:pPr>
              <w:spacing w:before="40" w:line="276" w:lineRule="auto"/>
              <w:rPr>
                <w:sz w:val="18"/>
                <w:szCs w:val="18"/>
                <w:rtl/>
              </w:rPr>
            </w:pPr>
            <w:r w:rsidRPr="00485A05">
              <w:rPr>
                <w:rFonts w:hint="cs"/>
                <w:sz w:val="18"/>
                <w:szCs w:val="18"/>
                <w:rtl/>
              </w:rPr>
              <w:t>מטבע חוץ</w:t>
            </w:r>
          </w:p>
        </w:tc>
        <w:tc>
          <w:tcPr>
            <w:tcW w:w="418" w:type="pct"/>
            <w:hideMark/>
          </w:tcPr>
          <w:p w14:paraId="5B384DD7"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347" w:type="pct"/>
            <w:hideMark/>
          </w:tcPr>
          <w:p w14:paraId="1A0F2035"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15" w:type="pct"/>
            <w:hideMark/>
          </w:tcPr>
          <w:p w14:paraId="51535AE8"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86" w:type="pct"/>
            <w:hideMark/>
          </w:tcPr>
          <w:p w14:paraId="05D36554"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17" w:type="pct"/>
            <w:hideMark/>
          </w:tcPr>
          <w:p w14:paraId="19E30256"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618" w:type="pct"/>
            <w:gridSpan w:val="2"/>
            <w:hideMark/>
          </w:tcPr>
          <w:p w14:paraId="34DD6746" w14:textId="77777777" w:rsidR="00547F17" w:rsidRPr="00485A05" w:rsidRDefault="00547F17" w:rsidP="00485A05">
            <w:pPr>
              <w:spacing w:before="40" w:line="276" w:lineRule="auto"/>
              <w:rPr>
                <w:sz w:val="18"/>
                <w:szCs w:val="18"/>
                <w:rtl/>
              </w:rPr>
            </w:pPr>
            <w:r w:rsidRPr="00485A05">
              <w:rPr>
                <w:rFonts w:hint="cs"/>
                <w:sz w:val="18"/>
                <w:szCs w:val="18"/>
                <w:rtl/>
              </w:rPr>
              <w:t>0</w:t>
            </w:r>
          </w:p>
        </w:tc>
      </w:tr>
      <w:tr w:rsidR="00547F17" w:rsidRPr="001434E6" w14:paraId="19EE1F0C" w14:textId="77777777" w:rsidTr="00C97742">
        <w:trPr>
          <w:trHeight w:hRule="exact" w:val="113"/>
          <w:jc w:val="center"/>
        </w:trPr>
        <w:tc>
          <w:tcPr>
            <w:tcW w:w="703" w:type="pct"/>
            <w:gridSpan w:val="2"/>
            <w:tcBorders>
              <w:top w:val="nil"/>
              <w:left w:val="nil"/>
            </w:tcBorders>
            <w:vAlign w:val="center"/>
          </w:tcPr>
          <w:p w14:paraId="3643466F" w14:textId="77777777" w:rsidR="00485A05" w:rsidRPr="00485A05" w:rsidRDefault="00485A05" w:rsidP="00485A05">
            <w:pPr>
              <w:spacing w:before="40" w:line="276" w:lineRule="auto"/>
              <w:jc w:val="center"/>
              <w:rPr>
                <w:b/>
                <w:bCs/>
                <w:sz w:val="18"/>
                <w:szCs w:val="18"/>
                <w:rtl/>
              </w:rPr>
            </w:pPr>
          </w:p>
        </w:tc>
        <w:tc>
          <w:tcPr>
            <w:tcW w:w="829" w:type="pct"/>
            <w:tcBorders>
              <w:top w:val="nil"/>
              <w:left w:val="nil"/>
            </w:tcBorders>
            <w:vAlign w:val="center"/>
          </w:tcPr>
          <w:p w14:paraId="1807027A" w14:textId="77777777" w:rsidR="00485A05" w:rsidRPr="00485A05" w:rsidRDefault="00485A05" w:rsidP="00485A05">
            <w:pPr>
              <w:spacing w:before="40" w:line="168" w:lineRule="auto"/>
              <w:rPr>
                <w:sz w:val="18"/>
                <w:szCs w:val="18"/>
                <w:rtl/>
              </w:rPr>
            </w:pPr>
          </w:p>
        </w:tc>
        <w:tc>
          <w:tcPr>
            <w:tcW w:w="768" w:type="pct"/>
            <w:tcBorders>
              <w:top w:val="nil"/>
              <w:left w:val="nil"/>
              <w:bottom w:val="nil"/>
              <w:right w:val="nil"/>
            </w:tcBorders>
          </w:tcPr>
          <w:p w14:paraId="4DF1DC3A" w14:textId="7870BCC6" w:rsidR="00485A05" w:rsidRPr="00485A05" w:rsidRDefault="00485A05" w:rsidP="00485A05">
            <w:pPr>
              <w:spacing w:before="40" w:line="168" w:lineRule="auto"/>
              <w:rPr>
                <w:sz w:val="18"/>
                <w:szCs w:val="18"/>
                <w:rtl/>
              </w:rPr>
            </w:pPr>
          </w:p>
        </w:tc>
        <w:tc>
          <w:tcPr>
            <w:tcW w:w="418" w:type="pct"/>
          </w:tcPr>
          <w:p w14:paraId="529A76FC" w14:textId="77777777" w:rsidR="00485A05" w:rsidRPr="00485A05" w:rsidRDefault="00485A05" w:rsidP="00485A05">
            <w:pPr>
              <w:spacing w:before="40" w:line="276" w:lineRule="auto"/>
              <w:rPr>
                <w:sz w:val="18"/>
                <w:szCs w:val="18"/>
                <w:rtl/>
              </w:rPr>
            </w:pPr>
          </w:p>
        </w:tc>
        <w:tc>
          <w:tcPr>
            <w:tcW w:w="347" w:type="pct"/>
          </w:tcPr>
          <w:p w14:paraId="0AD37A31" w14:textId="77777777" w:rsidR="00485A05" w:rsidRPr="00485A05" w:rsidRDefault="00485A05" w:rsidP="00485A05">
            <w:pPr>
              <w:spacing w:before="40" w:line="276" w:lineRule="auto"/>
              <w:rPr>
                <w:sz w:val="18"/>
                <w:szCs w:val="18"/>
                <w:rtl/>
              </w:rPr>
            </w:pPr>
          </w:p>
        </w:tc>
        <w:tc>
          <w:tcPr>
            <w:tcW w:w="415" w:type="pct"/>
          </w:tcPr>
          <w:p w14:paraId="6E0358B4" w14:textId="77777777" w:rsidR="00485A05" w:rsidRPr="00485A05" w:rsidRDefault="00485A05" w:rsidP="00485A05">
            <w:pPr>
              <w:spacing w:before="40" w:line="276" w:lineRule="auto"/>
              <w:rPr>
                <w:sz w:val="18"/>
                <w:szCs w:val="18"/>
                <w:rtl/>
              </w:rPr>
            </w:pPr>
          </w:p>
        </w:tc>
        <w:tc>
          <w:tcPr>
            <w:tcW w:w="486" w:type="pct"/>
          </w:tcPr>
          <w:p w14:paraId="116EE65B" w14:textId="77777777" w:rsidR="00485A05" w:rsidRPr="00485A05" w:rsidRDefault="00485A05" w:rsidP="00485A05">
            <w:pPr>
              <w:spacing w:before="40" w:line="276" w:lineRule="auto"/>
              <w:rPr>
                <w:sz w:val="18"/>
                <w:szCs w:val="18"/>
                <w:rtl/>
              </w:rPr>
            </w:pPr>
          </w:p>
        </w:tc>
        <w:tc>
          <w:tcPr>
            <w:tcW w:w="417" w:type="pct"/>
          </w:tcPr>
          <w:p w14:paraId="6687F95D" w14:textId="77777777" w:rsidR="00485A05" w:rsidRPr="00485A05" w:rsidRDefault="00485A05" w:rsidP="00485A05">
            <w:pPr>
              <w:spacing w:before="40" w:line="276" w:lineRule="auto"/>
              <w:rPr>
                <w:sz w:val="18"/>
                <w:szCs w:val="18"/>
                <w:rtl/>
              </w:rPr>
            </w:pPr>
          </w:p>
        </w:tc>
        <w:tc>
          <w:tcPr>
            <w:tcW w:w="618" w:type="pct"/>
            <w:gridSpan w:val="2"/>
          </w:tcPr>
          <w:p w14:paraId="0976497E" w14:textId="77777777" w:rsidR="00485A05" w:rsidRPr="00485A05" w:rsidRDefault="00485A05" w:rsidP="00485A05">
            <w:pPr>
              <w:spacing w:before="40" w:line="276" w:lineRule="auto"/>
              <w:rPr>
                <w:sz w:val="18"/>
                <w:szCs w:val="18"/>
                <w:rtl/>
              </w:rPr>
            </w:pPr>
          </w:p>
        </w:tc>
      </w:tr>
      <w:tr w:rsidR="00547F17" w:rsidRPr="001434E6" w14:paraId="2CF0AE3F" w14:textId="77777777" w:rsidTr="00C97742">
        <w:trPr>
          <w:trHeight w:val="187"/>
          <w:jc w:val="center"/>
        </w:trPr>
        <w:tc>
          <w:tcPr>
            <w:tcW w:w="703" w:type="pct"/>
            <w:gridSpan w:val="2"/>
            <w:vMerge w:val="restart"/>
            <w:tcBorders>
              <w:top w:val="nil"/>
              <w:left w:val="nil"/>
            </w:tcBorders>
            <w:vAlign w:val="center"/>
          </w:tcPr>
          <w:p w14:paraId="5F29D2A5" w14:textId="6D03FCA7" w:rsidR="00547F17" w:rsidRPr="00485A05" w:rsidRDefault="00547F17" w:rsidP="00485A05">
            <w:pPr>
              <w:spacing w:before="40" w:line="276" w:lineRule="auto"/>
              <w:jc w:val="center"/>
              <w:rPr>
                <w:sz w:val="18"/>
                <w:szCs w:val="18"/>
                <w:rtl/>
              </w:rPr>
            </w:pPr>
          </w:p>
        </w:tc>
        <w:tc>
          <w:tcPr>
            <w:tcW w:w="829" w:type="pct"/>
            <w:vMerge w:val="restart"/>
            <w:tcBorders>
              <w:top w:val="nil"/>
              <w:left w:val="nil"/>
            </w:tcBorders>
            <w:vAlign w:val="center"/>
          </w:tcPr>
          <w:p w14:paraId="2C1A3EEF" w14:textId="52F506FF" w:rsidR="00547F17" w:rsidRDefault="00547F17" w:rsidP="00547F17">
            <w:pPr>
              <w:spacing w:before="40" w:line="192" w:lineRule="auto"/>
              <w:jc w:val="left"/>
              <w:rPr>
                <w:sz w:val="18"/>
                <w:szCs w:val="18"/>
                <w:rtl/>
              </w:rPr>
            </w:pPr>
            <w:r w:rsidRPr="00485A05">
              <w:rPr>
                <w:b/>
                <w:bCs/>
                <w:sz w:val="18"/>
                <w:szCs w:val="18"/>
                <w:rtl/>
              </w:rPr>
              <w:t xml:space="preserve">30 ביוני </w:t>
            </w:r>
            <w:r w:rsidRPr="00485A05">
              <w:rPr>
                <w:b/>
                <w:bCs/>
                <w:sz w:val="18"/>
                <w:szCs w:val="18"/>
                <w:rtl/>
              </w:rPr>
              <w:fldChar w:fldCharType="begin"/>
            </w:r>
            <w:r w:rsidRPr="00485A05">
              <w:rPr>
                <w:b/>
                <w:bCs/>
                <w:sz w:val="18"/>
                <w:szCs w:val="18"/>
                <w:rtl/>
              </w:rPr>
              <w:instrText xml:space="preserve"> </w:instrText>
            </w:r>
            <w:r w:rsidRPr="00485A05">
              <w:rPr>
                <w:rFonts w:hint="cs"/>
                <w:b/>
                <w:bCs/>
                <w:sz w:val="18"/>
                <w:szCs w:val="18"/>
                <w:rtl/>
              </w:rPr>
              <w:instrText xml:space="preserve">= </w:instrText>
            </w:r>
            <w:r w:rsidRPr="00485A05">
              <w:rPr>
                <w:rFonts w:hint="cs"/>
                <w:b/>
                <w:bCs/>
                <w:sz w:val="18"/>
                <w:szCs w:val="18"/>
              </w:rPr>
              <w:instrText>CY</w:instrText>
            </w:r>
            <w:r w:rsidRPr="00485A05">
              <w:rPr>
                <w:b/>
                <w:bCs/>
                <w:sz w:val="18"/>
                <w:szCs w:val="18"/>
              </w:rPr>
              <w:instrText>-1</w:instrText>
            </w:r>
            <w:r w:rsidRPr="00485A05">
              <w:rPr>
                <w:rFonts w:hint="cs"/>
                <w:b/>
                <w:bCs/>
                <w:sz w:val="18"/>
                <w:szCs w:val="18"/>
              </w:rPr>
              <w:instrText xml:space="preserve"> \* MERGEFORMAT</w:instrText>
            </w:r>
            <w:r w:rsidRPr="00485A05">
              <w:rPr>
                <w:b/>
                <w:bCs/>
                <w:sz w:val="18"/>
                <w:szCs w:val="18"/>
                <w:rtl/>
              </w:rPr>
              <w:instrText xml:space="preserve"> </w:instrText>
            </w:r>
            <w:r w:rsidRPr="00485A05">
              <w:rPr>
                <w:b/>
                <w:bCs/>
                <w:sz w:val="18"/>
                <w:szCs w:val="18"/>
                <w:rtl/>
              </w:rPr>
              <w:fldChar w:fldCharType="separate"/>
            </w:r>
            <w:r w:rsidR="003A584F">
              <w:rPr>
                <w:b/>
                <w:bCs/>
                <w:noProof/>
                <w:sz w:val="18"/>
                <w:szCs w:val="18"/>
                <w:rtl/>
              </w:rPr>
              <w:t>2023</w:t>
            </w:r>
            <w:r w:rsidRPr="00485A05">
              <w:rPr>
                <w:b/>
                <w:bCs/>
                <w:sz w:val="18"/>
                <w:szCs w:val="18"/>
                <w:rtl/>
              </w:rPr>
              <w:fldChar w:fldCharType="end"/>
            </w:r>
            <w:r>
              <w:rPr>
                <w:rFonts w:hint="cs"/>
                <w:b/>
                <w:bCs/>
                <w:sz w:val="18"/>
                <w:szCs w:val="18"/>
                <w:rtl/>
              </w:rPr>
              <w:t xml:space="preserve"> </w:t>
            </w:r>
          </w:p>
          <w:p w14:paraId="15D46E5B" w14:textId="65453BF6" w:rsidR="00547F17" w:rsidRPr="00485A05" w:rsidRDefault="00547F17" w:rsidP="00547F17">
            <w:pPr>
              <w:spacing w:before="40" w:line="192" w:lineRule="auto"/>
              <w:jc w:val="left"/>
              <w:rPr>
                <w:sz w:val="18"/>
                <w:szCs w:val="18"/>
                <w:rtl/>
              </w:rPr>
            </w:pPr>
            <w:r w:rsidRPr="00485A05">
              <w:rPr>
                <w:rFonts w:hint="cs"/>
                <w:sz w:val="18"/>
                <w:szCs w:val="18"/>
                <w:rtl/>
              </w:rPr>
              <w:t>(בלתי מבוקר)</w:t>
            </w:r>
          </w:p>
        </w:tc>
        <w:tc>
          <w:tcPr>
            <w:tcW w:w="768" w:type="pct"/>
            <w:tcBorders>
              <w:top w:val="nil"/>
              <w:left w:val="nil"/>
              <w:bottom w:val="nil"/>
              <w:right w:val="nil"/>
            </w:tcBorders>
          </w:tcPr>
          <w:p w14:paraId="6282E220" w14:textId="5FF6B040" w:rsidR="00547F17" w:rsidRPr="00485A05" w:rsidRDefault="00547F17" w:rsidP="00485A05">
            <w:pPr>
              <w:spacing w:before="40" w:line="276" w:lineRule="auto"/>
              <w:rPr>
                <w:sz w:val="18"/>
                <w:szCs w:val="18"/>
                <w:rtl/>
              </w:rPr>
            </w:pPr>
            <w:r w:rsidRPr="00485A05">
              <w:rPr>
                <w:rFonts w:hint="cs"/>
                <w:sz w:val="18"/>
                <w:szCs w:val="18"/>
                <w:rtl/>
              </w:rPr>
              <w:t>שיעור ריבית</w:t>
            </w:r>
            <w:r w:rsidRPr="00485A05">
              <w:rPr>
                <w:rFonts w:hint="cs"/>
                <w:sz w:val="18"/>
                <w:szCs w:val="18"/>
                <w:vertAlign w:val="superscript"/>
                <w:rtl/>
              </w:rPr>
              <w:t>[2]</w:t>
            </w:r>
          </w:p>
        </w:tc>
        <w:tc>
          <w:tcPr>
            <w:tcW w:w="418" w:type="pct"/>
          </w:tcPr>
          <w:p w14:paraId="5229CBD4"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347" w:type="pct"/>
          </w:tcPr>
          <w:p w14:paraId="287D5491"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15" w:type="pct"/>
          </w:tcPr>
          <w:p w14:paraId="6B21FC44"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86" w:type="pct"/>
          </w:tcPr>
          <w:p w14:paraId="11D7A262"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17" w:type="pct"/>
          </w:tcPr>
          <w:p w14:paraId="187D4FD0"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618" w:type="pct"/>
            <w:gridSpan w:val="2"/>
          </w:tcPr>
          <w:p w14:paraId="1A6B999C" w14:textId="77777777" w:rsidR="00547F17" w:rsidRPr="00485A05" w:rsidRDefault="00547F17" w:rsidP="00485A05">
            <w:pPr>
              <w:spacing w:before="40" w:line="276" w:lineRule="auto"/>
              <w:rPr>
                <w:sz w:val="18"/>
                <w:szCs w:val="18"/>
                <w:rtl/>
              </w:rPr>
            </w:pPr>
            <w:r w:rsidRPr="00485A05">
              <w:rPr>
                <w:rFonts w:hint="cs"/>
                <w:sz w:val="18"/>
                <w:szCs w:val="18"/>
                <w:rtl/>
              </w:rPr>
              <w:t>0</w:t>
            </w:r>
          </w:p>
        </w:tc>
      </w:tr>
      <w:tr w:rsidR="00547F17" w:rsidRPr="001434E6" w14:paraId="2193CC90" w14:textId="77777777" w:rsidTr="00C97742">
        <w:trPr>
          <w:trHeight w:val="287"/>
          <w:jc w:val="center"/>
        </w:trPr>
        <w:tc>
          <w:tcPr>
            <w:tcW w:w="703" w:type="pct"/>
            <w:gridSpan w:val="2"/>
            <w:vMerge/>
            <w:tcBorders>
              <w:left w:val="nil"/>
              <w:bottom w:val="nil"/>
            </w:tcBorders>
            <w:vAlign w:val="center"/>
          </w:tcPr>
          <w:p w14:paraId="28595FAF" w14:textId="77777777" w:rsidR="00547F17" w:rsidRPr="00485A05" w:rsidRDefault="00547F17" w:rsidP="00485A05">
            <w:pPr>
              <w:spacing w:before="40" w:line="276" w:lineRule="auto"/>
              <w:jc w:val="center"/>
              <w:rPr>
                <w:sz w:val="18"/>
                <w:szCs w:val="18"/>
                <w:rtl/>
              </w:rPr>
            </w:pPr>
          </w:p>
        </w:tc>
        <w:tc>
          <w:tcPr>
            <w:tcW w:w="829" w:type="pct"/>
            <w:vMerge/>
            <w:tcBorders>
              <w:top w:val="single" w:sz="4" w:space="0" w:color="auto"/>
              <w:left w:val="nil"/>
            </w:tcBorders>
            <w:vAlign w:val="center"/>
          </w:tcPr>
          <w:p w14:paraId="671AF994" w14:textId="77777777" w:rsidR="00547F17" w:rsidRPr="00485A05" w:rsidRDefault="00547F17" w:rsidP="00485A05">
            <w:pPr>
              <w:spacing w:before="40" w:line="276" w:lineRule="auto"/>
              <w:rPr>
                <w:sz w:val="18"/>
                <w:szCs w:val="18"/>
                <w:rtl/>
              </w:rPr>
            </w:pPr>
          </w:p>
        </w:tc>
        <w:tc>
          <w:tcPr>
            <w:tcW w:w="768" w:type="pct"/>
            <w:tcBorders>
              <w:top w:val="nil"/>
              <w:left w:val="nil"/>
              <w:bottom w:val="nil"/>
              <w:right w:val="nil"/>
            </w:tcBorders>
          </w:tcPr>
          <w:p w14:paraId="07B88A47" w14:textId="119A4A24" w:rsidR="00547F17" w:rsidRPr="00485A05" w:rsidRDefault="00547F17" w:rsidP="00485A05">
            <w:pPr>
              <w:spacing w:before="40" w:line="276" w:lineRule="auto"/>
              <w:rPr>
                <w:sz w:val="18"/>
                <w:szCs w:val="18"/>
                <w:rtl/>
              </w:rPr>
            </w:pPr>
            <w:r w:rsidRPr="00485A05">
              <w:rPr>
                <w:rFonts w:hint="cs"/>
                <w:sz w:val="18"/>
                <w:szCs w:val="18"/>
                <w:rtl/>
              </w:rPr>
              <w:t>מטבע חוץ</w:t>
            </w:r>
          </w:p>
        </w:tc>
        <w:tc>
          <w:tcPr>
            <w:tcW w:w="418" w:type="pct"/>
          </w:tcPr>
          <w:p w14:paraId="4D9D8721"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347" w:type="pct"/>
          </w:tcPr>
          <w:p w14:paraId="2F55E5D0"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15" w:type="pct"/>
          </w:tcPr>
          <w:p w14:paraId="0D5E3AD3"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86" w:type="pct"/>
          </w:tcPr>
          <w:p w14:paraId="73037775"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17" w:type="pct"/>
          </w:tcPr>
          <w:p w14:paraId="670AB64B"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618" w:type="pct"/>
            <w:gridSpan w:val="2"/>
          </w:tcPr>
          <w:p w14:paraId="21003F94" w14:textId="77777777" w:rsidR="00547F17" w:rsidRPr="00485A05" w:rsidRDefault="00547F17" w:rsidP="00485A05">
            <w:pPr>
              <w:spacing w:before="40" w:line="276" w:lineRule="auto"/>
              <w:rPr>
                <w:sz w:val="18"/>
                <w:szCs w:val="18"/>
                <w:rtl/>
              </w:rPr>
            </w:pPr>
            <w:r w:rsidRPr="00485A05">
              <w:rPr>
                <w:rFonts w:hint="cs"/>
                <w:sz w:val="18"/>
                <w:szCs w:val="18"/>
                <w:rtl/>
              </w:rPr>
              <w:t>0</w:t>
            </w:r>
          </w:p>
        </w:tc>
      </w:tr>
      <w:tr w:rsidR="00547F17" w:rsidRPr="001434E6" w14:paraId="1B39FF4F" w14:textId="77777777" w:rsidTr="00C97742">
        <w:trPr>
          <w:trHeight w:hRule="exact" w:val="291"/>
          <w:jc w:val="center"/>
        </w:trPr>
        <w:tc>
          <w:tcPr>
            <w:tcW w:w="703" w:type="pct"/>
            <w:gridSpan w:val="2"/>
            <w:tcBorders>
              <w:top w:val="nil"/>
              <w:left w:val="nil"/>
            </w:tcBorders>
            <w:vAlign w:val="center"/>
          </w:tcPr>
          <w:p w14:paraId="64BD839F" w14:textId="576FC5A5" w:rsidR="00547F17" w:rsidRPr="00485A05" w:rsidRDefault="00547F17" w:rsidP="00485A05">
            <w:pPr>
              <w:pBdr>
                <w:bottom w:val="single" w:sz="4" w:space="1" w:color="auto"/>
              </w:pBdr>
              <w:spacing w:before="40" w:line="276" w:lineRule="auto"/>
              <w:jc w:val="center"/>
              <w:rPr>
                <w:b/>
                <w:bCs/>
                <w:sz w:val="18"/>
                <w:szCs w:val="18"/>
                <w:rtl/>
              </w:rPr>
            </w:pPr>
          </w:p>
        </w:tc>
        <w:tc>
          <w:tcPr>
            <w:tcW w:w="829" w:type="pct"/>
            <w:tcBorders>
              <w:left w:val="nil"/>
            </w:tcBorders>
            <w:vAlign w:val="bottom"/>
          </w:tcPr>
          <w:p w14:paraId="3ECA5549" w14:textId="77777777" w:rsidR="00547F17" w:rsidRDefault="00547F17" w:rsidP="00547F17">
            <w:pPr>
              <w:jc w:val="center"/>
              <w:rPr>
                <w:b/>
                <w:bCs/>
                <w:sz w:val="18"/>
                <w:szCs w:val="18"/>
                <w:rtl/>
              </w:rPr>
            </w:pPr>
          </w:p>
          <w:p w14:paraId="556F4F3D" w14:textId="49F107F0" w:rsidR="000B5775" w:rsidRPr="00485A05" w:rsidRDefault="000B5775" w:rsidP="00547F17">
            <w:pPr>
              <w:jc w:val="center"/>
              <w:rPr>
                <w:b/>
                <w:bCs/>
                <w:sz w:val="18"/>
                <w:szCs w:val="18"/>
                <w:rtl/>
              </w:rPr>
            </w:pPr>
          </w:p>
        </w:tc>
        <w:tc>
          <w:tcPr>
            <w:tcW w:w="768" w:type="pct"/>
            <w:tcBorders>
              <w:top w:val="nil"/>
              <w:left w:val="nil"/>
              <w:bottom w:val="nil"/>
              <w:right w:val="nil"/>
            </w:tcBorders>
          </w:tcPr>
          <w:p w14:paraId="2A3FC741" w14:textId="77777777" w:rsidR="00547F17" w:rsidRPr="00485A05" w:rsidRDefault="00547F17" w:rsidP="00485A05">
            <w:pPr>
              <w:spacing w:before="40" w:line="276" w:lineRule="auto"/>
              <w:rPr>
                <w:sz w:val="18"/>
                <w:szCs w:val="18"/>
                <w:rtl/>
              </w:rPr>
            </w:pPr>
          </w:p>
        </w:tc>
        <w:tc>
          <w:tcPr>
            <w:tcW w:w="418" w:type="pct"/>
          </w:tcPr>
          <w:p w14:paraId="6BCBD842" w14:textId="77777777" w:rsidR="00547F17" w:rsidRPr="00485A05" w:rsidRDefault="00547F17" w:rsidP="00485A05">
            <w:pPr>
              <w:spacing w:before="40" w:line="276" w:lineRule="auto"/>
              <w:rPr>
                <w:sz w:val="18"/>
                <w:szCs w:val="18"/>
              </w:rPr>
            </w:pPr>
          </w:p>
        </w:tc>
        <w:tc>
          <w:tcPr>
            <w:tcW w:w="347" w:type="pct"/>
          </w:tcPr>
          <w:p w14:paraId="06345F68" w14:textId="77777777" w:rsidR="00547F17" w:rsidRPr="00485A05" w:rsidRDefault="00547F17" w:rsidP="00485A05">
            <w:pPr>
              <w:spacing w:before="40" w:line="276" w:lineRule="auto"/>
              <w:rPr>
                <w:sz w:val="18"/>
                <w:szCs w:val="18"/>
                <w:rtl/>
              </w:rPr>
            </w:pPr>
          </w:p>
        </w:tc>
        <w:tc>
          <w:tcPr>
            <w:tcW w:w="415" w:type="pct"/>
          </w:tcPr>
          <w:p w14:paraId="223CBCF9" w14:textId="77777777" w:rsidR="00547F17" w:rsidRPr="00485A05" w:rsidRDefault="00547F17" w:rsidP="00485A05">
            <w:pPr>
              <w:spacing w:before="40" w:line="276" w:lineRule="auto"/>
              <w:rPr>
                <w:sz w:val="18"/>
                <w:szCs w:val="18"/>
                <w:rtl/>
              </w:rPr>
            </w:pPr>
          </w:p>
        </w:tc>
        <w:tc>
          <w:tcPr>
            <w:tcW w:w="486" w:type="pct"/>
          </w:tcPr>
          <w:p w14:paraId="0F2A6C09" w14:textId="77777777" w:rsidR="00547F17" w:rsidRPr="00485A05" w:rsidRDefault="00547F17" w:rsidP="00485A05">
            <w:pPr>
              <w:spacing w:before="40" w:line="276" w:lineRule="auto"/>
              <w:rPr>
                <w:sz w:val="18"/>
                <w:szCs w:val="18"/>
                <w:rtl/>
              </w:rPr>
            </w:pPr>
          </w:p>
        </w:tc>
        <w:tc>
          <w:tcPr>
            <w:tcW w:w="417" w:type="pct"/>
          </w:tcPr>
          <w:p w14:paraId="697F44FF" w14:textId="77777777" w:rsidR="00547F17" w:rsidRPr="00485A05" w:rsidRDefault="00547F17" w:rsidP="00485A05">
            <w:pPr>
              <w:spacing w:before="40" w:line="276" w:lineRule="auto"/>
              <w:rPr>
                <w:sz w:val="18"/>
                <w:szCs w:val="18"/>
                <w:rtl/>
              </w:rPr>
            </w:pPr>
          </w:p>
        </w:tc>
        <w:tc>
          <w:tcPr>
            <w:tcW w:w="618" w:type="pct"/>
            <w:gridSpan w:val="2"/>
          </w:tcPr>
          <w:p w14:paraId="5286DF86" w14:textId="77777777" w:rsidR="00547F17" w:rsidRPr="00485A05" w:rsidRDefault="00547F17" w:rsidP="00485A05">
            <w:pPr>
              <w:spacing w:before="40" w:line="276" w:lineRule="auto"/>
              <w:rPr>
                <w:sz w:val="18"/>
                <w:szCs w:val="18"/>
                <w:rtl/>
              </w:rPr>
            </w:pPr>
          </w:p>
        </w:tc>
      </w:tr>
      <w:tr w:rsidR="00547F17" w:rsidRPr="001434E6" w14:paraId="47419FB8" w14:textId="77777777" w:rsidTr="00C97742">
        <w:trPr>
          <w:trHeight w:hRule="exact" w:val="563"/>
          <w:jc w:val="center"/>
        </w:trPr>
        <w:tc>
          <w:tcPr>
            <w:tcW w:w="703" w:type="pct"/>
            <w:gridSpan w:val="2"/>
            <w:tcBorders>
              <w:top w:val="nil"/>
              <w:left w:val="nil"/>
            </w:tcBorders>
            <w:vAlign w:val="center"/>
          </w:tcPr>
          <w:p w14:paraId="3E1B61D7" w14:textId="4D0081A3" w:rsidR="00485A05" w:rsidRPr="00485A05" w:rsidRDefault="00485A05" w:rsidP="00DC13EA">
            <w:pPr>
              <w:spacing w:before="40" w:line="276" w:lineRule="auto"/>
              <w:jc w:val="center"/>
              <w:rPr>
                <w:b/>
                <w:bCs/>
                <w:sz w:val="18"/>
                <w:szCs w:val="18"/>
                <w:rtl/>
              </w:rPr>
            </w:pPr>
          </w:p>
        </w:tc>
        <w:tc>
          <w:tcPr>
            <w:tcW w:w="829" w:type="pct"/>
            <w:tcBorders>
              <w:left w:val="nil"/>
            </w:tcBorders>
            <w:vAlign w:val="bottom"/>
          </w:tcPr>
          <w:p w14:paraId="515CBBC9" w14:textId="5C4095F7" w:rsidR="00485A05" w:rsidRPr="00485A05" w:rsidRDefault="00485A05" w:rsidP="00937447">
            <w:pPr>
              <w:pBdr>
                <w:bottom w:val="single" w:sz="4" w:space="1" w:color="auto"/>
              </w:pBdr>
              <w:jc w:val="left"/>
              <w:rPr>
                <w:sz w:val="18"/>
                <w:szCs w:val="18"/>
                <w:rtl/>
              </w:rPr>
            </w:pPr>
            <w:r w:rsidRPr="00485A05">
              <w:rPr>
                <w:rFonts w:hint="cs"/>
                <w:b/>
                <w:bCs/>
                <w:sz w:val="18"/>
                <w:szCs w:val="18"/>
                <w:rtl/>
              </w:rPr>
              <w:t>6</w:t>
            </w:r>
            <w:r w:rsidRPr="00485A05">
              <w:rPr>
                <w:b/>
                <w:bCs/>
                <w:sz w:val="18"/>
                <w:szCs w:val="18"/>
                <w:rtl/>
              </w:rPr>
              <w:t xml:space="preserve"> חודשים שהסתיימו</w:t>
            </w:r>
            <w:r w:rsidRPr="00485A05">
              <w:rPr>
                <w:rFonts w:hint="cs"/>
                <w:b/>
                <w:bCs/>
                <w:sz w:val="18"/>
                <w:szCs w:val="18"/>
                <w:rtl/>
              </w:rPr>
              <w:t xml:space="preserve"> ביום</w:t>
            </w:r>
          </w:p>
        </w:tc>
        <w:tc>
          <w:tcPr>
            <w:tcW w:w="768" w:type="pct"/>
            <w:tcBorders>
              <w:top w:val="nil"/>
              <w:left w:val="nil"/>
              <w:bottom w:val="nil"/>
              <w:right w:val="nil"/>
            </w:tcBorders>
          </w:tcPr>
          <w:p w14:paraId="3B85516B" w14:textId="10E58CF1" w:rsidR="00485A05" w:rsidRPr="00485A05" w:rsidRDefault="00485A05" w:rsidP="00485A05">
            <w:pPr>
              <w:spacing w:before="40" w:line="276" w:lineRule="auto"/>
              <w:rPr>
                <w:sz w:val="18"/>
                <w:szCs w:val="18"/>
                <w:rtl/>
              </w:rPr>
            </w:pPr>
          </w:p>
        </w:tc>
        <w:tc>
          <w:tcPr>
            <w:tcW w:w="418" w:type="pct"/>
          </w:tcPr>
          <w:p w14:paraId="04914752" w14:textId="77777777" w:rsidR="00485A05" w:rsidRPr="00485A05" w:rsidRDefault="00485A05" w:rsidP="00485A05">
            <w:pPr>
              <w:spacing w:before="40" w:line="276" w:lineRule="auto"/>
              <w:rPr>
                <w:sz w:val="18"/>
                <w:szCs w:val="18"/>
              </w:rPr>
            </w:pPr>
          </w:p>
        </w:tc>
        <w:tc>
          <w:tcPr>
            <w:tcW w:w="347" w:type="pct"/>
          </w:tcPr>
          <w:p w14:paraId="5469D946" w14:textId="77777777" w:rsidR="00485A05" w:rsidRPr="00485A05" w:rsidRDefault="00485A05" w:rsidP="00485A05">
            <w:pPr>
              <w:spacing w:before="40" w:line="276" w:lineRule="auto"/>
              <w:rPr>
                <w:sz w:val="18"/>
                <w:szCs w:val="18"/>
                <w:rtl/>
              </w:rPr>
            </w:pPr>
          </w:p>
        </w:tc>
        <w:tc>
          <w:tcPr>
            <w:tcW w:w="415" w:type="pct"/>
          </w:tcPr>
          <w:p w14:paraId="7BC12D04" w14:textId="77777777" w:rsidR="00485A05" w:rsidRPr="00485A05" w:rsidRDefault="00485A05" w:rsidP="00485A05">
            <w:pPr>
              <w:spacing w:before="40" w:line="276" w:lineRule="auto"/>
              <w:rPr>
                <w:sz w:val="18"/>
                <w:szCs w:val="18"/>
                <w:rtl/>
              </w:rPr>
            </w:pPr>
          </w:p>
        </w:tc>
        <w:tc>
          <w:tcPr>
            <w:tcW w:w="486" w:type="pct"/>
          </w:tcPr>
          <w:p w14:paraId="3CE8E372" w14:textId="77777777" w:rsidR="00485A05" w:rsidRPr="00485A05" w:rsidRDefault="00485A05" w:rsidP="00485A05">
            <w:pPr>
              <w:spacing w:before="40" w:line="276" w:lineRule="auto"/>
              <w:rPr>
                <w:sz w:val="18"/>
                <w:szCs w:val="18"/>
                <w:rtl/>
              </w:rPr>
            </w:pPr>
          </w:p>
        </w:tc>
        <w:tc>
          <w:tcPr>
            <w:tcW w:w="417" w:type="pct"/>
          </w:tcPr>
          <w:p w14:paraId="4D6A62F5" w14:textId="77777777" w:rsidR="00485A05" w:rsidRPr="00485A05" w:rsidRDefault="00485A05" w:rsidP="00485A05">
            <w:pPr>
              <w:spacing w:before="40" w:line="276" w:lineRule="auto"/>
              <w:rPr>
                <w:sz w:val="18"/>
                <w:szCs w:val="18"/>
                <w:rtl/>
              </w:rPr>
            </w:pPr>
          </w:p>
        </w:tc>
        <w:tc>
          <w:tcPr>
            <w:tcW w:w="618" w:type="pct"/>
            <w:gridSpan w:val="2"/>
          </w:tcPr>
          <w:p w14:paraId="056322FB" w14:textId="77777777" w:rsidR="00485A05" w:rsidRPr="00485A05" w:rsidRDefault="00485A05" w:rsidP="00485A05">
            <w:pPr>
              <w:spacing w:before="40" w:line="276" w:lineRule="auto"/>
              <w:rPr>
                <w:sz w:val="18"/>
                <w:szCs w:val="18"/>
                <w:rtl/>
              </w:rPr>
            </w:pPr>
          </w:p>
        </w:tc>
      </w:tr>
      <w:tr w:rsidR="00547F17" w:rsidRPr="001434E6" w14:paraId="70CCEAA1" w14:textId="77777777" w:rsidTr="00C97742">
        <w:trPr>
          <w:trHeight w:val="187"/>
          <w:jc w:val="center"/>
        </w:trPr>
        <w:tc>
          <w:tcPr>
            <w:tcW w:w="703" w:type="pct"/>
            <w:gridSpan w:val="2"/>
            <w:vMerge w:val="restart"/>
            <w:tcBorders>
              <w:top w:val="nil"/>
              <w:left w:val="nil"/>
            </w:tcBorders>
            <w:vAlign w:val="center"/>
          </w:tcPr>
          <w:p w14:paraId="3B9939F3" w14:textId="277A2481" w:rsidR="00547F17" w:rsidRPr="00485A05" w:rsidRDefault="00547F17" w:rsidP="00485A05">
            <w:pPr>
              <w:spacing w:before="40" w:line="276" w:lineRule="auto"/>
              <w:jc w:val="center"/>
              <w:rPr>
                <w:sz w:val="18"/>
                <w:szCs w:val="18"/>
                <w:rtl/>
              </w:rPr>
            </w:pPr>
          </w:p>
        </w:tc>
        <w:tc>
          <w:tcPr>
            <w:tcW w:w="829" w:type="pct"/>
            <w:vMerge w:val="restart"/>
            <w:tcBorders>
              <w:left w:val="nil"/>
            </w:tcBorders>
            <w:vAlign w:val="center"/>
          </w:tcPr>
          <w:p w14:paraId="22E2CD8D" w14:textId="1373F924" w:rsidR="00547F17" w:rsidRDefault="00547F17" w:rsidP="00547F17">
            <w:pPr>
              <w:spacing w:before="40" w:line="192" w:lineRule="auto"/>
              <w:jc w:val="left"/>
              <w:rPr>
                <w:sz w:val="18"/>
                <w:szCs w:val="18"/>
                <w:rtl/>
              </w:rPr>
            </w:pPr>
            <w:r w:rsidRPr="00485A05">
              <w:rPr>
                <w:b/>
                <w:bCs/>
                <w:sz w:val="18"/>
                <w:szCs w:val="18"/>
                <w:rtl/>
              </w:rPr>
              <w:t xml:space="preserve">30 ביוני </w:t>
            </w:r>
            <w:r w:rsidRPr="00485A05">
              <w:rPr>
                <w:b/>
                <w:bCs/>
                <w:sz w:val="18"/>
                <w:szCs w:val="18"/>
                <w:rtl/>
              </w:rPr>
              <w:fldChar w:fldCharType="begin"/>
            </w:r>
            <w:r w:rsidRPr="00485A05">
              <w:rPr>
                <w:b/>
                <w:bCs/>
                <w:sz w:val="18"/>
                <w:szCs w:val="18"/>
                <w:rtl/>
              </w:rPr>
              <w:instrText xml:space="preserve"> = </w:instrText>
            </w:r>
            <w:r w:rsidRPr="00485A05">
              <w:rPr>
                <w:b/>
                <w:bCs/>
                <w:sz w:val="18"/>
                <w:szCs w:val="18"/>
              </w:rPr>
              <w:instrText>CY \* MERGEFORMAT</w:instrText>
            </w:r>
            <w:r w:rsidRPr="00485A05">
              <w:rPr>
                <w:b/>
                <w:bCs/>
                <w:sz w:val="18"/>
                <w:szCs w:val="18"/>
                <w:rtl/>
              </w:rPr>
              <w:instrText xml:space="preserve"> </w:instrText>
            </w:r>
            <w:r w:rsidRPr="00485A05">
              <w:rPr>
                <w:b/>
                <w:bCs/>
                <w:sz w:val="18"/>
                <w:szCs w:val="18"/>
                <w:rtl/>
              </w:rPr>
              <w:fldChar w:fldCharType="separate"/>
            </w:r>
            <w:r w:rsidR="003A584F">
              <w:rPr>
                <w:b/>
                <w:bCs/>
                <w:noProof/>
                <w:sz w:val="18"/>
                <w:szCs w:val="18"/>
                <w:rtl/>
              </w:rPr>
              <w:t>2024</w:t>
            </w:r>
            <w:r w:rsidRPr="00485A05">
              <w:rPr>
                <w:b/>
                <w:bCs/>
                <w:sz w:val="18"/>
                <w:szCs w:val="18"/>
                <w:rtl/>
              </w:rPr>
              <w:fldChar w:fldCharType="end"/>
            </w:r>
            <w:r>
              <w:rPr>
                <w:rFonts w:hint="cs"/>
                <w:b/>
                <w:bCs/>
                <w:sz w:val="18"/>
                <w:szCs w:val="18"/>
                <w:rtl/>
              </w:rPr>
              <w:t xml:space="preserve"> </w:t>
            </w:r>
          </w:p>
          <w:p w14:paraId="3ABF0ED5" w14:textId="5F9CF152" w:rsidR="00547F17" w:rsidRPr="00485A05" w:rsidRDefault="00547F17" w:rsidP="00547F17">
            <w:pPr>
              <w:spacing w:before="40" w:line="192" w:lineRule="auto"/>
              <w:jc w:val="left"/>
              <w:rPr>
                <w:sz w:val="18"/>
                <w:szCs w:val="18"/>
                <w:rtl/>
              </w:rPr>
            </w:pPr>
            <w:r w:rsidRPr="00485A05">
              <w:rPr>
                <w:rFonts w:hint="cs"/>
                <w:sz w:val="18"/>
                <w:szCs w:val="18"/>
                <w:rtl/>
              </w:rPr>
              <w:t>(בלתי מבוקר)</w:t>
            </w:r>
          </w:p>
        </w:tc>
        <w:tc>
          <w:tcPr>
            <w:tcW w:w="768" w:type="pct"/>
            <w:tcBorders>
              <w:top w:val="nil"/>
              <w:left w:val="nil"/>
              <w:bottom w:val="nil"/>
              <w:right w:val="nil"/>
            </w:tcBorders>
          </w:tcPr>
          <w:p w14:paraId="0050EC88" w14:textId="6D9CFDBC" w:rsidR="00547F17" w:rsidRPr="00485A05" w:rsidRDefault="00547F17" w:rsidP="00485A05">
            <w:pPr>
              <w:spacing w:before="40" w:line="276" w:lineRule="auto"/>
              <w:rPr>
                <w:sz w:val="18"/>
                <w:szCs w:val="18"/>
                <w:rtl/>
              </w:rPr>
            </w:pPr>
            <w:r w:rsidRPr="00485A05">
              <w:rPr>
                <w:rFonts w:hint="cs"/>
                <w:sz w:val="18"/>
                <w:szCs w:val="18"/>
                <w:rtl/>
              </w:rPr>
              <w:t>שיעור ריבית</w:t>
            </w:r>
            <w:r w:rsidRPr="00485A05">
              <w:rPr>
                <w:rFonts w:hint="cs"/>
                <w:sz w:val="18"/>
                <w:szCs w:val="18"/>
                <w:vertAlign w:val="superscript"/>
                <w:rtl/>
              </w:rPr>
              <w:t>[2]</w:t>
            </w:r>
          </w:p>
        </w:tc>
        <w:tc>
          <w:tcPr>
            <w:tcW w:w="418" w:type="pct"/>
          </w:tcPr>
          <w:p w14:paraId="3B8EDB4C"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347" w:type="pct"/>
          </w:tcPr>
          <w:p w14:paraId="727FCDCC"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15" w:type="pct"/>
          </w:tcPr>
          <w:p w14:paraId="2C06F582"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86" w:type="pct"/>
          </w:tcPr>
          <w:p w14:paraId="2205535F"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17" w:type="pct"/>
          </w:tcPr>
          <w:p w14:paraId="415C2081"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618" w:type="pct"/>
            <w:gridSpan w:val="2"/>
          </w:tcPr>
          <w:p w14:paraId="0657C929" w14:textId="77777777" w:rsidR="00547F17" w:rsidRPr="00485A05" w:rsidRDefault="00547F17" w:rsidP="00485A05">
            <w:pPr>
              <w:spacing w:before="40" w:line="276" w:lineRule="auto"/>
              <w:rPr>
                <w:sz w:val="18"/>
                <w:szCs w:val="18"/>
                <w:rtl/>
              </w:rPr>
            </w:pPr>
            <w:r w:rsidRPr="00485A05">
              <w:rPr>
                <w:rFonts w:hint="cs"/>
                <w:sz w:val="18"/>
                <w:szCs w:val="18"/>
                <w:rtl/>
              </w:rPr>
              <w:t>0</w:t>
            </w:r>
          </w:p>
        </w:tc>
      </w:tr>
      <w:tr w:rsidR="00547F17" w:rsidRPr="001434E6" w14:paraId="79A60F2B" w14:textId="77777777" w:rsidTr="00C97742">
        <w:trPr>
          <w:trHeight w:val="187"/>
          <w:jc w:val="center"/>
        </w:trPr>
        <w:tc>
          <w:tcPr>
            <w:tcW w:w="703" w:type="pct"/>
            <w:gridSpan w:val="2"/>
            <w:vMerge/>
            <w:tcBorders>
              <w:left w:val="nil"/>
              <w:bottom w:val="nil"/>
            </w:tcBorders>
          </w:tcPr>
          <w:p w14:paraId="0052204C" w14:textId="77777777" w:rsidR="00547F17" w:rsidRPr="00485A05" w:rsidRDefault="00547F17" w:rsidP="00485A05">
            <w:pPr>
              <w:spacing w:before="40" w:line="276" w:lineRule="auto"/>
              <w:rPr>
                <w:sz w:val="18"/>
                <w:szCs w:val="18"/>
                <w:rtl/>
              </w:rPr>
            </w:pPr>
          </w:p>
        </w:tc>
        <w:tc>
          <w:tcPr>
            <w:tcW w:w="829" w:type="pct"/>
            <w:vMerge/>
            <w:tcBorders>
              <w:left w:val="nil"/>
              <w:bottom w:val="nil"/>
            </w:tcBorders>
          </w:tcPr>
          <w:p w14:paraId="3CC6DDD9" w14:textId="77777777" w:rsidR="00547F17" w:rsidRPr="00485A05" w:rsidRDefault="00547F17" w:rsidP="00485A05">
            <w:pPr>
              <w:spacing w:before="40" w:line="276" w:lineRule="auto"/>
              <w:rPr>
                <w:sz w:val="18"/>
                <w:szCs w:val="18"/>
                <w:rtl/>
              </w:rPr>
            </w:pPr>
          </w:p>
        </w:tc>
        <w:tc>
          <w:tcPr>
            <w:tcW w:w="768" w:type="pct"/>
            <w:tcBorders>
              <w:top w:val="nil"/>
              <w:left w:val="nil"/>
              <w:bottom w:val="nil"/>
              <w:right w:val="nil"/>
            </w:tcBorders>
          </w:tcPr>
          <w:p w14:paraId="69ADB62F" w14:textId="4EA8CCD5" w:rsidR="00547F17" w:rsidRPr="00485A05" w:rsidRDefault="00547F17" w:rsidP="00485A05">
            <w:pPr>
              <w:spacing w:before="40" w:line="276" w:lineRule="auto"/>
              <w:rPr>
                <w:sz w:val="18"/>
                <w:szCs w:val="18"/>
                <w:rtl/>
              </w:rPr>
            </w:pPr>
            <w:r w:rsidRPr="00485A05">
              <w:rPr>
                <w:rFonts w:hint="cs"/>
                <w:sz w:val="18"/>
                <w:szCs w:val="18"/>
                <w:rtl/>
              </w:rPr>
              <w:t>מטבע חוץ</w:t>
            </w:r>
          </w:p>
        </w:tc>
        <w:tc>
          <w:tcPr>
            <w:tcW w:w="418" w:type="pct"/>
          </w:tcPr>
          <w:p w14:paraId="48331A38"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347" w:type="pct"/>
          </w:tcPr>
          <w:p w14:paraId="6B81A2D8"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15" w:type="pct"/>
          </w:tcPr>
          <w:p w14:paraId="675123C4"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86" w:type="pct"/>
          </w:tcPr>
          <w:p w14:paraId="2ED5F43D"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17" w:type="pct"/>
          </w:tcPr>
          <w:p w14:paraId="6107A06D"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618" w:type="pct"/>
            <w:gridSpan w:val="2"/>
          </w:tcPr>
          <w:p w14:paraId="7CA24E62" w14:textId="77777777" w:rsidR="00547F17" w:rsidRPr="00485A05" w:rsidRDefault="00547F17" w:rsidP="00485A05">
            <w:pPr>
              <w:spacing w:before="40" w:line="276" w:lineRule="auto"/>
              <w:rPr>
                <w:sz w:val="18"/>
                <w:szCs w:val="18"/>
                <w:rtl/>
              </w:rPr>
            </w:pPr>
            <w:r w:rsidRPr="00485A05">
              <w:rPr>
                <w:rFonts w:hint="cs"/>
                <w:sz w:val="18"/>
                <w:szCs w:val="18"/>
                <w:rtl/>
              </w:rPr>
              <w:t>0</w:t>
            </w:r>
          </w:p>
        </w:tc>
      </w:tr>
      <w:tr w:rsidR="00547F17" w:rsidRPr="001434E6" w14:paraId="5CFFF91F" w14:textId="77777777" w:rsidTr="00C97742">
        <w:trPr>
          <w:trHeight w:hRule="exact" w:val="113"/>
          <w:jc w:val="center"/>
        </w:trPr>
        <w:tc>
          <w:tcPr>
            <w:tcW w:w="703" w:type="pct"/>
            <w:gridSpan w:val="2"/>
            <w:tcBorders>
              <w:top w:val="nil"/>
              <w:left w:val="nil"/>
            </w:tcBorders>
            <w:vAlign w:val="center"/>
          </w:tcPr>
          <w:p w14:paraId="2AA96E28" w14:textId="77777777" w:rsidR="00485A05" w:rsidRPr="00485A05" w:rsidRDefault="00485A05" w:rsidP="00485A05">
            <w:pPr>
              <w:spacing w:before="40" w:line="276" w:lineRule="auto"/>
              <w:jc w:val="center"/>
              <w:rPr>
                <w:b/>
                <w:bCs/>
                <w:sz w:val="18"/>
                <w:szCs w:val="18"/>
                <w:rtl/>
              </w:rPr>
            </w:pPr>
          </w:p>
        </w:tc>
        <w:tc>
          <w:tcPr>
            <w:tcW w:w="829" w:type="pct"/>
            <w:tcBorders>
              <w:top w:val="nil"/>
              <w:left w:val="nil"/>
            </w:tcBorders>
            <w:vAlign w:val="center"/>
          </w:tcPr>
          <w:p w14:paraId="20A91CC4" w14:textId="77777777" w:rsidR="00485A05" w:rsidRPr="00485A05" w:rsidRDefault="00485A05" w:rsidP="00485A05">
            <w:pPr>
              <w:spacing w:before="40" w:line="168" w:lineRule="auto"/>
              <w:rPr>
                <w:sz w:val="18"/>
                <w:szCs w:val="18"/>
                <w:rtl/>
              </w:rPr>
            </w:pPr>
          </w:p>
        </w:tc>
        <w:tc>
          <w:tcPr>
            <w:tcW w:w="768" w:type="pct"/>
            <w:tcBorders>
              <w:top w:val="nil"/>
              <w:left w:val="nil"/>
              <w:bottom w:val="nil"/>
              <w:right w:val="nil"/>
            </w:tcBorders>
          </w:tcPr>
          <w:p w14:paraId="40F3CA8D" w14:textId="343998D6" w:rsidR="00485A05" w:rsidRPr="00485A05" w:rsidRDefault="00485A05" w:rsidP="00485A05">
            <w:pPr>
              <w:spacing w:before="40" w:line="168" w:lineRule="auto"/>
              <w:rPr>
                <w:sz w:val="18"/>
                <w:szCs w:val="18"/>
                <w:rtl/>
              </w:rPr>
            </w:pPr>
          </w:p>
        </w:tc>
        <w:tc>
          <w:tcPr>
            <w:tcW w:w="418" w:type="pct"/>
          </w:tcPr>
          <w:p w14:paraId="63AE4AC7" w14:textId="77777777" w:rsidR="00485A05" w:rsidRPr="00485A05" w:rsidRDefault="00485A05" w:rsidP="00485A05">
            <w:pPr>
              <w:spacing w:before="40" w:line="276" w:lineRule="auto"/>
              <w:rPr>
                <w:sz w:val="18"/>
                <w:szCs w:val="18"/>
                <w:rtl/>
              </w:rPr>
            </w:pPr>
          </w:p>
        </w:tc>
        <w:tc>
          <w:tcPr>
            <w:tcW w:w="347" w:type="pct"/>
          </w:tcPr>
          <w:p w14:paraId="3077A00B" w14:textId="77777777" w:rsidR="00485A05" w:rsidRPr="00485A05" w:rsidRDefault="00485A05" w:rsidP="00485A05">
            <w:pPr>
              <w:spacing w:before="40" w:line="276" w:lineRule="auto"/>
              <w:rPr>
                <w:sz w:val="18"/>
                <w:szCs w:val="18"/>
                <w:rtl/>
              </w:rPr>
            </w:pPr>
          </w:p>
        </w:tc>
        <w:tc>
          <w:tcPr>
            <w:tcW w:w="415" w:type="pct"/>
          </w:tcPr>
          <w:p w14:paraId="7843811D" w14:textId="77777777" w:rsidR="00485A05" w:rsidRPr="00485A05" w:rsidRDefault="00485A05" w:rsidP="00485A05">
            <w:pPr>
              <w:spacing w:before="40" w:line="276" w:lineRule="auto"/>
              <w:rPr>
                <w:sz w:val="18"/>
                <w:szCs w:val="18"/>
                <w:rtl/>
              </w:rPr>
            </w:pPr>
          </w:p>
        </w:tc>
        <w:tc>
          <w:tcPr>
            <w:tcW w:w="486" w:type="pct"/>
          </w:tcPr>
          <w:p w14:paraId="50BD1B70" w14:textId="77777777" w:rsidR="00485A05" w:rsidRPr="00485A05" w:rsidRDefault="00485A05" w:rsidP="00485A05">
            <w:pPr>
              <w:spacing w:before="40" w:line="276" w:lineRule="auto"/>
              <w:rPr>
                <w:sz w:val="18"/>
                <w:szCs w:val="18"/>
                <w:rtl/>
              </w:rPr>
            </w:pPr>
          </w:p>
        </w:tc>
        <w:tc>
          <w:tcPr>
            <w:tcW w:w="417" w:type="pct"/>
          </w:tcPr>
          <w:p w14:paraId="01D272BB" w14:textId="77777777" w:rsidR="00485A05" w:rsidRPr="00485A05" w:rsidRDefault="00485A05" w:rsidP="00485A05">
            <w:pPr>
              <w:spacing w:before="40" w:line="276" w:lineRule="auto"/>
              <w:rPr>
                <w:sz w:val="18"/>
                <w:szCs w:val="18"/>
                <w:rtl/>
              </w:rPr>
            </w:pPr>
          </w:p>
        </w:tc>
        <w:tc>
          <w:tcPr>
            <w:tcW w:w="618" w:type="pct"/>
            <w:gridSpan w:val="2"/>
          </w:tcPr>
          <w:p w14:paraId="018817A6" w14:textId="77777777" w:rsidR="00485A05" w:rsidRPr="00485A05" w:rsidRDefault="00485A05" w:rsidP="00485A05">
            <w:pPr>
              <w:spacing w:before="40" w:line="276" w:lineRule="auto"/>
              <w:rPr>
                <w:sz w:val="18"/>
                <w:szCs w:val="18"/>
                <w:rtl/>
              </w:rPr>
            </w:pPr>
          </w:p>
        </w:tc>
      </w:tr>
      <w:tr w:rsidR="00547F17" w:rsidRPr="001434E6" w14:paraId="15672199" w14:textId="77777777" w:rsidTr="00C97742">
        <w:trPr>
          <w:trHeight w:val="267"/>
          <w:jc w:val="center"/>
        </w:trPr>
        <w:tc>
          <w:tcPr>
            <w:tcW w:w="703" w:type="pct"/>
            <w:gridSpan w:val="2"/>
            <w:vMerge w:val="restart"/>
            <w:tcBorders>
              <w:top w:val="nil"/>
              <w:left w:val="nil"/>
              <w:bottom w:val="single" w:sz="4" w:space="0" w:color="auto"/>
            </w:tcBorders>
            <w:vAlign w:val="center"/>
          </w:tcPr>
          <w:p w14:paraId="6305057A" w14:textId="13D73DFC" w:rsidR="00547F17" w:rsidRPr="00485A05" w:rsidRDefault="00547F17" w:rsidP="00485A05">
            <w:pPr>
              <w:spacing w:before="40" w:line="276" w:lineRule="auto"/>
              <w:jc w:val="center"/>
              <w:rPr>
                <w:sz w:val="18"/>
                <w:szCs w:val="18"/>
                <w:rtl/>
              </w:rPr>
            </w:pPr>
          </w:p>
        </w:tc>
        <w:tc>
          <w:tcPr>
            <w:tcW w:w="829" w:type="pct"/>
            <w:vMerge w:val="restart"/>
            <w:tcBorders>
              <w:top w:val="nil"/>
              <w:left w:val="nil"/>
            </w:tcBorders>
            <w:vAlign w:val="center"/>
          </w:tcPr>
          <w:p w14:paraId="17C56676" w14:textId="4DDA5EBB" w:rsidR="00547F17" w:rsidRDefault="00547F17" w:rsidP="00547F17">
            <w:pPr>
              <w:spacing w:before="40" w:line="192" w:lineRule="auto"/>
              <w:jc w:val="left"/>
              <w:rPr>
                <w:sz w:val="18"/>
                <w:szCs w:val="18"/>
                <w:rtl/>
              </w:rPr>
            </w:pPr>
            <w:r w:rsidRPr="00485A05">
              <w:rPr>
                <w:b/>
                <w:bCs/>
                <w:sz w:val="18"/>
                <w:szCs w:val="18"/>
                <w:rtl/>
              </w:rPr>
              <w:t xml:space="preserve">30 ביוני </w:t>
            </w:r>
            <w:r w:rsidRPr="00485A05">
              <w:rPr>
                <w:b/>
                <w:bCs/>
                <w:sz w:val="18"/>
                <w:szCs w:val="18"/>
                <w:rtl/>
              </w:rPr>
              <w:fldChar w:fldCharType="begin"/>
            </w:r>
            <w:r w:rsidRPr="00485A05">
              <w:rPr>
                <w:b/>
                <w:bCs/>
                <w:sz w:val="18"/>
                <w:szCs w:val="18"/>
                <w:rtl/>
              </w:rPr>
              <w:instrText xml:space="preserve"> </w:instrText>
            </w:r>
            <w:r w:rsidRPr="00485A05">
              <w:rPr>
                <w:rFonts w:hint="cs"/>
                <w:b/>
                <w:bCs/>
                <w:sz w:val="18"/>
                <w:szCs w:val="18"/>
                <w:rtl/>
              </w:rPr>
              <w:instrText xml:space="preserve">= </w:instrText>
            </w:r>
            <w:r w:rsidRPr="00485A05">
              <w:rPr>
                <w:rFonts w:hint="cs"/>
                <w:b/>
                <w:bCs/>
                <w:sz w:val="18"/>
                <w:szCs w:val="18"/>
              </w:rPr>
              <w:instrText>CY</w:instrText>
            </w:r>
            <w:r w:rsidRPr="00485A05">
              <w:rPr>
                <w:b/>
                <w:bCs/>
                <w:sz w:val="18"/>
                <w:szCs w:val="18"/>
              </w:rPr>
              <w:instrText>-1</w:instrText>
            </w:r>
            <w:r w:rsidRPr="00485A05">
              <w:rPr>
                <w:rFonts w:hint="cs"/>
                <w:b/>
                <w:bCs/>
                <w:sz w:val="18"/>
                <w:szCs w:val="18"/>
              </w:rPr>
              <w:instrText xml:space="preserve"> \* MERGEFORMAT</w:instrText>
            </w:r>
            <w:r w:rsidRPr="00485A05">
              <w:rPr>
                <w:b/>
                <w:bCs/>
                <w:sz w:val="18"/>
                <w:szCs w:val="18"/>
                <w:rtl/>
              </w:rPr>
              <w:instrText xml:space="preserve"> </w:instrText>
            </w:r>
            <w:r w:rsidRPr="00485A05">
              <w:rPr>
                <w:b/>
                <w:bCs/>
                <w:sz w:val="18"/>
                <w:szCs w:val="18"/>
                <w:rtl/>
              </w:rPr>
              <w:fldChar w:fldCharType="separate"/>
            </w:r>
            <w:r w:rsidR="003A584F">
              <w:rPr>
                <w:b/>
                <w:bCs/>
                <w:noProof/>
                <w:sz w:val="18"/>
                <w:szCs w:val="18"/>
                <w:rtl/>
              </w:rPr>
              <w:t>2023</w:t>
            </w:r>
            <w:r w:rsidRPr="00485A05">
              <w:rPr>
                <w:b/>
                <w:bCs/>
                <w:sz w:val="18"/>
                <w:szCs w:val="18"/>
                <w:rtl/>
              </w:rPr>
              <w:fldChar w:fldCharType="end"/>
            </w:r>
            <w:r>
              <w:rPr>
                <w:rFonts w:hint="cs"/>
                <w:b/>
                <w:bCs/>
                <w:sz w:val="18"/>
                <w:szCs w:val="18"/>
                <w:rtl/>
              </w:rPr>
              <w:t xml:space="preserve"> </w:t>
            </w:r>
          </w:p>
          <w:p w14:paraId="1C09D9D0" w14:textId="51968DA9" w:rsidR="00547F17" w:rsidRPr="00485A05" w:rsidRDefault="00547F17" w:rsidP="00547F17">
            <w:pPr>
              <w:spacing w:before="40" w:line="192" w:lineRule="auto"/>
              <w:jc w:val="left"/>
              <w:rPr>
                <w:sz w:val="18"/>
                <w:szCs w:val="18"/>
                <w:rtl/>
              </w:rPr>
            </w:pPr>
            <w:r w:rsidRPr="00485A05">
              <w:rPr>
                <w:rFonts w:hint="cs"/>
                <w:sz w:val="18"/>
                <w:szCs w:val="18"/>
                <w:rtl/>
              </w:rPr>
              <w:t>(בלתי מבוקר)</w:t>
            </w:r>
          </w:p>
        </w:tc>
        <w:tc>
          <w:tcPr>
            <w:tcW w:w="768" w:type="pct"/>
            <w:tcBorders>
              <w:top w:val="nil"/>
              <w:left w:val="nil"/>
              <w:bottom w:val="nil"/>
              <w:right w:val="nil"/>
            </w:tcBorders>
          </w:tcPr>
          <w:p w14:paraId="52B003A5" w14:textId="12C14893" w:rsidR="00547F17" w:rsidRPr="00485A05" w:rsidRDefault="00547F17" w:rsidP="00485A05">
            <w:pPr>
              <w:spacing w:before="40" w:line="276" w:lineRule="auto"/>
              <w:rPr>
                <w:sz w:val="18"/>
                <w:szCs w:val="18"/>
                <w:rtl/>
              </w:rPr>
            </w:pPr>
            <w:r w:rsidRPr="00485A05">
              <w:rPr>
                <w:rFonts w:hint="cs"/>
                <w:sz w:val="18"/>
                <w:szCs w:val="18"/>
                <w:rtl/>
              </w:rPr>
              <w:t>שיעור ריבית</w:t>
            </w:r>
            <w:r w:rsidRPr="00485A05">
              <w:rPr>
                <w:rFonts w:hint="cs"/>
                <w:sz w:val="18"/>
                <w:szCs w:val="18"/>
                <w:vertAlign w:val="superscript"/>
                <w:rtl/>
              </w:rPr>
              <w:t>[2]</w:t>
            </w:r>
          </w:p>
        </w:tc>
        <w:tc>
          <w:tcPr>
            <w:tcW w:w="418" w:type="pct"/>
          </w:tcPr>
          <w:p w14:paraId="4588A11D"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347" w:type="pct"/>
          </w:tcPr>
          <w:p w14:paraId="2599BD03"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15" w:type="pct"/>
          </w:tcPr>
          <w:p w14:paraId="15F4F003"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86" w:type="pct"/>
          </w:tcPr>
          <w:p w14:paraId="70A86759"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17" w:type="pct"/>
          </w:tcPr>
          <w:p w14:paraId="0791AD62"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618" w:type="pct"/>
            <w:gridSpan w:val="2"/>
          </w:tcPr>
          <w:p w14:paraId="7AB53960" w14:textId="77777777" w:rsidR="00547F17" w:rsidRPr="00485A05" w:rsidRDefault="00547F17" w:rsidP="00485A05">
            <w:pPr>
              <w:spacing w:before="40" w:line="276" w:lineRule="auto"/>
              <w:rPr>
                <w:sz w:val="18"/>
                <w:szCs w:val="18"/>
                <w:rtl/>
              </w:rPr>
            </w:pPr>
            <w:r w:rsidRPr="00485A05">
              <w:rPr>
                <w:rFonts w:hint="cs"/>
                <w:sz w:val="18"/>
                <w:szCs w:val="18"/>
                <w:rtl/>
              </w:rPr>
              <w:t>0</w:t>
            </w:r>
          </w:p>
        </w:tc>
      </w:tr>
      <w:tr w:rsidR="00547F17" w:rsidRPr="001434E6" w14:paraId="5E61326A" w14:textId="77777777" w:rsidTr="00C97742">
        <w:trPr>
          <w:trHeight w:val="187"/>
          <w:jc w:val="center"/>
        </w:trPr>
        <w:tc>
          <w:tcPr>
            <w:tcW w:w="703" w:type="pct"/>
            <w:gridSpan w:val="2"/>
            <w:vMerge/>
            <w:tcBorders>
              <w:left w:val="nil"/>
            </w:tcBorders>
            <w:vAlign w:val="center"/>
          </w:tcPr>
          <w:p w14:paraId="308098AA" w14:textId="77777777" w:rsidR="00547F17" w:rsidRPr="00485A05" w:rsidRDefault="00547F17" w:rsidP="00485A05">
            <w:pPr>
              <w:spacing w:before="40" w:line="276" w:lineRule="auto"/>
              <w:jc w:val="center"/>
              <w:rPr>
                <w:sz w:val="18"/>
                <w:szCs w:val="18"/>
                <w:rtl/>
              </w:rPr>
            </w:pPr>
          </w:p>
        </w:tc>
        <w:tc>
          <w:tcPr>
            <w:tcW w:w="829" w:type="pct"/>
            <w:vMerge/>
            <w:tcBorders>
              <w:left w:val="nil"/>
            </w:tcBorders>
            <w:vAlign w:val="center"/>
          </w:tcPr>
          <w:p w14:paraId="31AEBFC4" w14:textId="77777777" w:rsidR="00547F17" w:rsidRPr="00485A05" w:rsidRDefault="00547F17" w:rsidP="00485A05">
            <w:pPr>
              <w:spacing w:before="40" w:line="276" w:lineRule="auto"/>
              <w:rPr>
                <w:sz w:val="18"/>
                <w:szCs w:val="18"/>
                <w:rtl/>
              </w:rPr>
            </w:pPr>
          </w:p>
        </w:tc>
        <w:tc>
          <w:tcPr>
            <w:tcW w:w="768" w:type="pct"/>
            <w:tcBorders>
              <w:top w:val="nil"/>
              <w:left w:val="nil"/>
              <w:bottom w:val="nil"/>
              <w:right w:val="nil"/>
            </w:tcBorders>
          </w:tcPr>
          <w:p w14:paraId="506D806F" w14:textId="40F5D30F" w:rsidR="00547F17" w:rsidRPr="00485A05" w:rsidRDefault="00547F17" w:rsidP="00485A05">
            <w:pPr>
              <w:spacing w:before="40" w:line="276" w:lineRule="auto"/>
              <w:rPr>
                <w:sz w:val="18"/>
                <w:szCs w:val="18"/>
                <w:rtl/>
              </w:rPr>
            </w:pPr>
            <w:r w:rsidRPr="00485A05">
              <w:rPr>
                <w:rFonts w:hint="cs"/>
                <w:sz w:val="18"/>
                <w:szCs w:val="18"/>
                <w:rtl/>
              </w:rPr>
              <w:t>מטבע חוץ</w:t>
            </w:r>
          </w:p>
        </w:tc>
        <w:tc>
          <w:tcPr>
            <w:tcW w:w="418" w:type="pct"/>
          </w:tcPr>
          <w:p w14:paraId="13E4F187"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347" w:type="pct"/>
          </w:tcPr>
          <w:p w14:paraId="51127B4B"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15" w:type="pct"/>
          </w:tcPr>
          <w:p w14:paraId="4D10CF60"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86" w:type="pct"/>
          </w:tcPr>
          <w:p w14:paraId="18F07BA1"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417" w:type="pct"/>
          </w:tcPr>
          <w:p w14:paraId="5CC39C97" w14:textId="77777777" w:rsidR="00547F17" w:rsidRPr="00485A05" w:rsidRDefault="00547F17" w:rsidP="00485A05">
            <w:pPr>
              <w:spacing w:before="40" w:line="276" w:lineRule="auto"/>
              <w:rPr>
                <w:sz w:val="18"/>
                <w:szCs w:val="18"/>
                <w:rtl/>
              </w:rPr>
            </w:pPr>
            <w:r w:rsidRPr="00485A05">
              <w:rPr>
                <w:rFonts w:hint="cs"/>
                <w:sz w:val="18"/>
                <w:szCs w:val="18"/>
                <w:rtl/>
              </w:rPr>
              <w:t>0</w:t>
            </w:r>
          </w:p>
        </w:tc>
        <w:tc>
          <w:tcPr>
            <w:tcW w:w="618" w:type="pct"/>
            <w:gridSpan w:val="2"/>
          </w:tcPr>
          <w:p w14:paraId="575B232C" w14:textId="77777777" w:rsidR="00547F17" w:rsidRPr="00485A05" w:rsidRDefault="00547F17" w:rsidP="00485A05">
            <w:pPr>
              <w:spacing w:before="40" w:line="276" w:lineRule="auto"/>
              <w:rPr>
                <w:sz w:val="18"/>
                <w:szCs w:val="18"/>
                <w:rtl/>
              </w:rPr>
            </w:pPr>
            <w:r w:rsidRPr="00485A05">
              <w:rPr>
                <w:rFonts w:hint="cs"/>
                <w:sz w:val="18"/>
                <w:szCs w:val="18"/>
                <w:rtl/>
              </w:rPr>
              <w:t>0</w:t>
            </w:r>
          </w:p>
        </w:tc>
      </w:tr>
      <w:tr w:rsidR="00547F17" w:rsidRPr="001434E6" w14:paraId="420C7CBE" w14:textId="77777777" w:rsidTr="00C97742">
        <w:trPr>
          <w:trHeight w:hRule="exact" w:val="461"/>
          <w:jc w:val="center"/>
        </w:trPr>
        <w:tc>
          <w:tcPr>
            <w:tcW w:w="703" w:type="pct"/>
            <w:gridSpan w:val="2"/>
            <w:tcBorders>
              <w:left w:val="nil"/>
            </w:tcBorders>
            <w:vAlign w:val="center"/>
          </w:tcPr>
          <w:p w14:paraId="4B1D31B1" w14:textId="77777777" w:rsidR="00485A05" w:rsidRPr="00485A05" w:rsidRDefault="00485A05" w:rsidP="00485A05">
            <w:pPr>
              <w:spacing w:before="40" w:line="276" w:lineRule="auto"/>
              <w:jc w:val="center"/>
              <w:rPr>
                <w:b/>
                <w:bCs/>
                <w:sz w:val="18"/>
                <w:szCs w:val="18"/>
                <w:rtl/>
              </w:rPr>
            </w:pPr>
          </w:p>
        </w:tc>
        <w:tc>
          <w:tcPr>
            <w:tcW w:w="829" w:type="pct"/>
            <w:tcBorders>
              <w:left w:val="nil"/>
            </w:tcBorders>
            <w:vAlign w:val="center"/>
          </w:tcPr>
          <w:p w14:paraId="414943BE" w14:textId="77777777" w:rsidR="00485A05" w:rsidRPr="00485A05" w:rsidRDefault="00485A05" w:rsidP="00485A05">
            <w:pPr>
              <w:spacing w:before="40" w:line="276" w:lineRule="auto"/>
              <w:rPr>
                <w:sz w:val="18"/>
                <w:szCs w:val="18"/>
                <w:rtl/>
              </w:rPr>
            </w:pPr>
          </w:p>
        </w:tc>
        <w:tc>
          <w:tcPr>
            <w:tcW w:w="768" w:type="pct"/>
            <w:tcBorders>
              <w:top w:val="nil"/>
              <w:left w:val="nil"/>
              <w:bottom w:val="nil"/>
              <w:right w:val="nil"/>
            </w:tcBorders>
          </w:tcPr>
          <w:p w14:paraId="3A0828DF" w14:textId="17FF8976" w:rsidR="00485A05" w:rsidRPr="00485A05" w:rsidRDefault="00485A05" w:rsidP="00485A05">
            <w:pPr>
              <w:spacing w:before="40" w:line="276" w:lineRule="auto"/>
              <w:rPr>
                <w:sz w:val="18"/>
                <w:szCs w:val="18"/>
                <w:rtl/>
              </w:rPr>
            </w:pPr>
          </w:p>
        </w:tc>
        <w:tc>
          <w:tcPr>
            <w:tcW w:w="418" w:type="pct"/>
          </w:tcPr>
          <w:p w14:paraId="6614B71F" w14:textId="77777777" w:rsidR="00485A05" w:rsidRPr="00485A05" w:rsidRDefault="00485A05" w:rsidP="00485A05">
            <w:pPr>
              <w:spacing w:before="40" w:line="276" w:lineRule="auto"/>
              <w:rPr>
                <w:sz w:val="18"/>
                <w:szCs w:val="18"/>
                <w:rtl/>
              </w:rPr>
            </w:pPr>
          </w:p>
        </w:tc>
        <w:tc>
          <w:tcPr>
            <w:tcW w:w="347" w:type="pct"/>
          </w:tcPr>
          <w:p w14:paraId="43C1FE5F" w14:textId="77777777" w:rsidR="00485A05" w:rsidRPr="00485A05" w:rsidRDefault="00485A05" w:rsidP="00485A05">
            <w:pPr>
              <w:spacing w:before="40" w:line="276" w:lineRule="auto"/>
              <w:rPr>
                <w:sz w:val="18"/>
                <w:szCs w:val="18"/>
                <w:rtl/>
              </w:rPr>
            </w:pPr>
          </w:p>
        </w:tc>
        <w:tc>
          <w:tcPr>
            <w:tcW w:w="415" w:type="pct"/>
          </w:tcPr>
          <w:p w14:paraId="044861C0" w14:textId="77777777" w:rsidR="00485A05" w:rsidRPr="00485A05" w:rsidRDefault="00485A05" w:rsidP="00485A05">
            <w:pPr>
              <w:spacing w:before="40" w:line="276" w:lineRule="auto"/>
              <w:rPr>
                <w:sz w:val="18"/>
                <w:szCs w:val="18"/>
                <w:rtl/>
              </w:rPr>
            </w:pPr>
          </w:p>
        </w:tc>
        <w:tc>
          <w:tcPr>
            <w:tcW w:w="486" w:type="pct"/>
          </w:tcPr>
          <w:p w14:paraId="67DAB10E" w14:textId="77777777" w:rsidR="00485A05" w:rsidRPr="00485A05" w:rsidRDefault="00485A05" w:rsidP="00485A05">
            <w:pPr>
              <w:spacing w:before="40" w:line="276" w:lineRule="auto"/>
              <w:rPr>
                <w:sz w:val="18"/>
                <w:szCs w:val="18"/>
                <w:rtl/>
              </w:rPr>
            </w:pPr>
          </w:p>
        </w:tc>
        <w:tc>
          <w:tcPr>
            <w:tcW w:w="417" w:type="pct"/>
          </w:tcPr>
          <w:p w14:paraId="4BC749AA" w14:textId="77777777" w:rsidR="00485A05" w:rsidRPr="00485A05" w:rsidRDefault="00485A05" w:rsidP="00485A05">
            <w:pPr>
              <w:spacing w:before="40" w:line="276" w:lineRule="auto"/>
              <w:rPr>
                <w:sz w:val="18"/>
                <w:szCs w:val="18"/>
                <w:rtl/>
              </w:rPr>
            </w:pPr>
          </w:p>
        </w:tc>
        <w:tc>
          <w:tcPr>
            <w:tcW w:w="618" w:type="pct"/>
            <w:gridSpan w:val="2"/>
          </w:tcPr>
          <w:p w14:paraId="3761E7F5" w14:textId="77777777" w:rsidR="00485A05" w:rsidRPr="00485A05" w:rsidRDefault="00485A05" w:rsidP="00485A05">
            <w:pPr>
              <w:spacing w:before="40" w:line="276" w:lineRule="auto"/>
              <w:rPr>
                <w:sz w:val="18"/>
                <w:szCs w:val="18"/>
                <w:rtl/>
              </w:rPr>
            </w:pPr>
          </w:p>
        </w:tc>
      </w:tr>
      <w:tr w:rsidR="00547F17" w:rsidRPr="001434E6" w14:paraId="3C03C88E" w14:textId="77777777" w:rsidTr="00C97742">
        <w:trPr>
          <w:trHeight w:hRule="exact" w:val="321"/>
          <w:jc w:val="center"/>
        </w:trPr>
        <w:tc>
          <w:tcPr>
            <w:tcW w:w="703" w:type="pct"/>
            <w:gridSpan w:val="2"/>
            <w:vMerge w:val="restart"/>
            <w:tcBorders>
              <w:left w:val="nil"/>
            </w:tcBorders>
            <w:vAlign w:val="center"/>
          </w:tcPr>
          <w:p w14:paraId="51D7E7C5" w14:textId="4371AD36" w:rsidR="00547F17" w:rsidRPr="00485A05" w:rsidRDefault="00547F17" w:rsidP="00485A05">
            <w:pPr>
              <w:spacing w:before="40" w:line="276" w:lineRule="auto"/>
              <w:jc w:val="center"/>
              <w:rPr>
                <w:b/>
                <w:bCs/>
                <w:sz w:val="18"/>
                <w:szCs w:val="18"/>
                <w:rtl/>
              </w:rPr>
            </w:pPr>
          </w:p>
        </w:tc>
        <w:tc>
          <w:tcPr>
            <w:tcW w:w="829" w:type="pct"/>
            <w:vMerge w:val="restart"/>
            <w:tcBorders>
              <w:left w:val="nil"/>
            </w:tcBorders>
            <w:vAlign w:val="center"/>
          </w:tcPr>
          <w:p w14:paraId="6F372D87" w14:textId="02A13DFF" w:rsidR="00547F17" w:rsidRPr="00485A05" w:rsidRDefault="00547F17" w:rsidP="00937447">
            <w:pPr>
              <w:pBdr>
                <w:bottom w:val="single" w:sz="4" w:space="1" w:color="auto"/>
              </w:pBdr>
              <w:jc w:val="left"/>
              <w:rPr>
                <w:sz w:val="18"/>
                <w:szCs w:val="18"/>
                <w:rtl/>
              </w:rPr>
            </w:pPr>
            <w:r w:rsidRPr="00485A05">
              <w:rPr>
                <w:rFonts w:hint="eastAsia"/>
                <w:b/>
                <w:bCs/>
                <w:sz w:val="18"/>
                <w:szCs w:val="18"/>
                <w:rtl/>
              </w:rPr>
              <w:t>שנה</w:t>
            </w:r>
            <w:r w:rsidRPr="00485A05">
              <w:rPr>
                <w:b/>
                <w:bCs/>
                <w:sz w:val="18"/>
                <w:szCs w:val="18"/>
                <w:rtl/>
              </w:rPr>
              <w:t xml:space="preserve"> שהסתיימה ב</w:t>
            </w:r>
            <w:r w:rsidRPr="00485A05">
              <w:rPr>
                <w:rFonts w:hint="cs"/>
                <w:b/>
                <w:bCs/>
                <w:sz w:val="18"/>
                <w:szCs w:val="18"/>
                <w:rtl/>
              </w:rPr>
              <w:t xml:space="preserve">יום </w:t>
            </w:r>
            <w:r w:rsidRPr="00485A05">
              <w:rPr>
                <w:b/>
                <w:bCs/>
                <w:sz w:val="18"/>
                <w:szCs w:val="18"/>
                <w:rtl/>
              </w:rPr>
              <w:t xml:space="preserve">31 בדצמבר </w:t>
            </w:r>
            <w:r w:rsidRPr="00485A05">
              <w:rPr>
                <w:b/>
                <w:bCs/>
                <w:sz w:val="18"/>
                <w:szCs w:val="18"/>
                <w:rtl/>
              </w:rPr>
              <w:fldChar w:fldCharType="begin"/>
            </w:r>
            <w:r w:rsidRPr="00485A05">
              <w:rPr>
                <w:b/>
                <w:bCs/>
                <w:sz w:val="18"/>
                <w:szCs w:val="18"/>
                <w:rtl/>
              </w:rPr>
              <w:instrText xml:space="preserve"> = </w:instrText>
            </w:r>
            <w:r w:rsidRPr="00485A05">
              <w:rPr>
                <w:b/>
                <w:bCs/>
                <w:sz w:val="18"/>
                <w:szCs w:val="18"/>
              </w:rPr>
              <w:instrText>CY-1 \* MERGEFORMAT</w:instrText>
            </w:r>
            <w:r w:rsidRPr="00485A05">
              <w:rPr>
                <w:b/>
                <w:bCs/>
                <w:sz w:val="18"/>
                <w:szCs w:val="18"/>
                <w:rtl/>
              </w:rPr>
              <w:instrText xml:space="preserve"> </w:instrText>
            </w:r>
            <w:r w:rsidRPr="00485A05">
              <w:rPr>
                <w:b/>
                <w:bCs/>
                <w:sz w:val="18"/>
                <w:szCs w:val="18"/>
                <w:rtl/>
              </w:rPr>
              <w:fldChar w:fldCharType="separate"/>
            </w:r>
            <w:r w:rsidR="003A584F">
              <w:rPr>
                <w:b/>
                <w:bCs/>
                <w:noProof/>
                <w:sz w:val="18"/>
                <w:szCs w:val="18"/>
                <w:rtl/>
              </w:rPr>
              <w:t>2023</w:t>
            </w:r>
            <w:r w:rsidRPr="00485A05">
              <w:rPr>
                <w:b/>
                <w:bCs/>
                <w:sz w:val="18"/>
                <w:szCs w:val="18"/>
                <w:rtl/>
              </w:rPr>
              <w:fldChar w:fldCharType="end"/>
            </w:r>
            <w:r w:rsidRPr="00485A05">
              <w:rPr>
                <w:rFonts w:hint="cs"/>
                <w:b/>
                <w:bCs/>
                <w:sz w:val="18"/>
                <w:szCs w:val="18"/>
                <w:rtl/>
              </w:rPr>
              <w:t xml:space="preserve"> </w:t>
            </w:r>
            <w:r>
              <w:rPr>
                <w:rFonts w:hint="cs"/>
                <w:b/>
                <w:bCs/>
                <w:sz w:val="18"/>
                <w:szCs w:val="18"/>
                <w:rtl/>
              </w:rPr>
              <w:t xml:space="preserve">  </w:t>
            </w:r>
            <w:r w:rsidRPr="00485A05">
              <w:rPr>
                <w:rFonts w:hint="cs"/>
                <w:sz w:val="18"/>
                <w:szCs w:val="18"/>
                <w:rtl/>
              </w:rPr>
              <w:t>(מבוקר)</w:t>
            </w:r>
          </w:p>
        </w:tc>
        <w:tc>
          <w:tcPr>
            <w:tcW w:w="768" w:type="pct"/>
            <w:tcBorders>
              <w:top w:val="nil"/>
              <w:left w:val="nil"/>
              <w:bottom w:val="nil"/>
              <w:right w:val="nil"/>
            </w:tcBorders>
          </w:tcPr>
          <w:p w14:paraId="62E3538B" w14:textId="32B89BA1" w:rsidR="00547F17" w:rsidRPr="00485A05" w:rsidRDefault="00547F17" w:rsidP="00485A05">
            <w:pPr>
              <w:spacing w:before="40" w:line="276" w:lineRule="auto"/>
              <w:rPr>
                <w:sz w:val="18"/>
                <w:szCs w:val="18"/>
                <w:rtl/>
              </w:rPr>
            </w:pPr>
            <w:r w:rsidRPr="00485A05">
              <w:rPr>
                <w:rFonts w:hint="cs"/>
                <w:sz w:val="18"/>
                <w:szCs w:val="18"/>
                <w:rtl/>
              </w:rPr>
              <w:t>שיעור ריבית</w:t>
            </w:r>
            <w:r w:rsidRPr="00485A05">
              <w:rPr>
                <w:rFonts w:hint="cs"/>
                <w:sz w:val="18"/>
                <w:szCs w:val="18"/>
                <w:vertAlign w:val="superscript"/>
                <w:rtl/>
              </w:rPr>
              <w:t>[2]</w:t>
            </w:r>
          </w:p>
        </w:tc>
        <w:tc>
          <w:tcPr>
            <w:tcW w:w="418" w:type="pct"/>
          </w:tcPr>
          <w:p w14:paraId="4608F9AD" w14:textId="095C14EB" w:rsidR="00547F17" w:rsidRPr="00485A05" w:rsidRDefault="00547F17" w:rsidP="00485A05">
            <w:pPr>
              <w:spacing w:before="40" w:line="276" w:lineRule="auto"/>
              <w:rPr>
                <w:sz w:val="18"/>
                <w:szCs w:val="18"/>
                <w:rtl/>
              </w:rPr>
            </w:pPr>
            <w:r w:rsidRPr="00485A05">
              <w:rPr>
                <w:rFonts w:hint="cs"/>
                <w:sz w:val="18"/>
                <w:szCs w:val="18"/>
                <w:rtl/>
              </w:rPr>
              <w:t>0</w:t>
            </w:r>
          </w:p>
        </w:tc>
        <w:tc>
          <w:tcPr>
            <w:tcW w:w="347" w:type="pct"/>
          </w:tcPr>
          <w:p w14:paraId="615F3730" w14:textId="2C9B1E37" w:rsidR="00547F17" w:rsidRPr="00485A05" w:rsidRDefault="00547F17" w:rsidP="00485A05">
            <w:pPr>
              <w:spacing w:before="40" w:line="276" w:lineRule="auto"/>
              <w:rPr>
                <w:sz w:val="18"/>
                <w:szCs w:val="18"/>
                <w:rtl/>
              </w:rPr>
            </w:pPr>
            <w:r w:rsidRPr="00485A05">
              <w:rPr>
                <w:rFonts w:hint="cs"/>
                <w:sz w:val="18"/>
                <w:szCs w:val="18"/>
                <w:rtl/>
              </w:rPr>
              <w:t>0</w:t>
            </w:r>
          </w:p>
        </w:tc>
        <w:tc>
          <w:tcPr>
            <w:tcW w:w="415" w:type="pct"/>
          </w:tcPr>
          <w:p w14:paraId="1CD5285F" w14:textId="55E2E937" w:rsidR="00547F17" w:rsidRPr="00485A05" w:rsidRDefault="00547F17" w:rsidP="00485A05">
            <w:pPr>
              <w:spacing w:before="40" w:line="276" w:lineRule="auto"/>
              <w:rPr>
                <w:sz w:val="18"/>
                <w:szCs w:val="18"/>
                <w:rtl/>
              </w:rPr>
            </w:pPr>
            <w:r w:rsidRPr="00485A05">
              <w:rPr>
                <w:rFonts w:hint="cs"/>
                <w:sz w:val="18"/>
                <w:szCs w:val="18"/>
                <w:rtl/>
              </w:rPr>
              <w:t>0</w:t>
            </w:r>
          </w:p>
        </w:tc>
        <w:tc>
          <w:tcPr>
            <w:tcW w:w="486" w:type="pct"/>
          </w:tcPr>
          <w:p w14:paraId="387A889F" w14:textId="7D19B686" w:rsidR="00547F17" w:rsidRPr="00485A05" w:rsidRDefault="00547F17" w:rsidP="00485A05">
            <w:pPr>
              <w:spacing w:before="40" w:line="276" w:lineRule="auto"/>
              <w:rPr>
                <w:sz w:val="18"/>
                <w:szCs w:val="18"/>
                <w:rtl/>
              </w:rPr>
            </w:pPr>
            <w:r w:rsidRPr="00485A05">
              <w:rPr>
                <w:rFonts w:hint="cs"/>
                <w:sz w:val="18"/>
                <w:szCs w:val="18"/>
                <w:rtl/>
              </w:rPr>
              <w:t>0</w:t>
            </w:r>
          </w:p>
        </w:tc>
        <w:tc>
          <w:tcPr>
            <w:tcW w:w="417" w:type="pct"/>
          </w:tcPr>
          <w:p w14:paraId="4FD819DF" w14:textId="5E7C20D3" w:rsidR="00547F17" w:rsidRPr="00485A05" w:rsidRDefault="00547F17" w:rsidP="00485A05">
            <w:pPr>
              <w:spacing w:before="40" w:line="276" w:lineRule="auto"/>
              <w:rPr>
                <w:sz w:val="18"/>
                <w:szCs w:val="18"/>
                <w:rtl/>
              </w:rPr>
            </w:pPr>
            <w:r w:rsidRPr="00485A05">
              <w:rPr>
                <w:rFonts w:hint="cs"/>
                <w:sz w:val="18"/>
                <w:szCs w:val="18"/>
                <w:rtl/>
              </w:rPr>
              <w:t>0</w:t>
            </w:r>
          </w:p>
        </w:tc>
        <w:tc>
          <w:tcPr>
            <w:tcW w:w="618" w:type="pct"/>
            <w:gridSpan w:val="2"/>
          </w:tcPr>
          <w:p w14:paraId="30655F3F" w14:textId="5B041917" w:rsidR="00547F17" w:rsidRPr="00485A05" w:rsidRDefault="00547F17" w:rsidP="00485A05">
            <w:pPr>
              <w:spacing w:before="40" w:line="276" w:lineRule="auto"/>
              <w:rPr>
                <w:sz w:val="18"/>
                <w:szCs w:val="18"/>
                <w:rtl/>
              </w:rPr>
            </w:pPr>
            <w:r w:rsidRPr="00485A05">
              <w:rPr>
                <w:rFonts w:hint="cs"/>
                <w:sz w:val="18"/>
                <w:szCs w:val="18"/>
                <w:rtl/>
              </w:rPr>
              <w:t>0</w:t>
            </w:r>
          </w:p>
        </w:tc>
      </w:tr>
      <w:tr w:rsidR="00547F17" w:rsidRPr="001434E6" w14:paraId="743E09F6" w14:textId="77777777" w:rsidTr="00C97742">
        <w:trPr>
          <w:trHeight w:hRule="exact" w:val="410"/>
          <w:jc w:val="center"/>
        </w:trPr>
        <w:tc>
          <w:tcPr>
            <w:tcW w:w="703" w:type="pct"/>
            <w:gridSpan w:val="2"/>
            <w:vMerge/>
            <w:tcBorders>
              <w:left w:val="nil"/>
            </w:tcBorders>
            <w:vAlign w:val="center"/>
          </w:tcPr>
          <w:p w14:paraId="0F5812D9" w14:textId="77777777" w:rsidR="00547F17" w:rsidRPr="00485A05" w:rsidRDefault="00547F17" w:rsidP="00485A05">
            <w:pPr>
              <w:spacing w:before="40" w:line="276" w:lineRule="auto"/>
              <w:jc w:val="center"/>
              <w:rPr>
                <w:b/>
                <w:bCs/>
                <w:sz w:val="18"/>
                <w:szCs w:val="18"/>
                <w:rtl/>
              </w:rPr>
            </w:pPr>
          </w:p>
        </w:tc>
        <w:tc>
          <w:tcPr>
            <w:tcW w:w="829" w:type="pct"/>
            <w:vMerge/>
            <w:tcBorders>
              <w:top w:val="single" w:sz="4" w:space="0" w:color="auto"/>
              <w:left w:val="nil"/>
            </w:tcBorders>
            <w:vAlign w:val="center"/>
          </w:tcPr>
          <w:p w14:paraId="0300AE78" w14:textId="77777777" w:rsidR="00547F17" w:rsidRPr="00485A05" w:rsidRDefault="00547F17" w:rsidP="00485A05">
            <w:pPr>
              <w:spacing w:before="40" w:line="276" w:lineRule="auto"/>
              <w:rPr>
                <w:sz w:val="18"/>
                <w:szCs w:val="18"/>
                <w:rtl/>
              </w:rPr>
            </w:pPr>
          </w:p>
        </w:tc>
        <w:tc>
          <w:tcPr>
            <w:tcW w:w="768" w:type="pct"/>
            <w:tcBorders>
              <w:top w:val="nil"/>
              <w:left w:val="nil"/>
              <w:bottom w:val="nil"/>
              <w:right w:val="nil"/>
            </w:tcBorders>
          </w:tcPr>
          <w:p w14:paraId="40D7C142" w14:textId="32DA7D2B" w:rsidR="00547F17" w:rsidRPr="00485A05" w:rsidRDefault="00547F17" w:rsidP="00485A05">
            <w:pPr>
              <w:spacing w:before="40" w:line="276" w:lineRule="auto"/>
              <w:rPr>
                <w:sz w:val="18"/>
                <w:szCs w:val="18"/>
                <w:rtl/>
              </w:rPr>
            </w:pPr>
            <w:r w:rsidRPr="00485A05">
              <w:rPr>
                <w:rFonts w:hint="cs"/>
                <w:sz w:val="18"/>
                <w:szCs w:val="18"/>
                <w:rtl/>
              </w:rPr>
              <w:t>מטבע חוץ</w:t>
            </w:r>
          </w:p>
        </w:tc>
        <w:tc>
          <w:tcPr>
            <w:tcW w:w="418" w:type="pct"/>
          </w:tcPr>
          <w:p w14:paraId="301DE42F" w14:textId="00561CEF" w:rsidR="00547F17" w:rsidRPr="00485A05" w:rsidRDefault="00547F17" w:rsidP="00485A05">
            <w:pPr>
              <w:spacing w:before="40" w:line="276" w:lineRule="auto"/>
              <w:rPr>
                <w:sz w:val="18"/>
                <w:szCs w:val="18"/>
                <w:rtl/>
              </w:rPr>
            </w:pPr>
            <w:r w:rsidRPr="00485A05">
              <w:rPr>
                <w:rFonts w:hint="cs"/>
                <w:sz w:val="18"/>
                <w:szCs w:val="18"/>
                <w:rtl/>
              </w:rPr>
              <w:t>0</w:t>
            </w:r>
          </w:p>
        </w:tc>
        <w:tc>
          <w:tcPr>
            <w:tcW w:w="347" w:type="pct"/>
          </w:tcPr>
          <w:p w14:paraId="05C7A570" w14:textId="02A0A7B0" w:rsidR="00547F17" w:rsidRPr="00485A05" w:rsidRDefault="00547F17" w:rsidP="00485A05">
            <w:pPr>
              <w:spacing w:before="40" w:line="276" w:lineRule="auto"/>
              <w:rPr>
                <w:sz w:val="18"/>
                <w:szCs w:val="18"/>
                <w:rtl/>
              </w:rPr>
            </w:pPr>
            <w:r w:rsidRPr="00485A05">
              <w:rPr>
                <w:rFonts w:hint="cs"/>
                <w:sz w:val="18"/>
                <w:szCs w:val="18"/>
                <w:rtl/>
              </w:rPr>
              <w:t>0</w:t>
            </w:r>
          </w:p>
        </w:tc>
        <w:tc>
          <w:tcPr>
            <w:tcW w:w="415" w:type="pct"/>
          </w:tcPr>
          <w:p w14:paraId="57225C4E" w14:textId="684DBA84" w:rsidR="00547F17" w:rsidRPr="00485A05" w:rsidRDefault="00547F17" w:rsidP="00485A05">
            <w:pPr>
              <w:spacing w:before="40" w:line="276" w:lineRule="auto"/>
              <w:rPr>
                <w:sz w:val="18"/>
                <w:szCs w:val="18"/>
                <w:rtl/>
              </w:rPr>
            </w:pPr>
            <w:r w:rsidRPr="00485A05">
              <w:rPr>
                <w:rFonts w:hint="cs"/>
                <w:sz w:val="18"/>
                <w:szCs w:val="18"/>
                <w:rtl/>
              </w:rPr>
              <w:t>0</w:t>
            </w:r>
          </w:p>
        </w:tc>
        <w:tc>
          <w:tcPr>
            <w:tcW w:w="486" w:type="pct"/>
          </w:tcPr>
          <w:p w14:paraId="5C3BF307" w14:textId="08F94F48" w:rsidR="00547F17" w:rsidRPr="00485A05" w:rsidRDefault="00547F17" w:rsidP="00485A05">
            <w:pPr>
              <w:spacing w:before="40" w:line="276" w:lineRule="auto"/>
              <w:rPr>
                <w:sz w:val="18"/>
                <w:szCs w:val="18"/>
                <w:rtl/>
              </w:rPr>
            </w:pPr>
            <w:r w:rsidRPr="00485A05">
              <w:rPr>
                <w:rFonts w:hint="cs"/>
                <w:sz w:val="18"/>
                <w:szCs w:val="18"/>
                <w:rtl/>
              </w:rPr>
              <w:t>0</w:t>
            </w:r>
          </w:p>
        </w:tc>
        <w:tc>
          <w:tcPr>
            <w:tcW w:w="417" w:type="pct"/>
          </w:tcPr>
          <w:p w14:paraId="02E73375" w14:textId="5F6341F0" w:rsidR="00547F17" w:rsidRPr="00485A05" w:rsidRDefault="00547F17" w:rsidP="00485A05">
            <w:pPr>
              <w:spacing w:before="40" w:line="276" w:lineRule="auto"/>
              <w:rPr>
                <w:sz w:val="18"/>
                <w:szCs w:val="18"/>
                <w:rtl/>
              </w:rPr>
            </w:pPr>
            <w:r w:rsidRPr="00485A05">
              <w:rPr>
                <w:rFonts w:hint="cs"/>
                <w:sz w:val="18"/>
                <w:szCs w:val="18"/>
                <w:rtl/>
              </w:rPr>
              <w:t>0</w:t>
            </w:r>
          </w:p>
        </w:tc>
        <w:tc>
          <w:tcPr>
            <w:tcW w:w="618" w:type="pct"/>
            <w:gridSpan w:val="2"/>
          </w:tcPr>
          <w:p w14:paraId="7AADAFCB" w14:textId="7DE58AA5" w:rsidR="00547F17" w:rsidRPr="00485A05" w:rsidRDefault="00547F17" w:rsidP="00485A05">
            <w:pPr>
              <w:spacing w:before="40" w:line="276" w:lineRule="auto"/>
              <w:rPr>
                <w:sz w:val="18"/>
                <w:szCs w:val="18"/>
                <w:rtl/>
              </w:rPr>
            </w:pPr>
            <w:r w:rsidRPr="00485A05">
              <w:rPr>
                <w:rFonts w:hint="cs"/>
                <w:sz w:val="18"/>
                <w:szCs w:val="18"/>
                <w:rtl/>
              </w:rPr>
              <w:t>0</w:t>
            </w:r>
          </w:p>
        </w:tc>
      </w:tr>
    </w:tbl>
    <w:p w14:paraId="54C72169" w14:textId="77777777" w:rsidR="00DE51FE" w:rsidRPr="00C63C91" w:rsidRDefault="00FB1182" w:rsidP="0001523C">
      <w:pPr>
        <w:tabs>
          <w:tab w:val="left" w:pos="6457"/>
        </w:tabs>
      </w:pPr>
      <w:r>
        <w:rPr>
          <w:rtl/>
        </w:rPr>
        <w:tab/>
      </w:r>
    </w:p>
    <w:p w14:paraId="433D5ED2" w14:textId="77777777" w:rsidR="0081023A" w:rsidRDefault="0081023A"/>
    <w:p w14:paraId="3AC04CA0" w14:textId="77777777" w:rsidR="00DE51FE" w:rsidRPr="00023586" w:rsidRDefault="00DE51FE" w:rsidP="00DE51FE">
      <w:pPr>
        <w:rPr>
          <w:sz w:val="8"/>
          <w:szCs w:val="8"/>
          <w:rtl/>
        </w:rPr>
      </w:pPr>
    </w:p>
    <w:p w14:paraId="5B8B2504" w14:textId="77777777" w:rsidR="00D7780F" w:rsidRDefault="00D7780F" w:rsidP="00D7780F">
      <w:pPr>
        <w:rPr>
          <w:rtl/>
        </w:rPr>
      </w:pPr>
    </w:p>
    <w:p w14:paraId="1EE7C6D2" w14:textId="77777777" w:rsidR="00B9522A" w:rsidRDefault="00B9522A" w:rsidP="00B9522A">
      <w:pPr>
        <w:rPr>
          <w:rtl/>
        </w:rPr>
      </w:pPr>
    </w:p>
    <w:p w14:paraId="27828779" w14:textId="77777777" w:rsidR="00625440" w:rsidRDefault="00625440"/>
    <w:p w14:paraId="54E4F117" w14:textId="70CB9075" w:rsidR="00FC700D" w:rsidRPr="00FC700D" w:rsidRDefault="00FC700D" w:rsidP="005877FE">
      <w:pPr>
        <w:rPr>
          <w:rtl/>
        </w:rPr>
      </w:pPr>
      <w:r>
        <w:rPr>
          <w:rFonts w:hint="cs"/>
          <w:rtl/>
        </w:rPr>
        <w:tab/>
      </w:r>
      <w:r>
        <w:rPr>
          <w:rFonts w:hint="cs"/>
          <w:rtl/>
        </w:rPr>
        <w:tab/>
      </w:r>
      <w:r>
        <w:rPr>
          <w:rFonts w:hint="cs"/>
          <w:rtl/>
        </w:rPr>
        <w:tab/>
      </w:r>
      <w:r>
        <w:rPr>
          <w:rFonts w:hint="cs"/>
          <w:rtl/>
        </w:rPr>
        <w:tab/>
      </w:r>
    </w:p>
    <w:p w14:paraId="6E01DAFE" w14:textId="77777777" w:rsidR="007D4C0A" w:rsidRDefault="007D4C0A" w:rsidP="00CA2198">
      <w:pPr>
        <w:rPr>
          <w:rtl/>
        </w:rPr>
      </w:pPr>
    </w:p>
    <w:p w14:paraId="583B21BB" w14:textId="77777777" w:rsidR="00BB0254" w:rsidRDefault="00BB0254" w:rsidP="00D7780F">
      <w:pPr>
        <w:rPr>
          <w:rtl/>
        </w:rPr>
      </w:pPr>
    </w:p>
    <w:p w14:paraId="6F89ECA8" w14:textId="77777777" w:rsidR="00BB0254" w:rsidRDefault="00BB0254" w:rsidP="00D7780F">
      <w:pPr>
        <w:rPr>
          <w:rtl/>
        </w:rPr>
      </w:pPr>
    </w:p>
    <w:p w14:paraId="1948CE30" w14:textId="77777777" w:rsidR="00BB0254" w:rsidRDefault="001E3576" w:rsidP="00D7780F">
      <w:pPr>
        <w:rPr>
          <w:rtl/>
        </w:rPr>
      </w:pPr>
      <w:r>
        <w:rPr>
          <w:rtl/>
        </w:rPr>
        <w:br w:type="page"/>
      </w:r>
    </w:p>
    <w:tbl>
      <w:tblPr>
        <w:bidiVisual/>
        <w:tblW w:w="5000" w:type="pct"/>
        <w:tblLook w:val="04A0" w:firstRow="1" w:lastRow="0" w:firstColumn="1" w:lastColumn="0" w:noHBand="0" w:noVBand="1"/>
      </w:tblPr>
      <w:tblGrid>
        <w:gridCol w:w="992"/>
        <w:gridCol w:w="9215"/>
      </w:tblGrid>
      <w:tr w:rsidR="005346DB" w:rsidRPr="00EF3E60" w14:paraId="0D34645C" w14:textId="77777777" w:rsidTr="00C97742">
        <w:trPr>
          <w:trHeight w:val="284"/>
        </w:trPr>
        <w:tc>
          <w:tcPr>
            <w:tcW w:w="486" w:type="pct"/>
          </w:tcPr>
          <w:p w14:paraId="191AC34F" w14:textId="77777777" w:rsidR="005346DB" w:rsidRPr="00EA192D" w:rsidRDefault="005346DB" w:rsidP="00EA192D">
            <w:pPr>
              <w:jc w:val="left"/>
              <w:rPr>
                <w:b/>
                <w:bCs/>
                <w:color w:val="000000"/>
                <w:sz w:val="18"/>
                <w:szCs w:val="18"/>
                <w:rtl/>
                <w:lang w:eastAsia="he-IL"/>
              </w:rPr>
            </w:pPr>
          </w:p>
        </w:tc>
        <w:tc>
          <w:tcPr>
            <w:tcW w:w="4514" w:type="pct"/>
          </w:tcPr>
          <w:p w14:paraId="32C36632" w14:textId="77777777" w:rsidR="005346DB" w:rsidRPr="00EF3E60" w:rsidRDefault="005346DB" w:rsidP="008257BC">
            <w:pPr>
              <w:spacing w:after="60"/>
              <w:rPr>
                <w:b/>
                <w:bCs/>
                <w:sz w:val="22"/>
                <w:szCs w:val="22"/>
                <w:rtl/>
              </w:rPr>
            </w:pPr>
            <w:r w:rsidRPr="00EF3E60">
              <w:rPr>
                <w:rFonts w:eastAsia="Arial Unicode MS"/>
                <w:b/>
                <w:bCs/>
                <w:sz w:val="22"/>
                <w:szCs w:val="22"/>
                <w:rtl/>
              </w:rPr>
              <w:t xml:space="preserve">ביאור </w:t>
            </w:r>
            <w:r w:rsidRPr="00EF3E60">
              <w:rPr>
                <w:rFonts w:eastAsia="Arial Unicode MS" w:hint="cs"/>
                <w:b/>
                <w:bCs/>
                <w:sz w:val="22"/>
                <w:szCs w:val="22"/>
                <w:rtl/>
              </w:rPr>
              <w:t xml:space="preserve">10  </w:t>
            </w:r>
            <w:r w:rsidRPr="00EF3E60">
              <w:rPr>
                <w:rFonts w:eastAsia="Arial Unicode MS"/>
                <w:b/>
                <w:bCs/>
                <w:sz w:val="22"/>
                <w:szCs w:val="22"/>
                <w:rtl/>
              </w:rPr>
              <w:t>-</w:t>
            </w:r>
            <w:r>
              <w:rPr>
                <w:rFonts w:eastAsia="Arial Unicode MS" w:hint="cs"/>
                <w:b/>
                <w:bCs/>
                <w:sz w:val="22"/>
                <w:szCs w:val="22"/>
                <w:rtl/>
              </w:rPr>
              <w:t xml:space="preserve"> </w:t>
            </w:r>
            <w:r w:rsidRPr="00EF3E60">
              <w:rPr>
                <w:rFonts w:eastAsia="Arial Unicode MS"/>
                <w:b/>
                <w:bCs/>
                <w:sz w:val="22"/>
                <w:szCs w:val="22"/>
                <w:rtl/>
              </w:rPr>
              <w:t xml:space="preserve"> </w:t>
            </w:r>
            <w:r w:rsidRPr="00EF3E60">
              <w:rPr>
                <w:rFonts w:hint="cs"/>
                <w:b/>
                <w:bCs/>
                <w:sz w:val="22"/>
                <w:szCs w:val="22"/>
                <w:rtl/>
              </w:rPr>
              <w:t xml:space="preserve">פעילות במכשירים נגזרים </w:t>
            </w:r>
            <w:r>
              <w:rPr>
                <w:rFonts w:hint="cs"/>
                <w:b/>
                <w:bCs/>
                <w:sz w:val="22"/>
                <w:szCs w:val="22"/>
                <w:rtl/>
              </w:rPr>
              <w:t xml:space="preserve">- </w:t>
            </w:r>
            <w:r w:rsidRPr="00EF3E60">
              <w:rPr>
                <w:rFonts w:hint="cs"/>
                <w:b/>
                <w:bCs/>
                <w:sz w:val="22"/>
                <w:szCs w:val="22"/>
                <w:rtl/>
              </w:rPr>
              <w:t>היקף, סיכוני אשראי ומועדי פירעון (המשך</w:t>
            </w:r>
            <w:r>
              <w:rPr>
                <w:rFonts w:hint="cs"/>
                <w:b/>
                <w:bCs/>
                <w:sz w:val="22"/>
                <w:szCs w:val="22"/>
                <w:rtl/>
              </w:rPr>
              <w:t>):</w:t>
            </w:r>
          </w:p>
        </w:tc>
      </w:tr>
      <w:tr w:rsidR="005346DB" w:rsidRPr="00EF3E60" w14:paraId="5E281D28" w14:textId="77777777" w:rsidTr="00C97742">
        <w:tblPrEx>
          <w:tblLook w:val="0000" w:firstRow="0" w:lastRow="0" w:firstColumn="0" w:lastColumn="0" w:noHBand="0" w:noVBand="0"/>
        </w:tblPrEx>
        <w:trPr>
          <w:trHeight w:val="245"/>
        </w:trPr>
        <w:tc>
          <w:tcPr>
            <w:tcW w:w="486" w:type="pct"/>
          </w:tcPr>
          <w:p w14:paraId="2DFAC8E2" w14:textId="77777777" w:rsidR="005346DB" w:rsidRPr="000F181B" w:rsidRDefault="005346DB" w:rsidP="008257BC">
            <w:pPr>
              <w:spacing w:before="60" w:after="40"/>
              <w:jc w:val="left"/>
              <w:rPr>
                <w:b/>
                <w:bCs/>
                <w:i/>
                <w:iCs/>
                <w:rtl/>
              </w:rPr>
            </w:pPr>
          </w:p>
        </w:tc>
        <w:tc>
          <w:tcPr>
            <w:tcW w:w="4514" w:type="pct"/>
          </w:tcPr>
          <w:p w14:paraId="08F94711" w14:textId="77777777" w:rsidR="005346DB" w:rsidRPr="00EF3E60" w:rsidRDefault="00125AD1" w:rsidP="00E641F4">
            <w:pPr>
              <w:tabs>
                <w:tab w:val="left" w:pos="333"/>
              </w:tabs>
              <w:spacing w:before="60" w:after="40"/>
              <w:jc w:val="left"/>
              <w:rPr>
                <w:b/>
                <w:bCs/>
                <w:rtl/>
              </w:rPr>
            </w:pPr>
            <w:r>
              <w:rPr>
                <w:rFonts w:hint="cs"/>
                <w:b/>
                <w:bCs/>
                <w:rtl/>
              </w:rPr>
              <w:t>ד</w:t>
            </w:r>
            <w:r w:rsidR="005346DB" w:rsidRPr="00EF3E60">
              <w:rPr>
                <w:rFonts w:hint="cs"/>
                <w:b/>
                <w:bCs/>
                <w:rtl/>
              </w:rPr>
              <w:t xml:space="preserve">. </w:t>
            </w:r>
            <w:r w:rsidR="004531B0">
              <w:rPr>
                <w:b/>
                <w:bCs/>
                <w:rtl/>
              </w:rPr>
              <w:tab/>
            </w:r>
            <w:r w:rsidR="005346DB">
              <w:rPr>
                <w:rFonts w:hint="cs"/>
                <w:b/>
                <w:bCs/>
                <w:rtl/>
              </w:rPr>
              <w:t>השפעות הפעילות במכשירים נגזרים בגידורי שווי הוגן (המשך):</w:t>
            </w:r>
          </w:p>
        </w:tc>
      </w:tr>
      <w:tr w:rsidR="005346DB" w:rsidRPr="00EF3E60" w14:paraId="3F8E4AF2" w14:textId="77777777" w:rsidTr="00C97742">
        <w:tblPrEx>
          <w:tblLook w:val="0000" w:firstRow="0" w:lastRow="0" w:firstColumn="0" w:lastColumn="0" w:noHBand="0" w:noVBand="0"/>
        </w:tblPrEx>
        <w:trPr>
          <w:trHeight w:val="245"/>
        </w:trPr>
        <w:tc>
          <w:tcPr>
            <w:tcW w:w="486" w:type="pct"/>
          </w:tcPr>
          <w:p w14:paraId="43F37A65" w14:textId="77777777" w:rsidR="005346DB" w:rsidRPr="000F181B" w:rsidRDefault="005346DB" w:rsidP="008257BC">
            <w:pPr>
              <w:bidi w:val="0"/>
              <w:spacing w:before="60" w:after="60"/>
              <w:jc w:val="left"/>
              <w:rPr>
                <w:color w:val="FF0000"/>
                <w:sz w:val="14"/>
                <w:szCs w:val="14"/>
              </w:rPr>
            </w:pPr>
          </w:p>
        </w:tc>
        <w:tc>
          <w:tcPr>
            <w:tcW w:w="4514" w:type="pct"/>
          </w:tcPr>
          <w:p w14:paraId="6EAB5FFC" w14:textId="77777777" w:rsidR="005346DB" w:rsidRPr="00043AC4" w:rsidRDefault="005346DB" w:rsidP="00E641F4">
            <w:pPr>
              <w:numPr>
                <w:ilvl w:val="0"/>
                <w:numId w:val="13"/>
              </w:numPr>
              <w:spacing w:before="60" w:after="60"/>
              <w:ind w:left="594" w:hanging="284"/>
              <w:rPr>
                <w:b/>
                <w:bCs/>
                <w:rtl/>
              </w:rPr>
            </w:pPr>
            <w:r w:rsidRPr="00043AC4">
              <w:rPr>
                <w:rFonts w:hint="eastAsia"/>
                <w:b/>
                <w:bCs/>
                <w:rtl/>
              </w:rPr>
              <w:t>התאמות</w:t>
            </w:r>
            <w:r w:rsidRPr="00043AC4">
              <w:rPr>
                <w:b/>
                <w:bCs/>
                <w:rtl/>
              </w:rPr>
              <w:t xml:space="preserve"> על בסיס מצטבר בגין </w:t>
            </w:r>
            <w:r w:rsidRPr="00043AC4">
              <w:rPr>
                <w:rFonts w:hint="eastAsia"/>
                <w:b/>
                <w:bCs/>
                <w:rtl/>
              </w:rPr>
              <w:t>גידורי</w:t>
            </w:r>
            <w:r w:rsidRPr="00043AC4">
              <w:rPr>
                <w:b/>
                <w:bCs/>
                <w:rtl/>
              </w:rPr>
              <w:t xml:space="preserve"> שווי הוגן:</w:t>
            </w:r>
          </w:p>
        </w:tc>
      </w:tr>
    </w:tbl>
    <w:p w14:paraId="02401F36" w14:textId="77777777" w:rsidR="009F2E53" w:rsidRPr="009F2E53" w:rsidRDefault="009F2E53" w:rsidP="009F2E53">
      <w:pPr>
        <w:rPr>
          <w:vanish/>
        </w:rPr>
      </w:pPr>
    </w:p>
    <w:tbl>
      <w:tblPr>
        <w:tblpPr w:leftFromText="180" w:rightFromText="180" w:vertAnchor="text" w:horzAnchor="margin" w:tblpY="168"/>
        <w:bidiVisual/>
        <w:tblW w:w="5060" w:type="pct"/>
        <w:jc w:val="right"/>
        <w:tblLook w:val="01E0" w:firstRow="1" w:lastRow="1" w:firstColumn="1" w:lastColumn="1" w:noHBand="0" w:noVBand="0"/>
      </w:tblPr>
      <w:tblGrid>
        <w:gridCol w:w="1132"/>
        <w:gridCol w:w="426"/>
        <w:gridCol w:w="2535"/>
        <w:gridCol w:w="2268"/>
        <w:gridCol w:w="1983"/>
        <w:gridCol w:w="1985"/>
      </w:tblGrid>
      <w:tr w:rsidR="00CD1BE1" w:rsidRPr="00CA2198" w14:paraId="0786FF2D" w14:textId="77777777" w:rsidTr="00CD1BE1">
        <w:trPr>
          <w:jc w:val="right"/>
        </w:trPr>
        <w:tc>
          <w:tcPr>
            <w:tcW w:w="548" w:type="pct"/>
          </w:tcPr>
          <w:p w14:paraId="70FA0C24" w14:textId="77777777" w:rsidR="005346DB" w:rsidRPr="00F06CC3" w:rsidRDefault="005346DB" w:rsidP="00534171">
            <w:pPr>
              <w:rPr>
                <w:sz w:val="14"/>
                <w:szCs w:val="14"/>
                <w:rtl/>
              </w:rPr>
            </w:pPr>
          </w:p>
        </w:tc>
        <w:tc>
          <w:tcPr>
            <w:tcW w:w="206" w:type="pct"/>
            <w:vAlign w:val="bottom"/>
          </w:tcPr>
          <w:p w14:paraId="43B0C3C1" w14:textId="77777777" w:rsidR="005346DB" w:rsidRPr="00CA2198" w:rsidRDefault="005346DB" w:rsidP="00534171">
            <w:pPr>
              <w:rPr>
                <w:rtl/>
              </w:rPr>
            </w:pPr>
          </w:p>
        </w:tc>
        <w:tc>
          <w:tcPr>
            <w:tcW w:w="1227" w:type="pct"/>
            <w:vAlign w:val="bottom"/>
          </w:tcPr>
          <w:p w14:paraId="6F52ABA3" w14:textId="77777777" w:rsidR="005346DB" w:rsidRPr="00CA2198" w:rsidRDefault="005346DB" w:rsidP="00534171">
            <w:pPr>
              <w:jc w:val="center"/>
              <w:rPr>
                <w:rtl/>
              </w:rPr>
            </w:pPr>
          </w:p>
        </w:tc>
        <w:tc>
          <w:tcPr>
            <w:tcW w:w="3019" w:type="pct"/>
            <w:gridSpan w:val="3"/>
            <w:vAlign w:val="bottom"/>
          </w:tcPr>
          <w:p w14:paraId="518F74F7" w14:textId="279DC058" w:rsidR="005346DB" w:rsidRPr="000F2C86" w:rsidRDefault="005346DB" w:rsidP="00534171">
            <w:pPr>
              <w:pBdr>
                <w:bottom w:val="single" w:sz="4" w:space="1" w:color="auto"/>
              </w:pBdr>
              <w:jc w:val="center"/>
              <w:rPr>
                <w:b/>
                <w:bCs/>
                <w:sz w:val="18"/>
                <w:szCs w:val="18"/>
                <w:rtl/>
              </w:rPr>
            </w:pPr>
            <w:r w:rsidRPr="000F2C86">
              <w:rPr>
                <w:rFonts w:hint="cs"/>
                <w:b/>
                <w:bCs/>
                <w:sz w:val="18"/>
                <w:szCs w:val="18"/>
                <w:rtl/>
              </w:rPr>
              <w:t xml:space="preserve">ליום 30 ביוני </w:t>
            </w:r>
            <w:r w:rsidR="00736169" w:rsidRPr="000F2C86">
              <w:rPr>
                <w:b/>
                <w:bCs/>
                <w:sz w:val="18"/>
                <w:szCs w:val="18"/>
                <w:rtl/>
              </w:rPr>
              <w:fldChar w:fldCharType="begin"/>
            </w:r>
            <w:r w:rsidR="00736169" w:rsidRPr="000F2C86">
              <w:rPr>
                <w:b/>
                <w:bCs/>
                <w:sz w:val="18"/>
                <w:szCs w:val="18"/>
                <w:rtl/>
              </w:rPr>
              <w:instrText xml:space="preserve"> </w:instrText>
            </w:r>
            <w:r w:rsidR="00736169" w:rsidRPr="000F2C86">
              <w:rPr>
                <w:rFonts w:hint="cs"/>
                <w:b/>
                <w:bCs/>
                <w:sz w:val="18"/>
                <w:szCs w:val="18"/>
                <w:rtl/>
              </w:rPr>
              <w:instrText xml:space="preserve">= </w:instrText>
            </w:r>
            <w:r w:rsidR="00736169" w:rsidRPr="000F2C86">
              <w:rPr>
                <w:rFonts w:hint="cs"/>
                <w:b/>
                <w:bCs/>
                <w:sz w:val="18"/>
                <w:szCs w:val="18"/>
              </w:rPr>
              <w:instrText>CY \* MERGEFORMAT</w:instrText>
            </w:r>
            <w:r w:rsidR="00736169" w:rsidRPr="000F2C86">
              <w:rPr>
                <w:b/>
                <w:bCs/>
                <w:sz w:val="18"/>
                <w:szCs w:val="18"/>
                <w:rtl/>
              </w:rPr>
              <w:instrText xml:space="preserve"> </w:instrText>
            </w:r>
            <w:r w:rsidR="00736169" w:rsidRPr="000F2C86">
              <w:rPr>
                <w:b/>
                <w:bCs/>
                <w:sz w:val="18"/>
                <w:szCs w:val="18"/>
                <w:rtl/>
              </w:rPr>
              <w:fldChar w:fldCharType="separate"/>
            </w:r>
            <w:r w:rsidR="003A584F">
              <w:rPr>
                <w:b/>
                <w:bCs/>
                <w:noProof/>
                <w:sz w:val="18"/>
                <w:szCs w:val="18"/>
                <w:rtl/>
              </w:rPr>
              <w:t>2024</w:t>
            </w:r>
            <w:r w:rsidR="00736169" w:rsidRPr="000F2C86">
              <w:rPr>
                <w:b/>
                <w:bCs/>
                <w:sz w:val="18"/>
                <w:szCs w:val="18"/>
                <w:rtl/>
              </w:rPr>
              <w:fldChar w:fldCharType="end"/>
            </w:r>
            <w:r w:rsidR="000F2C86">
              <w:rPr>
                <w:rFonts w:hint="cs"/>
                <w:b/>
                <w:bCs/>
                <w:sz w:val="18"/>
                <w:szCs w:val="18"/>
                <w:rtl/>
              </w:rPr>
              <w:t xml:space="preserve">  </w:t>
            </w:r>
            <w:r w:rsidR="000F2C86" w:rsidRPr="000F2C86">
              <w:rPr>
                <w:rFonts w:hint="cs"/>
                <w:sz w:val="18"/>
                <w:szCs w:val="18"/>
                <w:rtl/>
              </w:rPr>
              <w:t>(בלתי מבוקר)</w:t>
            </w:r>
          </w:p>
        </w:tc>
      </w:tr>
      <w:tr w:rsidR="00CD1BE1" w:rsidRPr="00CA2198" w14:paraId="63A11F1C" w14:textId="77777777" w:rsidTr="00CD1BE1">
        <w:trPr>
          <w:trHeight w:val="414"/>
          <w:jc w:val="right"/>
        </w:trPr>
        <w:tc>
          <w:tcPr>
            <w:tcW w:w="548" w:type="pct"/>
          </w:tcPr>
          <w:p w14:paraId="5F8ACAB6" w14:textId="4EFF08B0" w:rsidR="005346DB" w:rsidRPr="00B84FCC" w:rsidRDefault="005346DB" w:rsidP="00534171">
            <w:pPr>
              <w:bidi w:val="0"/>
              <w:jc w:val="right"/>
              <w:rPr>
                <w:sz w:val="14"/>
                <w:szCs w:val="14"/>
                <w:rtl/>
              </w:rPr>
            </w:pPr>
            <w:r w:rsidRPr="00B84FCC">
              <w:rPr>
                <w:sz w:val="14"/>
                <w:szCs w:val="14"/>
              </w:rPr>
              <w:t>ASC 815-10-50-4EE</w:t>
            </w:r>
          </w:p>
        </w:tc>
        <w:tc>
          <w:tcPr>
            <w:tcW w:w="206" w:type="pct"/>
            <w:vAlign w:val="bottom"/>
          </w:tcPr>
          <w:p w14:paraId="6A8F7E95" w14:textId="77777777" w:rsidR="005346DB" w:rsidRPr="00CA2198" w:rsidRDefault="005346DB" w:rsidP="00534171">
            <w:pPr>
              <w:jc w:val="left"/>
              <w:rPr>
                <w:rtl/>
              </w:rPr>
            </w:pPr>
          </w:p>
        </w:tc>
        <w:tc>
          <w:tcPr>
            <w:tcW w:w="1227" w:type="pct"/>
            <w:vMerge w:val="restart"/>
            <w:vAlign w:val="bottom"/>
          </w:tcPr>
          <w:p w14:paraId="73E1F5E7" w14:textId="77777777" w:rsidR="00B678F5" w:rsidRPr="00FC1B54" w:rsidRDefault="005346DB" w:rsidP="00CD1BE1">
            <w:pPr>
              <w:pBdr>
                <w:bottom w:val="single" w:sz="4" w:space="1" w:color="auto"/>
              </w:pBdr>
              <w:jc w:val="center"/>
              <w:rPr>
                <w:b/>
                <w:bCs/>
                <w:sz w:val="18"/>
                <w:szCs w:val="18"/>
                <w:rtl/>
              </w:rPr>
            </w:pPr>
            <w:r w:rsidRPr="00FC1B54">
              <w:rPr>
                <w:rFonts w:hint="cs"/>
                <w:b/>
                <w:bCs/>
                <w:sz w:val="18"/>
                <w:szCs w:val="18"/>
                <w:rtl/>
              </w:rPr>
              <w:t>הסעיף במאזן בו נכלל</w:t>
            </w:r>
          </w:p>
          <w:p w14:paraId="1DF80B7F" w14:textId="21B57B7A" w:rsidR="005346DB" w:rsidRPr="00FC1B54" w:rsidRDefault="005346DB" w:rsidP="00CD1BE1">
            <w:pPr>
              <w:pBdr>
                <w:bottom w:val="single" w:sz="4" w:space="1" w:color="auto"/>
              </w:pBdr>
              <w:jc w:val="center"/>
              <w:rPr>
                <w:b/>
                <w:bCs/>
                <w:sz w:val="18"/>
                <w:szCs w:val="18"/>
                <w:rtl/>
              </w:rPr>
            </w:pPr>
            <w:r w:rsidRPr="00FC1B54">
              <w:rPr>
                <w:rFonts w:hint="cs"/>
                <w:b/>
                <w:bCs/>
                <w:sz w:val="18"/>
                <w:szCs w:val="18"/>
                <w:rtl/>
              </w:rPr>
              <w:t>הפריט המגודר</w:t>
            </w:r>
            <w:r w:rsidR="00D8476D" w:rsidRPr="00FC1B54">
              <w:rPr>
                <w:sz w:val="18"/>
                <w:szCs w:val="18"/>
                <w:vertAlign w:val="superscript"/>
              </w:rPr>
              <w:t>[</w:t>
            </w:r>
            <w:r w:rsidR="00D8476D" w:rsidRPr="00FC1B54">
              <w:rPr>
                <w:sz w:val="18"/>
                <w:szCs w:val="18"/>
                <w:vertAlign w:val="superscript"/>
              </w:rPr>
              <w:footnoteReference w:id="86"/>
            </w:r>
            <w:r w:rsidR="00D8476D" w:rsidRPr="00FC1B54">
              <w:rPr>
                <w:sz w:val="18"/>
                <w:szCs w:val="18"/>
                <w:vertAlign w:val="superscript"/>
              </w:rPr>
              <w:t>]</w:t>
            </w:r>
          </w:p>
        </w:tc>
        <w:tc>
          <w:tcPr>
            <w:tcW w:w="1098" w:type="pct"/>
            <w:vMerge w:val="restart"/>
            <w:vAlign w:val="bottom"/>
          </w:tcPr>
          <w:p w14:paraId="4FDDDA28" w14:textId="77777777" w:rsidR="005346DB" w:rsidRPr="00FC1B54" w:rsidRDefault="005346DB" w:rsidP="00CD1BE1">
            <w:pPr>
              <w:pBdr>
                <w:bottom w:val="single" w:sz="4" w:space="1" w:color="auto"/>
              </w:pBdr>
              <w:jc w:val="center"/>
              <w:rPr>
                <w:b/>
                <w:bCs/>
                <w:sz w:val="18"/>
                <w:szCs w:val="18"/>
                <w:rtl/>
              </w:rPr>
            </w:pPr>
            <w:r w:rsidRPr="00FC1B54">
              <w:rPr>
                <w:rFonts w:hint="cs"/>
                <w:b/>
                <w:bCs/>
                <w:sz w:val="18"/>
                <w:szCs w:val="18"/>
                <w:rtl/>
              </w:rPr>
              <w:t>הערך בספרים של נכסים/התחייבויות מגודרים</w:t>
            </w:r>
          </w:p>
        </w:tc>
        <w:tc>
          <w:tcPr>
            <w:tcW w:w="1921" w:type="pct"/>
            <w:gridSpan w:val="2"/>
            <w:tcBorders>
              <w:bottom w:val="single" w:sz="4" w:space="0" w:color="auto"/>
            </w:tcBorders>
            <w:vAlign w:val="bottom"/>
          </w:tcPr>
          <w:p w14:paraId="0D071444" w14:textId="77777777" w:rsidR="005346DB" w:rsidRPr="00FC1B54" w:rsidRDefault="005346DB" w:rsidP="003C7C1A">
            <w:pPr>
              <w:jc w:val="center"/>
              <w:rPr>
                <w:b/>
                <w:bCs/>
                <w:sz w:val="18"/>
                <w:szCs w:val="18"/>
                <w:rtl/>
              </w:rPr>
            </w:pPr>
            <w:r w:rsidRPr="00FC1B54">
              <w:rPr>
                <w:rFonts w:hint="cs"/>
                <w:b/>
                <w:bCs/>
                <w:sz w:val="18"/>
                <w:szCs w:val="18"/>
                <w:rtl/>
              </w:rPr>
              <w:t>הסכום המצטבר של התאמות גידורי שווי הוגן הכלול בערך בספרים של הפריטים המגודרים</w:t>
            </w:r>
          </w:p>
        </w:tc>
      </w:tr>
      <w:tr w:rsidR="00CD1BE1" w:rsidRPr="00CA2198" w14:paraId="3C25EF7C" w14:textId="77777777" w:rsidTr="00CD1BE1">
        <w:trPr>
          <w:trHeight w:val="336"/>
          <w:jc w:val="right"/>
        </w:trPr>
        <w:tc>
          <w:tcPr>
            <w:tcW w:w="548" w:type="pct"/>
          </w:tcPr>
          <w:p w14:paraId="37336E08" w14:textId="77777777" w:rsidR="005346DB" w:rsidRPr="00B84FCC" w:rsidRDefault="005346DB" w:rsidP="00534171">
            <w:pPr>
              <w:bidi w:val="0"/>
              <w:jc w:val="right"/>
              <w:rPr>
                <w:sz w:val="14"/>
                <w:szCs w:val="14"/>
                <w:rtl/>
              </w:rPr>
            </w:pPr>
          </w:p>
        </w:tc>
        <w:tc>
          <w:tcPr>
            <w:tcW w:w="206" w:type="pct"/>
            <w:vAlign w:val="bottom"/>
          </w:tcPr>
          <w:p w14:paraId="4B110238" w14:textId="77777777" w:rsidR="005346DB" w:rsidRPr="00CA2198" w:rsidRDefault="005346DB" w:rsidP="00534171">
            <w:pPr>
              <w:jc w:val="left"/>
              <w:rPr>
                <w:rtl/>
              </w:rPr>
            </w:pPr>
          </w:p>
        </w:tc>
        <w:tc>
          <w:tcPr>
            <w:tcW w:w="1227" w:type="pct"/>
            <w:vMerge/>
            <w:tcBorders>
              <w:top w:val="single" w:sz="4" w:space="0" w:color="auto"/>
            </w:tcBorders>
            <w:vAlign w:val="bottom"/>
          </w:tcPr>
          <w:p w14:paraId="668F0BF6" w14:textId="77777777" w:rsidR="005346DB" w:rsidRPr="00FC1B54" w:rsidRDefault="005346DB" w:rsidP="00534171">
            <w:pPr>
              <w:jc w:val="center"/>
              <w:rPr>
                <w:sz w:val="18"/>
                <w:szCs w:val="18"/>
              </w:rPr>
            </w:pPr>
          </w:p>
        </w:tc>
        <w:tc>
          <w:tcPr>
            <w:tcW w:w="1098" w:type="pct"/>
            <w:vMerge/>
            <w:vAlign w:val="bottom"/>
          </w:tcPr>
          <w:p w14:paraId="18CAD29B" w14:textId="77777777" w:rsidR="005346DB" w:rsidRPr="00FC1B54" w:rsidRDefault="005346DB" w:rsidP="00534171">
            <w:pPr>
              <w:pBdr>
                <w:bottom w:val="single" w:sz="6" w:space="1" w:color="auto"/>
              </w:pBdr>
              <w:jc w:val="center"/>
              <w:rPr>
                <w:b/>
                <w:bCs/>
                <w:sz w:val="18"/>
                <w:szCs w:val="18"/>
                <w:rtl/>
              </w:rPr>
            </w:pPr>
          </w:p>
        </w:tc>
        <w:tc>
          <w:tcPr>
            <w:tcW w:w="960" w:type="pct"/>
            <w:vAlign w:val="bottom"/>
          </w:tcPr>
          <w:p w14:paraId="37FE4FE9" w14:textId="77777777" w:rsidR="005346DB" w:rsidRPr="00FC1B54" w:rsidRDefault="005346DB" w:rsidP="00534171">
            <w:pPr>
              <w:pBdr>
                <w:bottom w:val="single" w:sz="4" w:space="1" w:color="auto"/>
              </w:pBdr>
              <w:jc w:val="center"/>
              <w:rPr>
                <w:b/>
                <w:bCs/>
                <w:sz w:val="18"/>
                <w:szCs w:val="18"/>
                <w:rtl/>
              </w:rPr>
            </w:pPr>
            <w:r w:rsidRPr="00FC1B54">
              <w:rPr>
                <w:rFonts w:hint="cs"/>
                <w:b/>
                <w:bCs/>
                <w:sz w:val="18"/>
                <w:szCs w:val="18"/>
                <w:rtl/>
              </w:rPr>
              <w:t>יחסי גידור פעילים</w:t>
            </w:r>
          </w:p>
        </w:tc>
        <w:tc>
          <w:tcPr>
            <w:tcW w:w="960" w:type="pct"/>
            <w:vAlign w:val="bottom"/>
          </w:tcPr>
          <w:p w14:paraId="324C820D" w14:textId="77777777" w:rsidR="005346DB" w:rsidRPr="00FC1B54" w:rsidRDefault="005346DB" w:rsidP="00534171">
            <w:pPr>
              <w:pBdr>
                <w:bottom w:val="single" w:sz="6" w:space="1" w:color="auto"/>
              </w:pBdr>
              <w:jc w:val="center"/>
              <w:rPr>
                <w:b/>
                <w:bCs/>
                <w:sz w:val="18"/>
                <w:szCs w:val="18"/>
                <w:rtl/>
              </w:rPr>
            </w:pPr>
            <w:r w:rsidRPr="00FC1B54">
              <w:rPr>
                <w:rFonts w:hint="cs"/>
                <w:b/>
                <w:bCs/>
                <w:sz w:val="18"/>
                <w:szCs w:val="18"/>
                <w:rtl/>
              </w:rPr>
              <w:t>יחסי גידור שהופסקו</w:t>
            </w:r>
          </w:p>
        </w:tc>
      </w:tr>
      <w:tr w:rsidR="00CD1BE1" w:rsidRPr="00CA2198" w14:paraId="0E391AE8" w14:textId="77777777" w:rsidTr="00CD1BE1">
        <w:trPr>
          <w:trHeight w:val="20"/>
          <w:jc w:val="right"/>
        </w:trPr>
        <w:tc>
          <w:tcPr>
            <w:tcW w:w="548" w:type="pct"/>
            <w:vAlign w:val="center"/>
          </w:tcPr>
          <w:p w14:paraId="16613BD2" w14:textId="77777777" w:rsidR="005346DB" w:rsidRPr="005126BB" w:rsidRDefault="005346DB" w:rsidP="00534171">
            <w:pPr>
              <w:bidi w:val="0"/>
              <w:spacing w:before="60" w:after="60"/>
              <w:jc w:val="left"/>
              <w:rPr>
                <w:sz w:val="14"/>
                <w:szCs w:val="14"/>
                <w:rtl/>
              </w:rPr>
            </w:pPr>
          </w:p>
        </w:tc>
        <w:tc>
          <w:tcPr>
            <w:tcW w:w="206" w:type="pct"/>
            <w:vAlign w:val="center"/>
          </w:tcPr>
          <w:p w14:paraId="2B409D9D" w14:textId="77777777" w:rsidR="005346DB" w:rsidRPr="00CA2198" w:rsidRDefault="005346DB" w:rsidP="00534171">
            <w:pPr>
              <w:spacing w:before="60"/>
              <w:jc w:val="left"/>
              <w:rPr>
                <w:rtl/>
              </w:rPr>
            </w:pPr>
          </w:p>
        </w:tc>
        <w:tc>
          <w:tcPr>
            <w:tcW w:w="1227" w:type="pct"/>
            <w:vAlign w:val="center"/>
          </w:tcPr>
          <w:p w14:paraId="68EB5DF5" w14:textId="77777777" w:rsidR="005346DB" w:rsidRPr="00FC1B54" w:rsidRDefault="005346DB" w:rsidP="00534171">
            <w:pPr>
              <w:spacing w:before="60"/>
              <w:rPr>
                <w:color w:val="000000"/>
                <w:sz w:val="18"/>
                <w:szCs w:val="18"/>
                <w:rtl/>
                <w:lang w:eastAsia="he-IL"/>
              </w:rPr>
            </w:pPr>
            <w:r w:rsidRPr="00FC1B54">
              <w:rPr>
                <w:rFonts w:hint="cs"/>
                <w:color w:val="000000"/>
                <w:sz w:val="18"/>
                <w:szCs w:val="18"/>
                <w:rtl/>
                <w:lang w:eastAsia="he-IL"/>
              </w:rPr>
              <w:t>השקעה באג"ח זמינות למכירה</w:t>
            </w:r>
            <w:r w:rsidR="00D8476D" w:rsidRPr="00FC1B54">
              <w:rPr>
                <w:rFonts w:hint="cs"/>
                <w:color w:val="000000"/>
                <w:sz w:val="18"/>
                <w:szCs w:val="18"/>
                <w:vertAlign w:val="superscript"/>
                <w:rtl/>
                <w:lang w:eastAsia="he-IL"/>
              </w:rPr>
              <w:t>[</w:t>
            </w:r>
            <w:r w:rsidR="00D8476D" w:rsidRPr="00FC1B54">
              <w:rPr>
                <w:rStyle w:val="a7"/>
                <w:sz w:val="18"/>
                <w:szCs w:val="18"/>
                <w:rtl/>
                <w:lang w:eastAsia="he-IL"/>
              </w:rPr>
              <w:footnoteReference w:id="87"/>
            </w:r>
            <w:r w:rsidR="00D8476D" w:rsidRPr="00FC1B54">
              <w:rPr>
                <w:rFonts w:hint="cs"/>
                <w:color w:val="000000"/>
                <w:sz w:val="18"/>
                <w:szCs w:val="18"/>
                <w:vertAlign w:val="superscript"/>
                <w:rtl/>
                <w:lang w:eastAsia="he-IL"/>
              </w:rPr>
              <w:t>]</w:t>
            </w:r>
          </w:p>
        </w:tc>
        <w:tc>
          <w:tcPr>
            <w:tcW w:w="1098" w:type="pct"/>
            <w:vAlign w:val="center"/>
          </w:tcPr>
          <w:p w14:paraId="28807C9D" w14:textId="77777777" w:rsidR="005346DB" w:rsidRPr="00CA2198" w:rsidRDefault="005346DB" w:rsidP="00534171">
            <w:pPr>
              <w:spacing w:before="60"/>
              <w:rPr>
                <w:rtl/>
              </w:rPr>
            </w:pPr>
            <w:r w:rsidRPr="00CA2198">
              <w:rPr>
                <w:rFonts w:hint="cs"/>
                <w:rtl/>
              </w:rPr>
              <w:t>0</w:t>
            </w:r>
          </w:p>
        </w:tc>
        <w:tc>
          <w:tcPr>
            <w:tcW w:w="960" w:type="pct"/>
            <w:vAlign w:val="center"/>
          </w:tcPr>
          <w:p w14:paraId="64394922" w14:textId="77777777" w:rsidR="005346DB" w:rsidRPr="00CA2198" w:rsidRDefault="005346DB" w:rsidP="00534171">
            <w:pPr>
              <w:spacing w:before="60"/>
              <w:rPr>
                <w:rtl/>
              </w:rPr>
            </w:pPr>
            <w:r w:rsidRPr="00CA2198">
              <w:rPr>
                <w:rFonts w:hint="cs"/>
                <w:rtl/>
              </w:rPr>
              <w:t>0</w:t>
            </w:r>
          </w:p>
        </w:tc>
        <w:tc>
          <w:tcPr>
            <w:tcW w:w="960" w:type="pct"/>
            <w:vAlign w:val="center"/>
          </w:tcPr>
          <w:p w14:paraId="04B77CBD" w14:textId="77777777" w:rsidR="005346DB" w:rsidRPr="00CA2198" w:rsidRDefault="005346DB" w:rsidP="00534171">
            <w:pPr>
              <w:spacing w:before="60"/>
              <w:rPr>
                <w:rtl/>
              </w:rPr>
            </w:pPr>
            <w:r w:rsidRPr="00CA2198">
              <w:rPr>
                <w:rFonts w:hint="cs"/>
                <w:rtl/>
              </w:rPr>
              <w:t>0</w:t>
            </w:r>
          </w:p>
        </w:tc>
      </w:tr>
      <w:tr w:rsidR="00CD1BE1" w:rsidRPr="00CA2198" w14:paraId="1BE17F48" w14:textId="77777777" w:rsidTr="00CD1BE1">
        <w:trPr>
          <w:trHeight w:val="20"/>
          <w:jc w:val="right"/>
        </w:trPr>
        <w:tc>
          <w:tcPr>
            <w:tcW w:w="548" w:type="pct"/>
            <w:vAlign w:val="center"/>
          </w:tcPr>
          <w:p w14:paraId="3FC9EB42" w14:textId="77777777" w:rsidR="005346DB" w:rsidRPr="005126BB" w:rsidRDefault="005346DB" w:rsidP="00534171">
            <w:pPr>
              <w:spacing w:before="60" w:after="60"/>
              <w:rPr>
                <w:sz w:val="14"/>
                <w:szCs w:val="14"/>
                <w:rtl/>
              </w:rPr>
            </w:pPr>
          </w:p>
        </w:tc>
        <w:tc>
          <w:tcPr>
            <w:tcW w:w="206" w:type="pct"/>
            <w:vAlign w:val="center"/>
          </w:tcPr>
          <w:p w14:paraId="40530690" w14:textId="77777777" w:rsidR="005346DB" w:rsidRPr="00CA2198" w:rsidRDefault="005346DB" w:rsidP="00534171">
            <w:pPr>
              <w:spacing w:before="60"/>
              <w:jc w:val="left"/>
              <w:rPr>
                <w:rtl/>
              </w:rPr>
            </w:pPr>
          </w:p>
        </w:tc>
        <w:tc>
          <w:tcPr>
            <w:tcW w:w="1227" w:type="pct"/>
            <w:vAlign w:val="center"/>
          </w:tcPr>
          <w:p w14:paraId="4C2F9602" w14:textId="77777777" w:rsidR="005346DB" w:rsidRPr="00FC1B54" w:rsidRDefault="005346DB" w:rsidP="00534171">
            <w:pPr>
              <w:spacing w:before="60"/>
              <w:rPr>
                <w:color w:val="000000"/>
                <w:sz w:val="18"/>
                <w:szCs w:val="18"/>
                <w:rtl/>
                <w:lang w:eastAsia="he-IL"/>
              </w:rPr>
            </w:pPr>
            <w:r w:rsidRPr="00FC1B54">
              <w:rPr>
                <w:rFonts w:hint="cs"/>
                <w:color w:val="000000"/>
                <w:sz w:val="18"/>
                <w:szCs w:val="18"/>
                <w:rtl/>
                <w:lang w:eastAsia="he-IL"/>
              </w:rPr>
              <w:t>התחייבויות לזמן ארוך</w:t>
            </w:r>
          </w:p>
        </w:tc>
        <w:tc>
          <w:tcPr>
            <w:tcW w:w="1098" w:type="pct"/>
            <w:vAlign w:val="center"/>
          </w:tcPr>
          <w:p w14:paraId="589AA071" w14:textId="77777777" w:rsidR="005346DB" w:rsidRPr="00CA2198" w:rsidRDefault="005346DB" w:rsidP="00534171">
            <w:pPr>
              <w:spacing w:before="60"/>
              <w:rPr>
                <w:rtl/>
              </w:rPr>
            </w:pPr>
            <w:r w:rsidRPr="00CA2198">
              <w:rPr>
                <w:rFonts w:hint="cs"/>
                <w:rtl/>
              </w:rPr>
              <w:t>0</w:t>
            </w:r>
          </w:p>
        </w:tc>
        <w:tc>
          <w:tcPr>
            <w:tcW w:w="960" w:type="pct"/>
            <w:vAlign w:val="center"/>
          </w:tcPr>
          <w:p w14:paraId="3F0A0776" w14:textId="77777777" w:rsidR="005346DB" w:rsidRPr="00CA2198" w:rsidRDefault="005346DB" w:rsidP="00534171">
            <w:pPr>
              <w:spacing w:before="60"/>
              <w:rPr>
                <w:rtl/>
              </w:rPr>
            </w:pPr>
            <w:r w:rsidRPr="00CA2198">
              <w:rPr>
                <w:rFonts w:hint="cs"/>
                <w:rtl/>
              </w:rPr>
              <w:t>0</w:t>
            </w:r>
          </w:p>
        </w:tc>
        <w:tc>
          <w:tcPr>
            <w:tcW w:w="960" w:type="pct"/>
            <w:vAlign w:val="center"/>
          </w:tcPr>
          <w:p w14:paraId="7ECD0FBB" w14:textId="77777777" w:rsidR="005346DB" w:rsidRPr="00CA2198" w:rsidRDefault="005346DB" w:rsidP="00534171">
            <w:pPr>
              <w:spacing w:before="60"/>
              <w:rPr>
                <w:rtl/>
              </w:rPr>
            </w:pPr>
            <w:r w:rsidRPr="00CA2198">
              <w:rPr>
                <w:rFonts w:hint="cs"/>
                <w:rtl/>
              </w:rPr>
              <w:t>0</w:t>
            </w:r>
          </w:p>
        </w:tc>
      </w:tr>
      <w:tr w:rsidR="00CD1BE1" w:rsidRPr="00CA2198" w14:paraId="6C22DA56" w14:textId="77777777" w:rsidTr="00CD1BE1">
        <w:trPr>
          <w:trHeight w:val="20"/>
          <w:jc w:val="right"/>
        </w:trPr>
        <w:tc>
          <w:tcPr>
            <w:tcW w:w="548" w:type="pct"/>
            <w:vAlign w:val="center"/>
          </w:tcPr>
          <w:p w14:paraId="34DCBADC" w14:textId="77777777" w:rsidR="005346DB" w:rsidRPr="005126BB" w:rsidRDefault="005346DB" w:rsidP="00534171">
            <w:pPr>
              <w:spacing w:before="60" w:after="60"/>
              <w:rPr>
                <w:sz w:val="14"/>
                <w:szCs w:val="14"/>
                <w:rtl/>
              </w:rPr>
            </w:pPr>
          </w:p>
        </w:tc>
        <w:tc>
          <w:tcPr>
            <w:tcW w:w="206" w:type="pct"/>
            <w:vAlign w:val="center"/>
          </w:tcPr>
          <w:p w14:paraId="12F94B43" w14:textId="77777777" w:rsidR="005346DB" w:rsidRPr="00CA2198" w:rsidRDefault="005346DB" w:rsidP="00534171">
            <w:pPr>
              <w:spacing w:before="60"/>
              <w:jc w:val="left"/>
              <w:rPr>
                <w:rtl/>
              </w:rPr>
            </w:pPr>
          </w:p>
        </w:tc>
        <w:tc>
          <w:tcPr>
            <w:tcW w:w="1227" w:type="pct"/>
            <w:vAlign w:val="center"/>
          </w:tcPr>
          <w:p w14:paraId="00C90BCE" w14:textId="77777777" w:rsidR="005346DB" w:rsidRPr="00FC1B54" w:rsidRDefault="005346DB" w:rsidP="00534171">
            <w:pPr>
              <w:spacing w:before="60"/>
              <w:rPr>
                <w:color w:val="000000"/>
                <w:sz w:val="18"/>
                <w:szCs w:val="18"/>
                <w:rtl/>
                <w:lang w:eastAsia="he-IL"/>
              </w:rPr>
            </w:pPr>
            <w:r w:rsidRPr="00FC1B54">
              <w:rPr>
                <w:rFonts w:hint="cs"/>
                <w:color w:val="000000"/>
                <w:sz w:val="18"/>
                <w:szCs w:val="18"/>
                <w:rtl/>
                <w:lang w:eastAsia="he-IL"/>
              </w:rPr>
              <w:t>...................</w:t>
            </w:r>
          </w:p>
        </w:tc>
        <w:tc>
          <w:tcPr>
            <w:tcW w:w="1098" w:type="pct"/>
            <w:vAlign w:val="center"/>
          </w:tcPr>
          <w:p w14:paraId="3BD695BC" w14:textId="77777777" w:rsidR="005346DB" w:rsidRPr="00CA2198" w:rsidRDefault="005346DB" w:rsidP="00534171">
            <w:pPr>
              <w:spacing w:before="60"/>
              <w:rPr>
                <w:rtl/>
              </w:rPr>
            </w:pPr>
            <w:r w:rsidRPr="00CA2198">
              <w:rPr>
                <w:rFonts w:hint="cs"/>
                <w:rtl/>
              </w:rPr>
              <w:t>0</w:t>
            </w:r>
          </w:p>
        </w:tc>
        <w:tc>
          <w:tcPr>
            <w:tcW w:w="960" w:type="pct"/>
            <w:vAlign w:val="center"/>
          </w:tcPr>
          <w:p w14:paraId="323B141B" w14:textId="77777777" w:rsidR="005346DB" w:rsidRPr="00CA2198" w:rsidRDefault="005346DB" w:rsidP="00534171">
            <w:pPr>
              <w:spacing w:before="60"/>
              <w:rPr>
                <w:rtl/>
              </w:rPr>
            </w:pPr>
            <w:r w:rsidRPr="00CA2198">
              <w:rPr>
                <w:rFonts w:hint="cs"/>
                <w:rtl/>
              </w:rPr>
              <w:t>0</w:t>
            </w:r>
          </w:p>
        </w:tc>
        <w:tc>
          <w:tcPr>
            <w:tcW w:w="960" w:type="pct"/>
            <w:vAlign w:val="center"/>
          </w:tcPr>
          <w:p w14:paraId="1F7F27B4" w14:textId="77777777" w:rsidR="005346DB" w:rsidRPr="00CA2198" w:rsidRDefault="005346DB" w:rsidP="00534171">
            <w:pPr>
              <w:spacing w:before="60"/>
              <w:rPr>
                <w:rtl/>
              </w:rPr>
            </w:pPr>
            <w:r w:rsidRPr="00CA2198">
              <w:rPr>
                <w:rFonts w:hint="cs"/>
                <w:rtl/>
              </w:rPr>
              <w:t>0</w:t>
            </w:r>
          </w:p>
        </w:tc>
      </w:tr>
    </w:tbl>
    <w:p w14:paraId="101F0D0E" w14:textId="77777777" w:rsidR="005346DB" w:rsidRDefault="005346DB" w:rsidP="0001523C">
      <w:pPr>
        <w:spacing w:line="180" w:lineRule="exact"/>
        <w:rPr>
          <w:rtl/>
        </w:rPr>
      </w:pPr>
    </w:p>
    <w:tbl>
      <w:tblPr>
        <w:tblpPr w:leftFromText="180" w:rightFromText="180" w:vertAnchor="text" w:horzAnchor="margin" w:tblpY="168"/>
        <w:bidiVisual/>
        <w:tblW w:w="5060" w:type="pct"/>
        <w:jc w:val="right"/>
        <w:tblLook w:val="01E0" w:firstRow="1" w:lastRow="1" w:firstColumn="1" w:lastColumn="1" w:noHBand="0" w:noVBand="0"/>
      </w:tblPr>
      <w:tblGrid>
        <w:gridCol w:w="1132"/>
        <w:gridCol w:w="426"/>
        <w:gridCol w:w="2535"/>
        <w:gridCol w:w="2268"/>
        <w:gridCol w:w="1983"/>
        <w:gridCol w:w="1985"/>
      </w:tblGrid>
      <w:tr w:rsidR="00CD1BE1" w:rsidRPr="00CA2198" w14:paraId="18826FBE" w14:textId="77777777" w:rsidTr="008B6406">
        <w:trPr>
          <w:jc w:val="right"/>
        </w:trPr>
        <w:tc>
          <w:tcPr>
            <w:tcW w:w="548" w:type="pct"/>
          </w:tcPr>
          <w:p w14:paraId="4E3B11E5" w14:textId="77777777" w:rsidR="00CD1BE1" w:rsidRPr="00F06CC3" w:rsidRDefault="00CD1BE1" w:rsidP="008B6406">
            <w:pPr>
              <w:rPr>
                <w:sz w:val="14"/>
                <w:szCs w:val="14"/>
                <w:rtl/>
              </w:rPr>
            </w:pPr>
          </w:p>
        </w:tc>
        <w:tc>
          <w:tcPr>
            <w:tcW w:w="206" w:type="pct"/>
            <w:vAlign w:val="bottom"/>
          </w:tcPr>
          <w:p w14:paraId="4B2A625F" w14:textId="77777777" w:rsidR="00CD1BE1" w:rsidRPr="00CA2198" w:rsidRDefault="00CD1BE1" w:rsidP="008B6406">
            <w:pPr>
              <w:rPr>
                <w:rtl/>
              </w:rPr>
            </w:pPr>
          </w:p>
        </w:tc>
        <w:tc>
          <w:tcPr>
            <w:tcW w:w="1227" w:type="pct"/>
            <w:vAlign w:val="bottom"/>
          </w:tcPr>
          <w:p w14:paraId="340CAABB" w14:textId="77777777" w:rsidR="00CD1BE1" w:rsidRPr="00CA2198" w:rsidRDefault="00CD1BE1" w:rsidP="008B6406">
            <w:pPr>
              <w:jc w:val="center"/>
              <w:rPr>
                <w:rtl/>
              </w:rPr>
            </w:pPr>
          </w:p>
        </w:tc>
        <w:tc>
          <w:tcPr>
            <w:tcW w:w="3019" w:type="pct"/>
            <w:gridSpan w:val="3"/>
            <w:vAlign w:val="bottom"/>
          </w:tcPr>
          <w:p w14:paraId="64FEA811" w14:textId="54D521B9" w:rsidR="00CD1BE1" w:rsidRPr="000F2C86" w:rsidRDefault="00CD1BE1" w:rsidP="008B6406">
            <w:pPr>
              <w:pBdr>
                <w:bottom w:val="single" w:sz="4" w:space="1" w:color="auto"/>
              </w:pBdr>
              <w:jc w:val="center"/>
              <w:rPr>
                <w:b/>
                <w:bCs/>
                <w:sz w:val="18"/>
                <w:szCs w:val="18"/>
                <w:rtl/>
              </w:rPr>
            </w:pPr>
            <w:r w:rsidRPr="000F2C86">
              <w:rPr>
                <w:rFonts w:hint="cs"/>
                <w:b/>
                <w:bCs/>
                <w:sz w:val="18"/>
                <w:szCs w:val="18"/>
                <w:rtl/>
              </w:rPr>
              <w:t xml:space="preserve">ליום 30 ביוני </w:t>
            </w:r>
            <w:r w:rsidRPr="000F2C86">
              <w:rPr>
                <w:b/>
                <w:bCs/>
                <w:sz w:val="18"/>
                <w:szCs w:val="18"/>
                <w:rtl/>
              </w:rPr>
              <w:fldChar w:fldCharType="begin"/>
            </w:r>
            <w:r w:rsidRPr="000F2C86">
              <w:rPr>
                <w:b/>
                <w:bCs/>
                <w:sz w:val="18"/>
                <w:szCs w:val="18"/>
                <w:rtl/>
              </w:rPr>
              <w:instrText xml:space="preserve"> </w:instrText>
            </w:r>
            <w:r w:rsidRPr="000F2C86">
              <w:rPr>
                <w:rFonts w:hint="cs"/>
                <w:b/>
                <w:bCs/>
                <w:sz w:val="18"/>
                <w:szCs w:val="18"/>
                <w:rtl/>
              </w:rPr>
              <w:instrText xml:space="preserve">= </w:instrText>
            </w:r>
            <w:r w:rsidRPr="000F2C86">
              <w:rPr>
                <w:rFonts w:hint="cs"/>
                <w:b/>
                <w:bCs/>
                <w:sz w:val="18"/>
                <w:szCs w:val="18"/>
              </w:rPr>
              <w:instrText>CY</w:instrText>
            </w:r>
            <w:r>
              <w:rPr>
                <w:b/>
                <w:bCs/>
                <w:sz w:val="18"/>
                <w:szCs w:val="18"/>
              </w:rPr>
              <w:instrText>-1</w:instrText>
            </w:r>
            <w:r w:rsidRPr="000F2C86">
              <w:rPr>
                <w:rFonts w:hint="cs"/>
                <w:b/>
                <w:bCs/>
                <w:sz w:val="18"/>
                <w:szCs w:val="18"/>
              </w:rPr>
              <w:instrText xml:space="preserve"> \* MERGEFORMAT</w:instrText>
            </w:r>
            <w:r w:rsidRPr="000F2C86">
              <w:rPr>
                <w:b/>
                <w:bCs/>
                <w:sz w:val="18"/>
                <w:szCs w:val="18"/>
                <w:rtl/>
              </w:rPr>
              <w:instrText xml:space="preserve"> </w:instrText>
            </w:r>
            <w:r w:rsidRPr="000F2C86">
              <w:rPr>
                <w:b/>
                <w:bCs/>
                <w:sz w:val="18"/>
                <w:szCs w:val="18"/>
                <w:rtl/>
              </w:rPr>
              <w:fldChar w:fldCharType="separate"/>
            </w:r>
            <w:r>
              <w:rPr>
                <w:b/>
                <w:bCs/>
                <w:noProof/>
                <w:sz w:val="18"/>
                <w:szCs w:val="18"/>
                <w:rtl/>
              </w:rPr>
              <w:t>2023</w:t>
            </w:r>
            <w:r w:rsidRPr="000F2C86">
              <w:rPr>
                <w:b/>
                <w:bCs/>
                <w:sz w:val="18"/>
                <w:szCs w:val="18"/>
                <w:rtl/>
              </w:rPr>
              <w:fldChar w:fldCharType="end"/>
            </w:r>
            <w:r>
              <w:rPr>
                <w:rFonts w:hint="cs"/>
                <w:b/>
                <w:bCs/>
                <w:sz w:val="18"/>
                <w:szCs w:val="18"/>
                <w:rtl/>
              </w:rPr>
              <w:t xml:space="preserve">  </w:t>
            </w:r>
            <w:r w:rsidRPr="000F2C86">
              <w:rPr>
                <w:rFonts w:hint="cs"/>
                <w:sz w:val="18"/>
                <w:szCs w:val="18"/>
                <w:rtl/>
              </w:rPr>
              <w:t>(בלתי מבוקר)</w:t>
            </w:r>
          </w:p>
        </w:tc>
      </w:tr>
      <w:tr w:rsidR="00CD1BE1" w:rsidRPr="00CA2198" w14:paraId="044B492C" w14:textId="77777777" w:rsidTr="008B6406">
        <w:trPr>
          <w:trHeight w:val="414"/>
          <w:jc w:val="right"/>
        </w:trPr>
        <w:tc>
          <w:tcPr>
            <w:tcW w:w="548" w:type="pct"/>
          </w:tcPr>
          <w:p w14:paraId="5F057E26" w14:textId="061C6C76" w:rsidR="00CD1BE1" w:rsidRPr="00B84FCC" w:rsidRDefault="00CD1BE1" w:rsidP="008B6406">
            <w:pPr>
              <w:bidi w:val="0"/>
              <w:jc w:val="right"/>
              <w:rPr>
                <w:sz w:val="14"/>
                <w:szCs w:val="14"/>
                <w:rtl/>
              </w:rPr>
            </w:pPr>
          </w:p>
        </w:tc>
        <w:tc>
          <w:tcPr>
            <w:tcW w:w="206" w:type="pct"/>
            <w:vAlign w:val="bottom"/>
          </w:tcPr>
          <w:p w14:paraId="70C5657F" w14:textId="77777777" w:rsidR="00CD1BE1" w:rsidRPr="00CA2198" w:rsidRDefault="00CD1BE1" w:rsidP="008B6406">
            <w:pPr>
              <w:jc w:val="left"/>
              <w:rPr>
                <w:rtl/>
              </w:rPr>
            </w:pPr>
          </w:p>
        </w:tc>
        <w:tc>
          <w:tcPr>
            <w:tcW w:w="1227" w:type="pct"/>
            <w:vMerge w:val="restart"/>
            <w:vAlign w:val="bottom"/>
          </w:tcPr>
          <w:p w14:paraId="5FD3B657" w14:textId="77777777" w:rsidR="00CD1BE1" w:rsidRPr="00FC1B54" w:rsidRDefault="00CD1BE1" w:rsidP="008B6406">
            <w:pPr>
              <w:pBdr>
                <w:bottom w:val="single" w:sz="4" w:space="1" w:color="auto"/>
              </w:pBdr>
              <w:jc w:val="center"/>
              <w:rPr>
                <w:b/>
                <w:bCs/>
                <w:sz w:val="18"/>
                <w:szCs w:val="18"/>
                <w:rtl/>
              </w:rPr>
            </w:pPr>
            <w:r w:rsidRPr="00FC1B54">
              <w:rPr>
                <w:rFonts w:hint="cs"/>
                <w:b/>
                <w:bCs/>
                <w:sz w:val="18"/>
                <w:szCs w:val="18"/>
                <w:rtl/>
              </w:rPr>
              <w:t>הסעיף במאזן בו נכלל</w:t>
            </w:r>
          </w:p>
          <w:p w14:paraId="58071586" w14:textId="77777777" w:rsidR="00CD1BE1" w:rsidRPr="00FC1B54" w:rsidRDefault="00CD1BE1" w:rsidP="008B6406">
            <w:pPr>
              <w:pBdr>
                <w:bottom w:val="single" w:sz="4" w:space="1" w:color="auto"/>
              </w:pBdr>
              <w:jc w:val="center"/>
              <w:rPr>
                <w:b/>
                <w:bCs/>
                <w:sz w:val="18"/>
                <w:szCs w:val="18"/>
                <w:rtl/>
              </w:rPr>
            </w:pPr>
            <w:r w:rsidRPr="00FC1B54">
              <w:rPr>
                <w:rFonts w:hint="cs"/>
                <w:b/>
                <w:bCs/>
                <w:sz w:val="18"/>
                <w:szCs w:val="18"/>
                <w:rtl/>
              </w:rPr>
              <w:t>הפריט המגודר</w:t>
            </w:r>
            <w:r w:rsidRPr="00FC1B54">
              <w:rPr>
                <w:sz w:val="18"/>
                <w:szCs w:val="18"/>
                <w:vertAlign w:val="superscript"/>
              </w:rPr>
              <w:t>[</w:t>
            </w:r>
            <w:r w:rsidRPr="00FC1B54">
              <w:rPr>
                <w:sz w:val="18"/>
                <w:szCs w:val="18"/>
                <w:vertAlign w:val="superscript"/>
              </w:rPr>
              <w:footnoteReference w:id="88"/>
            </w:r>
            <w:r w:rsidRPr="00FC1B54">
              <w:rPr>
                <w:sz w:val="18"/>
                <w:szCs w:val="18"/>
                <w:vertAlign w:val="superscript"/>
              </w:rPr>
              <w:t>]</w:t>
            </w:r>
          </w:p>
        </w:tc>
        <w:tc>
          <w:tcPr>
            <w:tcW w:w="1098" w:type="pct"/>
            <w:vMerge w:val="restart"/>
            <w:vAlign w:val="bottom"/>
          </w:tcPr>
          <w:p w14:paraId="22D1A16E" w14:textId="77777777" w:rsidR="00CD1BE1" w:rsidRPr="00FC1B54" w:rsidRDefault="00CD1BE1" w:rsidP="008B6406">
            <w:pPr>
              <w:pBdr>
                <w:bottom w:val="single" w:sz="4" w:space="1" w:color="auto"/>
              </w:pBdr>
              <w:jc w:val="center"/>
              <w:rPr>
                <w:b/>
                <w:bCs/>
                <w:sz w:val="18"/>
                <w:szCs w:val="18"/>
                <w:rtl/>
              </w:rPr>
            </w:pPr>
            <w:r w:rsidRPr="00FC1B54">
              <w:rPr>
                <w:rFonts w:hint="cs"/>
                <w:b/>
                <w:bCs/>
                <w:sz w:val="18"/>
                <w:szCs w:val="18"/>
                <w:rtl/>
              </w:rPr>
              <w:t>הערך בספרים של נכסים/התחייבויות מגודרים</w:t>
            </w:r>
          </w:p>
        </w:tc>
        <w:tc>
          <w:tcPr>
            <w:tcW w:w="1921" w:type="pct"/>
            <w:gridSpan w:val="2"/>
            <w:tcBorders>
              <w:bottom w:val="single" w:sz="4" w:space="0" w:color="auto"/>
            </w:tcBorders>
            <w:vAlign w:val="bottom"/>
          </w:tcPr>
          <w:p w14:paraId="5F2AB414" w14:textId="77777777" w:rsidR="00CD1BE1" w:rsidRPr="00FC1B54" w:rsidRDefault="00CD1BE1" w:rsidP="008B6406">
            <w:pPr>
              <w:jc w:val="center"/>
              <w:rPr>
                <w:b/>
                <w:bCs/>
                <w:sz w:val="18"/>
                <w:szCs w:val="18"/>
                <w:rtl/>
              </w:rPr>
            </w:pPr>
            <w:r w:rsidRPr="00FC1B54">
              <w:rPr>
                <w:rFonts w:hint="cs"/>
                <w:b/>
                <w:bCs/>
                <w:sz w:val="18"/>
                <w:szCs w:val="18"/>
                <w:rtl/>
              </w:rPr>
              <w:t>הסכום המצטבר של התאמות גידורי שווי הוגן הכלול בערך בספרים של הפריטים המגודרים</w:t>
            </w:r>
          </w:p>
        </w:tc>
      </w:tr>
      <w:tr w:rsidR="00CD1BE1" w:rsidRPr="00CA2198" w14:paraId="0153463F" w14:textId="77777777" w:rsidTr="008B6406">
        <w:trPr>
          <w:trHeight w:val="336"/>
          <w:jc w:val="right"/>
        </w:trPr>
        <w:tc>
          <w:tcPr>
            <w:tcW w:w="548" w:type="pct"/>
          </w:tcPr>
          <w:p w14:paraId="5742D1A8" w14:textId="77777777" w:rsidR="00CD1BE1" w:rsidRPr="00B84FCC" w:rsidRDefault="00CD1BE1" w:rsidP="008B6406">
            <w:pPr>
              <w:bidi w:val="0"/>
              <w:jc w:val="right"/>
              <w:rPr>
                <w:sz w:val="14"/>
                <w:szCs w:val="14"/>
                <w:rtl/>
              </w:rPr>
            </w:pPr>
          </w:p>
        </w:tc>
        <w:tc>
          <w:tcPr>
            <w:tcW w:w="206" w:type="pct"/>
            <w:vAlign w:val="bottom"/>
          </w:tcPr>
          <w:p w14:paraId="39720E78" w14:textId="77777777" w:rsidR="00CD1BE1" w:rsidRPr="00CA2198" w:rsidRDefault="00CD1BE1" w:rsidP="008B6406">
            <w:pPr>
              <w:jc w:val="left"/>
              <w:rPr>
                <w:rtl/>
              </w:rPr>
            </w:pPr>
          </w:p>
        </w:tc>
        <w:tc>
          <w:tcPr>
            <w:tcW w:w="1227" w:type="pct"/>
            <w:vMerge/>
            <w:tcBorders>
              <w:top w:val="single" w:sz="4" w:space="0" w:color="auto"/>
            </w:tcBorders>
            <w:vAlign w:val="bottom"/>
          </w:tcPr>
          <w:p w14:paraId="67A1F5C5" w14:textId="77777777" w:rsidR="00CD1BE1" w:rsidRPr="00FC1B54" w:rsidRDefault="00CD1BE1" w:rsidP="008B6406">
            <w:pPr>
              <w:jc w:val="center"/>
              <w:rPr>
                <w:sz w:val="18"/>
                <w:szCs w:val="18"/>
              </w:rPr>
            </w:pPr>
          </w:p>
        </w:tc>
        <w:tc>
          <w:tcPr>
            <w:tcW w:w="1098" w:type="pct"/>
            <w:vMerge/>
            <w:vAlign w:val="bottom"/>
          </w:tcPr>
          <w:p w14:paraId="4B5E8126" w14:textId="77777777" w:rsidR="00CD1BE1" w:rsidRPr="00FC1B54" w:rsidRDefault="00CD1BE1" w:rsidP="008B6406">
            <w:pPr>
              <w:pBdr>
                <w:bottom w:val="single" w:sz="6" w:space="1" w:color="auto"/>
              </w:pBdr>
              <w:jc w:val="center"/>
              <w:rPr>
                <w:b/>
                <w:bCs/>
                <w:sz w:val="18"/>
                <w:szCs w:val="18"/>
                <w:rtl/>
              </w:rPr>
            </w:pPr>
          </w:p>
        </w:tc>
        <w:tc>
          <w:tcPr>
            <w:tcW w:w="960" w:type="pct"/>
            <w:vAlign w:val="bottom"/>
          </w:tcPr>
          <w:p w14:paraId="038D6EF1" w14:textId="77777777" w:rsidR="00CD1BE1" w:rsidRPr="00FC1B54" w:rsidRDefault="00CD1BE1" w:rsidP="008B6406">
            <w:pPr>
              <w:pBdr>
                <w:bottom w:val="single" w:sz="4" w:space="1" w:color="auto"/>
              </w:pBdr>
              <w:jc w:val="center"/>
              <w:rPr>
                <w:b/>
                <w:bCs/>
                <w:sz w:val="18"/>
                <w:szCs w:val="18"/>
                <w:rtl/>
              </w:rPr>
            </w:pPr>
            <w:r w:rsidRPr="00FC1B54">
              <w:rPr>
                <w:rFonts w:hint="cs"/>
                <w:b/>
                <w:bCs/>
                <w:sz w:val="18"/>
                <w:szCs w:val="18"/>
                <w:rtl/>
              </w:rPr>
              <w:t>יחסי גידור פעילים</w:t>
            </w:r>
          </w:p>
        </w:tc>
        <w:tc>
          <w:tcPr>
            <w:tcW w:w="960" w:type="pct"/>
            <w:vAlign w:val="bottom"/>
          </w:tcPr>
          <w:p w14:paraId="63E5C8BF" w14:textId="77777777" w:rsidR="00CD1BE1" w:rsidRPr="00FC1B54" w:rsidRDefault="00CD1BE1" w:rsidP="008B6406">
            <w:pPr>
              <w:pBdr>
                <w:bottom w:val="single" w:sz="6" w:space="1" w:color="auto"/>
              </w:pBdr>
              <w:jc w:val="center"/>
              <w:rPr>
                <w:b/>
                <w:bCs/>
                <w:sz w:val="18"/>
                <w:szCs w:val="18"/>
                <w:rtl/>
              </w:rPr>
            </w:pPr>
            <w:r w:rsidRPr="00FC1B54">
              <w:rPr>
                <w:rFonts w:hint="cs"/>
                <w:b/>
                <w:bCs/>
                <w:sz w:val="18"/>
                <w:szCs w:val="18"/>
                <w:rtl/>
              </w:rPr>
              <w:t>יחסי גידור שהופסקו</w:t>
            </w:r>
          </w:p>
        </w:tc>
      </w:tr>
      <w:tr w:rsidR="00CD1BE1" w:rsidRPr="00CA2198" w14:paraId="62F133A6" w14:textId="77777777" w:rsidTr="008B6406">
        <w:trPr>
          <w:trHeight w:val="20"/>
          <w:jc w:val="right"/>
        </w:trPr>
        <w:tc>
          <w:tcPr>
            <w:tcW w:w="548" w:type="pct"/>
            <w:vAlign w:val="center"/>
          </w:tcPr>
          <w:p w14:paraId="72BA7FDA" w14:textId="77777777" w:rsidR="00CD1BE1" w:rsidRPr="005126BB" w:rsidRDefault="00CD1BE1" w:rsidP="008B6406">
            <w:pPr>
              <w:bidi w:val="0"/>
              <w:spacing w:before="60" w:after="60"/>
              <w:jc w:val="left"/>
              <w:rPr>
                <w:sz w:val="14"/>
                <w:szCs w:val="14"/>
                <w:rtl/>
              </w:rPr>
            </w:pPr>
          </w:p>
        </w:tc>
        <w:tc>
          <w:tcPr>
            <w:tcW w:w="206" w:type="pct"/>
            <w:vAlign w:val="center"/>
          </w:tcPr>
          <w:p w14:paraId="77C7CB66" w14:textId="77777777" w:rsidR="00CD1BE1" w:rsidRPr="00CA2198" w:rsidRDefault="00CD1BE1" w:rsidP="008B6406">
            <w:pPr>
              <w:spacing w:before="60"/>
              <w:jc w:val="left"/>
              <w:rPr>
                <w:rtl/>
              </w:rPr>
            </w:pPr>
          </w:p>
        </w:tc>
        <w:tc>
          <w:tcPr>
            <w:tcW w:w="1227" w:type="pct"/>
            <w:vAlign w:val="center"/>
          </w:tcPr>
          <w:p w14:paraId="46D30183" w14:textId="77777777" w:rsidR="00CD1BE1" w:rsidRPr="00FC1B54" w:rsidRDefault="00CD1BE1" w:rsidP="008B6406">
            <w:pPr>
              <w:spacing w:before="60"/>
              <w:rPr>
                <w:color w:val="000000"/>
                <w:sz w:val="18"/>
                <w:szCs w:val="18"/>
                <w:rtl/>
                <w:lang w:eastAsia="he-IL"/>
              </w:rPr>
            </w:pPr>
            <w:r w:rsidRPr="00FC1B54">
              <w:rPr>
                <w:rFonts w:hint="cs"/>
                <w:color w:val="000000"/>
                <w:sz w:val="18"/>
                <w:szCs w:val="18"/>
                <w:rtl/>
                <w:lang w:eastAsia="he-IL"/>
              </w:rPr>
              <w:t>השקעה באג"ח זמינות למכירה</w:t>
            </w:r>
            <w:r w:rsidRPr="00FC1B54">
              <w:rPr>
                <w:rFonts w:hint="cs"/>
                <w:color w:val="000000"/>
                <w:sz w:val="18"/>
                <w:szCs w:val="18"/>
                <w:vertAlign w:val="superscript"/>
                <w:rtl/>
                <w:lang w:eastAsia="he-IL"/>
              </w:rPr>
              <w:t>[</w:t>
            </w:r>
            <w:r w:rsidRPr="00FC1B54">
              <w:rPr>
                <w:rStyle w:val="a7"/>
                <w:sz w:val="18"/>
                <w:szCs w:val="18"/>
                <w:rtl/>
                <w:lang w:eastAsia="he-IL"/>
              </w:rPr>
              <w:footnoteReference w:id="89"/>
            </w:r>
            <w:r w:rsidRPr="00FC1B54">
              <w:rPr>
                <w:rFonts w:hint="cs"/>
                <w:color w:val="000000"/>
                <w:sz w:val="18"/>
                <w:szCs w:val="18"/>
                <w:vertAlign w:val="superscript"/>
                <w:rtl/>
                <w:lang w:eastAsia="he-IL"/>
              </w:rPr>
              <w:t>]</w:t>
            </w:r>
          </w:p>
        </w:tc>
        <w:tc>
          <w:tcPr>
            <w:tcW w:w="1098" w:type="pct"/>
            <w:vAlign w:val="center"/>
          </w:tcPr>
          <w:p w14:paraId="27EDE95D" w14:textId="77777777" w:rsidR="00CD1BE1" w:rsidRPr="00CA2198" w:rsidRDefault="00CD1BE1" w:rsidP="008B6406">
            <w:pPr>
              <w:spacing w:before="60"/>
              <w:rPr>
                <w:rtl/>
              </w:rPr>
            </w:pPr>
            <w:r w:rsidRPr="00CA2198">
              <w:rPr>
                <w:rFonts w:hint="cs"/>
                <w:rtl/>
              </w:rPr>
              <w:t>0</w:t>
            </w:r>
          </w:p>
        </w:tc>
        <w:tc>
          <w:tcPr>
            <w:tcW w:w="960" w:type="pct"/>
            <w:vAlign w:val="center"/>
          </w:tcPr>
          <w:p w14:paraId="6D1E6867" w14:textId="77777777" w:rsidR="00CD1BE1" w:rsidRPr="00CA2198" w:rsidRDefault="00CD1BE1" w:rsidP="008B6406">
            <w:pPr>
              <w:spacing w:before="60"/>
              <w:rPr>
                <w:rtl/>
              </w:rPr>
            </w:pPr>
            <w:r w:rsidRPr="00CA2198">
              <w:rPr>
                <w:rFonts w:hint="cs"/>
                <w:rtl/>
              </w:rPr>
              <w:t>0</w:t>
            </w:r>
          </w:p>
        </w:tc>
        <w:tc>
          <w:tcPr>
            <w:tcW w:w="960" w:type="pct"/>
            <w:vAlign w:val="center"/>
          </w:tcPr>
          <w:p w14:paraId="42982C88" w14:textId="77777777" w:rsidR="00CD1BE1" w:rsidRPr="00CA2198" w:rsidRDefault="00CD1BE1" w:rsidP="008B6406">
            <w:pPr>
              <w:spacing w:before="60"/>
              <w:rPr>
                <w:rtl/>
              </w:rPr>
            </w:pPr>
            <w:r w:rsidRPr="00CA2198">
              <w:rPr>
                <w:rFonts w:hint="cs"/>
                <w:rtl/>
              </w:rPr>
              <w:t>0</w:t>
            </w:r>
          </w:p>
        </w:tc>
      </w:tr>
      <w:tr w:rsidR="00CD1BE1" w:rsidRPr="00CA2198" w14:paraId="0B55BA45" w14:textId="77777777" w:rsidTr="008B6406">
        <w:trPr>
          <w:trHeight w:val="20"/>
          <w:jc w:val="right"/>
        </w:trPr>
        <w:tc>
          <w:tcPr>
            <w:tcW w:w="548" w:type="pct"/>
            <w:vAlign w:val="center"/>
          </w:tcPr>
          <w:p w14:paraId="5A5743C4" w14:textId="77777777" w:rsidR="00CD1BE1" w:rsidRPr="005126BB" w:rsidRDefault="00CD1BE1" w:rsidP="008B6406">
            <w:pPr>
              <w:spacing w:before="60" w:after="60"/>
              <w:rPr>
                <w:sz w:val="14"/>
                <w:szCs w:val="14"/>
                <w:rtl/>
              </w:rPr>
            </w:pPr>
          </w:p>
        </w:tc>
        <w:tc>
          <w:tcPr>
            <w:tcW w:w="206" w:type="pct"/>
            <w:vAlign w:val="center"/>
          </w:tcPr>
          <w:p w14:paraId="60CF9596" w14:textId="77777777" w:rsidR="00CD1BE1" w:rsidRPr="00CA2198" w:rsidRDefault="00CD1BE1" w:rsidP="008B6406">
            <w:pPr>
              <w:spacing w:before="60"/>
              <w:jc w:val="left"/>
              <w:rPr>
                <w:rtl/>
              </w:rPr>
            </w:pPr>
          </w:p>
        </w:tc>
        <w:tc>
          <w:tcPr>
            <w:tcW w:w="1227" w:type="pct"/>
            <w:vAlign w:val="center"/>
          </w:tcPr>
          <w:p w14:paraId="16AA7E1A" w14:textId="77777777" w:rsidR="00CD1BE1" w:rsidRPr="00FC1B54" w:rsidRDefault="00CD1BE1" w:rsidP="008B6406">
            <w:pPr>
              <w:spacing w:before="60"/>
              <w:rPr>
                <w:color w:val="000000"/>
                <w:sz w:val="18"/>
                <w:szCs w:val="18"/>
                <w:rtl/>
                <w:lang w:eastAsia="he-IL"/>
              </w:rPr>
            </w:pPr>
            <w:r w:rsidRPr="00FC1B54">
              <w:rPr>
                <w:rFonts w:hint="cs"/>
                <w:color w:val="000000"/>
                <w:sz w:val="18"/>
                <w:szCs w:val="18"/>
                <w:rtl/>
                <w:lang w:eastAsia="he-IL"/>
              </w:rPr>
              <w:t>התחייבויות לזמן ארוך</w:t>
            </w:r>
          </w:p>
        </w:tc>
        <w:tc>
          <w:tcPr>
            <w:tcW w:w="1098" w:type="pct"/>
            <w:vAlign w:val="center"/>
          </w:tcPr>
          <w:p w14:paraId="25B4606C" w14:textId="77777777" w:rsidR="00CD1BE1" w:rsidRPr="00CA2198" w:rsidRDefault="00CD1BE1" w:rsidP="008B6406">
            <w:pPr>
              <w:spacing w:before="60"/>
              <w:rPr>
                <w:rtl/>
              </w:rPr>
            </w:pPr>
            <w:r w:rsidRPr="00CA2198">
              <w:rPr>
                <w:rFonts w:hint="cs"/>
                <w:rtl/>
              </w:rPr>
              <w:t>0</w:t>
            </w:r>
          </w:p>
        </w:tc>
        <w:tc>
          <w:tcPr>
            <w:tcW w:w="960" w:type="pct"/>
            <w:vAlign w:val="center"/>
          </w:tcPr>
          <w:p w14:paraId="13E3D2D3" w14:textId="77777777" w:rsidR="00CD1BE1" w:rsidRPr="00CA2198" w:rsidRDefault="00CD1BE1" w:rsidP="008B6406">
            <w:pPr>
              <w:spacing w:before="60"/>
              <w:rPr>
                <w:rtl/>
              </w:rPr>
            </w:pPr>
            <w:r w:rsidRPr="00CA2198">
              <w:rPr>
                <w:rFonts w:hint="cs"/>
                <w:rtl/>
              </w:rPr>
              <w:t>0</w:t>
            </w:r>
          </w:p>
        </w:tc>
        <w:tc>
          <w:tcPr>
            <w:tcW w:w="960" w:type="pct"/>
            <w:vAlign w:val="center"/>
          </w:tcPr>
          <w:p w14:paraId="261B95FC" w14:textId="77777777" w:rsidR="00CD1BE1" w:rsidRPr="00CA2198" w:rsidRDefault="00CD1BE1" w:rsidP="008B6406">
            <w:pPr>
              <w:spacing w:before="60"/>
              <w:rPr>
                <w:rtl/>
              </w:rPr>
            </w:pPr>
            <w:r w:rsidRPr="00CA2198">
              <w:rPr>
                <w:rFonts w:hint="cs"/>
                <w:rtl/>
              </w:rPr>
              <w:t>0</w:t>
            </w:r>
          </w:p>
        </w:tc>
      </w:tr>
      <w:tr w:rsidR="00CD1BE1" w:rsidRPr="00CA2198" w14:paraId="371CE07F" w14:textId="77777777" w:rsidTr="008B6406">
        <w:trPr>
          <w:trHeight w:val="20"/>
          <w:jc w:val="right"/>
        </w:trPr>
        <w:tc>
          <w:tcPr>
            <w:tcW w:w="548" w:type="pct"/>
            <w:vAlign w:val="center"/>
          </w:tcPr>
          <w:p w14:paraId="72D794BF" w14:textId="77777777" w:rsidR="00CD1BE1" w:rsidRPr="005126BB" w:rsidRDefault="00CD1BE1" w:rsidP="008B6406">
            <w:pPr>
              <w:spacing w:before="60" w:after="60"/>
              <w:rPr>
                <w:sz w:val="14"/>
                <w:szCs w:val="14"/>
                <w:rtl/>
              </w:rPr>
            </w:pPr>
          </w:p>
        </w:tc>
        <w:tc>
          <w:tcPr>
            <w:tcW w:w="206" w:type="pct"/>
            <w:vAlign w:val="center"/>
          </w:tcPr>
          <w:p w14:paraId="53725F9E" w14:textId="77777777" w:rsidR="00CD1BE1" w:rsidRPr="00CA2198" w:rsidRDefault="00CD1BE1" w:rsidP="008B6406">
            <w:pPr>
              <w:spacing w:before="60"/>
              <w:jc w:val="left"/>
              <w:rPr>
                <w:rtl/>
              </w:rPr>
            </w:pPr>
          </w:p>
        </w:tc>
        <w:tc>
          <w:tcPr>
            <w:tcW w:w="1227" w:type="pct"/>
            <w:vAlign w:val="center"/>
          </w:tcPr>
          <w:p w14:paraId="65CB1088" w14:textId="77777777" w:rsidR="00CD1BE1" w:rsidRPr="00FC1B54" w:rsidRDefault="00CD1BE1" w:rsidP="008B6406">
            <w:pPr>
              <w:spacing w:before="60"/>
              <w:rPr>
                <w:color w:val="000000"/>
                <w:sz w:val="18"/>
                <w:szCs w:val="18"/>
                <w:rtl/>
                <w:lang w:eastAsia="he-IL"/>
              </w:rPr>
            </w:pPr>
            <w:r w:rsidRPr="00FC1B54">
              <w:rPr>
                <w:rFonts w:hint="cs"/>
                <w:color w:val="000000"/>
                <w:sz w:val="18"/>
                <w:szCs w:val="18"/>
                <w:rtl/>
                <w:lang w:eastAsia="he-IL"/>
              </w:rPr>
              <w:t>...................</w:t>
            </w:r>
          </w:p>
        </w:tc>
        <w:tc>
          <w:tcPr>
            <w:tcW w:w="1098" w:type="pct"/>
            <w:vAlign w:val="center"/>
          </w:tcPr>
          <w:p w14:paraId="3A460CF8" w14:textId="77777777" w:rsidR="00CD1BE1" w:rsidRPr="00CA2198" w:rsidRDefault="00CD1BE1" w:rsidP="008B6406">
            <w:pPr>
              <w:spacing w:before="60"/>
              <w:rPr>
                <w:rtl/>
              </w:rPr>
            </w:pPr>
            <w:r w:rsidRPr="00CA2198">
              <w:rPr>
                <w:rFonts w:hint="cs"/>
                <w:rtl/>
              </w:rPr>
              <w:t>0</w:t>
            </w:r>
          </w:p>
        </w:tc>
        <w:tc>
          <w:tcPr>
            <w:tcW w:w="960" w:type="pct"/>
            <w:vAlign w:val="center"/>
          </w:tcPr>
          <w:p w14:paraId="2C6C5E96" w14:textId="77777777" w:rsidR="00CD1BE1" w:rsidRPr="00CA2198" w:rsidRDefault="00CD1BE1" w:rsidP="008B6406">
            <w:pPr>
              <w:spacing w:before="60"/>
              <w:rPr>
                <w:rtl/>
              </w:rPr>
            </w:pPr>
            <w:r w:rsidRPr="00CA2198">
              <w:rPr>
                <w:rFonts w:hint="cs"/>
                <w:rtl/>
              </w:rPr>
              <w:t>0</w:t>
            </w:r>
          </w:p>
        </w:tc>
        <w:tc>
          <w:tcPr>
            <w:tcW w:w="960" w:type="pct"/>
            <w:vAlign w:val="center"/>
          </w:tcPr>
          <w:p w14:paraId="547567D3" w14:textId="77777777" w:rsidR="00CD1BE1" w:rsidRPr="00CA2198" w:rsidRDefault="00CD1BE1" w:rsidP="008B6406">
            <w:pPr>
              <w:spacing w:before="60"/>
              <w:rPr>
                <w:rtl/>
              </w:rPr>
            </w:pPr>
            <w:r w:rsidRPr="00CA2198">
              <w:rPr>
                <w:rFonts w:hint="cs"/>
                <w:rtl/>
              </w:rPr>
              <w:t>0</w:t>
            </w:r>
          </w:p>
        </w:tc>
      </w:tr>
    </w:tbl>
    <w:p w14:paraId="0D1BD237" w14:textId="77777777" w:rsidR="005346DB" w:rsidRDefault="005346DB" w:rsidP="0001523C">
      <w:pPr>
        <w:spacing w:line="180" w:lineRule="exact"/>
        <w:rPr>
          <w:rtl/>
        </w:rPr>
      </w:pPr>
    </w:p>
    <w:tbl>
      <w:tblPr>
        <w:tblpPr w:leftFromText="180" w:rightFromText="180" w:vertAnchor="text" w:horzAnchor="margin" w:tblpY="168"/>
        <w:bidiVisual/>
        <w:tblW w:w="5060" w:type="pct"/>
        <w:jc w:val="right"/>
        <w:tblLook w:val="01E0" w:firstRow="1" w:lastRow="1" w:firstColumn="1" w:lastColumn="1" w:noHBand="0" w:noVBand="0"/>
      </w:tblPr>
      <w:tblGrid>
        <w:gridCol w:w="1132"/>
        <w:gridCol w:w="426"/>
        <w:gridCol w:w="2535"/>
        <w:gridCol w:w="2268"/>
        <w:gridCol w:w="1983"/>
        <w:gridCol w:w="1985"/>
      </w:tblGrid>
      <w:tr w:rsidR="00CD1BE1" w:rsidRPr="00CA2198" w14:paraId="53A1ED5C" w14:textId="77777777" w:rsidTr="008B6406">
        <w:trPr>
          <w:jc w:val="right"/>
        </w:trPr>
        <w:tc>
          <w:tcPr>
            <w:tcW w:w="548" w:type="pct"/>
          </w:tcPr>
          <w:p w14:paraId="58192CB9" w14:textId="77777777" w:rsidR="00CD1BE1" w:rsidRPr="00F06CC3" w:rsidRDefault="00CD1BE1" w:rsidP="008B6406">
            <w:pPr>
              <w:rPr>
                <w:sz w:val="14"/>
                <w:szCs w:val="14"/>
                <w:rtl/>
              </w:rPr>
            </w:pPr>
          </w:p>
        </w:tc>
        <w:tc>
          <w:tcPr>
            <w:tcW w:w="206" w:type="pct"/>
            <w:vAlign w:val="bottom"/>
          </w:tcPr>
          <w:p w14:paraId="58D59D48" w14:textId="77777777" w:rsidR="00CD1BE1" w:rsidRPr="00CA2198" w:rsidRDefault="00CD1BE1" w:rsidP="008B6406">
            <w:pPr>
              <w:rPr>
                <w:rtl/>
              </w:rPr>
            </w:pPr>
          </w:p>
        </w:tc>
        <w:tc>
          <w:tcPr>
            <w:tcW w:w="1227" w:type="pct"/>
            <w:vAlign w:val="bottom"/>
          </w:tcPr>
          <w:p w14:paraId="15FFB876" w14:textId="77777777" w:rsidR="00CD1BE1" w:rsidRPr="00CA2198" w:rsidRDefault="00CD1BE1" w:rsidP="008B6406">
            <w:pPr>
              <w:jc w:val="center"/>
              <w:rPr>
                <w:rtl/>
              </w:rPr>
            </w:pPr>
          </w:p>
        </w:tc>
        <w:tc>
          <w:tcPr>
            <w:tcW w:w="3019" w:type="pct"/>
            <w:gridSpan w:val="3"/>
            <w:vAlign w:val="bottom"/>
          </w:tcPr>
          <w:p w14:paraId="0E545086" w14:textId="3EA10235" w:rsidR="00CD1BE1" w:rsidRPr="000F2C86" w:rsidRDefault="00CD1BE1" w:rsidP="008B6406">
            <w:pPr>
              <w:pBdr>
                <w:bottom w:val="single" w:sz="4" w:space="1" w:color="auto"/>
              </w:pBdr>
              <w:jc w:val="center"/>
              <w:rPr>
                <w:b/>
                <w:bCs/>
                <w:sz w:val="18"/>
                <w:szCs w:val="18"/>
                <w:rtl/>
              </w:rPr>
            </w:pPr>
            <w:r w:rsidRPr="000F2C86">
              <w:rPr>
                <w:rFonts w:hint="cs"/>
                <w:b/>
                <w:bCs/>
                <w:sz w:val="18"/>
                <w:szCs w:val="18"/>
                <w:rtl/>
              </w:rPr>
              <w:t xml:space="preserve">ליום </w:t>
            </w:r>
            <w:r>
              <w:rPr>
                <w:rFonts w:hint="cs"/>
                <w:b/>
                <w:bCs/>
                <w:sz w:val="18"/>
                <w:szCs w:val="18"/>
                <w:rtl/>
              </w:rPr>
              <w:t>31</w:t>
            </w:r>
            <w:r w:rsidRPr="000F2C86">
              <w:rPr>
                <w:rFonts w:hint="cs"/>
                <w:b/>
                <w:bCs/>
                <w:sz w:val="18"/>
                <w:szCs w:val="18"/>
                <w:rtl/>
              </w:rPr>
              <w:t xml:space="preserve"> </w:t>
            </w:r>
            <w:r>
              <w:rPr>
                <w:rFonts w:hint="cs"/>
                <w:b/>
                <w:bCs/>
                <w:sz w:val="18"/>
                <w:szCs w:val="18"/>
                <w:rtl/>
              </w:rPr>
              <w:t>בדצמבר</w:t>
            </w:r>
            <w:r w:rsidRPr="000F2C86">
              <w:rPr>
                <w:rFonts w:hint="cs"/>
                <w:b/>
                <w:bCs/>
                <w:sz w:val="18"/>
                <w:szCs w:val="18"/>
                <w:rtl/>
              </w:rPr>
              <w:t xml:space="preserve"> </w:t>
            </w:r>
            <w:r w:rsidRPr="000F2C86">
              <w:rPr>
                <w:b/>
                <w:bCs/>
                <w:sz w:val="18"/>
                <w:szCs w:val="18"/>
                <w:rtl/>
              </w:rPr>
              <w:fldChar w:fldCharType="begin"/>
            </w:r>
            <w:r w:rsidRPr="000F2C86">
              <w:rPr>
                <w:b/>
                <w:bCs/>
                <w:sz w:val="18"/>
                <w:szCs w:val="18"/>
                <w:rtl/>
              </w:rPr>
              <w:instrText xml:space="preserve"> </w:instrText>
            </w:r>
            <w:r w:rsidRPr="000F2C86">
              <w:rPr>
                <w:rFonts w:hint="cs"/>
                <w:b/>
                <w:bCs/>
                <w:sz w:val="18"/>
                <w:szCs w:val="18"/>
                <w:rtl/>
              </w:rPr>
              <w:instrText xml:space="preserve">= </w:instrText>
            </w:r>
            <w:r w:rsidRPr="000F2C86">
              <w:rPr>
                <w:rFonts w:hint="cs"/>
                <w:b/>
                <w:bCs/>
                <w:sz w:val="18"/>
                <w:szCs w:val="18"/>
              </w:rPr>
              <w:instrText>CY</w:instrText>
            </w:r>
            <w:r>
              <w:rPr>
                <w:b/>
                <w:bCs/>
                <w:sz w:val="18"/>
                <w:szCs w:val="18"/>
              </w:rPr>
              <w:instrText>-1</w:instrText>
            </w:r>
            <w:r w:rsidRPr="000F2C86">
              <w:rPr>
                <w:rFonts w:hint="cs"/>
                <w:b/>
                <w:bCs/>
                <w:sz w:val="18"/>
                <w:szCs w:val="18"/>
              </w:rPr>
              <w:instrText xml:space="preserve"> \* MERGEFORMAT</w:instrText>
            </w:r>
            <w:r w:rsidRPr="000F2C86">
              <w:rPr>
                <w:b/>
                <w:bCs/>
                <w:sz w:val="18"/>
                <w:szCs w:val="18"/>
                <w:rtl/>
              </w:rPr>
              <w:instrText xml:space="preserve"> </w:instrText>
            </w:r>
            <w:r w:rsidRPr="000F2C86">
              <w:rPr>
                <w:b/>
                <w:bCs/>
                <w:sz w:val="18"/>
                <w:szCs w:val="18"/>
                <w:rtl/>
              </w:rPr>
              <w:fldChar w:fldCharType="separate"/>
            </w:r>
            <w:r>
              <w:rPr>
                <w:b/>
                <w:bCs/>
                <w:noProof/>
                <w:sz w:val="18"/>
                <w:szCs w:val="18"/>
                <w:rtl/>
              </w:rPr>
              <w:t>2023</w:t>
            </w:r>
            <w:r w:rsidRPr="000F2C86">
              <w:rPr>
                <w:b/>
                <w:bCs/>
                <w:sz w:val="18"/>
                <w:szCs w:val="18"/>
                <w:rtl/>
              </w:rPr>
              <w:fldChar w:fldCharType="end"/>
            </w:r>
            <w:r>
              <w:rPr>
                <w:rFonts w:hint="cs"/>
                <w:b/>
                <w:bCs/>
                <w:sz w:val="18"/>
                <w:szCs w:val="18"/>
                <w:rtl/>
              </w:rPr>
              <w:t xml:space="preserve">  </w:t>
            </w:r>
            <w:r w:rsidRPr="000F2C86">
              <w:rPr>
                <w:rFonts w:hint="cs"/>
                <w:sz w:val="18"/>
                <w:szCs w:val="18"/>
                <w:rtl/>
              </w:rPr>
              <w:t>(מבוקר)</w:t>
            </w:r>
          </w:p>
        </w:tc>
      </w:tr>
      <w:tr w:rsidR="00CD1BE1" w:rsidRPr="00CA2198" w14:paraId="218BBA21" w14:textId="77777777" w:rsidTr="008B6406">
        <w:trPr>
          <w:trHeight w:val="414"/>
          <w:jc w:val="right"/>
        </w:trPr>
        <w:tc>
          <w:tcPr>
            <w:tcW w:w="548" w:type="pct"/>
          </w:tcPr>
          <w:p w14:paraId="061BC39C" w14:textId="232AC3D2" w:rsidR="00CD1BE1" w:rsidRPr="00B84FCC" w:rsidRDefault="00CD1BE1" w:rsidP="008B6406">
            <w:pPr>
              <w:bidi w:val="0"/>
              <w:jc w:val="right"/>
              <w:rPr>
                <w:sz w:val="14"/>
                <w:szCs w:val="14"/>
                <w:rtl/>
              </w:rPr>
            </w:pPr>
          </w:p>
        </w:tc>
        <w:tc>
          <w:tcPr>
            <w:tcW w:w="206" w:type="pct"/>
            <w:vAlign w:val="bottom"/>
          </w:tcPr>
          <w:p w14:paraId="722BDB56" w14:textId="77777777" w:rsidR="00CD1BE1" w:rsidRPr="00CA2198" w:rsidRDefault="00CD1BE1" w:rsidP="008B6406">
            <w:pPr>
              <w:jc w:val="left"/>
              <w:rPr>
                <w:rtl/>
              </w:rPr>
            </w:pPr>
          </w:p>
        </w:tc>
        <w:tc>
          <w:tcPr>
            <w:tcW w:w="1227" w:type="pct"/>
            <w:vMerge w:val="restart"/>
            <w:vAlign w:val="bottom"/>
          </w:tcPr>
          <w:p w14:paraId="178A5DC4" w14:textId="77777777" w:rsidR="00CD1BE1" w:rsidRPr="00FC1B54" w:rsidRDefault="00CD1BE1" w:rsidP="008B6406">
            <w:pPr>
              <w:pBdr>
                <w:bottom w:val="single" w:sz="4" w:space="1" w:color="auto"/>
              </w:pBdr>
              <w:jc w:val="center"/>
              <w:rPr>
                <w:b/>
                <w:bCs/>
                <w:sz w:val="18"/>
                <w:szCs w:val="18"/>
                <w:rtl/>
              </w:rPr>
            </w:pPr>
            <w:r w:rsidRPr="00FC1B54">
              <w:rPr>
                <w:rFonts w:hint="cs"/>
                <w:b/>
                <w:bCs/>
                <w:sz w:val="18"/>
                <w:szCs w:val="18"/>
                <w:rtl/>
              </w:rPr>
              <w:t>הסעיף במאזן בו נכלל</w:t>
            </w:r>
          </w:p>
          <w:p w14:paraId="323BF4DB" w14:textId="77777777" w:rsidR="00CD1BE1" w:rsidRPr="00FC1B54" w:rsidRDefault="00CD1BE1" w:rsidP="008B6406">
            <w:pPr>
              <w:pBdr>
                <w:bottom w:val="single" w:sz="4" w:space="1" w:color="auto"/>
              </w:pBdr>
              <w:jc w:val="center"/>
              <w:rPr>
                <w:b/>
                <w:bCs/>
                <w:sz w:val="18"/>
                <w:szCs w:val="18"/>
                <w:rtl/>
              </w:rPr>
            </w:pPr>
            <w:r w:rsidRPr="00FC1B54">
              <w:rPr>
                <w:rFonts w:hint="cs"/>
                <w:b/>
                <w:bCs/>
                <w:sz w:val="18"/>
                <w:szCs w:val="18"/>
                <w:rtl/>
              </w:rPr>
              <w:t>הפריט המגודר</w:t>
            </w:r>
            <w:r w:rsidRPr="00FC1B54">
              <w:rPr>
                <w:sz w:val="18"/>
                <w:szCs w:val="18"/>
                <w:vertAlign w:val="superscript"/>
              </w:rPr>
              <w:t>[</w:t>
            </w:r>
            <w:r w:rsidRPr="00FC1B54">
              <w:rPr>
                <w:sz w:val="18"/>
                <w:szCs w:val="18"/>
                <w:vertAlign w:val="superscript"/>
              </w:rPr>
              <w:footnoteReference w:id="90"/>
            </w:r>
            <w:r w:rsidRPr="00FC1B54">
              <w:rPr>
                <w:sz w:val="18"/>
                <w:szCs w:val="18"/>
                <w:vertAlign w:val="superscript"/>
              </w:rPr>
              <w:t>]</w:t>
            </w:r>
          </w:p>
        </w:tc>
        <w:tc>
          <w:tcPr>
            <w:tcW w:w="1098" w:type="pct"/>
            <w:vMerge w:val="restart"/>
            <w:vAlign w:val="bottom"/>
          </w:tcPr>
          <w:p w14:paraId="412D486E" w14:textId="77777777" w:rsidR="00CD1BE1" w:rsidRPr="00FC1B54" w:rsidRDefault="00CD1BE1" w:rsidP="008B6406">
            <w:pPr>
              <w:pBdr>
                <w:bottom w:val="single" w:sz="4" w:space="1" w:color="auto"/>
              </w:pBdr>
              <w:jc w:val="center"/>
              <w:rPr>
                <w:b/>
                <w:bCs/>
                <w:sz w:val="18"/>
                <w:szCs w:val="18"/>
                <w:rtl/>
              </w:rPr>
            </w:pPr>
            <w:r w:rsidRPr="00FC1B54">
              <w:rPr>
                <w:rFonts w:hint="cs"/>
                <w:b/>
                <w:bCs/>
                <w:sz w:val="18"/>
                <w:szCs w:val="18"/>
                <w:rtl/>
              </w:rPr>
              <w:t>הערך בספרים של נכסים/התחייבויות מגודרים</w:t>
            </w:r>
          </w:p>
        </w:tc>
        <w:tc>
          <w:tcPr>
            <w:tcW w:w="1921" w:type="pct"/>
            <w:gridSpan w:val="2"/>
            <w:tcBorders>
              <w:bottom w:val="single" w:sz="4" w:space="0" w:color="auto"/>
            </w:tcBorders>
            <w:vAlign w:val="bottom"/>
          </w:tcPr>
          <w:p w14:paraId="014079C2" w14:textId="77777777" w:rsidR="00CD1BE1" w:rsidRPr="00FC1B54" w:rsidRDefault="00CD1BE1" w:rsidP="008B6406">
            <w:pPr>
              <w:jc w:val="center"/>
              <w:rPr>
                <w:b/>
                <w:bCs/>
                <w:sz w:val="18"/>
                <w:szCs w:val="18"/>
                <w:rtl/>
              </w:rPr>
            </w:pPr>
            <w:r w:rsidRPr="00FC1B54">
              <w:rPr>
                <w:rFonts w:hint="cs"/>
                <w:b/>
                <w:bCs/>
                <w:sz w:val="18"/>
                <w:szCs w:val="18"/>
                <w:rtl/>
              </w:rPr>
              <w:t>הסכום המצטבר של התאמות גידורי שווי הוגן הכלול בערך בספרים של הפריטים המגודרים</w:t>
            </w:r>
          </w:p>
        </w:tc>
      </w:tr>
      <w:tr w:rsidR="00CD1BE1" w:rsidRPr="00CA2198" w14:paraId="3862A782" w14:textId="77777777" w:rsidTr="008B6406">
        <w:trPr>
          <w:trHeight w:val="336"/>
          <w:jc w:val="right"/>
        </w:trPr>
        <w:tc>
          <w:tcPr>
            <w:tcW w:w="548" w:type="pct"/>
          </w:tcPr>
          <w:p w14:paraId="087055BD" w14:textId="77777777" w:rsidR="00CD1BE1" w:rsidRPr="00B84FCC" w:rsidRDefault="00CD1BE1" w:rsidP="008B6406">
            <w:pPr>
              <w:bidi w:val="0"/>
              <w:jc w:val="right"/>
              <w:rPr>
                <w:sz w:val="14"/>
                <w:szCs w:val="14"/>
                <w:rtl/>
              </w:rPr>
            </w:pPr>
          </w:p>
        </w:tc>
        <w:tc>
          <w:tcPr>
            <w:tcW w:w="206" w:type="pct"/>
            <w:vAlign w:val="bottom"/>
          </w:tcPr>
          <w:p w14:paraId="5895F928" w14:textId="77777777" w:rsidR="00CD1BE1" w:rsidRPr="00CA2198" w:rsidRDefault="00CD1BE1" w:rsidP="008B6406">
            <w:pPr>
              <w:jc w:val="left"/>
              <w:rPr>
                <w:rtl/>
              </w:rPr>
            </w:pPr>
          </w:p>
        </w:tc>
        <w:tc>
          <w:tcPr>
            <w:tcW w:w="1227" w:type="pct"/>
            <w:vMerge/>
            <w:tcBorders>
              <w:top w:val="single" w:sz="4" w:space="0" w:color="auto"/>
            </w:tcBorders>
            <w:vAlign w:val="bottom"/>
          </w:tcPr>
          <w:p w14:paraId="0C844C4A" w14:textId="77777777" w:rsidR="00CD1BE1" w:rsidRPr="00FC1B54" w:rsidRDefault="00CD1BE1" w:rsidP="008B6406">
            <w:pPr>
              <w:jc w:val="center"/>
              <w:rPr>
                <w:sz w:val="18"/>
                <w:szCs w:val="18"/>
              </w:rPr>
            </w:pPr>
          </w:p>
        </w:tc>
        <w:tc>
          <w:tcPr>
            <w:tcW w:w="1098" w:type="pct"/>
            <w:vMerge/>
            <w:vAlign w:val="bottom"/>
          </w:tcPr>
          <w:p w14:paraId="4A6F5919" w14:textId="77777777" w:rsidR="00CD1BE1" w:rsidRPr="00FC1B54" w:rsidRDefault="00CD1BE1" w:rsidP="008B6406">
            <w:pPr>
              <w:pBdr>
                <w:bottom w:val="single" w:sz="6" w:space="1" w:color="auto"/>
              </w:pBdr>
              <w:jc w:val="center"/>
              <w:rPr>
                <w:b/>
                <w:bCs/>
                <w:sz w:val="18"/>
                <w:szCs w:val="18"/>
                <w:rtl/>
              </w:rPr>
            </w:pPr>
          </w:p>
        </w:tc>
        <w:tc>
          <w:tcPr>
            <w:tcW w:w="960" w:type="pct"/>
            <w:vAlign w:val="bottom"/>
          </w:tcPr>
          <w:p w14:paraId="2CB9DFFC" w14:textId="77777777" w:rsidR="00CD1BE1" w:rsidRPr="00FC1B54" w:rsidRDefault="00CD1BE1" w:rsidP="008B6406">
            <w:pPr>
              <w:pBdr>
                <w:bottom w:val="single" w:sz="4" w:space="1" w:color="auto"/>
              </w:pBdr>
              <w:jc w:val="center"/>
              <w:rPr>
                <w:b/>
                <w:bCs/>
                <w:sz w:val="18"/>
                <w:szCs w:val="18"/>
                <w:rtl/>
              </w:rPr>
            </w:pPr>
            <w:r w:rsidRPr="00FC1B54">
              <w:rPr>
                <w:rFonts w:hint="cs"/>
                <w:b/>
                <w:bCs/>
                <w:sz w:val="18"/>
                <w:szCs w:val="18"/>
                <w:rtl/>
              </w:rPr>
              <w:t>יחסי גידור פעילים</w:t>
            </w:r>
          </w:p>
        </w:tc>
        <w:tc>
          <w:tcPr>
            <w:tcW w:w="960" w:type="pct"/>
            <w:vAlign w:val="bottom"/>
          </w:tcPr>
          <w:p w14:paraId="71D2A075" w14:textId="77777777" w:rsidR="00CD1BE1" w:rsidRPr="00FC1B54" w:rsidRDefault="00CD1BE1" w:rsidP="008B6406">
            <w:pPr>
              <w:pBdr>
                <w:bottom w:val="single" w:sz="6" w:space="1" w:color="auto"/>
              </w:pBdr>
              <w:jc w:val="center"/>
              <w:rPr>
                <w:b/>
                <w:bCs/>
                <w:sz w:val="18"/>
                <w:szCs w:val="18"/>
                <w:rtl/>
              </w:rPr>
            </w:pPr>
            <w:r w:rsidRPr="00FC1B54">
              <w:rPr>
                <w:rFonts w:hint="cs"/>
                <w:b/>
                <w:bCs/>
                <w:sz w:val="18"/>
                <w:szCs w:val="18"/>
                <w:rtl/>
              </w:rPr>
              <w:t>יחסי גידור שהופסקו</w:t>
            </w:r>
          </w:p>
        </w:tc>
      </w:tr>
      <w:tr w:rsidR="00CD1BE1" w:rsidRPr="00CA2198" w14:paraId="10FE20D8" w14:textId="77777777" w:rsidTr="008B6406">
        <w:trPr>
          <w:trHeight w:val="20"/>
          <w:jc w:val="right"/>
        </w:trPr>
        <w:tc>
          <w:tcPr>
            <w:tcW w:w="548" w:type="pct"/>
            <w:vAlign w:val="center"/>
          </w:tcPr>
          <w:p w14:paraId="3BC0FB92" w14:textId="77777777" w:rsidR="00CD1BE1" w:rsidRPr="005126BB" w:rsidRDefault="00CD1BE1" w:rsidP="008B6406">
            <w:pPr>
              <w:bidi w:val="0"/>
              <w:spacing w:before="60" w:after="60"/>
              <w:jc w:val="left"/>
              <w:rPr>
                <w:sz w:val="14"/>
                <w:szCs w:val="14"/>
                <w:rtl/>
              </w:rPr>
            </w:pPr>
          </w:p>
        </w:tc>
        <w:tc>
          <w:tcPr>
            <w:tcW w:w="206" w:type="pct"/>
            <w:vAlign w:val="center"/>
          </w:tcPr>
          <w:p w14:paraId="757FE59B" w14:textId="77777777" w:rsidR="00CD1BE1" w:rsidRPr="00CA2198" w:rsidRDefault="00CD1BE1" w:rsidP="008B6406">
            <w:pPr>
              <w:spacing w:before="60"/>
              <w:jc w:val="left"/>
              <w:rPr>
                <w:rtl/>
              </w:rPr>
            </w:pPr>
          </w:p>
        </w:tc>
        <w:tc>
          <w:tcPr>
            <w:tcW w:w="1227" w:type="pct"/>
            <w:vAlign w:val="center"/>
          </w:tcPr>
          <w:p w14:paraId="469855C8" w14:textId="77777777" w:rsidR="00CD1BE1" w:rsidRPr="00FC1B54" w:rsidRDefault="00CD1BE1" w:rsidP="008B6406">
            <w:pPr>
              <w:spacing w:before="60"/>
              <w:rPr>
                <w:color w:val="000000"/>
                <w:sz w:val="18"/>
                <w:szCs w:val="18"/>
                <w:rtl/>
                <w:lang w:eastAsia="he-IL"/>
              </w:rPr>
            </w:pPr>
            <w:r w:rsidRPr="00FC1B54">
              <w:rPr>
                <w:rFonts w:hint="cs"/>
                <w:color w:val="000000"/>
                <w:sz w:val="18"/>
                <w:szCs w:val="18"/>
                <w:rtl/>
                <w:lang w:eastAsia="he-IL"/>
              </w:rPr>
              <w:t>השקעה באג"ח זמינות למכירה</w:t>
            </w:r>
            <w:r w:rsidRPr="00FC1B54">
              <w:rPr>
                <w:rFonts w:hint="cs"/>
                <w:color w:val="000000"/>
                <w:sz w:val="18"/>
                <w:szCs w:val="18"/>
                <w:vertAlign w:val="superscript"/>
                <w:rtl/>
                <w:lang w:eastAsia="he-IL"/>
              </w:rPr>
              <w:t>[</w:t>
            </w:r>
            <w:r w:rsidRPr="00FC1B54">
              <w:rPr>
                <w:rStyle w:val="a7"/>
                <w:sz w:val="18"/>
                <w:szCs w:val="18"/>
                <w:rtl/>
                <w:lang w:eastAsia="he-IL"/>
              </w:rPr>
              <w:footnoteReference w:id="91"/>
            </w:r>
            <w:r w:rsidRPr="00FC1B54">
              <w:rPr>
                <w:rFonts w:hint="cs"/>
                <w:color w:val="000000"/>
                <w:sz w:val="18"/>
                <w:szCs w:val="18"/>
                <w:vertAlign w:val="superscript"/>
                <w:rtl/>
                <w:lang w:eastAsia="he-IL"/>
              </w:rPr>
              <w:t>]</w:t>
            </w:r>
          </w:p>
        </w:tc>
        <w:tc>
          <w:tcPr>
            <w:tcW w:w="1098" w:type="pct"/>
            <w:vAlign w:val="center"/>
          </w:tcPr>
          <w:p w14:paraId="5D1FB7D7" w14:textId="77777777" w:rsidR="00CD1BE1" w:rsidRPr="00CA2198" w:rsidRDefault="00CD1BE1" w:rsidP="008B6406">
            <w:pPr>
              <w:spacing w:before="60"/>
              <w:rPr>
                <w:rtl/>
              </w:rPr>
            </w:pPr>
            <w:r w:rsidRPr="00CA2198">
              <w:rPr>
                <w:rFonts w:hint="cs"/>
                <w:rtl/>
              </w:rPr>
              <w:t>0</w:t>
            </w:r>
          </w:p>
        </w:tc>
        <w:tc>
          <w:tcPr>
            <w:tcW w:w="960" w:type="pct"/>
            <w:vAlign w:val="center"/>
          </w:tcPr>
          <w:p w14:paraId="24DC994F" w14:textId="77777777" w:rsidR="00CD1BE1" w:rsidRPr="00CA2198" w:rsidRDefault="00CD1BE1" w:rsidP="008B6406">
            <w:pPr>
              <w:spacing w:before="60"/>
              <w:rPr>
                <w:rtl/>
              </w:rPr>
            </w:pPr>
            <w:r w:rsidRPr="00CA2198">
              <w:rPr>
                <w:rFonts w:hint="cs"/>
                <w:rtl/>
              </w:rPr>
              <w:t>0</w:t>
            </w:r>
          </w:p>
        </w:tc>
        <w:tc>
          <w:tcPr>
            <w:tcW w:w="960" w:type="pct"/>
            <w:vAlign w:val="center"/>
          </w:tcPr>
          <w:p w14:paraId="3DF23C3F" w14:textId="77777777" w:rsidR="00CD1BE1" w:rsidRPr="00CA2198" w:rsidRDefault="00CD1BE1" w:rsidP="008B6406">
            <w:pPr>
              <w:spacing w:before="60"/>
              <w:rPr>
                <w:rtl/>
              </w:rPr>
            </w:pPr>
            <w:r w:rsidRPr="00CA2198">
              <w:rPr>
                <w:rFonts w:hint="cs"/>
                <w:rtl/>
              </w:rPr>
              <w:t>0</w:t>
            </w:r>
          </w:p>
        </w:tc>
      </w:tr>
      <w:tr w:rsidR="00CD1BE1" w:rsidRPr="00CA2198" w14:paraId="2516DA0C" w14:textId="77777777" w:rsidTr="008B6406">
        <w:trPr>
          <w:trHeight w:val="20"/>
          <w:jc w:val="right"/>
        </w:trPr>
        <w:tc>
          <w:tcPr>
            <w:tcW w:w="548" w:type="pct"/>
            <w:vAlign w:val="center"/>
          </w:tcPr>
          <w:p w14:paraId="003EBDCA" w14:textId="77777777" w:rsidR="00CD1BE1" w:rsidRPr="005126BB" w:rsidRDefault="00CD1BE1" w:rsidP="008B6406">
            <w:pPr>
              <w:spacing w:before="60" w:after="60"/>
              <w:rPr>
                <w:sz w:val="14"/>
                <w:szCs w:val="14"/>
                <w:rtl/>
              </w:rPr>
            </w:pPr>
          </w:p>
        </w:tc>
        <w:tc>
          <w:tcPr>
            <w:tcW w:w="206" w:type="pct"/>
            <w:vAlign w:val="center"/>
          </w:tcPr>
          <w:p w14:paraId="02038E28" w14:textId="77777777" w:rsidR="00CD1BE1" w:rsidRPr="00CA2198" w:rsidRDefault="00CD1BE1" w:rsidP="008B6406">
            <w:pPr>
              <w:spacing w:before="60"/>
              <w:jc w:val="left"/>
              <w:rPr>
                <w:rtl/>
              </w:rPr>
            </w:pPr>
          </w:p>
        </w:tc>
        <w:tc>
          <w:tcPr>
            <w:tcW w:w="1227" w:type="pct"/>
            <w:vAlign w:val="center"/>
          </w:tcPr>
          <w:p w14:paraId="5D71489B" w14:textId="77777777" w:rsidR="00CD1BE1" w:rsidRPr="00FC1B54" w:rsidRDefault="00CD1BE1" w:rsidP="008B6406">
            <w:pPr>
              <w:spacing w:before="60"/>
              <w:rPr>
                <w:color w:val="000000"/>
                <w:sz w:val="18"/>
                <w:szCs w:val="18"/>
                <w:rtl/>
                <w:lang w:eastAsia="he-IL"/>
              </w:rPr>
            </w:pPr>
            <w:r w:rsidRPr="00FC1B54">
              <w:rPr>
                <w:rFonts w:hint="cs"/>
                <w:color w:val="000000"/>
                <w:sz w:val="18"/>
                <w:szCs w:val="18"/>
                <w:rtl/>
                <w:lang w:eastAsia="he-IL"/>
              </w:rPr>
              <w:t>התחייבויות לזמן ארוך</w:t>
            </w:r>
          </w:p>
        </w:tc>
        <w:tc>
          <w:tcPr>
            <w:tcW w:w="1098" w:type="pct"/>
            <w:vAlign w:val="center"/>
          </w:tcPr>
          <w:p w14:paraId="5DFB53BD" w14:textId="77777777" w:rsidR="00CD1BE1" w:rsidRPr="00CA2198" w:rsidRDefault="00CD1BE1" w:rsidP="008B6406">
            <w:pPr>
              <w:spacing w:before="60"/>
              <w:rPr>
                <w:rtl/>
              </w:rPr>
            </w:pPr>
            <w:r w:rsidRPr="00CA2198">
              <w:rPr>
                <w:rFonts w:hint="cs"/>
                <w:rtl/>
              </w:rPr>
              <w:t>0</w:t>
            </w:r>
          </w:p>
        </w:tc>
        <w:tc>
          <w:tcPr>
            <w:tcW w:w="960" w:type="pct"/>
            <w:vAlign w:val="center"/>
          </w:tcPr>
          <w:p w14:paraId="0DC853BA" w14:textId="77777777" w:rsidR="00CD1BE1" w:rsidRPr="00CA2198" w:rsidRDefault="00CD1BE1" w:rsidP="008B6406">
            <w:pPr>
              <w:spacing w:before="60"/>
              <w:rPr>
                <w:rtl/>
              </w:rPr>
            </w:pPr>
            <w:r w:rsidRPr="00CA2198">
              <w:rPr>
                <w:rFonts w:hint="cs"/>
                <w:rtl/>
              </w:rPr>
              <w:t>0</w:t>
            </w:r>
          </w:p>
        </w:tc>
        <w:tc>
          <w:tcPr>
            <w:tcW w:w="960" w:type="pct"/>
            <w:vAlign w:val="center"/>
          </w:tcPr>
          <w:p w14:paraId="5940C6C8" w14:textId="77777777" w:rsidR="00CD1BE1" w:rsidRPr="00CA2198" w:rsidRDefault="00CD1BE1" w:rsidP="008B6406">
            <w:pPr>
              <w:spacing w:before="60"/>
              <w:rPr>
                <w:rtl/>
              </w:rPr>
            </w:pPr>
            <w:r w:rsidRPr="00CA2198">
              <w:rPr>
                <w:rFonts w:hint="cs"/>
                <w:rtl/>
              </w:rPr>
              <w:t>0</w:t>
            </w:r>
          </w:p>
        </w:tc>
      </w:tr>
      <w:tr w:rsidR="00CD1BE1" w:rsidRPr="00CA2198" w14:paraId="09D82E58" w14:textId="77777777" w:rsidTr="008B6406">
        <w:trPr>
          <w:trHeight w:val="20"/>
          <w:jc w:val="right"/>
        </w:trPr>
        <w:tc>
          <w:tcPr>
            <w:tcW w:w="548" w:type="pct"/>
            <w:vAlign w:val="center"/>
          </w:tcPr>
          <w:p w14:paraId="78B7CDB5" w14:textId="77777777" w:rsidR="00CD1BE1" w:rsidRPr="005126BB" w:rsidRDefault="00CD1BE1" w:rsidP="008B6406">
            <w:pPr>
              <w:spacing w:before="60" w:after="60"/>
              <w:rPr>
                <w:sz w:val="14"/>
                <w:szCs w:val="14"/>
                <w:rtl/>
              </w:rPr>
            </w:pPr>
          </w:p>
        </w:tc>
        <w:tc>
          <w:tcPr>
            <w:tcW w:w="206" w:type="pct"/>
            <w:vAlign w:val="center"/>
          </w:tcPr>
          <w:p w14:paraId="3E5B804E" w14:textId="77777777" w:rsidR="00CD1BE1" w:rsidRPr="00CA2198" w:rsidRDefault="00CD1BE1" w:rsidP="008B6406">
            <w:pPr>
              <w:spacing w:before="60"/>
              <w:jc w:val="left"/>
              <w:rPr>
                <w:rtl/>
              </w:rPr>
            </w:pPr>
          </w:p>
        </w:tc>
        <w:tc>
          <w:tcPr>
            <w:tcW w:w="1227" w:type="pct"/>
            <w:vAlign w:val="center"/>
          </w:tcPr>
          <w:p w14:paraId="57560B5F" w14:textId="77777777" w:rsidR="00CD1BE1" w:rsidRPr="00FC1B54" w:rsidRDefault="00CD1BE1" w:rsidP="008B6406">
            <w:pPr>
              <w:spacing w:before="60"/>
              <w:rPr>
                <w:color w:val="000000"/>
                <w:sz w:val="18"/>
                <w:szCs w:val="18"/>
                <w:rtl/>
                <w:lang w:eastAsia="he-IL"/>
              </w:rPr>
            </w:pPr>
            <w:r w:rsidRPr="00FC1B54">
              <w:rPr>
                <w:rFonts w:hint="cs"/>
                <w:color w:val="000000"/>
                <w:sz w:val="18"/>
                <w:szCs w:val="18"/>
                <w:rtl/>
                <w:lang w:eastAsia="he-IL"/>
              </w:rPr>
              <w:t>...................</w:t>
            </w:r>
          </w:p>
        </w:tc>
        <w:tc>
          <w:tcPr>
            <w:tcW w:w="1098" w:type="pct"/>
            <w:vAlign w:val="center"/>
          </w:tcPr>
          <w:p w14:paraId="1AFF2FF4" w14:textId="77777777" w:rsidR="00CD1BE1" w:rsidRPr="00CA2198" w:rsidRDefault="00CD1BE1" w:rsidP="008B6406">
            <w:pPr>
              <w:spacing w:before="60"/>
              <w:rPr>
                <w:rtl/>
              </w:rPr>
            </w:pPr>
            <w:r w:rsidRPr="00CA2198">
              <w:rPr>
                <w:rFonts w:hint="cs"/>
                <w:rtl/>
              </w:rPr>
              <w:t>0</w:t>
            </w:r>
          </w:p>
        </w:tc>
        <w:tc>
          <w:tcPr>
            <w:tcW w:w="960" w:type="pct"/>
            <w:vAlign w:val="center"/>
          </w:tcPr>
          <w:p w14:paraId="4ADF6175" w14:textId="77777777" w:rsidR="00CD1BE1" w:rsidRPr="00CA2198" w:rsidRDefault="00CD1BE1" w:rsidP="008B6406">
            <w:pPr>
              <w:spacing w:before="60"/>
              <w:rPr>
                <w:rtl/>
              </w:rPr>
            </w:pPr>
            <w:r w:rsidRPr="00CA2198">
              <w:rPr>
                <w:rFonts w:hint="cs"/>
                <w:rtl/>
              </w:rPr>
              <w:t>0</w:t>
            </w:r>
          </w:p>
        </w:tc>
        <w:tc>
          <w:tcPr>
            <w:tcW w:w="960" w:type="pct"/>
            <w:vAlign w:val="center"/>
          </w:tcPr>
          <w:p w14:paraId="76AA99B8" w14:textId="77777777" w:rsidR="00CD1BE1" w:rsidRPr="00CA2198" w:rsidRDefault="00CD1BE1" w:rsidP="008B6406">
            <w:pPr>
              <w:spacing w:before="60"/>
              <w:rPr>
                <w:rtl/>
              </w:rPr>
            </w:pPr>
            <w:r w:rsidRPr="00CA2198">
              <w:rPr>
                <w:rFonts w:hint="cs"/>
                <w:rtl/>
              </w:rPr>
              <w:t>0</w:t>
            </w:r>
          </w:p>
        </w:tc>
      </w:tr>
    </w:tbl>
    <w:p w14:paraId="7BC90B1A" w14:textId="77777777" w:rsidR="002E5576" w:rsidRDefault="002E5576">
      <w:pPr>
        <w:spacing w:line="180" w:lineRule="exact"/>
        <w:rPr>
          <w:rtl/>
        </w:rPr>
      </w:pPr>
    </w:p>
    <w:p w14:paraId="6ABBCE64" w14:textId="77777777" w:rsidR="002E5576" w:rsidRDefault="002E5576">
      <w:pPr>
        <w:bidi w:val="0"/>
        <w:jc w:val="left"/>
      </w:pPr>
      <w:r>
        <w:rPr>
          <w:rtl/>
        </w:rPr>
        <w:br w:type="page"/>
      </w:r>
    </w:p>
    <w:tbl>
      <w:tblPr>
        <w:bidiVisual/>
        <w:tblW w:w="5068" w:type="pct"/>
        <w:tblInd w:w="-139" w:type="dxa"/>
        <w:tblLook w:val="04A0" w:firstRow="1" w:lastRow="0" w:firstColumn="1" w:lastColumn="0" w:noHBand="0" w:noVBand="1"/>
      </w:tblPr>
      <w:tblGrid>
        <w:gridCol w:w="1192"/>
        <w:gridCol w:w="509"/>
        <w:gridCol w:w="8136"/>
        <w:gridCol w:w="509"/>
      </w:tblGrid>
      <w:tr w:rsidR="004531B0" w:rsidRPr="00EF3E60" w14:paraId="7C502A66" w14:textId="77777777" w:rsidTr="00D34AC8">
        <w:trPr>
          <w:gridAfter w:val="1"/>
          <w:wAfter w:w="246" w:type="pct"/>
          <w:trHeight w:val="284"/>
        </w:trPr>
        <w:tc>
          <w:tcPr>
            <w:tcW w:w="576" w:type="pct"/>
          </w:tcPr>
          <w:p w14:paraId="41E9CC89" w14:textId="77777777" w:rsidR="004531B0" w:rsidRPr="00EA192D" w:rsidRDefault="001C568E" w:rsidP="00EA192D">
            <w:pPr>
              <w:jc w:val="left"/>
              <w:rPr>
                <w:b/>
                <w:bCs/>
                <w:color w:val="000000"/>
                <w:sz w:val="18"/>
                <w:szCs w:val="18"/>
                <w:rtl/>
                <w:lang w:eastAsia="he-IL"/>
              </w:rPr>
            </w:pPr>
            <w:r>
              <w:rPr>
                <w:rtl/>
              </w:rPr>
              <w:lastRenderedPageBreak/>
              <w:br/>
            </w:r>
            <w:r w:rsidR="00774946">
              <w:rPr>
                <w:rtl/>
              </w:rPr>
              <w:br w:type="page"/>
            </w:r>
          </w:p>
        </w:tc>
        <w:tc>
          <w:tcPr>
            <w:tcW w:w="4178" w:type="pct"/>
            <w:gridSpan w:val="2"/>
          </w:tcPr>
          <w:p w14:paraId="4158876D" w14:textId="77777777" w:rsidR="004531B0" w:rsidRPr="00EF3E60" w:rsidRDefault="004531B0" w:rsidP="008257BC">
            <w:pPr>
              <w:spacing w:after="60"/>
              <w:rPr>
                <w:b/>
                <w:bCs/>
                <w:sz w:val="22"/>
                <w:szCs w:val="22"/>
              </w:rPr>
            </w:pPr>
            <w:r w:rsidRPr="00EF3E60">
              <w:rPr>
                <w:rFonts w:eastAsia="Arial Unicode MS"/>
                <w:b/>
                <w:bCs/>
                <w:sz w:val="22"/>
                <w:szCs w:val="22"/>
                <w:rtl/>
              </w:rPr>
              <w:t xml:space="preserve">ביאור </w:t>
            </w:r>
            <w:r w:rsidRPr="001E3576">
              <w:rPr>
                <w:rFonts w:eastAsia="Arial Unicode MS" w:hint="cs"/>
                <w:b/>
                <w:bCs/>
                <w:sz w:val="22"/>
                <w:szCs w:val="22"/>
                <w:rtl/>
              </w:rPr>
              <w:t xml:space="preserve">10  </w:t>
            </w:r>
            <w:r w:rsidRPr="001E3576">
              <w:rPr>
                <w:rFonts w:eastAsia="Arial Unicode MS"/>
                <w:b/>
                <w:bCs/>
                <w:sz w:val="22"/>
                <w:szCs w:val="22"/>
                <w:rtl/>
              </w:rPr>
              <w:t>-</w:t>
            </w:r>
            <w:r w:rsidRPr="001E3576">
              <w:rPr>
                <w:rFonts w:eastAsia="Arial Unicode MS" w:hint="cs"/>
                <w:b/>
                <w:bCs/>
                <w:sz w:val="22"/>
                <w:szCs w:val="22"/>
                <w:rtl/>
              </w:rPr>
              <w:t xml:space="preserve"> </w:t>
            </w:r>
            <w:r w:rsidRPr="001E3576">
              <w:rPr>
                <w:rFonts w:eastAsia="Arial Unicode MS"/>
                <w:b/>
                <w:bCs/>
                <w:sz w:val="22"/>
                <w:szCs w:val="22"/>
                <w:rtl/>
              </w:rPr>
              <w:t xml:space="preserve"> </w:t>
            </w:r>
            <w:r w:rsidRPr="001E3576">
              <w:rPr>
                <w:rFonts w:hint="cs"/>
                <w:b/>
                <w:bCs/>
                <w:sz w:val="22"/>
                <w:szCs w:val="22"/>
                <w:rtl/>
              </w:rPr>
              <w:t>פעילות במכשירים נגזרים - היקף, סיכוני אשראי ומועדי</w:t>
            </w:r>
            <w:r w:rsidRPr="00EF3E60">
              <w:rPr>
                <w:rFonts w:hint="cs"/>
                <w:b/>
                <w:bCs/>
                <w:sz w:val="22"/>
                <w:szCs w:val="22"/>
                <w:rtl/>
              </w:rPr>
              <w:t xml:space="preserve"> פירעון (המשך</w:t>
            </w:r>
            <w:r>
              <w:rPr>
                <w:rFonts w:hint="cs"/>
                <w:b/>
                <w:bCs/>
                <w:sz w:val="22"/>
                <w:szCs w:val="22"/>
                <w:rtl/>
              </w:rPr>
              <w:t>):</w:t>
            </w:r>
          </w:p>
        </w:tc>
      </w:tr>
      <w:tr w:rsidR="002F28B0" w:rsidRPr="00EF3E60" w14:paraId="60E30B2B" w14:textId="77777777" w:rsidTr="00D34AC8">
        <w:tblPrEx>
          <w:tblLook w:val="0000" w:firstRow="0" w:lastRow="0" w:firstColumn="0" w:lastColumn="0" w:noHBand="0" w:noVBand="0"/>
        </w:tblPrEx>
        <w:trPr>
          <w:gridAfter w:val="1"/>
          <w:wAfter w:w="246" w:type="pct"/>
          <w:trHeight w:val="245"/>
        </w:trPr>
        <w:tc>
          <w:tcPr>
            <w:tcW w:w="576" w:type="pct"/>
          </w:tcPr>
          <w:p w14:paraId="2A778809" w14:textId="172C16B7" w:rsidR="002F28B0" w:rsidRPr="002F28B0" w:rsidRDefault="002F28B0" w:rsidP="0001523C">
            <w:pPr>
              <w:bidi w:val="0"/>
              <w:spacing w:before="60" w:after="40"/>
              <w:jc w:val="right"/>
              <w:rPr>
                <w:b/>
                <w:bCs/>
                <w:i/>
                <w:iCs/>
              </w:rPr>
            </w:pPr>
          </w:p>
        </w:tc>
        <w:tc>
          <w:tcPr>
            <w:tcW w:w="4178" w:type="pct"/>
            <w:gridSpan w:val="2"/>
          </w:tcPr>
          <w:p w14:paraId="46AA9A36" w14:textId="27BBE276" w:rsidR="002F28B0" w:rsidRDefault="00125AD1" w:rsidP="00E641F4">
            <w:pPr>
              <w:tabs>
                <w:tab w:val="left" w:pos="333"/>
              </w:tabs>
              <w:spacing w:before="60" w:after="40"/>
              <w:jc w:val="left"/>
              <w:rPr>
                <w:b/>
                <w:bCs/>
                <w:rtl/>
              </w:rPr>
            </w:pPr>
            <w:r>
              <w:rPr>
                <w:rFonts w:hint="cs"/>
                <w:b/>
                <w:bCs/>
                <w:rtl/>
              </w:rPr>
              <w:t>ה</w:t>
            </w:r>
            <w:r w:rsidR="002F28B0" w:rsidRPr="00EF3E60">
              <w:rPr>
                <w:rFonts w:hint="cs"/>
                <w:b/>
                <w:bCs/>
                <w:rtl/>
              </w:rPr>
              <w:t xml:space="preserve">. </w:t>
            </w:r>
            <w:r w:rsidR="002F28B0">
              <w:rPr>
                <w:b/>
                <w:bCs/>
                <w:rtl/>
              </w:rPr>
              <w:tab/>
            </w:r>
            <w:r w:rsidR="002F28B0">
              <w:rPr>
                <w:rFonts w:hint="cs"/>
                <w:b/>
                <w:bCs/>
                <w:rtl/>
              </w:rPr>
              <w:t>השפעות הפעילות במכשירים נגזרים בגידורי תזרים מזומנים:</w:t>
            </w:r>
          </w:p>
          <w:p w14:paraId="19EAD466" w14:textId="05B1B0F2" w:rsidR="00521C92" w:rsidRPr="00EF3E60" w:rsidRDefault="002F28B0" w:rsidP="005E5792">
            <w:pPr>
              <w:numPr>
                <w:ilvl w:val="0"/>
                <w:numId w:val="31"/>
              </w:numPr>
              <w:spacing w:before="60" w:after="60"/>
              <w:ind w:left="607" w:hanging="293"/>
              <w:rPr>
                <w:b/>
                <w:bCs/>
                <w:rtl/>
              </w:rPr>
            </w:pPr>
            <w:r>
              <w:rPr>
                <w:rFonts w:hint="cs"/>
                <w:b/>
                <w:bCs/>
                <w:rtl/>
              </w:rPr>
              <w:t>סכומים שהוכרו ברווח כולל אחר בגין גידורי תזרים מזומנים:</w:t>
            </w:r>
          </w:p>
        </w:tc>
      </w:tr>
      <w:tr w:rsidR="002F28B0" w:rsidRPr="00EF3E60" w14:paraId="3772FB0D" w14:textId="77777777" w:rsidTr="002D2247">
        <w:tblPrEx>
          <w:tblLook w:val="0000" w:firstRow="0" w:lastRow="0" w:firstColumn="0" w:lastColumn="0" w:noHBand="0" w:noVBand="0"/>
        </w:tblPrEx>
        <w:trPr>
          <w:trHeight w:val="245"/>
        </w:trPr>
        <w:tc>
          <w:tcPr>
            <w:tcW w:w="822" w:type="pct"/>
            <w:gridSpan w:val="2"/>
          </w:tcPr>
          <w:p w14:paraId="013060B8" w14:textId="04105333" w:rsidR="002F28B0" w:rsidRPr="000F181B" w:rsidRDefault="002F28B0" w:rsidP="007A5721">
            <w:pPr>
              <w:bidi w:val="0"/>
              <w:spacing w:before="60" w:after="60"/>
              <w:jc w:val="right"/>
              <w:rPr>
                <w:color w:val="FF0000"/>
                <w:sz w:val="14"/>
                <w:szCs w:val="14"/>
              </w:rPr>
            </w:pPr>
          </w:p>
        </w:tc>
        <w:tc>
          <w:tcPr>
            <w:tcW w:w="4178" w:type="pct"/>
            <w:gridSpan w:val="2"/>
          </w:tcPr>
          <w:p w14:paraId="37FB1C21" w14:textId="77777777" w:rsidR="002F28B0" w:rsidRPr="00D7780F" w:rsidRDefault="002F28B0" w:rsidP="004531B0">
            <w:pPr>
              <w:spacing w:before="60" w:after="60"/>
              <w:ind w:left="544" w:hanging="90"/>
              <w:rPr>
                <w:b/>
                <w:bCs/>
                <w:rtl/>
              </w:rPr>
            </w:pPr>
          </w:p>
        </w:tc>
      </w:tr>
    </w:tbl>
    <w:p w14:paraId="5115F797" w14:textId="77777777" w:rsidR="00D7780F" w:rsidRDefault="00D7780F" w:rsidP="00D7780F">
      <w:pPr>
        <w:rPr>
          <w:rtl/>
        </w:rPr>
      </w:pPr>
    </w:p>
    <w:tbl>
      <w:tblPr>
        <w:bidiVisual/>
        <w:tblW w:w="10208" w:type="dxa"/>
        <w:jc w:val="center"/>
        <w:tblLook w:val="04A0" w:firstRow="1" w:lastRow="0" w:firstColumn="1" w:lastColumn="0" w:noHBand="0" w:noVBand="1"/>
      </w:tblPr>
      <w:tblGrid>
        <w:gridCol w:w="1562"/>
        <w:gridCol w:w="1721"/>
        <w:gridCol w:w="1731"/>
        <w:gridCol w:w="1731"/>
        <w:gridCol w:w="1731"/>
        <w:gridCol w:w="1732"/>
      </w:tblGrid>
      <w:tr w:rsidR="00AD6D47" w14:paraId="18D98170" w14:textId="77777777" w:rsidTr="002D2247">
        <w:trPr>
          <w:jc w:val="center"/>
        </w:trPr>
        <w:tc>
          <w:tcPr>
            <w:tcW w:w="1562" w:type="dxa"/>
            <w:shd w:val="clear" w:color="auto" w:fill="auto"/>
            <w:vAlign w:val="bottom"/>
          </w:tcPr>
          <w:p w14:paraId="3996F98C" w14:textId="77777777" w:rsidR="00355D14" w:rsidRPr="00355D14" w:rsidRDefault="00355D14" w:rsidP="00355D14">
            <w:pPr>
              <w:bidi w:val="0"/>
              <w:jc w:val="left"/>
              <w:rPr>
                <w:sz w:val="12"/>
                <w:szCs w:val="12"/>
              </w:rPr>
            </w:pPr>
            <w:r w:rsidRPr="00355D14">
              <w:rPr>
                <w:rFonts w:hint="cs"/>
                <w:sz w:val="12"/>
                <w:szCs w:val="12"/>
              </w:rPr>
              <w:t xml:space="preserve">ASC </w:t>
            </w:r>
            <w:r w:rsidRPr="00355D14">
              <w:rPr>
                <w:sz w:val="12"/>
                <w:szCs w:val="12"/>
                <w:rtl/>
              </w:rPr>
              <w:t>815-10-50-4</w:t>
            </w:r>
            <w:r w:rsidRPr="00355D14">
              <w:rPr>
                <w:sz w:val="12"/>
                <w:szCs w:val="12"/>
              </w:rPr>
              <w:t xml:space="preserve">A(c) </w:t>
            </w:r>
          </w:p>
          <w:p w14:paraId="52C83BD6" w14:textId="6E5A5B4A" w:rsidR="00AD6D47" w:rsidRPr="00355D14" w:rsidRDefault="00355D14" w:rsidP="00355D14">
            <w:pPr>
              <w:bidi w:val="0"/>
              <w:jc w:val="left"/>
              <w:rPr>
                <w:sz w:val="12"/>
                <w:szCs w:val="12"/>
                <w:rtl/>
              </w:rPr>
            </w:pPr>
            <w:r w:rsidRPr="00355D14">
              <w:rPr>
                <w:sz w:val="12"/>
                <w:szCs w:val="12"/>
              </w:rPr>
              <w:t>ASC 815-10-50-4C</w:t>
            </w:r>
          </w:p>
        </w:tc>
        <w:tc>
          <w:tcPr>
            <w:tcW w:w="1721" w:type="dxa"/>
            <w:shd w:val="clear" w:color="auto" w:fill="auto"/>
            <w:vAlign w:val="bottom"/>
          </w:tcPr>
          <w:p w14:paraId="66AC74BB" w14:textId="77777777" w:rsidR="00AD6D47" w:rsidRPr="005E5792" w:rsidRDefault="00AD6D47" w:rsidP="009F2E53">
            <w:pPr>
              <w:jc w:val="center"/>
              <w:rPr>
                <w:sz w:val="18"/>
                <w:szCs w:val="18"/>
                <w:rtl/>
              </w:rPr>
            </w:pPr>
          </w:p>
        </w:tc>
        <w:tc>
          <w:tcPr>
            <w:tcW w:w="1731" w:type="dxa"/>
            <w:shd w:val="clear" w:color="auto" w:fill="auto"/>
            <w:vAlign w:val="bottom"/>
          </w:tcPr>
          <w:p w14:paraId="7DA99E74" w14:textId="77777777" w:rsidR="005E5792" w:rsidRPr="005E5792" w:rsidRDefault="00AD6D47" w:rsidP="00B56731">
            <w:pPr>
              <w:pBdr>
                <w:bottom w:val="single" w:sz="4" w:space="1" w:color="auto"/>
              </w:pBdr>
              <w:jc w:val="center"/>
              <w:rPr>
                <w:b/>
                <w:bCs/>
                <w:sz w:val="18"/>
                <w:szCs w:val="18"/>
                <w:rtl/>
              </w:rPr>
            </w:pPr>
            <w:r w:rsidRPr="005E5792">
              <w:rPr>
                <w:rFonts w:hint="cs"/>
                <w:b/>
                <w:bCs/>
                <w:sz w:val="18"/>
                <w:szCs w:val="18"/>
                <w:rtl/>
              </w:rPr>
              <w:t xml:space="preserve">3 חודשים </w:t>
            </w:r>
          </w:p>
          <w:p w14:paraId="01070AAC" w14:textId="3059BCB8" w:rsidR="00AD6D47" w:rsidRPr="005E5792" w:rsidRDefault="00AD6D47" w:rsidP="00B56731">
            <w:pPr>
              <w:pBdr>
                <w:bottom w:val="single" w:sz="4" w:space="1" w:color="auto"/>
              </w:pBdr>
              <w:jc w:val="center"/>
              <w:rPr>
                <w:b/>
                <w:bCs/>
                <w:sz w:val="18"/>
                <w:szCs w:val="18"/>
                <w:rtl/>
              </w:rPr>
            </w:pPr>
            <w:r w:rsidRPr="005E5792">
              <w:rPr>
                <w:rFonts w:hint="cs"/>
                <w:b/>
                <w:bCs/>
                <w:sz w:val="18"/>
                <w:szCs w:val="18"/>
                <w:rtl/>
              </w:rPr>
              <w:t>שהסתיימו ביום</w:t>
            </w:r>
          </w:p>
        </w:tc>
        <w:tc>
          <w:tcPr>
            <w:tcW w:w="1731" w:type="dxa"/>
            <w:shd w:val="clear" w:color="auto" w:fill="auto"/>
            <w:vAlign w:val="bottom"/>
          </w:tcPr>
          <w:p w14:paraId="5CB06CA8" w14:textId="77777777" w:rsidR="005E5792" w:rsidRPr="005E5792" w:rsidRDefault="00AD6D47" w:rsidP="00B56731">
            <w:pPr>
              <w:pBdr>
                <w:bottom w:val="single" w:sz="4" w:space="1" w:color="auto"/>
              </w:pBdr>
              <w:jc w:val="center"/>
              <w:rPr>
                <w:b/>
                <w:bCs/>
                <w:sz w:val="18"/>
                <w:szCs w:val="18"/>
                <w:rtl/>
              </w:rPr>
            </w:pPr>
            <w:r w:rsidRPr="005E5792">
              <w:rPr>
                <w:rFonts w:hint="cs"/>
                <w:b/>
                <w:bCs/>
                <w:sz w:val="18"/>
                <w:szCs w:val="18"/>
                <w:rtl/>
              </w:rPr>
              <w:t xml:space="preserve">6 חודשים </w:t>
            </w:r>
          </w:p>
          <w:p w14:paraId="063108B5" w14:textId="2822DE21" w:rsidR="00AD6D47" w:rsidRPr="005E5792" w:rsidRDefault="00AD6D47" w:rsidP="00B56731">
            <w:pPr>
              <w:pBdr>
                <w:bottom w:val="single" w:sz="4" w:space="1" w:color="auto"/>
              </w:pBdr>
              <w:jc w:val="center"/>
              <w:rPr>
                <w:b/>
                <w:bCs/>
                <w:sz w:val="18"/>
                <w:szCs w:val="18"/>
                <w:rtl/>
              </w:rPr>
            </w:pPr>
            <w:r w:rsidRPr="005E5792">
              <w:rPr>
                <w:rFonts w:hint="cs"/>
                <w:b/>
                <w:bCs/>
                <w:sz w:val="18"/>
                <w:szCs w:val="18"/>
                <w:rtl/>
              </w:rPr>
              <w:t>שהסתיימו ביום</w:t>
            </w:r>
          </w:p>
        </w:tc>
        <w:tc>
          <w:tcPr>
            <w:tcW w:w="1731" w:type="dxa"/>
            <w:shd w:val="clear" w:color="auto" w:fill="auto"/>
            <w:vAlign w:val="bottom"/>
          </w:tcPr>
          <w:p w14:paraId="1ED9EBEA" w14:textId="77777777" w:rsidR="005E5792" w:rsidRPr="005E5792" w:rsidRDefault="00AD6D47" w:rsidP="00B56731">
            <w:pPr>
              <w:pBdr>
                <w:bottom w:val="single" w:sz="4" w:space="1" w:color="auto"/>
              </w:pBdr>
              <w:jc w:val="center"/>
              <w:rPr>
                <w:b/>
                <w:bCs/>
                <w:sz w:val="18"/>
                <w:szCs w:val="18"/>
                <w:rtl/>
              </w:rPr>
            </w:pPr>
            <w:r w:rsidRPr="005E5792">
              <w:rPr>
                <w:rFonts w:hint="cs"/>
                <w:b/>
                <w:bCs/>
                <w:sz w:val="18"/>
                <w:szCs w:val="18"/>
                <w:rtl/>
              </w:rPr>
              <w:t>3 חודשים</w:t>
            </w:r>
          </w:p>
          <w:p w14:paraId="2227BF47" w14:textId="3178F6B9" w:rsidR="00AD6D47" w:rsidRPr="005E5792" w:rsidRDefault="00AD6D47" w:rsidP="00B56731">
            <w:pPr>
              <w:pBdr>
                <w:bottom w:val="single" w:sz="4" w:space="1" w:color="auto"/>
              </w:pBdr>
              <w:jc w:val="center"/>
              <w:rPr>
                <w:b/>
                <w:bCs/>
                <w:sz w:val="18"/>
                <w:szCs w:val="18"/>
                <w:rtl/>
              </w:rPr>
            </w:pPr>
            <w:r w:rsidRPr="005E5792">
              <w:rPr>
                <w:rFonts w:hint="cs"/>
                <w:b/>
                <w:bCs/>
                <w:sz w:val="18"/>
                <w:szCs w:val="18"/>
                <w:rtl/>
              </w:rPr>
              <w:t>שהסתיימו ביום</w:t>
            </w:r>
          </w:p>
        </w:tc>
        <w:tc>
          <w:tcPr>
            <w:tcW w:w="1732" w:type="dxa"/>
            <w:shd w:val="clear" w:color="auto" w:fill="auto"/>
            <w:vAlign w:val="bottom"/>
          </w:tcPr>
          <w:p w14:paraId="415502A5" w14:textId="77777777" w:rsidR="005E5792" w:rsidRPr="005E5792" w:rsidRDefault="00AD6D47" w:rsidP="00B56731">
            <w:pPr>
              <w:pBdr>
                <w:bottom w:val="single" w:sz="4" w:space="1" w:color="auto"/>
              </w:pBdr>
              <w:jc w:val="center"/>
              <w:rPr>
                <w:b/>
                <w:bCs/>
                <w:sz w:val="18"/>
                <w:szCs w:val="18"/>
                <w:rtl/>
              </w:rPr>
            </w:pPr>
            <w:r w:rsidRPr="005E5792">
              <w:rPr>
                <w:rFonts w:hint="cs"/>
                <w:b/>
                <w:bCs/>
                <w:sz w:val="18"/>
                <w:szCs w:val="18"/>
                <w:rtl/>
              </w:rPr>
              <w:t xml:space="preserve">6 חודשים </w:t>
            </w:r>
          </w:p>
          <w:p w14:paraId="69E1DC9E" w14:textId="2A956BCB" w:rsidR="00AD6D47" w:rsidRPr="005E5792" w:rsidRDefault="00AD6D47" w:rsidP="00B56731">
            <w:pPr>
              <w:pBdr>
                <w:bottom w:val="single" w:sz="4" w:space="1" w:color="auto"/>
              </w:pBdr>
              <w:jc w:val="center"/>
              <w:rPr>
                <w:b/>
                <w:bCs/>
                <w:sz w:val="18"/>
                <w:szCs w:val="18"/>
                <w:rtl/>
              </w:rPr>
            </w:pPr>
            <w:r w:rsidRPr="005E5792">
              <w:rPr>
                <w:rFonts w:hint="cs"/>
                <w:b/>
                <w:bCs/>
                <w:sz w:val="18"/>
                <w:szCs w:val="18"/>
                <w:rtl/>
              </w:rPr>
              <w:t>שהסתיימו ביום</w:t>
            </w:r>
          </w:p>
        </w:tc>
      </w:tr>
      <w:tr w:rsidR="00AD6D47" w14:paraId="690BCCD2" w14:textId="77777777" w:rsidTr="002D2247">
        <w:trPr>
          <w:jc w:val="center"/>
        </w:trPr>
        <w:tc>
          <w:tcPr>
            <w:tcW w:w="1562" w:type="dxa"/>
            <w:shd w:val="clear" w:color="auto" w:fill="auto"/>
            <w:vAlign w:val="bottom"/>
          </w:tcPr>
          <w:p w14:paraId="6B47745C" w14:textId="77777777" w:rsidR="00AD6D47" w:rsidRPr="005E5792" w:rsidRDefault="00AD6D47" w:rsidP="009F2E53">
            <w:pPr>
              <w:jc w:val="center"/>
              <w:rPr>
                <w:sz w:val="18"/>
                <w:szCs w:val="18"/>
                <w:rtl/>
              </w:rPr>
            </w:pPr>
          </w:p>
        </w:tc>
        <w:tc>
          <w:tcPr>
            <w:tcW w:w="1721" w:type="dxa"/>
            <w:shd w:val="clear" w:color="auto" w:fill="auto"/>
            <w:vAlign w:val="bottom"/>
          </w:tcPr>
          <w:p w14:paraId="2F47E2FC" w14:textId="77777777" w:rsidR="00AD6D47" w:rsidRPr="005E5792" w:rsidRDefault="00AD6D47" w:rsidP="009F2E53">
            <w:pPr>
              <w:jc w:val="center"/>
              <w:rPr>
                <w:sz w:val="18"/>
                <w:szCs w:val="18"/>
                <w:rtl/>
              </w:rPr>
            </w:pPr>
          </w:p>
        </w:tc>
        <w:tc>
          <w:tcPr>
            <w:tcW w:w="3462" w:type="dxa"/>
            <w:gridSpan w:val="2"/>
            <w:shd w:val="clear" w:color="auto" w:fill="auto"/>
            <w:vAlign w:val="bottom"/>
          </w:tcPr>
          <w:p w14:paraId="73DBB73C" w14:textId="6B33E60F" w:rsidR="00AD6D47" w:rsidRPr="005E5792" w:rsidRDefault="00AD6D47" w:rsidP="00B56731">
            <w:pPr>
              <w:pBdr>
                <w:bottom w:val="single" w:sz="4" w:space="1" w:color="auto"/>
              </w:pBdr>
              <w:jc w:val="center"/>
              <w:rPr>
                <w:b/>
                <w:bCs/>
                <w:sz w:val="18"/>
                <w:szCs w:val="18"/>
                <w:rtl/>
              </w:rPr>
            </w:pPr>
            <w:r w:rsidRPr="005E5792">
              <w:rPr>
                <w:rFonts w:hint="cs"/>
                <w:b/>
                <w:bCs/>
                <w:sz w:val="18"/>
                <w:szCs w:val="18"/>
                <w:rtl/>
              </w:rPr>
              <w:t xml:space="preserve">30 ביוני </w:t>
            </w:r>
            <w:r w:rsidR="00736169" w:rsidRPr="005E5792">
              <w:rPr>
                <w:b/>
                <w:bCs/>
                <w:sz w:val="18"/>
                <w:szCs w:val="18"/>
                <w:rtl/>
              </w:rPr>
              <w:fldChar w:fldCharType="begin"/>
            </w:r>
            <w:r w:rsidR="00736169" w:rsidRPr="005E5792">
              <w:rPr>
                <w:b/>
                <w:bCs/>
                <w:sz w:val="18"/>
                <w:szCs w:val="18"/>
                <w:rtl/>
              </w:rPr>
              <w:instrText xml:space="preserve"> </w:instrText>
            </w:r>
            <w:r w:rsidR="00736169" w:rsidRPr="005E5792">
              <w:rPr>
                <w:rFonts w:hint="cs"/>
                <w:b/>
                <w:bCs/>
                <w:sz w:val="18"/>
                <w:szCs w:val="18"/>
                <w:rtl/>
              </w:rPr>
              <w:instrText xml:space="preserve">= </w:instrText>
            </w:r>
            <w:r w:rsidR="00736169" w:rsidRPr="005E5792">
              <w:rPr>
                <w:rFonts w:hint="cs"/>
                <w:b/>
                <w:bCs/>
                <w:sz w:val="18"/>
                <w:szCs w:val="18"/>
              </w:rPr>
              <w:instrText>CY \* MERGEFORMAT</w:instrText>
            </w:r>
            <w:r w:rsidR="00736169" w:rsidRPr="005E5792">
              <w:rPr>
                <w:b/>
                <w:bCs/>
                <w:sz w:val="18"/>
                <w:szCs w:val="18"/>
                <w:rtl/>
              </w:rPr>
              <w:instrText xml:space="preserve"> </w:instrText>
            </w:r>
            <w:r w:rsidR="00736169" w:rsidRPr="005E5792">
              <w:rPr>
                <w:b/>
                <w:bCs/>
                <w:sz w:val="18"/>
                <w:szCs w:val="18"/>
                <w:rtl/>
              </w:rPr>
              <w:fldChar w:fldCharType="separate"/>
            </w:r>
            <w:r w:rsidR="003A584F">
              <w:rPr>
                <w:b/>
                <w:bCs/>
                <w:noProof/>
                <w:sz w:val="18"/>
                <w:szCs w:val="18"/>
                <w:rtl/>
              </w:rPr>
              <w:t>2024</w:t>
            </w:r>
            <w:r w:rsidR="00736169" w:rsidRPr="005E5792">
              <w:rPr>
                <w:b/>
                <w:bCs/>
                <w:sz w:val="18"/>
                <w:szCs w:val="18"/>
                <w:rtl/>
              </w:rPr>
              <w:fldChar w:fldCharType="end"/>
            </w:r>
            <w:r w:rsidR="00736169" w:rsidRPr="005E5792">
              <w:rPr>
                <w:rFonts w:hint="cs"/>
                <w:b/>
                <w:bCs/>
                <w:sz w:val="18"/>
                <w:szCs w:val="18"/>
                <w:rtl/>
              </w:rPr>
              <w:t xml:space="preserve"> </w:t>
            </w:r>
            <w:r w:rsidRPr="006F749D">
              <w:rPr>
                <w:rFonts w:hint="cs"/>
                <w:sz w:val="18"/>
                <w:szCs w:val="18"/>
                <w:rtl/>
              </w:rPr>
              <w:t>(בלתי מבוקר)</w:t>
            </w:r>
          </w:p>
        </w:tc>
        <w:tc>
          <w:tcPr>
            <w:tcW w:w="3463" w:type="dxa"/>
            <w:gridSpan w:val="2"/>
            <w:shd w:val="clear" w:color="auto" w:fill="auto"/>
            <w:vAlign w:val="bottom"/>
          </w:tcPr>
          <w:p w14:paraId="4F1162E5" w14:textId="445BCDAE" w:rsidR="00AD6D47" w:rsidRPr="005E5792" w:rsidRDefault="00AD6D47" w:rsidP="00B56731">
            <w:pPr>
              <w:pBdr>
                <w:bottom w:val="single" w:sz="4" w:space="1" w:color="auto"/>
              </w:pBdr>
              <w:jc w:val="center"/>
              <w:rPr>
                <w:b/>
                <w:bCs/>
                <w:sz w:val="18"/>
                <w:szCs w:val="18"/>
                <w:rtl/>
              </w:rPr>
            </w:pPr>
            <w:r w:rsidRPr="005E5792">
              <w:rPr>
                <w:rFonts w:hint="cs"/>
                <w:b/>
                <w:bCs/>
                <w:sz w:val="18"/>
                <w:szCs w:val="18"/>
                <w:rtl/>
              </w:rPr>
              <w:t xml:space="preserve">30 ביוני </w:t>
            </w:r>
            <w:r w:rsidR="00736169" w:rsidRPr="005E5792">
              <w:rPr>
                <w:b/>
                <w:bCs/>
                <w:sz w:val="18"/>
                <w:szCs w:val="18"/>
                <w:rtl/>
              </w:rPr>
              <w:fldChar w:fldCharType="begin"/>
            </w:r>
            <w:r w:rsidR="00736169" w:rsidRPr="005E5792">
              <w:rPr>
                <w:b/>
                <w:bCs/>
                <w:sz w:val="18"/>
                <w:szCs w:val="18"/>
                <w:rtl/>
              </w:rPr>
              <w:instrText xml:space="preserve"> </w:instrText>
            </w:r>
            <w:r w:rsidR="00736169" w:rsidRPr="005E5792">
              <w:rPr>
                <w:rFonts w:hint="cs"/>
                <w:b/>
                <w:bCs/>
                <w:sz w:val="18"/>
                <w:szCs w:val="18"/>
                <w:rtl/>
              </w:rPr>
              <w:instrText xml:space="preserve">= </w:instrText>
            </w:r>
            <w:r w:rsidR="00736169" w:rsidRPr="005E5792">
              <w:rPr>
                <w:rFonts w:hint="cs"/>
                <w:b/>
                <w:bCs/>
                <w:sz w:val="18"/>
                <w:szCs w:val="18"/>
              </w:rPr>
              <w:instrText>CY</w:instrText>
            </w:r>
            <w:r w:rsidR="00736169" w:rsidRPr="005E5792">
              <w:rPr>
                <w:b/>
                <w:bCs/>
                <w:sz w:val="18"/>
                <w:szCs w:val="18"/>
              </w:rPr>
              <w:instrText>-1</w:instrText>
            </w:r>
            <w:r w:rsidR="00736169" w:rsidRPr="005E5792">
              <w:rPr>
                <w:rFonts w:hint="cs"/>
                <w:b/>
                <w:bCs/>
                <w:sz w:val="18"/>
                <w:szCs w:val="18"/>
              </w:rPr>
              <w:instrText xml:space="preserve"> \* MERGEFORMAT</w:instrText>
            </w:r>
            <w:r w:rsidR="00736169" w:rsidRPr="005E5792">
              <w:rPr>
                <w:b/>
                <w:bCs/>
                <w:sz w:val="18"/>
                <w:szCs w:val="18"/>
                <w:rtl/>
              </w:rPr>
              <w:instrText xml:space="preserve"> </w:instrText>
            </w:r>
            <w:r w:rsidR="00736169" w:rsidRPr="005E5792">
              <w:rPr>
                <w:b/>
                <w:bCs/>
                <w:sz w:val="18"/>
                <w:szCs w:val="18"/>
                <w:rtl/>
              </w:rPr>
              <w:fldChar w:fldCharType="separate"/>
            </w:r>
            <w:r w:rsidR="003A584F">
              <w:rPr>
                <w:b/>
                <w:bCs/>
                <w:noProof/>
                <w:sz w:val="18"/>
                <w:szCs w:val="18"/>
                <w:rtl/>
              </w:rPr>
              <w:t>2023</w:t>
            </w:r>
            <w:r w:rsidR="00736169" w:rsidRPr="005E5792">
              <w:rPr>
                <w:b/>
                <w:bCs/>
                <w:sz w:val="18"/>
                <w:szCs w:val="18"/>
                <w:rtl/>
              </w:rPr>
              <w:fldChar w:fldCharType="end"/>
            </w:r>
            <w:r w:rsidR="00736169" w:rsidRPr="005E5792">
              <w:rPr>
                <w:rFonts w:hint="cs"/>
                <w:b/>
                <w:bCs/>
                <w:sz w:val="18"/>
                <w:szCs w:val="18"/>
                <w:rtl/>
              </w:rPr>
              <w:t xml:space="preserve"> </w:t>
            </w:r>
            <w:r w:rsidRPr="006F749D">
              <w:rPr>
                <w:rFonts w:hint="cs"/>
                <w:sz w:val="18"/>
                <w:szCs w:val="18"/>
                <w:rtl/>
              </w:rPr>
              <w:t>(בלתי מבוקר)</w:t>
            </w:r>
          </w:p>
        </w:tc>
      </w:tr>
      <w:tr w:rsidR="00AD6D47" w14:paraId="1EEE6BAF" w14:textId="77777777" w:rsidTr="002D2247">
        <w:trPr>
          <w:jc w:val="center"/>
        </w:trPr>
        <w:tc>
          <w:tcPr>
            <w:tcW w:w="1562" w:type="dxa"/>
            <w:shd w:val="clear" w:color="auto" w:fill="auto"/>
            <w:vAlign w:val="bottom"/>
          </w:tcPr>
          <w:p w14:paraId="04BD8822" w14:textId="77777777" w:rsidR="00AD6D47" w:rsidRPr="005E5792" w:rsidRDefault="00AD6D47" w:rsidP="009F2E53">
            <w:pPr>
              <w:jc w:val="center"/>
              <w:rPr>
                <w:sz w:val="18"/>
                <w:szCs w:val="18"/>
                <w:rtl/>
              </w:rPr>
            </w:pPr>
          </w:p>
        </w:tc>
        <w:tc>
          <w:tcPr>
            <w:tcW w:w="1721" w:type="dxa"/>
            <w:shd w:val="clear" w:color="auto" w:fill="auto"/>
            <w:vAlign w:val="bottom"/>
          </w:tcPr>
          <w:p w14:paraId="761C2CC8" w14:textId="77777777" w:rsidR="00AD6D47" w:rsidRPr="005E5792" w:rsidRDefault="00AD6D47" w:rsidP="009102FE">
            <w:pPr>
              <w:pBdr>
                <w:bottom w:val="single" w:sz="4" w:space="1" w:color="auto"/>
              </w:pBdr>
              <w:spacing w:after="60"/>
              <w:jc w:val="left"/>
              <w:rPr>
                <w:b/>
                <w:bCs/>
                <w:sz w:val="18"/>
                <w:szCs w:val="18"/>
                <w:rtl/>
              </w:rPr>
            </w:pPr>
            <w:r w:rsidRPr="005E5792">
              <w:rPr>
                <w:rFonts w:hint="cs"/>
                <w:b/>
                <w:bCs/>
                <w:sz w:val="18"/>
                <w:szCs w:val="18"/>
                <w:rtl/>
              </w:rPr>
              <w:t>חוזה הגידור</w:t>
            </w:r>
          </w:p>
        </w:tc>
        <w:tc>
          <w:tcPr>
            <w:tcW w:w="3462" w:type="dxa"/>
            <w:gridSpan w:val="2"/>
            <w:shd w:val="clear" w:color="auto" w:fill="auto"/>
            <w:vAlign w:val="bottom"/>
          </w:tcPr>
          <w:p w14:paraId="31EEE9D8" w14:textId="77777777" w:rsidR="00AD6D47" w:rsidRPr="005E5792" w:rsidRDefault="00AD6D47" w:rsidP="009102FE">
            <w:pPr>
              <w:pBdr>
                <w:bottom w:val="single" w:sz="4" w:space="1" w:color="auto"/>
              </w:pBdr>
              <w:spacing w:after="60"/>
              <w:jc w:val="center"/>
              <w:rPr>
                <w:b/>
                <w:bCs/>
                <w:sz w:val="18"/>
                <w:szCs w:val="18"/>
                <w:rtl/>
              </w:rPr>
            </w:pPr>
            <w:r w:rsidRPr="005E5792">
              <w:rPr>
                <w:rFonts w:hint="cs"/>
                <w:b/>
                <w:bCs/>
                <w:sz w:val="18"/>
                <w:szCs w:val="18"/>
                <w:rtl/>
              </w:rPr>
              <w:t>רווח (הפסד) שהוכר ברווח כולל אחר מצטבר בגין הנגזר</w:t>
            </w:r>
            <w:r w:rsidRPr="005E5792">
              <w:rPr>
                <w:rFonts w:hint="cs"/>
                <w:b/>
                <w:bCs/>
                <w:sz w:val="18"/>
                <w:szCs w:val="18"/>
                <w:vertAlign w:val="superscript"/>
                <w:rtl/>
              </w:rPr>
              <w:t>(א)</w:t>
            </w:r>
          </w:p>
        </w:tc>
        <w:tc>
          <w:tcPr>
            <w:tcW w:w="3463" w:type="dxa"/>
            <w:gridSpan w:val="2"/>
            <w:shd w:val="clear" w:color="auto" w:fill="auto"/>
            <w:vAlign w:val="bottom"/>
          </w:tcPr>
          <w:p w14:paraId="358DE09B" w14:textId="77777777" w:rsidR="00AD6D47" w:rsidRPr="005E5792" w:rsidRDefault="00AD6D47" w:rsidP="009102FE">
            <w:pPr>
              <w:pBdr>
                <w:bottom w:val="single" w:sz="4" w:space="1" w:color="auto"/>
              </w:pBdr>
              <w:spacing w:after="60"/>
              <w:jc w:val="center"/>
              <w:rPr>
                <w:b/>
                <w:bCs/>
                <w:sz w:val="18"/>
                <w:szCs w:val="18"/>
                <w:rtl/>
              </w:rPr>
            </w:pPr>
            <w:r w:rsidRPr="005E5792">
              <w:rPr>
                <w:rFonts w:hint="cs"/>
                <w:b/>
                <w:bCs/>
                <w:sz w:val="18"/>
                <w:szCs w:val="18"/>
                <w:rtl/>
              </w:rPr>
              <w:t>רווח (הפסד) שהוכר ברווח כולל אחר מצטבר בגין הנגזר</w:t>
            </w:r>
            <w:r w:rsidR="00080BD1" w:rsidRPr="005E5792">
              <w:rPr>
                <w:rFonts w:hint="cs"/>
                <w:b/>
                <w:bCs/>
                <w:sz w:val="18"/>
                <w:szCs w:val="18"/>
                <w:vertAlign w:val="superscript"/>
                <w:rtl/>
              </w:rPr>
              <w:t>(א)</w:t>
            </w:r>
            <w:r w:rsidR="00080BD1" w:rsidRPr="005E5792" w:rsidDel="00080BD1">
              <w:rPr>
                <w:rFonts w:hint="cs"/>
                <w:b/>
                <w:bCs/>
                <w:sz w:val="18"/>
                <w:szCs w:val="18"/>
                <w:vertAlign w:val="superscript"/>
                <w:rtl/>
              </w:rPr>
              <w:t xml:space="preserve"> </w:t>
            </w:r>
          </w:p>
        </w:tc>
      </w:tr>
      <w:tr w:rsidR="00AD6D47" w14:paraId="006C1A37" w14:textId="77777777" w:rsidTr="002D2247">
        <w:trPr>
          <w:jc w:val="center"/>
        </w:trPr>
        <w:tc>
          <w:tcPr>
            <w:tcW w:w="1562" w:type="dxa"/>
            <w:shd w:val="clear" w:color="auto" w:fill="auto"/>
          </w:tcPr>
          <w:p w14:paraId="3BA5D617" w14:textId="77777777" w:rsidR="00AD6D47" w:rsidRPr="005E5792" w:rsidRDefault="00AD6D47" w:rsidP="009F2E53">
            <w:pPr>
              <w:spacing w:before="20" w:after="20"/>
              <w:rPr>
                <w:sz w:val="18"/>
                <w:szCs w:val="18"/>
                <w:rtl/>
              </w:rPr>
            </w:pPr>
          </w:p>
        </w:tc>
        <w:tc>
          <w:tcPr>
            <w:tcW w:w="1721" w:type="dxa"/>
            <w:shd w:val="clear" w:color="auto" w:fill="auto"/>
          </w:tcPr>
          <w:p w14:paraId="64130F10" w14:textId="77777777" w:rsidR="00AD6D47" w:rsidRPr="005E5792" w:rsidRDefault="00AD6D47" w:rsidP="009F2E53">
            <w:pPr>
              <w:spacing w:before="20" w:after="20"/>
              <w:rPr>
                <w:sz w:val="18"/>
                <w:szCs w:val="18"/>
                <w:rtl/>
              </w:rPr>
            </w:pPr>
            <w:r w:rsidRPr="005E5792">
              <w:rPr>
                <w:rFonts w:hint="cs"/>
                <w:sz w:val="18"/>
                <w:szCs w:val="18"/>
                <w:rtl/>
              </w:rPr>
              <w:t>שיעור ריבית</w:t>
            </w:r>
          </w:p>
        </w:tc>
        <w:tc>
          <w:tcPr>
            <w:tcW w:w="1731" w:type="dxa"/>
            <w:shd w:val="clear" w:color="auto" w:fill="auto"/>
          </w:tcPr>
          <w:p w14:paraId="4A35C96E" w14:textId="77777777" w:rsidR="00AD6D47" w:rsidRPr="005E5792" w:rsidRDefault="00BB0254" w:rsidP="009F2E53">
            <w:pPr>
              <w:spacing w:before="20" w:after="20"/>
              <w:ind w:left="284" w:right="284"/>
              <w:rPr>
                <w:sz w:val="18"/>
                <w:szCs w:val="18"/>
                <w:rtl/>
              </w:rPr>
            </w:pPr>
            <w:r w:rsidRPr="005E5792">
              <w:rPr>
                <w:rFonts w:hint="cs"/>
                <w:sz w:val="18"/>
                <w:szCs w:val="18"/>
                <w:rtl/>
              </w:rPr>
              <w:t>0</w:t>
            </w:r>
          </w:p>
        </w:tc>
        <w:tc>
          <w:tcPr>
            <w:tcW w:w="1731" w:type="dxa"/>
            <w:shd w:val="clear" w:color="auto" w:fill="auto"/>
          </w:tcPr>
          <w:p w14:paraId="0C7D5B07" w14:textId="77777777" w:rsidR="00AD6D47" w:rsidRPr="005E5792" w:rsidRDefault="00BB0254" w:rsidP="009F2E53">
            <w:pPr>
              <w:spacing w:before="20" w:after="20"/>
              <w:ind w:left="284" w:right="284"/>
              <w:rPr>
                <w:sz w:val="18"/>
                <w:szCs w:val="18"/>
                <w:rtl/>
              </w:rPr>
            </w:pPr>
            <w:r w:rsidRPr="005E5792">
              <w:rPr>
                <w:rFonts w:hint="cs"/>
                <w:sz w:val="18"/>
                <w:szCs w:val="18"/>
                <w:rtl/>
              </w:rPr>
              <w:t>0</w:t>
            </w:r>
          </w:p>
        </w:tc>
        <w:tc>
          <w:tcPr>
            <w:tcW w:w="1731" w:type="dxa"/>
            <w:shd w:val="clear" w:color="auto" w:fill="auto"/>
          </w:tcPr>
          <w:p w14:paraId="4019DBC2" w14:textId="77777777" w:rsidR="00AD6D47" w:rsidRPr="005E5792" w:rsidRDefault="00BB0254" w:rsidP="009F2E53">
            <w:pPr>
              <w:spacing w:before="20" w:after="20"/>
              <w:ind w:left="284" w:right="284"/>
              <w:rPr>
                <w:sz w:val="18"/>
                <w:szCs w:val="18"/>
                <w:rtl/>
              </w:rPr>
            </w:pPr>
            <w:r w:rsidRPr="005E5792">
              <w:rPr>
                <w:rFonts w:hint="cs"/>
                <w:sz w:val="18"/>
                <w:szCs w:val="18"/>
                <w:rtl/>
              </w:rPr>
              <w:t>0</w:t>
            </w:r>
          </w:p>
        </w:tc>
        <w:tc>
          <w:tcPr>
            <w:tcW w:w="1732" w:type="dxa"/>
            <w:shd w:val="clear" w:color="auto" w:fill="auto"/>
          </w:tcPr>
          <w:p w14:paraId="3B106E81" w14:textId="77777777" w:rsidR="00AD6D47" w:rsidRPr="005E5792" w:rsidRDefault="00BB0254" w:rsidP="009F2E53">
            <w:pPr>
              <w:spacing w:before="20" w:after="20"/>
              <w:ind w:left="284" w:right="284"/>
              <w:rPr>
                <w:sz w:val="18"/>
                <w:szCs w:val="18"/>
                <w:rtl/>
              </w:rPr>
            </w:pPr>
            <w:r w:rsidRPr="005E5792">
              <w:rPr>
                <w:rFonts w:hint="cs"/>
                <w:sz w:val="18"/>
                <w:szCs w:val="18"/>
                <w:rtl/>
              </w:rPr>
              <w:t>0</w:t>
            </w:r>
          </w:p>
        </w:tc>
      </w:tr>
      <w:tr w:rsidR="00AD6D47" w14:paraId="59B0E264" w14:textId="77777777" w:rsidTr="002D2247">
        <w:trPr>
          <w:jc w:val="center"/>
        </w:trPr>
        <w:tc>
          <w:tcPr>
            <w:tcW w:w="1562" w:type="dxa"/>
            <w:shd w:val="clear" w:color="auto" w:fill="auto"/>
          </w:tcPr>
          <w:p w14:paraId="4E36712B" w14:textId="77777777" w:rsidR="00AD6D47" w:rsidRPr="005E5792" w:rsidRDefault="00AD6D47" w:rsidP="009F2E53">
            <w:pPr>
              <w:spacing w:before="20" w:after="20"/>
              <w:rPr>
                <w:sz w:val="18"/>
                <w:szCs w:val="18"/>
                <w:rtl/>
              </w:rPr>
            </w:pPr>
          </w:p>
        </w:tc>
        <w:tc>
          <w:tcPr>
            <w:tcW w:w="1721" w:type="dxa"/>
            <w:shd w:val="clear" w:color="auto" w:fill="auto"/>
          </w:tcPr>
          <w:p w14:paraId="19A05983" w14:textId="77777777" w:rsidR="00AD6D47" w:rsidRPr="005E5792" w:rsidRDefault="00AD6D47" w:rsidP="009F2E53">
            <w:pPr>
              <w:spacing w:before="20" w:after="20"/>
              <w:rPr>
                <w:sz w:val="18"/>
                <w:szCs w:val="18"/>
                <w:rtl/>
              </w:rPr>
            </w:pPr>
            <w:r w:rsidRPr="005E5792">
              <w:rPr>
                <w:rFonts w:hint="cs"/>
                <w:sz w:val="18"/>
                <w:szCs w:val="18"/>
                <w:rtl/>
              </w:rPr>
              <w:t>מטבע חוץ</w:t>
            </w:r>
          </w:p>
        </w:tc>
        <w:tc>
          <w:tcPr>
            <w:tcW w:w="1731" w:type="dxa"/>
            <w:shd w:val="clear" w:color="auto" w:fill="auto"/>
          </w:tcPr>
          <w:p w14:paraId="3796C231" w14:textId="77777777" w:rsidR="00AD6D47" w:rsidRPr="005E5792" w:rsidRDefault="00BB0254" w:rsidP="009F2E53">
            <w:pPr>
              <w:pBdr>
                <w:bottom w:val="single" w:sz="4" w:space="1" w:color="auto"/>
              </w:pBdr>
              <w:spacing w:before="20" w:after="20"/>
              <w:ind w:left="284" w:right="284"/>
              <w:rPr>
                <w:sz w:val="18"/>
                <w:szCs w:val="18"/>
                <w:rtl/>
              </w:rPr>
            </w:pPr>
            <w:r w:rsidRPr="005E5792">
              <w:rPr>
                <w:rFonts w:hint="cs"/>
                <w:sz w:val="18"/>
                <w:szCs w:val="18"/>
                <w:rtl/>
              </w:rPr>
              <w:t>0</w:t>
            </w:r>
          </w:p>
        </w:tc>
        <w:tc>
          <w:tcPr>
            <w:tcW w:w="1731" w:type="dxa"/>
            <w:shd w:val="clear" w:color="auto" w:fill="auto"/>
          </w:tcPr>
          <w:p w14:paraId="2DA4B635" w14:textId="77777777" w:rsidR="00AD6D47" w:rsidRPr="005E5792" w:rsidRDefault="00BB0254" w:rsidP="009F2E53">
            <w:pPr>
              <w:pBdr>
                <w:bottom w:val="single" w:sz="4" w:space="1" w:color="auto"/>
              </w:pBdr>
              <w:spacing w:before="20" w:after="20"/>
              <w:ind w:left="284" w:right="284"/>
              <w:rPr>
                <w:sz w:val="18"/>
                <w:szCs w:val="18"/>
                <w:rtl/>
              </w:rPr>
            </w:pPr>
            <w:r w:rsidRPr="005E5792">
              <w:rPr>
                <w:rFonts w:hint="cs"/>
                <w:sz w:val="18"/>
                <w:szCs w:val="18"/>
                <w:rtl/>
              </w:rPr>
              <w:t>0</w:t>
            </w:r>
          </w:p>
        </w:tc>
        <w:tc>
          <w:tcPr>
            <w:tcW w:w="1731" w:type="dxa"/>
            <w:shd w:val="clear" w:color="auto" w:fill="auto"/>
          </w:tcPr>
          <w:p w14:paraId="22EED204" w14:textId="77777777" w:rsidR="00AD6D47" w:rsidRPr="005E5792" w:rsidRDefault="00BB0254" w:rsidP="009F2E53">
            <w:pPr>
              <w:pBdr>
                <w:bottom w:val="single" w:sz="4" w:space="1" w:color="auto"/>
              </w:pBdr>
              <w:spacing w:before="20" w:after="20"/>
              <w:ind w:left="284" w:right="284"/>
              <w:rPr>
                <w:sz w:val="18"/>
                <w:szCs w:val="18"/>
                <w:rtl/>
              </w:rPr>
            </w:pPr>
            <w:r w:rsidRPr="005E5792">
              <w:rPr>
                <w:rFonts w:hint="cs"/>
                <w:sz w:val="18"/>
                <w:szCs w:val="18"/>
                <w:rtl/>
              </w:rPr>
              <w:t>0</w:t>
            </w:r>
          </w:p>
        </w:tc>
        <w:tc>
          <w:tcPr>
            <w:tcW w:w="1732" w:type="dxa"/>
            <w:shd w:val="clear" w:color="auto" w:fill="auto"/>
          </w:tcPr>
          <w:p w14:paraId="3EFBB739" w14:textId="77777777" w:rsidR="00AD6D47" w:rsidRPr="005E5792" w:rsidRDefault="00BB0254" w:rsidP="009F2E53">
            <w:pPr>
              <w:pBdr>
                <w:bottom w:val="single" w:sz="4" w:space="1" w:color="auto"/>
              </w:pBdr>
              <w:spacing w:before="20" w:after="20"/>
              <w:ind w:left="284" w:right="284"/>
              <w:rPr>
                <w:sz w:val="18"/>
                <w:szCs w:val="18"/>
                <w:rtl/>
              </w:rPr>
            </w:pPr>
            <w:r w:rsidRPr="005E5792">
              <w:rPr>
                <w:rFonts w:hint="cs"/>
                <w:sz w:val="18"/>
                <w:szCs w:val="18"/>
                <w:rtl/>
              </w:rPr>
              <w:t>0</w:t>
            </w:r>
          </w:p>
        </w:tc>
      </w:tr>
      <w:tr w:rsidR="00AD6D47" w14:paraId="27633A57" w14:textId="77777777" w:rsidTr="002D2247">
        <w:trPr>
          <w:jc w:val="center"/>
        </w:trPr>
        <w:tc>
          <w:tcPr>
            <w:tcW w:w="1562" w:type="dxa"/>
            <w:shd w:val="clear" w:color="auto" w:fill="auto"/>
          </w:tcPr>
          <w:p w14:paraId="71EA0A9D" w14:textId="77777777" w:rsidR="00AD6D47" w:rsidRPr="005E5792" w:rsidRDefault="00AD6D47" w:rsidP="009F2E53">
            <w:pPr>
              <w:spacing w:before="20" w:after="20"/>
              <w:rPr>
                <w:sz w:val="18"/>
                <w:szCs w:val="18"/>
                <w:rtl/>
              </w:rPr>
            </w:pPr>
          </w:p>
        </w:tc>
        <w:tc>
          <w:tcPr>
            <w:tcW w:w="1721" w:type="dxa"/>
            <w:shd w:val="clear" w:color="auto" w:fill="auto"/>
          </w:tcPr>
          <w:p w14:paraId="3AA625A4" w14:textId="77777777" w:rsidR="00AD6D47" w:rsidRPr="005E5792" w:rsidRDefault="00AD6D47" w:rsidP="009F2E53">
            <w:pPr>
              <w:spacing w:before="20" w:after="20"/>
              <w:rPr>
                <w:b/>
                <w:bCs/>
                <w:sz w:val="18"/>
                <w:szCs w:val="18"/>
                <w:rtl/>
              </w:rPr>
            </w:pPr>
            <w:r w:rsidRPr="005E5792">
              <w:rPr>
                <w:rFonts w:hint="cs"/>
                <w:b/>
                <w:bCs/>
                <w:sz w:val="18"/>
                <w:szCs w:val="18"/>
                <w:rtl/>
              </w:rPr>
              <w:t>סך הכל</w:t>
            </w:r>
          </w:p>
        </w:tc>
        <w:tc>
          <w:tcPr>
            <w:tcW w:w="1731" w:type="dxa"/>
            <w:shd w:val="clear" w:color="auto" w:fill="auto"/>
          </w:tcPr>
          <w:p w14:paraId="12FEE11E" w14:textId="77777777" w:rsidR="00AD6D47" w:rsidRPr="005E5792" w:rsidRDefault="00BB0254" w:rsidP="009F2E53">
            <w:pPr>
              <w:pBdr>
                <w:bottom w:val="double" w:sz="4" w:space="1" w:color="auto"/>
              </w:pBdr>
              <w:spacing w:before="20" w:after="20"/>
              <w:ind w:left="284" w:right="284"/>
              <w:rPr>
                <w:b/>
                <w:bCs/>
                <w:sz w:val="18"/>
                <w:szCs w:val="18"/>
                <w:rtl/>
              </w:rPr>
            </w:pPr>
            <w:r w:rsidRPr="005E5792">
              <w:rPr>
                <w:rFonts w:hint="cs"/>
                <w:b/>
                <w:bCs/>
                <w:sz w:val="18"/>
                <w:szCs w:val="18"/>
                <w:rtl/>
              </w:rPr>
              <w:t>0</w:t>
            </w:r>
          </w:p>
        </w:tc>
        <w:tc>
          <w:tcPr>
            <w:tcW w:w="1731" w:type="dxa"/>
            <w:shd w:val="clear" w:color="auto" w:fill="auto"/>
          </w:tcPr>
          <w:p w14:paraId="570EFBE3" w14:textId="77777777" w:rsidR="00AD6D47" w:rsidRPr="005E5792" w:rsidRDefault="00BB0254" w:rsidP="009F2E53">
            <w:pPr>
              <w:pBdr>
                <w:bottom w:val="double" w:sz="4" w:space="1" w:color="auto"/>
              </w:pBdr>
              <w:spacing w:before="20" w:after="20"/>
              <w:ind w:left="284" w:right="284"/>
              <w:rPr>
                <w:b/>
                <w:bCs/>
                <w:sz w:val="18"/>
                <w:szCs w:val="18"/>
                <w:rtl/>
              </w:rPr>
            </w:pPr>
            <w:r w:rsidRPr="005E5792">
              <w:rPr>
                <w:rFonts w:hint="cs"/>
                <w:b/>
                <w:bCs/>
                <w:sz w:val="18"/>
                <w:szCs w:val="18"/>
                <w:rtl/>
              </w:rPr>
              <w:t>0</w:t>
            </w:r>
          </w:p>
        </w:tc>
        <w:tc>
          <w:tcPr>
            <w:tcW w:w="1731" w:type="dxa"/>
            <w:shd w:val="clear" w:color="auto" w:fill="auto"/>
          </w:tcPr>
          <w:p w14:paraId="74E211F2" w14:textId="77777777" w:rsidR="00AD6D47" w:rsidRPr="005E5792" w:rsidRDefault="00BB0254" w:rsidP="009F2E53">
            <w:pPr>
              <w:pBdr>
                <w:bottom w:val="double" w:sz="4" w:space="1" w:color="auto"/>
              </w:pBdr>
              <w:spacing w:before="20" w:after="20"/>
              <w:ind w:left="284" w:right="284"/>
              <w:rPr>
                <w:b/>
                <w:bCs/>
                <w:sz w:val="18"/>
                <w:szCs w:val="18"/>
                <w:rtl/>
              </w:rPr>
            </w:pPr>
            <w:r w:rsidRPr="005E5792">
              <w:rPr>
                <w:rFonts w:hint="cs"/>
                <w:b/>
                <w:bCs/>
                <w:sz w:val="18"/>
                <w:szCs w:val="18"/>
                <w:rtl/>
              </w:rPr>
              <w:t>0</w:t>
            </w:r>
          </w:p>
        </w:tc>
        <w:tc>
          <w:tcPr>
            <w:tcW w:w="1732" w:type="dxa"/>
            <w:shd w:val="clear" w:color="auto" w:fill="auto"/>
          </w:tcPr>
          <w:p w14:paraId="1FD772FE" w14:textId="77777777" w:rsidR="00AD6D47" w:rsidRPr="005E5792" w:rsidRDefault="00BB0254" w:rsidP="009F2E53">
            <w:pPr>
              <w:pBdr>
                <w:bottom w:val="double" w:sz="4" w:space="1" w:color="auto"/>
              </w:pBdr>
              <w:spacing w:before="20" w:after="20"/>
              <w:ind w:left="284" w:right="284"/>
              <w:rPr>
                <w:b/>
                <w:bCs/>
                <w:sz w:val="18"/>
                <w:szCs w:val="18"/>
                <w:rtl/>
              </w:rPr>
            </w:pPr>
            <w:r w:rsidRPr="005E5792">
              <w:rPr>
                <w:rFonts w:hint="cs"/>
                <w:b/>
                <w:bCs/>
                <w:sz w:val="18"/>
                <w:szCs w:val="18"/>
                <w:rtl/>
              </w:rPr>
              <w:t>0</w:t>
            </w:r>
          </w:p>
        </w:tc>
      </w:tr>
    </w:tbl>
    <w:p w14:paraId="24C1DAB2" w14:textId="1A0F1E5F" w:rsidR="00AD6D47" w:rsidRDefault="00AD6D47" w:rsidP="00AD6D47">
      <w:pPr>
        <w:rPr>
          <w:rtl/>
        </w:rPr>
      </w:pPr>
    </w:p>
    <w:tbl>
      <w:tblPr>
        <w:bidiVisual/>
        <w:tblW w:w="0" w:type="auto"/>
        <w:tblInd w:w="-30" w:type="dxa"/>
        <w:tblLook w:val="04A0" w:firstRow="1" w:lastRow="0" w:firstColumn="1" w:lastColumn="0" w:noHBand="0" w:noVBand="1"/>
      </w:tblPr>
      <w:tblGrid>
        <w:gridCol w:w="1586"/>
        <w:gridCol w:w="2061"/>
        <w:gridCol w:w="2766"/>
      </w:tblGrid>
      <w:tr w:rsidR="00AD6D47" w14:paraId="00C11322" w14:textId="77777777" w:rsidTr="002D2247">
        <w:tc>
          <w:tcPr>
            <w:tcW w:w="1586" w:type="dxa"/>
            <w:shd w:val="clear" w:color="auto" w:fill="auto"/>
            <w:vAlign w:val="bottom"/>
          </w:tcPr>
          <w:p w14:paraId="3BEFB641" w14:textId="77777777" w:rsidR="00AD6D47" w:rsidRPr="005E5792" w:rsidRDefault="00AD6D47" w:rsidP="009F2E53">
            <w:pPr>
              <w:jc w:val="center"/>
              <w:rPr>
                <w:sz w:val="18"/>
                <w:szCs w:val="18"/>
                <w:rtl/>
              </w:rPr>
            </w:pPr>
          </w:p>
        </w:tc>
        <w:tc>
          <w:tcPr>
            <w:tcW w:w="2061" w:type="dxa"/>
            <w:shd w:val="clear" w:color="auto" w:fill="auto"/>
            <w:vAlign w:val="bottom"/>
          </w:tcPr>
          <w:p w14:paraId="762FC269" w14:textId="77777777" w:rsidR="00AD6D47" w:rsidRPr="005E5792" w:rsidRDefault="00AD6D47" w:rsidP="009F2E53">
            <w:pPr>
              <w:jc w:val="center"/>
              <w:rPr>
                <w:sz w:val="18"/>
                <w:szCs w:val="18"/>
                <w:rtl/>
              </w:rPr>
            </w:pPr>
          </w:p>
        </w:tc>
        <w:tc>
          <w:tcPr>
            <w:tcW w:w="2766" w:type="dxa"/>
            <w:shd w:val="clear" w:color="auto" w:fill="auto"/>
            <w:vAlign w:val="bottom"/>
          </w:tcPr>
          <w:p w14:paraId="21423E71" w14:textId="71FAD97E" w:rsidR="00AD6D47" w:rsidRPr="005E5792" w:rsidRDefault="00AD6D47" w:rsidP="009F2E53">
            <w:pPr>
              <w:pBdr>
                <w:bottom w:val="single" w:sz="4" w:space="1" w:color="auto"/>
              </w:pBdr>
              <w:jc w:val="center"/>
              <w:rPr>
                <w:b/>
                <w:bCs/>
                <w:sz w:val="18"/>
                <w:szCs w:val="18"/>
                <w:rtl/>
              </w:rPr>
            </w:pPr>
            <w:r w:rsidRPr="005E5792">
              <w:rPr>
                <w:rFonts w:hint="cs"/>
                <w:b/>
                <w:bCs/>
                <w:sz w:val="18"/>
                <w:szCs w:val="18"/>
                <w:rtl/>
              </w:rPr>
              <w:t>שנה שהסתיימה ביום</w:t>
            </w:r>
          </w:p>
          <w:p w14:paraId="240F79D1" w14:textId="261E2344" w:rsidR="00AD6D47" w:rsidRPr="005E5792" w:rsidRDefault="00AD6D47" w:rsidP="007C4082">
            <w:pPr>
              <w:pBdr>
                <w:bottom w:val="single" w:sz="4" w:space="1" w:color="auto"/>
              </w:pBdr>
              <w:jc w:val="center"/>
              <w:rPr>
                <w:sz w:val="18"/>
                <w:szCs w:val="18"/>
                <w:rtl/>
              </w:rPr>
            </w:pPr>
            <w:r w:rsidRPr="005E5792">
              <w:rPr>
                <w:rFonts w:hint="cs"/>
                <w:b/>
                <w:bCs/>
                <w:sz w:val="18"/>
                <w:szCs w:val="18"/>
                <w:rtl/>
              </w:rPr>
              <w:t xml:space="preserve">31 בדצמבר </w:t>
            </w:r>
            <w:r w:rsidR="00736169" w:rsidRPr="005E5792">
              <w:rPr>
                <w:b/>
                <w:bCs/>
                <w:sz w:val="18"/>
                <w:szCs w:val="18"/>
                <w:rtl/>
              </w:rPr>
              <w:fldChar w:fldCharType="begin"/>
            </w:r>
            <w:r w:rsidR="00736169" w:rsidRPr="005E5792">
              <w:rPr>
                <w:b/>
                <w:bCs/>
                <w:sz w:val="18"/>
                <w:szCs w:val="18"/>
                <w:rtl/>
              </w:rPr>
              <w:instrText xml:space="preserve"> </w:instrText>
            </w:r>
            <w:r w:rsidR="00736169" w:rsidRPr="005E5792">
              <w:rPr>
                <w:rFonts w:hint="cs"/>
                <w:b/>
                <w:bCs/>
                <w:sz w:val="18"/>
                <w:szCs w:val="18"/>
                <w:rtl/>
              </w:rPr>
              <w:instrText xml:space="preserve">= </w:instrText>
            </w:r>
            <w:r w:rsidR="00736169" w:rsidRPr="005E5792">
              <w:rPr>
                <w:rFonts w:hint="cs"/>
                <w:b/>
                <w:bCs/>
                <w:sz w:val="18"/>
                <w:szCs w:val="18"/>
              </w:rPr>
              <w:instrText>CY</w:instrText>
            </w:r>
            <w:r w:rsidR="00736169" w:rsidRPr="005E5792">
              <w:rPr>
                <w:b/>
                <w:bCs/>
                <w:sz w:val="18"/>
                <w:szCs w:val="18"/>
              </w:rPr>
              <w:instrText>-1</w:instrText>
            </w:r>
            <w:r w:rsidR="00736169" w:rsidRPr="005E5792">
              <w:rPr>
                <w:rFonts w:hint="cs"/>
                <w:b/>
                <w:bCs/>
                <w:sz w:val="18"/>
                <w:szCs w:val="18"/>
              </w:rPr>
              <w:instrText xml:space="preserve"> \* MERGEFORMAT</w:instrText>
            </w:r>
            <w:r w:rsidR="00736169" w:rsidRPr="005E5792">
              <w:rPr>
                <w:b/>
                <w:bCs/>
                <w:sz w:val="18"/>
                <w:szCs w:val="18"/>
                <w:rtl/>
              </w:rPr>
              <w:instrText xml:space="preserve"> </w:instrText>
            </w:r>
            <w:r w:rsidR="00736169" w:rsidRPr="005E5792">
              <w:rPr>
                <w:b/>
                <w:bCs/>
                <w:sz w:val="18"/>
                <w:szCs w:val="18"/>
                <w:rtl/>
              </w:rPr>
              <w:fldChar w:fldCharType="separate"/>
            </w:r>
            <w:r w:rsidR="003A584F">
              <w:rPr>
                <w:b/>
                <w:bCs/>
                <w:noProof/>
                <w:sz w:val="18"/>
                <w:szCs w:val="18"/>
                <w:rtl/>
              </w:rPr>
              <w:t>2023</w:t>
            </w:r>
            <w:r w:rsidR="00736169" w:rsidRPr="005E5792">
              <w:rPr>
                <w:b/>
                <w:bCs/>
                <w:sz w:val="18"/>
                <w:szCs w:val="18"/>
                <w:rtl/>
              </w:rPr>
              <w:fldChar w:fldCharType="end"/>
            </w:r>
            <w:r w:rsidR="00DA2E0D" w:rsidRPr="005E5792">
              <w:rPr>
                <w:rFonts w:hint="cs"/>
                <w:sz w:val="18"/>
                <w:szCs w:val="18"/>
                <w:rtl/>
              </w:rPr>
              <w:t xml:space="preserve"> </w:t>
            </w:r>
            <w:r w:rsidR="00DA2E0D" w:rsidRPr="006F749D">
              <w:rPr>
                <w:rFonts w:hint="cs"/>
                <w:sz w:val="18"/>
                <w:szCs w:val="18"/>
                <w:rtl/>
              </w:rPr>
              <w:t>(מבוקר)</w:t>
            </w:r>
          </w:p>
        </w:tc>
      </w:tr>
      <w:tr w:rsidR="00AD6D47" w:rsidRPr="00C271B2" w14:paraId="180F09AC" w14:textId="77777777" w:rsidTr="002D2247">
        <w:tc>
          <w:tcPr>
            <w:tcW w:w="1586" w:type="dxa"/>
            <w:shd w:val="clear" w:color="auto" w:fill="auto"/>
            <w:vAlign w:val="bottom"/>
          </w:tcPr>
          <w:p w14:paraId="0A07A86A" w14:textId="77777777" w:rsidR="00AD6D47" w:rsidRPr="005E5792" w:rsidRDefault="00AD6D47" w:rsidP="009F2E53">
            <w:pPr>
              <w:jc w:val="center"/>
              <w:rPr>
                <w:sz w:val="18"/>
                <w:szCs w:val="18"/>
                <w:rtl/>
              </w:rPr>
            </w:pPr>
          </w:p>
        </w:tc>
        <w:tc>
          <w:tcPr>
            <w:tcW w:w="2061" w:type="dxa"/>
            <w:shd w:val="clear" w:color="auto" w:fill="auto"/>
            <w:vAlign w:val="bottom"/>
          </w:tcPr>
          <w:p w14:paraId="62D4B2AA" w14:textId="77777777" w:rsidR="00AD6D47" w:rsidRPr="005E5792" w:rsidRDefault="00AD6D47" w:rsidP="009F2E53">
            <w:pPr>
              <w:pBdr>
                <w:bottom w:val="single" w:sz="4" w:space="1" w:color="auto"/>
              </w:pBdr>
              <w:jc w:val="left"/>
              <w:rPr>
                <w:b/>
                <w:bCs/>
                <w:sz w:val="18"/>
                <w:szCs w:val="18"/>
                <w:rtl/>
              </w:rPr>
            </w:pPr>
            <w:r w:rsidRPr="005E5792">
              <w:rPr>
                <w:rFonts w:hint="cs"/>
                <w:b/>
                <w:bCs/>
                <w:sz w:val="18"/>
                <w:szCs w:val="18"/>
                <w:rtl/>
              </w:rPr>
              <w:t>חוזה הגידור</w:t>
            </w:r>
          </w:p>
        </w:tc>
        <w:tc>
          <w:tcPr>
            <w:tcW w:w="2766" w:type="dxa"/>
            <w:shd w:val="clear" w:color="auto" w:fill="auto"/>
            <w:vAlign w:val="bottom"/>
          </w:tcPr>
          <w:p w14:paraId="14D70607" w14:textId="77777777" w:rsidR="00AD6D47" w:rsidRPr="005E5792" w:rsidRDefault="009102FE" w:rsidP="00077CE4">
            <w:pPr>
              <w:pBdr>
                <w:bottom w:val="single" w:sz="4" w:space="1" w:color="auto"/>
              </w:pBdr>
              <w:jc w:val="center"/>
              <w:rPr>
                <w:sz w:val="18"/>
                <w:szCs w:val="18"/>
                <w:rtl/>
              </w:rPr>
            </w:pPr>
            <w:r w:rsidRPr="005E5792">
              <w:rPr>
                <w:rFonts w:hint="cs"/>
                <w:b/>
                <w:bCs/>
                <w:sz w:val="18"/>
                <w:szCs w:val="18"/>
                <w:rtl/>
              </w:rPr>
              <w:t>רווח (הפסד) שהוכר ברווח כולל אחר מצטבר בגין הנגזר</w:t>
            </w:r>
            <w:r w:rsidR="00080BD1" w:rsidRPr="005E5792">
              <w:rPr>
                <w:rFonts w:hint="cs"/>
                <w:b/>
                <w:bCs/>
                <w:sz w:val="18"/>
                <w:szCs w:val="18"/>
                <w:vertAlign w:val="superscript"/>
                <w:rtl/>
              </w:rPr>
              <w:t>(א)</w:t>
            </w:r>
          </w:p>
        </w:tc>
      </w:tr>
      <w:tr w:rsidR="00AD6D47" w14:paraId="0F3F12F1" w14:textId="77777777" w:rsidTr="002D2247">
        <w:tc>
          <w:tcPr>
            <w:tcW w:w="1586" w:type="dxa"/>
            <w:shd w:val="clear" w:color="auto" w:fill="auto"/>
          </w:tcPr>
          <w:p w14:paraId="13F2B7C5" w14:textId="77777777" w:rsidR="00AD6D47" w:rsidRPr="005E5792" w:rsidRDefault="00AD6D47" w:rsidP="009F2E53">
            <w:pPr>
              <w:spacing w:before="20" w:after="20" w:line="240" w:lineRule="exact"/>
              <w:rPr>
                <w:sz w:val="18"/>
                <w:szCs w:val="18"/>
                <w:rtl/>
              </w:rPr>
            </w:pPr>
          </w:p>
        </w:tc>
        <w:tc>
          <w:tcPr>
            <w:tcW w:w="2061" w:type="dxa"/>
            <w:shd w:val="clear" w:color="auto" w:fill="auto"/>
          </w:tcPr>
          <w:p w14:paraId="6180C174" w14:textId="77777777" w:rsidR="00AD6D47" w:rsidRPr="005E5792" w:rsidRDefault="00AD6D47" w:rsidP="009F2E53">
            <w:pPr>
              <w:spacing w:before="20" w:after="20" w:line="240" w:lineRule="exact"/>
              <w:rPr>
                <w:sz w:val="18"/>
                <w:szCs w:val="18"/>
                <w:rtl/>
              </w:rPr>
            </w:pPr>
            <w:r w:rsidRPr="005E5792">
              <w:rPr>
                <w:rFonts w:hint="cs"/>
                <w:sz w:val="18"/>
                <w:szCs w:val="18"/>
                <w:rtl/>
              </w:rPr>
              <w:t>שיעור ריבית</w:t>
            </w:r>
          </w:p>
        </w:tc>
        <w:tc>
          <w:tcPr>
            <w:tcW w:w="2766" w:type="dxa"/>
            <w:shd w:val="clear" w:color="auto" w:fill="auto"/>
          </w:tcPr>
          <w:p w14:paraId="238A6485" w14:textId="77777777" w:rsidR="00AD6D47" w:rsidRPr="005E5792" w:rsidRDefault="00BB0254" w:rsidP="009F2E53">
            <w:pPr>
              <w:spacing w:before="20" w:after="20" w:line="240" w:lineRule="exact"/>
              <w:ind w:left="567" w:right="567"/>
              <w:rPr>
                <w:sz w:val="18"/>
                <w:szCs w:val="18"/>
                <w:rtl/>
              </w:rPr>
            </w:pPr>
            <w:r w:rsidRPr="005E5792">
              <w:rPr>
                <w:rFonts w:hint="cs"/>
                <w:sz w:val="18"/>
                <w:szCs w:val="18"/>
                <w:rtl/>
              </w:rPr>
              <w:t>0</w:t>
            </w:r>
          </w:p>
        </w:tc>
      </w:tr>
      <w:tr w:rsidR="00AD6D47" w14:paraId="20E6FFF9" w14:textId="77777777" w:rsidTr="002D2247">
        <w:tc>
          <w:tcPr>
            <w:tcW w:w="1586" w:type="dxa"/>
            <w:shd w:val="clear" w:color="auto" w:fill="auto"/>
          </w:tcPr>
          <w:p w14:paraId="01C66C1D" w14:textId="77777777" w:rsidR="00AD6D47" w:rsidRPr="005E5792" w:rsidRDefault="00AD6D47" w:rsidP="009F2E53">
            <w:pPr>
              <w:spacing w:before="20" w:after="20" w:line="240" w:lineRule="exact"/>
              <w:rPr>
                <w:sz w:val="18"/>
                <w:szCs w:val="18"/>
                <w:rtl/>
              </w:rPr>
            </w:pPr>
          </w:p>
        </w:tc>
        <w:tc>
          <w:tcPr>
            <w:tcW w:w="2061" w:type="dxa"/>
            <w:shd w:val="clear" w:color="auto" w:fill="auto"/>
          </w:tcPr>
          <w:p w14:paraId="342E4FBB" w14:textId="77777777" w:rsidR="00AD6D47" w:rsidRPr="005E5792" w:rsidRDefault="00AD6D47" w:rsidP="009F2E53">
            <w:pPr>
              <w:spacing w:before="20" w:after="20" w:line="240" w:lineRule="exact"/>
              <w:rPr>
                <w:sz w:val="18"/>
                <w:szCs w:val="18"/>
                <w:rtl/>
              </w:rPr>
            </w:pPr>
            <w:r w:rsidRPr="005E5792">
              <w:rPr>
                <w:rFonts w:hint="cs"/>
                <w:sz w:val="18"/>
                <w:szCs w:val="18"/>
                <w:rtl/>
              </w:rPr>
              <w:t>מטבע חוץ</w:t>
            </w:r>
          </w:p>
        </w:tc>
        <w:tc>
          <w:tcPr>
            <w:tcW w:w="2766" w:type="dxa"/>
            <w:shd w:val="clear" w:color="auto" w:fill="auto"/>
          </w:tcPr>
          <w:p w14:paraId="6FB57F71" w14:textId="77777777" w:rsidR="00AD6D47" w:rsidRPr="005E5792" w:rsidRDefault="00BB0254" w:rsidP="009F2E53">
            <w:pPr>
              <w:pBdr>
                <w:bottom w:val="single" w:sz="4" w:space="1" w:color="auto"/>
              </w:pBdr>
              <w:spacing w:before="20" w:after="20" w:line="240" w:lineRule="exact"/>
              <w:ind w:left="567" w:right="567"/>
              <w:rPr>
                <w:sz w:val="18"/>
                <w:szCs w:val="18"/>
                <w:rtl/>
              </w:rPr>
            </w:pPr>
            <w:r w:rsidRPr="005E5792">
              <w:rPr>
                <w:rFonts w:hint="cs"/>
                <w:sz w:val="18"/>
                <w:szCs w:val="18"/>
                <w:rtl/>
              </w:rPr>
              <w:t>0</w:t>
            </w:r>
          </w:p>
        </w:tc>
      </w:tr>
      <w:tr w:rsidR="00AD6D47" w14:paraId="27F166EF" w14:textId="77777777" w:rsidTr="002D2247">
        <w:tc>
          <w:tcPr>
            <w:tcW w:w="1586" w:type="dxa"/>
            <w:shd w:val="clear" w:color="auto" w:fill="auto"/>
          </w:tcPr>
          <w:p w14:paraId="58F6B8EA" w14:textId="77777777" w:rsidR="00AD6D47" w:rsidRPr="005E5792" w:rsidRDefault="00AD6D47" w:rsidP="009F2E53">
            <w:pPr>
              <w:spacing w:before="20" w:after="20" w:line="240" w:lineRule="exact"/>
              <w:rPr>
                <w:sz w:val="18"/>
                <w:szCs w:val="18"/>
                <w:rtl/>
              </w:rPr>
            </w:pPr>
          </w:p>
        </w:tc>
        <w:tc>
          <w:tcPr>
            <w:tcW w:w="2061" w:type="dxa"/>
            <w:shd w:val="clear" w:color="auto" w:fill="auto"/>
          </w:tcPr>
          <w:p w14:paraId="0C20D176" w14:textId="77777777" w:rsidR="00AD6D47" w:rsidRPr="005E5792" w:rsidRDefault="00AD6D47" w:rsidP="009F2E53">
            <w:pPr>
              <w:spacing w:before="20" w:after="20" w:line="240" w:lineRule="exact"/>
              <w:rPr>
                <w:b/>
                <w:bCs/>
                <w:sz w:val="18"/>
                <w:szCs w:val="18"/>
                <w:rtl/>
              </w:rPr>
            </w:pPr>
            <w:r w:rsidRPr="005E5792">
              <w:rPr>
                <w:rFonts w:hint="cs"/>
                <w:b/>
                <w:bCs/>
                <w:sz w:val="18"/>
                <w:szCs w:val="18"/>
                <w:rtl/>
              </w:rPr>
              <w:t>סך הכל</w:t>
            </w:r>
          </w:p>
        </w:tc>
        <w:tc>
          <w:tcPr>
            <w:tcW w:w="2766" w:type="dxa"/>
            <w:shd w:val="clear" w:color="auto" w:fill="auto"/>
          </w:tcPr>
          <w:p w14:paraId="62105749" w14:textId="77777777" w:rsidR="00AD6D47" w:rsidRPr="005E5792" w:rsidRDefault="00BB0254" w:rsidP="009F2E53">
            <w:pPr>
              <w:pBdr>
                <w:bottom w:val="double" w:sz="4" w:space="1" w:color="auto"/>
              </w:pBdr>
              <w:spacing w:before="20" w:after="20" w:line="240" w:lineRule="exact"/>
              <w:ind w:left="567" w:right="567"/>
              <w:rPr>
                <w:b/>
                <w:bCs/>
                <w:sz w:val="18"/>
                <w:szCs w:val="18"/>
                <w:rtl/>
              </w:rPr>
            </w:pPr>
            <w:r w:rsidRPr="005E5792">
              <w:rPr>
                <w:rFonts w:hint="cs"/>
                <w:b/>
                <w:bCs/>
                <w:sz w:val="18"/>
                <w:szCs w:val="18"/>
                <w:rtl/>
              </w:rPr>
              <w:t>0</w:t>
            </w:r>
          </w:p>
        </w:tc>
      </w:tr>
    </w:tbl>
    <w:p w14:paraId="7306A960" w14:textId="33DEC29E" w:rsidR="00AD6D47" w:rsidRDefault="00AD6D47" w:rsidP="00D7780F">
      <w:pPr>
        <w:rPr>
          <w:rtl/>
        </w:rPr>
      </w:pPr>
    </w:p>
    <w:tbl>
      <w:tblPr>
        <w:bidiVisual/>
        <w:tblW w:w="5082" w:type="pct"/>
        <w:tblInd w:w="-131" w:type="dxa"/>
        <w:tblLook w:val="0000" w:firstRow="0" w:lastRow="0" w:firstColumn="0" w:lastColumn="0" w:noHBand="0" w:noVBand="0"/>
      </w:tblPr>
      <w:tblGrid>
        <w:gridCol w:w="1695"/>
        <w:gridCol w:w="8679"/>
      </w:tblGrid>
      <w:tr w:rsidR="004531B0" w:rsidRPr="00EF3E60" w14:paraId="2BBEABFF" w14:textId="77777777" w:rsidTr="005E5792">
        <w:trPr>
          <w:trHeight w:val="245"/>
        </w:trPr>
        <w:tc>
          <w:tcPr>
            <w:tcW w:w="817" w:type="pct"/>
          </w:tcPr>
          <w:p w14:paraId="619CBDCF" w14:textId="77777777" w:rsidR="004531B0" w:rsidRDefault="004531B0" w:rsidP="00EE112A">
            <w:pPr>
              <w:spacing w:before="60" w:after="60"/>
              <w:jc w:val="right"/>
              <w:rPr>
                <w:sz w:val="14"/>
                <w:szCs w:val="14"/>
                <w:rtl/>
              </w:rPr>
            </w:pPr>
            <w:r w:rsidRPr="0038672B">
              <w:rPr>
                <w:sz w:val="14"/>
                <w:szCs w:val="14"/>
              </w:rPr>
              <w:t>ASC 815-10-50-4</w:t>
            </w:r>
            <w:r w:rsidR="00B84FCC">
              <w:rPr>
                <w:sz w:val="14"/>
                <w:szCs w:val="14"/>
              </w:rPr>
              <w:t>C(b)</w:t>
            </w:r>
          </w:p>
          <w:p w14:paraId="552AAACE" w14:textId="77777777" w:rsidR="00EE112A" w:rsidRPr="00DE51FE" w:rsidRDefault="00EE112A" w:rsidP="00EE112A">
            <w:pPr>
              <w:spacing w:before="60" w:after="60"/>
              <w:jc w:val="right"/>
              <w:rPr>
                <w:b/>
                <w:bCs/>
                <w:sz w:val="14"/>
                <w:szCs w:val="14"/>
                <w:rtl/>
              </w:rPr>
            </w:pPr>
            <w:r w:rsidRPr="0038672B">
              <w:rPr>
                <w:sz w:val="14"/>
                <w:szCs w:val="14"/>
              </w:rPr>
              <w:t>ASC 815-10-50-4</w:t>
            </w:r>
            <w:r>
              <w:rPr>
                <w:sz w:val="14"/>
                <w:szCs w:val="14"/>
              </w:rPr>
              <w:t>C(bb)</w:t>
            </w:r>
          </w:p>
        </w:tc>
        <w:tc>
          <w:tcPr>
            <w:tcW w:w="4183" w:type="pct"/>
          </w:tcPr>
          <w:p w14:paraId="60E77D4C" w14:textId="3BF2E7AE" w:rsidR="004531B0" w:rsidRPr="0001523C" w:rsidRDefault="004531B0" w:rsidP="005E5792">
            <w:pPr>
              <w:spacing w:before="60" w:after="60"/>
              <w:ind w:left="332" w:hanging="303"/>
              <w:rPr>
                <w:sz w:val="18"/>
                <w:szCs w:val="18"/>
                <w:rtl/>
              </w:rPr>
            </w:pPr>
            <w:r w:rsidRPr="00940F68">
              <w:rPr>
                <w:rFonts w:hint="cs"/>
                <w:sz w:val="18"/>
                <w:szCs w:val="18"/>
                <w:rtl/>
              </w:rPr>
              <w:t>(א)</w:t>
            </w:r>
            <w:r w:rsidRPr="00940F68">
              <w:rPr>
                <w:sz w:val="18"/>
                <w:szCs w:val="18"/>
                <w:rtl/>
              </w:rPr>
              <w:tab/>
            </w:r>
            <w:r w:rsidR="002D2247" w:rsidRPr="00E10459">
              <w:rPr>
                <w:sz w:val="18"/>
                <w:szCs w:val="18"/>
                <w:rtl/>
              </w:rPr>
              <w:t>סך</w:t>
            </w:r>
            <w:r w:rsidR="002D2247">
              <w:rPr>
                <w:rFonts w:hint="cs"/>
                <w:sz w:val="18"/>
                <w:szCs w:val="18"/>
                <w:rtl/>
              </w:rPr>
              <w:t xml:space="preserve"> של</w:t>
            </w:r>
            <w:r w:rsidR="002D2247" w:rsidRPr="00E10459">
              <w:rPr>
                <w:sz w:val="18"/>
                <w:szCs w:val="18"/>
                <w:rtl/>
              </w:rPr>
              <w:t xml:space="preserve"> ______ מיליוני ש"ח </w:t>
            </w:r>
            <w:r w:rsidR="002D2247">
              <w:rPr>
                <w:rFonts w:hint="cs"/>
                <w:sz w:val="18"/>
                <w:szCs w:val="18"/>
                <w:rtl/>
              </w:rPr>
              <w:t xml:space="preserve">ו- _____ מיליוני </w:t>
            </w:r>
            <w:r w:rsidR="00713BF3">
              <w:rPr>
                <w:rFonts w:hint="cs"/>
                <w:sz w:val="18"/>
                <w:szCs w:val="18"/>
                <w:rtl/>
              </w:rPr>
              <w:t>ש"ח</w:t>
            </w:r>
            <w:r w:rsidR="002D2247">
              <w:rPr>
                <w:rFonts w:hint="cs"/>
                <w:sz w:val="18"/>
                <w:szCs w:val="18"/>
                <w:rtl/>
              </w:rPr>
              <w:t xml:space="preserve"> </w:t>
            </w:r>
            <w:r w:rsidR="00713BF3" w:rsidRPr="0001523C">
              <w:rPr>
                <w:sz w:val="18"/>
                <w:szCs w:val="18"/>
                <w:rtl/>
              </w:rPr>
              <w:t xml:space="preserve">[יפורטו הסכומים לכל תקופה] </w:t>
            </w:r>
            <w:r w:rsidR="00713BF3" w:rsidRPr="008B319B">
              <w:rPr>
                <w:rFonts w:hint="cs"/>
                <w:sz w:val="18"/>
                <w:szCs w:val="18"/>
                <w:rtl/>
              </w:rPr>
              <w:t xml:space="preserve">לתקופות של 3 ו-6 חודשים שהסתיימו </w:t>
            </w:r>
            <w:r w:rsidR="00713BF3" w:rsidRPr="008B319B">
              <w:rPr>
                <w:sz w:val="18"/>
                <w:szCs w:val="18"/>
                <w:rtl/>
              </w:rPr>
              <w:t>ביום</w:t>
            </w:r>
            <w:r w:rsidR="00713BF3" w:rsidRPr="008B319B">
              <w:rPr>
                <w:rFonts w:hint="cs"/>
                <w:sz w:val="18"/>
                <w:szCs w:val="18"/>
                <w:rtl/>
              </w:rPr>
              <w:t xml:space="preserve"> 30 ביוני </w:t>
            </w:r>
            <w:r w:rsidR="00713BF3" w:rsidRPr="008B319B">
              <w:rPr>
                <w:sz w:val="18"/>
                <w:szCs w:val="18"/>
                <w:rtl/>
              </w:rPr>
              <w:fldChar w:fldCharType="begin"/>
            </w:r>
            <w:r w:rsidR="00713BF3" w:rsidRPr="008B319B">
              <w:rPr>
                <w:sz w:val="18"/>
                <w:szCs w:val="18"/>
                <w:rtl/>
              </w:rPr>
              <w:instrText xml:space="preserve"> </w:instrText>
            </w:r>
            <w:r w:rsidR="00713BF3" w:rsidRPr="008B319B">
              <w:rPr>
                <w:rFonts w:hint="cs"/>
                <w:sz w:val="18"/>
                <w:szCs w:val="18"/>
                <w:rtl/>
              </w:rPr>
              <w:instrText xml:space="preserve">= </w:instrText>
            </w:r>
            <w:r w:rsidR="00713BF3" w:rsidRPr="008B319B">
              <w:rPr>
                <w:rFonts w:hint="cs"/>
                <w:sz w:val="18"/>
                <w:szCs w:val="18"/>
              </w:rPr>
              <w:instrText>CY \* MERGEFORMAT</w:instrText>
            </w:r>
            <w:r w:rsidR="00713BF3" w:rsidRPr="008B319B">
              <w:rPr>
                <w:sz w:val="18"/>
                <w:szCs w:val="18"/>
                <w:rtl/>
              </w:rPr>
              <w:instrText xml:space="preserve"> </w:instrText>
            </w:r>
            <w:r w:rsidR="00713BF3" w:rsidRPr="008B319B">
              <w:rPr>
                <w:sz w:val="18"/>
                <w:szCs w:val="18"/>
                <w:rtl/>
              </w:rPr>
              <w:fldChar w:fldCharType="separate"/>
            </w:r>
            <w:r w:rsidR="003A584F">
              <w:rPr>
                <w:noProof/>
                <w:sz w:val="18"/>
                <w:szCs w:val="18"/>
                <w:rtl/>
              </w:rPr>
              <w:t>2024</w:t>
            </w:r>
            <w:r w:rsidR="00713BF3" w:rsidRPr="008B319B">
              <w:rPr>
                <w:sz w:val="18"/>
                <w:szCs w:val="18"/>
                <w:rtl/>
              </w:rPr>
              <w:fldChar w:fldCharType="end"/>
            </w:r>
            <w:r w:rsidR="00713BF3" w:rsidRPr="008B319B">
              <w:rPr>
                <w:rFonts w:hint="cs"/>
                <w:sz w:val="18"/>
                <w:szCs w:val="18"/>
                <w:rtl/>
              </w:rPr>
              <w:t xml:space="preserve"> ו- </w:t>
            </w:r>
            <w:r w:rsidR="00713BF3" w:rsidRPr="008B319B">
              <w:rPr>
                <w:sz w:val="18"/>
                <w:szCs w:val="18"/>
                <w:rtl/>
              </w:rPr>
              <w:fldChar w:fldCharType="begin"/>
            </w:r>
            <w:r w:rsidR="00713BF3" w:rsidRPr="008B319B">
              <w:rPr>
                <w:sz w:val="18"/>
                <w:szCs w:val="18"/>
                <w:rtl/>
              </w:rPr>
              <w:instrText xml:space="preserve"> </w:instrText>
            </w:r>
            <w:r w:rsidR="00713BF3" w:rsidRPr="008B319B">
              <w:rPr>
                <w:rFonts w:hint="cs"/>
                <w:sz w:val="18"/>
                <w:szCs w:val="18"/>
                <w:rtl/>
              </w:rPr>
              <w:instrText xml:space="preserve">= </w:instrText>
            </w:r>
            <w:r w:rsidR="00713BF3" w:rsidRPr="008B319B">
              <w:rPr>
                <w:rFonts w:hint="cs"/>
                <w:sz w:val="18"/>
                <w:szCs w:val="18"/>
              </w:rPr>
              <w:instrText>CY</w:instrText>
            </w:r>
            <w:r w:rsidR="00713BF3" w:rsidRPr="008B319B">
              <w:rPr>
                <w:sz w:val="18"/>
                <w:szCs w:val="18"/>
              </w:rPr>
              <w:instrText>-1</w:instrText>
            </w:r>
            <w:r w:rsidR="00713BF3" w:rsidRPr="008B319B">
              <w:rPr>
                <w:rFonts w:hint="cs"/>
                <w:sz w:val="18"/>
                <w:szCs w:val="18"/>
              </w:rPr>
              <w:instrText xml:space="preserve"> \* MERGEFORMAT</w:instrText>
            </w:r>
            <w:r w:rsidR="00713BF3" w:rsidRPr="008B319B">
              <w:rPr>
                <w:sz w:val="18"/>
                <w:szCs w:val="18"/>
                <w:rtl/>
              </w:rPr>
              <w:instrText xml:space="preserve"> </w:instrText>
            </w:r>
            <w:r w:rsidR="00713BF3" w:rsidRPr="008B319B">
              <w:rPr>
                <w:sz w:val="18"/>
                <w:szCs w:val="18"/>
                <w:rtl/>
              </w:rPr>
              <w:fldChar w:fldCharType="separate"/>
            </w:r>
            <w:r w:rsidR="003A584F">
              <w:rPr>
                <w:noProof/>
                <w:sz w:val="18"/>
                <w:szCs w:val="18"/>
                <w:rtl/>
              </w:rPr>
              <w:t>2023</w:t>
            </w:r>
            <w:r w:rsidR="00713BF3" w:rsidRPr="008B319B">
              <w:rPr>
                <w:sz w:val="18"/>
                <w:szCs w:val="18"/>
                <w:rtl/>
              </w:rPr>
              <w:fldChar w:fldCharType="end"/>
            </w:r>
            <w:r w:rsidR="00713BF3" w:rsidRPr="008B319B">
              <w:rPr>
                <w:rFonts w:hint="cs"/>
                <w:sz w:val="18"/>
                <w:szCs w:val="18"/>
                <w:rtl/>
              </w:rPr>
              <w:t xml:space="preserve">, ולשנה שהסתיימה ביום 31 בדצמבר </w:t>
            </w:r>
            <w:r w:rsidR="00713BF3" w:rsidRPr="008B319B">
              <w:rPr>
                <w:sz w:val="18"/>
                <w:szCs w:val="18"/>
                <w:rtl/>
              </w:rPr>
              <w:fldChar w:fldCharType="begin"/>
            </w:r>
            <w:r w:rsidR="00713BF3" w:rsidRPr="008B319B">
              <w:rPr>
                <w:sz w:val="18"/>
                <w:szCs w:val="18"/>
                <w:rtl/>
              </w:rPr>
              <w:instrText xml:space="preserve"> </w:instrText>
            </w:r>
            <w:r w:rsidR="00713BF3" w:rsidRPr="008B319B">
              <w:rPr>
                <w:rFonts w:hint="cs"/>
                <w:sz w:val="18"/>
                <w:szCs w:val="18"/>
                <w:rtl/>
              </w:rPr>
              <w:instrText xml:space="preserve">= </w:instrText>
            </w:r>
            <w:r w:rsidR="00713BF3" w:rsidRPr="008B319B">
              <w:rPr>
                <w:rFonts w:hint="cs"/>
                <w:sz w:val="18"/>
                <w:szCs w:val="18"/>
              </w:rPr>
              <w:instrText>CY</w:instrText>
            </w:r>
            <w:r w:rsidR="00713BF3" w:rsidRPr="008B319B">
              <w:rPr>
                <w:sz w:val="18"/>
                <w:szCs w:val="18"/>
              </w:rPr>
              <w:instrText>-1</w:instrText>
            </w:r>
            <w:r w:rsidR="00713BF3" w:rsidRPr="008B319B">
              <w:rPr>
                <w:rFonts w:hint="cs"/>
                <w:sz w:val="18"/>
                <w:szCs w:val="18"/>
              </w:rPr>
              <w:instrText xml:space="preserve"> \* MERGEFORMAT</w:instrText>
            </w:r>
            <w:r w:rsidR="00713BF3" w:rsidRPr="008B319B">
              <w:rPr>
                <w:sz w:val="18"/>
                <w:szCs w:val="18"/>
                <w:rtl/>
              </w:rPr>
              <w:instrText xml:space="preserve"> </w:instrText>
            </w:r>
            <w:r w:rsidR="00713BF3" w:rsidRPr="008B319B">
              <w:rPr>
                <w:sz w:val="18"/>
                <w:szCs w:val="18"/>
                <w:rtl/>
              </w:rPr>
              <w:fldChar w:fldCharType="separate"/>
            </w:r>
            <w:r w:rsidR="003A584F">
              <w:rPr>
                <w:noProof/>
                <w:sz w:val="18"/>
                <w:szCs w:val="18"/>
                <w:rtl/>
              </w:rPr>
              <w:t>2023</w:t>
            </w:r>
            <w:r w:rsidR="00713BF3" w:rsidRPr="008B319B">
              <w:rPr>
                <w:sz w:val="18"/>
                <w:szCs w:val="18"/>
                <w:rtl/>
              </w:rPr>
              <w:fldChar w:fldCharType="end"/>
            </w:r>
            <w:r w:rsidR="00713BF3" w:rsidRPr="008B319B">
              <w:rPr>
                <w:rFonts w:hint="cs"/>
                <w:sz w:val="18"/>
                <w:szCs w:val="18"/>
                <w:rtl/>
              </w:rPr>
              <w:t xml:space="preserve">, </w:t>
            </w:r>
            <w:r w:rsidR="002D2247" w:rsidRPr="00E10459">
              <w:rPr>
                <w:sz w:val="18"/>
                <w:szCs w:val="18"/>
                <w:rtl/>
              </w:rPr>
              <w:t>משקפים רווחים והפסדים הכלולים</w:t>
            </w:r>
            <w:r w:rsidR="002D2247">
              <w:rPr>
                <w:rFonts w:hint="cs"/>
                <w:sz w:val="18"/>
                <w:szCs w:val="18"/>
                <w:rtl/>
              </w:rPr>
              <w:t xml:space="preserve"> ושאינם כלולים, בהתאמה,</w:t>
            </w:r>
            <w:r w:rsidR="002D2247" w:rsidRPr="00E10459">
              <w:rPr>
                <w:sz w:val="18"/>
                <w:szCs w:val="18"/>
                <w:rtl/>
              </w:rPr>
              <w:t xml:space="preserve"> בהערכת אפקטיביות</w:t>
            </w:r>
            <w:r w:rsidR="00AD4C06">
              <w:rPr>
                <w:rFonts w:hint="cs"/>
                <w:sz w:val="18"/>
                <w:szCs w:val="18"/>
                <w:rtl/>
              </w:rPr>
              <w:t>.</w:t>
            </w:r>
          </w:p>
        </w:tc>
      </w:tr>
    </w:tbl>
    <w:p w14:paraId="38E36211" w14:textId="77777777" w:rsidR="005E5792" w:rsidRDefault="005E5792"/>
    <w:p w14:paraId="38E63C69" w14:textId="27F9FC06" w:rsidR="005E5792" w:rsidRDefault="005E5792">
      <w:pPr>
        <w:rPr>
          <w:rtl/>
        </w:rPr>
      </w:pPr>
    </w:p>
    <w:tbl>
      <w:tblPr>
        <w:bidiVisual/>
        <w:tblW w:w="5000" w:type="pct"/>
        <w:tblLook w:val="0000" w:firstRow="0" w:lastRow="0" w:firstColumn="0" w:lastColumn="0" w:noHBand="0" w:noVBand="0"/>
      </w:tblPr>
      <w:tblGrid>
        <w:gridCol w:w="1280"/>
        <w:gridCol w:w="8927"/>
      </w:tblGrid>
      <w:tr w:rsidR="005E5792" w:rsidRPr="00EF3E60" w14:paraId="5DBA489D" w14:textId="77777777" w:rsidTr="00903534">
        <w:trPr>
          <w:trHeight w:val="245"/>
        </w:trPr>
        <w:tc>
          <w:tcPr>
            <w:tcW w:w="627" w:type="pct"/>
          </w:tcPr>
          <w:p w14:paraId="0CE4515C" w14:textId="77777777" w:rsidR="005E5792" w:rsidRPr="000F181B" w:rsidRDefault="005E5792" w:rsidP="00400DD1">
            <w:pPr>
              <w:bidi w:val="0"/>
              <w:spacing w:before="60" w:after="60"/>
              <w:jc w:val="right"/>
              <w:rPr>
                <w:color w:val="FF0000"/>
                <w:sz w:val="14"/>
                <w:szCs w:val="14"/>
              </w:rPr>
            </w:pPr>
          </w:p>
        </w:tc>
        <w:tc>
          <w:tcPr>
            <w:tcW w:w="4373" w:type="pct"/>
          </w:tcPr>
          <w:p w14:paraId="7FD9B323" w14:textId="48873059" w:rsidR="005E5792" w:rsidRPr="00D7780F" w:rsidRDefault="005E5792" w:rsidP="00903534">
            <w:pPr>
              <w:numPr>
                <w:ilvl w:val="0"/>
                <w:numId w:val="31"/>
              </w:numPr>
              <w:spacing w:before="60" w:after="60"/>
              <w:ind w:left="315" w:hanging="293"/>
              <w:rPr>
                <w:b/>
                <w:bCs/>
                <w:rtl/>
              </w:rPr>
            </w:pPr>
            <w:r>
              <w:rPr>
                <w:rFonts w:hint="cs"/>
                <w:b/>
                <w:bCs/>
                <w:rtl/>
              </w:rPr>
              <w:t>סכומים שסווגו מחדש מרווח כולל אחר לרווח והפסד:</w:t>
            </w:r>
          </w:p>
        </w:tc>
      </w:tr>
    </w:tbl>
    <w:p w14:paraId="3C464786" w14:textId="77777777" w:rsidR="005E5792" w:rsidRDefault="005E5792"/>
    <w:tbl>
      <w:tblPr>
        <w:bidiVisual/>
        <w:tblW w:w="5179" w:type="pct"/>
        <w:tblInd w:w="-4" w:type="dxa"/>
        <w:tblLook w:val="04A0" w:firstRow="1" w:lastRow="0" w:firstColumn="1" w:lastColumn="0" w:noHBand="0" w:noVBand="1"/>
      </w:tblPr>
      <w:tblGrid>
        <w:gridCol w:w="1927"/>
        <w:gridCol w:w="1719"/>
        <w:gridCol w:w="1732"/>
        <w:gridCol w:w="1732"/>
        <w:gridCol w:w="1732"/>
        <w:gridCol w:w="1730"/>
      </w:tblGrid>
      <w:tr w:rsidR="005E5792" w:rsidRPr="00B87A54" w14:paraId="10916E2A" w14:textId="77777777" w:rsidTr="005E5792">
        <w:tc>
          <w:tcPr>
            <w:tcW w:w="911" w:type="pct"/>
            <w:shd w:val="clear" w:color="auto" w:fill="auto"/>
            <w:vAlign w:val="bottom"/>
          </w:tcPr>
          <w:p w14:paraId="67A6B8A6" w14:textId="77777777" w:rsidR="005E5792" w:rsidRPr="005E5792" w:rsidRDefault="005E5792" w:rsidP="00400DD1">
            <w:pPr>
              <w:jc w:val="center"/>
              <w:rPr>
                <w:sz w:val="18"/>
                <w:szCs w:val="18"/>
                <w:rtl/>
              </w:rPr>
            </w:pPr>
          </w:p>
        </w:tc>
        <w:tc>
          <w:tcPr>
            <w:tcW w:w="813" w:type="pct"/>
            <w:shd w:val="clear" w:color="auto" w:fill="auto"/>
            <w:vAlign w:val="bottom"/>
          </w:tcPr>
          <w:p w14:paraId="0206AD92" w14:textId="77777777" w:rsidR="005E5792" w:rsidRPr="005E5792" w:rsidRDefault="005E5792" w:rsidP="00400DD1">
            <w:pPr>
              <w:jc w:val="center"/>
              <w:rPr>
                <w:sz w:val="18"/>
                <w:szCs w:val="18"/>
                <w:rtl/>
              </w:rPr>
            </w:pPr>
          </w:p>
        </w:tc>
        <w:tc>
          <w:tcPr>
            <w:tcW w:w="819" w:type="pct"/>
            <w:shd w:val="clear" w:color="auto" w:fill="auto"/>
            <w:vAlign w:val="bottom"/>
          </w:tcPr>
          <w:p w14:paraId="553D77C7" w14:textId="77777777" w:rsidR="005E5792" w:rsidRDefault="005E5792" w:rsidP="00400DD1">
            <w:pPr>
              <w:pBdr>
                <w:bottom w:val="single" w:sz="4" w:space="1" w:color="auto"/>
              </w:pBdr>
              <w:jc w:val="center"/>
              <w:rPr>
                <w:b/>
                <w:bCs/>
                <w:sz w:val="18"/>
                <w:szCs w:val="18"/>
                <w:rtl/>
              </w:rPr>
            </w:pPr>
            <w:r w:rsidRPr="005E5792">
              <w:rPr>
                <w:rFonts w:hint="cs"/>
                <w:b/>
                <w:bCs/>
                <w:sz w:val="18"/>
                <w:szCs w:val="18"/>
                <w:rtl/>
              </w:rPr>
              <w:t xml:space="preserve">3 חודשים </w:t>
            </w:r>
          </w:p>
          <w:p w14:paraId="322900E9" w14:textId="77777777" w:rsidR="005E5792" w:rsidRPr="005E5792" w:rsidRDefault="005E5792" w:rsidP="00400DD1">
            <w:pPr>
              <w:pBdr>
                <w:bottom w:val="single" w:sz="4" w:space="1" w:color="auto"/>
              </w:pBdr>
              <w:jc w:val="center"/>
              <w:rPr>
                <w:b/>
                <w:bCs/>
                <w:sz w:val="18"/>
                <w:szCs w:val="18"/>
                <w:rtl/>
              </w:rPr>
            </w:pPr>
            <w:r w:rsidRPr="005E5792">
              <w:rPr>
                <w:rFonts w:hint="cs"/>
                <w:b/>
                <w:bCs/>
                <w:sz w:val="18"/>
                <w:szCs w:val="18"/>
                <w:rtl/>
              </w:rPr>
              <w:t>שהסתיימו ביום</w:t>
            </w:r>
          </w:p>
        </w:tc>
        <w:tc>
          <w:tcPr>
            <w:tcW w:w="819" w:type="pct"/>
            <w:shd w:val="clear" w:color="auto" w:fill="auto"/>
            <w:vAlign w:val="bottom"/>
          </w:tcPr>
          <w:p w14:paraId="6A14BF89" w14:textId="77777777" w:rsidR="005E5792" w:rsidRDefault="005E5792" w:rsidP="00400DD1">
            <w:pPr>
              <w:pBdr>
                <w:bottom w:val="single" w:sz="4" w:space="1" w:color="auto"/>
              </w:pBdr>
              <w:jc w:val="center"/>
              <w:rPr>
                <w:b/>
                <w:bCs/>
                <w:sz w:val="18"/>
                <w:szCs w:val="18"/>
                <w:rtl/>
              </w:rPr>
            </w:pPr>
            <w:r w:rsidRPr="005E5792">
              <w:rPr>
                <w:rFonts w:hint="cs"/>
                <w:b/>
                <w:bCs/>
                <w:sz w:val="18"/>
                <w:szCs w:val="18"/>
                <w:rtl/>
              </w:rPr>
              <w:t xml:space="preserve">6 חודשים </w:t>
            </w:r>
          </w:p>
          <w:p w14:paraId="3904E341" w14:textId="77777777" w:rsidR="005E5792" w:rsidRPr="005E5792" w:rsidRDefault="005E5792" w:rsidP="00400DD1">
            <w:pPr>
              <w:pBdr>
                <w:bottom w:val="single" w:sz="4" w:space="1" w:color="auto"/>
              </w:pBdr>
              <w:jc w:val="center"/>
              <w:rPr>
                <w:b/>
                <w:bCs/>
                <w:sz w:val="18"/>
                <w:szCs w:val="18"/>
                <w:rtl/>
              </w:rPr>
            </w:pPr>
            <w:r w:rsidRPr="005E5792">
              <w:rPr>
                <w:rFonts w:hint="cs"/>
                <w:b/>
                <w:bCs/>
                <w:sz w:val="18"/>
                <w:szCs w:val="18"/>
                <w:rtl/>
              </w:rPr>
              <w:t>שהסתיימו ביום</w:t>
            </w:r>
          </w:p>
        </w:tc>
        <w:tc>
          <w:tcPr>
            <w:tcW w:w="819" w:type="pct"/>
            <w:shd w:val="clear" w:color="auto" w:fill="auto"/>
            <w:vAlign w:val="bottom"/>
          </w:tcPr>
          <w:p w14:paraId="0B8F1174" w14:textId="77777777" w:rsidR="005E5792" w:rsidRDefault="005E5792" w:rsidP="00400DD1">
            <w:pPr>
              <w:pBdr>
                <w:bottom w:val="single" w:sz="4" w:space="1" w:color="auto"/>
              </w:pBdr>
              <w:jc w:val="center"/>
              <w:rPr>
                <w:b/>
                <w:bCs/>
                <w:sz w:val="18"/>
                <w:szCs w:val="18"/>
                <w:rtl/>
              </w:rPr>
            </w:pPr>
            <w:r w:rsidRPr="005E5792">
              <w:rPr>
                <w:rFonts w:hint="cs"/>
                <w:b/>
                <w:bCs/>
                <w:sz w:val="18"/>
                <w:szCs w:val="18"/>
                <w:rtl/>
              </w:rPr>
              <w:t xml:space="preserve">3 חודשים </w:t>
            </w:r>
          </w:p>
          <w:p w14:paraId="0A9D44A5" w14:textId="77777777" w:rsidR="005E5792" w:rsidRPr="005E5792" w:rsidRDefault="005E5792" w:rsidP="00400DD1">
            <w:pPr>
              <w:pBdr>
                <w:bottom w:val="single" w:sz="4" w:space="1" w:color="auto"/>
              </w:pBdr>
              <w:jc w:val="center"/>
              <w:rPr>
                <w:b/>
                <w:bCs/>
                <w:sz w:val="18"/>
                <w:szCs w:val="18"/>
                <w:rtl/>
              </w:rPr>
            </w:pPr>
            <w:r w:rsidRPr="005E5792">
              <w:rPr>
                <w:rFonts w:hint="cs"/>
                <w:b/>
                <w:bCs/>
                <w:sz w:val="18"/>
                <w:szCs w:val="18"/>
                <w:rtl/>
              </w:rPr>
              <w:t>שהסתיימו ביום</w:t>
            </w:r>
          </w:p>
        </w:tc>
        <w:tc>
          <w:tcPr>
            <w:tcW w:w="818" w:type="pct"/>
            <w:shd w:val="clear" w:color="auto" w:fill="auto"/>
            <w:vAlign w:val="bottom"/>
          </w:tcPr>
          <w:p w14:paraId="4E5F1594" w14:textId="77777777" w:rsidR="005E5792" w:rsidRDefault="005E5792" w:rsidP="00400DD1">
            <w:pPr>
              <w:pBdr>
                <w:bottom w:val="single" w:sz="4" w:space="1" w:color="auto"/>
              </w:pBdr>
              <w:jc w:val="center"/>
              <w:rPr>
                <w:b/>
                <w:bCs/>
                <w:sz w:val="18"/>
                <w:szCs w:val="18"/>
                <w:rtl/>
              </w:rPr>
            </w:pPr>
            <w:r w:rsidRPr="005E5792">
              <w:rPr>
                <w:rFonts w:hint="cs"/>
                <w:b/>
                <w:bCs/>
                <w:sz w:val="18"/>
                <w:szCs w:val="18"/>
                <w:rtl/>
              </w:rPr>
              <w:t xml:space="preserve">6 חודשים </w:t>
            </w:r>
          </w:p>
          <w:p w14:paraId="30CBABFA" w14:textId="77777777" w:rsidR="005E5792" w:rsidRPr="005E5792" w:rsidRDefault="005E5792" w:rsidP="00400DD1">
            <w:pPr>
              <w:pBdr>
                <w:bottom w:val="single" w:sz="4" w:space="1" w:color="auto"/>
              </w:pBdr>
              <w:jc w:val="center"/>
              <w:rPr>
                <w:b/>
                <w:bCs/>
                <w:sz w:val="18"/>
                <w:szCs w:val="18"/>
                <w:rtl/>
              </w:rPr>
            </w:pPr>
            <w:r w:rsidRPr="005E5792">
              <w:rPr>
                <w:rFonts w:hint="cs"/>
                <w:b/>
                <w:bCs/>
                <w:sz w:val="18"/>
                <w:szCs w:val="18"/>
                <w:rtl/>
              </w:rPr>
              <w:t>שהסתיימו ביום</w:t>
            </w:r>
          </w:p>
        </w:tc>
      </w:tr>
      <w:tr w:rsidR="005E5792" w:rsidRPr="00B87A54" w14:paraId="27E13669" w14:textId="77777777" w:rsidTr="005E5792">
        <w:tc>
          <w:tcPr>
            <w:tcW w:w="911" w:type="pct"/>
            <w:shd w:val="clear" w:color="auto" w:fill="auto"/>
            <w:vAlign w:val="bottom"/>
          </w:tcPr>
          <w:p w14:paraId="363BFAA7" w14:textId="77777777" w:rsidR="005E5792" w:rsidRPr="005E5792" w:rsidRDefault="005E5792" w:rsidP="00400DD1">
            <w:pPr>
              <w:jc w:val="center"/>
              <w:rPr>
                <w:sz w:val="18"/>
                <w:szCs w:val="18"/>
                <w:rtl/>
              </w:rPr>
            </w:pPr>
          </w:p>
        </w:tc>
        <w:tc>
          <w:tcPr>
            <w:tcW w:w="813" w:type="pct"/>
            <w:shd w:val="clear" w:color="auto" w:fill="auto"/>
            <w:vAlign w:val="bottom"/>
          </w:tcPr>
          <w:p w14:paraId="360BB7C1" w14:textId="77777777" w:rsidR="005E5792" w:rsidRPr="005E5792" w:rsidRDefault="005E5792" w:rsidP="00400DD1">
            <w:pPr>
              <w:jc w:val="center"/>
              <w:rPr>
                <w:sz w:val="18"/>
                <w:szCs w:val="18"/>
                <w:rtl/>
              </w:rPr>
            </w:pPr>
          </w:p>
        </w:tc>
        <w:tc>
          <w:tcPr>
            <w:tcW w:w="1638" w:type="pct"/>
            <w:gridSpan w:val="2"/>
            <w:shd w:val="clear" w:color="auto" w:fill="auto"/>
            <w:vAlign w:val="bottom"/>
          </w:tcPr>
          <w:p w14:paraId="7A952DD8" w14:textId="7C47978D" w:rsidR="005E5792" w:rsidRPr="005E5792" w:rsidRDefault="005E5792" w:rsidP="00400DD1">
            <w:pPr>
              <w:pBdr>
                <w:bottom w:val="single" w:sz="4" w:space="1" w:color="auto"/>
              </w:pBdr>
              <w:jc w:val="center"/>
              <w:rPr>
                <w:b/>
                <w:bCs/>
                <w:sz w:val="18"/>
                <w:szCs w:val="18"/>
                <w:rtl/>
              </w:rPr>
            </w:pPr>
            <w:r w:rsidRPr="005E5792">
              <w:rPr>
                <w:rFonts w:hint="cs"/>
                <w:b/>
                <w:bCs/>
                <w:sz w:val="18"/>
                <w:szCs w:val="18"/>
                <w:rtl/>
              </w:rPr>
              <w:t xml:space="preserve">30 ביוני </w:t>
            </w:r>
            <w:r w:rsidRPr="005E5792">
              <w:rPr>
                <w:b/>
                <w:bCs/>
                <w:sz w:val="18"/>
                <w:szCs w:val="18"/>
                <w:rtl/>
              </w:rPr>
              <w:fldChar w:fldCharType="begin"/>
            </w:r>
            <w:r w:rsidRPr="005E5792">
              <w:rPr>
                <w:b/>
                <w:bCs/>
                <w:sz w:val="18"/>
                <w:szCs w:val="18"/>
                <w:rtl/>
              </w:rPr>
              <w:instrText xml:space="preserve"> </w:instrText>
            </w:r>
            <w:r w:rsidRPr="005E5792">
              <w:rPr>
                <w:rFonts w:hint="cs"/>
                <w:b/>
                <w:bCs/>
                <w:sz w:val="18"/>
                <w:szCs w:val="18"/>
                <w:rtl/>
              </w:rPr>
              <w:instrText xml:space="preserve">= </w:instrText>
            </w:r>
            <w:r w:rsidRPr="005E5792">
              <w:rPr>
                <w:rFonts w:hint="cs"/>
                <w:b/>
                <w:bCs/>
                <w:sz w:val="18"/>
                <w:szCs w:val="18"/>
              </w:rPr>
              <w:instrText>CY \* MERGEFORMAT</w:instrText>
            </w:r>
            <w:r w:rsidRPr="005E5792">
              <w:rPr>
                <w:b/>
                <w:bCs/>
                <w:sz w:val="18"/>
                <w:szCs w:val="18"/>
                <w:rtl/>
              </w:rPr>
              <w:instrText xml:space="preserve"> </w:instrText>
            </w:r>
            <w:r w:rsidRPr="005E5792">
              <w:rPr>
                <w:b/>
                <w:bCs/>
                <w:sz w:val="18"/>
                <w:szCs w:val="18"/>
                <w:rtl/>
              </w:rPr>
              <w:fldChar w:fldCharType="separate"/>
            </w:r>
            <w:r w:rsidR="003A584F">
              <w:rPr>
                <w:b/>
                <w:bCs/>
                <w:noProof/>
                <w:sz w:val="18"/>
                <w:szCs w:val="18"/>
                <w:rtl/>
              </w:rPr>
              <w:t>2024</w:t>
            </w:r>
            <w:r w:rsidRPr="005E5792">
              <w:rPr>
                <w:b/>
                <w:bCs/>
                <w:sz w:val="18"/>
                <w:szCs w:val="18"/>
                <w:rtl/>
              </w:rPr>
              <w:fldChar w:fldCharType="end"/>
            </w:r>
            <w:r w:rsidRPr="005E5792">
              <w:rPr>
                <w:rFonts w:hint="cs"/>
                <w:b/>
                <w:bCs/>
                <w:sz w:val="18"/>
                <w:szCs w:val="18"/>
                <w:rtl/>
              </w:rPr>
              <w:t xml:space="preserve"> </w:t>
            </w:r>
            <w:r w:rsidRPr="006F749D">
              <w:rPr>
                <w:rFonts w:hint="cs"/>
                <w:sz w:val="18"/>
                <w:szCs w:val="18"/>
                <w:rtl/>
              </w:rPr>
              <w:t>(בלתי מבוקר)</w:t>
            </w:r>
          </w:p>
        </w:tc>
        <w:tc>
          <w:tcPr>
            <w:tcW w:w="1637" w:type="pct"/>
            <w:gridSpan w:val="2"/>
            <w:shd w:val="clear" w:color="auto" w:fill="auto"/>
            <w:vAlign w:val="bottom"/>
          </w:tcPr>
          <w:p w14:paraId="480CA34A" w14:textId="1C7ED15A" w:rsidR="005E5792" w:rsidRPr="005E5792" w:rsidRDefault="005E5792" w:rsidP="00400DD1">
            <w:pPr>
              <w:pBdr>
                <w:bottom w:val="single" w:sz="4" w:space="1" w:color="auto"/>
              </w:pBdr>
              <w:jc w:val="center"/>
              <w:rPr>
                <w:b/>
                <w:bCs/>
                <w:sz w:val="18"/>
                <w:szCs w:val="18"/>
                <w:rtl/>
              </w:rPr>
            </w:pPr>
            <w:r w:rsidRPr="005E5792">
              <w:rPr>
                <w:rFonts w:hint="cs"/>
                <w:b/>
                <w:bCs/>
                <w:sz w:val="18"/>
                <w:szCs w:val="18"/>
                <w:rtl/>
              </w:rPr>
              <w:t xml:space="preserve">30 ביוני </w:t>
            </w:r>
            <w:r w:rsidRPr="005E5792">
              <w:rPr>
                <w:b/>
                <w:bCs/>
                <w:sz w:val="18"/>
                <w:szCs w:val="18"/>
                <w:rtl/>
              </w:rPr>
              <w:fldChar w:fldCharType="begin"/>
            </w:r>
            <w:r w:rsidRPr="005E5792">
              <w:rPr>
                <w:b/>
                <w:bCs/>
                <w:sz w:val="18"/>
                <w:szCs w:val="18"/>
                <w:rtl/>
              </w:rPr>
              <w:instrText xml:space="preserve"> </w:instrText>
            </w:r>
            <w:r w:rsidRPr="005E5792">
              <w:rPr>
                <w:rFonts w:hint="cs"/>
                <w:b/>
                <w:bCs/>
                <w:sz w:val="18"/>
                <w:szCs w:val="18"/>
                <w:rtl/>
              </w:rPr>
              <w:instrText xml:space="preserve">= </w:instrText>
            </w:r>
            <w:r w:rsidRPr="005E5792">
              <w:rPr>
                <w:rFonts w:hint="cs"/>
                <w:b/>
                <w:bCs/>
                <w:sz w:val="18"/>
                <w:szCs w:val="18"/>
              </w:rPr>
              <w:instrText>CY</w:instrText>
            </w:r>
            <w:r w:rsidRPr="005E5792">
              <w:rPr>
                <w:b/>
                <w:bCs/>
                <w:sz w:val="18"/>
                <w:szCs w:val="18"/>
              </w:rPr>
              <w:instrText>-1</w:instrText>
            </w:r>
            <w:r w:rsidRPr="005E5792">
              <w:rPr>
                <w:rFonts w:hint="cs"/>
                <w:b/>
                <w:bCs/>
                <w:sz w:val="18"/>
                <w:szCs w:val="18"/>
              </w:rPr>
              <w:instrText xml:space="preserve"> \* MERGEFORMAT</w:instrText>
            </w:r>
            <w:r w:rsidRPr="005E5792">
              <w:rPr>
                <w:b/>
                <w:bCs/>
                <w:sz w:val="18"/>
                <w:szCs w:val="18"/>
                <w:rtl/>
              </w:rPr>
              <w:instrText xml:space="preserve"> </w:instrText>
            </w:r>
            <w:r w:rsidRPr="005E5792">
              <w:rPr>
                <w:b/>
                <w:bCs/>
                <w:sz w:val="18"/>
                <w:szCs w:val="18"/>
                <w:rtl/>
              </w:rPr>
              <w:fldChar w:fldCharType="separate"/>
            </w:r>
            <w:r w:rsidR="003A584F">
              <w:rPr>
                <w:b/>
                <w:bCs/>
                <w:noProof/>
                <w:sz w:val="18"/>
                <w:szCs w:val="18"/>
                <w:rtl/>
              </w:rPr>
              <w:t>2023</w:t>
            </w:r>
            <w:r w:rsidRPr="005E5792">
              <w:rPr>
                <w:b/>
                <w:bCs/>
                <w:sz w:val="18"/>
                <w:szCs w:val="18"/>
                <w:rtl/>
              </w:rPr>
              <w:fldChar w:fldCharType="end"/>
            </w:r>
            <w:r w:rsidRPr="005E5792">
              <w:rPr>
                <w:rFonts w:hint="cs"/>
                <w:b/>
                <w:bCs/>
                <w:sz w:val="18"/>
                <w:szCs w:val="18"/>
                <w:rtl/>
              </w:rPr>
              <w:t xml:space="preserve"> </w:t>
            </w:r>
            <w:r w:rsidRPr="006F749D">
              <w:rPr>
                <w:rFonts w:hint="cs"/>
                <w:sz w:val="18"/>
                <w:szCs w:val="18"/>
                <w:rtl/>
              </w:rPr>
              <w:t>(בלתי מבוקר)</w:t>
            </w:r>
          </w:p>
        </w:tc>
      </w:tr>
      <w:tr w:rsidR="005E5792" w:rsidRPr="00B87A54" w14:paraId="0902D104" w14:textId="77777777" w:rsidTr="005E5792">
        <w:tc>
          <w:tcPr>
            <w:tcW w:w="911" w:type="pct"/>
            <w:shd w:val="clear" w:color="auto" w:fill="auto"/>
            <w:vAlign w:val="bottom"/>
          </w:tcPr>
          <w:p w14:paraId="05F11C89" w14:textId="77777777" w:rsidR="005E5792" w:rsidRPr="005E5792" w:rsidRDefault="005E5792" w:rsidP="00400DD1">
            <w:pPr>
              <w:jc w:val="center"/>
              <w:rPr>
                <w:sz w:val="18"/>
                <w:szCs w:val="18"/>
                <w:rtl/>
              </w:rPr>
            </w:pPr>
          </w:p>
        </w:tc>
        <w:tc>
          <w:tcPr>
            <w:tcW w:w="813" w:type="pct"/>
            <w:shd w:val="clear" w:color="auto" w:fill="auto"/>
            <w:vAlign w:val="bottom"/>
          </w:tcPr>
          <w:p w14:paraId="0DE064B3" w14:textId="77777777" w:rsidR="005E5792" w:rsidRPr="005E5792" w:rsidRDefault="005E5792" w:rsidP="00400DD1">
            <w:pPr>
              <w:pBdr>
                <w:bottom w:val="single" w:sz="4" w:space="1" w:color="auto"/>
              </w:pBdr>
              <w:jc w:val="left"/>
              <w:rPr>
                <w:b/>
                <w:bCs/>
                <w:sz w:val="18"/>
                <w:szCs w:val="18"/>
                <w:rtl/>
              </w:rPr>
            </w:pPr>
            <w:r w:rsidRPr="005E5792">
              <w:rPr>
                <w:rFonts w:hint="cs"/>
                <w:b/>
                <w:bCs/>
                <w:sz w:val="18"/>
                <w:szCs w:val="18"/>
                <w:rtl/>
              </w:rPr>
              <w:t>חוזה הגידור</w:t>
            </w:r>
          </w:p>
        </w:tc>
        <w:tc>
          <w:tcPr>
            <w:tcW w:w="1638" w:type="pct"/>
            <w:gridSpan w:val="2"/>
            <w:shd w:val="clear" w:color="auto" w:fill="auto"/>
            <w:vAlign w:val="bottom"/>
          </w:tcPr>
          <w:p w14:paraId="7483F1F4" w14:textId="77777777" w:rsidR="005E5792" w:rsidRPr="005E5792" w:rsidRDefault="005E5792" w:rsidP="00400DD1">
            <w:pPr>
              <w:pBdr>
                <w:bottom w:val="single" w:sz="4" w:space="1" w:color="auto"/>
              </w:pBdr>
              <w:jc w:val="center"/>
              <w:rPr>
                <w:b/>
                <w:bCs/>
                <w:sz w:val="18"/>
                <w:szCs w:val="18"/>
                <w:rtl/>
              </w:rPr>
            </w:pPr>
            <w:r w:rsidRPr="005E5792">
              <w:rPr>
                <w:rFonts w:hint="cs"/>
                <w:b/>
                <w:bCs/>
                <w:sz w:val="18"/>
                <w:szCs w:val="18"/>
                <w:rtl/>
              </w:rPr>
              <w:t>רווחים (הפסדים) שסווגו מחדש מרווח כולל אחר מצטבר לרווח והפסד</w:t>
            </w:r>
            <w:r w:rsidRPr="005E5792">
              <w:rPr>
                <w:rFonts w:hint="cs"/>
                <w:b/>
                <w:bCs/>
                <w:sz w:val="18"/>
                <w:szCs w:val="18"/>
                <w:vertAlign w:val="superscript"/>
                <w:rtl/>
              </w:rPr>
              <w:t>(ב)</w:t>
            </w:r>
          </w:p>
        </w:tc>
        <w:tc>
          <w:tcPr>
            <w:tcW w:w="1637" w:type="pct"/>
            <w:gridSpan w:val="2"/>
            <w:shd w:val="clear" w:color="auto" w:fill="auto"/>
            <w:vAlign w:val="bottom"/>
          </w:tcPr>
          <w:p w14:paraId="04E6100F" w14:textId="77777777" w:rsidR="005E5792" w:rsidRPr="005E5792" w:rsidRDefault="005E5792" w:rsidP="00400DD1">
            <w:pPr>
              <w:pBdr>
                <w:bottom w:val="single" w:sz="4" w:space="1" w:color="auto"/>
              </w:pBdr>
              <w:jc w:val="center"/>
              <w:rPr>
                <w:b/>
                <w:bCs/>
                <w:sz w:val="18"/>
                <w:szCs w:val="18"/>
                <w:rtl/>
              </w:rPr>
            </w:pPr>
            <w:r w:rsidRPr="005E5792">
              <w:rPr>
                <w:rFonts w:hint="cs"/>
                <w:b/>
                <w:bCs/>
                <w:sz w:val="18"/>
                <w:szCs w:val="18"/>
                <w:rtl/>
              </w:rPr>
              <w:t>רווחים (הפסדים) שסווגו מחדש מרווח כולל אחר מצטבר לרווח והפסד</w:t>
            </w:r>
            <w:r w:rsidRPr="005E5792">
              <w:rPr>
                <w:rFonts w:hint="cs"/>
                <w:b/>
                <w:bCs/>
                <w:sz w:val="18"/>
                <w:szCs w:val="18"/>
                <w:vertAlign w:val="superscript"/>
                <w:rtl/>
              </w:rPr>
              <w:t xml:space="preserve"> (ב)</w:t>
            </w:r>
            <w:r w:rsidRPr="005E5792" w:rsidDel="00864851">
              <w:rPr>
                <w:rFonts w:hint="cs"/>
                <w:b/>
                <w:bCs/>
                <w:sz w:val="18"/>
                <w:szCs w:val="18"/>
                <w:vertAlign w:val="superscript"/>
                <w:rtl/>
              </w:rPr>
              <w:t xml:space="preserve"> </w:t>
            </w:r>
          </w:p>
        </w:tc>
      </w:tr>
      <w:tr w:rsidR="005E5792" w:rsidRPr="00B87A54" w14:paraId="7C546264" w14:textId="77777777" w:rsidTr="005E5792">
        <w:tc>
          <w:tcPr>
            <w:tcW w:w="911" w:type="pct"/>
            <w:shd w:val="clear" w:color="auto" w:fill="auto"/>
          </w:tcPr>
          <w:p w14:paraId="4C193775" w14:textId="77777777" w:rsidR="005E5792" w:rsidRPr="005E5792" w:rsidRDefault="005E5792" w:rsidP="00400DD1">
            <w:pPr>
              <w:spacing w:before="20" w:after="20"/>
              <w:rPr>
                <w:sz w:val="18"/>
                <w:szCs w:val="18"/>
                <w:rtl/>
              </w:rPr>
            </w:pPr>
          </w:p>
        </w:tc>
        <w:tc>
          <w:tcPr>
            <w:tcW w:w="813" w:type="pct"/>
            <w:shd w:val="clear" w:color="auto" w:fill="auto"/>
          </w:tcPr>
          <w:p w14:paraId="7E715566" w14:textId="77777777" w:rsidR="005E5792" w:rsidRPr="005E5792" w:rsidRDefault="005E5792" w:rsidP="00400DD1">
            <w:pPr>
              <w:spacing w:before="20" w:after="20"/>
              <w:rPr>
                <w:sz w:val="18"/>
                <w:szCs w:val="18"/>
                <w:rtl/>
              </w:rPr>
            </w:pPr>
            <w:r w:rsidRPr="005E5792">
              <w:rPr>
                <w:rFonts w:hint="cs"/>
                <w:sz w:val="18"/>
                <w:szCs w:val="18"/>
                <w:rtl/>
              </w:rPr>
              <w:t>שיעור ריבית</w:t>
            </w:r>
          </w:p>
        </w:tc>
        <w:tc>
          <w:tcPr>
            <w:tcW w:w="819" w:type="pct"/>
            <w:shd w:val="clear" w:color="auto" w:fill="auto"/>
          </w:tcPr>
          <w:p w14:paraId="5CE61859" w14:textId="77777777" w:rsidR="005E5792" w:rsidRPr="005E5792" w:rsidRDefault="005E5792" w:rsidP="00400DD1">
            <w:pPr>
              <w:spacing w:before="20" w:after="20"/>
              <w:ind w:left="284" w:right="284"/>
              <w:rPr>
                <w:sz w:val="18"/>
                <w:szCs w:val="18"/>
                <w:rtl/>
              </w:rPr>
            </w:pPr>
            <w:r w:rsidRPr="005E5792">
              <w:rPr>
                <w:rFonts w:hint="cs"/>
                <w:sz w:val="18"/>
                <w:szCs w:val="18"/>
                <w:rtl/>
              </w:rPr>
              <w:t>0</w:t>
            </w:r>
          </w:p>
        </w:tc>
        <w:tc>
          <w:tcPr>
            <w:tcW w:w="819" w:type="pct"/>
            <w:shd w:val="clear" w:color="auto" w:fill="auto"/>
          </w:tcPr>
          <w:p w14:paraId="0240F690" w14:textId="77777777" w:rsidR="005E5792" w:rsidRPr="005E5792" w:rsidRDefault="005E5792" w:rsidP="00400DD1">
            <w:pPr>
              <w:spacing w:before="20" w:after="20"/>
              <w:ind w:left="284" w:right="284"/>
              <w:rPr>
                <w:sz w:val="18"/>
                <w:szCs w:val="18"/>
                <w:rtl/>
              </w:rPr>
            </w:pPr>
            <w:r w:rsidRPr="005E5792">
              <w:rPr>
                <w:rFonts w:hint="cs"/>
                <w:sz w:val="18"/>
                <w:szCs w:val="18"/>
                <w:rtl/>
              </w:rPr>
              <w:t>0</w:t>
            </w:r>
          </w:p>
        </w:tc>
        <w:tc>
          <w:tcPr>
            <w:tcW w:w="819" w:type="pct"/>
            <w:shd w:val="clear" w:color="auto" w:fill="auto"/>
          </w:tcPr>
          <w:p w14:paraId="113F98D4" w14:textId="77777777" w:rsidR="005E5792" w:rsidRPr="005E5792" w:rsidRDefault="005E5792" w:rsidP="00400DD1">
            <w:pPr>
              <w:spacing w:before="20" w:after="20"/>
              <w:ind w:left="284" w:right="284"/>
              <w:rPr>
                <w:sz w:val="18"/>
                <w:szCs w:val="18"/>
                <w:rtl/>
              </w:rPr>
            </w:pPr>
            <w:r w:rsidRPr="005E5792">
              <w:rPr>
                <w:rFonts w:hint="cs"/>
                <w:sz w:val="18"/>
                <w:szCs w:val="18"/>
                <w:rtl/>
              </w:rPr>
              <w:t>0</w:t>
            </w:r>
          </w:p>
        </w:tc>
        <w:tc>
          <w:tcPr>
            <w:tcW w:w="818" w:type="pct"/>
            <w:shd w:val="clear" w:color="auto" w:fill="auto"/>
          </w:tcPr>
          <w:p w14:paraId="4FD6BE6E" w14:textId="77777777" w:rsidR="005E5792" w:rsidRPr="005E5792" w:rsidRDefault="005E5792" w:rsidP="00400DD1">
            <w:pPr>
              <w:spacing w:before="20" w:after="20"/>
              <w:ind w:left="284" w:right="284"/>
              <w:rPr>
                <w:sz w:val="18"/>
                <w:szCs w:val="18"/>
                <w:rtl/>
              </w:rPr>
            </w:pPr>
            <w:r w:rsidRPr="005E5792">
              <w:rPr>
                <w:rFonts w:hint="cs"/>
                <w:sz w:val="18"/>
                <w:szCs w:val="18"/>
                <w:rtl/>
              </w:rPr>
              <w:t>0</w:t>
            </w:r>
          </w:p>
        </w:tc>
      </w:tr>
      <w:tr w:rsidR="005E5792" w:rsidRPr="00B87A54" w14:paraId="2EDFEF45" w14:textId="77777777" w:rsidTr="005E5792">
        <w:tc>
          <w:tcPr>
            <w:tcW w:w="911" w:type="pct"/>
            <w:shd w:val="clear" w:color="auto" w:fill="auto"/>
          </w:tcPr>
          <w:p w14:paraId="4C4F8DC3" w14:textId="77777777" w:rsidR="005E5792" w:rsidRPr="005E5792" w:rsidRDefault="005E5792" w:rsidP="00400DD1">
            <w:pPr>
              <w:spacing w:before="20" w:after="20"/>
              <w:rPr>
                <w:sz w:val="18"/>
                <w:szCs w:val="18"/>
                <w:rtl/>
              </w:rPr>
            </w:pPr>
          </w:p>
        </w:tc>
        <w:tc>
          <w:tcPr>
            <w:tcW w:w="813" w:type="pct"/>
            <w:shd w:val="clear" w:color="auto" w:fill="auto"/>
          </w:tcPr>
          <w:p w14:paraId="22FE605C" w14:textId="77777777" w:rsidR="005E5792" w:rsidRPr="005E5792" w:rsidRDefault="005E5792" w:rsidP="00400DD1">
            <w:pPr>
              <w:spacing w:before="20" w:after="20"/>
              <w:rPr>
                <w:sz w:val="18"/>
                <w:szCs w:val="18"/>
                <w:rtl/>
              </w:rPr>
            </w:pPr>
            <w:r w:rsidRPr="005E5792">
              <w:rPr>
                <w:rFonts w:hint="cs"/>
                <w:sz w:val="18"/>
                <w:szCs w:val="18"/>
                <w:rtl/>
              </w:rPr>
              <w:t>מטבע חוץ</w:t>
            </w:r>
          </w:p>
        </w:tc>
        <w:tc>
          <w:tcPr>
            <w:tcW w:w="819" w:type="pct"/>
            <w:shd w:val="clear" w:color="auto" w:fill="auto"/>
          </w:tcPr>
          <w:p w14:paraId="13C38031" w14:textId="77777777" w:rsidR="005E5792" w:rsidRPr="005E5792" w:rsidRDefault="005E5792" w:rsidP="00400DD1">
            <w:pPr>
              <w:pBdr>
                <w:bottom w:val="single" w:sz="4" w:space="1" w:color="auto"/>
              </w:pBdr>
              <w:spacing w:before="20" w:after="20"/>
              <w:ind w:left="284" w:right="284"/>
              <w:rPr>
                <w:sz w:val="18"/>
                <w:szCs w:val="18"/>
                <w:rtl/>
              </w:rPr>
            </w:pPr>
            <w:r w:rsidRPr="005E5792">
              <w:rPr>
                <w:rFonts w:hint="cs"/>
                <w:sz w:val="18"/>
                <w:szCs w:val="18"/>
                <w:rtl/>
              </w:rPr>
              <w:t>0</w:t>
            </w:r>
          </w:p>
        </w:tc>
        <w:tc>
          <w:tcPr>
            <w:tcW w:w="819" w:type="pct"/>
            <w:shd w:val="clear" w:color="auto" w:fill="auto"/>
          </w:tcPr>
          <w:p w14:paraId="4E199850" w14:textId="77777777" w:rsidR="005E5792" w:rsidRPr="005E5792" w:rsidRDefault="005E5792" w:rsidP="00400DD1">
            <w:pPr>
              <w:pBdr>
                <w:bottom w:val="single" w:sz="4" w:space="1" w:color="auto"/>
              </w:pBdr>
              <w:spacing w:before="20" w:after="20"/>
              <w:ind w:left="284" w:right="284"/>
              <w:rPr>
                <w:sz w:val="18"/>
                <w:szCs w:val="18"/>
                <w:rtl/>
              </w:rPr>
            </w:pPr>
            <w:r w:rsidRPr="005E5792">
              <w:rPr>
                <w:rFonts w:hint="cs"/>
                <w:sz w:val="18"/>
                <w:szCs w:val="18"/>
                <w:rtl/>
              </w:rPr>
              <w:t>0</w:t>
            </w:r>
          </w:p>
        </w:tc>
        <w:tc>
          <w:tcPr>
            <w:tcW w:w="819" w:type="pct"/>
            <w:shd w:val="clear" w:color="auto" w:fill="auto"/>
          </w:tcPr>
          <w:p w14:paraId="46F51DF6" w14:textId="77777777" w:rsidR="005E5792" w:rsidRPr="005E5792" w:rsidRDefault="005E5792" w:rsidP="00400DD1">
            <w:pPr>
              <w:pBdr>
                <w:bottom w:val="single" w:sz="4" w:space="1" w:color="auto"/>
              </w:pBdr>
              <w:spacing w:before="20" w:after="20"/>
              <w:ind w:left="284" w:right="284"/>
              <w:rPr>
                <w:sz w:val="18"/>
                <w:szCs w:val="18"/>
                <w:rtl/>
              </w:rPr>
            </w:pPr>
            <w:r w:rsidRPr="005E5792">
              <w:rPr>
                <w:rFonts w:hint="cs"/>
                <w:sz w:val="18"/>
                <w:szCs w:val="18"/>
                <w:rtl/>
              </w:rPr>
              <w:t>0</w:t>
            </w:r>
          </w:p>
        </w:tc>
        <w:tc>
          <w:tcPr>
            <w:tcW w:w="818" w:type="pct"/>
            <w:shd w:val="clear" w:color="auto" w:fill="auto"/>
          </w:tcPr>
          <w:p w14:paraId="448B4B98" w14:textId="77777777" w:rsidR="005E5792" w:rsidRPr="005E5792" w:rsidRDefault="005E5792" w:rsidP="00400DD1">
            <w:pPr>
              <w:pBdr>
                <w:bottom w:val="single" w:sz="4" w:space="1" w:color="auto"/>
              </w:pBdr>
              <w:spacing w:before="20" w:after="20"/>
              <w:ind w:left="284" w:right="284"/>
              <w:rPr>
                <w:sz w:val="18"/>
                <w:szCs w:val="18"/>
                <w:rtl/>
              </w:rPr>
            </w:pPr>
            <w:r w:rsidRPr="005E5792">
              <w:rPr>
                <w:rFonts w:hint="cs"/>
                <w:sz w:val="18"/>
                <w:szCs w:val="18"/>
                <w:rtl/>
              </w:rPr>
              <w:t>0</w:t>
            </w:r>
          </w:p>
        </w:tc>
      </w:tr>
      <w:tr w:rsidR="005E5792" w:rsidRPr="00B87A54" w14:paraId="3C604F07" w14:textId="77777777" w:rsidTr="005E5792">
        <w:tc>
          <w:tcPr>
            <w:tcW w:w="911" w:type="pct"/>
            <w:shd w:val="clear" w:color="auto" w:fill="auto"/>
          </w:tcPr>
          <w:p w14:paraId="5FEAF6DE" w14:textId="77777777" w:rsidR="005E5792" w:rsidRPr="005E5792" w:rsidRDefault="005E5792" w:rsidP="00400DD1">
            <w:pPr>
              <w:spacing w:before="20" w:after="20"/>
              <w:rPr>
                <w:sz w:val="18"/>
                <w:szCs w:val="18"/>
                <w:rtl/>
              </w:rPr>
            </w:pPr>
          </w:p>
        </w:tc>
        <w:tc>
          <w:tcPr>
            <w:tcW w:w="813" w:type="pct"/>
            <w:shd w:val="clear" w:color="auto" w:fill="auto"/>
          </w:tcPr>
          <w:p w14:paraId="540D8374" w14:textId="77777777" w:rsidR="005E5792" w:rsidRPr="005E5792" w:rsidRDefault="005E5792" w:rsidP="00400DD1">
            <w:pPr>
              <w:spacing w:before="20" w:after="20"/>
              <w:rPr>
                <w:b/>
                <w:bCs/>
                <w:sz w:val="18"/>
                <w:szCs w:val="18"/>
                <w:rtl/>
              </w:rPr>
            </w:pPr>
            <w:r w:rsidRPr="005E5792">
              <w:rPr>
                <w:rFonts w:hint="cs"/>
                <w:b/>
                <w:bCs/>
                <w:sz w:val="18"/>
                <w:szCs w:val="18"/>
                <w:rtl/>
              </w:rPr>
              <w:t>סך הכל</w:t>
            </w:r>
          </w:p>
        </w:tc>
        <w:tc>
          <w:tcPr>
            <w:tcW w:w="819" w:type="pct"/>
            <w:shd w:val="clear" w:color="auto" w:fill="auto"/>
          </w:tcPr>
          <w:p w14:paraId="2578ED0E" w14:textId="77777777" w:rsidR="005E5792" w:rsidRPr="005E5792" w:rsidRDefault="005E5792" w:rsidP="00400DD1">
            <w:pPr>
              <w:pBdr>
                <w:bottom w:val="double" w:sz="4" w:space="1" w:color="auto"/>
              </w:pBdr>
              <w:spacing w:before="20" w:after="20"/>
              <w:ind w:left="284" w:right="284"/>
              <w:rPr>
                <w:b/>
                <w:bCs/>
                <w:sz w:val="18"/>
                <w:szCs w:val="18"/>
                <w:rtl/>
              </w:rPr>
            </w:pPr>
            <w:r w:rsidRPr="005E5792">
              <w:rPr>
                <w:rFonts w:hint="cs"/>
                <w:b/>
                <w:bCs/>
                <w:sz w:val="18"/>
                <w:szCs w:val="18"/>
                <w:rtl/>
              </w:rPr>
              <w:t>0</w:t>
            </w:r>
          </w:p>
        </w:tc>
        <w:tc>
          <w:tcPr>
            <w:tcW w:w="819" w:type="pct"/>
            <w:shd w:val="clear" w:color="auto" w:fill="auto"/>
          </w:tcPr>
          <w:p w14:paraId="2B2B0BDA" w14:textId="77777777" w:rsidR="005E5792" w:rsidRPr="005E5792" w:rsidRDefault="005E5792" w:rsidP="00400DD1">
            <w:pPr>
              <w:pBdr>
                <w:bottom w:val="double" w:sz="4" w:space="1" w:color="auto"/>
              </w:pBdr>
              <w:spacing w:before="20" w:after="20"/>
              <w:ind w:left="284" w:right="284"/>
              <w:rPr>
                <w:b/>
                <w:bCs/>
                <w:sz w:val="18"/>
                <w:szCs w:val="18"/>
                <w:rtl/>
              </w:rPr>
            </w:pPr>
            <w:r w:rsidRPr="005E5792">
              <w:rPr>
                <w:rFonts w:hint="cs"/>
                <w:b/>
                <w:bCs/>
                <w:sz w:val="18"/>
                <w:szCs w:val="18"/>
                <w:rtl/>
              </w:rPr>
              <w:t>0</w:t>
            </w:r>
          </w:p>
        </w:tc>
        <w:tc>
          <w:tcPr>
            <w:tcW w:w="819" w:type="pct"/>
            <w:shd w:val="clear" w:color="auto" w:fill="auto"/>
          </w:tcPr>
          <w:p w14:paraId="2D7274E6" w14:textId="77777777" w:rsidR="005E5792" w:rsidRPr="005E5792" w:rsidRDefault="005E5792" w:rsidP="00400DD1">
            <w:pPr>
              <w:pBdr>
                <w:bottom w:val="double" w:sz="4" w:space="1" w:color="auto"/>
              </w:pBdr>
              <w:spacing w:before="20" w:after="20"/>
              <w:ind w:left="284" w:right="284"/>
              <w:rPr>
                <w:b/>
                <w:bCs/>
                <w:sz w:val="18"/>
                <w:szCs w:val="18"/>
                <w:rtl/>
              </w:rPr>
            </w:pPr>
            <w:r w:rsidRPr="005E5792">
              <w:rPr>
                <w:rFonts w:hint="cs"/>
                <w:b/>
                <w:bCs/>
                <w:sz w:val="18"/>
                <w:szCs w:val="18"/>
                <w:rtl/>
              </w:rPr>
              <w:t>0</w:t>
            </w:r>
          </w:p>
        </w:tc>
        <w:tc>
          <w:tcPr>
            <w:tcW w:w="818" w:type="pct"/>
            <w:shd w:val="clear" w:color="auto" w:fill="auto"/>
          </w:tcPr>
          <w:p w14:paraId="1AFB7911" w14:textId="77777777" w:rsidR="005E5792" w:rsidRPr="005E5792" w:rsidRDefault="005E5792" w:rsidP="00400DD1">
            <w:pPr>
              <w:pBdr>
                <w:bottom w:val="double" w:sz="4" w:space="1" w:color="auto"/>
              </w:pBdr>
              <w:spacing w:before="20" w:after="20"/>
              <w:ind w:left="284" w:right="284"/>
              <w:rPr>
                <w:b/>
                <w:bCs/>
                <w:sz w:val="18"/>
                <w:szCs w:val="18"/>
                <w:rtl/>
              </w:rPr>
            </w:pPr>
            <w:r w:rsidRPr="005E5792">
              <w:rPr>
                <w:rFonts w:hint="cs"/>
                <w:b/>
                <w:bCs/>
                <w:sz w:val="18"/>
                <w:szCs w:val="18"/>
                <w:rtl/>
              </w:rPr>
              <w:t>0</w:t>
            </w:r>
          </w:p>
        </w:tc>
      </w:tr>
    </w:tbl>
    <w:p w14:paraId="1CF94E27" w14:textId="77777777" w:rsidR="001A24FC" w:rsidRDefault="001A24FC" w:rsidP="00D7780F">
      <w:pPr>
        <w:rPr>
          <w:rtl/>
        </w:rPr>
      </w:pPr>
    </w:p>
    <w:tbl>
      <w:tblPr>
        <w:bidiVisual/>
        <w:tblW w:w="0" w:type="auto"/>
        <w:tblInd w:w="-15" w:type="dxa"/>
        <w:tblLook w:val="04A0" w:firstRow="1" w:lastRow="0" w:firstColumn="1" w:lastColumn="0" w:noHBand="0" w:noVBand="1"/>
      </w:tblPr>
      <w:tblGrid>
        <w:gridCol w:w="1602"/>
        <w:gridCol w:w="1712"/>
        <w:gridCol w:w="3397"/>
      </w:tblGrid>
      <w:tr w:rsidR="005E5792" w:rsidRPr="00B87A54" w14:paraId="00B71972" w14:textId="77777777" w:rsidTr="00400DD1">
        <w:tc>
          <w:tcPr>
            <w:tcW w:w="1602" w:type="dxa"/>
            <w:shd w:val="clear" w:color="auto" w:fill="auto"/>
            <w:vAlign w:val="bottom"/>
          </w:tcPr>
          <w:p w14:paraId="2B2DB66D" w14:textId="77777777" w:rsidR="005E5792" w:rsidRPr="005E5792" w:rsidRDefault="005E5792" w:rsidP="00400DD1">
            <w:pPr>
              <w:jc w:val="center"/>
              <w:rPr>
                <w:sz w:val="18"/>
                <w:szCs w:val="18"/>
                <w:rtl/>
              </w:rPr>
            </w:pPr>
          </w:p>
        </w:tc>
        <w:tc>
          <w:tcPr>
            <w:tcW w:w="1712" w:type="dxa"/>
            <w:shd w:val="clear" w:color="auto" w:fill="auto"/>
            <w:vAlign w:val="bottom"/>
          </w:tcPr>
          <w:p w14:paraId="13BC33D0" w14:textId="77777777" w:rsidR="005E5792" w:rsidRPr="005E5792" w:rsidRDefault="005E5792" w:rsidP="00400DD1">
            <w:pPr>
              <w:jc w:val="center"/>
              <w:rPr>
                <w:sz w:val="18"/>
                <w:szCs w:val="18"/>
                <w:rtl/>
              </w:rPr>
            </w:pPr>
          </w:p>
        </w:tc>
        <w:tc>
          <w:tcPr>
            <w:tcW w:w="3397" w:type="dxa"/>
            <w:shd w:val="clear" w:color="auto" w:fill="auto"/>
            <w:vAlign w:val="bottom"/>
          </w:tcPr>
          <w:p w14:paraId="361C7F97" w14:textId="77777777" w:rsidR="005E5792" w:rsidRPr="005E5792" w:rsidRDefault="005E5792" w:rsidP="00400DD1">
            <w:pPr>
              <w:pBdr>
                <w:bottom w:val="single" w:sz="4" w:space="1" w:color="auto"/>
              </w:pBdr>
              <w:jc w:val="center"/>
              <w:rPr>
                <w:b/>
                <w:bCs/>
                <w:sz w:val="18"/>
                <w:szCs w:val="18"/>
                <w:rtl/>
              </w:rPr>
            </w:pPr>
            <w:r w:rsidRPr="005E5792">
              <w:rPr>
                <w:rFonts w:hint="cs"/>
                <w:b/>
                <w:bCs/>
                <w:sz w:val="18"/>
                <w:szCs w:val="18"/>
                <w:rtl/>
              </w:rPr>
              <w:t>שנה שהסתיימה ביום</w:t>
            </w:r>
          </w:p>
          <w:p w14:paraId="7E579333" w14:textId="461D0C94" w:rsidR="005E5792" w:rsidRPr="005E5792" w:rsidRDefault="005E5792" w:rsidP="00400DD1">
            <w:pPr>
              <w:pBdr>
                <w:bottom w:val="single" w:sz="4" w:space="1" w:color="auto"/>
              </w:pBdr>
              <w:jc w:val="center"/>
              <w:rPr>
                <w:sz w:val="18"/>
                <w:szCs w:val="18"/>
                <w:rtl/>
              </w:rPr>
            </w:pPr>
            <w:r w:rsidRPr="005E5792">
              <w:rPr>
                <w:rFonts w:hint="cs"/>
                <w:b/>
                <w:bCs/>
                <w:sz w:val="18"/>
                <w:szCs w:val="18"/>
                <w:rtl/>
              </w:rPr>
              <w:t xml:space="preserve">31 בדצמבר </w:t>
            </w:r>
            <w:r w:rsidRPr="005E5792">
              <w:rPr>
                <w:b/>
                <w:bCs/>
                <w:sz w:val="18"/>
                <w:szCs w:val="18"/>
                <w:rtl/>
              </w:rPr>
              <w:fldChar w:fldCharType="begin"/>
            </w:r>
            <w:r w:rsidRPr="005E5792">
              <w:rPr>
                <w:b/>
                <w:bCs/>
                <w:sz w:val="18"/>
                <w:szCs w:val="18"/>
                <w:rtl/>
              </w:rPr>
              <w:instrText xml:space="preserve"> </w:instrText>
            </w:r>
            <w:r w:rsidRPr="005E5792">
              <w:rPr>
                <w:rFonts w:hint="cs"/>
                <w:b/>
                <w:bCs/>
                <w:sz w:val="18"/>
                <w:szCs w:val="18"/>
                <w:rtl/>
              </w:rPr>
              <w:instrText xml:space="preserve">= </w:instrText>
            </w:r>
            <w:r w:rsidRPr="005E5792">
              <w:rPr>
                <w:rFonts w:hint="cs"/>
                <w:b/>
                <w:bCs/>
                <w:sz w:val="18"/>
                <w:szCs w:val="18"/>
              </w:rPr>
              <w:instrText>CY</w:instrText>
            </w:r>
            <w:r w:rsidRPr="005E5792">
              <w:rPr>
                <w:b/>
                <w:bCs/>
                <w:sz w:val="18"/>
                <w:szCs w:val="18"/>
              </w:rPr>
              <w:instrText>-1</w:instrText>
            </w:r>
            <w:r w:rsidRPr="005E5792">
              <w:rPr>
                <w:rFonts w:hint="cs"/>
                <w:b/>
                <w:bCs/>
                <w:sz w:val="18"/>
                <w:szCs w:val="18"/>
              </w:rPr>
              <w:instrText xml:space="preserve"> \* MERGEFORMAT</w:instrText>
            </w:r>
            <w:r w:rsidRPr="005E5792">
              <w:rPr>
                <w:b/>
                <w:bCs/>
                <w:sz w:val="18"/>
                <w:szCs w:val="18"/>
                <w:rtl/>
              </w:rPr>
              <w:instrText xml:space="preserve"> </w:instrText>
            </w:r>
            <w:r w:rsidRPr="005E5792">
              <w:rPr>
                <w:b/>
                <w:bCs/>
                <w:sz w:val="18"/>
                <w:szCs w:val="18"/>
                <w:rtl/>
              </w:rPr>
              <w:fldChar w:fldCharType="separate"/>
            </w:r>
            <w:r w:rsidR="003A584F">
              <w:rPr>
                <w:b/>
                <w:bCs/>
                <w:noProof/>
                <w:sz w:val="18"/>
                <w:szCs w:val="18"/>
                <w:rtl/>
              </w:rPr>
              <w:t>2023</w:t>
            </w:r>
            <w:r w:rsidRPr="005E5792">
              <w:rPr>
                <w:b/>
                <w:bCs/>
                <w:sz w:val="18"/>
                <w:szCs w:val="18"/>
                <w:rtl/>
              </w:rPr>
              <w:fldChar w:fldCharType="end"/>
            </w:r>
            <w:r w:rsidRPr="005E5792">
              <w:rPr>
                <w:rFonts w:hint="cs"/>
                <w:b/>
                <w:bCs/>
                <w:sz w:val="18"/>
                <w:szCs w:val="18"/>
                <w:rtl/>
              </w:rPr>
              <w:t xml:space="preserve"> </w:t>
            </w:r>
            <w:r w:rsidRPr="006F749D">
              <w:rPr>
                <w:rFonts w:hint="cs"/>
                <w:sz w:val="18"/>
                <w:szCs w:val="18"/>
                <w:rtl/>
              </w:rPr>
              <w:t>(מבוקר)</w:t>
            </w:r>
          </w:p>
        </w:tc>
      </w:tr>
      <w:tr w:rsidR="005E5792" w:rsidRPr="00B87A54" w14:paraId="7DA8F07B" w14:textId="77777777" w:rsidTr="00400DD1">
        <w:tc>
          <w:tcPr>
            <w:tcW w:w="1602" w:type="dxa"/>
            <w:shd w:val="clear" w:color="auto" w:fill="auto"/>
            <w:vAlign w:val="bottom"/>
          </w:tcPr>
          <w:p w14:paraId="0B57DF18" w14:textId="77777777" w:rsidR="005E5792" w:rsidRPr="005E5792" w:rsidRDefault="005E5792" w:rsidP="00400DD1">
            <w:pPr>
              <w:jc w:val="center"/>
              <w:rPr>
                <w:sz w:val="18"/>
                <w:szCs w:val="18"/>
                <w:rtl/>
              </w:rPr>
            </w:pPr>
          </w:p>
        </w:tc>
        <w:tc>
          <w:tcPr>
            <w:tcW w:w="1712" w:type="dxa"/>
            <w:shd w:val="clear" w:color="auto" w:fill="auto"/>
            <w:vAlign w:val="bottom"/>
          </w:tcPr>
          <w:p w14:paraId="4516436F" w14:textId="77777777" w:rsidR="005E5792" w:rsidRPr="005E5792" w:rsidRDefault="005E5792" w:rsidP="00400DD1">
            <w:pPr>
              <w:pBdr>
                <w:bottom w:val="single" w:sz="4" w:space="1" w:color="auto"/>
              </w:pBdr>
              <w:jc w:val="left"/>
              <w:rPr>
                <w:b/>
                <w:bCs/>
                <w:sz w:val="18"/>
                <w:szCs w:val="18"/>
                <w:rtl/>
              </w:rPr>
            </w:pPr>
            <w:r w:rsidRPr="005E5792">
              <w:rPr>
                <w:rFonts w:hint="cs"/>
                <w:b/>
                <w:bCs/>
                <w:sz w:val="18"/>
                <w:szCs w:val="18"/>
                <w:rtl/>
              </w:rPr>
              <w:t>חוזה הגידור</w:t>
            </w:r>
          </w:p>
        </w:tc>
        <w:tc>
          <w:tcPr>
            <w:tcW w:w="3397" w:type="dxa"/>
            <w:shd w:val="clear" w:color="auto" w:fill="auto"/>
            <w:vAlign w:val="bottom"/>
          </w:tcPr>
          <w:p w14:paraId="0225C2A5" w14:textId="77777777" w:rsidR="005E5792" w:rsidRPr="005E5792" w:rsidRDefault="005E5792" w:rsidP="00400DD1">
            <w:pPr>
              <w:pBdr>
                <w:bottom w:val="single" w:sz="4" w:space="1" w:color="auto"/>
              </w:pBdr>
              <w:spacing w:after="20"/>
              <w:jc w:val="center"/>
              <w:rPr>
                <w:b/>
                <w:bCs/>
                <w:sz w:val="18"/>
                <w:szCs w:val="18"/>
                <w:rtl/>
              </w:rPr>
            </w:pPr>
            <w:r w:rsidRPr="005E5792">
              <w:rPr>
                <w:rFonts w:hint="cs"/>
                <w:b/>
                <w:bCs/>
                <w:sz w:val="18"/>
                <w:szCs w:val="18"/>
                <w:rtl/>
              </w:rPr>
              <w:t>רווחים (הפסדים) שסווגו מחדש מרווח כולל אחר מצטבר לרווח והפסד</w:t>
            </w:r>
            <w:r w:rsidRPr="005E5792">
              <w:rPr>
                <w:rFonts w:hint="cs"/>
                <w:b/>
                <w:bCs/>
                <w:sz w:val="18"/>
                <w:szCs w:val="18"/>
                <w:vertAlign w:val="superscript"/>
                <w:rtl/>
              </w:rPr>
              <w:t xml:space="preserve"> (ב)</w:t>
            </w:r>
            <w:r w:rsidRPr="005E5792" w:rsidDel="00864851">
              <w:rPr>
                <w:rFonts w:hint="cs"/>
                <w:b/>
                <w:bCs/>
                <w:sz w:val="18"/>
                <w:szCs w:val="18"/>
                <w:vertAlign w:val="superscript"/>
                <w:rtl/>
              </w:rPr>
              <w:t xml:space="preserve"> </w:t>
            </w:r>
          </w:p>
        </w:tc>
      </w:tr>
      <w:tr w:rsidR="005E5792" w:rsidRPr="00B87A54" w14:paraId="37AC1223" w14:textId="77777777" w:rsidTr="00400DD1">
        <w:tc>
          <w:tcPr>
            <w:tcW w:w="1602" w:type="dxa"/>
            <w:shd w:val="clear" w:color="auto" w:fill="auto"/>
          </w:tcPr>
          <w:p w14:paraId="551E95E5" w14:textId="77777777" w:rsidR="005E5792" w:rsidRPr="005E5792" w:rsidRDefault="005E5792" w:rsidP="00400DD1">
            <w:pPr>
              <w:spacing w:before="20" w:after="20" w:line="240" w:lineRule="exact"/>
              <w:rPr>
                <w:sz w:val="18"/>
                <w:szCs w:val="18"/>
                <w:rtl/>
              </w:rPr>
            </w:pPr>
          </w:p>
        </w:tc>
        <w:tc>
          <w:tcPr>
            <w:tcW w:w="1712" w:type="dxa"/>
            <w:shd w:val="clear" w:color="auto" w:fill="auto"/>
          </w:tcPr>
          <w:p w14:paraId="116962A9" w14:textId="77777777" w:rsidR="005E5792" w:rsidRPr="005E5792" w:rsidRDefault="005E5792" w:rsidP="00400DD1">
            <w:pPr>
              <w:spacing w:before="20" w:after="20" w:line="240" w:lineRule="exact"/>
              <w:rPr>
                <w:sz w:val="18"/>
                <w:szCs w:val="18"/>
                <w:rtl/>
              </w:rPr>
            </w:pPr>
            <w:r w:rsidRPr="005E5792">
              <w:rPr>
                <w:rFonts w:hint="cs"/>
                <w:sz w:val="18"/>
                <w:szCs w:val="18"/>
                <w:rtl/>
              </w:rPr>
              <w:t>שיעור ריבית</w:t>
            </w:r>
          </w:p>
        </w:tc>
        <w:tc>
          <w:tcPr>
            <w:tcW w:w="3397" w:type="dxa"/>
            <w:shd w:val="clear" w:color="auto" w:fill="auto"/>
          </w:tcPr>
          <w:p w14:paraId="12FAB986" w14:textId="77777777" w:rsidR="005E5792" w:rsidRPr="005E5792" w:rsidRDefault="005E5792" w:rsidP="00400DD1">
            <w:pPr>
              <w:spacing w:before="20" w:after="20" w:line="240" w:lineRule="exact"/>
              <w:ind w:left="567" w:right="567"/>
              <w:rPr>
                <w:sz w:val="18"/>
                <w:szCs w:val="18"/>
                <w:rtl/>
              </w:rPr>
            </w:pPr>
            <w:r w:rsidRPr="005E5792">
              <w:rPr>
                <w:rFonts w:hint="cs"/>
                <w:sz w:val="18"/>
                <w:szCs w:val="18"/>
                <w:rtl/>
              </w:rPr>
              <w:t>0</w:t>
            </w:r>
          </w:p>
        </w:tc>
      </w:tr>
      <w:tr w:rsidR="005E5792" w:rsidRPr="00B87A54" w14:paraId="7F84A3AB" w14:textId="77777777" w:rsidTr="00400DD1">
        <w:tc>
          <w:tcPr>
            <w:tcW w:w="1602" w:type="dxa"/>
            <w:shd w:val="clear" w:color="auto" w:fill="auto"/>
          </w:tcPr>
          <w:p w14:paraId="5F4094FE" w14:textId="77777777" w:rsidR="005E5792" w:rsidRPr="005E5792" w:rsidRDefault="005E5792" w:rsidP="00400DD1">
            <w:pPr>
              <w:spacing w:before="20" w:after="20" w:line="240" w:lineRule="exact"/>
              <w:rPr>
                <w:sz w:val="18"/>
                <w:szCs w:val="18"/>
                <w:rtl/>
              </w:rPr>
            </w:pPr>
          </w:p>
        </w:tc>
        <w:tc>
          <w:tcPr>
            <w:tcW w:w="1712" w:type="dxa"/>
            <w:shd w:val="clear" w:color="auto" w:fill="auto"/>
          </w:tcPr>
          <w:p w14:paraId="4BA0AAAA" w14:textId="77777777" w:rsidR="005E5792" w:rsidRPr="005E5792" w:rsidRDefault="005E5792" w:rsidP="00400DD1">
            <w:pPr>
              <w:spacing w:before="20" w:after="20" w:line="240" w:lineRule="exact"/>
              <w:rPr>
                <w:sz w:val="18"/>
                <w:szCs w:val="18"/>
                <w:rtl/>
              </w:rPr>
            </w:pPr>
            <w:r w:rsidRPr="005E5792">
              <w:rPr>
                <w:rFonts w:hint="cs"/>
                <w:sz w:val="18"/>
                <w:szCs w:val="18"/>
                <w:rtl/>
              </w:rPr>
              <w:t>מטבע חוץ</w:t>
            </w:r>
          </w:p>
        </w:tc>
        <w:tc>
          <w:tcPr>
            <w:tcW w:w="3397" w:type="dxa"/>
            <w:shd w:val="clear" w:color="auto" w:fill="auto"/>
          </w:tcPr>
          <w:p w14:paraId="6DC02627" w14:textId="77777777" w:rsidR="005E5792" w:rsidRPr="005E5792" w:rsidRDefault="005E5792" w:rsidP="00400DD1">
            <w:pPr>
              <w:pBdr>
                <w:bottom w:val="single" w:sz="4" w:space="1" w:color="auto"/>
              </w:pBdr>
              <w:spacing w:before="20" w:after="20" w:line="240" w:lineRule="exact"/>
              <w:ind w:left="567" w:right="567"/>
              <w:rPr>
                <w:sz w:val="18"/>
                <w:szCs w:val="18"/>
                <w:rtl/>
              </w:rPr>
            </w:pPr>
            <w:r w:rsidRPr="005E5792">
              <w:rPr>
                <w:rFonts w:hint="cs"/>
                <w:sz w:val="18"/>
                <w:szCs w:val="18"/>
                <w:rtl/>
              </w:rPr>
              <w:t>0</w:t>
            </w:r>
          </w:p>
        </w:tc>
      </w:tr>
      <w:tr w:rsidR="005E5792" w14:paraId="00E4CC12" w14:textId="77777777" w:rsidTr="00400DD1">
        <w:tc>
          <w:tcPr>
            <w:tcW w:w="1602" w:type="dxa"/>
            <w:shd w:val="clear" w:color="auto" w:fill="auto"/>
          </w:tcPr>
          <w:p w14:paraId="1E87E0EB" w14:textId="77777777" w:rsidR="005E5792" w:rsidRPr="005E5792" w:rsidRDefault="005E5792" w:rsidP="00400DD1">
            <w:pPr>
              <w:spacing w:before="20" w:after="20" w:line="240" w:lineRule="exact"/>
              <w:rPr>
                <w:sz w:val="18"/>
                <w:szCs w:val="18"/>
                <w:rtl/>
              </w:rPr>
            </w:pPr>
          </w:p>
        </w:tc>
        <w:tc>
          <w:tcPr>
            <w:tcW w:w="1712" w:type="dxa"/>
            <w:shd w:val="clear" w:color="auto" w:fill="auto"/>
          </w:tcPr>
          <w:p w14:paraId="5DCC4C58" w14:textId="77777777" w:rsidR="005E5792" w:rsidRPr="005E5792" w:rsidRDefault="005E5792" w:rsidP="00400DD1">
            <w:pPr>
              <w:spacing w:before="20" w:after="20" w:line="240" w:lineRule="exact"/>
              <w:rPr>
                <w:b/>
                <w:bCs/>
                <w:sz w:val="18"/>
                <w:szCs w:val="18"/>
                <w:rtl/>
              </w:rPr>
            </w:pPr>
            <w:r w:rsidRPr="005E5792">
              <w:rPr>
                <w:rFonts w:hint="cs"/>
                <w:b/>
                <w:bCs/>
                <w:sz w:val="18"/>
                <w:szCs w:val="18"/>
                <w:rtl/>
              </w:rPr>
              <w:t>סך הכל</w:t>
            </w:r>
          </w:p>
        </w:tc>
        <w:tc>
          <w:tcPr>
            <w:tcW w:w="3397" w:type="dxa"/>
            <w:shd w:val="clear" w:color="auto" w:fill="auto"/>
          </w:tcPr>
          <w:p w14:paraId="0199B5EC" w14:textId="77777777" w:rsidR="005E5792" w:rsidRPr="005E5792" w:rsidRDefault="005E5792" w:rsidP="00400DD1">
            <w:pPr>
              <w:pBdr>
                <w:bottom w:val="double" w:sz="4" w:space="1" w:color="auto"/>
              </w:pBdr>
              <w:spacing w:before="20" w:after="20" w:line="240" w:lineRule="exact"/>
              <w:ind w:left="567" w:right="567"/>
              <w:rPr>
                <w:b/>
                <w:bCs/>
                <w:sz w:val="18"/>
                <w:szCs w:val="18"/>
                <w:rtl/>
              </w:rPr>
            </w:pPr>
            <w:r w:rsidRPr="005E5792">
              <w:rPr>
                <w:rFonts w:hint="cs"/>
                <w:b/>
                <w:bCs/>
                <w:sz w:val="18"/>
                <w:szCs w:val="18"/>
                <w:rtl/>
              </w:rPr>
              <w:t>0</w:t>
            </w:r>
          </w:p>
        </w:tc>
      </w:tr>
    </w:tbl>
    <w:p w14:paraId="2337E7CA" w14:textId="77777777" w:rsidR="001A24FC" w:rsidRDefault="001A24FC" w:rsidP="00D7780F">
      <w:pPr>
        <w:rPr>
          <w:rtl/>
        </w:rPr>
      </w:pPr>
    </w:p>
    <w:p w14:paraId="32C3FE02" w14:textId="77777777" w:rsidR="001A24FC" w:rsidRDefault="001A24FC" w:rsidP="00D7780F">
      <w:pPr>
        <w:rPr>
          <w:rtl/>
        </w:rPr>
      </w:pPr>
    </w:p>
    <w:tbl>
      <w:tblPr>
        <w:bidiVisual/>
        <w:tblW w:w="5010" w:type="pct"/>
        <w:tblInd w:w="-10" w:type="dxa"/>
        <w:tblLook w:val="0000" w:firstRow="0" w:lastRow="0" w:firstColumn="0" w:lastColumn="0" w:noHBand="0" w:noVBand="0"/>
      </w:tblPr>
      <w:tblGrid>
        <w:gridCol w:w="1557"/>
        <w:gridCol w:w="8670"/>
      </w:tblGrid>
      <w:tr w:rsidR="005E5792" w:rsidRPr="00EF3E60" w14:paraId="5913AF7B" w14:textId="77777777" w:rsidTr="00400DD1">
        <w:trPr>
          <w:trHeight w:val="245"/>
        </w:trPr>
        <w:tc>
          <w:tcPr>
            <w:tcW w:w="761" w:type="pct"/>
          </w:tcPr>
          <w:p w14:paraId="539235DA" w14:textId="77777777" w:rsidR="005E5792" w:rsidRPr="00DE51FE" w:rsidRDefault="005E5792" w:rsidP="00400DD1">
            <w:pPr>
              <w:spacing w:before="60" w:after="60"/>
              <w:jc w:val="left"/>
              <w:rPr>
                <w:b/>
                <w:bCs/>
                <w:sz w:val="14"/>
                <w:szCs w:val="14"/>
                <w:rtl/>
              </w:rPr>
            </w:pPr>
          </w:p>
        </w:tc>
        <w:tc>
          <w:tcPr>
            <w:tcW w:w="4239" w:type="pct"/>
          </w:tcPr>
          <w:p w14:paraId="2B28D8D8" w14:textId="26EDE567" w:rsidR="005E5792" w:rsidRPr="0001523C" w:rsidRDefault="005E5792" w:rsidP="00400DD1">
            <w:pPr>
              <w:spacing w:before="60" w:after="60"/>
              <w:ind w:left="332" w:hanging="303"/>
              <w:rPr>
                <w:sz w:val="18"/>
                <w:szCs w:val="18"/>
                <w:rtl/>
              </w:rPr>
            </w:pPr>
            <w:r w:rsidRPr="00940F68">
              <w:rPr>
                <w:rFonts w:hint="cs"/>
                <w:sz w:val="18"/>
                <w:szCs w:val="18"/>
                <w:rtl/>
              </w:rPr>
              <w:t>(</w:t>
            </w:r>
            <w:r>
              <w:rPr>
                <w:rFonts w:hint="cs"/>
                <w:sz w:val="18"/>
                <w:szCs w:val="18"/>
                <w:rtl/>
              </w:rPr>
              <w:t>ב</w:t>
            </w:r>
            <w:r w:rsidRPr="00940F68">
              <w:rPr>
                <w:rFonts w:hint="cs"/>
                <w:sz w:val="18"/>
                <w:szCs w:val="18"/>
                <w:rtl/>
              </w:rPr>
              <w:t>)</w:t>
            </w:r>
            <w:r w:rsidRPr="00940F68">
              <w:rPr>
                <w:sz w:val="18"/>
                <w:szCs w:val="18"/>
                <w:rtl/>
              </w:rPr>
              <w:tab/>
            </w:r>
            <w:r w:rsidRPr="00864851">
              <w:rPr>
                <w:rFonts w:hint="eastAsia"/>
                <w:sz w:val="18"/>
                <w:szCs w:val="18"/>
                <w:rtl/>
              </w:rPr>
              <w:t>סך</w:t>
            </w:r>
            <w:r w:rsidRPr="00864851">
              <w:rPr>
                <w:sz w:val="18"/>
                <w:szCs w:val="18"/>
                <w:rtl/>
              </w:rPr>
              <w:t xml:space="preserve"> </w:t>
            </w:r>
            <w:r>
              <w:rPr>
                <w:rFonts w:hint="cs"/>
                <w:sz w:val="18"/>
                <w:szCs w:val="18"/>
                <w:rtl/>
              </w:rPr>
              <w:t xml:space="preserve">של </w:t>
            </w:r>
            <w:r w:rsidRPr="00864851">
              <w:rPr>
                <w:sz w:val="18"/>
                <w:szCs w:val="18"/>
                <w:rtl/>
              </w:rPr>
              <w:t xml:space="preserve">______ מיליוני ש"ח </w:t>
            </w:r>
            <w:r w:rsidRPr="0001523C">
              <w:rPr>
                <w:sz w:val="18"/>
                <w:szCs w:val="18"/>
                <w:rtl/>
              </w:rPr>
              <w:t xml:space="preserve">[יפורטו הסכומים לכל תקופה] </w:t>
            </w:r>
            <w:r w:rsidRPr="00864851">
              <w:rPr>
                <w:rFonts w:hint="eastAsia"/>
                <w:sz w:val="18"/>
                <w:szCs w:val="18"/>
                <w:rtl/>
              </w:rPr>
              <w:t>לתקופות</w:t>
            </w:r>
            <w:r w:rsidRPr="00864851">
              <w:rPr>
                <w:sz w:val="18"/>
                <w:szCs w:val="18"/>
                <w:rtl/>
              </w:rPr>
              <w:t xml:space="preserve"> של 3 ו-6 חודשים שהסתיימו ביום</w:t>
            </w:r>
            <w:r w:rsidRPr="008B319B">
              <w:rPr>
                <w:rFonts w:hint="cs"/>
                <w:sz w:val="18"/>
                <w:szCs w:val="18"/>
                <w:rtl/>
              </w:rPr>
              <w:t xml:space="preserve"> 30 ביוני </w:t>
            </w:r>
            <w:r w:rsidRPr="008B319B">
              <w:rPr>
                <w:sz w:val="18"/>
                <w:szCs w:val="18"/>
                <w:rtl/>
              </w:rPr>
              <w:fldChar w:fldCharType="begin"/>
            </w:r>
            <w:r w:rsidRPr="008B319B">
              <w:rPr>
                <w:sz w:val="18"/>
                <w:szCs w:val="18"/>
                <w:rtl/>
              </w:rPr>
              <w:instrText xml:space="preserve"> </w:instrText>
            </w:r>
            <w:r w:rsidRPr="008B319B">
              <w:rPr>
                <w:rFonts w:hint="cs"/>
                <w:sz w:val="18"/>
                <w:szCs w:val="18"/>
                <w:rtl/>
              </w:rPr>
              <w:instrText xml:space="preserve">= </w:instrText>
            </w:r>
            <w:r w:rsidRPr="008B319B">
              <w:rPr>
                <w:rFonts w:hint="cs"/>
                <w:sz w:val="18"/>
                <w:szCs w:val="18"/>
              </w:rPr>
              <w:instrText>CY \* MERGEFORMAT</w:instrText>
            </w:r>
            <w:r w:rsidRPr="008B319B">
              <w:rPr>
                <w:sz w:val="18"/>
                <w:szCs w:val="18"/>
                <w:rtl/>
              </w:rPr>
              <w:instrText xml:space="preserve"> </w:instrText>
            </w:r>
            <w:r w:rsidRPr="008B319B">
              <w:rPr>
                <w:sz w:val="18"/>
                <w:szCs w:val="18"/>
                <w:rtl/>
              </w:rPr>
              <w:fldChar w:fldCharType="separate"/>
            </w:r>
            <w:r w:rsidR="003A584F">
              <w:rPr>
                <w:noProof/>
                <w:sz w:val="18"/>
                <w:szCs w:val="18"/>
                <w:rtl/>
              </w:rPr>
              <w:t>2024</w:t>
            </w:r>
            <w:r w:rsidRPr="008B319B">
              <w:rPr>
                <w:sz w:val="18"/>
                <w:szCs w:val="18"/>
                <w:rtl/>
              </w:rPr>
              <w:fldChar w:fldCharType="end"/>
            </w:r>
            <w:r w:rsidRPr="008B319B">
              <w:rPr>
                <w:rFonts w:hint="cs"/>
                <w:sz w:val="18"/>
                <w:szCs w:val="18"/>
                <w:rtl/>
              </w:rPr>
              <w:t xml:space="preserve"> ו- </w:t>
            </w:r>
            <w:r w:rsidRPr="008B319B">
              <w:rPr>
                <w:sz w:val="18"/>
                <w:szCs w:val="18"/>
                <w:rtl/>
              </w:rPr>
              <w:fldChar w:fldCharType="begin"/>
            </w:r>
            <w:r w:rsidRPr="008B319B">
              <w:rPr>
                <w:sz w:val="18"/>
                <w:szCs w:val="18"/>
                <w:rtl/>
              </w:rPr>
              <w:instrText xml:space="preserve"> </w:instrText>
            </w:r>
            <w:r w:rsidRPr="008B319B">
              <w:rPr>
                <w:rFonts w:hint="cs"/>
                <w:sz w:val="18"/>
                <w:szCs w:val="18"/>
                <w:rtl/>
              </w:rPr>
              <w:instrText xml:space="preserve">= </w:instrText>
            </w:r>
            <w:r w:rsidRPr="008B319B">
              <w:rPr>
                <w:rFonts w:hint="cs"/>
                <w:sz w:val="18"/>
                <w:szCs w:val="18"/>
              </w:rPr>
              <w:instrText>CY</w:instrText>
            </w:r>
            <w:r w:rsidRPr="008B319B">
              <w:rPr>
                <w:sz w:val="18"/>
                <w:szCs w:val="18"/>
              </w:rPr>
              <w:instrText>-1</w:instrText>
            </w:r>
            <w:r w:rsidRPr="008B319B">
              <w:rPr>
                <w:rFonts w:hint="cs"/>
                <w:sz w:val="18"/>
                <w:szCs w:val="18"/>
              </w:rPr>
              <w:instrText xml:space="preserve"> \* MERGEFORMAT</w:instrText>
            </w:r>
            <w:r w:rsidRPr="008B319B">
              <w:rPr>
                <w:sz w:val="18"/>
                <w:szCs w:val="18"/>
                <w:rtl/>
              </w:rPr>
              <w:instrText xml:space="preserve"> </w:instrText>
            </w:r>
            <w:r w:rsidRPr="008B319B">
              <w:rPr>
                <w:sz w:val="18"/>
                <w:szCs w:val="18"/>
                <w:rtl/>
              </w:rPr>
              <w:fldChar w:fldCharType="separate"/>
            </w:r>
            <w:r w:rsidR="003A584F">
              <w:rPr>
                <w:noProof/>
                <w:sz w:val="18"/>
                <w:szCs w:val="18"/>
                <w:rtl/>
              </w:rPr>
              <w:t>2023</w:t>
            </w:r>
            <w:r w:rsidRPr="008B319B">
              <w:rPr>
                <w:sz w:val="18"/>
                <w:szCs w:val="18"/>
                <w:rtl/>
              </w:rPr>
              <w:fldChar w:fldCharType="end"/>
            </w:r>
            <w:r w:rsidRPr="008B319B">
              <w:rPr>
                <w:rFonts w:hint="cs"/>
                <w:sz w:val="18"/>
                <w:szCs w:val="18"/>
                <w:rtl/>
              </w:rPr>
              <w:t xml:space="preserve">, ולשנה שהסתיימה ביום 31 בדצמבר </w:t>
            </w:r>
            <w:r w:rsidRPr="008B319B">
              <w:rPr>
                <w:sz w:val="18"/>
                <w:szCs w:val="18"/>
                <w:rtl/>
              </w:rPr>
              <w:fldChar w:fldCharType="begin"/>
            </w:r>
            <w:r w:rsidRPr="008B319B">
              <w:rPr>
                <w:sz w:val="18"/>
                <w:szCs w:val="18"/>
                <w:rtl/>
              </w:rPr>
              <w:instrText xml:space="preserve"> </w:instrText>
            </w:r>
            <w:r w:rsidRPr="008B319B">
              <w:rPr>
                <w:rFonts w:hint="cs"/>
                <w:sz w:val="18"/>
                <w:szCs w:val="18"/>
                <w:rtl/>
              </w:rPr>
              <w:instrText xml:space="preserve">= </w:instrText>
            </w:r>
            <w:r w:rsidRPr="008B319B">
              <w:rPr>
                <w:rFonts w:hint="cs"/>
                <w:sz w:val="18"/>
                <w:szCs w:val="18"/>
              </w:rPr>
              <w:instrText>CY</w:instrText>
            </w:r>
            <w:r w:rsidRPr="008B319B">
              <w:rPr>
                <w:sz w:val="18"/>
                <w:szCs w:val="18"/>
              </w:rPr>
              <w:instrText>-1</w:instrText>
            </w:r>
            <w:r w:rsidRPr="008B319B">
              <w:rPr>
                <w:rFonts w:hint="cs"/>
                <w:sz w:val="18"/>
                <w:szCs w:val="18"/>
              </w:rPr>
              <w:instrText xml:space="preserve"> \* MERGEFORMAT</w:instrText>
            </w:r>
            <w:r w:rsidRPr="008B319B">
              <w:rPr>
                <w:sz w:val="18"/>
                <w:szCs w:val="18"/>
                <w:rtl/>
              </w:rPr>
              <w:instrText xml:space="preserve"> </w:instrText>
            </w:r>
            <w:r w:rsidRPr="008B319B">
              <w:rPr>
                <w:sz w:val="18"/>
                <w:szCs w:val="18"/>
                <w:rtl/>
              </w:rPr>
              <w:fldChar w:fldCharType="separate"/>
            </w:r>
            <w:r w:rsidR="003A584F">
              <w:rPr>
                <w:noProof/>
                <w:sz w:val="18"/>
                <w:szCs w:val="18"/>
                <w:rtl/>
              </w:rPr>
              <w:t>2023</w:t>
            </w:r>
            <w:r w:rsidRPr="008B319B">
              <w:rPr>
                <w:sz w:val="18"/>
                <w:szCs w:val="18"/>
                <w:rtl/>
              </w:rPr>
              <w:fldChar w:fldCharType="end"/>
            </w:r>
            <w:r>
              <w:rPr>
                <w:rFonts w:hint="cs"/>
                <w:sz w:val="18"/>
                <w:szCs w:val="18"/>
                <w:rtl/>
              </w:rPr>
              <w:t>, משקפים רווחים והפסדים הנכללים בהערכת אפקטיביות הגידור, אשר סווגו מחדש לרווח והפסד במהלך התקופה השוטפת.</w:t>
            </w:r>
          </w:p>
        </w:tc>
      </w:tr>
      <w:tr w:rsidR="005E5792" w:rsidRPr="00EF3E60" w14:paraId="5622F2E9" w14:textId="77777777" w:rsidTr="00400DD1">
        <w:trPr>
          <w:trHeight w:val="245"/>
        </w:trPr>
        <w:tc>
          <w:tcPr>
            <w:tcW w:w="761" w:type="pct"/>
          </w:tcPr>
          <w:p w14:paraId="633FF9CB" w14:textId="77777777" w:rsidR="005E5792" w:rsidRPr="0038672B" w:rsidRDefault="005E5792" w:rsidP="00400DD1">
            <w:pPr>
              <w:spacing w:before="60" w:after="60"/>
              <w:jc w:val="left"/>
              <w:rPr>
                <w:sz w:val="16"/>
                <w:szCs w:val="16"/>
                <w:vertAlign w:val="superscript"/>
              </w:rPr>
            </w:pPr>
          </w:p>
        </w:tc>
        <w:tc>
          <w:tcPr>
            <w:tcW w:w="4239" w:type="pct"/>
          </w:tcPr>
          <w:p w14:paraId="285EC11B" w14:textId="0DFD70EC" w:rsidR="005E5792" w:rsidRPr="00940F68" w:rsidRDefault="005E5792" w:rsidP="00400DD1">
            <w:pPr>
              <w:spacing w:before="60" w:after="60"/>
              <w:ind w:left="332"/>
              <w:rPr>
                <w:sz w:val="18"/>
                <w:szCs w:val="18"/>
                <w:rtl/>
              </w:rPr>
            </w:pPr>
            <w:r w:rsidRPr="00940F68">
              <w:rPr>
                <w:rFonts w:hint="cs"/>
                <w:sz w:val="18"/>
                <w:szCs w:val="18"/>
                <w:rtl/>
              </w:rPr>
              <w:t xml:space="preserve">כמו כן, סך </w:t>
            </w:r>
            <w:r>
              <w:rPr>
                <w:rFonts w:hint="cs"/>
                <w:sz w:val="18"/>
                <w:szCs w:val="18"/>
                <w:rtl/>
              </w:rPr>
              <w:t xml:space="preserve"> של</w:t>
            </w:r>
            <w:r w:rsidRPr="00940F68">
              <w:rPr>
                <w:rFonts w:hint="cs"/>
                <w:sz w:val="18"/>
                <w:szCs w:val="18"/>
                <w:rtl/>
              </w:rPr>
              <w:t xml:space="preserve">______ מיליוני ש"ח </w:t>
            </w:r>
            <w:r w:rsidRPr="0001523C">
              <w:rPr>
                <w:sz w:val="18"/>
                <w:szCs w:val="18"/>
                <w:rtl/>
              </w:rPr>
              <w:t xml:space="preserve">[יפורטו הסכומים לכל תקופה] </w:t>
            </w:r>
            <w:r w:rsidRPr="008B319B">
              <w:rPr>
                <w:rFonts w:hint="cs"/>
                <w:sz w:val="18"/>
                <w:szCs w:val="18"/>
                <w:rtl/>
              </w:rPr>
              <w:t xml:space="preserve">לתקופות של 3 ו-6 חודשים שהסתיימו </w:t>
            </w:r>
            <w:r w:rsidRPr="008B319B">
              <w:rPr>
                <w:sz w:val="18"/>
                <w:szCs w:val="18"/>
                <w:rtl/>
              </w:rPr>
              <w:t>ביום</w:t>
            </w:r>
            <w:r w:rsidRPr="008B319B">
              <w:rPr>
                <w:rFonts w:hint="cs"/>
                <w:sz w:val="18"/>
                <w:szCs w:val="18"/>
                <w:rtl/>
              </w:rPr>
              <w:t xml:space="preserve"> 30 ביוני </w:t>
            </w:r>
            <w:r w:rsidRPr="008B319B">
              <w:rPr>
                <w:sz w:val="18"/>
                <w:szCs w:val="18"/>
                <w:rtl/>
              </w:rPr>
              <w:fldChar w:fldCharType="begin"/>
            </w:r>
            <w:r w:rsidRPr="008B319B">
              <w:rPr>
                <w:sz w:val="18"/>
                <w:szCs w:val="18"/>
                <w:rtl/>
              </w:rPr>
              <w:instrText xml:space="preserve"> </w:instrText>
            </w:r>
            <w:r w:rsidRPr="008B319B">
              <w:rPr>
                <w:rFonts w:hint="cs"/>
                <w:sz w:val="18"/>
                <w:szCs w:val="18"/>
                <w:rtl/>
              </w:rPr>
              <w:instrText xml:space="preserve">= </w:instrText>
            </w:r>
            <w:r w:rsidRPr="008B319B">
              <w:rPr>
                <w:rFonts w:hint="cs"/>
                <w:sz w:val="18"/>
                <w:szCs w:val="18"/>
              </w:rPr>
              <w:instrText>CY \* MERGEFORMAT</w:instrText>
            </w:r>
            <w:r w:rsidRPr="008B319B">
              <w:rPr>
                <w:sz w:val="18"/>
                <w:szCs w:val="18"/>
                <w:rtl/>
              </w:rPr>
              <w:instrText xml:space="preserve"> </w:instrText>
            </w:r>
            <w:r w:rsidRPr="008B319B">
              <w:rPr>
                <w:sz w:val="18"/>
                <w:szCs w:val="18"/>
                <w:rtl/>
              </w:rPr>
              <w:fldChar w:fldCharType="separate"/>
            </w:r>
            <w:r w:rsidR="003A584F">
              <w:rPr>
                <w:noProof/>
                <w:sz w:val="18"/>
                <w:szCs w:val="18"/>
                <w:rtl/>
              </w:rPr>
              <w:t>2024</w:t>
            </w:r>
            <w:r w:rsidRPr="008B319B">
              <w:rPr>
                <w:sz w:val="18"/>
                <w:szCs w:val="18"/>
                <w:rtl/>
              </w:rPr>
              <w:fldChar w:fldCharType="end"/>
            </w:r>
            <w:r w:rsidRPr="008B319B">
              <w:rPr>
                <w:rFonts w:hint="cs"/>
                <w:sz w:val="18"/>
                <w:szCs w:val="18"/>
                <w:rtl/>
              </w:rPr>
              <w:t xml:space="preserve"> ו- </w:t>
            </w:r>
            <w:r w:rsidRPr="008B319B">
              <w:rPr>
                <w:sz w:val="18"/>
                <w:szCs w:val="18"/>
                <w:rtl/>
              </w:rPr>
              <w:fldChar w:fldCharType="begin"/>
            </w:r>
            <w:r w:rsidRPr="008B319B">
              <w:rPr>
                <w:sz w:val="18"/>
                <w:szCs w:val="18"/>
                <w:rtl/>
              </w:rPr>
              <w:instrText xml:space="preserve"> </w:instrText>
            </w:r>
            <w:r w:rsidRPr="008B319B">
              <w:rPr>
                <w:rFonts w:hint="cs"/>
                <w:sz w:val="18"/>
                <w:szCs w:val="18"/>
                <w:rtl/>
              </w:rPr>
              <w:instrText xml:space="preserve">= </w:instrText>
            </w:r>
            <w:r w:rsidRPr="008B319B">
              <w:rPr>
                <w:rFonts w:hint="cs"/>
                <w:sz w:val="18"/>
                <w:szCs w:val="18"/>
              </w:rPr>
              <w:instrText>CY</w:instrText>
            </w:r>
            <w:r w:rsidRPr="008B319B">
              <w:rPr>
                <w:sz w:val="18"/>
                <w:szCs w:val="18"/>
              </w:rPr>
              <w:instrText>-1</w:instrText>
            </w:r>
            <w:r w:rsidRPr="008B319B">
              <w:rPr>
                <w:rFonts w:hint="cs"/>
                <w:sz w:val="18"/>
                <w:szCs w:val="18"/>
              </w:rPr>
              <w:instrText xml:space="preserve"> \* MERGEFORMAT</w:instrText>
            </w:r>
            <w:r w:rsidRPr="008B319B">
              <w:rPr>
                <w:sz w:val="18"/>
                <w:szCs w:val="18"/>
                <w:rtl/>
              </w:rPr>
              <w:instrText xml:space="preserve"> </w:instrText>
            </w:r>
            <w:r w:rsidRPr="008B319B">
              <w:rPr>
                <w:sz w:val="18"/>
                <w:szCs w:val="18"/>
                <w:rtl/>
              </w:rPr>
              <w:fldChar w:fldCharType="separate"/>
            </w:r>
            <w:r w:rsidR="003A584F">
              <w:rPr>
                <w:noProof/>
                <w:sz w:val="18"/>
                <w:szCs w:val="18"/>
                <w:rtl/>
              </w:rPr>
              <w:t>2023</w:t>
            </w:r>
            <w:r w:rsidRPr="008B319B">
              <w:rPr>
                <w:sz w:val="18"/>
                <w:szCs w:val="18"/>
                <w:rtl/>
              </w:rPr>
              <w:fldChar w:fldCharType="end"/>
            </w:r>
            <w:r w:rsidRPr="008B319B">
              <w:rPr>
                <w:rFonts w:hint="cs"/>
                <w:sz w:val="18"/>
                <w:szCs w:val="18"/>
                <w:rtl/>
              </w:rPr>
              <w:t xml:space="preserve">, ולשנה שהסתיימה ביום 31 בדצמבר </w:t>
            </w:r>
            <w:r w:rsidRPr="008B319B">
              <w:rPr>
                <w:sz w:val="18"/>
                <w:szCs w:val="18"/>
                <w:rtl/>
              </w:rPr>
              <w:fldChar w:fldCharType="begin"/>
            </w:r>
            <w:r w:rsidRPr="008B319B">
              <w:rPr>
                <w:sz w:val="18"/>
                <w:szCs w:val="18"/>
                <w:rtl/>
              </w:rPr>
              <w:instrText xml:space="preserve"> </w:instrText>
            </w:r>
            <w:r w:rsidRPr="008B319B">
              <w:rPr>
                <w:rFonts w:hint="cs"/>
                <w:sz w:val="18"/>
                <w:szCs w:val="18"/>
                <w:rtl/>
              </w:rPr>
              <w:instrText xml:space="preserve">= </w:instrText>
            </w:r>
            <w:r w:rsidRPr="008B319B">
              <w:rPr>
                <w:rFonts w:hint="cs"/>
                <w:sz w:val="18"/>
                <w:szCs w:val="18"/>
              </w:rPr>
              <w:instrText>CY</w:instrText>
            </w:r>
            <w:r w:rsidRPr="008B319B">
              <w:rPr>
                <w:sz w:val="18"/>
                <w:szCs w:val="18"/>
              </w:rPr>
              <w:instrText>-1</w:instrText>
            </w:r>
            <w:r w:rsidRPr="008B319B">
              <w:rPr>
                <w:rFonts w:hint="cs"/>
                <w:sz w:val="18"/>
                <w:szCs w:val="18"/>
              </w:rPr>
              <w:instrText xml:space="preserve"> \* MERGEFORMAT</w:instrText>
            </w:r>
            <w:r w:rsidRPr="008B319B">
              <w:rPr>
                <w:sz w:val="18"/>
                <w:szCs w:val="18"/>
                <w:rtl/>
              </w:rPr>
              <w:instrText xml:space="preserve"> </w:instrText>
            </w:r>
            <w:r w:rsidRPr="008B319B">
              <w:rPr>
                <w:sz w:val="18"/>
                <w:szCs w:val="18"/>
                <w:rtl/>
              </w:rPr>
              <w:fldChar w:fldCharType="separate"/>
            </w:r>
            <w:r w:rsidR="003A584F">
              <w:rPr>
                <w:noProof/>
                <w:sz w:val="18"/>
                <w:szCs w:val="18"/>
                <w:rtl/>
              </w:rPr>
              <w:t>2023</w:t>
            </w:r>
            <w:r w:rsidRPr="008B319B">
              <w:rPr>
                <w:sz w:val="18"/>
                <w:szCs w:val="18"/>
                <w:rtl/>
              </w:rPr>
              <w:fldChar w:fldCharType="end"/>
            </w:r>
            <w:r w:rsidRPr="008B319B">
              <w:rPr>
                <w:rFonts w:hint="cs"/>
                <w:sz w:val="18"/>
                <w:szCs w:val="18"/>
                <w:rtl/>
              </w:rPr>
              <w:t xml:space="preserve">, </w:t>
            </w:r>
            <w:r>
              <w:rPr>
                <w:rFonts w:hint="cs"/>
                <w:sz w:val="18"/>
                <w:szCs w:val="18"/>
                <w:rtl/>
              </w:rPr>
              <w:t>משקפים רווחים והפסדים שלא נכללו בהערכת אפקטיביות הגידור ואשר לגביהם מיושמת גישת ההפחתה.</w:t>
            </w:r>
          </w:p>
        </w:tc>
      </w:tr>
    </w:tbl>
    <w:p w14:paraId="23F47376" w14:textId="77777777" w:rsidR="001A24FC" w:rsidRPr="005E5792" w:rsidRDefault="001A24FC" w:rsidP="00D7780F">
      <w:pPr>
        <w:rPr>
          <w:rtl/>
        </w:rPr>
      </w:pPr>
    </w:p>
    <w:p w14:paraId="73FE3C72" w14:textId="77777777" w:rsidR="001A24FC" w:rsidRDefault="001A24FC" w:rsidP="00D7780F">
      <w:pPr>
        <w:rPr>
          <w:rtl/>
        </w:rPr>
      </w:pPr>
    </w:p>
    <w:tbl>
      <w:tblPr>
        <w:bidiVisual/>
        <w:tblW w:w="5046" w:type="pct"/>
        <w:tblInd w:w="-95" w:type="dxa"/>
        <w:tblLook w:val="04A0" w:firstRow="1" w:lastRow="0" w:firstColumn="1" w:lastColumn="0" w:noHBand="0" w:noVBand="1"/>
      </w:tblPr>
      <w:tblGrid>
        <w:gridCol w:w="1134"/>
        <w:gridCol w:w="1136"/>
        <w:gridCol w:w="1417"/>
        <w:gridCol w:w="1417"/>
        <w:gridCol w:w="1417"/>
        <w:gridCol w:w="1417"/>
        <w:gridCol w:w="1560"/>
        <w:gridCol w:w="803"/>
      </w:tblGrid>
      <w:tr w:rsidR="006336B9" w:rsidRPr="00EF3E60" w14:paraId="68057D36" w14:textId="77777777" w:rsidTr="00903534">
        <w:trPr>
          <w:trHeight w:val="284"/>
        </w:trPr>
        <w:tc>
          <w:tcPr>
            <w:tcW w:w="550" w:type="pct"/>
          </w:tcPr>
          <w:p w14:paraId="4CF97BE6" w14:textId="77777777" w:rsidR="006336B9" w:rsidRPr="00EA192D" w:rsidRDefault="006336B9" w:rsidP="00EA192D">
            <w:pPr>
              <w:jc w:val="left"/>
              <w:rPr>
                <w:b/>
                <w:bCs/>
                <w:color w:val="000000"/>
                <w:sz w:val="18"/>
                <w:szCs w:val="18"/>
                <w:rtl/>
                <w:lang w:eastAsia="he-IL"/>
              </w:rPr>
            </w:pPr>
            <w:r>
              <w:rPr>
                <w:rtl/>
              </w:rPr>
              <w:br w:type="page"/>
            </w:r>
          </w:p>
        </w:tc>
        <w:tc>
          <w:tcPr>
            <w:tcW w:w="4450" w:type="pct"/>
            <w:gridSpan w:val="7"/>
          </w:tcPr>
          <w:p w14:paraId="1A130DCF" w14:textId="77777777" w:rsidR="006336B9" w:rsidRPr="00407430" w:rsidRDefault="006336B9" w:rsidP="008257BC">
            <w:pPr>
              <w:spacing w:after="60"/>
              <w:rPr>
                <w:b/>
                <w:bCs/>
                <w:sz w:val="22"/>
                <w:szCs w:val="22"/>
              </w:rPr>
            </w:pPr>
            <w:r w:rsidRPr="00407430">
              <w:rPr>
                <w:rFonts w:eastAsia="Arial Unicode MS"/>
                <w:b/>
                <w:bCs/>
                <w:sz w:val="22"/>
                <w:szCs w:val="22"/>
                <w:rtl/>
              </w:rPr>
              <w:t xml:space="preserve">ביאור 10  -  </w:t>
            </w:r>
            <w:r w:rsidRPr="0001523C">
              <w:rPr>
                <w:rFonts w:hint="eastAsia"/>
                <w:b/>
                <w:bCs/>
                <w:sz w:val="22"/>
                <w:szCs w:val="22"/>
                <w:rtl/>
              </w:rPr>
              <w:t>פעילות</w:t>
            </w:r>
            <w:r w:rsidRPr="0001523C">
              <w:rPr>
                <w:b/>
                <w:bCs/>
                <w:sz w:val="22"/>
                <w:szCs w:val="22"/>
                <w:rtl/>
              </w:rPr>
              <w:t xml:space="preserve"> </w:t>
            </w:r>
            <w:r w:rsidRPr="0001523C">
              <w:rPr>
                <w:rFonts w:hint="eastAsia"/>
                <w:b/>
                <w:bCs/>
                <w:sz w:val="22"/>
                <w:szCs w:val="22"/>
                <w:rtl/>
              </w:rPr>
              <w:t>במכשירים</w:t>
            </w:r>
            <w:r w:rsidRPr="0001523C">
              <w:rPr>
                <w:b/>
                <w:bCs/>
                <w:sz w:val="22"/>
                <w:szCs w:val="22"/>
                <w:rtl/>
              </w:rPr>
              <w:t xml:space="preserve"> </w:t>
            </w:r>
            <w:r w:rsidRPr="0001523C">
              <w:rPr>
                <w:rFonts w:hint="eastAsia"/>
                <w:b/>
                <w:bCs/>
                <w:sz w:val="22"/>
                <w:szCs w:val="22"/>
                <w:rtl/>
              </w:rPr>
              <w:t>נגזרים</w:t>
            </w:r>
            <w:r w:rsidRPr="0001523C">
              <w:rPr>
                <w:b/>
                <w:bCs/>
                <w:sz w:val="22"/>
                <w:szCs w:val="22"/>
                <w:rtl/>
              </w:rPr>
              <w:t xml:space="preserve"> - </w:t>
            </w:r>
            <w:r w:rsidRPr="0001523C">
              <w:rPr>
                <w:rFonts w:hint="eastAsia"/>
                <w:b/>
                <w:bCs/>
                <w:sz w:val="22"/>
                <w:szCs w:val="22"/>
                <w:rtl/>
              </w:rPr>
              <w:t>היקף</w:t>
            </w:r>
            <w:r w:rsidRPr="0001523C">
              <w:rPr>
                <w:b/>
                <w:bCs/>
                <w:sz w:val="22"/>
                <w:szCs w:val="22"/>
                <w:rtl/>
              </w:rPr>
              <w:t xml:space="preserve">, </w:t>
            </w:r>
            <w:r w:rsidRPr="0001523C">
              <w:rPr>
                <w:rFonts w:hint="eastAsia"/>
                <w:b/>
                <w:bCs/>
                <w:sz w:val="22"/>
                <w:szCs w:val="22"/>
                <w:rtl/>
              </w:rPr>
              <w:t>סיכוני</w:t>
            </w:r>
            <w:r w:rsidRPr="0001523C">
              <w:rPr>
                <w:b/>
                <w:bCs/>
                <w:sz w:val="22"/>
                <w:szCs w:val="22"/>
                <w:rtl/>
              </w:rPr>
              <w:t xml:space="preserve"> </w:t>
            </w:r>
            <w:r w:rsidRPr="0001523C">
              <w:rPr>
                <w:rFonts w:hint="eastAsia"/>
                <w:b/>
                <w:bCs/>
                <w:sz w:val="22"/>
                <w:szCs w:val="22"/>
                <w:rtl/>
              </w:rPr>
              <w:t>אשראי</w:t>
            </w:r>
            <w:r w:rsidRPr="0001523C">
              <w:rPr>
                <w:b/>
                <w:bCs/>
                <w:sz w:val="22"/>
                <w:szCs w:val="22"/>
                <w:rtl/>
              </w:rPr>
              <w:t xml:space="preserve"> </w:t>
            </w:r>
            <w:r w:rsidRPr="0001523C">
              <w:rPr>
                <w:rFonts w:hint="eastAsia"/>
                <w:b/>
                <w:bCs/>
                <w:sz w:val="22"/>
                <w:szCs w:val="22"/>
                <w:rtl/>
              </w:rPr>
              <w:t>ומועדי</w:t>
            </w:r>
            <w:r w:rsidRPr="00407430">
              <w:rPr>
                <w:b/>
                <w:bCs/>
                <w:sz w:val="22"/>
                <w:szCs w:val="22"/>
                <w:rtl/>
              </w:rPr>
              <w:t xml:space="preserve"> פירעון (המשך):</w:t>
            </w:r>
          </w:p>
        </w:tc>
      </w:tr>
      <w:tr w:rsidR="006336B9" w:rsidRPr="00EF3E60" w14:paraId="7E6446C2" w14:textId="77777777" w:rsidTr="00903534">
        <w:tblPrEx>
          <w:tblLook w:val="0000" w:firstRow="0" w:lastRow="0" w:firstColumn="0" w:lastColumn="0" w:noHBand="0" w:noVBand="0"/>
        </w:tblPrEx>
        <w:trPr>
          <w:trHeight w:val="245"/>
        </w:trPr>
        <w:tc>
          <w:tcPr>
            <w:tcW w:w="550" w:type="pct"/>
          </w:tcPr>
          <w:p w14:paraId="0E7639DF" w14:textId="337D680D" w:rsidR="006336B9" w:rsidRPr="000F181B" w:rsidRDefault="006336B9" w:rsidP="00BB7ED1">
            <w:pPr>
              <w:spacing w:before="60" w:after="40"/>
              <w:jc w:val="right"/>
              <w:rPr>
                <w:b/>
                <w:bCs/>
                <w:i/>
                <w:iCs/>
                <w:rtl/>
              </w:rPr>
            </w:pPr>
          </w:p>
        </w:tc>
        <w:tc>
          <w:tcPr>
            <w:tcW w:w="4450" w:type="pct"/>
            <w:gridSpan w:val="7"/>
          </w:tcPr>
          <w:p w14:paraId="6896DB34" w14:textId="77777777" w:rsidR="006336B9" w:rsidRPr="00EF3E60" w:rsidRDefault="00125AD1" w:rsidP="00903534">
            <w:pPr>
              <w:tabs>
                <w:tab w:val="left" w:pos="271"/>
              </w:tabs>
              <w:spacing w:before="60" w:after="40"/>
              <w:jc w:val="left"/>
              <w:rPr>
                <w:b/>
                <w:bCs/>
                <w:rtl/>
              </w:rPr>
            </w:pPr>
            <w:r>
              <w:rPr>
                <w:rFonts w:hint="cs"/>
                <w:b/>
                <w:bCs/>
                <w:rtl/>
              </w:rPr>
              <w:t>ו</w:t>
            </w:r>
            <w:r w:rsidR="006336B9" w:rsidRPr="00EF3E60">
              <w:rPr>
                <w:rFonts w:hint="cs"/>
                <w:b/>
                <w:bCs/>
                <w:rtl/>
              </w:rPr>
              <w:t xml:space="preserve">. </w:t>
            </w:r>
            <w:r w:rsidR="006336B9">
              <w:rPr>
                <w:b/>
                <w:bCs/>
                <w:rtl/>
              </w:rPr>
              <w:tab/>
            </w:r>
            <w:r w:rsidR="006336B9">
              <w:rPr>
                <w:rFonts w:hint="cs"/>
                <w:b/>
                <w:bCs/>
                <w:rtl/>
              </w:rPr>
              <w:t xml:space="preserve">השפעת גידור השקעה נטו </w:t>
            </w:r>
            <w:r w:rsidR="006336B9" w:rsidRPr="00A454B8">
              <w:rPr>
                <w:rFonts w:hint="cs"/>
                <w:b/>
                <w:bCs/>
                <w:rtl/>
              </w:rPr>
              <w:t xml:space="preserve"> </w:t>
            </w:r>
            <w:r w:rsidR="006336B9">
              <w:rPr>
                <w:rFonts w:hint="cs"/>
                <w:b/>
                <w:bCs/>
                <w:rtl/>
              </w:rPr>
              <w:t>על הרווח הכולל האחר ועל דוח רווח והפסד:</w:t>
            </w:r>
          </w:p>
        </w:tc>
      </w:tr>
      <w:tr w:rsidR="00903534" w:rsidRPr="00EF3E60" w14:paraId="25248B81" w14:textId="77777777" w:rsidTr="00903534">
        <w:tblPrEx>
          <w:tblLook w:val="0000" w:firstRow="0" w:lastRow="0" w:firstColumn="0" w:lastColumn="0" w:noHBand="0" w:noVBand="0"/>
        </w:tblPrEx>
        <w:trPr>
          <w:trHeight w:val="245"/>
        </w:trPr>
        <w:tc>
          <w:tcPr>
            <w:tcW w:w="550" w:type="pct"/>
          </w:tcPr>
          <w:p w14:paraId="1AE58F5A" w14:textId="77777777" w:rsidR="00903534" w:rsidRPr="000F181B" w:rsidRDefault="00903534" w:rsidP="00903534">
            <w:pPr>
              <w:spacing w:before="60" w:after="40"/>
              <w:jc w:val="right"/>
              <w:rPr>
                <w:b/>
                <w:bCs/>
                <w:i/>
                <w:iCs/>
                <w:rtl/>
              </w:rPr>
            </w:pPr>
          </w:p>
        </w:tc>
        <w:tc>
          <w:tcPr>
            <w:tcW w:w="4450" w:type="pct"/>
            <w:gridSpan w:val="7"/>
          </w:tcPr>
          <w:p w14:paraId="73B941F7" w14:textId="5A6E98CC" w:rsidR="00903534" w:rsidRPr="00903534" w:rsidRDefault="00903534" w:rsidP="00F86B3C">
            <w:pPr>
              <w:tabs>
                <w:tab w:val="left" w:pos="333"/>
              </w:tabs>
              <w:spacing w:before="60" w:after="120"/>
              <w:ind w:left="272"/>
              <w:jc w:val="left"/>
              <w:rPr>
                <w:rtl/>
              </w:rPr>
            </w:pPr>
            <w:r w:rsidRPr="00903534">
              <w:rPr>
                <w:rFonts w:hint="cs"/>
                <w:sz w:val="18"/>
                <w:szCs w:val="18"/>
                <w:rtl/>
              </w:rPr>
              <w:t xml:space="preserve">1.  רווחים/ (הפסדים) שהוכרו ברווח כולל אחר (סעיף התאמות תרגום) בגין המכשיר הנגזר </w:t>
            </w:r>
            <w:r w:rsidRPr="00903534">
              <w:rPr>
                <w:rFonts w:hint="cs"/>
                <w:sz w:val="18"/>
                <w:szCs w:val="18"/>
                <w:vertAlign w:val="superscript"/>
                <w:rtl/>
              </w:rPr>
              <w:t xml:space="preserve">(א) </w:t>
            </w:r>
          </w:p>
        </w:tc>
      </w:tr>
      <w:tr w:rsidR="00903534" w:rsidRPr="00C26031" w14:paraId="4C4AAD43" w14:textId="77777777" w:rsidTr="00903534">
        <w:tblPrEx>
          <w:tblLook w:val="01E0" w:firstRow="1" w:lastRow="1" w:firstColumn="1" w:lastColumn="1" w:noHBand="0" w:noVBand="0"/>
        </w:tblPrEx>
        <w:trPr>
          <w:gridAfter w:val="1"/>
          <w:wAfter w:w="390" w:type="pct"/>
        </w:trPr>
        <w:tc>
          <w:tcPr>
            <w:tcW w:w="550" w:type="pct"/>
          </w:tcPr>
          <w:p w14:paraId="5441DF68" w14:textId="77777777" w:rsidR="00903534" w:rsidRDefault="00903534" w:rsidP="00903534">
            <w:pPr>
              <w:bidi w:val="0"/>
              <w:spacing w:before="60" w:after="40"/>
              <w:jc w:val="left"/>
              <w:rPr>
                <w:sz w:val="14"/>
                <w:szCs w:val="14"/>
                <w:rtl/>
              </w:rPr>
            </w:pPr>
          </w:p>
          <w:p w14:paraId="7061ACBD" w14:textId="7E248BF1" w:rsidR="00AF6F90" w:rsidRPr="008257BC" w:rsidRDefault="00903534" w:rsidP="00903534">
            <w:pPr>
              <w:bidi w:val="0"/>
              <w:jc w:val="left"/>
              <w:rPr>
                <w:b/>
                <w:bCs/>
                <w:rtl/>
              </w:rPr>
            </w:pPr>
            <w:r w:rsidRPr="00AF6F90">
              <w:rPr>
                <w:rFonts w:hint="cs"/>
                <w:sz w:val="12"/>
                <w:szCs w:val="12"/>
              </w:rPr>
              <w:t>ASC</w:t>
            </w:r>
            <w:r w:rsidRPr="00AF6F90">
              <w:rPr>
                <w:sz w:val="12"/>
                <w:szCs w:val="12"/>
              </w:rPr>
              <w:t xml:space="preserve"> </w:t>
            </w:r>
            <w:r w:rsidRPr="00AF6F90">
              <w:rPr>
                <w:rFonts w:hint="cs"/>
                <w:sz w:val="12"/>
                <w:szCs w:val="12"/>
              </w:rPr>
              <w:t>815-10-50-4C</w:t>
            </w:r>
            <w:r w:rsidRPr="00AF6F90">
              <w:rPr>
                <w:sz w:val="12"/>
                <w:szCs w:val="12"/>
              </w:rPr>
              <w:t>CC</w:t>
            </w:r>
          </w:p>
        </w:tc>
        <w:tc>
          <w:tcPr>
            <w:tcW w:w="551" w:type="pct"/>
          </w:tcPr>
          <w:p w14:paraId="6E2CB349" w14:textId="77777777" w:rsidR="00AF6F90" w:rsidRPr="008257BC" w:rsidRDefault="00AF6F90" w:rsidP="00AF6F90">
            <w:pPr>
              <w:jc w:val="center"/>
              <w:rPr>
                <w:b/>
                <w:bCs/>
                <w:sz w:val="18"/>
                <w:szCs w:val="18"/>
                <w:rtl/>
              </w:rPr>
            </w:pPr>
          </w:p>
        </w:tc>
        <w:tc>
          <w:tcPr>
            <w:tcW w:w="688" w:type="pct"/>
          </w:tcPr>
          <w:p w14:paraId="43E6F5A0" w14:textId="77777777" w:rsidR="00AF6F90" w:rsidRPr="008257BC" w:rsidRDefault="00AF6F90" w:rsidP="00AF6F90">
            <w:pPr>
              <w:pBdr>
                <w:bottom w:val="single" w:sz="4" w:space="1" w:color="auto"/>
              </w:pBdr>
              <w:jc w:val="center"/>
              <w:rPr>
                <w:b/>
                <w:bCs/>
                <w:sz w:val="18"/>
                <w:szCs w:val="18"/>
                <w:rtl/>
              </w:rPr>
            </w:pPr>
            <w:r w:rsidRPr="008257BC">
              <w:rPr>
                <w:rFonts w:hint="cs"/>
                <w:b/>
                <w:bCs/>
                <w:sz w:val="18"/>
                <w:szCs w:val="18"/>
                <w:rtl/>
              </w:rPr>
              <w:t>3 חודשים שהסתיימו ביום</w:t>
            </w:r>
          </w:p>
        </w:tc>
        <w:tc>
          <w:tcPr>
            <w:tcW w:w="687" w:type="pct"/>
          </w:tcPr>
          <w:p w14:paraId="0E69C994" w14:textId="77777777" w:rsidR="00AF6F90" w:rsidRPr="008257BC" w:rsidRDefault="00AF6F90" w:rsidP="00AF6F90">
            <w:pPr>
              <w:pBdr>
                <w:bottom w:val="single" w:sz="4" w:space="1" w:color="auto"/>
              </w:pBdr>
              <w:jc w:val="center"/>
              <w:rPr>
                <w:b/>
                <w:bCs/>
                <w:sz w:val="18"/>
                <w:szCs w:val="18"/>
                <w:rtl/>
              </w:rPr>
            </w:pPr>
            <w:r w:rsidRPr="008257BC">
              <w:rPr>
                <w:rFonts w:hint="cs"/>
                <w:b/>
                <w:bCs/>
                <w:sz w:val="18"/>
                <w:szCs w:val="18"/>
                <w:rtl/>
              </w:rPr>
              <w:t>6 חודשים שהסתיימו ביום</w:t>
            </w:r>
          </w:p>
        </w:tc>
        <w:tc>
          <w:tcPr>
            <w:tcW w:w="688" w:type="pct"/>
          </w:tcPr>
          <w:p w14:paraId="0B66ED10" w14:textId="77777777" w:rsidR="00AF6F90" w:rsidRPr="008257BC" w:rsidRDefault="00AF6F90" w:rsidP="00AF6F90">
            <w:pPr>
              <w:pBdr>
                <w:bottom w:val="single" w:sz="4" w:space="1" w:color="auto"/>
              </w:pBdr>
              <w:jc w:val="center"/>
              <w:rPr>
                <w:b/>
                <w:bCs/>
                <w:sz w:val="18"/>
                <w:szCs w:val="18"/>
                <w:rtl/>
              </w:rPr>
            </w:pPr>
            <w:r w:rsidRPr="008257BC">
              <w:rPr>
                <w:rFonts w:hint="cs"/>
                <w:b/>
                <w:bCs/>
                <w:sz w:val="18"/>
                <w:szCs w:val="18"/>
                <w:rtl/>
              </w:rPr>
              <w:t>3 חודשים שהסתיימו ביום</w:t>
            </w:r>
          </w:p>
        </w:tc>
        <w:tc>
          <w:tcPr>
            <w:tcW w:w="687" w:type="pct"/>
          </w:tcPr>
          <w:p w14:paraId="06A13E6E" w14:textId="77777777" w:rsidR="00AF6F90" w:rsidRPr="008257BC" w:rsidRDefault="00AF6F90" w:rsidP="00AF6F90">
            <w:pPr>
              <w:pBdr>
                <w:bottom w:val="single" w:sz="4" w:space="1" w:color="auto"/>
              </w:pBdr>
              <w:jc w:val="center"/>
              <w:rPr>
                <w:b/>
                <w:bCs/>
                <w:sz w:val="18"/>
                <w:szCs w:val="18"/>
                <w:rtl/>
              </w:rPr>
            </w:pPr>
            <w:r w:rsidRPr="008257BC">
              <w:rPr>
                <w:rFonts w:hint="cs"/>
                <w:b/>
                <w:bCs/>
                <w:sz w:val="18"/>
                <w:szCs w:val="18"/>
                <w:rtl/>
              </w:rPr>
              <w:t>6 חודשים שהסתיימו ביום</w:t>
            </w:r>
          </w:p>
        </w:tc>
        <w:tc>
          <w:tcPr>
            <w:tcW w:w="757" w:type="pct"/>
          </w:tcPr>
          <w:p w14:paraId="72E4BD9A" w14:textId="77777777" w:rsidR="00AF6F90" w:rsidRPr="008257BC" w:rsidRDefault="00AF6F90" w:rsidP="00AF6F90">
            <w:pPr>
              <w:pBdr>
                <w:bottom w:val="single" w:sz="4" w:space="1" w:color="auto"/>
              </w:pBdr>
              <w:jc w:val="center"/>
              <w:rPr>
                <w:b/>
                <w:bCs/>
                <w:sz w:val="18"/>
                <w:szCs w:val="18"/>
                <w:rtl/>
              </w:rPr>
            </w:pPr>
            <w:r w:rsidRPr="008257BC">
              <w:rPr>
                <w:rFonts w:hint="cs"/>
                <w:b/>
                <w:bCs/>
                <w:sz w:val="18"/>
                <w:szCs w:val="18"/>
                <w:rtl/>
              </w:rPr>
              <w:t xml:space="preserve">שנה </w:t>
            </w:r>
            <w:r>
              <w:rPr>
                <w:b/>
                <w:bCs/>
                <w:sz w:val="18"/>
                <w:szCs w:val="18"/>
                <w:rtl/>
              </w:rPr>
              <w:br/>
            </w:r>
            <w:r w:rsidRPr="008257BC">
              <w:rPr>
                <w:rFonts w:hint="cs"/>
                <w:b/>
                <w:bCs/>
                <w:sz w:val="18"/>
                <w:szCs w:val="18"/>
                <w:rtl/>
              </w:rPr>
              <w:t>שהסתיימה ביום</w:t>
            </w:r>
          </w:p>
        </w:tc>
      </w:tr>
      <w:tr w:rsidR="00903534" w:rsidRPr="00C26031" w14:paraId="2F09ED03" w14:textId="77777777" w:rsidTr="00903534">
        <w:tblPrEx>
          <w:tblLook w:val="01E0" w:firstRow="1" w:lastRow="1" w:firstColumn="1" w:lastColumn="1" w:noHBand="0" w:noVBand="0"/>
        </w:tblPrEx>
        <w:trPr>
          <w:gridAfter w:val="1"/>
          <w:wAfter w:w="390" w:type="pct"/>
        </w:trPr>
        <w:tc>
          <w:tcPr>
            <w:tcW w:w="550" w:type="pct"/>
          </w:tcPr>
          <w:p w14:paraId="67E5C7F7" w14:textId="77777777" w:rsidR="00AF6F90" w:rsidRPr="008257BC" w:rsidRDefault="00AF6F90" w:rsidP="00AF6F90">
            <w:pPr>
              <w:jc w:val="center"/>
              <w:rPr>
                <w:b/>
                <w:bCs/>
                <w:rtl/>
              </w:rPr>
            </w:pPr>
          </w:p>
        </w:tc>
        <w:tc>
          <w:tcPr>
            <w:tcW w:w="551" w:type="pct"/>
          </w:tcPr>
          <w:p w14:paraId="39F1860A" w14:textId="77777777" w:rsidR="00AF6F90" w:rsidRDefault="00AF6F90" w:rsidP="00AF6F90">
            <w:pPr>
              <w:pBdr>
                <w:bottom w:val="single" w:sz="4" w:space="1" w:color="auto"/>
              </w:pBdr>
              <w:jc w:val="center"/>
              <w:rPr>
                <w:b/>
                <w:bCs/>
                <w:sz w:val="18"/>
                <w:szCs w:val="18"/>
                <w:rtl/>
              </w:rPr>
            </w:pPr>
          </w:p>
          <w:p w14:paraId="75354CC2" w14:textId="0F7C9875" w:rsidR="00AF6F90" w:rsidRPr="008257BC" w:rsidRDefault="00AF6F90" w:rsidP="00AF6F90">
            <w:pPr>
              <w:pBdr>
                <w:bottom w:val="single" w:sz="4" w:space="1" w:color="auto"/>
              </w:pBdr>
              <w:jc w:val="center"/>
              <w:rPr>
                <w:b/>
                <w:bCs/>
                <w:sz w:val="18"/>
                <w:szCs w:val="18"/>
                <w:rtl/>
              </w:rPr>
            </w:pPr>
            <w:r w:rsidRPr="008257BC">
              <w:rPr>
                <w:rFonts w:hint="cs"/>
                <w:b/>
                <w:bCs/>
                <w:sz w:val="18"/>
                <w:szCs w:val="18"/>
                <w:rtl/>
              </w:rPr>
              <w:t>חוזה הגידור</w:t>
            </w:r>
          </w:p>
        </w:tc>
        <w:tc>
          <w:tcPr>
            <w:tcW w:w="1376" w:type="pct"/>
            <w:gridSpan w:val="2"/>
          </w:tcPr>
          <w:p w14:paraId="18CE9C40" w14:textId="45596AD1" w:rsidR="00AF6F90" w:rsidRPr="008257BC" w:rsidRDefault="00AF6F90" w:rsidP="00AF6F90">
            <w:pPr>
              <w:pBdr>
                <w:bottom w:val="single" w:sz="4" w:space="1" w:color="auto"/>
              </w:pBdr>
              <w:jc w:val="center"/>
              <w:rPr>
                <w:b/>
                <w:bCs/>
                <w:sz w:val="18"/>
                <w:szCs w:val="18"/>
                <w:rtl/>
              </w:rPr>
            </w:pPr>
            <w:r w:rsidRPr="008257BC">
              <w:rPr>
                <w:rFonts w:hint="cs"/>
                <w:b/>
                <w:bCs/>
                <w:sz w:val="18"/>
                <w:szCs w:val="18"/>
                <w:rtl/>
              </w:rPr>
              <w:t xml:space="preserve">30 ביוני </w:t>
            </w:r>
            <w:r w:rsidRPr="00736169">
              <w:rPr>
                <w:b/>
                <w:bCs/>
                <w:sz w:val="18"/>
                <w:szCs w:val="18"/>
                <w:rtl/>
              </w:rPr>
              <w:fldChar w:fldCharType="begin"/>
            </w:r>
            <w:r w:rsidRPr="00736169">
              <w:rPr>
                <w:b/>
                <w:bCs/>
                <w:sz w:val="18"/>
                <w:szCs w:val="18"/>
                <w:rtl/>
              </w:rPr>
              <w:instrText xml:space="preserve"> </w:instrText>
            </w:r>
            <w:r w:rsidRPr="00736169">
              <w:rPr>
                <w:rFonts w:hint="cs"/>
                <w:b/>
                <w:bCs/>
                <w:sz w:val="18"/>
                <w:szCs w:val="18"/>
                <w:rtl/>
              </w:rPr>
              <w:instrText xml:space="preserve">= </w:instrText>
            </w:r>
            <w:r w:rsidRPr="00736169">
              <w:rPr>
                <w:rFonts w:hint="cs"/>
                <w:b/>
                <w:bCs/>
                <w:sz w:val="18"/>
                <w:szCs w:val="18"/>
              </w:rPr>
              <w:instrText>CY \* MERGEFORMAT</w:instrText>
            </w:r>
            <w:r w:rsidRPr="00736169">
              <w:rPr>
                <w:b/>
                <w:bCs/>
                <w:sz w:val="18"/>
                <w:szCs w:val="18"/>
                <w:rtl/>
              </w:rPr>
              <w:instrText xml:space="preserve"> </w:instrText>
            </w:r>
            <w:r w:rsidRPr="00736169">
              <w:rPr>
                <w:b/>
                <w:bCs/>
                <w:sz w:val="18"/>
                <w:szCs w:val="18"/>
                <w:rtl/>
              </w:rPr>
              <w:fldChar w:fldCharType="separate"/>
            </w:r>
            <w:r>
              <w:rPr>
                <w:b/>
                <w:bCs/>
                <w:noProof/>
                <w:sz w:val="18"/>
                <w:szCs w:val="18"/>
                <w:rtl/>
              </w:rPr>
              <w:t>2024</w:t>
            </w:r>
            <w:r w:rsidRPr="00736169">
              <w:rPr>
                <w:b/>
                <w:bCs/>
                <w:sz w:val="18"/>
                <w:szCs w:val="18"/>
                <w:rtl/>
              </w:rPr>
              <w:fldChar w:fldCharType="end"/>
            </w:r>
            <w:r w:rsidRPr="00736169">
              <w:rPr>
                <w:rFonts w:hint="cs"/>
                <w:b/>
                <w:bCs/>
                <w:sz w:val="18"/>
                <w:szCs w:val="18"/>
                <w:rtl/>
              </w:rPr>
              <w:t xml:space="preserve"> </w:t>
            </w:r>
            <w:r>
              <w:rPr>
                <w:b/>
                <w:bCs/>
                <w:sz w:val="18"/>
                <w:szCs w:val="18"/>
                <w:rtl/>
              </w:rPr>
              <w:br/>
            </w:r>
            <w:r w:rsidRPr="006F749D">
              <w:rPr>
                <w:rFonts w:hint="cs"/>
                <w:sz w:val="18"/>
                <w:szCs w:val="18"/>
                <w:rtl/>
              </w:rPr>
              <w:t>(בלתי מבוקר)</w:t>
            </w:r>
          </w:p>
        </w:tc>
        <w:tc>
          <w:tcPr>
            <w:tcW w:w="1376" w:type="pct"/>
            <w:gridSpan w:val="2"/>
          </w:tcPr>
          <w:p w14:paraId="494CFAC6" w14:textId="139B3A90" w:rsidR="00AF6F90" w:rsidRPr="008257BC" w:rsidRDefault="00AF6F90" w:rsidP="00AF6F90">
            <w:pPr>
              <w:pBdr>
                <w:bottom w:val="single" w:sz="4" w:space="1" w:color="auto"/>
              </w:pBdr>
              <w:jc w:val="center"/>
              <w:rPr>
                <w:b/>
                <w:bCs/>
                <w:sz w:val="18"/>
                <w:szCs w:val="18"/>
                <w:rtl/>
              </w:rPr>
            </w:pPr>
            <w:r w:rsidRPr="008257BC">
              <w:rPr>
                <w:rFonts w:hint="cs"/>
                <w:b/>
                <w:bCs/>
                <w:sz w:val="18"/>
                <w:szCs w:val="18"/>
                <w:rtl/>
              </w:rPr>
              <w:t xml:space="preserve">30 ביוני </w:t>
            </w:r>
            <w:r w:rsidRPr="00736169">
              <w:rPr>
                <w:b/>
                <w:bCs/>
                <w:sz w:val="18"/>
                <w:szCs w:val="18"/>
                <w:rtl/>
              </w:rPr>
              <w:fldChar w:fldCharType="begin"/>
            </w:r>
            <w:r w:rsidRPr="00736169">
              <w:rPr>
                <w:b/>
                <w:bCs/>
                <w:sz w:val="18"/>
                <w:szCs w:val="18"/>
                <w:rtl/>
              </w:rPr>
              <w:instrText xml:space="preserve"> </w:instrText>
            </w:r>
            <w:r w:rsidRPr="00736169">
              <w:rPr>
                <w:rFonts w:hint="cs"/>
                <w:b/>
                <w:bCs/>
                <w:sz w:val="18"/>
                <w:szCs w:val="18"/>
                <w:rtl/>
              </w:rPr>
              <w:instrText xml:space="preserve">= </w:instrText>
            </w:r>
            <w:r w:rsidRPr="00736169">
              <w:rPr>
                <w:rFonts w:hint="cs"/>
                <w:b/>
                <w:bCs/>
                <w:sz w:val="18"/>
                <w:szCs w:val="18"/>
              </w:rPr>
              <w:instrText>CY</w:instrText>
            </w:r>
            <w:r w:rsidRPr="00736169">
              <w:rPr>
                <w:b/>
                <w:bCs/>
                <w:sz w:val="18"/>
                <w:szCs w:val="18"/>
              </w:rPr>
              <w:instrText>-1</w:instrText>
            </w:r>
            <w:r w:rsidRPr="00736169">
              <w:rPr>
                <w:rFonts w:hint="cs"/>
                <w:b/>
                <w:bCs/>
                <w:sz w:val="18"/>
                <w:szCs w:val="18"/>
              </w:rPr>
              <w:instrText xml:space="preserve"> \* MERGEFORMAT</w:instrText>
            </w:r>
            <w:r w:rsidRPr="00736169">
              <w:rPr>
                <w:b/>
                <w:bCs/>
                <w:sz w:val="18"/>
                <w:szCs w:val="18"/>
                <w:rtl/>
              </w:rPr>
              <w:instrText xml:space="preserve"> </w:instrText>
            </w:r>
            <w:r w:rsidRPr="00736169">
              <w:rPr>
                <w:b/>
                <w:bCs/>
                <w:sz w:val="18"/>
                <w:szCs w:val="18"/>
                <w:rtl/>
              </w:rPr>
              <w:fldChar w:fldCharType="separate"/>
            </w:r>
            <w:r>
              <w:rPr>
                <w:b/>
                <w:bCs/>
                <w:noProof/>
                <w:sz w:val="18"/>
                <w:szCs w:val="18"/>
                <w:rtl/>
              </w:rPr>
              <w:t>2023</w:t>
            </w:r>
            <w:r w:rsidRPr="00736169">
              <w:rPr>
                <w:b/>
                <w:bCs/>
                <w:sz w:val="18"/>
                <w:szCs w:val="18"/>
                <w:rtl/>
              </w:rPr>
              <w:fldChar w:fldCharType="end"/>
            </w:r>
            <w:r w:rsidRPr="00736169">
              <w:rPr>
                <w:rFonts w:hint="cs"/>
                <w:b/>
                <w:bCs/>
                <w:sz w:val="16"/>
                <w:szCs w:val="16"/>
                <w:rtl/>
              </w:rPr>
              <w:t xml:space="preserve"> </w:t>
            </w:r>
            <w:r>
              <w:rPr>
                <w:b/>
                <w:bCs/>
                <w:sz w:val="18"/>
                <w:szCs w:val="18"/>
                <w:rtl/>
              </w:rPr>
              <w:br/>
            </w:r>
            <w:r w:rsidRPr="006F749D">
              <w:rPr>
                <w:rFonts w:hint="cs"/>
                <w:sz w:val="18"/>
                <w:szCs w:val="18"/>
                <w:rtl/>
              </w:rPr>
              <w:t>(בלתי מבוקר)</w:t>
            </w:r>
          </w:p>
        </w:tc>
        <w:tc>
          <w:tcPr>
            <w:tcW w:w="757" w:type="pct"/>
          </w:tcPr>
          <w:p w14:paraId="293D4843" w14:textId="50F85645" w:rsidR="00AF6F90" w:rsidRPr="008257BC" w:rsidRDefault="00AF6F90" w:rsidP="00AF6F90">
            <w:pPr>
              <w:pBdr>
                <w:bottom w:val="single" w:sz="4" w:space="1" w:color="auto"/>
              </w:pBdr>
              <w:jc w:val="center"/>
              <w:rPr>
                <w:b/>
                <w:bCs/>
                <w:sz w:val="18"/>
                <w:szCs w:val="18"/>
                <w:rtl/>
              </w:rPr>
            </w:pPr>
            <w:r w:rsidRPr="008257BC">
              <w:rPr>
                <w:rFonts w:hint="cs"/>
                <w:b/>
                <w:bCs/>
                <w:sz w:val="18"/>
                <w:szCs w:val="18"/>
                <w:rtl/>
              </w:rPr>
              <w:t xml:space="preserve">31 דצמבר </w:t>
            </w:r>
            <w:r w:rsidRPr="00736169">
              <w:rPr>
                <w:b/>
                <w:bCs/>
                <w:sz w:val="18"/>
                <w:szCs w:val="18"/>
                <w:rtl/>
              </w:rPr>
              <w:fldChar w:fldCharType="begin"/>
            </w:r>
            <w:r w:rsidRPr="00736169">
              <w:rPr>
                <w:b/>
                <w:bCs/>
                <w:sz w:val="18"/>
                <w:szCs w:val="18"/>
                <w:rtl/>
              </w:rPr>
              <w:instrText xml:space="preserve"> </w:instrText>
            </w:r>
            <w:r w:rsidRPr="00736169">
              <w:rPr>
                <w:rFonts w:hint="cs"/>
                <w:b/>
                <w:bCs/>
                <w:sz w:val="18"/>
                <w:szCs w:val="18"/>
                <w:rtl/>
              </w:rPr>
              <w:instrText xml:space="preserve">= </w:instrText>
            </w:r>
            <w:r w:rsidRPr="00736169">
              <w:rPr>
                <w:rFonts w:hint="cs"/>
                <w:b/>
                <w:bCs/>
                <w:sz w:val="18"/>
                <w:szCs w:val="18"/>
              </w:rPr>
              <w:instrText>CY</w:instrText>
            </w:r>
            <w:r w:rsidRPr="00736169">
              <w:rPr>
                <w:b/>
                <w:bCs/>
                <w:sz w:val="18"/>
                <w:szCs w:val="18"/>
              </w:rPr>
              <w:instrText>-1</w:instrText>
            </w:r>
            <w:r w:rsidRPr="00736169">
              <w:rPr>
                <w:rFonts w:hint="cs"/>
                <w:b/>
                <w:bCs/>
                <w:sz w:val="18"/>
                <w:szCs w:val="18"/>
              </w:rPr>
              <w:instrText xml:space="preserve"> \* MERGEFORMAT</w:instrText>
            </w:r>
            <w:r w:rsidRPr="00736169">
              <w:rPr>
                <w:b/>
                <w:bCs/>
                <w:sz w:val="18"/>
                <w:szCs w:val="18"/>
                <w:rtl/>
              </w:rPr>
              <w:instrText xml:space="preserve"> </w:instrText>
            </w:r>
            <w:r w:rsidRPr="00736169">
              <w:rPr>
                <w:b/>
                <w:bCs/>
                <w:sz w:val="18"/>
                <w:szCs w:val="18"/>
                <w:rtl/>
              </w:rPr>
              <w:fldChar w:fldCharType="separate"/>
            </w:r>
            <w:r>
              <w:rPr>
                <w:b/>
                <w:bCs/>
                <w:noProof/>
                <w:sz w:val="18"/>
                <w:szCs w:val="18"/>
                <w:rtl/>
              </w:rPr>
              <w:t>2023</w:t>
            </w:r>
            <w:r w:rsidRPr="00736169">
              <w:rPr>
                <w:b/>
                <w:bCs/>
                <w:sz w:val="18"/>
                <w:szCs w:val="18"/>
                <w:rtl/>
              </w:rPr>
              <w:fldChar w:fldCharType="end"/>
            </w:r>
            <w:r>
              <w:rPr>
                <w:rFonts w:hint="cs"/>
                <w:b/>
                <w:bCs/>
                <w:sz w:val="18"/>
                <w:szCs w:val="18"/>
                <w:rtl/>
              </w:rPr>
              <w:t xml:space="preserve"> </w:t>
            </w:r>
            <w:r w:rsidRPr="006F749D">
              <w:rPr>
                <w:rFonts w:hint="cs"/>
                <w:sz w:val="18"/>
                <w:szCs w:val="18"/>
                <w:rtl/>
              </w:rPr>
              <w:t>(מבוקר)</w:t>
            </w:r>
          </w:p>
        </w:tc>
      </w:tr>
      <w:tr w:rsidR="00903534" w:rsidRPr="00C26031" w14:paraId="6397940E" w14:textId="77777777" w:rsidTr="00903534">
        <w:tblPrEx>
          <w:tblLook w:val="01E0" w:firstRow="1" w:lastRow="1" w:firstColumn="1" w:lastColumn="1" w:noHBand="0" w:noVBand="0"/>
        </w:tblPrEx>
        <w:trPr>
          <w:gridAfter w:val="1"/>
          <w:wAfter w:w="390" w:type="pct"/>
        </w:trPr>
        <w:tc>
          <w:tcPr>
            <w:tcW w:w="550" w:type="pct"/>
          </w:tcPr>
          <w:p w14:paraId="2AD6482F" w14:textId="77777777" w:rsidR="00AF6F90" w:rsidRPr="00C26031" w:rsidRDefault="00AF6F90" w:rsidP="00AF6F90">
            <w:pPr>
              <w:rPr>
                <w:rtl/>
              </w:rPr>
            </w:pPr>
          </w:p>
        </w:tc>
        <w:tc>
          <w:tcPr>
            <w:tcW w:w="551" w:type="pct"/>
            <w:vAlign w:val="center"/>
          </w:tcPr>
          <w:p w14:paraId="799C0079" w14:textId="77777777" w:rsidR="00AF6F90" w:rsidRPr="00243D9E" w:rsidRDefault="00AF6F90" w:rsidP="00AF6F90">
            <w:pPr>
              <w:spacing w:before="120"/>
              <w:jc w:val="center"/>
              <w:rPr>
                <w:sz w:val="18"/>
                <w:szCs w:val="18"/>
                <w:rtl/>
              </w:rPr>
            </w:pPr>
            <w:r w:rsidRPr="00243D9E">
              <w:rPr>
                <w:rFonts w:hint="cs"/>
                <w:sz w:val="18"/>
                <w:szCs w:val="18"/>
                <w:rtl/>
              </w:rPr>
              <w:t>מטבע חוץ</w:t>
            </w:r>
          </w:p>
        </w:tc>
        <w:tc>
          <w:tcPr>
            <w:tcW w:w="688" w:type="pct"/>
            <w:vAlign w:val="bottom"/>
          </w:tcPr>
          <w:p w14:paraId="70CB1425" w14:textId="59A7F757" w:rsidR="00AF6F90" w:rsidRPr="00243D9E" w:rsidRDefault="00AF6F90" w:rsidP="00AF6F90">
            <w:pPr>
              <w:spacing w:before="120"/>
              <w:jc w:val="center"/>
              <w:rPr>
                <w:sz w:val="18"/>
                <w:szCs w:val="18"/>
                <w:rtl/>
              </w:rPr>
            </w:pPr>
            <w:r w:rsidRPr="00243D9E">
              <w:rPr>
                <w:rFonts w:hint="cs"/>
                <w:sz w:val="18"/>
                <w:szCs w:val="18"/>
                <w:rtl/>
              </w:rPr>
              <w:t>0</w:t>
            </w:r>
          </w:p>
        </w:tc>
        <w:tc>
          <w:tcPr>
            <w:tcW w:w="687" w:type="pct"/>
            <w:vAlign w:val="bottom"/>
          </w:tcPr>
          <w:p w14:paraId="39D0C8C0" w14:textId="7B8180ED" w:rsidR="00AF6F90" w:rsidRPr="00243D9E" w:rsidRDefault="00AF6F90" w:rsidP="00AF6F90">
            <w:pPr>
              <w:spacing w:before="120"/>
              <w:jc w:val="center"/>
              <w:rPr>
                <w:sz w:val="18"/>
                <w:szCs w:val="18"/>
                <w:rtl/>
              </w:rPr>
            </w:pPr>
            <w:r w:rsidRPr="00243D9E">
              <w:rPr>
                <w:rFonts w:hint="cs"/>
                <w:sz w:val="18"/>
                <w:szCs w:val="18"/>
                <w:rtl/>
              </w:rPr>
              <w:t>0</w:t>
            </w:r>
          </w:p>
        </w:tc>
        <w:tc>
          <w:tcPr>
            <w:tcW w:w="688" w:type="pct"/>
            <w:vAlign w:val="bottom"/>
          </w:tcPr>
          <w:p w14:paraId="19B24A97" w14:textId="42DCD6F6" w:rsidR="00AF6F90" w:rsidRPr="00243D9E" w:rsidRDefault="00AF6F90" w:rsidP="00AF6F90">
            <w:pPr>
              <w:spacing w:before="120"/>
              <w:jc w:val="center"/>
              <w:rPr>
                <w:sz w:val="18"/>
                <w:szCs w:val="18"/>
                <w:rtl/>
              </w:rPr>
            </w:pPr>
            <w:r w:rsidRPr="00243D9E">
              <w:rPr>
                <w:rFonts w:hint="cs"/>
                <w:sz w:val="18"/>
                <w:szCs w:val="18"/>
                <w:rtl/>
              </w:rPr>
              <w:t>0</w:t>
            </w:r>
          </w:p>
        </w:tc>
        <w:tc>
          <w:tcPr>
            <w:tcW w:w="687" w:type="pct"/>
          </w:tcPr>
          <w:p w14:paraId="3952C90F" w14:textId="11C157A5" w:rsidR="00AF6F90" w:rsidRPr="00243D9E" w:rsidRDefault="00AF6F90" w:rsidP="00AF6F90">
            <w:pPr>
              <w:spacing w:before="120"/>
              <w:jc w:val="center"/>
              <w:rPr>
                <w:sz w:val="18"/>
                <w:szCs w:val="18"/>
                <w:rtl/>
              </w:rPr>
            </w:pPr>
            <w:r w:rsidRPr="00243D9E">
              <w:rPr>
                <w:rFonts w:hint="cs"/>
                <w:sz w:val="18"/>
                <w:szCs w:val="18"/>
                <w:rtl/>
              </w:rPr>
              <w:t>0</w:t>
            </w:r>
          </w:p>
        </w:tc>
        <w:tc>
          <w:tcPr>
            <w:tcW w:w="757" w:type="pct"/>
          </w:tcPr>
          <w:p w14:paraId="453028BC" w14:textId="1BACB0E7" w:rsidR="00AF6F90" w:rsidRPr="00243D9E" w:rsidRDefault="00AF6F90" w:rsidP="00AF6F90">
            <w:pPr>
              <w:spacing w:before="120"/>
              <w:jc w:val="center"/>
              <w:rPr>
                <w:sz w:val="18"/>
                <w:szCs w:val="18"/>
                <w:rtl/>
              </w:rPr>
            </w:pPr>
            <w:r w:rsidRPr="00243D9E">
              <w:rPr>
                <w:rFonts w:hint="cs"/>
                <w:sz w:val="18"/>
                <w:szCs w:val="18"/>
                <w:rtl/>
              </w:rPr>
              <w:t>0</w:t>
            </w:r>
          </w:p>
        </w:tc>
      </w:tr>
    </w:tbl>
    <w:p w14:paraId="4917BC2B" w14:textId="77777777" w:rsidR="006336B9" w:rsidRDefault="006336B9" w:rsidP="00D7780F">
      <w:pPr>
        <w:rPr>
          <w:rtl/>
        </w:rPr>
      </w:pPr>
    </w:p>
    <w:tbl>
      <w:tblPr>
        <w:bidiVisual/>
        <w:tblW w:w="4599" w:type="pct"/>
        <w:tblInd w:w="-15" w:type="dxa"/>
        <w:tblLook w:val="0000" w:firstRow="0" w:lastRow="0" w:firstColumn="0" w:lastColumn="0" w:noHBand="0" w:noVBand="0"/>
      </w:tblPr>
      <w:tblGrid>
        <w:gridCol w:w="1027"/>
        <w:gridCol w:w="8361"/>
      </w:tblGrid>
      <w:tr w:rsidR="008257BC" w:rsidRPr="00EF3E60" w14:paraId="12C1E46D" w14:textId="77777777" w:rsidTr="00D306F2">
        <w:trPr>
          <w:trHeight w:val="245"/>
        </w:trPr>
        <w:tc>
          <w:tcPr>
            <w:tcW w:w="547" w:type="pct"/>
          </w:tcPr>
          <w:p w14:paraId="2E9AAAB8" w14:textId="77777777" w:rsidR="008257BC" w:rsidRPr="0038672B" w:rsidRDefault="008257BC" w:rsidP="008257BC">
            <w:pPr>
              <w:spacing w:before="60" w:after="60"/>
              <w:jc w:val="left"/>
              <w:rPr>
                <w:sz w:val="16"/>
                <w:szCs w:val="16"/>
                <w:vertAlign w:val="superscript"/>
              </w:rPr>
            </w:pPr>
          </w:p>
        </w:tc>
        <w:tc>
          <w:tcPr>
            <w:tcW w:w="4453" w:type="pct"/>
          </w:tcPr>
          <w:p w14:paraId="7E941A4C" w14:textId="543E4689" w:rsidR="008257BC" w:rsidRPr="00940F68" w:rsidRDefault="00BE4AB8" w:rsidP="0001523C">
            <w:pPr>
              <w:spacing w:before="60" w:after="60"/>
              <w:ind w:left="477" w:hanging="477"/>
              <w:rPr>
                <w:sz w:val="18"/>
                <w:szCs w:val="18"/>
                <w:rtl/>
              </w:rPr>
            </w:pPr>
            <w:r>
              <w:rPr>
                <w:rFonts w:hint="cs"/>
                <w:sz w:val="18"/>
                <w:szCs w:val="18"/>
                <w:rtl/>
              </w:rPr>
              <w:t xml:space="preserve">    </w:t>
            </w:r>
            <w:r w:rsidRPr="008B319B">
              <w:rPr>
                <w:rFonts w:hint="cs"/>
                <w:sz w:val="18"/>
                <w:szCs w:val="18"/>
                <w:rtl/>
              </w:rPr>
              <w:t>(</w:t>
            </w:r>
            <w:r>
              <w:rPr>
                <w:rFonts w:hint="cs"/>
                <w:sz w:val="18"/>
                <w:szCs w:val="18"/>
                <w:rtl/>
              </w:rPr>
              <w:t xml:space="preserve">א) </w:t>
            </w:r>
            <w:r w:rsidR="000F60D1" w:rsidRPr="000F60D1">
              <w:rPr>
                <w:sz w:val="18"/>
                <w:szCs w:val="18"/>
                <w:rtl/>
              </w:rPr>
              <w:t xml:space="preserve">מלא השינויים בשווי ההוגן של מכשיר נגזר שיועד לגידור השקעה נטו, לרבות החלק הלא אפקטיבי ביחסי הגידור, וכן סכומים בגין רכיבים שלא נכללו בהערכת אפקטיביות הגידור בסך ____ מיליוני ש"ח שהוכרו לפי שיטת ההפחתה </w:t>
            </w:r>
            <w:r w:rsidR="000F60D1">
              <w:rPr>
                <w:rFonts w:hint="cs"/>
                <w:sz w:val="18"/>
                <w:szCs w:val="18"/>
                <w:rtl/>
              </w:rPr>
              <w:t>[</w:t>
            </w:r>
            <w:r w:rsidR="000F60D1" w:rsidRPr="000F60D1">
              <w:rPr>
                <w:sz w:val="18"/>
                <w:szCs w:val="18"/>
                <w:rtl/>
              </w:rPr>
              <w:t>יפורטו הסכומים לכל תקופה</w:t>
            </w:r>
            <w:r w:rsidR="000F60D1">
              <w:rPr>
                <w:rFonts w:hint="cs"/>
                <w:sz w:val="18"/>
                <w:szCs w:val="18"/>
                <w:rtl/>
              </w:rPr>
              <w:t>]</w:t>
            </w:r>
            <w:r w:rsidR="000F60D1" w:rsidRPr="000F60D1">
              <w:rPr>
                <w:sz w:val="18"/>
                <w:szCs w:val="18"/>
                <w:rtl/>
              </w:rPr>
              <w:t>.</w:t>
            </w:r>
            <w:r w:rsidR="00903534" w:rsidRPr="008257BC">
              <w:rPr>
                <w:rFonts w:hint="cs"/>
                <w:b/>
                <w:bCs/>
                <w:sz w:val="18"/>
                <w:szCs w:val="18"/>
                <w:rtl/>
              </w:rPr>
              <w:t xml:space="preserve"> </w:t>
            </w:r>
          </w:p>
        </w:tc>
      </w:tr>
    </w:tbl>
    <w:p w14:paraId="3364E52B" w14:textId="6102AB65" w:rsidR="008257BC" w:rsidRDefault="008257BC">
      <w:pPr>
        <w:rPr>
          <w:rtl/>
        </w:rPr>
      </w:pPr>
    </w:p>
    <w:p w14:paraId="3E761E27" w14:textId="0B4754D4" w:rsidR="00D07391" w:rsidRDefault="00D07391">
      <w:pPr>
        <w:rPr>
          <w:rtl/>
        </w:rPr>
      </w:pPr>
    </w:p>
    <w:p w14:paraId="4A8E118C" w14:textId="77777777" w:rsidR="00D07391" w:rsidRDefault="00D07391">
      <w:pPr>
        <w:rPr>
          <w:rtl/>
        </w:rPr>
      </w:pPr>
    </w:p>
    <w:tbl>
      <w:tblPr>
        <w:bidiVisual/>
        <w:tblW w:w="4653" w:type="pct"/>
        <w:tblInd w:w="-95" w:type="dxa"/>
        <w:tblLook w:val="0000" w:firstRow="0" w:lastRow="0" w:firstColumn="0" w:lastColumn="0" w:noHBand="0" w:noVBand="0"/>
      </w:tblPr>
      <w:tblGrid>
        <w:gridCol w:w="1135"/>
        <w:gridCol w:w="1136"/>
        <w:gridCol w:w="1417"/>
        <w:gridCol w:w="1417"/>
        <w:gridCol w:w="1417"/>
        <w:gridCol w:w="1417"/>
        <w:gridCol w:w="1560"/>
      </w:tblGrid>
      <w:tr w:rsidR="00903534" w:rsidRPr="00EF3E60" w14:paraId="3982EB47" w14:textId="77777777" w:rsidTr="0080005C">
        <w:trPr>
          <w:trHeight w:val="245"/>
        </w:trPr>
        <w:tc>
          <w:tcPr>
            <w:tcW w:w="597" w:type="pct"/>
          </w:tcPr>
          <w:p w14:paraId="0ACAD4DF" w14:textId="77777777" w:rsidR="00903534" w:rsidRPr="000F181B" w:rsidRDefault="00903534" w:rsidP="000A69A2">
            <w:pPr>
              <w:spacing w:before="60" w:after="40"/>
              <w:jc w:val="right"/>
              <w:rPr>
                <w:b/>
                <w:bCs/>
                <w:i/>
                <w:iCs/>
                <w:rtl/>
              </w:rPr>
            </w:pPr>
          </w:p>
        </w:tc>
        <w:tc>
          <w:tcPr>
            <w:tcW w:w="4400" w:type="pct"/>
            <w:gridSpan w:val="6"/>
          </w:tcPr>
          <w:p w14:paraId="22553299" w14:textId="4E95E5AD" w:rsidR="00903534" w:rsidRPr="00903534" w:rsidRDefault="00903534" w:rsidP="00F86B3C">
            <w:pPr>
              <w:tabs>
                <w:tab w:val="left" w:pos="333"/>
              </w:tabs>
              <w:spacing w:before="60" w:after="120"/>
              <w:ind w:left="272"/>
              <w:jc w:val="left"/>
              <w:rPr>
                <w:rtl/>
              </w:rPr>
            </w:pPr>
            <w:r>
              <w:rPr>
                <w:rFonts w:hint="cs"/>
                <w:sz w:val="18"/>
                <w:szCs w:val="18"/>
                <w:rtl/>
              </w:rPr>
              <w:t>2</w:t>
            </w:r>
            <w:r w:rsidRPr="00903534">
              <w:rPr>
                <w:rFonts w:hint="cs"/>
                <w:sz w:val="18"/>
                <w:szCs w:val="18"/>
                <w:rtl/>
              </w:rPr>
              <w:t xml:space="preserve">.  </w:t>
            </w:r>
            <w:r w:rsidRPr="00903534">
              <w:rPr>
                <w:sz w:val="18"/>
                <w:szCs w:val="18"/>
                <w:rtl/>
              </w:rPr>
              <w:t xml:space="preserve">רווחים/ (הפסדים) שסווגו מחדש מרווח כולל אחר לרווח והפסד </w:t>
            </w:r>
            <w:r w:rsidRPr="00903534">
              <w:rPr>
                <w:sz w:val="18"/>
                <w:szCs w:val="18"/>
                <w:vertAlign w:val="superscript"/>
                <w:rtl/>
              </w:rPr>
              <w:t>(ב)</w:t>
            </w:r>
          </w:p>
        </w:tc>
      </w:tr>
      <w:tr w:rsidR="00903534" w:rsidRPr="00C26031" w14:paraId="7DB797BA" w14:textId="77777777" w:rsidTr="0080005C">
        <w:tblPrEx>
          <w:tblLook w:val="01E0" w:firstRow="1" w:lastRow="1" w:firstColumn="1" w:lastColumn="1" w:noHBand="0" w:noVBand="0"/>
        </w:tblPrEx>
        <w:tc>
          <w:tcPr>
            <w:tcW w:w="597" w:type="pct"/>
          </w:tcPr>
          <w:p w14:paraId="6E88D882" w14:textId="77777777" w:rsidR="00903534" w:rsidRDefault="00903534" w:rsidP="000A69A2">
            <w:pPr>
              <w:bidi w:val="0"/>
              <w:spacing w:before="60" w:after="40"/>
              <w:jc w:val="left"/>
              <w:rPr>
                <w:sz w:val="14"/>
                <w:szCs w:val="14"/>
                <w:rtl/>
              </w:rPr>
            </w:pPr>
          </w:p>
          <w:p w14:paraId="12E6EBA4" w14:textId="77777777" w:rsidR="00903534" w:rsidRPr="008257BC" w:rsidRDefault="00903534" w:rsidP="000A69A2">
            <w:pPr>
              <w:bidi w:val="0"/>
              <w:jc w:val="left"/>
              <w:rPr>
                <w:b/>
                <w:bCs/>
                <w:rtl/>
              </w:rPr>
            </w:pPr>
            <w:r w:rsidRPr="00AF6F90">
              <w:rPr>
                <w:rFonts w:hint="cs"/>
                <w:sz w:val="12"/>
                <w:szCs w:val="12"/>
              </w:rPr>
              <w:t>ASC</w:t>
            </w:r>
            <w:r w:rsidRPr="00AF6F90">
              <w:rPr>
                <w:sz w:val="12"/>
                <w:szCs w:val="12"/>
              </w:rPr>
              <w:t xml:space="preserve"> </w:t>
            </w:r>
            <w:r w:rsidRPr="00AF6F90">
              <w:rPr>
                <w:rFonts w:hint="cs"/>
                <w:sz w:val="12"/>
                <w:szCs w:val="12"/>
              </w:rPr>
              <w:t>815-10-50-4C</w:t>
            </w:r>
            <w:r w:rsidRPr="00AF6F90">
              <w:rPr>
                <w:sz w:val="12"/>
                <w:szCs w:val="12"/>
              </w:rPr>
              <w:t>CC</w:t>
            </w:r>
          </w:p>
        </w:tc>
        <w:tc>
          <w:tcPr>
            <w:tcW w:w="598" w:type="pct"/>
          </w:tcPr>
          <w:p w14:paraId="3FEAA228" w14:textId="77777777" w:rsidR="00903534" w:rsidRPr="008257BC" w:rsidRDefault="00903534" w:rsidP="000A69A2">
            <w:pPr>
              <w:jc w:val="center"/>
              <w:rPr>
                <w:b/>
                <w:bCs/>
                <w:sz w:val="18"/>
                <w:szCs w:val="18"/>
                <w:rtl/>
              </w:rPr>
            </w:pPr>
          </w:p>
        </w:tc>
        <w:tc>
          <w:tcPr>
            <w:tcW w:w="746" w:type="pct"/>
          </w:tcPr>
          <w:p w14:paraId="275BBF7C" w14:textId="77777777" w:rsidR="00903534" w:rsidRPr="008257BC" w:rsidRDefault="00903534" w:rsidP="000A69A2">
            <w:pPr>
              <w:pBdr>
                <w:bottom w:val="single" w:sz="4" w:space="1" w:color="auto"/>
              </w:pBdr>
              <w:jc w:val="center"/>
              <w:rPr>
                <w:b/>
                <w:bCs/>
                <w:sz w:val="18"/>
                <w:szCs w:val="18"/>
                <w:rtl/>
              </w:rPr>
            </w:pPr>
            <w:r w:rsidRPr="008257BC">
              <w:rPr>
                <w:rFonts w:hint="cs"/>
                <w:b/>
                <w:bCs/>
                <w:sz w:val="18"/>
                <w:szCs w:val="18"/>
                <w:rtl/>
              </w:rPr>
              <w:t>3 חודשים שהסתיימו ביום</w:t>
            </w:r>
          </w:p>
        </w:tc>
        <w:tc>
          <w:tcPr>
            <w:tcW w:w="746" w:type="pct"/>
          </w:tcPr>
          <w:p w14:paraId="05CDC18E" w14:textId="77777777" w:rsidR="00903534" w:rsidRPr="008257BC" w:rsidRDefault="00903534" w:rsidP="000A69A2">
            <w:pPr>
              <w:pBdr>
                <w:bottom w:val="single" w:sz="4" w:space="1" w:color="auto"/>
              </w:pBdr>
              <w:jc w:val="center"/>
              <w:rPr>
                <w:b/>
                <w:bCs/>
                <w:sz w:val="18"/>
                <w:szCs w:val="18"/>
                <w:rtl/>
              </w:rPr>
            </w:pPr>
            <w:r w:rsidRPr="008257BC">
              <w:rPr>
                <w:rFonts w:hint="cs"/>
                <w:b/>
                <w:bCs/>
                <w:sz w:val="18"/>
                <w:szCs w:val="18"/>
                <w:rtl/>
              </w:rPr>
              <w:t>6 חודשים שהסתיימו ביום</w:t>
            </w:r>
          </w:p>
        </w:tc>
        <w:tc>
          <w:tcPr>
            <w:tcW w:w="746" w:type="pct"/>
          </w:tcPr>
          <w:p w14:paraId="41871F54" w14:textId="77777777" w:rsidR="00903534" w:rsidRPr="008257BC" w:rsidRDefault="00903534" w:rsidP="000A69A2">
            <w:pPr>
              <w:pBdr>
                <w:bottom w:val="single" w:sz="4" w:space="1" w:color="auto"/>
              </w:pBdr>
              <w:jc w:val="center"/>
              <w:rPr>
                <w:b/>
                <w:bCs/>
                <w:sz w:val="18"/>
                <w:szCs w:val="18"/>
                <w:rtl/>
              </w:rPr>
            </w:pPr>
            <w:r w:rsidRPr="008257BC">
              <w:rPr>
                <w:rFonts w:hint="cs"/>
                <w:b/>
                <w:bCs/>
                <w:sz w:val="18"/>
                <w:szCs w:val="18"/>
                <w:rtl/>
              </w:rPr>
              <w:t>3 חודשים שהסתיימו ביום</w:t>
            </w:r>
          </w:p>
        </w:tc>
        <w:tc>
          <w:tcPr>
            <w:tcW w:w="746" w:type="pct"/>
          </w:tcPr>
          <w:p w14:paraId="77C9C2F0" w14:textId="77777777" w:rsidR="00903534" w:rsidRPr="008257BC" w:rsidRDefault="00903534" w:rsidP="000A69A2">
            <w:pPr>
              <w:pBdr>
                <w:bottom w:val="single" w:sz="4" w:space="1" w:color="auto"/>
              </w:pBdr>
              <w:jc w:val="center"/>
              <w:rPr>
                <w:b/>
                <w:bCs/>
                <w:sz w:val="18"/>
                <w:szCs w:val="18"/>
                <w:rtl/>
              </w:rPr>
            </w:pPr>
            <w:r w:rsidRPr="008257BC">
              <w:rPr>
                <w:rFonts w:hint="cs"/>
                <w:b/>
                <w:bCs/>
                <w:sz w:val="18"/>
                <w:szCs w:val="18"/>
                <w:rtl/>
              </w:rPr>
              <w:t>6 חודשים שהסתיימו ביום</w:t>
            </w:r>
          </w:p>
        </w:tc>
        <w:tc>
          <w:tcPr>
            <w:tcW w:w="821" w:type="pct"/>
          </w:tcPr>
          <w:p w14:paraId="124860D5" w14:textId="77777777" w:rsidR="00903534" w:rsidRPr="008257BC" w:rsidRDefault="00903534" w:rsidP="000A69A2">
            <w:pPr>
              <w:pBdr>
                <w:bottom w:val="single" w:sz="4" w:space="1" w:color="auto"/>
              </w:pBdr>
              <w:jc w:val="center"/>
              <w:rPr>
                <w:b/>
                <w:bCs/>
                <w:sz w:val="18"/>
                <w:szCs w:val="18"/>
                <w:rtl/>
              </w:rPr>
            </w:pPr>
            <w:r w:rsidRPr="008257BC">
              <w:rPr>
                <w:rFonts w:hint="cs"/>
                <w:b/>
                <w:bCs/>
                <w:sz w:val="18"/>
                <w:szCs w:val="18"/>
                <w:rtl/>
              </w:rPr>
              <w:t xml:space="preserve">שנה </w:t>
            </w:r>
            <w:r>
              <w:rPr>
                <w:b/>
                <w:bCs/>
                <w:sz w:val="18"/>
                <w:szCs w:val="18"/>
                <w:rtl/>
              </w:rPr>
              <w:br/>
            </w:r>
            <w:r w:rsidRPr="008257BC">
              <w:rPr>
                <w:rFonts w:hint="cs"/>
                <w:b/>
                <w:bCs/>
                <w:sz w:val="18"/>
                <w:szCs w:val="18"/>
                <w:rtl/>
              </w:rPr>
              <w:t>שהסתיימה ביום</w:t>
            </w:r>
          </w:p>
        </w:tc>
      </w:tr>
      <w:tr w:rsidR="00903534" w:rsidRPr="00C26031" w14:paraId="3A5C930F" w14:textId="77777777" w:rsidTr="0080005C">
        <w:tblPrEx>
          <w:tblLook w:val="01E0" w:firstRow="1" w:lastRow="1" w:firstColumn="1" w:lastColumn="1" w:noHBand="0" w:noVBand="0"/>
        </w:tblPrEx>
        <w:tc>
          <w:tcPr>
            <w:tcW w:w="597" w:type="pct"/>
          </w:tcPr>
          <w:p w14:paraId="0744BE4C" w14:textId="77777777" w:rsidR="00903534" w:rsidRPr="008257BC" w:rsidRDefault="00903534" w:rsidP="000A69A2">
            <w:pPr>
              <w:jc w:val="center"/>
              <w:rPr>
                <w:b/>
                <w:bCs/>
                <w:rtl/>
              </w:rPr>
            </w:pPr>
          </w:p>
        </w:tc>
        <w:tc>
          <w:tcPr>
            <w:tcW w:w="598" w:type="pct"/>
          </w:tcPr>
          <w:p w14:paraId="734529AC" w14:textId="77777777" w:rsidR="00903534" w:rsidRDefault="00903534" w:rsidP="000A69A2">
            <w:pPr>
              <w:pBdr>
                <w:bottom w:val="single" w:sz="4" w:space="1" w:color="auto"/>
              </w:pBdr>
              <w:jc w:val="center"/>
              <w:rPr>
                <w:b/>
                <w:bCs/>
                <w:sz w:val="18"/>
                <w:szCs w:val="18"/>
                <w:rtl/>
              </w:rPr>
            </w:pPr>
          </w:p>
          <w:p w14:paraId="3F5C90F0" w14:textId="77777777" w:rsidR="00903534" w:rsidRPr="008257BC" w:rsidRDefault="00903534" w:rsidP="000A69A2">
            <w:pPr>
              <w:pBdr>
                <w:bottom w:val="single" w:sz="4" w:space="1" w:color="auto"/>
              </w:pBdr>
              <w:jc w:val="center"/>
              <w:rPr>
                <w:b/>
                <w:bCs/>
                <w:sz w:val="18"/>
                <w:szCs w:val="18"/>
                <w:rtl/>
              </w:rPr>
            </w:pPr>
            <w:r w:rsidRPr="008257BC">
              <w:rPr>
                <w:rFonts w:hint="cs"/>
                <w:b/>
                <w:bCs/>
                <w:sz w:val="18"/>
                <w:szCs w:val="18"/>
                <w:rtl/>
              </w:rPr>
              <w:t>חוזה הגידור</w:t>
            </w:r>
          </w:p>
        </w:tc>
        <w:tc>
          <w:tcPr>
            <w:tcW w:w="1492" w:type="pct"/>
            <w:gridSpan w:val="2"/>
          </w:tcPr>
          <w:p w14:paraId="5D311EED" w14:textId="77777777" w:rsidR="00903534" w:rsidRPr="008257BC" w:rsidRDefault="00903534" w:rsidP="000A69A2">
            <w:pPr>
              <w:pBdr>
                <w:bottom w:val="single" w:sz="4" w:space="1" w:color="auto"/>
              </w:pBdr>
              <w:jc w:val="center"/>
              <w:rPr>
                <w:b/>
                <w:bCs/>
                <w:sz w:val="18"/>
                <w:szCs w:val="18"/>
                <w:rtl/>
              </w:rPr>
            </w:pPr>
            <w:r w:rsidRPr="008257BC">
              <w:rPr>
                <w:rFonts w:hint="cs"/>
                <w:b/>
                <w:bCs/>
                <w:sz w:val="18"/>
                <w:szCs w:val="18"/>
                <w:rtl/>
              </w:rPr>
              <w:t xml:space="preserve">30 ביוני </w:t>
            </w:r>
            <w:r w:rsidRPr="00736169">
              <w:rPr>
                <w:b/>
                <w:bCs/>
                <w:sz w:val="18"/>
                <w:szCs w:val="18"/>
                <w:rtl/>
              </w:rPr>
              <w:fldChar w:fldCharType="begin"/>
            </w:r>
            <w:r w:rsidRPr="00736169">
              <w:rPr>
                <w:b/>
                <w:bCs/>
                <w:sz w:val="18"/>
                <w:szCs w:val="18"/>
                <w:rtl/>
              </w:rPr>
              <w:instrText xml:space="preserve"> </w:instrText>
            </w:r>
            <w:r w:rsidRPr="00736169">
              <w:rPr>
                <w:rFonts w:hint="cs"/>
                <w:b/>
                <w:bCs/>
                <w:sz w:val="18"/>
                <w:szCs w:val="18"/>
                <w:rtl/>
              </w:rPr>
              <w:instrText xml:space="preserve">= </w:instrText>
            </w:r>
            <w:r w:rsidRPr="00736169">
              <w:rPr>
                <w:rFonts w:hint="cs"/>
                <w:b/>
                <w:bCs/>
                <w:sz w:val="18"/>
                <w:szCs w:val="18"/>
              </w:rPr>
              <w:instrText>CY \* MERGEFORMAT</w:instrText>
            </w:r>
            <w:r w:rsidRPr="00736169">
              <w:rPr>
                <w:b/>
                <w:bCs/>
                <w:sz w:val="18"/>
                <w:szCs w:val="18"/>
                <w:rtl/>
              </w:rPr>
              <w:instrText xml:space="preserve"> </w:instrText>
            </w:r>
            <w:r w:rsidRPr="00736169">
              <w:rPr>
                <w:b/>
                <w:bCs/>
                <w:sz w:val="18"/>
                <w:szCs w:val="18"/>
                <w:rtl/>
              </w:rPr>
              <w:fldChar w:fldCharType="separate"/>
            </w:r>
            <w:r>
              <w:rPr>
                <w:b/>
                <w:bCs/>
                <w:noProof/>
                <w:sz w:val="18"/>
                <w:szCs w:val="18"/>
                <w:rtl/>
              </w:rPr>
              <w:t>2024</w:t>
            </w:r>
            <w:r w:rsidRPr="00736169">
              <w:rPr>
                <w:b/>
                <w:bCs/>
                <w:sz w:val="18"/>
                <w:szCs w:val="18"/>
                <w:rtl/>
              </w:rPr>
              <w:fldChar w:fldCharType="end"/>
            </w:r>
            <w:r w:rsidRPr="00736169">
              <w:rPr>
                <w:rFonts w:hint="cs"/>
                <w:b/>
                <w:bCs/>
                <w:sz w:val="18"/>
                <w:szCs w:val="18"/>
                <w:rtl/>
              </w:rPr>
              <w:t xml:space="preserve"> </w:t>
            </w:r>
            <w:r>
              <w:rPr>
                <w:b/>
                <w:bCs/>
                <w:sz w:val="18"/>
                <w:szCs w:val="18"/>
                <w:rtl/>
              </w:rPr>
              <w:br/>
            </w:r>
            <w:r w:rsidRPr="006F749D">
              <w:rPr>
                <w:rFonts w:hint="cs"/>
                <w:sz w:val="18"/>
                <w:szCs w:val="18"/>
                <w:rtl/>
              </w:rPr>
              <w:t>(בלתי מבוקר)</w:t>
            </w:r>
          </w:p>
        </w:tc>
        <w:tc>
          <w:tcPr>
            <w:tcW w:w="1492" w:type="pct"/>
            <w:gridSpan w:val="2"/>
          </w:tcPr>
          <w:p w14:paraId="407C5ED6" w14:textId="77777777" w:rsidR="00903534" w:rsidRPr="008257BC" w:rsidRDefault="00903534" w:rsidP="000A69A2">
            <w:pPr>
              <w:pBdr>
                <w:bottom w:val="single" w:sz="4" w:space="1" w:color="auto"/>
              </w:pBdr>
              <w:jc w:val="center"/>
              <w:rPr>
                <w:b/>
                <w:bCs/>
                <w:sz w:val="18"/>
                <w:szCs w:val="18"/>
                <w:rtl/>
              </w:rPr>
            </w:pPr>
            <w:r w:rsidRPr="008257BC">
              <w:rPr>
                <w:rFonts w:hint="cs"/>
                <w:b/>
                <w:bCs/>
                <w:sz w:val="18"/>
                <w:szCs w:val="18"/>
                <w:rtl/>
              </w:rPr>
              <w:t xml:space="preserve">30 ביוני </w:t>
            </w:r>
            <w:r w:rsidRPr="00736169">
              <w:rPr>
                <w:b/>
                <w:bCs/>
                <w:sz w:val="18"/>
                <w:szCs w:val="18"/>
                <w:rtl/>
              </w:rPr>
              <w:fldChar w:fldCharType="begin"/>
            </w:r>
            <w:r w:rsidRPr="00736169">
              <w:rPr>
                <w:b/>
                <w:bCs/>
                <w:sz w:val="18"/>
                <w:szCs w:val="18"/>
                <w:rtl/>
              </w:rPr>
              <w:instrText xml:space="preserve"> </w:instrText>
            </w:r>
            <w:r w:rsidRPr="00736169">
              <w:rPr>
                <w:rFonts w:hint="cs"/>
                <w:b/>
                <w:bCs/>
                <w:sz w:val="18"/>
                <w:szCs w:val="18"/>
                <w:rtl/>
              </w:rPr>
              <w:instrText xml:space="preserve">= </w:instrText>
            </w:r>
            <w:r w:rsidRPr="00736169">
              <w:rPr>
                <w:rFonts w:hint="cs"/>
                <w:b/>
                <w:bCs/>
                <w:sz w:val="18"/>
                <w:szCs w:val="18"/>
              </w:rPr>
              <w:instrText>CY</w:instrText>
            </w:r>
            <w:r w:rsidRPr="00736169">
              <w:rPr>
                <w:b/>
                <w:bCs/>
                <w:sz w:val="18"/>
                <w:szCs w:val="18"/>
              </w:rPr>
              <w:instrText>-1</w:instrText>
            </w:r>
            <w:r w:rsidRPr="00736169">
              <w:rPr>
                <w:rFonts w:hint="cs"/>
                <w:b/>
                <w:bCs/>
                <w:sz w:val="18"/>
                <w:szCs w:val="18"/>
              </w:rPr>
              <w:instrText xml:space="preserve"> \* MERGEFORMAT</w:instrText>
            </w:r>
            <w:r w:rsidRPr="00736169">
              <w:rPr>
                <w:b/>
                <w:bCs/>
                <w:sz w:val="18"/>
                <w:szCs w:val="18"/>
                <w:rtl/>
              </w:rPr>
              <w:instrText xml:space="preserve"> </w:instrText>
            </w:r>
            <w:r w:rsidRPr="00736169">
              <w:rPr>
                <w:b/>
                <w:bCs/>
                <w:sz w:val="18"/>
                <w:szCs w:val="18"/>
                <w:rtl/>
              </w:rPr>
              <w:fldChar w:fldCharType="separate"/>
            </w:r>
            <w:r>
              <w:rPr>
                <w:b/>
                <w:bCs/>
                <w:noProof/>
                <w:sz w:val="18"/>
                <w:szCs w:val="18"/>
                <w:rtl/>
              </w:rPr>
              <w:t>2023</w:t>
            </w:r>
            <w:r w:rsidRPr="00736169">
              <w:rPr>
                <w:b/>
                <w:bCs/>
                <w:sz w:val="18"/>
                <w:szCs w:val="18"/>
                <w:rtl/>
              </w:rPr>
              <w:fldChar w:fldCharType="end"/>
            </w:r>
            <w:r w:rsidRPr="00736169">
              <w:rPr>
                <w:rFonts w:hint="cs"/>
                <w:b/>
                <w:bCs/>
                <w:sz w:val="16"/>
                <w:szCs w:val="16"/>
                <w:rtl/>
              </w:rPr>
              <w:t xml:space="preserve"> </w:t>
            </w:r>
            <w:r>
              <w:rPr>
                <w:b/>
                <w:bCs/>
                <w:sz w:val="18"/>
                <w:szCs w:val="18"/>
                <w:rtl/>
              </w:rPr>
              <w:br/>
            </w:r>
            <w:r w:rsidRPr="006F749D">
              <w:rPr>
                <w:rFonts w:hint="cs"/>
                <w:sz w:val="18"/>
                <w:szCs w:val="18"/>
                <w:rtl/>
              </w:rPr>
              <w:t>(בלתי מבוקר)</w:t>
            </w:r>
          </w:p>
        </w:tc>
        <w:tc>
          <w:tcPr>
            <w:tcW w:w="821" w:type="pct"/>
          </w:tcPr>
          <w:p w14:paraId="7E4F116E" w14:textId="77777777" w:rsidR="00903534" w:rsidRPr="008257BC" w:rsidRDefault="00903534" w:rsidP="000A69A2">
            <w:pPr>
              <w:pBdr>
                <w:bottom w:val="single" w:sz="4" w:space="1" w:color="auto"/>
              </w:pBdr>
              <w:jc w:val="center"/>
              <w:rPr>
                <w:b/>
                <w:bCs/>
                <w:sz w:val="18"/>
                <w:szCs w:val="18"/>
                <w:rtl/>
              </w:rPr>
            </w:pPr>
            <w:r w:rsidRPr="008257BC">
              <w:rPr>
                <w:rFonts w:hint="cs"/>
                <w:b/>
                <w:bCs/>
                <w:sz w:val="18"/>
                <w:szCs w:val="18"/>
                <w:rtl/>
              </w:rPr>
              <w:t xml:space="preserve">31 דצמבר </w:t>
            </w:r>
            <w:r w:rsidRPr="00736169">
              <w:rPr>
                <w:b/>
                <w:bCs/>
                <w:sz w:val="18"/>
                <w:szCs w:val="18"/>
                <w:rtl/>
              </w:rPr>
              <w:fldChar w:fldCharType="begin"/>
            </w:r>
            <w:r w:rsidRPr="00736169">
              <w:rPr>
                <w:b/>
                <w:bCs/>
                <w:sz w:val="18"/>
                <w:szCs w:val="18"/>
                <w:rtl/>
              </w:rPr>
              <w:instrText xml:space="preserve"> </w:instrText>
            </w:r>
            <w:r w:rsidRPr="00736169">
              <w:rPr>
                <w:rFonts w:hint="cs"/>
                <w:b/>
                <w:bCs/>
                <w:sz w:val="18"/>
                <w:szCs w:val="18"/>
                <w:rtl/>
              </w:rPr>
              <w:instrText xml:space="preserve">= </w:instrText>
            </w:r>
            <w:r w:rsidRPr="00736169">
              <w:rPr>
                <w:rFonts w:hint="cs"/>
                <w:b/>
                <w:bCs/>
                <w:sz w:val="18"/>
                <w:szCs w:val="18"/>
              </w:rPr>
              <w:instrText>CY</w:instrText>
            </w:r>
            <w:r w:rsidRPr="00736169">
              <w:rPr>
                <w:b/>
                <w:bCs/>
                <w:sz w:val="18"/>
                <w:szCs w:val="18"/>
              </w:rPr>
              <w:instrText>-1</w:instrText>
            </w:r>
            <w:r w:rsidRPr="00736169">
              <w:rPr>
                <w:rFonts w:hint="cs"/>
                <w:b/>
                <w:bCs/>
                <w:sz w:val="18"/>
                <w:szCs w:val="18"/>
              </w:rPr>
              <w:instrText xml:space="preserve"> \* MERGEFORMAT</w:instrText>
            </w:r>
            <w:r w:rsidRPr="00736169">
              <w:rPr>
                <w:b/>
                <w:bCs/>
                <w:sz w:val="18"/>
                <w:szCs w:val="18"/>
                <w:rtl/>
              </w:rPr>
              <w:instrText xml:space="preserve"> </w:instrText>
            </w:r>
            <w:r w:rsidRPr="00736169">
              <w:rPr>
                <w:b/>
                <w:bCs/>
                <w:sz w:val="18"/>
                <w:szCs w:val="18"/>
                <w:rtl/>
              </w:rPr>
              <w:fldChar w:fldCharType="separate"/>
            </w:r>
            <w:r>
              <w:rPr>
                <w:b/>
                <w:bCs/>
                <w:noProof/>
                <w:sz w:val="18"/>
                <w:szCs w:val="18"/>
                <w:rtl/>
              </w:rPr>
              <w:t>2023</w:t>
            </w:r>
            <w:r w:rsidRPr="00736169">
              <w:rPr>
                <w:b/>
                <w:bCs/>
                <w:sz w:val="18"/>
                <w:szCs w:val="18"/>
                <w:rtl/>
              </w:rPr>
              <w:fldChar w:fldCharType="end"/>
            </w:r>
            <w:r>
              <w:rPr>
                <w:rFonts w:hint="cs"/>
                <w:b/>
                <w:bCs/>
                <w:sz w:val="18"/>
                <w:szCs w:val="18"/>
                <w:rtl/>
              </w:rPr>
              <w:t xml:space="preserve"> </w:t>
            </w:r>
            <w:r w:rsidRPr="006F749D">
              <w:rPr>
                <w:rFonts w:hint="cs"/>
                <w:sz w:val="18"/>
                <w:szCs w:val="18"/>
                <w:rtl/>
              </w:rPr>
              <w:t>(מבוקר)</w:t>
            </w:r>
          </w:p>
        </w:tc>
      </w:tr>
      <w:tr w:rsidR="00903534" w:rsidRPr="00C26031" w14:paraId="2399C97B" w14:textId="77777777" w:rsidTr="0080005C">
        <w:tblPrEx>
          <w:tblLook w:val="01E0" w:firstRow="1" w:lastRow="1" w:firstColumn="1" w:lastColumn="1" w:noHBand="0" w:noVBand="0"/>
        </w:tblPrEx>
        <w:tc>
          <w:tcPr>
            <w:tcW w:w="597" w:type="pct"/>
          </w:tcPr>
          <w:p w14:paraId="0C828816" w14:textId="77777777" w:rsidR="00903534" w:rsidRPr="00C26031" w:rsidRDefault="00903534" w:rsidP="000A69A2">
            <w:pPr>
              <w:rPr>
                <w:rtl/>
              </w:rPr>
            </w:pPr>
          </w:p>
        </w:tc>
        <w:tc>
          <w:tcPr>
            <w:tcW w:w="598" w:type="pct"/>
            <w:vAlign w:val="center"/>
          </w:tcPr>
          <w:p w14:paraId="06AB5B1C" w14:textId="77777777" w:rsidR="00903534" w:rsidRPr="00243D9E" w:rsidRDefault="00903534" w:rsidP="000A69A2">
            <w:pPr>
              <w:spacing w:before="120"/>
              <w:jc w:val="center"/>
              <w:rPr>
                <w:sz w:val="18"/>
                <w:szCs w:val="18"/>
                <w:rtl/>
              </w:rPr>
            </w:pPr>
            <w:r w:rsidRPr="00243D9E">
              <w:rPr>
                <w:rFonts w:hint="cs"/>
                <w:sz w:val="18"/>
                <w:szCs w:val="18"/>
                <w:rtl/>
              </w:rPr>
              <w:t>מטבע חוץ</w:t>
            </w:r>
          </w:p>
        </w:tc>
        <w:tc>
          <w:tcPr>
            <w:tcW w:w="746" w:type="pct"/>
            <w:vAlign w:val="bottom"/>
          </w:tcPr>
          <w:p w14:paraId="76D2ED9A" w14:textId="77777777" w:rsidR="00903534" w:rsidRPr="00243D9E" w:rsidRDefault="00903534" w:rsidP="000A69A2">
            <w:pPr>
              <w:spacing w:before="120"/>
              <w:jc w:val="center"/>
              <w:rPr>
                <w:sz w:val="18"/>
                <w:szCs w:val="18"/>
                <w:rtl/>
              </w:rPr>
            </w:pPr>
            <w:r w:rsidRPr="00243D9E">
              <w:rPr>
                <w:rFonts w:hint="cs"/>
                <w:sz w:val="18"/>
                <w:szCs w:val="18"/>
                <w:rtl/>
              </w:rPr>
              <w:t>0</w:t>
            </w:r>
          </w:p>
        </w:tc>
        <w:tc>
          <w:tcPr>
            <w:tcW w:w="746" w:type="pct"/>
            <w:vAlign w:val="bottom"/>
          </w:tcPr>
          <w:p w14:paraId="14F22223" w14:textId="77777777" w:rsidR="00903534" w:rsidRPr="00243D9E" w:rsidRDefault="00903534" w:rsidP="000A69A2">
            <w:pPr>
              <w:spacing w:before="120"/>
              <w:jc w:val="center"/>
              <w:rPr>
                <w:sz w:val="18"/>
                <w:szCs w:val="18"/>
                <w:rtl/>
              </w:rPr>
            </w:pPr>
            <w:r w:rsidRPr="00243D9E">
              <w:rPr>
                <w:rFonts w:hint="cs"/>
                <w:sz w:val="18"/>
                <w:szCs w:val="18"/>
                <w:rtl/>
              </w:rPr>
              <w:t>0</w:t>
            </w:r>
          </w:p>
        </w:tc>
        <w:tc>
          <w:tcPr>
            <w:tcW w:w="746" w:type="pct"/>
            <w:vAlign w:val="bottom"/>
          </w:tcPr>
          <w:p w14:paraId="28144F7D" w14:textId="77777777" w:rsidR="00903534" w:rsidRPr="00243D9E" w:rsidRDefault="00903534" w:rsidP="000A69A2">
            <w:pPr>
              <w:spacing w:before="120"/>
              <w:jc w:val="center"/>
              <w:rPr>
                <w:sz w:val="18"/>
                <w:szCs w:val="18"/>
                <w:rtl/>
              </w:rPr>
            </w:pPr>
            <w:r w:rsidRPr="00243D9E">
              <w:rPr>
                <w:rFonts w:hint="cs"/>
                <w:sz w:val="18"/>
                <w:szCs w:val="18"/>
                <w:rtl/>
              </w:rPr>
              <w:t>0</w:t>
            </w:r>
          </w:p>
        </w:tc>
        <w:tc>
          <w:tcPr>
            <w:tcW w:w="746" w:type="pct"/>
          </w:tcPr>
          <w:p w14:paraId="2E3A3FC9" w14:textId="77777777" w:rsidR="00903534" w:rsidRPr="00243D9E" w:rsidRDefault="00903534" w:rsidP="000A69A2">
            <w:pPr>
              <w:spacing w:before="120"/>
              <w:jc w:val="center"/>
              <w:rPr>
                <w:sz w:val="18"/>
                <w:szCs w:val="18"/>
                <w:rtl/>
              </w:rPr>
            </w:pPr>
            <w:r w:rsidRPr="00243D9E">
              <w:rPr>
                <w:rFonts w:hint="cs"/>
                <w:sz w:val="18"/>
                <w:szCs w:val="18"/>
                <w:rtl/>
              </w:rPr>
              <w:t>0</w:t>
            </w:r>
          </w:p>
        </w:tc>
        <w:tc>
          <w:tcPr>
            <w:tcW w:w="821" w:type="pct"/>
          </w:tcPr>
          <w:p w14:paraId="0BADBF8A" w14:textId="77777777" w:rsidR="00903534" w:rsidRPr="00243D9E" w:rsidRDefault="00903534" w:rsidP="000A69A2">
            <w:pPr>
              <w:spacing w:before="120"/>
              <w:jc w:val="center"/>
              <w:rPr>
                <w:sz w:val="18"/>
                <w:szCs w:val="18"/>
                <w:rtl/>
              </w:rPr>
            </w:pPr>
            <w:r w:rsidRPr="00243D9E">
              <w:rPr>
                <w:rFonts w:hint="cs"/>
                <w:sz w:val="18"/>
                <w:szCs w:val="18"/>
                <w:rtl/>
              </w:rPr>
              <w:t>0</w:t>
            </w:r>
          </w:p>
        </w:tc>
      </w:tr>
    </w:tbl>
    <w:p w14:paraId="40B8659B" w14:textId="77777777" w:rsidR="009A5819" w:rsidRDefault="009A5819">
      <w:pPr>
        <w:rPr>
          <w:rtl/>
        </w:rPr>
      </w:pPr>
    </w:p>
    <w:p w14:paraId="42D3D3AD" w14:textId="77777777" w:rsidR="00495D34" w:rsidRDefault="00495D34">
      <w:pPr>
        <w:rPr>
          <w:rtl/>
        </w:rPr>
      </w:pPr>
    </w:p>
    <w:tbl>
      <w:tblPr>
        <w:bidiVisual/>
        <w:tblW w:w="4604" w:type="pct"/>
        <w:tblInd w:w="-20" w:type="dxa"/>
        <w:tblLook w:val="0000" w:firstRow="0" w:lastRow="0" w:firstColumn="0" w:lastColumn="0" w:noHBand="0" w:noVBand="0"/>
      </w:tblPr>
      <w:tblGrid>
        <w:gridCol w:w="1040"/>
        <w:gridCol w:w="8359"/>
      </w:tblGrid>
      <w:tr w:rsidR="008257BC" w:rsidRPr="002F1BE7" w14:paraId="38F53100" w14:textId="77777777" w:rsidTr="00D306F2">
        <w:trPr>
          <w:trHeight w:val="245"/>
        </w:trPr>
        <w:tc>
          <w:tcPr>
            <w:tcW w:w="553" w:type="pct"/>
          </w:tcPr>
          <w:p w14:paraId="536C6FC9" w14:textId="77777777" w:rsidR="008257BC" w:rsidRPr="0038672B" w:rsidRDefault="008257BC" w:rsidP="008257BC">
            <w:pPr>
              <w:spacing w:before="60" w:after="60"/>
              <w:jc w:val="left"/>
              <w:rPr>
                <w:sz w:val="16"/>
                <w:szCs w:val="16"/>
                <w:vertAlign w:val="superscript"/>
              </w:rPr>
            </w:pPr>
          </w:p>
        </w:tc>
        <w:tc>
          <w:tcPr>
            <w:tcW w:w="4447" w:type="pct"/>
          </w:tcPr>
          <w:p w14:paraId="020946FE" w14:textId="0EF203E1" w:rsidR="008257BC" w:rsidRPr="0001523C" w:rsidRDefault="00BE4AB8" w:rsidP="00713BF3">
            <w:pPr>
              <w:spacing w:before="60" w:after="60"/>
              <w:ind w:left="477" w:hanging="402"/>
              <w:rPr>
                <w:sz w:val="18"/>
                <w:szCs w:val="18"/>
                <w:rtl/>
              </w:rPr>
            </w:pPr>
            <w:r>
              <w:rPr>
                <w:rFonts w:hint="cs"/>
                <w:sz w:val="18"/>
                <w:szCs w:val="18"/>
                <w:rtl/>
              </w:rPr>
              <w:t xml:space="preserve">  </w:t>
            </w:r>
            <w:r w:rsidRPr="00BE4AB8">
              <w:rPr>
                <w:sz w:val="18"/>
                <w:szCs w:val="18"/>
                <w:rtl/>
              </w:rPr>
              <w:t>(</w:t>
            </w:r>
            <w:r>
              <w:rPr>
                <w:rFonts w:hint="cs"/>
                <w:sz w:val="18"/>
                <w:szCs w:val="18"/>
                <w:rtl/>
              </w:rPr>
              <w:t xml:space="preserve">ב) </w:t>
            </w:r>
            <w:r w:rsidR="00457E05">
              <w:rPr>
                <w:sz w:val="18"/>
                <w:szCs w:val="18"/>
                <w:rtl/>
              </w:rPr>
              <w:tab/>
            </w:r>
            <w:r w:rsidR="00713BF3" w:rsidRPr="00FC4273">
              <w:rPr>
                <w:sz w:val="18"/>
                <w:szCs w:val="18"/>
                <w:rtl/>
              </w:rPr>
              <w:t>סכומים שנכללו בהערכת אפקטיביות הגידור, שסווגו מחדש לרווח והפסד בעת מימוש ההשקעה המגודרת,</w:t>
            </w:r>
            <w:r w:rsidR="00713BF3" w:rsidRPr="00B12EA4">
              <w:rPr>
                <w:color w:val="000000"/>
                <w:sz w:val="18"/>
                <w:szCs w:val="18"/>
                <w:rtl/>
                <w:lang w:eastAsia="he-IL"/>
              </w:rPr>
              <w:t xml:space="preserve"> וכן סכומים בגין רכיבים שלא נכללו בהערכת אפקטיביות הגידור</w:t>
            </w:r>
            <w:r w:rsidR="00713BF3">
              <w:rPr>
                <w:rFonts w:hint="cs"/>
                <w:color w:val="000000"/>
                <w:sz w:val="18"/>
                <w:szCs w:val="18"/>
                <w:rtl/>
                <w:lang w:eastAsia="he-IL"/>
              </w:rPr>
              <w:t xml:space="preserve"> </w:t>
            </w:r>
            <w:r w:rsidR="00713BF3" w:rsidRPr="00B12EA4">
              <w:rPr>
                <w:color w:val="000000"/>
                <w:sz w:val="18"/>
                <w:szCs w:val="18"/>
                <w:rtl/>
                <w:lang w:eastAsia="he-IL"/>
              </w:rPr>
              <w:t xml:space="preserve">בסך ____ מיליוני </w:t>
            </w:r>
            <w:r w:rsidR="00713BF3">
              <w:rPr>
                <w:rFonts w:hint="cs"/>
                <w:color w:val="000000"/>
                <w:sz w:val="18"/>
                <w:szCs w:val="18"/>
                <w:rtl/>
                <w:lang w:eastAsia="he-IL"/>
              </w:rPr>
              <w:t xml:space="preserve">ש"ח שסווגו מחדש לרווח והפסד לפי </w:t>
            </w:r>
            <w:r w:rsidR="00713BF3" w:rsidRPr="00B12EA4">
              <w:rPr>
                <w:color w:val="000000"/>
                <w:sz w:val="18"/>
                <w:szCs w:val="18"/>
                <w:rtl/>
                <w:lang w:eastAsia="he-IL"/>
              </w:rPr>
              <w:t>שיטת ההפחתה</w:t>
            </w:r>
            <w:r w:rsidR="00713BF3">
              <w:rPr>
                <w:rFonts w:hint="cs"/>
                <w:color w:val="000000"/>
                <w:sz w:val="18"/>
                <w:szCs w:val="18"/>
                <w:rtl/>
                <w:lang w:eastAsia="he-IL"/>
              </w:rPr>
              <w:t xml:space="preserve"> </w:t>
            </w:r>
            <w:r w:rsidR="00713BF3" w:rsidRPr="00B12EA4">
              <w:rPr>
                <w:color w:val="000000"/>
                <w:sz w:val="18"/>
                <w:szCs w:val="18"/>
                <w:rtl/>
                <w:lang w:eastAsia="he-IL"/>
              </w:rPr>
              <w:t xml:space="preserve"> </w:t>
            </w:r>
            <w:r w:rsidR="00713BF3" w:rsidRPr="0001523C">
              <w:rPr>
                <w:sz w:val="18"/>
                <w:szCs w:val="18"/>
                <w:rtl/>
              </w:rPr>
              <w:t xml:space="preserve">[יפורטו </w:t>
            </w:r>
            <w:r w:rsidR="00713BF3" w:rsidRPr="0001523C">
              <w:rPr>
                <w:rFonts w:hint="eastAsia"/>
                <w:sz w:val="18"/>
                <w:szCs w:val="18"/>
                <w:rtl/>
              </w:rPr>
              <w:t>הסכומים</w:t>
            </w:r>
            <w:r w:rsidR="00713BF3" w:rsidRPr="0001523C">
              <w:rPr>
                <w:sz w:val="18"/>
                <w:szCs w:val="18"/>
                <w:rtl/>
              </w:rPr>
              <w:t xml:space="preserve"> </w:t>
            </w:r>
            <w:r w:rsidR="00713BF3" w:rsidRPr="0001523C">
              <w:rPr>
                <w:rFonts w:hint="eastAsia"/>
                <w:sz w:val="18"/>
                <w:szCs w:val="18"/>
                <w:rtl/>
              </w:rPr>
              <w:t>לכל</w:t>
            </w:r>
            <w:r w:rsidR="00713BF3" w:rsidRPr="0001523C">
              <w:rPr>
                <w:sz w:val="18"/>
                <w:szCs w:val="18"/>
                <w:rtl/>
              </w:rPr>
              <w:t xml:space="preserve"> </w:t>
            </w:r>
            <w:r w:rsidR="00713BF3" w:rsidRPr="0001523C">
              <w:rPr>
                <w:rFonts w:hint="eastAsia"/>
                <w:sz w:val="18"/>
                <w:szCs w:val="18"/>
                <w:rtl/>
              </w:rPr>
              <w:t>תקופה</w:t>
            </w:r>
            <w:r w:rsidR="00713BF3" w:rsidRPr="0001523C">
              <w:rPr>
                <w:sz w:val="18"/>
                <w:szCs w:val="18"/>
                <w:rtl/>
              </w:rPr>
              <w:t>]</w:t>
            </w:r>
            <w:r w:rsidR="00713BF3">
              <w:rPr>
                <w:rFonts w:hint="cs"/>
                <w:color w:val="000000"/>
                <w:sz w:val="18"/>
                <w:szCs w:val="18"/>
                <w:rtl/>
                <w:lang w:eastAsia="he-IL"/>
              </w:rPr>
              <w:t>.</w:t>
            </w:r>
          </w:p>
        </w:tc>
      </w:tr>
    </w:tbl>
    <w:p w14:paraId="78D6661E" w14:textId="131600A4" w:rsidR="008257BC" w:rsidRDefault="008257BC" w:rsidP="00D7780F">
      <w:pPr>
        <w:rPr>
          <w:rtl/>
        </w:rPr>
      </w:pPr>
    </w:p>
    <w:p w14:paraId="4E233EF6" w14:textId="77777777" w:rsidR="003E6CF5" w:rsidRPr="008257BC" w:rsidRDefault="003E6CF5" w:rsidP="00D7780F">
      <w:pPr>
        <w:rPr>
          <w:rtl/>
        </w:rPr>
      </w:pPr>
    </w:p>
    <w:p w14:paraId="54188947" w14:textId="4F67FDC4" w:rsidR="003E6CF5" w:rsidRDefault="0060704D" w:rsidP="003E6CF5">
      <w:pPr>
        <w:bidi w:val="0"/>
        <w:jc w:val="left"/>
      </w:pPr>
      <w:r>
        <w:rPr>
          <w:rtl/>
        </w:rPr>
        <w:br w:type="page"/>
      </w:r>
    </w:p>
    <w:p w14:paraId="73C3BE49" w14:textId="77777777" w:rsidR="003E6CF5" w:rsidRDefault="003E6CF5" w:rsidP="003D0D66">
      <w:pPr>
        <w:pStyle w:val="5"/>
        <w:ind w:firstLine="1135"/>
      </w:pPr>
      <w:bookmarkStart w:id="37" w:name="_Toc160529230"/>
      <w:r w:rsidRPr="00940F68">
        <w:rPr>
          <w:rFonts w:hint="cs"/>
          <w:rtl/>
        </w:rPr>
        <w:lastRenderedPageBreak/>
        <w:t xml:space="preserve">ביאור </w:t>
      </w:r>
      <w:r>
        <w:rPr>
          <w:rFonts w:hint="cs"/>
          <w:rtl/>
        </w:rPr>
        <w:t>11</w:t>
      </w:r>
      <w:r w:rsidRPr="00940F68">
        <w:rPr>
          <w:rFonts w:hint="cs"/>
          <w:rtl/>
        </w:rPr>
        <w:t xml:space="preserve">  -  מגזרי פעילות פיקוחיים</w:t>
      </w:r>
      <w:r>
        <w:rPr>
          <w:rFonts w:hint="cs"/>
          <w:rtl/>
        </w:rPr>
        <w:t xml:space="preserve"> </w:t>
      </w:r>
      <w:r w:rsidRPr="00853A6E">
        <w:rPr>
          <w:rStyle w:val="a7"/>
          <w:rtl/>
        </w:rPr>
        <w:footnoteReference w:id="92"/>
      </w:r>
      <w:r>
        <w:rPr>
          <w:rFonts w:hint="cs"/>
          <w:sz w:val="20"/>
          <w:szCs w:val="20"/>
          <w:vertAlign w:val="superscript"/>
        </w:rPr>
        <w:t xml:space="preserve"> </w:t>
      </w:r>
      <w:r w:rsidRPr="00853A6E">
        <w:rPr>
          <w:rStyle w:val="a7"/>
          <w:rtl/>
        </w:rPr>
        <w:footnoteReference w:id="93"/>
      </w:r>
      <w:bookmarkEnd w:id="37"/>
    </w:p>
    <w:tbl>
      <w:tblPr>
        <w:tblpPr w:leftFromText="180" w:rightFromText="180" w:vertAnchor="page" w:horzAnchor="margin" w:tblpXSpec="center" w:tblpY="2305"/>
        <w:bidiVisual/>
        <w:tblW w:w="5347" w:type="pct"/>
        <w:tblCellMar>
          <w:left w:w="28" w:type="dxa"/>
          <w:right w:w="28" w:type="dxa"/>
        </w:tblCellMar>
        <w:tblLook w:val="04A0" w:firstRow="1" w:lastRow="0" w:firstColumn="1" w:lastColumn="0" w:noHBand="0" w:noVBand="1"/>
      </w:tblPr>
      <w:tblGrid>
        <w:gridCol w:w="2075"/>
        <w:gridCol w:w="576"/>
        <w:gridCol w:w="707"/>
        <w:gridCol w:w="648"/>
        <w:gridCol w:w="716"/>
        <w:gridCol w:w="692"/>
        <w:gridCol w:w="714"/>
        <w:gridCol w:w="642"/>
        <w:gridCol w:w="11"/>
        <w:gridCol w:w="742"/>
        <w:gridCol w:w="795"/>
        <w:gridCol w:w="502"/>
        <w:gridCol w:w="836"/>
        <w:gridCol w:w="777"/>
        <w:gridCol w:w="482"/>
      </w:tblGrid>
      <w:tr w:rsidR="003E6CF5" w:rsidRPr="006501FC" w14:paraId="352FD3FA" w14:textId="77777777" w:rsidTr="003E6CF5">
        <w:tc>
          <w:tcPr>
            <w:tcW w:w="950" w:type="pct"/>
            <w:vAlign w:val="bottom"/>
          </w:tcPr>
          <w:p w14:paraId="0D1C0056" w14:textId="77777777" w:rsidR="003E6CF5" w:rsidRPr="006501FC" w:rsidRDefault="003E6CF5" w:rsidP="003E6CF5">
            <w:pPr>
              <w:spacing w:line="228" w:lineRule="auto"/>
              <w:ind w:left="57" w:right="57" w:hanging="144"/>
              <w:jc w:val="center"/>
              <w:rPr>
                <w:rFonts w:asciiTheme="minorBidi" w:hAnsiTheme="minorBidi" w:cstheme="minorBidi"/>
                <w:color w:val="000000"/>
                <w:sz w:val="15"/>
                <w:szCs w:val="15"/>
                <w:rtl/>
                <w:lang w:eastAsia="he-IL"/>
              </w:rPr>
            </w:pPr>
            <w:r w:rsidRPr="006501FC">
              <w:rPr>
                <w:rFonts w:asciiTheme="minorBidi" w:hAnsiTheme="minorBidi" w:cstheme="minorBidi"/>
                <w:sz w:val="15"/>
                <w:szCs w:val="15"/>
                <w:rtl/>
              </w:rPr>
              <w:t>מתכונת ביאור עמ' 663-40</w:t>
            </w:r>
          </w:p>
        </w:tc>
        <w:tc>
          <w:tcPr>
            <w:tcW w:w="4050" w:type="pct"/>
            <w:gridSpan w:val="14"/>
            <w:vAlign w:val="bottom"/>
          </w:tcPr>
          <w:p w14:paraId="06458C9B" w14:textId="7190E29F" w:rsidR="003E6CF5" w:rsidRPr="00F75066" w:rsidRDefault="003E6CF5" w:rsidP="00F75066">
            <w:pPr>
              <w:spacing w:line="228" w:lineRule="auto"/>
              <w:ind w:left="85" w:right="85"/>
              <w:jc w:val="center"/>
              <w:rPr>
                <w:rFonts w:asciiTheme="minorBidi" w:hAnsiTheme="minorBidi" w:cstheme="minorBidi"/>
                <w:b/>
                <w:bCs/>
                <w:sz w:val="16"/>
                <w:szCs w:val="16"/>
                <w:u w:val="single"/>
                <w:rtl/>
              </w:rPr>
            </w:pPr>
            <w:r w:rsidRPr="00F75066">
              <w:rPr>
                <w:rFonts w:asciiTheme="minorBidi" w:hAnsiTheme="minorBidi" w:cstheme="minorBidi"/>
                <w:b/>
                <w:bCs/>
                <w:sz w:val="16"/>
                <w:szCs w:val="16"/>
                <w:u w:val="single"/>
                <w:rtl/>
              </w:rPr>
              <w:t xml:space="preserve">לשלושה חודשים שהסתיימו ביום 30 ביוני </w:t>
            </w:r>
            <w:r w:rsidRPr="00F75066">
              <w:rPr>
                <w:rFonts w:asciiTheme="minorBidi" w:hAnsiTheme="minorBidi" w:cstheme="minorBidi"/>
                <w:b/>
                <w:bCs/>
                <w:sz w:val="16"/>
                <w:szCs w:val="16"/>
                <w:u w:val="single"/>
                <w:rtl/>
              </w:rPr>
              <w:fldChar w:fldCharType="begin"/>
            </w:r>
            <w:r w:rsidRPr="00F75066">
              <w:rPr>
                <w:rFonts w:asciiTheme="minorBidi" w:hAnsiTheme="minorBidi" w:cstheme="minorBidi"/>
                <w:b/>
                <w:bCs/>
                <w:sz w:val="16"/>
                <w:szCs w:val="16"/>
                <w:u w:val="single"/>
                <w:rtl/>
              </w:rPr>
              <w:instrText xml:space="preserve"> = </w:instrText>
            </w:r>
            <w:r w:rsidRPr="00F75066">
              <w:rPr>
                <w:rFonts w:asciiTheme="minorBidi" w:hAnsiTheme="minorBidi" w:cstheme="minorBidi"/>
                <w:b/>
                <w:bCs/>
                <w:sz w:val="16"/>
                <w:szCs w:val="16"/>
                <w:u w:val="single"/>
              </w:rPr>
              <w:instrText>CY \* MERGEFORMAT</w:instrText>
            </w:r>
            <w:r w:rsidRPr="00F75066">
              <w:rPr>
                <w:rFonts w:asciiTheme="minorBidi" w:hAnsiTheme="minorBidi" w:cstheme="minorBidi"/>
                <w:b/>
                <w:bCs/>
                <w:sz w:val="16"/>
                <w:szCs w:val="16"/>
                <w:u w:val="single"/>
                <w:rtl/>
              </w:rPr>
              <w:instrText xml:space="preserve"> </w:instrText>
            </w:r>
            <w:r w:rsidRPr="00F75066">
              <w:rPr>
                <w:rFonts w:asciiTheme="minorBidi" w:hAnsiTheme="minorBidi" w:cstheme="minorBidi"/>
                <w:b/>
                <w:bCs/>
                <w:sz w:val="16"/>
                <w:szCs w:val="16"/>
                <w:u w:val="single"/>
                <w:rtl/>
              </w:rPr>
              <w:fldChar w:fldCharType="separate"/>
            </w:r>
            <w:r w:rsidR="003A584F" w:rsidRPr="00F75066">
              <w:rPr>
                <w:rFonts w:asciiTheme="minorBidi" w:hAnsiTheme="minorBidi" w:cstheme="minorBidi"/>
                <w:b/>
                <w:bCs/>
                <w:noProof/>
                <w:sz w:val="16"/>
                <w:szCs w:val="16"/>
                <w:u w:val="single"/>
                <w:rtl/>
              </w:rPr>
              <w:t>2024</w:t>
            </w:r>
            <w:r w:rsidRPr="00F75066">
              <w:rPr>
                <w:rFonts w:asciiTheme="minorBidi" w:hAnsiTheme="minorBidi" w:cstheme="minorBidi"/>
                <w:b/>
                <w:bCs/>
                <w:sz w:val="16"/>
                <w:szCs w:val="16"/>
                <w:u w:val="single"/>
                <w:rtl/>
              </w:rPr>
              <w:fldChar w:fldCharType="end"/>
            </w:r>
            <w:r w:rsidRPr="00F75066">
              <w:rPr>
                <w:rFonts w:asciiTheme="minorBidi" w:hAnsiTheme="minorBidi" w:cstheme="minorBidi" w:hint="cs"/>
                <w:b/>
                <w:bCs/>
                <w:sz w:val="16"/>
                <w:szCs w:val="16"/>
                <w:u w:val="single"/>
                <w:rtl/>
              </w:rPr>
              <w:t xml:space="preserve"> </w:t>
            </w:r>
            <w:r w:rsidRPr="00F75066">
              <w:rPr>
                <w:rFonts w:asciiTheme="minorBidi" w:hAnsiTheme="minorBidi" w:cstheme="minorBidi" w:hint="cs"/>
                <w:sz w:val="16"/>
                <w:szCs w:val="16"/>
                <w:u w:val="single"/>
                <w:rtl/>
              </w:rPr>
              <w:t>(</w:t>
            </w:r>
            <w:r w:rsidRPr="00F75066">
              <w:rPr>
                <w:rFonts w:asciiTheme="minorBidi" w:hAnsiTheme="minorBidi" w:cstheme="minorBidi"/>
                <w:sz w:val="16"/>
                <w:szCs w:val="16"/>
                <w:u w:val="single"/>
                <w:rtl/>
              </w:rPr>
              <w:t>בלתי מבוקר</w:t>
            </w:r>
            <w:r w:rsidRPr="00F75066">
              <w:rPr>
                <w:rFonts w:asciiTheme="minorBidi" w:hAnsiTheme="minorBidi" w:cstheme="minorBidi" w:hint="cs"/>
                <w:sz w:val="16"/>
                <w:szCs w:val="16"/>
                <w:u w:val="single"/>
                <w:rtl/>
              </w:rPr>
              <w:t>)</w:t>
            </w:r>
          </w:p>
        </w:tc>
      </w:tr>
      <w:tr w:rsidR="003E6CF5" w:rsidRPr="006501FC" w14:paraId="58BAEB5D" w14:textId="77777777" w:rsidTr="003E6CF5">
        <w:tc>
          <w:tcPr>
            <w:tcW w:w="950" w:type="pct"/>
            <w:vAlign w:val="bottom"/>
          </w:tcPr>
          <w:p w14:paraId="06E3E41B" w14:textId="77777777" w:rsidR="003E6CF5" w:rsidRPr="006501FC" w:rsidRDefault="003E6CF5" w:rsidP="003E6CF5">
            <w:pPr>
              <w:spacing w:line="228" w:lineRule="auto"/>
              <w:ind w:left="57" w:right="57" w:hanging="144"/>
              <w:jc w:val="center"/>
              <w:rPr>
                <w:rFonts w:asciiTheme="minorBidi" w:hAnsiTheme="minorBidi" w:cstheme="minorBidi"/>
                <w:color w:val="000000"/>
                <w:sz w:val="15"/>
                <w:szCs w:val="15"/>
                <w:rtl/>
                <w:lang w:eastAsia="he-IL"/>
              </w:rPr>
            </w:pPr>
          </w:p>
        </w:tc>
        <w:tc>
          <w:tcPr>
            <w:tcW w:w="3473" w:type="pct"/>
            <w:gridSpan w:val="12"/>
            <w:vAlign w:val="bottom"/>
          </w:tcPr>
          <w:p w14:paraId="6FB2A1D1" w14:textId="77777777" w:rsidR="003E6CF5" w:rsidRPr="006501FC" w:rsidRDefault="003E6CF5" w:rsidP="003E6CF5">
            <w:pPr>
              <w:pBdr>
                <w:bottom w:val="single" w:sz="4" w:space="1" w:color="auto"/>
              </w:pBdr>
              <w:spacing w:line="228" w:lineRule="auto"/>
              <w:ind w:left="85" w:right="85"/>
              <w:jc w:val="center"/>
              <w:rPr>
                <w:rFonts w:asciiTheme="minorBidi" w:hAnsiTheme="minorBidi" w:cstheme="minorBidi"/>
                <w:b/>
                <w:bCs/>
                <w:sz w:val="15"/>
                <w:szCs w:val="15"/>
                <w:rtl/>
              </w:rPr>
            </w:pPr>
            <w:r w:rsidRPr="006501FC">
              <w:rPr>
                <w:rFonts w:asciiTheme="minorBidi" w:hAnsiTheme="minorBidi" w:cstheme="minorBidi"/>
                <w:b/>
                <w:bCs/>
                <w:sz w:val="15"/>
                <w:szCs w:val="15"/>
                <w:rtl/>
              </w:rPr>
              <w:t>פעילות ישראל</w:t>
            </w:r>
          </w:p>
        </w:tc>
        <w:tc>
          <w:tcPr>
            <w:tcW w:w="356" w:type="pct"/>
            <w:vAlign w:val="bottom"/>
          </w:tcPr>
          <w:p w14:paraId="32F6D01A" w14:textId="77777777" w:rsidR="003E6CF5" w:rsidRPr="006501FC" w:rsidRDefault="003E6CF5" w:rsidP="003E6CF5">
            <w:pPr>
              <w:pBdr>
                <w:bottom w:val="single" w:sz="4" w:space="1" w:color="auto"/>
              </w:pBdr>
              <w:spacing w:line="228" w:lineRule="auto"/>
              <w:ind w:left="85" w:right="85"/>
              <w:jc w:val="center"/>
              <w:rPr>
                <w:rFonts w:asciiTheme="minorBidi" w:hAnsiTheme="minorBidi" w:cstheme="minorBidi"/>
                <w:b/>
                <w:bCs/>
                <w:sz w:val="15"/>
                <w:szCs w:val="15"/>
                <w:rtl/>
              </w:rPr>
            </w:pPr>
            <w:r w:rsidRPr="006501FC">
              <w:rPr>
                <w:rFonts w:asciiTheme="minorBidi" w:hAnsiTheme="minorBidi" w:cstheme="minorBidi"/>
                <w:b/>
                <w:bCs/>
                <w:sz w:val="15"/>
                <w:szCs w:val="15"/>
                <w:rtl/>
              </w:rPr>
              <w:t>פעילות חו"ל</w:t>
            </w:r>
          </w:p>
        </w:tc>
        <w:tc>
          <w:tcPr>
            <w:tcW w:w="221" w:type="pct"/>
            <w:vAlign w:val="bottom"/>
          </w:tcPr>
          <w:p w14:paraId="419A54FB" w14:textId="77777777" w:rsidR="003E6CF5" w:rsidRPr="006501FC" w:rsidRDefault="003E6CF5" w:rsidP="003E6CF5">
            <w:pPr>
              <w:spacing w:line="228" w:lineRule="auto"/>
              <w:ind w:left="85" w:right="85"/>
              <w:jc w:val="center"/>
              <w:rPr>
                <w:rFonts w:asciiTheme="minorBidi" w:hAnsiTheme="minorBidi" w:cstheme="minorBidi"/>
                <w:b/>
                <w:bCs/>
                <w:sz w:val="15"/>
                <w:szCs w:val="15"/>
                <w:rtl/>
              </w:rPr>
            </w:pPr>
          </w:p>
        </w:tc>
      </w:tr>
      <w:tr w:rsidR="003E6CF5" w:rsidRPr="006501FC" w14:paraId="4346197E" w14:textId="77777777" w:rsidTr="003E6CF5">
        <w:tc>
          <w:tcPr>
            <w:tcW w:w="950" w:type="pct"/>
            <w:vAlign w:val="bottom"/>
          </w:tcPr>
          <w:p w14:paraId="15E421E2" w14:textId="77777777" w:rsidR="003E6CF5" w:rsidRPr="006501FC" w:rsidRDefault="003E6CF5" w:rsidP="003E6CF5">
            <w:pPr>
              <w:spacing w:line="228" w:lineRule="auto"/>
              <w:ind w:left="57" w:right="57" w:hanging="144"/>
              <w:jc w:val="center"/>
              <w:rPr>
                <w:rFonts w:asciiTheme="minorBidi" w:hAnsiTheme="minorBidi" w:cstheme="minorBidi"/>
                <w:color w:val="000000"/>
                <w:sz w:val="15"/>
                <w:szCs w:val="15"/>
                <w:rtl/>
                <w:lang w:eastAsia="he-IL"/>
              </w:rPr>
            </w:pPr>
          </w:p>
        </w:tc>
        <w:tc>
          <w:tcPr>
            <w:tcW w:w="885" w:type="pct"/>
            <w:gridSpan w:val="3"/>
            <w:vAlign w:val="bottom"/>
          </w:tcPr>
          <w:p w14:paraId="6BF49F6F" w14:textId="77777777" w:rsidR="003E6CF5" w:rsidRPr="006501FC" w:rsidDel="003645D5" w:rsidRDefault="003E6CF5" w:rsidP="003E6CF5">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משקי בית</w:t>
            </w:r>
          </w:p>
        </w:tc>
        <w:tc>
          <w:tcPr>
            <w:tcW w:w="328" w:type="pct"/>
            <w:vAlign w:val="bottom"/>
          </w:tcPr>
          <w:p w14:paraId="22955857" w14:textId="77777777" w:rsidR="003E6CF5" w:rsidRPr="006501FC" w:rsidRDefault="003E6CF5" w:rsidP="003E6CF5">
            <w:pPr>
              <w:spacing w:line="228" w:lineRule="auto"/>
              <w:ind w:left="85" w:right="85"/>
              <w:jc w:val="center"/>
              <w:rPr>
                <w:rFonts w:asciiTheme="minorBidi" w:hAnsiTheme="minorBidi" w:cstheme="minorBidi"/>
                <w:sz w:val="15"/>
                <w:szCs w:val="15"/>
                <w:rtl/>
              </w:rPr>
            </w:pPr>
          </w:p>
        </w:tc>
        <w:tc>
          <w:tcPr>
            <w:tcW w:w="317" w:type="pct"/>
            <w:vAlign w:val="bottom"/>
          </w:tcPr>
          <w:p w14:paraId="566AD48D" w14:textId="77777777" w:rsidR="003E6CF5" w:rsidRPr="006501FC" w:rsidRDefault="003E6CF5" w:rsidP="003E6CF5">
            <w:pPr>
              <w:spacing w:line="228" w:lineRule="auto"/>
              <w:ind w:left="85" w:right="85"/>
              <w:jc w:val="center"/>
              <w:rPr>
                <w:rFonts w:asciiTheme="minorBidi" w:hAnsiTheme="minorBidi" w:cstheme="minorBidi"/>
                <w:sz w:val="15"/>
                <w:szCs w:val="15"/>
                <w:rtl/>
              </w:rPr>
            </w:pPr>
          </w:p>
        </w:tc>
        <w:tc>
          <w:tcPr>
            <w:tcW w:w="327" w:type="pct"/>
            <w:vAlign w:val="bottom"/>
          </w:tcPr>
          <w:p w14:paraId="5B6901FC" w14:textId="77777777" w:rsidR="003E6CF5" w:rsidRPr="006501FC" w:rsidRDefault="003E6CF5" w:rsidP="003E6CF5">
            <w:pPr>
              <w:spacing w:line="228" w:lineRule="auto"/>
              <w:ind w:left="85" w:right="85"/>
              <w:jc w:val="center"/>
              <w:rPr>
                <w:rFonts w:asciiTheme="minorBidi" w:hAnsiTheme="minorBidi" w:cstheme="minorBidi"/>
                <w:sz w:val="15"/>
                <w:szCs w:val="15"/>
                <w:rtl/>
              </w:rPr>
            </w:pPr>
          </w:p>
        </w:tc>
        <w:tc>
          <w:tcPr>
            <w:tcW w:w="299" w:type="pct"/>
            <w:gridSpan w:val="2"/>
            <w:vAlign w:val="bottom"/>
          </w:tcPr>
          <w:p w14:paraId="667DF570" w14:textId="77777777" w:rsidR="003E6CF5" w:rsidRPr="006501FC" w:rsidRDefault="003E6CF5" w:rsidP="003E6CF5">
            <w:pPr>
              <w:spacing w:line="228" w:lineRule="auto"/>
              <w:ind w:left="85" w:right="85"/>
              <w:jc w:val="center"/>
              <w:rPr>
                <w:rFonts w:asciiTheme="minorBidi" w:hAnsiTheme="minorBidi" w:cstheme="minorBidi"/>
                <w:sz w:val="15"/>
                <w:szCs w:val="15"/>
                <w:rtl/>
              </w:rPr>
            </w:pPr>
          </w:p>
        </w:tc>
        <w:tc>
          <w:tcPr>
            <w:tcW w:w="340" w:type="pct"/>
            <w:vAlign w:val="bottom"/>
          </w:tcPr>
          <w:p w14:paraId="093DC22D" w14:textId="77777777" w:rsidR="003E6CF5" w:rsidRPr="006501FC" w:rsidRDefault="003E6CF5" w:rsidP="003E6CF5">
            <w:pPr>
              <w:spacing w:line="228" w:lineRule="auto"/>
              <w:ind w:left="85" w:right="85"/>
              <w:jc w:val="center"/>
              <w:rPr>
                <w:rFonts w:asciiTheme="minorBidi" w:hAnsiTheme="minorBidi" w:cstheme="minorBidi"/>
                <w:sz w:val="15"/>
                <w:szCs w:val="15"/>
                <w:rtl/>
              </w:rPr>
            </w:pPr>
          </w:p>
        </w:tc>
        <w:tc>
          <w:tcPr>
            <w:tcW w:w="364" w:type="pct"/>
            <w:vAlign w:val="bottom"/>
          </w:tcPr>
          <w:p w14:paraId="214EEED3" w14:textId="77777777" w:rsidR="003E6CF5" w:rsidRPr="006501FC" w:rsidDel="007E5602" w:rsidRDefault="003E6CF5" w:rsidP="003E6CF5">
            <w:pPr>
              <w:spacing w:line="228" w:lineRule="auto"/>
              <w:ind w:left="85" w:right="85"/>
              <w:jc w:val="center"/>
              <w:rPr>
                <w:rFonts w:asciiTheme="minorBidi" w:hAnsiTheme="minorBidi" w:cstheme="minorBidi"/>
                <w:sz w:val="15"/>
                <w:szCs w:val="15"/>
                <w:rtl/>
              </w:rPr>
            </w:pPr>
          </w:p>
        </w:tc>
        <w:tc>
          <w:tcPr>
            <w:tcW w:w="230" w:type="pct"/>
            <w:vAlign w:val="bottom"/>
          </w:tcPr>
          <w:p w14:paraId="6C2CCA26" w14:textId="77777777" w:rsidR="003E6CF5" w:rsidRPr="006501FC" w:rsidDel="007E5602" w:rsidRDefault="003E6CF5" w:rsidP="003E6CF5">
            <w:pPr>
              <w:spacing w:line="228" w:lineRule="auto"/>
              <w:ind w:left="85" w:right="85"/>
              <w:jc w:val="center"/>
              <w:rPr>
                <w:rFonts w:asciiTheme="minorBidi" w:hAnsiTheme="minorBidi" w:cstheme="minorBidi"/>
                <w:sz w:val="15"/>
                <w:szCs w:val="15"/>
                <w:rtl/>
              </w:rPr>
            </w:pPr>
          </w:p>
        </w:tc>
        <w:tc>
          <w:tcPr>
            <w:tcW w:w="383" w:type="pct"/>
            <w:vAlign w:val="bottom"/>
          </w:tcPr>
          <w:p w14:paraId="0D54082C" w14:textId="77777777" w:rsidR="003E6CF5" w:rsidRPr="006501FC" w:rsidRDefault="003E6CF5" w:rsidP="003E6CF5">
            <w:pPr>
              <w:spacing w:line="228" w:lineRule="auto"/>
              <w:ind w:left="85" w:right="85"/>
              <w:jc w:val="center"/>
              <w:rPr>
                <w:rFonts w:asciiTheme="minorBidi" w:hAnsiTheme="minorBidi" w:cstheme="minorBidi"/>
                <w:b/>
                <w:bCs/>
                <w:sz w:val="15"/>
                <w:szCs w:val="15"/>
                <w:rtl/>
              </w:rPr>
            </w:pPr>
          </w:p>
        </w:tc>
        <w:tc>
          <w:tcPr>
            <w:tcW w:w="356" w:type="pct"/>
            <w:vAlign w:val="bottom"/>
          </w:tcPr>
          <w:p w14:paraId="6BCA36E8" w14:textId="77777777" w:rsidR="003E6CF5" w:rsidRPr="006501FC" w:rsidRDefault="003E6CF5" w:rsidP="003E6CF5">
            <w:pPr>
              <w:spacing w:line="228" w:lineRule="auto"/>
              <w:ind w:left="85" w:right="85"/>
              <w:jc w:val="center"/>
              <w:rPr>
                <w:rFonts w:asciiTheme="minorBidi" w:hAnsiTheme="minorBidi" w:cstheme="minorBidi"/>
                <w:b/>
                <w:bCs/>
                <w:sz w:val="15"/>
                <w:szCs w:val="15"/>
                <w:rtl/>
              </w:rPr>
            </w:pPr>
          </w:p>
        </w:tc>
        <w:tc>
          <w:tcPr>
            <w:tcW w:w="221" w:type="pct"/>
            <w:vAlign w:val="bottom"/>
          </w:tcPr>
          <w:p w14:paraId="47A94197" w14:textId="77777777" w:rsidR="003E6CF5" w:rsidRPr="006501FC" w:rsidRDefault="003E6CF5" w:rsidP="003E6CF5">
            <w:pPr>
              <w:spacing w:line="228" w:lineRule="auto"/>
              <w:ind w:left="85" w:right="85"/>
              <w:jc w:val="center"/>
              <w:rPr>
                <w:rFonts w:asciiTheme="minorBidi" w:hAnsiTheme="minorBidi" w:cstheme="minorBidi"/>
                <w:b/>
                <w:bCs/>
                <w:sz w:val="15"/>
                <w:szCs w:val="15"/>
                <w:rtl/>
              </w:rPr>
            </w:pPr>
          </w:p>
        </w:tc>
      </w:tr>
      <w:tr w:rsidR="00427850" w:rsidRPr="006501FC" w14:paraId="2A0C617F" w14:textId="77777777" w:rsidTr="006501FC">
        <w:tc>
          <w:tcPr>
            <w:tcW w:w="950" w:type="pct"/>
            <w:vAlign w:val="bottom"/>
          </w:tcPr>
          <w:p w14:paraId="734CD63B" w14:textId="77777777" w:rsidR="003E6CF5" w:rsidRPr="006501FC" w:rsidRDefault="003E6CF5" w:rsidP="003E6CF5">
            <w:pPr>
              <w:spacing w:line="228" w:lineRule="auto"/>
              <w:ind w:left="57" w:right="57" w:hanging="144"/>
              <w:jc w:val="center"/>
              <w:rPr>
                <w:rFonts w:asciiTheme="minorBidi" w:hAnsiTheme="minorBidi" w:cstheme="minorBidi"/>
                <w:color w:val="000000"/>
                <w:sz w:val="15"/>
                <w:szCs w:val="15"/>
                <w:rtl/>
                <w:lang w:eastAsia="he-IL"/>
              </w:rPr>
            </w:pPr>
          </w:p>
        </w:tc>
        <w:tc>
          <w:tcPr>
            <w:tcW w:w="264" w:type="pct"/>
            <w:vAlign w:val="bottom"/>
          </w:tcPr>
          <w:p w14:paraId="65C37F01" w14:textId="77777777" w:rsidR="003E6CF5" w:rsidRPr="006501FC" w:rsidRDefault="003E6CF5" w:rsidP="003E6CF5">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סה"כ</w:t>
            </w:r>
          </w:p>
        </w:tc>
        <w:tc>
          <w:tcPr>
            <w:tcW w:w="324" w:type="pct"/>
            <w:vAlign w:val="bottom"/>
          </w:tcPr>
          <w:p w14:paraId="17EC4705" w14:textId="77777777" w:rsidR="003E6CF5" w:rsidRPr="006501FC" w:rsidRDefault="003E6CF5" w:rsidP="003E6CF5">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מזה: הלוואות לדיור</w:t>
            </w:r>
          </w:p>
        </w:tc>
        <w:tc>
          <w:tcPr>
            <w:tcW w:w="297" w:type="pct"/>
            <w:vAlign w:val="bottom"/>
          </w:tcPr>
          <w:p w14:paraId="5E6D55BE" w14:textId="77777777" w:rsidR="003E6CF5" w:rsidRPr="006501FC" w:rsidRDefault="003E6CF5" w:rsidP="003E6CF5">
            <w:pPr>
              <w:pBdr>
                <w:bottom w:val="single" w:sz="4" w:space="1" w:color="auto"/>
              </w:pBdr>
              <w:spacing w:line="228" w:lineRule="auto"/>
              <w:ind w:left="85" w:right="85"/>
              <w:jc w:val="center"/>
              <w:rPr>
                <w:rFonts w:asciiTheme="minorBidi" w:hAnsiTheme="minorBidi" w:cstheme="minorBidi"/>
                <w:sz w:val="15"/>
                <w:szCs w:val="15"/>
              </w:rPr>
            </w:pPr>
            <w:r w:rsidRPr="006501FC">
              <w:rPr>
                <w:rFonts w:asciiTheme="minorBidi" w:hAnsiTheme="minorBidi" w:cstheme="minorBidi"/>
                <w:sz w:val="15"/>
                <w:szCs w:val="15"/>
                <w:rtl/>
              </w:rPr>
              <w:t>מזה: כרטיסי אשראי</w:t>
            </w:r>
          </w:p>
        </w:tc>
        <w:tc>
          <w:tcPr>
            <w:tcW w:w="328" w:type="pct"/>
            <w:vAlign w:val="bottom"/>
          </w:tcPr>
          <w:p w14:paraId="237F4C71" w14:textId="77777777" w:rsidR="003E6CF5" w:rsidRPr="006501FC" w:rsidRDefault="003E6CF5" w:rsidP="003E6CF5">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בנקאות פרטית</w:t>
            </w:r>
          </w:p>
        </w:tc>
        <w:tc>
          <w:tcPr>
            <w:tcW w:w="317" w:type="pct"/>
            <w:vAlign w:val="bottom"/>
          </w:tcPr>
          <w:p w14:paraId="65A44C89" w14:textId="77777777" w:rsidR="003E6CF5" w:rsidRPr="006501FC" w:rsidRDefault="003E6CF5" w:rsidP="003E6CF5">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עסקים קטנים וזעירים</w:t>
            </w:r>
          </w:p>
        </w:tc>
        <w:tc>
          <w:tcPr>
            <w:tcW w:w="327" w:type="pct"/>
            <w:vAlign w:val="bottom"/>
          </w:tcPr>
          <w:p w14:paraId="6B191A87" w14:textId="77777777" w:rsidR="003E6CF5" w:rsidRPr="006501FC" w:rsidRDefault="003E6CF5" w:rsidP="003E6CF5">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עסקים בינוניים</w:t>
            </w:r>
          </w:p>
        </w:tc>
        <w:tc>
          <w:tcPr>
            <w:tcW w:w="299" w:type="pct"/>
            <w:gridSpan w:val="2"/>
            <w:vAlign w:val="bottom"/>
          </w:tcPr>
          <w:p w14:paraId="3D1BA96D" w14:textId="77777777" w:rsidR="003E6CF5" w:rsidRPr="006501FC" w:rsidRDefault="003E6CF5" w:rsidP="003E6CF5">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עסקים גדולים</w:t>
            </w:r>
          </w:p>
        </w:tc>
        <w:tc>
          <w:tcPr>
            <w:tcW w:w="340" w:type="pct"/>
            <w:vAlign w:val="bottom"/>
          </w:tcPr>
          <w:p w14:paraId="693F8227" w14:textId="77777777" w:rsidR="003E6CF5" w:rsidRPr="006501FC" w:rsidRDefault="003E6CF5" w:rsidP="003E6CF5">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גופים מוסדיים</w:t>
            </w:r>
          </w:p>
        </w:tc>
        <w:tc>
          <w:tcPr>
            <w:tcW w:w="364" w:type="pct"/>
            <w:vAlign w:val="bottom"/>
          </w:tcPr>
          <w:p w14:paraId="4470FDEA" w14:textId="77777777" w:rsidR="003E6CF5" w:rsidRPr="006501FC" w:rsidRDefault="003E6CF5" w:rsidP="003E6CF5">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ניהול פיננסי</w:t>
            </w:r>
          </w:p>
        </w:tc>
        <w:tc>
          <w:tcPr>
            <w:tcW w:w="230" w:type="pct"/>
            <w:vAlign w:val="bottom"/>
          </w:tcPr>
          <w:p w14:paraId="3DC9DB7D" w14:textId="77777777" w:rsidR="003E6CF5" w:rsidRPr="006501FC" w:rsidRDefault="003E6CF5" w:rsidP="003E6CF5">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אחר</w:t>
            </w:r>
          </w:p>
        </w:tc>
        <w:tc>
          <w:tcPr>
            <w:tcW w:w="383" w:type="pct"/>
            <w:vAlign w:val="bottom"/>
          </w:tcPr>
          <w:p w14:paraId="03F63051" w14:textId="77777777" w:rsidR="003E6CF5" w:rsidRPr="006501FC" w:rsidRDefault="003E6CF5" w:rsidP="003E6CF5">
            <w:pPr>
              <w:pBdr>
                <w:bottom w:val="single" w:sz="4" w:space="1" w:color="auto"/>
              </w:pBdr>
              <w:spacing w:line="228" w:lineRule="auto"/>
              <w:ind w:left="85" w:right="85"/>
              <w:jc w:val="center"/>
              <w:rPr>
                <w:rFonts w:asciiTheme="minorBidi" w:hAnsiTheme="minorBidi" w:cstheme="minorBidi"/>
                <w:b/>
                <w:bCs/>
                <w:sz w:val="15"/>
                <w:szCs w:val="15"/>
                <w:rtl/>
              </w:rPr>
            </w:pPr>
            <w:r w:rsidRPr="006501FC">
              <w:rPr>
                <w:rFonts w:asciiTheme="minorBidi" w:hAnsiTheme="minorBidi" w:cstheme="minorBidi"/>
                <w:b/>
                <w:bCs/>
                <w:sz w:val="15"/>
                <w:szCs w:val="15"/>
                <w:rtl/>
              </w:rPr>
              <w:t>סך הכל פעילות ישראל</w:t>
            </w:r>
          </w:p>
        </w:tc>
        <w:tc>
          <w:tcPr>
            <w:tcW w:w="356" w:type="pct"/>
            <w:vAlign w:val="bottom"/>
          </w:tcPr>
          <w:p w14:paraId="16A8481A" w14:textId="77777777" w:rsidR="003E6CF5" w:rsidRPr="006501FC" w:rsidRDefault="003E6CF5" w:rsidP="003E6CF5">
            <w:pPr>
              <w:pBdr>
                <w:bottom w:val="single" w:sz="4" w:space="1" w:color="auto"/>
              </w:pBdr>
              <w:spacing w:line="228" w:lineRule="auto"/>
              <w:ind w:left="85" w:right="85"/>
              <w:jc w:val="center"/>
              <w:rPr>
                <w:rFonts w:asciiTheme="minorBidi" w:hAnsiTheme="minorBidi" w:cstheme="minorBidi"/>
                <w:b/>
                <w:bCs/>
                <w:sz w:val="15"/>
                <w:szCs w:val="15"/>
                <w:rtl/>
              </w:rPr>
            </w:pPr>
            <w:r w:rsidRPr="006501FC">
              <w:rPr>
                <w:rFonts w:asciiTheme="minorBidi" w:hAnsiTheme="minorBidi" w:cstheme="minorBidi"/>
                <w:b/>
                <w:bCs/>
                <w:sz w:val="15"/>
                <w:szCs w:val="15"/>
                <w:rtl/>
              </w:rPr>
              <w:t xml:space="preserve">סך הכל פעילות </w:t>
            </w:r>
            <w:r w:rsidRPr="006501FC">
              <w:rPr>
                <w:rFonts w:asciiTheme="minorBidi" w:hAnsiTheme="minorBidi" w:cstheme="minorBidi"/>
                <w:b/>
                <w:bCs/>
                <w:sz w:val="15"/>
                <w:szCs w:val="15"/>
                <w:rtl/>
              </w:rPr>
              <w:br/>
              <w:t>חו"ל</w:t>
            </w:r>
          </w:p>
        </w:tc>
        <w:tc>
          <w:tcPr>
            <w:tcW w:w="221" w:type="pct"/>
            <w:vAlign w:val="bottom"/>
          </w:tcPr>
          <w:p w14:paraId="50E2DB85" w14:textId="77777777" w:rsidR="003E6CF5" w:rsidRPr="006501FC" w:rsidRDefault="003E6CF5" w:rsidP="003E6CF5">
            <w:pPr>
              <w:pBdr>
                <w:bottom w:val="single" w:sz="4" w:space="1" w:color="auto"/>
              </w:pBdr>
              <w:spacing w:line="228" w:lineRule="auto"/>
              <w:ind w:left="85" w:right="85"/>
              <w:jc w:val="center"/>
              <w:rPr>
                <w:rFonts w:asciiTheme="minorBidi" w:hAnsiTheme="minorBidi" w:cstheme="minorBidi"/>
                <w:b/>
                <w:bCs/>
                <w:sz w:val="15"/>
                <w:szCs w:val="15"/>
                <w:rtl/>
              </w:rPr>
            </w:pPr>
            <w:r w:rsidRPr="006501FC">
              <w:rPr>
                <w:rFonts w:asciiTheme="minorBidi" w:hAnsiTheme="minorBidi" w:cstheme="minorBidi"/>
                <w:b/>
                <w:bCs/>
                <w:sz w:val="15"/>
                <w:szCs w:val="15"/>
                <w:rtl/>
              </w:rPr>
              <w:t>סך הכל</w:t>
            </w:r>
          </w:p>
        </w:tc>
      </w:tr>
      <w:tr w:rsidR="00427850" w:rsidRPr="006501FC" w14:paraId="7694DAD6" w14:textId="77777777" w:rsidTr="006501FC">
        <w:tc>
          <w:tcPr>
            <w:tcW w:w="950" w:type="pct"/>
            <w:vAlign w:val="bottom"/>
          </w:tcPr>
          <w:p w14:paraId="3805195B" w14:textId="77777777" w:rsidR="003E6CF5" w:rsidRPr="006501FC" w:rsidRDefault="003E6CF5" w:rsidP="003E6CF5">
            <w:pPr>
              <w:bidi w:val="0"/>
              <w:spacing w:line="60" w:lineRule="exact"/>
              <w:ind w:firstLine="1"/>
              <w:rPr>
                <w:rFonts w:asciiTheme="minorBidi" w:hAnsiTheme="minorBidi" w:cstheme="minorBidi"/>
                <w:color w:val="000000"/>
                <w:sz w:val="15"/>
                <w:szCs w:val="15"/>
                <w:rtl/>
                <w:lang w:eastAsia="he-IL"/>
              </w:rPr>
            </w:pPr>
          </w:p>
        </w:tc>
        <w:tc>
          <w:tcPr>
            <w:tcW w:w="264" w:type="pct"/>
          </w:tcPr>
          <w:p w14:paraId="36AA9831" w14:textId="77777777" w:rsidR="003E6CF5" w:rsidRPr="006501FC" w:rsidRDefault="003E6CF5" w:rsidP="003E6CF5">
            <w:pPr>
              <w:bidi w:val="0"/>
              <w:spacing w:line="60" w:lineRule="exact"/>
              <w:ind w:left="28" w:right="28"/>
              <w:rPr>
                <w:rFonts w:asciiTheme="minorBidi" w:hAnsiTheme="minorBidi" w:cstheme="minorBidi"/>
                <w:sz w:val="15"/>
                <w:szCs w:val="15"/>
                <w:rtl/>
              </w:rPr>
            </w:pPr>
          </w:p>
        </w:tc>
        <w:tc>
          <w:tcPr>
            <w:tcW w:w="324" w:type="pct"/>
          </w:tcPr>
          <w:p w14:paraId="499D6B5D" w14:textId="77777777" w:rsidR="003E6CF5" w:rsidRPr="006501FC" w:rsidRDefault="003E6CF5" w:rsidP="003E6CF5">
            <w:pPr>
              <w:bidi w:val="0"/>
              <w:spacing w:line="60" w:lineRule="exact"/>
              <w:ind w:left="28" w:right="28"/>
              <w:rPr>
                <w:rFonts w:asciiTheme="minorBidi" w:hAnsiTheme="minorBidi" w:cstheme="minorBidi"/>
                <w:sz w:val="15"/>
                <w:szCs w:val="15"/>
                <w:rtl/>
              </w:rPr>
            </w:pPr>
          </w:p>
        </w:tc>
        <w:tc>
          <w:tcPr>
            <w:tcW w:w="297" w:type="pct"/>
            <w:vAlign w:val="bottom"/>
          </w:tcPr>
          <w:p w14:paraId="372CA747" w14:textId="77777777" w:rsidR="003E6CF5" w:rsidRPr="006501FC" w:rsidRDefault="003E6CF5" w:rsidP="003E6CF5">
            <w:pPr>
              <w:bidi w:val="0"/>
              <w:spacing w:line="60" w:lineRule="exact"/>
              <w:ind w:left="28" w:right="28"/>
              <w:rPr>
                <w:rFonts w:asciiTheme="minorBidi" w:hAnsiTheme="minorBidi" w:cstheme="minorBidi"/>
                <w:sz w:val="15"/>
                <w:szCs w:val="15"/>
                <w:rtl/>
              </w:rPr>
            </w:pPr>
          </w:p>
        </w:tc>
        <w:tc>
          <w:tcPr>
            <w:tcW w:w="328" w:type="pct"/>
            <w:vAlign w:val="bottom"/>
          </w:tcPr>
          <w:p w14:paraId="471A1620" w14:textId="77777777" w:rsidR="003E6CF5" w:rsidRPr="006501FC" w:rsidRDefault="003E6CF5" w:rsidP="003E6CF5">
            <w:pPr>
              <w:bidi w:val="0"/>
              <w:spacing w:line="60" w:lineRule="exact"/>
              <w:ind w:left="28" w:right="28"/>
              <w:rPr>
                <w:rFonts w:asciiTheme="minorBidi" w:hAnsiTheme="minorBidi" w:cstheme="minorBidi"/>
                <w:sz w:val="15"/>
                <w:szCs w:val="15"/>
                <w:rtl/>
              </w:rPr>
            </w:pPr>
          </w:p>
        </w:tc>
        <w:tc>
          <w:tcPr>
            <w:tcW w:w="317" w:type="pct"/>
            <w:vAlign w:val="bottom"/>
          </w:tcPr>
          <w:p w14:paraId="4ECFA077" w14:textId="77777777" w:rsidR="003E6CF5" w:rsidRPr="006501FC" w:rsidRDefault="003E6CF5" w:rsidP="003E6CF5">
            <w:pPr>
              <w:bidi w:val="0"/>
              <w:spacing w:line="60" w:lineRule="exact"/>
              <w:ind w:left="28" w:right="28"/>
              <w:rPr>
                <w:rFonts w:asciiTheme="minorBidi" w:hAnsiTheme="minorBidi" w:cstheme="minorBidi"/>
                <w:sz w:val="15"/>
                <w:szCs w:val="15"/>
                <w:rtl/>
              </w:rPr>
            </w:pPr>
          </w:p>
        </w:tc>
        <w:tc>
          <w:tcPr>
            <w:tcW w:w="327" w:type="pct"/>
            <w:vAlign w:val="bottom"/>
          </w:tcPr>
          <w:p w14:paraId="0E4BE314" w14:textId="77777777" w:rsidR="003E6CF5" w:rsidRPr="006501FC" w:rsidRDefault="003E6CF5" w:rsidP="003E6CF5">
            <w:pPr>
              <w:bidi w:val="0"/>
              <w:spacing w:line="60" w:lineRule="exact"/>
              <w:ind w:left="28" w:right="28"/>
              <w:rPr>
                <w:rFonts w:asciiTheme="minorBidi" w:hAnsiTheme="minorBidi" w:cstheme="minorBidi"/>
                <w:sz w:val="15"/>
                <w:szCs w:val="15"/>
                <w:rtl/>
              </w:rPr>
            </w:pPr>
          </w:p>
        </w:tc>
        <w:tc>
          <w:tcPr>
            <w:tcW w:w="294" w:type="pct"/>
            <w:vAlign w:val="bottom"/>
          </w:tcPr>
          <w:p w14:paraId="105334AF" w14:textId="77777777" w:rsidR="003E6CF5" w:rsidRPr="006501FC" w:rsidRDefault="003E6CF5" w:rsidP="003E6CF5">
            <w:pPr>
              <w:bidi w:val="0"/>
              <w:spacing w:line="60" w:lineRule="exact"/>
              <w:ind w:left="28" w:right="28"/>
              <w:rPr>
                <w:rFonts w:asciiTheme="minorBidi" w:hAnsiTheme="minorBidi" w:cstheme="minorBidi"/>
                <w:sz w:val="15"/>
                <w:szCs w:val="15"/>
                <w:rtl/>
              </w:rPr>
            </w:pPr>
          </w:p>
        </w:tc>
        <w:tc>
          <w:tcPr>
            <w:tcW w:w="345" w:type="pct"/>
            <w:gridSpan w:val="2"/>
            <w:vAlign w:val="bottom"/>
          </w:tcPr>
          <w:p w14:paraId="6318DCD0" w14:textId="77777777" w:rsidR="003E6CF5" w:rsidRPr="006501FC" w:rsidRDefault="003E6CF5" w:rsidP="003E6CF5">
            <w:pPr>
              <w:bidi w:val="0"/>
              <w:spacing w:line="60" w:lineRule="exact"/>
              <w:ind w:left="28" w:right="28"/>
              <w:rPr>
                <w:rFonts w:asciiTheme="minorBidi" w:hAnsiTheme="minorBidi" w:cstheme="minorBidi"/>
                <w:sz w:val="15"/>
                <w:szCs w:val="15"/>
                <w:rtl/>
              </w:rPr>
            </w:pPr>
          </w:p>
        </w:tc>
        <w:tc>
          <w:tcPr>
            <w:tcW w:w="364" w:type="pct"/>
            <w:vAlign w:val="bottom"/>
          </w:tcPr>
          <w:p w14:paraId="4BDBFD17" w14:textId="77777777" w:rsidR="003E6CF5" w:rsidRPr="006501FC" w:rsidRDefault="003E6CF5" w:rsidP="003E6CF5">
            <w:pPr>
              <w:bidi w:val="0"/>
              <w:spacing w:line="60" w:lineRule="exact"/>
              <w:ind w:left="28" w:right="28"/>
              <w:rPr>
                <w:rFonts w:asciiTheme="minorBidi" w:hAnsiTheme="minorBidi" w:cstheme="minorBidi"/>
                <w:sz w:val="15"/>
                <w:szCs w:val="15"/>
                <w:rtl/>
              </w:rPr>
            </w:pPr>
          </w:p>
        </w:tc>
        <w:tc>
          <w:tcPr>
            <w:tcW w:w="230" w:type="pct"/>
            <w:vAlign w:val="bottom"/>
          </w:tcPr>
          <w:p w14:paraId="518939EA" w14:textId="77777777" w:rsidR="003E6CF5" w:rsidRPr="006501FC" w:rsidRDefault="003E6CF5" w:rsidP="003E6CF5">
            <w:pPr>
              <w:bidi w:val="0"/>
              <w:spacing w:line="60" w:lineRule="exact"/>
              <w:ind w:left="28" w:right="28"/>
              <w:rPr>
                <w:rFonts w:asciiTheme="minorBidi" w:hAnsiTheme="minorBidi" w:cstheme="minorBidi"/>
                <w:sz w:val="15"/>
                <w:szCs w:val="15"/>
                <w:rtl/>
              </w:rPr>
            </w:pPr>
          </w:p>
        </w:tc>
        <w:tc>
          <w:tcPr>
            <w:tcW w:w="383" w:type="pct"/>
            <w:vAlign w:val="bottom"/>
          </w:tcPr>
          <w:p w14:paraId="187FA8B1" w14:textId="77777777" w:rsidR="003E6CF5" w:rsidRPr="006501FC" w:rsidRDefault="003E6CF5" w:rsidP="003E6CF5">
            <w:pPr>
              <w:bidi w:val="0"/>
              <w:spacing w:line="60" w:lineRule="exact"/>
              <w:ind w:left="28" w:right="28"/>
              <w:rPr>
                <w:rFonts w:asciiTheme="minorBidi" w:hAnsiTheme="minorBidi" w:cstheme="minorBidi"/>
                <w:sz w:val="15"/>
                <w:szCs w:val="15"/>
                <w:rtl/>
              </w:rPr>
            </w:pPr>
          </w:p>
        </w:tc>
        <w:tc>
          <w:tcPr>
            <w:tcW w:w="356" w:type="pct"/>
            <w:vAlign w:val="bottom"/>
          </w:tcPr>
          <w:p w14:paraId="74774A3E" w14:textId="77777777" w:rsidR="003E6CF5" w:rsidRPr="006501FC" w:rsidRDefault="003E6CF5" w:rsidP="003E6CF5">
            <w:pPr>
              <w:bidi w:val="0"/>
              <w:spacing w:line="60" w:lineRule="exact"/>
              <w:ind w:left="28" w:right="28"/>
              <w:rPr>
                <w:rFonts w:asciiTheme="minorBidi" w:hAnsiTheme="minorBidi" w:cstheme="minorBidi"/>
                <w:sz w:val="15"/>
                <w:szCs w:val="15"/>
                <w:rtl/>
              </w:rPr>
            </w:pPr>
          </w:p>
        </w:tc>
        <w:tc>
          <w:tcPr>
            <w:tcW w:w="221" w:type="pct"/>
          </w:tcPr>
          <w:p w14:paraId="1F68125A" w14:textId="77777777" w:rsidR="003E6CF5" w:rsidRPr="006501FC" w:rsidRDefault="003E6CF5" w:rsidP="003E6CF5">
            <w:pPr>
              <w:bidi w:val="0"/>
              <w:spacing w:line="60" w:lineRule="exact"/>
              <w:ind w:left="28" w:right="28"/>
              <w:rPr>
                <w:rFonts w:asciiTheme="minorBidi" w:hAnsiTheme="minorBidi" w:cstheme="minorBidi"/>
                <w:sz w:val="15"/>
                <w:szCs w:val="15"/>
                <w:rtl/>
              </w:rPr>
            </w:pPr>
          </w:p>
        </w:tc>
      </w:tr>
      <w:tr w:rsidR="00427850" w:rsidRPr="006501FC" w14:paraId="3DB496FC" w14:textId="77777777" w:rsidTr="006501FC">
        <w:tc>
          <w:tcPr>
            <w:tcW w:w="950" w:type="pct"/>
            <w:vAlign w:val="bottom"/>
          </w:tcPr>
          <w:p w14:paraId="479C4345" w14:textId="77777777" w:rsidR="003E6CF5" w:rsidRPr="006501FC" w:rsidRDefault="003E6CF5" w:rsidP="003E6CF5">
            <w:pPr>
              <w:spacing w:line="241" w:lineRule="auto"/>
              <w:ind w:left="2"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הכנסות ריבית מחיצוניים</w:t>
            </w:r>
          </w:p>
        </w:tc>
        <w:tc>
          <w:tcPr>
            <w:tcW w:w="264" w:type="pct"/>
            <w:vAlign w:val="bottom"/>
          </w:tcPr>
          <w:p w14:paraId="50CD8DE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78C9969B"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68A3A148"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686F336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0D14C87F"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715C7930"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03A22A77"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7F43CCC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6714CFC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2474EB14"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346B1E8E"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0C80019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25C97C5C"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427850" w:rsidRPr="006501FC" w14:paraId="30D4B32D" w14:textId="77777777" w:rsidTr="006501FC">
        <w:tc>
          <w:tcPr>
            <w:tcW w:w="950" w:type="pct"/>
            <w:vAlign w:val="bottom"/>
          </w:tcPr>
          <w:p w14:paraId="541118EA" w14:textId="77777777" w:rsidR="003E6CF5" w:rsidRPr="006501FC" w:rsidRDefault="003E6CF5" w:rsidP="003E6CF5">
            <w:pPr>
              <w:spacing w:line="241" w:lineRule="auto"/>
              <w:ind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הוצאות ריבית מחיצוניים</w:t>
            </w:r>
          </w:p>
        </w:tc>
        <w:tc>
          <w:tcPr>
            <w:tcW w:w="264" w:type="pct"/>
            <w:vAlign w:val="bottom"/>
          </w:tcPr>
          <w:p w14:paraId="2EF59AE8"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1F447E37"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21AAC5D8"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2F74BC59"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2C6A63BF"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08815FD2"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6645AF10"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1A59E65C"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05E72055"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0ED0063E"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5D8C3630"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6707BC15"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2EC75A01"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427850" w:rsidRPr="006501FC" w14:paraId="0E29C5BB" w14:textId="77777777" w:rsidTr="006501FC">
        <w:tc>
          <w:tcPr>
            <w:tcW w:w="950" w:type="pct"/>
            <w:vAlign w:val="bottom"/>
          </w:tcPr>
          <w:p w14:paraId="6AEAA4E1" w14:textId="77777777" w:rsidR="003E6CF5" w:rsidRPr="006501FC" w:rsidRDefault="003E6CF5" w:rsidP="003E6CF5">
            <w:pPr>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הכנסות ריבית, נטו מחיצוניים</w:t>
            </w:r>
          </w:p>
        </w:tc>
        <w:tc>
          <w:tcPr>
            <w:tcW w:w="264" w:type="pct"/>
            <w:vAlign w:val="bottom"/>
          </w:tcPr>
          <w:p w14:paraId="46C43C48"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7149696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285D66B1"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223958D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0D12D17B"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25FB2231"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2E5B88B8"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0898C94C"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686F22E7"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0A9ADDE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723F7C32"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088C7A7C"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1043A551"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427850" w:rsidRPr="006501FC" w14:paraId="13843ACB" w14:textId="77777777" w:rsidTr="006501FC">
        <w:tc>
          <w:tcPr>
            <w:tcW w:w="950" w:type="pct"/>
            <w:vAlign w:val="bottom"/>
          </w:tcPr>
          <w:p w14:paraId="73935E56" w14:textId="77777777" w:rsidR="003E6CF5" w:rsidRPr="006501FC" w:rsidRDefault="003E6CF5" w:rsidP="003E6CF5">
            <w:pPr>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הכנסות ריבית, נטו בינמגזרי</w:t>
            </w:r>
          </w:p>
        </w:tc>
        <w:tc>
          <w:tcPr>
            <w:tcW w:w="264" w:type="pct"/>
            <w:vAlign w:val="bottom"/>
          </w:tcPr>
          <w:p w14:paraId="77970D6A"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78EA853A"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58060DA9"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7B46F584"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6C45C315"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4B59FFD4"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56B843F4"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7613BC9B"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6E3785C2"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631362A1"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79BB9DC4"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2DA05BE5"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7BF2250C"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w:t>
            </w:r>
          </w:p>
        </w:tc>
      </w:tr>
      <w:tr w:rsidR="00427850" w:rsidRPr="006501FC" w14:paraId="76E30A93" w14:textId="77777777" w:rsidTr="006501FC">
        <w:tc>
          <w:tcPr>
            <w:tcW w:w="950" w:type="pct"/>
            <w:vAlign w:val="bottom"/>
          </w:tcPr>
          <w:p w14:paraId="52D033EB" w14:textId="77777777" w:rsidR="003E6CF5" w:rsidRPr="006501FC" w:rsidRDefault="003E6CF5" w:rsidP="003E6CF5">
            <w:pPr>
              <w:spacing w:line="241" w:lineRule="auto"/>
              <w:ind w:firstLine="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סך הכנסות ריבית, נטו</w:t>
            </w:r>
          </w:p>
        </w:tc>
        <w:tc>
          <w:tcPr>
            <w:tcW w:w="264" w:type="pct"/>
            <w:vAlign w:val="bottom"/>
          </w:tcPr>
          <w:p w14:paraId="1864A4BA"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68102BB1"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4F690103"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0A58B685"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085ECB69"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37AE2C60"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2FE91F51"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1D6321FF"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7F1BF69E"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6ED11A6F"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66F00B15"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21E62116"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1" w:type="pct"/>
            <w:vAlign w:val="bottom"/>
          </w:tcPr>
          <w:p w14:paraId="14901785"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427850" w:rsidRPr="006501FC" w14:paraId="447DA21E" w14:textId="77777777" w:rsidTr="006501FC">
        <w:tc>
          <w:tcPr>
            <w:tcW w:w="950" w:type="pct"/>
            <w:vAlign w:val="bottom"/>
          </w:tcPr>
          <w:p w14:paraId="7F19B19E" w14:textId="77777777" w:rsidR="003E6CF5" w:rsidRPr="006501FC" w:rsidRDefault="003E6CF5" w:rsidP="003E6CF5">
            <w:pPr>
              <w:spacing w:line="80" w:lineRule="exact"/>
              <w:ind w:firstLine="1"/>
              <w:jc w:val="left"/>
              <w:rPr>
                <w:rFonts w:asciiTheme="minorBidi" w:hAnsiTheme="minorBidi" w:cstheme="minorBidi"/>
                <w:color w:val="000000"/>
                <w:sz w:val="15"/>
                <w:szCs w:val="15"/>
                <w:rtl/>
                <w:lang w:eastAsia="he-IL"/>
              </w:rPr>
            </w:pPr>
          </w:p>
        </w:tc>
        <w:tc>
          <w:tcPr>
            <w:tcW w:w="264" w:type="pct"/>
            <w:vAlign w:val="bottom"/>
          </w:tcPr>
          <w:p w14:paraId="17C0034C"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24" w:type="pct"/>
            <w:vAlign w:val="bottom"/>
          </w:tcPr>
          <w:p w14:paraId="3C4B28B1"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297" w:type="pct"/>
            <w:vAlign w:val="bottom"/>
          </w:tcPr>
          <w:p w14:paraId="2A64DCFA"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28" w:type="pct"/>
            <w:vAlign w:val="bottom"/>
          </w:tcPr>
          <w:p w14:paraId="7A7E3204"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17" w:type="pct"/>
            <w:vAlign w:val="bottom"/>
          </w:tcPr>
          <w:p w14:paraId="5651C36E"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27" w:type="pct"/>
            <w:vAlign w:val="bottom"/>
          </w:tcPr>
          <w:p w14:paraId="19C33618"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294" w:type="pct"/>
            <w:vAlign w:val="bottom"/>
          </w:tcPr>
          <w:p w14:paraId="70FEF61B"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45" w:type="pct"/>
            <w:gridSpan w:val="2"/>
            <w:vAlign w:val="bottom"/>
          </w:tcPr>
          <w:p w14:paraId="00345D47"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64" w:type="pct"/>
            <w:vAlign w:val="bottom"/>
          </w:tcPr>
          <w:p w14:paraId="73EB1CD2"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230" w:type="pct"/>
            <w:vAlign w:val="bottom"/>
          </w:tcPr>
          <w:p w14:paraId="1DBD8EB1"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83" w:type="pct"/>
            <w:vAlign w:val="bottom"/>
          </w:tcPr>
          <w:p w14:paraId="0C17DB78"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56" w:type="pct"/>
            <w:vAlign w:val="bottom"/>
          </w:tcPr>
          <w:p w14:paraId="0A4B42CB"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221" w:type="pct"/>
            <w:vAlign w:val="bottom"/>
          </w:tcPr>
          <w:p w14:paraId="044E2211"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r>
      <w:tr w:rsidR="00427850" w:rsidRPr="006501FC" w14:paraId="4AC77105" w14:textId="77777777" w:rsidTr="006501FC">
        <w:tc>
          <w:tcPr>
            <w:tcW w:w="950" w:type="pct"/>
            <w:vAlign w:val="bottom"/>
          </w:tcPr>
          <w:p w14:paraId="22C13EBA" w14:textId="77777777" w:rsidR="003E6CF5" w:rsidRPr="006501FC" w:rsidRDefault="003E6CF5" w:rsidP="003E6CF5">
            <w:pPr>
              <w:spacing w:line="241" w:lineRule="auto"/>
              <w:ind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הכנסות שאינן מריבית:</w:t>
            </w:r>
          </w:p>
        </w:tc>
        <w:tc>
          <w:tcPr>
            <w:tcW w:w="264" w:type="pct"/>
            <w:vAlign w:val="bottom"/>
          </w:tcPr>
          <w:p w14:paraId="6A9039A3"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24" w:type="pct"/>
            <w:vAlign w:val="bottom"/>
          </w:tcPr>
          <w:p w14:paraId="3A001AC6"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297" w:type="pct"/>
            <w:vAlign w:val="bottom"/>
          </w:tcPr>
          <w:p w14:paraId="311001BC"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28" w:type="pct"/>
            <w:vAlign w:val="bottom"/>
          </w:tcPr>
          <w:p w14:paraId="4E1F610A"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17" w:type="pct"/>
            <w:vAlign w:val="bottom"/>
          </w:tcPr>
          <w:p w14:paraId="24DA8B03"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27" w:type="pct"/>
            <w:vAlign w:val="bottom"/>
          </w:tcPr>
          <w:p w14:paraId="6F13A56A"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294" w:type="pct"/>
            <w:vAlign w:val="bottom"/>
          </w:tcPr>
          <w:p w14:paraId="5FBDBD9B"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45" w:type="pct"/>
            <w:gridSpan w:val="2"/>
            <w:vAlign w:val="bottom"/>
          </w:tcPr>
          <w:p w14:paraId="0D1FC4F2"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64" w:type="pct"/>
            <w:vAlign w:val="bottom"/>
          </w:tcPr>
          <w:p w14:paraId="16D31F08"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230" w:type="pct"/>
            <w:vAlign w:val="bottom"/>
          </w:tcPr>
          <w:p w14:paraId="3C5A2257"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83" w:type="pct"/>
            <w:vAlign w:val="bottom"/>
          </w:tcPr>
          <w:p w14:paraId="68E4326E"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56" w:type="pct"/>
            <w:vAlign w:val="bottom"/>
          </w:tcPr>
          <w:p w14:paraId="156F831A"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221" w:type="pct"/>
            <w:vAlign w:val="bottom"/>
          </w:tcPr>
          <w:p w14:paraId="72052774"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r>
      <w:tr w:rsidR="00427850" w:rsidRPr="006501FC" w14:paraId="0D403715" w14:textId="77777777" w:rsidTr="006501FC">
        <w:tc>
          <w:tcPr>
            <w:tcW w:w="950" w:type="pct"/>
            <w:vAlign w:val="bottom"/>
          </w:tcPr>
          <w:p w14:paraId="6047AB99" w14:textId="77777777" w:rsidR="003E6CF5" w:rsidRPr="006501FC" w:rsidRDefault="003E6CF5" w:rsidP="003E6CF5">
            <w:pPr>
              <w:spacing w:line="241" w:lineRule="auto"/>
              <w:ind w:left="257"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מחיצוניים</w:t>
            </w:r>
          </w:p>
        </w:tc>
        <w:tc>
          <w:tcPr>
            <w:tcW w:w="264" w:type="pct"/>
            <w:vAlign w:val="bottom"/>
          </w:tcPr>
          <w:p w14:paraId="388F042B"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619FBB90"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47EB6A44"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2D587C3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36A1DE5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7ADC58D8"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7249461C"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001392E4"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09F6EBE7"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60C4C3C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77987085"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2E219F45"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5AE7E4C5"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427850" w:rsidRPr="006501FC" w14:paraId="29C7F595" w14:textId="77777777" w:rsidTr="006501FC">
        <w:tc>
          <w:tcPr>
            <w:tcW w:w="950" w:type="pct"/>
            <w:vAlign w:val="bottom"/>
          </w:tcPr>
          <w:p w14:paraId="738DC81D" w14:textId="77777777" w:rsidR="003E6CF5" w:rsidRPr="006501FC" w:rsidRDefault="003E6CF5" w:rsidP="003E6CF5">
            <w:pPr>
              <w:spacing w:line="241" w:lineRule="auto"/>
              <w:ind w:left="257"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בינמגזרי</w:t>
            </w:r>
          </w:p>
        </w:tc>
        <w:tc>
          <w:tcPr>
            <w:tcW w:w="264" w:type="pct"/>
            <w:vAlign w:val="bottom"/>
          </w:tcPr>
          <w:p w14:paraId="2142F62D"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20EAD6B8"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6C3C176D"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585B8E7B"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4B75F573"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075624C8"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0ECDC4A2"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06FD2245"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38185302"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1835586F"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518E5298"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5C037ADE"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0C8D74D6"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w:t>
            </w:r>
          </w:p>
        </w:tc>
      </w:tr>
      <w:tr w:rsidR="00427850" w:rsidRPr="006501FC" w14:paraId="628ED585" w14:textId="77777777" w:rsidTr="006501FC">
        <w:tc>
          <w:tcPr>
            <w:tcW w:w="950" w:type="pct"/>
            <w:vAlign w:val="bottom"/>
          </w:tcPr>
          <w:p w14:paraId="772525AC" w14:textId="77777777" w:rsidR="003E6CF5" w:rsidRPr="006501FC" w:rsidRDefault="003E6CF5" w:rsidP="003E6CF5">
            <w:pPr>
              <w:spacing w:line="241" w:lineRule="auto"/>
              <w:ind w:firstLine="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סך הכנסות שאינן מריבית</w:t>
            </w:r>
          </w:p>
        </w:tc>
        <w:tc>
          <w:tcPr>
            <w:tcW w:w="264" w:type="pct"/>
            <w:vAlign w:val="bottom"/>
          </w:tcPr>
          <w:p w14:paraId="672341CD" w14:textId="77777777" w:rsidR="003E6CF5" w:rsidRPr="006501FC" w:rsidRDefault="003E6CF5" w:rsidP="00A13EFD">
            <w:pPr>
              <w:pBdr>
                <w:bottom w:val="single" w:sz="8"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4EA03B4D"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740FCD0A"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1D39F132"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52E6C8AE"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7AAD99EB"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70F6BCFC"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44BD100D"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241D89FB"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1C43320F"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58E4350D"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45D41820"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1" w:type="pct"/>
            <w:vAlign w:val="bottom"/>
          </w:tcPr>
          <w:p w14:paraId="74AE6CBF"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427850" w:rsidRPr="006501FC" w14:paraId="1938C904" w14:textId="77777777" w:rsidTr="006501FC">
        <w:tc>
          <w:tcPr>
            <w:tcW w:w="950" w:type="pct"/>
            <w:vAlign w:val="bottom"/>
          </w:tcPr>
          <w:p w14:paraId="1CA22C28" w14:textId="77777777" w:rsidR="003E6CF5" w:rsidRPr="006501FC" w:rsidRDefault="003E6CF5" w:rsidP="003E6CF5">
            <w:pPr>
              <w:spacing w:line="241" w:lineRule="auto"/>
              <w:ind w:firstLine="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סך הכנסות</w:t>
            </w:r>
          </w:p>
        </w:tc>
        <w:tc>
          <w:tcPr>
            <w:tcW w:w="264" w:type="pct"/>
            <w:vAlign w:val="bottom"/>
          </w:tcPr>
          <w:p w14:paraId="1484B008"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4161F0E8"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6563D17D"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4168A71D"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66DFE34B"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361F9355"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7463EA9C"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382C4E7F"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16CC204D"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2FFFEC5C"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081B5CB8"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1CC0A369"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1" w:type="pct"/>
            <w:vAlign w:val="bottom"/>
          </w:tcPr>
          <w:p w14:paraId="2549BF33" w14:textId="77777777" w:rsidR="003E6CF5" w:rsidRPr="006501FC" w:rsidRDefault="003E6CF5" w:rsidP="00A13EFD">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427850" w:rsidRPr="006501FC" w14:paraId="4660E821" w14:textId="77777777" w:rsidTr="006501FC">
        <w:tc>
          <w:tcPr>
            <w:tcW w:w="950" w:type="pct"/>
            <w:vAlign w:val="bottom"/>
          </w:tcPr>
          <w:p w14:paraId="32846EDA" w14:textId="77777777" w:rsidR="003E6CF5" w:rsidRPr="006501FC" w:rsidRDefault="003E6CF5" w:rsidP="003E6CF5">
            <w:pPr>
              <w:spacing w:line="80" w:lineRule="exact"/>
              <w:ind w:firstLine="1"/>
              <w:jc w:val="left"/>
              <w:rPr>
                <w:rFonts w:asciiTheme="minorBidi" w:hAnsiTheme="minorBidi" w:cstheme="minorBidi"/>
                <w:color w:val="000000"/>
                <w:sz w:val="15"/>
                <w:szCs w:val="15"/>
                <w:rtl/>
                <w:lang w:eastAsia="he-IL"/>
              </w:rPr>
            </w:pPr>
          </w:p>
        </w:tc>
        <w:tc>
          <w:tcPr>
            <w:tcW w:w="264" w:type="pct"/>
            <w:vAlign w:val="bottom"/>
          </w:tcPr>
          <w:p w14:paraId="1D9D7737"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24" w:type="pct"/>
            <w:vAlign w:val="bottom"/>
          </w:tcPr>
          <w:p w14:paraId="3CF3408A"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297" w:type="pct"/>
            <w:vAlign w:val="bottom"/>
          </w:tcPr>
          <w:p w14:paraId="5AFFB384"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28" w:type="pct"/>
            <w:vAlign w:val="bottom"/>
          </w:tcPr>
          <w:p w14:paraId="1E96B070"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17" w:type="pct"/>
            <w:vAlign w:val="bottom"/>
          </w:tcPr>
          <w:p w14:paraId="15FB783B"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27" w:type="pct"/>
            <w:vAlign w:val="bottom"/>
          </w:tcPr>
          <w:p w14:paraId="6B40241B"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294" w:type="pct"/>
            <w:vAlign w:val="bottom"/>
          </w:tcPr>
          <w:p w14:paraId="16B61440"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45" w:type="pct"/>
            <w:gridSpan w:val="2"/>
            <w:vAlign w:val="bottom"/>
          </w:tcPr>
          <w:p w14:paraId="62339937"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64" w:type="pct"/>
            <w:vAlign w:val="bottom"/>
          </w:tcPr>
          <w:p w14:paraId="7089B522"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230" w:type="pct"/>
            <w:vAlign w:val="bottom"/>
          </w:tcPr>
          <w:p w14:paraId="6DF6D79A"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83" w:type="pct"/>
            <w:vAlign w:val="bottom"/>
          </w:tcPr>
          <w:p w14:paraId="31BA31B2"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56" w:type="pct"/>
            <w:vAlign w:val="bottom"/>
          </w:tcPr>
          <w:p w14:paraId="4F115227"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221" w:type="pct"/>
            <w:vAlign w:val="bottom"/>
          </w:tcPr>
          <w:p w14:paraId="66898FDC"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r>
      <w:tr w:rsidR="00427850" w:rsidRPr="006501FC" w14:paraId="0B8C3CD4" w14:textId="77777777" w:rsidTr="006501FC">
        <w:tc>
          <w:tcPr>
            <w:tcW w:w="950" w:type="pct"/>
            <w:vAlign w:val="bottom"/>
          </w:tcPr>
          <w:p w14:paraId="0EB60179" w14:textId="77777777" w:rsidR="003E6CF5" w:rsidRPr="006501FC" w:rsidRDefault="003E6CF5" w:rsidP="003E6CF5">
            <w:pPr>
              <w:spacing w:line="241" w:lineRule="auto"/>
              <w:ind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הוצאות בגין הפסדי אשראי</w:t>
            </w:r>
          </w:p>
        </w:tc>
        <w:tc>
          <w:tcPr>
            <w:tcW w:w="264" w:type="pct"/>
            <w:vAlign w:val="bottom"/>
          </w:tcPr>
          <w:p w14:paraId="77633D5F"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35364B1E"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7EEC7D0F"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5186AD5F"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36B5F858"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7E0511D8"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238A8F6B"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15ACD0C5"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21D1C154"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06F269FE"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1CD8EAC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48B37BEE"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28A636AC"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427850" w:rsidRPr="006501FC" w14:paraId="47AE3800" w14:textId="77777777" w:rsidTr="006501FC">
        <w:tc>
          <w:tcPr>
            <w:tcW w:w="950" w:type="pct"/>
            <w:vAlign w:val="bottom"/>
          </w:tcPr>
          <w:p w14:paraId="1E064A6A" w14:textId="77777777" w:rsidR="003E6CF5" w:rsidRPr="006501FC" w:rsidRDefault="003E6CF5" w:rsidP="003E6CF5">
            <w:pPr>
              <w:spacing w:line="241" w:lineRule="auto"/>
              <w:ind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הוצאות תפעוליות ואחרות:</w:t>
            </w:r>
          </w:p>
        </w:tc>
        <w:tc>
          <w:tcPr>
            <w:tcW w:w="264" w:type="pct"/>
            <w:vAlign w:val="bottom"/>
          </w:tcPr>
          <w:p w14:paraId="72617D3A"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24" w:type="pct"/>
            <w:vAlign w:val="bottom"/>
          </w:tcPr>
          <w:p w14:paraId="210E072B"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297" w:type="pct"/>
            <w:vAlign w:val="bottom"/>
          </w:tcPr>
          <w:p w14:paraId="3235C215"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28" w:type="pct"/>
            <w:vAlign w:val="bottom"/>
          </w:tcPr>
          <w:p w14:paraId="536361B7"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17" w:type="pct"/>
            <w:vAlign w:val="bottom"/>
          </w:tcPr>
          <w:p w14:paraId="26A88B44"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27" w:type="pct"/>
            <w:vAlign w:val="bottom"/>
          </w:tcPr>
          <w:p w14:paraId="2AF364C1"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294" w:type="pct"/>
            <w:vAlign w:val="bottom"/>
          </w:tcPr>
          <w:p w14:paraId="566D0AAA"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45" w:type="pct"/>
            <w:gridSpan w:val="2"/>
            <w:vAlign w:val="bottom"/>
          </w:tcPr>
          <w:p w14:paraId="303F11B2"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64" w:type="pct"/>
            <w:vAlign w:val="bottom"/>
          </w:tcPr>
          <w:p w14:paraId="7E96AFC1"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230" w:type="pct"/>
            <w:vAlign w:val="bottom"/>
          </w:tcPr>
          <w:p w14:paraId="75E17400"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83" w:type="pct"/>
            <w:vAlign w:val="bottom"/>
          </w:tcPr>
          <w:p w14:paraId="652C0BA0"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56" w:type="pct"/>
            <w:vAlign w:val="bottom"/>
          </w:tcPr>
          <w:p w14:paraId="65C6DB0E"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221" w:type="pct"/>
            <w:vAlign w:val="bottom"/>
          </w:tcPr>
          <w:p w14:paraId="18CE9170"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r>
      <w:tr w:rsidR="00427850" w:rsidRPr="006501FC" w14:paraId="70606488" w14:textId="77777777" w:rsidTr="006501FC">
        <w:tc>
          <w:tcPr>
            <w:tcW w:w="950" w:type="pct"/>
            <w:vAlign w:val="bottom"/>
          </w:tcPr>
          <w:p w14:paraId="01A72854" w14:textId="77777777" w:rsidR="003E6CF5" w:rsidRPr="006501FC" w:rsidRDefault="003E6CF5" w:rsidP="003E6CF5">
            <w:pPr>
              <w:spacing w:line="241" w:lineRule="auto"/>
              <w:ind w:left="271"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לחיצוניים</w:t>
            </w:r>
          </w:p>
        </w:tc>
        <w:tc>
          <w:tcPr>
            <w:tcW w:w="264" w:type="pct"/>
            <w:vAlign w:val="bottom"/>
          </w:tcPr>
          <w:p w14:paraId="04C2C735"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3F60E192"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02BA6E8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452FB68B"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527AC97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4B90ACD5"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08433ADA"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16357E03"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1D2FF123"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5342A075"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3E12930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69A03ECC"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4396199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427850" w:rsidRPr="006501FC" w14:paraId="18E6EF31" w14:textId="77777777" w:rsidTr="006501FC">
        <w:tc>
          <w:tcPr>
            <w:tcW w:w="950" w:type="pct"/>
            <w:vAlign w:val="bottom"/>
          </w:tcPr>
          <w:p w14:paraId="3CFDBBD4" w14:textId="77777777" w:rsidR="003E6CF5" w:rsidRPr="006501FC" w:rsidRDefault="003E6CF5" w:rsidP="003E6CF5">
            <w:pPr>
              <w:spacing w:line="241" w:lineRule="auto"/>
              <w:ind w:left="271"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בינמגזרי</w:t>
            </w:r>
          </w:p>
        </w:tc>
        <w:tc>
          <w:tcPr>
            <w:tcW w:w="264" w:type="pct"/>
            <w:vAlign w:val="bottom"/>
          </w:tcPr>
          <w:p w14:paraId="6D1B88C2"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545A6506"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2AE27C69"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4DCB8AD5"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1499DA2F"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6D53F784"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494B76DE"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6F1BFC7C"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1FB21916"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0E79142C"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560791C8"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7B708F87"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283F2122"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w:t>
            </w:r>
          </w:p>
        </w:tc>
      </w:tr>
      <w:tr w:rsidR="00427850" w:rsidRPr="006501FC" w14:paraId="78802410" w14:textId="77777777" w:rsidTr="006501FC">
        <w:tc>
          <w:tcPr>
            <w:tcW w:w="950" w:type="pct"/>
            <w:vAlign w:val="bottom"/>
          </w:tcPr>
          <w:p w14:paraId="6E72FC78" w14:textId="77777777" w:rsidR="003E6CF5" w:rsidRPr="006501FC" w:rsidRDefault="003E6CF5" w:rsidP="003E6CF5">
            <w:pPr>
              <w:spacing w:line="241" w:lineRule="auto"/>
              <w:ind w:firstLine="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סך הוצאות תפעוליות ואחרות</w:t>
            </w:r>
          </w:p>
        </w:tc>
        <w:tc>
          <w:tcPr>
            <w:tcW w:w="264" w:type="pct"/>
            <w:vAlign w:val="bottom"/>
          </w:tcPr>
          <w:p w14:paraId="4C4C8759"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2EF12FA2"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75BD2C92"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7563CB41"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10798450"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20D5A2BE"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3ED116E9"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7668B1D9"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297BBD6E"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0B1EF882"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3E305B02"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60203603"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1" w:type="pct"/>
            <w:vAlign w:val="bottom"/>
          </w:tcPr>
          <w:p w14:paraId="4EC50C92"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427850" w:rsidRPr="006501FC" w14:paraId="4FD4EE7D" w14:textId="77777777" w:rsidTr="006501FC">
        <w:tc>
          <w:tcPr>
            <w:tcW w:w="950" w:type="pct"/>
            <w:vAlign w:val="bottom"/>
          </w:tcPr>
          <w:p w14:paraId="66F470A6" w14:textId="77777777" w:rsidR="003E6CF5" w:rsidRPr="006501FC" w:rsidRDefault="003E6CF5" w:rsidP="003E6CF5">
            <w:pPr>
              <w:spacing w:line="80" w:lineRule="exact"/>
              <w:ind w:firstLine="1"/>
              <w:jc w:val="left"/>
              <w:rPr>
                <w:rFonts w:asciiTheme="minorBidi" w:hAnsiTheme="minorBidi" w:cstheme="minorBidi"/>
                <w:color w:val="000000"/>
                <w:sz w:val="15"/>
                <w:szCs w:val="15"/>
                <w:rtl/>
                <w:lang w:eastAsia="he-IL"/>
              </w:rPr>
            </w:pPr>
          </w:p>
        </w:tc>
        <w:tc>
          <w:tcPr>
            <w:tcW w:w="264" w:type="pct"/>
            <w:vAlign w:val="bottom"/>
          </w:tcPr>
          <w:p w14:paraId="4A926D71"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24" w:type="pct"/>
            <w:vAlign w:val="bottom"/>
          </w:tcPr>
          <w:p w14:paraId="6E7D596C"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297" w:type="pct"/>
            <w:vAlign w:val="bottom"/>
          </w:tcPr>
          <w:p w14:paraId="59DC681D"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28" w:type="pct"/>
            <w:vAlign w:val="bottom"/>
          </w:tcPr>
          <w:p w14:paraId="7792FF51"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17" w:type="pct"/>
            <w:vAlign w:val="bottom"/>
          </w:tcPr>
          <w:p w14:paraId="5D59BE03"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27" w:type="pct"/>
            <w:vAlign w:val="bottom"/>
          </w:tcPr>
          <w:p w14:paraId="56DB4F08"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294" w:type="pct"/>
            <w:vAlign w:val="bottom"/>
          </w:tcPr>
          <w:p w14:paraId="3673CCDC"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45" w:type="pct"/>
            <w:gridSpan w:val="2"/>
            <w:vAlign w:val="bottom"/>
          </w:tcPr>
          <w:p w14:paraId="1386DD6E"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64" w:type="pct"/>
            <w:vAlign w:val="bottom"/>
          </w:tcPr>
          <w:p w14:paraId="37E97FB5"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230" w:type="pct"/>
            <w:vAlign w:val="bottom"/>
          </w:tcPr>
          <w:p w14:paraId="13D505D1"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83" w:type="pct"/>
            <w:vAlign w:val="bottom"/>
          </w:tcPr>
          <w:p w14:paraId="6E4CEC34"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356" w:type="pct"/>
            <w:vAlign w:val="bottom"/>
          </w:tcPr>
          <w:p w14:paraId="180E7975"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c>
          <w:tcPr>
            <w:tcW w:w="221" w:type="pct"/>
            <w:vAlign w:val="bottom"/>
          </w:tcPr>
          <w:p w14:paraId="7E564D00" w14:textId="77777777" w:rsidR="003E6CF5" w:rsidRPr="006501FC" w:rsidRDefault="003E6CF5" w:rsidP="003E6CF5">
            <w:pPr>
              <w:spacing w:line="80" w:lineRule="exact"/>
              <w:ind w:left="85" w:right="85"/>
              <w:jc w:val="left"/>
              <w:rPr>
                <w:rFonts w:asciiTheme="minorBidi" w:hAnsiTheme="minorBidi" w:cstheme="minorBidi"/>
                <w:sz w:val="15"/>
                <w:szCs w:val="15"/>
                <w:rtl/>
              </w:rPr>
            </w:pPr>
          </w:p>
        </w:tc>
      </w:tr>
      <w:tr w:rsidR="00427850" w:rsidRPr="006501FC" w14:paraId="7E1B00E2" w14:textId="77777777" w:rsidTr="006501FC">
        <w:tc>
          <w:tcPr>
            <w:tcW w:w="950" w:type="pct"/>
            <w:vAlign w:val="bottom"/>
          </w:tcPr>
          <w:p w14:paraId="36CE040F" w14:textId="77777777" w:rsidR="003E6CF5" w:rsidRPr="006501FC" w:rsidRDefault="003E6CF5" w:rsidP="003E6CF5">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רווח לפני מסים</w:t>
            </w:r>
          </w:p>
        </w:tc>
        <w:tc>
          <w:tcPr>
            <w:tcW w:w="264" w:type="pct"/>
            <w:vAlign w:val="bottom"/>
          </w:tcPr>
          <w:p w14:paraId="187E7457"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4641EC9F"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6A1F6062"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50C17A86"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2986483D"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1F8E12AC"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286F010A"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4587AB15"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00BB254A"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26924780"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54CDB525"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72AB21E5"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1" w:type="pct"/>
            <w:vAlign w:val="bottom"/>
          </w:tcPr>
          <w:p w14:paraId="2A40416F"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427850" w:rsidRPr="006501FC" w14:paraId="3D3DC734" w14:textId="77777777" w:rsidTr="006501FC">
        <w:tc>
          <w:tcPr>
            <w:tcW w:w="950" w:type="pct"/>
            <w:vAlign w:val="bottom"/>
          </w:tcPr>
          <w:p w14:paraId="6CFDDBD4" w14:textId="77777777" w:rsidR="003E6CF5" w:rsidRPr="006501FC" w:rsidRDefault="003E6CF5" w:rsidP="003E6CF5">
            <w:pPr>
              <w:spacing w:line="241" w:lineRule="auto"/>
              <w:ind w:left="172" w:hanging="17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הפרשה למסים על הרווח</w:t>
            </w:r>
          </w:p>
        </w:tc>
        <w:tc>
          <w:tcPr>
            <w:tcW w:w="264" w:type="pct"/>
            <w:vAlign w:val="bottom"/>
          </w:tcPr>
          <w:p w14:paraId="61E74C6C"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016BC78B"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1ED2E016"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1AEB7580"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560775BF"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773CF218"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782072CF"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0FE16537"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54F4A5C1"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4887AE7C"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183DAEEE"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116C98CF"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0E2F0775"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427850" w:rsidRPr="006501FC" w14:paraId="3EA7B999" w14:textId="77777777" w:rsidTr="006501FC">
        <w:tc>
          <w:tcPr>
            <w:tcW w:w="950" w:type="pct"/>
            <w:vAlign w:val="bottom"/>
          </w:tcPr>
          <w:p w14:paraId="060FFC79" w14:textId="77777777" w:rsidR="003E6CF5" w:rsidRPr="006501FC" w:rsidRDefault="003E6CF5" w:rsidP="003E6CF5">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רווח לאחר מסים</w:t>
            </w:r>
          </w:p>
        </w:tc>
        <w:tc>
          <w:tcPr>
            <w:tcW w:w="264" w:type="pct"/>
            <w:vAlign w:val="bottom"/>
          </w:tcPr>
          <w:p w14:paraId="2E55549F"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1A9C271D"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739544B8"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407A4818"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2E2CA74C"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021ADBA4"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5B68CB90"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5E563ADD"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2D1D222D"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51B4F5C8"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2645E6E7"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62B7FF50"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1" w:type="pct"/>
            <w:vAlign w:val="bottom"/>
          </w:tcPr>
          <w:p w14:paraId="47CA8045" w14:textId="77777777" w:rsidR="003E6CF5" w:rsidRPr="006501FC" w:rsidRDefault="003E6CF5" w:rsidP="003E6CF5">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427850" w:rsidRPr="006501FC" w14:paraId="6C2398AC" w14:textId="77777777" w:rsidTr="006501FC">
        <w:tc>
          <w:tcPr>
            <w:tcW w:w="950" w:type="pct"/>
            <w:vAlign w:val="bottom"/>
          </w:tcPr>
          <w:p w14:paraId="4387F6F4" w14:textId="77777777" w:rsidR="003E6CF5" w:rsidRPr="006501FC" w:rsidRDefault="003E6CF5" w:rsidP="00471EB3">
            <w:pPr>
              <w:spacing w:line="241" w:lineRule="auto"/>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 xml:space="preserve">חלקו של התאגיד הבנקאי </w:t>
            </w:r>
            <w:r w:rsidRPr="006501FC">
              <w:rPr>
                <w:rFonts w:asciiTheme="minorBidi" w:hAnsiTheme="minorBidi" w:cstheme="minorBidi" w:hint="cs"/>
                <w:color w:val="000000"/>
                <w:sz w:val="15"/>
                <w:szCs w:val="15"/>
                <w:rtl/>
                <w:lang w:eastAsia="he-IL"/>
              </w:rPr>
              <w:t>ב</w:t>
            </w:r>
            <w:r w:rsidRPr="006501FC">
              <w:rPr>
                <w:rFonts w:asciiTheme="minorBidi" w:hAnsiTheme="minorBidi" w:cstheme="minorBidi"/>
                <w:color w:val="000000"/>
                <w:sz w:val="15"/>
                <w:szCs w:val="15"/>
                <w:rtl/>
                <w:lang w:eastAsia="he-IL"/>
              </w:rPr>
              <w:t xml:space="preserve">רווחים של חברות כלולות </w:t>
            </w:r>
          </w:p>
        </w:tc>
        <w:tc>
          <w:tcPr>
            <w:tcW w:w="264" w:type="pct"/>
            <w:vAlign w:val="bottom"/>
          </w:tcPr>
          <w:p w14:paraId="5219B659"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3F7547A7"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114AAAE9"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788B6CEE"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17DEE0D2"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5C63A397"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7587C6BF"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74E086FE"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64A7B6FB"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1123AD01"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20B0AF78"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35485999"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33A2159B" w14:textId="77777777" w:rsidR="003E6CF5" w:rsidRPr="006501FC" w:rsidRDefault="003E6CF5" w:rsidP="003E6CF5">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427850" w:rsidRPr="006501FC" w14:paraId="5023DA79" w14:textId="77777777" w:rsidTr="006501FC">
        <w:tc>
          <w:tcPr>
            <w:tcW w:w="950" w:type="pct"/>
            <w:vAlign w:val="bottom"/>
          </w:tcPr>
          <w:p w14:paraId="2CA4F59F" w14:textId="77777777" w:rsidR="003E6CF5" w:rsidRPr="006501FC" w:rsidRDefault="003E6CF5" w:rsidP="00471EB3">
            <w:pPr>
              <w:spacing w:line="241" w:lineRule="auto"/>
              <w:jc w:val="left"/>
              <w:rPr>
                <w:color w:val="000000"/>
                <w:sz w:val="15"/>
                <w:szCs w:val="15"/>
                <w:rtl/>
                <w:lang w:eastAsia="he-IL"/>
              </w:rPr>
            </w:pPr>
            <w:r w:rsidRPr="006501FC">
              <w:rPr>
                <w:rFonts w:hint="eastAsia"/>
                <w:color w:val="000000"/>
                <w:sz w:val="15"/>
                <w:szCs w:val="15"/>
                <w:rtl/>
                <w:lang w:eastAsia="he-IL"/>
              </w:rPr>
              <w:t>רווח</w:t>
            </w:r>
            <w:r w:rsidRPr="006501FC">
              <w:rPr>
                <w:color w:val="000000"/>
                <w:sz w:val="15"/>
                <w:szCs w:val="15"/>
                <w:rtl/>
                <w:lang w:eastAsia="he-IL"/>
              </w:rPr>
              <w:t xml:space="preserve"> </w:t>
            </w:r>
            <w:r w:rsidRPr="006501FC">
              <w:rPr>
                <w:rFonts w:hint="eastAsia"/>
                <w:color w:val="000000"/>
                <w:sz w:val="15"/>
                <w:szCs w:val="15"/>
                <w:rtl/>
                <w:lang w:eastAsia="he-IL"/>
              </w:rPr>
              <w:t>נקי</w:t>
            </w:r>
            <w:r w:rsidRPr="006501FC">
              <w:rPr>
                <w:color w:val="000000"/>
                <w:sz w:val="15"/>
                <w:szCs w:val="15"/>
                <w:rtl/>
                <w:lang w:eastAsia="he-IL"/>
              </w:rPr>
              <w:t xml:space="preserve"> </w:t>
            </w:r>
            <w:r w:rsidRPr="006501FC">
              <w:rPr>
                <w:rFonts w:hint="eastAsia"/>
                <w:color w:val="000000"/>
                <w:sz w:val="15"/>
                <w:szCs w:val="15"/>
                <w:rtl/>
                <w:lang w:eastAsia="he-IL"/>
              </w:rPr>
              <w:t>לפני</w:t>
            </w:r>
            <w:r w:rsidRPr="006501FC">
              <w:rPr>
                <w:color w:val="000000"/>
                <w:sz w:val="15"/>
                <w:szCs w:val="15"/>
                <w:rtl/>
                <w:lang w:eastAsia="he-IL"/>
              </w:rPr>
              <w:t xml:space="preserve"> </w:t>
            </w:r>
            <w:r w:rsidRPr="006501FC">
              <w:rPr>
                <w:rFonts w:hint="eastAsia"/>
                <w:color w:val="000000"/>
                <w:sz w:val="15"/>
                <w:szCs w:val="15"/>
                <w:rtl/>
                <w:lang w:eastAsia="he-IL"/>
              </w:rPr>
              <w:t>ייחוס</w:t>
            </w:r>
            <w:r w:rsidRPr="006501FC">
              <w:rPr>
                <w:color w:val="000000"/>
                <w:sz w:val="15"/>
                <w:szCs w:val="15"/>
                <w:rtl/>
                <w:lang w:eastAsia="he-IL"/>
              </w:rPr>
              <w:t xml:space="preserve"> </w:t>
            </w:r>
            <w:r w:rsidRPr="006501FC">
              <w:rPr>
                <w:rFonts w:hint="eastAsia"/>
                <w:color w:val="000000"/>
                <w:sz w:val="15"/>
                <w:szCs w:val="15"/>
                <w:rtl/>
                <w:lang w:eastAsia="he-IL"/>
              </w:rPr>
              <w:t>לבעלי</w:t>
            </w:r>
            <w:r w:rsidRPr="006501FC">
              <w:rPr>
                <w:color w:val="000000"/>
                <w:sz w:val="15"/>
                <w:szCs w:val="15"/>
                <w:rtl/>
                <w:lang w:eastAsia="he-IL"/>
              </w:rPr>
              <w:t xml:space="preserve"> </w:t>
            </w:r>
            <w:r w:rsidRPr="006501FC">
              <w:rPr>
                <w:rFonts w:hint="eastAsia"/>
                <w:color w:val="000000"/>
                <w:sz w:val="15"/>
                <w:szCs w:val="15"/>
                <w:rtl/>
                <w:lang w:eastAsia="he-IL"/>
              </w:rPr>
              <w:t>זכויות</w:t>
            </w:r>
            <w:r w:rsidRPr="006501FC">
              <w:rPr>
                <w:color w:val="000000"/>
                <w:sz w:val="15"/>
                <w:szCs w:val="15"/>
                <w:rtl/>
                <w:lang w:eastAsia="he-IL"/>
              </w:rPr>
              <w:t xml:space="preserve"> </w:t>
            </w:r>
            <w:r w:rsidRPr="006501FC">
              <w:rPr>
                <w:rFonts w:hint="eastAsia"/>
                <w:color w:val="000000"/>
                <w:sz w:val="15"/>
                <w:szCs w:val="15"/>
                <w:rtl/>
                <w:lang w:eastAsia="he-IL"/>
              </w:rPr>
              <w:t>שאינן</w:t>
            </w:r>
            <w:r w:rsidRPr="006501FC">
              <w:rPr>
                <w:color w:val="000000"/>
                <w:sz w:val="15"/>
                <w:szCs w:val="15"/>
                <w:rtl/>
                <w:lang w:eastAsia="he-IL"/>
              </w:rPr>
              <w:t xml:space="preserve"> </w:t>
            </w:r>
            <w:r w:rsidRPr="006501FC">
              <w:rPr>
                <w:rFonts w:hint="eastAsia"/>
                <w:color w:val="000000"/>
                <w:sz w:val="15"/>
                <w:szCs w:val="15"/>
                <w:rtl/>
                <w:lang w:eastAsia="he-IL"/>
              </w:rPr>
              <w:t>מקנות</w:t>
            </w:r>
            <w:r w:rsidRPr="006501FC">
              <w:rPr>
                <w:color w:val="000000"/>
                <w:sz w:val="15"/>
                <w:szCs w:val="15"/>
                <w:rtl/>
                <w:lang w:eastAsia="he-IL"/>
              </w:rPr>
              <w:t xml:space="preserve"> </w:t>
            </w:r>
            <w:r w:rsidRPr="006501FC">
              <w:rPr>
                <w:rFonts w:hint="eastAsia"/>
                <w:color w:val="000000"/>
                <w:sz w:val="15"/>
                <w:szCs w:val="15"/>
                <w:rtl/>
                <w:lang w:eastAsia="he-IL"/>
              </w:rPr>
              <w:t>שליטה</w:t>
            </w:r>
          </w:p>
        </w:tc>
        <w:tc>
          <w:tcPr>
            <w:tcW w:w="264" w:type="pct"/>
            <w:vAlign w:val="bottom"/>
          </w:tcPr>
          <w:p w14:paraId="4F6FA768" w14:textId="77777777" w:rsidR="003E6CF5" w:rsidRPr="006501FC" w:rsidRDefault="003E6CF5" w:rsidP="003E6CF5">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24" w:type="pct"/>
            <w:vAlign w:val="bottom"/>
          </w:tcPr>
          <w:p w14:paraId="09762809" w14:textId="77777777" w:rsidR="003E6CF5" w:rsidRPr="006501FC" w:rsidRDefault="003E6CF5" w:rsidP="003E6CF5">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297" w:type="pct"/>
            <w:vAlign w:val="bottom"/>
          </w:tcPr>
          <w:p w14:paraId="14EAA04A" w14:textId="77777777" w:rsidR="003E6CF5" w:rsidRPr="006501FC" w:rsidRDefault="003E6CF5" w:rsidP="003E6CF5">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28" w:type="pct"/>
            <w:vAlign w:val="bottom"/>
          </w:tcPr>
          <w:p w14:paraId="0813E125" w14:textId="77777777" w:rsidR="003E6CF5" w:rsidRPr="006501FC" w:rsidRDefault="003E6CF5" w:rsidP="003E6CF5">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17" w:type="pct"/>
            <w:vAlign w:val="bottom"/>
          </w:tcPr>
          <w:p w14:paraId="7DB10CFF" w14:textId="77777777" w:rsidR="003E6CF5" w:rsidRPr="006501FC" w:rsidRDefault="003E6CF5" w:rsidP="003E6CF5">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27" w:type="pct"/>
            <w:vAlign w:val="bottom"/>
          </w:tcPr>
          <w:p w14:paraId="0C4C9A8F" w14:textId="77777777" w:rsidR="003E6CF5" w:rsidRPr="006501FC" w:rsidRDefault="003E6CF5" w:rsidP="003E6CF5">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294" w:type="pct"/>
            <w:vAlign w:val="bottom"/>
          </w:tcPr>
          <w:p w14:paraId="71D2269B" w14:textId="77777777" w:rsidR="003E6CF5" w:rsidRPr="006501FC" w:rsidRDefault="003E6CF5" w:rsidP="003E6CF5">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45" w:type="pct"/>
            <w:gridSpan w:val="2"/>
            <w:vAlign w:val="bottom"/>
          </w:tcPr>
          <w:p w14:paraId="261FED2A" w14:textId="77777777" w:rsidR="003E6CF5" w:rsidRPr="006501FC" w:rsidRDefault="003E6CF5" w:rsidP="003E6CF5">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64" w:type="pct"/>
            <w:vAlign w:val="bottom"/>
          </w:tcPr>
          <w:p w14:paraId="31DA2A9E" w14:textId="77777777" w:rsidR="003E6CF5" w:rsidRPr="006501FC" w:rsidRDefault="003E6CF5" w:rsidP="003E6CF5">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230" w:type="pct"/>
            <w:vAlign w:val="bottom"/>
          </w:tcPr>
          <w:p w14:paraId="19A1B862" w14:textId="77777777" w:rsidR="003E6CF5" w:rsidRPr="006501FC" w:rsidRDefault="003E6CF5" w:rsidP="003E6CF5">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83" w:type="pct"/>
            <w:vAlign w:val="bottom"/>
          </w:tcPr>
          <w:p w14:paraId="6C2B37EE" w14:textId="77777777" w:rsidR="003E6CF5" w:rsidRPr="006501FC" w:rsidRDefault="003E6CF5" w:rsidP="003E6CF5">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56" w:type="pct"/>
            <w:vAlign w:val="bottom"/>
          </w:tcPr>
          <w:p w14:paraId="510D855E" w14:textId="77777777" w:rsidR="003E6CF5" w:rsidRPr="006501FC" w:rsidRDefault="003E6CF5" w:rsidP="003E6CF5">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221" w:type="pct"/>
            <w:vAlign w:val="bottom"/>
          </w:tcPr>
          <w:p w14:paraId="0EC2542C" w14:textId="77777777" w:rsidR="003E6CF5" w:rsidRPr="006501FC" w:rsidRDefault="003E6CF5" w:rsidP="003E6CF5">
            <w:pPr>
              <w:spacing w:line="241" w:lineRule="auto"/>
              <w:ind w:left="85" w:right="85"/>
              <w:jc w:val="left"/>
              <w:rPr>
                <w:sz w:val="15"/>
                <w:szCs w:val="15"/>
                <w:rtl/>
              </w:rPr>
            </w:pPr>
            <w:r w:rsidRPr="006501FC">
              <w:rPr>
                <w:rFonts w:hint="cs"/>
                <w:sz w:val="15"/>
                <w:szCs w:val="15"/>
                <w:rtl/>
              </w:rPr>
              <w:t xml:space="preserve"> 0</w:t>
            </w:r>
          </w:p>
        </w:tc>
      </w:tr>
      <w:tr w:rsidR="00427850" w:rsidRPr="006501FC" w14:paraId="67806821" w14:textId="77777777" w:rsidTr="006501FC">
        <w:tc>
          <w:tcPr>
            <w:tcW w:w="950" w:type="pct"/>
            <w:vAlign w:val="bottom"/>
          </w:tcPr>
          <w:p w14:paraId="0A814088" w14:textId="77777777" w:rsidR="003E6CF5" w:rsidRPr="006501FC" w:rsidRDefault="003E6CF5" w:rsidP="00471EB3">
            <w:pPr>
              <w:spacing w:line="241" w:lineRule="auto"/>
              <w:jc w:val="left"/>
              <w:rPr>
                <w:color w:val="000000"/>
                <w:sz w:val="15"/>
                <w:szCs w:val="15"/>
                <w:rtl/>
                <w:lang w:eastAsia="he-IL"/>
              </w:rPr>
            </w:pPr>
            <w:r w:rsidRPr="006501FC">
              <w:rPr>
                <w:rFonts w:hint="eastAsia"/>
                <w:color w:val="000000"/>
                <w:sz w:val="15"/>
                <w:szCs w:val="15"/>
                <w:rtl/>
                <w:lang w:eastAsia="he-IL"/>
              </w:rPr>
              <w:t>רווח</w:t>
            </w:r>
            <w:r w:rsidRPr="006501FC">
              <w:rPr>
                <w:color w:val="000000"/>
                <w:sz w:val="15"/>
                <w:szCs w:val="15"/>
                <w:rtl/>
                <w:lang w:eastAsia="he-IL"/>
              </w:rPr>
              <w:t xml:space="preserve"> </w:t>
            </w:r>
            <w:r w:rsidRPr="006501FC">
              <w:rPr>
                <w:rFonts w:hint="eastAsia"/>
                <w:color w:val="000000"/>
                <w:sz w:val="15"/>
                <w:szCs w:val="15"/>
                <w:rtl/>
                <w:lang w:eastAsia="he-IL"/>
              </w:rPr>
              <w:t>נקי</w:t>
            </w:r>
            <w:r w:rsidRPr="006501FC">
              <w:rPr>
                <w:color w:val="000000"/>
                <w:sz w:val="15"/>
                <w:szCs w:val="15"/>
                <w:rtl/>
                <w:lang w:eastAsia="he-IL"/>
              </w:rPr>
              <w:t xml:space="preserve"> </w:t>
            </w:r>
            <w:r w:rsidRPr="006501FC">
              <w:rPr>
                <w:rFonts w:hint="eastAsia"/>
                <w:color w:val="000000"/>
                <w:sz w:val="15"/>
                <w:szCs w:val="15"/>
                <w:rtl/>
                <w:lang w:eastAsia="he-IL"/>
              </w:rPr>
              <w:t>המיוחס</w:t>
            </w:r>
            <w:r w:rsidRPr="006501FC">
              <w:rPr>
                <w:color w:val="000000"/>
                <w:sz w:val="15"/>
                <w:szCs w:val="15"/>
                <w:rtl/>
                <w:lang w:eastAsia="he-IL"/>
              </w:rPr>
              <w:t xml:space="preserve"> </w:t>
            </w:r>
            <w:r w:rsidRPr="006501FC">
              <w:rPr>
                <w:rFonts w:hint="eastAsia"/>
                <w:color w:val="000000"/>
                <w:sz w:val="15"/>
                <w:szCs w:val="15"/>
                <w:rtl/>
                <w:lang w:eastAsia="he-IL"/>
              </w:rPr>
              <w:t>לבעלי</w:t>
            </w:r>
            <w:r w:rsidRPr="006501FC">
              <w:rPr>
                <w:color w:val="000000"/>
                <w:sz w:val="15"/>
                <w:szCs w:val="15"/>
                <w:rtl/>
                <w:lang w:eastAsia="he-IL"/>
              </w:rPr>
              <w:t xml:space="preserve"> </w:t>
            </w:r>
            <w:r w:rsidRPr="006501FC">
              <w:rPr>
                <w:rFonts w:hint="eastAsia"/>
                <w:color w:val="000000"/>
                <w:sz w:val="15"/>
                <w:szCs w:val="15"/>
                <w:rtl/>
                <w:lang w:eastAsia="he-IL"/>
              </w:rPr>
              <w:t>זכויות</w:t>
            </w:r>
            <w:r w:rsidRPr="006501FC">
              <w:rPr>
                <w:color w:val="000000"/>
                <w:sz w:val="15"/>
                <w:szCs w:val="15"/>
                <w:rtl/>
                <w:lang w:eastAsia="he-IL"/>
              </w:rPr>
              <w:t xml:space="preserve"> </w:t>
            </w:r>
            <w:r w:rsidRPr="006501FC">
              <w:rPr>
                <w:rFonts w:hint="eastAsia"/>
                <w:color w:val="000000"/>
                <w:sz w:val="15"/>
                <w:szCs w:val="15"/>
                <w:rtl/>
                <w:lang w:eastAsia="he-IL"/>
              </w:rPr>
              <w:t>שאינן</w:t>
            </w:r>
            <w:r w:rsidRPr="006501FC">
              <w:rPr>
                <w:color w:val="000000"/>
                <w:sz w:val="15"/>
                <w:szCs w:val="15"/>
                <w:rtl/>
                <w:lang w:eastAsia="he-IL"/>
              </w:rPr>
              <w:t xml:space="preserve"> </w:t>
            </w:r>
            <w:r w:rsidRPr="006501FC">
              <w:rPr>
                <w:rFonts w:hint="eastAsia"/>
                <w:color w:val="000000"/>
                <w:sz w:val="15"/>
                <w:szCs w:val="15"/>
                <w:rtl/>
                <w:lang w:eastAsia="he-IL"/>
              </w:rPr>
              <w:t>מקנות</w:t>
            </w:r>
            <w:r w:rsidRPr="006501FC">
              <w:rPr>
                <w:color w:val="000000"/>
                <w:sz w:val="15"/>
                <w:szCs w:val="15"/>
                <w:rtl/>
                <w:lang w:eastAsia="he-IL"/>
              </w:rPr>
              <w:t xml:space="preserve"> </w:t>
            </w:r>
            <w:r w:rsidRPr="006501FC">
              <w:rPr>
                <w:rFonts w:hint="eastAsia"/>
                <w:color w:val="000000"/>
                <w:sz w:val="15"/>
                <w:szCs w:val="15"/>
                <w:rtl/>
                <w:lang w:eastAsia="he-IL"/>
              </w:rPr>
              <w:t>שליטה</w:t>
            </w:r>
          </w:p>
        </w:tc>
        <w:tc>
          <w:tcPr>
            <w:tcW w:w="264" w:type="pct"/>
            <w:vAlign w:val="bottom"/>
          </w:tcPr>
          <w:p w14:paraId="1B955C74" w14:textId="77777777" w:rsidR="003E6CF5" w:rsidRPr="006501FC" w:rsidRDefault="003E6CF5" w:rsidP="003E6CF5">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24" w:type="pct"/>
            <w:vAlign w:val="bottom"/>
          </w:tcPr>
          <w:p w14:paraId="4C0886B6" w14:textId="77777777" w:rsidR="003E6CF5" w:rsidRPr="006501FC" w:rsidRDefault="003E6CF5" w:rsidP="003E6CF5">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297" w:type="pct"/>
            <w:vAlign w:val="bottom"/>
          </w:tcPr>
          <w:p w14:paraId="7E24D346" w14:textId="77777777" w:rsidR="003E6CF5" w:rsidRPr="006501FC" w:rsidRDefault="003E6CF5" w:rsidP="003E6CF5">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28" w:type="pct"/>
            <w:vAlign w:val="bottom"/>
          </w:tcPr>
          <w:p w14:paraId="65CA187E" w14:textId="77777777" w:rsidR="003E6CF5" w:rsidRPr="006501FC" w:rsidRDefault="003E6CF5" w:rsidP="003E6CF5">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17" w:type="pct"/>
            <w:vAlign w:val="bottom"/>
          </w:tcPr>
          <w:p w14:paraId="151A818D" w14:textId="77777777" w:rsidR="003E6CF5" w:rsidRPr="006501FC" w:rsidRDefault="003E6CF5" w:rsidP="003E6CF5">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27" w:type="pct"/>
            <w:vAlign w:val="bottom"/>
          </w:tcPr>
          <w:p w14:paraId="34E8C7A7" w14:textId="77777777" w:rsidR="003E6CF5" w:rsidRPr="006501FC" w:rsidRDefault="003E6CF5" w:rsidP="003E6CF5">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294" w:type="pct"/>
            <w:vAlign w:val="bottom"/>
          </w:tcPr>
          <w:p w14:paraId="61402BCE" w14:textId="77777777" w:rsidR="003E6CF5" w:rsidRPr="006501FC" w:rsidRDefault="003E6CF5" w:rsidP="003E6CF5">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45" w:type="pct"/>
            <w:gridSpan w:val="2"/>
            <w:vAlign w:val="bottom"/>
          </w:tcPr>
          <w:p w14:paraId="75DD6B61" w14:textId="77777777" w:rsidR="003E6CF5" w:rsidRPr="006501FC" w:rsidRDefault="003E6CF5" w:rsidP="003E6CF5">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64" w:type="pct"/>
            <w:vAlign w:val="bottom"/>
          </w:tcPr>
          <w:p w14:paraId="4A6D5782" w14:textId="77777777" w:rsidR="003E6CF5" w:rsidRPr="006501FC" w:rsidRDefault="003E6CF5" w:rsidP="003E6CF5">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230" w:type="pct"/>
            <w:vAlign w:val="bottom"/>
          </w:tcPr>
          <w:p w14:paraId="5FC2E606" w14:textId="77777777" w:rsidR="003E6CF5" w:rsidRPr="006501FC" w:rsidRDefault="003E6CF5" w:rsidP="003E6CF5">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83" w:type="pct"/>
            <w:vAlign w:val="bottom"/>
          </w:tcPr>
          <w:p w14:paraId="52FF5F2D" w14:textId="77777777" w:rsidR="003E6CF5" w:rsidRPr="006501FC" w:rsidRDefault="003E6CF5" w:rsidP="003E6CF5">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56" w:type="pct"/>
            <w:vAlign w:val="bottom"/>
          </w:tcPr>
          <w:p w14:paraId="29F329E0" w14:textId="77777777" w:rsidR="003E6CF5" w:rsidRPr="006501FC" w:rsidRDefault="003E6CF5" w:rsidP="003E6CF5">
            <w:pPr>
              <w:pBdr>
                <w:bottom w:val="single" w:sz="4" w:space="1" w:color="auto"/>
              </w:pBdr>
              <w:spacing w:line="241" w:lineRule="auto"/>
              <w:ind w:left="85" w:right="85"/>
              <w:jc w:val="left"/>
              <w:rPr>
                <w:sz w:val="15"/>
                <w:szCs w:val="15"/>
                <w:rtl/>
              </w:rPr>
            </w:pPr>
            <w:r w:rsidRPr="006501FC">
              <w:rPr>
                <w:rFonts w:hint="cs"/>
                <w:sz w:val="15"/>
                <w:szCs w:val="15"/>
                <w:rtl/>
              </w:rPr>
              <w:t>(0)</w:t>
            </w:r>
          </w:p>
        </w:tc>
        <w:tc>
          <w:tcPr>
            <w:tcW w:w="221" w:type="pct"/>
            <w:vAlign w:val="bottom"/>
          </w:tcPr>
          <w:p w14:paraId="709A38C2" w14:textId="77777777" w:rsidR="003E6CF5" w:rsidRPr="006501FC" w:rsidRDefault="003E6CF5" w:rsidP="003E6CF5">
            <w:pPr>
              <w:pBdr>
                <w:bottom w:val="single" w:sz="4" w:space="1" w:color="auto"/>
              </w:pBdr>
              <w:spacing w:line="241" w:lineRule="auto"/>
              <w:ind w:left="85" w:right="85"/>
              <w:jc w:val="left"/>
              <w:rPr>
                <w:sz w:val="15"/>
                <w:szCs w:val="15"/>
                <w:rtl/>
              </w:rPr>
            </w:pPr>
            <w:r w:rsidRPr="006501FC">
              <w:rPr>
                <w:rFonts w:hint="cs"/>
                <w:sz w:val="15"/>
                <w:szCs w:val="15"/>
                <w:rtl/>
              </w:rPr>
              <w:t>(0)</w:t>
            </w:r>
          </w:p>
        </w:tc>
      </w:tr>
      <w:tr w:rsidR="003E6CF5" w:rsidRPr="006501FC" w14:paraId="48D72677" w14:textId="77777777" w:rsidTr="006501FC">
        <w:tc>
          <w:tcPr>
            <w:tcW w:w="950" w:type="pct"/>
            <w:vAlign w:val="bottom"/>
          </w:tcPr>
          <w:p w14:paraId="4427AB5B" w14:textId="77777777" w:rsidR="003E6CF5" w:rsidRPr="006501FC" w:rsidRDefault="003E6CF5" w:rsidP="00471EB3">
            <w:pPr>
              <w:spacing w:line="241" w:lineRule="auto"/>
              <w:jc w:val="left"/>
              <w:rPr>
                <w:b/>
                <w:bCs/>
                <w:color w:val="000000"/>
                <w:sz w:val="15"/>
                <w:szCs w:val="15"/>
                <w:rtl/>
                <w:lang w:eastAsia="he-IL"/>
              </w:rPr>
            </w:pPr>
            <w:r w:rsidRPr="006501FC">
              <w:rPr>
                <w:rFonts w:hint="eastAsia"/>
                <w:b/>
                <w:bCs/>
                <w:color w:val="000000"/>
                <w:sz w:val="15"/>
                <w:szCs w:val="15"/>
                <w:rtl/>
                <w:lang w:eastAsia="he-IL"/>
              </w:rPr>
              <w:t>רווח</w:t>
            </w:r>
            <w:r w:rsidRPr="006501FC">
              <w:rPr>
                <w:b/>
                <w:bCs/>
                <w:color w:val="000000"/>
                <w:sz w:val="15"/>
                <w:szCs w:val="15"/>
                <w:rtl/>
                <w:lang w:eastAsia="he-IL"/>
              </w:rPr>
              <w:t xml:space="preserve"> </w:t>
            </w:r>
            <w:r w:rsidRPr="006501FC">
              <w:rPr>
                <w:rFonts w:hint="eastAsia"/>
                <w:b/>
                <w:bCs/>
                <w:color w:val="000000"/>
                <w:sz w:val="15"/>
                <w:szCs w:val="15"/>
                <w:rtl/>
                <w:lang w:eastAsia="he-IL"/>
              </w:rPr>
              <w:t>נקי</w:t>
            </w:r>
            <w:r w:rsidRPr="006501FC">
              <w:rPr>
                <w:b/>
                <w:bCs/>
                <w:color w:val="000000"/>
                <w:sz w:val="15"/>
                <w:szCs w:val="15"/>
                <w:rtl/>
                <w:lang w:eastAsia="he-IL"/>
              </w:rPr>
              <w:t xml:space="preserve"> </w:t>
            </w:r>
            <w:r w:rsidRPr="006501FC">
              <w:rPr>
                <w:rFonts w:hint="eastAsia"/>
                <w:b/>
                <w:bCs/>
                <w:color w:val="000000"/>
                <w:sz w:val="15"/>
                <w:szCs w:val="15"/>
                <w:rtl/>
                <w:lang w:eastAsia="he-IL"/>
              </w:rPr>
              <w:t>המיוחס</w:t>
            </w:r>
            <w:r w:rsidRPr="006501FC">
              <w:rPr>
                <w:b/>
                <w:bCs/>
                <w:color w:val="000000"/>
                <w:sz w:val="15"/>
                <w:szCs w:val="15"/>
                <w:rtl/>
                <w:lang w:eastAsia="he-IL"/>
              </w:rPr>
              <w:t xml:space="preserve"> </w:t>
            </w:r>
            <w:r w:rsidRPr="006501FC">
              <w:rPr>
                <w:rFonts w:hint="eastAsia"/>
                <w:b/>
                <w:bCs/>
                <w:color w:val="000000"/>
                <w:sz w:val="15"/>
                <w:szCs w:val="15"/>
                <w:rtl/>
                <w:lang w:eastAsia="he-IL"/>
              </w:rPr>
              <w:t>לבעלי</w:t>
            </w:r>
            <w:r w:rsidRPr="006501FC">
              <w:rPr>
                <w:b/>
                <w:bCs/>
                <w:color w:val="000000"/>
                <w:sz w:val="15"/>
                <w:szCs w:val="15"/>
                <w:rtl/>
                <w:lang w:eastAsia="he-IL"/>
              </w:rPr>
              <w:t xml:space="preserve"> </w:t>
            </w:r>
            <w:r w:rsidRPr="006501FC">
              <w:rPr>
                <w:rFonts w:hint="eastAsia"/>
                <w:b/>
                <w:bCs/>
                <w:color w:val="000000"/>
                <w:sz w:val="15"/>
                <w:szCs w:val="15"/>
                <w:rtl/>
                <w:lang w:eastAsia="he-IL"/>
              </w:rPr>
              <w:t>מניות</w:t>
            </w:r>
            <w:r w:rsidRPr="006501FC">
              <w:rPr>
                <w:b/>
                <w:bCs/>
                <w:color w:val="000000"/>
                <w:sz w:val="15"/>
                <w:szCs w:val="15"/>
                <w:rtl/>
                <w:lang w:eastAsia="he-IL"/>
              </w:rPr>
              <w:t xml:space="preserve"> </w:t>
            </w:r>
            <w:r w:rsidRPr="006501FC">
              <w:rPr>
                <w:rFonts w:hint="eastAsia"/>
                <w:b/>
                <w:bCs/>
                <w:color w:val="000000"/>
                <w:sz w:val="15"/>
                <w:szCs w:val="15"/>
                <w:rtl/>
                <w:lang w:eastAsia="he-IL"/>
              </w:rPr>
              <w:t>התאגיד</w:t>
            </w:r>
            <w:r w:rsidRPr="006501FC">
              <w:rPr>
                <w:b/>
                <w:bCs/>
                <w:color w:val="000000"/>
                <w:sz w:val="15"/>
                <w:szCs w:val="15"/>
                <w:rtl/>
                <w:lang w:eastAsia="he-IL"/>
              </w:rPr>
              <w:t xml:space="preserve"> </w:t>
            </w:r>
            <w:r w:rsidRPr="006501FC">
              <w:rPr>
                <w:rFonts w:hint="eastAsia"/>
                <w:b/>
                <w:bCs/>
                <w:color w:val="000000"/>
                <w:sz w:val="15"/>
                <w:szCs w:val="15"/>
                <w:rtl/>
                <w:lang w:eastAsia="he-IL"/>
              </w:rPr>
              <w:t>הבנקאי</w:t>
            </w:r>
          </w:p>
        </w:tc>
        <w:tc>
          <w:tcPr>
            <w:tcW w:w="264" w:type="pct"/>
            <w:vAlign w:val="bottom"/>
          </w:tcPr>
          <w:p w14:paraId="40E59514" w14:textId="77777777" w:rsidR="003E6CF5" w:rsidRPr="006501FC" w:rsidRDefault="003E6CF5" w:rsidP="003E6CF5">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24" w:type="pct"/>
            <w:vAlign w:val="bottom"/>
          </w:tcPr>
          <w:p w14:paraId="429503FF" w14:textId="77777777" w:rsidR="003E6CF5" w:rsidRPr="006501FC" w:rsidRDefault="003E6CF5" w:rsidP="003E6CF5">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297" w:type="pct"/>
            <w:vAlign w:val="bottom"/>
          </w:tcPr>
          <w:p w14:paraId="69C71E68" w14:textId="77777777" w:rsidR="003E6CF5" w:rsidRPr="006501FC" w:rsidRDefault="003E6CF5" w:rsidP="003E6CF5">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28" w:type="pct"/>
            <w:vAlign w:val="bottom"/>
          </w:tcPr>
          <w:p w14:paraId="16E674A5" w14:textId="77777777" w:rsidR="003E6CF5" w:rsidRPr="006501FC" w:rsidRDefault="003E6CF5" w:rsidP="003E6CF5">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17" w:type="pct"/>
            <w:vAlign w:val="bottom"/>
          </w:tcPr>
          <w:p w14:paraId="221590E5" w14:textId="77777777" w:rsidR="003E6CF5" w:rsidRPr="006501FC" w:rsidRDefault="003E6CF5" w:rsidP="003E6CF5">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27" w:type="pct"/>
            <w:vAlign w:val="bottom"/>
          </w:tcPr>
          <w:p w14:paraId="30646873" w14:textId="77777777" w:rsidR="003E6CF5" w:rsidRPr="006501FC" w:rsidRDefault="003E6CF5" w:rsidP="003E6CF5">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294" w:type="pct"/>
            <w:vAlign w:val="bottom"/>
          </w:tcPr>
          <w:p w14:paraId="1707D3A7" w14:textId="77777777" w:rsidR="003E6CF5" w:rsidRPr="006501FC" w:rsidRDefault="003E6CF5" w:rsidP="003E6CF5">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45" w:type="pct"/>
            <w:gridSpan w:val="2"/>
            <w:vAlign w:val="bottom"/>
          </w:tcPr>
          <w:p w14:paraId="224F7946" w14:textId="77777777" w:rsidR="003E6CF5" w:rsidRPr="006501FC" w:rsidRDefault="003E6CF5" w:rsidP="003E6CF5">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64" w:type="pct"/>
            <w:vAlign w:val="bottom"/>
          </w:tcPr>
          <w:p w14:paraId="5DEC3078" w14:textId="77777777" w:rsidR="003E6CF5" w:rsidRPr="006501FC" w:rsidRDefault="003E6CF5" w:rsidP="003E6CF5">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230" w:type="pct"/>
            <w:vAlign w:val="bottom"/>
          </w:tcPr>
          <w:p w14:paraId="490C54B8" w14:textId="77777777" w:rsidR="003E6CF5" w:rsidRPr="006501FC" w:rsidRDefault="003E6CF5" w:rsidP="003E6CF5">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83" w:type="pct"/>
            <w:vAlign w:val="bottom"/>
          </w:tcPr>
          <w:p w14:paraId="791AEA9C" w14:textId="77777777" w:rsidR="003E6CF5" w:rsidRPr="006501FC" w:rsidRDefault="003E6CF5" w:rsidP="003E6CF5">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56" w:type="pct"/>
            <w:vAlign w:val="bottom"/>
          </w:tcPr>
          <w:p w14:paraId="18A765B9" w14:textId="77777777" w:rsidR="003E6CF5" w:rsidRPr="006501FC" w:rsidRDefault="003E6CF5" w:rsidP="003E6CF5">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221" w:type="pct"/>
            <w:vAlign w:val="bottom"/>
          </w:tcPr>
          <w:p w14:paraId="68F63835" w14:textId="77777777" w:rsidR="003E6CF5" w:rsidRPr="006501FC" w:rsidRDefault="003E6CF5" w:rsidP="003E6CF5">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0</w:t>
            </w:r>
          </w:p>
        </w:tc>
      </w:tr>
      <w:tr w:rsidR="003E6CF5" w:rsidRPr="006501FC" w14:paraId="1F7C427D" w14:textId="77777777" w:rsidTr="006501FC">
        <w:tc>
          <w:tcPr>
            <w:tcW w:w="950" w:type="pct"/>
            <w:tcBorders>
              <w:bottom w:val="single" w:sz="8" w:space="0" w:color="auto"/>
            </w:tcBorders>
            <w:vAlign w:val="bottom"/>
          </w:tcPr>
          <w:p w14:paraId="00EB7B93" w14:textId="77777777" w:rsidR="003E6CF5" w:rsidRPr="006501FC" w:rsidRDefault="003E6CF5" w:rsidP="003E6CF5">
            <w:pPr>
              <w:spacing w:line="241" w:lineRule="auto"/>
              <w:ind w:left="172" w:hanging="171"/>
              <w:jc w:val="left"/>
              <w:rPr>
                <w:b/>
                <w:bCs/>
                <w:color w:val="000000"/>
                <w:sz w:val="15"/>
                <w:szCs w:val="15"/>
                <w:rtl/>
                <w:lang w:eastAsia="he-IL"/>
              </w:rPr>
            </w:pPr>
          </w:p>
        </w:tc>
        <w:tc>
          <w:tcPr>
            <w:tcW w:w="264" w:type="pct"/>
            <w:tcBorders>
              <w:bottom w:val="single" w:sz="8" w:space="0" w:color="auto"/>
            </w:tcBorders>
            <w:vAlign w:val="bottom"/>
          </w:tcPr>
          <w:p w14:paraId="64F06FCC" w14:textId="77777777" w:rsidR="003E6CF5" w:rsidRPr="006501FC" w:rsidRDefault="003E6CF5" w:rsidP="003E6CF5">
            <w:pPr>
              <w:spacing w:line="241" w:lineRule="auto"/>
              <w:ind w:left="85" w:right="85"/>
              <w:jc w:val="left"/>
              <w:rPr>
                <w:sz w:val="15"/>
                <w:szCs w:val="15"/>
                <w:rtl/>
              </w:rPr>
            </w:pPr>
          </w:p>
        </w:tc>
        <w:tc>
          <w:tcPr>
            <w:tcW w:w="324" w:type="pct"/>
            <w:tcBorders>
              <w:bottom w:val="single" w:sz="8" w:space="0" w:color="auto"/>
            </w:tcBorders>
            <w:vAlign w:val="bottom"/>
          </w:tcPr>
          <w:p w14:paraId="76FDC431" w14:textId="77777777" w:rsidR="003E6CF5" w:rsidRPr="006501FC" w:rsidRDefault="003E6CF5" w:rsidP="003E6CF5">
            <w:pPr>
              <w:spacing w:line="241" w:lineRule="auto"/>
              <w:ind w:left="85" w:right="85"/>
              <w:jc w:val="left"/>
              <w:rPr>
                <w:sz w:val="15"/>
                <w:szCs w:val="15"/>
                <w:rtl/>
              </w:rPr>
            </w:pPr>
          </w:p>
        </w:tc>
        <w:tc>
          <w:tcPr>
            <w:tcW w:w="297" w:type="pct"/>
            <w:tcBorders>
              <w:bottom w:val="single" w:sz="8" w:space="0" w:color="auto"/>
            </w:tcBorders>
            <w:vAlign w:val="bottom"/>
          </w:tcPr>
          <w:p w14:paraId="005C845D" w14:textId="77777777" w:rsidR="003E6CF5" w:rsidRPr="006501FC" w:rsidRDefault="003E6CF5" w:rsidP="003E6CF5">
            <w:pPr>
              <w:spacing w:line="241" w:lineRule="auto"/>
              <w:ind w:left="85" w:right="85"/>
              <w:jc w:val="left"/>
              <w:rPr>
                <w:sz w:val="15"/>
                <w:szCs w:val="15"/>
                <w:rtl/>
              </w:rPr>
            </w:pPr>
          </w:p>
        </w:tc>
        <w:tc>
          <w:tcPr>
            <w:tcW w:w="328" w:type="pct"/>
            <w:tcBorders>
              <w:bottom w:val="single" w:sz="8" w:space="0" w:color="auto"/>
            </w:tcBorders>
            <w:vAlign w:val="bottom"/>
          </w:tcPr>
          <w:p w14:paraId="784EA14C" w14:textId="77777777" w:rsidR="003E6CF5" w:rsidRPr="006501FC" w:rsidRDefault="003E6CF5" w:rsidP="003E6CF5">
            <w:pPr>
              <w:spacing w:line="241" w:lineRule="auto"/>
              <w:ind w:left="85" w:right="85"/>
              <w:jc w:val="left"/>
              <w:rPr>
                <w:sz w:val="15"/>
                <w:szCs w:val="15"/>
                <w:rtl/>
              </w:rPr>
            </w:pPr>
          </w:p>
        </w:tc>
        <w:tc>
          <w:tcPr>
            <w:tcW w:w="317" w:type="pct"/>
            <w:tcBorders>
              <w:bottom w:val="single" w:sz="8" w:space="0" w:color="auto"/>
            </w:tcBorders>
            <w:vAlign w:val="bottom"/>
          </w:tcPr>
          <w:p w14:paraId="7B8EE5AE" w14:textId="77777777" w:rsidR="003E6CF5" w:rsidRPr="006501FC" w:rsidRDefault="003E6CF5" w:rsidP="003E6CF5">
            <w:pPr>
              <w:spacing w:line="241" w:lineRule="auto"/>
              <w:ind w:left="85" w:right="85"/>
              <w:jc w:val="left"/>
              <w:rPr>
                <w:sz w:val="15"/>
                <w:szCs w:val="15"/>
                <w:rtl/>
              </w:rPr>
            </w:pPr>
          </w:p>
        </w:tc>
        <w:tc>
          <w:tcPr>
            <w:tcW w:w="327" w:type="pct"/>
            <w:tcBorders>
              <w:bottom w:val="single" w:sz="8" w:space="0" w:color="auto"/>
            </w:tcBorders>
            <w:vAlign w:val="bottom"/>
          </w:tcPr>
          <w:p w14:paraId="340E4337" w14:textId="77777777" w:rsidR="003E6CF5" w:rsidRPr="006501FC" w:rsidRDefault="003E6CF5" w:rsidP="003E6CF5">
            <w:pPr>
              <w:spacing w:line="241" w:lineRule="auto"/>
              <w:ind w:left="85" w:right="85"/>
              <w:jc w:val="left"/>
              <w:rPr>
                <w:sz w:val="15"/>
                <w:szCs w:val="15"/>
                <w:rtl/>
              </w:rPr>
            </w:pPr>
          </w:p>
        </w:tc>
        <w:tc>
          <w:tcPr>
            <w:tcW w:w="294" w:type="pct"/>
            <w:tcBorders>
              <w:bottom w:val="single" w:sz="8" w:space="0" w:color="auto"/>
            </w:tcBorders>
            <w:vAlign w:val="bottom"/>
          </w:tcPr>
          <w:p w14:paraId="22356A53" w14:textId="77777777" w:rsidR="003E6CF5" w:rsidRPr="006501FC" w:rsidRDefault="003E6CF5" w:rsidP="003E6CF5">
            <w:pPr>
              <w:spacing w:line="241" w:lineRule="auto"/>
              <w:ind w:left="85" w:right="85"/>
              <w:jc w:val="left"/>
              <w:rPr>
                <w:sz w:val="15"/>
                <w:szCs w:val="15"/>
                <w:rtl/>
              </w:rPr>
            </w:pPr>
          </w:p>
        </w:tc>
        <w:tc>
          <w:tcPr>
            <w:tcW w:w="345" w:type="pct"/>
            <w:gridSpan w:val="2"/>
            <w:tcBorders>
              <w:bottom w:val="single" w:sz="8" w:space="0" w:color="auto"/>
            </w:tcBorders>
            <w:vAlign w:val="bottom"/>
          </w:tcPr>
          <w:p w14:paraId="763CC7B8" w14:textId="77777777" w:rsidR="003E6CF5" w:rsidRPr="006501FC" w:rsidRDefault="003E6CF5" w:rsidP="003E6CF5">
            <w:pPr>
              <w:spacing w:line="241" w:lineRule="auto"/>
              <w:ind w:left="85" w:right="85"/>
              <w:jc w:val="left"/>
              <w:rPr>
                <w:sz w:val="15"/>
                <w:szCs w:val="15"/>
                <w:rtl/>
              </w:rPr>
            </w:pPr>
          </w:p>
        </w:tc>
        <w:tc>
          <w:tcPr>
            <w:tcW w:w="364" w:type="pct"/>
            <w:tcBorders>
              <w:bottom w:val="single" w:sz="8" w:space="0" w:color="auto"/>
            </w:tcBorders>
            <w:vAlign w:val="bottom"/>
          </w:tcPr>
          <w:p w14:paraId="14C6C852" w14:textId="77777777" w:rsidR="003E6CF5" w:rsidRPr="006501FC" w:rsidRDefault="003E6CF5" w:rsidP="003E6CF5">
            <w:pPr>
              <w:spacing w:line="241" w:lineRule="auto"/>
              <w:ind w:left="85" w:right="85"/>
              <w:jc w:val="left"/>
              <w:rPr>
                <w:sz w:val="15"/>
                <w:szCs w:val="15"/>
                <w:rtl/>
              </w:rPr>
            </w:pPr>
          </w:p>
        </w:tc>
        <w:tc>
          <w:tcPr>
            <w:tcW w:w="230" w:type="pct"/>
            <w:tcBorders>
              <w:bottom w:val="single" w:sz="8" w:space="0" w:color="auto"/>
            </w:tcBorders>
            <w:vAlign w:val="bottom"/>
          </w:tcPr>
          <w:p w14:paraId="28FFA99D" w14:textId="77777777" w:rsidR="003E6CF5" w:rsidRPr="006501FC" w:rsidRDefault="003E6CF5" w:rsidP="003E6CF5">
            <w:pPr>
              <w:spacing w:line="241" w:lineRule="auto"/>
              <w:ind w:left="85" w:right="85"/>
              <w:jc w:val="left"/>
              <w:rPr>
                <w:sz w:val="15"/>
                <w:szCs w:val="15"/>
                <w:rtl/>
              </w:rPr>
            </w:pPr>
          </w:p>
        </w:tc>
        <w:tc>
          <w:tcPr>
            <w:tcW w:w="383" w:type="pct"/>
            <w:tcBorders>
              <w:bottom w:val="single" w:sz="8" w:space="0" w:color="auto"/>
            </w:tcBorders>
            <w:vAlign w:val="bottom"/>
          </w:tcPr>
          <w:p w14:paraId="731AABDF" w14:textId="77777777" w:rsidR="003E6CF5" w:rsidRPr="006501FC" w:rsidRDefault="003E6CF5" w:rsidP="003E6CF5">
            <w:pPr>
              <w:spacing w:line="241" w:lineRule="auto"/>
              <w:ind w:left="85" w:right="85"/>
              <w:jc w:val="left"/>
              <w:rPr>
                <w:sz w:val="15"/>
                <w:szCs w:val="15"/>
                <w:rtl/>
              </w:rPr>
            </w:pPr>
          </w:p>
        </w:tc>
        <w:tc>
          <w:tcPr>
            <w:tcW w:w="356" w:type="pct"/>
            <w:tcBorders>
              <w:bottom w:val="single" w:sz="8" w:space="0" w:color="auto"/>
            </w:tcBorders>
            <w:vAlign w:val="bottom"/>
          </w:tcPr>
          <w:p w14:paraId="614080EC" w14:textId="77777777" w:rsidR="003E6CF5" w:rsidRPr="006501FC" w:rsidRDefault="003E6CF5" w:rsidP="003E6CF5">
            <w:pPr>
              <w:spacing w:line="241" w:lineRule="auto"/>
              <w:ind w:left="85" w:right="85"/>
              <w:jc w:val="left"/>
              <w:rPr>
                <w:sz w:val="15"/>
                <w:szCs w:val="15"/>
                <w:rtl/>
              </w:rPr>
            </w:pPr>
          </w:p>
        </w:tc>
        <w:tc>
          <w:tcPr>
            <w:tcW w:w="221" w:type="pct"/>
            <w:tcBorders>
              <w:bottom w:val="single" w:sz="8" w:space="0" w:color="auto"/>
            </w:tcBorders>
            <w:vAlign w:val="bottom"/>
          </w:tcPr>
          <w:p w14:paraId="029EC1C5" w14:textId="77777777" w:rsidR="003E6CF5" w:rsidRPr="006501FC" w:rsidRDefault="003E6CF5" w:rsidP="003E6CF5">
            <w:pPr>
              <w:spacing w:line="241" w:lineRule="auto"/>
              <w:ind w:left="85" w:right="85"/>
              <w:jc w:val="left"/>
              <w:rPr>
                <w:sz w:val="15"/>
                <w:szCs w:val="15"/>
                <w:rtl/>
              </w:rPr>
            </w:pPr>
          </w:p>
        </w:tc>
      </w:tr>
      <w:tr w:rsidR="003E6CF5" w:rsidRPr="006501FC" w14:paraId="23D5DF68" w14:textId="77777777" w:rsidTr="006501FC">
        <w:tc>
          <w:tcPr>
            <w:tcW w:w="950" w:type="pct"/>
            <w:tcBorders>
              <w:top w:val="single" w:sz="8" w:space="0" w:color="auto"/>
            </w:tcBorders>
            <w:vAlign w:val="bottom"/>
          </w:tcPr>
          <w:p w14:paraId="7D0F776C" w14:textId="77777777" w:rsidR="003E6CF5" w:rsidRPr="006501FC" w:rsidRDefault="003E6CF5" w:rsidP="003E6CF5">
            <w:pPr>
              <w:spacing w:line="241" w:lineRule="auto"/>
              <w:ind w:left="172" w:hanging="171"/>
              <w:jc w:val="left"/>
              <w:rPr>
                <w:color w:val="000000"/>
                <w:sz w:val="15"/>
                <w:szCs w:val="15"/>
                <w:rtl/>
                <w:lang w:eastAsia="he-IL"/>
              </w:rPr>
            </w:pPr>
            <w:r w:rsidRPr="006501FC">
              <w:rPr>
                <w:rFonts w:hint="eastAsia"/>
                <w:color w:val="000000"/>
                <w:sz w:val="15"/>
                <w:szCs w:val="15"/>
                <w:rtl/>
                <w:lang w:eastAsia="he-IL"/>
              </w:rPr>
              <w:t>יתרה</w:t>
            </w:r>
            <w:r w:rsidRPr="006501FC">
              <w:rPr>
                <w:color w:val="000000"/>
                <w:sz w:val="15"/>
                <w:szCs w:val="15"/>
                <w:rtl/>
                <w:lang w:eastAsia="he-IL"/>
              </w:rPr>
              <w:t xml:space="preserve"> </w:t>
            </w:r>
            <w:r w:rsidRPr="006501FC">
              <w:rPr>
                <w:rFonts w:hint="eastAsia"/>
                <w:color w:val="000000"/>
                <w:sz w:val="15"/>
                <w:szCs w:val="15"/>
                <w:rtl/>
                <w:lang w:eastAsia="he-IL"/>
              </w:rPr>
              <w:t>ממוצעת</w:t>
            </w:r>
            <w:r w:rsidRPr="006501FC">
              <w:rPr>
                <w:color w:val="000000"/>
                <w:sz w:val="15"/>
                <w:szCs w:val="15"/>
                <w:rtl/>
                <w:lang w:eastAsia="he-IL"/>
              </w:rPr>
              <w:t xml:space="preserve"> </w:t>
            </w:r>
            <w:r w:rsidRPr="006501FC">
              <w:rPr>
                <w:rFonts w:hint="eastAsia"/>
                <w:color w:val="000000"/>
                <w:sz w:val="15"/>
                <w:szCs w:val="15"/>
                <w:rtl/>
                <w:lang w:eastAsia="he-IL"/>
              </w:rPr>
              <w:t>של</w:t>
            </w:r>
            <w:r w:rsidRPr="006501FC">
              <w:rPr>
                <w:color w:val="000000"/>
                <w:sz w:val="15"/>
                <w:szCs w:val="15"/>
                <w:rtl/>
                <w:lang w:eastAsia="he-IL"/>
              </w:rPr>
              <w:t xml:space="preserve"> </w:t>
            </w:r>
            <w:r w:rsidRPr="006501FC">
              <w:rPr>
                <w:rFonts w:hint="eastAsia"/>
                <w:color w:val="000000"/>
                <w:sz w:val="15"/>
                <w:szCs w:val="15"/>
                <w:rtl/>
                <w:lang w:eastAsia="he-IL"/>
              </w:rPr>
              <w:t>נכסים</w:t>
            </w:r>
            <w:r w:rsidRPr="006501FC">
              <w:rPr>
                <w:color w:val="000000"/>
                <w:sz w:val="15"/>
                <w:szCs w:val="15"/>
                <w:vertAlign w:val="superscript"/>
                <w:rtl/>
                <w:lang w:eastAsia="he-IL"/>
              </w:rPr>
              <w:t>(א)</w:t>
            </w:r>
          </w:p>
        </w:tc>
        <w:tc>
          <w:tcPr>
            <w:tcW w:w="264" w:type="pct"/>
            <w:tcBorders>
              <w:top w:val="single" w:sz="8" w:space="0" w:color="auto"/>
            </w:tcBorders>
            <w:vAlign w:val="bottom"/>
          </w:tcPr>
          <w:p w14:paraId="55655C0D"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tcBorders>
              <w:top w:val="single" w:sz="8" w:space="0" w:color="auto"/>
            </w:tcBorders>
            <w:vAlign w:val="bottom"/>
          </w:tcPr>
          <w:p w14:paraId="2C893544"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tcBorders>
              <w:top w:val="single" w:sz="8" w:space="0" w:color="auto"/>
            </w:tcBorders>
            <w:vAlign w:val="bottom"/>
          </w:tcPr>
          <w:p w14:paraId="26CD43AD"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tcBorders>
              <w:top w:val="single" w:sz="8" w:space="0" w:color="auto"/>
            </w:tcBorders>
            <w:vAlign w:val="bottom"/>
          </w:tcPr>
          <w:p w14:paraId="2BAA12C0"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tcBorders>
              <w:top w:val="single" w:sz="8" w:space="0" w:color="auto"/>
            </w:tcBorders>
            <w:vAlign w:val="bottom"/>
          </w:tcPr>
          <w:p w14:paraId="369E0D7E"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tcBorders>
              <w:top w:val="single" w:sz="8" w:space="0" w:color="auto"/>
            </w:tcBorders>
            <w:vAlign w:val="bottom"/>
          </w:tcPr>
          <w:p w14:paraId="68786806"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tcBorders>
              <w:top w:val="single" w:sz="8" w:space="0" w:color="auto"/>
            </w:tcBorders>
            <w:vAlign w:val="bottom"/>
          </w:tcPr>
          <w:p w14:paraId="6E3B926E"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tcBorders>
              <w:top w:val="single" w:sz="8" w:space="0" w:color="auto"/>
            </w:tcBorders>
            <w:vAlign w:val="bottom"/>
          </w:tcPr>
          <w:p w14:paraId="7E6D8782"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tcBorders>
              <w:top w:val="single" w:sz="8" w:space="0" w:color="auto"/>
            </w:tcBorders>
            <w:vAlign w:val="bottom"/>
          </w:tcPr>
          <w:p w14:paraId="4AF488AD"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tcBorders>
              <w:top w:val="single" w:sz="8" w:space="0" w:color="auto"/>
            </w:tcBorders>
            <w:vAlign w:val="bottom"/>
          </w:tcPr>
          <w:p w14:paraId="222C37D4"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tcBorders>
              <w:top w:val="single" w:sz="8" w:space="0" w:color="auto"/>
            </w:tcBorders>
            <w:vAlign w:val="bottom"/>
          </w:tcPr>
          <w:p w14:paraId="156697D6"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tcBorders>
              <w:top w:val="single" w:sz="8" w:space="0" w:color="auto"/>
            </w:tcBorders>
            <w:vAlign w:val="bottom"/>
          </w:tcPr>
          <w:p w14:paraId="1BDB9BBA"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1" w:type="pct"/>
            <w:tcBorders>
              <w:top w:val="single" w:sz="8" w:space="0" w:color="auto"/>
            </w:tcBorders>
            <w:vAlign w:val="bottom"/>
          </w:tcPr>
          <w:p w14:paraId="52F1DDC6" w14:textId="77777777" w:rsidR="003E6CF5" w:rsidRPr="006501FC" w:rsidRDefault="003E6CF5" w:rsidP="003E6CF5">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3E6CF5" w:rsidRPr="006501FC" w14:paraId="6B9BE384" w14:textId="77777777" w:rsidTr="006501FC">
        <w:tc>
          <w:tcPr>
            <w:tcW w:w="950" w:type="pct"/>
            <w:vAlign w:val="bottom"/>
          </w:tcPr>
          <w:p w14:paraId="5EE85087" w14:textId="77777777" w:rsidR="003E6CF5" w:rsidRPr="006501FC" w:rsidRDefault="003E6CF5" w:rsidP="003E6CF5">
            <w:pPr>
              <w:spacing w:line="241" w:lineRule="auto"/>
              <w:ind w:left="172" w:hanging="171"/>
              <w:jc w:val="left"/>
              <w:rPr>
                <w:color w:val="000000"/>
                <w:sz w:val="15"/>
                <w:szCs w:val="15"/>
                <w:rtl/>
                <w:lang w:eastAsia="he-IL"/>
              </w:rPr>
            </w:pPr>
            <w:r w:rsidRPr="006501FC">
              <w:rPr>
                <w:rFonts w:hint="eastAsia"/>
                <w:color w:val="000000"/>
                <w:sz w:val="15"/>
                <w:szCs w:val="15"/>
                <w:rtl/>
                <w:lang w:eastAsia="he-IL"/>
              </w:rPr>
              <w:t>מזה</w:t>
            </w:r>
            <w:r w:rsidRPr="006501FC">
              <w:rPr>
                <w:color w:val="000000"/>
                <w:sz w:val="15"/>
                <w:szCs w:val="15"/>
                <w:rtl/>
                <w:lang w:eastAsia="he-IL"/>
              </w:rPr>
              <w:t xml:space="preserve">: </w:t>
            </w:r>
            <w:r w:rsidRPr="006501FC">
              <w:rPr>
                <w:rFonts w:hint="eastAsia"/>
                <w:color w:val="000000"/>
                <w:sz w:val="15"/>
                <w:szCs w:val="15"/>
                <w:rtl/>
                <w:lang w:eastAsia="he-IL"/>
              </w:rPr>
              <w:t>השקעות</w:t>
            </w:r>
            <w:r w:rsidRPr="006501FC">
              <w:rPr>
                <w:color w:val="000000"/>
                <w:sz w:val="15"/>
                <w:szCs w:val="15"/>
                <w:rtl/>
                <w:lang w:eastAsia="he-IL"/>
              </w:rPr>
              <w:t xml:space="preserve"> </w:t>
            </w:r>
            <w:r w:rsidRPr="006501FC">
              <w:rPr>
                <w:rFonts w:hint="eastAsia"/>
                <w:color w:val="000000"/>
                <w:sz w:val="15"/>
                <w:szCs w:val="15"/>
                <w:rtl/>
                <w:lang w:eastAsia="he-IL"/>
              </w:rPr>
              <w:t>בחברות</w:t>
            </w:r>
            <w:r w:rsidRPr="006501FC">
              <w:rPr>
                <w:color w:val="000000"/>
                <w:sz w:val="15"/>
                <w:szCs w:val="15"/>
                <w:rtl/>
                <w:lang w:eastAsia="he-IL"/>
              </w:rPr>
              <w:t xml:space="preserve"> </w:t>
            </w:r>
            <w:r w:rsidRPr="006501FC">
              <w:rPr>
                <w:rFonts w:hint="eastAsia"/>
                <w:color w:val="000000"/>
                <w:sz w:val="15"/>
                <w:szCs w:val="15"/>
                <w:rtl/>
                <w:lang w:eastAsia="he-IL"/>
              </w:rPr>
              <w:t>כלולות</w:t>
            </w:r>
            <w:r w:rsidRPr="006501FC">
              <w:rPr>
                <w:color w:val="000000"/>
                <w:sz w:val="15"/>
                <w:szCs w:val="15"/>
                <w:vertAlign w:val="superscript"/>
                <w:rtl/>
                <w:lang w:eastAsia="he-IL"/>
              </w:rPr>
              <w:t>(א)</w:t>
            </w:r>
          </w:p>
        </w:tc>
        <w:tc>
          <w:tcPr>
            <w:tcW w:w="264" w:type="pct"/>
            <w:vAlign w:val="bottom"/>
          </w:tcPr>
          <w:p w14:paraId="11662A48"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1770BA77"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5AAE2472"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65B9129D"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080BEBC7"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4C60E37F"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3C044D70"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0C1B9469"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19194801"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vAlign w:val="bottom"/>
          </w:tcPr>
          <w:p w14:paraId="79EC0941"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6F2BF9F9"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0521ACF0" w14:textId="77777777" w:rsidR="003E6CF5" w:rsidRPr="006501FC" w:rsidRDefault="003E6CF5" w:rsidP="003E6CF5">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1" w:type="pct"/>
            <w:vAlign w:val="bottom"/>
          </w:tcPr>
          <w:p w14:paraId="77F420D1" w14:textId="77777777" w:rsidR="003E6CF5" w:rsidRPr="006501FC" w:rsidRDefault="003E6CF5" w:rsidP="003E6CF5">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4C81007A" w14:textId="77777777" w:rsidTr="006501FC">
        <w:tc>
          <w:tcPr>
            <w:tcW w:w="950" w:type="pct"/>
            <w:vAlign w:val="bottom"/>
          </w:tcPr>
          <w:p w14:paraId="567426E1" w14:textId="19498661" w:rsidR="006501FC" w:rsidRPr="006501FC" w:rsidRDefault="006501FC" w:rsidP="006501FC">
            <w:pPr>
              <w:spacing w:line="241" w:lineRule="auto"/>
              <w:ind w:left="340"/>
              <w:jc w:val="left"/>
              <w:rPr>
                <w:color w:val="000000"/>
                <w:sz w:val="15"/>
                <w:szCs w:val="15"/>
                <w:rtl/>
                <w:lang w:eastAsia="he-IL"/>
              </w:rPr>
            </w:pPr>
            <w:r w:rsidRPr="006501FC">
              <w:rPr>
                <w:rFonts w:hint="eastAsia"/>
                <w:color w:val="000000"/>
                <w:sz w:val="15"/>
                <w:szCs w:val="15"/>
                <w:rtl/>
                <w:lang w:eastAsia="he-IL"/>
              </w:rPr>
              <w:t>יתרה</w:t>
            </w:r>
            <w:r w:rsidRPr="006501FC">
              <w:rPr>
                <w:color w:val="000000"/>
                <w:sz w:val="15"/>
                <w:szCs w:val="15"/>
                <w:rtl/>
                <w:lang w:eastAsia="he-IL"/>
              </w:rPr>
              <w:t xml:space="preserve"> </w:t>
            </w:r>
            <w:r w:rsidRPr="006501FC">
              <w:rPr>
                <w:rFonts w:hint="eastAsia"/>
                <w:color w:val="000000"/>
                <w:sz w:val="15"/>
                <w:szCs w:val="15"/>
                <w:rtl/>
                <w:lang w:eastAsia="he-IL"/>
              </w:rPr>
              <w:t>ממוצעת</w:t>
            </w:r>
            <w:r w:rsidRPr="006501FC">
              <w:rPr>
                <w:color w:val="000000"/>
                <w:sz w:val="15"/>
                <w:szCs w:val="15"/>
                <w:rtl/>
                <w:lang w:eastAsia="he-IL"/>
              </w:rPr>
              <w:t xml:space="preserve"> </w:t>
            </w:r>
            <w:r w:rsidRPr="006501FC">
              <w:rPr>
                <w:rFonts w:hint="eastAsia"/>
                <w:color w:val="000000"/>
                <w:sz w:val="15"/>
                <w:szCs w:val="15"/>
                <w:rtl/>
                <w:lang w:eastAsia="he-IL"/>
              </w:rPr>
              <w:t>של</w:t>
            </w:r>
            <w:r w:rsidRPr="006501FC">
              <w:rPr>
                <w:color w:val="000000"/>
                <w:sz w:val="15"/>
                <w:szCs w:val="15"/>
                <w:rtl/>
                <w:lang w:eastAsia="he-IL"/>
              </w:rPr>
              <w:t xml:space="preserve"> </w:t>
            </w:r>
            <w:r w:rsidRPr="006501FC">
              <w:rPr>
                <w:rFonts w:hint="eastAsia"/>
                <w:color w:val="000000"/>
                <w:sz w:val="15"/>
                <w:szCs w:val="15"/>
                <w:rtl/>
                <w:lang w:eastAsia="he-IL"/>
              </w:rPr>
              <w:t>אשראי</w:t>
            </w:r>
            <w:r w:rsidRPr="006501FC">
              <w:rPr>
                <w:color w:val="000000"/>
                <w:sz w:val="15"/>
                <w:szCs w:val="15"/>
                <w:rtl/>
                <w:lang w:eastAsia="he-IL"/>
              </w:rPr>
              <w:t xml:space="preserve"> </w:t>
            </w:r>
            <w:r w:rsidRPr="006501FC">
              <w:rPr>
                <w:rFonts w:hint="cs"/>
                <w:color w:val="000000"/>
                <w:sz w:val="15"/>
                <w:szCs w:val="15"/>
                <w:rtl/>
                <w:lang w:eastAsia="he-IL"/>
              </w:rPr>
              <w:t xml:space="preserve"> </w:t>
            </w:r>
            <w:r w:rsidRPr="006501FC">
              <w:rPr>
                <w:rFonts w:hint="eastAsia"/>
                <w:color w:val="000000"/>
                <w:sz w:val="15"/>
                <w:szCs w:val="15"/>
                <w:rtl/>
                <w:lang w:eastAsia="he-IL"/>
              </w:rPr>
              <w:t>לציבור</w:t>
            </w:r>
            <w:r w:rsidRPr="006501FC">
              <w:rPr>
                <w:color w:val="000000"/>
                <w:sz w:val="15"/>
                <w:szCs w:val="15"/>
                <w:vertAlign w:val="superscript"/>
                <w:rtl/>
                <w:lang w:eastAsia="he-IL"/>
              </w:rPr>
              <w:t>(א)</w:t>
            </w:r>
          </w:p>
        </w:tc>
        <w:tc>
          <w:tcPr>
            <w:tcW w:w="264" w:type="pct"/>
            <w:vAlign w:val="bottom"/>
          </w:tcPr>
          <w:p w14:paraId="41045D2E"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5F778693"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07729F94"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5360B300"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3FBFF6B8"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4268C404"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483498C2"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24D51302"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1D4706F9" w14:textId="51A9B98E" w:rsidR="006501FC" w:rsidRPr="006501FC" w:rsidRDefault="006501FC" w:rsidP="006501FC">
            <w:pPr>
              <w:spacing w:line="241" w:lineRule="auto"/>
              <w:ind w:left="85" w:right="85"/>
              <w:jc w:val="left"/>
              <w:rPr>
                <w:color w:val="000000"/>
                <w:sz w:val="15"/>
                <w:szCs w:val="15"/>
                <w:rtl/>
                <w:lang w:eastAsia="he-IL"/>
              </w:rPr>
            </w:pPr>
            <w:r w:rsidRPr="006501FC">
              <w:rPr>
                <w:rFonts w:hint="cs"/>
                <w:color w:val="000000"/>
                <w:sz w:val="15"/>
                <w:szCs w:val="15"/>
                <w:rtl/>
                <w:lang w:eastAsia="he-IL"/>
              </w:rPr>
              <w:t>-</w:t>
            </w:r>
          </w:p>
        </w:tc>
        <w:tc>
          <w:tcPr>
            <w:tcW w:w="230" w:type="pct"/>
            <w:vAlign w:val="bottom"/>
          </w:tcPr>
          <w:p w14:paraId="48E350BA"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539CDA58"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43713597"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1" w:type="pct"/>
            <w:vAlign w:val="bottom"/>
          </w:tcPr>
          <w:p w14:paraId="6921B09A" w14:textId="77777777" w:rsidR="006501FC" w:rsidRPr="006501FC" w:rsidRDefault="006501FC" w:rsidP="006501FC">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700C2096" w14:textId="77777777" w:rsidTr="006501FC">
        <w:tc>
          <w:tcPr>
            <w:tcW w:w="950" w:type="pct"/>
            <w:vAlign w:val="bottom"/>
          </w:tcPr>
          <w:p w14:paraId="0BFC1DD1" w14:textId="77777777" w:rsidR="006501FC" w:rsidRPr="006501FC" w:rsidRDefault="006501FC" w:rsidP="006501FC">
            <w:pPr>
              <w:spacing w:line="241" w:lineRule="auto"/>
              <w:ind w:firstLine="1"/>
              <w:jc w:val="left"/>
              <w:rPr>
                <w:color w:val="000000"/>
                <w:sz w:val="15"/>
                <w:szCs w:val="15"/>
                <w:rtl/>
                <w:lang w:eastAsia="he-IL"/>
              </w:rPr>
            </w:pPr>
            <w:r w:rsidRPr="006501FC">
              <w:rPr>
                <w:rFonts w:hint="eastAsia"/>
                <w:color w:val="000000"/>
                <w:sz w:val="15"/>
                <w:szCs w:val="15"/>
                <w:rtl/>
                <w:lang w:eastAsia="he-IL"/>
              </w:rPr>
              <w:t>יתרת</w:t>
            </w:r>
            <w:r w:rsidRPr="006501FC">
              <w:rPr>
                <w:color w:val="000000"/>
                <w:sz w:val="15"/>
                <w:szCs w:val="15"/>
                <w:rtl/>
                <w:lang w:eastAsia="he-IL"/>
              </w:rPr>
              <w:t xml:space="preserve"> </w:t>
            </w:r>
            <w:r w:rsidRPr="006501FC">
              <w:rPr>
                <w:rFonts w:hint="eastAsia"/>
                <w:color w:val="000000"/>
                <w:sz w:val="15"/>
                <w:szCs w:val="15"/>
                <w:rtl/>
                <w:lang w:eastAsia="he-IL"/>
              </w:rPr>
              <w:t>האשראי</w:t>
            </w:r>
            <w:r w:rsidRPr="006501FC">
              <w:rPr>
                <w:color w:val="000000"/>
                <w:sz w:val="15"/>
                <w:szCs w:val="15"/>
                <w:rtl/>
                <w:lang w:eastAsia="he-IL"/>
              </w:rPr>
              <w:t xml:space="preserve"> </w:t>
            </w:r>
            <w:r w:rsidRPr="006501FC">
              <w:rPr>
                <w:rFonts w:hint="eastAsia"/>
                <w:color w:val="000000"/>
                <w:sz w:val="15"/>
                <w:szCs w:val="15"/>
                <w:rtl/>
                <w:lang w:eastAsia="he-IL"/>
              </w:rPr>
              <w:t>לציבור</w:t>
            </w:r>
            <w:r w:rsidRPr="006501FC">
              <w:rPr>
                <w:color w:val="000000"/>
                <w:sz w:val="15"/>
                <w:szCs w:val="15"/>
                <w:rtl/>
                <w:lang w:eastAsia="he-IL"/>
              </w:rPr>
              <w:t xml:space="preserve"> </w:t>
            </w:r>
            <w:r w:rsidRPr="006501FC">
              <w:rPr>
                <w:rFonts w:hint="eastAsia"/>
                <w:color w:val="000000"/>
                <w:sz w:val="15"/>
                <w:szCs w:val="15"/>
                <w:rtl/>
                <w:lang w:eastAsia="he-IL"/>
              </w:rPr>
              <w:t>לסוף</w:t>
            </w:r>
            <w:r w:rsidRPr="006501FC">
              <w:rPr>
                <w:color w:val="000000"/>
                <w:sz w:val="15"/>
                <w:szCs w:val="15"/>
                <w:rtl/>
                <w:lang w:eastAsia="he-IL"/>
              </w:rPr>
              <w:t xml:space="preserve"> </w:t>
            </w:r>
            <w:r w:rsidRPr="006501FC">
              <w:rPr>
                <w:rFonts w:hint="eastAsia"/>
                <w:color w:val="000000"/>
                <w:sz w:val="15"/>
                <w:szCs w:val="15"/>
                <w:rtl/>
                <w:lang w:eastAsia="he-IL"/>
              </w:rPr>
              <w:t>תקופת</w:t>
            </w:r>
            <w:r w:rsidRPr="006501FC">
              <w:rPr>
                <w:color w:val="000000"/>
                <w:sz w:val="15"/>
                <w:szCs w:val="15"/>
                <w:rtl/>
                <w:lang w:eastAsia="he-IL"/>
              </w:rPr>
              <w:t xml:space="preserve"> </w:t>
            </w:r>
            <w:r w:rsidRPr="006501FC">
              <w:rPr>
                <w:rFonts w:hint="eastAsia"/>
                <w:color w:val="000000"/>
                <w:sz w:val="15"/>
                <w:szCs w:val="15"/>
                <w:rtl/>
                <w:lang w:eastAsia="he-IL"/>
              </w:rPr>
              <w:t>הדיווח</w:t>
            </w:r>
          </w:p>
        </w:tc>
        <w:tc>
          <w:tcPr>
            <w:tcW w:w="264" w:type="pct"/>
            <w:vAlign w:val="bottom"/>
          </w:tcPr>
          <w:p w14:paraId="62109811"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31A6A668"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614AC2A4"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0C19E5C6"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58908863"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3BCD254B"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481C743B"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06A3C7F0"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543A071F" w14:textId="71F233D2" w:rsidR="006501FC" w:rsidRPr="006501FC" w:rsidRDefault="006501FC" w:rsidP="006501FC">
            <w:pPr>
              <w:spacing w:line="241" w:lineRule="auto"/>
              <w:ind w:left="85" w:right="85"/>
              <w:jc w:val="left"/>
              <w:rPr>
                <w:color w:val="000000"/>
                <w:sz w:val="15"/>
                <w:szCs w:val="15"/>
                <w:rtl/>
                <w:lang w:eastAsia="he-IL"/>
              </w:rPr>
            </w:pPr>
            <w:r w:rsidRPr="006501FC">
              <w:rPr>
                <w:rFonts w:hint="cs"/>
                <w:color w:val="000000"/>
                <w:sz w:val="15"/>
                <w:szCs w:val="15"/>
                <w:rtl/>
                <w:lang w:eastAsia="he-IL"/>
              </w:rPr>
              <w:t>-</w:t>
            </w:r>
          </w:p>
        </w:tc>
        <w:tc>
          <w:tcPr>
            <w:tcW w:w="230" w:type="pct"/>
            <w:vAlign w:val="bottom"/>
          </w:tcPr>
          <w:p w14:paraId="51300E4C"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3BA151E0"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36CED72A"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1" w:type="pct"/>
            <w:vAlign w:val="bottom"/>
          </w:tcPr>
          <w:p w14:paraId="38214977" w14:textId="77777777" w:rsidR="006501FC" w:rsidRPr="006501FC" w:rsidRDefault="006501FC" w:rsidP="006501FC">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33DB071E" w14:textId="77777777" w:rsidTr="006501FC">
        <w:tc>
          <w:tcPr>
            <w:tcW w:w="950" w:type="pct"/>
            <w:vAlign w:val="bottom"/>
          </w:tcPr>
          <w:p w14:paraId="2FECFA36" w14:textId="7A7892EE" w:rsidR="006501FC" w:rsidRPr="006501FC" w:rsidRDefault="006501FC" w:rsidP="006501FC">
            <w:pPr>
              <w:spacing w:line="241" w:lineRule="auto"/>
              <w:ind w:left="172" w:hanging="171"/>
              <w:jc w:val="left"/>
              <w:rPr>
                <w:color w:val="000000"/>
                <w:sz w:val="15"/>
                <w:szCs w:val="15"/>
                <w:rtl/>
                <w:lang w:eastAsia="he-IL"/>
              </w:rPr>
            </w:pPr>
            <w:r w:rsidRPr="006501FC">
              <w:rPr>
                <w:color w:val="000000"/>
                <w:sz w:val="15"/>
                <w:szCs w:val="15"/>
                <w:rtl/>
                <w:lang w:eastAsia="he-IL"/>
              </w:rPr>
              <w:t>יתרת חובות לא צוברים</w:t>
            </w:r>
            <w:r w:rsidRPr="006501FC">
              <w:rPr>
                <w:rFonts w:hint="cs"/>
                <w:color w:val="000000"/>
                <w:sz w:val="15"/>
                <w:szCs w:val="15"/>
                <w:rtl/>
                <w:lang w:eastAsia="he-IL"/>
              </w:rPr>
              <w:t xml:space="preserve"> וחובות בפיגור מעל 90 יום</w:t>
            </w:r>
          </w:p>
        </w:tc>
        <w:tc>
          <w:tcPr>
            <w:tcW w:w="264" w:type="pct"/>
            <w:vAlign w:val="bottom"/>
          </w:tcPr>
          <w:p w14:paraId="3147BDB0" w14:textId="7EA9AE4A"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2844DB23" w14:textId="4E905A92"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74978B27" w14:textId="12EF7F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74C25545" w14:textId="08F9A55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5E4E2CE1" w14:textId="6C48BB6B"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781C9478" w14:textId="3D4AD648"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7B78AC89" w14:textId="7B0B5CE6"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5F80082B" w14:textId="7DF7CE19"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4DC631F6" w14:textId="2618083B"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vAlign w:val="bottom"/>
          </w:tcPr>
          <w:p w14:paraId="47778A20" w14:textId="7AE2CF9B"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4FFACCB5" w14:textId="6A436771"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638C28D9" w14:textId="36E436E3"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1" w:type="pct"/>
            <w:vAlign w:val="bottom"/>
          </w:tcPr>
          <w:p w14:paraId="1307F8A8" w14:textId="6C1A7E53" w:rsidR="006501FC" w:rsidRPr="006501FC" w:rsidRDefault="006501FC" w:rsidP="006501FC">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289D4A40" w14:textId="77777777" w:rsidTr="006501FC">
        <w:tc>
          <w:tcPr>
            <w:tcW w:w="950" w:type="pct"/>
            <w:vAlign w:val="bottom"/>
          </w:tcPr>
          <w:p w14:paraId="212F62CF" w14:textId="4F6D2A84" w:rsidR="006501FC" w:rsidRPr="006501FC" w:rsidRDefault="006501FC" w:rsidP="006501FC">
            <w:pPr>
              <w:spacing w:line="241" w:lineRule="auto"/>
              <w:ind w:left="172" w:hanging="171"/>
              <w:jc w:val="left"/>
              <w:rPr>
                <w:color w:val="000000"/>
                <w:sz w:val="15"/>
                <w:szCs w:val="15"/>
                <w:rtl/>
                <w:lang w:eastAsia="he-IL"/>
              </w:rPr>
            </w:pPr>
            <w:r w:rsidRPr="006501FC">
              <w:rPr>
                <w:rFonts w:hint="cs"/>
                <w:color w:val="000000"/>
                <w:sz w:val="15"/>
                <w:szCs w:val="15"/>
                <w:rtl/>
                <w:lang w:eastAsia="he-IL"/>
              </w:rPr>
              <w:t>יתרת חובות בעייתים אחרים</w:t>
            </w:r>
          </w:p>
        </w:tc>
        <w:tc>
          <w:tcPr>
            <w:tcW w:w="264" w:type="pct"/>
            <w:vAlign w:val="bottom"/>
          </w:tcPr>
          <w:p w14:paraId="31EE6290" w14:textId="2A04E73E"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2147ED1B" w14:textId="1927EE79"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5F5FE086" w14:textId="2BF44D3C"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7C356BF6" w14:textId="5643AFE4"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287BC32A" w14:textId="7DBFA766"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2EFAF368" w14:textId="3C85F1A3"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6C58ABC1" w14:textId="7993BE2C"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20C1F630" w14:textId="33F39486"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4C0E58A4" w14:textId="48A048A1"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vAlign w:val="bottom"/>
          </w:tcPr>
          <w:p w14:paraId="5D6B772C" w14:textId="603F9468"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7EC7CCE4" w14:textId="022D3C2B"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520C34F9" w14:textId="1C69DDB1"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1" w:type="pct"/>
            <w:vAlign w:val="bottom"/>
          </w:tcPr>
          <w:p w14:paraId="39590EE5" w14:textId="246A9F41" w:rsidR="006501FC" w:rsidRPr="006501FC" w:rsidRDefault="006501FC" w:rsidP="006501FC">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3CD3549C" w14:textId="77777777" w:rsidTr="006501FC">
        <w:tc>
          <w:tcPr>
            <w:tcW w:w="950" w:type="pct"/>
            <w:vAlign w:val="bottom"/>
          </w:tcPr>
          <w:p w14:paraId="1C4B09D7" w14:textId="754B2078" w:rsidR="006501FC" w:rsidRPr="006501FC" w:rsidRDefault="006501FC" w:rsidP="006501FC">
            <w:pPr>
              <w:spacing w:line="241" w:lineRule="auto"/>
              <w:ind w:left="172" w:hanging="171"/>
              <w:jc w:val="left"/>
              <w:rPr>
                <w:color w:val="000000"/>
                <w:sz w:val="15"/>
                <w:szCs w:val="15"/>
                <w:rtl/>
                <w:lang w:eastAsia="he-IL"/>
              </w:rPr>
            </w:pPr>
            <w:r w:rsidRPr="006501FC">
              <w:rPr>
                <w:rFonts w:hint="cs"/>
                <w:color w:val="000000"/>
                <w:sz w:val="15"/>
                <w:szCs w:val="15"/>
                <w:rtl/>
                <w:lang w:eastAsia="he-IL"/>
              </w:rPr>
              <w:t>יתרת הפרשה להפסדי אשראי לסוף תקופת הדיווח</w:t>
            </w:r>
          </w:p>
        </w:tc>
        <w:tc>
          <w:tcPr>
            <w:tcW w:w="264" w:type="pct"/>
            <w:vAlign w:val="bottom"/>
          </w:tcPr>
          <w:p w14:paraId="05C52D97"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78729AF8"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5FB0273C"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03DE0E7B"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78DE2473"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7D295093"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350520E6"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20CBD705"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4704AEE3" w14:textId="2885D300"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vAlign w:val="bottom"/>
          </w:tcPr>
          <w:p w14:paraId="19B60CAA"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78109332"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2EEBE345"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1" w:type="pct"/>
            <w:vAlign w:val="bottom"/>
          </w:tcPr>
          <w:p w14:paraId="2A7A9C85" w14:textId="77777777" w:rsidR="006501FC" w:rsidRPr="006501FC" w:rsidRDefault="006501FC" w:rsidP="006501FC">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3E5B662A" w14:textId="77777777" w:rsidTr="006501FC">
        <w:tc>
          <w:tcPr>
            <w:tcW w:w="950" w:type="pct"/>
            <w:tcBorders>
              <w:bottom w:val="single" w:sz="8" w:space="0" w:color="auto"/>
            </w:tcBorders>
            <w:vAlign w:val="bottom"/>
          </w:tcPr>
          <w:p w14:paraId="1261CAA7" w14:textId="70053297" w:rsidR="006501FC" w:rsidRPr="006501FC" w:rsidRDefault="006501FC" w:rsidP="006501FC">
            <w:pPr>
              <w:spacing w:line="241" w:lineRule="auto"/>
              <w:ind w:left="172" w:hanging="171"/>
              <w:jc w:val="left"/>
              <w:rPr>
                <w:color w:val="000000"/>
                <w:sz w:val="15"/>
                <w:szCs w:val="15"/>
                <w:rtl/>
                <w:lang w:eastAsia="he-IL"/>
              </w:rPr>
            </w:pPr>
            <w:r w:rsidRPr="006501FC">
              <w:rPr>
                <w:rFonts w:hint="cs"/>
                <w:color w:val="000000"/>
                <w:sz w:val="15"/>
                <w:szCs w:val="15"/>
                <w:rtl/>
                <w:lang w:eastAsia="he-IL"/>
              </w:rPr>
              <w:t>מחיקות חשבונאיות נטו בתקופת הדיווח</w:t>
            </w:r>
          </w:p>
        </w:tc>
        <w:tc>
          <w:tcPr>
            <w:tcW w:w="264" w:type="pct"/>
            <w:tcBorders>
              <w:bottom w:val="single" w:sz="8" w:space="0" w:color="auto"/>
            </w:tcBorders>
            <w:vAlign w:val="bottom"/>
          </w:tcPr>
          <w:p w14:paraId="4CA8244F"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tcBorders>
              <w:bottom w:val="single" w:sz="8" w:space="0" w:color="auto"/>
            </w:tcBorders>
            <w:vAlign w:val="bottom"/>
          </w:tcPr>
          <w:p w14:paraId="6985DB04"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tcBorders>
              <w:bottom w:val="single" w:sz="8" w:space="0" w:color="auto"/>
            </w:tcBorders>
            <w:vAlign w:val="bottom"/>
          </w:tcPr>
          <w:p w14:paraId="4F300D02"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tcBorders>
              <w:bottom w:val="single" w:sz="8" w:space="0" w:color="auto"/>
            </w:tcBorders>
            <w:vAlign w:val="bottom"/>
          </w:tcPr>
          <w:p w14:paraId="016FD66E"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tcBorders>
              <w:bottom w:val="single" w:sz="8" w:space="0" w:color="auto"/>
            </w:tcBorders>
            <w:vAlign w:val="bottom"/>
          </w:tcPr>
          <w:p w14:paraId="3A81DF20"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tcBorders>
              <w:bottom w:val="single" w:sz="8" w:space="0" w:color="auto"/>
            </w:tcBorders>
            <w:vAlign w:val="bottom"/>
          </w:tcPr>
          <w:p w14:paraId="2359AC10"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tcBorders>
              <w:bottom w:val="single" w:sz="8" w:space="0" w:color="auto"/>
            </w:tcBorders>
            <w:vAlign w:val="bottom"/>
          </w:tcPr>
          <w:p w14:paraId="422AB429"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tcBorders>
              <w:bottom w:val="single" w:sz="8" w:space="0" w:color="auto"/>
            </w:tcBorders>
            <w:vAlign w:val="bottom"/>
          </w:tcPr>
          <w:p w14:paraId="7B4E5445"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tcBorders>
              <w:bottom w:val="single" w:sz="8" w:space="0" w:color="auto"/>
            </w:tcBorders>
            <w:vAlign w:val="bottom"/>
          </w:tcPr>
          <w:p w14:paraId="0703D0EF" w14:textId="5C8F4756"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tcBorders>
              <w:bottom w:val="single" w:sz="8" w:space="0" w:color="auto"/>
            </w:tcBorders>
            <w:vAlign w:val="bottom"/>
          </w:tcPr>
          <w:p w14:paraId="387309A9"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tcBorders>
              <w:bottom w:val="single" w:sz="8" w:space="0" w:color="auto"/>
            </w:tcBorders>
            <w:vAlign w:val="bottom"/>
          </w:tcPr>
          <w:p w14:paraId="30467203"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tcBorders>
              <w:bottom w:val="single" w:sz="8" w:space="0" w:color="auto"/>
            </w:tcBorders>
            <w:vAlign w:val="bottom"/>
          </w:tcPr>
          <w:p w14:paraId="199099DC" w14:textId="77777777" w:rsidR="006501FC" w:rsidRPr="006501FC" w:rsidRDefault="006501FC" w:rsidP="006501FC">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1" w:type="pct"/>
            <w:tcBorders>
              <w:bottom w:val="single" w:sz="8" w:space="0" w:color="auto"/>
            </w:tcBorders>
            <w:vAlign w:val="bottom"/>
          </w:tcPr>
          <w:p w14:paraId="5B6B4C4F" w14:textId="77777777" w:rsidR="006501FC" w:rsidRPr="006501FC" w:rsidRDefault="006501FC" w:rsidP="006501FC">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3E6CF5" w:rsidRPr="006501FC" w14:paraId="075E3CE5" w14:textId="77777777" w:rsidTr="006501FC">
        <w:tc>
          <w:tcPr>
            <w:tcW w:w="950" w:type="pct"/>
            <w:vAlign w:val="bottom"/>
          </w:tcPr>
          <w:p w14:paraId="68A70374" w14:textId="77777777" w:rsidR="003E6CF5" w:rsidRPr="006501FC" w:rsidRDefault="003E6CF5" w:rsidP="00471EB3">
            <w:pPr>
              <w:spacing w:before="120"/>
              <w:ind w:left="170" w:hanging="170"/>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יתרה ממוצעת של התחייבויות</w:t>
            </w:r>
            <w:r w:rsidRPr="006501FC">
              <w:rPr>
                <w:rFonts w:asciiTheme="minorBidi" w:hAnsiTheme="minorBidi" w:cstheme="minorBidi"/>
                <w:color w:val="000000"/>
                <w:sz w:val="15"/>
                <w:szCs w:val="15"/>
                <w:vertAlign w:val="superscript"/>
                <w:rtl/>
                <w:lang w:eastAsia="he-IL"/>
              </w:rPr>
              <w:t>(א)</w:t>
            </w:r>
          </w:p>
        </w:tc>
        <w:tc>
          <w:tcPr>
            <w:tcW w:w="264" w:type="pct"/>
            <w:vAlign w:val="bottom"/>
          </w:tcPr>
          <w:p w14:paraId="6A3C66E9"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2A44D675"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2DE409DE"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205B4871"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68F6D2C4"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6000A07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1319BBD9"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5D481E8A"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32C88281"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514357B1"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1F88106C"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41EAC10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vAlign w:val="bottom"/>
          </w:tcPr>
          <w:p w14:paraId="65FBC91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3E6CF5" w:rsidRPr="006501FC" w14:paraId="70D670CA" w14:textId="77777777" w:rsidTr="006501FC">
        <w:tc>
          <w:tcPr>
            <w:tcW w:w="950" w:type="pct"/>
            <w:vAlign w:val="bottom"/>
          </w:tcPr>
          <w:p w14:paraId="4552BFE2" w14:textId="77777777" w:rsidR="003E6CF5" w:rsidRPr="006501FC" w:rsidRDefault="003E6CF5" w:rsidP="00471EB3">
            <w:pPr>
              <w:spacing w:line="241" w:lineRule="auto"/>
              <w:ind w:left="394" w:hanging="394"/>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מזה: יתרה ממוצעת של פיקדונות הציבור</w:t>
            </w:r>
            <w:r w:rsidRPr="006501FC">
              <w:rPr>
                <w:rFonts w:asciiTheme="minorBidi" w:hAnsiTheme="minorBidi" w:cstheme="minorBidi"/>
                <w:color w:val="000000"/>
                <w:sz w:val="15"/>
                <w:szCs w:val="15"/>
                <w:vertAlign w:val="superscript"/>
                <w:rtl/>
                <w:lang w:eastAsia="he-IL"/>
              </w:rPr>
              <w:t>(א)</w:t>
            </w:r>
          </w:p>
        </w:tc>
        <w:tc>
          <w:tcPr>
            <w:tcW w:w="264" w:type="pct"/>
            <w:vAlign w:val="bottom"/>
          </w:tcPr>
          <w:p w14:paraId="12981EC4"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70E0FAA0"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01FBB98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310904A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42042C4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35234D5A"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265B39F5"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14CB31B1"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523E03EE"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302996E1"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468E124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535FEDC8"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vAlign w:val="bottom"/>
          </w:tcPr>
          <w:p w14:paraId="2231F025"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3E6CF5" w:rsidRPr="006501FC" w14:paraId="27EC288A" w14:textId="77777777" w:rsidTr="006501FC">
        <w:tc>
          <w:tcPr>
            <w:tcW w:w="950" w:type="pct"/>
            <w:vAlign w:val="bottom"/>
          </w:tcPr>
          <w:p w14:paraId="6DB1DBCF" w14:textId="77777777" w:rsidR="003E6CF5" w:rsidRPr="006501FC" w:rsidRDefault="003E6CF5" w:rsidP="00471EB3">
            <w:pPr>
              <w:spacing w:line="241" w:lineRule="auto"/>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יתרת פיקדונות הציבור לסוף תקופת הדיווח</w:t>
            </w:r>
          </w:p>
        </w:tc>
        <w:tc>
          <w:tcPr>
            <w:tcW w:w="264" w:type="pct"/>
            <w:vAlign w:val="bottom"/>
          </w:tcPr>
          <w:p w14:paraId="5B4A79BA"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532CB334"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74E3BB89"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5F9E7B51"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5DEDB8B4"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03D3A8E9"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6A03AC1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29EEBA97"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4678F577"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296DC26E"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72C8B48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18C26C39"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vAlign w:val="bottom"/>
          </w:tcPr>
          <w:p w14:paraId="75BE7DC7"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3E6CF5" w:rsidRPr="006501FC" w14:paraId="35CEF7DA" w14:textId="77777777" w:rsidTr="006501FC">
        <w:tc>
          <w:tcPr>
            <w:tcW w:w="950" w:type="pct"/>
            <w:vAlign w:val="bottom"/>
          </w:tcPr>
          <w:p w14:paraId="29DC09AE" w14:textId="77777777" w:rsidR="003E6CF5" w:rsidRPr="006501FC" w:rsidRDefault="003E6CF5" w:rsidP="003E6CF5">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יתרה ממוצעת של נכסי סיכון</w:t>
            </w:r>
            <w:r w:rsidRPr="006501FC">
              <w:rPr>
                <w:rFonts w:asciiTheme="minorBidi" w:hAnsiTheme="minorBidi" w:cstheme="minorBidi"/>
                <w:color w:val="000000"/>
                <w:sz w:val="15"/>
                <w:szCs w:val="15"/>
                <w:vertAlign w:val="superscript"/>
                <w:rtl/>
                <w:lang w:eastAsia="he-IL"/>
              </w:rPr>
              <w:t>(א),(ב)</w:t>
            </w:r>
          </w:p>
        </w:tc>
        <w:tc>
          <w:tcPr>
            <w:tcW w:w="264" w:type="pct"/>
            <w:vAlign w:val="bottom"/>
          </w:tcPr>
          <w:p w14:paraId="796C1FF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44142D90"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5524C281"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7E46BCDB"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7AC81045"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68252AD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74EA4D9A"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5BB00DAC"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0C095BB9"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5E1092AF"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3CD8328B"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4D17D8B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vAlign w:val="bottom"/>
          </w:tcPr>
          <w:p w14:paraId="26E18C45"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3E6CF5" w:rsidRPr="006501FC" w14:paraId="4F463766" w14:textId="77777777" w:rsidTr="006501FC">
        <w:tc>
          <w:tcPr>
            <w:tcW w:w="950" w:type="pct"/>
            <w:vAlign w:val="bottom"/>
          </w:tcPr>
          <w:p w14:paraId="6007364B" w14:textId="77777777" w:rsidR="003E6CF5" w:rsidRPr="006501FC" w:rsidRDefault="003E6CF5" w:rsidP="00471EB3">
            <w:pPr>
              <w:spacing w:line="241" w:lineRule="auto"/>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יתרת נכסי סיכון לסוף תקופת הדיווח</w:t>
            </w:r>
            <w:r w:rsidRPr="006501FC">
              <w:rPr>
                <w:rFonts w:asciiTheme="minorBidi" w:hAnsiTheme="minorBidi" w:cstheme="minorBidi"/>
                <w:color w:val="000000"/>
                <w:sz w:val="15"/>
                <w:szCs w:val="15"/>
                <w:vertAlign w:val="superscript"/>
                <w:rtl/>
                <w:lang w:eastAsia="he-IL"/>
              </w:rPr>
              <w:t>(ב)</w:t>
            </w:r>
          </w:p>
        </w:tc>
        <w:tc>
          <w:tcPr>
            <w:tcW w:w="264" w:type="pct"/>
            <w:vAlign w:val="bottom"/>
          </w:tcPr>
          <w:p w14:paraId="0FBABBC2"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09C1B328"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6702C96A"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70F5D713"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2248DF80"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60B3050B"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4ED56524"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6B95F05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72331B44"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2DA9E6BB"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6A05647B"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6BECA6A3"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vAlign w:val="bottom"/>
          </w:tcPr>
          <w:p w14:paraId="70C1A0E4"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3E6CF5" w:rsidRPr="006501FC" w14:paraId="3698D44E" w14:textId="77777777" w:rsidTr="006501FC">
        <w:tc>
          <w:tcPr>
            <w:tcW w:w="950" w:type="pct"/>
            <w:tcBorders>
              <w:bottom w:val="single" w:sz="8" w:space="0" w:color="auto"/>
            </w:tcBorders>
            <w:vAlign w:val="bottom"/>
          </w:tcPr>
          <w:p w14:paraId="53C82589" w14:textId="77777777" w:rsidR="003E6CF5" w:rsidRPr="006501FC" w:rsidRDefault="003E6CF5" w:rsidP="00471EB3">
            <w:pPr>
              <w:spacing w:line="241" w:lineRule="auto"/>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יתרה ממוצעת של נכסים בניהול</w:t>
            </w:r>
            <w:r w:rsidRPr="006501FC">
              <w:rPr>
                <w:rFonts w:asciiTheme="minorBidi" w:hAnsiTheme="minorBidi" w:cstheme="minorBidi"/>
                <w:color w:val="000000"/>
                <w:sz w:val="15"/>
                <w:szCs w:val="15"/>
                <w:vertAlign w:val="superscript"/>
                <w:rtl/>
                <w:lang w:eastAsia="he-IL"/>
              </w:rPr>
              <w:t>(א),(ג)</w:t>
            </w:r>
          </w:p>
        </w:tc>
        <w:tc>
          <w:tcPr>
            <w:tcW w:w="264" w:type="pct"/>
            <w:tcBorders>
              <w:bottom w:val="single" w:sz="8" w:space="0" w:color="auto"/>
            </w:tcBorders>
            <w:vAlign w:val="bottom"/>
          </w:tcPr>
          <w:p w14:paraId="4054DEAC"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tcBorders>
              <w:bottom w:val="single" w:sz="8" w:space="0" w:color="auto"/>
            </w:tcBorders>
            <w:vAlign w:val="bottom"/>
          </w:tcPr>
          <w:p w14:paraId="12EF478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tcBorders>
              <w:bottom w:val="single" w:sz="8" w:space="0" w:color="auto"/>
            </w:tcBorders>
            <w:vAlign w:val="bottom"/>
          </w:tcPr>
          <w:p w14:paraId="0097ADC2"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tcBorders>
              <w:bottom w:val="single" w:sz="8" w:space="0" w:color="auto"/>
            </w:tcBorders>
            <w:vAlign w:val="bottom"/>
          </w:tcPr>
          <w:p w14:paraId="55F1A94B"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tcBorders>
              <w:bottom w:val="single" w:sz="8" w:space="0" w:color="auto"/>
            </w:tcBorders>
            <w:vAlign w:val="bottom"/>
          </w:tcPr>
          <w:p w14:paraId="32F87678"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tcBorders>
              <w:bottom w:val="single" w:sz="8" w:space="0" w:color="auto"/>
            </w:tcBorders>
            <w:vAlign w:val="bottom"/>
          </w:tcPr>
          <w:p w14:paraId="00E59ED5"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tcBorders>
              <w:bottom w:val="single" w:sz="8" w:space="0" w:color="auto"/>
            </w:tcBorders>
            <w:vAlign w:val="bottom"/>
          </w:tcPr>
          <w:p w14:paraId="040AFE91"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tcBorders>
              <w:bottom w:val="single" w:sz="8" w:space="0" w:color="auto"/>
            </w:tcBorders>
            <w:vAlign w:val="bottom"/>
          </w:tcPr>
          <w:p w14:paraId="34D4A219"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tcBorders>
              <w:bottom w:val="single" w:sz="8" w:space="0" w:color="auto"/>
            </w:tcBorders>
            <w:vAlign w:val="bottom"/>
          </w:tcPr>
          <w:p w14:paraId="5C5B5881"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tcBorders>
              <w:bottom w:val="single" w:sz="8" w:space="0" w:color="auto"/>
            </w:tcBorders>
            <w:vAlign w:val="bottom"/>
          </w:tcPr>
          <w:p w14:paraId="375F28F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tcBorders>
              <w:bottom w:val="single" w:sz="8" w:space="0" w:color="auto"/>
            </w:tcBorders>
            <w:vAlign w:val="bottom"/>
          </w:tcPr>
          <w:p w14:paraId="58B44514"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tcBorders>
              <w:bottom w:val="single" w:sz="8" w:space="0" w:color="auto"/>
            </w:tcBorders>
            <w:vAlign w:val="bottom"/>
          </w:tcPr>
          <w:p w14:paraId="16CB01EF"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tcBorders>
              <w:bottom w:val="single" w:sz="8" w:space="0" w:color="auto"/>
            </w:tcBorders>
            <w:vAlign w:val="bottom"/>
          </w:tcPr>
          <w:p w14:paraId="0515F65C"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3E6CF5" w:rsidRPr="006501FC" w14:paraId="2AE30D6A" w14:textId="77777777" w:rsidTr="006501FC">
        <w:tc>
          <w:tcPr>
            <w:tcW w:w="950" w:type="pct"/>
            <w:vAlign w:val="bottom"/>
          </w:tcPr>
          <w:p w14:paraId="525F7C2B" w14:textId="77777777" w:rsidR="003E6CF5" w:rsidRPr="006501FC" w:rsidRDefault="003E6CF5" w:rsidP="00471EB3">
            <w:pPr>
              <w:spacing w:before="120"/>
              <w:ind w:left="170" w:hanging="170"/>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פיצול הכנסות ריבית, נטו:</w:t>
            </w:r>
          </w:p>
        </w:tc>
        <w:tc>
          <w:tcPr>
            <w:tcW w:w="264" w:type="pct"/>
            <w:vAlign w:val="bottom"/>
          </w:tcPr>
          <w:p w14:paraId="342B4E52"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24" w:type="pct"/>
            <w:vAlign w:val="bottom"/>
          </w:tcPr>
          <w:p w14:paraId="7C686B50"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297" w:type="pct"/>
            <w:vAlign w:val="bottom"/>
          </w:tcPr>
          <w:p w14:paraId="4CE9DFDC"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28" w:type="pct"/>
            <w:vAlign w:val="bottom"/>
          </w:tcPr>
          <w:p w14:paraId="433DE83E"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17" w:type="pct"/>
            <w:vAlign w:val="bottom"/>
          </w:tcPr>
          <w:p w14:paraId="39036CE3"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27" w:type="pct"/>
            <w:vAlign w:val="bottom"/>
          </w:tcPr>
          <w:p w14:paraId="53751C8D"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294" w:type="pct"/>
            <w:vAlign w:val="bottom"/>
          </w:tcPr>
          <w:p w14:paraId="4ED53021"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45" w:type="pct"/>
            <w:gridSpan w:val="2"/>
            <w:vAlign w:val="bottom"/>
          </w:tcPr>
          <w:p w14:paraId="63A432D6"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64" w:type="pct"/>
            <w:vAlign w:val="bottom"/>
          </w:tcPr>
          <w:p w14:paraId="2D3F1535"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230" w:type="pct"/>
            <w:vAlign w:val="bottom"/>
          </w:tcPr>
          <w:p w14:paraId="681D6772"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83" w:type="pct"/>
            <w:vAlign w:val="bottom"/>
          </w:tcPr>
          <w:p w14:paraId="4B166E69"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356" w:type="pct"/>
            <w:vAlign w:val="bottom"/>
          </w:tcPr>
          <w:p w14:paraId="36967E7F"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c>
          <w:tcPr>
            <w:tcW w:w="221" w:type="pct"/>
            <w:vAlign w:val="bottom"/>
          </w:tcPr>
          <w:p w14:paraId="467FAB7F" w14:textId="77777777" w:rsidR="003E6CF5" w:rsidRPr="006501FC" w:rsidRDefault="003E6CF5" w:rsidP="003E6CF5">
            <w:pPr>
              <w:spacing w:line="241" w:lineRule="auto"/>
              <w:ind w:left="85" w:right="85"/>
              <w:jc w:val="left"/>
              <w:rPr>
                <w:rFonts w:asciiTheme="minorBidi" w:hAnsiTheme="minorBidi" w:cstheme="minorBidi"/>
                <w:sz w:val="15"/>
                <w:szCs w:val="15"/>
                <w:rtl/>
              </w:rPr>
            </w:pPr>
          </w:p>
        </w:tc>
      </w:tr>
      <w:tr w:rsidR="003E6CF5" w:rsidRPr="006501FC" w14:paraId="2F92C868" w14:textId="77777777" w:rsidTr="006501FC">
        <w:tc>
          <w:tcPr>
            <w:tcW w:w="950" w:type="pct"/>
            <w:vAlign w:val="bottom"/>
          </w:tcPr>
          <w:p w14:paraId="63867306" w14:textId="77777777" w:rsidR="003E6CF5" w:rsidRPr="006501FC" w:rsidRDefault="003E6CF5" w:rsidP="003E6CF5">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מרווח מפעילות מתן אשראי</w:t>
            </w:r>
          </w:p>
        </w:tc>
        <w:tc>
          <w:tcPr>
            <w:tcW w:w="264" w:type="pct"/>
            <w:vAlign w:val="bottom"/>
          </w:tcPr>
          <w:p w14:paraId="37F78D04"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2EE99225"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5198580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5C76D6EB"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561FDA4C"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1F068927"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58C85417"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184ED5AB"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2367B66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5CCD2026"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44573B61"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618DCF74"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vAlign w:val="bottom"/>
          </w:tcPr>
          <w:p w14:paraId="185C7F77"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3E6CF5" w:rsidRPr="006501FC" w14:paraId="5C5B3EFF" w14:textId="77777777" w:rsidTr="006501FC">
        <w:tc>
          <w:tcPr>
            <w:tcW w:w="950" w:type="pct"/>
            <w:vAlign w:val="bottom"/>
          </w:tcPr>
          <w:p w14:paraId="2D1EFEE5" w14:textId="77777777" w:rsidR="003E6CF5" w:rsidRPr="006501FC" w:rsidRDefault="003E6CF5" w:rsidP="003E6CF5">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מרווח מפעילות קבלת פיקדונות</w:t>
            </w:r>
          </w:p>
        </w:tc>
        <w:tc>
          <w:tcPr>
            <w:tcW w:w="264" w:type="pct"/>
            <w:vAlign w:val="bottom"/>
          </w:tcPr>
          <w:p w14:paraId="19256B1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4B8AFBCB"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2DEA86CB"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1941F0BE"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11BD5815"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27E8D3CE"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2A1245D4"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1A0D8E24"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1512B06E"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09072C07"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7330C7A1"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31676972"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vAlign w:val="bottom"/>
          </w:tcPr>
          <w:p w14:paraId="6744FAED" w14:textId="77777777" w:rsidR="003E6CF5" w:rsidRPr="006501FC" w:rsidRDefault="003E6CF5" w:rsidP="003E6CF5">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3E6CF5" w:rsidRPr="006501FC" w14:paraId="67E2DDA8" w14:textId="77777777" w:rsidTr="006501FC">
        <w:tc>
          <w:tcPr>
            <w:tcW w:w="950" w:type="pct"/>
            <w:vAlign w:val="bottom"/>
          </w:tcPr>
          <w:p w14:paraId="338CA1DE" w14:textId="77777777" w:rsidR="003E6CF5" w:rsidRPr="006501FC" w:rsidRDefault="003E6CF5" w:rsidP="003E6CF5">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אחר</w:t>
            </w:r>
          </w:p>
        </w:tc>
        <w:tc>
          <w:tcPr>
            <w:tcW w:w="264" w:type="pct"/>
            <w:vAlign w:val="bottom"/>
          </w:tcPr>
          <w:p w14:paraId="352A8456" w14:textId="77777777" w:rsidR="003E6CF5" w:rsidRPr="006501FC" w:rsidRDefault="003E6CF5" w:rsidP="00A47443">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3B23A40B" w14:textId="77777777" w:rsidR="003E6CF5" w:rsidRPr="006501FC" w:rsidRDefault="003E6CF5" w:rsidP="00A47443">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61591ACD" w14:textId="77777777" w:rsidR="003E6CF5" w:rsidRPr="006501FC" w:rsidRDefault="003E6CF5" w:rsidP="00A47443">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32661E63" w14:textId="77777777" w:rsidR="003E6CF5" w:rsidRPr="006501FC" w:rsidRDefault="003E6CF5" w:rsidP="00A47443">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12A895BB" w14:textId="77777777" w:rsidR="003E6CF5" w:rsidRPr="006501FC" w:rsidRDefault="003E6CF5" w:rsidP="00A47443">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6884F1A3" w14:textId="77777777" w:rsidR="003E6CF5" w:rsidRPr="006501FC" w:rsidRDefault="003E6CF5" w:rsidP="00A47443">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4F36D7BA" w14:textId="77777777" w:rsidR="003E6CF5" w:rsidRPr="006501FC" w:rsidRDefault="003E6CF5" w:rsidP="00A47443">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05FEC86D" w14:textId="77777777" w:rsidR="003E6CF5" w:rsidRPr="006501FC" w:rsidRDefault="003E6CF5" w:rsidP="00A47443">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1A5BA683" w14:textId="77777777" w:rsidR="003E6CF5" w:rsidRPr="006501FC" w:rsidRDefault="003E6CF5" w:rsidP="00A47443">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490FA9CF" w14:textId="77777777" w:rsidR="003E6CF5" w:rsidRPr="006501FC" w:rsidRDefault="003E6CF5" w:rsidP="00A47443">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78F24935" w14:textId="77777777" w:rsidR="003E6CF5" w:rsidRPr="006501FC" w:rsidRDefault="003E6CF5" w:rsidP="00A47443">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01EF5C63" w14:textId="77777777" w:rsidR="003E6CF5" w:rsidRPr="006501FC" w:rsidRDefault="003E6CF5" w:rsidP="00A47443">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vAlign w:val="bottom"/>
          </w:tcPr>
          <w:p w14:paraId="56B7E541" w14:textId="77777777" w:rsidR="003E6CF5" w:rsidRPr="006501FC" w:rsidRDefault="003E6CF5" w:rsidP="00A47443">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3E6CF5" w:rsidRPr="006501FC" w14:paraId="1C5A7A17" w14:textId="77777777" w:rsidTr="006501FC">
        <w:tc>
          <w:tcPr>
            <w:tcW w:w="950" w:type="pct"/>
            <w:tcBorders>
              <w:bottom w:val="single" w:sz="8" w:space="0" w:color="auto"/>
            </w:tcBorders>
            <w:vAlign w:val="bottom"/>
          </w:tcPr>
          <w:p w14:paraId="055E6E38" w14:textId="77777777" w:rsidR="003E6CF5" w:rsidRPr="006501FC" w:rsidRDefault="003E6CF5" w:rsidP="003E6CF5">
            <w:pPr>
              <w:spacing w:line="241" w:lineRule="auto"/>
              <w:ind w:left="172" w:hanging="17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סך הכל הכנסות ריבית, נטו</w:t>
            </w:r>
          </w:p>
        </w:tc>
        <w:tc>
          <w:tcPr>
            <w:tcW w:w="264" w:type="pct"/>
            <w:tcBorders>
              <w:bottom w:val="single" w:sz="8" w:space="0" w:color="auto"/>
            </w:tcBorders>
            <w:vAlign w:val="bottom"/>
          </w:tcPr>
          <w:p w14:paraId="12B71B4F" w14:textId="77777777" w:rsidR="003E6CF5" w:rsidRPr="006501FC" w:rsidRDefault="003E6CF5" w:rsidP="00A47443">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tcBorders>
              <w:bottom w:val="single" w:sz="8" w:space="0" w:color="auto"/>
            </w:tcBorders>
            <w:vAlign w:val="bottom"/>
          </w:tcPr>
          <w:p w14:paraId="159F6BAF" w14:textId="77777777" w:rsidR="003E6CF5" w:rsidRPr="006501FC" w:rsidRDefault="003E6CF5" w:rsidP="00A47443">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tcBorders>
              <w:bottom w:val="single" w:sz="8" w:space="0" w:color="auto"/>
            </w:tcBorders>
            <w:vAlign w:val="bottom"/>
          </w:tcPr>
          <w:p w14:paraId="1FF2E514" w14:textId="77777777" w:rsidR="003E6CF5" w:rsidRPr="006501FC" w:rsidRDefault="003E6CF5" w:rsidP="00A47443">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tcBorders>
              <w:bottom w:val="single" w:sz="8" w:space="0" w:color="auto"/>
            </w:tcBorders>
            <w:vAlign w:val="bottom"/>
          </w:tcPr>
          <w:p w14:paraId="444AF533" w14:textId="77777777" w:rsidR="003E6CF5" w:rsidRPr="006501FC" w:rsidRDefault="003E6CF5" w:rsidP="00A47443">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tcBorders>
              <w:bottom w:val="single" w:sz="8" w:space="0" w:color="auto"/>
            </w:tcBorders>
            <w:vAlign w:val="bottom"/>
          </w:tcPr>
          <w:p w14:paraId="0AAD8391" w14:textId="77777777" w:rsidR="003E6CF5" w:rsidRPr="006501FC" w:rsidRDefault="003E6CF5" w:rsidP="00A47443">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tcBorders>
              <w:bottom w:val="single" w:sz="8" w:space="0" w:color="auto"/>
            </w:tcBorders>
            <w:vAlign w:val="bottom"/>
          </w:tcPr>
          <w:p w14:paraId="3D9D0394" w14:textId="77777777" w:rsidR="003E6CF5" w:rsidRPr="006501FC" w:rsidRDefault="003E6CF5" w:rsidP="00A47443">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tcBorders>
              <w:bottom w:val="single" w:sz="8" w:space="0" w:color="auto"/>
            </w:tcBorders>
            <w:vAlign w:val="bottom"/>
          </w:tcPr>
          <w:p w14:paraId="4B9F1D8E" w14:textId="77777777" w:rsidR="003E6CF5" w:rsidRPr="006501FC" w:rsidRDefault="003E6CF5" w:rsidP="00A47443">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tcBorders>
              <w:bottom w:val="single" w:sz="8" w:space="0" w:color="auto"/>
            </w:tcBorders>
            <w:vAlign w:val="bottom"/>
          </w:tcPr>
          <w:p w14:paraId="323DB3CB" w14:textId="77777777" w:rsidR="003E6CF5" w:rsidRPr="006501FC" w:rsidRDefault="003E6CF5" w:rsidP="00A47443">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tcBorders>
              <w:bottom w:val="single" w:sz="8" w:space="0" w:color="auto"/>
            </w:tcBorders>
            <w:vAlign w:val="bottom"/>
          </w:tcPr>
          <w:p w14:paraId="0427391C" w14:textId="77777777" w:rsidR="003E6CF5" w:rsidRPr="006501FC" w:rsidRDefault="003E6CF5" w:rsidP="00A47443">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tcBorders>
              <w:bottom w:val="single" w:sz="8" w:space="0" w:color="auto"/>
            </w:tcBorders>
            <w:vAlign w:val="bottom"/>
          </w:tcPr>
          <w:p w14:paraId="6FC689C9" w14:textId="77777777" w:rsidR="003E6CF5" w:rsidRPr="006501FC" w:rsidRDefault="003E6CF5" w:rsidP="00A47443">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tcBorders>
              <w:bottom w:val="single" w:sz="8" w:space="0" w:color="auto"/>
            </w:tcBorders>
            <w:vAlign w:val="bottom"/>
          </w:tcPr>
          <w:p w14:paraId="2EA0E114" w14:textId="77777777" w:rsidR="003E6CF5" w:rsidRPr="006501FC" w:rsidRDefault="003E6CF5" w:rsidP="00A47443">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tcBorders>
              <w:bottom w:val="single" w:sz="8" w:space="0" w:color="auto"/>
            </w:tcBorders>
            <w:vAlign w:val="bottom"/>
          </w:tcPr>
          <w:p w14:paraId="6CE775E2" w14:textId="77777777" w:rsidR="003E6CF5" w:rsidRPr="006501FC" w:rsidRDefault="003E6CF5" w:rsidP="00A47443">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tcBorders>
              <w:bottom w:val="single" w:sz="8" w:space="0" w:color="auto"/>
            </w:tcBorders>
            <w:vAlign w:val="bottom"/>
          </w:tcPr>
          <w:p w14:paraId="06A25318" w14:textId="77777777" w:rsidR="003E6CF5" w:rsidRPr="006501FC" w:rsidRDefault="003E6CF5" w:rsidP="00A47443">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bl>
    <w:p w14:paraId="47595884" w14:textId="77777777" w:rsidR="003E6CF5" w:rsidRDefault="003E6CF5"/>
    <w:tbl>
      <w:tblPr>
        <w:bidiVisual/>
        <w:tblW w:w="5000" w:type="pct"/>
        <w:tblInd w:w="10" w:type="dxa"/>
        <w:tblCellMar>
          <w:left w:w="28" w:type="dxa"/>
          <w:right w:w="28" w:type="dxa"/>
        </w:tblCellMar>
        <w:tblLook w:val="04A0" w:firstRow="1" w:lastRow="0" w:firstColumn="1" w:lastColumn="0" w:noHBand="0" w:noVBand="1"/>
      </w:tblPr>
      <w:tblGrid>
        <w:gridCol w:w="10207"/>
      </w:tblGrid>
      <w:tr w:rsidR="003E6CF5" w:rsidRPr="00E604CD" w14:paraId="56EFDF79" w14:textId="77777777" w:rsidTr="00400DD1">
        <w:tc>
          <w:tcPr>
            <w:tcW w:w="5000" w:type="pct"/>
            <w:vAlign w:val="bottom"/>
          </w:tcPr>
          <w:p w14:paraId="1F45E1B0" w14:textId="77777777" w:rsidR="003E6CF5" w:rsidRPr="003E6CF5" w:rsidRDefault="003E6CF5" w:rsidP="00400DD1">
            <w:pPr>
              <w:spacing w:line="241" w:lineRule="auto"/>
              <w:ind w:left="297" w:right="28" w:hanging="269"/>
              <w:jc w:val="left"/>
              <w:rPr>
                <w:sz w:val="16"/>
                <w:szCs w:val="16"/>
                <w:rtl/>
              </w:rPr>
            </w:pPr>
            <w:r w:rsidRPr="003E6CF5">
              <w:rPr>
                <w:color w:val="000000"/>
                <w:sz w:val="16"/>
                <w:szCs w:val="16"/>
                <w:rtl/>
                <w:lang w:eastAsia="he-IL"/>
              </w:rPr>
              <w:t xml:space="preserve">(א) </w:t>
            </w:r>
            <w:r w:rsidRPr="003E6CF5">
              <w:rPr>
                <w:sz w:val="16"/>
                <w:szCs w:val="16"/>
                <w:rtl/>
              </w:rPr>
              <w:tab/>
            </w:r>
            <w:r w:rsidRPr="003E6CF5">
              <w:rPr>
                <w:rFonts w:hint="eastAsia"/>
                <w:sz w:val="16"/>
                <w:szCs w:val="16"/>
                <w:rtl/>
              </w:rPr>
              <w:t>יתרות</w:t>
            </w:r>
            <w:r w:rsidRPr="003E6CF5">
              <w:rPr>
                <w:sz w:val="16"/>
                <w:szCs w:val="16"/>
                <w:rtl/>
              </w:rPr>
              <w:t xml:space="preserve"> </w:t>
            </w:r>
            <w:r w:rsidRPr="003E6CF5">
              <w:rPr>
                <w:rFonts w:hint="eastAsia"/>
                <w:sz w:val="16"/>
                <w:szCs w:val="16"/>
                <w:rtl/>
              </w:rPr>
              <w:t>ממוצעות</w:t>
            </w:r>
            <w:r w:rsidRPr="003E6CF5">
              <w:rPr>
                <w:sz w:val="16"/>
                <w:szCs w:val="16"/>
                <w:rtl/>
              </w:rPr>
              <w:t xml:space="preserve"> </w:t>
            </w:r>
            <w:r w:rsidRPr="003E6CF5">
              <w:rPr>
                <w:rFonts w:hint="eastAsia"/>
                <w:sz w:val="16"/>
                <w:szCs w:val="16"/>
                <w:rtl/>
              </w:rPr>
              <w:t>מחושבות</w:t>
            </w:r>
            <w:r w:rsidRPr="003E6CF5">
              <w:rPr>
                <w:sz w:val="16"/>
                <w:szCs w:val="16"/>
                <w:rtl/>
              </w:rPr>
              <w:t xml:space="preserve"> </w:t>
            </w:r>
            <w:r w:rsidRPr="003E6CF5">
              <w:rPr>
                <w:rFonts w:hint="eastAsia"/>
                <w:sz w:val="16"/>
                <w:szCs w:val="16"/>
                <w:rtl/>
              </w:rPr>
              <w:t>על</w:t>
            </w:r>
            <w:r w:rsidRPr="003E6CF5">
              <w:rPr>
                <w:sz w:val="16"/>
                <w:szCs w:val="16"/>
                <w:rtl/>
              </w:rPr>
              <w:t xml:space="preserve"> </w:t>
            </w:r>
            <w:r w:rsidRPr="003E6CF5">
              <w:rPr>
                <w:rFonts w:hint="eastAsia"/>
                <w:sz w:val="16"/>
                <w:szCs w:val="16"/>
                <w:rtl/>
              </w:rPr>
              <w:t>בסיס</w:t>
            </w:r>
            <w:r w:rsidRPr="003E6CF5">
              <w:rPr>
                <w:sz w:val="16"/>
                <w:szCs w:val="16"/>
                <w:rtl/>
              </w:rPr>
              <w:t xml:space="preserve"> </w:t>
            </w:r>
            <w:r w:rsidRPr="003E6CF5">
              <w:rPr>
                <w:rFonts w:hint="eastAsia"/>
                <w:sz w:val="16"/>
                <w:szCs w:val="16"/>
                <w:rtl/>
              </w:rPr>
              <w:t>יתרות</w:t>
            </w:r>
            <w:r w:rsidRPr="003E6CF5">
              <w:rPr>
                <w:sz w:val="16"/>
                <w:szCs w:val="16"/>
                <w:rtl/>
              </w:rPr>
              <w:t xml:space="preserve"> </w:t>
            </w:r>
            <w:r w:rsidRPr="003E6CF5">
              <w:rPr>
                <w:rFonts w:hint="eastAsia"/>
                <w:sz w:val="16"/>
                <w:szCs w:val="16"/>
                <w:rtl/>
              </w:rPr>
              <w:t>לתחילת</w:t>
            </w:r>
            <w:r w:rsidRPr="003E6CF5">
              <w:rPr>
                <w:sz w:val="16"/>
                <w:szCs w:val="16"/>
                <w:rtl/>
              </w:rPr>
              <w:t xml:space="preserve"> </w:t>
            </w:r>
            <w:r w:rsidRPr="003E6CF5">
              <w:rPr>
                <w:rFonts w:hint="eastAsia"/>
                <w:sz w:val="16"/>
                <w:szCs w:val="16"/>
                <w:rtl/>
              </w:rPr>
              <w:t>רבעון</w:t>
            </w:r>
            <w:r w:rsidRPr="003E6CF5">
              <w:rPr>
                <w:sz w:val="16"/>
                <w:szCs w:val="16"/>
                <w:rtl/>
              </w:rPr>
              <w:t xml:space="preserve"> </w:t>
            </w:r>
            <w:r w:rsidRPr="003E6CF5">
              <w:rPr>
                <w:rFonts w:hint="eastAsia"/>
                <w:sz w:val="16"/>
                <w:szCs w:val="16"/>
                <w:rtl/>
              </w:rPr>
              <w:t>או</w:t>
            </w:r>
            <w:r w:rsidRPr="003E6CF5">
              <w:rPr>
                <w:sz w:val="16"/>
                <w:szCs w:val="16"/>
                <w:rtl/>
              </w:rPr>
              <w:t xml:space="preserve"> </w:t>
            </w:r>
            <w:r w:rsidRPr="003E6CF5">
              <w:rPr>
                <w:rFonts w:hint="eastAsia"/>
                <w:sz w:val="16"/>
                <w:szCs w:val="16"/>
                <w:rtl/>
              </w:rPr>
              <w:t>לתחילת</w:t>
            </w:r>
            <w:r w:rsidRPr="003E6CF5">
              <w:rPr>
                <w:sz w:val="16"/>
                <w:szCs w:val="16"/>
                <w:rtl/>
              </w:rPr>
              <w:t xml:space="preserve"> </w:t>
            </w:r>
            <w:r w:rsidRPr="003E6CF5">
              <w:rPr>
                <w:rFonts w:hint="eastAsia"/>
                <w:sz w:val="16"/>
                <w:szCs w:val="16"/>
                <w:rtl/>
              </w:rPr>
              <w:t>חודש</w:t>
            </w:r>
            <w:r w:rsidRPr="003E6CF5">
              <w:rPr>
                <w:sz w:val="16"/>
                <w:szCs w:val="16"/>
                <w:rtl/>
              </w:rPr>
              <w:t>.</w:t>
            </w:r>
          </w:p>
        </w:tc>
      </w:tr>
      <w:tr w:rsidR="003E6CF5" w:rsidRPr="00E604CD" w14:paraId="4B5C9620" w14:textId="77777777" w:rsidTr="00400DD1">
        <w:tc>
          <w:tcPr>
            <w:tcW w:w="5000" w:type="pct"/>
            <w:vAlign w:val="bottom"/>
          </w:tcPr>
          <w:p w14:paraId="4B5D0A2F" w14:textId="77777777" w:rsidR="003E6CF5" w:rsidRPr="003E6CF5" w:rsidRDefault="003E6CF5" w:rsidP="00400DD1">
            <w:pPr>
              <w:spacing w:line="241" w:lineRule="auto"/>
              <w:ind w:left="297" w:right="28" w:hanging="269"/>
              <w:jc w:val="left"/>
              <w:rPr>
                <w:color w:val="000000"/>
                <w:sz w:val="16"/>
                <w:szCs w:val="16"/>
                <w:rtl/>
                <w:lang w:eastAsia="he-IL"/>
              </w:rPr>
            </w:pPr>
            <w:r w:rsidRPr="003E6CF5">
              <w:rPr>
                <w:color w:val="000000"/>
                <w:sz w:val="16"/>
                <w:szCs w:val="16"/>
                <w:rtl/>
                <w:lang w:eastAsia="he-IL"/>
              </w:rPr>
              <w:t>(ב)</w:t>
            </w:r>
            <w:r w:rsidRPr="003E6CF5">
              <w:rPr>
                <w:color w:val="000000"/>
                <w:sz w:val="16"/>
                <w:szCs w:val="16"/>
                <w:rtl/>
                <w:lang w:eastAsia="he-IL"/>
              </w:rPr>
              <w:tab/>
            </w:r>
            <w:r w:rsidRPr="003E6CF5">
              <w:rPr>
                <w:rFonts w:hint="eastAsia"/>
                <w:color w:val="000000"/>
                <w:sz w:val="16"/>
                <w:szCs w:val="16"/>
                <w:rtl/>
                <w:lang w:eastAsia="he-IL"/>
              </w:rPr>
              <w:t>נכסי</w:t>
            </w:r>
            <w:r w:rsidRPr="003E6CF5">
              <w:rPr>
                <w:color w:val="000000"/>
                <w:sz w:val="16"/>
                <w:szCs w:val="16"/>
                <w:rtl/>
                <w:lang w:eastAsia="he-IL"/>
              </w:rPr>
              <w:t xml:space="preserve"> </w:t>
            </w:r>
            <w:r w:rsidRPr="003E6CF5">
              <w:rPr>
                <w:rFonts w:hint="eastAsia"/>
                <w:color w:val="000000"/>
                <w:sz w:val="16"/>
                <w:szCs w:val="16"/>
                <w:rtl/>
                <w:lang w:eastAsia="he-IL"/>
              </w:rPr>
              <w:t>סיכון</w:t>
            </w:r>
            <w:r w:rsidRPr="003E6CF5">
              <w:rPr>
                <w:color w:val="000000"/>
                <w:sz w:val="16"/>
                <w:szCs w:val="16"/>
                <w:rtl/>
                <w:lang w:eastAsia="he-IL"/>
              </w:rPr>
              <w:t xml:space="preserve"> - </w:t>
            </w:r>
            <w:r w:rsidRPr="003E6CF5">
              <w:rPr>
                <w:rFonts w:hint="eastAsia"/>
                <w:color w:val="000000"/>
                <w:sz w:val="16"/>
                <w:szCs w:val="16"/>
                <w:rtl/>
                <w:lang w:eastAsia="he-IL"/>
              </w:rPr>
              <w:t>כפי</w:t>
            </w:r>
            <w:r w:rsidRPr="003E6CF5">
              <w:rPr>
                <w:color w:val="000000"/>
                <w:sz w:val="16"/>
                <w:szCs w:val="16"/>
                <w:rtl/>
                <w:lang w:eastAsia="he-IL"/>
              </w:rPr>
              <w:t xml:space="preserve"> </w:t>
            </w:r>
            <w:r w:rsidRPr="003E6CF5">
              <w:rPr>
                <w:rFonts w:hint="eastAsia"/>
                <w:color w:val="000000"/>
                <w:sz w:val="16"/>
                <w:szCs w:val="16"/>
                <w:rtl/>
                <w:lang w:eastAsia="he-IL"/>
              </w:rPr>
              <w:t>שחושבו</w:t>
            </w:r>
            <w:r w:rsidRPr="003E6CF5">
              <w:rPr>
                <w:color w:val="000000"/>
                <w:sz w:val="16"/>
                <w:szCs w:val="16"/>
                <w:rtl/>
                <w:lang w:eastAsia="he-IL"/>
              </w:rPr>
              <w:t xml:space="preserve"> </w:t>
            </w:r>
            <w:r w:rsidRPr="003E6CF5">
              <w:rPr>
                <w:rFonts w:hint="eastAsia"/>
                <w:color w:val="000000"/>
                <w:sz w:val="16"/>
                <w:szCs w:val="16"/>
                <w:rtl/>
                <w:lang w:eastAsia="he-IL"/>
              </w:rPr>
              <w:t>לצורך</w:t>
            </w:r>
            <w:r w:rsidRPr="003E6CF5">
              <w:rPr>
                <w:color w:val="000000"/>
                <w:sz w:val="16"/>
                <w:szCs w:val="16"/>
                <w:rtl/>
                <w:lang w:eastAsia="he-IL"/>
              </w:rPr>
              <w:t xml:space="preserve"> </w:t>
            </w:r>
            <w:r w:rsidRPr="003E6CF5">
              <w:rPr>
                <w:rFonts w:hint="eastAsia"/>
                <w:color w:val="000000"/>
                <w:sz w:val="16"/>
                <w:szCs w:val="16"/>
                <w:rtl/>
                <w:lang w:eastAsia="he-IL"/>
              </w:rPr>
              <w:t>הלימות</w:t>
            </w:r>
            <w:r w:rsidRPr="003E6CF5">
              <w:rPr>
                <w:color w:val="000000"/>
                <w:sz w:val="16"/>
                <w:szCs w:val="16"/>
                <w:rtl/>
                <w:lang w:eastAsia="he-IL"/>
              </w:rPr>
              <w:t xml:space="preserve"> </w:t>
            </w:r>
            <w:r w:rsidRPr="003E6CF5">
              <w:rPr>
                <w:rFonts w:hint="eastAsia"/>
                <w:color w:val="000000"/>
                <w:sz w:val="16"/>
                <w:szCs w:val="16"/>
                <w:rtl/>
                <w:lang w:eastAsia="he-IL"/>
              </w:rPr>
              <w:t>הון</w:t>
            </w:r>
            <w:r w:rsidRPr="003E6CF5">
              <w:rPr>
                <w:color w:val="000000"/>
                <w:sz w:val="16"/>
                <w:szCs w:val="16"/>
                <w:rtl/>
                <w:lang w:eastAsia="he-IL"/>
              </w:rPr>
              <w:t>.</w:t>
            </w:r>
          </w:p>
        </w:tc>
      </w:tr>
      <w:tr w:rsidR="003E6CF5" w:rsidRPr="006D533A" w14:paraId="7D813467" w14:textId="77777777" w:rsidTr="00400DD1">
        <w:tc>
          <w:tcPr>
            <w:tcW w:w="5000" w:type="pct"/>
            <w:vAlign w:val="bottom"/>
          </w:tcPr>
          <w:p w14:paraId="39F8166D" w14:textId="77777777" w:rsidR="003E6CF5" w:rsidRPr="003E6CF5" w:rsidRDefault="003E6CF5" w:rsidP="00400DD1">
            <w:pPr>
              <w:spacing w:line="241" w:lineRule="auto"/>
              <w:ind w:left="297" w:right="28" w:hanging="269"/>
              <w:jc w:val="left"/>
              <w:rPr>
                <w:color w:val="000000"/>
                <w:sz w:val="16"/>
                <w:szCs w:val="16"/>
                <w:rtl/>
                <w:lang w:eastAsia="he-IL"/>
              </w:rPr>
            </w:pPr>
            <w:r w:rsidRPr="003E6CF5">
              <w:rPr>
                <w:color w:val="000000"/>
                <w:sz w:val="16"/>
                <w:szCs w:val="16"/>
                <w:rtl/>
                <w:lang w:eastAsia="he-IL"/>
              </w:rPr>
              <w:t>(ג)</w:t>
            </w:r>
            <w:r w:rsidRPr="003E6CF5">
              <w:rPr>
                <w:color w:val="000000"/>
                <w:sz w:val="16"/>
                <w:szCs w:val="16"/>
                <w:rtl/>
                <w:lang w:eastAsia="he-IL"/>
              </w:rPr>
              <w:tab/>
            </w:r>
            <w:r w:rsidRPr="003E6CF5">
              <w:rPr>
                <w:rFonts w:hint="eastAsia"/>
                <w:color w:val="000000"/>
                <w:sz w:val="16"/>
                <w:szCs w:val="16"/>
                <w:rtl/>
                <w:lang w:eastAsia="he-IL"/>
              </w:rPr>
              <w:t>נכסים</w:t>
            </w:r>
            <w:r w:rsidRPr="003E6CF5">
              <w:rPr>
                <w:color w:val="000000"/>
                <w:sz w:val="16"/>
                <w:szCs w:val="16"/>
                <w:rtl/>
                <w:lang w:eastAsia="he-IL"/>
              </w:rPr>
              <w:t xml:space="preserve"> </w:t>
            </w:r>
            <w:r w:rsidRPr="003E6CF5">
              <w:rPr>
                <w:rFonts w:hint="eastAsia"/>
                <w:color w:val="000000"/>
                <w:sz w:val="16"/>
                <w:szCs w:val="16"/>
                <w:rtl/>
                <w:lang w:eastAsia="he-IL"/>
              </w:rPr>
              <w:t>בניהול</w:t>
            </w:r>
            <w:r w:rsidRPr="003E6CF5">
              <w:rPr>
                <w:color w:val="000000"/>
                <w:sz w:val="16"/>
                <w:szCs w:val="16"/>
                <w:rtl/>
                <w:lang w:eastAsia="he-IL"/>
              </w:rPr>
              <w:t xml:space="preserve"> - </w:t>
            </w:r>
            <w:r w:rsidRPr="003E6CF5">
              <w:rPr>
                <w:rFonts w:hint="eastAsia"/>
                <w:color w:val="000000"/>
                <w:sz w:val="16"/>
                <w:szCs w:val="16"/>
                <w:rtl/>
                <w:lang w:eastAsia="he-IL"/>
              </w:rPr>
              <w:t>לרבות</w:t>
            </w:r>
            <w:r w:rsidRPr="003E6CF5">
              <w:rPr>
                <w:color w:val="000000"/>
                <w:sz w:val="16"/>
                <w:szCs w:val="16"/>
                <w:rtl/>
                <w:lang w:eastAsia="he-IL"/>
              </w:rPr>
              <w:t xml:space="preserve"> </w:t>
            </w:r>
            <w:r w:rsidRPr="003E6CF5">
              <w:rPr>
                <w:rFonts w:hint="eastAsia"/>
                <w:color w:val="000000"/>
                <w:sz w:val="16"/>
                <w:szCs w:val="16"/>
                <w:rtl/>
                <w:lang w:eastAsia="he-IL"/>
              </w:rPr>
              <w:t>נכסי</w:t>
            </w:r>
            <w:r w:rsidRPr="003E6CF5">
              <w:rPr>
                <w:color w:val="000000"/>
                <w:sz w:val="16"/>
                <w:szCs w:val="16"/>
                <w:rtl/>
                <w:lang w:eastAsia="he-IL"/>
              </w:rPr>
              <w:t xml:space="preserve"> </w:t>
            </w:r>
            <w:r w:rsidRPr="003E6CF5">
              <w:rPr>
                <w:rFonts w:hint="eastAsia"/>
                <w:color w:val="000000"/>
                <w:sz w:val="16"/>
                <w:szCs w:val="16"/>
                <w:rtl/>
                <w:lang w:eastAsia="he-IL"/>
              </w:rPr>
              <w:t>גמל</w:t>
            </w:r>
            <w:r w:rsidRPr="003E6CF5">
              <w:rPr>
                <w:color w:val="000000"/>
                <w:sz w:val="16"/>
                <w:szCs w:val="16"/>
                <w:rtl/>
                <w:lang w:eastAsia="he-IL"/>
              </w:rPr>
              <w:t xml:space="preserve">, </w:t>
            </w:r>
            <w:r w:rsidRPr="003E6CF5">
              <w:rPr>
                <w:rFonts w:hint="eastAsia"/>
                <w:color w:val="000000"/>
                <w:sz w:val="16"/>
                <w:szCs w:val="16"/>
                <w:rtl/>
                <w:lang w:eastAsia="he-IL"/>
              </w:rPr>
              <w:t>קרנות</w:t>
            </w:r>
            <w:r w:rsidRPr="003E6CF5">
              <w:rPr>
                <w:color w:val="000000"/>
                <w:sz w:val="16"/>
                <w:szCs w:val="16"/>
                <w:rtl/>
                <w:lang w:eastAsia="he-IL"/>
              </w:rPr>
              <w:t xml:space="preserve"> </w:t>
            </w:r>
            <w:r w:rsidRPr="003E6CF5">
              <w:rPr>
                <w:rFonts w:hint="eastAsia"/>
                <w:color w:val="000000"/>
                <w:sz w:val="16"/>
                <w:szCs w:val="16"/>
                <w:rtl/>
                <w:lang w:eastAsia="he-IL"/>
              </w:rPr>
              <w:t>השתלמות</w:t>
            </w:r>
            <w:r w:rsidRPr="003E6CF5">
              <w:rPr>
                <w:color w:val="000000"/>
                <w:sz w:val="16"/>
                <w:szCs w:val="16"/>
                <w:rtl/>
                <w:lang w:eastAsia="he-IL"/>
              </w:rPr>
              <w:t xml:space="preserve">, </w:t>
            </w:r>
            <w:r w:rsidRPr="003E6CF5">
              <w:rPr>
                <w:rFonts w:hint="eastAsia"/>
                <w:color w:val="000000"/>
                <w:sz w:val="16"/>
                <w:szCs w:val="16"/>
                <w:rtl/>
                <w:lang w:eastAsia="he-IL"/>
              </w:rPr>
              <w:t>קרנות</w:t>
            </w:r>
            <w:r w:rsidRPr="003E6CF5">
              <w:rPr>
                <w:color w:val="000000"/>
                <w:sz w:val="16"/>
                <w:szCs w:val="16"/>
                <w:rtl/>
                <w:lang w:eastAsia="he-IL"/>
              </w:rPr>
              <w:t xml:space="preserve"> </w:t>
            </w:r>
            <w:r w:rsidRPr="003E6CF5">
              <w:rPr>
                <w:rFonts w:hint="eastAsia"/>
                <w:color w:val="000000"/>
                <w:sz w:val="16"/>
                <w:szCs w:val="16"/>
                <w:rtl/>
                <w:lang w:eastAsia="he-IL"/>
              </w:rPr>
              <w:t>נאמנות</w:t>
            </w:r>
            <w:r w:rsidRPr="003E6CF5">
              <w:rPr>
                <w:color w:val="000000"/>
                <w:sz w:val="16"/>
                <w:szCs w:val="16"/>
                <w:rtl/>
                <w:lang w:eastAsia="he-IL"/>
              </w:rPr>
              <w:t xml:space="preserve"> </w:t>
            </w:r>
            <w:r w:rsidRPr="003E6CF5">
              <w:rPr>
                <w:rFonts w:hint="eastAsia"/>
                <w:color w:val="000000"/>
                <w:sz w:val="16"/>
                <w:szCs w:val="16"/>
                <w:rtl/>
                <w:lang w:eastAsia="he-IL"/>
              </w:rPr>
              <w:t>וניירות</w:t>
            </w:r>
            <w:r w:rsidRPr="003E6CF5">
              <w:rPr>
                <w:color w:val="000000"/>
                <w:sz w:val="16"/>
                <w:szCs w:val="16"/>
                <w:rtl/>
                <w:lang w:eastAsia="he-IL"/>
              </w:rPr>
              <w:t xml:space="preserve"> </w:t>
            </w:r>
            <w:r w:rsidRPr="003E6CF5">
              <w:rPr>
                <w:rFonts w:hint="eastAsia"/>
                <w:color w:val="000000"/>
                <w:sz w:val="16"/>
                <w:szCs w:val="16"/>
                <w:rtl/>
                <w:lang w:eastAsia="he-IL"/>
              </w:rPr>
              <w:t>ערך</w:t>
            </w:r>
            <w:r w:rsidRPr="003E6CF5">
              <w:rPr>
                <w:color w:val="000000"/>
                <w:sz w:val="16"/>
                <w:szCs w:val="16"/>
                <w:rtl/>
                <w:lang w:eastAsia="he-IL"/>
              </w:rPr>
              <w:t xml:space="preserve"> </w:t>
            </w:r>
            <w:r w:rsidRPr="003E6CF5">
              <w:rPr>
                <w:rFonts w:hint="eastAsia"/>
                <w:color w:val="000000"/>
                <w:sz w:val="16"/>
                <w:szCs w:val="16"/>
                <w:rtl/>
                <w:lang w:eastAsia="he-IL"/>
              </w:rPr>
              <w:t>של</w:t>
            </w:r>
            <w:r w:rsidRPr="003E6CF5">
              <w:rPr>
                <w:color w:val="000000"/>
                <w:sz w:val="16"/>
                <w:szCs w:val="16"/>
                <w:rtl/>
                <w:lang w:eastAsia="he-IL"/>
              </w:rPr>
              <w:t xml:space="preserve"> </w:t>
            </w:r>
            <w:r w:rsidRPr="003E6CF5">
              <w:rPr>
                <w:rFonts w:hint="eastAsia"/>
                <w:color w:val="000000"/>
                <w:sz w:val="16"/>
                <w:szCs w:val="16"/>
                <w:rtl/>
                <w:lang w:eastAsia="he-IL"/>
              </w:rPr>
              <w:t>לקוחות</w:t>
            </w:r>
            <w:r w:rsidRPr="003E6CF5">
              <w:rPr>
                <w:color w:val="000000"/>
                <w:sz w:val="16"/>
                <w:szCs w:val="16"/>
                <w:rtl/>
                <w:lang w:eastAsia="he-IL"/>
              </w:rPr>
              <w:t>.</w:t>
            </w:r>
          </w:p>
        </w:tc>
      </w:tr>
    </w:tbl>
    <w:p w14:paraId="19B3601B" w14:textId="680A0E09" w:rsidR="000E53E1" w:rsidRDefault="000E53E1">
      <w:pPr>
        <w:bidi w:val="0"/>
        <w:jc w:val="left"/>
        <w:rPr>
          <w:rFonts w:asciiTheme="minorHAnsi" w:eastAsiaTheme="minorHAnsi" w:hAnsiTheme="minorHAnsi" w:cstheme="minorBidi"/>
        </w:rPr>
      </w:pPr>
    </w:p>
    <w:tbl>
      <w:tblPr>
        <w:tblpPr w:leftFromText="180" w:rightFromText="180" w:vertAnchor="page" w:horzAnchor="margin" w:tblpXSpec="center" w:tblpY="2022"/>
        <w:bidiVisual/>
        <w:tblW w:w="5347" w:type="pct"/>
        <w:tblCellMar>
          <w:left w:w="28" w:type="dxa"/>
          <w:right w:w="28" w:type="dxa"/>
        </w:tblCellMar>
        <w:tblLook w:val="04A0" w:firstRow="1" w:lastRow="0" w:firstColumn="1" w:lastColumn="0" w:noHBand="0" w:noVBand="1"/>
      </w:tblPr>
      <w:tblGrid>
        <w:gridCol w:w="2073"/>
        <w:gridCol w:w="576"/>
        <w:gridCol w:w="708"/>
        <w:gridCol w:w="648"/>
        <w:gridCol w:w="716"/>
        <w:gridCol w:w="692"/>
        <w:gridCol w:w="714"/>
        <w:gridCol w:w="642"/>
        <w:gridCol w:w="11"/>
        <w:gridCol w:w="742"/>
        <w:gridCol w:w="795"/>
        <w:gridCol w:w="502"/>
        <w:gridCol w:w="836"/>
        <w:gridCol w:w="777"/>
        <w:gridCol w:w="483"/>
      </w:tblGrid>
      <w:tr w:rsidR="003D0D66" w:rsidRPr="000A4A09" w14:paraId="563BC44A" w14:textId="77777777" w:rsidTr="003D0D66">
        <w:tc>
          <w:tcPr>
            <w:tcW w:w="5000" w:type="pct"/>
            <w:gridSpan w:val="15"/>
            <w:vAlign w:val="bottom"/>
          </w:tcPr>
          <w:p w14:paraId="187B88CC" w14:textId="05D1F758" w:rsidR="003D0D66" w:rsidRPr="000E53E1" w:rsidRDefault="003D0D66" w:rsidP="003D0D66">
            <w:pPr>
              <w:spacing w:after="60" w:line="228" w:lineRule="auto"/>
              <w:ind w:left="1388" w:right="85"/>
              <w:jc w:val="left"/>
              <w:rPr>
                <w:rFonts w:asciiTheme="minorBidi" w:hAnsiTheme="minorBidi" w:cstheme="minorBidi"/>
                <w:b/>
                <w:bCs/>
                <w:sz w:val="18"/>
                <w:szCs w:val="18"/>
                <w:rtl/>
              </w:rPr>
            </w:pPr>
            <w:r w:rsidRPr="000E53E1">
              <w:rPr>
                <w:rFonts w:asciiTheme="minorBidi" w:hAnsiTheme="minorBidi"/>
                <w:b/>
                <w:bCs/>
                <w:sz w:val="18"/>
                <w:szCs w:val="18"/>
                <w:rtl/>
              </w:rPr>
              <w:t>ביאור 1</w:t>
            </w:r>
            <w:r w:rsidRPr="000E53E1">
              <w:rPr>
                <w:rFonts w:asciiTheme="minorBidi" w:hAnsiTheme="minorBidi" w:hint="cs"/>
                <w:b/>
                <w:bCs/>
                <w:sz w:val="18"/>
                <w:szCs w:val="18"/>
                <w:rtl/>
              </w:rPr>
              <w:t>1</w:t>
            </w:r>
            <w:r w:rsidRPr="000E53E1">
              <w:rPr>
                <w:rFonts w:asciiTheme="minorBidi" w:hAnsiTheme="minorBidi"/>
                <w:b/>
                <w:bCs/>
                <w:sz w:val="18"/>
                <w:szCs w:val="18"/>
                <w:rtl/>
              </w:rPr>
              <w:t xml:space="preserve">  -  </w:t>
            </w:r>
            <w:r w:rsidRPr="000E53E1">
              <w:rPr>
                <w:sz w:val="18"/>
                <w:szCs w:val="18"/>
                <w:rtl/>
              </w:rPr>
              <w:t xml:space="preserve"> </w:t>
            </w:r>
            <w:r w:rsidRPr="000E53E1">
              <w:rPr>
                <w:rFonts w:asciiTheme="minorBidi" w:hAnsiTheme="minorBidi"/>
                <w:b/>
                <w:bCs/>
                <w:sz w:val="18"/>
                <w:szCs w:val="18"/>
                <w:rtl/>
              </w:rPr>
              <w:t>מגזרי פעילות פיקוחיים (המשך):</w:t>
            </w:r>
          </w:p>
        </w:tc>
      </w:tr>
      <w:tr w:rsidR="000E53E1" w:rsidRPr="000A4A09" w14:paraId="26E9BCF8" w14:textId="77777777" w:rsidTr="000E53E1">
        <w:tc>
          <w:tcPr>
            <w:tcW w:w="950" w:type="pct"/>
            <w:vAlign w:val="bottom"/>
          </w:tcPr>
          <w:p w14:paraId="4DE61DFA" w14:textId="124D2265" w:rsidR="000E53E1" w:rsidRPr="003E6CF5" w:rsidRDefault="000E53E1" w:rsidP="000E53E1">
            <w:pPr>
              <w:spacing w:line="228" w:lineRule="auto"/>
              <w:ind w:left="57" w:right="57" w:hanging="144"/>
              <w:jc w:val="center"/>
              <w:rPr>
                <w:rFonts w:asciiTheme="minorBidi" w:hAnsiTheme="minorBidi" w:cstheme="minorBidi"/>
                <w:color w:val="000000"/>
                <w:sz w:val="16"/>
                <w:szCs w:val="16"/>
                <w:rtl/>
                <w:lang w:eastAsia="he-IL"/>
              </w:rPr>
            </w:pPr>
            <w:r w:rsidRPr="003E6CF5">
              <w:rPr>
                <w:rFonts w:asciiTheme="minorBidi" w:hAnsiTheme="minorBidi" w:cstheme="minorBidi"/>
                <w:sz w:val="16"/>
                <w:szCs w:val="16"/>
                <w:rtl/>
              </w:rPr>
              <w:t>מתכונת ביאור עמ' 663-4</w:t>
            </w:r>
            <w:r w:rsidR="002A6D5B">
              <w:rPr>
                <w:rFonts w:asciiTheme="minorBidi" w:hAnsiTheme="minorBidi" w:cstheme="minorBidi" w:hint="cs"/>
                <w:sz w:val="16"/>
                <w:szCs w:val="16"/>
                <w:rtl/>
              </w:rPr>
              <w:t>1</w:t>
            </w:r>
          </w:p>
        </w:tc>
        <w:tc>
          <w:tcPr>
            <w:tcW w:w="4050" w:type="pct"/>
            <w:gridSpan w:val="14"/>
            <w:vAlign w:val="bottom"/>
          </w:tcPr>
          <w:p w14:paraId="1018EA85" w14:textId="29DFA3C3" w:rsidR="000E53E1" w:rsidRPr="00F75066" w:rsidRDefault="000E53E1" w:rsidP="00F75066">
            <w:pPr>
              <w:spacing w:line="228" w:lineRule="auto"/>
              <w:ind w:left="85" w:right="85"/>
              <w:jc w:val="center"/>
              <w:rPr>
                <w:rFonts w:asciiTheme="minorBidi" w:hAnsiTheme="minorBidi" w:cstheme="minorBidi"/>
                <w:b/>
                <w:bCs/>
                <w:sz w:val="16"/>
                <w:szCs w:val="16"/>
                <w:u w:val="single"/>
                <w:rtl/>
              </w:rPr>
            </w:pPr>
            <w:r w:rsidRPr="00F75066">
              <w:rPr>
                <w:rFonts w:asciiTheme="minorBidi" w:hAnsiTheme="minorBidi" w:cstheme="minorBidi"/>
                <w:b/>
                <w:bCs/>
                <w:sz w:val="16"/>
                <w:szCs w:val="16"/>
                <w:u w:val="single"/>
                <w:rtl/>
              </w:rPr>
              <w:t xml:space="preserve">לשלושה חודשים שהסתיימו ביום 30 ביוני </w:t>
            </w:r>
            <w:r w:rsidRPr="00F75066">
              <w:rPr>
                <w:rFonts w:asciiTheme="minorBidi" w:hAnsiTheme="minorBidi" w:cstheme="minorBidi"/>
                <w:b/>
                <w:bCs/>
                <w:sz w:val="16"/>
                <w:szCs w:val="16"/>
                <w:u w:val="single"/>
                <w:rtl/>
              </w:rPr>
              <w:fldChar w:fldCharType="begin"/>
            </w:r>
            <w:r w:rsidRPr="00F75066">
              <w:rPr>
                <w:rFonts w:asciiTheme="minorBidi" w:hAnsiTheme="minorBidi" w:cstheme="minorBidi"/>
                <w:b/>
                <w:bCs/>
                <w:sz w:val="16"/>
                <w:szCs w:val="16"/>
                <w:u w:val="single"/>
                <w:rtl/>
              </w:rPr>
              <w:instrText xml:space="preserve"> = </w:instrText>
            </w:r>
            <w:r w:rsidRPr="00F75066">
              <w:rPr>
                <w:rFonts w:asciiTheme="minorBidi" w:hAnsiTheme="minorBidi" w:cstheme="minorBidi"/>
                <w:b/>
                <w:bCs/>
                <w:sz w:val="16"/>
                <w:szCs w:val="16"/>
                <w:u w:val="single"/>
              </w:rPr>
              <w:instrText>CY</w:instrText>
            </w:r>
            <w:r w:rsidR="00E74D2B" w:rsidRPr="00F75066">
              <w:rPr>
                <w:rFonts w:asciiTheme="minorBidi" w:hAnsiTheme="minorBidi" w:cstheme="minorBidi"/>
                <w:b/>
                <w:bCs/>
                <w:sz w:val="16"/>
                <w:szCs w:val="16"/>
                <w:u w:val="single"/>
              </w:rPr>
              <w:instrText>-1</w:instrText>
            </w:r>
            <w:r w:rsidRPr="00F75066">
              <w:rPr>
                <w:rFonts w:asciiTheme="minorBidi" w:hAnsiTheme="minorBidi" w:cstheme="minorBidi"/>
                <w:b/>
                <w:bCs/>
                <w:sz w:val="16"/>
                <w:szCs w:val="16"/>
                <w:u w:val="single"/>
              </w:rPr>
              <w:instrText xml:space="preserve"> \* MERGEFORMAT</w:instrText>
            </w:r>
            <w:r w:rsidRPr="00F75066">
              <w:rPr>
                <w:rFonts w:asciiTheme="minorBidi" w:hAnsiTheme="minorBidi" w:cstheme="minorBidi"/>
                <w:b/>
                <w:bCs/>
                <w:sz w:val="16"/>
                <w:szCs w:val="16"/>
                <w:u w:val="single"/>
                <w:rtl/>
              </w:rPr>
              <w:instrText xml:space="preserve"> </w:instrText>
            </w:r>
            <w:r w:rsidRPr="00F75066">
              <w:rPr>
                <w:rFonts w:asciiTheme="minorBidi" w:hAnsiTheme="minorBidi" w:cstheme="minorBidi"/>
                <w:b/>
                <w:bCs/>
                <w:sz w:val="16"/>
                <w:szCs w:val="16"/>
                <w:u w:val="single"/>
                <w:rtl/>
              </w:rPr>
              <w:fldChar w:fldCharType="separate"/>
            </w:r>
            <w:r w:rsidR="003A584F" w:rsidRPr="00F75066">
              <w:rPr>
                <w:rFonts w:asciiTheme="minorBidi" w:hAnsiTheme="minorBidi" w:cstheme="minorBidi"/>
                <w:b/>
                <w:bCs/>
                <w:noProof/>
                <w:sz w:val="16"/>
                <w:szCs w:val="16"/>
                <w:u w:val="single"/>
                <w:rtl/>
              </w:rPr>
              <w:t>2023</w:t>
            </w:r>
            <w:r w:rsidRPr="00F75066">
              <w:rPr>
                <w:rFonts w:asciiTheme="minorBidi" w:hAnsiTheme="minorBidi" w:cstheme="minorBidi"/>
                <w:b/>
                <w:bCs/>
                <w:sz w:val="16"/>
                <w:szCs w:val="16"/>
                <w:u w:val="single"/>
                <w:rtl/>
              </w:rPr>
              <w:fldChar w:fldCharType="end"/>
            </w:r>
            <w:r w:rsidRPr="00F75066">
              <w:rPr>
                <w:rFonts w:asciiTheme="minorBidi" w:hAnsiTheme="minorBidi" w:cstheme="minorBidi" w:hint="cs"/>
                <w:b/>
                <w:bCs/>
                <w:sz w:val="16"/>
                <w:szCs w:val="16"/>
                <w:u w:val="single"/>
                <w:rtl/>
              </w:rPr>
              <w:t xml:space="preserve"> </w:t>
            </w:r>
            <w:r w:rsidRPr="00F75066">
              <w:rPr>
                <w:rFonts w:asciiTheme="minorBidi" w:hAnsiTheme="minorBidi" w:cstheme="minorBidi" w:hint="cs"/>
                <w:sz w:val="16"/>
                <w:szCs w:val="16"/>
                <w:u w:val="single"/>
                <w:rtl/>
              </w:rPr>
              <w:t>(</w:t>
            </w:r>
            <w:r w:rsidRPr="00F75066">
              <w:rPr>
                <w:rFonts w:asciiTheme="minorBidi" w:hAnsiTheme="minorBidi" w:cstheme="minorBidi"/>
                <w:sz w:val="16"/>
                <w:szCs w:val="16"/>
                <w:u w:val="single"/>
                <w:rtl/>
              </w:rPr>
              <w:t>בלתי מבוקר</w:t>
            </w:r>
            <w:r w:rsidRPr="00F75066">
              <w:rPr>
                <w:rFonts w:asciiTheme="minorBidi" w:hAnsiTheme="minorBidi" w:cstheme="minorBidi" w:hint="cs"/>
                <w:sz w:val="16"/>
                <w:szCs w:val="16"/>
                <w:u w:val="single"/>
                <w:rtl/>
              </w:rPr>
              <w:t>)</w:t>
            </w:r>
          </w:p>
        </w:tc>
      </w:tr>
      <w:tr w:rsidR="000E53E1" w:rsidRPr="000A4A09" w14:paraId="4B69E665" w14:textId="77777777" w:rsidTr="000E53E1">
        <w:tc>
          <w:tcPr>
            <w:tcW w:w="950" w:type="pct"/>
            <w:vAlign w:val="bottom"/>
          </w:tcPr>
          <w:p w14:paraId="700348F6" w14:textId="77777777" w:rsidR="000E53E1" w:rsidRPr="003E6CF5" w:rsidRDefault="000E53E1" w:rsidP="000E53E1">
            <w:pPr>
              <w:spacing w:line="228" w:lineRule="auto"/>
              <w:ind w:left="57" w:right="57" w:hanging="144"/>
              <w:jc w:val="center"/>
              <w:rPr>
                <w:rFonts w:asciiTheme="minorBidi" w:hAnsiTheme="minorBidi" w:cstheme="minorBidi"/>
                <w:color w:val="000000"/>
                <w:sz w:val="16"/>
                <w:szCs w:val="16"/>
                <w:rtl/>
                <w:lang w:eastAsia="he-IL"/>
              </w:rPr>
            </w:pPr>
          </w:p>
        </w:tc>
        <w:tc>
          <w:tcPr>
            <w:tcW w:w="3473" w:type="pct"/>
            <w:gridSpan w:val="12"/>
            <w:vAlign w:val="bottom"/>
          </w:tcPr>
          <w:p w14:paraId="49130186" w14:textId="77777777" w:rsidR="000E53E1" w:rsidRPr="003E6CF5" w:rsidRDefault="000E53E1" w:rsidP="000E53E1">
            <w:pPr>
              <w:pBdr>
                <w:bottom w:val="single" w:sz="4" w:space="1" w:color="auto"/>
              </w:pBdr>
              <w:spacing w:line="228" w:lineRule="auto"/>
              <w:ind w:left="85" w:right="85"/>
              <w:jc w:val="center"/>
              <w:rPr>
                <w:rFonts w:asciiTheme="minorBidi" w:hAnsiTheme="minorBidi" w:cstheme="minorBidi"/>
                <w:b/>
                <w:bCs/>
                <w:sz w:val="16"/>
                <w:szCs w:val="16"/>
                <w:rtl/>
              </w:rPr>
            </w:pPr>
            <w:r w:rsidRPr="003E6CF5">
              <w:rPr>
                <w:rFonts w:asciiTheme="minorBidi" w:hAnsiTheme="minorBidi" w:cstheme="minorBidi"/>
                <w:b/>
                <w:bCs/>
                <w:sz w:val="16"/>
                <w:szCs w:val="16"/>
                <w:rtl/>
              </w:rPr>
              <w:t>פעילות ישראל</w:t>
            </w:r>
          </w:p>
        </w:tc>
        <w:tc>
          <w:tcPr>
            <w:tcW w:w="356" w:type="pct"/>
            <w:vAlign w:val="bottom"/>
          </w:tcPr>
          <w:p w14:paraId="792E4AC4" w14:textId="77777777" w:rsidR="000E53E1" w:rsidRPr="003E6CF5" w:rsidRDefault="000E53E1" w:rsidP="000E53E1">
            <w:pPr>
              <w:pBdr>
                <w:bottom w:val="single" w:sz="4" w:space="1" w:color="auto"/>
              </w:pBdr>
              <w:spacing w:line="228" w:lineRule="auto"/>
              <w:ind w:left="85" w:right="85"/>
              <w:jc w:val="center"/>
              <w:rPr>
                <w:rFonts w:asciiTheme="minorBidi" w:hAnsiTheme="minorBidi" w:cstheme="minorBidi"/>
                <w:b/>
                <w:bCs/>
                <w:sz w:val="16"/>
                <w:szCs w:val="16"/>
                <w:rtl/>
              </w:rPr>
            </w:pPr>
            <w:r w:rsidRPr="003E6CF5">
              <w:rPr>
                <w:rFonts w:asciiTheme="minorBidi" w:hAnsiTheme="minorBidi" w:cstheme="minorBidi"/>
                <w:b/>
                <w:bCs/>
                <w:sz w:val="16"/>
                <w:szCs w:val="16"/>
                <w:rtl/>
              </w:rPr>
              <w:t>פעילות חו"ל</w:t>
            </w:r>
          </w:p>
        </w:tc>
        <w:tc>
          <w:tcPr>
            <w:tcW w:w="221" w:type="pct"/>
            <w:vAlign w:val="bottom"/>
          </w:tcPr>
          <w:p w14:paraId="7FF74047" w14:textId="77777777" w:rsidR="000E53E1" w:rsidRPr="003E6CF5" w:rsidRDefault="000E53E1" w:rsidP="000E53E1">
            <w:pPr>
              <w:spacing w:line="228" w:lineRule="auto"/>
              <w:ind w:left="85" w:right="85"/>
              <w:jc w:val="center"/>
              <w:rPr>
                <w:rFonts w:asciiTheme="minorBidi" w:hAnsiTheme="minorBidi" w:cstheme="minorBidi"/>
                <w:b/>
                <w:bCs/>
                <w:sz w:val="16"/>
                <w:szCs w:val="16"/>
                <w:rtl/>
              </w:rPr>
            </w:pPr>
          </w:p>
        </w:tc>
      </w:tr>
      <w:tr w:rsidR="000E53E1" w:rsidRPr="000A4A09" w14:paraId="28996045" w14:textId="77777777" w:rsidTr="000E53E1">
        <w:tc>
          <w:tcPr>
            <w:tcW w:w="950" w:type="pct"/>
            <w:vAlign w:val="bottom"/>
          </w:tcPr>
          <w:p w14:paraId="38B87B3F" w14:textId="77777777" w:rsidR="000E53E1" w:rsidRPr="003E6CF5" w:rsidRDefault="000E53E1" w:rsidP="000E53E1">
            <w:pPr>
              <w:spacing w:line="228" w:lineRule="auto"/>
              <w:ind w:left="57" w:right="57" w:hanging="144"/>
              <w:jc w:val="center"/>
              <w:rPr>
                <w:rFonts w:asciiTheme="minorBidi" w:hAnsiTheme="minorBidi" w:cstheme="minorBidi"/>
                <w:color w:val="000000"/>
                <w:sz w:val="16"/>
                <w:szCs w:val="16"/>
                <w:rtl/>
                <w:lang w:eastAsia="he-IL"/>
              </w:rPr>
            </w:pPr>
          </w:p>
        </w:tc>
        <w:tc>
          <w:tcPr>
            <w:tcW w:w="885" w:type="pct"/>
            <w:gridSpan w:val="3"/>
            <w:vAlign w:val="bottom"/>
          </w:tcPr>
          <w:p w14:paraId="185CEF77" w14:textId="77777777" w:rsidR="000E53E1" w:rsidRPr="00427850" w:rsidDel="003645D5" w:rsidRDefault="000E53E1" w:rsidP="000E53E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משקי בית</w:t>
            </w:r>
          </w:p>
        </w:tc>
        <w:tc>
          <w:tcPr>
            <w:tcW w:w="328" w:type="pct"/>
            <w:vAlign w:val="bottom"/>
          </w:tcPr>
          <w:p w14:paraId="405B57F6" w14:textId="77777777" w:rsidR="000E53E1" w:rsidRPr="00427850" w:rsidRDefault="000E53E1" w:rsidP="000E53E1">
            <w:pPr>
              <w:spacing w:line="228" w:lineRule="auto"/>
              <w:ind w:left="85" w:right="85"/>
              <w:jc w:val="center"/>
              <w:rPr>
                <w:rFonts w:asciiTheme="minorBidi" w:hAnsiTheme="minorBidi" w:cstheme="minorBidi"/>
                <w:sz w:val="16"/>
                <w:szCs w:val="16"/>
                <w:rtl/>
              </w:rPr>
            </w:pPr>
          </w:p>
        </w:tc>
        <w:tc>
          <w:tcPr>
            <w:tcW w:w="317" w:type="pct"/>
            <w:vAlign w:val="bottom"/>
          </w:tcPr>
          <w:p w14:paraId="0B4A46E5" w14:textId="77777777" w:rsidR="000E53E1" w:rsidRPr="00427850" w:rsidRDefault="000E53E1" w:rsidP="000E53E1">
            <w:pPr>
              <w:spacing w:line="228" w:lineRule="auto"/>
              <w:ind w:left="85" w:right="85"/>
              <w:jc w:val="center"/>
              <w:rPr>
                <w:rFonts w:asciiTheme="minorBidi" w:hAnsiTheme="minorBidi" w:cstheme="minorBidi"/>
                <w:sz w:val="16"/>
                <w:szCs w:val="16"/>
                <w:rtl/>
              </w:rPr>
            </w:pPr>
          </w:p>
        </w:tc>
        <w:tc>
          <w:tcPr>
            <w:tcW w:w="327" w:type="pct"/>
            <w:vAlign w:val="bottom"/>
          </w:tcPr>
          <w:p w14:paraId="3B8E8074" w14:textId="77777777" w:rsidR="000E53E1" w:rsidRPr="00427850" w:rsidRDefault="000E53E1" w:rsidP="000E53E1">
            <w:pPr>
              <w:spacing w:line="228" w:lineRule="auto"/>
              <w:ind w:left="85" w:right="85"/>
              <w:jc w:val="center"/>
              <w:rPr>
                <w:rFonts w:asciiTheme="minorBidi" w:hAnsiTheme="minorBidi" w:cstheme="minorBidi"/>
                <w:sz w:val="16"/>
                <w:szCs w:val="16"/>
                <w:rtl/>
              </w:rPr>
            </w:pPr>
          </w:p>
        </w:tc>
        <w:tc>
          <w:tcPr>
            <w:tcW w:w="299" w:type="pct"/>
            <w:gridSpan w:val="2"/>
            <w:vAlign w:val="bottom"/>
          </w:tcPr>
          <w:p w14:paraId="64E2C3FF" w14:textId="77777777" w:rsidR="000E53E1" w:rsidRPr="00427850" w:rsidRDefault="000E53E1" w:rsidP="000E53E1">
            <w:pPr>
              <w:spacing w:line="228" w:lineRule="auto"/>
              <w:ind w:left="85" w:right="85"/>
              <w:jc w:val="center"/>
              <w:rPr>
                <w:rFonts w:asciiTheme="minorBidi" w:hAnsiTheme="minorBidi" w:cstheme="minorBidi"/>
                <w:sz w:val="16"/>
                <w:szCs w:val="16"/>
                <w:rtl/>
              </w:rPr>
            </w:pPr>
          </w:p>
        </w:tc>
        <w:tc>
          <w:tcPr>
            <w:tcW w:w="340" w:type="pct"/>
            <w:vAlign w:val="bottom"/>
          </w:tcPr>
          <w:p w14:paraId="6A85F004" w14:textId="77777777" w:rsidR="000E53E1" w:rsidRPr="00427850" w:rsidRDefault="000E53E1" w:rsidP="000E53E1">
            <w:pPr>
              <w:spacing w:line="228" w:lineRule="auto"/>
              <w:ind w:left="85" w:right="85"/>
              <w:jc w:val="center"/>
              <w:rPr>
                <w:rFonts w:asciiTheme="minorBidi" w:hAnsiTheme="minorBidi" w:cstheme="minorBidi"/>
                <w:sz w:val="16"/>
                <w:szCs w:val="16"/>
                <w:rtl/>
              </w:rPr>
            </w:pPr>
          </w:p>
        </w:tc>
        <w:tc>
          <w:tcPr>
            <w:tcW w:w="364" w:type="pct"/>
            <w:vAlign w:val="bottom"/>
          </w:tcPr>
          <w:p w14:paraId="2F55B640" w14:textId="77777777" w:rsidR="000E53E1" w:rsidRPr="00427850" w:rsidDel="007E5602" w:rsidRDefault="000E53E1" w:rsidP="000E53E1">
            <w:pPr>
              <w:spacing w:line="228" w:lineRule="auto"/>
              <w:ind w:left="85" w:right="85"/>
              <w:jc w:val="center"/>
              <w:rPr>
                <w:rFonts w:asciiTheme="minorBidi" w:hAnsiTheme="minorBidi" w:cstheme="minorBidi"/>
                <w:sz w:val="16"/>
                <w:szCs w:val="16"/>
                <w:rtl/>
              </w:rPr>
            </w:pPr>
          </w:p>
        </w:tc>
        <w:tc>
          <w:tcPr>
            <w:tcW w:w="230" w:type="pct"/>
            <w:vAlign w:val="bottom"/>
          </w:tcPr>
          <w:p w14:paraId="063D8534" w14:textId="77777777" w:rsidR="000E53E1" w:rsidRPr="00427850" w:rsidDel="007E5602" w:rsidRDefault="000E53E1" w:rsidP="000E53E1">
            <w:pPr>
              <w:spacing w:line="228" w:lineRule="auto"/>
              <w:ind w:left="85" w:right="85"/>
              <w:jc w:val="center"/>
              <w:rPr>
                <w:rFonts w:asciiTheme="minorBidi" w:hAnsiTheme="minorBidi" w:cstheme="minorBidi"/>
                <w:sz w:val="16"/>
                <w:szCs w:val="16"/>
                <w:rtl/>
              </w:rPr>
            </w:pPr>
          </w:p>
        </w:tc>
        <w:tc>
          <w:tcPr>
            <w:tcW w:w="383" w:type="pct"/>
            <w:vAlign w:val="bottom"/>
          </w:tcPr>
          <w:p w14:paraId="012BC81A" w14:textId="77777777" w:rsidR="000E53E1" w:rsidRPr="003E6CF5" w:rsidRDefault="000E53E1" w:rsidP="000E53E1">
            <w:pPr>
              <w:spacing w:line="228" w:lineRule="auto"/>
              <w:ind w:left="85" w:right="85"/>
              <w:jc w:val="center"/>
              <w:rPr>
                <w:rFonts w:asciiTheme="minorBidi" w:hAnsiTheme="minorBidi" w:cstheme="minorBidi"/>
                <w:b/>
                <w:bCs/>
                <w:sz w:val="16"/>
                <w:szCs w:val="16"/>
                <w:rtl/>
              </w:rPr>
            </w:pPr>
          </w:p>
        </w:tc>
        <w:tc>
          <w:tcPr>
            <w:tcW w:w="356" w:type="pct"/>
            <w:vAlign w:val="bottom"/>
          </w:tcPr>
          <w:p w14:paraId="07A8475E" w14:textId="77777777" w:rsidR="000E53E1" w:rsidRPr="003E6CF5" w:rsidRDefault="000E53E1" w:rsidP="000E53E1">
            <w:pPr>
              <w:spacing w:line="228" w:lineRule="auto"/>
              <w:ind w:left="85" w:right="85"/>
              <w:jc w:val="center"/>
              <w:rPr>
                <w:rFonts w:asciiTheme="minorBidi" w:hAnsiTheme="minorBidi" w:cstheme="minorBidi"/>
                <w:b/>
                <w:bCs/>
                <w:sz w:val="16"/>
                <w:szCs w:val="16"/>
                <w:rtl/>
              </w:rPr>
            </w:pPr>
          </w:p>
        </w:tc>
        <w:tc>
          <w:tcPr>
            <w:tcW w:w="221" w:type="pct"/>
            <w:vAlign w:val="bottom"/>
          </w:tcPr>
          <w:p w14:paraId="5DC6A449" w14:textId="77777777" w:rsidR="000E53E1" w:rsidRPr="003E6CF5" w:rsidRDefault="000E53E1" w:rsidP="000E53E1">
            <w:pPr>
              <w:spacing w:line="228" w:lineRule="auto"/>
              <w:ind w:left="85" w:right="85"/>
              <w:jc w:val="center"/>
              <w:rPr>
                <w:rFonts w:asciiTheme="minorBidi" w:hAnsiTheme="minorBidi" w:cstheme="minorBidi"/>
                <w:b/>
                <w:bCs/>
                <w:sz w:val="16"/>
                <w:szCs w:val="16"/>
                <w:rtl/>
              </w:rPr>
            </w:pPr>
          </w:p>
        </w:tc>
      </w:tr>
      <w:tr w:rsidR="000E53E1" w:rsidRPr="000A4A09" w14:paraId="1FEC0A16" w14:textId="77777777" w:rsidTr="000E53E1">
        <w:tc>
          <w:tcPr>
            <w:tcW w:w="950" w:type="pct"/>
            <w:vAlign w:val="bottom"/>
          </w:tcPr>
          <w:p w14:paraId="1F0F0DD6" w14:textId="77777777" w:rsidR="000E53E1" w:rsidRPr="003E6CF5" w:rsidRDefault="000E53E1" w:rsidP="000E53E1">
            <w:pPr>
              <w:spacing w:line="228" w:lineRule="auto"/>
              <w:ind w:left="57" w:right="57" w:hanging="144"/>
              <w:jc w:val="center"/>
              <w:rPr>
                <w:rFonts w:asciiTheme="minorBidi" w:hAnsiTheme="minorBidi" w:cstheme="minorBidi"/>
                <w:color w:val="000000"/>
                <w:sz w:val="16"/>
                <w:szCs w:val="16"/>
                <w:rtl/>
                <w:lang w:eastAsia="he-IL"/>
              </w:rPr>
            </w:pPr>
          </w:p>
        </w:tc>
        <w:tc>
          <w:tcPr>
            <w:tcW w:w="264" w:type="pct"/>
            <w:vAlign w:val="bottom"/>
          </w:tcPr>
          <w:p w14:paraId="1F928B42" w14:textId="77777777" w:rsidR="000E53E1" w:rsidRPr="00427850" w:rsidRDefault="000E53E1" w:rsidP="000E53E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סה"כ</w:t>
            </w:r>
          </w:p>
        </w:tc>
        <w:tc>
          <w:tcPr>
            <w:tcW w:w="324" w:type="pct"/>
            <w:vAlign w:val="bottom"/>
          </w:tcPr>
          <w:p w14:paraId="53F52583" w14:textId="77777777" w:rsidR="000E53E1" w:rsidRPr="00427850" w:rsidRDefault="000E53E1" w:rsidP="000E53E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מזה: הלוואות לדיור</w:t>
            </w:r>
          </w:p>
        </w:tc>
        <w:tc>
          <w:tcPr>
            <w:tcW w:w="297" w:type="pct"/>
            <w:vAlign w:val="bottom"/>
          </w:tcPr>
          <w:p w14:paraId="7EACF7D1" w14:textId="77777777" w:rsidR="000E53E1" w:rsidRPr="00427850" w:rsidRDefault="000E53E1" w:rsidP="000E53E1">
            <w:pPr>
              <w:pBdr>
                <w:bottom w:val="single" w:sz="4" w:space="1" w:color="auto"/>
              </w:pBdr>
              <w:spacing w:line="228" w:lineRule="auto"/>
              <w:ind w:left="85" w:right="85"/>
              <w:jc w:val="center"/>
              <w:rPr>
                <w:rFonts w:asciiTheme="minorBidi" w:hAnsiTheme="minorBidi" w:cstheme="minorBidi"/>
                <w:sz w:val="16"/>
                <w:szCs w:val="16"/>
              </w:rPr>
            </w:pPr>
            <w:r w:rsidRPr="00427850">
              <w:rPr>
                <w:rFonts w:asciiTheme="minorBidi" w:hAnsiTheme="minorBidi" w:cstheme="minorBidi"/>
                <w:sz w:val="16"/>
                <w:szCs w:val="16"/>
                <w:rtl/>
              </w:rPr>
              <w:t>מזה: כרטיסי אשראי</w:t>
            </w:r>
          </w:p>
        </w:tc>
        <w:tc>
          <w:tcPr>
            <w:tcW w:w="328" w:type="pct"/>
            <w:vAlign w:val="bottom"/>
          </w:tcPr>
          <w:p w14:paraId="4CABF5FA" w14:textId="77777777" w:rsidR="000E53E1" w:rsidRPr="00427850" w:rsidRDefault="000E53E1" w:rsidP="000E53E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בנקאות פרטית</w:t>
            </w:r>
          </w:p>
        </w:tc>
        <w:tc>
          <w:tcPr>
            <w:tcW w:w="317" w:type="pct"/>
            <w:vAlign w:val="bottom"/>
          </w:tcPr>
          <w:p w14:paraId="7C0844C5" w14:textId="77777777" w:rsidR="000E53E1" w:rsidRPr="00427850" w:rsidRDefault="000E53E1" w:rsidP="000E53E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עסקים קטנים וזעירים</w:t>
            </w:r>
          </w:p>
        </w:tc>
        <w:tc>
          <w:tcPr>
            <w:tcW w:w="327" w:type="pct"/>
            <w:vAlign w:val="bottom"/>
          </w:tcPr>
          <w:p w14:paraId="6443284F" w14:textId="77777777" w:rsidR="000E53E1" w:rsidRPr="00427850" w:rsidRDefault="000E53E1" w:rsidP="000E53E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עסקים בינוניים</w:t>
            </w:r>
          </w:p>
        </w:tc>
        <w:tc>
          <w:tcPr>
            <w:tcW w:w="299" w:type="pct"/>
            <w:gridSpan w:val="2"/>
            <w:vAlign w:val="bottom"/>
          </w:tcPr>
          <w:p w14:paraId="7F6E4A84" w14:textId="77777777" w:rsidR="000E53E1" w:rsidRPr="00427850" w:rsidRDefault="000E53E1" w:rsidP="000E53E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עסקים גדולים</w:t>
            </w:r>
          </w:p>
        </w:tc>
        <w:tc>
          <w:tcPr>
            <w:tcW w:w="340" w:type="pct"/>
            <w:vAlign w:val="bottom"/>
          </w:tcPr>
          <w:p w14:paraId="452DB8C4" w14:textId="77777777" w:rsidR="000E53E1" w:rsidRPr="00427850" w:rsidRDefault="000E53E1" w:rsidP="000E53E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גופים מוסדיים</w:t>
            </w:r>
          </w:p>
        </w:tc>
        <w:tc>
          <w:tcPr>
            <w:tcW w:w="364" w:type="pct"/>
            <w:vAlign w:val="bottom"/>
          </w:tcPr>
          <w:p w14:paraId="06161923" w14:textId="77777777" w:rsidR="000E53E1" w:rsidRPr="00427850" w:rsidRDefault="000E53E1" w:rsidP="000E53E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ניהול פיננסי</w:t>
            </w:r>
          </w:p>
        </w:tc>
        <w:tc>
          <w:tcPr>
            <w:tcW w:w="230" w:type="pct"/>
            <w:vAlign w:val="bottom"/>
          </w:tcPr>
          <w:p w14:paraId="18CF16B4" w14:textId="77777777" w:rsidR="000E53E1" w:rsidRPr="00427850" w:rsidRDefault="000E53E1" w:rsidP="000E53E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אחר</w:t>
            </w:r>
          </w:p>
        </w:tc>
        <w:tc>
          <w:tcPr>
            <w:tcW w:w="383" w:type="pct"/>
            <w:vAlign w:val="bottom"/>
          </w:tcPr>
          <w:p w14:paraId="5BA6B9B3" w14:textId="77777777" w:rsidR="000E53E1" w:rsidRPr="003E6CF5" w:rsidRDefault="000E53E1" w:rsidP="000E53E1">
            <w:pPr>
              <w:pBdr>
                <w:bottom w:val="single" w:sz="4" w:space="1" w:color="auto"/>
              </w:pBdr>
              <w:spacing w:line="228" w:lineRule="auto"/>
              <w:ind w:left="85" w:right="85"/>
              <w:jc w:val="center"/>
              <w:rPr>
                <w:rFonts w:asciiTheme="minorBidi" w:hAnsiTheme="minorBidi" w:cstheme="minorBidi"/>
                <w:b/>
                <w:bCs/>
                <w:sz w:val="16"/>
                <w:szCs w:val="16"/>
                <w:rtl/>
              </w:rPr>
            </w:pPr>
            <w:r w:rsidRPr="003E6CF5">
              <w:rPr>
                <w:rFonts w:asciiTheme="minorBidi" w:hAnsiTheme="minorBidi" w:cstheme="minorBidi"/>
                <w:b/>
                <w:bCs/>
                <w:sz w:val="16"/>
                <w:szCs w:val="16"/>
                <w:rtl/>
              </w:rPr>
              <w:t>סך הכל פעילות ישראל</w:t>
            </w:r>
          </w:p>
        </w:tc>
        <w:tc>
          <w:tcPr>
            <w:tcW w:w="356" w:type="pct"/>
            <w:vAlign w:val="bottom"/>
          </w:tcPr>
          <w:p w14:paraId="262EFEB7" w14:textId="77777777" w:rsidR="000E53E1" w:rsidRPr="003E6CF5" w:rsidRDefault="000E53E1" w:rsidP="000E53E1">
            <w:pPr>
              <w:pBdr>
                <w:bottom w:val="single" w:sz="4" w:space="1" w:color="auto"/>
              </w:pBdr>
              <w:spacing w:line="228" w:lineRule="auto"/>
              <w:ind w:left="85" w:right="85"/>
              <w:jc w:val="center"/>
              <w:rPr>
                <w:rFonts w:asciiTheme="minorBidi" w:hAnsiTheme="minorBidi" w:cstheme="minorBidi"/>
                <w:b/>
                <w:bCs/>
                <w:sz w:val="16"/>
                <w:szCs w:val="16"/>
                <w:rtl/>
              </w:rPr>
            </w:pPr>
            <w:r w:rsidRPr="003E6CF5">
              <w:rPr>
                <w:rFonts w:asciiTheme="minorBidi" w:hAnsiTheme="minorBidi" w:cstheme="minorBidi"/>
                <w:b/>
                <w:bCs/>
                <w:sz w:val="16"/>
                <w:szCs w:val="16"/>
                <w:rtl/>
              </w:rPr>
              <w:t xml:space="preserve">סך הכל פעילות </w:t>
            </w:r>
            <w:r w:rsidRPr="003E6CF5">
              <w:rPr>
                <w:rFonts w:asciiTheme="minorBidi" w:hAnsiTheme="minorBidi" w:cstheme="minorBidi"/>
                <w:b/>
                <w:bCs/>
                <w:sz w:val="16"/>
                <w:szCs w:val="16"/>
                <w:rtl/>
              </w:rPr>
              <w:br/>
              <w:t>חו"ל</w:t>
            </w:r>
          </w:p>
        </w:tc>
        <w:tc>
          <w:tcPr>
            <w:tcW w:w="221" w:type="pct"/>
            <w:vAlign w:val="bottom"/>
          </w:tcPr>
          <w:p w14:paraId="73EE8187" w14:textId="77777777" w:rsidR="000E53E1" w:rsidRPr="003E6CF5" w:rsidRDefault="000E53E1" w:rsidP="000E53E1">
            <w:pPr>
              <w:pBdr>
                <w:bottom w:val="single" w:sz="4" w:space="1" w:color="auto"/>
              </w:pBdr>
              <w:spacing w:line="228" w:lineRule="auto"/>
              <w:ind w:left="85" w:right="85"/>
              <w:jc w:val="center"/>
              <w:rPr>
                <w:rFonts w:asciiTheme="minorBidi" w:hAnsiTheme="minorBidi" w:cstheme="minorBidi"/>
                <w:b/>
                <w:bCs/>
                <w:sz w:val="16"/>
                <w:szCs w:val="16"/>
                <w:rtl/>
              </w:rPr>
            </w:pPr>
            <w:r w:rsidRPr="003E6CF5">
              <w:rPr>
                <w:rFonts w:asciiTheme="minorBidi" w:hAnsiTheme="minorBidi" w:cstheme="minorBidi"/>
                <w:b/>
                <w:bCs/>
                <w:sz w:val="16"/>
                <w:szCs w:val="16"/>
                <w:rtl/>
              </w:rPr>
              <w:t>סך הכל</w:t>
            </w:r>
          </w:p>
        </w:tc>
      </w:tr>
      <w:tr w:rsidR="000E53E1" w:rsidRPr="000A4A09" w14:paraId="0EA4D305" w14:textId="77777777" w:rsidTr="000E53E1">
        <w:tc>
          <w:tcPr>
            <w:tcW w:w="950" w:type="pct"/>
            <w:vAlign w:val="bottom"/>
          </w:tcPr>
          <w:p w14:paraId="3D4BB327" w14:textId="77777777" w:rsidR="000E53E1" w:rsidRPr="003E6CF5" w:rsidRDefault="000E53E1" w:rsidP="000E53E1">
            <w:pPr>
              <w:bidi w:val="0"/>
              <w:spacing w:line="60" w:lineRule="exact"/>
              <w:ind w:firstLine="1"/>
              <w:rPr>
                <w:rFonts w:asciiTheme="minorBidi" w:hAnsiTheme="minorBidi" w:cstheme="minorBidi"/>
                <w:color w:val="000000"/>
                <w:sz w:val="16"/>
                <w:szCs w:val="16"/>
                <w:rtl/>
                <w:lang w:eastAsia="he-IL"/>
              </w:rPr>
            </w:pPr>
          </w:p>
        </w:tc>
        <w:tc>
          <w:tcPr>
            <w:tcW w:w="264" w:type="pct"/>
          </w:tcPr>
          <w:p w14:paraId="1C24ABBF" w14:textId="77777777" w:rsidR="000E53E1" w:rsidRPr="003E6CF5" w:rsidRDefault="000E53E1" w:rsidP="000E53E1">
            <w:pPr>
              <w:bidi w:val="0"/>
              <w:spacing w:line="60" w:lineRule="exact"/>
              <w:ind w:left="28" w:right="28"/>
              <w:rPr>
                <w:rFonts w:asciiTheme="minorBidi" w:hAnsiTheme="minorBidi" w:cstheme="minorBidi"/>
                <w:sz w:val="16"/>
                <w:szCs w:val="16"/>
                <w:rtl/>
              </w:rPr>
            </w:pPr>
          </w:p>
        </w:tc>
        <w:tc>
          <w:tcPr>
            <w:tcW w:w="324" w:type="pct"/>
          </w:tcPr>
          <w:p w14:paraId="45DD8A4A" w14:textId="77777777" w:rsidR="000E53E1" w:rsidRPr="003E6CF5" w:rsidRDefault="000E53E1" w:rsidP="000E53E1">
            <w:pPr>
              <w:bidi w:val="0"/>
              <w:spacing w:line="60" w:lineRule="exact"/>
              <w:ind w:left="28" w:right="28"/>
              <w:rPr>
                <w:rFonts w:asciiTheme="minorBidi" w:hAnsiTheme="minorBidi" w:cstheme="minorBidi"/>
                <w:sz w:val="16"/>
                <w:szCs w:val="16"/>
                <w:rtl/>
              </w:rPr>
            </w:pPr>
          </w:p>
        </w:tc>
        <w:tc>
          <w:tcPr>
            <w:tcW w:w="297" w:type="pct"/>
            <w:vAlign w:val="bottom"/>
          </w:tcPr>
          <w:p w14:paraId="5F0F12CC" w14:textId="77777777" w:rsidR="000E53E1" w:rsidRPr="003E6CF5" w:rsidRDefault="000E53E1" w:rsidP="000E53E1">
            <w:pPr>
              <w:bidi w:val="0"/>
              <w:spacing w:line="60" w:lineRule="exact"/>
              <w:ind w:left="28" w:right="28"/>
              <w:rPr>
                <w:rFonts w:asciiTheme="minorBidi" w:hAnsiTheme="minorBidi" w:cstheme="minorBidi"/>
                <w:sz w:val="16"/>
                <w:szCs w:val="16"/>
                <w:rtl/>
              </w:rPr>
            </w:pPr>
          </w:p>
        </w:tc>
        <w:tc>
          <w:tcPr>
            <w:tcW w:w="328" w:type="pct"/>
            <w:vAlign w:val="bottom"/>
          </w:tcPr>
          <w:p w14:paraId="6050F4BF" w14:textId="77777777" w:rsidR="000E53E1" w:rsidRPr="003E6CF5" w:rsidRDefault="000E53E1" w:rsidP="000E53E1">
            <w:pPr>
              <w:bidi w:val="0"/>
              <w:spacing w:line="60" w:lineRule="exact"/>
              <w:ind w:left="28" w:right="28"/>
              <w:rPr>
                <w:rFonts w:asciiTheme="minorBidi" w:hAnsiTheme="minorBidi" w:cstheme="minorBidi"/>
                <w:sz w:val="16"/>
                <w:szCs w:val="16"/>
                <w:rtl/>
              </w:rPr>
            </w:pPr>
          </w:p>
        </w:tc>
        <w:tc>
          <w:tcPr>
            <w:tcW w:w="317" w:type="pct"/>
            <w:vAlign w:val="bottom"/>
          </w:tcPr>
          <w:p w14:paraId="1CCA3F05" w14:textId="77777777" w:rsidR="000E53E1" w:rsidRPr="003E6CF5" w:rsidRDefault="000E53E1" w:rsidP="000E53E1">
            <w:pPr>
              <w:bidi w:val="0"/>
              <w:spacing w:line="60" w:lineRule="exact"/>
              <w:ind w:left="28" w:right="28"/>
              <w:rPr>
                <w:rFonts w:asciiTheme="minorBidi" w:hAnsiTheme="minorBidi" w:cstheme="minorBidi"/>
                <w:sz w:val="16"/>
                <w:szCs w:val="16"/>
                <w:rtl/>
              </w:rPr>
            </w:pPr>
          </w:p>
        </w:tc>
        <w:tc>
          <w:tcPr>
            <w:tcW w:w="327" w:type="pct"/>
            <w:vAlign w:val="bottom"/>
          </w:tcPr>
          <w:p w14:paraId="15E0716B" w14:textId="77777777" w:rsidR="000E53E1" w:rsidRPr="003E6CF5" w:rsidRDefault="000E53E1" w:rsidP="000E53E1">
            <w:pPr>
              <w:bidi w:val="0"/>
              <w:spacing w:line="60" w:lineRule="exact"/>
              <w:ind w:left="28" w:right="28"/>
              <w:rPr>
                <w:rFonts w:asciiTheme="minorBidi" w:hAnsiTheme="minorBidi" w:cstheme="minorBidi"/>
                <w:sz w:val="16"/>
                <w:szCs w:val="16"/>
                <w:rtl/>
              </w:rPr>
            </w:pPr>
          </w:p>
        </w:tc>
        <w:tc>
          <w:tcPr>
            <w:tcW w:w="294" w:type="pct"/>
            <w:vAlign w:val="bottom"/>
          </w:tcPr>
          <w:p w14:paraId="5E6BDE1A" w14:textId="77777777" w:rsidR="000E53E1" w:rsidRPr="003E6CF5" w:rsidRDefault="000E53E1" w:rsidP="000E53E1">
            <w:pPr>
              <w:bidi w:val="0"/>
              <w:spacing w:line="60" w:lineRule="exact"/>
              <w:ind w:left="28" w:right="28"/>
              <w:rPr>
                <w:rFonts w:asciiTheme="minorBidi" w:hAnsiTheme="minorBidi" w:cstheme="minorBidi"/>
                <w:sz w:val="16"/>
                <w:szCs w:val="16"/>
                <w:rtl/>
              </w:rPr>
            </w:pPr>
          </w:p>
        </w:tc>
        <w:tc>
          <w:tcPr>
            <w:tcW w:w="345" w:type="pct"/>
            <w:gridSpan w:val="2"/>
            <w:vAlign w:val="bottom"/>
          </w:tcPr>
          <w:p w14:paraId="6B34692E" w14:textId="77777777" w:rsidR="000E53E1" w:rsidRPr="003E6CF5" w:rsidRDefault="000E53E1" w:rsidP="000E53E1">
            <w:pPr>
              <w:bidi w:val="0"/>
              <w:spacing w:line="60" w:lineRule="exact"/>
              <w:ind w:left="28" w:right="28"/>
              <w:rPr>
                <w:rFonts w:asciiTheme="minorBidi" w:hAnsiTheme="minorBidi" w:cstheme="minorBidi"/>
                <w:sz w:val="16"/>
                <w:szCs w:val="16"/>
                <w:rtl/>
              </w:rPr>
            </w:pPr>
          </w:p>
        </w:tc>
        <w:tc>
          <w:tcPr>
            <w:tcW w:w="364" w:type="pct"/>
            <w:vAlign w:val="bottom"/>
          </w:tcPr>
          <w:p w14:paraId="54B3EC77" w14:textId="77777777" w:rsidR="000E53E1" w:rsidRPr="003E6CF5" w:rsidRDefault="000E53E1" w:rsidP="000E53E1">
            <w:pPr>
              <w:bidi w:val="0"/>
              <w:spacing w:line="60" w:lineRule="exact"/>
              <w:ind w:left="28" w:right="28"/>
              <w:rPr>
                <w:rFonts w:asciiTheme="minorBidi" w:hAnsiTheme="minorBidi" w:cstheme="minorBidi"/>
                <w:sz w:val="16"/>
                <w:szCs w:val="16"/>
                <w:rtl/>
              </w:rPr>
            </w:pPr>
          </w:p>
        </w:tc>
        <w:tc>
          <w:tcPr>
            <w:tcW w:w="230" w:type="pct"/>
            <w:vAlign w:val="bottom"/>
          </w:tcPr>
          <w:p w14:paraId="15837AA8" w14:textId="77777777" w:rsidR="000E53E1" w:rsidRPr="003E6CF5" w:rsidRDefault="000E53E1" w:rsidP="000E53E1">
            <w:pPr>
              <w:bidi w:val="0"/>
              <w:spacing w:line="60" w:lineRule="exact"/>
              <w:ind w:left="28" w:right="28"/>
              <w:rPr>
                <w:rFonts w:asciiTheme="minorBidi" w:hAnsiTheme="minorBidi" w:cstheme="minorBidi"/>
                <w:sz w:val="16"/>
                <w:szCs w:val="16"/>
                <w:rtl/>
              </w:rPr>
            </w:pPr>
          </w:p>
        </w:tc>
        <w:tc>
          <w:tcPr>
            <w:tcW w:w="383" w:type="pct"/>
            <w:vAlign w:val="bottom"/>
          </w:tcPr>
          <w:p w14:paraId="7005484F" w14:textId="77777777" w:rsidR="000E53E1" w:rsidRPr="003E6CF5" w:rsidRDefault="000E53E1" w:rsidP="000E53E1">
            <w:pPr>
              <w:bidi w:val="0"/>
              <w:spacing w:line="60" w:lineRule="exact"/>
              <w:ind w:left="28" w:right="28"/>
              <w:rPr>
                <w:rFonts w:asciiTheme="minorBidi" w:hAnsiTheme="minorBidi" w:cstheme="minorBidi"/>
                <w:sz w:val="16"/>
                <w:szCs w:val="16"/>
                <w:rtl/>
              </w:rPr>
            </w:pPr>
          </w:p>
        </w:tc>
        <w:tc>
          <w:tcPr>
            <w:tcW w:w="356" w:type="pct"/>
            <w:vAlign w:val="bottom"/>
          </w:tcPr>
          <w:p w14:paraId="15B3F144" w14:textId="77777777" w:rsidR="000E53E1" w:rsidRPr="003E6CF5" w:rsidRDefault="000E53E1" w:rsidP="000E53E1">
            <w:pPr>
              <w:bidi w:val="0"/>
              <w:spacing w:line="60" w:lineRule="exact"/>
              <w:ind w:left="28" w:right="28"/>
              <w:rPr>
                <w:rFonts w:asciiTheme="minorBidi" w:hAnsiTheme="minorBidi" w:cstheme="minorBidi"/>
                <w:sz w:val="16"/>
                <w:szCs w:val="16"/>
                <w:rtl/>
              </w:rPr>
            </w:pPr>
          </w:p>
        </w:tc>
        <w:tc>
          <w:tcPr>
            <w:tcW w:w="221" w:type="pct"/>
          </w:tcPr>
          <w:p w14:paraId="333B8D34" w14:textId="77777777" w:rsidR="000E53E1" w:rsidRPr="003E6CF5" w:rsidRDefault="000E53E1" w:rsidP="000E53E1">
            <w:pPr>
              <w:bidi w:val="0"/>
              <w:spacing w:line="60" w:lineRule="exact"/>
              <w:ind w:left="28" w:right="28"/>
              <w:rPr>
                <w:rFonts w:asciiTheme="minorBidi" w:hAnsiTheme="minorBidi" w:cstheme="minorBidi"/>
                <w:sz w:val="16"/>
                <w:szCs w:val="16"/>
                <w:rtl/>
              </w:rPr>
            </w:pPr>
          </w:p>
        </w:tc>
      </w:tr>
      <w:tr w:rsidR="000E53E1" w:rsidRPr="000A4A09" w14:paraId="17808E89" w14:textId="77777777" w:rsidTr="000E53E1">
        <w:tc>
          <w:tcPr>
            <w:tcW w:w="950" w:type="pct"/>
            <w:vAlign w:val="bottom"/>
          </w:tcPr>
          <w:p w14:paraId="64401319" w14:textId="77777777" w:rsidR="000E53E1" w:rsidRPr="003E6CF5" w:rsidRDefault="000E53E1" w:rsidP="000E53E1">
            <w:pPr>
              <w:spacing w:line="241" w:lineRule="auto"/>
              <w:ind w:left="2"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הכנסות ריבית מחיצוניים</w:t>
            </w:r>
          </w:p>
        </w:tc>
        <w:tc>
          <w:tcPr>
            <w:tcW w:w="264" w:type="pct"/>
            <w:vAlign w:val="bottom"/>
          </w:tcPr>
          <w:p w14:paraId="09298D56"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1A1FDB42"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532B4399"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3DCD2F81"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03A4496D"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50A17ABE"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5DEEA1F0"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26C76901"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4B1405A8"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5A29E402"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141D02BC"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37FEB040"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40BC6BCE"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r>
      <w:tr w:rsidR="000E53E1" w:rsidRPr="000A4A09" w14:paraId="3A4E455B" w14:textId="77777777" w:rsidTr="000E53E1">
        <w:tc>
          <w:tcPr>
            <w:tcW w:w="950" w:type="pct"/>
            <w:vAlign w:val="bottom"/>
          </w:tcPr>
          <w:p w14:paraId="39E8E94C" w14:textId="77777777" w:rsidR="000E53E1" w:rsidRPr="003E6CF5" w:rsidRDefault="000E53E1" w:rsidP="000E53E1">
            <w:pPr>
              <w:spacing w:line="241" w:lineRule="auto"/>
              <w:ind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הוצאות ריבית מחיצוניים</w:t>
            </w:r>
          </w:p>
        </w:tc>
        <w:tc>
          <w:tcPr>
            <w:tcW w:w="264" w:type="pct"/>
            <w:vAlign w:val="bottom"/>
          </w:tcPr>
          <w:p w14:paraId="374AE60C"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4F68213E"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68D01AEB"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12A58995"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739BD54B"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3C5298FB"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47C39D0A"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366C69E4"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782720D3"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1023260E"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2F77B40A"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1E42AC04"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7ECDDAC2"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r>
      <w:tr w:rsidR="000E53E1" w:rsidRPr="000A4A09" w14:paraId="535300F8" w14:textId="77777777" w:rsidTr="000E53E1">
        <w:tc>
          <w:tcPr>
            <w:tcW w:w="950" w:type="pct"/>
            <w:vAlign w:val="bottom"/>
          </w:tcPr>
          <w:p w14:paraId="67C777B7" w14:textId="77777777" w:rsidR="000E53E1" w:rsidRPr="003E6CF5" w:rsidRDefault="000E53E1" w:rsidP="000E53E1">
            <w:pPr>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הכנסות ריבית, נטו מחיצוניים</w:t>
            </w:r>
          </w:p>
        </w:tc>
        <w:tc>
          <w:tcPr>
            <w:tcW w:w="264" w:type="pct"/>
            <w:vAlign w:val="bottom"/>
          </w:tcPr>
          <w:p w14:paraId="6A48A881"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007554D4"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3043F513"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3A1DAC40"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1F65EA22"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23D3D21A"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102FE852"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18F04019"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53D7BC4C"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165F98D0"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6C7617EF"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09812AC2"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3B51FC90"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r>
      <w:tr w:rsidR="000E53E1" w:rsidRPr="000A4A09" w14:paraId="4439C923" w14:textId="77777777" w:rsidTr="000E53E1">
        <w:tc>
          <w:tcPr>
            <w:tcW w:w="950" w:type="pct"/>
            <w:vAlign w:val="bottom"/>
          </w:tcPr>
          <w:p w14:paraId="32591013" w14:textId="77777777" w:rsidR="000E53E1" w:rsidRPr="003E6CF5" w:rsidRDefault="000E53E1" w:rsidP="000E53E1">
            <w:pPr>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הכנסות ריבית, נטו בינמגזרי</w:t>
            </w:r>
          </w:p>
        </w:tc>
        <w:tc>
          <w:tcPr>
            <w:tcW w:w="264" w:type="pct"/>
            <w:vAlign w:val="bottom"/>
          </w:tcPr>
          <w:p w14:paraId="1DCA648C"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788018CF"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6544C81D"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1ABDF7C0"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04D633DB"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28900764"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38784EF6"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7A79FFB7"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35541335"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75719851"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21ED40E2"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25DECF7B"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6FCA700E"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w:t>
            </w:r>
          </w:p>
        </w:tc>
      </w:tr>
      <w:tr w:rsidR="000E53E1" w:rsidRPr="000A4A09" w14:paraId="3ED3FE6C" w14:textId="77777777" w:rsidTr="000E53E1">
        <w:tc>
          <w:tcPr>
            <w:tcW w:w="950" w:type="pct"/>
            <w:vAlign w:val="bottom"/>
          </w:tcPr>
          <w:p w14:paraId="77E62DE3" w14:textId="77777777" w:rsidR="000E53E1" w:rsidRPr="003E6CF5" w:rsidRDefault="000E53E1" w:rsidP="000E53E1">
            <w:pPr>
              <w:spacing w:line="241" w:lineRule="auto"/>
              <w:ind w:firstLine="1"/>
              <w:jc w:val="left"/>
              <w:rPr>
                <w:rFonts w:asciiTheme="minorBidi" w:hAnsiTheme="minorBidi" w:cstheme="minorBidi"/>
                <w:b/>
                <w:bCs/>
                <w:color w:val="000000"/>
                <w:sz w:val="16"/>
                <w:szCs w:val="16"/>
                <w:rtl/>
                <w:lang w:eastAsia="he-IL"/>
              </w:rPr>
            </w:pPr>
            <w:r w:rsidRPr="003E6CF5">
              <w:rPr>
                <w:rFonts w:asciiTheme="minorBidi" w:hAnsiTheme="minorBidi" w:cstheme="minorBidi"/>
                <w:b/>
                <w:bCs/>
                <w:color w:val="000000"/>
                <w:sz w:val="16"/>
                <w:szCs w:val="16"/>
                <w:rtl/>
                <w:lang w:eastAsia="he-IL"/>
              </w:rPr>
              <w:t>סך הכנסות ריבית, נטו</w:t>
            </w:r>
          </w:p>
        </w:tc>
        <w:tc>
          <w:tcPr>
            <w:tcW w:w="264" w:type="pct"/>
            <w:vAlign w:val="bottom"/>
          </w:tcPr>
          <w:p w14:paraId="547B4610"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4" w:type="pct"/>
            <w:vAlign w:val="bottom"/>
          </w:tcPr>
          <w:p w14:paraId="183BC389"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97" w:type="pct"/>
            <w:vAlign w:val="bottom"/>
          </w:tcPr>
          <w:p w14:paraId="47C90B94"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8" w:type="pct"/>
            <w:vAlign w:val="bottom"/>
          </w:tcPr>
          <w:p w14:paraId="06CDF813"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17" w:type="pct"/>
            <w:vAlign w:val="bottom"/>
          </w:tcPr>
          <w:p w14:paraId="26B29312"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7" w:type="pct"/>
            <w:vAlign w:val="bottom"/>
          </w:tcPr>
          <w:p w14:paraId="2BC0ECC9"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94" w:type="pct"/>
            <w:vAlign w:val="bottom"/>
          </w:tcPr>
          <w:p w14:paraId="2348AD4B"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45" w:type="pct"/>
            <w:gridSpan w:val="2"/>
            <w:vAlign w:val="bottom"/>
          </w:tcPr>
          <w:p w14:paraId="362CDAA8"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64" w:type="pct"/>
            <w:vAlign w:val="bottom"/>
          </w:tcPr>
          <w:p w14:paraId="71CD32A6"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30" w:type="pct"/>
            <w:vAlign w:val="bottom"/>
          </w:tcPr>
          <w:p w14:paraId="681CFF6A"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83" w:type="pct"/>
            <w:vAlign w:val="bottom"/>
          </w:tcPr>
          <w:p w14:paraId="3B7F821D"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56" w:type="pct"/>
            <w:vAlign w:val="bottom"/>
          </w:tcPr>
          <w:p w14:paraId="25AF6F00"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21" w:type="pct"/>
            <w:vAlign w:val="bottom"/>
          </w:tcPr>
          <w:p w14:paraId="56420C05"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r>
      <w:tr w:rsidR="000E53E1" w:rsidRPr="000A4A09" w14:paraId="1CBB8C66" w14:textId="77777777" w:rsidTr="000E53E1">
        <w:tc>
          <w:tcPr>
            <w:tcW w:w="950" w:type="pct"/>
            <w:vAlign w:val="bottom"/>
          </w:tcPr>
          <w:p w14:paraId="65D45092" w14:textId="77777777" w:rsidR="000E53E1" w:rsidRPr="003E6CF5" w:rsidRDefault="000E53E1" w:rsidP="000E53E1">
            <w:pPr>
              <w:spacing w:line="80" w:lineRule="exact"/>
              <w:ind w:firstLine="1"/>
              <w:jc w:val="left"/>
              <w:rPr>
                <w:rFonts w:asciiTheme="minorBidi" w:hAnsiTheme="minorBidi" w:cstheme="minorBidi"/>
                <w:color w:val="000000"/>
                <w:sz w:val="16"/>
                <w:szCs w:val="16"/>
                <w:rtl/>
                <w:lang w:eastAsia="he-IL"/>
              </w:rPr>
            </w:pPr>
          </w:p>
        </w:tc>
        <w:tc>
          <w:tcPr>
            <w:tcW w:w="264" w:type="pct"/>
            <w:vAlign w:val="bottom"/>
          </w:tcPr>
          <w:p w14:paraId="1D23DAFD"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24" w:type="pct"/>
            <w:vAlign w:val="bottom"/>
          </w:tcPr>
          <w:p w14:paraId="0394EF9C"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297" w:type="pct"/>
            <w:vAlign w:val="bottom"/>
          </w:tcPr>
          <w:p w14:paraId="03B8E308"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28" w:type="pct"/>
            <w:vAlign w:val="bottom"/>
          </w:tcPr>
          <w:p w14:paraId="66EA5596"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17" w:type="pct"/>
            <w:vAlign w:val="bottom"/>
          </w:tcPr>
          <w:p w14:paraId="46E257B9"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27" w:type="pct"/>
            <w:vAlign w:val="bottom"/>
          </w:tcPr>
          <w:p w14:paraId="744C3430"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294" w:type="pct"/>
            <w:vAlign w:val="bottom"/>
          </w:tcPr>
          <w:p w14:paraId="2A7B096E"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45" w:type="pct"/>
            <w:gridSpan w:val="2"/>
            <w:vAlign w:val="bottom"/>
          </w:tcPr>
          <w:p w14:paraId="4D257B54"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64" w:type="pct"/>
            <w:vAlign w:val="bottom"/>
          </w:tcPr>
          <w:p w14:paraId="31F93276"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230" w:type="pct"/>
            <w:vAlign w:val="bottom"/>
          </w:tcPr>
          <w:p w14:paraId="4011B6C1"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83" w:type="pct"/>
            <w:vAlign w:val="bottom"/>
          </w:tcPr>
          <w:p w14:paraId="029CD472"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56" w:type="pct"/>
            <w:vAlign w:val="bottom"/>
          </w:tcPr>
          <w:p w14:paraId="558ED415"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221" w:type="pct"/>
            <w:vAlign w:val="bottom"/>
          </w:tcPr>
          <w:p w14:paraId="636B0C16"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r>
      <w:tr w:rsidR="000E53E1" w:rsidRPr="000A4A09" w14:paraId="0289D795" w14:textId="77777777" w:rsidTr="000E53E1">
        <w:tc>
          <w:tcPr>
            <w:tcW w:w="950" w:type="pct"/>
            <w:vAlign w:val="bottom"/>
          </w:tcPr>
          <w:p w14:paraId="6205E7D0" w14:textId="77777777" w:rsidR="000E53E1" w:rsidRPr="003E6CF5" w:rsidRDefault="000E53E1" w:rsidP="000E53E1">
            <w:pPr>
              <w:spacing w:line="241" w:lineRule="auto"/>
              <w:ind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הכנסות שאינן מריבית:</w:t>
            </w:r>
          </w:p>
        </w:tc>
        <w:tc>
          <w:tcPr>
            <w:tcW w:w="264" w:type="pct"/>
            <w:vAlign w:val="bottom"/>
          </w:tcPr>
          <w:p w14:paraId="179B10B3"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24" w:type="pct"/>
            <w:vAlign w:val="bottom"/>
          </w:tcPr>
          <w:p w14:paraId="32DC595A"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297" w:type="pct"/>
            <w:vAlign w:val="bottom"/>
          </w:tcPr>
          <w:p w14:paraId="4A5C9F9F"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28" w:type="pct"/>
            <w:vAlign w:val="bottom"/>
          </w:tcPr>
          <w:p w14:paraId="5E646D01"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17" w:type="pct"/>
            <w:vAlign w:val="bottom"/>
          </w:tcPr>
          <w:p w14:paraId="4DB69BD3"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27" w:type="pct"/>
            <w:vAlign w:val="bottom"/>
          </w:tcPr>
          <w:p w14:paraId="7184CD09"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294" w:type="pct"/>
            <w:vAlign w:val="bottom"/>
          </w:tcPr>
          <w:p w14:paraId="0EBAB4E1"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45" w:type="pct"/>
            <w:gridSpan w:val="2"/>
            <w:vAlign w:val="bottom"/>
          </w:tcPr>
          <w:p w14:paraId="2BB9D0B7"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64" w:type="pct"/>
            <w:vAlign w:val="bottom"/>
          </w:tcPr>
          <w:p w14:paraId="1288C012"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230" w:type="pct"/>
            <w:vAlign w:val="bottom"/>
          </w:tcPr>
          <w:p w14:paraId="233D1FDF"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83" w:type="pct"/>
            <w:vAlign w:val="bottom"/>
          </w:tcPr>
          <w:p w14:paraId="7AFC83BA"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56" w:type="pct"/>
            <w:vAlign w:val="bottom"/>
          </w:tcPr>
          <w:p w14:paraId="44566EFB"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221" w:type="pct"/>
            <w:vAlign w:val="bottom"/>
          </w:tcPr>
          <w:p w14:paraId="42EC6920"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r>
      <w:tr w:rsidR="000E53E1" w:rsidRPr="000A4A09" w14:paraId="2AD068F6" w14:textId="77777777" w:rsidTr="000E53E1">
        <w:tc>
          <w:tcPr>
            <w:tcW w:w="950" w:type="pct"/>
            <w:vAlign w:val="bottom"/>
          </w:tcPr>
          <w:p w14:paraId="7D201244" w14:textId="77777777" w:rsidR="000E53E1" w:rsidRPr="003E6CF5" w:rsidRDefault="000E53E1" w:rsidP="000E53E1">
            <w:pPr>
              <w:spacing w:line="241" w:lineRule="auto"/>
              <w:ind w:left="257"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מחיצוניים</w:t>
            </w:r>
          </w:p>
        </w:tc>
        <w:tc>
          <w:tcPr>
            <w:tcW w:w="264" w:type="pct"/>
            <w:vAlign w:val="bottom"/>
          </w:tcPr>
          <w:p w14:paraId="5269C22D"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3E4B127D"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61110C97"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661CEC1F"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7E9B5758"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2872D55D"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58701724"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5F34AF6C"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033A98EE"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7A099C01"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5DB2BF63"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2D650E76"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18E88203"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r>
      <w:tr w:rsidR="000E53E1" w:rsidRPr="000A4A09" w14:paraId="0B9A859C" w14:textId="77777777" w:rsidTr="000E53E1">
        <w:tc>
          <w:tcPr>
            <w:tcW w:w="950" w:type="pct"/>
            <w:vAlign w:val="bottom"/>
          </w:tcPr>
          <w:p w14:paraId="18575DDE" w14:textId="77777777" w:rsidR="000E53E1" w:rsidRPr="003E6CF5" w:rsidRDefault="000E53E1" w:rsidP="000E53E1">
            <w:pPr>
              <w:spacing w:line="241" w:lineRule="auto"/>
              <w:ind w:left="257"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בינמגזרי</w:t>
            </w:r>
          </w:p>
        </w:tc>
        <w:tc>
          <w:tcPr>
            <w:tcW w:w="264" w:type="pct"/>
            <w:vAlign w:val="bottom"/>
          </w:tcPr>
          <w:p w14:paraId="6AB8BF79"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4C967D24"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444BB568"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277B1CC4"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390B57B5"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03307FB1"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769F60F8"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5B5808B9"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5B539113"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2FF16703"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5B09A126"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1B781E73"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6A34EDFA"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w:t>
            </w:r>
          </w:p>
        </w:tc>
      </w:tr>
      <w:tr w:rsidR="000E53E1" w:rsidRPr="000A4A09" w14:paraId="5E641DE1" w14:textId="77777777" w:rsidTr="000E53E1">
        <w:tc>
          <w:tcPr>
            <w:tcW w:w="950" w:type="pct"/>
            <w:vAlign w:val="bottom"/>
          </w:tcPr>
          <w:p w14:paraId="420479D4" w14:textId="77777777" w:rsidR="000E53E1" w:rsidRPr="003E6CF5" w:rsidRDefault="000E53E1" w:rsidP="000E53E1">
            <w:pPr>
              <w:spacing w:line="241" w:lineRule="auto"/>
              <w:ind w:firstLine="1"/>
              <w:jc w:val="left"/>
              <w:rPr>
                <w:rFonts w:asciiTheme="minorBidi" w:hAnsiTheme="minorBidi" w:cstheme="minorBidi"/>
                <w:b/>
                <w:bCs/>
                <w:color w:val="000000"/>
                <w:sz w:val="16"/>
                <w:szCs w:val="16"/>
                <w:rtl/>
                <w:lang w:eastAsia="he-IL"/>
              </w:rPr>
            </w:pPr>
            <w:r w:rsidRPr="003E6CF5">
              <w:rPr>
                <w:rFonts w:asciiTheme="minorBidi" w:hAnsiTheme="minorBidi" w:cstheme="minorBidi"/>
                <w:b/>
                <w:bCs/>
                <w:color w:val="000000"/>
                <w:sz w:val="16"/>
                <w:szCs w:val="16"/>
                <w:rtl/>
                <w:lang w:eastAsia="he-IL"/>
              </w:rPr>
              <w:t>סך הכנסות שאינן מריבית</w:t>
            </w:r>
          </w:p>
        </w:tc>
        <w:tc>
          <w:tcPr>
            <w:tcW w:w="264" w:type="pct"/>
            <w:vAlign w:val="bottom"/>
          </w:tcPr>
          <w:p w14:paraId="40C290C8" w14:textId="77777777" w:rsidR="000E53E1" w:rsidRPr="00A13EFD" w:rsidRDefault="000E53E1" w:rsidP="000E53E1">
            <w:pPr>
              <w:pBdr>
                <w:bottom w:val="single" w:sz="8"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4" w:type="pct"/>
            <w:vAlign w:val="bottom"/>
          </w:tcPr>
          <w:p w14:paraId="03392F89" w14:textId="77777777" w:rsidR="000E53E1" w:rsidRPr="00A13EFD"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97" w:type="pct"/>
            <w:vAlign w:val="bottom"/>
          </w:tcPr>
          <w:p w14:paraId="43E15D4E" w14:textId="77777777" w:rsidR="000E53E1" w:rsidRPr="00A13EFD"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8" w:type="pct"/>
            <w:vAlign w:val="bottom"/>
          </w:tcPr>
          <w:p w14:paraId="37C55E91" w14:textId="77777777" w:rsidR="000E53E1" w:rsidRPr="00A13EFD"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17" w:type="pct"/>
            <w:vAlign w:val="bottom"/>
          </w:tcPr>
          <w:p w14:paraId="29C9BA5E" w14:textId="77777777" w:rsidR="000E53E1" w:rsidRPr="00A13EFD"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7" w:type="pct"/>
            <w:vAlign w:val="bottom"/>
          </w:tcPr>
          <w:p w14:paraId="3AFF6BE2" w14:textId="77777777" w:rsidR="000E53E1" w:rsidRPr="00A13EFD"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94" w:type="pct"/>
            <w:vAlign w:val="bottom"/>
          </w:tcPr>
          <w:p w14:paraId="73DA9EBB" w14:textId="77777777" w:rsidR="000E53E1" w:rsidRPr="00A13EFD"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45" w:type="pct"/>
            <w:gridSpan w:val="2"/>
            <w:vAlign w:val="bottom"/>
          </w:tcPr>
          <w:p w14:paraId="25085FC6" w14:textId="77777777" w:rsidR="000E53E1" w:rsidRPr="00A13EFD"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64" w:type="pct"/>
            <w:vAlign w:val="bottom"/>
          </w:tcPr>
          <w:p w14:paraId="4D4F01E0" w14:textId="77777777" w:rsidR="000E53E1" w:rsidRPr="00A13EFD"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30" w:type="pct"/>
            <w:vAlign w:val="bottom"/>
          </w:tcPr>
          <w:p w14:paraId="6B07CB22" w14:textId="77777777" w:rsidR="000E53E1" w:rsidRPr="00A13EFD"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83" w:type="pct"/>
            <w:vAlign w:val="bottom"/>
          </w:tcPr>
          <w:p w14:paraId="2508D29C" w14:textId="77777777" w:rsidR="000E53E1" w:rsidRPr="00A13EFD"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56" w:type="pct"/>
            <w:vAlign w:val="bottom"/>
          </w:tcPr>
          <w:p w14:paraId="5E847CDE" w14:textId="77777777" w:rsidR="000E53E1" w:rsidRPr="00A13EFD"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21" w:type="pct"/>
            <w:vAlign w:val="bottom"/>
          </w:tcPr>
          <w:p w14:paraId="1BB73475" w14:textId="77777777" w:rsidR="000E53E1" w:rsidRPr="00A13EFD"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r>
      <w:tr w:rsidR="000E53E1" w:rsidRPr="000A4A09" w14:paraId="18D95DDD" w14:textId="77777777" w:rsidTr="000E53E1">
        <w:tc>
          <w:tcPr>
            <w:tcW w:w="950" w:type="pct"/>
            <w:vAlign w:val="bottom"/>
          </w:tcPr>
          <w:p w14:paraId="41DB357A" w14:textId="77777777" w:rsidR="000E53E1" w:rsidRPr="003E6CF5" w:rsidRDefault="000E53E1" w:rsidP="000E53E1">
            <w:pPr>
              <w:spacing w:line="241" w:lineRule="auto"/>
              <w:ind w:firstLine="1"/>
              <w:jc w:val="left"/>
              <w:rPr>
                <w:rFonts w:asciiTheme="minorBidi" w:hAnsiTheme="minorBidi" w:cstheme="minorBidi"/>
                <w:b/>
                <w:bCs/>
                <w:color w:val="000000"/>
                <w:sz w:val="16"/>
                <w:szCs w:val="16"/>
                <w:rtl/>
                <w:lang w:eastAsia="he-IL"/>
              </w:rPr>
            </w:pPr>
            <w:r w:rsidRPr="003E6CF5">
              <w:rPr>
                <w:rFonts w:asciiTheme="minorBidi" w:hAnsiTheme="minorBidi" w:cstheme="minorBidi"/>
                <w:b/>
                <w:bCs/>
                <w:color w:val="000000"/>
                <w:sz w:val="16"/>
                <w:szCs w:val="16"/>
                <w:rtl/>
                <w:lang w:eastAsia="he-IL"/>
              </w:rPr>
              <w:t>סך הכנסות</w:t>
            </w:r>
          </w:p>
        </w:tc>
        <w:tc>
          <w:tcPr>
            <w:tcW w:w="264" w:type="pct"/>
            <w:vAlign w:val="bottom"/>
          </w:tcPr>
          <w:p w14:paraId="119F6303"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4" w:type="pct"/>
            <w:vAlign w:val="bottom"/>
          </w:tcPr>
          <w:p w14:paraId="2AA62DD4"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97" w:type="pct"/>
            <w:vAlign w:val="bottom"/>
          </w:tcPr>
          <w:p w14:paraId="4438D949"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8" w:type="pct"/>
            <w:vAlign w:val="bottom"/>
          </w:tcPr>
          <w:p w14:paraId="53F492FF"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17" w:type="pct"/>
            <w:vAlign w:val="bottom"/>
          </w:tcPr>
          <w:p w14:paraId="68B8136E"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7" w:type="pct"/>
            <w:vAlign w:val="bottom"/>
          </w:tcPr>
          <w:p w14:paraId="78CE5825"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94" w:type="pct"/>
            <w:vAlign w:val="bottom"/>
          </w:tcPr>
          <w:p w14:paraId="1F1886F1"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45" w:type="pct"/>
            <w:gridSpan w:val="2"/>
            <w:vAlign w:val="bottom"/>
          </w:tcPr>
          <w:p w14:paraId="0AFD9D00"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64" w:type="pct"/>
            <w:vAlign w:val="bottom"/>
          </w:tcPr>
          <w:p w14:paraId="3E7CCD7C"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30" w:type="pct"/>
            <w:vAlign w:val="bottom"/>
          </w:tcPr>
          <w:p w14:paraId="54E3E8A2"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83" w:type="pct"/>
            <w:vAlign w:val="bottom"/>
          </w:tcPr>
          <w:p w14:paraId="46607FD8"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56" w:type="pct"/>
            <w:vAlign w:val="bottom"/>
          </w:tcPr>
          <w:p w14:paraId="7F155802"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21" w:type="pct"/>
            <w:vAlign w:val="bottom"/>
          </w:tcPr>
          <w:p w14:paraId="70DE3D0F" w14:textId="77777777" w:rsidR="000E53E1" w:rsidRPr="00A13EFD" w:rsidRDefault="000E53E1" w:rsidP="000E53E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r>
      <w:tr w:rsidR="000E53E1" w:rsidRPr="000A4A09" w14:paraId="593E2B51" w14:textId="77777777" w:rsidTr="000E53E1">
        <w:tc>
          <w:tcPr>
            <w:tcW w:w="950" w:type="pct"/>
            <w:vAlign w:val="bottom"/>
          </w:tcPr>
          <w:p w14:paraId="65F2B309" w14:textId="77777777" w:rsidR="000E53E1" w:rsidRPr="003E6CF5" w:rsidRDefault="000E53E1" w:rsidP="000E53E1">
            <w:pPr>
              <w:spacing w:line="80" w:lineRule="exact"/>
              <w:ind w:firstLine="1"/>
              <w:jc w:val="left"/>
              <w:rPr>
                <w:rFonts w:asciiTheme="minorBidi" w:hAnsiTheme="minorBidi" w:cstheme="minorBidi"/>
                <w:color w:val="000000"/>
                <w:sz w:val="16"/>
                <w:szCs w:val="16"/>
                <w:rtl/>
                <w:lang w:eastAsia="he-IL"/>
              </w:rPr>
            </w:pPr>
          </w:p>
        </w:tc>
        <w:tc>
          <w:tcPr>
            <w:tcW w:w="264" w:type="pct"/>
            <w:vAlign w:val="bottom"/>
          </w:tcPr>
          <w:p w14:paraId="2ACB529D"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24" w:type="pct"/>
            <w:vAlign w:val="bottom"/>
          </w:tcPr>
          <w:p w14:paraId="552D0B8E"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297" w:type="pct"/>
            <w:vAlign w:val="bottom"/>
          </w:tcPr>
          <w:p w14:paraId="3C211B1B"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28" w:type="pct"/>
            <w:vAlign w:val="bottom"/>
          </w:tcPr>
          <w:p w14:paraId="5D19B073"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17" w:type="pct"/>
            <w:vAlign w:val="bottom"/>
          </w:tcPr>
          <w:p w14:paraId="3D931D38"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27" w:type="pct"/>
            <w:vAlign w:val="bottom"/>
          </w:tcPr>
          <w:p w14:paraId="4FD4C755"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294" w:type="pct"/>
            <w:vAlign w:val="bottom"/>
          </w:tcPr>
          <w:p w14:paraId="30EFE77D"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45" w:type="pct"/>
            <w:gridSpan w:val="2"/>
            <w:vAlign w:val="bottom"/>
          </w:tcPr>
          <w:p w14:paraId="7E90778E"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64" w:type="pct"/>
            <w:vAlign w:val="bottom"/>
          </w:tcPr>
          <w:p w14:paraId="074777ED"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230" w:type="pct"/>
            <w:vAlign w:val="bottom"/>
          </w:tcPr>
          <w:p w14:paraId="5BD083F5"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83" w:type="pct"/>
            <w:vAlign w:val="bottom"/>
          </w:tcPr>
          <w:p w14:paraId="69632512"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56" w:type="pct"/>
            <w:vAlign w:val="bottom"/>
          </w:tcPr>
          <w:p w14:paraId="1B91FFEE"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221" w:type="pct"/>
            <w:vAlign w:val="bottom"/>
          </w:tcPr>
          <w:p w14:paraId="4B13FF83"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r>
      <w:tr w:rsidR="000E53E1" w:rsidRPr="000A4A09" w14:paraId="04E003E3" w14:textId="77777777" w:rsidTr="000E53E1">
        <w:tc>
          <w:tcPr>
            <w:tcW w:w="950" w:type="pct"/>
            <w:vAlign w:val="bottom"/>
          </w:tcPr>
          <w:p w14:paraId="41109D64" w14:textId="77777777" w:rsidR="000E53E1" w:rsidRPr="003E6CF5" w:rsidRDefault="000E53E1" w:rsidP="000E53E1">
            <w:pPr>
              <w:spacing w:line="241" w:lineRule="auto"/>
              <w:ind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הוצאות בגין הפסדי אשראי</w:t>
            </w:r>
          </w:p>
        </w:tc>
        <w:tc>
          <w:tcPr>
            <w:tcW w:w="264" w:type="pct"/>
            <w:vAlign w:val="bottom"/>
          </w:tcPr>
          <w:p w14:paraId="3572CC70"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1019A6A1"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431A1BF8"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5BAFDCBF"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04B47B8F"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1AF4CD35"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3C711CD5"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5A6BE228"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77CFFD02"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012A25D3"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48F9B8F0"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2F38AC40"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2C34E91F"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r>
      <w:tr w:rsidR="000E53E1" w:rsidRPr="000A4A09" w14:paraId="18BB19D8" w14:textId="77777777" w:rsidTr="000E53E1">
        <w:tc>
          <w:tcPr>
            <w:tcW w:w="950" w:type="pct"/>
            <w:vAlign w:val="bottom"/>
          </w:tcPr>
          <w:p w14:paraId="2101C2BB" w14:textId="77777777" w:rsidR="000E53E1" w:rsidRPr="003E6CF5" w:rsidRDefault="000E53E1" w:rsidP="000E53E1">
            <w:pPr>
              <w:spacing w:line="241" w:lineRule="auto"/>
              <w:ind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הוצאות תפעוליות ואחרות:</w:t>
            </w:r>
          </w:p>
        </w:tc>
        <w:tc>
          <w:tcPr>
            <w:tcW w:w="264" w:type="pct"/>
            <w:vAlign w:val="bottom"/>
          </w:tcPr>
          <w:p w14:paraId="5B983A4D"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24" w:type="pct"/>
            <w:vAlign w:val="bottom"/>
          </w:tcPr>
          <w:p w14:paraId="7A0188EA"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297" w:type="pct"/>
            <w:vAlign w:val="bottom"/>
          </w:tcPr>
          <w:p w14:paraId="27EE7D42"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28" w:type="pct"/>
            <w:vAlign w:val="bottom"/>
          </w:tcPr>
          <w:p w14:paraId="03481762"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17" w:type="pct"/>
            <w:vAlign w:val="bottom"/>
          </w:tcPr>
          <w:p w14:paraId="7FB5CC3C"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27" w:type="pct"/>
            <w:vAlign w:val="bottom"/>
          </w:tcPr>
          <w:p w14:paraId="7C691E7E"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294" w:type="pct"/>
            <w:vAlign w:val="bottom"/>
          </w:tcPr>
          <w:p w14:paraId="67C3D2EA"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45" w:type="pct"/>
            <w:gridSpan w:val="2"/>
            <w:vAlign w:val="bottom"/>
          </w:tcPr>
          <w:p w14:paraId="5E7F40AF"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64" w:type="pct"/>
            <w:vAlign w:val="bottom"/>
          </w:tcPr>
          <w:p w14:paraId="52E16612"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230" w:type="pct"/>
            <w:vAlign w:val="bottom"/>
          </w:tcPr>
          <w:p w14:paraId="2C159AFB"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83" w:type="pct"/>
            <w:vAlign w:val="bottom"/>
          </w:tcPr>
          <w:p w14:paraId="53E74BE0"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56" w:type="pct"/>
            <w:vAlign w:val="bottom"/>
          </w:tcPr>
          <w:p w14:paraId="6B56AF28"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221" w:type="pct"/>
            <w:vAlign w:val="bottom"/>
          </w:tcPr>
          <w:p w14:paraId="778A891D"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r>
      <w:tr w:rsidR="000E53E1" w:rsidRPr="000A4A09" w14:paraId="27B7EBD4" w14:textId="77777777" w:rsidTr="000E53E1">
        <w:tc>
          <w:tcPr>
            <w:tcW w:w="950" w:type="pct"/>
            <w:vAlign w:val="bottom"/>
          </w:tcPr>
          <w:p w14:paraId="5CDB3421" w14:textId="77777777" w:rsidR="000E53E1" w:rsidRPr="003E6CF5" w:rsidRDefault="000E53E1" w:rsidP="000E53E1">
            <w:pPr>
              <w:spacing w:line="241" w:lineRule="auto"/>
              <w:ind w:left="271"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לחיצוניים</w:t>
            </w:r>
          </w:p>
        </w:tc>
        <w:tc>
          <w:tcPr>
            <w:tcW w:w="264" w:type="pct"/>
            <w:vAlign w:val="bottom"/>
          </w:tcPr>
          <w:p w14:paraId="606BCCD3"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229D97A4"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12CF3204"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31BE8936"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75A2BA93"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7EDC910F"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6EB5EFCC"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54BD4EFB"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7D8BE658"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7B10C523"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4D67C3A1"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20C8D154"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53135530"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r>
      <w:tr w:rsidR="000E53E1" w:rsidRPr="000A4A09" w14:paraId="0A198A0E" w14:textId="77777777" w:rsidTr="000E53E1">
        <w:tc>
          <w:tcPr>
            <w:tcW w:w="950" w:type="pct"/>
            <w:vAlign w:val="bottom"/>
          </w:tcPr>
          <w:p w14:paraId="55DEF23D" w14:textId="77777777" w:rsidR="000E53E1" w:rsidRPr="003E6CF5" w:rsidRDefault="000E53E1" w:rsidP="000E53E1">
            <w:pPr>
              <w:spacing w:line="241" w:lineRule="auto"/>
              <w:ind w:left="271"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בינמגזרי</w:t>
            </w:r>
          </w:p>
        </w:tc>
        <w:tc>
          <w:tcPr>
            <w:tcW w:w="264" w:type="pct"/>
            <w:vAlign w:val="bottom"/>
          </w:tcPr>
          <w:p w14:paraId="65000046"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4C176FC5"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3A27B973"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2102454C"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6F294A40"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1E126AB2"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4393E271"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1B62D03C"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38DB56B4"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519A071D"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1D0FC791"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0167CBF6"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06085E62"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w:t>
            </w:r>
          </w:p>
        </w:tc>
      </w:tr>
      <w:tr w:rsidR="000E53E1" w:rsidRPr="000A4A09" w14:paraId="7928FD6C" w14:textId="77777777" w:rsidTr="000E53E1">
        <w:tc>
          <w:tcPr>
            <w:tcW w:w="950" w:type="pct"/>
            <w:vAlign w:val="bottom"/>
          </w:tcPr>
          <w:p w14:paraId="10D1FFC2" w14:textId="77777777" w:rsidR="000E53E1" w:rsidRPr="003E6CF5" w:rsidRDefault="000E53E1" w:rsidP="000E53E1">
            <w:pPr>
              <w:spacing w:line="241" w:lineRule="auto"/>
              <w:ind w:firstLine="1"/>
              <w:jc w:val="left"/>
              <w:rPr>
                <w:rFonts w:asciiTheme="minorBidi" w:hAnsiTheme="minorBidi" w:cstheme="minorBidi"/>
                <w:b/>
                <w:bCs/>
                <w:color w:val="000000"/>
                <w:sz w:val="16"/>
                <w:szCs w:val="16"/>
                <w:rtl/>
                <w:lang w:eastAsia="he-IL"/>
              </w:rPr>
            </w:pPr>
            <w:r w:rsidRPr="003E6CF5">
              <w:rPr>
                <w:rFonts w:asciiTheme="minorBidi" w:hAnsiTheme="minorBidi" w:cstheme="minorBidi"/>
                <w:b/>
                <w:bCs/>
                <w:color w:val="000000"/>
                <w:sz w:val="16"/>
                <w:szCs w:val="16"/>
                <w:rtl/>
                <w:lang w:eastAsia="he-IL"/>
              </w:rPr>
              <w:t>סך הוצאות תפעוליות ואחרות</w:t>
            </w:r>
          </w:p>
        </w:tc>
        <w:tc>
          <w:tcPr>
            <w:tcW w:w="264" w:type="pct"/>
            <w:vAlign w:val="bottom"/>
          </w:tcPr>
          <w:p w14:paraId="634D6051" w14:textId="77777777" w:rsidR="000E53E1" w:rsidRPr="00E7649F"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4" w:type="pct"/>
            <w:vAlign w:val="bottom"/>
          </w:tcPr>
          <w:p w14:paraId="2A74E138" w14:textId="77777777" w:rsidR="000E53E1" w:rsidRPr="00E7649F"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97" w:type="pct"/>
            <w:vAlign w:val="bottom"/>
          </w:tcPr>
          <w:p w14:paraId="60F0EC92" w14:textId="77777777" w:rsidR="000E53E1" w:rsidRPr="00E7649F"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8" w:type="pct"/>
            <w:vAlign w:val="bottom"/>
          </w:tcPr>
          <w:p w14:paraId="15B084F8" w14:textId="77777777" w:rsidR="000E53E1" w:rsidRPr="00E7649F"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17" w:type="pct"/>
            <w:vAlign w:val="bottom"/>
          </w:tcPr>
          <w:p w14:paraId="2FE9CF19" w14:textId="77777777" w:rsidR="000E53E1" w:rsidRPr="00E7649F"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7" w:type="pct"/>
            <w:vAlign w:val="bottom"/>
          </w:tcPr>
          <w:p w14:paraId="37BAC3FB" w14:textId="77777777" w:rsidR="000E53E1" w:rsidRPr="00E7649F"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94" w:type="pct"/>
            <w:vAlign w:val="bottom"/>
          </w:tcPr>
          <w:p w14:paraId="12FD3C1E" w14:textId="77777777" w:rsidR="000E53E1" w:rsidRPr="00E7649F"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45" w:type="pct"/>
            <w:gridSpan w:val="2"/>
            <w:vAlign w:val="bottom"/>
          </w:tcPr>
          <w:p w14:paraId="17F80CC3" w14:textId="77777777" w:rsidR="000E53E1" w:rsidRPr="00E7649F"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64" w:type="pct"/>
            <w:vAlign w:val="bottom"/>
          </w:tcPr>
          <w:p w14:paraId="220E61B8" w14:textId="77777777" w:rsidR="000E53E1" w:rsidRPr="00E7649F"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30" w:type="pct"/>
            <w:vAlign w:val="bottom"/>
          </w:tcPr>
          <w:p w14:paraId="1CC79142" w14:textId="77777777" w:rsidR="000E53E1" w:rsidRPr="00E7649F"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83" w:type="pct"/>
            <w:vAlign w:val="bottom"/>
          </w:tcPr>
          <w:p w14:paraId="2F1C5A68" w14:textId="77777777" w:rsidR="000E53E1" w:rsidRPr="00E7649F"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56" w:type="pct"/>
            <w:vAlign w:val="bottom"/>
          </w:tcPr>
          <w:p w14:paraId="6DC521EB" w14:textId="77777777" w:rsidR="000E53E1" w:rsidRPr="00E7649F"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21" w:type="pct"/>
            <w:vAlign w:val="bottom"/>
          </w:tcPr>
          <w:p w14:paraId="3EB321EB" w14:textId="77777777" w:rsidR="000E53E1" w:rsidRPr="00E7649F" w:rsidRDefault="000E53E1" w:rsidP="000E53E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r>
      <w:tr w:rsidR="000E53E1" w:rsidRPr="000A4A09" w14:paraId="0E8F805A" w14:textId="77777777" w:rsidTr="000E53E1">
        <w:tc>
          <w:tcPr>
            <w:tcW w:w="950" w:type="pct"/>
            <w:vAlign w:val="bottom"/>
          </w:tcPr>
          <w:p w14:paraId="348F1C42" w14:textId="77777777" w:rsidR="000E53E1" w:rsidRPr="003E6CF5" w:rsidRDefault="000E53E1" w:rsidP="000E53E1">
            <w:pPr>
              <w:spacing w:line="80" w:lineRule="exact"/>
              <w:ind w:firstLine="1"/>
              <w:jc w:val="left"/>
              <w:rPr>
                <w:rFonts w:asciiTheme="minorBidi" w:hAnsiTheme="minorBidi" w:cstheme="minorBidi"/>
                <w:color w:val="000000"/>
                <w:sz w:val="16"/>
                <w:szCs w:val="16"/>
                <w:rtl/>
                <w:lang w:eastAsia="he-IL"/>
              </w:rPr>
            </w:pPr>
          </w:p>
        </w:tc>
        <w:tc>
          <w:tcPr>
            <w:tcW w:w="264" w:type="pct"/>
            <w:vAlign w:val="bottom"/>
          </w:tcPr>
          <w:p w14:paraId="713BEBE9"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24" w:type="pct"/>
            <w:vAlign w:val="bottom"/>
          </w:tcPr>
          <w:p w14:paraId="22D644FB"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297" w:type="pct"/>
            <w:vAlign w:val="bottom"/>
          </w:tcPr>
          <w:p w14:paraId="11210410"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28" w:type="pct"/>
            <w:vAlign w:val="bottom"/>
          </w:tcPr>
          <w:p w14:paraId="3AA59A1A"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17" w:type="pct"/>
            <w:vAlign w:val="bottom"/>
          </w:tcPr>
          <w:p w14:paraId="7E15AB70"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27" w:type="pct"/>
            <w:vAlign w:val="bottom"/>
          </w:tcPr>
          <w:p w14:paraId="205ED948"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294" w:type="pct"/>
            <w:vAlign w:val="bottom"/>
          </w:tcPr>
          <w:p w14:paraId="71C260B7"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45" w:type="pct"/>
            <w:gridSpan w:val="2"/>
            <w:vAlign w:val="bottom"/>
          </w:tcPr>
          <w:p w14:paraId="49054A36"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64" w:type="pct"/>
            <w:vAlign w:val="bottom"/>
          </w:tcPr>
          <w:p w14:paraId="6AFCCBA9"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230" w:type="pct"/>
            <w:vAlign w:val="bottom"/>
          </w:tcPr>
          <w:p w14:paraId="7F1E0E9F"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83" w:type="pct"/>
            <w:vAlign w:val="bottom"/>
          </w:tcPr>
          <w:p w14:paraId="3F23F042"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356" w:type="pct"/>
            <w:vAlign w:val="bottom"/>
          </w:tcPr>
          <w:p w14:paraId="60C4EF9D"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c>
          <w:tcPr>
            <w:tcW w:w="221" w:type="pct"/>
            <w:vAlign w:val="bottom"/>
          </w:tcPr>
          <w:p w14:paraId="7E29397E" w14:textId="77777777" w:rsidR="000E53E1" w:rsidRPr="00427850" w:rsidRDefault="000E53E1" w:rsidP="000E53E1">
            <w:pPr>
              <w:spacing w:line="80" w:lineRule="exact"/>
              <w:ind w:left="85" w:right="85"/>
              <w:jc w:val="left"/>
              <w:rPr>
                <w:rFonts w:asciiTheme="minorBidi" w:hAnsiTheme="minorBidi" w:cstheme="minorBidi"/>
                <w:sz w:val="16"/>
                <w:szCs w:val="16"/>
                <w:rtl/>
              </w:rPr>
            </w:pPr>
          </w:p>
        </w:tc>
      </w:tr>
      <w:tr w:rsidR="000E53E1" w:rsidRPr="00106758" w14:paraId="5E3B11E1" w14:textId="77777777" w:rsidTr="000E53E1">
        <w:tc>
          <w:tcPr>
            <w:tcW w:w="950" w:type="pct"/>
            <w:vAlign w:val="bottom"/>
          </w:tcPr>
          <w:p w14:paraId="323BADA0" w14:textId="77777777" w:rsidR="000E53E1" w:rsidRPr="00E7649F" w:rsidRDefault="000E53E1" w:rsidP="000E53E1">
            <w:pPr>
              <w:spacing w:line="241" w:lineRule="auto"/>
              <w:ind w:left="172" w:hanging="171"/>
              <w:jc w:val="left"/>
              <w:rPr>
                <w:rFonts w:asciiTheme="minorBidi" w:hAnsiTheme="minorBidi" w:cstheme="minorBidi"/>
                <w:b/>
                <w:bCs/>
                <w:color w:val="000000"/>
                <w:sz w:val="16"/>
                <w:szCs w:val="16"/>
                <w:rtl/>
                <w:lang w:eastAsia="he-IL"/>
              </w:rPr>
            </w:pPr>
            <w:r w:rsidRPr="00E7649F">
              <w:rPr>
                <w:rFonts w:asciiTheme="minorBidi" w:hAnsiTheme="minorBidi" w:cstheme="minorBidi"/>
                <w:b/>
                <w:bCs/>
                <w:color w:val="000000"/>
                <w:sz w:val="16"/>
                <w:szCs w:val="16"/>
                <w:rtl/>
                <w:lang w:eastAsia="he-IL"/>
              </w:rPr>
              <w:t>רווח לפני מסים</w:t>
            </w:r>
          </w:p>
        </w:tc>
        <w:tc>
          <w:tcPr>
            <w:tcW w:w="264" w:type="pct"/>
            <w:vAlign w:val="bottom"/>
          </w:tcPr>
          <w:p w14:paraId="36809E0E"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4" w:type="pct"/>
            <w:vAlign w:val="bottom"/>
          </w:tcPr>
          <w:p w14:paraId="7F3C4B22"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97" w:type="pct"/>
            <w:vAlign w:val="bottom"/>
          </w:tcPr>
          <w:p w14:paraId="471B6591"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8" w:type="pct"/>
            <w:vAlign w:val="bottom"/>
          </w:tcPr>
          <w:p w14:paraId="01143C3A"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17" w:type="pct"/>
            <w:vAlign w:val="bottom"/>
          </w:tcPr>
          <w:p w14:paraId="00573AAA"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7" w:type="pct"/>
            <w:vAlign w:val="bottom"/>
          </w:tcPr>
          <w:p w14:paraId="2D724B13"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94" w:type="pct"/>
            <w:vAlign w:val="bottom"/>
          </w:tcPr>
          <w:p w14:paraId="14B6E98A"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45" w:type="pct"/>
            <w:gridSpan w:val="2"/>
            <w:vAlign w:val="bottom"/>
          </w:tcPr>
          <w:p w14:paraId="482A01BD"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64" w:type="pct"/>
            <w:vAlign w:val="bottom"/>
          </w:tcPr>
          <w:p w14:paraId="0E9188C1"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30" w:type="pct"/>
            <w:vAlign w:val="bottom"/>
          </w:tcPr>
          <w:p w14:paraId="00380678"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83" w:type="pct"/>
            <w:vAlign w:val="bottom"/>
          </w:tcPr>
          <w:p w14:paraId="005CDF79"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56" w:type="pct"/>
            <w:vAlign w:val="bottom"/>
          </w:tcPr>
          <w:p w14:paraId="05F5C914"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21" w:type="pct"/>
            <w:vAlign w:val="bottom"/>
          </w:tcPr>
          <w:p w14:paraId="412FB4E2"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r>
      <w:tr w:rsidR="000E53E1" w:rsidRPr="00106758" w14:paraId="30C4520C" w14:textId="77777777" w:rsidTr="000E53E1">
        <w:tc>
          <w:tcPr>
            <w:tcW w:w="950" w:type="pct"/>
            <w:vAlign w:val="bottom"/>
          </w:tcPr>
          <w:p w14:paraId="1B29D79B" w14:textId="77777777" w:rsidR="000E53E1" w:rsidRPr="003E6CF5" w:rsidRDefault="000E53E1" w:rsidP="000E53E1">
            <w:pPr>
              <w:spacing w:line="241" w:lineRule="auto"/>
              <w:ind w:left="172" w:hanging="17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הפרשה למסים על הרווח</w:t>
            </w:r>
          </w:p>
        </w:tc>
        <w:tc>
          <w:tcPr>
            <w:tcW w:w="264" w:type="pct"/>
            <w:vAlign w:val="bottom"/>
          </w:tcPr>
          <w:p w14:paraId="2F411A3E"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6F989A8E"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4C6E3837"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3B6F6EEC"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3CFF1E83"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22426C12"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6938B844"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4001FEB7"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27958F8B"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2FB091E7"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23DA0C8F"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7F2081EB"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1D250883"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r>
      <w:tr w:rsidR="000E53E1" w:rsidRPr="00106758" w14:paraId="0295F1AE" w14:textId="77777777" w:rsidTr="000E53E1">
        <w:tc>
          <w:tcPr>
            <w:tcW w:w="950" w:type="pct"/>
            <w:vAlign w:val="bottom"/>
          </w:tcPr>
          <w:p w14:paraId="768C62A2" w14:textId="77777777" w:rsidR="000E53E1" w:rsidRPr="00E7649F" w:rsidRDefault="000E53E1" w:rsidP="000E53E1">
            <w:pPr>
              <w:spacing w:line="241" w:lineRule="auto"/>
              <w:ind w:left="172" w:hanging="171"/>
              <w:jc w:val="left"/>
              <w:rPr>
                <w:rFonts w:asciiTheme="minorBidi" w:hAnsiTheme="minorBidi" w:cstheme="minorBidi"/>
                <w:b/>
                <w:bCs/>
                <w:color w:val="000000"/>
                <w:sz w:val="16"/>
                <w:szCs w:val="16"/>
                <w:rtl/>
                <w:lang w:eastAsia="he-IL"/>
              </w:rPr>
            </w:pPr>
            <w:r w:rsidRPr="00E7649F">
              <w:rPr>
                <w:rFonts w:asciiTheme="minorBidi" w:hAnsiTheme="minorBidi" w:cstheme="minorBidi"/>
                <w:b/>
                <w:bCs/>
                <w:color w:val="000000"/>
                <w:sz w:val="16"/>
                <w:szCs w:val="16"/>
                <w:rtl/>
                <w:lang w:eastAsia="he-IL"/>
              </w:rPr>
              <w:t>רווח לאחר מסים</w:t>
            </w:r>
          </w:p>
        </w:tc>
        <w:tc>
          <w:tcPr>
            <w:tcW w:w="264" w:type="pct"/>
            <w:vAlign w:val="bottom"/>
          </w:tcPr>
          <w:p w14:paraId="02B0DD9C"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4" w:type="pct"/>
            <w:vAlign w:val="bottom"/>
          </w:tcPr>
          <w:p w14:paraId="56326DC8"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97" w:type="pct"/>
            <w:vAlign w:val="bottom"/>
          </w:tcPr>
          <w:p w14:paraId="67AA6FC4"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8" w:type="pct"/>
            <w:vAlign w:val="bottom"/>
          </w:tcPr>
          <w:p w14:paraId="108EA871"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17" w:type="pct"/>
            <w:vAlign w:val="bottom"/>
          </w:tcPr>
          <w:p w14:paraId="4BE0C2A7"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7" w:type="pct"/>
            <w:vAlign w:val="bottom"/>
          </w:tcPr>
          <w:p w14:paraId="08986513"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94" w:type="pct"/>
            <w:vAlign w:val="bottom"/>
          </w:tcPr>
          <w:p w14:paraId="596A4CAA"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45" w:type="pct"/>
            <w:gridSpan w:val="2"/>
            <w:vAlign w:val="bottom"/>
          </w:tcPr>
          <w:p w14:paraId="5E0BE987"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64" w:type="pct"/>
            <w:vAlign w:val="bottom"/>
          </w:tcPr>
          <w:p w14:paraId="0A0ABCBC"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30" w:type="pct"/>
            <w:vAlign w:val="bottom"/>
          </w:tcPr>
          <w:p w14:paraId="58F71FDC"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83" w:type="pct"/>
            <w:vAlign w:val="bottom"/>
          </w:tcPr>
          <w:p w14:paraId="1B8E112B"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56" w:type="pct"/>
            <w:vAlign w:val="bottom"/>
          </w:tcPr>
          <w:p w14:paraId="343554B8"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21" w:type="pct"/>
            <w:vAlign w:val="bottom"/>
          </w:tcPr>
          <w:p w14:paraId="7CFFF639" w14:textId="77777777" w:rsidR="000E53E1" w:rsidRPr="00E7649F" w:rsidRDefault="000E53E1" w:rsidP="000E53E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r>
      <w:tr w:rsidR="000E53E1" w:rsidRPr="00106758" w14:paraId="2F89440A" w14:textId="77777777" w:rsidTr="000E53E1">
        <w:tc>
          <w:tcPr>
            <w:tcW w:w="950" w:type="pct"/>
            <w:vAlign w:val="bottom"/>
          </w:tcPr>
          <w:p w14:paraId="4D65552F" w14:textId="77777777" w:rsidR="000E53E1" w:rsidRPr="003E6CF5" w:rsidRDefault="000E53E1" w:rsidP="000E53E1">
            <w:pPr>
              <w:spacing w:line="241" w:lineRule="auto"/>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 xml:space="preserve">חלקו של התאגיד הבנקאי </w:t>
            </w:r>
            <w:r>
              <w:rPr>
                <w:rFonts w:asciiTheme="minorBidi" w:hAnsiTheme="minorBidi" w:cstheme="minorBidi" w:hint="cs"/>
                <w:color w:val="000000"/>
                <w:sz w:val="16"/>
                <w:szCs w:val="16"/>
                <w:rtl/>
                <w:lang w:eastAsia="he-IL"/>
              </w:rPr>
              <w:t>ב</w:t>
            </w:r>
            <w:r w:rsidRPr="003E6CF5">
              <w:rPr>
                <w:rFonts w:asciiTheme="minorBidi" w:hAnsiTheme="minorBidi" w:cstheme="minorBidi"/>
                <w:color w:val="000000"/>
                <w:sz w:val="16"/>
                <w:szCs w:val="16"/>
                <w:rtl/>
                <w:lang w:eastAsia="he-IL"/>
              </w:rPr>
              <w:t xml:space="preserve">רווחים של חברות כלולות </w:t>
            </w:r>
          </w:p>
        </w:tc>
        <w:tc>
          <w:tcPr>
            <w:tcW w:w="264" w:type="pct"/>
            <w:vAlign w:val="bottom"/>
          </w:tcPr>
          <w:p w14:paraId="4381D606"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66FC8EE0"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02021A65"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25BB4133"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1BC11753"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59A894CE"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336191E1"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412645EC"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745538C3"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046F7C5E"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4402C870"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39D0438F"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05BC9ABF"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r>
      <w:tr w:rsidR="000E53E1" w:rsidRPr="00106758" w14:paraId="20014461" w14:textId="77777777" w:rsidTr="000E53E1">
        <w:tc>
          <w:tcPr>
            <w:tcW w:w="950" w:type="pct"/>
            <w:vAlign w:val="bottom"/>
          </w:tcPr>
          <w:p w14:paraId="40040561" w14:textId="77777777" w:rsidR="000E53E1" w:rsidRPr="003E6CF5" w:rsidRDefault="000E53E1" w:rsidP="000E53E1">
            <w:pPr>
              <w:spacing w:line="241" w:lineRule="auto"/>
              <w:jc w:val="left"/>
              <w:rPr>
                <w:color w:val="000000"/>
                <w:sz w:val="16"/>
                <w:szCs w:val="16"/>
                <w:rtl/>
                <w:lang w:eastAsia="he-IL"/>
              </w:rPr>
            </w:pPr>
            <w:r w:rsidRPr="003E6CF5">
              <w:rPr>
                <w:rFonts w:hint="eastAsia"/>
                <w:color w:val="000000"/>
                <w:sz w:val="16"/>
                <w:szCs w:val="16"/>
                <w:rtl/>
                <w:lang w:eastAsia="he-IL"/>
              </w:rPr>
              <w:t>רווח</w:t>
            </w:r>
            <w:r w:rsidRPr="003E6CF5">
              <w:rPr>
                <w:color w:val="000000"/>
                <w:sz w:val="16"/>
                <w:szCs w:val="16"/>
                <w:rtl/>
                <w:lang w:eastAsia="he-IL"/>
              </w:rPr>
              <w:t xml:space="preserve"> </w:t>
            </w:r>
            <w:r w:rsidRPr="003E6CF5">
              <w:rPr>
                <w:rFonts w:hint="eastAsia"/>
                <w:color w:val="000000"/>
                <w:sz w:val="16"/>
                <w:szCs w:val="16"/>
                <w:rtl/>
                <w:lang w:eastAsia="he-IL"/>
              </w:rPr>
              <w:t>נקי</w:t>
            </w:r>
            <w:r w:rsidRPr="003E6CF5">
              <w:rPr>
                <w:color w:val="000000"/>
                <w:sz w:val="16"/>
                <w:szCs w:val="16"/>
                <w:rtl/>
                <w:lang w:eastAsia="he-IL"/>
              </w:rPr>
              <w:t xml:space="preserve"> </w:t>
            </w:r>
            <w:r w:rsidRPr="003E6CF5">
              <w:rPr>
                <w:rFonts w:hint="eastAsia"/>
                <w:color w:val="000000"/>
                <w:sz w:val="16"/>
                <w:szCs w:val="16"/>
                <w:rtl/>
                <w:lang w:eastAsia="he-IL"/>
              </w:rPr>
              <w:t>לפני</w:t>
            </w:r>
            <w:r w:rsidRPr="003E6CF5">
              <w:rPr>
                <w:color w:val="000000"/>
                <w:sz w:val="16"/>
                <w:szCs w:val="16"/>
                <w:rtl/>
                <w:lang w:eastAsia="he-IL"/>
              </w:rPr>
              <w:t xml:space="preserve"> </w:t>
            </w:r>
            <w:r w:rsidRPr="003E6CF5">
              <w:rPr>
                <w:rFonts w:hint="eastAsia"/>
                <w:color w:val="000000"/>
                <w:sz w:val="16"/>
                <w:szCs w:val="16"/>
                <w:rtl/>
                <w:lang w:eastAsia="he-IL"/>
              </w:rPr>
              <w:t>ייחוס</w:t>
            </w:r>
            <w:r w:rsidRPr="003E6CF5">
              <w:rPr>
                <w:color w:val="000000"/>
                <w:sz w:val="16"/>
                <w:szCs w:val="16"/>
                <w:rtl/>
                <w:lang w:eastAsia="he-IL"/>
              </w:rPr>
              <w:t xml:space="preserve"> </w:t>
            </w:r>
            <w:r w:rsidRPr="003E6CF5">
              <w:rPr>
                <w:rFonts w:hint="eastAsia"/>
                <w:color w:val="000000"/>
                <w:sz w:val="16"/>
                <w:szCs w:val="16"/>
                <w:rtl/>
                <w:lang w:eastAsia="he-IL"/>
              </w:rPr>
              <w:t>לבעלי</w:t>
            </w:r>
            <w:r w:rsidRPr="003E6CF5">
              <w:rPr>
                <w:color w:val="000000"/>
                <w:sz w:val="16"/>
                <w:szCs w:val="16"/>
                <w:rtl/>
                <w:lang w:eastAsia="he-IL"/>
              </w:rPr>
              <w:t xml:space="preserve"> </w:t>
            </w:r>
            <w:r w:rsidRPr="003E6CF5">
              <w:rPr>
                <w:rFonts w:hint="eastAsia"/>
                <w:color w:val="000000"/>
                <w:sz w:val="16"/>
                <w:szCs w:val="16"/>
                <w:rtl/>
                <w:lang w:eastAsia="he-IL"/>
              </w:rPr>
              <w:t>זכויות</w:t>
            </w:r>
            <w:r w:rsidRPr="003E6CF5">
              <w:rPr>
                <w:color w:val="000000"/>
                <w:sz w:val="16"/>
                <w:szCs w:val="16"/>
                <w:rtl/>
                <w:lang w:eastAsia="he-IL"/>
              </w:rPr>
              <w:t xml:space="preserve"> </w:t>
            </w:r>
            <w:r w:rsidRPr="003E6CF5">
              <w:rPr>
                <w:rFonts w:hint="eastAsia"/>
                <w:color w:val="000000"/>
                <w:sz w:val="16"/>
                <w:szCs w:val="16"/>
                <w:rtl/>
                <w:lang w:eastAsia="he-IL"/>
              </w:rPr>
              <w:t>שאינן</w:t>
            </w:r>
            <w:r w:rsidRPr="003E6CF5">
              <w:rPr>
                <w:color w:val="000000"/>
                <w:sz w:val="16"/>
                <w:szCs w:val="16"/>
                <w:rtl/>
                <w:lang w:eastAsia="he-IL"/>
              </w:rPr>
              <w:t xml:space="preserve"> </w:t>
            </w:r>
            <w:r w:rsidRPr="003E6CF5">
              <w:rPr>
                <w:rFonts w:hint="eastAsia"/>
                <w:color w:val="000000"/>
                <w:sz w:val="16"/>
                <w:szCs w:val="16"/>
                <w:rtl/>
                <w:lang w:eastAsia="he-IL"/>
              </w:rPr>
              <w:t>מקנות</w:t>
            </w:r>
            <w:r w:rsidRPr="003E6CF5">
              <w:rPr>
                <w:color w:val="000000"/>
                <w:sz w:val="16"/>
                <w:szCs w:val="16"/>
                <w:rtl/>
                <w:lang w:eastAsia="he-IL"/>
              </w:rPr>
              <w:t xml:space="preserve"> </w:t>
            </w:r>
            <w:r w:rsidRPr="003E6CF5">
              <w:rPr>
                <w:rFonts w:hint="eastAsia"/>
                <w:color w:val="000000"/>
                <w:sz w:val="16"/>
                <w:szCs w:val="16"/>
                <w:rtl/>
                <w:lang w:eastAsia="he-IL"/>
              </w:rPr>
              <w:t>שליטה</w:t>
            </w:r>
          </w:p>
        </w:tc>
        <w:tc>
          <w:tcPr>
            <w:tcW w:w="264" w:type="pct"/>
            <w:vAlign w:val="bottom"/>
          </w:tcPr>
          <w:p w14:paraId="754F3A98" w14:textId="77777777" w:rsidR="000E53E1" w:rsidRPr="00427850" w:rsidRDefault="000E53E1" w:rsidP="000E53E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324" w:type="pct"/>
            <w:vAlign w:val="bottom"/>
          </w:tcPr>
          <w:p w14:paraId="7B87C9AF" w14:textId="77777777" w:rsidR="000E53E1" w:rsidRPr="00427850" w:rsidRDefault="000E53E1" w:rsidP="000E53E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297" w:type="pct"/>
            <w:vAlign w:val="bottom"/>
          </w:tcPr>
          <w:p w14:paraId="23513124" w14:textId="77777777" w:rsidR="000E53E1" w:rsidRPr="00427850" w:rsidRDefault="000E53E1" w:rsidP="000E53E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328" w:type="pct"/>
            <w:vAlign w:val="bottom"/>
          </w:tcPr>
          <w:p w14:paraId="7CD70193" w14:textId="77777777" w:rsidR="000E53E1" w:rsidRPr="00427850" w:rsidRDefault="000E53E1" w:rsidP="000E53E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317" w:type="pct"/>
            <w:vAlign w:val="bottom"/>
          </w:tcPr>
          <w:p w14:paraId="5F6459E3" w14:textId="77777777" w:rsidR="000E53E1" w:rsidRPr="00427850" w:rsidRDefault="000E53E1" w:rsidP="000E53E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327" w:type="pct"/>
            <w:vAlign w:val="bottom"/>
          </w:tcPr>
          <w:p w14:paraId="27D9527A" w14:textId="77777777" w:rsidR="000E53E1" w:rsidRPr="00427850" w:rsidRDefault="000E53E1" w:rsidP="000E53E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294" w:type="pct"/>
            <w:vAlign w:val="bottom"/>
          </w:tcPr>
          <w:p w14:paraId="573DD335" w14:textId="77777777" w:rsidR="000E53E1" w:rsidRPr="00427850" w:rsidRDefault="000E53E1" w:rsidP="000E53E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345" w:type="pct"/>
            <w:gridSpan w:val="2"/>
            <w:vAlign w:val="bottom"/>
          </w:tcPr>
          <w:p w14:paraId="79DC7DA1" w14:textId="77777777" w:rsidR="000E53E1" w:rsidRPr="00427850" w:rsidRDefault="000E53E1" w:rsidP="000E53E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364" w:type="pct"/>
            <w:vAlign w:val="bottom"/>
          </w:tcPr>
          <w:p w14:paraId="1ACC807A" w14:textId="77777777" w:rsidR="000E53E1" w:rsidRPr="00427850" w:rsidRDefault="000E53E1" w:rsidP="000E53E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230" w:type="pct"/>
            <w:vAlign w:val="bottom"/>
          </w:tcPr>
          <w:p w14:paraId="32698CE1" w14:textId="77777777" w:rsidR="000E53E1" w:rsidRPr="00427850" w:rsidRDefault="000E53E1" w:rsidP="000E53E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383" w:type="pct"/>
            <w:vAlign w:val="bottom"/>
          </w:tcPr>
          <w:p w14:paraId="164E754C" w14:textId="77777777" w:rsidR="000E53E1" w:rsidRPr="00427850" w:rsidRDefault="000E53E1" w:rsidP="000E53E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356" w:type="pct"/>
            <w:vAlign w:val="bottom"/>
          </w:tcPr>
          <w:p w14:paraId="5AF6AB1E" w14:textId="77777777" w:rsidR="000E53E1" w:rsidRPr="00427850" w:rsidRDefault="000E53E1" w:rsidP="000E53E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221" w:type="pct"/>
            <w:vAlign w:val="bottom"/>
          </w:tcPr>
          <w:p w14:paraId="440F74D1" w14:textId="77777777" w:rsidR="000E53E1" w:rsidRPr="00427850" w:rsidRDefault="000E53E1" w:rsidP="000E53E1">
            <w:pPr>
              <w:spacing w:line="241" w:lineRule="auto"/>
              <w:ind w:left="85" w:right="85"/>
              <w:jc w:val="left"/>
              <w:rPr>
                <w:sz w:val="16"/>
                <w:szCs w:val="16"/>
                <w:rtl/>
              </w:rPr>
            </w:pPr>
            <w:r w:rsidRPr="00427850">
              <w:rPr>
                <w:rFonts w:hint="cs"/>
                <w:sz w:val="16"/>
                <w:szCs w:val="16"/>
                <w:rtl/>
              </w:rPr>
              <w:t xml:space="preserve"> 0</w:t>
            </w:r>
          </w:p>
        </w:tc>
      </w:tr>
      <w:tr w:rsidR="000E53E1" w14:paraId="7EE82934" w14:textId="77777777" w:rsidTr="000E53E1">
        <w:tc>
          <w:tcPr>
            <w:tcW w:w="950" w:type="pct"/>
            <w:vAlign w:val="bottom"/>
          </w:tcPr>
          <w:p w14:paraId="6BA8F788" w14:textId="77777777" w:rsidR="000E53E1" w:rsidRPr="003E6CF5" w:rsidRDefault="000E53E1" w:rsidP="000E53E1">
            <w:pPr>
              <w:spacing w:line="241" w:lineRule="auto"/>
              <w:jc w:val="left"/>
              <w:rPr>
                <w:color w:val="000000"/>
                <w:sz w:val="16"/>
                <w:szCs w:val="16"/>
                <w:rtl/>
                <w:lang w:eastAsia="he-IL"/>
              </w:rPr>
            </w:pPr>
            <w:r w:rsidRPr="003E6CF5">
              <w:rPr>
                <w:rFonts w:hint="eastAsia"/>
                <w:color w:val="000000"/>
                <w:sz w:val="16"/>
                <w:szCs w:val="16"/>
                <w:rtl/>
                <w:lang w:eastAsia="he-IL"/>
              </w:rPr>
              <w:t>רווח</w:t>
            </w:r>
            <w:r w:rsidRPr="003E6CF5">
              <w:rPr>
                <w:color w:val="000000"/>
                <w:sz w:val="16"/>
                <w:szCs w:val="16"/>
                <w:rtl/>
                <w:lang w:eastAsia="he-IL"/>
              </w:rPr>
              <w:t xml:space="preserve"> </w:t>
            </w:r>
            <w:r w:rsidRPr="003E6CF5">
              <w:rPr>
                <w:rFonts w:hint="eastAsia"/>
                <w:color w:val="000000"/>
                <w:sz w:val="16"/>
                <w:szCs w:val="16"/>
                <w:rtl/>
                <w:lang w:eastAsia="he-IL"/>
              </w:rPr>
              <w:t>נקי</w:t>
            </w:r>
            <w:r w:rsidRPr="003E6CF5">
              <w:rPr>
                <w:color w:val="000000"/>
                <w:sz w:val="16"/>
                <w:szCs w:val="16"/>
                <w:rtl/>
                <w:lang w:eastAsia="he-IL"/>
              </w:rPr>
              <w:t xml:space="preserve"> </w:t>
            </w:r>
            <w:r w:rsidRPr="003E6CF5">
              <w:rPr>
                <w:rFonts w:hint="eastAsia"/>
                <w:color w:val="000000"/>
                <w:sz w:val="16"/>
                <w:szCs w:val="16"/>
                <w:rtl/>
                <w:lang w:eastAsia="he-IL"/>
              </w:rPr>
              <w:t>המיוחס</w:t>
            </w:r>
            <w:r w:rsidRPr="003E6CF5">
              <w:rPr>
                <w:color w:val="000000"/>
                <w:sz w:val="16"/>
                <w:szCs w:val="16"/>
                <w:rtl/>
                <w:lang w:eastAsia="he-IL"/>
              </w:rPr>
              <w:t xml:space="preserve"> </w:t>
            </w:r>
            <w:r w:rsidRPr="003E6CF5">
              <w:rPr>
                <w:rFonts w:hint="eastAsia"/>
                <w:color w:val="000000"/>
                <w:sz w:val="16"/>
                <w:szCs w:val="16"/>
                <w:rtl/>
                <w:lang w:eastAsia="he-IL"/>
              </w:rPr>
              <w:t>לבעלי</w:t>
            </w:r>
            <w:r w:rsidRPr="003E6CF5">
              <w:rPr>
                <w:color w:val="000000"/>
                <w:sz w:val="16"/>
                <w:szCs w:val="16"/>
                <w:rtl/>
                <w:lang w:eastAsia="he-IL"/>
              </w:rPr>
              <w:t xml:space="preserve"> </w:t>
            </w:r>
            <w:r w:rsidRPr="003E6CF5">
              <w:rPr>
                <w:rFonts w:hint="eastAsia"/>
                <w:color w:val="000000"/>
                <w:sz w:val="16"/>
                <w:szCs w:val="16"/>
                <w:rtl/>
                <w:lang w:eastAsia="he-IL"/>
              </w:rPr>
              <w:t>זכויות</w:t>
            </w:r>
            <w:r w:rsidRPr="003E6CF5">
              <w:rPr>
                <w:color w:val="000000"/>
                <w:sz w:val="16"/>
                <w:szCs w:val="16"/>
                <w:rtl/>
                <w:lang w:eastAsia="he-IL"/>
              </w:rPr>
              <w:t xml:space="preserve"> </w:t>
            </w:r>
            <w:r w:rsidRPr="003E6CF5">
              <w:rPr>
                <w:rFonts w:hint="eastAsia"/>
                <w:color w:val="000000"/>
                <w:sz w:val="16"/>
                <w:szCs w:val="16"/>
                <w:rtl/>
                <w:lang w:eastAsia="he-IL"/>
              </w:rPr>
              <w:t>שאינן</w:t>
            </w:r>
            <w:r w:rsidRPr="003E6CF5">
              <w:rPr>
                <w:color w:val="000000"/>
                <w:sz w:val="16"/>
                <w:szCs w:val="16"/>
                <w:rtl/>
                <w:lang w:eastAsia="he-IL"/>
              </w:rPr>
              <w:t xml:space="preserve"> </w:t>
            </w:r>
            <w:r w:rsidRPr="003E6CF5">
              <w:rPr>
                <w:rFonts w:hint="eastAsia"/>
                <w:color w:val="000000"/>
                <w:sz w:val="16"/>
                <w:szCs w:val="16"/>
                <w:rtl/>
                <w:lang w:eastAsia="he-IL"/>
              </w:rPr>
              <w:t>מקנות</w:t>
            </w:r>
            <w:r w:rsidRPr="003E6CF5">
              <w:rPr>
                <w:color w:val="000000"/>
                <w:sz w:val="16"/>
                <w:szCs w:val="16"/>
                <w:rtl/>
                <w:lang w:eastAsia="he-IL"/>
              </w:rPr>
              <w:t xml:space="preserve"> </w:t>
            </w:r>
            <w:r w:rsidRPr="003E6CF5">
              <w:rPr>
                <w:rFonts w:hint="eastAsia"/>
                <w:color w:val="000000"/>
                <w:sz w:val="16"/>
                <w:szCs w:val="16"/>
                <w:rtl/>
                <w:lang w:eastAsia="he-IL"/>
              </w:rPr>
              <w:t>שליטה</w:t>
            </w:r>
          </w:p>
        </w:tc>
        <w:tc>
          <w:tcPr>
            <w:tcW w:w="264" w:type="pct"/>
            <w:vAlign w:val="bottom"/>
          </w:tcPr>
          <w:p w14:paraId="4C2D0262" w14:textId="77777777" w:rsidR="000E53E1" w:rsidRPr="00427850" w:rsidRDefault="000E53E1" w:rsidP="000E53E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324" w:type="pct"/>
            <w:vAlign w:val="bottom"/>
          </w:tcPr>
          <w:p w14:paraId="75C14BAE" w14:textId="77777777" w:rsidR="000E53E1" w:rsidRPr="00427850" w:rsidRDefault="000E53E1" w:rsidP="000E53E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297" w:type="pct"/>
            <w:vAlign w:val="bottom"/>
          </w:tcPr>
          <w:p w14:paraId="13814980" w14:textId="77777777" w:rsidR="000E53E1" w:rsidRPr="00427850" w:rsidRDefault="000E53E1" w:rsidP="000E53E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328" w:type="pct"/>
            <w:vAlign w:val="bottom"/>
          </w:tcPr>
          <w:p w14:paraId="61ED6D91" w14:textId="77777777" w:rsidR="000E53E1" w:rsidRPr="00427850" w:rsidRDefault="000E53E1" w:rsidP="000E53E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317" w:type="pct"/>
            <w:vAlign w:val="bottom"/>
          </w:tcPr>
          <w:p w14:paraId="6C914B1C" w14:textId="77777777" w:rsidR="000E53E1" w:rsidRPr="00427850" w:rsidRDefault="000E53E1" w:rsidP="000E53E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327" w:type="pct"/>
            <w:vAlign w:val="bottom"/>
          </w:tcPr>
          <w:p w14:paraId="1CFB5F8B" w14:textId="77777777" w:rsidR="000E53E1" w:rsidRPr="00427850" w:rsidRDefault="000E53E1" w:rsidP="000E53E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294" w:type="pct"/>
            <w:vAlign w:val="bottom"/>
          </w:tcPr>
          <w:p w14:paraId="728D2066" w14:textId="77777777" w:rsidR="000E53E1" w:rsidRPr="00427850" w:rsidRDefault="000E53E1" w:rsidP="000E53E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345" w:type="pct"/>
            <w:gridSpan w:val="2"/>
            <w:vAlign w:val="bottom"/>
          </w:tcPr>
          <w:p w14:paraId="2B20DF25" w14:textId="77777777" w:rsidR="000E53E1" w:rsidRPr="00427850" w:rsidRDefault="000E53E1" w:rsidP="000E53E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364" w:type="pct"/>
            <w:vAlign w:val="bottom"/>
          </w:tcPr>
          <w:p w14:paraId="271D4C1C" w14:textId="77777777" w:rsidR="000E53E1" w:rsidRPr="00427850" w:rsidRDefault="000E53E1" w:rsidP="000E53E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230" w:type="pct"/>
            <w:vAlign w:val="bottom"/>
          </w:tcPr>
          <w:p w14:paraId="29FD9475" w14:textId="77777777" w:rsidR="000E53E1" w:rsidRPr="00427850" w:rsidRDefault="000E53E1" w:rsidP="000E53E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383" w:type="pct"/>
            <w:vAlign w:val="bottom"/>
          </w:tcPr>
          <w:p w14:paraId="00350E85" w14:textId="77777777" w:rsidR="000E53E1" w:rsidRPr="00427850" w:rsidRDefault="000E53E1" w:rsidP="000E53E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356" w:type="pct"/>
            <w:vAlign w:val="bottom"/>
          </w:tcPr>
          <w:p w14:paraId="0E7AB8C5" w14:textId="77777777" w:rsidR="000E53E1" w:rsidRPr="00427850" w:rsidRDefault="000E53E1" w:rsidP="000E53E1">
            <w:pPr>
              <w:pBdr>
                <w:bottom w:val="single" w:sz="4" w:space="1" w:color="auto"/>
              </w:pBdr>
              <w:spacing w:line="241" w:lineRule="auto"/>
              <w:ind w:left="85" w:right="85"/>
              <w:jc w:val="left"/>
              <w:rPr>
                <w:sz w:val="16"/>
                <w:szCs w:val="16"/>
                <w:rtl/>
              </w:rPr>
            </w:pPr>
            <w:r w:rsidRPr="00427850">
              <w:rPr>
                <w:rFonts w:hint="cs"/>
                <w:sz w:val="16"/>
                <w:szCs w:val="16"/>
                <w:rtl/>
              </w:rPr>
              <w:t>(0)</w:t>
            </w:r>
          </w:p>
        </w:tc>
        <w:tc>
          <w:tcPr>
            <w:tcW w:w="221" w:type="pct"/>
            <w:vAlign w:val="bottom"/>
          </w:tcPr>
          <w:p w14:paraId="150F16BE" w14:textId="77777777" w:rsidR="000E53E1" w:rsidRPr="00427850" w:rsidRDefault="000E53E1" w:rsidP="000E53E1">
            <w:pPr>
              <w:pBdr>
                <w:bottom w:val="single" w:sz="4" w:space="1" w:color="auto"/>
              </w:pBdr>
              <w:spacing w:line="241" w:lineRule="auto"/>
              <w:ind w:left="85" w:right="85"/>
              <w:jc w:val="left"/>
              <w:rPr>
                <w:sz w:val="16"/>
                <w:szCs w:val="16"/>
                <w:rtl/>
              </w:rPr>
            </w:pPr>
            <w:r w:rsidRPr="00427850">
              <w:rPr>
                <w:rFonts w:hint="cs"/>
                <w:sz w:val="16"/>
                <w:szCs w:val="16"/>
                <w:rtl/>
              </w:rPr>
              <w:t>(0)</w:t>
            </w:r>
          </w:p>
        </w:tc>
      </w:tr>
      <w:tr w:rsidR="000E53E1" w14:paraId="7767404A" w14:textId="77777777" w:rsidTr="000E53E1">
        <w:tc>
          <w:tcPr>
            <w:tcW w:w="950" w:type="pct"/>
            <w:vAlign w:val="bottom"/>
          </w:tcPr>
          <w:p w14:paraId="2B81AC67" w14:textId="77777777" w:rsidR="000E53E1" w:rsidRPr="003E6CF5" w:rsidRDefault="000E53E1" w:rsidP="000E53E1">
            <w:pPr>
              <w:spacing w:line="241" w:lineRule="auto"/>
              <w:jc w:val="left"/>
              <w:rPr>
                <w:b/>
                <w:bCs/>
                <w:color w:val="000000"/>
                <w:sz w:val="16"/>
                <w:szCs w:val="16"/>
                <w:rtl/>
                <w:lang w:eastAsia="he-IL"/>
              </w:rPr>
            </w:pPr>
            <w:r w:rsidRPr="003E6CF5">
              <w:rPr>
                <w:rFonts w:hint="eastAsia"/>
                <w:b/>
                <w:bCs/>
                <w:color w:val="000000"/>
                <w:sz w:val="16"/>
                <w:szCs w:val="16"/>
                <w:rtl/>
                <w:lang w:eastAsia="he-IL"/>
              </w:rPr>
              <w:t>רווח</w:t>
            </w:r>
            <w:r w:rsidRPr="003E6CF5">
              <w:rPr>
                <w:b/>
                <w:bCs/>
                <w:color w:val="000000"/>
                <w:sz w:val="16"/>
                <w:szCs w:val="16"/>
                <w:rtl/>
                <w:lang w:eastAsia="he-IL"/>
              </w:rPr>
              <w:t xml:space="preserve"> </w:t>
            </w:r>
            <w:r w:rsidRPr="003E6CF5">
              <w:rPr>
                <w:rFonts w:hint="eastAsia"/>
                <w:b/>
                <w:bCs/>
                <w:color w:val="000000"/>
                <w:sz w:val="16"/>
                <w:szCs w:val="16"/>
                <w:rtl/>
                <w:lang w:eastAsia="he-IL"/>
              </w:rPr>
              <w:t>נקי</w:t>
            </w:r>
            <w:r w:rsidRPr="003E6CF5">
              <w:rPr>
                <w:b/>
                <w:bCs/>
                <w:color w:val="000000"/>
                <w:sz w:val="16"/>
                <w:szCs w:val="16"/>
                <w:rtl/>
                <w:lang w:eastAsia="he-IL"/>
              </w:rPr>
              <w:t xml:space="preserve"> </w:t>
            </w:r>
            <w:r w:rsidRPr="003E6CF5">
              <w:rPr>
                <w:rFonts w:hint="eastAsia"/>
                <w:b/>
                <w:bCs/>
                <w:color w:val="000000"/>
                <w:sz w:val="16"/>
                <w:szCs w:val="16"/>
                <w:rtl/>
                <w:lang w:eastAsia="he-IL"/>
              </w:rPr>
              <w:t>המיוחס</w:t>
            </w:r>
            <w:r w:rsidRPr="003E6CF5">
              <w:rPr>
                <w:b/>
                <w:bCs/>
                <w:color w:val="000000"/>
                <w:sz w:val="16"/>
                <w:szCs w:val="16"/>
                <w:rtl/>
                <w:lang w:eastAsia="he-IL"/>
              </w:rPr>
              <w:t xml:space="preserve"> </w:t>
            </w:r>
            <w:r w:rsidRPr="003E6CF5">
              <w:rPr>
                <w:rFonts w:hint="eastAsia"/>
                <w:b/>
                <w:bCs/>
                <w:color w:val="000000"/>
                <w:sz w:val="16"/>
                <w:szCs w:val="16"/>
                <w:rtl/>
                <w:lang w:eastAsia="he-IL"/>
              </w:rPr>
              <w:t>לבעלי</w:t>
            </w:r>
            <w:r w:rsidRPr="003E6CF5">
              <w:rPr>
                <w:b/>
                <w:bCs/>
                <w:color w:val="000000"/>
                <w:sz w:val="16"/>
                <w:szCs w:val="16"/>
                <w:rtl/>
                <w:lang w:eastAsia="he-IL"/>
              </w:rPr>
              <w:t xml:space="preserve"> </w:t>
            </w:r>
            <w:r w:rsidRPr="003E6CF5">
              <w:rPr>
                <w:rFonts w:hint="eastAsia"/>
                <w:b/>
                <w:bCs/>
                <w:color w:val="000000"/>
                <w:sz w:val="16"/>
                <w:szCs w:val="16"/>
                <w:rtl/>
                <w:lang w:eastAsia="he-IL"/>
              </w:rPr>
              <w:t>מניות</w:t>
            </w:r>
            <w:r w:rsidRPr="003E6CF5">
              <w:rPr>
                <w:b/>
                <w:bCs/>
                <w:color w:val="000000"/>
                <w:sz w:val="16"/>
                <w:szCs w:val="16"/>
                <w:rtl/>
                <w:lang w:eastAsia="he-IL"/>
              </w:rPr>
              <w:t xml:space="preserve"> </w:t>
            </w:r>
            <w:r w:rsidRPr="003E6CF5">
              <w:rPr>
                <w:rFonts w:hint="eastAsia"/>
                <w:b/>
                <w:bCs/>
                <w:color w:val="000000"/>
                <w:sz w:val="16"/>
                <w:szCs w:val="16"/>
                <w:rtl/>
                <w:lang w:eastAsia="he-IL"/>
              </w:rPr>
              <w:t>התאגיד</w:t>
            </w:r>
            <w:r w:rsidRPr="003E6CF5">
              <w:rPr>
                <w:b/>
                <w:bCs/>
                <w:color w:val="000000"/>
                <w:sz w:val="16"/>
                <w:szCs w:val="16"/>
                <w:rtl/>
                <w:lang w:eastAsia="he-IL"/>
              </w:rPr>
              <w:t xml:space="preserve"> </w:t>
            </w:r>
            <w:r w:rsidRPr="003E6CF5">
              <w:rPr>
                <w:rFonts w:hint="eastAsia"/>
                <w:b/>
                <w:bCs/>
                <w:color w:val="000000"/>
                <w:sz w:val="16"/>
                <w:szCs w:val="16"/>
                <w:rtl/>
                <w:lang w:eastAsia="he-IL"/>
              </w:rPr>
              <w:t>הבנקאי</w:t>
            </w:r>
          </w:p>
        </w:tc>
        <w:tc>
          <w:tcPr>
            <w:tcW w:w="264" w:type="pct"/>
            <w:vAlign w:val="bottom"/>
          </w:tcPr>
          <w:p w14:paraId="28BFC8DB" w14:textId="77777777" w:rsidR="000E53E1" w:rsidRPr="00E7649F" w:rsidRDefault="000E53E1" w:rsidP="000E53E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324" w:type="pct"/>
            <w:vAlign w:val="bottom"/>
          </w:tcPr>
          <w:p w14:paraId="60894070" w14:textId="77777777" w:rsidR="000E53E1" w:rsidRPr="00E7649F" w:rsidRDefault="000E53E1" w:rsidP="000E53E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297" w:type="pct"/>
            <w:vAlign w:val="bottom"/>
          </w:tcPr>
          <w:p w14:paraId="0C7A0273" w14:textId="77777777" w:rsidR="000E53E1" w:rsidRPr="00E7649F" w:rsidRDefault="000E53E1" w:rsidP="000E53E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328" w:type="pct"/>
            <w:vAlign w:val="bottom"/>
          </w:tcPr>
          <w:p w14:paraId="3FBCAF9F" w14:textId="77777777" w:rsidR="000E53E1" w:rsidRPr="00E7649F" w:rsidRDefault="000E53E1" w:rsidP="000E53E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317" w:type="pct"/>
            <w:vAlign w:val="bottom"/>
          </w:tcPr>
          <w:p w14:paraId="44AA494B" w14:textId="77777777" w:rsidR="000E53E1" w:rsidRPr="00E7649F" w:rsidRDefault="000E53E1" w:rsidP="000E53E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327" w:type="pct"/>
            <w:vAlign w:val="bottom"/>
          </w:tcPr>
          <w:p w14:paraId="53CA969D" w14:textId="77777777" w:rsidR="000E53E1" w:rsidRPr="00E7649F" w:rsidRDefault="000E53E1" w:rsidP="000E53E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294" w:type="pct"/>
            <w:vAlign w:val="bottom"/>
          </w:tcPr>
          <w:p w14:paraId="1E00F31B" w14:textId="77777777" w:rsidR="000E53E1" w:rsidRPr="00E7649F" w:rsidRDefault="000E53E1" w:rsidP="000E53E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345" w:type="pct"/>
            <w:gridSpan w:val="2"/>
            <w:vAlign w:val="bottom"/>
          </w:tcPr>
          <w:p w14:paraId="257B2621" w14:textId="77777777" w:rsidR="000E53E1" w:rsidRPr="00E7649F" w:rsidRDefault="000E53E1" w:rsidP="000E53E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364" w:type="pct"/>
            <w:vAlign w:val="bottom"/>
          </w:tcPr>
          <w:p w14:paraId="0072993B" w14:textId="77777777" w:rsidR="000E53E1" w:rsidRPr="00E7649F" w:rsidRDefault="000E53E1" w:rsidP="000E53E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230" w:type="pct"/>
            <w:vAlign w:val="bottom"/>
          </w:tcPr>
          <w:p w14:paraId="476D2CB9" w14:textId="77777777" w:rsidR="000E53E1" w:rsidRPr="00E7649F" w:rsidRDefault="000E53E1" w:rsidP="000E53E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383" w:type="pct"/>
            <w:vAlign w:val="bottom"/>
          </w:tcPr>
          <w:p w14:paraId="42598934" w14:textId="77777777" w:rsidR="000E53E1" w:rsidRPr="00E7649F" w:rsidRDefault="000E53E1" w:rsidP="000E53E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356" w:type="pct"/>
            <w:vAlign w:val="bottom"/>
          </w:tcPr>
          <w:p w14:paraId="7FF16694" w14:textId="77777777" w:rsidR="000E53E1" w:rsidRPr="00E7649F" w:rsidRDefault="000E53E1" w:rsidP="000E53E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221" w:type="pct"/>
            <w:vAlign w:val="bottom"/>
          </w:tcPr>
          <w:p w14:paraId="6AF94209" w14:textId="77777777" w:rsidR="000E53E1" w:rsidRPr="00E7649F" w:rsidRDefault="000E53E1" w:rsidP="000E53E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0</w:t>
            </w:r>
          </w:p>
        </w:tc>
      </w:tr>
      <w:tr w:rsidR="000E53E1" w14:paraId="329D7155" w14:textId="77777777" w:rsidTr="000E53E1">
        <w:tc>
          <w:tcPr>
            <w:tcW w:w="950" w:type="pct"/>
            <w:tcBorders>
              <w:bottom w:val="single" w:sz="8" w:space="0" w:color="auto"/>
            </w:tcBorders>
            <w:vAlign w:val="bottom"/>
          </w:tcPr>
          <w:p w14:paraId="4F1A3BD0" w14:textId="77777777" w:rsidR="000E53E1" w:rsidRPr="003E6CF5" w:rsidRDefault="000E53E1" w:rsidP="000E53E1">
            <w:pPr>
              <w:spacing w:line="241" w:lineRule="auto"/>
              <w:ind w:left="172" w:hanging="171"/>
              <w:jc w:val="left"/>
              <w:rPr>
                <w:b/>
                <w:bCs/>
                <w:color w:val="000000"/>
                <w:sz w:val="16"/>
                <w:szCs w:val="16"/>
                <w:rtl/>
                <w:lang w:eastAsia="he-IL"/>
              </w:rPr>
            </w:pPr>
          </w:p>
        </w:tc>
        <w:tc>
          <w:tcPr>
            <w:tcW w:w="264" w:type="pct"/>
            <w:tcBorders>
              <w:bottom w:val="single" w:sz="8" w:space="0" w:color="auto"/>
            </w:tcBorders>
            <w:vAlign w:val="bottom"/>
          </w:tcPr>
          <w:p w14:paraId="3C7567D0" w14:textId="77777777" w:rsidR="000E53E1" w:rsidRPr="00427850" w:rsidRDefault="000E53E1" w:rsidP="000E53E1">
            <w:pPr>
              <w:spacing w:line="241" w:lineRule="auto"/>
              <w:ind w:left="85" w:right="85"/>
              <w:jc w:val="left"/>
              <w:rPr>
                <w:sz w:val="16"/>
                <w:szCs w:val="16"/>
                <w:rtl/>
              </w:rPr>
            </w:pPr>
          </w:p>
        </w:tc>
        <w:tc>
          <w:tcPr>
            <w:tcW w:w="324" w:type="pct"/>
            <w:tcBorders>
              <w:bottom w:val="single" w:sz="8" w:space="0" w:color="auto"/>
            </w:tcBorders>
            <w:vAlign w:val="bottom"/>
          </w:tcPr>
          <w:p w14:paraId="7F1C7AD0" w14:textId="77777777" w:rsidR="000E53E1" w:rsidRPr="00427850" w:rsidRDefault="000E53E1" w:rsidP="000E53E1">
            <w:pPr>
              <w:spacing w:line="241" w:lineRule="auto"/>
              <w:ind w:left="85" w:right="85"/>
              <w:jc w:val="left"/>
              <w:rPr>
                <w:sz w:val="16"/>
                <w:szCs w:val="16"/>
                <w:rtl/>
              </w:rPr>
            </w:pPr>
          </w:p>
        </w:tc>
        <w:tc>
          <w:tcPr>
            <w:tcW w:w="297" w:type="pct"/>
            <w:tcBorders>
              <w:bottom w:val="single" w:sz="8" w:space="0" w:color="auto"/>
            </w:tcBorders>
            <w:vAlign w:val="bottom"/>
          </w:tcPr>
          <w:p w14:paraId="02A07F1E" w14:textId="77777777" w:rsidR="000E53E1" w:rsidRPr="00427850" w:rsidRDefault="000E53E1" w:rsidP="000E53E1">
            <w:pPr>
              <w:spacing w:line="241" w:lineRule="auto"/>
              <w:ind w:left="85" w:right="85"/>
              <w:jc w:val="left"/>
              <w:rPr>
                <w:sz w:val="16"/>
                <w:szCs w:val="16"/>
                <w:rtl/>
              </w:rPr>
            </w:pPr>
          </w:p>
        </w:tc>
        <w:tc>
          <w:tcPr>
            <w:tcW w:w="328" w:type="pct"/>
            <w:tcBorders>
              <w:bottom w:val="single" w:sz="8" w:space="0" w:color="auto"/>
            </w:tcBorders>
            <w:vAlign w:val="bottom"/>
          </w:tcPr>
          <w:p w14:paraId="6239579F" w14:textId="77777777" w:rsidR="000E53E1" w:rsidRPr="00427850" w:rsidRDefault="000E53E1" w:rsidP="000E53E1">
            <w:pPr>
              <w:spacing w:line="241" w:lineRule="auto"/>
              <w:ind w:left="85" w:right="85"/>
              <w:jc w:val="left"/>
              <w:rPr>
                <w:sz w:val="16"/>
                <w:szCs w:val="16"/>
                <w:rtl/>
              </w:rPr>
            </w:pPr>
          </w:p>
        </w:tc>
        <w:tc>
          <w:tcPr>
            <w:tcW w:w="317" w:type="pct"/>
            <w:tcBorders>
              <w:bottom w:val="single" w:sz="8" w:space="0" w:color="auto"/>
            </w:tcBorders>
            <w:vAlign w:val="bottom"/>
          </w:tcPr>
          <w:p w14:paraId="4CE351AB" w14:textId="77777777" w:rsidR="000E53E1" w:rsidRPr="00427850" w:rsidRDefault="000E53E1" w:rsidP="000E53E1">
            <w:pPr>
              <w:spacing w:line="241" w:lineRule="auto"/>
              <w:ind w:left="85" w:right="85"/>
              <w:jc w:val="left"/>
              <w:rPr>
                <w:sz w:val="16"/>
                <w:szCs w:val="16"/>
                <w:rtl/>
              </w:rPr>
            </w:pPr>
          </w:p>
        </w:tc>
        <w:tc>
          <w:tcPr>
            <w:tcW w:w="327" w:type="pct"/>
            <w:tcBorders>
              <w:bottom w:val="single" w:sz="8" w:space="0" w:color="auto"/>
            </w:tcBorders>
            <w:vAlign w:val="bottom"/>
          </w:tcPr>
          <w:p w14:paraId="47C0F4F9" w14:textId="77777777" w:rsidR="000E53E1" w:rsidRPr="00427850" w:rsidRDefault="000E53E1" w:rsidP="000E53E1">
            <w:pPr>
              <w:spacing w:line="241" w:lineRule="auto"/>
              <w:ind w:left="85" w:right="85"/>
              <w:jc w:val="left"/>
              <w:rPr>
                <w:sz w:val="16"/>
                <w:szCs w:val="16"/>
                <w:rtl/>
              </w:rPr>
            </w:pPr>
          </w:p>
        </w:tc>
        <w:tc>
          <w:tcPr>
            <w:tcW w:w="294" w:type="pct"/>
            <w:tcBorders>
              <w:bottom w:val="single" w:sz="8" w:space="0" w:color="auto"/>
            </w:tcBorders>
            <w:vAlign w:val="bottom"/>
          </w:tcPr>
          <w:p w14:paraId="5082C4DB" w14:textId="77777777" w:rsidR="000E53E1" w:rsidRPr="00427850" w:rsidRDefault="000E53E1" w:rsidP="000E53E1">
            <w:pPr>
              <w:spacing w:line="241" w:lineRule="auto"/>
              <w:ind w:left="85" w:right="85"/>
              <w:jc w:val="left"/>
              <w:rPr>
                <w:sz w:val="16"/>
                <w:szCs w:val="16"/>
                <w:rtl/>
              </w:rPr>
            </w:pPr>
          </w:p>
        </w:tc>
        <w:tc>
          <w:tcPr>
            <w:tcW w:w="345" w:type="pct"/>
            <w:gridSpan w:val="2"/>
            <w:tcBorders>
              <w:bottom w:val="single" w:sz="8" w:space="0" w:color="auto"/>
            </w:tcBorders>
            <w:vAlign w:val="bottom"/>
          </w:tcPr>
          <w:p w14:paraId="43C6DB94" w14:textId="77777777" w:rsidR="000E53E1" w:rsidRPr="00427850" w:rsidRDefault="000E53E1" w:rsidP="000E53E1">
            <w:pPr>
              <w:spacing w:line="241" w:lineRule="auto"/>
              <w:ind w:left="85" w:right="85"/>
              <w:jc w:val="left"/>
              <w:rPr>
                <w:sz w:val="16"/>
                <w:szCs w:val="16"/>
                <w:rtl/>
              </w:rPr>
            </w:pPr>
          </w:p>
        </w:tc>
        <w:tc>
          <w:tcPr>
            <w:tcW w:w="364" w:type="pct"/>
            <w:tcBorders>
              <w:bottom w:val="single" w:sz="8" w:space="0" w:color="auto"/>
            </w:tcBorders>
            <w:vAlign w:val="bottom"/>
          </w:tcPr>
          <w:p w14:paraId="3EE28453" w14:textId="77777777" w:rsidR="000E53E1" w:rsidRPr="00427850" w:rsidRDefault="000E53E1" w:rsidP="000E53E1">
            <w:pPr>
              <w:spacing w:line="241" w:lineRule="auto"/>
              <w:ind w:left="85" w:right="85"/>
              <w:jc w:val="left"/>
              <w:rPr>
                <w:sz w:val="16"/>
                <w:szCs w:val="16"/>
                <w:rtl/>
              </w:rPr>
            </w:pPr>
          </w:p>
        </w:tc>
        <w:tc>
          <w:tcPr>
            <w:tcW w:w="230" w:type="pct"/>
            <w:tcBorders>
              <w:bottom w:val="single" w:sz="8" w:space="0" w:color="auto"/>
            </w:tcBorders>
            <w:vAlign w:val="bottom"/>
          </w:tcPr>
          <w:p w14:paraId="12FB298A" w14:textId="77777777" w:rsidR="000E53E1" w:rsidRPr="00427850" w:rsidRDefault="000E53E1" w:rsidP="000E53E1">
            <w:pPr>
              <w:spacing w:line="241" w:lineRule="auto"/>
              <w:ind w:left="85" w:right="85"/>
              <w:jc w:val="left"/>
              <w:rPr>
                <w:sz w:val="16"/>
                <w:szCs w:val="16"/>
                <w:rtl/>
              </w:rPr>
            </w:pPr>
          </w:p>
        </w:tc>
        <w:tc>
          <w:tcPr>
            <w:tcW w:w="383" w:type="pct"/>
            <w:tcBorders>
              <w:bottom w:val="single" w:sz="8" w:space="0" w:color="auto"/>
            </w:tcBorders>
            <w:vAlign w:val="bottom"/>
          </w:tcPr>
          <w:p w14:paraId="48754E40" w14:textId="77777777" w:rsidR="000E53E1" w:rsidRPr="00427850" w:rsidRDefault="000E53E1" w:rsidP="000E53E1">
            <w:pPr>
              <w:spacing w:line="241" w:lineRule="auto"/>
              <w:ind w:left="85" w:right="85"/>
              <w:jc w:val="left"/>
              <w:rPr>
                <w:sz w:val="16"/>
                <w:szCs w:val="16"/>
                <w:rtl/>
              </w:rPr>
            </w:pPr>
          </w:p>
        </w:tc>
        <w:tc>
          <w:tcPr>
            <w:tcW w:w="356" w:type="pct"/>
            <w:tcBorders>
              <w:bottom w:val="single" w:sz="8" w:space="0" w:color="auto"/>
            </w:tcBorders>
            <w:vAlign w:val="bottom"/>
          </w:tcPr>
          <w:p w14:paraId="5747D327" w14:textId="77777777" w:rsidR="000E53E1" w:rsidRPr="00427850" w:rsidRDefault="000E53E1" w:rsidP="000E53E1">
            <w:pPr>
              <w:spacing w:line="241" w:lineRule="auto"/>
              <w:ind w:left="85" w:right="85"/>
              <w:jc w:val="left"/>
              <w:rPr>
                <w:sz w:val="16"/>
                <w:szCs w:val="16"/>
                <w:rtl/>
              </w:rPr>
            </w:pPr>
          </w:p>
        </w:tc>
        <w:tc>
          <w:tcPr>
            <w:tcW w:w="221" w:type="pct"/>
            <w:tcBorders>
              <w:bottom w:val="single" w:sz="8" w:space="0" w:color="auto"/>
            </w:tcBorders>
            <w:vAlign w:val="bottom"/>
          </w:tcPr>
          <w:p w14:paraId="797C5A34" w14:textId="77777777" w:rsidR="000E53E1" w:rsidRPr="00427850" w:rsidRDefault="000E53E1" w:rsidP="000E53E1">
            <w:pPr>
              <w:spacing w:line="241" w:lineRule="auto"/>
              <w:ind w:left="85" w:right="85"/>
              <w:jc w:val="left"/>
              <w:rPr>
                <w:sz w:val="16"/>
                <w:szCs w:val="16"/>
                <w:rtl/>
              </w:rPr>
            </w:pPr>
          </w:p>
        </w:tc>
      </w:tr>
      <w:tr w:rsidR="000E53E1" w14:paraId="10189AD0" w14:textId="77777777" w:rsidTr="000E53E1">
        <w:tc>
          <w:tcPr>
            <w:tcW w:w="950" w:type="pct"/>
            <w:tcBorders>
              <w:top w:val="single" w:sz="8" w:space="0" w:color="auto"/>
            </w:tcBorders>
            <w:vAlign w:val="bottom"/>
          </w:tcPr>
          <w:p w14:paraId="5D1187D8" w14:textId="77777777" w:rsidR="000E53E1" w:rsidRPr="003E6CF5" w:rsidRDefault="000E53E1" w:rsidP="000E53E1">
            <w:pPr>
              <w:spacing w:line="241" w:lineRule="auto"/>
              <w:ind w:left="172" w:hanging="171"/>
              <w:jc w:val="left"/>
              <w:rPr>
                <w:color w:val="000000"/>
                <w:sz w:val="16"/>
                <w:szCs w:val="16"/>
                <w:rtl/>
                <w:lang w:eastAsia="he-IL"/>
              </w:rPr>
            </w:pPr>
            <w:r w:rsidRPr="003E6CF5">
              <w:rPr>
                <w:rFonts w:hint="eastAsia"/>
                <w:color w:val="000000"/>
                <w:sz w:val="16"/>
                <w:szCs w:val="16"/>
                <w:rtl/>
                <w:lang w:eastAsia="he-IL"/>
              </w:rPr>
              <w:t>יתרה</w:t>
            </w:r>
            <w:r w:rsidRPr="003E6CF5">
              <w:rPr>
                <w:color w:val="000000"/>
                <w:sz w:val="16"/>
                <w:szCs w:val="16"/>
                <w:rtl/>
                <w:lang w:eastAsia="he-IL"/>
              </w:rPr>
              <w:t xml:space="preserve"> </w:t>
            </w:r>
            <w:r w:rsidRPr="003E6CF5">
              <w:rPr>
                <w:rFonts w:hint="eastAsia"/>
                <w:color w:val="000000"/>
                <w:sz w:val="16"/>
                <w:szCs w:val="16"/>
                <w:rtl/>
                <w:lang w:eastAsia="he-IL"/>
              </w:rPr>
              <w:t>ממוצעת</w:t>
            </w:r>
            <w:r w:rsidRPr="003E6CF5">
              <w:rPr>
                <w:color w:val="000000"/>
                <w:sz w:val="16"/>
                <w:szCs w:val="16"/>
                <w:rtl/>
                <w:lang w:eastAsia="he-IL"/>
              </w:rPr>
              <w:t xml:space="preserve"> </w:t>
            </w:r>
            <w:r w:rsidRPr="003E6CF5">
              <w:rPr>
                <w:rFonts w:hint="eastAsia"/>
                <w:color w:val="000000"/>
                <w:sz w:val="16"/>
                <w:szCs w:val="16"/>
                <w:rtl/>
                <w:lang w:eastAsia="he-IL"/>
              </w:rPr>
              <w:t>של</w:t>
            </w:r>
            <w:r w:rsidRPr="003E6CF5">
              <w:rPr>
                <w:color w:val="000000"/>
                <w:sz w:val="16"/>
                <w:szCs w:val="16"/>
                <w:rtl/>
                <w:lang w:eastAsia="he-IL"/>
              </w:rPr>
              <w:t xml:space="preserve"> </w:t>
            </w:r>
            <w:r w:rsidRPr="003E6CF5">
              <w:rPr>
                <w:rFonts w:hint="eastAsia"/>
                <w:color w:val="000000"/>
                <w:sz w:val="16"/>
                <w:szCs w:val="16"/>
                <w:rtl/>
                <w:lang w:eastAsia="he-IL"/>
              </w:rPr>
              <w:t>נכסים</w:t>
            </w:r>
            <w:r w:rsidRPr="003E6CF5">
              <w:rPr>
                <w:color w:val="000000"/>
                <w:sz w:val="16"/>
                <w:szCs w:val="16"/>
                <w:vertAlign w:val="superscript"/>
                <w:rtl/>
                <w:lang w:eastAsia="he-IL"/>
              </w:rPr>
              <w:t>(א)</w:t>
            </w:r>
          </w:p>
        </w:tc>
        <w:tc>
          <w:tcPr>
            <w:tcW w:w="264" w:type="pct"/>
            <w:tcBorders>
              <w:top w:val="single" w:sz="8" w:space="0" w:color="auto"/>
            </w:tcBorders>
            <w:vAlign w:val="bottom"/>
          </w:tcPr>
          <w:p w14:paraId="04954BA1"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4" w:type="pct"/>
            <w:tcBorders>
              <w:top w:val="single" w:sz="8" w:space="0" w:color="auto"/>
            </w:tcBorders>
            <w:vAlign w:val="bottom"/>
          </w:tcPr>
          <w:p w14:paraId="6E831103"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7" w:type="pct"/>
            <w:tcBorders>
              <w:top w:val="single" w:sz="8" w:space="0" w:color="auto"/>
            </w:tcBorders>
            <w:vAlign w:val="bottom"/>
          </w:tcPr>
          <w:p w14:paraId="3530A2C4"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8" w:type="pct"/>
            <w:tcBorders>
              <w:top w:val="single" w:sz="8" w:space="0" w:color="auto"/>
            </w:tcBorders>
            <w:vAlign w:val="bottom"/>
          </w:tcPr>
          <w:p w14:paraId="25E10AA7"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17" w:type="pct"/>
            <w:tcBorders>
              <w:top w:val="single" w:sz="8" w:space="0" w:color="auto"/>
            </w:tcBorders>
            <w:vAlign w:val="bottom"/>
          </w:tcPr>
          <w:p w14:paraId="45626D27"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7" w:type="pct"/>
            <w:tcBorders>
              <w:top w:val="single" w:sz="8" w:space="0" w:color="auto"/>
            </w:tcBorders>
            <w:vAlign w:val="bottom"/>
          </w:tcPr>
          <w:p w14:paraId="6C024BC1"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4" w:type="pct"/>
            <w:tcBorders>
              <w:top w:val="single" w:sz="8" w:space="0" w:color="auto"/>
            </w:tcBorders>
            <w:vAlign w:val="bottom"/>
          </w:tcPr>
          <w:p w14:paraId="2F211C1B"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45" w:type="pct"/>
            <w:gridSpan w:val="2"/>
            <w:tcBorders>
              <w:top w:val="single" w:sz="8" w:space="0" w:color="auto"/>
            </w:tcBorders>
            <w:vAlign w:val="bottom"/>
          </w:tcPr>
          <w:p w14:paraId="24400E5A"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64" w:type="pct"/>
            <w:tcBorders>
              <w:top w:val="single" w:sz="8" w:space="0" w:color="auto"/>
            </w:tcBorders>
            <w:vAlign w:val="bottom"/>
          </w:tcPr>
          <w:p w14:paraId="487364AB"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30" w:type="pct"/>
            <w:tcBorders>
              <w:top w:val="single" w:sz="8" w:space="0" w:color="auto"/>
            </w:tcBorders>
            <w:vAlign w:val="bottom"/>
          </w:tcPr>
          <w:p w14:paraId="0DE9C306"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83" w:type="pct"/>
            <w:tcBorders>
              <w:top w:val="single" w:sz="8" w:space="0" w:color="auto"/>
            </w:tcBorders>
            <w:vAlign w:val="bottom"/>
          </w:tcPr>
          <w:p w14:paraId="5BEB7AEB"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56" w:type="pct"/>
            <w:tcBorders>
              <w:top w:val="single" w:sz="8" w:space="0" w:color="auto"/>
            </w:tcBorders>
            <w:vAlign w:val="bottom"/>
          </w:tcPr>
          <w:p w14:paraId="73D77CFC"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21" w:type="pct"/>
            <w:tcBorders>
              <w:top w:val="single" w:sz="8" w:space="0" w:color="auto"/>
            </w:tcBorders>
            <w:vAlign w:val="bottom"/>
          </w:tcPr>
          <w:p w14:paraId="2CE2B3CD" w14:textId="77777777" w:rsidR="000E53E1" w:rsidRPr="00427850" w:rsidRDefault="000E53E1" w:rsidP="000E53E1">
            <w:pPr>
              <w:spacing w:line="241" w:lineRule="auto"/>
              <w:ind w:left="85" w:right="85"/>
              <w:jc w:val="left"/>
              <w:rPr>
                <w:color w:val="000000"/>
                <w:sz w:val="16"/>
                <w:szCs w:val="16"/>
                <w:rtl/>
                <w:lang w:eastAsia="he-IL"/>
              </w:rPr>
            </w:pPr>
            <w:r w:rsidRPr="00427850">
              <w:rPr>
                <w:rFonts w:hint="cs"/>
                <w:color w:val="000000"/>
                <w:sz w:val="16"/>
                <w:szCs w:val="16"/>
                <w:rtl/>
                <w:lang w:eastAsia="he-IL"/>
              </w:rPr>
              <w:t>0</w:t>
            </w:r>
          </w:p>
        </w:tc>
      </w:tr>
      <w:tr w:rsidR="000E53E1" w14:paraId="07E361ED" w14:textId="77777777" w:rsidTr="000E53E1">
        <w:tc>
          <w:tcPr>
            <w:tcW w:w="950" w:type="pct"/>
            <w:vAlign w:val="bottom"/>
          </w:tcPr>
          <w:p w14:paraId="1AF7E127" w14:textId="77777777" w:rsidR="000E53E1" w:rsidRPr="003E6CF5" w:rsidRDefault="000E53E1" w:rsidP="000E53E1">
            <w:pPr>
              <w:spacing w:line="241" w:lineRule="auto"/>
              <w:ind w:left="172" w:hanging="171"/>
              <w:jc w:val="left"/>
              <w:rPr>
                <w:color w:val="000000"/>
                <w:sz w:val="16"/>
                <w:szCs w:val="16"/>
                <w:rtl/>
                <w:lang w:eastAsia="he-IL"/>
              </w:rPr>
            </w:pPr>
            <w:r w:rsidRPr="003E6CF5">
              <w:rPr>
                <w:rFonts w:hint="eastAsia"/>
                <w:color w:val="000000"/>
                <w:sz w:val="16"/>
                <w:szCs w:val="16"/>
                <w:rtl/>
                <w:lang w:eastAsia="he-IL"/>
              </w:rPr>
              <w:t>מזה</w:t>
            </w:r>
            <w:r w:rsidRPr="003E6CF5">
              <w:rPr>
                <w:color w:val="000000"/>
                <w:sz w:val="16"/>
                <w:szCs w:val="16"/>
                <w:rtl/>
                <w:lang w:eastAsia="he-IL"/>
              </w:rPr>
              <w:t xml:space="preserve">: </w:t>
            </w:r>
            <w:r w:rsidRPr="003E6CF5">
              <w:rPr>
                <w:rFonts w:hint="eastAsia"/>
                <w:color w:val="000000"/>
                <w:sz w:val="16"/>
                <w:szCs w:val="16"/>
                <w:rtl/>
                <w:lang w:eastAsia="he-IL"/>
              </w:rPr>
              <w:t>השקעות</w:t>
            </w:r>
            <w:r w:rsidRPr="003E6CF5">
              <w:rPr>
                <w:color w:val="000000"/>
                <w:sz w:val="16"/>
                <w:szCs w:val="16"/>
                <w:rtl/>
                <w:lang w:eastAsia="he-IL"/>
              </w:rPr>
              <w:t xml:space="preserve"> </w:t>
            </w:r>
            <w:r w:rsidRPr="003E6CF5">
              <w:rPr>
                <w:rFonts w:hint="eastAsia"/>
                <w:color w:val="000000"/>
                <w:sz w:val="16"/>
                <w:szCs w:val="16"/>
                <w:rtl/>
                <w:lang w:eastAsia="he-IL"/>
              </w:rPr>
              <w:t>בחברות</w:t>
            </w:r>
            <w:r w:rsidRPr="003E6CF5">
              <w:rPr>
                <w:color w:val="000000"/>
                <w:sz w:val="16"/>
                <w:szCs w:val="16"/>
                <w:rtl/>
                <w:lang w:eastAsia="he-IL"/>
              </w:rPr>
              <w:t xml:space="preserve"> </w:t>
            </w:r>
            <w:r w:rsidRPr="003E6CF5">
              <w:rPr>
                <w:rFonts w:hint="eastAsia"/>
                <w:color w:val="000000"/>
                <w:sz w:val="16"/>
                <w:szCs w:val="16"/>
                <w:rtl/>
                <w:lang w:eastAsia="he-IL"/>
              </w:rPr>
              <w:t>כלולות</w:t>
            </w:r>
            <w:r w:rsidRPr="003E6CF5">
              <w:rPr>
                <w:color w:val="000000"/>
                <w:sz w:val="16"/>
                <w:szCs w:val="16"/>
                <w:vertAlign w:val="superscript"/>
                <w:rtl/>
                <w:lang w:eastAsia="he-IL"/>
              </w:rPr>
              <w:t>(א)</w:t>
            </w:r>
          </w:p>
        </w:tc>
        <w:tc>
          <w:tcPr>
            <w:tcW w:w="264" w:type="pct"/>
            <w:vAlign w:val="bottom"/>
          </w:tcPr>
          <w:p w14:paraId="32854280"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4" w:type="pct"/>
            <w:vAlign w:val="bottom"/>
          </w:tcPr>
          <w:p w14:paraId="3D54FE38"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7" w:type="pct"/>
            <w:vAlign w:val="bottom"/>
          </w:tcPr>
          <w:p w14:paraId="00A97C65"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8" w:type="pct"/>
            <w:vAlign w:val="bottom"/>
          </w:tcPr>
          <w:p w14:paraId="0115DE33"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17" w:type="pct"/>
            <w:vAlign w:val="bottom"/>
          </w:tcPr>
          <w:p w14:paraId="3EFA0426"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7" w:type="pct"/>
            <w:vAlign w:val="bottom"/>
          </w:tcPr>
          <w:p w14:paraId="187DFEEF"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4" w:type="pct"/>
            <w:vAlign w:val="bottom"/>
          </w:tcPr>
          <w:p w14:paraId="34A9C8E1"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45" w:type="pct"/>
            <w:gridSpan w:val="2"/>
            <w:vAlign w:val="bottom"/>
          </w:tcPr>
          <w:p w14:paraId="708C2019"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64" w:type="pct"/>
            <w:vAlign w:val="bottom"/>
          </w:tcPr>
          <w:p w14:paraId="4AB86068"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30" w:type="pct"/>
            <w:vAlign w:val="bottom"/>
          </w:tcPr>
          <w:p w14:paraId="1E576367"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83" w:type="pct"/>
            <w:vAlign w:val="bottom"/>
          </w:tcPr>
          <w:p w14:paraId="198D364B"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56" w:type="pct"/>
            <w:vAlign w:val="bottom"/>
          </w:tcPr>
          <w:p w14:paraId="5968A6D9"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21" w:type="pct"/>
            <w:vAlign w:val="bottom"/>
          </w:tcPr>
          <w:p w14:paraId="1ED5B73D" w14:textId="77777777" w:rsidR="000E53E1" w:rsidRPr="00427850" w:rsidRDefault="000E53E1" w:rsidP="000E53E1">
            <w:pPr>
              <w:spacing w:line="241" w:lineRule="auto"/>
              <w:ind w:left="85" w:right="85"/>
              <w:jc w:val="left"/>
              <w:rPr>
                <w:color w:val="000000"/>
                <w:sz w:val="16"/>
                <w:szCs w:val="16"/>
                <w:rtl/>
                <w:lang w:eastAsia="he-IL"/>
              </w:rPr>
            </w:pPr>
            <w:r w:rsidRPr="00427850">
              <w:rPr>
                <w:rFonts w:hint="cs"/>
                <w:color w:val="000000"/>
                <w:sz w:val="16"/>
                <w:szCs w:val="16"/>
                <w:rtl/>
                <w:lang w:eastAsia="he-IL"/>
              </w:rPr>
              <w:t>0</w:t>
            </w:r>
          </w:p>
        </w:tc>
      </w:tr>
      <w:tr w:rsidR="000E53E1" w14:paraId="633183EA" w14:textId="77777777" w:rsidTr="000E53E1">
        <w:tc>
          <w:tcPr>
            <w:tcW w:w="950" w:type="pct"/>
            <w:vAlign w:val="bottom"/>
          </w:tcPr>
          <w:p w14:paraId="39306E81" w14:textId="77777777" w:rsidR="000E53E1" w:rsidRPr="003E6CF5" w:rsidRDefault="000E53E1" w:rsidP="000E53E1">
            <w:pPr>
              <w:spacing w:line="241" w:lineRule="auto"/>
              <w:ind w:left="340"/>
              <w:jc w:val="left"/>
              <w:rPr>
                <w:color w:val="000000"/>
                <w:sz w:val="16"/>
                <w:szCs w:val="16"/>
                <w:rtl/>
                <w:lang w:eastAsia="he-IL"/>
              </w:rPr>
            </w:pPr>
            <w:r w:rsidRPr="003E6CF5">
              <w:rPr>
                <w:rFonts w:hint="eastAsia"/>
                <w:color w:val="000000"/>
                <w:sz w:val="16"/>
                <w:szCs w:val="16"/>
                <w:rtl/>
                <w:lang w:eastAsia="he-IL"/>
              </w:rPr>
              <w:t>יתרה</w:t>
            </w:r>
            <w:r w:rsidRPr="003E6CF5">
              <w:rPr>
                <w:color w:val="000000"/>
                <w:sz w:val="16"/>
                <w:szCs w:val="16"/>
                <w:rtl/>
                <w:lang w:eastAsia="he-IL"/>
              </w:rPr>
              <w:t xml:space="preserve"> </w:t>
            </w:r>
            <w:r w:rsidRPr="003E6CF5">
              <w:rPr>
                <w:rFonts w:hint="eastAsia"/>
                <w:color w:val="000000"/>
                <w:sz w:val="16"/>
                <w:szCs w:val="16"/>
                <w:rtl/>
                <w:lang w:eastAsia="he-IL"/>
              </w:rPr>
              <w:t>ממוצעת</w:t>
            </w:r>
            <w:r w:rsidRPr="003E6CF5">
              <w:rPr>
                <w:color w:val="000000"/>
                <w:sz w:val="16"/>
                <w:szCs w:val="16"/>
                <w:rtl/>
                <w:lang w:eastAsia="he-IL"/>
              </w:rPr>
              <w:t xml:space="preserve"> </w:t>
            </w:r>
            <w:r w:rsidRPr="003E6CF5">
              <w:rPr>
                <w:rFonts w:hint="eastAsia"/>
                <w:color w:val="000000"/>
                <w:sz w:val="16"/>
                <w:szCs w:val="16"/>
                <w:rtl/>
                <w:lang w:eastAsia="he-IL"/>
              </w:rPr>
              <w:t>של</w:t>
            </w:r>
            <w:r w:rsidRPr="003E6CF5">
              <w:rPr>
                <w:color w:val="000000"/>
                <w:sz w:val="16"/>
                <w:szCs w:val="16"/>
                <w:rtl/>
                <w:lang w:eastAsia="he-IL"/>
              </w:rPr>
              <w:t xml:space="preserve"> </w:t>
            </w:r>
            <w:r w:rsidRPr="003E6CF5">
              <w:rPr>
                <w:rFonts w:hint="eastAsia"/>
                <w:color w:val="000000"/>
                <w:sz w:val="16"/>
                <w:szCs w:val="16"/>
                <w:rtl/>
                <w:lang w:eastAsia="he-IL"/>
              </w:rPr>
              <w:t>אשראי</w:t>
            </w:r>
            <w:r w:rsidRPr="003E6CF5">
              <w:rPr>
                <w:color w:val="000000"/>
                <w:sz w:val="16"/>
                <w:szCs w:val="16"/>
                <w:rtl/>
                <w:lang w:eastAsia="he-IL"/>
              </w:rPr>
              <w:t xml:space="preserve"> </w:t>
            </w:r>
            <w:r>
              <w:rPr>
                <w:rFonts w:hint="cs"/>
                <w:color w:val="000000"/>
                <w:sz w:val="16"/>
                <w:szCs w:val="16"/>
                <w:rtl/>
                <w:lang w:eastAsia="he-IL"/>
              </w:rPr>
              <w:t xml:space="preserve"> </w:t>
            </w:r>
            <w:r w:rsidRPr="003E6CF5">
              <w:rPr>
                <w:rFonts w:hint="eastAsia"/>
                <w:color w:val="000000"/>
                <w:sz w:val="16"/>
                <w:szCs w:val="16"/>
                <w:rtl/>
                <w:lang w:eastAsia="he-IL"/>
              </w:rPr>
              <w:t>לציבור</w:t>
            </w:r>
            <w:r w:rsidRPr="003E6CF5">
              <w:rPr>
                <w:color w:val="000000"/>
                <w:sz w:val="16"/>
                <w:szCs w:val="16"/>
                <w:vertAlign w:val="superscript"/>
                <w:rtl/>
                <w:lang w:eastAsia="he-IL"/>
              </w:rPr>
              <w:t>(א)</w:t>
            </w:r>
          </w:p>
        </w:tc>
        <w:tc>
          <w:tcPr>
            <w:tcW w:w="264" w:type="pct"/>
            <w:vAlign w:val="bottom"/>
          </w:tcPr>
          <w:p w14:paraId="120C278D"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4" w:type="pct"/>
            <w:vAlign w:val="bottom"/>
          </w:tcPr>
          <w:p w14:paraId="77561A25"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7" w:type="pct"/>
            <w:vAlign w:val="bottom"/>
          </w:tcPr>
          <w:p w14:paraId="3D35FA0C"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8" w:type="pct"/>
            <w:vAlign w:val="bottom"/>
          </w:tcPr>
          <w:p w14:paraId="5AC67AE5"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17" w:type="pct"/>
            <w:vAlign w:val="bottom"/>
          </w:tcPr>
          <w:p w14:paraId="0B65898C"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7" w:type="pct"/>
            <w:vAlign w:val="bottom"/>
          </w:tcPr>
          <w:p w14:paraId="515A77FB"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4" w:type="pct"/>
            <w:vAlign w:val="bottom"/>
          </w:tcPr>
          <w:p w14:paraId="16B9B3E6"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45" w:type="pct"/>
            <w:gridSpan w:val="2"/>
            <w:vAlign w:val="bottom"/>
          </w:tcPr>
          <w:p w14:paraId="6D373E9E"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64" w:type="pct"/>
            <w:vAlign w:val="bottom"/>
          </w:tcPr>
          <w:p w14:paraId="7B6A18D9"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w:t>
            </w:r>
          </w:p>
        </w:tc>
        <w:tc>
          <w:tcPr>
            <w:tcW w:w="230" w:type="pct"/>
            <w:vAlign w:val="bottom"/>
          </w:tcPr>
          <w:p w14:paraId="30483AF0"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83" w:type="pct"/>
            <w:vAlign w:val="bottom"/>
          </w:tcPr>
          <w:p w14:paraId="5E09D7A3"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56" w:type="pct"/>
            <w:vAlign w:val="bottom"/>
          </w:tcPr>
          <w:p w14:paraId="3AA268DF"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21" w:type="pct"/>
            <w:vAlign w:val="bottom"/>
          </w:tcPr>
          <w:p w14:paraId="039E18FE" w14:textId="77777777" w:rsidR="000E53E1" w:rsidRPr="00427850" w:rsidRDefault="000E53E1" w:rsidP="000E53E1">
            <w:pPr>
              <w:spacing w:line="241" w:lineRule="auto"/>
              <w:ind w:left="85" w:right="85"/>
              <w:jc w:val="left"/>
              <w:rPr>
                <w:color w:val="000000"/>
                <w:sz w:val="16"/>
                <w:szCs w:val="16"/>
                <w:rtl/>
                <w:lang w:eastAsia="he-IL"/>
              </w:rPr>
            </w:pPr>
            <w:r w:rsidRPr="00427850">
              <w:rPr>
                <w:rFonts w:hint="cs"/>
                <w:color w:val="000000"/>
                <w:sz w:val="16"/>
                <w:szCs w:val="16"/>
                <w:rtl/>
                <w:lang w:eastAsia="he-IL"/>
              </w:rPr>
              <w:t>0</w:t>
            </w:r>
          </w:p>
        </w:tc>
      </w:tr>
      <w:tr w:rsidR="000E53E1" w14:paraId="70E5C1D0" w14:textId="77777777" w:rsidTr="000E53E1">
        <w:tc>
          <w:tcPr>
            <w:tcW w:w="950" w:type="pct"/>
            <w:vAlign w:val="bottom"/>
          </w:tcPr>
          <w:p w14:paraId="7D9E9852" w14:textId="77777777" w:rsidR="000E53E1" w:rsidRPr="003E6CF5" w:rsidRDefault="000E53E1" w:rsidP="000E53E1">
            <w:pPr>
              <w:spacing w:line="241" w:lineRule="auto"/>
              <w:ind w:firstLine="1"/>
              <w:jc w:val="left"/>
              <w:rPr>
                <w:color w:val="000000"/>
                <w:sz w:val="16"/>
                <w:szCs w:val="16"/>
                <w:rtl/>
                <w:lang w:eastAsia="he-IL"/>
              </w:rPr>
            </w:pPr>
            <w:r w:rsidRPr="003E6CF5">
              <w:rPr>
                <w:rFonts w:hint="eastAsia"/>
                <w:color w:val="000000"/>
                <w:sz w:val="16"/>
                <w:szCs w:val="16"/>
                <w:rtl/>
                <w:lang w:eastAsia="he-IL"/>
              </w:rPr>
              <w:t>יתרת</w:t>
            </w:r>
            <w:r w:rsidRPr="003E6CF5">
              <w:rPr>
                <w:color w:val="000000"/>
                <w:sz w:val="16"/>
                <w:szCs w:val="16"/>
                <w:rtl/>
                <w:lang w:eastAsia="he-IL"/>
              </w:rPr>
              <w:t xml:space="preserve"> </w:t>
            </w:r>
            <w:r w:rsidRPr="003E6CF5">
              <w:rPr>
                <w:rFonts w:hint="eastAsia"/>
                <w:color w:val="000000"/>
                <w:sz w:val="16"/>
                <w:szCs w:val="16"/>
                <w:rtl/>
                <w:lang w:eastAsia="he-IL"/>
              </w:rPr>
              <w:t>האשראי</w:t>
            </w:r>
            <w:r w:rsidRPr="003E6CF5">
              <w:rPr>
                <w:color w:val="000000"/>
                <w:sz w:val="16"/>
                <w:szCs w:val="16"/>
                <w:rtl/>
                <w:lang w:eastAsia="he-IL"/>
              </w:rPr>
              <w:t xml:space="preserve"> </w:t>
            </w:r>
            <w:r w:rsidRPr="003E6CF5">
              <w:rPr>
                <w:rFonts w:hint="eastAsia"/>
                <w:color w:val="000000"/>
                <w:sz w:val="16"/>
                <w:szCs w:val="16"/>
                <w:rtl/>
                <w:lang w:eastAsia="he-IL"/>
              </w:rPr>
              <w:t>לציבור</w:t>
            </w:r>
            <w:r w:rsidRPr="003E6CF5">
              <w:rPr>
                <w:color w:val="000000"/>
                <w:sz w:val="16"/>
                <w:szCs w:val="16"/>
                <w:rtl/>
                <w:lang w:eastAsia="he-IL"/>
              </w:rPr>
              <w:t xml:space="preserve"> </w:t>
            </w:r>
            <w:r w:rsidRPr="003E6CF5">
              <w:rPr>
                <w:rFonts w:hint="eastAsia"/>
                <w:color w:val="000000"/>
                <w:sz w:val="16"/>
                <w:szCs w:val="16"/>
                <w:rtl/>
                <w:lang w:eastAsia="he-IL"/>
              </w:rPr>
              <w:t>לסוף</w:t>
            </w:r>
            <w:r w:rsidRPr="003E6CF5">
              <w:rPr>
                <w:color w:val="000000"/>
                <w:sz w:val="16"/>
                <w:szCs w:val="16"/>
                <w:rtl/>
                <w:lang w:eastAsia="he-IL"/>
              </w:rPr>
              <w:t xml:space="preserve"> </w:t>
            </w:r>
            <w:r w:rsidRPr="003E6CF5">
              <w:rPr>
                <w:rFonts w:hint="eastAsia"/>
                <w:color w:val="000000"/>
                <w:sz w:val="16"/>
                <w:szCs w:val="16"/>
                <w:rtl/>
                <w:lang w:eastAsia="he-IL"/>
              </w:rPr>
              <w:t>תקופת</w:t>
            </w:r>
            <w:r w:rsidRPr="003E6CF5">
              <w:rPr>
                <w:color w:val="000000"/>
                <w:sz w:val="16"/>
                <w:szCs w:val="16"/>
                <w:rtl/>
                <w:lang w:eastAsia="he-IL"/>
              </w:rPr>
              <w:t xml:space="preserve"> </w:t>
            </w:r>
            <w:r w:rsidRPr="003E6CF5">
              <w:rPr>
                <w:rFonts w:hint="eastAsia"/>
                <w:color w:val="000000"/>
                <w:sz w:val="16"/>
                <w:szCs w:val="16"/>
                <w:rtl/>
                <w:lang w:eastAsia="he-IL"/>
              </w:rPr>
              <w:t>הדיווח</w:t>
            </w:r>
          </w:p>
        </w:tc>
        <w:tc>
          <w:tcPr>
            <w:tcW w:w="264" w:type="pct"/>
            <w:vAlign w:val="bottom"/>
          </w:tcPr>
          <w:p w14:paraId="48468CB5"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4" w:type="pct"/>
            <w:vAlign w:val="bottom"/>
          </w:tcPr>
          <w:p w14:paraId="5590CC9A"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7" w:type="pct"/>
            <w:vAlign w:val="bottom"/>
          </w:tcPr>
          <w:p w14:paraId="2F060969"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8" w:type="pct"/>
            <w:vAlign w:val="bottom"/>
          </w:tcPr>
          <w:p w14:paraId="15A3D657"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17" w:type="pct"/>
            <w:vAlign w:val="bottom"/>
          </w:tcPr>
          <w:p w14:paraId="49628F3D"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7" w:type="pct"/>
            <w:vAlign w:val="bottom"/>
          </w:tcPr>
          <w:p w14:paraId="651DE383"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4" w:type="pct"/>
            <w:vAlign w:val="bottom"/>
          </w:tcPr>
          <w:p w14:paraId="46ADF5F3"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45" w:type="pct"/>
            <w:gridSpan w:val="2"/>
            <w:vAlign w:val="bottom"/>
          </w:tcPr>
          <w:p w14:paraId="1AC1518F"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64" w:type="pct"/>
            <w:vAlign w:val="bottom"/>
          </w:tcPr>
          <w:p w14:paraId="05628C1B"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w:t>
            </w:r>
          </w:p>
        </w:tc>
        <w:tc>
          <w:tcPr>
            <w:tcW w:w="230" w:type="pct"/>
            <w:vAlign w:val="bottom"/>
          </w:tcPr>
          <w:p w14:paraId="30A5A148"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83" w:type="pct"/>
            <w:vAlign w:val="bottom"/>
          </w:tcPr>
          <w:p w14:paraId="5D2906D8"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56" w:type="pct"/>
            <w:vAlign w:val="bottom"/>
          </w:tcPr>
          <w:p w14:paraId="09F87572"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21" w:type="pct"/>
            <w:vAlign w:val="bottom"/>
          </w:tcPr>
          <w:p w14:paraId="1BBE5C40" w14:textId="77777777" w:rsidR="000E53E1" w:rsidRPr="00427850" w:rsidRDefault="000E53E1" w:rsidP="000E53E1">
            <w:pPr>
              <w:spacing w:line="241" w:lineRule="auto"/>
              <w:ind w:left="85" w:right="85"/>
              <w:jc w:val="left"/>
              <w:rPr>
                <w:color w:val="000000"/>
                <w:sz w:val="16"/>
                <w:szCs w:val="16"/>
                <w:rtl/>
                <w:lang w:eastAsia="he-IL"/>
              </w:rPr>
            </w:pPr>
            <w:r w:rsidRPr="00427850">
              <w:rPr>
                <w:rFonts w:hint="cs"/>
                <w:color w:val="000000"/>
                <w:sz w:val="16"/>
                <w:szCs w:val="16"/>
                <w:rtl/>
                <w:lang w:eastAsia="he-IL"/>
              </w:rPr>
              <w:t>0</w:t>
            </w:r>
          </w:p>
        </w:tc>
      </w:tr>
      <w:tr w:rsidR="000E53E1" w14:paraId="44658460" w14:textId="77777777" w:rsidTr="000E53E1">
        <w:tc>
          <w:tcPr>
            <w:tcW w:w="950" w:type="pct"/>
            <w:vAlign w:val="bottom"/>
          </w:tcPr>
          <w:p w14:paraId="39493C1A" w14:textId="77777777" w:rsidR="000E53E1" w:rsidRPr="003E6CF5" w:rsidRDefault="000E53E1" w:rsidP="000E53E1">
            <w:pPr>
              <w:spacing w:line="241" w:lineRule="auto"/>
              <w:ind w:left="172" w:hanging="171"/>
              <w:jc w:val="left"/>
              <w:rPr>
                <w:color w:val="000000"/>
                <w:sz w:val="16"/>
                <w:szCs w:val="16"/>
                <w:rtl/>
                <w:lang w:eastAsia="he-IL"/>
              </w:rPr>
            </w:pPr>
            <w:r w:rsidRPr="003E6CF5">
              <w:rPr>
                <w:color w:val="000000"/>
                <w:sz w:val="16"/>
                <w:szCs w:val="16"/>
                <w:rtl/>
                <w:lang w:eastAsia="he-IL"/>
              </w:rPr>
              <w:t>יתרת חובות לא צוברים</w:t>
            </w:r>
          </w:p>
        </w:tc>
        <w:tc>
          <w:tcPr>
            <w:tcW w:w="264" w:type="pct"/>
            <w:vAlign w:val="bottom"/>
          </w:tcPr>
          <w:p w14:paraId="49938EE1"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4" w:type="pct"/>
            <w:vAlign w:val="bottom"/>
          </w:tcPr>
          <w:p w14:paraId="3CDD3AFC"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7" w:type="pct"/>
            <w:vAlign w:val="bottom"/>
          </w:tcPr>
          <w:p w14:paraId="0E2CA8F2"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8" w:type="pct"/>
            <w:vAlign w:val="bottom"/>
          </w:tcPr>
          <w:p w14:paraId="625A05C2"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17" w:type="pct"/>
            <w:vAlign w:val="bottom"/>
          </w:tcPr>
          <w:p w14:paraId="329BC602"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7" w:type="pct"/>
            <w:vAlign w:val="bottom"/>
          </w:tcPr>
          <w:p w14:paraId="1D080F19"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4" w:type="pct"/>
            <w:vAlign w:val="bottom"/>
          </w:tcPr>
          <w:p w14:paraId="5937F9CA"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45" w:type="pct"/>
            <w:gridSpan w:val="2"/>
            <w:vAlign w:val="bottom"/>
          </w:tcPr>
          <w:p w14:paraId="53768DB4"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64" w:type="pct"/>
            <w:vAlign w:val="bottom"/>
          </w:tcPr>
          <w:p w14:paraId="06270BA2" w14:textId="404C05E6" w:rsidR="000E53E1" w:rsidRPr="00427850" w:rsidRDefault="00F75C06" w:rsidP="000E53E1">
            <w:pPr>
              <w:spacing w:line="241" w:lineRule="auto"/>
              <w:ind w:left="85" w:right="85"/>
              <w:jc w:val="left"/>
              <w:rPr>
                <w:color w:val="000000"/>
                <w:sz w:val="16"/>
                <w:szCs w:val="16"/>
                <w:rtl/>
                <w:lang w:eastAsia="he-IL"/>
              </w:rPr>
            </w:pPr>
            <w:r>
              <w:rPr>
                <w:rFonts w:hint="cs"/>
                <w:color w:val="000000"/>
                <w:sz w:val="16"/>
                <w:szCs w:val="16"/>
                <w:rtl/>
                <w:lang w:eastAsia="he-IL"/>
              </w:rPr>
              <w:t>0</w:t>
            </w:r>
          </w:p>
        </w:tc>
        <w:tc>
          <w:tcPr>
            <w:tcW w:w="230" w:type="pct"/>
            <w:vAlign w:val="bottom"/>
          </w:tcPr>
          <w:p w14:paraId="22F60624"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83" w:type="pct"/>
            <w:vAlign w:val="bottom"/>
          </w:tcPr>
          <w:p w14:paraId="53566712"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56" w:type="pct"/>
            <w:vAlign w:val="bottom"/>
          </w:tcPr>
          <w:p w14:paraId="34BD0F22"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21" w:type="pct"/>
            <w:vAlign w:val="bottom"/>
          </w:tcPr>
          <w:p w14:paraId="53FA4CEA" w14:textId="77777777" w:rsidR="000E53E1" w:rsidRPr="00427850" w:rsidRDefault="000E53E1" w:rsidP="000E53E1">
            <w:pPr>
              <w:spacing w:line="241" w:lineRule="auto"/>
              <w:ind w:left="85" w:right="85"/>
              <w:jc w:val="left"/>
              <w:rPr>
                <w:color w:val="000000"/>
                <w:sz w:val="16"/>
                <w:szCs w:val="16"/>
                <w:rtl/>
                <w:lang w:eastAsia="he-IL"/>
              </w:rPr>
            </w:pPr>
            <w:r w:rsidRPr="00427850">
              <w:rPr>
                <w:rFonts w:hint="cs"/>
                <w:color w:val="000000"/>
                <w:sz w:val="16"/>
                <w:szCs w:val="16"/>
                <w:rtl/>
                <w:lang w:eastAsia="he-IL"/>
              </w:rPr>
              <w:t>0</w:t>
            </w:r>
          </w:p>
        </w:tc>
      </w:tr>
      <w:tr w:rsidR="000E53E1" w14:paraId="0996E0C2" w14:textId="77777777" w:rsidTr="000E53E1">
        <w:tc>
          <w:tcPr>
            <w:tcW w:w="950" w:type="pct"/>
            <w:tcBorders>
              <w:bottom w:val="single" w:sz="8" w:space="0" w:color="auto"/>
            </w:tcBorders>
            <w:vAlign w:val="bottom"/>
          </w:tcPr>
          <w:p w14:paraId="059428C7" w14:textId="77777777" w:rsidR="000E53E1" w:rsidRPr="003E6CF5" w:rsidRDefault="000E53E1" w:rsidP="000E53E1">
            <w:pPr>
              <w:spacing w:line="241" w:lineRule="auto"/>
              <w:ind w:left="172" w:hanging="171"/>
              <w:jc w:val="left"/>
              <w:rPr>
                <w:color w:val="000000"/>
                <w:sz w:val="16"/>
                <w:szCs w:val="16"/>
                <w:rtl/>
                <w:lang w:eastAsia="he-IL"/>
              </w:rPr>
            </w:pPr>
            <w:r w:rsidRPr="003E6CF5">
              <w:rPr>
                <w:rFonts w:hint="eastAsia"/>
                <w:color w:val="000000"/>
                <w:sz w:val="16"/>
                <w:szCs w:val="16"/>
                <w:rtl/>
                <w:lang w:eastAsia="he-IL"/>
              </w:rPr>
              <w:t>יתרת</w:t>
            </w:r>
            <w:r w:rsidRPr="003E6CF5">
              <w:rPr>
                <w:color w:val="000000"/>
                <w:sz w:val="16"/>
                <w:szCs w:val="16"/>
                <w:rtl/>
                <w:lang w:eastAsia="he-IL"/>
              </w:rPr>
              <w:t xml:space="preserve"> </w:t>
            </w:r>
            <w:r w:rsidRPr="003E6CF5">
              <w:rPr>
                <w:rFonts w:hint="eastAsia"/>
                <w:color w:val="000000"/>
                <w:sz w:val="16"/>
                <w:szCs w:val="16"/>
                <w:rtl/>
                <w:lang w:eastAsia="he-IL"/>
              </w:rPr>
              <w:t>חובות</w:t>
            </w:r>
            <w:r w:rsidRPr="003E6CF5">
              <w:rPr>
                <w:color w:val="000000"/>
                <w:sz w:val="16"/>
                <w:szCs w:val="16"/>
                <w:rtl/>
                <w:lang w:eastAsia="he-IL"/>
              </w:rPr>
              <w:t xml:space="preserve"> </w:t>
            </w:r>
            <w:r w:rsidRPr="003E6CF5">
              <w:rPr>
                <w:rFonts w:hint="eastAsia"/>
                <w:color w:val="000000"/>
                <w:sz w:val="16"/>
                <w:szCs w:val="16"/>
                <w:rtl/>
                <w:lang w:eastAsia="he-IL"/>
              </w:rPr>
              <w:t>בפיגור</w:t>
            </w:r>
            <w:r w:rsidRPr="003E6CF5">
              <w:rPr>
                <w:color w:val="000000"/>
                <w:sz w:val="16"/>
                <w:szCs w:val="16"/>
                <w:rtl/>
                <w:lang w:eastAsia="he-IL"/>
              </w:rPr>
              <w:t xml:space="preserve"> </w:t>
            </w:r>
            <w:r w:rsidRPr="003E6CF5">
              <w:rPr>
                <w:rFonts w:hint="eastAsia"/>
                <w:color w:val="000000"/>
                <w:sz w:val="16"/>
                <w:szCs w:val="16"/>
                <w:rtl/>
                <w:lang w:eastAsia="he-IL"/>
              </w:rPr>
              <w:t>מעל</w:t>
            </w:r>
            <w:r w:rsidRPr="003E6CF5">
              <w:rPr>
                <w:color w:val="000000"/>
                <w:sz w:val="16"/>
                <w:szCs w:val="16"/>
                <w:rtl/>
                <w:lang w:eastAsia="he-IL"/>
              </w:rPr>
              <w:t xml:space="preserve"> 90 </w:t>
            </w:r>
            <w:r w:rsidRPr="003E6CF5">
              <w:rPr>
                <w:rFonts w:hint="eastAsia"/>
                <w:color w:val="000000"/>
                <w:sz w:val="16"/>
                <w:szCs w:val="16"/>
                <w:rtl/>
                <w:lang w:eastAsia="he-IL"/>
              </w:rPr>
              <w:t>יום</w:t>
            </w:r>
          </w:p>
        </w:tc>
        <w:tc>
          <w:tcPr>
            <w:tcW w:w="264" w:type="pct"/>
            <w:tcBorders>
              <w:bottom w:val="single" w:sz="8" w:space="0" w:color="auto"/>
            </w:tcBorders>
            <w:vAlign w:val="bottom"/>
          </w:tcPr>
          <w:p w14:paraId="1FECFBDD"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4" w:type="pct"/>
            <w:tcBorders>
              <w:bottom w:val="single" w:sz="8" w:space="0" w:color="auto"/>
            </w:tcBorders>
            <w:vAlign w:val="bottom"/>
          </w:tcPr>
          <w:p w14:paraId="61870F25"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7" w:type="pct"/>
            <w:tcBorders>
              <w:bottom w:val="single" w:sz="8" w:space="0" w:color="auto"/>
            </w:tcBorders>
            <w:vAlign w:val="bottom"/>
          </w:tcPr>
          <w:p w14:paraId="155CF1AF"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8" w:type="pct"/>
            <w:tcBorders>
              <w:bottom w:val="single" w:sz="8" w:space="0" w:color="auto"/>
            </w:tcBorders>
            <w:vAlign w:val="bottom"/>
          </w:tcPr>
          <w:p w14:paraId="29B087FD"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17" w:type="pct"/>
            <w:tcBorders>
              <w:bottom w:val="single" w:sz="8" w:space="0" w:color="auto"/>
            </w:tcBorders>
            <w:vAlign w:val="bottom"/>
          </w:tcPr>
          <w:p w14:paraId="745DBE56"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7" w:type="pct"/>
            <w:tcBorders>
              <w:bottom w:val="single" w:sz="8" w:space="0" w:color="auto"/>
            </w:tcBorders>
            <w:vAlign w:val="bottom"/>
          </w:tcPr>
          <w:p w14:paraId="4B5BE9BE"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4" w:type="pct"/>
            <w:tcBorders>
              <w:bottom w:val="single" w:sz="8" w:space="0" w:color="auto"/>
            </w:tcBorders>
            <w:vAlign w:val="bottom"/>
          </w:tcPr>
          <w:p w14:paraId="20230BA5"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45" w:type="pct"/>
            <w:gridSpan w:val="2"/>
            <w:tcBorders>
              <w:bottom w:val="single" w:sz="8" w:space="0" w:color="auto"/>
            </w:tcBorders>
            <w:vAlign w:val="bottom"/>
          </w:tcPr>
          <w:p w14:paraId="7B8288D0"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64" w:type="pct"/>
            <w:tcBorders>
              <w:bottom w:val="single" w:sz="8" w:space="0" w:color="auto"/>
            </w:tcBorders>
            <w:vAlign w:val="bottom"/>
          </w:tcPr>
          <w:p w14:paraId="59C78587" w14:textId="0ADBC657" w:rsidR="000E53E1" w:rsidRPr="00427850" w:rsidRDefault="00F75C06" w:rsidP="000E53E1">
            <w:pPr>
              <w:spacing w:line="241" w:lineRule="auto"/>
              <w:ind w:left="85" w:right="85"/>
              <w:jc w:val="left"/>
              <w:rPr>
                <w:color w:val="000000"/>
                <w:sz w:val="16"/>
                <w:szCs w:val="16"/>
                <w:rtl/>
                <w:lang w:eastAsia="he-IL"/>
              </w:rPr>
            </w:pPr>
            <w:r>
              <w:rPr>
                <w:rFonts w:hint="cs"/>
                <w:color w:val="000000"/>
                <w:sz w:val="16"/>
                <w:szCs w:val="16"/>
                <w:rtl/>
                <w:lang w:eastAsia="he-IL"/>
              </w:rPr>
              <w:t>0</w:t>
            </w:r>
          </w:p>
        </w:tc>
        <w:tc>
          <w:tcPr>
            <w:tcW w:w="230" w:type="pct"/>
            <w:tcBorders>
              <w:bottom w:val="single" w:sz="8" w:space="0" w:color="auto"/>
            </w:tcBorders>
            <w:vAlign w:val="bottom"/>
          </w:tcPr>
          <w:p w14:paraId="565A7085"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83" w:type="pct"/>
            <w:tcBorders>
              <w:bottom w:val="single" w:sz="8" w:space="0" w:color="auto"/>
            </w:tcBorders>
            <w:vAlign w:val="bottom"/>
          </w:tcPr>
          <w:p w14:paraId="669B8E68"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56" w:type="pct"/>
            <w:tcBorders>
              <w:bottom w:val="single" w:sz="8" w:space="0" w:color="auto"/>
            </w:tcBorders>
            <w:vAlign w:val="bottom"/>
          </w:tcPr>
          <w:p w14:paraId="78B321CA" w14:textId="77777777" w:rsidR="000E53E1" w:rsidRPr="00427850" w:rsidRDefault="000E53E1" w:rsidP="000E53E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21" w:type="pct"/>
            <w:tcBorders>
              <w:bottom w:val="single" w:sz="8" w:space="0" w:color="auto"/>
            </w:tcBorders>
            <w:vAlign w:val="bottom"/>
          </w:tcPr>
          <w:p w14:paraId="0B2445D0" w14:textId="77777777" w:rsidR="000E53E1" w:rsidRPr="00427850" w:rsidRDefault="000E53E1" w:rsidP="000E53E1">
            <w:pPr>
              <w:spacing w:line="241" w:lineRule="auto"/>
              <w:ind w:left="85" w:right="85"/>
              <w:jc w:val="left"/>
              <w:rPr>
                <w:color w:val="000000"/>
                <w:sz w:val="16"/>
                <w:szCs w:val="16"/>
                <w:rtl/>
                <w:lang w:eastAsia="he-IL"/>
              </w:rPr>
            </w:pPr>
            <w:r w:rsidRPr="00427850">
              <w:rPr>
                <w:rFonts w:hint="cs"/>
                <w:color w:val="000000"/>
                <w:sz w:val="16"/>
                <w:szCs w:val="16"/>
                <w:rtl/>
                <w:lang w:eastAsia="he-IL"/>
              </w:rPr>
              <w:t>0</w:t>
            </w:r>
          </w:p>
        </w:tc>
      </w:tr>
      <w:tr w:rsidR="000E53E1" w14:paraId="535B4CFD" w14:textId="77777777" w:rsidTr="000E53E1">
        <w:tc>
          <w:tcPr>
            <w:tcW w:w="950" w:type="pct"/>
            <w:vAlign w:val="bottom"/>
          </w:tcPr>
          <w:p w14:paraId="7C391BAF" w14:textId="77777777" w:rsidR="000E53E1" w:rsidRPr="003E6CF5" w:rsidRDefault="000E53E1" w:rsidP="000E53E1">
            <w:pPr>
              <w:spacing w:before="120"/>
              <w:ind w:left="170" w:hanging="170"/>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יתרה ממוצעת של התחייבויות</w:t>
            </w:r>
            <w:r w:rsidRPr="003E6CF5">
              <w:rPr>
                <w:rFonts w:asciiTheme="minorBidi" w:hAnsiTheme="minorBidi" w:cstheme="minorBidi"/>
                <w:color w:val="000000"/>
                <w:sz w:val="16"/>
                <w:szCs w:val="16"/>
                <w:vertAlign w:val="superscript"/>
                <w:rtl/>
                <w:lang w:eastAsia="he-IL"/>
              </w:rPr>
              <w:t>(א)</w:t>
            </w:r>
          </w:p>
        </w:tc>
        <w:tc>
          <w:tcPr>
            <w:tcW w:w="264" w:type="pct"/>
            <w:vAlign w:val="bottom"/>
          </w:tcPr>
          <w:p w14:paraId="35E80508"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vAlign w:val="bottom"/>
          </w:tcPr>
          <w:p w14:paraId="2115D282"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vAlign w:val="bottom"/>
          </w:tcPr>
          <w:p w14:paraId="5D398D75"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vAlign w:val="bottom"/>
          </w:tcPr>
          <w:p w14:paraId="03F49F3E"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vAlign w:val="bottom"/>
          </w:tcPr>
          <w:p w14:paraId="5A8DC9EA"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vAlign w:val="bottom"/>
          </w:tcPr>
          <w:p w14:paraId="0C87FF49"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vAlign w:val="bottom"/>
          </w:tcPr>
          <w:p w14:paraId="58594EDD"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vAlign w:val="bottom"/>
          </w:tcPr>
          <w:p w14:paraId="753348BA"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vAlign w:val="bottom"/>
          </w:tcPr>
          <w:p w14:paraId="4B79FC9C"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vAlign w:val="bottom"/>
          </w:tcPr>
          <w:p w14:paraId="21DCBC06"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vAlign w:val="bottom"/>
          </w:tcPr>
          <w:p w14:paraId="2C25F35E"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vAlign w:val="bottom"/>
          </w:tcPr>
          <w:p w14:paraId="46F63809"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vAlign w:val="bottom"/>
          </w:tcPr>
          <w:p w14:paraId="6ED097C5"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0E53E1" w14:paraId="073027E8" w14:textId="77777777" w:rsidTr="000E53E1">
        <w:tc>
          <w:tcPr>
            <w:tcW w:w="950" w:type="pct"/>
            <w:vAlign w:val="bottom"/>
          </w:tcPr>
          <w:p w14:paraId="70A55974" w14:textId="77777777" w:rsidR="000E53E1" w:rsidRPr="003E6CF5" w:rsidRDefault="000E53E1" w:rsidP="000E53E1">
            <w:pPr>
              <w:spacing w:line="241" w:lineRule="auto"/>
              <w:ind w:left="394" w:hanging="394"/>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מזה: יתרה ממוצעת של פיקדונות הציבור</w:t>
            </w:r>
            <w:r w:rsidRPr="003E6CF5">
              <w:rPr>
                <w:rFonts w:asciiTheme="minorBidi" w:hAnsiTheme="minorBidi" w:cstheme="minorBidi"/>
                <w:color w:val="000000"/>
                <w:sz w:val="16"/>
                <w:szCs w:val="16"/>
                <w:vertAlign w:val="superscript"/>
                <w:rtl/>
                <w:lang w:eastAsia="he-IL"/>
              </w:rPr>
              <w:t>(א)</w:t>
            </w:r>
          </w:p>
        </w:tc>
        <w:tc>
          <w:tcPr>
            <w:tcW w:w="264" w:type="pct"/>
            <w:vAlign w:val="bottom"/>
          </w:tcPr>
          <w:p w14:paraId="1265A54A"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vAlign w:val="bottom"/>
          </w:tcPr>
          <w:p w14:paraId="6082BBF5"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vAlign w:val="bottom"/>
          </w:tcPr>
          <w:p w14:paraId="12718910"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vAlign w:val="bottom"/>
          </w:tcPr>
          <w:p w14:paraId="28A3E33C"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vAlign w:val="bottom"/>
          </w:tcPr>
          <w:p w14:paraId="32514605"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vAlign w:val="bottom"/>
          </w:tcPr>
          <w:p w14:paraId="72F803C2"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vAlign w:val="bottom"/>
          </w:tcPr>
          <w:p w14:paraId="2FB5106E"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vAlign w:val="bottom"/>
          </w:tcPr>
          <w:p w14:paraId="5044159D"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vAlign w:val="bottom"/>
          </w:tcPr>
          <w:p w14:paraId="5EFE1714"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vAlign w:val="bottom"/>
          </w:tcPr>
          <w:p w14:paraId="54C83B72"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vAlign w:val="bottom"/>
          </w:tcPr>
          <w:p w14:paraId="209D74CF"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vAlign w:val="bottom"/>
          </w:tcPr>
          <w:p w14:paraId="5396EE5B"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vAlign w:val="bottom"/>
          </w:tcPr>
          <w:p w14:paraId="60430BFF"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0E53E1" w14:paraId="542B75B4" w14:textId="77777777" w:rsidTr="000E53E1">
        <w:tc>
          <w:tcPr>
            <w:tcW w:w="950" w:type="pct"/>
            <w:vAlign w:val="bottom"/>
          </w:tcPr>
          <w:p w14:paraId="5D77A2D5" w14:textId="77777777" w:rsidR="000E53E1" w:rsidRPr="00471EB3" w:rsidRDefault="000E53E1" w:rsidP="000E53E1">
            <w:pPr>
              <w:spacing w:line="241" w:lineRule="auto"/>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יתרת פיקדונות הציבור לסוף תקופת הדיווח</w:t>
            </w:r>
          </w:p>
        </w:tc>
        <w:tc>
          <w:tcPr>
            <w:tcW w:w="264" w:type="pct"/>
            <w:vAlign w:val="bottom"/>
          </w:tcPr>
          <w:p w14:paraId="51AE9E05"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vAlign w:val="bottom"/>
          </w:tcPr>
          <w:p w14:paraId="32F0FB16"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vAlign w:val="bottom"/>
          </w:tcPr>
          <w:p w14:paraId="61DD4997"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vAlign w:val="bottom"/>
          </w:tcPr>
          <w:p w14:paraId="015D1474"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vAlign w:val="bottom"/>
          </w:tcPr>
          <w:p w14:paraId="6AE65D83"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vAlign w:val="bottom"/>
          </w:tcPr>
          <w:p w14:paraId="229E4D59"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vAlign w:val="bottom"/>
          </w:tcPr>
          <w:p w14:paraId="2E0A1DC9"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vAlign w:val="bottom"/>
          </w:tcPr>
          <w:p w14:paraId="55256250"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vAlign w:val="bottom"/>
          </w:tcPr>
          <w:p w14:paraId="16397D0B"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vAlign w:val="bottom"/>
          </w:tcPr>
          <w:p w14:paraId="367ECAA4"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vAlign w:val="bottom"/>
          </w:tcPr>
          <w:p w14:paraId="3930BF88"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vAlign w:val="bottom"/>
          </w:tcPr>
          <w:p w14:paraId="1E30A8F6"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vAlign w:val="bottom"/>
          </w:tcPr>
          <w:p w14:paraId="4BCEB611"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0E53E1" w14:paraId="71F0891E" w14:textId="77777777" w:rsidTr="000E53E1">
        <w:tc>
          <w:tcPr>
            <w:tcW w:w="950" w:type="pct"/>
            <w:vAlign w:val="bottom"/>
          </w:tcPr>
          <w:p w14:paraId="224F57D4" w14:textId="77777777" w:rsidR="000E53E1" w:rsidRPr="003E6CF5" w:rsidRDefault="000E53E1" w:rsidP="000E53E1">
            <w:pPr>
              <w:spacing w:line="241" w:lineRule="auto"/>
              <w:ind w:left="172" w:hanging="171"/>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יתרה ממוצעת של נכסי סיכון</w:t>
            </w:r>
            <w:r w:rsidRPr="003E6CF5">
              <w:rPr>
                <w:rFonts w:asciiTheme="minorBidi" w:hAnsiTheme="minorBidi" w:cstheme="minorBidi"/>
                <w:color w:val="000000"/>
                <w:sz w:val="16"/>
                <w:szCs w:val="16"/>
                <w:vertAlign w:val="superscript"/>
                <w:rtl/>
                <w:lang w:eastAsia="he-IL"/>
              </w:rPr>
              <w:t>(א),(ב)</w:t>
            </w:r>
          </w:p>
        </w:tc>
        <w:tc>
          <w:tcPr>
            <w:tcW w:w="264" w:type="pct"/>
            <w:vAlign w:val="bottom"/>
          </w:tcPr>
          <w:p w14:paraId="58E926E6"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vAlign w:val="bottom"/>
          </w:tcPr>
          <w:p w14:paraId="038618F4"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vAlign w:val="bottom"/>
          </w:tcPr>
          <w:p w14:paraId="4A78027C"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vAlign w:val="bottom"/>
          </w:tcPr>
          <w:p w14:paraId="79043193"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vAlign w:val="bottom"/>
          </w:tcPr>
          <w:p w14:paraId="30EECF23"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vAlign w:val="bottom"/>
          </w:tcPr>
          <w:p w14:paraId="548D3992"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vAlign w:val="bottom"/>
          </w:tcPr>
          <w:p w14:paraId="48E6774C"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vAlign w:val="bottom"/>
          </w:tcPr>
          <w:p w14:paraId="4C7B6F9B"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vAlign w:val="bottom"/>
          </w:tcPr>
          <w:p w14:paraId="367574B6"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vAlign w:val="bottom"/>
          </w:tcPr>
          <w:p w14:paraId="530B3711"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vAlign w:val="bottom"/>
          </w:tcPr>
          <w:p w14:paraId="704C75EB"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vAlign w:val="bottom"/>
          </w:tcPr>
          <w:p w14:paraId="4054A40B"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vAlign w:val="bottom"/>
          </w:tcPr>
          <w:p w14:paraId="0A261497"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0E53E1" w14:paraId="6DE19A1E" w14:textId="77777777" w:rsidTr="000E53E1">
        <w:tc>
          <w:tcPr>
            <w:tcW w:w="950" w:type="pct"/>
            <w:vAlign w:val="bottom"/>
          </w:tcPr>
          <w:p w14:paraId="33C940CE" w14:textId="77777777" w:rsidR="000E53E1" w:rsidRPr="003E6CF5" w:rsidRDefault="000E53E1" w:rsidP="000E53E1">
            <w:pPr>
              <w:spacing w:line="241" w:lineRule="auto"/>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יתרת נכסי סיכון לסוף תקופת הדיווח</w:t>
            </w:r>
            <w:r w:rsidRPr="003E6CF5">
              <w:rPr>
                <w:rFonts w:asciiTheme="minorBidi" w:hAnsiTheme="minorBidi" w:cstheme="minorBidi"/>
                <w:color w:val="000000"/>
                <w:sz w:val="16"/>
                <w:szCs w:val="16"/>
                <w:vertAlign w:val="superscript"/>
                <w:rtl/>
                <w:lang w:eastAsia="he-IL"/>
              </w:rPr>
              <w:t>(ב)</w:t>
            </w:r>
          </w:p>
        </w:tc>
        <w:tc>
          <w:tcPr>
            <w:tcW w:w="264" w:type="pct"/>
            <w:vAlign w:val="bottom"/>
          </w:tcPr>
          <w:p w14:paraId="4AC7F0E2"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vAlign w:val="bottom"/>
          </w:tcPr>
          <w:p w14:paraId="7370E3F7"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vAlign w:val="bottom"/>
          </w:tcPr>
          <w:p w14:paraId="4CE68114"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vAlign w:val="bottom"/>
          </w:tcPr>
          <w:p w14:paraId="41F2A9F7"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vAlign w:val="bottom"/>
          </w:tcPr>
          <w:p w14:paraId="156F506F"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vAlign w:val="bottom"/>
          </w:tcPr>
          <w:p w14:paraId="6A6D74C9"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vAlign w:val="bottom"/>
          </w:tcPr>
          <w:p w14:paraId="04262149"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vAlign w:val="bottom"/>
          </w:tcPr>
          <w:p w14:paraId="45D78DF7"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vAlign w:val="bottom"/>
          </w:tcPr>
          <w:p w14:paraId="796E0927"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vAlign w:val="bottom"/>
          </w:tcPr>
          <w:p w14:paraId="0D6227DD"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vAlign w:val="bottom"/>
          </w:tcPr>
          <w:p w14:paraId="09A00528"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vAlign w:val="bottom"/>
          </w:tcPr>
          <w:p w14:paraId="5AF28807"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vAlign w:val="bottom"/>
          </w:tcPr>
          <w:p w14:paraId="25594CBC"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0E53E1" w14:paraId="747C0470" w14:textId="77777777" w:rsidTr="000E53E1">
        <w:tc>
          <w:tcPr>
            <w:tcW w:w="950" w:type="pct"/>
            <w:tcBorders>
              <w:bottom w:val="single" w:sz="8" w:space="0" w:color="auto"/>
            </w:tcBorders>
            <w:vAlign w:val="bottom"/>
          </w:tcPr>
          <w:p w14:paraId="02E2583B" w14:textId="77777777" w:rsidR="000E53E1" w:rsidRPr="003E6CF5" w:rsidRDefault="000E53E1" w:rsidP="000E53E1">
            <w:pPr>
              <w:spacing w:line="241" w:lineRule="auto"/>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יתרה ממוצעת של נכסים בניהול</w:t>
            </w:r>
            <w:r w:rsidRPr="003E6CF5">
              <w:rPr>
                <w:rFonts w:asciiTheme="minorBidi" w:hAnsiTheme="minorBidi" w:cstheme="minorBidi"/>
                <w:color w:val="000000"/>
                <w:sz w:val="16"/>
                <w:szCs w:val="16"/>
                <w:vertAlign w:val="superscript"/>
                <w:rtl/>
                <w:lang w:eastAsia="he-IL"/>
              </w:rPr>
              <w:t>(א),(ג)</w:t>
            </w:r>
          </w:p>
        </w:tc>
        <w:tc>
          <w:tcPr>
            <w:tcW w:w="264" w:type="pct"/>
            <w:tcBorders>
              <w:bottom w:val="single" w:sz="8" w:space="0" w:color="auto"/>
            </w:tcBorders>
            <w:vAlign w:val="bottom"/>
          </w:tcPr>
          <w:p w14:paraId="405F6F21"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tcBorders>
              <w:bottom w:val="single" w:sz="8" w:space="0" w:color="auto"/>
            </w:tcBorders>
            <w:vAlign w:val="bottom"/>
          </w:tcPr>
          <w:p w14:paraId="28371876"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tcBorders>
              <w:bottom w:val="single" w:sz="8" w:space="0" w:color="auto"/>
            </w:tcBorders>
            <w:vAlign w:val="bottom"/>
          </w:tcPr>
          <w:p w14:paraId="64B23EAE"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tcBorders>
              <w:bottom w:val="single" w:sz="8" w:space="0" w:color="auto"/>
            </w:tcBorders>
            <w:vAlign w:val="bottom"/>
          </w:tcPr>
          <w:p w14:paraId="251B94EB"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tcBorders>
              <w:bottom w:val="single" w:sz="8" w:space="0" w:color="auto"/>
            </w:tcBorders>
            <w:vAlign w:val="bottom"/>
          </w:tcPr>
          <w:p w14:paraId="2E2CD0F1"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tcBorders>
              <w:bottom w:val="single" w:sz="8" w:space="0" w:color="auto"/>
            </w:tcBorders>
            <w:vAlign w:val="bottom"/>
          </w:tcPr>
          <w:p w14:paraId="085871AA"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tcBorders>
              <w:bottom w:val="single" w:sz="8" w:space="0" w:color="auto"/>
            </w:tcBorders>
            <w:vAlign w:val="bottom"/>
          </w:tcPr>
          <w:p w14:paraId="440D3E81"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tcBorders>
              <w:bottom w:val="single" w:sz="8" w:space="0" w:color="auto"/>
            </w:tcBorders>
            <w:vAlign w:val="bottom"/>
          </w:tcPr>
          <w:p w14:paraId="4B23BA19"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tcBorders>
              <w:bottom w:val="single" w:sz="8" w:space="0" w:color="auto"/>
            </w:tcBorders>
            <w:vAlign w:val="bottom"/>
          </w:tcPr>
          <w:p w14:paraId="34A725C1"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tcBorders>
              <w:bottom w:val="single" w:sz="8" w:space="0" w:color="auto"/>
            </w:tcBorders>
            <w:vAlign w:val="bottom"/>
          </w:tcPr>
          <w:p w14:paraId="0B601A55"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tcBorders>
              <w:bottom w:val="single" w:sz="8" w:space="0" w:color="auto"/>
            </w:tcBorders>
            <w:vAlign w:val="bottom"/>
          </w:tcPr>
          <w:p w14:paraId="00DEF1B8"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tcBorders>
              <w:bottom w:val="single" w:sz="8" w:space="0" w:color="auto"/>
            </w:tcBorders>
            <w:vAlign w:val="bottom"/>
          </w:tcPr>
          <w:p w14:paraId="03EBD439"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tcBorders>
              <w:bottom w:val="single" w:sz="8" w:space="0" w:color="auto"/>
            </w:tcBorders>
            <w:vAlign w:val="bottom"/>
          </w:tcPr>
          <w:p w14:paraId="093940EA"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0E53E1" w14:paraId="46EED569" w14:textId="77777777" w:rsidTr="000E53E1">
        <w:tc>
          <w:tcPr>
            <w:tcW w:w="950" w:type="pct"/>
            <w:vAlign w:val="bottom"/>
          </w:tcPr>
          <w:p w14:paraId="54C33CCC" w14:textId="77777777" w:rsidR="000E53E1" w:rsidRPr="003E6CF5" w:rsidRDefault="000E53E1" w:rsidP="000E53E1">
            <w:pPr>
              <w:spacing w:before="120"/>
              <w:ind w:left="170" w:hanging="170"/>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פיצול הכנסות ריבית, נטו:</w:t>
            </w:r>
          </w:p>
        </w:tc>
        <w:tc>
          <w:tcPr>
            <w:tcW w:w="264" w:type="pct"/>
            <w:vAlign w:val="bottom"/>
          </w:tcPr>
          <w:p w14:paraId="610030C1"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24" w:type="pct"/>
            <w:vAlign w:val="bottom"/>
          </w:tcPr>
          <w:p w14:paraId="5F5B435D"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297" w:type="pct"/>
            <w:vAlign w:val="bottom"/>
          </w:tcPr>
          <w:p w14:paraId="4B342C2A"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28" w:type="pct"/>
            <w:vAlign w:val="bottom"/>
          </w:tcPr>
          <w:p w14:paraId="2B8F17E2"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17" w:type="pct"/>
            <w:vAlign w:val="bottom"/>
          </w:tcPr>
          <w:p w14:paraId="2B93FDAA"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27" w:type="pct"/>
            <w:vAlign w:val="bottom"/>
          </w:tcPr>
          <w:p w14:paraId="67771DF3"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294" w:type="pct"/>
            <w:vAlign w:val="bottom"/>
          </w:tcPr>
          <w:p w14:paraId="5FC4E026"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45" w:type="pct"/>
            <w:gridSpan w:val="2"/>
            <w:vAlign w:val="bottom"/>
          </w:tcPr>
          <w:p w14:paraId="1ED7E8B9"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64" w:type="pct"/>
            <w:vAlign w:val="bottom"/>
          </w:tcPr>
          <w:p w14:paraId="5C07CFA8"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230" w:type="pct"/>
            <w:vAlign w:val="bottom"/>
          </w:tcPr>
          <w:p w14:paraId="32B640B1"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83" w:type="pct"/>
            <w:vAlign w:val="bottom"/>
          </w:tcPr>
          <w:p w14:paraId="14DC85EB"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356" w:type="pct"/>
            <w:vAlign w:val="bottom"/>
          </w:tcPr>
          <w:p w14:paraId="6B0A4403"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c>
          <w:tcPr>
            <w:tcW w:w="221" w:type="pct"/>
            <w:vAlign w:val="bottom"/>
          </w:tcPr>
          <w:p w14:paraId="03E01769" w14:textId="77777777" w:rsidR="000E53E1" w:rsidRPr="00427850" w:rsidRDefault="000E53E1" w:rsidP="000E53E1">
            <w:pPr>
              <w:spacing w:line="241" w:lineRule="auto"/>
              <w:ind w:left="85" w:right="85"/>
              <w:jc w:val="left"/>
              <w:rPr>
                <w:rFonts w:asciiTheme="minorBidi" w:hAnsiTheme="minorBidi" w:cstheme="minorBidi"/>
                <w:sz w:val="16"/>
                <w:szCs w:val="16"/>
                <w:rtl/>
              </w:rPr>
            </w:pPr>
          </w:p>
        </w:tc>
      </w:tr>
      <w:tr w:rsidR="000E53E1" w14:paraId="111CFA8B" w14:textId="77777777" w:rsidTr="000E53E1">
        <w:tc>
          <w:tcPr>
            <w:tcW w:w="950" w:type="pct"/>
            <w:vAlign w:val="bottom"/>
          </w:tcPr>
          <w:p w14:paraId="537DF4CF" w14:textId="77777777" w:rsidR="000E53E1" w:rsidRPr="003E6CF5" w:rsidRDefault="000E53E1" w:rsidP="000E53E1">
            <w:pPr>
              <w:spacing w:line="241" w:lineRule="auto"/>
              <w:ind w:left="172" w:hanging="171"/>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מרווח מפעילות מתן אשראי</w:t>
            </w:r>
          </w:p>
        </w:tc>
        <w:tc>
          <w:tcPr>
            <w:tcW w:w="264" w:type="pct"/>
            <w:vAlign w:val="bottom"/>
          </w:tcPr>
          <w:p w14:paraId="222596F9"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vAlign w:val="bottom"/>
          </w:tcPr>
          <w:p w14:paraId="171D85E8"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vAlign w:val="bottom"/>
          </w:tcPr>
          <w:p w14:paraId="62A6D8A4"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vAlign w:val="bottom"/>
          </w:tcPr>
          <w:p w14:paraId="35D1F0BB"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vAlign w:val="bottom"/>
          </w:tcPr>
          <w:p w14:paraId="520D1804"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vAlign w:val="bottom"/>
          </w:tcPr>
          <w:p w14:paraId="5B5F2260"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vAlign w:val="bottom"/>
          </w:tcPr>
          <w:p w14:paraId="6BB69D4E"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vAlign w:val="bottom"/>
          </w:tcPr>
          <w:p w14:paraId="57BDB0C5"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vAlign w:val="bottom"/>
          </w:tcPr>
          <w:p w14:paraId="23336416"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vAlign w:val="bottom"/>
          </w:tcPr>
          <w:p w14:paraId="059376C3"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vAlign w:val="bottom"/>
          </w:tcPr>
          <w:p w14:paraId="053FD75B"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vAlign w:val="bottom"/>
          </w:tcPr>
          <w:p w14:paraId="7D358097"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vAlign w:val="bottom"/>
          </w:tcPr>
          <w:p w14:paraId="08932C73"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0E53E1" w14:paraId="35145CAE" w14:textId="77777777" w:rsidTr="000E53E1">
        <w:tc>
          <w:tcPr>
            <w:tcW w:w="950" w:type="pct"/>
            <w:vAlign w:val="bottom"/>
          </w:tcPr>
          <w:p w14:paraId="1FC453E8" w14:textId="77777777" w:rsidR="000E53E1" w:rsidRPr="003E6CF5" w:rsidRDefault="000E53E1" w:rsidP="000E53E1">
            <w:pPr>
              <w:spacing w:line="241" w:lineRule="auto"/>
              <w:ind w:left="172" w:hanging="171"/>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מרווח מפעילות קבלת פיקדונות</w:t>
            </w:r>
          </w:p>
        </w:tc>
        <w:tc>
          <w:tcPr>
            <w:tcW w:w="264" w:type="pct"/>
            <w:vAlign w:val="bottom"/>
          </w:tcPr>
          <w:p w14:paraId="49D3A19B"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vAlign w:val="bottom"/>
          </w:tcPr>
          <w:p w14:paraId="56EB853C"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vAlign w:val="bottom"/>
          </w:tcPr>
          <w:p w14:paraId="2463250B"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vAlign w:val="bottom"/>
          </w:tcPr>
          <w:p w14:paraId="0A90CD19"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vAlign w:val="bottom"/>
          </w:tcPr>
          <w:p w14:paraId="7018F11A"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vAlign w:val="bottom"/>
          </w:tcPr>
          <w:p w14:paraId="07E6550E"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vAlign w:val="bottom"/>
          </w:tcPr>
          <w:p w14:paraId="2A59AF10"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vAlign w:val="bottom"/>
          </w:tcPr>
          <w:p w14:paraId="4D9DBC66"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vAlign w:val="bottom"/>
          </w:tcPr>
          <w:p w14:paraId="375168C0"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vAlign w:val="bottom"/>
          </w:tcPr>
          <w:p w14:paraId="492C6378"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vAlign w:val="bottom"/>
          </w:tcPr>
          <w:p w14:paraId="46F0C4A4"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vAlign w:val="bottom"/>
          </w:tcPr>
          <w:p w14:paraId="1DB49D73"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vAlign w:val="bottom"/>
          </w:tcPr>
          <w:p w14:paraId="3508FE66"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0E53E1" w14:paraId="225E9DE0" w14:textId="77777777" w:rsidTr="000E53E1">
        <w:tc>
          <w:tcPr>
            <w:tcW w:w="950" w:type="pct"/>
            <w:vAlign w:val="bottom"/>
          </w:tcPr>
          <w:p w14:paraId="69345FF1" w14:textId="77777777" w:rsidR="000E53E1" w:rsidRPr="003E6CF5" w:rsidRDefault="000E53E1" w:rsidP="000E53E1">
            <w:pPr>
              <w:spacing w:line="241" w:lineRule="auto"/>
              <w:ind w:left="172" w:hanging="171"/>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אחר</w:t>
            </w:r>
          </w:p>
        </w:tc>
        <w:tc>
          <w:tcPr>
            <w:tcW w:w="264" w:type="pct"/>
            <w:vAlign w:val="bottom"/>
          </w:tcPr>
          <w:p w14:paraId="19518D80"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vAlign w:val="bottom"/>
          </w:tcPr>
          <w:p w14:paraId="68AE1F05"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vAlign w:val="bottom"/>
          </w:tcPr>
          <w:p w14:paraId="7AE8F381"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vAlign w:val="bottom"/>
          </w:tcPr>
          <w:p w14:paraId="55D2A342"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vAlign w:val="bottom"/>
          </w:tcPr>
          <w:p w14:paraId="0CCDFD83"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vAlign w:val="bottom"/>
          </w:tcPr>
          <w:p w14:paraId="55833898"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vAlign w:val="bottom"/>
          </w:tcPr>
          <w:p w14:paraId="261F0D4A"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vAlign w:val="bottom"/>
          </w:tcPr>
          <w:p w14:paraId="104DA335"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vAlign w:val="bottom"/>
          </w:tcPr>
          <w:p w14:paraId="0D7ADB22"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vAlign w:val="bottom"/>
          </w:tcPr>
          <w:p w14:paraId="3D3567A4"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vAlign w:val="bottom"/>
          </w:tcPr>
          <w:p w14:paraId="44D5D293"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vAlign w:val="bottom"/>
          </w:tcPr>
          <w:p w14:paraId="59FC1CA1"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vAlign w:val="bottom"/>
          </w:tcPr>
          <w:p w14:paraId="37E3346A" w14:textId="77777777" w:rsidR="000E53E1" w:rsidRPr="00427850" w:rsidRDefault="000E53E1" w:rsidP="000E53E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0E53E1" w14:paraId="298104D3" w14:textId="77777777" w:rsidTr="000E53E1">
        <w:tc>
          <w:tcPr>
            <w:tcW w:w="950" w:type="pct"/>
            <w:tcBorders>
              <w:bottom w:val="single" w:sz="8" w:space="0" w:color="auto"/>
            </w:tcBorders>
            <w:vAlign w:val="bottom"/>
          </w:tcPr>
          <w:p w14:paraId="22DB6C46" w14:textId="77777777" w:rsidR="000E53E1" w:rsidRPr="003D1CBE" w:rsidRDefault="000E53E1" w:rsidP="000E53E1">
            <w:pPr>
              <w:spacing w:line="241" w:lineRule="auto"/>
              <w:ind w:left="172" w:hanging="171"/>
              <w:jc w:val="left"/>
              <w:rPr>
                <w:rFonts w:asciiTheme="minorBidi" w:hAnsiTheme="minorBidi" w:cstheme="minorBidi"/>
                <w:color w:val="000000"/>
                <w:sz w:val="16"/>
                <w:szCs w:val="16"/>
                <w:rtl/>
                <w:lang w:eastAsia="he-IL"/>
              </w:rPr>
            </w:pPr>
            <w:r w:rsidRPr="003D1CBE">
              <w:rPr>
                <w:rFonts w:asciiTheme="minorBidi" w:hAnsiTheme="minorBidi" w:cstheme="minorBidi"/>
                <w:color w:val="000000"/>
                <w:sz w:val="16"/>
                <w:szCs w:val="16"/>
                <w:rtl/>
                <w:lang w:eastAsia="he-IL"/>
              </w:rPr>
              <w:t>סך הכל הכנסות ריבית, נטו</w:t>
            </w:r>
          </w:p>
        </w:tc>
        <w:tc>
          <w:tcPr>
            <w:tcW w:w="264" w:type="pct"/>
            <w:tcBorders>
              <w:bottom w:val="single" w:sz="8" w:space="0" w:color="auto"/>
            </w:tcBorders>
            <w:vAlign w:val="bottom"/>
          </w:tcPr>
          <w:p w14:paraId="56D5815C"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tcBorders>
              <w:bottom w:val="single" w:sz="8" w:space="0" w:color="auto"/>
            </w:tcBorders>
            <w:vAlign w:val="bottom"/>
          </w:tcPr>
          <w:p w14:paraId="57D08EA5"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tcBorders>
              <w:bottom w:val="single" w:sz="8" w:space="0" w:color="auto"/>
            </w:tcBorders>
            <w:vAlign w:val="bottom"/>
          </w:tcPr>
          <w:p w14:paraId="76FD432E"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tcBorders>
              <w:bottom w:val="single" w:sz="8" w:space="0" w:color="auto"/>
            </w:tcBorders>
            <w:vAlign w:val="bottom"/>
          </w:tcPr>
          <w:p w14:paraId="6D07237C"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tcBorders>
              <w:bottom w:val="single" w:sz="8" w:space="0" w:color="auto"/>
            </w:tcBorders>
            <w:vAlign w:val="bottom"/>
          </w:tcPr>
          <w:p w14:paraId="45E93BEA"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tcBorders>
              <w:bottom w:val="single" w:sz="8" w:space="0" w:color="auto"/>
            </w:tcBorders>
            <w:vAlign w:val="bottom"/>
          </w:tcPr>
          <w:p w14:paraId="1FAC6131"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tcBorders>
              <w:bottom w:val="single" w:sz="8" w:space="0" w:color="auto"/>
            </w:tcBorders>
            <w:vAlign w:val="bottom"/>
          </w:tcPr>
          <w:p w14:paraId="33195ED5"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tcBorders>
              <w:bottom w:val="single" w:sz="8" w:space="0" w:color="auto"/>
            </w:tcBorders>
            <w:vAlign w:val="bottom"/>
          </w:tcPr>
          <w:p w14:paraId="6F57D689"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tcBorders>
              <w:bottom w:val="single" w:sz="8" w:space="0" w:color="auto"/>
            </w:tcBorders>
            <w:vAlign w:val="bottom"/>
          </w:tcPr>
          <w:p w14:paraId="17CE38B6"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tcBorders>
              <w:bottom w:val="single" w:sz="8" w:space="0" w:color="auto"/>
            </w:tcBorders>
            <w:vAlign w:val="bottom"/>
          </w:tcPr>
          <w:p w14:paraId="5D626A2B"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tcBorders>
              <w:bottom w:val="single" w:sz="8" w:space="0" w:color="auto"/>
            </w:tcBorders>
            <w:vAlign w:val="bottom"/>
          </w:tcPr>
          <w:p w14:paraId="238FDB79"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tcBorders>
              <w:bottom w:val="single" w:sz="8" w:space="0" w:color="auto"/>
            </w:tcBorders>
            <w:vAlign w:val="bottom"/>
          </w:tcPr>
          <w:p w14:paraId="60E3815A"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tcBorders>
              <w:bottom w:val="single" w:sz="8" w:space="0" w:color="auto"/>
            </w:tcBorders>
            <w:vAlign w:val="bottom"/>
          </w:tcPr>
          <w:p w14:paraId="12E65614" w14:textId="77777777" w:rsidR="000E53E1" w:rsidRPr="00427850" w:rsidRDefault="000E53E1" w:rsidP="000E53E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bl>
    <w:p w14:paraId="0133C952" w14:textId="77777777" w:rsidR="000E53E1" w:rsidRDefault="000E53E1"/>
    <w:tbl>
      <w:tblPr>
        <w:bidiVisual/>
        <w:tblW w:w="5000" w:type="pct"/>
        <w:tblInd w:w="10" w:type="dxa"/>
        <w:tblCellMar>
          <w:left w:w="28" w:type="dxa"/>
          <w:right w:w="28" w:type="dxa"/>
        </w:tblCellMar>
        <w:tblLook w:val="04A0" w:firstRow="1" w:lastRow="0" w:firstColumn="1" w:lastColumn="0" w:noHBand="0" w:noVBand="1"/>
      </w:tblPr>
      <w:tblGrid>
        <w:gridCol w:w="10207"/>
      </w:tblGrid>
      <w:tr w:rsidR="000E53E1" w:rsidRPr="00E604CD" w14:paraId="01015F24" w14:textId="77777777" w:rsidTr="00400DD1">
        <w:tc>
          <w:tcPr>
            <w:tcW w:w="5000" w:type="pct"/>
            <w:vAlign w:val="bottom"/>
          </w:tcPr>
          <w:p w14:paraId="50FFD0FD" w14:textId="77777777" w:rsidR="000E53E1" w:rsidRPr="003E6CF5" w:rsidRDefault="000E53E1" w:rsidP="00400DD1">
            <w:pPr>
              <w:spacing w:line="241" w:lineRule="auto"/>
              <w:ind w:left="297" w:right="28" w:hanging="269"/>
              <w:jc w:val="left"/>
              <w:rPr>
                <w:sz w:val="16"/>
                <w:szCs w:val="16"/>
                <w:rtl/>
              </w:rPr>
            </w:pPr>
            <w:r w:rsidRPr="003E6CF5">
              <w:rPr>
                <w:color w:val="000000"/>
                <w:sz w:val="16"/>
                <w:szCs w:val="16"/>
                <w:rtl/>
                <w:lang w:eastAsia="he-IL"/>
              </w:rPr>
              <w:t xml:space="preserve">(א) </w:t>
            </w:r>
            <w:r w:rsidRPr="003E6CF5">
              <w:rPr>
                <w:sz w:val="16"/>
                <w:szCs w:val="16"/>
                <w:rtl/>
              </w:rPr>
              <w:tab/>
            </w:r>
            <w:r w:rsidRPr="003E6CF5">
              <w:rPr>
                <w:rFonts w:hint="eastAsia"/>
                <w:sz w:val="16"/>
                <w:szCs w:val="16"/>
                <w:rtl/>
              </w:rPr>
              <w:t>יתרות</w:t>
            </w:r>
            <w:r w:rsidRPr="003E6CF5">
              <w:rPr>
                <w:sz w:val="16"/>
                <w:szCs w:val="16"/>
                <w:rtl/>
              </w:rPr>
              <w:t xml:space="preserve"> </w:t>
            </w:r>
            <w:r w:rsidRPr="003E6CF5">
              <w:rPr>
                <w:rFonts w:hint="eastAsia"/>
                <w:sz w:val="16"/>
                <w:szCs w:val="16"/>
                <w:rtl/>
              </w:rPr>
              <w:t>ממוצעות</w:t>
            </w:r>
            <w:r w:rsidRPr="003E6CF5">
              <w:rPr>
                <w:sz w:val="16"/>
                <w:szCs w:val="16"/>
                <w:rtl/>
              </w:rPr>
              <w:t xml:space="preserve"> </w:t>
            </w:r>
            <w:r w:rsidRPr="003E6CF5">
              <w:rPr>
                <w:rFonts w:hint="eastAsia"/>
                <w:sz w:val="16"/>
                <w:szCs w:val="16"/>
                <w:rtl/>
              </w:rPr>
              <w:t>מחושבות</w:t>
            </w:r>
            <w:r w:rsidRPr="003E6CF5">
              <w:rPr>
                <w:sz w:val="16"/>
                <w:szCs w:val="16"/>
                <w:rtl/>
              </w:rPr>
              <w:t xml:space="preserve"> </w:t>
            </w:r>
            <w:r w:rsidRPr="003E6CF5">
              <w:rPr>
                <w:rFonts w:hint="eastAsia"/>
                <w:sz w:val="16"/>
                <w:szCs w:val="16"/>
                <w:rtl/>
              </w:rPr>
              <w:t>על</w:t>
            </w:r>
            <w:r w:rsidRPr="003E6CF5">
              <w:rPr>
                <w:sz w:val="16"/>
                <w:szCs w:val="16"/>
                <w:rtl/>
              </w:rPr>
              <w:t xml:space="preserve"> </w:t>
            </w:r>
            <w:r w:rsidRPr="003E6CF5">
              <w:rPr>
                <w:rFonts w:hint="eastAsia"/>
                <w:sz w:val="16"/>
                <w:szCs w:val="16"/>
                <w:rtl/>
              </w:rPr>
              <w:t>בסיס</w:t>
            </w:r>
            <w:r w:rsidRPr="003E6CF5">
              <w:rPr>
                <w:sz w:val="16"/>
                <w:szCs w:val="16"/>
                <w:rtl/>
              </w:rPr>
              <w:t xml:space="preserve"> </w:t>
            </w:r>
            <w:r w:rsidRPr="003E6CF5">
              <w:rPr>
                <w:rFonts w:hint="eastAsia"/>
                <w:sz w:val="16"/>
                <w:szCs w:val="16"/>
                <w:rtl/>
              </w:rPr>
              <w:t>יתרות</w:t>
            </w:r>
            <w:r w:rsidRPr="003E6CF5">
              <w:rPr>
                <w:sz w:val="16"/>
                <w:szCs w:val="16"/>
                <w:rtl/>
              </w:rPr>
              <w:t xml:space="preserve"> </w:t>
            </w:r>
            <w:r w:rsidRPr="003E6CF5">
              <w:rPr>
                <w:rFonts w:hint="eastAsia"/>
                <w:sz w:val="16"/>
                <w:szCs w:val="16"/>
                <w:rtl/>
              </w:rPr>
              <w:t>לתחילת</w:t>
            </w:r>
            <w:r w:rsidRPr="003E6CF5">
              <w:rPr>
                <w:sz w:val="16"/>
                <w:szCs w:val="16"/>
                <w:rtl/>
              </w:rPr>
              <w:t xml:space="preserve"> </w:t>
            </w:r>
            <w:r w:rsidRPr="003E6CF5">
              <w:rPr>
                <w:rFonts w:hint="eastAsia"/>
                <w:sz w:val="16"/>
                <w:szCs w:val="16"/>
                <w:rtl/>
              </w:rPr>
              <w:t>רבעון</w:t>
            </w:r>
            <w:r w:rsidRPr="003E6CF5">
              <w:rPr>
                <w:sz w:val="16"/>
                <w:szCs w:val="16"/>
                <w:rtl/>
              </w:rPr>
              <w:t xml:space="preserve"> </w:t>
            </w:r>
            <w:r w:rsidRPr="003E6CF5">
              <w:rPr>
                <w:rFonts w:hint="eastAsia"/>
                <w:sz w:val="16"/>
                <w:szCs w:val="16"/>
                <w:rtl/>
              </w:rPr>
              <w:t>או</w:t>
            </w:r>
            <w:r w:rsidRPr="003E6CF5">
              <w:rPr>
                <w:sz w:val="16"/>
                <w:szCs w:val="16"/>
                <w:rtl/>
              </w:rPr>
              <w:t xml:space="preserve"> </w:t>
            </w:r>
            <w:r w:rsidRPr="003E6CF5">
              <w:rPr>
                <w:rFonts w:hint="eastAsia"/>
                <w:sz w:val="16"/>
                <w:szCs w:val="16"/>
                <w:rtl/>
              </w:rPr>
              <w:t>לתחילת</w:t>
            </w:r>
            <w:r w:rsidRPr="003E6CF5">
              <w:rPr>
                <w:sz w:val="16"/>
                <w:szCs w:val="16"/>
                <w:rtl/>
              </w:rPr>
              <w:t xml:space="preserve"> </w:t>
            </w:r>
            <w:r w:rsidRPr="003E6CF5">
              <w:rPr>
                <w:rFonts w:hint="eastAsia"/>
                <w:sz w:val="16"/>
                <w:szCs w:val="16"/>
                <w:rtl/>
              </w:rPr>
              <w:t>חודש</w:t>
            </w:r>
            <w:r w:rsidRPr="003E6CF5">
              <w:rPr>
                <w:sz w:val="16"/>
                <w:szCs w:val="16"/>
                <w:rtl/>
              </w:rPr>
              <w:t>.</w:t>
            </w:r>
          </w:p>
        </w:tc>
      </w:tr>
      <w:tr w:rsidR="000E53E1" w:rsidRPr="00E604CD" w14:paraId="50C2EE01" w14:textId="77777777" w:rsidTr="00400DD1">
        <w:tc>
          <w:tcPr>
            <w:tcW w:w="5000" w:type="pct"/>
            <w:vAlign w:val="bottom"/>
          </w:tcPr>
          <w:p w14:paraId="2CABAAC4" w14:textId="77777777" w:rsidR="000E53E1" w:rsidRPr="003E6CF5" w:rsidRDefault="000E53E1" w:rsidP="00400DD1">
            <w:pPr>
              <w:spacing w:line="241" w:lineRule="auto"/>
              <w:ind w:left="297" w:right="28" w:hanging="269"/>
              <w:jc w:val="left"/>
              <w:rPr>
                <w:color w:val="000000"/>
                <w:sz w:val="16"/>
                <w:szCs w:val="16"/>
                <w:rtl/>
                <w:lang w:eastAsia="he-IL"/>
              </w:rPr>
            </w:pPr>
            <w:r w:rsidRPr="003E6CF5">
              <w:rPr>
                <w:color w:val="000000"/>
                <w:sz w:val="16"/>
                <w:szCs w:val="16"/>
                <w:rtl/>
                <w:lang w:eastAsia="he-IL"/>
              </w:rPr>
              <w:t>(ב)</w:t>
            </w:r>
            <w:r w:rsidRPr="003E6CF5">
              <w:rPr>
                <w:color w:val="000000"/>
                <w:sz w:val="16"/>
                <w:szCs w:val="16"/>
                <w:rtl/>
                <w:lang w:eastAsia="he-IL"/>
              </w:rPr>
              <w:tab/>
            </w:r>
            <w:r w:rsidRPr="003E6CF5">
              <w:rPr>
                <w:rFonts w:hint="eastAsia"/>
                <w:color w:val="000000"/>
                <w:sz w:val="16"/>
                <w:szCs w:val="16"/>
                <w:rtl/>
                <w:lang w:eastAsia="he-IL"/>
              </w:rPr>
              <w:t>נכסי</w:t>
            </w:r>
            <w:r w:rsidRPr="003E6CF5">
              <w:rPr>
                <w:color w:val="000000"/>
                <w:sz w:val="16"/>
                <w:szCs w:val="16"/>
                <w:rtl/>
                <w:lang w:eastAsia="he-IL"/>
              </w:rPr>
              <w:t xml:space="preserve"> </w:t>
            </w:r>
            <w:r w:rsidRPr="003E6CF5">
              <w:rPr>
                <w:rFonts w:hint="eastAsia"/>
                <w:color w:val="000000"/>
                <w:sz w:val="16"/>
                <w:szCs w:val="16"/>
                <w:rtl/>
                <w:lang w:eastAsia="he-IL"/>
              </w:rPr>
              <w:t>סיכון</w:t>
            </w:r>
            <w:r w:rsidRPr="003E6CF5">
              <w:rPr>
                <w:color w:val="000000"/>
                <w:sz w:val="16"/>
                <w:szCs w:val="16"/>
                <w:rtl/>
                <w:lang w:eastAsia="he-IL"/>
              </w:rPr>
              <w:t xml:space="preserve"> - </w:t>
            </w:r>
            <w:r w:rsidRPr="003E6CF5">
              <w:rPr>
                <w:rFonts w:hint="eastAsia"/>
                <w:color w:val="000000"/>
                <w:sz w:val="16"/>
                <w:szCs w:val="16"/>
                <w:rtl/>
                <w:lang w:eastAsia="he-IL"/>
              </w:rPr>
              <w:t>כפי</w:t>
            </w:r>
            <w:r w:rsidRPr="003E6CF5">
              <w:rPr>
                <w:color w:val="000000"/>
                <w:sz w:val="16"/>
                <w:szCs w:val="16"/>
                <w:rtl/>
                <w:lang w:eastAsia="he-IL"/>
              </w:rPr>
              <w:t xml:space="preserve"> </w:t>
            </w:r>
            <w:r w:rsidRPr="003E6CF5">
              <w:rPr>
                <w:rFonts w:hint="eastAsia"/>
                <w:color w:val="000000"/>
                <w:sz w:val="16"/>
                <w:szCs w:val="16"/>
                <w:rtl/>
                <w:lang w:eastAsia="he-IL"/>
              </w:rPr>
              <w:t>שחושבו</w:t>
            </w:r>
            <w:r w:rsidRPr="003E6CF5">
              <w:rPr>
                <w:color w:val="000000"/>
                <w:sz w:val="16"/>
                <w:szCs w:val="16"/>
                <w:rtl/>
                <w:lang w:eastAsia="he-IL"/>
              </w:rPr>
              <w:t xml:space="preserve"> </w:t>
            </w:r>
            <w:r w:rsidRPr="003E6CF5">
              <w:rPr>
                <w:rFonts w:hint="eastAsia"/>
                <w:color w:val="000000"/>
                <w:sz w:val="16"/>
                <w:szCs w:val="16"/>
                <w:rtl/>
                <w:lang w:eastAsia="he-IL"/>
              </w:rPr>
              <w:t>לצורך</w:t>
            </w:r>
            <w:r w:rsidRPr="003E6CF5">
              <w:rPr>
                <w:color w:val="000000"/>
                <w:sz w:val="16"/>
                <w:szCs w:val="16"/>
                <w:rtl/>
                <w:lang w:eastAsia="he-IL"/>
              </w:rPr>
              <w:t xml:space="preserve"> </w:t>
            </w:r>
            <w:r w:rsidRPr="003E6CF5">
              <w:rPr>
                <w:rFonts w:hint="eastAsia"/>
                <w:color w:val="000000"/>
                <w:sz w:val="16"/>
                <w:szCs w:val="16"/>
                <w:rtl/>
                <w:lang w:eastAsia="he-IL"/>
              </w:rPr>
              <w:t>הלימות</w:t>
            </w:r>
            <w:r w:rsidRPr="003E6CF5">
              <w:rPr>
                <w:color w:val="000000"/>
                <w:sz w:val="16"/>
                <w:szCs w:val="16"/>
                <w:rtl/>
                <w:lang w:eastAsia="he-IL"/>
              </w:rPr>
              <w:t xml:space="preserve"> </w:t>
            </w:r>
            <w:r w:rsidRPr="003E6CF5">
              <w:rPr>
                <w:rFonts w:hint="eastAsia"/>
                <w:color w:val="000000"/>
                <w:sz w:val="16"/>
                <w:szCs w:val="16"/>
                <w:rtl/>
                <w:lang w:eastAsia="he-IL"/>
              </w:rPr>
              <w:t>הון</w:t>
            </w:r>
            <w:r w:rsidRPr="003E6CF5">
              <w:rPr>
                <w:color w:val="000000"/>
                <w:sz w:val="16"/>
                <w:szCs w:val="16"/>
                <w:rtl/>
                <w:lang w:eastAsia="he-IL"/>
              </w:rPr>
              <w:t>.</w:t>
            </w:r>
          </w:p>
        </w:tc>
      </w:tr>
      <w:tr w:rsidR="000E53E1" w:rsidRPr="006D533A" w14:paraId="44550AA5" w14:textId="77777777" w:rsidTr="00400DD1">
        <w:tc>
          <w:tcPr>
            <w:tcW w:w="5000" w:type="pct"/>
            <w:vAlign w:val="bottom"/>
          </w:tcPr>
          <w:p w14:paraId="613188AC" w14:textId="77777777" w:rsidR="000E53E1" w:rsidRPr="003E6CF5" w:rsidRDefault="000E53E1" w:rsidP="00400DD1">
            <w:pPr>
              <w:spacing w:line="241" w:lineRule="auto"/>
              <w:ind w:left="297" w:right="28" w:hanging="269"/>
              <w:jc w:val="left"/>
              <w:rPr>
                <w:color w:val="000000"/>
                <w:sz w:val="16"/>
                <w:szCs w:val="16"/>
                <w:rtl/>
                <w:lang w:eastAsia="he-IL"/>
              </w:rPr>
            </w:pPr>
            <w:r w:rsidRPr="003E6CF5">
              <w:rPr>
                <w:color w:val="000000"/>
                <w:sz w:val="16"/>
                <w:szCs w:val="16"/>
                <w:rtl/>
                <w:lang w:eastAsia="he-IL"/>
              </w:rPr>
              <w:t>(ג)</w:t>
            </w:r>
            <w:r w:rsidRPr="003E6CF5">
              <w:rPr>
                <w:color w:val="000000"/>
                <w:sz w:val="16"/>
                <w:szCs w:val="16"/>
                <w:rtl/>
                <w:lang w:eastAsia="he-IL"/>
              </w:rPr>
              <w:tab/>
            </w:r>
            <w:r w:rsidRPr="003E6CF5">
              <w:rPr>
                <w:rFonts w:hint="eastAsia"/>
                <w:color w:val="000000"/>
                <w:sz w:val="16"/>
                <w:szCs w:val="16"/>
                <w:rtl/>
                <w:lang w:eastAsia="he-IL"/>
              </w:rPr>
              <w:t>נכסים</w:t>
            </w:r>
            <w:r w:rsidRPr="003E6CF5">
              <w:rPr>
                <w:color w:val="000000"/>
                <w:sz w:val="16"/>
                <w:szCs w:val="16"/>
                <w:rtl/>
                <w:lang w:eastAsia="he-IL"/>
              </w:rPr>
              <w:t xml:space="preserve"> </w:t>
            </w:r>
            <w:r w:rsidRPr="003E6CF5">
              <w:rPr>
                <w:rFonts w:hint="eastAsia"/>
                <w:color w:val="000000"/>
                <w:sz w:val="16"/>
                <w:szCs w:val="16"/>
                <w:rtl/>
                <w:lang w:eastAsia="he-IL"/>
              </w:rPr>
              <w:t>בניהול</w:t>
            </w:r>
            <w:r w:rsidRPr="003E6CF5">
              <w:rPr>
                <w:color w:val="000000"/>
                <w:sz w:val="16"/>
                <w:szCs w:val="16"/>
                <w:rtl/>
                <w:lang w:eastAsia="he-IL"/>
              </w:rPr>
              <w:t xml:space="preserve"> - </w:t>
            </w:r>
            <w:r w:rsidRPr="003E6CF5">
              <w:rPr>
                <w:rFonts w:hint="eastAsia"/>
                <w:color w:val="000000"/>
                <w:sz w:val="16"/>
                <w:szCs w:val="16"/>
                <w:rtl/>
                <w:lang w:eastAsia="he-IL"/>
              </w:rPr>
              <w:t>לרבות</w:t>
            </w:r>
            <w:r w:rsidRPr="003E6CF5">
              <w:rPr>
                <w:color w:val="000000"/>
                <w:sz w:val="16"/>
                <w:szCs w:val="16"/>
                <w:rtl/>
                <w:lang w:eastAsia="he-IL"/>
              </w:rPr>
              <w:t xml:space="preserve"> </w:t>
            </w:r>
            <w:r w:rsidRPr="003E6CF5">
              <w:rPr>
                <w:rFonts w:hint="eastAsia"/>
                <w:color w:val="000000"/>
                <w:sz w:val="16"/>
                <w:szCs w:val="16"/>
                <w:rtl/>
                <w:lang w:eastAsia="he-IL"/>
              </w:rPr>
              <w:t>נכסי</w:t>
            </w:r>
            <w:r w:rsidRPr="003E6CF5">
              <w:rPr>
                <w:color w:val="000000"/>
                <w:sz w:val="16"/>
                <w:szCs w:val="16"/>
                <w:rtl/>
                <w:lang w:eastAsia="he-IL"/>
              </w:rPr>
              <w:t xml:space="preserve"> </w:t>
            </w:r>
            <w:r w:rsidRPr="003E6CF5">
              <w:rPr>
                <w:rFonts w:hint="eastAsia"/>
                <w:color w:val="000000"/>
                <w:sz w:val="16"/>
                <w:szCs w:val="16"/>
                <w:rtl/>
                <w:lang w:eastAsia="he-IL"/>
              </w:rPr>
              <w:t>גמל</w:t>
            </w:r>
            <w:r w:rsidRPr="003E6CF5">
              <w:rPr>
                <w:color w:val="000000"/>
                <w:sz w:val="16"/>
                <w:szCs w:val="16"/>
                <w:rtl/>
                <w:lang w:eastAsia="he-IL"/>
              </w:rPr>
              <w:t xml:space="preserve">, </w:t>
            </w:r>
            <w:r w:rsidRPr="003E6CF5">
              <w:rPr>
                <w:rFonts w:hint="eastAsia"/>
                <w:color w:val="000000"/>
                <w:sz w:val="16"/>
                <w:szCs w:val="16"/>
                <w:rtl/>
                <w:lang w:eastAsia="he-IL"/>
              </w:rPr>
              <w:t>קרנות</w:t>
            </w:r>
            <w:r w:rsidRPr="003E6CF5">
              <w:rPr>
                <w:color w:val="000000"/>
                <w:sz w:val="16"/>
                <w:szCs w:val="16"/>
                <w:rtl/>
                <w:lang w:eastAsia="he-IL"/>
              </w:rPr>
              <w:t xml:space="preserve"> </w:t>
            </w:r>
            <w:r w:rsidRPr="003E6CF5">
              <w:rPr>
                <w:rFonts w:hint="eastAsia"/>
                <w:color w:val="000000"/>
                <w:sz w:val="16"/>
                <w:szCs w:val="16"/>
                <w:rtl/>
                <w:lang w:eastAsia="he-IL"/>
              </w:rPr>
              <w:t>השתלמות</w:t>
            </w:r>
            <w:r w:rsidRPr="003E6CF5">
              <w:rPr>
                <w:color w:val="000000"/>
                <w:sz w:val="16"/>
                <w:szCs w:val="16"/>
                <w:rtl/>
                <w:lang w:eastAsia="he-IL"/>
              </w:rPr>
              <w:t xml:space="preserve">, </w:t>
            </w:r>
            <w:r w:rsidRPr="003E6CF5">
              <w:rPr>
                <w:rFonts w:hint="eastAsia"/>
                <w:color w:val="000000"/>
                <w:sz w:val="16"/>
                <w:szCs w:val="16"/>
                <w:rtl/>
                <w:lang w:eastAsia="he-IL"/>
              </w:rPr>
              <w:t>קרנות</w:t>
            </w:r>
            <w:r w:rsidRPr="003E6CF5">
              <w:rPr>
                <w:color w:val="000000"/>
                <w:sz w:val="16"/>
                <w:szCs w:val="16"/>
                <w:rtl/>
                <w:lang w:eastAsia="he-IL"/>
              </w:rPr>
              <w:t xml:space="preserve"> </w:t>
            </w:r>
            <w:r w:rsidRPr="003E6CF5">
              <w:rPr>
                <w:rFonts w:hint="eastAsia"/>
                <w:color w:val="000000"/>
                <w:sz w:val="16"/>
                <w:szCs w:val="16"/>
                <w:rtl/>
                <w:lang w:eastAsia="he-IL"/>
              </w:rPr>
              <w:t>נאמנות</w:t>
            </w:r>
            <w:r w:rsidRPr="003E6CF5">
              <w:rPr>
                <w:color w:val="000000"/>
                <w:sz w:val="16"/>
                <w:szCs w:val="16"/>
                <w:rtl/>
                <w:lang w:eastAsia="he-IL"/>
              </w:rPr>
              <w:t xml:space="preserve"> </w:t>
            </w:r>
            <w:r w:rsidRPr="003E6CF5">
              <w:rPr>
                <w:rFonts w:hint="eastAsia"/>
                <w:color w:val="000000"/>
                <w:sz w:val="16"/>
                <w:szCs w:val="16"/>
                <w:rtl/>
                <w:lang w:eastAsia="he-IL"/>
              </w:rPr>
              <w:t>וניירות</w:t>
            </w:r>
            <w:r w:rsidRPr="003E6CF5">
              <w:rPr>
                <w:color w:val="000000"/>
                <w:sz w:val="16"/>
                <w:szCs w:val="16"/>
                <w:rtl/>
                <w:lang w:eastAsia="he-IL"/>
              </w:rPr>
              <w:t xml:space="preserve"> </w:t>
            </w:r>
            <w:r w:rsidRPr="003E6CF5">
              <w:rPr>
                <w:rFonts w:hint="eastAsia"/>
                <w:color w:val="000000"/>
                <w:sz w:val="16"/>
                <w:szCs w:val="16"/>
                <w:rtl/>
                <w:lang w:eastAsia="he-IL"/>
              </w:rPr>
              <w:t>ערך</w:t>
            </w:r>
            <w:r w:rsidRPr="003E6CF5">
              <w:rPr>
                <w:color w:val="000000"/>
                <w:sz w:val="16"/>
                <w:szCs w:val="16"/>
                <w:rtl/>
                <w:lang w:eastAsia="he-IL"/>
              </w:rPr>
              <w:t xml:space="preserve"> </w:t>
            </w:r>
            <w:r w:rsidRPr="003E6CF5">
              <w:rPr>
                <w:rFonts w:hint="eastAsia"/>
                <w:color w:val="000000"/>
                <w:sz w:val="16"/>
                <w:szCs w:val="16"/>
                <w:rtl/>
                <w:lang w:eastAsia="he-IL"/>
              </w:rPr>
              <w:t>של</w:t>
            </w:r>
            <w:r w:rsidRPr="003E6CF5">
              <w:rPr>
                <w:color w:val="000000"/>
                <w:sz w:val="16"/>
                <w:szCs w:val="16"/>
                <w:rtl/>
                <w:lang w:eastAsia="he-IL"/>
              </w:rPr>
              <w:t xml:space="preserve"> </w:t>
            </w:r>
            <w:r w:rsidRPr="003E6CF5">
              <w:rPr>
                <w:rFonts w:hint="eastAsia"/>
                <w:color w:val="000000"/>
                <w:sz w:val="16"/>
                <w:szCs w:val="16"/>
                <w:rtl/>
                <w:lang w:eastAsia="he-IL"/>
              </w:rPr>
              <w:t>לקוחות</w:t>
            </w:r>
            <w:r w:rsidRPr="003E6CF5">
              <w:rPr>
                <w:color w:val="000000"/>
                <w:sz w:val="16"/>
                <w:szCs w:val="16"/>
                <w:rtl/>
                <w:lang w:eastAsia="he-IL"/>
              </w:rPr>
              <w:t>.</w:t>
            </w:r>
          </w:p>
        </w:tc>
      </w:tr>
    </w:tbl>
    <w:p w14:paraId="01289161" w14:textId="77777777" w:rsidR="003E6CF5" w:rsidRDefault="003E6CF5" w:rsidP="003E6CF5">
      <w:pPr>
        <w:jc w:val="left"/>
        <w:rPr>
          <w:rFonts w:asciiTheme="minorHAnsi" w:eastAsiaTheme="minorHAnsi" w:hAnsiTheme="minorHAnsi" w:cstheme="minorBidi"/>
          <w:rtl/>
        </w:rPr>
      </w:pPr>
    </w:p>
    <w:p w14:paraId="553B0529" w14:textId="63313954" w:rsidR="00E74D2B" w:rsidRDefault="00E74D2B">
      <w:pPr>
        <w:bidi w:val="0"/>
        <w:jc w:val="left"/>
        <w:rPr>
          <w:rFonts w:asciiTheme="minorHAnsi" w:eastAsiaTheme="minorHAnsi" w:hAnsiTheme="minorHAnsi" w:cstheme="minorBidi"/>
        </w:rPr>
      </w:pPr>
      <w:r>
        <w:rPr>
          <w:rFonts w:asciiTheme="minorHAnsi" w:eastAsiaTheme="minorHAnsi" w:hAnsiTheme="minorHAnsi" w:cstheme="minorBidi"/>
          <w:rtl/>
        </w:rPr>
        <w:br w:type="page"/>
      </w:r>
    </w:p>
    <w:tbl>
      <w:tblPr>
        <w:tblpPr w:leftFromText="180" w:rightFromText="180" w:vertAnchor="page" w:horzAnchor="margin" w:tblpXSpec="center" w:tblpY="2305"/>
        <w:bidiVisual/>
        <w:tblW w:w="5347" w:type="pct"/>
        <w:tblCellMar>
          <w:left w:w="28" w:type="dxa"/>
          <w:right w:w="28" w:type="dxa"/>
        </w:tblCellMar>
        <w:tblLook w:val="04A0" w:firstRow="1" w:lastRow="0" w:firstColumn="1" w:lastColumn="0" w:noHBand="0" w:noVBand="1"/>
      </w:tblPr>
      <w:tblGrid>
        <w:gridCol w:w="2077"/>
        <w:gridCol w:w="576"/>
        <w:gridCol w:w="707"/>
        <w:gridCol w:w="648"/>
        <w:gridCol w:w="716"/>
        <w:gridCol w:w="692"/>
        <w:gridCol w:w="714"/>
        <w:gridCol w:w="642"/>
        <w:gridCol w:w="11"/>
        <w:gridCol w:w="742"/>
        <w:gridCol w:w="795"/>
        <w:gridCol w:w="502"/>
        <w:gridCol w:w="836"/>
        <w:gridCol w:w="777"/>
        <w:gridCol w:w="480"/>
      </w:tblGrid>
      <w:tr w:rsidR="003D0D66" w:rsidRPr="006501FC" w14:paraId="66CEB54C" w14:textId="77777777" w:rsidTr="003D0D66">
        <w:tc>
          <w:tcPr>
            <w:tcW w:w="5000" w:type="pct"/>
            <w:gridSpan w:val="15"/>
            <w:vAlign w:val="bottom"/>
          </w:tcPr>
          <w:p w14:paraId="78EAE7E2" w14:textId="7AD71471" w:rsidR="003D0D66" w:rsidRPr="006501FC" w:rsidRDefault="003D0D66" w:rsidP="003D0D66">
            <w:pPr>
              <w:spacing w:after="60" w:line="228" w:lineRule="auto"/>
              <w:ind w:left="1388" w:right="85"/>
              <w:jc w:val="left"/>
              <w:rPr>
                <w:rFonts w:asciiTheme="minorBidi" w:hAnsiTheme="minorBidi" w:cstheme="minorBidi"/>
                <w:b/>
                <w:bCs/>
                <w:sz w:val="15"/>
                <w:szCs w:val="15"/>
                <w:rtl/>
              </w:rPr>
            </w:pPr>
            <w:r w:rsidRPr="000E53E1">
              <w:rPr>
                <w:rFonts w:asciiTheme="minorBidi" w:hAnsiTheme="minorBidi"/>
                <w:b/>
                <w:bCs/>
                <w:sz w:val="18"/>
                <w:szCs w:val="18"/>
                <w:rtl/>
              </w:rPr>
              <w:lastRenderedPageBreak/>
              <w:t>ביאור 1</w:t>
            </w:r>
            <w:r w:rsidRPr="000E53E1">
              <w:rPr>
                <w:rFonts w:asciiTheme="minorBidi" w:hAnsiTheme="minorBidi" w:hint="cs"/>
                <w:b/>
                <w:bCs/>
                <w:sz w:val="18"/>
                <w:szCs w:val="18"/>
                <w:rtl/>
              </w:rPr>
              <w:t>1</w:t>
            </w:r>
            <w:r w:rsidRPr="000E53E1">
              <w:rPr>
                <w:rFonts w:asciiTheme="minorBidi" w:hAnsiTheme="minorBidi"/>
                <w:b/>
                <w:bCs/>
                <w:sz w:val="18"/>
                <w:szCs w:val="18"/>
                <w:rtl/>
              </w:rPr>
              <w:t xml:space="preserve">  -  </w:t>
            </w:r>
            <w:r w:rsidRPr="000E53E1">
              <w:rPr>
                <w:sz w:val="18"/>
                <w:szCs w:val="18"/>
                <w:rtl/>
              </w:rPr>
              <w:t xml:space="preserve"> </w:t>
            </w:r>
            <w:r w:rsidRPr="000E53E1">
              <w:rPr>
                <w:rFonts w:asciiTheme="minorBidi" w:hAnsiTheme="minorBidi"/>
                <w:b/>
                <w:bCs/>
                <w:sz w:val="18"/>
                <w:szCs w:val="18"/>
                <w:rtl/>
              </w:rPr>
              <w:t>מגזרי פעילות פיקוחיים (המשך):</w:t>
            </w:r>
          </w:p>
        </w:tc>
      </w:tr>
      <w:tr w:rsidR="006501FC" w:rsidRPr="006501FC" w14:paraId="7EFEF2B0" w14:textId="77777777" w:rsidTr="003D0D66">
        <w:tc>
          <w:tcPr>
            <w:tcW w:w="951" w:type="pct"/>
            <w:vAlign w:val="bottom"/>
          </w:tcPr>
          <w:p w14:paraId="129FCE96" w14:textId="191CF508" w:rsidR="006501FC" w:rsidRPr="006501FC" w:rsidRDefault="006501FC" w:rsidP="00400DD1">
            <w:pPr>
              <w:spacing w:line="228" w:lineRule="auto"/>
              <w:ind w:left="57" w:right="57" w:hanging="144"/>
              <w:jc w:val="center"/>
              <w:rPr>
                <w:rFonts w:asciiTheme="minorBidi" w:hAnsiTheme="minorBidi" w:cstheme="minorBidi"/>
                <w:color w:val="000000"/>
                <w:sz w:val="15"/>
                <w:szCs w:val="15"/>
                <w:rtl/>
                <w:lang w:eastAsia="he-IL"/>
              </w:rPr>
            </w:pPr>
            <w:r w:rsidRPr="006501FC">
              <w:rPr>
                <w:rFonts w:asciiTheme="minorBidi" w:hAnsiTheme="minorBidi" w:cstheme="minorBidi"/>
                <w:sz w:val="15"/>
                <w:szCs w:val="15"/>
                <w:rtl/>
              </w:rPr>
              <w:t>מתכונת ביאור עמ' 663-4</w:t>
            </w:r>
            <w:r>
              <w:rPr>
                <w:rFonts w:asciiTheme="minorBidi" w:hAnsiTheme="minorBidi" w:cstheme="minorBidi" w:hint="cs"/>
                <w:sz w:val="15"/>
                <w:szCs w:val="15"/>
                <w:rtl/>
              </w:rPr>
              <w:t>2</w:t>
            </w:r>
          </w:p>
        </w:tc>
        <w:tc>
          <w:tcPr>
            <w:tcW w:w="4049" w:type="pct"/>
            <w:gridSpan w:val="14"/>
            <w:vAlign w:val="bottom"/>
          </w:tcPr>
          <w:p w14:paraId="17C5168E" w14:textId="3E3E2A69" w:rsidR="006501FC" w:rsidRPr="00F75066" w:rsidRDefault="006501FC" w:rsidP="00F75066">
            <w:pPr>
              <w:spacing w:line="228" w:lineRule="auto"/>
              <w:ind w:left="85" w:right="85"/>
              <w:jc w:val="center"/>
              <w:rPr>
                <w:rFonts w:asciiTheme="minorBidi" w:hAnsiTheme="minorBidi" w:cstheme="minorBidi"/>
                <w:b/>
                <w:bCs/>
                <w:sz w:val="16"/>
                <w:szCs w:val="16"/>
                <w:u w:val="single"/>
                <w:rtl/>
              </w:rPr>
            </w:pPr>
            <w:r w:rsidRPr="00F75066">
              <w:rPr>
                <w:rFonts w:asciiTheme="minorBidi" w:hAnsiTheme="minorBidi" w:cstheme="minorBidi"/>
                <w:b/>
                <w:bCs/>
                <w:sz w:val="16"/>
                <w:szCs w:val="16"/>
                <w:u w:val="single"/>
                <w:rtl/>
              </w:rPr>
              <w:t>ל</w:t>
            </w:r>
            <w:r w:rsidRPr="00F75066">
              <w:rPr>
                <w:rFonts w:asciiTheme="minorBidi" w:hAnsiTheme="minorBidi" w:cstheme="minorBidi" w:hint="cs"/>
                <w:b/>
                <w:bCs/>
                <w:sz w:val="16"/>
                <w:szCs w:val="16"/>
                <w:u w:val="single"/>
                <w:rtl/>
              </w:rPr>
              <w:t>שישה</w:t>
            </w:r>
            <w:r w:rsidRPr="00F75066">
              <w:rPr>
                <w:rFonts w:asciiTheme="minorBidi" w:hAnsiTheme="minorBidi" w:cstheme="minorBidi"/>
                <w:b/>
                <w:bCs/>
                <w:sz w:val="16"/>
                <w:szCs w:val="16"/>
                <w:u w:val="single"/>
                <w:rtl/>
              </w:rPr>
              <w:t xml:space="preserve"> חודשים שהסתיימו ביום 30 ביוני </w:t>
            </w:r>
            <w:r w:rsidRPr="00F75066">
              <w:rPr>
                <w:rFonts w:asciiTheme="minorBidi" w:hAnsiTheme="minorBidi" w:cstheme="minorBidi"/>
                <w:b/>
                <w:bCs/>
                <w:sz w:val="16"/>
                <w:szCs w:val="16"/>
                <w:u w:val="single"/>
                <w:rtl/>
              </w:rPr>
              <w:fldChar w:fldCharType="begin"/>
            </w:r>
            <w:r w:rsidRPr="00F75066">
              <w:rPr>
                <w:rFonts w:asciiTheme="minorBidi" w:hAnsiTheme="minorBidi" w:cstheme="minorBidi"/>
                <w:b/>
                <w:bCs/>
                <w:sz w:val="16"/>
                <w:szCs w:val="16"/>
                <w:u w:val="single"/>
                <w:rtl/>
              </w:rPr>
              <w:instrText xml:space="preserve"> = </w:instrText>
            </w:r>
            <w:r w:rsidRPr="00F75066">
              <w:rPr>
                <w:rFonts w:asciiTheme="minorBidi" w:hAnsiTheme="minorBidi" w:cstheme="minorBidi"/>
                <w:b/>
                <w:bCs/>
                <w:sz w:val="16"/>
                <w:szCs w:val="16"/>
                <w:u w:val="single"/>
              </w:rPr>
              <w:instrText>CY \* MERGEFORMAT</w:instrText>
            </w:r>
            <w:r w:rsidRPr="00F75066">
              <w:rPr>
                <w:rFonts w:asciiTheme="minorBidi" w:hAnsiTheme="minorBidi" w:cstheme="minorBidi"/>
                <w:b/>
                <w:bCs/>
                <w:sz w:val="16"/>
                <w:szCs w:val="16"/>
                <w:u w:val="single"/>
                <w:rtl/>
              </w:rPr>
              <w:instrText xml:space="preserve"> </w:instrText>
            </w:r>
            <w:r w:rsidRPr="00F75066">
              <w:rPr>
                <w:rFonts w:asciiTheme="minorBidi" w:hAnsiTheme="minorBidi" w:cstheme="minorBidi"/>
                <w:b/>
                <w:bCs/>
                <w:sz w:val="16"/>
                <w:szCs w:val="16"/>
                <w:u w:val="single"/>
                <w:rtl/>
              </w:rPr>
              <w:fldChar w:fldCharType="separate"/>
            </w:r>
            <w:r w:rsidRPr="00F75066">
              <w:rPr>
                <w:rFonts w:asciiTheme="minorBidi" w:hAnsiTheme="minorBidi" w:cstheme="minorBidi"/>
                <w:b/>
                <w:bCs/>
                <w:noProof/>
                <w:sz w:val="16"/>
                <w:szCs w:val="16"/>
                <w:u w:val="single"/>
                <w:rtl/>
              </w:rPr>
              <w:t>2024</w:t>
            </w:r>
            <w:r w:rsidRPr="00F75066">
              <w:rPr>
                <w:rFonts w:asciiTheme="minorBidi" w:hAnsiTheme="minorBidi" w:cstheme="minorBidi"/>
                <w:b/>
                <w:bCs/>
                <w:sz w:val="16"/>
                <w:szCs w:val="16"/>
                <w:u w:val="single"/>
                <w:rtl/>
              </w:rPr>
              <w:fldChar w:fldCharType="end"/>
            </w:r>
            <w:r w:rsidRPr="00F75066">
              <w:rPr>
                <w:rFonts w:asciiTheme="minorBidi" w:hAnsiTheme="minorBidi" w:cstheme="minorBidi" w:hint="cs"/>
                <w:b/>
                <w:bCs/>
                <w:sz w:val="16"/>
                <w:szCs w:val="16"/>
                <w:u w:val="single"/>
                <w:rtl/>
              </w:rPr>
              <w:t xml:space="preserve"> </w:t>
            </w:r>
            <w:r w:rsidRPr="00F75066">
              <w:rPr>
                <w:rFonts w:asciiTheme="minorBidi" w:hAnsiTheme="minorBidi" w:cstheme="minorBidi" w:hint="cs"/>
                <w:sz w:val="16"/>
                <w:szCs w:val="16"/>
                <w:u w:val="single"/>
                <w:rtl/>
              </w:rPr>
              <w:t>(</w:t>
            </w:r>
            <w:r w:rsidRPr="00F75066">
              <w:rPr>
                <w:rFonts w:asciiTheme="minorBidi" w:hAnsiTheme="minorBidi" w:cstheme="minorBidi"/>
                <w:sz w:val="16"/>
                <w:szCs w:val="16"/>
                <w:u w:val="single"/>
                <w:rtl/>
              </w:rPr>
              <w:t>בלתי מבוקר</w:t>
            </w:r>
            <w:r w:rsidRPr="00F75066">
              <w:rPr>
                <w:rFonts w:asciiTheme="minorBidi" w:hAnsiTheme="minorBidi" w:cstheme="minorBidi" w:hint="cs"/>
                <w:sz w:val="16"/>
                <w:szCs w:val="16"/>
                <w:u w:val="single"/>
                <w:rtl/>
              </w:rPr>
              <w:t>)</w:t>
            </w:r>
          </w:p>
        </w:tc>
      </w:tr>
      <w:tr w:rsidR="006501FC" w:rsidRPr="006501FC" w14:paraId="0088620D" w14:textId="77777777" w:rsidTr="003D0D66">
        <w:tc>
          <w:tcPr>
            <w:tcW w:w="951" w:type="pct"/>
            <w:vAlign w:val="bottom"/>
          </w:tcPr>
          <w:p w14:paraId="15B1577B" w14:textId="77777777" w:rsidR="006501FC" w:rsidRPr="006501FC" w:rsidRDefault="006501FC" w:rsidP="00400DD1">
            <w:pPr>
              <w:spacing w:line="228" w:lineRule="auto"/>
              <w:ind w:left="57" w:right="57" w:hanging="144"/>
              <w:jc w:val="center"/>
              <w:rPr>
                <w:rFonts w:asciiTheme="minorBidi" w:hAnsiTheme="minorBidi" w:cstheme="minorBidi"/>
                <w:color w:val="000000"/>
                <w:sz w:val="15"/>
                <w:szCs w:val="15"/>
                <w:rtl/>
                <w:lang w:eastAsia="he-IL"/>
              </w:rPr>
            </w:pPr>
          </w:p>
        </w:tc>
        <w:tc>
          <w:tcPr>
            <w:tcW w:w="3473" w:type="pct"/>
            <w:gridSpan w:val="12"/>
            <w:vAlign w:val="bottom"/>
          </w:tcPr>
          <w:p w14:paraId="4F75C1CE"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b/>
                <w:bCs/>
                <w:sz w:val="15"/>
                <w:szCs w:val="15"/>
                <w:rtl/>
              </w:rPr>
            </w:pPr>
            <w:r w:rsidRPr="006501FC">
              <w:rPr>
                <w:rFonts w:asciiTheme="minorBidi" w:hAnsiTheme="minorBidi" w:cstheme="minorBidi"/>
                <w:b/>
                <w:bCs/>
                <w:sz w:val="15"/>
                <w:szCs w:val="15"/>
                <w:rtl/>
              </w:rPr>
              <w:t>פעילות ישראל</w:t>
            </w:r>
          </w:p>
        </w:tc>
        <w:tc>
          <w:tcPr>
            <w:tcW w:w="356" w:type="pct"/>
            <w:vAlign w:val="bottom"/>
          </w:tcPr>
          <w:p w14:paraId="7398D78C"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b/>
                <w:bCs/>
                <w:sz w:val="15"/>
                <w:szCs w:val="15"/>
                <w:rtl/>
              </w:rPr>
            </w:pPr>
            <w:r w:rsidRPr="006501FC">
              <w:rPr>
                <w:rFonts w:asciiTheme="minorBidi" w:hAnsiTheme="minorBidi" w:cstheme="minorBidi"/>
                <w:b/>
                <w:bCs/>
                <w:sz w:val="15"/>
                <w:szCs w:val="15"/>
                <w:rtl/>
              </w:rPr>
              <w:t>פעילות חו"ל</w:t>
            </w:r>
          </w:p>
        </w:tc>
        <w:tc>
          <w:tcPr>
            <w:tcW w:w="221" w:type="pct"/>
            <w:vAlign w:val="bottom"/>
          </w:tcPr>
          <w:p w14:paraId="4991FC49" w14:textId="77777777" w:rsidR="006501FC" w:rsidRPr="006501FC" w:rsidRDefault="006501FC" w:rsidP="00400DD1">
            <w:pPr>
              <w:spacing w:line="228" w:lineRule="auto"/>
              <w:ind w:left="85" w:right="85"/>
              <w:jc w:val="center"/>
              <w:rPr>
                <w:rFonts w:asciiTheme="minorBidi" w:hAnsiTheme="minorBidi" w:cstheme="minorBidi"/>
                <w:b/>
                <w:bCs/>
                <w:sz w:val="15"/>
                <w:szCs w:val="15"/>
                <w:rtl/>
              </w:rPr>
            </w:pPr>
          </w:p>
        </w:tc>
      </w:tr>
      <w:tr w:rsidR="006501FC" w:rsidRPr="006501FC" w14:paraId="2198C9AC" w14:textId="77777777" w:rsidTr="003D0D66">
        <w:tc>
          <w:tcPr>
            <w:tcW w:w="951" w:type="pct"/>
            <w:vAlign w:val="bottom"/>
          </w:tcPr>
          <w:p w14:paraId="0B2644EC" w14:textId="77777777" w:rsidR="006501FC" w:rsidRPr="006501FC" w:rsidRDefault="006501FC" w:rsidP="00400DD1">
            <w:pPr>
              <w:spacing w:line="228" w:lineRule="auto"/>
              <w:ind w:left="57" w:right="57" w:hanging="144"/>
              <w:jc w:val="center"/>
              <w:rPr>
                <w:rFonts w:asciiTheme="minorBidi" w:hAnsiTheme="minorBidi" w:cstheme="minorBidi"/>
                <w:color w:val="000000"/>
                <w:sz w:val="15"/>
                <w:szCs w:val="15"/>
                <w:rtl/>
                <w:lang w:eastAsia="he-IL"/>
              </w:rPr>
            </w:pPr>
          </w:p>
        </w:tc>
        <w:tc>
          <w:tcPr>
            <w:tcW w:w="885" w:type="pct"/>
            <w:gridSpan w:val="3"/>
            <w:vAlign w:val="bottom"/>
          </w:tcPr>
          <w:p w14:paraId="562ECE0D" w14:textId="77777777" w:rsidR="006501FC" w:rsidRPr="006501FC" w:rsidDel="003645D5"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משקי בית</w:t>
            </w:r>
          </w:p>
        </w:tc>
        <w:tc>
          <w:tcPr>
            <w:tcW w:w="328" w:type="pct"/>
            <w:vAlign w:val="bottom"/>
          </w:tcPr>
          <w:p w14:paraId="5CA3B687" w14:textId="77777777" w:rsidR="006501FC" w:rsidRPr="006501FC" w:rsidRDefault="006501FC" w:rsidP="00400DD1">
            <w:pPr>
              <w:spacing w:line="228" w:lineRule="auto"/>
              <w:ind w:left="85" w:right="85"/>
              <w:jc w:val="center"/>
              <w:rPr>
                <w:rFonts w:asciiTheme="minorBidi" w:hAnsiTheme="minorBidi" w:cstheme="minorBidi"/>
                <w:sz w:val="15"/>
                <w:szCs w:val="15"/>
                <w:rtl/>
              </w:rPr>
            </w:pPr>
          </w:p>
        </w:tc>
        <w:tc>
          <w:tcPr>
            <w:tcW w:w="317" w:type="pct"/>
            <w:vAlign w:val="bottom"/>
          </w:tcPr>
          <w:p w14:paraId="0F9E4D7C" w14:textId="77777777" w:rsidR="006501FC" w:rsidRPr="006501FC" w:rsidRDefault="006501FC" w:rsidP="00400DD1">
            <w:pPr>
              <w:spacing w:line="228" w:lineRule="auto"/>
              <w:ind w:left="85" w:right="85"/>
              <w:jc w:val="center"/>
              <w:rPr>
                <w:rFonts w:asciiTheme="minorBidi" w:hAnsiTheme="minorBidi" w:cstheme="minorBidi"/>
                <w:sz w:val="15"/>
                <w:szCs w:val="15"/>
                <w:rtl/>
              </w:rPr>
            </w:pPr>
          </w:p>
        </w:tc>
        <w:tc>
          <w:tcPr>
            <w:tcW w:w="327" w:type="pct"/>
            <w:vAlign w:val="bottom"/>
          </w:tcPr>
          <w:p w14:paraId="470F4BDD" w14:textId="77777777" w:rsidR="006501FC" w:rsidRPr="006501FC" w:rsidRDefault="006501FC" w:rsidP="00400DD1">
            <w:pPr>
              <w:spacing w:line="228" w:lineRule="auto"/>
              <w:ind w:left="85" w:right="85"/>
              <w:jc w:val="center"/>
              <w:rPr>
                <w:rFonts w:asciiTheme="minorBidi" w:hAnsiTheme="minorBidi" w:cstheme="minorBidi"/>
                <w:sz w:val="15"/>
                <w:szCs w:val="15"/>
                <w:rtl/>
              </w:rPr>
            </w:pPr>
          </w:p>
        </w:tc>
        <w:tc>
          <w:tcPr>
            <w:tcW w:w="299" w:type="pct"/>
            <w:gridSpan w:val="2"/>
            <w:vAlign w:val="bottom"/>
          </w:tcPr>
          <w:p w14:paraId="30DE3181" w14:textId="77777777" w:rsidR="006501FC" w:rsidRPr="006501FC" w:rsidRDefault="006501FC" w:rsidP="00400DD1">
            <w:pPr>
              <w:spacing w:line="228" w:lineRule="auto"/>
              <w:ind w:left="85" w:right="85"/>
              <w:jc w:val="center"/>
              <w:rPr>
                <w:rFonts w:asciiTheme="minorBidi" w:hAnsiTheme="minorBidi" w:cstheme="minorBidi"/>
                <w:sz w:val="15"/>
                <w:szCs w:val="15"/>
                <w:rtl/>
              </w:rPr>
            </w:pPr>
          </w:p>
        </w:tc>
        <w:tc>
          <w:tcPr>
            <w:tcW w:w="340" w:type="pct"/>
            <w:vAlign w:val="bottom"/>
          </w:tcPr>
          <w:p w14:paraId="571E01FF" w14:textId="77777777" w:rsidR="006501FC" w:rsidRPr="006501FC" w:rsidRDefault="006501FC" w:rsidP="00400DD1">
            <w:pPr>
              <w:spacing w:line="228" w:lineRule="auto"/>
              <w:ind w:left="85" w:right="85"/>
              <w:jc w:val="center"/>
              <w:rPr>
                <w:rFonts w:asciiTheme="minorBidi" w:hAnsiTheme="minorBidi" w:cstheme="minorBidi"/>
                <w:sz w:val="15"/>
                <w:szCs w:val="15"/>
                <w:rtl/>
              </w:rPr>
            </w:pPr>
          </w:p>
        </w:tc>
        <w:tc>
          <w:tcPr>
            <w:tcW w:w="364" w:type="pct"/>
            <w:vAlign w:val="bottom"/>
          </w:tcPr>
          <w:p w14:paraId="353F6F33" w14:textId="77777777" w:rsidR="006501FC" w:rsidRPr="006501FC" w:rsidDel="007E5602" w:rsidRDefault="006501FC" w:rsidP="00400DD1">
            <w:pPr>
              <w:spacing w:line="228" w:lineRule="auto"/>
              <w:ind w:left="85" w:right="85"/>
              <w:jc w:val="center"/>
              <w:rPr>
                <w:rFonts w:asciiTheme="minorBidi" w:hAnsiTheme="minorBidi" w:cstheme="minorBidi"/>
                <w:sz w:val="15"/>
                <w:szCs w:val="15"/>
                <w:rtl/>
              </w:rPr>
            </w:pPr>
          </w:p>
        </w:tc>
        <w:tc>
          <w:tcPr>
            <w:tcW w:w="230" w:type="pct"/>
            <w:vAlign w:val="bottom"/>
          </w:tcPr>
          <w:p w14:paraId="5D99D004" w14:textId="77777777" w:rsidR="006501FC" w:rsidRPr="006501FC" w:rsidDel="007E5602" w:rsidRDefault="006501FC" w:rsidP="00400DD1">
            <w:pPr>
              <w:spacing w:line="228" w:lineRule="auto"/>
              <w:ind w:left="85" w:right="85"/>
              <w:jc w:val="center"/>
              <w:rPr>
                <w:rFonts w:asciiTheme="minorBidi" w:hAnsiTheme="minorBidi" w:cstheme="minorBidi"/>
                <w:sz w:val="15"/>
                <w:szCs w:val="15"/>
                <w:rtl/>
              </w:rPr>
            </w:pPr>
          </w:p>
        </w:tc>
        <w:tc>
          <w:tcPr>
            <w:tcW w:w="383" w:type="pct"/>
            <w:vAlign w:val="bottom"/>
          </w:tcPr>
          <w:p w14:paraId="70CE1725" w14:textId="77777777" w:rsidR="006501FC" w:rsidRPr="006501FC" w:rsidRDefault="006501FC" w:rsidP="00400DD1">
            <w:pPr>
              <w:spacing w:line="228" w:lineRule="auto"/>
              <w:ind w:left="85" w:right="85"/>
              <w:jc w:val="center"/>
              <w:rPr>
                <w:rFonts w:asciiTheme="minorBidi" w:hAnsiTheme="minorBidi" w:cstheme="minorBidi"/>
                <w:b/>
                <w:bCs/>
                <w:sz w:val="15"/>
                <w:szCs w:val="15"/>
                <w:rtl/>
              </w:rPr>
            </w:pPr>
          </w:p>
        </w:tc>
        <w:tc>
          <w:tcPr>
            <w:tcW w:w="356" w:type="pct"/>
            <w:vAlign w:val="bottom"/>
          </w:tcPr>
          <w:p w14:paraId="2D5AE3A6" w14:textId="77777777" w:rsidR="006501FC" w:rsidRPr="006501FC" w:rsidRDefault="006501FC" w:rsidP="00400DD1">
            <w:pPr>
              <w:spacing w:line="228" w:lineRule="auto"/>
              <w:ind w:left="85" w:right="85"/>
              <w:jc w:val="center"/>
              <w:rPr>
                <w:rFonts w:asciiTheme="minorBidi" w:hAnsiTheme="minorBidi" w:cstheme="minorBidi"/>
                <w:b/>
                <w:bCs/>
                <w:sz w:val="15"/>
                <w:szCs w:val="15"/>
                <w:rtl/>
              </w:rPr>
            </w:pPr>
          </w:p>
        </w:tc>
        <w:tc>
          <w:tcPr>
            <w:tcW w:w="221" w:type="pct"/>
            <w:vAlign w:val="bottom"/>
          </w:tcPr>
          <w:p w14:paraId="12DC1EDD" w14:textId="77777777" w:rsidR="006501FC" w:rsidRPr="006501FC" w:rsidRDefault="006501FC" w:rsidP="00400DD1">
            <w:pPr>
              <w:spacing w:line="228" w:lineRule="auto"/>
              <w:ind w:left="85" w:right="85"/>
              <w:jc w:val="center"/>
              <w:rPr>
                <w:rFonts w:asciiTheme="minorBidi" w:hAnsiTheme="minorBidi" w:cstheme="minorBidi"/>
                <w:b/>
                <w:bCs/>
                <w:sz w:val="15"/>
                <w:szCs w:val="15"/>
                <w:rtl/>
              </w:rPr>
            </w:pPr>
          </w:p>
        </w:tc>
      </w:tr>
      <w:tr w:rsidR="006501FC" w:rsidRPr="006501FC" w14:paraId="10CFE0AC" w14:textId="77777777" w:rsidTr="003D0D66">
        <w:tc>
          <w:tcPr>
            <w:tcW w:w="951" w:type="pct"/>
            <w:vAlign w:val="bottom"/>
          </w:tcPr>
          <w:p w14:paraId="7D7D8699" w14:textId="77777777" w:rsidR="006501FC" w:rsidRPr="006501FC" w:rsidRDefault="006501FC" w:rsidP="00400DD1">
            <w:pPr>
              <w:spacing w:line="228" w:lineRule="auto"/>
              <w:ind w:left="57" w:right="57" w:hanging="144"/>
              <w:jc w:val="center"/>
              <w:rPr>
                <w:rFonts w:asciiTheme="minorBidi" w:hAnsiTheme="minorBidi" w:cstheme="minorBidi"/>
                <w:color w:val="000000"/>
                <w:sz w:val="15"/>
                <w:szCs w:val="15"/>
                <w:rtl/>
                <w:lang w:eastAsia="he-IL"/>
              </w:rPr>
            </w:pPr>
          </w:p>
        </w:tc>
        <w:tc>
          <w:tcPr>
            <w:tcW w:w="264" w:type="pct"/>
            <w:vAlign w:val="bottom"/>
          </w:tcPr>
          <w:p w14:paraId="53A1A7D9"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סה"כ</w:t>
            </w:r>
          </w:p>
        </w:tc>
        <w:tc>
          <w:tcPr>
            <w:tcW w:w="324" w:type="pct"/>
            <w:vAlign w:val="bottom"/>
          </w:tcPr>
          <w:p w14:paraId="7BB10ADE"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מזה: הלוואות לדיור</w:t>
            </w:r>
          </w:p>
        </w:tc>
        <w:tc>
          <w:tcPr>
            <w:tcW w:w="297" w:type="pct"/>
            <w:vAlign w:val="bottom"/>
          </w:tcPr>
          <w:p w14:paraId="51FADB16"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Pr>
            </w:pPr>
            <w:r w:rsidRPr="006501FC">
              <w:rPr>
                <w:rFonts w:asciiTheme="minorBidi" w:hAnsiTheme="minorBidi" w:cstheme="minorBidi"/>
                <w:sz w:val="15"/>
                <w:szCs w:val="15"/>
                <w:rtl/>
              </w:rPr>
              <w:t>מזה: כרטיסי אשראי</w:t>
            </w:r>
          </w:p>
        </w:tc>
        <w:tc>
          <w:tcPr>
            <w:tcW w:w="328" w:type="pct"/>
            <w:vAlign w:val="bottom"/>
          </w:tcPr>
          <w:p w14:paraId="1FB3BF53"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בנקאות פרטית</w:t>
            </w:r>
          </w:p>
        </w:tc>
        <w:tc>
          <w:tcPr>
            <w:tcW w:w="317" w:type="pct"/>
            <w:vAlign w:val="bottom"/>
          </w:tcPr>
          <w:p w14:paraId="4DBF8EF2"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עסקים קטנים וזעירים</w:t>
            </w:r>
          </w:p>
        </w:tc>
        <w:tc>
          <w:tcPr>
            <w:tcW w:w="327" w:type="pct"/>
            <w:vAlign w:val="bottom"/>
          </w:tcPr>
          <w:p w14:paraId="48DBB1CE"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עסקים בינוניים</w:t>
            </w:r>
          </w:p>
        </w:tc>
        <w:tc>
          <w:tcPr>
            <w:tcW w:w="299" w:type="pct"/>
            <w:gridSpan w:val="2"/>
            <w:vAlign w:val="bottom"/>
          </w:tcPr>
          <w:p w14:paraId="2F410826"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עסקים גדולים</w:t>
            </w:r>
          </w:p>
        </w:tc>
        <w:tc>
          <w:tcPr>
            <w:tcW w:w="340" w:type="pct"/>
            <w:vAlign w:val="bottom"/>
          </w:tcPr>
          <w:p w14:paraId="6CE26B40"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גופים מוסדיים</w:t>
            </w:r>
          </w:p>
        </w:tc>
        <w:tc>
          <w:tcPr>
            <w:tcW w:w="364" w:type="pct"/>
            <w:vAlign w:val="bottom"/>
          </w:tcPr>
          <w:p w14:paraId="45396119"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ניהול פיננסי</w:t>
            </w:r>
          </w:p>
        </w:tc>
        <w:tc>
          <w:tcPr>
            <w:tcW w:w="230" w:type="pct"/>
            <w:vAlign w:val="bottom"/>
          </w:tcPr>
          <w:p w14:paraId="454ED6D2"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אחר</w:t>
            </w:r>
          </w:p>
        </w:tc>
        <w:tc>
          <w:tcPr>
            <w:tcW w:w="383" w:type="pct"/>
            <w:vAlign w:val="bottom"/>
          </w:tcPr>
          <w:p w14:paraId="7C940EDA"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b/>
                <w:bCs/>
                <w:sz w:val="15"/>
                <w:szCs w:val="15"/>
                <w:rtl/>
              </w:rPr>
            </w:pPr>
            <w:r w:rsidRPr="006501FC">
              <w:rPr>
                <w:rFonts w:asciiTheme="minorBidi" w:hAnsiTheme="minorBidi" w:cstheme="minorBidi"/>
                <w:b/>
                <w:bCs/>
                <w:sz w:val="15"/>
                <w:szCs w:val="15"/>
                <w:rtl/>
              </w:rPr>
              <w:t>סך הכל פעילות ישראל</w:t>
            </w:r>
          </w:p>
        </w:tc>
        <w:tc>
          <w:tcPr>
            <w:tcW w:w="356" w:type="pct"/>
            <w:vAlign w:val="bottom"/>
          </w:tcPr>
          <w:p w14:paraId="570AB5DC"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b/>
                <w:bCs/>
                <w:sz w:val="15"/>
                <w:szCs w:val="15"/>
                <w:rtl/>
              </w:rPr>
            </w:pPr>
            <w:r w:rsidRPr="006501FC">
              <w:rPr>
                <w:rFonts w:asciiTheme="minorBidi" w:hAnsiTheme="minorBidi" w:cstheme="minorBidi"/>
                <w:b/>
                <w:bCs/>
                <w:sz w:val="15"/>
                <w:szCs w:val="15"/>
                <w:rtl/>
              </w:rPr>
              <w:t xml:space="preserve">סך הכל פעילות </w:t>
            </w:r>
            <w:r w:rsidRPr="006501FC">
              <w:rPr>
                <w:rFonts w:asciiTheme="minorBidi" w:hAnsiTheme="minorBidi" w:cstheme="minorBidi"/>
                <w:b/>
                <w:bCs/>
                <w:sz w:val="15"/>
                <w:szCs w:val="15"/>
                <w:rtl/>
              </w:rPr>
              <w:br/>
              <w:t>חו"ל</w:t>
            </w:r>
          </w:p>
        </w:tc>
        <w:tc>
          <w:tcPr>
            <w:tcW w:w="221" w:type="pct"/>
            <w:vAlign w:val="bottom"/>
          </w:tcPr>
          <w:p w14:paraId="50EF8BB8"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b/>
                <w:bCs/>
                <w:sz w:val="15"/>
                <w:szCs w:val="15"/>
                <w:rtl/>
              </w:rPr>
            </w:pPr>
            <w:r w:rsidRPr="006501FC">
              <w:rPr>
                <w:rFonts w:asciiTheme="minorBidi" w:hAnsiTheme="minorBidi" w:cstheme="minorBidi"/>
                <w:b/>
                <w:bCs/>
                <w:sz w:val="15"/>
                <w:szCs w:val="15"/>
                <w:rtl/>
              </w:rPr>
              <w:t>סך הכל</w:t>
            </w:r>
          </w:p>
        </w:tc>
      </w:tr>
      <w:tr w:rsidR="006501FC" w:rsidRPr="006501FC" w14:paraId="4C995909" w14:textId="77777777" w:rsidTr="003D0D66">
        <w:tc>
          <w:tcPr>
            <w:tcW w:w="951" w:type="pct"/>
            <w:vAlign w:val="bottom"/>
          </w:tcPr>
          <w:p w14:paraId="11EADD43" w14:textId="77777777" w:rsidR="006501FC" w:rsidRPr="006501FC" w:rsidRDefault="006501FC" w:rsidP="00400DD1">
            <w:pPr>
              <w:bidi w:val="0"/>
              <w:spacing w:line="60" w:lineRule="exact"/>
              <w:ind w:firstLine="1"/>
              <w:rPr>
                <w:rFonts w:asciiTheme="minorBidi" w:hAnsiTheme="minorBidi" w:cstheme="minorBidi"/>
                <w:color w:val="000000"/>
                <w:sz w:val="15"/>
                <w:szCs w:val="15"/>
                <w:rtl/>
                <w:lang w:eastAsia="he-IL"/>
              </w:rPr>
            </w:pPr>
          </w:p>
        </w:tc>
        <w:tc>
          <w:tcPr>
            <w:tcW w:w="264" w:type="pct"/>
          </w:tcPr>
          <w:p w14:paraId="7A36FE58"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324" w:type="pct"/>
          </w:tcPr>
          <w:p w14:paraId="2AC88037"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297" w:type="pct"/>
            <w:vAlign w:val="bottom"/>
          </w:tcPr>
          <w:p w14:paraId="68EB7666"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328" w:type="pct"/>
            <w:vAlign w:val="bottom"/>
          </w:tcPr>
          <w:p w14:paraId="2C2A1EA4"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317" w:type="pct"/>
            <w:vAlign w:val="bottom"/>
          </w:tcPr>
          <w:p w14:paraId="66E64F85"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327" w:type="pct"/>
            <w:vAlign w:val="bottom"/>
          </w:tcPr>
          <w:p w14:paraId="2C858845"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294" w:type="pct"/>
            <w:vAlign w:val="bottom"/>
          </w:tcPr>
          <w:p w14:paraId="19C98893"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345" w:type="pct"/>
            <w:gridSpan w:val="2"/>
            <w:vAlign w:val="bottom"/>
          </w:tcPr>
          <w:p w14:paraId="63892A25"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364" w:type="pct"/>
            <w:vAlign w:val="bottom"/>
          </w:tcPr>
          <w:p w14:paraId="2022B6DE"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230" w:type="pct"/>
            <w:vAlign w:val="bottom"/>
          </w:tcPr>
          <w:p w14:paraId="6ECE2BED"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383" w:type="pct"/>
            <w:vAlign w:val="bottom"/>
          </w:tcPr>
          <w:p w14:paraId="767815A9"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356" w:type="pct"/>
            <w:vAlign w:val="bottom"/>
          </w:tcPr>
          <w:p w14:paraId="77E3EA41"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221" w:type="pct"/>
          </w:tcPr>
          <w:p w14:paraId="7D9EB52C"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r>
      <w:tr w:rsidR="006501FC" w:rsidRPr="006501FC" w14:paraId="61676B14" w14:textId="77777777" w:rsidTr="003D0D66">
        <w:tc>
          <w:tcPr>
            <w:tcW w:w="951" w:type="pct"/>
            <w:vAlign w:val="bottom"/>
          </w:tcPr>
          <w:p w14:paraId="31F99872" w14:textId="77777777" w:rsidR="006501FC" w:rsidRPr="006501FC" w:rsidRDefault="006501FC" w:rsidP="00400DD1">
            <w:pPr>
              <w:spacing w:line="241" w:lineRule="auto"/>
              <w:ind w:left="2"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הכנסות ריבית מחיצוניים</w:t>
            </w:r>
          </w:p>
        </w:tc>
        <w:tc>
          <w:tcPr>
            <w:tcW w:w="264" w:type="pct"/>
            <w:vAlign w:val="bottom"/>
          </w:tcPr>
          <w:p w14:paraId="4F5A0FA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4D17430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1073105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2947180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2770808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21FFB4A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69C23CF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5BA8ADF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712689F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6E887DA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054992A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728B53C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6618D31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6501FC" w:rsidRPr="006501FC" w14:paraId="681CC0B4" w14:textId="77777777" w:rsidTr="003D0D66">
        <w:tc>
          <w:tcPr>
            <w:tcW w:w="951" w:type="pct"/>
            <w:vAlign w:val="bottom"/>
          </w:tcPr>
          <w:p w14:paraId="5783C7EA" w14:textId="77777777" w:rsidR="006501FC" w:rsidRPr="006501FC" w:rsidRDefault="006501FC" w:rsidP="00400DD1">
            <w:pPr>
              <w:spacing w:line="241" w:lineRule="auto"/>
              <w:ind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הוצאות ריבית מחיצוניים</w:t>
            </w:r>
          </w:p>
        </w:tc>
        <w:tc>
          <w:tcPr>
            <w:tcW w:w="264" w:type="pct"/>
            <w:vAlign w:val="bottom"/>
          </w:tcPr>
          <w:p w14:paraId="75993A31"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125A5002"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2DBC06E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2161FC9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47245F42"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59675379"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6BFA236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762CBCBE"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2D51CA5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35CB8B06"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5CA139D9"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30351D6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00B62E59"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6501FC" w:rsidRPr="006501FC" w14:paraId="2C8DC2EF" w14:textId="77777777" w:rsidTr="003D0D66">
        <w:tc>
          <w:tcPr>
            <w:tcW w:w="951" w:type="pct"/>
            <w:vAlign w:val="bottom"/>
          </w:tcPr>
          <w:p w14:paraId="3219B852" w14:textId="77777777" w:rsidR="006501FC" w:rsidRPr="006501FC" w:rsidRDefault="006501FC" w:rsidP="00400DD1">
            <w:pPr>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הכנסות ריבית, נטו מחיצוניים</w:t>
            </w:r>
          </w:p>
        </w:tc>
        <w:tc>
          <w:tcPr>
            <w:tcW w:w="264" w:type="pct"/>
            <w:vAlign w:val="bottom"/>
          </w:tcPr>
          <w:p w14:paraId="1FC0FB8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497F414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31F8916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27EE9D8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081EACC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1BD6E22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1DAEAAD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50DBD3B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1C54F6E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028FFDD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6908F9D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1866834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2FC8270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6501FC" w:rsidRPr="006501FC" w14:paraId="74B21E86" w14:textId="77777777" w:rsidTr="003D0D66">
        <w:tc>
          <w:tcPr>
            <w:tcW w:w="951" w:type="pct"/>
            <w:vAlign w:val="bottom"/>
          </w:tcPr>
          <w:p w14:paraId="557C15AD" w14:textId="77777777" w:rsidR="006501FC" w:rsidRPr="006501FC" w:rsidRDefault="006501FC" w:rsidP="00400DD1">
            <w:pPr>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הכנסות ריבית, נטו בינמגזרי</w:t>
            </w:r>
          </w:p>
        </w:tc>
        <w:tc>
          <w:tcPr>
            <w:tcW w:w="264" w:type="pct"/>
            <w:vAlign w:val="bottom"/>
          </w:tcPr>
          <w:p w14:paraId="1458794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21321E38"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1ABE1A5F"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0A0661B1"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31DE791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3ED89DF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17308CB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3C93BBC6"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0A976C9B"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6E2E295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7BF49677"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713D4558"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569A3362"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w:t>
            </w:r>
          </w:p>
        </w:tc>
      </w:tr>
      <w:tr w:rsidR="006501FC" w:rsidRPr="006501FC" w14:paraId="2602B7D4" w14:textId="77777777" w:rsidTr="003D0D66">
        <w:tc>
          <w:tcPr>
            <w:tcW w:w="951" w:type="pct"/>
            <w:vAlign w:val="bottom"/>
          </w:tcPr>
          <w:p w14:paraId="7049F868" w14:textId="77777777" w:rsidR="006501FC" w:rsidRPr="006501FC" w:rsidRDefault="006501FC" w:rsidP="00400DD1">
            <w:pPr>
              <w:spacing w:line="241" w:lineRule="auto"/>
              <w:ind w:firstLine="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סך הכנסות ריבית, נטו</w:t>
            </w:r>
          </w:p>
        </w:tc>
        <w:tc>
          <w:tcPr>
            <w:tcW w:w="264" w:type="pct"/>
            <w:vAlign w:val="bottom"/>
          </w:tcPr>
          <w:p w14:paraId="60CBA630"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7FB37BBD"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239F0EFA"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280E567A"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49184F00"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449B942F"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1F90991B"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094E65F9"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1FAAA7AC"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70EF3D62"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2512D8E1"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5F170860"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1" w:type="pct"/>
            <w:vAlign w:val="bottom"/>
          </w:tcPr>
          <w:p w14:paraId="11A94683"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6501FC" w:rsidRPr="006501FC" w14:paraId="1FBCBCAF" w14:textId="77777777" w:rsidTr="003D0D66">
        <w:tc>
          <w:tcPr>
            <w:tcW w:w="951" w:type="pct"/>
            <w:vAlign w:val="bottom"/>
          </w:tcPr>
          <w:p w14:paraId="5153083F" w14:textId="77777777" w:rsidR="006501FC" w:rsidRPr="006501FC" w:rsidRDefault="006501FC" w:rsidP="00400DD1">
            <w:pPr>
              <w:spacing w:line="80" w:lineRule="exact"/>
              <w:ind w:firstLine="1"/>
              <w:jc w:val="left"/>
              <w:rPr>
                <w:rFonts w:asciiTheme="minorBidi" w:hAnsiTheme="minorBidi" w:cstheme="minorBidi"/>
                <w:color w:val="000000"/>
                <w:sz w:val="15"/>
                <w:szCs w:val="15"/>
                <w:rtl/>
                <w:lang w:eastAsia="he-IL"/>
              </w:rPr>
            </w:pPr>
          </w:p>
        </w:tc>
        <w:tc>
          <w:tcPr>
            <w:tcW w:w="264" w:type="pct"/>
            <w:vAlign w:val="bottom"/>
          </w:tcPr>
          <w:p w14:paraId="7970369E"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4" w:type="pct"/>
            <w:vAlign w:val="bottom"/>
          </w:tcPr>
          <w:p w14:paraId="60EC5484"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97" w:type="pct"/>
            <w:vAlign w:val="bottom"/>
          </w:tcPr>
          <w:p w14:paraId="65733560"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8" w:type="pct"/>
            <w:vAlign w:val="bottom"/>
          </w:tcPr>
          <w:p w14:paraId="0FD39385"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17" w:type="pct"/>
            <w:vAlign w:val="bottom"/>
          </w:tcPr>
          <w:p w14:paraId="42CF2185"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7" w:type="pct"/>
            <w:vAlign w:val="bottom"/>
          </w:tcPr>
          <w:p w14:paraId="1F45BABE"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94" w:type="pct"/>
            <w:vAlign w:val="bottom"/>
          </w:tcPr>
          <w:p w14:paraId="5119D32E"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45" w:type="pct"/>
            <w:gridSpan w:val="2"/>
            <w:vAlign w:val="bottom"/>
          </w:tcPr>
          <w:p w14:paraId="66C7627A"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64" w:type="pct"/>
            <w:vAlign w:val="bottom"/>
          </w:tcPr>
          <w:p w14:paraId="0A19C933"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30" w:type="pct"/>
            <w:vAlign w:val="bottom"/>
          </w:tcPr>
          <w:p w14:paraId="1A486C11"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83" w:type="pct"/>
            <w:vAlign w:val="bottom"/>
          </w:tcPr>
          <w:p w14:paraId="6766870A"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56" w:type="pct"/>
            <w:vAlign w:val="bottom"/>
          </w:tcPr>
          <w:p w14:paraId="635773AE"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21" w:type="pct"/>
            <w:vAlign w:val="bottom"/>
          </w:tcPr>
          <w:p w14:paraId="2CFDCD61"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r>
      <w:tr w:rsidR="006501FC" w:rsidRPr="006501FC" w14:paraId="15073BB5" w14:textId="77777777" w:rsidTr="003D0D66">
        <w:tc>
          <w:tcPr>
            <w:tcW w:w="951" w:type="pct"/>
            <w:vAlign w:val="bottom"/>
          </w:tcPr>
          <w:p w14:paraId="269F5320" w14:textId="77777777" w:rsidR="006501FC" w:rsidRPr="006501FC" w:rsidRDefault="006501FC" w:rsidP="00400DD1">
            <w:pPr>
              <w:spacing w:line="241" w:lineRule="auto"/>
              <w:ind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הכנסות שאינן מריבית:</w:t>
            </w:r>
          </w:p>
        </w:tc>
        <w:tc>
          <w:tcPr>
            <w:tcW w:w="264" w:type="pct"/>
            <w:vAlign w:val="bottom"/>
          </w:tcPr>
          <w:p w14:paraId="4944CC64"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4" w:type="pct"/>
            <w:vAlign w:val="bottom"/>
          </w:tcPr>
          <w:p w14:paraId="6F61E307"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97" w:type="pct"/>
            <w:vAlign w:val="bottom"/>
          </w:tcPr>
          <w:p w14:paraId="194F876B"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8" w:type="pct"/>
            <w:vAlign w:val="bottom"/>
          </w:tcPr>
          <w:p w14:paraId="1B0AE1B9"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17" w:type="pct"/>
            <w:vAlign w:val="bottom"/>
          </w:tcPr>
          <w:p w14:paraId="0B82457C"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7" w:type="pct"/>
            <w:vAlign w:val="bottom"/>
          </w:tcPr>
          <w:p w14:paraId="1FB06045"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94" w:type="pct"/>
            <w:vAlign w:val="bottom"/>
          </w:tcPr>
          <w:p w14:paraId="4C69EFB6"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45" w:type="pct"/>
            <w:gridSpan w:val="2"/>
            <w:vAlign w:val="bottom"/>
          </w:tcPr>
          <w:p w14:paraId="171DFF3F"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64" w:type="pct"/>
            <w:vAlign w:val="bottom"/>
          </w:tcPr>
          <w:p w14:paraId="74D5DD77"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30" w:type="pct"/>
            <w:vAlign w:val="bottom"/>
          </w:tcPr>
          <w:p w14:paraId="4B9E064E"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83" w:type="pct"/>
            <w:vAlign w:val="bottom"/>
          </w:tcPr>
          <w:p w14:paraId="0864C3B8"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56" w:type="pct"/>
            <w:vAlign w:val="bottom"/>
          </w:tcPr>
          <w:p w14:paraId="1CB5141B"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21" w:type="pct"/>
            <w:vAlign w:val="bottom"/>
          </w:tcPr>
          <w:p w14:paraId="69D1145E"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r>
      <w:tr w:rsidR="006501FC" w:rsidRPr="006501FC" w14:paraId="30E5E631" w14:textId="77777777" w:rsidTr="003D0D66">
        <w:tc>
          <w:tcPr>
            <w:tcW w:w="951" w:type="pct"/>
            <w:vAlign w:val="bottom"/>
          </w:tcPr>
          <w:p w14:paraId="518A5543" w14:textId="77777777" w:rsidR="006501FC" w:rsidRPr="006501FC" w:rsidRDefault="006501FC" w:rsidP="00400DD1">
            <w:pPr>
              <w:spacing w:line="241" w:lineRule="auto"/>
              <w:ind w:left="257"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מחיצוניים</w:t>
            </w:r>
          </w:p>
        </w:tc>
        <w:tc>
          <w:tcPr>
            <w:tcW w:w="264" w:type="pct"/>
            <w:vAlign w:val="bottom"/>
          </w:tcPr>
          <w:p w14:paraId="42F5C24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692A2C6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11F7324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534FCD9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378EFBD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0361173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3EC563B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358F342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51D1943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7030C59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1A19457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568AB9C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2305CF1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6501FC" w:rsidRPr="006501FC" w14:paraId="70ACFB03" w14:textId="77777777" w:rsidTr="003D0D66">
        <w:tc>
          <w:tcPr>
            <w:tcW w:w="951" w:type="pct"/>
            <w:vAlign w:val="bottom"/>
          </w:tcPr>
          <w:p w14:paraId="7EBCBAEA" w14:textId="77777777" w:rsidR="006501FC" w:rsidRPr="006501FC" w:rsidRDefault="006501FC" w:rsidP="00400DD1">
            <w:pPr>
              <w:spacing w:line="241" w:lineRule="auto"/>
              <w:ind w:left="257"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בינמגזרי</w:t>
            </w:r>
          </w:p>
        </w:tc>
        <w:tc>
          <w:tcPr>
            <w:tcW w:w="264" w:type="pct"/>
            <w:vAlign w:val="bottom"/>
          </w:tcPr>
          <w:p w14:paraId="295BB066"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3D8B099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19FC3CE7"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7CB9293B"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666FA8EE"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64B08CE6"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641A369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5CADDD7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1515A2BB"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7A108F8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685E7B8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0BB64D27"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6BBA99D9"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w:t>
            </w:r>
          </w:p>
        </w:tc>
      </w:tr>
      <w:tr w:rsidR="006501FC" w:rsidRPr="006501FC" w14:paraId="359E7BA5" w14:textId="77777777" w:rsidTr="003D0D66">
        <w:tc>
          <w:tcPr>
            <w:tcW w:w="951" w:type="pct"/>
            <w:vAlign w:val="bottom"/>
          </w:tcPr>
          <w:p w14:paraId="3726928F" w14:textId="77777777" w:rsidR="006501FC" w:rsidRPr="006501FC" w:rsidRDefault="006501FC" w:rsidP="00400DD1">
            <w:pPr>
              <w:spacing w:line="241" w:lineRule="auto"/>
              <w:ind w:firstLine="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סך הכנסות שאינן מריבית</w:t>
            </w:r>
          </w:p>
        </w:tc>
        <w:tc>
          <w:tcPr>
            <w:tcW w:w="264" w:type="pct"/>
            <w:vAlign w:val="bottom"/>
          </w:tcPr>
          <w:p w14:paraId="5DD14426" w14:textId="77777777" w:rsidR="006501FC" w:rsidRPr="006501FC" w:rsidRDefault="006501FC" w:rsidP="00400DD1">
            <w:pPr>
              <w:pBdr>
                <w:bottom w:val="single" w:sz="8"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40305B98"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1A369E61"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3C669FA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48073D7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58CD740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5CE988D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063448F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1EE0454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1CCDD5C9"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1F8F4D9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579FB3CD"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1" w:type="pct"/>
            <w:vAlign w:val="bottom"/>
          </w:tcPr>
          <w:p w14:paraId="24C1B08B"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6501FC" w:rsidRPr="006501FC" w14:paraId="49D14C92" w14:textId="77777777" w:rsidTr="003D0D66">
        <w:tc>
          <w:tcPr>
            <w:tcW w:w="951" w:type="pct"/>
            <w:vAlign w:val="bottom"/>
          </w:tcPr>
          <w:p w14:paraId="1BFA36CB" w14:textId="77777777" w:rsidR="006501FC" w:rsidRPr="006501FC" w:rsidRDefault="006501FC" w:rsidP="00400DD1">
            <w:pPr>
              <w:spacing w:line="241" w:lineRule="auto"/>
              <w:ind w:firstLine="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סך הכנסות</w:t>
            </w:r>
          </w:p>
        </w:tc>
        <w:tc>
          <w:tcPr>
            <w:tcW w:w="264" w:type="pct"/>
            <w:vAlign w:val="bottom"/>
          </w:tcPr>
          <w:p w14:paraId="6914D905"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5FD67566"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4162A910"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00FCB0F2"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791CD721"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6275F510"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624757BA"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65FD7081"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46D20152"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01897551"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116665B1"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2057F2CC"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1" w:type="pct"/>
            <w:vAlign w:val="bottom"/>
          </w:tcPr>
          <w:p w14:paraId="690A43A0"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6501FC" w:rsidRPr="006501FC" w14:paraId="5F716951" w14:textId="77777777" w:rsidTr="003D0D66">
        <w:tc>
          <w:tcPr>
            <w:tcW w:w="951" w:type="pct"/>
            <w:vAlign w:val="bottom"/>
          </w:tcPr>
          <w:p w14:paraId="7D734D5C" w14:textId="77777777" w:rsidR="006501FC" w:rsidRPr="006501FC" w:rsidRDefault="006501FC" w:rsidP="00400DD1">
            <w:pPr>
              <w:spacing w:line="80" w:lineRule="exact"/>
              <w:ind w:firstLine="1"/>
              <w:jc w:val="left"/>
              <w:rPr>
                <w:rFonts w:asciiTheme="minorBidi" w:hAnsiTheme="minorBidi" w:cstheme="minorBidi"/>
                <w:color w:val="000000"/>
                <w:sz w:val="15"/>
                <w:szCs w:val="15"/>
                <w:rtl/>
                <w:lang w:eastAsia="he-IL"/>
              </w:rPr>
            </w:pPr>
          </w:p>
        </w:tc>
        <w:tc>
          <w:tcPr>
            <w:tcW w:w="264" w:type="pct"/>
            <w:vAlign w:val="bottom"/>
          </w:tcPr>
          <w:p w14:paraId="4B6BB7D6"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4" w:type="pct"/>
            <w:vAlign w:val="bottom"/>
          </w:tcPr>
          <w:p w14:paraId="7E78587E"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97" w:type="pct"/>
            <w:vAlign w:val="bottom"/>
          </w:tcPr>
          <w:p w14:paraId="69E7CC1D"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8" w:type="pct"/>
            <w:vAlign w:val="bottom"/>
          </w:tcPr>
          <w:p w14:paraId="7C8E5590"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17" w:type="pct"/>
            <w:vAlign w:val="bottom"/>
          </w:tcPr>
          <w:p w14:paraId="7B757E21"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7" w:type="pct"/>
            <w:vAlign w:val="bottom"/>
          </w:tcPr>
          <w:p w14:paraId="6574ABE7"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94" w:type="pct"/>
            <w:vAlign w:val="bottom"/>
          </w:tcPr>
          <w:p w14:paraId="47F396C2"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45" w:type="pct"/>
            <w:gridSpan w:val="2"/>
            <w:vAlign w:val="bottom"/>
          </w:tcPr>
          <w:p w14:paraId="66EB6225"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64" w:type="pct"/>
            <w:vAlign w:val="bottom"/>
          </w:tcPr>
          <w:p w14:paraId="6F212531"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30" w:type="pct"/>
            <w:vAlign w:val="bottom"/>
          </w:tcPr>
          <w:p w14:paraId="659CBD63"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83" w:type="pct"/>
            <w:vAlign w:val="bottom"/>
          </w:tcPr>
          <w:p w14:paraId="491A7115"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56" w:type="pct"/>
            <w:vAlign w:val="bottom"/>
          </w:tcPr>
          <w:p w14:paraId="1670FE9C"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21" w:type="pct"/>
            <w:vAlign w:val="bottom"/>
          </w:tcPr>
          <w:p w14:paraId="07E46132"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r>
      <w:tr w:rsidR="006501FC" w:rsidRPr="006501FC" w14:paraId="3D3B1C80" w14:textId="77777777" w:rsidTr="003D0D66">
        <w:tc>
          <w:tcPr>
            <w:tcW w:w="951" w:type="pct"/>
            <w:vAlign w:val="bottom"/>
          </w:tcPr>
          <w:p w14:paraId="1CE2446F" w14:textId="77777777" w:rsidR="006501FC" w:rsidRPr="006501FC" w:rsidRDefault="006501FC" w:rsidP="00400DD1">
            <w:pPr>
              <w:spacing w:line="241" w:lineRule="auto"/>
              <w:ind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הוצאות בגין הפסדי אשראי</w:t>
            </w:r>
          </w:p>
        </w:tc>
        <w:tc>
          <w:tcPr>
            <w:tcW w:w="264" w:type="pct"/>
            <w:vAlign w:val="bottom"/>
          </w:tcPr>
          <w:p w14:paraId="2F68216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48D6466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5F57E36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49BB447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303ECB4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7409E75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3AFBFDE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704904F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3C51A8A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23C06FA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28892B99"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315A47B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6F7D83E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6501FC" w:rsidRPr="006501FC" w14:paraId="581D3AE6" w14:textId="77777777" w:rsidTr="003D0D66">
        <w:tc>
          <w:tcPr>
            <w:tcW w:w="951" w:type="pct"/>
            <w:vAlign w:val="bottom"/>
          </w:tcPr>
          <w:p w14:paraId="1FC128A7" w14:textId="77777777" w:rsidR="006501FC" w:rsidRPr="006501FC" w:rsidRDefault="006501FC" w:rsidP="00400DD1">
            <w:pPr>
              <w:spacing w:line="241" w:lineRule="auto"/>
              <w:ind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הוצאות תפעוליות ואחרות:</w:t>
            </w:r>
          </w:p>
        </w:tc>
        <w:tc>
          <w:tcPr>
            <w:tcW w:w="264" w:type="pct"/>
            <w:vAlign w:val="bottom"/>
          </w:tcPr>
          <w:p w14:paraId="50415374"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4" w:type="pct"/>
            <w:vAlign w:val="bottom"/>
          </w:tcPr>
          <w:p w14:paraId="752B593C"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97" w:type="pct"/>
            <w:vAlign w:val="bottom"/>
          </w:tcPr>
          <w:p w14:paraId="1B0B59AC"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8" w:type="pct"/>
            <w:vAlign w:val="bottom"/>
          </w:tcPr>
          <w:p w14:paraId="1D7BCD2A"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17" w:type="pct"/>
            <w:vAlign w:val="bottom"/>
          </w:tcPr>
          <w:p w14:paraId="317A8825"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7" w:type="pct"/>
            <w:vAlign w:val="bottom"/>
          </w:tcPr>
          <w:p w14:paraId="44C5BCA5"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94" w:type="pct"/>
            <w:vAlign w:val="bottom"/>
          </w:tcPr>
          <w:p w14:paraId="70E2F189"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45" w:type="pct"/>
            <w:gridSpan w:val="2"/>
            <w:vAlign w:val="bottom"/>
          </w:tcPr>
          <w:p w14:paraId="4D590EAD"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64" w:type="pct"/>
            <w:vAlign w:val="bottom"/>
          </w:tcPr>
          <w:p w14:paraId="6C94F111"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30" w:type="pct"/>
            <w:vAlign w:val="bottom"/>
          </w:tcPr>
          <w:p w14:paraId="28F0FA6F"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83" w:type="pct"/>
            <w:vAlign w:val="bottom"/>
          </w:tcPr>
          <w:p w14:paraId="3FC44579"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56" w:type="pct"/>
            <w:vAlign w:val="bottom"/>
          </w:tcPr>
          <w:p w14:paraId="67AA01EE"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21" w:type="pct"/>
            <w:vAlign w:val="bottom"/>
          </w:tcPr>
          <w:p w14:paraId="0018F28A"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r>
      <w:tr w:rsidR="006501FC" w:rsidRPr="006501FC" w14:paraId="460C8629" w14:textId="77777777" w:rsidTr="003D0D66">
        <w:tc>
          <w:tcPr>
            <w:tcW w:w="951" w:type="pct"/>
            <w:vAlign w:val="bottom"/>
          </w:tcPr>
          <w:p w14:paraId="74696E2F" w14:textId="77777777" w:rsidR="006501FC" w:rsidRPr="006501FC" w:rsidRDefault="006501FC" w:rsidP="00400DD1">
            <w:pPr>
              <w:spacing w:line="241" w:lineRule="auto"/>
              <w:ind w:left="271"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לחיצוניים</w:t>
            </w:r>
          </w:p>
        </w:tc>
        <w:tc>
          <w:tcPr>
            <w:tcW w:w="264" w:type="pct"/>
            <w:vAlign w:val="bottom"/>
          </w:tcPr>
          <w:p w14:paraId="0BB4E66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35F6E0E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5B1E79D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3B36413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2B6FE53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7EB8745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055360B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6AB2B1F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6462F86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43E0317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0AD60529"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4F90BD7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7EC0D08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6501FC" w:rsidRPr="006501FC" w14:paraId="49DCED11" w14:textId="77777777" w:rsidTr="003D0D66">
        <w:tc>
          <w:tcPr>
            <w:tcW w:w="951" w:type="pct"/>
            <w:vAlign w:val="bottom"/>
          </w:tcPr>
          <w:p w14:paraId="6983B8DF" w14:textId="77777777" w:rsidR="006501FC" w:rsidRPr="006501FC" w:rsidRDefault="006501FC" w:rsidP="00400DD1">
            <w:pPr>
              <w:spacing w:line="241" w:lineRule="auto"/>
              <w:ind w:left="271"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בינמגזרי</w:t>
            </w:r>
          </w:p>
        </w:tc>
        <w:tc>
          <w:tcPr>
            <w:tcW w:w="264" w:type="pct"/>
            <w:vAlign w:val="bottom"/>
          </w:tcPr>
          <w:p w14:paraId="7D58250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3990FAC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09F13C3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069F21D6"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21E1AFC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6A218FD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2497A1BE"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6824B4D0"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633971A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2DC997DE"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29D3D9B8"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3F5438EB"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1D185761"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w:t>
            </w:r>
          </w:p>
        </w:tc>
      </w:tr>
      <w:tr w:rsidR="006501FC" w:rsidRPr="006501FC" w14:paraId="52290074" w14:textId="77777777" w:rsidTr="003D0D66">
        <w:tc>
          <w:tcPr>
            <w:tcW w:w="951" w:type="pct"/>
            <w:vAlign w:val="bottom"/>
          </w:tcPr>
          <w:p w14:paraId="3B7F944C" w14:textId="77777777" w:rsidR="006501FC" w:rsidRPr="006501FC" w:rsidRDefault="006501FC" w:rsidP="00400DD1">
            <w:pPr>
              <w:spacing w:line="241" w:lineRule="auto"/>
              <w:ind w:firstLine="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סך הוצאות תפעוליות ואחרות</w:t>
            </w:r>
          </w:p>
        </w:tc>
        <w:tc>
          <w:tcPr>
            <w:tcW w:w="264" w:type="pct"/>
            <w:vAlign w:val="bottom"/>
          </w:tcPr>
          <w:p w14:paraId="2868E966"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5BCEB3F6"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23DAD04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1C7489C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3DD5B52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4A92DB80"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7EFBAAE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17D7F487"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52CC90B8"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0CD8CD18"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7440DAE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771B7B5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1" w:type="pct"/>
            <w:vAlign w:val="bottom"/>
          </w:tcPr>
          <w:p w14:paraId="74573F6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6501FC" w:rsidRPr="006501FC" w14:paraId="7B31A37B" w14:textId="77777777" w:rsidTr="003D0D66">
        <w:tc>
          <w:tcPr>
            <w:tcW w:w="951" w:type="pct"/>
            <w:vAlign w:val="bottom"/>
          </w:tcPr>
          <w:p w14:paraId="0A03437A" w14:textId="77777777" w:rsidR="006501FC" w:rsidRPr="006501FC" w:rsidRDefault="006501FC" w:rsidP="00400DD1">
            <w:pPr>
              <w:spacing w:line="80" w:lineRule="exact"/>
              <w:ind w:firstLine="1"/>
              <w:jc w:val="left"/>
              <w:rPr>
                <w:rFonts w:asciiTheme="minorBidi" w:hAnsiTheme="minorBidi" w:cstheme="minorBidi"/>
                <w:color w:val="000000"/>
                <w:sz w:val="15"/>
                <w:szCs w:val="15"/>
                <w:rtl/>
                <w:lang w:eastAsia="he-IL"/>
              </w:rPr>
            </w:pPr>
          </w:p>
        </w:tc>
        <w:tc>
          <w:tcPr>
            <w:tcW w:w="264" w:type="pct"/>
            <w:vAlign w:val="bottom"/>
          </w:tcPr>
          <w:p w14:paraId="3A4050EC"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4" w:type="pct"/>
            <w:vAlign w:val="bottom"/>
          </w:tcPr>
          <w:p w14:paraId="506D5104"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97" w:type="pct"/>
            <w:vAlign w:val="bottom"/>
          </w:tcPr>
          <w:p w14:paraId="0CC9D3C8"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8" w:type="pct"/>
            <w:vAlign w:val="bottom"/>
          </w:tcPr>
          <w:p w14:paraId="35CE6484"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17" w:type="pct"/>
            <w:vAlign w:val="bottom"/>
          </w:tcPr>
          <w:p w14:paraId="49F2F305"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7" w:type="pct"/>
            <w:vAlign w:val="bottom"/>
          </w:tcPr>
          <w:p w14:paraId="0861E335"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94" w:type="pct"/>
            <w:vAlign w:val="bottom"/>
          </w:tcPr>
          <w:p w14:paraId="2E561A4F"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45" w:type="pct"/>
            <w:gridSpan w:val="2"/>
            <w:vAlign w:val="bottom"/>
          </w:tcPr>
          <w:p w14:paraId="383C0910"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64" w:type="pct"/>
            <w:vAlign w:val="bottom"/>
          </w:tcPr>
          <w:p w14:paraId="723485C6"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30" w:type="pct"/>
            <w:vAlign w:val="bottom"/>
          </w:tcPr>
          <w:p w14:paraId="63FCEA66"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83" w:type="pct"/>
            <w:vAlign w:val="bottom"/>
          </w:tcPr>
          <w:p w14:paraId="78B9336D"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56" w:type="pct"/>
            <w:vAlign w:val="bottom"/>
          </w:tcPr>
          <w:p w14:paraId="73F6DDC5"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21" w:type="pct"/>
            <w:vAlign w:val="bottom"/>
          </w:tcPr>
          <w:p w14:paraId="60A6D476"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r>
      <w:tr w:rsidR="006501FC" w:rsidRPr="006501FC" w14:paraId="2CB96224" w14:textId="77777777" w:rsidTr="003D0D66">
        <w:tc>
          <w:tcPr>
            <w:tcW w:w="951" w:type="pct"/>
            <w:vAlign w:val="bottom"/>
          </w:tcPr>
          <w:p w14:paraId="3A59A61D" w14:textId="77777777" w:rsidR="006501FC" w:rsidRPr="006501FC" w:rsidRDefault="006501FC" w:rsidP="00400DD1">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רווח לפני מסים</w:t>
            </w:r>
          </w:p>
        </w:tc>
        <w:tc>
          <w:tcPr>
            <w:tcW w:w="264" w:type="pct"/>
            <w:vAlign w:val="bottom"/>
          </w:tcPr>
          <w:p w14:paraId="1C4666E7"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53E66084"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4811956C"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659E3888"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01EBB39E"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4A5671B1"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71545D1B"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4C84C26E"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1C23C5E9"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236C4E38"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0D017444"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0BD617D8"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1" w:type="pct"/>
            <w:vAlign w:val="bottom"/>
          </w:tcPr>
          <w:p w14:paraId="2F5D635B"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6501FC" w:rsidRPr="006501FC" w14:paraId="1712DF7B" w14:textId="77777777" w:rsidTr="003D0D66">
        <w:tc>
          <w:tcPr>
            <w:tcW w:w="951" w:type="pct"/>
            <w:vAlign w:val="bottom"/>
          </w:tcPr>
          <w:p w14:paraId="5EF6CEE0" w14:textId="77777777" w:rsidR="006501FC" w:rsidRPr="006501FC" w:rsidRDefault="006501FC" w:rsidP="00400DD1">
            <w:pPr>
              <w:spacing w:line="241" w:lineRule="auto"/>
              <w:ind w:left="172" w:hanging="17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הפרשה למסים על הרווח</w:t>
            </w:r>
          </w:p>
        </w:tc>
        <w:tc>
          <w:tcPr>
            <w:tcW w:w="264" w:type="pct"/>
            <w:vAlign w:val="bottom"/>
          </w:tcPr>
          <w:p w14:paraId="3D6B5260"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5943EF09"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1E361506"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1BD1381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4462551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0B679280"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1F6BF9FD"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0C622F50"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2DBDBFB8"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6370BD66"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771EDDC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762FE2F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2622909F"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6501FC" w:rsidRPr="006501FC" w14:paraId="7E57C5B5" w14:textId="77777777" w:rsidTr="003D0D66">
        <w:tc>
          <w:tcPr>
            <w:tcW w:w="951" w:type="pct"/>
            <w:vAlign w:val="bottom"/>
          </w:tcPr>
          <w:p w14:paraId="4A14429B" w14:textId="77777777" w:rsidR="006501FC" w:rsidRPr="006501FC" w:rsidRDefault="006501FC" w:rsidP="00400DD1">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רווח לאחר מסים</w:t>
            </w:r>
          </w:p>
        </w:tc>
        <w:tc>
          <w:tcPr>
            <w:tcW w:w="264" w:type="pct"/>
            <w:vAlign w:val="bottom"/>
          </w:tcPr>
          <w:p w14:paraId="064C14BF"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2FC48E19"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228C1D17"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7444C42F"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0D272E32"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3323F607"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05A2376C"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3B34EBA6"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784108BB"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71F8EE6F"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75E005F1"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2E50E4DD"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1" w:type="pct"/>
            <w:vAlign w:val="bottom"/>
          </w:tcPr>
          <w:p w14:paraId="7068C4EE"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6501FC" w:rsidRPr="006501FC" w14:paraId="5F1E695F" w14:textId="77777777" w:rsidTr="003D0D66">
        <w:tc>
          <w:tcPr>
            <w:tcW w:w="951" w:type="pct"/>
            <w:vAlign w:val="bottom"/>
          </w:tcPr>
          <w:p w14:paraId="0848BCA6" w14:textId="77777777" w:rsidR="006501FC" w:rsidRPr="006501FC" w:rsidRDefault="006501FC" w:rsidP="00400DD1">
            <w:pPr>
              <w:spacing w:line="241" w:lineRule="auto"/>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 xml:space="preserve">חלקו של התאגיד הבנקאי </w:t>
            </w:r>
            <w:r w:rsidRPr="006501FC">
              <w:rPr>
                <w:rFonts w:asciiTheme="minorBidi" w:hAnsiTheme="minorBidi" w:cstheme="minorBidi" w:hint="cs"/>
                <w:color w:val="000000"/>
                <w:sz w:val="15"/>
                <w:szCs w:val="15"/>
                <w:rtl/>
                <w:lang w:eastAsia="he-IL"/>
              </w:rPr>
              <w:t>ב</w:t>
            </w:r>
            <w:r w:rsidRPr="006501FC">
              <w:rPr>
                <w:rFonts w:asciiTheme="minorBidi" w:hAnsiTheme="minorBidi" w:cstheme="minorBidi"/>
                <w:color w:val="000000"/>
                <w:sz w:val="15"/>
                <w:szCs w:val="15"/>
                <w:rtl/>
                <w:lang w:eastAsia="he-IL"/>
              </w:rPr>
              <w:t xml:space="preserve">רווחים של חברות כלולות </w:t>
            </w:r>
          </w:p>
        </w:tc>
        <w:tc>
          <w:tcPr>
            <w:tcW w:w="264" w:type="pct"/>
            <w:vAlign w:val="bottom"/>
          </w:tcPr>
          <w:p w14:paraId="6979E49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0442C50E"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108E61E9"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414EE77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0B135099"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7F07BB2B"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66A46CA9"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4CE97BF7"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3445942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6C50E1A6"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75ED7C76"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32CCAF1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1" w:type="pct"/>
            <w:vAlign w:val="bottom"/>
          </w:tcPr>
          <w:p w14:paraId="716587F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6501FC" w:rsidRPr="006501FC" w14:paraId="7C53D61C" w14:textId="77777777" w:rsidTr="003D0D66">
        <w:tc>
          <w:tcPr>
            <w:tcW w:w="951" w:type="pct"/>
            <w:vAlign w:val="bottom"/>
          </w:tcPr>
          <w:p w14:paraId="2CBD3C8D" w14:textId="77777777" w:rsidR="006501FC" w:rsidRPr="006501FC" w:rsidRDefault="006501FC" w:rsidP="00400DD1">
            <w:pPr>
              <w:spacing w:line="241" w:lineRule="auto"/>
              <w:jc w:val="left"/>
              <w:rPr>
                <w:color w:val="000000"/>
                <w:sz w:val="15"/>
                <w:szCs w:val="15"/>
                <w:rtl/>
                <w:lang w:eastAsia="he-IL"/>
              </w:rPr>
            </w:pPr>
            <w:r w:rsidRPr="006501FC">
              <w:rPr>
                <w:rFonts w:hint="eastAsia"/>
                <w:color w:val="000000"/>
                <w:sz w:val="15"/>
                <w:szCs w:val="15"/>
                <w:rtl/>
                <w:lang w:eastAsia="he-IL"/>
              </w:rPr>
              <w:t>רווח</w:t>
            </w:r>
            <w:r w:rsidRPr="006501FC">
              <w:rPr>
                <w:color w:val="000000"/>
                <w:sz w:val="15"/>
                <w:szCs w:val="15"/>
                <w:rtl/>
                <w:lang w:eastAsia="he-IL"/>
              </w:rPr>
              <w:t xml:space="preserve"> </w:t>
            </w:r>
            <w:r w:rsidRPr="006501FC">
              <w:rPr>
                <w:rFonts w:hint="eastAsia"/>
                <w:color w:val="000000"/>
                <w:sz w:val="15"/>
                <w:szCs w:val="15"/>
                <w:rtl/>
                <w:lang w:eastAsia="he-IL"/>
              </w:rPr>
              <w:t>נקי</w:t>
            </w:r>
            <w:r w:rsidRPr="006501FC">
              <w:rPr>
                <w:color w:val="000000"/>
                <w:sz w:val="15"/>
                <w:szCs w:val="15"/>
                <w:rtl/>
                <w:lang w:eastAsia="he-IL"/>
              </w:rPr>
              <w:t xml:space="preserve"> </w:t>
            </w:r>
            <w:r w:rsidRPr="006501FC">
              <w:rPr>
                <w:rFonts w:hint="eastAsia"/>
                <w:color w:val="000000"/>
                <w:sz w:val="15"/>
                <w:szCs w:val="15"/>
                <w:rtl/>
                <w:lang w:eastAsia="he-IL"/>
              </w:rPr>
              <w:t>לפני</w:t>
            </w:r>
            <w:r w:rsidRPr="006501FC">
              <w:rPr>
                <w:color w:val="000000"/>
                <w:sz w:val="15"/>
                <w:szCs w:val="15"/>
                <w:rtl/>
                <w:lang w:eastAsia="he-IL"/>
              </w:rPr>
              <w:t xml:space="preserve"> </w:t>
            </w:r>
            <w:r w:rsidRPr="006501FC">
              <w:rPr>
                <w:rFonts w:hint="eastAsia"/>
                <w:color w:val="000000"/>
                <w:sz w:val="15"/>
                <w:szCs w:val="15"/>
                <w:rtl/>
                <w:lang w:eastAsia="he-IL"/>
              </w:rPr>
              <w:t>ייחוס</w:t>
            </w:r>
            <w:r w:rsidRPr="006501FC">
              <w:rPr>
                <w:color w:val="000000"/>
                <w:sz w:val="15"/>
                <w:szCs w:val="15"/>
                <w:rtl/>
                <w:lang w:eastAsia="he-IL"/>
              </w:rPr>
              <w:t xml:space="preserve"> </w:t>
            </w:r>
            <w:r w:rsidRPr="006501FC">
              <w:rPr>
                <w:rFonts w:hint="eastAsia"/>
                <w:color w:val="000000"/>
                <w:sz w:val="15"/>
                <w:szCs w:val="15"/>
                <w:rtl/>
                <w:lang w:eastAsia="he-IL"/>
              </w:rPr>
              <w:t>לבעלי</w:t>
            </w:r>
            <w:r w:rsidRPr="006501FC">
              <w:rPr>
                <w:color w:val="000000"/>
                <w:sz w:val="15"/>
                <w:szCs w:val="15"/>
                <w:rtl/>
                <w:lang w:eastAsia="he-IL"/>
              </w:rPr>
              <w:t xml:space="preserve"> </w:t>
            </w:r>
            <w:r w:rsidRPr="006501FC">
              <w:rPr>
                <w:rFonts w:hint="eastAsia"/>
                <w:color w:val="000000"/>
                <w:sz w:val="15"/>
                <w:szCs w:val="15"/>
                <w:rtl/>
                <w:lang w:eastAsia="he-IL"/>
              </w:rPr>
              <w:t>זכויות</w:t>
            </w:r>
            <w:r w:rsidRPr="006501FC">
              <w:rPr>
                <w:color w:val="000000"/>
                <w:sz w:val="15"/>
                <w:szCs w:val="15"/>
                <w:rtl/>
                <w:lang w:eastAsia="he-IL"/>
              </w:rPr>
              <w:t xml:space="preserve"> </w:t>
            </w:r>
            <w:r w:rsidRPr="006501FC">
              <w:rPr>
                <w:rFonts w:hint="eastAsia"/>
                <w:color w:val="000000"/>
                <w:sz w:val="15"/>
                <w:szCs w:val="15"/>
                <w:rtl/>
                <w:lang w:eastAsia="he-IL"/>
              </w:rPr>
              <w:t>שאינן</w:t>
            </w:r>
            <w:r w:rsidRPr="006501FC">
              <w:rPr>
                <w:color w:val="000000"/>
                <w:sz w:val="15"/>
                <w:szCs w:val="15"/>
                <w:rtl/>
                <w:lang w:eastAsia="he-IL"/>
              </w:rPr>
              <w:t xml:space="preserve"> </w:t>
            </w:r>
            <w:r w:rsidRPr="006501FC">
              <w:rPr>
                <w:rFonts w:hint="eastAsia"/>
                <w:color w:val="000000"/>
                <w:sz w:val="15"/>
                <w:szCs w:val="15"/>
                <w:rtl/>
                <w:lang w:eastAsia="he-IL"/>
              </w:rPr>
              <w:t>מקנות</w:t>
            </w:r>
            <w:r w:rsidRPr="006501FC">
              <w:rPr>
                <w:color w:val="000000"/>
                <w:sz w:val="15"/>
                <w:szCs w:val="15"/>
                <w:rtl/>
                <w:lang w:eastAsia="he-IL"/>
              </w:rPr>
              <w:t xml:space="preserve"> </w:t>
            </w:r>
            <w:r w:rsidRPr="006501FC">
              <w:rPr>
                <w:rFonts w:hint="eastAsia"/>
                <w:color w:val="000000"/>
                <w:sz w:val="15"/>
                <w:szCs w:val="15"/>
                <w:rtl/>
                <w:lang w:eastAsia="he-IL"/>
              </w:rPr>
              <w:t>שליטה</w:t>
            </w:r>
          </w:p>
        </w:tc>
        <w:tc>
          <w:tcPr>
            <w:tcW w:w="264" w:type="pct"/>
            <w:vAlign w:val="bottom"/>
          </w:tcPr>
          <w:p w14:paraId="72C8BB4C"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24" w:type="pct"/>
            <w:vAlign w:val="bottom"/>
          </w:tcPr>
          <w:p w14:paraId="19C636CB"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297" w:type="pct"/>
            <w:vAlign w:val="bottom"/>
          </w:tcPr>
          <w:p w14:paraId="6430B7AD"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28" w:type="pct"/>
            <w:vAlign w:val="bottom"/>
          </w:tcPr>
          <w:p w14:paraId="3C034EF3"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17" w:type="pct"/>
            <w:vAlign w:val="bottom"/>
          </w:tcPr>
          <w:p w14:paraId="65F897B7"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27" w:type="pct"/>
            <w:vAlign w:val="bottom"/>
          </w:tcPr>
          <w:p w14:paraId="0CE146B6"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294" w:type="pct"/>
            <w:vAlign w:val="bottom"/>
          </w:tcPr>
          <w:p w14:paraId="396277EE"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45" w:type="pct"/>
            <w:gridSpan w:val="2"/>
            <w:vAlign w:val="bottom"/>
          </w:tcPr>
          <w:p w14:paraId="119FA7B3"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64" w:type="pct"/>
            <w:vAlign w:val="bottom"/>
          </w:tcPr>
          <w:p w14:paraId="34F14762"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230" w:type="pct"/>
            <w:vAlign w:val="bottom"/>
          </w:tcPr>
          <w:p w14:paraId="274C4DC6"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83" w:type="pct"/>
            <w:vAlign w:val="bottom"/>
          </w:tcPr>
          <w:p w14:paraId="3550703C"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56" w:type="pct"/>
            <w:vAlign w:val="bottom"/>
          </w:tcPr>
          <w:p w14:paraId="69EE7653"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221" w:type="pct"/>
            <w:vAlign w:val="bottom"/>
          </w:tcPr>
          <w:p w14:paraId="7C3E47C2"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0</w:t>
            </w:r>
          </w:p>
        </w:tc>
      </w:tr>
      <w:tr w:rsidR="006501FC" w:rsidRPr="006501FC" w14:paraId="4DB58306" w14:textId="77777777" w:rsidTr="003D0D66">
        <w:tc>
          <w:tcPr>
            <w:tcW w:w="951" w:type="pct"/>
            <w:vAlign w:val="bottom"/>
          </w:tcPr>
          <w:p w14:paraId="3749DB18" w14:textId="77777777" w:rsidR="006501FC" w:rsidRPr="006501FC" w:rsidRDefault="006501FC" w:rsidP="00400DD1">
            <w:pPr>
              <w:spacing w:line="241" w:lineRule="auto"/>
              <w:jc w:val="left"/>
              <w:rPr>
                <w:color w:val="000000"/>
                <w:sz w:val="15"/>
                <w:szCs w:val="15"/>
                <w:rtl/>
                <w:lang w:eastAsia="he-IL"/>
              </w:rPr>
            </w:pPr>
            <w:r w:rsidRPr="006501FC">
              <w:rPr>
                <w:rFonts w:hint="eastAsia"/>
                <w:color w:val="000000"/>
                <w:sz w:val="15"/>
                <w:szCs w:val="15"/>
                <w:rtl/>
                <w:lang w:eastAsia="he-IL"/>
              </w:rPr>
              <w:t>רווח</w:t>
            </w:r>
            <w:r w:rsidRPr="006501FC">
              <w:rPr>
                <w:color w:val="000000"/>
                <w:sz w:val="15"/>
                <w:szCs w:val="15"/>
                <w:rtl/>
                <w:lang w:eastAsia="he-IL"/>
              </w:rPr>
              <w:t xml:space="preserve"> </w:t>
            </w:r>
            <w:r w:rsidRPr="006501FC">
              <w:rPr>
                <w:rFonts w:hint="eastAsia"/>
                <w:color w:val="000000"/>
                <w:sz w:val="15"/>
                <w:szCs w:val="15"/>
                <w:rtl/>
                <w:lang w:eastAsia="he-IL"/>
              </w:rPr>
              <w:t>נקי</w:t>
            </w:r>
            <w:r w:rsidRPr="006501FC">
              <w:rPr>
                <w:color w:val="000000"/>
                <w:sz w:val="15"/>
                <w:szCs w:val="15"/>
                <w:rtl/>
                <w:lang w:eastAsia="he-IL"/>
              </w:rPr>
              <w:t xml:space="preserve"> </w:t>
            </w:r>
            <w:r w:rsidRPr="006501FC">
              <w:rPr>
                <w:rFonts w:hint="eastAsia"/>
                <w:color w:val="000000"/>
                <w:sz w:val="15"/>
                <w:szCs w:val="15"/>
                <w:rtl/>
                <w:lang w:eastAsia="he-IL"/>
              </w:rPr>
              <w:t>המיוחס</w:t>
            </w:r>
            <w:r w:rsidRPr="006501FC">
              <w:rPr>
                <w:color w:val="000000"/>
                <w:sz w:val="15"/>
                <w:szCs w:val="15"/>
                <w:rtl/>
                <w:lang w:eastAsia="he-IL"/>
              </w:rPr>
              <w:t xml:space="preserve"> </w:t>
            </w:r>
            <w:r w:rsidRPr="006501FC">
              <w:rPr>
                <w:rFonts w:hint="eastAsia"/>
                <w:color w:val="000000"/>
                <w:sz w:val="15"/>
                <w:szCs w:val="15"/>
                <w:rtl/>
                <w:lang w:eastAsia="he-IL"/>
              </w:rPr>
              <w:t>לבעלי</w:t>
            </w:r>
            <w:r w:rsidRPr="006501FC">
              <w:rPr>
                <w:color w:val="000000"/>
                <w:sz w:val="15"/>
                <w:szCs w:val="15"/>
                <w:rtl/>
                <w:lang w:eastAsia="he-IL"/>
              </w:rPr>
              <w:t xml:space="preserve"> </w:t>
            </w:r>
            <w:r w:rsidRPr="006501FC">
              <w:rPr>
                <w:rFonts w:hint="eastAsia"/>
                <w:color w:val="000000"/>
                <w:sz w:val="15"/>
                <w:szCs w:val="15"/>
                <w:rtl/>
                <w:lang w:eastAsia="he-IL"/>
              </w:rPr>
              <w:t>זכויות</w:t>
            </w:r>
            <w:r w:rsidRPr="006501FC">
              <w:rPr>
                <w:color w:val="000000"/>
                <w:sz w:val="15"/>
                <w:szCs w:val="15"/>
                <w:rtl/>
                <w:lang w:eastAsia="he-IL"/>
              </w:rPr>
              <w:t xml:space="preserve"> </w:t>
            </w:r>
            <w:r w:rsidRPr="006501FC">
              <w:rPr>
                <w:rFonts w:hint="eastAsia"/>
                <w:color w:val="000000"/>
                <w:sz w:val="15"/>
                <w:szCs w:val="15"/>
                <w:rtl/>
                <w:lang w:eastAsia="he-IL"/>
              </w:rPr>
              <w:t>שאינן</w:t>
            </w:r>
            <w:r w:rsidRPr="006501FC">
              <w:rPr>
                <w:color w:val="000000"/>
                <w:sz w:val="15"/>
                <w:szCs w:val="15"/>
                <w:rtl/>
                <w:lang w:eastAsia="he-IL"/>
              </w:rPr>
              <w:t xml:space="preserve"> </w:t>
            </w:r>
            <w:r w:rsidRPr="006501FC">
              <w:rPr>
                <w:rFonts w:hint="eastAsia"/>
                <w:color w:val="000000"/>
                <w:sz w:val="15"/>
                <w:szCs w:val="15"/>
                <w:rtl/>
                <w:lang w:eastAsia="he-IL"/>
              </w:rPr>
              <w:t>מקנות</w:t>
            </w:r>
            <w:r w:rsidRPr="006501FC">
              <w:rPr>
                <w:color w:val="000000"/>
                <w:sz w:val="15"/>
                <w:szCs w:val="15"/>
                <w:rtl/>
                <w:lang w:eastAsia="he-IL"/>
              </w:rPr>
              <w:t xml:space="preserve"> </w:t>
            </w:r>
            <w:r w:rsidRPr="006501FC">
              <w:rPr>
                <w:rFonts w:hint="eastAsia"/>
                <w:color w:val="000000"/>
                <w:sz w:val="15"/>
                <w:szCs w:val="15"/>
                <w:rtl/>
                <w:lang w:eastAsia="he-IL"/>
              </w:rPr>
              <w:t>שליטה</w:t>
            </w:r>
          </w:p>
        </w:tc>
        <w:tc>
          <w:tcPr>
            <w:tcW w:w="264" w:type="pct"/>
            <w:vAlign w:val="bottom"/>
          </w:tcPr>
          <w:p w14:paraId="2767095A"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24" w:type="pct"/>
            <w:vAlign w:val="bottom"/>
          </w:tcPr>
          <w:p w14:paraId="36DE8F2C"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297" w:type="pct"/>
            <w:vAlign w:val="bottom"/>
          </w:tcPr>
          <w:p w14:paraId="13275DC8"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28" w:type="pct"/>
            <w:vAlign w:val="bottom"/>
          </w:tcPr>
          <w:p w14:paraId="6845907B"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17" w:type="pct"/>
            <w:vAlign w:val="bottom"/>
          </w:tcPr>
          <w:p w14:paraId="4FC49BD2"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27" w:type="pct"/>
            <w:vAlign w:val="bottom"/>
          </w:tcPr>
          <w:p w14:paraId="449A98A9"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294" w:type="pct"/>
            <w:vAlign w:val="bottom"/>
          </w:tcPr>
          <w:p w14:paraId="79DF6F45"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45" w:type="pct"/>
            <w:gridSpan w:val="2"/>
            <w:vAlign w:val="bottom"/>
          </w:tcPr>
          <w:p w14:paraId="0BBCAF24"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64" w:type="pct"/>
            <w:vAlign w:val="bottom"/>
          </w:tcPr>
          <w:p w14:paraId="6097C255"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230" w:type="pct"/>
            <w:vAlign w:val="bottom"/>
          </w:tcPr>
          <w:p w14:paraId="390710F2"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83" w:type="pct"/>
            <w:vAlign w:val="bottom"/>
          </w:tcPr>
          <w:p w14:paraId="5F21D420"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56" w:type="pct"/>
            <w:vAlign w:val="bottom"/>
          </w:tcPr>
          <w:p w14:paraId="2FD3C304"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(0)</w:t>
            </w:r>
          </w:p>
        </w:tc>
        <w:tc>
          <w:tcPr>
            <w:tcW w:w="221" w:type="pct"/>
            <w:vAlign w:val="bottom"/>
          </w:tcPr>
          <w:p w14:paraId="69ED3FCD"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(0)</w:t>
            </w:r>
          </w:p>
        </w:tc>
      </w:tr>
      <w:tr w:rsidR="006501FC" w:rsidRPr="006501FC" w14:paraId="4C673A13" w14:textId="77777777" w:rsidTr="003D0D66">
        <w:tc>
          <w:tcPr>
            <w:tcW w:w="951" w:type="pct"/>
            <w:vAlign w:val="bottom"/>
          </w:tcPr>
          <w:p w14:paraId="47705811" w14:textId="77777777" w:rsidR="006501FC" w:rsidRPr="006501FC" w:rsidRDefault="006501FC" w:rsidP="00400DD1">
            <w:pPr>
              <w:spacing w:line="241" w:lineRule="auto"/>
              <w:jc w:val="left"/>
              <w:rPr>
                <w:b/>
                <w:bCs/>
                <w:color w:val="000000"/>
                <w:sz w:val="15"/>
                <w:szCs w:val="15"/>
                <w:rtl/>
                <w:lang w:eastAsia="he-IL"/>
              </w:rPr>
            </w:pPr>
            <w:r w:rsidRPr="006501FC">
              <w:rPr>
                <w:rFonts w:hint="eastAsia"/>
                <w:b/>
                <w:bCs/>
                <w:color w:val="000000"/>
                <w:sz w:val="15"/>
                <w:szCs w:val="15"/>
                <w:rtl/>
                <w:lang w:eastAsia="he-IL"/>
              </w:rPr>
              <w:t>רווח</w:t>
            </w:r>
            <w:r w:rsidRPr="006501FC">
              <w:rPr>
                <w:b/>
                <w:bCs/>
                <w:color w:val="000000"/>
                <w:sz w:val="15"/>
                <w:szCs w:val="15"/>
                <w:rtl/>
                <w:lang w:eastAsia="he-IL"/>
              </w:rPr>
              <w:t xml:space="preserve"> </w:t>
            </w:r>
            <w:r w:rsidRPr="006501FC">
              <w:rPr>
                <w:rFonts w:hint="eastAsia"/>
                <w:b/>
                <w:bCs/>
                <w:color w:val="000000"/>
                <w:sz w:val="15"/>
                <w:szCs w:val="15"/>
                <w:rtl/>
                <w:lang w:eastAsia="he-IL"/>
              </w:rPr>
              <w:t>נקי</w:t>
            </w:r>
            <w:r w:rsidRPr="006501FC">
              <w:rPr>
                <w:b/>
                <w:bCs/>
                <w:color w:val="000000"/>
                <w:sz w:val="15"/>
                <w:szCs w:val="15"/>
                <w:rtl/>
                <w:lang w:eastAsia="he-IL"/>
              </w:rPr>
              <w:t xml:space="preserve"> </w:t>
            </w:r>
            <w:r w:rsidRPr="006501FC">
              <w:rPr>
                <w:rFonts w:hint="eastAsia"/>
                <w:b/>
                <w:bCs/>
                <w:color w:val="000000"/>
                <w:sz w:val="15"/>
                <w:szCs w:val="15"/>
                <w:rtl/>
                <w:lang w:eastAsia="he-IL"/>
              </w:rPr>
              <w:t>המיוחס</w:t>
            </w:r>
            <w:r w:rsidRPr="006501FC">
              <w:rPr>
                <w:b/>
                <w:bCs/>
                <w:color w:val="000000"/>
                <w:sz w:val="15"/>
                <w:szCs w:val="15"/>
                <w:rtl/>
                <w:lang w:eastAsia="he-IL"/>
              </w:rPr>
              <w:t xml:space="preserve"> </w:t>
            </w:r>
            <w:r w:rsidRPr="006501FC">
              <w:rPr>
                <w:rFonts w:hint="eastAsia"/>
                <w:b/>
                <w:bCs/>
                <w:color w:val="000000"/>
                <w:sz w:val="15"/>
                <w:szCs w:val="15"/>
                <w:rtl/>
                <w:lang w:eastAsia="he-IL"/>
              </w:rPr>
              <w:t>לבעלי</w:t>
            </w:r>
            <w:r w:rsidRPr="006501FC">
              <w:rPr>
                <w:b/>
                <w:bCs/>
                <w:color w:val="000000"/>
                <w:sz w:val="15"/>
                <w:szCs w:val="15"/>
                <w:rtl/>
                <w:lang w:eastAsia="he-IL"/>
              </w:rPr>
              <w:t xml:space="preserve"> </w:t>
            </w:r>
            <w:r w:rsidRPr="006501FC">
              <w:rPr>
                <w:rFonts w:hint="eastAsia"/>
                <w:b/>
                <w:bCs/>
                <w:color w:val="000000"/>
                <w:sz w:val="15"/>
                <w:szCs w:val="15"/>
                <w:rtl/>
                <w:lang w:eastAsia="he-IL"/>
              </w:rPr>
              <w:t>מניות</w:t>
            </w:r>
            <w:r w:rsidRPr="006501FC">
              <w:rPr>
                <w:b/>
                <w:bCs/>
                <w:color w:val="000000"/>
                <w:sz w:val="15"/>
                <w:szCs w:val="15"/>
                <w:rtl/>
                <w:lang w:eastAsia="he-IL"/>
              </w:rPr>
              <w:t xml:space="preserve"> </w:t>
            </w:r>
            <w:r w:rsidRPr="006501FC">
              <w:rPr>
                <w:rFonts w:hint="eastAsia"/>
                <w:b/>
                <w:bCs/>
                <w:color w:val="000000"/>
                <w:sz w:val="15"/>
                <w:szCs w:val="15"/>
                <w:rtl/>
                <w:lang w:eastAsia="he-IL"/>
              </w:rPr>
              <w:t>התאגיד</w:t>
            </w:r>
            <w:r w:rsidRPr="006501FC">
              <w:rPr>
                <w:b/>
                <w:bCs/>
                <w:color w:val="000000"/>
                <w:sz w:val="15"/>
                <w:szCs w:val="15"/>
                <w:rtl/>
                <w:lang w:eastAsia="he-IL"/>
              </w:rPr>
              <w:t xml:space="preserve"> </w:t>
            </w:r>
            <w:r w:rsidRPr="006501FC">
              <w:rPr>
                <w:rFonts w:hint="eastAsia"/>
                <w:b/>
                <w:bCs/>
                <w:color w:val="000000"/>
                <w:sz w:val="15"/>
                <w:szCs w:val="15"/>
                <w:rtl/>
                <w:lang w:eastAsia="he-IL"/>
              </w:rPr>
              <w:t>הבנקאי</w:t>
            </w:r>
          </w:p>
        </w:tc>
        <w:tc>
          <w:tcPr>
            <w:tcW w:w="264" w:type="pct"/>
            <w:vAlign w:val="bottom"/>
          </w:tcPr>
          <w:p w14:paraId="3BEF6AAE"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24" w:type="pct"/>
            <w:vAlign w:val="bottom"/>
          </w:tcPr>
          <w:p w14:paraId="6ADC5B44"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297" w:type="pct"/>
            <w:vAlign w:val="bottom"/>
          </w:tcPr>
          <w:p w14:paraId="22A6398A"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28" w:type="pct"/>
            <w:vAlign w:val="bottom"/>
          </w:tcPr>
          <w:p w14:paraId="5DFA2418"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17" w:type="pct"/>
            <w:vAlign w:val="bottom"/>
          </w:tcPr>
          <w:p w14:paraId="60479910"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27" w:type="pct"/>
            <w:vAlign w:val="bottom"/>
          </w:tcPr>
          <w:p w14:paraId="35C7EDAE"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294" w:type="pct"/>
            <w:vAlign w:val="bottom"/>
          </w:tcPr>
          <w:p w14:paraId="51F5F125"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45" w:type="pct"/>
            <w:gridSpan w:val="2"/>
            <w:vAlign w:val="bottom"/>
          </w:tcPr>
          <w:p w14:paraId="6330F679"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64" w:type="pct"/>
            <w:vAlign w:val="bottom"/>
          </w:tcPr>
          <w:p w14:paraId="686C7E95"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230" w:type="pct"/>
            <w:vAlign w:val="bottom"/>
          </w:tcPr>
          <w:p w14:paraId="25411949"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83" w:type="pct"/>
            <w:vAlign w:val="bottom"/>
          </w:tcPr>
          <w:p w14:paraId="4D73C25C"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56" w:type="pct"/>
            <w:vAlign w:val="bottom"/>
          </w:tcPr>
          <w:p w14:paraId="6CF43024"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221" w:type="pct"/>
            <w:vAlign w:val="bottom"/>
          </w:tcPr>
          <w:p w14:paraId="6EE7C46B"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0</w:t>
            </w:r>
          </w:p>
        </w:tc>
      </w:tr>
      <w:tr w:rsidR="006501FC" w:rsidRPr="006501FC" w14:paraId="5AD43273" w14:textId="77777777" w:rsidTr="003D0D66">
        <w:tc>
          <w:tcPr>
            <w:tcW w:w="951" w:type="pct"/>
            <w:tcBorders>
              <w:bottom w:val="single" w:sz="8" w:space="0" w:color="auto"/>
            </w:tcBorders>
            <w:vAlign w:val="bottom"/>
          </w:tcPr>
          <w:p w14:paraId="2F2BD8D3" w14:textId="77777777" w:rsidR="006501FC" w:rsidRPr="006501FC" w:rsidRDefault="006501FC" w:rsidP="00400DD1">
            <w:pPr>
              <w:spacing w:line="241" w:lineRule="auto"/>
              <w:ind w:left="172" w:hanging="171"/>
              <w:jc w:val="left"/>
              <w:rPr>
                <w:b/>
                <w:bCs/>
                <w:color w:val="000000"/>
                <w:sz w:val="15"/>
                <w:szCs w:val="15"/>
                <w:rtl/>
                <w:lang w:eastAsia="he-IL"/>
              </w:rPr>
            </w:pPr>
          </w:p>
        </w:tc>
        <w:tc>
          <w:tcPr>
            <w:tcW w:w="264" w:type="pct"/>
            <w:tcBorders>
              <w:bottom w:val="single" w:sz="8" w:space="0" w:color="auto"/>
            </w:tcBorders>
            <w:vAlign w:val="bottom"/>
          </w:tcPr>
          <w:p w14:paraId="4029DC09" w14:textId="77777777" w:rsidR="006501FC" w:rsidRPr="006501FC" w:rsidRDefault="006501FC" w:rsidP="00400DD1">
            <w:pPr>
              <w:spacing w:line="241" w:lineRule="auto"/>
              <w:ind w:left="85" w:right="85"/>
              <w:jc w:val="left"/>
              <w:rPr>
                <w:sz w:val="15"/>
                <w:szCs w:val="15"/>
                <w:rtl/>
              </w:rPr>
            </w:pPr>
          </w:p>
        </w:tc>
        <w:tc>
          <w:tcPr>
            <w:tcW w:w="324" w:type="pct"/>
            <w:tcBorders>
              <w:bottom w:val="single" w:sz="8" w:space="0" w:color="auto"/>
            </w:tcBorders>
            <w:vAlign w:val="bottom"/>
          </w:tcPr>
          <w:p w14:paraId="20EB26C1" w14:textId="77777777" w:rsidR="006501FC" w:rsidRPr="006501FC" w:rsidRDefault="006501FC" w:rsidP="00400DD1">
            <w:pPr>
              <w:spacing w:line="241" w:lineRule="auto"/>
              <w:ind w:left="85" w:right="85"/>
              <w:jc w:val="left"/>
              <w:rPr>
                <w:sz w:val="15"/>
                <w:szCs w:val="15"/>
                <w:rtl/>
              </w:rPr>
            </w:pPr>
          </w:p>
        </w:tc>
        <w:tc>
          <w:tcPr>
            <w:tcW w:w="297" w:type="pct"/>
            <w:tcBorders>
              <w:bottom w:val="single" w:sz="8" w:space="0" w:color="auto"/>
            </w:tcBorders>
            <w:vAlign w:val="bottom"/>
          </w:tcPr>
          <w:p w14:paraId="783A79A6" w14:textId="77777777" w:rsidR="006501FC" w:rsidRPr="006501FC" w:rsidRDefault="006501FC" w:rsidP="00400DD1">
            <w:pPr>
              <w:spacing w:line="241" w:lineRule="auto"/>
              <w:ind w:left="85" w:right="85"/>
              <w:jc w:val="left"/>
              <w:rPr>
                <w:sz w:val="15"/>
                <w:szCs w:val="15"/>
                <w:rtl/>
              </w:rPr>
            </w:pPr>
          </w:p>
        </w:tc>
        <w:tc>
          <w:tcPr>
            <w:tcW w:w="328" w:type="pct"/>
            <w:tcBorders>
              <w:bottom w:val="single" w:sz="8" w:space="0" w:color="auto"/>
            </w:tcBorders>
            <w:vAlign w:val="bottom"/>
          </w:tcPr>
          <w:p w14:paraId="7659D6B4" w14:textId="77777777" w:rsidR="006501FC" w:rsidRPr="006501FC" w:rsidRDefault="006501FC" w:rsidP="00400DD1">
            <w:pPr>
              <w:spacing w:line="241" w:lineRule="auto"/>
              <w:ind w:left="85" w:right="85"/>
              <w:jc w:val="left"/>
              <w:rPr>
                <w:sz w:val="15"/>
                <w:szCs w:val="15"/>
                <w:rtl/>
              </w:rPr>
            </w:pPr>
          </w:p>
        </w:tc>
        <w:tc>
          <w:tcPr>
            <w:tcW w:w="317" w:type="pct"/>
            <w:tcBorders>
              <w:bottom w:val="single" w:sz="8" w:space="0" w:color="auto"/>
            </w:tcBorders>
            <w:vAlign w:val="bottom"/>
          </w:tcPr>
          <w:p w14:paraId="6F8EABE7" w14:textId="77777777" w:rsidR="006501FC" w:rsidRPr="006501FC" w:rsidRDefault="006501FC" w:rsidP="00400DD1">
            <w:pPr>
              <w:spacing w:line="241" w:lineRule="auto"/>
              <w:ind w:left="85" w:right="85"/>
              <w:jc w:val="left"/>
              <w:rPr>
                <w:sz w:val="15"/>
                <w:szCs w:val="15"/>
                <w:rtl/>
              </w:rPr>
            </w:pPr>
          </w:p>
        </w:tc>
        <w:tc>
          <w:tcPr>
            <w:tcW w:w="327" w:type="pct"/>
            <w:tcBorders>
              <w:bottom w:val="single" w:sz="8" w:space="0" w:color="auto"/>
            </w:tcBorders>
            <w:vAlign w:val="bottom"/>
          </w:tcPr>
          <w:p w14:paraId="4F65A824" w14:textId="77777777" w:rsidR="006501FC" w:rsidRPr="006501FC" w:rsidRDefault="006501FC" w:rsidP="00400DD1">
            <w:pPr>
              <w:spacing w:line="241" w:lineRule="auto"/>
              <w:ind w:left="85" w:right="85"/>
              <w:jc w:val="left"/>
              <w:rPr>
                <w:sz w:val="15"/>
                <w:szCs w:val="15"/>
                <w:rtl/>
              </w:rPr>
            </w:pPr>
          </w:p>
        </w:tc>
        <w:tc>
          <w:tcPr>
            <w:tcW w:w="294" w:type="pct"/>
            <w:tcBorders>
              <w:bottom w:val="single" w:sz="8" w:space="0" w:color="auto"/>
            </w:tcBorders>
            <w:vAlign w:val="bottom"/>
          </w:tcPr>
          <w:p w14:paraId="09F04439" w14:textId="77777777" w:rsidR="006501FC" w:rsidRPr="006501FC" w:rsidRDefault="006501FC" w:rsidP="00400DD1">
            <w:pPr>
              <w:spacing w:line="241" w:lineRule="auto"/>
              <w:ind w:left="85" w:right="85"/>
              <w:jc w:val="left"/>
              <w:rPr>
                <w:sz w:val="15"/>
                <w:szCs w:val="15"/>
                <w:rtl/>
              </w:rPr>
            </w:pPr>
          </w:p>
        </w:tc>
        <w:tc>
          <w:tcPr>
            <w:tcW w:w="345" w:type="pct"/>
            <w:gridSpan w:val="2"/>
            <w:tcBorders>
              <w:bottom w:val="single" w:sz="8" w:space="0" w:color="auto"/>
            </w:tcBorders>
            <w:vAlign w:val="bottom"/>
          </w:tcPr>
          <w:p w14:paraId="6175FBB2" w14:textId="77777777" w:rsidR="006501FC" w:rsidRPr="006501FC" w:rsidRDefault="006501FC" w:rsidP="00400DD1">
            <w:pPr>
              <w:spacing w:line="241" w:lineRule="auto"/>
              <w:ind w:left="85" w:right="85"/>
              <w:jc w:val="left"/>
              <w:rPr>
                <w:sz w:val="15"/>
                <w:szCs w:val="15"/>
                <w:rtl/>
              </w:rPr>
            </w:pPr>
          </w:p>
        </w:tc>
        <w:tc>
          <w:tcPr>
            <w:tcW w:w="364" w:type="pct"/>
            <w:tcBorders>
              <w:bottom w:val="single" w:sz="8" w:space="0" w:color="auto"/>
            </w:tcBorders>
            <w:vAlign w:val="bottom"/>
          </w:tcPr>
          <w:p w14:paraId="0645D653" w14:textId="77777777" w:rsidR="006501FC" w:rsidRPr="006501FC" w:rsidRDefault="006501FC" w:rsidP="00400DD1">
            <w:pPr>
              <w:spacing w:line="241" w:lineRule="auto"/>
              <w:ind w:left="85" w:right="85"/>
              <w:jc w:val="left"/>
              <w:rPr>
                <w:sz w:val="15"/>
                <w:szCs w:val="15"/>
                <w:rtl/>
              </w:rPr>
            </w:pPr>
          </w:p>
        </w:tc>
        <w:tc>
          <w:tcPr>
            <w:tcW w:w="230" w:type="pct"/>
            <w:tcBorders>
              <w:bottom w:val="single" w:sz="8" w:space="0" w:color="auto"/>
            </w:tcBorders>
            <w:vAlign w:val="bottom"/>
          </w:tcPr>
          <w:p w14:paraId="403BEEE4" w14:textId="77777777" w:rsidR="006501FC" w:rsidRPr="006501FC" w:rsidRDefault="006501FC" w:rsidP="00400DD1">
            <w:pPr>
              <w:spacing w:line="241" w:lineRule="auto"/>
              <w:ind w:left="85" w:right="85"/>
              <w:jc w:val="left"/>
              <w:rPr>
                <w:sz w:val="15"/>
                <w:szCs w:val="15"/>
                <w:rtl/>
              </w:rPr>
            </w:pPr>
          </w:p>
        </w:tc>
        <w:tc>
          <w:tcPr>
            <w:tcW w:w="383" w:type="pct"/>
            <w:tcBorders>
              <w:bottom w:val="single" w:sz="8" w:space="0" w:color="auto"/>
            </w:tcBorders>
            <w:vAlign w:val="bottom"/>
          </w:tcPr>
          <w:p w14:paraId="56487845" w14:textId="77777777" w:rsidR="006501FC" w:rsidRPr="006501FC" w:rsidRDefault="006501FC" w:rsidP="00400DD1">
            <w:pPr>
              <w:spacing w:line="241" w:lineRule="auto"/>
              <w:ind w:left="85" w:right="85"/>
              <w:jc w:val="left"/>
              <w:rPr>
                <w:sz w:val="15"/>
                <w:szCs w:val="15"/>
                <w:rtl/>
              </w:rPr>
            </w:pPr>
          </w:p>
        </w:tc>
        <w:tc>
          <w:tcPr>
            <w:tcW w:w="356" w:type="pct"/>
            <w:tcBorders>
              <w:bottom w:val="single" w:sz="8" w:space="0" w:color="auto"/>
            </w:tcBorders>
            <w:vAlign w:val="bottom"/>
          </w:tcPr>
          <w:p w14:paraId="353AC7EF" w14:textId="77777777" w:rsidR="006501FC" w:rsidRPr="006501FC" w:rsidRDefault="006501FC" w:rsidP="00400DD1">
            <w:pPr>
              <w:spacing w:line="241" w:lineRule="auto"/>
              <w:ind w:left="85" w:right="85"/>
              <w:jc w:val="left"/>
              <w:rPr>
                <w:sz w:val="15"/>
                <w:szCs w:val="15"/>
                <w:rtl/>
              </w:rPr>
            </w:pPr>
          </w:p>
        </w:tc>
        <w:tc>
          <w:tcPr>
            <w:tcW w:w="221" w:type="pct"/>
            <w:tcBorders>
              <w:bottom w:val="single" w:sz="8" w:space="0" w:color="auto"/>
            </w:tcBorders>
            <w:vAlign w:val="bottom"/>
          </w:tcPr>
          <w:p w14:paraId="2B14DFA3" w14:textId="77777777" w:rsidR="006501FC" w:rsidRPr="006501FC" w:rsidRDefault="006501FC" w:rsidP="00400DD1">
            <w:pPr>
              <w:spacing w:line="241" w:lineRule="auto"/>
              <w:ind w:left="85" w:right="85"/>
              <w:jc w:val="left"/>
              <w:rPr>
                <w:sz w:val="15"/>
                <w:szCs w:val="15"/>
                <w:rtl/>
              </w:rPr>
            </w:pPr>
          </w:p>
        </w:tc>
      </w:tr>
      <w:tr w:rsidR="006501FC" w:rsidRPr="006501FC" w14:paraId="666B6493" w14:textId="77777777" w:rsidTr="003D0D66">
        <w:tc>
          <w:tcPr>
            <w:tcW w:w="951" w:type="pct"/>
            <w:tcBorders>
              <w:top w:val="single" w:sz="8" w:space="0" w:color="auto"/>
            </w:tcBorders>
            <w:vAlign w:val="bottom"/>
          </w:tcPr>
          <w:p w14:paraId="19A05580" w14:textId="77777777" w:rsidR="006501FC" w:rsidRPr="006501FC" w:rsidRDefault="006501FC" w:rsidP="00400DD1">
            <w:pPr>
              <w:spacing w:line="241" w:lineRule="auto"/>
              <w:ind w:left="172" w:hanging="171"/>
              <w:jc w:val="left"/>
              <w:rPr>
                <w:color w:val="000000"/>
                <w:sz w:val="15"/>
                <w:szCs w:val="15"/>
                <w:rtl/>
                <w:lang w:eastAsia="he-IL"/>
              </w:rPr>
            </w:pPr>
            <w:r w:rsidRPr="006501FC">
              <w:rPr>
                <w:rFonts w:hint="eastAsia"/>
                <w:color w:val="000000"/>
                <w:sz w:val="15"/>
                <w:szCs w:val="15"/>
                <w:rtl/>
                <w:lang w:eastAsia="he-IL"/>
              </w:rPr>
              <w:t>יתרה</w:t>
            </w:r>
            <w:r w:rsidRPr="006501FC">
              <w:rPr>
                <w:color w:val="000000"/>
                <w:sz w:val="15"/>
                <w:szCs w:val="15"/>
                <w:rtl/>
                <w:lang w:eastAsia="he-IL"/>
              </w:rPr>
              <w:t xml:space="preserve"> </w:t>
            </w:r>
            <w:r w:rsidRPr="006501FC">
              <w:rPr>
                <w:rFonts w:hint="eastAsia"/>
                <w:color w:val="000000"/>
                <w:sz w:val="15"/>
                <w:szCs w:val="15"/>
                <w:rtl/>
                <w:lang w:eastAsia="he-IL"/>
              </w:rPr>
              <w:t>ממוצעת</w:t>
            </w:r>
            <w:r w:rsidRPr="006501FC">
              <w:rPr>
                <w:color w:val="000000"/>
                <w:sz w:val="15"/>
                <w:szCs w:val="15"/>
                <w:rtl/>
                <w:lang w:eastAsia="he-IL"/>
              </w:rPr>
              <w:t xml:space="preserve"> </w:t>
            </w:r>
            <w:r w:rsidRPr="006501FC">
              <w:rPr>
                <w:rFonts w:hint="eastAsia"/>
                <w:color w:val="000000"/>
                <w:sz w:val="15"/>
                <w:szCs w:val="15"/>
                <w:rtl/>
                <w:lang w:eastAsia="he-IL"/>
              </w:rPr>
              <w:t>של</w:t>
            </w:r>
            <w:r w:rsidRPr="006501FC">
              <w:rPr>
                <w:color w:val="000000"/>
                <w:sz w:val="15"/>
                <w:szCs w:val="15"/>
                <w:rtl/>
                <w:lang w:eastAsia="he-IL"/>
              </w:rPr>
              <w:t xml:space="preserve"> </w:t>
            </w:r>
            <w:r w:rsidRPr="006501FC">
              <w:rPr>
                <w:rFonts w:hint="eastAsia"/>
                <w:color w:val="000000"/>
                <w:sz w:val="15"/>
                <w:szCs w:val="15"/>
                <w:rtl/>
                <w:lang w:eastAsia="he-IL"/>
              </w:rPr>
              <w:t>נכסים</w:t>
            </w:r>
            <w:r w:rsidRPr="006501FC">
              <w:rPr>
                <w:color w:val="000000"/>
                <w:sz w:val="15"/>
                <w:szCs w:val="15"/>
                <w:vertAlign w:val="superscript"/>
                <w:rtl/>
                <w:lang w:eastAsia="he-IL"/>
              </w:rPr>
              <w:t>(א)</w:t>
            </w:r>
          </w:p>
        </w:tc>
        <w:tc>
          <w:tcPr>
            <w:tcW w:w="264" w:type="pct"/>
            <w:tcBorders>
              <w:top w:val="single" w:sz="8" w:space="0" w:color="auto"/>
            </w:tcBorders>
            <w:vAlign w:val="bottom"/>
          </w:tcPr>
          <w:p w14:paraId="36FCBC4F"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tcBorders>
              <w:top w:val="single" w:sz="8" w:space="0" w:color="auto"/>
            </w:tcBorders>
            <w:vAlign w:val="bottom"/>
          </w:tcPr>
          <w:p w14:paraId="18D0EE01"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tcBorders>
              <w:top w:val="single" w:sz="8" w:space="0" w:color="auto"/>
            </w:tcBorders>
            <w:vAlign w:val="bottom"/>
          </w:tcPr>
          <w:p w14:paraId="224764E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tcBorders>
              <w:top w:val="single" w:sz="8" w:space="0" w:color="auto"/>
            </w:tcBorders>
            <w:vAlign w:val="bottom"/>
          </w:tcPr>
          <w:p w14:paraId="27F67870"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tcBorders>
              <w:top w:val="single" w:sz="8" w:space="0" w:color="auto"/>
            </w:tcBorders>
            <w:vAlign w:val="bottom"/>
          </w:tcPr>
          <w:p w14:paraId="357732F6"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tcBorders>
              <w:top w:val="single" w:sz="8" w:space="0" w:color="auto"/>
            </w:tcBorders>
            <w:vAlign w:val="bottom"/>
          </w:tcPr>
          <w:p w14:paraId="38EACBC7"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tcBorders>
              <w:top w:val="single" w:sz="8" w:space="0" w:color="auto"/>
            </w:tcBorders>
            <w:vAlign w:val="bottom"/>
          </w:tcPr>
          <w:p w14:paraId="229864EA"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tcBorders>
              <w:top w:val="single" w:sz="8" w:space="0" w:color="auto"/>
            </w:tcBorders>
            <w:vAlign w:val="bottom"/>
          </w:tcPr>
          <w:p w14:paraId="4B6433C2"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tcBorders>
              <w:top w:val="single" w:sz="8" w:space="0" w:color="auto"/>
            </w:tcBorders>
            <w:vAlign w:val="bottom"/>
          </w:tcPr>
          <w:p w14:paraId="5E226FA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tcBorders>
              <w:top w:val="single" w:sz="8" w:space="0" w:color="auto"/>
            </w:tcBorders>
            <w:vAlign w:val="bottom"/>
          </w:tcPr>
          <w:p w14:paraId="6A21E26F"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tcBorders>
              <w:top w:val="single" w:sz="8" w:space="0" w:color="auto"/>
            </w:tcBorders>
            <w:vAlign w:val="bottom"/>
          </w:tcPr>
          <w:p w14:paraId="30F89FD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tcBorders>
              <w:top w:val="single" w:sz="8" w:space="0" w:color="auto"/>
            </w:tcBorders>
            <w:vAlign w:val="bottom"/>
          </w:tcPr>
          <w:p w14:paraId="4D186A3F"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1" w:type="pct"/>
            <w:tcBorders>
              <w:top w:val="single" w:sz="8" w:space="0" w:color="auto"/>
            </w:tcBorders>
            <w:vAlign w:val="bottom"/>
          </w:tcPr>
          <w:p w14:paraId="3CB0D1BF"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1D5AF0A4" w14:textId="77777777" w:rsidTr="003D0D66">
        <w:tc>
          <w:tcPr>
            <w:tcW w:w="951" w:type="pct"/>
            <w:vAlign w:val="bottom"/>
          </w:tcPr>
          <w:p w14:paraId="40FE5396" w14:textId="77777777" w:rsidR="006501FC" w:rsidRPr="006501FC" w:rsidRDefault="006501FC" w:rsidP="00400DD1">
            <w:pPr>
              <w:spacing w:line="241" w:lineRule="auto"/>
              <w:ind w:left="172" w:hanging="171"/>
              <w:jc w:val="left"/>
              <w:rPr>
                <w:color w:val="000000"/>
                <w:sz w:val="15"/>
                <w:szCs w:val="15"/>
                <w:rtl/>
                <w:lang w:eastAsia="he-IL"/>
              </w:rPr>
            </w:pPr>
            <w:r w:rsidRPr="006501FC">
              <w:rPr>
                <w:rFonts w:hint="eastAsia"/>
                <w:color w:val="000000"/>
                <w:sz w:val="15"/>
                <w:szCs w:val="15"/>
                <w:rtl/>
                <w:lang w:eastAsia="he-IL"/>
              </w:rPr>
              <w:t>מזה</w:t>
            </w:r>
            <w:r w:rsidRPr="006501FC">
              <w:rPr>
                <w:color w:val="000000"/>
                <w:sz w:val="15"/>
                <w:szCs w:val="15"/>
                <w:rtl/>
                <w:lang w:eastAsia="he-IL"/>
              </w:rPr>
              <w:t xml:space="preserve">: </w:t>
            </w:r>
            <w:r w:rsidRPr="006501FC">
              <w:rPr>
                <w:rFonts w:hint="eastAsia"/>
                <w:color w:val="000000"/>
                <w:sz w:val="15"/>
                <w:szCs w:val="15"/>
                <w:rtl/>
                <w:lang w:eastAsia="he-IL"/>
              </w:rPr>
              <w:t>השקעות</w:t>
            </w:r>
            <w:r w:rsidRPr="006501FC">
              <w:rPr>
                <w:color w:val="000000"/>
                <w:sz w:val="15"/>
                <w:szCs w:val="15"/>
                <w:rtl/>
                <w:lang w:eastAsia="he-IL"/>
              </w:rPr>
              <w:t xml:space="preserve"> </w:t>
            </w:r>
            <w:r w:rsidRPr="006501FC">
              <w:rPr>
                <w:rFonts w:hint="eastAsia"/>
                <w:color w:val="000000"/>
                <w:sz w:val="15"/>
                <w:szCs w:val="15"/>
                <w:rtl/>
                <w:lang w:eastAsia="he-IL"/>
              </w:rPr>
              <w:t>בחברות</w:t>
            </w:r>
            <w:r w:rsidRPr="006501FC">
              <w:rPr>
                <w:color w:val="000000"/>
                <w:sz w:val="15"/>
                <w:szCs w:val="15"/>
                <w:rtl/>
                <w:lang w:eastAsia="he-IL"/>
              </w:rPr>
              <w:t xml:space="preserve"> </w:t>
            </w:r>
            <w:r w:rsidRPr="006501FC">
              <w:rPr>
                <w:rFonts w:hint="eastAsia"/>
                <w:color w:val="000000"/>
                <w:sz w:val="15"/>
                <w:szCs w:val="15"/>
                <w:rtl/>
                <w:lang w:eastAsia="he-IL"/>
              </w:rPr>
              <w:t>כלולות</w:t>
            </w:r>
            <w:r w:rsidRPr="006501FC">
              <w:rPr>
                <w:color w:val="000000"/>
                <w:sz w:val="15"/>
                <w:szCs w:val="15"/>
                <w:vertAlign w:val="superscript"/>
                <w:rtl/>
                <w:lang w:eastAsia="he-IL"/>
              </w:rPr>
              <w:t>(א)</w:t>
            </w:r>
          </w:p>
        </w:tc>
        <w:tc>
          <w:tcPr>
            <w:tcW w:w="264" w:type="pct"/>
            <w:vAlign w:val="bottom"/>
          </w:tcPr>
          <w:p w14:paraId="77D988D1"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6F62A64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3691981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0A843094"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0C48542B"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4DD1A427"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7E933E49"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71C979B7"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594F63C8"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vAlign w:val="bottom"/>
          </w:tcPr>
          <w:p w14:paraId="55B3C4B3"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6C8DE71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1AE70B97"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1" w:type="pct"/>
            <w:vAlign w:val="bottom"/>
          </w:tcPr>
          <w:p w14:paraId="2CB4562E"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5CB3B615" w14:textId="77777777" w:rsidTr="003D0D66">
        <w:tc>
          <w:tcPr>
            <w:tcW w:w="951" w:type="pct"/>
            <w:vAlign w:val="bottom"/>
          </w:tcPr>
          <w:p w14:paraId="44CE7375" w14:textId="77777777" w:rsidR="006501FC" w:rsidRPr="006501FC" w:rsidRDefault="006501FC" w:rsidP="00400DD1">
            <w:pPr>
              <w:spacing w:line="241" w:lineRule="auto"/>
              <w:ind w:left="340"/>
              <w:jc w:val="left"/>
              <w:rPr>
                <w:color w:val="000000"/>
                <w:sz w:val="15"/>
                <w:szCs w:val="15"/>
                <w:rtl/>
                <w:lang w:eastAsia="he-IL"/>
              </w:rPr>
            </w:pPr>
            <w:r w:rsidRPr="006501FC">
              <w:rPr>
                <w:rFonts w:hint="eastAsia"/>
                <w:color w:val="000000"/>
                <w:sz w:val="15"/>
                <w:szCs w:val="15"/>
                <w:rtl/>
                <w:lang w:eastAsia="he-IL"/>
              </w:rPr>
              <w:t>יתרה</w:t>
            </w:r>
            <w:r w:rsidRPr="006501FC">
              <w:rPr>
                <w:color w:val="000000"/>
                <w:sz w:val="15"/>
                <w:szCs w:val="15"/>
                <w:rtl/>
                <w:lang w:eastAsia="he-IL"/>
              </w:rPr>
              <w:t xml:space="preserve"> </w:t>
            </w:r>
            <w:r w:rsidRPr="006501FC">
              <w:rPr>
                <w:rFonts w:hint="eastAsia"/>
                <w:color w:val="000000"/>
                <w:sz w:val="15"/>
                <w:szCs w:val="15"/>
                <w:rtl/>
                <w:lang w:eastAsia="he-IL"/>
              </w:rPr>
              <w:t>ממוצעת</w:t>
            </w:r>
            <w:r w:rsidRPr="006501FC">
              <w:rPr>
                <w:color w:val="000000"/>
                <w:sz w:val="15"/>
                <w:szCs w:val="15"/>
                <w:rtl/>
                <w:lang w:eastAsia="he-IL"/>
              </w:rPr>
              <w:t xml:space="preserve"> </w:t>
            </w:r>
            <w:r w:rsidRPr="006501FC">
              <w:rPr>
                <w:rFonts w:hint="eastAsia"/>
                <w:color w:val="000000"/>
                <w:sz w:val="15"/>
                <w:szCs w:val="15"/>
                <w:rtl/>
                <w:lang w:eastAsia="he-IL"/>
              </w:rPr>
              <w:t>של</w:t>
            </w:r>
            <w:r w:rsidRPr="006501FC">
              <w:rPr>
                <w:color w:val="000000"/>
                <w:sz w:val="15"/>
                <w:szCs w:val="15"/>
                <w:rtl/>
                <w:lang w:eastAsia="he-IL"/>
              </w:rPr>
              <w:t xml:space="preserve"> </w:t>
            </w:r>
            <w:r w:rsidRPr="006501FC">
              <w:rPr>
                <w:rFonts w:hint="eastAsia"/>
                <w:color w:val="000000"/>
                <w:sz w:val="15"/>
                <w:szCs w:val="15"/>
                <w:rtl/>
                <w:lang w:eastAsia="he-IL"/>
              </w:rPr>
              <w:t>אשראי</w:t>
            </w:r>
            <w:r w:rsidRPr="006501FC">
              <w:rPr>
                <w:color w:val="000000"/>
                <w:sz w:val="15"/>
                <w:szCs w:val="15"/>
                <w:rtl/>
                <w:lang w:eastAsia="he-IL"/>
              </w:rPr>
              <w:t xml:space="preserve"> </w:t>
            </w:r>
            <w:r w:rsidRPr="006501FC">
              <w:rPr>
                <w:rFonts w:hint="cs"/>
                <w:color w:val="000000"/>
                <w:sz w:val="15"/>
                <w:szCs w:val="15"/>
                <w:rtl/>
                <w:lang w:eastAsia="he-IL"/>
              </w:rPr>
              <w:t xml:space="preserve"> </w:t>
            </w:r>
            <w:r w:rsidRPr="006501FC">
              <w:rPr>
                <w:rFonts w:hint="eastAsia"/>
                <w:color w:val="000000"/>
                <w:sz w:val="15"/>
                <w:szCs w:val="15"/>
                <w:rtl/>
                <w:lang w:eastAsia="he-IL"/>
              </w:rPr>
              <w:t>לציבור</w:t>
            </w:r>
            <w:r w:rsidRPr="006501FC">
              <w:rPr>
                <w:color w:val="000000"/>
                <w:sz w:val="15"/>
                <w:szCs w:val="15"/>
                <w:vertAlign w:val="superscript"/>
                <w:rtl/>
                <w:lang w:eastAsia="he-IL"/>
              </w:rPr>
              <w:t>(א)</w:t>
            </w:r>
          </w:p>
        </w:tc>
        <w:tc>
          <w:tcPr>
            <w:tcW w:w="264" w:type="pct"/>
            <w:vAlign w:val="bottom"/>
          </w:tcPr>
          <w:p w14:paraId="3F302BF7"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3613821D"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2573752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5961C16A"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1645E976"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131A0134"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67ACD73E"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6CCA5DEE"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2A826FB2"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w:t>
            </w:r>
          </w:p>
        </w:tc>
        <w:tc>
          <w:tcPr>
            <w:tcW w:w="230" w:type="pct"/>
            <w:vAlign w:val="bottom"/>
          </w:tcPr>
          <w:p w14:paraId="6903B96E"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4EEDB2E3"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0FF486F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1" w:type="pct"/>
            <w:vAlign w:val="bottom"/>
          </w:tcPr>
          <w:p w14:paraId="32EA2C56"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789CB928" w14:textId="77777777" w:rsidTr="003D0D66">
        <w:tc>
          <w:tcPr>
            <w:tcW w:w="951" w:type="pct"/>
            <w:vAlign w:val="bottom"/>
          </w:tcPr>
          <w:p w14:paraId="755D3179" w14:textId="77777777" w:rsidR="006501FC" w:rsidRPr="006501FC" w:rsidRDefault="006501FC" w:rsidP="00400DD1">
            <w:pPr>
              <w:spacing w:line="241" w:lineRule="auto"/>
              <w:ind w:firstLine="1"/>
              <w:jc w:val="left"/>
              <w:rPr>
                <w:color w:val="000000"/>
                <w:sz w:val="15"/>
                <w:szCs w:val="15"/>
                <w:rtl/>
                <w:lang w:eastAsia="he-IL"/>
              </w:rPr>
            </w:pPr>
            <w:r w:rsidRPr="006501FC">
              <w:rPr>
                <w:rFonts w:hint="eastAsia"/>
                <w:color w:val="000000"/>
                <w:sz w:val="15"/>
                <w:szCs w:val="15"/>
                <w:rtl/>
                <w:lang w:eastAsia="he-IL"/>
              </w:rPr>
              <w:t>יתרת</w:t>
            </w:r>
            <w:r w:rsidRPr="006501FC">
              <w:rPr>
                <w:color w:val="000000"/>
                <w:sz w:val="15"/>
                <w:szCs w:val="15"/>
                <w:rtl/>
                <w:lang w:eastAsia="he-IL"/>
              </w:rPr>
              <w:t xml:space="preserve"> </w:t>
            </w:r>
            <w:r w:rsidRPr="006501FC">
              <w:rPr>
                <w:rFonts w:hint="eastAsia"/>
                <w:color w:val="000000"/>
                <w:sz w:val="15"/>
                <w:szCs w:val="15"/>
                <w:rtl/>
                <w:lang w:eastAsia="he-IL"/>
              </w:rPr>
              <w:t>האשראי</w:t>
            </w:r>
            <w:r w:rsidRPr="006501FC">
              <w:rPr>
                <w:color w:val="000000"/>
                <w:sz w:val="15"/>
                <w:szCs w:val="15"/>
                <w:rtl/>
                <w:lang w:eastAsia="he-IL"/>
              </w:rPr>
              <w:t xml:space="preserve"> </w:t>
            </w:r>
            <w:r w:rsidRPr="006501FC">
              <w:rPr>
                <w:rFonts w:hint="eastAsia"/>
                <w:color w:val="000000"/>
                <w:sz w:val="15"/>
                <w:szCs w:val="15"/>
                <w:rtl/>
                <w:lang w:eastAsia="he-IL"/>
              </w:rPr>
              <w:t>לציבור</w:t>
            </w:r>
            <w:r w:rsidRPr="006501FC">
              <w:rPr>
                <w:color w:val="000000"/>
                <w:sz w:val="15"/>
                <w:szCs w:val="15"/>
                <w:rtl/>
                <w:lang w:eastAsia="he-IL"/>
              </w:rPr>
              <w:t xml:space="preserve"> </w:t>
            </w:r>
            <w:r w:rsidRPr="006501FC">
              <w:rPr>
                <w:rFonts w:hint="eastAsia"/>
                <w:color w:val="000000"/>
                <w:sz w:val="15"/>
                <w:szCs w:val="15"/>
                <w:rtl/>
                <w:lang w:eastAsia="he-IL"/>
              </w:rPr>
              <w:t>לסוף</w:t>
            </w:r>
            <w:r w:rsidRPr="006501FC">
              <w:rPr>
                <w:color w:val="000000"/>
                <w:sz w:val="15"/>
                <w:szCs w:val="15"/>
                <w:rtl/>
                <w:lang w:eastAsia="he-IL"/>
              </w:rPr>
              <w:t xml:space="preserve"> </w:t>
            </w:r>
            <w:r w:rsidRPr="006501FC">
              <w:rPr>
                <w:rFonts w:hint="eastAsia"/>
                <w:color w:val="000000"/>
                <w:sz w:val="15"/>
                <w:szCs w:val="15"/>
                <w:rtl/>
                <w:lang w:eastAsia="he-IL"/>
              </w:rPr>
              <w:t>תקופת</w:t>
            </w:r>
            <w:r w:rsidRPr="006501FC">
              <w:rPr>
                <w:color w:val="000000"/>
                <w:sz w:val="15"/>
                <w:szCs w:val="15"/>
                <w:rtl/>
                <w:lang w:eastAsia="he-IL"/>
              </w:rPr>
              <w:t xml:space="preserve"> </w:t>
            </w:r>
            <w:r w:rsidRPr="006501FC">
              <w:rPr>
                <w:rFonts w:hint="eastAsia"/>
                <w:color w:val="000000"/>
                <w:sz w:val="15"/>
                <w:szCs w:val="15"/>
                <w:rtl/>
                <w:lang w:eastAsia="he-IL"/>
              </w:rPr>
              <w:t>הדיווח</w:t>
            </w:r>
          </w:p>
        </w:tc>
        <w:tc>
          <w:tcPr>
            <w:tcW w:w="264" w:type="pct"/>
            <w:vAlign w:val="bottom"/>
          </w:tcPr>
          <w:p w14:paraId="133FD3BD"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12AAB8FA"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3A8714F4"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6B3BAF14"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6BB87552"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1E79A9BA"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3C70FD71"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55B7ACB8"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0269F26D"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w:t>
            </w:r>
          </w:p>
        </w:tc>
        <w:tc>
          <w:tcPr>
            <w:tcW w:w="230" w:type="pct"/>
            <w:vAlign w:val="bottom"/>
          </w:tcPr>
          <w:p w14:paraId="3586026F"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71183710"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49055061"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1" w:type="pct"/>
            <w:vAlign w:val="bottom"/>
          </w:tcPr>
          <w:p w14:paraId="6BE984E8"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06D0C7F1" w14:textId="77777777" w:rsidTr="003D0D66">
        <w:tc>
          <w:tcPr>
            <w:tcW w:w="951" w:type="pct"/>
            <w:vAlign w:val="bottom"/>
          </w:tcPr>
          <w:p w14:paraId="2F781D8E" w14:textId="77777777" w:rsidR="006501FC" w:rsidRPr="006501FC" w:rsidRDefault="006501FC" w:rsidP="00400DD1">
            <w:pPr>
              <w:spacing w:line="241" w:lineRule="auto"/>
              <w:ind w:left="172" w:hanging="171"/>
              <w:jc w:val="left"/>
              <w:rPr>
                <w:color w:val="000000"/>
                <w:sz w:val="15"/>
                <w:szCs w:val="15"/>
                <w:rtl/>
                <w:lang w:eastAsia="he-IL"/>
              </w:rPr>
            </w:pPr>
            <w:r w:rsidRPr="006501FC">
              <w:rPr>
                <w:color w:val="000000"/>
                <w:sz w:val="15"/>
                <w:szCs w:val="15"/>
                <w:rtl/>
                <w:lang w:eastAsia="he-IL"/>
              </w:rPr>
              <w:t>יתרת חובות לא צוברים</w:t>
            </w:r>
            <w:r w:rsidRPr="006501FC">
              <w:rPr>
                <w:rFonts w:hint="cs"/>
                <w:color w:val="000000"/>
                <w:sz w:val="15"/>
                <w:szCs w:val="15"/>
                <w:rtl/>
                <w:lang w:eastAsia="he-IL"/>
              </w:rPr>
              <w:t xml:space="preserve"> וחובות בפיגור מעל 90 יום</w:t>
            </w:r>
          </w:p>
        </w:tc>
        <w:tc>
          <w:tcPr>
            <w:tcW w:w="264" w:type="pct"/>
            <w:vAlign w:val="bottom"/>
          </w:tcPr>
          <w:p w14:paraId="2E12AB53"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1D4367B8"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3DEECC2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0D1A7A2A"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4BCD651D"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21ACEACB"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01B83EBF"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144BE66D"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3ED3B08D"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vAlign w:val="bottom"/>
          </w:tcPr>
          <w:p w14:paraId="5A28F09B"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6FA34CE9"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66CA8858"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1" w:type="pct"/>
            <w:vAlign w:val="bottom"/>
          </w:tcPr>
          <w:p w14:paraId="02DD81FF"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075CCE54" w14:textId="77777777" w:rsidTr="003D0D66">
        <w:tc>
          <w:tcPr>
            <w:tcW w:w="951" w:type="pct"/>
            <w:vAlign w:val="bottom"/>
          </w:tcPr>
          <w:p w14:paraId="129313CA" w14:textId="77777777" w:rsidR="006501FC" w:rsidRPr="006501FC" w:rsidRDefault="006501FC" w:rsidP="00400DD1">
            <w:pPr>
              <w:spacing w:line="241" w:lineRule="auto"/>
              <w:ind w:left="172" w:hanging="171"/>
              <w:jc w:val="left"/>
              <w:rPr>
                <w:color w:val="000000"/>
                <w:sz w:val="15"/>
                <w:szCs w:val="15"/>
                <w:rtl/>
                <w:lang w:eastAsia="he-IL"/>
              </w:rPr>
            </w:pPr>
            <w:r w:rsidRPr="006501FC">
              <w:rPr>
                <w:rFonts w:hint="cs"/>
                <w:color w:val="000000"/>
                <w:sz w:val="15"/>
                <w:szCs w:val="15"/>
                <w:rtl/>
                <w:lang w:eastAsia="he-IL"/>
              </w:rPr>
              <w:t>יתרת חובות בעייתים אחרים</w:t>
            </w:r>
          </w:p>
        </w:tc>
        <w:tc>
          <w:tcPr>
            <w:tcW w:w="264" w:type="pct"/>
            <w:vAlign w:val="bottom"/>
          </w:tcPr>
          <w:p w14:paraId="2F6AEF70"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347055B8"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5495549D"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7FDBE848"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326B0133"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4E19E2DC"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5220E9E3"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53B98CBE"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105948B7"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vAlign w:val="bottom"/>
          </w:tcPr>
          <w:p w14:paraId="4C475957"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683B35AC"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4286E3DF"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1" w:type="pct"/>
            <w:vAlign w:val="bottom"/>
          </w:tcPr>
          <w:p w14:paraId="4BE0BA6D"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5AED96B0" w14:textId="77777777" w:rsidTr="003D0D66">
        <w:tc>
          <w:tcPr>
            <w:tcW w:w="951" w:type="pct"/>
            <w:vAlign w:val="bottom"/>
          </w:tcPr>
          <w:p w14:paraId="0E64211E" w14:textId="77777777" w:rsidR="006501FC" w:rsidRPr="006501FC" w:rsidRDefault="006501FC" w:rsidP="00400DD1">
            <w:pPr>
              <w:spacing w:line="241" w:lineRule="auto"/>
              <w:ind w:left="172" w:hanging="171"/>
              <w:jc w:val="left"/>
              <w:rPr>
                <w:color w:val="000000"/>
                <w:sz w:val="15"/>
                <w:szCs w:val="15"/>
                <w:rtl/>
                <w:lang w:eastAsia="he-IL"/>
              </w:rPr>
            </w:pPr>
            <w:r w:rsidRPr="006501FC">
              <w:rPr>
                <w:rFonts w:hint="cs"/>
                <w:color w:val="000000"/>
                <w:sz w:val="15"/>
                <w:szCs w:val="15"/>
                <w:rtl/>
                <w:lang w:eastAsia="he-IL"/>
              </w:rPr>
              <w:t>יתרת הפרשה להפסדי אשראי לסוף תקופת הדיווח</w:t>
            </w:r>
          </w:p>
        </w:tc>
        <w:tc>
          <w:tcPr>
            <w:tcW w:w="264" w:type="pct"/>
            <w:vAlign w:val="bottom"/>
          </w:tcPr>
          <w:p w14:paraId="32574302"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58B265AA"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4EF2FE9A"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5B1E3D99"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322E06C0"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2AC5CA5E"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00F15118"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44C0AA22"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2E4BBED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vAlign w:val="bottom"/>
          </w:tcPr>
          <w:p w14:paraId="2AE4C693"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25A2BD09"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6F3ACE9E"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1" w:type="pct"/>
            <w:vAlign w:val="bottom"/>
          </w:tcPr>
          <w:p w14:paraId="3E15871F"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44CF8AF1" w14:textId="77777777" w:rsidTr="003D0D66">
        <w:tc>
          <w:tcPr>
            <w:tcW w:w="951" w:type="pct"/>
            <w:tcBorders>
              <w:bottom w:val="single" w:sz="8" w:space="0" w:color="auto"/>
            </w:tcBorders>
            <w:vAlign w:val="bottom"/>
          </w:tcPr>
          <w:p w14:paraId="67BAC363" w14:textId="77777777" w:rsidR="006501FC" w:rsidRPr="006501FC" w:rsidRDefault="006501FC" w:rsidP="00400DD1">
            <w:pPr>
              <w:spacing w:line="241" w:lineRule="auto"/>
              <w:ind w:left="172" w:hanging="171"/>
              <w:jc w:val="left"/>
              <w:rPr>
                <w:color w:val="000000"/>
                <w:sz w:val="15"/>
                <w:szCs w:val="15"/>
                <w:rtl/>
                <w:lang w:eastAsia="he-IL"/>
              </w:rPr>
            </w:pPr>
            <w:r w:rsidRPr="006501FC">
              <w:rPr>
                <w:rFonts w:hint="cs"/>
                <w:color w:val="000000"/>
                <w:sz w:val="15"/>
                <w:szCs w:val="15"/>
                <w:rtl/>
                <w:lang w:eastAsia="he-IL"/>
              </w:rPr>
              <w:t>מחיקות חשבונאיות נטו בתקופת הדיווח</w:t>
            </w:r>
          </w:p>
        </w:tc>
        <w:tc>
          <w:tcPr>
            <w:tcW w:w="264" w:type="pct"/>
            <w:tcBorders>
              <w:bottom w:val="single" w:sz="8" w:space="0" w:color="auto"/>
            </w:tcBorders>
            <w:vAlign w:val="bottom"/>
          </w:tcPr>
          <w:p w14:paraId="02E6AAEC"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tcBorders>
              <w:bottom w:val="single" w:sz="8" w:space="0" w:color="auto"/>
            </w:tcBorders>
            <w:vAlign w:val="bottom"/>
          </w:tcPr>
          <w:p w14:paraId="6637E02C"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tcBorders>
              <w:bottom w:val="single" w:sz="8" w:space="0" w:color="auto"/>
            </w:tcBorders>
            <w:vAlign w:val="bottom"/>
          </w:tcPr>
          <w:p w14:paraId="089FD9EC"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tcBorders>
              <w:bottom w:val="single" w:sz="8" w:space="0" w:color="auto"/>
            </w:tcBorders>
            <w:vAlign w:val="bottom"/>
          </w:tcPr>
          <w:p w14:paraId="7777E65B"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tcBorders>
              <w:bottom w:val="single" w:sz="8" w:space="0" w:color="auto"/>
            </w:tcBorders>
            <w:vAlign w:val="bottom"/>
          </w:tcPr>
          <w:p w14:paraId="4DCD3708"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tcBorders>
              <w:bottom w:val="single" w:sz="8" w:space="0" w:color="auto"/>
            </w:tcBorders>
            <w:vAlign w:val="bottom"/>
          </w:tcPr>
          <w:p w14:paraId="54C4FF0D"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tcBorders>
              <w:bottom w:val="single" w:sz="8" w:space="0" w:color="auto"/>
            </w:tcBorders>
            <w:vAlign w:val="bottom"/>
          </w:tcPr>
          <w:p w14:paraId="24798B10"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tcBorders>
              <w:bottom w:val="single" w:sz="8" w:space="0" w:color="auto"/>
            </w:tcBorders>
            <w:vAlign w:val="bottom"/>
          </w:tcPr>
          <w:p w14:paraId="65D8A98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tcBorders>
              <w:bottom w:val="single" w:sz="8" w:space="0" w:color="auto"/>
            </w:tcBorders>
            <w:vAlign w:val="bottom"/>
          </w:tcPr>
          <w:p w14:paraId="43EC42CF"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tcBorders>
              <w:bottom w:val="single" w:sz="8" w:space="0" w:color="auto"/>
            </w:tcBorders>
            <w:vAlign w:val="bottom"/>
          </w:tcPr>
          <w:p w14:paraId="59CBE3D4"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tcBorders>
              <w:bottom w:val="single" w:sz="8" w:space="0" w:color="auto"/>
            </w:tcBorders>
            <w:vAlign w:val="bottom"/>
          </w:tcPr>
          <w:p w14:paraId="7DF013AE"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tcBorders>
              <w:bottom w:val="single" w:sz="8" w:space="0" w:color="auto"/>
            </w:tcBorders>
            <w:vAlign w:val="bottom"/>
          </w:tcPr>
          <w:p w14:paraId="7E2FE7FA"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1" w:type="pct"/>
            <w:tcBorders>
              <w:bottom w:val="single" w:sz="8" w:space="0" w:color="auto"/>
            </w:tcBorders>
            <w:vAlign w:val="bottom"/>
          </w:tcPr>
          <w:p w14:paraId="0EE36612"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2D70A3F3" w14:textId="77777777" w:rsidTr="003D0D66">
        <w:tc>
          <w:tcPr>
            <w:tcW w:w="951" w:type="pct"/>
            <w:vAlign w:val="bottom"/>
          </w:tcPr>
          <w:p w14:paraId="6912278D" w14:textId="77777777" w:rsidR="006501FC" w:rsidRPr="006501FC" w:rsidRDefault="006501FC" w:rsidP="00400DD1">
            <w:pPr>
              <w:spacing w:before="120"/>
              <w:ind w:left="170" w:hanging="170"/>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יתרה ממוצעת של התחייבויות</w:t>
            </w:r>
            <w:r w:rsidRPr="006501FC">
              <w:rPr>
                <w:rFonts w:asciiTheme="minorBidi" w:hAnsiTheme="minorBidi" w:cstheme="minorBidi"/>
                <w:color w:val="000000"/>
                <w:sz w:val="15"/>
                <w:szCs w:val="15"/>
                <w:vertAlign w:val="superscript"/>
                <w:rtl/>
                <w:lang w:eastAsia="he-IL"/>
              </w:rPr>
              <w:t>(א)</w:t>
            </w:r>
          </w:p>
        </w:tc>
        <w:tc>
          <w:tcPr>
            <w:tcW w:w="264" w:type="pct"/>
            <w:vAlign w:val="bottom"/>
          </w:tcPr>
          <w:p w14:paraId="78842A8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01617DB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1421110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539705D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63C72B2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6AD07CC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5B5065F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3664961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4BDDBBC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1479A49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19AB68B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5FDD92C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vAlign w:val="bottom"/>
          </w:tcPr>
          <w:p w14:paraId="52554CD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289E29F6" w14:textId="77777777" w:rsidTr="003D0D66">
        <w:tc>
          <w:tcPr>
            <w:tcW w:w="951" w:type="pct"/>
            <w:vAlign w:val="bottom"/>
          </w:tcPr>
          <w:p w14:paraId="554E79B1" w14:textId="77777777" w:rsidR="006501FC" w:rsidRPr="006501FC" w:rsidRDefault="006501FC" w:rsidP="00400DD1">
            <w:pPr>
              <w:spacing w:line="241" w:lineRule="auto"/>
              <w:ind w:left="394" w:hanging="394"/>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מזה: יתרה ממוצעת של פיקדונות הציבור</w:t>
            </w:r>
            <w:r w:rsidRPr="006501FC">
              <w:rPr>
                <w:rFonts w:asciiTheme="minorBidi" w:hAnsiTheme="minorBidi" w:cstheme="minorBidi"/>
                <w:color w:val="000000"/>
                <w:sz w:val="15"/>
                <w:szCs w:val="15"/>
                <w:vertAlign w:val="superscript"/>
                <w:rtl/>
                <w:lang w:eastAsia="he-IL"/>
              </w:rPr>
              <w:t>(א)</w:t>
            </w:r>
          </w:p>
        </w:tc>
        <w:tc>
          <w:tcPr>
            <w:tcW w:w="264" w:type="pct"/>
            <w:vAlign w:val="bottom"/>
          </w:tcPr>
          <w:p w14:paraId="3E9F620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0380818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73F51F5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1DBFE82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663B008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00912B3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5C34B35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6CD0742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140420C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7D69753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51C378E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53031F4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vAlign w:val="bottom"/>
          </w:tcPr>
          <w:p w14:paraId="39D48279"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70400E6E" w14:textId="77777777" w:rsidTr="003D0D66">
        <w:tc>
          <w:tcPr>
            <w:tcW w:w="951" w:type="pct"/>
            <w:vAlign w:val="bottom"/>
          </w:tcPr>
          <w:p w14:paraId="56BC7937" w14:textId="77777777" w:rsidR="006501FC" w:rsidRPr="006501FC" w:rsidRDefault="006501FC" w:rsidP="00400DD1">
            <w:pPr>
              <w:spacing w:line="241" w:lineRule="auto"/>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יתרת פיקדונות הציבור לסוף תקופת הדיווח</w:t>
            </w:r>
          </w:p>
        </w:tc>
        <w:tc>
          <w:tcPr>
            <w:tcW w:w="264" w:type="pct"/>
            <w:vAlign w:val="bottom"/>
          </w:tcPr>
          <w:p w14:paraId="17830B5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1956288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195E61F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54E047A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3B2970C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3FD7D14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5584E5A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666B862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4607108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18124DB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113BEED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4346C95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vAlign w:val="bottom"/>
          </w:tcPr>
          <w:p w14:paraId="0DA78FB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130D197F" w14:textId="77777777" w:rsidTr="003D0D66">
        <w:tc>
          <w:tcPr>
            <w:tcW w:w="951" w:type="pct"/>
            <w:vAlign w:val="bottom"/>
          </w:tcPr>
          <w:p w14:paraId="64767457" w14:textId="77777777" w:rsidR="006501FC" w:rsidRPr="006501FC" w:rsidRDefault="006501FC" w:rsidP="00400DD1">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יתרה ממוצעת של נכסי סיכון</w:t>
            </w:r>
            <w:r w:rsidRPr="006501FC">
              <w:rPr>
                <w:rFonts w:asciiTheme="minorBidi" w:hAnsiTheme="minorBidi" w:cstheme="minorBidi"/>
                <w:color w:val="000000"/>
                <w:sz w:val="15"/>
                <w:szCs w:val="15"/>
                <w:vertAlign w:val="superscript"/>
                <w:rtl/>
                <w:lang w:eastAsia="he-IL"/>
              </w:rPr>
              <w:t>(א),(ב)</w:t>
            </w:r>
          </w:p>
        </w:tc>
        <w:tc>
          <w:tcPr>
            <w:tcW w:w="264" w:type="pct"/>
            <w:vAlign w:val="bottom"/>
          </w:tcPr>
          <w:p w14:paraId="2F5A1A7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2EB6913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2CEE9F9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596E045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6CA8F07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281EF3C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467B099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792C8A39"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3CBFA3C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1EFA882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0C46BE0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10F4D54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vAlign w:val="bottom"/>
          </w:tcPr>
          <w:p w14:paraId="1BA7E51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579E83CD" w14:textId="77777777" w:rsidTr="003D0D66">
        <w:tc>
          <w:tcPr>
            <w:tcW w:w="951" w:type="pct"/>
            <w:vAlign w:val="bottom"/>
          </w:tcPr>
          <w:p w14:paraId="7897EB0F" w14:textId="77777777" w:rsidR="006501FC" w:rsidRPr="006501FC" w:rsidRDefault="006501FC" w:rsidP="00400DD1">
            <w:pPr>
              <w:spacing w:line="241" w:lineRule="auto"/>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יתרת נכסי סיכון לסוף תקופת הדיווח</w:t>
            </w:r>
            <w:r w:rsidRPr="006501FC">
              <w:rPr>
                <w:rFonts w:asciiTheme="minorBidi" w:hAnsiTheme="minorBidi" w:cstheme="minorBidi"/>
                <w:color w:val="000000"/>
                <w:sz w:val="15"/>
                <w:szCs w:val="15"/>
                <w:vertAlign w:val="superscript"/>
                <w:rtl/>
                <w:lang w:eastAsia="he-IL"/>
              </w:rPr>
              <w:t>(ב)</w:t>
            </w:r>
          </w:p>
        </w:tc>
        <w:tc>
          <w:tcPr>
            <w:tcW w:w="264" w:type="pct"/>
            <w:vAlign w:val="bottom"/>
          </w:tcPr>
          <w:p w14:paraId="77219B0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5F46449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25C36E3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55670CE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6D665E6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0B4115A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5AE9496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42B250D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4DD4CA3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775F301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19C5E45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57D49CD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vAlign w:val="bottom"/>
          </w:tcPr>
          <w:p w14:paraId="1290C9E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5C0B6515" w14:textId="77777777" w:rsidTr="003D0D66">
        <w:tc>
          <w:tcPr>
            <w:tcW w:w="951" w:type="pct"/>
            <w:tcBorders>
              <w:bottom w:val="single" w:sz="8" w:space="0" w:color="auto"/>
            </w:tcBorders>
            <w:vAlign w:val="bottom"/>
          </w:tcPr>
          <w:p w14:paraId="773323FD" w14:textId="77777777" w:rsidR="006501FC" w:rsidRPr="006501FC" w:rsidRDefault="006501FC" w:rsidP="00400DD1">
            <w:pPr>
              <w:spacing w:line="241" w:lineRule="auto"/>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יתרה ממוצעת של נכסים בניהול</w:t>
            </w:r>
            <w:r w:rsidRPr="006501FC">
              <w:rPr>
                <w:rFonts w:asciiTheme="minorBidi" w:hAnsiTheme="minorBidi" w:cstheme="minorBidi"/>
                <w:color w:val="000000"/>
                <w:sz w:val="15"/>
                <w:szCs w:val="15"/>
                <w:vertAlign w:val="superscript"/>
                <w:rtl/>
                <w:lang w:eastAsia="he-IL"/>
              </w:rPr>
              <w:t>(א),(ג)</w:t>
            </w:r>
          </w:p>
        </w:tc>
        <w:tc>
          <w:tcPr>
            <w:tcW w:w="264" w:type="pct"/>
            <w:tcBorders>
              <w:bottom w:val="single" w:sz="8" w:space="0" w:color="auto"/>
            </w:tcBorders>
            <w:vAlign w:val="bottom"/>
          </w:tcPr>
          <w:p w14:paraId="7FF89CE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tcBorders>
              <w:bottom w:val="single" w:sz="8" w:space="0" w:color="auto"/>
            </w:tcBorders>
            <w:vAlign w:val="bottom"/>
          </w:tcPr>
          <w:p w14:paraId="7FA8AE8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tcBorders>
              <w:bottom w:val="single" w:sz="8" w:space="0" w:color="auto"/>
            </w:tcBorders>
            <w:vAlign w:val="bottom"/>
          </w:tcPr>
          <w:p w14:paraId="053C2BB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tcBorders>
              <w:bottom w:val="single" w:sz="8" w:space="0" w:color="auto"/>
            </w:tcBorders>
            <w:vAlign w:val="bottom"/>
          </w:tcPr>
          <w:p w14:paraId="7065C7A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tcBorders>
              <w:bottom w:val="single" w:sz="8" w:space="0" w:color="auto"/>
            </w:tcBorders>
            <w:vAlign w:val="bottom"/>
          </w:tcPr>
          <w:p w14:paraId="0BA8FFA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tcBorders>
              <w:bottom w:val="single" w:sz="8" w:space="0" w:color="auto"/>
            </w:tcBorders>
            <w:vAlign w:val="bottom"/>
          </w:tcPr>
          <w:p w14:paraId="6D6557B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tcBorders>
              <w:bottom w:val="single" w:sz="8" w:space="0" w:color="auto"/>
            </w:tcBorders>
            <w:vAlign w:val="bottom"/>
          </w:tcPr>
          <w:p w14:paraId="63E275A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tcBorders>
              <w:bottom w:val="single" w:sz="8" w:space="0" w:color="auto"/>
            </w:tcBorders>
            <w:vAlign w:val="bottom"/>
          </w:tcPr>
          <w:p w14:paraId="01C8327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tcBorders>
              <w:bottom w:val="single" w:sz="8" w:space="0" w:color="auto"/>
            </w:tcBorders>
            <w:vAlign w:val="bottom"/>
          </w:tcPr>
          <w:p w14:paraId="78445B1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tcBorders>
              <w:bottom w:val="single" w:sz="8" w:space="0" w:color="auto"/>
            </w:tcBorders>
            <w:vAlign w:val="bottom"/>
          </w:tcPr>
          <w:p w14:paraId="7168529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tcBorders>
              <w:bottom w:val="single" w:sz="8" w:space="0" w:color="auto"/>
            </w:tcBorders>
            <w:vAlign w:val="bottom"/>
          </w:tcPr>
          <w:p w14:paraId="4A360AC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tcBorders>
              <w:bottom w:val="single" w:sz="8" w:space="0" w:color="auto"/>
            </w:tcBorders>
            <w:vAlign w:val="bottom"/>
          </w:tcPr>
          <w:p w14:paraId="16495C7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tcBorders>
              <w:bottom w:val="single" w:sz="8" w:space="0" w:color="auto"/>
            </w:tcBorders>
            <w:vAlign w:val="bottom"/>
          </w:tcPr>
          <w:p w14:paraId="176D6D6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7BC2F9E5" w14:textId="77777777" w:rsidTr="003D0D66">
        <w:tc>
          <w:tcPr>
            <w:tcW w:w="951" w:type="pct"/>
            <w:vAlign w:val="bottom"/>
          </w:tcPr>
          <w:p w14:paraId="3C31ADD9" w14:textId="77777777" w:rsidR="006501FC" w:rsidRPr="006501FC" w:rsidRDefault="006501FC" w:rsidP="00400DD1">
            <w:pPr>
              <w:spacing w:before="120"/>
              <w:ind w:left="170" w:hanging="170"/>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פיצול הכנסות ריבית, נטו:</w:t>
            </w:r>
          </w:p>
        </w:tc>
        <w:tc>
          <w:tcPr>
            <w:tcW w:w="264" w:type="pct"/>
            <w:vAlign w:val="bottom"/>
          </w:tcPr>
          <w:p w14:paraId="58E721CA"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4" w:type="pct"/>
            <w:vAlign w:val="bottom"/>
          </w:tcPr>
          <w:p w14:paraId="360838EC"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97" w:type="pct"/>
            <w:vAlign w:val="bottom"/>
          </w:tcPr>
          <w:p w14:paraId="747C76D8"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8" w:type="pct"/>
            <w:vAlign w:val="bottom"/>
          </w:tcPr>
          <w:p w14:paraId="65E836C0"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17" w:type="pct"/>
            <w:vAlign w:val="bottom"/>
          </w:tcPr>
          <w:p w14:paraId="18894E60"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7" w:type="pct"/>
            <w:vAlign w:val="bottom"/>
          </w:tcPr>
          <w:p w14:paraId="66907E8E"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94" w:type="pct"/>
            <w:vAlign w:val="bottom"/>
          </w:tcPr>
          <w:p w14:paraId="50540AF1"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45" w:type="pct"/>
            <w:gridSpan w:val="2"/>
            <w:vAlign w:val="bottom"/>
          </w:tcPr>
          <w:p w14:paraId="433494F8"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64" w:type="pct"/>
            <w:vAlign w:val="bottom"/>
          </w:tcPr>
          <w:p w14:paraId="5343CAA1"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30" w:type="pct"/>
            <w:vAlign w:val="bottom"/>
          </w:tcPr>
          <w:p w14:paraId="6AC168D7"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83" w:type="pct"/>
            <w:vAlign w:val="bottom"/>
          </w:tcPr>
          <w:p w14:paraId="18DFDE98"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56" w:type="pct"/>
            <w:vAlign w:val="bottom"/>
          </w:tcPr>
          <w:p w14:paraId="5F6B2291"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21" w:type="pct"/>
            <w:vAlign w:val="bottom"/>
          </w:tcPr>
          <w:p w14:paraId="2C19FB1B"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r>
      <w:tr w:rsidR="006501FC" w:rsidRPr="006501FC" w14:paraId="5092C5B0" w14:textId="77777777" w:rsidTr="003D0D66">
        <w:tc>
          <w:tcPr>
            <w:tcW w:w="951" w:type="pct"/>
            <w:vAlign w:val="bottom"/>
          </w:tcPr>
          <w:p w14:paraId="01F9C426" w14:textId="77777777" w:rsidR="006501FC" w:rsidRPr="006501FC" w:rsidRDefault="006501FC" w:rsidP="00400DD1">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מרווח מפעילות מתן אשראי</w:t>
            </w:r>
          </w:p>
        </w:tc>
        <w:tc>
          <w:tcPr>
            <w:tcW w:w="264" w:type="pct"/>
            <w:vAlign w:val="bottom"/>
          </w:tcPr>
          <w:p w14:paraId="65E6A65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5C875A5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4FA11E6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7317759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6606C91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2D5E64A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1947617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6271BD3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40748AF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520346F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62C5945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50D9CDE9"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vAlign w:val="bottom"/>
          </w:tcPr>
          <w:p w14:paraId="4EBD55D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107837E4" w14:textId="77777777" w:rsidTr="003D0D66">
        <w:tc>
          <w:tcPr>
            <w:tcW w:w="951" w:type="pct"/>
            <w:vAlign w:val="bottom"/>
          </w:tcPr>
          <w:p w14:paraId="29B6CDB3" w14:textId="77777777" w:rsidR="006501FC" w:rsidRPr="006501FC" w:rsidRDefault="006501FC" w:rsidP="00400DD1">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מרווח מפעילות קבלת פיקדונות</w:t>
            </w:r>
          </w:p>
        </w:tc>
        <w:tc>
          <w:tcPr>
            <w:tcW w:w="264" w:type="pct"/>
            <w:vAlign w:val="bottom"/>
          </w:tcPr>
          <w:p w14:paraId="64FE20E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0441CFD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6BCFE16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2106BB8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1A5604B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71008B7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3CF2648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3A06D62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335334F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1A24DA6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12DB6B0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06A4A0B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vAlign w:val="bottom"/>
          </w:tcPr>
          <w:p w14:paraId="74B64B6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1D8CD89D" w14:textId="77777777" w:rsidTr="003D0D66">
        <w:tc>
          <w:tcPr>
            <w:tcW w:w="951" w:type="pct"/>
            <w:vAlign w:val="bottom"/>
          </w:tcPr>
          <w:p w14:paraId="6F04EE95" w14:textId="77777777" w:rsidR="006501FC" w:rsidRPr="006501FC" w:rsidRDefault="006501FC" w:rsidP="00400DD1">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אחר</w:t>
            </w:r>
          </w:p>
        </w:tc>
        <w:tc>
          <w:tcPr>
            <w:tcW w:w="264" w:type="pct"/>
            <w:vAlign w:val="bottom"/>
          </w:tcPr>
          <w:p w14:paraId="2B41B248"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12613A38"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3703237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0E73D9F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0D7D440E"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19A87B78"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6F956EC7"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52C7AD5F"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5152F0B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75E8DF09"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01C15E9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7255DC1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vAlign w:val="bottom"/>
          </w:tcPr>
          <w:p w14:paraId="62E8F1B0"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054FC235" w14:textId="77777777" w:rsidTr="003D0D66">
        <w:tc>
          <w:tcPr>
            <w:tcW w:w="951" w:type="pct"/>
            <w:tcBorders>
              <w:bottom w:val="single" w:sz="8" w:space="0" w:color="auto"/>
            </w:tcBorders>
            <w:vAlign w:val="bottom"/>
          </w:tcPr>
          <w:p w14:paraId="3F5EB330" w14:textId="77777777" w:rsidR="006501FC" w:rsidRPr="006501FC" w:rsidRDefault="006501FC" w:rsidP="00400DD1">
            <w:pPr>
              <w:spacing w:line="241" w:lineRule="auto"/>
              <w:ind w:left="172" w:hanging="17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סך הכל הכנסות ריבית, נטו</w:t>
            </w:r>
          </w:p>
        </w:tc>
        <w:tc>
          <w:tcPr>
            <w:tcW w:w="264" w:type="pct"/>
            <w:tcBorders>
              <w:bottom w:val="single" w:sz="8" w:space="0" w:color="auto"/>
            </w:tcBorders>
            <w:vAlign w:val="bottom"/>
          </w:tcPr>
          <w:p w14:paraId="2F0CFC19"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tcBorders>
              <w:bottom w:val="single" w:sz="8" w:space="0" w:color="auto"/>
            </w:tcBorders>
            <w:vAlign w:val="bottom"/>
          </w:tcPr>
          <w:p w14:paraId="203025B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tcBorders>
              <w:bottom w:val="single" w:sz="8" w:space="0" w:color="auto"/>
            </w:tcBorders>
            <w:vAlign w:val="bottom"/>
          </w:tcPr>
          <w:p w14:paraId="7224E1F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tcBorders>
              <w:bottom w:val="single" w:sz="8" w:space="0" w:color="auto"/>
            </w:tcBorders>
            <w:vAlign w:val="bottom"/>
          </w:tcPr>
          <w:p w14:paraId="0BFE52F9"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tcBorders>
              <w:bottom w:val="single" w:sz="8" w:space="0" w:color="auto"/>
            </w:tcBorders>
            <w:vAlign w:val="bottom"/>
          </w:tcPr>
          <w:p w14:paraId="36C1C67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tcBorders>
              <w:bottom w:val="single" w:sz="8" w:space="0" w:color="auto"/>
            </w:tcBorders>
            <w:vAlign w:val="bottom"/>
          </w:tcPr>
          <w:p w14:paraId="42E6A86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tcBorders>
              <w:bottom w:val="single" w:sz="8" w:space="0" w:color="auto"/>
            </w:tcBorders>
            <w:vAlign w:val="bottom"/>
          </w:tcPr>
          <w:p w14:paraId="25D8537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tcBorders>
              <w:bottom w:val="single" w:sz="8" w:space="0" w:color="auto"/>
            </w:tcBorders>
            <w:vAlign w:val="bottom"/>
          </w:tcPr>
          <w:p w14:paraId="7706A4F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tcBorders>
              <w:bottom w:val="single" w:sz="8" w:space="0" w:color="auto"/>
            </w:tcBorders>
            <w:vAlign w:val="bottom"/>
          </w:tcPr>
          <w:p w14:paraId="54F476E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tcBorders>
              <w:bottom w:val="single" w:sz="8" w:space="0" w:color="auto"/>
            </w:tcBorders>
            <w:vAlign w:val="bottom"/>
          </w:tcPr>
          <w:p w14:paraId="4182FCB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tcBorders>
              <w:bottom w:val="single" w:sz="8" w:space="0" w:color="auto"/>
            </w:tcBorders>
            <w:vAlign w:val="bottom"/>
          </w:tcPr>
          <w:p w14:paraId="5925250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tcBorders>
              <w:bottom w:val="single" w:sz="8" w:space="0" w:color="auto"/>
            </w:tcBorders>
            <w:vAlign w:val="bottom"/>
          </w:tcPr>
          <w:p w14:paraId="0109B099"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1" w:type="pct"/>
            <w:tcBorders>
              <w:bottom w:val="single" w:sz="8" w:space="0" w:color="auto"/>
            </w:tcBorders>
            <w:vAlign w:val="bottom"/>
          </w:tcPr>
          <w:p w14:paraId="6BC87C2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bl>
    <w:p w14:paraId="775A0F1A" w14:textId="537F6FA7" w:rsidR="00A0684C" w:rsidRDefault="00A0684C">
      <w:pPr>
        <w:rPr>
          <w:rtl/>
        </w:rPr>
      </w:pPr>
    </w:p>
    <w:p w14:paraId="691BC079" w14:textId="77777777" w:rsidR="006501FC" w:rsidRDefault="006501FC"/>
    <w:tbl>
      <w:tblPr>
        <w:bidiVisual/>
        <w:tblW w:w="5000" w:type="pct"/>
        <w:tblInd w:w="10" w:type="dxa"/>
        <w:tblCellMar>
          <w:left w:w="28" w:type="dxa"/>
          <w:right w:w="28" w:type="dxa"/>
        </w:tblCellMar>
        <w:tblLook w:val="04A0" w:firstRow="1" w:lastRow="0" w:firstColumn="1" w:lastColumn="0" w:noHBand="0" w:noVBand="1"/>
      </w:tblPr>
      <w:tblGrid>
        <w:gridCol w:w="10207"/>
      </w:tblGrid>
      <w:tr w:rsidR="00E74D2B" w:rsidRPr="00E604CD" w14:paraId="65CF2985" w14:textId="77777777" w:rsidTr="00400DD1">
        <w:tc>
          <w:tcPr>
            <w:tcW w:w="5000" w:type="pct"/>
            <w:vAlign w:val="bottom"/>
          </w:tcPr>
          <w:p w14:paraId="3C215538" w14:textId="77777777" w:rsidR="00E74D2B" w:rsidRPr="003E6CF5" w:rsidRDefault="00E74D2B" w:rsidP="00400DD1">
            <w:pPr>
              <w:spacing w:line="241" w:lineRule="auto"/>
              <w:ind w:left="297" w:right="28" w:hanging="269"/>
              <w:jc w:val="left"/>
              <w:rPr>
                <w:sz w:val="16"/>
                <w:szCs w:val="16"/>
                <w:rtl/>
              </w:rPr>
            </w:pPr>
            <w:r w:rsidRPr="003E6CF5">
              <w:rPr>
                <w:color w:val="000000"/>
                <w:sz w:val="16"/>
                <w:szCs w:val="16"/>
                <w:rtl/>
                <w:lang w:eastAsia="he-IL"/>
              </w:rPr>
              <w:t xml:space="preserve">(א) </w:t>
            </w:r>
            <w:r w:rsidRPr="003E6CF5">
              <w:rPr>
                <w:sz w:val="16"/>
                <w:szCs w:val="16"/>
                <w:rtl/>
              </w:rPr>
              <w:tab/>
            </w:r>
            <w:r w:rsidRPr="003E6CF5">
              <w:rPr>
                <w:rFonts w:hint="eastAsia"/>
                <w:sz w:val="16"/>
                <w:szCs w:val="16"/>
                <w:rtl/>
              </w:rPr>
              <w:t>יתרות</w:t>
            </w:r>
            <w:r w:rsidRPr="003E6CF5">
              <w:rPr>
                <w:sz w:val="16"/>
                <w:szCs w:val="16"/>
                <w:rtl/>
              </w:rPr>
              <w:t xml:space="preserve"> </w:t>
            </w:r>
            <w:r w:rsidRPr="003E6CF5">
              <w:rPr>
                <w:rFonts w:hint="eastAsia"/>
                <w:sz w:val="16"/>
                <w:szCs w:val="16"/>
                <w:rtl/>
              </w:rPr>
              <w:t>ממוצעות</w:t>
            </w:r>
            <w:r w:rsidRPr="003E6CF5">
              <w:rPr>
                <w:sz w:val="16"/>
                <w:szCs w:val="16"/>
                <w:rtl/>
              </w:rPr>
              <w:t xml:space="preserve"> </w:t>
            </w:r>
            <w:r w:rsidRPr="003E6CF5">
              <w:rPr>
                <w:rFonts w:hint="eastAsia"/>
                <w:sz w:val="16"/>
                <w:szCs w:val="16"/>
                <w:rtl/>
              </w:rPr>
              <w:t>מחושבות</w:t>
            </w:r>
            <w:r w:rsidRPr="003E6CF5">
              <w:rPr>
                <w:sz w:val="16"/>
                <w:szCs w:val="16"/>
                <w:rtl/>
              </w:rPr>
              <w:t xml:space="preserve"> </w:t>
            </w:r>
            <w:r w:rsidRPr="003E6CF5">
              <w:rPr>
                <w:rFonts w:hint="eastAsia"/>
                <w:sz w:val="16"/>
                <w:szCs w:val="16"/>
                <w:rtl/>
              </w:rPr>
              <w:t>על</w:t>
            </w:r>
            <w:r w:rsidRPr="003E6CF5">
              <w:rPr>
                <w:sz w:val="16"/>
                <w:szCs w:val="16"/>
                <w:rtl/>
              </w:rPr>
              <w:t xml:space="preserve"> </w:t>
            </w:r>
            <w:r w:rsidRPr="003E6CF5">
              <w:rPr>
                <w:rFonts w:hint="eastAsia"/>
                <w:sz w:val="16"/>
                <w:szCs w:val="16"/>
                <w:rtl/>
              </w:rPr>
              <w:t>בסיס</w:t>
            </w:r>
            <w:r w:rsidRPr="003E6CF5">
              <w:rPr>
                <w:sz w:val="16"/>
                <w:szCs w:val="16"/>
                <w:rtl/>
              </w:rPr>
              <w:t xml:space="preserve"> </w:t>
            </w:r>
            <w:r w:rsidRPr="003E6CF5">
              <w:rPr>
                <w:rFonts w:hint="eastAsia"/>
                <w:sz w:val="16"/>
                <w:szCs w:val="16"/>
                <w:rtl/>
              </w:rPr>
              <w:t>יתרות</w:t>
            </w:r>
            <w:r w:rsidRPr="003E6CF5">
              <w:rPr>
                <w:sz w:val="16"/>
                <w:szCs w:val="16"/>
                <w:rtl/>
              </w:rPr>
              <w:t xml:space="preserve"> </w:t>
            </w:r>
            <w:r w:rsidRPr="003E6CF5">
              <w:rPr>
                <w:rFonts w:hint="eastAsia"/>
                <w:sz w:val="16"/>
                <w:szCs w:val="16"/>
                <w:rtl/>
              </w:rPr>
              <w:t>לתחילת</w:t>
            </w:r>
            <w:r w:rsidRPr="003E6CF5">
              <w:rPr>
                <w:sz w:val="16"/>
                <w:szCs w:val="16"/>
                <w:rtl/>
              </w:rPr>
              <w:t xml:space="preserve"> </w:t>
            </w:r>
            <w:r w:rsidRPr="003E6CF5">
              <w:rPr>
                <w:rFonts w:hint="eastAsia"/>
                <w:sz w:val="16"/>
                <w:szCs w:val="16"/>
                <w:rtl/>
              </w:rPr>
              <w:t>רבעון</w:t>
            </w:r>
            <w:r w:rsidRPr="003E6CF5">
              <w:rPr>
                <w:sz w:val="16"/>
                <w:szCs w:val="16"/>
                <w:rtl/>
              </w:rPr>
              <w:t xml:space="preserve"> </w:t>
            </w:r>
            <w:r w:rsidRPr="003E6CF5">
              <w:rPr>
                <w:rFonts w:hint="eastAsia"/>
                <w:sz w:val="16"/>
                <w:szCs w:val="16"/>
                <w:rtl/>
              </w:rPr>
              <w:t>או</w:t>
            </w:r>
            <w:r w:rsidRPr="003E6CF5">
              <w:rPr>
                <w:sz w:val="16"/>
                <w:szCs w:val="16"/>
                <w:rtl/>
              </w:rPr>
              <w:t xml:space="preserve"> </w:t>
            </w:r>
            <w:r w:rsidRPr="003E6CF5">
              <w:rPr>
                <w:rFonts w:hint="eastAsia"/>
                <w:sz w:val="16"/>
                <w:szCs w:val="16"/>
                <w:rtl/>
              </w:rPr>
              <w:t>לתחילת</w:t>
            </w:r>
            <w:r w:rsidRPr="003E6CF5">
              <w:rPr>
                <w:sz w:val="16"/>
                <w:szCs w:val="16"/>
                <w:rtl/>
              </w:rPr>
              <w:t xml:space="preserve"> </w:t>
            </w:r>
            <w:r w:rsidRPr="003E6CF5">
              <w:rPr>
                <w:rFonts w:hint="eastAsia"/>
                <w:sz w:val="16"/>
                <w:szCs w:val="16"/>
                <w:rtl/>
              </w:rPr>
              <w:t>חודש</w:t>
            </w:r>
            <w:r w:rsidRPr="003E6CF5">
              <w:rPr>
                <w:sz w:val="16"/>
                <w:szCs w:val="16"/>
                <w:rtl/>
              </w:rPr>
              <w:t>.</w:t>
            </w:r>
          </w:p>
        </w:tc>
      </w:tr>
      <w:tr w:rsidR="00E74D2B" w:rsidRPr="00E604CD" w14:paraId="507FD0B0" w14:textId="77777777" w:rsidTr="00400DD1">
        <w:tc>
          <w:tcPr>
            <w:tcW w:w="5000" w:type="pct"/>
            <w:vAlign w:val="bottom"/>
          </w:tcPr>
          <w:p w14:paraId="5778CDE6" w14:textId="77777777" w:rsidR="00E74D2B" w:rsidRPr="003E6CF5" w:rsidRDefault="00E74D2B" w:rsidP="00400DD1">
            <w:pPr>
              <w:spacing w:line="241" w:lineRule="auto"/>
              <w:ind w:left="297" w:right="28" w:hanging="269"/>
              <w:jc w:val="left"/>
              <w:rPr>
                <w:color w:val="000000"/>
                <w:sz w:val="16"/>
                <w:szCs w:val="16"/>
                <w:rtl/>
                <w:lang w:eastAsia="he-IL"/>
              </w:rPr>
            </w:pPr>
            <w:r w:rsidRPr="003E6CF5">
              <w:rPr>
                <w:color w:val="000000"/>
                <w:sz w:val="16"/>
                <w:szCs w:val="16"/>
                <w:rtl/>
                <w:lang w:eastAsia="he-IL"/>
              </w:rPr>
              <w:t>(ב)</w:t>
            </w:r>
            <w:r w:rsidRPr="003E6CF5">
              <w:rPr>
                <w:color w:val="000000"/>
                <w:sz w:val="16"/>
                <w:szCs w:val="16"/>
                <w:rtl/>
                <w:lang w:eastAsia="he-IL"/>
              </w:rPr>
              <w:tab/>
            </w:r>
            <w:r w:rsidRPr="003E6CF5">
              <w:rPr>
                <w:rFonts w:hint="eastAsia"/>
                <w:color w:val="000000"/>
                <w:sz w:val="16"/>
                <w:szCs w:val="16"/>
                <w:rtl/>
                <w:lang w:eastAsia="he-IL"/>
              </w:rPr>
              <w:t>נכסי</w:t>
            </w:r>
            <w:r w:rsidRPr="003E6CF5">
              <w:rPr>
                <w:color w:val="000000"/>
                <w:sz w:val="16"/>
                <w:szCs w:val="16"/>
                <w:rtl/>
                <w:lang w:eastAsia="he-IL"/>
              </w:rPr>
              <w:t xml:space="preserve"> </w:t>
            </w:r>
            <w:r w:rsidRPr="003E6CF5">
              <w:rPr>
                <w:rFonts w:hint="eastAsia"/>
                <w:color w:val="000000"/>
                <w:sz w:val="16"/>
                <w:szCs w:val="16"/>
                <w:rtl/>
                <w:lang w:eastAsia="he-IL"/>
              </w:rPr>
              <w:t>סיכון</w:t>
            </w:r>
            <w:r w:rsidRPr="003E6CF5">
              <w:rPr>
                <w:color w:val="000000"/>
                <w:sz w:val="16"/>
                <w:szCs w:val="16"/>
                <w:rtl/>
                <w:lang w:eastAsia="he-IL"/>
              </w:rPr>
              <w:t xml:space="preserve"> - </w:t>
            </w:r>
            <w:r w:rsidRPr="003E6CF5">
              <w:rPr>
                <w:rFonts w:hint="eastAsia"/>
                <w:color w:val="000000"/>
                <w:sz w:val="16"/>
                <w:szCs w:val="16"/>
                <w:rtl/>
                <w:lang w:eastAsia="he-IL"/>
              </w:rPr>
              <w:t>כפי</w:t>
            </w:r>
            <w:r w:rsidRPr="003E6CF5">
              <w:rPr>
                <w:color w:val="000000"/>
                <w:sz w:val="16"/>
                <w:szCs w:val="16"/>
                <w:rtl/>
                <w:lang w:eastAsia="he-IL"/>
              </w:rPr>
              <w:t xml:space="preserve"> </w:t>
            </w:r>
            <w:r w:rsidRPr="003E6CF5">
              <w:rPr>
                <w:rFonts w:hint="eastAsia"/>
                <w:color w:val="000000"/>
                <w:sz w:val="16"/>
                <w:szCs w:val="16"/>
                <w:rtl/>
                <w:lang w:eastAsia="he-IL"/>
              </w:rPr>
              <w:t>שחושבו</w:t>
            </w:r>
            <w:r w:rsidRPr="003E6CF5">
              <w:rPr>
                <w:color w:val="000000"/>
                <w:sz w:val="16"/>
                <w:szCs w:val="16"/>
                <w:rtl/>
                <w:lang w:eastAsia="he-IL"/>
              </w:rPr>
              <w:t xml:space="preserve"> </w:t>
            </w:r>
            <w:r w:rsidRPr="003E6CF5">
              <w:rPr>
                <w:rFonts w:hint="eastAsia"/>
                <w:color w:val="000000"/>
                <w:sz w:val="16"/>
                <w:szCs w:val="16"/>
                <w:rtl/>
                <w:lang w:eastAsia="he-IL"/>
              </w:rPr>
              <w:t>לצורך</w:t>
            </w:r>
            <w:r w:rsidRPr="003E6CF5">
              <w:rPr>
                <w:color w:val="000000"/>
                <w:sz w:val="16"/>
                <w:szCs w:val="16"/>
                <w:rtl/>
                <w:lang w:eastAsia="he-IL"/>
              </w:rPr>
              <w:t xml:space="preserve"> </w:t>
            </w:r>
            <w:r w:rsidRPr="003E6CF5">
              <w:rPr>
                <w:rFonts w:hint="eastAsia"/>
                <w:color w:val="000000"/>
                <w:sz w:val="16"/>
                <w:szCs w:val="16"/>
                <w:rtl/>
                <w:lang w:eastAsia="he-IL"/>
              </w:rPr>
              <w:t>הלימות</w:t>
            </w:r>
            <w:r w:rsidRPr="003E6CF5">
              <w:rPr>
                <w:color w:val="000000"/>
                <w:sz w:val="16"/>
                <w:szCs w:val="16"/>
                <w:rtl/>
                <w:lang w:eastAsia="he-IL"/>
              </w:rPr>
              <w:t xml:space="preserve"> </w:t>
            </w:r>
            <w:r w:rsidRPr="003E6CF5">
              <w:rPr>
                <w:rFonts w:hint="eastAsia"/>
                <w:color w:val="000000"/>
                <w:sz w:val="16"/>
                <w:szCs w:val="16"/>
                <w:rtl/>
                <w:lang w:eastAsia="he-IL"/>
              </w:rPr>
              <w:t>הון</w:t>
            </w:r>
            <w:r w:rsidRPr="003E6CF5">
              <w:rPr>
                <w:color w:val="000000"/>
                <w:sz w:val="16"/>
                <w:szCs w:val="16"/>
                <w:rtl/>
                <w:lang w:eastAsia="he-IL"/>
              </w:rPr>
              <w:t>.</w:t>
            </w:r>
          </w:p>
        </w:tc>
      </w:tr>
      <w:tr w:rsidR="00E74D2B" w:rsidRPr="006D533A" w14:paraId="0C0CC5FE" w14:textId="77777777" w:rsidTr="00400DD1">
        <w:tc>
          <w:tcPr>
            <w:tcW w:w="5000" w:type="pct"/>
            <w:vAlign w:val="bottom"/>
          </w:tcPr>
          <w:p w14:paraId="5275CB80" w14:textId="77777777" w:rsidR="00E74D2B" w:rsidRPr="003E6CF5" w:rsidRDefault="00E74D2B" w:rsidP="00400DD1">
            <w:pPr>
              <w:spacing w:line="241" w:lineRule="auto"/>
              <w:ind w:left="297" w:right="28" w:hanging="269"/>
              <w:jc w:val="left"/>
              <w:rPr>
                <w:color w:val="000000"/>
                <w:sz w:val="16"/>
                <w:szCs w:val="16"/>
                <w:rtl/>
                <w:lang w:eastAsia="he-IL"/>
              </w:rPr>
            </w:pPr>
            <w:r w:rsidRPr="003E6CF5">
              <w:rPr>
                <w:color w:val="000000"/>
                <w:sz w:val="16"/>
                <w:szCs w:val="16"/>
                <w:rtl/>
                <w:lang w:eastAsia="he-IL"/>
              </w:rPr>
              <w:t>(ג)</w:t>
            </w:r>
            <w:r w:rsidRPr="003E6CF5">
              <w:rPr>
                <w:color w:val="000000"/>
                <w:sz w:val="16"/>
                <w:szCs w:val="16"/>
                <w:rtl/>
                <w:lang w:eastAsia="he-IL"/>
              </w:rPr>
              <w:tab/>
            </w:r>
            <w:r w:rsidRPr="003E6CF5">
              <w:rPr>
                <w:rFonts w:hint="eastAsia"/>
                <w:color w:val="000000"/>
                <w:sz w:val="16"/>
                <w:szCs w:val="16"/>
                <w:rtl/>
                <w:lang w:eastAsia="he-IL"/>
              </w:rPr>
              <w:t>נכסים</w:t>
            </w:r>
            <w:r w:rsidRPr="003E6CF5">
              <w:rPr>
                <w:color w:val="000000"/>
                <w:sz w:val="16"/>
                <w:szCs w:val="16"/>
                <w:rtl/>
                <w:lang w:eastAsia="he-IL"/>
              </w:rPr>
              <w:t xml:space="preserve"> </w:t>
            </w:r>
            <w:r w:rsidRPr="003E6CF5">
              <w:rPr>
                <w:rFonts w:hint="eastAsia"/>
                <w:color w:val="000000"/>
                <w:sz w:val="16"/>
                <w:szCs w:val="16"/>
                <w:rtl/>
                <w:lang w:eastAsia="he-IL"/>
              </w:rPr>
              <w:t>בניהול</w:t>
            </w:r>
            <w:r w:rsidRPr="003E6CF5">
              <w:rPr>
                <w:color w:val="000000"/>
                <w:sz w:val="16"/>
                <w:szCs w:val="16"/>
                <w:rtl/>
                <w:lang w:eastAsia="he-IL"/>
              </w:rPr>
              <w:t xml:space="preserve"> - </w:t>
            </w:r>
            <w:r w:rsidRPr="003E6CF5">
              <w:rPr>
                <w:rFonts w:hint="eastAsia"/>
                <w:color w:val="000000"/>
                <w:sz w:val="16"/>
                <w:szCs w:val="16"/>
                <w:rtl/>
                <w:lang w:eastAsia="he-IL"/>
              </w:rPr>
              <w:t>לרבות</w:t>
            </w:r>
            <w:r w:rsidRPr="003E6CF5">
              <w:rPr>
                <w:color w:val="000000"/>
                <w:sz w:val="16"/>
                <w:szCs w:val="16"/>
                <w:rtl/>
                <w:lang w:eastAsia="he-IL"/>
              </w:rPr>
              <w:t xml:space="preserve"> </w:t>
            </w:r>
            <w:r w:rsidRPr="003E6CF5">
              <w:rPr>
                <w:rFonts w:hint="eastAsia"/>
                <w:color w:val="000000"/>
                <w:sz w:val="16"/>
                <w:szCs w:val="16"/>
                <w:rtl/>
                <w:lang w:eastAsia="he-IL"/>
              </w:rPr>
              <w:t>נכסי</w:t>
            </w:r>
            <w:r w:rsidRPr="003E6CF5">
              <w:rPr>
                <w:color w:val="000000"/>
                <w:sz w:val="16"/>
                <w:szCs w:val="16"/>
                <w:rtl/>
                <w:lang w:eastAsia="he-IL"/>
              </w:rPr>
              <w:t xml:space="preserve"> </w:t>
            </w:r>
            <w:r w:rsidRPr="003E6CF5">
              <w:rPr>
                <w:rFonts w:hint="eastAsia"/>
                <w:color w:val="000000"/>
                <w:sz w:val="16"/>
                <w:szCs w:val="16"/>
                <w:rtl/>
                <w:lang w:eastAsia="he-IL"/>
              </w:rPr>
              <w:t>גמל</w:t>
            </w:r>
            <w:r w:rsidRPr="003E6CF5">
              <w:rPr>
                <w:color w:val="000000"/>
                <w:sz w:val="16"/>
                <w:szCs w:val="16"/>
                <w:rtl/>
                <w:lang w:eastAsia="he-IL"/>
              </w:rPr>
              <w:t xml:space="preserve">, </w:t>
            </w:r>
            <w:r w:rsidRPr="003E6CF5">
              <w:rPr>
                <w:rFonts w:hint="eastAsia"/>
                <w:color w:val="000000"/>
                <w:sz w:val="16"/>
                <w:szCs w:val="16"/>
                <w:rtl/>
                <w:lang w:eastAsia="he-IL"/>
              </w:rPr>
              <w:t>קרנות</w:t>
            </w:r>
            <w:r w:rsidRPr="003E6CF5">
              <w:rPr>
                <w:color w:val="000000"/>
                <w:sz w:val="16"/>
                <w:szCs w:val="16"/>
                <w:rtl/>
                <w:lang w:eastAsia="he-IL"/>
              </w:rPr>
              <w:t xml:space="preserve"> </w:t>
            </w:r>
            <w:r w:rsidRPr="003E6CF5">
              <w:rPr>
                <w:rFonts w:hint="eastAsia"/>
                <w:color w:val="000000"/>
                <w:sz w:val="16"/>
                <w:szCs w:val="16"/>
                <w:rtl/>
                <w:lang w:eastAsia="he-IL"/>
              </w:rPr>
              <w:t>השתלמות</w:t>
            </w:r>
            <w:r w:rsidRPr="003E6CF5">
              <w:rPr>
                <w:color w:val="000000"/>
                <w:sz w:val="16"/>
                <w:szCs w:val="16"/>
                <w:rtl/>
                <w:lang w:eastAsia="he-IL"/>
              </w:rPr>
              <w:t xml:space="preserve">, </w:t>
            </w:r>
            <w:r w:rsidRPr="003E6CF5">
              <w:rPr>
                <w:rFonts w:hint="eastAsia"/>
                <w:color w:val="000000"/>
                <w:sz w:val="16"/>
                <w:szCs w:val="16"/>
                <w:rtl/>
                <w:lang w:eastAsia="he-IL"/>
              </w:rPr>
              <w:t>קרנות</w:t>
            </w:r>
            <w:r w:rsidRPr="003E6CF5">
              <w:rPr>
                <w:color w:val="000000"/>
                <w:sz w:val="16"/>
                <w:szCs w:val="16"/>
                <w:rtl/>
                <w:lang w:eastAsia="he-IL"/>
              </w:rPr>
              <w:t xml:space="preserve"> </w:t>
            </w:r>
            <w:r w:rsidRPr="003E6CF5">
              <w:rPr>
                <w:rFonts w:hint="eastAsia"/>
                <w:color w:val="000000"/>
                <w:sz w:val="16"/>
                <w:szCs w:val="16"/>
                <w:rtl/>
                <w:lang w:eastAsia="he-IL"/>
              </w:rPr>
              <w:t>נאמנות</w:t>
            </w:r>
            <w:r w:rsidRPr="003E6CF5">
              <w:rPr>
                <w:color w:val="000000"/>
                <w:sz w:val="16"/>
                <w:szCs w:val="16"/>
                <w:rtl/>
                <w:lang w:eastAsia="he-IL"/>
              </w:rPr>
              <w:t xml:space="preserve"> </w:t>
            </w:r>
            <w:r w:rsidRPr="003E6CF5">
              <w:rPr>
                <w:rFonts w:hint="eastAsia"/>
                <w:color w:val="000000"/>
                <w:sz w:val="16"/>
                <w:szCs w:val="16"/>
                <w:rtl/>
                <w:lang w:eastAsia="he-IL"/>
              </w:rPr>
              <w:t>וניירות</w:t>
            </w:r>
            <w:r w:rsidRPr="003E6CF5">
              <w:rPr>
                <w:color w:val="000000"/>
                <w:sz w:val="16"/>
                <w:szCs w:val="16"/>
                <w:rtl/>
                <w:lang w:eastAsia="he-IL"/>
              </w:rPr>
              <w:t xml:space="preserve"> </w:t>
            </w:r>
            <w:r w:rsidRPr="003E6CF5">
              <w:rPr>
                <w:rFonts w:hint="eastAsia"/>
                <w:color w:val="000000"/>
                <w:sz w:val="16"/>
                <w:szCs w:val="16"/>
                <w:rtl/>
                <w:lang w:eastAsia="he-IL"/>
              </w:rPr>
              <w:t>ערך</w:t>
            </w:r>
            <w:r w:rsidRPr="003E6CF5">
              <w:rPr>
                <w:color w:val="000000"/>
                <w:sz w:val="16"/>
                <w:szCs w:val="16"/>
                <w:rtl/>
                <w:lang w:eastAsia="he-IL"/>
              </w:rPr>
              <w:t xml:space="preserve"> </w:t>
            </w:r>
            <w:r w:rsidRPr="003E6CF5">
              <w:rPr>
                <w:rFonts w:hint="eastAsia"/>
                <w:color w:val="000000"/>
                <w:sz w:val="16"/>
                <w:szCs w:val="16"/>
                <w:rtl/>
                <w:lang w:eastAsia="he-IL"/>
              </w:rPr>
              <w:t>של</w:t>
            </w:r>
            <w:r w:rsidRPr="003E6CF5">
              <w:rPr>
                <w:color w:val="000000"/>
                <w:sz w:val="16"/>
                <w:szCs w:val="16"/>
                <w:rtl/>
                <w:lang w:eastAsia="he-IL"/>
              </w:rPr>
              <w:t xml:space="preserve"> </w:t>
            </w:r>
            <w:r w:rsidRPr="003E6CF5">
              <w:rPr>
                <w:rFonts w:hint="eastAsia"/>
                <w:color w:val="000000"/>
                <w:sz w:val="16"/>
                <w:szCs w:val="16"/>
                <w:rtl/>
                <w:lang w:eastAsia="he-IL"/>
              </w:rPr>
              <w:t>לקוחות</w:t>
            </w:r>
            <w:r w:rsidRPr="003E6CF5">
              <w:rPr>
                <w:color w:val="000000"/>
                <w:sz w:val="16"/>
                <w:szCs w:val="16"/>
                <w:rtl/>
                <w:lang w:eastAsia="he-IL"/>
              </w:rPr>
              <w:t>.</w:t>
            </w:r>
          </w:p>
        </w:tc>
      </w:tr>
    </w:tbl>
    <w:p w14:paraId="5AEB2C9D" w14:textId="049B2ADD" w:rsidR="00E74D2B" w:rsidRDefault="00E74D2B">
      <w:pPr>
        <w:rPr>
          <w:rtl/>
        </w:rPr>
      </w:pPr>
    </w:p>
    <w:p w14:paraId="4FC825AC" w14:textId="77777777" w:rsidR="00E74D2B" w:rsidRDefault="00E74D2B">
      <w:pPr>
        <w:bidi w:val="0"/>
        <w:jc w:val="left"/>
      </w:pPr>
      <w:r>
        <w:rPr>
          <w:rtl/>
        </w:rPr>
        <w:br w:type="page"/>
      </w:r>
    </w:p>
    <w:tbl>
      <w:tblPr>
        <w:tblpPr w:leftFromText="180" w:rightFromText="180" w:vertAnchor="page" w:horzAnchor="margin" w:tblpXSpec="center" w:tblpY="2022"/>
        <w:bidiVisual/>
        <w:tblW w:w="5347" w:type="pct"/>
        <w:tblCellMar>
          <w:left w:w="28" w:type="dxa"/>
          <w:right w:w="28" w:type="dxa"/>
        </w:tblCellMar>
        <w:tblLook w:val="04A0" w:firstRow="1" w:lastRow="0" w:firstColumn="1" w:lastColumn="0" w:noHBand="0" w:noVBand="1"/>
      </w:tblPr>
      <w:tblGrid>
        <w:gridCol w:w="2073"/>
        <w:gridCol w:w="576"/>
        <w:gridCol w:w="708"/>
        <w:gridCol w:w="648"/>
        <w:gridCol w:w="716"/>
        <w:gridCol w:w="692"/>
        <w:gridCol w:w="714"/>
        <w:gridCol w:w="642"/>
        <w:gridCol w:w="11"/>
        <w:gridCol w:w="742"/>
        <w:gridCol w:w="795"/>
        <w:gridCol w:w="502"/>
        <w:gridCol w:w="836"/>
        <w:gridCol w:w="777"/>
        <w:gridCol w:w="483"/>
      </w:tblGrid>
      <w:tr w:rsidR="00A82C7F" w:rsidRPr="000A4A09" w14:paraId="6039768B" w14:textId="77777777" w:rsidTr="00A82C7F">
        <w:tc>
          <w:tcPr>
            <w:tcW w:w="5000" w:type="pct"/>
            <w:gridSpan w:val="15"/>
            <w:vAlign w:val="bottom"/>
          </w:tcPr>
          <w:p w14:paraId="07EE68DC" w14:textId="77777777" w:rsidR="00A82C7F" w:rsidRPr="000E53E1" w:rsidRDefault="00A82C7F" w:rsidP="00A82C7F">
            <w:pPr>
              <w:spacing w:after="60" w:line="228" w:lineRule="auto"/>
              <w:ind w:left="1388" w:right="85"/>
              <w:jc w:val="left"/>
              <w:rPr>
                <w:rFonts w:asciiTheme="minorBidi" w:hAnsiTheme="minorBidi" w:cstheme="minorBidi"/>
                <w:b/>
                <w:bCs/>
                <w:sz w:val="18"/>
                <w:szCs w:val="18"/>
                <w:rtl/>
              </w:rPr>
            </w:pPr>
            <w:r w:rsidRPr="000E53E1">
              <w:rPr>
                <w:rFonts w:asciiTheme="minorBidi" w:hAnsiTheme="minorBidi"/>
                <w:b/>
                <w:bCs/>
                <w:sz w:val="18"/>
                <w:szCs w:val="18"/>
                <w:rtl/>
              </w:rPr>
              <w:lastRenderedPageBreak/>
              <w:t>ביאור 1</w:t>
            </w:r>
            <w:r w:rsidRPr="000E53E1">
              <w:rPr>
                <w:rFonts w:asciiTheme="minorBidi" w:hAnsiTheme="minorBidi" w:hint="cs"/>
                <w:b/>
                <w:bCs/>
                <w:sz w:val="18"/>
                <w:szCs w:val="18"/>
                <w:rtl/>
              </w:rPr>
              <w:t>1</w:t>
            </w:r>
            <w:r w:rsidRPr="000E53E1">
              <w:rPr>
                <w:rFonts w:asciiTheme="minorBidi" w:hAnsiTheme="minorBidi"/>
                <w:b/>
                <w:bCs/>
                <w:sz w:val="18"/>
                <w:szCs w:val="18"/>
                <w:rtl/>
              </w:rPr>
              <w:t xml:space="preserve">  -  </w:t>
            </w:r>
            <w:r w:rsidRPr="000E53E1">
              <w:rPr>
                <w:sz w:val="18"/>
                <w:szCs w:val="18"/>
                <w:rtl/>
              </w:rPr>
              <w:t xml:space="preserve"> </w:t>
            </w:r>
            <w:r w:rsidRPr="000E53E1">
              <w:rPr>
                <w:rFonts w:asciiTheme="minorBidi" w:hAnsiTheme="minorBidi"/>
                <w:b/>
                <w:bCs/>
                <w:sz w:val="18"/>
                <w:szCs w:val="18"/>
                <w:rtl/>
              </w:rPr>
              <w:t>מגזרי פעילות פיקוחיים (המשך):</w:t>
            </w:r>
          </w:p>
        </w:tc>
      </w:tr>
      <w:tr w:rsidR="00E74D2B" w:rsidRPr="000A4A09" w14:paraId="090B551D" w14:textId="77777777" w:rsidTr="00400DD1">
        <w:tc>
          <w:tcPr>
            <w:tcW w:w="950" w:type="pct"/>
            <w:vAlign w:val="bottom"/>
          </w:tcPr>
          <w:p w14:paraId="17859C4C" w14:textId="34438108" w:rsidR="00E74D2B" w:rsidRPr="003E6CF5" w:rsidRDefault="00E74D2B" w:rsidP="00400DD1">
            <w:pPr>
              <w:spacing w:line="228" w:lineRule="auto"/>
              <w:ind w:left="57" w:right="57" w:hanging="144"/>
              <w:jc w:val="center"/>
              <w:rPr>
                <w:rFonts w:asciiTheme="minorBidi" w:hAnsiTheme="minorBidi" w:cstheme="minorBidi"/>
                <w:color w:val="000000"/>
                <w:sz w:val="16"/>
                <w:szCs w:val="16"/>
                <w:rtl/>
                <w:lang w:eastAsia="he-IL"/>
              </w:rPr>
            </w:pPr>
            <w:r w:rsidRPr="003E6CF5">
              <w:rPr>
                <w:rFonts w:asciiTheme="minorBidi" w:hAnsiTheme="minorBidi" w:cstheme="minorBidi"/>
                <w:sz w:val="16"/>
                <w:szCs w:val="16"/>
                <w:rtl/>
              </w:rPr>
              <w:t>מתכונת ביאור עמ' 663-4</w:t>
            </w:r>
            <w:r w:rsidR="002A6D5B">
              <w:rPr>
                <w:rFonts w:asciiTheme="minorBidi" w:hAnsiTheme="minorBidi" w:cstheme="minorBidi" w:hint="cs"/>
                <w:sz w:val="16"/>
                <w:szCs w:val="16"/>
                <w:rtl/>
              </w:rPr>
              <w:t>3</w:t>
            </w:r>
          </w:p>
        </w:tc>
        <w:tc>
          <w:tcPr>
            <w:tcW w:w="4050" w:type="pct"/>
            <w:gridSpan w:val="14"/>
            <w:vAlign w:val="bottom"/>
          </w:tcPr>
          <w:p w14:paraId="7BC9D55D" w14:textId="0DD2D097" w:rsidR="00E74D2B" w:rsidRPr="00F75066" w:rsidRDefault="00E74D2B" w:rsidP="00F75066">
            <w:pPr>
              <w:spacing w:line="228" w:lineRule="auto"/>
              <w:ind w:left="85" w:right="85"/>
              <w:jc w:val="center"/>
              <w:rPr>
                <w:rFonts w:asciiTheme="minorBidi" w:hAnsiTheme="minorBidi" w:cstheme="minorBidi"/>
                <w:b/>
                <w:bCs/>
                <w:sz w:val="16"/>
                <w:szCs w:val="16"/>
                <w:u w:val="single"/>
                <w:rtl/>
              </w:rPr>
            </w:pPr>
            <w:r w:rsidRPr="00F75066">
              <w:rPr>
                <w:rFonts w:asciiTheme="minorBidi" w:hAnsiTheme="minorBidi" w:cstheme="minorBidi" w:hint="cs"/>
                <w:b/>
                <w:bCs/>
                <w:sz w:val="16"/>
                <w:szCs w:val="16"/>
                <w:u w:val="single"/>
                <w:rtl/>
              </w:rPr>
              <w:t>לשישה</w:t>
            </w:r>
            <w:r w:rsidRPr="00F75066">
              <w:rPr>
                <w:rFonts w:asciiTheme="minorBidi" w:hAnsiTheme="minorBidi" w:cstheme="minorBidi"/>
                <w:b/>
                <w:bCs/>
                <w:sz w:val="16"/>
                <w:szCs w:val="16"/>
                <w:u w:val="single"/>
                <w:rtl/>
              </w:rPr>
              <w:t xml:space="preserve"> חודשים שהסתיימו ביום 30 ביוני </w:t>
            </w:r>
            <w:r w:rsidRPr="00F75066">
              <w:rPr>
                <w:rFonts w:asciiTheme="minorBidi" w:hAnsiTheme="minorBidi" w:cstheme="minorBidi"/>
                <w:b/>
                <w:bCs/>
                <w:sz w:val="16"/>
                <w:szCs w:val="16"/>
                <w:u w:val="single"/>
                <w:rtl/>
              </w:rPr>
              <w:fldChar w:fldCharType="begin"/>
            </w:r>
            <w:r w:rsidRPr="00F75066">
              <w:rPr>
                <w:rFonts w:asciiTheme="minorBidi" w:hAnsiTheme="minorBidi" w:cstheme="minorBidi"/>
                <w:b/>
                <w:bCs/>
                <w:sz w:val="16"/>
                <w:szCs w:val="16"/>
                <w:u w:val="single"/>
                <w:rtl/>
              </w:rPr>
              <w:instrText xml:space="preserve"> = </w:instrText>
            </w:r>
            <w:r w:rsidRPr="00F75066">
              <w:rPr>
                <w:rFonts w:asciiTheme="minorBidi" w:hAnsiTheme="minorBidi" w:cstheme="minorBidi"/>
                <w:b/>
                <w:bCs/>
                <w:sz w:val="16"/>
                <w:szCs w:val="16"/>
                <w:u w:val="single"/>
              </w:rPr>
              <w:instrText>CY-1 \* MERGEFORMAT</w:instrText>
            </w:r>
            <w:r w:rsidRPr="00F75066">
              <w:rPr>
                <w:rFonts w:asciiTheme="minorBidi" w:hAnsiTheme="minorBidi" w:cstheme="minorBidi"/>
                <w:b/>
                <w:bCs/>
                <w:sz w:val="16"/>
                <w:szCs w:val="16"/>
                <w:u w:val="single"/>
                <w:rtl/>
              </w:rPr>
              <w:instrText xml:space="preserve"> </w:instrText>
            </w:r>
            <w:r w:rsidRPr="00F75066">
              <w:rPr>
                <w:rFonts w:asciiTheme="minorBidi" w:hAnsiTheme="minorBidi" w:cstheme="minorBidi"/>
                <w:b/>
                <w:bCs/>
                <w:sz w:val="16"/>
                <w:szCs w:val="16"/>
                <w:u w:val="single"/>
                <w:rtl/>
              </w:rPr>
              <w:fldChar w:fldCharType="separate"/>
            </w:r>
            <w:r w:rsidR="003A584F" w:rsidRPr="00F75066">
              <w:rPr>
                <w:rFonts w:asciiTheme="minorBidi" w:hAnsiTheme="minorBidi" w:cstheme="minorBidi"/>
                <w:b/>
                <w:bCs/>
                <w:noProof/>
                <w:sz w:val="16"/>
                <w:szCs w:val="16"/>
                <w:u w:val="single"/>
                <w:rtl/>
              </w:rPr>
              <w:t>2023</w:t>
            </w:r>
            <w:r w:rsidRPr="00F75066">
              <w:rPr>
                <w:rFonts w:asciiTheme="minorBidi" w:hAnsiTheme="minorBidi" w:cstheme="minorBidi"/>
                <w:b/>
                <w:bCs/>
                <w:sz w:val="16"/>
                <w:szCs w:val="16"/>
                <w:u w:val="single"/>
                <w:rtl/>
              </w:rPr>
              <w:fldChar w:fldCharType="end"/>
            </w:r>
            <w:r w:rsidRPr="00F75066">
              <w:rPr>
                <w:rFonts w:asciiTheme="minorBidi" w:hAnsiTheme="minorBidi" w:cstheme="minorBidi" w:hint="cs"/>
                <w:b/>
                <w:bCs/>
                <w:sz w:val="16"/>
                <w:szCs w:val="16"/>
                <w:u w:val="single"/>
                <w:rtl/>
              </w:rPr>
              <w:t xml:space="preserve"> </w:t>
            </w:r>
            <w:r w:rsidRPr="00F75066">
              <w:rPr>
                <w:rFonts w:asciiTheme="minorBidi" w:hAnsiTheme="minorBidi" w:cstheme="minorBidi" w:hint="cs"/>
                <w:sz w:val="16"/>
                <w:szCs w:val="16"/>
                <w:u w:val="single"/>
                <w:rtl/>
              </w:rPr>
              <w:t>(</w:t>
            </w:r>
            <w:r w:rsidRPr="00F75066">
              <w:rPr>
                <w:rFonts w:asciiTheme="minorBidi" w:hAnsiTheme="minorBidi" w:cstheme="minorBidi"/>
                <w:sz w:val="16"/>
                <w:szCs w:val="16"/>
                <w:u w:val="single"/>
                <w:rtl/>
              </w:rPr>
              <w:t>בלתי מבוקר</w:t>
            </w:r>
            <w:r w:rsidRPr="00F75066">
              <w:rPr>
                <w:rFonts w:asciiTheme="minorBidi" w:hAnsiTheme="minorBidi" w:cstheme="minorBidi" w:hint="cs"/>
                <w:sz w:val="16"/>
                <w:szCs w:val="16"/>
                <w:u w:val="single"/>
                <w:rtl/>
              </w:rPr>
              <w:t>)</w:t>
            </w:r>
          </w:p>
        </w:tc>
      </w:tr>
      <w:tr w:rsidR="00E74D2B" w:rsidRPr="000A4A09" w14:paraId="707FC9D1" w14:textId="77777777" w:rsidTr="00400DD1">
        <w:tc>
          <w:tcPr>
            <w:tcW w:w="950" w:type="pct"/>
            <w:vAlign w:val="bottom"/>
          </w:tcPr>
          <w:p w14:paraId="12CCE49F" w14:textId="77777777" w:rsidR="00E74D2B" w:rsidRPr="003E6CF5" w:rsidRDefault="00E74D2B" w:rsidP="00400DD1">
            <w:pPr>
              <w:spacing w:line="228" w:lineRule="auto"/>
              <w:ind w:left="57" w:right="57" w:hanging="144"/>
              <w:jc w:val="center"/>
              <w:rPr>
                <w:rFonts w:asciiTheme="minorBidi" w:hAnsiTheme="minorBidi" w:cstheme="minorBidi"/>
                <w:color w:val="000000"/>
                <w:sz w:val="16"/>
                <w:szCs w:val="16"/>
                <w:rtl/>
                <w:lang w:eastAsia="he-IL"/>
              </w:rPr>
            </w:pPr>
          </w:p>
        </w:tc>
        <w:tc>
          <w:tcPr>
            <w:tcW w:w="3473" w:type="pct"/>
            <w:gridSpan w:val="12"/>
            <w:vAlign w:val="bottom"/>
          </w:tcPr>
          <w:p w14:paraId="596B6C3F" w14:textId="77777777" w:rsidR="00E74D2B" w:rsidRPr="003E6CF5" w:rsidRDefault="00E74D2B" w:rsidP="00400DD1">
            <w:pPr>
              <w:pBdr>
                <w:bottom w:val="single" w:sz="4" w:space="1" w:color="auto"/>
              </w:pBdr>
              <w:spacing w:line="228" w:lineRule="auto"/>
              <w:ind w:left="85" w:right="85"/>
              <w:jc w:val="center"/>
              <w:rPr>
                <w:rFonts w:asciiTheme="minorBidi" w:hAnsiTheme="minorBidi" w:cstheme="minorBidi"/>
                <w:b/>
                <w:bCs/>
                <w:sz w:val="16"/>
                <w:szCs w:val="16"/>
                <w:rtl/>
              </w:rPr>
            </w:pPr>
            <w:r w:rsidRPr="003E6CF5">
              <w:rPr>
                <w:rFonts w:asciiTheme="minorBidi" w:hAnsiTheme="minorBidi" w:cstheme="minorBidi"/>
                <w:b/>
                <w:bCs/>
                <w:sz w:val="16"/>
                <w:szCs w:val="16"/>
                <w:rtl/>
              </w:rPr>
              <w:t>פעילות ישראל</w:t>
            </w:r>
          </w:p>
        </w:tc>
        <w:tc>
          <w:tcPr>
            <w:tcW w:w="356" w:type="pct"/>
            <w:vAlign w:val="bottom"/>
          </w:tcPr>
          <w:p w14:paraId="0924877B" w14:textId="77777777" w:rsidR="00E74D2B" w:rsidRPr="003E6CF5" w:rsidRDefault="00E74D2B" w:rsidP="00400DD1">
            <w:pPr>
              <w:pBdr>
                <w:bottom w:val="single" w:sz="4" w:space="1" w:color="auto"/>
              </w:pBdr>
              <w:spacing w:line="228" w:lineRule="auto"/>
              <w:ind w:left="85" w:right="85"/>
              <w:jc w:val="center"/>
              <w:rPr>
                <w:rFonts w:asciiTheme="minorBidi" w:hAnsiTheme="minorBidi" w:cstheme="minorBidi"/>
                <w:b/>
                <w:bCs/>
                <w:sz w:val="16"/>
                <w:szCs w:val="16"/>
                <w:rtl/>
              </w:rPr>
            </w:pPr>
            <w:r w:rsidRPr="003E6CF5">
              <w:rPr>
                <w:rFonts w:asciiTheme="minorBidi" w:hAnsiTheme="minorBidi" w:cstheme="minorBidi"/>
                <w:b/>
                <w:bCs/>
                <w:sz w:val="16"/>
                <w:szCs w:val="16"/>
                <w:rtl/>
              </w:rPr>
              <w:t>פעילות חו"ל</w:t>
            </w:r>
          </w:p>
        </w:tc>
        <w:tc>
          <w:tcPr>
            <w:tcW w:w="221" w:type="pct"/>
            <w:vAlign w:val="bottom"/>
          </w:tcPr>
          <w:p w14:paraId="596E1DF3" w14:textId="77777777" w:rsidR="00E74D2B" w:rsidRPr="003E6CF5" w:rsidRDefault="00E74D2B" w:rsidP="00400DD1">
            <w:pPr>
              <w:spacing w:line="228" w:lineRule="auto"/>
              <w:ind w:left="85" w:right="85"/>
              <w:jc w:val="center"/>
              <w:rPr>
                <w:rFonts w:asciiTheme="minorBidi" w:hAnsiTheme="minorBidi" w:cstheme="minorBidi"/>
                <w:b/>
                <w:bCs/>
                <w:sz w:val="16"/>
                <w:szCs w:val="16"/>
                <w:rtl/>
              </w:rPr>
            </w:pPr>
          </w:p>
        </w:tc>
      </w:tr>
      <w:tr w:rsidR="00E74D2B" w:rsidRPr="000A4A09" w14:paraId="72B2D251" w14:textId="77777777" w:rsidTr="00400DD1">
        <w:tc>
          <w:tcPr>
            <w:tcW w:w="950" w:type="pct"/>
            <w:vAlign w:val="bottom"/>
          </w:tcPr>
          <w:p w14:paraId="716E4F42" w14:textId="77777777" w:rsidR="00E74D2B" w:rsidRPr="003E6CF5" w:rsidRDefault="00E74D2B" w:rsidP="00400DD1">
            <w:pPr>
              <w:spacing w:line="228" w:lineRule="auto"/>
              <w:ind w:left="57" w:right="57" w:hanging="144"/>
              <w:jc w:val="center"/>
              <w:rPr>
                <w:rFonts w:asciiTheme="minorBidi" w:hAnsiTheme="minorBidi" w:cstheme="minorBidi"/>
                <w:color w:val="000000"/>
                <w:sz w:val="16"/>
                <w:szCs w:val="16"/>
                <w:rtl/>
                <w:lang w:eastAsia="he-IL"/>
              </w:rPr>
            </w:pPr>
          </w:p>
        </w:tc>
        <w:tc>
          <w:tcPr>
            <w:tcW w:w="885" w:type="pct"/>
            <w:gridSpan w:val="3"/>
            <w:vAlign w:val="bottom"/>
          </w:tcPr>
          <w:p w14:paraId="2FE38C64" w14:textId="77777777" w:rsidR="00E74D2B" w:rsidRPr="00427850" w:rsidDel="003645D5" w:rsidRDefault="00E74D2B" w:rsidP="00400DD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משקי בית</w:t>
            </w:r>
          </w:p>
        </w:tc>
        <w:tc>
          <w:tcPr>
            <w:tcW w:w="328" w:type="pct"/>
            <w:vAlign w:val="bottom"/>
          </w:tcPr>
          <w:p w14:paraId="478DA415" w14:textId="77777777" w:rsidR="00E74D2B" w:rsidRPr="00427850" w:rsidRDefault="00E74D2B" w:rsidP="00400DD1">
            <w:pPr>
              <w:spacing w:line="228" w:lineRule="auto"/>
              <w:ind w:left="85" w:right="85"/>
              <w:jc w:val="center"/>
              <w:rPr>
                <w:rFonts w:asciiTheme="minorBidi" w:hAnsiTheme="minorBidi" w:cstheme="minorBidi"/>
                <w:sz w:val="16"/>
                <w:szCs w:val="16"/>
                <w:rtl/>
              </w:rPr>
            </w:pPr>
          </w:p>
        </w:tc>
        <w:tc>
          <w:tcPr>
            <w:tcW w:w="317" w:type="pct"/>
            <w:vAlign w:val="bottom"/>
          </w:tcPr>
          <w:p w14:paraId="1FDC859C" w14:textId="77777777" w:rsidR="00E74D2B" w:rsidRPr="00427850" w:rsidRDefault="00E74D2B" w:rsidP="00400DD1">
            <w:pPr>
              <w:spacing w:line="228" w:lineRule="auto"/>
              <w:ind w:left="85" w:right="85"/>
              <w:jc w:val="center"/>
              <w:rPr>
                <w:rFonts w:asciiTheme="minorBidi" w:hAnsiTheme="minorBidi" w:cstheme="minorBidi"/>
                <w:sz w:val="16"/>
                <w:szCs w:val="16"/>
                <w:rtl/>
              </w:rPr>
            </w:pPr>
          </w:p>
        </w:tc>
        <w:tc>
          <w:tcPr>
            <w:tcW w:w="327" w:type="pct"/>
            <w:vAlign w:val="bottom"/>
          </w:tcPr>
          <w:p w14:paraId="69FE6C30" w14:textId="77777777" w:rsidR="00E74D2B" w:rsidRPr="00427850" w:rsidRDefault="00E74D2B" w:rsidP="00400DD1">
            <w:pPr>
              <w:spacing w:line="228" w:lineRule="auto"/>
              <w:ind w:left="85" w:right="85"/>
              <w:jc w:val="center"/>
              <w:rPr>
                <w:rFonts w:asciiTheme="minorBidi" w:hAnsiTheme="minorBidi" w:cstheme="minorBidi"/>
                <w:sz w:val="16"/>
                <w:szCs w:val="16"/>
                <w:rtl/>
              </w:rPr>
            </w:pPr>
          </w:p>
        </w:tc>
        <w:tc>
          <w:tcPr>
            <w:tcW w:w="299" w:type="pct"/>
            <w:gridSpan w:val="2"/>
            <w:vAlign w:val="bottom"/>
          </w:tcPr>
          <w:p w14:paraId="60896851" w14:textId="77777777" w:rsidR="00E74D2B" w:rsidRPr="00427850" w:rsidRDefault="00E74D2B" w:rsidP="00400DD1">
            <w:pPr>
              <w:spacing w:line="228" w:lineRule="auto"/>
              <w:ind w:left="85" w:right="85"/>
              <w:jc w:val="center"/>
              <w:rPr>
                <w:rFonts w:asciiTheme="minorBidi" w:hAnsiTheme="minorBidi" w:cstheme="minorBidi"/>
                <w:sz w:val="16"/>
                <w:szCs w:val="16"/>
                <w:rtl/>
              </w:rPr>
            </w:pPr>
          </w:p>
        </w:tc>
        <w:tc>
          <w:tcPr>
            <w:tcW w:w="340" w:type="pct"/>
            <w:vAlign w:val="bottom"/>
          </w:tcPr>
          <w:p w14:paraId="1273E76F" w14:textId="77777777" w:rsidR="00E74D2B" w:rsidRPr="00427850" w:rsidRDefault="00E74D2B" w:rsidP="00400DD1">
            <w:pPr>
              <w:spacing w:line="228" w:lineRule="auto"/>
              <w:ind w:left="85" w:right="85"/>
              <w:jc w:val="center"/>
              <w:rPr>
                <w:rFonts w:asciiTheme="minorBidi" w:hAnsiTheme="minorBidi" w:cstheme="minorBidi"/>
                <w:sz w:val="16"/>
                <w:szCs w:val="16"/>
                <w:rtl/>
              </w:rPr>
            </w:pPr>
          </w:p>
        </w:tc>
        <w:tc>
          <w:tcPr>
            <w:tcW w:w="364" w:type="pct"/>
            <w:vAlign w:val="bottom"/>
          </w:tcPr>
          <w:p w14:paraId="03825868" w14:textId="77777777" w:rsidR="00E74D2B" w:rsidRPr="00427850" w:rsidDel="007E5602" w:rsidRDefault="00E74D2B" w:rsidP="00400DD1">
            <w:pPr>
              <w:spacing w:line="228" w:lineRule="auto"/>
              <w:ind w:left="85" w:right="85"/>
              <w:jc w:val="center"/>
              <w:rPr>
                <w:rFonts w:asciiTheme="minorBidi" w:hAnsiTheme="minorBidi" w:cstheme="minorBidi"/>
                <w:sz w:val="16"/>
                <w:szCs w:val="16"/>
                <w:rtl/>
              </w:rPr>
            </w:pPr>
          </w:p>
        </w:tc>
        <w:tc>
          <w:tcPr>
            <w:tcW w:w="230" w:type="pct"/>
            <w:vAlign w:val="bottom"/>
          </w:tcPr>
          <w:p w14:paraId="3A864168" w14:textId="77777777" w:rsidR="00E74D2B" w:rsidRPr="00427850" w:rsidDel="007E5602" w:rsidRDefault="00E74D2B" w:rsidP="00400DD1">
            <w:pPr>
              <w:spacing w:line="228" w:lineRule="auto"/>
              <w:ind w:left="85" w:right="85"/>
              <w:jc w:val="center"/>
              <w:rPr>
                <w:rFonts w:asciiTheme="minorBidi" w:hAnsiTheme="minorBidi" w:cstheme="minorBidi"/>
                <w:sz w:val="16"/>
                <w:szCs w:val="16"/>
                <w:rtl/>
              </w:rPr>
            </w:pPr>
          </w:p>
        </w:tc>
        <w:tc>
          <w:tcPr>
            <w:tcW w:w="383" w:type="pct"/>
            <w:vAlign w:val="bottom"/>
          </w:tcPr>
          <w:p w14:paraId="4B881264" w14:textId="77777777" w:rsidR="00E74D2B" w:rsidRPr="003E6CF5" w:rsidRDefault="00E74D2B" w:rsidP="00400DD1">
            <w:pPr>
              <w:spacing w:line="228" w:lineRule="auto"/>
              <w:ind w:left="85" w:right="85"/>
              <w:jc w:val="center"/>
              <w:rPr>
                <w:rFonts w:asciiTheme="minorBidi" w:hAnsiTheme="minorBidi" w:cstheme="minorBidi"/>
                <w:b/>
                <w:bCs/>
                <w:sz w:val="16"/>
                <w:szCs w:val="16"/>
                <w:rtl/>
              </w:rPr>
            </w:pPr>
          </w:p>
        </w:tc>
        <w:tc>
          <w:tcPr>
            <w:tcW w:w="356" w:type="pct"/>
            <w:vAlign w:val="bottom"/>
          </w:tcPr>
          <w:p w14:paraId="3E36577A" w14:textId="77777777" w:rsidR="00E74D2B" w:rsidRPr="003E6CF5" w:rsidRDefault="00E74D2B" w:rsidP="00400DD1">
            <w:pPr>
              <w:spacing w:line="228" w:lineRule="auto"/>
              <w:ind w:left="85" w:right="85"/>
              <w:jc w:val="center"/>
              <w:rPr>
                <w:rFonts w:asciiTheme="minorBidi" w:hAnsiTheme="minorBidi" w:cstheme="minorBidi"/>
                <w:b/>
                <w:bCs/>
                <w:sz w:val="16"/>
                <w:szCs w:val="16"/>
                <w:rtl/>
              </w:rPr>
            </w:pPr>
          </w:p>
        </w:tc>
        <w:tc>
          <w:tcPr>
            <w:tcW w:w="221" w:type="pct"/>
            <w:vAlign w:val="bottom"/>
          </w:tcPr>
          <w:p w14:paraId="45C6B24B" w14:textId="77777777" w:rsidR="00E74D2B" w:rsidRPr="003E6CF5" w:rsidRDefault="00E74D2B" w:rsidP="00400DD1">
            <w:pPr>
              <w:spacing w:line="228" w:lineRule="auto"/>
              <w:ind w:left="85" w:right="85"/>
              <w:jc w:val="center"/>
              <w:rPr>
                <w:rFonts w:asciiTheme="minorBidi" w:hAnsiTheme="minorBidi" w:cstheme="minorBidi"/>
                <w:b/>
                <w:bCs/>
                <w:sz w:val="16"/>
                <w:szCs w:val="16"/>
                <w:rtl/>
              </w:rPr>
            </w:pPr>
          </w:p>
        </w:tc>
      </w:tr>
      <w:tr w:rsidR="00E74D2B" w:rsidRPr="000A4A09" w14:paraId="703A63A5" w14:textId="77777777" w:rsidTr="00400DD1">
        <w:tc>
          <w:tcPr>
            <w:tcW w:w="950" w:type="pct"/>
            <w:vAlign w:val="bottom"/>
          </w:tcPr>
          <w:p w14:paraId="513B5CEB" w14:textId="77777777" w:rsidR="00E74D2B" w:rsidRPr="003E6CF5" w:rsidRDefault="00E74D2B" w:rsidP="00400DD1">
            <w:pPr>
              <w:spacing w:line="228" w:lineRule="auto"/>
              <w:ind w:left="57" w:right="57" w:hanging="144"/>
              <w:jc w:val="center"/>
              <w:rPr>
                <w:rFonts w:asciiTheme="minorBidi" w:hAnsiTheme="minorBidi" w:cstheme="minorBidi"/>
                <w:color w:val="000000"/>
                <w:sz w:val="16"/>
                <w:szCs w:val="16"/>
                <w:rtl/>
                <w:lang w:eastAsia="he-IL"/>
              </w:rPr>
            </w:pPr>
          </w:p>
        </w:tc>
        <w:tc>
          <w:tcPr>
            <w:tcW w:w="264" w:type="pct"/>
            <w:vAlign w:val="bottom"/>
          </w:tcPr>
          <w:p w14:paraId="6D6887FF" w14:textId="77777777" w:rsidR="00E74D2B" w:rsidRPr="00427850" w:rsidRDefault="00E74D2B" w:rsidP="00400DD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סה"כ</w:t>
            </w:r>
          </w:p>
        </w:tc>
        <w:tc>
          <w:tcPr>
            <w:tcW w:w="324" w:type="pct"/>
            <w:vAlign w:val="bottom"/>
          </w:tcPr>
          <w:p w14:paraId="5E363FAA" w14:textId="77777777" w:rsidR="00E74D2B" w:rsidRPr="00427850" w:rsidRDefault="00E74D2B" w:rsidP="00400DD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מזה: הלוואות לדיור</w:t>
            </w:r>
          </w:p>
        </w:tc>
        <w:tc>
          <w:tcPr>
            <w:tcW w:w="297" w:type="pct"/>
            <w:vAlign w:val="bottom"/>
          </w:tcPr>
          <w:p w14:paraId="62354AAD" w14:textId="77777777" w:rsidR="00E74D2B" w:rsidRPr="00427850" w:rsidRDefault="00E74D2B" w:rsidP="00400DD1">
            <w:pPr>
              <w:pBdr>
                <w:bottom w:val="single" w:sz="4" w:space="1" w:color="auto"/>
              </w:pBdr>
              <w:spacing w:line="228" w:lineRule="auto"/>
              <w:ind w:left="85" w:right="85"/>
              <w:jc w:val="center"/>
              <w:rPr>
                <w:rFonts w:asciiTheme="minorBidi" w:hAnsiTheme="minorBidi" w:cstheme="minorBidi"/>
                <w:sz w:val="16"/>
                <w:szCs w:val="16"/>
              </w:rPr>
            </w:pPr>
            <w:r w:rsidRPr="00427850">
              <w:rPr>
                <w:rFonts w:asciiTheme="minorBidi" w:hAnsiTheme="minorBidi" w:cstheme="minorBidi"/>
                <w:sz w:val="16"/>
                <w:szCs w:val="16"/>
                <w:rtl/>
              </w:rPr>
              <w:t>מזה: כרטיסי אשראי</w:t>
            </w:r>
          </w:p>
        </w:tc>
        <w:tc>
          <w:tcPr>
            <w:tcW w:w="328" w:type="pct"/>
            <w:vAlign w:val="bottom"/>
          </w:tcPr>
          <w:p w14:paraId="317EBA99" w14:textId="77777777" w:rsidR="00E74D2B" w:rsidRPr="00427850" w:rsidRDefault="00E74D2B" w:rsidP="00400DD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בנקאות פרטית</w:t>
            </w:r>
          </w:p>
        </w:tc>
        <w:tc>
          <w:tcPr>
            <w:tcW w:w="317" w:type="pct"/>
            <w:vAlign w:val="bottom"/>
          </w:tcPr>
          <w:p w14:paraId="65C93AB3" w14:textId="77777777" w:rsidR="00E74D2B" w:rsidRPr="00427850" w:rsidRDefault="00E74D2B" w:rsidP="00400DD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עסקים קטנים וזעירים</w:t>
            </w:r>
          </w:p>
        </w:tc>
        <w:tc>
          <w:tcPr>
            <w:tcW w:w="327" w:type="pct"/>
            <w:vAlign w:val="bottom"/>
          </w:tcPr>
          <w:p w14:paraId="73DDCAED" w14:textId="77777777" w:rsidR="00E74D2B" w:rsidRPr="00427850" w:rsidRDefault="00E74D2B" w:rsidP="00400DD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עסקים בינוניים</w:t>
            </w:r>
          </w:p>
        </w:tc>
        <w:tc>
          <w:tcPr>
            <w:tcW w:w="299" w:type="pct"/>
            <w:gridSpan w:val="2"/>
            <w:vAlign w:val="bottom"/>
          </w:tcPr>
          <w:p w14:paraId="1EBEE780" w14:textId="77777777" w:rsidR="00E74D2B" w:rsidRPr="00427850" w:rsidRDefault="00E74D2B" w:rsidP="00400DD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עסקים גדולים</w:t>
            </w:r>
          </w:p>
        </w:tc>
        <w:tc>
          <w:tcPr>
            <w:tcW w:w="340" w:type="pct"/>
            <w:vAlign w:val="bottom"/>
          </w:tcPr>
          <w:p w14:paraId="1CC3E7A7" w14:textId="77777777" w:rsidR="00E74D2B" w:rsidRPr="00427850" w:rsidRDefault="00E74D2B" w:rsidP="00400DD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גופים מוסדיים</w:t>
            </w:r>
          </w:p>
        </w:tc>
        <w:tc>
          <w:tcPr>
            <w:tcW w:w="364" w:type="pct"/>
            <w:vAlign w:val="bottom"/>
          </w:tcPr>
          <w:p w14:paraId="229AB674" w14:textId="77777777" w:rsidR="00E74D2B" w:rsidRPr="00427850" w:rsidRDefault="00E74D2B" w:rsidP="00400DD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ניהול פיננסי</w:t>
            </w:r>
          </w:p>
        </w:tc>
        <w:tc>
          <w:tcPr>
            <w:tcW w:w="230" w:type="pct"/>
            <w:vAlign w:val="bottom"/>
          </w:tcPr>
          <w:p w14:paraId="2456503E" w14:textId="77777777" w:rsidR="00E74D2B" w:rsidRPr="00427850" w:rsidRDefault="00E74D2B" w:rsidP="00400DD1">
            <w:pPr>
              <w:pBdr>
                <w:bottom w:val="single" w:sz="4" w:space="1" w:color="auto"/>
              </w:pBdr>
              <w:spacing w:line="228" w:lineRule="auto"/>
              <w:ind w:left="85" w:right="85"/>
              <w:jc w:val="center"/>
              <w:rPr>
                <w:rFonts w:asciiTheme="minorBidi" w:hAnsiTheme="minorBidi" w:cstheme="minorBidi"/>
                <w:sz w:val="16"/>
                <w:szCs w:val="16"/>
                <w:rtl/>
              </w:rPr>
            </w:pPr>
            <w:r w:rsidRPr="00427850">
              <w:rPr>
                <w:rFonts w:asciiTheme="minorBidi" w:hAnsiTheme="minorBidi" w:cstheme="minorBidi"/>
                <w:sz w:val="16"/>
                <w:szCs w:val="16"/>
                <w:rtl/>
              </w:rPr>
              <w:t>אחר</w:t>
            </w:r>
          </w:p>
        </w:tc>
        <w:tc>
          <w:tcPr>
            <w:tcW w:w="383" w:type="pct"/>
            <w:vAlign w:val="bottom"/>
          </w:tcPr>
          <w:p w14:paraId="1E5114AC" w14:textId="77777777" w:rsidR="00E74D2B" w:rsidRPr="003E6CF5" w:rsidRDefault="00E74D2B" w:rsidP="00400DD1">
            <w:pPr>
              <w:pBdr>
                <w:bottom w:val="single" w:sz="4" w:space="1" w:color="auto"/>
              </w:pBdr>
              <w:spacing w:line="228" w:lineRule="auto"/>
              <w:ind w:left="85" w:right="85"/>
              <w:jc w:val="center"/>
              <w:rPr>
                <w:rFonts w:asciiTheme="minorBidi" w:hAnsiTheme="minorBidi" w:cstheme="minorBidi"/>
                <w:b/>
                <w:bCs/>
                <w:sz w:val="16"/>
                <w:szCs w:val="16"/>
                <w:rtl/>
              </w:rPr>
            </w:pPr>
            <w:r w:rsidRPr="003E6CF5">
              <w:rPr>
                <w:rFonts w:asciiTheme="minorBidi" w:hAnsiTheme="minorBidi" w:cstheme="minorBidi"/>
                <w:b/>
                <w:bCs/>
                <w:sz w:val="16"/>
                <w:szCs w:val="16"/>
                <w:rtl/>
              </w:rPr>
              <w:t>סך הכל פעילות ישראל</w:t>
            </w:r>
          </w:p>
        </w:tc>
        <w:tc>
          <w:tcPr>
            <w:tcW w:w="356" w:type="pct"/>
            <w:vAlign w:val="bottom"/>
          </w:tcPr>
          <w:p w14:paraId="2792BC2A" w14:textId="77777777" w:rsidR="00E74D2B" w:rsidRPr="003E6CF5" w:rsidRDefault="00E74D2B" w:rsidP="00400DD1">
            <w:pPr>
              <w:pBdr>
                <w:bottom w:val="single" w:sz="4" w:space="1" w:color="auto"/>
              </w:pBdr>
              <w:spacing w:line="228" w:lineRule="auto"/>
              <w:ind w:left="85" w:right="85"/>
              <w:jc w:val="center"/>
              <w:rPr>
                <w:rFonts w:asciiTheme="minorBidi" w:hAnsiTheme="minorBidi" w:cstheme="minorBidi"/>
                <w:b/>
                <w:bCs/>
                <w:sz w:val="16"/>
                <w:szCs w:val="16"/>
                <w:rtl/>
              </w:rPr>
            </w:pPr>
            <w:r w:rsidRPr="003E6CF5">
              <w:rPr>
                <w:rFonts w:asciiTheme="minorBidi" w:hAnsiTheme="minorBidi" w:cstheme="minorBidi"/>
                <w:b/>
                <w:bCs/>
                <w:sz w:val="16"/>
                <w:szCs w:val="16"/>
                <w:rtl/>
              </w:rPr>
              <w:t xml:space="preserve">סך הכל פעילות </w:t>
            </w:r>
            <w:r w:rsidRPr="003E6CF5">
              <w:rPr>
                <w:rFonts w:asciiTheme="minorBidi" w:hAnsiTheme="minorBidi" w:cstheme="minorBidi"/>
                <w:b/>
                <w:bCs/>
                <w:sz w:val="16"/>
                <w:szCs w:val="16"/>
                <w:rtl/>
              </w:rPr>
              <w:br/>
              <w:t>חו"ל</w:t>
            </w:r>
          </w:p>
        </w:tc>
        <w:tc>
          <w:tcPr>
            <w:tcW w:w="221" w:type="pct"/>
            <w:vAlign w:val="bottom"/>
          </w:tcPr>
          <w:p w14:paraId="43495B25" w14:textId="77777777" w:rsidR="00E74D2B" w:rsidRPr="003E6CF5" w:rsidRDefault="00E74D2B" w:rsidP="00400DD1">
            <w:pPr>
              <w:pBdr>
                <w:bottom w:val="single" w:sz="4" w:space="1" w:color="auto"/>
              </w:pBdr>
              <w:spacing w:line="228" w:lineRule="auto"/>
              <w:ind w:left="85" w:right="85"/>
              <w:jc w:val="center"/>
              <w:rPr>
                <w:rFonts w:asciiTheme="minorBidi" w:hAnsiTheme="minorBidi" w:cstheme="minorBidi"/>
                <w:b/>
                <w:bCs/>
                <w:sz w:val="16"/>
                <w:szCs w:val="16"/>
                <w:rtl/>
              </w:rPr>
            </w:pPr>
            <w:r w:rsidRPr="003E6CF5">
              <w:rPr>
                <w:rFonts w:asciiTheme="minorBidi" w:hAnsiTheme="minorBidi" w:cstheme="minorBidi"/>
                <w:b/>
                <w:bCs/>
                <w:sz w:val="16"/>
                <w:szCs w:val="16"/>
                <w:rtl/>
              </w:rPr>
              <w:t>סך הכל</w:t>
            </w:r>
          </w:p>
        </w:tc>
      </w:tr>
      <w:tr w:rsidR="00E74D2B" w:rsidRPr="000A4A09" w14:paraId="7A60EB71" w14:textId="77777777" w:rsidTr="00400DD1">
        <w:tc>
          <w:tcPr>
            <w:tcW w:w="950" w:type="pct"/>
            <w:vAlign w:val="bottom"/>
          </w:tcPr>
          <w:p w14:paraId="0B0D9C8B" w14:textId="77777777" w:rsidR="00E74D2B" w:rsidRPr="003E6CF5" w:rsidRDefault="00E74D2B" w:rsidP="00400DD1">
            <w:pPr>
              <w:bidi w:val="0"/>
              <w:spacing w:line="60" w:lineRule="exact"/>
              <w:ind w:firstLine="1"/>
              <w:rPr>
                <w:rFonts w:asciiTheme="minorBidi" w:hAnsiTheme="minorBidi" w:cstheme="minorBidi"/>
                <w:color w:val="000000"/>
                <w:sz w:val="16"/>
                <w:szCs w:val="16"/>
                <w:rtl/>
                <w:lang w:eastAsia="he-IL"/>
              </w:rPr>
            </w:pPr>
          </w:p>
        </w:tc>
        <w:tc>
          <w:tcPr>
            <w:tcW w:w="264" w:type="pct"/>
          </w:tcPr>
          <w:p w14:paraId="243B2DAE" w14:textId="77777777" w:rsidR="00E74D2B" w:rsidRPr="003E6CF5" w:rsidRDefault="00E74D2B" w:rsidP="00400DD1">
            <w:pPr>
              <w:bidi w:val="0"/>
              <w:spacing w:line="60" w:lineRule="exact"/>
              <w:ind w:left="28" w:right="28"/>
              <w:rPr>
                <w:rFonts w:asciiTheme="minorBidi" w:hAnsiTheme="minorBidi" w:cstheme="minorBidi"/>
                <w:sz w:val="16"/>
                <w:szCs w:val="16"/>
                <w:rtl/>
              </w:rPr>
            </w:pPr>
          </w:p>
        </w:tc>
        <w:tc>
          <w:tcPr>
            <w:tcW w:w="324" w:type="pct"/>
          </w:tcPr>
          <w:p w14:paraId="0D5433FF" w14:textId="77777777" w:rsidR="00E74D2B" w:rsidRPr="003E6CF5" w:rsidRDefault="00E74D2B" w:rsidP="00400DD1">
            <w:pPr>
              <w:bidi w:val="0"/>
              <w:spacing w:line="60" w:lineRule="exact"/>
              <w:ind w:left="28" w:right="28"/>
              <w:rPr>
                <w:rFonts w:asciiTheme="minorBidi" w:hAnsiTheme="minorBidi" w:cstheme="minorBidi"/>
                <w:sz w:val="16"/>
                <w:szCs w:val="16"/>
                <w:rtl/>
              </w:rPr>
            </w:pPr>
          </w:p>
        </w:tc>
        <w:tc>
          <w:tcPr>
            <w:tcW w:w="297" w:type="pct"/>
            <w:vAlign w:val="bottom"/>
          </w:tcPr>
          <w:p w14:paraId="725B718F" w14:textId="77777777" w:rsidR="00E74D2B" w:rsidRPr="003E6CF5" w:rsidRDefault="00E74D2B" w:rsidP="00400DD1">
            <w:pPr>
              <w:bidi w:val="0"/>
              <w:spacing w:line="60" w:lineRule="exact"/>
              <w:ind w:left="28" w:right="28"/>
              <w:rPr>
                <w:rFonts w:asciiTheme="minorBidi" w:hAnsiTheme="minorBidi" w:cstheme="minorBidi"/>
                <w:sz w:val="16"/>
                <w:szCs w:val="16"/>
                <w:rtl/>
              </w:rPr>
            </w:pPr>
          </w:p>
        </w:tc>
        <w:tc>
          <w:tcPr>
            <w:tcW w:w="328" w:type="pct"/>
            <w:vAlign w:val="bottom"/>
          </w:tcPr>
          <w:p w14:paraId="3920766F" w14:textId="77777777" w:rsidR="00E74D2B" w:rsidRPr="003E6CF5" w:rsidRDefault="00E74D2B" w:rsidP="00400DD1">
            <w:pPr>
              <w:bidi w:val="0"/>
              <w:spacing w:line="60" w:lineRule="exact"/>
              <w:ind w:left="28" w:right="28"/>
              <w:rPr>
                <w:rFonts w:asciiTheme="minorBidi" w:hAnsiTheme="minorBidi" w:cstheme="minorBidi"/>
                <w:sz w:val="16"/>
                <w:szCs w:val="16"/>
                <w:rtl/>
              </w:rPr>
            </w:pPr>
          </w:p>
        </w:tc>
        <w:tc>
          <w:tcPr>
            <w:tcW w:w="317" w:type="pct"/>
            <w:vAlign w:val="bottom"/>
          </w:tcPr>
          <w:p w14:paraId="2D6C40FD" w14:textId="77777777" w:rsidR="00E74D2B" w:rsidRPr="003E6CF5" w:rsidRDefault="00E74D2B" w:rsidP="00400DD1">
            <w:pPr>
              <w:bidi w:val="0"/>
              <w:spacing w:line="60" w:lineRule="exact"/>
              <w:ind w:left="28" w:right="28"/>
              <w:rPr>
                <w:rFonts w:asciiTheme="minorBidi" w:hAnsiTheme="minorBidi" w:cstheme="minorBidi"/>
                <w:sz w:val="16"/>
                <w:szCs w:val="16"/>
                <w:rtl/>
              </w:rPr>
            </w:pPr>
          </w:p>
        </w:tc>
        <w:tc>
          <w:tcPr>
            <w:tcW w:w="327" w:type="pct"/>
            <w:vAlign w:val="bottom"/>
          </w:tcPr>
          <w:p w14:paraId="2D05FA62" w14:textId="77777777" w:rsidR="00E74D2B" w:rsidRPr="003E6CF5" w:rsidRDefault="00E74D2B" w:rsidP="00400DD1">
            <w:pPr>
              <w:bidi w:val="0"/>
              <w:spacing w:line="60" w:lineRule="exact"/>
              <w:ind w:left="28" w:right="28"/>
              <w:rPr>
                <w:rFonts w:asciiTheme="minorBidi" w:hAnsiTheme="minorBidi" w:cstheme="minorBidi"/>
                <w:sz w:val="16"/>
                <w:szCs w:val="16"/>
                <w:rtl/>
              </w:rPr>
            </w:pPr>
          </w:p>
        </w:tc>
        <w:tc>
          <w:tcPr>
            <w:tcW w:w="294" w:type="pct"/>
            <w:vAlign w:val="bottom"/>
          </w:tcPr>
          <w:p w14:paraId="59635E96" w14:textId="77777777" w:rsidR="00E74D2B" w:rsidRPr="003E6CF5" w:rsidRDefault="00E74D2B" w:rsidP="00400DD1">
            <w:pPr>
              <w:bidi w:val="0"/>
              <w:spacing w:line="60" w:lineRule="exact"/>
              <w:ind w:left="28" w:right="28"/>
              <w:rPr>
                <w:rFonts w:asciiTheme="minorBidi" w:hAnsiTheme="minorBidi" w:cstheme="minorBidi"/>
                <w:sz w:val="16"/>
                <w:szCs w:val="16"/>
                <w:rtl/>
              </w:rPr>
            </w:pPr>
          </w:p>
        </w:tc>
        <w:tc>
          <w:tcPr>
            <w:tcW w:w="345" w:type="pct"/>
            <w:gridSpan w:val="2"/>
            <w:vAlign w:val="bottom"/>
          </w:tcPr>
          <w:p w14:paraId="54308A4A" w14:textId="77777777" w:rsidR="00E74D2B" w:rsidRPr="003E6CF5" w:rsidRDefault="00E74D2B" w:rsidP="00400DD1">
            <w:pPr>
              <w:bidi w:val="0"/>
              <w:spacing w:line="60" w:lineRule="exact"/>
              <w:ind w:left="28" w:right="28"/>
              <w:rPr>
                <w:rFonts w:asciiTheme="minorBidi" w:hAnsiTheme="minorBidi" w:cstheme="minorBidi"/>
                <w:sz w:val="16"/>
                <w:szCs w:val="16"/>
                <w:rtl/>
              </w:rPr>
            </w:pPr>
          </w:p>
        </w:tc>
        <w:tc>
          <w:tcPr>
            <w:tcW w:w="364" w:type="pct"/>
            <w:vAlign w:val="bottom"/>
          </w:tcPr>
          <w:p w14:paraId="65362501" w14:textId="77777777" w:rsidR="00E74D2B" w:rsidRPr="003E6CF5" w:rsidRDefault="00E74D2B" w:rsidP="00400DD1">
            <w:pPr>
              <w:bidi w:val="0"/>
              <w:spacing w:line="60" w:lineRule="exact"/>
              <w:ind w:left="28" w:right="28"/>
              <w:rPr>
                <w:rFonts w:asciiTheme="minorBidi" w:hAnsiTheme="minorBidi" w:cstheme="minorBidi"/>
                <w:sz w:val="16"/>
                <w:szCs w:val="16"/>
                <w:rtl/>
              </w:rPr>
            </w:pPr>
          </w:p>
        </w:tc>
        <w:tc>
          <w:tcPr>
            <w:tcW w:w="230" w:type="pct"/>
            <w:vAlign w:val="bottom"/>
          </w:tcPr>
          <w:p w14:paraId="69367552" w14:textId="77777777" w:rsidR="00E74D2B" w:rsidRPr="003E6CF5" w:rsidRDefault="00E74D2B" w:rsidP="00400DD1">
            <w:pPr>
              <w:bidi w:val="0"/>
              <w:spacing w:line="60" w:lineRule="exact"/>
              <w:ind w:left="28" w:right="28"/>
              <w:rPr>
                <w:rFonts w:asciiTheme="minorBidi" w:hAnsiTheme="minorBidi" w:cstheme="minorBidi"/>
                <w:sz w:val="16"/>
                <w:szCs w:val="16"/>
                <w:rtl/>
              </w:rPr>
            </w:pPr>
          </w:p>
        </w:tc>
        <w:tc>
          <w:tcPr>
            <w:tcW w:w="383" w:type="pct"/>
            <w:vAlign w:val="bottom"/>
          </w:tcPr>
          <w:p w14:paraId="693FC273" w14:textId="77777777" w:rsidR="00E74D2B" w:rsidRPr="003E6CF5" w:rsidRDefault="00E74D2B" w:rsidP="00400DD1">
            <w:pPr>
              <w:bidi w:val="0"/>
              <w:spacing w:line="60" w:lineRule="exact"/>
              <w:ind w:left="28" w:right="28"/>
              <w:rPr>
                <w:rFonts w:asciiTheme="minorBidi" w:hAnsiTheme="minorBidi" w:cstheme="minorBidi"/>
                <w:sz w:val="16"/>
                <w:szCs w:val="16"/>
                <w:rtl/>
              </w:rPr>
            </w:pPr>
          </w:p>
        </w:tc>
        <w:tc>
          <w:tcPr>
            <w:tcW w:w="356" w:type="pct"/>
            <w:vAlign w:val="bottom"/>
          </w:tcPr>
          <w:p w14:paraId="4E1392B0" w14:textId="77777777" w:rsidR="00E74D2B" w:rsidRPr="003E6CF5" w:rsidRDefault="00E74D2B" w:rsidP="00400DD1">
            <w:pPr>
              <w:bidi w:val="0"/>
              <w:spacing w:line="60" w:lineRule="exact"/>
              <w:ind w:left="28" w:right="28"/>
              <w:rPr>
                <w:rFonts w:asciiTheme="minorBidi" w:hAnsiTheme="minorBidi" w:cstheme="minorBidi"/>
                <w:sz w:val="16"/>
                <w:szCs w:val="16"/>
                <w:rtl/>
              </w:rPr>
            </w:pPr>
          </w:p>
        </w:tc>
        <w:tc>
          <w:tcPr>
            <w:tcW w:w="221" w:type="pct"/>
          </w:tcPr>
          <w:p w14:paraId="5FEF4CC4" w14:textId="77777777" w:rsidR="00E74D2B" w:rsidRPr="003E6CF5" w:rsidRDefault="00E74D2B" w:rsidP="00400DD1">
            <w:pPr>
              <w:bidi w:val="0"/>
              <w:spacing w:line="60" w:lineRule="exact"/>
              <w:ind w:left="28" w:right="28"/>
              <w:rPr>
                <w:rFonts w:asciiTheme="minorBidi" w:hAnsiTheme="minorBidi" w:cstheme="minorBidi"/>
                <w:sz w:val="16"/>
                <w:szCs w:val="16"/>
                <w:rtl/>
              </w:rPr>
            </w:pPr>
          </w:p>
        </w:tc>
      </w:tr>
      <w:tr w:rsidR="00E74D2B" w:rsidRPr="000A4A09" w14:paraId="1812CB3E" w14:textId="77777777" w:rsidTr="00400DD1">
        <w:tc>
          <w:tcPr>
            <w:tcW w:w="950" w:type="pct"/>
            <w:vAlign w:val="bottom"/>
          </w:tcPr>
          <w:p w14:paraId="733551FF" w14:textId="77777777" w:rsidR="00E74D2B" w:rsidRPr="003E6CF5" w:rsidRDefault="00E74D2B" w:rsidP="00400DD1">
            <w:pPr>
              <w:spacing w:line="241" w:lineRule="auto"/>
              <w:ind w:left="2"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הכנסות ריבית מחיצוניים</w:t>
            </w:r>
          </w:p>
        </w:tc>
        <w:tc>
          <w:tcPr>
            <w:tcW w:w="264" w:type="pct"/>
            <w:vAlign w:val="bottom"/>
          </w:tcPr>
          <w:p w14:paraId="5F979EE4"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56B7896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5A1E7EC5"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5EF2234E"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0A415C14"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08761E98"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368070F4"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787A2245"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0081A4E9"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08A02B3B"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03A72CD6"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3F6FC7C6"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3E4FD7B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r>
      <w:tr w:rsidR="00E74D2B" w:rsidRPr="000A4A09" w14:paraId="37ADB8E7" w14:textId="77777777" w:rsidTr="00400DD1">
        <w:tc>
          <w:tcPr>
            <w:tcW w:w="950" w:type="pct"/>
            <w:vAlign w:val="bottom"/>
          </w:tcPr>
          <w:p w14:paraId="240BBB81" w14:textId="77777777" w:rsidR="00E74D2B" w:rsidRPr="003E6CF5" w:rsidRDefault="00E74D2B" w:rsidP="00400DD1">
            <w:pPr>
              <w:spacing w:line="241" w:lineRule="auto"/>
              <w:ind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הוצאות ריבית מחיצוניים</w:t>
            </w:r>
          </w:p>
        </w:tc>
        <w:tc>
          <w:tcPr>
            <w:tcW w:w="264" w:type="pct"/>
            <w:vAlign w:val="bottom"/>
          </w:tcPr>
          <w:p w14:paraId="7124FD41"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3314AC10"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3B19A89F"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6266A830"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174F1DC5"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5135CA5C"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17A10351"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1708F061"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4CFA6452"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3CE788A3"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1971AFCE"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39723C77"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6E8677C5"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r>
      <w:tr w:rsidR="00E74D2B" w:rsidRPr="000A4A09" w14:paraId="47E253BF" w14:textId="77777777" w:rsidTr="00400DD1">
        <w:tc>
          <w:tcPr>
            <w:tcW w:w="950" w:type="pct"/>
            <w:vAlign w:val="bottom"/>
          </w:tcPr>
          <w:p w14:paraId="1E9B44F8" w14:textId="77777777" w:rsidR="00E74D2B" w:rsidRPr="003E6CF5" w:rsidRDefault="00E74D2B" w:rsidP="00400DD1">
            <w:pPr>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הכנסות ריבית, נטו מחיצוניים</w:t>
            </w:r>
          </w:p>
        </w:tc>
        <w:tc>
          <w:tcPr>
            <w:tcW w:w="264" w:type="pct"/>
            <w:vAlign w:val="bottom"/>
          </w:tcPr>
          <w:p w14:paraId="45B1A9C5"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4BCAD5F0"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3F7E3D31"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68FE54F1"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000DA115"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25E95BF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04795166"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3D34682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1E8D9A69"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39695EA0"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1A5FE79C"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6C450A16"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2FA0D399"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r>
      <w:tr w:rsidR="00E74D2B" w:rsidRPr="000A4A09" w14:paraId="4E1AAC34" w14:textId="77777777" w:rsidTr="00400DD1">
        <w:tc>
          <w:tcPr>
            <w:tcW w:w="950" w:type="pct"/>
            <w:vAlign w:val="bottom"/>
          </w:tcPr>
          <w:p w14:paraId="50B3A4F2" w14:textId="77777777" w:rsidR="00E74D2B" w:rsidRPr="003E6CF5" w:rsidRDefault="00E74D2B" w:rsidP="00400DD1">
            <w:pPr>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הכנסות ריבית, נטו בינמגזרי</w:t>
            </w:r>
          </w:p>
        </w:tc>
        <w:tc>
          <w:tcPr>
            <w:tcW w:w="264" w:type="pct"/>
            <w:vAlign w:val="bottom"/>
          </w:tcPr>
          <w:p w14:paraId="16CBBA99"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20C23B87"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56726982"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7E46744B"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6FE859CE"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3FCA17B7"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46FCA644"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65834FEC"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799E0D0A"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3F671F96"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72338725"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3DD4857C"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1D11C762"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w:t>
            </w:r>
          </w:p>
        </w:tc>
      </w:tr>
      <w:tr w:rsidR="00E74D2B" w:rsidRPr="000A4A09" w14:paraId="76EB3FDB" w14:textId="77777777" w:rsidTr="00400DD1">
        <w:tc>
          <w:tcPr>
            <w:tcW w:w="950" w:type="pct"/>
            <w:vAlign w:val="bottom"/>
          </w:tcPr>
          <w:p w14:paraId="704D2A2B" w14:textId="77777777" w:rsidR="00E74D2B" w:rsidRPr="003E6CF5" w:rsidRDefault="00E74D2B" w:rsidP="00400DD1">
            <w:pPr>
              <w:spacing w:line="241" w:lineRule="auto"/>
              <w:ind w:firstLine="1"/>
              <w:jc w:val="left"/>
              <w:rPr>
                <w:rFonts w:asciiTheme="minorBidi" w:hAnsiTheme="minorBidi" w:cstheme="minorBidi"/>
                <w:b/>
                <w:bCs/>
                <w:color w:val="000000"/>
                <w:sz w:val="16"/>
                <w:szCs w:val="16"/>
                <w:rtl/>
                <w:lang w:eastAsia="he-IL"/>
              </w:rPr>
            </w:pPr>
            <w:r w:rsidRPr="003E6CF5">
              <w:rPr>
                <w:rFonts w:asciiTheme="minorBidi" w:hAnsiTheme="minorBidi" w:cstheme="minorBidi"/>
                <w:b/>
                <w:bCs/>
                <w:color w:val="000000"/>
                <w:sz w:val="16"/>
                <w:szCs w:val="16"/>
                <w:rtl/>
                <w:lang w:eastAsia="he-IL"/>
              </w:rPr>
              <w:t>סך הכנסות ריבית, נטו</w:t>
            </w:r>
          </w:p>
        </w:tc>
        <w:tc>
          <w:tcPr>
            <w:tcW w:w="264" w:type="pct"/>
            <w:vAlign w:val="bottom"/>
          </w:tcPr>
          <w:p w14:paraId="5B57A74F"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4" w:type="pct"/>
            <w:vAlign w:val="bottom"/>
          </w:tcPr>
          <w:p w14:paraId="4CBA6CEC"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97" w:type="pct"/>
            <w:vAlign w:val="bottom"/>
          </w:tcPr>
          <w:p w14:paraId="26F170CE"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8" w:type="pct"/>
            <w:vAlign w:val="bottom"/>
          </w:tcPr>
          <w:p w14:paraId="178144DD"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17" w:type="pct"/>
            <w:vAlign w:val="bottom"/>
          </w:tcPr>
          <w:p w14:paraId="553B8456"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7" w:type="pct"/>
            <w:vAlign w:val="bottom"/>
          </w:tcPr>
          <w:p w14:paraId="6750BDF8"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94" w:type="pct"/>
            <w:vAlign w:val="bottom"/>
          </w:tcPr>
          <w:p w14:paraId="1F94AE0F"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45" w:type="pct"/>
            <w:gridSpan w:val="2"/>
            <w:vAlign w:val="bottom"/>
          </w:tcPr>
          <w:p w14:paraId="25E63C8F"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64" w:type="pct"/>
            <w:vAlign w:val="bottom"/>
          </w:tcPr>
          <w:p w14:paraId="0CADFBE4"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30" w:type="pct"/>
            <w:vAlign w:val="bottom"/>
          </w:tcPr>
          <w:p w14:paraId="09A50750"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83" w:type="pct"/>
            <w:vAlign w:val="bottom"/>
          </w:tcPr>
          <w:p w14:paraId="1B16455B"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56" w:type="pct"/>
            <w:vAlign w:val="bottom"/>
          </w:tcPr>
          <w:p w14:paraId="406F7DDD"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21" w:type="pct"/>
            <w:vAlign w:val="bottom"/>
          </w:tcPr>
          <w:p w14:paraId="103C5DE8"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r>
      <w:tr w:rsidR="00E74D2B" w:rsidRPr="000A4A09" w14:paraId="6F516B3B" w14:textId="77777777" w:rsidTr="00400DD1">
        <w:tc>
          <w:tcPr>
            <w:tcW w:w="950" w:type="pct"/>
            <w:vAlign w:val="bottom"/>
          </w:tcPr>
          <w:p w14:paraId="39FDA5B3" w14:textId="77777777" w:rsidR="00E74D2B" w:rsidRPr="003E6CF5" w:rsidRDefault="00E74D2B" w:rsidP="00400DD1">
            <w:pPr>
              <w:spacing w:line="80" w:lineRule="exact"/>
              <w:ind w:firstLine="1"/>
              <w:jc w:val="left"/>
              <w:rPr>
                <w:rFonts w:asciiTheme="minorBidi" w:hAnsiTheme="minorBidi" w:cstheme="minorBidi"/>
                <w:color w:val="000000"/>
                <w:sz w:val="16"/>
                <w:szCs w:val="16"/>
                <w:rtl/>
                <w:lang w:eastAsia="he-IL"/>
              </w:rPr>
            </w:pPr>
          </w:p>
        </w:tc>
        <w:tc>
          <w:tcPr>
            <w:tcW w:w="264" w:type="pct"/>
            <w:vAlign w:val="bottom"/>
          </w:tcPr>
          <w:p w14:paraId="52CAA8A8"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24" w:type="pct"/>
            <w:vAlign w:val="bottom"/>
          </w:tcPr>
          <w:p w14:paraId="43B50CB3"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297" w:type="pct"/>
            <w:vAlign w:val="bottom"/>
          </w:tcPr>
          <w:p w14:paraId="13B4F670"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28" w:type="pct"/>
            <w:vAlign w:val="bottom"/>
          </w:tcPr>
          <w:p w14:paraId="205EDE23"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17" w:type="pct"/>
            <w:vAlign w:val="bottom"/>
          </w:tcPr>
          <w:p w14:paraId="727CA813"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27" w:type="pct"/>
            <w:vAlign w:val="bottom"/>
          </w:tcPr>
          <w:p w14:paraId="3348C60F"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294" w:type="pct"/>
            <w:vAlign w:val="bottom"/>
          </w:tcPr>
          <w:p w14:paraId="09E2E952"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45" w:type="pct"/>
            <w:gridSpan w:val="2"/>
            <w:vAlign w:val="bottom"/>
          </w:tcPr>
          <w:p w14:paraId="611DA749"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64" w:type="pct"/>
            <w:vAlign w:val="bottom"/>
          </w:tcPr>
          <w:p w14:paraId="49A773B6"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230" w:type="pct"/>
            <w:vAlign w:val="bottom"/>
          </w:tcPr>
          <w:p w14:paraId="380EDEF1"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83" w:type="pct"/>
            <w:vAlign w:val="bottom"/>
          </w:tcPr>
          <w:p w14:paraId="2D8B8484"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56" w:type="pct"/>
            <w:vAlign w:val="bottom"/>
          </w:tcPr>
          <w:p w14:paraId="5C6781EF"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221" w:type="pct"/>
            <w:vAlign w:val="bottom"/>
          </w:tcPr>
          <w:p w14:paraId="09F0A0B1"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r>
      <w:tr w:rsidR="00E74D2B" w:rsidRPr="000A4A09" w14:paraId="75B0ABC3" w14:textId="77777777" w:rsidTr="00400DD1">
        <w:tc>
          <w:tcPr>
            <w:tcW w:w="950" w:type="pct"/>
            <w:vAlign w:val="bottom"/>
          </w:tcPr>
          <w:p w14:paraId="218BBAD6" w14:textId="77777777" w:rsidR="00E74D2B" w:rsidRPr="003E6CF5" w:rsidRDefault="00E74D2B" w:rsidP="00400DD1">
            <w:pPr>
              <w:spacing w:line="241" w:lineRule="auto"/>
              <w:ind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הכנסות שאינן מריבית:</w:t>
            </w:r>
          </w:p>
        </w:tc>
        <w:tc>
          <w:tcPr>
            <w:tcW w:w="264" w:type="pct"/>
            <w:vAlign w:val="bottom"/>
          </w:tcPr>
          <w:p w14:paraId="088B55B9"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24" w:type="pct"/>
            <w:vAlign w:val="bottom"/>
          </w:tcPr>
          <w:p w14:paraId="6464539A"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297" w:type="pct"/>
            <w:vAlign w:val="bottom"/>
          </w:tcPr>
          <w:p w14:paraId="77E81A07"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28" w:type="pct"/>
            <w:vAlign w:val="bottom"/>
          </w:tcPr>
          <w:p w14:paraId="1E3B6BA4"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17" w:type="pct"/>
            <w:vAlign w:val="bottom"/>
          </w:tcPr>
          <w:p w14:paraId="689D3809"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27" w:type="pct"/>
            <w:vAlign w:val="bottom"/>
          </w:tcPr>
          <w:p w14:paraId="727B99B8"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294" w:type="pct"/>
            <w:vAlign w:val="bottom"/>
          </w:tcPr>
          <w:p w14:paraId="0AC509A1"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45" w:type="pct"/>
            <w:gridSpan w:val="2"/>
            <w:vAlign w:val="bottom"/>
          </w:tcPr>
          <w:p w14:paraId="440F1A9D"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64" w:type="pct"/>
            <w:vAlign w:val="bottom"/>
          </w:tcPr>
          <w:p w14:paraId="127CCA8F"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230" w:type="pct"/>
            <w:vAlign w:val="bottom"/>
          </w:tcPr>
          <w:p w14:paraId="58739B67"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83" w:type="pct"/>
            <w:vAlign w:val="bottom"/>
          </w:tcPr>
          <w:p w14:paraId="661D94E2"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56" w:type="pct"/>
            <w:vAlign w:val="bottom"/>
          </w:tcPr>
          <w:p w14:paraId="17E59379"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221" w:type="pct"/>
            <w:vAlign w:val="bottom"/>
          </w:tcPr>
          <w:p w14:paraId="5D57359D"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r>
      <w:tr w:rsidR="00E74D2B" w:rsidRPr="000A4A09" w14:paraId="6233FB0E" w14:textId="77777777" w:rsidTr="00400DD1">
        <w:tc>
          <w:tcPr>
            <w:tcW w:w="950" w:type="pct"/>
            <w:vAlign w:val="bottom"/>
          </w:tcPr>
          <w:p w14:paraId="15BA4EFB" w14:textId="77777777" w:rsidR="00E74D2B" w:rsidRPr="003E6CF5" w:rsidRDefault="00E74D2B" w:rsidP="00400DD1">
            <w:pPr>
              <w:spacing w:line="241" w:lineRule="auto"/>
              <w:ind w:left="257"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מחיצוניים</w:t>
            </w:r>
          </w:p>
        </w:tc>
        <w:tc>
          <w:tcPr>
            <w:tcW w:w="264" w:type="pct"/>
            <w:vAlign w:val="bottom"/>
          </w:tcPr>
          <w:p w14:paraId="27749F78"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40167F7B"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3A257710"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4A55716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4AED9A3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18434472"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67A58FEB"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558F27A6"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6FF1001E"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0B9E5F8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55C4B0B6"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75BC260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4E0CF586"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r>
      <w:tr w:rsidR="00E74D2B" w:rsidRPr="000A4A09" w14:paraId="6B2E297E" w14:textId="77777777" w:rsidTr="00400DD1">
        <w:tc>
          <w:tcPr>
            <w:tcW w:w="950" w:type="pct"/>
            <w:vAlign w:val="bottom"/>
          </w:tcPr>
          <w:p w14:paraId="7F333F12" w14:textId="77777777" w:rsidR="00E74D2B" w:rsidRPr="003E6CF5" w:rsidRDefault="00E74D2B" w:rsidP="00400DD1">
            <w:pPr>
              <w:spacing w:line="241" w:lineRule="auto"/>
              <w:ind w:left="257"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בינמגזרי</w:t>
            </w:r>
          </w:p>
        </w:tc>
        <w:tc>
          <w:tcPr>
            <w:tcW w:w="264" w:type="pct"/>
            <w:vAlign w:val="bottom"/>
          </w:tcPr>
          <w:p w14:paraId="6C078076"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76D8107F"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59FDCC0D"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7889E88F"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5DABADFC"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1E3E7617"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5D450627"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3C09F00B"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644AA2B9"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1E516D0C"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34D13708"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5939074B"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7BD9BCD5"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w:t>
            </w:r>
          </w:p>
        </w:tc>
      </w:tr>
      <w:tr w:rsidR="00E74D2B" w:rsidRPr="000A4A09" w14:paraId="511F1377" w14:textId="77777777" w:rsidTr="00400DD1">
        <w:tc>
          <w:tcPr>
            <w:tcW w:w="950" w:type="pct"/>
            <w:vAlign w:val="bottom"/>
          </w:tcPr>
          <w:p w14:paraId="64FAB930" w14:textId="77777777" w:rsidR="00E74D2B" w:rsidRPr="003E6CF5" w:rsidRDefault="00E74D2B" w:rsidP="00400DD1">
            <w:pPr>
              <w:spacing w:line="241" w:lineRule="auto"/>
              <w:ind w:firstLine="1"/>
              <w:jc w:val="left"/>
              <w:rPr>
                <w:rFonts w:asciiTheme="minorBidi" w:hAnsiTheme="minorBidi" w:cstheme="minorBidi"/>
                <w:b/>
                <w:bCs/>
                <w:color w:val="000000"/>
                <w:sz w:val="16"/>
                <w:szCs w:val="16"/>
                <w:rtl/>
                <w:lang w:eastAsia="he-IL"/>
              </w:rPr>
            </w:pPr>
            <w:r w:rsidRPr="003E6CF5">
              <w:rPr>
                <w:rFonts w:asciiTheme="minorBidi" w:hAnsiTheme="minorBidi" w:cstheme="minorBidi"/>
                <w:b/>
                <w:bCs/>
                <w:color w:val="000000"/>
                <w:sz w:val="16"/>
                <w:szCs w:val="16"/>
                <w:rtl/>
                <w:lang w:eastAsia="he-IL"/>
              </w:rPr>
              <w:t>סך הכנסות שאינן מריבית</w:t>
            </w:r>
          </w:p>
        </w:tc>
        <w:tc>
          <w:tcPr>
            <w:tcW w:w="264" w:type="pct"/>
            <w:vAlign w:val="bottom"/>
          </w:tcPr>
          <w:p w14:paraId="019F4E5E" w14:textId="77777777" w:rsidR="00E74D2B" w:rsidRPr="00A13EFD" w:rsidRDefault="00E74D2B" w:rsidP="00400DD1">
            <w:pPr>
              <w:pBdr>
                <w:bottom w:val="single" w:sz="8"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4" w:type="pct"/>
            <w:vAlign w:val="bottom"/>
          </w:tcPr>
          <w:p w14:paraId="578E1D27" w14:textId="77777777" w:rsidR="00E74D2B" w:rsidRPr="00A13EFD"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97" w:type="pct"/>
            <w:vAlign w:val="bottom"/>
          </w:tcPr>
          <w:p w14:paraId="02013312" w14:textId="77777777" w:rsidR="00E74D2B" w:rsidRPr="00A13EFD"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8" w:type="pct"/>
            <w:vAlign w:val="bottom"/>
          </w:tcPr>
          <w:p w14:paraId="0310E693" w14:textId="77777777" w:rsidR="00E74D2B" w:rsidRPr="00A13EFD"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17" w:type="pct"/>
            <w:vAlign w:val="bottom"/>
          </w:tcPr>
          <w:p w14:paraId="3A6A4F40" w14:textId="77777777" w:rsidR="00E74D2B" w:rsidRPr="00A13EFD"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7" w:type="pct"/>
            <w:vAlign w:val="bottom"/>
          </w:tcPr>
          <w:p w14:paraId="1B6F1D6B" w14:textId="77777777" w:rsidR="00E74D2B" w:rsidRPr="00A13EFD"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94" w:type="pct"/>
            <w:vAlign w:val="bottom"/>
          </w:tcPr>
          <w:p w14:paraId="10C85589" w14:textId="77777777" w:rsidR="00E74D2B" w:rsidRPr="00A13EFD"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45" w:type="pct"/>
            <w:gridSpan w:val="2"/>
            <w:vAlign w:val="bottom"/>
          </w:tcPr>
          <w:p w14:paraId="70861D11" w14:textId="77777777" w:rsidR="00E74D2B" w:rsidRPr="00A13EFD"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64" w:type="pct"/>
            <w:vAlign w:val="bottom"/>
          </w:tcPr>
          <w:p w14:paraId="64160D22" w14:textId="77777777" w:rsidR="00E74D2B" w:rsidRPr="00A13EFD"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30" w:type="pct"/>
            <w:vAlign w:val="bottom"/>
          </w:tcPr>
          <w:p w14:paraId="3D02CA36" w14:textId="77777777" w:rsidR="00E74D2B" w:rsidRPr="00A13EFD"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83" w:type="pct"/>
            <w:vAlign w:val="bottom"/>
          </w:tcPr>
          <w:p w14:paraId="2F1452EF" w14:textId="77777777" w:rsidR="00E74D2B" w:rsidRPr="00A13EFD"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56" w:type="pct"/>
            <w:vAlign w:val="bottom"/>
          </w:tcPr>
          <w:p w14:paraId="39BE6215" w14:textId="77777777" w:rsidR="00E74D2B" w:rsidRPr="00A13EFD"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21" w:type="pct"/>
            <w:vAlign w:val="bottom"/>
          </w:tcPr>
          <w:p w14:paraId="57C58F80" w14:textId="77777777" w:rsidR="00E74D2B" w:rsidRPr="00A13EFD"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r>
      <w:tr w:rsidR="00E74D2B" w:rsidRPr="000A4A09" w14:paraId="718B7E52" w14:textId="77777777" w:rsidTr="00400DD1">
        <w:tc>
          <w:tcPr>
            <w:tcW w:w="950" w:type="pct"/>
            <w:vAlign w:val="bottom"/>
          </w:tcPr>
          <w:p w14:paraId="303AA0A3" w14:textId="77777777" w:rsidR="00E74D2B" w:rsidRPr="003E6CF5" w:rsidRDefault="00E74D2B" w:rsidP="00400DD1">
            <w:pPr>
              <w:spacing w:line="241" w:lineRule="auto"/>
              <w:ind w:firstLine="1"/>
              <w:jc w:val="left"/>
              <w:rPr>
                <w:rFonts w:asciiTheme="minorBidi" w:hAnsiTheme="minorBidi" w:cstheme="minorBidi"/>
                <w:b/>
                <w:bCs/>
                <w:color w:val="000000"/>
                <w:sz w:val="16"/>
                <w:szCs w:val="16"/>
                <w:rtl/>
                <w:lang w:eastAsia="he-IL"/>
              </w:rPr>
            </w:pPr>
            <w:r w:rsidRPr="003E6CF5">
              <w:rPr>
                <w:rFonts w:asciiTheme="minorBidi" w:hAnsiTheme="minorBidi" w:cstheme="minorBidi"/>
                <w:b/>
                <w:bCs/>
                <w:color w:val="000000"/>
                <w:sz w:val="16"/>
                <w:szCs w:val="16"/>
                <w:rtl/>
                <w:lang w:eastAsia="he-IL"/>
              </w:rPr>
              <w:t>סך הכנסות</w:t>
            </w:r>
          </w:p>
        </w:tc>
        <w:tc>
          <w:tcPr>
            <w:tcW w:w="264" w:type="pct"/>
            <w:vAlign w:val="bottom"/>
          </w:tcPr>
          <w:p w14:paraId="54314FFA"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4" w:type="pct"/>
            <w:vAlign w:val="bottom"/>
          </w:tcPr>
          <w:p w14:paraId="02D5FD98"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97" w:type="pct"/>
            <w:vAlign w:val="bottom"/>
          </w:tcPr>
          <w:p w14:paraId="666E668A"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8" w:type="pct"/>
            <w:vAlign w:val="bottom"/>
          </w:tcPr>
          <w:p w14:paraId="3460B06D"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17" w:type="pct"/>
            <w:vAlign w:val="bottom"/>
          </w:tcPr>
          <w:p w14:paraId="7C5D0C7A"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27" w:type="pct"/>
            <w:vAlign w:val="bottom"/>
          </w:tcPr>
          <w:p w14:paraId="18B49E15"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94" w:type="pct"/>
            <w:vAlign w:val="bottom"/>
          </w:tcPr>
          <w:p w14:paraId="6421458C"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45" w:type="pct"/>
            <w:gridSpan w:val="2"/>
            <w:vAlign w:val="bottom"/>
          </w:tcPr>
          <w:p w14:paraId="6B75F55B"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64" w:type="pct"/>
            <w:vAlign w:val="bottom"/>
          </w:tcPr>
          <w:p w14:paraId="27529AAC"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30" w:type="pct"/>
            <w:vAlign w:val="bottom"/>
          </w:tcPr>
          <w:p w14:paraId="270480A4"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83" w:type="pct"/>
            <w:vAlign w:val="bottom"/>
          </w:tcPr>
          <w:p w14:paraId="72C7EA58"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356" w:type="pct"/>
            <w:vAlign w:val="bottom"/>
          </w:tcPr>
          <w:p w14:paraId="7A7618D8"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c>
          <w:tcPr>
            <w:tcW w:w="221" w:type="pct"/>
            <w:vAlign w:val="bottom"/>
          </w:tcPr>
          <w:p w14:paraId="1FA3FF72" w14:textId="77777777" w:rsidR="00E74D2B" w:rsidRPr="00A13EFD" w:rsidRDefault="00E74D2B" w:rsidP="00400DD1">
            <w:pPr>
              <w:spacing w:line="241" w:lineRule="auto"/>
              <w:ind w:left="85" w:right="85"/>
              <w:jc w:val="left"/>
              <w:rPr>
                <w:rFonts w:asciiTheme="minorBidi" w:hAnsiTheme="minorBidi" w:cstheme="minorBidi"/>
                <w:b/>
                <w:bCs/>
                <w:sz w:val="16"/>
                <w:szCs w:val="16"/>
                <w:rtl/>
              </w:rPr>
            </w:pPr>
            <w:r w:rsidRPr="00A13EFD">
              <w:rPr>
                <w:rFonts w:asciiTheme="minorBidi" w:hAnsiTheme="minorBidi" w:cstheme="minorBidi"/>
                <w:b/>
                <w:bCs/>
                <w:sz w:val="16"/>
                <w:szCs w:val="16"/>
                <w:rtl/>
              </w:rPr>
              <w:t xml:space="preserve"> 0</w:t>
            </w:r>
          </w:p>
        </w:tc>
      </w:tr>
      <w:tr w:rsidR="00E74D2B" w:rsidRPr="000A4A09" w14:paraId="4B7C9169" w14:textId="77777777" w:rsidTr="00400DD1">
        <w:tc>
          <w:tcPr>
            <w:tcW w:w="950" w:type="pct"/>
            <w:vAlign w:val="bottom"/>
          </w:tcPr>
          <w:p w14:paraId="0F79FBB0" w14:textId="77777777" w:rsidR="00E74D2B" w:rsidRPr="003E6CF5" w:rsidRDefault="00E74D2B" w:rsidP="00400DD1">
            <w:pPr>
              <w:spacing w:line="80" w:lineRule="exact"/>
              <w:ind w:firstLine="1"/>
              <w:jc w:val="left"/>
              <w:rPr>
                <w:rFonts w:asciiTheme="minorBidi" w:hAnsiTheme="minorBidi" w:cstheme="minorBidi"/>
                <w:color w:val="000000"/>
                <w:sz w:val="16"/>
                <w:szCs w:val="16"/>
                <w:rtl/>
                <w:lang w:eastAsia="he-IL"/>
              </w:rPr>
            </w:pPr>
          </w:p>
        </w:tc>
        <w:tc>
          <w:tcPr>
            <w:tcW w:w="264" w:type="pct"/>
            <w:vAlign w:val="bottom"/>
          </w:tcPr>
          <w:p w14:paraId="55B957FE"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24" w:type="pct"/>
            <w:vAlign w:val="bottom"/>
          </w:tcPr>
          <w:p w14:paraId="427188EF"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297" w:type="pct"/>
            <w:vAlign w:val="bottom"/>
          </w:tcPr>
          <w:p w14:paraId="189F149D"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28" w:type="pct"/>
            <w:vAlign w:val="bottom"/>
          </w:tcPr>
          <w:p w14:paraId="29E69212"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17" w:type="pct"/>
            <w:vAlign w:val="bottom"/>
          </w:tcPr>
          <w:p w14:paraId="0D7E7783"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27" w:type="pct"/>
            <w:vAlign w:val="bottom"/>
          </w:tcPr>
          <w:p w14:paraId="47BB8E31"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294" w:type="pct"/>
            <w:vAlign w:val="bottom"/>
          </w:tcPr>
          <w:p w14:paraId="014AD116"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45" w:type="pct"/>
            <w:gridSpan w:val="2"/>
            <w:vAlign w:val="bottom"/>
          </w:tcPr>
          <w:p w14:paraId="2E43DFF5"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64" w:type="pct"/>
            <w:vAlign w:val="bottom"/>
          </w:tcPr>
          <w:p w14:paraId="7CF37EDC"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230" w:type="pct"/>
            <w:vAlign w:val="bottom"/>
          </w:tcPr>
          <w:p w14:paraId="2456C6DB"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83" w:type="pct"/>
            <w:vAlign w:val="bottom"/>
          </w:tcPr>
          <w:p w14:paraId="30178445"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56" w:type="pct"/>
            <w:vAlign w:val="bottom"/>
          </w:tcPr>
          <w:p w14:paraId="113A1433"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221" w:type="pct"/>
            <w:vAlign w:val="bottom"/>
          </w:tcPr>
          <w:p w14:paraId="7C25A6CA"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r>
      <w:tr w:rsidR="00E74D2B" w:rsidRPr="000A4A09" w14:paraId="3316C0A9" w14:textId="77777777" w:rsidTr="00400DD1">
        <w:tc>
          <w:tcPr>
            <w:tcW w:w="950" w:type="pct"/>
            <w:vAlign w:val="bottom"/>
          </w:tcPr>
          <w:p w14:paraId="04E35711" w14:textId="77777777" w:rsidR="00E74D2B" w:rsidRPr="003E6CF5" w:rsidRDefault="00E74D2B" w:rsidP="00400DD1">
            <w:pPr>
              <w:spacing w:line="241" w:lineRule="auto"/>
              <w:ind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הוצאות בגין הפסדי אשראי</w:t>
            </w:r>
          </w:p>
        </w:tc>
        <w:tc>
          <w:tcPr>
            <w:tcW w:w="264" w:type="pct"/>
            <w:vAlign w:val="bottom"/>
          </w:tcPr>
          <w:p w14:paraId="208FEC90"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4C730B6E"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748A60DC"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7BB2D952"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1748134E"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43195C32"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3EF2C13B"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01EBD0D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4EB6E0B4"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58D7401E"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54C3B0DD"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7264F2B0"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25BF3310"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r>
      <w:tr w:rsidR="00E74D2B" w:rsidRPr="000A4A09" w14:paraId="6C0ADED2" w14:textId="77777777" w:rsidTr="00400DD1">
        <w:tc>
          <w:tcPr>
            <w:tcW w:w="950" w:type="pct"/>
            <w:vAlign w:val="bottom"/>
          </w:tcPr>
          <w:p w14:paraId="0AE9D0B0" w14:textId="77777777" w:rsidR="00E74D2B" w:rsidRPr="003E6CF5" w:rsidRDefault="00E74D2B" w:rsidP="00400DD1">
            <w:pPr>
              <w:spacing w:line="241" w:lineRule="auto"/>
              <w:ind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הוצאות תפעוליות ואחרות:</w:t>
            </w:r>
          </w:p>
        </w:tc>
        <w:tc>
          <w:tcPr>
            <w:tcW w:w="264" w:type="pct"/>
            <w:vAlign w:val="bottom"/>
          </w:tcPr>
          <w:p w14:paraId="46F7B9BE"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24" w:type="pct"/>
            <w:vAlign w:val="bottom"/>
          </w:tcPr>
          <w:p w14:paraId="289D84A4"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297" w:type="pct"/>
            <w:vAlign w:val="bottom"/>
          </w:tcPr>
          <w:p w14:paraId="3DF66085"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28" w:type="pct"/>
            <w:vAlign w:val="bottom"/>
          </w:tcPr>
          <w:p w14:paraId="2FE19919"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17" w:type="pct"/>
            <w:vAlign w:val="bottom"/>
          </w:tcPr>
          <w:p w14:paraId="7CBB1232"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27" w:type="pct"/>
            <w:vAlign w:val="bottom"/>
          </w:tcPr>
          <w:p w14:paraId="2FB5F842"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294" w:type="pct"/>
            <w:vAlign w:val="bottom"/>
          </w:tcPr>
          <w:p w14:paraId="7301CB9F"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45" w:type="pct"/>
            <w:gridSpan w:val="2"/>
            <w:vAlign w:val="bottom"/>
          </w:tcPr>
          <w:p w14:paraId="26ED9630"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64" w:type="pct"/>
            <w:vAlign w:val="bottom"/>
          </w:tcPr>
          <w:p w14:paraId="03A779FF"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230" w:type="pct"/>
            <w:vAlign w:val="bottom"/>
          </w:tcPr>
          <w:p w14:paraId="4AFFD4D9"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83" w:type="pct"/>
            <w:vAlign w:val="bottom"/>
          </w:tcPr>
          <w:p w14:paraId="53955EEC"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56" w:type="pct"/>
            <w:vAlign w:val="bottom"/>
          </w:tcPr>
          <w:p w14:paraId="246778A0"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221" w:type="pct"/>
            <w:vAlign w:val="bottom"/>
          </w:tcPr>
          <w:p w14:paraId="308B5364"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r>
      <w:tr w:rsidR="00E74D2B" w:rsidRPr="000A4A09" w14:paraId="1714D47F" w14:textId="77777777" w:rsidTr="00400DD1">
        <w:tc>
          <w:tcPr>
            <w:tcW w:w="950" w:type="pct"/>
            <w:vAlign w:val="bottom"/>
          </w:tcPr>
          <w:p w14:paraId="781300AB" w14:textId="77777777" w:rsidR="00E74D2B" w:rsidRPr="003E6CF5" w:rsidRDefault="00E74D2B" w:rsidP="00400DD1">
            <w:pPr>
              <w:spacing w:line="241" w:lineRule="auto"/>
              <w:ind w:left="271"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לחיצוניים</w:t>
            </w:r>
          </w:p>
        </w:tc>
        <w:tc>
          <w:tcPr>
            <w:tcW w:w="264" w:type="pct"/>
            <w:vAlign w:val="bottom"/>
          </w:tcPr>
          <w:p w14:paraId="0C0D8CF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7EE6C34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75DDDD1E"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5B78CACC"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4408DA89"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22B49F39"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064D254D"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589CBB69"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0FCE8D14"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0206FB41"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60E1AEEC"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4D008A6C"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28CB374A"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r>
      <w:tr w:rsidR="00E74D2B" w:rsidRPr="000A4A09" w14:paraId="05E41E99" w14:textId="77777777" w:rsidTr="00400DD1">
        <w:tc>
          <w:tcPr>
            <w:tcW w:w="950" w:type="pct"/>
            <w:vAlign w:val="bottom"/>
          </w:tcPr>
          <w:p w14:paraId="1528D1F9" w14:textId="77777777" w:rsidR="00E74D2B" w:rsidRPr="003E6CF5" w:rsidRDefault="00E74D2B" w:rsidP="00400DD1">
            <w:pPr>
              <w:spacing w:line="241" w:lineRule="auto"/>
              <w:ind w:left="271" w:firstLine="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בינמגזרי</w:t>
            </w:r>
          </w:p>
        </w:tc>
        <w:tc>
          <w:tcPr>
            <w:tcW w:w="264" w:type="pct"/>
            <w:vAlign w:val="bottom"/>
          </w:tcPr>
          <w:p w14:paraId="5A0BFC05"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18D03F5C"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081B6359"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1DBF0648"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4460AD6E"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4BEA346B"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72E9D671"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0FD4AAA2"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6CA2CCCF"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3C9817BC"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31D36EED"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17533598"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6E3BC43C"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w:t>
            </w:r>
          </w:p>
        </w:tc>
      </w:tr>
      <w:tr w:rsidR="00E74D2B" w:rsidRPr="000A4A09" w14:paraId="0054FABF" w14:textId="77777777" w:rsidTr="00400DD1">
        <w:tc>
          <w:tcPr>
            <w:tcW w:w="950" w:type="pct"/>
            <w:vAlign w:val="bottom"/>
          </w:tcPr>
          <w:p w14:paraId="1B767D2B" w14:textId="77777777" w:rsidR="00E74D2B" w:rsidRPr="003E6CF5" w:rsidRDefault="00E74D2B" w:rsidP="00400DD1">
            <w:pPr>
              <w:spacing w:line="241" w:lineRule="auto"/>
              <w:ind w:firstLine="1"/>
              <w:jc w:val="left"/>
              <w:rPr>
                <w:rFonts w:asciiTheme="minorBidi" w:hAnsiTheme="minorBidi" w:cstheme="minorBidi"/>
                <w:b/>
                <w:bCs/>
                <w:color w:val="000000"/>
                <w:sz w:val="16"/>
                <w:szCs w:val="16"/>
                <w:rtl/>
                <w:lang w:eastAsia="he-IL"/>
              </w:rPr>
            </w:pPr>
            <w:r w:rsidRPr="003E6CF5">
              <w:rPr>
                <w:rFonts w:asciiTheme="minorBidi" w:hAnsiTheme="minorBidi" w:cstheme="minorBidi"/>
                <w:b/>
                <w:bCs/>
                <w:color w:val="000000"/>
                <w:sz w:val="16"/>
                <w:szCs w:val="16"/>
                <w:rtl/>
                <w:lang w:eastAsia="he-IL"/>
              </w:rPr>
              <w:t>סך הוצאות תפעוליות ואחרות</w:t>
            </w:r>
          </w:p>
        </w:tc>
        <w:tc>
          <w:tcPr>
            <w:tcW w:w="264" w:type="pct"/>
            <w:vAlign w:val="bottom"/>
          </w:tcPr>
          <w:p w14:paraId="2BACAD32" w14:textId="77777777" w:rsidR="00E74D2B" w:rsidRPr="00E7649F"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4" w:type="pct"/>
            <w:vAlign w:val="bottom"/>
          </w:tcPr>
          <w:p w14:paraId="1A7D1116" w14:textId="77777777" w:rsidR="00E74D2B" w:rsidRPr="00E7649F"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97" w:type="pct"/>
            <w:vAlign w:val="bottom"/>
          </w:tcPr>
          <w:p w14:paraId="4B053C21" w14:textId="77777777" w:rsidR="00E74D2B" w:rsidRPr="00E7649F"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8" w:type="pct"/>
            <w:vAlign w:val="bottom"/>
          </w:tcPr>
          <w:p w14:paraId="22E08E3D" w14:textId="77777777" w:rsidR="00E74D2B" w:rsidRPr="00E7649F"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17" w:type="pct"/>
            <w:vAlign w:val="bottom"/>
          </w:tcPr>
          <w:p w14:paraId="1BBD823E" w14:textId="77777777" w:rsidR="00E74D2B" w:rsidRPr="00E7649F"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7" w:type="pct"/>
            <w:vAlign w:val="bottom"/>
          </w:tcPr>
          <w:p w14:paraId="503A5452" w14:textId="77777777" w:rsidR="00E74D2B" w:rsidRPr="00E7649F"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94" w:type="pct"/>
            <w:vAlign w:val="bottom"/>
          </w:tcPr>
          <w:p w14:paraId="68C1B8C9" w14:textId="77777777" w:rsidR="00E74D2B" w:rsidRPr="00E7649F"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45" w:type="pct"/>
            <w:gridSpan w:val="2"/>
            <w:vAlign w:val="bottom"/>
          </w:tcPr>
          <w:p w14:paraId="6ADADF8B" w14:textId="77777777" w:rsidR="00E74D2B" w:rsidRPr="00E7649F"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64" w:type="pct"/>
            <w:vAlign w:val="bottom"/>
          </w:tcPr>
          <w:p w14:paraId="69BEC03E" w14:textId="77777777" w:rsidR="00E74D2B" w:rsidRPr="00E7649F"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30" w:type="pct"/>
            <w:vAlign w:val="bottom"/>
          </w:tcPr>
          <w:p w14:paraId="55E20854" w14:textId="77777777" w:rsidR="00E74D2B" w:rsidRPr="00E7649F"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83" w:type="pct"/>
            <w:vAlign w:val="bottom"/>
          </w:tcPr>
          <w:p w14:paraId="5B665761" w14:textId="77777777" w:rsidR="00E74D2B" w:rsidRPr="00E7649F"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56" w:type="pct"/>
            <w:vAlign w:val="bottom"/>
          </w:tcPr>
          <w:p w14:paraId="00330E6A" w14:textId="77777777" w:rsidR="00E74D2B" w:rsidRPr="00E7649F"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21" w:type="pct"/>
            <w:vAlign w:val="bottom"/>
          </w:tcPr>
          <w:p w14:paraId="41BCBABF" w14:textId="77777777" w:rsidR="00E74D2B" w:rsidRPr="00E7649F" w:rsidRDefault="00E74D2B" w:rsidP="00400DD1">
            <w:pPr>
              <w:pBdr>
                <w:bottom w:val="single" w:sz="4" w:space="1" w:color="auto"/>
              </w:pBd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r>
      <w:tr w:rsidR="00E74D2B" w:rsidRPr="000A4A09" w14:paraId="7258154E" w14:textId="77777777" w:rsidTr="00400DD1">
        <w:tc>
          <w:tcPr>
            <w:tcW w:w="950" w:type="pct"/>
            <w:vAlign w:val="bottom"/>
          </w:tcPr>
          <w:p w14:paraId="57242C94" w14:textId="77777777" w:rsidR="00E74D2B" w:rsidRPr="003E6CF5" w:rsidRDefault="00E74D2B" w:rsidP="00400DD1">
            <w:pPr>
              <w:spacing w:line="80" w:lineRule="exact"/>
              <w:ind w:firstLine="1"/>
              <w:jc w:val="left"/>
              <w:rPr>
                <w:rFonts w:asciiTheme="minorBidi" w:hAnsiTheme="minorBidi" w:cstheme="minorBidi"/>
                <w:color w:val="000000"/>
                <w:sz w:val="16"/>
                <w:szCs w:val="16"/>
                <w:rtl/>
                <w:lang w:eastAsia="he-IL"/>
              </w:rPr>
            </w:pPr>
          </w:p>
        </w:tc>
        <w:tc>
          <w:tcPr>
            <w:tcW w:w="264" w:type="pct"/>
            <w:vAlign w:val="bottom"/>
          </w:tcPr>
          <w:p w14:paraId="21CF16A4"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24" w:type="pct"/>
            <w:vAlign w:val="bottom"/>
          </w:tcPr>
          <w:p w14:paraId="20A45085"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297" w:type="pct"/>
            <w:vAlign w:val="bottom"/>
          </w:tcPr>
          <w:p w14:paraId="5AB1C7F8"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28" w:type="pct"/>
            <w:vAlign w:val="bottom"/>
          </w:tcPr>
          <w:p w14:paraId="71516423"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17" w:type="pct"/>
            <w:vAlign w:val="bottom"/>
          </w:tcPr>
          <w:p w14:paraId="5A7B73E5"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27" w:type="pct"/>
            <w:vAlign w:val="bottom"/>
          </w:tcPr>
          <w:p w14:paraId="4D1A08A9"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294" w:type="pct"/>
            <w:vAlign w:val="bottom"/>
          </w:tcPr>
          <w:p w14:paraId="7ACB0785"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45" w:type="pct"/>
            <w:gridSpan w:val="2"/>
            <w:vAlign w:val="bottom"/>
          </w:tcPr>
          <w:p w14:paraId="59EC6822"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64" w:type="pct"/>
            <w:vAlign w:val="bottom"/>
          </w:tcPr>
          <w:p w14:paraId="5D63D311"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230" w:type="pct"/>
            <w:vAlign w:val="bottom"/>
          </w:tcPr>
          <w:p w14:paraId="59A51089"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83" w:type="pct"/>
            <w:vAlign w:val="bottom"/>
          </w:tcPr>
          <w:p w14:paraId="2C783E0C"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356" w:type="pct"/>
            <w:vAlign w:val="bottom"/>
          </w:tcPr>
          <w:p w14:paraId="1BF129E1"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c>
          <w:tcPr>
            <w:tcW w:w="221" w:type="pct"/>
            <w:vAlign w:val="bottom"/>
          </w:tcPr>
          <w:p w14:paraId="0DE05636" w14:textId="77777777" w:rsidR="00E74D2B" w:rsidRPr="00427850" w:rsidRDefault="00E74D2B" w:rsidP="00400DD1">
            <w:pPr>
              <w:spacing w:line="80" w:lineRule="exact"/>
              <w:ind w:left="85" w:right="85"/>
              <w:jc w:val="left"/>
              <w:rPr>
                <w:rFonts w:asciiTheme="minorBidi" w:hAnsiTheme="minorBidi" w:cstheme="minorBidi"/>
                <w:sz w:val="16"/>
                <w:szCs w:val="16"/>
                <w:rtl/>
              </w:rPr>
            </w:pPr>
          </w:p>
        </w:tc>
      </w:tr>
      <w:tr w:rsidR="00E74D2B" w:rsidRPr="00106758" w14:paraId="7EA3A2FE" w14:textId="77777777" w:rsidTr="00400DD1">
        <w:tc>
          <w:tcPr>
            <w:tcW w:w="950" w:type="pct"/>
            <w:vAlign w:val="bottom"/>
          </w:tcPr>
          <w:p w14:paraId="38363A50" w14:textId="77777777" w:rsidR="00E74D2B" w:rsidRPr="00E7649F" w:rsidRDefault="00E74D2B" w:rsidP="00400DD1">
            <w:pPr>
              <w:spacing w:line="241" w:lineRule="auto"/>
              <w:ind w:left="172" w:hanging="171"/>
              <w:jc w:val="left"/>
              <w:rPr>
                <w:rFonts w:asciiTheme="minorBidi" w:hAnsiTheme="minorBidi" w:cstheme="minorBidi"/>
                <w:b/>
                <w:bCs/>
                <w:color w:val="000000"/>
                <w:sz w:val="16"/>
                <w:szCs w:val="16"/>
                <w:rtl/>
                <w:lang w:eastAsia="he-IL"/>
              </w:rPr>
            </w:pPr>
            <w:r w:rsidRPr="00E7649F">
              <w:rPr>
                <w:rFonts w:asciiTheme="minorBidi" w:hAnsiTheme="minorBidi" w:cstheme="minorBidi"/>
                <w:b/>
                <w:bCs/>
                <w:color w:val="000000"/>
                <w:sz w:val="16"/>
                <w:szCs w:val="16"/>
                <w:rtl/>
                <w:lang w:eastAsia="he-IL"/>
              </w:rPr>
              <w:t>רווח לפני מסים</w:t>
            </w:r>
          </w:p>
        </w:tc>
        <w:tc>
          <w:tcPr>
            <w:tcW w:w="264" w:type="pct"/>
            <w:vAlign w:val="bottom"/>
          </w:tcPr>
          <w:p w14:paraId="1367D4F9"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4" w:type="pct"/>
            <w:vAlign w:val="bottom"/>
          </w:tcPr>
          <w:p w14:paraId="116219FE"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97" w:type="pct"/>
            <w:vAlign w:val="bottom"/>
          </w:tcPr>
          <w:p w14:paraId="7B8BEE53"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8" w:type="pct"/>
            <w:vAlign w:val="bottom"/>
          </w:tcPr>
          <w:p w14:paraId="4242EA2D"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17" w:type="pct"/>
            <w:vAlign w:val="bottom"/>
          </w:tcPr>
          <w:p w14:paraId="1C1E9C4A"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7" w:type="pct"/>
            <w:vAlign w:val="bottom"/>
          </w:tcPr>
          <w:p w14:paraId="5D5E717D"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94" w:type="pct"/>
            <w:vAlign w:val="bottom"/>
          </w:tcPr>
          <w:p w14:paraId="0B34A181"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45" w:type="pct"/>
            <w:gridSpan w:val="2"/>
            <w:vAlign w:val="bottom"/>
          </w:tcPr>
          <w:p w14:paraId="7D248436"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64" w:type="pct"/>
            <w:vAlign w:val="bottom"/>
          </w:tcPr>
          <w:p w14:paraId="7CF10E37"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30" w:type="pct"/>
            <w:vAlign w:val="bottom"/>
          </w:tcPr>
          <w:p w14:paraId="46BB44E6"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83" w:type="pct"/>
            <w:vAlign w:val="bottom"/>
          </w:tcPr>
          <w:p w14:paraId="194EFB35"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56" w:type="pct"/>
            <w:vAlign w:val="bottom"/>
          </w:tcPr>
          <w:p w14:paraId="0607D6F5"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21" w:type="pct"/>
            <w:vAlign w:val="bottom"/>
          </w:tcPr>
          <w:p w14:paraId="75CE190B"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r>
      <w:tr w:rsidR="00E74D2B" w:rsidRPr="00106758" w14:paraId="1477A40A" w14:textId="77777777" w:rsidTr="00400DD1">
        <w:tc>
          <w:tcPr>
            <w:tcW w:w="950" w:type="pct"/>
            <w:vAlign w:val="bottom"/>
          </w:tcPr>
          <w:p w14:paraId="66B0EEF8" w14:textId="77777777" w:rsidR="00E74D2B" w:rsidRPr="003E6CF5" w:rsidRDefault="00E74D2B" w:rsidP="00400DD1">
            <w:pPr>
              <w:spacing w:line="241" w:lineRule="auto"/>
              <w:ind w:left="172" w:hanging="171"/>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הפרשה למסים על הרווח</w:t>
            </w:r>
          </w:p>
        </w:tc>
        <w:tc>
          <w:tcPr>
            <w:tcW w:w="264" w:type="pct"/>
            <w:vAlign w:val="bottom"/>
          </w:tcPr>
          <w:p w14:paraId="2CCC944F"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3F6269F9"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3D88560A"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32599CA5"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32DB25B5"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1C425A56"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389056F5"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1464B3F2"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76581491"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2C19EDB9"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79C18D2C"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1151CF51"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0A8B137F"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r>
      <w:tr w:rsidR="00E74D2B" w:rsidRPr="00106758" w14:paraId="645E1ECA" w14:textId="77777777" w:rsidTr="00400DD1">
        <w:tc>
          <w:tcPr>
            <w:tcW w:w="950" w:type="pct"/>
            <w:vAlign w:val="bottom"/>
          </w:tcPr>
          <w:p w14:paraId="4CDCD040" w14:textId="77777777" w:rsidR="00E74D2B" w:rsidRPr="00E7649F" w:rsidRDefault="00E74D2B" w:rsidP="00400DD1">
            <w:pPr>
              <w:spacing w:line="241" w:lineRule="auto"/>
              <w:ind w:left="172" w:hanging="171"/>
              <w:jc w:val="left"/>
              <w:rPr>
                <w:rFonts w:asciiTheme="minorBidi" w:hAnsiTheme="minorBidi" w:cstheme="minorBidi"/>
                <w:b/>
                <w:bCs/>
                <w:color w:val="000000"/>
                <w:sz w:val="16"/>
                <w:szCs w:val="16"/>
                <w:rtl/>
                <w:lang w:eastAsia="he-IL"/>
              </w:rPr>
            </w:pPr>
            <w:r w:rsidRPr="00E7649F">
              <w:rPr>
                <w:rFonts w:asciiTheme="minorBidi" w:hAnsiTheme="minorBidi" w:cstheme="minorBidi"/>
                <w:b/>
                <w:bCs/>
                <w:color w:val="000000"/>
                <w:sz w:val="16"/>
                <w:szCs w:val="16"/>
                <w:rtl/>
                <w:lang w:eastAsia="he-IL"/>
              </w:rPr>
              <w:t>רווח לאחר מסים</w:t>
            </w:r>
          </w:p>
        </w:tc>
        <w:tc>
          <w:tcPr>
            <w:tcW w:w="264" w:type="pct"/>
            <w:vAlign w:val="bottom"/>
          </w:tcPr>
          <w:p w14:paraId="4E2DFF11"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4" w:type="pct"/>
            <w:vAlign w:val="bottom"/>
          </w:tcPr>
          <w:p w14:paraId="559F0485"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97" w:type="pct"/>
            <w:vAlign w:val="bottom"/>
          </w:tcPr>
          <w:p w14:paraId="507D37E2"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8" w:type="pct"/>
            <w:vAlign w:val="bottom"/>
          </w:tcPr>
          <w:p w14:paraId="6ED5C392"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17" w:type="pct"/>
            <w:vAlign w:val="bottom"/>
          </w:tcPr>
          <w:p w14:paraId="19BCBC84"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27" w:type="pct"/>
            <w:vAlign w:val="bottom"/>
          </w:tcPr>
          <w:p w14:paraId="7898CCD2"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94" w:type="pct"/>
            <w:vAlign w:val="bottom"/>
          </w:tcPr>
          <w:p w14:paraId="18F68F53"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45" w:type="pct"/>
            <w:gridSpan w:val="2"/>
            <w:vAlign w:val="bottom"/>
          </w:tcPr>
          <w:p w14:paraId="45E52085"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64" w:type="pct"/>
            <w:vAlign w:val="bottom"/>
          </w:tcPr>
          <w:p w14:paraId="021D5F18"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30" w:type="pct"/>
            <w:vAlign w:val="bottom"/>
          </w:tcPr>
          <w:p w14:paraId="3BD5C7DA"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83" w:type="pct"/>
            <w:vAlign w:val="bottom"/>
          </w:tcPr>
          <w:p w14:paraId="1360CF84"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356" w:type="pct"/>
            <w:vAlign w:val="bottom"/>
          </w:tcPr>
          <w:p w14:paraId="0405B2DB"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c>
          <w:tcPr>
            <w:tcW w:w="221" w:type="pct"/>
            <w:vAlign w:val="bottom"/>
          </w:tcPr>
          <w:p w14:paraId="69AB1C00" w14:textId="77777777" w:rsidR="00E74D2B" w:rsidRPr="00E7649F" w:rsidRDefault="00E74D2B" w:rsidP="00400DD1">
            <w:pPr>
              <w:spacing w:line="241" w:lineRule="auto"/>
              <w:ind w:left="85" w:right="85"/>
              <w:jc w:val="left"/>
              <w:rPr>
                <w:rFonts w:asciiTheme="minorBidi" w:hAnsiTheme="minorBidi" w:cstheme="minorBidi"/>
                <w:b/>
                <w:bCs/>
                <w:sz w:val="16"/>
                <w:szCs w:val="16"/>
                <w:rtl/>
              </w:rPr>
            </w:pPr>
            <w:r w:rsidRPr="00E7649F">
              <w:rPr>
                <w:rFonts w:asciiTheme="minorBidi" w:hAnsiTheme="minorBidi" w:cstheme="minorBidi"/>
                <w:b/>
                <w:bCs/>
                <w:sz w:val="16"/>
                <w:szCs w:val="16"/>
                <w:rtl/>
              </w:rPr>
              <w:t xml:space="preserve"> 0</w:t>
            </w:r>
          </w:p>
        </w:tc>
      </w:tr>
      <w:tr w:rsidR="00E74D2B" w:rsidRPr="00106758" w14:paraId="69B24C5E" w14:textId="77777777" w:rsidTr="00400DD1">
        <w:tc>
          <w:tcPr>
            <w:tcW w:w="950" w:type="pct"/>
            <w:vAlign w:val="bottom"/>
          </w:tcPr>
          <w:p w14:paraId="09D00FB7" w14:textId="77777777" w:rsidR="00E74D2B" w:rsidRPr="003E6CF5" w:rsidRDefault="00E74D2B" w:rsidP="00400DD1">
            <w:pPr>
              <w:spacing w:line="241" w:lineRule="auto"/>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 xml:space="preserve">חלקו של התאגיד הבנקאי </w:t>
            </w:r>
            <w:r>
              <w:rPr>
                <w:rFonts w:asciiTheme="minorBidi" w:hAnsiTheme="minorBidi" w:cstheme="minorBidi" w:hint="cs"/>
                <w:color w:val="000000"/>
                <w:sz w:val="16"/>
                <w:szCs w:val="16"/>
                <w:rtl/>
                <w:lang w:eastAsia="he-IL"/>
              </w:rPr>
              <w:t>ב</w:t>
            </w:r>
            <w:r w:rsidRPr="003E6CF5">
              <w:rPr>
                <w:rFonts w:asciiTheme="minorBidi" w:hAnsiTheme="minorBidi" w:cstheme="minorBidi"/>
                <w:color w:val="000000"/>
                <w:sz w:val="16"/>
                <w:szCs w:val="16"/>
                <w:rtl/>
                <w:lang w:eastAsia="he-IL"/>
              </w:rPr>
              <w:t xml:space="preserve">רווחים של חברות כלולות </w:t>
            </w:r>
          </w:p>
        </w:tc>
        <w:tc>
          <w:tcPr>
            <w:tcW w:w="264" w:type="pct"/>
            <w:vAlign w:val="bottom"/>
          </w:tcPr>
          <w:p w14:paraId="0DF79B47"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4" w:type="pct"/>
            <w:vAlign w:val="bottom"/>
          </w:tcPr>
          <w:p w14:paraId="6F0CA451"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7" w:type="pct"/>
            <w:vAlign w:val="bottom"/>
          </w:tcPr>
          <w:p w14:paraId="5308BA1A"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8" w:type="pct"/>
            <w:vAlign w:val="bottom"/>
          </w:tcPr>
          <w:p w14:paraId="10D848E5"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17" w:type="pct"/>
            <w:vAlign w:val="bottom"/>
          </w:tcPr>
          <w:p w14:paraId="54713DAD"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27" w:type="pct"/>
            <w:vAlign w:val="bottom"/>
          </w:tcPr>
          <w:p w14:paraId="1757F070"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94" w:type="pct"/>
            <w:vAlign w:val="bottom"/>
          </w:tcPr>
          <w:p w14:paraId="23AFC351"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45" w:type="pct"/>
            <w:gridSpan w:val="2"/>
            <w:vAlign w:val="bottom"/>
          </w:tcPr>
          <w:p w14:paraId="28E4D0F8"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64" w:type="pct"/>
            <w:vAlign w:val="bottom"/>
          </w:tcPr>
          <w:p w14:paraId="6D318C10"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30" w:type="pct"/>
            <w:vAlign w:val="bottom"/>
          </w:tcPr>
          <w:p w14:paraId="20D73714"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83" w:type="pct"/>
            <w:vAlign w:val="bottom"/>
          </w:tcPr>
          <w:p w14:paraId="7B68B814"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356" w:type="pct"/>
            <w:vAlign w:val="bottom"/>
          </w:tcPr>
          <w:p w14:paraId="7B6AD1D8"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c>
          <w:tcPr>
            <w:tcW w:w="221" w:type="pct"/>
            <w:vAlign w:val="bottom"/>
          </w:tcPr>
          <w:p w14:paraId="4C0151F7"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 xml:space="preserve"> 0</w:t>
            </w:r>
          </w:p>
        </w:tc>
      </w:tr>
      <w:tr w:rsidR="00E74D2B" w:rsidRPr="00106758" w14:paraId="57BEAD47" w14:textId="77777777" w:rsidTr="00400DD1">
        <w:tc>
          <w:tcPr>
            <w:tcW w:w="950" w:type="pct"/>
            <w:vAlign w:val="bottom"/>
          </w:tcPr>
          <w:p w14:paraId="7828919B" w14:textId="77777777" w:rsidR="00E74D2B" w:rsidRPr="003E6CF5" w:rsidRDefault="00E74D2B" w:rsidP="00400DD1">
            <w:pPr>
              <w:spacing w:line="241" w:lineRule="auto"/>
              <w:jc w:val="left"/>
              <w:rPr>
                <w:color w:val="000000"/>
                <w:sz w:val="16"/>
                <w:szCs w:val="16"/>
                <w:rtl/>
                <w:lang w:eastAsia="he-IL"/>
              </w:rPr>
            </w:pPr>
            <w:r w:rsidRPr="003E6CF5">
              <w:rPr>
                <w:rFonts w:hint="eastAsia"/>
                <w:color w:val="000000"/>
                <w:sz w:val="16"/>
                <w:szCs w:val="16"/>
                <w:rtl/>
                <w:lang w:eastAsia="he-IL"/>
              </w:rPr>
              <w:t>רווח</w:t>
            </w:r>
            <w:r w:rsidRPr="003E6CF5">
              <w:rPr>
                <w:color w:val="000000"/>
                <w:sz w:val="16"/>
                <w:szCs w:val="16"/>
                <w:rtl/>
                <w:lang w:eastAsia="he-IL"/>
              </w:rPr>
              <w:t xml:space="preserve"> </w:t>
            </w:r>
            <w:r w:rsidRPr="003E6CF5">
              <w:rPr>
                <w:rFonts w:hint="eastAsia"/>
                <w:color w:val="000000"/>
                <w:sz w:val="16"/>
                <w:szCs w:val="16"/>
                <w:rtl/>
                <w:lang w:eastAsia="he-IL"/>
              </w:rPr>
              <w:t>נקי</w:t>
            </w:r>
            <w:r w:rsidRPr="003E6CF5">
              <w:rPr>
                <w:color w:val="000000"/>
                <w:sz w:val="16"/>
                <w:szCs w:val="16"/>
                <w:rtl/>
                <w:lang w:eastAsia="he-IL"/>
              </w:rPr>
              <w:t xml:space="preserve"> </w:t>
            </w:r>
            <w:r w:rsidRPr="003E6CF5">
              <w:rPr>
                <w:rFonts w:hint="eastAsia"/>
                <w:color w:val="000000"/>
                <w:sz w:val="16"/>
                <w:szCs w:val="16"/>
                <w:rtl/>
                <w:lang w:eastAsia="he-IL"/>
              </w:rPr>
              <w:t>לפני</w:t>
            </w:r>
            <w:r w:rsidRPr="003E6CF5">
              <w:rPr>
                <w:color w:val="000000"/>
                <w:sz w:val="16"/>
                <w:szCs w:val="16"/>
                <w:rtl/>
                <w:lang w:eastAsia="he-IL"/>
              </w:rPr>
              <w:t xml:space="preserve"> </w:t>
            </w:r>
            <w:r w:rsidRPr="003E6CF5">
              <w:rPr>
                <w:rFonts w:hint="eastAsia"/>
                <w:color w:val="000000"/>
                <w:sz w:val="16"/>
                <w:szCs w:val="16"/>
                <w:rtl/>
                <w:lang w:eastAsia="he-IL"/>
              </w:rPr>
              <w:t>ייחוס</w:t>
            </w:r>
            <w:r w:rsidRPr="003E6CF5">
              <w:rPr>
                <w:color w:val="000000"/>
                <w:sz w:val="16"/>
                <w:szCs w:val="16"/>
                <w:rtl/>
                <w:lang w:eastAsia="he-IL"/>
              </w:rPr>
              <w:t xml:space="preserve"> </w:t>
            </w:r>
            <w:r w:rsidRPr="003E6CF5">
              <w:rPr>
                <w:rFonts w:hint="eastAsia"/>
                <w:color w:val="000000"/>
                <w:sz w:val="16"/>
                <w:szCs w:val="16"/>
                <w:rtl/>
                <w:lang w:eastAsia="he-IL"/>
              </w:rPr>
              <w:t>לבעלי</w:t>
            </w:r>
            <w:r w:rsidRPr="003E6CF5">
              <w:rPr>
                <w:color w:val="000000"/>
                <w:sz w:val="16"/>
                <w:szCs w:val="16"/>
                <w:rtl/>
                <w:lang w:eastAsia="he-IL"/>
              </w:rPr>
              <w:t xml:space="preserve"> </w:t>
            </w:r>
            <w:r w:rsidRPr="003E6CF5">
              <w:rPr>
                <w:rFonts w:hint="eastAsia"/>
                <w:color w:val="000000"/>
                <w:sz w:val="16"/>
                <w:szCs w:val="16"/>
                <w:rtl/>
                <w:lang w:eastAsia="he-IL"/>
              </w:rPr>
              <w:t>זכויות</w:t>
            </w:r>
            <w:r w:rsidRPr="003E6CF5">
              <w:rPr>
                <w:color w:val="000000"/>
                <w:sz w:val="16"/>
                <w:szCs w:val="16"/>
                <w:rtl/>
                <w:lang w:eastAsia="he-IL"/>
              </w:rPr>
              <w:t xml:space="preserve"> </w:t>
            </w:r>
            <w:r w:rsidRPr="003E6CF5">
              <w:rPr>
                <w:rFonts w:hint="eastAsia"/>
                <w:color w:val="000000"/>
                <w:sz w:val="16"/>
                <w:szCs w:val="16"/>
                <w:rtl/>
                <w:lang w:eastAsia="he-IL"/>
              </w:rPr>
              <w:t>שאינן</w:t>
            </w:r>
            <w:r w:rsidRPr="003E6CF5">
              <w:rPr>
                <w:color w:val="000000"/>
                <w:sz w:val="16"/>
                <w:szCs w:val="16"/>
                <w:rtl/>
                <w:lang w:eastAsia="he-IL"/>
              </w:rPr>
              <w:t xml:space="preserve"> </w:t>
            </w:r>
            <w:r w:rsidRPr="003E6CF5">
              <w:rPr>
                <w:rFonts w:hint="eastAsia"/>
                <w:color w:val="000000"/>
                <w:sz w:val="16"/>
                <w:szCs w:val="16"/>
                <w:rtl/>
                <w:lang w:eastAsia="he-IL"/>
              </w:rPr>
              <w:t>מקנות</w:t>
            </w:r>
            <w:r w:rsidRPr="003E6CF5">
              <w:rPr>
                <w:color w:val="000000"/>
                <w:sz w:val="16"/>
                <w:szCs w:val="16"/>
                <w:rtl/>
                <w:lang w:eastAsia="he-IL"/>
              </w:rPr>
              <w:t xml:space="preserve"> </w:t>
            </w:r>
            <w:r w:rsidRPr="003E6CF5">
              <w:rPr>
                <w:rFonts w:hint="eastAsia"/>
                <w:color w:val="000000"/>
                <w:sz w:val="16"/>
                <w:szCs w:val="16"/>
                <w:rtl/>
                <w:lang w:eastAsia="he-IL"/>
              </w:rPr>
              <w:t>שליטה</w:t>
            </w:r>
          </w:p>
        </w:tc>
        <w:tc>
          <w:tcPr>
            <w:tcW w:w="264" w:type="pct"/>
            <w:vAlign w:val="bottom"/>
          </w:tcPr>
          <w:p w14:paraId="4766D0E2" w14:textId="77777777" w:rsidR="00E74D2B" w:rsidRPr="00427850" w:rsidRDefault="00E74D2B" w:rsidP="00400DD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324" w:type="pct"/>
            <w:vAlign w:val="bottom"/>
          </w:tcPr>
          <w:p w14:paraId="4E684564" w14:textId="77777777" w:rsidR="00E74D2B" w:rsidRPr="00427850" w:rsidRDefault="00E74D2B" w:rsidP="00400DD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297" w:type="pct"/>
            <w:vAlign w:val="bottom"/>
          </w:tcPr>
          <w:p w14:paraId="113AFE9F" w14:textId="77777777" w:rsidR="00E74D2B" w:rsidRPr="00427850" w:rsidRDefault="00E74D2B" w:rsidP="00400DD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328" w:type="pct"/>
            <w:vAlign w:val="bottom"/>
          </w:tcPr>
          <w:p w14:paraId="1F46E5D1" w14:textId="77777777" w:rsidR="00E74D2B" w:rsidRPr="00427850" w:rsidRDefault="00E74D2B" w:rsidP="00400DD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317" w:type="pct"/>
            <w:vAlign w:val="bottom"/>
          </w:tcPr>
          <w:p w14:paraId="7DEB4469" w14:textId="77777777" w:rsidR="00E74D2B" w:rsidRPr="00427850" w:rsidRDefault="00E74D2B" w:rsidP="00400DD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327" w:type="pct"/>
            <w:vAlign w:val="bottom"/>
          </w:tcPr>
          <w:p w14:paraId="45AC66E8" w14:textId="77777777" w:rsidR="00E74D2B" w:rsidRPr="00427850" w:rsidRDefault="00E74D2B" w:rsidP="00400DD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294" w:type="pct"/>
            <w:vAlign w:val="bottom"/>
          </w:tcPr>
          <w:p w14:paraId="01F4A861" w14:textId="77777777" w:rsidR="00E74D2B" w:rsidRPr="00427850" w:rsidRDefault="00E74D2B" w:rsidP="00400DD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345" w:type="pct"/>
            <w:gridSpan w:val="2"/>
            <w:vAlign w:val="bottom"/>
          </w:tcPr>
          <w:p w14:paraId="21EC3967" w14:textId="77777777" w:rsidR="00E74D2B" w:rsidRPr="00427850" w:rsidRDefault="00E74D2B" w:rsidP="00400DD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364" w:type="pct"/>
            <w:vAlign w:val="bottom"/>
          </w:tcPr>
          <w:p w14:paraId="7E62E5AE" w14:textId="77777777" w:rsidR="00E74D2B" w:rsidRPr="00427850" w:rsidRDefault="00E74D2B" w:rsidP="00400DD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230" w:type="pct"/>
            <w:vAlign w:val="bottom"/>
          </w:tcPr>
          <w:p w14:paraId="33123D12" w14:textId="77777777" w:rsidR="00E74D2B" w:rsidRPr="00427850" w:rsidRDefault="00E74D2B" w:rsidP="00400DD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383" w:type="pct"/>
            <w:vAlign w:val="bottom"/>
          </w:tcPr>
          <w:p w14:paraId="5DBDB4ED" w14:textId="77777777" w:rsidR="00E74D2B" w:rsidRPr="00427850" w:rsidRDefault="00E74D2B" w:rsidP="00400DD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356" w:type="pct"/>
            <w:vAlign w:val="bottom"/>
          </w:tcPr>
          <w:p w14:paraId="51D2DCAF" w14:textId="77777777" w:rsidR="00E74D2B" w:rsidRPr="00427850" w:rsidRDefault="00E74D2B" w:rsidP="00400DD1">
            <w:pPr>
              <w:spacing w:line="241" w:lineRule="auto"/>
              <w:ind w:left="85" w:right="85"/>
              <w:jc w:val="left"/>
              <w:rPr>
                <w:sz w:val="16"/>
                <w:szCs w:val="16"/>
                <w:rtl/>
              </w:rPr>
            </w:pPr>
            <w:r w:rsidRPr="00427850">
              <w:rPr>
                <w:rFonts w:hint="cs"/>
                <w:sz w:val="16"/>
                <w:szCs w:val="16"/>
                <w:rtl/>
              </w:rPr>
              <w:t xml:space="preserve"> </w:t>
            </w:r>
            <w:r w:rsidRPr="00427850">
              <w:rPr>
                <w:sz w:val="16"/>
                <w:szCs w:val="16"/>
                <w:rtl/>
              </w:rPr>
              <w:t>0</w:t>
            </w:r>
          </w:p>
        </w:tc>
        <w:tc>
          <w:tcPr>
            <w:tcW w:w="221" w:type="pct"/>
            <w:vAlign w:val="bottom"/>
          </w:tcPr>
          <w:p w14:paraId="216917B1" w14:textId="77777777" w:rsidR="00E74D2B" w:rsidRPr="00427850" w:rsidRDefault="00E74D2B" w:rsidP="00400DD1">
            <w:pPr>
              <w:spacing w:line="241" w:lineRule="auto"/>
              <w:ind w:left="85" w:right="85"/>
              <w:jc w:val="left"/>
              <w:rPr>
                <w:sz w:val="16"/>
                <w:szCs w:val="16"/>
                <w:rtl/>
              </w:rPr>
            </w:pPr>
            <w:r w:rsidRPr="00427850">
              <w:rPr>
                <w:rFonts w:hint="cs"/>
                <w:sz w:val="16"/>
                <w:szCs w:val="16"/>
                <w:rtl/>
              </w:rPr>
              <w:t xml:space="preserve"> 0</w:t>
            </w:r>
          </w:p>
        </w:tc>
      </w:tr>
      <w:tr w:rsidR="00E74D2B" w14:paraId="468EE74B" w14:textId="77777777" w:rsidTr="00400DD1">
        <w:tc>
          <w:tcPr>
            <w:tcW w:w="950" w:type="pct"/>
            <w:vAlign w:val="bottom"/>
          </w:tcPr>
          <w:p w14:paraId="490A5DAD" w14:textId="77777777" w:rsidR="00E74D2B" w:rsidRPr="003E6CF5" w:rsidRDefault="00E74D2B" w:rsidP="00400DD1">
            <w:pPr>
              <w:spacing w:line="241" w:lineRule="auto"/>
              <w:jc w:val="left"/>
              <w:rPr>
                <w:color w:val="000000"/>
                <w:sz w:val="16"/>
                <w:szCs w:val="16"/>
                <w:rtl/>
                <w:lang w:eastAsia="he-IL"/>
              </w:rPr>
            </w:pPr>
            <w:r w:rsidRPr="003E6CF5">
              <w:rPr>
                <w:rFonts w:hint="eastAsia"/>
                <w:color w:val="000000"/>
                <w:sz w:val="16"/>
                <w:szCs w:val="16"/>
                <w:rtl/>
                <w:lang w:eastAsia="he-IL"/>
              </w:rPr>
              <w:t>רווח</w:t>
            </w:r>
            <w:r w:rsidRPr="003E6CF5">
              <w:rPr>
                <w:color w:val="000000"/>
                <w:sz w:val="16"/>
                <w:szCs w:val="16"/>
                <w:rtl/>
                <w:lang w:eastAsia="he-IL"/>
              </w:rPr>
              <w:t xml:space="preserve"> </w:t>
            </w:r>
            <w:r w:rsidRPr="003E6CF5">
              <w:rPr>
                <w:rFonts w:hint="eastAsia"/>
                <w:color w:val="000000"/>
                <w:sz w:val="16"/>
                <w:szCs w:val="16"/>
                <w:rtl/>
                <w:lang w:eastAsia="he-IL"/>
              </w:rPr>
              <w:t>נקי</w:t>
            </w:r>
            <w:r w:rsidRPr="003E6CF5">
              <w:rPr>
                <w:color w:val="000000"/>
                <w:sz w:val="16"/>
                <w:szCs w:val="16"/>
                <w:rtl/>
                <w:lang w:eastAsia="he-IL"/>
              </w:rPr>
              <w:t xml:space="preserve"> </w:t>
            </w:r>
            <w:r w:rsidRPr="003E6CF5">
              <w:rPr>
                <w:rFonts w:hint="eastAsia"/>
                <w:color w:val="000000"/>
                <w:sz w:val="16"/>
                <w:szCs w:val="16"/>
                <w:rtl/>
                <w:lang w:eastAsia="he-IL"/>
              </w:rPr>
              <w:t>המיוחס</w:t>
            </w:r>
            <w:r w:rsidRPr="003E6CF5">
              <w:rPr>
                <w:color w:val="000000"/>
                <w:sz w:val="16"/>
                <w:szCs w:val="16"/>
                <w:rtl/>
                <w:lang w:eastAsia="he-IL"/>
              </w:rPr>
              <w:t xml:space="preserve"> </w:t>
            </w:r>
            <w:r w:rsidRPr="003E6CF5">
              <w:rPr>
                <w:rFonts w:hint="eastAsia"/>
                <w:color w:val="000000"/>
                <w:sz w:val="16"/>
                <w:szCs w:val="16"/>
                <w:rtl/>
                <w:lang w:eastAsia="he-IL"/>
              </w:rPr>
              <w:t>לבעלי</w:t>
            </w:r>
            <w:r w:rsidRPr="003E6CF5">
              <w:rPr>
                <w:color w:val="000000"/>
                <w:sz w:val="16"/>
                <w:szCs w:val="16"/>
                <w:rtl/>
                <w:lang w:eastAsia="he-IL"/>
              </w:rPr>
              <w:t xml:space="preserve"> </w:t>
            </w:r>
            <w:r w:rsidRPr="003E6CF5">
              <w:rPr>
                <w:rFonts w:hint="eastAsia"/>
                <w:color w:val="000000"/>
                <w:sz w:val="16"/>
                <w:szCs w:val="16"/>
                <w:rtl/>
                <w:lang w:eastAsia="he-IL"/>
              </w:rPr>
              <w:t>זכויות</w:t>
            </w:r>
            <w:r w:rsidRPr="003E6CF5">
              <w:rPr>
                <w:color w:val="000000"/>
                <w:sz w:val="16"/>
                <w:szCs w:val="16"/>
                <w:rtl/>
                <w:lang w:eastAsia="he-IL"/>
              </w:rPr>
              <w:t xml:space="preserve"> </w:t>
            </w:r>
            <w:r w:rsidRPr="003E6CF5">
              <w:rPr>
                <w:rFonts w:hint="eastAsia"/>
                <w:color w:val="000000"/>
                <w:sz w:val="16"/>
                <w:szCs w:val="16"/>
                <w:rtl/>
                <w:lang w:eastAsia="he-IL"/>
              </w:rPr>
              <w:t>שאינן</w:t>
            </w:r>
            <w:r w:rsidRPr="003E6CF5">
              <w:rPr>
                <w:color w:val="000000"/>
                <w:sz w:val="16"/>
                <w:szCs w:val="16"/>
                <w:rtl/>
                <w:lang w:eastAsia="he-IL"/>
              </w:rPr>
              <w:t xml:space="preserve"> </w:t>
            </w:r>
            <w:r w:rsidRPr="003E6CF5">
              <w:rPr>
                <w:rFonts w:hint="eastAsia"/>
                <w:color w:val="000000"/>
                <w:sz w:val="16"/>
                <w:szCs w:val="16"/>
                <w:rtl/>
                <w:lang w:eastAsia="he-IL"/>
              </w:rPr>
              <w:t>מקנות</w:t>
            </w:r>
            <w:r w:rsidRPr="003E6CF5">
              <w:rPr>
                <w:color w:val="000000"/>
                <w:sz w:val="16"/>
                <w:szCs w:val="16"/>
                <w:rtl/>
                <w:lang w:eastAsia="he-IL"/>
              </w:rPr>
              <w:t xml:space="preserve"> </w:t>
            </w:r>
            <w:r w:rsidRPr="003E6CF5">
              <w:rPr>
                <w:rFonts w:hint="eastAsia"/>
                <w:color w:val="000000"/>
                <w:sz w:val="16"/>
                <w:szCs w:val="16"/>
                <w:rtl/>
                <w:lang w:eastAsia="he-IL"/>
              </w:rPr>
              <w:t>שליטה</w:t>
            </w:r>
          </w:p>
        </w:tc>
        <w:tc>
          <w:tcPr>
            <w:tcW w:w="264" w:type="pct"/>
            <w:vAlign w:val="bottom"/>
          </w:tcPr>
          <w:p w14:paraId="2DB88A5E" w14:textId="77777777" w:rsidR="00E74D2B" w:rsidRPr="00427850" w:rsidRDefault="00E74D2B" w:rsidP="00400DD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324" w:type="pct"/>
            <w:vAlign w:val="bottom"/>
          </w:tcPr>
          <w:p w14:paraId="1BA10DCB" w14:textId="77777777" w:rsidR="00E74D2B" w:rsidRPr="00427850" w:rsidRDefault="00E74D2B" w:rsidP="00400DD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297" w:type="pct"/>
            <w:vAlign w:val="bottom"/>
          </w:tcPr>
          <w:p w14:paraId="0C9AEFD4" w14:textId="77777777" w:rsidR="00E74D2B" w:rsidRPr="00427850" w:rsidRDefault="00E74D2B" w:rsidP="00400DD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328" w:type="pct"/>
            <w:vAlign w:val="bottom"/>
          </w:tcPr>
          <w:p w14:paraId="2EEF4BA5" w14:textId="77777777" w:rsidR="00E74D2B" w:rsidRPr="00427850" w:rsidRDefault="00E74D2B" w:rsidP="00400DD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317" w:type="pct"/>
            <w:vAlign w:val="bottom"/>
          </w:tcPr>
          <w:p w14:paraId="2D35B230" w14:textId="77777777" w:rsidR="00E74D2B" w:rsidRPr="00427850" w:rsidRDefault="00E74D2B" w:rsidP="00400DD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327" w:type="pct"/>
            <w:vAlign w:val="bottom"/>
          </w:tcPr>
          <w:p w14:paraId="0001AC97" w14:textId="77777777" w:rsidR="00E74D2B" w:rsidRPr="00427850" w:rsidRDefault="00E74D2B" w:rsidP="00400DD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294" w:type="pct"/>
            <w:vAlign w:val="bottom"/>
          </w:tcPr>
          <w:p w14:paraId="5B46C577" w14:textId="77777777" w:rsidR="00E74D2B" w:rsidRPr="00427850" w:rsidRDefault="00E74D2B" w:rsidP="00400DD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345" w:type="pct"/>
            <w:gridSpan w:val="2"/>
            <w:vAlign w:val="bottom"/>
          </w:tcPr>
          <w:p w14:paraId="4512514E" w14:textId="77777777" w:rsidR="00E74D2B" w:rsidRPr="00427850" w:rsidRDefault="00E74D2B" w:rsidP="00400DD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364" w:type="pct"/>
            <w:vAlign w:val="bottom"/>
          </w:tcPr>
          <w:p w14:paraId="6AC5F453" w14:textId="77777777" w:rsidR="00E74D2B" w:rsidRPr="00427850" w:rsidRDefault="00E74D2B" w:rsidP="00400DD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230" w:type="pct"/>
            <w:vAlign w:val="bottom"/>
          </w:tcPr>
          <w:p w14:paraId="473B0FEF" w14:textId="77777777" w:rsidR="00E74D2B" w:rsidRPr="00427850" w:rsidRDefault="00E74D2B" w:rsidP="00400DD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383" w:type="pct"/>
            <w:vAlign w:val="bottom"/>
          </w:tcPr>
          <w:p w14:paraId="3FDF205C" w14:textId="77777777" w:rsidR="00E74D2B" w:rsidRPr="00427850" w:rsidRDefault="00E74D2B" w:rsidP="00400DD1">
            <w:pPr>
              <w:pBdr>
                <w:bottom w:val="single" w:sz="4" w:space="1" w:color="auto"/>
              </w:pBdr>
              <w:spacing w:line="241" w:lineRule="auto"/>
              <w:ind w:left="85" w:right="85"/>
              <w:jc w:val="left"/>
              <w:rPr>
                <w:sz w:val="16"/>
                <w:szCs w:val="16"/>
                <w:rtl/>
              </w:rPr>
            </w:pPr>
            <w:r w:rsidRPr="00427850">
              <w:rPr>
                <w:rFonts w:hint="cs"/>
                <w:sz w:val="16"/>
                <w:szCs w:val="16"/>
                <w:rtl/>
              </w:rPr>
              <w:t>(</w:t>
            </w:r>
            <w:r w:rsidRPr="00427850">
              <w:rPr>
                <w:sz w:val="16"/>
                <w:szCs w:val="16"/>
                <w:rtl/>
              </w:rPr>
              <w:t>0</w:t>
            </w:r>
            <w:r w:rsidRPr="00427850">
              <w:rPr>
                <w:rFonts w:hint="cs"/>
                <w:sz w:val="16"/>
                <w:szCs w:val="16"/>
                <w:rtl/>
              </w:rPr>
              <w:t>)</w:t>
            </w:r>
          </w:p>
        </w:tc>
        <w:tc>
          <w:tcPr>
            <w:tcW w:w="356" w:type="pct"/>
            <w:vAlign w:val="bottom"/>
          </w:tcPr>
          <w:p w14:paraId="6DE94FC5" w14:textId="77777777" w:rsidR="00E74D2B" w:rsidRPr="00427850" w:rsidRDefault="00E74D2B" w:rsidP="00400DD1">
            <w:pPr>
              <w:pBdr>
                <w:bottom w:val="single" w:sz="4" w:space="1" w:color="auto"/>
              </w:pBdr>
              <w:spacing w:line="241" w:lineRule="auto"/>
              <w:ind w:left="85" w:right="85"/>
              <w:jc w:val="left"/>
              <w:rPr>
                <w:sz w:val="16"/>
                <w:szCs w:val="16"/>
                <w:rtl/>
              </w:rPr>
            </w:pPr>
            <w:r w:rsidRPr="00427850">
              <w:rPr>
                <w:rFonts w:hint="cs"/>
                <w:sz w:val="16"/>
                <w:szCs w:val="16"/>
                <w:rtl/>
              </w:rPr>
              <w:t>(0)</w:t>
            </w:r>
          </w:p>
        </w:tc>
        <w:tc>
          <w:tcPr>
            <w:tcW w:w="221" w:type="pct"/>
            <w:vAlign w:val="bottom"/>
          </w:tcPr>
          <w:p w14:paraId="2AA63D6A" w14:textId="77777777" w:rsidR="00E74D2B" w:rsidRPr="00427850" w:rsidRDefault="00E74D2B" w:rsidP="00400DD1">
            <w:pPr>
              <w:pBdr>
                <w:bottom w:val="single" w:sz="4" w:space="1" w:color="auto"/>
              </w:pBdr>
              <w:spacing w:line="241" w:lineRule="auto"/>
              <w:ind w:left="85" w:right="85"/>
              <w:jc w:val="left"/>
              <w:rPr>
                <w:sz w:val="16"/>
                <w:szCs w:val="16"/>
                <w:rtl/>
              </w:rPr>
            </w:pPr>
            <w:r w:rsidRPr="00427850">
              <w:rPr>
                <w:rFonts w:hint="cs"/>
                <w:sz w:val="16"/>
                <w:szCs w:val="16"/>
                <w:rtl/>
              </w:rPr>
              <w:t>(0)</w:t>
            </w:r>
          </w:p>
        </w:tc>
      </w:tr>
      <w:tr w:rsidR="00E74D2B" w14:paraId="721CDF95" w14:textId="77777777" w:rsidTr="00400DD1">
        <w:tc>
          <w:tcPr>
            <w:tcW w:w="950" w:type="pct"/>
            <w:vAlign w:val="bottom"/>
          </w:tcPr>
          <w:p w14:paraId="734C15A3" w14:textId="77777777" w:rsidR="00E74D2B" w:rsidRPr="003E6CF5" w:rsidRDefault="00E74D2B" w:rsidP="00400DD1">
            <w:pPr>
              <w:spacing w:line="241" w:lineRule="auto"/>
              <w:jc w:val="left"/>
              <w:rPr>
                <w:b/>
                <w:bCs/>
                <w:color w:val="000000"/>
                <w:sz w:val="16"/>
                <w:szCs w:val="16"/>
                <w:rtl/>
                <w:lang w:eastAsia="he-IL"/>
              </w:rPr>
            </w:pPr>
            <w:r w:rsidRPr="003E6CF5">
              <w:rPr>
                <w:rFonts w:hint="eastAsia"/>
                <w:b/>
                <w:bCs/>
                <w:color w:val="000000"/>
                <w:sz w:val="16"/>
                <w:szCs w:val="16"/>
                <w:rtl/>
                <w:lang w:eastAsia="he-IL"/>
              </w:rPr>
              <w:t>רווח</w:t>
            </w:r>
            <w:r w:rsidRPr="003E6CF5">
              <w:rPr>
                <w:b/>
                <w:bCs/>
                <w:color w:val="000000"/>
                <w:sz w:val="16"/>
                <w:szCs w:val="16"/>
                <w:rtl/>
                <w:lang w:eastAsia="he-IL"/>
              </w:rPr>
              <w:t xml:space="preserve"> </w:t>
            </w:r>
            <w:r w:rsidRPr="003E6CF5">
              <w:rPr>
                <w:rFonts w:hint="eastAsia"/>
                <w:b/>
                <w:bCs/>
                <w:color w:val="000000"/>
                <w:sz w:val="16"/>
                <w:szCs w:val="16"/>
                <w:rtl/>
                <w:lang w:eastAsia="he-IL"/>
              </w:rPr>
              <w:t>נקי</w:t>
            </w:r>
            <w:r w:rsidRPr="003E6CF5">
              <w:rPr>
                <w:b/>
                <w:bCs/>
                <w:color w:val="000000"/>
                <w:sz w:val="16"/>
                <w:szCs w:val="16"/>
                <w:rtl/>
                <w:lang w:eastAsia="he-IL"/>
              </w:rPr>
              <w:t xml:space="preserve"> </w:t>
            </w:r>
            <w:r w:rsidRPr="003E6CF5">
              <w:rPr>
                <w:rFonts w:hint="eastAsia"/>
                <w:b/>
                <w:bCs/>
                <w:color w:val="000000"/>
                <w:sz w:val="16"/>
                <w:szCs w:val="16"/>
                <w:rtl/>
                <w:lang w:eastAsia="he-IL"/>
              </w:rPr>
              <w:t>המיוחס</w:t>
            </w:r>
            <w:r w:rsidRPr="003E6CF5">
              <w:rPr>
                <w:b/>
                <w:bCs/>
                <w:color w:val="000000"/>
                <w:sz w:val="16"/>
                <w:szCs w:val="16"/>
                <w:rtl/>
                <w:lang w:eastAsia="he-IL"/>
              </w:rPr>
              <w:t xml:space="preserve"> </w:t>
            </w:r>
            <w:r w:rsidRPr="003E6CF5">
              <w:rPr>
                <w:rFonts w:hint="eastAsia"/>
                <w:b/>
                <w:bCs/>
                <w:color w:val="000000"/>
                <w:sz w:val="16"/>
                <w:szCs w:val="16"/>
                <w:rtl/>
                <w:lang w:eastAsia="he-IL"/>
              </w:rPr>
              <w:t>לבעלי</w:t>
            </w:r>
            <w:r w:rsidRPr="003E6CF5">
              <w:rPr>
                <w:b/>
                <w:bCs/>
                <w:color w:val="000000"/>
                <w:sz w:val="16"/>
                <w:szCs w:val="16"/>
                <w:rtl/>
                <w:lang w:eastAsia="he-IL"/>
              </w:rPr>
              <w:t xml:space="preserve"> </w:t>
            </w:r>
            <w:r w:rsidRPr="003E6CF5">
              <w:rPr>
                <w:rFonts w:hint="eastAsia"/>
                <w:b/>
                <w:bCs/>
                <w:color w:val="000000"/>
                <w:sz w:val="16"/>
                <w:szCs w:val="16"/>
                <w:rtl/>
                <w:lang w:eastAsia="he-IL"/>
              </w:rPr>
              <w:t>מניות</w:t>
            </w:r>
            <w:r w:rsidRPr="003E6CF5">
              <w:rPr>
                <w:b/>
                <w:bCs/>
                <w:color w:val="000000"/>
                <w:sz w:val="16"/>
                <w:szCs w:val="16"/>
                <w:rtl/>
                <w:lang w:eastAsia="he-IL"/>
              </w:rPr>
              <w:t xml:space="preserve"> </w:t>
            </w:r>
            <w:r w:rsidRPr="003E6CF5">
              <w:rPr>
                <w:rFonts w:hint="eastAsia"/>
                <w:b/>
                <w:bCs/>
                <w:color w:val="000000"/>
                <w:sz w:val="16"/>
                <w:szCs w:val="16"/>
                <w:rtl/>
                <w:lang w:eastAsia="he-IL"/>
              </w:rPr>
              <w:t>התאגיד</w:t>
            </w:r>
            <w:r w:rsidRPr="003E6CF5">
              <w:rPr>
                <w:b/>
                <w:bCs/>
                <w:color w:val="000000"/>
                <w:sz w:val="16"/>
                <w:szCs w:val="16"/>
                <w:rtl/>
                <w:lang w:eastAsia="he-IL"/>
              </w:rPr>
              <w:t xml:space="preserve"> </w:t>
            </w:r>
            <w:r w:rsidRPr="003E6CF5">
              <w:rPr>
                <w:rFonts w:hint="eastAsia"/>
                <w:b/>
                <w:bCs/>
                <w:color w:val="000000"/>
                <w:sz w:val="16"/>
                <w:szCs w:val="16"/>
                <w:rtl/>
                <w:lang w:eastAsia="he-IL"/>
              </w:rPr>
              <w:t>הבנקאי</w:t>
            </w:r>
          </w:p>
        </w:tc>
        <w:tc>
          <w:tcPr>
            <w:tcW w:w="264" w:type="pct"/>
            <w:vAlign w:val="bottom"/>
          </w:tcPr>
          <w:p w14:paraId="48E715E9" w14:textId="77777777" w:rsidR="00E74D2B" w:rsidRPr="00E7649F" w:rsidRDefault="00E74D2B" w:rsidP="00400DD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324" w:type="pct"/>
            <w:vAlign w:val="bottom"/>
          </w:tcPr>
          <w:p w14:paraId="644063AF" w14:textId="77777777" w:rsidR="00E74D2B" w:rsidRPr="00E7649F" w:rsidRDefault="00E74D2B" w:rsidP="00400DD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297" w:type="pct"/>
            <w:vAlign w:val="bottom"/>
          </w:tcPr>
          <w:p w14:paraId="153D1AD3" w14:textId="77777777" w:rsidR="00E74D2B" w:rsidRPr="00E7649F" w:rsidRDefault="00E74D2B" w:rsidP="00400DD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328" w:type="pct"/>
            <w:vAlign w:val="bottom"/>
          </w:tcPr>
          <w:p w14:paraId="643AD9DB" w14:textId="77777777" w:rsidR="00E74D2B" w:rsidRPr="00E7649F" w:rsidRDefault="00E74D2B" w:rsidP="00400DD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317" w:type="pct"/>
            <w:vAlign w:val="bottom"/>
          </w:tcPr>
          <w:p w14:paraId="40C49228" w14:textId="77777777" w:rsidR="00E74D2B" w:rsidRPr="00E7649F" w:rsidRDefault="00E74D2B" w:rsidP="00400DD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327" w:type="pct"/>
            <w:vAlign w:val="bottom"/>
          </w:tcPr>
          <w:p w14:paraId="5027DC13" w14:textId="77777777" w:rsidR="00E74D2B" w:rsidRPr="00E7649F" w:rsidRDefault="00E74D2B" w:rsidP="00400DD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294" w:type="pct"/>
            <w:vAlign w:val="bottom"/>
          </w:tcPr>
          <w:p w14:paraId="2432B30D" w14:textId="77777777" w:rsidR="00E74D2B" w:rsidRPr="00E7649F" w:rsidRDefault="00E74D2B" w:rsidP="00400DD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345" w:type="pct"/>
            <w:gridSpan w:val="2"/>
            <w:vAlign w:val="bottom"/>
          </w:tcPr>
          <w:p w14:paraId="480BADA6" w14:textId="77777777" w:rsidR="00E74D2B" w:rsidRPr="00E7649F" w:rsidRDefault="00E74D2B" w:rsidP="00400DD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364" w:type="pct"/>
            <w:vAlign w:val="bottom"/>
          </w:tcPr>
          <w:p w14:paraId="03118E6D" w14:textId="77777777" w:rsidR="00E74D2B" w:rsidRPr="00E7649F" w:rsidRDefault="00E74D2B" w:rsidP="00400DD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230" w:type="pct"/>
            <w:vAlign w:val="bottom"/>
          </w:tcPr>
          <w:p w14:paraId="5391AC43" w14:textId="77777777" w:rsidR="00E74D2B" w:rsidRPr="00E7649F" w:rsidRDefault="00E74D2B" w:rsidP="00400DD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383" w:type="pct"/>
            <w:vAlign w:val="bottom"/>
          </w:tcPr>
          <w:p w14:paraId="168A56D1" w14:textId="77777777" w:rsidR="00E74D2B" w:rsidRPr="00E7649F" w:rsidRDefault="00E74D2B" w:rsidP="00400DD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356" w:type="pct"/>
            <w:vAlign w:val="bottom"/>
          </w:tcPr>
          <w:p w14:paraId="54315D8D" w14:textId="77777777" w:rsidR="00E74D2B" w:rsidRPr="00E7649F" w:rsidRDefault="00E74D2B" w:rsidP="00400DD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w:t>
            </w:r>
            <w:r w:rsidRPr="00E7649F">
              <w:rPr>
                <w:b/>
                <w:bCs/>
                <w:sz w:val="16"/>
                <w:szCs w:val="16"/>
                <w:rtl/>
              </w:rPr>
              <w:t>0</w:t>
            </w:r>
          </w:p>
        </w:tc>
        <w:tc>
          <w:tcPr>
            <w:tcW w:w="221" w:type="pct"/>
            <w:vAlign w:val="bottom"/>
          </w:tcPr>
          <w:p w14:paraId="04DECAF6" w14:textId="77777777" w:rsidR="00E74D2B" w:rsidRPr="00E7649F" w:rsidRDefault="00E74D2B" w:rsidP="00400DD1">
            <w:pPr>
              <w:pBdr>
                <w:bottom w:val="double" w:sz="4" w:space="1" w:color="auto"/>
              </w:pBdr>
              <w:spacing w:line="241" w:lineRule="auto"/>
              <w:ind w:left="85" w:right="85"/>
              <w:jc w:val="left"/>
              <w:rPr>
                <w:b/>
                <w:bCs/>
                <w:sz w:val="16"/>
                <w:szCs w:val="16"/>
                <w:rtl/>
              </w:rPr>
            </w:pPr>
            <w:r w:rsidRPr="00E7649F">
              <w:rPr>
                <w:rFonts w:hint="cs"/>
                <w:b/>
                <w:bCs/>
                <w:sz w:val="16"/>
                <w:szCs w:val="16"/>
                <w:rtl/>
              </w:rPr>
              <w:t xml:space="preserve"> 0</w:t>
            </w:r>
          </w:p>
        </w:tc>
      </w:tr>
      <w:tr w:rsidR="00E74D2B" w14:paraId="796C3B48" w14:textId="77777777" w:rsidTr="00400DD1">
        <w:tc>
          <w:tcPr>
            <w:tcW w:w="950" w:type="pct"/>
            <w:tcBorders>
              <w:bottom w:val="single" w:sz="8" w:space="0" w:color="auto"/>
            </w:tcBorders>
            <w:vAlign w:val="bottom"/>
          </w:tcPr>
          <w:p w14:paraId="58BA5B60" w14:textId="77777777" w:rsidR="00E74D2B" w:rsidRPr="003E6CF5" w:rsidRDefault="00E74D2B" w:rsidP="00400DD1">
            <w:pPr>
              <w:spacing w:line="241" w:lineRule="auto"/>
              <w:ind w:left="172" w:hanging="171"/>
              <w:jc w:val="left"/>
              <w:rPr>
                <w:b/>
                <w:bCs/>
                <w:color w:val="000000"/>
                <w:sz w:val="16"/>
                <w:szCs w:val="16"/>
                <w:rtl/>
                <w:lang w:eastAsia="he-IL"/>
              </w:rPr>
            </w:pPr>
          </w:p>
        </w:tc>
        <w:tc>
          <w:tcPr>
            <w:tcW w:w="264" w:type="pct"/>
            <w:tcBorders>
              <w:bottom w:val="single" w:sz="8" w:space="0" w:color="auto"/>
            </w:tcBorders>
            <w:vAlign w:val="bottom"/>
          </w:tcPr>
          <w:p w14:paraId="005062A5" w14:textId="77777777" w:rsidR="00E74D2B" w:rsidRPr="00427850" w:rsidRDefault="00E74D2B" w:rsidP="00400DD1">
            <w:pPr>
              <w:spacing w:line="241" w:lineRule="auto"/>
              <w:ind w:left="85" w:right="85"/>
              <w:jc w:val="left"/>
              <w:rPr>
                <w:sz w:val="16"/>
                <w:szCs w:val="16"/>
                <w:rtl/>
              </w:rPr>
            </w:pPr>
          </w:p>
        </w:tc>
        <w:tc>
          <w:tcPr>
            <w:tcW w:w="324" w:type="pct"/>
            <w:tcBorders>
              <w:bottom w:val="single" w:sz="8" w:space="0" w:color="auto"/>
            </w:tcBorders>
            <w:vAlign w:val="bottom"/>
          </w:tcPr>
          <w:p w14:paraId="26E51595" w14:textId="77777777" w:rsidR="00E74D2B" w:rsidRPr="00427850" w:rsidRDefault="00E74D2B" w:rsidP="00400DD1">
            <w:pPr>
              <w:spacing w:line="241" w:lineRule="auto"/>
              <w:ind w:left="85" w:right="85"/>
              <w:jc w:val="left"/>
              <w:rPr>
                <w:sz w:val="16"/>
                <w:szCs w:val="16"/>
                <w:rtl/>
              </w:rPr>
            </w:pPr>
          </w:p>
        </w:tc>
        <w:tc>
          <w:tcPr>
            <w:tcW w:w="297" w:type="pct"/>
            <w:tcBorders>
              <w:bottom w:val="single" w:sz="8" w:space="0" w:color="auto"/>
            </w:tcBorders>
            <w:vAlign w:val="bottom"/>
          </w:tcPr>
          <w:p w14:paraId="3D79AD1A" w14:textId="77777777" w:rsidR="00E74D2B" w:rsidRPr="00427850" w:rsidRDefault="00E74D2B" w:rsidP="00400DD1">
            <w:pPr>
              <w:spacing w:line="241" w:lineRule="auto"/>
              <w:ind w:left="85" w:right="85"/>
              <w:jc w:val="left"/>
              <w:rPr>
                <w:sz w:val="16"/>
                <w:szCs w:val="16"/>
                <w:rtl/>
              </w:rPr>
            </w:pPr>
          </w:p>
        </w:tc>
        <w:tc>
          <w:tcPr>
            <w:tcW w:w="328" w:type="pct"/>
            <w:tcBorders>
              <w:bottom w:val="single" w:sz="8" w:space="0" w:color="auto"/>
            </w:tcBorders>
            <w:vAlign w:val="bottom"/>
          </w:tcPr>
          <w:p w14:paraId="7FF29A9B" w14:textId="77777777" w:rsidR="00E74D2B" w:rsidRPr="00427850" w:rsidRDefault="00E74D2B" w:rsidP="00400DD1">
            <w:pPr>
              <w:spacing w:line="241" w:lineRule="auto"/>
              <w:ind w:left="85" w:right="85"/>
              <w:jc w:val="left"/>
              <w:rPr>
                <w:sz w:val="16"/>
                <w:szCs w:val="16"/>
                <w:rtl/>
              </w:rPr>
            </w:pPr>
          </w:p>
        </w:tc>
        <w:tc>
          <w:tcPr>
            <w:tcW w:w="317" w:type="pct"/>
            <w:tcBorders>
              <w:bottom w:val="single" w:sz="8" w:space="0" w:color="auto"/>
            </w:tcBorders>
            <w:vAlign w:val="bottom"/>
          </w:tcPr>
          <w:p w14:paraId="1922162F" w14:textId="77777777" w:rsidR="00E74D2B" w:rsidRPr="00427850" w:rsidRDefault="00E74D2B" w:rsidP="00400DD1">
            <w:pPr>
              <w:spacing w:line="241" w:lineRule="auto"/>
              <w:ind w:left="85" w:right="85"/>
              <w:jc w:val="left"/>
              <w:rPr>
                <w:sz w:val="16"/>
                <w:szCs w:val="16"/>
                <w:rtl/>
              </w:rPr>
            </w:pPr>
          </w:p>
        </w:tc>
        <w:tc>
          <w:tcPr>
            <w:tcW w:w="327" w:type="pct"/>
            <w:tcBorders>
              <w:bottom w:val="single" w:sz="8" w:space="0" w:color="auto"/>
            </w:tcBorders>
            <w:vAlign w:val="bottom"/>
          </w:tcPr>
          <w:p w14:paraId="4BB9D5E0" w14:textId="77777777" w:rsidR="00E74D2B" w:rsidRPr="00427850" w:rsidRDefault="00E74D2B" w:rsidP="00400DD1">
            <w:pPr>
              <w:spacing w:line="241" w:lineRule="auto"/>
              <w:ind w:left="85" w:right="85"/>
              <w:jc w:val="left"/>
              <w:rPr>
                <w:sz w:val="16"/>
                <w:szCs w:val="16"/>
                <w:rtl/>
              </w:rPr>
            </w:pPr>
          </w:p>
        </w:tc>
        <w:tc>
          <w:tcPr>
            <w:tcW w:w="294" w:type="pct"/>
            <w:tcBorders>
              <w:bottom w:val="single" w:sz="8" w:space="0" w:color="auto"/>
            </w:tcBorders>
            <w:vAlign w:val="bottom"/>
          </w:tcPr>
          <w:p w14:paraId="334ED32F" w14:textId="77777777" w:rsidR="00E74D2B" w:rsidRPr="00427850" w:rsidRDefault="00E74D2B" w:rsidP="00400DD1">
            <w:pPr>
              <w:spacing w:line="241" w:lineRule="auto"/>
              <w:ind w:left="85" w:right="85"/>
              <w:jc w:val="left"/>
              <w:rPr>
                <w:sz w:val="16"/>
                <w:szCs w:val="16"/>
                <w:rtl/>
              </w:rPr>
            </w:pPr>
          </w:p>
        </w:tc>
        <w:tc>
          <w:tcPr>
            <w:tcW w:w="345" w:type="pct"/>
            <w:gridSpan w:val="2"/>
            <w:tcBorders>
              <w:bottom w:val="single" w:sz="8" w:space="0" w:color="auto"/>
            </w:tcBorders>
            <w:vAlign w:val="bottom"/>
          </w:tcPr>
          <w:p w14:paraId="72087F9F" w14:textId="77777777" w:rsidR="00E74D2B" w:rsidRPr="00427850" w:rsidRDefault="00E74D2B" w:rsidP="00400DD1">
            <w:pPr>
              <w:spacing w:line="241" w:lineRule="auto"/>
              <w:ind w:left="85" w:right="85"/>
              <w:jc w:val="left"/>
              <w:rPr>
                <w:sz w:val="16"/>
                <w:szCs w:val="16"/>
                <w:rtl/>
              </w:rPr>
            </w:pPr>
          </w:p>
        </w:tc>
        <w:tc>
          <w:tcPr>
            <w:tcW w:w="364" w:type="pct"/>
            <w:tcBorders>
              <w:bottom w:val="single" w:sz="8" w:space="0" w:color="auto"/>
            </w:tcBorders>
            <w:vAlign w:val="bottom"/>
          </w:tcPr>
          <w:p w14:paraId="4B14F6E4" w14:textId="77777777" w:rsidR="00E74D2B" w:rsidRPr="00427850" w:rsidRDefault="00E74D2B" w:rsidP="00400DD1">
            <w:pPr>
              <w:spacing w:line="241" w:lineRule="auto"/>
              <w:ind w:left="85" w:right="85"/>
              <w:jc w:val="left"/>
              <w:rPr>
                <w:sz w:val="16"/>
                <w:szCs w:val="16"/>
                <w:rtl/>
              </w:rPr>
            </w:pPr>
          </w:p>
        </w:tc>
        <w:tc>
          <w:tcPr>
            <w:tcW w:w="230" w:type="pct"/>
            <w:tcBorders>
              <w:bottom w:val="single" w:sz="8" w:space="0" w:color="auto"/>
            </w:tcBorders>
            <w:vAlign w:val="bottom"/>
          </w:tcPr>
          <w:p w14:paraId="7E5053AE" w14:textId="77777777" w:rsidR="00E74D2B" w:rsidRPr="00427850" w:rsidRDefault="00E74D2B" w:rsidP="00400DD1">
            <w:pPr>
              <w:spacing w:line="241" w:lineRule="auto"/>
              <w:ind w:left="85" w:right="85"/>
              <w:jc w:val="left"/>
              <w:rPr>
                <w:sz w:val="16"/>
                <w:szCs w:val="16"/>
                <w:rtl/>
              </w:rPr>
            </w:pPr>
          </w:p>
        </w:tc>
        <w:tc>
          <w:tcPr>
            <w:tcW w:w="383" w:type="pct"/>
            <w:tcBorders>
              <w:bottom w:val="single" w:sz="8" w:space="0" w:color="auto"/>
            </w:tcBorders>
            <w:vAlign w:val="bottom"/>
          </w:tcPr>
          <w:p w14:paraId="6AA725A8" w14:textId="77777777" w:rsidR="00E74D2B" w:rsidRPr="00427850" w:rsidRDefault="00E74D2B" w:rsidP="00400DD1">
            <w:pPr>
              <w:spacing w:line="241" w:lineRule="auto"/>
              <w:ind w:left="85" w:right="85"/>
              <w:jc w:val="left"/>
              <w:rPr>
                <w:sz w:val="16"/>
                <w:szCs w:val="16"/>
                <w:rtl/>
              </w:rPr>
            </w:pPr>
          </w:p>
        </w:tc>
        <w:tc>
          <w:tcPr>
            <w:tcW w:w="356" w:type="pct"/>
            <w:tcBorders>
              <w:bottom w:val="single" w:sz="8" w:space="0" w:color="auto"/>
            </w:tcBorders>
            <w:vAlign w:val="bottom"/>
          </w:tcPr>
          <w:p w14:paraId="295C8A28" w14:textId="77777777" w:rsidR="00E74D2B" w:rsidRPr="00427850" w:rsidRDefault="00E74D2B" w:rsidP="00400DD1">
            <w:pPr>
              <w:spacing w:line="241" w:lineRule="auto"/>
              <w:ind w:left="85" w:right="85"/>
              <w:jc w:val="left"/>
              <w:rPr>
                <w:sz w:val="16"/>
                <w:szCs w:val="16"/>
                <w:rtl/>
              </w:rPr>
            </w:pPr>
          </w:p>
        </w:tc>
        <w:tc>
          <w:tcPr>
            <w:tcW w:w="221" w:type="pct"/>
            <w:tcBorders>
              <w:bottom w:val="single" w:sz="8" w:space="0" w:color="auto"/>
            </w:tcBorders>
            <w:vAlign w:val="bottom"/>
          </w:tcPr>
          <w:p w14:paraId="5E2CD820" w14:textId="77777777" w:rsidR="00E74D2B" w:rsidRPr="00427850" w:rsidRDefault="00E74D2B" w:rsidP="00400DD1">
            <w:pPr>
              <w:spacing w:line="241" w:lineRule="auto"/>
              <w:ind w:left="85" w:right="85"/>
              <w:jc w:val="left"/>
              <w:rPr>
                <w:sz w:val="16"/>
                <w:szCs w:val="16"/>
                <w:rtl/>
              </w:rPr>
            </w:pPr>
          </w:p>
        </w:tc>
      </w:tr>
      <w:tr w:rsidR="00E74D2B" w14:paraId="18B529B7" w14:textId="77777777" w:rsidTr="00400DD1">
        <w:tc>
          <w:tcPr>
            <w:tcW w:w="950" w:type="pct"/>
            <w:tcBorders>
              <w:top w:val="single" w:sz="8" w:space="0" w:color="auto"/>
            </w:tcBorders>
            <w:vAlign w:val="bottom"/>
          </w:tcPr>
          <w:p w14:paraId="482B3C6E" w14:textId="77777777" w:rsidR="00E74D2B" w:rsidRPr="003E6CF5" w:rsidRDefault="00E74D2B" w:rsidP="00400DD1">
            <w:pPr>
              <w:spacing w:line="241" w:lineRule="auto"/>
              <w:ind w:left="172" w:hanging="171"/>
              <w:jc w:val="left"/>
              <w:rPr>
                <w:color w:val="000000"/>
                <w:sz w:val="16"/>
                <w:szCs w:val="16"/>
                <w:rtl/>
                <w:lang w:eastAsia="he-IL"/>
              </w:rPr>
            </w:pPr>
            <w:r w:rsidRPr="003E6CF5">
              <w:rPr>
                <w:rFonts w:hint="eastAsia"/>
                <w:color w:val="000000"/>
                <w:sz w:val="16"/>
                <w:szCs w:val="16"/>
                <w:rtl/>
                <w:lang w:eastAsia="he-IL"/>
              </w:rPr>
              <w:t>יתרה</w:t>
            </w:r>
            <w:r w:rsidRPr="003E6CF5">
              <w:rPr>
                <w:color w:val="000000"/>
                <w:sz w:val="16"/>
                <w:szCs w:val="16"/>
                <w:rtl/>
                <w:lang w:eastAsia="he-IL"/>
              </w:rPr>
              <w:t xml:space="preserve"> </w:t>
            </w:r>
            <w:r w:rsidRPr="003E6CF5">
              <w:rPr>
                <w:rFonts w:hint="eastAsia"/>
                <w:color w:val="000000"/>
                <w:sz w:val="16"/>
                <w:szCs w:val="16"/>
                <w:rtl/>
                <w:lang w:eastAsia="he-IL"/>
              </w:rPr>
              <w:t>ממוצעת</w:t>
            </w:r>
            <w:r w:rsidRPr="003E6CF5">
              <w:rPr>
                <w:color w:val="000000"/>
                <w:sz w:val="16"/>
                <w:szCs w:val="16"/>
                <w:rtl/>
                <w:lang w:eastAsia="he-IL"/>
              </w:rPr>
              <w:t xml:space="preserve"> </w:t>
            </w:r>
            <w:r w:rsidRPr="003E6CF5">
              <w:rPr>
                <w:rFonts w:hint="eastAsia"/>
                <w:color w:val="000000"/>
                <w:sz w:val="16"/>
                <w:szCs w:val="16"/>
                <w:rtl/>
                <w:lang w:eastAsia="he-IL"/>
              </w:rPr>
              <w:t>של</w:t>
            </w:r>
            <w:r w:rsidRPr="003E6CF5">
              <w:rPr>
                <w:color w:val="000000"/>
                <w:sz w:val="16"/>
                <w:szCs w:val="16"/>
                <w:rtl/>
                <w:lang w:eastAsia="he-IL"/>
              </w:rPr>
              <w:t xml:space="preserve"> </w:t>
            </w:r>
            <w:r w:rsidRPr="003E6CF5">
              <w:rPr>
                <w:rFonts w:hint="eastAsia"/>
                <w:color w:val="000000"/>
                <w:sz w:val="16"/>
                <w:szCs w:val="16"/>
                <w:rtl/>
                <w:lang w:eastAsia="he-IL"/>
              </w:rPr>
              <w:t>נכסים</w:t>
            </w:r>
            <w:r w:rsidRPr="003E6CF5">
              <w:rPr>
                <w:color w:val="000000"/>
                <w:sz w:val="16"/>
                <w:szCs w:val="16"/>
                <w:vertAlign w:val="superscript"/>
                <w:rtl/>
                <w:lang w:eastAsia="he-IL"/>
              </w:rPr>
              <w:t>(א)</w:t>
            </w:r>
          </w:p>
        </w:tc>
        <w:tc>
          <w:tcPr>
            <w:tcW w:w="264" w:type="pct"/>
            <w:tcBorders>
              <w:top w:val="single" w:sz="8" w:space="0" w:color="auto"/>
            </w:tcBorders>
            <w:vAlign w:val="bottom"/>
          </w:tcPr>
          <w:p w14:paraId="3DBA2ACB"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4" w:type="pct"/>
            <w:tcBorders>
              <w:top w:val="single" w:sz="8" w:space="0" w:color="auto"/>
            </w:tcBorders>
            <w:vAlign w:val="bottom"/>
          </w:tcPr>
          <w:p w14:paraId="2A0877A1"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7" w:type="pct"/>
            <w:tcBorders>
              <w:top w:val="single" w:sz="8" w:space="0" w:color="auto"/>
            </w:tcBorders>
            <w:vAlign w:val="bottom"/>
          </w:tcPr>
          <w:p w14:paraId="21E212B6"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8" w:type="pct"/>
            <w:tcBorders>
              <w:top w:val="single" w:sz="8" w:space="0" w:color="auto"/>
            </w:tcBorders>
            <w:vAlign w:val="bottom"/>
          </w:tcPr>
          <w:p w14:paraId="78F4A4EF"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17" w:type="pct"/>
            <w:tcBorders>
              <w:top w:val="single" w:sz="8" w:space="0" w:color="auto"/>
            </w:tcBorders>
            <w:vAlign w:val="bottom"/>
          </w:tcPr>
          <w:p w14:paraId="5C685657"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7" w:type="pct"/>
            <w:tcBorders>
              <w:top w:val="single" w:sz="8" w:space="0" w:color="auto"/>
            </w:tcBorders>
            <w:vAlign w:val="bottom"/>
          </w:tcPr>
          <w:p w14:paraId="29C528A4"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4" w:type="pct"/>
            <w:tcBorders>
              <w:top w:val="single" w:sz="8" w:space="0" w:color="auto"/>
            </w:tcBorders>
            <w:vAlign w:val="bottom"/>
          </w:tcPr>
          <w:p w14:paraId="0BB4D7AD"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45" w:type="pct"/>
            <w:gridSpan w:val="2"/>
            <w:tcBorders>
              <w:top w:val="single" w:sz="8" w:space="0" w:color="auto"/>
            </w:tcBorders>
            <w:vAlign w:val="bottom"/>
          </w:tcPr>
          <w:p w14:paraId="33C2AEE3"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64" w:type="pct"/>
            <w:tcBorders>
              <w:top w:val="single" w:sz="8" w:space="0" w:color="auto"/>
            </w:tcBorders>
            <w:vAlign w:val="bottom"/>
          </w:tcPr>
          <w:p w14:paraId="4EBC064B"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30" w:type="pct"/>
            <w:tcBorders>
              <w:top w:val="single" w:sz="8" w:space="0" w:color="auto"/>
            </w:tcBorders>
            <w:vAlign w:val="bottom"/>
          </w:tcPr>
          <w:p w14:paraId="1E4A3E32"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83" w:type="pct"/>
            <w:tcBorders>
              <w:top w:val="single" w:sz="8" w:space="0" w:color="auto"/>
            </w:tcBorders>
            <w:vAlign w:val="bottom"/>
          </w:tcPr>
          <w:p w14:paraId="2140BA90"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56" w:type="pct"/>
            <w:tcBorders>
              <w:top w:val="single" w:sz="8" w:space="0" w:color="auto"/>
            </w:tcBorders>
            <w:vAlign w:val="bottom"/>
          </w:tcPr>
          <w:p w14:paraId="4B41FB35"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21" w:type="pct"/>
            <w:tcBorders>
              <w:top w:val="single" w:sz="8" w:space="0" w:color="auto"/>
            </w:tcBorders>
            <w:vAlign w:val="bottom"/>
          </w:tcPr>
          <w:p w14:paraId="3D4EF260" w14:textId="77777777" w:rsidR="00E74D2B" w:rsidRPr="00427850" w:rsidRDefault="00E74D2B" w:rsidP="00400DD1">
            <w:pPr>
              <w:spacing w:line="241" w:lineRule="auto"/>
              <w:ind w:left="85" w:right="85"/>
              <w:jc w:val="left"/>
              <w:rPr>
                <w:color w:val="000000"/>
                <w:sz w:val="16"/>
                <w:szCs w:val="16"/>
                <w:rtl/>
                <w:lang w:eastAsia="he-IL"/>
              </w:rPr>
            </w:pPr>
            <w:r w:rsidRPr="00427850">
              <w:rPr>
                <w:rFonts w:hint="cs"/>
                <w:color w:val="000000"/>
                <w:sz w:val="16"/>
                <w:szCs w:val="16"/>
                <w:rtl/>
                <w:lang w:eastAsia="he-IL"/>
              </w:rPr>
              <w:t>0</w:t>
            </w:r>
          </w:p>
        </w:tc>
      </w:tr>
      <w:tr w:rsidR="00E74D2B" w14:paraId="172A7F1F" w14:textId="77777777" w:rsidTr="00400DD1">
        <w:tc>
          <w:tcPr>
            <w:tcW w:w="950" w:type="pct"/>
            <w:vAlign w:val="bottom"/>
          </w:tcPr>
          <w:p w14:paraId="790E06FA" w14:textId="77777777" w:rsidR="00E74D2B" w:rsidRPr="003E6CF5" w:rsidRDefault="00E74D2B" w:rsidP="00400DD1">
            <w:pPr>
              <w:spacing w:line="241" w:lineRule="auto"/>
              <w:ind w:left="172" w:hanging="171"/>
              <w:jc w:val="left"/>
              <w:rPr>
                <w:color w:val="000000"/>
                <w:sz w:val="16"/>
                <w:szCs w:val="16"/>
                <w:rtl/>
                <w:lang w:eastAsia="he-IL"/>
              </w:rPr>
            </w:pPr>
            <w:r w:rsidRPr="003E6CF5">
              <w:rPr>
                <w:rFonts w:hint="eastAsia"/>
                <w:color w:val="000000"/>
                <w:sz w:val="16"/>
                <w:szCs w:val="16"/>
                <w:rtl/>
                <w:lang w:eastAsia="he-IL"/>
              </w:rPr>
              <w:t>מזה</w:t>
            </w:r>
            <w:r w:rsidRPr="003E6CF5">
              <w:rPr>
                <w:color w:val="000000"/>
                <w:sz w:val="16"/>
                <w:szCs w:val="16"/>
                <w:rtl/>
                <w:lang w:eastAsia="he-IL"/>
              </w:rPr>
              <w:t xml:space="preserve">: </w:t>
            </w:r>
            <w:r w:rsidRPr="003E6CF5">
              <w:rPr>
                <w:rFonts w:hint="eastAsia"/>
                <w:color w:val="000000"/>
                <w:sz w:val="16"/>
                <w:szCs w:val="16"/>
                <w:rtl/>
                <w:lang w:eastAsia="he-IL"/>
              </w:rPr>
              <w:t>השקעות</w:t>
            </w:r>
            <w:r w:rsidRPr="003E6CF5">
              <w:rPr>
                <w:color w:val="000000"/>
                <w:sz w:val="16"/>
                <w:szCs w:val="16"/>
                <w:rtl/>
                <w:lang w:eastAsia="he-IL"/>
              </w:rPr>
              <w:t xml:space="preserve"> </w:t>
            </w:r>
            <w:r w:rsidRPr="003E6CF5">
              <w:rPr>
                <w:rFonts w:hint="eastAsia"/>
                <w:color w:val="000000"/>
                <w:sz w:val="16"/>
                <w:szCs w:val="16"/>
                <w:rtl/>
                <w:lang w:eastAsia="he-IL"/>
              </w:rPr>
              <w:t>בחברות</w:t>
            </w:r>
            <w:r w:rsidRPr="003E6CF5">
              <w:rPr>
                <w:color w:val="000000"/>
                <w:sz w:val="16"/>
                <w:szCs w:val="16"/>
                <w:rtl/>
                <w:lang w:eastAsia="he-IL"/>
              </w:rPr>
              <w:t xml:space="preserve"> </w:t>
            </w:r>
            <w:r w:rsidRPr="003E6CF5">
              <w:rPr>
                <w:rFonts w:hint="eastAsia"/>
                <w:color w:val="000000"/>
                <w:sz w:val="16"/>
                <w:szCs w:val="16"/>
                <w:rtl/>
                <w:lang w:eastAsia="he-IL"/>
              </w:rPr>
              <w:t>כלולות</w:t>
            </w:r>
            <w:r w:rsidRPr="003E6CF5">
              <w:rPr>
                <w:color w:val="000000"/>
                <w:sz w:val="16"/>
                <w:szCs w:val="16"/>
                <w:vertAlign w:val="superscript"/>
                <w:rtl/>
                <w:lang w:eastAsia="he-IL"/>
              </w:rPr>
              <w:t>(א)</w:t>
            </w:r>
          </w:p>
        </w:tc>
        <w:tc>
          <w:tcPr>
            <w:tcW w:w="264" w:type="pct"/>
            <w:vAlign w:val="bottom"/>
          </w:tcPr>
          <w:p w14:paraId="2A2E9930"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4" w:type="pct"/>
            <w:vAlign w:val="bottom"/>
          </w:tcPr>
          <w:p w14:paraId="58B77D5C"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7" w:type="pct"/>
            <w:vAlign w:val="bottom"/>
          </w:tcPr>
          <w:p w14:paraId="125111BC"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8" w:type="pct"/>
            <w:vAlign w:val="bottom"/>
          </w:tcPr>
          <w:p w14:paraId="4B220E92"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17" w:type="pct"/>
            <w:vAlign w:val="bottom"/>
          </w:tcPr>
          <w:p w14:paraId="7495D67F"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7" w:type="pct"/>
            <w:vAlign w:val="bottom"/>
          </w:tcPr>
          <w:p w14:paraId="3352AFB6"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4" w:type="pct"/>
            <w:vAlign w:val="bottom"/>
          </w:tcPr>
          <w:p w14:paraId="062BB06A"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45" w:type="pct"/>
            <w:gridSpan w:val="2"/>
            <w:vAlign w:val="bottom"/>
          </w:tcPr>
          <w:p w14:paraId="551B7712"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64" w:type="pct"/>
            <w:vAlign w:val="bottom"/>
          </w:tcPr>
          <w:p w14:paraId="19B3DFF5"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30" w:type="pct"/>
            <w:vAlign w:val="bottom"/>
          </w:tcPr>
          <w:p w14:paraId="24A37B7E"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83" w:type="pct"/>
            <w:vAlign w:val="bottom"/>
          </w:tcPr>
          <w:p w14:paraId="2EC5612C"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56" w:type="pct"/>
            <w:vAlign w:val="bottom"/>
          </w:tcPr>
          <w:p w14:paraId="652DAB00"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21" w:type="pct"/>
            <w:vAlign w:val="bottom"/>
          </w:tcPr>
          <w:p w14:paraId="24060CEC" w14:textId="77777777" w:rsidR="00E74D2B" w:rsidRPr="00427850" w:rsidRDefault="00E74D2B" w:rsidP="00400DD1">
            <w:pPr>
              <w:spacing w:line="241" w:lineRule="auto"/>
              <w:ind w:left="85" w:right="85"/>
              <w:jc w:val="left"/>
              <w:rPr>
                <w:color w:val="000000"/>
                <w:sz w:val="16"/>
                <w:szCs w:val="16"/>
                <w:rtl/>
                <w:lang w:eastAsia="he-IL"/>
              </w:rPr>
            </w:pPr>
            <w:r w:rsidRPr="00427850">
              <w:rPr>
                <w:rFonts w:hint="cs"/>
                <w:color w:val="000000"/>
                <w:sz w:val="16"/>
                <w:szCs w:val="16"/>
                <w:rtl/>
                <w:lang w:eastAsia="he-IL"/>
              </w:rPr>
              <w:t>0</w:t>
            </w:r>
          </w:p>
        </w:tc>
      </w:tr>
      <w:tr w:rsidR="00E74D2B" w14:paraId="384BD8EE" w14:textId="77777777" w:rsidTr="00400DD1">
        <w:tc>
          <w:tcPr>
            <w:tcW w:w="950" w:type="pct"/>
            <w:vAlign w:val="bottom"/>
          </w:tcPr>
          <w:p w14:paraId="545B8361" w14:textId="77777777" w:rsidR="00E74D2B" w:rsidRPr="003E6CF5" w:rsidRDefault="00E74D2B" w:rsidP="00400DD1">
            <w:pPr>
              <w:spacing w:line="241" w:lineRule="auto"/>
              <w:ind w:left="340"/>
              <w:jc w:val="left"/>
              <w:rPr>
                <w:color w:val="000000"/>
                <w:sz w:val="16"/>
                <w:szCs w:val="16"/>
                <w:rtl/>
                <w:lang w:eastAsia="he-IL"/>
              </w:rPr>
            </w:pPr>
            <w:r w:rsidRPr="003E6CF5">
              <w:rPr>
                <w:rFonts w:hint="eastAsia"/>
                <w:color w:val="000000"/>
                <w:sz w:val="16"/>
                <w:szCs w:val="16"/>
                <w:rtl/>
                <w:lang w:eastAsia="he-IL"/>
              </w:rPr>
              <w:t>יתרה</w:t>
            </w:r>
            <w:r w:rsidRPr="003E6CF5">
              <w:rPr>
                <w:color w:val="000000"/>
                <w:sz w:val="16"/>
                <w:szCs w:val="16"/>
                <w:rtl/>
                <w:lang w:eastAsia="he-IL"/>
              </w:rPr>
              <w:t xml:space="preserve"> </w:t>
            </w:r>
            <w:r w:rsidRPr="003E6CF5">
              <w:rPr>
                <w:rFonts w:hint="eastAsia"/>
                <w:color w:val="000000"/>
                <w:sz w:val="16"/>
                <w:szCs w:val="16"/>
                <w:rtl/>
                <w:lang w:eastAsia="he-IL"/>
              </w:rPr>
              <w:t>ממוצעת</w:t>
            </w:r>
            <w:r w:rsidRPr="003E6CF5">
              <w:rPr>
                <w:color w:val="000000"/>
                <w:sz w:val="16"/>
                <w:szCs w:val="16"/>
                <w:rtl/>
                <w:lang w:eastAsia="he-IL"/>
              </w:rPr>
              <w:t xml:space="preserve"> </w:t>
            </w:r>
            <w:r w:rsidRPr="003E6CF5">
              <w:rPr>
                <w:rFonts w:hint="eastAsia"/>
                <w:color w:val="000000"/>
                <w:sz w:val="16"/>
                <w:szCs w:val="16"/>
                <w:rtl/>
                <w:lang w:eastAsia="he-IL"/>
              </w:rPr>
              <w:t>של</w:t>
            </w:r>
            <w:r w:rsidRPr="003E6CF5">
              <w:rPr>
                <w:color w:val="000000"/>
                <w:sz w:val="16"/>
                <w:szCs w:val="16"/>
                <w:rtl/>
                <w:lang w:eastAsia="he-IL"/>
              </w:rPr>
              <w:t xml:space="preserve"> </w:t>
            </w:r>
            <w:r w:rsidRPr="003E6CF5">
              <w:rPr>
                <w:rFonts w:hint="eastAsia"/>
                <w:color w:val="000000"/>
                <w:sz w:val="16"/>
                <w:szCs w:val="16"/>
                <w:rtl/>
                <w:lang w:eastAsia="he-IL"/>
              </w:rPr>
              <w:t>אשראי</w:t>
            </w:r>
            <w:r w:rsidRPr="003E6CF5">
              <w:rPr>
                <w:color w:val="000000"/>
                <w:sz w:val="16"/>
                <w:szCs w:val="16"/>
                <w:rtl/>
                <w:lang w:eastAsia="he-IL"/>
              </w:rPr>
              <w:t xml:space="preserve"> </w:t>
            </w:r>
            <w:r>
              <w:rPr>
                <w:rFonts w:hint="cs"/>
                <w:color w:val="000000"/>
                <w:sz w:val="16"/>
                <w:szCs w:val="16"/>
                <w:rtl/>
                <w:lang w:eastAsia="he-IL"/>
              </w:rPr>
              <w:t xml:space="preserve"> </w:t>
            </w:r>
            <w:r w:rsidRPr="003E6CF5">
              <w:rPr>
                <w:rFonts w:hint="eastAsia"/>
                <w:color w:val="000000"/>
                <w:sz w:val="16"/>
                <w:szCs w:val="16"/>
                <w:rtl/>
                <w:lang w:eastAsia="he-IL"/>
              </w:rPr>
              <w:t>לציבור</w:t>
            </w:r>
            <w:r w:rsidRPr="003E6CF5">
              <w:rPr>
                <w:color w:val="000000"/>
                <w:sz w:val="16"/>
                <w:szCs w:val="16"/>
                <w:vertAlign w:val="superscript"/>
                <w:rtl/>
                <w:lang w:eastAsia="he-IL"/>
              </w:rPr>
              <w:t>(א)</w:t>
            </w:r>
          </w:p>
        </w:tc>
        <w:tc>
          <w:tcPr>
            <w:tcW w:w="264" w:type="pct"/>
            <w:vAlign w:val="bottom"/>
          </w:tcPr>
          <w:p w14:paraId="55CC0624"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4" w:type="pct"/>
            <w:vAlign w:val="bottom"/>
          </w:tcPr>
          <w:p w14:paraId="0F146E1F"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7" w:type="pct"/>
            <w:vAlign w:val="bottom"/>
          </w:tcPr>
          <w:p w14:paraId="1DD142FA"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8" w:type="pct"/>
            <w:vAlign w:val="bottom"/>
          </w:tcPr>
          <w:p w14:paraId="00032EA4"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17" w:type="pct"/>
            <w:vAlign w:val="bottom"/>
          </w:tcPr>
          <w:p w14:paraId="1520F770"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7" w:type="pct"/>
            <w:vAlign w:val="bottom"/>
          </w:tcPr>
          <w:p w14:paraId="2CC13D76"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4" w:type="pct"/>
            <w:vAlign w:val="bottom"/>
          </w:tcPr>
          <w:p w14:paraId="0C5F9AE5"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45" w:type="pct"/>
            <w:gridSpan w:val="2"/>
            <w:vAlign w:val="bottom"/>
          </w:tcPr>
          <w:p w14:paraId="4AC5F5CE"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64" w:type="pct"/>
            <w:vAlign w:val="bottom"/>
          </w:tcPr>
          <w:p w14:paraId="2773C148"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w:t>
            </w:r>
          </w:p>
        </w:tc>
        <w:tc>
          <w:tcPr>
            <w:tcW w:w="230" w:type="pct"/>
            <w:vAlign w:val="bottom"/>
          </w:tcPr>
          <w:p w14:paraId="1ECAB66F"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83" w:type="pct"/>
            <w:vAlign w:val="bottom"/>
          </w:tcPr>
          <w:p w14:paraId="61C57A8B"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56" w:type="pct"/>
            <w:vAlign w:val="bottom"/>
          </w:tcPr>
          <w:p w14:paraId="6FFB0581"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21" w:type="pct"/>
            <w:vAlign w:val="bottom"/>
          </w:tcPr>
          <w:p w14:paraId="0C0F0BFE" w14:textId="77777777" w:rsidR="00E74D2B" w:rsidRPr="00427850" w:rsidRDefault="00E74D2B" w:rsidP="00400DD1">
            <w:pPr>
              <w:spacing w:line="241" w:lineRule="auto"/>
              <w:ind w:left="85" w:right="85"/>
              <w:jc w:val="left"/>
              <w:rPr>
                <w:color w:val="000000"/>
                <w:sz w:val="16"/>
                <w:szCs w:val="16"/>
                <w:rtl/>
                <w:lang w:eastAsia="he-IL"/>
              </w:rPr>
            </w:pPr>
            <w:r w:rsidRPr="00427850">
              <w:rPr>
                <w:rFonts w:hint="cs"/>
                <w:color w:val="000000"/>
                <w:sz w:val="16"/>
                <w:szCs w:val="16"/>
                <w:rtl/>
                <w:lang w:eastAsia="he-IL"/>
              </w:rPr>
              <w:t>0</w:t>
            </w:r>
          </w:p>
        </w:tc>
      </w:tr>
      <w:tr w:rsidR="00E74D2B" w14:paraId="36727113" w14:textId="77777777" w:rsidTr="00400DD1">
        <w:tc>
          <w:tcPr>
            <w:tcW w:w="950" w:type="pct"/>
            <w:vAlign w:val="bottom"/>
          </w:tcPr>
          <w:p w14:paraId="50CDEB24" w14:textId="77777777" w:rsidR="00E74D2B" w:rsidRPr="003E6CF5" w:rsidRDefault="00E74D2B" w:rsidP="00400DD1">
            <w:pPr>
              <w:spacing w:line="241" w:lineRule="auto"/>
              <w:ind w:firstLine="1"/>
              <w:jc w:val="left"/>
              <w:rPr>
                <w:color w:val="000000"/>
                <w:sz w:val="16"/>
                <w:szCs w:val="16"/>
                <w:rtl/>
                <w:lang w:eastAsia="he-IL"/>
              </w:rPr>
            </w:pPr>
            <w:r w:rsidRPr="003E6CF5">
              <w:rPr>
                <w:rFonts w:hint="eastAsia"/>
                <w:color w:val="000000"/>
                <w:sz w:val="16"/>
                <w:szCs w:val="16"/>
                <w:rtl/>
                <w:lang w:eastAsia="he-IL"/>
              </w:rPr>
              <w:t>יתרת</w:t>
            </w:r>
            <w:r w:rsidRPr="003E6CF5">
              <w:rPr>
                <w:color w:val="000000"/>
                <w:sz w:val="16"/>
                <w:szCs w:val="16"/>
                <w:rtl/>
                <w:lang w:eastAsia="he-IL"/>
              </w:rPr>
              <w:t xml:space="preserve"> </w:t>
            </w:r>
            <w:r w:rsidRPr="003E6CF5">
              <w:rPr>
                <w:rFonts w:hint="eastAsia"/>
                <w:color w:val="000000"/>
                <w:sz w:val="16"/>
                <w:szCs w:val="16"/>
                <w:rtl/>
                <w:lang w:eastAsia="he-IL"/>
              </w:rPr>
              <w:t>האשראי</w:t>
            </w:r>
            <w:r w:rsidRPr="003E6CF5">
              <w:rPr>
                <w:color w:val="000000"/>
                <w:sz w:val="16"/>
                <w:szCs w:val="16"/>
                <w:rtl/>
                <w:lang w:eastAsia="he-IL"/>
              </w:rPr>
              <w:t xml:space="preserve"> </w:t>
            </w:r>
            <w:r w:rsidRPr="003E6CF5">
              <w:rPr>
                <w:rFonts w:hint="eastAsia"/>
                <w:color w:val="000000"/>
                <w:sz w:val="16"/>
                <w:szCs w:val="16"/>
                <w:rtl/>
                <w:lang w:eastAsia="he-IL"/>
              </w:rPr>
              <w:t>לציבור</w:t>
            </w:r>
            <w:r w:rsidRPr="003E6CF5">
              <w:rPr>
                <w:color w:val="000000"/>
                <w:sz w:val="16"/>
                <w:szCs w:val="16"/>
                <w:rtl/>
                <w:lang w:eastAsia="he-IL"/>
              </w:rPr>
              <w:t xml:space="preserve"> </w:t>
            </w:r>
            <w:r w:rsidRPr="003E6CF5">
              <w:rPr>
                <w:rFonts w:hint="eastAsia"/>
                <w:color w:val="000000"/>
                <w:sz w:val="16"/>
                <w:szCs w:val="16"/>
                <w:rtl/>
                <w:lang w:eastAsia="he-IL"/>
              </w:rPr>
              <w:t>לסוף</w:t>
            </w:r>
            <w:r w:rsidRPr="003E6CF5">
              <w:rPr>
                <w:color w:val="000000"/>
                <w:sz w:val="16"/>
                <w:szCs w:val="16"/>
                <w:rtl/>
                <w:lang w:eastAsia="he-IL"/>
              </w:rPr>
              <w:t xml:space="preserve"> </w:t>
            </w:r>
            <w:r w:rsidRPr="003E6CF5">
              <w:rPr>
                <w:rFonts w:hint="eastAsia"/>
                <w:color w:val="000000"/>
                <w:sz w:val="16"/>
                <w:szCs w:val="16"/>
                <w:rtl/>
                <w:lang w:eastAsia="he-IL"/>
              </w:rPr>
              <w:t>תקופת</w:t>
            </w:r>
            <w:r w:rsidRPr="003E6CF5">
              <w:rPr>
                <w:color w:val="000000"/>
                <w:sz w:val="16"/>
                <w:szCs w:val="16"/>
                <w:rtl/>
                <w:lang w:eastAsia="he-IL"/>
              </w:rPr>
              <w:t xml:space="preserve"> </w:t>
            </w:r>
            <w:r w:rsidRPr="003E6CF5">
              <w:rPr>
                <w:rFonts w:hint="eastAsia"/>
                <w:color w:val="000000"/>
                <w:sz w:val="16"/>
                <w:szCs w:val="16"/>
                <w:rtl/>
                <w:lang w:eastAsia="he-IL"/>
              </w:rPr>
              <w:t>הדיווח</w:t>
            </w:r>
          </w:p>
        </w:tc>
        <w:tc>
          <w:tcPr>
            <w:tcW w:w="264" w:type="pct"/>
            <w:vAlign w:val="bottom"/>
          </w:tcPr>
          <w:p w14:paraId="06C2A544"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4" w:type="pct"/>
            <w:vAlign w:val="bottom"/>
          </w:tcPr>
          <w:p w14:paraId="744AC55E"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7" w:type="pct"/>
            <w:vAlign w:val="bottom"/>
          </w:tcPr>
          <w:p w14:paraId="738292AB"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8" w:type="pct"/>
            <w:vAlign w:val="bottom"/>
          </w:tcPr>
          <w:p w14:paraId="73419D22"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17" w:type="pct"/>
            <w:vAlign w:val="bottom"/>
          </w:tcPr>
          <w:p w14:paraId="37361AA9"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7" w:type="pct"/>
            <w:vAlign w:val="bottom"/>
          </w:tcPr>
          <w:p w14:paraId="31A9A23B"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4" w:type="pct"/>
            <w:vAlign w:val="bottom"/>
          </w:tcPr>
          <w:p w14:paraId="53C18D4B"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45" w:type="pct"/>
            <w:gridSpan w:val="2"/>
            <w:vAlign w:val="bottom"/>
          </w:tcPr>
          <w:p w14:paraId="43566A9C"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64" w:type="pct"/>
            <w:vAlign w:val="bottom"/>
          </w:tcPr>
          <w:p w14:paraId="6544BFE1"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w:t>
            </w:r>
          </w:p>
        </w:tc>
        <w:tc>
          <w:tcPr>
            <w:tcW w:w="230" w:type="pct"/>
            <w:vAlign w:val="bottom"/>
          </w:tcPr>
          <w:p w14:paraId="19821972"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83" w:type="pct"/>
            <w:vAlign w:val="bottom"/>
          </w:tcPr>
          <w:p w14:paraId="2F16E3CF"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56" w:type="pct"/>
            <w:vAlign w:val="bottom"/>
          </w:tcPr>
          <w:p w14:paraId="1C2E5B49"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21" w:type="pct"/>
            <w:vAlign w:val="bottom"/>
          </w:tcPr>
          <w:p w14:paraId="3970C641" w14:textId="77777777" w:rsidR="00E74D2B" w:rsidRPr="00427850" w:rsidRDefault="00E74D2B" w:rsidP="00400DD1">
            <w:pPr>
              <w:spacing w:line="241" w:lineRule="auto"/>
              <w:ind w:left="85" w:right="85"/>
              <w:jc w:val="left"/>
              <w:rPr>
                <w:color w:val="000000"/>
                <w:sz w:val="16"/>
                <w:szCs w:val="16"/>
                <w:rtl/>
                <w:lang w:eastAsia="he-IL"/>
              </w:rPr>
            </w:pPr>
            <w:r w:rsidRPr="00427850">
              <w:rPr>
                <w:rFonts w:hint="cs"/>
                <w:color w:val="000000"/>
                <w:sz w:val="16"/>
                <w:szCs w:val="16"/>
                <w:rtl/>
                <w:lang w:eastAsia="he-IL"/>
              </w:rPr>
              <w:t>0</w:t>
            </w:r>
          </w:p>
        </w:tc>
      </w:tr>
      <w:tr w:rsidR="00E74D2B" w14:paraId="6410F57A" w14:textId="77777777" w:rsidTr="00400DD1">
        <w:tc>
          <w:tcPr>
            <w:tcW w:w="950" w:type="pct"/>
            <w:vAlign w:val="bottom"/>
          </w:tcPr>
          <w:p w14:paraId="5F68A7FD" w14:textId="77777777" w:rsidR="00E74D2B" w:rsidRPr="003E6CF5" w:rsidRDefault="00E74D2B" w:rsidP="00400DD1">
            <w:pPr>
              <w:spacing w:line="241" w:lineRule="auto"/>
              <w:ind w:left="172" w:hanging="171"/>
              <w:jc w:val="left"/>
              <w:rPr>
                <w:color w:val="000000"/>
                <w:sz w:val="16"/>
                <w:szCs w:val="16"/>
                <w:rtl/>
                <w:lang w:eastAsia="he-IL"/>
              </w:rPr>
            </w:pPr>
            <w:r w:rsidRPr="003E6CF5">
              <w:rPr>
                <w:color w:val="000000"/>
                <w:sz w:val="16"/>
                <w:szCs w:val="16"/>
                <w:rtl/>
                <w:lang w:eastAsia="he-IL"/>
              </w:rPr>
              <w:t>יתרת חובות לא צוברים</w:t>
            </w:r>
          </w:p>
        </w:tc>
        <w:tc>
          <w:tcPr>
            <w:tcW w:w="264" w:type="pct"/>
            <w:vAlign w:val="bottom"/>
          </w:tcPr>
          <w:p w14:paraId="4D0176B1"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4" w:type="pct"/>
            <w:vAlign w:val="bottom"/>
          </w:tcPr>
          <w:p w14:paraId="4C333FB6"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7" w:type="pct"/>
            <w:vAlign w:val="bottom"/>
          </w:tcPr>
          <w:p w14:paraId="65201A08"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8" w:type="pct"/>
            <w:vAlign w:val="bottom"/>
          </w:tcPr>
          <w:p w14:paraId="1B939AD9"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17" w:type="pct"/>
            <w:vAlign w:val="bottom"/>
          </w:tcPr>
          <w:p w14:paraId="08A82691"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7" w:type="pct"/>
            <w:vAlign w:val="bottom"/>
          </w:tcPr>
          <w:p w14:paraId="35DC30D7"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4" w:type="pct"/>
            <w:vAlign w:val="bottom"/>
          </w:tcPr>
          <w:p w14:paraId="5B4A695E"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45" w:type="pct"/>
            <w:gridSpan w:val="2"/>
            <w:vAlign w:val="bottom"/>
          </w:tcPr>
          <w:p w14:paraId="50B91D01"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64" w:type="pct"/>
            <w:vAlign w:val="bottom"/>
          </w:tcPr>
          <w:p w14:paraId="689A91BE" w14:textId="168FBA5C" w:rsidR="00E74D2B" w:rsidRPr="00427850" w:rsidRDefault="00F75C06" w:rsidP="00400DD1">
            <w:pPr>
              <w:spacing w:line="241" w:lineRule="auto"/>
              <w:ind w:left="85" w:right="85"/>
              <w:jc w:val="left"/>
              <w:rPr>
                <w:color w:val="000000"/>
                <w:sz w:val="16"/>
                <w:szCs w:val="16"/>
                <w:rtl/>
                <w:lang w:eastAsia="he-IL"/>
              </w:rPr>
            </w:pPr>
            <w:r>
              <w:rPr>
                <w:rFonts w:hint="cs"/>
                <w:color w:val="000000"/>
                <w:sz w:val="16"/>
                <w:szCs w:val="16"/>
                <w:rtl/>
                <w:lang w:eastAsia="he-IL"/>
              </w:rPr>
              <w:t>0</w:t>
            </w:r>
          </w:p>
        </w:tc>
        <w:tc>
          <w:tcPr>
            <w:tcW w:w="230" w:type="pct"/>
            <w:vAlign w:val="bottom"/>
          </w:tcPr>
          <w:p w14:paraId="0CD612D3"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83" w:type="pct"/>
            <w:vAlign w:val="bottom"/>
          </w:tcPr>
          <w:p w14:paraId="0B9CD23E"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56" w:type="pct"/>
            <w:vAlign w:val="bottom"/>
          </w:tcPr>
          <w:p w14:paraId="1A3A40BC"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21" w:type="pct"/>
            <w:vAlign w:val="bottom"/>
          </w:tcPr>
          <w:p w14:paraId="47D22637" w14:textId="77777777" w:rsidR="00E74D2B" w:rsidRPr="00427850" w:rsidRDefault="00E74D2B" w:rsidP="00400DD1">
            <w:pPr>
              <w:spacing w:line="241" w:lineRule="auto"/>
              <w:ind w:left="85" w:right="85"/>
              <w:jc w:val="left"/>
              <w:rPr>
                <w:color w:val="000000"/>
                <w:sz w:val="16"/>
                <w:szCs w:val="16"/>
                <w:rtl/>
                <w:lang w:eastAsia="he-IL"/>
              </w:rPr>
            </w:pPr>
            <w:r w:rsidRPr="00427850">
              <w:rPr>
                <w:rFonts w:hint="cs"/>
                <w:color w:val="000000"/>
                <w:sz w:val="16"/>
                <w:szCs w:val="16"/>
                <w:rtl/>
                <w:lang w:eastAsia="he-IL"/>
              </w:rPr>
              <w:t>0</w:t>
            </w:r>
          </w:p>
        </w:tc>
      </w:tr>
      <w:tr w:rsidR="00E74D2B" w14:paraId="7544F4EB" w14:textId="77777777" w:rsidTr="00400DD1">
        <w:tc>
          <w:tcPr>
            <w:tcW w:w="950" w:type="pct"/>
            <w:tcBorders>
              <w:bottom w:val="single" w:sz="8" w:space="0" w:color="auto"/>
            </w:tcBorders>
            <w:vAlign w:val="bottom"/>
          </w:tcPr>
          <w:p w14:paraId="79A63FEE" w14:textId="77777777" w:rsidR="00E74D2B" w:rsidRPr="003E6CF5" w:rsidRDefault="00E74D2B" w:rsidP="00400DD1">
            <w:pPr>
              <w:spacing w:line="241" w:lineRule="auto"/>
              <w:ind w:left="172" w:hanging="171"/>
              <w:jc w:val="left"/>
              <w:rPr>
                <w:color w:val="000000"/>
                <w:sz w:val="16"/>
                <w:szCs w:val="16"/>
                <w:rtl/>
                <w:lang w:eastAsia="he-IL"/>
              </w:rPr>
            </w:pPr>
            <w:r w:rsidRPr="003E6CF5">
              <w:rPr>
                <w:rFonts w:hint="eastAsia"/>
                <w:color w:val="000000"/>
                <w:sz w:val="16"/>
                <w:szCs w:val="16"/>
                <w:rtl/>
                <w:lang w:eastAsia="he-IL"/>
              </w:rPr>
              <w:t>יתרת</w:t>
            </w:r>
            <w:r w:rsidRPr="003E6CF5">
              <w:rPr>
                <w:color w:val="000000"/>
                <w:sz w:val="16"/>
                <w:szCs w:val="16"/>
                <w:rtl/>
                <w:lang w:eastAsia="he-IL"/>
              </w:rPr>
              <w:t xml:space="preserve"> </w:t>
            </w:r>
            <w:r w:rsidRPr="003E6CF5">
              <w:rPr>
                <w:rFonts w:hint="eastAsia"/>
                <w:color w:val="000000"/>
                <w:sz w:val="16"/>
                <w:szCs w:val="16"/>
                <w:rtl/>
                <w:lang w:eastAsia="he-IL"/>
              </w:rPr>
              <w:t>חובות</w:t>
            </w:r>
            <w:r w:rsidRPr="003E6CF5">
              <w:rPr>
                <w:color w:val="000000"/>
                <w:sz w:val="16"/>
                <w:szCs w:val="16"/>
                <w:rtl/>
                <w:lang w:eastAsia="he-IL"/>
              </w:rPr>
              <w:t xml:space="preserve"> </w:t>
            </w:r>
            <w:r w:rsidRPr="003E6CF5">
              <w:rPr>
                <w:rFonts w:hint="eastAsia"/>
                <w:color w:val="000000"/>
                <w:sz w:val="16"/>
                <w:szCs w:val="16"/>
                <w:rtl/>
                <w:lang w:eastAsia="he-IL"/>
              </w:rPr>
              <w:t>בפיגור</w:t>
            </w:r>
            <w:r w:rsidRPr="003E6CF5">
              <w:rPr>
                <w:color w:val="000000"/>
                <w:sz w:val="16"/>
                <w:szCs w:val="16"/>
                <w:rtl/>
                <w:lang w:eastAsia="he-IL"/>
              </w:rPr>
              <w:t xml:space="preserve"> </w:t>
            </w:r>
            <w:r w:rsidRPr="003E6CF5">
              <w:rPr>
                <w:rFonts w:hint="eastAsia"/>
                <w:color w:val="000000"/>
                <w:sz w:val="16"/>
                <w:szCs w:val="16"/>
                <w:rtl/>
                <w:lang w:eastAsia="he-IL"/>
              </w:rPr>
              <w:t>מעל</w:t>
            </w:r>
            <w:r w:rsidRPr="003E6CF5">
              <w:rPr>
                <w:color w:val="000000"/>
                <w:sz w:val="16"/>
                <w:szCs w:val="16"/>
                <w:rtl/>
                <w:lang w:eastAsia="he-IL"/>
              </w:rPr>
              <w:t xml:space="preserve"> 90 </w:t>
            </w:r>
            <w:r w:rsidRPr="003E6CF5">
              <w:rPr>
                <w:rFonts w:hint="eastAsia"/>
                <w:color w:val="000000"/>
                <w:sz w:val="16"/>
                <w:szCs w:val="16"/>
                <w:rtl/>
                <w:lang w:eastAsia="he-IL"/>
              </w:rPr>
              <w:t>יום</w:t>
            </w:r>
          </w:p>
        </w:tc>
        <w:tc>
          <w:tcPr>
            <w:tcW w:w="264" w:type="pct"/>
            <w:tcBorders>
              <w:bottom w:val="single" w:sz="8" w:space="0" w:color="auto"/>
            </w:tcBorders>
            <w:vAlign w:val="bottom"/>
          </w:tcPr>
          <w:p w14:paraId="79EF7BE7"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4" w:type="pct"/>
            <w:tcBorders>
              <w:bottom w:val="single" w:sz="8" w:space="0" w:color="auto"/>
            </w:tcBorders>
            <w:vAlign w:val="bottom"/>
          </w:tcPr>
          <w:p w14:paraId="7371433A"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7" w:type="pct"/>
            <w:tcBorders>
              <w:bottom w:val="single" w:sz="8" w:space="0" w:color="auto"/>
            </w:tcBorders>
            <w:vAlign w:val="bottom"/>
          </w:tcPr>
          <w:p w14:paraId="5B2D0114"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8" w:type="pct"/>
            <w:tcBorders>
              <w:bottom w:val="single" w:sz="8" w:space="0" w:color="auto"/>
            </w:tcBorders>
            <w:vAlign w:val="bottom"/>
          </w:tcPr>
          <w:p w14:paraId="688F4397"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17" w:type="pct"/>
            <w:tcBorders>
              <w:bottom w:val="single" w:sz="8" w:space="0" w:color="auto"/>
            </w:tcBorders>
            <w:vAlign w:val="bottom"/>
          </w:tcPr>
          <w:p w14:paraId="5B20E433"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27" w:type="pct"/>
            <w:tcBorders>
              <w:bottom w:val="single" w:sz="8" w:space="0" w:color="auto"/>
            </w:tcBorders>
            <w:vAlign w:val="bottom"/>
          </w:tcPr>
          <w:p w14:paraId="17DF6B65"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94" w:type="pct"/>
            <w:tcBorders>
              <w:bottom w:val="single" w:sz="8" w:space="0" w:color="auto"/>
            </w:tcBorders>
            <w:vAlign w:val="bottom"/>
          </w:tcPr>
          <w:p w14:paraId="7127C69F"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45" w:type="pct"/>
            <w:gridSpan w:val="2"/>
            <w:tcBorders>
              <w:bottom w:val="single" w:sz="8" w:space="0" w:color="auto"/>
            </w:tcBorders>
            <w:vAlign w:val="bottom"/>
          </w:tcPr>
          <w:p w14:paraId="1DFBC62A"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64" w:type="pct"/>
            <w:tcBorders>
              <w:bottom w:val="single" w:sz="8" w:space="0" w:color="auto"/>
            </w:tcBorders>
            <w:vAlign w:val="bottom"/>
          </w:tcPr>
          <w:p w14:paraId="5EEDEB3C" w14:textId="29F6A997" w:rsidR="00E74D2B" w:rsidRPr="00427850" w:rsidRDefault="00F75C06" w:rsidP="00400DD1">
            <w:pPr>
              <w:spacing w:line="241" w:lineRule="auto"/>
              <w:ind w:left="85" w:right="85"/>
              <w:jc w:val="left"/>
              <w:rPr>
                <w:color w:val="000000"/>
                <w:sz w:val="16"/>
                <w:szCs w:val="16"/>
                <w:rtl/>
                <w:lang w:eastAsia="he-IL"/>
              </w:rPr>
            </w:pPr>
            <w:r>
              <w:rPr>
                <w:rFonts w:hint="cs"/>
                <w:color w:val="000000"/>
                <w:sz w:val="16"/>
                <w:szCs w:val="16"/>
                <w:rtl/>
                <w:lang w:eastAsia="he-IL"/>
              </w:rPr>
              <w:t>0</w:t>
            </w:r>
          </w:p>
        </w:tc>
        <w:tc>
          <w:tcPr>
            <w:tcW w:w="230" w:type="pct"/>
            <w:tcBorders>
              <w:bottom w:val="single" w:sz="8" w:space="0" w:color="auto"/>
            </w:tcBorders>
            <w:vAlign w:val="bottom"/>
          </w:tcPr>
          <w:p w14:paraId="68663C8E"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83" w:type="pct"/>
            <w:tcBorders>
              <w:bottom w:val="single" w:sz="8" w:space="0" w:color="auto"/>
            </w:tcBorders>
            <w:vAlign w:val="bottom"/>
          </w:tcPr>
          <w:p w14:paraId="352DF2AC"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356" w:type="pct"/>
            <w:tcBorders>
              <w:bottom w:val="single" w:sz="8" w:space="0" w:color="auto"/>
            </w:tcBorders>
            <w:vAlign w:val="bottom"/>
          </w:tcPr>
          <w:p w14:paraId="3EC37738" w14:textId="77777777" w:rsidR="00E74D2B" w:rsidRPr="00427850" w:rsidRDefault="00E74D2B" w:rsidP="00400DD1">
            <w:pPr>
              <w:spacing w:line="241" w:lineRule="auto"/>
              <w:ind w:left="85" w:right="85"/>
              <w:jc w:val="left"/>
              <w:rPr>
                <w:color w:val="000000"/>
                <w:sz w:val="16"/>
                <w:szCs w:val="16"/>
                <w:rtl/>
                <w:lang w:eastAsia="he-IL"/>
              </w:rPr>
            </w:pPr>
            <w:r w:rsidRPr="00427850">
              <w:rPr>
                <w:color w:val="000000"/>
                <w:sz w:val="16"/>
                <w:szCs w:val="16"/>
                <w:rtl/>
                <w:lang w:eastAsia="he-IL"/>
              </w:rPr>
              <w:t>0</w:t>
            </w:r>
          </w:p>
        </w:tc>
        <w:tc>
          <w:tcPr>
            <w:tcW w:w="221" w:type="pct"/>
            <w:tcBorders>
              <w:bottom w:val="single" w:sz="8" w:space="0" w:color="auto"/>
            </w:tcBorders>
            <w:vAlign w:val="bottom"/>
          </w:tcPr>
          <w:p w14:paraId="6BC164CD" w14:textId="77777777" w:rsidR="00E74D2B" w:rsidRPr="00427850" w:rsidRDefault="00E74D2B" w:rsidP="00400DD1">
            <w:pPr>
              <w:spacing w:line="241" w:lineRule="auto"/>
              <w:ind w:left="85" w:right="85"/>
              <w:jc w:val="left"/>
              <w:rPr>
                <w:color w:val="000000"/>
                <w:sz w:val="16"/>
                <w:szCs w:val="16"/>
                <w:rtl/>
                <w:lang w:eastAsia="he-IL"/>
              </w:rPr>
            </w:pPr>
            <w:r w:rsidRPr="00427850">
              <w:rPr>
                <w:rFonts w:hint="cs"/>
                <w:color w:val="000000"/>
                <w:sz w:val="16"/>
                <w:szCs w:val="16"/>
                <w:rtl/>
                <w:lang w:eastAsia="he-IL"/>
              </w:rPr>
              <w:t>0</w:t>
            </w:r>
          </w:p>
        </w:tc>
      </w:tr>
      <w:tr w:rsidR="00E74D2B" w14:paraId="23B604A7" w14:textId="77777777" w:rsidTr="00400DD1">
        <w:tc>
          <w:tcPr>
            <w:tcW w:w="950" w:type="pct"/>
            <w:vAlign w:val="bottom"/>
          </w:tcPr>
          <w:p w14:paraId="7174E3AA" w14:textId="77777777" w:rsidR="00E74D2B" w:rsidRPr="003E6CF5" w:rsidRDefault="00E74D2B" w:rsidP="00400DD1">
            <w:pPr>
              <w:spacing w:before="120"/>
              <w:ind w:left="170" w:hanging="170"/>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יתרה ממוצעת של התחייבויות</w:t>
            </w:r>
            <w:r w:rsidRPr="003E6CF5">
              <w:rPr>
                <w:rFonts w:asciiTheme="minorBidi" w:hAnsiTheme="minorBidi" w:cstheme="minorBidi"/>
                <w:color w:val="000000"/>
                <w:sz w:val="16"/>
                <w:szCs w:val="16"/>
                <w:vertAlign w:val="superscript"/>
                <w:rtl/>
                <w:lang w:eastAsia="he-IL"/>
              </w:rPr>
              <w:t>(א)</w:t>
            </w:r>
          </w:p>
        </w:tc>
        <w:tc>
          <w:tcPr>
            <w:tcW w:w="264" w:type="pct"/>
            <w:vAlign w:val="bottom"/>
          </w:tcPr>
          <w:p w14:paraId="2C4EDA2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vAlign w:val="bottom"/>
          </w:tcPr>
          <w:p w14:paraId="6815066D"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vAlign w:val="bottom"/>
          </w:tcPr>
          <w:p w14:paraId="09A47D2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vAlign w:val="bottom"/>
          </w:tcPr>
          <w:p w14:paraId="06614CA9"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vAlign w:val="bottom"/>
          </w:tcPr>
          <w:p w14:paraId="5DC6918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vAlign w:val="bottom"/>
          </w:tcPr>
          <w:p w14:paraId="25CB148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vAlign w:val="bottom"/>
          </w:tcPr>
          <w:p w14:paraId="7AE08438"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vAlign w:val="bottom"/>
          </w:tcPr>
          <w:p w14:paraId="123D431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vAlign w:val="bottom"/>
          </w:tcPr>
          <w:p w14:paraId="5344A998"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vAlign w:val="bottom"/>
          </w:tcPr>
          <w:p w14:paraId="0C2B01F1"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vAlign w:val="bottom"/>
          </w:tcPr>
          <w:p w14:paraId="68F6263B"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vAlign w:val="bottom"/>
          </w:tcPr>
          <w:p w14:paraId="4625A1AA"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vAlign w:val="bottom"/>
          </w:tcPr>
          <w:p w14:paraId="2CB7D6BE"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E74D2B" w14:paraId="32916260" w14:textId="77777777" w:rsidTr="00400DD1">
        <w:tc>
          <w:tcPr>
            <w:tcW w:w="950" w:type="pct"/>
            <w:vAlign w:val="bottom"/>
          </w:tcPr>
          <w:p w14:paraId="18DD350A" w14:textId="77777777" w:rsidR="00E74D2B" w:rsidRPr="003E6CF5" w:rsidRDefault="00E74D2B" w:rsidP="00400DD1">
            <w:pPr>
              <w:spacing w:line="241" w:lineRule="auto"/>
              <w:ind w:left="394" w:hanging="394"/>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מזה: יתרה ממוצעת של פיקדונות הציבור</w:t>
            </w:r>
            <w:r w:rsidRPr="003E6CF5">
              <w:rPr>
                <w:rFonts w:asciiTheme="minorBidi" w:hAnsiTheme="minorBidi" w:cstheme="minorBidi"/>
                <w:color w:val="000000"/>
                <w:sz w:val="16"/>
                <w:szCs w:val="16"/>
                <w:vertAlign w:val="superscript"/>
                <w:rtl/>
                <w:lang w:eastAsia="he-IL"/>
              </w:rPr>
              <w:t>(א)</w:t>
            </w:r>
          </w:p>
        </w:tc>
        <w:tc>
          <w:tcPr>
            <w:tcW w:w="264" w:type="pct"/>
            <w:vAlign w:val="bottom"/>
          </w:tcPr>
          <w:p w14:paraId="79488736"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vAlign w:val="bottom"/>
          </w:tcPr>
          <w:p w14:paraId="6E7826DD"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vAlign w:val="bottom"/>
          </w:tcPr>
          <w:p w14:paraId="1277DD0E"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vAlign w:val="bottom"/>
          </w:tcPr>
          <w:p w14:paraId="1B6823CD"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vAlign w:val="bottom"/>
          </w:tcPr>
          <w:p w14:paraId="05322E6B"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vAlign w:val="bottom"/>
          </w:tcPr>
          <w:p w14:paraId="712B6229"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vAlign w:val="bottom"/>
          </w:tcPr>
          <w:p w14:paraId="2861ADF1"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vAlign w:val="bottom"/>
          </w:tcPr>
          <w:p w14:paraId="465AB185"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vAlign w:val="bottom"/>
          </w:tcPr>
          <w:p w14:paraId="20591349"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vAlign w:val="bottom"/>
          </w:tcPr>
          <w:p w14:paraId="14459470"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vAlign w:val="bottom"/>
          </w:tcPr>
          <w:p w14:paraId="4C5C5A0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vAlign w:val="bottom"/>
          </w:tcPr>
          <w:p w14:paraId="0DF61051"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vAlign w:val="bottom"/>
          </w:tcPr>
          <w:p w14:paraId="33DCA421"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E74D2B" w14:paraId="3AA293F3" w14:textId="77777777" w:rsidTr="00400DD1">
        <w:tc>
          <w:tcPr>
            <w:tcW w:w="950" w:type="pct"/>
            <w:vAlign w:val="bottom"/>
          </w:tcPr>
          <w:p w14:paraId="0E77D54B" w14:textId="77777777" w:rsidR="00E74D2B" w:rsidRPr="00471EB3" w:rsidRDefault="00E74D2B" w:rsidP="00400DD1">
            <w:pPr>
              <w:spacing w:line="241" w:lineRule="auto"/>
              <w:jc w:val="left"/>
              <w:rPr>
                <w:rFonts w:asciiTheme="minorBidi" w:hAnsiTheme="minorBidi" w:cstheme="minorBidi"/>
                <w:color w:val="000000"/>
                <w:sz w:val="16"/>
                <w:szCs w:val="16"/>
                <w:rtl/>
                <w:lang w:eastAsia="he-IL"/>
              </w:rPr>
            </w:pPr>
            <w:r w:rsidRPr="003E6CF5">
              <w:rPr>
                <w:rFonts w:asciiTheme="minorBidi" w:hAnsiTheme="minorBidi" w:cstheme="minorBidi"/>
                <w:color w:val="000000"/>
                <w:sz w:val="16"/>
                <w:szCs w:val="16"/>
                <w:rtl/>
                <w:lang w:eastAsia="he-IL"/>
              </w:rPr>
              <w:t>יתרת פיקדונות הציבור לסוף תקופת הדיווח</w:t>
            </w:r>
          </w:p>
        </w:tc>
        <w:tc>
          <w:tcPr>
            <w:tcW w:w="264" w:type="pct"/>
            <w:vAlign w:val="bottom"/>
          </w:tcPr>
          <w:p w14:paraId="263E5E9D"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vAlign w:val="bottom"/>
          </w:tcPr>
          <w:p w14:paraId="41C061A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vAlign w:val="bottom"/>
          </w:tcPr>
          <w:p w14:paraId="0C6E715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vAlign w:val="bottom"/>
          </w:tcPr>
          <w:p w14:paraId="03FE3F18"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vAlign w:val="bottom"/>
          </w:tcPr>
          <w:p w14:paraId="4BC7293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vAlign w:val="bottom"/>
          </w:tcPr>
          <w:p w14:paraId="32846D2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vAlign w:val="bottom"/>
          </w:tcPr>
          <w:p w14:paraId="1D5D6DE2"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vAlign w:val="bottom"/>
          </w:tcPr>
          <w:p w14:paraId="244D275B"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vAlign w:val="bottom"/>
          </w:tcPr>
          <w:p w14:paraId="3EEBA700"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vAlign w:val="bottom"/>
          </w:tcPr>
          <w:p w14:paraId="717275C7"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vAlign w:val="bottom"/>
          </w:tcPr>
          <w:p w14:paraId="4F1D37C5"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vAlign w:val="bottom"/>
          </w:tcPr>
          <w:p w14:paraId="2EF170BC"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vAlign w:val="bottom"/>
          </w:tcPr>
          <w:p w14:paraId="7F7EB2E9"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E74D2B" w14:paraId="4EF686FE" w14:textId="77777777" w:rsidTr="00400DD1">
        <w:tc>
          <w:tcPr>
            <w:tcW w:w="950" w:type="pct"/>
            <w:vAlign w:val="bottom"/>
          </w:tcPr>
          <w:p w14:paraId="0A129C22" w14:textId="77777777" w:rsidR="00E74D2B" w:rsidRPr="003E6CF5" w:rsidRDefault="00E74D2B" w:rsidP="00400DD1">
            <w:pPr>
              <w:spacing w:line="241" w:lineRule="auto"/>
              <w:ind w:left="172" w:hanging="171"/>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יתרה ממוצעת של נכסי סיכון</w:t>
            </w:r>
            <w:r w:rsidRPr="003E6CF5">
              <w:rPr>
                <w:rFonts w:asciiTheme="minorBidi" w:hAnsiTheme="minorBidi" w:cstheme="minorBidi"/>
                <w:color w:val="000000"/>
                <w:sz w:val="16"/>
                <w:szCs w:val="16"/>
                <w:vertAlign w:val="superscript"/>
                <w:rtl/>
                <w:lang w:eastAsia="he-IL"/>
              </w:rPr>
              <w:t>(א),(ב)</w:t>
            </w:r>
          </w:p>
        </w:tc>
        <w:tc>
          <w:tcPr>
            <w:tcW w:w="264" w:type="pct"/>
            <w:vAlign w:val="bottom"/>
          </w:tcPr>
          <w:p w14:paraId="06FC8970"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vAlign w:val="bottom"/>
          </w:tcPr>
          <w:p w14:paraId="2131534C"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vAlign w:val="bottom"/>
          </w:tcPr>
          <w:p w14:paraId="7C555AA1"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vAlign w:val="bottom"/>
          </w:tcPr>
          <w:p w14:paraId="7182D26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vAlign w:val="bottom"/>
          </w:tcPr>
          <w:p w14:paraId="42CE2291"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vAlign w:val="bottom"/>
          </w:tcPr>
          <w:p w14:paraId="7910DF3A"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vAlign w:val="bottom"/>
          </w:tcPr>
          <w:p w14:paraId="1750AA0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vAlign w:val="bottom"/>
          </w:tcPr>
          <w:p w14:paraId="0C96E4F9"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vAlign w:val="bottom"/>
          </w:tcPr>
          <w:p w14:paraId="13DADA8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vAlign w:val="bottom"/>
          </w:tcPr>
          <w:p w14:paraId="4DFF58F8"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vAlign w:val="bottom"/>
          </w:tcPr>
          <w:p w14:paraId="580504B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vAlign w:val="bottom"/>
          </w:tcPr>
          <w:p w14:paraId="5392225D"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vAlign w:val="bottom"/>
          </w:tcPr>
          <w:p w14:paraId="283D33BC"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E74D2B" w14:paraId="066CB872" w14:textId="77777777" w:rsidTr="00400DD1">
        <w:tc>
          <w:tcPr>
            <w:tcW w:w="950" w:type="pct"/>
            <w:vAlign w:val="bottom"/>
          </w:tcPr>
          <w:p w14:paraId="62A593FD" w14:textId="77777777" w:rsidR="00E74D2B" w:rsidRPr="003E6CF5" w:rsidRDefault="00E74D2B" w:rsidP="00400DD1">
            <w:pPr>
              <w:spacing w:line="241" w:lineRule="auto"/>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יתרת נכסי סיכון לסוף תקופת הדיווח</w:t>
            </w:r>
            <w:r w:rsidRPr="003E6CF5">
              <w:rPr>
                <w:rFonts w:asciiTheme="minorBidi" w:hAnsiTheme="minorBidi" w:cstheme="minorBidi"/>
                <w:color w:val="000000"/>
                <w:sz w:val="16"/>
                <w:szCs w:val="16"/>
                <w:vertAlign w:val="superscript"/>
                <w:rtl/>
                <w:lang w:eastAsia="he-IL"/>
              </w:rPr>
              <w:t>(ב)</w:t>
            </w:r>
          </w:p>
        </w:tc>
        <w:tc>
          <w:tcPr>
            <w:tcW w:w="264" w:type="pct"/>
            <w:vAlign w:val="bottom"/>
          </w:tcPr>
          <w:p w14:paraId="052B495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vAlign w:val="bottom"/>
          </w:tcPr>
          <w:p w14:paraId="68A8A4A8"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vAlign w:val="bottom"/>
          </w:tcPr>
          <w:p w14:paraId="28C1A104"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vAlign w:val="bottom"/>
          </w:tcPr>
          <w:p w14:paraId="274AE415"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vAlign w:val="bottom"/>
          </w:tcPr>
          <w:p w14:paraId="7F1CB3F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vAlign w:val="bottom"/>
          </w:tcPr>
          <w:p w14:paraId="0B322A96"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vAlign w:val="bottom"/>
          </w:tcPr>
          <w:p w14:paraId="1E98742B"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vAlign w:val="bottom"/>
          </w:tcPr>
          <w:p w14:paraId="59AD4786"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vAlign w:val="bottom"/>
          </w:tcPr>
          <w:p w14:paraId="679DB878"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vAlign w:val="bottom"/>
          </w:tcPr>
          <w:p w14:paraId="28BAB6CD"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vAlign w:val="bottom"/>
          </w:tcPr>
          <w:p w14:paraId="1E039CD5"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vAlign w:val="bottom"/>
          </w:tcPr>
          <w:p w14:paraId="0BA4605D"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vAlign w:val="bottom"/>
          </w:tcPr>
          <w:p w14:paraId="3C11801D"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E74D2B" w14:paraId="59302C51" w14:textId="77777777" w:rsidTr="00400DD1">
        <w:tc>
          <w:tcPr>
            <w:tcW w:w="950" w:type="pct"/>
            <w:tcBorders>
              <w:bottom w:val="single" w:sz="8" w:space="0" w:color="auto"/>
            </w:tcBorders>
            <w:vAlign w:val="bottom"/>
          </w:tcPr>
          <w:p w14:paraId="13ECB413" w14:textId="77777777" w:rsidR="00E74D2B" w:rsidRPr="003E6CF5" w:rsidRDefault="00E74D2B" w:rsidP="00400DD1">
            <w:pPr>
              <w:spacing w:line="241" w:lineRule="auto"/>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יתרה ממוצעת של נכסים בניהול</w:t>
            </w:r>
            <w:r w:rsidRPr="003E6CF5">
              <w:rPr>
                <w:rFonts w:asciiTheme="minorBidi" w:hAnsiTheme="minorBidi" w:cstheme="minorBidi"/>
                <w:color w:val="000000"/>
                <w:sz w:val="16"/>
                <w:szCs w:val="16"/>
                <w:vertAlign w:val="superscript"/>
                <w:rtl/>
                <w:lang w:eastAsia="he-IL"/>
              </w:rPr>
              <w:t>(א),(ג)</w:t>
            </w:r>
          </w:p>
        </w:tc>
        <w:tc>
          <w:tcPr>
            <w:tcW w:w="264" w:type="pct"/>
            <w:tcBorders>
              <w:bottom w:val="single" w:sz="8" w:space="0" w:color="auto"/>
            </w:tcBorders>
            <w:vAlign w:val="bottom"/>
          </w:tcPr>
          <w:p w14:paraId="7AC4FB64"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tcBorders>
              <w:bottom w:val="single" w:sz="8" w:space="0" w:color="auto"/>
            </w:tcBorders>
            <w:vAlign w:val="bottom"/>
          </w:tcPr>
          <w:p w14:paraId="71ED17E6"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tcBorders>
              <w:bottom w:val="single" w:sz="8" w:space="0" w:color="auto"/>
            </w:tcBorders>
            <w:vAlign w:val="bottom"/>
          </w:tcPr>
          <w:p w14:paraId="2FBAB40A"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tcBorders>
              <w:bottom w:val="single" w:sz="8" w:space="0" w:color="auto"/>
            </w:tcBorders>
            <w:vAlign w:val="bottom"/>
          </w:tcPr>
          <w:p w14:paraId="2899A340"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tcBorders>
              <w:bottom w:val="single" w:sz="8" w:space="0" w:color="auto"/>
            </w:tcBorders>
            <w:vAlign w:val="bottom"/>
          </w:tcPr>
          <w:p w14:paraId="291889E5"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tcBorders>
              <w:bottom w:val="single" w:sz="8" w:space="0" w:color="auto"/>
            </w:tcBorders>
            <w:vAlign w:val="bottom"/>
          </w:tcPr>
          <w:p w14:paraId="2D6EE026"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tcBorders>
              <w:bottom w:val="single" w:sz="8" w:space="0" w:color="auto"/>
            </w:tcBorders>
            <w:vAlign w:val="bottom"/>
          </w:tcPr>
          <w:p w14:paraId="1199D000"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tcBorders>
              <w:bottom w:val="single" w:sz="8" w:space="0" w:color="auto"/>
            </w:tcBorders>
            <w:vAlign w:val="bottom"/>
          </w:tcPr>
          <w:p w14:paraId="54CD3A55"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tcBorders>
              <w:bottom w:val="single" w:sz="8" w:space="0" w:color="auto"/>
            </w:tcBorders>
            <w:vAlign w:val="bottom"/>
          </w:tcPr>
          <w:p w14:paraId="6043C0C5"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tcBorders>
              <w:bottom w:val="single" w:sz="8" w:space="0" w:color="auto"/>
            </w:tcBorders>
            <w:vAlign w:val="bottom"/>
          </w:tcPr>
          <w:p w14:paraId="22472301"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tcBorders>
              <w:bottom w:val="single" w:sz="8" w:space="0" w:color="auto"/>
            </w:tcBorders>
            <w:vAlign w:val="bottom"/>
          </w:tcPr>
          <w:p w14:paraId="1E16A43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tcBorders>
              <w:bottom w:val="single" w:sz="8" w:space="0" w:color="auto"/>
            </w:tcBorders>
            <w:vAlign w:val="bottom"/>
          </w:tcPr>
          <w:p w14:paraId="65A7D848"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tcBorders>
              <w:bottom w:val="single" w:sz="8" w:space="0" w:color="auto"/>
            </w:tcBorders>
            <w:vAlign w:val="bottom"/>
          </w:tcPr>
          <w:p w14:paraId="7321225D"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E74D2B" w14:paraId="32D0E0D4" w14:textId="77777777" w:rsidTr="00400DD1">
        <w:tc>
          <w:tcPr>
            <w:tcW w:w="950" w:type="pct"/>
            <w:vAlign w:val="bottom"/>
          </w:tcPr>
          <w:p w14:paraId="2820F3DF" w14:textId="77777777" w:rsidR="00E74D2B" w:rsidRPr="003E6CF5" w:rsidRDefault="00E74D2B" w:rsidP="00400DD1">
            <w:pPr>
              <w:spacing w:before="120"/>
              <w:ind w:left="170" w:hanging="170"/>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פיצול הכנסות ריבית, נטו:</w:t>
            </w:r>
          </w:p>
        </w:tc>
        <w:tc>
          <w:tcPr>
            <w:tcW w:w="264" w:type="pct"/>
            <w:vAlign w:val="bottom"/>
          </w:tcPr>
          <w:p w14:paraId="133880B1"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24" w:type="pct"/>
            <w:vAlign w:val="bottom"/>
          </w:tcPr>
          <w:p w14:paraId="79ADAF22"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297" w:type="pct"/>
            <w:vAlign w:val="bottom"/>
          </w:tcPr>
          <w:p w14:paraId="1724AB55"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28" w:type="pct"/>
            <w:vAlign w:val="bottom"/>
          </w:tcPr>
          <w:p w14:paraId="74CD98A5"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17" w:type="pct"/>
            <w:vAlign w:val="bottom"/>
          </w:tcPr>
          <w:p w14:paraId="0E65D7B3"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27" w:type="pct"/>
            <w:vAlign w:val="bottom"/>
          </w:tcPr>
          <w:p w14:paraId="741094EA"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294" w:type="pct"/>
            <w:vAlign w:val="bottom"/>
          </w:tcPr>
          <w:p w14:paraId="3B2DB943"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45" w:type="pct"/>
            <w:gridSpan w:val="2"/>
            <w:vAlign w:val="bottom"/>
          </w:tcPr>
          <w:p w14:paraId="64291AAD"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64" w:type="pct"/>
            <w:vAlign w:val="bottom"/>
          </w:tcPr>
          <w:p w14:paraId="17F148CD"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230" w:type="pct"/>
            <w:vAlign w:val="bottom"/>
          </w:tcPr>
          <w:p w14:paraId="1E828DCF"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83" w:type="pct"/>
            <w:vAlign w:val="bottom"/>
          </w:tcPr>
          <w:p w14:paraId="1186ED8F"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356" w:type="pct"/>
            <w:vAlign w:val="bottom"/>
          </w:tcPr>
          <w:p w14:paraId="005432A3"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c>
          <w:tcPr>
            <w:tcW w:w="221" w:type="pct"/>
            <w:vAlign w:val="bottom"/>
          </w:tcPr>
          <w:p w14:paraId="392746B8" w14:textId="77777777" w:rsidR="00E74D2B" w:rsidRPr="00427850" w:rsidRDefault="00E74D2B" w:rsidP="00400DD1">
            <w:pPr>
              <w:spacing w:line="241" w:lineRule="auto"/>
              <w:ind w:left="85" w:right="85"/>
              <w:jc w:val="left"/>
              <w:rPr>
                <w:rFonts w:asciiTheme="minorBidi" w:hAnsiTheme="minorBidi" w:cstheme="minorBidi"/>
                <w:sz w:val="16"/>
                <w:szCs w:val="16"/>
                <w:rtl/>
              </w:rPr>
            </w:pPr>
          </w:p>
        </w:tc>
      </w:tr>
      <w:tr w:rsidR="00E74D2B" w14:paraId="67B732F7" w14:textId="77777777" w:rsidTr="00400DD1">
        <w:tc>
          <w:tcPr>
            <w:tcW w:w="950" w:type="pct"/>
            <w:vAlign w:val="bottom"/>
          </w:tcPr>
          <w:p w14:paraId="124E0108" w14:textId="77777777" w:rsidR="00E74D2B" w:rsidRPr="003E6CF5" w:rsidRDefault="00E74D2B" w:rsidP="00400DD1">
            <w:pPr>
              <w:spacing w:line="241" w:lineRule="auto"/>
              <w:ind w:left="172" w:hanging="171"/>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מרווח מפעילות מתן אשראי</w:t>
            </w:r>
          </w:p>
        </w:tc>
        <w:tc>
          <w:tcPr>
            <w:tcW w:w="264" w:type="pct"/>
            <w:vAlign w:val="bottom"/>
          </w:tcPr>
          <w:p w14:paraId="558A457B"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vAlign w:val="bottom"/>
          </w:tcPr>
          <w:p w14:paraId="349854A7"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vAlign w:val="bottom"/>
          </w:tcPr>
          <w:p w14:paraId="52F463C2"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vAlign w:val="bottom"/>
          </w:tcPr>
          <w:p w14:paraId="04A3E232"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vAlign w:val="bottom"/>
          </w:tcPr>
          <w:p w14:paraId="1E294E0A"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vAlign w:val="bottom"/>
          </w:tcPr>
          <w:p w14:paraId="31A3A01D"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vAlign w:val="bottom"/>
          </w:tcPr>
          <w:p w14:paraId="6D42412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vAlign w:val="bottom"/>
          </w:tcPr>
          <w:p w14:paraId="21C9DC4B"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vAlign w:val="bottom"/>
          </w:tcPr>
          <w:p w14:paraId="5814F765"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vAlign w:val="bottom"/>
          </w:tcPr>
          <w:p w14:paraId="3763C8D7"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vAlign w:val="bottom"/>
          </w:tcPr>
          <w:p w14:paraId="0A1CB035"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vAlign w:val="bottom"/>
          </w:tcPr>
          <w:p w14:paraId="09A09B67"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vAlign w:val="bottom"/>
          </w:tcPr>
          <w:p w14:paraId="71767018"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E74D2B" w14:paraId="5BBD4CEF" w14:textId="77777777" w:rsidTr="00400DD1">
        <w:tc>
          <w:tcPr>
            <w:tcW w:w="950" w:type="pct"/>
            <w:vAlign w:val="bottom"/>
          </w:tcPr>
          <w:p w14:paraId="7A2B1D72" w14:textId="77777777" w:rsidR="00E74D2B" w:rsidRPr="003E6CF5" w:rsidRDefault="00E74D2B" w:rsidP="00400DD1">
            <w:pPr>
              <w:spacing w:line="241" w:lineRule="auto"/>
              <w:ind w:left="172" w:hanging="171"/>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מרווח מפעילות קבלת פיקדונות</w:t>
            </w:r>
          </w:p>
        </w:tc>
        <w:tc>
          <w:tcPr>
            <w:tcW w:w="264" w:type="pct"/>
            <w:vAlign w:val="bottom"/>
          </w:tcPr>
          <w:p w14:paraId="631597F2"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vAlign w:val="bottom"/>
          </w:tcPr>
          <w:p w14:paraId="4E7310BB"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vAlign w:val="bottom"/>
          </w:tcPr>
          <w:p w14:paraId="2F55AC67"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vAlign w:val="bottom"/>
          </w:tcPr>
          <w:p w14:paraId="04C3B66D"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vAlign w:val="bottom"/>
          </w:tcPr>
          <w:p w14:paraId="633A2041"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vAlign w:val="bottom"/>
          </w:tcPr>
          <w:p w14:paraId="47F44158"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vAlign w:val="bottom"/>
          </w:tcPr>
          <w:p w14:paraId="007B9DB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vAlign w:val="bottom"/>
          </w:tcPr>
          <w:p w14:paraId="215F5486"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vAlign w:val="bottom"/>
          </w:tcPr>
          <w:p w14:paraId="613A4BA1"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vAlign w:val="bottom"/>
          </w:tcPr>
          <w:p w14:paraId="1474589D"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vAlign w:val="bottom"/>
          </w:tcPr>
          <w:p w14:paraId="4E78373B"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vAlign w:val="bottom"/>
          </w:tcPr>
          <w:p w14:paraId="74EBB51C"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vAlign w:val="bottom"/>
          </w:tcPr>
          <w:p w14:paraId="118FFBD8"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E74D2B" w14:paraId="7830DCD0" w14:textId="77777777" w:rsidTr="00400DD1">
        <w:tc>
          <w:tcPr>
            <w:tcW w:w="950" w:type="pct"/>
            <w:vAlign w:val="bottom"/>
          </w:tcPr>
          <w:p w14:paraId="083D40E6" w14:textId="77777777" w:rsidR="00E74D2B" w:rsidRPr="003E6CF5" w:rsidRDefault="00E74D2B" w:rsidP="00400DD1">
            <w:pPr>
              <w:spacing w:line="241" w:lineRule="auto"/>
              <w:ind w:left="172" w:hanging="171"/>
              <w:jc w:val="left"/>
              <w:rPr>
                <w:rFonts w:asciiTheme="minorBidi" w:hAnsiTheme="minorBidi" w:cstheme="minorBidi"/>
                <w:b/>
                <w:bCs/>
                <w:color w:val="000000"/>
                <w:sz w:val="16"/>
                <w:szCs w:val="16"/>
                <w:rtl/>
                <w:lang w:eastAsia="he-IL"/>
              </w:rPr>
            </w:pPr>
            <w:r w:rsidRPr="003E6CF5">
              <w:rPr>
                <w:rFonts w:asciiTheme="minorBidi" w:hAnsiTheme="minorBidi" w:cstheme="minorBidi"/>
                <w:color w:val="000000"/>
                <w:sz w:val="16"/>
                <w:szCs w:val="16"/>
                <w:rtl/>
                <w:lang w:eastAsia="he-IL"/>
              </w:rPr>
              <w:t>אחר</w:t>
            </w:r>
          </w:p>
        </w:tc>
        <w:tc>
          <w:tcPr>
            <w:tcW w:w="264" w:type="pct"/>
            <w:vAlign w:val="bottom"/>
          </w:tcPr>
          <w:p w14:paraId="30EF6364"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vAlign w:val="bottom"/>
          </w:tcPr>
          <w:p w14:paraId="6AC4B0C4"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vAlign w:val="bottom"/>
          </w:tcPr>
          <w:p w14:paraId="16BE4D4F"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vAlign w:val="bottom"/>
          </w:tcPr>
          <w:p w14:paraId="1DA89E27"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vAlign w:val="bottom"/>
          </w:tcPr>
          <w:p w14:paraId="68C7F876"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vAlign w:val="bottom"/>
          </w:tcPr>
          <w:p w14:paraId="5A93ACD8"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vAlign w:val="bottom"/>
          </w:tcPr>
          <w:p w14:paraId="6E5ABC79"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vAlign w:val="bottom"/>
          </w:tcPr>
          <w:p w14:paraId="29FD5E47"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vAlign w:val="bottom"/>
          </w:tcPr>
          <w:p w14:paraId="7816880E"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vAlign w:val="bottom"/>
          </w:tcPr>
          <w:p w14:paraId="136E7F1E"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vAlign w:val="bottom"/>
          </w:tcPr>
          <w:p w14:paraId="110F6975"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vAlign w:val="bottom"/>
          </w:tcPr>
          <w:p w14:paraId="174D72E4"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vAlign w:val="bottom"/>
          </w:tcPr>
          <w:p w14:paraId="113D4FF3" w14:textId="77777777" w:rsidR="00E74D2B" w:rsidRPr="00427850" w:rsidRDefault="00E74D2B" w:rsidP="00400DD1">
            <w:pPr>
              <w:pBdr>
                <w:bottom w:val="single" w:sz="4" w:space="1" w:color="auto"/>
              </w:pBd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r w:rsidR="00E74D2B" w14:paraId="65C17C44" w14:textId="77777777" w:rsidTr="00400DD1">
        <w:tc>
          <w:tcPr>
            <w:tcW w:w="950" w:type="pct"/>
            <w:tcBorders>
              <w:bottom w:val="single" w:sz="8" w:space="0" w:color="auto"/>
            </w:tcBorders>
            <w:vAlign w:val="bottom"/>
          </w:tcPr>
          <w:p w14:paraId="059418F8" w14:textId="77777777" w:rsidR="00E74D2B" w:rsidRPr="003D1CBE" w:rsidRDefault="00E74D2B" w:rsidP="00400DD1">
            <w:pPr>
              <w:spacing w:line="241" w:lineRule="auto"/>
              <w:ind w:left="172" w:hanging="171"/>
              <w:jc w:val="left"/>
              <w:rPr>
                <w:rFonts w:asciiTheme="minorBidi" w:hAnsiTheme="minorBidi" w:cstheme="minorBidi"/>
                <w:color w:val="000000"/>
                <w:sz w:val="16"/>
                <w:szCs w:val="16"/>
                <w:rtl/>
                <w:lang w:eastAsia="he-IL"/>
              </w:rPr>
            </w:pPr>
            <w:r w:rsidRPr="003D1CBE">
              <w:rPr>
                <w:rFonts w:asciiTheme="minorBidi" w:hAnsiTheme="minorBidi" w:cstheme="minorBidi"/>
                <w:color w:val="000000"/>
                <w:sz w:val="16"/>
                <w:szCs w:val="16"/>
                <w:rtl/>
                <w:lang w:eastAsia="he-IL"/>
              </w:rPr>
              <w:t>סך הכל הכנסות ריבית, נטו</w:t>
            </w:r>
          </w:p>
        </w:tc>
        <w:tc>
          <w:tcPr>
            <w:tcW w:w="264" w:type="pct"/>
            <w:tcBorders>
              <w:bottom w:val="single" w:sz="8" w:space="0" w:color="auto"/>
            </w:tcBorders>
            <w:vAlign w:val="bottom"/>
          </w:tcPr>
          <w:p w14:paraId="1D8E89E2"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4" w:type="pct"/>
            <w:tcBorders>
              <w:bottom w:val="single" w:sz="8" w:space="0" w:color="auto"/>
            </w:tcBorders>
            <w:vAlign w:val="bottom"/>
          </w:tcPr>
          <w:p w14:paraId="004C67E4"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7" w:type="pct"/>
            <w:tcBorders>
              <w:bottom w:val="single" w:sz="8" w:space="0" w:color="auto"/>
            </w:tcBorders>
            <w:vAlign w:val="bottom"/>
          </w:tcPr>
          <w:p w14:paraId="0E3A3F91"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8" w:type="pct"/>
            <w:tcBorders>
              <w:bottom w:val="single" w:sz="8" w:space="0" w:color="auto"/>
            </w:tcBorders>
            <w:vAlign w:val="bottom"/>
          </w:tcPr>
          <w:p w14:paraId="6BA557D2"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17" w:type="pct"/>
            <w:tcBorders>
              <w:bottom w:val="single" w:sz="8" w:space="0" w:color="auto"/>
            </w:tcBorders>
            <w:vAlign w:val="bottom"/>
          </w:tcPr>
          <w:p w14:paraId="4126F9B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27" w:type="pct"/>
            <w:tcBorders>
              <w:bottom w:val="single" w:sz="8" w:space="0" w:color="auto"/>
            </w:tcBorders>
            <w:vAlign w:val="bottom"/>
          </w:tcPr>
          <w:p w14:paraId="0F460EFD"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94" w:type="pct"/>
            <w:tcBorders>
              <w:bottom w:val="single" w:sz="8" w:space="0" w:color="auto"/>
            </w:tcBorders>
            <w:vAlign w:val="bottom"/>
          </w:tcPr>
          <w:p w14:paraId="0DB9B3EA"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45" w:type="pct"/>
            <w:gridSpan w:val="2"/>
            <w:tcBorders>
              <w:bottom w:val="single" w:sz="8" w:space="0" w:color="auto"/>
            </w:tcBorders>
            <w:vAlign w:val="bottom"/>
          </w:tcPr>
          <w:p w14:paraId="2837CDBC"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64" w:type="pct"/>
            <w:tcBorders>
              <w:bottom w:val="single" w:sz="8" w:space="0" w:color="auto"/>
            </w:tcBorders>
            <w:vAlign w:val="bottom"/>
          </w:tcPr>
          <w:p w14:paraId="7FDC61D6"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30" w:type="pct"/>
            <w:tcBorders>
              <w:bottom w:val="single" w:sz="8" w:space="0" w:color="auto"/>
            </w:tcBorders>
            <w:vAlign w:val="bottom"/>
          </w:tcPr>
          <w:p w14:paraId="44A245F4"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83" w:type="pct"/>
            <w:tcBorders>
              <w:bottom w:val="single" w:sz="8" w:space="0" w:color="auto"/>
            </w:tcBorders>
            <w:vAlign w:val="bottom"/>
          </w:tcPr>
          <w:p w14:paraId="20627B2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356" w:type="pct"/>
            <w:tcBorders>
              <w:bottom w:val="single" w:sz="8" w:space="0" w:color="auto"/>
            </w:tcBorders>
            <w:vAlign w:val="bottom"/>
          </w:tcPr>
          <w:p w14:paraId="7D1C6FDF"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c>
          <w:tcPr>
            <w:tcW w:w="221" w:type="pct"/>
            <w:tcBorders>
              <w:bottom w:val="single" w:sz="8" w:space="0" w:color="auto"/>
            </w:tcBorders>
            <w:vAlign w:val="bottom"/>
          </w:tcPr>
          <w:p w14:paraId="46FCA7E3" w14:textId="77777777" w:rsidR="00E74D2B" w:rsidRPr="00427850" w:rsidRDefault="00E74D2B" w:rsidP="00400DD1">
            <w:pPr>
              <w:spacing w:line="241" w:lineRule="auto"/>
              <w:ind w:left="85" w:right="85"/>
              <w:jc w:val="left"/>
              <w:rPr>
                <w:rFonts w:asciiTheme="minorBidi" w:hAnsiTheme="minorBidi" w:cstheme="minorBidi"/>
                <w:sz w:val="16"/>
                <w:szCs w:val="16"/>
                <w:rtl/>
              </w:rPr>
            </w:pPr>
            <w:r w:rsidRPr="00427850">
              <w:rPr>
                <w:rFonts w:asciiTheme="minorBidi" w:hAnsiTheme="minorBidi" w:cstheme="minorBidi"/>
                <w:sz w:val="16"/>
                <w:szCs w:val="16"/>
                <w:rtl/>
              </w:rPr>
              <w:t>0</w:t>
            </w:r>
          </w:p>
        </w:tc>
      </w:tr>
    </w:tbl>
    <w:p w14:paraId="028D5FA7" w14:textId="77777777" w:rsidR="00E74D2B" w:rsidRPr="00E74D2B" w:rsidRDefault="00E74D2B">
      <w:pPr>
        <w:rPr>
          <w:rtl/>
        </w:rPr>
      </w:pPr>
    </w:p>
    <w:tbl>
      <w:tblPr>
        <w:bidiVisual/>
        <w:tblW w:w="5000" w:type="pct"/>
        <w:tblInd w:w="10" w:type="dxa"/>
        <w:tblCellMar>
          <w:left w:w="28" w:type="dxa"/>
          <w:right w:w="28" w:type="dxa"/>
        </w:tblCellMar>
        <w:tblLook w:val="04A0" w:firstRow="1" w:lastRow="0" w:firstColumn="1" w:lastColumn="0" w:noHBand="0" w:noVBand="1"/>
      </w:tblPr>
      <w:tblGrid>
        <w:gridCol w:w="10207"/>
      </w:tblGrid>
      <w:tr w:rsidR="00E74D2B" w:rsidRPr="00E604CD" w14:paraId="1CF68E1B" w14:textId="77777777" w:rsidTr="00400DD1">
        <w:tc>
          <w:tcPr>
            <w:tcW w:w="5000" w:type="pct"/>
            <w:vAlign w:val="bottom"/>
          </w:tcPr>
          <w:p w14:paraId="0A1684EF" w14:textId="77777777" w:rsidR="00E74D2B" w:rsidRPr="003E6CF5" w:rsidRDefault="00E74D2B" w:rsidP="00400DD1">
            <w:pPr>
              <w:spacing w:line="241" w:lineRule="auto"/>
              <w:ind w:left="297" w:right="28" w:hanging="269"/>
              <w:jc w:val="left"/>
              <w:rPr>
                <w:sz w:val="16"/>
                <w:szCs w:val="16"/>
                <w:rtl/>
              </w:rPr>
            </w:pPr>
            <w:r w:rsidRPr="003E6CF5">
              <w:rPr>
                <w:color w:val="000000"/>
                <w:sz w:val="16"/>
                <w:szCs w:val="16"/>
                <w:rtl/>
                <w:lang w:eastAsia="he-IL"/>
              </w:rPr>
              <w:t xml:space="preserve">(א) </w:t>
            </w:r>
            <w:r w:rsidRPr="003E6CF5">
              <w:rPr>
                <w:sz w:val="16"/>
                <w:szCs w:val="16"/>
                <w:rtl/>
              </w:rPr>
              <w:tab/>
            </w:r>
            <w:r w:rsidRPr="003E6CF5">
              <w:rPr>
                <w:rFonts w:hint="eastAsia"/>
                <w:sz w:val="16"/>
                <w:szCs w:val="16"/>
                <w:rtl/>
              </w:rPr>
              <w:t>יתרות</w:t>
            </w:r>
            <w:r w:rsidRPr="003E6CF5">
              <w:rPr>
                <w:sz w:val="16"/>
                <w:szCs w:val="16"/>
                <w:rtl/>
              </w:rPr>
              <w:t xml:space="preserve"> </w:t>
            </w:r>
            <w:r w:rsidRPr="003E6CF5">
              <w:rPr>
                <w:rFonts w:hint="eastAsia"/>
                <w:sz w:val="16"/>
                <w:szCs w:val="16"/>
                <w:rtl/>
              </w:rPr>
              <w:t>ממוצעות</w:t>
            </w:r>
            <w:r w:rsidRPr="003E6CF5">
              <w:rPr>
                <w:sz w:val="16"/>
                <w:szCs w:val="16"/>
                <w:rtl/>
              </w:rPr>
              <w:t xml:space="preserve"> </w:t>
            </w:r>
            <w:r w:rsidRPr="003E6CF5">
              <w:rPr>
                <w:rFonts w:hint="eastAsia"/>
                <w:sz w:val="16"/>
                <w:szCs w:val="16"/>
                <w:rtl/>
              </w:rPr>
              <w:t>מחושבות</w:t>
            </w:r>
            <w:r w:rsidRPr="003E6CF5">
              <w:rPr>
                <w:sz w:val="16"/>
                <w:szCs w:val="16"/>
                <w:rtl/>
              </w:rPr>
              <w:t xml:space="preserve"> </w:t>
            </w:r>
            <w:r w:rsidRPr="003E6CF5">
              <w:rPr>
                <w:rFonts w:hint="eastAsia"/>
                <w:sz w:val="16"/>
                <w:szCs w:val="16"/>
                <w:rtl/>
              </w:rPr>
              <w:t>על</w:t>
            </w:r>
            <w:r w:rsidRPr="003E6CF5">
              <w:rPr>
                <w:sz w:val="16"/>
                <w:szCs w:val="16"/>
                <w:rtl/>
              </w:rPr>
              <w:t xml:space="preserve"> </w:t>
            </w:r>
            <w:r w:rsidRPr="003E6CF5">
              <w:rPr>
                <w:rFonts w:hint="eastAsia"/>
                <w:sz w:val="16"/>
                <w:szCs w:val="16"/>
                <w:rtl/>
              </w:rPr>
              <w:t>בסיס</w:t>
            </w:r>
            <w:r w:rsidRPr="003E6CF5">
              <w:rPr>
                <w:sz w:val="16"/>
                <w:szCs w:val="16"/>
                <w:rtl/>
              </w:rPr>
              <w:t xml:space="preserve"> </w:t>
            </w:r>
            <w:r w:rsidRPr="003E6CF5">
              <w:rPr>
                <w:rFonts w:hint="eastAsia"/>
                <w:sz w:val="16"/>
                <w:szCs w:val="16"/>
                <w:rtl/>
              </w:rPr>
              <w:t>יתרות</w:t>
            </w:r>
            <w:r w:rsidRPr="003E6CF5">
              <w:rPr>
                <w:sz w:val="16"/>
                <w:szCs w:val="16"/>
                <w:rtl/>
              </w:rPr>
              <w:t xml:space="preserve"> </w:t>
            </w:r>
            <w:r w:rsidRPr="003E6CF5">
              <w:rPr>
                <w:rFonts w:hint="eastAsia"/>
                <w:sz w:val="16"/>
                <w:szCs w:val="16"/>
                <w:rtl/>
              </w:rPr>
              <w:t>לתחילת</w:t>
            </w:r>
            <w:r w:rsidRPr="003E6CF5">
              <w:rPr>
                <w:sz w:val="16"/>
                <w:szCs w:val="16"/>
                <w:rtl/>
              </w:rPr>
              <w:t xml:space="preserve"> </w:t>
            </w:r>
            <w:r w:rsidRPr="003E6CF5">
              <w:rPr>
                <w:rFonts w:hint="eastAsia"/>
                <w:sz w:val="16"/>
                <w:szCs w:val="16"/>
                <w:rtl/>
              </w:rPr>
              <w:t>רבעון</w:t>
            </w:r>
            <w:r w:rsidRPr="003E6CF5">
              <w:rPr>
                <w:sz w:val="16"/>
                <w:szCs w:val="16"/>
                <w:rtl/>
              </w:rPr>
              <w:t xml:space="preserve"> </w:t>
            </w:r>
            <w:r w:rsidRPr="003E6CF5">
              <w:rPr>
                <w:rFonts w:hint="eastAsia"/>
                <w:sz w:val="16"/>
                <w:szCs w:val="16"/>
                <w:rtl/>
              </w:rPr>
              <w:t>או</w:t>
            </w:r>
            <w:r w:rsidRPr="003E6CF5">
              <w:rPr>
                <w:sz w:val="16"/>
                <w:szCs w:val="16"/>
                <w:rtl/>
              </w:rPr>
              <w:t xml:space="preserve"> </w:t>
            </w:r>
            <w:r w:rsidRPr="003E6CF5">
              <w:rPr>
                <w:rFonts w:hint="eastAsia"/>
                <w:sz w:val="16"/>
                <w:szCs w:val="16"/>
                <w:rtl/>
              </w:rPr>
              <w:t>לתחילת</w:t>
            </w:r>
            <w:r w:rsidRPr="003E6CF5">
              <w:rPr>
                <w:sz w:val="16"/>
                <w:szCs w:val="16"/>
                <w:rtl/>
              </w:rPr>
              <w:t xml:space="preserve"> </w:t>
            </w:r>
            <w:r w:rsidRPr="003E6CF5">
              <w:rPr>
                <w:rFonts w:hint="eastAsia"/>
                <w:sz w:val="16"/>
                <w:szCs w:val="16"/>
                <w:rtl/>
              </w:rPr>
              <w:t>חודש</w:t>
            </w:r>
            <w:r w:rsidRPr="003E6CF5">
              <w:rPr>
                <w:sz w:val="16"/>
                <w:szCs w:val="16"/>
                <w:rtl/>
              </w:rPr>
              <w:t>.</w:t>
            </w:r>
          </w:p>
        </w:tc>
      </w:tr>
      <w:tr w:rsidR="00E74D2B" w:rsidRPr="00E604CD" w14:paraId="26A73884" w14:textId="77777777" w:rsidTr="00400DD1">
        <w:tc>
          <w:tcPr>
            <w:tcW w:w="5000" w:type="pct"/>
            <w:vAlign w:val="bottom"/>
          </w:tcPr>
          <w:p w14:paraId="39B66E03" w14:textId="77777777" w:rsidR="00E74D2B" w:rsidRPr="003E6CF5" w:rsidRDefault="00E74D2B" w:rsidP="00400DD1">
            <w:pPr>
              <w:spacing w:line="241" w:lineRule="auto"/>
              <w:ind w:left="297" w:right="28" w:hanging="269"/>
              <w:jc w:val="left"/>
              <w:rPr>
                <w:color w:val="000000"/>
                <w:sz w:val="16"/>
                <w:szCs w:val="16"/>
                <w:rtl/>
                <w:lang w:eastAsia="he-IL"/>
              </w:rPr>
            </w:pPr>
            <w:r w:rsidRPr="003E6CF5">
              <w:rPr>
                <w:color w:val="000000"/>
                <w:sz w:val="16"/>
                <w:szCs w:val="16"/>
                <w:rtl/>
                <w:lang w:eastAsia="he-IL"/>
              </w:rPr>
              <w:t>(ב)</w:t>
            </w:r>
            <w:r w:rsidRPr="003E6CF5">
              <w:rPr>
                <w:color w:val="000000"/>
                <w:sz w:val="16"/>
                <w:szCs w:val="16"/>
                <w:rtl/>
                <w:lang w:eastAsia="he-IL"/>
              </w:rPr>
              <w:tab/>
            </w:r>
            <w:r w:rsidRPr="003E6CF5">
              <w:rPr>
                <w:rFonts w:hint="eastAsia"/>
                <w:color w:val="000000"/>
                <w:sz w:val="16"/>
                <w:szCs w:val="16"/>
                <w:rtl/>
                <w:lang w:eastAsia="he-IL"/>
              </w:rPr>
              <w:t>נכסי</w:t>
            </w:r>
            <w:r w:rsidRPr="003E6CF5">
              <w:rPr>
                <w:color w:val="000000"/>
                <w:sz w:val="16"/>
                <w:szCs w:val="16"/>
                <w:rtl/>
                <w:lang w:eastAsia="he-IL"/>
              </w:rPr>
              <w:t xml:space="preserve"> </w:t>
            </w:r>
            <w:r w:rsidRPr="003E6CF5">
              <w:rPr>
                <w:rFonts w:hint="eastAsia"/>
                <w:color w:val="000000"/>
                <w:sz w:val="16"/>
                <w:szCs w:val="16"/>
                <w:rtl/>
                <w:lang w:eastAsia="he-IL"/>
              </w:rPr>
              <w:t>סיכון</w:t>
            </w:r>
            <w:r w:rsidRPr="003E6CF5">
              <w:rPr>
                <w:color w:val="000000"/>
                <w:sz w:val="16"/>
                <w:szCs w:val="16"/>
                <w:rtl/>
                <w:lang w:eastAsia="he-IL"/>
              </w:rPr>
              <w:t xml:space="preserve"> - </w:t>
            </w:r>
            <w:r w:rsidRPr="003E6CF5">
              <w:rPr>
                <w:rFonts w:hint="eastAsia"/>
                <w:color w:val="000000"/>
                <w:sz w:val="16"/>
                <w:szCs w:val="16"/>
                <w:rtl/>
                <w:lang w:eastAsia="he-IL"/>
              </w:rPr>
              <w:t>כפי</w:t>
            </w:r>
            <w:r w:rsidRPr="003E6CF5">
              <w:rPr>
                <w:color w:val="000000"/>
                <w:sz w:val="16"/>
                <w:szCs w:val="16"/>
                <w:rtl/>
                <w:lang w:eastAsia="he-IL"/>
              </w:rPr>
              <w:t xml:space="preserve"> </w:t>
            </w:r>
            <w:r w:rsidRPr="003E6CF5">
              <w:rPr>
                <w:rFonts w:hint="eastAsia"/>
                <w:color w:val="000000"/>
                <w:sz w:val="16"/>
                <w:szCs w:val="16"/>
                <w:rtl/>
                <w:lang w:eastAsia="he-IL"/>
              </w:rPr>
              <w:t>שחושבו</w:t>
            </w:r>
            <w:r w:rsidRPr="003E6CF5">
              <w:rPr>
                <w:color w:val="000000"/>
                <w:sz w:val="16"/>
                <w:szCs w:val="16"/>
                <w:rtl/>
                <w:lang w:eastAsia="he-IL"/>
              </w:rPr>
              <w:t xml:space="preserve"> </w:t>
            </w:r>
            <w:r w:rsidRPr="003E6CF5">
              <w:rPr>
                <w:rFonts w:hint="eastAsia"/>
                <w:color w:val="000000"/>
                <w:sz w:val="16"/>
                <w:szCs w:val="16"/>
                <w:rtl/>
                <w:lang w:eastAsia="he-IL"/>
              </w:rPr>
              <w:t>לצורך</w:t>
            </w:r>
            <w:r w:rsidRPr="003E6CF5">
              <w:rPr>
                <w:color w:val="000000"/>
                <w:sz w:val="16"/>
                <w:szCs w:val="16"/>
                <w:rtl/>
                <w:lang w:eastAsia="he-IL"/>
              </w:rPr>
              <w:t xml:space="preserve"> </w:t>
            </w:r>
            <w:r w:rsidRPr="003E6CF5">
              <w:rPr>
                <w:rFonts w:hint="eastAsia"/>
                <w:color w:val="000000"/>
                <w:sz w:val="16"/>
                <w:szCs w:val="16"/>
                <w:rtl/>
                <w:lang w:eastAsia="he-IL"/>
              </w:rPr>
              <w:t>הלימות</w:t>
            </w:r>
            <w:r w:rsidRPr="003E6CF5">
              <w:rPr>
                <w:color w:val="000000"/>
                <w:sz w:val="16"/>
                <w:szCs w:val="16"/>
                <w:rtl/>
                <w:lang w:eastAsia="he-IL"/>
              </w:rPr>
              <w:t xml:space="preserve"> </w:t>
            </w:r>
            <w:r w:rsidRPr="003E6CF5">
              <w:rPr>
                <w:rFonts w:hint="eastAsia"/>
                <w:color w:val="000000"/>
                <w:sz w:val="16"/>
                <w:szCs w:val="16"/>
                <w:rtl/>
                <w:lang w:eastAsia="he-IL"/>
              </w:rPr>
              <w:t>הון</w:t>
            </w:r>
            <w:r w:rsidRPr="003E6CF5">
              <w:rPr>
                <w:color w:val="000000"/>
                <w:sz w:val="16"/>
                <w:szCs w:val="16"/>
                <w:rtl/>
                <w:lang w:eastAsia="he-IL"/>
              </w:rPr>
              <w:t>.</w:t>
            </w:r>
          </w:p>
        </w:tc>
      </w:tr>
      <w:tr w:rsidR="00E74D2B" w:rsidRPr="006D533A" w14:paraId="60E850F0" w14:textId="77777777" w:rsidTr="00400DD1">
        <w:tc>
          <w:tcPr>
            <w:tcW w:w="5000" w:type="pct"/>
            <w:vAlign w:val="bottom"/>
          </w:tcPr>
          <w:p w14:paraId="782FE81B" w14:textId="77777777" w:rsidR="00E74D2B" w:rsidRPr="003E6CF5" w:rsidRDefault="00E74D2B" w:rsidP="00400DD1">
            <w:pPr>
              <w:spacing w:line="241" w:lineRule="auto"/>
              <w:ind w:left="297" w:right="28" w:hanging="269"/>
              <w:jc w:val="left"/>
              <w:rPr>
                <w:color w:val="000000"/>
                <w:sz w:val="16"/>
                <w:szCs w:val="16"/>
                <w:rtl/>
                <w:lang w:eastAsia="he-IL"/>
              </w:rPr>
            </w:pPr>
            <w:r w:rsidRPr="003E6CF5">
              <w:rPr>
                <w:color w:val="000000"/>
                <w:sz w:val="16"/>
                <w:szCs w:val="16"/>
                <w:rtl/>
                <w:lang w:eastAsia="he-IL"/>
              </w:rPr>
              <w:t>(ג)</w:t>
            </w:r>
            <w:r w:rsidRPr="003E6CF5">
              <w:rPr>
                <w:color w:val="000000"/>
                <w:sz w:val="16"/>
                <w:szCs w:val="16"/>
                <w:rtl/>
                <w:lang w:eastAsia="he-IL"/>
              </w:rPr>
              <w:tab/>
            </w:r>
            <w:r w:rsidRPr="003E6CF5">
              <w:rPr>
                <w:rFonts w:hint="eastAsia"/>
                <w:color w:val="000000"/>
                <w:sz w:val="16"/>
                <w:szCs w:val="16"/>
                <w:rtl/>
                <w:lang w:eastAsia="he-IL"/>
              </w:rPr>
              <w:t>נכסים</w:t>
            </w:r>
            <w:r w:rsidRPr="003E6CF5">
              <w:rPr>
                <w:color w:val="000000"/>
                <w:sz w:val="16"/>
                <w:szCs w:val="16"/>
                <w:rtl/>
                <w:lang w:eastAsia="he-IL"/>
              </w:rPr>
              <w:t xml:space="preserve"> </w:t>
            </w:r>
            <w:r w:rsidRPr="003E6CF5">
              <w:rPr>
                <w:rFonts w:hint="eastAsia"/>
                <w:color w:val="000000"/>
                <w:sz w:val="16"/>
                <w:szCs w:val="16"/>
                <w:rtl/>
                <w:lang w:eastAsia="he-IL"/>
              </w:rPr>
              <w:t>בניהול</w:t>
            </w:r>
            <w:r w:rsidRPr="003E6CF5">
              <w:rPr>
                <w:color w:val="000000"/>
                <w:sz w:val="16"/>
                <w:szCs w:val="16"/>
                <w:rtl/>
                <w:lang w:eastAsia="he-IL"/>
              </w:rPr>
              <w:t xml:space="preserve"> - </w:t>
            </w:r>
            <w:r w:rsidRPr="003E6CF5">
              <w:rPr>
                <w:rFonts w:hint="eastAsia"/>
                <w:color w:val="000000"/>
                <w:sz w:val="16"/>
                <w:szCs w:val="16"/>
                <w:rtl/>
                <w:lang w:eastAsia="he-IL"/>
              </w:rPr>
              <w:t>לרבות</w:t>
            </w:r>
            <w:r w:rsidRPr="003E6CF5">
              <w:rPr>
                <w:color w:val="000000"/>
                <w:sz w:val="16"/>
                <w:szCs w:val="16"/>
                <w:rtl/>
                <w:lang w:eastAsia="he-IL"/>
              </w:rPr>
              <w:t xml:space="preserve"> </w:t>
            </w:r>
            <w:r w:rsidRPr="003E6CF5">
              <w:rPr>
                <w:rFonts w:hint="eastAsia"/>
                <w:color w:val="000000"/>
                <w:sz w:val="16"/>
                <w:szCs w:val="16"/>
                <w:rtl/>
                <w:lang w:eastAsia="he-IL"/>
              </w:rPr>
              <w:t>נכסי</w:t>
            </w:r>
            <w:r w:rsidRPr="003E6CF5">
              <w:rPr>
                <w:color w:val="000000"/>
                <w:sz w:val="16"/>
                <w:szCs w:val="16"/>
                <w:rtl/>
                <w:lang w:eastAsia="he-IL"/>
              </w:rPr>
              <w:t xml:space="preserve"> </w:t>
            </w:r>
            <w:r w:rsidRPr="003E6CF5">
              <w:rPr>
                <w:rFonts w:hint="eastAsia"/>
                <w:color w:val="000000"/>
                <w:sz w:val="16"/>
                <w:szCs w:val="16"/>
                <w:rtl/>
                <w:lang w:eastAsia="he-IL"/>
              </w:rPr>
              <w:t>גמל</w:t>
            </w:r>
            <w:r w:rsidRPr="003E6CF5">
              <w:rPr>
                <w:color w:val="000000"/>
                <w:sz w:val="16"/>
                <w:szCs w:val="16"/>
                <w:rtl/>
                <w:lang w:eastAsia="he-IL"/>
              </w:rPr>
              <w:t xml:space="preserve">, </w:t>
            </w:r>
            <w:r w:rsidRPr="003E6CF5">
              <w:rPr>
                <w:rFonts w:hint="eastAsia"/>
                <w:color w:val="000000"/>
                <w:sz w:val="16"/>
                <w:szCs w:val="16"/>
                <w:rtl/>
                <w:lang w:eastAsia="he-IL"/>
              </w:rPr>
              <w:t>קרנות</w:t>
            </w:r>
            <w:r w:rsidRPr="003E6CF5">
              <w:rPr>
                <w:color w:val="000000"/>
                <w:sz w:val="16"/>
                <w:szCs w:val="16"/>
                <w:rtl/>
                <w:lang w:eastAsia="he-IL"/>
              </w:rPr>
              <w:t xml:space="preserve"> </w:t>
            </w:r>
            <w:r w:rsidRPr="003E6CF5">
              <w:rPr>
                <w:rFonts w:hint="eastAsia"/>
                <w:color w:val="000000"/>
                <w:sz w:val="16"/>
                <w:szCs w:val="16"/>
                <w:rtl/>
                <w:lang w:eastAsia="he-IL"/>
              </w:rPr>
              <w:t>השתלמות</w:t>
            </w:r>
            <w:r w:rsidRPr="003E6CF5">
              <w:rPr>
                <w:color w:val="000000"/>
                <w:sz w:val="16"/>
                <w:szCs w:val="16"/>
                <w:rtl/>
                <w:lang w:eastAsia="he-IL"/>
              </w:rPr>
              <w:t xml:space="preserve">, </w:t>
            </w:r>
            <w:r w:rsidRPr="003E6CF5">
              <w:rPr>
                <w:rFonts w:hint="eastAsia"/>
                <w:color w:val="000000"/>
                <w:sz w:val="16"/>
                <w:szCs w:val="16"/>
                <w:rtl/>
                <w:lang w:eastAsia="he-IL"/>
              </w:rPr>
              <w:t>קרנות</w:t>
            </w:r>
            <w:r w:rsidRPr="003E6CF5">
              <w:rPr>
                <w:color w:val="000000"/>
                <w:sz w:val="16"/>
                <w:szCs w:val="16"/>
                <w:rtl/>
                <w:lang w:eastAsia="he-IL"/>
              </w:rPr>
              <w:t xml:space="preserve"> </w:t>
            </w:r>
            <w:r w:rsidRPr="003E6CF5">
              <w:rPr>
                <w:rFonts w:hint="eastAsia"/>
                <w:color w:val="000000"/>
                <w:sz w:val="16"/>
                <w:szCs w:val="16"/>
                <w:rtl/>
                <w:lang w:eastAsia="he-IL"/>
              </w:rPr>
              <w:t>נאמנות</w:t>
            </w:r>
            <w:r w:rsidRPr="003E6CF5">
              <w:rPr>
                <w:color w:val="000000"/>
                <w:sz w:val="16"/>
                <w:szCs w:val="16"/>
                <w:rtl/>
                <w:lang w:eastAsia="he-IL"/>
              </w:rPr>
              <w:t xml:space="preserve"> </w:t>
            </w:r>
            <w:r w:rsidRPr="003E6CF5">
              <w:rPr>
                <w:rFonts w:hint="eastAsia"/>
                <w:color w:val="000000"/>
                <w:sz w:val="16"/>
                <w:szCs w:val="16"/>
                <w:rtl/>
                <w:lang w:eastAsia="he-IL"/>
              </w:rPr>
              <w:t>וניירות</w:t>
            </w:r>
            <w:r w:rsidRPr="003E6CF5">
              <w:rPr>
                <w:color w:val="000000"/>
                <w:sz w:val="16"/>
                <w:szCs w:val="16"/>
                <w:rtl/>
                <w:lang w:eastAsia="he-IL"/>
              </w:rPr>
              <w:t xml:space="preserve"> </w:t>
            </w:r>
            <w:r w:rsidRPr="003E6CF5">
              <w:rPr>
                <w:rFonts w:hint="eastAsia"/>
                <w:color w:val="000000"/>
                <w:sz w:val="16"/>
                <w:szCs w:val="16"/>
                <w:rtl/>
                <w:lang w:eastAsia="he-IL"/>
              </w:rPr>
              <w:t>ערך</w:t>
            </w:r>
            <w:r w:rsidRPr="003E6CF5">
              <w:rPr>
                <w:color w:val="000000"/>
                <w:sz w:val="16"/>
                <w:szCs w:val="16"/>
                <w:rtl/>
                <w:lang w:eastAsia="he-IL"/>
              </w:rPr>
              <w:t xml:space="preserve"> </w:t>
            </w:r>
            <w:r w:rsidRPr="003E6CF5">
              <w:rPr>
                <w:rFonts w:hint="eastAsia"/>
                <w:color w:val="000000"/>
                <w:sz w:val="16"/>
                <w:szCs w:val="16"/>
                <w:rtl/>
                <w:lang w:eastAsia="he-IL"/>
              </w:rPr>
              <w:t>של</w:t>
            </w:r>
            <w:r w:rsidRPr="003E6CF5">
              <w:rPr>
                <w:color w:val="000000"/>
                <w:sz w:val="16"/>
                <w:szCs w:val="16"/>
                <w:rtl/>
                <w:lang w:eastAsia="he-IL"/>
              </w:rPr>
              <w:t xml:space="preserve"> </w:t>
            </w:r>
            <w:r w:rsidRPr="003E6CF5">
              <w:rPr>
                <w:rFonts w:hint="eastAsia"/>
                <w:color w:val="000000"/>
                <w:sz w:val="16"/>
                <w:szCs w:val="16"/>
                <w:rtl/>
                <w:lang w:eastAsia="he-IL"/>
              </w:rPr>
              <w:t>לקוחות</w:t>
            </w:r>
            <w:r w:rsidRPr="003E6CF5">
              <w:rPr>
                <w:color w:val="000000"/>
                <w:sz w:val="16"/>
                <w:szCs w:val="16"/>
                <w:rtl/>
                <w:lang w:eastAsia="he-IL"/>
              </w:rPr>
              <w:t>.</w:t>
            </w:r>
          </w:p>
        </w:tc>
      </w:tr>
    </w:tbl>
    <w:p w14:paraId="5ACBE294" w14:textId="1A3C68C2" w:rsidR="00E74D2B" w:rsidRDefault="00E74D2B">
      <w:pPr>
        <w:rPr>
          <w:rtl/>
        </w:rPr>
      </w:pPr>
    </w:p>
    <w:p w14:paraId="1A8BA93B" w14:textId="77777777" w:rsidR="00E74D2B" w:rsidRDefault="00E74D2B">
      <w:pPr>
        <w:bidi w:val="0"/>
        <w:jc w:val="left"/>
      </w:pPr>
      <w:r>
        <w:rPr>
          <w:rtl/>
        </w:rPr>
        <w:br w:type="page"/>
      </w:r>
    </w:p>
    <w:tbl>
      <w:tblPr>
        <w:tblpPr w:leftFromText="180" w:rightFromText="180" w:vertAnchor="page" w:horzAnchor="margin" w:tblpXSpec="center" w:tblpY="2305"/>
        <w:bidiVisual/>
        <w:tblW w:w="5347" w:type="pct"/>
        <w:tblCellMar>
          <w:left w:w="28" w:type="dxa"/>
          <w:right w:w="28" w:type="dxa"/>
        </w:tblCellMar>
        <w:tblLook w:val="04A0" w:firstRow="1" w:lastRow="0" w:firstColumn="1" w:lastColumn="0" w:noHBand="0" w:noVBand="1"/>
      </w:tblPr>
      <w:tblGrid>
        <w:gridCol w:w="2077"/>
        <w:gridCol w:w="576"/>
        <w:gridCol w:w="707"/>
        <w:gridCol w:w="648"/>
        <w:gridCol w:w="716"/>
        <w:gridCol w:w="692"/>
        <w:gridCol w:w="714"/>
        <w:gridCol w:w="642"/>
        <w:gridCol w:w="11"/>
        <w:gridCol w:w="742"/>
        <w:gridCol w:w="795"/>
        <w:gridCol w:w="502"/>
        <w:gridCol w:w="836"/>
        <w:gridCol w:w="777"/>
        <w:gridCol w:w="480"/>
      </w:tblGrid>
      <w:tr w:rsidR="00A82C7F" w:rsidRPr="006501FC" w14:paraId="753B99A2" w14:textId="77777777" w:rsidTr="00A82C7F">
        <w:tc>
          <w:tcPr>
            <w:tcW w:w="5000" w:type="pct"/>
            <w:gridSpan w:val="15"/>
            <w:vAlign w:val="bottom"/>
          </w:tcPr>
          <w:p w14:paraId="4183B821" w14:textId="77777777" w:rsidR="00A82C7F" w:rsidRPr="006501FC" w:rsidRDefault="00A82C7F" w:rsidP="00A82C7F">
            <w:pPr>
              <w:spacing w:after="60" w:line="228" w:lineRule="auto"/>
              <w:ind w:left="1388" w:right="85"/>
              <w:jc w:val="left"/>
              <w:rPr>
                <w:rFonts w:asciiTheme="minorBidi" w:hAnsiTheme="minorBidi" w:cstheme="minorBidi"/>
                <w:b/>
                <w:bCs/>
                <w:sz w:val="15"/>
                <w:szCs w:val="15"/>
                <w:rtl/>
              </w:rPr>
            </w:pPr>
            <w:r w:rsidRPr="000E53E1">
              <w:rPr>
                <w:rFonts w:asciiTheme="minorBidi" w:hAnsiTheme="minorBidi"/>
                <w:b/>
                <w:bCs/>
                <w:sz w:val="18"/>
                <w:szCs w:val="18"/>
                <w:rtl/>
              </w:rPr>
              <w:lastRenderedPageBreak/>
              <w:t>ביאור 1</w:t>
            </w:r>
            <w:r w:rsidRPr="000E53E1">
              <w:rPr>
                <w:rFonts w:asciiTheme="minorBidi" w:hAnsiTheme="minorBidi" w:hint="cs"/>
                <w:b/>
                <w:bCs/>
                <w:sz w:val="18"/>
                <w:szCs w:val="18"/>
                <w:rtl/>
              </w:rPr>
              <w:t>1</w:t>
            </w:r>
            <w:r w:rsidRPr="000E53E1">
              <w:rPr>
                <w:rFonts w:asciiTheme="minorBidi" w:hAnsiTheme="minorBidi"/>
                <w:b/>
                <w:bCs/>
                <w:sz w:val="18"/>
                <w:szCs w:val="18"/>
                <w:rtl/>
              </w:rPr>
              <w:t xml:space="preserve">  -  </w:t>
            </w:r>
            <w:r w:rsidRPr="000E53E1">
              <w:rPr>
                <w:sz w:val="18"/>
                <w:szCs w:val="18"/>
                <w:rtl/>
              </w:rPr>
              <w:t xml:space="preserve"> </w:t>
            </w:r>
            <w:r w:rsidRPr="00A82C7F">
              <w:rPr>
                <w:sz w:val="18"/>
                <w:szCs w:val="18"/>
                <w:rtl/>
              </w:rPr>
              <w:t>מגזרי</w:t>
            </w:r>
            <w:r w:rsidRPr="000E53E1">
              <w:rPr>
                <w:rFonts w:asciiTheme="minorBidi" w:hAnsiTheme="minorBidi"/>
                <w:b/>
                <w:bCs/>
                <w:sz w:val="18"/>
                <w:szCs w:val="18"/>
                <w:rtl/>
              </w:rPr>
              <w:t xml:space="preserve"> פעילות פיקוחיים (המשך):</w:t>
            </w:r>
          </w:p>
        </w:tc>
      </w:tr>
      <w:tr w:rsidR="006501FC" w:rsidRPr="006501FC" w14:paraId="6F8C32E7" w14:textId="77777777" w:rsidTr="006501FC">
        <w:tc>
          <w:tcPr>
            <w:tcW w:w="951" w:type="pct"/>
            <w:vAlign w:val="bottom"/>
          </w:tcPr>
          <w:p w14:paraId="0A81DF48" w14:textId="79282476" w:rsidR="006501FC" w:rsidRPr="006501FC" w:rsidRDefault="006501FC" w:rsidP="00400DD1">
            <w:pPr>
              <w:spacing w:line="228" w:lineRule="auto"/>
              <w:ind w:left="57" w:right="57" w:hanging="144"/>
              <w:jc w:val="center"/>
              <w:rPr>
                <w:rFonts w:asciiTheme="minorBidi" w:hAnsiTheme="minorBidi" w:cstheme="minorBidi"/>
                <w:color w:val="000000"/>
                <w:sz w:val="15"/>
                <w:szCs w:val="15"/>
                <w:rtl/>
                <w:lang w:eastAsia="he-IL"/>
              </w:rPr>
            </w:pPr>
            <w:r w:rsidRPr="006501FC">
              <w:rPr>
                <w:rFonts w:asciiTheme="minorBidi" w:hAnsiTheme="minorBidi" w:cstheme="minorBidi"/>
                <w:sz w:val="15"/>
                <w:szCs w:val="15"/>
                <w:rtl/>
              </w:rPr>
              <w:t>מתכונת ביאור עמ' 663-</w:t>
            </w:r>
            <w:r w:rsidR="004643B8">
              <w:rPr>
                <w:rFonts w:asciiTheme="minorBidi" w:hAnsiTheme="minorBidi" w:cstheme="minorBidi" w:hint="cs"/>
                <w:sz w:val="15"/>
                <w:szCs w:val="15"/>
                <w:rtl/>
              </w:rPr>
              <w:t>44</w:t>
            </w:r>
          </w:p>
        </w:tc>
        <w:tc>
          <w:tcPr>
            <w:tcW w:w="4049" w:type="pct"/>
            <w:gridSpan w:val="14"/>
            <w:vAlign w:val="bottom"/>
          </w:tcPr>
          <w:p w14:paraId="335F7159" w14:textId="4D1BDC1B" w:rsidR="006501FC" w:rsidRPr="00F75066" w:rsidRDefault="006501FC" w:rsidP="00F75066">
            <w:pPr>
              <w:spacing w:line="228" w:lineRule="auto"/>
              <w:ind w:left="85" w:right="85"/>
              <w:jc w:val="center"/>
              <w:rPr>
                <w:rFonts w:asciiTheme="minorBidi" w:hAnsiTheme="minorBidi" w:cstheme="minorBidi"/>
                <w:b/>
                <w:bCs/>
                <w:sz w:val="16"/>
                <w:szCs w:val="16"/>
                <w:u w:val="single"/>
                <w:rtl/>
              </w:rPr>
            </w:pPr>
            <w:r w:rsidRPr="00F75066">
              <w:rPr>
                <w:rFonts w:asciiTheme="minorBidi" w:hAnsiTheme="minorBidi" w:cstheme="minorBidi" w:hint="cs"/>
                <w:b/>
                <w:bCs/>
                <w:sz w:val="16"/>
                <w:szCs w:val="16"/>
                <w:u w:val="single"/>
                <w:rtl/>
              </w:rPr>
              <w:t>לשנה שהסתיימה</w:t>
            </w:r>
            <w:r w:rsidRPr="00F75066">
              <w:rPr>
                <w:rFonts w:asciiTheme="minorBidi" w:hAnsiTheme="minorBidi" w:cstheme="minorBidi"/>
                <w:b/>
                <w:bCs/>
                <w:sz w:val="16"/>
                <w:szCs w:val="16"/>
                <w:u w:val="single"/>
                <w:rtl/>
              </w:rPr>
              <w:t xml:space="preserve"> ביום </w:t>
            </w:r>
            <w:r w:rsidRPr="00F75066">
              <w:rPr>
                <w:rFonts w:asciiTheme="minorBidi" w:hAnsiTheme="minorBidi" w:cstheme="minorBidi" w:hint="cs"/>
                <w:b/>
                <w:bCs/>
                <w:sz w:val="16"/>
                <w:szCs w:val="16"/>
                <w:u w:val="single"/>
                <w:rtl/>
              </w:rPr>
              <w:t>31</w:t>
            </w:r>
            <w:r w:rsidRPr="00F75066">
              <w:rPr>
                <w:rFonts w:asciiTheme="minorBidi" w:hAnsiTheme="minorBidi" w:cstheme="minorBidi"/>
                <w:b/>
                <w:bCs/>
                <w:sz w:val="16"/>
                <w:szCs w:val="16"/>
                <w:u w:val="single"/>
                <w:rtl/>
              </w:rPr>
              <w:t xml:space="preserve"> </w:t>
            </w:r>
            <w:r w:rsidRPr="00F75066">
              <w:rPr>
                <w:rFonts w:asciiTheme="minorBidi" w:hAnsiTheme="minorBidi" w:cstheme="minorBidi" w:hint="cs"/>
                <w:b/>
                <w:bCs/>
                <w:sz w:val="16"/>
                <w:szCs w:val="16"/>
                <w:u w:val="single"/>
                <w:rtl/>
              </w:rPr>
              <w:t>בדצמבר</w:t>
            </w:r>
            <w:r w:rsidRPr="00F75066">
              <w:rPr>
                <w:rFonts w:asciiTheme="minorBidi" w:hAnsiTheme="minorBidi" w:cstheme="minorBidi"/>
                <w:b/>
                <w:bCs/>
                <w:sz w:val="16"/>
                <w:szCs w:val="16"/>
                <w:u w:val="single"/>
                <w:rtl/>
              </w:rPr>
              <w:t xml:space="preserve"> </w:t>
            </w:r>
            <w:r w:rsidRPr="00F75066">
              <w:rPr>
                <w:rFonts w:asciiTheme="minorBidi" w:hAnsiTheme="minorBidi" w:cstheme="minorBidi"/>
                <w:b/>
                <w:bCs/>
                <w:sz w:val="16"/>
                <w:szCs w:val="16"/>
                <w:u w:val="single"/>
                <w:rtl/>
              </w:rPr>
              <w:fldChar w:fldCharType="begin"/>
            </w:r>
            <w:r w:rsidRPr="00F75066">
              <w:rPr>
                <w:rFonts w:asciiTheme="minorBidi" w:hAnsiTheme="minorBidi" w:cstheme="minorBidi"/>
                <w:b/>
                <w:bCs/>
                <w:sz w:val="16"/>
                <w:szCs w:val="16"/>
                <w:u w:val="single"/>
                <w:rtl/>
              </w:rPr>
              <w:instrText xml:space="preserve"> = </w:instrText>
            </w:r>
            <w:r w:rsidRPr="00F75066">
              <w:rPr>
                <w:rFonts w:asciiTheme="minorBidi" w:hAnsiTheme="minorBidi" w:cstheme="minorBidi"/>
                <w:b/>
                <w:bCs/>
                <w:sz w:val="16"/>
                <w:szCs w:val="16"/>
                <w:u w:val="single"/>
              </w:rPr>
              <w:instrText>CY-1 \* MERGEFORMAT</w:instrText>
            </w:r>
            <w:r w:rsidRPr="00F75066">
              <w:rPr>
                <w:rFonts w:asciiTheme="minorBidi" w:hAnsiTheme="minorBidi" w:cstheme="minorBidi"/>
                <w:b/>
                <w:bCs/>
                <w:sz w:val="16"/>
                <w:szCs w:val="16"/>
                <w:u w:val="single"/>
                <w:rtl/>
              </w:rPr>
              <w:instrText xml:space="preserve"> </w:instrText>
            </w:r>
            <w:r w:rsidRPr="00F75066">
              <w:rPr>
                <w:rFonts w:asciiTheme="minorBidi" w:hAnsiTheme="minorBidi" w:cstheme="minorBidi"/>
                <w:b/>
                <w:bCs/>
                <w:sz w:val="16"/>
                <w:szCs w:val="16"/>
                <w:u w:val="single"/>
                <w:rtl/>
              </w:rPr>
              <w:fldChar w:fldCharType="separate"/>
            </w:r>
            <w:r w:rsidRPr="00F75066">
              <w:rPr>
                <w:rFonts w:asciiTheme="minorBidi" w:hAnsiTheme="minorBidi" w:cstheme="minorBidi"/>
                <w:b/>
                <w:bCs/>
                <w:noProof/>
                <w:sz w:val="16"/>
                <w:szCs w:val="16"/>
                <w:u w:val="single"/>
                <w:rtl/>
              </w:rPr>
              <w:t>2023</w:t>
            </w:r>
            <w:r w:rsidRPr="00F75066">
              <w:rPr>
                <w:rFonts w:asciiTheme="minorBidi" w:hAnsiTheme="minorBidi" w:cstheme="minorBidi"/>
                <w:b/>
                <w:bCs/>
                <w:sz w:val="16"/>
                <w:szCs w:val="16"/>
                <w:u w:val="single"/>
                <w:rtl/>
              </w:rPr>
              <w:fldChar w:fldCharType="end"/>
            </w:r>
            <w:r w:rsidRPr="00F75066">
              <w:rPr>
                <w:rFonts w:asciiTheme="minorBidi" w:hAnsiTheme="minorBidi" w:cstheme="minorBidi" w:hint="cs"/>
                <w:b/>
                <w:bCs/>
                <w:sz w:val="16"/>
                <w:szCs w:val="16"/>
                <w:u w:val="single"/>
                <w:rtl/>
              </w:rPr>
              <w:t xml:space="preserve"> </w:t>
            </w:r>
            <w:r w:rsidRPr="00F75066">
              <w:rPr>
                <w:rFonts w:asciiTheme="minorBidi" w:hAnsiTheme="minorBidi" w:cstheme="minorBidi" w:hint="cs"/>
                <w:sz w:val="16"/>
                <w:szCs w:val="16"/>
                <w:u w:val="single"/>
                <w:rtl/>
              </w:rPr>
              <w:t>(</w:t>
            </w:r>
            <w:r w:rsidRPr="00F75066">
              <w:rPr>
                <w:rFonts w:asciiTheme="minorBidi" w:hAnsiTheme="minorBidi" w:cstheme="minorBidi"/>
                <w:sz w:val="16"/>
                <w:szCs w:val="16"/>
                <w:u w:val="single"/>
                <w:rtl/>
              </w:rPr>
              <w:t>מבוקר</w:t>
            </w:r>
            <w:r w:rsidRPr="00F75066">
              <w:rPr>
                <w:rFonts w:asciiTheme="minorBidi" w:hAnsiTheme="minorBidi" w:cstheme="minorBidi" w:hint="cs"/>
                <w:sz w:val="16"/>
                <w:szCs w:val="16"/>
                <w:u w:val="single"/>
                <w:rtl/>
              </w:rPr>
              <w:t>)</w:t>
            </w:r>
          </w:p>
        </w:tc>
      </w:tr>
      <w:tr w:rsidR="006501FC" w:rsidRPr="006501FC" w14:paraId="11E0B286" w14:textId="77777777" w:rsidTr="00A82C7F">
        <w:tc>
          <w:tcPr>
            <w:tcW w:w="951" w:type="pct"/>
            <w:vAlign w:val="bottom"/>
          </w:tcPr>
          <w:p w14:paraId="7089C45F" w14:textId="77777777" w:rsidR="006501FC" w:rsidRPr="006501FC" w:rsidRDefault="006501FC" w:rsidP="00400DD1">
            <w:pPr>
              <w:spacing w:line="228" w:lineRule="auto"/>
              <w:ind w:left="57" w:right="57" w:hanging="144"/>
              <w:jc w:val="center"/>
              <w:rPr>
                <w:rFonts w:asciiTheme="minorBidi" w:hAnsiTheme="minorBidi" w:cstheme="minorBidi"/>
                <w:color w:val="000000"/>
                <w:sz w:val="15"/>
                <w:szCs w:val="15"/>
                <w:rtl/>
                <w:lang w:eastAsia="he-IL"/>
              </w:rPr>
            </w:pPr>
          </w:p>
        </w:tc>
        <w:tc>
          <w:tcPr>
            <w:tcW w:w="3473" w:type="pct"/>
            <w:gridSpan w:val="12"/>
            <w:vAlign w:val="bottom"/>
          </w:tcPr>
          <w:p w14:paraId="703F6579"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b/>
                <w:bCs/>
                <w:sz w:val="15"/>
                <w:szCs w:val="15"/>
                <w:rtl/>
              </w:rPr>
            </w:pPr>
            <w:r w:rsidRPr="006501FC">
              <w:rPr>
                <w:rFonts w:asciiTheme="minorBidi" w:hAnsiTheme="minorBidi" w:cstheme="minorBidi"/>
                <w:b/>
                <w:bCs/>
                <w:sz w:val="15"/>
                <w:szCs w:val="15"/>
                <w:rtl/>
              </w:rPr>
              <w:t>פעילות ישראל</w:t>
            </w:r>
          </w:p>
        </w:tc>
        <w:tc>
          <w:tcPr>
            <w:tcW w:w="356" w:type="pct"/>
            <w:vAlign w:val="bottom"/>
          </w:tcPr>
          <w:p w14:paraId="4B24C1A0"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b/>
                <w:bCs/>
                <w:sz w:val="15"/>
                <w:szCs w:val="15"/>
                <w:rtl/>
              </w:rPr>
            </w:pPr>
            <w:r w:rsidRPr="006501FC">
              <w:rPr>
                <w:rFonts w:asciiTheme="minorBidi" w:hAnsiTheme="minorBidi" w:cstheme="minorBidi"/>
                <w:b/>
                <w:bCs/>
                <w:sz w:val="15"/>
                <w:szCs w:val="15"/>
                <w:rtl/>
              </w:rPr>
              <w:t>פעילות חו"ל</w:t>
            </w:r>
          </w:p>
        </w:tc>
        <w:tc>
          <w:tcPr>
            <w:tcW w:w="220" w:type="pct"/>
            <w:vAlign w:val="bottom"/>
          </w:tcPr>
          <w:p w14:paraId="5C24FBE7" w14:textId="77777777" w:rsidR="006501FC" w:rsidRPr="006501FC" w:rsidRDefault="006501FC" w:rsidP="00400DD1">
            <w:pPr>
              <w:spacing w:line="228" w:lineRule="auto"/>
              <w:ind w:left="85" w:right="85"/>
              <w:jc w:val="center"/>
              <w:rPr>
                <w:rFonts w:asciiTheme="minorBidi" w:hAnsiTheme="minorBidi" w:cstheme="minorBidi"/>
                <w:b/>
                <w:bCs/>
                <w:sz w:val="15"/>
                <w:szCs w:val="15"/>
                <w:rtl/>
              </w:rPr>
            </w:pPr>
          </w:p>
        </w:tc>
      </w:tr>
      <w:tr w:rsidR="006501FC" w:rsidRPr="006501FC" w14:paraId="69B685C4" w14:textId="77777777" w:rsidTr="00A82C7F">
        <w:tc>
          <w:tcPr>
            <w:tcW w:w="951" w:type="pct"/>
            <w:vAlign w:val="bottom"/>
          </w:tcPr>
          <w:p w14:paraId="742D7DD7" w14:textId="77777777" w:rsidR="006501FC" w:rsidRPr="006501FC" w:rsidRDefault="006501FC" w:rsidP="00400DD1">
            <w:pPr>
              <w:spacing w:line="228" w:lineRule="auto"/>
              <w:ind w:left="57" w:right="57" w:hanging="144"/>
              <w:jc w:val="center"/>
              <w:rPr>
                <w:rFonts w:asciiTheme="minorBidi" w:hAnsiTheme="minorBidi" w:cstheme="minorBidi"/>
                <w:color w:val="000000"/>
                <w:sz w:val="15"/>
                <w:szCs w:val="15"/>
                <w:rtl/>
                <w:lang w:eastAsia="he-IL"/>
              </w:rPr>
            </w:pPr>
          </w:p>
        </w:tc>
        <w:tc>
          <w:tcPr>
            <w:tcW w:w="885" w:type="pct"/>
            <w:gridSpan w:val="3"/>
            <w:vAlign w:val="bottom"/>
          </w:tcPr>
          <w:p w14:paraId="1041A608" w14:textId="77777777" w:rsidR="006501FC" w:rsidRPr="006501FC" w:rsidDel="003645D5"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משקי בית</w:t>
            </w:r>
          </w:p>
        </w:tc>
        <w:tc>
          <w:tcPr>
            <w:tcW w:w="328" w:type="pct"/>
            <w:vAlign w:val="bottom"/>
          </w:tcPr>
          <w:p w14:paraId="418B3D60" w14:textId="77777777" w:rsidR="006501FC" w:rsidRPr="006501FC" w:rsidRDefault="006501FC" w:rsidP="00400DD1">
            <w:pPr>
              <w:spacing w:line="228" w:lineRule="auto"/>
              <w:ind w:left="85" w:right="85"/>
              <w:jc w:val="center"/>
              <w:rPr>
                <w:rFonts w:asciiTheme="minorBidi" w:hAnsiTheme="minorBidi" w:cstheme="minorBidi"/>
                <w:sz w:val="15"/>
                <w:szCs w:val="15"/>
                <w:rtl/>
              </w:rPr>
            </w:pPr>
          </w:p>
        </w:tc>
        <w:tc>
          <w:tcPr>
            <w:tcW w:w="317" w:type="pct"/>
            <w:vAlign w:val="bottom"/>
          </w:tcPr>
          <w:p w14:paraId="15BE55C2" w14:textId="77777777" w:rsidR="006501FC" w:rsidRPr="006501FC" w:rsidRDefault="006501FC" w:rsidP="00400DD1">
            <w:pPr>
              <w:spacing w:line="228" w:lineRule="auto"/>
              <w:ind w:left="85" w:right="85"/>
              <w:jc w:val="center"/>
              <w:rPr>
                <w:rFonts w:asciiTheme="minorBidi" w:hAnsiTheme="minorBidi" w:cstheme="minorBidi"/>
                <w:sz w:val="15"/>
                <w:szCs w:val="15"/>
                <w:rtl/>
              </w:rPr>
            </w:pPr>
          </w:p>
        </w:tc>
        <w:tc>
          <w:tcPr>
            <w:tcW w:w="327" w:type="pct"/>
            <w:vAlign w:val="bottom"/>
          </w:tcPr>
          <w:p w14:paraId="41ECAAB3" w14:textId="77777777" w:rsidR="006501FC" w:rsidRPr="006501FC" w:rsidRDefault="006501FC" w:rsidP="00400DD1">
            <w:pPr>
              <w:spacing w:line="228" w:lineRule="auto"/>
              <w:ind w:left="85" w:right="85"/>
              <w:jc w:val="center"/>
              <w:rPr>
                <w:rFonts w:asciiTheme="minorBidi" w:hAnsiTheme="minorBidi" w:cstheme="minorBidi"/>
                <w:sz w:val="15"/>
                <w:szCs w:val="15"/>
                <w:rtl/>
              </w:rPr>
            </w:pPr>
          </w:p>
        </w:tc>
        <w:tc>
          <w:tcPr>
            <w:tcW w:w="299" w:type="pct"/>
            <w:gridSpan w:val="2"/>
            <w:vAlign w:val="bottom"/>
          </w:tcPr>
          <w:p w14:paraId="2F5D69D9" w14:textId="77777777" w:rsidR="006501FC" w:rsidRPr="006501FC" w:rsidRDefault="006501FC" w:rsidP="00400DD1">
            <w:pPr>
              <w:spacing w:line="228" w:lineRule="auto"/>
              <w:ind w:left="85" w:right="85"/>
              <w:jc w:val="center"/>
              <w:rPr>
                <w:rFonts w:asciiTheme="minorBidi" w:hAnsiTheme="minorBidi" w:cstheme="minorBidi"/>
                <w:sz w:val="15"/>
                <w:szCs w:val="15"/>
                <w:rtl/>
              </w:rPr>
            </w:pPr>
          </w:p>
        </w:tc>
        <w:tc>
          <w:tcPr>
            <w:tcW w:w="340" w:type="pct"/>
            <w:vAlign w:val="bottom"/>
          </w:tcPr>
          <w:p w14:paraId="2DB274FD" w14:textId="77777777" w:rsidR="006501FC" w:rsidRPr="006501FC" w:rsidRDefault="006501FC" w:rsidP="00400DD1">
            <w:pPr>
              <w:spacing w:line="228" w:lineRule="auto"/>
              <w:ind w:left="85" w:right="85"/>
              <w:jc w:val="center"/>
              <w:rPr>
                <w:rFonts w:asciiTheme="minorBidi" w:hAnsiTheme="minorBidi" w:cstheme="minorBidi"/>
                <w:sz w:val="15"/>
                <w:szCs w:val="15"/>
                <w:rtl/>
              </w:rPr>
            </w:pPr>
          </w:p>
        </w:tc>
        <w:tc>
          <w:tcPr>
            <w:tcW w:w="364" w:type="pct"/>
            <w:vAlign w:val="bottom"/>
          </w:tcPr>
          <w:p w14:paraId="323EC881" w14:textId="77777777" w:rsidR="006501FC" w:rsidRPr="006501FC" w:rsidDel="007E5602" w:rsidRDefault="006501FC" w:rsidP="00400DD1">
            <w:pPr>
              <w:spacing w:line="228" w:lineRule="auto"/>
              <w:ind w:left="85" w:right="85"/>
              <w:jc w:val="center"/>
              <w:rPr>
                <w:rFonts w:asciiTheme="minorBidi" w:hAnsiTheme="minorBidi" w:cstheme="minorBidi"/>
                <w:sz w:val="15"/>
                <w:szCs w:val="15"/>
                <w:rtl/>
              </w:rPr>
            </w:pPr>
          </w:p>
        </w:tc>
        <w:tc>
          <w:tcPr>
            <w:tcW w:w="230" w:type="pct"/>
            <w:vAlign w:val="bottom"/>
          </w:tcPr>
          <w:p w14:paraId="2D9ED85A" w14:textId="77777777" w:rsidR="006501FC" w:rsidRPr="006501FC" w:rsidDel="007E5602" w:rsidRDefault="006501FC" w:rsidP="00400DD1">
            <w:pPr>
              <w:spacing w:line="228" w:lineRule="auto"/>
              <w:ind w:left="85" w:right="85"/>
              <w:jc w:val="center"/>
              <w:rPr>
                <w:rFonts w:asciiTheme="minorBidi" w:hAnsiTheme="minorBidi" w:cstheme="minorBidi"/>
                <w:sz w:val="15"/>
                <w:szCs w:val="15"/>
                <w:rtl/>
              </w:rPr>
            </w:pPr>
          </w:p>
        </w:tc>
        <w:tc>
          <w:tcPr>
            <w:tcW w:w="383" w:type="pct"/>
            <w:vAlign w:val="bottom"/>
          </w:tcPr>
          <w:p w14:paraId="41DEC638" w14:textId="77777777" w:rsidR="006501FC" w:rsidRPr="006501FC" w:rsidRDefault="006501FC" w:rsidP="00400DD1">
            <w:pPr>
              <w:spacing w:line="228" w:lineRule="auto"/>
              <w:ind w:left="85" w:right="85"/>
              <w:jc w:val="center"/>
              <w:rPr>
                <w:rFonts w:asciiTheme="minorBidi" w:hAnsiTheme="minorBidi" w:cstheme="minorBidi"/>
                <w:b/>
                <w:bCs/>
                <w:sz w:val="15"/>
                <w:szCs w:val="15"/>
                <w:rtl/>
              </w:rPr>
            </w:pPr>
          </w:p>
        </w:tc>
        <w:tc>
          <w:tcPr>
            <w:tcW w:w="356" w:type="pct"/>
            <w:vAlign w:val="bottom"/>
          </w:tcPr>
          <w:p w14:paraId="1A671DCD" w14:textId="77777777" w:rsidR="006501FC" w:rsidRPr="006501FC" w:rsidRDefault="006501FC" w:rsidP="00400DD1">
            <w:pPr>
              <w:spacing w:line="228" w:lineRule="auto"/>
              <w:ind w:left="85" w:right="85"/>
              <w:jc w:val="center"/>
              <w:rPr>
                <w:rFonts w:asciiTheme="minorBidi" w:hAnsiTheme="minorBidi" w:cstheme="minorBidi"/>
                <w:b/>
                <w:bCs/>
                <w:sz w:val="15"/>
                <w:szCs w:val="15"/>
                <w:rtl/>
              </w:rPr>
            </w:pPr>
          </w:p>
        </w:tc>
        <w:tc>
          <w:tcPr>
            <w:tcW w:w="220" w:type="pct"/>
            <w:vAlign w:val="bottom"/>
          </w:tcPr>
          <w:p w14:paraId="00EEF195" w14:textId="77777777" w:rsidR="006501FC" w:rsidRPr="006501FC" w:rsidRDefault="006501FC" w:rsidP="00400DD1">
            <w:pPr>
              <w:spacing w:line="228" w:lineRule="auto"/>
              <w:ind w:left="85" w:right="85"/>
              <w:jc w:val="center"/>
              <w:rPr>
                <w:rFonts w:asciiTheme="minorBidi" w:hAnsiTheme="minorBidi" w:cstheme="minorBidi"/>
                <w:b/>
                <w:bCs/>
                <w:sz w:val="15"/>
                <w:szCs w:val="15"/>
                <w:rtl/>
              </w:rPr>
            </w:pPr>
          </w:p>
        </w:tc>
      </w:tr>
      <w:tr w:rsidR="006501FC" w:rsidRPr="006501FC" w14:paraId="5B0B8E05" w14:textId="77777777" w:rsidTr="00A82C7F">
        <w:tc>
          <w:tcPr>
            <w:tcW w:w="951" w:type="pct"/>
            <w:vAlign w:val="bottom"/>
          </w:tcPr>
          <w:p w14:paraId="1A36A997" w14:textId="77777777" w:rsidR="006501FC" w:rsidRPr="006501FC" w:rsidRDefault="006501FC" w:rsidP="00400DD1">
            <w:pPr>
              <w:spacing w:line="228" w:lineRule="auto"/>
              <w:ind w:left="57" w:right="57" w:hanging="144"/>
              <w:jc w:val="center"/>
              <w:rPr>
                <w:rFonts w:asciiTheme="minorBidi" w:hAnsiTheme="minorBidi" w:cstheme="minorBidi"/>
                <w:color w:val="000000"/>
                <w:sz w:val="15"/>
                <w:szCs w:val="15"/>
                <w:rtl/>
                <w:lang w:eastAsia="he-IL"/>
              </w:rPr>
            </w:pPr>
          </w:p>
        </w:tc>
        <w:tc>
          <w:tcPr>
            <w:tcW w:w="264" w:type="pct"/>
            <w:vAlign w:val="bottom"/>
          </w:tcPr>
          <w:p w14:paraId="3E14CEB0"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סה"כ</w:t>
            </w:r>
          </w:p>
        </w:tc>
        <w:tc>
          <w:tcPr>
            <w:tcW w:w="324" w:type="pct"/>
            <w:vAlign w:val="bottom"/>
          </w:tcPr>
          <w:p w14:paraId="3F49FEB1"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מזה: הלוואות לדיור</w:t>
            </w:r>
          </w:p>
        </w:tc>
        <w:tc>
          <w:tcPr>
            <w:tcW w:w="297" w:type="pct"/>
            <w:vAlign w:val="bottom"/>
          </w:tcPr>
          <w:p w14:paraId="14BCB474"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Pr>
            </w:pPr>
            <w:r w:rsidRPr="006501FC">
              <w:rPr>
                <w:rFonts w:asciiTheme="minorBidi" w:hAnsiTheme="minorBidi" w:cstheme="minorBidi"/>
                <w:sz w:val="15"/>
                <w:szCs w:val="15"/>
                <w:rtl/>
              </w:rPr>
              <w:t>מזה: כרטיסי אשראי</w:t>
            </w:r>
          </w:p>
        </w:tc>
        <w:tc>
          <w:tcPr>
            <w:tcW w:w="328" w:type="pct"/>
            <w:vAlign w:val="bottom"/>
          </w:tcPr>
          <w:p w14:paraId="26638C0D"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בנקאות פרטית</w:t>
            </w:r>
          </w:p>
        </w:tc>
        <w:tc>
          <w:tcPr>
            <w:tcW w:w="317" w:type="pct"/>
            <w:vAlign w:val="bottom"/>
          </w:tcPr>
          <w:p w14:paraId="54009441"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עסקים קטנים וזעירים</w:t>
            </w:r>
          </w:p>
        </w:tc>
        <w:tc>
          <w:tcPr>
            <w:tcW w:w="327" w:type="pct"/>
            <w:vAlign w:val="bottom"/>
          </w:tcPr>
          <w:p w14:paraId="35447108"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עסקים בינוניים</w:t>
            </w:r>
          </w:p>
        </w:tc>
        <w:tc>
          <w:tcPr>
            <w:tcW w:w="299" w:type="pct"/>
            <w:gridSpan w:val="2"/>
            <w:vAlign w:val="bottom"/>
          </w:tcPr>
          <w:p w14:paraId="1DB11D92"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עסקים גדולים</w:t>
            </w:r>
          </w:p>
        </w:tc>
        <w:tc>
          <w:tcPr>
            <w:tcW w:w="340" w:type="pct"/>
            <w:vAlign w:val="bottom"/>
          </w:tcPr>
          <w:p w14:paraId="2EC81F77"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גופים מוסדיים</w:t>
            </w:r>
          </w:p>
        </w:tc>
        <w:tc>
          <w:tcPr>
            <w:tcW w:w="364" w:type="pct"/>
            <w:vAlign w:val="bottom"/>
          </w:tcPr>
          <w:p w14:paraId="4E6BDF43"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ניהול פיננסי</w:t>
            </w:r>
          </w:p>
        </w:tc>
        <w:tc>
          <w:tcPr>
            <w:tcW w:w="230" w:type="pct"/>
            <w:vAlign w:val="bottom"/>
          </w:tcPr>
          <w:p w14:paraId="1B60EEAD"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sz w:val="15"/>
                <w:szCs w:val="15"/>
                <w:rtl/>
              </w:rPr>
            </w:pPr>
            <w:r w:rsidRPr="006501FC">
              <w:rPr>
                <w:rFonts w:asciiTheme="minorBidi" w:hAnsiTheme="minorBidi" w:cstheme="minorBidi"/>
                <w:sz w:val="15"/>
                <w:szCs w:val="15"/>
                <w:rtl/>
              </w:rPr>
              <w:t>אחר</w:t>
            </w:r>
          </w:p>
        </w:tc>
        <w:tc>
          <w:tcPr>
            <w:tcW w:w="383" w:type="pct"/>
            <w:vAlign w:val="bottom"/>
          </w:tcPr>
          <w:p w14:paraId="70B11473"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b/>
                <w:bCs/>
                <w:sz w:val="15"/>
                <w:szCs w:val="15"/>
                <w:rtl/>
              </w:rPr>
            </w:pPr>
            <w:r w:rsidRPr="006501FC">
              <w:rPr>
                <w:rFonts w:asciiTheme="minorBidi" w:hAnsiTheme="minorBidi" w:cstheme="minorBidi"/>
                <w:b/>
                <w:bCs/>
                <w:sz w:val="15"/>
                <w:szCs w:val="15"/>
                <w:rtl/>
              </w:rPr>
              <w:t>סך הכל פעילות ישראל</w:t>
            </w:r>
          </w:p>
        </w:tc>
        <w:tc>
          <w:tcPr>
            <w:tcW w:w="356" w:type="pct"/>
            <w:vAlign w:val="bottom"/>
          </w:tcPr>
          <w:p w14:paraId="546A630E"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b/>
                <w:bCs/>
                <w:sz w:val="15"/>
                <w:szCs w:val="15"/>
                <w:rtl/>
              </w:rPr>
            </w:pPr>
            <w:r w:rsidRPr="006501FC">
              <w:rPr>
                <w:rFonts w:asciiTheme="minorBidi" w:hAnsiTheme="minorBidi" w:cstheme="minorBidi"/>
                <w:b/>
                <w:bCs/>
                <w:sz w:val="15"/>
                <w:szCs w:val="15"/>
                <w:rtl/>
              </w:rPr>
              <w:t xml:space="preserve">סך הכל פעילות </w:t>
            </w:r>
            <w:r w:rsidRPr="006501FC">
              <w:rPr>
                <w:rFonts w:asciiTheme="minorBidi" w:hAnsiTheme="minorBidi" w:cstheme="minorBidi"/>
                <w:b/>
                <w:bCs/>
                <w:sz w:val="15"/>
                <w:szCs w:val="15"/>
                <w:rtl/>
              </w:rPr>
              <w:br/>
              <w:t>חו"ל</w:t>
            </w:r>
          </w:p>
        </w:tc>
        <w:tc>
          <w:tcPr>
            <w:tcW w:w="220" w:type="pct"/>
            <w:vAlign w:val="bottom"/>
          </w:tcPr>
          <w:p w14:paraId="106703DA" w14:textId="77777777" w:rsidR="006501FC" w:rsidRPr="006501FC" w:rsidRDefault="006501FC" w:rsidP="00400DD1">
            <w:pPr>
              <w:pBdr>
                <w:bottom w:val="single" w:sz="4" w:space="1" w:color="auto"/>
              </w:pBdr>
              <w:spacing w:line="228" w:lineRule="auto"/>
              <w:ind w:left="85" w:right="85"/>
              <w:jc w:val="center"/>
              <w:rPr>
                <w:rFonts w:asciiTheme="minorBidi" w:hAnsiTheme="minorBidi" w:cstheme="minorBidi"/>
                <w:b/>
                <w:bCs/>
                <w:sz w:val="15"/>
                <w:szCs w:val="15"/>
                <w:rtl/>
              </w:rPr>
            </w:pPr>
            <w:r w:rsidRPr="006501FC">
              <w:rPr>
                <w:rFonts w:asciiTheme="minorBidi" w:hAnsiTheme="minorBidi" w:cstheme="minorBidi"/>
                <w:b/>
                <w:bCs/>
                <w:sz w:val="15"/>
                <w:szCs w:val="15"/>
                <w:rtl/>
              </w:rPr>
              <w:t>סך הכל</w:t>
            </w:r>
          </w:p>
        </w:tc>
      </w:tr>
      <w:tr w:rsidR="006501FC" w:rsidRPr="006501FC" w14:paraId="289B3040" w14:textId="77777777" w:rsidTr="00A82C7F">
        <w:tc>
          <w:tcPr>
            <w:tcW w:w="951" w:type="pct"/>
            <w:vAlign w:val="bottom"/>
          </w:tcPr>
          <w:p w14:paraId="65544F20" w14:textId="77777777" w:rsidR="006501FC" w:rsidRPr="006501FC" w:rsidRDefault="006501FC" w:rsidP="00400DD1">
            <w:pPr>
              <w:bidi w:val="0"/>
              <w:spacing w:line="60" w:lineRule="exact"/>
              <w:ind w:firstLine="1"/>
              <w:rPr>
                <w:rFonts w:asciiTheme="minorBidi" w:hAnsiTheme="minorBidi" w:cstheme="minorBidi"/>
                <w:color w:val="000000"/>
                <w:sz w:val="15"/>
                <w:szCs w:val="15"/>
                <w:rtl/>
                <w:lang w:eastAsia="he-IL"/>
              </w:rPr>
            </w:pPr>
          </w:p>
        </w:tc>
        <w:tc>
          <w:tcPr>
            <w:tcW w:w="264" w:type="pct"/>
          </w:tcPr>
          <w:p w14:paraId="6E6C5B62"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324" w:type="pct"/>
          </w:tcPr>
          <w:p w14:paraId="4DFAB9DC"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297" w:type="pct"/>
            <w:vAlign w:val="bottom"/>
          </w:tcPr>
          <w:p w14:paraId="26B8FF1F"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328" w:type="pct"/>
            <w:vAlign w:val="bottom"/>
          </w:tcPr>
          <w:p w14:paraId="222005B4"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317" w:type="pct"/>
            <w:vAlign w:val="bottom"/>
          </w:tcPr>
          <w:p w14:paraId="4187A222"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327" w:type="pct"/>
            <w:vAlign w:val="bottom"/>
          </w:tcPr>
          <w:p w14:paraId="0B63C0BB"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294" w:type="pct"/>
            <w:vAlign w:val="bottom"/>
          </w:tcPr>
          <w:p w14:paraId="0CE57943"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345" w:type="pct"/>
            <w:gridSpan w:val="2"/>
            <w:vAlign w:val="bottom"/>
          </w:tcPr>
          <w:p w14:paraId="5A69C313"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364" w:type="pct"/>
            <w:vAlign w:val="bottom"/>
          </w:tcPr>
          <w:p w14:paraId="266D9189"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230" w:type="pct"/>
            <w:vAlign w:val="bottom"/>
          </w:tcPr>
          <w:p w14:paraId="5475023F"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383" w:type="pct"/>
            <w:vAlign w:val="bottom"/>
          </w:tcPr>
          <w:p w14:paraId="27E3FDAF"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356" w:type="pct"/>
            <w:vAlign w:val="bottom"/>
          </w:tcPr>
          <w:p w14:paraId="7087F165"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c>
          <w:tcPr>
            <w:tcW w:w="220" w:type="pct"/>
          </w:tcPr>
          <w:p w14:paraId="2A44B331" w14:textId="77777777" w:rsidR="006501FC" w:rsidRPr="006501FC" w:rsidRDefault="006501FC" w:rsidP="00400DD1">
            <w:pPr>
              <w:bidi w:val="0"/>
              <w:spacing w:line="60" w:lineRule="exact"/>
              <w:ind w:left="28" w:right="28"/>
              <w:rPr>
                <w:rFonts w:asciiTheme="minorBidi" w:hAnsiTheme="minorBidi" w:cstheme="minorBidi"/>
                <w:sz w:val="15"/>
                <w:szCs w:val="15"/>
                <w:rtl/>
              </w:rPr>
            </w:pPr>
          </w:p>
        </w:tc>
      </w:tr>
      <w:tr w:rsidR="006501FC" w:rsidRPr="006501FC" w14:paraId="3CD4750F" w14:textId="77777777" w:rsidTr="00A82C7F">
        <w:tc>
          <w:tcPr>
            <w:tcW w:w="951" w:type="pct"/>
            <w:vAlign w:val="bottom"/>
          </w:tcPr>
          <w:p w14:paraId="6496CBBC" w14:textId="77777777" w:rsidR="006501FC" w:rsidRPr="006501FC" w:rsidRDefault="006501FC" w:rsidP="00400DD1">
            <w:pPr>
              <w:spacing w:line="241" w:lineRule="auto"/>
              <w:ind w:left="2"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הכנסות ריבית מחיצוניים</w:t>
            </w:r>
          </w:p>
        </w:tc>
        <w:tc>
          <w:tcPr>
            <w:tcW w:w="264" w:type="pct"/>
            <w:vAlign w:val="bottom"/>
          </w:tcPr>
          <w:p w14:paraId="0812C5E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533E601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1AF94F4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69628F4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0520BEF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544AC77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53D33A3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696CE78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11FA416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48AC5B8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173FD94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077E679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0" w:type="pct"/>
            <w:vAlign w:val="bottom"/>
          </w:tcPr>
          <w:p w14:paraId="17589839"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6501FC" w:rsidRPr="006501FC" w14:paraId="686C8410" w14:textId="77777777" w:rsidTr="00A82C7F">
        <w:tc>
          <w:tcPr>
            <w:tcW w:w="951" w:type="pct"/>
            <w:vAlign w:val="bottom"/>
          </w:tcPr>
          <w:p w14:paraId="3D9B9CB0" w14:textId="77777777" w:rsidR="006501FC" w:rsidRPr="006501FC" w:rsidRDefault="006501FC" w:rsidP="00400DD1">
            <w:pPr>
              <w:spacing w:line="241" w:lineRule="auto"/>
              <w:ind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הוצאות ריבית מחיצוניים</w:t>
            </w:r>
          </w:p>
        </w:tc>
        <w:tc>
          <w:tcPr>
            <w:tcW w:w="264" w:type="pct"/>
            <w:vAlign w:val="bottom"/>
          </w:tcPr>
          <w:p w14:paraId="15D6D66B"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6DEC8F79"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27491589"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39CBF6E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60CC808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206B3E6B"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4D46490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1C6BF67F"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74DC2A0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3D44F16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18ED2847"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5D2EDFF1"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0" w:type="pct"/>
            <w:vAlign w:val="bottom"/>
          </w:tcPr>
          <w:p w14:paraId="6A520A92"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6501FC" w:rsidRPr="006501FC" w14:paraId="52A2260D" w14:textId="77777777" w:rsidTr="00A82C7F">
        <w:tc>
          <w:tcPr>
            <w:tcW w:w="951" w:type="pct"/>
            <w:vAlign w:val="bottom"/>
          </w:tcPr>
          <w:p w14:paraId="261351C6" w14:textId="77777777" w:rsidR="006501FC" w:rsidRPr="006501FC" w:rsidRDefault="006501FC" w:rsidP="00400DD1">
            <w:pPr>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הכנסות ריבית, נטו מחיצוניים</w:t>
            </w:r>
          </w:p>
        </w:tc>
        <w:tc>
          <w:tcPr>
            <w:tcW w:w="264" w:type="pct"/>
            <w:vAlign w:val="bottom"/>
          </w:tcPr>
          <w:p w14:paraId="4E34EB5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5F35AE0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2962A76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48BBDD6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6A287AF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2E0381A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57917E3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03A3032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1FBDCC5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4F54C3C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01E87109"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4D45066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0" w:type="pct"/>
            <w:vAlign w:val="bottom"/>
          </w:tcPr>
          <w:p w14:paraId="6C13E76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6501FC" w:rsidRPr="006501FC" w14:paraId="7F8D52D4" w14:textId="77777777" w:rsidTr="00A82C7F">
        <w:tc>
          <w:tcPr>
            <w:tcW w:w="951" w:type="pct"/>
            <w:vAlign w:val="bottom"/>
          </w:tcPr>
          <w:p w14:paraId="319A9877" w14:textId="77777777" w:rsidR="006501FC" w:rsidRPr="006501FC" w:rsidRDefault="006501FC" w:rsidP="00400DD1">
            <w:pPr>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הכנסות ריבית, נטו בינמגזרי</w:t>
            </w:r>
          </w:p>
        </w:tc>
        <w:tc>
          <w:tcPr>
            <w:tcW w:w="264" w:type="pct"/>
            <w:vAlign w:val="bottom"/>
          </w:tcPr>
          <w:p w14:paraId="12D7DB9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7E10A2FF"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5F49FAB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3424DFEE"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05AF7AF1"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380C1BF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439A615F"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149656A7"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6686EFAD"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61A5A3B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2A86F548"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167C956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0" w:type="pct"/>
            <w:vAlign w:val="bottom"/>
          </w:tcPr>
          <w:p w14:paraId="447CB73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w:t>
            </w:r>
          </w:p>
        </w:tc>
      </w:tr>
      <w:tr w:rsidR="006501FC" w:rsidRPr="006501FC" w14:paraId="586F0CAC" w14:textId="77777777" w:rsidTr="00A82C7F">
        <w:tc>
          <w:tcPr>
            <w:tcW w:w="951" w:type="pct"/>
            <w:vAlign w:val="bottom"/>
          </w:tcPr>
          <w:p w14:paraId="6BAF8267" w14:textId="77777777" w:rsidR="006501FC" w:rsidRPr="006501FC" w:rsidRDefault="006501FC" w:rsidP="00400DD1">
            <w:pPr>
              <w:spacing w:line="241" w:lineRule="auto"/>
              <w:ind w:firstLine="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סך הכנסות ריבית, נטו</w:t>
            </w:r>
          </w:p>
        </w:tc>
        <w:tc>
          <w:tcPr>
            <w:tcW w:w="264" w:type="pct"/>
            <w:vAlign w:val="bottom"/>
          </w:tcPr>
          <w:p w14:paraId="472A9F21"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49279C9D"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0FB014E5"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711E5135"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331E4B0D"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2C3201AC"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1576F60F"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0FCA575F"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60869AA5"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26E7A28E"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1F53E9AB"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713814EB"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0" w:type="pct"/>
            <w:vAlign w:val="bottom"/>
          </w:tcPr>
          <w:p w14:paraId="0F87665F"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6501FC" w:rsidRPr="006501FC" w14:paraId="1B443728" w14:textId="77777777" w:rsidTr="00A82C7F">
        <w:tc>
          <w:tcPr>
            <w:tcW w:w="951" w:type="pct"/>
            <w:vAlign w:val="bottom"/>
          </w:tcPr>
          <w:p w14:paraId="37460B3C" w14:textId="77777777" w:rsidR="006501FC" w:rsidRPr="006501FC" w:rsidRDefault="006501FC" w:rsidP="00400DD1">
            <w:pPr>
              <w:spacing w:line="80" w:lineRule="exact"/>
              <w:ind w:firstLine="1"/>
              <w:jc w:val="left"/>
              <w:rPr>
                <w:rFonts w:asciiTheme="minorBidi" w:hAnsiTheme="minorBidi" w:cstheme="minorBidi"/>
                <w:color w:val="000000"/>
                <w:sz w:val="15"/>
                <w:szCs w:val="15"/>
                <w:rtl/>
                <w:lang w:eastAsia="he-IL"/>
              </w:rPr>
            </w:pPr>
          </w:p>
        </w:tc>
        <w:tc>
          <w:tcPr>
            <w:tcW w:w="264" w:type="pct"/>
            <w:vAlign w:val="bottom"/>
          </w:tcPr>
          <w:p w14:paraId="1529D417"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4" w:type="pct"/>
            <w:vAlign w:val="bottom"/>
          </w:tcPr>
          <w:p w14:paraId="00BA414A"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97" w:type="pct"/>
            <w:vAlign w:val="bottom"/>
          </w:tcPr>
          <w:p w14:paraId="04675993"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8" w:type="pct"/>
            <w:vAlign w:val="bottom"/>
          </w:tcPr>
          <w:p w14:paraId="0BE41DE5"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17" w:type="pct"/>
            <w:vAlign w:val="bottom"/>
          </w:tcPr>
          <w:p w14:paraId="495B8FB9"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7" w:type="pct"/>
            <w:vAlign w:val="bottom"/>
          </w:tcPr>
          <w:p w14:paraId="58A58940"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94" w:type="pct"/>
            <w:vAlign w:val="bottom"/>
          </w:tcPr>
          <w:p w14:paraId="618F2E85"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45" w:type="pct"/>
            <w:gridSpan w:val="2"/>
            <w:vAlign w:val="bottom"/>
          </w:tcPr>
          <w:p w14:paraId="4CF88F17"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64" w:type="pct"/>
            <w:vAlign w:val="bottom"/>
          </w:tcPr>
          <w:p w14:paraId="769638F9"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30" w:type="pct"/>
            <w:vAlign w:val="bottom"/>
          </w:tcPr>
          <w:p w14:paraId="7C149D91"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83" w:type="pct"/>
            <w:vAlign w:val="bottom"/>
          </w:tcPr>
          <w:p w14:paraId="3DEDC048"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56" w:type="pct"/>
            <w:vAlign w:val="bottom"/>
          </w:tcPr>
          <w:p w14:paraId="64F666B1"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20" w:type="pct"/>
            <w:vAlign w:val="bottom"/>
          </w:tcPr>
          <w:p w14:paraId="5BCE7AA7"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r>
      <w:tr w:rsidR="006501FC" w:rsidRPr="006501FC" w14:paraId="72923D3D" w14:textId="77777777" w:rsidTr="00A82C7F">
        <w:tc>
          <w:tcPr>
            <w:tcW w:w="951" w:type="pct"/>
            <w:vAlign w:val="bottom"/>
          </w:tcPr>
          <w:p w14:paraId="2304AEE2" w14:textId="77777777" w:rsidR="006501FC" w:rsidRPr="006501FC" w:rsidRDefault="006501FC" w:rsidP="00400DD1">
            <w:pPr>
              <w:spacing w:line="241" w:lineRule="auto"/>
              <w:ind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הכנסות שאינן מריבית:</w:t>
            </w:r>
          </w:p>
        </w:tc>
        <w:tc>
          <w:tcPr>
            <w:tcW w:w="264" w:type="pct"/>
            <w:vAlign w:val="bottom"/>
          </w:tcPr>
          <w:p w14:paraId="05B5D42B"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4" w:type="pct"/>
            <w:vAlign w:val="bottom"/>
          </w:tcPr>
          <w:p w14:paraId="2B9934B6"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97" w:type="pct"/>
            <w:vAlign w:val="bottom"/>
          </w:tcPr>
          <w:p w14:paraId="2F8801B6"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8" w:type="pct"/>
            <w:vAlign w:val="bottom"/>
          </w:tcPr>
          <w:p w14:paraId="0FB6638F"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17" w:type="pct"/>
            <w:vAlign w:val="bottom"/>
          </w:tcPr>
          <w:p w14:paraId="63162084"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7" w:type="pct"/>
            <w:vAlign w:val="bottom"/>
          </w:tcPr>
          <w:p w14:paraId="62EA514D"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94" w:type="pct"/>
            <w:vAlign w:val="bottom"/>
          </w:tcPr>
          <w:p w14:paraId="523DDFA6"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45" w:type="pct"/>
            <w:gridSpan w:val="2"/>
            <w:vAlign w:val="bottom"/>
          </w:tcPr>
          <w:p w14:paraId="2AB9B3A1"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64" w:type="pct"/>
            <w:vAlign w:val="bottom"/>
          </w:tcPr>
          <w:p w14:paraId="312CF68A"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30" w:type="pct"/>
            <w:vAlign w:val="bottom"/>
          </w:tcPr>
          <w:p w14:paraId="24FAD7D0"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83" w:type="pct"/>
            <w:vAlign w:val="bottom"/>
          </w:tcPr>
          <w:p w14:paraId="46360B92"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56" w:type="pct"/>
            <w:vAlign w:val="bottom"/>
          </w:tcPr>
          <w:p w14:paraId="2266C50B"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20" w:type="pct"/>
            <w:vAlign w:val="bottom"/>
          </w:tcPr>
          <w:p w14:paraId="5BA20B24"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r>
      <w:tr w:rsidR="006501FC" w:rsidRPr="006501FC" w14:paraId="20941663" w14:textId="77777777" w:rsidTr="00A82C7F">
        <w:tc>
          <w:tcPr>
            <w:tcW w:w="951" w:type="pct"/>
            <w:vAlign w:val="bottom"/>
          </w:tcPr>
          <w:p w14:paraId="6F445334" w14:textId="77777777" w:rsidR="006501FC" w:rsidRPr="006501FC" w:rsidRDefault="006501FC" w:rsidP="00400DD1">
            <w:pPr>
              <w:spacing w:line="241" w:lineRule="auto"/>
              <w:ind w:left="257"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מחיצוניים</w:t>
            </w:r>
          </w:p>
        </w:tc>
        <w:tc>
          <w:tcPr>
            <w:tcW w:w="264" w:type="pct"/>
            <w:vAlign w:val="bottom"/>
          </w:tcPr>
          <w:p w14:paraId="2B38F07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426D175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6E241FF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7AEC3B7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53B36A7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2507AC99"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327535D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55A00F5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78785A7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3C33380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13F88829"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408C41C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0" w:type="pct"/>
            <w:vAlign w:val="bottom"/>
          </w:tcPr>
          <w:p w14:paraId="5FC4EBB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6501FC" w:rsidRPr="006501FC" w14:paraId="191F3729" w14:textId="77777777" w:rsidTr="00A82C7F">
        <w:tc>
          <w:tcPr>
            <w:tcW w:w="951" w:type="pct"/>
            <w:vAlign w:val="bottom"/>
          </w:tcPr>
          <w:p w14:paraId="6C2BA94E" w14:textId="77777777" w:rsidR="006501FC" w:rsidRPr="006501FC" w:rsidRDefault="006501FC" w:rsidP="00400DD1">
            <w:pPr>
              <w:spacing w:line="241" w:lineRule="auto"/>
              <w:ind w:left="257"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בינמגזרי</w:t>
            </w:r>
          </w:p>
        </w:tc>
        <w:tc>
          <w:tcPr>
            <w:tcW w:w="264" w:type="pct"/>
            <w:vAlign w:val="bottom"/>
          </w:tcPr>
          <w:p w14:paraId="620B114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5DA2485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35BD843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42856F8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141416BD"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61B906D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1247FFB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6F2A876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4D99EF9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25890D8F"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15D9E60B"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635AE539"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0" w:type="pct"/>
            <w:vAlign w:val="bottom"/>
          </w:tcPr>
          <w:p w14:paraId="3118A28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w:t>
            </w:r>
          </w:p>
        </w:tc>
      </w:tr>
      <w:tr w:rsidR="006501FC" w:rsidRPr="006501FC" w14:paraId="57E2EC11" w14:textId="77777777" w:rsidTr="00A82C7F">
        <w:tc>
          <w:tcPr>
            <w:tcW w:w="951" w:type="pct"/>
            <w:vAlign w:val="bottom"/>
          </w:tcPr>
          <w:p w14:paraId="5D93E2E1" w14:textId="77777777" w:rsidR="006501FC" w:rsidRPr="006501FC" w:rsidRDefault="006501FC" w:rsidP="00400DD1">
            <w:pPr>
              <w:spacing w:line="241" w:lineRule="auto"/>
              <w:ind w:firstLine="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סך הכנסות שאינן מריבית</w:t>
            </w:r>
          </w:p>
        </w:tc>
        <w:tc>
          <w:tcPr>
            <w:tcW w:w="264" w:type="pct"/>
            <w:vAlign w:val="bottom"/>
          </w:tcPr>
          <w:p w14:paraId="0D73BA6B" w14:textId="77777777" w:rsidR="006501FC" w:rsidRPr="006501FC" w:rsidRDefault="006501FC" w:rsidP="00400DD1">
            <w:pPr>
              <w:pBdr>
                <w:bottom w:val="single" w:sz="8"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2BC344D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7D346E6D"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5F7D3DA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62B281B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7527FC3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1A047C11"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39184BCD"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7420D71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2AE811C7"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23FECE58"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013ED1A7"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0" w:type="pct"/>
            <w:vAlign w:val="bottom"/>
          </w:tcPr>
          <w:p w14:paraId="61FD9250"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6501FC" w:rsidRPr="006501FC" w14:paraId="71F9DFBA" w14:textId="77777777" w:rsidTr="00A82C7F">
        <w:tc>
          <w:tcPr>
            <w:tcW w:w="951" w:type="pct"/>
            <w:vAlign w:val="bottom"/>
          </w:tcPr>
          <w:p w14:paraId="378727C9" w14:textId="77777777" w:rsidR="006501FC" w:rsidRPr="006501FC" w:rsidRDefault="006501FC" w:rsidP="00400DD1">
            <w:pPr>
              <w:spacing w:line="241" w:lineRule="auto"/>
              <w:ind w:firstLine="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סך הכנסות</w:t>
            </w:r>
          </w:p>
        </w:tc>
        <w:tc>
          <w:tcPr>
            <w:tcW w:w="264" w:type="pct"/>
            <w:vAlign w:val="bottom"/>
          </w:tcPr>
          <w:p w14:paraId="570E1B2A"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53350F98"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35A4254B"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75377760"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6BEB8280"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44FA669B"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553F16C2"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7058F122"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1F278B55"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4B18F799"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17DF7982"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73452A4B"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0" w:type="pct"/>
            <w:vAlign w:val="bottom"/>
          </w:tcPr>
          <w:p w14:paraId="3F7476AF"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6501FC" w:rsidRPr="006501FC" w14:paraId="46BBDADF" w14:textId="77777777" w:rsidTr="00A82C7F">
        <w:tc>
          <w:tcPr>
            <w:tcW w:w="951" w:type="pct"/>
            <w:vAlign w:val="bottom"/>
          </w:tcPr>
          <w:p w14:paraId="1A08DFB4" w14:textId="77777777" w:rsidR="006501FC" w:rsidRPr="006501FC" w:rsidRDefault="006501FC" w:rsidP="00400DD1">
            <w:pPr>
              <w:spacing w:line="80" w:lineRule="exact"/>
              <w:ind w:firstLine="1"/>
              <w:jc w:val="left"/>
              <w:rPr>
                <w:rFonts w:asciiTheme="minorBidi" w:hAnsiTheme="minorBidi" w:cstheme="minorBidi"/>
                <w:color w:val="000000"/>
                <w:sz w:val="15"/>
                <w:szCs w:val="15"/>
                <w:rtl/>
                <w:lang w:eastAsia="he-IL"/>
              </w:rPr>
            </w:pPr>
          </w:p>
        </w:tc>
        <w:tc>
          <w:tcPr>
            <w:tcW w:w="264" w:type="pct"/>
            <w:vAlign w:val="bottom"/>
          </w:tcPr>
          <w:p w14:paraId="617ABD0D"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4" w:type="pct"/>
            <w:vAlign w:val="bottom"/>
          </w:tcPr>
          <w:p w14:paraId="3CB3928F"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97" w:type="pct"/>
            <w:vAlign w:val="bottom"/>
          </w:tcPr>
          <w:p w14:paraId="500A54EF"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8" w:type="pct"/>
            <w:vAlign w:val="bottom"/>
          </w:tcPr>
          <w:p w14:paraId="37693EA0"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17" w:type="pct"/>
            <w:vAlign w:val="bottom"/>
          </w:tcPr>
          <w:p w14:paraId="5B9445E2"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7" w:type="pct"/>
            <w:vAlign w:val="bottom"/>
          </w:tcPr>
          <w:p w14:paraId="6249CD0F"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94" w:type="pct"/>
            <w:vAlign w:val="bottom"/>
          </w:tcPr>
          <w:p w14:paraId="444CB01C"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45" w:type="pct"/>
            <w:gridSpan w:val="2"/>
            <w:vAlign w:val="bottom"/>
          </w:tcPr>
          <w:p w14:paraId="4D0CFF15"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64" w:type="pct"/>
            <w:vAlign w:val="bottom"/>
          </w:tcPr>
          <w:p w14:paraId="06A2AB77"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30" w:type="pct"/>
            <w:vAlign w:val="bottom"/>
          </w:tcPr>
          <w:p w14:paraId="299897C0"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83" w:type="pct"/>
            <w:vAlign w:val="bottom"/>
          </w:tcPr>
          <w:p w14:paraId="5E0257F8"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56" w:type="pct"/>
            <w:vAlign w:val="bottom"/>
          </w:tcPr>
          <w:p w14:paraId="1AF5C047"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20" w:type="pct"/>
            <w:vAlign w:val="bottom"/>
          </w:tcPr>
          <w:p w14:paraId="60DE2EF2"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r>
      <w:tr w:rsidR="006501FC" w:rsidRPr="006501FC" w14:paraId="41B507EE" w14:textId="77777777" w:rsidTr="00A82C7F">
        <w:tc>
          <w:tcPr>
            <w:tcW w:w="951" w:type="pct"/>
            <w:vAlign w:val="bottom"/>
          </w:tcPr>
          <w:p w14:paraId="2FC87880" w14:textId="77777777" w:rsidR="006501FC" w:rsidRPr="006501FC" w:rsidRDefault="006501FC" w:rsidP="00400DD1">
            <w:pPr>
              <w:spacing w:line="241" w:lineRule="auto"/>
              <w:ind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הוצאות בגין הפסדי אשראי</w:t>
            </w:r>
          </w:p>
        </w:tc>
        <w:tc>
          <w:tcPr>
            <w:tcW w:w="264" w:type="pct"/>
            <w:vAlign w:val="bottom"/>
          </w:tcPr>
          <w:p w14:paraId="38C3980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42ABE9A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582EC25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14E18EC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2C2FD4C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420246E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6C680F9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6F2B331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67535FA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04897E5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29C0559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52A0BCC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0" w:type="pct"/>
            <w:vAlign w:val="bottom"/>
          </w:tcPr>
          <w:p w14:paraId="7B77E5B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6501FC" w:rsidRPr="006501FC" w14:paraId="0E40B214" w14:textId="77777777" w:rsidTr="00A82C7F">
        <w:tc>
          <w:tcPr>
            <w:tcW w:w="951" w:type="pct"/>
            <w:vAlign w:val="bottom"/>
          </w:tcPr>
          <w:p w14:paraId="58FE1CF0" w14:textId="77777777" w:rsidR="006501FC" w:rsidRPr="006501FC" w:rsidRDefault="006501FC" w:rsidP="00400DD1">
            <w:pPr>
              <w:spacing w:line="241" w:lineRule="auto"/>
              <w:ind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הוצאות תפעוליות ואחרות:</w:t>
            </w:r>
          </w:p>
        </w:tc>
        <w:tc>
          <w:tcPr>
            <w:tcW w:w="264" w:type="pct"/>
            <w:vAlign w:val="bottom"/>
          </w:tcPr>
          <w:p w14:paraId="27A8F71C"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4" w:type="pct"/>
            <w:vAlign w:val="bottom"/>
          </w:tcPr>
          <w:p w14:paraId="181CB16F"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97" w:type="pct"/>
            <w:vAlign w:val="bottom"/>
          </w:tcPr>
          <w:p w14:paraId="1FCFB503"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8" w:type="pct"/>
            <w:vAlign w:val="bottom"/>
          </w:tcPr>
          <w:p w14:paraId="7E5FE4B7"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17" w:type="pct"/>
            <w:vAlign w:val="bottom"/>
          </w:tcPr>
          <w:p w14:paraId="3FD63C43"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7" w:type="pct"/>
            <w:vAlign w:val="bottom"/>
          </w:tcPr>
          <w:p w14:paraId="18D2B2E1"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94" w:type="pct"/>
            <w:vAlign w:val="bottom"/>
          </w:tcPr>
          <w:p w14:paraId="662521BA"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45" w:type="pct"/>
            <w:gridSpan w:val="2"/>
            <w:vAlign w:val="bottom"/>
          </w:tcPr>
          <w:p w14:paraId="398BBB0E"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64" w:type="pct"/>
            <w:vAlign w:val="bottom"/>
          </w:tcPr>
          <w:p w14:paraId="4093E3CC"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30" w:type="pct"/>
            <w:vAlign w:val="bottom"/>
          </w:tcPr>
          <w:p w14:paraId="0496EF8A"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83" w:type="pct"/>
            <w:vAlign w:val="bottom"/>
          </w:tcPr>
          <w:p w14:paraId="2D704039"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56" w:type="pct"/>
            <w:vAlign w:val="bottom"/>
          </w:tcPr>
          <w:p w14:paraId="465CA24C"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20" w:type="pct"/>
            <w:vAlign w:val="bottom"/>
          </w:tcPr>
          <w:p w14:paraId="6ACB2469"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r>
      <w:tr w:rsidR="006501FC" w:rsidRPr="006501FC" w14:paraId="6B18D3FB" w14:textId="77777777" w:rsidTr="00A82C7F">
        <w:tc>
          <w:tcPr>
            <w:tcW w:w="951" w:type="pct"/>
            <w:vAlign w:val="bottom"/>
          </w:tcPr>
          <w:p w14:paraId="62FC6C53" w14:textId="77777777" w:rsidR="006501FC" w:rsidRPr="006501FC" w:rsidRDefault="006501FC" w:rsidP="00400DD1">
            <w:pPr>
              <w:spacing w:line="241" w:lineRule="auto"/>
              <w:ind w:left="271"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לחיצוניים</w:t>
            </w:r>
          </w:p>
        </w:tc>
        <w:tc>
          <w:tcPr>
            <w:tcW w:w="264" w:type="pct"/>
            <w:vAlign w:val="bottom"/>
          </w:tcPr>
          <w:p w14:paraId="08D49BC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5F69AD4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742AA57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231B749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6F53B58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796776C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1145550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2BDC2DE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38D91B5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7BFB4D3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72CF45E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14B9647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0" w:type="pct"/>
            <w:vAlign w:val="bottom"/>
          </w:tcPr>
          <w:p w14:paraId="27510AD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6501FC" w:rsidRPr="006501FC" w14:paraId="02405E57" w14:textId="77777777" w:rsidTr="00A82C7F">
        <w:tc>
          <w:tcPr>
            <w:tcW w:w="951" w:type="pct"/>
            <w:vAlign w:val="bottom"/>
          </w:tcPr>
          <w:p w14:paraId="32893F24" w14:textId="77777777" w:rsidR="006501FC" w:rsidRPr="006501FC" w:rsidRDefault="006501FC" w:rsidP="00400DD1">
            <w:pPr>
              <w:spacing w:line="241" w:lineRule="auto"/>
              <w:ind w:left="271" w:firstLine="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בינמגזרי</w:t>
            </w:r>
          </w:p>
        </w:tc>
        <w:tc>
          <w:tcPr>
            <w:tcW w:w="264" w:type="pct"/>
            <w:vAlign w:val="bottom"/>
          </w:tcPr>
          <w:p w14:paraId="564824C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28B74121"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194A653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561A64E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4D9D849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2EF3DE02"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5C98CE10"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6D2625C2"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6B837D88"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2E73C690"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2A955B67"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3EE05722"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0" w:type="pct"/>
            <w:vAlign w:val="bottom"/>
          </w:tcPr>
          <w:p w14:paraId="3F7B8F97"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w:t>
            </w:r>
          </w:p>
        </w:tc>
      </w:tr>
      <w:tr w:rsidR="006501FC" w:rsidRPr="006501FC" w14:paraId="20136DC8" w14:textId="77777777" w:rsidTr="00A82C7F">
        <w:tc>
          <w:tcPr>
            <w:tcW w:w="951" w:type="pct"/>
            <w:vAlign w:val="bottom"/>
          </w:tcPr>
          <w:p w14:paraId="7A6FD1D8" w14:textId="77777777" w:rsidR="006501FC" w:rsidRPr="006501FC" w:rsidRDefault="006501FC" w:rsidP="00400DD1">
            <w:pPr>
              <w:spacing w:line="241" w:lineRule="auto"/>
              <w:ind w:firstLine="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סך הוצאות תפעוליות ואחרות</w:t>
            </w:r>
          </w:p>
        </w:tc>
        <w:tc>
          <w:tcPr>
            <w:tcW w:w="264" w:type="pct"/>
            <w:vAlign w:val="bottom"/>
          </w:tcPr>
          <w:p w14:paraId="2ED24C0D"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54BC4D96"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56F95C8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37600D4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7AEAFD6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2408BF6D"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7EA46C12"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04D2E69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29E46EF1"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3B80EFB7"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5C7902FD"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29749700"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0" w:type="pct"/>
            <w:vAlign w:val="bottom"/>
          </w:tcPr>
          <w:p w14:paraId="78D1B4D6"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6501FC" w:rsidRPr="006501FC" w14:paraId="1CF619CA" w14:textId="77777777" w:rsidTr="00A82C7F">
        <w:tc>
          <w:tcPr>
            <w:tcW w:w="951" w:type="pct"/>
            <w:vAlign w:val="bottom"/>
          </w:tcPr>
          <w:p w14:paraId="246744D6" w14:textId="77777777" w:rsidR="006501FC" w:rsidRPr="006501FC" w:rsidRDefault="006501FC" w:rsidP="00400DD1">
            <w:pPr>
              <w:spacing w:line="80" w:lineRule="exact"/>
              <w:ind w:firstLine="1"/>
              <w:jc w:val="left"/>
              <w:rPr>
                <w:rFonts w:asciiTheme="minorBidi" w:hAnsiTheme="minorBidi" w:cstheme="minorBidi"/>
                <w:color w:val="000000"/>
                <w:sz w:val="15"/>
                <w:szCs w:val="15"/>
                <w:rtl/>
                <w:lang w:eastAsia="he-IL"/>
              </w:rPr>
            </w:pPr>
          </w:p>
        </w:tc>
        <w:tc>
          <w:tcPr>
            <w:tcW w:w="264" w:type="pct"/>
            <w:vAlign w:val="bottom"/>
          </w:tcPr>
          <w:p w14:paraId="28C87B8B"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4" w:type="pct"/>
            <w:vAlign w:val="bottom"/>
          </w:tcPr>
          <w:p w14:paraId="2E384702"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97" w:type="pct"/>
            <w:vAlign w:val="bottom"/>
          </w:tcPr>
          <w:p w14:paraId="4008E474"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8" w:type="pct"/>
            <w:vAlign w:val="bottom"/>
          </w:tcPr>
          <w:p w14:paraId="30310FFB"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17" w:type="pct"/>
            <w:vAlign w:val="bottom"/>
          </w:tcPr>
          <w:p w14:paraId="653EE1DA"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27" w:type="pct"/>
            <w:vAlign w:val="bottom"/>
          </w:tcPr>
          <w:p w14:paraId="386B67F3"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94" w:type="pct"/>
            <w:vAlign w:val="bottom"/>
          </w:tcPr>
          <w:p w14:paraId="0B7FA382"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45" w:type="pct"/>
            <w:gridSpan w:val="2"/>
            <w:vAlign w:val="bottom"/>
          </w:tcPr>
          <w:p w14:paraId="3AB0579E"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64" w:type="pct"/>
            <w:vAlign w:val="bottom"/>
          </w:tcPr>
          <w:p w14:paraId="1A1E1461"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30" w:type="pct"/>
            <w:vAlign w:val="bottom"/>
          </w:tcPr>
          <w:p w14:paraId="0F0087C3"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83" w:type="pct"/>
            <w:vAlign w:val="bottom"/>
          </w:tcPr>
          <w:p w14:paraId="2264F1FF"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356" w:type="pct"/>
            <w:vAlign w:val="bottom"/>
          </w:tcPr>
          <w:p w14:paraId="15A49948"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c>
          <w:tcPr>
            <w:tcW w:w="220" w:type="pct"/>
            <w:vAlign w:val="bottom"/>
          </w:tcPr>
          <w:p w14:paraId="66992A3B" w14:textId="77777777" w:rsidR="006501FC" w:rsidRPr="006501FC" w:rsidRDefault="006501FC" w:rsidP="00400DD1">
            <w:pPr>
              <w:spacing w:line="80" w:lineRule="exact"/>
              <w:ind w:left="85" w:right="85"/>
              <w:jc w:val="left"/>
              <w:rPr>
                <w:rFonts w:asciiTheme="minorBidi" w:hAnsiTheme="minorBidi" w:cstheme="minorBidi"/>
                <w:sz w:val="15"/>
                <w:szCs w:val="15"/>
                <w:rtl/>
              </w:rPr>
            </w:pPr>
          </w:p>
        </w:tc>
      </w:tr>
      <w:tr w:rsidR="006501FC" w:rsidRPr="006501FC" w14:paraId="2C7B4C85" w14:textId="77777777" w:rsidTr="00A82C7F">
        <w:tc>
          <w:tcPr>
            <w:tcW w:w="951" w:type="pct"/>
            <w:vAlign w:val="bottom"/>
          </w:tcPr>
          <w:p w14:paraId="284813A1" w14:textId="77777777" w:rsidR="006501FC" w:rsidRPr="006501FC" w:rsidRDefault="006501FC" w:rsidP="00400DD1">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רווח לפני מסים</w:t>
            </w:r>
          </w:p>
        </w:tc>
        <w:tc>
          <w:tcPr>
            <w:tcW w:w="264" w:type="pct"/>
            <w:vAlign w:val="bottom"/>
          </w:tcPr>
          <w:p w14:paraId="7025D8A2"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76F4B430"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24B180A9"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48A1AA89"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7D182D1F"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2387F8EC"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3265368C"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6FEA7744"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10EE66D0"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24EAFDD3"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66184D55"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4D5BB33C"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0" w:type="pct"/>
            <w:vAlign w:val="bottom"/>
          </w:tcPr>
          <w:p w14:paraId="51F7DA37"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6501FC" w:rsidRPr="006501FC" w14:paraId="0BB026B1" w14:textId="77777777" w:rsidTr="00A82C7F">
        <w:tc>
          <w:tcPr>
            <w:tcW w:w="951" w:type="pct"/>
            <w:vAlign w:val="bottom"/>
          </w:tcPr>
          <w:p w14:paraId="11334A4F" w14:textId="77777777" w:rsidR="006501FC" w:rsidRPr="006501FC" w:rsidRDefault="006501FC" w:rsidP="00400DD1">
            <w:pPr>
              <w:spacing w:line="241" w:lineRule="auto"/>
              <w:ind w:left="172" w:hanging="171"/>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הפרשה למסים על הרווח</w:t>
            </w:r>
          </w:p>
        </w:tc>
        <w:tc>
          <w:tcPr>
            <w:tcW w:w="264" w:type="pct"/>
            <w:vAlign w:val="bottom"/>
          </w:tcPr>
          <w:p w14:paraId="77B670D1"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2D130401"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4D8D5A6D"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42D2ED0D"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30DCE351"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25095ADE"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72EFB237"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7094D15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182F6C58"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6E5C23F0"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5FDBA253"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07EF38F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0" w:type="pct"/>
            <w:vAlign w:val="bottom"/>
          </w:tcPr>
          <w:p w14:paraId="7F6974BB"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6501FC" w:rsidRPr="006501FC" w14:paraId="4E6C2DCB" w14:textId="77777777" w:rsidTr="00A82C7F">
        <w:tc>
          <w:tcPr>
            <w:tcW w:w="951" w:type="pct"/>
            <w:vAlign w:val="bottom"/>
          </w:tcPr>
          <w:p w14:paraId="7FC91868" w14:textId="77777777" w:rsidR="006501FC" w:rsidRPr="006501FC" w:rsidRDefault="006501FC" w:rsidP="00400DD1">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b/>
                <w:bCs/>
                <w:color w:val="000000"/>
                <w:sz w:val="15"/>
                <w:szCs w:val="15"/>
                <w:rtl/>
                <w:lang w:eastAsia="he-IL"/>
              </w:rPr>
              <w:t>רווח לאחר מסים</w:t>
            </w:r>
          </w:p>
        </w:tc>
        <w:tc>
          <w:tcPr>
            <w:tcW w:w="264" w:type="pct"/>
            <w:vAlign w:val="bottom"/>
          </w:tcPr>
          <w:p w14:paraId="60BA5241"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4" w:type="pct"/>
            <w:vAlign w:val="bottom"/>
          </w:tcPr>
          <w:p w14:paraId="66F266D8"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7" w:type="pct"/>
            <w:vAlign w:val="bottom"/>
          </w:tcPr>
          <w:p w14:paraId="7C60677F"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8" w:type="pct"/>
            <w:vAlign w:val="bottom"/>
          </w:tcPr>
          <w:p w14:paraId="196F7D15"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17" w:type="pct"/>
            <w:vAlign w:val="bottom"/>
          </w:tcPr>
          <w:p w14:paraId="651E518A"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27" w:type="pct"/>
            <w:vAlign w:val="bottom"/>
          </w:tcPr>
          <w:p w14:paraId="572AFCD7"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94" w:type="pct"/>
            <w:vAlign w:val="bottom"/>
          </w:tcPr>
          <w:p w14:paraId="2732988D"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45" w:type="pct"/>
            <w:gridSpan w:val="2"/>
            <w:vAlign w:val="bottom"/>
          </w:tcPr>
          <w:p w14:paraId="5B1327E5"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64" w:type="pct"/>
            <w:vAlign w:val="bottom"/>
          </w:tcPr>
          <w:p w14:paraId="08EE71C2"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30" w:type="pct"/>
            <w:vAlign w:val="bottom"/>
          </w:tcPr>
          <w:p w14:paraId="3E8ED2BA"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83" w:type="pct"/>
            <w:vAlign w:val="bottom"/>
          </w:tcPr>
          <w:p w14:paraId="08370CB4"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356" w:type="pct"/>
            <w:vAlign w:val="bottom"/>
          </w:tcPr>
          <w:p w14:paraId="42EF14C8"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c>
          <w:tcPr>
            <w:tcW w:w="220" w:type="pct"/>
            <w:vAlign w:val="bottom"/>
          </w:tcPr>
          <w:p w14:paraId="68FD09C1" w14:textId="77777777" w:rsidR="006501FC" w:rsidRPr="006501FC" w:rsidRDefault="006501FC" w:rsidP="00400DD1">
            <w:pPr>
              <w:spacing w:line="241" w:lineRule="auto"/>
              <w:ind w:left="85" w:right="85"/>
              <w:jc w:val="left"/>
              <w:rPr>
                <w:rFonts w:asciiTheme="minorBidi" w:hAnsiTheme="minorBidi" w:cstheme="minorBidi"/>
                <w:b/>
                <w:bCs/>
                <w:sz w:val="15"/>
                <w:szCs w:val="15"/>
                <w:rtl/>
              </w:rPr>
            </w:pPr>
            <w:r w:rsidRPr="006501FC">
              <w:rPr>
                <w:rFonts w:asciiTheme="minorBidi" w:hAnsiTheme="minorBidi" w:cstheme="minorBidi"/>
                <w:b/>
                <w:bCs/>
                <w:sz w:val="15"/>
                <w:szCs w:val="15"/>
                <w:rtl/>
              </w:rPr>
              <w:t xml:space="preserve"> 0</w:t>
            </w:r>
          </w:p>
        </w:tc>
      </w:tr>
      <w:tr w:rsidR="006501FC" w:rsidRPr="006501FC" w14:paraId="7F713892" w14:textId="77777777" w:rsidTr="00A82C7F">
        <w:tc>
          <w:tcPr>
            <w:tcW w:w="951" w:type="pct"/>
            <w:vAlign w:val="bottom"/>
          </w:tcPr>
          <w:p w14:paraId="2725A82E" w14:textId="77777777" w:rsidR="006501FC" w:rsidRPr="006501FC" w:rsidRDefault="006501FC" w:rsidP="00400DD1">
            <w:pPr>
              <w:spacing w:line="241" w:lineRule="auto"/>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 xml:space="preserve">חלקו של התאגיד הבנקאי </w:t>
            </w:r>
            <w:r w:rsidRPr="006501FC">
              <w:rPr>
                <w:rFonts w:asciiTheme="minorBidi" w:hAnsiTheme="minorBidi" w:cstheme="minorBidi" w:hint="cs"/>
                <w:color w:val="000000"/>
                <w:sz w:val="15"/>
                <w:szCs w:val="15"/>
                <w:rtl/>
                <w:lang w:eastAsia="he-IL"/>
              </w:rPr>
              <w:t>ב</w:t>
            </w:r>
            <w:r w:rsidRPr="006501FC">
              <w:rPr>
                <w:rFonts w:asciiTheme="minorBidi" w:hAnsiTheme="minorBidi" w:cstheme="minorBidi"/>
                <w:color w:val="000000"/>
                <w:sz w:val="15"/>
                <w:szCs w:val="15"/>
                <w:rtl/>
                <w:lang w:eastAsia="he-IL"/>
              </w:rPr>
              <w:t xml:space="preserve">רווחים של חברות כלולות </w:t>
            </w:r>
          </w:p>
        </w:tc>
        <w:tc>
          <w:tcPr>
            <w:tcW w:w="264" w:type="pct"/>
            <w:vAlign w:val="bottom"/>
          </w:tcPr>
          <w:p w14:paraId="6AB1A19C"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4" w:type="pct"/>
            <w:vAlign w:val="bottom"/>
          </w:tcPr>
          <w:p w14:paraId="3B91C0A7"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7" w:type="pct"/>
            <w:vAlign w:val="bottom"/>
          </w:tcPr>
          <w:p w14:paraId="61989E7B"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8" w:type="pct"/>
            <w:vAlign w:val="bottom"/>
          </w:tcPr>
          <w:p w14:paraId="3704D06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17" w:type="pct"/>
            <w:vAlign w:val="bottom"/>
          </w:tcPr>
          <w:p w14:paraId="4EBB61E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27" w:type="pct"/>
            <w:vAlign w:val="bottom"/>
          </w:tcPr>
          <w:p w14:paraId="05A778AB"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94" w:type="pct"/>
            <w:vAlign w:val="bottom"/>
          </w:tcPr>
          <w:p w14:paraId="04CCEFDF"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45" w:type="pct"/>
            <w:gridSpan w:val="2"/>
            <w:vAlign w:val="bottom"/>
          </w:tcPr>
          <w:p w14:paraId="451AF6E2"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64" w:type="pct"/>
            <w:vAlign w:val="bottom"/>
          </w:tcPr>
          <w:p w14:paraId="367E10C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30" w:type="pct"/>
            <w:vAlign w:val="bottom"/>
          </w:tcPr>
          <w:p w14:paraId="1D563926"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83" w:type="pct"/>
            <w:vAlign w:val="bottom"/>
          </w:tcPr>
          <w:p w14:paraId="0FDB29A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356" w:type="pct"/>
            <w:vAlign w:val="bottom"/>
          </w:tcPr>
          <w:p w14:paraId="65D95350"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c>
          <w:tcPr>
            <w:tcW w:w="220" w:type="pct"/>
            <w:vAlign w:val="bottom"/>
          </w:tcPr>
          <w:p w14:paraId="5D5E22FD"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 xml:space="preserve"> 0</w:t>
            </w:r>
          </w:p>
        </w:tc>
      </w:tr>
      <w:tr w:rsidR="006501FC" w:rsidRPr="006501FC" w14:paraId="22513D5E" w14:textId="77777777" w:rsidTr="00A82C7F">
        <w:tc>
          <w:tcPr>
            <w:tcW w:w="951" w:type="pct"/>
            <w:vAlign w:val="bottom"/>
          </w:tcPr>
          <w:p w14:paraId="35943220" w14:textId="77777777" w:rsidR="006501FC" w:rsidRPr="006501FC" w:rsidRDefault="006501FC" w:rsidP="00400DD1">
            <w:pPr>
              <w:spacing w:line="241" w:lineRule="auto"/>
              <w:jc w:val="left"/>
              <w:rPr>
                <w:color w:val="000000"/>
                <w:sz w:val="15"/>
                <w:szCs w:val="15"/>
                <w:rtl/>
                <w:lang w:eastAsia="he-IL"/>
              </w:rPr>
            </w:pPr>
            <w:r w:rsidRPr="006501FC">
              <w:rPr>
                <w:rFonts w:hint="eastAsia"/>
                <w:color w:val="000000"/>
                <w:sz w:val="15"/>
                <w:szCs w:val="15"/>
                <w:rtl/>
                <w:lang w:eastAsia="he-IL"/>
              </w:rPr>
              <w:t>רווח</w:t>
            </w:r>
            <w:r w:rsidRPr="006501FC">
              <w:rPr>
                <w:color w:val="000000"/>
                <w:sz w:val="15"/>
                <w:szCs w:val="15"/>
                <w:rtl/>
                <w:lang w:eastAsia="he-IL"/>
              </w:rPr>
              <w:t xml:space="preserve"> </w:t>
            </w:r>
            <w:r w:rsidRPr="006501FC">
              <w:rPr>
                <w:rFonts w:hint="eastAsia"/>
                <w:color w:val="000000"/>
                <w:sz w:val="15"/>
                <w:szCs w:val="15"/>
                <w:rtl/>
                <w:lang w:eastAsia="he-IL"/>
              </w:rPr>
              <w:t>נקי</w:t>
            </w:r>
            <w:r w:rsidRPr="006501FC">
              <w:rPr>
                <w:color w:val="000000"/>
                <w:sz w:val="15"/>
                <w:szCs w:val="15"/>
                <w:rtl/>
                <w:lang w:eastAsia="he-IL"/>
              </w:rPr>
              <w:t xml:space="preserve"> </w:t>
            </w:r>
            <w:r w:rsidRPr="006501FC">
              <w:rPr>
                <w:rFonts w:hint="eastAsia"/>
                <w:color w:val="000000"/>
                <w:sz w:val="15"/>
                <w:szCs w:val="15"/>
                <w:rtl/>
                <w:lang w:eastAsia="he-IL"/>
              </w:rPr>
              <w:t>לפני</w:t>
            </w:r>
            <w:r w:rsidRPr="006501FC">
              <w:rPr>
                <w:color w:val="000000"/>
                <w:sz w:val="15"/>
                <w:szCs w:val="15"/>
                <w:rtl/>
                <w:lang w:eastAsia="he-IL"/>
              </w:rPr>
              <w:t xml:space="preserve"> </w:t>
            </w:r>
            <w:r w:rsidRPr="006501FC">
              <w:rPr>
                <w:rFonts w:hint="eastAsia"/>
                <w:color w:val="000000"/>
                <w:sz w:val="15"/>
                <w:szCs w:val="15"/>
                <w:rtl/>
                <w:lang w:eastAsia="he-IL"/>
              </w:rPr>
              <w:t>ייחוס</w:t>
            </w:r>
            <w:r w:rsidRPr="006501FC">
              <w:rPr>
                <w:color w:val="000000"/>
                <w:sz w:val="15"/>
                <w:szCs w:val="15"/>
                <w:rtl/>
                <w:lang w:eastAsia="he-IL"/>
              </w:rPr>
              <w:t xml:space="preserve"> </w:t>
            </w:r>
            <w:r w:rsidRPr="006501FC">
              <w:rPr>
                <w:rFonts w:hint="eastAsia"/>
                <w:color w:val="000000"/>
                <w:sz w:val="15"/>
                <w:szCs w:val="15"/>
                <w:rtl/>
                <w:lang w:eastAsia="he-IL"/>
              </w:rPr>
              <w:t>לבעלי</w:t>
            </w:r>
            <w:r w:rsidRPr="006501FC">
              <w:rPr>
                <w:color w:val="000000"/>
                <w:sz w:val="15"/>
                <w:szCs w:val="15"/>
                <w:rtl/>
                <w:lang w:eastAsia="he-IL"/>
              </w:rPr>
              <w:t xml:space="preserve"> </w:t>
            </w:r>
            <w:r w:rsidRPr="006501FC">
              <w:rPr>
                <w:rFonts w:hint="eastAsia"/>
                <w:color w:val="000000"/>
                <w:sz w:val="15"/>
                <w:szCs w:val="15"/>
                <w:rtl/>
                <w:lang w:eastAsia="he-IL"/>
              </w:rPr>
              <w:t>זכויות</w:t>
            </w:r>
            <w:r w:rsidRPr="006501FC">
              <w:rPr>
                <w:color w:val="000000"/>
                <w:sz w:val="15"/>
                <w:szCs w:val="15"/>
                <w:rtl/>
                <w:lang w:eastAsia="he-IL"/>
              </w:rPr>
              <w:t xml:space="preserve"> </w:t>
            </w:r>
            <w:r w:rsidRPr="006501FC">
              <w:rPr>
                <w:rFonts w:hint="eastAsia"/>
                <w:color w:val="000000"/>
                <w:sz w:val="15"/>
                <w:szCs w:val="15"/>
                <w:rtl/>
                <w:lang w:eastAsia="he-IL"/>
              </w:rPr>
              <w:t>שאינן</w:t>
            </w:r>
            <w:r w:rsidRPr="006501FC">
              <w:rPr>
                <w:color w:val="000000"/>
                <w:sz w:val="15"/>
                <w:szCs w:val="15"/>
                <w:rtl/>
                <w:lang w:eastAsia="he-IL"/>
              </w:rPr>
              <w:t xml:space="preserve"> </w:t>
            </w:r>
            <w:r w:rsidRPr="006501FC">
              <w:rPr>
                <w:rFonts w:hint="eastAsia"/>
                <w:color w:val="000000"/>
                <w:sz w:val="15"/>
                <w:szCs w:val="15"/>
                <w:rtl/>
                <w:lang w:eastAsia="he-IL"/>
              </w:rPr>
              <w:t>מקנות</w:t>
            </w:r>
            <w:r w:rsidRPr="006501FC">
              <w:rPr>
                <w:color w:val="000000"/>
                <w:sz w:val="15"/>
                <w:szCs w:val="15"/>
                <w:rtl/>
                <w:lang w:eastAsia="he-IL"/>
              </w:rPr>
              <w:t xml:space="preserve"> </w:t>
            </w:r>
            <w:r w:rsidRPr="006501FC">
              <w:rPr>
                <w:rFonts w:hint="eastAsia"/>
                <w:color w:val="000000"/>
                <w:sz w:val="15"/>
                <w:szCs w:val="15"/>
                <w:rtl/>
                <w:lang w:eastAsia="he-IL"/>
              </w:rPr>
              <w:t>שליטה</w:t>
            </w:r>
          </w:p>
        </w:tc>
        <w:tc>
          <w:tcPr>
            <w:tcW w:w="264" w:type="pct"/>
            <w:vAlign w:val="bottom"/>
          </w:tcPr>
          <w:p w14:paraId="1153BD7C"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24" w:type="pct"/>
            <w:vAlign w:val="bottom"/>
          </w:tcPr>
          <w:p w14:paraId="5498F8F1"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297" w:type="pct"/>
            <w:vAlign w:val="bottom"/>
          </w:tcPr>
          <w:p w14:paraId="0B93068D"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28" w:type="pct"/>
            <w:vAlign w:val="bottom"/>
          </w:tcPr>
          <w:p w14:paraId="226F1043"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17" w:type="pct"/>
            <w:vAlign w:val="bottom"/>
          </w:tcPr>
          <w:p w14:paraId="19CFA74B"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27" w:type="pct"/>
            <w:vAlign w:val="bottom"/>
          </w:tcPr>
          <w:p w14:paraId="4E51B0A0"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294" w:type="pct"/>
            <w:vAlign w:val="bottom"/>
          </w:tcPr>
          <w:p w14:paraId="2EF1D5CC"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45" w:type="pct"/>
            <w:gridSpan w:val="2"/>
            <w:vAlign w:val="bottom"/>
          </w:tcPr>
          <w:p w14:paraId="0EA3CDA0"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64" w:type="pct"/>
            <w:vAlign w:val="bottom"/>
          </w:tcPr>
          <w:p w14:paraId="3D1436C9"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230" w:type="pct"/>
            <w:vAlign w:val="bottom"/>
          </w:tcPr>
          <w:p w14:paraId="4B8697AF"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83" w:type="pct"/>
            <w:vAlign w:val="bottom"/>
          </w:tcPr>
          <w:p w14:paraId="0575E62D"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356" w:type="pct"/>
            <w:vAlign w:val="bottom"/>
          </w:tcPr>
          <w:p w14:paraId="170BF869"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w:t>
            </w:r>
            <w:r w:rsidRPr="006501FC">
              <w:rPr>
                <w:sz w:val="15"/>
                <w:szCs w:val="15"/>
                <w:rtl/>
              </w:rPr>
              <w:t>0</w:t>
            </w:r>
          </w:p>
        </w:tc>
        <w:tc>
          <w:tcPr>
            <w:tcW w:w="220" w:type="pct"/>
            <w:vAlign w:val="bottom"/>
          </w:tcPr>
          <w:p w14:paraId="41458021" w14:textId="77777777" w:rsidR="006501FC" w:rsidRPr="006501FC" w:rsidRDefault="006501FC" w:rsidP="00400DD1">
            <w:pPr>
              <w:spacing w:line="241" w:lineRule="auto"/>
              <w:ind w:left="85" w:right="85"/>
              <w:jc w:val="left"/>
              <w:rPr>
                <w:sz w:val="15"/>
                <w:szCs w:val="15"/>
                <w:rtl/>
              </w:rPr>
            </w:pPr>
            <w:r w:rsidRPr="006501FC">
              <w:rPr>
                <w:rFonts w:hint="cs"/>
                <w:sz w:val="15"/>
                <w:szCs w:val="15"/>
                <w:rtl/>
              </w:rPr>
              <w:t xml:space="preserve"> 0</w:t>
            </w:r>
          </w:p>
        </w:tc>
      </w:tr>
      <w:tr w:rsidR="006501FC" w:rsidRPr="006501FC" w14:paraId="5E21EBCB" w14:textId="77777777" w:rsidTr="00A82C7F">
        <w:tc>
          <w:tcPr>
            <w:tcW w:w="951" w:type="pct"/>
            <w:vAlign w:val="bottom"/>
          </w:tcPr>
          <w:p w14:paraId="21AC0EA6" w14:textId="77777777" w:rsidR="006501FC" w:rsidRPr="006501FC" w:rsidRDefault="006501FC" w:rsidP="00400DD1">
            <w:pPr>
              <w:spacing w:line="241" w:lineRule="auto"/>
              <w:jc w:val="left"/>
              <w:rPr>
                <w:color w:val="000000"/>
                <w:sz w:val="15"/>
                <w:szCs w:val="15"/>
                <w:rtl/>
                <w:lang w:eastAsia="he-IL"/>
              </w:rPr>
            </w:pPr>
            <w:r w:rsidRPr="006501FC">
              <w:rPr>
                <w:rFonts w:hint="eastAsia"/>
                <w:color w:val="000000"/>
                <w:sz w:val="15"/>
                <w:szCs w:val="15"/>
                <w:rtl/>
                <w:lang w:eastAsia="he-IL"/>
              </w:rPr>
              <w:t>רווח</w:t>
            </w:r>
            <w:r w:rsidRPr="006501FC">
              <w:rPr>
                <w:color w:val="000000"/>
                <w:sz w:val="15"/>
                <w:szCs w:val="15"/>
                <w:rtl/>
                <w:lang w:eastAsia="he-IL"/>
              </w:rPr>
              <w:t xml:space="preserve"> </w:t>
            </w:r>
            <w:r w:rsidRPr="006501FC">
              <w:rPr>
                <w:rFonts w:hint="eastAsia"/>
                <w:color w:val="000000"/>
                <w:sz w:val="15"/>
                <w:szCs w:val="15"/>
                <w:rtl/>
                <w:lang w:eastAsia="he-IL"/>
              </w:rPr>
              <w:t>נקי</w:t>
            </w:r>
            <w:r w:rsidRPr="006501FC">
              <w:rPr>
                <w:color w:val="000000"/>
                <w:sz w:val="15"/>
                <w:szCs w:val="15"/>
                <w:rtl/>
                <w:lang w:eastAsia="he-IL"/>
              </w:rPr>
              <w:t xml:space="preserve"> </w:t>
            </w:r>
            <w:r w:rsidRPr="006501FC">
              <w:rPr>
                <w:rFonts w:hint="eastAsia"/>
                <w:color w:val="000000"/>
                <w:sz w:val="15"/>
                <w:szCs w:val="15"/>
                <w:rtl/>
                <w:lang w:eastAsia="he-IL"/>
              </w:rPr>
              <w:t>המיוחס</w:t>
            </w:r>
            <w:r w:rsidRPr="006501FC">
              <w:rPr>
                <w:color w:val="000000"/>
                <w:sz w:val="15"/>
                <w:szCs w:val="15"/>
                <w:rtl/>
                <w:lang w:eastAsia="he-IL"/>
              </w:rPr>
              <w:t xml:space="preserve"> </w:t>
            </w:r>
            <w:r w:rsidRPr="006501FC">
              <w:rPr>
                <w:rFonts w:hint="eastAsia"/>
                <w:color w:val="000000"/>
                <w:sz w:val="15"/>
                <w:szCs w:val="15"/>
                <w:rtl/>
                <w:lang w:eastAsia="he-IL"/>
              </w:rPr>
              <w:t>לבעלי</w:t>
            </w:r>
            <w:r w:rsidRPr="006501FC">
              <w:rPr>
                <w:color w:val="000000"/>
                <w:sz w:val="15"/>
                <w:szCs w:val="15"/>
                <w:rtl/>
                <w:lang w:eastAsia="he-IL"/>
              </w:rPr>
              <w:t xml:space="preserve"> </w:t>
            </w:r>
            <w:r w:rsidRPr="006501FC">
              <w:rPr>
                <w:rFonts w:hint="eastAsia"/>
                <w:color w:val="000000"/>
                <w:sz w:val="15"/>
                <w:szCs w:val="15"/>
                <w:rtl/>
                <w:lang w:eastAsia="he-IL"/>
              </w:rPr>
              <w:t>זכויות</w:t>
            </w:r>
            <w:r w:rsidRPr="006501FC">
              <w:rPr>
                <w:color w:val="000000"/>
                <w:sz w:val="15"/>
                <w:szCs w:val="15"/>
                <w:rtl/>
                <w:lang w:eastAsia="he-IL"/>
              </w:rPr>
              <w:t xml:space="preserve"> </w:t>
            </w:r>
            <w:r w:rsidRPr="006501FC">
              <w:rPr>
                <w:rFonts w:hint="eastAsia"/>
                <w:color w:val="000000"/>
                <w:sz w:val="15"/>
                <w:szCs w:val="15"/>
                <w:rtl/>
                <w:lang w:eastAsia="he-IL"/>
              </w:rPr>
              <w:t>שאינן</w:t>
            </w:r>
            <w:r w:rsidRPr="006501FC">
              <w:rPr>
                <w:color w:val="000000"/>
                <w:sz w:val="15"/>
                <w:szCs w:val="15"/>
                <w:rtl/>
                <w:lang w:eastAsia="he-IL"/>
              </w:rPr>
              <w:t xml:space="preserve"> </w:t>
            </w:r>
            <w:r w:rsidRPr="006501FC">
              <w:rPr>
                <w:rFonts w:hint="eastAsia"/>
                <w:color w:val="000000"/>
                <w:sz w:val="15"/>
                <w:szCs w:val="15"/>
                <w:rtl/>
                <w:lang w:eastAsia="he-IL"/>
              </w:rPr>
              <w:t>מקנות</w:t>
            </w:r>
            <w:r w:rsidRPr="006501FC">
              <w:rPr>
                <w:color w:val="000000"/>
                <w:sz w:val="15"/>
                <w:szCs w:val="15"/>
                <w:rtl/>
                <w:lang w:eastAsia="he-IL"/>
              </w:rPr>
              <w:t xml:space="preserve"> </w:t>
            </w:r>
            <w:r w:rsidRPr="006501FC">
              <w:rPr>
                <w:rFonts w:hint="eastAsia"/>
                <w:color w:val="000000"/>
                <w:sz w:val="15"/>
                <w:szCs w:val="15"/>
                <w:rtl/>
                <w:lang w:eastAsia="he-IL"/>
              </w:rPr>
              <w:t>שליטה</w:t>
            </w:r>
          </w:p>
        </w:tc>
        <w:tc>
          <w:tcPr>
            <w:tcW w:w="264" w:type="pct"/>
            <w:vAlign w:val="bottom"/>
          </w:tcPr>
          <w:p w14:paraId="60BAC56D"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24" w:type="pct"/>
            <w:vAlign w:val="bottom"/>
          </w:tcPr>
          <w:p w14:paraId="7834DF9B"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297" w:type="pct"/>
            <w:vAlign w:val="bottom"/>
          </w:tcPr>
          <w:p w14:paraId="1F732490"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28" w:type="pct"/>
            <w:vAlign w:val="bottom"/>
          </w:tcPr>
          <w:p w14:paraId="1F4E677B"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17" w:type="pct"/>
            <w:vAlign w:val="bottom"/>
          </w:tcPr>
          <w:p w14:paraId="1DE491E2"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27" w:type="pct"/>
            <w:vAlign w:val="bottom"/>
          </w:tcPr>
          <w:p w14:paraId="64BD476B"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294" w:type="pct"/>
            <w:vAlign w:val="bottom"/>
          </w:tcPr>
          <w:p w14:paraId="4C69B62D"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45" w:type="pct"/>
            <w:gridSpan w:val="2"/>
            <w:vAlign w:val="bottom"/>
          </w:tcPr>
          <w:p w14:paraId="0E7EC22E"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64" w:type="pct"/>
            <w:vAlign w:val="bottom"/>
          </w:tcPr>
          <w:p w14:paraId="2FEC0C6B"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230" w:type="pct"/>
            <w:vAlign w:val="bottom"/>
          </w:tcPr>
          <w:p w14:paraId="0DA53712"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83" w:type="pct"/>
            <w:vAlign w:val="bottom"/>
          </w:tcPr>
          <w:p w14:paraId="163E6AFC"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w:t>
            </w:r>
            <w:r w:rsidRPr="006501FC">
              <w:rPr>
                <w:sz w:val="15"/>
                <w:szCs w:val="15"/>
                <w:rtl/>
              </w:rPr>
              <w:t>0</w:t>
            </w:r>
            <w:r w:rsidRPr="006501FC">
              <w:rPr>
                <w:rFonts w:hint="cs"/>
                <w:sz w:val="15"/>
                <w:szCs w:val="15"/>
                <w:rtl/>
              </w:rPr>
              <w:t>)</w:t>
            </w:r>
          </w:p>
        </w:tc>
        <w:tc>
          <w:tcPr>
            <w:tcW w:w="356" w:type="pct"/>
            <w:vAlign w:val="bottom"/>
          </w:tcPr>
          <w:p w14:paraId="739AF6EC"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(0)</w:t>
            </w:r>
          </w:p>
        </w:tc>
        <w:tc>
          <w:tcPr>
            <w:tcW w:w="220" w:type="pct"/>
            <w:vAlign w:val="bottom"/>
          </w:tcPr>
          <w:p w14:paraId="1AFFB07A" w14:textId="77777777" w:rsidR="006501FC" w:rsidRPr="006501FC" w:rsidRDefault="006501FC" w:rsidP="00400DD1">
            <w:pPr>
              <w:pBdr>
                <w:bottom w:val="single" w:sz="4" w:space="1" w:color="auto"/>
              </w:pBdr>
              <w:spacing w:line="241" w:lineRule="auto"/>
              <w:ind w:left="85" w:right="85"/>
              <w:jc w:val="left"/>
              <w:rPr>
                <w:sz w:val="15"/>
                <w:szCs w:val="15"/>
                <w:rtl/>
              </w:rPr>
            </w:pPr>
            <w:r w:rsidRPr="006501FC">
              <w:rPr>
                <w:rFonts w:hint="cs"/>
                <w:sz w:val="15"/>
                <w:szCs w:val="15"/>
                <w:rtl/>
              </w:rPr>
              <w:t>(0)</w:t>
            </w:r>
          </w:p>
        </w:tc>
      </w:tr>
      <w:tr w:rsidR="006501FC" w:rsidRPr="006501FC" w14:paraId="4C515431" w14:textId="77777777" w:rsidTr="00A82C7F">
        <w:tc>
          <w:tcPr>
            <w:tcW w:w="951" w:type="pct"/>
            <w:vAlign w:val="bottom"/>
          </w:tcPr>
          <w:p w14:paraId="565FC2C8" w14:textId="77777777" w:rsidR="006501FC" w:rsidRPr="006501FC" w:rsidRDefault="006501FC" w:rsidP="00400DD1">
            <w:pPr>
              <w:spacing w:line="241" w:lineRule="auto"/>
              <w:jc w:val="left"/>
              <w:rPr>
                <w:b/>
                <w:bCs/>
                <w:color w:val="000000"/>
                <w:sz w:val="15"/>
                <w:szCs w:val="15"/>
                <w:rtl/>
                <w:lang w:eastAsia="he-IL"/>
              </w:rPr>
            </w:pPr>
            <w:r w:rsidRPr="006501FC">
              <w:rPr>
                <w:rFonts w:hint="eastAsia"/>
                <w:b/>
                <w:bCs/>
                <w:color w:val="000000"/>
                <w:sz w:val="15"/>
                <w:szCs w:val="15"/>
                <w:rtl/>
                <w:lang w:eastAsia="he-IL"/>
              </w:rPr>
              <w:t>רווח</w:t>
            </w:r>
            <w:r w:rsidRPr="006501FC">
              <w:rPr>
                <w:b/>
                <w:bCs/>
                <w:color w:val="000000"/>
                <w:sz w:val="15"/>
                <w:szCs w:val="15"/>
                <w:rtl/>
                <w:lang w:eastAsia="he-IL"/>
              </w:rPr>
              <w:t xml:space="preserve"> </w:t>
            </w:r>
            <w:r w:rsidRPr="006501FC">
              <w:rPr>
                <w:rFonts w:hint="eastAsia"/>
                <w:b/>
                <w:bCs/>
                <w:color w:val="000000"/>
                <w:sz w:val="15"/>
                <w:szCs w:val="15"/>
                <w:rtl/>
                <w:lang w:eastAsia="he-IL"/>
              </w:rPr>
              <w:t>נקי</w:t>
            </w:r>
            <w:r w:rsidRPr="006501FC">
              <w:rPr>
                <w:b/>
                <w:bCs/>
                <w:color w:val="000000"/>
                <w:sz w:val="15"/>
                <w:szCs w:val="15"/>
                <w:rtl/>
                <w:lang w:eastAsia="he-IL"/>
              </w:rPr>
              <w:t xml:space="preserve"> </w:t>
            </w:r>
            <w:r w:rsidRPr="006501FC">
              <w:rPr>
                <w:rFonts w:hint="eastAsia"/>
                <w:b/>
                <w:bCs/>
                <w:color w:val="000000"/>
                <w:sz w:val="15"/>
                <w:szCs w:val="15"/>
                <w:rtl/>
                <w:lang w:eastAsia="he-IL"/>
              </w:rPr>
              <w:t>המיוחס</w:t>
            </w:r>
            <w:r w:rsidRPr="006501FC">
              <w:rPr>
                <w:b/>
                <w:bCs/>
                <w:color w:val="000000"/>
                <w:sz w:val="15"/>
                <w:szCs w:val="15"/>
                <w:rtl/>
                <w:lang w:eastAsia="he-IL"/>
              </w:rPr>
              <w:t xml:space="preserve"> </w:t>
            </w:r>
            <w:r w:rsidRPr="006501FC">
              <w:rPr>
                <w:rFonts w:hint="eastAsia"/>
                <w:b/>
                <w:bCs/>
                <w:color w:val="000000"/>
                <w:sz w:val="15"/>
                <w:szCs w:val="15"/>
                <w:rtl/>
                <w:lang w:eastAsia="he-IL"/>
              </w:rPr>
              <w:t>לבעלי</w:t>
            </w:r>
            <w:r w:rsidRPr="006501FC">
              <w:rPr>
                <w:b/>
                <w:bCs/>
                <w:color w:val="000000"/>
                <w:sz w:val="15"/>
                <w:szCs w:val="15"/>
                <w:rtl/>
                <w:lang w:eastAsia="he-IL"/>
              </w:rPr>
              <w:t xml:space="preserve"> </w:t>
            </w:r>
            <w:r w:rsidRPr="006501FC">
              <w:rPr>
                <w:rFonts w:hint="eastAsia"/>
                <w:b/>
                <w:bCs/>
                <w:color w:val="000000"/>
                <w:sz w:val="15"/>
                <w:szCs w:val="15"/>
                <w:rtl/>
                <w:lang w:eastAsia="he-IL"/>
              </w:rPr>
              <w:t>מניות</w:t>
            </w:r>
            <w:r w:rsidRPr="006501FC">
              <w:rPr>
                <w:b/>
                <w:bCs/>
                <w:color w:val="000000"/>
                <w:sz w:val="15"/>
                <w:szCs w:val="15"/>
                <w:rtl/>
                <w:lang w:eastAsia="he-IL"/>
              </w:rPr>
              <w:t xml:space="preserve"> </w:t>
            </w:r>
            <w:r w:rsidRPr="006501FC">
              <w:rPr>
                <w:rFonts w:hint="eastAsia"/>
                <w:b/>
                <w:bCs/>
                <w:color w:val="000000"/>
                <w:sz w:val="15"/>
                <w:szCs w:val="15"/>
                <w:rtl/>
                <w:lang w:eastAsia="he-IL"/>
              </w:rPr>
              <w:t>התאגיד</w:t>
            </w:r>
            <w:r w:rsidRPr="006501FC">
              <w:rPr>
                <w:b/>
                <w:bCs/>
                <w:color w:val="000000"/>
                <w:sz w:val="15"/>
                <w:szCs w:val="15"/>
                <w:rtl/>
                <w:lang w:eastAsia="he-IL"/>
              </w:rPr>
              <w:t xml:space="preserve"> </w:t>
            </w:r>
            <w:r w:rsidRPr="006501FC">
              <w:rPr>
                <w:rFonts w:hint="eastAsia"/>
                <w:b/>
                <w:bCs/>
                <w:color w:val="000000"/>
                <w:sz w:val="15"/>
                <w:szCs w:val="15"/>
                <w:rtl/>
                <w:lang w:eastAsia="he-IL"/>
              </w:rPr>
              <w:t>הבנקאי</w:t>
            </w:r>
          </w:p>
        </w:tc>
        <w:tc>
          <w:tcPr>
            <w:tcW w:w="264" w:type="pct"/>
            <w:vAlign w:val="bottom"/>
          </w:tcPr>
          <w:p w14:paraId="32C04C0C"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24" w:type="pct"/>
            <w:vAlign w:val="bottom"/>
          </w:tcPr>
          <w:p w14:paraId="16323696"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297" w:type="pct"/>
            <w:vAlign w:val="bottom"/>
          </w:tcPr>
          <w:p w14:paraId="1F64E43F"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28" w:type="pct"/>
            <w:vAlign w:val="bottom"/>
          </w:tcPr>
          <w:p w14:paraId="7C9510DC"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17" w:type="pct"/>
            <w:vAlign w:val="bottom"/>
          </w:tcPr>
          <w:p w14:paraId="7DB4CF2A"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27" w:type="pct"/>
            <w:vAlign w:val="bottom"/>
          </w:tcPr>
          <w:p w14:paraId="1C7C7938"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294" w:type="pct"/>
            <w:vAlign w:val="bottom"/>
          </w:tcPr>
          <w:p w14:paraId="6E430FAA"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45" w:type="pct"/>
            <w:gridSpan w:val="2"/>
            <w:vAlign w:val="bottom"/>
          </w:tcPr>
          <w:p w14:paraId="1DBCE10D"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64" w:type="pct"/>
            <w:vAlign w:val="bottom"/>
          </w:tcPr>
          <w:p w14:paraId="72125F99"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230" w:type="pct"/>
            <w:vAlign w:val="bottom"/>
          </w:tcPr>
          <w:p w14:paraId="45EA7368"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83" w:type="pct"/>
            <w:vAlign w:val="bottom"/>
          </w:tcPr>
          <w:p w14:paraId="4E5A3C50"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356" w:type="pct"/>
            <w:vAlign w:val="bottom"/>
          </w:tcPr>
          <w:p w14:paraId="76C8B99A"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w:t>
            </w:r>
            <w:r w:rsidRPr="006501FC">
              <w:rPr>
                <w:b/>
                <w:bCs/>
                <w:sz w:val="15"/>
                <w:szCs w:val="15"/>
                <w:rtl/>
              </w:rPr>
              <w:t>0</w:t>
            </w:r>
          </w:p>
        </w:tc>
        <w:tc>
          <w:tcPr>
            <w:tcW w:w="220" w:type="pct"/>
            <w:vAlign w:val="bottom"/>
          </w:tcPr>
          <w:p w14:paraId="0D854268" w14:textId="77777777" w:rsidR="006501FC" w:rsidRPr="006501FC" w:rsidRDefault="006501FC" w:rsidP="00400DD1">
            <w:pPr>
              <w:pBdr>
                <w:bottom w:val="double" w:sz="4" w:space="1" w:color="auto"/>
              </w:pBdr>
              <w:spacing w:line="241" w:lineRule="auto"/>
              <w:ind w:left="85" w:right="85"/>
              <w:jc w:val="left"/>
              <w:rPr>
                <w:b/>
                <w:bCs/>
                <w:sz w:val="15"/>
                <w:szCs w:val="15"/>
                <w:rtl/>
              </w:rPr>
            </w:pPr>
            <w:r w:rsidRPr="006501FC">
              <w:rPr>
                <w:rFonts w:hint="cs"/>
                <w:b/>
                <w:bCs/>
                <w:sz w:val="15"/>
                <w:szCs w:val="15"/>
                <w:rtl/>
              </w:rPr>
              <w:t xml:space="preserve"> 0</w:t>
            </w:r>
          </w:p>
        </w:tc>
      </w:tr>
      <w:tr w:rsidR="006501FC" w:rsidRPr="006501FC" w14:paraId="312CDFCD" w14:textId="77777777" w:rsidTr="00A82C7F">
        <w:tc>
          <w:tcPr>
            <w:tcW w:w="951" w:type="pct"/>
            <w:tcBorders>
              <w:bottom w:val="single" w:sz="8" w:space="0" w:color="auto"/>
            </w:tcBorders>
            <w:vAlign w:val="bottom"/>
          </w:tcPr>
          <w:p w14:paraId="6717AF6B" w14:textId="77777777" w:rsidR="006501FC" w:rsidRPr="006501FC" w:rsidRDefault="006501FC" w:rsidP="00400DD1">
            <w:pPr>
              <w:spacing w:line="241" w:lineRule="auto"/>
              <w:ind w:left="172" w:hanging="171"/>
              <w:jc w:val="left"/>
              <w:rPr>
                <w:b/>
                <w:bCs/>
                <w:color w:val="000000"/>
                <w:sz w:val="15"/>
                <w:szCs w:val="15"/>
                <w:rtl/>
                <w:lang w:eastAsia="he-IL"/>
              </w:rPr>
            </w:pPr>
          </w:p>
        </w:tc>
        <w:tc>
          <w:tcPr>
            <w:tcW w:w="264" w:type="pct"/>
            <w:tcBorders>
              <w:bottom w:val="single" w:sz="8" w:space="0" w:color="auto"/>
            </w:tcBorders>
            <w:vAlign w:val="bottom"/>
          </w:tcPr>
          <w:p w14:paraId="12B190FD" w14:textId="77777777" w:rsidR="006501FC" w:rsidRPr="006501FC" w:rsidRDefault="006501FC" w:rsidP="00400DD1">
            <w:pPr>
              <w:spacing w:line="241" w:lineRule="auto"/>
              <w:ind w:left="85" w:right="85"/>
              <w:jc w:val="left"/>
              <w:rPr>
                <w:sz w:val="15"/>
                <w:szCs w:val="15"/>
                <w:rtl/>
              </w:rPr>
            </w:pPr>
          </w:p>
        </w:tc>
        <w:tc>
          <w:tcPr>
            <w:tcW w:w="324" w:type="pct"/>
            <w:tcBorders>
              <w:bottom w:val="single" w:sz="8" w:space="0" w:color="auto"/>
            </w:tcBorders>
            <w:vAlign w:val="bottom"/>
          </w:tcPr>
          <w:p w14:paraId="4113E9B7" w14:textId="77777777" w:rsidR="006501FC" w:rsidRPr="006501FC" w:rsidRDefault="006501FC" w:rsidP="00400DD1">
            <w:pPr>
              <w:spacing w:line="241" w:lineRule="auto"/>
              <w:ind w:left="85" w:right="85"/>
              <w:jc w:val="left"/>
              <w:rPr>
                <w:sz w:val="15"/>
                <w:szCs w:val="15"/>
                <w:rtl/>
              </w:rPr>
            </w:pPr>
          </w:p>
        </w:tc>
        <w:tc>
          <w:tcPr>
            <w:tcW w:w="297" w:type="pct"/>
            <w:tcBorders>
              <w:bottom w:val="single" w:sz="8" w:space="0" w:color="auto"/>
            </w:tcBorders>
            <w:vAlign w:val="bottom"/>
          </w:tcPr>
          <w:p w14:paraId="33F9E6FA" w14:textId="77777777" w:rsidR="006501FC" w:rsidRPr="006501FC" w:rsidRDefault="006501FC" w:rsidP="00400DD1">
            <w:pPr>
              <w:spacing w:line="241" w:lineRule="auto"/>
              <w:ind w:left="85" w:right="85"/>
              <w:jc w:val="left"/>
              <w:rPr>
                <w:sz w:val="15"/>
                <w:szCs w:val="15"/>
                <w:rtl/>
              </w:rPr>
            </w:pPr>
          </w:p>
        </w:tc>
        <w:tc>
          <w:tcPr>
            <w:tcW w:w="328" w:type="pct"/>
            <w:tcBorders>
              <w:bottom w:val="single" w:sz="8" w:space="0" w:color="auto"/>
            </w:tcBorders>
            <w:vAlign w:val="bottom"/>
          </w:tcPr>
          <w:p w14:paraId="151EC1F7" w14:textId="77777777" w:rsidR="006501FC" w:rsidRPr="006501FC" w:rsidRDefault="006501FC" w:rsidP="00400DD1">
            <w:pPr>
              <w:spacing w:line="241" w:lineRule="auto"/>
              <w:ind w:left="85" w:right="85"/>
              <w:jc w:val="left"/>
              <w:rPr>
                <w:sz w:val="15"/>
                <w:szCs w:val="15"/>
                <w:rtl/>
              </w:rPr>
            </w:pPr>
          </w:p>
        </w:tc>
        <w:tc>
          <w:tcPr>
            <w:tcW w:w="317" w:type="pct"/>
            <w:tcBorders>
              <w:bottom w:val="single" w:sz="8" w:space="0" w:color="auto"/>
            </w:tcBorders>
            <w:vAlign w:val="bottom"/>
          </w:tcPr>
          <w:p w14:paraId="5803DC99" w14:textId="77777777" w:rsidR="006501FC" w:rsidRPr="006501FC" w:rsidRDefault="006501FC" w:rsidP="00400DD1">
            <w:pPr>
              <w:spacing w:line="241" w:lineRule="auto"/>
              <w:ind w:left="85" w:right="85"/>
              <w:jc w:val="left"/>
              <w:rPr>
                <w:sz w:val="15"/>
                <w:szCs w:val="15"/>
                <w:rtl/>
              </w:rPr>
            </w:pPr>
          </w:p>
        </w:tc>
        <w:tc>
          <w:tcPr>
            <w:tcW w:w="327" w:type="pct"/>
            <w:tcBorders>
              <w:bottom w:val="single" w:sz="8" w:space="0" w:color="auto"/>
            </w:tcBorders>
            <w:vAlign w:val="bottom"/>
          </w:tcPr>
          <w:p w14:paraId="2732B871" w14:textId="77777777" w:rsidR="006501FC" w:rsidRPr="006501FC" w:rsidRDefault="006501FC" w:rsidP="00400DD1">
            <w:pPr>
              <w:spacing w:line="241" w:lineRule="auto"/>
              <w:ind w:left="85" w:right="85"/>
              <w:jc w:val="left"/>
              <w:rPr>
                <w:sz w:val="15"/>
                <w:szCs w:val="15"/>
                <w:rtl/>
              </w:rPr>
            </w:pPr>
          </w:p>
        </w:tc>
        <w:tc>
          <w:tcPr>
            <w:tcW w:w="294" w:type="pct"/>
            <w:tcBorders>
              <w:bottom w:val="single" w:sz="8" w:space="0" w:color="auto"/>
            </w:tcBorders>
            <w:vAlign w:val="bottom"/>
          </w:tcPr>
          <w:p w14:paraId="5FDA9F3D" w14:textId="77777777" w:rsidR="006501FC" w:rsidRPr="006501FC" w:rsidRDefault="006501FC" w:rsidP="00400DD1">
            <w:pPr>
              <w:spacing w:line="241" w:lineRule="auto"/>
              <w:ind w:left="85" w:right="85"/>
              <w:jc w:val="left"/>
              <w:rPr>
                <w:sz w:val="15"/>
                <w:szCs w:val="15"/>
                <w:rtl/>
              </w:rPr>
            </w:pPr>
          </w:p>
        </w:tc>
        <w:tc>
          <w:tcPr>
            <w:tcW w:w="345" w:type="pct"/>
            <w:gridSpan w:val="2"/>
            <w:tcBorders>
              <w:bottom w:val="single" w:sz="8" w:space="0" w:color="auto"/>
            </w:tcBorders>
            <w:vAlign w:val="bottom"/>
          </w:tcPr>
          <w:p w14:paraId="611BDF58" w14:textId="77777777" w:rsidR="006501FC" w:rsidRPr="006501FC" w:rsidRDefault="006501FC" w:rsidP="00400DD1">
            <w:pPr>
              <w:spacing w:line="241" w:lineRule="auto"/>
              <w:ind w:left="85" w:right="85"/>
              <w:jc w:val="left"/>
              <w:rPr>
                <w:sz w:val="15"/>
                <w:szCs w:val="15"/>
                <w:rtl/>
              </w:rPr>
            </w:pPr>
          </w:p>
        </w:tc>
        <w:tc>
          <w:tcPr>
            <w:tcW w:w="364" w:type="pct"/>
            <w:tcBorders>
              <w:bottom w:val="single" w:sz="8" w:space="0" w:color="auto"/>
            </w:tcBorders>
            <w:vAlign w:val="bottom"/>
          </w:tcPr>
          <w:p w14:paraId="05541A4C" w14:textId="77777777" w:rsidR="006501FC" w:rsidRPr="006501FC" w:rsidRDefault="006501FC" w:rsidP="00400DD1">
            <w:pPr>
              <w:spacing w:line="241" w:lineRule="auto"/>
              <w:ind w:left="85" w:right="85"/>
              <w:jc w:val="left"/>
              <w:rPr>
                <w:sz w:val="15"/>
                <w:szCs w:val="15"/>
                <w:rtl/>
              </w:rPr>
            </w:pPr>
          </w:p>
        </w:tc>
        <w:tc>
          <w:tcPr>
            <w:tcW w:w="230" w:type="pct"/>
            <w:tcBorders>
              <w:bottom w:val="single" w:sz="8" w:space="0" w:color="auto"/>
            </w:tcBorders>
            <w:vAlign w:val="bottom"/>
          </w:tcPr>
          <w:p w14:paraId="06819B99" w14:textId="77777777" w:rsidR="006501FC" w:rsidRPr="006501FC" w:rsidRDefault="006501FC" w:rsidP="00400DD1">
            <w:pPr>
              <w:spacing w:line="241" w:lineRule="auto"/>
              <w:ind w:left="85" w:right="85"/>
              <w:jc w:val="left"/>
              <w:rPr>
                <w:sz w:val="15"/>
                <w:szCs w:val="15"/>
                <w:rtl/>
              </w:rPr>
            </w:pPr>
          </w:p>
        </w:tc>
        <w:tc>
          <w:tcPr>
            <w:tcW w:w="383" w:type="pct"/>
            <w:tcBorders>
              <w:bottom w:val="single" w:sz="8" w:space="0" w:color="auto"/>
            </w:tcBorders>
            <w:vAlign w:val="bottom"/>
          </w:tcPr>
          <w:p w14:paraId="353AE2B9" w14:textId="77777777" w:rsidR="006501FC" w:rsidRPr="006501FC" w:rsidRDefault="006501FC" w:rsidP="00400DD1">
            <w:pPr>
              <w:spacing w:line="241" w:lineRule="auto"/>
              <w:ind w:left="85" w:right="85"/>
              <w:jc w:val="left"/>
              <w:rPr>
                <w:sz w:val="15"/>
                <w:szCs w:val="15"/>
                <w:rtl/>
              </w:rPr>
            </w:pPr>
          </w:p>
        </w:tc>
        <w:tc>
          <w:tcPr>
            <w:tcW w:w="356" w:type="pct"/>
            <w:tcBorders>
              <w:bottom w:val="single" w:sz="8" w:space="0" w:color="auto"/>
            </w:tcBorders>
            <w:vAlign w:val="bottom"/>
          </w:tcPr>
          <w:p w14:paraId="2F189824" w14:textId="77777777" w:rsidR="006501FC" w:rsidRPr="006501FC" w:rsidRDefault="006501FC" w:rsidP="00400DD1">
            <w:pPr>
              <w:spacing w:line="241" w:lineRule="auto"/>
              <w:ind w:left="85" w:right="85"/>
              <w:jc w:val="left"/>
              <w:rPr>
                <w:sz w:val="15"/>
                <w:szCs w:val="15"/>
                <w:rtl/>
              </w:rPr>
            </w:pPr>
          </w:p>
        </w:tc>
        <w:tc>
          <w:tcPr>
            <w:tcW w:w="220" w:type="pct"/>
            <w:tcBorders>
              <w:bottom w:val="single" w:sz="8" w:space="0" w:color="auto"/>
            </w:tcBorders>
            <w:vAlign w:val="bottom"/>
          </w:tcPr>
          <w:p w14:paraId="5D917B1D" w14:textId="77777777" w:rsidR="006501FC" w:rsidRPr="006501FC" w:rsidRDefault="006501FC" w:rsidP="00400DD1">
            <w:pPr>
              <w:spacing w:line="241" w:lineRule="auto"/>
              <w:ind w:left="85" w:right="85"/>
              <w:jc w:val="left"/>
              <w:rPr>
                <w:sz w:val="15"/>
                <w:szCs w:val="15"/>
                <w:rtl/>
              </w:rPr>
            </w:pPr>
          </w:p>
        </w:tc>
      </w:tr>
      <w:tr w:rsidR="006501FC" w:rsidRPr="006501FC" w14:paraId="3BE95733" w14:textId="77777777" w:rsidTr="00A82C7F">
        <w:tc>
          <w:tcPr>
            <w:tcW w:w="951" w:type="pct"/>
            <w:tcBorders>
              <w:top w:val="single" w:sz="8" w:space="0" w:color="auto"/>
            </w:tcBorders>
            <w:vAlign w:val="bottom"/>
          </w:tcPr>
          <w:p w14:paraId="21929444" w14:textId="77777777" w:rsidR="006501FC" w:rsidRPr="006501FC" w:rsidRDefault="006501FC" w:rsidP="00400DD1">
            <w:pPr>
              <w:spacing w:line="241" w:lineRule="auto"/>
              <w:ind w:left="172" w:hanging="171"/>
              <w:jc w:val="left"/>
              <w:rPr>
                <w:color w:val="000000"/>
                <w:sz w:val="15"/>
                <w:szCs w:val="15"/>
                <w:rtl/>
                <w:lang w:eastAsia="he-IL"/>
              </w:rPr>
            </w:pPr>
            <w:r w:rsidRPr="006501FC">
              <w:rPr>
                <w:rFonts w:hint="eastAsia"/>
                <w:color w:val="000000"/>
                <w:sz w:val="15"/>
                <w:szCs w:val="15"/>
                <w:rtl/>
                <w:lang w:eastAsia="he-IL"/>
              </w:rPr>
              <w:t>יתרה</w:t>
            </w:r>
            <w:r w:rsidRPr="006501FC">
              <w:rPr>
                <w:color w:val="000000"/>
                <w:sz w:val="15"/>
                <w:szCs w:val="15"/>
                <w:rtl/>
                <w:lang w:eastAsia="he-IL"/>
              </w:rPr>
              <w:t xml:space="preserve"> </w:t>
            </w:r>
            <w:r w:rsidRPr="006501FC">
              <w:rPr>
                <w:rFonts w:hint="eastAsia"/>
                <w:color w:val="000000"/>
                <w:sz w:val="15"/>
                <w:szCs w:val="15"/>
                <w:rtl/>
                <w:lang w:eastAsia="he-IL"/>
              </w:rPr>
              <w:t>ממוצעת</w:t>
            </w:r>
            <w:r w:rsidRPr="006501FC">
              <w:rPr>
                <w:color w:val="000000"/>
                <w:sz w:val="15"/>
                <w:szCs w:val="15"/>
                <w:rtl/>
                <w:lang w:eastAsia="he-IL"/>
              </w:rPr>
              <w:t xml:space="preserve"> </w:t>
            </w:r>
            <w:r w:rsidRPr="006501FC">
              <w:rPr>
                <w:rFonts w:hint="eastAsia"/>
                <w:color w:val="000000"/>
                <w:sz w:val="15"/>
                <w:szCs w:val="15"/>
                <w:rtl/>
                <w:lang w:eastAsia="he-IL"/>
              </w:rPr>
              <w:t>של</w:t>
            </w:r>
            <w:r w:rsidRPr="006501FC">
              <w:rPr>
                <w:color w:val="000000"/>
                <w:sz w:val="15"/>
                <w:szCs w:val="15"/>
                <w:rtl/>
                <w:lang w:eastAsia="he-IL"/>
              </w:rPr>
              <w:t xml:space="preserve"> </w:t>
            </w:r>
            <w:r w:rsidRPr="006501FC">
              <w:rPr>
                <w:rFonts w:hint="eastAsia"/>
                <w:color w:val="000000"/>
                <w:sz w:val="15"/>
                <w:szCs w:val="15"/>
                <w:rtl/>
                <w:lang w:eastAsia="he-IL"/>
              </w:rPr>
              <w:t>נכסים</w:t>
            </w:r>
            <w:r w:rsidRPr="006501FC">
              <w:rPr>
                <w:color w:val="000000"/>
                <w:sz w:val="15"/>
                <w:szCs w:val="15"/>
                <w:vertAlign w:val="superscript"/>
                <w:rtl/>
                <w:lang w:eastAsia="he-IL"/>
              </w:rPr>
              <w:t>(א)</w:t>
            </w:r>
          </w:p>
        </w:tc>
        <w:tc>
          <w:tcPr>
            <w:tcW w:w="264" w:type="pct"/>
            <w:tcBorders>
              <w:top w:val="single" w:sz="8" w:space="0" w:color="auto"/>
            </w:tcBorders>
            <w:vAlign w:val="bottom"/>
          </w:tcPr>
          <w:p w14:paraId="0F4EB18C"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tcBorders>
              <w:top w:val="single" w:sz="8" w:space="0" w:color="auto"/>
            </w:tcBorders>
            <w:vAlign w:val="bottom"/>
          </w:tcPr>
          <w:p w14:paraId="58FE0E37"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tcBorders>
              <w:top w:val="single" w:sz="8" w:space="0" w:color="auto"/>
            </w:tcBorders>
            <w:vAlign w:val="bottom"/>
          </w:tcPr>
          <w:p w14:paraId="25744353"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tcBorders>
              <w:top w:val="single" w:sz="8" w:space="0" w:color="auto"/>
            </w:tcBorders>
            <w:vAlign w:val="bottom"/>
          </w:tcPr>
          <w:p w14:paraId="78479DD7"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tcBorders>
              <w:top w:val="single" w:sz="8" w:space="0" w:color="auto"/>
            </w:tcBorders>
            <w:vAlign w:val="bottom"/>
          </w:tcPr>
          <w:p w14:paraId="6E7F4760"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tcBorders>
              <w:top w:val="single" w:sz="8" w:space="0" w:color="auto"/>
            </w:tcBorders>
            <w:vAlign w:val="bottom"/>
          </w:tcPr>
          <w:p w14:paraId="23E21AE6"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tcBorders>
              <w:top w:val="single" w:sz="8" w:space="0" w:color="auto"/>
            </w:tcBorders>
            <w:vAlign w:val="bottom"/>
          </w:tcPr>
          <w:p w14:paraId="342EA81F"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tcBorders>
              <w:top w:val="single" w:sz="8" w:space="0" w:color="auto"/>
            </w:tcBorders>
            <w:vAlign w:val="bottom"/>
          </w:tcPr>
          <w:p w14:paraId="7CF47A6F"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tcBorders>
              <w:top w:val="single" w:sz="8" w:space="0" w:color="auto"/>
            </w:tcBorders>
            <w:vAlign w:val="bottom"/>
          </w:tcPr>
          <w:p w14:paraId="4A09F7F9"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tcBorders>
              <w:top w:val="single" w:sz="8" w:space="0" w:color="auto"/>
            </w:tcBorders>
            <w:vAlign w:val="bottom"/>
          </w:tcPr>
          <w:p w14:paraId="7B7AEAD6"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tcBorders>
              <w:top w:val="single" w:sz="8" w:space="0" w:color="auto"/>
            </w:tcBorders>
            <w:vAlign w:val="bottom"/>
          </w:tcPr>
          <w:p w14:paraId="35901CB6"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tcBorders>
              <w:top w:val="single" w:sz="8" w:space="0" w:color="auto"/>
            </w:tcBorders>
            <w:vAlign w:val="bottom"/>
          </w:tcPr>
          <w:p w14:paraId="74AA4D74"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0" w:type="pct"/>
            <w:tcBorders>
              <w:top w:val="single" w:sz="8" w:space="0" w:color="auto"/>
            </w:tcBorders>
            <w:vAlign w:val="bottom"/>
          </w:tcPr>
          <w:p w14:paraId="446A4517"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555EC667" w14:textId="77777777" w:rsidTr="00A82C7F">
        <w:tc>
          <w:tcPr>
            <w:tcW w:w="951" w:type="pct"/>
            <w:vAlign w:val="bottom"/>
          </w:tcPr>
          <w:p w14:paraId="01C32330" w14:textId="77777777" w:rsidR="006501FC" w:rsidRPr="006501FC" w:rsidRDefault="006501FC" w:rsidP="00400DD1">
            <w:pPr>
              <w:spacing w:line="241" w:lineRule="auto"/>
              <w:ind w:left="172" w:hanging="171"/>
              <w:jc w:val="left"/>
              <w:rPr>
                <w:color w:val="000000"/>
                <w:sz w:val="15"/>
                <w:szCs w:val="15"/>
                <w:rtl/>
                <w:lang w:eastAsia="he-IL"/>
              </w:rPr>
            </w:pPr>
            <w:r w:rsidRPr="006501FC">
              <w:rPr>
                <w:rFonts w:hint="eastAsia"/>
                <w:color w:val="000000"/>
                <w:sz w:val="15"/>
                <w:szCs w:val="15"/>
                <w:rtl/>
                <w:lang w:eastAsia="he-IL"/>
              </w:rPr>
              <w:t>מזה</w:t>
            </w:r>
            <w:r w:rsidRPr="006501FC">
              <w:rPr>
                <w:color w:val="000000"/>
                <w:sz w:val="15"/>
                <w:szCs w:val="15"/>
                <w:rtl/>
                <w:lang w:eastAsia="he-IL"/>
              </w:rPr>
              <w:t xml:space="preserve">: </w:t>
            </w:r>
            <w:r w:rsidRPr="006501FC">
              <w:rPr>
                <w:rFonts w:hint="eastAsia"/>
                <w:color w:val="000000"/>
                <w:sz w:val="15"/>
                <w:szCs w:val="15"/>
                <w:rtl/>
                <w:lang w:eastAsia="he-IL"/>
              </w:rPr>
              <w:t>השקעות</w:t>
            </w:r>
            <w:r w:rsidRPr="006501FC">
              <w:rPr>
                <w:color w:val="000000"/>
                <w:sz w:val="15"/>
                <w:szCs w:val="15"/>
                <w:rtl/>
                <w:lang w:eastAsia="he-IL"/>
              </w:rPr>
              <w:t xml:space="preserve"> </w:t>
            </w:r>
            <w:r w:rsidRPr="006501FC">
              <w:rPr>
                <w:rFonts w:hint="eastAsia"/>
                <w:color w:val="000000"/>
                <w:sz w:val="15"/>
                <w:szCs w:val="15"/>
                <w:rtl/>
                <w:lang w:eastAsia="he-IL"/>
              </w:rPr>
              <w:t>בחברות</w:t>
            </w:r>
            <w:r w:rsidRPr="006501FC">
              <w:rPr>
                <w:color w:val="000000"/>
                <w:sz w:val="15"/>
                <w:szCs w:val="15"/>
                <w:rtl/>
                <w:lang w:eastAsia="he-IL"/>
              </w:rPr>
              <w:t xml:space="preserve"> </w:t>
            </w:r>
            <w:r w:rsidRPr="006501FC">
              <w:rPr>
                <w:rFonts w:hint="eastAsia"/>
                <w:color w:val="000000"/>
                <w:sz w:val="15"/>
                <w:szCs w:val="15"/>
                <w:rtl/>
                <w:lang w:eastAsia="he-IL"/>
              </w:rPr>
              <w:t>כלולות</w:t>
            </w:r>
            <w:r w:rsidRPr="006501FC">
              <w:rPr>
                <w:color w:val="000000"/>
                <w:sz w:val="15"/>
                <w:szCs w:val="15"/>
                <w:vertAlign w:val="superscript"/>
                <w:rtl/>
                <w:lang w:eastAsia="he-IL"/>
              </w:rPr>
              <w:t>(א)</w:t>
            </w:r>
          </w:p>
        </w:tc>
        <w:tc>
          <w:tcPr>
            <w:tcW w:w="264" w:type="pct"/>
            <w:vAlign w:val="bottom"/>
          </w:tcPr>
          <w:p w14:paraId="36298BE1"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72E80D5B"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4B554C00"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2251843A"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2C4A71F3"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3F0238B1"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5345A7BB"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32408B13"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71241F1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vAlign w:val="bottom"/>
          </w:tcPr>
          <w:p w14:paraId="11C957E7"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743DE25A"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052181B2"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0" w:type="pct"/>
            <w:vAlign w:val="bottom"/>
          </w:tcPr>
          <w:p w14:paraId="71794BD3"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63653160" w14:textId="77777777" w:rsidTr="00A82C7F">
        <w:tc>
          <w:tcPr>
            <w:tcW w:w="951" w:type="pct"/>
            <w:vAlign w:val="bottom"/>
          </w:tcPr>
          <w:p w14:paraId="2FEE34DC" w14:textId="77777777" w:rsidR="006501FC" w:rsidRPr="006501FC" w:rsidRDefault="006501FC" w:rsidP="00400DD1">
            <w:pPr>
              <w:spacing w:line="241" w:lineRule="auto"/>
              <w:ind w:left="340"/>
              <w:jc w:val="left"/>
              <w:rPr>
                <w:color w:val="000000"/>
                <w:sz w:val="15"/>
                <w:szCs w:val="15"/>
                <w:rtl/>
                <w:lang w:eastAsia="he-IL"/>
              </w:rPr>
            </w:pPr>
            <w:r w:rsidRPr="006501FC">
              <w:rPr>
                <w:rFonts w:hint="eastAsia"/>
                <w:color w:val="000000"/>
                <w:sz w:val="15"/>
                <w:szCs w:val="15"/>
                <w:rtl/>
                <w:lang w:eastAsia="he-IL"/>
              </w:rPr>
              <w:t>יתרה</w:t>
            </w:r>
            <w:r w:rsidRPr="006501FC">
              <w:rPr>
                <w:color w:val="000000"/>
                <w:sz w:val="15"/>
                <w:szCs w:val="15"/>
                <w:rtl/>
                <w:lang w:eastAsia="he-IL"/>
              </w:rPr>
              <w:t xml:space="preserve"> </w:t>
            </w:r>
            <w:r w:rsidRPr="006501FC">
              <w:rPr>
                <w:rFonts w:hint="eastAsia"/>
                <w:color w:val="000000"/>
                <w:sz w:val="15"/>
                <w:szCs w:val="15"/>
                <w:rtl/>
                <w:lang w:eastAsia="he-IL"/>
              </w:rPr>
              <w:t>ממוצעת</w:t>
            </w:r>
            <w:r w:rsidRPr="006501FC">
              <w:rPr>
                <w:color w:val="000000"/>
                <w:sz w:val="15"/>
                <w:szCs w:val="15"/>
                <w:rtl/>
                <w:lang w:eastAsia="he-IL"/>
              </w:rPr>
              <w:t xml:space="preserve"> </w:t>
            </w:r>
            <w:r w:rsidRPr="006501FC">
              <w:rPr>
                <w:rFonts w:hint="eastAsia"/>
                <w:color w:val="000000"/>
                <w:sz w:val="15"/>
                <w:szCs w:val="15"/>
                <w:rtl/>
                <w:lang w:eastAsia="he-IL"/>
              </w:rPr>
              <w:t>של</w:t>
            </w:r>
            <w:r w:rsidRPr="006501FC">
              <w:rPr>
                <w:color w:val="000000"/>
                <w:sz w:val="15"/>
                <w:szCs w:val="15"/>
                <w:rtl/>
                <w:lang w:eastAsia="he-IL"/>
              </w:rPr>
              <w:t xml:space="preserve"> </w:t>
            </w:r>
            <w:r w:rsidRPr="006501FC">
              <w:rPr>
                <w:rFonts w:hint="eastAsia"/>
                <w:color w:val="000000"/>
                <w:sz w:val="15"/>
                <w:szCs w:val="15"/>
                <w:rtl/>
                <w:lang w:eastAsia="he-IL"/>
              </w:rPr>
              <w:t>אשראי</w:t>
            </w:r>
            <w:r w:rsidRPr="006501FC">
              <w:rPr>
                <w:color w:val="000000"/>
                <w:sz w:val="15"/>
                <w:szCs w:val="15"/>
                <w:rtl/>
                <w:lang w:eastAsia="he-IL"/>
              </w:rPr>
              <w:t xml:space="preserve"> </w:t>
            </w:r>
            <w:r w:rsidRPr="006501FC">
              <w:rPr>
                <w:rFonts w:hint="cs"/>
                <w:color w:val="000000"/>
                <w:sz w:val="15"/>
                <w:szCs w:val="15"/>
                <w:rtl/>
                <w:lang w:eastAsia="he-IL"/>
              </w:rPr>
              <w:t xml:space="preserve"> </w:t>
            </w:r>
            <w:r w:rsidRPr="006501FC">
              <w:rPr>
                <w:rFonts w:hint="eastAsia"/>
                <w:color w:val="000000"/>
                <w:sz w:val="15"/>
                <w:szCs w:val="15"/>
                <w:rtl/>
                <w:lang w:eastAsia="he-IL"/>
              </w:rPr>
              <w:t>לציבור</w:t>
            </w:r>
            <w:r w:rsidRPr="006501FC">
              <w:rPr>
                <w:color w:val="000000"/>
                <w:sz w:val="15"/>
                <w:szCs w:val="15"/>
                <w:vertAlign w:val="superscript"/>
                <w:rtl/>
                <w:lang w:eastAsia="he-IL"/>
              </w:rPr>
              <w:t>(א)</w:t>
            </w:r>
          </w:p>
        </w:tc>
        <w:tc>
          <w:tcPr>
            <w:tcW w:w="264" w:type="pct"/>
            <w:vAlign w:val="bottom"/>
          </w:tcPr>
          <w:p w14:paraId="606EB4C9"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121A6D32"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1ADBD967"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7F300DC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718D3819"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51AE08E6"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1C983619"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16602F0E"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02F9FAFD"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w:t>
            </w:r>
          </w:p>
        </w:tc>
        <w:tc>
          <w:tcPr>
            <w:tcW w:w="230" w:type="pct"/>
            <w:vAlign w:val="bottom"/>
          </w:tcPr>
          <w:p w14:paraId="4B1E79A7"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6B2DC8EB"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5681DAA1"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0" w:type="pct"/>
            <w:vAlign w:val="bottom"/>
          </w:tcPr>
          <w:p w14:paraId="4EAD24AF"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28B91A6B" w14:textId="77777777" w:rsidTr="00A82C7F">
        <w:tc>
          <w:tcPr>
            <w:tcW w:w="951" w:type="pct"/>
            <w:vAlign w:val="bottom"/>
          </w:tcPr>
          <w:p w14:paraId="3C242DFB" w14:textId="77777777" w:rsidR="006501FC" w:rsidRPr="006501FC" w:rsidRDefault="006501FC" w:rsidP="00400DD1">
            <w:pPr>
              <w:spacing w:line="241" w:lineRule="auto"/>
              <w:ind w:firstLine="1"/>
              <w:jc w:val="left"/>
              <w:rPr>
                <w:color w:val="000000"/>
                <w:sz w:val="15"/>
                <w:szCs w:val="15"/>
                <w:rtl/>
                <w:lang w:eastAsia="he-IL"/>
              </w:rPr>
            </w:pPr>
            <w:r w:rsidRPr="006501FC">
              <w:rPr>
                <w:rFonts w:hint="eastAsia"/>
                <w:color w:val="000000"/>
                <w:sz w:val="15"/>
                <w:szCs w:val="15"/>
                <w:rtl/>
                <w:lang w:eastAsia="he-IL"/>
              </w:rPr>
              <w:t>יתרת</w:t>
            </w:r>
            <w:r w:rsidRPr="006501FC">
              <w:rPr>
                <w:color w:val="000000"/>
                <w:sz w:val="15"/>
                <w:szCs w:val="15"/>
                <w:rtl/>
                <w:lang w:eastAsia="he-IL"/>
              </w:rPr>
              <w:t xml:space="preserve"> </w:t>
            </w:r>
            <w:r w:rsidRPr="006501FC">
              <w:rPr>
                <w:rFonts w:hint="eastAsia"/>
                <w:color w:val="000000"/>
                <w:sz w:val="15"/>
                <w:szCs w:val="15"/>
                <w:rtl/>
                <w:lang w:eastAsia="he-IL"/>
              </w:rPr>
              <w:t>האשראי</w:t>
            </w:r>
            <w:r w:rsidRPr="006501FC">
              <w:rPr>
                <w:color w:val="000000"/>
                <w:sz w:val="15"/>
                <w:szCs w:val="15"/>
                <w:rtl/>
                <w:lang w:eastAsia="he-IL"/>
              </w:rPr>
              <w:t xml:space="preserve"> </w:t>
            </w:r>
            <w:r w:rsidRPr="006501FC">
              <w:rPr>
                <w:rFonts w:hint="eastAsia"/>
                <w:color w:val="000000"/>
                <w:sz w:val="15"/>
                <w:szCs w:val="15"/>
                <w:rtl/>
                <w:lang w:eastAsia="he-IL"/>
              </w:rPr>
              <w:t>לציבור</w:t>
            </w:r>
            <w:r w:rsidRPr="006501FC">
              <w:rPr>
                <w:color w:val="000000"/>
                <w:sz w:val="15"/>
                <w:szCs w:val="15"/>
                <w:rtl/>
                <w:lang w:eastAsia="he-IL"/>
              </w:rPr>
              <w:t xml:space="preserve"> </w:t>
            </w:r>
            <w:r w:rsidRPr="006501FC">
              <w:rPr>
                <w:rFonts w:hint="eastAsia"/>
                <w:color w:val="000000"/>
                <w:sz w:val="15"/>
                <w:szCs w:val="15"/>
                <w:rtl/>
                <w:lang w:eastAsia="he-IL"/>
              </w:rPr>
              <w:t>לסוף</w:t>
            </w:r>
            <w:r w:rsidRPr="006501FC">
              <w:rPr>
                <w:color w:val="000000"/>
                <w:sz w:val="15"/>
                <w:szCs w:val="15"/>
                <w:rtl/>
                <w:lang w:eastAsia="he-IL"/>
              </w:rPr>
              <w:t xml:space="preserve"> </w:t>
            </w:r>
            <w:r w:rsidRPr="006501FC">
              <w:rPr>
                <w:rFonts w:hint="eastAsia"/>
                <w:color w:val="000000"/>
                <w:sz w:val="15"/>
                <w:szCs w:val="15"/>
                <w:rtl/>
                <w:lang w:eastAsia="he-IL"/>
              </w:rPr>
              <w:t>תקופת</w:t>
            </w:r>
            <w:r w:rsidRPr="006501FC">
              <w:rPr>
                <w:color w:val="000000"/>
                <w:sz w:val="15"/>
                <w:szCs w:val="15"/>
                <w:rtl/>
                <w:lang w:eastAsia="he-IL"/>
              </w:rPr>
              <w:t xml:space="preserve"> </w:t>
            </w:r>
            <w:r w:rsidRPr="006501FC">
              <w:rPr>
                <w:rFonts w:hint="eastAsia"/>
                <w:color w:val="000000"/>
                <w:sz w:val="15"/>
                <w:szCs w:val="15"/>
                <w:rtl/>
                <w:lang w:eastAsia="he-IL"/>
              </w:rPr>
              <w:t>הדיווח</w:t>
            </w:r>
          </w:p>
        </w:tc>
        <w:tc>
          <w:tcPr>
            <w:tcW w:w="264" w:type="pct"/>
            <w:vAlign w:val="bottom"/>
          </w:tcPr>
          <w:p w14:paraId="5304C48F"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78F57BA3"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7C95064F"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7C200CB1"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7493D636"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668DD5D1"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6A50AB09"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33BE58A1"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285AE298"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w:t>
            </w:r>
          </w:p>
        </w:tc>
        <w:tc>
          <w:tcPr>
            <w:tcW w:w="230" w:type="pct"/>
            <w:vAlign w:val="bottom"/>
          </w:tcPr>
          <w:p w14:paraId="41B3AD59"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250DF7CA"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23E7CCA9"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0" w:type="pct"/>
            <w:vAlign w:val="bottom"/>
          </w:tcPr>
          <w:p w14:paraId="0EA345CA"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2D01A07A" w14:textId="77777777" w:rsidTr="00A82C7F">
        <w:tc>
          <w:tcPr>
            <w:tcW w:w="951" w:type="pct"/>
            <w:vAlign w:val="bottom"/>
          </w:tcPr>
          <w:p w14:paraId="60375203" w14:textId="77777777" w:rsidR="006501FC" w:rsidRPr="006501FC" w:rsidRDefault="006501FC" w:rsidP="00400DD1">
            <w:pPr>
              <w:spacing w:line="241" w:lineRule="auto"/>
              <w:ind w:left="172" w:hanging="171"/>
              <w:jc w:val="left"/>
              <w:rPr>
                <w:color w:val="000000"/>
                <w:sz w:val="15"/>
                <w:szCs w:val="15"/>
                <w:rtl/>
                <w:lang w:eastAsia="he-IL"/>
              </w:rPr>
            </w:pPr>
            <w:r w:rsidRPr="006501FC">
              <w:rPr>
                <w:color w:val="000000"/>
                <w:sz w:val="15"/>
                <w:szCs w:val="15"/>
                <w:rtl/>
                <w:lang w:eastAsia="he-IL"/>
              </w:rPr>
              <w:t>יתרת חובות לא צוברים</w:t>
            </w:r>
            <w:r w:rsidRPr="006501FC">
              <w:rPr>
                <w:rFonts w:hint="cs"/>
                <w:color w:val="000000"/>
                <w:sz w:val="15"/>
                <w:szCs w:val="15"/>
                <w:rtl/>
                <w:lang w:eastAsia="he-IL"/>
              </w:rPr>
              <w:t xml:space="preserve"> וחובות בפיגור מעל 90 יום</w:t>
            </w:r>
          </w:p>
        </w:tc>
        <w:tc>
          <w:tcPr>
            <w:tcW w:w="264" w:type="pct"/>
            <w:vAlign w:val="bottom"/>
          </w:tcPr>
          <w:p w14:paraId="45522072"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7AB389B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54B6CBDB"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03B76801"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2E1DA0DE"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41B1287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4469F91B"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30864A2A"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2AD8006E"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vAlign w:val="bottom"/>
          </w:tcPr>
          <w:p w14:paraId="3B954744"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68DBC43B"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5204050B"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0" w:type="pct"/>
            <w:vAlign w:val="bottom"/>
          </w:tcPr>
          <w:p w14:paraId="7F424944"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57A31241" w14:textId="77777777" w:rsidTr="00A82C7F">
        <w:tc>
          <w:tcPr>
            <w:tcW w:w="951" w:type="pct"/>
            <w:vAlign w:val="bottom"/>
          </w:tcPr>
          <w:p w14:paraId="32763C04" w14:textId="77777777" w:rsidR="006501FC" w:rsidRPr="006501FC" w:rsidRDefault="006501FC" w:rsidP="00400DD1">
            <w:pPr>
              <w:spacing w:line="241" w:lineRule="auto"/>
              <w:ind w:left="172" w:hanging="171"/>
              <w:jc w:val="left"/>
              <w:rPr>
                <w:color w:val="000000"/>
                <w:sz w:val="15"/>
                <w:szCs w:val="15"/>
                <w:rtl/>
                <w:lang w:eastAsia="he-IL"/>
              </w:rPr>
            </w:pPr>
            <w:r w:rsidRPr="006501FC">
              <w:rPr>
                <w:rFonts w:hint="cs"/>
                <w:color w:val="000000"/>
                <w:sz w:val="15"/>
                <w:szCs w:val="15"/>
                <w:rtl/>
                <w:lang w:eastAsia="he-IL"/>
              </w:rPr>
              <w:t>יתרת חובות בעייתים אחרים</w:t>
            </w:r>
          </w:p>
        </w:tc>
        <w:tc>
          <w:tcPr>
            <w:tcW w:w="264" w:type="pct"/>
            <w:vAlign w:val="bottom"/>
          </w:tcPr>
          <w:p w14:paraId="7CE93B2B"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1A8FD909"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1B85DDDA"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799CB4C8"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0BD04C87"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511491DC"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1D2C9551"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5269099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22A18C12"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vAlign w:val="bottom"/>
          </w:tcPr>
          <w:p w14:paraId="2A875A71"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25A57AF7"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586B2E5F"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0" w:type="pct"/>
            <w:vAlign w:val="bottom"/>
          </w:tcPr>
          <w:p w14:paraId="22DEC7C8"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49E7D9F0" w14:textId="77777777" w:rsidTr="00A82C7F">
        <w:tc>
          <w:tcPr>
            <w:tcW w:w="951" w:type="pct"/>
            <w:vAlign w:val="bottom"/>
          </w:tcPr>
          <w:p w14:paraId="26003636" w14:textId="77777777" w:rsidR="006501FC" w:rsidRPr="006501FC" w:rsidRDefault="006501FC" w:rsidP="00400DD1">
            <w:pPr>
              <w:spacing w:line="241" w:lineRule="auto"/>
              <w:ind w:left="172" w:hanging="171"/>
              <w:jc w:val="left"/>
              <w:rPr>
                <w:color w:val="000000"/>
                <w:sz w:val="15"/>
                <w:szCs w:val="15"/>
                <w:rtl/>
                <w:lang w:eastAsia="he-IL"/>
              </w:rPr>
            </w:pPr>
            <w:r w:rsidRPr="006501FC">
              <w:rPr>
                <w:rFonts w:hint="cs"/>
                <w:color w:val="000000"/>
                <w:sz w:val="15"/>
                <w:szCs w:val="15"/>
                <w:rtl/>
                <w:lang w:eastAsia="he-IL"/>
              </w:rPr>
              <w:t>יתרת הפרשה להפסדי אשראי לסוף תקופת הדיווח</w:t>
            </w:r>
          </w:p>
        </w:tc>
        <w:tc>
          <w:tcPr>
            <w:tcW w:w="264" w:type="pct"/>
            <w:vAlign w:val="bottom"/>
          </w:tcPr>
          <w:p w14:paraId="712C6CFD"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vAlign w:val="bottom"/>
          </w:tcPr>
          <w:p w14:paraId="505E08AA"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vAlign w:val="bottom"/>
          </w:tcPr>
          <w:p w14:paraId="427F4B2F"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vAlign w:val="bottom"/>
          </w:tcPr>
          <w:p w14:paraId="2874135B"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vAlign w:val="bottom"/>
          </w:tcPr>
          <w:p w14:paraId="08175644"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vAlign w:val="bottom"/>
          </w:tcPr>
          <w:p w14:paraId="025517C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vAlign w:val="bottom"/>
          </w:tcPr>
          <w:p w14:paraId="157D825D"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vAlign w:val="bottom"/>
          </w:tcPr>
          <w:p w14:paraId="0AFEDA32"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vAlign w:val="bottom"/>
          </w:tcPr>
          <w:p w14:paraId="6E056151"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vAlign w:val="bottom"/>
          </w:tcPr>
          <w:p w14:paraId="5F734042"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vAlign w:val="bottom"/>
          </w:tcPr>
          <w:p w14:paraId="63750A1A"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vAlign w:val="bottom"/>
          </w:tcPr>
          <w:p w14:paraId="1C117764"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0" w:type="pct"/>
            <w:vAlign w:val="bottom"/>
          </w:tcPr>
          <w:p w14:paraId="651DF90A"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45138912" w14:textId="77777777" w:rsidTr="00A82C7F">
        <w:tc>
          <w:tcPr>
            <w:tcW w:w="951" w:type="pct"/>
            <w:tcBorders>
              <w:bottom w:val="single" w:sz="8" w:space="0" w:color="auto"/>
            </w:tcBorders>
            <w:vAlign w:val="bottom"/>
          </w:tcPr>
          <w:p w14:paraId="5EA095D7" w14:textId="77777777" w:rsidR="006501FC" w:rsidRPr="006501FC" w:rsidRDefault="006501FC" w:rsidP="00400DD1">
            <w:pPr>
              <w:spacing w:line="241" w:lineRule="auto"/>
              <w:ind w:left="172" w:hanging="171"/>
              <w:jc w:val="left"/>
              <w:rPr>
                <w:color w:val="000000"/>
                <w:sz w:val="15"/>
                <w:szCs w:val="15"/>
                <w:rtl/>
                <w:lang w:eastAsia="he-IL"/>
              </w:rPr>
            </w:pPr>
            <w:r w:rsidRPr="006501FC">
              <w:rPr>
                <w:rFonts w:hint="cs"/>
                <w:color w:val="000000"/>
                <w:sz w:val="15"/>
                <w:szCs w:val="15"/>
                <w:rtl/>
                <w:lang w:eastAsia="he-IL"/>
              </w:rPr>
              <w:t>מחיקות חשבונאיות נטו בתקופת הדיווח</w:t>
            </w:r>
          </w:p>
        </w:tc>
        <w:tc>
          <w:tcPr>
            <w:tcW w:w="264" w:type="pct"/>
            <w:tcBorders>
              <w:bottom w:val="single" w:sz="8" w:space="0" w:color="auto"/>
            </w:tcBorders>
            <w:vAlign w:val="bottom"/>
          </w:tcPr>
          <w:p w14:paraId="51A14826"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4" w:type="pct"/>
            <w:tcBorders>
              <w:bottom w:val="single" w:sz="8" w:space="0" w:color="auto"/>
            </w:tcBorders>
            <w:vAlign w:val="bottom"/>
          </w:tcPr>
          <w:p w14:paraId="3359BAFD"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7" w:type="pct"/>
            <w:tcBorders>
              <w:bottom w:val="single" w:sz="8" w:space="0" w:color="auto"/>
            </w:tcBorders>
            <w:vAlign w:val="bottom"/>
          </w:tcPr>
          <w:p w14:paraId="146745F1"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8" w:type="pct"/>
            <w:tcBorders>
              <w:bottom w:val="single" w:sz="8" w:space="0" w:color="auto"/>
            </w:tcBorders>
            <w:vAlign w:val="bottom"/>
          </w:tcPr>
          <w:p w14:paraId="58F2F3B5"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17" w:type="pct"/>
            <w:tcBorders>
              <w:bottom w:val="single" w:sz="8" w:space="0" w:color="auto"/>
            </w:tcBorders>
            <w:vAlign w:val="bottom"/>
          </w:tcPr>
          <w:p w14:paraId="7B7C59B1"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27" w:type="pct"/>
            <w:tcBorders>
              <w:bottom w:val="single" w:sz="8" w:space="0" w:color="auto"/>
            </w:tcBorders>
            <w:vAlign w:val="bottom"/>
          </w:tcPr>
          <w:p w14:paraId="6C89CD90"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94" w:type="pct"/>
            <w:tcBorders>
              <w:bottom w:val="single" w:sz="8" w:space="0" w:color="auto"/>
            </w:tcBorders>
            <w:vAlign w:val="bottom"/>
          </w:tcPr>
          <w:p w14:paraId="7DA00DA9"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45" w:type="pct"/>
            <w:gridSpan w:val="2"/>
            <w:tcBorders>
              <w:bottom w:val="single" w:sz="8" w:space="0" w:color="auto"/>
            </w:tcBorders>
            <w:vAlign w:val="bottom"/>
          </w:tcPr>
          <w:p w14:paraId="00391272"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64" w:type="pct"/>
            <w:tcBorders>
              <w:bottom w:val="single" w:sz="8" w:space="0" w:color="auto"/>
            </w:tcBorders>
            <w:vAlign w:val="bottom"/>
          </w:tcPr>
          <w:p w14:paraId="2885513E"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30" w:type="pct"/>
            <w:tcBorders>
              <w:bottom w:val="single" w:sz="8" w:space="0" w:color="auto"/>
            </w:tcBorders>
            <w:vAlign w:val="bottom"/>
          </w:tcPr>
          <w:p w14:paraId="1D8A8959"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83" w:type="pct"/>
            <w:tcBorders>
              <w:bottom w:val="single" w:sz="8" w:space="0" w:color="auto"/>
            </w:tcBorders>
            <w:vAlign w:val="bottom"/>
          </w:tcPr>
          <w:p w14:paraId="66C3EAAE"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356" w:type="pct"/>
            <w:tcBorders>
              <w:bottom w:val="single" w:sz="8" w:space="0" w:color="auto"/>
            </w:tcBorders>
            <w:vAlign w:val="bottom"/>
          </w:tcPr>
          <w:p w14:paraId="050EFCC4" w14:textId="77777777" w:rsidR="006501FC" w:rsidRPr="006501FC" w:rsidRDefault="006501FC" w:rsidP="00400DD1">
            <w:pPr>
              <w:spacing w:line="241" w:lineRule="auto"/>
              <w:ind w:left="85" w:right="85"/>
              <w:jc w:val="left"/>
              <w:rPr>
                <w:color w:val="000000"/>
                <w:sz w:val="15"/>
                <w:szCs w:val="15"/>
                <w:rtl/>
                <w:lang w:eastAsia="he-IL"/>
              </w:rPr>
            </w:pPr>
            <w:r w:rsidRPr="006501FC">
              <w:rPr>
                <w:color w:val="000000"/>
                <w:sz w:val="15"/>
                <w:szCs w:val="15"/>
                <w:rtl/>
                <w:lang w:eastAsia="he-IL"/>
              </w:rPr>
              <w:t>0</w:t>
            </w:r>
          </w:p>
        </w:tc>
        <w:tc>
          <w:tcPr>
            <w:tcW w:w="220" w:type="pct"/>
            <w:tcBorders>
              <w:bottom w:val="single" w:sz="8" w:space="0" w:color="auto"/>
            </w:tcBorders>
            <w:vAlign w:val="bottom"/>
          </w:tcPr>
          <w:p w14:paraId="2B039FBB" w14:textId="77777777" w:rsidR="006501FC" w:rsidRPr="006501FC" w:rsidRDefault="006501FC" w:rsidP="00400DD1">
            <w:pPr>
              <w:spacing w:line="241" w:lineRule="auto"/>
              <w:ind w:left="85" w:right="85"/>
              <w:jc w:val="left"/>
              <w:rPr>
                <w:color w:val="000000"/>
                <w:sz w:val="15"/>
                <w:szCs w:val="15"/>
                <w:rtl/>
                <w:lang w:eastAsia="he-IL"/>
              </w:rPr>
            </w:pPr>
            <w:r w:rsidRPr="006501FC">
              <w:rPr>
                <w:rFonts w:hint="cs"/>
                <w:color w:val="000000"/>
                <w:sz w:val="15"/>
                <w:szCs w:val="15"/>
                <w:rtl/>
                <w:lang w:eastAsia="he-IL"/>
              </w:rPr>
              <w:t>0</w:t>
            </w:r>
          </w:p>
        </w:tc>
      </w:tr>
      <w:tr w:rsidR="006501FC" w:rsidRPr="006501FC" w14:paraId="1A9ED5B7" w14:textId="77777777" w:rsidTr="00A82C7F">
        <w:tc>
          <w:tcPr>
            <w:tcW w:w="951" w:type="pct"/>
            <w:vAlign w:val="bottom"/>
          </w:tcPr>
          <w:p w14:paraId="197E63F7" w14:textId="77777777" w:rsidR="006501FC" w:rsidRPr="006501FC" w:rsidRDefault="006501FC" w:rsidP="00400DD1">
            <w:pPr>
              <w:spacing w:before="120"/>
              <w:ind w:left="170" w:hanging="170"/>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יתרה ממוצעת של התחייבויות</w:t>
            </w:r>
            <w:r w:rsidRPr="006501FC">
              <w:rPr>
                <w:rFonts w:asciiTheme="minorBidi" w:hAnsiTheme="minorBidi" w:cstheme="minorBidi"/>
                <w:color w:val="000000"/>
                <w:sz w:val="15"/>
                <w:szCs w:val="15"/>
                <w:vertAlign w:val="superscript"/>
                <w:rtl/>
                <w:lang w:eastAsia="he-IL"/>
              </w:rPr>
              <w:t>(א)</w:t>
            </w:r>
          </w:p>
        </w:tc>
        <w:tc>
          <w:tcPr>
            <w:tcW w:w="264" w:type="pct"/>
            <w:vAlign w:val="bottom"/>
          </w:tcPr>
          <w:p w14:paraId="20CDA7D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0CACA3E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56194CC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23A3696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4F0F589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1AC6F10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5D194E4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2EDD684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7EF6BEF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5B07F82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5BC7802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0F8B3FE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0" w:type="pct"/>
            <w:vAlign w:val="bottom"/>
          </w:tcPr>
          <w:p w14:paraId="6C1FCA3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602B794F" w14:textId="77777777" w:rsidTr="00A82C7F">
        <w:tc>
          <w:tcPr>
            <w:tcW w:w="951" w:type="pct"/>
            <w:vAlign w:val="bottom"/>
          </w:tcPr>
          <w:p w14:paraId="5A7986A6" w14:textId="77777777" w:rsidR="006501FC" w:rsidRPr="006501FC" w:rsidRDefault="006501FC" w:rsidP="00400DD1">
            <w:pPr>
              <w:spacing w:line="241" w:lineRule="auto"/>
              <w:ind w:left="394" w:hanging="394"/>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מזה: יתרה ממוצעת של פיקדונות הציבור</w:t>
            </w:r>
            <w:r w:rsidRPr="006501FC">
              <w:rPr>
                <w:rFonts w:asciiTheme="minorBidi" w:hAnsiTheme="minorBidi" w:cstheme="minorBidi"/>
                <w:color w:val="000000"/>
                <w:sz w:val="15"/>
                <w:szCs w:val="15"/>
                <w:vertAlign w:val="superscript"/>
                <w:rtl/>
                <w:lang w:eastAsia="he-IL"/>
              </w:rPr>
              <w:t>(א)</w:t>
            </w:r>
          </w:p>
        </w:tc>
        <w:tc>
          <w:tcPr>
            <w:tcW w:w="264" w:type="pct"/>
            <w:vAlign w:val="bottom"/>
          </w:tcPr>
          <w:p w14:paraId="032F7ED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50221DE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47E2F7C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694930C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37E0990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3E5AB85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395EE0E9"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07E7156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472DB4B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3F7A9A3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5D7AD94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4CEDE2C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0" w:type="pct"/>
            <w:vAlign w:val="bottom"/>
          </w:tcPr>
          <w:p w14:paraId="5D21439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136AF463" w14:textId="77777777" w:rsidTr="00A82C7F">
        <w:tc>
          <w:tcPr>
            <w:tcW w:w="951" w:type="pct"/>
            <w:vAlign w:val="bottom"/>
          </w:tcPr>
          <w:p w14:paraId="7ED9AA08" w14:textId="77777777" w:rsidR="006501FC" w:rsidRPr="006501FC" w:rsidRDefault="006501FC" w:rsidP="00400DD1">
            <w:pPr>
              <w:spacing w:line="241" w:lineRule="auto"/>
              <w:jc w:val="left"/>
              <w:rPr>
                <w:rFonts w:asciiTheme="minorBidi" w:hAnsiTheme="minorBidi" w:cstheme="minorBidi"/>
                <w:color w:val="000000"/>
                <w:sz w:val="15"/>
                <w:szCs w:val="15"/>
                <w:rtl/>
                <w:lang w:eastAsia="he-IL"/>
              </w:rPr>
            </w:pPr>
            <w:r w:rsidRPr="006501FC">
              <w:rPr>
                <w:rFonts w:asciiTheme="minorBidi" w:hAnsiTheme="minorBidi" w:cstheme="minorBidi"/>
                <w:color w:val="000000"/>
                <w:sz w:val="15"/>
                <w:szCs w:val="15"/>
                <w:rtl/>
                <w:lang w:eastAsia="he-IL"/>
              </w:rPr>
              <w:t>יתרת פיקדונות הציבור לסוף תקופת הדיווח</w:t>
            </w:r>
          </w:p>
        </w:tc>
        <w:tc>
          <w:tcPr>
            <w:tcW w:w="264" w:type="pct"/>
            <w:vAlign w:val="bottom"/>
          </w:tcPr>
          <w:p w14:paraId="7F5CE90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2A6539D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0867D34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1221282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1D0E467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47B15AE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79FA3C4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0FE7EF4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4FD41FB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17D2431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7863BFD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25C44F3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0" w:type="pct"/>
            <w:vAlign w:val="bottom"/>
          </w:tcPr>
          <w:p w14:paraId="771FA0D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1464A917" w14:textId="77777777" w:rsidTr="00A82C7F">
        <w:tc>
          <w:tcPr>
            <w:tcW w:w="951" w:type="pct"/>
            <w:vAlign w:val="bottom"/>
          </w:tcPr>
          <w:p w14:paraId="092E3324" w14:textId="77777777" w:rsidR="006501FC" w:rsidRPr="006501FC" w:rsidRDefault="006501FC" w:rsidP="00400DD1">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יתרה ממוצעת של נכסי סיכון</w:t>
            </w:r>
            <w:r w:rsidRPr="006501FC">
              <w:rPr>
                <w:rFonts w:asciiTheme="minorBidi" w:hAnsiTheme="minorBidi" w:cstheme="minorBidi"/>
                <w:color w:val="000000"/>
                <w:sz w:val="15"/>
                <w:szCs w:val="15"/>
                <w:vertAlign w:val="superscript"/>
                <w:rtl/>
                <w:lang w:eastAsia="he-IL"/>
              </w:rPr>
              <w:t>(א),(ב)</w:t>
            </w:r>
          </w:p>
        </w:tc>
        <w:tc>
          <w:tcPr>
            <w:tcW w:w="264" w:type="pct"/>
            <w:vAlign w:val="bottom"/>
          </w:tcPr>
          <w:p w14:paraId="4C6C8FE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7BD91749"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525F363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29AFCEF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58A4DF8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481F540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74E71CD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6149E92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6B81510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5B0F7D8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7C4F45D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0836F98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0" w:type="pct"/>
            <w:vAlign w:val="bottom"/>
          </w:tcPr>
          <w:p w14:paraId="400ED74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406E8C0F" w14:textId="77777777" w:rsidTr="00A82C7F">
        <w:tc>
          <w:tcPr>
            <w:tcW w:w="951" w:type="pct"/>
            <w:vAlign w:val="bottom"/>
          </w:tcPr>
          <w:p w14:paraId="74B78DFA" w14:textId="77777777" w:rsidR="006501FC" w:rsidRPr="006501FC" w:rsidRDefault="006501FC" w:rsidP="00400DD1">
            <w:pPr>
              <w:spacing w:line="241" w:lineRule="auto"/>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יתרת נכסי סיכון לסוף תקופת הדיווח</w:t>
            </w:r>
            <w:r w:rsidRPr="006501FC">
              <w:rPr>
                <w:rFonts w:asciiTheme="minorBidi" w:hAnsiTheme="minorBidi" w:cstheme="minorBidi"/>
                <w:color w:val="000000"/>
                <w:sz w:val="15"/>
                <w:szCs w:val="15"/>
                <w:vertAlign w:val="superscript"/>
                <w:rtl/>
                <w:lang w:eastAsia="he-IL"/>
              </w:rPr>
              <w:t>(ב)</w:t>
            </w:r>
          </w:p>
        </w:tc>
        <w:tc>
          <w:tcPr>
            <w:tcW w:w="264" w:type="pct"/>
            <w:vAlign w:val="bottom"/>
          </w:tcPr>
          <w:p w14:paraId="40CE999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50E82E8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764D824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168BAF1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07C8E25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40A00D6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572F148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4433D01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12C2FA0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5CFE485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222AFA9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65DD494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0" w:type="pct"/>
            <w:vAlign w:val="bottom"/>
          </w:tcPr>
          <w:p w14:paraId="75510660"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4A5631E6" w14:textId="77777777" w:rsidTr="00A82C7F">
        <w:tc>
          <w:tcPr>
            <w:tcW w:w="951" w:type="pct"/>
            <w:tcBorders>
              <w:bottom w:val="single" w:sz="8" w:space="0" w:color="auto"/>
            </w:tcBorders>
            <w:vAlign w:val="bottom"/>
          </w:tcPr>
          <w:p w14:paraId="6BFFE69A" w14:textId="77777777" w:rsidR="006501FC" w:rsidRPr="006501FC" w:rsidRDefault="006501FC" w:rsidP="00400DD1">
            <w:pPr>
              <w:spacing w:line="241" w:lineRule="auto"/>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יתרה ממוצעת של נכסים בניהול</w:t>
            </w:r>
            <w:r w:rsidRPr="006501FC">
              <w:rPr>
                <w:rFonts w:asciiTheme="minorBidi" w:hAnsiTheme="minorBidi" w:cstheme="minorBidi"/>
                <w:color w:val="000000"/>
                <w:sz w:val="15"/>
                <w:szCs w:val="15"/>
                <w:vertAlign w:val="superscript"/>
                <w:rtl/>
                <w:lang w:eastAsia="he-IL"/>
              </w:rPr>
              <w:t>(א),(ג)</w:t>
            </w:r>
          </w:p>
        </w:tc>
        <w:tc>
          <w:tcPr>
            <w:tcW w:w="264" w:type="pct"/>
            <w:tcBorders>
              <w:bottom w:val="single" w:sz="8" w:space="0" w:color="auto"/>
            </w:tcBorders>
            <w:vAlign w:val="bottom"/>
          </w:tcPr>
          <w:p w14:paraId="533E82E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tcBorders>
              <w:bottom w:val="single" w:sz="8" w:space="0" w:color="auto"/>
            </w:tcBorders>
            <w:vAlign w:val="bottom"/>
          </w:tcPr>
          <w:p w14:paraId="2030B38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tcBorders>
              <w:bottom w:val="single" w:sz="8" w:space="0" w:color="auto"/>
            </w:tcBorders>
            <w:vAlign w:val="bottom"/>
          </w:tcPr>
          <w:p w14:paraId="07652E0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tcBorders>
              <w:bottom w:val="single" w:sz="8" w:space="0" w:color="auto"/>
            </w:tcBorders>
            <w:vAlign w:val="bottom"/>
          </w:tcPr>
          <w:p w14:paraId="4FA4459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tcBorders>
              <w:bottom w:val="single" w:sz="8" w:space="0" w:color="auto"/>
            </w:tcBorders>
            <w:vAlign w:val="bottom"/>
          </w:tcPr>
          <w:p w14:paraId="6C0DC94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tcBorders>
              <w:bottom w:val="single" w:sz="8" w:space="0" w:color="auto"/>
            </w:tcBorders>
            <w:vAlign w:val="bottom"/>
          </w:tcPr>
          <w:p w14:paraId="67EEACE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tcBorders>
              <w:bottom w:val="single" w:sz="8" w:space="0" w:color="auto"/>
            </w:tcBorders>
            <w:vAlign w:val="bottom"/>
          </w:tcPr>
          <w:p w14:paraId="4A6D436F"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tcBorders>
              <w:bottom w:val="single" w:sz="8" w:space="0" w:color="auto"/>
            </w:tcBorders>
            <w:vAlign w:val="bottom"/>
          </w:tcPr>
          <w:p w14:paraId="5CC0E7C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tcBorders>
              <w:bottom w:val="single" w:sz="8" w:space="0" w:color="auto"/>
            </w:tcBorders>
            <w:vAlign w:val="bottom"/>
          </w:tcPr>
          <w:p w14:paraId="6F88405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tcBorders>
              <w:bottom w:val="single" w:sz="8" w:space="0" w:color="auto"/>
            </w:tcBorders>
            <w:vAlign w:val="bottom"/>
          </w:tcPr>
          <w:p w14:paraId="591A1AC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tcBorders>
              <w:bottom w:val="single" w:sz="8" w:space="0" w:color="auto"/>
            </w:tcBorders>
            <w:vAlign w:val="bottom"/>
          </w:tcPr>
          <w:p w14:paraId="5982532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tcBorders>
              <w:bottom w:val="single" w:sz="8" w:space="0" w:color="auto"/>
            </w:tcBorders>
            <w:vAlign w:val="bottom"/>
          </w:tcPr>
          <w:p w14:paraId="77BDF47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0" w:type="pct"/>
            <w:tcBorders>
              <w:bottom w:val="single" w:sz="8" w:space="0" w:color="auto"/>
            </w:tcBorders>
            <w:vAlign w:val="bottom"/>
          </w:tcPr>
          <w:p w14:paraId="4D582A2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753AA89C" w14:textId="77777777" w:rsidTr="00A82C7F">
        <w:tc>
          <w:tcPr>
            <w:tcW w:w="951" w:type="pct"/>
            <w:vAlign w:val="bottom"/>
          </w:tcPr>
          <w:p w14:paraId="67C51793" w14:textId="77777777" w:rsidR="006501FC" w:rsidRPr="006501FC" w:rsidRDefault="006501FC" w:rsidP="00400DD1">
            <w:pPr>
              <w:spacing w:before="120"/>
              <w:ind w:left="170" w:hanging="170"/>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פיצול הכנסות ריבית, נטו:</w:t>
            </w:r>
          </w:p>
        </w:tc>
        <w:tc>
          <w:tcPr>
            <w:tcW w:w="264" w:type="pct"/>
            <w:vAlign w:val="bottom"/>
          </w:tcPr>
          <w:p w14:paraId="0F264623"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4" w:type="pct"/>
            <w:vAlign w:val="bottom"/>
          </w:tcPr>
          <w:p w14:paraId="4A5D5720"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97" w:type="pct"/>
            <w:vAlign w:val="bottom"/>
          </w:tcPr>
          <w:p w14:paraId="79E4391E"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8" w:type="pct"/>
            <w:vAlign w:val="bottom"/>
          </w:tcPr>
          <w:p w14:paraId="43703394"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17" w:type="pct"/>
            <w:vAlign w:val="bottom"/>
          </w:tcPr>
          <w:p w14:paraId="42777C06"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27" w:type="pct"/>
            <w:vAlign w:val="bottom"/>
          </w:tcPr>
          <w:p w14:paraId="7CDDC20D"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94" w:type="pct"/>
            <w:vAlign w:val="bottom"/>
          </w:tcPr>
          <w:p w14:paraId="626A5EB0"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45" w:type="pct"/>
            <w:gridSpan w:val="2"/>
            <w:vAlign w:val="bottom"/>
          </w:tcPr>
          <w:p w14:paraId="25BF6A6B"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64" w:type="pct"/>
            <w:vAlign w:val="bottom"/>
          </w:tcPr>
          <w:p w14:paraId="3B62549A"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30" w:type="pct"/>
            <w:vAlign w:val="bottom"/>
          </w:tcPr>
          <w:p w14:paraId="46546798"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83" w:type="pct"/>
            <w:vAlign w:val="bottom"/>
          </w:tcPr>
          <w:p w14:paraId="2F170F48"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356" w:type="pct"/>
            <w:vAlign w:val="bottom"/>
          </w:tcPr>
          <w:p w14:paraId="22B20790"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c>
          <w:tcPr>
            <w:tcW w:w="220" w:type="pct"/>
            <w:vAlign w:val="bottom"/>
          </w:tcPr>
          <w:p w14:paraId="22D8E0F4" w14:textId="77777777" w:rsidR="006501FC" w:rsidRPr="006501FC" w:rsidRDefault="006501FC" w:rsidP="00400DD1">
            <w:pPr>
              <w:spacing w:line="241" w:lineRule="auto"/>
              <w:ind w:left="85" w:right="85"/>
              <w:jc w:val="left"/>
              <w:rPr>
                <w:rFonts w:asciiTheme="minorBidi" w:hAnsiTheme="minorBidi" w:cstheme="minorBidi"/>
                <w:sz w:val="15"/>
                <w:szCs w:val="15"/>
                <w:rtl/>
              </w:rPr>
            </w:pPr>
          </w:p>
        </w:tc>
      </w:tr>
      <w:tr w:rsidR="006501FC" w:rsidRPr="006501FC" w14:paraId="46C49E6D" w14:textId="77777777" w:rsidTr="00A82C7F">
        <w:tc>
          <w:tcPr>
            <w:tcW w:w="951" w:type="pct"/>
            <w:vAlign w:val="bottom"/>
          </w:tcPr>
          <w:p w14:paraId="66635CCF" w14:textId="77777777" w:rsidR="006501FC" w:rsidRPr="006501FC" w:rsidRDefault="006501FC" w:rsidP="00400DD1">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מרווח מפעילות מתן אשראי</w:t>
            </w:r>
          </w:p>
        </w:tc>
        <w:tc>
          <w:tcPr>
            <w:tcW w:w="264" w:type="pct"/>
            <w:vAlign w:val="bottom"/>
          </w:tcPr>
          <w:p w14:paraId="0CEC600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632C6C1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3A3BAB1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1E203B9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559A272E"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15DDF31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7EC2A77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0C9F8DB3"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600BBD1B"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3D628DAD"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08E1E9A9"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5DCDBAA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0" w:type="pct"/>
            <w:vAlign w:val="bottom"/>
          </w:tcPr>
          <w:p w14:paraId="387DA23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75509DF3" w14:textId="77777777" w:rsidTr="00A82C7F">
        <w:tc>
          <w:tcPr>
            <w:tcW w:w="951" w:type="pct"/>
            <w:vAlign w:val="bottom"/>
          </w:tcPr>
          <w:p w14:paraId="7FFE86E6" w14:textId="77777777" w:rsidR="006501FC" w:rsidRPr="006501FC" w:rsidRDefault="006501FC" w:rsidP="00400DD1">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מרווח מפעילות קבלת פיקדונות</w:t>
            </w:r>
          </w:p>
        </w:tc>
        <w:tc>
          <w:tcPr>
            <w:tcW w:w="264" w:type="pct"/>
            <w:vAlign w:val="bottom"/>
          </w:tcPr>
          <w:p w14:paraId="628A1472"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663F5305"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2660DF7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6D69298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766BD9D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22910238"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300EF496"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48C9FAF4"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07AD4207"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1CCAC2CA"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299F745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653FB101"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0" w:type="pct"/>
            <w:vAlign w:val="bottom"/>
          </w:tcPr>
          <w:p w14:paraId="57766D6C" w14:textId="77777777" w:rsidR="006501FC" w:rsidRPr="006501FC" w:rsidRDefault="006501FC" w:rsidP="00400DD1">
            <w:pP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r w:rsidR="006501FC" w:rsidRPr="006501FC" w14:paraId="5FF870A9" w14:textId="77777777" w:rsidTr="00A82C7F">
        <w:tc>
          <w:tcPr>
            <w:tcW w:w="951" w:type="pct"/>
            <w:vAlign w:val="bottom"/>
          </w:tcPr>
          <w:p w14:paraId="30C86BB0" w14:textId="77777777" w:rsidR="006501FC" w:rsidRPr="006501FC" w:rsidRDefault="006501FC" w:rsidP="00400DD1">
            <w:pPr>
              <w:spacing w:line="241" w:lineRule="auto"/>
              <w:ind w:left="172" w:hanging="171"/>
              <w:jc w:val="left"/>
              <w:rPr>
                <w:rFonts w:asciiTheme="minorBidi" w:hAnsiTheme="minorBidi" w:cstheme="minorBidi"/>
                <w:b/>
                <w:bCs/>
                <w:color w:val="000000"/>
                <w:sz w:val="15"/>
                <w:szCs w:val="15"/>
                <w:rtl/>
                <w:lang w:eastAsia="he-IL"/>
              </w:rPr>
            </w:pPr>
            <w:r w:rsidRPr="006501FC">
              <w:rPr>
                <w:rFonts w:asciiTheme="minorBidi" w:hAnsiTheme="minorBidi" w:cstheme="minorBidi"/>
                <w:color w:val="000000"/>
                <w:sz w:val="15"/>
                <w:szCs w:val="15"/>
                <w:rtl/>
                <w:lang w:eastAsia="he-IL"/>
              </w:rPr>
              <w:t>אחר</w:t>
            </w:r>
          </w:p>
        </w:tc>
        <w:tc>
          <w:tcPr>
            <w:tcW w:w="264" w:type="pct"/>
            <w:vAlign w:val="bottom"/>
          </w:tcPr>
          <w:p w14:paraId="13D814E2"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4" w:type="pct"/>
            <w:vAlign w:val="bottom"/>
          </w:tcPr>
          <w:p w14:paraId="63A5E2B0"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7" w:type="pct"/>
            <w:vAlign w:val="bottom"/>
          </w:tcPr>
          <w:p w14:paraId="6DF669CE"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8" w:type="pct"/>
            <w:vAlign w:val="bottom"/>
          </w:tcPr>
          <w:p w14:paraId="2145E4F2"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17" w:type="pct"/>
            <w:vAlign w:val="bottom"/>
          </w:tcPr>
          <w:p w14:paraId="116CDAF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27" w:type="pct"/>
            <w:vAlign w:val="bottom"/>
          </w:tcPr>
          <w:p w14:paraId="1819721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94" w:type="pct"/>
            <w:vAlign w:val="bottom"/>
          </w:tcPr>
          <w:p w14:paraId="233B1BA6"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45" w:type="pct"/>
            <w:gridSpan w:val="2"/>
            <w:vAlign w:val="bottom"/>
          </w:tcPr>
          <w:p w14:paraId="2DA07EBB"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64" w:type="pct"/>
            <w:vAlign w:val="bottom"/>
          </w:tcPr>
          <w:p w14:paraId="012A9418"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30" w:type="pct"/>
            <w:vAlign w:val="bottom"/>
          </w:tcPr>
          <w:p w14:paraId="59800D1F"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83" w:type="pct"/>
            <w:vAlign w:val="bottom"/>
          </w:tcPr>
          <w:p w14:paraId="20844524"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356" w:type="pct"/>
            <w:vAlign w:val="bottom"/>
          </w:tcPr>
          <w:p w14:paraId="0D5D4415"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c>
          <w:tcPr>
            <w:tcW w:w="220" w:type="pct"/>
            <w:vAlign w:val="bottom"/>
          </w:tcPr>
          <w:p w14:paraId="4E09907A" w14:textId="77777777" w:rsidR="006501FC" w:rsidRPr="006501FC" w:rsidRDefault="006501FC" w:rsidP="00400DD1">
            <w:pPr>
              <w:pBdr>
                <w:bottom w:val="single" w:sz="4" w:space="1" w:color="auto"/>
              </w:pBdr>
              <w:spacing w:line="241" w:lineRule="auto"/>
              <w:ind w:left="85" w:right="85"/>
              <w:jc w:val="left"/>
              <w:rPr>
                <w:rFonts w:asciiTheme="minorBidi" w:hAnsiTheme="minorBidi" w:cstheme="minorBidi"/>
                <w:sz w:val="15"/>
                <w:szCs w:val="15"/>
                <w:rtl/>
              </w:rPr>
            </w:pPr>
            <w:r w:rsidRPr="006501FC">
              <w:rPr>
                <w:rFonts w:asciiTheme="minorBidi" w:hAnsiTheme="minorBidi" w:cstheme="minorBidi"/>
                <w:sz w:val="15"/>
                <w:szCs w:val="15"/>
                <w:rtl/>
              </w:rPr>
              <w:t>0</w:t>
            </w:r>
          </w:p>
        </w:tc>
      </w:tr>
    </w:tbl>
    <w:p w14:paraId="3F73E7F2" w14:textId="77777777" w:rsidR="006501FC" w:rsidRDefault="006501FC"/>
    <w:tbl>
      <w:tblPr>
        <w:bidiVisual/>
        <w:tblW w:w="5000" w:type="pct"/>
        <w:tblInd w:w="10" w:type="dxa"/>
        <w:tblCellMar>
          <w:left w:w="28" w:type="dxa"/>
          <w:right w:w="28" w:type="dxa"/>
        </w:tblCellMar>
        <w:tblLook w:val="04A0" w:firstRow="1" w:lastRow="0" w:firstColumn="1" w:lastColumn="0" w:noHBand="0" w:noVBand="1"/>
      </w:tblPr>
      <w:tblGrid>
        <w:gridCol w:w="10207"/>
      </w:tblGrid>
      <w:tr w:rsidR="002A6D5B" w:rsidRPr="00E604CD" w14:paraId="652ABCF5" w14:textId="77777777" w:rsidTr="00400DD1">
        <w:tc>
          <w:tcPr>
            <w:tcW w:w="5000" w:type="pct"/>
            <w:vAlign w:val="bottom"/>
          </w:tcPr>
          <w:p w14:paraId="717308EF" w14:textId="77777777" w:rsidR="002A6D5B" w:rsidRPr="003E6CF5" w:rsidRDefault="002A6D5B" w:rsidP="00400DD1">
            <w:pPr>
              <w:spacing w:line="241" w:lineRule="auto"/>
              <w:ind w:left="297" w:right="28" w:hanging="269"/>
              <w:jc w:val="left"/>
              <w:rPr>
                <w:sz w:val="16"/>
                <w:szCs w:val="16"/>
                <w:rtl/>
              </w:rPr>
            </w:pPr>
            <w:r w:rsidRPr="003E6CF5">
              <w:rPr>
                <w:color w:val="000000"/>
                <w:sz w:val="16"/>
                <w:szCs w:val="16"/>
                <w:rtl/>
                <w:lang w:eastAsia="he-IL"/>
              </w:rPr>
              <w:t xml:space="preserve">(א) </w:t>
            </w:r>
            <w:r w:rsidRPr="003E6CF5">
              <w:rPr>
                <w:sz w:val="16"/>
                <w:szCs w:val="16"/>
                <w:rtl/>
              </w:rPr>
              <w:tab/>
            </w:r>
            <w:r w:rsidRPr="003E6CF5">
              <w:rPr>
                <w:rFonts w:hint="eastAsia"/>
                <w:sz w:val="16"/>
                <w:szCs w:val="16"/>
                <w:rtl/>
              </w:rPr>
              <w:t>יתרות</w:t>
            </w:r>
            <w:r w:rsidRPr="003E6CF5">
              <w:rPr>
                <w:sz w:val="16"/>
                <w:szCs w:val="16"/>
                <w:rtl/>
              </w:rPr>
              <w:t xml:space="preserve"> </w:t>
            </w:r>
            <w:r w:rsidRPr="003E6CF5">
              <w:rPr>
                <w:rFonts w:hint="eastAsia"/>
                <w:sz w:val="16"/>
                <w:szCs w:val="16"/>
                <w:rtl/>
              </w:rPr>
              <w:t>ממוצעות</w:t>
            </w:r>
            <w:r w:rsidRPr="003E6CF5">
              <w:rPr>
                <w:sz w:val="16"/>
                <w:szCs w:val="16"/>
                <w:rtl/>
              </w:rPr>
              <w:t xml:space="preserve"> </w:t>
            </w:r>
            <w:r w:rsidRPr="003E6CF5">
              <w:rPr>
                <w:rFonts w:hint="eastAsia"/>
                <w:sz w:val="16"/>
                <w:szCs w:val="16"/>
                <w:rtl/>
              </w:rPr>
              <w:t>מחושבות</w:t>
            </w:r>
            <w:r w:rsidRPr="003E6CF5">
              <w:rPr>
                <w:sz w:val="16"/>
                <w:szCs w:val="16"/>
                <w:rtl/>
              </w:rPr>
              <w:t xml:space="preserve"> </w:t>
            </w:r>
            <w:r w:rsidRPr="003E6CF5">
              <w:rPr>
                <w:rFonts w:hint="eastAsia"/>
                <w:sz w:val="16"/>
                <w:szCs w:val="16"/>
                <w:rtl/>
              </w:rPr>
              <w:t>על</w:t>
            </w:r>
            <w:r w:rsidRPr="003E6CF5">
              <w:rPr>
                <w:sz w:val="16"/>
                <w:szCs w:val="16"/>
                <w:rtl/>
              </w:rPr>
              <w:t xml:space="preserve"> </w:t>
            </w:r>
            <w:r w:rsidRPr="003E6CF5">
              <w:rPr>
                <w:rFonts w:hint="eastAsia"/>
                <w:sz w:val="16"/>
                <w:szCs w:val="16"/>
                <w:rtl/>
              </w:rPr>
              <w:t>בסיס</w:t>
            </w:r>
            <w:r w:rsidRPr="003E6CF5">
              <w:rPr>
                <w:sz w:val="16"/>
                <w:szCs w:val="16"/>
                <w:rtl/>
              </w:rPr>
              <w:t xml:space="preserve"> </w:t>
            </w:r>
            <w:r w:rsidRPr="003E6CF5">
              <w:rPr>
                <w:rFonts w:hint="eastAsia"/>
                <w:sz w:val="16"/>
                <w:szCs w:val="16"/>
                <w:rtl/>
              </w:rPr>
              <w:t>יתרות</w:t>
            </w:r>
            <w:r w:rsidRPr="003E6CF5">
              <w:rPr>
                <w:sz w:val="16"/>
                <w:szCs w:val="16"/>
                <w:rtl/>
              </w:rPr>
              <w:t xml:space="preserve"> </w:t>
            </w:r>
            <w:r w:rsidRPr="003E6CF5">
              <w:rPr>
                <w:rFonts w:hint="eastAsia"/>
                <w:sz w:val="16"/>
                <w:szCs w:val="16"/>
                <w:rtl/>
              </w:rPr>
              <w:t>לתחילת</w:t>
            </w:r>
            <w:r w:rsidRPr="003E6CF5">
              <w:rPr>
                <w:sz w:val="16"/>
                <w:szCs w:val="16"/>
                <w:rtl/>
              </w:rPr>
              <w:t xml:space="preserve"> </w:t>
            </w:r>
            <w:r w:rsidRPr="003E6CF5">
              <w:rPr>
                <w:rFonts w:hint="eastAsia"/>
                <w:sz w:val="16"/>
                <w:szCs w:val="16"/>
                <w:rtl/>
              </w:rPr>
              <w:t>רבעון</w:t>
            </w:r>
            <w:r w:rsidRPr="003E6CF5">
              <w:rPr>
                <w:sz w:val="16"/>
                <w:szCs w:val="16"/>
                <w:rtl/>
              </w:rPr>
              <w:t xml:space="preserve"> </w:t>
            </w:r>
            <w:r w:rsidRPr="003E6CF5">
              <w:rPr>
                <w:rFonts w:hint="eastAsia"/>
                <w:sz w:val="16"/>
                <w:szCs w:val="16"/>
                <w:rtl/>
              </w:rPr>
              <w:t>או</w:t>
            </w:r>
            <w:r w:rsidRPr="003E6CF5">
              <w:rPr>
                <w:sz w:val="16"/>
                <w:szCs w:val="16"/>
                <w:rtl/>
              </w:rPr>
              <w:t xml:space="preserve"> </w:t>
            </w:r>
            <w:r w:rsidRPr="003E6CF5">
              <w:rPr>
                <w:rFonts w:hint="eastAsia"/>
                <w:sz w:val="16"/>
                <w:szCs w:val="16"/>
                <w:rtl/>
              </w:rPr>
              <w:t>לתחילת</w:t>
            </w:r>
            <w:r w:rsidRPr="003E6CF5">
              <w:rPr>
                <w:sz w:val="16"/>
                <w:szCs w:val="16"/>
                <w:rtl/>
              </w:rPr>
              <w:t xml:space="preserve"> </w:t>
            </w:r>
            <w:r w:rsidRPr="003E6CF5">
              <w:rPr>
                <w:rFonts w:hint="eastAsia"/>
                <w:sz w:val="16"/>
                <w:szCs w:val="16"/>
                <w:rtl/>
              </w:rPr>
              <w:t>חודש</w:t>
            </w:r>
            <w:r w:rsidRPr="003E6CF5">
              <w:rPr>
                <w:sz w:val="16"/>
                <w:szCs w:val="16"/>
                <w:rtl/>
              </w:rPr>
              <w:t>.</w:t>
            </w:r>
          </w:p>
        </w:tc>
      </w:tr>
      <w:tr w:rsidR="002A6D5B" w:rsidRPr="00E604CD" w14:paraId="1BA52591" w14:textId="77777777" w:rsidTr="00400DD1">
        <w:tc>
          <w:tcPr>
            <w:tcW w:w="5000" w:type="pct"/>
            <w:vAlign w:val="bottom"/>
          </w:tcPr>
          <w:p w14:paraId="339FFC77" w14:textId="77777777" w:rsidR="002A6D5B" w:rsidRPr="003E6CF5" w:rsidRDefault="002A6D5B" w:rsidP="00400DD1">
            <w:pPr>
              <w:spacing w:line="241" w:lineRule="auto"/>
              <w:ind w:left="297" w:right="28" w:hanging="269"/>
              <w:jc w:val="left"/>
              <w:rPr>
                <w:color w:val="000000"/>
                <w:sz w:val="16"/>
                <w:szCs w:val="16"/>
                <w:rtl/>
                <w:lang w:eastAsia="he-IL"/>
              </w:rPr>
            </w:pPr>
            <w:r w:rsidRPr="003E6CF5">
              <w:rPr>
                <w:color w:val="000000"/>
                <w:sz w:val="16"/>
                <w:szCs w:val="16"/>
                <w:rtl/>
                <w:lang w:eastAsia="he-IL"/>
              </w:rPr>
              <w:t>(ב)</w:t>
            </w:r>
            <w:r w:rsidRPr="003E6CF5">
              <w:rPr>
                <w:color w:val="000000"/>
                <w:sz w:val="16"/>
                <w:szCs w:val="16"/>
                <w:rtl/>
                <w:lang w:eastAsia="he-IL"/>
              </w:rPr>
              <w:tab/>
            </w:r>
            <w:r w:rsidRPr="003E6CF5">
              <w:rPr>
                <w:rFonts w:hint="eastAsia"/>
                <w:color w:val="000000"/>
                <w:sz w:val="16"/>
                <w:szCs w:val="16"/>
                <w:rtl/>
                <w:lang w:eastAsia="he-IL"/>
              </w:rPr>
              <w:t>נכסי</w:t>
            </w:r>
            <w:r w:rsidRPr="003E6CF5">
              <w:rPr>
                <w:color w:val="000000"/>
                <w:sz w:val="16"/>
                <w:szCs w:val="16"/>
                <w:rtl/>
                <w:lang w:eastAsia="he-IL"/>
              </w:rPr>
              <w:t xml:space="preserve"> </w:t>
            </w:r>
            <w:r w:rsidRPr="003E6CF5">
              <w:rPr>
                <w:rFonts w:hint="eastAsia"/>
                <w:color w:val="000000"/>
                <w:sz w:val="16"/>
                <w:szCs w:val="16"/>
                <w:rtl/>
                <w:lang w:eastAsia="he-IL"/>
              </w:rPr>
              <w:t>סיכון</w:t>
            </w:r>
            <w:r w:rsidRPr="003E6CF5">
              <w:rPr>
                <w:color w:val="000000"/>
                <w:sz w:val="16"/>
                <w:szCs w:val="16"/>
                <w:rtl/>
                <w:lang w:eastAsia="he-IL"/>
              </w:rPr>
              <w:t xml:space="preserve"> - </w:t>
            </w:r>
            <w:r w:rsidRPr="003E6CF5">
              <w:rPr>
                <w:rFonts w:hint="eastAsia"/>
                <w:color w:val="000000"/>
                <w:sz w:val="16"/>
                <w:szCs w:val="16"/>
                <w:rtl/>
                <w:lang w:eastAsia="he-IL"/>
              </w:rPr>
              <w:t>כפי</w:t>
            </w:r>
            <w:r w:rsidRPr="003E6CF5">
              <w:rPr>
                <w:color w:val="000000"/>
                <w:sz w:val="16"/>
                <w:szCs w:val="16"/>
                <w:rtl/>
                <w:lang w:eastAsia="he-IL"/>
              </w:rPr>
              <w:t xml:space="preserve"> </w:t>
            </w:r>
            <w:r w:rsidRPr="003E6CF5">
              <w:rPr>
                <w:rFonts w:hint="eastAsia"/>
                <w:color w:val="000000"/>
                <w:sz w:val="16"/>
                <w:szCs w:val="16"/>
                <w:rtl/>
                <w:lang w:eastAsia="he-IL"/>
              </w:rPr>
              <w:t>שחושבו</w:t>
            </w:r>
            <w:r w:rsidRPr="003E6CF5">
              <w:rPr>
                <w:color w:val="000000"/>
                <w:sz w:val="16"/>
                <w:szCs w:val="16"/>
                <w:rtl/>
                <w:lang w:eastAsia="he-IL"/>
              </w:rPr>
              <w:t xml:space="preserve"> </w:t>
            </w:r>
            <w:r w:rsidRPr="003E6CF5">
              <w:rPr>
                <w:rFonts w:hint="eastAsia"/>
                <w:color w:val="000000"/>
                <w:sz w:val="16"/>
                <w:szCs w:val="16"/>
                <w:rtl/>
                <w:lang w:eastAsia="he-IL"/>
              </w:rPr>
              <w:t>לצורך</w:t>
            </w:r>
            <w:r w:rsidRPr="003E6CF5">
              <w:rPr>
                <w:color w:val="000000"/>
                <w:sz w:val="16"/>
                <w:szCs w:val="16"/>
                <w:rtl/>
                <w:lang w:eastAsia="he-IL"/>
              </w:rPr>
              <w:t xml:space="preserve"> </w:t>
            </w:r>
            <w:r w:rsidRPr="003E6CF5">
              <w:rPr>
                <w:rFonts w:hint="eastAsia"/>
                <w:color w:val="000000"/>
                <w:sz w:val="16"/>
                <w:szCs w:val="16"/>
                <w:rtl/>
                <w:lang w:eastAsia="he-IL"/>
              </w:rPr>
              <w:t>הלימות</w:t>
            </w:r>
            <w:r w:rsidRPr="003E6CF5">
              <w:rPr>
                <w:color w:val="000000"/>
                <w:sz w:val="16"/>
                <w:szCs w:val="16"/>
                <w:rtl/>
                <w:lang w:eastAsia="he-IL"/>
              </w:rPr>
              <w:t xml:space="preserve"> </w:t>
            </w:r>
            <w:r w:rsidRPr="003E6CF5">
              <w:rPr>
                <w:rFonts w:hint="eastAsia"/>
                <w:color w:val="000000"/>
                <w:sz w:val="16"/>
                <w:szCs w:val="16"/>
                <w:rtl/>
                <w:lang w:eastAsia="he-IL"/>
              </w:rPr>
              <w:t>הון</w:t>
            </w:r>
            <w:r w:rsidRPr="003E6CF5">
              <w:rPr>
                <w:color w:val="000000"/>
                <w:sz w:val="16"/>
                <w:szCs w:val="16"/>
                <w:rtl/>
                <w:lang w:eastAsia="he-IL"/>
              </w:rPr>
              <w:t>.</w:t>
            </w:r>
          </w:p>
        </w:tc>
      </w:tr>
      <w:tr w:rsidR="002A6D5B" w:rsidRPr="006D533A" w14:paraId="52A98163" w14:textId="77777777" w:rsidTr="00400DD1">
        <w:tc>
          <w:tcPr>
            <w:tcW w:w="5000" w:type="pct"/>
            <w:vAlign w:val="bottom"/>
          </w:tcPr>
          <w:p w14:paraId="299EF854" w14:textId="77777777" w:rsidR="002A6D5B" w:rsidRPr="003E6CF5" w:rsidRDefault="002A6D5B" w:rsidP="00400DD1">
            <w:pPr>
              <w:spacing w:line="241" w:lineRule="auto"/>
              <w:ind w:left="297" w:right="28" w:hanging="269"/>
              <w:jc w:val="left"/>
              <w:rPr>
                <w:color w:val="000000"/>
                <w:sz w:val="16"/>
                <w:szCs w:val="16"/>
                <w:rtl/>
                <w:lang w:eastAsia="he-IL"/>
              </w:rPr>
            </w:pPr>
            <w:r w:rsidRPr="003E6CF5">
              <w:rPr>
                <w:color w:val="000000"/>
                <w:sz w:val="16"/>
                <w:szCs w:val="16"/>
                <w:rtl/>
                <w:lang w:eastAsia="he-IL"/>
              </w:rPr>
              <w:t>(ג)</w:t>
            </w:r>
            <w:r w:rsidRPr="003E6CF5">
              <w:rPr>
                <w:color w:val="000000"/>
                <w:sz w:val="16"/>
                <w:szCs w:val="16"/>
                <w:rtl/>
                <w:lang w:eastAsia="he-IL"/>
              </w:rPr>
              <w:tab/>
            </w:r>
            <w:r w:rsidRPr="003E6CF5">
              <w:rPr>
                <w:rFonts w:hint="eastAsia"/>
                <w:color w:val="000000"/>
                <w:sz w:val="16"/>
                <w:szCs w:val="16"/>
                <w:rtl/>
                <w:lang w:eastAsia="he-IL"/>
              </w:rPr>
              <w:t>נכסים</w:t>
            </w:r>
            <w:r w:rsidRPr="003E6CF5">
              <w:rPr>
                <w:color w:val="000000"/>
                <w:sz w:val="16"/>
                <w:szCs w:val="16"/>
                <w:rtl/>
                <w:lang w:eastAsia="he-IL"/>
              </w:rPr>
              <w:t xml:space="preserve"> </w:t>
            </w:r>
            <w:r w:rsidRPr="003E6CF5">
              <w:rPr>
                <w:rFonts w:hint="eastAsia"/>
                <w:color w:val="000000"/>
                <w:sz w:val="16"/>
                <w:szCs w:val="16"/>
                <w:rtl/>
                <w:lang w:eastAsia="he-IL"/>
              </w:rPr>
              <w:t>בניהול</w:t>
            </w:r>
            <w:r w:rsidRPr="003E6CF5">
              <w:rPr>
                <w:color w:val="000000"/>
                <w:sz w:val="16"/>
                <w:szCs w:val="16"/>
                <w:rtl/>
                <w:lang w:eastAsia="he-IL"/>
              </w:rPr>
              <w:t xml:space="preserve"> - </w:t>
            </w:r>
            <w:r w:rsidRPr="003E6CF5">
              <w:rPr>
                <w:rFonts w:hint="eastAsia"/>
                <w:color w:val="000000"/>
                <w:sz w:val="16"/>
                <w:szCs w:val="16"/>
                <w:rtl/>
                <w:lang w:eastAsia="he-IL"/>
              </w:rPr>
              <w:t>לרבות</w:t>
            </w:r>
            <w:r w:rsidRPr="003E6CF5">
              <w:rPr>
                <w:color w:val="000000"/>
                <w:sz w:val="16"/>
                <w:szCs w:val="16"/>
                <w:rtl/>
                <w:lang w:eastAsia="he-IL"/>
              </w:rPr>
              <w:t xml:space="preserve"> </w:t>
            </w:r>
            <w:r w:rsidRPr="003E6CF5">
              <w:rPr>
                <w:rFonts w:hint="eastAsia"/>
                <w:color w:val="000000"/>
                <w:sz w:val="16"/>
                <w:szCs w:val="16"/>
                <w:rtl/>
                <w:lang w:eastAsia="he-IL"/>
              </w:rPr>
              <w:t>נכסי</w:t>
            </w:r>
            <w:r w:rsidRPr="003E6CF5">
              <w:rPr>
                <w:color w:val="000000"/>
                <w:sz w:val="16"/>
                <w:szCs w:val="16"/>
                <w:rtl/>
                <w:lang w:eastAsia="he-IL"/>
              </w:rPr>
              <w:t xml:space="preserve"> </w:t>
            </w:r>
            <w:r w:rsidRPr="003E6CF5">
              <w:rPr>
                <w:rFonts w:hint="eastAsia"/>
                <w:color w:val="000000"/>
                <w:sz w:val="16"/>
                <w:szCs w:val="16"/>
                <w:rtl/>
                <w:lang w:eastAsia="he-IL"/>
              </w:rPr>
              <w:t>גמל</w:t>
            </w:r>
            <w:r w:rsidRPr="003E6CF5">
              <w:rPr>
                <w:color w:val="000000"/>
                <w:sz w:val="16"/>
                <w:szCs w:val="16"/>
                <w:rtl/>
                <w:lang w:eastAsia="he-IL"/>
              </w:rPr>
              <w:t xml:space="preserve">, </w:t>
            </w:r>
            <w:r w:rsidRPr="003E6CF5">
              <w:rPr>
                <w:rFonts w:hint="eastAsia"/>
                <w:color w:val="000000"/>
                <w:sz w:val="16"/>
                <w:szCs w:val="16"/>
                <w:rtl/>
                <w:lang w:eastAsia="he-IL"/>
              </w:rPr>
              <w:t>קרנות</w:t>
            </w:r>
            <w:r w:rsidRPr="003E6CF5">
              <w:rPr>
                <w:color w:val="000000"/>
                <w:sz w:val="16"/>
                <w:szCs w:val="16"/>
                <w:rtl/>
                <w:lang w:eastAsia="he-IL"/>
              </w:rPr>
              <w:t xml:space="preserve"> </w:t>
            </w:r>
            <w:r w:rsidRPr="003E6CF5">
              <w:rPr>
                <w:rFonts w:hint="eastAsia"/>
                <w:color w:val="000000"/>
                <w:sz w:val="16"/>
                <w:szCs w:val="16"/>
                <w:rtl/>
                <w:lang w:eastAsia="he-IL"/>
              </w:rPr>
              <w:t>השתלמות</w:t>
            </w:r>
            <w:r w:rsidRPr="003E6CF5">
              <w:rPr>
                <w:color w:val="000000"/>
                <w:sz w:val="16"/>
                <w:szCs w:val="16"/>
                <w:rtl/>
                <w:lang w:eastAsia="he-IL"/>
              </w:rPr>
              <w:t xml:space="preserve">, </w:t>
            </w:r>
            <w:r w:rsidRPr="003E6CF5">
              <w:rPr>
                <w:rFonts w:hint="eastAsia"/>
                <w:color w:val="000000"/>
                <w:sz w:val="16"/>
                <w:szCs w:val="16"/>
                <w:rtl/>
                <w:lang w:eastAsia="he-IL"/>
              </w:rPr>
              <w:t>קרנות</w:t>
            </w:r>
            <w:r w:rsidRPr="003E6CF5">
              <w:rPr>
                <w:color w:val="000000"/>
                <w:sz w:val="16"/>
                <w:szCs w:val="16"/>
                <w:rtl/>
                <w:lang w:eastAsia="he-IL"/>
              </w:rPr>
              <w:t xml:space="preserve"> </w:t>
            </w:r>
            <w:r w:rsidRPr="003E6CF5">
              <w:rPr>
                <w:rFonts w:hint="eastAsia"/>
                <w:color w:val="000000"/>
                <w:sz w:val="16"/>
                <w:szCs w:val="16"/>
                <w:rtl/>
                <w:lang w:eastAsia="he-IL"/>
              </w:rPr>
              <w:t>נאמנות</w:t>
            </w:r>
            <w:r w:rsidRPr="003E6CF5">
              <w:rPr>
                <w:color w:val="000000"/>
                <w:sz w:val="16"/>
                <w:szCs w:val="16"/>
                <w:rtl/>
                <w:lang w:eastAsia="he-IL"/>
              </w:rPr>
              <w:t xml:space="preserve"> </w:t>
            </w:r>
            <w:r w:rsidRPr="003E6CF5">
              <w:rPr>
                <w:rFonts w:hint="eastAsia"/>
                <w:color w:val="000000"/>
                <w:sz w:val="16"/>
                <w:szCs w:val="16"/>
                <w:rtl/>
                <w:lang w:eastAsia="he-IL"/>
              </w:rPr>
              <w:t>וניירות</w:t>
            </w:r>
            <w:r w:rsidRPr="003E6CF5">
              <w:rPr>
                <w:color w:val="000000"/>
                <w:sz w:val="16"/>
                <w:szCs w:val="16"/>
                <w:rtl/>
                <w:lang w:eastAsia="he-IL"/>
              </w:rPr>
              <w:t xml:space="preserve"> </w:t>
            </w:r>
            <w:r w:rsidRPr="003E6CF5">
              <w:rPr>
                <w:rFonts w:hint="eastAsia"/>
                <w:color w:val="000000"/>
                <w:sz w:val="16"/>
                <w:szCs w:val="16"/>
                <w:rtl/>
                <w:lang w:eastAsia="he-IL"/>
              </w:rPr>
              <w:t>ערך</w:t>
            </w:r>
            <w:r w:rsidRPr="003E6CF5">
              <w:rPr>
                <w:color w:val="000000"/>
                <w:sz w:val="16"/>
                <w:szCs w:val="16"/>
                <w:rtl/>
                <w:lang w:eastAsia="he-IL"/>
              </w:rPr>
              <w:t xml:space="preserve"> </w:t>
            </w:r>
            <w:r w:rsidRPr="003E6CF5">
              <w:rPr>
                <w:rFonts w:hint="eastAsia"/>
                <w:color w:val="000000"/>
                <w:sz w:val="16"/>
                <w:szCs w:val="16"/>
                <w:rtl/>
                <w:lang w:eastAsia="he-IL"/>
              </w:rPr>
              <w:t>של</w:t>
            </w:r>
            <w:r w:rsidRPr="003E6CF5">
              <w:rPr>
                <w:color w:val="000000"/>
                <w:sz w:val="16"/>
                <w:szCs w:val="16"/>
                <w:rtl/>
                <w:lang w:eastAsia="he-IL"/>
              </w:rPr>
              <w:t xml:space="preserve"> </w:t>
            </w:r>
            <w:r w:rsidRPr="003E6CF5">
              <w:rPr>
                <w:rFonts w:hint="eastAsia"/>
                <w:color w:val="000000"/>
                <w:sz w:val="16"/>
                <w:szCs w:val="16"/>
                <w:rtl/>
                <w:lang w:eastAsia="he-IL"/>
              </w:rPr>
              <w:t>לקוחות</w:t>
            </w:r>
            <w:r w:rsidRPr="003E6CF5">
              <w:rPr>
                <w:color w:val="000000"/>
                <w:sz w:val="16"/>
                <w:szCs w:val="16"/>
                <w:rtl/>
                <w:lang w:eastAsia="he-IL"/>
              </w:rPr>
              <w:t>.</w:t>
            </w:r>
          </w:p>
        </w:tc>
      </w:tr>
    </w:tbl>
    <w:p w14:paraId="79CBDAFD" w14:textId="51430748" w:rsidR="002A6D5B" w:rsidRDefault="002A6D5B">
      <w:pPr>
        <w:rPr>
          <w:rtl/>
        </w:rPr>
      </w:pPr>
    </w:p>
    <w:p w14:paraId="137B3E35" w14:textId="77777777" w:rsidR="002A6D5B" w:rsidRDefault="002A6D5B">
      <w:pPr>
        <w:bidi w:val="0"/>
        <w:jc w:val="left"/>
      </w:pPr>
      <w:r>
        <w:rPr>
          <w:rtl/>
        </w:rPr>
        <w:br w:type="page"/>
      </w:r>
    </w:p>
    <w:tbl>
      <w:tblPr>
        <w:bidiVisual/>
        <w:tblW w:w="781" w:type="pct"/>
        <w:tblInd w:w="-75" w:type="dxa"/>
        <w:tblLayout w:type="fixed"/>
        <w:tblLook w:val="04A0" w:firstRow="1" w:lastRow="0" w:firstColumn="1" w:lastColumn="0" w:noHBand="0" w:noVBand="1"/>
      </w:tblPr>
      <w:tblGrid>
        <w:gridCol w:w="1594"/>
      </w:tblGrid>
      <w:tr w:rsidR="00A0684C" w:rsidRPr="00D947F3" w14:paraId="50D605DB" w14:textId="77777777" w:rsidTr="00D47575">
        <w:trPr>
          <w:trHeight w:val="259"/>
        </w:trPr>
        <w:tc>
          <w:tcPr>
            <w:tcW w:w="1594" w:type="dxa"/>
          </w:tcPr>
          <w:p w14:paraId="5FAED2B3" w14:textId="77777777" w:rsidR="00A0684C" w:rsidRPr="00D947F3" w:rsidRDefault="00A0684C" w:rsidP="0068247A">
            <w:pPr>
              <w:spacing w:before="60" w:after="60"/>
              <w:rPr>
                <w:spacing w:val="-4"/>
                <w:sz w:val="14"/>
                <w:szCs w:val="14"/>
                <w:rtl/>
              </w:rPr>
            </w:pPr>
            <w:r w:rsidRPr="00D947F3">
              <w:rPr>
                <w:rFonts w:hint="eastAsia"/>
                <w:spacing w:val="-4"/>
                <w:sz w:val="14"/>
                <w:szCs w:val="14"/>
                <w:rtl/>
              </w:rPr>
              <w:lastRenderedPageBreak/>
              <w:t>ה</w:t>
            </w:r>
            <w:r w:rsidRPr="00D947F3">
              <w:rPr>
                <w:spacing w:val="-4"/>
                <w:sz w:val="14"/>
                <w:szCs w:val="14"/>
                <w:rtl/>
              </w:rPr>
              <w:t xml:space="preserve">. </w:t>
            </w:r>
            <w:r w:rsidRPr="00D947F3">
              <w:rPr>
                <w:rFonts w:hint="eastAsia"/>
                <w:spacing w:val="-4"/>
                <w:sz w:val="14"/>
                <w:szCs w:val="14"/>
                <w:rtl/>
              </w:rPr>
              <w:t>המפקח</w:t>
            </w:r>
            <w:r w:rsidRPr="00D947F3">
              <w:rPr>
                <w:spacing w:val="-4"/>
                <w:sz w:val="14"/>
                <w:szCs w:val="14"/>
                <w:rtl/>
              </w:rPr>
              <w:t xml:space="preserve"> </w:t>
            </w:r>
            <w:r w:rsidRPr="00D947F3">
              <w:rPr>
                <w:rFonts w:hint="eastAsia"/>
                <w:spacing w:val="-4"/>
                <w:sz w:val="14"/>
                <w:szCs w:val="14"/>
                <w:rtl/>
              </w:rPr>
              <w:t>ס</w:t>
            </w:r>
            <w:r w:rsidRPr="00D947F3">
              <w:rPr>
                <w:spacing w:val="-4"/>
                <w:sz w:val="14"/>
                <w:szCs w:val="14"/>
                <w:rtl/>
              </w:rPr>
              <w:t>' 79(</w:t>
            </w:r>
            <w:r w:rsidRPr="00D947F3">
              <w:rPr>
                <w:rFonts w:hint="eastAsia"/>
                <w:spacing w:val="-4"/>
                <w:sz w:val="14"/>
                <w:szCs w:val="14"/>
                <w:rtl/>
              </w:rPr>
              <w:t>ב</w:t>
            </w:r>
            <w:r w:rsidRPr="00D947F3">
              <w:rPr>
                <w:spacing w:val="-4"/>
                <w:sz w:val="14"/>
                <w:szCs w:val="14"/>
                <w:rtl/>
              </w:rPr>
              <w:t>1)</w:t>
            </w:r>
          </w:p>
        </w:tc>
      </w:tr>
    </w:tbl>
    <w:p w14:paraId="3DAB7175" w14:textId="77777777" w:rsidR="00A0684C" w:rsidRDefault="00A0684C" w:rsidP="00A82C7F">
      <w:pPr>
        <w:pStyle w:val="5"/>
        <w:spacing w:line="360" w:lineRule="auto"/>
        <w:ind w:firstLine="1135"/>
      </w:pPr>
      <w:bookmarkStart w:id="38" w:name="_Toc160529231"/>
      <w:r w:rsidRPr="00EB0510">
        <w:rPr>
          <w:rFonts w:hint="eastAsia"/>
          <w:rtl/>
        </w:rPr>
        <w:t>ביאור</w:t>
      </w:r>
      <w:r w:rsidRPr="00EB0510">
        <w:rPr>
          <w:rtl/>
        </w:rPr>
        <w:t xml:space="preserve"> </w:t>
      </w:r>
      <w:r w:rsidR="005B7C3D">
        <w:rPr>
          <w:rFonts w:hint="cs"/>
          <w:rtl/>
        </w:rPr>
        <w:t>11</w:t>
      </w:r>
      <w:r w:rsidRPr="00EB0510">
        <w:rPr>
          <w:rFonts w:hint="eastAsia"/>
          <w:rtl/>
        </w:rPr>
        <w:t>א</w:t>
      </w:r>
      <w:r w:rsidRPr="00EB0510">
        <w:rPr>
          <w:rtl/>
        </w:rPr>
        <w:t xml:space="preserve"> - </w:t>
      </w:r>
      <w:r w:rsidRPr="00EB0510">
        <w:rPr>
          <w:rFonts w:hint="eastAsia"/>
          <w:rtl/>
        </w:rPr>
        <w:t>מגזרי</w:t>
      </w:r>
      <w:r w:rsidRPr="00EB0510">
        <w:rPr>
          <w:rtl/>
        </w:rPr>
        <w:t xml:space="preserve"> </w:t>
      </w:r>
      <w:r w:rsidRPr="00EB0510">
        <w:rPr>
          <w:rFonts w:hint="eastAsia"/>
          <w:rtl/>
        </w:rPr>
        <w:t>פעילות</w:t>
      </w:r>
      <w:r w:rsidRPr="00EB0510">
        <w:rPr>
          <w:rtl/>
        </w:rPr>
        <w:t xml:space="preserve"> </w:t>
      </w:r>
      <w:r w:rsidRPr="00EB0510">
        <w:rPr>
          <w:rFonts w:hint="eastAsia"/>
          <w:rtl/>
        </w:rPr>
        <w:t>לפי</w:t>
      </w:r>
      <w:r w:rsidRPr="00EB0510">
        <w:rPr>
          <w:rtl/>
        </w:rPr>
        <w:t xml:space="preserve"> </w:t>
      </w:r>
      <w:r w:rsidRPr="00EB0510">
        <w:rPr>
          <w:rFonts w:hint="eastAsia"/>
          <w:rtl/>
        </w:rPr>
        <w:t>גישת</w:t>
      </w:r>
      <w:r w:rsidRPr="00EB0510">
        <w:rPr>
          <w:rtl/>
        </w:rPr>
        <w:t xml:space="preserve"> </w:t>
      </w:r>
      <w:r w:rsidRPr="00EB0510">
        <w:rPr>
          <w:rFonts w:hint="eastAsia"/>
          <w:rtl/>
        </w:rPr>
        <w:t>ההנהלה</w:t>
      </w:r>
      <w:r>
        <w:rPr>
          <w:rFonts w:hint="cs"/>
          <w:rtl/>
        </w:rPr>
        <w:t xml:space="preserve"> </w:t>
      </w:r>
      <w:r w:rsidRPr="00853A6E">
        <w:rPr>
          <w:rStyle w:val="a7"/>
          <w:rtl/>
        </w:rPr>
        <w:footnoteReference w:id="94"/>
      </w:r>
      <w:bookmarkEnd w:id="38"/>
    </w:p>
    <w:tbl>
      <w:tblPr>
        <w:bidiVisual/>
        <w:tblW w:w="5000" w:type="pct"/>
        <w:tblInd w:w="-86" w:type="dxa"/>
        <w:tblLayout w:type="fixed"/>
        <w:tblLook w:val="04A0" w:firstRow="1" w:lastRow="0" w:firstColumn="1" w:lastColumn="0" w:noHBand="0" w:noVBand="1"/>
      </w:tblPr>
      <w:tblGrid>
        <w:gridCol w:w="10"/>
        <w:gridCol w:w="1123"/>
        <w:gridCol w:w="918"/>
        <w:gridCol w:w="2580"/>
        <w:gridCol w:w="796"/>
        <w:gridCol w:w="796"/>
        <w:gridCol w:w="796"/>
        <w:gridCol w:w="796"/>
        <w:gridCol w:w="796"/>
        <w:gridCol w:w="800"/>
        <w:gridCol w:w="637"/>
        <w:gridCol w:w="21"/>
        <w:gridCol w:w="138"/>
      </w:tblGrid>
      <w:tr w:rsidR="00A701BC" w:rsidRPr="00694F56" w14:paraId="72429C10" w14:textId="77777777" w:rsidTr="00A82C7F">
        <w:trPr>
          <w:gridBefore w:val="1"/>
          <w:gridAfter w:val="1"/>
          <w:wBefore w:w="10" w:type="dxa"/>
          <w:wAfter w:w="138" w:type="dxa"/>
          <w:trHeight w:val="259"/>
        </w:trPr>
        <w:tc>
          <w:tcPr>
            <w:tcW w:w="1123" w:type="dxa"/>
          </w:tcPr>
          <w:p w14:paraId="752C799B" w14:textId="77777777" w:rsidR="00A701BC" w:rsidRPr="00694F56" w:rsidRDefault="00A701BC" w:rsidP="0068247A">
            <w:pPr>
              <w:spacing w:before="60" w:after="60"/>
              <w:ind w:right="-144"/>
              <w:jc w:val="left"/>
              <w:rPr>
                <w:spacing w:val="-6"/>
                <w:sz w:val="14"/>
                <w:szCs w:val="14"/>
                <w:rtl/>
              </w:rPr>
            </w:pPr>
          </w:p>
        </w:tc>
        <w:tc>
          <w:tcPr>
            <w:tcW w:w="8936" w:type="dxa"/>
            <w:gridSpan w:val="10"/>
          </w:tcPr>
          <w:p w14:paraId="464222EC" w14:textId="77777777" w:rsidR="00A701BC" w:rsidRPr="00694F56" w:rsidRDefault="00A701BC" w:rsidP="0091316C">
            <w:pPr>
              <w:tabs>
                <w:tab w:val="left" w:pos="279"/>
              </w:tabs>
              <w:spacing w:before="60" w:after="60" w:line="241" w:lineRule="auto"/>
              <w:rPr>
                <w:b/>
                <w:bCs/>
                <w:rtl/>
              </w:rPr>
            </w:pPr>
            <w:r w:rsidRPr="00694F56">
              <w:rPr>
                <w:b/>
                <w:bCs/>
                <w:rtl/>
              </w:rPr>
              <w:t>א.</w:t>
            </w:r>
            <w:r w:rsidRPr="00694F56">
              <w:rPr>
                <w:b/>
                <w:bCs/>
                <w:rtl/>
              </w:rPr>
              <w:tab/>
            </w:r>
            <w:r w:rsidRPr="00694F56">
              <w:rPr>
                <w:rFonts w:hint="eastAsia"/>
                <w:b/>
                <w:bCs/>
                <w:rtl/>
              </w:rPr>
              <w:t>כללי</w:t>
            </w:r>
            <w:r w:rsidRPr="00694F56">
              <w:rPr>
                <w:b/>
                <w:bCs/>
                <w:rtl/>
              </w:rPr>
              <w:t>:</w:t>
            </w:r>
          </w:p>
        </w:tc>
      </w:tr>
      <w:tr w:rsidR="00A701BC" w:rsidRPr="00F82D44" w14:paraId="411F879A" w14:textId="77777777" w:rsidTr="00A82C7F">
        <w:tblPrEx>
          <w:tblCellMar>
            <w:left w:w="57" w:type="dxa"/>
            <w:right w:w="57" w:type="dxa"/>
          </w:tblCellMar>
          <w:tblLook w:val="01E0" w:firstRow="1" w:lastRow="1" w:firstColumn="1" w:lastColumn="1" w:noHBand="0" w:noVBand="0"/>
        </w:tblPrEx>
        <w:trPr>
          <w:gridAfter w:val="2"/>
          <w:wAfter w:w="159" w:type="dxa"/>
        </w:trPr>
        <w:tc>
          <w:tcPr>
            <w:tcW w:w="1133" w:type="dxa"/>
            <w:gridSpan w:val="2"/>
          </w:tcPr>
          <w:p w14:paraId="0069F3F9" w14:textId="619AAF1D" w:rsidR="00A701BC" w:rsidRPr="00030C7C" w:rsidRDefault="00A701BC" w:rsidP="00030C7C">
            <w:pPr>
              <w:spacing w:before="60"/>
              <w:rPr>
                <w:spacing w:val="-4"/>
                <w:sz w:val="14"/>
                <w:szCs w:val="14"/>
                <w:rtl/>
              </w:rPr>
            </w:pPr>
          </w:p>
        </w:tc>
        <w:tc>
          <w:tcPr>
            <w:tcW w:w="8915" w:type="dxa"/>
            <w:gridSpan w:val="9"/>
          </w:tcPr>
          <w:p w14:paraId="7BC14922" w14:textId="5C9639EE" w:rsidR="00A701BC" w:rsidRPr="00BC01B0" w:rsidRDefault="00A701BC" w:rsidP="0068247A">
            <w:pPr>
              <w:spacing w:line="241" w:lineRule="auto"/>
              <w:ind w:left="454"/>
              <w:rPr>
                <w:sz w:val="18"/>
                <w:szCs w:val="18"/>
                <w:highlight w:val="yellow"/>
                <w:rtl/>
              </w:rPr>
            </w:pPr>
            <w:r w:rsidRPr="00BC01B0">
              <w:rPr>
                <w:sz w:val="18"/>
                <w:szCs w:val="18"/>
                <w:rtl/>
              </w:rPr>
              <w:t>[</w:t>
            </w:r>
            <w:r w:rsidRPr="00BC01B0">
              <w:rPr>
                <w:rFonts w:hint="cs"/>
                <w:sz w:val="18"/>
                <w:szCs w:val="18"/>
                <w:rtl/>
              </w:rPr>
              <w:t>י</w:t>
            </w:r>
            <w:r w:rsidR="00BC01B0">
              <w:rPr>
                <w:rFonts w:hint="cs"/>
                <w:sz w:val="18"/>
                <w:szCs w:val="18"/>
                <w:rtl/>
              </w:rPr>
              <w:t>תו</w:t>
            </w:r>
            <w:r w:rsidRPr="00BC01B0">
              <w:rPr>
                <w:sz w:val="18"/>
                <w:szCs w:val="18"/>
                <w:rtl/>
              </w:rPr>
              <w:t>אר</w:t>
            </w:r>
            <w:r w:rsidR="00BC01B0">
              <w:rPr>
                <w:rFonts w:hint="cs"/>
                <w:sz w:val="18"/>
                <w:szCs w:val="18"/>
                <w:rtl/>
              </w:rPr>
              <w:t>ו</w:t>
            </w:r>
            <w:r w:rsidRPr="00BC01B0">
              <w:rPr>
                <w:sz w:val="18"/>
                <w:szCs w:val="18"/>
                <w:rtl/>
              </w:rPr>
              <w:t xml:space="preserve"> הבדלים בבסיס הפיצול למגזרים או בבסיס המדידה של הרווח או הפסד המגזרי</w:t>
            </w:r>
            <w:r w:rsidR="00BC01B0" w:rsidRPr="00BC01B0">
              <w:rPr>
                <w:rFonts w:hint="cs"/>
                <w:sz w:val="18"/>
                <w:szCs w:val="18"/>
                <w:rtl/>
              </w:rPr>
              <w:t xml:space="preserve">, ביחס לדוח </w:t>
            </w:r>
            <w:r w:rsidR="00BC01B0">
              <w:rPr>
                <w:rFonts w:hint="cs"/>
                <w:sz w:val="18"/>
                <w:szCs w:val="18"/>
                <w:rtl/>
              </w:rPr>
              <w:t xml:space="preserve">כספי </w:t>
            </w:r>
            <w:r w:rsidR="00BC01B0" w:rsidRPr="00BC01B0">
              <w:rPr>
                <w:rFonts w:hint="cs"/>
                <w:sz w:val="18"/>
                <w:szCs w:val="18"/>
                <w:rtl/>
              </w:rPr>
              <w:t>שנתי אחרון</w:t>
            </w:r>
            <w:r w:rsidRPr="00BC01B0">
              <w:rPr>
                <w:sz w:val="18"/>
                <w:szCs w:val="18"/>
                <w:rtl/>
              </w:rPr>
              <w:t>].</w:t>
            </w:r>
          </w:p>
        </w:tc>
      </w:tr>
      <w:tr w:rsidR="00A701BC" w:rsidRPr="00D947F3" w14:paraId="16EB75C9" w14:textId="77777777" w:rsidTr="00A82C7F">
        <w:tblPrEx>
          <w:tblLook w:val="01E0" w:firstRow="1" w:lastRow="1" w:firstColumn="1" w:lastColumn="1" w:noHBand="0" w:noVBand="0"/>
        </w:tblPrEx>
        <w:trPr>
          <w:gridBefore w:val="1"/>
          <w:wBefore w:w="10" w:type="dxa"/>
        </w:trPr>
        <w:tc>
          <w:tcPr>
            <w:tcW w:w="1123" w:type="dxa"/>
          </w:tcPr>
          <w:p w14:paraId="2F6DB985" w14:textId="063CC65A" w:rsidR="00A701BC" w:rsidRPr="00260B4F" w:rsidRDefault="00A701BC" w:rsidP="00CC2E24">
            <w:pPr>
              <w:spacing w:before="100" w:after="60"/>
              <w:ind w:left="-57"/>
              <w:rPr>
                <w:b/>
                <w:bCs/>
                <w:spacing w:val="-2"/>
                <w:sz w:val="13"/>
                <w:szCs w:val="13"/>
              </w:rPr>
            </w:pPr>
          </w:p>
        </w:tc>
        <w:tc>
          <w:tcPr>
            <w:tcW w:w="9074" w:type="dxa"/>
            <w:gridSpan w:val="11"/>
          </w:tcPr>
          <w:p w14:paraId="1F72EC99" w14:textId="0B74AD15" w:rsidR="00A701BC" w:rsidRPr="00D947F3" w:rsidRDefault="00A701BC" w:rsidP="0091316C">
            <w:pPr>
              <w:tabs>
                <w:tab w:val="left" w:pos="279"/>
              </w:tabs>
              <w:spacing w:before="60" w:after="60" w:line="241" w:lineRule="auto"/>
              <w:rPr>
                <w:b/>
                <w:bCs/>
                <w:rtl/>
              </w:rPr>
            </w:pPr>
            <w:r w:rsidRPr="00D947F3">
              <w:rPr>
                <w:rFonts w:hint="eastAsia"/>
                <w:b/>
                <w:bCs/>
                <w:rtl/>
              </w:rPr>
              <w:t>ב</w:t>
            </w:r>
            <w:r w:rsidRPr="00D947F3">
              <w:rPr>
                <w:b/>
                <w:bCs/>
                <w:rtl/>
              </w:rPr>
              <w:t>.</w:t>
            </w:r>
            <w:r w:rsidRPr="00D947F3">
              <w:rPr>
                <w:b/>
                <w:bCs/>
                <w:rtl/>
              </w:rPr>
              <w:tab/>
            </w:r>
            <w:r w:rsidRPr="00D947F3">
              <w:rPr>
                <w:rFonts w:hint="eastAsia"/>
                <w:b/>
                <w:bCs/>
                <w:rtl/>
              </w:rPr>
              <w:t>מידע</w:t>
            </w:r>
            <w:r w:rsidRPr="00D947F3">
              <w:rPr>
                <w:b/>
                <w:bCs/>
                <w:rtl/>
              </w:rPr>
              <w:t xml:space="preserve"> </w:t>
            </w:r>
            <w:r>
              <w:rPr>
                <w:rFonts w:hint="cs"/>
                <w:b/>
                <w:bCs/>
                <w:rtl/>
              </w:rPr>
              <w:t xml:space="preserve">לגבי רווח או הפסד, נכסים </w:t>
            </w:r>
            <w:r w:rsidRPr="00A701BC">
              <w:rPr>
                <w:rFonts w:hint="eastAsia"/>
                <w:b/>
                <w:bCs/>
                <w:rtl/>
              </w:rPr>
              <w:t>והתחייבויות</w:t>
            </w:r>
            <w:r w:rsidRPr="00A701BC">
              <w:rPr>
                <w:b/>
                <w:bCs/>
                <w:rtl/>
              </w:rPr>
              <w:t>:</w:t>
            </w:r>
            <w:r w:rsidR="00676CE7" w:rsidRPr="00030C7C">
              <w:rPr>
                <w:b/>
                <w:bCs/>
                <w:sz w:val="18"/>
                <w:szCs w:val="18"/>
                <w:vertAlign w:val="superscript"/>
                <w:rtl/>
              </w:rPr>
              <w:t xml:space="preserve"> </w:t>
            </w:r>
            <w:r w:rsidRPr="00030C7C">
              <w:rPr>
                <w:b/>
                <w:bCs/>
                <w:sz w:val="18"/>
                <w:szCs w:val="18"/>
                <w:vertAlign w:val="superscript"/>
                <w:rtl/>
              </w:rPr>
              <w:t>[</w:t>
            </w:r>
            <w:r w:rsidRPr="00030C7C">
              <w:rPr>
                <w:rStyle w:val="a7"/>
                <w:b/>
                <w:bCs/>
                <w:sz w:val="18"/>
                <w:szCs w:val="18"/>
                <w:rtl/>
              </w:rPr>
              <w:footnoteReference w:id="95"/>
            </w:r>
            <w:r w:rsidRPr="00030C7C">
              <w:rPr>
                <w:b/>
                <w:bCs/>
                <w:sz w:val="18"/>
                <w:szCs w:val="18"/>
                <w:vertAlign w:val="superscript"/>
                <w:rtl/>
              </w:rPr>
              <w:t>]</w:t>
            </w:r>
          </w:p>
        </w:tc>
      </w:tr>
      <w:tr w:rsidR="00A701BC" w:rsidRPr="00676CE7" w14:paraId="0ECDDAE2" w14:textId="77777777" w:rsidTr="00A82C7F">
        <w:trPr>
          <w:gridBefore w:val="1"/>
          <w:wBefore w:w="10" w:type="dxa"/>
        </w:trPr>
        <w:tc>
          <w:tcPr>
            <w:tcW w:w="1123" w:type="dxa"/>
          </w:tcPr>
          <w:p w14:paraId="50A21EC2" w14:textId="77777777" w:rsidR="00A701BC" w:rsidRPr="00676CE7" w:rsidRDefault="00A701BC" w:rsidP="0068247A">
            <w:pPr>
              <w:jc w:val="left"/>
              <w:rPr>
                <w:rFonts w:asciiTheme="minorBidi" w:hAnsiTheme="minorBidi" w:cstheme="minorBidi"/>
                <w:color w:val="000000"/>
                <w:sz w:val="18"/>
                <w:szCs w:val="18"/>
                <w:lang w:eastAsia="he-IL"/>
              </w:rPr>
            </w:pPr>
          </w:p>
        </w:tc>
        <w:tc>
          <w:tcPr>
            <w:tcW w:w="3498" w:type="dxa"/>
            <w:gridSpan w:val="2"/>
            <w:vAlign w:val="bottom"/>
          </w:tcPr>
          <w:p w14:paraId="7682D576" w14:textId="77777777" w:rsidR="00A701BC" w:rsidRPr="00676CE7" w:rsidRDefault="00A701BC" w:rsidP="0068247A">
            <w:pPr>
              <w:jc w:val="left"/>
              <w:rPr>
                <w:rFonts w:asciiTheme="minorBidi" w:hAnsiTheme="minorBidi" w:cstheme="minorBidi"/>
                <w:color w:val="000000"/>
                <w:sz w:val="18"/>
                <w:szCs w:val="18"/>
                <w:rtl/>
                <w:lang w:eastAsia="he-IL"/>
              </w:rPr>
            </w:pPr>
          </w:p>
        </w:tc>
        <w:tc>
          <w:tcPr>
            <w:tcW w:w="5576" w:type="dxa"/>
            <w:gridSpan w:val="9"/>
            <w:vAlign w:val="bottom"/>
          </w:tcPr>
          <w:p w14:paraId="1443F9AB" w14:textId="0E66E016" w:rsidR="00A701BC" w:rsidRPr="00676CE7" w:rsidRDefault="00A701BC" w:rsidP="00BC01B0">
            <w:pPr>
              <w:pBdr>
                <w:bottom w:val="single" w:sz="6" w:space="1" w:color="auto"/>
              </w:pBdr>
              <w:spacing w:before="40"/>
              <w:jc w:val="center"/>
              <w:rPr>
                <w:rFonts w:asciiTheme="minorBidi" w:hAnsiTheme="minorBidi" w:cstheme="minorBidi"/>
                <w:b/>
                <w:bCs/>
                <w:sz w:val="18"/>
                <w:szCs w:val="18"/>
                <w:rtl/>
              </w:rPr>
            </w:pPr>
            <w:r w:rsidRPr="00676CE7">
              <w:rPr>
                <w:rFonts w:asciiTheme="minorBidi" w:hAnsiTheme="minorBidi" w:cstheme="minorBidi"/>
                <w:b/>
                <w:bCs/>
                <w:sz w:val="18"/>
                <w:szCs w:val="18"/>
                <w:rtl/>
              </w:rPr>
              <w:t xml:space="preserve">לשלושה חודשים שהסתיימו ביום 30 ביוני </w:t>
            </w:r>
            <w:r w:rsidR="00380B8E" w:rsidRPr="00676CE7">
              <w:rPr>
                <w:rFonts w:asciiTheme="minorBidi" w:hAnsiTheme="minorBidi" w:cstheme="minorBidi"/>
                <w:b/>
                <w:bCs/>
                <w:sz w:val="18"/>
                <w:szCs w:val="18"/>
                <w:rtl/>
              </w:rPr>
              <w:fldChar w:fldCharType="begin"/>
            </w:r>
            <w:r w:rsidR="00380B8E" w:rsidRPr="00676CE7">
              <w:rPr>
                <w:rFonts w:asciiTheme="minorBidi" w:hAnsiTheme="minorBidi" w:cstheme="minorBidi"/>
                <w:b/>
                <w:bCs/>
                <w:sz w:val="18"/>
                <w:szCs w:val="18"/>
                <w:rtl/>
              </w:rPr>
              <w:instrText xml:space="preserve"> = </w:instrText>
            </w:r>
            <w:r w:rsidR="00380B8E" w:rsidRPr="00676CE7">
              <w:rPr>
                <w:rFonts w:asciiTheme="minorBidi" w:hAnsiTheme="minorBidi" w:cstheme="minorBidi"/>
                <w:b/>
                <w:bCs/>
                <w:sz w:val="18"/>
                <w:szCs w:val="18"/>
              </w:rPr>
              <w:instrText>CY \* MERGEFORMAT</w:instrText>
            </w:r>
            <w:r w:rsidR="00380B8E" w:rsidRPr="00676CE7">
              <w:rPr>
                <w:rFonts w:asciiTheme="minorBidi" w:hAnsiTheme="minorBidi" w:cstheme="minorBidi"/>
                <w:b/>
                <w:bCs/>
                <w:sz w:val="18"/>
                <w:szCs w:val="18"/>
                <w:rtl/>
              </w:rPr>
              <w:instrText xml:space="preserve"> </w:instrText>
            </w:r>
            <w:r w:rsidR="00380B8E" w:rsidRPr="00676CE7">
              <w:rPr>
                <w:rFonts w:asciiTheme="minorBidi" w:hAnsiTheme="minorBidi" w:cstheme="minorBidi"/>
                <w:b/>
                <w:bCs/>
                <w:sz w:val="18"/>
                <w:szCs w:val="18"/>
                <w:rtl/>
              </w:rPr>
              <w:fldChar w:fldCharType="separate"/>
            </w:r>
            <w:r w:rsidR="003A584F">
              <w:rPr>
                <w:rFonts w:asciiTheme="minorBidi" w:hAnsiTheme="minorBidi" w:cstheme="minorBidi"/>
                <w:b/>
                <w:bCs/>
                <w:noProof/>
                <w:sz w:val="18"/>
                <w:szCs w:val="18"/>
                <w:rtl/>
              </w:rPr>
              <w:t>2024</w:t>
            </w:r>
            <w:r w:rsidR="00380B8E" w:rsidRPr="00676CE7">
              <w:rPr>
                <w:rFonts w:asciiTheme="minorBidi" w:hAnsiTheme="minorBidi" w:cstheme="minorBidi"/>
                <w:b/>
                <w:bCs/>
                <w:sz w:val="18"/>
                <w:szCs w:val="18"/>
                <w:rtl/>
              </w:rPr>
              <w:fldChar w:fldCharType="end"/>
            </w:r>
            <w:r w:rsidR="00164582">
              <w:rPr>
                <w:rFonts w:asciiTheme="minorBidi" w:hAnsiTheme="minorBidi" w:cstheme="minorBidi" w:hint="cs"/>
                <w:b/>
                <w:bCs/>
                <w:sz w:val="18"/>
                <w:szCs w:val="18"/>
                <w:rtl/>
              </w:rPr>
              <w:t xml:space="preserve"> </w:t>
            </w:r>
            <w:r w:rsidR="00164582" w:rsidRPr="00164582">
              <w:rPr>
                <w:rFonts w:asciiTheme="minorBidi" w:hAnsiTheme="minorBidi" w:cstheme="minorBidi" w:hint="cs"/>
                <w:sz w:val="18"/>
                <w:szCs w:val="18"/>
                <w:rtl/>
              </w:rPr>
              <w:t>(</w:t>
            </w:r>
            <w:r w:rsidR="00164582" w:rsidRPr="00164582">
              <w:rPr>
                <w:rFonts w:asciiTheme="minorBidi" w:hAnsiTheme="minorBidi" w:cstheme="minorBidi"/>
                <w:sz w:val="18"/>
                <w:szCs w:val="18"/>
                <w:rtl/>
              </w:rPr>
              <w:t>בלתי מבוקר</w:t>
            </w:r>
            <w:r w:rsidR="00164582" w:rsidRPr="00164582">
              <w:rPr>
                <w:rFonts w:asciiTheme="minorBidi" w:hAnsiTheme="minorBidi" w:cstheme="minorBidi" w:hint="cs"/>
                <w:sz w:val="18"/>
                <w:szCs w:val="18"/>
                <w:rtl/>
              </w:rPr>
              <w:t>)</w:t>
            </w:r>
          </w:p>
        </w:tc>
      </w:tr>
      <w:tr w:rsidR="00676CE7" w:rsidRPr="00676CE7" w14:paraId="130F20BB" w14:textId="77777777" w:rsidTr="00A82C7F">
        <w:trPr>
          <w:gridBefore w:val="1"/>
          <w:wBefore w:w="10" w:type="dxa"/>
        </w:trPr>
        <w:tc>
          <w:tcPr>
            <w:tcW w:w="1123" w:type="dxa"/>
          </w:tcPr>
          <w:p w14:paraId="63A4CBD2" w14:textId="77777777" w:rsidR="00676CE7" w:rsidRPr="00676CE7" w:rsidRDefault="00676CE7" w:rsidP="0068247A">
            <w:pPr>
              <w:jc w:val="left"/>
              <w:rPr>
                <w:rFonts w:asciiTheme="minorBidi" w:hAnsiTheme="minorBidi" w:cstheme="minorBidi"/>
                <w:color w:val="000000"/>
                <w:sz w:val="18"/>
                <w:szCs w:val="18"/>
                <w:rtl/>
                <w:lang w:eastAsia="he-IL"/>
              </w:rPr>
            </w:pPr>
          </w:p>
        </w:tc>
        <w:tc>
          <w:tcPr>
            <w:tcW w:w="3498" w:type="dxa"/>
            <w:gridSpan w:val="2"/>
          </w:tcPr>
          <w:p w14:paraId="6A29AA31" w14:textId="77777777" w:rsidR="00676CE7" w:rsidRPr="00676CE7" w:rsidRDefault="00676CE7" w:rsidP="0068247A">
            <w:pPr>
              <w:ind w:left="144" w:hanging="144"/>
              <w:jc w:val="left"/>
              <w:rPr>
                <w:rFonts w:asciiTheme="minorBidi" w:hAnsiTheme="minorBidi" w:cstheme="minorBidi"/>
                <w:color w:val="000000"/>
                <w:sz w:val="18"/>
                <w:szCs w:val="18"/>
                <w:rtl/>
                <w:lang w:eastAsia="he-IL"/>
              </w:rPr>
            </w:pPr>
          </w:p>
        </w:tc>
        <w:tc>
          <w:tcPr>
            <w:tcW w:w="796" w:type="dxa"/>
            <w:vAlign w:val="bottom"/>
          </w:tcPr>
          <w:p w14:paraId="5B730B51" w14:textId="77777777" w:rsidR="00676CE7" w:rsidRPr="00676CE7" w:rsidRDefault="00676CE7" w:rsidP="00BC01B0">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1</w:t>
            </w:r>
          </w:p>
        </w:tc>
        <w:tc>
          <w:tcPr>
            <w:tcW w:w="796" w:type="dxa"/>
            <w:vAlign w:val="bottom"/>
          </w:tcPr>
          <w:p w14:paraId="67860362" w14:textId="77777777" w:rsidR="00676CE7" w:rsidRPr="00676CE7" w:rsidRDefault="00676CE7" w:rsidP="00BC01B0">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2</w:t>
            </w:r>
          </w:p>
        </w:tc>
        <w:tc>
          <w:tcPr>
            <w:tcW w:w="796" w:type="dxa"/>
            <w:vAlign w:val="bottom"/>
          </w:tcPr>
          <w:p w14:paraId="1B3CA217" w14:textId="77777777" w:rsidR="00676CE7" w:rsidRPr="00676CE7" w:rsidRDefault="00676CE7" w:rsidP="00BC01B0">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3</w:t>
            </w:r>
          </w:p>
        </w:tc>
        <w:tc>
          <w:tcPr>
            <w:tcW w:w="796" w:type="dxa"/>
            <w:vAlign w:val="bottom"/>
          </w:tcPr>
          <w:p w14:paraId="00231DE2" w14:textId="77777777" w:rsidR="00676CE7" w:rsidRPr="00676CE7" w:rsidRDefault="00676CE7" w:rsidP="00BC01B0">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4</w:t>
            </w:r>
          </w:p>
        </w:tc>
        <w:tc>
          <w:tcPr>
            <w:tcW w:w="796" w:type="dxa"/>
            <w:vAlign w:val="bottom"/>
          </w:tcPr>
          <w:p w14:paraId="5E3E0C31" w14:textId="77777777" w:rsidR="00676CE7" w:rsidRPr="00676CE7" w:rsidRDefault="00676CE7" w:rsidP="00BC01B0">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5</w:t>
            </w:r>
          </w:p>
        </w:tc>
        <w:tc>
          <w:tcPr>
            <w:tcW w:w="800" w:type="dxa"/>
            <w:vAlign w:val="bottom"/>
          </w:tcPr>
          <w:p w14:paraId="0D668A46" w14:textId="77777777" w:rsidR="00676CE7" w:rsidRPr="00676CE7" w:rsidRDefault="00676CE7" w:rsidP="00BC01B0">
            <w:pPr>
              <w:pBdr>
                <w:bottom w:val="single" w:sz="6" w:space="1" w:color="auto"/>
              </w:pBdr>
              <w:ind w:left="-28" w:right="-28"/>
              <w:jc w:val="center"/>
              <w:rPr>
                <w:rFonts w:asciiTheme="minorBidi" w:hAnsiTheme="minorBidi" w:cstheme="minorBidi"/>
                <w:b/>
                <w:bCs/>
                <w:sz w:val="18"/>
                <w:szCs w:val="18"/>
                <w:rtl/>
              </w:rPr>
            </w:pPr>
            <w:r w:rsidRPr="00676CE7">
              <w:rPr>
                <w:rFonts w:asciiTheme="minorBidi" w:hAnsiTheme="minorBidi" w:cstheme="minorBidi"/>
                <w:b/>
                <w:bCs/>
                <w:sz w:val="18"/>
                <w:szCs w:val="18"/>
                <w:rtl/>
              </w:rPr>
              <w:t>פעילויות אחרות</w:t>
            </w:r>
          </w:p>
        </w:tc>
        <w:tc>
          <w:tcPr>
            <w:tcW w:w="796" w:type="dxa"/>
            <w:gridSpan w:val="3"/>
            <w:vAlign w:val="bottom"/>
          </w:tcPr>
          <w:p w14:paraId="31D35275" w14:textId="77777777" w:rsidR="00676CE7" w:rsidRPr="00676CE7" w:rsidRDefault="00676CE7" w:rsidP="00BC01B0">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סה"כ</w:t>
            </w:r>
          </w:p>
        </w:tc>
      </w:tr>
      <w:tr w:rsidR="00164F8E" w:rsidRPr="00676CE7" w14:paraId="224EB716" w14:textId="77777777" w:rsidTr="00A82C7F">
        <w:trPr>
          <w:gridBefore w:val="1"/>
          <w:wBefore w:w="10" w:type="dxa"/>
        </w:trPr>
        <w:tc>
          <w:tcPr>
            <w:tcW w:w="1123" w:type="dxa"/>
          </w:tcPr>
          <w:p w14:paraId="6480D458" w14:textId="77777777" w:rsidR="00164F8E" w:rsidRPr="00676CE7" w:rsidRDefault="00164F8E" w:rsidP="0068247A">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03FD6BB1" w14:textId="77777777" w:rsidR="00164F8E" w:rsidRPr="00676CE7" w:rsidRDefault="00164F8E" w:rsidP="0068247A">
            <w:pPr>
              <w:tabs>
                <w:tab w:val="left" w:pos="237"/>
              </w:tabs>
              <w:spacing w:before="20"/>
              <w:ind w:firstLine="1"/>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הכנסות ריבית, נטו:</w:t>
            </w:r>
          </w:p>
        </w:tc>
        <w:tc>
          <w:tcPr>
            <w:tcW w:w="796" w:type="dxa"/>
            <w:vAlign w:val="bottom"/>
          </w:tcPr>
          <w:p w14:paraId="2C191063" w14:textId="77777777" w:rsidR="00164F8E" w:rsidRPr="00676CE7" w:rsidRDefault="00164F8E" w:rsidP="0068247A">
            <w:pPr>
              <w:spacing w:before="20"/>
              <w:jc w:val="left"/>
              <w:rPr>
                <w:rFonts w:asciiTheme="minorBidi" w:hAnsiTheme="minorBidi" w:cstheme="minorBidi"/>
                <w:sz w:val="18"/>
                <w:szCs w:val="18"/>
                <w:rtl/>
              </w:rPr>
            </w:pPr>
          </w:p>
        </w:tc>
        <w:tc>
          <w:tcPr>
            <w:tcW w:w="796" w:type="dxa"/>
            <w:vAlign w:val="bottom"/>
          </w:tcPr>
          <w:p w14:paraId="58966A73" w14:textId="77777777" w:rsidR="00164F8E" w:rsidRPr="00676CE7" w:rsidRDefault="00164F8E" w:rsidP="0068247A">
            <w:pPr>
              <w:spacing w:before="20"/>
              <w:jc w:val="left"/>
              <w:rPr>
                <w:rFonts w:asciiTheme="minorBidi" w:hAnsiTheme="minorBidi" w:cstheme="minorBidi"/>
                <w:sz w:val="18"/>
                <w:szCs w:val="18"/>
                <w:rtl/>
              </w:rPr>
            </w:pPr>
          </w:p>
        </w:tc>
        <w:tc>
          <w:tcPr>
            <w:tcW w:w="796" w:type="dxa"/>
            <w:vAlign w:val="bottom"/>
          </w:tcPr>
          <w:p w14:paraId="1D7E985E" w14:textId="77777777" w:rsidR="00164F8E" w:rsidRPr="00676CE7" w:rsidRDefault="00164F8E" w:rsidP="0068247A">
            <w:pPr>
              <w:spacing w:before="20"/>
              <w:jc w:val="left"/>
              <w:rPr>
                <w:rFonts w:asciiTheme="minorBidi" w:hAnsiTheme="minorBidi" w:cstheme="minorBidi"/>
                <w:sz w:val="18"/>
                <w:szCs w:val="18"/>
                <w:rtl/>
              </w:rPr>
            </w:pPr>
          </w:p>
        </w:tc>
        <w:tc>
          <w:tcPr>
            <w:tcW w:w="796" w:type="dxa"/>
            <w:vAlign w:val="bottom"/>
          </w:tcPr>
          <w:p w14:paraId="1CA818C8" w14:textId="77777777" w:rsidR="00164F8E" w:rsidRPr="00676CE7" w:rsidRDefault="00164F8E" w:rsidP="0068247A">
            <w:pPr>
              <w:spacing w:before="20"/>
              <w:jc w:val="left"/>
              <w:rPr>
                <w:rFonts w:asciiTheme="minorBidi" w:hAnsiTheme="minorBidi" w:cstheme="minorBidi"/>
                <w:sz w:val="18"/>
                <w:szCs w:val="18"/>
                <w:rtl/>
              </w:rPr>
            </w:pPr>
          </w:p>
        </w:tc>
        <w:tc>
          <w:tcPr>
            <w:tcW w:w="796" w:type="dxa"/>
            <w:vAlign w:val="bottom"/>
          </w:tcPr>
          <w:p w14:paraId="77CB60D5" w14:textId="77777777" w:rsidR="00164F8E" w:rsidRPr="00676CE7" w:rsidRDefault="00164F8E" w:rsidP="0068247A">
            <w:pPr>
              <w:spacing w:before="20"/>
              <w:jc w:val="left"/>
              <w:rPr>
                <w:rFonts w:asciiTheme="minorBidi" w:hAnsiTheme="minorBidi" w:cstheme="minorBidi"/>
                <w:sz w:val="18"/>
                <w:szCs w:val="18"/>
                <w:rtl/>
              </w:rPr>
            </w:pPr>
          </w:p>
        </w:tc>
        <w:tc>
          <w:tcPr>
            <w:tcW w:w="800" w:type="dxa"/>
            <w:vAlign w:val="bottom"/>
          </w:tcPr>
          <w:p w14:paraId="504EC3B7" w14:textId="77777777" w:rsidR="00164F8E" w:rsidRPr="00676CE7" w:rsidRDefault="00164F8E" w:rsidP="0068247A">
            <w:pPr>
              <w:spacing w:before="20"/>
              <w:jc w:val="left"/>
              <w:rPr>
                <w:rFonts w:asciiTheme="minorBidi" w:hAnsiTheme="minorBidi" w:cstheme="minorBidi"/>
                <w:sz w:val="18"/>
                <w:szCs w:val="18"/>
                <w:rtl/>
              </w:rPr>
            </w:pPr>
          </w:p>
        </w:tc>
        <w:tc>
          <w:tcPr>
            <w:tcW w:w="796" w:type="dxa"/>
            <w:gridSpan w:val="3"/>
            <w:vAlign w:val="bottom"/>
          </w:tcPr>
          <w:p w14:paraId="78B71287" w14:textId="77777777" w:rsidR="00164F8E" w:rsidRPr="00676CE7" w:rsidRDefault="00164F8E" w:rsidP="0068247A">
            <w:pPr>
              <w:spacing w:before="20"/>
              <w:jc w:val="left"/>
              <w:rPr>
                <w:rFonts w:asciiTheme="minorBidi" w:hAnsiTheme="minorBidi" w:cstheme="minorBidi"/>
                <w:sz w:val="18"/>
                <w:szCs w:val="18"/>
                <w:rtl/>
              </w:rPr>
            </w:pPr>
          </w:p>
        </w:tc>
      </w:tr>
      <w:tr w:rsidR="00164F8E" w:rsidRPr="00676CE7" w14:paraId="5FCD7B81" w14:textId="77777777" w:rsidTr="00A82C7F">
        <w:trPr>
          <w:gridBefore w:val="1"/>
          <w:wBefore w:w="10" w:type="dxa"/>
        </w:trPr>
        <w:tc>
          <w:tcPr>
            <w:tcW w:w="1123" w:type="dxa"/>
          </w:tcPr>
          <w:p w14:paraId="40D28C27" w14:textId="77777777" w:rsidR="00164F8E" w:rsidRPr="00676CE7" w:rsidRDefault="00164F8E" w:rsidP="0068247A">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7FF2EB49" w14:textId="77777777" w:rsidR="00164F8E" w:rsidRPr="00676CE7" w:rsidRDefault="00164F8E" w:rsidP="0091316C">
            <w:pPr>
              <w:spacing w:before="20"/>
              <w:ind w:left="170" w:firstLine="1"/>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מחיצוניים</w:t>
            </w:r>
          </w:p>
        </w:tc>
        <w:tc>
          <w:tcPr>
            <w:tcW w:w="796" w:type="dxa"/>
            <w:vAlign w:val="bottom"/>
          </w:tcPr>
          <w:p w14:paraId="25394FCC"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22B71DC0"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65FD2404"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3B5BA26B"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4572AB1A"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5B1AE22E"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3"/>
            <w:vAlign w:val="bottom"/>
          </w:tcPr>
          <w:p w14:paraId="3163E178"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164F8E" w:rsidRPr="00676CE7" w14:paraId="4FA45B0C" w14:textId="77777777" w:rsidTr="00A82C7F">
        <w:trPr>
          <w:gridBefore w:val="1"/>
          <w:wBefore w:w="10" w:type="dxa"/>
        </w:trPr>
        <w:tc>
          <w:tcPr>
            <w:tcW w:w="1123" w:type="dxa"/>
          </w:tcPr>
          <w:p w14:paraId="6907E591" w14:textId="77777777" w:rsidR="00164F8E" w:rsidRPr="00676CE7" w:rsidRDefault="00164F8E" w:rsidP="0068247A">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43DCF1B9" w14:textId="77777777" w:rsidR="00164F8E" w:rsidRPr="00676CE7" w:rsidRDefault="00164F8E" w:rsidP="0091316C">
            <w:pPr>
              <w:spacing w:before="20"/>
              <w:ind w:left="170" w:firstLine="1"/>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בינמגזרי</w:t>
            </w:r>
          </w:p>
        </w:tc>
        <w:tc>
          <w:tcPr>
            <w:tcW w:w="796" w:type="dxa"/>
            <w:vAlign w:val="bottom"/>
          </w:tcPr>
          <w:p w14:paraId="0E32158F"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3271D023"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534AA99A"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2595F72"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69AF84D5"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0D87D94A"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3"/>
            <w:vAlign w:val="bottom"/>
          </w:tcPr>
          <w:p w14:paraId="2FA7B3AA"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164F8E" w:rsidRPr="00676CE7" w14:paraId="293C042B" w14:textId="77777777" w:rsidTr="00A82C7F">
        <w:trPr>
          <w:gridBefore w:val="1"/>
          <w:wBefore w:w="10" w:type="dxa"/>
        </w:trPr>
        <w:tc>
          <w:tcPr>
            <w:tcW w:w="1123" w:type="dxa"/>
          </w:tcPr>
          <w:p w14:paraId="6F45B07A" w14:textId="77777777" w:rsidR="00164F8E" w:rsidRPr="00676CE7" w:rsidRDefault="00164F8E" w:rsidP="0068247A">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370F69E1" w14:textId="77777777" w:rsidR="00164F8E" w:rsidRPr="00676CE7" w:rsidRDefault="00164F8E" w:rsidP="0068247A">
            <w:pPr>
              <w:tabs>
                <w:tab w:val="left" w:pos="237"/>
              </w:tabs>
              <w:spacing w:before="20"/>
              <w:ind w:firstLine="1"/>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הכנסות שאינן מריבית:</w:t>
            </w:r>
          </w:p>
        </w:tc>
        <w:tc>
          <w:tcPr>
            <w:tcW w:w="796" w:type="dxa"/>
            <w:vAlign w:val="bottom"/>
          </w:tcPr>
          <w:p w14:paraId="655DC0B1" w14:textId="77777777" w:rsidR="00164F8E" w:rsidRPr="00676CE7" w:rsidRDefault="00164F8E" w:rsidP="0068247A">
            <w:pPr>
              <w:spacing w:before="20"/>
              <w:jc w:val="left"/>
              <w:rPr>
                <w:rFonts w:asciiTheme="minorBidi" w:hAnsiTheme="minorBidi" w:cstheme="minorBidi"/>
                <w:sz w:val="18"/>
                <w:szCs w:val="18"/>
                <w:rtl/>
              </w:rPr>
            </w:pPr>
          </w:p>
        </w:tc>
        <w:tc>
          <w:tcPr>
            <w:tcW w:w="796" w:type="dxa"/>
            <w:vAlign w:val="bottom"/>
          </w:tcPr>
          <w:p w14:paraId="58B62BFA" w14:textId="77777777" w:rsidR="00164F8E" w:rsidRPr="00676CE7" w:rsidRDefault="00164F8E" w:rsidP="0068247A">
            <w:pPr>
              <w:spacing w:before="20"/>
              <w:jc w:val="left"/>
              <w:rPr>
                <w:rFonts w:asciiTheme="minorBidi" w:hAnsiTheme="minorBidi" w:cstheme="minorBidi"/>
                <w:sz w:val="18"/>
                <w:szCs w:val="18"/>
                <w:rtl/>
              </w:rPr>
            </w:pPr>
          </w:p>
        </w:tc>
        <w:tc>
          <w:tcPr>
            <w:tcW w:w="796" w:type="dxa"/>
            <w:vAlign w:val="bottom"/>
          </w:tcPr>
          <w:p w14:paraId="5FC20251" w14:textId="77777777" w:rsidR="00164F8E" w:rsidRPr="00676CE7" w:rsidRDefault="00164F8E" w:rsidP="0068247A">
            <w:pPr>
              <w:spacing w:before="20"/>
              <w:jc w:val="left"/>
              <w:rPr>
                <w:rFonts w:asciiTheme="minorBidi" w:hAnsiTheme="minorBidi" w:cstheme="minorBidi"/>
                <w:sz w:val="18"/>
                <w:szCs w:val="18"/>
                <w:rtl/>
              </w:rPr>
            </w:pPr>
          </w:p>
        </w:tc>
        <w:tc>
          <w:tcPr>
            <w:tcW w:w="796" w:type="dxa"/>
            <w:vAlign w:val="bottom"/>
          </w:tcPr>
          <w:p w14:paraId="30DFB7DE" w14:textId="77777777" w:rsidR="00164F8E" w:rsidRPr="00676CE7" w:rsidRDefault="00164F8E" w:rsidP="0068247A">
            <w:pPr>
              <w:spacing w:before="20"/>
              <w:jc w:val="left"/>
              <w:rPr>
                <w:rFonts w:asciiTheme="minorBidi" w:hAnsiTheme="minorBidi" w:cstheme="minorBidi"/>
                <w:sz w:val="18"/>
                <w:szCs w:val="18"/>
                <w:rtl/>
              </w:rPr>
            </w:pPr>
          </w:p>
        </w:tc>
        <w:tc>
          <w:tcPr>
            <w:tcW w:w="796" w:type="dxa"/>
            <w:vAlign w:val="bottom"/>
          </w:tcPr>
          <w:p w14:paraId="119D7C58" w14:textId="77777777" w:rsidR="00164F8E" w:rsidRPr="00676CE7" w:rsidRDefault="00164F8E" w:rsidP="0068247A">
            <w:pPr>
              <w:spacing w:before="20"/>
              <w:jc w:val="left"/>
              <w:rPr>
                <w:rFonts w:asciiTheme="minorBidi" w:hAnsiTheme="minorBidi" w:cstheme="minorBidi"/>
                <w:sz w:val="18"/>
                <w:szCs w:val="18"/>
                <w:rtl/>
              </w:rPr>
            </w:pPr>
          </w:p>
        </w:tc>
        <w:tc>
          <w:tcPr>
            <w:tcW w:w="800" w:type="dxa"/>
            <w:vAlign w:val="bottom"/>
          </w:tcPr>
          <w:p w14:paraId="61B7F463" w14:textId="77777777" w:rsidR="00164F8E" w:rsidRPr="00676CE7" w:rsidRDefault="00164F8E" w:rsidP="0068247A">
            <w:pPr>
              <w:spacing w:before="20"/>
              <w:jc w:val="left"/>
              <w:rPr>
                <w:rFonts w:asciiTheme="minorBidi" w:hAnsiTheme="minorBidi" w:cstheme="minorBidi"/>
                <w:sz w:val="18"/>
                <w:szCs w:val="18"/>
                <w:rtl/>
              </w:rPr>
            </w:pPr>
          </w:p>
        </w:tc>
        <w:tc>
          <w:tcPr>
            <w:tcW w:w="796" w:type="dxa"/>
            <w:gridSpan w:val="3"/>
            <w:vAlign w:val="bottom"/>
          </w:tcPr>
          <w:p w14:paraId="6927718C" w14:textId="77777777" w:rsidR="00164F8E" w:rsidRPr="00676CE7" w:rsidRDefault="00164F8E" w:rsidP="0068247A">
            <w:pPr>
              <w:spacing w:before="20"/>
              <w:jc w:val="left"/>
              <w:rPr>
                <w:rFonts w:asciiTheme="minorBidi" w:hAnsiTheme="minorBidi" w:cstheme="minorBidi"/>
                <w:sz w:val="18"/>
                <w:szCs w:val="18"/>
                <w:rtl/>
              </w:rPr>
            </w:pPr>
          </w:p>
        </w:tc>
      </w:tr>
      <w:tr w:rsidR="00164F8E" w:rsidRPr="00676CE7" w14:paraId="2ACB3BE3" w14:textId="77777777" w:rsidTr="00A82C7F">
        <w:trPr>
          <w:gridBefore w:val="1"/>
          <w:wBefore w:w="10" w:type="dxa"/>
        </w:trPr>
        <w:tc>
          <w:tcPr>
            <w:tcW w:w="1123" w:type="dxa"/>
          </w:tcPr>
          <w:p w14:paraId="7E78A635" w14:textId="77777777" w:rsidR="00164F8E" w:rsidRPr="00676CE7" w:rsidRDefault="00164F8E" w:rsidP="0068247A">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44559972" w14:textId="77777777" w:rsidR="00164F8E" w:rsidRPr="00676CE7" w:rsidRDefault="00164F8E" w:rsidP="0091316C">
            <w:pPr>
              <w:spacing w:before="20"/>
              <w:ind w:left="170" w:firstLine="1"/>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מחיצוניים</w:t>
            </w:r>
          </w:p>
        </w:tc>
        <w:tc>
          <w:tcPr>
            <w:tcW w:w="796" w:type="dxa"/>
            <w:vAlign w:val="bottom"/>
          </w:tcPr>
          <w:p w14:paraId="22EC7485"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643EDE71"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5AE883DE"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2517CE4A"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1D51C347"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64BD3ED3"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3"/>
            <w:vAlign w:val="bottom"/>
          </w:tcPr>
          <w:p w14:paraId="4B202228" w14:textId="77777777" w:rsidR="00164F8E" w:rsidRPr="00676CE7" w:rsidRDefault="00164F8E" w:rsidP="0068247A">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164F8E" w:rsidRPr="00676CE7" w14:paraId="517069A6" w14:textId="77777777" w:rsidTr="00A82C7F">
        <w:trPr>
          <w:gridBefore w:val="1"/>
          <w:wBefore w:w="10" w:type="dxa"/>
        </w:trPr>
        <w:tc>
          <w:tcPr>
            <w:tcW w:w="1123" w:type="dxa"/>
          </w:tcPr>
          <w:p w14:paraId="51C547C2" w14:textId="77777777" w:rsidR="00164F8E" w:rsidRPr="00676CE7" w:rsidRDefault="00164F8E" w:rsidP="0068247A">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06A83936" w14:textId="77777777" w:rsidR="00164F8E" w:rsidRPr="00676CE7" w:rsidRDefault="00164F8E" w:rsidP="0091316C">
            <w:pPr>
              <w:spacing w:before="20"/>
              <w:ind w:left="170" w:firstLine="1"/>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בינמגזרי</w:t>
            </w:r>
          </w:p>
        </w:tc>
        <w:tc>
          <w:tcPr>
            <w:tcW w:w="796" w:type="dxa"/>
            <w:vAlign w:val="bottom"/>
          </w:tcPr>
          <w:p w14:paraId="7EA77F1E" w14:textId="77777777" w:rsidR="00164F8E" w:rsidRPr="00676CE7" w:rsidRDefault="00164F8E" w:rsidP="0068247A">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AC48C12" w14:textId="77777777" w:rsidR="00164F8E" w:rsidRPr="00676CE7" w:rsidRDefault="00164F8E" w:rsidP="0068247A">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613E7736" w14:textId="77777777" w:rsidR="00164F8E" w:rsidRPr="00676CE7" w:rsidRDefault="00164F8E" w:rsidP="0068247A">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34704961" w14:textId="77777777" w:rsidR="00164F8E" w:rsidRPr="00676CE7" w:rsidRDefault="00164F8E" w:rsidP="0068247A">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52BBE441" w14:textId="77777777" w:rsidR="00164F8E" w:rsidRPr="00676CE7" w:rsidRDefault="00164F8E" w:rsidP="0068247A">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0D307F89" w14:textId="77777777" w:rsidR="00164F8E" w:rsidRPr="00676CE7" w:rsidRDefault="00164F8E" w:rsidP="0068247A">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3"/>
            <w:vAlign w:val="bottom"/>
          </w:tcPr>
          <w:p w14:paraId="18997028" w14:textId="77777777" w:rsidR="00164F8E" w:rsidRPr="00676CE7" w:rsidRDefault="00164F8E" w:rsidP="0068247A">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164F8E" w:rsidRPr="00676CE7" w14:paraId="7C6CD42A" w14:textId="77777777" w:rsidTr="00A82C7F">
        <w:trPr>
          <w:gridBefore w:val="1"/>
          <w:wBefore w:w="10" w:type="dxa"/>
        </w:trPr>
        <w:tc>
          <w:tcPr>
            <w:tcW w:w="1123" w:type="dxa"/>
          </w:tcPr>
          <w:p w14:paraId="6091EB35" w14:textId="13DE9BE3" w:rsidR="00164F8E" w:rsidRPr="00676CE7" w:rsidRDefault="00164F8E" w:rsidP="0068247A">
            <w:pPr>
              <w:spacing w:before="20" w:line="241" w:lineRule="auto"/>
              <w:ind w:firstLine="1"/>
              <w:jc w:val="left"/>
              <w:rPr>
                <w:rFonts w:asciiTheme="minorBidi" w:hAnsiTheme="minorBidi" w:cstheme="minorBidi"/>
                <w:strike/>
                <w:color w:val="000000"/>
                <w:sz w:val="18"/>
                <w:szCs w:val="18"/>
                <w:rtl/>
                <w:lang w:eastAsia="he-IL"/>
              </w:rPr>
            </w:pPr>
          </w:p>
        </w:tc>
        <w:tc>
          <w:tcPr>
            <w:tcW w:w="3498" w:type="dxa"/>
            <w:gridSpan w:val="2"/>
          </w:tcPr>
          <w:p w14:paraId="69FEAA52" w14:textId="77777777" w:rsidR="00164F8E" w:rsidRPr="00676CE7" w:rsidRDefault="00164F8E" w:rsidP="0068247A">
            <w:pPr>
              <w:spacing w:before="20"/>
              <w:ind w:firstLine="1"/>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סך הכנסות</w:t>
            </w:r>
          </w:p>
        </w:tc>
        <w:tc>
          <w:tcPr>
            <w:tcW w:w="796" w:type="dxa"/>
            <w:vAlign w:val="bottom"/>
          </w:tcPr>
          <w:p w14:paraId="69D8EFF7" w14:textId="77777777" w:rsidR="00164F8E" w:rsidRPr="00676CE7" w:rsidRDefault="00164F8E" w:rsidP="0068247A">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427AD150" w14:textId="77777777" w:rsidR="00164F8E" w:rsidRPr="00676CE7" w:rsidRDefault="00164F8E" w:rsidP="0068247A">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CBCCA31" w14:textId="77777777" w:rsidR="00164F8E" w:rsidRPr="00676CE7" w:rsidRDefault="00164F8E" w:rsidP="0068247A">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1A5BBB9" w14:textId="77777777" w:rsidR="00164F8E" w:rsidRPr="00676CE7" w:rsidRDefault="00164F8E" w:rsidP="0068247A">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E1FA735" w14:textId="77777777" w:rsidR="00164F8E" w:rsidRPr="00676CE7" w:rsidRDefault="00164F8E" w:rsidP="0068247A">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1F5E97F6" w14:textId="77777777" w:rsidR="00164F8E" w:rsidRPr="00676CE7" w:rsidRDefault="00164F8E" w:rsidP="0068247A">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3"/>
            <w:vAlign w:val="bottom"/>
          </w:tcPr>
          <w:p w14:paraId="0AF88E04" w14:textId="77777777" w:rsidR="00164F8E" w:rsidRPr="00676CE7" w:rsidRDefault="00164F8E" w:rsidP="0068247A">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A701BC" w:rsidRPr="00676CE7" w14:paraId="741B62CB" w14:textId="77777777" w:rsidTr="00A82C7F">
        <w:trPr>
          <w:gridBefore w:val="1"/>
          <w:wBefore w:w="10" w:type="dxa"/>
        </w:trPr>
        <w:tc>
          <w:tcPr>
            <w:tcW w:w="1123" w:type="dxa"/>
          </w:tcPr>
          <w:p w14:paraId="76144F9B" w14:textId="77777777" w:rsidR="00A701BC" w:rsidRPr="00676CE7" w:rsidRDefault="00A701BC" w:rsidP="0068247A">
            <w:pPr>
              <w:spacing w:line="120" w:lineRule="exact"/>
              <w:jc w:val="left"/>
              <w:rPr>
                <w:rFonts w:asciiTheme="minorBidi" w:hAnsiTheme="minorBidi" w:cstheme="minorBidi"/>
                <w:color w:val="000000"/>
                <w:sz w:val="18"/>
                <w:szCs w:val="18"/>
                <w:rtl/>
                <w:lang w:eastAsia="he-IL"/>
              </w:rPr>
            </w:pPr>
          </w:p>
        </w:tc>
        <w:tc>
          <w:tcPr>
            <w:tcW w:w="918" w:type="dxa"/>
          </w:tcPr>
          <w:p w14:paraId="043EF35C" w14:textId="77777777" w:rsidR="00A701BC" w:rsidRPr="00676CE7" w:rsidRDefault="00A701BC" w:rsidP="0068247A">
            <w:pPr>
              <w:spacing w:line="120" w:lineRule="exact"/>
              <w:ind w:firstLine="1"/>
              <w:jc w:val="left"/>
              <w:rPr>
                <w:rFonts w:asciiTheme="minorBidi" w:hAnsiTheme="minorBidi" w:cstheme="minorBidi"/>
                <w:color w:val="000000"/>
                <w:sz w:val="18"/>
                <w:szCs w:val="18"/>
                <w:rtl/>
                <w:lang w:eastAsia="he-IL"/>
              </w:rPr>
            </w:pPr>
          </w:p>
        </w:tc>
        <w:tc>
          <w:tcPr>
            <w:tcW w:w="2580" w:type="dxa"/>
            <w:tcBorders>
              <w:left w:val="nil"/>
            </w:tcBorders>
          </w:tcPr>
          <w:p w14:paraId="7E0AC23F" w14:textId="77777777" w:rsidR="00A701BC" w:rsidRPr="00676CE7" w:rsidRDefault="00A701BC" w:rsidP="0068247A">
            <w:pPr>
              <w:spacing w:line="120" w:lineRule="exact"/>
              <w:ind w:firstLine="1"/>
              <w:jc w:val="left"/>
              <w:rPr>
                <w:rFonts w:asciiTheme="minorBidi" w:hAnsiTheme="minorBidi" w:cstheme="minorBidi"/>
                <w:color w:val="000000"/>
                <w:sz w:val="18"/>
                <w:szCs w:val="18"/>
                <w:rtl/>
                <w:lang w:eastAsia="he-IL"/>
              </w:rPr>
            </w:pPr>
          </w:p>
        </w:tc>
        <w:tc>
          <w:tcPr>
            <w:tcW w:w="796" w:type="dxa"/>
            <w:vAlign w:val="bottom"/>
          </w:tcPr>
          <w:p w14:paraId="7DCAE311" w14:textId="77777777" w:rsidR="00A701BC" w:rsidRPr="00676CE7" w:rsidRDefault="00A701BC" w:rsidP="0068247A">
            <w:pPr>
              <w:spacing w:line="120" w:lineRule="exact"/>
              <w:jc w:val="left"/>
              <w:rPr>
                <w:rFonts w:asciiTheme="minorBidi" w:hAnsiTheme="minorBidi" w:cstheme="minorBidi"/>
                <w:sz w:val="18"/>
                <w:szCs w:val="18"/>
                <w:rtl/>
              </w:rPr>
            </w:pPr>
          </w:p>
        </w:tc>
        <w:tc>
          <w:tcPr>
            <w:tcW w:w="796" w:type="dxa"/>
            <w:vAlign w:val="bottom"/>
          </w:tcPr>
          <w:p w14:paraId="6B7610DD" w14:textId="77777777" w:rsidR="00A701BC" w:rsidRPr="00676CE7" w:rsidRDefault="00A701BC" w:rsidP="0068247A">
            <w:pPr>
              <w:spacing w:line="120" w:lineRule="exact"/>
              <w:jc w:val="left"/>
              <w:rPr>
                <w:rFonts w:asciiTheme="minorBidi" w:hAnsiTheme="minorBidi" w:cstheme="minorBidi"/>
                <w:sz w:val="18"/>
                <w:szCs w:val="18"/>
                <w:rtl/>
              </w:rPr>
            </w:pPr>
          </w:p>
        </w:tc>
        <w:tc>
          <w:tcPr>
            <w:tcW w:w="796" w:type="dxa"/>
            <w:vAlign w:val="bottom"/>
          </w:tcPr>
          <w:p w14:paraId="2B71DAB5" w14:textId="77777777" w:rsidR="00A701BC" w:rsidRPr="00676CE7" w:rsidRDefault="00A701BC" w:rsidP="0068247A">
            <w:pPr>
              <w:spacing w:line="120" w:lineRule="exact"/>
              <w:jc w:val="left"/>
              <w:rPr>
                <w:rFonts w:asciiTheme="minorBidi" w:hAnsiTheme="minorBidi" w:cstheme="minorBidi"/>
                <w:sz w:val="18"/>
                <w:szCs w:val="18"/>
                <w:rtl/>
              </w:rPr>
            </w:pPr>
          </w:p>
        </w:tc>
        <w:tc>
          <w:tcPr>
            <w:tcW w:w="796" w:type="dxa"/>
            <w:vAlign w:val="bottom"/>
          </w:tcPr>
          <w:p w14:paraId="49E0254C" w14:textId="77777777" w:rsidR="00A701BC" w:rsidRPr="00676CE7" w:rsidRDefault="00A701BC" w:rsidP="0068247A">
            <w:pPr>
              <w:spacing w:line="120" w:lineRule="exact"/>
              <w:jc w:val="left"/>
              <w:rPr>
                <w:rFonts w:asciiTheme="minorBidi" w:hAnsiTheme="minorBidi" w:cstheme="minorBidi"/>
                <w:sz w:val="18"/>
                <w:szCs w:val="18"/>
                <w:rtl/>
              </w:rPr>
            </w:pPr>
          </w:p>
        </w:tc>
        <w:tc>
          <w:tcPr>
            <w:tcW w:w="796" w:type="dxa"/>
            <w:vAlign w:val="bottom"/>
          </w:tcPr>
          <w:p w14:paraId="3703C2C1" w14:textId="77777777" w:rsidR="00A701BC" w:rsidRPr="00676CE7" w:rsidRDefault="00A701BC" w:rsidP="0068247A">
            <w:pPr>
              <w:spacing w:line="120" w:lineRule="exact"/>
              <w:jc w:val="left"/>
              <w:rPr>
                <w:rFonts w:asciiTheme="minorBidi" w:hAnsiTheme="minorBidi" w:cstheme="minorBidi"/>
                <w:sz w:val="18"/>
                <w:szCs w:val="18"/>
                <w:rtl/>
              </w:rPr>
            </w:pPr>
          </w:p>
        </w:tc>
        <w:tc>
          <w:tcPr>
            <w:tcW w:w="800" w:type="dxa"/>
            <w:vAlign w:val="bottom"/>
          </w:tcPr>
          <w:p w14:paraId="26534067" w14:textId="77777777" w:rsidR="00A701BC" w:rsidRPr="00676CE7" w:rsidRDefault="00A701BC" w:rsidP="0068247A">
            <w:pPr>
              <w:spacing w:line="120" w:lineRule="exact"/>
              <w:jc w:val="left"/>
              <w:rPr>
                <w:rFonts w:asciiTheme="minorBidi" w:hAnsiTheme="minorBidi" w:cstheme="minorBidi"/>
                <w:sz w:val="18"/>
                <w:szCs w:val="18"/>
                <w:rtl/>
              </w:rPr>
            </w:pPr>
          </w:p>
        </w:tc>
        <w:tc>
          <w:tcPr>
            <w:tcW w:w="796" w:type="dxa"/>
            <w:gridSpan w:val="3"/>
            <w:vAlign w:val="bottom"/>
          </w:tcPr>
          <w:p w14:paraId="62DA8489" w14:textId="77777777" w:rsidR="00A701BC" w:rsidRPr="00676CE7" w:rsidRDefault="00A701BC" w:rsidP="0068247A">
            <w:pPr>
              <w:spacing w:line="120" w:lineRule="exact"/>
              <w:jc w:val="left"/>
              <w:rPr>
                <w:rFonts w:asciiTheme="minorBidi" w:hAnsiTheme="minorBidi" w:cstheme="minorBidi"/>
                <w:sz w:val="18"/>
                <w:szCs w:val="18"/>
                <w:rtl/>
              </w:rPr>
            </w:pPr>
          </w:p>
        </w:tc>
      </w:tr>
      <w:tr w:rsidR="00164F8E" w:rsidRPr="00676CE7" w14:paraId="67F287C3" w14:textId="77777777" w:rsidTr="00A82C7F">
        <w:trPr>
          <w:gridBefore w:val="1"/>
          <w:wBefore w:w="10" w:type="dxa"/>
        </w:trPr>
        <w:tc>
          <w:tcPr>
            <w:tcW w:w="1123" w:type="dxa"/>
          </w:tcPr>
          <w:p w14:paraId="59A9FC95" w14:textId="77777777" w:rsidR="00164F8E" w:rsidRPr="00676CE7" w:rsidRDefault="00164F8E" w:rsidP="0068247A">
            <w:pPr>
              <w:tabs>
                <w:tab w:val="left" w:pos="237"/>
              </w:tabs>
              <w:spacing w:before="20" w:line="241" w:lineRule="auto"/>
              <w:ind w:firstLine="1"/>
              <w:jc w:val="left"/>
              <w:rPr>
                <w:rFonts w:asciiTheme="minorBidi" w:hAnsiTheme="minorBidi" w:cstheme="minorBidi"/>
                <w:color w:val="000000"/>
                <w:sz w:val="18"/>
                <w:szCs w:val="18"/>
                <w:rtl/>
                <w:lang w:eastAsia="he-IL"/>
              </w:rPr>
            </w:pPr>
          </w:p>
        </w:tc>
        <w:tc>
          <w:tcPr>
            <w:tcW w:w="3498" w:type="dxa"/>
            <w:gridSpan w:val="2"/>
          </w:tcPr>
          <w:p w14:paraId="19A8AB14" w14:textId="77777777" w:rsidR="00164F8E" w:rsidRPr="00676CE7" w:rsidRDefault="00164F8E" w:rsidP="0068247A">
            <w:pPr>
              <w:tabs>
                <w:tab w:val="left" w:pos="237"/>
              </w:tabs>
              <w:spacing w:before="20" w:line="241" w:lineRule="auto"/>
              <w:ind w:firstLine="1"/>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הוצאות בגין הפסדי אשראי</w:t>
            </w:r>
          </w:p>
        </w:tc>
        <w:tc>
          <w:tcPr>
            <w:tcW w:w="796" w:type="dxa"/>
            <w:vAlign w:val="bottom"/>
          </w:tcPr>
          <w:p w14:paraId="76B7DBC7" w14:textId="77777777" w:rsidR="00164F8E" w:rsidRPr="00676CE7" w:rsidRDefault="00164F8E" w:rsidP="0068247A">
            <w:pP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0677665F" w14:textId="77777777" w:rsidR="00164F8E" w:rsidRPr="00676CE7" w:rsidRDefault="00164F8E" w:rsidP="0068247A">
            <w:pP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2D9EEE67" w14:textId="77777777" w:rsidR="00164F8E" w:rsidRPr="00676CE7" w:rsidRDefault="00164F8E" w:rsidP="0068247A">
            <w:pP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452CBF7B" w14:textId="77777777" w:rsidR="00164F8E" w:rsidRPr="00676CE7" w:rsidRDefault="00164F8E" w:rsidP="0068247A">
            <w:pP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60BAB842" w14:textId="77777777" w:rsidR="00164F8E" w:rsidRPr="00676CE7" w:rsidRDefault="00164F8E" w:rsidP="0068247A">
            <w:pP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763BAF5D" w14:textId="77777777" w:rsidR="00164F8E" w:rsidRPr="00676CE7" w:rsidRDefault="00164F8E" w:rsidP="0068247A">
            <w:pP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3"/>
            <w:vAlign w:val="bottom"/>
          </w:tcPr>
          <w:p w14:paraId="6AC3787F" w14:textId="77777777" w:rsidR="00164F8E" w:rsidRPr="00676CE7" w:rsidRDefault="00164F8E" w:rsidP="0068247A">
            <w:pP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164F8E" w:rsidRPr="00676CE7" w14:paraId="4B83D7EC" w14:textId="77777777" w:rsidTr="00A82C7F">
        <w:trPr>
          <w:gridBefore w:val="1"/>
          <w:wBefore w:w="10" w:type="dxa"/>
        </w:trPr>
        <w:tc>
          <w:tcPr>
            <w:tcW w:w="1123" w:type="dxa"/>
          </w:tcPr>
          <w:p w14:paraId="5E4F25B2" w14:textId="77777777" w:rsidR="00164F8E" w:rsidRPr="00676CE7" w:rsidRDefault="00164F8E" w:rsidP="0068247A">
            <w:pPr>
              <w:spacing w:before="20" w:line="241" w:lineRule="auto"/>
              <w:ind w:firstLine="1"/>
              <w:jc w:val="left"/>
              <w:rPr>
                <w:rFonts w:asciiTheme="minorBidi" w:hAnsiTheme="minorBidi" w:cstheme="minorBidi"/>
                <w:color w:val="000000"/>
                <w:sz w:val="18"/>
                <w:szCs w:val="18"/>
                <w:rtl/>
                <w:lang w:eastAsia="he-IL"/>
              </w:rPr>
            </w:pPr>
          </w:p>
        </w:tc>
        <w:tc>
          <w:tcPr>
            <w:tcW w:w="3498" w:type="dxa"/>
            <w:gridSpan w:val="2"/>
          </w:tcPr>
          <w:p w14:paraId="6D1C92CA" w14:textId="0DD33AF4" w:rsidR="00164F8E" w:rsidRPr="00676CE7" w:rsidRDefault="00164F8E" w:rsidP="00506D77">
            <w:pPr>
              <w:spacing w:before="20" w:line="241" w:lineRule="auto"/>
              <w:ind w:left="117" w:hanging="116"/>
              <w:jc w:val="left"/>
              <w:rPr>
                <w:rFonts w:asciiTheme="minorBidi" w:hAnsiTheme="minorBidi" w:cstheme="minorBidi"/>
                <w:b/>
                <w:bCs/>
                <w:color w:val="000000"/>
                <w:sz w:val="18"/>
                <w:szCs w:val="18"/>
                <w:rtl/>
                <w:lang w:eastAsia="he-IL"/>
              </w:rPr>
            </w:pPr>
            <w:r w:rsidRPr="00676CE7">
              <w:rPr>
                <w:rFonts w:asciiTheme="minorBidi" w:hAnsiTheme="minorBidi" w:cstheme="minorBidi"/>
                <w:color w:val="000000"/>
                <w:sz w:val="18"/>
                <w:szCs w:val="18"/>
                <w:rtl/>
                <w:lang w:eastAsia="he-IL"/>
              </w:rPr>
              <w:t>הוצאות תפעוליות ואחרות</w:t>
            </w:r>
          </w:p>
        </w:tc>
        <w:tc>
          <w:tcPr>
            <w:tcW w:w="796" w:type="dxa"/>
            <w:vAlign w:val="bottom"/>
          </w:tcPr>
          <w:p w14:paraId="7C3845B1" w14:textId="77777777" w:rsidR="00164F8E" w:rsidRPr="00676CE7" w:rsidRDefault="00164F8E" w:rsidP="0068247A">
            <w:pPr>
              <w:pBdr>
                <w:bottom w:val="single" w:sz="4" w:space="1" w:color="auto"/>
              </w:pBd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15D69050" w14:textId="77777777" w:rsidR="00164F8E" w:rsidRPr="00676CE7" w:rsidRDefault="00164F8E" w:rsidP="0068247A">
            <w:pPr>
              <w:pBdr>
                <w:bottom w:val="single" w:sz="4" w:space="1" w:color="auto"/>
              </w:pBd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636B0E06" w14:textId="77777777" w:rsidR="00164F8E" w:rsidRPr="00676CE7" w:rsidRDefault="00164F8E" w:rsidP="0068247A">
            <w:pPr>
              <w:pBdr>
                <w:bottom w:val="single" w:sz="4" w:space="1" w:color="auto"/>
              </w:pBd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1D05E887" w14:textId="77777777" w:rsidR="00164F8E" w:rsidRPr="00676CE7" w:rsidRDefault="00164F8E" w:rsidP="0068247A">
            <w:pPr>
              <w:pBdr>
                <w:bottom w:val="single" w:sz="4" w:space="1" w:color="auto"/>
              </w:pBd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06B64F8C" w14:textId="77777777" w:rsidR="00164F8E" w:rsidRPr="00676CE7" w:rsidRDefault="00164F8E" w:rsidP="0068247A">
            <w:pPr>
              <w:pBdr>
                <w:bottom w:val="single" w:sz="4" w:space="1" w:color="auto"/>
              </w:pBd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1B1672CC" w14:textId="77777777" w:rsidR="00164F8E" w:rsidRPr="00676CE7" w:rsidRDefault="00164F8E" w:rsidP="0068247A">
            <w:pPr>
              <w:pBdr>
                <w:bottom w:val="single" w:sz="4" w:space="1" w:color="auto"/>
              </w:pBd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3"/>
            <w:vAlign w:val="bottom"/>
          </w:tcPr>
          <w:p w14:paraId="473EB3C8" w14:textId="77777777" w:rsidR="00164F8E" w:rsidRPr="00676CE7" w:rsidRDefault="00164F8E" w:rsidP="0068247A">
            <w:pPr>
              <w:pBdr>
                <w:bottom w:val="single" w:sz="4" w:space="1" w:color="auto"/>
              </w:pBd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A701BC" w:rsidRPr="00676CE7" w14:paraId="2B36D40C" w14:textId="77777777" w:rsidTr="00A82C7F">
        <w:trPr>
          <w:gridBefore w:val="1"/>
          <w:wBefore w:w="10" w:type="dxa"/>
        </w:trPr>
        <w:tc>
          <w:tcPr>
            <w:tcW w:w="1123" w:type="dxa"/>
          </w:tcPr>
          <w:p w14:paraId="1BFF5187" w14:textId="77777777" w:rsidR="00A701BC" w:rsidRPr="00676CE7" w:rsidRDefault="00A701BC" w:rsidP="0068247A">
            <w:pPr>
              <w:spacing w:line="120" w:lineRule="exact"/>
              <w:jc w:val="left"/>
              <w:rPr>
                <w:rFonts w:asciiTheme="minorBidi" w:hAnsiTheme="minorBidi" w:cstheme="minorBidi"/>
                <w:color w:val="000000"/>
                <w:sz w:val="18"/>
                <w:szCs w:val="18"/>
                <w:rtl/>
                <w:lang w:eastAsia="he-IL"/>
              </w:rPr>
            </w:pPr>
          </w:p>
        </w:tc>
        <w:tc>
          <w:tcPr>
            <w:tcW w:w="918" w:type="dxa"/>
          </w:tcPr>
          <w:p w14:paraId="2CE764E3" w14:textId="77777777" w:rsidR="00A701BC" w:rsidRPr="00676CE7" w:rsidRDefault="00A701BC" w:rsidP="0068247A">
            <w:pPr>
              <w:spacing w:line="120" w:lineRule="exact"/>
              <w:ind w:firstLine="1"/>
              <w:jc w:val="left"/>
              <w:rPr>
                <w:rFonts w:asciiTheme="minorBidi" w:hAnsiTheme="minorBidi" w:cstheme="minorBidi"/>
                <w:color w:val="000000"/>
                <w:sz w:val="18"/>
                <w:szCs w:val="18"/>
                <w:rtl/>
                <w:lang w:eastAsia="he-IL"/>
              </w:rPr>
            </w:pPr>
          </w:p>
        </w:tc>
        <w:tc>
          <w:tcPr>
            <w:tcW w:w="2580" w:type="dxa"/>
            <w:tcBorders>
              <w:left w:val="nil"/>
            </w:tcBorders>
          </w:tcPr>
          <w:p w14:paraId="44161ED3" w14:textId="77777777" w:rsidR="00A701BC" w:rsidRPr="00676CE7" w:rsidRDefault="00A701BC" w:rsidP="0068247A">
            <w:pPr>
              <w:spacing w:line="120" w:lineRule="exact"/>
              <w:ind w:firstLine="1"/>
              <w:jc w:val="left"/>
              <w:rPr>
                <w:rFonts w:asciiTheme="minorBidi" w:hAnsiTheme="minorBidi" w:cstheme="minorBidi"/>
                <w:color w:val="000000"/>
                <w:sz w:val="18"/>
                <w:szCs w:val="18"/>
                <w:rtl/>
                <w:lang w:eastAsia="he-IL"/>
              </w:rPr>
            </w:pPr>
          </w:p>
        </w:tc>
        <w:tc>
          <w:tcPr>
            <w:tcW w:w="796" w:type="dxa"/>
            <w:vAlign w:val="bottom"/>
          </w:tcPr>
          <w:p w14:paraId="1FA94DA3" w14:textId="77777777" w:rsidR="00A701BC" w:rsidRPr="00676CE7" w:rsidRDefault="00A701BC" w:rsidP="0068247A">
            <w:pPr>
              <w:spacing w:line="120" w:lineRule="exact"/>
              <w:jc w:val="left"/>
              <w:rPr>
                <w:rFonts w:asciiTheme="minorBidi" w:hAnsiTheme="minorBidi" w:cstheme="minorBidi"/>
                <w:sz w:val="18"/>
                <w:szCs w:val="18"/>
                <w:rtl/>
              </w:rPr>
            </w:pPr>
          </w:p>
        </w:tc>
        <w:tc>
          <w:tcPr>
            <w:tcW w:w="796" w:type="dxa"/>
            <w:vAlign w:val="bottom"/>
          </w:tcPr>
          <w:p w14:paraId="3D14168B" w14:textId="77777777" w:rsidR="00A701BC" w:rsidRPr="00676CE7" w:rsidRDefault="00A701BC" w:rsidP="0068247A">
            <w:pPr>
              <w:spacing w:line="120" w:lineRule="exact"/>
              <w:jc w:val="left"/>
              <w:rPr>
                <w:rFonts w:asciiTheme="minorBidi" w:hAnsiTheme="minorBidi" w:cstheme="minorBidi"/>
                <w:sz w:val="18"/>
                <w:szCs w:val="18"/>
                <w:rtl/>
              </w:rPr>
            </w:pPr>
          </w:p>
        </w:tc>
        <w:tc>
          <w:tcPr>
            <w:tcW w:w="796" w:type="dxa"/>
            <w:vAlign w:val="bottom"/>
          </w:tcPr>
          <w:p w14:paraId="46B1B267" w14:textId="77777777" w:rsidR="00A701BC" w:rsidRPr="00676CE7" w:rsidRDefault="00A701BC" w:rsidP="0068247A">
            <w:pPr>
              <w:spacing w:line="120" w:lineRule="exact"/>
              <w:jc w:val="left"/>
              <w:rPr>
                <w:rFonts w:asciiTheme="minorBidi" w:hAnsiTheme="minorBidi" w:cstheme="minorBidi"/>
                <w:sz w:val="18"/>
                <w:szCs w:val="18"/>
                <w:rtl/>
              </w:rPr>
            </w:pPr>
          </w:p>
        </w:tc>
        <w:tc>
          <w:tcPr>
            <w:tcW w:w="796" w:type="dxa"/>
            <w:vAlign w:val="bottom"/>
          </w:tcPr>
          <w:p w14:paraId="2A160671" w14:textId="77777777" w:rsidR="00A701BC" w:rsidRPr="00676CE7" w:rsidRDefault="00A701BC" w:rsidP="0068247A">
            <w:pPr>
              <w:spacing w:line="120" w:lineRule="exact"/>
              <w:jc w:val="left"/>
              <w:rPr>
                <w:rFonts w:asciiTheme="minorBidi" w:hAnsiTheme="minorBidi" w:cstheme="minorBidi"/>
                <w:sz w:val="18"/>
                <w:szCs w:val="18"/>
                <w:rtl/>
              </w:rPr>
            </w:pPr>
          </w:p>
        </w:tc>
        <w:tc>
          <w:tcPr>
            <w:tcW w:w="796" w:type="dxa"/>
            <w:vAlign w:val="bottom"/>
          </w:tcPr>
          <w:p w14:paraId="2A01DB8B" w14:textId="77777777" w:rsidR="00A701BC" w:rsidRPr="00676CE7" w:rsidRDefault="00A701BC" w:rsidP="0068247A">
            <w:pPr>
              <w:spacing w:line="120" w:lineRule="exact"/>
              <w:jc w:val="left"/>
              <w:rPr>
                <w:rFonts w:asciiTheme="minorBidi" w:hAnsiTheme="minorBidi" w:cstheme="minorBidi"/>
                <w:sz w:val="18"/>
                <w:szCs w:val="18"/>
                <w:rtl/>
              </w:rPr>
            </w:pPr>
          </w:p>
        </w:tc>
        <w:tc>
          <w:tcPr>
            <w:tcW w:w="800" w:type="dxa"/>
            <w:vAlign w:val="bottom"/>
          </w:tcPr>
          <w:p w14:paraId="245029B5" w14:textId="77777777" w:rsidR="00A701BC" w:rsidRPr="00676CE7" w:rsidRDefault="00A701BC" w:rsidP="0068247A">
            <w:pPr>
              <w:spacing w:line="120" w:lineRule="exact"/>
              <w:jc w:val="left"/>
              <w:rPr>
                <w:rFonts w:asciiTheme="minorBidi" w:hAnsiTheme="minorBidi" w:cstheme="minorBidi"/>
                <w:sz w:val="18"/>
                <w:szCs w:val="18"/>
                <w:rtl/>
              </w:rPr>
            </w:pPr>
          </w:p>
        </w:tc>
        <w:tc>
          <w:tcPr>
            <w:tcW w:w="796" w:type="dxa"/>
            <w:gridSpan w:val="3"/>
            <w:vAlign w:val="bottom"/>
          </w:tcPr>
          <w:p w14:paraId="325CBFCC" w14:textId="77777777" w:rsidR="00A701BC" w:rsidRPr="00676CE7" w:rsidRDefault="00A701BC" w:rsidP="0068247A">
            <w:pPr>
              <w:spacing w:line="120" w:lineRule="exact"/>
              <w:jc w:val="left"/>
              <w:rPr>
                <w:rFonts w:asciiTheme="minorBidi" w:hAnsiTheme="minorBidi" w:cstheme="minorBidi"/>
                <w:sz w:val="18"/>
                <w:szCs w:val="18"/>
                <w:rtl/>
              </w:rPr>
            </w:pPr>
          </w:p>
        </w:tc>
      </w:tr>
      <w:tr w:rsidR="00164F8E" w:rsidRPr="00676CE7" w14:paraId="5D03F4B7" w14:textId="77777777" w:rsidTr="00A82C7F">
        <w:trPr>
          <w:gridBefore w:val="1"/>
          <w:wBefore w:w="10" w:type="dxa"/>
        </w:trPr>
        <w:tc>
          <w:tcPr>
            <w:tcW w:w="1123" w:type="dxa"/>
          </w:tcPr>
          <w:p w14:paraId="71718927" w14:textId="77777777" w:rsidR="00164F8E" w:rsidRPr="00676CE7" w:rsidRDefault="00164F8E" w:rsidP="0068247A">
            <w:pPr>
              <w:tabs>
                <w:tab w:val="left" w:pos="237"/>
              </w:tabs>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567B6C35" w14:textId="77777777" w:rsidR="00164F8E" w:rsidRPr="00676CE7" w:rsidRDefault="00164F8E" w:rsidP="0068247A">
            <w:pPr>
              <w:spacing w:before="30" w:line="241" w:lineRule="auto"/>
              <w:ind w:left="117" w:hanging="116"/>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רווח לפני מסים</w:t>
            </w:r>
          </w:p>
        </w:tc>
        <w:tc>
          <w:tcPr>
            <w:tcW w:w="796" w:type="dxa"/>
            <w:vAlign w:val="bottom"/>
          </w:tcPr>
          <w:p w14:paraId="57F31D0C" w14:textId="77777777" w:rsidR="00164F8E" w:rsidRPr="00676CE7" w:rsidRDefault="00164F8E" w:rsidP="0068247A">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24AE2F80" w14:textId="77777777" w:rsidR="00164F8E" w:rsidRPr="00676CE7" w:rsidRDefault="00164F8E" w:rsidP="0068247A">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496108AE" w14:textId="77777777" w:rsidR="00164F8E" w:rsidRPr="00676CE7" w:rsidRDefault="00164F8E" w:rsidP="0068247A">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2A96EA7B" w14:textId="77777777" w:rsidR="00164F8E" w:rsidRPr="00676CE7" w:rsidRDefault="00164F8E" w:rsidP="0068247A">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AAE4067" w14:textId="77777777" w:rsidR="00164F8E" w:rsidRPr="00676CE7" w:rsidRDefault="00164F8E" w:rsidP="0068247A">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09E9B9D0" w14:textId="77777777" w:rsidR="00164F8E" w:rsidRPr="00676CE7" w:rsidRDefault="00164F8E" w:rsidP="0068247A">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3"/>
            <w:vAlign w:val="bottom"/>
          </w:tcPr>
          <w:p w14:paraId="668A26EB" w14:textId="77777777" w:rsidR="00164F8E" w:rsidRPr="00676CE7" w:rsidRDefault="00164F8E" w:rsidP="0068247A">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164F8E" w:rsidRPr="00676CE7" w14:paraId="1BA94F23" w14:textId="77777777" w:rsidTr="00A82C7F">
        <w:trPr>
          <w:gridBefore w:val="1"/>
          <w:wBefore w:w="10" w:type="dxa"/>
        </w:trPr>
        <w:tc>
          <w:tcPr>
            <w:tcW w:w="1123" w:type="dxa"/>
          </w:tcPr>
          <w:p w14:paraId="7BCFE72B" w14:textId="77777777" w:rsidR="00164F8E" w:rsidRPr="00676CE7" w:rsidRDefault="00164F8E" w:rsidP="0068247A">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61B2B1D9" w14:textId="77777777" w:rsidR="00164F8E" w:rsidRPr="00676CE7" w:rsidRDefault="00164F8E" w:rsidP="0068247A">
            <w:pPr>
              <w:spacing w:before="30" w:line="241" w:lineRule="auto"/>
              <w:ind w:left="117" w:hanging="116"/>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הפרשה למסים על הרווח</w:t>
            </w:r>
          </w:p>
        </w:tc>
        <w:tc>
          <w:tcPr>
            <w:tcW w:w="796" w:type="dxa"/>
            <w:vAlign w:val="bottom"/>
          </w:tcPr>
          <w:p w14:paraId="1F5DB6C3" w14:textId="77777777" w:rsidR="00164F8E" w:rsidRPr="00676CE7" w:rsidRDefault="00164F8E" w:rsidP="0068247A">
            <w:pPr>
              <w:pBdr>
                <w:bottom w:val="sing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69392404" w14:textId="77777777" w:rsidR="00164F8E" w:rsidRPr="00676CE7" w:rsidRDefault="00164F8E" w:rsidP="0068247A">
            <w:pPr>
              <w:pBdr>
                <w:bottom w:val="sing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50278ABD" w14:textId="77777777" w:rsidR="00164F8E" w:rsidRPr="00676CE7" w:rsidRDefault="00164F8E" w:rsidP="0068247A">
            <w:pPr>
              <w:pBdr>
                <w:bottom w:val="sing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180253F9" w14:textId="77777777" w:rsidR="00164F8E" w:rsidRPr="00676CE7" w:rsidRDefault="00164F8E" w:rsidP="0068247A">
            <w:pPr>
              <w:pBdr>
                <w:bottom w:val="sing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2C5C2CBC" w14:textId="77777777" w:rsidR="00164F8E" w:rsidRPr="00676CE7" w:rsidRDefault="00164F8E" w:rsidP="0068247A">
            <w:pPr>
              <w:pBdr>
                <w:bottom w:val="sing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672CE164" w14:textId="77777777" w:rsidR="00164F8E" w:rsidRPr="00676CE7" w:rsidRDefault="00164F8E" w:rsidP="0068247A">
            <w:pPr>
              <w:pBdr>
                <w:bottom w:val="sing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3"/>
            <w:vAlign w:val="bottom"/>
          </w:tcPr>
          <w:p w14:paraId="3FCFA2E7" w14:textId="77777777" w:rsidR="00164F8E" w:rsidRPr="00676CE7" w:rsidRDefault="00164F8E" w:rsidP="0068247A">
            <w:pPr>
              <w:pBdr>
                <w:bottom w:val="sing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164F8E" w:rsidRPr="00676CE7" w14:paraId="6D820C48" w14:textId="77777777" w:rsidTr="00A82C7F">
        <w:trPr>
          <w:gridBefore w:val="1"/>
          <w:wBefore w:w="10" w:type="dxa"/>
        </w:trPr>
        <w:tc>
          <w:tcPr>
            <w:tcW w:w="1123" w:type="dxa"/>
          </w:tcPr>
          <w:p w14:paraId="494DB5AD" w14:textId="77777777" w:rsidR="00164F8E" w:rsidRPr="00676CE7" w:rsidRDefault="00164F8E" w:rsidP="0068247A">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2FD26D4B" w14:textId="77777777" w:rsidR="00164F8E" w:rsidRPr="00676CE7" w:rsidRDefault="00164F8E" w:rsidP="0068247A">
            <w:pPr>
              <w:spacing w:before="40"/>
              <w:ind w:left="113" w:hanging="113"/>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רווח לאחר מסים</w:t>
            </w:r>
          </w:p>
        </w:tc>
        <w:tc>
          <w:tcPr>
            <w:tcW w:w="796" w:type="dxa"/>
            <w:vAlign w:val="bottom"/>
          </w:tcPr>
          <w:p w14:paraId="36B7AA2B" w14:textId="77777777" w:rsidR="00164F8E" w:rsidRPr="00676CE7" w:rsidRDefault="00164F8E" w:rsidP="0068247A">
            <w:pPr>
              <w:pBdr>
                <w:bottom w:val="doub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3F07F7E2" w14:textId="77777777" w:rsidR="00164F8E" w:rsidRPr="00676CE7" w:rsidRDefault="00164F8E" w:rsidP="0068247A">
            <w:pPr>
              <w:pBdr>
                <w:bottom w:val="doub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2FBD5EC9" w14:textId="77777777" w:rsidR="00164F8E" w:rsidRPr="00676CE7" w:rsidRDefault="00164F8E" w:rsidP="0068247A">
            <w:pPr>
              <w:pBdr>
                <w:bottom w:val="doub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0EEA1C04" w14:textId="77777777" w:rsidR="00164F8E" w:rsidRPr="00676CE7" w:rsidRDefault="00164F8E" w:rsidP="0068247A">
            <w:pPr>
              <w:pBdr>
                <w:bottom w:val="doub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46417482" w14:textId="77777777" w:rsidR="00164F8E" w:rsidRPr="00676CE7" w:rsidRDefault="00164F8E" w:rsidP="0068247A">
            <w:pPr>
              <w:pBdr>
                <w:bottom w:val="doub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581F7BC3" w14:textId="77777777" w:rsidR="00164F8E" w:rsidRPr="00676CE7" w:rsidRDefault="00164F8E" w:rsidP="0068247A">
            <w:pPr>
              <w:pBdr>
                <w:bottom w:val="doub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3"/>
            <w:vAlign w:val="bottom"/>
          </w:tcPr>
          <w:p w14:paraId="4ADBCE31" w14:textId="77777777" w:rsidR="00164F8E" w:rsidRPr="00676CE7" w:rsidRDefault="00164F8E" w:rsidP="0068247A">
            <w:pPr>
              <w:pBdr>
                <w:bottom w:val="doub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bl>
    <w:p w14:paraId="7BCDB312" w14:textId="0D013610" w:rsidR="00676CE7" w:rsidRDefault="00676CE7">
      <w:pPr>
        <w:rPr>
          <w:rFonts w:asciiTheme="minorBidi" w:hAnsiTheme="minorBidi" w:cstheme="minorBidi"/>
          <w:sz w:val="18"/>
          <w:szCs w:val="18"/>
          <w:rtl/>
        </w:rPr>
      </w:pPr>
    </w:p>
    <w:p w14:paraId="0283B3B2" w14:textId="77777777" w:rsidR="0091316C" w:rsidRPr="00676CE7" w:rsidRDefault="0091316C">
      <w:pPr>
        <w:rPr>
          <w:rFonts w:asciiTheme="minorBidi" w:hAnsiTheme="minorBidi" w:cstheme="minorBidi"/>
          <w:sz w:val="18"/>
          <w:szCs w:val="18"/>
        </w:rPr>
      </w:pPr>
    </w:p>
    <w:tbl>
      <w:tblPr>
        <w:bidiVisual/>
        <w:tblW w:w="4995" w:type="pct"/>
        <w:tblInd w:w="-76" w:type="dxa"/>
        <w:tblLayout w:type="fixed"/>
        <w:tblLook w:val="04A0" w:firstRow="1" w:lastRow="0" w:firstColumn="1" w:lastColumn="0" w:noHBand="0" w:noVBand="1"/>
      </w:tblPr>
      <w:tblGrid>
        <w:gridCol w:w="1123"/>
        <w:gridCol w:w="918"/>
        <w:gridCol w:w="2580"/>
        <w:gridCol w:w="796"/>
        <w:gridCol w:w="796"/>
        <w:gridCol w:w="796"/>
        <w:gridCol w:w="796"/>
        <w:gridCol w:w="796"/>
        <w:gridCol w:w="800"/>
        <w:gridCol w:w="796"/>
      </w:tblGrid>
      <w:tr w:rsidR="009C25A5" w:rsidRPr="00676CE7" w14:paraId="21F96875" w14:textId="77777777" w:rsidTr="00A82C7F">
        <w:tc>
          <w:tcPr>
            <w:tcW w:w="1123" w:type="dxa"/>
          </w:tcPr>
          <w:p w14:paraId="7E68802C" w14:textId="77777777" w:rsidR="009C25A5" w:rsidRPr="00676CE7" w:rsidRDefault="009C25A5" w:rsidP="00400DD1">
            <w:pPr>
              <w:jc w:val="left"/>
              <w:rPr>
                <w:rFonts w:asciiTheme="minorBidi" w:hAnsiTheme="minorBidi" w:cstheme="minorBidi"/>
                <w:color w:val="000000"/>
                <w:sz w:val="18"/>
                <w:szCs w:val="18"/>
                <w:lang w:eastAsia="he-IL"/>
              </w:rPr>
            </w:pPr>
          </w:p>
        </w:tc>
        <w:tc>
          <w:tcPr>
            <w:tcW w:w="3498" w:type="dxa"/>
            <w:gridSpan w:val="2"/>
            <w:vAlign w:val="bottom"/>
          </w:tcPr>
          <w:p w14:paraId="0A0A065B" w14:textId="77777777" w:rsidR="009C25A5" w:rsidRPr="00676CE7" w:rsidRDefault="009C25A5" w:rsidP="00400DD1">
            <w:pPr>
              <w:jc w:val="left"/>
              <w:rPr>
                <w:rFonts w:asciiTheme="minorBidi" w:hAnsiTheme="minorBidi" w:cstheme="minorBidi"/>
                <w:color w:val="000000"/>
                <w:sz w:val="18"/>
                <w:szCs w:val="18"/>
                <w:rtl/>
                <w:lang w:eastAsia="he-IL"/>
              </w:rPr>
            </w:pPr>
          </w:p>
        </w:tc>
        <w:tc>
          <w:tcPr>
            <w:tcW w:w="5576" w:type="dxa"/>
            <w:gridSpan w:val="7"/>
            <w:vAlign w:val="bottom"/>
          </w:tcPr>
          <w:p w14:paraId="3DA299F7" w14:textId="2FE8E78C" w:rsidR="009C25A5" w:rsidRPr="00676CE7" w:rsidRDefault="009C25A5" w:rsidP="00400DD1">
            <w:pPr>
              <w:pBdr>
                <w:bottom w:val="single" w:sz="6" w:space="1" w:color="auto"/>
              </w:pBdr>
              <w:spacing w:before="40"/>
              <w:jc w:val="center"/>
              <w:rPr>
                <w:rFonts w:asciiTheme="minorBidi" w:hAnsiTheme="minorBidi" w:cstheme="minorBidi"/>
                <w:b/>
                <w:bCs/>
                <w:sz w:val="18"/>
                <w:szCs w:val="18"/>
                <w:rtl/>
              </w:rPr>
            </w:pPr>
            <w:r>
              <w:rPr>
                <w:rFonts w:asciiTheme="minorBidi" w:hAnsiTheme="minorBidi" w:cstheme="minorBidi" w:hint="cs"/>
                <w:b/>
                <w:bCs/>
                <w:sz w:val="18"/>
                <w:szCs w:val="18"/>
                <w:rtl/>
              </w:rPr>
              <w:t>לשישה</w:t>
            </w:r>
            <w:r w:rsidRPr="00676CE7">
              <w:rPr>
                <w:rFonts w:asciiTheme="minorBidi" w:hAnsiTheme="minorBidi" w:cstheme="minorBidi"/>
                <w:b/>
                <w:bCs/>
                <w:sz w:val="18"/>
                <w:szCs w:val="18"/>
                <w:rtl/>
              </w:rPr>
              <w:t xml:space="preserve"> חודשים שהסתיימו ביום 30 ביוני </w:t>
            </w:r>
            <w:r w:rsidRPr="00676CE7">
              <w:rPr>
                <w:rFonts w:asciiTheme="minorBidi" w:hAnsiTheme="minorBidi" w:cstheme="minorBidi"/>
                <w:b/>
                <w:bCs/>
                <w:sz w:val="18"/>
                <w:szCs w:val="18"/>
                <w:rtl/>
              </w:rPr>
              <w:fldChar w:fldCharType="begin"/>
            </w:r>
            <w:r w:rsidRPr="00676CE7">
              <w:rPr>
                <w:rFonts w:asciiTheme="minorBidi" w:hAnsiTheme="minorBidi" w:cstheme="minorBidi"/>
                <w:b/>
                <w:bCs/>
                <w:sz w:val="18"/>
                <w:szCs w:val="18"/>
                <w:rtl/>
              </w:rPr>
              <w:instrText xml:space="preserve"> = </w:instrText>
            </w:r>
            <w:r w:rsidRPr="00676CE7">
              <w:rPr>
                <w:rFonts w:asciiTheme="minorBidi" w:hAnsiTheme="minorBidi" w:cstheme="minorBidi"/>
                <w:b/>
                <w:bCs/>
                <w:sz w:val="18"/>
                <w:szCs w:val="18"/>
              </w:rPr>
              <w:instrText>CY \* MERGEFORMAT</w:instrText>
            </w:r>
            <w:r w:rsidRPr="00676CE7">
              <w:rPr>
                <w:rFonts w:asciiTheme="minorBidi" w:hAnsiTheme="minorBidi" w:cstheme="minorBidi"/>
                <w:b/>
                <w:bCs/>
                <w:sz w:val="18"/>
                <w:szCs w:val="18"/>
                <w:rtl/>
              </w:rPr>
              <w:instrText xml:space="preserve"> </w:instrText>
            </w:r>
            <w:r w:rsidRPr="00676CE7">
              <w:rPr>
                <w:rFonts w:asciiTheme="minorBidi" w:hAnsiTheme="minorBidi" w:cstheme="minorBidi"/>
                <w:b/>
                <w:bCs/>
                <w:sz w:val="18"/>
                <w:szCs w:val="18"/>
                <w:rtl/>
              </w:rPr>
              <w:fldChar w:fldCharType="separate"/>
            </w:r>
            <w:r w:rsidR="003A584F">
              <w:rPr>
                <w:rFonts w:asciiTheme="minorBidi" w:hAnsiTheme="minorBidi" w:cstheme="minorBidi"/>
                <w:b/>
                <w:bCs/>
                <w:noProof/>
                <w:sz w:val="18"/>
                <w:szCs w:val="18"/>
                <w:rtl/>
              </w:rPr>
              <w:t>2024</w:t>
            </w:r>
            <w:r w:rsidRPr="00676CE7">
              <w:rPr>
                <w:rFonts w:asciiTheme="minorBidi" w:hAnsiTheme="minorBidi" w:cstheme="minorBidi"/>
                <w:b/>
                <w:bCs/>
                <w:sz w:val="18"/>
                <w:szCs w:val="18"/>
                <w:rtl/>
              </w:rPr>
              <w:fldChar w:fldCharType="end"/>
            </w:r>
            <w:r>
              <w:rPr>
                <w:rFonts w:asciiTheme="minorBidi" w:hAnsiTheme="minorBidi" w:cstheme="minorBidi" w:hint="cs"/>
                <w:b/>
                <w:bCs/>
                <w:sz w:val="18"/>
                <w:szCs w:val="18"/>
                <w:rtl/>
              </w:rPr>
              <w:t xml:space="preserve"> </w:t>
            </w:r>
            <w:r w:rsidRPr="00164582">
              <w:rPr>
                <w:rFonts w:asciiTheme="minorBidi" w:hAnsiTheme="minorBidi" w:cstheme="minorBidi" w:hint="cs"/>
                <w:sz w:val="18"/>
                <w:szCs w:val="18"/>
                <w:rtl/>
              </w:rPr>
              <w:t>(</w:t>
            </w:r>
            <w:r w:rsidRPr="00164582">
              <w:rPr>
                <w:rFonts w:asciiTheme="minorBidi" w:hAnsiTheme="minorBidi" w:cstheme="minorBidi"/>
                <w:sz w:val="18"/>
                <w:szCs w:val="18"/>
                <w:rtl/>
              </w:rPr>
              <w:t>בלתי מבוקר</w:t>
            </w:r>
            <w:r w:rsidRPr="00164582">
              <w:rPr>
                <w:rFonts w:asciiTheme="minorBidi" w:hAnsiTheme="minorBidi" w:cstheme="minorBidi" w:hint="cs"/>
                <w:sz w:val="18"/>
                <w:szCs w:val="18"/>
                <w:rtl/>
              </w:rPr>
              <w:t>)</w:t>
            </w:r>
          </w:p>
        </w:tc>
      </w:tr>
      <w:tr w:rsidR="009C25A5" w:rsidRPr="00676CE7" w14:paraId="626F48CF" w14:textId="77777777" w:rsidTr="00A82C7F">
        <w:tc>
          <w:tcPr>
            <w:tcW w:w="1123" w:type="dxa"/>
          </w:tcPr>
          <w:p w14:paraId="78290E2B" w14:textId="77777777" w:rsidR="009C25A5" w:rsidRPr="00676CE7" w:rsidRDefault="009C25A5" w:rsidP="00400DD1">
            <w:pPr>
              <w:jc w:val="left"/>
              <w:rPr>
                <w:rFonts w:asciiTheme="minorBidi" w:hAnsiTheme="minorBidi" w:cstheme="minorBidi"/>
                <w:color w:val="000000"/>
                <w:sz w:val="18"/>
                <w:szCs w:val="18"/>
                <w:rtl/>
                <w:lang w:eastAsia="he-IL"/>
              </w:rPr>
            </w:pPr>
          </w:p>
        </w:tc>
        <w:tc>
          <w:tcPr>
            <w:tcW w:w="3498" w:type="dxa"/>
            <w:gridSpan w:val="2"/>
          </w:tcPr>
          <w:p w14:paraId="5A117444" w14:textId="77777777" w:rsidR="009C25A5" w:rsidRPr="00676CE7" w:rsidRDefault="009C25A5" w:rsidP="00400DD1">
            <w:pPr>
              <w:ind w:left="144" w:hanging="144"/>
              <w:jc w:val="left"/>
              <w:rPr>
                <w:rFonts w:asciiTheme="minorBidi" w:hAnsiTheme="minorBidi" w:cstheme="minorBidi"/>
                <w:color w:val="000000"/>
                <w:sz w:val="18"/>
                <w:szCs w:val="18"/>
                <w:rtl/>
                <w:lang w:eastAsia="he-IL"/>
              </w:rPr>
            </w:pPr>
          </w:p>
        </w:tc>
        <w:tc>
          <w:tcPr>
            <w:tcW w:w="796" w:type="dxa"/>
            <w:vAlign w:val="bottom"/>
          </w:tcPr>
          <w:p w14:paraId="6AA63D3A" w14:textId="77777777" w:rsidR="009C25A5" w:rsidRPr="00676CE7" w:rsidRDefault="009C25A5"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1</w:t>
            </w:r>
          </w:p>
        </w:tc>
        <w:tc>
          <w:tcPr>
            <w:tcW w:w="796" w:type="dxa"/>
            <w:vAlign w:val="bottom"/>
          </w:tcPr>
          <w:p w14:paraId="0687C2D3" w14:textId="77777777" w:rsidR="009C25A5" w:rsidRPr="00676CE7" w:rsidRDefault="009C25A5"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2</w:t>
            </w:r>
          </w:p>
        </w:tc>
        <w:tc>
          <w:tcPr>
            <w:tcW w:w="796" w:type="dxa"/>
            <w:vAlign w:val="bottom"/>
          </w:tcPr>
          <w:p w14:paraId="2149C995" w14:textId="77777777" w:rsidR="009C25A5" w:rsidRPr="00676CE7" w:rsidRDefault="009C25A5"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3</w:t>
            </w:r>
          </w:p>
        </w:tc>
        <w:tc>
          <w:tcPr>
            <w:tcW w:w="796" w:type="dxa"/>
            <w:vAlign w:val="bottom"/>
          </w:tcPr>
          <w:p w14:paraId="26C7240F" w14:textId="77777777" w:rsidR="009C25A5" w:rsidRPr="00676CE7" w:rsidRDefault="009C25A5"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4</w:t>
            </w:r>
          </w:p>
        </w:tc>
        <w:tc>
          <w:tcPr>
            <w:tcW w:w="796" w:type="dxa"/>
            <w:vAlign w:val="bottom"/>
          </w:tcPr>
          <w:p w14:paraId="40BF1F80" w14:textId="77777777" w:rsidR="009C25A5" w:rsidRPr="00676CE7" w:rsidRDefault="009C25A5"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5</w:t>
            </w:r>
          </w:p>
        </w:tc>
        <w:tc>
          <w:tcPr>
            <w:tcW w:w="800" w:type="dxa"/>
            <w:vAlign w:val="bottom"/>
          </w:tcPr>
          <w:p w14:paraId="7F285959" w14:textId="77777777" w:rsidR="009C25A5" w:rsidRPr="00676CE7" w:rsidRDefault="009C25A5" w:rsidP="00400DD1">
            <w:pPr>
              <w:pBdr>
                <w:bottom w:val="single" w:sz="6" w:space="1" w:color="auto"/>
              </w:pBdr>
              <w:ind w:left="-28" w:right="-28"/>
              <w:jc w:val="center"/>
              <w:rPr>
                <w:rFonts w:asciiTheme="minorBidi" w:hAnsiTheme="minorBidi" w:cstheme="minorBidi"/>
                <w:b/>
                <w:bCs/>
                <w:sz w:val="18"/>
                <w:szCs w:val="18"/>
                <w:rtl/>
              </w:rPr>
            </w:pPr>
            <w:r w:rsidRPr="00676CE7">
              <w:rPr>
                <w:rFonts w:asciiTheme="minorBidi" w:hAnsiTheme="minorBidi" w:cstheme="minorBidi"/>
                <w:b/>
                <w:bCs/>
                <w:sz w:val="18"/>
                <w:szCs w:val="18"/>
                <w:rtl/>
              </w:rPr>
              <w:t>פעילויות אחרות</w:t>
            </w:r>
          </w:p>
        </w:tc>
        <w:tc>
          <w:tcPr>
            <w:tcW w:w="796" w:type="dxa"/>
            <w:vAlign w:val="bottom"/>
          </w:tcPr>
          <w:p w14:paraId="49F8A218" w14:textId="77777777" w:rsidR="009C25A5" w:rsidRPr="00676CE7" w:rsidRDefault="009C25A5"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סה"כ</w:t>
            </w:r>
          </w:p>
        </w:tc>
      </w:tr>
      <w:tr w:rsidR="009C25A5" w:rsidRPr="00676CE7" w14:paraId="6B225C75" w14:textId="77777777" w:rsidTr="00A82C7F">
        <w:tc>
          <w:tcPr>
            <w:tcW w:w="1123" w:type="dxa"/>
          </w:tcPr>
          <w:p w14:paraId="62492216" w14:textId="77777777" w:rsidR="009C25A5" w:rsidRPr="00676CE7" w:rsidRDefault="009C25A5"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2AAD8D9F" w14:textId="77777777" w:rsidR="009C25A5" w:rsidRPr="009C25A5" w:rsidRDefault="009C25A5" w:rsidP="00400DD1">
            <w:pPr>
              <w:tabs>
                <w:tab w:val="left" w:pos="237"/>
              </w:tabs>
              <w:spacing w:before="20"/>
              <w:ind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הכנסות ריבית, נטו:</w:t>
            </w:r>
          </w:p>
        </w:tc>
        <w:tc>
          <w:tcPr>
            <w:tcW w:w="796" w:type="dxa"/>
            <w:vAlign w:val="bottom"/>
          </w:tcPr>
          <w:p w14:paraId="5F1EC841" w14:textId="77777777" w:rsidR="009C25A5" w:rsidRPr="009C25A5" w:rsidRDefault="009C25A5" w:rsidP="00400DD1">
            <w:pPr>
              <w:spacing w:before="20"/>
              <w:jc w:val="left"/>
              <w:rPr>
                <w:rFonts w:asciiTheme="minorBidi" w:hAnsiTheme="minorBidi" w:cstheme="minorBidi"/>
                <w:sz w:val="18"/>
                <w:szCs w:val="18"/>
                <w:rtl/>
              </w:rPr>
            </w:pPr>
          </w:p>
        </w:tc>
        <w:tc>
          <w:tcPr>
            <w:tcW w:w="796" w:type="dxa"/>
            <w:vAlign w:val="bottom"/>
          </w:tcPr>
          <w:p w14:paraId="3AF547FF" w14:textId="77777777" w:rsidR="009C25A5" w:rsidRPr="009C25A5" w:rsidRDefault="009C25A5" w:rsidP="00400DD1">
            <w:pPr>
              <w:spacing w:before="20"/>
              <w:jc w:val="left"/>
              <w:rPr>
                <w:rFonts w:asciiTheme="minorBidi" w:hAnsiTheme="minorBidi" w:cstheme="minorBidi"/>
                <w:sz w:val="18"/>
                <w:szCs w:val="18"/>
                <w:rtl/>
              </w:rPr>
            </w:pPr>
          </w:p>
        </w:tc>
        <w:tc>
          <w:tcPr>
            <w:tcW w:w="796" w:type="dxa"/>
            <w:vAlign w:val="bottom"/>
          </w:tcPr>
          <w:p w14:paraId="6ED7C811" w14:textId="77777777" w:rsidR="009C25A5" w:rsidRPr="009C25A5" w:rsidRDefault="009C25A5" w:rsidP="00400DD1">
            <w:pPr>
              <w:spacing w:before="20"/>
              <w:jc w:val="left"/>
              <w:rPr>
                <w:rFonts w:asciiTheme="minorBidi" w:hAnsiTheme="minorBidi" w:cstheme="minorBidi"/>
                <w:sz w:val="18"/>
                <w:szCs w:val="18"/>
                <w:rtl/>
              </w:rPr>
            </w:pPr>
          </w:p>
        </w:tc>
        <w:tc>
          <w:tcPr>
            <w:tcW w:w="796" w:type="dxa"/>
            <w:vAlign w:val="bottom"/>
          </w:tcPr>
          <w:p w14:paraId="67232A7C" w14:textId="77777777" w:rsidR="009C25A5" w:rsidRPr="009C25A5" w:rsidRDefault="009C25A5" w:rsidP="00400DD1">
            <w:pPr>
              <w:spacing w:before="20"/>
              <w:jc w:val="left"/>
              <w:rPr>
                <w:rFonts w:asciiTheme="minorBidi" w:hAnsiTheme="minorBidi" w:cstheme="minorBidi"/>
                <w:sz w:val="18"/>
                <w:szCs w:val="18"/>
                <w:rtl/>
              </w:rPr>
            </w:pPr>
          </w:p>
        </w:tc>
        <w:tc>
          <w:tcPr>
            <w:tcW w:w="796" w:type="dxa"/>
            <w:vAlign w:val="bottom"/>
          </w:tcPr>
          <w:p w14:paraId="4B21D00E" w14:textId="77777777" w:rsidR="009C25A5" w:rsidRPr="009C25A5" w:rsidRDefault="009C25A5" w:rsidP="00400DD1">
            <w:pPr>
              <w:spacing w:before="20"/>
              <w:jc w:val="left"/>
              <w:rPr>
                <w:rFonts w:asciiTheme="minorBidi" w:hAnsiTheme="minorBidi" w:cstheme="minorBidi"/>
                <w:sz w:val="18"/>
                <w:szCs w:val="18"/>
                <w:rtl/>
              </w:rPr>
            </w:pPr>
          </w:p>
        </w:tc>
        <w:tc>
          <w:tcPr>
            <w:tcW w:w="800" w:type="dxa"/>
            <w:vAlign w:val="bottom"/>
          </w:tcPr>
          <w:p w14:paraId="6B379056" w14:textId="77777777" w:rsidR="009C25A5" w:rsidRPr="009C25A5" w:rsidRDefault="009C25A5" w:rsidP="00400DD1">
            <w:pPr>
              <w:spacing w:before="20"/>
              <w:jc w:val="left"/>
              <w:rPr>
                <w:rFonts w:asciiTheme="minorBidi" w:hAnsiTheme="minorBidi" w:cstheme="minorBidi"/>
                <w:sz w:val="18"/>
                <w:szCs w:val="18"/>
                <w:rtl/>
              </w:rPr>
            </w:pPr>
          </w:p>
        </w:tc>
        <w:tc>
          <w:tcPr>
            <w:tcW w:w="796" w:type="dxa"/>
            <w:vAlign w:val="bottom"/>
          </w:tcPr>
          <w:p w14:paraId="4DA9189F" w14:textId="77777777" w:rsidR="009C25A5" w:rsidRPr="009C25A5" w:rsidRDefault="009C25A5" w:rsidP="00400DD1">
            <w:pPr>
              <w:spacing w:before="20"/>
              <w:jc w:val="left"/>
              <w:rPr>
                <w:rFonts w:asciiTheme="minorBidi" w:hAnsiTheme="minorBidi" w:cstheme="minorBidi"/>
                <w:sz w:val="18"/>
                <w:szCs w:val="18"/>
                <w:rtl/>
              </w:rPr>
            </w:pPr>
          </w:p>
        </w:tc>
      </w:tr>
      <w:tr w:rsidR="009C25A5" w:rsidRPr="00676CE7" w14:paraId="20BD5438" w14:textId="77777777" w:rsidTr="00A82C7F">
        <w:tc>
          <w:tcPr>
            <w:tcW w:w="1123" w:type="dxa"/>
          </w:tcPr>
          <w:p w14:paraId="2041E666" w14:textId="77777777" w:rsidR="009C25A5" w:rsidRPr="00676CE7" w:rsidRDefault="009C25A5"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1B308E21" w14:textId="77777777" w:rsidR="009C25A5" w:rsidRPr="009C25A5" w:rsidRDefault="009C25A5" w:rsidP="0091316C">
            <w:pPr>
              <w:spacing w:before="20"/>
              <w:ind w:left="170"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מחיצוניים</w:t>
            </w:r>
          </w:p>
        </w:tc>
        <w:tc>
          <w:tcPr>
            <w:tcW w:w="796" w:type="dxa"/>
            <w:vAlign w:val="bottom"/>
          </w:tcPr>
          <w:p w14:paraId="30C94EDF"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5E39468"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6C139FC"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DDA8170"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2A4A07E"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30ADF6E3"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CE538B6"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9C25A5" w:rsidRPr="00676CE7" w14:paraId="75023564" w14:textId="77777777" w:rsidTr="00A82C7F">
        <w:tc>
          <w:tcPr>
            <w:tcW w:w="1123" w:type="dxa"/>
          </w:tcPr>
          <w:p w14:paraId="1A54A15E" w14:textId="77777777" w:rsidR="009C25A5" w:rsidRPr="00676CE7" w:rsidRDefault="009C25A5"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3BBF4F64" w14:textId="77777777" w:rsidR="009C25A5" w:rsidRPr="009C25A5" w:rsidRDefault="009C25A5" w:rsidP="0091316C">
            <w:pPr>
              <w:spacing w:before="20"/>
              <w:ind w:left="170"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בינמגזרי</w:t>
            </w:r>
          </w:p>
        </w:tc>
        <w:tc>
          <w:tcPr>
            <w:tcW w:w="796" w:type="dxa"/>
            <w:vAlign w:val="bottom"/>
          </w:tcPr>
          <w:p w14:paraId="35558AAB"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2DB585B5"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27D74473"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0869C580"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CCA6B2F"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5C7EBFF1"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0596608A"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9C25A5" w:rsidRPr="00676CE7" w14:paraId="675A15B5" w14:textId="77777777" w:rsidTr="00A82C7F">
        <w:tc>
          <w:tcPr>
            <w:tcW w:w="1123" w:type="dxa"/>
          </w:tcPr>
          <w:p w14:paraId="70C7446C" w14:textId="77777777" w:rsidR="009C25A5" w:rsidRPr="00676CE7" w:rsidRDefault="009C25A5"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2798D042" w14:textId="77777777" w:rsidR="009C25A5" w:rsidRPr="009C25A5" w:rsidRDefault="009C25A5" w:rsidP="00400DD1">
            <w:pPr>
              <w:tabs>
                <w:tab w:val="left" w:pos="237"/>
              </w:tabs>
              <w:spacing w:before="20"/>
              <w:ind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הכנסות שאינן מריבית:</w:t>
            </w:r>
          </w:p>
        </w:tc>
        <w:tc>
          <w:tcPr>
            <w:tcW w:w="796" w:type="dxa"/>
            <w:vAlign w:val="bottom"/>
          </w:tcPr>
          <w:p w14:paraId="2C7A328B" w14:textId="77777777" w:rsidR="009C25A5" w:rsidRPr="009C25A5" w:rsidRDefault="009C25A5" w:rsidP="00400DD1">
            <w:pPr>
              <w:spacing w:before="20"/>
              <w:jc w:val="left"/>
              <w:rPr>
                <w:rFonts w:asciiTheme="minorBidi" w:hAnsiTheme="minorBidi" w:cstheme="minorBidi"/>
                <w:sz w:val="18"/>
                <w:szCs w:val="18"/>
                <w:rtl/>
              </w:rPr>
            </w:pPr>
          </w:p>
        </w:tc>
        <w:tc>
          <w:tcPr>
            <w:tcW w:w="796" w:type="dxa"/>
            <w:vAlign w:val="bottom"/>
          </w:tcPr>
          <w:p w14:paraId="66F1CBAC" w14:textId="77777777" w:rsidR="009C25A5" w:rsidRPr="009C25A5" w:rsidRDefault="009C25A5" w:rsidP="00400DD1">
            <w:pPr>
              <w:spacing w:before="20"/>
              <w:jc w:val="left"/>
              <w:rPr>
                <w:rFonts w:asciiTheme="minorBidi" w:hAnsiTheme="minorBidi" w:cstheme="minorBidi"/>
                <w:sz w:val="18"/>
                <w:szCs w:val="18"/>
                <w:rtl/>
              </w:rPr>
            </w:pPr>
          </w:p>
        </w:tc>
        <w:tc>
          <w:tcPr>
            <w:tcW w:w="796" w:type="dxa"/>
            <w:vAlign w:val="bottom"/>
          </w:tcPr>
          <w:p w14:paraId="651F62C5" w14:textId="77777777" w:rsidR="009C25A5" w:rsidRPr="009C25A5" w:rsidRDefault="009C25A5" w:rsidP="00400DD1">
            <w:pPr>
              <w:spacing w:before="20"/>
              <w:jc w:val="left"/>
              <w:rPr>
                <w:rFonts w:asciiTheme="minorBidi" w:hAnsiTheme="minorBidi" w:cstheme="minorBidi"/>
                <w:sz w:val="18"/>
                <w:szCs w:val="18"/>
                <w:rtl/>
              </w:rPr>
            </w:pPr>
          </w:p>
        </w:tc>
        <w:tc>
          <w:tcPr>
            <w:tcW w:w="796" w:type="dxa"/>
            <w:vAlign w:val="bottom"/>
          </w:tcPr>
          <w:p w14:paraId="001CFEE1" w14:textId="77777777" w:rsidR="009C25A5" w:rsidRPr="009C25A5" w:rsidRDefault="009C25A5" w:rsidP="00400DD1">
            <w:pPr>
              <w:spacing w:before="20"/>
              <w:jc w:val="left"/>
              <w:rPr>
                <w:rFonts w:asciiTheme="minorBidi" w:hAnsiTheme="minorBidi" w:cstheme="minorBidi"/>
                <w:sz w:val="18"/>
                <w:szCs w:val="18"/>
                <w:rtl/>
              </w:rPr>
            </w:pPr>
          </w:p>
        </w:tc>
        <w:tc>
          <w:tcPr>
            <w:tcW w:w="796" w:type="dxa"/>
            <w:vAlign w:val="bottom"/>
          </w:tcPr>
          <w:p w14:paraId="736AB302" w14:textId="77777777" w:rsidR="009C25A5" w:rsidRPr="009C25A5" w:rsidRDefault="009C25A5" w:rsidP="00400DD1">
            <w:pPr>
              <w:spacing w:before="20"/>
              <w:jc w:val="left"/>
              <w:rPr>
                <w:rFonts w:asciiTheme="minorBidi" w:hAnsiTheme="minorBidi" w:cstheme="minorBidi"/>
                <w:sz w:val="18"/>
                <w:szCs w:val="18"/>
                <w:rtl/>
              </w:rPr>
            </w:pPr>
          </w:p>
        </w:tc>
        <w:tc>
          <w:tcPr>
            <w:tcW w:w="800" w:type="dxa"/>
            <w:vAlign w:val="bottom"/>
          </w:tcPr>
          <w:p w14:paraId="5F62598C" w14:textId="77777777" w:rsidR="009C25A5" w:rsidRPr="009C25A5" w:rsidRDefault="009C25A5" w:rsidP="00400DD1">
            <w:pPr>
              <w:spacing w:before="20"/>
              <w:jc w:val="left"/>
              <w:rPr>
                <w:rFonts w:asciiTheme="minorBidi" w:hAnsiTheme="minorBidi" w:cstheme="minorBidi"/>
                <w:sz w:val="18"/>
                <w:szCs w:val="18"/>
                <w:rtl/>
              </w:rPr>
            </w:pPr>
          </w:p>
        </w:tc>
        <w:tc>
          <w:tcPr>
            <w:tcW w:w="796" w:type="dxa"/>
            <w:vAlign w:val="bottom"/>
          </w:tcPr>
          <w:p w14:paraId="5B1247D1" w14:textId="77777777" w:rsidR="009C25A5" w:rsidRPr="009C25A5" w:rsidRDefault="009C25A5" w:rsidP="00400DD1">
            <w:pPr>
              <w:spacing w:before="20"/>
              <w:jc w:val="left"/>
              <w:rPr>
                <w:rFonts w:asciiTheme="minorBidi" w:hAnsiTheme="minorBidi" w:cstheme="minorBidi"/>
                <w:sz w:val="18"/>
                <w:szCs w:val="18"/>
                <w:rtl/>
              </w:rPr>
            </w:pPr>
          </w:p>
        </w:tc>
      </w:tr>
      <w:tr w:rsidR="009C25A5" w:rsidRPr="00676CE7" w14:paraId="0A9FDC02" w14:textId="77777777" w:rsidTr="00A82C7F">
        <w:tc>
          <w:tcPr>
            <w:tcW w:w="1123" w:type="dxa"/>
          </w:tcPr>
          <w:p w14:paraId="05FFB978" w14:textId="77777777" w:rsidR="009C25A5" w:rsidRPr="00676CE7" w:rsidRDefault="009C25A5"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3E7AD59C" w14:textId="77777777" w:rsidR="009C25A5" w:rsidRPr="009C25A5" w:rsidRDefault="009C25A5" w:rsidP="0091316C">
            <w:pPr>
              <w:spacing w:before="20"/>
              <w:ind w:left="170"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מחיצוניים</w:t>
            </w:r>
          </w:p>
        </w:tc>
        <w:tc>
          <w:tcPr>
            <w:tcW w:w="796" w:type="dxa"/>
            <w:vAlign w:val="bottom"/>
          </w:tcPr>
          <w:p w14:paraId="0961912D"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F0B141B"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70F48D1"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0696140"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5C4C098"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181D7A16"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DE16300" w14:textId="77777777" w:rsidR="009C25A5" w:rsidRPr="009C25A5" w:rsidRDefault="009C25A5"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9C25A5" w:rsidRPr="00676CE7" w14:paraId="6CF6D5EF" w14:textId="77777777" w:rsidTr="00A82C7F">
        <w:tc>
          <w:tcPr>
            <w:tcW w:w="1123" w:type="dxa"/>
          </w:tcPr>
          <w:p w14:paraId="31C7E682" w14:textId="77777777" w:rsidR="009C25A5" w:rsidRPr="00676CE7" w:rsidRDefault="009C25A5"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5CE2E264" w14:textId="77777777" w:rsidR="009C25A5" w:rsidRPr="009C25A5" w:rsidRDefault="009C25A5" w:rsidP="0091316C">
            <w:pPr>
              <w:spacing w:before="20"/>
              <w:ind w:left="170"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בינמגזרי</w:t>
            </w:r>
          </w:p>
        </w:tc>
        <w:tc>
          <w:tcPr>
            <w:tcW w:w="796" w:type="dxa"/>
            <w:vAlign w:val="bottom"/>
          </w:tcPr>
          <w:p w14:paraId="0713F604" w14:textId="77777777" w:rsidR="009C25A5" w:rsidRPr="009C25A5" w:rsidRDefault="009C25A5"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23D1A935" w14:textId="77777777" w:rsidR="009C25A5" w:rsidRPr="009C25A5" w:rsidRDefault="009C25A5"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D55211C" w14:textId="77777777" w:rsidR="009C25A5" w:rsidRPr="009C25A5" w:rsidRDefault="009C25A5"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05E3F442" w14:textId="77777777" w:rsidR="009C25A5" w:rsidRPr="009C25A5" w:rsidRDefault="009C25A5"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51E4D97" w14:textId="77777777" w:rsidR="009C25A5" w:rsidRPr="009C25A5" w:rsidRDefault="009C25A5"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46934384" w14:textId="77777777" w:rsidR="009C25A5" w:rsidRPr="009C25A5" w:rsidRDefault="009C25A5"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A91F87F" w14:textId="77777777" w:rsidR="009C25A5" w:rsidRPr="009C25A5" w:rsidRDefault="009C25A5"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9C25A5" w:rsidRPr="00676CE7" w14:paraId="5F89AD88" w14:textId="77777777" w:rsidTr="00A82C7F">
        <w:tc>
          <w:tcPr>
            <w:tcW w:w="1123" w:type="dxa"/>
          </w:tcPr>
          <w:p w14:paraId="547A1BB2" w14:textId="77777777" w:rsidR="009C25A5" w:rsidRPr="00676CE7" w:rsidRDefault="009C25A5" w:rsidP="00400DD1">
            <w:pPr>
              <w:spacing w:before="20" w:line="241" w:lineRule="auto"/>
              <w:ind w:firstLine="1"/>
              <w:jc w:val="left"/>
              <w:rPr>
                <w:rFonts w:asciiTheme="minorBidi" w:hAnsiTheme="minorBidi" w:cstheme="minorBidi"/>
                <w:strike/>
                <w:color w:val="000000"/>
                <w:sz w:val="18"/>
                <w:szCs w:val="18"/>
                <w:rtl/>
                <w:lang w:eastAsia="he-IL"/>
              </w:rPr>
            </w:pPr>
          </w:p>
        </w:tc>
        <w:tc>
          <w:tcPr>
            <w:tcW w:w="3498" w:type="dxa"/>
            <w:gridSpan w:val="2"/>
          </w:tcPr>
          <w:p w14:paraId="6B856ED4" w14:textId="77777777" w:rsidR="009C25A5" w:rsidRPr="009C25A5" w:rsidRDefault="009C25A5" w:rsidP="00400DD1">
            <w:pPr>
              <w:spacing w:before="20"/>
              <w:ind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סך הכנסות</w:t>
            </w:r>
          </w:p>
        </w:tc>
        <w:tc>
          <w:tcPr>
            <w:tcW w:w="796" w:type="dxa"/>
            <w:vAlign w:val="bottom"/>
          </w:tcPr>
          <w:p w14:paraId="78F99BD2" w14:textId="77777777" w:rsidR="009C25A5" w:rsidRPr="009C25A5" w:rsidRDefault="009C25A5"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ADBBB35" w14:textId="77777777" w:rsidR="009C25A5" w:rsidRPr="009C25A5" w:rsidRDefault="009C25A5"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AA993BA" w14:textId="77777777" w:rsidR="009C25A5" w:rsidRPr="009C25A5" w:rsidRDefault="009C25A5"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6953E9B" w14:textId="77777777" w:rsidR="009C25A5" w:rsidRPr="009C25A5" w:rsidRDefault="009C25A5"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68F99D9" w14:textId="77777777" w:rsidR="009C25A5" w:rsidRPr="009C25A5" w:rsidRDefault="009C25A5"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3E0DF5FF" w14:textId="77777777" w:rsidR="009C25A5" w:rsidRPr="009C25A5" w:rsidRDefault="009C25A5"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8A2FB26" w14:textId="77777777" w:rsidR="009C25A5" w:rsidRPr="009C25A5" w:rsidRDefault="009C25A5"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9C25A5" w:rsidRPr="00676CE7" w14:paraId="74D9458B" w14:textId="77777777" w:rsidTr="00A82C7F">
        <w:tc>
          <w:tcPr>
            <w:tcW w:w="1123" w:type="dxa"/>
          </w:tcPr>
          <w:p w14:paraId="3FD3143F" w14:textId="77777777" w:rsidR="009C25A5" w:rsidRPr="00676CE7" w:rsidRDefault="009C25A5" w:rsidP="00400DD1">
            <w:pPr>
              <w:spacing w:line="120" w:lineRule="exact"/>
              <w:jc w:val="left"/>
              <w:rPr>
                <w:rFonts w:asciiTheme="minorBidi" w:hAnsiTheme="minorBidi" w:cstheme="minorBidi"/>
                <w:color w:val="000000"/>
                <w:sz w:val="18"/>
                <w:szCs w:val="18"/>
                <w:rtl/>
                <w:lang w:eastAsia="he-IL"/>
              </w:rPr>
            </w:pPr>
          </w:p>
        </w:tc>
        <w:tc>
          <w:tcPr>
            <w:tcW w:w="918" w:type="dxa"/>
          </w:tcPr>
          <w:p w14:paraId="1FBC8690" w14:textId="77777777" w:rsidR="009C25A5" w:rsidRPr="009C25A5" w:rsidRDefault="009C25A5" w:rsidP="00400DD1">
            <w:pPr>
              <w:spacing w:line="120" w:lineRule="exact"/>
              <w:ind w:firstLine="1"/>
              <w:jc w:val="left"/>
              <w:rPr>
                <w:rFonts w:asciiTheme="minorBidi" w:hAnsiTheme="minorBidi" w:cstheme="minorBidi"/>
                <w:color w:val="000000"/>
                <w:sz w:val="18"/>
                <w:szCs w:val="18"/>
                <w:rtl/>
                <w:lang w:eastAsia="he-IL"/>
              </w:rPr>
            </w:pPr>
          </w:p>
        </w:tc>
        <w:tc>
          <w:tcPr>
            <w:tcW w:w="2580" w:type="dxa"/>
          </w:tcPr>
          <w:p w14:paraId="1E82F557" w14:textId="77777777" w:rsidR="009C25A5" w:rsidRPr="009C25A5" w:rsidRDefault="009C25A5" w:rsidP="00400DD1">
            <w:pPr>
              <w:spacing w:line="120" w:lineRule="exact"/>
              <w:ind w:firstLine="1"/>
              <w:jc w:val="left"/>
              <w:rPr>
                <w:rFonts w:asciiTheme="minorBidi" w:hAnsiTheme="minorBidi" w:cstheme="minorBidi"/>
                <w:color w:val="000000"/>
                <w:sz w:val="18"/>
                <w:szCs w:val="18"/>
                <w:rtl/>
                <w:lang w:eastAsia="he-IL"/>
              </w:rPr>
            </w:pPr>
          </w:p>
        </w:tc>
        <w:tc>
          <w:tcPr>
            <w:tcW w:w="796" w:type="dxa"/>
            <w:vAlign w:val="bottom"/>
          </w:tcPr>
          <w:p w14:paraId="210AD8D5" w14:textId="77777777" w:rsidR="009C25A5" w:rsidRPr="009C25A5" w:rsidRDefault="009C25A5" w:rsidP="00400DD1">
            <w:pPr>
              <w:spacing w:line="120" w:lineRule="exact"/>
              <w:jc w:val="left"/>
              <w:rPr>
                <w:rFonts w:asciiTheme="minorBidi" w:hAnsiTheme="minorBidi" w:cstheme="minorBidi"/>
                <w:sz w:val="18"/>
                <w:szCs w:val="18"/>
                <w:rtl/>
              </w:rPr>
            </w:pPr>
          </w:p>
        </w:tc>
        <w:tc>
          <w:tcPr>
            <w:tcW w:w="796" w:type="dxa"/>
            <w:vAlign w:val="bottom"/>
          </w:tcPr>
          <w:p w14:paraId="382D2F22" w14:textId="77777777" w:rsidR="009C25A5" w:rsidRPr="009C25A5" w:rsidRDefault="009C25A5" w:rsidP="00400DD1">
            <w:pPr>
              <w:spacing w:line="120" w:lineRule="exact"/>
              <w:jc w:val="left"/>
              <w:rPr>
                <w:rFonts w:asciiTheme="minorBidi" w:hAnsiTheme="minorBidi" w:cstheme="minorBidi"/>
                <w:sz w:val="18"/>
                <w:szCs w:val="18"/>
                <w:rtl/>
              </w:rPr>
            </w:pPr>
          </w:p>
        </w:tc>
        <w:tc>
          <w:tcPr>
            <w:tcW w:w="796" w:type="dxa"/>
            <w:vAlign w:val="bottom"/>
          </w:tcPr>
          <w:p w14:paraId="3875F754" w14:textId="77777777" w:rsidR="009C25A5" w:rsidRPr="009C25A5" w:rsidRDefault="009C25A5" w:rsidP="00400DD1">
            <w:pPr>
              <w:spacing w:line="120" w:lineRule="exact"/>
              <w:jc w:val="left"/>
              <w:rPr>
                <w:rFonts w:asciiTheme="minorBidi" w:hAnsiTheme="minorBidi" w:cstheme="minorBidi"/>
                <w:sz w:val="18"/>
                <w:szCs w:val="18"/>
                <w:rtl/>
              </w:rPr>
            </w:pPr>
          </w:p>
        </w:tc>
        <w:tc>
          <w:tcPr>
            <w:tcW w:w="796" w:type="dxa"/>
            <w:vAlign w:val="bottom"/>
          </w:tcPr>
          <w:p w14:paraId="209E3266" w14:textId="77777777" w:rsidR="009C25A5" w:rsidRPr="009C25A5" w:rsidRDefault="009C25A5" w:rsidP="00400DD1">
            <w:pPr>
              <w:spacing w:line="120" w:lineRule="exact"/>
              <w:jc w:val="left"/>
              <w:rPr>
                <w:rFonts w:asciiTheme="minorBidi" w:hAnsiTheme="minorBidi" w:cstheme="minorBidi"/>
                <w:sz w:val="18"/>
                <w:szCs w:val="18"/>
                <w:rtl/>
              </w:rPr>
            </w:pPr>
          </w:p>
        </w:tc>
        <w:tc>
          <w:tcPr>
            <w:tcW w:w="796" w:type="dxa"/>
            <w:vAlign w:val="bottom"/>
          </w:tcPr>
          <w:p w14:paraId="70004792" w14:textId="77777777" w:rsidR="009C25A5" w:rsidRPr="009C25A5" w:rsidRDefault="009C25A5" w:rsidP="00400DD1">
            <w:pPr>
              <w:spacing w:line="120" w:lineRule="exact"/>
              <w:jc w:val="left"/>
              <w:rPr>
                <w:rFonts w:asciiTheme="minorBidi" w:hAnsiTheme="minorBidi" w:cstheme="minorBidi"/>
                <w:sz w:val="18"/>
                <w:szCs w:val="18"/>
                <w:rtl/>
              </w:rPr>
            </w:pPr>
          </w:p>
        </w:tc>
        <w:tc>
          <w:tcPr>
            <w:tcW w:w="800" w:type="dxa"/>
            <w:vAlign w:val="bottom"/>
          </w:tcPr>
          <w:p w14:paraId="55C6A80B" w14:textId="77777777" w:rsidR="009C25A5" w:rsidRPr="009C25A5" w:rsidRDefault="009C25A5" w:rsidP="00400DD1">
            <w:pPr>
              <w:spacing w:line="120" w:lineRule="exact"/>
              <w:jc w:val="left"/>
              <w:rPr>
                <w:rFonts w:asciiTheme="minorBidi" w:hAnsiTheme="minorBidi" w:cstheme="minorBidi"/>
                <w:sz w:val="18"/>
                <w:szCs w:val="18"/>
                <w:rtl/>
              </w:rPr>
            </w:pPr>
          </w:p>
        </w:tc>
        <w:tc>
          <w:tcPr>
            <w:tcW w:w="796" w:type="dxa"/>
            <w:vAlign w:val="bottom"/>
          </w:tcPr>
          <w:p w14:paraId="41299F83" w14:textId="77777777" w:rsidR="009C25A5" w:rsidRPr="009C25A5" w:rsidRDefault="009C25A5" w:rsidP="00400DD1">
            <w:pPr>
              <w:spacing w:line="120" w:lineRule="exact"/>
              <w:jc w:val="left"/>
              <w:rPr>
                <w:rFonts w:asciiTheme="minorBidi" w:hAnsiTheme="minorBidi" w:cstheme="minorBidi"/>
                <w:sz w:val="18"/>
                <w:szCs w:val="18"/>
                <w:rtl/>
              </w:rPr>
            </w:pPr>
          </w:p>
        </w:tc>
      </w:tr>
      <w:tr w:rsidR="009C25A5" w:rsidRPr="00676CE7" w14:paraId="57BE1D34" w14:textId="77777777" w:rsidTr="00A82C7F">
        <w:tc>
          <w:tcPr>
            <w:tcW w:w="1123" w:type="dxa"/>
          </w:tcPr>
          <w:p w14:paraId="4E4DE759" w14:textId="77777777" w:rsidR="009C25A5" w:rsidRPr="00676CE7" w:rsidRDefault="009C25A5" w:rsidP="00400DD1">
            <w:pPr>
              <w:tabs>
                <w:tab w:val="left" w:pos="237"/>
              </w:tabs>
              <w:spacing w:before="20" w:line="241" w:lineRule="auto"/>
              <w:ind w:firstLine="1"/>
              <w:jc w:val="left"/>
              <w:rPr>
                <w:rFonts w:asciiTheme="minorBidi" w:hAnsiTheme="minorBidi" w:cstheme="minorBidi"/>
                <w:color w:val="000000"/>
                <w:sz w:val="18"/>
                <w:szCs w:val="18"/>
                <w:rtl/>
                <w:lang w:eastAsia="he-IL"/>
              </w:rPr>
            </w:pPr>
          </w:p>
        </w:tc>
        <w:tc>
          <w:tcPr>
            <w:tcW w:w="3498" w:type="dxa"/>
            <w:gridSpan w:val="2"/>
          </w:tcPr>
          <w:p w14:paraId="1DB112EE" w14:textId="77777777" w:rsidR="009C25A5" w:rsidRPr="009C25A5" w:rsidRDefault="009C25A5" w:rsidP="00400DD1">
            <w:pPr>
              <w:tabs>
                <w:tab w:val="left" w:pos="237"/>
              </w:tabs>
              <w:spacing w:before="20" w:line="241" w:lineRule="auto"/>
              <w:ind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הוצאות בגין הפסדי אשראי</w:t>
            </w:r>
          </w:p>
        </w:tc>
        <w:tc>
          <w:tcPr>
            <w:tcW w:w="796" w:type="dxa"/>
            <w:vAlign w:val="bottom"/>
          </w:tcPr>
          <w:p w14:paraId="2D3006E2" w14:textId="77777777" w:rsidR="009C25A5" w:rsidRPr="009C25A5" w:rsidRDefault="009C25A5"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2684DE73" w14:textId="77777777" w:rsidR="009C25A5" w:rsidRPr="009C25A5" w:rsidRDefault="009C25A5"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256AD28" w14:textId="77777777" w:rsidR="009C25A5" w:rsidRPr="009C25A5" w:rsidRDefault="009C25A5"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23DA707" w14:textId="77777777" w:rsidR="009C25A5" w:rsidRPr="009C25A5" w:rsidRDefault="009C25A5"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23DAD07" w14:textId="77777777" w:rsidR="009C25A5" w:rsidRPr="009C25A5" w:rsidRDefault="009C25A5"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4323DE8D" w14:textId="77777777" w:rsidR="009C25A5" w:rsidRPr="009C25A5" w:rsidRDefault="009C25A5"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21DAE8C" w14:textId="77777777" w:rsidR="009C25A5" w:rsidRPr="009C25A5" w:rsidRDefault="009C25A5"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9C25A5" w:rsidRPr="00676CE7" w14:paraId="5F9077C5" w14:textId="77777777" w:rsidTr="00A82C7F">
        <w:tc>
          <w:tcPr>
            <w:tcW w:w="1123" w:type="dxa"/>
          </w:tcPr>
          <w:p w14:paraId="337346C2" w14:textId="77777777" w:rsidR="009C25A5" w:rsidRPr="00676CE7" w:rsidRDefault="009C25A5" w:rsidP="00400DD1">
            <w:pPr>
              <w:spacing w:before="20" w:line="241" w:lineRule="auto"/>
              <w:ind w:firstLine="1"/>
              <w:jc w:val="left"/>
              <w:rPr>
                <w:rFonts w:asciiTheme="minorBidi" w:hAnsiTheme="minorBidi" w:cstheme="minorBidi"/>
                <w:color w:val="000000"/>
                <w:sz w:val="18"/>
                <w:szCs w:val="18"/>
                <w:rtl/>
                <w:lang w:eastAsia="he-IL"/>
              </w:rPr>
            </w:pPr>
          </w:p>
        </w:tc>
        <w:tc>
          <w:tcPr>
            <w:tcW w:w="3498" w:type="dxa"/>
            <w:gridSpan w:val="2"/>
          </w:tcPr>
          <w:p w14:paraId="686E4569" w14:textId="77777777" w:rsidR="009C25A5" w:rsidRPr="009C25A5" w:rsidRDefault="009C25A5" w:rsidP="00400DD1">
            <w:pPr>
              <w:spacing w:before="20" w:line="241" w:lineRule="auto"/>
              <w:ind w:left="117" w:hanging="116"/>
              <w:jc w:val="left"/>
              <w:rPr>
                <w:rFonts w:asciiTheme="minorBidi" w:hAnsiTheme="minorBidi" w:cstheme="minorBidi"/>
                <w:b/>
                <w:bCs/>
                <w:color w:val="000000"/>
                <w:sz w:val="18"/>
                <w:szCs w:val="18"/>
                <w:rtl/>
                <w:lang w:eastAsia="he-IL"/>
              </w:rPr>
            </w:pPr>
            <w:r w:rsidRPr="009C25A5">
              <w:rPr>
                <w:rFonts w:asciiTheme="minorBidi" w:hAnsiTheme="minorBidi" w:cstheme="minorBidi"/>
                <w:color w:val="000000"/>
                <w:sz w:val="18"/>
                <w:szCs w:val="18"/>
                <w:rtl/>
                <w:lang w:eastAsia="he-IL"/>
              </w:rPr>
              <w:t>הוצאות תפעוליות ואחרות</w:t>
            </w:r>
          </w:p>
        </w:tc>
        <w:tc>
          <w:tcPr>
            <w:tcW w:w="796" w:type="dxa"/>
            <w:vAlign w:val="bottom"/>
          </w:tcPr>
          <w:p w14:paraId="6969AB2D" w14:textId="77777777" w:rsidR="009C25A5" w:rsidRPr="009C25A5" w:rsidRDefault="009C25A5"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5D8DBFB" w14:textId="77777777" w:rsidR="009C25A5" w:rsidRPr="009C25A5" w:rsidRDefault="009C25A5"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B7BDE9C" w14:textId="77777777" w:rsidR="009C25A5" w:rsidRPr="009C25A5" w:rsidRDefault="009C25A5"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A17E9E1" w14:textId="77777777" w:rsidR="009C25A5" w:rsidRPr="009C25A5" w:rsidRDefault="009C25A5"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22742319" w14:textId="77777777" w:rsidR="009C25A5" w:rsidRPr="009C25A5" w:rsidRDefault="009C25A5"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5C733F10" w14:textId="77777777" w:rsidR="009C25A5" w:rsidRPr="009C25A5" w:rsidRDefault="009C25A5"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C471F81" w14:textId="77777777" w:rsidR="009C25A5" w:rsidRPr="009C25A5" w:rsidRDefault="009C25A5"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9C25A5" w:rsidRPr="00676CE7" w14:paraId="29F638F0" w14:textId="77777777" w:rsidTr="00A82C7F">
        <w:tc>
          <w:tcPr>
            <w:tcW w:w="1123" w:type="dxa"/>
          </w:tcPr>
          <w:p w14:paraId="444FAD96" w14:textId="77777777" w:rsidR="009C25A5" w:rsidRPr="00676CE7" w:rsidRDefault="009C25A5" w:rsidP="00400DD1">
            <w:pPr>
              <w:spacing w:line="120" w:lineRule="exact"/>
              <w:jc w:val="left"/>
              <w:rPr>
                <w:rFonts w:asciiTheme="minorBidi" w:hAnsiTheme="minorBidi" w:cstheme="minorBidi"/>
                <w:color w:val="000000"/>
                <w:sz w:val="18"/>
                <w:szCs w:val="18"/>
                <w:rtl/>
                <w:lang w:eastAsia="he-IL"/>
              </w:rPr>
            </w:pPr>
          </w:p>
        </w:tc>
        <w:tc>
          <w:tcPr>
            <w:tcW w:w="918" w:type="dxa"/>
          </w:tcPr>
          <w:p w14:paraId="3FC33859" w14:textId="77777777" w:rsidR="009C25A5" w:rsidRPr="009C25A5" w:rsidRDefault="009C25A5" w:rsidP="00400DD1">
            <w:pPr>
              <w:spacing w:line="120" w:lineRule="exact"/>
              <w:ind w:firstLine="1"/>
              <w:jc w:val="left"/>
              <w:rPr>
                <w:rFonts w:asciiTheme="minorBidi" w:hAnsiTheme="minorBidi" w:cstheme="minorBidi"/>
                <w:color w:val="000000"/>
                <w:sz w:val="18"/>
                <w:szCs w:val="18"/>
                <w:rtl/>
                <w:lang w:eastAsia="he-IL"/>
              </w:rPr>
            </w:pPr>
          </w:p>
        </w:tc>
        <w:tc>
          <w:tcPr>
            <w:tcW w:w="2580" w:type="dxa"/>
          </w:tcPr>
          <w:p w14:paraId="3F55748A" w14:textId="77777777" w:rsidR="009C25A5" w:rsidRPr="009C25A5" w:rsidRDefault="009C25A5" w:rsidP="00400DD1">
            <w:pPr>
              <w:spacing w:line="120" w:lineRule="exact"/>
              <w:ind w:firstLine="1"/>
              <w:jc w:val="left"/>
              <w:rPr>
                <w:rFonts w:asciiTheme="minorBidi" w:hAnsiTheme="minorBidi" w:cstheme="minorBidi"/>
                <w:color w:val="000000"/>
                <w:sz w:val="18"/>
                <w:szCs w:val="18"/>
                <w:rtl/>
                <w:lang w:eastAsia="he-IL"/>
              </w:rPr>
            </w:pPr>
          </w:p>
        </w:tc>
        <w:tc>
          <w:tcPr>
            <w:tcW w:w="796" w:type="dxa"/>
            <w:vAlign w:val="bottom"/>
          </w:tcPr>
          <w:p w14:paraId="4C64B38A" w14:textId="77777777" w:rsidR="009C25A5" w:rsidRPr="009C25A5" w:rsidRDefault="009C25A5" w:rsidP="00400DD1">
            <w:pPr>
              <w:spacing w:line="120" w:lineRule="exact"/>
              <w:jc w:val="left"/>
              <w:rPr>
                <w:rFonts w:asciiTheme="minorBidi" w:hAnsiTheme="minorBidi" w:cstheme="minorBidi"/>
                <w:sz w:val="18"/>
                <w:szCs w:val="18"/>
                <w:rtl/>
              </w:rPr>
            </w:pPr>
          </w:p>
        </w:tc>
        <w:tc>
          <w:tcPr>
            <w:tcW w:w="796" w:type="dxa"/>
            <w:vAlign w:val="bottom"/>
          </w:tcPr>
          <w:p w14:paraId="4E489411" w14:textId="77777777" w:rsidR="009C25A5" w:rsidRPr="009C25A5" w:rsidRDefault="009C25A5" w:rsidP="00400DD1">
            <w:pPr>
              <w:spacing w:line="120" w:lineRule="exact"/>
              <w:jc w:val="left"/>
              <w:rPr>
                <w:rFonts w:asciiTheme="minorBidi" w:hAnsiTheme="minorBidi" w:cstheme="minorBidi"/>
                <w:sz w:val="18"/>
                <w:szCs w:val="18"/>
                <w:rtl/>
              </w:rPr>
            </w:pPr>
          </w:p>
        </w:tc>
        <w:tc>
          <w:tcPr>
            <w:tcW w:w="796" w:type="dxa"/>
            <w:vAlign w:val="bottom"/>
          </w:tcPr>
          <w:p w14:paraId="51652F55" w14:textId="77777777" w:rsidR="009C25A5" w:rsidRPr="009C25A5" w:rsidRDefault="009C25A5" w:rsidP="00400DD1">
            <w:pPr>
              <w:spacing w:line="120" w:lineRule="exact"/>
              <w:jc w:val="left"/>
              <w:rPr>
                <w:rFonts w:asciiTheme="minorBidi" w:hAnsiTheme="minorBidi" w:cstheme="minorBidi"/>
                <w:sz w:val="18"/>
                <w:szCs w:val="18"/>
                <w:rtl/>
              </w:rPr>
            </w:pPr>
          </w:p>
        </w:tc>
        <w:tc>
          <w:tcPr>
            <w:tcW w:w="796" w:type="dxa"/>
            <w:vAlign w:val="bottom"/>
          </w:tcPr>
          <w:p w14:paraId="31D5C3F2" w14:textId="77777777" w:rsidR="009C25A5" w:rsidRPr="009C25A5" w:rsidRDefault="009C25A5" w:rsidP="00400DD1">
            <w:pPr>
              <w:spacing w:line="120" w:lineRule="exact"/>
              <w:jc w:val="left"/>
              <w:rPr>
                <w:rFonts w:asciiTheme="minorBidi" w:hAnsiTheme="minorBidi" w:cstheme="minorBidi"/>
                <w:sz w:val="18"/>
                <w:szCs w:val="18"/>
                <w:rtl/>
              </w:rPr>
            </w:pPr>
          </w:p>
        </w:tc>
        <w:tc>
          <w:tcPr>
            <w:tcW w:w="796" w:type="dxa"/>
            <w:vAlign w:val="bottom"/>
          </w:tcPr>
          <w:p w14:paraId="70CADC40" w14:textId="77777777" w:rsidR="009C25A5" w:rsidRPr="009C25A5" w:rsidRDefault="009C25A5" w:rsidP="00400DD1">
            <w:pPr>
              <w:spacing w:line="120" w:lineRule="exact"/>
              <w:jc w:val="left"/>
              <w:rPr>
                <w:rFonts w:asciiTheme="minorBidi" w:hAnsiTheme="minorBidi" w:cstheme="minorBidi"/>
                <w:sz w:val="18"/>
                <w:szCs w:val="18"/>
                <w:rtl/>
              </w:rPr>
            </w:pPr>
          </w:p>
        </w:tc>
        <w:tc>
          <w:tcPr>
            <w:tcW w:w="800" w:type="dxa"/>
            <w:vAlign w:val="bottom"/>
          </w:tcPr>
          <w:p w14:paraId="31706C13" w14:textId="77777777" w:rsidR="009C25A5" w:rsidRPr="009C25A5" w:rsidRDefault="009C25A5" w:rsidP="00400DD1">
            <w:pPr>
              <w:spacing w:line="120" w:lineRule="exact"/>
              <w:jc w:val="left"/>
              <w:rPr>
                <w:rFonts w:asciiTheme="minorBidi" w:hAnsiTheme="minorBidi" w:cstheme="minorBidi"/>
                <w:sz w:val="18"/>
                <w:szCs w:val="18"/>
                <w:rtl/>
              </w:rPr>
            </w:pPr>
          </w:p>
        </w:tc>
        <w:tc>
          <w:tcPr>
            <w:tcW w:w="796" w:type="dxa"/>
            <w:vAlign w:val="bottom"/>
          </w:tcPr>
          <w:p w14:paraId="40EEF33D" w14:textId="77777777" w:rsidR="009C25A5" w:rsidRPr="009C25A5" w:rsidRDefault="009C25A5" w:rsidP="00400DD1">
            <w:pPr>
              <w:spacing w:line="120" w:lineRule="exact"/>
              <w:jc w:val="left"/>
              <w:rPr>
                <w:rFonts w:asciiTheme="minorBidi" w:hAnsiTheme="minorBidi" w:cstheme="minorBidi"/>
                <w:sz w:val="18"/>
                <w:szCs w:val="18"/>
                <w:rtl/>
              </w:rPr>
            </w:pPr>
          </w:p>
        </w:tc>
      </w:tr>
      <w:tr w:rsidR="009C25A5" w:rsidRPr="00676CE7" w14:paraId="30C6C56C" w14:textId="77777777" w:rsidTr="00A82C7F">
        <w:tc>
          <w:tcPr>
            <w:tcW w:w="1123" w:type="dxa"/>
          </w:tcPr>
          <w:p w14:paraId="65F3177E" w14:textId="77777777" w:rsidR="009C25A5" w:rsidRPr="00676CE7" w:rsidRDefault="009C25A5" w:rsidP="00400DD1">
            <w:pPr>
              <w:tabs>
                <w:tab w:val="left" w:pos="237"/>
              </w:tabs>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39D9217A" w14:textId="77777777" w:rsidR="009C25A5" w:rsidRPr="009C25A5" w:rsidRDefault="009C25A5" w:rsidP="00400DD1">
            <w:pPr>
              <w:spacing w:before="30" w:line="241" w:lineRule="auto"/>
              <w:ind w:left="117" w:hanging="116"/>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רווח לפני מסים</w:t>
            </w:r>
          </w:p>
        </w:tc>
        <w:tc>
          <w:tcPr>
            <w:tcW w:w="796" w:type="dxa"/>
            <w:vAlign w:val="bottom"/>
          </w:tcPr>
          <w:p w14:paraId="59E623F4" w14:textId="77777777" w:rsidR="009C25A5" w:rsidRPr="009C25A5" w:rsidRDefault="009C25A5"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CFE3149" w14:textId="77777777" w:rsidR="009C25A5" w:rsidRPr="009C25A5" w:rsidRDefault="009C25A5"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EB5C211" w14:textId="77777777" w:rsidR="009C25A5" w:rsidRPr="009C25A5" w:rsidRDefault="009C25A5"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DE2EC74" w14:textId="77777777" w:rsidR="009C25A5" w:rsidRPr="009C25A5" w:rsidRDefault="009C25A5"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595F5BC" w14:textId="77777777" w:rsidR="009C25A5" w:rsidRPr="009C25A5" w:rsidRDefault="009C25A5"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3500EDBC" w14:textId="77777777" w:rsidR="009C25A5" w:rsidRPr="009C25A5" w:rsidRDefault="009C25A5"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FAD2739" w14:textId="77777777" w:rsidR="009C25A5" w:rsidRPr="009C25A5" w:rsidRDefault="009C25A5"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9C25A5" w:rsidRPr="00676CE7" w14:paraId="0864A3A2" w14:textId="77777777" w:rsidTr="00A82C7F">
        <w:tc>
          <w:tcPr>
            <w:tcW w:w="1123" w:type="dxa"/>
          </w:tcPr>
          <w:p w14:paraId="549082B2" w14:textId="77777777" w:rsidR="009C25A5" w:rsidRPr="00676CE7" w:rsidRDefault="009C25A5"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46F2C4EC" w14:textId="77777777" w:rsidR="009C25A5" w:rsidRPr="009C25A5" w:rsidRDefault="009C25A5" w:rsidP="00400DD1">
            <w:pPr>
              <w:spacing w:before="30" w:line="241" w:lineRule="auto"/>
              <w:ind w:left="117" w:hanging="116"/>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הפרשה למסים על הרווח</w:t>
            </w:r>
          </w:p>
        </w:tc>
        <w:tc>
          <w:tcPr>
            <w:tcW w:w="796" w:type="dxa"/>
            <w:vAlign w:val="bottom"/>
          </w:tcPr>
          <w:p w14:paraId="6A797EE7" w14:textId="77777777" w:rsidR="009C25A5" w:rsidRPr="009C25A5" w:rsidRDefault="009C25A5"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20656B5" w14:textId="77777777" w:rsidR="009C25A5" w:rsidRPr="009C25A5" w:rsidRDefault="009C25A5"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8394215" w14:textId="77777777" w:rsidR="009C25A5" w:rsidRPr="009C25A5" w:rsidRDefault="009C25A5"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27A901C9" w14:textId="77777777" w:rsidR="009C25A5" w:rsidRPr="009C25A5" w:rsidRDefault="009C25A5"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9B653EA" w14:textId="77777777" w:rsidR="009C25A5" w:rsidRPr="009C25A5" w:rsidRDefault="009C25A5"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02BDEDF6" w14:textId="77777777" w:rsidR="009C25A5" w:rsidRPr="009C25A5" w:rsidRDefault="009C25A5"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B5EA173" w14:textId="77777777" w:rsidR="009C25A5" w:rsidRPr="009C25A5" w:rsidRDefault="009C25A5"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9C25A5" w:rsidRPr="00676CE7" w14:paraId="468D4D34" w14:textId="77777777" w:rsidTr="00A82C7F">
        <w:tc>
          <w:tcPr>
            <w:tcW w:w="1123" w:type="dxa"/>
          </w:tcPr>
          <w:p w14:paraId="17E622B8" w14:textId="77777777" w:rsidR="009C25A5" w:rsidRPr="00676CE7" w:rsidRDefault="009C25A5"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72CEAE67" w14:textId="77777777" w:rsidR="009C25A5" w:rsidRPr="009C25A5" w:rsidRDefault="009C25A5" w:rsidP="00400DD1">
            <w:pPr>
              <w:spacing w:before="40"/>
              <w:ind w:left="113" w:hanging="113"/>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רווח לאחר מסים</w:t>
            </w:r>
          </w:p>
        </w:tc>
        <w:tc>
          <w:tcPr>
            <w:tcW w:w="796" w:type="dxa"/>
            <w:vAlign w:val="bottom"/>
          </w:tcPr>
          <w:p w14:paraId="7E05A325" w14:textId="77777777" w:rsidR="009C25A5" w:rsidRPr="009C25A5" w:rsidRDefault="009C25A5"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950BADA" w14:textId="77777777" w:rsidR="009C25A5" w:rsidRPr="009C25A5" w:rsidRDefault="009C25A5"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91D1323" w14:textId="77777777" w:rsidR="009C25A5" w:rsidRPr="009C25A5" w:rsidRDefault="009C25A5"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B740CAB" w14:textId="77777777" w:rsidR="009C25A5" w:rsidRPr="009C25A5" w:rsidRDefault="009C25A5"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E16C5A0" w14:textId="77777777" w:rsidR="009C25A5" w:rsidRPr="009C25A5" w:rsidRDefault="009C25A5"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5AA86C3B" w14:textId="77777777" w:rsidR="009C25A5" w:rsidRPr="009C25A5" w:rsidRDefault="009C25A5"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0A4CFCDC" w14:textId="77777777" w:rsidR="009C25A5" w:rsidRPr="009C25A5" w:rsidRDefault="009C25A5"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9C25A5" w:rsidRPr="00676CE7" w14:paraId="2C77CC3E" w14:textId="77777777" w:rsidTr="00A82C7F">
        <w:tc>
          <w:tcPr>
            <w:tcW w:w="1123" w:type="dxa"/>
          </w:tcPr>
          <w:p w14:paraId="1AEAFC38" w14:textId="77777777" w:rsidR="009C25A5" w:rsidRPr="00676CE7" w:rsidRDefault="009C25A5"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Borders>
              <w:bottom w:val="single" w:sz="8" w:space="0" w:color="auto"/>
            </w:tcBorders>
          </w:tcPr>
          <w:p w14:paraId="43DAA192" w14:textId="77777777" w:rsidR="009C25A5" w:rsidRPr="009C25A5" w:rsidRDefault="009C25A5" w:rsidP="0091316C">
            <w:pPr>
              <w:spacing w:before="40" w:after="120"/>
              <w:ind w:left="113" w:hanging="113"/>
              <w:jc w:val="left"/>
              <w:rPr>
                <w:rFonts w:asciiTheme="minorBidi" w:hAnsiTheme="minorBidi" w:cstheme="minorBidi"/>
                <w:color w:val="000000"/>
                <w:sz w:val="18"/>
                <w:szCs w:val="18"/>
                <w:rtl/>
                <w:lang w:eastAsia="he-IL"/>
              </w:rPr>
            </w:pPr>
          </w:p>
        </w:tc>
        <w:tc>
          <w:tcPr>
            <w:tcW w:w="796" w:type="dxa"/>
            <w:tcBorders>
              <w:bottom w:val="single" w:sz="8" w:space="0" w:color="auto"/>
            </w:tcBorders>
            <w:vAlign w:val="bottom"/>
          </w:tcPr>
          <w:p w14:paraId="357544D7" w14:textId="77777777" w:rsidR="009C25A5" w:rsidRPr="009C25A5" w:rsidRDefault="009C25A5" w:rsidP="009C25A5">
            <w:pPr>
              <w:spacing w:before="30" w:line="241" w:lineRule="auto"/>
              <w:jc w:val="left"/>
              <w:rPr>
                <w:rFonts w:asciiTheme="minorBidi" w:hAnsiTheme="minorBidi" w:cstheme="minorBidi"/>
                <w:sz w:val="18"/>
                <w:szCs w:val="18"/>
                <w:rtl/>
              </w:rPr>
            </w:pPr>
          </w:p>
        </w:tc>
        <w:tc>
          <w:tcPr>
            <w:tcW w:w="796" w:type="dxa"/>
            <w:tcBorders>
              <w:bottom w:val="single" w:sz="8" w:space="0" w:color="auto"/>
            </w:tcBorders>
            <w:vAlign w:val="bottom"/>
          </w:tcPr>
          <w:p w14:paraId="6EDECE09" w14:textId="77777777" w:rsidR="009C25A5" w:rsidRPr="009C25A5" w:rsidRDefault="009C25A5" w:rsidP="009C25A5">
            <w:pPr>
              <w:spacing w:before="30" w:line="241" w:lineRule="auto"/>
              <w:jc w:val="left"/>
              <w:rPr>
                <w:rFonts w:asciiTheme="minorBidi" w:hAnsiTheme="minorBidi" w:cstheme="minorBidi"/>
                <w:sz w:val="18"/>
                <w:szCs w:val="18"/>
                <w:rtl/>
              </w:rPr>
            </w:pPr>
          </w:p>
        </w:tc>
        <w:tc>
          <w:tcPr>
            <w:tcW w:w="796" w:type="dxa"/>
            <w:tcBorders>
              <w:bottom w:val="single" w:sz="8" w:space="0" w:color="auto"/>
            </w:tcBorders>
            <w:vAlign w:val="bottom"/>
          </w:tcPr>
          <w:p w14:paraId="7493189E" w14:textId="77777777" w:rsidR="009C25A5" w:rsidRPr="009C25A5" w:rsidRDefault="009C25A5" w:rsidP="009C25A5">
            <w:pPr>
              <w:spacing w:before="30" w:line="241" w:lineRule="auto"/>
              <w:jc w:val="left"/>
              <w:rPr>
                <w:rFonts w:asciiTheme="minorBidi" w:hAnsiTheme="minorBidi" w:cstheme="minorBidi"/>
                <w:sz w:val="18"/>
                <w:szCs w:val="18"/>
                <w:rtl/>
              </w:rPr>
            </w:pPr>
          </w:p>
        </w:tc>
        <w:tc>
          <w:tcPr>
            <w:tcW w:w="796" w:type="dxa"/>
            <w:tcBorders>
              <w:bottom w:val="single" w:sz="8" w:space="0" w:color="auto"/>
            </w:tcBorders>
            <w:vAlign w:val="bottom"/>
          </w:tcPr>
          <w:p w14:paraId="4A244E39" w14:textId="77777777" w:rsidR="009C25A5" w:rsidRPr="009C25A5" w:rsidRDefault="009C25A5" w:rsidP="009C25A5">
            <w:pPr>
              <w:spacing w:before="30" w:line="241" w:lineRule="auto"/>
              <w:jc w:val="left"/>
              <w:rPr>
                <w:rFonts w:asciiTheme="minorBidi" w:hAnsiTheme="minorBidi" w:cstheme="minorBidi"/>
                <w:sz w:val="18"/>
                <w:szCs w:val="18"/>
                <w:rtl/>
              </w:rPr>
            </w:pPr>
          </w:p>
        </w:tc>
        <w:tc>
          <w:tcPr>
            <w:tcW w:w="796" w:type="dxa"/>
            <w:tcBorders>
              <w:bottom w:val="single" w:sz="8" w:space="0" w:color="auto"/>
            </w:tcBorders>
            <w:vAlign w:val="bottom"/>
          </w:tcPr>
          <w:p w14:paraId="6DD9BF0A" w14:textId="77777777" w:rsidR="009C25A5" w:rsidRPr="009C25A5" w:rsidRDefault="009C25A5" w:rsidP="009C25A5">
            <w:pPr>
              <w:spacing w:before="30" w:line="241" w:lineRule="auto"/>
              <w:jc w:val="left"/>
              <w:rPr>
                <w:rFonts w:asciiTheme="minorBidi" w:hAnsiTheme="minorBidi" w:cstheme="minorBidi"/>
                <w:sz w:val="18"/>
                <w:szCs w:val="18"/>
                <w:rtl/>
              </w:rPr>
            </w:pPr>
          </w:p>
        </w:tc>
        <w:tc>
          <w:tcPr>
            <w:tcW w:w="800" w:type="dxa"/>
            <w:tcBorders>
              <w:bottom w:val="single" w:sz="8" w:space="0" w:color="auto"/>
            </w:tcBorders>
            <w:vAlign w:val="bottom"/>
          </w:tcPr>
          <w:p w14:paraId="5582D6C5" w14:textId="77777777" w:rsidR="009C25A5" w:rsidRPr="009C25A5" w:rsidRDefault="009C25A5" w:rsidP="009C25A5">
            <w:pPr>
              <w:spacing w:before="30" w:line="241" w:lineRule="auto"/>
              <w:jc w:val="left"/>
              <w:rPr>
                <w:rFonts w:asciiTheme="minorBidi" w:hAnsiTheme="minorBidi" w:cstheme="minorBidi"/>
                <w:sz w:val="18"/>
                <w:szCs w:val="18"/>
                <w:rtl/>
              </w:rPr>
            </w:pPr>
          </w:p>
        </w:tc>
        <w:tc>
          <w:tcPr>
            <w:tcW w:w="796" w:type="dxa"/>
            <w:tcBorders>
              <w:bottom w:val="single" w:sz="8" w:space="0" w:color="auto"/>
            </w:tcBorders>
            <w:vAlign w:val="bottom"/>
          </w:tcPr>
          <w:p w14:paraId="17763263" w14:textId="77777777" w:rsidR="009C25A5" w:rsidRPr="009C25A5" w:rsidRDefault="009C25A5" w:rsidP="009C25A5">
            <w:pPr>
              <w:spacing w:before="30" w:line="241" w:lineRule="auto"/>
              <w:jc w:val="left"/>
              <w:rPr>
                <w:rFonts w:asciiTheme="minorBidi" w:hAnsiTheme="minorBidi" w:cstheme="minorBidi"/>
                <w:sz w:val="18"/>
                <w:szCs w:val="18"/>
                <w:rtl/>
              </w:rPr>
            </w:pPr>
          </w:p>
        </w:tc>
      </w:tr>
      <w:tr w:rsidR="009C25A5" w:rsidRPr="00676CE7" w14:paraId="5C84804A" w14:textId="77777777" w:rsidTr="00A82C7F">
        <w:tc>
          <w:tcPr>
            <w:tcW w:w="1123" w:type="dxa"/>
          </w:tcPr>
          <w:p w14:paraId="1B55663A" w14:textId="77777777" w:rsidR="009C25A5" w:rsidRPr="00676CE7" w:rsidRDefault="009C25A5" w:rsidP="009C25A5">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Borders>
              <w:top w:val="single" w:sz="8" w:space="0" w:color="auto"/>
            </w:tcBorders>
          </w:tcPr>
          <w:p w14:paraId="363F86A1" w14:textId="73EEAA05" w:rsidR="009C25A5" w:rsidRPr="0091316C" w:rsidRDefault="009C25A5" w:rsidP="000F0AB9">
            <w:pPr>
              <w:spacing w:before="120"/>
              <w:ind w:left="113" w:hanging="113"/>
              <w:jc w:val="left"/>
              <w:rPr>
                <w:rFonts w:asciiTheme="minorBidi" w:hAnsiTheme="minorBidi" w:cstheme="minorBidi"/>
                <w:b/>
                <w:bCs/>
                <w:color w:val="000000"/>
                <w:sz w:val="17"/>
                <w:szCs w:val="17"/>
                <w:rtl/>
                <w:lang w:eastAsia="he-IL"/>
              </w:rPr>
            </w:pPr>
            <w:r w:rsidRPr="0091316C">
              <w:rPr>
                <w:rFonts w:asciiTheme="minorBidi" w:hAnsiTheme="minorBidi" w:cstheme="minorBidi"/>
                <w:b/>
                <w:bCs/>
                <w:color w:val="000000"/>
                <w:sz w:val="17"/>
                <w:szCs w:val="17"/>
                <w:rtl/>
                <w:lang w:eastAsia="he-IL"/>
              </w:rPr>
              <w:t>יתרת נכסים לסוף תקופת הדיווח</w:t>
            </w:r>
          </w:p>
        </w:tc>
        <w:tc>
          <w:tcPr>
            <w:tcW w:w="796" w:type="dxa"/>
            <w:tcBorders>
              <w:top w:val="single" w:sz="8" w:space="0" w:color="auto"/>
            </w:tcBorders>
            <w:vAlign w:val="bottom"/>
          </w:tcPr>
          <w:p w14:paraId="3E1C93DF" w14:textId="25FD6E17"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tcBorders>
              <w:top w:val="single" w:sz="8" w:space="0" w:color="auto"/>
            </w:tcBorders>
            <w:vAlign w:val="bottom"/>
          </w:tcPr>
          <w:p w14:paraId="6961B37E" w14:textId="06752DF8"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tcBorders>
              <w:top w:val="single" w:sz="8" w:space="0" w:color="auto"/>
            </w:tcBorders>
            <w:vAlign w:val="bottom"/>
          </w:tcPr>
          <w:p w14:paraId="642FCEAD" w14:textId="58712CC1"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tcBorders>
              <w:top w:val="single" w:sz="8" w:space="0" w:color="auto"/>
            </w:tcBorders>
            <w:vAlign w:val="bottom"/>
          </w:tcPr>
          <w:p w14:paraId="19189DE3" w14:textId="08CEC1A8"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tcBorders>
              <w:top w:val="single" w:sz="8" w:space="0" w:color="auto"/>
            </w:tcBorders>
            <w:vAlign w:val="bottom"/>
          </w:tcPr>
          <w:p w14:paraId="606DDB8A" w14:textId="7EE7FFD4"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tcBorders>
              <w:top w:val="single" w:sz="8" w:space="0" w:color="auto"/>
            </w:tcBorders>
            <w:vAlign w:val="bottom"/>
          </w:tcPr>
          <w:p w14:paraId="718C214F" w14:textId="254E51E4"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tcBorders>
              <w:top w:val="single" w:sz="8" w:space="0" w:color="auto"/>
            </w:tcBorders>
            <w:vAlign w:val="bottom"/>
          </w:tcPr>
          <w:p w14:paraId="27E6CE49" w14:textId="48A864A1"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9C25A5" w:rsidRPr="00676CE7" w14:paraId="244EED41" w14:textId="77777777" w:rsidTr="00A82C7F">
        <w:tc>
          <w:tcPr>
            <w:tcW w:w="1123" w:type="dxa"/>
          </w:tcPr>
          <w:p w14:paraId="227C5795" w14:textId="77777777" w:rsidR="009C25A5" w:rsidRPr="00676CE7" w:rsidRDefault="009C25A5" w:rsidP="009C25A5">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1738A3A8" w14:textId="7F29554B" w:rsidR="009C25A5" w:rsidRPr="009C25A5" w:rsidRDefault="009C25A5" w:rsidP="009C25A5">
            <w:pPr>
              <w:spacing w:before="40"/>
              <w:ind w:left="113" w:hanging="113"/>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מזה: יתרת האשראי לציבור</w:t>
            </w:r>
          </w:p>
        </w:tc>
        <w:tc>
          <w:tcPr>
            <w:tcW w:w="796" w:type="dxa"/>
            <w:vAlign w:val="bottom"/>
          </w:tcPr>
          <w:p w14:paraId="72EB242B" w14:textId="6FBA1228"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41D7720B" w14:textId="505788BC"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013EE38C" w14:textId="4925660B"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64AC1347" w14:textId="3AC8945B"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386C6515" w14:textId="3BF0312A"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316EB736" w14:textId="089AE463"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F77719F" w14:textId="3938726C"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9C25A5" w:rsidRPr="00676CE7" w14:paraId="221F9640" w14:textId="77777777" w:rsidTr="00A82C7F">
        <w:tc>
          <w:tcPr>
            <w:tcW w:w="1123" w:type="dxa"/>
          </w:tcPr>
          <w:p w14:paraId="02F0A046" w14:textId="77777777" w:rsidR="009C25A5" w:rsidRPr="00676CE7" w:rsidRDefault="009C25A5" w:rsidP="009C25A5">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64413FBF" w14:textId="458A6583" w:rsidR="009C25A5" w:rsidRPr="009C25A5" w:rsidRDefault="009C25A5" w:rsidP="009C25A5">
            <w:pPr>
              <w:spacing w:before="40"/>
              <w:ind w:left="113" w:hanging="113"/>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השקעות בחברות כלולות</w:t>
            </w:r>
          </w:p>
        </w:tc>
        <w:tc>
          <w:tcPr>
            <w:tcW w:w="796" w:type="dxa"/>
            <w:vAlign w:val="bottom"/>
          </w:tcPr>
          <w:p w14:paraId="36376392" w14:textId="696528FB"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05F3B913" w14:textId="68E20F94"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20FC9FE" w14:textId="437C9E45"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62C50909" w14:textId="1ED0A06C"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3BF89089" w14:textId="44A72387"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49CDB1AF" w14:textId="5B0AD925"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3265F36" w14:textId="4A3937E2"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9C25A5" w:rsidRPr="00676CE7" w14:paraId="78E0389F" w14:textId="77777777" w:rsidTr="00A82C7F">
        <w:tc>
          <w:tcPr>
            <w:tcW w:w="1123" w:type="dxa"/>
          </w:tcPr>
          <w:p w14:paraId="4B20F977" w14:textId="77777777" w:rsidR="009C25A5" w:rsidRPr="00676CE7" w:rsidRDefault="009C25A5"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4B0F2844" w14:textId="77777777" w:rsidR="009C25A5" w:rsidRPr="009C25A5" w:rsidRDefault="009C25A5" w:rsidP="00400DD1">
            <w:pPr>
              <w:spacing w:before="40"/>
              <w:ind w:left="113" w:hanging="113"/>
              <w:jc w:val="left"/>
              <w:rPr>
                <w:rFonts w:asciiTheme="minorBidi" w:hAnsiTheme="minorBidi" w:cstheme="minorBidi"/>
                <w:color w:val="000000"/>
                <w:sz w:val="18"/>
                <w:szCs w:val="18"/>
                <w:rtl/>
                <w:lang w:eastAsia="he-IL"/>
              </w:rPr>
            </w:pPr>
          </w:p>
        </w:tc>
        <w:tc>
          <w:tcPr>
            <w:tcW w:w="796" w:type="dxa"/>
            <w:vAlign w:val="bottom"/>
          </w:tcPr>
          <w:p w14:paraId="1F8890F9" w14:textId="77777777" w:rsidR="009C25A5" w:rsidRPr="009C25A5" w:rsidRDefault="009C25A5" w:rsidP="009C25A5">
            <w:pPr>
              <w:spacing w:before="30" w:line="241" w:lineRule="auto"/>
              <w:jc w:val="left"/>
              <w:rPr>
                <w:rFonts w:asciiTheme="minorBidi" w:hAnsiTheme="minorBidi" w:cstheme="minorBidi"/>
                <w:sz w:val="18"/>
                <w:szCs w:val="18"/>
                <w:rtl/>
              </w:rPr>
            </w:pPr>
          </w:p>
        </w:tc>
        <w:tc>
          <w:tcPr>
            <w:tcW w:w="796" w:type="dxa"/>
            <w:vAlign w:val="bottom"/>
          </w:tcPr>
          <w:p w14:paraId="552E52E2" w14:textId="77777777" w:rsidR="009C25A5" w:rsidRPr="009C25A5" w:rsidRDefault="009C25A5" w:rsidP="009C25A5">
            <w:pPr>
              <w:spacing w:before="30" w:line="241" w:lineRule="auto"/>
              <w:jc w:val="left"/>
              <w:rPr>
                <w:rFonts w:asciiTheme="minorBidi" w:hAnsiTheme="minorBidi" w:cstheme="minorBidi"/>
                <w:sz w:val="18"/>
                <w:szCs w:val="18"/>
                <w:rtl/>
              </w:rPr>
            </w:pPr>
          </w:p>
        </w:tc>
        <w:tc>
          <w:tcPr>
            <w:tcW w:w="796" w:type="dxa"/>
            <w:vAlign w:val="bottom"/>
          </w:tcPr>
          <w:p w14:paraId="6D2E8B4E" w14:textId="77777777" w:rsidR="009C25A5" w:rsidRPr="009C25A5" w:rsidRDefault="009C25A5" w:rsidP="009C25A5">
            <w:pPr>
              <w:spacing w:before="30" w:line="241" w:lineRule="auto"/>
              <w:jc w:val="left"/>
              <w:rPr>
                <w:rFonts w:asciiTheme="minorBidi" w:hAnsiTheme="minorBidi" w:cstheme="minorBidi"/>
                <w:sz w:val="18"/>
                <w:szCs w:val="18"/>
                <w:rtl/>
              </w:rPr>
            </w:pPr>
          </w:p>
        </w:tc>
        <w:tc>
          <w:tcPr>
            <w:tcW w:w="796" w:type="dxa"/>
            <w:vAlign w:val="bottom"/>
          </w:tcPr>
          <w:p w14:paraId="2DA31C0F" w14:textId="77777777" w:rsidR="009C25A5" w:rsidRPr="009C25A5" w:rsidRDefault="009C25A5" w:rsidP="009C25A5">
            <w:pPr>
              <w:spacing w:before="30" w:line="241" w:lineRule="auto"/>
              <w:jc w:val="left"/>
              <w:rPr>
                <w:rFonts w:asciiTheme="minorBidi" w:hAnsiTheme="minorBidi" w:cstheme="minorBidi"/>
                <w:sz w:val="18"/>
                <w:szCs w:val="18"/>
                <w:rtl/>
              </w:rPr>
            </w:pPr>
          </w:p>
        </w:tc>
        <w:tc>
          <w:tcPr>
            <w:tcW w:w="796" w:type="dxa"/>
            <w:vAlign w:val="bottom"/>
          </w:tcPr>
          <w:p w14:paraId="65783481" w14:textId="77777777" w:rsidR="009C25A5" w:rsidRPr="009C25A5" w:rsidRDefault="009C25A5" w:rsidP="009C25A5">
            <w:pPr>
              <w:spacing w:before="30" w:line="241" w:lineRule="auto"/>
              <w:jc w:val="left"/>
              <w:rPr>
                <w:rFonts w:asciiTheme="minorBidi" w:hAnsiTheme="minorBidi" w:cstheme="minorBidi"/>
                <w:sz w:val="18"/>
                <w:szCs w:val="18"/>
                <w:rtl/>
              </w:rPr>
            </w:pPr>
          </w:p>
        </w:tc>
        <w:tc>
          <w:tcPr>
            <w:tcW w:w="800" w:type="dxa"/>
            <w:vAlign w:val="bottom"/>
          </w:tcPr>
          <w:p w14:paraId="4F831686" w14:textId="77777777" w:rsidR="009C25A5" w:rsidRPr="009C25A5" w:rsidRDefault="009C25A5" w:rsidP="009C25A5">
            <w:pPr>
              <w:spacing w:before="30" w:line="241" w:lineRule="auto"/>
              <w:jc w:val="left"/>
              <w:rPr>
                <w:rFonts w:asciiTheme="minorBidi" w:hAnsiTheme="minorBidi" w:cstheme="minorBidi"/>
                <w:sz w:val="18"/>
                <w:szCs w:val="18"/>
                <w:rtl/>
              </w:rPr>
            </w:pPr>
          </w:p>
        </w:tc>
        <w:tc>
          <w:tcPr>
            <w:tcW w:w="796" w:type="dxa"/>
            <w:vAlign w:val="bottom"/>
          </w:tcPr>
          <w:p w14:paraId="7303EE77" w14:textId="77777777" w:rsidR="009C25A5" w:rsidRPr="009C25A5" w:rsidRDefault="009C25A5" w:rsidP="009C25A5">
            <w:pPr>
              <w:spacing w:before="30" w:line="241" w:lineRule="auto"/>
              <w:jc w:val="left"/>
              <w:rPr>
                <w:rFonts w:asciiTheme="minorBidi" w:hAnsiTheme="minorBidi" w:cstheme="minorBidi"/>
                <w:sz w:val="18"/>
                <w:szCs w:val="18"/>
                <w:rtl/>
              </w:rPr>
            </w:pPr>
          </w:p>
        </w:tc>
      </w:tr>
      <w:tr w:rsidR="009C25A5" w:rsidRPr="00676CE7" w14:paraId="277589E6" w14:textId="77777777" w:rsidTr="00A82C7F">
        <w:tc>
          <w:tcPr>
            <w:tcW w:w="1123" w:type="dxa"/>
          </w:tcPr>
          <w:p w14:paraId="4CE93375" w14:textId="77777777" w:rsidR="009C25A5" w:rsidRPr="00676CE7" w:rsidRDefault="009C25A5" w:rsidP="009C25A5">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2967E78C" w14:textId="4D6B12EB" w:rsidR="009C25A5" w:rsidRPr="0091316C" w:rsidRDefault="009C25A5" w:rsidP="009C25A5">
            <w:pPr>
              <w:spacing w:before="40"/>
              <w:ind w:left="113" w:hanging="113"/>
              <w:jc w:val="left"/>
              <w:rPr>
                <w:rFonts w:asciiTheme="minorBidi" w:hAnsiTheme="minorBidi" w:cstheme="minorBidi"/>
                <w:b/>
                <w:bCs/>
                <w:color w:val="000000"/>
                <w:sz w:val="17"/>
                <w:szCs w:val="17"/>
                <w:rtl/>
                <w:lang w:eastAsia="he-IL"/>
              </w:rPr>
            </w:pPr>
            <w:r w:rsidRPr="0091316C">
              <w:rPr>
                <w:rFonts w:asciiTheme="minorBidi" w:hAnsiTheme="minorBidi" w:cstheme="minorBidi"/>
                <w:b/>
                <w:bCs/>
                <w:color w:val="000000"/>
                <w:sz w:val="17"/>
                <w:szCs w:val="17"/>
                <w:rtl/>
                <w:lang w:eastAsia="he-IL"/>
              </w:rPr>
              <w:t xml:space="preserve">יתרת התחייבויות לסוף תקופת הדיווח </w:t>
            </w:r>
          </w:p>
        </w:tc>
        <w:tc>
          <w:tcPr>
            <w:tcW w:w="796" w:type="dxa"/>
            <w:vAlign w:val="bottom"/>
          </w:tcPr>
          <w:p w14:paraId="122AA9BF" w14:textId="1FC19751"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09BECD98" w14:textId="60D6BF03"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7E20573" w14:textId="296AC5F6"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34F806B0" w14:textId="0039291D"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2A2555CC" w14:textId="2BEB0099"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75592E00" w14:textId="7182B6DC"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946AD5C" w14:textId="3EAE16E0"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9C25A5" w:rsidRPr="00676CE7" w14:paraId="3B00AF11" w14:textId="77777777" w:rsidTr="00A82C7F">
        <w:tc>
          <w:tcPr>
            <w:tcW w:w="1123" w:type="dxa"/>
          </w:tcPr>
          <w:p w14:paraId="6338108C" w14:textId="77777777" w:rsidR="009C25A5" w:rsidRPr="00676CE7" w:rsidRDefault="009C25A5" w:rsidP="009C25A5">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78DFBC73" w14:textId="37B05A14" w:rsidR="009C25A5" w:rsidRPr="009C25A5" w:rsidRDefault="009C25A5" w:rsidP="009C25A5">
            <w:pPr>
              <w:spacing w:before="40"/>
              <w:ind w:left="113" w:hanging="113"/>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מזה: יתרת פיקדונות הציבור</w:t>
            </w:r>
          </w:p>
        </w:tc>
        <w:tc>
          <w:tcPr>
            <w:tcW w:w="796" w:type="dxa"/>
            <w:vAlign w:val="bottom"/>
          </w:tcPr>
          <w:p w14:paraId="3A4D6FB4" w14:textId="037C8EC8"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47C323D5" w14:textId="5C7E3624"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24427B3F" w14:textId="70EFF8B6"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257EE3B3" w14:textId="41256510"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0FF20C44" w14:textId="52A2F5E5"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53CD560F" w14:textId="50C03F49"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076B50A0" w14:textId="7A48BF57" w:rsidR="009C25A5" w:rsidRPr="009C25A5" w:rsidRDefault="009C25A5" w:rsidP="009C25A5">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bl>
    <w:p w14:paraId="0890033E" w14:textId="77777777" w:rsidR="00A701BC" w:rsidRDefault="00A701BC">
      <w:pPr>
        <w:rPr>
          <w:rtl/>
        </w:rPr>
      </w:pPr>
    </w:p>
    <w:p w14:paraId="17D926FC" w14:textId="026CCB67" w:rsidR="00C573F6" w:rsidRDefault="009C25A5" w:rsidP="00467018">
      <w:pPr>
        <w:bidi w:val="0"/>
        <w:spacing w:line="20" w:lineRule="exact"/>
      </w:pPr>
      <w:r>
        <w:rPr>
          <w:rtl/>
        </w:rPr>
        <w:t xml:space="preserve"> </w:t>
      </w:r>
      <w:r w:rsidR="00C573F6">
        <w:rPr>
          <w:rtl/>
        </w:rPr>
        <w:br w:type="page"/>
      </w:r>
    </w:p>
    <w:p w14:paraId="304900C2" w14:textId="4FE21948" w:rsidR="00F761B5" w:rsidRDefault="00F761B5" w:rsidP="00467018">
      <w:pPr>
        <w:bidi w:val="0"/>
        <w:spacing w:line="20" w:lineRule="exact"/>
      </w:pPr>
    </w:p>
    <w:p w14:paraId="4D0A4375" w14:textId="50047ED1" w:rsidR="00C573F6" w:rsidRDefault="00C573F6" w:rsidP="00467018">
      <w:pPr>
        <w:bidi w:val="0"/>
        <w:spacing w:line="20" w:lineRule="exact"/>
      </w:pPr>
    </w:p>
    <w:p w14:paraId="1B67B5C0" w14:textId="5C5389A6" w:rsidR="00A36570" w:rsidRDefault="00A36570" w:rsidP="00467018">
      <w:pPr>
        <w:bidi w:val="0"/>
        <w:spacing w:line="20" w:lineRule="exact"/>
      </w:pPr>
    </w:p>
    <w:tbl>
      <w:tblPr>
        <w:bidiVisual/>
        <w:tblW w:w="10287" w:type="dxa"/>
        <w:tblInd w:w="-76" w:type="dxa"/>
        <w:tblLook w:val="04A0" w:firstRow="1" w:lastRow="0" w:firstColumn="1" w:lastColumn="0" w:noHBand="0" w:noVBand="1"/>
      </w:tblPr>
      <w:tblGrid>
        <w:gridCol w:w="85"/>
        <w:gridCol w:w="993"/>
        <w:gridCol w:w="1030"/>
        <w:gridCol w:w="2513"/>
        <w:gridCol w:w="67"/>
        <w:gridCol w:w="729"/>
        <w:gridCol w:w="67"/>
        <w:gridCol w:w="729"/>
        <w:gridCol w:w="67"/>
        <w:gridCol w:w="729"/>
        <w:gridCol w:w="67"/>
        <w:gridCol w:w="729"/>
        <w:gridCol w:w="67"/>
        <w:gridCol w:w="729"/>
        <w:gridCol w:w="67"/>
        <w:gridCol w:w="733"/>
        <w:gridCol w:w="67"/>
        <w:gridCol w:w="796"/>
        <w:gridCol w:w="23"/>
      </w:tblGrid>
      <w:tr w:rsidR="00A36570" w:rsidRPr="00D947F3" w14:paraId="2CBD1C3C" w14:textId="77777777" w:rsidTr="00A82C7F">
        <w:trPr>
          <w:gridBefore w:val="1"/>
          <w:wBefore w:w="85" w:type="dxa"/>
          <w:trHeight w:val="259"/>
        </w:trPr>
        <w:tc>
          <w:tcPr>
            <w:tcW w:w="993" w:type="dxa"/>
          </w:tcPr>
          <w:p w14:paraId="74B45054" w14:textId="77777777" w:rsidR="00A36570" w:rsidRPr="00D947F3" w:rsidRDefault="00A36570" w:rsidP="00E458D0">
            <w:pPr>
              <w:spacing w:before="20" w:after="60"/>
              <w:ind w:right="-144"/>
              <w:jc w:val="left"/>
              <w:rPr>
                <w:spacing w:val="-6"/>
                <w:sz w:val="14"/>
                <w:szCs w:val="14"/>
                <w:rtl/>
              </w:rPr>
            </w:pPr>
          </w:p>
        </w:tc>
        <w:tc>
          <w:tcPr>
            <w:tcW w:w="9209" w:type="dxa"/>
            <w:gridSpan w:val="17"/>
          </w:tcPr>
          <w:p w14:paraId="447A8E97" w14:textId="77777777" w:rsidR="00A36570" w:rsidRPr="00D947F3" w:rsidRDefault="00A36570" w:rsidP="00316579">
            <w:pPr>
              <w:spacing w:before="20" w:after="60"/>
              <w:rPr>
                <w:b/>
                <w:bCs/>
                <w:sz w:val="22"/>
                <w:szCs w:val="22"/>
                <w:rtl/>
              </w:rPr>
            </w:pPr>
            <w:r w:rsidRPr="00D947F3">
              <w:rPr>
                <w:rFonts w:hint="cs"/>
                <w:b/>
                <w:bCs/>
                <w:sz w:val="22"/>
                <w:szCs w:val="22"/>
                <w:rtl/>
              </w:rPr>
              <w:t xml:space="preserve">ביאור </w:t>
            </w:r>
            <w:r>
              <w:rPr>
                <w:rFonts w:hint="cs"/>
                <w:b/>
                <w:bCs/>
                <w:sz w:val="22"/>
                <w:szCs w:val="22"/>
                <w:rtl/>
              </w:rPr>
              <w:t>1</w:t>
            </w:r>
            <w:r w:rsidR="00316579">
              <w:rPr>
                <w:rFonts w:hint="cs"/>
                <w:b/>
                <w:bCs/>
                <w:sz w:val="22"/>
                <w:szCs w:val="22"/>
                <w:rtl/>
              </w:rPr>
              <w:t>1</w:t>
            </w:r>
            <w:r w:rsidRPr="00D947F3">
              <w:rPr>
                <w:rFonts w:hint="cs"/>
                <w:b/>
                <w:bCs/>
                <w:sz w:val="22"/>
                <w:szCs w:val="22"/>
                <w:rtl/>
              </w:rPr>
              <w:t>א - מגזרי פעילות לפי גישת ההנהלה (המשך):</w:t>
            </w:r>
          </w:p>
        </w:tc>
      </w:tr>
      <w:tr w:rsidR="002A7A40" w:rsidRPr="00D947F3" w14:paraId="5FE8A594" w14:textId="77777777" w:rsidTr="00A82C7F">
        <w:tblPrEx>
          <w:tblLook w:val="01E0" w:firstRow="1" w:lastRow="1" w:firstColumn="1" w:lastColumn="1" w:noHBand="0" w:noVBand="0"/>
        </w:tblPrEx>
        <w:tc>
          <w:tcPr>
            <w:tcW w:w="1078" w:type="dxa"/>
            <w:gridSpan w:val="2"/>
          </w:tcPr>
          <w:p w14:paraId="436F600B" w14:textId="43532DD3" w:rsidR="002A7A40" w:rsidRPr="002A7A40" w:rsidRDefault="002A7A40" w:rsidP="00400DD1">
            <w:pPr>
              <w:spacing w:before="100" w:after="60"/>
              <w:ind w:left="-57"/>
              <w:rPr>
                <w:b/>
                <w:bCs/>
                <w:spacing w:val="-2"/>
                <w:sz w:val="13"/>
                <w:szCs w:val="13"/>
              </w:rPr>
            </w:pPr>
          </w:p>
        </w:tc>
        <w:tc>
          <w:tcPr>
            <w:tcW w:w="9209" w:type="dxa"/>
            <w:gridSpan w:val="17"/>
          </w:tcPr>
          <w:p w14:paraId="22C44DC8" w14:textId="52176AED" w:rsidR="002A7A40" w:rsidRPr="00D947F3" w:rsidRDefault="002A7A40" w:rsidP="00400DD1">
            <w:pPr>
              <w:tabs>
                <w:tab w:val="left" w:pos="279"/>
              </w:tabs>
              <w:spacing w:before="60" w:after="60" w:line="241" w:lineRule="auto"/>
              <w:rPr>
                <w:b/>
                <w:bCs/>
                <w:rtl/>
              </w:rPr>
            </w:pPr>
            <w:r w:rsidRPr="00D947F3">
              <w:rPr>
                <w:rFonts w:hint="eastAsia"/>
                <w:b/>
                <w:bCs/>
                <w:rtl/>
              </w:rPr>
              <w:t>ב</w:t>
            </w:r>
            <w:r w:rsidRPr="00D947F3">
              <w:rPr>
                <w:b/>
                <w:bCs/>
                <w:rtl/>
              </w:rPr>
              <w:t>.</w:t>
            </w:r>
            <w:r w:rsidRPr="00D947F3">
              <w:rPr>
                <w:b/>
                <w:bCs/>
                <w:rtl/>
              </w:rPr>
              <w:tab/>
            </w:r>
            <w:r w:rsidRPr="00D947F3">
              <w:rPr>
                <w:rFonts w:hint="eastAsia"/>
                <w:b/>
                <w:bCs/>
                <w:rtl/>
              </w:rPr>
              <w:t>מידע</w:t>
            </w:r>
            <w:r w:rsidRPr="00D947F3">
              <w:rPr>
                <w:b/>
                <w:bCs/>
                <w:rtl/>
              </w:rPr>
              <w:t xml:space="preserve"> </w:t>
            </w:r>
            <w:r>
              <w:rPr>
                <w:rFonts w:hint="cs"/>
                <w:b/>
                <w:bCs/>
                <w:rtl/>
              </w:rPr>
              <w:t xml:space="preserve">לגבי רווח או הפסד, נכסים </w:t>
            </w:r>
            <w:r w:rsidRPr="00A701BC">
              <w:rPr>
                <w:rFonts w:hint="eastAsia"/>
                <w:b/>
                <w:bCs/>
                <w:rtl/>
              </w:rPr>
              <w:t>והתחייבויות</w:t>
            </w:r>
            <w:r>
              <w:rPr>
                <w:rFonts w:hint="cs"/>
                <w:b/>
                <w:bCs/>
                <w:rtl/>
              </w:rPr>
              <w:t xml:space="preserve"> (המשך)</w:t>
            </w:r>
            <w:r w:rsidRPr="00A701BC">
              <w:rPr>
                <w:b/>
                <w:bCs/>
                <w:rtl/>
              </w:rPr>
              <w:t>:</w:t>
            </w:r>
            <w:r w:rsidRPr="00030C7C">
              <w:rPr>
                <w:b/>
                <w:bCs/>
                <w:sz w:val="18"/>
                <w:szCs w:val="18"/>
                <w:vertAlign w:val="superscript"/>
                <w:rtl/>
              </w:rPr>
              <w:t xml:space="preserve"> </w:t>
            </w:r>
          </w:p>
        </w:tc>
      </w:tr>
      <w:tr w:rsidR="002A7A40" w:rsidRPr="00676CE7" w14:paraId="14BBB98B" w14:textId="77777777" w:rsidTr="00A82C7F">
        <w:tc>
          <w:tcPr>
            <w:tcW w:w="1078" w:type="dxa"/>
            <w:gridSpan w:val="2"/>
          </w:tcPr>
          <w:p w14:paraId="7B251A3F" w14:textId="77777777" w:rsidR="002A7A40" w:rsidRPr="00676CE7" w:rsidRDefault="002A7A40" w:rsidP="00400DD1">
            <w:pPr>
              <w:jc w:val="left"/>
              <w:rPr>
                <w:rFonts w:asciiTheme="minorBidi" w:hAnsiTheme="minorBidi" w:cstheme="minorBidi"/>
                <w:color w:val="000000"/>
                <w:sz w:val="18"/>
                <w:szCs w:val="18"/>
                <w:lang w:eastAsia="he-IL"/>
              </w:rPr>
            </w:pPr>
          </w:p>
        </w:tc>
        <w:tc>
          <w:tcPr>
            <w:tcW w:w="3543" w:type="dxa"/>
            <w:gridSpan w:val="2"/>
            <w:vAlign w:val="bottom"/>
          </w:tcPr>
          <w:p w14:paraId="596CC9E9" w14:textId="77777777" w:rsidR="002A7A40" w:rsidRPr="00676CE7" w:rsidRDefault="002A7A40" w:rsidP="00400DD1">
            <w:pPr>
              <w:jc w:val="left"/>
              <w:rPr>
                <w:rFonts w:asciiTheme="minorBidi" w:hAnsiTheme="minorBidi" w:cstheme="minorBidi"/>
                <w:color w:val="000000"/>
                <w:sz w:val="18"/>
                <w:szCs w:val="18"/>
                <w:rtl/>
                <w:lang w:eastAsia="he-IL"/>
              </w:rPr>
            </w:pPr>
          </w:p>
        </w:tc>
        <w:tc>
          <w:tcPr>
            <w:tcW w:w="5666" w:type="dxa"/>
            <w:gridSpan w:val="15"/>
            <w:vAlign w:val="bottom"/>
          </w:tcPr>
          <w:p w14:paraId="3D8AE68E" w14:textId="616F7472" w:rsidR="002A7A40" w:rsidRPr="00676CE7" w:rsidRDefault="002A7A40" w:rsidP="00400DD1">
            <w:pPr>
              <w:pBdr>
                <w:bottom w:val="single" w:sz="6" w:space="1" w:color="auto"/>
              </w:pBdr>
              <w:spacing w:before="40"/>
              <w:jc w:val="center"/>
              <w:rPr>
                <w:rFonts w:asciiTheme="minorBidi" w:hAnsiTheme="minorBidi" w:cstheme="minorBidi"/>
                <w:b/>
                <w:bCs/>
                <w:sz w:val="18"/>
                <w:szCs w:val="18"/>
                <w:rtl/>
              </w:rPr>
            </w:pPr>
            <w:r w:rsidRPr="00676CE7">
              <w:rPr>
                <w:rFonts w:asciiTheme="minorBidi" w:hAnsiTheme="minorBidi" w:cstheme="minorBidi"/>
                <w:b/>
                <w:bCs/>
                <w:sz w:val="18"/>
                <w:szCs w:val="18"/>
                <w:rtl/>
              </w:rPr>
              <w:t xml:space="preserve">לשלושה חודשים שהסתיימו ביום 30 ביוני </w:t>
            </w:r>
            <w:r w:rsidRPr="00676CE7">
              <w:rPr>
                <w:rFonts w:asciiTheme="minorBidi" w:hAnsiTheme="minorBidi" w:cstheme="minorBidi"/>
                <w:b/>
                <w:bCs/>
                <w:sz w:val="18"/>
                <w:szCs w:val="18"/>
                <w:rtl/>
              </w:rPr>
              <w:fldChar w:fldCharType="begin"/>
            </w:r>
            <w:r w:rsidRPr="00676CE7">
              <w:rPr>
                <w:rFonts w:asciiTheme="minorBidi" w:hAnsiTheme="minorBidi" w:cstheme="minorBidi"/>
                <w:b/>
                <w:bCs/>
                <w:sz w:val="18"/>
                <w:szCs w:val="18"/>
                <w:rtl/>
              </w:rPr>
              <w:instrText xml:space="preserve"> = </w:instrText>
            </w:r>
            <w:r w:rsidRPr="00676CE7">
              <w:rPr>
                <w:rFonts w:asciiTheme="minorBidi" w:hAnsiTheme="minorBidi" w:cstheme="minorBidi"/>
                <w:b/>
                <w:bCs/>
                <w:sz w:val="18"/>
                <w:szCs w:val="18"/>
              </w:rPr>
              <w:instrText>CY</w:instrText>
            </w:r>
            <w:r>
              <w:rPr>
                <w:rFonts w:asciiTheme="minorBidi" w:hAnsiTheme="minorBidi" w:cstheme="minorBidi"/>
                <w:b/>
                <w:bCs/>
                <w:sz w:val="18"/>
                <w:szCs w:val="18"/>
              </w:rPr>
              <w:instrText>-1</w:instrText>
            </w:r>
            <w:r w:rsidRPr="00676CE7">
              <w:rPr>
                <w:rFonts w:asciiTheme="minorBidi" w:hAnsiTheme="minorBidi" w:cstheme="minorBidi"/>
                <w:b/>
                <w:bCs/>
                <w:sz w:val="18"/>
                <w:szCs w:val="18"/>
              </w:rPr>
              <w:instrText xml:space="preserve"> \* MERGEFORMAT</w:instrText>
            </w:r>
            <w:r w:rsidRPr="00676CE7">
              <w:rPr>
                <w:rFonts w:asciiTheme="minorBidi" w:hAnsiTheme="minorBidi" w:cstheme="minorBidi"/>
                <w:b/>
                <w:bCs/>
                <w:sz w:val="18"/>
                <w:szCs w:val="18"/>
                <w:rtl/>
              </w:rPr>
              <w:instrText xml:space="preserve"> </w:instrText>
            </w:r>
            <w:r w:rsidRPr="00676CE7">
              <w:rPr>
                <w:rFonts w:asciiTheme="minorBidi" w:hAnsiTheme="minorBidi" w:cstheme="minorBidi"/>
                <w:b/>
                <w:bCs/>
                <w:sz w:val="18"/>
                <w:szCs w:val="18"/>
                <w:rtl/>
              </w:rPr>
              <w:fldChar w:fldCharType="separate"/>
            </w:r>
            <w:r w:rsidR="003A584F">
              <w:rPr>
                <w:rFonts w:asciiTheme="minorBidi" w:hAnsiTheme="minorBidi" w:cstheme="minorBidi"/>
                <w:b/>
                <w:bCs/>
                <w:noProof/>
                <w:sz w:val="18"/>
                <w:szCs w:val="18"/>
                <w:rtl/>
              </w:rPr>
              <w:t>2023</w:t>
            </w:r>
            <w:r w:rsidRPr="00676CE7">
              <w:rPr>
                <w:rFonts w:asciiTheme="minorBidi" w:hAnsiTheme="minorBidi" w:cstheme="minorBidi"/>
                <w:b/>
                <w:bCs/>
                <w:sz w:val="18"/>
                <w:szCs w:val="18"/>
                <w:rtl/>
              </w:rPr>
              <w:fldChar w:fldCharType="end"/>
            </w:r>
            <w:r>
              <w:rPr>
                <w:rFonts w:asciiTheme="minorBidi" w:hAnsiTheme="minorBidi" w:cstheme="minorBidi" w:hint="cs"/>
                <w:b/>
                <w:bCs/>
                <w:sz w:val="18"/>
                <w:szCs w:val="18"/>
                <w:rtl/>
              </w:rPr>
              <w:t xml:space="preserve"> </w:t>
            </w:r>
            <w:r w:rsidRPr="00164582">
              <w:rPr>
                <w:rFonts w:asciiTheme="minorBidi" w:hAnsiTheme="minorBidi" w:cstheme="minorBidi" w:hint="cs"/>
                <w:sz w:val="18"/>
                <w:szCs w:val="18"/>
                <w:rtl/>
              </w:rPr>
              <w:t>(</w:t>
            </w:r>
            <w:r w:rsidRPr="00164582">
              <w:rPr>
                <w:rFonts w:asciiTheme="minorBidi" w:hAnsiTheme="minorBidi" w:cstheme="minorBidi"/>
                <w:sz w:val="18"/>
                <w:szCs w:val="18"/>
                <w:rtl/>
              </w:rPr>
              <w:t>בלתי מבוקר</w:t>
            </w:r>
            <w:r w:rsidRPr="00164582">
              <w:rPr>
                <w:rFonts w:asciiTheme="minorBidi" w:hAnsiTheme="minorBidi" w:cstheme="minorBidi" w:hint="cs"/>
                <w:sz w:val="18"/>
                <w:szCs w:val="18"/>
                <w:rtl/>
              </w:rPr>
              <w:t>)</w:t>
            </w:r>
          </w:p>
        </w:tc>
      </w:tr>
      <w:tr w:rsidR="002A7A40" w:rsidRPr="00676CE7" w14:paraId="670B631D" w14:textId="77777777" w:rsidTr="00A82C7F">
        <w:tc>
          <w:tcPr>
            <w:tcW w:w="1078" w:type="dxa"/>
            <w:gridSpan w:val="2"/>
          </w:tcPr>
          <w:p w14:paraId="00C9C8D1" w14:textId="77777777" w:rsidR="002A7A40" w:rsidRPr="00676CE7" w:rsidRDefault="002A7A40" w:rsidP="00400DD1">
            <w:pPr>
              <w:jc w:val="left"/>
              <w:rPr>
                <w:rFonts w:asciiTheme="minorBidi" w:hAnsiTheme="minorBidi" w:cstheme="minorBidi"/>
                <w:color w:val="000000"/>
                <w:sz w:val="18"/>
                <w:szCs w:val="18"/>
                <w:rtl/>
                <w:lang w:eastAsia="he-IL"/>
              </w:rPr>
            </w:pPr>
          </w:p>
        </w:tc>
        <w:tc>
          <w:tcPr>
            <w:tcW w:w="3543" w:type="dxa"/>
            <w:gridSpan w:val="2"/>
          </w:tcPr>
          <w:p w14:paraId="582999B2" w14:textId="77777777" w:rsidR="002A7A40" w:rsidRPr="00676CE7" w:rsidRDefault="002A7A40" w:rsidP="00400DD1">
            <w:pPr>
              <w:ind w:left="144" w:hanging="144"/>
              <w:jc w:val="left"/>
              <w:rPr>
                <w:rFonts w:asciiTheme="minorBidi" w:hAnsiTheme="minorBidi" w:cstheme="minorBidi"/>
                <w:color w:val="000000"/>
                <w:sz w:val="18"/>
                <w:szCs w:val="18"/>
                <w:rtl/>
                <w:lang w:eastAsia="he-IL"/>
              </w:rPr>
            </w:pPr>
          </w:p>
        </w:tc>
        <w:tc>
          <w:tcPr>
            <w:tcW w:w="796" w:type="dxa"/>
            <w:gridSpan w:val="2"/>
            <w:vAlign w:val="bottom"/>
          </w:tcPr>
          <w:p w14:paraId="4EFA1C1A"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1</w:t>
            </w:r>
          </w:p>
        </w:tc>
        <w:tc>
          <w:tcPr>
            <w:tcW w:w="796" w:type="dxa"/>
            <w:gridSpan w:val="2"/>
            <w:vAlign w:val="bottom"/>
          </w:tcPr>
          <w:p w14:paraId="6C14FFF6"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2</w:t>
            </w:r>
          </w:p>
        </w:tc>
        <w:tc>
          <w:tcPr>
            <w:tcW w:w="796" w:type="dxa"/>
            <w:gridSpan w:val="2"/>
            <w:vAlign w:val="bottom"/>
          </w:tcPr>
          <w:p w14:paraId="7CAC7D7E"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3</w:t>
            </w:r>
          </w:p>
        </w:tc>
        <w:tc>
          <w:tcPr>
            <w:tcW w:w="796" w:type="dxa"/>
            <w:gridSpan w:val="2"/>
            <w:vAlign w:val="bottom"/>
          </w:tcPr>
          <w:p w14:paraId="0057582B"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4</w:t>
            </w:r>
          </w:p>
        </w:tc>
        <w:tc>
          <w:tcPr>
            <w:tcW w:w="796" w:type="dxa"/>
            <w:gridSpan w:val="2"/>
            <w:vAlign w:val="bottom"/>
          </w:tcPr>
          <w:p w14:paraId="31DE13CF"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5</w:t>
            </w:r>
          </w:p>
        </w:tc>
        <w:tc>
          <w:tcPr>
            <w:tcW w:w="800" w:type="dxa"/>
            <w:gridSpan w:val="2"/>
            <w:vAlign w:val="bottom"/>
          </w:tcPr>
          <w:p w14:paraId="2FAAA9CB" w14:textId="77777777" w:rsidR="002A7A40" w:rsidRPr="00676CE7" w:rsidRDefault="002A7A40" w:rsidP="00400DD1">
            <w:pPr>
              <w:pBdr>
                <w:bottom w:val="single" w:sz="6" w:space="1" w:color="auto"/>
              </w:pBdr>
              <w:ind w:left="-28" w:right="-28"/>
              <w:jc w:val="center"/>
              <w:rPr>
                <w:rFonts w:asciiTheme="minorBidi" w:hAnsiTheme="minorBidi" w:cstheme="minorBidi"/>
                <w:b/>
                <w:bCs/>
                <w:sz w:val="18"/>
                <w:szCs w:val="18"/>
                <w:rtl/>
              </w:rPr>
            </w:pPr>
            <w:r w:rsidRPr="00676CE7">
              <w:rPr>
                <w:rFonts w:asciiTheme="minorBidi" w:hAnsiTheme="minorBidi" w:cstheme="minorBidi"/>
                <w:b/>
                <w:bCs/>
                <w:sz w:val="18"/>
                <w:szCs w:val="18"/>
                <w:rtl/>
              </w:rPr>
              <w:t>פעילויות אחרות</w:t>
            </w:r>
          </w:p>
        </w:tc>
        <w:tc>
          <w:tcPr>
            <w:tcW w:w="886" w:type="dxa"/>
            <w:gridSpan w:val="3"/>
            <w:vAlign w:val="bottom"/>
          </w:tcPr>
          <w:p w14:paraId="41409E72"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סה"כ</w:t>
            </w:r>
          </w:p>
        </w:tc>
      </w:tr>
      <w:tr w:rsidR="002A7A40" w:rsidRPr="00676CE7" w14:paraId="2F16F2C9" w14:textId="77777777" w:rsidTr="00A82C7F">
        <w:tc>
          <w:tcPr>
            <w:tcW w:w="1078" w:type="dxa"/>
            <w:gridSpan w:val="2"/>
          </w:tcPr>
          <w:p w14:paraId="3AE6385C"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543" w:type="dxa"/>
            <w:gridSpan w:val="2"/>
          </w:tcPr>
          <w:p w14:paraId="2D0CFFAF"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הכנסות ריבית, נטו:</w:t>
            </w:r>
          </w:p>
        </w:tc>
        <w:tc>
          <w:tcPr>
            <w:tcW w:w="796" w:type="dxa"/>
            <w:gridSpan w:val="2"/>
            <w:vAlign w:val="bottom"/>
          </w:tcPr>
          <w:p w14:paraId="66B9A361" w14:textId="77777777" w:rsidR="002A7A40" w:rsidRPr="00676CE7" w:rsidRDefault="002A7A40" w:rsidP="00400DD1">
            <w:pPr>
              <w:spacing w:before="20"/>
              <w:jc w:val="left"/>
              <w:rPr>
                <w:rFonts w:asciiTheme="minorBidi" w:hAnsiTheme="minorBidi" w:cstheme="minorBidi"/>
                <w:sz w:val="18"/>
                <w:szCs w:val="18"/>
                <w:rtl/>
              </w:rPr>
            </w:pPr>
          </w:p>
        </w:tc>
        <w:tc>
          <w:tcPr>
            <w:tcW w:w="796" w:type="dxa"/>
            <w:gridSpan w:val="2"/>
            <w:vAlign w:val="bottom"/>
          </w:tcPr>
          <w:p w14:paraId="7ABDB306" w14:textId="77777777" w:rsidR="002A7A40" w:rsidRPr="00676CE7" w:rsidRDefault="002A7A40" w:rsidP="00400DD1">
            <w:pPr>
              <w:spacing w:before="20"/>
              <w:jc w:val="left"/>
              <w:rPr>
                <w:rFonts w:asciiTheme="minorBidi" w:hAnsiTheme="minorBidi" w:cstheme="minorBidi"/>
                <w:sz w:val="18"/>
                <w:szCs w:val="18"/>
                <w:rtl/>
              </w:rPr>
            </w:pPr>
          </w:p>
        </w:tc>
        <w:tc>
          <w:tcPr>
            <w:tcW w:w="796" w:type="dxa"/>
            <w:gridSpan w:val="2"/>
            <w:vAlign w:val="bottom"/>
          </w:tcPr>
          <w:p w14:paraId="5A89F7DF" w14:textId="77777777" w:rsidR="002A7A40" w:rsidRPr="00676CE7" w:rsidRDefault="002A7A40" w:rsidP="00400DD1">
            <w:pPr>
              <w:spacing w:before="20"/>
              <w:jc w:val="left"/>
              <w:rPr>
                <w:rFonts w:asciiTheme="minorBidi" w:hAnsiTheme="minorBidi" w:cstheme="minorBidi"/>
                <w:sz w:val="18"/>
                <w:szCs w:val="18"/>
                <w:rtl/>
              </w:rPr>
            </w:pPr>
          </w:p>
        </w:tc>
        <w:tc>
          <w:tcPr>
            <w:tcW w:w="796" w:type="dxa"/>
            <w:gridSpan w:val="2"/>
            <w:vAlign w:val="bottom"/>
          </w:tcPr>
          <w:p w14:paraId="79F7083D" w14:textId="77777777" w:rsidR="002A7A40" w:rsidRPr="00676CE7" w:rsidRDefault="002A7A40" w:rsidP="00400DD1">
            <w:pPr>
              <w:spacing w:before="20"/>
              <w:jc w:val="left"/>
              <w:rPr>
                <w:rFonts w:asciiTheme="minorBidi" w:hAnsiTheme="minorBidi" w:cstheme="minorBidi"/>
                <w:sz w:val="18"/>
                <w:szCs w:val="18"/>
                <w:rtl/>
              </w:rPr>
            </w:pPr>
          </w:p>
        </w:tc>
        <w:tc>
          <w:tcPr>
            <w:tcW w:w="796" w:type="dxa"/>
            <w:gridSpan w:val="2"/>
            <w:vAlign w:val="bottom"/>
          </w:tcPr>
          <w:p w14:paraId="15041163" w14:textId="77777777" w:rsidR="002A7A40" w:rsidRPr="00676CE7" w:rsidRDefault="002A7A40" w:rsidP="00400DD1">
            <w:pPr>
              <w:spacing w:before="20"/>
              <w:jc w:val="left"/>
              <w:rPr>
                <w:rFonts w:asciiTheme="minorBidi" w:hAnsiTheme="minorBidi" w:cstheme="minorBidi"/>
                <w:sz w:val="18"/>
                <w:szCs w:val="18"/>
                <w:rtl/>
              </w:rPr>
            </w:pPr>
          </w:p>
        </w:tc>
        <w:tc>
          <w:tcPr>
            <w:tcW w:w="800" w:type="dxa"/>
            <w:gridSpan w:val="2"/>
            <w:vAlign w:val="bottom"/>
          </w:tcPr>
          <w:p w14:paraId="581BB4F1" w14:textId="77777777" w:rsidR="002A7A40" w:rsidRPr="00676CE7" w:rsidRDefault="002A7A40" w:rsidP="00400DD1">
            <w:pPr>
              <w:spacing w:before="20"/>
              <w:jc w:val="left"/>
              <w:rPr>
                <w:rFonts w:asciiTheme="minorBidi" w:hAnsiTheme="minorBidi" w:cstheme="minorBidi"/>
                <w:sz w:val="18"/>
                <w:szCs w:val="18"/>
                <w:rtl/>
              </w:rPr>
            </w:pPr>
          </w:p>
        </w:tc>
        <w:tc>
          <w:tcPr>
            <w:tcW w:w="886" w:type="dxa"/>
            <w:gridSpan w:val="3"/>
            <w:vAlign w:val="bottom"/>
          </w:tcPr>
          <w:p w14:paraId="39F9614F" w14:textId="77777777" w:rsidR="002A7A40" w:rsidRPr="00676CE7" w:rsidRDefault="002A7A40" w:rsidP="00400DD1">
            <w:pPr>
              <w:spacing w:before="20"/>
              <w:jc w:val="left"/>
              <w:rPr>
                <w:rFonts w:asciiTheme="minorBidi" w:hAnsiTheme="minorBidi" w:cstheme="minorBidi"/>
                <w:sz w:val="18"/>
                <w:szCs w:val="18"/>
                <w:rtl/>
              </w:rPr>
            </w:pPr>
          </w:p>
        </w:tc>
      </w:tr>
      <w:tr w:rsidR="002A7A40" w:rsidRPr="00676CE7" w14:paraId="3B49A502" w14:textId="77777777" w:rsidTr="00A82C7F">
        <w:tc>
          <w:tcPr>
            <w:tcW w:w="1078" w:type="dxa"/>
            <w:gridSpan w:val="2"/>
          </w:tcPr>
          <w:p w14:paraId="1E6CCFC1"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543" w:type="dxa"/>
            <w:gridSpan w:val="2"/>
          </w:tcPr>
          <w:p w14:paraId="4F6AE492" w14:textId="77777777" w:rsidR="002A7A40" w:rsidRPr="00676CE7" w:rsidRDefault="002A7A40" w:rsidP="00400DD1">
            <w:pPr>
              <w:spacing w:before="20"/>
              <w:ind w:left="170" w:firstLine="1"/>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מחיצוניים</w:t>
            </w:r>
          </w:p>
        </w:tc>
        <w:tc>
          <w:tcPr>
            <w:tcW w:w="796" w:type="dxa"/>
            <w:gridSpan w:val="2"/>
            <w:vAlign w:val="bottom"/>
          </w:tcPr>
          <w:p w14:paraId="52CF9D7D"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01D9A632"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15C98137"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6E6EE589"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2F689F59"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gridSpan w:val="2"/>
            <w:vAlign w:val="bottom"/>
          </w:tcPr>
          <w:p w14:paraId="5BB5E66F"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86" w:type="dxa"/>
            <w:gridSpan w:val="3"/>
            <w:vAlign w:val="bottom"/>
          </w:tcPr>
          <w:p w14:paraId="6C5606A4"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0E6AE7FD" w14:textId="77777777" w:rsidTr="00A82C7F">
        <w:tc>
          <w:tcPr>
            <w:tcW w:w="1078" w:type="dxa"/>
            <w:gridSpan w:val="2"/>
          </w:tcPr>
          <w:p w14:paraId="134C1911"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543" w:type="dxa"/>
            <w:gridSpan w:val="2"/>
          </w:tcPr>
          <w:p w14:paraId="696A64C2" w14:textId="77777777" w:rsidR="002A7A40" w:rsidRPr="00676CE7" w:rsidRDefault="002A7A40" w:rsidP="00400DD1">
            <w:pPr>
              <w:spacing w:before="20"/>
              <w:ind w:left="170" w:firstLine="1"/>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בינמגזרי</w:t>
            </w:r>
          </w:p>
        </w:tc>
        <w:tc>
          <w:tcPr>
            <w:tcW w:w="796" w:type="dxa"/>
            <w:gridSpan w:val="2"/>
            <w:vAlign w:val="bottom"/>
          </w:tcPr>
          <w:p w14:paraId="31A86089"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238C3D7D"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561FB675"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19A77C60"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495B287F"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gridSpan w:val="2"/>
            <w:vAlign w:val="bottom"/>
          </w:tcPr>
          <w:p w14:paraId="492D5DC3"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86" w:type="dxa"/>
            <w:gridSpan w:val="3"/>
            <w:vAlign w:val="bottom"/>
          </w:tcPr>
          <w:p w14:paraId="6C72E292"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2D41D988" w14:textId="77777777" w:rsidTr="00A82C7F">
        <w:tc>
          <w:tcPr>
            <w:tcW w:w="1078" w:type="dxa"/>
            <w:gridSpan w:val="2"/>
          </w:tcPr>
          <w:p w14:paraId="36528C95"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543" w:type="dxa"/>
            <w:gridSpan w:val="2"/>
          </w:tcPr>
          <w:p w14:paraId="17E80866"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הכנסות שאינן מריבית:</w:t>
            </w:r>
          </w:p>
        </w:tc>
        <w:tc>
          <w:tcPr>
            <w:tcW w:w="796" w:type="dxa"/>
            <w:gridSpan w:val="2"/>
            <w:vAlign w:val="bottom"/>
          </w:tcPr>
          <w:p w14:paraId="3B96E37B" w14:textId="77777777" w:rsidR="002A7A40" w:rsidRPr="00676CE7" w:rsidRDefault="002A7A40" w:rsidP="00400DD1">
            <w:pPr>
              <w:spacing w:before="20"/>
              <w:jc w:val="left"/>
              <w:rPr>
                <w:rFonts w:asciiTheme="minorBidi" w:hAnsiTheme="minorBidi" w:cstheme="minorBidi"/>
                <w:sz w:val="18"/>
                <w:szCs w:val="18"/>
                <w:rtl/>
              </w:rPr>
            </w:pPr>
          </w:p>
        </w:tc>
        <w:tc>
          <w:tcPr>
            <w:tcW w:w="796" w:type="dxa"/>
            <w:gridSpan w:val="2"/>
            <w:vAlign w:val="bottom"/>
          </w:tcPr>
          <w:p w14:paraId="26A1C8E4" w14:textId="77777777" w:rsidR="002A7A40" w:rsidRPr="00676CE7" w:rsidRDefault="002A7A40" w:rsidP="00400DD1">
            <w:pPr>
              <w:spacing w:before="20"/>
              <w:jc w:val="left"/>
              <w:rPr>
                <w:rFonts w:asciiTheme="minorBidi" w:hAnsiTheme="minorBidi" w:cstheme="minorBidi"/>
                <w:sz w:val="18"/>
                <w:szCs w:val="18"/>
                <w:rtl/>
              </w:rPr>
            </w:pPr>
          </w:p>
        </w:tc>
        <w:tc>
          <w:tcPr>
            <w:tcW w:w="796" w:type="dxa"/>
            <w:gridSpan w:val="2"/>
            <w:vAlign w:val="bottom"/>
          </w:tcPr>
          <w:p w14:paraId="27A49930" w14:textId="77777777" w:rsidR="002A7A40" w:rsidRPr="00676CE7" w:rsidRDefault="002A7A40" w:rsidP="00400DD1">
            <w:pPr>
              <w:spacing w:before="20"/>
              <w:jc w:val="left"/>
              <w:rPr>
                <w:rFonts w:asciiTheme="minorBidi" w:hAnsiTheme="minorBidi" w:cstheme="minorBidi"/>
                <w:sz w:val="18"/>
                <w:szCs w:val="18"/>
                <w:rtl/>
              </w:rPr>
            </w:pPr>
          </w:p>
        </w:tc>
        <w:tc>
          <w:tcPr>
            <w:tcW w:w="796" w:type="dxa"/>
            <w:gridSpan w:val="2"/>
            <w:vAlign w:val="bottom"/>
          </w:tcPr>
          <w:p w14:paraId="70958F6A" w14:textId="77777777" w:rsidR="002A7A40" w:rsidRPr="00676CE7" w:rsidRDefault="002A7A40" w:rsidP="00400DD1">
            <w:pPr>
              <w:spacing w:before="20"/>
              <w:jc w:val="left"/>
              <w:rPr>
                <w:rFonts w:asciiTheme="minorBidi" w:hAnsiTheme="minorBidi" w:cstheme="minorBidi"/>
                <w:sz w:val="18"/>
                <w:szCs w:val="18"/>
                <w:rtl/>
              </w:rPr>
            </w:pPr>
          </w:p>
        </w:tc>
        <w:tc>
          <w:tcPr>
            <w:tcW w:w="796" w:type="dxa"/>
            <w:gridSpan w:val="2"/>
            <w:vAlign w:val="bottom"/>
          </w:tcPr>
          <w:p w14:paraId="34ABD290" w14:textId="77777777" w:rsidR="002A7A40" w:rsidRPr="00676CE7" w:rsidRDefault="002A7A40" w:rsidP="00400DD1">
            <w:pPr>
              <w:spacing w:before="20"/>
              <w:jc w:val="left"/>
              <w:rPr>
                <w:rFonts w:asciiTheme="minorBidi" w:hAnsiTheme="minorBidi" w:cstheme="minorBidi"/>
                <w:sz w:val="18"/>
                <w:szCs w:val="18"/>
                <w:rtl/>
              </w:rPr>
            </w:pPr>
          </w:p>
        </w:tc>
        <w:tc>
          <w:tcPr>
            <w:tcW w:w="800" w:type="dxa"/>
            <w:gridSpan w:val="2"/>
            <w:vAlign w:val="bottom"/>
          </w:tcPr>
          <w:p w14:paraId="3EB9BE4C" w14:textId="77777777" w:rsidR="002A7A40" w:rsidRPr="00676CE7" w:rsidRDefault="002A7A40" w:rsidP="00400DD1">
            <w:pPr>
              <w:spacing w:before="20"/>
              <w:jc w:val="left"/>
              <w:rPr>
                <w:rFonts w:asciiTheme="minorBidi" w:hAnsiTheme="minorBidi" w:cstheme="minorBidi"/>
                <w:sz w:val="18"/>
                <w:szCs w:val="18"/>
                <w:rtl/>
              </w:rPr>
            </w:pPr>
          </w:p>
        </w:tc>
        <w:tc>
          <w:tcPr>
            <w:tcW w:w="886" w:type="dxa"/>
            <w:gridSpan w:val="3"/>
            <w:vAlign w:val="bottom"/>
          </w:tcPr>
          <w:p w14:paraId="76C6373B" w14:textId="77777777" w:rsidR="002A7A40" w:rsidRPr="00676CE7" w:rsidRDefault="002A7A40" w:rsidP="00400DD1">
            <w:pPr>
              <w:spacing w:before="20"/>
              <w:jc w:val="left"/>
              <w:rPr>
                <w:rFonts w:asciiTheme="minorBidi" w:hAnsiTheme="minorBidi" w:cstheme="minorBidi"/>
                <w:sz w:val="18"/>
                <w:szCs w:val="18"/>
                <w:rtl/>
              </w:rPr>
            </w:pPr>
          </w:p>
        </w:tc>
      </w:tr>
      <w:tr w:rsidR="002A7A40" w:rsidRPr="00676CE7" w14:paraId="25A2382C" w14:textId="77777777" w:rsidTr="00A82C7F">
        <w:tc>
          <w:tcPr>
            <w:tcW w:w="1078" w:type="dxa"/>
            <w:gridSpan w:val="2"/>
          </w:tcPr>
          <w:p w14:paraId="5242FD10"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543" w:type="dxa"/>
            <w:gridSpan w:val="2"/>
          </w:tcPr>
          <w:p w14:paraId="6EF333AA" w14:textId="77777777" w:rsidR="002A7A40" w:rsidRPr="00676CE7" w:rsidRDefault="002A7A40" w:rsidP="00400DD1">
            <w:pPr>
              <w:spacing w:before="20"/>
              <w:ind w:left="170" w:firstLine="1"/>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מחיצוניים</w:t>
            </w:r>
          </w:p>
        </w:tc>
        <w:tc>
          <w:tcPr>
            <w:tcW w:w="796" w:type="dxa"/>
            <w:gridSpan w:val="2"/>
            <w:vAlign w:val="bottom"/>
          </w:tcPr>
          <w:p w14:paraId="0311ED55"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61CA90FF"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33296C8B"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5735DC2C"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484C6F5B"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gridSpan w:val="2"/>
            <w:vAlign w:val="bottom"/>
          </w:tcPr>
          <w:p w14:paraId="3758DB10"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86" w:type="dxa"/>
            <w:gridSpan w:val="3"/>
            <w:vAlign w:val="bottom"/>
          </w:tcPr>
          <w:p w14:paraId="66D8C8F4" w14:textId="77777777" w:rsidR="002A7A40" w:rsidRPr="00676CE7" w:rsidRDefault="002A7A40" w:rsidP="00400DD1">
            <w:pP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7DD9EC43" w14:textId="77777777" w:rsidTr="00A82C7F">
        <w:tc>
          <w:tcPr>
            <w:tcW w:w="1078" w:type="dxa"/>
            <w:gridSpan w:val="2"/>
          </w:tcPr>
          <w:p w14:paraId="5B51A94E"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543" w:type="dxa"/>
            <w:gridSpan w:val="2"/>
          </w:tcPr>
          <w:p w14:paraId="66D8ED73" w14:textId="77777777" w:rsidR="002A7A40" w:rsidRPr="00676CE7" w:rsidRDefault="002A7A40" w:rsidP="00400DD1">
            <w:pPr>
              <w:spacing w:before="20"/>
              <w:ind w:left="170" w:firstLine="1"/>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בינמגזרי</w:t>
            </w:r>
          </w:p>
        </w:tc>
        <w:tc>
          <w:tcPr>
            <w:tcW w:w="796" w:type="dxa"/>
            <w:gridSpan w:val="2"/>
            <w:vAlign w:val="bottom"/>
          </w:tcPr>
          <w:p w14:paraId="2B1A45FF" w14:textId="77777777" w:rsidR="002A7A40" w:rsidRPr="00676CE7" w:rsidRDefault="002A7A40" w:rsidP="00400DD1">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29FC0CB9" w14:textId="77777777" w:rsidR="002A7A40" w:rsidRPr="00676CE7" w:rsidRDefault="002A7A40" w:rsidP="00400DD1">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4580DAD1" w14:textId="77777777" w:rsidR="002A7A40" w:rsidRPr="00676CE7" w:rsidRDefault="002A7A40" w:rsidP="00400DD1">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7B5753F2" w14:textId="77777777" w:rsidR="002A7A40" w:rsidRPr="00676CE7" w:rsidRDefault="002A7A40" w:rsidP="00400DD1">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603C6AD1" w14:textId="77777777" w:rsidR="002A7A40" w:rsidRPr="00676CE7" w:rsidRDefault="002A7A40" w:rsidP="00400DD1">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gridSpan w:val="2"/>
            <w:vAlign w:val="bottom"/>
          </w:tcPr>
          <w:p w14:paraId="08DAB02B" w14:textId="77777777" w:rsidR="002A7A40" w:rsidRPr="00676CE7" w:rsidRDefault="002A7A40" w:rsidP="00400DD1">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86" w:type="dxa"/>
            <w:gridSpan w:val="3"/>
            <w:vAlign w:val="bottom"/>
          </w:tcPr>
          <w:p w14:paraId="48A505BD" w14:textId="77777777" w:rsidR="002A7A40" w:rsidRPr="00676CE7" w:rsidRDefault="002A7A40" w:rsidP="00400DD1">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328ACCED" w14:textId="77777777" w:rsidTr="00A82C7F">
        <w:tc>
          <w:tcPr>
            <w:tcW w:w="1078" w:type="dxa"/>
            <w:gridSpan w:val="2"/>
          </w:tcPr>
          <w:p w14:paraId="2C49C6EB" w14:textId="77777777" w:rsidR="002A7A40" w:rsidRPr="00676CE7" w:rsidRDefault="002A7A40" w:rsidP="00400DD1">
            <w:pPr>
              <w:spacing w:before="20" w:line="241" w:lineRule="auto"/>
              <w:ind w:firstLine="1"/>
              <w:jc w:val="left"/>
              <w:rPr>
                <w:rFonts w:asciiTheme="minorBidi" w:hAnsiTheme="minorBidi" w:cstheme="minorBidi"/>
                <w:strike/>
                <w:color w:val="000000"/>
                <w:sz w:val="18"/>
                <w:szCs w:val="18"/>
                <w:rtl/>
                <w:lang w:eastAsia="he-IL"/>
              </w:rPr>
            </w:pPr>
          </w:p>
        </w:tc>
        <w:tc>
          <w:tcPr>
            <w:tcW w:w="3543" w:type="dxa"/>
            <w:gridSpan w:val="2"/>
          </w:tcPr>
          <w:p w14:paraId="2560F386" w14:textId="77777777" w:rsidR="002A7A40" w:rsidRPr="00676CE7" w:rsidRDefault="002A7A40" w:rsidP="00400DD1">
            <w:pPr>
              <w:spacing w:before="20"/>
              <w:ind w:firstLine="1"/>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סך הכנסות</w:t>
            </w:r>
          </w:p>
        </w:tc>
        <w:tc>
          <w:tcPr>
            <w:tcW w:w="796" w:type="dxa"/>
            <w:gridSpan w:val="2"/>
            <w:vAlign w:val="bottom"/>
          </w:tcPr>
          <w:p w14:paraId="136B2078" w14:textId="77777777" w:rsidR="002A7A40" w:rsidRPr="00676CE7" w:rsidRDefault="002A7A40" w:rsidP="00400DD1">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0FC94555" w14:textId="77777777" w:rsidR="002A7A40" w:rsidRPr="00676CE7" w:rsidRDefault="002A7A40" w:rsidP="00400DD1">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37758806" w14:textId="77777777" w:rsidR="002A7A40" w:rsidRPr="00676CE7" w:rsidRDefault="002A7A40" w:rsidP="00400DD1">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32F02639" w14:textId="77777777" w:rsidR="002A7A40" w:rsidRPr="00676CE7" w:rsidRDefault="002A7A40" w:rsidP="00400DD1">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41F71C98" w14:textId="77777777" w:rsidR="002A7A40" w:rsidRPr="00676CE7" w:rsidRDefault="002A7A40" w:rsidP="00400DD1">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gridSpan w:val="2"/>
            <w:vAlign w:val="bottom"/>
          </w:tcPr>
          <w:p w14:paraId="4010BC6D" w14:textId="77777777" w:rsidR="002A7A40" w:rsidRPr="00676CE7" w:rsidRDefault="002A7A40" w:rsidP="00400DD1">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86" w:type="dxa"/>
            <w:gridSpan w:val="3"/>
            <w:vAlign w:val="bottom"/>
          </w:tcPr>
          <w:p w14:paraId="5D1966D4" w14:textId="77777777" w:rsidR="002A7A40" w:rsidRPr="00676CE7" w:rsidRDefault="002A7A40" w:rsidP="00400DD1">
            <w:pPr>
              <w:pBdr>
                <w:bottom w:val="single" w:sz="4" w:space="1" w:color="auto"/>
              </w:pBdr>
              <w:spacing w:before="20"/>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3C23C336" w14:textId="77777777" w:rsidTr="00A82C7F">
        <w:trPr>
          <w:gridAfter w:val="1"/>
          <w:wAfter w:w="23" w:type="dxa"/>
        </w:trPr>
        <w:tc>
          <w:tcPr>
            <w:tcW w:w="1078" w:type="dxa"/>
            <w:gridSpan w:val="2"/>
          </w:tcPr>
          <w:p w14:paraId="11E467E2" w14:textId="77777777" w:rsidR="002A7A40" w:rsidRPr="00676CE7" w:rsidRDefault="002A7A40" w:rsidP="00400DD1">
            <w:pPr>
              <w:spacing w:line="120" w:lineRule="exact"/>
              <w:jc w:val="left"/>
              <w:rPr>
                <w:rFonts w:asciiTheme="minorBidi" w:hAnsiTheme="minorBidi" w:cstheme="minorBidi"/>
                <w:color w:val="000000"/>
                <w:sz w:val="18"/>
                <w:szCs w:val="18"/>
                <w:rtl/>
                <w:lang w:eastAsia="he-IL"/>
              </w:rPr>
            </w:pPr>
          </w:p>
        </w:tc>
        <w:tc>
          <w:tcPr>
            <w:tcW w:w="1030" w:type="dxa"/>
          </w:tcPr>
          <w:p w14:paraId="0271FD08" w14:textId="77777777" w:rsidR="002A7A40" w:rsidRPr="00676CE7" w:rsidRDefault="002A7A40" w:rsidP="00400DD1">
            <w:pPr>
              <w:spacing w:line="120" w:lineRule="exact"/>
              <w:ind w:firstLine="1"/>
              <w:jc w:val="left"/>
              <w:rPr>
                <w:rFonts w:asciiTheme="minorBidi" w:hAnsiTheme="minorBidi" w:cstheme="minorBidi"/>
                <w:color w:val="000000"/>
                <w:sz w:val="18"/>
                <w:szCs w:val="18"/>
                <w:rtl/>
                <w:lang w:eastAsia="he-IL"/>
              </w:rPr>
            </w:pPr>
          </w:p>
        </w:tc>
        <w:tc>
          <w:tcPr>
            <w:tcW w:w="2580" w:type="dxa"/>
            <w:gridSpan w:val="2"/>
            <w:tcBorders>
              <w:left w:val="nil"/>
            </w:tcBorders>
          </w:tcPr>
          <w:p w14:paraId="6A04CAA9" w14:textId="77777777" w:rsidR="002A7A40" w:rsidRPr="00676CE7" w:rsidRDefault="002A7A40" w:rsidP="00400DD1">
            <w:pPr>
              <w:spacing w:line="120" w:lineRule="exact"/>
              <w:ind w:firstLine="1"/>
              <w:jc w:val="left"/>
              <w:rPr>
                <w:rFonts w:asciiTheme="minorBidi" w:hAnsiTheme="minorBidi" w:cstheme="minorBidi"/>
                <w:color w:val="000000"/>
                <w:sz w:val="18"/>
                <w:szCs w:val="18"/>
                <w:rtl/>
                <w:lang w:eastAsia="he-IL"/>
              </w:rPr>
            </w:pPr>
          </w:p>
        </w:tc>
        <w:tc>
          <w:tcPr>
            <w:tcW w:w="796" w:type="dxa"/>
            <w:gridSpan w:val="2"/>
            <w:vAlign w:val="bottom"/>
          </w:tcPr>
          <w:p w14:paraId="54DF9C6C" w14:textId="77777777" w:rsidR="002A7A40" w:rsidRPr="00676CE7" w:rsidRDefault="002A7A40" w:rsidP="00400DD1">
            <w:pPr>
              <w:spacing w:line="120" w:lineRule="exact"/>
              <w:jc w:val="left"/>
              <w:rPr>
                <w:rFonts w:asciiTheme="minorBidi" w:hAnsiTheme="minorBidi" w:cstheme="minorBidi"/>
                <w:sz w:val="18"/>
                <w:szCs w:val="18"/>
                <w:rtl/>
              </w:rPr>
            </w:pPr>
          </w:p>
        </w:tc>
        <w:tc>
          <w:tcPr>
            <w:tcW w:w="796" w:type="dxa"/>
            <w:gridSpan w:val="2"/>
            <w:vAlign w:val="bottom"/>
          </w:tcPr>
          <w:p w14:paraId="2180C2B6" w14:textId="77777777" w:rsidR="002A7A40" w:rsidRPr="00676CE7" w:rsidRDefault="002A7A40" w:rsidP="00400DD1">
            <w:pPr>
              <w:spacing w:line="120" w:lineRule="exact"/>
              <w:jc w:val="left"/>
              <w:rPr>
                <w:rFonts w:asciiTheme="minorBidi" w:hAnsiTheme="minorBidi" w:cstheme="minorBidi"/>
                <w:sz w:val="18"/>
                <w:szCs w:val="18"/>
                <w:rtl/>
              </w:rPr>
            </w:pPr>
          </w:p>
        </w:tc>
        <w:tc>
          <w:tcPr>
            <w:tcW w:w="796" w:type="dxa"/>
            <w:gridSpan w:val="2"/>
            <w:vAlign w:val="bottom"/>
          </w:tcPr>
          <w:p w14:paraId="63BA9409" w14:textId="77777777" w:rsidR="002A7A40" w:rsidRPr="00676CE7" w:rsidRDefault="002A7A40" w:rsidP="00400DD1">
            <w:pPr>
              <w:spacing w:line="120" w:lineRule="exact"/>
              <w:jc w:val="left"/>
              <w:rPr>
                <w:rFonts w:asciiTheme="minorBidi" w:hAnsiTheme="minorBidi" w:cstheme="minorBidi"/>
                <w:sz w:val="18"/>
                <w:szCs w:val="18"/>
                <w:rtl/>
              </w:rPr>
            </w:pPr>
          </w:p>
        </w:tc>
        <w:tc>
          <w:tcPr>
            <w:tcW w:w="796" w:type="dxa"/>
            <w:gridSpan w:val="2"/>
            <w:vAlign w:val="bottom"/>
          </w:tcPr>
          <w:p w14:paraId="07CE07E5" w14:textId="77777777" w:rsidR="002A7A40" w:rsidRPr="00676CE7" w:rsidRDefault="002A7A40" w:rsidP="00400DD1">
            <w:pPr>
              <w:spacing w:line="120" w:lineRule="exact"/>
              <w:jc w:val="left"/>
              <w:rPr>
                <w:rFonts w:asciiTheme="minorBidi" w:hAnsiTheme="minorBidi" w:cstheme="minorBidi"/>
                <w:sz w:val="18"/>
                <w:szCs w:val="18"/>
                <w:rtl/>
              </w:rPr>
            </w:pPr>
          </w:p>
        </w:tc>
        <w:tc>
          <w:tcPr>
            <w:tcW w:w="796" w:type="dxa"/>
            <w:gridSpan w:val="2"/>
            <w:vAlign w:val="bottom"/>
          </w:tcPr>
          <w:p w14:paraId="0611A1E1" w14:textId="77777777" w:rsidR="002A7A40" w:rsidRPr="00676CE7" w:rsidRDefault="002A7A40" w:rsidP="00400DD1">
            <w:pPr>
              <w:spacing w:line="120" w:lineRule="exact"/>
              <w:jc w:val="left"/>
              <w:rPr>
                <w:rFonts w:asciiTheme="minorBidi" w:hAnsiTheme="minorBidi" w:cstheme="minorBidi"/>
                <w:sz w:val="18"/>
                <w:szCs w:val="18"/>
                <w:rtl/>
              </w:rPr>
            </w:pPr>
          </w:p>
        </w:tc>
        <w:tc>
          <w:tcPr>
            <w:tcW w:w="800" w:type="dxa"/>
            <w:gridSpan w:val="2"/>
            <w:vAlign w:val="bottom"/>
          </w:tcPr>
          <w:p w14:paraId="6D7BE55D" w14:textId="77777777" w:rsidR="002A7A40" w:rsidRPr="00676CE7" w:rsidRDefault="002A7A40" w:rsidP="00400DD1">
            <w:pPr>
              <w:spacing w:line="120" w:lineRule="exact"/>
              <w:jc w:val="left"/>
              <w:rPr>
                <w:rFonts w:asciiTheme="minorBidi" w:hAnsiTheme="minorBidi" w:cstheme="minorBidi"/>
                <w:sz w:val="18"/>
                <w:szCs w:val="18"/>
                <w:rtl/>
              </w:rPr>
            </w:pPr>
          </w:p>
        </w:tc>
        <w:tc>
          <w:tcPr>
            <w:tcW w:w="796" w:type="dxa"/>
            <w:vAlign w:val="bottom"/>
          </w:tcPr>
          <w:p w14:paraId="451B1C91" w14:textId="77777777" w:rsidR="002A7A40" w:rsidRPr="00676CE7" w:rsidRDefault="002A7A40" w:rsidP="00400DD1">
            <w:pPr>
              <w:spacing w:line="120" w:lineRule="exact"/>
              <w:jc w:val="left"/>
              <w:rPr>
                <w:rFonts w:asciiTheme="minorBidi" w:hAnsiTheme="minorBidi" w:cstheme="minorBidi"/>
                <w:sz w:val="18"/>
                <w:szCs w:val="18"/>
                <w:rtl/>
              </w:rPr>
            </w:pPr>
          </w:p>
        </w:tc>
      </w:tr>
      <w:tr w:rsidR="002A7A40" w:rsidRPr="00676CE7" w14:paraId="24A31133" w14:textId="77777777" w:rsidTr="00A82C7F">
        <w:tc>
          <w:tcPr>
            <w:tcW w:w="1078" w:type="dxa"/>
            <w:gridSpan w:val="2"/>
          </w:tcPr>
          <w:p w14:paraId="4304D4F8" w14:textId="77777777" w:rsidR="002A7A40" w:rsidRPr="00676CE7" w:rsidRDefault="002A7A40" w:rsidP="00400DD1">
            <w:pPr>
              <w:tabs>
                <w:tab w:val="left" w:pos="237"/>
              </w:tabs>
              <w:spacing w:before="20" w:line="241" w:lineRule="auto"/>
              <w:ind w:firstLine="1"/>
              <w:jc w:val="left"/>
              <w:rPr>
                <w:rFonts w:asciiTheme="minorBidi" w:hAnsiTheme="minorBidi" w:cstheme="minorBidi"/>
                <w:color w:val="000000"/>
                <w:sz w:val="18"/>
                <w:szCs w:val="18"/>
                <w:rtl/>
                <w:lang w:eastAsia="he-IL"/>
              </w:rPr>
            </w:pPr>
          </w:p>
        </w:tc>
        <w:tc>
          <w:tcPr>
            <w:tcW w:w="3543" w:type="dxa"/>
            <w:gridSpan w:val="2"/>
          </w:tcPr>
          <w:p w14:paraId="2B6B0C94" w14:textId="77777777" w:rsidR="002A7A40" w:rsidRPr="00676CE7" w:rsidRDefault="002A7A40" w:rsidP="00400DD1">
            <w:pPr>
              <w:tabs>
                <w:tab w:val="left" w:pos="237"/>
              </w:tabs>
              <w:spacing w:before="20" w:line="241" w:lineRule="auto"/>
              <w:ind w:firstLine="1"/>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הוצאות בגין הפסדי אשראי</w:t>
            </w:r>
          </w:p>
        </w:tc>
        <w:tc>
          <w:tcPr>
            <w:tcW w:w="796" w:type="dxa"/>
            <w:gridSpan w:val="2"/>
            <w:vAlign w:val="bottom"/>
          </w:tcPr>
          <w:p w14:paraId="44CE657A" w14:textId="77777777" w:rsidR="002A7A40" w:rsidRPr="00676CE7" w:rsidRDefault="002A7A40" w:rsidP="00400DD1">
            <w:pP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3D17DFBF" w14:textId="77777777" w:rsidR="002A7A40" w:rsidRPr="00676CE7" w:rsidRDefault="002A7A40" w:rsidP="00400DD1">
            <w:pP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57EF87D7" w14:textId="77777777" w:rsidR="002A7A40" w:rsidRPr="00676CE7" w:rsidRDefault="002A7A40" w:rsidP="00400DD1">
            <w:pP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1B3B1AB3" w14:textId="77777777" w:rsidR="002A7A40" w:rsidRPr="00676CE7" w:rsidRDefault="002A7A40" w:rsidP="00400DD1">
            <w:pP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457C0577" w14:textId="77777777" w:rsidR="002A7A40" w:rsidRPr="00676CE7" w:rsidRDefault="002A7A40" w:rsidP="00400DD1">
            <w:pP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gridSpan w:val="2"/>
            <w:vAlign w:val="bottom"/>
          </w:tcPr>
          <w:p w14:paraId="41EA8829" w14:textId="77777777" w:rsidR="002A7A40" w:rsidRPr="00676CE7" w:rsidRDefault="002A7A40" w:rsidP="00400DD1">
            <w:pP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86" w:type="dxa"/>
            <w:gridSpan w:val="3"/>
            <w:vAlign w:val="bottom"/>
          </w:tcPr>
          <w:p w14:paraId="5D76763E" w14:textId="77777777" w:rsidR="002A7A40" w:rsidRPr="00676CE7" w:rsidRDefault="002A7A40" w:rsidP="00400DD1">
            <w:pP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52AC6132" w14:textId="77777777" w:rsidTr="00A82C7F">
        <w:tc>
          <w:tcPr>
            <w:tcW w:w="1078" w:type="dxa"/>
            <w:gridSpan w:val="2"/>
          </w:tcPr>
          <w:p w14:paraId="1ED7A1DA" w14:textId="77777777" w:rsidR="002A7A40" w:rsidRPr="00676CE7" w:rsidRDefault="002A7A40" w:rsidP="00400DD1">
            <w:pPr>
              <w:spacing w:before="20" w:line="241" w:lineRule="auto"/>
              <w:ind w:firstLine="1"/>
              <w:jc w:val="left"/>
              <w:rPr>
                <w:rFonts w:asciiTheme="minorBidi" w:hAnsiTheme="minorBidi" w:cstheme="minorBidi"/>
                <w:color w:val="000000"/>
                <w:sz w:val="18"/>
                <w:szCs w:val="18"/>
                <w:rtl/>
                <w:lang w:eastAsia="he-IL"/>
              </w:rPr>
            </w:pPr>
          </w:p>
        </w:tc>
        <w:tc>
          <w:tcPr>
            <w:tcW w:w="3543" w:type="dxa"/>
            <w:gridSpan w:val="2"/>
          </w:tcPr>
          <w:p w14:paraId="5168F73E" w14:textId="77777777" w:rsidR="002A7A40" w:rsidRPr="00676CE7" w:rsidRDefault="002A7A40" w:rsidP="00400DD1">
            <w:pPr>
              <w:spacing w:before="20" w:line="241" w:lineRule="auto"/>
              <w:ind w:left="117" w:hanging="116"/>
              <w:jc w:val="left"/>
              <w:rPr>
                <w:rFonts w:asciiTheme="minorBidi" w:hAnsiTheme="minorBidi" w:cstheme="minorBidi"/>
                <w:b/>
                <w:bCs/>
                <w:color w:val="000000"/>
                <w:sz w:val="18"/>
                <w:szCs w:val="18"/>
                <w:rtl/>
                <w:lang w:eastAsia="he-IL"/>
              </w:rPr>
            </w:pPr>
            <w:r w:rsidRPr="00676CE7">
              <w:rPr>
                <w:rFonts w:asciiTheme="minorBidi" w:hAnsiTheme="minorBidi" w:cstheme="minorBidi"/>
                <w:color w:val="000000"/>
                <w:sz w:val="18"/>
                <w:szCs w:val="18"/>
                <w:rtl/>
                <w:lang w:eastAsia="he-IL"/>
              </w:rPr>
              <w:t>הוצאות תפעוליות ואחרות</w:t>
            </w:r>
          </w:p>
        </w:tc>
        <w:tc>
          <w:tcPr>
            <w:tcW w:w="796" w:type="dxa"/>
            <w:gridSpan w:val="2"/>
            <w:vAlign w:val="bottom"/>
          </w:tcPr>
          <w:p w14:paraId="42E1F790" w14:textId="77777777" w:rsidR="002A7A40" w:rsidRPr="00676CE7" w:rsidRDefault="002A7A40" w:rsidP="00400DD1">
            <w:pPr>
              <w:pBdr>
                <w:bottom w:val="single" w:sz="4" w:space="1" w:color="auto"/>
              </w:pBd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71E33AAF" w14:textId="77777777" w:rsidR="002A7A40" w:rsidRPr="00676CE7" w:rsidRDefault="002A7A40" w:rsidP="00400DD1">
            <w:pPr>
              <w:pBdr>
                <w:bottom w:val="single" w:sz="4" w:space="1" w:color="auto"/>
              </w:pBd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354F3094" w14:textId="77777777" w:rsidR="002A7A40" w:rsidRPr="00676CE7" w:rsidRDefault="002A7A40" w:rsidP="00400DD1">
            <w:pPr>
              <w:pBdr>
                <w:bottom w:val="single" w:sz="4" w:space="1" w:color="auto"/>
              </w:pBd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3A0771E9" w14:textId="77777777" w:rsidR="002A7A40" w:rsidRPr="00676CE7" w:rsidRDefault="002A7A40" w:rsidP="00400DD1">
            <w:pPr>
              <w:pBdr>
                <w:bottom w:val="single" w:sz="4" w:space="1" w:color="auto"/>
              </w:pBd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4AA9D0CF" w14:textId="77777777" w:rsidR="002A7A40" w:rsidRPr="00676CE7" w:rsidRDefault="002A7A40" w:rsidP="00400DD1">
            <w:pPr>
              <w:pBdr>
                <w:bottom w:val="single" w:sz="4" w:space="1" w:color="auto"/>
              </w:pBd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gridSpan w:val="2"/>
            <w:vAlign w:val="bottom"/>
          </w:tcPr>
          <w:p w14:paraId="6FBC74E1" w14:textId="77777777" w:rsidR="002A7A40" w:rsidRPr="00676CE7" w:rsidRDefault="002A7A40" w:rsidP="00400DD1">
            <w:pPr>
              <w:pBdr>
                <w:bottom w:val="single" w:sz="4" w:space="1" w:color="auto"/>
              </w:pBd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86" w:type="dxa"/>
            <w:gridSpan w:val="3"/>
            <w:vAlign w:val="bottom"/>
          </w:tcPr>
          <w:p w14:paraId="2BDCDA38" w14:textId="77777777" w:rsidR="002A7A40" w:rsidRPr="00676CE7" w:rsidRDefault="002A7A40" w:rsidP="00400DD1">
            <w:pPr>
              <w:pBdr>
                <w:bottom w:val="single" w:sz="4" w:space="1" w:color="auto"/>
              </w:pBdr>
              <w:spacing w:before="2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254C0FB1" w14:textId="77777777" w:rsidTr="00A82C7F">
        <w:trPr>
          <w:gridAfter w:val="1"/>
          <w:wAfter w:w="23" w:type="dxa"/>
        </w:trPr>
        <w:tc>
          <w:tcPr>
            <w:tcW w:w="1078" w:type="dxa"/>
            <w:gridSpan w:val="2"/>
          </w:tcPr>
          <w:p w14:paraId="3A19A69D" w14:textId="77777777" w:rsidR="002A7A40" w:rsidRPr="00676CE7" w:rsidRDefault="002A7A40" w:rsidP="00400DD1">
            <w:pPr>
              <w:spacing w:line="120" w:lineRule="exact"/>
              <w:jc w:val="left"/>
              <w:rPr>
                <w:rFonts w:asciiTheme="minorBidi" w:hAnsiTheme="minorBidi" w:cstheme="minorBidi"/>
                <w:color w:val="000000"/>
                <w:sz w:val="18"/>
                <w:szCs w:val="18"/>
                <w:rtl/>
                <w:lang w:eastAsia="he-IL"/>
              </w:rPr>
            </w:pPr>
          </w:p>
        </w:tc>
        <w:tc>
          <w:tcPr>
            <w:tcW w:w="1030" w:type="dxa"/>
          </w:tcPr>
          <w:p w14:paraId="05199AA6" w14:textId="77777777" w:rsidR="002A7A40" w:rsidRPr="00676CE7" w:rsidRDefault="002A7A40" w:rsidP="00400DD1">
            <w:pPr>
              <w:spacing w:line="120" w:lineRule="exact"/>
              <w:ind w:firstLine="1"/>
              <w:jc w:val="left"/>
              <w:rPr>
                <w:rFonts w:asciiTheme="minorBidi" w:hAnsiTheme="minorBidi" w:cstheme="minorBidi"/>
                <w:color w:val="000000"/>
                <w:sz w:val="18"/>
                <w:szCs w:val="18"/>
                <w:rtl/>
                <w:lang w:eastAsia="he-IL"/>
              </w:rPr>
            </w:pPr>
          </w:p>
        </w:tc>
        <w:tc>
          <w:tcPr>
            <w:tcW w:w="2580" w:type="dxa"/>
            <w:gridSpan w:val="2"/>
            <w:tcBorders>
              <w:left w:val="nil"/>
            </w:tcBorders>
          </w:tcPr>
          <w:p w14:paraId="424E7BF7" w14:textId="77777777" w:rsidR="002A7A40" w:rsidRPr="00676CE7" w:rsidRDefault="002A7A40" w:rsidP="00400DD1">
            <w:pPr>
              <w:spacing w:line="120" w:lineRule="exact"/>
              <w:ind w:firstLine="1"/>
              <w:jc w:val="left"/>
              <w:rPr>
                <w:rFonts w:asciiTheme="minorBidi" w:hAnsiTheme="minorBidi" w:cstheme="minorBidi"/>
                <w:color w:val="000000"/>
                <w:sz w:val="18"/>
                <w:szCs w:val="18"/>
                <w:rtl/>
                <w:lang w:eastAsia="he-IL"/>
              </w:rPr>
            </w:pPr>
          </w:p>
        </w:tc>
        <w:tc>
          <w:tcPr>
            <w:tcW w:w="796" w:type="dxa"/>
            <w:gridSpan w:val="2"/>
            <w:vAlign w:val="bottom"/>
          </w:tcPr>
          <w:p w14:paraId="57F68C45" w14:textId="77777777" w:rsidR="002A7A40" w:rsidRPr="00676CE7" w:rsidRDefault="002A7A40" w:rsidP="00400DD1">
            <w:pPr>
              <w:spacing w:line="120" w:lineRule="exact"/>
              <w:jc w:val="left"/>
              <w:rPr>
                <w:rFonts w:asciiTheme="minorBidi" w:hAnsiTheme="minorBidi" w:cstheme="minorBidi"/>
                <w:sz w:val="18"/>
                <w:szCs w:val="18"/>
                <w:rtl/>
              </w:rPr>
            </w:pPr>
          </w:p>
        </w:tc>
        <w:tc>
          <w:tcPr>
            <w:tcW w:w="796" w:type="dxa"/>
            <w:gridSpan w:val="2"/>
            <w:vAlign w:val="bottom"/>
          </w:tcPr>
          <w:p w14:paraId="28700F3B" w14:textId="77777777" w:rsidR="002A7A40" w:rsidRPr="00676CE7" w:rsidRDefault="002A7A40" w:rsidP="00400DD1">
            <w:pPr>
              <w:spacing w:line="120" w:lineRule="exact"/>
              <w:jc w:val="left"/>
              <w:rPr>
                <w:rFonts w:asciiTheme="minorBidi" w:hAnsiTheme="minorBidi" w:cstheme="minorBidi"/>
                <w:sz w:val="18"/>
                <w:szCs w:val="18"/>
                <w:rtl/>
              </w:rPr>
            </w:pPr>
          </w:p>
        </w:tc>
        <w:tc>
          <w:tcPr>
            <w:tcW w:w="796" w:type="dxa"/>
            <w:gridSpan w:val="2"/>
            <w:vAlign w:val="bottom"/>
          </w:tcPr>
          <w:p w14:paraId="6E050DF1" w14:textId="77777777" w:rsidR="002A7A40" w:rsidRPr="00676CE7" w:rsidRDefault="002A7A40" w:rsidP="00400DD1">
            <w:pPr>
              <w:spacing w:line="120" w:lineRule="exact"/>
              <w:jc w:val="left"/>
              <w:rPr>
                <w:rFonts w:asciiTheme="minorBidi" w:hAnsiTheme="minorBidi" w:cstheme="minorBidi"/>
                <w:sz w:val="18"/>
                <w:szCs w:val="18"/>
                <w:rtl/>
              </w:rPr>
            </w:pPr>
          </w:p>
        </w:tc>
        <w:tc>
          <w:tcPr>
            <w:tcW w:w="796" w:type="dxa"/>
            <w:gridSpan w:val="2"/>
            <w:vAlign w:val="bottom"/>
          </w:tcPr>
          <w:p w14:paraId="52F4C9A4" w14:textId="77777777" w:rsidR="002A7A40" w:rsidRPr="00676CE7" w:rsidRDefault="002A7A40" w:rsidP="00400DD1">
            <w:pPr>
              <w:spacing w:line="120" w:lineRule="exact"/>
              <w:jc w:val="left"/>
              <w:rPr>
                <w:rFonts w:asciiTheme="minorBidi" w:hAnsiTheme="minorBidi" w:cstheme="minorBidi"/>
                <w:sz w:val="18"/>
                <w:szCs w:val="18"/>
                <w:rtl/>
              </w:rPr>
            </w:pPr>
          </w:p>
        </w:tc>
        <w:tc>
          <w:tcPr>
            <w:tcW w:w="796" w:type="dxa"/>
            <w:gridSpan w:val="2"/>
            <w:vAlign w:val="bottom"/>
          </w:tcPr>
          <w:p w14:paraId="13E8726C" w14:textId="77777777" w:rsidR="002A7A40" w:rsidRPr="00676CE7" w:rsidRDefault="002A7A40" w:rsidP="00400DD1">
            <w:pPr>
              <w:spacing w:line="120" w:lineRule="exact"/>
              <w:jc w:val="left"/>
              <w:rPr>
                <w:rFonts w:asciiTheme="minorBidi" w:hAnsiTheme="minorBidi" w:cstheme="minorBidi"/>
                <w:sz w:val="18"/>
                <w:szCs w:val="18"/>
                <w:rtl/>
              </w:rPr>
            </w:pPr>
          </w:p>
        </w:tc>
        <w:tc>
          <w:tcPr>
            <w:tcW w:w="800" w:type="dxa"/>
            <w:gridSpan w:val="2"/>
            <w:vAlign w:val="bottom"/>
          </w:tcPr>
          <w:p w14:paraId="577A448B" w14:textId="77777777" w:rsidR="002A7A40" w:rsidRPr="00676CE7" w:rsidRDefault="002A7A40" w:rsidP="00400DD1">
            <w:pPr>
              <w:spacing w:line="120" w:lineRule="exact"/>
              <w:jc w:val="left"/>
              <w:rPr>
                <w:rFonts w:asciiTheme="minorBidi" w:hAnsiTheme="minorBidi" w:cstheme="minorBidi"/>
                <w:sz w:val="18"/>
                <w:szCs w:val="18"/>
                <w:rtl/>
              </w:rPr>
            </w:pPr>
          </w:p>
        </w:tc>
        <w:tc>
          <w:tcPr>
            <w:tcW w:w="796" w:type="dxa"/>
            <w:vAlign w:val="bottom"/>
          </w:tcPr>
          <w:p w14:paraId="08A461E4" w14:textId="77777777" w:rsidR="002A7A40" w:rsidRPr="00676CE7" w:rsidRDefault="002A7A40" w:rsidP="00400DD1">
            <w:pPr>
              <w:spacing w:line="120" w:lineRule="exact"/>
              <w:jc w:val="left"/>
              <w:rPr>
                <w:rFonts w:asciiTheme="minorBidi" w:hAnsiTheme="minorBidi" w:cstheme="minorBidi"/>
                <w:sz w:val="18"/>
                <w:szCs w:val="18"/>
                <w:rtl/>
              </w:rPr>
            </w:pPr>
          </w:p>
        </w:tc>
      </w:tr>
      <w:tr w:rsidR="002A7A40" w:rsidRPr="00676CE7" w14:paraId="3432BDE1" w14:textId="77777777" w:rsidTr="00A82C7F">
        <w:tc>
          <w:tcPr>
            <w:tcW w:w="1078" w:type="dxa"/>
            <w:gridSpan w:val="2"/>
          </w:tcPr>
          <w:p w14:paraId="7202C50D" w14:textId="77777777" w:rsidR="002A7A40" w:rsidRPr="00676CE7" w:rsidRDefault="002A7A40" w:rsidP="00400DD1">
            <w:pPr>
              <w:tabs>
                <w:tab w:val="left" w:pos="237"/>
              </w:tabs>
              <w:spacing w:before="30" w:line="241" w:lineRule="auto"/>
              <w:ind w:firstLine="1"/>
              <w:jc w:val="left"/>
              <w:rPr>
                <w:rFonts w:asciiTheme="minorBidi" w:hAnsiTheme="minorBidi" w:cstheme="minorBidi"/>
                <w:color w:val="000000"/>
                <w:sz w:val="18"/>
                <w:szCs w:val="18"/>
                <w:rtl/>
                <w:lang w:eastAsia="he-IL"/>
              </w:rPr>
            </w:pPr>
          </w:p>
        </w:tc>
        <w:tc>
          <w:tcPr>
            <w:tcW w:w="3543" w:type="dxa"/>
            <w:gridSpan w:val="2"/>
          </w:tcPr>
          <w:p w14:paraId="6F4E7610" w14:textId="77777777" w:rsidR="002A7A40" w:rsidRPr="00676CE7" w:rsidRDefault="002A7A40" w:rsidP="00400DD1">
            <w:pPr>
              <w:spacing w:before="30" w:line="241" w:lineRule="auto"/>
              <w:ind w:left="117" w:hanging="116"/>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רווח לפני מסים</w:t>
            </w:r>
          </w:p>
        </w:tc>
        <w:tc>
          <w:tcPr>
            <w:tcW w:w="796" w:type="dxa"/>
            <w:gridSpan w:val="2"/>
            <w:vAlign w:val="bottom"/>
          </w:tcPr>
          <w:p w14:paraId="301424D9" w14:textId="77777777" w:rsidR="002A7A40" w:rsidRPr="00676CE7"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0FD65501" w14:textId="77777777" w:rsidR="002A7A40" w:rsidRPr="00676CE7"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2C87B55F" w14:textId="77777777" w:rsidR="002A7A40" w:rsidRPr="00676CE7"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6D45C537" w14:textId="77777777" w:rsidR="002A7A40" w:rsidRPr="00676CE7"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28ABC8AA" w14:textId="77777777" w:rsidR="002A7A40" w:rsidRPr="00676CE7"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gridSpan w:val="2"/>
            <w:vAlign w:val="bottom"/>
          </w:tcPr>
          <w:p w14:paraId="613DFAFF" w14:textId="77777777" w:rsidR="002A7A40" w:rsidRPr="00676CE7"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86" w:type="dxa"/>
            <w:gridSpan w:val="3"/>
            <w:vAlign w:val="bottom"/>
          </w:tcPr>
          <w:p w14:paraId="21D2EF4A" w14:textId="77777777" w:rsidR="002A7A40" w:rsidRPr="00676CE7"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711574F4" w14:textId="77777777" w:rsidTr="00A82C7F">
        <w:tc>
          <w:tcPr>
            <w:tcW w:w="1078" w:type="dxa"/>
            <w:gridSpan w:val="2"/>
          </w:tcPr>
          <w:p w14:paraId="19AB2BF8"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543" w:type="dxa"/>
            <w:gridSpan w:val="2"/>
          </w:tcPr>
          <w:p w14:paraId="56C28AA8" w14:textId="77777777" w:rsidR="002A7A40" w:rsidRPr="00676CE7" w:rsidRDefault="002A7A40" w:rsidP="00400DD1">
            <w:pPr>
              <w:spacing w:before="30" w:line="241" w:lineRule="auto"/>
              <w:ind w:left="117" w:hanging="116"/>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הפרשה למסים על הרווח</w:t>
            </w:r>
          </w:p>
        </w:tc>
        <w:tc>
          <w:tcPr>
            <w:tcW w:w="796" w:type="dxa"/>
            <w:gridSpan w:val="2"/>
            <w:vAlign w:val="bottom"/>
          </w:tcPr>
          <w:p w14:paraId="004E2667" w14:textId="77777777" w:rsidR="002A7A40" w:rsidRPr="00676CE7" w:rsidRDefault="002A7A40" w:rsidP="00400DD1">
            <w:pPr>
              <w:pBdr>
                <w:bottom w:val="sing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5123E8F3" w14:textId="77777777" w:rsidR="002A7A40" w:rsidRPr="00676CE7" w:rsidRDefault="002A7A40" w:rsidP="00400DD1">
            <w:pPr>
              <w:pBdr>
                <w:bottom w:val="sing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69ACA092" w14:textId="77777777" w:rsidR="002A7A40" w:rsidRPr="00676CE7" w:rsidRDefault="002A7A40" w:rsidP="00400DD1">
            <w:pPr>
              <w:pBdr>
                <w:bottom w:val="sing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1E98F7A7" w14:textId="77777777" w:rsidR="002A7A40" w:rsidRPr="00676CE7" w:rsidRDefault="002A7A40" w:rsidP="00400DD1">
            <w:pPr>
              <w:pBdr>
                <w:bottom w:val="sing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6D6189BF" w14:textId="77777777" w:rsidR="002A7A40" w:rsidRPr="00676CE7" w:rsidRDefault="002A7A40" w:rsidP="00400DD1">
            <w:pPr>
              <w:pBdr>
                <w:bottom w:val="sing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gridSpan w:val="2"/>
            <w:vAlign w:val="bottom"/>
          </w:tcPr>
          <w:p w14:paraId="51EE5A8C" w14:textId="77777777" w:rsidR="002A7A40" w:rsidRPr="00676CE7" w:rsidRDefault="002A7A40" w:rsidP="00400DD1">
            <w:pPr>
              <w:pBdr>
                <w:bottom w:val="sing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86" w:type="dxa"/>
            <w:gridSpan w:val="3"/>
            <w:vAlign w:val="bottom"/>
          </w:tcPr>
          <w:p w14:paraId="401497EF" w14:textId="77777777" w:rsidR="002A7A40" w:rsidRPr="00676CE7" w:rsidRDefault="002A7A40" w:rsidP="00400DD1">
            <w:pPr>
              <w:pBdr>
                <w:bottom w:val="sing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7813594C" w14:textId="77777777" w:rsidTr="00A82C7F">
        <w:tc>
          <w:tcPr>
            <w:tcW w:w="1078" w:type="dxa"/>
            <w:gridSpan w:val="2"/>
          </w:tcPr>
          <w:p w14:paraId="5F349945"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543" w:type="dxa"/>
            <w:gridSpan w:val="2"/>
          </w:tcPr>
          <w:p w14:paraId="7FE8C3CE" w14:textId="77777777" w:rsidR="002A7A40" w:rsidRPr="00676CE7" w:rsidRDefault="002A7A40" w:rsidP="00400DD1">
            <w:pPr>
              <w:spacing w:before="40"/>
              <w:ind w:left="113" w:hanging="113"/>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רווח לאחר מסים</w:t>
            </w:r>
          </w:p>
        </w:tc>
        <w:tc>
          <w:tcPr>
            <w:tcW w:w="796" w:type="dxa"/>
            <w:gridSpan w:val="2"/>
            <w:vAlign w:val="bottom"/>
          </w:tcPr>
          <w:p w14:paraId="1FACAA94" w14:textId="77777777" w:rsidR="002A7A40" w:rsidRPr="00676CE7" w:rsidRDefault="002A7A40" w:rsidP="00400DD1">
            <w:pPr>
              <w:pBdr>
                <w:bottom w:val="doub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3E18A33E" w14:textId="77777777" w:rsidR="002A7A40" w:rsidRPr="00676CE7" w:rsidRDefault="002A7A40" w:rsidP="00400DD1">
            <w:pPr>
              <w:pBdr>
                <w:bottom w:val="doub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523B5332" w14:textId="77777777" w:rsidR="002A7A40" w:rsidRPr="00676CE7" w:rsidRDefault="002A7A40" w:rsidP="00400DD1">
            <w:pPr>
              <w:pBdr>
                <w:bottom w:val="doub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48F37E8E" w14:textId="77777777" w:rsidR="002A7A40" w:rsidRPr="00676CE7" w:rsidRDefault="002A7A40" w:rsidP="00400DD1">
            <w:pPr>
              <w:pBdr>
                <w:bottom w:val="doub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gridSpan w:val="2"/>
            <w:vAlign w:val="bottom"/>
          </w:tcPr>
          <w:p w14:paraId="404ADBD0" w14:textId="77777777" w:rsidR="002A7A40" w:rsidRPr="00676CE7" w:rsidRDefault="002A7A40" w:rsidP="00400DD1">
            <w:pPr>
              <w:pBdr>
                <w:bottom w:val="doub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gridSpan w:val="2"/>
            <w:vAlign w:val="bottom"/>
          </w:tcPr>
          <w:p w14:paraId="12DF8651" w14:textId="77777777" w:rsidR="002A7A40" w:rsidRPr="00676CE7" w:rsidRDefault="002A7A40" w:rsidP="00400DD1">
            <w:pPr>
              <w:pBdr>
                <w:bottom w:val="doub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86" w:type="dxa"/>
            <w:gridSpan w:val="3"/>
            <w:vAlign w:val="bottom"/>
          </w:tcPr>
          <w:p w14:paraId="24309D68" w14:textId="77777777" w:rsidR="002A7A40" w:rsidRPr="00676CE7" w:rsidRDefault="002A7A40" w:rsidP="00400DD1">
            <w:pPr>
              <w:pBdr>
                <w:bottom w:val="double" w:sz="4" w:space="1" w:color="auto"/>
              </w:pBd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bl>
    <w:p w14:paraId="0044EE1B" w14:textId="77777777" w:rsidR="00C8470A" w:rsidRPr="002A7A40" w:rsidRDefault="00C8470A">
      <w:pPr>
        <w:rPr>
          <w:sz w:val="18"/>
          <w:szCs w:val="18"/>
        </w:rPr>
      </w:pPr>
    </w:p>
    <w:p w14:paraId="646FD0F0" w14:textId="77777777" w:rsidR="00C8470A" w:rsidRPr="002A7A40" w:rsidRDefault="00C8470A">
      <w:pPr>
        <w:rPr>
          <w:sz w:val="18"/>
          <w:szCs w:val="18"/>
        </w:rPr>
      </w:pPr>
    </w:p>
    <w:tbl>
      <w:tblPr>
        <w:bidiVisual/>
        <w:tblW w:w="4995" w:type="pct"/>
        <w:tblInd w:w="-76" w:type="dxa"/>
        <w:tblLayout w:type="fixed"/>
        <w:tblLook w:val="04A0" w:firstRow="1" w:lastRow="0" w:firstColumn="1" w:lastColumn="0" w:noHBand="0" w:noVBand="1"/>
      </w:tblPr>
      <w:tblGrid>
        <w:gridCol w:w="1123"/>
        <w:gridCol w:w="918"/>
        <w:gridCol w:w="2580"/>
        <w:gridCol w:w="796"/>
        <w:gridCol w:w="796"/>
        <w:gridCol w:w="796"/>
        <w:gridCol w:w="796"/>
        <w:gridCol w:w="796"/>
        <w:gridCol w:w="800"/>
        <w:gridCol w:w="796"/>
      </w:tblGrid>
      <w:tr w:rsidR="002A7A40" w:rsidRPr="00676CE7" w14:paraId="2A6B6C53" w14:textId="77777777" w:rsidTr="00A82C7F">
        <w:tc>
          <w:tcPr>
            <w:tcW w:w="1123" w:type="dxa"/>
          </w:tcPr>
          <w:p w14:paraId="6D03C490" w14:textId="77777777" w:rsidR="002A7A40" w:rsidRPr="00676CE7" w:rsidRDefault="002A7A40" w:rsidP="00400DD1">
            <w:pPr>
              <w:jc w:val="left"/>
              <w:rPr>
                <w:rFonts w:asciiTheme="minorBidi" w:hAnsiTheme="minorBidi" w:cstheme="minorBidi"/>
                <w:color w:val="000000"/>
                <w:sz w:val="18"/>
                <w:szCs w:val="18"/>
                <w:lang w:eastAsia="he-IL"/>
              </w:rPr>
            </w:pPr>
          </w:p>
        </w:tc>
        <w:tc>
          <w:tcPr>
            <w:tcW w:w="3498" w:type="dxa"/>
            <w:gridSpan w:val="2"/>
            <w:vAlign w:val="bottom"/>
          </w:tcPr>
          <w:p w14:paraId="4498C5D1" w14:textId="77777777" w:rsidR="002A7A40" w:rsidRPr="00676CE7" w:rsidRDefault="002A7A40" w:rsidP="00400DD1">
            <w:pPr>
              <w:jc w:val="left"/>
              <w:rPr>
                <w:rFonts w:asciiTheme="minorBidi" w:hAnsiTheme="minorBidi" w:cstheme="minorBidi"/>
                <w:color w:val="000000"/>
                <w:sz w:val="18"/>
                <w:szCs w:val="18"/>
                <w:rtl/>
                <w:lang w:eastAsia="he-IL"/>
              </w:rPr>
            </w:pPr>
          </w:p>
        </w:tc>
        <w:tc>
          <w:tcPr>
            <w:tcW w:w="5576" w:type="dxa"/>
            <w:gridSpan w:val="7"/>
            <w:vAlign w:val="bottom"/>
          </w:tcPr>
          <w:p w14:paraId="33E9C65B" w14:textId="3C7C6BF1" w:rsidR="002A7A40" w:rsidRPr="00676CE7" w:rsidRDefault="002A7A40" w:rsidP="00400DD1">
            <w:pPr>
              <w:pBdr>
                <w:bottom w:val="single" w:sz="6" w:space="1" w:color="auto"/>
              </w:pBdr>
              <w:spacing w:before="40"/>
              <w:jc w:val="center"/>
              <w:rPr>
                <w:rFonts w:asciiTheme="minorBidi" w:hAnsiTheme="minorBidi" w:cstheme="minorBidi"/>
                <w:b/>
                <w:bCs/>
                <w:sz w:val="18"/>
                <w:szCs w:val="18"/>
                <w:rtl/>
              </w:rPr>
            </w:pPr>
            <w:r>
              <w:rPr>
                <w:rFonts w:asciiTheme="minorBidi" w:hAnsiTheme="minorBidi" w:cstheme="minorBidi" w:hint="cs"/>
                <w:b/>
                <w:bCs/>
                <w:sz w:val="18"/>
                <w:szCs w:val="18"/>
                <w:rtl/>
              </w:rPr>
              <w:t>לשישה</w:t>
            </w:r>
            <w:r w:rsidRPr="00676CE7">
              <w:rPr>
                <w:rFonts w:asciiTheme="minorBidi" w:hAnsiTheme="minorBidi" w:cstheme="minorBidi"/>
                <w:b/>
                <w:bCs/>
                <w:sz w:val="18"/>
                <w:szCs w:val="18"/>
                <w:rtl/>
              </w:rPr>
              <w:t xml:space="preserve"> חודשים שהסתיימו ביום 30 ביוני </w:t>
            </w:r>
            <w:r w:rsidRPr="00676CE7">
              <w:rPr>
                <w:rFonts w:asciiTheme="minorBidi" w:hAnsiTheme="minorBidi" w:cstheme="minorBidi"/>
                <w:b/>
                <w:bCs/>
                <w:sz w:val="18"/>
                <w:szCs w:val="18"/>
                <w:rtl/>
              </w:rPr>
              <w:fldChar w:fldCharType="begin"/>
            </w:r>
            <w:r w:rsidRPr="00676CE7">
              <w:rPr>
                <w:rFonts w:asciiTheme="minorBidi" w:hAnsiTheme="minorBidi" w:cstheme="minorBidi"/>
                <w:b/>
                <w:bCs/>
                <w:sz w:val="18"/>
                <w:szCs w:val="18"/>
                <w:rtl/>
              </w:rPr>
              <w:instrText xml:space="preserve"> = </w:instrText>
            </w:r>
            <w:r w:rsidRPr="00676CE7">
              <w:rPr>
                <w:rFonts w:asciiTheme="minorBidi" w:hAnsiTheme="minorBidi" w:cstheme="minorBidi"/>
                <w:b/>
                <w:bCs/>
                <w:sz w:val="18"/>
                <w:szCs w:val="18"/>
              </w:rPr>
              <w:instrText>CY</w:instrText>
            </w:r>
            <w:r>
              <w:rPr>
                <w:rFonts w:asciiTheme="minorBidi" w:hAnsiTheme="minorBidi" w:cstheme="minorBidi"/>
                <w:b/>
                <w:bCs/>
                <w:sz w:val="18"/>
                <w:szCs w:val="18"/>
              </w:rPr>
              <w:instrText>-1</w:instrText>
            </w:r>
            <w:r w:rsidRPr="00676CE7">
              <w:rPr>
                <w:rFonts w:asciiTheme="minorBidi" w:hAnsiTheme="minorBidi" w:cstheme="minorBidi"/>
                <w:b/>
                <w:bCs/>
                <w:sz w:val="18"/>
                <w:szCs w:val="18"/>
              </w:rPr>
              <w:instrText xml:space="preserve"> \* MERGEFORMAT</w:instrText>
            </w:r>
            <w:r w:rsidRPr="00676CE7">
              <w:rPr>
                <w:rFonts w:asciiTheme="minorBidi" w:hAnsiTheme="minorBidi" w:cstheme="minorBidi"/>
                <w:b/>
                <w:bCs/>
                <w:sz w:val="18"/>
                <w:szCs w:val="18"/>
                <w:rtl/>
              </w:rPr>
              <w:instrText xml:space="preserve"> </w:instrText>
            </w:r>
            <w:r w:rsidRPr="00676CE7">
              <w:rPr>
                <w:rFonts w:asciiTheme="minorBidi" w:hAnsiTheme="minorBidi" w:cstheme="minorBidi"/>
                <w:b/>
                <w:bCs/>
                <w:sz w:val="18"/>
                <w:szCs w:val="18"/>
                <w:rtl/>
              </w:rPr>
              <w:fldChar w:fldCharType="separate"/>
            </w:r>
            <w:r w:rsidR="003A584F">
              <w:rPr>
                <w:rFonts w:asciiTheme="minorBidi" w:hAnsiTheme="minorBidi" w:cstheme="minorBidi"/>
                <w:b/>
                <w:bCs/>
                <w:noProof/>
                <w:sz w:val="18"/>
                <w:szCs w:val="18"/>
                <w:rtl/>
              </w:rPr>
              <w:t>2023</w:t>
            </w:r>
            <w:r w:rsidRPr="00676CE7">
              <w:rPr>
                <w:rFonts w:asciiTheme="minorBidi" w:hAnsiTheme="minorBidi" w:cstheme="minorBidi"/>
                <w:b/>
                <w:bCs/>
                <w:sz w:val="18"/>
                <w:szCs w:val="18"/>
                <w:rtl/>
              </w:rPr>
              <w:fldChar w:fldCharType="end"/>
            </w:r>
            <w:r>
              <w:rPr>
                <w:rFonts w:asciiTheme="minorBidi" w:hAnsiTheme="minorBidi" w:cstheme="minorBidi" w:hint="cs"/>
                <w:b/>
                <w:bCs/>
                <w:sz w:val="18"/>
                <w:szCs w:val="18"/>
                <w:rtl/>
              </w:rPr>
              <w:t xml:space="preserve"> </w:t>
            </w:r>
            <w:r w:rsidRPr="00164582">
              <w:rPr>
                <w:rFonts w:asciiTheme="minorBidi" w:hAnsiTheme="minorBidi" w:cstheme="minorBidi" w:hint="cs"/>
                <w:sz w:val="18"/>
                <w:szCs w:val="18"/>
                <w:rtl/>
              </w:rPr>
              <w:t>(</w:t>
            </w:r>
            <w:r w:rsidRPr="00164582">
              <w:rPr>
                <w:rFonts w:asciiTheme="minorBidi" w:hAnsiTheme="minorBidi" w:cstheme="minorBidi"/>
                <w:sz w:val="18"/>
                <w:szCs w:val="18"/>
                <w:rtl/>
              </w:rPr>
              <w:t>בלתי מבוקר</w:t>
            </w:r>
            <w:r w:rsidRPr="00164582">
              <w:rPr>
                <w:rFonts w:asciiTheme="minorBidi" w:hAnsiTheme="minorBidi" w:cstheme="minorBidi" w:hint="cs"/>
                <w:sz w:val="18"/>
                <w:szCs w:val="18"/>
                <w:rtl/>
              </w:rPr>
              <w:t>)</w:t>
            </w:r>
          </w:p>
        </w:tc>
      </w:tr>
      <w:tr w:rsidR="002A7A40" w:rsidRPr="00676CE7" w14:paraId="048A104B" w14:textId="77777777" w:rsidTr="00A82C7F">
        <w:tc>
          <w:tcPr>
            <w:tcW w:w="1123" w:type="dxa"/>
          </w:tcPr>
          <w:p w14:paraId="762768C4" w14:textId="77777777" w:rsidR="002A7A40" w:rsidRPr="00676CE7" w:rsidRDefault="002A7A40" w:rsidP="00400DD1">
            <w:pPr>
              <w:jc w:val="left"/>
              <w:rPr>
                <w:rFonts w:asciiTheme="minorBidi" w:hAnsiTheme="minorBidi" w:cstheme="minorBidi"/>
                <w:color w:val="000000"/>
                <w:sz w:val="18"/>
                <w:szCs w:val="18"/>
                <w:rtl/>
                <w:lang w:eastAsia="he-IL"/>
              </w:rPr>
            </w:pPr>
          </w:p>
        </w:tc>
        <w:tc>
          <w:tcPr>
            <w:tcW w:w="3498" w:type="dxa"/>
            <w:gridSpan w:val="2"/>
          </w:tcPr>
          <w:p w14:paraId="60EB2561" w14:textId="77777777" w:rsidR="002A7A40" w:rsidRPr="00676CE7" w:rsidRDefault="002A7A40" w:rsidP="00400DD1">
            <w:pPr>
              <w:ind w:left="144" w:hanging="144"/>
              <w:jc w:val="left"/>
              <w:rPr>
                <w:rFonts w:asciiTheme="minorBidi" w:hAnsiTheme="minorBidi" w:cstheme="minorBidi"/>
                <w:color w:val="000000"/>
                <w:sz w:val="18"/>
                <w:szCs w:val="18"/>
                <w:rtl/>
                <w:lang w:eastAsia="he-IL"/>
              </w:rPr>
            </w:pPr>
          </w:p>
        </w:tc>
        <w:tc>
          <w:tcPr>
            <w:tcW w:w="796" w:type="dxa"/>
            <w:vAlign w:val="bottom"/>
          </w:tcPr>
          <w:p w14:paraId="3805F5F2"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1</w:t>
            </w:r>
          </w:p>
        </w:tc>
        <w:tc>
          <w:tcPr>
            <w:tcW w:w="796" w:type="dxa"/>
            <w:vAlign w:val="bottom"/>
          </w:tcPr>
          <w:p w14:paraId="57B91A7B"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2</w:t>
            </w:r>
          </w:p>
        </w:tc>
        <w:tc>
          <w:tcPr>
            <w:tcW w:w="796" w:type="dxa"/>
            <w:vAlign w:val="bottom"/>
          </w:tcPr>
          <w:p w14:paraId="7339CB27"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3</w:t>
            </w:r>
          </w:p>
        </w:tc>
        <w:tc>
          <w:tcPr>
            <w:tcW w:w="796" w:type="dxa"/>
            <w:vAlign w:val="bottom"/>
          </w:tcPr>
          <w:p w14:paraId="0B339BA5"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4</w:t>
            </w:r>
          </w:p>
        </w:tc>
        <w:tc>
          <w:tcPr>
            <w:tcW w:w="796" w:type="dxa"/>
            <w:vAlign w:val="bottom"/>
          </w:tcPr>
          <w:p w14:paraId="55E6C1D0"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5</w:t>
            </w:r>
          </w:p>
        </w:tc>
        <w:tc>
          <w:tcPr>
            <w:tcW w:w="800" w:type="dxa"/>
            <w:vAlign w:val="bottom"/>
          </w:tcPr>
          <w:p w14:paraId="10A61D3C" w14:textId="77777777" w:rsidR="002A7A40" w:rsidRPr="00676CE7" w:rsidRDefault="002A7A40" w:rsidP="00400DD1">
            <w:pPr>
              <w:pBdr>
                <w:bottom w:val="single" w:sz="6" w:space="1" w:color="auto"/>
              </w:pBdr>
              <w:ind w:left="-28" w:right="-28"/>
              <w:jc w:val="center"/>
              <w:rPr>
                <w:rFonts w:asciiTheme="minorBidi" w:hAnsiTheme="minorBidi" w:cstheme="minorBidi"/>
                <w:b/>
                <w:bCs/>
                <w:sz w:val="18"/>
                <w:szCs w:val="18"/>
                <w:rtl/>
              </w:rPr>
            </w:pPr>
            <w:r w:rsidRPr="00676CE7">
              <w:rPr>
                <w:rFonts w:asciiTheme="minorBidi" w:hAnsiTheme="minorBidi" w:cstheme="minorBidi"/>
                <w:b/>
                <w:bCs/>
                <w:sz w:val="18"/>
                <w:szCs w:val="18"/>
                <w:rtl/>
              </w:rPr>
              <w:t>פעילויות אחרות</w:t>
            </w:r>
          </w:p>
        </w:tc>
        <w:tc>
          <w:tcPr>
            <w:tcW w:w="796" w:type="dxa"/>
            <w:vAlign w:val="bottom"/>
          </w:tcPr>
          <w:p w14:paraId="4FBC4403"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סה"כ</w:t>
            </w:r>
          </w:p>
        </w:tc>
      </w:tr>
      <w:tr w:rsidR="002A7A40" w:rsidRPr="00676CE7" w14:paraId="49EEED12" w14:textId="77777777" w:rsidTr="00A82C7F">
        <w:tc>
          <w:tcPr>
            <w:tcW w:w="1123" w:type="dxa"/>
          </w:tcPr>
          <w:p w14:paraId="3F9FC19F"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6ED3C953" w14:textId="77777777" w:rsidR="002A7A40" w:rsidRPr="009C25A5" w:rsidRDefault="002A7A40" w:rsidP="00400DD1">
            <w:pPr>
              <w:tabs>
                <w:tab w:val="left" w:pos="237"/>
              </w:tabs>
              <w:spacing w:before="20"/>
              <w:ind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הכנסות ריבית, נטו:</w:t>
            </w:r>
          </w:p>
        </w:tc>
        <w:tc>
          <w:tcPr>
            <w:tcW w:w="796" w:type="dxa"/>
            <w:vAlign w:val="bottom"/>
          </w:tcPr>
          <w:p w14:paraId="4DDF69D1"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0EEB49BA"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73780D07"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5F98C90A"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03657C72" w14:textId="77777777" w:rsidR="002A7A40" w:rsidRPr="009C25A5" w:rsidRDefault="002A7A40" w:rsidP="00400DD1">
            <w:pPr>
              <w:spacing w:before="20"/>
              <w:jc w:val="left"/>
              <w:rPr>
                <w:rFonts w:asciiTheme="minorBidi" w:hAnsiTheme="minorBidi" w:cstheme="minorBidi"/>
                <w:sz w:val="18"/>
                <w:szCs w:val="18"/>
                <w:rtl/>
              </w:rPr>
            </w:pPr>
          </w:p>
        </w:tc>
        <w:tc>
          <w:tcPr>
            <w:tcW w:w="800" w:type="dxa"/>
            <w:vAlign w:val="bottom"/>
          </w:tcPr>
          <w:p w14:paraId="6763E5E5"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7E778324" w14:textId="77777777" w:rsidR="002A7A40" w:rsidRPr="009C25A5" w:rsidRDefault="002A7A40" w:rsidP="00400DD1">
            <w:pPr>
              <w:spacing w:before="20"/>
              <w:jc w:val="left"/>
              <w:rPr>
                <w:rFonts w:asciiTheme="minorBidi" w:hAnsiTheme="minorBidi" w:cstheme="minorBidi"/>
                <w:sz w:val="18"/>
                <w:szCs w:val="18"/>
                <w:rtl/>
              </w:rPr>
            </w:pPr>
          </w:p>
        </w:tc>
      </w:tr>
      <w:tr w:rsidR="002A7A40" w:rsidRPr="00676CE7" w14:paraId="7B77F206" w14:textId="77777777" w:rsidTr="00A82C7F">
        <w:tc>
          <w:tcPr>
            <w:tcW w:w="1123" w:type="dxa"/>
          </w:tcPr>
          <w:p w14:paraId="6E09A214"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029BD19B" w14:textId="77777777" w:rsidR="002A7A40" w:rsidRPr="009C25A5" w:rsidRDefault="002A7A40" w:rsidP="00400DD1">
            <w:pPr>
              <w:spacing w:before="20"/>
              <w:ind w:left="170"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מחיצוניים</w:t>
            </w:r>
          </w:p>
        </w:tc>
        <w:tc>
          <w:tcPr>
            <w:tcW w:w="796" w:type="dxa"/>
            <w:vAlign w:val="bottom"/>
          </w:tcPr>
          <w:p w14:paraId="2EC4CFFF"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F6C3551"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05464071"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322E49F"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CA9A319"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32E2A8F6"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C78A5A8"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7E1FAAC0" w14:textId="77777777" w:rsidTr="00A82C7F">
        <w:tc>
          <w:tcPr>
            <w:tcW w:w="1123" w:type="dxa"/>
          </w:tcPr>
          <w:p w14:paraId="438CC1C5"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09F28A7F" w14:textId="77777777" w:rsidR="002A7A40" w:rsidRPr="009C25A5" w:rsidRDefault="002A7A40" w:rsidP="00400DD1">
            <w:pPr>
              <w:spacing w:before="20"/>
              <w:ind w:left="170"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בינמגזרי</w:t>
            </w:r>
          </w:p>
        </w:tc>
        <w:tc>
          <w:tcPr>
            <w:tcW w:w="796" w:type="dxa"/>
            <w:vAlign w:val="bottom"/>
          </w:tcPr>
          <w:p w14:paraId="38B7DB24"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005EC5FB"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EDDCFC0"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2E77E0FA"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7FEB215"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1102B29D"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2F8AE27D"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5639AF18" w14:textId="77777777" w:rsidTr="00A82C7F">
        <w:tc>
          <w:tcPr>
            <w:tcW w:w="1123" w:type="dxa"/>
          </w:tcPr>
          <w:p w14:paraId="1FE683AF"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695694D5" w14:textId="77777777" w:rsidR="002A7A40" w:rsidRPr="009C25A5" w:rsidRDefault="002A7A40" w:rsidP="00400DD1">
            <w:pPr>
              <w:tabs>
                <w:tab w:val="left" w:pos="237"/>
              </w:tabs>
              <w:spacing w:before="20"/>
              <w:ind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הכנסות שאינן מריבית:</w:t>
            </w:r>
          </w:p>
        </w:tc>
        <w:tc>
          <w:tcPr>
            <w:tcW w:w="796" w:type="dxa"/>
            <w:vAlign w:val="bottom"/>
          </w:tcPr>
          <w:p w14:paraId="39989B6D"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2E8F7B97"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51852546"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7BF3CAF6"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52BE4C15" w14:textId="77777777" w:rsidR="002A7A40" w:rsidRPr="009C25A5" w:rsidRDefault="002A7A40" w:rsidP="00400DD1">
            <w:pPr>
              <w:spacing w:before="20"/>
              <w:jc w:val="left"/>
              <w:rPr>
                <w:rFonts w:asciiTheme="minorBidi" w:hAnsiTheme="minorBidi" w:cstheme="minorBidi"/>
                <w:sz w:val="18"/>
                <w:szCs w:val="18"/>
                <w:rtl/>
              </w:rPr>
            </w:pPr>
          </w:p>
        </w:tc>
        <w:tc>
          <w:tcPr>
            <w:tcW w:w="800" w:type="dxa"/>
            <w:vAlign w:val="bottom"/>
          </w:tcPr>
          <w:p w14:paraId="6979A043"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7A0613FC" w14:textId="77777777" w:rsidR="002A7A40" w:rsidRPr="009C25A5" w:rsidRDefault="002A7A40" w:rsidP="00400DD1">
            <w:pPr>
              <w:spacing w:before="20"/>
              <w:jc w:val="left"/>
              <w:rPr>
                <w:rFonts w:asciiTheme="minorBidi" w:hAnsiTheme="minorBidi" w:cstheme="minorBidi"/>
                <w:sz w:val="18"/>
                <w:szCs w:val="18"/>
                <w:rtl/>
              </w:rPr>
            </w:pPr>
          </w:p>
        </w:tc>
      </w:tr>
      <w:tr w:rsidR="002A7A40" w:rsidRPr="00676CE7" w14:paraId="3649E79A" w14:textId="77777777" w:rsidTr="00A82C7F">
        <w:tc>
          <w:tcPr>
            <w:tcW w:w="1123" w:type="dxa"/>
          </w:tcPr>
          <w:p w14:paraId="7DFF11FE"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3D623B27" w14:textId="77777777" w:rsidR="002A7A40" w:rsidRPr="009C25A5" w:rsidRDefault="002A7A40" w:rsidP="00400DD1">
            <w:pPr>
              <w:spacing w:before="20"/>
              <w:ind w:left="170"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מחיצוניים</w:t>
            </w:r>
          </w:p>
        </w:tc>
        <w:tc>
          <w:tcPr>
            <w:tcW w:w="796" w:type="dxa"/>
            <w:vAlign w:val="bottom"/>
          </w:tcPr>
          <w:p w14:paraId="7C8426FF"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4D9110D"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67008D9"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31040AD"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18E1081"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321BEEAB"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49FECBC"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2218C7BE" w14:textId="77777777" w:rsidTr="00A82C7F">
        <w:tc>
          <w:tcPr>
            <w:tcW w:w="1123" w:type="dxa"/>
          </w:tcPr>
          <w:p w14:paraId="4C46C9CC"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52B8828E" w14:textId="77777777" w:rsidR="002A7A40" w:rsidRPr="009C25A5" w:rsidRDefault="002A7A40" w:rsidP="00400DD1">
            <w:pPr>
              <w:spacing w:before="20"/>
              <w:ind w:left="170"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בינמגזרי</w:t>
            </w:r>
          </w:p>
        </w:tc>
        <w:tc>
          <w:tcPr>
            <w:tcW w:w="796" w:type="dxa"/>
            <w:vAlign w:val="bottom"/>
          </w:tcPr>
          <w:p w14:paraId="0B756D90"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2F8D6F9"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0F5BE800"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3DFFDCC"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31864FB"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69E6E445"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9D02B44"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7F12A310" w14:textId="77777777" w:rsidTr="00A82C7F">
        <w:tc>
          <w:tcPr>
            <w:tcW w:w="1123" w:type="dxa"/>
          </w:tcPr>
          <w:p w14:paraId="2BB3770D" w14:textId="77777777" w:rsidR="002A7A40" w:rsidRPr="00676CE7" w:rsidRDefault="002A7A40" w:rsidP="00400DD1">
            <w:pPr>
              <w:spacing w:before="20" w:line="241" w:lineRule="auto"/>
              <w:ind w:firstLine="1"/>
              <w:jc w:val="left"/>
              <w:rPr>
                <w:rFonts w:asciiTheme="minorBidi" w:hAnsiTheme="minorBidi" w:cstheme="minorBidi"/>
                <w:strike/>
                <w:color w:val="000000"/>
                <w:sz w:val="18"/>
                <w:szCs w:val="18"/>
                <w:rtl/>
                <w:lang w:eastAsia="he-IL"/>
              </w:rPr>
            </w:pPr>
          </w:p>
        </w:tc>
        <w:tc>
          <w:tcPr>
            <w:tcW w:w="3498" w:type="dxa"/>
            <w:gridSpan w:val="2"/>
          </w:tcPr>
          <w:p w14:paraId="1EEAFBF3" w14:textId="77777777" w:rsidR="002A7A40" w:rsidRPr="009C25A5" w:rsidRDefault="002A7A40" w:rsidP="00400DD1">
            <w:pPr>
              <w:spacing w:before="20"/>
              <w:ind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סך הכנסות</w:t>
            </w:r>
          </w:p>
        </w:tc>
        <w:tc>
          <w:tcPr>
            <w:tcW w:w="796" w:type="dxa"/>
            <w:vAlign w:val="bottom"/>
          </w:tcPr>
          <w:p w14:paraId="37D06508"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0C0AFE2"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0B2851FD"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24DE0511"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47532D1"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4F2B6D5E"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00F8949"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7651764E" w14:textId="77777777" w:rsidTr="00A82C7F">
        <w:tc>
          <w:tcPr>
            <w:tcW w:w="1123" w:type="dxa"/>
          </w:tcPr>
          <w:p w14:paraId="09068C16" w14:textId="77777777" w:rsidR="002A7A40" w:rsidRPr="00676CE7" w:rsidRDefault="002A7A40" w:rsidP="00400DD1">
            <w:pPr>
              <w:spacing w:line="120" w:lineRule="exact"/>
              <w:jc w:val="left"/>
              <w:rPr>
                <w:rFonts w:asciiTheme="minorBidi" w:hAnsiTheme="minorBidi" w:cstheme="minorBidi"/>
                <w:color w:val="000000"/>
                <w:sz w:val="18"/>
                <w:szCs w:val="18"/>
                <w:rtl/>
                <w:lang w:eastAsia="he-IL"/>
              </w:rPr>
            </w:pPr>
          </w:p>
        </w:tc>
        <w:tc>
          <w:tcPr>
            <w:tcW w:w="918" w:type="dxa"/>
          </w:tcPr>
          <w:p w14:paraId="5B38D16D" w14:textId="77777777" w:rsidR="002A7A40" w:rsidRPr="009C25A5" w:rsidRDefault="002A7A40" w:rsidP="00400DD1">
            <w:pPr>
              <w:spacing w:line="120" w:lineRule="exact"/>
              <w:ind w:firstLine="1"/>
              <w:jc w:val="left"/>
              <w:rPr>
                <w:rFonts w:asciiTheme="minorBidi" w:hAnsiTheme="minorBidi" w:cstheme="minorBidi"/>
                <w:color w:val="000000"/>
                <w:sz w:val="18"/>
                <w:szCs w:val="18"/>
                <w:rtl/>
                <w:lang w:eastAsia="he-IL"/>
              </w:rPr>
            </w:pPr>
          </w:p>
        </w:tc>
        <w:tc>
          <w:tcPr>
            <w:tcW w:w="2580" w:type="dxa"/>
          </w:tcPr>
          <w:p w14:paraId="2DC72D99" w14:textId="77777777" w:rsidR="002A7A40" w:rsidRPr="009C25A5" w:rsidRDefault="002A7A40" w:rsidP="00400DD1">
            <w:pPr>
              <w:spacing w:line="120" w:lineRule="exact"/>
              <w:ind w:firstLine="1"/>
              <w:jc w:val="left"/>
              <w:rPr>
                <w:rFonts w:asciiTheme="minorBidi" w:hAnsiTheme="minorBidi" w:cstheme="minorBidi"/>
                <w:color w:val="000000"/>
                <w:sz w:val="18"/>
                <w:szCs w:val="18"/>
                <w:rtl/>
                <w:lang w:eastAsia="he-IL"/>
              </w:rPr>
            </w:pPr>
          </w:p>
        </w:tc>
        <w:tc>
          <w:tcPr>
            <w:tcW w:w="796" w:type="dxa"/>
            <w:vAlign w:val="bottom"/>
          </w:tcPr>
          <w:p w14:paraId="4D2D08BE"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53B549C6"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6CDC0838"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50343DA2"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7F2D6243" w14:textId="77777777" w:rsidR="002A7A40" w:rsidRPr="009C25A5" w:rsidRDefault="002A7A40" w:rsidP="00400DD1">
            <w:pPr>
              <w:spacing w:line="120" w:lineRule="exact"/>
              <w:jc w:val="left"/>
              <w:rPr>
                <w:rFonts w:asciiTheme="minorBidi" w:hAnsiTheme="minorBidi" w:cstheme="minorBidi"/>
                <w:sz w:val="18"/>
                <w:szCs w:val="18"/>
                <w:rtl/>
              </w:rPr>
            </w:pPr>
          </w:p>
        </w:tc>
        <w:tc>
          <w:tcPr>
            <w:tcW w:w="800" w:type="dxa"/>
            <w:vAlign w:val="bottom"/>
          </w:tcPr>
          <w:p w14:paraId="0B1FB28F"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5A11C222" w14:textId="77777777" w:rsidR="002A7A40" w:rsidRPr="009C25A5" w:rsidRDefault="002A7A40" w:rsidP="00400DD1">
            <w:pPr>
              <w:spacing w:line="120" w:lineRule="exact"/>
              <w:jc w:val="left"/>
              <w:rPr>
                <w:rFonts w:asciiTheme="minorBidi" w:hAnsiTheme="minorBidi" w:cstheme="minorBidi"/>
                <w:sz w:val="18"/>
                <w:szCs w:val="18"/>
                <w:rtl/>
              </w:rPr>
            </w:pPr>
          </w:p>
        </w:tc>
      </w:tr>
      <w:tr w:rsidR="002A7A40" w:rsidRPr="00676CE7" w14:paraId="7EAA468A" w14:textId="77777777" w:rsidTr="00A82C7F">
        <w:tc>
          <w:tcPr>
            <w:tcW w:w="1123" w:type="dxa"/>
          </w:tcPr>
          <w:p w14:paraId="2E347404" w14:textId="77777777" w:rsidR="002A7A40" w:rsidRPr="00676CE7" w:rsidRDefault="002A7A40" w:rsidP="00400DD1">
            <w:pPr>
              <w:tabs>
                <w:tab w:val="left" w:pos="237"/>
              </w:tabs>
              <w:spacing w:before="20" w:line="241" w:lineRule="auto"/>
              <w:ind w:firstLine="1"/>
              <w:jc w:val="left"/>
              <w:rPr>
                <w:rFonts w:asciiTheme="minorBidi" w:hAnsiTheme="minorBidi" w:cstheme="minorBidi"/>
                <w:color w:val="000000"/>
                <w:sz w:val="18"/>
                <w:szCs w:val="18"/>
                <w:rtl/>
                <w:lang w:eastAsia="he-IL"/>
              </w:rPr>
            </w:pPr>
          </w:p>
        </w:tc>
        <w:tc>
          <w:tcPr>
            <w:tcW w:w="3498" w:type="dxa"/>
            <w:gridSpan w:val="2"/>
          </w:tcPr>
          <w:p w14:paraId="2D5383AA" w14:textId="77777777" w:rsidR="002A7A40" w:rsidRPr="009C25A5" w:rsidRDefault="002A7A40" w:rsidP="00400DD1">
            <w:pPr>
              <w:tabs>
                <w:tab w:val="left" w:pos="237"/>
              </w:tabs>
              <w:spacing w:before="20" w:line="241" w:lineRule="auto"/>
              <w:ind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הוצאות בגין הפסדי אשראי</w:t>
            </w:r>
          </w:p>
        </w:tc>
        <w:tc>
          <w:tcPr>
            <w:tcW w:w="796" w:type="dxa"/>
            <w:vAlign w:val="bottom"/>
          </w:tcPr>
          <w:p w14:paraId="77EECBCC" w14:textId="77777777" w:rsidR="002A7A40" w:rsidRPr="009C25A5" w:rsidRDefault="002A7A40"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F0D5669" w14:textId="77777777" w:rsidR="002A7A40" w:rsidRPr="009C25A5" w:rsidRDefault="002A7A40"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DB8B303" w14:textId="77777777" w:rsidR="002A7A40" w:rsidRPr="009C25A5" w:rsidRDefault="002A7A40"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1B87520" w14:textId="77777777" w:rsidR="002A7A40" w:rsidRPr="009C25A5" w:rsidRDefault="002A7A40"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C7209D7" w14:textId="77777777" w:rsidR="002A7A40" w:rsidRPr="009C25A5" w:rsidRDefault="002A7A40"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6DF0664D" w14:textId="77777777" w:rsidR="002A7A40" w:rsidRPr="009C25A5" w:rsidRDefault="002A7A40"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A919913" w14:textId="77777777" w:rsidR="002A7A40" w:rsidRPr="009C25A5" w:rsidRDefault="002A7A40"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777800EA" w14:textId="77777777" w:rsidTr="00A82C7F">
        <w:tc>
          <w:tcPr>
            <w:tcW w:w="1123" w:type="dxa"/>
          </w:tcPr>
          <w:p w14:paraId="656117C3" w14:textId="77777777" w:rsidR="002A7A40" w:rsidRPr="00676CE7" w:rsidRDefault="002A7A40" w:rsidP="00400DD1">
            <w:pPr>
              <w:spacing w:before="20" w:line="241" w:lineRule="auto"/>
              <w:ind w:firstLine="1"/>
              <w:jc w:val="left"/>
              <w:rPr>
                <w:rFonts w:asciiTheme="minorBidi" w:hAnsiTheme="minorBidi" w:cstheme="minorBidi"/>
                <w:color w:val="000000"/>
                <w:sz w:val="18"/>
                <w:szCs w:val="18"/>
                <w:rtl/>
                <w:lang w:eastAsia="he-IL"/>
              </w:rPr>
            </w:pPr>
          </w:p>
        </w:tc>
        <w:tc>
          <w:tcPr>
            <w:tcW w:w="3498" w:type="dxa"/>
            <w:gridSpan w:val="2"/>
          </w:tcPr>
          <w:p w14:paraId="58D988F4" w14:textId="77777777" w:rsidR="002A7A40" w:rsidRPr="009C25A5" w:rsidRDefault="002A7A40" w:rsidP="00400DD1">
            <w:pPr>
              <w:spacing w:before="20" w:line="241" w:lineRule="auto"/>
              <w:ind w:left="117" w:hanging="116"/>
              <w:jc w:val="left"/>
              <w:rPr>
                <w:rFonts w:asciiTheme="minorBidi" w:hAnsiTheme="minorBidi" w:cstheme="minorBidi"/>
                <w:b/>
                <w:bCs/>
                <w:color w:val="000000"/>
                <w:sz w:val="18"/>
                <w:szCs w:val="18"/>
                <w:rtl/>
                <w:lang w:eastAsia="he-IL"/>
              </w:rPr>
            </w:pPr>
            <w:r w:rsidRPr="009C25A5">
              <w:rPr>
                <w:rFonts w:asciiTheme="minorBidi" w:hAnsiTheme="minorBidi" w:cstheme="minorBidi"/>
                <w:color w:val="000000"/>
                <w:sz w:val="18"/>
                <w:szCs w:val="18"/>
                <w:rtl/>
                <w:lang w:eastAsia="he-IL"/>
              </w:rPr>
              <w:t>הוצאות תפעוליות ואחרות</w:t>
            </w:r>
          </w:p>
        </w:tc>
        <w:tc>
          <w:tcPr>
            <w:tcW w:w="796" w:type="dxa"/>
            <w:vAlign w:val="bottom"/>
          </w:tcPr>
          <w:p w14:paraId="2C67CECF" w14:textId="77777777" w:rsidR="002A7A40" w:rsidRPr="009C25A5" w:rsidRDefault="002A7A40"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2575B0B2" w14:textId="77777777" w:rsidR="002A7A40" w:rsidRPr="009C25A5" w:rsidRDefault="002A7A40"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2F0859CF" w14:textId="77777777" w:rsidR="002A7A40" w:rsidRPr="009C25A5" w:rsidRDefault="002A7A40"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E6A1610" w14:textId="77777777" w:rsidR="002A7A40" w:rsidRPr="009C25A5" w:rsidRDefault="002A7A40"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6DD6908" w14:textId="77777777" w:rsidR="002A7A40" w:rsidRPr="009C25A5" w:rsidRDefault="002A7A40"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2713569D" w14:textId="77777777" w:rsidR="002A7A40" w:rsidRPr="009C25A5" w:rsidRDefault="002A7A40"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2BEE7E82" w14:textId="77777777" w:rsidR="002A7A40" w:rsidRPr="009C25A5" w:rsidRDefault="002A7A40"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3C0D0A99" w14:textId="77777777" w:rsidTr="00A82C7F">
        <w:tc>
          <w:tcPr>
            <w:tcW w:w="1123" w:type="dxa"/>
          </w:tcPr>
          <w:p w14:paraId="51C7F9FB" w14:textId="77777777" w:rsidR="002A7A40" w:rsidRPr="00676CE7" w:rsidRDefault="002A7A40" w:rsidP="00400DD1">
            <w:pPr>
              <w:spacing w:line="120" w:lineRule="exact"/>
              <w:jc w:val="left"/>
              <w:rPr>
                <w:rFonts w:asciiTheme="minorBidi" w:hAnsiTheme="minorBidi" w:cstheme="minorBidi"/>
                <w:color w:val="000000"/>
                <w:sz w:val="18"/>
                <w:szCs w:val="18"/>
                <w:rtl/>
                <w:lang w:eastAsia="he-IL"/>
              </w:rPr>
            </w:pPr>
          </w:p>
        </w:tc>
        <w:tc>
          <w:tcPr>
            <w:tcW w:w="918" w:type="dxa"/>
          </w:tcPr>
          <w:p w14:paraId="7FCDFE74" w14:textId="77777777" w:rsidR="002A7A40" w:rsidRPr="009C25A5" w:rsidRDefault="002A7A40" w:rsidP="00400DD1">
            <w:pPr>
              <w:spacing w:line="120" w:lineRule="exact"/>
              <w:ind w:firstLine="1"/>
              <w:jc w:val="left"/>
              <w:rPr>
                <w:rFonts w:asciiTheme="minorBidi" w:hAnsiTheme="minorBidi" w:cstheme="minorBidi"/>
                <w:color w:val="000000"/>
                <w:sz w:val="18"/>
                <w:szCs w:val="18"/>
                <w:rtl/>
                <w:lang w:eastAsia="he-IL"/>
              </w:rPr>
            </w:pPr>
          </w:p>
        </w:tc>
        <w:tc>
          <w:tcPr>
            <w:tcW w:w="2580" w:type="dxa"/>
          </w:tcPr>
          <w:p w14:paraId="1CA7940A" w14:textId="77777777" w:rsidR="002A7A40" w:rsidRPr="009C25A5" w:rsidRDefault="002A7A40" w:rsidP="00400DD1">
            <w:pPr>
              <w:spacing w:line="120" w:lineRule="exact"/>
              <w:ind w:firstLine="1"/>
              <w:jc w:val="left"/>
              <w:rPr>
                <w:rFonts w:asciiTheme="minorBidi" w:hAnsiTheme="minorBidi" w:cstheme="minorBidi"/>
                <w:color w:val="000000"/>
                <w:sz w:val="18"/>
                <w:szCs w:val="18"/>
                <w:rtl/>
                <w:lang w:eastAsia="he-IL"/>
              </w:rPr>
            </w:pPr>
          </w:p>
        </w:tc>
        <w:tc>
          <w:tcPr>
            <w:tcW w:w="796" w:type="dxa"/>
            <w:vAlign w:val="bottom"/>
          </w:tcPr>
          <w:p w14:paraId="63E70CB0"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31DE9999"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43B75E5F"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6CAC298B"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23C29AD4" w14:textId="77777777" w:rsidR="002A7A40" w:rsidRPr="009C25A5" w:rsidRDefault="002A7A40" w:rsidP="00400DD1">
            <w:pPr>
              <w:spacing w:line="120" w:lineRule="exact"/>
              <w:jc w:val="left"/>
              <w:rPr>
                <w:rFonts w:asciiTheme="minorBidi" w:hAnsiTheme="minorBidi" w:cstheme="minorBidi"/>
                <w:sz w:val="18"/>
                <w:szCs w:val="18"/>
                <w:rtl/>
              </w:rPr>
            </w:pPr>
          </w:p>
        </w:tc>
        <w:tc>
          <w:tcPr>
            <w:tcW w:w="800" w:type="dxa"/>
            <w:vAlign w:val="bottom"/>
          </w:tcPr>
          <w:p w14:paraId="7BBA8F0E"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3F0EF656" w14:textId="77777777" w:rsidR="002A7A40" w:rsidRPr="009C25A5" w:rsidRDefault="002A7A40" w:rsidP="00400DD1">
            <w:pPr>
              <w:spacing w:line="120" w:lineRule="exact"/>
              <w:jc w:val="left"/>
              <w:rPr>
                <w:rFonts w:asciiTheme="minorBidi" w:hAnsiTheme="minorBidi" w:cstheme="minorBidi"/>
                <w:sz w:val="18"/>
                <w:szCs w:val="18"/>
                <w:rtl/>
              </w:rPr>
            </w:pPr>
          </w:p>
        </w:tc>
      </w:tr>
      <w:tr w:rsidR="002A7A40" w:rsidRPr="00676CE7" w14:paraId="28B7D41E" w14:textId="77777777" w:rsidTr="00A82C7F">
        <w:tc>
          <w:tcPr>
            <w:tcW w:w="1123" w:type="dxa"/>
          </w:tcPr>
          <w:p w14:paraId="5B5C62C0" w14:textId="77777777" w:rsidR="002A7A40" w:rsidRPr="00676CE7" w:rsidRDefault="002A7A40" w:rsidP="00400DD1">
            <w:pPr>
              <w:tabs>
                <w:tab w:val="left" w:pos="237"/>
              </w:tabs>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0245516C" w14:textId="77777777" w:rsidR="002A7A40" w:rsidRPr="009C25A5" w:rsidRDefault="002A7A40" w:rsidP="00400DD1">
            <w:pPr>
              <w:spacing w:before="30" w:line="241" w:lineRule="auto"/>
              <w:ind w:left="117" w:hanging="116"/>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רווח לפני מסים</w:t>
            </w:r>
          </w:p>
        </w:tc>
        <w:tc>
          <w:tcPr>
            <w:tcW w:w="796" w:type="dxa"/>
            <w:vAlign w:val="bottom"/>
          </w:tcPr>
          <w:p w14:paraId="38513E67" w14:textId="77777777" w:rsidR="002A7A40" w:rsidRPr="009C25A5" w:rsidRDefault="002A7A40"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FD3C8AB" w14:textId="77777777" w:rsidR="002A7A40" w:rsidRPr="009C25A5" w:rsidRDefault="002A7A40"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AC60B09" w14:textId="77777777" w:rsidR="002A7A40" w:rsidRPr="009C25A5" w:rsidRDefault="002A7A40"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AA2139D" w14:textId="77777777" w:rsidR="002A7A40" w:rsidRPr="009C25A5" w:rsidRDefault="002A7A40"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6D7427A" w14:textId="77777777" w:rsidR="002A7A40" w:rsidRPr="009C25A5" w:rsidRDefault="002A7A40"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3B1E375C" w14:textId="77777777" w:rsidR="002A7A40" w:rsidRPr="009C25A5" w:rsidRDefault="002A7A40"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13E93C6" w14:textId="77777777" w:rsidR="002A7A40" w:rsidRPr="009C25A5" w:rsidRDefault="002A7A40"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3D99896E" w14:textId="77777777" w:rsidTr="00A82C7F">
        <w:tc>
          <w:tcPr>
            <w:tcW w:w="1123" w:type="dxa"/>
          </w:tcPr>
          <w:p w14:paraId="2F515DCA"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5F87CE85" w14:textId="77777777" w:rsidR="002A7A40" w:rsidRPr="009C25A5" w:rsidRDefault="002A7A40" w:rsidP="00400DD1">
            <w:pPr>
              <w:spacing w:before="30" w:line="241" w:lineRule="auto"/>
              <w:ind w:left="117" w:hanging="116"/>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הפרשה למסים על הרווח</w:t>
            </w:r>
          </w:p>
        </w:tc>
        <w:tc>
          <w:tcPr>
            <w:tcW w:w="796" w:type="dxa"/>
            <w:vAlign w:val="bottom"/>
          </w:tcPr>
          <w:p w14:paraId="780AB0BC" w14:textId="77777777" w:rsidR="002A7A40" w:rsidRPr="009C25A5" w:rsidRDefault="002A7A40"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D2B1621" w14:textId="77777777" w:rsidR="002A7A40" w:rsidRPr="009C25A5" w:rsidRDefault="002A7A40"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08FCD751" w14:textId="77777777" w:rsidR="002A7A40" w:rsidRPr="009C25A5" w:rsidRDefault="002A7A40"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6DD0468" w14:textId="77777777" w:rsidR="002A7A40" w:rsidRPr="009C25A5" w:rsidRDefault="002A7A40"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7FEFCA5" w14:textId="77777777" w:rsidR="002A7A40" w:rsidRPr="009C25A5" w:rsidRDefault="002A7A40"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1C2F313E" w14:textId="77777777" w:rsidR="002A7A40" w:rsidRPr="009C25A5" w:rsidRDefault="002A7A40"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980CF32" w14:textId="77777777" w:rsidR="002A7A40" w:rsidRPr="009C25A5" w:rsidRDefault="002A7A40"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67F0F41E" w14:textId="77777777" w:rsidTr="00A82C7F">
        <w:tc>
          <w:tcPr>
            <w:tcW w:w="1123" w:type="dxa"/>
          </w:tcPr>
          <w:p w14:paraId="463A19C0"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3DFABDF5" w14:textId="77777777" w:rsidR="002A7A40" w:rsidRPr="009C25A5" w:rsidRDefault="002A7A40" w:rsidP="00400DD1">
            <w:pPr>
              <w:spacing w:before="40"/>
              <w:ind w:left="113" w:hanging="113"/>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רווח לאחר מסים</w:t>
            </w:r>
          </w:p>
        </w:tc>
        <w:tc>
          <w:tcPr>
            <w:tcW w:w="796" w:type="dxa"/>
            <w:vAlign w:val="bottom"/>
          </w:tcPr>
          <w:p w14:paraId="5756265C" w14:textId="77777777" w:rsidR="002A7A40" w:rsidRPr="009C25A5" w:rsidRDefault="002A7A40"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F0A86C5" w14:textId="77777777" w:rsidR="002A7A40" w:rsidRPr="009C25A5" w:rsidRDefault="002A7A40"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1E0E3E4" w14:textId="77777777" w:rsidR="002A7A40" w:rsidRPr="009C25A5" w:rsidRDefault="002A7A40"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B93A819" w14:textId="77777777" w:rsidR="002A7A40" w:rsidRPr="009C25A5" w:rsidRDefault="002A7A40"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AA4B41A" w14:textId="77777777" w:rsidR="002A7A40" w:rsidRPr="009C25A5" w:rsidRDefault="002A7A40"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2B9E2E4D" w14:textId="77777777" w:rsidR="002A7A40" w:rsidRPr="009C25A5" w:rsidRDefault="002A7A40"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E63062E" w14:textId="77777777" w:rsidR="002A7A40" w:rsidRPr="009C25A5" w:rsidRDefault="002A7A40"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64F8454A" w14:textId="77777777" w:rsidTr="00A82C7F">
        <w:tc>
          <w:tcPr>
            <w:tcW w:w="1123" w:type="dxa"/>
          </w:tcPr>
          <w:p w14:paraId="21D201D6"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Borders>
              <w:bottom w:val="single" w:sz="8" w:space="0" w:color="auto"/>
            </w:tcBorders>
          </w:tcPr>
          <w:p w14:paraId="109D278B" w14:textId="77777777" w:rsidR="002A7A40" w:rsidRPr="009C25A5" w:rsidRDefault="002A7A40" w:rsidP="00400DD1">
            <w:pPr>
              <w:spacing w:before="40" w:after="120"/>
              <w:ind w:left="113" w:hanging="113"/>
              <w:jc w:val="left"/>
              <w:rPr>
                <w:rFonts w:asciiTheme="minorBidi" w:hAnsiTheme="minorBidi" w:cstheme="minorBidi"/>
                <w:color w:val="000000"/>
                <w:sz w:val="18"/>
                <w:szCs w:val="18"/>
                <w:rtl/>
                <w:lang w:eastAsia="he-IL"/>
              </w:rPr>
            </w:pPr>
          </w:p>
        </w:tc>
        <w:tc>
          <w:tcPr>
            <w:tcW w:w="796" w:type="dxa"/>
            <w:tcBorders>
              <w:bottom w:val="single" w:sz="8" w:space="0" w:color="auto"/>
            </w:tcBorders>
            <w:vAlign w:val="bottom"/>
          </w:tcPr>
          <w:p w14:paraId="7802A6D5"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tcBorders>
              <w:bottom w:val="single" w:sz="8" w:space="0" w:color="auto"/>
            </w:tcBorders>
            <w:vAlign w:val="bottom"/>
          </w:tcPr>
          <w:p w14:paraId="18C72115"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tcBorders>
              <w:bottom w:val="single" w:sz="8" w:space="0" w:color="auto"/>
            </w:tcBorders>
            <w:vAlign w:val="bottom"/>
          </w:tcPr>
          <w:p w14:paraId="2A4CE518"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tcBorders>
              <w:bottom w:val="single" w:sz="8" w:space="0" w:color="auto"/>
            </w:tcBorders>
            <w:vAlign w:val="bottom"/>
          </w:tcPr>
          <w:p w14:paraId="62FD819D"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tcBorders>
              <w:bottom w:val="single" w:sz="8" w:space="0" w:color="auto"/>
            </w:tcBorders>
            <w:vAlign w:val="bottom"/>
          </w:tcPr>
          <w:p w14:paraId="32625135"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800" w:type="dxa"/>
            <w:tcBorders>
              <w:bottom w:val="single" w:sz="8" w:space="0" w:color="auto"/>
            </w:tcBorders>
            <w:vAlign w:val="bottom"/>
          </w:tcPr>
          <w:p w14:paraId="00D22AAF"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tcBorders>
              <w:bottom w:val="single" w:sz="8" w:space="0" w:color="auto"/>
            </w:tcBorders>
            <w:vAlign w:val="bottom"/>
          </w:tcPr>
          <w:p w14:paraId="19BC398B" w14:textId="77777777" w:rsidR="002A7A40" w:rsidRPr="009C25A5" w:rsidRDefault="002A7A40" w:rsidP="00400DD1">
            <w:pPr>
              <w:spacing w:before="30" w:line="241" w:lineRule="auto"/>
              <w:jc w:val="left"/>
              <w:rPr>
                <w:rFonts w:asciiTheme="minorBidi" w:hAnsiTheme="minorBidi" w:cstheme="minorBidi"/>
                <w:sz w:val="18"/>
                <w:szCs w:val="18"/>
                <w:rtl/>
              </w:rPr>
            </w:pPr>
          </w:p>
        </w:tc>
      </w:tr>
      <w:tr w:rsidR="002A7A40" w:rsidRPr="00676CE7" w14:paraId="66E9CD85" w14:textId="77777777" w:rsidTr="00A82C7F">
        <w:tc>
          <w:tcPr>
            <w:tcW w:w="1123" w:type="dxa"/>
          </w:tcPr>
          <w:p w14:paraId="23870B47"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Borders>
              <w:top w:val="single" w:sz="8" w:space="0" w:color="auto"/>
            </w:tcBorders>
          </w:tcPr>
          <w:p w14:paraId="0EC8676E" w14:textId="77777777" w:rsidR="002A7A40" w:rsidRPr="0091316C" w:rsidRDefault="002A7A40" w:rsidP="00616F56">
            <w:pPr>
              <w:spacing w:before="120"/>
              <w:ind w:left="113" w:hanging="113"/>
              <w:jc w:val="left"/>
              <w:rPr>
                <w:rFonts w:asciiTheme="minorBidi" w:hAnsiTheme="minorBidi" w:cstheme="minorBidi"/>
                <w:b/>
                <w:bCs/>
                <w:color w:val="000000"/>
                <w:sz w:val="17"/>
                <w:szCs w:val="17"/>
                <w:rtl/>
                <w:lang w:eastAsia="he-IL"/>
              </w:rPr>
            </w:pPr>
            <w:r w:rsidRPr="0091316C">
              <w:rPr>
                <w:rFonts w:asciiTheme="minorBidi" w:hAnsiTheme="minorBidi" w:cstheme="minorBidi"/>
                <w:b/>
                <w:bCs/>
                <w:color w:val="000000"/>
                <w:sz w:val="17"/>
                <w:szCs w:val="17"/>
                <w:rtl/>
                <w:lang w:eastAsia="he-IL"/>
              </w:rPr>
              <w:t>יתרת נכסים לסוף תקופת הדיווח</w:t>
            </w:r>
          </w:p>
        </w:tc>
        <w:tc>
          <w:tcPr>
            <w:tcW w:w="796" w:type="dxa"/>
            <w:tcBorders>
              <w:top w:val="single" w:sz="8" w:space="0" w:color="auto"/>
            </w:tcBorders>
            <w:vAlign w:val="bottom"/>
          </w:tcPr>
          <w:p w14:paraId="3934A920"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tcBorders>
              <w:top w:val="single" w:sz="8" w:space="0" w:color="auto"/>
            </w:tcBorders>
            <w:vAlign w:val="bottom"/>
          </w:tcPr>
          <w:p w14:paraId="3448F303"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tcBorders>
              <w:top w:val="single" w:sz="8" w:space="0" w:color="auto"/>
            </w:tcBorders>
            <w:vAlign w:val="bottom"/>
          </w:tcPr>
          <w:p w14:paraId="6D9F9161"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tcBorders>
              <w:top w:val="single" w:sz="8" w:space="0" w:color="auto"/>
            </w:tcBorders>
            <w:vAlign w:val="bottom"/>
          </w:tcPr>
          <w:p w14:paraId="1D992788"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tcBorders>
              <w:top w:val="single" w:sz="8" w:space="0" w:color="auto"/>
            </w:tcBorders>
            <w:vAlign w:val="bottom"/>
          </w:tcPr>
          <w:p w14:paraId="178E5876"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tcBorders>
              <w:top w:val="single" w:sz="8" w:space="0" w:color="auto"/>
            </w:tcBorders>
            <w:vAlign w:val="bottom"/>
          </w:tcPr>
          <w:p w14:paraId="4AE4685B"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tcBorders>
              <w:top w:val="single" w:sz="8" w:space="0" w:color="auto"/>
            </w:tcBorders>
            <w:vAlign w:val="bottom"/>
          </w:tcPr>
          <w:p w14:paraId="37843B75"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6FE6CBFC" w14:textId="77777777" w:rsidTr="00A82C7F">
        <w:tc>
          <w:tcPr>
            <w:tcW w:w="1123" w:type="dxa"/>
          </w:tcPr>
          <w:p w14:paraId="327E553D"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3398CA8B" w14:textId="77777777" w:rsidR="002A7A40" w:rsidRPr="009C25A5" w:rsidRDefault="002A7A40" w:rsidP="00400DD1">
            <w:pPr>
              <w:spacing w:before="40"/>
              <w:ind w:left="113" w:hanging="113"/>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מזה: יתרת האשראי לציבור</w:t>
            </w:r>
          </w:p>
        </w:tc>
        <w:tc>
          <w:tcPr>
            <w:tcW w:w="796" w:type="dxa"/>
            <w:vAlign w:val="bottom"/>
          </w:tcPr>
          <w:p w14:paraId="079F17FB"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D67B7B8"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0F000F40"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1055B20A"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429BEE6B"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73164EF7"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39E0609A"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39E4F0BA" w14:textId="77777777" w:rsidTr="00A82C7F">
        <w:tc>
          <w:tcPr>
            <w:tcW w:w="1123" w:type="dxa"/>
          </w:tcPr>
          <w:p w14:paraId="042C6CCD"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37569777" w14:textId="77777777" w:rsidR="002A7A40" w:rsidRPr="009C25A5" w:rsidRDefault="002A7A40" w:rsidP="00400DD1">
            <w:pPr>
              <w:spacing w:before="40"/>
              <w:ind w:left="113" w:hanging="113"/>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השקעות בחברות כלולות</w:t>
            </w:r>
          </w:p>
        </w:tc>
        <w:tc>
          <w:tcPr>
            <w:tcW w:w="796" w:type="dxa"/>
            <w:vAlign w:val="bottom"/>
          </w:tcPr>
          <w:p w14:paraId="0FFD8367"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0BA6D1B9"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19C86EBE"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394D1BE8"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5E34658D"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1B28BCFF"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04E75643"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3B4AD1DB" w14:textId="77777777" w:rsidTr="00A82C7F">
        <w:tc>
          <w:tcPr>
            <w:tcW w:w="1123" w:type="dxa"/>
          </w:tcPr>
          <w:p w14:paraId="1EF3E5BD"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0DC15928" w14:textId="77777777" w:rsidR="002A7A40" w:rsidRPr="009C25A5" w:rsidRDefault="002A7A40" w:rsidP="00400DD1">
            <w:pPr>
              <w:spacing w:before="40"/>
              <w:ind w:left="113" w:hanging="113"/>
              <w:jc w:val="left"/>
              <w:rPr>
                <w:rFonts w:asciiTheme="minorBidi" w:hAnsiTheme="minorBidi" w:cstheme="minorBidi"/>
                <w:color w:val="000000"/>
                <w:sz w:val="18"/>
                <w:szCs w:val="18"/>
                <w:rtl/>
                <w:lang w:eastAsia="he-IL"/>
              </w:rPr>
            </w:pPr>
          </w:p>
        </w:tc>
        <w:tc>
          <w:tcPr>
            <w:tcW w:w="796" w:type="dxa"/>
            <w:vAlign w:val="bottom"/>
          </w:tcPr>
          <w:p w14:paraId="4D8610AC"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vAlign w:val="bottom"/>
          </w:tcPr>
          <w:p w14:paraId="2B3A78B8"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vAlign w:val="bottom"/>
          </w:tcPr>
          <w:p w14:paraId="7D35E356"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vAlign w:val="bottom"/>
          </w:tcPr>
          <w:p w14:paraId="175F58CD"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vAlign w:val="bottom"/>
          </w:tcPr>
          <w:p w14:paraId="3FDE5C02"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800" w:type="dxa"/>
            <w:vAlign w:val="bottom"/>
          </w:tcPr>
          <w:p w14:paraId="507C80A8"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vAlign w:val="bottom"/>
          </w:tcPr>
          <w:p w14:paraId="53609541" w14:textId="77777777" w:rsidR="002A7A40" w:rsidRPr="009C25A5" w:rsidRDefault="002A7A40" w:rsidP="00400DD1">
            <w:pPr>
              <w:spacing w:before="30" w:line="241" w:lineRule="auto"/>
              <w:jc w:val="left"/>
              <w:rPr>
                <w:rFonts w:asciiTheme="minorBidi" w:hAnsiTheme="minorBidi" w:cstheme="minorBidi"/>
                <w:sz w:val="18"/>
                <w:szCs w:val="18"/>
                <w:rtl/>
              </w:rPr>
            </w:pPr>
          </w:p>
        </w:tc>
      </w:tr>
      <w:tr w:rsidR="002A7A40" w:rsidRPr="00676CE7" w14:paraId="70558B85" w14:textId="77777777" w:rsidTr="00A82C7F">
        <w:tc>
          <w:tcPr>
            <w:tcW w:w="1123" w:type="dxa"/>
          </w:tcPr>
          <w:p w14:paraId="40617FF9"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77773CE2" w14:textId="77777777" w:rsidR="002A7A40" w:rsidRPr="0091316C" w:rsidRDefault="002A7A40" w:rsidP="00400DD1">
            <w:pPr>
              <w:spacing w:before="40"/>
              <w:ind w:left="113" w:hanging="113"/>
              <w:jc w:val="left"/>
              <w:rPr>
                <w:rFonts w:asciiTheme="minorBidi" w:hAnsiTheme="minorBidi" w:cstheme="minorBidi"/>
                <w:b/>
                <w:bCs/>
                <w:color w:val="000000"/>
                <w:sz w:val="17"/>
                <w:szCs w:val="17"/>
                <w:rtl/>
                <w:lang w:eastAsia="he-IL"/>
              </w:rPr>
            </w:pPr>
            <w:r w:rsidRPr="0091316C">
              <w:rPr>
                <w:rFonts w:asciiTheme="minorBidi" w:hAnsiTheme="minorBidi" w:cstheme="minorBidi"/>
                <w:b/>
                <w:bCs/>
                <w:color w:val="000000"/>
                <w:sz w:val="17"/>
                <w:szCs w:val="17"/>
                <w:rtl/>
                <w:lang w:eastAsia="he-IL"/>
              </w:rPr>
              <w:t xml:space="preserve">יתרת התחייבויות לסוף תקופת הדיווח </w:t>
            </w:r>
          </w:p>
        </w:tc>
        <w:tc>
          <w:tcPr>
            <w:tcW w:w="796" w:type="dxa"/>
            <w:vAlign w:val="bottom"/>
          </w:tcPr>
          <w:p w14:paraId="3467AA9B"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0808C392"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5343618C"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5B0229D3"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D0B680E"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39A3CA36"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5B914D76"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27F29E8D" w14:textId="77777777" w:rsidTr="00A82C7F">
        <w:tc>
          <w:tcPr>
            <w:tcW w:w="1123" w:type="dxa"/>
          </w:tcPr>
          <w:p w14:paraId="1CD65D7D"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66CD34BD" w14:textId="77777777" w:rsidR="002A7A40" w:rsidRPr="009C25A5" w:rsidRDefault="002A7A40" w:rsidP="00400DD1">
            <w:pPr>
              <w:spacing w:before="40"/>
              <w:ind w:left="113" w:hanging="113"/>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מזה: יתרת פיקדונות הציבור</w:t>
            </w:r>
          </w:p>
        </w:tc>
        <w:tc>
          <w:tcPr>
            <w:tcW w:w="796" w:type="dxa"/>
            <w:vAlign w:val="bottom"/>
          </w:tcPr>
          <w:p w14:paraId="696D1691"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1907A5B3"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556C8284"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3ED7EE86"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CE66C15"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2ECD66ED"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18F27156"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bl>
    <w:p w14:paraId="1F32F7B1" w14:textId="585FF647" w:rsidR="00C8470A" w:rsidRPr="002A7A40" w:rsidRDefault="00C8470A">
      <w:pPr>
        <w:rPr>
          <w:sz w:val="18"/>
          <w:szCs w:val="18"/>
          <w:rtl/>
        </w:rPr>
      </w:pPr>
    </w:p>
    <w:p w14:paraId="7477EDE9" w14:textId="77777777" w:rsidR="00FC2A05" w:rsidRDefault="00FC2A05"/>
    <w:p w14:paraId="2C7A8BE0" w14:textId="77777777" w:rsidR="00FC2A05" w:rsidRDefault="00FC2A05"/>
    <w:p w14:paraId="41B6A4C3" w14:textId="54AC4DA4" w:rsidR="00266B5A" w:rsidRDefault="00266B5A">
      <w:pPr>
        <w:bidi w:val="0"/>
        <w:jc w:val="left"/>
      </w:pPr>
      <w:r>
        <w:rPr>
          <w:rtl/>
        </w:rPr>
        <w:br w:type="page"/>
      </w:r>
    </w:p>
    <w:p w14:paraId="712B6A9C" w14:textId="77777777" w:rsidR="00266B5A" w:rsidRDefault="00266B5A"/>
    <w:tbl>
      <w:tblPr>
        <w:tblpPr w:leftFromText="180" w:rightFromText="180" w:vertAnchor="page" w:horzAnchor="margin" w:tblpY="2067"/>
        <w:bidiVisual/>
        <w:tblW w:w="10490" w:type="dxa"/>
        <w:tblLook w:val="04A0" w:firstRow="1" w:lastRow="0" w:firstColumn="1" w:lastColumn="0" w:noHBand="0" w:noVBand="1"/>
      </w:tblPr>
      <w:tblGrid>
        <w:gridCol w:w="1281"/>
        <w:gridCol w:w="9209"/>
      </w:tblGrid>
      <w:tr w:rsidR="00266B5A" w:rsidRPr="00D947F3" w14:paraId="190D3E65" w14:textId="77777777" w:rsidTr="00A82C7F">
        <w:trPr>
          <w:trHeight w:val="259"/>
        </w:trPr>
        <w:tc>
          <w:tcPr>
            <w:tcW w:w="1281" w:type="dxa"/>
            <w:vAlign w:val="center"/>
          </w:tcPr>
          <w:p w14:paraId="29F4D5FC" w14:textId="77777777" w:rsidR="00266B5A" w:rsidRPr="00E965B5" w:rsidRDefault="00266B5A" w:rsidP="00266B5A">
            <w:pPr>
              <w:spacing w:before="60" w:after="60"/>
              <w:ind w:right="-142"/>
              <w:jc w:val="left"/>
              <w:rPr>
                <w:sz w:val="14"/>
                <w:szCs w:val="14"/>
                <w:rtl/>
              </w:rPr>
            </w:pPr>
          </w:p>
        </w:tc>
        <w:tc>
          <w:tcPr>
            <w:tcW w:w="9209" w:type="dxa"/>
          </w:tcPr>
          <w:p w14:paraId="30C1E224" w14:textId="77777777" w:rsidR="00266B5A" w:rsidRDefault="00266B5A" w:rsidP="00266B5A">
            <w:pPr>
              <w:spacing w:before="60" w:after="60"/>
              <w:ind w:left="450" w:hanging="450"/>
              <w:rPr>
                <w:b/>
                <w:bCs/>
                <w:rtl/>
              </w:rPr>
            </w:pPr>
            <w:r w:rsidRPr="00D947F3">
              <w:rPr>
                <w:rFonts w:hint="cs"/>
                <w:b/>
                <w:bCs/>
                <w:sz w:val="22"/>
                <w:szCs w:val="22"/>
                <w:rtl/>
              </w:rPr>
              <w:t xml:space="preserve">ביאור </w:t>
            </w:r>
            <w:r>
              <w:rPr>
                <w:rFonts w:hint="cs"/>
                <w:b/>
                <w:bCs/>
                <w:sz w:val="22"/>
                <w:szCs w:val="22"/>
                <w:rtl/>
              </w:rPr>
              <w:t>11</w:t>
            </w:r>
            <w:r w:rsidRPr="00D947F3">
              <w:rPr>
                <w:rFonts w:hint="cs"/>
                <w:b/>
                <w:bCs/>
                <w:sz w:val="22"/>
                <w:szCs w:val="22"/>
                <w:rtl/>
              </w:rPr>
              <w:t>א - מגזרי פעילות לפי גישת ההנהלה (המשך):</w:t>
            </w:r>
          </w:p>
        </w:tc>
      </w:tr>
      <w:tr w:rsidR="002A7A40" w:rsidRPr="00D947F3" w14:paraId="70926412" w14:textId="77777777" w:rsidTr="00A82C7F">
        <w:trPr>
          <w:trHeight w:val="259"/>
        </w:trPr>
        <w:tc>
          <w:tcPr>
            <w:tcW w:w="1281" w:type="dxa"/>
            <w:vAlign w:val="center"/>
          </w:tcPr>
          <w:p w14:paraId="68BDBC00" w14:textId="77777777" w:rsidR="002A7A40" w:rsidRPr="00E965B5" w:rsidRDefault="002A7A40" w:rsidP="00266B5A">
            <w:pPr>
              <w:spacing w:before="60" w:after="60"/>
              <w:ind w:right="-142"/>
              <w:jc w:val="left"/>
              <w:rPr>
                <w:sz w:val="14"/>
                <w:szCs w:val="14"/>
                <w:rtl/>
              </w:rPr>
            </w:pPr>
          </w:p>
        </w:tc>
        <w:tc>
          <w:tcPr>
            <w:tcW w:w="9209" w:type="dxa"/>
          </w:tcPr>
          <w:p w14:paraId="51E24588" w14:textId="02FF65D1" w:rsidR="002A7A40" w:rsidRPr="00D947F3" w:rsidRDefault="002A7A40" w:rsidP="00A82C7F">
            <w:pPr>
              <w:spacing w:before="60" w:after="60"/>
              <w:ind w:left="311" w:hanging="311"/>
              <w:rPr>
                <w:b/>
                <w:bCs/>
                <w:sz w:val="22"/>
                <w:szCs w:val="22"/>
                <w:rtl/>
              </w:rPr>
            </w:pPr>
            <w:r w:rsidRPr="00D947F3">
              <w:rPr>
                <w:rFonts w:hint="eastAsia"/>
                <w:b/>
                <w:bCs/>
                <w:rtl/>
              </w:rPr>
              <w:t>ב</w:t>
            </w:r>
            <w:r w:rsidRPr="00D947F3">
              <w:rPr>
                <w:b/>
                <w:bCs/>
                <w:rtl/>
              </w:rPr>
              <w:t>.</w:t>
            </w:r>
            <w:r w:rsidRPr="00D947F3">
              <w:rPr>
                <w:b/>
                <w:bCs/>
                <w:rtl/>
              </w:rPr>
              <w:tab/>
            </w:r>
            <w:r w:rsidRPr="00D947F3">
              <w:rPr>
                <w:rFonts w:hint="eastAsia"/>
                <w:b/>
                <w:bCs/>
                <w:rtl/>
              </w:rPr>
              <w:t>מידע</w:t>
            </w:r>
            <w:r w:rsidRPr="00D947F3">
              <w:rPr>
                <w:b/>
                <w:bCs/>
                <w:rtl/>
              </w:rPr>
              <w:t xml:space="preserve"> </w:t>
            </w:r>
            <w:r>
              <w:rPr>
                <w:rFonts w:hint="cs"/>
                <w:b/>
                <w:bCs/>
                <w:rtl/>
              </w:rPr>
              <w:t xml:space="preserve">לגבי רווח או הפסד, נכסים </w:t>
            </w:r>
            <w:r w:rsidRPr="00A701BC">
              <w:rPr>
                <w:rFonts w:hint="eastAsia"/>
                <w:b/>
                <w:bCs/>
                <w:rtl/>
              </w:rPr>
              <w:t>והתחייבויות</w:t>
            </w:r>
            <w:r>
              <w:rPr>
                <w:rFonts w:hint="cs"/>
                <w:b/>
                <w:bCs/>
                <w:rtl/>
              </w:rPr>
              <w:t xml:space="preserve"> (המשך)</w:t>
            </w:r>
            <w:r w:rsidRPr="00A701BC">
              <w:rPr>
                <w:b/>
                <w:bCs/>
                <w:rtl/>
              </w:rPr>
              <w:t>:</w:t>
            </w:r>
          </w:p>
        </w:tc>
      </w:tr>
    </w:tbl>
    <w:tbl>
      <w:tblPr>
        <w:bidiVisual/>
        <w:tblW w:w="4973" w:type="pct"/>
        <w:tblInd w:w="-76" w:type="dxa"/>
        <w:tblLayout w:type="fixed"/>
        <w:tblLook w:val="04A0" w:firstRow="1" w:lastRow="0" w:firstColumn="1" w:lastColumn="0" w:noHBand="0" w:noVBand="1"/>
      </w:tblPr>
      <w:tblGrid>
        <w:gridCol w:w="1078"/>
        <w:gridCol w:w="918"/>
        <w:gridCol w:w="2580"/>
        <w:gridCol w:w="796"/>
        <w:gridCol w:w="796"/>
        <w:gridCol w:w="796"/>
        <w:gridCol w:w="796"/>
        <w:gridCol w:w="796"/>
        <w:gridCol w:w="800"/>
        <w:gridCol w:w="796"/>
      </w:tblGrid>
      <w:tr w:rsidR="002A7A40" w:rsidRPr="00676CE7" w14:paraId="10620C22" w14:textId="77777777" w:rsidTr="00A82C7F">
        <w:tc>
          <w:tcPr>
            <w:tcW w:w="1077" w:type="dxa"/>
          </w:tcPr>
          <w:p w14:paraId="4E7A8E37" w14:textId="77777777" w:rsidR="002A7A40" w:rsidRPr="00676CE7" w:rsidRDefault="002A7A40" w:rsidP="00400DD1">
            <w:pPr>
              <w:jc w:val="left"/>
              <w:rPr>
                <w:rFonts w:asciiTheme="minorBidi" w:hAnsiTheme="minorBidi" w:cstheme="minorBidi"/>
                <w:color w:val="000000"/>
                <w:sz w:val="18"/>
                <w:szCs w:val="18"/>
                <w:lang w:eastAsia="he-IL"/>
              </w:rPr>
            </w:pPr>
          </w:p>
        </w:tc>
        <w:tc>
          <w:tcPr>
            <w:tcW w:w="3498" w:type="dxa"/>
            <w:gridSpan w:val="2"/>
            <w:vAlign w:val="bottom"/>
          </w:tcPr>
          <w:p w14:paraId="4EAEA607" w14:textId="77777777" w:rsidR="002A7A40" w:rsidRPr="00676CE7" w:rsidRDefault="002A7A40" w:rsidP="00400DD1">
            <w:pPr>
              <w:jc w:val="left"/>
              <w:rPr>
                <w:rFonts w:asciiTheme="minorBidi" w:hAnsiTheme="minorBidi" w:cstheme="minorBidi"/>
                <w:color w:val="000000"/>
                <w:sz w:val="18"/>
                <w:szCs w:val="18"/>
                <w:rtl/>
                <w:lang w:eastAsia="he-IL"/>
              </w:rPr>
            </w:pPr>
          </w:p>
        </w:tc>
        <w:tc>
          <w:tcPr>
            <w:tcW w:w="5576" w:type="dxa"/>
            <w:gridSpan w:val="7"/>
            <w:vAlign w:val="bottom"/>
          </w:tcPr>
          <w:p w14:paraId="1D24306A" w14:textId="6AC37417" w:rsidR="002A7A40" w:rsidRPr="00676CE7" w:rsidRDefault="003838B2" w:rsidP="00400DD1">
            <w:pPr>
              <w:pBdr>
                <w:bottom w:val="single" w:sz="6" w:space="1" w:color="auto"/>
              </w:pBdr>
              <w:spacing w:before="40"/>
              <w:jc w:val="center"/>
              <w:rPr>
                <w:rFonts w:asciiTheme="minorBidi" w:hAnsiTheme="minorBidi" w:cstheme="minorBidi"/>
                <w:b/>
                <w:bCs/>
                <w:sz w:val="18"/>
                <w:szCs w:val="18"/>
                <w:rtl/>
              </w:rPr>
            </w:pPr>
            <w:r>
              <w:rPr>
                <w:rFonts w:asciiTheme="minorBidi" w:hAnsiTheme="minorBidi" w:cstheme="minorBidi" w:hint="cs"/>
                <w:b/>
                <w:bCs/>
                <w:sz w:val="18"/>
                <w:szCs w:val="18"/>
                <w:rtl/>
              </w:rPr>
              <w:t>לשנה</w:t>
            </w:r>
            <w:r w:rsidR="002A7A40" w:rsidRPr="00676CE7">
              <w:rPr>
                <w:rFonts w:asciiTheme="minorBidi" w:hAnsiTheme="minorBidi" w:cstheme="minorBidi"/>
                <w:b/>
                <w:bCs/>
                <w:sz w:val="18"/>
                <w:szCs w:val="18"/>
                <w:rtl/>
              </w:rPr>
              <w:t xml:space="preserve"> שהסתיימ</w:t>
            </w:r>
            <w:r>
              <w:rPr>
                <w:rFonts w:asciiTheme="minorBidi" w:hAnsiTheme="minorBidi" w:cstheme="minorBidi" w:hint="cs"/>
                <w:b/>
                <w:bCs/>
                <w:sz w:val="18"/>
                <w:szCs w:val="18"/>
                <w:rtl/>
              </w:rPr>
              <w:t>ה</w:t>
            </w:r>
            <w:r w:rsidR="002A7A40" w:rsidRPr="00676CE7">
              <w:rPr>
                <w:rFonts w:asciiTheme="minorBidi" w:hAnsiTheme="minorBidi" w:cstheme="minorBidi"/>
                <w:b/>
                <w:bCs/>
                <w:sz w:val="18"/>
                <w:szCs w:val="18"/>
                <w:rtl/>
              </w:rPr>
              <w:t xml:space="preserve"> ביום </w:t>
            </w:r>
            <w:r>
              <w:rPr>
                <w:rFonts w:asciiTheme="minorBidi" w:hAnsiTheme="minorBidi" w:cstheme="minorBidi" w:hint="cs"/>
                <w:b/>
                <w:bCs/>
                <w:sz w:val="18"/>
                <w:szCs w:val="18"/>
                <w:rtl/>
              </w:rPr>
              <w:t>31</w:t>
            </w:r>
            <w:r w:rsidR="002A7A40" w:rsidRPr="00676CE7">
              <w:rPr>
                <w:rFonts w:asciiTheme="minorBidi" w:hAnsiTheme="minorBidi" w:cstheme="minorBidi"/>
                <w:b/>
                <w:bCs/>
                <w:sz w:val="18"/>
                <w:szCs w:val="18"/>
                <w:rtl/>
              </w:rPr>
              <w:t xml:space="preserve"> </w:t>
            </w:r>
            <w:r>
              <w:rPr>
                <w:rFonts w:asciiTheme="minorBidi" w:hAnsiTheme="minorBidi" w:cstheme="minorBidi" w:hint="cs"/>
                <w:b/>
                <w:bCs/>
                <w:sz w:val="18"/>
                <w:szCs w:val="18"/>
                <w:rtl/>
              </w:rPr>
              <w:t>בדצמבר</w:t>
            </w:r>
            <w:r w:rsidR="002A7A40" w:rsidRPr="00676CE7">
              <w:rPr>
                <w:rFonts w:asciiTheme="minorBidi" w:hAnsiTheme="minorBidi" w:cstheme="minorBidi"/>
                <w:b/>
                <w:bCs/>
                <w:sz w:val="18"/>
                <w:szCs w:val="18"/>
                <w:rtl/>
              </w:rPr>
              <w:t xml:space="preserve"> </w:t>
            </w:r>
            <w:r w:rsidR="002A7A40" w:rsidRPr="00676CE7">
              <w:rPr>
                <w:rFonts w:asciiTheme="minorBidi" w:hAnsiTheme="minorBidi" w:cstheme="minorBidi"/>
                <w:b/>
                <w:bCs/>
                <w:sz w:val="18"/>
                <w:szCs w:val="18"/>
                <w:rtl/>
              </w:rPr>
              <w:fldChar w:fldCharType="begin"/>
            </w:r>
            <w:r w:rsidR="002A7A40" w:rsidRPr="00676CE7">
              <w:rPr>
                <w:rFonts w:asciiTheme="minorBidi" w:hAnsiTheme="minorBidi" w:cstheme="minorBidi"/>
                <w:b/>
                <w:bCs/>
                <w:sz w:val="18"/>
                <w:szCs w:val="18"/>
                <w:rtl/>
              </w:rPr>
              <w:instrText xml:space="preserve"> = </w:instrText>
            </w:r>
            <w:r w:rsidR="002A7A40" w:rsidRPr="00676CE7">
              <w:rPr>
                <w:rFonts w:asciiTheme="minorBidi" w:hAnsiTheme="minorBidi" w:cstheme="minorBidi"/>
                <w:b/>
                <w:bCs/>
                <w:sz w:val="18"/>
                <w:szCs w:val="18"/>
              </w:rPr>
              <w:instrText>CY</w:instrText>
            </w:r>
            <w:r w:rsidR="002A7A40">
              <w:rPr>
                <w:rFonts w:asciiTheme="minorBidi" w:hAnsiTheme="minorBidi" w:cstheme="minorBidi"/>
                <w:b/>
                <w:bCs/>
                <w:sz w:val="18"/>
                <w:szCs w:val="18"/>
              </w:rPr>
              <w:instrText>-1</w:instrText>
            </w:r>
            <w:r w:rsidR="002A7A40" w:rsidRPr="00676CE7">
              <w:rPr>
                <w:rFonts w:asciiTheme="minorBidi" w:hAnsiTheme="minorBidi" w:cstheme="minorBidi"/>
                <w:b/>
                <w:bCs/>
                <w:sz w:val="18"/>
                <w:szCs w:val="18"/>
              </w:rPr>
              <w:instrText xml:space="preserve"> \* MERGEFORMAT</w:instrText>
            </w:r>
            <w:r w:rsidR="002A7A40" w:rsidRPr="00676CE7">
              <w:rPr>
                <w:rFonts w:asciiTheme="minorBidi" w:hAnsiTheme="minorBidi" w:cstheme="minorBidi"/>
                <w:b/>
                <w:bCs/>
                <w:sz w:val="18"/>
                <w:szCs w:val="18"/>
                <w:rtl/>
              </w:rPr>
              <w:instrText xml:space="preserve"> </w:instrText>
            </w:r>
            <w:r w:rsidR="002A7A40" w:rsidRPr="00676CE7">
              <w:rPr>
                <w:rFonts w:asciiTheme="minorBidi" w:hAnsiTheme="minorBidi" w:cstheme="minorBidi"/>
                <w:b/>
                <w:bCs/>
                <w:sz w:val="18"/>
                <w:szCs w:val="18"/>
                <w:rtl/>
              </w:rPr>
              <w:fldChar w:fldCharType="separate"/>
            </w:r>
            <w:r w:rsidR="003A584F">
              <w:rPr>
                <w:rFonts w:asciiTheme="minorBidi" w:hAnsiTheme="minorBidi" w:cstheme="minorBidi"/>
                <w:b/>
                <w:bCs/>
                <w:noProof/>
                <w:sz w:val="18"/>
                <w:szCs w:val="18"/>
                <w:rtl/>
              </w:rPr>
              <w:t>2023</w:t>
            </w:r>
            <w:r w:rsidR="002A7A40" w:rsidRPr="00676CE7">
              <w:rPr>
                <w:rFonts w:asciiTheme="minorBidi" w:hAnsiTheme="minorBidi" w:cstheme="minorBidi"/>
                <w:b/>
                <w:bCs/>
                <w:sz w:val="18"/>
                <w:szCs w:val="18"/>
                <w:rtl/>
              </w:rPr>
              <w:fldChar w:fldCharType="end"/>
            </w:r>
            <w:r w:rsidR="002A7A40">
              <w:rPr>
                <w:rFonts w:asciiTheme="minorBidi" w:hAnsiTheme="minorBidi" w:cstheme="minorBidi" w:hint="cs"/>
                <w:b/>
                <w:bCs/>
                <w:sz w:val="18"/>
                <w:szCs w:val="18"/>
                <w:rtl/>
              </w:rPr>
              <w:t xml:space="preserve"> </w:t>
            </w:r>
            <w:r w:rsidR="002A7A40" w:rsidRPr="00164582">
              <w:rPr>
                <w:rFonts w:asciiTheme="minorBidi" w:hAnsiTheme="minorBidi" w:cstheme="minorBidi" w:hint="cs"/>
                <w:sz w:val="18"/>
                <w:szCs w:val="18"/>
                <w:rtl/>
              </w:rPr>
              <w:t>(</w:t>
            </w:r>
            <w:r w:rsidR="002A7A40" w:rsidRPr="00164582">
              <w:rPr>
                <w:rFonts w:asciiTheme="minorBidi" w:hAnsiTheme="minorBidi" w:cstheme="minorBidi"/>
                <w:sz w:val="18"/>
                <w:szCs w:val="18"/>
                <w:rtl/>
              </w:rPr>
              <w:t>מבוקר</w:t>
            </w:r>
            <w:r w:rsidR="002A7A40" w:rsidRPr="00164582">
              <w:rPr>
                <w:rFonts w:asciiTheme="minorBidi" w:hAnsiTheme="minorBidi" w:cstheme="minorBidi" w:hint="cs"/>
                <w:sz w:val="18"/>
                <w:szCs w:val="18"/>
                <w:rtl/>
              </w:rPr>
              <w:t>)</w:t>
            </w:r>
          </w:p>
        </w:tc>
      </w:tr>
      <w:tr w:rsidR="002A7A40" w:rsidRPr="00676CE7" w14:paraId="609875B3" w14:textId="77777777" w:rsidTr="00A82C7F">
        <w:tc>
          <w:tcPr>
            <w:tcW w:w="1077" w:type="dxa"/>
          </w:tcPr>
          <w:p w14:paraId="1C781B9E" w14:textId="77777777" w:rsidR="002A7A40" w:rsidRPr="00676CE7" w:rsidRDefault="002A7A40" w:rsidP="00400DD1">
            <w:pPr>
              <w:jc w:val="left"/>
              <w:rPr>
                <w:rFonts w:asciiTheme="minorBidi" w:hAnsiTheme="minorBidi" w:cstheme="minorBidi"/>
                <w:color w:val="000000"/>
                <w:sz w:val="18"/>
                <w:szCs w:val="18"/>
                <w:rtl/>
                <w:lang w:eastAsia="he-IL"/>
              </w:rPr>
            </w:pPr>
          </w:p>
        </w:tc>
        <w:tc>
          <w:tcPr>
            <w:tcW w:w="3498" w:type="dxa"/>
            <w:gridSpan w:val="2"/>
          </w:tcPr>
          <w:p w14:paraId="46C836C4" w14:textId="77777777" w:rsidR="002A7A40" w:rsidRPr="00676CE7" w:rsidRDefault="002A7A40" w:rsidP="00400DD1">
            <w:pPr>
              <w:ind w:left="144" w:hanging="144"/>
              <w:jc w:val="left"/>
              <w:rPr>
                <w:rFonts w:asciiTheme="minorBidi" w:hAnsiTheme="minorBidi" w:cstheme="minorBidi"/>
                <w:color w:val="000000"/>
                <w:sz w:val="18"/>
                <w:szCs w:val="18"/>
                <w:rtl/>
                <w:lang w:eastAsia="he-IL"/>
              </w:rPr>
            </w:pPr>
          </w:p>
        </w:tc>
        <w:tc>
          <w:tcPr>
            <w:tcW w:w="796" w:type="dxa"/>
            <w:vAlign w:val="bottom"/>
          </w:tcPr>
          <w:p w14:paraId="09E9EA27"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1</w:t>
            </w:r>
          </w:p>
        </w:tc>
        <w:tc>
          <w:tcPr>
            <w:tcW w:w="796" w:type="dxa"/>
            <w:vAlign w:val="bottom"/>
          </w:tcPr>
          <w:p w14:paraId="6DC891B0"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2</w:t>
            </w:r>
          </w:p>
        </w:tc>
        <w:tc>
          <w:tcPr>
            <w:tcW w:w="796" w:type="dxa"/>
            <w:vAlign w:val="bottom"/>
          </w:tcPr>
          <w:p w14:paraId="4289FDA1"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3</w:t>
            </w:r>
          </w:p>
        </w:tc>
        <w:tc>
          <w:tcPr>
            <w:tcW w:w="796" w:type="dxa"/>
            <w:vAlign w:val="bottom"/>
          </w:tcPr>
          <w:p w14:paraId="42D3EA85"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4</w:t>
            </w:r>
          </w:p>
        </w:tc>
        <w:tc>
          <w:tcPr>
            <w:tcW w:w="796" w:type="dxa"/>
            <w:vAlign w:val="bottom"/>
          </w:tcPr>
          <w:p w14:paraId="56D8D2C5"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מגזר 5</w:t>
            </w:r>
          </w:p>
        </w:tc>
        <w:tc>
          <w:tcPr>
            <w:tcW w:w="800" w:type="dxa"/>
            <w:vAlign w:val="bottom"/>
          </w:tcPr>
          <w:p w14:paraId="571AC354" w14:textId="77777777" w:rsidR="002A7A40" w:rsidRPr="00676CE7" w:rsidRDefault="002A7A40" w:rsidP="00400DD1">
            <w:pPr>
              <w:pBdr>
                <w:bottom w:val="single" w:sz="6" w:space="1" w:color="auto"/>
              </w:pBdr>
              <w:ind w:left="-28" w:right="-28"/>
              <w:jc w:val="center"/>
              <w:rPr>
                <w:rFonts w:asciiTheme="minorBidi" w:hAnsiTheme="minorBidi" w:cstheme="minorBidi"/>
                <w:b/>
                <w:bCs/>
                <w:sz w:val="18"/>
                <w:szCs w:val="18"/>
                <w:rtl/>
              </w:rPr>
            </w:pPr>
            <w:r w:rsidRPr="00676CE7">
              <w:rPr>
                <w:rFonts w:asciiTheme="minorBidi" w:hAnsiTheme="minorBidi" w:cstheme="minorBidi"/>
                <w:b/>
                <w:bCs/>
                <w:sz w:val="18"/>
                <w:szCs w:val="18"/>
                <w:rtl/>
              </w:rPr>
              <w:t>פעילויות אחרות</w:t>
            </w:r>
          </w:p>
        </w:tc>
        <w:tc>
          <w:tcPr>
            <w:tcW w:w="796" w:type="dxa"/>
            <w:vAlign w:val="bottom"/>
          </w:tcPr>
          <w:p w14:paraId="38C45FB5" w14:textId="77777777" w:rsidR="002A7A40" w:rsidRPr="00676CE7" w:rsidRDefault="002A7A40" w:rsidP="00400DD1">
            <w:pPr>
              <w:pBdr>
                <w:bottom w:val="single" w:sz="6" w:space="1" w:color="auto"/>
              </w:pBdr>
              <w:jc w:val="center"/>
              <w:rPr>
                <w:rFonts w:asciiTheme="minorBidi" w:hAnsiTheme="minorBidi" w:cstheme="minorBidi"/>
                <w:b/>
                <w:bCs/>
                <w:sz w:val="18"/>
                <w:szCs w:val="18"/>
                <w:rtl/>
              </w:rPr>
            </w:pPr>
            <w:r w:rsidRPr="00676CE7">
              <w:rPr>
                <w:rFonts w:asciiTheme="minorBidi" w:hAnsiTheme="minorBidi" w:cstheme="minorBidi"/>
                <w:b/>
                <w:bCs/>
                <w:sz w:val="18"/>
                <w:szCs w:val="18"/>
                <w:rtl/>
              </w:rPr>
              <w:t>סה"כ</w:t>
            </w:r>
          </w:p>
        </w:tc>
      </w:tr>
      <w:tr w:rsidR="002A7A40" w:rsidRPr="00676CE7" w14:paraId="0DA4F386" w14:textId="77777777" w:rsidTr="00A82C7F">
        <w:tc>
          <w:tcPr>
            <w:tcW w:w="1077" w:type="dxa"/>
          </w:tcPr>
          <w:p w14:paraId="53E830CA"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0DA48A48" w14:textId="77777777" w:rsidR="002A7A40" w:rsidRPr="009C25A5" w:rsidRDefault="002A7A40" w:rsidP="00400DD1">
            <w:pPr>
              <w:tabs>
                <w:tab w:val="left" w:pos="237"/>
              </w:tabs>
              <w:spacing w:before="20"/>
              <w:ind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הכנסות ריבית, נטו:</w:t>
            </w:r>
          </w:p>
        </w:tc>
        <w:tc>
          <w:tcPr>
            <w:tcW w:w="796" w:type="dxa"/>
            <w:vAlign w:val="bottom"/>
          </w:tcPr>
          <w:p w14:paraId="7C5997E9"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1425C8D9"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0896E269"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1F7884C1"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6D8992D6" w14:textId="77777777" w:rsidR="002A7A40" w:rsidRPr="009C25A5" w:rsidRDefault="002A7A40" w:rsidP="00400DD1">
            <w:pPr>
              <w:spacing w:before="20"/>
              <w:jc w:val="left"/>
              <w:rPr>
                <w:rFonts w:asciiTheme="minorBidi" w:hAnsiTheme="minorBidi" w:cstheme="minorBidi"/>
                <w:sz w:val="18"/>
                <w:szCs w:val="18"/>
                <w:rtl/>
              </w:rPr>
            </w:pPr>
          </w:p>
        </w:tc>
        <w:tc>
          <w:tcPr>
            <w:tcW w:w="800" w:type="dxa"/>
            <w:vAlign w:val="bottom"/>
          </w:tcPr>
          <w:p w14:paraId="51D31AD2"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2AB8C687" w14:textId="77777777" w:rsidR="002A7A40" w:rsidRPr="009C25A5" w:rsidRDefault="002A7A40" w:rsidP="00400DD1">
            <w:pPr>
              <w:spacing w:before="20"/>
              <w:jc w:val="left"/>
              <w:rPr>
                <w:rFonts w:asciiTheme="minorBidi" w:hAnsiTheme="minorBidi" w:cstheme="minorBidi"/>
                <w:sz w:val="18"/>
                <w:szCs w:val="18"/>
                <w:rtl/>
              </w:rPr>
            </w:pPr>
          </w:p>
        </w:tc>
      </w:tr>
      <w:tr w:rsidR="002A7A40" w:rsidRPr="00676CE7" w14:paraId="77257903" w14:textId="77777777" w:rsidTr="00A82C7F">
        <w:tc>
          <w:tcPr>
            <w:tcW w:w="1077" w:type="dxa"/>
          </w:tcPr>
          <w:p w14:paraId="0C1F244A"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21BFDEBC" w14:textId="77777777" w:rsidR="002A7A40" w:rsidRPr="009C25A5" w:rsidRDefault="002A7A40" w:rsidP="00400DD1">
            <w:pPr>
              <w:spacing w:before="20"/>
              <w:ind w:left="170"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מחיצוניים</w:t>
            </w:r>
          </w:p>
        </w:tc>
        <w:tc>
          <w:tcPr>
            <w:tcW w:w="796" w:type="dxa"/>
            <w:vAlign w:val="bottom"/>
          </w:tcPr>
          <w:p w14:paraId="58D0A072"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6A8208F"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0AF6046A"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B1410A8"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BCFAEB5"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196E4001"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59A2FB8"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7EB267C9" w14:textId="77777777" w:rsidTr="00A82C7F">
        <w:tc>
          <w:tcPr>
            <w:tcW w:w="1077" w:type="dxa"/>
          </w:tcPr>
          <w:p w14:paraId="73A059C1"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69A03014" w14:textId="77777777" w:rsidR="002A7A40" w:rsidRPr="009C25A5" w:rsidRDefault="002A7A40" w:rsidP="00400DD1">
            <w:pPr>
              <w:spacing w:before="20"/>
              <w:ind w:left="170"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בינמגזרי</w:t>
            </w:r>
          </w:p>
        </w:tc>
        <w:tc>
          <w:tcPr>
            <w:tcW w:w="796" w:type="dxa"/>
            <w:vAlign w:val="bottom"/>
          </w:tcPr>
          <w:p w14:paraId="41616FEB"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20F5F7D"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2CF2570"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FDC0A29"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77EA3E1"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6061D889"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24BCEBE5"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19814927" w14:textId="77777777" w:rsidTr="00A82C7F">
        <w:tc>
          <w:tcPr>
            <w:tcW w:w="1077" w:type="dxa"/>
          </w:tcPr>
          <w:p w14:paraId="1D4481AF"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682FCD32" w14:textId="77777777" w:rsidR="002A7A40" w:rsidRPr="009C25A5" w:rsidRDefault="002A7A40" w:rsidP="00400DD1">
            <w:pPr>
              <w:tabs>
                <w:tab w:val="left" w:pos="237"/>
              </w:tabs>
              <w:spacing w:before="20"/>
              <w:ind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הכנסות שאינן מריבית:</w:t>
            </w:r>
          </w:p>
        </w:tc>
        <w:tc>
          <w:tcPr>
            <w:tcW w:w="796" w:type="dxa"/>
            <w:vAlign w:val="bottom"/>
          </w:tcPr>
          <w:p w14:paraId="0CDFE0F7"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03C6297E"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64327E5E"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0026D3D0"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6C98891C" w14:textId="77777777" w:rsidR="002A7A40" w:rsidRPr="009C25A5" w:rsidRDefault="002A7A40" w:rsidP="00400DD1">
            <w:pPr>
              <w:spacing w:before="20"/>
              <w:jc w:val="left"/>
              <w:rPr>
                <w:rFonts w:asciiTheme="minorBidi" w:hAnsiTheme="minorBidi" w:cstheme="minorBidi"/>
                <w:sz w:val="18"/>
                <w:szCs w:val="18"/>
                <w:rtl/>
              </w:rPr>
            </w:pPr>
          </w:p>
        </w:tc>
        <w:tc>
          <w:tcPr>
            <w:tcW w:w="800" w:type="dxa"/>
            <w:vAlign w:val="bottom"/>
          </w:tcPr>
          <w:p w14:paraId="32D0DA01" w14:textId="77777777" w:rsidR="002A7A40" w:rsidRPr="009C25A5" w:rsidRDefault="002A7A40" w:rsidP="00400DD1">
            <w:pPr>
              <w:spacing w:before="20"/>
              <w:jc w:val="left"/>
              <w:rPr>
                <w:rFonts w:asciiTheme="minorBidi" w:hAnsiTheme="minorBidi" w:cstheme="minorBidi"/>
                <w:sz w:val="18"/>
                <w:szCs w:val="18"/>
                <w:rtl/>
              </w:rPr>
            </w:pPr>
          </w:p>
        </w:tc>
        <w:tc>
          <w:tcPr>
            <w:tcW w:w="796" w:type="dxa"/>
            <w:vAlign w:val="bottom"/>
          </w:tcPr>
          <w:p w14:paraId="114830B5" w14:textId="77777777" w:rsidR="002A7A40" w:rsidRPr="009C25A5" w:rsidRDefault="002A7A40" w:rsidP="00400DD1">
            <w:pPr>
              <w:spacing w:before="20"/>
              <w:jc w:val="left"/>
              <w:rPr>
                <w:rFonts w:asciiTheme="minorBidi" w:hAnsiTheme="minorBidi" w:cstheme="minorBidi"/>
                <w:sz w:val="18"/>
                <w:szCs w:val="18"/>
                <w:rtl/>
              </w:rPr>
            </w:pPr>
          </w:p>
        </w:tc>
      </w:tr>
      <w:tr w:rsidR="002A7A40" w:rsidRPr="00676CE7" w14:paraId="36595686" w14:textId="77777777" w:rsidTr="00A82C7F">
        <w:tc>
          <w:tcPr>
            <w:tcW w:w="1077" w:type="dxa"/>
          </w:tcPr>
          <w:p w14:paraId="0FE015E4"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22B49290" w14:textId="77777777" w:rsidR="002A7A40" w:rsidRPr="009C25A5" w:rsidRDefault="002A7A40" w:rsidP="00400DD1">
            <w:pPr>
              <w:spacing w:before="20"/>
              <w:ind w:left="170"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מחיצוניים</w:t>
            </w:r>
          </w:p>
        </w:tc>
        <w:tc>
          <w:tcPr>
            <w:tcW w:w="796" w:type="dxa"/>
            <w:vAlign w:val="bottom"/>
          </w:tcPr>
          <w:p w14:paraId="046763C6"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0D6B6505"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C0F2C3B"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1D20D536"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0FA0432D"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123DBE90"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5C44A0A" w14:textId="77777777" w:rsidR="002A7A40" w:rsidRPr="009C25A5" w:rsidRDefault="002A7A40" w:rsidP="00400DD1">
            <w:pP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7789AE16" w14:textId="77777777" w:rsidTr="00A82C7F">
        <w:tc>
          <w:tcPr>
            <w:tcW w:w="1077" w:type="dxa"/>
          </w:tcPr>
          <w:p w14:paraId="1C5913F2" w14:textId="77777777" w:rsidR="002A7A40" w:rsidRPr="00676CE7" w:rsidRDefault="002A7A40" w:rsidP="00400DD1">
            <w:pPr>
              <w:tabs>
                <w:tab w:val="left" w:pos="237"/>
              </w:tabs>
              <w:spacing w:before="20"/>
              <w:ind w:firstLine="1"/>
              <w:jc w:val="left"/>
              <w:rPr>
                <w:rFonts w:asciiTheme="minorBidi" w:hAnsiTheme="minorBidi" w:cstheme="minorBidi"/>
                <w:color w:val="000000"/>
                <w:sz w:val="18"/>
                <w:szCs w:val="18"/>
                <w:rtl/>
                <w:lang w:eastAsia="he-IL"/>
              </w:rPr>
            </w:pPr>
          </w:p>
        </w:tc>
        <w:tc>
          <w:tcPr>
            <w:tcW w:w="3498" w:type="dxa"/>
            <w:gridSpan w:val="2"/>
          </w:tcPr>
          <w:p w14:paraId="205EE669" w14:textId="77777777" w:rsidR="002A7A40" w:rsidRPr="009C25A5" w:rsidRDefault="002A7A40" w:rsidP="00400DD1">
            <w:pPr>
              <w:spacing w:before="20"/>
              <w:ind w:left="170"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בינמגזרי</w:t>
            </w:r>
          </w:p>
        </w:tc>
        <w:tc>
          <w:tcPr>
            <w:tcW w:w="796" w:type="dxa"/>
            <w:vAlign w:val="bottom"/>
          </w:tcPr>
          <w:p w14:paraId="73BA0629"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28B3FB1"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317393F"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CFC1ED2"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F373EB9"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156E1048"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A73622A"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21E7C4A9" w14:textId="77777777" w:rsidTr="00A82C7F">
        <w:tc>
          <w:tcPr>
            <w:tcW w:w="1077" w:type="dxa"/>
          </w:tcPr>
          <w:p w14:paraId="77E8711C" w14:textId="77777777" w:rsidR="002A7A40" w:rsidRPr="00676CE7" w:rsidRDefault="002A7A40" w:rsidP="00400DD1">
            <w:pPr>
              <w:spacing w:before="20" w:line="241" w:lineRule="auto"/>
              <w:ind w:firstLine="1"/>
              <w:jc w:val="left"/>
              <w:rPr>
                <w:rFonts w:asciiTheme="minorBidi" w:hAnsiTheme="minorBidi" w:cstheme="minorBidi"/>
                <w:strike/>
                <w:color w:val="000000"/>
                <w:sz w:val="18"/>
                <w:szCs w:val="18"/>
                <w:rtl/>
                <w:lang w:eastAsia="he-IL"/>
              </w:rPr>
            </w:pPr>
          </w:p>
        </w:tc>
        <w:tc>
          <w:tcPr>
            <w:tcW w:w="3498" w:type="dxa"/>
            <w:gridSpan w:val="2"/>
          </w:tcPr>
          <w:p w14:paraId="2B482766" w14:textId="77777777" w:rsidR="002A7A40" w:rsidRPr="009C25A5" w:rsidRDefault="002A7A40" w:rsidP="00400DD1">
            <w:pPr>
              <w:spacing w:before="20"/>
              <w:ind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סך הכנסות</w:t>
            </w:r>
          </w:p>
        </w:tc>
        <w:tc>
          <w:tcPr>
            <w:tcW w:w="796" w:type="dxa"/>
            <w:vAlign w:val="bottom"/>
          </w:tcPr>
          <w:p w14:paraId="0A1C4102"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8F6B21B"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2B1BA17B"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E0EC645"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7D9360E"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62FBB3FD"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D34E951" w14:textId="77777777" w:rsidR="002A7A40" w:rsidRPr="009C25A5" w:rsidRDefault="002A7A40" w:rsidP="00400DD1">
            <w:pPr>
              <w:pBdr>
                <w:bottom w:val="single" w:sz="4" w:space="1" w:color="auto"/>
              </w:pBdr>
              <w:spacing w:before="20"/>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5B1AA205" w14:textId="77777777" w:rsidTr="00A82C7F">
        <w:tc>
          <w:tcPr>
            <w:tcW w:w="1077" w:type="dxa"/>
          </w:tcPr>
          <w:p w14:paraId="5370412A" w14:textId="77777777" w:rsidR="002A7A40" w:rsidRPr="00676CE7" w:rsidRDefault="002A7A40" w:rsidP="00400DD1">
            <w:pPr>
              <w:spacing w:line="120" w:lineRule="exact"/>
              <w:jc w:val="left"/>
              <w:rPr>
                <w:rFonts w:asciiTheme="minorBidi" w:hAnsiTheme="minorBidi" w:cstheme="minorBidi"/>
                <w:color w:val="000000"/>
                <w:sz w:val="18"/>
                <w:szCs w:val="18"/>
                <w:rtl/>
                <w:lang w:eastAsia="he-IL"/>
              </w:rPr>
            </w:pPr>
          </w:p>
        </w:tc>
        <w:tc>
          <w:tcPr>
            <w:tcW w:w="918" w:type="dxa"/>
          </w:tcPr>
          <w:p w14:paraId="1480C3D3" w14:textId="77777777" w:rsidR="002A7A40" w:rsidRPr="009C25A5" w:rsidRDefault="002A7A40" w:rsidP="00400DD1">
            <w:pPr>
              <w:spacing w:line="120" w:lineRule="exact"/>
              <w:ind w:firstLine="1"/>
              <w:jc w:val="left"/>
              <w:rPr>
                <w:rFonts w:asciiTheme="minorBidi" w:hAnsiTheme="minorBidi" w:cstheme="minorBidi"/>
                <w:color w:val="000000"/>
                <w:sz w:val="18"/>
                <w:szCs w:val="18"/>
                <w:rtl/>
                <w:lang w:eastAsia="he-IL"/>
              </w:rPr>
            </w:pPr>
          </w:p>
        </w:tc>
        <w:tc>
          <w:tcPr>
            <w:tcW w:w="2580" w:type="dxa"/>
          </w:tcPr>
          <w:p w14:paraId="2AE527C8" w14:textId="77777777" w:rsidR="002A7A40" w:rsidRPr="009C25A5" w:rsidRDefault="002A7A40" w:rsidP="00400DD1">
            <w:pPr>
              <w:spacing w:line="120" w:lineRule="exact"/>
              <w:ind w:firstLine="1"/>
              <w:jc w:val="left"/>
              <w:rPr>
                <w:rFonts w:asciiTheme="minorBidi" w:hAnsiTheme="minorBidi" w:cstheme="minorBidi"/>
                <w:color w:val="000000"/>
                <w:sz w:val="18"/>
                <w:szCs w:val="18"/>
                <w:rtl/>
                <w:lang w:eastAsia="he-IL"/>
              </w:rPr>
            </w:pPr>
          </w:p>
        </w:tc>
        <w:tc>
          <w:tcPr>
            <w:tcW w:w="796" w:type="dxa"/>
            <w:vAlign w:val="bottom"/>
          </w:tcPr>
          <w:p w14:paraId="3433EAFD"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46CAC2C1"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6B9E2D98"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2E480500"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1BF49051" w14:textId="77777777" w:rsidR="002A7A40" w:rsidRPr="009C25A5" w:rsidRDefault="002A7A40" w:rsidP="00400DD1">
            <w:pPr>
              <w:spacing w:line="120" w:lineRule="exact"/>
              <w:jc w:val="left"/>
              <w:rPr>
                <w:rFonts w:asciiTheme="minorBidi" w:hAnsiTheme="minorBidi" w:cstheme="minorBidi"/>
                <w:sz w:val="18"/>
                <w:szCs w:val="18"/>
                <w:rtl/>
              </w:rPr>
            </w:pPr>
          </w:p>
        </w:tc>
        <w:tc>
          <w:tcPr>
            <w:tcW w:w="800" w:type="dxa"/>
            <w:vAlign w:val="bottom"/>
          </w:tcPr>
          <w:p w14:paraId="10513990"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1719FD64" w14:textId="77777777" w:rsidR="002A7A40" w:rsidRPr="009C25A5" w:rsidRDefault="002A7A40" w:rsidP="00400DD1">
            <w:pPr>
              <w:spacing w:line="120" w:lineRule="exact"/>
              <w:jc w:val="left"/>
              <w:rPr>
                <w:rFonts w:asciiTheme="minorBidi" w:hAnsiTheme="minorBidi" w:cstheme="minorBidi"/>
                <w:sz w:val="18"/>
                <w:szCs w:val="18"/>
                <w:rtl/>
              </w:rPr>
            </w:pPr>
          </w:p>
        </w:tc>
      </w:tr>
      <w:tr w:rsidR="002A7A40" w:rsidRPr="00676CE7" w14:paraId="4B9904E6" w14:textId="77777777" w:rsidTr="00A82C7F">
        <w:tc>
          <w:tcPr>
            <w:tcW w:w="1077" w:type="dxa"/>
          </w:tcPr>
          <w:p w14:paraId="27C6789A" w14:textId="77777777" w:rsidR="002A7A40" w:rsidRPr="00676CE7" w:rsidRDefault="002A7A40" w:rsidP="00400DD1">
            <w:pPr>
              <w:tabs>
                <w:tab w:val="left" w:pos="237"/>
              </w:tabs>
              <w:spacing w:before="20" w:line="241" w:lineRule="auto"/>
              <w:ind w:firstLine="1"/>
              <w:jc w:val="left"/>
              <w:rPr>
                <w:rFonts w:asciiTheme="minorBidi" w:hAnsiTheme="minorBidi" w:cstheme="minorBidi"/>
                <w:color w:val="000000"/>
                <w:sz w:val="18"/>
                <w:szCs w:val="18"/>
                <w:rtl/>
                <w:lang w:eastAsia="he-IL"/>
              </w:rPr>
            </w:pPr>
          </w:p>
        </w:tc>
        <w:tc>
          <w:tcPr>
            <w:tcW w:w="3498" w:type="dxa"/>
            <w:gridSpan w:val="2"/>
          </w:tcPr>
          <w:p w14:paraId="040D7D2C" w14:textId="77777777" w:rsidR="002A7A40" w:rsidRPr="009C25A5" w:rsidRDefault="002A7A40" w:rsidP="00400DD1">
            <w:pPr>
              <w:tabs>
                <w:tab w:val="left" w:pos="237"/>
              </w:tabs>
              <w:spacing w:before="20" w:line="241" w:lineRule="auto"/>
              <w:ind w:firstLine="1"/>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הוצאות בגין הפסדי אשראי</w:t>
            </w:r>
          </w:p>
        </w:tc>
        <w:tc>
          <w:tcPr>
            <w:tcW w:w="796" w:type="dxa"/>
            <w:vAlign w:val="bottom"/>
          </w:tcPr>
          <w:p w14:paraId="1487B091" w14:textId="77777777" w:rsidR="002A7A40" w:rsidRPr="009C25A5" w:rsidRDefault="002A7A40"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48D6B44" w14:textId="77777777" w:rsidR="002A7A40" w:rsidRPr="009C25A5" w:rsidRDefault="002A7A40"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058D936" w14:textId="77777777" w:rsidR="002A7A40" w:rsidRPr="009C25A5" w:rsidRDefault="002A7A40"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B91A75C" w14:textId="77777777" w:rsidR="002A7A40" w:rsidRPr="009C25A5" w:rsidRDefault="002A7A40"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DCE5DD8" w14:textId="77777777" w:rsidR="002A7A40" w:rsidRPr="009C25A5" w:rsidRDefault="002A7A40"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70F3171C" w14:textId="77777777" w:rsidR="002A7A40" w:rsidRPr="009C25A5" w:rsidRDefault="002A7A40"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8CA7FE3" w14:textId="77777777" w:rsidR="002A7A40" w:rsidRPr="009C25A5" w:rsidRDefault="002A7A40" w:rsidP="00400DD1">
            <w:pP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7FDEDE53" w14:textId="77777777" w:rsidTr="00A82C7F">
        <w:tc>
          <w:tcPr>
            <w:tcW w:w="1077" w:type="dxa"/>
          </w:tcPr>
          <w:p w14:paraId="485DD8CD" w14:textId="77777777" w:rsidR="002A7A40" w:rsidRPr="00676CE7" w:rsidRDefault="002A7A40" w:rsidP="00400DD1">
            <w:pPr>
              <w:spacing w:before="20" w:line="241" w:lineRule="auto"/>
              <w:ind w:firstLine="1"/>
              <w:jc w:val="left"/>
              <w:rPr>
                <w:rFonts w:asciiTheme="minorBidi" w:hAnsiTheme="minorBidi" w:cstheme="minorBidi"/>
                <w:color w:val="000000"/>
                <w:sz w:val="18"/>
                <w:szCs w:val="18"/>
                <w:rtl/>
                <w:lang w:eastAsia="he-IL"/>
              </w:rPr>
            </w:pPr>
          </w:p>
        </w:tc>
        <w:tc>
          <w:tcPr>
            <w:tcW w:w="3498" w:type="dxa"/>
            <w:gridSpan w:val="2"/>
          </w:tcPr>
          <w:p w14:paraId="535303DE" w14:textId="77777777" w:rsidR="002A7A40" w:rsidRPr="009C25A5" w:rsidRDefault="002A7A40" w:rsidP="00400DD1">
            <w:pPr>
              <w:spacing w:before="20" w:line="241" w:lineRule="auto"/>
              <w:ind w:left="117" w:hanging="116"/>
              <w:jc w:val="left"/>
              <w:rPr>
                <w:rFonts w:asciiTheme="minorBidi" w:hAnsiTheme="minorBidi" w:cstheme="minorBidi"/>
                <w:b/>
                <w:bCs/>
                <w:color w:val="000000"/>
                <w:sz w:val="18"/>
                <w:szCs w:val="18"/>
                <w:rtl/>
                <w:lang w:eastAsia="he-IL"/>
              </w:rPr>
            </w:pPr>
            <w:r w:rsidRPr="009C25A5">
              <w:rPr>
                <w:rFonts w:asciiTheme="minorBidi" w:hAnsiTheme="minorBidi" w:cstheme="minorBidi"/>
                <w:color w:val="000000"/>
                <w:sz w:val="18"/>
                <w:szCs w:val="18"/>
                <w:rtl/>
                <w:lang w:eastAsia="he-IL"/>
              </w:rPr>
              <w:t>הוצאות תפעוליות ואחרות</w:t>
            </w:r>
          </w:p>
        </w:tc>
        <w:tc>
          <w:tcPr>
            <w:tcW w:w="796" w:type="dxa"/>
            <w:vAlign w:val="bottom"/>
          </w:tcPr>
          <w:p w14:paraId="32C83BDC" w14:textId="77777777" w:rsidR="002A7A40" w:rsidRPr="009C25A5" w:rsidRDefault="002A7A40"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6AD2317" w14:textId="77777777" w:rsidR="002A7A40" w:rsidRPr="009C25A5" w:rsidRDefault="002A7A40"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B27FDB9" w14:textId="77777777" w:rsidR="002A7A40" w:rsidRPr="009C25A5" w:rsidRDefault="002A7A40"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83D9047" w14:textId="77777777" w:rsidR="002A7A40" w:rsidRPr="009C25A5" w:rsidRDefault="002A7A40"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CD4C72F" w14:textId="77777777" w:rsidR="002A7A40" w:rsidRPr="009C25A5" w:rsidRDefault="002A7A40"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09EA5CA6" w14:textId="77777777" w:rsidR="002A7A40" w:rsidRPr="009C25A5" w:rsidRDefault="002A7A40"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EF10878" w14:textId="77777777" w:rsidR="002A7A40" w:rsidRPr="009C25A5" w:rsidRDefault="002A7A40" w:rsidP="00400DD1">
            <w:pPr>
              <w:pBdr>
                <w:bottom w:val="single" w:sz="4" w:space="1" w:color="auto"/>
              </w:pBdr>
              <w:spacing w:before="2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40ECE967" w14:textId="77777777" w:rsidTr="00A82C7F">
        <w:tc>
          <w:tcPr>
            <w:tcW w:w="1077" w:type="dxa"/>
          </w:tcPr>
          <w:p w14:paraId="24040460" w14:textId="77777777" w:rsidR="002A7A40" w:rsidRPr="00676CE7" w:rsidRDefault="002A7A40" w:rsidP="00400DD1">
            <w:pPr>
              <w:spacing w:line="120" w:lineRule="exact"/>
              <w:jc w:val="left"/>
              <w:rPr>
                <w:rFonts w:asciiTheme="minorBidi" w:hAnsiTheme="minorBidi" w:cstheme="minorBidi"/>
                <w:color w:val="000000"/>
                <w:sz w:val="18"/>
                <w:szCs w:val="18"/>
                <w:rtl/>
                <w:lang w:eastAsia="he-IL"/>
              </w:rPr>
            </w:pPr>
          </w:p>
        </w:tc>
        <w:tc>
          <w:tcPr>
            <w:tcW w:w="918" w:type="dxa"/>
          </w:tcPr>
          <w:p w14:paraId="492891D8" w14:textId="77777777" w:rsidR="002A7A40" w:rsidRPr="009C25A5" w:rsidRDefault="002A7A40" w:rsidP="00400DD1">
            <w:pPr>
              <w:spacing w:line="120" w:lineRule="exact"/>
              <w:ind w:firstLine="1"/>
              <w:jc w:val="left"/>
              <w:rPr>
                <w:rFonts w:asciiTheme="minorBidi" w:hAnsiTheme="minorBidi" w:cstheme="minorBidi"/>
                <w:color w:val="000000"/>
                <w:sz w:val="18"/>
                <w:szCs w:val="18"/>
                <w:rtl/>
                <w:lang w:eastAsia="he-IL"/>
              </w:rPr>
            </w:pPr>
          </w:p>
        </w:tc>
        <w:tc>
          <w:tcPr>
            <w:tcW w:w="2580" w:type="dxa"/>
          </w:tcPr>
          <w:p w14:paraId="346FE370" w14:textId="77777777" w:rsidR="002A7A40" w:rsidRPr="009C25A5" w:rsidRDefault="002A7A40" w:rsidP="00400DD1">
            <w:pPr>
              <w:spacing w:line="120" w:lineRule="exact"/>
              <w:ind w:firstLine="1"/>
              <w:jc w:val="left"/>
              <w:rPr>
                <w:rFonts w:asciiTheme="minorBidi" w:hAnsiTheme="minorBidi" w:cstheme="minorBidi"/>
                <w:color w:val="000000"/>
                <w:sz w:val="18"/>
                <w:szCs w:val="18"/>
                <w:rtl/>
                <w:lang w:eastAsia="he-IL"/>
              </w:rPr>
            </w:pPr>
          </w:p>
        </w:tc>
        <w:tc>
          <w:tcPr>
            <w:tcW w:w="796" w:type="dxa"/>
            <w:vAlign w:val="bottom"/>
          </w:tcPr>
          <w:p w14:paraId="4374FC9B"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7A0B93A2"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292B9913"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089C450C"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6E119A59" w14:textId="77777777" w:rsidR="002A7A40" w:rsidRPr="009C25A5" w:rsidRDefault="002A7A40" w:rsidP="00400DD1">
            <w:pPr>
              <w:spacing w:line="120" w:lineRule="exact"/>
              <w:jc w:val="left"/>
              <w:rPr>
                <w:rFonts w:asciiTheme="minorBidi" w:hAnsiTheme="minorBidi" w:cstheme="minorBidi"/>
                <w:sz w:val="18"/>
                <w:szCs w:val="18"/>
                <w:rtl/>
              </w:rPr>
            </w:pPr>
          </w:p>
        </w:tc>
        <w:tc>
          <w:tcPr>
            <w:tcW w:w="800" w:type="dxa"/>
            <w:vAlign w:val="bottom"/>
          </w:tcPr>
          <w:p w14:paraId="345B42FE" w14:textId="77777777" w:rsidR="002A7A40" w:rsidRPr="009C25A5" w:rsidRDefault="002A7A40" w:rsidP="00400DD1">
            <w:pPr>
              <w:spacing w:line="120" w:lineRule="exact"/>
              <w:jc w:val="left"/>
              <w:rPr>
                <w:rFonts w:asciiTheme="minorBidi" w:hAnsiTheme="minorBidi" w:cstheme="minorBidi"/>
                <w:sz w:val="18"/>
                <w:szCs w:val="18"/>
                <w:rtl/>
              </w:rPr>
            </w:pPr>
          </w:p>
        </w:tc>
        <w:tc>
          <w:tcPr>
            <w:tcW w:w="796" w:type="dxa"/>
            <w:vAlign w:val="bottom"/>
          </w:tcPr>
          <w:p w14:paraId="2C25CB17" w14:textId="77777777" w:rsidR="002A7A40" w:rsidRPr="009C25A5" w:rsidRDefault="002A7A40" w:rsidP="00400DD1">
            <w:pPr>
              <w:spacing w:line="120" w:lineRule="exact"/>
              <w:jc w:val="left"/>
              <w:rPr>
                <w:rFonts w:asciiTheme="minorBidi" w:hAnsiTheme="minorBidi" w:cstheme="minorBidi"/>
                <w:sz w:val="18"/>
                <w:szCs w:val="18"/>
                <w:rtl/>
              </w:rPr>
            </w:pPr>
          </w:p>
        </w:tc>
      </w:tr>
      <w:tr w:rsidR="002A7A40" w:rsidRPr="00676CE7" w14:paraId="483BB8D3" w14:textId="77777777" w:rsidTr="00A82C7F">
        <w:tc>
          <w:tcPr>
            <w:tcW w:w="1077" w:type="dxa"/>
          </w:tcPr>
          <w:p w14:paraId="5BC2E929" w14:textId="77777777" w:rsidR="002A7A40" w:rsidRPr="00676CE7" w:rsidRDefault="002A7A40" w:rsidP="00400DD1">
            <w:pPr>
              <w:tabs>
                <w:tab w:val="left" w:pos="237"/>
              </w:tabs>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5F77B471" w14:textId="77777777" w:rsidR="002A7A40" w:rsidRPr="009C25A5" w:rsidRDefault="002A7A40" w:rsidP="00400DD1">
            <w:pPr>
              <w:spacing w:before="30" w:line="241" w:lineRule="auto"/>
              <w:ind w:left="117" w:hanging="116"/>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רווח לפני מסים</w:t>
            </w:r>
          </w:p>
        </w:tc>
        <w:tc>
          <w:tcPr>
            <w:tcW w:w="796" w:type="dxa"/>
            <w:vAlign w:val="bottom"/>
          </w:tcPr>
          <w:p w14:paraId="0E523822" w14:textId="77777777" w:rsidR="002A7A40" w:rsidRPr="009C25A5" w:rsidRDefault="002A7A40"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0340251B" w14:textId="77777777" w:rsidR="002A7A40" w:rsidRPr="009C25A5" w:rsidRDefault="002A7A40"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EDC2B7D" w14:textId="77777777" w:rsidR="002A7A40" w:rsidRPr="009C25A5" w:rsidRDefault="002A7A40"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F7D3A78" w14:textId="77777777" w:rsidR="002A7A40" w:rsidRPr="009C25A5" w:rsidRDefault="002A7A40"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238F931" w14:textId="77777777" w:rsidR="002A7A40" w:rsidRPr="009C25A5" w:rsidRDefault="002A7A40"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4EBCA058" w14:textId="77777777" w:rsidR="002A7A40" w:rsidRPr="009C25A5" w:rsidRDefault="002A7A40"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35603E1D" w14:textId="77777777" w:rsidR="002A7A40" w:rsidRPr="009C25A5" w:rsidRDefault="002A7A40" w:rsidP="00400DD1">
            <w:pP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6808ACEA" w14:textId="77777777" w:rsidTr="00A82C7F">
        <w:tc>
          <w:tcPr>
            <w:tcW w:w="1077" w:type="dxa"/>
          </w:tcPr>
          <w:p w14:paraId="362E4BC6"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291DAB98" w14:textId="77777777" w:rsidR="002A7A40" w:rsidRPr="009C25A5" w:rsidRDefault="002A7A40" w:rsidP="00400DD1">
            <w:pPr>
              <w:spacing w:before="30" w:line="241" w:lineRule="auto"/>
              <w:ind w:left="117" w:hanging="116"/>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הפרשה למסים על הרווח</w:t>
            </w:r>
          </w:p>
        </w:tc>
        <w:tc>
          <w:tcPr>
            <w:tcW w:w="796" w:type="dxa"/>
            <w:vAlign w:val="bottom"/>
          </w:tcPr>
          <w:p w14:paraId="724CB6B0" w14:textId="77777777" w:rsidR="002A7A40" w:rsidRPr="009C25A5" w:rsidRDefault="002A7A40"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0409814A" w14:textId="77777777" w:rsidR="002A7A40" w:rsidRPr="009C25A5" w:rsidRDefault="002A7A40"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BB1B764" w14:textId="77777777" w:rsidR="002A7A40" w:rsidRPr="009C25A5" w:rsidRDefault="002A7A40"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BD56A6A" w14:textId="77777777" w:rsidR="002A7A40" w:rsidRPr="009C25A5" w:rsidRDefault="002A7A40"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56064B5" w14:textId="77777777" w:rsidR="002A7A40" w:rsidRPr="009C25A5" w:rsidRDefault="002A7A40"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0E046BDE" w14:textId="77777777" w:rsidR="002A7A40" w:rsidRPr="009C25A5" w:rsidRDefault="002A7A40"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5AAADDB7" w14:textId="77777777" w:rsidR="002A7A40" w:rsidRPr="009C25A5" w:rsidRDefault="002A7A40" w:rsidP="00400DD1">
            <w:pPr>
              <w:pBdr>
                <w:bottom w:val="sing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61BC1643" w14:textId="77777777" w:rsidTr="00A82C7F">
        <w:tc>
          <w:tcPr>
            <w:tcW w:w="1077" w:type="dxa"/>
          </w:tcPr>
          <w:p w14:paraId="2FDE7B61"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05300113" w14:textId="77777777" w:rsidR="002A7A40" w:rsidRPr="009C25A5" w:rsidRDefault="002A7A40" w:rsidP="00400DD1">
            <w:pPr>
              <w:spacing w:before="40"/>
              <w:ind w:left="113" w:hanging="113"/>
              <w:jc w:val="left"/>
              <w:rPr>
                <w:rFonts w:asciiTheme="minorBidi" w:hAnsiTheme="minorBidi" w:cstheme="minorBidi"/>
                <w:color w:val="000000"/>
                <w:sz w:val="18"/>
                <w:szCs w:val="18"/>
                <w:rtl/>
                <w:lang w:eastAsia="he-IL"/>
              </w:rPr>
            </w:pPr>
            <w:r w:rsidRPr="009C25A5">
              <w:rPr>
                <w:rFonts w:asciiTheme="minorBidi" w:hAnsiTheme="minorBidi" w:cstheme="minorBidi"/>
                <w:color w:val="000000"/>
                <w:sz w:val="18"/>
                <w:szCs w:val="18"/>
                <w:rtl/>
                <w:lang w:eastAsia="he-IL"/>
              </w:rPr>
              <w:t>רווח לאחר מסים</w:t>
            </w:r>
          </w:p>
        </w:tc>
        <w:tc>
          <w:tcPr>
            <w:tcW w:w="796" w:type="dxa"/>
            <w:vAlign w:val="bottom"/>
          </w:tcPr>
          <w:p w14:paraId="1DA5D84C" w14:textId="77777777" w:rsidR="002A7A40" w:rsidRPr="009C25A5" w:rsidRDefault="002A7A40"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E679D65" w14:textId="77777777" w:rsidR="002A7A40" w:rsidRPr="009C25A5" w:rsidRDefault="002A7A40"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680E17F6" w14:textId="77777777" w:rsidR="002A7A40" w:rsidRPr="009C25A5" w:rsidRDefault="002A7A40"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7FBA2456" w14:textId="77777777" w:rsidR="002A7A40" w:rsidRPr="009C25A5" w:rsidRDefault="002A7A40"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2310EDA2" w14:textId="77777777" w:rsidR="002A7A40" w:rsidRPr="009C25A5" w:rsidRDefault="002A7A40"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800" w:type="dxa"/>
            <w:vAlign w:val="bottom"/>
          </w:tcPr>
          <w:p w14:paraId="5B791307" w14:textId="77777777" w:rsidR="002A7A40" w:rsidRPr="009C25A5" w:rsidRDefault="002A7A40"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c>
          <w:tcPr>
            <w:tcW w:w="796" w:type="dxa"/>
            <w:vAlign w:val="bottom"/>
          </w:tcPr>
          <w:p w14:paraId="4EDBCFB4" w14:textId="77777777" w:rsidR="002A7A40" w:rsidRPr="009C25A5" w:rsidRDefault="002A7A40" w:rsidP="00400DD1">
            <w:pPr>
              <w:pBdr>
                <w:bottom w:val="double" w:sz="4" w:space="1" w:color="auto"/>
              </w:pBdr>
              <w:spacing w:before="30" w:line="241" w:lineRule="auto"/>
              <w:jc w:val="left"/>
              <w:rPr>
                <w:rFonts w:asciiTheme="minorBidi" w:hAnsiTheme="minorBidi" w:cstheme="minorBidi"/>
                <w:sz w:val="18"/>
                <w:szCs w:val="18"/>
                <w:rtl/>
              </w:rPr>
            </w:pPr>
            <w:r w:rsidRPr="009C25A5">
              <w:rPr>
                <w:rFonts w:asciiTheme="minorBidi" w:hAnsiTheme="minorBidi" w:cstheme="minorBidi"/>
                <w:sz w:val="18"/>
                <w:szCs w:val="18"/>
                <w:rtl/>
              </w:rPr>
              <w:t>0</w:t>
            </w:r>
          </w:p>
        </w:tc>
      </w:tr>
      <w:tr w:rsidR="002A7A40" w:rsidRPr="00676CE7" w14:paraId="11A0415A" w14:textId="77777777" w:rsidTr="00A82C7F">
        <w:tc>
          <w:tcPr>
            <w:tcW w:w="1077" w:type="dxa"/>
          </w:tcPr>
          <w:p w14:paraId="07AEFB6F"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Borders>
              <w:bottom w:val="single" w:sz="8" w:space="0" w:color="auto"/>
            </w:tcBorders>
          </w:tcPr>
          <w:p w14:paraId="5EF084CC" w14:textId="77777777" w:rsidR="002A7A40" w:rsidRPr="009C25A5" w:rsidRDefault="002A7A40" w:rsidP="00400DD1">
            <w:pPr>
              <w:spacing w:before="40" w:after="120"/>
              <w:ind w:left="113" w:hanging="113"/>
              <w:jc w:val="left"/>
              <w:rPr>
                <w:rFonts w:asciiTheme="minorBidi" w:hAnsiTheme="minorBidi" w:cstheme="minorBidi"/>
                <w:color w:val="000000"/>
                <w:sz w:val="18"/>
                <w:szCs w:val="18"/>
                <w:rtl/>
                <w:lang w:eastAsia="he-IL"/>
              </w:rPr>
            </w:pPr>
          </w:p>
        </w:tc>
        <w:tc>
          <w:tcPr>
            <w:tcW w:w="796" w:type="dxa"/>
            <w:tcBorders>
              <w:bottom w:val="single" w:sz="8" w:space="0" w:color="auto"/>
            </w:tcBorders>
            <w:vAlign w:val="bottom"/>
          </w:tcPr>
          <w:p w14:paraId="4C237E25"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tcBorders>
              <w:bottom w:val="single" w:sz="8" w:space="0" w:color="auto"/>
            </w:tcBorders>
            <w:vAlign w:val="bottom"/>
          </w:tcPr>
          <w:p w14:paraId="08AB2AD6"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tcBorders>
              <w:bottom w:val="single" w:sz="8" w:space="0" w:color="auto"/>
            </w:tcBorders>
            <w:vAlign w:val="bottom"/>
          </w:tcPr>
          <w:p w14:paraId="2996FB9B"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tcBorders>
              <w:bottom w:val="single" w:sz="8" w:space="0" w:color="auto"/>
            </w:tcBorders>
            <w:vAlign w:val="bottom"/>
          </w:tcPr>
          <w:p w14:paraId="203F3510"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tcBorders>
              <w:bottom w:val="single" w:sz="8" w:space="0" w:color="auto"/>
            </w:tcBorders>
            <w:vAlign w:val="bottom"/>
          </w:tcPr>
          <w:p w14:paraId="33E372CA"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800" w:type="dxa"/>
            <w:tcBorders>
              <w:bottom w:val="single" w:sz="8" w:space="0" w:color="auto"/>
            </w:tcBorders>
            <w:vAlign w:val="bottom"/>
          </w:tcPr>
          <w:p w14:paraId="37B79044"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tcBorders>
              <w:bottom w:val="single" w:sz="8" w:space="0" w:color="auto"/>
            </w:tcBorders>
            <w:vAlign w:val="bottom"/>
          </w:tcPr>
          <w:p w14:paraId="1826553A" w14:textId="77777777" w:rsidR="002A7A40" w:rsidRPr="009C25A5" w:rsidRDefault="002A7A40" w:rsidP="00400DD1">
            <w:pPr>
              <w:spacing w:before="30" w:line="241" w:lineRule="auto"/>
              <w:jc w:val="left"/>
              <w:rPr>
                <w:rFonts w:asciiTheme="minorBidi" w:hAnsiTheme="minorBidi" w:cstheme="minorBidi"/>
                <w:sz w:val="18"/>
                <w:szCs w:val="18"/>
                <w:rtl/>
              </w:rPr>
            </w:pPr>
          </w:p>
        </w:tc>
      </w:tr>
      <w:tr w:rsidR="002A7A40" w:rsidRPr="00676CE7" w14:paraId="0E6D28C6" w14:textId="77777777" w:rsidTr="00A82C7F">
        <w:tc>
          <w:tcPr>
            <w:tcW w:w="1077" w:type="dxa"/>
          </w:tcPr>
          <w:p w14:paraId="4BF7E4C6"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Borders>
              <w:top w:val="single" w:sz="8" w:space="0" w:color="auto"/>
            </w:tcBorders>
          </w:tcPr>
          <w:p w14:paraId="001059EC" w14:textId="77777777" w:rsidR="002A7A40" w:rsidRPr="0091316C" w:rsidRDefault="002A7A40" w:rsidP="00616F56">
            <w:pPr>
              <w:spacing w:before="120"/>
              <w:ind w:left="113" w:hanging="113"/>
              <w:jc w:val="left"/>
              <w:rPr>
                <w:rFonts w:asciiTheme="minorBidi" w:hAnsiTheme="minorBidi" w:cstheme="minorBidi"/>
                <w:b/>
                <w:bCs/>
                <w:color w:val="000000"/>
                <w:sz w:val="17"/>
                <w:szCs w:val="17"/>
                <w:rtl/>
                <w:lang w:eastAsia="he-IL"/>
              </w:rPr>
            </w:pPr>
            <w:r w:rsidRPr="0091316C">
              <w:rPr>
                <w:rFonts w:asciiTheme="minorBidi" w:hAnsiTheme="minorBidi" w:cstheme="minorBidi"/>
                <w:b/>
                <w:bCs/>
                <w:color w:val="000000"/>
                <w:sz w:val="17"/>
                <w:szCs w:val="17"/>
                <w:rtl/>
                <w:lang w:eastAsia="he-IL"/>
              </w:rPr>
              <w:t>יתרת נכסים לסוף תקופת הדיווח</w:t>
            </w:r>
          </w:p>
        </w:tc>
        <w:tc>
          <w:tcPr>
            <w:tcW w:w="796" w:type="dxa"/>
            <w:tcBorders>
              <w:top w:val="single" w:sz="8" w:space="0" w:color="auto"/>
            </w:tcBorders>
            <w:vAlign w:val="bottom"/>
          </w:tcPr>
          <w:p w14:paraId="0E566BFC"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tcBorders>
              <w:top w:val="single" w:sz="8" w:space="0" w:color="auto"/>
            </w:tcBorders>
            <w:vAlign w:val="bottom"/>
          </w:tcPr>
          <w:p w14:paraId="24794D56"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tcBorders>
              <w:top w:val="single" w:sz="8" w:space="0" w:color="auto"/>
            </w:tcBorders>
            <w:vAlign w:val="bottom"/>
          </w:tcPr>
          <w:p w14:paraId="5C989282"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tcBorders>
              <w:top w:val="single" w:sz="8" w:space="0" w:color="auto"/>
            </w:tcBorders>
            <w:vAlign w:val="bottom"/>
          </w:tcPr>
          <w:p w14:paraId="64396AAD"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tcBorders>
              <w:top w:val="single" w:sz="8" w:space="0" w:color="auto"/>
            </w:tcBorders>
            <w:vAlign w:val="bottom"/>
          </w:tcPr>
          <w:p w14:paraId="09BE6CCE"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tcBorders>
              <w:top w:val="single" w:sz="8" w:space="0" w:color="auto"/>
            </w:tcBorders>
            <w:vAlign w:val="bottom"/>
          </w:tcPr>
          <w:p w14:paraId="6960DB46"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tcBorders>
              <w:top w:val="single" w:sz="8" w:space="0" w:color="auto"/>
            </w:tcBorders>
            <w:vAlign w:val="bottom"/>
          </w:tcPr>
          <w:p w14:paraId="43C8EE5C"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7E76BE66" w14:textId="77777777" w:rsidTr="00A82C7F">
        <w:tc>
          <w:tcPr>
            <w:tcW w:w="1077" w:type="dxa"/>
          </w:tcPr>
          <w:p w14:paraId="0CC1F63F"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081078DA" w14:textId="77777777" w:rsidR="002A7A40" w:rsidRPr="009C25A5" w:rsidRDefault="002A7A40" w:rsidP="00400DD1">
            <w:pPr>
              <w:spacing w:before="40"/>
              <w:ind w:left="113" w:hanging="113"/>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מזה: יתרת האשראי לציבור</w:t>
            </w:r>
          </w:p>
        </w:tc>
        <w:tc>
          <w:tcPr>
            <w:tcW w:w="796" w:type="dxa"/>
            <w:vAlign w:val="bottom"/>
          </w:tcPr>
          <w:p w14:paraId="7AF8EBE1"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3A7E08C8"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1023A5D1"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429D0F81"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1E6893C5"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2CF9A01E"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F807789"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1EA8BB20" w14:textId="77777777" w:rsidTr="00A82C7F">
        <w:tc>
          <w:tcPr>
            <w:tcW w:w="1077" w:type="dxa"/>
          </w:tcPr>
          <w:p w14:paraId="2C73442B"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5D0AFBDD" w14:textId="77777777" w:rsidR="002A7A40" w:rsidRPr="009C25A5" w:rsidRDefault="002A7A40" w:rsidP="00400DD1">
            <w:pPr>
              <w:spacing w:before="40"/>
              <w:ind w:left="113" w:hanging="113"/>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השקעות בחברות כלולות</w:t>
            </w:r>
          </w:p>
        </w:tc>
        <w:tc>
          <w:tcPr>
            <w:tcW w:w="796" w:type="dxa"/>
            <w:vAlign w:val="bottom"/>
          </w:tcPr>
          <w:p w14:paraId="096D29C0"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3BE763C5"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36EB5F2C"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EAEF652"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192C91BE"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5DDFD381"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6EC1DF84"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3F64FB67" w14:textId="77777777" w:rsidTr="00A82C7F">
        <w:tc>
          <w:tcPr>
            <w:tcW w:w="1077" w:type="dxa"/>
          </w:tcPr>
          <w:p w14:paraId="4A1F6AF4"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3256F28D" w14:textId="77777777" w:rsidR="002A7A40" w:rsidRPr="009C25A5" w:rsidRDefault="002A7A40" w:rsidP="00400DD1">
            <w:pPr>
              <w:spacing w:before="40"/>
              <w:ind w:left="113" w:hanging="113"/>
              <w:jc w:val="left"/>
              <w:rPr>
                <w:rFonts w:asciiTheme="minorBidi" w:hAnsiTheme="minorBidi" w:cstheme="minorBidi"/>
                <w:color w:val="000000"/>
                <w:sz w:val="18"/>
                <w:szCs w:val="18"/>
                <w:rtl/>
                <w:lang w:eastAsia="he-IL"/>
              </w:rPr>
            </w:pPr>
          </w:p>
        </w:tc>
        <w:tc>
          <w:tcPr>
            <w:tcW w:w="796" w:type="dxa"/>
            <w:vAlign w:val="bottom"/>
          </w:tcPr>
          <w:p w14:paraId="4CA3D1E1"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vAlign w:val="bottom"/>
          </w:tcPr>
          <w:p w14:paraId="43B78998"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vAlign w:val="bottom"/>
          </w:tcPr>
          <w:p w14:paraId="7326526C"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vAlign w:val="bottom"/>
          </w:tcPr>
          <w:p w14:paraId="20350102"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vAlign w:val="bottom"/>
          </w:tcPr>
          <w:p w14:paraId="2C74624D"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800" w:type="dxa"/>
            <w:vAlign w:val="bottom"/>
          </w:tcPr>
          <w:p w14:paraId="07EBDCC6" w14:textId="77777777" w:rsidR="002A7A40" w:rsidRPr="009C25A5" w:rsidRDefault="002A7A40" w:rsidP="00400DD1">
            <w:pPr>
              <w:spacing w:before="30" w:line="241" w:lineRule="auto"/>
              <w:jc w:val="left"/>
              <w:rPr>
                <w:rFonts w:asciiTheme="minorBidi" w:hAnsiTheme="minorBidi" w:cstheme="minorBidi"/>
                <w:sz w:val="18"/>
                <w:szCs w:val="18"/>
                <w:rtl/>
              </w:rPr>
            </w:pPr>
          </w:p>
        </w:tc>
        <w:tc>
          <w:tcPr>
            <w:tcW w:w="796" w:type="dxa"/>
            <w:vAlign w:val="bottom"/>
          </w:tcPr>
          <w:p w14:paraId="7E813F43" w14:textId="77777777" w:rsidR="002A7A40" w:rsidRPr="009C25A5" w:rsidRDefault="002A7A40" w:rsidP="00400DD1">
            <w:pPr>
              <w:spacing w:before="30" w:line="241" w:lineRule="auto"/>
              <w:jc w:val="left"/>
              <w:rPr>
                <w:rFonts w:asciiTheme="minorBidi" w:hAnsiTheme="minorBidi" w:cstheme="minorBidi"/>
                <w:sz w:val="18"/>
                <w:szCs w:val="18"/>
                <w:rtl/>
              </w:rPr>
            </w:pPr>
          </w:p>
        </w:tc>
      </w:tr>
      <w:tr w:rsidR="002A7A40" w:rsidRPr="00676CE7" w14:paraId="547045D2" w14:textId="77777777" w:rsidTr="00A82C7F">
        <w:tc>
          <w:tcPr>
            <w:tcW w:w="1077" w:type="dxa"/>
          </w:tcPr>
          <w:p w14:paraId="200D873F"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420A33C9" w14:textId="77777777" w:rsidR="002A7A40" w:rsidRPr="0091316C" w:rsidRDefault="002A7A40" w:rsidP="00400DD1">
            <w:pPr>
              <w:spacing w:before="40"/>
              <w:ind w:left="113" w:hanging="113"/>
              <w:jc w:val="left"/>
              <w:rPr>
                <w:rFonts w:asciiTheme="minorBidi" w:hAnsiTheme="minorBidi" w:cstheme="minorBidi"/>
                <w:b/>
                <w:bCs/>
                <w:color w:val="000000"/>
                <w:sz w:val="17"/>
                <w:szCs w:val="17"/>
                <w:rtl/>
                <w:lang w:eastAsia="he-IL"/>
              </w:rPr>
            </w:pPr>
            <w:r w:rsidRPr="0091316C">
              <w:rPr>
                <w:rFonts w:asciiTheme="minorBidi" w:hAnsiTheme="minorBidi" w:cstheme="minorBidi"/>
                <w:b/>
                <w:bCs/>
                <w:color w:val="000000"/>
                <w:sz w:val="17"/>
                <w:szCs w:val="17"/>
                <w:rtl/>
                <w:lang w:eastAsia="he-IL"/>
              </w:rPr>
              <w:t xml:space="preserve">יתרת התחייבויות לסוף תקופת הדיווח </w:t>
            </w:r>
          </w:p>
        </w:tc>
        <w:tc>
          <w:tcPr>
            <w:tcW w:w="796" w:type="dxa"/>
            <w:vAlign w:val="bottom"/>
          </w:tcPr>
          <w:p w14:paraId="1C716CD4"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4668CD71"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3D9E4C61"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CE50764"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79598594"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7A668183"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49837D71"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r>
      <w:tr w:rsidR="002A7A40" w:rsidRPr="00676CE7" w14:paraId="1FCD55E9" w14:textId="77777777" w:rsidTr="00A82C7F">
        <w:tc>
          <w:tcPr>
            <w:tcW w:w="1077" w:type="dxa"/>
          </w:tcPr>
          <w:p w14:paraId="72336719" w14:textId="77777777" w:rsidR="002A7A40" w:rsidRPr="00676CE7" w:rsidRDefault="002A7A40" w:rsidP="00400DD1">
            <w:pPr>
              <w:spacing w:before="30" w:line="241" w:lineRule="auto"/>
              <w:ind w:firstLine="1"/>
              <w:jc w:val="left"/>
              <w:rPr>
                <w:rFonts w:asciiTheme="minorBidi" w:hAnsiTheme="minorBidi" w:cstheme="minorBidi"/>
                <w:color w:val="000000"/>
                <w:sz w:val="18"/>
                <w:szCs w:val="18"/>
                <w:rtl/>
                <w:lang w:eastAsia="he-IL"/>
              </w:rPr>
            </w:pPr>
          </w:p>
        </w:tc>
        <w:tc>
          <w:tcPr>
            <w:tcW w:w="3498" w:type="dxa"/>
            <w:gridSpan w:val="2"/>
          </w:tcPr>
          <w:p w14:paraId="390713CE" w14:textId="77777777" w:rsidR="002A7A40" w:rsidRPr="009C25A5" w:rsidRDefault="002A7A40" w:rsidP="00400DD1">
            <w:pPr>
              <w:spacing w:before="40"/>
              <w:ind w:left="113" w:hanging="113"/>
              <w:jc w:val="left"/>
              <w:rPr>
                <w:rFonts w:asciiTheme="minorBidi" w:hAnsiTheme="minorBidi" w:cstheme="minorBidi"/>
                <w:color w:val="000000"/>
                <w:sz w:val="18"/>
                <w:szCs w:val="18"/>
                <w:rtl/>
                <w:lang w:eastAsia="he-IL"/>
              </w:rPr>
            </w:pPr>
            <w:r w:rsidRPr="00676CE7">
              <w:rPr>
                <w:rFonts w:asciiTheme="minorBidi" w:hAnsiTheme="minorBidi" w:cstheme="minorBidi"/>
                <w:color w:val="000000"/>
                <w:sz w:val="18"/>
                <w:szCs w:val="18"/>
                <w:rtl/>
                <w:lang w:eastAsia="he-IL"/>
              </w:rPr>
              <w:t>מזה: יתרת פיקדונות הציבור</w:t>
            </w:r>
          </w:p>
        </w:tc>
        <w:tc>
          <w:tcPr>
            <w:tcW w:w="796" w:type="dxa"/>
            <w:vAlign w:val="bottom"/>
          </w:tcPr>
          <w:p w14:paraId="5F8FAB10"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25A26DDD"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635D8416"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15A120CD"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61742606"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800" w:type="dxa"/>
            <w:vAlign w:val="bottom"/>
          </w:tcPr>
          <w:p w14:paraId="3FE38DF2" w14:textId="77777777" w:rsidR="002A7A40" w:rsidRPr="009C25A5"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tc>
        <w:tc>
          <w:tcPr>
            <w:tcW w:w="796" w:type="dxa"/>
            <w:vAlign w:val="bottom"/>
          </w:tcPr>
          <w:p w14:paraId="32AFDCD1" w14:textId="77777777" w:rsidR="002A7A40" w:rsidRDefault="002A7A40" w:rsidP="00400DD1">
            <w:pPr>
              <w:spacing w:before="30" w:line="241" w:lineRule="auto"/>
              <w:jc w:val="left"/>
              <w:rPr>
                <w:rFonts w:asciiTheme="minorBidi" w:hAnsiTheme="minorBidi" w:cstheme="minorBidi"/>
                <w:sz w:val="18"/>
                <w:szCs w:val="18"/>
                <w:rtl/>
              </w:rPr>
            </w:pPr>
            <w:r w:rsidRPr="00676CE7">
              <w:rPr>
                <w:rFonts w:asciiTheme="minorBidi" w:hAnsiTheme="minorBidi" w:cstheme="minorBidi"/>
                <w:sz w:val="18"/>
                <w:szCs w:val="18"/>
                <w:rtl/>
              </w:rPr>
              <w:t>0</w:t>
            </w:r>
          </w:p>
          <w:p w14:paraId="17C9479F" w14:textId="28D29BCD" w:rsidR="003838B2" w:rsidRPr="009C25A5" w:rsidRDefault="003838B2" w:rsidP="00400DD1">
            <w:pPr>
              <w:spacing w:before="30" w:line="241" w:lineRule="auto"/>
              <w:jc w:val="left"/>
              <w:rPr>
                <w:rFonts w:asciiTheme="minorBidi" w:hAnsiTheme="minorBidi" w:cstheme="minorBidi"/>
                <w:sz w:val="18"/>
                <w:szCs w:val="18"/>
                <w:rtl/>
              </w:rPr>
            </w:pPr>
          </w:p>
        </w:tc>
      </w:tr>
    </w:tbl>
    <w:p w14:paraId="63A9A149" w14:textId="58514D28" w:rsidR="003838B2" w:rsidRDefault="003838B2">
      <w:pPr>
        <w:rPr>
          <w:rtl/>
        </w:rPr>
      </w:pPr>
    </w:p>
    <w:p w14:paraId="4209CDB3" w14:textId="77777777" w:rsidR="003838B2" w:rsidRDefault="003838B2">
      <w:pPr>
        <w:rPr>
          <w:rtl/>
        </w:rPr>
      </w:pPr>
    </w:p>
    <w:tbl>
      <w:tblPr>
        <w:tblpPr w:leftFromText="180" w:rightFromText="180" w:vertAnchor="page" w:horzAnchor="margin" w:tblpY="9447"/>
        <w:bidiVisual/>
        <w:tblW w:w="10389" w:type="dxa"/>
        <w:tblLook w:val="04A0" w:firstRow="1" w:lastRow="0" w:firstColumn="1" w:lastColumn="0" w:noHBand="0" w:noVBand="1"/>
      </w:tblPr>
      <w:tblGrid>
        <w:gridCol w:w="1177"/>
        <w:gridCol w:w="283"/>
        <w:gridCol w:w="4351"/>
        <w:gridCol w:w="848"/>
        <w:gridCol w:w="853"/>
        <w:gridCol w:w="854"/>
        <w:gridCol w:w="831"/>
        <w:gridCol w:w="1179"/>
        <w:gridCol w:w="13"/>
      </w:tblGrid>
      <w:tr w:rsidR="003838B2" w:rsidRPr="002A7A40" w14:paraId="6DD9C475" w14:textId="77777777" w:rsidTr="00A82C7F">
        <w:trPr>
          <w:gridAfter w:val="1"/>
          <w:wAfter w:w="13" w:type="dxa"/>
          <w:trHeight w:val="259"/>
        </w:trPr>
        <w:tc>
          <w:tcPr>
            <w:tcW w:w="1177" w:type="dxa"/>
            <w:vAlign w:val="center"/>
          </w:tcPr>
          <w:p w14:paraId="25001CB6" w14:textId="06375F93" w:rsidR="003838B2" w:rsidRPr="00A82C7F" w:rsidRDefault="003838B2" w:rsidP="003838B2">
            <w:pPr>
              <w:spacing w:before="60" w:after="60"/>
              <w:ind w:right="-142"/>
              <w:jc w:val="left"/>
              <w:rPr>
                <w:spacing w:val="-6"/>
                <w:sz w:val="12"/>
                <w:szCs w:val="12"/>
                <w:rtl/>
              </w:rPr>
            </w:pPr>
          </w:p>
        </w:tc>
        <w:tc>
          <w:tcPr>
            <w:tcW w:w="9199" w:type="dxa"/>
            <w:gridSpan w:val="7"/>
          </w:tcPr>
          <w:p w14:paraId="105A28BE" w14:textId="321B8D0E" w:rsidR="003838B2" w:rsidRPr="002A7A40" w:rsidRDefault="003838B2" w:rsidP="00A82C7F">
            <w:pPr>
              <w:tabs>
                <w:tab w:val="left" w:pos="312"/>
              </w:tabs>
              <w:spacing w:before="60" w:after="60"/>
              <w:ind w:left="454" w:hanging="450"/>
              <w:rPr>
                <w:b/>
                <w:bCs/>
                <w:sz w:val="18"/>
                <w:szCs w:val="18"/>
                <w:rtl/>
              </w:rPr>
            </w:pPr>
            <w:r w:rsidRPr="002A7A40">
              <w:rPr>
                <w:rFonts w:hint="cs"/>
                <w:b/>
                <w:bCs/>
                <w:sz w:val="18"/>
                <w:szCs w:val="18"/>
                <w:rtl/>
              </w:rPr>
              <w:t>ג</w:t>
            </w:r>
            <w:r w:rsidRPr="002A7A40">
              <w:rPr>
                <w:b/>
                <w:bCs/>
                <w:sz w:val="18"/>
                <w:szCs w:val="18"/>
                <w:rtl/>
              </w:rPr>
              <w:t>.</w:t>
            </w:r>
            <w:r w:rsidRPr="002A7A40">
              <w:rPr>
                <w:b/>
                <w:bCs/>
                <w:sz w:val="18"/>
                <w:szCs w:val="18"/>
                <w:rtl/>
              </w:rPr>
              <w:tab/>
            </w:r>
            <w:r w:rsidRPr="002A7A40">
              <w:rPr>
                <w:rFonts w:hint="cs"/>
                <w:b/>
                <w:bCs/>
                <w:sz w:val="18"/>
                <w:szCs w:val="18"/>
                <w:rtl/>
              </w:rPr>
              <w:t>התאמות לרווח או הפסד:</w:t>
            </w:r>
            <w:r w:rsidRPr="002A7A40">
              <w:rPr>
                <w:b/>
                <w:bCs/>
                <w:sz w:val="18"/>
                <w:szCs w:val="18"/>
                <w:vertAlign w:val="superscript"/>
                <w:rtl/>
              </w:rPr>
              <w:t>[</w:t>
            </w:r>
            <w:r w:rsidRPr="002A7A40">
              <w:rPr>
                <w:b/>
                <w:bCs/>
                <w:sz w:val="18"/>
                <w:szCs w:val="18"/>
                <w:vertAlign w:val="superscript"/>
                <w:rtl/>
              </w:rPr>
              <w:footnoteReference w:id="96"/>
            </w:r>
            <w:r w:rsidRPr="002A7A40">
              <w:rPr>
                <w:b/>
                <w:bCs/>
                <w:sz w:val="18"/>
                <w:szCs w:val="18"/>
                <w:vertAlign w:val="superscript"/>
                <w:rtl/>
              </w:rPr>
              <w:t>][</w:t>
            </w:r>
            <w:r w:rsidRPr="002A7A40">
              <w:rPr>
                <w:b/>
                <w:bCs/>
                <w:sz w:val="18"/>
                <w:szCs w:val="18"/>
                <w:vertAlign w:val="superscript"/>
                <w:rtl/>
              </w:rPr>
              <w:footnoteReference w:id="97"/>
            </w:r>
            <w:r w:rsidRPr="002A7A40">
              <w:rPr>
                <w:b/>
                <w:bCs/>
                <w:sz w:val="18"/>
                <w:szCs w:val="18"/>
                <w:vertAlign w:val="superscript"/>
                <w:rtl/>
              </w:rPr>
              <w:t>]</w:t>
            </w:r>
          </w:p>
        </w:tc>
      </w:tr>
      <w:tr w:rsidR="003838B2" w:rsidRPr="002A7A40" w14:paraId="5CDDBF4F" w14:textId="77777777" w:rsidTr="00A82C7F">
        <w:tc>
          <w:tcPr>
            <w:tcW w:w="1177" w:type="dxa"/>
          </w:tcPr>
          <w:p w14:paraId="5652A8A0" w14:textId="77777777" w:rsidR="003838B2" w:rsidRPr="002A7A40" w:rsidRDefault="003838B2" w:rsidP="003838B2">
            <w:pPr>
              <w:spacing w:line="228" w:lineRule="auto"/>
              <w:ind w:left="57" w:right="57" w:hanging="144"/>
              <w:jc w:val="left"/>
              <w:rPr>
                <w:color w:val="000000"/>
                <w:sz w:val="18"/>
                <w:szCs w:val="18"/>
                <w:rtl/>
                <w:lang w:eastAsia="he-IL"/>
              </w:rPr>
            </w:pPr>
          </w:p>
        </w:tc>
        <w:tc>
          <w:tcPr>
            <w:tcW w:w="283" w:type="dxa"/>
          </w:tcPr>
          <w:p w14:paraId="3C1BE029" w14:textId="77777777" w:rsidR="003838B2" w:rsidRPr="002A7A40" w:rsidRDefault="003838B2" w:rsidP="003838B2">
            <w:pPr>
              <w:spacing w:line="228" w:lineRule="auto"/>
              <w:ind w:left="85" w:right="85" w:hanging="144"/>
              <w:jc w:val="left"/>
              <w:rPr>
                <w:color w:val="000000"/>
                <w:sz w:val="18"/>
                <w:szCs w:val="18"/>
                <w:rtl/>
                <w:lang w:eastAsia="he-IL"/>
              </w:rPr>
            </w:pPr>
          </w:p>
        </w:tc>
        <w:tc>
          <w:tcPr>
            <w:tcW w:w="4351" w:type="dxa"/>
            <w:vAlign w:val="bottom"/>
          </w:tcPr>
          <w:p w14:paraId="14735D2A" w14:textId="77777777" w:rsidR="003838B2" w:rsidRPr="002A7A40" w:rsidRDefault="003838B2" w:rsidP="003838B2">
            <w:pPr>
              <w:spacing w:line="228" w:lineRule="auto"/>
              <w:ind w:left="85" w:right="85" w:hanging="144"/>
              <w:jc w:val="left"/>
              <w:rPr>
                <w:color w:val="000000"/>
                <w:sz w:val="18"/>
                <w:szCs w:val="18"/>
                <w:rtl/>
                <w:lang w:eastAsia="he-IL"/>
              </w:rPr>
            </w:pPr>
          </w:p>
        </w:tc>
        <w:tc>
          <w:tcPr>
            <w:tcW w:w="1701" w:type="dxa"/>
            <w:gridSpan w:val="2"/>
            <w:vAlign w:val="bottom"/>
          </w:tcPr>
          <w:p w14:paraId="28C9C6B0" w14:textId="77777777" w:rsidR="003838B2" w:rsidRPr="002A7A40" w:rsidRDefault="003838B2" w:rsidP="003838B2">
            <w:pPr>
              <w:pBdr>
                <w:bottom w:val="single" w:sz="4" w:space="1" w:color="auto"/>
              </w:pBdr>
              <w:spacing w:line="228" w:lineRule="auto"/>
              <w:jc w:val="center"/>
              <w:rPr>
                <w:b/>
                <w:bCs/>
                <w:sz w:val="18"/>
                <w:szCs w:val="18"/>
                <w:rtl/>
              </w:rPr>
            </w:pPr>
            <w:r w:rsidRPr="002A7A40">
              <w:rPr>
                <w:rFonts w:hint="eastAsia"/>
                <w:b/>
                <w:bCs/>
                <w:sz w:val="18"/>
                <w:szCs w:val="18"/>
                <w:rtl/>
              </w:rPr>
              <w:t>לשלושה</w:t>
            </w:r>
            <w:r w:rsidRPr="002A7A40">
              <w:rPr>
                <w:b/>
                <w:bCs/>
                <w:sz w:val="18"/>
                <w:szCs w:val="18"/>
                <w:rtl/>
              </w:rPr>
              <w:t xml:space="preserve"> חודשים </w:t>
            </w:r>
          </w:p>
          <w:p w14:paraId="5FD80AC7" w14:textId="77777777" w:rsidR="003838B2" w:rsidRPr="002A7A40" w:rsidRDefault="003838B2" w:rsidP="003838B2">
            <w:pPr>
              <w:pBdr>
                <w:bottom w:val="single" w:sz="4" w:space="1" w:color="auto"/>
              </w:pBdr>
              <w:spacing w:line="228" w:lineRule="auto"/>
              <w:jc w:val="center"/>
              <w:rPr>
                <w:b/>
                <w:bCs/>
                <w:sz w:val="18"/>
                <w:szCs w:val="18"/>
                <w:rtl/>
              </w:rPr>
            </w:pPr>
            <w:r w:rsidRPr="002A7A40">
              <w:rPr>
                <w:b/>
                <w:bCs/>
                <w:sz w:val="18"/>
                <w:szCs w:val="18"/>
                <w:rtl/>
              </w:rPr>
              <w:t>שהסתיימו</w:t>
            </w:r>
            <w:r w:rsidRPr="002A7A40">
              <w:rPr>
                <w:rFonts w:hint="cs"/>
                <w:b/>
                <w:bCs/>
                <w:sz w:val="18"/>
                <w:szCs w:val="18"/>
                <w:rtl/>
              </w:rPr>
              <w:t xml:space="preserve"> </w:t>
            </w:r>
            <w:r w:rsidRPr="002A7A40">
              <w:rPr>
                <w:rFonts w:hint="eastAsia"/>
                <w:b/>
                <w:bCs/>
                <w:sz w:val="18"/>
                <w:szCs w:val="18"/>
                <w:rtl/>
              </w:rPr>
              <w:t>ביום</w:t>
            </w:r>
            <w:r w:rsidRPr="002A7A40">
              <w:rPr>
                <w:b/>
                <w:bCs/>
                <w:sz w:val="18"/>
                <w:szCs w:val="18"/>
                <w:rtl/>
              </w:rPr>
              <w:t xml:space="preserve"> </w:t>
            </w:r>
          </w:p>
          <w:p w14:paraId="7E226103" w14:textId="77777777" w:rsidR="003838B2" w:rsidRPr="002A7A40" w:rsidRDefault="003838B2" w:rsidP="003838B2">
            <w:pPr>
              <w:pBdr>
                <w:bottom w:val="single" w:sz="4" w:space="1" w:color="auto"/>
              </w:pBdr>
              <w:spacing w:line="228" w:lineRule="auto"/>
              <w:jc w:val="center"/>
              <w:rPr>
                <w:b/>
                <w:bCs/>
                <w:sz w:val="18"/>
                <w:szCs w:val="18"/>
                <w:rtl/>
              </w:rPr>
            </w:pPr>
            <w:r w:rsidRPr="002A7A40">
              <w:rPr>
                <w:b/>
                <w:bCs/>
                <w:sz w:val="18"/>
                <w:szCs w:val="18"/>
                <w:rtl/>
              </w:rPr>
              <w:t xml:space="preserve">30 </w:t>
            </w:r>
            <w:r w:rsidRPr="002A7A40">
              <w:rPr>
                <w:rFonts w:hint="eastAsia"/>
                <w:b/>
                <w:bCs/>
                <w:sz w:val="18"/>
                <w:szCs w:val="18"/>
                <w:rtl/>
              </w:rPr>
              <w:t>ביוני</w:t>
            </w:r>
          </w:p>
        </w:tc>
        <w:tc>
          <w:tcPr>
            <w:tcW w:w="1685" w:type="dxa"/>
            <w:gridSpan w:val="2"/>
            <w:vAlign w:val="bottom"/>
          </w:tcPr>
          <w:p w14:paraId="07F09F70" w14:textId="77777777" w:rsidR="003838B2" w:rsidRPr="002A7A40" w:rsidRDefault="003838B2" w:rsidP="003838B2">
            <w:pPr>
              <w:pBdr>
                <w:bottom w:val="single" w:sz="4" w:space="1" w:color="auto"/>
              </w:pBdr>
              <w:spacing w:line="228" w:lineRule="auto"/>
              <w:jc w:val="center"/>
              <w:rPr>
                <w:b/>
                <w:bCs/>
                <w:sz w:val="18"/>
                <w:szCs w:val="18"/>
                <w:rtl/>
              </w:rPr>
            </w:pPr>
            <w:r w:rsidRPr="002A7A40">
              <w:rPr>
                <w:rFonts w:hint="cs"/>
                <w:b/>
                <w:bCs/>
                <w:sz w:val="18"/>
                <w:szCs w:val="18"/>
                <w:rtl/>
              </w:rPr>
              <w:t>לשישה חודשים</w:t>
            </w:r>
          </w:p>
          <w:p w14:paraId="35213C2B" w14:textId="77777777" w:rsidR="003838B2" w:rsidRPr="002A7A40" w:rsidRDefault="003838B2" w:rsidP="003838B2">
            <w:pPr>
              <w:pBdr>
                <w:bottom w:val="single" w:sz="4" w:space="1" w:color="auto"/>
              </w:pBdr>
              <w:spacing w:line="228" w:lineRule="auto"/>
              <w:jc w:val="center"/>
              <w:rPr>
                <w:b/>
                <w:bCs/>
                <w:sz w:val="18"/>
                <w:szCs w:val="18"/>
                <w:rtl/>
              </w:rPr>
            </w:pPr>
            <w:r w:rsidRPr="002A7A40">
              <w:rPr>
                <w:rFonts w:hint="cs"/>
                <w:b/>
                <w:bCs/>
                <w:sz w:val="18"/>
                <w:szCs w:val="18"/>
                <w:rtl/>
              </w:rPr>
              <w:t xml:space="preserve">שהסתיימו ביום </w:t>
            </w:r>
          </w:p>
          <w:p w14:paraId="570E051A" w14:textId="77777777" w:rsidR="003838B2" w:rsidRPr="002A7A40" w:rsidRDefault="003838B2" w:rsidP="003838B2">
            <w:pPr>
              <w:pBdr>
                <w:bottom w:val="single" w:sz="4" w:space="1" w:color="auto"/>
              </w:pBdr>
              <w:spacing w:line="228" w:lineRule="auto"/>
              <w:jc w:val="center"/>
              <w:rPr>
                <w:b/>
                <w:bCs/>
                <w:sz w:val="18"/>
                <w:szCs w:val="18"/>
                <w:rtl/>
              </w:rPr>
            </w:pPr>
            <w:r w:rsidRPr="002A7A40">
              <w:rPr>
                <w:rFonts w:hint="cs"/>
                <w:b/>
                <w:bCs/>
                <w:sz w:val="18"/>
                <w:szCs w:val="18"/>
                <w:rtl/>
              </w:rPr>
              <w:t>30 ביוני</w:t>
            </w:r>
          </w:p>
        </w:tc>
        <w:tc>
          <w:tcPr>
            <w:tcW w:w="1192" w:type="dxa"/>
            <w:gridSpan w:val="2"/>
            <w:vAlign w:val="bottom"/>
          </w:tcPr>
          <w:p w14:paraId="4FE69B39" w14:textId="77777777" w:rsidR="003838B2" w:rsidRPr="002A7A40" w:rsidRDefault="003838B2" w:rsidP="003838B2">
            <w:pPr>
              <w:pBdr>
                <w:bottom w:val="single" w:sz="4" w:space="1" w:color="auto"/>
              </w:pBdr>
              <w:spacing w:line="228" w:lineRule="auto"/>
              <w:jc w:val="center"/>
              <w:rPr>
                <w:b/>
                <w:bCs/>
                <w:sz w:val="18"/>
                <w:szCs w:val="18"/>
                <w:rtl/>
              </w:rPr>
            </w:pPr>
            <w:r w:rsidRPr="002A7A40">
              <w:rPr>
                <w:rFonts w:hint="cs"/>
                <w:b/>
                <w:bCs/>
                <w:sz w:val="18"/>
                <w:szCs w:val="18"/>
                <w:rtl/>
              </w:rPr>
              <w:t xml:space="preserve">לשנה שהסתיימה ביום </w:t>
            </w:r>
            <w:r w:rsidRPr="002A7A40">
              <w:rPr>
                <w:b/>
                <w:bCs/>
                <w:sz w:val="18"/>
                <w:szCs w:val="18"/>
                <w:rtl/>
              </w:rPr>
              <w:br/>
            </w:r>
            <w:r w:rsidRPr="002A7A40">
              <w:rPr>
                <w:rFonts w:hint="cs"/>
                <w:b/>
                <w:bCs/>
                <w:sz w:val="18"/>
                <w:szCs w:val="18"/>
                <w:rtl/>
              </w:rPr>
              <w:t>31 בדצמבר</w:t>
            </w:r>
          </w:p>
        </w:tc>
      </w:tr>
      <w:tr w:rsidR="003838B2" w:rsidRPr="002A7A40" w14:paraId="32CA86AD" w14:textId="77777777" w:rsidTr="00A82C7F">
        <w:tc>
          <w:tcPr>
            <w:tcW w:w="1177" w:type="dxa"/>
          </w:tcPr>
          <w:p w14:paraId="42011F3A" w14:textId="77777777" w:rsidR="003838B2" w:rsidRPr="002A7A40" w:rsidRDefault="003838B2" w:rsidP="003838B2">
            <w:pPr>
              <w:spacing w:line="228" w:lineRule="auto"/>
              <w:ind w:left="57" w:right="57" w:hanging="144"/>
              <w:jc w:val="left"/>
              <w:rPr>
                <w:color w:val="000000"/>
                <w:sz w:val="18"/>
                <w:szCs w:val="18"/>
                <w:rtl/>
                <w:lang w:eastAsia="he-IL"/>
              </w:rPr>
            </w:pPr>
          </w:p>
        </w:tc>
        <w:tc>
          <w:tcPr>
            <w:tcW w:w="283" w:type="dxa"/>
          </w:tcPr>
          <w:p w14:paraId="4017D2A1" w14:textId="77777777" w:rsidR="003838B2" w:rsidRPr="002A7A40" w:rsidRDefault="003838B2" w:rsidP="003838B2">
            <w:pPr>
              <w:spacing w:line="228" w:lineRule="auto"/>
              <w:ind w:left="85" w:right="85" w:hanging="144"/>
              <w:jc w:val="left"/>
              <w:rPr>
                <w:color w:val="000000"/>
                <w:sz w:val="18"/>
                <w:szCs w:val="18"/>
                <w:rtl/>
                <w:lang w:eastAsia="he-IL"/>
              </w:rPr>
            </w:pPr>
          </w:p>
        </w:tc>
        <w:tc>
          <w:tcPr>
            <w:tcW w:w="4351" w:type="dxa"/>
            <w:vAlign w:val="bottom"/>
          </w:tcPr>
          <w:p w14:paraId="6CF84D2B" w14:textId="77777777" w:rsidR="003838B2" w:rsidRPr="002A7A40" w:rsidRDefault="003838B2" w:rsidP="003838B2">
            <w:pPr>
              <w:spacing w:line="228" w:lineRule="auto"/>
              <w:ind w:left="85" w:right="85" w:hanging="144"/>
              <w:jc w:val="left"/>
              <w:rPr>
                <w:color w:val="000000"/>
                <w:sz w:val="18"/>
                <w:szCs w:val="18"/>
                <w:rtl/>
                <w:lang w:eastAsia="he-IL"/>
              </w:rPr>
            </w:pPr>
          </w:p>
        </w:tc>
        <w:tc>
          <w:tcPr>
            <w:tcW w:w="848" w:type="dxa"/>
            <w:vAlign w:val="bottom"/>
          </w:tcPr>
          <w:p w14:paraId="0CB54CEE" w14:textId="090B6CB3" w:rsidR="003838B2" w:rsidRPr="002A7A40" w:rsidRDefault="003838B2" w:rsidP="003838B2">
            <w:pPr>
              <w:pBdr>
                <w:bottom w:val="single" w:sz="4" w:space="1" w:color="auto"/>
              </w:pBdr>
              <w:spacing w:line="228" w:lineRule="auto"/>
              <w:jc w:val="center"/>
              <w:rPr>
                <w:b/>
                <w:bCs/>
                <w:sz w:val="18"/>
                <w:szCs w:val="18"/>
                <w:rtl/>
              </w:rPr>
            </w:pPr>
            <w:r w:rsidRPr="002A7A40">
              <w:rPr>
                <w:b/>
                <w:bCs/>
                <w:sz w:val="18"/>
                <w:szCs w:val="18"/>
                <w:rtl/>
              </w:rPr>
              <w:fldChar w:fldCharType="begin"/>
            </w:r>
            <w:r w:rsidRPr="002A7A40">
              <w:rPr>
                <w:b/>
                <w:bCs/>
                <w:sz w:val="18"/>
                <w:szCs w:val="18"/>
                <w:rtl/>
              </w:rPr>
              <w:instrText xml:space="preserve"> </w:instrText>
            </w:r>
            <w:r w:rsidRPr="002A7A40">
              <w:rPr>
                <w:rFonts w:hint="cs"/>
                <w:b/>
                <w:bCs/>
                <w:sz w:val="18"/>
                <w:szCs w:val="18"/>
                <w:rtl/>
              </w:rPr>
              <w:instrText xml:space="preserve">= </w:instrText>
            </w:r>
            <w:r w:rsidRPr="002A7A40">
              <w:rPr>
                <w:rFonts w:hint="cs"/>
                <w:b/>
                <w:bCs/>
                <w:sz w:val="18"/>
                <w:szCs w:val="18"/>
              </w:rPr>
              <w:instrText>CY \* MERGEFORMAT</w:instrText>
            </w:r>
            <w:r w:rsidRPr="002A7A40">
              <w:rPr>
                <w:b/>
                <w:bCs/>
                <w:sz w:val="18"/>
                <w:szCs w:val="18"/>
                <w:rtl/>
              </w:rPr>
              <w:instrText xml:space="preserve"> </w:instrText>
            </w:r>
            <w:r w:rsidRPr="002A7A40">
              <w:rPr>
                <w:b/>
                <w:bCs/>
                <w:sz w:val="18"/>
                <w:szCs w:val="18"/>
                <w:rtl/>
              </w:rPr>
              <w:fldChar w:fldCharType="separate"/>
            </w:r>
            <w:r w:rsidR="003A584F">
              <w:rPr>
                <w:b/>
                <w:bCs/>
                <w:noProof/>
                <w:sz w:val="18"/>
                <w:szCs w:val="18"/>
                <w:rtl/>
              </w:rPr>
              <w:t>2024</w:t>
            </w:r>
            <w:r w:rsidRPr="002A7A40">
              <w:rPr>
                <w:b/>
                <w:bCs/>
                <w:sz w:val="18"/>
                <w:szCs w:val="18"/>
                <w:rtl/>
              </w:rPr>
              <w:fldChar w:fldCharType="end"/>
            </w:r>
          </w:p>
        </w:tc>
        <w:tc>
          <w:tcPr>
            <w:tcW w:w="853" w:type="dxa"/>
            <w:vAlign w:val="bottom"/>
          </w:tcPr>
          <w:p w14:paraId="225505ED" w14:textId="7397DA95" w:rsidR="003838B2" w:rsidRPr="002A7A40" w:rsidRDefault="003838B2" w:rsidP="003838B2">
            <w:pPr>
              <w:pBdr>
                <w:bottom w:val="single" w:sz="4" w:space="1" w:color="auto"/>
              </w:pBdr>
              <w:spacing w:line="228" w:lineRule="auto"/>
              <w:jc w:val="center"/>
              <w:rPr>
                <w:b/>
                <w:bCs/>
                <w:sz w:val="18"/>
                <w:szCs w:val="18"/>
                <w:rtl/>
              </w:rPr>
            </w:pPr>
            <w:r w:rsidRPr="002A7A40">
              <w:rPr>
                <w:b/>
                <w:bCs/>
                <w:sz w:val="18"/>
                <w:szCs w:val="18"/>
                <w:rtl/>
              </w:rPr>
              <w:fldChar w:fldCharType="begin"/>
            </w:r>
            <w:r w:rsidRPr="002A7A40">
              <w:rPr>
                <w:b/>
                <w:bCs/>
                <w:sz w:val="18"/>
                <w:szCs w:val="18"/>
                <w:rtl/>
              </w:rPr>
              <w:instrText xml:space="preserve"> </w:instrText>
            </w:r>
            <w:r w:rsidRPr="002A7A40">
              <w:rPr>
                <w:rFonts w:hint="cs"/>
                <w:b/>
                <w:bCs/>
                <w:sz w:val="18"/>
                <w:szCs w:val="18"/>
                <w:rtl/>
              </w:rPr>
              <w:instrText xml:space="preserve">= </w:instrText>
            </w:r>
            <w:r w:rsidRPr="002A7A40">
              <w:rPr>
                <w:rFonts w:hint="cs"/>
                <w:b/>
                <w:bCs/>
                <w:sz w:val="18"/>
                <w:szCs w:val="18"/>
              </w:rPr>
              <w:instrText>CY</w:instrText>
            </w:r>
            <w:r w:rsidRPr="002A7A40">
              <w:rPr>
                <w:b/>
                <w:bCs/>
                <w:sz w:val="18"/>
                <w:szCs w:val="18"/>
              </w:rPr>
              <w:instrText>-1</w:instrText>
            </w:r>
            <w:r w:rsidRPr="002A7A40">
              <w:rPr>
                <w:rFonts w:hint="cs"/>
                <w:b/>
                <w:bCs/>
                <w:sz w:val="18"/>
                <w:szCs w:val="18"/>
              </w:rPr>
              <w:instrText xml:space="preserve"> \* MERGEFORMAT</w:instrText>
            </w:r>
            <w:r w:rsidRPr="002A7A40">
              <w:rPr>
                <w:b/>
                <w:bCs/>
                <w:sz w:val="18"/>
                <w:szCs w:val="18"/>
                <w:rtl/>
              </w:rPr>
              <w:instrText xml:space="preserve"> </w:instrText>
            </w:r>
            <w:r w:rsidRPr="002A7A40">
              <w:rPr>
                <w:b/>
                <w:bCs/>
                <w:sz w:val="18"/>
                <w:szCs w:val="18"/>
                <w:rtl/>
              </w:rPr>
              <w:fldChar w:fldCharType="separate"/>
            </w:r>
            <w:r w:rsidR="003A584F">
              <w:rPr>
                <w:b/>
                <w:bCs/>
                <w:noProof/>
                <w:sz w:val="18"/>
                <w:szCs w:val="18"/>
                <w:rtl/>
              </w:rPr>
              <w:t>2023</w:t>
            </w:r>
            <w:r w:rsidRPr="002A7A40">
              <w:rPr>
                <w:b/>
                <w:bCs/>
                <w:sz w:val="18"/>
                <w:szCs w:val="18"/>
                <w:rtl/>
              </w:rPr>
              <w:fldChar w:fldCharType="end"/>
            </w:r>
          </w:p>
        </w:tc>
        <w:tc>
          <w:tcPr>
            <w:tcW w:w="854" w:type="dxa"/>
            <w:vAlign w:val="bottom"/>
          </w:tcPr>
          <w:p w14:paraId="32D1292B" w14:textId="39D83986" w:rsidR="003838B2" w:rsidRPr="002A7A40" w:rsidRDefault="003838B2" w:rsidP="003838B2">
            <w:pPr>
              <w:pBdr>
                <w:bottom w:val="single" w:sz="4" w:space="1" w:color="auto"/>
              </w:pBdr>
              <w:spacing w:line="228" w:lineRule="auto"/>
              <w:jc w:val="center"/>
              <w:rPr>
                <w:b/>
                <w:bCs/>
                <w:sz w:val="18"/>
                <w:szCs w:val="18"/>
                <w:rtl/>
              </w:rPr>
            </w:pPr>
            <w:r w:rsidRPr="002A7A40">
              <w:rPr>
                <w:b/>
                <w:bCs/>
                <w:sz w:val="18"/>
                <w:szCs w:val="18"/>
                <w:rtl/>
              </w:rPr>
              <w:fldChar w:fldCharType="begin"/>
            </w:r>
            <w:r w:rsidRPr="002A7A40">
              <w:rPr>
                <w:b/>
                <w:bCs/>
                <w:sz w:val="18"/>
                <w:szCs w:val="18"/>
                <w:rtl/>
              </w:rPr>
              <w:instrText xml:space="preserve"> </w:instrText>
            </w:r>
            <w:r w:rsidRPr="002A7A40">
              <w:rPr>
                <w:rFonts w:hint="cs"/>
                <w:b/>
                <w:bCs/>
                <w:sz w:val="18"/>
                <w:szCs w:val="18"/>
                <w:rtl/>
              </w:rPr>
              <w:instrText xml:space="preserve">= </w:instrText>
            </w:r>
            <w:r w:rsidRPr="002A7A40">
              <w:rPr>
                <w:rFonts w:hint="cs"/>
                <w:b/>
                <w:bCs/>
                <w:sz w:val="18"/>
                <w:szCs w:val="18"/>
              </w:rPr>
              <w:instrText>CY \* MERGEFORMAT</w:instrText>
            </w:r>
            <w:r w:rsidRPr="002A7A40">
              <w:rPr>
                <w:b/>
                <w:bCs/>
                <w:sz w:val="18"/>
                <w:szCs w:val="18"/>
                <w:rtl/>
              </w:rPr>
              <w:instrText xml:space="preserve"> </w:instrText>
            </w:r>
            <w:r w:rsidRPr="002A7A40">
              <w:rPr>
                <w:b/>
                <w:bCs/>
                <w:sz w:val="18"/>
                <w:szCs w:val="18"/>
                <w:rtl/>
              </w:rPr>
              <w:fldChar w:fldCharType="separate"/>
            </w:r>
            <w:r w:rsidR="003A584F">
              <w:rPr>
                <w:b/>
                <w:bCs/>
                <w:noProof/>
                <w:sz w:val="18"/>
                <w:szCs w:val="18"/>
                <w:rtl/>
              </w:rPr>
              <w:t>2024</w:t>
            </w:r>
            <w:r w:rsidRPr="002A7A40">
              <w:rPr>
                <w:b/>
                <w:bCs/>
                <w:sz w:val="18"/>
                <w:szCs w:val="18"/>
                <w:rtl/>
              </w:rPr>
              <w:fldChar w:fldCharType="end"/>
            </w:r>
          </w:p>
        </w:tc>
        <w:tc>
          <w:tcPr>
            <w:tcW w:w="831" w:type="dxa"/>
            <w:vAlign w:val="bottom"/>
          </w:tcPr>
          <w:p w14:paraId="1D2528D2" w14:textId="6AEC3204" w:rsidR="003838B2" w:rsidRPr="002A7A40" w:rsidRDefault="003838B2" w:rsidP="003838B2">
            <w:pPr>
              <w:pBdr>
                <w:bottom w:val="single" w:sz="4" w:space="1" w:color="auto"/>
              </w:pBdr>
              <w:spacing w:line="228" w:lineRule="auto"/>
              <w:jc w:val="center"/>
              <w:rPr>
                <w:b/>
                <w:bCs/>
                <w:sz w:val="18"/>
                <w:szCs w:val="18"/>
                <w:rtl/>
              </w:rPr>
            </w:pPr>
            <w:r w:rsidRPr="002A7A40">
              <w:rPr>
                <w:b/>
                <w:bCs/>
                <w:sz w:val="18"/>
                <w:szCs w:val="18"/>
                <w:rtl/>
              </w:rPr>
              <w:fldChar w:fldCharType="begin"/>
            </w:r>
            <w:r w:rsidRPr="002A7A40">
              <w:rPr>
                <w:b/>
                <w:bCs/>
                <w:sz w:val="18"/>
                <w:szCs w:val="18"/>
                <w:rtl/>
              </w:rPr>
              <w:instrText xml:space="preserve"> </w:instrText>
            </w:r>
            <w:r w:rsidRPr="002A7A40">
              <w:rPr>
                <w:rFonts w:hint="cs"/>
                <w:b/>
                <w:bCs/>
                <w:sz w:val="18"/>
                <w:szCs w:val="18"/>
                <w:rtl/>
              </w:rPr>
              <w:instrText xml:space="preserve">= </w:instrText>
            </w:r>
            <w:r w:rsidRPr="002A7A40">
              <w:rPr>
                <w:rFonts w:hint="cs"/>
                <w:b/>
                <w:bCs/>
                <w:sz w:val="18"/>
                <w:szCs w:val="18"/>
              </w:rPr>
              <w:instrText>CY</w:instrText>
            </w:r>
            <w:r w:rsidRPr="002A7A40">
              <w:rPr>
                <w:b/>
                <w:bCs/>
                <w:sz w:val="18"/>
                <w:szCs w:val="18"/>
              </w:rPr>
              <w:instrText>-1</w:instrText>
            </w:r>
            <w:r w:rsidRPr="002A7A40">
              <w:rPr>
                <w:rFonts w:hint="cs"/>
                <w:b/>
                <w:bCs/>
                <w:sz w:val="18"/>
                <w:szCs w:val="18"/>
              </w:rPr>
              <w:instrText xml:space="preserve"> \* MERGEFORMAT</w:instrText>
            </w:r>
            <w:r w:rsidRPr="002A7A40">
              <w:rPr>
                <w:b/>
                <w:bCs/>
                <w:sz w:val="18"/>
                <w:szCs w:val="18"/>
                <w:rtl/>
              </w:rPr>
              <w:instrText xml:space="preserve"> </w:instrText>
            </w:r>
            <w:r w:rsidRPr="002A7A40">
              <w:rPr>
                <w:b/>
                <w:bCs/>
                <w:sz w:val="18"/>
                <w:szCs w:val="18"/>
                <w:rtl/>
              </w:rPr>
              <w:fldChar w:fldCharType="separate"/>
            </w:r>
            <w:r w:rsidR="003A584F">
              <w:rPr>
                <w:b/>
                <w:bCs/>
                <w:noProof/>
                <w:sz w:val="18"/>
                <w:szCs w:val="18"/>
                <w:rtl/>
              </w:rPr>
              <w:t>2023</w:t>
            </w:r>
            <w:r w:rsidRPr="002A7A40">
              <w:rPr>
                <w:b/>
                <w:bCs/>
                <w:sz w:val="18"/>
                <w:szCs w:val="18"/>
                <w:rtl/>
              </w:rPr>
              <w:fldChar w:fldCharType="end"/>
            </w:r>
          </w:p>
        </w:tc>
        <w:tc>
          <w:tcPr>
            <w:tcW w:w="1192" w:type="dxa"/>
            <w:gridSpan w:val="2"/>
            <w:vAlign w:val="bottom"/>
          </w:tcPr>
          <w:p w14:paraId="359BBDBB" w14:textId="12F0DAD3" w:rsidR="003838B2" w:rsidRPr="002A7A40" w:rsidRDefault="003838B2" w:rsidP="003838B2">
            <w:pPr>
              <w:pBdr>
                <w:bottom w:val="single" w:sz="4" w:space="1" w:color="auto"/>
              </w:pBdr>
              <w:spacing w:line="228" w:lineRule="auto"/>
              <w:jc w:val="center"/>
              <w:rPr>
                <w:b/>
                <w:bCs/>
                <w:sz w:val="18"/>
                <w:szCs w:val="18"/>
                <w:rtl/>
              </w:rPr>
            </w:pPr>
            <w:r w:rsidRPr="002A7A40">
              <w:rPr>
                <w:b/>
                <w:bCs/>
                <w:sz w:val="18"/>
                <w:szCs w:val="18"/>
                <w:rtl/>
              </w:rPr>
              <w:fldChar w:fldCharType="begin"/>
            </w:r>
            <w:r w:rsidRPr="002A7A40">
              <w:rPr>
                <w:b/>
                <w:bCs/>
                <w:sz w:val="18"/>
                <w:szCs w:val="18"/>
                <w:rtl/>
              </w:rPr>
              <w:instrText xml:space="preserve"> </w:instrText>
            </w:r>
            <w:r w:rsidRPr="002A7A40">
              <w:rPr>
                <w:rFonts w:hint="cs"/>
                <w:b/>
                <w:bCs/>
                <w:sz w:val="18"/>
                <w:szCs w:val="18"/>
                <w:rtl/>
              </w:rPr>
              <w:instrText xml:space="preserve">= </w:instrText>
            </w:r>
            <w:r w:rsidRPr="002A7A40">
              <w:rPr>
                <w:rFonts w:hint="cs"/>
                <w:b/>
                <w:bCs/>
                <w:sz w:val="18"/>
                <w:szCs w:val="18"/>
              </w:rPr>
              <w:instrText>CY</w:instrText>
            </w:r>
            <w:r w:rsidRPr="002A7A40">
              <w:rPr>
                <w:b/>
                <w:bCs/>
                <w:sz w:val="18"/>
                <w:szCs w:val="18"/>
              </w:rPr>
              <w:instrText>-1</w:instrText>
            </w:r>
            <w:r w:rsidRPr="002A7A40">
              <w:rPr>
                <w:rFonts w:hint="cs"/>
                <w:b/>
                <w:bCs/>
                <w:sz w:val="18"/>
                <w:szCs w:val="18"/>
              </w:rPr>
              <w:instrText xml:space="preserve"> \* MERGEFORMAT</w:instrText>
            </w:r>
            <w:r w:rsidRPr="002A7A40">
              <w:rPr>
                <w:b/>
                <w:bCs/>
                <w:sz w:val="18"/>
                <w:szCs w:val="18"/>
                <w:rtl/>
              </w:rPr>
              <w:instrText xml:space="preserve"> </w:instrText>
            </w:r>
            <w:r w:rsidRPr="002A7A40">
              <w:rPr>
                <w:b/>
                <w:bCs/>
                <w:sz w:val="18"/>
                <w:szCs w:val="18"/>
                <w:rtl/>
              </w:rPr>
              <w:fldChar w:fldCharType="separate"/>
            </w:r>
            <w:r w:rsidR="003A584F">
              <w:rPr>
                <w:b/>
                <w:bCs/>
                <w:noProof/>
                <w:sz w:val="18"/>
                <w:szCs w:val="18"/>
                <w:rtl/>
              </w:rPr>
              <w:t>2023</w:t>
            </w:r>
            <w:r w:rsidRPr="002A7A40">
              <w:rPr>
                <w:b/>
                <w:bCs/>
                <w:sz w:val="18"/>
                <w:szCs w:val="18"/>
                <w:rtl/>
              </w:rPr>
              <w:fldChar w:fldCharType="end"/>
            </w:r>
          </w:p>
        </w:tc>
      </w:tr>
      <w:tr w:rsidR="003838B2" w:rsidRPr="002A7A40" w14:paraId="680B95E0" w14:textId="77777777" w:rsidTr="00A82C7F">
        <w:tc>
          <w:tcPr>
            <w:tcW w:w="1177" w:type="dxa"/>
          </w:tcPr>
          <w:p w14:paraId="1E9D693A" w14:textId="77777777" w:rsidR="003838B2" w:rsidRPr="002A7A40" w:rsidRDefault="003838B2" w:rsidP="003838B2">
            <w:pPr>
              <w:spacing w:line="228" w:lineRule="auto"/>
              <w:ind w:left="57" w:right="57" w:hanging="144"/>
              <w:jc w:val="left"/>
              <w:rPr>
                <w:color w:val="000000"/>
                <w:sz w:val="18"/>
                <w:szCs w:val="18"/>
                <w:rtl/>
                <w:lang w:eastAsia="he-IL"/>
              </w:rPr>
            </w:pPr>
          </w:p>
        </w:tc>
        <w:tc>
          <w:tcPr>
            <w:tcW w:w="283" w:type="dxa"/>
          </w:tcPr>
          <w:p w14:paraId="17DA8966" w14:textId="77777777" w:rsidR="003838B2" w:rsidRPr="002A7A40" w:rsidRDefault="003838B2" w:rsidP="003838B2">
            <w:pPr>
              <w:spacing w:line="228" w:lineRule="auto"/>
              <w:ind w:left="85" w:right="85" w:hanging="144"/>
              <w:jc w:val="left"/>
              <w:rPr>
                <w:color w:val="000000"/>
                <w:sz w:val="18"/>
                <w:szCs w:val="18"/>
                <w:rtl/>
                <w:lang w:eastAsia="he-IL"/>
              </w:rPr>
            </w:pPr>
          </w:p>
        </w:tc>
        <w:tc>
          <w:tcPr>
            <w:tcW w:w="4351" w:type="dxa"/>
            <w:vAlign w:val="bottom"/>
          </w:tcPr>
          <w:p w14:paraId="35D5D1CA" w14:textId="77777777" w:rsidR="003838B2" w:rsidRPr="002A7A40" w:rsidRDefault="003838B2" w:rsidP="003838B2">
            <w:pPr>
              <w:spacing w:line="228" w:lineRule="auto"/>
              <w:ind w:left="85" w:right="85" w:hanging="144"/>
              <w:jc w:val="left"/>
              <w:rPr>
                <w:color w:val="000000"/>
                <w:sz w:val="18"/>
                <w:szCs w:val="18"/>
                <w:rtl/>
                <w:lang w:eastAsia="he-IL"/>
              </w:rPr>
            </w:pPr>
          </w:p>
        </w:tc>
        <w:tc>
          <w:tcPr>
            <w:tcW w:w="1701" w:type="dxa"/>
            <w:gridSpan w:val="2"/>
            <w:vAlign w:val="bottom"/>
          </w:tcPr>
          <w:p w14:paraId="66DE1403" w14:textId="77777777" w:rsidR="003838B2" w:rsidRPr="002A7A40" w:rsidRDefault="003838B2" w:rsidP="003838B2">
            <w:pPr>
              <w:pBdr>
                <w:bottom w:val="single" w:sz="4" w:space="1" w:color="auto"/>
              </w:pBdr>
              <w:spacing w:line="228" w:lineRule="auto"/>
              <w:jc w:val="center"/>
              <w:rPr>
                <w:b/>
                <w:bCs/>
                <w:sz w:val="18"/>
                <w:szCs w:val="18"/>
                <w:rtl/>
              </w:rPr>
            </w:pPr>
            <w:r w:rsidRPr="002A7A40">
              <w:rPr>
                <w:rFonts w:hint="cs"/>
                <w:b/>
                <w:bCs/>
                <w:sz w:val="18"/>
                <w:szCs w:val="18"/>
                <w:rtl/>
              </w:rPr>
              <w:t>בלתי מבוקר</w:t>
            </w:r>
          </w:p>
        </w:tc>
        <w:tc>
          <w:tcPr>
            <w:tcW w:w="1685" w:type="dxa"/>
            <w:gridSpan w:val="2"/>
            <w:vAlign w:val="bottom"/>
          </w:tcPr>
          <w:p w14:paraId="70B2AAED" w14:textId="77777777" w:rsidR="003838B2" w:rsidRPr="002A7A40" w:rsidRDefault="003838B2" w:rsidP="003838B2">
            <w:pPr>
              <w:pBdr>
                <w:bottom w:val="single" w:sz="4" w:space="1" w:color="auto"/>
              </w:pBdr>
              <w:spacing w:line="228" w:lineRule="auto"/>
              <w:jc w:val="center"/>
              <w:rPr>
                <w:b/>
                <w:bCs/>
                <w:sz w:val="18"/>
                <w:szCs w:val="18"/>
                <w:rtl/>
              </w:rPr>
            </w:pPr>
            <w:r w:rsidRPr="002A7A40">
              <w:rPr>
                <w:rFonts w:hint="cs"/>
                <w:b/>
                <w:bCs/>
                <w:sz w:val="18"/>
                <w:szCs w:val="18"/>
                <w:rtl/>
              </w:rPr>
              <w:t>בלתי מבוקר</w:t>
            </w:r>
          </w:p>
        </w:tc>
        <w:tc>
          <w:tcPr>
            <w:tcW w:w="1192" w:type="dxa"/>
            <w:gridSpan w:val="2"/>
            <w:vAlign w:val="bottom"/>
          </w:tcPr>
          <w:p w14:paraId="11543F43" w14:textId="77777777" w:rsidR="003838B2" w:rsidRPr="002A7A40" w:rsidRDefault="003838B2" w:rsidP="003838B2">
            <w:pPr>
              <w:pBdr>
                <w:bottom w:val="single" w:sz="4" w:space="1" w:color="auto"/>
              </w:pBdr>
              <w:spacing w:line="228" w:lineRule="auto"/>
              <w:jc w:val="center"/>
              <w:rPr>
                <w:b/>
                <w:bCs/>
                <w:sz w:val="18"/>
                <w:szCs w:val="18"/>
                <w:rtl/>
              </w:rPr>
            </w:pPr>
            <w:r w:rsidRPr="002A7A40">
              <w:rPr>
                <w:rFonts w:hint="cs"/>
                <w:b/>
                <w:bCs/>
                <w:sz w:val="18"/>
                <w:szCs w:val="18"/>
                <w:rtl/>
              </w:rPr>
              <w:t>מבוקר</w:t>
            </w:r>
          </w:p>
        </w:tc>
      </w:tr>
      <w:tr w:rsidR="003838B2" w:rsidRPr="002A7A40" w14:paraId="05492CD7" w14:textId="77777777" w:rsidTr="00A82C7F">
        <w:trPr>
          <w:trHeight w:hRule="exact" w:val="113"/>
        </w:trPr>
        <w:tc>
          <w:tcPr>
            <w:tcW w:w="1177" w:type="dxa"/>
          </w:tcPr>
          <w:p w14:paraId="1F81967B" w14:textId="77777777" w:rsidR="003838B2" w:rsidRPr="002A7A40" w:rsidRDefault="003838B2" w:rsidP="003838B2">
            <w:pPr>
              <w:bidi w:val="0"/>
              <w:spacing w:before="60"/>
              <w:ind w:firstLine="1"/>
              <w:rPr>
                <w:color w:val="000000"/>
                <w:sz w:val="18"/>
                <w:szCs w:val="18"/>
                <w:rtl/>
                <w:lang w:eastAsia="he-IL"/>
              </w:rPr>
            </w:pPr>
          </w:p>
        </w:tc>
        <w:tc>
          <w:tcPr>
            <w:tcW w:w="283" w:type="dxa"/>
          </w:tcPr>
          <w:p w14:paraId="4976B9EF" w14:textId="77777777" w:rsidR="003838B2" w:rsidRPr="002A7A40" w:rsidRDefault="003838B2" w:rsidP="003838B2">
            <w:pPr>
              <w:bidi w:val="0"/>
              <w:spacing w:before="60"/>
              <w:ind w:firstLine="1"/>
              <w:rPr>
                <w:color w:val="000000"/>
                <w:sz w:val="18"/>
                <w:szCs w:val="18"/>
                <w:rtl/>
                <w:lang w:eastAsia="he-IL"/>
              </w:rPr>
            </w:pPr>
          </w:p>
        </w:tc>
        <w:tc>
          <w:tcPr>
            <w:tcW w:w="4351" w:type="dxa"/>
            <w:vAlign w:val="bottom"/>
          </w:tcPr>
          <w:p w14:paraId="6AC7EA13" w14:textId="77777777" w:rsidR="003838B2" w:rsidRPr="002A7A40" w:rsidRDefault="003838B2" w:rsidP="003838B2">
            <w:pPr>
              <w:bidi w:val="0"/>
              <w:spacing w:before="60"/>
              <w:ind w:firstLine="1"/>
              <w:rPr>
                <w:color w:val="000000"/>
                <w:sz w:val="18"/>
                <w:szCs w:val="18"/>
                <w:rtl/>
                <w:lang w:eastAsia="he-IL"/>
              </w:rPr>
            </w:pPr>
          </w:p>
        </w:tc>
        <w:tc>
          <w:tcPr>
            <w:tcW w:w="848" w:type="dxa"/>
            <w:vAlign w:val="bottom"/>
          </w:tcPr>
          <w:p w14:paraId="126BDC75" w14:textId="77777777" w:rsidR="003838B2" w:rsidRPr="002A7A40" w:rsidRDefault="003838B2" w:rsidP="003838B2">
            <w:pPr>
              <w:bidi w:val="0"/>
              <w:spacing w:before="60"/>
              <w:ind w:left="57" w:right="57"/>
              <w:rPr>
                <w:sz w:val="18"/>
                <w:szCs w:val="18"/>
                <w:rtl/>
              </w:rPr>
            </w:pPr>
          </w:p>
        </w:tc>
        <w:tc>
          <w:tcPr>
            <w:tcW w:w="853" w:type="dxa"/>
            <w:vAlign w:val="bottom"/>
          </w:tcPr>
          <w:p w14:paraId="4EF52A3A" w14:textId="77777777" w:rsidR="003838B2" w:rsidRPr="002A7A40" w:rsidRDefault="003838B2" w:rsidP="003838B2">
            <w:pPr>
              <w:bidi w:val="0"/>
              <w:spacing w:before="60"/>
              <w:ind w:left="57" w:right="57"/>
              <w:rPr>
                <w:sz w:val="18"/>
                <w:szCs w:val="18"/>
                <w:rtl/>
              </w:rPr>
            </w:pPr>
          </w:p>
        </w:tc>
        <w:tc>
          <w:tcPr>
            <w:tcW w:w="854" w:type="dxa"/>
            <w:vAlign w:val="bottom"/>
          </w:tcPr>
          <w:p w14:paraId="2E61D5FA" w14:textId="77777777" w:rsidR="003838B2" w:rsidRPr="002A7A40" w:rsidRDefault="003838B2" w:rsidP="003838B2">
            <w:pPr>
              <w:bidi w:val="0"/>
              <w:spacing w:before="60"/>
              <w:ind w:left="57" w:right="57"/>
              <w:rPr>
                <w:sz w:val="18"/>
                <w:szCs w:val="18"/>
                <w:rtl/>
              </w:rPr>
            </w:pPr>
          </w:p>
        </w:tc>
        <w:tc>
          <w:tcPr>
            <w:tcW w:w="831" w:type="dxa"/>
            <w:vAlign w:val="bottom"/>
          </w:tcPr>
          <w:p w14:paraId="7A5AA8AA" w14:textId="77777777" w:rsidR="003838B2" w:rsidRPr="002A7A40" w:rsidRDefault="003838B2" w:rsidP="003838B2">
            <w:pPr>
              <w:bidi w:val="0"/>
              <w:spacing w:before="60"/>
              <w:ind w:left="57" w:right="57"/>
              <w:rPr>
                <w:sz w:val="18"/>
                <w:szCs w:val="18"/>
                <w:rtl/>
              </w:rPr>
            </w:pPr>
          </w:p>
        </w:tc>
        <w:tc>
          <w:tcPr>
            <w:tcW w:w="1192" w:type="dxa"/>
            <w:gridSpan w:val="2"/>
            <w:vAlign w:val="bottom"/>
          </w:tcPr>
          <w:p w14:paraId="03058197" w14:textId="77777777" w:rsidR="003838B2" w:rsidRPr="002A7A40" w:rsidRDefault="003838B2" w:rsidP="003838B2">
            <w:pPr>
              <w:bidi w:val="0"/>
              <w:spacing w:before="60"/>
              <w:ind w:left="57" w:right="57"/>
              <w:rPr>
                <w:sz w:val="18"/>
                <w:szCs w:val="18"/>
                <w:rtl/>
              </w:rPr>
            </w:pPr>
          </w:p>
        </w:tc>
      </w:tr>
      <w:tr w:rsidR="003838B2" w:rsidRPr="002A7A40" w14:paraId="6CCFC69F" w14:textId="77777777" w:rsidTr="00A82C7F">
        <w:tc>
          <w:tcPr>
            <w:tcW w:w="1177" w:type="dxa"/>
          </w:tcPr>
          <w:p w14:paraId="6349E350" w14:textId="77777777" w:rsidR="003838B2" w:rsidRPr="002A7A40" w:rsidRDefault="003838B2" w:rsidP="003838B2">
            <w:pPr>
              <w:spacing w:before="20"/>
              <w:ind w:firstLine="1"/>
              <w:jc w:val="left"/>
              <w:rPr>
                <w:color w:val="000000"/>
                <w:sz w:val="18"/>
                <w:szCs w:val="18"/>
                <w:rtl/>
                <w:lang w:eastAsia="he-IL"/>
              </w:rPr>
            </w:pPr>
          </w:p>
        </w:tc>
        <w:tc>
          <w:tcPr>
            <w:tcW w:w="283" w:type="dxa"/>
          </w:tcPr>
          <w:p w14:paraId="24A24F2B" w14:textId="77777777" w:rsidR="003838B2" w:rsidRPr="002A7A40" w:rsidRDefault="003838B2" w:rsidP="003838B2">
            <w:pPr>
              <w:spacing w:before="20"/>
              <w:ind w:left="2" w:firstLine="1"/>
              <w:jc w:val="left"/>
              <w:rPr>
                <w:color w:val="000000"/>
                <w:sz w:val="18"/>
                <w:szCs w:val="18"/>
                <w:rtl/>
                <w:lang w:eastAsia="he-IL"/>
              </w:rPr>
            </w:pPr>
          </w:p>
        </w:tc>
        <w:tc>
          <w:tcPr>
            <w:tcW w:w="4351" w:type="dxa"/>
            <w:vAlign w:val="bottom"/>
          </w:tcPr>
          <w:p w14:paraId="01C3EA62" w14:textId="77777777" w:rsidR="003838B2" w:rsidRPr="002A7A40" w:rsidRDefault="003838B2" w:rsidP="003838B2">
            <w:pPr>
              <w:spacing w:before="20"/>
              <w:ind w:left="113" w:right="-57" w:hanging="113"/>
              <w:jc w:val="left"/>
              <w:rPr>
                <w:color w:val="000000"/>
                <w:sz w:val="18"/>
                <w:szCs w:val="18"/>
                <w:rtl/>
                <w:lang w:eastAsia="he-IL"/>
              </w:rPr>
            </w:pPr>
            <w:r w:rsidRPr="002A7A40">
              <w:rPr>
                <w:rFonts w:hint="cs"/>
                <w:color w:val="000000"/>
                <w:sz w:val="18"/>
                <w:szCs w:val="18"/>
                <w:rtl/>
                <w:lang w:eastAsia="he-IL"/>
              </w:rPr>
              <w:t>סך רווח לאחר מסים של מגזרים בני דיווח</w:t>
            </w:r>
          </w:p>
        </w:tc>
        <w:tc>
          <w:tcPr>
            <w:tcW w:w="848" w:type="dxa"/>
            <w:vAlign w:val="bottom"/>
          </w:tcPr>
          <w:p w14:paraId="54036933" w14:textId="77777777" w:rsidR="003838B2" w:rsidRPr="002A7A40" w:rsidRDefault="003838B2" w:rsidP="003838B2">
            <w:pPr>
              <w:spacing w:before="20"/>
              <w:ind w:left="57" w:right="57"/>
              <w:jc w:val="left"/>
              <w:rPr>
                <w:sz w:val="18"/>
                <w:szCs w:val="18"/>
                <w:rtl/>
              </w:rPr>
            </w:pPr>
            <w:r w:rsidRPr="002A7A40">
              <w:rPr>
                <w:sz w:val="18"/>
                <w:szCs w:val="18"/>
                <w:rtl/>
              </w:rPr>
              <w:t>0</w:t>
            </w:r>
          </w:p>
        </w:tc>
        <w:tc>
          <w:tcPr>
            <w:tcW w:w="853" w:type="dxa"/>
            <w:vAlign w:val="bottom"/>
          </w:tcPr>
          <w:p w14:paraId="21E79AD4" w14:textId="77777777" w:rsidR="003838B2" w:rsidRPr="002A7A40" w:rsidRDefault="003838B2" w:rsidP="003838B2">
            <w:pPr>
              <w:spacing w:before="20"/>
              <w:ind w:left="57" w:right="57"/>
              <w:jc w:val="left"/>
              <w:rPr>
                <w:sz w:val="18"/>
                <w:szCs w:val="18"/>
                <w:rtl/>
              </w:rPr>
            </w:pPr>
            <w:r w:rsidRPr="002A7A40">
              <w:rPr>
                <w:sz w:val="18"/>
                <w:szCs w:val="18"/>
                <w:rtl/>
              </w:rPr>
              <w:t>0</w:t>
            </w:r>
          </w:p>
        </w:tc>
        <w:tc>
          <w:tcPr>
            <w:tcW w:w="854" w:type="dxa"/>
            <w:vAlign w:val="bottom"/>
          </w:tcPr>
          <w:p w14:paraId="4D2B8491" w14:textId="77777777" w:rsidR="003838B2" w:rsidRPr="002A7A40" w:rsidRDefault="003838B2" w:rsidP="003838B2">
            <w:pPr>
              <w:spacing w:before="20"/>
              <w:ind w:left="57" w:right="57"/>
              <w:jc w:val="left"/>
              <w:rPr>
                <w:sz w:val="18"/>
                <w:szCs w:val="18"/>
                <w:rtl/>
              </w:rPr>
            </w:pPr>
            <w:r w:rsidRPr="002A7A40">
              <w:rPr>
                <w:sz w:val="18"/>
                <w:szCs w:val="18"/>
                <w:rtl/>
              </w:rPr>
              <w:t>0</w:t>
            </w:r>
          </w:p>
        </w:tc>
        <w:tc>
          <w:tcPr>
            <w:tcW w:w="831" w:type="dxa"/>
            <w:vAlign w:val="bottom"/>
          </w:tcPr>
          <w:p w14:paraId="19898871" w14:textId="77777777" w:rsidR="003838B2" w:rsidRPr="002A7A40" w:rsidRDefault="003838B2" w:rsidP="003838B2">
            <w:pPr>
              <w:spacing w:before="20"/>
              <w:ind w:left="57" w:right="57"/>
              <w:jc w:val="left"/>
              <w:rPr>
                <w:sz w:val="18"/>
                <w:szCs w:val="18"/>
                <w:rtl/>
              </w:rPr>
            </w:pPr>
            <w:r w:rsidRPr="002A7A40">
              <w:rPr>
                <w:sz w:val="18"/>
                <w:szCs w:val="18"/>
                <w:rtl/>
              </w:rPr>
              <w:t>0</w:t>
            </w:r>
          </w:p>
        </w:tc>
        <w:tc>
          <w:tcPr>
            <w:tcW w:w="1192" w:type="dxa"/>
            <w:gridSpan w:val="2"/>
            <w:vAlign w:val="bottom"/>
          </w:tcPr>
          <w:p w14:paraId="4C4421C1" w14:textId="77777777" w:rsidR="003838B2" w:rsidRPr="002A7A40" w:rsidRDefault="003838B2" w:rsidP="003838B2">
            <w:pPr>
              <w:spacing w:before="20"/>
              <w:ind w:left="57" w:right="57"/>
              <w:jc w:val="left"/>
              <w:rPr>
                <w:sz w:val="18"/>
                <w:szCs w:val="18"/>
                <w:rtl/>
              </w:rPr>
            </w:pPr>
            <w:r w:rsidRPr="002A7A40">
              <w:rPr>
                <w:sz w:val="18"/>
                <w:szCs w:val="18"/>
                <w:rtl/>
              </w:rPr>
              <w:t>0</w:t>
            </w:r>
          </w:p>
        </w:tc>
      </w:tr>
      <w:tr w:rsidR="003838B2" w:rsidRPr="002A7A40" w14:paraId="77494364" w14:textId="77777777" w:rsidTr="00A82C7F">
        <w:tc>
          <w:tcPr>
            <w:tcW w:w="1177" w:type="dxa"/>
          </w:tcPr>
          <w:p w14:paraId="7A03B5F9" w14:textId="77777777" w:rsidR="003838B2" w:rsidRPr="002A7A40" w:rsidRDefault="003838B2" w:rsidP="003838B2">
            <w:pPr>
              <w:spacing w:before="20"/>
              <w:ind w:firstLine="1"/>
              <w:jc w:val="left"/>
              <w:rPr>
                <w:color w:val="000000"/>
                <w:sz w:val="18"/>
                <w:szCs w:val="18"/>
                <w:rtl/>
                <w:lang w:eastAsia="he-IL"/>
              </w:rPr>
            </w:pPr>
          </w:p>
        </w:tc>
        <w:tc>
          <w:tcPr>
            <w:tcW w:w="283" w:type="dxa"/>
          </w:tcPr>
          <w:p w14:paraId="7B69072B" w14:textId="77777777" w:rsidR="003838B2" w:rsidRPr="002A7A40" w:rsidRDefault="003838B2" w:rsidP="003838B2">
            <w:pPr>
              <w:spacing w:before="20"/>
              <w:ind w:firstLine="1"/>
              <w:jc w:val="left"/>
              <w:rPr>
                <w:color w:val="000000"/>
                <w:sz w:val="18"/>
                <w:szCs w:val="18"/>
                <w:rtl/>
                <w:lang w:eastAsia="he-IL"/>
              </w:rPr>
            </w:pPr>
          </w:p>
        </w:tc>
        <w:tc>
          <w:tcPr>
            <w:tcW w:w="4351" w:type="dxa"/>
            <w:vAlign w:val="bottom"/>
          </w:tcPr>
          <w:p w14:paraId="0744E440" w14:textId="77777777" w:rsidR="003838B2" w:rsidRPr="002A7A40" w:rsidRDefault="003838B2" w:rsidP="003838B2">
            <w:pPr>
              <w:spacing w:before="20"/>
              <w:ind w:left="113" w:right="-57" w:hanging="113"/>
              <w:jc w:val="left"/>
              <w:rPr>
                <w:b/>
                <w:bCs/>
                <w:color w:val="000000"/>
                <w:sz w:val="18"/>
                <w:szCs w:val="18"/>
                <w:rtl/>
                <w:lang w:eastAsia="he-IL"/>
              </w:rPr>
            </w:pPr>
            <w:r w:rsidRPr="002A7A40">
              <w:rPr>
                <w:rFonts w:hint="cs"/>
                <w:color w:val="000000"/>
                <w:sz w:val="18"/>
                <w:szCs w:val="18"/>
                <w:rtl/>
                <w:lang w:eastAsia="he-IL"/>
              </w:rPr>
              <w:t>רווח (הפסד) המדווח במסגרת פעילויות אחרות</w:t>
            </w:r>
          </w:p>
        </w:tc>
        <w:tc>
          <w:tcPr>
            <w:tcW w:w="848" w:type="dxa"/>
            <w:vAlign w:val="bottom"/>
          </w:tcPr>
          <w:p w14:paraId="78F526D1" w14:textId="77777777" w:rsidR="003838B2" w:rsidRPr="002A7A40" w:rsidRDefault="003838B2" w:rsidP="003838B2">
            <w:pPr>
              <w:spacing w:before="20"/>
              <w:ind w:left="57" w:right="57"/>
              <w:jc w:val="left"/>
              <w:rPr>
                <w:sz w:val="18"/>
                <w:szCs w:val="18"/>
                <w:rtl/>
              </w:rPr>
            </w:pPr>
            <w:r w:rsidRPr="002A7A40">
              <w:rPr>
                <w:rFonts w:hint="cs"/>
                <w:sz w:val="18"/>
                <w:szCs w:val="18"/>
                <w:rtl/>
              </w:rPr>
              <w:t>0</w:t>
            </w:r>
          </w:p>
        </w:tc>
        <w:tc>
          <w:tcPr>
            <w:tcW w:w="853" w:type="dxa"/>
            <w:vAlign w:val="bottom"/>
          </w:tcPr>
          <w:p w14:paraId="6FDF0946" w14:textId="77777777" w:rsidR="003838B2" w:rsidRPr="002A7A40" w:rsidRDefault="003838B2" w:rsidP="003838B2">
            <w:pPr>
              <w:spacing w:before="20"/>
              <w:ind w:left="57" w:right="57"/>
              <w:jc w:val="left"/>
              <w:rPr>
                <w:sz w:val="18"/>
                <w:szCs w:val="18"/>
                <w:rtl/>
              </w:rPr>
            </w:pPr>
            <w:r w:rsidRPr="002A7A40">
              <w:rPr>
                <w:rFonts w:hint="cs"/>
                <w:sz w:val="18"/>
                <w:szCs w:val="18"/>
                <w:rtl/>
              </w:rPr>
              <w:t>0</w:t>
            </w:r>
          </w:p>
        </w:tc>
        <w:tc>
          <w:tcPr>
            <w:tcW w:w="854" w:type="dxa"/>
            <w:vAlign w:val="bottom"/>
          </w:tcPr>
          <w:p w14:paraId="5A73AB41" w14:textId="77777777" w:rsidR="003838B2" w:rsidRPr="002A7A40" w:rsidRDefault="003838B2" w:rsidP="003838B2">
            <w:pPr>
              <w:spacing w:before="20"/>
              <w:ind w:left="57" w:right="57"/>
              <w:jc w:val="left"/>
              <w:rPr>
                <w:sz w:val="18"/>
                <w:szCs w:val="18"/>
                <w:rtl/>
              </w:rPr>
            </w:pPr>
            <w:r w:rsidRPr="002A7A40">
              <w:rPr>
                <w:rFonts w:hint="cs"/>
                <w:sz w:val="18"/>
                <w:szCs w:val="18"/>
                <w:rtl/>
              </w:rPr>
              <w:t>0</w:t>
            </w:r>
          </w:p>
        </w:tc>
        <w:tc>
          <w:tcPr>
            <w:tcW w:w="831" w:type="dxa"/>
            <w:vAlign w:val="bottom"/>
          </w:tcPr>
          <w:p w14:paraId="227DBAF3" w14:textId="77777777" w:rsidR="003838B2" w:rsidRPr="002A7A40" w:rsidRDefault="003838B2" w:rsidP="003838B2">
            <w:pPr>
              <w:spacing w:before="20"/>
              <w:ind w:left="57" w:right="57"/>
              <w:jc w:val="left"/>
              <w:rPr>
                <w:sz w:val="18"/>
                <w:szCs w:val="18"/>
                <w:rtl/>
              </w:rPr>
            </w:pPr>
            <w:r w:rsidRPr="002A7A40">
              <w:rPr>
                <w:rFonts w:hint="cs"/>
                <w:sz w:val="18"/>
                <w:szCs w:val="18"/>
                <w:rtl/>
              </w:rPr>
              <w:t>0</w:t>
            </w:r>
          </w:p>
        </w:tc>
        <w:tc>
          <w:tcPr>
            <w:tcW w:w="1192" w:type="dxa"/>
            <w:gridSpan w:val="2"/>
            <w:vAlign w:val="bottom"/>
          </w:tcPr>
          <w:p w14:paraId="4C79CA0D" w14:textId="77777777" w:rsidR="003838B2" w:rsidRPr="002A7A40" w:rsidRDefault="003838B2" w:rsidP="003838B2">
            <w:pPr>
              <w:spacing w:before="20"/>
              <w:ind w:left="57" w:right="57"/>
              <w:jc w:val="left"/>
              <w:rPr>
                <w:sz w:val="18"/>
                <w:szCs w:val="18"/>
                <w:rtl/>
              </w:rPr>
            </w:pPr>
            <w:r w:rsidRPr="002A7A40">
              <w:rPr>
                <w:rFonts w:hint="cs"/>
                <w:sz w:val="18"/>
                <w:szCs w:val="18"/>
                <w:rtl/>
              </w:rPr>
              <w:t>0</w:t>
            </w:r>
          </w:p>
        </w:tc>
      </w:tr>
      <w:tr w:rsidR="003838B2" w:rsidRPr="002A7A40" w14:paraId="4D5F9D27" w14:textId="77777777" w:rsidTr="00A82C7F">
        <w:tc>
          <w:tcPr>
            <w:tcW w:w="1177" w:type="dxa"/>
          </w:tcPr>
          <w:p w14:paraId="50AB3808" w14:textId="77777777" w:rsidR="003838B2" w:rsidRPr="002A7A40" w:rsidRDefault="003838B2" w:rsidP="003838B2">
            <w:pPr>
              <w:spacing w:before="20"/>
              <w:ind w:firstLine="1"/>
              <w:jc w:val="left"/>
              <w:rPr>
                <w:color w:val="000000"/>
                <w:sz w:val="18"/>
                <w:szCs w:val="18"/>
                <w:rtl/>
                <w:lang w:eastAsia="he-IL"/>
              </w:rPr>
            </w:pPr>
          </w:p>
        </w:tc>
        <w:tc>
          <w:tcPr>
            <w:tcW w:w="283" w:type="dxa"/>
          </w:tcPr>
          <w:p w14:paraId="5391698A" w14:textId="77777777" w:rsidR="003838B2" w:rsidRPr="002A7A40" w:rsidRDefault="003838B2" w:rsidP="003838B2">
            <w:pPr>
              <w:spacing w:before="20"/>
              <w:ind w:firstLine="1"/>
              <w:jc w:val="left"/>
              <w:rPr>
                <w:color w:val="000000"/>
                <w:sz w:val="18"/>
                <w:szCs w:val="18"/>
                <w:rtl/>
                <w:lang w:eastAsia="he-IL"/>
              </w:rPr>
            </w:pPr>
          </w:p>
        </w:tc>
        <w:tc>
          <w:tcPr>
            <w:tcW w:w="4351" w:type="dxa"/>
            <w:vAlign w:val="bottom"/>
          </w:tcPr>
          <w:p w14:paraId="0C8ABCC9" w14:textId="77777777" w:rsidR="003838B2" w:rsidRPr="002A7A40" w:rsidRDefault="003838B2" w:rsidP="003838B2">
            <w:pPr>
              <w:spacing w:before="20"/>
              <w:ind w:left="113" w:right="-57" w:hanging="113"/>
              <w:jc w:val="left"/>
              <w:rPr>
                <w:color w:val="000000"/>
                <w:sz w:val="18"/>
                <w:szCs w:val="18"/>
                <w:rtl/>
                <w:lang w:eastAsia="he-IL"/>
              </w:rPr>
            </w:pPr>
            <w:r w:rsidRPr="002A7A40">
              <w:rPr>
                <w:rFonts w:hint="cs"/>
                <w:color w:val="000000"/>
                <w:sz w:val="18"/>
                <w:szCs w:val="18"/>
                <w:rtl/>
                <w:lang w:eastAsia="he-IL"/>
              </w:rPr>
              <w:t>ביטול רווחים בין מגזריים לאחר מסים</w:t>
            </w:r>
          </w:p>
        </w:tc>
        <w:tc>
          <w:tcPr>
            <w:tcW w:w="848" w:type="dxa"/>
            <w:vAlign w:val="bottom"/>
          </w:tcPr>
          <w:p w14:paraId="417922D7" w14:textId="77777777" w:rsidR="003838B2" w:rsidRPr="002A7A40" w:rsidRDefault="003838B2" w:rsidP="003838B2">
            <w:pPr>
              <w:spacing w:before="20"/>
              <w:ind w:left="57" w:right="57"/>
              <w:jc w:val="left"/>
              <w:rPr>
                <w:sz w:val="18"/>
                <w:szCs w:val="18"/>
                <w:rtl/>
              </w:rPr>
            </w:pPr>
            <w:r w:rsidRPr="002A7A40">
              <w:rPr>
                <w:sz w:val="18"/>
                <w:szCs w:val="18"/>
                <w:rtl/>
              </w:rPr>
              <w:t>0</w:t>
            </w:r>
          </w:p>
        </w:tc>
        <w:tc>
          <w:tcPr>
            <w:tcW w:w="853" w:type="dxa"/>
            <w:vAlign w:val="bottom"/>
          </w:tcPr>
          <w:p w14:paraId="5F3A784E" w14:textId="77777777" w:rsidR="003838B2" w:rsidRPr="002A7A40" w:rsidRDefault="003838B2" w:rsidP="003838B2">
            <w:pPr>
              <w:spacing w:before="20"/>
              <w:ind w:left="57" w:right="57"/>
              <w:jc w:val="left"/>
              <w:rPr>
                <w:sz w:val="18"/>
                <w:szCs w:val="18"/>
                <w:rtl/>
              </w:rPr>
            </w:pPr>
            <w:r w:rsidRPr="002A7A40">
              <w:rPr>
                <w:sz w:val="18"/>
                <w:szCs w:val="18"/>
                <w:rtl/>
              </w:rPr>
              <w:t>0</w:t>
            </w:r>
          </w:p>
        </w:tc>
        <w:tc>
          <w:tcPr>
            <w:tcW w:w="854" w:type="dxa"/>
            <w:vAlign w:val="bottom"/>
          </w:tcPr>
          <w:p w14:paraId="61263F3F" w14:textId="77777777" w:rsidR="003838B2" w:rsidRPr="002A7A40" w:rsidRDefault="003838B2" w:rsidP="003838B2">
            <w:pPr>
              <w:spacing w:before="20"/>
              <w:ind w:left="57" w:right="57"/>
              <w:jc w:val="left"/>
              <w:rPr>
                <w:sz w:val="18"/>
                <w:szCs w:val="18"/>
                <w:rtl/>
              </w:rPr>
            </w:pPr>
            <w:r w:rsidRPr="002A7A40">
              <w:rPr>
                <w:sz w:val="18"/>
                <w:szCs w:val="18"/>
                <w:rtl/>
              </w:rPr>
              <w:t>0</w:t>
            </w:r>
          </w:p>
        </w:tc>
        <w:tc>
          <w:tcPr>
            <w:tcW w:w="831" w:type="dxa"/>
            <w:vAlign w:val="bottom"/>
          </w:tcPr>
          <w:p w14:paraId="135537D8" w14:textId="77777777" w:rsidR="003838B2" w:rsidRPr="002A7A40" w:rsidRDefault="003838B2" w:rsidP="003838B2">
            <w:pPr>
              <w:spacing w:before="20"/>
              <w:ind w:left="57" w:right="57"/>
              <w:jc w:val="left"/>
              <w:rPr>
                <w:sz w:val="18"/>
                <w:szCs w:val="18"/>
                <w:rtl/>
              </w:rPr>
            </w:pPr>
            <w:r w:rsidRPr="002A7A40">
              <w:rPr>
                <w:sz w:val="18"/>
                <w:szCs w:val="18"/>
                <w:rtl/>
              </w:rPr>
              <w:t>0</w:t>
            </w:r>
          </w:p>
        </w:tc>
        <w:tc>
          <w:tcPr>
            <w:tcW w:w="1192" w:type="dxa"/>
            <w:gridSpan w:val="2"/>
            <w:vAlign w:val="bottom"/>
          </w:tcPr>
          <w:p w14:paraId="474C18C8" w14:textId="77777777" w:rsidR="003838B2" w:rsidRPr="002A7A40" w:rsidRDefault="003838B2" w:rsidP="003838B2">
            <w:pPr>
              <w:spacing w:before="20"/>
              <w:ind w:left="57" w:right="57"/>
              <w:jc w:val="left"/>
              <w:rPr>
                <w:sz w:val="18"/>
                <w:szCs w:val="18"/>
                <w:rtl/>
              </w:rPr>
            </w:pPr>
            <w:r w:rsidRPr="002A7A40">
              <w:rPr>
                <w:sz w:val="18"/>
                <w:szCs w:val="18"/>
                <w:rtl/>
              </w:rPr>
              <w:t>0</w:t>
            </w:r>
          </w:p>
        </w:tc>
      </w:tr>
      <w:tr w:rsidR="003838B2" w:rsidRPr="002A7A40" w14:paraId="070C12DA" w14:textId="77777777" w:rsidTr="00A82C7F">
        <w:tc>
          <w:tcPr>
            <w:tcW w:w="1177" w:type="dxa"/>
          </w:tcPr>
          <w:p w14:paraId="681CBB9B" w14:textId="77777777" w:rsidR="003838B2" w:rsidRPr="002A7A40" w:rsidRDefault="003838B2" w:rsidP="003838B2">
            <w:pPr>
              <w:spacing w:before="20"/>
              <w:ind w:firstLine="1"/>
              <w:jc w:val="left"/>
              <w:rPr>
                <w:color w:val="000000"/>
                <w:sz w:val="18"/>
                <w:szCs w:val="18"/>
                <w:rtl/>
                <w:lang w:eastAsia="he-IL"/>
              </w:rPr>
            </w:pPr>
          </w:p>
        </w:tc>
        <w:tc>
          <w:tcPr>
            <w:tcW w:w="283" w:type="dxa"/>
          </w:tcPr>
          <w:p w14:paraId="31560C5D" w14:textId="77777777" w:rsidR="003838B2" w:rsidRPr="002A7A40" w:rsidRDefault="003838B2" w:rsidP="003838B2">
            <w:pPr>
              <w:spacing w:before="20"/>
              <w:ind w:firstLine="1"/>
              <w:jc w:val="left"/>
              <w:rPr>
                <w:color w:val="000000"/>
                <w:sz w:val="18"/>
                <w:szCs w:val="18"/>
                <w:rtl/>
                <w:lang w:eastAsia="he-IL"/>
              </w:rPr>
            </w:pPr>
          </w:p>
        </w:tc>
        <w:tc>
          <w:tcPr>
            <w:tcW w:w="4351" w:type="dxa"/>
            <w:vAlign w:val="bottom"/>
          </w:tcPr>
          <w:p w14:paraId="4D252A92" w14:textId="77777777" w:rsidR="003838B2" w:rsidRPr="002A7A40" w:rsidRDefault="003838B2" w:rsidP="003838B2">
            <w:pPr>
              <w:spacing w:before="20"/>
              <w:ind w:left="113" w:right="-57" w:hanging="113"/>
              <w:jc w:val="left"/>
              <w:rPr>
                <w:b/>
                <w:bCs/>
                <w:color w:val="000000"/>
                <w:sz w:val="18"/>
                <w:szCs w:val="18"/>
                <w:rtl/>
                <w:lang w:eastAsia="he-IL"/>
              </w:rPr>
            </w:pPr>
            <w:r w:rsidRPr="002A7A40">
              <w:rPr>
                <w:rFonts w:hint="cs"/>
                <w:color w:val="000000"/>
                <w:sz w:val="18"/>
                <w:szCs w:val="18"/>
                <w:rtl/>
                <w:lang w:eastAsia="he-IL"/>
              </w:rPr>
              <w:t>סכומים לא מוקצים</w:t>
            </w:r>
            <w:r w:rsidRPr="002A7A40">
              <w:rPr>
                <w:rFonts w:hint="cs"/>
                <w:b/>
                <w:bCs/>
                <w:color w:val="000000"/>
                <w:sz w:val="18"/>
                <w:szCs w:val="18"/>
                <w:rtl/>
                <w:lang w:eastAsia="he-IL"/>
              </w:rPr>
              <w:t xml:space="preserve"> </w:t>
            </w:r>
            <w:r w:rsidRPr="002A7A40">
              <w:rPr>
                <w:rFonts w:hint="cs"/>
                <w:color w:val="000000"/>
                <w:sz w:val="18"/>
                <w:szCs w:val="18"/>
                <w:rtl/>
                <w:lang w:eastAsia="he-IL"/>
              </w:rPr>
              <w:t xml:space="preserve">לאחר מסים </w:t>
            </w:r>
            <w:r w:rsidRPr="002A7A40">
              <w:rPr>
                <w:rFonts w:hint="cs"/>
                <w:color w:val="000000"/>
                <w:sz w:val="18"/>
                <w:szCs w:val="18"/>
                <w:u w:val="single"/>
                <w:rtl/>
                <w:lang w:eastAsia="he-IL"/>
              </w:rPr>
              <w:t xml:space="preserve">      </w:t>
            </w:r>
            <w:r w:rsidRPr="002A7A40">
              <w:rPr>
                <w:rFonts w:hint="cs"/>
                <w:color w:val="000000"/>
                <w:sz w:val="18"/>
                <w:szCs w:val="18"/>
                <w:rtl/>
                <w:lang w:eastAsia="he-IL"/>
              </w:rPr>
              <w:t xml:space="preserve"> </w:t>
            </w:r>
            <w:r w:rsidRPr="003838B2">
              <w:rPr>
                <w:rFonts w:hint="cs"/>
                <w:color w:val="000000"/>
                <w:sz w:val="18"/>
                <w:szCs w:val="18"/>
                <w:rtl/>
                <w:lang w:eastAsia="he-IL"/>
              </w:rPr>
              <w:t>[</w:t>
            </w:r>
            <w:r w:rsidRPr="003838B2">
              <w:rPr>
                <w:rFonts w:hint="eastAsia"/>
                <w:color w:val="000000"/>
                <w:sz w:val="18"/>
                <w:szCs w:val="18"/>
                <w:rtl/>
                <w:lang w:eastAsia="he-IL"/>
              </w:rPr>
              <w:t>פרט</w:t>
            </w:r>
            <w:r w:rsidRPr="003838B2">
              <w:rPr>
                <w:color w:val="000000"/>
                <w:sz w:val="18"/>
                <w:szCs w:val="18"/>
                <w:rtl/>
                <w:lang w:eastAsia="he-IL"/>
              </w:rPr>
              <w:t>]</w:t>
            </w:r>
          </w:p>
        </w:tc>
        <w:tc>
          <w:tcPr>
            <w:tcW w:w="848" w:type="dxa"/>
            <w:vAlign w:val="bottom"/>
          </w:tcPr>
          <w:p w14:paraId="25DEF443" w14:textId="77777777" w:rsidR="003838B2" w:rsidRPr="002A7A40" w:rsidRDefault="003838B2" w:rsidP="003838B2">
            <w:pPr>
              <w:pBdr>
                <w:bottom w:val="single" w:sz="4" w:space="1" w:color="auto"/>
              </w:pBdr>
              <w:spacing w:before="20"/>
              <w:ind w:left="57" w:right="57"/>
              <w:jc w:val="left"/>
              <w:rPr>
                <w:sz w:val="18"/>
                <w:szCs w:val="18"/>
                <w:rtl/>
              </w:rPr>
            </w:pPr>
            <w:r w:rsidRPr="002A7A40">
              <w:rPr>
                <w:sz w:val="18"/>
                <w:szCs w:val="18"/>
                <w:rtl/>
              </w:rPr>
              <w:t>0</w:t>
            </w:r>
          </w:p>
        </w:tc>
        <w:tc>
          <w:tcPr>
            <w:tcW w:w="853" w:type="dxa"/>
            <w:vAlign w:val="bottom"/>
          </w:tcPr>
          <w:p w14:paraId="754D8448" w14:textId="77777777" w:rsidR="003838B2" w:rsidRPr="002A7A40" w:rsidRDefault="003838B2" w:rsidP="003838B2">
            <w:pPr>
              <w:pBdr>
                <w:bottom w:val="single" w:sz="4" w:space="1" w:color="auto"/>
              </w:pBdr>
              <w:spacing w:before="20"/>
              <w:ind w:left="57" w:right="57"/>
              <w:jc w:val="left"/>
              <w:rPr>
                <w:sz w:val="18"/>
                <w:szCs w:val="18"/>
                <w:rtl/>
              </w:rPr>
            </w:pPr>
            <w:r w:rsidRPr="002A7A40">
              <w:rPr>
                <w:sz w:val="18"/>
                <w:szCs w:val="18"/>
                <w:rtl/>
              </w:rPr>
              <w:t>0</w:t>
            </w:r>
          </w:p>
        </w:tc>
        <w:tc>
          <w:tcPr>
            <w:tcW w:w="854" w:type="dxa"/>
            <w:vAlign w:val="bottom"/>
          </w:tcPr>
          <w:p w14:paraId="39D8A51C" w14:textId="77777777" w:rsidR="003838B2" w:rsidRPr="002A7A40" w:rsidRDefault="003838B2" w:rsidP="003838B2">
            <w:pPr>
              <w:pBdr>
                <w:bottom w:val="single" w:sz="4" w:space="1" w:color="auto"/>
              </w:pBdr>
              <w:spacing w:before="20"/>
              <w:ind w:left="57" w:right="57"/>
              <w:jc w:val="left"/>
              <w:rPr>
                <w:sz w:val="18"/>
                <w:szCs w:val="18"/>
                <w:rtl/>
              </w:rPr>
            </w:pPr>
            <w:r w:rsidRPr="002A7A40">
              <w:rPr>
                <w:sz w:val="18"/>
                <w:szCs w:val="18"/>
                <w:rtl/>
              </w:rPr>
              <w:t>0</w:t>
            </w:r>
          </w:p>
        </w:tc>
        <w:tc>
          <w:tcPr>
            <w:tcW w:w="831" w:type="dxa"/>
            <w:vAlign w:val="bottom"/>
          </w:tcPr>
          <w:p w14:paraId="4742ECD4" w14:textId="77777777" w:rsidR="003838B2" w:rsidRPr="002A7A40" w:rsidRDefault="003838B2" w:rsidP="003838B2">
            <w:pPr>
              <w:pBdr>
                <w:bottom w:val="single" w:sz="4" w:space="1" w:color="auto"/>
              </w:pBdr>
              <w:spacing w:before="20"/>
              <w:ind w:left="57" w:right="57"/>
              <w:jc w:val="left"/>
              <w:rPr>
                <w:sz w:val="18"/>
                <w:szCs w:val="18"/>
                <w:rtl/>
              </w:rPr>
            </w:pPr>
            <w:r w:rsidRPr="002A7A40">
              <w:rPr>
                <w:sz w:val="18"/>
                <w:szCs w:val="18"/>
                <w:rtl/>
              </w:rPr>
              <w:t>0</w:t>
            </w:r>
          </w:p>
        </w:tc>
        <w:tc>
          <w:tcPr>
            <w:tcW w:w="1192" w:type="dxa"/>
            <w:gridSpan w:val="2"/>
            <w:vAlign w:val="bottom"/>
          </w:tcPr>
          <w:p w14:paraId="6D8449B2" w14:textId="77777777" w:rsidR="003838B2" w:rsidRPr="002A7A40" w:rsidRDefault="003838B2" w:rsidP="003838B2">
            <w:pPr>
              <w:pBdr>
                <w:bottom w:val="single" w:sz="4" w:space="1" w:color="auto"/>
              </w:pBdr>
              <w:spacing w:before="20"/>
              <w:ind w:left="57" w:right="57"/>
              <w:jc w:val="left"/>
              <w:rPr>
                <w:sz w:val="18"/>
                <w:szCs w:val="18"/>
                <w:rtl/>
              </w:rPr>
            </w:pPr>
            <w:r w:rsidRPr="002A7A40">
              <w:rPr>
                <w:sz w:val="18"/>
                <w:szCs w:val="18"/>
                <w:rtl/>
              </w:rPr>
              <w:t>0</w:t>
            </w:r>
          </w:p>
        </w:tc>
      </w:tr>
      <w:tr w:rsidR="003838B2" w:rsidRPr="002A7A40" w14:paraId="70A0B70D" w14:textId="77777777" w:rsidTr="00A82C7F">
        <w:tc>
          <w:tcPr>
            <w:tcW w:w="1177" w:type="dxa"/>
          </w:tcPr>
          <w:p w14:paraId="753BD8EF" w14:textId="77777777" w:rsidR="003838B2" w:rsidRPr="002A7A40" w:rsidRDefault="003838B2" w:rsidP="003838B2">
            <w:pPr>
              <w:spacing w:before="20"/>
              <w:ind w:firstLine="1"/>
              <w:jc w:val="left"/>
              <w:rPr>
                <w:b/>
                <w:bCs/>
                <w:color w:val="000000"/>
                <w:sz w:val="18"/>
                <w:szCs w:val="18"/>
                <w:rtl/>
                <w:lang w:eastAsia="he-IL"/>
              </w:rPr>
            </w:pPr>
          </w:p>
        </w:tc>
        <w:tc>
          <w:tcPr>
            <w:tcW w:w="283" w:type="dxa"/>
          </w:tcPr>
          <w:p w14:paraId="13FE3B51" w14:textId="77777777" w:rsidR="003838B2" w:rsidRPr="002A7A40" w:rsidRDefault="003838B2" w:rsidP="003838B2">
            <w:pPr>
              <w:spacing w:before="20"/>
              <w:ind w:firstLine="1"/>
              <w:jc w:val="left"/>
              <w:rPr>
                <w:b/>
                <w:bCs/>
                <w:color w:val="000000"/>
                <w:sz w:val="18"/>
                <w:szCs w:val="18"/>
                <w:rtl/>
                <w:lang w:eastAsia="he-IL"/>
              </w:rPr>
            </w:pPr>
          </w:p>
        </w:tc>
        <w:tc>
          <w:tcPr>
            <w:tcW w:w="4351" w:type="dxa"/>
            <w:vAlign w:val="bottom"/>
          </w:tcPr>
          <w:p w14:paraId="1B365AE2" w14:textId="77777777" w:rsidR="003838B2" w:rsidRPr="002A7A40" w:rsidRDefault="003838B2" w:rsidP="003838B2">
            <w:pPr>
              <w:spacing w:before="20"/>
              <w:ind w:left="113" w:right="-57" w:hanging="113"/>
              <w:jc w:val="left"/>
              <w:rPr>
                <w:b/>
                <w:bCs/>
                <w:color w:val="000000"/>
                <w:sz w:val="18"/>
                <w:szCs w:val="18"/>
                <w:rtl/>
                <w:lang w:eastAsia="he-IL"/>
              </w:rPr>
            </w:pPr>
            <w:r w:rsidRPr="002A7A40">
              <w:rPr>
                <w:rFonts w:hint="cs"/>
                <w:b/>
                <w:bCs/>
                <w:color w:val="000000"/>
                <w:sz w:val="18"/>
                <w:szCs w:val="18"/>
                <w:rtl/>
                <w:lang w:eastAsia="he-IL"/>
              </w:rPr>
              <w:t>רווח לאחר מסים במאוחד</w:t>
            </w:r>
          </w:p>
        </w:tc>
        <w:tc>
          <w:tcPr>
            <w:tcW w:w="848" w:type="dxa"/>
            <w:vAlign w:val="bottom"/>
          </w:tcPr>
          <w:p w14:paraId="0F495C62" w14:textId="77777777" w:rsidR="003838B2" w:rsidRPr="002A7A40" w:rsidRDefault="003838B2" w:rsidP="003838B2">
            <w:pPr>
              <w:pBdr>
                <w:bottom w:val="double" w:sz="4" w:space="1" w:color="auto"/>
              </w:pBdr>
              <w:spacing w:before="20"/>
              <w:ind w:left="57" w:right="57"/>
              <w:jc w:val="left"/>
              <w:rPr>
                <w:b/>
                <w:bCs/>
                <w:sz w:val="18"/>
                <w:szCs w:val="18"/>
                <w:rtl/>
              </w:rPr>
            </w:pPr>
            <w:r w:rsidRPr="002A7A40">
              <w:rPr>
                <w:b/>
                <w:bCs/>
                <w:sz w:val="18"/>
                <w:szCs w:val="18"/>
                <w:rtl/>
              </w:rPr>
              <w:t>0</w:t>
            </w:r>
          </w:p>
        </w:tc>
        <w:tc>
          <w:tcPr>
            <w:tcW w:w="853" w:type="dxa"/>
            <w:vAlign w:val="bottom"/>
          </w:tcPr>
          <w:p w14:paraId="0C69CBA2" w14:textId="77777777" w:rsidR="003838B2" w:rsidRPr="002A7A40" w:rsidRDefault="003838B2" w:rsidP="003838B2">
            <w:pPr>
              <w:pBdr>
                <w:bottom w:val="double" w:sz="4" w:space="1" w:color="auto"/>
              </w:pBdr>
              <w:spacing w:before="20"/>
              <w:ind w:left="57" w:right="57"/>
              <w:jc w:val="left"/>
              <w:rPr>
                <w:b/>
                <w:bCs/>
                <w:sz w:val="18"/>
                <w:szCs w:val="18"/>
                <w:rtl/>
              </w:rPr>
            </w:pPr>
            <w:r w:rsidRPr="002A7A40">
              <w:rPr>
                <w:b/>
                <w:bCs/>
                <w:sz w:val="18"/>
                <w:szCs w:val="18"/>
                <w:rtl/>
              </w:rPr>
              <w:t>0</w:t>
            </w:r>
          </w:p>
        </w:tc>
        <w:tc>
          <w:tcPr>
            <w:tcW w:w="854" w:type="dxa"/>
            <w:vAlign w:val="bottom"/>
          </w:tcPr>
          <w:p w14:paraId="51B5C9E3" w14:textId="77777777" w:rsidR="003838B2" w:rsidRPr="002A7A40" w:rsidRDefault="003838B2" w:rsidP="003838B2">
            <w:pPr>
              <w:pBdr>
                <w:bottom w:val="double" w:sz="4" w:space="1" w:color="auto"/>
              </w:pBdr>
              <w:spacing w:before="20"/>
              <w:ind w:left="57" w:right="57"/>
              <w:jc w:val="left"/>
              <w:rPr>
                <w:b/>
                <w:bCs/>
                <w:sz w:val="18"/>
                <w:szCs w:val="18"/>
                <w:rtl/>
              </w:rPr>
            </w:pPr>
            <w:r w:rsidRPr="002A7A40">
              <w:rPr>
                <w:b/>
                <w:bCs/>
                <w:sz w:val="18"/>
                <w:szCs w:val="18"/>
                <w:rtl/>
              </w:rPr>
              <w:t>0</w:t>
            </w:r>
          </w:p>
        </w:tc>
        <w:tc>
          <w:tcPr>
            <w:tcW w:w="831" w:type="dxa"/>
            <w:vAlign w:val="bottom"/>
          </w:tcPr>
          <w:p w14:paraId="460EE09B" w14:textId="77777777" w:rsidR="003838B2" w:rsidRPr="002A7A40" w:rsidRDefault="003838B2" w:rsidP="003838B2">
            <w:pPr>
              <w:pBdr>
                <w:bottom w:val="double" w:sz="4" w:space="1" w:color="auto"/>
              </w:pBdr>
              <w:spacing w:before="20"/>
              <w:ind w:left="57" w:right="57"/>
              <w:jc w:val="left"/>
              <w:rPr>
                <w:b/>
                <w:bCs/>
                <w:sz w:val="18"/>
                <w:szCs w:val="18"/>
                <w:rtl/>
              </w:rPr>
            </w:pPr>
            <w:r w:rsidRPr="002A7A40">
              <w:rPr>
                <w:b/>
                <w:bCs/>
                <w:sz w:val="18"/>
                <w:szCs w:val="18"/>
                <w:rtl/>
              </w:rPr>
              <w:t>0</w:t>
            </w:r>
          </w:p>
        </w:tc>
        <w:tc>
          <w:tcPr>
            <w:tcW w:w="1192" w:type="dxa"/>
            <w:gridSpan w:val="2"/>
            <w:vAlign w:val="bottom"/>
          </w:tcPr>
          <w:p w14:paraId="43CB7DAA" w14:textId="77777777" w:rsidR="003838B2" w:rsidRPr="002A7A40" w:rsidRDefault="003838B2" w:rsidP="003838B2">
            <w:pPr>
              <w:pBdr>
                <w:bottom w:val="double" w:sz="4" w:space="1" w:color="auto"/>
              </w:pBdr>
              <w:spacing w:before="20"/>
              <w:ind w:left="57" w:right="57"/>
              <w:jc w:val="left"/>
              <w:rPr>
                <w:b/>
                <w:bCs/>
                <w:sz w:val="18"/>
                <w:szCs w:val="18"/>
                <w:rtl/>
              </w:rPr>
            </w:pPr>
            <w:r w:rsidRPr="002A7A40">
              <w:rPr>
                <w:b/>
                <w:bCs/>
                <w:sz w:val="18"/>
                <w:szCs w:val="18"/>
                <w:rtl/>
              </w:rPr>
              <w:t>0</w:t>
            </w:r>
          </w:p>
        </w:tc>
      </w:tr>
      <w:tr w:rsidR="003838B2" w:rsidRPr="002A7A40" w14:paraId="5D5F2833" w14:textId="77777777" w:rsidTr="00A82C7F">
        <w:trPr>
          <w:trHeight w:hRule="exact" w:val="57"/>
        </w:trPr>
        <w:tc>
          <w:tcPr>
            <w:tcW w:w="1177" w:type="dxa"/>
          </w:tcPr>
          <w:p w14:paraId="609B54D3" w14:textId="77777777" w:rsidR="003838B2" w:rsidRPr="002A7A40" w:rsidRDefault="003838B2" w:rsidP="003838B2">
            <w:pPr>
              <w:spacing w:before="20"/>
              <w:ind w:firstLine="1"/>
              <w:jc w:val="left"/>
              <w:rPr>
                <w:b/>
                <w:bCs/>
                <w:color w:val="000000"/>
                <w:sz w:val="18"/>
                <w:szCs w:val="18"/>
                <w:rtl/>
                <w:lang w:eastAsia="he-IL"/>
              </w:rPr>
            </w:pPr>
          </w:p>
        </w:tc>
        <w:tc>
          <w:tcPr>
            <w:tcW w:w="283" w:type="dxa"/>
          </w:tcPr>
          <w:p w14:paraId="4211FA18" w14:textId="77777777" w:rsidR="003838B2" w:rsidRPr="002A7A40" w:rsidRDefault="003838B2" w:rsidP="003838B2">
            <w:pPr>
              <w:spacing w:before="20"/>
              <w:ind w:firstLine="1"/>
              <w:jc w:val="left"/>
              <w:rPr>
                <w:b/>
                <w:bCs/>
                <w:color w:val="000000"/>
                <w:sz w:val="18"/>
                <w:szCs w:val="18"/>
                <w:rtl/>
                <w:lang w:eastAsia="he-IL"/>
              </w:rPr>
            </w:pPr>
          </w:p>
        </w:tc>
        <w:tc>
          <w:tcPr>
            <w:tcW w:w="4351" w:type="dxa"/>
          </w:tcPr>
          <w:p w14:paraId="46B44395" w14:textId="77777777" w:rsidR="003838B2" w:rsidRPr="002A7A40" w:rsidRDefault="003838B2" w:rsidP="003838B2">
            <w:pPr>
              <w:spacing w:before="20"/>
              <w:ind w:left="113" w:hanging="113"/>
              <w:jc w:val="left"/>
              <w:rPr>
                <w:b/>
                <w:bCs/>
                <w:color w:val="000000"/>
                <w:sz w:val="18"/>
                <w:szCs w:val="18"/>
                <w:rtl/>
                <w:lang w:eastAsia="he-IL"/>
              </w:rPr>
            </w:pPr>
          </w:p>
        </w:tc>
        <w:tc>
          <w:tcPr>
            <w:tcW w:w="848" w:type="dxa"/>
            <w:vAlign w:val="bottom"/>
          </w:tcPr>
          <w:p w14:paraId="0C91954E" w14:textId="77777777" w:rsidR="003838B2" w:rsidRPr="002A7A40" w:rsidRDefault="003838B2" w:rsidP="003838B2">
            <w:pPr>
              <w:spacing w:before="20"/>
              <w:ind w:left="57" w:right="57"/>
              <w:jc w:val="left"/>
              <w:rPr>
                <w:b/>
                <w:bCs/>
                <w:sz w:val="18"/>
                <w:szCs w:val="18"/>
                <w:rtl/>
              </w:rPr>
            </w:pPr>
          </w:p>
        </w:tc>
        <w:tc>
          <w:tcPr>
            <w:tcW w:w="853" w:type="dxa"/>
            <w:vAlign w:val="bottom"/>
          </w:tcPr>
          <w:p w14:paraId="48199393" w14:textId="77777777" w:rsidR="003838B2" w:rsidRPr="002A7A40" w:rsidRDefault="003838B2" w:rsidP="003838B2">
            <w:pPr>
              <w:spacing w:before="20"/>
              <w:ind w:left="57" w:right="57"/>
              <w:jc w:val="left"/>
              <w:rPr>
                <w:b/>
                <w:bCs/>
                <w:sz w:val="18"/>
                <w:szCs w:val="18"/>
                <w:rtl/>
              </w:rPr>
            </w:pPr>
          </w:p>
        </w:tc>
        <w:tc>
          <w:tcPr>
            <w:tcW w:w="854" w:type="dxa"/>
            <w:vAlign w:val="bottom"/>
          </w:tcPr>
          <w:p w14:paraId="183F37C3" w14:textId="77777777" w:rsidR="003838B2" w:rsidRPr="002A7A40" w:rsidRDefault="003838B2" w:rsidP="003838B2">
            <w:pPr>
              <w:spacing w:before="20"/>
              <w:ind w:left="57" w:right="57"/>
              <w:jc w:val="left"/>
              <w:rPr>
                <w:b/>
                <w:bCs/>
                <w:sz w:val="18"/>
                <w:szCs w:val="18"/>
                <w:rtl/>
              </w:rPr>
            </w:pPr>
          </w:p>
        </w:tc>
        <w:tc>
          <w:tcPr>
            <w:tcW w:w="831" w:type="dxa"/>
            <w:vAlign w:val="bottom"/>
          </w:tcPr>
          <w:p w14:paraId="4C4AE0A6" w14:textId="77777777" w:rsidR="003838B2" w:rsidRPr="002A7A40" w:rsidRDefault="003838B2" w:rsidP="003838B2">
            <w:pPr>
              <w:spacing w:before="20"/>
              <w:ind w:left="57" w:right="57"/>
              <w:jc w:val="left"/>
              <w:rPr>
                <w:b/>
                <w:bCs/>
                <w:sz w:val="18"/>
                <w:szCs w:val="18"/>
                <w:rtl/>
              </w:rPr>
            </w:pPr>
          </w:p>
        </w:tc>
        <w:tc>
          <w:tcPr>
            <w:tcW w:w="1192" w:type="dxa"/>
            <w:gridSpan w:val="2"/>
            <w:vAlign w:val="bottom"/>
          </w:tcPr>
          <w:p w14:paraId="6F990B9B" w14:textId="77777777" w:rsidR="003838B2" w:rsidRPr="002A7A40" w:rsidRDefault="003838B2" w:rsidP="003838B2">
            <w:pPr>
              <w:spacing w:before="20"/>
              <w:ind w:left="57" w:right="57"/>
              <w:jc w:val="left"/>
              <w:rPr>
                <w:b/>
                <w:bCs/>
                <w:sz w:val="18"/>
                <w:szCs w:val="18"/>
                <w:rtl/>
              </w:rPr>
            </w:pPr>
          </w:p>
        </w:tc>
      </w:tr>
      <w:tr w:rsidR="003838B2" w:rsidRPr="002A7A40" w14:paraId="3A4EAFD2" w14:textId="77777777" w:rsidTr="00A82C7F">
        <w:trPr>
          <w:trHeight w:hRule="exact" w:val="57"/>
        </w:trPr>
        <w:tc>
          <w:tcPr>
            <w:tcW w:w="1177" w:type="dxa"/>
          </w:tcPr>
          <w:p w14:paraId="26962623" w14:textId="77777777" w:rsidR="003838B2" w:rsidRPr="002A7A40" w:rsidRDefault="003838B2" w:rsidP="003838B2">
            <w:pPr>
              <w:spacing w:before="20"/>
              <w:ind w:firstLine="1"/>
              <w:jc w:val="left"/>
              <w:rPr>
                <w:b/>
                <w:bCs/>
                <w:color w:val="000000"/>
                <w:sz w:val="18"/>
                <w:szCs w:val="18"/>
                <w:rtl/>
                <w:lang w:eastAsia="he-IL"/>
              </w:rPr>
            </w:pPr>
          </w:p>
        </w:tc>
        <w:tc>
          <w:tcPr>
            <w:tcW w:w="283" w:type="dxa"/>
          </w:tcPr>
          <w:p w14:paraId="6941DEFC" w14:textId="77777777" w:rsidR="003838B2" w:rsidRPr="002A7A40" w:rsidRDefault="003838B2" w:rsidP="003838B2">
            <w:pPr>
              <w:spacing w:before="20"/>
              <w:ind w:firstLine="1"/>
              <w:jc w:val="left"/>
              <w:rPr>
                <w:b/>
                <w:bCs/>
                <w:color w:val="000000"/>
                <w:sz w:val="18"/>
                <w:szCs w:val="18"/>
                <w:rtl/>
                <w:lang w:eastAsia="he-IL"/>
              </w:rPr>
            </w:pPr>
          </w:p>
        </w:tc>
        <w:tc>
          <w:tcPr>
            <w:tcW w:w="4351" w:type="dxa"/>
          </w:tcPr>
          <w:p w14:paraId="1F145452" w14:textId="77777777" w:rsidR="003838B2" w:rsidRPr="002A7A40" w:rsidRDefault="003838B2" w:rsidP="003838B2">
            <w:pPr>
              <w:spacing w:before="20"/>
              <w:ind w:left="113" w:hanging="113"/>
              <w:jc w:val="left"/>
              <w:rPr>
                <w:b/>
                <w:bCs/>
                <w:color w:val="000000"/>
                <w:sz w:val="18"/>
                <w:szCs w:val="18"/>
                <w:rtl/>
                <w:lang w:eastAsia="he-IL"/>
              </w:rPr>
            </w:pPr>
          </w:p>
        </w:tc>
        <w:tc>
          <w:tcPr>
            <w:tcW w:w="848" w:type="dxa"/>
            <w:vAlign w:val="bottom"/>
          </w:tcPr>
          <w:p w14:paraId="69F3A168" w14:textId="77777777" w:rsidR="003838B2" w:rsidRPr="002A7A40" w:rsidRDefault="003838B2" w:rsidP="003838B2">
            <w:pPr>
              <w:spacing w:before="20"/>
              <w:ind w:left="57" w:right="57"/>
              <w:jc w:val="left"/>
              <w:rPr>
                <w:b/>
                <w:bCs/>
                <w:sz w:val="18"/>
                <w:szCs w:val="18"/>
                <w:rtl/>
              </w:rPr>
            </w:pPr>
          </w:p>
        </w:tc>
        <w:tc>
          <w:tcPr>
            <w:tcW w:w="853" w:type="dxa"/>
            <w:vAlign w:val="bottom"/>
          </w:tcPr>
          <w:p w14:paraId="428407E5" w14:textId="77777777" w:rsidR="003838B2" w:rsidRPr="002A7A40" w:rsidRDefault="003838B2" w:rsidP="003838B2">
            <w:pPr>
              <w:spacing w:before="20"/>
              <w:ind w:left="57" w:right="57"/>
              <w:jc w:val="left"/>
              <w:rPr>
                <w:b/>
                <w:bCs/>
                <w:sz w:val="18"/>
                <w:szCs w:val="18"/>
                <w:rtl/>
              </w:rPr>
            </w:pPr>
          </w:p>
        </w:tc>
        <w:tc>
          <w:tcPr>
            <w:tcW w:w="854" w:type="dxa"/>
            <w:vAlign w:val="bottom"/>
          </w:tcPr>
          <w:p w14:paraId="5E2FB25C" w14:textId="77777777" w:rsidR="003838B2" w:rsidRPr="002A7A40" w:rsidRDefault="003838B2" w:rsidP="003838B2">
            <w:pPr>
              <w:spacing w:before="20"/>
              <w:ind w:left="57" w:right="57"/>
              <w:jc w:val="left"/>
              <w:rPr>
                <w:b/>
                <w:bCs/>
                <w:sz w:val="18"/>
                <w:szCs w:val="18"/>
                <w:rtl/>
              </w:rPr>
            </w:pPr>
          </w:p>
        </w:tc>
        <w:tc>
          <w:tcPr>
            <w:tcW w:w="831" w:type="dxa"/>
            <w:vAlign w:val="bottom"/>
          </w:tcPr>
          <w:p w14:paraId="66DA48EA" w14:textId="77777777" w:rsidR="003838B2" w:rsidRPr="002A7A40" w:rsidRDefault="003838B2" w:rsidP="003838B2">
            <w:pPr>
              <w:spacing w:before="20"/>
              <w:ind w:left="57" w:right="57"/>
              <w:jc w:val="left"/>
              <w:rPr>
                <w:b/>
                <w:bCs/>
                <w:sz w:val="18"/>
                <w:szCs w:val="18"/>
                <w:rtl/>
              </w:rPr>
            </w:pPr>
          </w:p>
        </w:tc>
        <w:tc>
          <w:tcPr>
            <w:tcW w:w="1192" w:type="dxa"/>
            <w:gridSpan w:val="2"/>
            <w:vAlign w:val="bottom"/>
          </w:tcPr>
          <w:p w14:paraId="5F2C1C83" w14:textId="77777777" w:rsidR="003838B2" w:rsidRPr="002A7A40" w:rsidRDefault="003838B2" w:rsidP="003838B2">
            <w:pPr>
              <w:spacing w:before="20"/>
              <w:ind w:left="57" w:right="57"/>
              <w:jc w:val="left"/>
              <w:rPr>
                <w:b/>
                <w:bCs/>
                <w:sz w:val="18"/>
                <w:szCs w:val="18"/>
                <w:rtl/>
              </w:rPr>
            </w:pPr>
          </w:p>
        </w:tc>
      </w:tr>
    </w:tbl>
    <w:p w14:paraId="6F4528A9" w14:textId="6306FC30" w:rsidR="003838B2" w:rsidRDefault="003838B2">
      <w:pPr>
        <w:rPr>
          <w:rtl/>
        </w:rPr>
      </w:pPr>
    </w:p>
    <w:p w14:paraId="1E059F4C" w14:textId="30A848EE" w:rsidR="003838B2" w:rsidRDefault="003838B2">
      <w:pPr>
        <w:rPr>
          <w:rtl/>
        </w:rPr>
      </w:pPr>
    </w:p>
    <w:p w14:paraId="4302966C" w14:textId="0B200F3B" w:rsidR="003838B2" w:rsidRDefault="003838B2">
      <w:pPr>
        <w:rPr>
          <w:rtl/>
        </w:rPr>
      </w:pPr>
    </w:p>
    <w:p w14:paraId="68698B17" w14:textId="47943044" w:rsidR="003838B2" w:rsidRDefault="003838B2">
      <w:pPr>
        <w:rPr>
          <w:rtl/>
        </w:rPr>
      </w:pPr>
    </w:p>
    <w:p w14:paraId="1B0C803D" w14:textId="44AE8046" w:rsidR="003838B2" w:rsidRDefault="003838B2">
      <w:pPr>
        <w:rPr>
          <w:rtl/>
        </w:rPr>
      </w:pPr>
    </w:p>
    <w:p w14:paraId="757BD3D2" w14:textId="77777777" w:rsidR="003838B2" w:rsidRDefault="003838B2"/>
    <w:p w14:paraId="36DB7428" w14:textId="0417CD1D" w:rsidR="003838B2" w:rsidRDefault="003838B2">
      <w:pPr>
        <w:bidi w:val="0"/>
        <w:jc w:val="left"/>
      </w:pPr>
      <w:r>
        <w:br w:type="page"/>
      </w:r>
    </w:p>
    <w:p w14:paraId="56A2B578" w14:textId="54CA8B14" w:rsidR="00A0684C" w:rsidRDefault="00A0684C" w:rsidP="00A82C7F">
      <w:pPr>
        <w:pStyle w:val="5"/>
        <w:ind w:firstLine="993"/>
      </w:pPr>
      <w:bookmarkStart w:id="39" w:name="_Toc160529232"/>
      <w:r w:rsidRPr="00CF2A74">
        <w:rPr>
          <w:rtl/>
        </w:rPr>
        <w:lastRenderedPageBreak/>
        <w:t xml:space="preserve">ביאור </w:t>
      </w:r>
      <w:r>
        <w:rPr>
          <w:rFonts w:hint="cs"/>
          <w:rtl/>
        </w:rPr>
        <w:t>1</w:t>
      </w:r>
      <w:r w:rsidR="005B7C3D">
        <w:rPr>
          <w:rFonts w:hint="cs"/>
          <w:rtl/>
        </w:rPr>
        <w:t>2</w:t>
      </w:r>
      <w:r w:rsidR="0098104B">
        <w:rPr>
          <w:rtl/>
        </w:rPr>
        <w:t xml:space="preserve"> - </w:t>
      </w:r>
      <w:r>
        <w:rPr>
          <w:rFonts w:hint="cs"/>
          <w:rtl/>
        </w:rPr>
        <w:t xml:space="preserve">מידע נוסף על </w:t>
      </w:r>
      <w:r w:rsidRPr="00CF2A74">
        <w:rPr>
          <w:rtl/>
        </w:rPr>
        <w:t>סיכון אשראי, אשראי לציבור והפרשה להפסדי אשראי</w:t>
      </w:r>
      <w:r>
        <w:rPr>
          <w:rFonts w:hint="cs"/>
          <w:rtl/>
        </w:rPr>
        <w:t xml:space="preserve"> </w:t>
      </w:r>
      <w:r w:rsidR="00D0458C" w:rsidRPr="009E7447">
        <w:rPr>
          <w:vertAlign w:val="superscript"/>
          <w:rtl/>
        </w:rPr>
        <w:footnoteReference w:id="98"/>
      </w:r>
      <w:bookmarkEnd w:id="39"/>
    </w:p>
    <w:tbl>
      <w:tblPr>
        <w:bidiVisual/>
        <w:tblW w:w="5000" w:type="pct"/>
        <w:tblLayout w:type="fixed"/>
        <w:tblLook w:val="04A0" w:firstRow="1" w:lastRow="0" w:firstColumn="1" w:lastColumn="0" w:noHBand="0" w:noVBand="1"/>
      </w:tblPr>
      <w:tblGrid>
        <w:gridCol w:w="993"/>
        <w:gridCol w:w="9214"/>
      </w:tblGrid>
      <w:tr w:rsidR="00783A46" w:rsidRPr="00543C25" w14:paraId="520CD22B" w14:textId="77777777" w:rsidTr="00A82C7F">
        <w:trPr>
          <w:trHeight w:val="259"/>
        </w:trPr>
        <w:tc>
          <w:tcPr>
            <w:tcW w:w="993" w:type="dxa"/>
          </w:tcPr>
          <w:p w14:paraId="23E83937" w14:textId="77777777" w:rsidR="0050425F" w:rsidRDefault="000A4979" w:rsidP="0050425F">
            <w:pPr>
              <w:pStyle w:val="-fa"/>
              <w:spacing w:before="0"/>
              <w:ind w:right="-142"/>
              <w:rPr>
                <w:spacing w:val="0"/>
                <w:rtl/>
              </w:rPr>
            </w:pPr>
            <w:r w:rsidRPr="000A4979">
              <w:rPr>
                <w:rFonts w:hint="eastAsia"/>
                <w:spacing w:val="0"/>
                <w:rtl/>
              </w:rPr>
              <w:t>מתכונת</w:t>
            </w:r>
            <w:r w:rsidRPr="000A4979">
              <w:rPr>
                <w:spacing w:val="0"/>
                <w:rtl/>
              </w:rPr>
              <w:t xml:space="preserve"> ביאור</w:t>
            </w:r>
          </w:p>
          <w:p w14:paraId="333330BA" w14:textId="55CFDC07" w:rsidR="00F32A2A" w:rsidRPr="00336040" w:rsidRDefault="000A4979" w:rsidP="00A82C7F">
            <w:pPr>
              <w:pStyle w:val="-fa"/>
              <w:spacing w:before="0"/>
              <w:ind w:right="-142"/>
              <w:rPr>
                <w:spacing w:val="0"/>
                <w:rtl/>
              </w:rPr>
            </w:pPr>
            <w:r w:rsidRPr="000A4979">
              <w:rPr>
                <w:spacing w:val="0"/>
                <w:rtl/>
              </w:rPr>
              <w:t xml:space="preserve"> עמ'</w:t>
            </w:r>
            <w:r w:rsidRPr="000A4979">
              <w:rPr>
                <w:rFonts w:hint="cs"/>
                <w:spacing w:val="0"/>
                <w:rtl/>
              </w:rPr>
              <w:t xml:space="preserve"> 663-45</w:t>
            </w:r>
          </w:p>
        </w:tc>
        <w:tc>
          <w:tcPr>
            <w:tcW w:w="9214" w:type="dxa"/>
          </w:tcPr>
          <w:p w14:paraId="4DE129C9" w14:textId="4CB537D6" w:rsidR="00F32A2A" w:rsidRDefault="000A4979" w:rsidP="000A4979">
            <w:pPr>
              <w:pStyle w:val="-8"/>
              <w:spacing w:before="60"/>
              <w:rPr>
                <w:b w:val="0"/>
                <w:bCs w:val="0"/>
                <w:sz w:val="20"/>
                <w:szCs w:val="20"/>
                <w:rtl/>
              </w:rPr>
            </w:pPr>
            <w:r>
              <w:rPr>
                <w:rFonts w:hint="cs"/>
                <w:sz w:val="20"/>
                <w:szCs w:val="20"/>
                <w:rtl/>
              </w:rPr>
              <w:t xml:space="preserve">א. </w:t>
            </w:r>
            <w:r w:rsidR="00B44059" w:rsidRPr="00B44059">
              <w:rPr>
                <w:rFonts w:hint="eastAsia"/>
                <w:sz w:val="20"/>
                <w:szCs w:val="20"/>
                <w:rtl/>
              </w:rPr>
              <w:t>תנועה</w:t>
            </w:r>
            <w:r w:rsidR="00B44059" w:rsidRPr="00B44059">
              <w:rPr>
                <w:sz w:val="20"/>
                <w:szCs w:val="20"/>
                <w:rtl/>
              </w:rPr>
              <w:t xml:space="preserve"> </w:t>
            </w:r>
            <w:r w:rsidR="00B44059" w:rsidRPr="00B44059">
              <w:rPr>
                <w:rFonts w:hint="eastAsia"/>
                <w:sz w:val="20"/>
                <w:szCs w:val="20"/>
                <w:rtl/>
              </w:rPr>
              <w:t>ביתרת</w:t>
            </w:r>
            <w:r w:rsidR="00B44059" w:rsidRPr="00B44059">
              <w:rPr>
                <w:sz w:val="20"/>
                <w:szCs w:val="20"/>
                <w:rtl/>
              </w:rPr>
              <w:t xml:space="preserve"> </w:t>
            </w:r>
            <w:r w:rsidR="00B44059" w:rsidRPr="00B44059">
              <w:rPr>
                <w:rFonts w:hint="eastAsia"/>
                <w:sz w:val="20"/>
                <w:szCs w:val="20"/>
                <w:rtl/>
              </w:rPr>
              <w:t>ההפרשה</w:t>
            </w:r>
            <w:r w:rsidR="00B44059" w:rsidRPr="00B44059">
              <w:rPr>
                <w:sz w:val="20"/>
                <w:szCs w:val="20"/>
                <w:rtl/>
              </w:rPr>
              <w:t xml:space="preserve"> </w:t>
            </w:r>
            <w:r w:rsidR="00B44059" w:rsidRPr="00B44059">
              <w:rPr>
                <w:rFonts w:hint="eastAsia"/>
                <w:sz w:val="20"/>
                <w:szCs w:val="20"/>
                <w:rtl/>
              </w:rPr>
              <w:t>להפסדי</w:t>
            </w:r>
            <w:r w:rsidR="00B44059" w:rsidRPr="00B44059">
              <w:rPr>
                <w:sz w:val="20"/>
                <w:szCs w:val="20"/>
                <w:rtl/>
              </w:rPr>
              <w:t xml:space="preserve"> </w:t>
            </w:r>
            <w:r w:rsidR="00B44059" w:rsidRPr="00B44059">
              <w:rPr>
                <w:rFonts w:hint="eastAsia"/>
                <w:sz w:val="20"/>
                <w:szCs w:val="20"/>
                <w:rtl/>
              </w:rPr>
              <w:t>אשראי</w:t>
            </w:r>
            <w:r w:rsidR="00B44059" w:rsidRPr="00B44059">
              <w:rPr>
                <w:sz w:val="20"/>
                <w:szCs w:val="20"/>
                <w:rtl/>
              </w:rPr>
              <w:t>:</w:t>
            </w:r>
            <w:r w:rsidR="00D0458C" w:rsidRPr="009E7447">
              <w:rPr>
                <w:rFonts w:hint="cs"/>
                <w:vertAlign w:val="superscript"/>
                <w:rtl/>
              </w:rPr>
              <w:t xml:space="preserve"> [</w:t>
            </w:r>
            <w:r w:rsidR="00D0458C" w:rsidRPr="009E7447">
              <w:rPr>
                <w:vertAlign w:val="superscript"/>
                <w:rtl/>
              </w:rPr>
              <w:footnoteReference w:id="99"/>
            </w:r>
            <w:r w:rsidR="00D0458C" w:rsidRPr="009E7447">
              <w:rPr>
                <w:rFonts w:hint="cs"/>
                <w:vertAlign w:val="superscript"/>
                <w:rtl/>
              </w:rPr>
              <w:t>]</w:t>
            </w:r>
          </w:p>
        </w:tc>
      </w:tr>
    </w:tbl>
    <w:p w14:paraId="50E7A6C5" w14:textId="77777777" w:rsidR="00E16871" w:rsidRDefault="00E16871" w:rsidP="005268F4">
      <w:pPr>
        <w:bidi w:val="0"/>
        <w:spacing w:line="60" w:lineRule="exact"/>
        <w:rPr>
          <w:rtl/>
        </w:rPr>
      </w:pPr>
    </w:p>
    <w:tbl>
      <w:tblPr>
        <w:bidiVisual/>
        <w:tblW w:w="4839" w:type="pct"/>
        <w:tblInd w:w="490" w:type="dxa"/>
        <w:tblLayout w:type="fixed"/>
        <w:tblLook w:val="01E0" w:firstRow="1" w:lastRow="1" w:firstColumn="1" w:lastColumn="1" w:noHBand="0" w:noVBand="0"/>
      </w:tblPr>
      <w:tblGrid>
        <w:gridCol w:w="659"/>
        <w:gridCol w:w="4465"/>
        <w:gridCol w:w="641"/>
        <w:gridCol w:w="709"/>
        <w:gridCol w:w="567"/>
        <w:gridCol w:w="641"/>
        <w:gridCol w:w="1345"/>
        <w:gridCol w:w="851"/>
      </w:tblGrid>
      <w:tr w:rsidR="00A82C7F" w:rsidRPr="00543C25" w14:paraId="66AA461E" w14:textId="77777777" w:rsidTr="00A82C7F">
        <w:trPr>
          <w:trHeight w:val="259"/>
        </w:trPr>
        <w:tc>
          <w:tcPr>
            <w:tcW w:w="659" w:type="dxa"/>
          </w:tcPr>
          <w:p w14:paraId="6E8E3EF8" w14:textId="77777777" w:rsidR="00A82C7F" w:rsidRPr="00543C25" w:rsidRDefault="00A82C7F" w:rsidP="00396C38">
            <w:pPr>
              <w:pStyle w:val="-7"/>
              <w:spacing w:before="20" w:line="240" w:lineRule="auto"/>
              <w:rPr>
                <w:rtl/>
              </w:rPr>
            </w:pPr>
          </w:p>
        </w:tc>
        <w:tc>
          <w:tcPr>
            <w:tcW w:w="4465" w:type="dxa"/>
            <w:vAlign w:val="bottom"/>
          </w:tcPr>
          <w:p w14:paraId="0169CC4A" w14:textId="77777777" w:rsidR="00A82C7F" w:rsidRPr="00D439C5" w:rsidRDefault="00A82C7F" w:rsidP="00396C38">
            <w:pPr>
              <w:pStyle w:val="-0"/>
              <w:rPr>
                <w:rFonts w:asciiTheme="minorBidi" w:hAnsiTheme="minorBidi" w:cstheme="minorBidi"/>
                <w:sz w:val="19"/>
                <w:szCs w:val="19"/>
                <w:rtl/>
              </w:rPr>
            </w:pPr>
          </w:p>
        </w:tc>
        <w:tc>
          <w:tcPr>
            <w:tcW w:w="4754" w:type="dxa"/>
            <w:gridSpan w:val="6"/>
          </w:tcPr>
          <w:p w14:paraId="52CEE815" w14:textId="77777777" w:rsidR="00A82C7F" w:rsidRPr="00D439C5" w:rsidRDefault="00A82C7F" w:rsidP="00396C38">
            <w:pPr>
              <w:pStyle w:val="-4"/>
              <w:pBdr>
                <w:bottom w:val="single" w:sz="4" w:space="1" w:color="auto"/>
              </w:pBdr>
              <w:rPr>
                <w:rFonts w:asciiTheme="minorBidi" w:hAnsiTheme="minorBidi" w:cstheme="minorBidi"/>
                <w:sz w:val="19"/>
                <w:szCs w:val="19"/>
                <w:rtl/>
              </w:rPr>
            </w:pPr>
            <w:r w:rsidRPr="00D439C5">
              <w:rPr>
                <w:rFonts w:asciiTheme="minorBidi" w:hAnsiTheme="minorBidi" w:cstheme="minorBidi"/>
                <w:sz w:val="19"/>
                <w:szCs w:val="19"/>
                <w:rtl/>
              </w:rPr>
              <w:t>הפרשה להפסדי אשראי</w:t>
            </w:r>
          </w:p>
        </w:tc>
      </w:tr>
      <w:tr w:rsidR="00A82C7F" w:rsidRPr="00543C25" w14:paraId="31FD27D8" w14:textId="77777777" w:rsidTr="00A82C7F">
        <w:trPr>
          <w:trHeight w:val="259"/>
        </w:trPr>
        <w:tc>
          <w:tcPr>
            <w:tcW w:w="659" w:type="dxa"/>
          </w:tcPr>
          <w:p w14:paraId="2D50E60F" w14:textId="77777777" w:rsidR="00A82C7F" w:rsidRPr="00543C25" w:rsidRDefault="00A82C7F" w:rsidP="00396C38">
            <w:pPr>
              <w:pStyle w:val="-7"/>
              <w:spacing w:line="240" w:lineRule="auto"/>
              <w:rPr>
                <w:rtl/>
              </w:rPr>
            </w:pPr>
          </w:p>
        </w:tc>
        <w:tc>
          <w:tcPr>
            <w:tcW w:w="4465" w:type="dxa"/>
            <w:vAlign w:val="bottom"/>
          </w:tcPr>
          <w:p w14:paraId="13F60692" w14:textId="77777777" w:rsidR="00A82C7F" w:rsidRPr="00D439C5" w:rsidRDefault="00A82C7F" w:rsidP="00396C38">
            <w:pPr>
              <w:pStyle w:val="-0"/>
              <w:rPr>
                <w:rFonts w:asciiTheme="minorBidi" w:hAnsiTheme="minorBidi" w:cstheme="minorBidi"/>
                <w:sz w:val="19"/>
                <w:szCs w:val="19"/>
                <w:rtl/>
              </w:rPr>
            </w:pPr>
          </w:p>
        </w:tc>
        <w:tc>
          <w:tcPr>
            <w:tcW w:w="2558" w:type="dxa"/>
            <w:gridSpan w:val="4"/>
          </w:tcPr>
          <w:p w14:paraId="6066BA0C" w14:textId="77777777" w:rsidR="00A82C7F" w:rsidRPr="00B62447" w:rsidRDefault="00A82C7F" w:rsidP="00396C38">
            <w:pPr>
              <w:pStyle w:val="-4"/>
              <w:spacing w:line="240" w:lineRule="auto"/>
              <w:rPr>
                <w:rFonts w:asciiTheme="minorBidi" w:hAnsiTheme="minorBidi" w:cstheme="minorBidi"/>
                <w:sz w:val="16"/>
                <w:szCs w:val="16"/>
                <w:rtl/>
              </w:rPr>
            </w:pPr>
            <w:r w:rsidRPr="00B62447">
              <w:rPr>
                <w:rFonts w:asciiTheme="minorBidi" w:hAnsiTheme="minorBidi" w:cstheme="minorBidi"/>
                <w:sz w:val="16"/>
                <w:szCs w:val="16"/>
                <w:rtl/>
              </w:rPr>
              <w:t>אשראי לציבור</w:t>
            </w:r>
          </w:p>
        </w:tc>
        <w:tc>
          <w:tcPr>
            <w:tcW w:w="1345" w:type="dxa"/>
            <w:vMerge w:val="restart"/>
            <w:vAlign w:val="bottom"/>
          </w:tcPr>
          <w:p w14:paraId="5FFC423D" w14:textId="1264EF1A" w:rsidR="00A82C7F" w:rsidRPr="00B62447" w:rsidRDefault="00A82C7F" w:rsidP="00396C38">
            <w:pPr>
              <w:pStyle w:val="-4"/>
              <w:spacing w:line="240" w:lineRule="auto"/>
              <w:rPr>
                <w:rFonts w:asciiTheme="minorBidi" w:hAnsiTheme="minorBidi" w:cstheme="minorBidi"/>
                <w:sz w:val="16"/>
                <w:szCs w:val="16"/>
                <w:rtl/>
              </w:rPr>
            </w:pPr>
            <w:r w:rsidRPr="00B62447">
              <w:rPr>
                <w:rFonts w:hint="eastAsia"/>
                <w:sz w:val="16"/>
                <w:szCs w:val="16"/>
                <w:rtl/>
              </w:rPr>
              <w:t>בנקים</w:t>
            </w:r>
            <w:r w:rsidRPr="00B62447">
              <w:rPr>
                <w:rFonts w:hint="cs"/>
                <w:sz w:val="16"/>
                <w:szCs w:val="16"/>
                <w:rtl/>
              </w:rPr>
              <w:t xml:space="preserve">, </w:t>
            </w:r>
            <w:r w:rsidRPr="00B62447">
              <w:rPr>
                <w:rFonts w:hint="eastAsia"/>
                <w:sz w:val="16"/>
                <w:szCs w:val="16"/>
                <w:rtl/>
              </w:rPr>
              <w:t>ממשלות</w:t>
            </w:r>
            <w:r w:rsidRPr="00B62447">
              <w:rPr>
                <w:rFonts w:hint="cs"/>
                <w:sz w:val="16"/>
                <w:szCs w:val="16"/>
                <w:rtl/>
              </w:rPr>
              <w:t>, ואגרות חוב</w:t>
            </w:r>
            <w:r w:rsidRPr="00B62447">
              <w:rPr>
                <w:rFonts w:asciiTheme="minorBidi" w:hAnsiTheme="minorBidi" w:cstheme="minorBidi" w:hint="cs"/>
                <w:sz w:val="16"/>
                <w:szCs w:val="16"/>
                <w:rtl/>
              </w:rPr>
              <w:t xml:space="preserve"> </w:t>
            </w:r>
          </w:p>
        </w:tc>
        <w:tc>
          <w:tcPr>
            <w:tcW w:w="851" w:type="dxa"/>
            <w:vMerge w:val="restart"/>
            <w:vAlign w:val="bottom"/>
          </w:tcPr>
          <w:p w14:paraId="6B85FCDE" w14:textId="77777777" w:rsidR="00A82C7F" w:rsidRPr="00B62447" w:rsidRDefault="00A82C7F" w:rsidP="00396C38">
            <w:pPr>
              <w:pStyle w:val="-4"/>
              <w:pBdr>
                <w:bottom w:val="none" w:sz="0" w:space="0" w:color="auto"/>
              </w:pBdr>
              <w:rPr>
                <w:rFonts w:asciiTheme="minorBidi" w:hAnsiTheme="minorBidi" w:cstheme="minorBidi"/>
                <w:sz w:val="16"/>
                <w:szCs w:val="16"/>
                <w:rtl/>
              </w:rPr>
            </w:pPr>
            <w:r w:rsidRPr="00B62447">
              <w:rPr>
                <w:rFonts w:asciiTheme="minorBidi" w:hAnsiTheme="minorBidi" w:cstheme="minorBidi"/>
                <w:sz w:val="16"/>
                <w:szCs w:val="16"/>
                <w:rtl/>
              </w:rPr>
              <w:t>סך</w:t>
            </w:r>
          </w:p>
          <w:p w14:paraId="0E42C145" w14:textId="77777777" w:rsidR="00A82C7F" w:rsidRPr="00B62447" w:rsidRDefault="00A82C7F" w:rsidP="00396C38">
            <w:pPr>
              <w:pStyle w:val="-4"/>
              <w:spacing w:line="240" w:lineRule="auto"/>
              <w:rPr>
                <w:rFonts w:asciiTheme="minorBidi" w:hAnsiTheme="minorBidi" w:cstheme="minorBidi"/>
                <w:sz w:val="16"/>
                <w:szCs w:val="16"/>
                <w:rtl/>
              </w:rPr>
            </w:pPr>
            <w:r w:rsidRPr="00B62447">
              <w:rPr>
                <w:rFonts w:asciiTheme="minorBidi" w:hAnsiTheme="minorBidi" w:cstheme="minorBidi"/>
                <w:sz w:val="16"/>
                <w:szCs w:val="16"/>
                <w:rtl/>
              </w:rPr>
              <w:t>הכל</w:t>
            </w:r>
          </w:p>
        </w:tc>
      </w:tr>
      <w:tr w:rsidR="00A82C7F" w:rsidRPr="00543C25" w14:paraId="1E56D806" w14:textId="77777777" w:rsidTr="00A82C7F">
        <w:trPr>
          <w:trHeight w:val="259"/>
        </w:trPr>
        <w:tc>
          <w:tcPr>
            <w:tcW w:w="659" w:type="dxa"/>
          </w:tcPr>
          <w:p w14:paraId="57EE50A6" w14:textId="77777777" w:rsidR="00A82C7F" w:rsidRPr="00543C25" w:rsidRDefault="00A82C7F" w:rsidP="00396C38">
            <w:pPr>
              <w:pStyle w:val="-7"/>
              <w:spacing w:line="240" w:lineRule="auto"/>
              <w:rPr>
                <w:rtl/>
              </w:rPr>
            </w:pPr>
          </w:p>
        </w:tc>
        <w:tc>
          <w:tcPr>
            <w:tcW w:w="4465" w:type="dxa"/>
            <w:vAlign w:val="bottom"/>
          </w:tcPr>
          <w:p w14:paraId="3FC5DA20" w14:textId="77777777" w:rsidR="00A82C7F" w:rsidRPr="00D439C5" w:rsidRDefault="00A82C7F" w:rsidP="00396C38">
            <w:pPr>
              <w:pStyle w:val="-0"/>
              <w:rPr>
                <w:rFonts w:asciiTheme="minorBidi" w:hAnsiTheme="minorBidi" w:cstheme="minorBidi"/>
                <w:sz w:val="19"/>
                <w:szCs w:val="19"/>
                <w:rtl/>
              </w:rPr>
            </w:pPr>
          </w:p>
        </w:tc>
        <w:tc>
          <w:tcPr>
            <w:tcW w:w="641" w:type="dxa"/>
            <w:vAlign w:val="bottom"/>
          </w:tcPr>
          <w:p w14:paraId="244DE1A8" w14:textId="77777777" w:rsidR="00A82C7F" w:rsidRPr="00B62447" w:rsidRDefault="00A82C7F" w:rsidP="00396C38">
            <w:pPr>
              <w:pStyle w:val="-7"/>
              <w:pBdr>
                <w:bottom w:val="single" w:sz="4" w:space="1" w:color="auto"/>
              </w:pBdr>
              <w:jc w:val="center"/>
              <w:rPr>
                <w:rFonts w:asciiTheme="minorBidi" w:hAnsiTheme="minorBidi" w:cstheme="minorBidi"/>
                <w:b/>
                <w:bCs/>
                <w:sz w:val="16"/>
                <w:szCs w:val="16"/>
                <w:rtl/>
              </w:rPr>
            </w:pPr>
            <w:r w:rsidRPr="00B62447">
              <w:rPr>
                <w:rFonts w:asciiTheme="minorBidi" w:hAnsiTheme="minorBidi" w:cstheme="minorBidi"/>
                <w:b/>
                <w:bCs/>
                <w:sz w:val="16"/>
                <w:szCs w:val="16"/>
                <w:rtl/>
              </w:rPr>
              <w:t>מסחרי</w:t>
            </w:r>
          </w:p>
        </w:tc>
        <w:tc>
          <w:tcPr>
            <w:tcW w:w="709" w:type="dxa"/>
            <w:vAlign w:val="bottom"/>
          </w:tcPr>
          <w:p w14:paraId="5AD6B050" w14:textId="77777777" w:rsidR="00A82C7F" w:rsidRPr="00B62447" w:rsidRDefault="00A82C7F" w:rsidP="00396C38">
            <w:pPr>
              <w:pStyle w:val="-7"/>
              <w:pBdr>
                <w:bottom w:val="single" w:sz="4" w:space="1" w:color="auto"/>
              </w:pBdr>
              <w:jc w:val="center"/>
              <w:rPr>
                <w:rFonts w:asciiTheme="minorBidi" w:hAnsiTheme="minorBidi" w:cstheme="minorBidi"/>
                <w:b/>
                <w:bCs/>
                <w:sz w:val="16"/>
                <w:szCs w:val="16"/>
                <w:rtl/>
              </w:rPr>
            </w:pPr>
            <w:r w:rsidRPr="00B62447">
              <w:rPr>
                <w:rFonts w:asciiTheme="minorBidi" w:hAnsiTheme="minorBidi" w:cstheme="minorBidi"/>
                <w:b/>
                <w:bCs/>
                <w:sz w:val="16"/>
                <w:szCs w:val="16"/>
                <w:rtl/>
              </w:rPr>
              <w:t>לדיור</w:t>
            </w:r>
          </w:p>
        </w:tc>
        <w:tc>
          <w:tcPr>
            <w:tcW w:w="567" w:type="dxa"/>
            <w:vAlign w:val="bottom"/>
          </w:tcPr>
          <w:p w14:paraId="7936D56F" w14:textId="77777777" w:rsidR="00A82C7F" w:rsidRPr="00B62447" w:rsidRDefault="00A82C7F" w:rsidP="00396C38">
            <w:pPr>
              <w:pStyle w:val="-4"/>
              <w:spacing w:line="240" w:lineRule="auto"/>
              <w:ind w:left="-57" w:right="-57"/>
              <w:rPr>
                <w:rFonts w:asciiTheme="minorBidi" w:hAnsiTheme="minorBidi" w:cstheme="minorBidi"/>
                <w:sz w:val="16"/>
                <w:szCs w:val="16"/>
                <w:rtl/>
              </w:rPr>
            </w:pPr>
            <w:r w:rsidRPr="00B62447">
              <w:rPr>
                <w:rFonts w:asciiTheme="minorBidi" w:hAnsiTheme="minorBidi" w:cstheme="minorBidi"/>
                <w:sz w:val="16"/>
                <w:szCs w:val="16"/>
                <w:rtl/>
              </w:rPr>
              <w:t>פרטי אחר</w:t>
            </w:r>
          </w:p>
        </w:tc>
        <w:tc>
          <w:tcPr>
            <w:tcW w:w="641" w:type="dxa"/>
            <w:vAlign w:val="bottom"/>
          </w:tcPr>
          <w:p w14:paraId="47A70480" w14:textId="77777777" w:rsidR="00A82C7F" w:rsidRPr="00B62447" w:rsidRDefault="00A82C7F" w:rsidP="00396C38">
            <w:pPr>
              <w:pStyle w:val="-4"/>
              <w:spacing w:line="240" w:lineRule="auto"/>
              <w:rPr>
                <w:rFonts w:asciiTheme="minorBidi" w:hAnsiTheme="minorBidi" w:cstheme="minorBidi"/>
                <w:sz w:val="16"/>
                <w:szCs w:val="16"/>
                <w:rtl/>
              </w:rPr>
            </w:pPr>
            <w:r w:rsidRPr="00B62447">
              <w:rPr>
                <w:rFonts w:asciiTheme="minorBidi" w:hAnsiTheme="minorBidi" w:cstheme="minorBidi"/>
                <w:sz w:val="16"/>
                <w:szCs w:val="16"/>
                <w:rtl/>
              </w:rPr>
              <w:t>סך הכל</w:t>
            </w:r>
          </w:p>
        </w:tc>
        <w:tc>
          <w:tcPr>
            <w:tcW w:w="1345" w:type="dxa"/>
            <w:vMerge/>
            <w:vAlign w:val="bottom"/>
          </w:tcPr>
          <w:p w14:paraId="6D648208" w14:textId="77777777" w:rsidR="00A82C7F" w:rsidRPr="00B62447" w:rsidRDefault="00A82C7F" w:rsidP="00396C38">
            <w:pPr>
              <w:pStyle w:val="-4"/>
              <w:spacing w:line="240" w:lineRule="auto"/>
              <w:rPr>
                <w:rFonts w:asciiTheme="minorBidi" w:hAnsiTheme="minorBidi" w:cstheme="minorBidi"/>
                <w:sz w:val="16"/>
                <w:szCs w:val="16"/>
                <w:rtl/>
              </w:rPr>
            </w:pPr>
          </w:p>
        </w:tc>
        <w:tc>
          <w:tcPr>
            <w:tcW w:w="851" w:type="dxa"/>
            <w:vMerge/>
            <w:vAlign w:val="bottom"/>
          </w:tcPr>
          <w:p w14:paraId="43DD5D73" w14:textId="77777777" w:rsidR="00A82C7F" w:rsidRPr="00B62447" w:rsidRDefault="00A82C7F" w:rsidP="00396C38">
            <w:pPr>
              <w:pStyle w:val="-4"/>
              <w:spacing w:line="240" w:lineRule="auto"/>
              <w:rPr>
                <w:rFonts w:asciiTheme="minorBidi" w:hAnsiTheme="minorBidi" w:cstheme="minorBidi"/>
                <w:sz w:val="16"/>
                <w:szCs w:val="16"/>
                <w:rtl/>
              </w:rPr>
            </w:pPr>
          </w:p>
        </w:tc>
      </w:tr>
      <w:tr w:rsidR="00A82C7F" w:rsidRPr="00543C25" w14:paraId="69C0DB0B" w14:textId="77777777" w:rsidTr="00A82C7F">
        <w:trPr>
          <w:trHeight w:hRule="exact" w:val="66"/>
        </w:trPr>
        <w:tc>
          <w:tcPr>
            <w:tcW w:w="659" w:type="dxa"/>
          </w:tcPr>
          <w:p w14:paraId="04AA3074" w14:textId="77777777" w:rsidR="00A82C7F" w:rsidRPr="00543C25" w:rsidRDefault="00A82C7F" w:rsidP="00396C38">
            <w:pPr>
              <w:pStyle w:val="-7"/>
              <w:bidi w:val="0"/>
              <w:spacing w:line="60" w:lineRule="exact"/>
              <w:rPr>
                <w:rtl/>
              </w:rPr>
            </w:pPr>
          </w:p>
        </w:tc>
        <w:tc>
          <w:tcPr>
            <w:tcW w:w="4465" w:type="dxa"/>
            <w:vAlign w:val="bottom"/>
          </w:tcPr>
          <w:p w14:paraId="0DC972D9" w14:textId="77777777" w:rsidR="00A82C7F" w:rsidRPr="00D439C5" w:rsidRDefault="00A82C7F" w:rsidP="00396C38">
            <w:pPr>
              <w:pStyle w:val="-0"/>
              <w:bidi w:val="0"/>
              <w:spacing w:line="60" w:lineRule="exact"/>
              <w:jc w:val="both"/>
              <w:rPr>
                <w:rFonts w:asciiTheme="minorBidi" w:hAnsiTheme="minorBidi" w:cstheme="minorBidi"/>
                <w:sz w:val="19"/>
                <w:szCs w:val="19"/>
                <w:rtl/>
              </w:rPr>
            </w:pPr>
          </w:p>
        </w:tc>
        <w:tc>
          <w:tcPr>
            <w:tcW w:w="641" w:type="dxa"/>
          </w:tcPr>
          <w:p w14:paraId="04479739" w14:textId="77777777" w:rsidR="00A82C7F" w:rsidRPr="00D439C5" w:rsidRDefault="00A82C7F" w:rsidP="00396C38">
            <w:pPr>
              <w:pStyle w:val="-7"/>
              <w:bidi w:val="0"/>
              <w:spacing w:line="60" w:lineRule="exact"/>
              <w:rPr>
                <w:rFonts w:asciiTheme="minorBidi" w:hAnsiTheme="minorBidi" w:cstheme="minorBidi"/>
                <w:sz w:val="19"/>
                <w:szCs w:val="19"/>
                <w:rtl/>
              </w:rPr>
            </w:pPr>
          </w:p>
        </w:tc>
        <w:tc>
          <w:tcPr>
            <w:tcW w:w="709" w:type="dxa"/>
          </w:tcPr>
          <w:p w14:paraId="49811583" w14:textId="77777777" w:rsidR="00A82C7F" w:rsidRPr="00D439C5" w:rsidRDefault="00A82C7F" w:rsidP="00396C38">
            <w:pPr>
              <w:pStyle w:val="-7"/>
              <w:bidi w:val="0"/>
              <w:spacing w:line="60" w:lineRule="exact"/>
              <w:rPr>
                <w:rFonts w:asciiTheme="minorBidi" w:hAnsiTheme="minorBidi" w:cstheme="minorBidi"/>
                <w:sz w:val="19"/>
                <w:szCs w:val="19"/>
                <w:rtl/>
              </w:rPr>
            </w:pPr>
          </w:p>
        </w:tc>
        <w:tc>
          <w:tcPr>
            <w:tcW w:w="567" w:type="dxa"/>
            <w:vAlign w:val="bottom"/>
          </w:tcPr>
          <w:p w14:paraId="78231814" w14:textId="77777777" w:rsidR="00A82C7F" w:rsidRPr="00D439C5" w:rsidRDefault="00A82C7F" w:rsidP="00396C38">
            <w:pPr>
              <w:pStyle w:val="-7"/>
              <w:bidi w:val="0"/>
              <w:spacing w:line="60" w:lineRule="exact"/>
              <w:rPr>
                <w:rFonts w:asciiTheme="minorBidi" w:hAnsiTheme="minorBidi" w:cstheme="minorBidi"/>
                <w:sz w:val="19"/>
                <w:szCs w:val="19"/>
                <w:rtl/>
              </w:rPr>
            </w:pPr>
          </w:p>
        </w:tc>
        <w:tc>
          <w:tcPr>
            <w:tcW w:w="641" w:type="dxa"/>
            <w:vAlign w:val="bottom"/>
          </w:tcPr>
          <w:p w14:paraId="755FC121" w14:textId="77777777" w:rsidR="00A82C7F" w:rsidRPr="00D439C5" w:rsidRDefault="00A82C7F" w:rsidP="00396C38">
            <w:pPr>
              <w:pStyle w:val="-7"/>
              <w:bidi w:val="0"/>
              <w:spacing w:line="60" w:lineRule="exact"/>
              <w:rPr>
                <w:rFonts w:asciiTheme="minorBidi" w:hAnsiTheme="minorBidi" w:cstheme="minorBidi"/>
                <w:sz w:val="19"/>
                <w:szCs w:val="19"/>
                <w:rtl/>
              </w:rPr>
            </w:pPr>
          </w:p>
        </w:tc>
        <w:tc>
          <w:tcPr>
            <w:tcW w:w="1345" w:type="dxa"/>
            <w:vAlign w:val="bottom"/>
          </w:tcPr>
          <w:p w14:paraId="75811794" w14:textId="77777777" w:rsidR="00A82C7F" w:rsidRPr="00D439C5" w:rsidRDefault="00A82C7F" w:rsidP="00396C38">
            <w:pPr>
              <w:pStyle w:val="-7"/>
              <w:bidi w:val="0"/>
              <w:spacing w:line="60" w:lineRule="exact"/>
              <w:rPr>
                <w:rFonts w:asciiTheme="minorBidi" w:hAnsiTheme="minorBidi" w:cstheme="minorBidi"/>
                <w:sz w:val="19"/>
                <w:szCs w:val="19"/>
                <w:rtl/>
              </w:rPr>
            </w:pPr>
          </w:p>
        </w:tc>
        <w:tc>
          <w:tcPr>
            <w:tcW w:w="851" w:type="dxa"/>
            <w:vAlign w:val="bottom"/>
          </w:tcPr>
          <w:p w14:paraId="74728E0F" w14:textId="77777777" w:rsidR="00A82C7F" w:rsidRPr="00D439C5" w:rsidRDefault="00A82C7F" w:rsidP="00396C38">
            <w:pPr>
              <w:pStyle w:val="-7"/>
              <w:bidi w:val="0"/>
              <w:spacing w:line="60" w:lineRule="exact"/>
              <w:rPr>
                <w:rFonts w:asciiTheme="minorBidi" w:hAnsiTheme="minorBidi" w:cstheme="minorBidi"/>
                <w:sz w:val="19"/>
                <w:szCs w:val="19"/>
                <w:rtl/>
              </w:rPr>
            </w:pPr>
          </w:p>
        </w:tc>
      </w:tr>
      <w:tr w:rsidR="00A82C7F" w:rsidRPr="00543C25" w14:paraId="2DFD4640" w14:textId="77777777" w:rsidTr="00A82C7F">
        <w:trPr>
          <w:trHeight w:val="259"/>
        </w:trPr>
        <w:tc>
          <w:tcPr>
            <w:tcW w:w="659" w:type="dxa"/>
          </w:tcPr>
          <w:p w14:paraId="26A0301B" w14:textId="77777777" w:rsidR="00A82C7F" w:rsidRPr="00543C25" w:rsidRDefault="00A82C7F" w:rsidP="00396C38">
            <w:pPr>
              <w:pStyle w:val="-7"/>
              <w:spacing w:line="240" w:lineRule="auto"/>
              <w:rPr>
                <w:rtl/>
              </w:rPr>
            </w:pPr>
          </w:p>
        </w:tc>
        <w:tc>
          <w:tcPr>
            <w:tcW w:w="4465" w:type="dxa"/>
            <w:vAlign w:val="bottom"/>
          </w:tcPr>
          <w:p w14:paraId="563DD85A" w14:textId="63597AB0" w:rsidR="00A82C7F" w:rsidRPr="003838B2" w:rsidRDefault="00A82C7F" w:rsidP="00C509CA">
            <w:pPr>
              <w:pStyle w:val="-f"/>
              <w:rPr>
                <w:rFonts w:asciiTheme="minorBidi" w:hAnsiTheme="minorBidi" w:cstheme="minorBidi"/>
                <w:b w:val="0"/>
                <w:bCs w:val="0"/>
                <w:sz w:val="18"/>
                <w:szCs w:val="18"/>
                <w:rtl/>
              </w:rPr>
            </w:pPr>
            <w:r w:rsidRPr="003838B2">
              <w:rPr>
                <w:rFonts w:hint="cs"/>
                <w:sz w:val="18"/>
                <w:szCs w:val="18"/>
                <w:rtl/>
              </w:rPr>
              <w:t xml:space="preserve">לשלושה חודשים שהסתיימו ביום 30 ביוני </w:t>
            </w:r>
            <w:r w:rsidRPr="003838B2">
              <w:rPr>
                <w:sz w:val="18"/>
                <w:szCs w:val="18"/>
                <w:rtl/>
              </w:rPr>
              <w:fldChar w:fldCharType="begin"/>
            </w:r>
            <w:r w:rsidRPr="003838B2">
              <w:rPr>
                <w:sz w:val="18"/>
                <w:szCs w:val="18"/>
                <w:rtl/>
              </w:rPr>
              <w:instrText xml:space="preserve"> </w:instrText>
            </w:r>
            <w:r w:rsidRPr="003838B2">
              <w:rPr>
                <w:rFonts w:hint="cs"/>
                <w:sz w:val="18"/>
                <w:szCs w:val="18"/>
                <w:rtl/>
              </w:rPr>
              <w:instrText xml:space="preserve">= </w:instrText>
            </w:r>
            <w:r w:rsidRPr="003838B2">
              <w:rPr>
                <w:rFonts w:hint="cs"/>
                <w:sz w:val="18"/>
                <w:szCs w:val="18"/>
              </w:rPr>
              <w:instrText>CY \* MERGEFORMAT</w:instrText>
            </w:r>
            <w:r w:rsidRPr="003838B2">
              <w:rPr>
                <w:sz w:val="18"/>
                <w:szCs w:val="18"/>
                <w:rtl/>
              </w:rPr>
              <w:instrText xml:space="preserve"> </w:instrText>
            </w:r>
            <w:r w:rsidRPr="003838B2">
              <w:rPr>
                <w:sz w:val="18"/>
                <w:szCs w:val="18"/>
                <w:rtl/>
              </w:rPr>
              <w:fldChar w:fldCharType="separate"/>
            </w:r>
            <w:r>
              <w:rPr>
                <w:noProof/>
                <w:sz w:val="18"/>
                <w:szCs w:val="18"/>
                <w:rtl/>
              </w:rPr>
              <w:t>2024</w:t>
            </w:r>
            <w:r w:rsidRPr="003838B2">
              <w:rPr>
                <w:sz w:val="18"/>
                <w:szCs w:val="18"/>
                <w:rtl/>
              </w:rPr>
              <w:fldChar w:fldCharType="end"/>
            </w:r>
            <w:r w:rsidRPr="003838B2">
              <w:rPr>
                <w:sz w:val="18"/>
                <w:szCs w:val="18"/>
                <w:rtl/>
              </w:rPr>
              <w:br/>
            </w:r>
            <w:r w:rsidRPr="000B19AE">
              <w:rPr>
                <w:rFonts w:hint="cs"/>
                <w:b w:val="0"/>
                <w:bCs w:val="0"/>
                <w:sz w:val="18"/>
                <w:szCs w:val="18"/>
                <w:u w:val="none"/>
                <w:rtl/>
              </w:rPr>
              <w:t>(בלתי מבוקר)</w:t>
            </w:r>
          </w:p>
        </w:tc>
        <w:tc>
          <w:tcPr>
            <w:tcW w:w="641" w:type="dxa"/>
          </w:tcPr>
          <w:p w14:paraId="1DA1CFCF" w14:textId="77777777" w:rsidR="00A82C7F" w:rsidRPr="00D439C5" w:rsidRDefault="00A82C7F" w:rsidP="00396C38">
            <w:pPr>
              <w:pStyle w:val="-7"/>
              <w:rPr>
                <w:rFonts w:asciiTheme="minorBidi" w:hAnsiTheme="minorBidi" w:cstheme="minorBidi"/>
                <w:sz w:val="19"/>
                <w:szCs w:val="19"/>
                <w:rtl/>
              </w:rPr>
            </w:pPr>
          </w:p>
        </w:tc>
        <w:tc>
          <w:tcPr>
            <w:tcW w:w="709" w:type="dxa"/>
          </w:tcPr>
          <w:p w14:paraId="63AE0D3E" w14:textId="77777777" w:rsidR="00A82C7F" w:rsidRPr="00D439C5" w:rsidRDefault="00A82C7F" w:rsidP="00396C38">
            <w:pPr>
              <w:pStyle w:val="-7"/>
              <w:rPr>
                <w:rFonts w:asciiTheme="minorBidi" w:hAnsiTheme="minorBidi" w:cstheme="minorBidi"/>
                <w:sz w:val="19"/>
                <w:szCs w:val="19"/>
                <w:rtl/>
              </w:rPr>
            </w:pPr>
          </w:p>
        </w:tc>
        <w:tc>
          <w:tcPr>
            <w:tcW w:w="567" w:type="dxa"/>
          </w:tcPr>
          <w:p w14:paraId="273EE395" w14:textId="77777777" w:rsidR="00A82C7F" w:rsidRPr="00D439C5" w:rsidRDefault="00A82C7F" w:rsidP="00396C38">
            <w:pPr>
              <w:pStyle w:val="-7"/>
              <w:rPr>
                <w:rFonts w:asciiTheme="minorBidi" w:hAnsiTheme="minorBidi" w:cstheme="minorBidi"/>
                <w:sz w:val="19"/>
                <w:szCs w:val="19"/>
                <w:rtl/>
              </w:rPr>
            </w:pPr>
          </w:p>
        </w:tc>
        <w:tc>
          <w:tcPr>
            <w:tcW w:w="641" w:type="dxa"/>
          </w:tcPr>
          <w:p w14:paraId="32AD9FB9" w14:textId="77777777" w:rsidR="00A82C7F" w:rsidRPr="00D439C5" w:rsidRDefault="00A82C7F" w:rsidP="00396C38">
            <w:pPr>
              <w:pStyle w:val="-7"/>
              <w:rPr>
                <w:rFonts w:asciiTheme="minorBidi" w:hAnsiTheme="minorBidi" w:cstheme="minorBidi"/>
                <w:sz w:val="19"/>
                <w:szCs w:val="19"/>
                <w:rtl/>
              </w:rPr>
            </w:pPr>
          </w:p>
        </w:tc>
        <w:tc>
          <w:tcPr>
            <w:tcW w:w="1345" w:type="dxa"/>
          </w:tcPr>
          <w:p w14:paraId="49D558D1" w14:textId="77777777" w:rsidR="00A82C7F" w:rsidRPr="00D439C5" w:rsidRDefault="00A82C7F" w:rsidP="00396C38">
            <w:pPr>
              <w:pStyle w:val="-7"/>
              <w:rPr>
                <w:rFonts w:asciiTheme="minorBidi" w:hAnsiTheme="minorBidi" w:cstheme="minorBidi"/>
                <w:sz w:val="19"/>
                <w:szCs w:val="19"/>
                <w:rtl/>
              </w:rPr>
            </w:pPr>
          </w:p>
        </w:tc>
        <w:tc>
          <w:tcPr>
            <w:tcW w:w="851" w:type="dxa"/>
          </w:tcPr>
          <w:p w14:paraId="18BD3740" w14:textId="77777777" w:rsidR="00A82C7F" w:rsidRPr="00D439C5" w:rsidRDefault="00A82C7F" w:rsidP="00396C38">
            <w:pPr>
              <w:pStyle w:val="-7"/>
              <w:rPr>
                <w:rFonts w:asciiTheme="minorBidi" w:hAnsiTheme="minorBidi" w:cstheme="minorBidi"/>
                <w:b/>
                <w:bCs/>
                <w:sz w:val="19"/>
                <w:szCs w:val="19"/>
                <w:rtl/>
              </w:rPr>
            </w:pPr>
          </w:p>
        </w:tc>
      </w:tr>
      <w:tr w:rsidR="00A82C7F" w:rsidRPr="00543C25" w14:paraId="21C7382C" w14:textId="77777777" w:rsidTr="00A82C7F">
        <w:trPr>
          <w:trHeight w:val="259"/>
        </w:trPr>
        <w:tc>
          <w:tcPr>
            <w:tcW w:w="659" w:type="dxa"/>
          </w:tcPr>
          <w:p w14:paraId="1AD9C21C" w14:textId="77777777" w:rsidR="00A82C7F" w:rsidRPr="003B24D4" w:rsidRDefault="00A82C7F" w:rsidP="00A00A53">
            <w:pPr>
              <w:pStyle w:val="-fa"/>
              <w:ind w:right="-142"/>
              <w:rPr>
                <w:rtl/>
              </w:rPr>
            </w:pPr>
          </w:p>
        </w:tc>
        <w:tc>
          <w:tcPr>
            <w:tcW w:w="4465" w:type="dxa"/>
            <w:vAlign w:val="bottom"/>
          </w:tcPr>
          <w:p w14:paraId="0ACD65B8" w14:textId="657771D2" w:rsidR="00A82C7F" w:rsidRPr="003838B2" w:rsidRDefault="00A82C7F" w:rsidP="00A00A53">
            <w:pPr>
              <w:pStyle w:val="-b"/>
              <w:rPr>
                <w:rFonts w:asciiTheme="minorBidi" w:hAnsiTheme="minorBidi" w:cstheme="minorBidi"/>
                <w:b w:val="0"/>
                <w:bCs w:val="0"/>
                <w:sz w:val="18"/>
                <w:szCs w:val="18"/>
                <w:rtl/>
              </w:rPr>
            </w:pPr>
            <w:r w:rsidRPr="003838B2">
              <w:rPr>
                <w:rFonts w:hint="cs"/>
                <w:sz w:val="18"/>
                <w:szCs w:val="18"/>
                <w:rtl/>
              </w:rPr>
              <w:t xml:space="preserve">יתרת הפרשה להפסדי אשראי ליום 31 במרץ </w:t>
            </w:r>
            <w:r w:rsidRPr="003838B2">
              <w:rPr>
                <w:sz w:val="18"/>
                <w:szCs w:val="18"/>
                <w:rtl/>
              </w:rPr>
              <w:fldChar w:fldCharType="begin"/>
            </w:r>
            <w:r w:rsidRPr="003838B2">
              <w:rPr>
                <w:sz w:val="18"/>
                <w:szCs w:val="18"/>
                <w:rtl/>
              </w:rPr>
              <w:instrText xml:space="preserve"> </w:instrText>
            </w:r>
            <w:r w:rsidRPr="003838B2">
              <w:rPr>
                <w:rFonts w:hint="cs"/>
                <w:sz w:val="18"/>
                <w:szCs w:val="18"/>
                <w:rtl/>
              </w:rPr>
              <w:instrText xml:space="preserve">= </w:instrText>
            </w:r>
            <w:r w:rsidRPr="003838B2">
              <w:rPr>
                <w:rFonts w:hint="cs"/>
                <w:sz w:val="18"/>
                <w:szCs w:val="18"/>
              </w:rPr>
              <w:instrText>CY \* MERGEFORMAT</w:instrText>
            </w:r>
            <w:r w:rsidRPr="003838B2">
              <w:rPr>
                <w:sz w:val="18"/>
                <w:szCs w:val="18"/>
                <w:rtl/>
              </w:rPr>
              <w:instrText xml:space="preserve"> </w:instrText>
            </w:r>
            <w:r w:rsidRPr="003838B2">
              <w:rPr>
                <w:sz w:val="18"/>
                <w:szCs w:val="18"/>
                <w:rtl/>
              </w:rPr>
              <w:fldChar w:fldCharType="separate"/>
            </w:r>
            <w:r>
              <w:rPr>
                <w:noProof/>
                <w:sz w:val="18"/>
                <w:szCs w:val="18"/>
                <w:rtl/>
              </w:rPr>
              <w:t>2024</w:t>
            </w:r>
            <w:r w:rsidRPr="003838B2">
              <w:rPr>
                <w:sz w:val="18"/>
                <w:szCs w:val="18"/>
                <w:rtl/>
              </w:rPr>
              <w:fldChar w:fldCharType="end"/>
            </w:r>
          </w:p>
        </w:tc>
        <w:tc>
          <w:tcPr>
            <w:tcW w:w="641" w:type="dxa"/>
            <w:vAlign w:val="bottom"/>
          </w:tcPr>
          <w:p w14:paraId="04C40350" w14:textId="77777777" w:rsidR="00A82C7F" w:rsidRPr="002C0AFF" w:rsidRDefault="00A82C7F" w:rsidP="00A00A53">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709" w:type="dxa"/>
            <w:vAlign w:val="bottom"/>
          </w:tcPr>
          <w:p w14:paraId="6EBFC1C4" w14:textId="77777777" w:rsidR="00A82C7F" w:rsidRPr="002C0AFF" w:rsidRDefault="00A82C7F" w:rsidP="00A00A53">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567" w:type="dxa"/>
            <w:vAlign w:val="bottom"/>
          </w:tcPr>
          <w:p w14:paraId="4D7974C3" w14:textId="77777777" w:rsidR="00A82C7F" w:rsidRPr="002C0AFF" w:rsidRDefault="00A82C7F" w:rsidP="00A00A53">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641" w:type="dxa"/>
            <w:vAlign w:val="bottom"/>
          </w:tcPr>
          <w:p w14:paraId="478140B8" w14:textId="77777777" w:rsidR="00A82C7F" w:rsidRPr="002C0AFF" w:rsidRDefault="00A82C7F" w:rsidP="00A00A53">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1345" w:type="dxa"/>
            <w:vAlign w:val="bottom"/>
          </w:tcPr>
          <w:p w14:paraId="449CB18E" w14:textId="77777777" w:rsidR="00A82C7F" w:rsidRPr="002C0AFF" w:rsidRDefault="00A82C7F" w:rsidP="00A00A53">
            <w:pPr>
              <w:pStyle w:val="-3"/>
              <w:rPr>
                <w:rFonts w:asciiTheme="minorBidi" w:hAnsiTheme="minorBidi" w:cstheme="minorBidi"/>
                <w:b/>
                <w:bCs/>
                <w:sz w:val="18"/>
                <w:szCs w:val="18"/>
                <w:rtl/>
              </w:rPr>
            </w:pPr>
            <w:r w:rsidRPr="002C0AFF">
              <w:rPr>
                <w:rFonts w:asciiTheme="minorBidi" w:hAnsiTheme="minorBidi" w:cstheme="minorBidi" w:hint="cs"/>
                <w:b/>
                <w:bCs/>
                <w:sz w:val="18"/>
                <w:szCs w:val="18"/>
                <w:rtl/>
              </w:rPr>
              <w:t xml:space="preserve"> 0</w:t>
            </w:r>
          </w:p>
        </w:tc>
        <w:tc>
          <w:tcPr>
            <w:tcW w:w="851" w:type="dxa"/>
            <w:vAlign w:val="bottom"/>
          </w:tcPr>
          <w:p w14:paraId="4A545ED7" w14:textId="77777777" w:rsidR="00A82C7F" w:rsidRPr="002C0AFF" w:rsidRDefault="00A82C7F" w:rsidP="00A00A53">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r>
      <w:tr w:rsidR="00A82C7F" w:rsidRPr="00543C25" w14:paraId="7CBDFE1C" w14:textId="77777777" w:rsidTr="00A82C7F">
        <w:trPr>
          <w:trHeight w:val="259"/>
        </w:trPr>
        <w:tc>
          <w:tcPr>
            <w:tcW w:w="659" w:type="dxa"/>
          </w:tcPr>
          <w:p w14:paraId="72C2B032" w14:textId="77777777" w:rsidR="00A82C7F" w:rsidRPr="003B24D4" w:rsidRDefault="00A82C7F" w:rsidP="00A00A53">
            <w:pPr>
              <w:pStyle w:val="-fa"/>
              <w:ind w:right="-142"/>
              <w:rPr>
                <w:rtl/>
              </w:rPr>
            </w:pPr>
          </w:p>
        </w:tc>
        <w:tc>
          <w:tcPr>
            <w:tcW w:w="4465" w:type="dxa"/>
            <w:vAlign w:val="bottom"/>
          </w:tcPr>
          <w:p w14:paraId="212153F0" w14:textId="77777777" w:rsidR="00A82C7F" w:rsidRPr="003838B2" w:rsidRDefault="00A82C7F" w:rsidP="00A00A53">
            <w:pPr>
              <w:pStyle w:val="-0"/>
              <w:spacing w:line="240" w:lineRule="auto"/>
              <w:rPr>
                <w:rFonts w:asciiTheme="minorBidi" w:hAnsiTheme="minorBidi" w:cstheme="minorBidi"/>
                <w:sz w:val="18"/>
                <w:szCs w:val="18"/>
              </w:rPr>
            </w:pPr>
            <w:r w:rsidRPr="003838B2">
              <w:rPr>
                <w:rFonts w:asciiTheme="minorBidi" w:hAnsiTheme="minorBidi" w:cstheme="minorBidi"/>
                <w:sz w:val="18"/>
                <w:szCs w:val="18"/>
                <w:rtl/>
              </w:rPr>
              <w:t xml:space="preserve">הוצאות בגין הפסדי אשראי </w:t>
            </w:r>
          </w:p>
        </w:tc>
        <w:tc>
          <w:tcPr>
            <w:tcW w:w="641" w:type="dxa"/>
            <w:vAlign w:val="bottom"/>
          </w:tcPr>
          <w:p w14:paraId="169DDF61" w14:textId="77777777" w:rsidR="00A82C7F" w:rsidRPr="003838B2" w:rsidRDefault="00A82C7F" w:rsidP="00A00A53">
            <w:pPr>
              <w:pStyle w:val="-3"/>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709" w:type="dxa"/>
            <w:vAlign w:val="bottom"/>
          </w:tcPr>
          <w:p w14:paraId="418F40C3" w14:textId="77777777" w:rsidR="00A82C7F" w:rsidRPr="003838B2" w:rsidRDefault="00A82C7F" w:rsidP="00A00A53">
            <w:pPr>
              <w:pStyle w:val="-3"/>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567" w:type="dxa"/>
            <w:vAlign w:val="bottom"/>
          </w:tcPr>
          <w:p w14:paraId="2FB45F58" w14:textId="77777777" w:rsidR="00A82C7F" w:rsidRPr="003838B2" w:rsidRDefault="00A82C7F" w:rsidP="00A00A53">
            <w:pPr>
              <w:pStyle w:val="-3"/>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641" w:type="dxa"/>
            <w:vAlign w:val="bottom"/>
          </w:tcPr>
          <w:p w14:paraId="35BA7907" w14:textId="77777777" w:rsidR="00A82C7F" w:rsidRPr="003838B2" w:rsidRDefault="00A82C7F" w:rsidP="00A00A53">
            <w:pPr>
              <w:pStyle w:val="-3"/>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1345" w:type="dxa"/>
            <w:vAlign w:val="bottom"/>
          </w:tcPr>
          <w:p w14:paraId="4DC1D503" w14:textId="77777777" w:rsidR="00A82C7F" w:rsidRPr="003838B2" w:rsidRDefault="00A82C7F" w:rsidP="00A00A53">
            <w:pPr>
              <w:pStyle w:val="-3"/>
              <w:rPr>
                <w:rFonts w:asciiTheme="minorBidi" w:hAnsiTheme="minorBidi" w:cstheme="minorBidi"/>
                <w:b/>
                <w:bCs/>
                <w:sz w:val="18"/>
                <w:szCs w:val="18"/>
                <w:rtl/>
              </w:rPr>
            </w:pPr>
            <w:r w:rsidRPr="003838B2">
              <w:rPr>
                <w:rFonts w:asciiTheme="minorBidi" w:hAnsiTheme="minorBidi" w:cstheme="minorBidi" w:hint="cs"/>
                <w:b/>
                <w:bCs/>
                <w:sz w:val="18"/>
                <w:szCs w:val="18"/>
                <w:rtl/>
              </w:rPr>
              <w:t xml:space="preserve"> 0</w:t>
            </w:r>
          </w:p>
        </w:tc>
        <w:tc>
          <w:tcPr>
            <w:tcW w:w="851" w:type="dxa"/>
            <w:vAlign w:val="bottom"/>
          </w:tcPr>
          <w:p w14:paraId="2015BB45" w14:textId="77777777" w:rsidR="00A82C7F" w:rsidRPr="002C0AFF" w:rsidRDefault="00A82C7F" w:rsidP="00A00A53">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r>
      <w:tr w:rsidR="00A82C7F" w:rsidRPr="00543C25" w14:paraId="2E1B84CE" w14:textId="77777777" w:rsidTr="00A82C7F">
        <w:trPr>
          <w:trHeight w:val="259"/>
        </w:trPr>
        <w:tc>
          <w:tcPr>
            <w:tcW w:w="659" w:type="dxa"/>
          </w:tcPr>
          <w:p w14:paraId="1FCA7348" w14:textId="77777777" w:rsidR="00A82C7F" w:rsidRPr="003B24D4" w:rsidRDefault="00A82C7F" w:rsidP="00A00A53">
            <w:pPr>
              <w:pStyle w:val="-fa"/>
              <w:ind w:right="-142"/>
              <w:rPr>
                <w:rtl/>
              </w:rPr>
            </w:pPr>
          </w:p>
        </w:tc>
        <w:tc>
          <w:tcPr>
            <w:tcW w:w="4465" w:type="dxa"/>
            <w:vAlign w:val="bottom"/>
          </w:tcPr>
          <w:p w14:paraId="2B9AAF8E" w14:textId="77777777" w:rsidR="00A82C7F" w:rsidRPr="003838B2" w:rsidRDefault="00A82C7F" w:rsidP="005A04AF">
            <w:pPr>
              <w:pStyle w:val="-21"/>
              <w:spacing w:before="120"/>
              <w:ind w:left="357" w:right="142" w:hanging="142"/>
              <w:rPr>
                <w:rFonts w:asciiTheme="minorBidi" w:hAnsiTheme="minorBidi" w:cstheme="minorBidi"/>
                <w:b/>
                <w:bCs/>
                <w:sz w:val="18"/>
                <w:szCs w:val="18"/>
              </w:rPr>
            </w:pPr>
            <w:r w:rsidRPr="003838B2">
              <w:rPr>
                <w:rFonts w:asciiTheme="minorBidi" w:hAnsiTheme="minorBidi" w:cstheme="minorBidi"/>
                <w:sz w:val="18"/>
                <w:szCs w:val="18"/>
                <w:rtl/>
              </w:rPr>
              <w:t xml:space="preserve">מחיקות חשבונאיות </w:t>
            </w:r>
          </w:p>
        </w:tc>
        <w:tc>
          <w:tcPr>
            <w:tcW w:w="641" w:type="dxa"/>
            <w:vAlign w:val="bottom"/>
          </w:tcPr>
          <w:p w14:paraId="684DB193" w14:textId="77777777" w:rsidR="00A82C7F" w:rsidRPr="002C0AFF" w:rsidRDefault="00A82C7F" w:rsidP="00A00A53">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709" w:type="dxa"/>
            <w:vAlign w:val="bottom"/>
          </w:tcPr>
          <w:p w14:paraId="07A25030" w14:textId="77777777" w:rsidR="00A82C7F" w:rsidRPr="002C0AFF" w:rsidRDefault="00A82C7F" w:rsidP="00A00A53">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567" w:type="dxa"/>
            <w:vAlign w:val="bottom"/>
          </w:tcPr>
          <w:p w14:paraId="78EAF79C" w14:textId="77777777" w:rsidR="00A82C7F" w:rsidRPr="002C0AFF" w:rsidRDefault="00A82C7F" w:rsidP="00A00A53">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641" w:type="dxa"/>
            <w:vAlign w:val="bottom"/>
          </w:tcPr>
          <w:p w14:paraId="692A0206" w14:textId="77777777" w:rsidR="00A82C7F" w:rsidRPr="002C0AFF" w:rsidRDefault="00A82C7F" w:rsidP="00A00A53">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1345" w:type="dxa"/>
            <w:vAlign w:val="bottom"/>
          </w:tcPr>
          <w:p w14:paraId="0B9C7ED1" w14:textId="77777777" w:rsidR="00A82C7F" w:rsidRPr="002C0AFF" w:rsidRDefault="00A82C7F" w:rsidP="00A00A53">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851" w:type="dxa"/>
            <w:vAlign w:val="bottom"/>
          </w:tcPr>
          <w:p w14:paraId="0DB9DB37" w14:textId="77777777" w:rsidR="00A82C7F" w:rsidRPr="003838B2" w:rsidRDefault="00A82C7F" w:rsidP="00A00A53">
            <w:pPr>
              <w:pStyle w:val="-3"/>
              <w:rPr>
                <w:rFonts w:asciiTheme="minorBidi" w:hAnsiTheme="minorBidi" w:cstheme="minorBidi"/>
                <w:sz w:val="18"/>
                <w:szCs w:val="18"/>
                <w:rtl/>
              </w:rPr>
            </w:pPr>
            <w:r w:rsidRPr="003838B2">
              <w:rPr>
                <w:rFonts w:asciiTheme="minorBidi" w:hAnsiTheme="minorBidi" w:cstheme="minorBidi"/>
                <w:sz w:val="18"/>
                <w:szCs w:val="18"/>
                <w:rtl/>
              </w:rPr>
              <w:t>(0)</w:t>
            </w:r>
          </w:p>
        </w:tc>
      </w:tr>
      <w:tr w:rsidR="00A82C7F" w:rsidRPr="00543C25" w14:paraId="7118A142" w14:textId="77777777" w:rsidTr="00A82C7F">
        <w:trPr>
          <w:trHeight w:val="259"/>
        </w:trPr>
        <w:tc>
          <w:tcPr>
            <w:tcW w:w="659" w:type="dxa"/>
          </w:tcPr>
          <w:p w14:paraId="70C292AC" w14:textId="77777777" w:rsidR="00A82C7F" w:rsidRDefault="00A82C7F" w:rsidP="00A00A53">
            <w:pPr>
              <w:pStyle w:val="-fa"/>
              <w:ind w:right="-142"/>
              <w:rPr>
                <w:rtl/>
              </w:rPr>
            </w:pPr>
          </w:p>
        </w:tc>
        <w:tc>
          <w:tcPr>
            <w:tcW w:w="4465" w:type="dxa"/>
            <w:vAlign w:val="bottom"/>
          </w:tcPr>
          <w:p w14:paraId="54CB51B8" w14:textId="4A5EC155" w:rsidR="00A82C7F" w:rsidRPr="003838B2" w:rsidRDefault="00A82C7F" w:rsidP="00A00A53">
            <w:pPr>
              <w:pStyle w:val="-21"/>
              <w:ind w:left="361" w:right="144"/>
              <w:rPr>
                <w:rFonts w:asciiTheme="minorBidi" w:hAnsiTheme="minorBidi" w:cstheme="minorBidi"/>
                <w:sz w:val="18"/>
                <w:szCs w:val="18"/>
              </w:rPr>
            </w:pPr>
            <w:r w:rsidRPr="003838B2">
              <w:rPr>
                <w:rFonts w:asciiTheme="minorBidi" w:hAnsiTheme="minorBidi" w:cstheme="minorBidi"/>
                <w:sz w:val="18"/>
                <w:szCs w:val="18"/>
                <w:rtl/>
              </w:rPr>
              <w:t>גביית חובות שנמחקו חשבונאית בשנים קודמות</w:t>
            </w:r>
          </w:p>
        </w:tc>
        <w:tc>
          <w:tcPr>
            <w:tcW w:w="641" w:type="dxa"/>
            <w:vAlign w:val="bottom"/>
          </w:tcPr>
          <w:p w14:paraId="170AEC91" w14:textId="77777777" w:rsidR="00A82C7F" w:rsidRPr="002C0AFF" w:rsidRDefault="00A82C7F" w:rsidP="00A00A53">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709" w:type="dxa"/>
            <w:vAlign w:val="bottom"/>
          </w:tcPr>
          <w:p w14:paraId="19223FA9" w14:textId="77777777" w:rsidR="00A82C7F" w:rsidRPr="002C0AFF" w:rsidRDefault="00A82C7F" w:rsidP="00A00A53">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567" w:type="dxa"/>
            <w:vAlign w:val="bottom"/>
          </w:tcPr>
          <w:p w14:paraId="51F0E6B9" w14:textId="77777777" w:rsidR="00A82C7F" w:rsidRPr="002C0AFF" w:rsidRDefault="00A82C7F" w:rsidP="00A00A53">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641" w:type="dxa"/>
            <w:vAlign w:val="bottom"/>
          </w:tcPr>
          <w:p w14:paraId="21D0271E" w14:textId="77777777" w:rsidR="00A82C7F" w:rsidRPr="002C0AFF" w:rsidRDefault="00A82C7F" w:rsidP="00A00A53">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1345" w:type="dxa"/>
            <w:vAlign w:val="bottom"/>
          </w:tcPr>
          <w:p w14:paraId="4979708E" w14:textId="77777777" w:rsidR="00A82C7F" w:rsidRPr="002C0AFF" w:rsidRDefault="00A82C7F" w:rsidP="00A00A53">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hint="cs"/>
                <w:szCs w:val="18"/>
                <w:rtl/>
              </w:rPr>
              <w:t xml:space="preserve"> 0</w:t>
            </w:r>
          </w:p>
        </w:tc>
        <w:tc>
          <w:tcPr>
            <w:tcW w:w="851" w:type="dxa"/>
            <w:vAlign w:val="bottom"/>
          </w:tcPr>
          <w:p w14:paraId="52DFDC70" w14:textId="77777777" w:rsidR="00A82C7F" w:rsidRPr="003838B2" w:rsidRDefault="00A82C7F" w:rsidP="00A00A53">
            <w:pPr>
              <w:pStyle w:val="-120"/>
              <w:pBdr>
                <w:top w:val="none" w:sz="0" w:space="0" w:color="auto"/>
                <w:bottom w:val="single" w:sz="4" w:space="1" w:color="auto"/>
              </w:pBdr>
              <w:rPr>
                <w:rFonts w:asciiTheme="minorBidi" w:hAnsiTheme="minorBidi" w:cstheme="minorBidi"/>
                <w:szCs w:val="18"/>
                <w:rtl/>
              </w:rPr>
            </w:pPr>
            <w:r w:rsidRPr="003838B2">
              <w:rPr>
                <w:rFonts w:asciiTheme="minorBidi" w:hAnsiTheme="minorBidi" w:cstheme="minorBidi"/>
                <w:szCs w:val="18"/>
                <w:rtl/>
              </w:rPr>
              <w:t xml:space="preserve"> 0</w:t>
            </w:r>
          </w:p>
        </w:tc>
      </w:tr>
      <w:tr w:rsidR="00A82C7F" w:rsidRPr="00543C25" w14:paraId="71C2A141" w14:textId="77777777" w:rsidTr="00A82C7F">
        <w:trPr>
          <w:trHeight w:val="259"/>
        </w:trPr>
        <w:tc>
          <w:tcPr>
            <w:tcW w:w="659" w:type="dxa"/>
          </w:tcPr>
          <w:p w14:paraId="58EF4262" w14:textId="77777777" w:rsidR="00A82C7F" w:rsidRPr="003B24D4" w:rsidRDefault="00A82C7F" w:rsidP="005A04AF">
            <w:pPr>
              <w:pStyle w:val="-fa"/>
              <w:ind w:right="-142"/>
              <w:rPr>
                <w:rtl/>
              </w:rPr>
            </w:pPr>
          </w:p>
        </w:tc>
        <w:tc>
          <w:tcPr>
            <w:tcW w:w="4465" w:type="dxa"/>
            <w:vAlign w:val="bottom"/>
          </w:tcPr>
          <w:p w14:paraId="40CCCEEE" w14:textId="77777777" w:rsidR="00A82C7F" w:rsidRPr="003838B2" w:rsidRDefault="00A82C7F" w:rsidP="005A04AF">
            <w:pPr>
              <w:pStyle w:val="-0"/>
              <w:rPr>
                <w:rFonts w:asciiTheme="minorBidi" w:hAnsiTheme="minorBidi" w:cstheme="minorBidi"/>
                <w:sz w:val="18"/>
                <w:szCs w:val="18"/>
                <w:rtl/>
              </w:rPr>
            </w:pPr>
            <w:r w:rsidRPr="003838B2">
              <w:rPr>
                <w:rFonts w:asciiTheme="minorBidi" w:hAnsiTheme="minorBidi" w:cstheme="minorBidi"/>
                <w:sz w:val="18"/>
                <w:szCs w:val="18"/>
                <w:rtl/>
              </w:rPr>
              <w:t xml:space="preserve">מחיקות חשבונאיות נטו </w:t>
            </w:r>
          </w:p>
        </w:tc>
        <w:tc>
          <w:tcPr>
            <w:tcW w:w="641" w:type="dxa"/>
            <w:vAlign w:val="bottom"/>
          </w:tcPr>
          <w:p w14:paraId="0C2B4E51" w14:textId="1A64AA80" w:rsidR="00A82C7F" w:rsidRPr="005A04AF" w:rsidRDefault="00A82C7F" w:rsidP="005A04AF">
            <w:pPr>
              <w:pStyle w:val="-3"/>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709" w:type="dxa"/>
            <w:vAlign w:val="bottom"/>
          </w:tcPr>
          <w:p w14:paraId="74682255" w14:textId="1170A2BA" w:rsidR="00A82C7F" w:rsidRPr="005A04AF" w:rsidRDefault="00A82C7F" w:rsidP="005A04AF">
            <w:pPr>
              <w:pStyle w:val="-3"/>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567" w:type="dxa"/>
            <w:vAlign w:val="bottom"/>
          </w:tcPr>
          <w:p w14:paraId="59FA1DD3" w14:textId="3986EA6A" w:rsidR="00A82C7F" w:rsidRPr="005A04AF" w:rsidRDefault="00A82C7F" w:rsidP="005A04AF">
            <w:pPr>
              <w:pStyle w:val="-3"/>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641" w:type="dxa"/>
            <w:vAlign w:val="bottom"/>
          </w:tcPr>
          <w:p w14:paraId="6B5706BC" w14:textId="13B7D2CB" w:rsidR="00A82C7F" w:rsidRPr="005A04AF" w:rsidRDefault="00A82C7F" w:rsidP="005A04AF">
            <w:pPr>
              <w:pStyle w:val="-3"/>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1345" w:type="dxa"/>
            <w:vAlign w:val="bottom"/>
          </w:tcPr>
          <w:p w14:paraId="04AA4765" w14:textId="3F80E3D6" w:rsidR="00A82C7F" w:rsidRPr="005A04AF" w:rsidRDefault="00A82C7F" w:rsidP="005A04AF">
            <w:pPr>
              <w:pStyle w:val="-3"/>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851" w:type="dxa"/>
            <w:vAlign w:val="bottom"/>
          </w:tcPr>
          <w:p w14:paraId="1381B327" w14:textId="064ADDDD" w:rsidR="00A82C7F" w:rsidRPr="005A04AF" w:rsidRDefault="00A82C7F" w:rsidP="005A04AF">
            <w:pPr>
              <w:pStyle w:val="-3"/>
              <w:rPr>
                <w:rFonts w:asciiTheme="minorBidi" w:hAnsiTheme="minorBidi" w:cstheme="minorBidi"/>
                <w:b/>
                <w:bCs/>
                <w:sz w:val="18"/>
                <w:szCs w:val="18"/>
                <w:rtl/>
              </w:rPr>
            </w:pPr>
            <w:r w:rsidRPr="005A04AF">
              <w:rPr>
                <w:rFonts w:asciiTheme="minorBidi" w:hAnsiTheme="minorBidi" w:cstheme="minorBidi"/>
                <w:b/>
                <w:bCs/>
                <w:sz w:val="18"/>
                <w:szCs w:val="18"/>
                <w:rtl/>
              </w:rPr>
              <w:t>(0)</w:t>
            </w:r>
          </w:p>
        </w:tc>
      </w:tr>
      <w:tr w:rsidR="00A82C7F" w:rsidRPr="00543C25" w14:paraId="3018A161" w14:textId="77777777" w:rsidTr="00A82C7F">
        <w:trPr>
          <w:trHeight w:val="259"/>
        </w:trPr>
        <w:tc>
          <w:tcPr>
            <w:tcW w:w="659" w:type="dxa"/>
          </w:tcPr>
          <w:p w14:paraId="52B11C65" w14:textId="77777777" w:rsidR="00A82C7F" w:rsidRPr="003B24D4" w:rsidRDefault="00A82C7F" w:rsidP="00A00A53">
            <w:pPr>
              <w:pStyle w:val="-fa"/>
              <w:ind w:right="-142"/>
              <w:rPr>
                <w:rtl/>
              </w:rPr>
            </w:pPr>
          </w:p>
        </w:tc>
        <w:tc>
          <w:tcPr>
            <w:tcW w:w="4465" w:type="dxa"/>
            <w:vAlign w:val="bottom"/>
          </w:tcPr>
          <w:p w14:paraId="2EADF83C" w14:textId="77777777" w:rsidR="00A82C7F" w:rsidRPr="003838B2" w:rsidRDefault="00A82C7F" w:rsidP="00A00A53">
            <w:pPr>
              <w:pStyle w:val="-0"/>
              <w:rPr>
                <w:rFonts w:asciiTheme="minorBidi" w:hAnsiTheme="minorBidi" w:cstheme="minorBidi"/>
                <w:sz w:val="18"/>
                <w:szCs w:val="18"/>
                <w:rtl/>
              </w:rPr>
            </w:pPr>
            <w:r w:rsidRPr="003838B2">
              <w:rPr>
                <w:rFonts w:asciiTheme="minorBidi" w:hAnsiTheme="minorBidi" w:cstheme="minorBidi"/>
                <w:sz w:val="18"/>
                <w:szCs w:val="18"/>
                <w:rtl/>
              </w:rPr>
              <w:t>התאמות מתרגום דוחות כספיים</w:t>
            </w:r>
          </w:p>
        </w:tc>
        <w:tc>
          <w:tcPr>
            <w:tcW w:w="641" w:type="dxa"/>
            <w:vAlign w:val="bottom"/>
          </w:tcPr>
          <w:p w14:paraId="6318E13F" w14:textId="77777777" w:rsidR="00A82C7F" w:rsidRPr="002C0AFF" w:rsidRDefault="00A82C7F" w:rsidP="00A00A53">
            <w:pPr>
              <w:pStyle w:val="-3"/>
              <w:rPr>
                <w:rFonts w:asciiTheme="minorBidi" w:hAnsiTheme="minorBidi" w:cstheme="minorBidi"/>
                <w:sz w:val="18"/>
                <w:szCs w:val="18"/>
              </w:rPr>
            </w:pPr>
            <w:r w:rsidRPr="002C0AFF">
              <w:rPr>
                <w:rFonts w:asciiTheme="minorBidi" w:hAnsiTheme="minorBidi" w:cstheme="minorBidi"/>
                <w:sz w:val="18"/>
                <w:szCs w:val="18"/>
                <w:rtl/>
              </w:rPr>
              <w:t xml:space="preserve"> 0</w:t>
            </w:r>
          </w:p>
        </w:tc>
        <w:tc>
          <w:tcPr>
            <w:tcW w:w="709" w:type="dxa"/>
            <w:vAlign w:val="bottom"/>
          </w:tcPr>
          <w:p w14:paraId="4C862AB8" w14:textId="77777777" w:rsidR="00A82C7F" w:rsidRPr="002C0AFF" w:rsidRDefault="00A82C7F" w:rsidP="00A00A53">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7" w:type="dxa"/>
            <w:vAlign w:val="bottom"/>
          </w:tcPr>
          <w:p w14:paraId="52219FD9" w14:textId="77777777" w:rsidR="00A82C7F" w:rsidRPr="002C0AFF" w:rsidRDefault="00A82C7F" w:rsidP="00A00A53">
            <w:pPr>
              <w:pStyle w:val="-3"/>
              <w:rPr>
                <w:rFonts w:asciiTheme="minorBidi" w:hAnsiTheme="minorBidi" w:cstheme="minorBidi"/>
                <w:sz w:val="18"/>
                <w:szCs w:val="18"/>
              </w:rPr>
            </w:pPr>
            <w:r w:rsidRPr="002C0AFF">
              <w:rPr>
                <w:rFonts w:asciiTheme="minorBidi" w:hAnsiTheme="minorBidi" w:cstheme="minorBidi"/>
                <w:sz w:val="18"/>
                <w:szCs w:val="18"/>
                <w:rtl/>
              </w:rPr>
              <w:t xml:space="preserve"> 0</w:t>
            </w:r>
          </w:p>
        </w:tc>
        <w:tc>
          <w:tcPr>
            <w:tcW w:w="641" w:type="dxa"/>
            <w:vAlign w:val="bottom"/>
          </w:tcPr>
          <w:p w14:paraId="6EFE1ADA" w14:textId="77777777" w:rsidR="00A82C7F" w:rsidRPr="002C0AFF" w:rsidRDefault="00A82C7F" w:rsidP="00A00A53">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345" w:type="dxa"/>
            <w:vAlign w:val="bottom"/>
          </w:tcPr>
          <w:p w14:paraId="255900ED" w14:textId="77777777" w:rsidR="00A82C7F" w:rsidRPr="002C0AFF" w:rsidRDefault="00A82C7F" w:rsidP="00A00A53">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851" w:type="dxa"/>
            <w:vAlign w:val="bottom"/>
          </w:tcPr>
          <w:p w14:paraId="628554F2" w14:textId="77777777" w:rsidR="00A82C7F" w:rsidRPr="003838B2" w:rsidRDefault="00A82C7F" w:rsidP="00A00A53">
            <w:pPr>
              <w:pStyle w:val="-3"/>
              <w:rPr>
                <w:rFonts w:asciiTheme="minorBidi" w:hAnsiTheme="minorBidi" w:cstheme="minorBidi"/>
                <w:sz w:val="18"/>
                <w:szCs w:val="18"/>
                <w:rtl/>
              </w:rPr>
            </w:pPr>
            <w:r w:rsidRPr="003838B2">
              <w:rPr>
                <w:rFonts w:asciiTheme="minorBidi" w:hAnsiTheme="minorBidi" w:cstheme="minorBidi"/>
                <w:sz w:val="18"/>
                <w:szCs w:val="18"/>
                <w:rtl/>
              </w:rPr>
              <w:t xml:space="preserve"> 0</w:t>
            </w:r>
          </w:p>
        </w:tc>
      </w:tr>
      <w:tr w:rsidR="00A82C7F" w:rsidRPr="00543C25" w14:paraId="74501566" w14:textId="77777777" w:rsidTr="00A82C7F">
        <w:trPr>
          <w:trHeight w:val="259"/>
        </w:trPr>
        <w:tc>
          <w:tcPr>
            <w:tcW w:w="659" w:type="dxa"/>
          </w:tcPr>
          <w:p w14:paraId="3BF3DB6F" w14:textId="77777777" w:rsidR="00A82C7F" w:rsidRPr="003B24D4" w:rsidRDefault="00A82C7F" w:rsidP="00A00A53">
            <w:pPr>
              <w:pStyle w:val="-fa"/>
              <w:ind w:right="-142"/>
              <w:rPr>
                <w:rtl/>
              </w:rPr>
            </w:pPr>
          </w:p>
        </w:tc>
        <w:tc>
          <w:tcPr>
            <w:tcW w:w="4465" w:type="dxa"/>
            <w:vAlign w:val="bottom"/>
          </w:tcPr>
          <w:p w14:paraId="529C9B5B" w14:textId="77777777" w:rsidR="00A82C7F" w:rsidRPr="003838B2" w:rsidRDefault="00A82C7F" w:rsidP="00A00A53">
            <w:pPr>
              <w:pStyle w:val="-0"/>
              <w:spacing w:before="40" w:line="240" w:lineRule="auto"/>
              <w:ind w:left="142" w:hanging="142"/>
              <w:rPr>
                <w:rFonts w:asciiTheme="minorBidi" w:hAnsiTheme="minorBidi" w:cstheme="minorBidi"/>
                <w:b/>
                <w:bCs/>
                <w:sz w:val="18"/>
                <w:szCs w:val="18"/>
              </w:rPr>
            </w:pPr>
            <w:r w:rsidRPr="003838B2">
              <w:rPr>
                <w:rFonts w:asciiTheme="minorBidi" w:hAnsiTheme="minorBidi" w:cstheme="minorBidi"/>
                <w:sz w:val="18"/>
                <w:szCs w:val="18"/>
                <w:rtl/>
              </w:rPr>
              <w:t>אחר</w:t>
            </w:r>
            <w:r w:rsidRPr="003838B2">
              <w:rPr>
                <w:sz w:val="18"/>
                <w:szCs w:val="18"/>
                <w:vertAlign w:val="superscript"/>
                <w:rtl/>
              </w:rPr>
              <w:t>[</w:t>
            </w:r>
            <w:r w:rsidRPr="003838B2">
              <w:rPr>
                <w:sz w:val="18"/>
                <w:szCs w:val="18"/>
                <w:vertAlign w:val="superscript"/>
                <w:rtl/>
              </w:rPr>
              <w:footnoteReference w:id="100"/>
            </w:r>
            <w:r w:rsidRPr="003838B2">
              <w:rPr>
                <w:sz w:val="18"/>
                <w:szCs w:val="18"/>
                <w:vertAlign w:val="superscript"/>
                <w:rtl/>
              </w:rPr>
              <w:t>]</w:t>
            </w:r>
          </w:p>
        </w:tc>
        <w:tc>
          <w:tcPr>
            <w:tcW w:w="641" w:type="dxa"/>
            <w:vAlign w:val="bottom"/>
          </w:tcPr>
          <w:p w14:paraId="5D00CF6B" w14:textId="77777777" w:rsidR="00A82C7F" w:rsidRPr="002C0AFF" w:rsidRDefault="00A82C7F" w:rsidP="00A00A53">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709" w:type="dxa"/>
            <w:vAlign w:val="bottom"/>
          </w:tcPr>
          <w:p w14:paraId="03222227" w14:textId="77777777" w:rsidR="00A82C7F" w:rsidRPr="002C0AFF" w:rsidRDefault="00A82C7F" w:rsidP="00A00A53">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7" w:type="dxa"/>
            <w:vAlign w:val="bottom"/>
          </w:tcPr>
          <w:p w14:paraId="4F84E352" w14:textId="77777777" w:rsidR="00A82C7F" w:rsidRPr="002C0AFF" w:rsidRDefault="00A82C7F" w:rsidP="00A00A53">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641" w:type="dxa"/>
            <w:vAlign w:val="bottom"/>
          </w:tcPr>
          <w:p w14:paraId="3811A0A0" w14:textId="77777777" w:rsidR="00A82C7F" w:rsidRPr="002C0AFF" w:rsidRDefault="00A82C7F" w:rsidP="00A00A53">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345" w:type="dxa"/>
            <w:vAlign w:val="bottom"/>
          </w:tcPr>
          <w:p w14:paraId="174BF0D2" w14:textId="77777777" w:rsidR="00A82C7F" w:rsidRPr="002C0AFF" w:rsidRDefault="00A82C7F" w:rsidP="00A00A53">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851" w:type="dxa"/>
            <w:vAlign w:val="bottom"/>
          </w:tcPr>
          <w:p w14:paraId="576261D5" w14:textId="77777777" w:rsidR="00A82C7F" w:rsidRPr="003838B2" w:rsidRDefault="00A82C7F" w:rsidP="00A00A53">
            <w:pPr>
              <w:pStyle w:val="-3"/>
              <w:pBdr>
                <w:bottom w:val="single" w:sz="4" w:space="1" w:color="auto"/>
              </w:pBdr>
              <w:rPr>
                <w:rFonts w:asciiTheme="minorBidi" w:hAnsiTheme="minorBidi" w:cstheme="minorBidi"/>
                <w:sz w:val="18"/>
                <w:szCs w:val="18"/>
                <w:rtl/>
              </w:rPr>
            </w:pPr>
            <w:r w:rsidRPr="003838B2">
              <w:rPr>
                <w:rFonts w:asciiTheme="minorBidi" w:hAnsiTheme="minorBidi" w:cstheme="minorBidi"/>
                <w:sz w:val="18"/>
                <w:szCs w:val="18"/>
                <w:rtl/>
              </w:rPr>
              <w:t xml:space="preserve"> 0</w:t>
            </w:r>
          </w:p>
        </w:tc>
      </w:tr>
      <w:tr w:rsidR="00A82C7F" w:rsidRPr="00BA061F" w14:paraId="3274E338" w14:textId="77777777" w:rsidTr="00A82C7F">
        <w:tc>
          <w:tcPr>
            <w:tcW w:w="659" w:type="dxa"/>
          </w:tcPr>
          <w:p w14:paraId="3F51CEE9" w14:textId="77777777" w:rsidR="00A82C7F" w:rsidRDefault="00A82C7F" w:rsidP="00A00A53">
            <w:pPr>
              <w:pStyle w:val="-fa"/>
              <w:bidi w:val="0"/>
              <w:ind w:right="-142"/>
              <w:jc w:val="both"/>
              <w:rPr>
                <w:rtl/>
              </w:rPr>
            </w:pPr>
          </w:p>
        </w:tc>
        <w:tc>
          <w:tcPr>
            <w:tcW w:w="4465" w:type="dxa"/>
            <w:vAlign w:val="bottom"/>
          </w:tcPr>
          <w:p w14:paraId="5DF6FA58" w14:textId="37893B48" w:rsidR="00A82C7F" w:rsidRPr="003838B2" w:rsidRDefault="00A82C7F" w:rsidP="00A00A53">
            <w:pPr>
              <w:pStyle w:val="-b"/>
              <w:bidi w:val="0"/>
              <w:spacing w:line="240" w:lineRule="auto"/>
              <w:jc w:val="right"/>
              <w:rPr>
                <w:rFonts w:asciiTheme="minorBidi" w:hAnsiTheme="minorBidi" w:cstheme="minorBidi"/>
                <w:sz w:val="18"/>
                <w:szCs w:val="18"/>
              </w:rPr>
            </w:pPr>
            <w:r w:rsidRPr="003838B2">
              <w:rPr>
                <w:sz w:val="18"/>
                <w:szCs w:val="18"/>
                <w:rtl/>
              </w:rPr>
              <w:t>יתר</w:t>
            </w:r>
            <w:r w:rsidRPr="003838B2">
              <w:rPr>
                <w:rFonts w:hint="cs"/>
                <w:sz w:val="18"/>
                <w:szCs w:val="18"/>
                <w:rtl/>
              </w:rPr>
              <w:t xml:space="preserve">ת הפרשה להפסדי אשראי ליום 30 ביוני </w:t>
            </w:r>
            <w:r w:rsidRPr="003838B2">
              <w:rPr>
                <w:sz w:val="18"/>
                <w:szCs w:val="18"/>
                <w:rtl/>
              </w:rPr>
              <w:fldChar w:fldCharType="begin"/>
            </w:r>
            <w:r w:rsidRPr="003838B2">
              <w:rPr>
                <w:sz w:val="18"/>
                <w:szCs w:val="18"/>
                <w:rtl/>
              </w:rPr>
              <w:instrText xml:space="preserve"> </w:instrText>
            </w:r>
            <w:r w:rsidRPr="003838B2">
              <w:rPr>
                <w:rFonts w:hint="cs"/>
                <w:sz w:val="18"/>
                <w:szCs w:val="18"/>
                <w:rtl/>
              </w:rPr>
              <w:instrText xml:space="preserve">= </w:instrText>
            </w:r>
            <w:r w:rsidRPr="003838B2">
              <w:rPr>
                <w:rFonts w:hint="cs"/>
                <w:sz w:val="18"/>
                <w:szCs w:val="18"/>
              </w:rPr>
              <w:instrText>CY \* MERGEFORMAT</w:instrText>
            </w:r>
            <w:r w:rsidRPr="003838B2">
              <w:rPr>
                <w:sz w:val="18"/>
                <w:szCs w:val="18"/>
                <w:rtl/>
              </w:rPr>
              <w:instrText xml:space="preserve"> </w:instrText>
            </w:r>
            <w:r w:rsidRPr="003838B2">
              <w:rPr>
                <w:sz w:val="18"/>
                <w:szCs w:val="18"/>
                <w:rtl/>
              </w:rPr>
              <w:fldChar w:fldCharType="separate"/>
            </w:r>
            <w:r>
              <w:rPr>
                <w:noProof/>
                <w:sz w:val="18"/>
                <w:szCs w:val="18"/>
                <w:rtl/>
              </w:rPr>
              <w:t>2024</w:t>
            </w:r>
            <w:r w:rsidRPr="003838B2">
              <w:rPr>
                <w:sz w:val="18"/>
                <w:szCs w:val="18"/>
                <w:rtl/>
              </w:rPr>
              <w:fldChar w:fldCharType="end"/>
            </w:r>
          </w:p>
        </w:tc>
        <w:tc>
          <w:tcPr>
            <w:tcW w:w="641" w:type="dxa"/>
            <w:vAlign w:val="bottom"/>
          </w:tcPr>
          <w:p w14:paraId="66EED8A9" w14:textId="77777777" w:rsidR="00A82C7F" w:rsidRPr="003838B2" w:rsidRDefault="00A82C7F" w:rsidP="00A00A53">
            <w:pPr>
              <w:pStyle w:val="-3"/>
              <w:pBdr>
                <w:bottom w:val="double" w:sz="4" w:space="1" w:color="auto"/>
              </w:pBdr>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709" w:type="dxa"/>
            <w:vAlign w:val="bottom"/>
          </w:tcPr>
          <w:p w14:paraId="73FAAB4D" w14:textId="77777777" w:rsidR="00A82C7F" w:rsidRPr="003838B2" w:rsidRDefault="00A82C7F" w:rsidP="00A00A53">
            <w:pPr>
              <w:pStyle w:val="-3"/>
              <w:pBdr>
                <w:bottom w:val="double" w:sz="4" w:space="1" w:color="auto"/>
              </w:pBdr>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567" w:type="dxa"/>
            <w:vAlign w:val="bottom"/>
          </w:tcPr>
          <w:p w14:paraId="728A95FE" w14:textId="77777777" w:rsidR="00A82C7F" w:rsidRPr="003838B2" w:rsidRDefault="00A82C7F" w:rsidP="00A00A53">
            <w:pPr>
              <w:pStyle w:val="-3"/>
              <w:pBdr>
                <w:bottom w:val="double" w:sz="4" w:space="1" w:color="auto"/>
              </w:pBdr>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641" w:type="dxa"/>
            <w:vAlign w:val="bottom"/>
          </w:tcPr>
          <w:p w14:paraId="49A91634" w14:textId="77777777" w:rsidR="00A82C7F" w:rsidRPr="003838B2" w:rsidRDefault="00A82C7F" w:rsidP="00A00A53">
            <w:pPr>
              <w:pStyle w:val="-3"/>
              <w:pBdr>
                <w:bottom w:val="double" w:sz="4" w:space="1" w:color="auto"/>
              </w:pBdr>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1345" w:type="dxa"/>
            <w:vAlign w:val="bottom"/>
          </w:tcPr>
          <w:p w14:paraId="76C59624" w14:textId="77777777" w:rsidR="00A82C7F" w:rsidRPr="002C0AFF" w:rsidRDefault="00A82C7F" w:rsidP="00A00A53">
            <w:pPr>
              <w:pStyle w:val="-3"/>
              <w:pBdr>
                <w:bottom w:val="double" w:sz="4" w:space="1" w:color="auto"/>
              </w:pBdr>
              <w:rPr>
                <w:rFonts w:asciiTheme="minorBidi" w:hAnsiTheme="minorBidi" w:cstheme="minorBidi"/>
                <w:b/>
                <w:bCs/>
                <w:sz w:val="18"/>
                <w:szCs w:val="18"/>
                <w:rtl/>
              </w:rPr>
            </w:pPr>
            <w:r w:rsidRPr="002C0AFF">
              <w:rPr>
                <w:rFonts w:asciiTheme="minorBidi" w:hAnsiTheme="minorBidi" w:cstheme="minorBidi" w:hint="cs"/>
                <w:b/>
                <w:bCs/>
                <w:sz w:val="18"/>
                <w:szCs w:val="18"/>
                <w:rtl/>
              </w:rPr>
              <w:t xml:space="preserve"> 0</w:t>
            </w:r>
          </w:p>
        </w:tc>
        <w:tc>
          <w:tcPr>
            <w:tcW w:w="851" w:type="dxa"/>
            <w:vAlign w:val="bottom"/>
          </w:tcPr>
          <w:p w14:paraId="151DC756" w14:textId="77777777" w:rsidR="00A82C7F" w:rsidRPr="002C0AFF" w:rsidRDefault="00A82C7F" w:rsidP="00A00A53">
            <w:pPr>
              <w:pStyle w:val="-3"/>
              <w:pBdr>
                <w:bottom w:val="double" w:sz="4" w:space="1" w:color="auto"/>
              </w:pBdr>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r>
      <w:tr w:rsidR="00A82C7F" w:rsidRPr="00BA061F" w14:paraId="1E187B95" w14:textId="77777777" w:rsidTr="00A82C7F">
        <w:trPr>
          <w:trHeight w:hRule="exact" w:val="57"/>
        </w:trPr>
        <w:tc>
          <w:tcPr>
            <w:tcW w:w="659" w:type="dxa"/>
          </w:tcPr>
          <w:p w14:paraId="493D9EEE" w14:textId="77777777" w:rsidR="00A82C7F" w:rsidRDefault="00A82C7F" w:rsidP="00A00A53">
            <w:pPr>
              <w:pStyle w:val="-fa"/>
              <w:bidi w:val="0"/>
              <w:ind w:right="-142"/>
              <w:jc w:val="both"/>
              <w:rPr>
                <w:rtl/>
              </w:rPr>
            </w:pPr>
          </w:p>
        </w:tc>
        <w:tc>
          <w:tcPr>
            <w:tcW w:w="4465" w:type="dxa"/>
            <w:vAlign w:val="bottom"/>
          </w:tcPr>
          <w:p w14:paraId="0F6BA841" w14:textId="77777777" w:rsidR="00A82C7F" w:rsidRPr="003838B2" w:rsidRDefault="00A82C7F" w:rsidP="00A00A53">
            <w:pPr>
              <w:pStyle w:val="-b"/>
              <w:bidi w:val="0"/>
              <w:spacing w:line="240" w:lineRule="auto"/>
              <w:jc w:val="right"/>
              <w:rPr>
                <w:rFonts w:asciiTheme="minorBidi" w:hAnsiTheme="minorBidi" w:cstheme="minorBidi"/>
                <w:b w:val="0"/>
                <w:bCs w:val="0"/>
                <w:sz w:val="18"/>
                <w:szCs w:val="18"/>
                <w:rtl/>
              </w:rPr>
            </w:pPr>
          </w:p>
        </w:tc>
        <w:tc>
          <w:tcPr>
            <w:tcW w:w="641" w:type="dxa"/>
            <w:vAlign w:val="bottom"/>
          </w:tcPr>
          <w:p w14:paraId="3022714C"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c>
          <w:tcPr>
            <w:tcW w:w="709" w:type="dxa"/>
            <w:vAlign w:val="bottom"/>
          </w:tcPr>
          <w:p w14:paraId="3461467A"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c>
          <w:tcPr>
            <w:tcW w:w="567" w:type="dxa"/>
            <w:vAlign w:val="bottom"/>
          </w:tcPr>
          <w:p w14:paraId="12D9964E"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c>
          <w:tcPr>
            <w:tcW w:w="641" w:type="dxa"/>
            <w:vAlign w:val="bottom"/>
          </w:tcPr>
          <w:p w14:paraId="4067FBF6"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c>
          <w:tcPr>
            <w:tcW w:w="1345" w:type="dxa"/>
            <w:vAlign w:val="bottom"/>
          </w:tcPr>
          <w:p w14:paraId="7039ED19" w14:textId="77777777" w:rsidR="00A82C7F" w:rsidRPr="002C0AFF" w:rsidRDefault="00A82C7F" w:rsidP="00A00A53">
            <w:pPr>
              <w:pStyle w:val="-3"/>
              <w:bidi w:val="0"/>
              <w:spacing w:line="240" w:lineRule="auto"/>
              <w:jc w:val="center"/>
              <w:rPr>
                <w:rFonts w:asciiTheme="minorBidi" w:hAnsiTheme="minorBidi" w:cstheme="minorBidi"/>
                <w:b/>
                <w:bCs/>
                <w:sz w:val="18"/>
                <w:szCs w:val="18"/>
                <w:rtl/>
              </w:rPr>
            </w:pPr>
          </w:p>
        </w:tc>
        <w:tc>
          <w:tcPr>
            <w:tcW w:w="851" w:type="dxa"/>
            <w:vAlign w:val="bottom"/>
          </w:tcPr>
          <w:p w14:paraId="7949C506"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r>
      <w:tr w:rsidR="00A82C7F" w:rsidRPr="00BA061F" w14:paraId="15458CEE" w14:textId="77777777" w:rsidTr="00A82C7F">
        <w:tc>
          <w:tcPr>
            <w:tcW w:w="659" w:type="dxa"/>
          </w:tcPr>
          <w:p w14:paraId="2C49B51C" w14:textId="77777777" w:rsidR="00A82C7F" w:rsidRDefault="00A82C7F" w:rsidP="00A00A53">
            <w:pPr>
              <w:pStyle w:val="-fa"/>
              <w:bidi w:val="0"/>
              <w:ind w:right="-142"/>
              <w:jc w:val="both"/>
              <w:rPr>
                <w:rtl/>
              </w:rPr>
            </w:pPr>
          </w:p>
        </w:tc>
        <w:tc>
          <w:tcPr>
            <w:tcW w:w="4465" w:type="dxa"/>
            <w:vAlign w:val="bottom"/>
          </w:tcPr>
          <w:p w14:paraId="2EAA15C3" w14:textId="77777777" w:rsidR="00A82C7F" w:rsidRPr="003838B2" w:rsidRDefault="00A82C7F" w:rsidP="00A00A53">
            <w:pPr>
              <w:pStyle w:val="-b"/>
              <w:bidi w:val="0"/>
              <w:spacing w:line="240" w:lineRule="auto"/>
              <w:ind w:right="180"/>
              <w:jc w:val="right"/>
              <w:rPr>
                <w:rFonts w:asciiTheme="minorBidi" w:hAnsiTheme="minorBidi" w:cstheme="minorBidi"/>
                <w:b w:val="0"/>
                <w:bCs w:val="0"/>
                <w:sz w:val="18"/>
                <w:szCs w:val="18"/>
              </w:rPr>
            </w:pPr>
            <w:r w:rsidRPr="003838B2">
              <w:rPr>
                <w:rFonts w:hint="cs"/>
                <w:b w:val="0"/>
                <w:bCs w:val="0"/>
                <w:sz w:val="18"/>
                <w:szCs w:val="18"/>
                <w:rtl/>
              </w:rPr>
              <w:t>מזה: בגין מכשירי אשראי חוץ מאזניים</w:t>
            </w:r>
          </w:p>
        </w:tc>
        <w:tc>
          <w:tcPr>
            <w:tcW w:w="641" w:type="dxa"/>
            <w:vAlign w:val="bottom"/>
          </w:tcPr>
          <w:p w14:paraId="4E11A092" w14:textId="77777777" w:rsidR="00A82C7F" w:rsidRPr="002C0AFF" w:rsidRDefault="00A82C7F" w:rsidP="00A00A53">
            <w:pPr>
              <w:pStyle w:val="-3"/>
              <w:rPr>
                <w:rFonts w:asciiTheme="minorBidi" w:hAnsiTheme="minorBidi" w:cstheme="minorBidi"/>
                <w:sz w:val="18"/>
                <w:szCs w:val="18"/>
                <w:rtl/>
              </w:rPr>
            </w:pPr>
            <w:r w:rsidRPr="002C0AFF">
              <w:rPr>
                <w:rFonts w:hint="cs"/>
                <w:sz w:val="18"/>
                <w:szCs w:val="18"/>
                <w:rtl/>
              </w:rPr>
              <w:t xml:space="preserve"> 0</w:t>
            </w:r>
          </w:p>
        </w:tc>
        <w:tc>
          <w:tcPr>
            <w:tcW w:w="709" w:type="dxa"/>
            <w:vAlign w:val="bottom"/>
          </w:tcPr>
          <w:p w14:paraId="1549ECDD" w14:textId="77777777" w:rsidR="00A82C7F" w:rsidRPr="002C0AFF" w:rsidRDefault="00A82C7F" w:rsidP="00A00A53">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567" w:type="dxa"/>
            <w:vAlign w:val="bottom"/>
          </w:tcPr>
          <w:p w14:paraId="50109C5F" w14:textId="77777777" w:rsidR="00A82C7F" w:rsidRPr="002C0AFF" w:rsidRDefault="00A82C7F" w:rsidP="00A00A53">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641" w:type="dxa"/>
            <w:vAlign w:val="bottom"/>
          </w:tcPr>
          <w:p w14:paraId="284BCA4B" w14:textId="77777777" w:rsidR="00A82C7F" w:rsidRPr="002C0AFF" w:rsidRDefault="00A82C7F" w:rsidP="00A00A53">
            <w:pPr>
              <w:pStyle w:val="-3"/>
              <w:rPr>
                <w:rFonts w:asciiTheme="minorBidi" w:hAnsiTheme="minorBidi" w:cstheme="minorBidi"/>
                <w:sz w:val="18"/>
                <w:szCs w:val="18"/>
                <w:rtl/>
              </w:rPr>
            </w:pPr>
            <w:r w:rsidRPr="002C0AFF">
              <w:rPr>
                <w:rFonts w:hint="cs"/>
                <w:sz w:val="18"/>
                <w:szCs w:val="18"/>
                <w:rtl/>
              </w:rPr>
              <w:t xml:space="preserve"> 0</w:t>
            </w:r>
          </w:p>
        </w:tc>
        <w:tc>
          <w:tcPr>
            <w:tcW w:w="1345" w:type="dxa"/>
            <w:vAlign w:val="bottom"/>
          </w:tcPr>
          <w:p w14:paraId="7E9C7AA8" w14:textId="77777777" w:rsidR="00A82C7F" w:rsidRPr="002C0AFF" w:rsidRDefault="00A82C7F" w:rsidP="00A00A53">
            <w:pPr>
              <w:pStyle w:val="-3"/>
              <w:rPr>
                <w:sz w:val="18"/>
                <w:szCs w:val="18"/>
                <w:rtl/>
              </w:rPr>
            </w:pPr>
            <w:r w:rsidRPr="002C0AFF">
              <w:rPr>
                <w:rFonts w:hint="cs"/>
                <w:sz w:val="18"/>
                <w:szCs w:val="18"/>
                <w:rtl/>
              </w:rPr>
              <w:t xml:space="preserve"> 0</w:t>
            </w:r>
          </w:p>
        </w:tc>
        <w:tc>
          <w:tcPr>
            <w:tcW w:w="851" w:type="dxa"/>
            <w:vAlign w:val="bottom"/>
          </w:tcPr>
          <w:p w14:paraId="541A6FF3" w14:textId="77777777" w:rsidR="00A82C7F" w:rsidRPr="002C0AFF" w:rsidRDefault="00A82C7F" w:rsidP="00A00A53">
            <w:pPr>
              <w:pStyle w:val="-3"/>
              <w:rPr>
                <w:rFonts w:asciiTheme="minorBidi" w:hAnsiTheme="minorBidi" w:cstheme="minorBidi"/>
                <w:b/>
                <w:bCs/>
                <w:sz w:val="18"/>
                <w:szCs w:val="18"/>
                <w:rtl/>
              </w:rPr>
            </w:pPr>
            <w:r w:rsidRPr="002C0AFF">
              <w:rPr>
                <w:rFonts w:hint="cs"/>
                <w:b/>
                <w:bCs/>
                <w:sz w:val="18"/>
                <w:szCs w:val="18"/>
                <w:rtl/>
              </w:rPr>
              <w:t xml:space="preserve"> 0</w:t>
            </w:r>
          </w:p>
        </w:tc>
      </w:tr>
      <w:tr w:rsidR="00A82C7F" w:rsidRPr="00BA061F" w14:paraId="7D28774D" w14:textId="77777777" w:rsidTr="00A82C7F">
        <w:tc>
          <w:tcPr>
            <w:tcW w:w="659" w:type="dxa"/>
          </w:tcPr>
          <w:p w14:paraId="283C3D29" w14:textId="77777777" w:rsidR="00A82C7F" w:rsidRDefault="00A82C7F" w:rsidP="00A00A53">
            <w:pPr>
              <w:pStyle w:val="-fa"/>
              <w:bidi w:val="0"/>
              <w:ind w:right="-142"/>
              <w:jc w:val="both"/>
              <w:rPr>
                <w:rtl/>
              </w:rPr>
            </w:pPr>
          </w:p>
        </w:tc>
        <w:tc>
          <w:tcPr>
            <w:tcW w:w="4465" w:type="dxa"/>
            <w:vAlign w:val="bottom"/>
          </w:tcPr>
          <w:p w14:paraId="53C8039C" w14:textId="77777777" w:rsidR="00A82C7F" w:rsidRPr="003838B2" w:rsidRDefault="00A82C7F" w:rsidP="00A00A53">
            <w:pPr>
              <w:pStyle w:val="-b"/>
              <w:bidi w:val="0"/>
              <w:spacing w:line="240" w:lineRule="auto"/>
              <w:jc w:val="both"/>
              <w:rPr>
                <w:rFonts w:asciiTheme="minorBidi" w:hAnsiTheme="minorBidi" w:cstheme="minorBidi"/>
                <w:sz w:val="18"/>
                <w:szCs w:val="18"/>
                <w:rtl/>
              </w:rPr>
            </w:pPr>
          </w:p>
        </w:tc>
        <w:tc>
          <w:tcPr>
            <w:tcW w:w="641" w:type="dxa"/>
            <w:vAlign w:val="bottom"/>
          </w:tcPr>
          <w:p w14:paraId="3B3F5602"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c>
          <w:tcPr>
            <w:tcW w:w="709" w:type="dxa"/>
            <w:vAlign w:val="bottom"/>
          </w:tcPr>
          <w:p w14:paraId="07D35882"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c>
          <w:tcPr>
            <w:tcW w:w="567" w:type="dxa"/>
            <w:vAlign w:val="bottom"/>
          </w:tcPr>
          <w:p w14:paraId="51F7152B"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c>
          <w:tcPr>
            <w:tcW w:w="641" w:type="dxa"/>
            <w:vAlign w:val="bottom"/>
          </w:tcPr>
          <w:p w14:paraId="0EF3F754"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c>
          <w:tcPr>
            <w:tcW w:w="1345" w:type="dxa"/>
            <w:vAlign w:val="bottom"/>
          </w:tcPr>
          <w:p w14:paraId="406409C9"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c>
          <w:tcPr>
            <w:tcW w:w="851" w:type="dxa"/>
            <w:vAlign w:val="bottom"/>
          </w:tcPr>
          <w:p w14:paraId="58D84DAB"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r>
      <w:tr w:rsidR="00A82C7F" w:rsidRPr="00BA061F" w14:paraId="185E2E0A" w14:textId="77777777" w:rsidTr="00A82C7F">
        <w:tc>
          <w:tcPr>
            <w:tcW w:w="659" w:type="dxa"/>
          </w:tcPr>
          <w:p w14:paraId="1475D18B" w14:textId="77777777" w:rsidR="00A82C7F" w:rsidRDefault="00A82C7F" w:rsidP="00A00A53">
            <w:pPr>
              <w:pStyle w:val="-fa"/>
              <w:bidi w:val="0"/>
              <w:ind w:right="-142"/>
              <w:jc w:val="both"/>
              <w:rPr>
                <w:rtl/>
              </w:rPr>
            </w:pPr>
          </w:p>
        </w:tc>
        <w:tc>
          <w:tcPr>
            <w:tcW w:w="4465" w:type="dxa"/>
            <w:vAlign w:val="bottom"/>
          </w:tcPr>
          <w:p w14:paraId="69D3D62A" w14:textId="629D7116" w:rsidR="00A82C7F" w:rsidRPr="003838B2" w:rsidRDefault="00A82C7F" w:rsidP="00C509CA">
            <w:pPr>
              <w:pStyle w:val="-b"/>
              <w:spacing w:line="240" w:lineRule="auto"/>
              <w:rPr>
                <w:rFonts w:asciiTheme="minorBidi" w:hAnsiTheme="minorBidi" w:cstheme="minorBidi"/>
                <w:sz w:val="18"/>
                <w:szCs w:val="18"/>
                <w:u w:val="single"/>
                <w:rtl/>
              </w:rPr>
            </w:pPr>
            <w:r w:rsidRPr="003838B2">
              <w:rPr>
                <w:rFonts w:hint="cs"/>
                <w:sz w:val="18"/>
                <w:szCs w:val="18"/>
                <w:u w:val="single"/>
                <w:rtl/>
              </w:rPr>
              <w:t xml:space="preserve">לשלושה חודשים שהסתיימו ביום 30 ביוני </w:t>
            </w:r>
            <w:r w:rsidRPr="003838B2">
              <w:rPr>
                <w:sz w:val="18"/>
                <w:szCs w:val="18"/>
                <w:u w:val="single"/>
                <w:rtl/>
              </w:rPr>
              <w:fldChar w:fldCharType="begin"/>
            </w:r>
            <w:r w:rsidRPr="003838B2">
              <w:rPr>
                <w:sz w:val="18"/>
                <w:szCs w:val="18"/>
                <w:u w:val="single"/>
                <w:rtl/>
              </w:rPr>
              <w:instrText xml:space="preserve"> </w:instrText>
            </w:r>
            <w:r w:rsidRPr="003838B2">
              <w:rPr>
                <w:rFonts w:hint="cs"/>
                <w:sz w:val="18"/>
                <w:szCs w:val="18"/>
                <w:u w:val="single"/>
                <w:rtl/>
              </w:rPr>
              <w:instrText xml:space="preserve">= </w:instrText>
            </w:r>
            <w:r w:rsidRPr="003838B2">
              <w:rPr>
                <w:rFonts w:hint="cs"/>
                <w:sz w:val="18"/>
                <w:szCs w:val="18"/>
                <w:u w:val="single"/>
              </w:rPr>
              <w:instrText>CY</w:instrText>
            </w:r>
            <w:r w:rsidRPr="003838B2">
              <w:rPr>
                <w:sz w:val="18"/>
                <w:szCs w:val="18"/>
                <w:u w:val="single"/>
              </w:rPr>
              <w:instrText>-1</w:instrText>
            </w:r>
            <w:r w:rsidRPr="003838B2">
              <w:rPr>
                <w:rFonts w:hint="cs"/>
                <w:sz w:val="18"/>
                <w:szCs w:val="18"/>
                <w:u w:val="single"/>
              </w:rPr>
              <w:instrText xml:space="preserve"> \* MERGEFORMAT</w:instrText>
            </w:r>
            <w:r w:rsidRPr="003838B2">
              <w:rPr>
                <w:sz w:val="18"/>
                <w:szCs w:val="18"/>
                <w:u w:val="single"/>
                <w:rtl/>
              </w:rPr>
              <w:instrText xml:space="preserve"> </w:instrText>
            </w:r>
            <w:r w:rsidRPr="003838B2">
              <w:rPr>
                <w:sz w:val="18"/>
                <w:szCs w:val="18"/>
                <w:u w:val="single"/>
                <w:rtl/>
              </w:rPr>
              <w:fldChar w:fldCharType="separate"/>
            </w:r>
            <w:r>
              <w:rPr>
                <w:noProof/>
                <w:sz w:val="18"/>
                <w:szCs w:val="18"/>
                <w:u w:val="single"/>
                <w:rtl/>
              </w:rPr>
              <w:t>2023</w:t>
            </w:r>
            <w:r w:rsidRPr="003838B2">
              <w:rPr>
                <w:sz w:val="18"/>
                <w:szCs w:val="18"/>
                <w:u w:val="single"/>
                <w:rtl/>
              </w:rPr>
              <w:fldChar w:fldCharType="end"/>
            </w:r>
            <w:r w:rsidRPr="003838B2">
              <w:rPr>
                <w:sz w:val="18"/>
                <w:szCs w:val="18"/>
                <w:u w:val="single"/>
                <w:rtl/>
              </w:rPr>
              <w:br/>
            </w:r>
            <w:r w:rsidRPr="000B19AE">
              <w:rPr>
                <w:rFonts w:hint="cs"/>
                <w:b w:val="0"/>
                <w:bCs w:val="0"/>
                <w:sz w:val="18"/>
                <w:szCs w:val="18"/>
                <w:rtl/>
              </w:rPr>
              <w:t>(בלתי מבוקר)</w:t>
            </w:r>
          </w:p>
        </w:tc>
        <w:tc>
          <w:tcPr>
            <w:tcW w:w="641" w:type="dxa"/>
            <w:vAlign w:val="bottom"/>
          </w:tcPr>
          <w:p w14:paraId="7ECBEEEF"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c>
          <w:tcPr>
            <w:tcW w:w="709" w:type="dxa"/>
            <w:vAlign w:val="bottom"/>
          </w:tcPr>
          <w:p w14:paraId="709A3351"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c>
          <w:tcPr>
            <w:tcW w:w="567" w:type="dxa"/>
            <w:vAlign w:val="bottom"/>
          </w:tcPr>
          <w:p w14:paraId="66AFAB3A"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c>
          <w:tcPr>
            <w:tcW w:w="641" w:type="dxa"/>
            <w:vAlign w:val="bottom"/>
          </w:tcPr>
          <w:p w14:paraId="7C48B332"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c>
          <w:tcPr>
            <w:tcW w:w="1345" w:type="dxa"/>
            <w:vAlign w:val="bottom"/>
          </w:tcPr>
          <w:p w14:paraId="0C0F9149"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c>
          <w:tcPr>
            <w:tcW w:w="851" w:type="dxa"/>
            <w:vAlign w:val="bottom"/>
          </w:tcPr>
          <w:p w14:paraId="4C454468" w14:textId="77777777" w:rsidR="00A82C7F" w:rsidRPr="002C0AFF" w:rsidRDefault="00A82C7F" w:rsidP="00A00A53">
            <w:pPr>
              <w:pStyle w:val="-3"/>
              <w:bidi w:val="0"/>
              <w:spacing w:line="240" w:lineRule="auto"/>
              <w:rPr>
                <w:rFonts w:asciiTheme="minorBidi" w:hAnsiTheme="minorBidi" w:cstheme="minorBidi"/>
                <w:b/>
                <w:bCs/>
                <w:sz w:val="18"/>
                <w:szCs w:val="18"/>
                <w:rtl/>
              </w:rPr>
            </w:pPr>
          </w:p>
        </w:tc>
      </w:tr>
      <w:tr w:rsidR="00A82C7F" w:rsidRPr="00BA061F" w14:paraId="66BE4E1F" w14:textId="77777777" w:rsidTr="00A82C7F">
        <w:tc>
          <w:tcPr>
            <w:tcW w:w="659" w:type="dxa"/>
          </w:tcPr>
          <w:p w14:paraId="7018EA74" w14:textId="77777777" w:rsidR="00A82C7F" w:rsidRDefault="00A82C7F" w:rsidP="00A00A53">
            <w:pPr>
              <w:pStyle w:val="-fa"/>
              <w:bidi w:val="0"/>
              <w:ind w:right="-142"/>
              <w:jc w:val="both"/>
              <w:rPr>
                <w:rtl/>
              </w:rPr>
            </w:pPr>
          </w:p>
        </w:tc>
        <w:tc>
          <w:tcPr>
            <w:tcW w:w="4465" w:type="dxa"/>
            <w:vAlign w:val="bottom"/>
          </w:tcPr>
          <w:p w14:paraId="7654B1E3" w14:textId="51C34252" w:rsidR="00A82C7F" w:rsidRPr="003838B2" w:rsidRDefault="00A82C7F" w:rsidP="000B19AE">
            <w:pPr>
              <w:pStyle w:val="-b"/>
              <w:spacing w:before="60" w:line="240" w:lineRule="auto"/>
              <w:ind w:left="142" w:hanging="142"/>
              <w:jc w:val="both"/>
              <w:rPr>
                <w:rFonts w:asciiTheme="minorBidi" w:hAnsiTheme="minorBidi" w:cstheme="minorBidi"/>
                <w:sz w:val="18"/>
                <w:szCs w:val="18"/>
                <w:rtl/>
              </w:rPr>
            </w:pPr>
            <w:r w:rsidRPr="003838B2">
              <w:rPr>
                <w:rFonts w:hint="cs"/>
                <w:sz w:val="18"/>
                <w:szCs w:val="18"/>
                <w:rtl/>
              </w:rPr>
              <w:t xml:space="preserve">יתרת הפרשה להפסדי אשראי ליום 31 במרץ </w:t>
            </w:r>
            <w:r w:rsidRPr="003838B2">
              <w:rPr>
                <w:sz w:val="18"/>
                <w:szCs w:val="18"/>
                <w:rtl/>
              </w:rPr>
              <w:fldChar w:fldCharType="begin"/>
            </w:r>
            <w:r w:rsidRPr="003838B2">
              <w:rPr>
                <w:sz w:val="18"/>
                <w:szCs w:val="18"/>
                <w:rtl/>
              </w:rPr>
              <w:instrText xml:space="preserve"> </w:instrText>
            </w:r>
            <w:r w:rsidRPr="003838B2">
              <w:rPr>
                <w:rFonts w:hint="cs"/>
                <w:sz w:val="18"/>
                <w:szCs w:val="18"/>
                <w:rtl/>
              </w:rPr>
              <w:instrText xml:space="preserve">= </w:instrText>
            </w:r>
            <w:r w:rsidRPr="003838B2">
              <w:rPr>
                <w:rFonts w:hint="cs"/>
                <w:sz w:val="18"/>
                <w:szCs w:val="18"/>
              </w:rPr>
              <w:instrText>CY</w:instrText>
            </w:r>
            <w:r w:rsidRPr="003838B2">
              <w:rPr>
                <w:sz w:val="18"/>
                <w:szCs w:val="18"/>
              </w:rPr>
              <w:instrText>-1</w:instrText>
            </w:r>
            <w:r w:rsidRPr="003838B2">
              <w:rPr>
                <w:rFonts w:hint="cs"/>
                <w:sz w:val="18"/>
                <w:szCs w:val="18"/>
              </w:rPr>
              <w:instrText xml:space="preserve"> \* MERGEFORMAT</w:instrText>
            </w:r>
            <w:r w:rsidRPr="003838B2">
              <w:rPr>
                <w:sz w:val="18"/>
                <w:szCs w:val="18"/>
                <w:rtl/>
              </w:rPr>
              <w:instrText xml:space="preserve"> </w:instrText>
            </w:r>
            <w:r w:rsidRPr="003838B2">
              <w:rPr>
                <w:sz w:val="18"/>
                <w:szCs w:val="18"/>
                <w:rtl/>
              </w:rPr>
              <w:fldChar w:fldCharType="separate"/>
            </w:r>
            <w:r>
              <w:rPr>
                <w:noProof/>
                <w:sz w:val="18"/>
                <w:szCs w:val="18"/>
                <w:rtl/>
              </w:rPr>
              <w:t>2023</w:t>
            </w:r>
            <w:r w:rsidRPr="003838B2">
              <w:rPr>
                <w:sz w:val="18"/>
                <w:szCs w:val="18"/>
                <w:rtl/>
              </w:rPr>
              <w:fldChar w:fldCharType="end"/>
            </w:r>
          </w:p>
        </w:tc>
        <w:tc>
          <w:tcPr>
            <w:tcW w:w="641" w:type="dxa"/>
            <w:vAlign w:val="bottom"/>
          </w:tcPr>
          <w:p w14:paraId="2A394CCC" w14:textId="77777777" w:rsidR="00A82C7F" w:rsidRPr="002C0AFF" w:rsidRDefault="00A82C7F" w:rsidP="00A00A53">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c>
          <w:tcPr>
            <w:tcW w:w="709" w:type="dxa"/>
            <w:vAlign w:val="bottom"/>
          </w:tcPr>
          <w:p w14:paraId="73440759" w14:textId="77777777" w:rsidR="00A82C7F" w:rsidRPr="002C0AFF" w:rsidRDefault="00A82C7F" w:rsidP="00A00A53">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c>
          <w:tcPr>
            <w:tcW w:w="567" w:type="dxa"/>
            <w:vAlign w:val="bottom"/>
          </w:tcPr>
          <w:p w14:paraId="13DAC7FD" w14:textId="77777777" w:rsidR="00A82C7F" w:rsidRPr="002C0AFF" w:rsidRDefault="00A82C7F" w:rsidP="00A00A53">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c>
          <w:tcPr>
            <w:tcW w:w="641" w:type="dxa"/>
            <w:vAlign w:val="bottom"/>
          </w:tcPr>
          <w:p w14:paraId="4B36E2B1" w14:textId="77777777" w:rsidR="00A82C7F" w:rsidRPr="002C0AFF" w:rsidRDefault="00A82C7F" w:rsidP="00A00A53">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c>
          <w:tcPr>
            <w:tcW w:w="1345" w:type="dxa"/>
            <w:vAlign w:val="bottom"/>
          </w:tcPr>
          <w:p w14:paraId="13A37978" w14:textId="77777777" w:rsidR="00A82C7F" w:rsidRPr="002C0AFF" w:rsidRDefault="00A82C7F" w:rsidP="00A00A53">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c>
          <w:tcPr>
            <w:tcW w:w="851" w:type="dxa"/>
            <w:vAlign w:val="bottom"/>
          </w:tcPr>
          <w:p w14:paraId="0177A9EB" w14:textId="77777777" w:rsidR="00A82C7F" w:rsidRPr="002C0AFF" w:rsidRDefault="00A82C7F" w:rsidP="00A00A53">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r>
      <w:tr w:rsidR="00A82C7F" w:rsidRPr="00BA061F" w14:paraId="383D5DC5" w14:textId="77777777" w:rsidTr="00A82C7F">
        <w:tc>
          <w:tcPr>
            <w:tcW w:w="659" w:type="dxa"/>
          </w:tcPr>
          <w:p w14:paraId="2DC7EC7B" w14:textId="77777777" w:rsidR="00A82C7F" w:rsidRDefault="00A82C7F" w:rsidP="005A04AF">
            <w:pPr>
              <w:pStyle w:val="-fa"/>
              <w:bidi w:val="0"/>
              <w:ind w:right="-142"/>
              <w:jc w:val="both"/>
              <w:rPr>
                <w:rtl/>
              </w:rPr>
            </w:pPr>
          </w:p>
        </w:tc>
        <w:tc>
          <w:tcPr>
            <w:tcW w:w="4465" w:type="dxa"/>
            <w:vAlign w:val="bottom"/>
          </w:tcPr>
          <w:p w14:paraId="37FDEA64" w14:textId="1021B2E8" w:rsidR="00A82C7F" w:rsidRPr="005A04AF" w:rsidRDefault="00A82C7F" w:rsidP="005A04AF">
            <w:pPr>
              <w:pStyle w:val="-b"/>
              <w:spacing w:line="240" w:lineRule="auto"/>
              <w:jc w:val="both"/>
              <w:rPr>
                <w:rFonts w:asciiTheme="minorBidi" w:hAnsiTheme="minorBidi" w:cstheme="minorBidi"/>
                <w:b w:val="0"/>
                <w:bCs w:val="0"/>
                <w:sz w:val="18"/>
                <w:szCs w:val="18"/>
                <w:rtl/>
              </w:rPr>
            </w:pPr>
            <w:r w:rsidRPr="005A04AF">
              <w:rPr>
                <w:rFonts w:asciiTheme="minorBidi" w:hAnsiTheme="minorBidi" w:cstheme="minorBidi"/>
                <w:b w:val="0"/>
                <w:bCs w:val="0"/>
                <w:sz w:val="18"/>
                <w:szCs w:val="18"/>
                <w:rtl/>
              </w:rPr>
              <w:t xml:space="preserve">הוצאות בגין הפסדי אשראי </w:t>
            </w:r>
          </w:p>
        </w:tc>
        <w:tc>
          <w:tcPr>
            <w:tcW w:w="641" w:type="dxa"/>
            <w:vAlign w:val="bottom"/>
          </w:tcPr>
          <w:p w14:paraId="2315BDA5" w14:textId="62860367" w:rsidR="00A82C7F" w:rsidRPr="002C0AFF" w:rsidRDefault="00A82C7F" w:rsidP="005A04AF">
            <w:pPr>
              <w:pStyle w:val="-3"/>
              <w:spacing w:line="240" w:lineRule="auto"/>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709" w:type="dxa"/>
            <w:vAlign w:val="bottom"/>
          </w:tcPr>
          <w:p w14:paraId="14192914" w14:textId="31408307" w:rsidR="00A82C7F" w:rsidRPr="002C0AFF" w:rsidRDefault="00A82C7F" w:rsidP="005A04AF">
            <w:pPr>
              <w:pStyle w:val="-3"/>
              <w:spacing w:line="240" w:lineRule="auto"/>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567" w:type="dxa"/>
            <w:vAlign w:val="bottom"/>
          </w:tcPr>
          <w:p w14:paraId="24499858" w14:textId="05E6CA17" w:rsidR="00A82C7F" w:rsidRPr="002C0AFF" w:rsidRDefault="00A82C7F" w:rsidP="005A04AF">
            <w:pPr>
              <w:pStyle w:val="-3"/>
              <w:spacing w:line="240" w:lineRule="auto"/>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641" w:type="dxa"/>
            <w:vAlign w:val="bottom"/>
          </w:tcPr>
          <w:p w14:paraId="366624A9" w14:textId="13402CA3" w:rsidR="00A82C7F" w:rsidRPr="002C0AFF" w:rsidRDefault="00A82C7F" w:rsidP="005A04AF">
            <w:pPr>
              <w:pStyle w:val="-3"/>
              <w:spacing w:line="240" w:lineRule="auto"/>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1345" w:type="dxa"/>
            <w:vAlign w:val="bottom"/>
          </w:tcPr>
          <w:p w14:paraId="0799462F" w14:textId="4D7ECCC0" w:rsidR="00A82C7F" w:rsidRPr="002C0AFF" w:rsidRDefault="00A82C7F" w:rsidP="005A04AF">
            <w:pPr>
              <w:pStyle w:val="-3"/>
              <w:spacing w:line="240" w:lineRule="auto"/>
              <w:rPr>
                <w:rFonts w:asciiTheme="minorBidi" w:hAnsiTheme="minorBidi" w:cstheme="minorBidi"/>
                <w:b/>
                <w:bCs/>
                <w:sz w:val="18"/>
                <w:szCs w:val="18"/>
                <w:rtl/>
              </w:rPr>
            </w:pPr>
            <w:r w:rsidRPr="003838B2">
              <w:rPr>
                <w:rFonts w:asciiTheme="minorBidi" w:hAnsiTheme="minorBidi" w:cstheme="minorBidi" w:hint="cs"/>
                <w:b/>
                <w:bCs/>
                <w:sz w:val="18"/>
                <w:szCs w:val="18"/>
                <w:rtl/>
              </w:rPr>
              <w:t xml:space="preserve"> 0</w:t>
            </w:r>
          </w:p>
        </w:tc>
        <w:tc>
          <w:tcPr>
            <w:tcW w:w="851" w:type="dxa"/>
            <w:vAlign w:val="bottom"/>
          </w:tcPr>
          <w:p w14:paraId="1E2623F0" w14:textId="4FA785CB" w:rsidR="00A82C7F" w:rsidRPr="002C0AFF" w:rsidRDefault="00A82C7F" w:rsidP="005A04AF">
            <w:pPr>
              <w:pStyle w:val="-3"/>
              <w:spacing w:line="240" w:lineRule="auto"/>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r>
      <w:tr w:rsidR="00A82C7F" w:rsidRPr="00BA061F" w14:paraId="3E06A33F" w14:textId="77777777" w:rsidTr="00A82C7F">
        <w:tc>
          <w:tcPr>
            <w:tcW w:w="659" w:type="dxa"/>
          </w:tcPr>
          <w:p w14:paraId="25430F28" w14:textId="77777777" w:rsidR="00A82C7F" w:rsidRDefault="00A82C7F" w:rsidP="005A04AF">
            <w:pPr>
              <w:pStyle w:val="-fa"/>
              <w:bidi w:val="0"/>
              <w:ind w:right="-142"/>
              <w:jc w:val="both"/>
              <w:rPr>
                <w:rtl/>
              </w:rPr>
            </w:pPr>
          </w:p>
        </w:tc>
        <w:tc>
          <w:tcPr>
            <w:tcW w:w="4465" w:type="dxa"/>
            <w:vAlign w:val="bottom"/>
          </w:tcPr>
          <w:p w14:paraId="2F4AA961" w14:textId="5BE286DB" w:rsidR="00A82C7F" w:rsidRPr="003838B2" w:rsidRDefault="00A82C7F" w:rsidP="005A04AF">
            <w:pPr>
              <w:pStyle w:val="-21"/>
              <w:spacing w:before="120"/>
              <w:ind w:left="357" w:right="142" w:hanging="142"/>
              <w:rPr>
                <w:rFonts w:asciiTheme="minorBidi" w:hAnsiTheme="minorBidi" w:cstheme="minorBidi"/>
                <w:sz w:val="18"/>
                <w:szCs w:val="18"/>
                <w:rtl/>
              </w:rPr>
            </w:pPr>
            <w:r w:rsidRPr="003838B2">
              <w:rPr>
                <w:rFonts w:asciiTheme="minorBidi" w:hAnsiTheme="minorBidi" w:cstheme="minorBidi"/>
                <w:sz w:val="18"/>
                <w:szCs w:val="18"/>
                <w:rtl/>
              </w:rPr>
              <w:t xml:space="preserve">מחיקות חשבונאיות </w:t>
            </w:r>
          </w:p>
        </w:tc>
        <w:tc>
          <w:tcPr>
            <w:tcW w:w="641" w:type="dxa"/>
            <w:vAlign w:val="bottom"/>
          </w:tcPr>
          <w:p w14:paraId="5E50B14C" w14:textId="21ACE3E3" w:rsidR="00A82C7F" w:rsidRPr="002C0AFF" w:rsidRDefault="00A82C7F" w:rsidP="005A04AF">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(0)</w:t>
            </w:r>
          </w:p>
        </w:tc>
        <w:tc>
          <w:tcPr>
            <w:tcW w:w="709" w:type="dxa"/>
            <w:vAlign w:val="bottom"/>
          </w:tcPr>
          <w:p w14:paraId="58AEA040" w14:textId="5EF2DF54" w:rsidR="00A82C7F" w:rsidRPr="002C0AFF" w:rsidRDefault="00A82C7F" w:rsidP="005A04AF">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(0)</w:t>
            </w:r>
          </w:p>
        </w:tc>
        <w:tc>
          <w:tcPr>
            <w:tcW w:w="567" w:type="dxa"/>
            <w:vAlign w:val="bottom"/>
          </w:tcPr>
          <w:p w14:paraId="3E46A9D1" w14:textId="7940452E" w:rsidR="00A82C7F" w:rsidRPr="002C0AFF" w:rsidRDefault="00A82C7F" w:rsidP="005A04AF">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(0)</w:t>
            </w:r>
          </w:p>
        </w:tc>
        <w:tc>
          <w:tcPr>
            <w:tcW w:w="641" w:type="dxa"/>
            <w:vAlign w:val="bottom"/>
          </w:tcPr>
          <w:p w14:paraId="37ED865A" w14:textId="03F1430E" w:rsidR="00A82C7F" w:rsidRPr="002C0AFF" w:rsidRDefault="00A82C7F" w:rsidP="005A04AF">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(0)</w:t>
            </w:r>
          </w:p>
        </w:tc>
        <w:tc>
          <w:tcPr>
            <w:tcW w:w="1345" w:type="dxa"/>
            <w:vAlign w:val="bottom"/>
          </w:tcPr>
          <w:p w14:paraId="2E47F2DA" w14:textId="56A371FE" w:rsidR="00A82C7F" w:rsidRPr="002C0AFF" w:rsidRDefault="00A82C7F" w:rsidP="005A04AF">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(0)</w:t>
            </w:r>
          </w:p>
        </w:tc>
        <w:tc>
          <w:tcPr>
            <w:tcW w:w="851" w:type="dxa"/>
            <w:vAlign w:val="bottom"/>
          </w:tcPr>
          <w:p w14:paraId="193C6BF7" w14:textId="0A3B0EA7" w:rsidR="00A82C7F" w:rsidRPr="002C0AFF" w:rsidRDefault="00A82C7F" w:rsidP="005A04AF">
            <w:pPr>
              <w:pStyle w:val="-3"/>
              <w:spacing w:line="240" w:lineRule="auto"/>
              <w:rPr>
                <w:rFonts w:asciiTheme="minorBidi" w:hAnsiTheme="minorBidi" w:cstheme="minorBidi"/>
                <w:b/>
                <w:bCs/>
                <w:sz w:val="18"/>
                <w:szCs w:val="18"/>
                <w:rtl/>
              </w:rPr>
            </w:pPr>
            <w:r w:rsidRPr="003838B2">
              <w:rPr>
                <w:rFonts w:asciiTheme="minorBidi" w:hAnsiTheme="minorBidi" w:cstheme="minorBidi"/>
                <w:sz w:val="18"/>
                <w:szCs w:val="18"/>
                <w:rtl/>
              </w:rPr>
              <w:t>(0)</w:t>
            </w:r>
          </w:p>
        </w:tc>
      </w:tr>
      <w:tr w:rsidR="00A82C7F" w:rsidRPr="00C94190" w14:paraId="3B7334F4" w14:textId="77777777" w:rsidTr="00A82C7F">
        <w:trPr>
          <w:trHeight w:val="259"/>
        </w:trPr>
        <w:tc>
          <w:tcPr>
            <w:tcW w:w="659" w:type="dxa"/>
          </w:tcPr>
          <w:p w14:paraId="1FB16A6D" w14:textId="77777777" w:rsidR="00A82C7F" w:rsidRDefault="00A82C7F" w:rsidP="005A04AF">
            <w:pPr>
              <w:pStyle w:val="-fa"/>
              <w:ind w:right="-142"/>
              <w:rPr>
                <w:rtl/>
              </w:rPr>
            </w:pPr>
          </w:p>
        </w:tc>
        <w:tc>
          <w:tcPr>
            <w:tcW w:w="4465" w:type="dxa"/>
            <w:vAlign w:val="bottom"/>
          </w:tcPr>
          <w:p w14:paraId="393515EB" w14:textId="241CD85E" w:rsidR="00A82C7F" w:rsidRPr="003838B2" w:rsidRDefault="00A82C7F" w:rsidP="005A04AF">
            <w:pPr>
              <w:pStyle w:val="-21"/>
              <w:ind w:left="361" w:right="144"/>
              <w:rPr>
                <w:rFonts w:asciiTheme="minorBidi" w:hAnsiTheme="minorBidi" w:cstheme="minorBidi"/>
                <w:sz w:val="18"/>
                <w:szCs w:val="18"/>
              </w:rPr>
            </w:pPr>
            <w:r w:rsidRPr="003838B2">
              <w:rPr>
                <w:rFonts w:asciiTheme="minorBidi" w:hAnsiTheme="minorBidi" w:cstheme="minorBidi"/>
                <w:sz w:val="18"/>
                <w:szCs w:val="18"/>
                <w:rtl/>
              </w:rPr>
              <w:t>גביית חובות שנמחקו חשבונאית בשנים קודמות</w:t>
            </w:r>
          </w:p>
        </w:tc>
        <w:tc>
          <w:tcPr>
            <w:tcW w:w="641" w:type="dxa"/>
            <w:vAlign w:val="bottom"/>
          </w:tcPr>
          <w:p w14:paraId="4496A553" w14:textId="3DBEF2AF" w:rsidR="00A82C7F" w:rsidRPr="002C0AFF" w:rsidRDefault="00A82C7F" w:rsidP="005A04AF">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709" w:type="dxa"/>
            <w:vAlign w:val="bottom"/>
          </w:tcPr>
          <w:p w14:paraId="62512988" w14:textId="448621DD" w:rsidR="00A82C7F" w:rsidRPr="002C0AFF" w:rsidRDefault="00A82C7F" w:rsidP="005A04AF">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567" w:type="dxa"/>
            <w:vAlign w:val="bottom"/>
          </w:tcPr>
          <w:p w14:paraId="5EB33214" w14:textId="3EAF3067" w:rsidR="00A82C7F" w:rsidRPr="002C0AFF" w:rsidRDefault="00A82C7F" w:rsidP="005A04AF">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641" w:type="dxa"/>
            <w:vAlign w:val="bottom"/>
          </w:tcPr>
          <w:p w14:paraId="1B9503C8" w14:textId="055828D7" w:rsidR="00A82C7F" w:rsidRPr="002C0AFF" w:rsidRDefault="00A82C7F" w:rsidP="005A04AF">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1345" w:type="dxa"/>
            <w:vAlign w:val="bottom"/>
          </w:tcPr>
          <w:p w14:paraId="3EBED351" w14:textId="47DECCBA" w:rsidR="00A82C7F" w:rsidRPr="002C0AFF" w:rsidRDefault="00A82C7F" w:rsidP="005A04AF">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hint="cs"/>
                <w:szCs w:val="18"/>
                <w:rtl/>
              </w:rPr>
              <w:t xml:space="preserve"> 0</w:t>
            </w:r>
          </w:p>
        </w:tc>
        <w:tc>
          <w:tcPr>
            <w:tcW w:w="851" w:type="dxa"/>
            <w:vAlign w:val="bottom"/>
          </w:tcPr>
          <w:p w14:paraId="39BDA517" w14:textId="24E797CC" w:rsidR="00A82C7F" w:rsidRPr="002C0AFF" w:rsidRDefault="00A82C7F" w:rsidP="005A04AF">
            <w:pPr>
              <w:pStyle w:val="-120"/>
              <w:pBdr>
                <w:top w:val="none" w:sz="0" w:space="0" w:color="auto"/>
                <w:bottom w:val="single" w:sz="4" w:space="1" w:color="auto"/>
              </w:pBdr>
              <w:rPr>
                <w:rFonts w:asciiTheme="minorBidi" w:hAnsiTheme="minorBidi" w:cstheme="minorBidi"/>
                <w:b/>
                <w:bCs/>
                <w:szCs w:val="18"/>
                <w:rtl/>
              </w:rPr>
            </w:pPr>
            <w:r w:rsidRPr="003838B2">
              <w:rPr>
                <w:rFonts w:asciiTheme="minorBidi" w:hAnsiTheme="minorBidi" w:cstheme="minorBidi"/>
                <w:szCs w:val="18"/>
                <w:rtl/>
              </w:rPr>
              <w:t xml:space="preserve"> 0</w:t>
            </w:r>
          </w:p>
        </w:tc>
      </w:tr>
      <w:tr w:rsidR="00A82C7F" w:rsidRPr="00BA061F" w14:paraId="5D9D9BAB" w14:textId="77777777" w:rsidTr="00A82C7F">
        <w:tc>
          <w:tcPr>
            <w:tcW w:w="659" w:type="dxa"/>
          </w:tcPr>
          <w:p w14:paraId="4DC34710" w14:textId="77777777" w:rsidR="00A82C7F" w:rsidRDefault="00A82C7F" w:rsidP="005A04AF">
            <w:pPr>
              <w:pStyle w:val="-fa"/>
              <w:bidi w:val="0"/>
              <w:ind w:right="-142"/>
              <w:jc w:val="both"/>
              <w:rPr>
                <w:rtl/>
              </w:rPr>
            </w:pPr>
          </w:p>
        </w:tc>
        <w:tc>
          <w:tcPr>
            <w:tcW w:w="4465" w:type="dxa"/>
            <w:vAlign w:val="bottom"/>
          </w:tcPr>
          <w:p w14:paraId="64A80745" w14:textId="086632BF" w:rsidR="00A82C7F" w:rsidRPr="005A04AF" w:rsidRDefault="00A82C7F" w:rsidP="005A04AF">
            <w:pPr>
              <w:pStyle w:val="-b"/>
              <w:spacing w:line="240" w:lineRule="auto"/>
              <w:jc w:val="both"/>
              <w:rPr>
                <w:rFonts w:asciiTheme="minorBidi" w:hAnsiTheme="minorBidi" w:cstheme="minorBidi"/>
                <w:b w:val="0"/>
                <w:bCs w:val="0"/>
                <w:sz w:val="18"/>
                <w:szCs w:val="18"/>
                <w:rtl/>
              </w:rPr>
            </w:pPr>
            <w:r w:rsidRPr="005A04AF">
              <w:rPr>
                <w:rFonts w:asciiTheme="minorBidi" w:hAnsiTheme="minorBidi" w:cstheme="minorBidi"/>
                <w:b w:val="0"/>
                <w:bCs w:val="0"/>
                <w:sz w:val="18"/>
                <w:szCs w:val="18"/>
                <w:rtl/>
              </w:rPr>
              <w:t xml:space="preserve">מחיקות חשבונאיות נטו </w:t>
            </w:r>
          </w:p>
        </w:tc>
        <w:tc>
          <w:tcPr>
            <w:tcW w:w="641" w:type="dxa"/>
            <w:vAlign w:val="bottom"/>
          </w:tcPr>
          <w:p w14:paraId="1D2BD7EE" w14:textId="7633288E" w:rsidR="00A82C7F" w:rsidRPr="002C0AFF" w:rsidRDefault="00A82C7F" w:rsidP="005A04AF">
            <w:pPr>
              <w:pStyle w:val="-3"/>
              <w:spacing w:line="240" w:lineRule="auto"/>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709" w:type="dxa"/>
            <w:vAlign w:val="bottom"/>
          </w:tcPr>
          <w:p w14:paraId="36079496" w14:textId="77235267" w:rsidR="00A82C7F" w:rsidRPr="002C0AFF" w:rsidRDefault="00A82C7F" w:rsidP="005A04AF">
            <w:pPr>
              <w:pStyle w:val="-3"/>
              <w:spacing w:line="240" w:lineRule="auto"/>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567" w:type="dxa"/>
            <w:vAlign w:val="bottom"/>
          </w:tcPr>
          <w:p w14:paraId="5BDC1123" w14:textId="797A779B" w:rsidR="00A82C7F" w:rsidRPr="002C0AFF" w:rsidRDefault="00A82C7F" w:rsidP="005A04AF">
            <w:pPr>
              <w:pStyle w:val="-3"/>
              <w:spacing w:line="240" w:lineRule="auto"/>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641" w:type="dxa"/>
            <w:vAlign w:val="bottom"/>
          </w:tcPr>
          <w:p w14:paraId="248A52F8" w14:textId="6B389C4C" w:rsidR="00A82C7F" w:rsidRPr="002C0AFF" w:rsidRDefault="00A82C7F" w:rsidP="005A04AF">
            <w:pPr>
              <w:pStyle w:val="-3"/>
              <w:spacing w:line="240" w:lineRule="auto"/>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1345" w:type="dxa"/>
            <w:vAlign w:val="bottom"/>
          </w:tcPr>
          <w:p w14:paraId="699DB31B" w14:textId="6FCB96B8" w:rsidR="00A82C7F" w:rsidRPr="002C0AFF" w:rsidRDefault="00A82C7F" w:rsidP="005A04AF">
            <w:pPr>
              <w:pStyle w:val="-3"/>
              <w:spacing w:line="240" w:lineRule="auto"/>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851" w:type="dxa"/>
            <w:vAlign w:val="bottom"/>
          </w:tcPr>
          <w:p w14:paraId="61ED09CB" w14:textId="7B016473" w:rsidR="00A82C7F" w:rsidRPr="002C0AFF" w:rsidRDefault="00A82C7F" w:rsidP="005A04AF">
            <w:pPr>
              <w:pStyle w:val="-3"/>
              <w:spacing w:line="240" w:lineRule="auto"/>
              <w:rPr>
                <w:rFonts w:asciiTheme="minorBidi" w:hAnsiTheme="minorBidi" w:cstheme="minorBidi"/>
                <w:b/>
                <w:bCs/>
                <w:sz w:val="18"/>
                <w:szCs w:val="18"/>
                <w:rtl/>
              </w:rPr>
            </w:pPr>
            <w:r w:rsidRPr="005A04AF">
              <w:rPr>
                <w:rFonts w:asciiTheme="minorBidi" w:hAnsiTheme="minorBidi" w:cstheme="minorBidi"/>
                <w:b/>
                <w:bCs/>
                <w:sz w:val="18"/>
                <w:szCs w:val="18"/>
                <w:rtl/>
              </w:rPr>
              <w:t>(0)</w:t>
            </w:r>
          </w:p>
        </w:tc>
      </w:tr>
      <w:tr w:rsidR="00A82C7F" w:rsidRPr="00BA061F" w14:paraId="4C5D0843" w14:textId="77777777" w:rsidTr="00A82C7F">
        <w:tc>
          <w:tcPr>
            <w:tcW w:w="659" w:type="dxa"/>
          </w:tcPr>
          <w:p w14:paraId="0269D0AF" w14:textId="77777777" w:rsidR="00A82C7F" w:rsidRDefault="00A82C7F" w:rsidP="005A04AF">
            <w:pPr>
              <w:pStyle w:val="-fa"/>
              <w:bidi w:val="0"/>
              <w:ind w:right="-142"/>
              <w:jc w:val="both"/>
              <w:rPr>
                <w:rtl/>
              </w:rPr>
            </w:pPr>
          </w:p>
        </w:tc>
        <w:tc>
          <w:tcPr>
            <w:tcW w:w="4465" w:type="dxa"/>
            <w:vAlign w:val="bottom"/>
          </w:tcPr>
          <w:p w14:paraId="701F8EC3" w14:textId="2A28D2EE" w:rsidR="00A82C7F" w:rsidRPr="005A04AF" w:rsidRDefault="00A82C7F" w:rsidP="000B19AE">
            <w:pPr>
              <w:pStyle w:val="-b"/>
              <w:spacing w:before="40" w:line="240" w:lineRule="auto"/>
              <w:ind w:left="142" w:hanging="142"/>
              <w:jc w:val="both"/>
              <w:rPr>
                <w:rFonts w:asciiTheme="minorBidi" w:hAnsiTheme="minorBidi" w:cstheme="minorBidi"/>
                <w:b w:val="0"/>
                <w:bCs w:val="0"/>
                <w:sz w:val="18"/>
                <w:szCs w:val="18"/>
                <w:rtl/>
              </w:rPr>
            </w:pPr>
            <w:r w:rsidRPr="005A04AF">
              <w:rPr>
                <w:rFonts w:asciiTheme="minorBidi" w:hAnsiTheme="minorBidi" w:cstheme="minorBidi"/>
                <w:b w:val="0"/>
                <w:bCs w:val="0"/>
                <w:sz w:val="18"/>
                <w:szCs w:val="18"/>
                <w:rtl/>
              </w:rPr>
              <w:t>התאמות מתרגום דוחות כספיים</w:t>
            </w:r>
          </w:p>
        </w:tc>
        <w:tc>
          <w:tcPr>
            <w:tcW w:w="641" w:type="dxa"/>
            <w:vAlign w:val="bottom"/>
          </w:tcPr>
          <w:p w14:paraId="05B4B44C" w14:textId="18BDC4CA" w:rsidR="00A82C7F" w:rsidRPr="002C0AFF" w:rsidRDefault="00A82C7F" w:rsidP="005A04AF">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 xml:space="preserve"> 0</w:t>
            </w:r>
          </w:p>
        </w:tc>
        <w:tc>
          <w:tcPr>
            <w:tcW w:w="709" w:type="dxa"/>
            <w:vAlign w:val="bottom"/>
          </w:tcPr>
          <w:p w14:paraId="007578FE" w14:textId="1CABCCD7" w:rsidR="00A82C7F" w:rsidRPr="002C0AFF" w:rsidRDefault="00A82C7F" w:rsidP="005A04AF">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 xml:space="preserve"> 0</w:t>
            </w:r>
          </w:p>
        </w:tc>
        <w:tc>
          <w:tcPr>
            <w:tcW w:w="567" w:type="dxa"/>
            <w:vAlign w:val="bottom"/>
          </w:tcPr>
          <w:p w14:paraId="35AF5049" w14:textId="31DB708B" w:rsidR="00A82C7F" w:rsidRPr="002C0AFF" w:rsidRDefault="00A82C7F" w:rsidP="005A04AF">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 xml:space="preserve"> 0</w:t>
            </w:r>
          </w:p>
        </w:tc>
        <w:tc>
          <w:tcPr>
            <w:tcW w:w="641" w:type="dxa"/>
            <w:vAlign w:val="bottom"/>
          </w:tcPr>
          <w:p w14:paraId="21A7DA36" w14:textId="2BD769EB" w:rsidR="00A82C7F" w:rsidRPr="002C0AFF" w:rsidRDefault="00A82C7F" w:rsidP="005A04AF">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 xml:space="preserve"> 0</w:t>
            </w:r>
          </w:p>
        </w:tc>
        <w:tc>
          <w:tcPr>
            <w:tcW w:w="1345" w:type="dxa"/>
            <w:vAlign w:val="bottom"/>
          </w:tcPr>
          <w:p w14:paraId="3F6B18D1" w14:textId="668CEBC2" w:rsidR="00A82C7F" w:rsidRPr="002C0AFF" w:rsidRDefault="00A82C7F" w:rsidP="005A04AF">
            <w:pPr>
              <w:pStyle w:val="-3"/>
              <w:spacing w:line="240" w:lineRule="auto"/>
              <w:rPr>
                <w:rFonts w:asciiTheme="minorBidi" w:hAnsiTheme="minorBidi" w:cstheme="minorBidi"/>
                <w:b/>
                <w:bCs/>
                <w:sz w:val="18"/>
                <w:szCs w:val="18"/>
                <w:rtl/>
              </w:rPr>
            </w:pPr>
            <w:r w:rsidRPr="002C0AFF">
              <w:rPr>
                <w:rFonts w:asciiTheme="minorBidi" w:hAnsiTheme="minorBidi" w:cstheme="minorBidi" w:hint="cs"/>
                <w:sz w:val="18"/>
                <w:szCs w:val="18"/>
                <w:rtl/>
              </w:rPr>
              <w:t xml:space="preserve"> 0</w:t>
            </w:r>
          </w:p>
        </w:tc>
        <w:tc>
          <w:tcPr>
            <w:tcW w:w="851" w:type="dxa"/>
            <w:vAlign w:val="bottom"/>
          </w:tcPr>
          <w:p w14:paraId="0AA3E38B" w14:textId="171D387B" w:rsidR="00A82C7F" w:rsidRPr="002C0AFF" w:rsidRDefault="00A82C7F" w:rsidP="005A04AF">
            <w:pPr>
              <w:pStyle w:val="-3"/>
              <w:spacing w:line="240" w:lineRule="auto"/>
              <w:rPr>
                <w:rFonts w:asciiTheme="minorBidi" w:hAnsiTheme="minorBidi" w:cstheme="minorBidi"/>
                <w:b/>
                <w:bCs/>
                <w:sz w:val="18"/>
                <w:szCs w:val="18"/>
                <w:rtl/>
              </w:rPr>
            </w:pPr>
            <w:r w:rsidRPr="003838B2">
              <w:rPr>
                <w:rFonts w:asciiTheme="minorBidi" w:hAnsiTheme="minorBidi" w:cstheme="minorBidi"/>
                <w:sz w:val="18"/>
                <w:szCs w:val="18"/>
                <w:rtl/>
              </w:rPr>
              <w:t xml:space="preserve"> 0</w:t>
            </w:r>
          </w:p>
        </w:tc>
      </w:tr>
      <w:tr w:rsidR="00A82C7F" w:rsidRPr="00C94190" w14:paraId="57D1A6EE" w14:textId="77777777" w:rsidTr="00A82C7F">
        <w:trPr>
          <w:trHeight w:val="259"/>
        </w:trPr>
        <w:tc>
          <w:tcPr>
            <w:tcW w:w="659" w:type="dxa"/>
          </w:tcPr>
          <w:p w14:paraId="2812D818" w14:textId="77777777" w:rsidR="00A82C7F" w:rsidRPr="003B24D4" w:rsidRDefault="00A82C7F" w:rsidP="00A00A53">
            <w:pPr>
              <w:pStyle w:val="-fa"/>
              <w:ind w:right="-142"/>
              <w:rPr>
                <w:rtl/>
              </w:rPr>
            </w:pPr>
          </w:p>
        </w:tc>
        <w:tc>
          <w:tcPr>
            <w:tcW w:w="4465" w:type="dxa"/>
            <w:vAlign w:val="bottom"/>
          </w:tcPr>
          <w:p w14:paraId="6762979B" w14:textId="77777777" w:rsidR="00A82C7F" w:rsidRPr="003838B2" w:rsidRDefault="00A82C7F" w:rsidP="00A00A53">
            <w:pPr>
              <w:pStyle w:val="-0"/>
              <w:spacing w:before="40" w:line="240" w:lineRule="auto"/>
              <w:ind w:left="142" w:hanging="142"/>
              <w:rPr>
                <w:rFonts w:asciiTheme="minorBidi" w:hAnsiTheme="minorBidi" w:cstheme="minorBidi"/>
                <w:b/>
                <w:bCs/>
                <w:sz w:val="18"/>
                <w:szCs w:val="18"/>
                <w:rtl/>
              </w:rPr>
            </w:pPr>
            <w:r w:rsidRPr="003838B2">
              <w:rPr>
                <w:rFonts w:asciiTheme="minorBidi" w:hAnsiTheme="minorBidi" w:cstheme="minorBidi"/>
                <w:sz w:val="18"/>
                <w:szCs w:val="18"/>
                <w:rtl/>
              </w:rPr>
              <w:t>אחר</w:t>
            </w:r>
          </w:p>
        </w:tc>
        <w:tc>
          <w:tcPr>
            <w:tcW w:w="641" w:type="dxa"/>
            <w:vAlign w:val="bottom"/>
          </w:tcPr>
          <w:p w14:paraId="4C5EF8BD" w14:textId="77777777" w:rsidR="00A82C7F" w:rsidRPr="002C0AFF" w:rsidRDefault="00A82C7F" w:rsidP="00A00A53">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709" w:type="dxa"/>
            <w:vAlign w:val="bottom"/>
          </w:tcPr>
          <w:p w14:paraId="727945EC" w14:textId="77777777" w:rsidR="00A82C7F" w:rsidRPr="002C0AFF" w:rsidRDefault="00A82C7F" w:rsidP="00A00A53">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7" w:type="dxa"/>
            <w:vAlign w:val="bottom"/>
          </w:tcPr>
          <w:p w14:paraId="317C51B7" w14:textId="77777777" w:rsidR="00A82C7F" w:rsidRPr="002C0AFF" w:rsidRDefault="00A82C7F" w:rsidP="00A00A53">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641" w:type="dxa"/>
            <w:vAlign w:val="bottom"/>
          </w:tcPr>
          <w:p w14:paraId="0957B160" w14:textId="77777777" w:rsidR="00A82C7F" w:rsidRPr="002C0AFF" w:rsidRDefault="00A82C7F" w:rsidP="00A00A53">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345" w:type="dxa"/>
            <w:vAlign w:val="bottom"/>
          </w:tcPr>
          <w:p w14:paraId="043C65D4" w14:textId="77777777" w:rsidR="00A82C7F" w:rsidRPr="002C0AFF" w:rsidRDefault="00A82C7F" w:rsidP="00A00A53">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851" w:type="dxa"/>
            <w:vAlign w:val="bottom"/>
          </w:tcPr>
          <w:p w14:paraId="1C1B211A" w14:textId="77777777" w:rsidR="00A82C7F" w:rsidRPr="005A04AF" w:rsidRDefault="00A82C7F" w:rsidP="00A00A53">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b/>
                <w:bCs/>
                <w:sz w:val="18"/>
                <w:szCs w:val="18"/>
                <w:rtl/>
              </w:rPr>
              <w:t xml:space="preserve"> </w:t>
            </w:r>
            <w:r w:rsidRPr="005A04AF">
              <w:rPr>
                <w:rFonts w:asciiTheme="minorBidi" w:hAnsiTheme="minorBidi" w:cstheme="minorBidi"/>
                <w:sz w:val="18"/>
                <w:szCs w:val="18"/>
                <w:rtl/>
              </w:rPr>
              <w:t>0</w:t>
            </w:r>
          </w:p>
        </w:tc>
      </w:tr>
      <w:tr w:rsidR="00A82C7F" w:rsidRPr="00C94190" w14:paraId="4D90B907" w14:textId="77777777" w:rsidTr="00A82C7F">
        <w:tc>
          <w:tcPr>
            <w:tcW w:w="659" w:type="dxa"/>
          </w:tcPr>
          <w:p w14:paraId="20FDD30D" w14:textId="77777777" w:rsidR="00A82C7F" w:rsidRDefault="00A82C7F" w:rsidP="00A00A53">
            <w:pPr>
              <w:pStyle w:val="-fa"/>
              <w:bidi w:val="0"/>
              <w:ind w:right="-142"/>
              <w:jc w:val="both"/>
              <w:rPr>
                <w:rtl/>
              </w:rPr>
            </w:pPr>
          </w:p>
        </w:tc>
        <w:tc>
          <w:tcPr>
            <w:tcW w:w="4465" w:type="dxa"/>
            <w:vAlign w:val="bottom"/>
          </w:tcPr>
          <w:p w14:paraId="5894A73C" w14:textId="49449B59" w:rsidR="00A82C7F" w:rsidRPr="003838B2" w:rsidRDefault="00A82C7F" w:rsidP="00A00A53">
            <w:pPr>
              <w:pStyle w:val="-b"/>
              <w:bidi w:val="0"/>
              <w:spacing w:line="240" w:lineRule="auto"/>
              <w:jc w:val="right"/>
              <w:rPr>
                <w:rFonts w:asciiTheme="minorBidi" w:hAnsiTheme="minorBidi" w:cstheme="minorBidi"/>
                <w:sz w:val="18"/>
                <w:szCs w:val="18"/>
              </w:rPr>
            </w:pPr>
            <w:r w:rsidRPr="003838B2">
              <w:rPr>
                <w:sz w:val="18"/>
                <w:szCs w:val="18"/>
                <w:rtl/>
              </w:rPr>
              <w:t>יתר</w:t>
            </w:r>
            <w:r w:rsidRPr="003838B2">
              <w:rPr>
                <w:rFonts w:hint="cs"/>
                <w:sz w:val="18"/>
                <w:szCs w:val="18"/>
                <w:rtl/>
              </w:rPr>
              <w:t xml:space="preserve">ת הפרשה להפסדי אשראי ליום 30 ביוני </w:t>
            </w:r>
            <w:r w:rsidRPr="003838B2">
              <w:rPr>
                <w:sz w:val="18"/>
                <w:szCs w:val="18"/>
                <w:rtl/>
              </w:rPr>
              <w:fldChar w:fldCharType="begin"/>
            </w:r>
            <w:r w:rsidRPr="003838B2">
              <w:rPr>
                <w:sz w:val="18"/>
                <w:szCs w:val="18"/>
                <w:rtl/>
              </w:rPr>
              <w:instrText xml:space="preserve"> </w:instrText>
            </w:r>
            <w:r w:rsidRPr="003838B2">
              <w:rPr>
                <w:rFonts w:hint="cs"/>
                <w:sz w:val="18"/>
                <w:szCs w:val="18"/>
                <w:rtl/>
              </w:rPr>
              <w:instrText xml:space="preserve">= </w:instrText>
            </w:r>
            <w:r w:rsidRPr="003838B2">
              <w:rPr>
                <w:rFonts w:hint="cs"/>
                <w:sz w:val="18"/>
                <w:szCs w:val="18"/>
              </w:rPr>
              <w:instrText>CY</w:instrText>
            </w:r>
            <w:r w:rsidRPr="003838B2">
              <w:rPr>
                <w:sz w:val="18"/>
                <w:szCs w:val="18"/>
              </w:rPr>
              <w:instrText>-1</w:instrText>
            </w:r>
            <w:r w:rsidRPr="003838B2">
              <w:rPr>
                <w:rFonts w:hint="cs"/>
                <w:sz w:val="18"/>
                <w:szCs w:val="18"/>
              </w:rPr>
              <w:instrText xml:space="preserve"> \* MERGEFORMAT</w:instrText>
            </w:r>
            <w:r w:rsidRPr="003838B2">
              <w:rPr>
                <w:sz w:val="18"/>
                <w:szCs w:val="18"/>
                <w:rtl/>
              </w:rPr>
              <w:instrText xml:space="preserve"> </w:instrText>
            </w:r>
            <w:r w:rsidRPr="003838B2">
              <w:rPr>
                <w:sz w:val="18"/>
                <w:szCs w:val="18"/>
                <w:rtl/>
              </w:rPr>
              <w:fldChar w:fldCharType="separate"/>
            </w:r>
            <w:r>
              <w:rPr>
                <w:noProof/>
                <w:sz w:val="18"/>
                <w:szCs w:val="18"/>
                <w:rtl/>
              </w:rPr>
              <w:t>2023</w:t>
            </w:r>
            <w:r w:rsidRPr="003838B2">
              <w:rPr>
                <w:sz w:val="18"/>
                <w:szCs w:val="18"/>
                <w:rtl/>
              </w:rPr>
              <w:fldChar w:fldCharType="end"/>
            </w:r>
          </w:p>
        </w:tc>
        <w:tc>
          <w:tcPr>
            <w:tcW w:w="641" w:type="dxa"/>
            <w:vAlign w:val="bottom"/>
          </w:tcPr>
          <w:p w14:paraId="59E0A121" w14:textId="77777777" w:rsidR="00A82C7F" w:rsidRPr="005A04AF" w:rsidRDefault="00A82C7F" w:rsidP="00A00A53">
            <w:pPr>
              <w:pStyle w:val="-3"/>
              <w:pBdr>
                <w:bottom w:val="double" w:sz="4" w:space="1" w:color="auto"/>
              </w:pBdr>
              <w:rPr>
                <w:rFonts w:asciiTheme="minorBidi" w:hAnsiTheme="minorBidi" w:cstheme="minorBidi"/>
                <w:b/>
                <w:bCs/>
                <w:sz w:val="18"/>
                <w:szCs w:val="18"/>
                <w:rtl/>
              </w:rPr>
            </w:pPr>
            <w:r w:rsidRPr="005A04AF">
              <w:rPr>
                <w:rFonts w:asciiTheme="minorBidi" w:hAnsiTheme="minorBidi" w:cstheme="minorBidi"/>
                <w:b/>
                <w:bCs/>
                <w:sz w:val="18"/>
                <w:szCs w:val="18"/>
                <w:rtl/>
              </w:rPr>
              <w:t xml:space="preserve"> 0</w:t>
            </w:r>
          </w:p>
        </w:tc>
        <w:tc>
          <w:tcPr>
            <w:tcW w:w="709" w:type="dxa"/>
            <w:vAlign w:val="bottom"/>
          </w:tcPr>
          <w:p w14:paraId="19926441" w14:textId="77777777" w:rsidR="00A82C7F" w:rsidRPr="005A04AF" w:rsidRDefault="00A82C7F" w:rsidP="00A00A53">
            <w:pPr>
              <w:pStyle w:val="-3"/>
              <w:pBdr>
                <w:bottom w:val="double" w:sz="4" w:space="1" w:color="auto"/>
              </w:pBdr>
              <w:rPr>
                <w:rFonts w:asciiTheme="minorBidi" w:hAnsiTheme="minorBidi" w:cstheme="minorBidi"/>
                <w:b/>
                <w:bCs/>
                <w:sz w:val="18"/>
                <w:szCs w:val="18"/>
                <w:rtl/>
              </w:rPr>
            </w:pPr>
            <w:r w:rsidRPr="005A04AF">
              <w:rPr>
                <w:rFonts w:asciiTheme="minorBidi" w:hAnsiTheme="minorBidi" w:cstheme="minorBidi"/>
                <w:b/>
                <w:bCs/>
                <w:sz w:val="18"/>
                <w:szCs w:val="18"/>
                <w:rtl/>
              </w:rPr>
              <w:t xml:space="preserve"> 0</w:t>
            </w:r>
          </w:p>
        </w:tc>
        <w:tc>
          <w:tcPr>
            <w:tcW w:w="567" w:type="dxa"/>
            <w:vAlign w:val="bottom"/>
          </w:tcPr>
          <w:p w14:paraId="201CCF5B" w14:textId="77777777" w:rsidR="00A82C7F" w:rsidRPr="005A04AF" w:rsidRDefault="00A82C7F" w:rsidP="00A00A53">
            <w:pPr>
              <w:pStyle w:val="-3"/>
              <w:pBdr>
                <w:bottom w:val="double" w:sz="4" w:space="1" w:color="auto"/>
              </w:pBdr>
              <w:rPr>
                <w:rFonts w:asciiTheme="minorBidi" w:hAnsiTheme="minorBidi" w:cstheme="minorBidi"/>
                <w:b/>
                <w:bCs/>
                <w:sz w:val="18"/>
                <w:szCs w:val="18"/>
                <w:rtl/>
              </w:rPr>
            </w:pPr>
            <w:r w:rsidRPr="005A04AF">
              <w:rPr>
                <w:rFonts w:asciiTheme="minorBidi" w:hAnsiTheme="minorBidi" w:cstheme="minorBidi"/>
                <w:b/>
                <w:bCs/>
                <w:sz w:val="18"/>
                <w:szCs w:val="18"/>
                <w:rtl/>
              </w:rPr>
              <w:t xml:space="preserve"> 0</w:t>
            </w:r>
          </w:p>
        </w:tc>
        <w:tc>
          <w:tcPr>
            <w:tcW w:w="641" w:type="dxa"/>
            <w:vAlign w:val="bottom"/>
          </w:tcPr>
          <w:p w14:paraId="0C4BA350" w14:textId="77777777" w:rsidR="00A82C7F" w:rsidRPr="005A04AF" w:rsidRDefault="00A82C7F" w:rsidP="00A00A53">
            <w:pPr>
              <w:pStyle w:val="-3"/>
              <w:pBdr>
                <w:bottom w:val="double" w:sz="4" w:space="1" w:color="auto"/>
              </w:pBdr>
              <w:rPr>
                <w:rFonts w:asciiTheme="minorBidi" w:hAnsiTheme="minorBidi" w:cstheme="minorBidi"/>
                <w:b/>
                <w:bCs/>
                <w:sz w:val="18"/>
                <w:szCs w:val="18"/>
                <w:rtl/>
              </w:rPr>
            </w:pPr>
            <w:r w:rsidRPr="005A04AF">
              <w:rPr>
                <w:rFonts w:asciiTheme="minorBidi" w:hAnsiTheme="minorBidi" w:cstheme="minorBidi"/>
                <w:b/>
                <w:bCs/>
                <w:sz w:val="18"/>
                <w:szCs w:val="18"/>
                <w:rtl/>
              </w:rPr>
              <w:t xml:space="preserve"> 0</w:t>
            </w:r>
          </w:p>
        </w:tc>
        <w:tc>
          <w:tcPr>
            <w:tcW w:w="1345" w:type="dxa"/>
            <w:vAlign w:val="bottom"/>
          </w:tcPr>
          <w:p w14:paraId="4CC4F1F4" w14:textId="77777777" w:rsidR="00A82C7F" w:rsidRPr="005A04AF" w:rsidRDefault="00A82C7F" w:rsidP="00A00A53">
            <w:pPr>
              <w:pStyle w:val="-3"/>
              <w:pBdr>
                <w:bottom w:val="double" w:sz="4" w:space="1" w:color="auto"/>
              </w:pBdr>
              <w:rPr>
                <w:rFonts w:asciiTheme="minorBidi" w:hAnsiTheme="minorBidi" w:cstheme="minorBidi"/>
                <w:b/>
                <w:bCs/>
                <w:sz w:val="18"/>
                <w:szCs w:val="18"/>
                <w:rtl/>
              </w:rPr>
            </w:pPr>
            <w:r w:rsidRPr="005A04AF">
              <w:rPr>
                <w:rFonts w:asciiTheme="minorBidi" w:hAnsiTheme="minorBidi" w:cstheme="minorBidi" w:hint="cs"/>
                <w:b/>
                <w:bCs/>
                <w:sz w:val="18"/>
                <w:szCs w:val="18"/>
                <w:rtl/>
              </w:rPr>
              <w:t xml:space="preserve"> 0</w:t>
            </w:r>
          </w:p>
        </w:tc>
        <w:tc>
          <w:tcPr>
            <w:tcW w:w="851" w:type="dxa"/>
            <w:vAlign w:val="bottom"/>
          </w:tcPr>
          <w:p w14:paraId="3A82F8D4" w14:textId="77777777" w:rsidR="00A82C7F" w:rsidRPr="002C0AFF" w:rsidRDefault="00A82C7F" w:rsidP="00A00A53">
            <w:pPr>
              <w:pStyle w:val="-3"/>
              <w:pBdr>
                <w:bottom w:val="double" w:sz="4" w:space="1" w:color="auto"/>
              </w:pBdr>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r>
      <w:tr w:rsidR="00A82C7F" w:rsidRPr="00BA061F" w14:paraId="1A6940D7" w14:textId="77777777" w:rsidTr="00A82C7F">
        <w:trPr>
          <w:trHeight w:val="87"/>
        </w:trPr>
        <w:tc>
          <w:tcPr>
            <w:tcW w:w="659" w:type="dxa"/>
          </w:tcPr>
          <w:p w14:paraId="44171D7B" w14:textId="77777777" w:rsidR="00A82C7F" w:rsidRDefault="00A82C7F" w:rsidP="00A00A53">
            <w:pPr>
              <w:pStyle w:val="-7"/>
              <w:bidi w:val="0"/>
              <w:spacing w:line="60" w:lineRule="exact"/>
              <w:ind w:hanging="142"/>
              <w:rPr>
                <w:rtl/>
              </w:rPr>
            </w:pPr>
          </w:p>
        </w:tc>
        <w:tc>
          <w:tcPr>
            <w:tcW w:w="4465" w:type="dxa"/>
            <w:vAlign w:val="bottom"/>
          </w:tcPr>
          <w:p w14:paraId="4301FBC2" w14:textId="77777777" w:rsidR="00A82C7F" w:rsidRPr="003838B2" w:rsidRDefault="00A82C7F" w:rsidP="00A00A53">
            <w:pPr>
              <w:pStyle w:val="-b"/>
              <w:spacing w:line="60" w:lineRule="exact"/>
              <w:ind w:hanging="142"/>
              <w:jc w:val="both"/>
              <w:rPr>
                <w:rFonts w:asciiTheme="minorBidi" w:hAnsiTheme="minorBidi" w:cstheme="minorBidi"/>
                <w:b w:val="0"/>
                <w:bCs w:val="0"/>
                <w:sz w:val="18"/>
                <w:szCs w:val="18"/>
                <w:rtl/>
              </w:rPr>
            </w:pPr>
          </w:p>
        </w:tc>
        <w:tc>
          <w:tcPr>
            <w:tcW w:w="641" w:type="dxa"/>
            <w:vAlign w:val="bottom"/>
          </w:tcPr>
          <w:p w14:paraId="3E241A31" w14:textId="77777777" w:rsidR="00A82C7F" w:rsidRPr="002C0AFF" w:rsidRDefault="00A82C7F" w:rsidP="00A00A53">
            <w:pPr>
              <w:pStyle w:val="-3"/>
              <w:spacing w:line="60" w:lineRule="exact"/>
              <w:ind w:hanging="142"/>
              <w:rPr>
                <w:sz w:val="18"/>
                <w:szCs w:val="18"/>
                <w:rtl/>
              </w:rPr>
            </w:pPr>
          </w:p>
        </w:tc>
        <w:tc>
          <w:tcPr>
            <w:tcW w:w="709" w:type="dxa"/>
            <w:vAlign w:val="bottom"/>
          </w:tcPr>
          <w:p w14:paraId="0A0DA60B" w14:textId="77777777" w:rsidR="00A82C7F" w:rsidRPr="002C0AFF" w:rsidRDefault="00A82C7F" w:rsidP="00A00A53">
            <w:pPr>
              <w:pStyle w:val="-3"/>
              <w:spacing w:line="60" w:lineRule="exact"/>
              <w:ind w:hanging="142"/>
              <w:rPr>
                <w:sz w:val="18"/>
                <w:szCs w:val="18"/>
                <w:rtl/>
              </w:rPr>
            </w:pPr>
          </w:p>
        </w:tc>
        <w:tc>
          <w:tcPr>
            <w:tcW w:w="567" w:type="dxa"/>
            <w:vAlign w:val="bottom"/>
          </w:tcPr>
          <w:p w14:paraId="48A7981D" w14:textId="77777777" w:rsidR="00A82C7F" w:rsidRPr="002C0AFF" w:rsidRDefault="00A82C7F" w:rsidP="00A00A53">
            <w:pPr>
              <w:pStyle w:val="-3"/>
              <w:spacing w:line="60" w:lineRule="exact"/>
              <w:ind w:hanging="142"/>
              <w:rPr>
                <w:sz w:val="18"/>
                <w:szCs w:val="18"/>
                <w:rtl/>
              </w:rPr>
            </w:pPr>
          </w:p>
        </w:tc>
        <w:tc>
          <w:tcPr>
            <w:tcW w:w="641" w:type="dxa"/>
            <w:vAlign w:val="bottom"/>
          </w:tcPr>
          <w:p w14:paraId="60835924" w14:textId="77777777" w:rsidR="00A82C7F" w:rsidRPr="002C0AFF" w:rsidRDefault="00A82C7F" w:rsidP="00A00A53">
            <w:pPr>
              <w:pStyle w:val="-3"/>
              <w:spacing w:line="60" w:lineRule="exact"/>
              <w:ind w:hanging="142"/>
              <w:rPr>
                <w:sz w:val="18"/>
                <w:szCs w:val="18"/>
                <w:rtl/>
              </w:rPr>
            </w:pPr>
          </w:p>
        </w:tc>
        <w:tc>
          <w:tcPr>
            <w:tcW w:w="1345" w:type="dxa"/>
            <w:vAlign w:val="bottom"/>
          </w:tcPr>
          <w:p w14:paraId="29FF944B" w14:textId="77777777" w:rsidR="00A82C7F" w:rsidRPr="002C0AFF" w:rsidRDefault="00A82C7F" w:rsidP="00A00A53">
            <w:pPr>
              <w:pStyle w:val="-3"/>
              <w:spacing w:line="60" w:lineRule="exact"/>
              <w:ind w:hanging="142"/>
              <w:rPr>
                <w:sz w:val="18"/>
                <w:szCs w:val="18"/>
                <w:rtl/>
              </w:rPr>
            </w:pPr>
          </w:p>
        </w:tc>
        <w:tc>
          <w:tcPr>
            <w:tcW w:w="851" w:type="dxa"/>
            <w:vAlign w:val="bottom"/>
          </w:tcPr>
          <w:p w14:paraId="4CE8CF65" w14:textId="77777777" w:rsidR="00A82C7F" w:rsidRPr="002C0AFF" w:rsidRDefault="00A82C7F" w:rsidP="00A00A53">
            <w:pPr>
              <w:pStyle w:val="-3"/>
              <w:spacing w:line="60" w:lineRule="exact"/>
              <w:ind w:hanging="142"/>
              <w:rPr>
                <w:b/>
                <w:bCs/>
                <w:sz w:val="18"/>
                <w:szCs w:val="18"/>
                <w:rtl/>
              </w:rPr>
            </w:pPr>
          </w:p>
        </w:tc>
      </w:tr>
      <w:tr w:rsidR="00A82C7F" w:rsidRPr="00C94190" w14:paraId="609C0967" w14:textId="77777777" w:rsidTr="00A82C7F">
        <w:tc>
          <w:tcPr>
            <w:tcW w:w="659" w:type="dxa"/>
          </w:tcPr>
          <w:p w14:paraId="52E94834" w14:textId="77777777" w:rsidR="00A82C7F" w:rsidRDefault="00A82C7F" w:rsidP="00A00A53">
            <w:pPr>
              <w:pStyle w:val="-fa"/>
              <w:bidi w:val="0"/>
              <w:ind w:right="-142"/>
              <w:jc w:val="both"/>
              <w:rPr>
                <w:rtl/>
              </w:rPr>
            </w:pPr>
          </w:p>
        </w:tc>
        <w:tc>
          <w:tcPr>
            <w:tcW w:w="4465" w:type="dxa"/>
            <w:vAlign w:val="bottom"/>
          </w:tcPr>
          <w:p w14:paraId="0E51C819" w14:textId="77777777" w:rsidR="00A82C7F" w:rsidRPr="003838B2" w:rsidRDefault="00A82C7F" w:rsidP="00A00A53">
            <w:pPr>
              <w:pStyle w:val="-b"/>
              <w:bidi w:val="0"/>
              <w:spacing w:line="240" w:lineRule="auto"/>
              <w:ind w:right="180"/>
              <w:jc w:val="right"/>
              <w:rPr>
                <w:rFonts w:asciiTheme="minorBidi" w:hAnsiTheme="minorBidi" w:cstheme="minorBidi"/>
                <w:b w:val="0"/>
                <w:bCs w:val="0"/>
                <w:sz w:val="18"/>
                <w:szCs w:val="18"/>
              </w:rPr>
            </w:pPr>
            <w:r w:rsidRPr="003838B2">
              <w:rPr>
                <w:rFonts w:hint="cs"/>
                <w:b w:val="0"/>
                <w:bCs w:val="0"/>
                <w:sz w:val="18"/>
                <w:szCs w:val="18"/>
                <w:rtl/>
              </w:rPr>
              <w:t>מזה: בגין מכשירי אשראי חוץ מאזניים</w:t>
            </w:r>
          </w:p>
        </w:tc>
        <w:tc>
          <w:tcPr>
            <w:tcW w:w="641" w:type="dxa"/>
            <w:vAlign w:val="bottom"/>
          </w:tcPr>
          <w:p w14:paraId="72762AF7" w14:textId="77777777" w:rsidR="00A82C7F" w:rsidRPr="002C0AFF" w:rsidRDefault="00A82C7F" w:rsidP="00A00A53">
            <w:pPr>
              <w:pStyle w:val="-3"/>
              <w:rPr>
                <w:rFonts w:asciiTheme="minorBidi" w:hAnsiTheme="minorBidi" w:cstheme="minorBidi"/>
                <w:sz w:val="18"/>
                <w:szCs w:val="18"/>
                <w:rtl/>
              </w:rPr>
            </w:pPr>
            <w:r w:rsidRPr="002C0AFF">
              <w:rPr>
                <w:rFonts w:hint="cs"/>
                <w:sz w:val="18"/>
                <w:szCs w:val="18"/>
                <w:rtl/>
              </w:rPr>
              <w:t xml:space="preserve"> 0</w:t>
            </w:r>
          </w:p>
        </w:tc>
        <w:tc>
          <w:tcPr>
            <w:tcW w:w="709" w:type="dxa"/>
            <w:vAlign w:val="bottom"/>
          </w:tcPr>
          <w:p w14:paraId="3A5B354D" w14:textId="77777777" w:rsidR="00A82C7F" w:rsidRPr="002C0AFF" w:rsidRDefault="00A82C7F" w:rsidP="00A00A53">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567" w:type="dxa"/>
            <w:vAlign w:val="bottom"/>
          </w:tcPr>
          <w:p w14:paraId="58189048" w14:textId="77777777" w:rsidR="00A82C7F" w:rsidRPr="002C0AFF" w:rsidRDefault="00A82C7F" w:rsidP="00A00A53">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641" w:type="dxa"/>
            <w:vAlign w:val="bottom"/>
          </w:tcPr>
          <w:p w14:paraId="4163F4AB" w14:textId="77777777" w:rsidR="00A82C7F" w:rsidRPr="002C0AFF" w:rsidRDefault="00A82C7F" w:rsidP="00A00A53">
            <w:pPr>
              <w:pStyle w:val="-3"/>
              <w:rPr>
                <w:rFonts w:asciiTheme="minorBidi" w:hAnsiTheme="minorBidi" w:cstheme="minorBidi"/>
                <w:sz w:val="18"/>
                <w:szCs w:val="18"/>
                <w:rtl/>
              </w:rPr>
            </w:pPr>
            <w:r w:rsidRPr="002C0AFF">
              <w:rPr>
                <w:rFonts w:hint="cs"/>
                <w:sz w:val="18"/>
                <w:szCs w:val="18"/>
                <w:rtl/>
              </w:rPr>
              <w:t xml:space="preserve"> 0</w:t>
            </w:r>
          </w:p>
        </w:tc>
        <w:tc>
          <w:tcPr>
            <w:tcW w:w="1345" w:type="dxa"/>
            <w:vAlign w:val="bottom"/>
          </w:tcPr>
          <w:p w14:paraId="32AE2E25" w14:textId="77777777" w:rsidR="00A82C7F" w:rsidRPr="002C0AFF" w:rsidRDefault="00A82C7F" w:rsidP="00A00A53">
            <w:pPr>
              <w:pStyle w:val="-3"/>
              <w:rPr>
                <w:sz w:val="18"/>
                <w:szCs w:val="18"/>
                <w:rtl/>
              </w:rPr>
            </w:pPr>
            <w:r w:rsidRPr="002C0AFF">
              <w:rPr>
                <w:rFonts w:hint="cs"/>
                <w:sz w:val="18"/>
                <w:szCs w:val="18"/>
                <w:rtl/>
              </w:rPr>
              <w:t xml:space="preserve"> 0</w:t>
            </w:r>
          </w:p>
        </w:tc>
        <w:tc>
          <w:tcPr>
            <w:tcW w:w="851" w:type="dxa"/>
            <w:vAlign w:val="bottom"/>
          </w:tcPr>
          <w:p w14:paraId="5F2D1C1A" w14:textId="77777777" w:rsidR="00A82C7F" w:rsidRPr="002C0AFF" w:rsidRDefault="00A82C7F" w:rsidP="00A00A53">
            <w:pPr>
              <w:pStyle w:val="-3"/>
              <w:rPr>
                <w:rFonts w:asciiTheme="minorBidi" w:hAnsiTheme="minorBidi" w:cstheme="minorBidi"/>
                <w:b/>
                <w:bCs/>
                <w:sz w:val="18"/>
                <w:szCs w:val="18"/>
                <w:rtl/>
              </w:rPr>
            </w:pPr>
            <w:r w:rsidRPr="002C0AFF">
              <w:rPr>
                <w:rFonts w:hint="cs"/>
                <w:b/>
                <w:bCs/>
                <w:sz w:val="18"/>
                <w:szCs w:val="18"/>
                <w:rtl/>
              </w:rPr>
              <w:t xml:space="preserve"> 0</w:t>
            </w:r>
          </w:p>
        </w:tc>
      </w:tr>
    </w:tbl>
    <w:p w14:paraId="01D5BA26" w14:textId="77777777" w:rsidR="00F32A2A" w:rsidRDefault="00F32A2A">
      <w:pPr>
        <w:spacing w:line="360" w:lineRule="auto"/>
        <w:rPr>
          <w:rtl/>
        </w:rPr>
      </w:pPr>
    </w:p>
    <w:tbl>
      <w:tblPr>
        <w:bidiVisual/>
        <w:tblW w:w="4906" w:type="pct"/>
        <w:tblInd w:w="423" w:type="dxa"/>
        <w:tblLayout w:type="fixed"/>
        <w:tblLook w:val="01E0" w:firstRow="1" w:lastRow="1" w:firstColumn="1" w:lastColumn="1" w:noHBand="0" w:noVBand="0"/>
      </w:tblPr>
      <w:tblGrid>
        <w:gridCol w:w="566"/>
        <w:gridCol w:w="566"/>
        <w:gridCol w:w="636"/>
        <w:gridCol w:w="3482"/>
        <w:gridCol w:w="442"/>
        <w:gridCol w:w="824"/>
        <w:gridCol w:w="825"/>
        <w:gridCol w:w="626"/>
        <w:gridCol w:w="1812"/>
        <w:gridCol w:w="236"/>
      </w:tblGrid>
      <w:tr w:rsidR="00A82C7F" w:rsidRPr="009E7447" w14:paraId="07F6303A" w14:textId="77777777" w:rsidTr="007A567C">
        <w:trPr>
          <w:gridAfter w:val="1"/>
          <w:wAfter w:w="236" w:type="dxa"/>
          <w:trHeight w:val="63"/>
        </w:trPr>
        <w:tc>
          <w:tcPr>
            <w:tcW w:w="567" w:type="dxa"/>
          </w:tcPr>
          <w:p w14:paraId="6E450845" w14:textId="56FC2EAE" w:rsidR="00A82C7F" w:rsidRPr="009E7447" w:rsidRDefault="00A82C7F" w:rsidP="003F15A3">
            <w:pPr>
              <w:spacing w:before="60"/>
              <w:ind w:right="44"/>
              <w:jc w:val="right"/>
              <w:rPr>
                <w:spacing w:val="-6"/>
                <w:sz w:val="14"/>
                <w:szCs w:val="14"/>
                <w:rtl/>
              </w:rPr>
            </w:pPr>
          </w:p>
        </w:tc>
        <w:tc>
          <w:tcPr>
            <w:tcW w:w="9213" w:type="dxa"/>
            <w:gridSpan w:val="8"/>
            <w:vAlign w:val="bottom"/>
          </w:tcPr>
          <w:p w14:paraId="6994AE78" w14:textId="77777777" w:rsidR="00A82C7F" w:rsidRPr="00F12E72" w:rsidRDefault="00A82C7F" w:rsidP="003F15A3">
            <w:pPr>
              <w:spacing w:line="276" w:lineRule="auto"/>
              <w:rPr>
                <w:sz w:val="18"/>
                <w:szCs w:val="18"/>
                <w:rtl/>
              </w:rPr>
            </w:pPr>
            <w:r>
              <w:rPr>
                <w:rFonts w:hint="cs"/>
                <w:sz w:val="18"/>
                <w:szCs w:val="18"/>
                <w:rtl/>
              </w:rPr>
              <w:t xml:space="preserve">(א)  ככל שרלוונטי יינתן גילוי </w:t>
            </w:r>
            <w:r w:rsidRPr="009873B3">
              <w:rPr>
                <w:sz w:val="18"/>
                <w:szCs w:val="18"/>
                <w:rtl/>
              </w:rPr>
              <w:t>לסיבות לשינויים משמעותיים בסכומים של מחיקות חשבונאיות</w:t>
            </w:r>
            <w:r>
              <w:rPr>
                <w:rFonts w:hint="cs"/>
                <w:sz w:val="18"/>
                <w:szCs w:val="18"/>
                <w:rtl/>
              </w:rPr>
              <w:t>.</w:t>
            </w:r>
          </w:p>
        </w:tc>
      </w:tr>
      <w:tr w:rsidR="00A82C7F" w:rsidRPr="009E7447" w14:paraId="3D2141B3" w14:textId="77777777" w:rsidTr="007A567C">
        <w:trPr>
          <w:gridAfter w:val="1"/>
          <w:wAfter w:w="236" w:type="dxa"/>
          <w:trHeight w:val="737"/>
        </w:trPr>
        <w:tc>
          <w:tcPr>
            <w:tcW w:w="567" w:type="dxa"/>
          </w:tcPr>
          <w:p w14:paraId="0AA4D380" w14:textId="77777777" w:rsidR="00A82C7F" w:rsidRPr="009E7447" w:rsidRDefault="00A82C7F" w:rsidP="003F15A3">
            <w:pPr>
              <w:spacing w:before="60"/>
              <w:ind w:right="-142"/>
              <w:jc w:val="left"/>
              <w:rPr>
                <w:spacing w:val="-6"/>
                <w:sz w:val="14"/>
                <w:szCs w:val="14"/>
                <w:rtl/>
              </w:rPr>
            </w:pPr>
          </w:p>
        </w:tc>
        <w:tc>
          <w:tcPr>
            <w:tcW w:w="9213" w:type="dxa"/>
            <w:gridSpan w:val="8"/>
            <w:vAlign w:val="bottom"/>
          </w:tcPr>
          <w:p w14:paraId="2AC50054" w14:textId="79436563" w:rsidR="00A82C7F" w:rsidRPr="00D67104" w:rsidRDefault="00A82C7F" w:rsidP="003F15A3">
            <w:pPr>
              <w:pStyle w:val="a8"/>
              <w:ind w:left="172" w:hanging="141"/>
              <w:rPr>
                <w:rFonts w:ascii="Arial" w:eastAsia="Times New Roman" w:hAnsi="Arial" w:cs="Arial"/>
                <w:i/>
                <w:iCs/>
                <w:noProof w:val="0"/>
                <w:sz w:val="16"/>
                <w:szCs w:val="16"/>
                <w:rtl/>
              </w:rPr>
            </w:pPr>
            <w:r>
              <mc:AlternateContent>
                <mc:Choice Requires="wps">
                  <w:drawing>
                    <wp:anchor distT="0" distB="0" distL="114300" distR="114300" simplePos="0" relativeHeight="251662336" behindDoc="0" locked="0" layoutInCell="1" allowOverlap="1" wp14:anchorId="1E78E78C" wp14:editId="25CE166A">
                      <wp:simplePos x="0" y="0"/>
                      <wp:positionH relativeFrom="column">
                        <wp:posOffset>-54610</wp:posOffset>
                      </wp:positionH>
                      <wp:positionV relativeFrom="paragraph">
                        <wp:posOffset>-14605</wp:posOffset>
                      </wp:positionV>
                      <wp:extent cx="5859145" cy="357505"/>
                      <wp:effectExtent l="0" t="0" r="27305" b="23495"/>
                      <wp:wrapNone/>
                      <wp:docPr id="14" name="סוגר מרובע כפול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9145" cy="35750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458B1" id="סוגר מרובע כפול 14" o:spid="_x0000_s1026" type="#_x0000_t185" style="position:absolute;left:0;text-align:left;margin-left:-4.3pt;margin-top:-1.15pt;width:461.35pt;height: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" strokecolor="windowText" strokeweight=".5pt">
                      <v:stroke joinstyle="miter"/>
                      <v:path arrowok="t"/>
                    </v:shape>
                  </w:pict>
                </mc:Fallback>
              </mc:AlternateContent>
            </w:r>
            <w:r>
              <w:rPr>
                <w:rFonts w:ascii="Arial" w:eastAsia="Times New Roman" w:hAnsi="Arial" w:cs="Arial" w:hint="cs"/>
                <w:b/>
                <w:bCs/>
                <w:noProof w:val="0"/>
                <w:sz w:val="16"/>
                <w:szCs w:val="16"/>
                <w:rtl/>
              </w:rPr>
              <w:t xml:space="preserve"> </w:t>
            </w:r>
            <w:r w:rsidRPr="00D67104">
              <w:rPr>
                <w:rFonts w:ascii="Arial" w:eastAsia="Times New Roman" w:hAnsi="Arial" w:cs="Arial" w:hint="cs"/>
                <w:i/>
                <w:iCs/>
                <w:noProof w:val="0"/>
                <w:sz w:val="16"/>
                <w:szCs w:val="16"/>
                <w:rtl/>
              </w:rPr>
              <w:t>ככל שרלוונטי יצויין:</w:t>
            </w:r>
            <w:r w:rsidRPr="00D67104">
              <w:rPr>
                <w:rFonts w:ascii="Arial" w:eastAsia="Times New Roman" w:hAnsi="Arial" w:cs="Arial" w:hint="cs"/>
                <w:noProof w:val="0"/>
                <w:sz w:val="16"/>
                <w:szCs w:val="16"/>
                <w:vertAlign w:val="superscript"/>
                <w:rtl/>
              </w:rPr>
              <w:t xml:space="preserve"> [</w:t>
            </w:r>
            <w:r w:rsidRPr="00D67104">
              <w:rPr>
                <w:rStyle w:val="a7"/>
                <w:rFonts w:eastAsia="Times New Roman"/>
                <w:noProof w:val="0"/>
                <w:sz w:val="16"/>
                <w:szCs w:val="16"/>
                <w:rtl/>
              </w:rPr>
              <w:footnoteReference w:id="101"/>
            </w:r>
            <w:r w:rsidRPr="00D67104">
              <w:rPr>
                <w:rFonts w:ascii="Arial" w:eastAsia="Times New Roman" w:hAnsi="Arial" w:cs="Arial" w:hint="cs"/>
                <w:noProof w:val="0"/>
                <w:sz w:val="16"/>
                <w:szCs w:val="16"/>
                <w:vertAlign w:val="superscript"/>
                <w:rtl/>
              </w:rPr>
              <w:t>]</w:t>
            </w:r>
          </w:p>
          <w:p w14:paraId="62AA5F92" w14:textId="267FA9A1" w:rsidR="00A82C7F" w:rsidRPr="00D67104" w:rsidRDefault="00A82C7F" w:rsidP="003F15A3">
            <w:pPr>
              <w:pStyle w:val="a8"/>
              <w:ind w:left="342" w:hanging="284"/>
              <w:rPr>
                <w:sz w:val="16"/>
                <w:szCs w:val="16"/>
                <w:rtl/>
              </w:rPr>
            </w:pPr>
            <w:r w:rsidRPr="00D67104">
              <w:rPr>
                <w:rFonts w:ascii="Arial" w:eastAsia="Times New Roman" w:hAnsi="Arial" w:cs="Arial" w:hint="cs"/>
                <w:noProof w:val="0"/>
                <w:sz w:val="16"/>
                <w:szCs w:val="16"/>
                <w:rtl/>
              </w:rPr>
              <w:t>(</w:t>
            </w:r>
            <w:r>
              <w:rPr>
                <w:rFonts w:ascii="Arial" w:eastAsia="Times New Roman" w:hAnsi="Arial" w:cs="Arial" w:hint="cs"/>
                <w:noProof w:val="0"/>
                <w:sz w:val="16"/>
                <w:szCs w:val="16"/>
                <w:rtl/>
              </w:rPr>
              <w:t>ב</w:t>
            </w:r>
            <w:r w:rsidRPr="00D67104">
              <w:rPr>
                <w:rFonts w:ascii="Arial" w:eastAsia="Times New Roman" w:hAnsi="Arial" w:cs="Arial" w:hint="cs"/>
                <w:noProof w:val="0"/>
                <w:sz w:val="16"/>
                <w:szCs w:val="16"/>
                <w:rtl/>
              </w:rPr>
              <w:t>)</w:t>
            </w:r>
            <w:r>
              <w:rPr>
                <w:rFonts w:ascii="Arial" w:eastAsia="Times New Roman" w:hAnsi="Arial" w:cs="Arial" w:hint="cs"/>
                <w:noProof w:val="0"/>
                <w:sz w:val="16"/>
                <w:szCs w:val="16"/>
                <w:rtl/>
              </w:rPr>
              <w:t xml:space="preserve"> </w:t>
            </w:r>
            <w:r w:rsidRPr="00D67104">
              <w:rPr>
                <w:rFonts w:ascii="Arial" w:eastAsia="Times New Roman" w:hAnsi="Arial" w:cs="Arial" w:hint="cs"/>
                <w:noProof w:val="0"/>
                <w:sz w:val="16"/>
                <w:szCs w:val="16"/>
                <w:rtl/>
              </w:rPr>
              <w:t xml:space="preserve"> ה</w:t>
            </w:r>
            <w:r w:rsidRPr="00D67104">
              <w:rPr>
                <w:rFonts w:ascii="Arial" w:eastAsia="Times New Roman" w:hAnsi="Arial" w:cs="Arial"/>
                <w:noProof w:val="0"/>
                <w:sz w:val="16"/>
                <w:szCs w:val="16"/>
                <w:rtl/>
              </w:rPr>
              <w:t xml:space="preserve">תאגיד </w:t>
            </w:r>
            <w:r w:rsidRPr="00D67104">
              <w:rPr>
                <w:rFonts w:ascii="Arial" w:eastAsia="Times New Roman" w:hAnsi="Arial" w:cs="Arial" w:hint="cs"/>
                <w:noProof w:val="0"/>
                <w:sz w:val="16"/>
                <w:szCs w:val="16"/>
                <w:rtl/>
              </w:rPr>
              <w:t>ה</w:t>
            </w:r>
            <w:r w:rsidRPr="00D67104">
              <w:rPr>
                <w:rFonts w:ascii="Arial" w:eastAsia="Times New Roman" w:hAnsi="Arial" w:cs="Arial"/>
                <w:noProof w:val="0"/>
                <w:sz w:val="16"/>
                <w:szCs w:val="16"/>
                <w:rtl/>
              </w:rPr>
              <w:t>ב</w:t>
            </w:r>
            <w:r w:rsidRPr="00D67104">
              <w:rPr>
                <w:rFonts w:ascii="Arial" w:eastAsia="Times New Roman" w:hAnsi="Arial" w:cs="Arial" w:hint="cs"/>
                <w:noProof w:val="0"/>
                <w:sz w:val="16"/>
                <w:szCs w:val="16"/>
                <w:rtl/>
              </w:rPr>
              <w:t>נ</w:t>
            </w:r>
            <w:r w:rsidRPr="00D67104">
              <w:rPr>
                <w:rFonts w:ascii="Arial" w:eastAsia="Times New Roman" w:hAnsi="Arial" w:cs="Arial"/>
                <w:noProof w:val="0"/>
                <w:sz w:val="16"/>
                <w:szCs w:val="16"/>
                <w:rtl/>
              </w:rPr>
              <w:t xml:space="preserve">קאי </w:t>
            </w:r>
            <w:r>
              <w:rPr>
                <w:rFonts w:ascii="Arial" w:eastAsia="Times New Roman" w:hAnsi="Arial" w:cs="Arial" w:hint="cs"/>
                <w:noProof w:val="0"/>
                <w:sz w:val="16"/>
                <w:szCs w:val="16"/>
                <w:rtl/>
              </w:rPr>
              <w:t>בחר בחלופה לפיה,</w:t>
            </w:r>
            <w:r w:rsidRPr="00D67104">
              <w:rPr>
                <w:rFonts w:ascii="Arial" w:eastAsia="Times New Roman" w:hAnsi="Arial" w:cs="Arial" w:hint="cs"/>
                <w:noProof w:val="0"/>
                <w:sz w:val="16"/>
                <w:szCs w:val="16"/>
                <w:rtl/>
              </w:rPr>
              <w:t xml:space="preserve"> השינוי</w:t>
            </w:r>
            <w:r w:rsidRPr="00D67104">
              <w:rPr>
                <w:rFonts w:ascii="Arial" w:eastAsia="Times New Roman" w:hAnsi="Arial" w:cs="Arial"/>
                <w:noProof w:val="0"/>
                <w:sz w:val="16"/>
                <w:szCs w:val="16"/>
                <w:rtl/>
              </w:rPr>
              <w:t xml:space="preserve"> בהפרשה להפסדי אשראי </w:t>
            </w:r>
            <w:r>
              <w:rPr>
                <w:rFonts w:ascii="Arial" w:eastAsia="Times New Roman" w:hAnsi="Arial" w:cs="Arial" w:hint="cs"/>
                <w:noProof w:val="0"/>
                <w:sz w:val="16"/>
                <w:szCs w:val="16"/>
                <w:rtl/>
              </w:rPr>
              <w:t xml:space="preserve">הנובע משינוי בערך הנוכחי המיוחס לחלוף הזמן, נרשם </w:t>
            </w:r>
            <w:r w:rsidRPr="00D67104">
              <w:rPr>
                <w:rFonts w:ascii="Arial" w:eastAsia="Times New Roman" w:hAnsi="Arial" w:cs="Arial" w:hint="cs"/>
                <w:noProof w:val="0"/>
                <w:sz w:val="16"/>
                <w:szCs w:val="16"/>
                <w:rtl/>
              </w:rPr>
              <w:t>כהכנסות ריבית בסך כ- _</w:t>
            </w:r>
            <w:r>
              <w:rPr>
                <w:rFonts w:ascii="Arial" w:eastAsia="Times New Roman" w:hAnsi="Arial" w:cs="Arial" w:hint="cs"/>
                <w:noProof w:val="0"/>
                <w:sz w:val="16"/>
                <w:szCs w:val="16"/>
                <w:rtl/>
              </w:rPr>
              <w:t xml:space="preserve"> וכ-</w:t>
            </w:r>
            <w:r w:rsidRPr="00D67104">
              <w:rPr>
                <w:rFonts w:ascii="Arial" w:eastAsia="Times New Roman" w:hAnsi="Arial" w:cs="Arial" w:hint="cs"/>
                <w:noProof w:val="0"/>
                <w:sz w:val="16"/>
                <w:szCs w:val="16"/>
                <w:rtl/>
              </w:rPr>
              <w:t xml:space="preserve">__מיליוני ₪ לתקופה של 3 </w:t>
            </w:r>
            <w:r>
              <w:rPr>
                <w:rFonts w:ascii="Arial" w:eastAsia="Times New Roman" w:hAnsi="Arial" w:cs="Arial" w:hint="cs"/>
                <w:noProof w:val="0"/>
                <w:sz w:val="16"/>
                <w:szCs w:val="16"/>
                <w:rtl/>
              </w:rPr>
              <w:t xml:space="preserve">ו-6 </w:t>
            </w:r>
            <w:r w:rsidRPr="00D67104">
              <w:rPr>
                <w:rFonts w:ascii="Arial" w:eastAsia="Times New Roman" w:hAnsi="Arial" w:cs="Arial" w:hint="cs"/>
                <w:noProof w:val="0"/>
                <w:sz w:val="16"/>
                <w:szCs w:val="16"/>
                <w:rtl/>
              </w:rPr>
              <w:t>חודשים</w:t>
            </w:r>
            <w:r>
              <w:rPr>
                <w:rFonts w:ascii="Arial" w:eastAsia="Times New Roman" w:hAnsi="Arial" w:cs="Arial" w:hint="cs"/>
                <w:noProof w:val="0"/>
                <w:sz w:val="16"/>
                <w:szCs w:val="16"/>
                <w:rtl/>
              </w:rPr>
              <w:t>, בהתאמה,</w:t>
            </w:r>
            <w:r w:rsidRPr="00D67104">
              <w:rPr>
                <w:rFonts w:ascii="Arial" w:eastAsia="Times New Roman" w:hAnsi="Arial" w:cs="Arial" w:hint="cs"/>
                <w:noProof w:val="0"/>
                <w:sz w:val="16"/>
                <w:szCs w:val="16"/>
                <w:rtl/>
              </w:rPr>
              <w:t xml:space="preserve"> שהסתיימ</w:t>
            </w:r>
            <w:r>
              <w:rPr>
                <w:rFonts w:ascii="Arial" w:eastAsia="Times New Roman" w:hAnsi="Arial" w:cs="Arial" w:hint="cs"/>
                <w:noProof w:val="0"/>
                <w:sz w:val="16"/>
                <w:szCs w:val="16"/>
                <w:rtl/>
              </w:rPr>
              <w:t>ו</w:t>
            </w:r>
            <w:r w:rsidRPr="00D67104">
              <w:rPr>
                <w:rFonts w:ascii="Arial" w:eastAsia="Times New Roman" w:hAnsi="Arial" w:cs="Arial" w:hint="cs"/>
                <w:noProof w:val="0"/>
                <w:sz w:val="16"/>
                <w:szCs w:val="16"/>
                <w:rtl/>
              </w:rPr>
              <w:t xml:space="preserve"> ב </w:t>
            </w:r>
            <w:r>
              <w:rPr>
                <w:rFonts w:ascii="Arial" w:eastAsia="Times New Roman" w:hAnsi="Arial" w:cs="Arial" w:hint="cs"/>
                <w:noProof w:val="0"/>
                <w:sz w:val="16"/>
                <w:szCs w:val="16"/>
                <w:rtl/>
              </w:rPr>
              <w:t>30</w:t>
            </w:r>
            <w:r w:rsidRPr="00D67104">
              <w:rPr>
                <w:rFonts w:ascii="Arial" w:eastAsia="Times New Roman" w:hAnsi="Arial" w:cs="Arial" w:hint="cs"/>
                <w:noProof w:val="0"/>
                <w:sz w:val="16"/>
                <w:szCs w:val="16"/>
                <w:rtl/>
              </w:rPr>
              <w:t xml:space="preserve"> </w:t>
            </w:r>
            <w:r>
              <w:rPr>
                <w:rFonts w:ascii="Arial" w:eastAsia="Times New Roman" w:hAnsi="Arial" w:cs="Arial" w:hint="cs"/>
                <w:noProof w:val="0"/>
                <w:sz w:val="16"/>
                <w:szCs w:val="16"/>
                <w:rtl/>
              </w:rPr>
              <w:t>ביוני</w:t>
            </w:r>
            <w:r w:rsidRPr="00D67104">
              <w:rPr>
                <w:rFonts w:ascii="Arial" w:eastAsia="Times New Roman" w:hAnsi="Arial" w:cs="Arial" w:hint="cs"/>
                <w:noProof w:val="0"/>
                <w:sz w:val="16"/>
                <w:szCs w:val="16"/>
                <w:rtl/>
              </w:rPr>
              <w:t xml:space="preserve"> </w:t>
            </w:r>
            <w:r w:rsidRPr="00EB29D7">
              <w:rPr>
                <w:szCs w:val="18"/>
                <w:rtl/>
              </w:rPr>
              <w:fldChar w:fldCharType="begin"/>
            </w:r>
            <w:r w:rsidRPr="00EB29D7">
              <w:rPr>
                <w:szCs w:val="18"/>
                <w:rtl/>
              </w:rPr>
              <w:instrText xml:space="preserve"> </w:instrText>
            </w:r>
            <w:r w:rsidRPr="00EB29D7">
              <w:rPr>
                <w:rFonts w:hint="cs"/>
                <w:szCs w:val="18"/>
                <w:rtl/>
              </w:rPr>
              <w:instrText xml:space="preserve">= </w:instrText>
            </w:r>
            <w:r w:rsidRPr="00EB29D7">
              <w:rPr>
                <w:rFonts w:hint="cs"/>
                <w:szCs w:val="18"/>
              </w:rPr>
              <w:instrText>CY \* MERGEFORMAT</w:instrText>
            </w:r>
            <w:r w:rsidRPr="00EB29D7">
              <w:rPr>
                <w:szCs w:val="18"/>
                <w:rtl/>
              </w:rPr>
              <w:instrText xml:space="preserve"> </w:instrText>
            </w:r>
            <w:r w:rsidRPr="00EB29D7">
              <w:rPr>
                <w:szCs w:val="18"/>
                <w:rtl/>
              </w:rPr>
              <w:fldChar w:fldCharType="separate"/>
            </w:r>
            <w:r>
              <w:rPr>
                <w:szCs w:val="18"/>
                <w:rtl/>
              </w:rPr>
              <w:t>2024</w:t>
            </w:r>
            <w:r w:rsidRPr="00EB29D7">
              <w:rPr>
                <w:szCs w:val="18"/>
                <w:rtl/>
              </w:rPr>
              <w:fldChar w:fldCharType="end"/>
            </w:r>
            <w:r w:rsidRPr="00D67104">
              <w:rPr>
                <w:rFonts w:ascii="Arial" w:eastAsia="Times New Roman" w:hAnsi="Arial" w:cs="Arial" w:hint="cs"/>
                <w:noProof w:val="0"/>
                <w:sz w:val="16"/>
                <w:szCs w:val="16"/>
                <w:rtl/>
              </w:rPr>
              <w:t>.</w:t>
            </w:r>
            <w:r w:rsidRPr="00D67104">
              <w:rPr>
                <w:rFonts w:ascii="Arial" w:eastAsia="Times New Roman" w:hAnsi="Arial" w:cs="Arial" w:hint="cs"/>
                <w:b/>
                <w:bCs/>
                <w:noProof w:val="0"/>
                <w:sz w:val="16"/>
                <w:szCs w:val="16"/>
                <w:rtl/>
              </w:rPr>
              <w:t xml:space="preserve"> </w:t>
            </w:r>
          </w:p>
        </w:tc>
      </w:tr>
      <w:tr w:rsidR="00A82C7F" w:rsidRPr="009E7447" w14:paraId="34A25533" w14:textId="77777777" w:rsidTr="007A567C">
        <w:tc>
          <w:tcPr>
            <w:tcW w:w="1133" w:type="dxa"/>
            <w:gridSpan w:val="2"/>
          </w:tcPr>
          <w:p w14:paraId="3FE24BD1" w14:textId="77777777" w:rsidR="00A82C7F" w:rsidRPr="009E7447" w:rsidRDefault="00A82C7F" w:rsidP="003F15A3">
            <w:pPr>
              <w:bidi w:val="0"/>
              <w:spacing w:line="60" w:lineRule="exact"/>
              <w:ind w:right="-142"/>
              <w:rPr>
                <w:spacing w:val="-6"/>
                <w:sz w:val="14"/>
                <w:szCs w:val="14"/>
                <w:rtl/>
              </w:rPr>
            </w:pPr>
          </w:p>
        </w:tc>
        <w:tc>
          <w:tcPr>
            <w:tcW w:w="636" w:type="dxa"/>
          </w:tcPr>
          <w:p w14:paraId="34D23356" w14:textId="77777777" w:rsidR="00A82C7F" w:rsidRPr="009E7447" w:rsidRDefault="00A82C7F" w:rsidP="003F15A3">
            <w:pPr>
              <w:bidi w:val="0"/>
              <w:spacing w:line="60" w:lineRule="exact"/>
              <w:ind w:left="590" w:hanging="144"/>
              <w:rPr>
                <w:color w:val="000000"/>
                <w:sz w:val="18"/>
                <w:szCs w:val="18"/>
                <w:rtl/>
                <w:lang w:eastAsia="he-IL"/>
              </w:rPr>
            </w:pPr>
          </w:p>
        </w:tc>
        <w:tc>
          <w:tcPr>
            <w:tcW w:w="3482" w:type="dxa"/>
            <w:vAlign w:val="bottom"/>
          </w:tcPr>
          <w:p w14:paraId="7F084234" w14:textId="77777777" w:rsidR="00A82C7F" w:rsidRPr="009E7447" w:rsidRDefault="00A82C7F" w:rsidP="003F15A3">
            <w:pPr>
              <w:bidi w:val="0"/>
              <w:spacing w:line="60" w:lineRule="exact"/>
              <w:ind w:left="142" w:hanging="142"/>
              <w:rPr>
                <w:color w:val="000000"/>
                <w:sz w:val="18"/>
                <w:szCs w:val="18"/>
                <w:vertAlign w:val="superscript"/>
                <w:rtl/>
                <w:lang w:eastAsia="he-IL"/>
              </w:rPr>
            </w:pPr>
          </w:p>
        </w:tc>
        <w:tc>
          <w:tcPr>
            <w:tcW w:w="442" w:type="dxa"/>
            <w:vAlign w:val="bottom"/>
          </w:tcPr>
          <w:p w14:paraId="7AE0CE88" w14:textId="77777777" w:rsidR="00A82C7F" w:rsidRPr="009E7447" w:rsidRDefault="00A82C7F" w:rsidP="003F15A3">
            <w:pPr>
              <w:bidi w:val="0"/>
              <w:spacing w:line="60" w:lineRule="exact"/>
              <w:rPr>
                <w:sz w:val="18"/>
                <w:szCs w:val="18"/>
                <w:rtl/>
              </w:rPr>
            </w:pPr>
          </w:p>
        </w:tc>
        <w:tc>
          <w:tcPr>
            <w:tcW w:w="824" w:type="dxa"/>
            <w:vAlign w:val="bottom"/>
          </w:tcPr>
          <w:p w14:paraId="1D602B2C" w14:textId="77777777" w:rsidR="00A82C7F" w:rsidRPr="009E7447" w:rsidRDefault="00A82C7F" w:rsidP="003F15A3">
            <w:pPr>
              <w:bidi w:val="0"/>
              <w:spacing w:line="60" w:lineRule="exact"/>
              <w:rPr>
                <w:sz w:val="18"/>
                <w:szCs w:val="18"/>
                <w:rtl/>
              </w:rPr>
            </w:pPr>
          </w:p>
        </w:tc>
        <w:tc>
          <w:tcPr>
            <w:tcW w:w="825" w:type="dxa"/>
            <w:vAlign w:val="bottom"/>
          </w:tcPr>
          <w:p w14:paraId="0D6502E4" w14:textId="77777777" w:rsidR="00A82C7F" w:rsidRPr="009E7447" w:rsidRDefault="00A82C7F" w:rsidP="003F15A3">
            <w:pPr>
              <w:bidi w:val="0"/>
              <w:spacing w:line="60" w:lineRule="exact"/>
              <w:rPr>
                <w:sz w:val="18"/>
                <w:szCs w:val="18"/>
                <w:rtl/>
              </w:rPr>
            </w:pPr>
          </w:p>
        </w:tc>
        <w:tc>
          <w:tcPr>
            <w:tcW w:w="626" w:type="dxa"/>
            <w:vAlign w:val="bottom"/>
          </w:tcPr>
          <w:p w14:paraId="772C9860" w14:textId="77777777" w:rsidR="00A82C7F" w:rsidRPr="009E7447" w:rsidRDefault="00A82C7F" w:rsidP="003F15A3">
            <w:pPr>
              <w:bidi w:val="0"/>
              <w:spacing w:line="60" w:lineRule="exact"/>
              <w:rPr>
                <w:sz w:val="18"/>
                <w:szCs w:val="18"/>
                <w:rtl/>
              </w:rPr>
            </w:pPr>
          </w:p>
        </w:tc>
        <w:tc>
          <w:tcPr>
            <w:tcW w:w="1812" w:type="dxa"/>
            <w:vAlign w:val="bottom"/>
          </w:tcPr>
          <w:p w14:paraId="04DE99E2" w14:textId="77777777" w:rsidR="00A82C7F" w:rsidRPr="009E7447" w:rsidRDefault="00A82C7F" w:rsidP="003F15A3">
            <w:pPr>
              <w:bidi w:val="0"/>
              <w:spacing w:line="60" w:lineRule="exact"/>
              <w:rPr>
                <w:sz w:val="18"/>
                <w:szCs w:val="18"/>
                <w:rtl/>
              </w:rPr>
            </w:pPr>
          </w:p>
        </w:tc>
        <w:tc>
          <w:tcPr>
            <w:tcW w:w="236" w:type="dxa"/>
            <w:vAlign w:val="bottom"/>
          </w:tcPr>
          <w:p w14:paraId="6AC22214" w14:textId="77777777" w:rsidR="00A82C7F" w:rsidRPr="009E7447" w:rsidRDefault="00A82C7F" w:rsidP="003F15A3">
            <w:pPr>
              <w:bidi w:val="0"/>
              <w:spacing w:line="60" w:lineRule="exact"/>
              <w:rPr>
                <w:b/>
                <w:bCs/>
                <w:sz w:val="18"/>
                <w:szCs w:val="18"/>
                <w:rtl/>
              </w:rPr>
            </w:pPr>
          </w:p>
        </w:tc>
      </w:tr>
    </w:tbl>
    <w:p w14:paraId="5C730CD5" w14:textId="77777777" w:rsidR="00320EDB" w:rsidRDefault="00320EDB">
      <w:pPr>
        <w:bidi w:val="0"/>
        <w:jc w:val="left"/>
        <w:rPr>
          <w:sz w:val="6"/>
          <w:szCs w:val="6"/>
        </w:rPr>
        <w:sectPr w:rsidR="00320EDB" w:rsidSect="00587121">
          <w:footnotePr>
            <w:numRestart w:val="eachPage"/>
          </w:footnotePr>
          <w:pgSz w:w="11909" w:h="16834" w:code="9"/>
          <w:pgMar w:top="851" w:right="851" w:bottom="851" w:left="851" w:header="720" w:footer="720" w:gutter="0"/>
          <w:cols w:space="720"/>
          <w:bidi/>
          <w:rtlGutter/>
          <w:docGrid w:linePitch="360"/>
        </w:sectPr>
      </w:pPr>
    </w:p>
    <w:tbl>
      <w:tblPr>
        <w:bidiVisual/>
        <w:tblW w:w="5000" w:type="pct"/>
        <w:tblLayout w:type="fixed"/>
        <w:tblLook w:val="04A0" w:firstRow="1" w:lastRow="0" w:firstColumn="1" w:lastColumn="0" w:noHBand="0" w:noVBand="1"/>
      </w:tblPr>
      <w:tblGrid>
        <w:gridCol w:w="993"/>
        <w:gridCol w:w="425"/>
        <w:gridCol w:w="8789"/>
      </w:tblGrid>
      <w:tr w:rsidR="00976A61" w:rsidRPr="00543C25" w14:paraId="4055F198" w14:textId="77777777" w:rsidTr="007A567C">
        <w:trPr>
          <w:trHeight w:val="259"/>
        </w:trPr>
        <w:tc>
          <w:tcPr>
            <w:tcW w:w="993" w:type="dxa"/>
          </w:tcPr>
          <w:p w14:paraId="44C040EA" w14:textId="77777777" w:rsidR="00976A61" w:rsidRPr="00543C25" w:rsidRDefault="00976A61" w:rsidP="00D268FB">
            <w:pPr>
              <w:pStyle w:val="-fa"/>
              <w:spacing w:before="0" w:after="60"/>
              <w:rPr>
                <w:rtl/>
              </w:rPr>
            </w:pPr>
          </w:p>
        </w:tc>
        <w:tc>
          <w:tcPr>
            <w:tcW w:w="9214" w:type="dxa"/>
            <w:gridSpan w:val="2"/>
          </w:tcPr>
          <w:p w14:paraId="1E871C50" w14:textId="77777777" w:rsidR="00976A61" w:rsidRPr="00543C25" w:rsidRDefault="00B117B7" w:rsidP="00316579">
            <w:pPr>
              <w:pStyle w:val="-8"/>
              <w:rPr>
                <w:rtl/>
              </w:rPr>
            </w:pPr>
            <w:r w:rsidRPr="00CF2A74">
              <w:rPr>
                <w:rtl/>
              </w:rPr>
              <w:t xml:space="preserve">ביאור </w:t>
            </w:r>
            <w:r>
              <w:rPr>
                <w:rFonts w:hint="cs"/>
                <w:rtl/>
              </w:rPr>
              <w:t>1</w:t>
            </w:r>
            <w:r w:rsidR="00316579">
              <w:rPr>
                <w:rFonts w:hint="cs"/>
                <w:rtl/>
              </w:rPr>
              <w:t>2</w:t>
            </w:r>
            <w:r w:rsidRPr="00CF2A74">
              <w:rPr>
                <w:rtl/>
              </w:rPr>
              <w:t xml:space="preserve">  -  </w:t>
            </w:r>
            <w:r>
              <w:rPr>
                <w:rFonts w:hint="cs"/>
                <w:rtl/>
              </w:rPr>
              <w:t xml:space="preserve">מידע נוסף על </w:t>
            </w:r>
            <w:r w:rsidRPr="00CF2A74">
              <w:rPr>
                <w:rtl/>
              </w:rPr>
              <w:t>סיכון אשראי, אשראי לציבור והפרשה להפסדי אשראי</w:t>
            </w:r>
            <w:r>
              <w:rPr>
                <w:rFonts w:hint="cs"/>
                <w:rtl/>
              </w:rPr>
              <w:t xml:space="preserve"> (המשך):</w:t>
            </w:r>
          </w:p>
        </w:tc>
      </w:tr>
      <w:tr w:rsidR="00976A61" w:rsidRPr="007363C7" w14:paraId="76112466" w14:textId="77777777" w:rsidTr="007A567C">
        <w:tblPrEx>
          <w:jc w:val="right"/>
          <w:tblLook w:val="0000" w:firstRow="0" w:lastRow="0" w:firstColumn="0" w:lastColumn="0" w:noHBand="0" w:noVBand="0"/>
        </w:tblPrEx>
        <w:trPr>
          <w:trHeight w:val="245"/>
          <w:jc w:val="right"/>
        </w:trPr>
        <w:tc>
          <w:tcPr>
            <w:tcW w:w="993" w:type="dxa"/>
          </w:tcPr>
          <w:p w14:paraId="62D9E978" w14:textId="77777777" w:rsidR="00976A61" w:rsidRPr="00982193" w:rsidRDefault="00976A61" w:rsidP="00D268FB">
            <w:pPr>
              <w:pStyle w:val="-fa"/>
              <w:spacing w:after="60"/>
              <w:ind w:right="-142"/>
              <w:rPr>
                <w:sz w:val="18"/>
                <w:szCs w:val="18"/>
                <w:rtl/>
              </w:rPr>
            </w:pPr>
          </w:p>
        </w:tc>
        <w:tc>
          <w:tcPr>
            <w:tcW w:w="425" w:type="dxa"/>
          </w:tcPr>
          <w:p w14:paraId="5CDE9D20" w14:textId="19B0A690" w:rsidR="00976A61" w:rsidRPr="00982193" w:rsidRDefault="000A4979" w:rsidP="00D268FB">
            <w:pPr>
              <w:pStyle w:val="-f4"/>
              <w:spacing w:line="240" w:lineRule="auto"/>
              <w:jc w:val="left"/>
              <w:rPr>
                <w:sz w:val="18"/>
                <w:szCs w:val="18"/>
                <w:rtl/>
              </w:rPr>
            </w:pPr>
            <w:r>
              <w:rPr>
                <w:rFonts w:hint="cs"/>
                <w:sz w:val="18"/>
                <w:szCs w:val="18"/>
                <w:rtl/>
              </w:rPr>
              <w:t>א.</w:t>
            </w:r>
          </w:p>
        </w:tc>
        <w:tc>
          <w:tcPr>
            <w:tcW w:w="8789" w:type="dxa"/>
          </w:tcPr>
          <w:p w14:paraId="633EAA1E" w14:textId="19C545FB" w:rsidR="00CF2A74" w:rsidRDefault="00976A61" w:rsidP="00D268FB">
            <w:pPr>
              <w:pStyle w:val="-13"/>
              <w:spacing w:line="240" w:lineRule="auto"/>
              <w:rPr>
                <w:sz w:val="18"/>
                <w:szCs w:val="18"/>
                <w:rtl/>
              </w:rPr>
            </w:pPr>
            <w:r w:rsidRPr="00266C01">
              <w:rPr>
                <w:rFonts w:hint="cs"/>
                <w:b/>
                <w:bCs/>
                <w:rtl/>
              </w:rPr>
              <w:t>תנועה ביתרת ההפרשה להפסדי אשראי</w:t>
            </w:r>
            <w:r w:rsidR="00EA7CDD">
              <w:rPr>
                <w:rFonts w:hint="cs"/>
                <w:b/>
                <w:bCs/>
                <w:rtl/>
              </w:rPr>
              <w:t xml:space="preserve"> </w:t>
            </w:r>
            <w:r w:rsidR="00D3464A" w:rsidRPr="00266C01">
              <w:rPr>
                <w:rFonts w:hint="cs"/>
                <w:b/>
                <w:bCs/>
                <w:rtl/>
              </w:rPr>
              <w:t>(המשך)</w:t>
            </w:r>
            <w:r w:rsidRPr="00266C01">
              <w:rPr>
                <w:rFonts w:hint="cs"/>
                <w:b/>
                <w:bCs/>
                <w:rtl/>
              </w:rPr>
              <w:t>:</w:t>
            </w:r>
          </w:p>
        </w:tc>
      </w:tr>
    </w:tbl>
    <w:p w14:paraId="0AAE65A7" w14:textId="77777777" w:rsidR="00976A61" w:rsidRPr="00D268FB" w:rsidRDefault="00976A61" w:rsidP="00D268FB">
      <w:pPr>
        <w:spacing w:line="60" w:lineRule="exact"/>
      </w:pPr>
    </w:p>
    <w:tbl>
      <w:tblPr>
        <w:bidiVisual/>
        <w:tblW w:w="4638" w:type="pct"/>
        <w:tblInd w:w="633" w:type="dxa"/>
        <w:tblLayout w:type="fixed"/>
        <w:tblLook w:val="01E0" w:firstRow="1" w:lastRow="1" w:firstColumn="1" w:lastColumn="1" w:noHBand="0" w:noVBand="0"/>
      </w:tblPr>
      <w:tblGrid>
        <w:gridCol w:w="738"/>
        <w:gridCol w:w="3976"/>
        <w:gridCol w:w="641"/>
        <w:gridCol w:w="709"/>
        <w:gridCol w:w="567"/>
        <w:gridCol w:w="641"/>
        <w:gridCol w:w="1345"/>
        <w:gridCol w:w="851"/>
      </w:tblGrid>
      <w:tr w:rsidR="00C509CA" w:rsidRPr="00543C25" w14:paraId="1BBB9173" w14:textId="77777777" w:rsidTr="000B19AE">
        <w:trPr>
          <w:trHeight w:val="259"/>
        </w:trPr>
        <w:tc>
          <w:tcPr>
            <w:tcW w:w="738" w:type="dxa"/>
          </w:tcPr>
          <w:p w14:paraId="43795CC9" w14:textId="77777777" w:rsidR="00C509CA" w:rsidRPr="00543C25" w:rsidRDefault="00C509CA" w:rsidP="00400DD1">
            <w:pPr>
              <w:pStyle w:val="-7"/>
              <w:spacing w:before="20" w:line="240" w:lineRule="auto"/>
              <w:rPr>
                <w:rtl/>
              </w:rPr>
            </w:pPr>
          </w:p>
        </w:tc>
        <w:tc>
          <w:tcPr>
            <w:tcW w:w="3976" w:type="dxa"/>
            <w:vAlign w:val="bottom"/>
          </w:tcPr>
          <w:p w14:paraId="10C9895E" w14:textId="77777777" w:rsidR="00C509CA" w:rsidRPr="00D439C5" w:rsidRDefault="00C509CA" w:rsidP="00400DD1">
            <w:pPr>
              <w:pStyle w:val="-0"/>
              <w:rPr>
                <w:rFonts w:asciiTheme="minorBidi" w:hAnsiTheme="minorBidi" w:cstheme="minorBidi"/>
                <w:sz w:val="19"/>
                <w:szCs w:val="19"/>
                <w:rtl/>
              </w:rPr>
            </w:pPr>
          </w:p>
        </w:tc>
        <w:tc>
          <w:tcPr>
            <w:tcW w:w="4754" w:type="dxa"/>
            <w:gridSpan w:val="6"/>
          </w:tcPr>
          <w:p w14:paraId="1EA7858F" w14:textId="77777777" w:rsidR="00C509CA" w:rsidRPr="00D439C5" w:rsidRDefault="00C509CA" w:rsidP="00400DD1">
            <w:pPr>
              <w:pStyle w:val="-4"/>
              <w:pBdr>
                <w:bottom w:val="single" w:sz="4" w:space="1" w:color="auto"/>
              </w:pBdr>
              <w:rPr>
                <w:rFonts w:asciiTheme="minorBidi" w:hAnsiTheme="minorBidi" w:cstheme="minorBidi"/>
                <w:sz w:val="19"/>
                <w:szCs w:val="19"/>
                <w:rtl/>
              </w:rPr>
            </w:pPr>
            <w:r w:rsidRPr="00D439C5">
              <w:rPr>
                <w:rFonts w:asciiTheme="minorBidi" w:hAnsiTheme="minorBidi" w:cstheme="minorBidi"/>
                <w:sz w:val="19"/>
                <w:szCs w:val="19"/>
                <w:rtl/>
              </w:rPr>
              <w:t>הפרשה להפסדי אשראי</w:t>
            </w:r>
          </w:p>
        </w:tc>
      </w:tr>
      <w:tr w:rsidR="00C509CA" w:rsidRPr="00543C25" w14:paraId="689A5346" w14:textId="77777777" w:rsidTr="000B19AE">
        <w:trPr>
          <w:trHeight w:val="259"/>
        </w:trPr>
        <w:tc>
          <w:tcPr>
            <w:tcW w:w="738" w:type="dxa"/>
          </w:tcPr>
          <w:p w14:paraId="05C79BBC" w14:textId="77777777" w:rsidR="00C509CA" w:rsidRPr="00543C25" w:rsidRDefault="00C509CA" w:rsidP="00400DD1">
            <w:pPr>
              <w:pStyle w:val="-7"/>
              <w:spacing w:line="240" w:lineRule="auto"/>
              <w:rPr>
                <w:rtl/>
              </w:rPr>
            </w:pPr>
          </w:p>
        </w:tc>
        <w:tc>
          <w:tcPr>
            <w:tcW w:w="3976" w:type="dxa"/>
            <w:vAlign w:val="bottom"/>
          </w:tcPr>
          <w:p w14:paraId="137C53AD" w14:textId="77777777" w:rsidR="00C509CA" w:rsidRPr="00D439C5" w:rsidRDefault="00C509CA" w:rsidP="00400DD1">
            <w:pPr>
              <w:pStyle w:val="-0"/>
              <w:rPr>
                <w:rFonts w:asciiTheme="minorBidi" w:hAnsiTheme="minorBidi" w:cstheme="minorBidi"/>
                <w:sz w:val="19"/>
                <w:szCs w:val="19"/>
                <w:rtl/>
              </w:rPr>
            </w:pPr>
          </w:p>
        </w:tc>
        <w:tc>
          <w:tcPr>
            <w:tcW w:w="2558" w:type="dxa"/>
            <w:gridSpan w:val="4"/>
          </w:tcPr>
          <w:p w14:paraId="23A2DF74" w14:textId="77777777" w:rsidR="00C509CA" w:rsidRPr="00B62447" w:rsidRDefault="00C509CA" w:rsidP="00400DD1">
            <w:pPr>
              <w:pStyle w:val="-4"/>
              <w:spacing w:line="240" w:lineRule="auto"/>
              <w:rPr>
                <w:rFonts w:asciiTheme="minorBidi" w:hAnsiTheme="minorBidi" w:cstheme="minorBidi"/>
                <w:sz w:val="16"/>
                <w:szCs w:val="16"/>
                <w:rtl/>
              </w:rPr>
            </w:pPr>
            <w:r w:rsidRPr="00B62447">
              <w:rPr>
                <w:rFonts w:asciiTheme="minorBidi" w:hAnsiTheme="minorBidi" w:cstheme="minorBidi"/>
                <w:sz w:val="16"/>
                <w:szCs w:val="16"/>
                <w:rtl/>
              </w:rPr>
              <w:t>אשראי לציבור</w:t>
            </w:r>
          </w:p>
        </w:tc>
        <w:tc>
          <w:tcPr>
            <w:tcW w:w="1345" w:type="dxa"/>
            <w:vMerge w:val="restart"/>
            <w:vAlign w:val="bottom"/>
          </w:tcPr>
          <w:p w14:paraId="3A63232F" w14:textId="77777777" w:rsidR="00C509CA" w:rsidRPr="00B62447" w:rsidRDefault="00C509CA" w:rsidP="00400DD1">
            <w:pPr>
              <w:pStyle w:val="-4"/>
              <w:spacing w:line="240" w:lineRule="auto"/>
              <w:rPr>
                <w:rFonts w:asciiTheme="minorBidi" w:hAnsiTheme="minorBidi" w:cstheme="minorBidi"/>
                <w:sz w:val="16"/>
                <w:szCs w:val="16"/>
                <w:rtl/>
              </w:rPr>
            </w:pPr>
            <w:r w:rsidRPr="00B62447">
              <w:rPr>
                <w:rFonts w:hint="eastAsia"/>
                <w:sz w:val="16"/>
                <w:szCs w:val="16"/>
                <w:rtl/>
              </w:rPr>
              <w:t>בנקים</w:t>
            </w:r>
            <w:r w:rsidRPr="00B62447">
              <w:rPr>
                <w:rFonts w:hint="cs"/>
                <w:sz w:val="16"/>
                <w:szCs w:val="16"/>
                <w:rtl/>
              </w:rPr>
              <w:t xml:space="preserve">, </w:t>
            </w:r>
            <w:r w:rsidRPr="00B62447">
              <w:rPr>
                <w:rFonts w:hint="eastAsia"/>
                <w:sz w:val="16"/>
                <w:szCs w:val="16"/>
                <w:rtl/>
              </w:rPr>
              <w:t>ממשלות</w:t>
            </w:r>
            <w:r w:rsidRPr="00B62447">
              <w:rPr>
                <w:rFonts w:hint="cs"/>
                <w:sz w:val="16"/>
                <w:szCs w:val="16"/>
                <w:rtl/>
              </w:rPr>
              <w:t>, ואגרות חוב</w:t>
            </w:r>
            <w:r w:rsidRPr="00B62447">
              <w:rPr>
                <w:rFonts w:asciiTheme="minorBidi" w:hAnsiTheme="minorBidi" w:cstheme="minorBidi" w:hint="cs"/>
                <w:sz w:val="16"/>
                <w:szCs w:val="16"/>
                <w:rtl/>
              </w:rPr>
              <w:t xml:space="preserve"> </w:t>
            </w:r>
          </w:p>
        </w:tc>
        <w:tc>
          <w:tcPr>
            <w:tcW w:w="851" w:type="dxa"/>
            <w:vMerge w:val="restart"/>
            <w:vAlign w:val="bottom"/>
          </w:tcPr>
          <w:p w14:paraId="084984D7" w14:textId="77777777" w:rsidR="00C509CA" w:rsidRPr="00B62447" w:rsidRDefault="00C509CA" w:rsidP="00400DD1">
            <w:pPr>
              <w:pStyle w:val="-4"/>
              <w:pBdr>
                <w:bottom w:val="none" w:sz="0" w:space="0" w:color="auto"/>
              </w:pBdr>
              <w:rPr>
                <w:rFonts w:asciiTheme="minorBidi" w:hAnsiTheme="minorBidi" w:cstheme="minorBidi"/>
                <w:sz w:val="16"/>
                <w:szCs w:val="16"/>
                <w:rtl/>
              </w:rPr>
            </w:pPr>
            <w:r w:rsidRPr="00B62447">
              <w:rPr>
                <w:rFonts w:asciiTheme="minorBidi" w:hAnsiTheme="minorBidi" w:cstheme="minorBidi"/>
                <w:sz w:val="16"/>
                <w:szCs w:val="16"/>
                <w:rtl/>
              </w:rPr>
              <w:t>סך</w:t>
            </w:r>
          </w:p>
          <w:p w14:paraId="0779D984" w14:textId="77777777" w:rsidR="00C509CA" w:rsidRPr="00B62447" w:rsidRDefault="00C509CA" w:rsidP="00400DD1">
            <w:pPr>
              <w:pStyle w:val="-4"/>
              <w:spacing w:line="240" w:lineRule="auto"/>
              <w:rPr>
                <w:rFonts w:asciiTheme="minorBidi" w:hAnsiTheme="minorBidi" w:cstheme="minorBidi"/>
                <w:sz w:val="16"/>
                <w:szCs w:val="16"/>
                <w:rtl/>
              </w:rPr>
            </w:pPr>
            <w:r w:rsidRPr="00B62447">
              <w:rPr>
                <w:rFonts w:asciiTheme="minorBidi" w:hAnsiTheme="minorBidi" w:cstheme="minorBidi"/>
                <w:sz w:val="16"/>
                <w:szCs w:val="16"/>
                <w:rtl/>
              </w:rPr>
              <w:t>הכל</w:t>
            </w:r>
          </w:p>
        </w:tc>
      </w:tr>
      <w:tr w:rsidR="00C509CA" w:rsidRPr="00543C25" w14:paraId="695F687E" w14:textId="77777777" w:rsidTr="000B19AE">
        <w:trPr>
          <w:trHeight w:val="259"/>
        </w:trPr>
        <w:tc>
          <w:tcPr>
            <w:tcW w:w="738" w:type="dxa"/>
          </w:tcPr>
          <w:p w14:paraId="037998B9" w14:textId="77777777" w:rsidR="00C509CA" w:rsidRPr="00543C25" w:rsidRDefault="00C509CA" w:rsidP="00400DD1">
            <w:pPr>
              <w:pStyle w:val="-7"/>
              <w:spacing w:line="240" w:lineRule="auto"/>
              <w:rPr>
                <w:rtl/>
              </w:rPr>
            </w:pPr>
          </w:p>
        </w:tc>
        <w:tc>
          <w:tcPr>
            <w:tcW w:w="3976" w:type="dxa"/>
            <w:vAlign w:val="bottom"/>
          </w:tcPr>
          <w:p w14:paraId="6004A574" w14:textId="77777777" w:rsidR="00C509CA" w:rsidRPr="00D439C5" w:rsidRDefault="00C509CA" w:rsidP="00400DD1">
            <w:pPr>
              <w:pStyle w:val="-0"/>
              <w:rPr>
                <w:rFonts w:asciiTheme="minorBidi" w:hAnsiTheme="minorBidi" w:cstheme="minorBidi"/>
                <w:sz w:val="19"/>
                <w:szCs w:val="19"/>
                <w:rtl/>
              </w:rPr>
            </w:pPr>
          </w:p>
        </w:tc>
        <w:tc>
          <w:tcPr>
            <w:tcW w:w="641" w:type="dxa"/>
            <w:vAlign w:val="bottom"/>
          </w:tcPr>
          <w:p w14:paraId="2D4C32AD" w14:textId="77777777" w:rsidR="00C509CA" w:rsidRPr="00B62447" w:rsidRDefault="00C509CA" w:rsidP="00400DD1">
            <w:pPr>
              <w:pStyle w:val="-7"/>
              <w:pBdr>
                <w:bottom w:val="single" w:sz="4" w:space="1" w:color="auto"/>
              </w:pBdr>
              <w:jc w:val="center"/>
              <w:rPr>
                <w:rFonts w:asciiTheme="minorBidi" w:hAnsiTheme="minorBidi" w:cstheme="minorBidi"/>
                <w:b/>
                <w:bCs/>
                <w:sz w:val="16"/>
                <w:szCs w:val="16"/>
                <w:rtl/>
              </w:rPr>
            </w:pPr>
            <w:r w:rsidRPr="00B62447">
              <w:rPr>
                <w:rFonts w:asciiTheme="minorBidi" w:hAnsiTheme="minorBidi" w:cstheme="minorBidi"/>
                <w:b/>
                <w:bCs/>
                <w:sz w:val="16"/>
                <w:szCs w:val="16"/>
                <w:rtl/>
              </w:rPr>
              <w:t>מסחרי</w:t>
            </w:r>
          </w:p>
        </w:tc>
        <w:tc>
          <w:tcPr>
            <w:tcW w:w="709" w:type="dxa"/>
            <w:vAlign w:val="bottom"/>
          </w:tcPr>
          <w:p w14:paraId="5F40E106" w14:textId="77777777" w:rsidR="00C509CA" w:rsidRPr="00B62447" w:rsidRDefault="00C509CA" w:rsidP="00400DD1">
            <w:pPr>
              <w:pStyle w:val="-7"/>
              <w:pBdr>
                <w:bottom w:val="single" w:sz="4" w:space="1" w:color="auto"/>
              </w:pBdr>
              <w:jc w:val="center"/>
              <w:rPr>
                <w:rFonts w:asciiTheme="minorBidi" w:hAnsiTheme="minorBidi" w:cstheme="minorBidi"/>
                <w:b/>
                <w:bCs/>
                <w:sz w:val="16"/>
                <w:szCs w:val="16"/>
                <w:rtl/>
              </w:rPr>
            </w:pPr>
            <w:r w:rsidRPr="00B62447">
              <w:rPr>
                <w:rFonts w:asciiTheme="minorBidi" w:hAnsiTheme="minorBidi" w:cstheme="minorBidi"/>
                <w:b/>
                <w:bCs/>
                <w:sz w:val="16"/>
                <w:szCs w:val="16"/>
                <w:rtl/>
              </w:rPr>
              <w:t>לדיור</w:t>
            </w:r>
          </w:p>
        </w:tc>
        <w:tc>
          <w:tcPr>
            <w:tcW w:w="567" w:type="dxa"/>
            <w:vAlign w:val="bottom"/>
          </w:tcPr>
          <w:p w14:paraId="57059CA3" w14:textId="77777777" w:rsidR="00C509CA" w:rsidRPr="00B62447" w:rsidRDefault="00C509CA" w:rsidP="00400DD1">
            <w:pPr>
              <w:pStyle w:val="-4"/>
              <w:spacing w:line="240" w:lineRule="auto"/>
              <w:ind w:left="-57" w:right="-57"/>
              <w:rPr>
                <w:rFonts w:asciiTheme="minorBidi" w:hAnsiTheme="minorBidi" w:cstheme="minorBidi"/>
                <w:sz w:val="16"/>
                <w:szCs w:val="16"/>
                <w:rtl/>
              </w:rPr>
            </w:pPr>
            <w:r w:rsidRPr="00B62447">
              <w:rPr>
                <w:rFonts w:asciiTheme="minorBidi" w:hAnsiTheme="minorBidi" w:cstheme="minorBidi"/>
                <w:sz w:val="16"/>
                <w:szCs w:val="16"/>
                <w:rtl/>
              </w:rPr>
              <w:t>פרטי אחר</w:t>
            </w:r>
          </w:p>
        </w:tc>
        <w:tc>
          <w:tcPr>
            <w:tcW w:w="641" w:type="dxa"/>
            <w:vAlign w:val="bottom"/>
          </w:tcPr>
          <w:p w14:paraId="0D5703EB" w14:textId="77777777" w:rsidR="00C509CA" w:rsidRPr="00B62447" w:rsidRDefault="00C509CA" w:rsidP="00400DD1">
            <w:pPr>
              <w:pStyle w:val="-4"/>
              <w:spacing w:line="240" w:lineRule="auto"/>
              <w:rPr>
                <w:rFonts w:asciiTheme="minorBidi" w:hAnsiTheme="minorBidi" w:cstheme="minorBidi"/>
                <w:sz w:val="16"/>
                <w:szCs w:val="16"/>
                <w:rtl/>
              </w:rPr>
            </w:pPr>
            <w:r w:rsidRPr="00B62447">
              <w:rPr>
                <w:rFonts w:asciiTheme="minorBidi" w:hAnsiTheme="minorBidi" w:cstheme="minorBidi"/>
                <w:sz w:val="16"/>
                <w:szCs w:val="16"/>
                <w:rtl/>
              </w:rPr>
              <w:t>סך הכל</w:t>
            </w:r>
          </w:p>
        </w:tc>
        <w:tc>
          <w:tcPr>
            <w:tcW w:w="1345" w:type="dxa"/>
            <w:vMerge/>
            <w:vAlign w:val="bottom"/>
          </w:tcPr>
          <w:p w14:paraId="5E3DF4A8" w14:textId="77777777" w:rsidR="00C509CA" w:rsidRPr="00B62447" w:rsidRDefault="00C509CA" w:rsidP="00400DD1">
            <w:pPr>
              <w:pStyle w:val="-4"/>
              <w:spacing w:line="240" w:lineRule="auto"/>
              <w:rPr>
                <w:rFonts w:asciiTheme="minorBidi" w:hAnsiTheme="minorBidi" w:cstheme="minorBidi"/>
                <w:sz w:val="16"/>
                <w:szCs w:val="16"/>
                <w:rtl/>
              </w:rPr>
            </w:pPr>
          </w:p>
        </w:tc>
        <w:tc>
          <w:tcPr>
            <w:tcW w:w="851" w:type="dxa"/>
            <w:vMerge/>
            <w:vAlign w:val="bottom"/>
          </w:tcPr>
          <w:p w14:paraId="09DFCA45" w14:textId="77777777" w:rsidR="00C509CA" w:rsidRPr="00B62447" w:rsidRDefault="00C509CA" w:rsidP="00400DD1">
            <w:pPr>
              <w:pStyle w:val="-4"/>
              <w:spacing w:line="240" w:lineRule="auto"/>
              <w:rPr>
                <w:rFonts w:asciiTheme="minorBidi" w:hAnsiTheme="minorBidi" w:cstheme="minorBidi"/>
                <w:sz w:val="16"/>
                <w:szCs w:val="16"/>
                <w:rtl/>
              </w:rPr>
            </w:pPr>
          </w:p>
        </w:tc>
      </w:tr>
      <w:tr w:rsidR="00C509CA" w:rsidRPr="00543C25" w14:paraId="29AB7AD4" w14:textId="77777777" w:rsidTr="000B19AE">
        <w:trPr>
          <w:trHeight w:hRule="exact" w:val="66"/>
        </w:trPr>
        <w:tc>
          <w:tcPr>
            <w:tcW w:w="738" w:type="dxa"/>
          </w:tcPr>
          <w:p w14:paraId="0C38A928" w14:textId="77777777" w:rsidR="00C509CA" w:rsidRPr="00543C25" w:rsidRDefault="00C509CA" w:rsidP="00400DD1">
            <w:pPr>
              <w:pStyle w:val="-7"/>
              <w:bidi w:val="0"/>
              <w:spacing w:line="60" w:lineRule="exact"/>
              <w:rPr>
                <w:rtl/>
              </w:rPr>
            </w:pPr>
          </w:p>
        </w:tc>
        <w:tc>
          <w:tcPr>
            <w:tcW w:w="3976" w:type="dxa"/>
            <w:vAlign w:val="bottom"/>
          </w:tcPr>
          <w:p w14:paraId="3A4F075E" w14:textId="77777777" w:rsidR="00C509CA" w:rsidRPr="00D439C5" w:rsidRDefault="00C509CA" w:rsidP="00400DD1">
            <w:pPr>
              <w:pStyle w:val="-0"/>
              <w:bidi w:val="0"/>
              <w:spacing w:line="60" w:lineRule="exact"/>
              <w:jc w:val="both"/>
              <w:rPr>
                <w:rFonts w:asciiTheme="minorBidi" w:hAnsiTheme="minorBidi" w:cstheme="minorBidi"/>
                <w:sz w:val="19"/>
                <w:szCs w:val="19"/>
                <w:rtl/>
              </w:rPr>
            </w:pPr>
          </w:p>
        </w:tc>
        <w:tc>
          <w:tcPr>
            <w:tcW w:w="641" w:type="dxa"/>
          </w:tcPr>
          <w:p w14:paraId="04DA6B68" w14:textId="77777777" w:rsidR="00C509CA" w:rsidRPr="00D439C5" w:rsidRDefault="00C509CA" w:rsidP="00400DD1">
            <w:pPr>
              <w:pStyle w:val="-7"/>
              <w:bidi w:val="0"/>
              <w:spacing w:line="60" w:lineRule="exact"/>
              <w:rPr>
                <w:rFonts w:asciiTheme="minorBidi" w:hAnsiTheme="minorBidi" w:cstheme="minorBidi"/>
                <w:sz w:val="19"/>
                <w:szCs w:val="19"/>
                <w:rtl/>
              </w:rPr>
            </w:pPr>
          </w:p>
        </w:tc>
        <w:tc>
          <w:tcPr>
            <w:tcW w:w="709" w:type="dxa"/>
          </w:tcPr>
          <w:p w14:paraId="4A57287B" w14:textId="77777777" w:rsidR="00C509CA" w:rsidRPr="00D439C5" w:rsidRDefault="00C509CA" w:rsidP="00400DD1">
            <w:pPr>
              <w:pStyle w:val="-7"/>
              <w:bidi w:val="0"/>
              <w:spacing w:line="60" w:lineRule="exact"/>
              <w:rPr>
                <w:rFonts w:asciiTheme="minorBidi" w:hAnsiTheme="minorBidi" w:cstheme="minorBidi"/>
                <w:sz w:val="19"/>
                <w:szCs w:val="19"/>
                <w:rtl/>
              </w:rPr>
            </w:pPr>
          </w:p>
        </w:tc>
        <w:tc>
          <w:tcPr>
            <w:tcW w:w="567" w:type="dxa"/>
            <w:vAlign w:val="bottom"/>
          </w:tcPr>
          <w:p w14:paraId="0CB8DD44" w14:textId="77777777" w:rsidR="00C509CA" w:rsidRPr="00D439C5" w:rsidRDefault="00C509CA" w:rsidP="00400DD1">
            <w:pPr>
              <w:pStyle w:val="-7"/>
              <w:bidi w:val="0"/>
              <w:spacing w:line="60" w:lineRule="exact"/>
              <w:rPr>
                <w:rFonts w:asciiTheme="minorBidi" w:hAnsiTheme="minorBidi" w:cstheme="minorBidi"/>
                <w:sz w:val="19"/>
                <w:szCs w:val="19"/>
                <w:rtl/>
              </w:rPr>
            </w:pPr>
          </w:p>
        </w:tc>
        <w:tc>
          <w:tcPr>
            <w:tcW w:w="641" w:type="dxa"/>
            <w:vAlign w:val="bottom"/>
          </w:tcPr>
          <w:p w14:paraId="2B0D205E" w14:textId="77777777" w:rsidR="00C509CA" w:rsidRPr="00D439C5" w:rsidRDefault="00C509CA" w:rsidP="00400DD1">
            <w:pPr>
              <w:pStyle w:val="-7"/>
              <w:bidi w:val="0"/>
              <w:spacing w:line="60" w:lineRule="exact"/>
              <w:rPr>
                <w:rFonts w:asciiTheme="minorBidi" w:hAnsiTheme="minorBidi" w:cstheme="minorBidi"/>
                <w:sz w:val="19"/>
                <w:szCs w:val="19"/>
                <w:rtl/>
              </w:rPr>
            </w:pPr>
          </w:p>
        </w:tc>
        <w:tc>
          <w:tcPr>
            <w:tcW w:w="1345" w:type="dxa"/>
            <w:vAlign w:val="bottom"/>
          </w:tcPr>
          <w:p w14:paraId="319F8580" w14:textId="77777777" w:rsidR="00C509CA" w:rsidRPr="00D439C5" w:rsidRDefault="00C509CA" w:rsidP="00400DD1">
            <w:pPr>
              <w:pStyle w:val="-7"/>
              <w:bidi w:val="0"/>
              <w:spacing w:line="60" w:lineRule="exact"/>
              <w:rPr>
                <w:rFonts w:asciiTheme="minorBidi" w:hAnsiTheme="minorBidi" w:cstheme="minorBidi"/>
                <w:sz w:val="19"/>
                <w:szCs w:val="19"/>
                <w:rtl/>
              </w:rPr>
            </w:pPr>
          </w:p>
        </w:tc>
        <w:tc>
          <w:tcPr>
            <w:tcW w:w="851" w:type="dxa"/>
            <w:vAlign w:val="bottom"/>
          </w:tcPr>
          <w:p w14:paraId="4FD140B0" w14:textId="77777777" w:rsidR="00C509CA" w:rsidRPr="00D439C5" w:rsidRDefault="00C509CA" w:rsidP="00400DD1">
            <w:pPr>
              <w:pStyle w:val="-7"/>
              <w:bidi w:val="0"/>
              <w:spacing w:line="60" w:lineRule="exact"/>
              <w:rPr>
                <w:rFonts w:asciiTheme="minorBidi" w:hAnsiTheme="minorBidi" w:cstheme="minorBidi"/>
                <w:sz w:val="19"/>
                <w:szCs w:val="19"/>
                <w:rtl/>
              </w:rPr>
            </w:pPr>
          </w:p>
        </w:tc>
      </w:tr>
      <w:tr w:rsidR="00C509CA" w:rsidRPr="00543C25" w14:paraId="2CCFE8E8" w14:textId="77777777" w:rsidTr="000B19AE">
        <w:trPr>
          <w:trHeight w:val="259"/>
        </w:trPr>
        <w:tc>
          <w:tcPr>
            <w:tcW w:w="738" w:type="dxa"/>
          </w:tcPr>
          <w:p w14:paraId="3293D728" w14:textId="77777777" w:rsidR="00C509CA" w:rsidRPr="00543C25" w:rsidRDefault="00C509CA" w:rsidP="00400DD1">
            <w:pPr>
              <w:pStyle w:val="-7"/>
              <w:spacing w:line="240" w:lineRule="auto"/>
              <w:rPr>
                <w:rtl/>
              </w:rPr>
            </w:pPr>
          </w:p>
        </w:tc>
        <w:tc>
          <w:tcPr>
            <w:tcW w:w="3976" w:type="dxa"/>
            <w:vAlign w:val="bottom"/>
          </w:tcPr>
          <w:p w14:paraId="7EDB7752" w14:textId="002FEA0B" w:rsidR="00C509CA" w:rsidRPr="003838B2" w:rsidRDefault="00C509CA" w:rsidP="00400DD1">
            <w:pPr>
              <w:pStyle w:val="-f"/>
              <w:rPr>
                <w:rFonts w:asciiTheme="minorBidi" w:hAnsiTheme="minorBidi" w:cstheme="minorBidi"/>
                <w:b w:val="0"/>
                <w:bCs w:val="0"/>
                <w:sz w:val="18"/>
                <w:szCs w:val="18"/>
                <w:rtl/>
              </w:rPr>
            </w:pPr>
            <w:r w:rsidRPr="00C509CA">
              <w:rPr>
                <w:rFonts w:asciiTheme="minorBidi" w:hAnsiTheme="minorBidi" w:cstheme="minorBidi"/>
                <w:sz w:val="18"/>
                <w:szCs w:val="18"/>
                <w:rtl/>
              </w:rPr>
              <w:t xml:space="preserve">לשישה חודשים שהסתיימו ביום  30 ביוני </w:t>
            </w:r>
            <w:r w:rsidRPr="00C509CA">
              <w:rPr>
                <w:rFonts w:asciiTheme="minorBidi" w:hAnsiTheme="minorBidi" w:cstheme="minorBidi"/>
                <w:sz w:val="18"/>
                <w:szCs w:val="18"/>
                <w:rtl/>
              </w:rPr>
              <w:fldChar w:fldCharType="begin"/>
            </w:r>
            <w:r w:rsidRPr="00C509CA">
              <w:rPr>
                <w:rFonts w:asciiTheme="minorBidi" w:hAnsiTheme="minorBidi" w:cstheme="minorBidi"/>
                <w:sz w:val="18"/>
                <w:szCs w:val="18"/>
                <w:rtl/>
              </w:rPr>
              <w:instrText xml:space="preserve"> = </w:instrText>
            </w:r>
            <w:r w:rsidRPr="00C509CA">
              <w:rPr>
                <w:rFonts w:asciiTheme="minorBidi" w:hAnsiTheme="minorBidi" w:cstheme="minorBidi"/>
                <w:sz w:val="18"/>
                <w:szCs w:val="18"/>
              </w:rPr>
              <w:instrText>CY \* MERGEFORMAT</w:instrText>
            </w:r>
            <w:r w:rsidRPr="00C509CA">
              <w:rPr>
                <w:rFonts w:asciiTheme="minorBidi" w:hAnsiTheme="minorBidi" w:cstheme="minorBidi"/>
                <w:sz w:val="18"/>
                <w:szCs w:val="18"/>
                <w:rtl/>
              </w:rPr>
              <w:instrText xml:space="preserve"> </w:instrText>
            </w:r>
            <w:r w:rsidRPr="00C509CA">
              <w:rPr>
                <w:rFonts w:asciiTheme="minorBidi" w:hAnsiTheme="minorBidi" w:cstheme="minorBidi"/>
                <w:sz w:val="18"/>
                <w:szCs w:val="18"/>
                <w:rtl/>
              </w:rPr>
              <w:fldChar w:fldCharType="separate"/>
            </w:r>
            <w:r w:rsidR="003A584F">
              <w:rPr>
                <w:rFonts w:asciiTheme="minorBidi" w:hAnsiTheme="minorBidi" w:cstheme="minorBidi"/>
                <w:noProof/>
                <w:sz w:val="18"/>
                <w:szCs w:val="18"/>
                <w:rtl/>
              </w:rPr>
              <w:t>2024</w:t>
            </w:r>
            <w:r w:rsidRPr="00C509CA">
              <w:rPr>
                <w:rFonts w:asciiTheme="minorBidi" w:hAnsiTheme="minorBidi" w:cstheme="minorBidi"/>
                <w:sz w:val="18"/>
                <w:szCs w:val="18"/>
                <w:rtl/>
              </w:rPr>
              <w:fldChar w:fldCharType="end"/>
            </w:r>
            <w:r w:rsidRPr="00C509CA">
              <w:rPr>
                <w:rFonts w:asciiTheme="minorBidi" w:hAnsiTheme="minorBidi" w:cstheme="minorBidi" w:hint="cs"/>
                <w:sz w:val="18"/>
                <w:szCs w:val="18"/>
                <w:rtl/>
              </w:rPr>
              <w:t xml:space="preserve"> </w:t>
            </w:r>
            <w:r w:rsidRPr="000B19AE">
              <w:rPr>
                <w:rFonts w:asciiTheme="minorBidi" w:hAnsiTheme="minorBidi" w:cstheme="minorBidi"/>
                <w:b w:val="0"/>
                <w:bCs w:val="0"/>
                <w:sz w:val="18"/>
                <w:szCs w:val="18"/>
                <w:u w:val="none"/>
                <w:rtl/>
              </w:rPr>
              <w:t>(בלתי מבוקר)</w:t>
            </w:r>
          </w:p>
        </w:tc>
        <w:tc>
          <w:tcPr>
            <w:tcW w:w="641" w:type="dxa"/>
          </w:tcPr>
          <w:p w14:paraId="447D927B" w14:textId="77777777" w:rsidR="00C509CA" w:rsidRPr="00D439C5" w:rsidRDefault="00C509CA" w:rsidP="00400DD1">
            <w:pPr>
              <w:pStyle w:val="-7"/>
              <w:rPr>
                <w:rFonts w:asciiTheme="minorBidi" w:hAnsiTheme="minorBidi" w:cstheme="minorBidi"/>
                <w:sz w:val="19"/>
                <w:szCs w:val="19"/>
                <w:rtl/>
              </w:rPr>
            </w:pPr>
          </w:p>
        </w:tc>
        <w:tc>
          <w:tcPr>
            <w:tcW w:w="709" w:type="dxa"/>
          </w:tcPr>
          <w:p w14:paraId="20693EBE" w14:textId="77777777" w:rsidR="00C509CA" w:rsidRPr="00D439C5" w:rsidRDefault="00C509CA" w:rsidP="00400DD1">
            <w:pPr>
              <w:pStyle w:val="-7"/>
              <w:rPr>
                <w:rFonts w:asciiTheme="minorBidi" w:hAnsiTheme="minorBidi" w:cstheme="minorBidi"/>
                <w:sz w:val="19"/>
                <w:szCs w:val="19"/>
                <w:rtl/>
              </w:rPr>
            </w:pPr>
          </w:p>
        </w:tc>
        <w:tc>
          <w:tcPr>
            <w:tcW w:w="567" w:type="dxa"/>
          </w:tcPr>
          <w:p w14:paraId="0098D27F" w14:textId="77777777" w:rsidR="00C509CA" w:rsidRPr="00D439C5" w:rsidRDefault="00C509CA" w:rsidP="00400DD1">
            <w:pPr>
              <w:pStyle w:val="-7"/>
              <w:rPr>
                <w:rFonts w:asciiTheme="minorBidi" w:hAnsiTheme="minorBidi" w:cstheme="minorBidi"/>
                <w:sz w:val="19"/>
                <w:szCs w:val="19"/>
                <w:rtl/>
              </w:rPr>
            </w:pPr>
          </w:p>
        </w:tc>
        <w:tc>
          <w:tcPr>
            <w:tcW w:w="641" w:type="dxa"/>
          </w:tcPr>
          <w:p w14:paraId="01D012F4" w14:textId="77777777" w:rsidR="00C509CA" w:rsidRPr="00D439C5" w:rsidRDefault="00C509CA" w:rsidP="00400DD1">
            <w:pPr>
              <w:pStyle w:val="-7"/>
              <w:rPr>
                <w:rFonts w:asciiTheme="minorBidi" w:hAnsiTheme="minorBidi" w:cstheme="minorBidi"/>
                <w:sz w:val="19"/>
                <w:szCs w:val="19"/>
                <w:rtl/>
              </w:rPr>
            </w:pPr>
          </w:p>
        </w:tc>
        <w:tc>
          <w:tcPr>
            <w:tcW w:w="1345" w:type="dxa"/>
          </w:tcPr>
          <w:p w14:paraId="2673D2B1" w14:textId="77777777" w:rsidR="00C509CA" w:rsidRPr="00D439C5" w:rsidRDefault="00C509CA" w:rsidP="00400DD1">
            <w:pPr>
              <w:pStyle w:val="-7"/>
              <w:rPr>
                <w:rFonts w:asciiTheme="minorBidi" w:hAnsiTheme="minorBidi" w:cstheme="minorBidi"/>
                <w:sz w:val="19"/>
                <w:szCs w:val="19"/>
                <w:rtl/>
              </w:rPr>
            </w:pPr>
          </w:p>
        </w:tc>
        <w:tc>
          <w:tcPr>
            <w:tcW w:w="851" w:type="dxa"/>
          </w:tcPr>
          <w:p w14:paraId="44668A2E" w14:textId="77777777" w:rsidR="00C509CA" w:rsidRPr="00D439C5" w:rsidRDefault="00C509CA" w:rsidP="00400DD1">
            <w:pPr>
              <w:pStyle w:val="-7"/>
              <w:rPr>
                <w:rFonts w:asciiTheme="minorBidi" w:hAnsiTheme="minorBidi" w:cstheme="minorBidi"/>
                <w:b/>
                <w:bCs/>
                <w:sz w:val="19"/>
                <w:szCs w:val="19"/>
                <w:rtl/>
              </w:rPr>
            </w:pPr>
          </w:p>
        </w:tc>
      </w:tr>
      <w:tr w:rsidR="00C509CA" w:rsidRPr="00543C25" w14:paraId="142965C4" w14:textId="77777777" w:rsidTr="000B19AE">
        <w:trPr>
          <w:trHeight w:val="135"/>
        </w:trPr>
        <w:tc>
          <w:tcPr>
            <w:tcW w:w="738" w:type="dxa"/>
          </w:tcPr>
          <w:p w14:paraId="05ED3D7B" w14:textId="77777777" w:rsidR="00C509CA" w:rsidRPr="003B24D4" w:rsidRDefault="00C509CA" w:rsidP="00400DD1">
            <w:pPr>
              <w:pStyle w:val="-fa"/>
              <w:ind w:right="-142"/>
              <w:rPr>
                <w:rtl/>
              </w:rPr>
            </w:pPr>
          </w:p>
        </w:tc>
        <w:tc>
          <w:tcPr>
            <w:tcW w:w="3976" w:type="dxa"/>
            <w:vAlign w:val="bottom"/>
          </w:tcPr>
          <w:p w14:paraId="657CCCE6" w14:textId="2D0B75B3" w:rsidR="00C509CA" w:rsidRPr="00C509CA" w:rsidRDefault="00C509CA" w:rsidP="000B19AE">
            <w:pPr>
              <w:pStyle w:val="-b"/>
              <w:spacing w:before="60" w:line="240" w:lineRule="auto"/>
              <w:ind w:left="142" w:hanging="142"/>
              <w:rPr>
                <w:rFonts w:asciiTheme="minorBidi" w:hAnsiTheme="minorBidi" w:cstheme="minorBidi"/>
                <w:b w:val="0"/>
                <w:bCs w:val="0"/>
                <w:sz w:val="17"/>
                <w:szCs w:val="17"/>
                <w:rtl/>
              </w:rPr>
            </w:pPr>
            <w:r w:rsidRPr="00C509CA">
              <w:rPr>
                <w:rFonts w:asciiTheme="minorBidi" w:hAnsiTheme="minorBidi" w:cstheme="minorBidi"/>
                <w:sz w:val="17"/>
                <w:szCs w:val="17"/>
                <w:rtl/>
              </w:rPr>
              <w:t xml:space="preserve">יתרת הפרשה להפסדי אשראי ליום 31 בדצמבר </w:t>
            </w:r>
            <w:r w:rsidRPr="00C509CA">
              <w:rPr>
                <w:rFonts w:asciiTheme="minorBidi" w:hAnsiTheme="minorBidi" w:cstheme="minorBidi"/>
                <w:sz w:val="17"/>
                <w:szCs w:val="17"/>
                <w:rtl/>
              </w:rPr>
              <w:fldChar w:fldCharType="begin"/>
            </w:r>
            <w:r w:rsidRPr="00C509CA">
              <w:rPr>
                <w:rFonts w:asciiTheme="minorBidi" w:hAnsiTheme="minorBidi" w:cstheme="minorBidi"/>
                <w:sz w:val="17"/>
                <w:szCs w:val="17"/>
                <w:rtl/>
              </w:rPr>
              <w:instrText xml:space="preserve"> = </w:instrText>
            </w:r>
            <w:r w:rsidRPr="00C509CA">
              <w:rPr>
                <w:rFonts w:asciiTheme="minorBidi" w:hAnsiTheme="minorBidi" w:cstheme="minorBidi"/>
                <w:sz w:val="17"/>
                <w:szCs w:val="17"/>
              </w:rPr>
              <w:instrText>CY-1 \* MERGEFORMAT</w:instrText>
            </w:r>
            <w:r w:rsidRPr="00C509CA">
              <w:rPr>
                <w:rFonts w:asciiTheme="minorBidi" w:hAnsiTheme="minorBidi" w:cstheme="minorBidi"/>
                <w:sz w:val="17"/>
                <w:szCs w:val="17"/>
                <w:rtl/>
              </w:rPr>
              <w:instrText xml:space="preserve"> </w:instrText>
            </w:r>
            <w:r w:rsidRPr="00C509CA">
              <w:rPr>
                <w:rFonts w:asciiTheme="minorBidi" w:hAnsiTheme="minorBidi" w:cstheme="minorBidi"/>
                <w:sz w:val="17"/>
                <w:szCs w:val="17"/>
                <w:rtl/>
              </w:rPr>
              <w:fldChar w:fldCharType="separate"/>
            </w:r>
            <w:r w:rsidR="003A584F">
              <w:rPr>
                <w:rFonts w:asciiTheme="minorBidi" w:hAnsiTheme="minorBidi" w:cstheme="minorBidi"/>
                <w:noProof/>
                <w:sz w:val="17"/>
                <w:szCs w:val="17"/>
                <w:rtl/>
              </w:rPr>
              <w:t>2023</w:t>
            </w:r>
            <w:r w:rsidRPr="00C509CA">
              <w:rPr>
                <w:rFonts w:asciiTheme="minorBidi" w:hAnsiTheme="minorBidi" w:cstheme="minorBidi"/>
                <w:sz w:val="17"/>
                <w:szCs w:val="17"/>
                <w:rtl/>
              </w:rPr>
              <w:fldChar w:fldCharType="end"/>
            </w:r>
          </w:p>
        </w:tc>
        <w:tc>
          <w:tcPr>
            <w:tcW w:w="641" w:type="dxa"/>
            <w:vAlign w:val="bottom"/>
          </w:tcPr>
          <w:p w14:paraId="7FCD8BD0" w14:textId="77777777" w:rsidR="00C509CA" w:rsidRPr="002C0AFF" w:rsidRDefault="00C509CA" w:rsidP="00400DD1">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709" w:type="dxa"/>
            <w:vAlign w:val="bottom"/>
          </w:tcPr>
          <w:p w14:paraId="0B7998DC" w14:textId="77777777" w:rsidR="00C509CA" w:rsidRPr="002C0AFF" w:rsidRDefault="00C509CA" w:rsidP="00400DD1">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567" w:type="dxa"/>
            <w:vAlign w:val="bottom"/>
          </w:tcPr>
          <w:p w14:paraId="52E9F1C8" w14:textId="77777777" w:rsidR="00C509CA" w:rsidRPr="002C0AFF" w:rsidRDefault="00C509CA" w:rsidP="00400DD1">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641" w:type="dxa"/>
            <w:vAlign w:val="bottom"/>
          </w:tcPr>
          <w:p w14:paraId="73ED78E5" w14:textId="77777777" w:rsidR="00C509CA" w:rsidRPr="002C0AFF" w:rsidRDefault="00C509CA" w:rsidP="00400DD1">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c>
          <w:tcPr>
            <w:tcW w:w="1345" w:type="dxa"/>
            <w:vAlign w:val="bottom"/>
          </w:tcPr>
          <w:p w14:paraId="7843D0F7" w14:textId="77777777" w:rsidR="00C509CA" w:rsidRPr="002C0AFF" w:rsidRDefault="00C509CA" w:rsidP="00400DD1">
            <w:pPr>
              <w:pStyle w:val="-3"/>
              <w:rPr>
                <w:rFonts w:asciiTheme="minorBidi" w:hAnsiTheme="minorBidi" w:cstheme="minorBidi"/>
                <w:b/>
                <w:bCs/>
                <w:sz w:val="18"/>
                <w:szCs w:val="18"/>
                <w:rtl/>
              </w:rPr>
            </w:pPr>
            <w:r w:rsidRPr="002C0AFF">
              <w:rPr>
                <w:rFonts w:asciiTheme="minorBidi" w:hAnsiTheme="minorBidi" w:cstheme="minorBidi" w:hint="cs"/>
                <w:b/>
                <w:bCs/>
                <w:sz w:val="18"/>
                <w:szCs w:val="18"/>
                <w:rtl/>
              </w:rPr>
              <w:t xml:space="preserve"> 0</w:t>
            </w:r>
          </w:p>
        </w:tc>
        <w:tc>
          <w:tcPr>
            <w:tcW w:w="851" w:type="dxa"/>
            <w:vAlign w:val="bottom"/>
          </w:tcPr>
          <w:p w14:paraId="5CB48399" w14:textId="77777777" w:rsidR="00C509CA" w:rsidRPr="002C0AFF" w:rsidRDefault="00C509CA" w:rsidP="00400DD1">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r>
      <w:tr w:rsidR="00C509CA" w:rsidRPr="00543C25" w14:paraId="222D1C0C" w14:textId="77777777" w:rsidTr="000B19AE">
        <w:trPr>
          <w:trHeight w:val="259"/>
        </w:trPr>
        <w:tc>
          <w:tcPr>
            <w:tcW w:w="738" w:type="dxa"/>
          </w:tcPr>
          <w:p w14:paraId="1331DA3C" w14:textId="77777777" w:rsidR="00C509CA" w:rsidRPr="003B24D4" w:rsidRDefault="00C509CA" w:rsidP="00400DD1">
            <w:pPr>
              <w:pStyle w:val="-fa"/>
              <w:ind w:right="-142"/>
              <w:rPr>
                <w:rtl/>
              </w:rPr>
            </w:pPr>
          </w:p>
        </w:tc>
        <w:tc>
          <w:tcPr>
            <w:tcW w:w="3976" w:type="dxa"/>
            <w:vAlign w:val="bottom"/>
          </w:tcPr>
          <w:p w14:paraId="32FB2795" w14:textId="77777777" w:rsidR="00C509CA" w:rsidRPr="003838B2" w:rsidRDefault="00C509CA" w:rsidP="00400DD1">
            <w:pPr>
              <w:pStyle w:val="-0"/>
              <w:spacing w:line="240" w:lineRule="auto"/>
              <w:rPr>
                <w:rFonts w:asciiTheme="minorBidi" w:hAnsiTheme="minorBidi" w:cstheme="minorBidi"/>
                <w:sz w:val="18"/>
                <w:szCs w:val="18"/>
              </w:rPr>
            </w:pPr>
            <w:r w:rsidRPr="003838B2">
              <w:rPr>
                <w:rFonts w:asciiTheme="minorBidi" w:hAnsiTheme="minorBidi" w:cstheme="minorBidi"/>
                <w:sz w:val="18"/>
                <w:szCs w:val="18"/>
                <w:rtl/>
              </w:rPr>
              <w:t xml:space="preserve">הוצאות בגין הפסדי אשראי </w:t>
            </w:r>
          </w:p>
        </w:tc>
        <w:tc>
          <w:tcPr>
            <w:tcW w:w="641" w:type="dxa"/>
            <w:vAlign w:val="bottom"/>
          </w:tcPr>
          <w:p w14:paraId="682A4B2E" w14:textId="77777777" w:rsidR="00C509CA" w:rsidRPr="003838B2" w:rsidRDefault="00C509CA" w:rsidP="00400DD1">
            <w:pPr>
              <w:pStyle w:val="-3"/>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709" w:type="dxa"/>
            <w:vAlign w:val="bottom"/>
          </w:tcPr>
          <w:p w14:paraId="39930B90" w14:textId="77777777" w:rsidR="00C509CA" w:rsidRPr="003838B2" w:rsidRDefault="00C509CA" w:rsidP="00400DD1">
            <w:pPr>
              <w:pStyle w:val="-3"/>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567" w:type="dxa"/>
            <w:vAlign w:val="bottom"/>
          </w:tcPr>
          <w:p w14:paraId="592F63B6" w14:textId="77777777" w:rsidR="00C509CA" w:rsidRPr="003838B2" w:rsidRDefault="00C509CA" w:rsidP="00400DD1">
            <w:pPr>
              <w:pStyle w:val="-3"/>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641" w:type="dxa"/>
            <w:vAlign w:val="bottom"/>
          </w:tcPr>
          <w:p w14:paraId="0A111323" w14:textId="77777777" w:rsidR="00C509CA" w:rsidRPr="003838B2" w:rsidRDefault="00C509CA" w:rsidP="00400DD1">
            <w:pPr>
              <w:pStyle w:val="-3"/>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1345" w:type="dxa"/>
            <w:vAlign w:val="bottom"/>
          </w:tcPr>
          <w:p w14:paraId="4C17ED45" w14:textId="77777777" w:rsidR="00C509CA" w:rsidRPr="003838B2" w:rsidRDefault="00C509CA" w:rsidP="00400DD1">
            <w:pPr>
              <w:pStyle w:val="-3"/>
              <w:rPr>
                <w:rFonts w:asciiTheme="minorBidi" w:hAnsiTheme="minorBidi" w:cstheme="minorBidi"/>
                <w:b/>
                <w:bCs/>
                <w:sz w:val="18"/>
                <w:szCs w:val="18"/>
                <w:rtl/>
              </w:rPr>
            </w:pPr>
            <w:r w:rsidRPr="003838B2">
              <w:rPr>
                <w:rFonts w:asciiTheme="minorBidi" w:hAnsiTheme="minorBidi" w:cstheme="minorBidi" w:hint="cs"/>
                <w:b/>
                <w:bCs/>
                <w:sz w:val="18"/>
                <w:szCs w:val="18"/>
                <w:rtl/>
              </w:rPr>
              <w:t xml:space="preserve"> 0</w:t>
            </w:r>
          </w:p>
        </w:tc>
        <w:tc>
          <w:tcPr>
            <w:tcW w:w="851" w:type="dxa"/>
            <w:vAlign w:val="bottom"/>
          </w:tcPr>
          <w:p w14:paraId="4CF65BD0" w14:textId="77777777" w:rsidR="00C509CA" w:rsidRPr="002C0AFF" w:rsidRDefault="00C509CA" w:rsidP="00400DD1">
            <w:pPr>
              <w:pStyle w:val="-3"/>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r>
      <w:tr w:rsidR="00C509CA" w:rsidRPr="00543C25" w14:paraId="0B6834EA" w14:textId="77777777" w:rsidTr="000B19AE">
        <w:trPr>
          <w:trHeight w:val="259"/>
        </w:trPr>
        <w:tc>
          <w:tcPr>
            <w:tcW w:w="738" w:type="dxa"/>
          </w:tcPr>
          <w:p w14:paraId="3799B7E6" w14:textId="77777777" w:rsidR="00C509CA" w:rsidRPr="003B24D4" w:rsidRDefault="00C509CA" w:rsidP="00400DD1">
            <w:pPr>
              <w:pStyle w:val="-fa"/>
              <w:ind w:right="-142"/>
              <w:rPr>
                <w:rtl/>
              </w:rPr>
            </w:pPr>
          </w:p>
        </w:tc>
        <w:tc>
          <w:tcPr>
            <w:tcW w:w="3976" w:type="dxa"/>
            <w:vAlign w:val="bottom"/>
          </w:tcPr>
          <w:p w14:paraId="2E4C0E4C" w14:textId="77777777" w:rsidR="00C509CA" w:rsidRPr="003838B2" w:rsidRDefault="00C509CA" w:rsidP="00400DD1">
            <w:pPr>
              <w:pStyle w:val="-21"/>
              <w:spacing w:before="120"/>
              <w:ind w:left="357" w:right="142" w:hanging="142"/>
              <w:rPr>
                <w:rFonts w:asciiTheme="minorBidi" w:hAnsiTheme="minorBidi" w:cstheme="minorBidi"/>
                <w:b/>
                <w:bCs/>
                <w:sz w:val="18"/>
                <w:szCs w:val="18"/>
              </w:rPr>
            </w:pPr>
            <w:r w:rsidRPr="003838B2">
              <w:rPr>
                <w:rFonts w:asciiTheme="minorBidi" w:hAnsiTheme="minorBidi" w:cstheme="minorBidi"/>
                <w:sz w:val="18"/>
                <w:szCs w:val="18"/>
                <w:rtl/>
              </w:rPr>
              <w:t xml:space="preserve">מחיקות חשבונאיות </w:t>
            </w:r>
          </w:p>
        </w:tc>
        <w:tc>
          <w:tcPr>
            <w:tcW w:w="641" w:type="dxa"/>
            <w:vAlign w:val="bottom"/>
          </w:tcPr>
          <w:p w14:paraId="36CD376D" w14:textId="77777777" w:rsidR="00C509CA" w:rsidRPr="002C0AFF" w:rsidRDefault="00C509CA" w:rsidP="00400DD1">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709" w:type="dxa"/>
            <w:vAlign w:val="bottom"/>
          </w:tcPr>
          <w:p w14:paraId="79D424D0" w14:textId="77777777" w:rsidR="00C509CA" w:rsidRPr="002C0AFF" w:rsidRDefault="00C509CA" w:rsidP="00400DD1">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567" w:type="dxa"/>
            <w:vAlign w:val="bottom"/>
          </w:tcPr>
          <w:p w14:paraId="5A95460F" w14:textId="77777777" w:rsidR="00C509CA" w:rsidRPr="002C0AFF" w:rsidRDefault="00C509CA" w:rsidP="00400DD1">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641" w:type="dxa"/>
            <w:vAlign w:val="bottom"/>
          </w:tcPr>
          <w:p w14:paraId="2BAD8917" w14:textId="77777777" w:rsidR="00C509CA" w:rsidRPr="002C0AFF" w:rsidRDefault="00C509CA" w:rsidP="00400DD1">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1345" w:type="dxa"/>
            <w:vAlign w:val="bottom"/>
          </w:tcPr>
          <w:p w14:paraId="3B70F074" w14:textId="77777777" w:rsidR="00C509CA" w:rsidRPr="002C0AFF" w:rsidRDefault="00C509CA" w:rsidP="00400DD1">
            <w:pPr>
              <w:pStyle w:val="-3"/>
              <w:rPr>
                <w:rFonts w:asciiTheme="minorBidi" w:hAnsiTheme="minorBidi" w:cstheme="minorBidi"/>
                <w:sz w:val="18"/>
                <w:szCs w:val="18"/>
                <w:rtl/>
              </w:rPr>
            </w:pPr>
            <w:r w:rsidRPr="002C0AFF">
              <w:rPr>
                <w:rFonts w:asciiTheme="minorBidi" w:hAnsiTheme="minorBidi" w:cstheme="minorBidi"/>
                <w:sz w:val="18"/>
                <w:szCs w:val="18"/>
                <w:rtl/>
              </w:rPr>
              <w:t>(0)</w:t>
            </w:r>
          </w:p>
        </w:tc>
        <w:tc>
          <w:tcPr>
            <w:tcW w:w="851" w:type="dxa"/>
            <w:vAlign w:val="bottom"/>
          </w:tcPr>
          <w:p w14:paraId="76C55559" w14:textId="77777777" w:rsidR="00C509CA" w:rsidRPr="003838B2" w:rsidRDefault="00C509CA" w:rsidP="00400DD1">
            <w:pPr>
              <w:pStyle w:val="-3"/>
              <w:rPr>
                <w:rFonts w:asciiTheme="minorBidi" w:hAnsiTheme="minorBidi" w:cstheme="minorBidi"/>
                <w:sz w:val="18"/>
                <w:szCs w:val="18"/>
                <w:rtl/>
              </w:rPr>
            </w:pPr>
            <w:r w:rsidRPr="003838B2">
              <w:rPr>
                <w:rFonts w:asciiTheme="minorBidi" w:hAnsiTheme="minorBidi" w:cstheme="minorBidi"/>
                <w:sz w:val="18"/>
                <w:szCs w:val="18"/>
                <w:rtl/>
              </w:rPr>
              <w:t>(0)</w:t>
            </w:r>
          </w:p>
        </w:tc>
      </w:tr>
      <w:tr w:rsidR="00C509CA" w:rsidRPr="00543C25" w14:paraId="036BF1D1" w14:textId="77777777" w:rsidTr="000B19AE">
        <w:trPr>
          <w:trHeight w:val="259"/>
        </w:trPr>
        <w:tc>
          <w:tcPr>
            <w:tcW w:w="738" w:type="dxa"/>
          </w:tcPr>
          <w:p w14:paraId="37C2B8F8" w14:textId="77777777" w:rsidR="00C509CA" w:rsidRDefault="00C509CA" w:rsidP="00400DD1">
            <w:pPr>
              <w:pStyle w:val="-fa"/>
              <w:ind w:right="-142"/>
              <w:rPr>
                <w:rtl/>
              </w:rPr>
            </w:pPr>
          </w:p>
        </w:tc>
        <w:tc>
          <w:tcPr>
            <w:tcW w:w="3976" w:type="dxa"/>
            <w:vAlign w:val="bottom"/>
          </w:tcPr>
          <w:p w14:paraId="3915622E" w14:textId="77777777" w:rsidR="00C509CA" w:rsidRPr="003838B2" w:rsidRDefault="00C509CA" w:rsidP="00400DD1">
            <w:pPr>
              <w:pStyle w:val="-21"/>
              <w:ind w:left="361" w:right="144"/>
              <w:rPr>
                <w:rFonts w:asciiTheme="minorBidi" w:hAnsiTheme="minorBidi" w:cstheme="minorBidi"/>
                <w:sz w:val="18"/>
                <w:szCs w:val="18"/>
              </w:rPr>
            </w:pPr>
            <w:r w:rsidRPr="003838B2">
              <w:rPr>
                <w:rFonts w:asciiTheme="minorBidi" w:hAnsiTheme="minorBidi" w:cstheme="minorBidi"/>
                <w:sz w:val="18"/>
                <w:szCs w:val="18"/>
                <w:rtl/>
              </w:rPr>
              <w:t>גביית חובות שנמחקו חשבונאית בשנים קודמות</w:t>
            </w:r>
          </w:p>
        </w:tc>
        <w:tc>
          <w:tcPr>
            <w:tcW w:w="641" w:type="dxa"/>
            <w:vAlign w:val="bottom"/>
          </w:tcPr>
          <w:p w14:paraId="046452A2" w14:textId="77777777" w:rsidR="00C509CA" w:rsidRPr="002C0AFF" w:rsidRDefault="00C509CA" w:rsidP="00400DD1">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709" w:type="dxa"/>
            <w:vAlign w:val="bottom"/>
          </w:tcPr>
          <w:p w14:paraId="17C2D51D" w14:textId="77777777" w:rsidR="00C509CA" w:rsidRPr="002C0AFF" w:rsidRDefault="00C509CA" w:rsidP="00400DD1">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567" w:type="dxa"/>
            <w:vAlign w:val="bottom"/>
          </w:tcPr>
          <w:p w14:paraId="28767F38" w14:textId="77777777" w:rsidR="00C509CA" w:rsidRPr="002C0AFF" w:rsidRDefault="00C509CA" w:rsidP="00400DD1">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641" w:type="dxa"/>
            <w:vAlign w:val="bottom"/>
          </w:tcPr>
          <w:p w14:paraId="64FB5E55" w14:textId="77777777" w:rsidR="00C509CA" w:rsidRPr="002C0AFF" w:rsidRDefault="00C509CA" w:rsidP="00400DD1">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1345" w:type="dxa"/>
            <w:vAlign w:val="bottom"/>
          </w:tcPr>
          <w:p w14:paraId="1A5EDEAA" w14:textId="77777777" w:rsidR="00C509CA" w:rsidRPr="002C0AFF" w:rsidRDefault="00C509CA" w:rsidP="00400DD1">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hint="cs"/>
                <w:szCs w:val="18"/>
                <w:rtl/>
              </w:rPr>
              <w:t xml:space="preserve"> 0</w:t>
            </w:r>
          </w:p>
        </w:tc>
        <w:tc>
          <w:tcPr>
            <w:tcW w:w="851" w:type="dxa"/>
            <w:vAlign w:val="bottom"/>
          </w:tcPr>
          <w:p w14:paraId="4490D5EE" w14:textId="77777777" w:rsidR="00C509CA" w:rsidRPr="003838B2" w:rsidRDefault="00C509CA" w:rsidP="00400DD1">
            <w:pPr>
              <w:pStyle w:val="-120"/>
              <w:pBdr>
                <w:top w:val="none" w:sz="0" w:space="0" w:color="auto"/>
                <w:bottom w:val="single" w:sz="4" w:space="1" w:color="auto"/>
              </w:pBdr>
              <w:rPr>
                <w:rFonts w:asciiTheme="minorBidi" w:hAnsiTheme="minorBidi" w:cstheme="minorBidi"/>
                <w:szCs w:val="18"/>
                <w:rtl/>
              </w:rPr>
            </w:pPr>
            <w:r w:rsidRPr="003838B2">
              <w:rPr>
                <w:rFonts w:asciiTheme="minorBidi" w:hAnsiTheme="minorBidi" w:cstheme="minorBidi"/>
                <w:szCs w:val="18"/>
                <w:rtl/>
              </w:rPr>
              <w:t xml:space="preserve"> 0</w:t>
            </w:r>
          </w:p>
        </w:tc>
      </w:tr>
      <w:tr w:rsidR="00C509CA" w:rsidRPr="00543C25" w14:paraId="70D66E25" w14:textId="77777777" w:rsidTr="000B19AE">
        <w:trPr>
          <w:trHeight w:val="259"/>
        </w:trPr>
        <w:tc>
          <w:tcPr>
            <w:tcW w:w="738" w:type="dxa"/>
          </w:tcPr>
          <w:p w14:paraId="5F28970C" w14:textId="77777777" w:rsidR="00C509CA" w:rsidRPr="003B24D4" w:rsidRDefault="00C509CA" w:rsidP="00400DD1">
            <w:pPr>
              <w:pStyle w:val="-fa"/>
              <w:ind w:right="-142"/>
              <w:rPr>
                <w:rtl/>
              </w:rPr>
            </w:pPr>
          </w:p>
        </w:tc>
        <w:tc>
          <w:tcPr>
            <w:tcW w:w="3976" w:type="dxa"/>
            <w:vAlign w:val="bottom"/>
          </w:tcPr>
          <w:p w14:paraId="73AC2FF7" w14:textId="77777777" w:rsidR="00C509CA" w:rsidRPr="003838B2" w:rsidRDefault="00C509CA" w:rsidP="00400DD1">
            <w:pPr>
              <w:pStyle w:val="-0"/>
              <w:rPr>
                <w:rFonts w:asciiTheme="minorBidi" w:hAnsiTheme="minorBidi" w:cstheme="minorBidi"/>
                <w:sz w:val="18"/>
                <w:szCs w:val="18"/>
                <w:rtl/>
              </w:rPr>
            </w:pPr>
            <w:r w:rsidRPr="003838B2">
              <w:rPr>
                <w:rFonts w:asciiTheme="minorBidi" w:hAnsiTheme="minorBidi" w:cstheme="minorBidi"/>
                <w:sz w:val="18"/>
                <w:szCs w:val="18"/>
                <w:rtl/>
              </w:rPr>
              <w:t xml:space="preserve">מחיקות חשבונאיות נטו </w:t>
            </w:r>
          </w:p>
        </w:tc>
        <w:tc>
          <w:tcPr>
            <w:tcW w:w="641" w:type="dxa"/>
            <w:vAlign w:val="bottom"/>
          </w:tcPr>
          <w:p w14:paraId="2FB8FC2F" w14:textId="77777777" w:rsidR="00C509CA" w:rsidRPr="005A04AF" w:rsidRDefault="00C509CA" w:rsidP="00400DD1">
            <w:pPr>
              <w:pStyle w:val="-3"/>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709" w:type="dxa"/>
            <w:vAlign w:val="bottom"/>
          </w:tcPr>
          <w:p w14:paraId="66AF6ED0" w14:textId="77777777" w:rsidR="00C509CA" w:rsidRPr="005A04AF" w:rsidRDefault="00C509CA" w:rsidP="00400DD1">
            <w:pPr>
              <w:pStyle w:val="-3"/>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567" w:type="dxa"/>
            <w:vAlign w:val="bottom"/>
          </w:tcPr>
          <w:p w14:paraId="733B164C" w14:textId="77777777" w:rsidR="00C509CA" w:rsidRPr="005A04AF" w:rsidRDefault="00C509CA" w:rsidP="00400DD1">
            <w:pPr>
              <w:pStyle w:val="-3"/>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641" w:type="dxa"/>
            <w:vAlign w:val="bottom"/>
          </w:tcPr>
          <w:p w14:paraId="3CD361AA" w14:textId="77777777" w:rsidR="00C509CA" w:rsidRPr="005A04AF" w:rsidRDefault="00C509CA" w:rsidP="00400DD1">
            <w:pPr>
              <w:pStyle w:val="-3"/>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1345" w:type="dxa"/>
            <w:vAlign w:val="bottom"/>
          </w:tcPr>
          <w:p w14:paraId="14567A92" w14:textId="77777777" w:rsidR="00C509CA" w:rsidRPr="005A04AF" w:rsidRDefault="00C509CA" w:rsidP="00400DD1">
            <w:pPr>
              <w:pStyle w:val="-3"/>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851" w:type="dxa"/>
            <w:vAlign w:val="bottom"/>
          </w:tcPr>
          <w:p w14:paraId="54A8F546" w14:textId="77777777" w:rsidR="00C509CA" w:rsidRPr="005A04AF" w:rsidRDefault="00C509CA" w:rsidP="00400DD1">
            <w:pPr>
              <w:pStyle w:val="-3"/>
              <w:rPr>
                <w:rFonts w:asciiTheme="minorBidi" w:hAnsiTheme="minorBidi" w:cstheme="minorBidi"/>
                <w:b/>
                <w:bCs/>
                <w:sz w:val="18"/>
                <w:szCs w:val="18"/>
                <w:rtl/>
              </w:rPr>
            </w:pPr>
            <w:r w:rsidRPr="005A04AF">
              <w:rPr>
                <w:rFonts w:asciiTheme="minorBidi" w:hAnsiTheme="minorBidi" w:cstheme="minorBidi"/>
                <w:b/>
                <w:bCs/>
                <w:sz w:val="18"/>
                <w:szCs w:val="18"/>
                <w:rtl/>
              </w:rPr>
              <w:t>(0)</w:t>
            </w:r>
          </w:p>
        </w:tc>
      </w:tr>
      <w:tr w:rsidR="00C509CA" w:rsidRPr="00543C25" w14:paraId="08A9FC74" w14:textId="77777777" w:rsidTr="000B19AE">
        <w:trPr>
          <w:trHeight w:val="259"/>
        </w:trPr>
        <w:tc>
          <w:tcPr>
            <w:tcW w:w="738" w:type="dxa"/>
          </w:tcPr>
          <w:p w14:paraId="6D4C7AF9" w14:textId="77777777" w:rsidR="00C509CA" w:rsidRPr="003B24D4" w:rsidRDefault="00C509CA" w:rsidP="00400DD1">
            <w:pPr>
              <w:pStyle w:val="-fa"/>
              <w:ind w:right="-142"/>
              <w:rPr>
                <w:rtl/>
              </w:rPr>
            </w:pPr>
          </w:p>
        </w:tc>
        <w:tc>
          <w:tcPr>
            <w:tcW w:w="3976" w:type="dxa"/>
            <w:vAlign w:val="bottom"/>
          </w:tcPr>
          <w:p w14:paraId="3F4317F9" w14:textId="77777777" w:rsidR="00C509CA" w:rsidRPr="003838B2" w:rsidRDefault="00C509CA" w:rsidP="00400DD1">
            <w:pPr>
              <w:pStyle w:val="-0"/>
              <w:rPr>
                <w:rFonts w:asciiTheme="minorBidi" w:hAnsiTheme="minorBidi" w:cstheme="minorBidi"/>
                <w:sz w:val="18"/>
                <w:szCs w:val="18"/>
                <w:rtl/>
              </w:rPr>
            </w:pPr>
            <w:r w:rsidRPr="003838B2">
              <w:rPr>
                <w:rFonts w:asciiTheme="minorBidi" w:hAnsiTheme="minorBidi" w:cstheme="minorBidi"/>
                <w:sz w:val="18"/>
                <w:szCs w:val="18"/>
                <w:rtl/>
              </w:rPr>
              <w:t>התאמות מתרגום דוחות כספיים</w:t>
            </w:r>
          </w:p>
        </w:tc>
        <w:tc>
          <w:tcPr>
            <w:tcW w:w="641" w:type="dxa"/>
            <w:vAlign w:val="bottom"/>
          </w:tcPr>
          <w:p w14:paraId="0BFB7D6F" w14:textId="77777777" w:rsidR="00C509CA" w:rsidRPr="002C0AFF" w:rsidRDefault="00C509CA" w:rsidP="00400DD1">
            <w:pPr>
              <w:pStyle w:val="-3"/>
              <w:rPr>
                <w:rFonts w:asciiTheme="minorBidi" w:hAnsiTheme="minorBidi" w:cstheme="minorBidi"/>
                <w:sz w:val="18"/>
                <w:szCs w:val="18"/>
              </w:rPr>
            </w:pPr>
            <w:r w:rsidRPr="002C0AFF">
              <w:rPr>
                <w:rFonts w:asciiTheme="minorBidi" w:hAnsiTheme="minorBidi" w:cstheme="minorBidi"/>
                <w:sz w:val="18"/>
                <w:szCs w:val="18"/>
                <w:rtl/>
              </w:rPr>
              <w:t xml:space="preserve"> 0</w:t>
            </w:r>
          </w:p>
        </w:tc>
        <w:tc>
          <w:tcPr>
            <w:tcW w:w="709" w:type="dxa"/>
            <w:vAlign w:val="bottom"/>
          </w:tcPr>
          <w:p w14:paraId="4A07B3DC" w14:textId="77777777" w:rsidR="00C509CA" w:rsidRPr="002C0AFF" w:rsidRDefault="00C509CA" w:rsidP="00400DD1">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7" w:type="dxa"/>
            <w:vAlign w:val="bottom"/>
          </w:tcPr>
          <w:p w14:paraId="248BE307" w14:textId="77777777" w:rsidR="00C509CA" w:rsidRPr="002C0AFF" w:rsidRDefault="00C509CA" w:rsidP="00400DD1">
            <w:pPr>
              <w:pStyle w:val="-3"/>
              <w:rPr>
                <w:rFonts w:asciiTheme="minorBidi" w:hAnsiTheme="minorBidi" w:cstheme="minorBidi"/>
                <w:sz w:val="18"/>
                <w:szCs w:val="18"/>
              </w:rPr>
            </w:pPr>
            <w:r w:rsidRPr="002C0AFF">
              <w:rPr>
                <w:rFonts w:asciiTheme="minorBidi" w:hAnsiTheme="minorBidi" w:cstheme="minorBidi"/>
                <w:sz w:val="18"/>
                <w:szCs w:val="18"/>
                <w:rtl/>
              </w:rPr>
              <w:t xml:space="preserve"> 0</w:t>
            </w:r>
          </w:p>
        </w:tc>
        <w:tc>
          <w:tcPr>
            <w:tcW w:w="641" w:type="dxa"/>
            <w:vAlign w:val="bottom"/>
          </w:tcPr>
          <w:p w14:paraId="259150CC" w14:textId="77777777" w:rsidR="00C509CA" w:rsidRPr="002C0AFF" w:rsidRDefault="00C509CA" w:rsidP="00400DD1">
            <w:pPr>
              <w:pStyle w:val="-3"/>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345" w:type="dxa"/>
            <w:vAlign w:val="bottom"/>
          </w:tcPr>
          <w:p w14:paraId="52D56000" w14:textId="77777777" w:rsidR="00C509CA" w:rsidRPr="002C0AFF" w:rsidRDefault="00C509CA" w:rsidP="00400DD1">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851" w:type="dxa"/>
            <w:vAlign w:val="bottom"/>
          </w:tcPr>
          <w:p w14:paraId="5ED0BB30" w14:textId="77777777" w:rsidR="00C509CA" w:rsidRPr="003838B2" w:rsidRDefault="00C509CA" w:rsidP="00400DD1">
            <w:pPr>
              <w:pStyle w:val="-3"/>
              <w:rPr>
                <w:rFonts w:asciiTheme="minorBidi" w:hAnsiTheme="minorBidi" w:cstheme="minorBidi"/>
                <w:sz w:val="18"/>
                <w:szCs w:val="18"/>
                <w:rtl/>
              </w:rPr>
            </w:pPr>
            <w:r w:rsidRPr="003838B2">
              <w:rPr>
                <w:rFonts w:asciiTheme="minorBidi" w:hAnsiTheme="minorBidi" w:cstheme="minorBidi"/>
                <w:sz w:val="18"/>
                <w:szCs w:val="18"/>
                <w:rtl/>
              </w:rPr>
              <w:t xml:space="preserve"> 0</w:t>
            </w:r>
          </w:p>
        </w:tc>
      </w:tr>
      <w:tr w:rsidR="00C509CA" w:rsidRPr="00543C25" w14:paraId="2BA59D5A" w14:textId="77777777" w:rsidTr="000B19AE">
        <w:trPr>
          <w:trHeight w:val="259"/>
        </w:trPr>
        <w:tc>
          <w:tcPr>
            <w:tcW w:w="738" w:type="dxa"/>
          </w:tcPr>
          <w:p w14:paraId="7C46A3B6" w14:textId="77777777" w:rsidR="00C509CA" w:rsidRPr="003B24D4" w:rsidRDefault="00C509CA" w:rsidP="00400DD1">
            <w:pPr>
              <w:pStyle w:val="-fa"/>
              <w:ind w:right="-142"/>
              <w:rPr>
                <w:rtl/>
              </w:rPr>
            </w:pPr>
          </w:p>
        </w:tc>
        <w:tc>
          <w:tcPr>
            <w:tcW w:w="3976" w:type="dxa"/>
            <w:vAlign w:val="bottom"/>
          </w:tcPr>
          <w:p w14:paraId="4930AD04" w14:textId="77777777" w:rsidR="00C509CA" w:rsidRPr="003838B2" w:rsidRDefault="00C509CA" w:rsidP="00400DD1">
            <w:pPr>
              <w:pStyle w:val="-0"/>
              <w:spacing w:before="40" w:line="240" w:lineRule="auto"/>
              <w:ind w:left="142" w:hanging="142"/>
              <w:rPr>
                <w:rFonts w:asciiTheme="minorBidi" w:hAnsiTheme="minorBidi" w:cstheme="minorBidi"/>
                <w:b/>
                <w:bCs/>
                <w:sz w:val="18"/>
                <w:szCs w:val="18"/>
              </w:rPr>
            </w:pPr>
            <w:r w:rsidRPr="003838B2">
              <w:rPr>
                <w:rFonts w:asciiTheme="minorBidi" w:hAnsiTheme="minorBidi" w:cstheme="minorBidi"/>
                <w:sz w:val="18"/>
                <w:szCs w:val="18"/>
                <w:rtl/>
              </w:rPr>
              <w:t>אחר</w:t>
            </w:r>
            <w:r w:rsidRPr="003838B2">
              <w:rPr>
                <w:sz w:val="18"/>
                <w:szCs w:val="18"/>
                <w:vertAlign w:val="superscript"/>
                <w:rtl/>
              </w:rPr>
              <w:t>[</w:t>
            </w:r>
            <w:r w:rsidRPr="003838B2">
              <w:rPr>
                <w:sz w:val="18"/>
                <w:szCs w:val="18"/>
                <w:vertAlign w:val="superscript"/>
                <w:rtl/>
              </w:rPr>
              <w:footnoteReference w:id="102"/>
            </w:r>
            <w:r w:rsidRPr="003838B2">
              <w:rPr>
                <w:sz w:val="18"/>
                <w:szCs w:val="18"/>
                <w:vertAlign w:val="superscript"/>
                <w:rtl/>
              </w:rPr>
              <w:t>]</w:t>
            </w:r>
          </w:p>
        </w:tc>
        <w:tc>
          <w:tcPr>
            <w:tcW w:w="641" w:type="dxa"/>
            <w:vAlign w:val="bottom"/>
          </w:tcPr>
          <w:p w14:paraId="6B6A591A" w14:textId="77777777" w:rsidR="00C509CA" w:rsidRPr="002C0AFF" w:rsidRDefault="00C509CA" w:rsidP="00400DD1">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709" w:type="dxa"/>
            <w:vAlign w:val="bottom"/>
          </w:tcPr>
          <w:p w14:paraId="69E934CD" w14:textId="77777777" w:rsidR="00C509CA" w:rsidRPr="002C0AFF" w:rsidRDefault="00C509CA" w:rsidP="00400DD1">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7" w:type="dxa"/>
            <w:vAlign w:val="bottom"/>
          </w:tcPr>
          <w:p w14:paraId="329B8E24" w14:textId="77777777" w:rsidR="00C509CA" w:rsidRPr="002C0AFF" w:rsidRDefault="00C509CA" w:rsidP="00400DD1">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641" w:type="dxa"/>
            <w:vAlign w:val="bottom"/>
          </w:tcPr>
          <w:p w14:paraId="14A8C39D" w14:textId="77777777" w:rsidR="00C509CA" w:rsidRPr="002C0AFF" w:rsidRDefault="00C509CA" w:rsidP="00400DD1">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345" w:type="dxa"/>
            <w:vAlign w:val="bottom"/>
          </w:tcPr>
          <w:p w14:paraId="29650AEB" w14:textId="77777777" w:rsidR="00C509CA" w:rsidRPr="002C0AFF" w:rsidRDefault="00C509CA" w:rsidP="00400DD1">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851" w:type="dxa"/>
            <w:vAlign w:val="bottom"/>
          </w:tcPr>
          <w:p w14:paraId="2460ABA5" w14:textId="77777777" w:rsidR="00C509CA" w:rsidRPr="003838B2" w:rsidRDefault="00C509CA" w:rsidP="00400DD1">
            <w:pPr>
              <w:pStyle w:val="-3"/>
              <w:pBdr>
                <w:bottom w:val="single" w:sz="4" w:space="1" w:color="auto"/>
              </w:pBdr>
              <w:rPr>
                <w:rFonts w:asciiTheme="minorBidi" w:hAnsiTheme="minorBidi" w:cstheme="minorBidi"/>
                <w:sz w:val="18"/>
                <w:szCs w:val="18"/>
                <w:rtl/>
              </w:rPr>
            </w:pPr>
            <w:r w:rsidRPr="003838B2">
              <w:rPr>
                <w:rFonts w:asciiTheme="minorBidi" w:hAnsiTheme="minorBidi" w:cstheme="minorBidi"/>
                <w:sz w:val="18"/>
                <w:szCs w:val="18"/>
                <w:rtl/>
              </w:rPr>
              <w:t xml:space="preserve"> 0</w:t>
            </w:r>
          </w:p>
        </w:tc>
      </w:tr>
      <w:tr w:rsidR="00C509CA" w:rsidRPr="00BA061F" w14:paraId="5434355C" w14:textId="77777777" w:rsidTr="000B19AE">
        <w:tc>
          <w:tcPr>
            <w:tcW w:w="738" w:type="dxa"/>
          </w:tcPr>
          <w:p w14:paraId="0B925952" w14:textId="77777777" w:rsidR="00C509CA" w:rsidRDefault="00C509CA" w:rsidP="00400DD1">
            <w:pPr>
              <w:pStyle w:val="-fa"/>
              <w:bidi w:val="0"/>
              <w:ind w:right="-142"/>
              <w:jc w:val="both"/>
              <w:rPr>
                <w:rtl/>
              </w:rPr>
            </w:pPr>
          </w:p>
        </w:tc>
        <w:tc>
          <w:tcPr>
            <w:tcW w:w="3976" w:type="dxa"/>
            <w:vAlign w:val="bottom"/>
          </w:tcPr>
          <w:p w14:paraId="2FAC5F84" w14:textId="7851C868" w:rsidR="00C509CA" w:rsidRPr="003838B2" w:rsidRDefault="00C509CA" w:rsidP="00400DD1">
            <w:pPr>
              <w:pStyle w:val="-b"/>
              <w:bidi w:val="0"/>
              <w:spacing w:line="240" w:lineRule="auto"/>
              <w:jc w:val="right"/>
              <w:rPr>
                <w:rFonts w:asciiTheme="minorBidi" w:hAnsiTheme="minorBidi" w:cstheme="minorBidi"/>
                <w:sz w:val="18"/>
                <w:szCs w:val="18"/>
              </w:rPr>
            </w:pPr>
            <w:r w:rsidRPr="00C509CA">
              <w:rPr>
                <w:rFonts w:asciiTheme="minorBidi" w:hAnsiTheme="minorBidi" w:cstheme="minorBidi"/>
                <w:sz w:val="18"/>
                <w:szCs w:val="18"/>
                <w:rtl/>
              </w:rPr>
              <w:t xml:space="preserve">יתרת הפרשה להפסדי אשראי ליום 30 ביוני </w:t>
            </w:r>
            <w:r w:rsidRPr="00C509CA">
              <w:rPr>
                <w:rFonts w:asciiTheme="minorBidi" w:hAnsiTheme="minorBidi" w:cstheme="minorBidi"/>
                <w:sz w:val="18"/>
                <w:szCs w:val="18"/>
                <w:rtl/>
              </w:rPr>
              <w:fldChar w:fldCharType="begin"/>
            </w:r>
            <w:r w:rsidRPr="00C509CA">
              <w:rPr>
                <w:rFonts w:asciiTheme="minorBidi" w:hAnsiTheme="minorBidi" w:cstheme="minorBidi"/>
                <w:sz w:val="18"/>
                <w:szCs w:val="18"/>
                <w:rtl/>
              </w:rPr>
              <w:instrText xml:space="preserve"> = </w:instrText>
            </w:r>
            <w:r w:rsidRPr="00C509CA">
              <w:rPr>
                <w:rFonts w:asciiTheme="minorBidi" w:hAnsiTheme="minorBidi" w:cstheme="minorBidi"/>
                <w:sz w:val="18"/>
                <w:szCs w:val="18"/>
              </w:rPr>
              <w:instrText>CY \* MERGEFORMAT</w:instrText>
            </w:r>
            <w:r w:rsidRPr="00C509CA">
              <w:rPr>
                <w:rFonts w:asciiTheme="minorBidi" w:hAnsiTheme="minorBidi" w:cstheme="minorBidi"/>
                <w:sz w:val="18"/>
                <w:szCs w:val="18"/>
                <w:rtl/>
              </w:rPr>
              <w:instrText xml:space="preserve"> </w:instrText>
            </w:r>
            <w:r w:rsidRPr="00C509CA">
              <w:rPr>
                <w:rFonts w:asciiTheme="minorBidi" w:hAnsiTheme="minorBidi" w:cstheme="minorBidi"/>
                <w:sz w:val="18"/>
                <w:szCs w:val="18"/>
                <w:rtl/>
              </w:rPr>
              <w:fldChar w:fldCharType="separate"/>
            </w:r>
            <w:r w:rsidR="003A584F">
              <w:rPr>
                <w:rFonts w:asciiTheme="minorBidi" w:hAnsiTheme="minorBidi" w:cstheme="minorBidi"/>
                <w:noProof/>
                <w:sz w:val="18"/>
                <w:szCs w:val="18"/>
                <w:rtl/>
              </w:rPr>
              <w:t>2024</w:t>
            </w:r>
            <w:r w:rsidRPr="00C509CA">
              <w:rPr>
                <w:rFonts w:asciiTheme="minorBidi" w:hAnsiTheme="minorBidi" w:cstheme="minorBidi"/>
                <w:sz w:val="18"/>
                <w:szCs w:val="18"/>
                <w:rtl/>
              </w:rPr>
              <w:fldChar w:fldCharType="end"/>
            </w:r>
          </w:p>
        </w:tc>
        <w:tc>
          <w:tcPr>
            <w:tcW w:w="641" w:type="dxa"/>
            <w:vAlign w:val="bottom"/>
          </w:tcPr>
          <w:p w14:paraId="02D92073" w14:textId="77777777" w:rsidR="00C509CA" w:rsidRPr="003838B2" w:rsidRDefault="00C509CA" w:rsidP="00400DD1">
            <w:pPr>
              <w:pStyle w:val="-3"/>
              <w:pBdr>
                <w:bottom w:val="double" w:sz="4" w:space="1" w:color="auto"/>
              </w:pBdr>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709" w:type="dxa"/>
            <w:vAlign w:val="bottom"/>
          </w:tcPr>
          <w:p w14:paraId="5EBE98EB" w14:textId="77777777" w:rsidR="00C509CA" w:rsidRPr="003838B2" w:rsidRDefault="00C509CA" w:rsidP="00400DD1">
            <w:pPr>
              <w:pStyle w:val="-3"/>
              <w:pBdr>
                <w:bottom w:val="double" w:sz="4" w:space="1" w:color="auto"/>
              </w:pBdr>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567" w:type="dxa"/>
            <w:vAlign w:val="bottom"/>
          </w:tcPr>
          <w:p w14:paraId="50FD519B" w14:textId="77777777" w:rsidR="00C509CA" w:rsidRPr="003838B2" w:rsidRDefault="00C509CA" w:rsidP="00400DD1">
            <w:pPr>
              <w:pStyle w:val="-3"/>
              <w:pBdr>
                <w:bottom w:val="double" w:sz="4" w:space="1" w:color="auto"/>
              </w:pBdr>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641" w:type="dxa"/>
            <w:vAlign w:val="bottom"/>
          </w:tcPr>
          <w:p w14:paraId="213076CF" w14:textId="77777777" w:rsidR="00C509CA" w:rsidRPr="003838B2" w:rsidRDefault="00C509CA" w:rsidP="00400DD1">
            <w:pPr>
              <w:pStyle w:val="-3"/>
              <w:pBdr>
                <w:bottom w:val="double" w:sz="4" w:space="1" w:color="auto"/>
              </w:pBdr>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1345" w:type="dxa"/>
            <w:vAlign w:val="bottom"/>
          </w:tcPr>
          <w:p w14:paraId="5B4AB252" w14:textId="77777777" w:rsidR="00C509CA" w:rsidRPr="002C0AFF" w:rsidRDefault="00C509CA" w:rsidP="00400DD1">
            <w:pPr>
              <w:pStyle w:val="-3"/>
              <w:pBdr>
                <w:bottom w:val="double" w:sz="4" w:space="1" w:color="auto"/>
              </w:pBdr>
              <w:rPr>
                <w:rFonts w:asciiTheme="minorBidi" w:hAnsiTheme="minorBidi" w:cstheme="minorBidi"/>
                <w:b/>
                <w:bCs/>
                <w:sz w:val="18"/>
                <w:szCs w:val="18"/>
                <w:rtl/>
              </w:rPr>
            </w:pPr>
            <w:r w:rsidRPr="002C0AFF">
              <w:rPr>
                <w:rFonts w:asciiTheme="minorBidi" w:hAnsiTheme="minorBidi" w:cstheme="minorBidi" w:hint="cs"/>
                <w:b/>
                <w:bCs/>
                <w:sz w:val="18"/>
                <w:szCs w:val="18"/>
                <w:rtl/>
              </w:rPr>
              <w:t xml:space="preserve"> 0</w:t>
            </w:r>
          </w:p>
        </w:tc>
        <w:tc>
          <w:tcPr>
            <w:tcW w:w="851" w:type="dxa"/>
            <w:vAlign w:val="bottom"/>
          </w:tcPr>
          <w:p w14:paraId="5BA7ECCC" w14:textId="77777777" w:rsidR="00C509CA" w:rsidRPr="002C0AFF" w:rsidRDefault="00C509CA" w:rsidP="00400DD1">
            <w:pPr>
              <w:pStyle w:val="-3"/>
              <w:pBdr>
                <w:bottom w:val="double" w:sz="4" w:space="1" w:color="auto"/>
              </w:pBdr>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r>
      <w:tr w:rsidR="00C509CA" w:rsidRPr="00BA061F" w14:paraId="3E22929B" w14:textId="77777777" w:rsidTr="000B19AE">
        <w:trPr>
          <w:trHeight w:hRule="exact" w:val="57"/>
        </w:trPr>
        <w:tc>
          <w:tcPr>
            <w:tcW w:w="738" w:type="dxa"/>
          </w:tcPr>
          <w:p w14:paraId="71EFEFCC" w14:textId="77777777" w:rsidR="00C509CA" w:rsidRDefault="00C509CA" w:rsidP="00400DD1">
            <w:pPr>
              <w:pStyle w:val="-fa"/>
              <w:bidi w:val="0"/>
              <w:ind w:right="-142"/>
              <w:jc w:val="both"/>
              <w:rPr>
                <w:rtl/>
              </w:rPr>
            </w:pPr>
          </w:p>
        </w:tc>
        <w:tc>
          <w:tcPr>
            <w:tcW w:w="3976" w:type="dxa"/>
            <w:vAlign w:val="bottom"/>
          </w:tcPr>
          <w:p w14:paraId="5A0CEFA4" w14:textId="77777777" w:rsidR="00C509CA" w:rsidRPr="003838B2" w:rsidRDefault="00C509CA" w:rsidP="00400DD1">
            <w:pPr>
              <w:pStyle w:val="-b"/>
              <w:bidi w:val="0"/>
              <w:spacing w:line="240" w:lineRule="auto"/>
              <w:jc w:val="right"/>
              <w:rPr>
                <w:rFonts w:asciiTheme="minorBidi" w:hAnsiTheme="minorBidi" w:cstheme="minorBidi"/>
                <w:b w:val="0"/>
                <w:bCs w:val="0"/>
                <w:sz w:val="18"/>
                <w:szCs w:val="18"/>
                <w:rtl/>
              </w:rPr>
            </w:pPr>
          </w:p>
        </w:tc>
        <w:tc>
          <w:tcPr>
            <w:tcW w:w="641" w:type="dxa"/>
            <w:vAlign w:val="bottom"/>
          </w:tcPr>
          <w:p w14:paraId="3D524823"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c>
          <w:tcPr>
            <w:tcW w:w="709" w:type="dxa"/>
            <w:vAlign w:val="bottom"/>
          </w:tcPr>
          <w:p w14:paraId="18A62D3A"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c>
          <w:tcPr>
            <w:tcW w:w="567" w:type="dxa"/>
            <w:vAlign w:val="bottom"/>
          </w:tcPr>
          <w:p w14:paraId="3A21BAA0"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c>
          <w:tcPr>
            <w:tcW w:w="641" w:type="dxa"/>
            <w:vAlign w:val="bottom"/>
          </w:tcPr>
          <w:p w14:paraId="3B015A93"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c>
          <w:tcPr>
            <w:tcW w:w="1345" w:type="dxa"/>
            <w:vAlign w:val="bottom"/>
          </w:tcPr>
          <w:p w14:paraId="3DFC9A0F" w14:textId="77777777" w:rsidR="00C509CA" w:rsidRPr="002C0AFF" w:rsidRDefault="00C509CA" w:rsidP="00400DD1">
            <w:pPr>
              <w:pStyle w:val="-3"/>
              <w:bidi w:val="0"/>
              <w:spacing w:line="240" w:lineRule="auto"/>
              <w:jc w:val="center"/>
              <w:rPr>
                <w:rFonts w:asciiTheme="minorBidi" w:hAnsiTheme="minorBidi" w:cstheme="minorBidi"/>
                <w:b/>
                <w:bCs/>
                <w:sz w:val="18"/>
                <w:szCs w:val="18"/>
                <w:rtl/>
              </w:rPr>
            </w:pPr>
          </w:p>
        </w:tc>
        <w:tc>
          <w:tcPr>
            <w:tcW w:w="851" w:type="dxa"/>
            <w:vAlign w:val="bottom"/>
          </w:tcPr>
          <w:p w14:paraId="1EAF176E"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r>
      <w:tr w:rsidR="00C509CA" w:rsidRPr="00BA061F" w14:paraId="15934872" w14:textId="77777777" w:rsidTr="000B19AE">
        <w:tc>
          <w:tcPr>
            <w:tcW w:w="738" w:type="dxa"/>
          </w:tcPr>
          <w:p w14:paraId="4F5F0E43" w14:textId="77777777" w:rsidR="00C509CA" w:rsidRDefault="00C509CA" w:rsidP="00400DD1">
            <w:pPr>
              <w:pStyle w:val="-fa"/>
              <w:bidi w:val="0"/>
              <w:ind w:right="-142"/>
              <w:jc w:val="both"/>
              <w:rPr>
                <w:rtl/>
              </w:rPr>
            </w:pPr>
          </w:p>
        </w:tc>
        <w:tc>
          <w:tcPr>
            <w:tcW w:w="3976" w:type="dxa"/>
            <w:vAlign w:val="bottom"/>
          </w:tcPr>
          <w:p w14:paraId="4ACF95E4" w14:textId="77777777" w:rsidR="00C509CA" w:rsidRPr="003838B2" w:rsidRDefault="00C509CA" w:rsidP="00400DD1">
            <w:pPr>
              <w:pStyle w:val="-b"/>
              <w:bidi w:val="0"/>
              <w:spacing w:line="240" w:lineRule="auto"/>
              <w:ind w:right="180"/>
              <w:jc w:val="right"/>
              <w:rPr>
                <w:rFonts w:asciiTheme="minorBidi" w:hAnsiTheme="minorBidi" w:cstheme="minorBidi"/>
                <w:b w:val="0"/>
                <w:bCs w:val="0"/>
                <w:sz w:val="18"/>
                <w:szCs w:val="18"/>
              </w:rPr>
            </w:pPr>
            <w:r w:rsidRPr="003838B2">
              <w:rPr>
                <w:rFonts w:hint="cs"/>
                <w:b w:val="0"/>
                <w:bCs w:val="0"/>
                <w:sz w:val="18"/>
                <w:szCs w:val="18"/>
                <w:rtl/>
              </w:rPr>
              <w:t>מזה: בגין מכשירי אשראי חוץ מאזניים</w:t>
            </w:r>
          </w:p>
        </w:tc>
        <w:tc>
          <w:tcPr>
            <w:tcW w:w="641" w:type="dxa"/>
            <w:vAlign w:val="bottom"/>
          </w:tcPr>
          <w:p w14:paraId="18B6175C" w14:textId="77777777" w:rsidR="00C509CA" w:rsidRPr="002C0AFF" w:rsidRDefault="00C509CA" w:rsidP="00400DD1">
            <w:pPr>
              <w:pStyle w:val="-3"/>
              <w:rPr>
                <w:rFonts w:asciiTheme="minorBidi" w:hAnsiTheme="minorBidi" w:cstheme="minorBidi"/>
                <w:sz w:val="18"/>
                <w:szCs w:val="18"/>
                <w:rtl/>
              </w:rPr>
            </w:pPr>
            <w:r w:rsidRPr="002C0AFF">
              <w:rPr>
                <w:rFonts w:hint="cs"/>
                <w:sz w:val="18"/>
                <w:szCs w:val="18"/>
                <w:rtl/>
              </w:rPr>
              <w:t xml:space="preserve"> 0</w:t>
            </w:r>
          </w:p>
        </w:tc>
        <w:tc>
          <w:tcPr>
            <w:tcW w:w="709" w:type="dxa"/>
            <w:vAlign w:val="bottom"/>
          </w:tcPr>
          <w:p w14:paraId="1CAADB7F" w14:textId="77777777" w:rsidR="00C509CA" w:rsidRPr="002C0AFF" w:rsidRDefault="00C509CA" w:rsidP="00400DD1">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567" w:type="dxa"/>
            <w:vAlign w:val="bottom"/>
          </w:tcPr>
          <w:p w14:paraId="61B35E04" w14:textId="77777777" w:rsidR="00C509CA" w:rsidRPr="002C0AFF" w:rsidRDefault="00C509CA" w:rsidP="00400DD1">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641" w:type="dxa"/>
            <w:vAlign w:val="bottom"/>
          </w:tcPr>
          <w:p w14:paraId="392AB936" w14:textId="77777777" w:rsidR="00C509CA" w:rsidRPr="002C0AFF" w:rsidRDefault="00C509CA" w:rsidP="00400DD1">
            <w:pPr>
              <w:pStyle w:val="-3"/>
              <w:rPr>
                <w:rFonts w:asciiTheme="minorBidi" w:hAnsiTheme="minorBidi" w:cstheme="minorBidi"/>
                <w:sz w:val="18"/>
                <w:szCs w:val="18"/>
                <w:rtl/>
              </w:rPr>
            </w:pPr>
            <w:r w:rsidRPr="002C0AFF">
              <w:rPr>
                <w:rFonts w:hint="cs"/>
                <w:sz w:val="18"/>
                <w:szCs w:val="18"/>
                <w:rtl/>
              </w:rPr>
              <w:t xml:space="preserve"> 0</w:t>
            </w:r>
          </w:p>
        </w:tc>
        <w:tc>
          <w:tcPr>
            <w:tcW w:w="1345" w:type="dxa"/>
            <w:vAlign w:val="bottom"/>
          </w:tcPr>
          <w:p w14:paraId="37102CD3" w14:textId="77777777" w:rsidR="00C509CA" w:rsidRPr="002C0AFF" w:rsidRDefault="00C509CA" w:rsidP="00400DD1">
            <w:pPr>
              <w:pStyle w:val="-3"/>
              <w:rPr>
                <w:sz w:val="18"/>
                <w:szCs w:val="18"/>
                <w:rtl/>
              </w:rPr>
            </w:pPr>
            <w:r w:rsidRPr="002C0AFF">
              <w:rPr>
                <w:rFonts w:hint="cs"/>
                <w:sz w:val="18"/>
                <w:szCs w:val="18"/>
                <w:rtl/>
              </w:rPr>
              <w:t xml:space="preserve"> 0</w:t>
            </w:r>
          </w:p>
        </w:tc>
        <w:tc>
          <w:tcPr>
            <w:tcW w:w="851" w:type="dxa"/>
            <w:vAlign w:val="bottom"/>
          </w:tcPr>
          <w:p w14:paraId="02947D30" w14:textId="77777777" w:rsidR="00C509CA" w:rsidRPr="002C0AFF" w:rsidRDefault="00C509CA" w:rsidP="00400DD1">
            <w:pPr>
              <w:pStyle w:val="-3"/>
              <w:rPr>
                <w:rFonts w:asciiTheme="minorBidi" w:hAnsiTheme="minorBidi" w:cstheme="minorBidi"/>
                <w:b/>
                <w:bCs/>
                <w:sz w:val="18"/>
                <w:szCs w:val="18"/>
                <w:rtl/>
              </w:rPr>
            </w:pPr>
            <w:r w:rsidRPr="002C0AFF">
              <w:rPr>
                <w:rFonts w:hint="cs"/>
                <w:b/>
                <w:bCs/>
                <w:sz w:val="18"/>
                <w:szCs w:val="18"/>
                <w:rtl/>
              </w:rPr>
              <w:t xml:space="preserve"> 0</w:t>
            </w:r>
          </w:p>
        </w:tc>
      </w:tr>
      <w:tr w:rsidR="00C509CA" w:rsidRPr="00BA061F" w14:paraId="1BB9702C" w14:textId="77777777" w:rsidTr="000B19AE">
        <w:tc>
          <w:tcPr>
            <w:tcW w:w="738" w:type="dxa"/>
          </w:tcPr>
          <w:p w14:paraId="4E4F051F" w14:textId="77777777" w:rsidR="00C509CA" w:rsidRDefault="00C509CA" w:rsidP="00835539">
            <w:pPr>
              <w:pStyle w:val="-fa"/>
              <w:bidi w:val="0"/>
              <w:spacing w:after="120"/>
              <w:ind w:right="-142"/>
              <w:jc w:val="both"/>
              <w:rPr>
                <w:rtl/>
              </w:rPr>
            </w:pPr>
          </w:p>
        </w:tc>
        <w:tc>
          <w:tcPr>
            <w:tcW w:w="3976" w:type="dxa"/>
            <w:vAlign w:val="bottom"/>
          </w:tcPr>
          <w:p w14:paraId="197A2AAB" w14:textId="77777777" w:rsidR="00C509CA" w:rsidRPr="003838B2" w:rsidRDefault="00C509CA" w:rsidP="00400DD1">
            <w:pPr>
              <w:pStyle w:val="-b"/>
              <w:bidi w:val="0"/>
              <w:spacing w:line="240" w:lineRule="auto"/>
              <w:jc w:val="both"/>
              <w:rPr>
                <w:rFonts w:asciiTheme="minorBidi" w:hAnsiTheme="minorBidi" w:cstheme="minorBidi"/>
                <w:sz w:val="18"/>
                <w:szCs w:val="18"/>
                <w:rtl/>
              </w:rPr>
            </w:pPr>
          </w:p>
        </w:tc>
        <w:tc>
          <w:tcPr>
            <w:tcW w:w="641" w:type="dxa"/>
            <w:vAlign w:val="bottom"/>
          </w:tcPr>
          <w:p w14:paraId="7EC3A33B"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c>
          <w:tcPr>
            <w:tcW w:w="709" w:type="dxa"/>
            <w:vAlign w:val="bottom"/>
          </w:tcPr>
          <w:p w14:paraId="325A08B8"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c>
          <w:tcPr>
            <w:tcW w:w="567" w:type="dxa"/>
            <w:vAlign w:val="bottom"/>
          </w:tcPr>
          <w:p w14:paraId="430D3F1B"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c>
          <w:tcPr>
            <w:tcW w:w="641" w:type="dxa"/>
            <w:vAlign w:val="bottom"/>
          </w:tcPr>
          <w:p w14:paraId="6E3AB47D"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c>
          <w:tcPr>
            <w:tcW w:w="1345" w:type="dxa"/>
            <w:vAlign w:val="bottom"/>
          </w:tcPr>
          <w:p w14:paraId="5D2B1CC4"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c>
          <w:tcPr>
            <w:tcW w:w="851" w:type="dxa"/>
            <w:vAlign w:val="bottom"/>
          </w:tcPr>
          <w:p w14:paraId="59FB60B2"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r>
      <w:tr w:rsidR="00C509CA" w:rsidRPr="00BA061F" w14:paraId="0C72A28B" w14:textId="77777777" w:rsidTr="000B19AE">
        <w:tc>
          <w:tcPr>
            <w:tcW w:w="738" w:type="dxa"/>
          </w:tcPr>
          <w:p w14:paraId="341103DA" w14:textId="77777777" w:rsidR="00C509CA" w:rsidRDefault="00C509CA" w:rsidP="00400DD1">
            <w:pPr>
              <w:pStyle w:val="-fa"/>
              <w:bidi w:val="0"/>
              <w:ind w:right="-142"/>
              <w:jc w:val="both"/>
              <w:rPr>
                <w:rtl/>
              </w:rPr>
            </w:pPr>
          </w:p>
        </w:tc>
        <w:tc>
          <w:tcPr>
            <w:tcW w:w="3976" w:type="dxa"/>
            <w:vAlign w:val="bottom"/>
          </w:tcPr>
          <w:p w14:paraId="6AA86E46" w14:textId="4293C9AD" w:rsidR="00C509CA" w:rsidRPr="00C509CA" w:rsidRDefault="00C509CA" w:rsidP="00C509CA">
            <w:pPr>
              <w:pStyle w:val="-b"/>
              <w:spacing w:line="240" w:lineRule="auto"/>
              <w:ind w:left="0" w:firstLine="0"/>
              <w:rPr>
                <w:rFonts w:asciiTheme="minorBidi" w:hAnsiTheme="minorBidi" w:cstheme="minorBidi"/>
                <w:sz w:val="18"/>
                <w:szCs w:val="18"/>
                <w:u w:val="single"/>
                <w:rtl/>
              </w:rPr>
            </w:pPr>
            <w:r w:rsidRPr="00C509CA">
              <w:rPr>
                <w:rFonts w:asciiTheme="minorBidi" w:hAnsiTheme="minorBidi" w:cstheme="minorBidi"/>
                <w:sz w:val="18"/>
                <w:szCs w:val="18"/>
                <w:u w:val="single"/>
                <w:rtl/>
              </w:rPr>
              <w:t xml:space="preserve">לשישה חודשים שהסתיימו ביום 30 ביוני </w:t>
            </w:r>
            <w:r w:rsidRPr="00C509CA">
              <w:rPr>
                <w:rFonts w:asciiTheme="minorBidi" w:hAnsiTheme="minorBidi" w:cstheme="minorBidi"/>
                <w:sz w:val="18"/>
                <w:szCs w:val="18"/>
                <w:u w:val="single"/>
                <w:rtl/>
              </w:rPr>
              <w:fldChar w:fldCharType="begin"/>
            </w:r>
            <w:r w:rsidRPr="00C509CA">
              <w:rPr>
                <w:rFonts w:asciiTheme="minorBidi" w:hAnsiTheme="minorBidi" w:cstheme="minorBidi"/>
                <w:sz w:val="18"/>
                <w:szCs w:val="18"/>
                <w:u w:val="single"/>
                <w:rtl/>
              </w:rPr>
              <w:instrText xml:space="preserve"> = </w:instrText>
            </w:r>
            <w:r w:rsidRPr="00C509CA">
              <w:rPr>
                <w:rFonts w:asciiTheme="minorBidi" w:hAnsiTheme="minorBidi" w:cstheme="minorBidi"/>
                <w:sz w:val="18"/>
                <w:szCs w:val="18"/>
                <w:u w:val="single"/>
              </w:rPr>
              <w:instrText>CY-1 \* MERGEFORMAT</w:instrText>
            </w:r>
            <w:r w:rsidRPr="00C509CA">
              <w:rPr>
                <w:rFonts w:asciiTheme="minorBidi" w:hAnsiTheme="minorBidi" w:cstheme="minorBidi"/>
                <w:sz w:val="18"/>
                <w:szCs w:val="18"/>
                <w:u w:val="single"/>
                <w:rtl/>
              </w:rPr>
              <w:instrText xml:space="preserve"> </w:instrText>
            </w:r>
            <w:r w:rsidRPr="00C509CA">
              <w:rPr>
                <w:rFonts w:asciiTheme="minorBidi" w:hAnsiTheme="minorBidi" w:cstheme="minorBidi"/>
                <w:sz w:val="18"/>
                <w:szCs w:val="18"/>
                <w:u w:val="single"/>
                <w:rtl/>
              </w:rPr>
              <w:fldChar w:fldCharType="separate"/>
            </w:r>
            <w:r w:rsidR="003A584F">
              <w:rPr>
                <w:rFonts w:asciiTheme="minorBidi" w:hAnsiTheme="minorBidi" w:cstheme="minorBidi"/>
                <w:noProof/>
                <w:sz w:val="18"/>
                <w:szCs w:val="18"/>
                <w:u w:val="single"/>
                <w:rtl/>
              </w:rPr>
              <w:t>2023</w:t>
            </w:r>
            <w:r w:rsidRPr="00C509CA">
              <w:rPr>
                <w:rFonts w:asciiTheme="minorBidi" w:hAnsiTheme="minorBidi" w:cstheme="minorBidi"/>
                <w:sz w:val="18"/>
                <w:szCs w:val="18"/>
                <w:u w:val="single"/>
                <w:rtl/>
              </w:rPr>
              <w:fldChar w:fldCharType="end"/>
            </w:r>
            <w:r w:rsidRPr="00C509CA">
              <w:rPr>
                <w:rFonts w:asciiTheme="minorBidi" w:hAnsiTheme="minorBidi" w:cstheme="minorBidi" w:hint="cs"/>
                <w:sz w:val="18"/>
                <w:szCs w:val="18"/>
                <w:u w:val="single"/>
                <w:rtl/>
              </w:rPr>
              <w:t xml:space="preserve"> </w:t>
            </w:r>
            <w:r w:rsidRPr="000B19AE">
              <w:rPr>
                <w:rFonts w:asciiTheme="minorBidi" w:hAnsiTheme="minorBidi" w:cstheme="minorBidi"/>
                <w:b w:val="0"/>
                <w:bCs w:val="0"/>
                <w:sz w:val="18"/>
                <w:szCs w:val="18"/>
                <w:rtl/>
              </w:rPr>
              <w:t>(בלתי מבוקר)</w:t>
            </w:r>
          </w:p>
        </w:tc>
        <w:tc>
          <w:tcPr>
            <w:tcW w:w="641" w:type="dxa"/>
            <w:vAlign w:val="bottom"/>
          </w:tcPr>
          <w:p w14:paraId="5A9B6B9D"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c>
          <w:tcPr>
            <w:tcW w:w="709" w:type="dxa"/>
            <w:vAlign w:val="bottom"/>
          </w:tcPr>
          <w:p w14:paraId="177C4D5D"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c>
          <w:tcPr>
            <w:tcW w:w="567" w:type="dxa"/>
            <w:vAlign w:val="bottom"/>
          </w:tcPr>
          <w:p w14:paraId="16B0AEC5"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c>
          <w:tcPr>
            <w:tcW w:w="641" w:type="dxa"/>
            <w:vAlign w:val="bottom"/>
          </w:tcPr>
          <w:p w14:paraId="132D8812"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c>
          <w:tcPr>
            <w:tcW w:w="1345" w:type="dxa"/>
            <w:vAlign w:val="bottom"/>
          </w:tcPr>
          <w:p w14:paraId="54C9DF79"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c>
          <w:tcPr>
            <w:tcW w:w="851" w:type="dxa"/>
            <w:vAlign w:val="bottom"/>
          </w:tcPr>
          <w:p w14:paraId="5F8F02FE" w14:textId="77777777" w:rsidR="00C509CA" w:rsidRPr="002C0AFF" w:rsidRDefault="00C509CA" w:rsidP="00400DD1">
            <w:pPr>
              <w:pStyle w:val="-3"/>
              <w:bidi w:val="0"/>
              <w:spacing w:line="240" w:lineRule="auto"/>
              <w:rPr>
                <w:rFonts w:asciiTheme="minorBidi" w:hAnsiTheme="minorBidi" w:cstheme="minorBidi"/>
                <w:b/>
                <w:bCs/>
                <w:sz w:val="18"/>
                <w:szCs w:val="18"/>
                <w:rtl/>
              </w:rPr>
            </w:pPr>
          </w:p>
        </w:tc>
      </w:tr>
      <w:tr w:rsidR="00C509CA" w:rsidRPr="00BA061F" w14:paraId="4F3E5A6A" w14:textId="77777777" w:rsidTr="000B19AE">
        <w:tc>
          <w:tcPr>
            <w:tcW w:w="738" w:type="dxa"/>
          </w:tcPr>
          <w:p w14:paraId="24D260ED" w14:textId="77777777" w:rsidR="00C509CA" w:rsidRDefault="00C509CA" w:rsidP="00C509CA">
            <w:pPr>
              <w:pStyle w:val="-fa"/>
              <w:bidi w:val="0"/>
              <w:ind w:right="-142"/>
              <w:jc w:val="both"/>
              <w:rPr>
                <w:rtl/>
              </w:rPr>
            </w:pPr>
          </w:p>
        </w:tc>
        <w:tc>
          <w:tcPr>
            <w:tcW w:w="3976" w:type="dxa"/>
            <w:vAlign w:val="bottom"/>
          </w:tcPr>
          <w:p w14:paraId="7F4583E8" w14:textId="0FE70971" w:rsidR="00C509CA" w:rsidRPr="003838B2" w:rsidRDefault="00C509CA" w:rsidP="000B19AE">
            <w:pPr>
              <w:pStyle w:val="-b"/>
              <w:spacing w:before="60" w:line="240" w:lineRule="auto"/>
              <w:ind w:left="142" w:hanging="142"/>
              <w:jc w:val="both"/>
              <w:rPr>
                <w:rFonts w:asciiTheme="minorBidi" w:hAnsiTheme="minorBidi" w:cstheme="minorBidi"/>
                <w:sz w:val="18"/>
                <w:szCs w:val="18"/>
                <w:rtl/>
              </w:rPr>
            </w:pPr>
            <w:r w:rsidRPr="00C509CA">
              <w:rPr>
                <w:rFonts w:asciiTheme="minorBidi" w:hAnsiTheme="minorBidi" w:cstheme="minorBidi"/>
                <w:sz w:val="17"/>
                <w:szCs w:val="17"/>
                <w:rtl/>
              </w:rPr>
              <w:t xml:space="preserve">יתרת הפרשה להפסדי אשראי ליום 31 בדצמבר </w:t>
            </w:r>
            <w:r w:rsidRPr="00C509CA">
              <w:rPr>
                <w:rFonts w:asciiTheme="minorBidi" w:hAnsiTheme="minorBidi" w:cstheme="minorBidi"/>
                <w:sz w:val="17"/>
                <w:szCs w:val="17"/>
                <w:rtl/>
              </w:rPr>
              <w:fldChar w:fldCharType="begin"/>
            </w:r>
            <w:r w:rsidRPr="00C509CA">
              <w:rPr>
                <w:rFonts w:asciiTheme="minorBidi" w:hAnsiTheme="minorBidi" w:cstheme="minorBidi"/>
                <w:sz w:val="17"/>
                <w:szCs w:val="17"/>
                <w:rtl/>
              </w:rPr>
              <w:instrText xml:space="preserve"> = </w:instrText>
            </w:r>
            <w:r w:rsidRPr="00C509CA">
              <w:rPr>
                <w:rFonts w:asciiTheme="minorBidi" w:hAnsiTheme="minorBidi" w:cstheme="minorBidi"/>
                <w:sz w:val="17"/>
                <w:szCs w:val="17"/>
              </w:rPr>
              <w:instrText>CY-</w:instrText>
            </w:r>
            <w:r>
              <w:rPr>
                <w:rFonts w:asciiTheme="minorBidi" w:hAnsiTheme="minorBidi" w:cstheme="minorBidi" w:hint="cs"/>
                <w:sz w:val="17"/>
                <w:szCs w:val="17"/>
                <w:rtl/>
              </w:rPr>
              <w:instrText>2</w:instrText>
            </w:r>
            <w:r w:rsidRPr="00C509CA">
              <w:rPr>
                <w:rFonts w:asciiTheme="minorBidi" w:hAnsiTheme="minorBidi" w:cstheme="minorBidi"/>
                <w:sz w:val="17"/>
                <w:szCs w:val="17"/>
              </w:rPr>
              <w:instrText xml:space="preserve"> \* MERGEFORMAT</w:instrText>
            </w:r>
            <w:r w:rsidRPr="00C509CA">
              <w:rPr>
                <w:rFonts w:asciiTheme="minorBidi" w:hAnsiTheme="minorBidi" w:cstheme="minorBidi"/>
                <w:sz w:val="17"/>
                <w:szCs w:val="17"/>
                <w:rtl/>
              </w:rPr>
              <w:instrText xml:space="preserve"> </w:instrText>
            </w:r>
            <w:r w:rsidRPr="00C509CA">
              <w:rPr>
                <w:rFonts w:asciiTheme="minorBidi" w:hAnsiTheme="minorBidi" w:cstheme="minorBidi"/>
                <w:sz w:val="17"/>
                <w:szCs w:val="17"/>
                <w:rtl/>
              </w:rPr>
              <w:fldChar w:fldCharType="separate"/>
            </w:r>
            <w:r w:rsidR="003A584F">
              <w:rPr>
                <w:rFonts w:asciiTheme="minorBidi" w:hAnsiTheme="minorBidi" w:cstheme="minorBidi"/>
                <w:noProof/>
                <w:sz w:val="17"/>
                <w:szCs w:val="17"/>
                <w:rtl/>
              </w:rPr>
              <w:t>2022</w:t>
            </w:r>
            <w:r w:rsidRPr="00C509CA">
              <w:rPr>
                <w:rFonts w:asciiTheme="minorBidi" w:hAnsiTheme="minorBidi" w:cstheme="minorBidi"/>
                <w:sz w:val="17"/>
                <w:szCs w:val="17"/>
                <w:rtl/>
              </w:rPr>
              <w:fldChar w:fldCharType="end"/>
            </w:r>
          </w:p>
        </w:tc>
        <w:tc>
          <w:tcPr>
            <w:tcW w:w="641" w:type="dxa"/>
            <w:vAlign w:val="bottom"/>
          </w:tcPr>
          <w:p w14:paraId="28E24AA0" w14:textId="77777777" w:rsidR="00C509CA" w:rsidRPr="002C0AFF" w:rsidRDefault="00C509CA" w:rsidP="00C509CA">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c>
          <w:tcPr>
            <w:tcW w:w="709" w:type="dxa"/>
            <w:vAlign w:val="bottom"/>
          </w:tcPr>
          <w:p w14:paraId="0C55B2F8" w14:textId="77777777" w:rsidR="00C509CA" w:rsidRPr="002C0AFF" w:rsidRDefault="00C509CA" w:rsidP="00C509CA">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c>
          <w:tcPr>
            <w:tcW w:w="567" w:type="dxa"/>
            <w:vAlign w:val="bottom"/>
          </w:tcPr>
          <w:p w14:paraId="4EBF9B93" w14:textId="77777777" w:rsidR="00C509CA" w:rsidRPr="002C0AFF" w:rsidRDefault="00C509CA" w:rsidP="00C509CA">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c>
          <w:tcPr>
            <w:tcW w:w="641" w:type="dxa"/>
            <w:vAlign w:val="bottom"/>
          </w:tcPr>
          <w:p w14:paraId="27C03B2F" w14:textId="77777777" w:rsidR="00C509CA" w:rsidRPr="002C0AFF" w:rsidRDefault="00C509CA" w:rsidP="00C509CA">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c>
          <w:tcPr>
            <w:tcW w:w="1345" w:type="dxa"/>
            <w:vAlign w:val="bottom"/>
          </w:tcPr>
          <w:p w14:paraId="14AB3951" w14:textId="77777777" w:rsidR="00C509CA" w:rsidRPr="002C0AFF" w:rsidRDefault="00C509CA" w:rsidP="00C509CA">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c>
          <w:tcPr>
            <w:tcW w:w="851" w:type="dxa"/>
            <w:vAlign w:val="bottom"/>
          </w:tcPr>
          <w:p w14:paraId="07C29798" w14:textId="77777777" w:rsidR="00C509CA" w:rsidRPr="002C0AFF" w:rsidRDefault="00C509CA" w:rsidP="00C509CA">
            <w:pPr>
              <w:pStyle w:val="-3"/>
              <w:spacing w:line="240" w:lineRule="auto"/>
              <w:rPr>
                <w:rFonts w:asciiTheme="minorBidi" w:hAnsiTheme="minorBidi" w:cstheme="minorBidi"/>
                <w:b/>
                <w:bCs/>
                <w:sz w:val="18"/>
                <w:szCs w:val="18"/>
                <w:rtl/>
              </w:rPr>
            </w:pPr>
            <w:r w:rsidRPr="002C0AFF">
              <w:rPr>
                <w:rFonts w:hint="cs"/>
                <w:b/>
                <w:bCs/>
                <w:sz w:val="18"/>
                <w:szCs w:val="18"/>
                <w:rtl/>
              </w:rPr>
              <w:t xml:space="preserve"> 0</w:t>
            </w:r>
          </w:p>
        </w:tc>
      </w:tr>
      <w:tr w:rsidR="00C509CA" w:rsidRPr="00BA061F" w14:paraId="4DDF4E3B" w14:textId="77777777" w:rsidTr="000B19AE">
        <w:tc>
          <w:tcPr>
            <w:tcW w:w="738" w:type="dxa"/>
          </w:tcPr>
          <w:p w14:paraId="261F7731" w14:textId="77777777" w:rsidR="00C509CA" w:rsidRDefault="00C509CA" w:rsidP="00400DD1">
            <w:pPr>
              <w:pStyle w:val="-fa"/>
              <w:bidi w:val="0"/>
              <w:ind w:right="-142"/>
              <w:jc w:val="both"/>
              <w:rPr>
                <w:rtl/>
              </w:rPr>
            </w:pPr>
          </w:p>
        </w:tc>
        <w:tc>
          <w:tcPr>
            <w:tcW w:w="3976" w:type="dxa"/>
            <w:vAlign w:val="bottom"/>
          </w:tcPr>
          <w:p w14:paraId="5ED5B4D9" w14:textId="77777777" w:rsidR="00C509CA" w:rsidRPr="005A04AF" w:rsidRDefault="00C509CA" w:rsidP="00400DD1">
            <w:pPr>
              <w:pStyle w:val="-b"/>
              <w:spacing w:line="240" w:lineRule="auto"/>
              <w:jc w:val="both"/>
              <w:rPr>
                <w:rFonts w:asciiTheme="minorBidi" w:hAnsiTheme="minorBidi" w:cstheme="minorBidi"/>
                <w:b w:val="0"/>
                <w:bCs w:val="0"/>
                <w:sz w:val="18"/>
                <w:szCs w:val="18"/>
                <w:rtl/>
              </w:rPr>
            </w:pPr>
            <w:r w:rsidRPr="005A04AF">
              <w:rPr>
                <w:rFonts w:asciiTheme="minorBidi" w:hAnsiTheme="minorBidi" w:cstheme="minorBidi"/>
                <w:b w:val="0"/>
                <w:bCs w:val="0"/>
                <w:sz w:val="18"/>
                <w:szCs w:val="18"/>
                <w:rtl/>
              </w:rPr>
              <w:t xml:space="preserve">הוצאות בגין הפסדי אשראי </w:t>
            </w:r>
          </w:p>
        </w:tc>
        <w:tc>
          <w:tcPr>
            <w:tcW w:w="641" w:type="dxa"/>
            <w:vAlign w:val="bottom"/>
          </w:tcPr>
          <w:p w14:paraId="4787E344" w14:textId="77777777" w:rsidR="00C509CA" w:rsidRPr="002C0AFF" w:rsidRDefault="00C509CA" w:rsidP="00400DD1">
            <w:pPr>
              <w:pStyle w:val="-3"/>
              <w:spacing w:line="240" w:lineRule="auto"/>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709" w:type="dxa"/>
            <w:vAlign w:val="bottom"/>
          </w:tcPr>
          <w:p w14:paraId="432679E6" w14:textId="77777777" w:rsidR="00C509CA" w:rsidRPr="002C0AFF" w:rsidRDefault="00C509CA" w:rsidP="00400DD1">
            <w:pPr>
              <w:pStyle w:val="-3"/>
              <w:spacing w:line="240" w:lineRule="auto"/>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567" w:type="dxa"/>
            <w:vAlign w:val="bottom"/>
          </w:tcPr>
          <w:p w14:paraId="361F505C" w14:textId="77777777" w:rsidR="00C509CA" w:rsidRPr="002C0AFF" w:rsidRDefault="00C509CA" w:rsidP="00400DD1">
            <w:pPr>
              <w:pStyle w:val="-3"/>
              <w:spacing w:line="240" w:lineRule="auto"/>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641" w:type="dxa"/>
            <w:vAlign w:val="bottom"/>
          </w:tcPr>
          <w:p w14:paraId="6A5AB129" w14:textId="77777777" w:rsidR="00C509CA" w:rsidRPr="002C0AFF" w:rsidRDefault="00C509CA" w:rsidP="00400DD1">
            <w:pPr>
              <w:pStyle w:val="-3"/>
              <w:spacing w:line="240" w:lineRule="auto"/>
              <w:rPr>
                <w:rFonts w:asciiTheme="minorBidi" w:hAnsiTheme="minorBidi" w:cstheme="minorBidi"/>
                <w:b/>
                <w:bCs/>
                <w:sz w:val="18"/>
                <w:szCs w:val="18"/>
                <w:rtl/>
              </w:rPr>
            </w:pPr>
            <w:r w:rsidRPr="003838B2">
              <w:rPr>
                <w:rFonts w:asciiTheme="minorBidi" w:hAnsiTheme="minorBidi" w:cstheme="minorBidi"/>
                <w:b/>
                <w:bCs/>
                <w:sz w:val="18"/>
                <w:szCs w:val="18"/>
                <w:rtl/>
              </w:rPr>
              <w:t xml:space="preserve"> 0</w:t>
            </w:r>
          </w:p>
        </w:tc>
        <w:tc>
          <w:tcPr>
            <w:tcW w:w="1345" w:type="dxa"/>
            <w:vAlign w:val="bottom"/>
          </w:tcPr>
          <w:p w14:paraId="344B66A2" w14:textId="77777777" w:rsidR="00C509CA" w:rsidRPr="002C0AFF" w:rsidRDefault="00C509CA" w:rsidP="00400DD1">
            <w:pPr>
              <w:pStyle w:val="-3"/>
              <w:spacing w:line="240" w:lineRule="auto"/>
              <w:rPr>
                <w:rFonts w:asciiTheme="minorBidi" w:hAnsiTheme="minorBidi" w:cstheme="minorBidi"/>
                <w:b/>
                <w:bCs/>
                <w:sz w:val="18"/>
                <w:szCs w:val="18"/>
                <w:rtl/>
              </w:rPr>
            </w:pPr>
            <w:r w:rsidRPr="003838B2">
              <w:rPr>
                <w:rFonts w:asciiTheme="minorBidi" w:hAnsiTheme="minorBidi" w:cstheme="minorBidi" w:hint="cs"/>
                <w:b/>
                <w:bCs/>
                <w:sz w:val="18"/>
                <w:szCs w:val="18"/>
                <w:rtl/>
              </w:rPr>
              <w:t xml:space="preserve"> 0</w:t>
            </w:r>
          </w:p>
        </w:tc>
        <w:tc>
          <w:tcPr>
            <w:tcW w:w="851" w:type="dxa"/>
            <w:vAlign w:val="bottom"/>
          </w:tcPr>
          <w:p w14:paraId="4BAD2E8A" w14:textId="77777777" w:rsidR="00C509CA" w:rsidRPr="002C0AFF" w:rsidRDefault="00C509CA" w:rsidP="00400DD1">
            <w:pPr>
              <w:pStyle w:val="-3"/>
              <w:spacing w:line="240" w:lineRule="auto"/>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r>
      <w:tr w:rsidR="00C509CA" w:rsidRPr="00BA061F" w14:paraId="3A65834D" w14:textId="77777777" w:rsidTr="000B19AE">
        <w:tc>
          <w:tcPr>
            <w:tcW w:w="738" w:type="dxa"/>
          </w:tcPr>
          <w:p w14:paraId="0AC90F12" w14:textId="77777777" w:rsidR="00C509CA" w:rsidRDefault="00C509CA" w:rsidP="00400DD1">
            <w:pPr>
              <w:pStyle w:val="-fa"/>
              <w:bidi w:val="0"/>
              <w:ind w:right="-142"/>
              <w:jc w:val="both"/>
              <w:rPr>
                <w:rtl/>
              </w:rPr>
            </w:pPr>
          </w:p>
        </w:tc>
        <w:tc>
          <w:tcPr>
            <w:tcW w:w="3976" w:type="dxa"/>
            <w:vAlign w:val="bottom"/>
          </w:tcPr>
          <w:p w14:paraId="4FDEF577" w14:textId="77777777" w:rsidR="00C509CA" w:rsidRPr="003838B2" w:rsidRDefault="00C509CA" w:rsidP="00400DD1">
            <w:pPr>
              <w:pStyle w:val="-21"/>
              <w:spacing w:before="120"/>
              <w:ind w:left="357" w:right="142" w:hanging="142"/>
              <w:rPr>
                <w:rFonts w:asciiTheme="minorBidi" w:hAnsiTheme="minorBidi" w:cstheme="minorBidi"/>
                <w:sz w:val="18"/>
                <w:szCs w:val="18"/>
                <w:rtl/>
              </w:rPr>
            </w:pPr>
            <w:r w:rsidRPr="003838B2">
              <w:rPr>
                <w:rFonts w:asciiTheme="minorBidi" w:hAnsiTheme="minorBidi" w:cstheme="minorBidi"/>
                <w:sz w:val="18"/>
                <w:szCs w:val="18"/>
                <w:rtl/>
              </w:rPr>
              <w:t xml:space="preserve">מחיקות חשבונאיות </w:t>
            </w:r>
          </w:p>
        </w:tc>
        <w:tc>
          <w:tcPr>
            <w:tcW w:w="641" w:type="dxa"/>
            <w:vAlign w:val="bottom"/>
          </w:tcPr>
          <w:p w14:paraId="377BA50E" w14:textId="77777777" w:rsidR="00C509CA" w:rsidRPr="002C0AFF" w:rsidRDefault="00C509CA" w:rsidP="00400DD1">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(0)</w:t>
            </w:r>
          </w:p>
        </w:tc>
        <w:tc>
          <w:tcPr>
            <w:tcW w:w="709" w:type="dxa"/>
            <w:vAlign w:val="bottom"/>
          </w:tcPr>
          <w:p w14:paraId="1D77E739" w14:textId="77777777" w:rsidR="00C509CA" w:rsidRPr="002C0AFF" w:rsidRDefault="00C509CA" w:rsidP="00400DD1">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(0)</w:t>
            </w:r>
          </w:p>
        </w:tc>
        <w:tc>
          <w:tcPr>
            <w:tcW w:w="567" w:type="dxa"/>
            <w:vAlign w:val="bottom"/>
          </w:tcPr>
          <w:p w14:paraId="1BEE4715" w14:textId="77777777" w:rsidR="00C509CA" w:rsidRPr="002C0AFF" w:rsidRDefault="00C509CA" w:rsidP="00400DD1">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(0)</w:t>
            </w:r>
          </w:p>
        </w:tc>
        <w:tc>
          <w:tcPr>
            <w:tcW w:w="641" w:type="dxa"/>
            <w:vAlign w:val="bottom"/>
          </w:tcPr>
          <w:p w14:paraId="1F29AE26" w14:textId="77777777" w:rsidR="00C509CA" w:rsidRPr="002C0AFF" w:rsidRDefault="00C509CA" w:rsidP="00400DD1">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(0)</w:t>
            </w:r>
          </w:p>
        </w:tc>
        <w:tc>
          <w:tcPr>
            <w:tcW w:w="1345" w:type="dxa"/>
            <w:vAlign w:val="bottom"/>
          </w:tcPr>
          <w:p w14:paraId="1D0AA027" w14:textId="77777777" w:rsidR="00C509CA" w:rsidRPr="002C0AFF" w:rsidRDefault="00C509CA" w:rsidP="00400DD1">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(0)</w:t>
            </w:r>
          </w:p>
        </w:tc>
        <w:tc>
          <w:tcPr>
            <w:tcW w:w="851" w:type="dxa"/>
            <w:vAlign w:val="bottom"/>
          </w:tcPr>
          <w:p w14:paraId="3BAEC26C" w14:textId="77777777" w:rsidR="00C509CA" w:rsidRPr="002C0AFF" w:rsidRDefault="00C509CA" w:rsidP="00400DD1">
            <w:pPr>
              <w:pStyle w:val="-3"/>
              <w:spacing w:line="240" w:lineRule="auto"/>
              <w:rPr>
                <w:rFonts w:asciiTheme="minorBidi" w:hAnsiTheme="minorBidi" w:cstheme="minorBidi"/>
                <w:b/>
                <w:bCs/>
                <w:sz w:val="18"/>
                <w:szCs w:val="18"/>
                <w:rtl/>
              </w:rPr>
            </w:pPr>
            <w:r w:rsidRPr="003838B2">
              <w:rPr>
                <w:rFonts w:asciiTheme="minorBidi" w:hAnsiTheme="minorBidi" w:cstheme="minorBidi"/>
                <w:sz w:val="18"/>
                <w:szCs w:val="18"/>
                <w:rtl/>
              </w:rPr>
              <w:t>(0)</w:t>
            </w:r>
          </w:p>
        </w:tc>
      </w:tr>
      <w:tr w:rsidR="00C509CA" w:rsidRPr="00C94190" w14:paraId="1036D8E4" w14:textId="77777777" w:rsidTr="000B19AE">
        <w:trPr>
          <w:trHeight w:val="259"/>
        </w:trPr>
        <w:tc>
          <w:tcPr>
            <w:tcW w:w="738" w:type="dxa"/>
          </w:tcPr>
          <w:p w14:paraId="636AE12F" w14:textId="77777777" w:rsidR="00C509CA" w:rsidRDefault="00C509CA" w:rsidP="00400DD1">
            <w:pPr>
              <w:pStyle w:val="-fa"/>
              <w:ind w:right="-142"/>
              <w:rPr>
                <w:rtl/>
              </w:rPr>
            </w:pPr>
          </w:p>
        </w:tc>
        <w:tc>
          <w:tcPr>
            <w:tcW w:w="3976" w:type="dxa"/>
            <w:vAlign w:val="bottom"/>
          </w:tcPr>
          <w:p w14:paraId="3F1D9394" w14:textId="77777777" w:rsidR="00C509CA" w:rsidRPr="003838B2" w:rsidRDefault="00C509CA" w:rsidP="00400DD1">
            <w:pPr>
              <w:pStyle w:val="-21"/>
              <w:ind w:left="361" w:right="144"/>
              <w:rPr>
                <w:rFonts w:asciiTheme="minorBidi" w:hAnsiTheme="minorBidi" w:cstheme="minorBidi"/>
                <w:sz w:val="18"/>
                <w:szCs w:val="18"/>
              </w:rPr>
            </w:pPr>
            <w:r w:rsidRPr="003838B2">
              <w:rPr>
                <w:rFonts w:asciiTheme="minorBidi" w:hAnsiTheme="minorBidi" w:cstheme="minorBidi"/>
                <w:sz w:val="18"/>
                <w:szCs w:val="18"/>
                <w:rtl/>
              </w:rPr>
              <w:t>גביית חובות שנמחקו חשבונאית בשנים קודמות</w:t>
            </w:r>
          </w:p>
        </w:tc>
        <w:tc>
          <w:tcPr>
            <w:tcW w:w="641" w:type="dxa"/>
            <w:vAlign w:val="bottom"/>
          </w:tcPr>
          <w:p w14:paraId="6CB37C50" w14:textId="77777777" w:rsidR="00C509CA" w:rsidRPr="002C0AFF" w:rsidRDefault="00C509CA" w:rsidP="00400DD1">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709" w:type="dxa"/>
            <w:vAlign w:val="bottom"/>
          </w:tcPr>
          <w:p w14:paraId="3CB50A50" w14:textId="77777777" w:rsidR="00C509CA" w:rsidRPr="002C0AFF" w:rsidRDefault="00C509CA" w:rsidP="00400DD1">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567" w:type="dxa"/>
            <w:vAlign w:val="bottom"/>
          </w:tcPr>
          <w:p w14:paraId="085985A5" w14:textId="77777777" w:rsidR="00C509CA" w:rsidRPr="002C0AFF" w:rsidRDefault="00C509CA" w:rsidP="00400DD1">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641" w:type="dxa"/>
            <w:vAlign w:val="bottom"/>
          </w:tcPr>
          <w:p w14:paraId="6D68B19A" w14:textId="77777777" w:rsidR="00C509CA" w:rsidRPr="002C0AFF" w:rsidRDefault="00C509CA" w:rsidP="00400DD1">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szCs w:val="18"/>
                <w:rtl/>
              </w:rPr>
              <w:t xml:space="preserve"> 0</w:t>
            </w:r>
          </w:p>
        </w:tc>
        <w:tc>
          <w:tcPr>
            <w:tcW w:w="1345" w:type="dxa"/>
            <w:vAlign w:val="bottom"/>
          </w:tcPr>
          <w:p w14:paraId="647256A8" w14:textId="77777777" w:rsidR="00C509CA" w:rsidRPr="002C0AFF" w:rsidRDefault="00C509CA" w:rsidP="00400DD1">
            <w:pPr>
              <w:pStyle w:val="-120"/>
              <w:pBdr>
                <w:top w:val="none" w:sz="0" w:space="0" w:color="auto"/>
                <w:bottom w:val="single" w:sz="4" w:space="1" w:color="auto"/>
              </w:pBdr>
              <w:rPr>
                <w:rFonts w:asciiTheme="minorBidi" w:hAnsiTheme="minorBidi" w:cstheme="minorBidi"/>
                <w:szCs w:val="18"/>
                <w:rtl/>
              </w:rPr>
            </w:pPr>
            <w:r w:rsidRPr="002C0AFF">
              <w:rPr>
                <w:rFonts w:asciiTheme="minorBidi" w:hAnsiTheme="minorBidi" w:cstheme="minorBidi" w:hint="cs"/>
                <w:szCs w:val="18"/>
                <w:rtl/>
              </w:rPr>
              <w:t xml:space="preserve"> 0</w:t>
            </w:r>
          </w:p>
        </w:tc>
        <w:tc>
          <w:tcPr>
            <w:tcW w:w="851" w:type="dxa"/>
            <w:vAlign w:val="bottom"/>
          </w:tcPr>
          <w:p w14:paraId="117352A9" w14:textId="77777777" w:rsidR="00C509CA" w:rsidRPr="002C0AFF" w:rsidRDefault="00C509CA" w:rsidP="00400DD1">
            <w:pPr>
              <w:pStyle w:val="-120"/>
              <w:pBdr>
                <w:top w:val="none" w:sz="0" w:space="0" w:color="auto"/>
                <w:bottom w:val="single" w:sz="4" w:space="1" w:color="auto"/>
              </w:pBdr>
              <w:rPr>
                <w:rFonts w:asciiTheme="minorBidi" w:hAnsiTheme="minorBidi" w:cstheme="minorBidi"/>
                <w:b/>
                <w:bCs/>
                <w:szCs w:val="18"/>
                <w:rtl/>
              </w:rPr>
            </w:pPr>
            <w:r w:rsidRPr="003838B2">
              <w:rPr>
                <w:rFonts w:asciiTheme="minorBidi" w:hAnsiTheme="minorBidi" w:cstheme="minorBidi"/>
                <w:szCs w:val="18"/>
                <w:rtl/>
              </w:rPr>
              <w:t xml:space="preserve"> 0</w:t>
            </w:r>
          </w:p>
        </w:tc>
      </w:tr>
      <w:tr w:rsidR="00C509CA" w:rsidRPr="00BA061F" w14:paraId="60EF46F0" w14:textId="77777777" w:rsidTr="000B19AE">
        <w:tc>
          <w:tcPr>
            <w:tcW w:w="738" w:type="dxa"/>
          </w:tcPr>
          <w:p w14:paraId="232B5ED9" w14:textId="77777777" w:rsidR="00C509CA" w:rsidRDefault="00C509CA" w:rsidP="00400DD1">
            <w:pPr>
              <w:pStyle w:val="-fa"/>
              <w:bidi w:val="0"/>
              <w:ind w:right="-142"/>
              <w:jc w:val="both"/>
              <w:rPr>
                <w:rtl/>
              </w:rPr>
            </w:pPr>
          </w:p>
        </w:tc>
        <w:tc>
          <w:tcPr>
            <w:tcW w:w="3976" w:type="dxa"/>
            <w:vAlign w:val="bottom"/>
          </w:tcPr>
          <w:p w14:paraId="77200DA6" w14:textId="77777777" w:rsidR="00C509CA" w:rsidRPr="005A04AF" w:rsidRDefault="00C509CA" w:rsidP="00400DD1">
            <w:pPr>
              <w:pStyle w:val="-b"/>
              <w:spacing w:line="240" w:lineRule="auto"/>
              <w:jc w:val="both"/>
              <w:rPr>
                <w:rFonts w:asciiTheme="minorBidi" w:hAnsiTheme="minorBidi" w:cstheme="minorBidi"/>
                <w:b w:val="0"/>
                <w:bCs w:val="0"/>
                <w:sz w:val="18"/>
                <w:szCs w:val="18"/>
                <w:rtl/>
              </w:rPr>
            </w:pPr>
            <w:r w:rsidRPr="005A04AF">
              <w:rPr>
                <w:rFonts w:asciiTheme="minorBidi" w:hAnsiTheme="minorBidi" w:cstheme="minorBidi"/>
                <w:b w:val="0"/>
                <w:bCs w:val="0"/>
                <w:sz w:val="18"/>
                <w:szCs w:val="18"/>
                <w:rtl/>
              </w:rPr>
              <w:t xml:space="preserve">מחיקות חשבונאיות נטו </w:t>
            </w:r>
          </w:p>
        </w:tc>
        <w:tc>
          <w:tcPr>
            <w:tcW w:w="641" w:type="dxa"/>
            <w:vAlign w:val="bottom"/>
          </w:tcPr>
          <w:p w14:paraId="23B8923E" w14:textId="77777777" w:rsidR="00C509CA" w:rsidRPr="002C0AFF" w:rsidRDefault="00C509CA" w:rsidP="00400DD1">
            <w:pPr>
              <w:pStyle w:val="-3"/>
              <w:spacing w:line="240" w:lineRule="auto"/>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709" w:type="dxa"/>
            <w:vAlign w:val="bottom"/>
          </w:tcPr>
          <w:p w14:paraId="7ACF0E97" w14:textId="77777777" w:rsidR="00C509CA" w:rsidRPr="002C0AFF" w:rsidRDefault="00C509CA" w:rsidP="00400DD1">
            <w:pPr>
              <w:pStyle w:val="-3"/>
              <w:spacing w:line="240" w:lineRule="auto"/>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567" w:type="dxa"/>
            <w:vAlign w:val="bottom"/>
          </w:tcPr>
          <w:p w14:paraId="746FAE4A" w14:textId="77777777" w:rsidR="00C509CA" w:rsidRPr="002C0AFF" w:rsidRDefault="00C509CA" w:rsidP="00400DD1">
            <w:pPr>
              <w:pStyle w:val="-3"/>
              <w:spacing w:line="240" w:lineRule="auto"/>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641" w:type="dxa"/>
            <w:vAlign w:val="bottom"/>
          </w:tcPr>
          <w:p w14:paraId="7B7E3B66" w14:textId="77777777" w:rsidR="00C509CA" w:rsidRPr="002C0AFF" w:rsidRDefault="00C509CA" w:rsidP="00400DD1">
            <w:pPr>
              <w:pStyle w:val="-3"/>
              <w:spacing w:line="240" w:lineRule="auto"/>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1345" w:type="dxa"/>
            <w:vAlign w:val="bottom"/>
          </w:tcPr>
          <w:p w14:paraId="34B9B543" w14:textId="77777777" w:rsidR="00C509CA" w:rsidRPr="002C0AFF" w:rsidRDefault="00C509CA" w:rsidP="00400DD1">
            <w:pPr>
              <w:pStyle w:val="-3"/>
              <w:spacing w:line="240" w:lineRule="auto"/>
              <w:rPr>
                <w:rFonts w:asciiTheme="minorBidi" w:hAnsiTheme="minorBidi" w:cstheme="minorBidi"/>
                <w:b/>
                <w:bCs/>
                <w:sz w:val="18"/>
                <w:szCs w:val="18"/>
                <w:rtl/>
              </w:rPr>
            </w:pPr>
            <w:r w:rsidRPr="005A04AF">
              <w:rPr>
                <w:rFonts w:asciiTheme="minorBidi" w:hAnsiTheme="minorBidi" w:cstheme="minorBidi"/>
                <w:b/>
                <w:bCs/>
                <w:sz w:val="18"/>
                <w:szCs w:val="18"/>
                <w:rtl/>
              </w:rPr>
              <w:t>(0)</w:t>
            </w:r>
          </w:p>
        </w:tc>
        <w:tc>
          <w:tcPr>
            <w:tcW w:w="851" w:type="dxa"/>
            <w:vAlign w:val="bottom"/>
          </w:tcPr>
          <w:p w14:paraId="536B92E5" w14:textId="77777777" w:rsidR="00C509CA" w:rsidRPr="002C0AFF" w:rsidRDefault="00C509CA" w:rsidP="00400DD1">
            <w:pPr>
              <w:pStyle w:val="-3"/>
              <w:spacing w:line="240" w:lineRule="auto"/>
              <w:rPr>
                <w:rFonts w:asciiTheme="minorBidi" w:hAnsiTheme="minorBidi" w:cstheme="minorBidi"/>
                <w:b/>
                <w:bCs/>
                <w:sz w:val="18"/>
                <w:szCs w:val="18"/>
                <w:rtl/>
              </w:rPr>
            </w:pPr>
            <w:r w:rsidRPr="005A04AF">
              <w:rPr>
                <w:rFonts w:asciiTheme="minorBidi" w:hAnsiTheme="minorBidi" w:cstheme="minorBidi"/>
                <w:b/>
                <w:bCs/>
                <w:sz w:val="18"/>
                <w:szCs w:val="18"/>
                <w:rtl/>
              </w:rPr>
              <w:t>(0)</w:t>
            </w:r>
          </w:p>
        </w:tc>
      </w:tr>
      <w:tr w:rsidR="00C509CA" w:rsidRPr="00BA061F" w14:paraId="7BCC7B53" w14:textId="77777777" w:rsidTr="000B19AE">
        <w:tc>
          <w:tcPr>
            <w:tcW w:w="738" w:type="dxa"/>
          </w:tcPr>
          <w:p w14:paraId="568146AB" w14:textId="77777777" w:rsidR="00C509CA" w:rsidRDefault="00C509CA" w:rsidP="00400DD1">
            <w:pPr>
              <w:pStyle w:val="-fa"/>
              <w:bidi w:val="0"/>
              <w:ind w:right="-142"/>
              <w:jc w:val="both"/>
              <w:rPr>
                <w:rtl/>
              </w:rPr>
            </w:pPr>
          </w:p>
        </w:tc>
        <w:tc>
          <w:tcPr>
            <w:tcW w:w="3976" w:type="dxa"/>
            <w:vAlign w:val="bottom"/>
          </w:tcPr>
          <w:p w14:paraId="461E6538" w14:textId="77777777" w:rsidR="00C509CA" w:rsidRPr="005A04AF" w:rsidRDefault="00C509CA" w:rsidP="000B19AE">
            <w:pPr>
              <w:pStyle w:val="-b"/>
              <w:spacing w:before="60" w:line="240" w:lineRule="auto"/>
              <w:ind w:left="142" w:hanging="142"/>
              <w:jc w:val="both"/>
              <w:rPr>
                <w:rFonts w:asciiTheme="minorBidi" w:hAnsiTheme="minorBidi" w:cstheme="minorBidi"/>
                <w:b w:val="0"/>
                <w:bCs w:val="0"/>
                <w:sz w:val="18"/>
                <w:szCs w:val="18"/>
                <w:rtl/>
              </w:rPr>
            </w:pPr>
            <w:r w:rsidRPr="005A04AF">
              <w:rPr>
                <w:rFonts w:asciiTheme="minorBidi" w:hAnsiTheme="minorBidi" w:cstheme="minorBidi"/>
                <w:b w:val="0"/>
                <w:bCs w:val="0"/>
                <w:sz w:val="18"/>
                <w:szCs w:val="18"/>
                <w:rtl/>
              </w:rPr>
              <w:t>התאמות מתרגום דוחות כספיים</w:t>
            </w:r>
          </w:p>
        </w:tc>
        <w:tc>
          <w:tcPr>
            <w:tcW w:w="641" w:type="dxa"/>
            <w:vAlign w:val="bottom"/>
          </w:tcPr>
          <w:p w14:paraId="171DE36C" w14:textId="77777777" w:rsidR="00C509CA" w:rsidRPr="002C0AFF" w:rsidRDefault="00C509CA" w:rsidP="00400DD1">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 xml:space="preserve"> 0</w:t>
            </w:r>
          </w:p>
        </w:tc>
        <w:tc>
          <w:tcPr>
            <w:tcW w:w="709" w:type="dxa"/>
            <w:vAlign w:val="bottom"/>
          </w:tcPr>
          <w:p w14:paraId="70AA640C" w14:textId="77777777" w:rsidR="00C509CA" w:rsidRPr="002C0AFF" w:rsidRDefault="00C509CA" w:rsidP="00400DD1">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 xml:space="preserve"> 0</w:t>
            </w:r>
          </w:p>
        </w:tc>
        <w:tc>
          <w:tcPr>
            <w:tcW w:w="567" w:type="dxa"/>
            <w:vAlign w:val="bottom"/>
          </w:tcPr>
          <w:p w14:paraId="53CD1AF1" w14:textId="77777777" w:rsidR="00C509CA" w:rsidRPr="002C0AFF" w:rsidRDefault="00C509CA" w:rsidP="00400DD1">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 xml:space="preserve"> 0</w:t>
            </w:r>
          </w:p>
        </w:tc>
        <w:tc>
          <w:tcPr>
            <w:tcW w:w="641" w:type="dxa"/>
            <w:vAlign w:val="bottom"/>
          </w:tcPr>
          <w:p w14:paraId="7E8F6FAE" w14:textId="77777777" w:rsidR="00C509CA" w:rsidRPr="002C0AFF" w:rsidRDefault="00C509CA" w:rsidP="00400DD1">
            <w:pPr>
              <w:pStyle w:val="-3"/>
              <w:spacing w:line="240" w:lineRule="auto"/>
              <w:rPr>
                <w:rFonts w:asciiTheme="minorBidi" w:hAnsiTheme="minorBidi" w:cstheme="minorBidi"/>
                <w:b/>
                <w:bCs/>
                <w:sz w:val="18"/>
                <w:szCs w:val="18"/>
                <w:rtl/>
              </w:rPr>
            </w:pPr>
            <w:r w:rsidRPr="002C0AFF">
              <w:rPr>
                <w:rFonts w:asciiTheme="minorBidi" w:hAnsiTheme="minorBidi" w:cstheme="minorBidi"/>
                <w:sz w:val="18"/>
                <w:szCs w:val="18"/>
                <w:rtl/>
              </w:rPr>
              <w:t xml:space="preserve"> 0</w:t>
            </w:r>
          </w:p>
        </w:tc>
        <w:tc>
          <w:tcPr>
            <w:tcW w:w="1345" w:type="dxa"/>
            <w:vAlign w:val="bottom"/>
          </w:tcPr>
          <w:p w14:paraId="5FBC6823" w14:textId="77777777" w:rsidR="00C509CA" w:rsidRPr="002C0AFF" w:rsidRDefault="00C509CA" w:rsidP="00400DD1">
            <w:pPr>
              <w:pStyle w:val="-3"/>
              <w:spacing w:line="240" w:lineRule="auto"/>
              <w:rPr>
                <w:rFonts w:asciiTheme="minorBidi" w:hAnsiTheme="minorBidi" w:cstheme="minorBidi"/>
                <w:b/>
                <w:bCs/>
                <w:sz w:val="18"/>
                <w:szCs w:val="18"/>
                <w:rtl/>
              </w:rPr>
            </w:pPr>
            <w:r w:rsidRPr="002C0AFF">
              <w:rPr>
                <w:rFonts w:asciiTheme="minorBidi" w:hAnsiTheme="minorBidi" w:cstheme="minorBidi" w:hint="cs"/>
                <w:sz w:val="18"/>
                <w:szCs w:val="18"/>
                <w:rtl/>
              </w:rPr>
              <w:t xml:space="preserve"> 0</w:t>
            </w:r>
          </w:p>
        </w:tc>
        <w:tc>
          <w:tcPr>
            <w:tcW w:w="851" w:type="dxa"/>
            <w:vAlign w:val="bottom"/>
          </w:tcPr>
          <w:p w14:paraId="59F3DF5B" w14:textId="77777777" w:rsidR="00C509CA" w:rsidRPr="002C0AFF" w:rsidRDefault="00C509CA" w:rsidP="00400DD1">
            <w:pPr>
              <w:pStyle w:val="-3"/>
              <w:spacing w:line="240" w:lineRule="auto"/>
              <w:rPr>
                <w:rFonts w:asciiTheme="minorBidi" w:hAnsiTheme="minorBidi" w:cstheme="minorBidi"/>
                <w:b/>
                <w:bCs/>
                <w:sz w:val="18"/>
                <w:szCs w:val="18"/>
                <w:rtl/>
              </w:rPr>
            </w:pPr>
            <w:r w:rsidRPr="003838B2">
              <w:rPr>
                <w:rFonts w:asciiTheme="minorBidi" w:hAnsiTheme="minorBidi" w:cstheme="minorBidi"/>
                <w:sz w:val="18"/>
                <w:szCs w:val="18"/>
                <w:rtl/>
              </w:rPr>
              <w:t xml:space="preserve"> 0</w:t>
            </w:r>
          </w:p>
        </w:tc>
      </w:tr>
      <w:tr w:rsidR="00C509CA" w:rsidRPr="00C94190" w14:paraId="27AB6F85" w14:textId="77777777" w:rsidTr="000B19AE">
        <w:trPr>
          <w:trHeight w:val="259"/>
        </w:trPr>
        <w:tc>
          <w:tcPr>
            <w:tcW w:w="738" w:type="dxa"/>
          </w:tcPr>
          <w:p w14:paraId="6EA4141D" w14:textId="77777777" w:rsidR="00C509CA" w:rsidRPr="003B24D4" w:rsidRDefault="00C509CA" w:rsidP="00400DD1">
            <w:pPr>
              <w:pStyle w:val="-fa"/>
              <w:ind w:right="-142"/>
              <w:rPr>
                <w:rtl/>
              </w:rPr>
            </w:pPr>
          </w:p>
        </w:tc>
        <w:tc>
          <w:tcPr>
            <w:tcW w:w="3976" w:type="dxa"/>
            <w:vAlign w:val="bottom"/>
          </w:tcPr>
          <w:p w14:paraId="6E7D2EAB" w14:textId="77777777" w:rsidR="00C509CA" w:rsidRPr="003838B2" w:rsidRDefault="00C509CA" w:rsidP="00400DD1">
            <w:pPr>
              <w:pStyle w:val="-0"/>
              <w:spacing w:before="40" w:line="240" w:lineRule="auto"/>
              <w:ind w:left="142" w:hanging="142"/>
              <w:rPr>
                <w:rFonts w:asciiTheme="minorBidi" w:hAnsiTheme="minorBidi" w:cstheme="minorBidi"/>
                <w:b/>
                <w:bCs/>
                <w:sz w:val="18"/>
                <w:szCs w:val="18"/>
                <w:rtl/>
              </w:rPr>
            </w:pPr>
            <w:r w:rsidRPr="003838B2">
              <w:rPr>
                <w:rFonts w:asciiTheme="minorBidi" w:hAnsiTheme="minorBidi" w:cstheme="minorBidi"/>
                <w:sz w:val="18"/>
                <w:szCs w:val="18"/>
                <w:rtl/>
              </w:rPr>
              <w:t>אחר</w:t>
            </w:r>
          </w:p>
        </w:tc>
        <w:tc>
          <w:tcPr>
            <w:tcW w:w="641" w:type="dxa"/>
            <w:vAlign w:val="bottom"/>
          </w:tcPr>
          <w:p w14:paraId="53743BB9" w14:textId="77777777" w:rsidR="00C509CA" w:rsidRPr="002C0AFF" w:rsidRDefault="00C509CA" w:rsidP="00400DD1">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709" w:type="dxa"/>
            <w:vAlign w:val="bottom"/>
          </w:tcPr>
          <w:p w14:paraId="2D240DBD" w14:textId="77777777" w:rsidR="00C509CA" w:rsidRPr="002C0AFF" w:rsidRDefault="00C509CA" w:rsidP="00400DD1">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567" w:type="dxa"/>
            <w:vAlign w:val="bottom"/>
          </w:tcPr>
          <w:p w14:paraId="5B2FC3DB" w14:textId="77777777" w:rsidR="00C509CA" w:rsidRPr="002C0AFF" w:rsidRDefault="00C509CA" w:rsidP="00400DD1">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Pr>
              <w:t xml:space="preserve"> </w:t>
            </w:r>
            <w:r w:rsidRPr="002C0AFF">
              <w:rPr>
                <w:rFonts w:asciiTheme="minorBidi" w:hAnsiTheme="minorBidi" w:cstheme="minorBidi"/>
                <w:sz w:val="18"/>
                <w:szCs w:val="18"/>
                <w:rtl/>
              </w:rPr>
              <w:t>0</w:t>
            </w:r>
          </w:p>
        </w:tc>
        <w:tc>
          <w:tcPr>
            <w:tcW w:w="641" w:type="dxa"/>
            <w:vAlign w:val="bottom"/>
          </w:tcPr>
          <w:p w14:paraId="52798B3D" w14:textId="77777777" w:rsidR="00C509CA" w:rsidRPr="002C0AFF" w:rsidRDefault="00C509CA" w:rsidP="00400DD1">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sz w:val="18"/>
                <w:szCs w:val="18"/>
                <w:rtl/>
              </w:rPr>
              <w:t xml:space="preserve"> 0</w:t>
            </w:r>
          </w:p>
        </w:tc>
        <w:tc>
          <w:tcPr>
            <w:tcW w:w="1345" w:type="dxa"/>
            <w:vAlign w:val="bottom"/>
          </w:tcPr>
          <w:p w14:paraId="1BDF8578" w14:textId="77777777" w:rsidR="00C509CA" w:rsidRPr="002C0AFF" w:rsidRDefault="00C509CA" w:rsidP="00400DD1">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851" w:type="dxa"/>
            <w:vAlign w:val="bottom"/>
          </w:tcPr>
          <w:p w14:paraId="69100C0E" w14:textId="77777777" w:rsidR="00C509CA" w:rsidRPr="005A04AF" w:rsidRDefault="00C509CA" w:rsidP="00400DD1">
            <w:pPr>
              <w:pStyle w:val="-3"/>
              <w:pBdr>
                <w:bottom w:val="single" w:sz="4" w:space="1" w:color="auto"/>
              </w:pBdr>
              <w:rPr>
                <w:rFonts w:asciiTheme="minorBidi" w:hAnsiTheme="minorBidi" w:cstheme="minorBidi"/>
                <w:sz w:val="18"/>
                <w:szCs w:val="18"/>
                <w:rtl/>
              </w:rPr>
            </w:pPr>
            <w:r w:rsidRPr="002C0AFF">
              <w:rPr>
                <w:rFonts w:asciiTheme="minorBidi" w:hAnsiTheme="minorBidi" w:cstheme="minorBidi"/>
                <w:b/>
                <w:bCs/>
                <w:sz w:val="18"/>
                <w:szCs w:val="18"/>
                <w:rtl/>
              </w:rPr>
              <w:t xml:space="preserve"> </w:t>
            </w:r>
            <w:r w:rsidRPr="005A04AF">
              <w:rPr>
                <w:rFonts w:asciiTheme="minorBidi" w:hAnsiTheme="minorBidi" w:cstheme="minorBidi"/>
                <w:sz w:val="18"/>
                <w:szCs w:val="18"/>
                <w:rtl/>
              </w:rPr>
              <w:t>0</w:t>
            </w:r>
          </w:p>
        </w:tc>
      </w:tr>
      <w:tr w:rsidR="00C509CA" w:rsidRPr="00C94190" w14:paraId="21CF9E89" w14:textId="77777777" w:rsidTr="000B19AE">
        <w:tc>
          <w:tcPr>
            <w:tcW w:w="738" w:type="dxa"/>
          </w:tcPr>
          <w:p w14:paraId="76E21382" w14:textId="77777777" w:rsidR="00C509CA" w:rsidRDefault="00C509CA" w:rsidP="00C509CA">
            <w:pPr>
              <w:pStyle w:val="-fa"/>
              <w:bidi w:val="0"/>
              <w:ind w:right="-142"/>
              <w:jc w:val="both"/>
              <w:rPr>
                <w:rtl/>
              </w:rPr>
            </w:pPr>
          </w:p>
        </w:tc>
        <w:tc>
          <w:tcPr>
            <w:tcW w:w="3976" w:type="dxa"/>
            <w:vAlign w:val="bottom"/>
          </w:tcPr>
          <w:p w14:paraId="3632366F" w14:textId="23828F1C" w:rsidR="00C509CA" w:rsidRPr="003838B2" w:rsidRDefault="00C509CA" w:rsidP="00C509CA">
            <w:pPr>
              <w:pStyle w:val="-b"/>
              <w:bidi w:val="0"/>
              <w:spacing w:line="240" w:lineRule="auto"/>
              <w:jc w:val="right"/>
              <w:rPr>
                <w:rFonts w:asciiTheme="minorBidi" w:hAnsiTheme="minorBidi" w:cstheme="minorBidi"/>
                <w:sz w:val="18"/>
                <w:szCs w:val="18"/>
              </w:rPr>
            </w:pPr>
            <w:r w:rsidRPr="00C509CA">
              <w:rPr>
                <w:rFonts w:asciiTheme="minorBidi" w:hAnsiTheme="minorBidi" w:cstheme="minorBidi"/>
                <w:sz w:val="18"/>
                <w:szCs w:val="18"/>
                <w:rtl/>
              </w:rPr>
              <w:t xml:space="preserve">יתרת הפרשה להפסדי אשראי ליום 30 ביוני </w:t>
            </w:r>
            <w:r w:rsidRPr="00C509CA">
              <w:rPr>
                <w:rFonts w:asciiTheme="minorBidi" w:hAnsiTheme="minorBidi" w:cstheme="minorBidi"/>
                <w:sz w:val="18"/>
                <w:szCs w:val="18"/>
                <w:rtl/>
              </w:rPr>
              <w:fldChar w:fldCharType="begin"/>
            </w:r>
            <w:r w:rsidRPr="00C509CA">
              <w:rPr>
                <w:rFonts w:asciiTheme="minorBidi" w:hAnsiTheme="minorBidi" w:cstheme="minorBidi"/>
                <w:sz w:val="18"/>
                <w:szCs w:val="18"/>
                <w:rtl/>
              </w:rPr>
              <w:instrText xml:space="preserve"> = </w:instrText>
            </w:r>
            <w:r w:rsidRPr="00C509CA">
              <w:rPr>
                <w:rFonts w:asciiTheme="minorBidi" w:hAnsiTheme="minorBidi" w:cstheme="minorBidi"/>
                <w:sz w:val="18"/>
                <w:szCs w:val="18"/>
              </w:rPr>
              <w:instrText>CY-1 \* MERGEFORMAT</w:instrText>
            </w:r>
            <w:r w:rsidRPr="00C509CA">
              <w:rPr>
                <w:rFonts w:asciiTheme="minorBidi" w:hAnsiTheme="minorBidi" w:cstheme="minorBidi"/>
                <w:sz w:val="18"/>
                <w:szCs w:val="18"/>
                <w:rtl/>
              </w:rPr>
              <w:instrText xml:space="preserve"> </w:instrText>
            </w:r>
            <w:r w:rsidRPr="00C509CA">
              <w:rPr>
                <w:rFonts w:asciiTheme="minorBidi" w:hAnsiTheme="minorBidi" w:cstheme="minorBidi"/>
                <w:sz w:val="18"/>
                <w:szCs w:val="18"/>
                <w:rtl/>
              </w:rPr>
              <w:fldChar w:fldCharType="separate"/>
            </w:r>
            <w:r w:rsidR="003A584F">
              <w:rPr>
                <w:rFonts w:asciiTheme="minorBidi" w:hAnsiTheme="minorBidi" w:cstheme="minorBidi"/>
                <w:noProof/>
                <w:sz w:val="18"/>
                <w:szCs w:val="18"/>
                <w:rtl/>
              </w:rPr>
              <w:t>2023</w:t>
            </w:r>
            <w:r w:rsidRPr="00C509CA">
              <w:rPr>
                <w:rFonts w:asciiTheme="minorBidi" w:hAnsiTheme="minorBidi" w:cstheme="minorBidi"/>
                <w:sz w:val="18"/>
                <w:szCs w:val="18"/>
                <w:rtl/>
              </w:rPr>
              <w:fldChar w:fldCharType="end"/>
            </w:r>
          </w:p>
        </w:tc>
        <w:tc>
          <w:tcPr>
            <w:tcW w:w="641" w:type="dxa"/>
            <w:vAlign w:val="bottom"/>
          </w:tcPr>
          <w:p w14:paraId="3F5F0EB3" w14:textId="77777777" w:rsidR="00C509CA" w:rsidRPr="005A04AF" w:rsidRDefault="00C509CA" w:rsidP="00C509CA">
            <w:pPr>
              <w:pStyle w:val="-3"/>
              <w:pBdr>
                <w:bottom w:val="double" w:sz="4" w:space="1" w:color="auto"/>
              </w:pBdr>
              <w:rPr>
                <w:rFonts w:asciiTheme="minorBidi" w:hAnsiTheme="minorBidi" w:cstheme="minorBidi"/>
                <w:b/>
                <w:bCs/>
                <w:sz w:val="18"/>
                <w:szCs w:val="18"/>
                <w:rtl/>
              </w:rPr>
            </w:pPr>
            <w:r w:rsidRPr="005A04AF">
              <w:rPr>
                <w:rFonts w:asciiTheme="minorBidi" w:hAnsiTheme="minorBidi" w:cstheme="minorBidi"/>
                <w:b/>
                <w:bCs/>
                <w:sz w:val="18"/>
                <w:szCs w:val="18"/>
                <w:rtl/>
              </w:rPr>
              <w:t xml:space="preserve"> 0</w:t>
            </w:r>
          </w:p>
        </w:tc>
        <w:tc>
          <w:tcPr>
            <w:tcW w:w="709" w:type="dxa"/>
            <w:vAlign w:val="bottom"/>
          </w:tcPr>
          <w:p w14:paraId="3CC3C2B8" w14:textId="77777777" w:rsidR="00C509CA" w:rsidRPr="005A04AF" w:rsidRDefault="00C509CA" w:rsidP="00C509CA">
            <w:pPr>
              <w:pStyle w:val="-3"/>
              <w:pBdr>
                <w:bottom w:val="double" w:sz="4" w:space="1" w:color="auto"/>
              </w:pBdr>
              <w:rPr>
                <w:rFonts w:asciiTheme="minorBidi" w:hAnsiTheme="minorBidi" w:cstheme="minorBidi"/>
                <w:b/>
                <w:bCs/>
                <w:sz w:val="18"/>
                <w:szCs w:val="18"/>
                <w:rtl/>
              </w:rPr>
            </w:pPr>
            <w:r w:rsidRPr="005A04AF">
              <w:rPr>
                <w:rFonts w:asciiTheme="minorBidi" w:hAnsiTheme="minorBidi" w:cstheme="minorBidi"/>
                <w:b/>
                <w:bCs/>
                <w:sz w:val="18"/>
                <w:szCs w:val="18"/>
                <w:rtl/>
              </w:rPr>
              <w:t xml:space="preserve"> 0</w:t>
            </w:r>
          </w:p>
        </w:tc>
        <w:tc>
          <w:tcPr>
            <w:tcW w:w="567" w:type="dxa"/>
            <w:vAlign w:val="bottom"/>
          </w:tcPr>
          <w:p w14:paraId="3D11D094" w14:textId="77777777" w:rsidR="00C509CA" w:rsidRPr="005A04AF" w:rsidRDefault="00C509CA" w:rsidP="00C509CA">
            <w:pPr>
              <w:pStyle w:val="-3"/>
              <w:pBdr>
                <w:bottom w:val="double" w:sz="4" w:space="1" w:color="auto"/>
              </w:pBdr>
              <w:rPr>
                <w:rFonts w:asciiTheme="minorBidi" w:hAnsiTheme="minorBidi" w:cstheme="minorBidi"/>
                <w:b/>
                <w:bCs/>
                <w:sz w:val="18"/>
                <w:szCs w:val="18"/>
                <w:rtl/>
              </w:rPr>
            </w:pPr>
            <w:r w:rsidRPr="005A04AF">
              <w:rPr>
                <w:rFonts w:asciiTheme="minorBidi" w:hAnsiTheme="minorBidi" w:cstheme="minorBidi"/>
                <w:b/>
                <w:bCs/>
                <w:sz w:val="18"/>
                <w:szCs w:val="18"/>
                <w:rtl/>
              </w:rPr>
              <w:t xml:space="preserve"> 0</w:t>
            </w:r>
          </w:p>
        </w:tc>
        <w:tc>
          <w:tcPr>
            <w:tcW w:w="641" w:type="dxa"/>
            <w:vAlign w:val="bottom"/>
          </w:tcPr>
          <w:p w14:paraId="6F7B9F65" w14:textId="77777777" w:rsidR="00C509CA" w:rsidRPr="005A04AF" w:rsidRDefault="00C509CA" w:rsidP="00C509CA">
            <w:pPr>
              <w:pStyle w:val="-3"/>
              <w:pBdr>
                <w:bottom w:val="double" w:sz="4" w:space="1" w:color="auto"/>
              </w:pBdr>
              <w:rPr>
                <w:rFonts w:asciiTheme="minorBidi" w:hAnsiTheme="minorBidi" w:cstheme="minorBidi"/>
                <w:b/>
                <w:bCs/>
                <w:sz w:val="18"/>
                <w:szCs w:val="18"/>
                <w:rtl/>
              </w:rPr>
            </w:pPr>
            <w:r w:rsidRPr="005A04AF">
              <w:rPr>
                <w:rFonts w:asciiTheme="minorBidi" w:hAnsiTheme="minorBidi" w:cstheme="minorBidi"/>
                <w:b/>
                <w:bCs/>
                <w:sz w:val="18"/>
                <w:szCs w:val="18"/>
                <w:rtl/>
              </w:rPr>
              <w:t xml:space="preserve"> 0</w:t>
            </w:r>
          </w:p>
        </w:tc>
        <w:tc>
          <w:tcPr>
            <w:tcW w:w="1345" w:type="dxa"/>
            <w:vAlign w:val="bottom"/>
          </w:tcPr>
          <w:p w14:paraId="749ED987" w14:textId="77777777" w:rsidR="00C509CA" w:rsidRPr="005A04AF" w:rsidRDefault="00C509CA" w:rsidP="00C509CA">
            <w:pPr>
              <w:pStyle w:val="-3"/>
              <w:pBdr>
                <w:bottom w:val="double" w:sz="4" w:space="1" w:color="auto"/>
              </w:pBdr>
              <w:rPr>
                <w:rFonts w:asciiTheme="minorBidi" w:hAnsiTheme="minorBidi" w:cstheme="minorBidi"/>
                <w:b/>
                <w:bCs/>
                <w:sz w:val="18"/>
                <w:szCs w:val="18"/>
                <w:rtl/>
              </w:rPr>
            </w:pPr>
            <w:r w:rsidRPr="005A04AF">
              <w:rPr>
                <w:rFonts w:asciiTheme="minorBidi" w:hAnsiTheme="minorBidi" w:cstheme="minorBidi" w:hint="cs"/>
                <w:b/>
                <w:bCs/>
                <w:sz w:val="18"/>
                <w:szCs w:val="18"/>
                <w:rtl/>
              </w:rPr>
              <w:t xml:space="preserve"> 0</w:t>
            </w:r>
          </w:p>
        </w:tc>
        <w:tc>
          <w:tcPr>
            <w:tcW w:w="851" w:type="dxa"/>
            <w:vAlign w:val="bottom"/>
          </w:tcPr>
          <w:p w14:paraId="0D0C095B" w14:textId="77777777" w:rsidR="00C509CA" w:rsidRPr="002C0AFF" w:rsidRDefault="00C509CA" w:rsidP="00C509CA">
            <w:pPr>
              <w:pStyle w:val="-3"/>
              <w:pBdr>
                <w:bottom w:val="double" w:sz="4" w:space="1" w:color="auto"/>
              </w:pBdr>
              <w:rPr>
                <w:rFonts w:asciiTheme="minorBidi" w:hAnsiTheme="minorBidi" w:cstheme="minorBidi"/>
                <w:b/>
                <w:bCs/>
                <w:sz w:val="18"/>
                <w:szCs w:val="18"/>
                <w:rtl/>
              </w:rPr>
            </w:pPr>
            <w:r w:rsidRPr="002C0AFF">
              <w:rPr>
                <w:rFonts w:asciiTheme="minorBidi" w:hAnsiTheme="minorBidi" w:cstheme="minorBidi"/>
                <w:b/>
                <w:bCs/>
                <w:sz w:val="18"/>
                <w:szCs w:val="18"/>
                <w:rtl/>
              </w:rPr>
              <w:t xml:space="preserve"> 0</w:t>
            </w:r>
          </w:p>
        </w:tc>
      </w:tr>
      <w:tr w:rsidR="00C509CA" w:rsidRPr="00BA061F" w14:paraId="3717597A" w14:textId="77777777" w:rsidTr="000B19AE">
        <w:trPr>
          <w:trHeight w:val="87"/>
        </w:trPr>
        <w:tc>
          <w:tcPr>
            <w:tcW w:w="738" w:type="dxa"/>
          </w:tcPr>
          <w:p w14:paraId="3501A345" w14:textId="77777777" w:rsidR="00C509CA" w:rsidRDefault="00C509CA" w:rsidP="00400DD1">
            <w:pPr>
              <w:pStyle w:val="-7"/>
              <w:bidi w:val="0"/>
              <w:spacing w:line="60" w:lineRule="exact"/>
              <w:ind w:hanging="142"/>
              <w:rPr>
                <w:rtl/>
              </w:rPr>
            </w:pPr>
          </w:p>
        </w:tc>
        <w:tc>
          <w:tcPr>
            <w:tcW w:w="3976" w:type="dxa"/>
            <w:vAlign w:val="bottom"/>
          </w:tcPr>
          <w:p w14:paraId="5295D563" w14:textId="77777777" w:rsidR="00C509CA" w:rsidRPr="003838B2" w:rsidRDefault="00C509CA" w:rsidP="00400DD1">
            <w:pPr>
              <w:pStyle w:val="-b"/>
              <w:spacing w:line="60" w:lineRule="exact"/>
              <w:ind w:hanging="142"/>
              <w:jc w:val="both"/>
              <w:rPr>
                <w:rFonts w:asciiTheme="minorBidi" w:hAnsiTheme="minorBidi" w:cstheme="minorBidi"/>
                <w:b w:val="0"/>
                <w:bCs w:val="0"/>
                <w:sz w:val="18"/>
                <w:szCs w:val="18"/>
                <w:rtl/>
              </w:rPr>
            </w:pPr>
          </w:p>
        </w:tc>
        <w:tc>
          <w:tcPr>
            <w:tcW w:w="641" w:type="dxa"/>
            <w:vAlign w:val="bottom"/>
          </w:tcPr>
          <w:p w14:paraId="59280F4E" w14:textId="77777777" w:rsidR="00C509CA" w:rsidRPr="002C0AFF" w:rsidRDefault="00C509CA" w:rsidP="00400DD1">
            <w:pPr>
              <w:pStyle w:val="-3"/>
              <w:spacing w:line="60" w:lineRule="exact"/>
              <w:ind w:hanging="142"/>
              <w:rPr>
                <w:sz w:val="18"/>
                <w:szCs w:val="18"/>
                <w:rtl/>
              </w:rPr>
            </w:pPr>
          </w:p>
        </w:tc>
        <w:tc>
          <w:tcPr>
            <w:tcW w:w="709" w:type="dxa"/>
            <w:vAlign w:val="bottom"/>
          </w:tcPr>
          <w:p w14:paraId="70E00317" w14:textId="77777777" w:rsidR="00C509CA" w:rsidRPr="002C0AFF" w:rsidRDefault="00C509CA" w:rsidP="00400DD1">
            <w:pPr>
              <w:pStyle w:val="-3"/>
              <w:spacing w:line="60" w:lineRule="exact"/>
              <w:ind w:hanging="142"/>
              <w:rPr>
                <w:sz w:val="18"/>
                <w:szCs w:val="18"/>
                <w:rtl/>
              </w:rPr>
            </w:pPr>
          </w:p>
        </w:tc>
        <w:tc>
          <w:tcPr>
            <w:tcW w:w="567" w:type="dxa"/>
            <w:vAlign w:val="bottom"/>
          </w:tcPr>
          <w:p w14:paraId="5CE38ECD" w14:textId="77777777" w:rsidR="00C509CA" w:rsidRPr="002C0AFF" w:rsidRDefault="00C509CA" w:rsidP="00400DD1">
            <w:pPr>
              <w:pStyle w:val="-3"/>
              <w:spacing w:line="60" w:lineRule="exact"/>
              <w:ind w:hanging="142"/>
              <w:rPr>
                <w:sz w:val="18"/>
                <w:szCs w:val="18"/>
                <w:rtl/>
              </w:rPr>
            </w:pPr>
          </w:p>
        </w:tc>
        <w:tc>
          <w:tcPr>
            <w:tcW w:w="641" w:type="dxa"/>
            <w:vAlign w:val="bottom"/>
          </w:tcPr>
          <w:p w14:paraId="20EA3BA5" w14:textId="77777777" w:rsidR="00C509CA" w:rsidRPr="002C0AFF" w:rsidRDefault="00C509CA" w:rsidP="00400DD1">
            <w:pPr>
              <w:pStyle w:val="-3"/>
              <w:spacing w:line="60" w:lineRule="exact"/>
              <w:ind w:hanging="142"/>
              <w:rPr>
                <w:sz w:val="18"/>
                <w:szCs w:val="18"/>
                <w:rtl/>
              </w:rPr>
            </w:pPr>
          </w:p>
        </w:tc>
        <w:tc>
          <w:tcPr>
            <w:tcW w:w="1345" w:type="dxa"/>
            <w:vAlign w:val="bottom"/>
          </w:tcPr>
          <w:p w14:paraId="54FEF55E" w14:textId="77777777" w:rsidR="00C509CA" w:rsidRPr="002C0AFF" w:rsidRDefault="00C509CA" w:rsidP="00400DD1">
            <w:pPr>
              <w:pStyle w:val="-3"/>
              <w:spacing w:line="60" w:lineRule="exact"/>
              <w:ind w:hanging="142"/>
              <w:rPr>
                <w:sz w:val="18"/>
                <w:szCs w:val="18"/>
                <w:rtl/>
              </w:rPr>
            </w:pPr>
          </w:p>
        </w:tc>
        <w:tc>
          <w:tcPr>
            <w:tcW w:w="851" w:type="dxa"/>
            <w:vAlign w:val="bottom"/>
          </w:tcPr>
          <w:p w14:paraId="5417FB7A" w14:textId="77777777" w:rsidR="00C509CA" w:rsidRPr="002C0AFF" w:rsidRDefault="00C509CA" w:rsidP="00400DD1">
            <w:pPr>
              <w:pStyle w:val="-3"/>
              <w:spacing w:line="60" w:lineRule="exact"/>
              <w:ind w:hanging="142"/>
              <w:rPr>
                <w:b/>
                <w:bCs/>
                <w:sz w:val="18"/>
                <w:szCs w:val="18"/>
                <w:rtl/>
              </w:rPr>
            </w:pPr>
          </w:p>
        </w:tc>
      </w:tr>
      <w:tr w:rsidR="00C509CA" w:rsidRPr="00C94190" w14:paraId="217BD66F" w14:textId="77777777" w:rsidTr="000B19AE">
        <w:tc>
          <w:tcPr>
            <w:tcW w:w="738" w:type="dxa"/>
          </w:tcPr>
          <w:p w14:paraId="15D07537" w14:textId="77777777" w:rsidR="00C509CA" w:rsidRDefault="00C509CA" w:rsidP="00400DD1">
            <w:pPr>
              <w:pStyle w:val="-fa"/>
              <w:bidi w:val="0"/>
              <w:ind w:right="-142"/>
              <w:jc w:val="both"/>
              <w:rPr>
                <w:rtl/>
              </w:rPr>
            </w:pPr>
          </w:p>
        </w:tc>
        <w:tc>
          <w:tcPr>
            <w:tcW w:w="3976" w:type="dxa"/>
            <w:vAlign w:val="bottom"/>
          </w:tcPr>
          <w:p w14:paraId="5FEB9FE8" w14:textId="77777777" w:rsidR="00C509CA" w:rsidRPr="003838B2" w:rsidRDefault="00C509CA" w:rsidP="00400DD1">
            <w:pPr>
              <w:pStyle w:val="-b"/>
              <w:bidi w:val="0"/>
              <w:spacing w:line="240" w:lineRule="auto"/>
              <w:ind w:right="180"/>
              <w:jc w:val="right"/>
              <w:rPr>
                <w:rFonts w:asciiTheme="minorBidi" w:hAnsiTheme="minorBidi" w:cstheme="minorBidi"/>
                <w:b w:val="0"/>
                <w:bCs w:val="0"/>
                <w:sz w:val="18"/>
                <w:szCs w:val="18"/>
              </w:rPr>
            </w:pPr>
            <w:r w:rsidRPr="003838B2">
              <w:rPr>
                <w:rFonts w:hint="cs"/>
                <w:b w:val="0"/>
                <w:bCs w:val="0"/>
                <w:sz w:val="18"/>
                <w:szCs w:val="18"/>
                <w:rtl/>
              </w:rPr>
              <w:t>מזה: בגין מכשירי אשראי חוץ מאזניים</w:t>
            </w:r>
          </w:p>
        </w:tc>
        <w:tc>
          <w:tcPr>
            <w:tcW w:w="641" w:type="dxa"/>
            <w:vAlign w:val="bottom"/>
          </w:tcPr>
          <w:p w14:paraId="6D627234" w14:textId="77777777" w:rsidR="00C509CA" w:rsidRPr="002C0AFF" w:rsidRDefault="00C509CA" w:rsidP="00400DD1">
            <w:pPr>
              <w:pStyle w:val="-3"/>
              <w:rPr>
                <w:rFonts w:asciiTheme="minorBidi" w:hAnsiTheme="minorBidi" w:cstheme="minorBidi"/>
                <w:sz w:val="18"/>
                <w:szCs w:val="18"/>
                <w:rtl/>
              </w:rPr>
            </w:pPr>
            <w:r w:rsidRPr="002C0AFF">
              <w:rPr>
                <w:rFonts w:hint="cs"/>
                <w:sz w:val="18"/>
                <w:szCs w:val="18"/>
                <w:rtl/>
              </w:rPr>
              <w:t xml:space="preserve"> 0</w:t>
            </w:r>
          </w:p>
        </w:tc>
        <w:tc>
          <w:tcPr>
            <w:tcW w:w="709" w:type="dxa"/>
            <w:vAlign w:val="bottom"/>
          </w:tcPr>
          <w:p w14:paraId="74C41672" w14:textId="77777777" w:rsidR="00C509CA" w:rsidRPr="002C0AFF" w:rsidRDefault="00C509CA" w:rsidP="00400DD1">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567" w:type="dxa"/>
            <w:vAlign w:val="bottom"/>
          </w:tcPr>
          <w:p w14:paraId="219E0070" w14:textId="77777777" w:rsidR="00C509CA" w:rsidRPr="002C0AFF" w:rsidRDefault="00C509CA" w:rsidP="00400DD1">
            <w:pPr>
              <w:pStyle w:val="-3"/>
              <w:rPr>
                <w:rFonts w:asciiTheme="minorBidi" w:hAnsiTheme="minorBidi" w:cstheme="minorBidi"/>
                <w:sz w:val="18"/>
                <w:szCs w:val="18"/>
                <w:rtl/>
              </w:rPr>
            </w:pPr>
            <w:r w:rsidRPr="002C0AFF">
              <w:rPr>
                <w:rFonts w:asciiTheme="minorBidi" w:hAnsiTheme="minorBidi" w:cstheme="minorBidi" w:hint="cs"/>
                <w:sz w:val="18"/>
                <w:szCs w:val="18"/>
                <w:rtl/>
              </w:rPr>
              <w:t xml:space="preserve"> 0</w:t>
            </w:r>
          </w:p>
        </w:tc>
        <w:tc>
          <w:tcPr>
            <w:tcW w:w="641" w:type="dxa"/>
            <w:vAlign w:val="bottom"/>
          </w:tcPr>
          <w:p w14:paraId="45838741" w14:textId="77777777" w:rsidR="00C509CA" w:rsidRPr="002C0AFF" w:rsidRDefault="00C509CA" w:rsidP="00400DD1">
            <w:pPr>
              <w:pStyle w:val="-3"/>
              <w:rPr>
                <w:rFonts w:asciiTheme="minorBidi" w:hAnsiTheme="minorBidi" w:cstheme="minorBidi"/>
                <w:sz w:val="18"/>
                <w:szCs w:val="18"/>
                <w:rtl/>
              </w:rPr>
            </w:pPr>
            <w:r w:rsidRPr="002C0AFF">
              <w:rPr>
                <w:rFonts w:hint="cs"/>
                <w:sz w:val="18"/>
                <w:szCs w:val="18"/>
                <w:rtl/>
              </w:rPr>
              <w:t xml:space="preserve"> 0</w:t>
            </w:r>
          </w:p>
        </w:tc>
        <w:tc>
          <w:tcPr>
            <w:tcW w:w="1345" w:type="dxa"/>
            <w:vAlign w:val="bottom"/>
          </w:tcPr>
          <w:p w14:paraId="61E895CA" w14:textId="77777777" w:rsidR="00C509CA" w:rsidRPr="002C0AFF" w:rsidRDefault="00C509CA" w:rsidP="00400DD1">
            <w:pPr>
              <w:pStyle w:val="-3"/>
              <w:rPr>
                <w:sz w:val="18"/>
                <w:szCs w:val="18"/>
                <w:rtl/>
              </w:rPr>
            </w:pPr>
            <w:r w:rsidRPr="002C0AFF">
              <w:rPr>
                <w:rFonts w:hint="cs"/>
                <w:sz w:val="18"/>
                <w:szCs w:val="18"/>
                <w:rtl/>
              </w:rPr>
              <w:t xml:space="preserve"> 0</w:t>
            </w:r>
          </w:p>
        </w:tc>
        <w:tc>
          <w:tcPr>
            <w:tcW w:w="851" w:type="dxa"/>
            <w:vAlign w:val="bottom"/>
          </w:tcPr>
          <w:p w14:paraId="32C743AB" w14:textId="77777777" w:rsidR="00C509CA" w:rsidRPr="002C0AFF" w:rsidRDefault="00C509CA" w:rsidP="00400DD1">
            <w:pPr>
              <w:pStyle w:val="-3"/>
              <w:rPr>
                <w:rFonts w:asciiTheme="minorBidi" w:hAnsiTheme="minorBidi" w:cstheme="minorBidi"/>
                <w:b/>
                <w:bCs/>
                <w:sz w:val="18"/>
                <w:szCs w:val="18"/>
                <w:rtl/>
              </w:rPr>
            </w:pPr>
            <w:r w:rsidRPr="002C0AFF">
              <w:rPr>
                <w:rFonts w:hint="cs"/>
                <w:b/>
                <w:bCs/>
                <w:sz w:val="18"/>
                <w:szCs w:val="18"/>
                <w:rtl/>
              </w:rPr>
              <w:t xml:space="preserve"> 0</w:t>
            </w:r>
          </w:p>
        </w:tc>
      </w:tr>
    </w:tbl>
    <w:p w14:paraId="0319312F" w14:textId="166FDF1B" w:rsidR="00C509CA" w:rsidRDefault="00C509CA">
      <w:pPr>
        <w:rPr>
          <w:rtl/>
        </w:rPr>
      </w:pPr>
    </w:p>
    <w:p w14:paraId="0029C62E" w14:textId="77777777" w:rsidR="00364C31" w:rsidRDefault="00364C31">
      <w:pPr>
        <w:bidi w:val="0"/>
        <w:jc w:val="left"/>
        <w:sectPr w:rsidR="00364C31" w:rsidSect="00587121">
          <w:footnotePr>
            <w:numRestart w:val="eachPage"/>
          </w:footnotePr>
          <w:pgSz w:w="11909" w:h="16834" w:code="9"/>
          <w:pgMar w:top="851" w:right="851" w:bottom="851" w:left="851" w:header="720" w:footer="720" w:gutter="0"/>
          <w:cols w:space="720"/>
          <w:bidi/>
          <w:rtlGutter/>
          <w:docGrid w:linePitch="360"/>
        </w:sectPr>
      </w:pPr>
    </w:p>
    <w:tbl>
      <w:tblPr>
        <w:bidiVisual/>
        <w:tblW w:w="4944" w:type="pct"/>
        <w:tblLayout w:type="fixed"/>
        <w:tblLook w:val="04A0" w:firstRow="1" w:lastRow="0" w:firstColumn="1" w:lastColumn="0" w:noHBand="0" w:noVBand="1"/>
      </w:tblPr>
      <w:tblGrid>
        <w:gridCol w:w="1512"/>
        <w:gridCol w:w="340"/>
        <w:gridCol w:w="12861"/>
        <w:gridCol w:w="250"/>
      </w:tblGrid>
      <w:tr w:rsidR="00ED1AB8" w:rsidRPr="00543C25" w14:paraId="4C08DA58" w14:textId="77777777" w:rsidTr="00CB5D5C">
        <w:trPr>
          <w:trHeight w:hRule="exact" w:val="284"/>
        </w:trPr>
        <w:tc>
          <w:tcPr>
            <w:tcW w:w="1512" w:type="dxa"/>
          </w:tcPr>
          <w:p w14:paraId="2B2827D8" w14:textId="77777777" w:rsidR="00ED1AB8" w:rsidRDefault="00ED1AB8" w:rsidP="00CB5D5C">
            <w:pPr>
              <w:pStyle w:val="-fa"/>
              <w:spacing w:before="0" w:line="200" w:lineRule="exact"/>
              <w:ind w:right="-142"/>
              <w:rPr>
                <w:rtl/>
              </w:rPr>
            </w:pPr>
          </w:p>
        </w:tc>
        <w:tc>
          <w:tcPr>
            <w:tcW w:w="13451" w:type="dxa"/>
            <w:gridSpan w:val="3"/>
          </w:tcPr>
          <w:p w14:paraId="3E8D4124" w14:textId="77777777" w:rsidR="00ED1AB8" w:rsidRDefault="00ED1AB8" w:rsidP="00CB5D5C">
            <w:pPr>
              <w:pStyle w:val="-8"/>
              <w:rPr>
                <w:rtl/>
              </w:rPr>
            </w:pPr>
            <w:r w:rsidRPr="00CF2A74">
              <w:rPr>
                <w:rtl/>
              </w:rPr>
              <w:t xml:space="preserve">ביאור </w:t>
            </w:r>
            <w:r>
              <w:rPr>
                <w:rFonts w:hint="cs"/>
                <w:rtl/>
              </w:rPr>
              <w:t>12</w:t>
            </w:r>
            <w:r w:rsidRPr="00CF2A74">
              <w:rPr>
                <w:rtl/>
              </w:rPr>
              <w:t xml:space="preserve">  -  </w:t>
            </w:r>
            <w:r>
              <w:rPr>
                <w:rFonts w:hint="cs"/>
                <w:rtl/>
              </w:rPr>
              <w:t xml:space="preserve">מידע נוסף על </w:t>
            </w:r>
            <w:r w:rsidRPr="00CF2A74">
              <w:rPr>
                <w:rtl/>
              </w:rPr>
              <w:t>סיכון אשראי, אשראי לציבור והפרשה להפסדי אשראי</w:t>
            </w:r>
            <w:r>
              <w:rPr>
                <w:rFonts w:hint="cs"/>
                <w:rtl/>
              </w:rPr>
              <w:t xml:space="preserve"> (המשך):</w:t>
            </w:r>
          </w:p>
        </w:tc>
      </w:tr>
      <w:tr w:rsidR="00ED1AB8" w:rsidRPr="007363C7" w14:paraId="7766A486" w14:textId="77777777" w:rsidTr="00734BFE">
        <w:tblPrEx>
          <w:jc w:val="right"/>
          <w:tblLook w:val="0000" w:firstRow="0" w:lastRow="0" w:firstColumn="0" w:lastColumn="0" w:noHBand="0" w:noVBand="0"/>
        </w:tblPrEx>
        <w:trPr>
          <w:gridAfter w:val="1"/>
          <w:wAfter w:w="250" w:type="dxa"/>
          <w:trHeight w:hRule="exact" w:val="284"/>
          <w:jc w:val="right"/>
        </w:trPr>
        <w:tc>
          <w:tcPr>
            <w:tcW w:w="1512" w:type="dxa"/>
          </w:tcPr>
          <w:p w14:paraId="32B407AF" w14:textId="7D1D09E7" w:rsidR="00ED1AB8" w:rsidRDefault="00ED1AB8" w:rsidP="00022E73">
            <w:pPr>
              <w:pStyle w:val="-7"/>
              <w:spacing w:line="240" w:lineRule="auto"/>
              <w:rPr>
                <w:spacing w:val="-4"/>
                <w:rtl/>
              </w:rPr>
            </w:pPr>
            <w:r w:rsidRPr="00B44059">
              <w:rPr>
                <w:rFonts w:hint="eastAsia"/>
                <w:spacing w:val="-4"/>
                <w:sz w:val="14"/>
                <w:szCs w:val="14"/>
                <w:rtl/>
              </w:rPr>
              <w:t>מ</w:t>
            </w:r>
            <w:r w:rsidR="00022E73">
              <w:rPr>
                <w:rFonts w:hint="cs"/>
                <w:spacing w:val="-4"/>
                <w:sz w:val="14"/>
                <w:szCs w:val="14"/>
                <w:rtl/>
              </w:rPr>
              <w:t>.</w:t>
            </w:r>
            <w:r w:rsidRPr="00B44059">
              <w:rPr>
                <w:spacing w:val="-4"/>
                <w:sz w:val="14"/>
                <w:szCs w:val="14"/>
                <w:rtl/>
              </w:rPr>
              <w:t xml:space="preserve">ביאור </w:t>
            </w:r>
            <w:r w:rsidRPr="00B44059">
              <w:rPr>
                <w:rFonts w:hint="eastAsia"/>
                <w:spacing w:val="-4"/>
                <w:sz w:val="14"/>
                <w:szCs w:val="14"/>
                <w:rtl/>
              </w:rPr>
              <w:t>עמ</w:t>
            </w:r>
            <w:r w:rsidRPr="00B44059">
              <w:rPr>
                <w:spacing w:val="-4"/>
                <w:sz w:val="14"/>
                <w:szCs w:val="14"/>
                <w:rtl/>
              </w:rPr>
              <w:t>' 663-46</w:t>
            </w:r>
          </w:p>
        </w:tc>
        <w:tc>
          <w:tcPr>
            <w:tcW w:w="340" w:type="dxa"/>
            <w:vAlign w:val="center"/>
          </w:tcPr>
          <w:p w14:paraId="3F978AEF" w14:textId="77777777" w:rsidR="00ED1AB8" w:rsidRPr="009F6BDD" w:rsidRDefault="00ED1AB8" w:rsidP="00CB5D5C">
            <w:pPr>
              <w:pStyle w:val="-f4"/>
              <w:spacing w:before="0" w:after="0" w:line="240" w:lineRule="auto"/>
              <w:jc w:val="left"/>
              <w:rPr>
                <w:sz w:val="18"/>
                <w:szCs w:val="18"/>
                <w:rtl/>
              </w:rPr>
            </w:pPr>
            <w:r w:rsidRPr="009F6BDD">
              <w:rPr>
                <w:rFonts w:hint="cs"/>
                <w:sz w:val="18"/>
                <w:szCs w:val="18"/>
                <w:rtl/>
              </w:rPr>
              <w:t>ב.</w:t>
            </w:r>
          </w:p>
        </w:tc>
        <w:tc>
          <w:tcPr>
            <w:tcW w:w="12861" w:type="dxa"/>
            <w:vAlign w:val="center"/>
          </w:tcPr>
          <w:p w14:paraId="33B9BBCE" w14:textId="77777777" w:rsidR="00ED1AB8" w:rsidRPr="009F6BDD" w:rsidRDefault="00ED1AB8" w:rsidP="00CB5D5C">
            <w:pPr>
              <w:pStyle w:val="-f4"/>
              <w:spacing w:before="0" w:after="0" w:line="240" w:lineRule="auto"/>
              <w:jc w:val="left"/>
              <w:rPr>
                <w:sz w:val="18"/>
                <w:szCs w:val="18"/>
                <w:rtl/>
              </w:rPr>
            </w:pPr>
            <w:r w:rsidRPr="009F6BDD">
              <w:rPr>
                <w:rFonts w:hint="cs"/>
                <w:sz w:val="18"/>
                <w:szCs w:val="18"/>
                <w:rtl/>
              </w:rPr>
              <w:t>אשראי לציבור</w:t>
            </w:r>
          </w:p>
        </w:tc>
      </w:tr>
      <w:tr w:rsidR="00ED1AB8" w:rsidRPr="007363C7" w14:paraId="56567870" w14:textId="77777777" w:rsidTr="00734BFE">
        <w:tblPrEx>
          <w:jc w:val="right"/>
          <w:tblLook w:val="0000" w:firstRow="0" w:lastRow="0" w:firstColumn="0" w:lastColumn="0" w:noHBand="0" w:noVBand="0"/>
        </w:tblPrEx>
        <w:trPr>
          <w:gridAfter w:val="1"/>
          <w:wAfter w:w="250" w:type="dxa"/>
          <w:trHeight w:hRule="exact" w:val="284"/>
          <w:jc w:val="right"/>
        </w:trPr>
        <w:tc>
          <w:tcPr>
            <w:tcW w:w="1512" w:type="dxa"/>
          </w:tcPr>
          <w:p w14:paraId="37C2AEF4" w14:textId="77777777" w:rsidR="00ED1AB8" w:rsidRDefault="00ED1AB8" w:rsidP="00CB5D5C">
            <w:pPr>
              <w:pStyle w:val="-7"/>
              <w:spacing w:before="60" w:line="240" w:lineRule="auto"/>
              <w:rPr>
                <w:rtl/>
              </w:rPr>
            </w:pPr>
          </w:p>
        </w:tc>
        <w:tc>
          <w:tcPr>
            <w:tcW w:w="340" w:type="dxa"/>
          </w:tcPr>
          <w:p w14:paraId="42BE8D4C" w14:textId="77777777" w:rsidR="00ED1AB8" w:rsidRPr="009F6BDD" w:rsidRDefault="00ED1AB8" w:rsidP="00CB5D5C">
            <w:pPr>
              <w:pStyle w:val="-f4"/>
              <w:spacing w:before="0" w:after="0" w:line="240" w:lineRule="auto"/>
              <w:jc w:val="left"/>
              <w:rPr>
                <w:sz w:val="18"/>
                <w:szCs w:val="18"/>
                <w:rtl/>
              </w:rPr>
            </w:pPr>
          </w:p>
        </w:tc>
        <w:tc>
          <w:tcPr>
            <w:tcW w:w="12861" w:type="dxa"/>
          </w:tcPr>
          <w:p w14:paraId="233F8177" w14:textId="77777777" w:rsidR="00ED1AB8" w:rsidRPr="009F6BDD" w:rsidRDefault="00ED1AB8" w:rsidP="00734BFE">
            <w:pPr>
              <w:pStyle w:val="-13"/>
              <w:tabs>
                <w:tab w:val="clear" w:pos="446"/>
                <w:tab w:val="left" w:pos="193"/>
              </w:tabs>
              <w:spacing w:before="0" w:after="0" w:line="240" w:lineRule="auto"/>
              <w:rPr>
                <w:sz w:val="18"/>
                <w:szCs w:val="18"/>
                <w:rtl/>
              </w:rPr>
            </w:pPr>
            <w:r w:rsidRPr="009F6BDD">
              <w:rPr>
                <w:rFonts w:hint="cs"/>
                <w:b/>
                <w:bCs/>
                <w:sz w:val="18"/>
                <w:szCs w:val="18"/>
                <w:rtl/>
              </w:rPr>
              <w:t>1.</w:t>
            </w:r>
            <w:r w:rsidRPr="009F6BDD">
              <w:rPr>
                <w:b/>
                <w:bCs/>
                <w:sz w:val="18"/>
                <w:szCs w:val="18"/>
                <w:rtl/>
              </w:rPr>
              <w:tab/>
            </w:r>
            <w:r w:rsidRPr="009F6BDD">
              <w:rPr>
                <w:rFonts w:hint="cs"/>
                <w:b/>
                <w:bCs/>
                <w:sz w:val="18"/>
                <w:szCs w:val="18"/>
                <w:rtl/>
              </w:rPr>
              <w:t>איכות אשראי ופיגורים:</w:t>
            </w:r>
          </w:p>
        </w:tc>
      </w:tr>
    </w:tbl>
    <w:p w14:paraId="47E8781F" w14:textId="142D113A" w:rsidR="00CF2A74" w:rsidRDefault="00CF2A74" w:rsidP="00CF2A74">
      <w:pPr>
        <w:bidi w:val="0"/>
        <w:spacing w:line="60" w:lineRule="exact"/>
        <w:rPr>
          <w:rtl/>
        </w:rPr>
      </w:pPr>
    </w:p>
    <w:p w14:paraId="33127F01" w14:textId="3B379B0F" w:rsidR="00837759" w:rsidRDefault="00837759" w:rsidP="00167FDB">
      <w:pPr>
        <w:bidi w:val="0"/>
        <w:spacing w:line="20" w:lineRule="exact"/>
        <w:rPr>
          <w:rtl/>
        </w:rPr>
      </w:pPr>
    </w:p>
    <w:p w14:paraId="5F447207" w14:textId="35B3BC32" w:rsidR="00E447D7" w:rsidRDefault="00E447D7" w:rsidP="00E447D7">
      <w:pPr>
        <w:bidi w:val="0"/>
        <w:spacing w:line="60" w:lineRule="exact"/>
        <w:rPr>
          <w:rtl/>
        </w:rPr>
      </w:pPr>
    </w:p>
    <w:tbl>
      <w:tblPr>
        <w:tblpPr w:leftFromText="180" w:rightFromText="180" w:vertAnchor="text" w:tblpXSpec="right" w:tblpY="1"/>
        <w:tblOverlap w:val="never"/>
        <w:bidiVisual/>
        <w:tblW w:w="2016" w:type="pct"/>
        <w:tblLook w:val="01E0" w:firstRow="1" w:lastRow="1" w:firstColumn="1" w:lastColumn="1" w:noHBand="0" w:noVBand="0"/>
      </w:tblPr>
      <w:tblGrid>
        <w:gridCol w:w="1841"/>
        <w:gridCol w:w="691"/>
        <w:gridCol w:w="687"/>
        <w:gridCol w:w="816"/>
        <w:gridCol w:w="489"/>
        <w:gridCol w:w="868"/>
        <w:gridCol w:w="709"/>
      </w:tblGrid>
      <w:tr w:rsidR="00ED1AB8" w:rsidRPr="009831F6" w14:paraId="12ED2C72" w14:textId="77777777" w:rsidTr="00503A8A">
        <w:trPr>
          <w:trHeight w:val="259"/>
        </w:trPr>
        <w:tc>
          <w:tcPr>
            <w:tcW w:w="1509" w:type="pct"/>
            <w:vAlign w:val="bottom"/>
          </w:tcPr>
          <w:p w14:paraId="62AF585F" w14:textId="77777777" w:rsidR="00ED1AB8" w:rsidRPr="009831F6" w:rsidRDefault="00ED1AB8" w:rsidP="00CB5D5C">
            <w:pPr>
              <w:pStyle w:val="-0"/>
              <w:rPr>
                <w:rFonts w:asciiTheme="minorBidi" w:hAnsiTheme="minorBidi" w:cstheme="minorBidi"/>
                <w:sz w:val="17"/>
                <w:szCs w:val="17"/>
                <w:rtl/>
              </w:rPr>
            </w:pPr>
            <w:bookmarkStart w:id="40" w:name="_Hlk160531234"/>
          </w:p>
        </w:tc>
        <w:tc>
          <w:tcPr>
            <w:tcW w:w="3491" w:type="pct"/>
            <w:gridSpan w:val="6"/>
            <w:vAlign w:val="bottom"/>
          </w:tcPr>
          <w:p w14:paraId="7BDE1C36" w14:textId="77777777" w:rsidR="00ED1AB8" w:rsidRPr="009831F6" w:rsidRDefault="00ED1AB8" w:rsidP="00CB5D5C">
            <w:pPr>
              <w:pStyle w:val="-4"/>
              <w:rPr>
                <w:rFonts w:asciiTheme="minorBidi" w:hAnsiTheme="minorBidi" w:cstheme="minorBidi"/>
                <w:sz w:val="17"/>
                <w:szCs w:val="17"/>
                <w:rtl/>
              </w:rPr>
            </w:pPr>
            <w:r w:rsidRPr="009831F6">
              <w:rPr>
                <w:rFonts w:asciiTheme="minorBidi" w:hAnsiTheme="minorBidi" w:cstheme="minorBidi"/>
                <w:sz w:val="17"/>
                <w:szCs w:val="17"/>
                <w:rtl/>
              </w:rPr>
              <w:t xml:space="preserve">ליום 30 ביוני </w:t>
            </w:r>
            <w:r w:rsidRPr="009831F6">
              <w:rPr>
                <w:rFonts w:asciiTheme="minorBidi" w:hAnsiTheme="minorBidi" w:cstheme="minorBidi"/>
                <w:sz w:val="17"/>
                <w:szCs w:val="17"/>
                <w:rtl/>
              </w:rPr>
              <w:fldChar w:fldCharType="begin"/>
            </w:r>
            <w:r w:rsidRPr="009831F6">
              <w:rPr>
                <w:rFonts w:asciiTheme="minorBidi" w:hAnsiTheme="minorBidi" w:cstheme="minorBidi"/>
                <w:sz w:val="17"/>
                <w:szCs w:val="17"/>
                <w:rtl/>
              </w:rPr>
              <w:instrText xml:space="preserve"> = </w:instrText>
            </w:r>
            <w:r w:rsidRPr="009831F6">
              <w:rPr>
                <w:rFonts w:asciiTheme="minorBidi" w:hAnsiTheme="minorBidi" w:cstheme="minorBidi"/>
                <w:sz w:val="17"/>
                <w:szCs w:val="17"/>
              </w:rPr>
              <w:instrText>CY \* MERGEFORMAT</w:instrText>
            </w:r>
            <w:r w:rsidRPr="009831F6">
              <w:rPr>
                <w:rFonts w:asciiTheme="minorBidi" w:hAnsiTheme="minorBidi" w:cstheme="minorBidi"/>
                <w:sz w:val="17"/>
                <w:szCs w:val="17"/>
                <w:rtl/>
              </w:rPr>
              <w:instrText xml:space="preserve"> </w:instrText>
            </w:r>
            <w:r w:rsidRPr="009831F6">
              <w:rPr>
                <w:rFonts w:asciiTheme="minorBidi" w:hAnsiTheme="minorBidi" w:cstheme="minorBidi"/>
                <w:sz w:val="17"/>
                <w:szCs w:val="17"/>
                <w:rtl/>
              </w:rPr>
              <w:fldChar w:fldCharType="separate"/>
            </w:r>
            <w:r w:rsidRPr="009831F6">
              <w:rPr>
                <w:rFonts w:asciiTheme="minorBidi" w:hAnsiTheme="minorBidi" w:cstheme="minorBidi"/>
                <w:noProof/>
                <w:sz w:val="17"/>
                <w:szCs w:val="17"/>
                <w:rtl/>
              </w:rPr>
              <w:t>2024</w:t>
            </w:r>
            <w:r w:rsidRPr="009831F6">
              <w:rPr>
                <w:rFonts w:asciiTheme="minorBidi" w:hAnsiTheme="minorBidi" w:cstheme="minorBidi"/>
                <w:sz w:val="17"/>
                <w:szCs w:val="17"/>
                <w:rtl/>
              </w:rPr>
              <w:fldChar w:fldCharType="end"/>
            </w:r>
            <w:r w:rsidRPr="009831F6">
              <w:rPr>
                <w:rFonts w:asciiTheme="minorBidi" w:hAnsiTheme="minorBidi" w:cstheme="minorBidi"/>
                <w:sz w:val="17"/>
                <w:szCs w:val="17"/>
                <w:rtl/>
              </w:rPr>
              <w:t xml:space="preserve">  </w:t>
            </w:r>
            <w:r w:rsidRPr="009831F6">
              <w:rPr>
                <w:rFonts w:asciiTheme="minorBidi" w:hAnsiTheme="minorBidi" w:cstheme="minorBidi"/>
                <w:b w:val="0"/>
                <w:bCs w:val="0"/>
                <w:sz w:val="17"/>
                <w:szCs w:val="17"/>
                <w:rtl/>
              </w:rPr>
              <w:t>(בלתי מבוקר)</w:t>
            </w:r>
          </w:p>
        </w:tc>
      </w:tr>
      <w:tr w:rsidR="00ED1AB8" w:rsidRPr="009831F6" w14:paraId="39264954" w14:textId="77777777" w:rsidTr="00503A8A">
        <w:tc>
          <w:tcPr>
            <w:tcW w:w="1509" w:type="pct"/>
            <w:vAlign w:val="bottom"/>
          </w:tcPr>
          <w:p w14:paraId="2FCEC963" w14:textId="77777777" w:rsidR="00ED1AB8" w:rsidRPr="009831F6" w:rsidRDefault="00ED1AB8" w:rsidP="00CB5D5C">
            <w:pPr>
              <w:pStyle w:val="-0"/>
              <w:spacing w:line="240" w:lineRule="auto"/>
              <w:rPr>
                <w:rFonts w:asciiTheme="minorBidi" w:hAnsiTheme="minorBidi" w:cstheme="minorBidi"/>
                <w:sz w:val="17"/>
                <w:szCs w:val="17"/>
                <w:rtl/>
              </w:rPr>
            </w:pPr>
          </w:p>
        </w:tc>
        <w:tc>
          <w:tcPr>
            <w:tcW w:w="3491" w:type="pct"/>
            <w:gridSpan w:val="6"/>
            <w:vAlign w:val="bottom"/>
          </w:tcPr>
          <w:p w14:paraId="2B10A8BE" w14:textId="77777777" w:rsidR="00ED1AB8" w:rsidRPr="009831F6" w:rsidRDefault="00ED1AB8" w:rsidP="00CB5D5C">
            <w:pPr>
              <w:pStyle w:val="-4"/>
              <w:spacing w:line="240" w:lineRule="auto"/>
              <w:rPr>
                <w:rFonts w:asciiTheme="minorBidi" w:hAnsiTheme="minorBidi" w:cstheme="minorBidi"/>
                <w:sz w:val="17"/>
                <w:szCs w:val="17"/>
                <w:rtl/>
              </w:rPr>
            </w:pPr>
            <w:r w:rsidRPr="009831F6">
              <w:rPr>
                <w:rFonts w:asciiTheme="minorBidi" w:hAnsiTheme="minorBidi" w:cstheme="minorBidi"/>
                <w:sz w:val="17"/>
                <w:szCs w:val="17"/>
                <w:rtl/>
              </w:rPr>
              <w:t>יתרת חוב רשומה</w:t>
            </w:r>
          </w:p>
        </w:tc>
      </w:tr>
      <w:tr w:rsidR="00ED1AB8" w:rsidRPr="009831F6" w14:paraId="174BC488" w14:textId="77777777" w:rsidTr="00503A8A">
        <w:trPr>
          <w:trHeight w:val="224"/>
        </w:trPr>
        <w:tc>
          <w:tcPr>
            <w:tcW w:w="1509" w:type="pct"/>
            <w:vAlign w:val="bottom"/>
          </w:tcPr>
          <w:p w14:paraId="0CD80039" w14:textId="77777777" w:rsidR="00ED1AB8" w:rsidRPr="009831F6" w:rsidRDefault="00ED1AB8" w:rsidP="00CB5D5C">
            <w:pPr>
              <w:pStyle w:val="-0"/>
              <w:rPr>
                <w:rFonts w:asciiTheme="minorBidi" w:hAnsiTheme="minorBidi" w:cstheme="minorBidi"/>
                <w:sz w:val="17"/>
                <w:szCs w:val="17"/>
                <w:rtl/>
              </w:rPr>
            </w:pPr>
          </w:p>
        </w:tc>
        <w:tc>
          <w:tcPr>
            <w:tcW w:w="566" w:type="pct"/>
            <w:vMerge w:val="restart"/>
            <w:vAlign w:val="bottom"/>
          </w:tcPr>
          <w:p w14:paraId="558D42FA" w14:textId="77777777" w:rsidR="00ED1AB8" w:rsidRPr="009831F6" w:rsidRDefault="00ED1AB8" w:rsidP="00CB5D5C">
            <w:pPr>
              <w:pStyle w:val="-4"/>
              <w:pBdr>
                <w:bottom w:val="single" w:sz="4" w:space="1" w:color="auto"/>
              </w:pBdr>
              <w:rPr>
                <w:rFonts w:asciiTheme="minorBidi" w:hAnsiTheme="minorBidi" w:cstheme="minorBidi"/>
                <w:sz w:val="17"/>
                <w:szCs w:val="17"/>
                <w:rtl/>
              </w:rPr>
            </w:pPr>
            <w:r w:rsidRPr="009831F6">
              <w:rPr>
                <w:rFonts w:asciiTheme="minorBidi" w:hAnsiTheme="minorBidi" w:cstheme="minorBidi"/>
                <w:sz w:val="17"/>
                <w:szCs w:val="17"/>
                <w:rtl/>
              </w:rPr>
              <w:t>תקינים</w:t>
            </w:r>
          </w:p>
        </w:tc>
        <w:tc>
          <w:tcPr>
            <w:tcW w:w="1232" w:type="pct"/>
            <w:gridSpan w:val="2"/>
            <w:vAlign w:val="bottom"/>
          </w:tcPr>
          <w:p w14:paraId="274F5A79" w14:textId="77777777" w:rsidR="00ED1AB8" w:rsidRPr="009831F6" w:rsidRDefault="00ED1AB8" w:rsidP="00CB5D5C">
            <w:pPr>
              <w:pStyle w:val="-4"/>
              <w:pBdr>
                <w:bottom w:val="single" w:sz="4" w:space="1" w:color="auto"/>
              </w:pBdr>
              <w:rPr>
                <w:rFonts w:asciiTheme="minorBidi" w:hAnsiTheme="minorBidi" w:cstheme="minorBidi"/>
                <w:sz w:val="17"/>
                <w:szCs w:val="17"/>
                <w:rtl/>
              </w:rPr>
            </w:pPr>
            <w:r w:rsidRPr="009831F6">
              <w:rPr>
                <w:rFonts w:asciiTheme="minorBidi" w:hAnsiTheme="minorBidi" w:cstheme="minorBidi"/>
                <w:sz w:val="17"/>
                <w:szCs w:val="17"/>
                <w:rtl/>
              </w:rPr>
              <w:t>בעייתיים</w:t>
            </w:r>
            <w:r w:rsidRPr="009831F6">
              <w:rPr>
                <w:rFonts w:asciiTheme="minorBidi" w:hAnsiTheme="minorBidi" w:cstheme="minorBidi"/>
                <w:b w:val="0"/>
                <w:bCs w:val="0"/>
                <w:sz w:val="17"/>
                <w:szCs w:val="17"/>
                <w:vertAlign w:val="superscript"/>
                <w:rtl/>
              </w:rPr>
              <w:t>(א)</w:t>
            </w:r>
          </w:p>
        </w:tc>
        <w:tc>
          <w:tcPr>
            <w:tcW w:w="401" w:type="pct"/>
            <w:vMerge w:val="restart"/>
            <w:tcBorders>
              <w:left w:val="nil"/>
            </w:tcBorders>
            <w:vAlign w:val="bottom"/>
          </w:tcPr>
          <w:p w14:paraId="2A4E8BC8" w14:textId="77777777" w:rsidR="00ED1AB8" w:rsidRPr="009831F6" w:rsidRDefault="00ED1AB8" w:rsidP="00CB5D5C">
            <w:pPr>
              <w:pStyle w:val="-4"/>
              <w:rPr>
                <w:rFonts w:asciiTheme="minorBidi" w:hAnsiTheme="minorBidi" w:cstheme="minorBidi"/>
                <w:sz w:val="17"/>
                <w:szCs w:val="17"/>
                <w:rtl/>
              </w:rPr>
            </w:pPr>
            <w:r w:rsidRPr="009831F6">
              <w:rPr>
                <w:rFonts w:asciiTheme="minorBidi" w:hAnsiTheme="minorBidi" w:cstheme="minorBidi"/>
                <w:sz w:val="17"/>
                <w:szCs w:val="17"/>
                <w:rtl/>
              </w:rPr>
              <w:t>סך הכל</w:t>
            </w:r>
          </w:p>
        </w:tc>
        <w:tc>
          <w:tcPr>
            <w:tcW w:w="1292" w:type="pct"/>
            <w:gridSpan w:val="2"/>
          </w:tcPr>
          <w:p w14:paraId="2255377F" w14:textId="77777777" w:rsidR="00ED1AB8" w:rsidRPr="009831F6" w:rsidRDefault="00ED1AB8" w:rsidP="00CB5D5C">
            <w:pPr>
              <w:pStyle w:val="-4"/>
              <w:spacing w:line="192" w:lineRule="auto"/>
              <w:rPr>
                <w:rFonts w:asciiTheme="minorBidi" w:hAnsiTheme="minorBidi" w:cstheme="minorBidi"/>
                <w:sz w:val="17"/>
                <w:szCs w:val="17"/>
                <w:rtl/>
              </w:rPr>
            </w:pPr>
            <w:r w:rsidRPr="009831F6">
              <w:rPr>
                <w:rFonts w:asciiTheme="minorBidi" w:hAnsiTheme="minorBidi" w:cstheme="minorBidi"/>
                <w:sz w:val="17"/>
                <w:szCs w:val="17"/>
                <w:rtl/>
              </w:rPr>
              <w:t>חובות צוברים</w:t>
            </w:r>
          </w:p>
          <w:p w14:paraId="3A3ED3AF" w14:textId="77777777" w:rsidR="00ED1AB8" w:rsidRPr="009831F6" w:rsidRDefault="00ED1AB8" w:rsidP="00CB5D5C">
            <w:pPr>
              <w:pStyle w:val="-4"/>
              <w:spacing w:line="192" w:lineRule="auto"/>
              <w:rPr>
                <w:rFonts w:asciiTheme="minorBidi" w:hAnsiTheme="minorBidi" w:cstheme="minorBidi"/>
                <w:sz w:val="17"/>
                <w:szCs w:val="17"/>
                <w:rtl/>
              </w:rPr>
            </w:pPr>
            <w:r w:rsidRPr="009831F6">
              <w:rPr>
                <w:rFonts w:asciiTheme="minorBidi" w:hAnsiTheme="minorBidi" w:cstheme="minorBidi"/>
                <w:sz w:val="17"/>
                <w:szCs w:val="17"/>
                <w:rtl/>
              </w:rPr>
              <w:t>- ימי פיגור</w:t>
            </w:r>
          </w:p>
        </w:tc>
      </w:tr>
      <w:tr w:rsidR="00ED1AB8" w:rsidRPr="009831F6" w14:paraId="6DA94E37" w14:textId="77777777" w:rsidTr="00503A8A">
        <w:trPr>
          <w:trHeight w:val="355"/>
        </w:trPr>
        <w:tc>
          <w:tcPr>
            <w:tcW w:w="1509" w:type="pct"/>
            <w:vAlign w:val="bottom"/>
          </w:tcPr>
          <w:p w14:paraId="50BF54B8" w14:textId="77777777" w:rsidR="00ED1AB8" w:rsidRPr="009831F6" w:rsidRDefault="00ED1AB8" w:rsidP="00CB5D5C">
            <w:pPr>
              <w:pStyle w:val="-0"/>
              <w:rPr>
                <w:rFonts w:asciiTheme="minorBidi" w:hAnsiTheme="minorBidi" w:cstheme="minorBidi"/>
                <w:sz w:val="17"/>
                <w:szCs w:val="17"/>
                <w:rtl/>
              </w:rPr>
            </w:pPr>
          </w:p>
        </w:tc>
        <w:tc>
          <w:tcPr>
            <w:tcW w:w="566" w:type="pct"/>
            <w:vMerge/>
            <w:vAlign w:val="bottom"/>
          </w:tcPr>
          <w:p w14:paraId="57220357" w14:textId="77777777" w:rsidR="00ED1AB8" w:rsidRPr="009831F6" w:rsidRDefault="00ED1AB8" w:rsidP="00CB5D5C">
            <w:pPr>
              <w:pStyle w:val="-4"/>
              <w:rPr>
                <w:rFonts w:asciiTheme="minorBidi" w:hAnsiTheme="minorBidi" w:cstheme="minorBidi"/>
                <w:sz w:val="17"/>
                <w:szCs w:val="17"/>
                <w:rtl/>
              </w:rPr>
            </w:pPr>
          </w:p>
        </w:tc>
        <w:tc>
          <w:tcPr>
            <w:tcW w:w="563" w:type="pct"/>
            <w:vAlign w:val="bottom"/>
          </w:tcPr>
          <w:p w14:paraId="4EE6FB0B" w14:textId="77777777" w:rsidR="00ED1AB8" w:rsidRPr="009831F6" w:rsidRDefault="00ED1AB8" w:rsidP="00CB5D5C">
            <w:pPr>
              <w:pStyle w:val="-4"/>
              <w:pBdr>
                <w:bottom w:val="single" w:sz="4" w:space="1" w:color="auto"/>
              </w:pBdr>
              <w:rPr>
                <w:rFonts w:asciiTheme="minorBidi" w:hAnsiTheme="minorBidi" w:cstheme="minorBidi"/>
                <w:sz w:val="17"/>
                <w:szCs w:val="17"/>
                <w:rtl/>
              </w:rPr>
            </w:pPr>
            <w:r w:rsidRPr="009831F6">
              <w:rPr>
                <w:rFonts w:asciiTheme="minorBidi" w:hAnsiTheme="minorBidi" w:cstheme="minorBidi"/>
                <w:sz w:val="17"/>
                <w:szCs w:val="17"/>
                <w:rtl/>
              </w:rPr>
              <w:t>צוברים</w:t>
            </w:r>
          </w:p>
        </w:tc>
        <w:tc>
          <w:tcPr>
            <w:tcW w:w="669" w:type="pct"/>
            <w:vAlign w:val="bottom"/>
          </w:tcPr>
          <w:p w14:paraId="0E39B80E" w14:textId="77777777" w:rsidR="00ED1AB8" w:rsidRPr="009831F6" w:rsidRDefault="00ED1AB8" w:rsidP="00CB5D5C">
            <w:pPr>
              <w:pStyle w:val="-4"/>
              <w:pBdr>
                <w:bottom w:val="single" w:sz="4" w:space="1" w:color="auto"/>
              </w:pBdr>
              <w:rPr>
                <w:rFonts w:asciiTheme="minorBidi" w:hAnsiTheme="minorBidi" w:cstheme="minorBidi"/>
                <w:sz w:val="17"/>
                <w:szCs w:val="17"/>
                <w:rtl/>
              </w:rPr>
            </w:pPr>
            <w:r w:rsidRPr="009831F6">
              <w:rPr>
                <w:rFonts w:asciiTheme="minorBidi" w:hAnsiTheme="minorBidi" w:cstheme="minorBidi"/>
                <w:sz w:val="17"/>
                <w:szCs w:val="17"/>
                <w:rtl/>
              </w:rPr>
              <w:t>לא צוברים</w:t>
            </w:r>
            <w:r w:rsidRPr="009831F6">
              <w:rPr>
                <w:rFonts w:asciiTheme="minorBidi" w:hAnsiTheme="minorBidi" w:cstheme="minorBidi"/>
                <w:b w:val="0"/>
                <w:bCs w:val="0"/>
                <w:sz w:val="17"/>
                <w:szCs w:val="17"/>
                <w:vertAlign w:val="superscript"/>
                <w:rtl/>
              </w:rPr>
              <w:t>(ד)</w:t>
            </w:r>
          </w:p>
        </w:tc>
        <w:tc>
          <w:tcPr>
            <w:tcW w:w="401" w:type="pct"/>
            <w:vMerge/>
            <w:tcBorders>
              <w:left w:val="nil"/>
            </w:tcBorders>
            <w:vAlign w:val="bottom"/>
          </w:tcPr>
          <w:p w14:paraId="5756A981" w14:textId="77777777" w:rsidR="00ED1AB8" w:rsidRPr="009831F6" w:rsidRDefault="00ED1AB8" w:rsidP="00CB5D5C">
            <w:pPr>
              <w:pStyle w:val="-4"/>
              <w:rPr>
                <w:rFonts w:asciiTheme="minorBidi" w:hAnsiTheme="minorBidi" w:cstheme="minorBidi"/>
                <w:sz w:val="17"/>
                <w:szCs w:val="17"/>
                <w:rtl/>
              </w:rPr>
            </w:pPr>
          </w:p>
        </w:tc>
        <w:tc>
          <w:tcPr>
            <w:tcW w:w="711" w:type="pct"/>
            <w:vAlign w:val="bottom"/>
          </w:tcPr>
          <w:p w14:paraId="32B1B173" w14:textId="77777777" w:rsidR="00ED1AB8" w:rsidRPr="009831F6" w:rsidRDefault="00ED1AB8" w:rsidP="00CB5D5C">
            <w:pPr>
              <w:jc w:val="center"/>
              <w:rPr>
                <w:rFonts w:asciiTheme="minorBidi" w:hAnsiTheme="minorBidi" w:cstheme="minorBidi"/>
                <w:b/>
                <w:bCs/>
                <w:sz w:val="17"/>
                <w:szCs w:val="17"/>
                <w:rtl/>
              </w:rPr>
            </w:pPr>
            <w:r w:rsidRPr="009831F6">
              <w:rPr>
                <w:rFonts w:asciiTheme="minorBidi" w:hAnsiTheme="minorBidi" w:cstheme="minorBidi"/>
                <w:b/>
                <w:bCs/>
                <w:sz w:val="17"/>
                <w:szCs w:val="17"/>
                <w:rtl/>
              </w:rPr>
              <w:t xml:space="preserve">90 </w:t>
            </w:r>
            <w:r w:rsidRPr="009831F6">
              <w:rPr>
                <w:rFonts w:asciiTheme="minorBidi" w:hAnsiTheme="minorBidi" w:cstheme="minorBidi"/>
                <w:sz w:val="17"/>
                <w:szCs w:val="17"/>
                <w:vertAlign w:val="superscript"/>
                <w:rtl/>
              </w:rPr>
              <w:t>[</w:t>
            </w:r>
            <w:r w:rsidRPr="009831F6">
              <w:rPr>
                <w:rStyle w:val="a7"/>
                <w:rFonts w:asciiTheme="minorBidi" w:hAnsiTheme="minorBidi" w:cstheme="minorBidi"/>
                <w:sz w:val="17"/>
                <w:szCs w:val="17"/>
                <w:rtl/>
              </w:rPr>
              <w:footnoteReference w:id="103"/>
            </w:r>
            <w:r w:rsidRPr="009831F6">
              <w:rPr>
                <w:rFonts w:asciiTheme="minorBidi" w:hAnsiTheme="minorBidi" w:cstheme="minorBidi"/>
                <w:sz w:val="17"/>
                <w:szCs w:val="17"/>
                <w:vertAlign w:val="superscript"/>
                <w:rtl/>
              </w:rPr>
              <w:t>]</w:t>
            </w:r>
          </w:p>
          <w:p w14:paraId="65F15EB8" w14:textId="77777777" w:rsidR="00ED1AB8" w:rsidRPr="009831F6" w:rsidRDefault="00ED1AB8" w:rsidP="00CB5D5C">
            <w:pPr>
              <w:pStyle w:val="-4"/>
              <w:rPr>
                <w:rFonts w:asciiTheme="minorBidi" w:hAnsiTheme="minorBidi" w:cstheme="minorBidi"/>
                <w:sz w:val="17"/>
                <w:szCs w:val="17"/>
                <w:rtl/>
              </w:rPr>
            </w:pPr>
            <w:r w:rsidRPr="009831F6">
              <w:rPr>
                <w:rFonts w:asciiTheme="minorBidi" w:hAnsiTheme="minorBidi" w:cstheme="minorBidi"/>
                <w:sz w:val="17"/>
                <w:szCs w:val="17"/>
                <w:rtl/>
              </w:rPr>
              <w:t>או יותר</w:t>
            </w:r>
            <w:r w:rsidRPr="009831F6">
              <w:rPr>
                <w:rFonts w:asciiTheme="minorBidi" w:hAnsiTheme="minorBidi" w:cstheme="minorBidi"/>
                <w:b w:val="0"/>
                <w:bCs w:val="0"/>
                <w:sz w:val="17"/>
                <w:szCs w:val="17"/>
                <w:vertAlign w:val="superscript"/>
                <w:rtl/>
              </w:rPr>
              <w:t>(ב)</w:t>
            </w:r>
          </w:p>
        </w:tc>
        <w:tc>
          <w:tcPr>
            <w:tcW w:w="581" w:type="pct"/>
            <w:vAlign w:val="bottom"/>
          </w:tcPr>
          <w:p w14:paraId="77CB9FCB" w14:textId="77777777" w:rsidR="00ED1AB8" w:rsidRPr="009831F6" w:rsidRDefault="00ED1AB8" w:rsidP="00CB5D5C">
            <w:pPr>
              <w:jc w:val="center"/>
              <w:rPr>
                <w:rFonts w:asciiTheme="minorBidi" w:hAnsiTheme="minorBidi" w:cstheme="minorBidi"/>
                <w:b/>
                <w:bCs/>
                <w:sz w:val="17"/>
                <w:szCs w:val="17"/>
                <w:rtl/>
              </w:rPr>
            </w:pPr>
            <w:r w:rsidRPr="009831F6">
              <w:rPr>
                <w:rFonts w:asciiTheme="minorBidi" w:hAnsiTheme="minorBidi" w:cstheme="minorBidi"/>
                <w:b/>
                <w:bCs/>
                <w:sz w:val="17"/>
                <w:szCs w:val="17"/>
                <w:rtl/>
              </w:rPr>
              <w:t>30 ועד</w:t>
            </w:r>
          </w:p>
          <w:p w14:paraId="59BE1E9D" w14:textId="77777777" w:rsidR="00ED1AB8" w:rsidRPr="009831F6" w:rsidRDefault="00ED1AB8" w:rsidP="00CB5D5C">
            <w:pPr>
              <w:pStyle w:val="-4"/>
              <w:rPr>
                <w:rFonts w:asciiTheme="minorBidi" w:hAnsiTheme="minorBidi" w:cstheme="minorBidi"/>
                <w:sz w:val="17"/>
                <w:szCs w:val="17"/>
                <w:rtl/>
              </w:rPr>
            </w:pPr>
            <w:r w:rsidRPr="009831F6">
              <w:rPr>
                <w:rFonts w:asciiTheme="minorBidi" w:hAnsiTheme="minorBidi" w:cstheme="minorBidi"/>
                <w:sz w:val="17"/>
                <w:szCs w:val="17"/>
                <w:rtl/>
              </w:rPr>
              <w:t xml:space="preserve">89 </w:t>
            </w:r>
            <w:r w:rsidRPr="009831F6">
              <w:rPr>
                <w:rFonts w:asciiTheme="minorBidi" w:hAnsiTheme="minorBidi" w:cstheme="minorBidi" w:hint="cs"/>
                <w:b w:val="0"/>
                <w:bCs w:val="0"/>
                <w:sz w:val="17"/>
                <w:szCs w:val="17"/>
                <w:vertAlign w:val="superscript"/>
                <w:rtl/>
              </w:rPr>
              <w:t>(</w:t>
            </w:r>
            <w:r w:rsidRPr="009831F6">
              <w:rPr>
                <w:rFonts w:asciiTheme="minorBidi" w:hAnsiTheme="minorBidi" w:cstheme="minorBidi"/>
                <w:b w:val="0"/>
                <w:bCs w:val="0"/>
                <w:sz w:val="17"/>
                <w:szCs w:val="17"/>
                <w:vertAlign w:val="superscript"/>
                <w:rtl/>
              </w:rPr>
              <w:t>ג)</w:t>
            </w:r>
          </w:p>
        </w:tc>
      </w:tr>
      <w:tr w:rsidR="00ED1AB8" w:rsidRPr="009831F6" w14:paraId="50C02F5B" w14:textId="77777777" w:rsidTr="00503A8A">
        <w:trPr>
          <w:trHeight w:val="259"/>
        </w:trPr>
        <w:tc>
          <w:tcPr>
            <w:tcW w:w="1509" w:type="pct"/>
            <w:vAlign w:val="bottom"/>
          </w:tcPr>
          <w:p w14:paraId="132A8460" w14:textId="77777777" w:rsidR="00ED1AB8" w:rsidRPr="009831F6" w:rsidRDefault="00ED1AB8" w:rsidP="00CB5D5C">
            <w:pPr>
              <w:pStyle w:val="-f"/>
              <w:spacing w:line="192" w:lineRule="auto"/>
              <w:rPr>
                <w:rFonts w:asciiTheme="minorBidi" w:hAnsiTheme="minorBidi" w:cstheme="minorBidi"/>
                <w:sz w:val="17"/>
                <w:szCs w:val="17"/>
                <w:rtl/>
              </w:rPr>
            </w:pPr>
            <w:r w:rsidRPr="009831F6">
              <w:rPr>
                <w:rFonts w:asciiTheme="minorBidi" w:hAnsiTheme="minorBidi" w:cstheme="minorBidi"/>
                <w:sz w:val="17"/>
                <w:szCs w:val="17"/>
                <w:rtl/>
              </w:rPr>
              <w:t>פעילות לווים בישראל</w:t>
            </w:r>
          </w:p>
        </w:tc>
        <w:tc>
          <w:tcPr>
            <w:tcW w:w="566" w:type="pct"/>
            <w:vAlign w:val="bottom"/>
          </w:tcPr>
          <w:p w14:paraId="61251C08" w14:textId="77777777" w:rsidR="00ED1AB8" w:rsidRPr="009831F6" w:rsidRDefault="00ED1AB8" w:rsidP="00CB5D5C">
            <w:pPr>
              <w:pStyle w:val="-3"/>
              <w:spacing w:line="192" w:lineRule="auto"/>
              <w:rPr>
                <w:rFonts w:asciiTheme="minorBidi" w:hAnsiTheme="minorBidi" w:cstheme="minorBidi"/>
                <w:sz w:val="17"/>
                <w:szCs w:val="17"/>
                <w:rtl/>
              </w:rPr>
            </w:pPr>
          </w:p>
        </w:tc>
        <w:tc>
          <w:tcPr>
            <w:tcW w:w="563" w:type="pct"/>
            <w:vAlign w:val="bottom"/>
          </w:tcPr>
          <w:p w14:paraId="67B151D8" w14:textId="77777777" w:rsidR="00ED1AB8" w:rsidRPr="009831F6" w:rsidRDefault="00ED1AB8" w:rsidP="00CB5D5C">
            <w:pPr>
              <w:pStyle w:val="-3"/>
              <w:spacing w:line="192" w:lineRule="auto"/>
              <w:rPr>
                <w:rFonts w:asciiTheme="minorBidi" w:hAnsiTheme="minorBidi" w:cstheme="minorBidi"/>
                <w:sz w:val="17"/>
                <w:szCs w:val="17"/>
                <w:rtl/>
              </w:rPr>
            </w:pPr>
          </w:p>
        </w:tc>
        <w:tc>
          <w:tcPr>
            <w:tcW w:w="669" w:type="pct"/>
            <w:vAlign w:val="bottom"/>
          </w:tcPr>
          <w:p w14:paraId="189DBDBD" w14:textId="77777777" w:rsidR="00ED1AB8" w:rsidRPr="009831F6" w:rsidRDefault="00ED1AB8" w:rsidP="00CB5D5C">
            <w:pPr>
              <w:pStyle w:val="-3"/>
              <w:spacing w:line="192" w:lineRule="auto"/>
              <w:rPr>
                <w:rFonts w:asciiTheme="minorBidi" w:hAnsiTheme="minorBidi" w:cstheme="minorBidi"/>
                <w:sz w:val="17"/>
                <w:szCs w:val="17"/>
                <w:rtl/>
              </w:rPr>
            </w:pPr>
          </w:p>
        </w:tc>
        <w:tc>
          <w:tcPr>
            <w:tcW w:w="401" w:type="pct"/>
            <w:vAlign w:val="bottom"/>
          </w:tcPr>
          <w:p w14:paraId="7684AF35" w14:textId="77777777" w:rsidR="00ED1AB8" w:rsidRPr="009831F6" w:rsidRDefault="00ED1AB8" w:rsidP="00CB5D5C">
            <w:pPr>
              <w:pStyle w:val="-3"/>
              <w:spacing w:line="192" w:lineRule="auto"/>
              <w:rPr>
                <w:rFonts w:asciiTheme="minorBidi" w:hAnsiTheme="minorBidi" w:cstheme="minorBidi"/>
                <w:sz w:val="17"/>
                <w:szCs w:val="17"/>
                <w:rtl/>
              </w:rPr>
            </w:pPr>
          </w:p>
        </w:tc>
        <w:tc>
          <w:tcPr>
            <w:tcW w:w="711" w:type="pct"/>
            <w:vAlign w:val="bottom"/>
          </w:tcPr>
          <w:p w14:paraId="5B428342" w14:textId="77777777" w:rsidR="00ED1AB8" w:rsidRPr="009831F6" w:rsidRDefault="00ED1AB8" w:rsidP="00CB5D5C">
            <w:pPr>
              <w:pStyle w:val="-3"/>
              <w:spacing w:line="192" w:lineRule="auto"/>
              <w:rPr>
                <w:rFonts w:asciiTheme="minorBidi" w:hAnsiTheme="minorBidi" w:cstheme="minorBidi"/>
                <w:sz w:val="17"/>
                <w:szCs w:val="17"/>
                <w:rtl/>
              </w:rPr>
            </w:pPr>
          </w:p>
        </w:tc>
        <w:tc>
          <w:tcPr>
            <w:tcW w:w="581" w:type="pct"/>
            <w:vAlign w:val="bottom"/>
          </w:tcPr>
          <w:p w14:paraId="21B25052" w14:textId="77777777" w:rsidR="00ED1AB8" w:rsidRPr="009831F6" w:rsidRDefault="00ED1AB8" w:rsidP="00CB5D5C">
            <w:pPr>
              <w:pStyle w:val="-3"/>
              <w:spacing w:line="192" w:lineRule="auto"/>
              <w:rPr>
                <w:rFonts w:asciiTheme="minorBidi" w:hAnsiTheme="minorBidi" w:cstheme="minorBidi"/>
                <w:sz w:val="17"/>
                <w:szCs w:val="17"/>
                <w:rtl/>
              </w:rPr>
            </w:pPr>
          </w:p>
        </w:tc>
      </w:tr>
      <w:tr w:rsidR="00ED1AB8" w:rsidRPr="009831F6" w14:paraId="6E5D8AAE" w14:textId="77777777" w:rsidTr="00503A8A">
        <w:trPr>
          <w:trHeight w:val="227"/>
        </w:trPr>
        <w:tc>
          <w:tcPr>
            <w:tcW w:w="1509" w:type="pct"/>
            <w:vAlign w:val="bottom"/>
          </w:tcPr>
          <w:p w14:paraId="77E5A087" w14:textId="77777777" w:rsidR="00ED1AB8" w:rsidRPr="009831F6" w:rsidRDefault="00ED1AB8" w:rsidP="00CB5D5C">
            <w:pPr>
              <w:pStyle w:val="-0"/>
              <w:spacing w:line="192" w:lineRule="auto"/>
              <w:ind w:left="0" w:firstLine="0"/>
              <w:rPr>
                <w:rFonts w:asciiTheme="minorBidi" w:hAnsiTheme="minorBidi" w:cstheme="minorBidi"/>
                <w:b/>
                <w:bCs/>
                <w:sz w:val="17"/>
                <w:szCs w:val="17"/>
              </w:rPr>
            </w:pPr>
            <w:r w:rsidRPr="009831F6">
              <w:rPr>
                <w:rFonts w:asciiTheme="minorBidi" w:hAnsiTheme="minorBidi" w:cstheme="minorBidi"/>
                <w:b/>
                <w:bCs/>
                <w:sz w:val="17"/>
                <w:szCs w:val="17"/>
                <w:u w:val="single"/>
                <w:rtl/>
              </w:rPr>
              <w:t>ציבור - מסחרי בישראל</w:t>
            </w:r>
            <w:r w:rsidRPr="009831F6">
              <w:rPr>
                <w:rFonts w:asciiTheme="minorBidi" w:hAnsiTheme="minorBidi" w:cstheme="minorBidi"/>
                <w:b/>
                <w:bCs/>
                <w:sz w:val="17"/>
                <w:szCs w:val="17"/>
                <w:rtl/>
              </w:rPr>
              <w:t xml:space="preserve">: </w:t>
            </w:r>
          </w:p>
        </w:tc>
        <w:tc>
          <w:tcPr>
            <w:tcW w:w="566" w:type="pct"/>
            <w:vAlign w:val="bottom"/>
          </w:tcPr>
          <w:p w14:paraId="3F4C5F84" w14:textId="77777777" w:rsidR="00ED1AB8" w:rsidRPr="009831F6" w:rsidRDefault="00ED1AB8" w:rsidP="00CB5D5C">
            <w:pPr>
              <w:pStyle w:val="-3"/>
              <w:spacing w:line="192" w:lineRule="auto"/>
              <w:rPr>
                <w:rFonts w:asciiTheme="minorBidi" w:hAnsiTheme="minorBidi" w:cstheme="minorBidi"/>
                <w:sz w:val="17"/>
                <w:szCs w:val="17"/>
                <w:rtl/>
              </w:rPr>
            </w:pPr>
          </w:p>
        </w:tc>
        <w:tc>
          <w:tcPr>
            <w:tcW w:w="563" w:type="pct"/>
            <w:vAlign w:val="bottom"/>
          </w:tcPr>
          <w:p w14:paraId="6FF92A2F" w14:textId="77777777" w:rsidR="00ED1AB8" w:rsidRPr="009831F6" w:rsidRDefault="00ED1AB8" w:rsidP="00CB5D5C">
            <w:pPr>
              <w:pStyle w:val="-3"/>
              <w:spacing w:line="192" w:lineRule="auto"/>
              <w:rPr>
                <w:rFonts w:asciiTheme="minorBidi" w:hAnsiTheme="minorBidi" w:cstheme="minorBidi"/>
                <w:sz w:val="17"/>
                <w:szCs w:val="17"/>
                <w:rtl/>
              </w:rPr>
            </w:pPr>
          </w:p>
        </w:tc>
        <w:tc>
          <w:tcPr>
            <w:tcW w:w="669" w:type="pct"/>
            <w:vAlign w:val="bottom"/>
          </w:tcPr>
          <w:p w14:paraId="44D4481B" w14:textId="77777777" w:rsidR="00ED1AB8" w:rsidRPr="009831F6" w:rsidRDefault="00ED1AB8" w:rsidP="00CB5D5C">
            <w:pPr>
              <w:pStyle w:val="-3"/>
              <w:spacing w:line="192" w:lineRule="auto"/>
              <w:rPr>
                <w:rFonts w:asciiTheme="minorBidi" w:hAnsiTheme="minorBidi" w:cstheme="minorBidi"/>
                <w:sz w:val="17"/>
                <w:szCs w:val="17"/>
                <w:rtl/>
              </w:rPr>
            </w:pPr>
          </w:p>
        </w:tc>
        <w:tc>
          <w:tcPr>
            <w:tcW w:w="401" w:type="pct"/>
            <w:vAlign w:val="bottom"/>
          </w:tcPr>
          <w:p w14:paraId="1EDF178A" w14:textId="77777777" w:rsidR="00ED1AB8" w:rsidRPr="009831F6" w:rsidRDefault="00ED1AB8" w:rsidP="00CB5D5C">
            <w:pPr>
              <w:pStyle w:val="-3"/>
              <w:spacing w:line="192" w:lineRule="auto"/>
              <w:rPr>
                <w:rFonts w:asciiTheme="minorBidi" w:hAnsiTheme="minorBidi" w:cstheme="minorBidi"/>
                <w:sz w:val="17"/>
                <w:szCs w:val="17"/>
                <w:rtl/>
              </w:rPr>
            </w:pPr>
          </w:p>
        </w:tc>
        <w:tc>
          <w:tcPr>
            <w:tcW w:w="711" w:type="pct"/>
            <w:vAlign w:val="bottom"/>
          </w:tcPr>
          <w:p w14:paraId="6F96D9E7" w14:textId="77777777" w:rsidR="00ED1AB8" w:rsidRPr="009831F6" w:rsidRDefault="00ED1AB8" w:rsidP="00CB5D5C">
            <w:pPr>
              <w:pStyle w:val="-3"/>
              <w:spacing w:line="192" w:lineRule="auto"/>
              <w:rPr>
                <w:rFonts w:asciiTheme="minorBidi" w:hAnsiTheme="minorBidi" w:cstheme="minorBidi"/>
                <w:sz w:val="17"/>
                <w:szCs w:val="17"/>
                <w:rtl/>
              </w:rPr>
            </w:pPr>
          </w:p>
        </w:tc>
        <w:tc>
          <w:tcPr>
            <w:tcW w:w="581" w:type="pct"/>
            <w:vAlign w:val="bottom"/>
          </w:tcPr>
          <w:p w14:paraId="09326BC8" w14:textId="77777777" w:rsidR="00ED1AB8" w:rsidRPr="009831F6" w:rsidRDefault="00ED1AB8" w:rsidP="00CB5D5C">
            <w:pPr>
              <w:pStyle w:val="-3"/>
              <w:spacing w:line="192" w:lineRule="auto"/>
              <w:rPr>
                <w:rFonts w:asciiTheme="minorBidi" w:hAnsiTheme="minorBidi" w:cstheme="minorBidi"/>
                <w:sz w:val="17"/>
                <w:szCs w:val="17"/>
                <w:rtl/>
              </w:rPr>
            </w:pPr>
          </w:p>
        </w:tc>
      </w:tr>
      <w:tr w:rsidR="00ED1AB8" w:rsidRPr="009831F6" w14:paraId="3C2A40C2" w14:textId="77777777" w:rsidTr="00503A8A">
        <w:trPr>
          <w:trHeight w:val="227"/>
        </w:trPr>
        <w:tc>
          <w:tcPr>
            <w:tcW w:w="1509" w:type="pct"/>
            <w:vAlign w:val="bottom"/>
          </w:tcPr>
          <w:p w14:paraId="159E29CD" w14:textId="77777777" w:rsidR="00ED1AB8" w:rsidRPr="009831F6" w:rsidRDefault="00ED1AB8" w:rsidP="00503A8A">
            <w:pPr>
              <w:pStyle w:val="-0"/>
              <w:spacing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בינוי ונדל"ן - בינוי</w:t>
            </w:r>
          </w:p>
        </w:tc>
        <w:tc>
          <w:tcPr>
            <w:tcW w:w="566" w:type="pct"/>
            <w:vAlign w:val="bottom"/>
          </w:tcPr>
          <w:p w14:paraId="6FB66939"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63" w:type="pct"/>
            <w:vAlign w:val="bottom"/>
          </w:tcPr>
          <w:p w14:paraId="43EFA20C"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669" w:type="pct"/>
            <w:vAlign w:val="bottom"/>
          </w:tcPr>
          <w:p w14:paraId="5B288764"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401" w:type="pct"/>
            <w:vAlign w:val="bottom"/>
          </w:tcPr>
          <w:p w14:paraId="3CDEE9C9"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711" w:type="pct"/>
            <w:vAlign w:val="bottom"/>
          </w:tcPr>
          <w:p w14:paraId="4EBB916B"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81" w:type="pct"/>
            <w:vAlign w:val="bottom"/>
          </w:tcPr>
          <w:p w14:paraId="0CC6A811"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ED1AB8" w:rsidRPr="009831F6" w14:paraId="51C3270D" w14:textId="77777777" w:rsidTr="00503A8A">
        <w:trPr>
          <w:trHeight w:val="306"/>
        </w:trPr>
        <w:tc>
          <w:tcPr>
            <w:tcW w:w="1509" w:type="pct"/>
            <w:vAlign w:val="bottom"/>
          </w:tcPr>
          <w:p w14:paraId="3C032F3D" w14:textId="77777777" w:rsidR="00ED1AB8" w:rsidRPr="009831F6" w:rsidRDefault="00ED1AB8" w:rsidP="00503A8A">
            <w:pPr>
              <w:pStyle w:val="-0"/>
              <w:spacing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בינוי ונדל"ן - פעילויות בנדל"ן</w:t>
            </w:r>
          </w:p>
        </w:tc>
        <w:tc>
          <w:tcPr>
            <w:tcW w:w="566" w:type="pct"/>
            <w:vAlign w:val="bottom"/>
          </w:tcPr>
          <w:p w14:paraId="61380C0D"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63" w:type="pct"/>
            <w:vAlign w:val="bottom"/>
          </w:tcPr>
          <w:p w14:paraId="3E334735"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669" w:type="pct"/>
            <w:vAlign w:val="bottom"/>
          </w:tcPr>
          <w:p w14:paraId="503F9917"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401" w:type="pct"/>
            <w:vAlign w:val="bottom"/>
          </w:tcPr>
          <w:p w14:paraId="32E0E338"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711" w:type="pct"/>
            <w:vAlign w:val="bottom"/>
          </w:tcPr>
          <w:p w14:paraId="7879A957"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81" w:type="pct"/>
            <w:vAlign w:val="bottom"/>
          </w:tcPr>
          <w:p w14:paraId="6E62722D"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ED1AB8" w:rsidRPr="009831F6" w14:paraId="64E1F818" w14:textId="77777777" w:rsidTr="00503A8A">
        <w:trPr>
          <w:trHeight w:val="227"/>
        </w:trPr>
        <w:tc>
          <w:tcPr>
            <w:tcW w:w="1509" w:type="pct"/>
            <w:vAlign w:val="bottom"/>
          </w:tcPr>
          <w:p w14:paraId="46BDFD8E" w14:textId="77777777" w:rsidR="00ED1AB8" w:rsidRPr="009831F6" w:rsidRDefault="00ED1AB8" w:rsidP="00503A8A">
            <w:pPr>
              <w:pStyle w:val="-0"/>
              <w:spacing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שירותים פיננסיים</w:t>
            </w:r>
          </w:p>
        </w:tc>
        <w:tc>
          <w:tcPr>
            <w:tcW w:w="566" w:type="pct"/>
            <w:vAlign w:val="bottom"/>
          </w:tcPr>
          <w:p w14:paraId="01B516A4"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63" w:type="pct"/>
            <w:vAlign w:val="bottom"/>
          </w:tcPr>
          <w:p w14:paraId="1B325431"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669" w:type="pct"/>
            <w:vAlign w:val="bottom"/>
          </w:tcPr>
          <w:p w14:paraId="74D4A1A2"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401" w:type="pct"/>
            <w:vAlign w:val="bottom"/>
          </w:tcPr>
          <w:p w14:paraId="1C49BFC9"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711" w:type="pct"/>
            <w:vAlign w:val="bottom"/>
          </w:tcPr>
          <w:p w14:paraId="544F4647"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81" w:type="pct"/>
            <w:vAlign w:val="bottom"/>
          </w:tcPr>
          <w:p w14:paraId="0047FDD8"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ED1AB8" w:rsidRPr="009831F6" w14:paraId="57125691" w14:textId="77777777" w:rsidTr="00503A8A">
        <w:trPr>
          <w:trHeight w:val="227"/>
        </w:trPr>
        <w:tc>
          <w:tcPr>
            <w:tcW w:w="1509" w:type="pct"/>
            <w:vAlign w:val="bottom"/>
          </w:tcPr>
          <w:p w14:paraId="4BF7AC80" w14:textId="77777777" w:rsidR="00ED1AB8" w:rsidRPr="009831F6" w:rsidRDefault="00ED1AB8" w:rsidP="00503A8A">
            <w:pPr>
              <w:pStyle w:val="-0"/>
              <w:spacing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מסחרי - אחר</w:t>
            </w:r>
          </w:p>
        </w:tc>
        <w:tc>
          <w:tcPr>
            <w:tcW w:w="566" w:type="pct"/>
            <w:vAlign w:val="bottom"/>
          </w:tcPr>
          <w:p w14:paraId="77A1956B" w14:textId="77777777" w:rsidR="00ED1AB8" w:rsidRPr="009831F6" w:rsidRDefault="00ED1AB8"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63" w:type="pct"/>
            <w:vAlign w:val="bottom"/>
          </w:tcPr>
          <w:p w14:paraId="0CEE31CB" w14:textId="77777777" w:rsidR="00ED1AB8" w:rsidRPr="009831F6" w:rsidRDefault="00ED1AB8"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669" w:type="pct"/>
            <w:vAlign w:val="bottom"/>
          </w:tcPr>
          <w:p w14:paraId="28F8FF68" w14:textId="77777777" w:rsidR="00ED1AB8" w:rsidRPr="009831F6" w:rsidRDefault="00ED1AB8"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401" w:type="pct"/>
            <w:vAlign w:val="bottom"/>
          </w:tcPr>
          <w:p w14:paraId="736AF745" w14:textId="77777777" w:rsidR="00ED1AB8" w:rsidRPr="009831F6" w:rsidRDefault="00ED1AB8"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711" w:type="pct"/>
            <w:vAlign w:val="bottom"/>
          </w:tcPr>
          <w:p w14:paraId="699CFEA3" w14:textId="77777777" w:rsidR="00ED1AB8" w:rsidRPr="009831F6" w:rsidRDefault="00ED1AB8"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81" w:type="pct"/>
            <w:vAlign w:val="bottom"/>
          </w:tcPr>
          <w:p w14:paraId="46E194B2" w14:textId="77777777" w:rsidR="00ED1AB8" w:rsidRPr="009831F6" w:rsidRDefault="00ED1AB8"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ED1AB8" w:rsidRPr="009831F6" w14:paraId="087A82E5" w14:textId="77777777" w:rsidTr="00503A8A">
        <w:trPr>
          <w:trHeight w:val="249"/>
        </w:trPr>
        <w:tc>
          <w:tcPr>
            <w:tcW w:w="1509" w:type="pct"/>
            <w:vAlign w:val="bottom"/>
          </w:tcPr>
          <w:p w14:paraId="758FD3B6" w14:textId="77777777" w:rsidR="00ED1AB8" w:rsidRPr="009831F6" w:rsidRDefault="00ED1AB8" w:rsidP="00503A8A">
            <w:pPr>
              <w:pStyle w:val="-0"/>
              <w:spacing w:line="240" w:lineRule="auto"/>
              <w:ind w:left="0" w:firstLine="0"/>
              <w:rPr>
                <w:rFonts w:asciiTheme="minorBidi" w:hAnsiTheme="minorBidi" w:cstheme="minorBidi"/>
                <w:b/>
                <w:bCs/>
                <w:sz w:val="17"/>
                <w:szCs w:val="17"/>
              </w:rPr>
            </w:pPr>
            <w:r w:rsidRPr="009831F6">
              <w:rPr>
                <w:rFonts w:asciiTheme="minorBidi" w:hAnsiTheme="minorBidi" w:cstheme="minorBidi"/>
                <w:b/>
                <w:bCs/>
                <w:sz w:val="17"/>
                <w:szCs w:val="17"/>
                <w:rtl/>
              </w:rPr>
              <w:t>סך הכל מסחרי</w:t>
            </w:r>
          </w:p>
        </w:tc>
        <w:tc>
          <w:tcPr>
            <w:tcW w:w="566" w:type="pct"/>
            <w:vAlign w:val="bottom"/>
          </w:tcPr>
          <w:p w14:paraId="29B9E18F" w14:textId="77777777" w:rsidR="00ED1AB8" w:rsidRPr="009831F6" w:rsidRDefault="00ED1AB8"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63" w:type="pct"/>
            <w:vAlign w:val="bottom"/>
          </w:tcPr>
          <w:p w14:paraId="5B0EE8EA" w14:textId="77777777" w:rsidR="00ED1AB8" w:rsidRPr="009831F6" w:rsidRDefault="00ED1AB8"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669" w:type="pct"/>
            <w:vAlign w:val="bottom"/>
          </w:tcPr>
          <w:p w14:paraId="660A3B29" w14:textId="77777777" w:rsidR="00ED1AB8" w:rsidRPr="009831F6" w:rsidRDefault="00ED1AB8"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401" w:type="pct"/>
            <w:vAlign w:val="bottom"/>
          </w:tcPr>
          <w:p w14:paraId="318C9226" w14:textId="77777777" w:rsidR="00ED1AB8" w:rsidRPr="009831F6" w:rsidRDefault="00ED1AB8"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711" w:type="pct"/>
            <w:vAlign w:val="bottom"/>
          </w:tcPr>
          <w:p w14:paraId="78CF981D" w14:textId="77777777" w:rsidR="00ED1AB8" w:rsidRPr="009831F6" w:rsidRDefault="00ED1AB8"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81" w:type="pct"/>
            <w:vAlign w:val="bottom"/>
          </w:tcPr>
          <w:p w14:paraId="4F0B8858" w14:textId="77777777" w:rsidR="00ED1AB8" w:rsidRPr="009831F6" w:rsidRDefault="00ED1AB8"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r>
      <w:tr w:rsidR="00ED1AB8" w:rsidRPr="009831F6" w14:paraId="67C6A983" w14:textId="77777777" w:rsidTr="00503A8A">
        <w:trPr>
          <w:trHeight w:val="329"/>
        </w:trPr>
        <w:tc>
          <w:tcPr>
            <w:tcW w:w="1509" w:type="pct"/>
            <w:vAlign w:val="bottom"/>
          </w:tcPr>
          <w:p w14:paraId="5EFC4662" w14:textId="77777777" w:rsidR="00ED1AB8" w:rsidRPr="009831F6" w:rsidRDefault="00ED1AB8" w:rsidP="00503A8A">
            <w:pPr>
              <w:pStyle w:val="-21"/>
              <w:spacing w:before="0" w:line="240" w:lineRule="auto"/>
              <w:ind w:left="0" w:firstLine="0"/>
              <w:rPr>
                <w:rFonts w:asciiTheme="minorBidi" w:hAnsiTheme="minorBidi" w:cstheme="minorBidi"/>
                <w:b/>
                <w:bCs/>
                <w:sz w:val="17"/>
                <w:szCs w:val="17"/>
              </w:rPr>
            </w:pPr>
            <w:r w:rsidRPr="009831F6">
              <w:rPr>
                <w:rFonts w:asciiTheme="minorBidi" w:hAnsiTheme="minorBidi" w:cstheme="minorBidi"/>
                <w:b/>
                <w:bCs/>
                <w:sz w:val="17"/>
                <w:szCs w:val="17"/>
                <w:rtl/>
              </w:rPr>
              <w:t>אנשים פרטיים - הלוואות לדיור</w:t>
            </w:r>
          </w:p>
        </w:tc>
        <w:tc>
          <w:tcPr>
            <w:tcW w:w="566" w:type="pct"/>
            <w:vAlign w:val="bottom"/>
          </w:tcPr>
          <w:p w14:paraId="0F250A7A" w14:textId="77777777" w:rsidR="00ED1AB8" w:rsidRPr="009831F6" w:rsidRDefault="00ED1AB8"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63" w:type="pct"/>
            <w:vAlign w:val="bottom"/>
          </w:tcPr>
          <w:p w14:paraId="1B0F9AE0" w14:textId="77777777" w:rsidR="00ED1AB8" w:rsidRPr="009831F6" w:rsidRDefault="00ED1AB8"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669" w:type="pct"/>
            <w:vAlign w:val="bottom"/>
          </w:tcPr>
          <w:p w14:paraId="40B551D3" w14:textId="77777777" w:rsidR="00ED1AB8" w:rsidRPr="009831F6" w:rsidRDefault="00ED1AB8"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401" w:type="pct"/>
            <w:vAlign w:val="bottom"/>
          </w:tcPr>
          <w:p w14:paraId="0710EC50" w14:textId="77777777" w:rsidR="00ED1AB8" w:rsidRPr="009831F6" w:rsidRDefault="00ED1AB8"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711" w:type="pct"/>
            <w:vAlign w:val="bottom"/>
          </w:tcPr>
          <w:p w14:paraId="2F4678AE" w14:textId="77777777" w:rsidR="00ED1AB8" w:rsidRPr="009831F6" w:rsidRDefault="00ED1AB8"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81" w:type="pct"/>
            <w:vAlign w:val="bottom"/>
          </w:tcPr>
          <w:p w14:paraId="3D9066DB" w14:textId="77777777" w:rsidR="00ED1AB8" w:rsidRPr="009831F6" w:rsidRDefault="00ED1AB8"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r>
      <w:tr w:rsidR="00ED1AB8" w:rsidRPr="009831F6" w14:paraId="034770B7" w14:textId="77777777" w:rsidTr="00503A8A">
        <w:trPr>
          <w:trHeight w:val="227"/>
        </w:trPr>
        <w:tc>
          <w:tcPr>
            <w:tcW w:w="1509" w:type="pct"/>
            <w:vAlign w:val="bottom"/>
          </w:tcPr>
          <w:p w14:paraId="4B61EB25" w14:textId="77777777" w:rsidR="00ED1AB8" w:rsidRPr="009831F6" w:rsidRDefault="00ED1AB8" w:rsidP="00503A8A">
            <w:pPr>
              <w:pStyle w:val="-0"/>
              <w:spacing w:line="240" w:lineRule="auto"/>
              <w:ind w:left="0" w:firstLine="0"/>
              <w:rPr>
                <w:rFonts w:asciiTheme="minorBidi" w:hAnsiTheme="minorBidi" w:cstheme="minorBidi"/>
                <w:b/>
                <w:bCs/>
                <w:sz w:val="17"/>
                <w:szCs w:val="17"/>
              </w:rPr>
            </w:pPr>
            <w:r w:rsidRPr="009831F6">
              <w:rPr>
                <w:rFonts w:asciiTheme="minorBidi" w:hAnsiTheme="minorBidi" w:cstheme="minorBidi"/>
                <w:b/>
                <w:bCs/>
                <w:sz w:val="17"/>
                <w:szCs w:val="17"/>
                <w:rtl/>
              </w:rPr>
              <w:t>אנשים פרטיים - אחר</w:t>
            </w:r>
          </w:p>
        </w:tc>
        <w:tc>
          <w:tcPr>
            <w:tcW w:w="566" w:type="pct"/>
            <w:vAlign w:val="bottom"/>
          </w:tcPr>
          <w:p w14:paraId="0686BB25" w14:textId="77777777" w:rsidR="00ED1AB8" w:rsidRPr="009831F6" w:rsidRDefault="00ED1AB8"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63" w:type="pct"/>
            <w:vAlign w:val="bottom"/>
          </w:tcPr>
          <w:p w14:paraId="79C61F9A" w14:textId="77777777" w:rsidR="00ED1AB8" w:rsidRPr="009831F6" w:rsidRDefault="00ED1AB8"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669" w:type="pct"/>
            <w:vAlign w:val="bottom"/>
          </w:tcPr>
          <w:p w14:paraId="40B75ABF" w14:textId="77777777" w:rsidR="00ED1AB8" w:rsidRPr="009831F6" w:rsidRDefault="00ED1AB8"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401" w:type="pct"/>
            <w:vAlign w:val="bottom"/>
          </w:tcPr>
          <w:p w14:paraId="55211858" w14:textId="77777777" w:rsidR="00ED1AB8" w:rsidRPr="009831F6" w:rsidRDefault="00ED1AB8"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711" w:type="pct"/>
            <w:vAlign w:val="bottom"/>
          </w:tcPr>
          <w:p w14:paraId="71AFC254" w14:textId="77777777" w:rsidR="00ED1AB8" w:rsidRPr="009831F6" w:rsidRDefault="00ED1AB8"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81" w:type="pct"/>
            <w:vAlign w:val="bottom"/>
          </w:tcPr>
          <w:p w14:paraId="7EBF12F6" w14:textId="77777777" w:rsidR="00ED1AB8" w:rsidRPr="009831F6" w:rsidRDefault="00ED1AB8"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r>
      <w:tr w:rsidR="00ED1AB8" w:rsidRPr="009831F6" w14:paraId="270F83C8" w14:textId="77777777" w:rsidTr="00503A8A">
        <w:trPr>
          <w:trHeight w:val="249"/>
        </w:trPr>
        <w:tc>
          <w:tcPr>
            <w:tcW w:w="1509" w:type="pct"/>
            <w:vAlign w:val="bottom"/>
          </w:tcPr>
          <w:p w14:paraId="66BBCE02" w14:textId="77777777" w:rsidR="00ED1AB8" w:rsidRPr="009831F6" w:rsidRDefault="00ED1AB8" w:rsidP="00503A8A">
            <w:pPr>
              <w:pStyle w:val="-21"/>
              <w:spacing w:line="240" w:lineRule="auto"/>
              <w:ind w:left="0" w:firstLine="0"/>
              <w:rPr>
                <w:rFonts w:asciiTheme="minorBidi" w:hAnsiTheme="minorBidi" w:cstheme="minorBidi"/>
                <w:b/>
                <w:bCs/>
                <w:sz w:val="17"/>
                <w:szCs w:val="17"/>
                <w:rtl/>
              </w:rPr>
            </w:pPr>
            <w:r w:rsidRPr="009831F6">
              <w:rPr>
                <w:rFonts w:asciiTheme="minorBidi" w:hAnsiTheme="minorBidi" w:cstheme="minorBidi"/>
                <w:b/>
                <w:bCs/>
                <w:sz w:val="17"/>
                <w:szCs w:val="17"/>
                <w:rtl/>
              </w:rPr>
              <w:t xml:space="preserve">סך הכל </w:t>
            </w:r>
          </w:p>
        </w:tc>
        <w:tc>
          <w:tcPr>
            <w:tcW w:w="566" w:type="pct"/>
            <w:vAlign w:val="bottom"/>
          </w:tcPr>
          <w:p w14:paraId="4DDAFF0A" w14:textId="77777777" w:rsidR="00ED1AB8" w:rsidRPr="009831F6" w:rsidRDefault="00ED1AB8"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63" w:type="pct"/>
            <w:vAlign w:val="bottom"/>
          </w:tcPr>
          <w:p w14:paraId="65770B15" w14:textId="77777777" w:rsidR="00ED1AB8" w:rsidRPr="009831F6" w:rsidRDefault="00ED1AB8"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669" w:type="pct"/>
            <w:vAlign w:val="bottom"/>
          </w:tcPr>
          <w:p w14:paraId="22F1066A" w14:textId="77777777" w:rsidR="00ED1AB8" w:rsidRPr="009831F6" w:rsidRDefault="00ED1AB8"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401" w:type="pct"/>
            <w:vAlign w:val="bottom"/>
          </w:tcPr>
          <w:p w14:paraId="138FC58F" w14:textId="77777777" w:rsidR="00ED1AB8" w:rsidRPr="009831F6" w:rsidRDefault="00ED1AB8"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711" w:type="pct"/>
            <w:vAlign w:val="bottom"/>
          </w:tcPr>
          <w:p w14:paraId="0D9AC982" w14:textId="77777777" w:rsidR="00ED1AB8" w:rsidRPr="009831F6" w:rsidRDefault="00ED1AB8"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81" w:type="pct"/>
            <w:vAlign w:val="bottom"/>
          </w:tcPr>
          <w:p w14:paraId="06312971" w14:textId="77777777" w:rsidR="00ED1AB8" w:rsidRPr="009831F6" w:rsidRDefault="00ED1AB8"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ED1AB8" w:rsidRPr="009831F6" w14:paraId="4DF3066F" w14:textId="77777777" w:rsidTr="00503A8A">
        <w:trPr>
          <w:trHeight w:hRule="exact" w:val="79"/>
        </w:trPr>
        <w:tc>
          <w:tcPr>
            <w:tcW w:w="1509" w:type="pct"/>
            <w:vAlign w:val="bottom"/>
          </w:tcPr>
          <w:p w14:paraId="193F5E2F" w14:textId="77777777" w:rsidR="00ED1AB8" w:rsidRPr="009831F6" w:rsidRDefault="00ED1AB8" w:rsidP="00503A8A">
            <w:pPr>
              <w:pStyle w:val="-21"/>
              <w:spacing w:before="0" w:line="240" w:lineRule="auto"/>
              <w:ind w:left="0" w:firstLine="0"/>
              <w:rPr>
                <w:rFonts w:asciiTheme="minorBidi" w:hAnsiTheme="minorBidi" w:cstheme="minorBidi"/>
                <w:sz w:val="17"/>
                <w:szCs w:val="17"/>
                <w:rtl/>
              </w:rPr>
            </w:pPr>
          </w:p>
        </w:tc>
        <w:tc>
          <w:tcPr>
            <w:tcW w:w="566" w:type="pct"/>
            <w:vAlign w:val="bottom"/>
          </w:tcPr>
          <w:p w14:paraId="2F0CF257" w14:textId="77777777" w:rsidR="00ED1AB8" w:rsidRPr="009831F6" w:rsidRDefault="00ED1AB8" w:rsidP="00503A8A">
            <w:pPr>
              <w:pStyle w:val="-12"/>
              <w:pBdr>
                <w:top w:val="none" w:sz="0" w:space="0" w:color="auto"/>
              </w:pBdr>
              <w:spacing w:line="240" w:lineRule="auto"/>
              <w:jc w:val="center"/>
              <w:rPr>
                <w:rFonts w:asciiTheme="minorBidi" w:hAnsiTheme="minorBidi" w:cstheme="minorBidi"/>
                <w:sz w:val="17"/>
                <w:szCs w:val="17"/>
                <w:rtl/>
              </w:rPr>
            </w:pPr>
          </w:p>
        </w:tc>
        <w:tc>
          <w:tcPr>
            <w:tcW w:w="563" w:type="pct"/>
            <w:vAlign w:val="bottom"/>
          </w:tcPr>
          <w:p w14:paraId="1EB9AF1A" w14:textId="77777777" w:rsidR="00ED1AB8" w:rsidRPr="009831F6" w:rsidRDefault="00ED1AB8" w:rsidP="00503A8A">
            <w:pPr>
              <w:pStyle w:val="-12"/>
              <w:pBdr>
                <w:top w:val="none" w:sz="0" w:space="0" w:color="auto"/>
              </w:pBdr>
              <w:spacing w:line="240" w:lineRule="auto"/>
              <w:jc w:val="center"/>
              <w:rPr>
                <w:rFonts w:asciiTheme="minorBidi" w:hAnsiTheme="minorBidi" w:cstheme="minorBidi"/>
                <w:sz w:val="17"/>
                <w:szCs w:val="17"/>
                <w:rtl/>
              </w:rPr>
            </w:pPr>
          </w:p>
        </w:tc>
        <w:tc>
          <w:tcPr>
            <w:tcW w:w="669" w:type="pct"/>
            <w:vAlign w:val="bottom"/>
          </w:tcPr>
          <w:p w14:paraId="547F3476" w14:textId="77777777" w:rsidR="00ED1AB8" w:rsidRPr="009831F6" w:rsidRDefault="00ED1AB8" w:rsidP="00503A8A">
            <w:pPr>
              <w:pStyle w:val="-12"/>
              <w:pBdr>
                <w:top w:val="none" w:sz="0" w:space="0" w:color="auto"/>
              </w:pBdr>
              <w:spacing w:line="240" w:lineRule="auto"/>
              <w:jc w:val="center"/>
              <w:rPr>
                <w:rFonts w:asciiTheme="minorBidi" w:hAnsiTheme="minorBidi" w:cstheme="minorBidi"/>
                <w:sz w:val="17"/>
                <w:szCs w:val="17"/>
                <w:rtl/>
              </w:rPr>
            </w:pPr>
          </w:p>
        </w:tc>
        <w:tc>
          <w:tcPr>
            <w:tcW w:w="401" w:type="pct"/>
            <w:vAlign w:val="bottom"/>
          </w:tcPr>
          <w:p w14:paraId="2F0C7FAA" w14:textId="77777777" w:rsidR="00ED1AB8" w:rsidRPr="009831F6" w:rsidRDefault="00ED1AB8" w:rsidP="00503A8A">
            <w:pPr>
              <w:pStyle w:val="-12"/>
              <w:pBdr>
                <w:top w:val="none" w:sz="0" w:space="0" w:color="auto"/>
              </w:pBdr>
              <w:spacing w:line="240" w:lineRule="auto"/>
              <w:jc w:val="center"/>
              <w:rPr>
                <w:rFonts w:asciiTheme="minorBidi" w:hAnsiTheme="minorBidi" w:cstheme="minorBidi"/>
                <w:b/>
                <w:bCs/>
                <w:sz w:val="17"/>
                <w:szCs w:val="17"/>
                <w:rtl/>
              </w:rPr>
            </w:pPr>
          </w:p>
        </w:tc>
        <w:tc>
          <w:tcPr>
            <w:tcW w:w="711" w:type="pct"/>
            <w:vAlign w:val="bottom"/>
          </w:tcPr>
          <w:p w14:paraId="0D8A6CB6" w14:textId="77777777" w:rsidR="00ED1AB8" w:rsidRPr="009831F6" w:rsidRDefault="00ED1AB8" w:rsidP="00503A8A">
            <w:pPr>
              <w:pStyle w:val="-12"/>
              <w:pBdr>
                <w:top w:val="none" w:sz="0" w:space="0" w:color="auto"/>
              </w:pBdr>
              <w:spacing w:line="240" w:lineRule="auto"/>
              <w:jc w:val="center"/>
              <w:rPr>
                <w:rFonts w:asciiTheme="minorBidi" w:hAnsiTheme="minorBidi" w:cstheme="minorBidi"/>
                <w:sz w:val="17"/>
                <w:szCs w:val="17"/>
                <w:rtl/>
              </w:rPr>
            </w:pPr>
          </w:p>
        </w:tc>
        <w:tc>
          <w:tcPr>
            <w:tcW w:w="581" w:type="pct"/>
            <w:vAlign w:val="bottom"/>
          </w:tcPr>
          <w:p w14:paraId="12792E54" w14:textId="77777777" w:rsidR="00ED1AB8" w:rsidRPr="009831F6" w:rsidRDefault="00ED1AB8" w:rsidP="00503A8A">
            <w:pPr>
              <w:pStyle w:val="-12"/>
              <w:pBdr>
                <w:top w:val="none" w:sz="0" w:space="0" w:color="auto"/>
              </w:pBdr>
              <w:spacing w:line="240" w:lineRule="auto"/>
              <w:jc w:val="center"/>
              <w:rPr>
                <w:rFonts w:asciiTheme="minorBidi" w:hAnsiTheme="minorBidi" w:cstheme="minorBidi"/>
                <w:sz w:val="17"/>
                <w:szCs w:val="17"/>
                <w:rtl/>
              </w:rPr>
            </w:pPr>
          </w:p>
        </w:tc>
      </w:tr>
      <w:tr w:rsidR="00ED1AB8" w:rsidRPr="009831F6" w14:paraId="3B66600E" w14:textId="77777777" w:rsidTr="00503A8A">
        <w:trPr>
          <w:trHeight w:val="203"/>
        </w:trPr>
        <w:tc>
          <w:tcPr>
            <w:tcW w:w="1509" w:type="pct"/>
            <w:vAlign w:val="bottom"/>
          </w:tcPr>
          <w:p w14:paraId="7F4AB9D2" w14:textId="77777777" w:rsidR="00ED1AB8" w:rsidRPr="009831F6" w:rsidRDefault="00ED1AB8" w:rsidP="00503A8A">
            <w:pPr>
              <w:pStyle w:val="-f"/>
              <w:rPr>
                <w:rFonts w:asciiTheme="minorBidi" w:hAnsiTheme="minorBidi" w:cstheme="minorBidi"/>
                <w:sz w:val="17"/>
                <w:szCs w:val="17"/>
                <w:rtl/>
              </w:rPr>
            </w:pPr>
            <w:r w:rsidRPr="009831F6">
              <w:rPr>
                <w:rFonts w:asciiTheme="minorBidi" w:hAnsiTheme="minorBidi" w:cstheme="minorBidi"/>
                <w:sz w:val="17"/>
                <w:szCs w:val="17"/>
                <w:rtl/>
              </w:rPr>
              <w:t>פעילות לווים בחו"ל</w:t>
            </w:r>
          </w:p>
        </w:tc>
        <w:tc>
          <w:tcPr>
            <w:tcW w:w="566" w:type="pct"/>
            <w:vAlign w:val="bottom"/>
          </w:tcPr>
          <w:p w14:paraId="70C7A3E6" w14:textId="77777777" w:rsidR="00ED1AB8" w:rsidRPr="009831F6" w:rsidRDefault="00ED1AB8" w:rsidP="00503A8A">
            <w:pPr>
              <w:pStyle w:val="-3"/>
              <w:spacing w:line="240" w:lineRule="auto"/>
              <w:rPr>
                <w:rFonts w:asciiTheme="minorBidi" w:hAnsiTheme="minorBidi" w:cstheme="minorBidi"/>
                <w:sz w:val="17"/>
                <w:szCs w:val="17"/>
                <w:rtl/>
              </w:rPr>
            </w:pPr>
          </w:p>
        </w:tc>
        <w:tc>
          <w:tcPr>
            <w:tcW w:w="563" w:type="pct"/>
            <w:vAlign w:val="bottom"/>
          </w:tcPr>
          <w:p w14:paraId="35E79D13" w14:textId="77777777" w:rsidR="00ED1AB8" w:rsidRPr="009831F6" w:rsidRDefault="00ED1AB8" w:rsidP="00503A8A">
            <w:pPr>
              <w:pStyle w:val="-3"/>
              <w:spacing w:line="240" w:lineRule="auto"/>
              <w:rPr>
                <w:rFonts w:asciiTheme="minorBidi" w:hAnsiTheme="minorBidi" w:cstheme="minorBidi"/>
                <w:sz w:val="17"/>
                <w:szCs w:val="17"/>
                <w:rtl/>
              </w:rPr>
            </w:pPr>
          </w:p>
        </w:tc>
        <w:tc>
          <w:tcPr>
            <w:tcW w:w="669" w:type="pct"/>
            <w:vAlign w:val="bottom"/>
          </w:tcPr>
          <w:p w14:paraId="1181B8BF" w14:textId="77777777" w:rsidR="00ED1AB8" w:rsidRPr="009831F6" w:rsidRDefault="00ED1AB8" w:rsidP="00503A8A">
            <w:pPr>
              <w:pStyle w:val="-3"/>
              <w:spacing w:line="240" w:lineRule="auto"/>
              <w:rPr>
                <w:rFonts w:asciiTheme="minorBidi" w:hAnsiTheme="minorBidi" w:cstheme="minorBidi"/>
                <w:sz w:val="17"/>
                <w:szCs w:val="17"/>
                <w:rtl/>
              </w:rPr>
            </w:pPr>
          </w:p>
        </w:tc>
        <w:tc>
          <w:tcPr>
            <w:tcW w:w="401" w:type="pct"/>
            <w:vAlign w:val="bottom"/>
          </w:tcPr>
          <w:p w14:paraId="38993EDE" w14:textId="77777777" w:rsidR="00ED1AB8" w:rsidRPr="009831F6" w:rsidRDefault="00ED1AB8" w:rsidP="00503A8A">
            <w:pPr>
              <w:pStyle w:val="-3"/>
              <w:spacing w:line="240" w:lineRule="auto"/>
              <w:rPr>
                <w:rFonts w:asciiTheme="minorBidi" w:hAnsiTheme="minorBidi" w:cstheme="minorBidi"/>
                <w:b/>
                <w:bCs/>
                <w:sz w:val="17"/>
                <w:szCs w:val="17"/>
                <w:rtl/>
              </w:rPr>
            </w:pPr>
          </w:p>
        </w:tc>
        <w:tc>
          <w:tcPr>
            <w:tcW w:w="711" w:type="pct"/>
            <w:vAlign w:val="bottom"/>
          </w:tcPr>
          <w:p w14:paraId="6A0DAF6D" w14:textId="77777777" w:rsidR="00ED1AB8" w:rsidRPr="009831F6" w:rsidRDefault="00ED1AB8" w:rsidP="00503A8A">
            <w:pPr>
              <w:pStyle w:val="-3"/>
              <w:spacing w:line="240" w:lineRule="auto"/>
              <w:rPr>
                <w:rFonts w:asciiTheme="minorBidi" w:hAnsiTheme="minorBidi" w:cstheme="minorBidi"/>
                <w:sz w:val="17"/>
                <w:szCs w:val="17"/>
                <w:rtl/>
              </w:rPr>
            </w:pPr>
          </w:p>
        </w:tc>
        <w:tc>
          <w:tcPr>
            <w:tcW w:w="581" w:type="pct"/>
            <w:vAlign w:val="bottom"/>
          </w:tcPr>
          <w:p w14:paraId="2A0FCE34" w14:textId="77777777" w:rsidR="00ED1AB8" w:rsidRPr="009831F6" w:rsidRDefault="00ED1AB8" w:rsidP="00503A8A">
            <w:pPr>
              <w:pStyle w:val="-3"/>
              <w:spacing w:line="240" w:lineRule="auto"/>
              <w:rPr>
                <w:rFonts w:asciiTheme="minorBidi" w:hAnsiTheme="minorBidi" w:cstheme="minorBidi"/>
                <w:sz w:val="17"/>
                <w:szCs w:val="17"/>
                <w:rtl/>
              </w:rPr>
            </w:pPr>
          </w:p>
        </w:tc>
      </w:tr>
      <w:tr w:rsidR="00ED1AB8" w:rsidRPr="009831F6" w14:paraId="287B1B07" w14:textId="77777777" w:rsidTr="00503A8A">
        <w:trPr>
          <w:trHeight w:val="227"/>
        </w:trPr>
        <w:tc>
          <w:tcPr>
            <w:tcW w:w="1509" w:type="pct"/>
            <w:vAlign w:val="bottom"/>
          </w:tcPr>
          <w:p w14:paraId="617FD7A5" w14:textId="77777777" w:rsidR="00ED1AB8" w:rsidRPr="009831F6" w:rsidRDefault="00ED1AB8" w:rsidP="00503A8A">
            <w:pPr>
              <w:pStyle w:val="-0"/>
              <w:spacing w:line="240" w:lineRule="auto"/>
              <w:ind w:left="0" w:firstLine="0"/>
              <w:rPr>
                <w:rFonts w:asciiTheme="minorBidi" w:hAnsiTheme="minorBidi" w:cstheme="minorBidi"/>
                <w:b/>
                <w:bCs/>
                <w:sz w:val="17"/>
                <w:szCs w:val="17"/>
              </w:rPr>
            </w:pPr>
            <w:r w:rsidRPr="009831F6">
              <w:rPr>
                <w:rFonts w:asciiTheme="minorBidi" w:hAnsiTheme="minorBidi" w:cstheme="minorBidi"/>
                <w:b/>
                <w:bCs/>
                <w:sz w:val="17"/>
                <w:szCs w:val="17"/>
                <w:u w:val="single"/>
                <w:rtl/>
              </w:rPr>
              <w:t>ציבור - מסחרי בחו"ל</w:t>
            </w:r>
            <w:r w:rsidRPr="009831F6">
              <w:rPr>
                <w:rFonts w:asciiTheme="minorBidi" w:hAnsiTheme="minorBidi" w:cstheme="minorBidi"/>
                <w:b/>
                <w:bCs/>
                <w:sz w:val="17"/>
                <w:szCs w:val="17"/>
                <w:rtl/>
              </w:rPr>
              <w:t xml:space="preserve">: </w:t>
            </w:r>
          </w:p>
        </w:tc>
        <w:tc>
          <w:tcPr>
            <w:tcW w:w="566" w:type="pct"/>
            <w:vAlign w:val="bottom"/>
          </w:tcPr>
          <w:p w14:paraId="0080B7A0" w14:textId="77777777" w:rsidR="00ED1AB8" w:rsidRPr="009831F6" w:rsidRDefault="00ED1AB8" w:rsidP="00503A8A">
            <w:pPr>
              <w:pStyle w:val="-3"/>
              <w:spacing w:line="240" w:lineRule="auto"/>
              <w:rPr>
                <w:rFonts w:asciiTheme="minorBidi" w:hAnsiTheme="minorBidi" w:cstheme="minorBidi"/>
                <w:sz w:val="17"/>
                <w:szCs w:val="17"/>
                <w:rtl/>
              </w:rPr>
            </w:pPr>
          </w:p>
        </w:tc>
        <w:tc>
          <w:tcPr>
            <w:tcW w:w="563" w:type="pct"/>
            <w:vAlign w:val="bottom"/>
          </w:tcPr>
          <w:p w14:paraId="65113111" w14:textId="77777777" w:rsidR="00ED1AB8" w:rsidRPr="009831F6" w:rsidRDefault="00ED1AB8" w:rsidP="00503A8A">
            <w:pPr>
              <w:pStyle w:val="-3"/>
              <w:spacing w:line="240" w:lineRule="auto"/>
              <w:rPr>
                <w:rFonts w:asciiTheme="minorBidi" w:hAnsiTheme="minorBidi" w:cstheme="minorBidi"/>
                <w:sz w:val="17"/>
                <w:szCs w:val="17"/>
                <w:rtl/>
              </w:rPr>
            </w:pPr>
          </w:p>
        </w:tc>
        <w:tc>
          <w:tcPr>
            <w:tcW w:w="669" w:type="pct"/>
            <w:vAlign w:val="bottom"/>
          </w:tcPr>
          <w:p w14:paraId="5F943F01" w14:textId="77777777" w:rsidR="00ED1AB8" w:rsidRPr="009831F6" w:rsidRDefault="00ED1AB8" w:rsidP="00503A8A">
            <w:pPr>
              <w:pStyle w:val="-3"/>
              <w:spacing w:line="240" w:lineRule="auto"/>
              <w:rPr>
                <w:rFonts w:asciiTheme="minorBidi" w:hAnsiTheme="minorBidi" w:cstheme="minorBidi"/>
                <w:sz w:val="17"/>
                <w:szCs w:val="17"/>
                <w:rtl/>
              </w:rPr>
            </w:pPr>
          </w:p>
        </w:tc>
        <w:tc>
          <w:tcPr>
            <w:tcW w:w="401" w:type="pct"/>
            <w:vAlign w:val="bottom"/>
          </w:tcPr>
          <w:p w14:paraId="5541E8E5" w14:textId="77777777" w:rsidR="00ED1AB8" w:rsidRPr="009831F6" w:rsidRDefault="00ED1AB8" w:rsidP="00503A8A">
            <w:pPr>
              <w:pStyle w:val="-3"/>
              <w:spacing w:line="240" w:lineRule="auto"/>
              <w:rPr>
                <w:rFonts w:asciiTheme="minorBidi" w:hAnsiTheme="minorBidi" w:cstheme="minorBidi"/>
                <w:b/>
                <w:bCs/>
                <w:sz w:val="17"/>
                <w:szCs w:val="17"/>
                <w:rtl/>
              </w:rPr>
            </w:pPr>
          </w:p>
        </w:tc>
        <w:tc>
          <w:tcPr>
            <w:tcW w:w="711" w:type="pct"/>
            <w:vAlign w:val="bottom"/>
          </w:tcPr>
          <w:p w14:paraId="5C9089BB" w14:textId="77777777" w:rsidR="00ED1AB8" w:rsidRPr="009831F6" w:rsidRDefault="00ED1AB8" w:rsidP="00503A8A">
            <w:pPr>
              <w:pStyle w:val="-3"/>
              <w:spacing w:line="240" w:lineRule="auto"/>
              <w:rPr>
                <w:rFonts w:asciiTheme="minorBidi" w:hAnsiTheme="minorBidi" w:cstheme="minorBidi"/>
                <w:sz w:val="17"/>
                <w:szCs w:val="17"/>
                <w:rtl/>
              </w:rPr>
            </w:pPr>
          </w:p>
        </w:tc>
        <w:tc>
          <w:tcPr>
            <w:tcW w:w="581" w:type="pct"/>
            <w:vAlign w:val="bottom"/>
          </w:tcPr>
          <w:p w14:paraId="3000C465" w14:textId="77777777" w:rsidR="00ED1AB8" w:rsidRPr="009831F6" w:rsidRDefault="00ED1AB8" w:rsidP="00503A8A">
            <w:pPr>
              <w:pStyle w:val="-3"/>
              <w:spacing w:line="240" w:lineRule="auto"/>
              <w:rPr>
                <w:rFonts w:asciiTheme="minorBidi" w:hAnsiTheme="minorBidi" w:cstheme="minorBidi"/>
                <w:sz w:val="17"/>
                <w:szCs w:val="17"/>
                <w:rtl/>
              </w:rPr>
            </w:pPr>
          </w:p>
        </w:tc>
      </w:tr>
      <w:tr w:rsidR="00ED1AB8" w:rsidRPr="009831F6" w14:paraId="5B9969FA" w14:textId="77777777" w:rsidTr="00503A8A">
        <w:trPr>
          <w:trHeight w:val="227"/>
        </w:trPr>
        <w:tc>
          <w:tcPr>
            <w:tcW w:w="1509" w:type="pct"/>
            <w:vAlign w:val="bottom"/>
          </w:tcPr>
          <w:p w14:paraId="15C8A833" w14:textId="77777777" w:rsidR="00ED1AB8" w:rsidRPr="009831F6" w:rsidRDefault="00ED1AB8" w:rsidP="00503A8A">
            <w:pPr>
              <w:pStyle w:val="-0"/>
              <w:spacing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בינוי ונדל"ן</w:t>
            </w:r>
          </w:p>
        </w:tc>
        <w:tc>
          <w:tcPr>
            <w:tcW w:w="566" w:type="pct"/>
            <w:vAlign w:val="bottom"/>
          </w:tcPr>
          <w:p w14:paraId="4DE95909"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63" w:type="pct"/>
            <w:vAlign w:val="bottom"/>
          </w:tcPr>
          <w:p w14:paraId="0C098411"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669" w:type="pct"/>
            <w:vAlign w:val="bottom"/>
          </w:tcPr>
          <w:p w14:paraId="641C32D3"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401" w:type="pct"/>
            <w:vAlign w:val="bottom"/>
          </w:tcPr>
          <w:p w14:paraId="28D6C0C4"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711" w:type="pct"/>
            <w:vAlign w:val="bottom"/>
          </w:tcPr>
          <w:p w14:paraId="51ADD932"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81" w:type="pct"/>
            <w:vAlign w:val="bottom"/>
          </w:tcPr>
          <w:p w14:paraId="157243A2" w14:textId="77777777" w:rsidR="00ED1AB8" w:rsidRPr="009831F6" w:rsidRDefault="00ED1AB8"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ED1AB8" w:rsidRPr="009831F6" w14:paraId="2E4DF542" w14:textId="77777777" w:rsidTr="00503A8A">
        <w:trPr>
          <w:trHeight w:val="227"/>
        </w:trPr>
        <w:tc>
          <w:tcPr>
            <w:tcW w:w="1509" w:type="pct"/>
            <w:vAlign w:val="bottom"/>
          </w:tcPr>
          <w:p w14:paraId="27838AA4" w14:textId="77777777" w:rsidR="00ED1AB8" w:rsidRPr="009831F6" w:rsidRDefault="00ED1AB8" w:rsidP="00503A8A">
            <w:pPr>
              <w:pStyle w:val="-0"/>
              <w:spacing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מסחרי - אחר</w:t>
            </w:r>
          </w:p>
        </w:tc>
        <w:tc>
          <w:tcPr>
            <w:tcW w:w="566" w:type="pct"/>
            <w:vAlign w:val="bottom"/>
          </w:tcPr>
          <w:p w14:paraId="7C6A81DA" w14:textId="77777777" w:rsidR="00ED1AB8" w:rsidRPr="009831F6" w:rsidRDefault="00ED1AB8"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63" w:type="pct"/>
            <w:vAlign w:val="bottom"/>
          </w:tcPr>
          <w:p w14:paraId="1D0484F4" w14:textId="77777777" w:rsidR="00ED1AB8" w:rsidRPr="009831F6" w:rsidRDefault="00ED1AB8"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669" w:type="pct"/>
            <w:vAlign w:val="bottom"/>
          </w:tcPr>
          <w:p w14:paraId="516D48C0" w14:textId="77777777" w:rsidR="00ED1AB8" w:rsidRPr="009831F6" w:rsidRDefault="00ED1AB8"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401" w:type="pct"/>
            <w:vAlign w:val="bottom"/>
          </w:tcPr>
          <w:p w14:paraId="688CCBDC" w14:textId="77777777" w:rsidR="00ED1AB8" w:rsidRPr="009831F6" w:rsidRDefault="00ED1AB8"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711" w:type="pct"/>
            <w:vAlign w:val="bottom"/>
          </w:tcPr>
          <w:p w14:paraId="7C759627" w14:textId="77777777" w:rsidR="00ED1AB8" w:rsidRPr="009831F6" w:rsidRDefault="00ED1AB8"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81" w:type="pct"/>
            <w:vAlign w:val="bottom"/>
          </w:tcPr>
          <w:p w14:paraId="460E5133" w14:textId="77777777" w:rsidR="00ED1AB8" w:rsidRPr="009831F6" w:rsidRDefault="00ED1AB8"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ED1AB8" w:rsidRPr="009831F6" w14:paraId="599DDAC3" w14:textId="77777777" w:rsidTr="00503A8A">
        <w:trPr>
          <w:trHeight w:val="227"/>
        </w:trPr>
        <w:tc>
          <w:tcPr>
            <w:tcW w:w="1509" w:type="pct"/>
            <w:vAlign w:val="bottom"/>
          </w:tcPr>
          <w:p w14:paraId="7FC6B5BF" w14:textId="77777777" w:rsidR="00ED1AB8" w:rsidRPr="009831F6" w:rsidRDefault="00ED1AB8" w:rsidP="00503A8A">
            <w:pPr>
              <w:pStyle w:val="-0"/>
              <w:spacing w:line="240" w:lineRule="auto"/>
              <w:ind w:left="0" w:firstLine="0"/>
              <w:rPr>
                <w:rFonts w:asciiTheme="minorBidi" w:hAnsiTheme="minorBidi" w:cstheme="minorBidi"/>
                <w:b/>
                <w:bCs/>
                <w:sz w:val="17"/>
                <w:szCs w:val="17"/>
              </w:rPr>
            </w:pPr>
            <w:r w:rsidRPr="009831F6">
              <w:rPr>
                <w:rFonts w:asciiTheme="minorBidi" w:hAnsiTheme="minorBidi" w:cstheme="minorBidi"/>
                <w:b/>
                <w:bCs/>
                <w:sz w:val="17"/>
                <w:szCs w:val="17"/>
                <w:rtl/>
              </w:rPr>
              <w:t>סך הכל מסחרי</w:t>
            </w:r>
          </w:p>
        </w:tc>
        <w:tc>
          <w:tcPr>
            <w:tcW w:w="566" w:type="pct"/>
            <w:vAlign w:val="bottom"/>
          </w:tcPr>
          <w:p w14:paraId="05375940" w14:textId="77777777" w:rsidR="00ED1AB8" w:rsidRPr="009831F6" w:rsidRDefault="00ED1AB8"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63" w:type="pct"/>
            <w:vAlign w:val="bottom"/>
          </w:tcPr>
          <w:p w14:paraId="37679F47" w14:textId="77777777" w:rsidR="00ED1AB8" w:rsidRPr="009831F6" w:rsidRDefault="00ED1AB8"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669" w:type="pct"/>
            <w:vAlign w:val="bottom"/>
          </w:tcPr>
          <w:p w14:paraId="1D563505" w14:textId="77777777" w:rsidR="00ED1AB8" w:rsidRPr="009831F6" w:rsidRDefault="00ED1AB8"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401" w:type="pct"/>
            <w:vAlign w:val="bottom"/>
          </w:tcPr>
          <w:p w14:paraId="0F3CCC92" w14:textId="77777777" w:rsidR="00ED1AB8" w:rsidRPr="009831F6" w:rsidRDefault="00ED1AB8"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711" w:type="pct"/>
            <w:vAlign w:val="bottom"/>
          </w:tcPr>
          <w:p w14:paraId="2A80C905" w14:textId="77777777" w:rsidR="00ED1AB8" w:rsidRPr="009831F6" w:rsidRDefault="00ED1AB8"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81" w:type="pct"/>
            <w:vAlign w:val="bottom"/>
          </w:tcPr>
          <w:p w14:paraId="29AC7F56" w14:textId="77777777" w:rsidR="00ED1AB8" w:rsidRPr="009831F6" w:rsidRDefault="00ED1AB8"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r>
      <w:tr w:rsidR="00ED1AB8" w:rsidRPr="009831F6" w14:paraId="1E3617E1" w14:textId="77777777" w:rsidTr="00503A8A">
        <w:trPr>
          <w:trHeight w:val="227"/>
        </w:trPr>
        <w:tc>
          <w:tcPr>
            <w:tcW w:w="1509" w:type="pct"/>
            <w:vAlign w:val="bottom"/>
          </w:tcPr>
          <w:p w14:paraId="17DE407C" w14:textId="77777777" w:rsidR="00ED1AB8" w:rsidRPr="009831F6" w:rsidRDefault="00ED1AB8" w:rsidP="00503A8A">
            <w:pPr>
              <w:pStyle w:val="-0"/>
              <w:spacing w:line="240" w:lineRule="auto"/>
              <w:ind w:left="0" w:firstLine="0"/>
              <w:rPr>
                <w:rFonts w:asciiTheme="minorBidi" w:hAnsiTheme="minorBidi" w:cstheme="minorBidi"/>
                <w:b/>
                <w:bCs/>
                <w:sz w:val="17"/>
                <w:szCs w:val="17"/>
              </w:rPr>
            </w:pPr>
            <w:r w:rsidRPr="009831F6">
              <w:rPr>
                <w:rFonts w:asciiTheme="minorBidi" w:hAnsiTheme="minorBidi" w:cstheme="minorBidi"/>
                <w:b/>
                <w:bCs/>
                <w:sz w:val="17"/>
                <w:szCs w:val="17"/>
                <w:rtl/>
              </w:rPr>
              <w:t>אנשים פרטיים</w:t>
            </w:r>
          </w:p>
        </w:tc>
        <w:tc>
          <w:tcPr>
            <w:tcW w:w="566" w:type="pct"/>
            <w:vAlign w:val="bottom"/>
          </w:tcPr>
          <w:p w14:paraId="445CA020" w14:textId="77777777" w:rsidR="00ED1AB8" w:rsidRPr="009831F6" w:rsidRDefault="00ED1AB8"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63" w:type="pct"/>
            <w:vAlign w:val="bottom"/>
          </w:tcPr>
          <w:p w14:paraId="3077C59D" w14:textId="77777777" w:rsidR="00ED1AB8" w:rsidRPr="009831F6" w:rsidRDefault="00ED1AB8"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669" w:type="pct"/>
            <w:vAlign w:val="bottom"/>
          </w:tcPr>
          <w:p w14:paraId="7DE4F7A4" w14:textId="77777777" w:rsidR="00ED1AB8" w:rsidRPr="009831F6" w:rsidRDefault="00ED1AB8"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401" w:type="pct"/>
            <w:vAlign w:val="bottom"/>
          </w:tcPr>
          <w:p w14:paraId="53FD4616" w14:textId="77777777" w:rsidR="00ED1AB8" w:rsidRPr="009831F6" w:rsidRDefault="00ED1AB8"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711" w:type="pct"/>
            <w:vAlign w:val="bottom"/>
          </w:tcPr>
          <w:p w14:paraId="3676AF68" w14:textId="77777777" w:rsidR="00ED1AB8" w:rsidRPr="009831F6" w:rsidRDefault="00ED1AB8"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81" w:type="pct"/>
            <w:vAlign w:val="bottom"/>
          </w:tcPr>
          <w:p w14:paraId="0233F477" w14:textId="77777777" w:rsidR="00ED1AB8" w:rsidRPr="009831F6" w:rsidRDefault="00ED1AB8"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r>
      <w:tr w:rsidR="00ED1AB8" w:rsidRPr="009831F6" w14:paraId="3EC37DE1" w14:textId="77777777" w:rsidTr="00167FDB">
        <w:trPr>
          <w:trHeight w:val="227"/>
        </w:trPr>
        <w:tc>
          <w:tcPr>
            <w:tcW w:w="1509" w:type="pct"/>
            <w:vAlign w:val="bottom"/>
          </w:tcPr>
          <w:p w14:paraId="1C3ED162" w14:textId="77777777" w:rsidR="00ED1AB8" w:rsidRPr="009831F6" w:rsidRDefault="00ED1AB8" w:rsidP="00503A8A">
            <w:pPr>
              <w:pStyle w:val="-21"/>
              <w:spacing w:line="240" w:lineRule="auto"/>
              <w:ind w:left="0" w:firstLine="0"/>
              <w:rPr>
                <w:rFonts w:asciiTheme="minorBidi" w:hAnsiTheme="minorBidi" w:cstheme="minorBidi"/>
                <w:b/>
                <w:bCs/>
                <w:sz w:val="17"/>
                <w:szCs w:val="17"/>
                <w:rtl/>
              </w:rPr>
            </w:pPr>
            <w:r w:rsidRPr="009831F6">
              <w:rPr>
                <w:rFonts w:asciiTheme="minorBidi" w:hAnsiTheme="minorBidi" w:cstheme="minorBidi"/>
                <w:b/>
                <w:bCs/>
                <w:sz w:val="17"/>
                <w:szCs w:val="17"/>
                <w:rtl/>
              </w:rPr>
              <w:t xml:space="preserve">סך הכל </w:t>
            </w:r>
          </w:p>
        </w:tc>
        <w:tc>
          <w:tcPr>
            <w:tcW w:w="566" w:type="pct"/>
            <w:tcBorders>
              <w:bottom w:val="single" w:sz="8" w:space="0" w:color="auto"/>
            </w:tcBorders>
            <w:vAlign w:val="bottom"/>
          </w:tcPr>
          <w:p w14:paraId="30F36163" w14:textId="77777777" w:rsidR="00ED1AB8" w:rsidRPr="009831F6" w:rsidRDefault="00ED1AB8"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63" w:type="pct"/>
            <w:tcBorders>
              <w:bottom w:val="single" w:sz="8" w:space="0" w:color="auto"/>
            </w:tcBorders>
            <w:vAlign w:val="bottom"/>
          </w:tcPr>
          <w:p w14:paraId="03EBE311" w14:textId="77777777" w:rsidR="00ED1AB8" w:rsidRPr="009831F6" w:rsidRDefault="00ED1AB8"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669" w:type="pct"/>
            <w:tcBorders>
              <w:bottom w:val="single" w:sz="8" w:space="0" w:color="auto"/>
            </w:tcBorders>
            <w:vAlign w:val="bottom"/>
          </w:tcPr>
          <w:p w14:paraId="0B72BD53" w14:textId="77777777" w:rsidR="00ED1AB8" w:rsidRPr="009831F6" w:rsidRDefault="00ED1AB8"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401" w:type="pct"/>
            <w:tcBorders>
              <w:bottom w:val="single" w:sz="8" w:space="0" w:color="auto"/>
            </w:tcBorders>
            <w:vAlign w:val="bottom"/>
          </w:tcPr>
          <w:p w14:paraId="4BD5CAD4" w14:textId="77777777" w:rsidR="00ED1AB8" w:rsidRPr="009831F6" w:rsidRDefault="00ED1AB8"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711" w:type="pct"/>
            <w:tcBorders>
              <w:bottom w:val="single" w:sz="8" w:space="0" w:color="auto"/>
            </w:tcBorders>
            <w:vAlign w:val="bottom"/>
          </w:tcPr>
          <w:p w14:paraId="63D31143" w14:textId="77777777" w:rsidR="00ED1AB8" w:rsidRPr="009831F6" w:rsidRDefault="00ED1AB8"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81" w:type="pct"/>
            <w:tcBorders>
              <w:bottom w:val="single" w:sz="8" w:space="0" w:color="auto"/>
            </w:tcBorders>
            <w:vAlign w:val="bottom"/>
          </w:tcPr>
          <w:p w14:paraId="334A26E9" w14:textId="77777777" w:rsidR="00ED1AB8" w:rsidRPr="009831F6" w:rsidRDefault="00ED1AB8"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ED1AB8" w:rsidRPr="009831F6" w14:paraId="40C02FE5" w14:textId="77777777" w:rsidTr="00167FDB">
        <w:trPr>
          <w:trHeight w:val="263"/>
        </w:trPr>
        <w:tc>
          <w:tcPr>
            <w:tcW w:w="1509" w:type="pct"/>
            <w:vAlign w:val="bottom"/>
          </w:tcPr>
          <w:p w14:paraId="6CC0F448" w14:textId="77777777" w:rsidR="00ED1AB8" w:rsidRPr="009831F6" w:rsidRDefault="00ED1AB8" w:rsidP="00503A8A">
            <w:pPr>
              <w:pStyle w:val="-b"/>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סך הכל אשראי לציבור</w:t>
            </w:r>
          </w:p>
        </w:tc>
        <w:tc>
          <w:tcPr>
            <w:tcW w:w="566" w:type="pct"/>
            <w:tcBorders>
              <w:top w:val="single" w:sz="8" w:space="0" w:color="auto"/>
            </w:tcBorders>
            <w:vAlign w:val="bottom"/>
          </w:tcPr>
          <w:p w14:paraId="41685C4D" w14:textId="77777777" w:rsidR="00ED1AB8" w:rsidRPr="009831F6" w:rsidRDefault="00ED1AB8"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63" w:type="pct"/>
            <w:tcBorders>
              <w:top w:val="single" w:sz="8" w:space="0" w:color="auto"/>
            </w:tcBorders>
            <w:vAlign w:val="bottom"/>
          </w:tcPr>
          <w:p w14:paraId="5BA9D069" w14:textId="77777777" w:rsidR="00ED1AB8" w:rsidRPr="009831F6" w:rsidRDefault="00ED1AB8"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669" w:type="pct"/>
            <w:tcBorders>
              <w:top w:val="single" w:sz="8" w:space="0" w:color="auto"/>
            </w:tcBorders>
            <w:vAlign w:val="bottom"/>
          </w:tcPr>
          <w:p w14:paraId="1CAD2F34" w14:textId="77777777" w:rsidR="00ED1AB8" w:rsidRPr="009831F6" w:rsidRDefault="00ED1AB8"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401" w:type="pct"/>
            <w:tcBorders>
              <w:top w:val="single" w:sz="8" w:space="0" w:color="auto"/>
            </w:tcBorders>
            <w:vAlign w:val="bottom"/>
          </w:tcPr>
          <w:p w14:paraId="3AF89650" w14:textId="77777777" w:rsidR="00ED1AB8" w:rsidRPr="009831F6" w:rsidRDefault="00ED1AB8"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711" w:type="pct"/>
            <w:tcBorders>
              <w:top w:val="single" w:sz="8" w:space="0" w:color="auto"/>
            </w:tcBorders>
            <w:vAlign w:val="bottom"/>
          </w:tcPr>
          <w:p w14:paraId="6DAB4C48" w14:textId="77777777" w:rsidR="00ED1AB8" w:rsidRPr="009831F6" w:rsidRDefault="00ED1AB8"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81" w:type="pct"/>
            <w:tcBorders>
              <w:top w:val="single" w:sz="8" w:space="0" w:color="auto"/>
            </w:tcBorders>
            <w:vAlign w:val="bottom"/>
          </w:tcPr>
          <w:p w14:paraId="5F9A6276" w14:textId="77777777" w:rsidR="00ED1AB8" w:rsidRPr="009831F6" w:rsidRDefault="00ED1AB8"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bl>
    <w:tbl>
      <w:tblPr>
        <w:tblpPr w:leftFromText="180" w:rightFromText="180" w:vertAnchor="text" w:horzAnchor="margin" w:tblpY="38"/>
        <w:tblOverlap w:val="never"/>
        <w:bidiVisual/>
        <w:tblW w:w="1408" w:type="pct"/>
        <w:tblLook w:val="01E0" w:firstRow="1" w:lastRow="1" w:firstColumn="1" w:lastColumn="1" w:noHBand="0" w:noVBand="0"/>
      </w:tblPr>
      <w:tblGrid>
        <w:gridCol w:w="700"/>
        <w:gridCol w:w="687"/>
        <w:gridCol w:w="816"/>
        <w:gridCol w:w="489"/>
        <w:gridCol w:w="868"/>
        <w:gridCol w:w="701"/>
      </w:tblGrid>
      <w:tr w:rsidR="00503A8A" w:rsidRPr="009831F6" w14:paraId="465A23B1" w14:textId="77777777" w:rsidTr="00503A8A">
        <w:trPr>
          <w:trHeight w:val="259"/>
        </w:trPr>
        <w:tc>
          <w:tcPr>
            <w:tcW w:w="5000" w:type="pct"/>
            <w:gridSpan w:val="6"/>
            <w:vAlign w:val="bottom"/>
          </w:tcPr>
          <w:bookmarkEnd w:id="40"/>
          <w:p w14:paraId="1A443962" w14:textId="273ADE03" w:rsidR="00503A8A" w:rsidRPr="009831F6" w:rsidRDefault="000B19AE" w:rsidP="00503A8A">
            <w:pPr>
              <w:pStyle w:val="-4"/>
              <w:rPr>
                <w:rFonts w:asciiTheme="minorBidi" w:hAnsiTheme="minorBidi" w:cstheme="minorBidi"/>
                <w:sz w:val="17"/>
                <w:szCs w:val="17"/>
                <w:rtl/>
              </w:rPr>
            </w:pPr>
            <w:r w:rsidRPr="000B19AE">
              <w:rPr>
                <w:rFonts w:asciiTheme="minorBidi" w:hAnsiTheme="minorBidi" w:cstheme="minorBidi" w:hint="cs"/>
                <w:sz w:val="17"/>
                <w:szCs w:val="17"/>
                <w:rtl/>
              </w:rPr>
              <w:t xml:space="preserve">ליום 31 בדצמבר </w:t>
            </w:r>
            <w:r w:rsidRPr="000B19AE">
              <w:rPr>
                <w:rFonts w:asciiTheme="minorBidi" w:hAnsiTheme="minorBidi" w:cstheme="minorBidi"/>
                <w:sz w:val="17"/>
                <w:szCs w:val="17"/>
                <w:rtl/>
              </w:rPr>
              <w:fldChar w:fldCharType="begin"/>
            </w:r>
            <w:r w:rsidRPr="000B19AE">
              <w:rPr>
                <w:rFonts w:asciiTheme="minorBidi" w:hAnsiTheme="minorBidi" w:cstheme="minorBidi"/>
                <w:sz w:val="17"/>
                <w:szCs w:val="17"/>
                <w:rtl/>
              </w:rPr>
              <w:instrText xml:space="preserve"> </w:instrText>
            </w:r>
            <w:r w:rsidRPr="000B19AE">
              <w:rPr>
                <w:rFonts w:asciiTheme="minorBidi" w:hAnsiTheme="minorBidi" w:cstheme="minorBidi" w:hint="cs"/>
                <w:sz w:val="17"/>
                <w:szCs w:val="17"/>
                <w:rtl/>
              </w:rPr>
              <w:instrText xml:space="preserve">= </w:instrText>
            </w:r>
            <w:r w:rsidRPr="000B19AE">
              <w:rPr>
                <w:rFonts w:asciiTheme="minorBidi" w:hAnsiTheme="minorBidi" w:cstheme="minorBidi" w:hint="cs"/>
                <w:sz w:val="17"/>
                <w:szCs w:val="17"/>
              </w:rPr>
              <w:instrText>CY</w:instrText>
            </w:r>
            <w:r w:rsidRPr="000B19AE">
              <w:rPr>
                <w:rFonts w:asciiTheme="minorBidi" w:hAnsiTheme="minorBidi" w:cstheme="minorBidi"/>
                <w:sz w:val="17"/>
                <w:szCs w:val="17"/>
              </w:rPr>
              <w:instrText>-1</w:instrText>
            </w:r>
            <w:r w:rsidRPr="000B19AE">
              <w:rPr>
                <w:rFonts w:asciiTheme="minorBidi" w:hAnsiTheme="minorBidi" w:cstheme="minorBidi" w:hint="cs"/>
                <w:sz w:val="17"/>
                <w:szCs w:val="17"/>
              </w:rPr>
              <w:instrText xml:space="preserve"> \* MERGEFORMAT</w:instrText>
            </w:r>
            <w:r w:rsidRPr="000B19AE">
              <w:rPr>
                <w:rFonts w:asciiTheme="minorBidi" w:hAnsiTheme="minorBidi" w:cstheme="minorBidi"/>
                <w:sz w:val="17"/>
                <w:szCs w:val="17"/>
                <w:rtl/>
              </w:rPr>
              <w:instrText xml:space="preserve"> </w:instrText>
            </w:r>
            <w:r w:rsidRPr="000B19AE">
              <w:rPr>
                <w:rFonts w:asciiTheme="minorBidi" w:hAnsiTheme="minorBidi" w:cstheme="minorBidi"/>
                <w:sz w:val="17"/>
                <w:szCs w:val="17"/>
                <w:rtl/>
              </w:rPr>
              <w:fldChar w:fldCharType="separate"/>
            </w:r>
            <w:r w:rsidRPr="000B19AE">
              <w:rPr>
                <w:rFonts w:asciiTheme="minorBidi" w:hAnsiTheme="minorBidi" w:cstheme="minorBidi"/>
                <w:sz w:val="17"/>
                <w:szCs w:val="17"/>
                <w:rtl/>
              </w:rPr>
              <w:t>2023</w:t>
            </w:r>
            <w:r w:rsidRPr="000B19AE">
              <w:rPr>
                <w:rFonts w:asciiTheme="minorBidi" w:hAnsiTheme="minorBidi" w:cstheme="minorBidi"/>
                <w:sz w:val="17"/>
                <w:szCs w:val="17"/>
                <w:rtl/>
              </w:rPr>
              <w:fldChar w:fldCharType="end"/>
            </w:r>
            <w:r w:rsidRPr="000B19AE">
              <w:rPr>
                <w:rFonts w:asciiTheme="minorBidi" w:hAnsiTheme="minorBidi" w:cstheme="minorBidi" w:hint="cs"/>
                <w:sz w:val="17"/>
                <w:szCs w:val="17"/>
                <w:rtl/>
              </w:rPr>
              <w:t xml:space="preserve">  </w:t>
            </w:r>
            <w:r w:rsidRPr="000B19AE">
              <w:rPr>
                <w:rFonts w:asciiTheme="minorBidi" w:hAnsiTheme="minorBidi" w:cstheme="minorBidi" w:hint="cs"/>
                <w:b w:val="0"/>
                <w:bCs w:val="0"/>
                <w:sz w:val="17"/>
                <w:szCs w:val="17"/>
                <w:rtl/>
              </w:rPr>
              <w:t>(</w:t>
            </w:r>
            <w:r w:rsidRPr="000B19AE">
              <w:rPr>
                <w:rFonts w:asciiTheme="minorBidi" w:hAnsiTheme="minorBidi" w:cstheme="minorBidi" w:hint="eastAsia"/>
                <w:b w:val="0"/>
                <w:bCs w:val="0"/>
                <w:sz w:val="17"/>
                <w:szCs w:val="17"/>
                <w:rtl/>
              </w:rPr>
              <w:t>מבוקר</w:t>
            </w:r>
            <w:r w:rsidRPr="000B19AE">
              <w:rPr>
                <w:rFonts w:asciiTheme="minorBidi" w:hAnsiTheme="minorBidi" w:cstheme="minorBidi" w:hint="cs"/>
                <w:b w:val="0"/>
                <w:bCs w:val="0"/>
                <w:sz w:val="17"/>
                <w:szCs w:val="17"/>
                <w:rtl/>
              </w:rPr>
              <w:t>)</w:t>
            </w:r>
          </w:p>
        </w:tc>
      </w:tr>
      <w:tr w:rsidR="00503A8A" w:rsidRPr="009831F6" w14:paraId="35E655A1" w14:textId="77777777" w:rsidTr="00503A8A">
        <w:tc>
          <w:tcPr>
            <w:tcW w:w="5000" w:type="pct"/>
            <w:gridSpan w:val="6"/>
            <w:vAlign w:val="bottom"/>
          </w:tcPr>
          <w:p w14:paraId="0B1814E5" w14:textId="77777777" w:rsidR="00503A8A" w:rsidRPr="009831F6" w:rsidRDefault="00503A8A" w:rsidP="00503A8A">
            <w:pPr>
              <w:pStyle w:val="-4"/>
              <w:spacing w:line="240" w:lineRule="auto"/>
              <w:rPr>
                <w:rFonts w:asciiTheme="minorBidi" w:hAnsiTheme="minorBidi" w:cstheme="minorBidi"/>
                <w:sz w:val="17"/>
                <w:szCs w:val="17"/>
                <w:rtl/>
              </w:rPr>
            </w:pPr>
            <w:r w:rsidRPr="009831F6">
              <w:rPr>
                <w:rFonts w:asciiTheme="minorBidi" w:hAnsiTheme="minorBidi" w:cstheme="minorBidi"/>
                <w:sz w:val="17"/>
                <w:szCs w:val="17"/>
                <w:rtl/>
              </w:rPr>
              <w:t>יתרת חוב רשומה</w:t>
            </w:r>
          </w:p>
        </w:tc>
      </w:tr>
      <w:tr w:rsidR="00503A8A" w:rsidRPr="009831F6" w14:paraId="3C37EBAB" w14:textId="77777777" w:rsidTr="00503A8A">
        <w:trPr>
          <w:trHeight w:val="224"/>
        </w:trPr>
        <w:tc>
          <w:tcPr>
            <w:tcW w:w="821" w:type="pct"/>
            <w:vMerge w:val="restart"/>
            <w:vAlign w:val="bottom"/>
          </w:tcPr>
          <w:p w14:paraId="606FE36B" w14:textId="77777777" w:rsidR="00503A8A" w:rsidRPr="009831F6" w:rsidRDefault="00503A8A" w:rsidP="00503A8A">
            <w:pPr>
              <w:pStyle w:val="-4"/>
              <w:pBdr>
                <w:bottom w:val="single" w:sz="4" w:space="1" w:color="auto"/>
              </w:pBdr>
              <w:rPr>
                <w:rFonts w:asciiTheme="minorBidi" w:hAnsiTheme="minorBidi" w:cstheme="minorBidi"/>
                <w:sz w:val="17"/>
                <w:szCs w:val="17"/>
                <w:rtl/>
              </w:rPr>
            </w:pPr>
            <w:r w:rsidRPr="009831F6">
              <w:rPr>
                <w:rFonts w:asciiTheme="minorBidi" w:hAnsiTheme="minorBidi" w:cstheme="minorBidi"/>
                <w:sz w:val="17"/>
                <w:szCs w:val="17"/>
                <w:rtl/>
              </w:rPr>
              <w:t>תקינים</w:t>
            </w:r>
          </w:p>
        </w:tc>
        <w:tc>
          <w:tcPr>
            <w:tcW w:w="1764" w:type="pct"/>
            <w:gridSpan w:val="2"/>
            <w:vAlign w:val="bottom"/>
          </w:tcPr>
          <w:p w14:paraId="3F746938" w14:textId="77777777" w:rsidR="00503A8A" w:rsidRPr="009831F6" w:rsidRDefault="00503A8A" w:rsidP="00503A8A">
            <w:pPr>
              <w:pStyle w:val="-4"/>
              <w:pBdr>
                <w:bottom w:val="single" w:sz="4" w:space="1" w:color="auto"/>
              </w:pBdr>
              <w:rPr>
                <w:rFonts w:asciiTheme="minorBidi" w:hAnsiTheme="minorBidi" w:cstheme="minorBidi"/>
                <w:sz w:val="17"/>
                <w:szCs w:val="17"/>
                <w:rtl/>
              </w:rPr>
            </w:pPr>
            <w:r w:rsidRPr="009831F6">
              <w:rPr>
                <w:rFonts w:asciiTheme="minorBidi" w:hAnsiTheme="minorBidi" w:cstheme="minorBidi"/>
                <w:sz w:val="17"/>
                <w:szCs w:val="17"/>
                <w:rtl/>
              </w:rPr>
              <w:t>בעייתיים</w:t>
            </w:r>
          </w:p>
        </w:tc>
        <w:tc>
          <w:tcPr>
            <w:tcW w:w="574" w:type="pct"/>
            <w:vMerge w:val="restart"/>
            <w:tcBorders>
              <w:left w:val="nil"/>
            </w:tcBorders>
            <w:vAlign w:val="bottom"/>
          </w:tcPr>
          <w:p w14:paraId="6FF57204" w14:textId="77777777" w:rsidR="00503A8A" w:rsidRPr="009831F6" w:rsidRDefault="00503A8A" w:rsidP="00503A8A">
            <w:pPr>
              <w:pStyle w:val="-4"/>
              <w:rPr>
                <w:rFonts w:asciiTheme="minorBidi" w:hAnsiTheme="minorBidi" w:cstheme="minorBidi"/>
                <w:sz w:val="17"/>
                <w:szCs w:val="17"/>
                <w:rtl/>
              </w:rPr>
            </w:pPr>
            <w:r w:rsidRPr="009831F6">
              <w:rPr>
                <w:rFonts w:asciiTheme="minorBidi" w:hAnsiTheme="minorBidi" w:cstheme="minorBidi"/>
                <w:sz w:val="17"/>
                <w:szCs w:val="17"/>
                <w:rtl/>
              </w:rPr>
              <w:t>סך הכל</w:t>
            </w:r>
          </w:p>
        </w:tc>
        <w:tc>
          <w:tcPr>
            <w:tcW w:w="1841" w:type="pct"/>
            <w:gridSpan w:val="2"/>
          </w:tcPr>
          <w:p w14:paraId="3623FA24" w14:textId="77777777" w:rsidR="00503A8A" w:rsidRPr="009831F6" w:rsidRDefault="00503A8A" w:rsidP="00503A8A">
            <w:pPr>
              <w:pStyle w:val="-4"/>
              <w:spacing w:line="192" w:lineRule="auto"/>
              <w:rPr>
                <w:rFonts w:asciiTheme="minorBidi" w:hAnsiTheme="minorBidi" w:cstheme="minorBidi"/>
                <w:sz w:val="17"/>
                <w:szCs w:val="17"/>
                <w:rtl/>
              </w:rPr>
            </w:pPr>
            <w:r w:rsidRPr="009831F6">
              <w:rPr>
                <w:rFonts w:asciiTheme="minorBidi" w:hAnsiTheme="minorBidi" w:cstheme="minorBidi"/>
                <w:sz w:val="17"/>
                <w:szCs w:val="17"/>
                <w:rtl/>
              </w:rPr>
              <w:t>חובות צוברים</w:t>
            </w:r>
          </w:p>
          <w:p w14:paraId="1D400621" w14:textId="77777777" w:rsidR="00503A8A" w:rsidRPr="009831F6" w:rsidRDefault="00503A8A" w:rsidP="00503A8A">
            <w:pPr>
              <w:pStyle w:val="-4"/>
              <w:spacing w:line="192" w:lineRule="auto"/>
              <w:rPr>
                <w:rFonts w:asciiTheme="minorBidi" w:hAnsiTheme="minorBidi" w:cstheme="minorBidi"/>
                <w:sz w:val="17"/>
                <w:szCs w:val="17"/>
                <w:rtl/>
              </w:rPr>
            </w:pPr>
            <w:r w:rsidRPr="009831F6">
              <w:rPr>
                <w:rFonts w:asciiTheme="minorBidi" w:hAnsiTheme="minorBidi" w:cstheme="minorBidi"/>
                <w:sz w:val="17"/>
                <w:szCs w:val="17"/>
                <w:rtl/>
              </w:rPr>
              <w:t>- ימי פיגור</w:t>
            </w:r>
          </w:p>
        </w:tc>
      </w:tr>
      <w:tr w:rsidR="00503A8A" w:rsidRPr="009831F6" w14:paraId="2AEB8B8B" w14:textId="77777777" w:rsidTr="00503A8A">
        <w:trPr>
          <w:trHeight w:val="355"/>
        </w:trPr>
        <w:tc>
          <w:tcPr>
            <w:tcW w:w="821" w:type="pct"/>
            <w:vMerge/>
            <w:vAlign w:val="bottom"/>
          </w:tcPr>
          <w:p w14:paraId="4858C421" w14:textId="77777777" w:rsidR="00503A8A" w:rsidRPr="009831F6" w:rsidRDefault="00503A8A" w:rsidP="00503A8A">
            <w:pPr>
              <w:pStyle w:val="-4"/>
              <w:rPr>
                <w:rFonts w:asciiTheme="minorBidi" w:hAnsiTheme="minorBidi" w:cstheme="minorBidi"/>
                <w:sz w:val="17"/>
                <w:szCs w:val="17"/>
                <w:rtl/>
              </w:rPr>
            </w:pPr>
          </w:p>
        </w:tc>
        <w:tc>
          <w:tcPr>
            <w:tcW w:w="806" w:type="pct"/>
            <w:vAlign w:val="bottom"/>
          </w:tcPr>
          <w:p w14:paraId="10690AFF" w14:textId="77777777" w:rsidR="00503A8A" w:rsidRPr="009831F6" w:rsidRDefault="00503A8A" w:rsidP="00503A8A">
            <w:pPr>
              <w:pStyle w:val="-4"/>
              <w:pBdr>
                <w:bottom w:val="single" w:sz="4" w:space="1" w:color="auto"/>
              </w:pBdr>
              <w:rPr>
                <w:rFonts w:asciiTheme="minorBidi" w:hAnsiTheme="minorBidi" w:cstheme="minorBidi"/>
                <w:sz w:val="17"/>
                <w:szCs w:val="17"/>
                <w:rtl/>
              </w:rPr>
            </w:pPr>
            <w:r w:rsidRPr="009831F6">
              <w:rPr>
                <w:rFonts w:asciiTheme="minorBidi" w:hAnsiTheme="minorBidi" w:cstheme="minorBidi"/>
                <w:sz w:val="17"/>
                <w:szCs w:val="17"/>
                <w:rtl/>
              </w:rPr>
              <w:t>צוברים</w:t>
            </w:r>
          </w:p>
        </w:tc>
        <w:tc>
          <w:tcPr>
            <w:tcW w:w="958" w:type="pct"/>
            <w:vAlign w:val="bottom"/>
          </w:tcPr>
          <w:p w14:paraId="28D7866B" w14:textId="77777777" w:rsidR="00503A8A" w:rsidRPr="009831F6" w:rsidRDefault="00503A8A" w:rsidP="00503A8A">
            <w:pPr>
              <w:pStyle w:val="-4"/>
              <w:pBdr>
                <w:bottom w:val="single" w:sz="4" w:space="1" w:color="auto"/>
              </w:pBdr>
              <w:rPr>
                <w:rFonts w:asciiTheme="minorBidi" w:hAnsiTheme="minorBidi" w:cstheme="minorBidi"/>
                <w:sz w:val="17"/>
                <w:szCs w:val="17"/>
                <w:rtl/>
              </w:rPr>
            </w:pPr>
            <w:r w:rsidRPr="009831F6">
              <w:rPr>
                <w:rFonts w:asciiTheme="minorBidi" w:hAnsiTheme="minorBidi" w:cstheme="minorBidi"/>
                <w:sz w:val="17"/>
                <w:szCs w:val="17"/>
                <w:rtl/>
              </w:rPr>
              <w:t>לא צוברים</w:t>
            </w:r>
          </w:p>
        </w:tc>
        <w:tc>
          <w:tcPr>
            <w:tcW w:w="574" w:type="pct"/>
            <w:vMerge/>
            <w:tcBorders>
              <w:left w:val="nil"/>
            </w:tcBorders>
            <w:vAlign w:val="bottom"/>
          </w:tcPr>
          <w:p w14:paraId="6F4C9008" w14:textId="77777777" w:rsidR="00503A8A" w:rsidRPr="009831F6" w:rsidRDefault="00503A8A" w:rsidP="00503A8A">
            <w:pPr>
              <w:pStyle w:val="-4"/>
              <w:rPr>
                <w:rFonts w:asciiTheme="minorBidi" w:hAnsiTheme="minorBidi" w:cstheme="minorBidi"/>
                <w:sz w:val="17"/>
                <w:szCs w:val="17"/>
                <w:rtl/>
              </w:rPr>
            </w:pPr>
          </w:p>
        </w:tc>
        <w:tc>
          <w:tcPr>
            <w:tcW w:w="1019" w:type="pct"/>
            <w:vAlign w:val="bottom"/>
          </w:tcPr>
          <w:p w14:paraId="673E88F3" w14:textId="77777777" w:rsidR="00503A8A" w:rsidRPr="009831F6" w:rsidRDefault="00503A8A" w:rsidP="00503A8A">
            <w:pPr>
              <w:jc w:val="center"/>
              <w:rPr>
                <w:rFonts w:asciiTheme="minorBidi" w:hAnsiTheme="minorBidi" w:cstheme="minorBidi"/>
                <w:b/>
                <w:bCs/>
                <w:sz w:val="17"/>
                <w:szCs w:val="17"/>
                <w:rtl/>
              </w:rPr>
            </w:pPr>
            <w:r w:rsidRPr="009831F6">
              <w:rPr>
                <w:rFonts w:asciiTheme="minorBidi" w:hAnsiTheme="minorBidi" w:cstheme="minorBidi"/>
                <w:b/>
                <w:bCs/>
                <w:sz w:val="17"/>
                <w:szCs w:val="17"/>
                <w:rtl/>
              </w:rPr>
              <w:t xml:space="preserve">90 </w:t>
            </w:r>
          </w:p>
          <w:p w14:paraId="6518D0D4" w14:textId="77777777" w:rsidR="00503A8A" w:rsidRPr="009831F6" w:rsidRDefault="00503A8A" w:rsidP="00503A8A">
            <w:pPr>
              <w:pStyle w:val="-4"/>
              <w:rPr>
                <w:rFonts w:asciiTheme="minorBidi" w:hAnsiTheme="minorBidi" w:cstheme="minorBidi"/>
                <w:sz w:val="17"/>
                <w:szCs w:val="17"/>
                <w:rtl/>
              </w:rPr>
            </w:pPr>
            <w:r w:rsidRPr="009831F6">
              <w:rPr>
                <w:rFonts w:asciiTheme="minorBidi" w:hAnsiTheme="minorBidi" w:cstheme="minorBidi"/>
                <w:sz w:val="17"/>
                <w:szCs w:val="17"/>
                <w:rtl/>
              </w:rPr>
              <w:t>או יותר</w:t>
            </w:r>
          </w:p>
        </w:tc>
        <w:tc>
          <w:tcPr>
            <w:tcW w:w="823" w:type="pct"/>
            <w:vAlign w:val="bottom"/>
          </w:tcPr>
          <w:p w14:paraId="04104D34" w14:textId="77777777" w:rsidR="00503A8A" w:rsidRPr="009831F6" w:rsidRDefault="00503A8A" w:rsidP="00503A8A">
            <w:pPr>
              <w:jc w:val="center"/>
              <w:rPr>
                <w:rFonts w:asciiTheme="minorBidi" w:hAnsiTheme="minorBidi" w:cstheme="minorBidi"/>
                <w:b/>
                <w:bCs/>
                <w:sz w:val="17"/>
                <w:szCs w:val="17"/>
                <w:rtl/>
              </w:rPr>
            </w:pPr>
            <w:r w:rsidRPr="009831F6">
              <w:rPr>
                <w:rFonts w:asciiTheme="minorBidi" w:hAnsiTheme="minorBidi" w:cstheme="minorBidi"/>
                <w:b/>
                <w:bCs/>
                <w:sz w:val="17"/>
                <w:szCs w:val="17"/>
                <w:rtl/>
              </w:rPr>
              <w:t>30 ועד</w:t>
            </w:r>
          </w:p>
          <w:p w14:paraId="006E84DC" w14:textId="77777777" w:rsidR="00503A8A" w:rsidRPr="009831F6" w:rsidRDefault="00503A8A" w:rsidP="00503A8A">
            <w:pPr>
              <w:pStyle w:val="-4"/>
              <w:rPr>
                <w:rFonts w:asciiTheme="minorBidi" w:hAnsiTheme="minorBidi" w:cstheme="minorBidi"/>
                <w:sz w:val="17"/>
                <w:szCs w:val="17"/>
                <w:rtl/>
              </w:rPr>
            </w:pPr>
            <w:r w:rsidRPr="009831F6">
              <w:rPr>
                <w:rFonts w:asciiTheme="minorBidi" w:hAnsiTheme="minorBidi" w:cstheme="minorBidi"/>
                <w:sz w:val="17"/>
                <w:szCs w:val="17"/>
                <w:rtl/>
              </w:rPr>
              <w:t xml:space="preserve">89 </w:t>
            </w:r>
          </w:p>
        </w:tc>
      </w:tr>
      <w:tr w:rsidR="00503A8A" w:rsidRPr="009831F6" w14:paraId="19A478B1" w14:textId="77777777" w:rsidTr="00503A8A">
        <w:trPr>
          <w:trHeight w:val="259"/>
        </w:trPr>
        <w:tc>
          <w:tcPr>
            <w:tcW w:w="821" w:type="pct"/>
            <w:vAlign w:val="bottom"/>
          </w:tcPr>
          <w:p w14:paraId="29552000" w14:textId="77777777" w:rsidR="00503A8A" w:rsidRPr="009831F6" w:rsidRDefault="00503A8A" w:rsidP="00503A8A">
            <w:pPr>
              <w:pStyle w:val="-3"/>
              <w:spacing w:line="192" w:lineRule="auto"/>
              <w:rPr>
                <w:rFonts w:asciiTheme="minorBidi" w:hAnsiTheme="minorBidi" w:cstheme="minorBidi"/>
                <w:sz w:val="17"/>
                <w:szCs w:val="17"/>
                <w:rtl/>
              </w:rPr>
            </w:pPr>
          </w:p>
        </w:tc>
        <w:tc>
          <w:tcPr>
            <w:tcW w:w="806" w:type="pct"/>
            <w:vAlign w:val="bottom"/>
          </w:tcPr>
          <w:p w14:paraId="41B97070" w14:textId="77777777" w:rsidR="00503A8A" w:rsidRPr="009831F6" w:rsidRDefault="00503A8A" w:rsidP="00503A8A">
            <w:pPr>
              <w:pStyle w:val="-3"/>
              <w:spacing w:line="192" w:lineRule="auto"/>
              <w:rPr>
                <w:rFonts w:asciiTheme="minorBidi" w:hAnsiTheme="minorBidi" w:cstheme="minorBidi"/>
                <w:sz w:val="17"/>
                <w:szCs w:val="17"/>
                <w:rtl/>
              </w:rPr>
            </w:pPr>
          </w:p>
        </w:tc>
        <w:tc>
          <w:tcPr>
            <w:tcW w:w="958" w:type="pct"/>
            <w:vAlign w:val="bottom"/>
          </w:tcPr>
          <w:p w14:paraId="021B3F03" w14:textId="77777777" w:rsidR="00503A8A" w:rsidRPr="009831F6" w:rsidRDefault="00503A8A" w:rsidP="00503A8A">
            <w:pPr>
              <w:pStyle w:val="-3"/>
              <w:spacing w:line="192" w:lineRule="auto"/>
              <w:rPr>
                <w:rFonts w:asciiTheme="minorBidi" w:hAnsiTheme="minorBidi" w:cstheme="minorBidi"/>
                <w:sz w:val="17"/>
                <w:szCs w:val="17"/>
                <w:rtl/>
              </w:rPr>
            </w:pPr>
          </w:p>
        </w:tc>
        <w:tc>
          <w:tcPr>
            <w:tcW w:w="574" w:type="pct"/>
            <w:vAlign w:val="bottom"/>
          </w:tcPr>
          <w:p w14:paraId="6A4D0870" w14:textId="77777777" w:rsidR="00503A8A" w:rsidRPr="009831F6" w:rsidRDefault="00503A8A" w:rsidP="00503A8A">
            <w:pPr>
              <w:pStyle w:val="-3"/>
              <w:spacing w:line="192" w:lineRule="auto"/>
              <w:rPr>
                <w:rFonts w:asciiTheme="minorBidi" w:hAnsiTheme="minorBidi" w:cstheme="minorBidi"/>
                <w:sz w:val="17"/>
                <w:szCs w:val="17"/>
                <w:rtl/>
              </w:rPr>
            </w:pPr>
          </w:p>
        </w:tc>
        <w:tc>
          <w:tcPr>
            <w:tcW w:w="1019" w:type="pct"/>
            <w:vAlign w:val="bottom"/>
          </w:tcPr>
          <w:p w14:paraId="2849B34B" w14:textId="77777777" w:rsidR="00503A8A" w:rsidRPr="009831F6" w:rsidRDefault="00503A8A" w:rsidP="00503A8A">
            <w:pPr>
              <w:pStyle w:val="-3"/>
              <w:spacing w:line="192" w:lineRule="auto"/>
              <w:rPr>
                <w:rFonts w:asciiTheme="minorBidi" w:hAnsiTheme="minorBidi" w:cstheme="minorBidi"/>
                <w:sz w:val="17"/>
                <w:szCs w:val="17"/>
                <w:rtl/>
              </w:rPr>
            </w:pPr>
          </w:p>
        </w:tc>
        <w:tc>
          <w:tcPr>
            <w:tcW w:w="823" w:type="pct"/>
            <w:vAlign w:val="bottom"/>
          </w:tcPr>
          <w:p w14:paraId="2E6FFF5E" w14:textId="77777777" w:rsidR="00503A8A" w:rsidRPr="009831F6" w:rsidRDefault="00503A8A" w:rsidP="00503A8A">
            <w:pPr>
              <w:pStyle w:val="-3"/>
              <w:spacing w:line="192" w:lineRule="auto"/>
              <w:rPr>
                <w:rFonts w:asciiTheme="minorBidi" w:hAnsiTheme="minorBidi" w:cstheme="minorBidi"/>
                <w:sz w:val="17"/>
                <w:szCs w:val="17"/>
                <w:rtl/>
              </w:rPr>
            </w:pPr>
          </w:p>
        </w:tc>
      </w:tr>
      <w:tr w:rsidR="00503A8A" w:rsidRPr="009831F6" w14:paraId="56CE3726" w14:textId="77777777" w:rsidTr="00503A8A">
        <w:trPr>
          <w:trHeight w:val="227"/>
        </w:trPr>
        <w:tc>
          <w:tcPr>
            <w:tcW w:w="821" w:type="pct"/>
            <w:vAlign w:val="bottom"/>
          </w:tcPr>
          <w:p w14:paraId="55B6D2F9" w14:textId="77777777" w:rsidR="00503A8A" w:rsidRPr="009831F6" w:rsidRDefault="00503A8A" w:rsidP="00503A8A">
            <w:pPr>
              <w:pStyle w:val="-3"/>
              <w:spacing w:line="240" w:lineRule="auto"/>
              <w:rPr>
                <w:rFonts w:asciiTheme="minorBidi" w:hAnsiTheme="minorBidi" w:cstheme="minorBidi"/>
                <w:sz w:val="17"/>
                <w:szCs w:val="17"/>
                <w:rtl/>
              </w:rPr>
            </w:pPr>
          </w:p>
        </w:tc>
        <w:tc>
          <w:tcPr>
            <w:tcW w:w="806" w:type="pct"/>
            <w:vAlign w:val="bottom"/>
          </w:tcPr>
          <w:p w14:paraId="61C88EE5" w14:textId="77777777" w:rsidR="00503A8A" w:rsidRPr="009831F6" w:rsidRDefault="00503A8A" w:rsidP="00503A8A">
            <w:pPr>
              <w:pStyle w:val="-3"/>
              <w:spacing w:line="240" w:lineRule="auto"/>
              <w:rPr>
                <w:rFonts w:asciiTheme="minorBidi" w:hAnsiTheme="minorBidi" w:cstheme="minorBidi"/>
                <w:sz w:val="17"/>
                <w:szCs w:val="17"/>
                <w:rtl/>
              </w:rPr>
            </w:pPr>
          </w:p>
        </w:tc>
        <w:tc>
          <w:tcPr>
            <w:tcW w:w="958" w:type="pct"/>
            <w:vAlign w:val="bottom"/>
          </w:tcPr>
          <w:p w14:paraId="661ECB5E" w14:textId="77777777" w:rsidR="00503A8A" w:rsidRPr="009831F6" w:rsidRDefault="00503A8A" w:rsidP="00503A8A">
            <w:pPr>
              <w:pStyle w:val="-3"/>
              <w:spacing w:line="240" w:lineRule="auto"/>
              <w:rPr>
                <w:rFonts w:asciiTheme="minorBidi" w:hAnsiTheme="minorBidi" w:cstheme="minorBidi"/>
                <w:sz w:val="17"/>
                <w:szCs w:val="17"/>
                <w:rtl/>
              </w:rPr>
            </w:pPr>
          </w:p>
        </w:tc>
        <w:tc>
          <w:tcPr>
            <w:tcW w:w="574" w:type="pct"/>
            <w:vAlign w:val="bottom"/>
          </w:tcPr>
          <w:p w14:paraId="466CCFBB" w14:textId="77777777" w:rsidR="00503A8A" w:rsidRPr="009831F6" w:rsidRDefault="00503A8A" w:rsidP="00503A8A">
            <w:pPr>
              <w:pStyle w:val="-3"/>
              <w:spacing w:line="240" w:lineRule="auto"/>
              <w:rPr>
                <w:rFonts w:asciiTheme="minorBidi" w:hAnsiTheme="minorBidi" w:cstheme="minorBidi"/>
                <w:sz w:val="17"/>
                <w:szCs w:val="17"/>
                <w:rtl/>
              </w:rPr>
            </w:pPr>
          </w:p>
        </w:tc>
        <w:tc>
          <w:tcPr>
            <w:tcW w:w="1019" w:type="pct"/>
            <w:vAlign w:val="bottom"/>
          </w:tcPr>
          <w:p w14:paraId="576A1911" w14:textId="77777777" w:rsidR="00503A8A" w:rsidRPr="009831F6" w:rsidRDefault="00503A8A" w:rsidP="00503A8A">
            <w:pPr>
              <w:pStyle w:val="-3"/>
              <w:spacing w:line="240" w:lineRule="auto"/>
              <w:rPr>
                <w:rFonts w:asciiTheme="minorBidi" w:hAnsiTheme="minorBidi" w:cstheme="minorBidi"/>
                <w:sz w:val="17"/>
                <w:szCs w:val="17"/>
                <w:rtl/>
              </w:rPr>
            </w:pPr>
          </w:p>
        </w:tc>
        <w:tc>
          <w:tcPr>
            <w:tcW w:w="823" w:type="pct"/>
            <w:vAlign w:val="bottom"/>
          </w:tcPr>
          <w:p w14:paraId="1C507CBE" w14:textId="77777777" w:rsidR="00503A8A" w:rsidRPr="009831F6" w:rsidRDefault="00503A8A" w:rsidP="00503A8A">
            <w:pPr>
              <w:pStyle w:val="-3"/>
              <w:spacing w:line="240" w:lineRule="auto"/>
              <w:rPr>
                <w:rFonts w:asciiTheme="minorBidi" w:hAnsiTheme="minorBidi" w:cstheme="minorBidi"/>
                <w:sz w:val="17"/>
                <w:szCs w:val="17"/>
                <w:rtl/>
              </w:rPr>
            </w:pPr>
          </w:p>
        </w:tc>
      </w:tr>
      <w:tr w:rsidR="00503A8A" w:rsidRPr="009831F6" w14:paraId="0376912F" w14:textId="77777777" w:rsidTr="00503A8A">
        <w:trPr>
          <w:trHeight w:val="227"/>
        </w:trPr>
        <w:tc>
          <w:tcPr>
            <w:tcW w:w="821" w:type="pct"/>
            <w:vAlign w:val="bottom"/>
          </w:tcPr>
          <w:p w14:paraId="40269A80"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vAlign w:val="bottom"/>
          </w:tcPr>
          <w:p w14:paraId="2401F758"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vAlign w:val="bottom"/>
          </w:tcPr>
          <w:p w14:paraId="7A7AB272"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vAlign w:val="bottom"/>
          </w:tcPr>
          <w:p w14:paraId="501CCA8E"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vAlign w:val="bottom"/>
          </w:tcPr>
          <w:p w14:paraId="7B938F43"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3" w:type="pct"/>
            <w:vAlign w:val="bottom"/>
          </w:tcPr>
          <w:p w14:paraId="66EBE9D5"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503A8A" w:rsidRPr="009831F6" w14:paraId="3FE64388" w14:textId="77777777" w:rsidTr="00503A8A">
        <w:trPr>
          <w:trHeight w:val="357"/>
        </w:trPr>
        <w:tc>
          <w:tcPr>
            <w:tcW w:w="821" w:type="pct"/>
            <w:vAlign w:val="bottom"/>
          </w:tcPr>
          <w:p w14:paraId="76AC74C3"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vAlign w:val="bottom"/>
          </w:tcPr>
          <w:p w14:paraId="510861FD"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vAlign w:val="bottom"/>
          </w:tcPr>
          <w:p w14:paraId="49A3F835"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vAlign w:val="bottom"/>
          </w:tcPr>
          <w:p w14:paraId="3275E62B"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vAlign w:val="bottom"/>
          </w:tcPr>
          <w:p w14:paraId="700BBC16"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3" w:type="pct"/>
            <w:vAlign w:val="bottom"/>
          </w:tcPr>
          <w:p w14:paraId="0D3B883D"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503A8A" w:rsidRPr="009831F6" w14:paraId="57C6AA25" w14:textId="77777777" w:rsidTr="00503A8A">
        <w:trPr>
          <w:trHeight w:val="227"/>
        </w:trPr>
        <w:tc>
          <w:tcPr>
            <w:tcW w:w="821" w:type="pct"/>
            <w:vAlign w:val="bottom"/>
          </w:tcPr>
          <w:p w14:paraId="7FB99B28"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vAlign w:val="bottom"/>
          </w:tcPr>
          <w:p w14:paraId="0E825D2C"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vAlign w:val="bottom"/>
          </w:tcPr>
          <w:p w14:paraId="3A3D1C67"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vAlign w:val="bottom"/>
          </w:tcPr>
          <w:p w14:paraId="557776D4"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vAlign w:val="bottom"/>
          </w:tcPr>
          <w:p w14:paraId="631693EE"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3" w:type="pct"/>
            <w:vAlign w:val="bottom"/>
          </w:tcPr>
          <w:p w14:paraId="74360765"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503A8A" w:rsidRPr="009831F6" w14:paraId="4E6B1631" w14:textId="77777777" w:rsidTr="00503A8A">
        <w:trPr>
          <w:trHeight w:val="227"/>
        </w:trPr>
        <w:tc>
          <w:tcPr>
            <w:tcW w:w="821" w:type="pct"/>
            <w:vAlign w:val="bottom"/>
          </w:tcPr>
          <w:p w14:paraId="7B7A4267"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vAlign w:val="bottom"/>
          </w:tcPr>
          <w:p w14:paraId="1C525804"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vAlign w:val="bottom"/>
          </w:tcPr>
          <w:p w14:paraId="1E0748D4"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vAlign w:val="bottom"/>
          </w:tcPr>
          <w:p w14:paraId="1881A969"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vAlign w:val="bottom"/>
          </w:tcPr>
          <w:p w14:paraId="414CE40E"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3" w:type="pct"/>
            <w:vAlign w:val="bottom"/>
          </w:tcPr>
          <w:p w14:paraId="3DD5CECB"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503A8A" w:rsidRPr="009831F6" w14:paraId="14C13FD2" w14:textId="77777777" w:rsidTr="00503A8A">
        <w:trPr>
          <w:trHeight w:val="249"/>
        </w:trPr>
        <w:tc>
          <w:tcPr>
            <w:tcW w:w="821" w:type="pct"/>
            <w:vAlign w:val="bottom"/>
          </w:tcPr>
          <w:p w14:paraId="7D3F2479"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06" w:type="pct"/>
            <w:vAlign w:val="bottom"/>
          </w:tcPr>
          <w:p w14:paraId="7A672B84"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958" w:type="pct"/>
            <w:vAlign w:val="bottom"/>
          </w:tcPr>
          <w:p w14:paraId="62FD6701"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74" w:type="pct"/>
            <w:vAlign w:val="bottom"/>
          </w:tcPr>
          <w:p w14:paraId="2E657B8A"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1019" w:type="pct"/>
            <w:vAlign w:val="bottom"/>
          </w:tcPr>
          <w:p w14:paraId="06411F60"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23" w:type="pct"/>
            <w:vAlign w:val="bottom"/>
          </w:tcPr>
          <w:p w14:paraId="0B5D48DF"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r>
      <w:tr w:rsidR="00503A8A" w:rsidRPr="009831F6" w14:paraId="5D986A81" w14:textId="77777777" w:rsidTr="00503A8A">
        <w:trPr>
          <w:trHeight w:val="397"/>
        </w:trPr>
        <w:tc>
          <w:tcPr>
            <w:tcW w:w="821" w:type="pct"/>
            <w:vAlign w:val="bottom"/>
          </w:tcPr>
          <w:p w14:paraId="54BA2697" w14:textId="77777777" w:rsidR="00503A8A" w:rsidRPr="009831F6" w:rsidRDefault="00503A8A"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06" w:type="pct"/>
            <w:vAlign w:val="bottom"/>
          </w:tcPr>
          <w:p w14:paraId="04675DC1" w14:textId="77777777" w:rsidR="00503A8A" w:rsidRPr="009831F6" w:rsidRDefault="00503A8A"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958" w:type="pct"/>
            <w:vAlign w:val="bottom"/>
          </w:tcPr>
          <w:p w14:paraId="0C846200" w14:textId="77777777" w:rsidR="00503A8A" w:rsidRPr="009831F6" w:rsidRDefault="00503A8A"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74" w:type="pct"/>
            <w:vAlign w:val="bottom"/>
          </w:tcPr>
          <w:p w14:paraId="4DB045E8" w14:textId="77777777" w:rsidR="00503A8A" w:rsidRPr="009831F6" w:rsidRDefault="00503A8A"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1019" w:type="pct"/>
            <w:vAlign w:val="bottom"/>
          </w:tcPr>
          <w:p w14:paraId="7E76C00D" w14:textId="77777777" w:rsidR="00503A8A" w:rsidRPr="009831F6" w:rsidRDefault="00503A8A"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23" w:type="pct"/>
            <w:vAlign w:val="bottom"/>
          </w:tcPr>
          <w:p w14:paraId="2CB2ACB5" w14:textId="77777777" w:rsidR="00503A8A" w:rsidRPr="009831F6" w:rsidRDefault="00503A8A"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r>
      <w:tr w:rsidR="00503A8A" w:rsidRPr="009831F6" w14:paraId="52ABC241" w14:textId="77777777" w:rsidTr="00503A8A">
        <w:trPr>
          <w:trHeight w:val="227"/>
        </w:trPr>
        <w:tc>
          <w:tcPr>
            <w:tcW w:w="821" w:type="pct"/>
            <w:vAlign w:val="bottom"/>
          </w:tcPr>
          <w:p w14:paraId="3B3AAD08"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06" w:type="pct"/>
            <w:vAlign w:val="bottom"/>
          </w:tcPr>
          <w:p w14:paraId="550CE166"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958" w:type="pct"/>
            <w:vAlign w:val="bottom"/>
          </w:tcPr>
          <w:p w14:paraId="6A2FE98F"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74" w:type="pct"/>
            <w:vAlign w:val="bottom"/>
          </w:tcPr>
          <w:p w14:paraId="4B1FF52E"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1019" w:type="pct"/>
            <w:vAlign w:val="bottom"/>
          </w:tcPr>
          <w:p w14:paraId="240DC492"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23" w:type="pct"/>
            <w:vAlign w:val="bottom"/>
          </w:tcPr>
          <w:p w14:paraId="3F3AED3B"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r>
      <w:tr w:rsidR="00503A8A" w:rsidRPr="009831F6" w14:paraId="1EE8F840" w14:textId="77777777" w:rsidTr="00503A8A">
        <w:trPr>
          <w:trHeight w:val="249"/>
        </w:trPr>
        <w:tc>
          <w:tcPr>
            <w:tcW w:w="821" w:type="pct"/>
            <w:vAlign w:val="bottom"/>
          </w:tcPr>
          <w:p w14:paraId="22481EF1"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vAlign w:val="bottom"/>
          </w:tcPr>
          <w:p w14:paraId="43D7C989"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vAlign w:val="bottom"/>
          </w:tcPr>
          <w:p w14:paraId="485B5945"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vAlign w:val="bottom"/>
          </w:tcPr>
          <w:p w14:paraId="737C975C"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vAlign w:val="bottom"/>
          </w:tcPr>
          <w:p w14:paraId="0DC7A8D3"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3" w:type="pct"/>
            <w:vAlign w:val="bottom"/>
          </w:tcPr>
          <w:p w14:paraId="3FA458A1"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503A8A" w:rsidRPr="009831F6" w14:paraId="0DAD372C" w14:textId="77777777" w:rsidTr="00503A8A">
        <w:trPr>
          <w:trHeight w:hRule="exact" w:val="79"/>
        </w:trPr>
        <w:tc>
          <w:tcPr>
            <w:tcW w:w="821" w:type="pct"/>
            <w:vAlign w:val="bottom"/>
          </w:tcPr>
          <w:p w14:paraId="6A8867F8" w14:textId="77777777" w:rsidR="00503A8A" w:rsidRPr="009831F6" w:rsidRDefault="00503A8A" w:rsidP="00503A8A">
            <w:pPr>
              <w:pStyle w:val="-12"/>
              <w:pBdr>
                <w:top w:val="none" w:sz="0" w:space="0" w:color="auto"/>
              </w:pBdr>
              <w:spacing w:line="240" w:lineRule="auto"/>
              <w:jc w:val="center"/>
              <w:rPr>
                <w:rFonts w:asciiTheme="minorBidi" w:hAnsiTheme="minorBidi" w:cstheme="minorBidi"/>
                <w:sz w:val="17"/>
                <w:szCs w:val="17"/>
                <w:rtl/>
              </w:rPr>
            </w:pPr>
          </w:p>
        </w:tc>
        <w:tc>
          <w:tcPr>
            <w:tcW w:w="806" w:type="pct"/>
            <w:vAlign w:val="bottom"/>
          </w:tcPr>
          <w:p w14:paraId="0E098231" w14:textId="77777777" w:rsidR="00503A8A" w:rsidRPr="009831F6" w:rsidRDefault="00503A8A" w:rsidP="00503A8A">
            <w:pPr>
              <w:pStyle w:val="-12"/>
              <w:pBdr>
                <w:top w:val="none" w:sz="0" w:space="0" w:color="auto"/>
              </w:pBdr>
              <w:spacing w:line="240" w:lineRule="auto"/>
              <w:jc w:val="center"/>
              <w:rPr>
                <w:rFonts w:asciiTheme="minorBidi" w:hAnsiTheme="minorBidi" w:cstheme="minorBidi"/>
                <w:sz w:val="17"/>
                <w:szCs w:val="17"/>
                <w:rtl/>
              </w:rPr>
            </w:pPr>
          </w:p>
        </w:tc>
        <w:tc>
          <w:tcPr>
            <w:tcW w:w="958" w:type="pct"/>
            <w:vAlign w:val="bottom"/>
          </w:tcPr>
          <w:p w14:paraId="1DD45743" w14:textId="77777777" w:rsidR="00503A8A" w:rsidRPr="009831F6" w:rsidRDefault="00503A8A" w:rsidP="00503A8A">
            <w:pPr>
              <w:pStyle w:val="-12"/>
              <w:pBdr>
                <w:top w:val="none" w:sz="0" w:space="0" w:color="auto"/>
              </w:pBdr>
              <w:spacing w:line="240" w:lineRule="auto"/>
              <w:jc w:val="center"/>
              <w:rPr>
                <w:rFonts w:asciiTheme="minorBidi" w:hAnsiTheme="minorBidi" w:cstheme="minorBidi"/>
                <w:sz w:val="17"/>
                <w:szCs w:val="17"/>
                <w:rtl/>
              </w:rPr>
            </w:pPr>
          </w:p>
        </w:tc>
        <w:tc>
          <w:tcPr>
            <w:tcW w:w="574" w:type="pct"/>
            <w:vAlign w:val="bottom"/>
          </w:tcPr>
          <w:p w14:paraId="7624676C" w14:textId="77777777" w:rsidR="00503A8A" w:rsidRPr="009831F6" w:rsidRDefault="00503A8A" w:rsidP="00503A8A">
            <w:pPr>
              <w:pStyle w:val="-12"/>
              <w:pBdr>
                <w:top w:val="none" w:sz="0" w:space="0" w:color="auto"/>
              </w:pBdr>
              <w:spacing w:line="240" w:lineRule="auto"/>
              <w:jc w:val="center"/>
              <w:rPr>
                <w:rFonts w:asciiTheme="minorBidi" w:hAnsiTheme="minorBidi" w:cstheme="minorBidi"/>
                <w:b/>
                <w:bCs/>
                <w:sz w:val="17"/>
                <w:szCs w:val="17"/>
                <w:rtl/>
              </w:rPr>
            </w:pPr>
          </w:p>
        </w:tc>
        <w:tc>
          <w:tcPr>
            <w:tcW w:w="1019" w:type="pct"/>
            <w:vAlign w:val="bottom"/>
          </w:tcPr>
          <w:p w14:paraId="6DA0A260" w14:textId="77777777" w:rsidR="00503A8A" w:rsidRPr="009831F6" w:rsidRDefault="00503A8A" w:rsidP="00503A8A">
            <w:pPr>
              <w:pStyle w:val="-12"/>
              <w:pBdr>
                <w:top w:val="none" w:sz="0" w:space="0" w:color="auto"/>
              </w:pBdr>
              <w:spacing w:line="240" w:lineRule="auto"/>
              <w:jc w:val="center"/>
              <w:rPr>
                <w:rFonts w:asciiTheme="minorBidi" w:hAnsiTheme="minorBidi" w:cstheme="minorBidi"/>
                <w:sz w:val="17"/>
                <w:szCs w:val="17"/>
                <w:rtl/>
              </w:rPr>
            </w:pPr>
          </w:p>
        </w:tc>
        <w:tc>
          <w:tcPr>
            <w:tcW w:w="823" w:type="pct"/>
            <w:vAlign w:val="bottom"/>
          </w:tcPr>
          <w:p w14:paraId="46823EBA" w14:textId="77777777" w:rsidR="00503A8A" w:rsidRPr="009831F6" w:rsidRDefault="00503A8A" w:rsidP="00503A8A">
            <w:pPr>
              <w:pStyle w:val="-12"/>
              <w:pBdr>
                <w:top w:val="none" w:sz="0" w:space="0" w:color="auto"/>
              </w:pBdr>
              <w:spacing w:line="240" w:lineRule="auto"/>
              <w:jc w:val="center"/>
              <w:rPr>
                <w:rFonts w:asciiTheme="minorBidi" w:hAnsiTheme="minorBidi" w:cstheme="minorBidi"/>
                <w:sz w:val="17"/>
                <w:szCs w:val="17"/>
                <w:rtl/>
              </w:rPr>
            </w:pPr>
          </w:p>
        </w:tc>
      </w:tr>
      <w:tr w:rsidR="00503A8A" w:rsidRPr="009831F6" w14:paraId="3B141AE2" w14:textId="77777777" w:rsidTr="00503A8A">
        <w:trPr>
          <w:trHeight w:val="203"/>
        </w:trPr>
        <w:tc>
          <w:tcPr>
            <w:tcW w:w="821" w:type="pct"/>
            <w:vAlign w:val="bottom"/>
          </w:tcPr>
          <w:p w14:paraId="492A3F0B" w14:textId="77777777" w:rsidR="00503A8A" w:rsidRPr="009831F6" w:rsidRDefault="00503A8A" w:rsidP="00503A8A">
            <w:pPr>
              <w:pStyle w:val="-3"/>
              <w:spacing w:line="240" w:lineRule="auto"/>
              <w:rPr>
                <w:rFonts w:asciiTheme="minorBidi" w:hAnsiTheme="minorBidi" w:cstheme="minorBidi"/>
                <w:sz w:val="17"/>
                <w:szCs w:val="17"/>
                <w:rtl/>
              </w:rPr>
            </w:pPr>
          </w:p>
        </w:tc>
        <w:tc>
          <w:tcPr>
            <w:tcW w:w="806" w:type="pct"/>
            <w:vAlign w:val="bottom"/>
          </w:tcPr>
          <w:p w14:paraId="74C15B57" w14:textId="77777777" w:rsidR="00503A8A" w:rsidRPr="009831F6" w:rsidRDefault="00503A8A" w:rsidP="00503A8A">
            <w:pPr>
              <w:pStyle w:val="-3"/>
              <w:spacing w:line="240" w:lineRule="auto"/>
              <w:rPr>
                <w:rFonts w:asciiTheme="minorBidi" w:hAnsiTheme="minorBidi" w:cstheme="minorBidi"/>
                <w:sz w:val="17"/>
                <w:szCs w:val="17"/>
                <w:rtl/>
              </w:rPr>
            </w:pPr>
          </w:p>
        </w:tc>
        <w:tc>
          <w:tcPr>
            <w:tcW w:w="958" w:type="pct"/>
            <w:vAlign w:val="bottom"/>
          </w:tcPr>
          <w:p w14:paraId="38DA0A59" w14:textId="77777777" w:rsidR="00503A8A" w:rsidRPr="009831F6" w:rsidRDefault="00503A8A" w:rsidP="00503A8A">
            <w:pPr>
              <w:pStyle w:val="-3"/>
              <w:spacing w:line="240" w:lineRule="auto"/>
              <w:rPr>
                <w:rFonts w:asciiTheme="minorBidi" w:hAnsiTheme="minorBidi" w:cstheme="minorBidi"/>
                <w:sz w:val="17"/>
                <w:szCs w:val="17"/>
                <w:rtl/>
              </w:rPr>
            </w:pPr>
          </w:p>
        </w:tc>
        <w:tc>
          <w:tcPr>
            <w:tcW w:w="574" w:type="pct"/>
            <w:vAlign w:val="bottom"/>
          </w:tcPr>
          <w:p w14:paraId="1FCBC7FC" w14:textId="77777777" w:rsidR="00503A8A" w:rsidRPr="009831F6" w:rsidRDefault="00503A8A" w:rsidP="00503A8A">
            <w:pPr>
              <w:pStyle w:val="-3"/>
              <w:spacing w:line="240" w:lineRule="auto"/>
              <w:rPr>
                <w:rFonts w:asciiTheme="minorBidi" w:hAnsiTheme="minorBidi" w:cstheme="minorBidi"/>
                <w:b/>
                <w:bCs/>
                <w:sz w:val="17"/>
                <w:szCs w:val="17"/>
                <w:rtl/>
              </w:rPr>
            </w:pPr>
          </w:p>
        </w:tc>
        <w:tc>
          <w:tcPr>
            <w:tcW w:w="1019" w:type="pct"/>
            <w:vAlign w:val="bottom"/>
          </w:tcPr>
          <w:p w14:paraId="67C3C53E" w14:textId="77777777" w:rsidR="00503A8A" w:rsidRPr="009831F6" w:rsidRDefault="00503A8A" w:rsidP="00503A8A">
            <w:pPr>
              <w:pStyle w:val="-3"/>
              <w:spacing w:line="240" w:lineRule="auto"/>
              <w:rPr>
                <w:rFonts w:asciiTheme="minorBidi" w:hAnsiTheme="minorBidi" w:cstheme="minorBidi"/>
                <w:sz w:val="17"/>
                <w:szCs w:val="17"/>
                <w:rtl/>
              </w:rPr>
            </w:pPr>
          </w:p>
        </w:tc>
        <w:tc>
          <w:tcPr>
            <w:tcW w:w="823" w:type="pct"/>
            <w:vAlign w:val="bottom"/>
          </w:tcPr>
          <w:p w14:paraId="5C72CC4A" w14:textId="77777777" w:rsidR="00503A8A" w:rsidRPr="009831F6" w:rsidRDefault="00503A8A" w:rsidP="00503A8A">
            <w:pPr>
              <w:pStyle w:val="-3"/>
              <w:spacing w:line="240" w:lineRule="auto"/>
              <w:rPr>
                <w:rFonts w:asciiTheme="minorBidi" w:hAnsiTheme="minorBidi" w:cstheme="minorBidi"/>
                <w:sz w:val="17"/>
                <w:szCs w:val="17"/>
                <w:rtl/>
              </w:rPr>
            </w:pPr>
          </w:p>
        </w:tc>
      </w:tr>
      <w:tr w:rsidR="00503A8A" w:rsidRPr="009831F6" w14:paraId="4A94FA0C" w14:textId="77777777" w:rsidTr="00503A8A">
        <w:trPr>
          <w:trHeight w:val="227"/>
        </w:trPr>
        <w:tc>
          <w:tcPr>
            <w:tcW w:w="821" w:type="pct"/>
            <w:vAlign w:val="bottom"/>
          </w:tcPr>
          <w:p w14:paraId="0D582E71" w14:textId="77777777" w:rsidR="00503A8A" w:rsidRPr="009831F6" w:rsidRDefault="00503A8A" w:rsidP="00503A8A">
            <w:pPr>
              <w:pStyle w:val="-3"/>
              <w:spacing w:line="240" w:lineRule="auto"/>
              <w:rPr>
                <w:rFonts w:asciiTheme="minorBidi" w:hAnsiTheme="minorBidi" w:cstheme="minorBidi"/>
                <w:sz w:val="17"/>
                <w:szCs w:val="17"/>
                <w:rtl/>
              </w:rPr>
            </w:pPr>
          </w:p>
        </w:tc>
        <w:tc>
          <w:tcPr>
            <w:tcW w:w="806" w:type="pct"/>
            <w:vAlign w:val="bottom"/>
          </w:tcPr>
          <w:p w14:paraId="0AFA4C77" w14:textId="77777777" w:rsidR="00503A8A" w:rsidRPr="009831F6" w:rsidRDefault="00503A8A" w:rsidP="00503A8A">
            <w:pPr>
              <w:pStyle w:val="-3"/>
              <w:spacing w:line="240" w:lineRule="auto"/>
              <w:rPr>
                <w:rFonts w:asciiTheme="minorBidi" w:hAnsiTheme="minorBidi" w:cstheme="minorBidi"/>
                <w:sz w:val="17"/>
                <w:szCs w:val="17"/>
                <w:rtl/>
              </w:rPr>
            </w:pPr>
          </w:p>
        </w:tc>
        <w:tc>
          <w:tcPr>
            <w:tcW w:w="958" w:type="pct"/>
            <w:vAlign w:val="bottom"/>
          </w:tcPr>
          <w:p w14:paraId="3F543989" w14:textId="77777777" w:rsidR="00503A8A" w:rsidRPr="009831F6" w:rsidRDefault="00503A8A" w:rsidP="00503A8A">
            <w:pPr>
              <w:pStyle w:val="-3"/>
              <w:spacing w:line="240" w:lineRule="auto"/>
              <w:rPr>
                <w:rFonts w:asciiTheme="minorBidi" w:hAnsiTheme="minorBidi" w:cstheme="minorBidi"/>
                <w:sz w:val="17"/>
                <w:szCs w:val="17"/>
                <w:rtl/>
              </w:rPr>
            </w:pPr>
          </w:p>
        </w:tc>
        <w:tc>
          <w:tcPr>
            <w:tcW w:w="574" w:type="pct"/>
            <w:vAlign w:val="bottom"/>
          </w:tcPr>
          <w:p w14:paraId="1D30217A" w14:textId="77777777" w:rsidR="00503A8A" w:rsidRPr="009831F6" w:rsidRDefault="00503A8A" w:rsidP="00503A8A">
            <w:pPr>
              <w:pStyle w:val="-3"/>
              <w:spacing w:line="240" w:lineRule="auto"/>
              <w:rPr>
                <w:rFonts w:asciiTheme="minorBidi" w:hAnsiTheme="minorBidi" w:cstheme="minorBidi"/>
                <w:b/>
                <w:bCs/>
                <w:sz w:val="17"/>
                <w:szCs w:val="17"/>
                <w:rtl/>
              </w:rPr>
            </w:pPr>
          </w:p>
        </w:tc>
        <w:tc>
          <w:tcPr>
            <w:tcW w:w="1019" w:type="pct"/>
            <w:vAlign w:val="bottom"/>
          </w:tcPr>
          <w:p w14:paraId="5A80FD97" w14:textId="77777777" w:rsidR="00503A8A" w:rsidRPr="009831F6" w:rsidRDefault="00503A8A" w:rsidP="00503A8A">
            <w:pPr>
              <w:pStyle w:val="-3"/>
              <w:spacing w:line="240" w:lineRule="auto"/>
              <w:rPr>
                <w:rFonts w:asciiTheme="minorBidi" w:hAnsiTheme="minorBidi" w:cstheme="minorBidi"/>
                <w:sz w:val="17"/>
                <w:szCs w:val="17"/>
                <w:rtl/>
              </w:rPr>
            </w:pPr>
          </w:p>
        </w:tc>
        <w:tc>
          <w:tcPr>
            <w:tcW w:w="823" w:type="pct"/>
            <w:vAlign w:val="bottom"/>
          </w:tcPr>
          <w:p w14:paraId="218D7382" w14:textId="77777777" w:rsidR="00503A8A" w:rsidRPr="009831F6" w:rsidRDefault="00503A8A" w:rsidP="00503A8A">
            <w:pPr>
              <w:pStyle w:val="-3"/>
              <w:spacing w:line="240" w:lineRule="auto"/>
              <w:rPr>
                <w:rFonts w:asciiTheme="minorBidi" w:hAnsiTheme="minorBidi" w:cstheme="minorBidi"/>
                <w:sz w:val="17"/>
                <w:szCs w:val="17"/>
                <w:rtl/>
              </w:rPr>
            </w:pPr>
          </w:p>
        </w:tc>
      </w:tr>
      <w:tr w:rsidR="00503A8A" w:rsidRPr="009831F6" w14:paraId="1F880EB7" w14:textId="77777777" w:rsidTr="00503A8A">
        <w:trPr>
          <w:trHeight w:val="227"/>
        </w:trPr>
        <w:tc>
          <w:tcPr>
            <w:tcW w:w="821" w:type="pct"/>
            <w:vAlign w:val="bottom"/>
          </w:tcPr>
          <w:p w14:paraId="50498490"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vAlign w:val="bottom"/>
          </w:tcPr>
          <w:p w14:paraId="2F6F58DD"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vAlign w:val="bottom"/>
          </w:tcPr>
          <w:p w14:paraId="5DB0D3E0"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vAlign w:val="bottom"/>
          </w:tcPr>
          <w:p w14:paraId="63BD1E0D"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vAlign w:val="bottom"/>
          </w:tcPr>
          <w:p w14:paraId="6936C537"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3" w:type="pct"/>
            <w:vAlign w:val="bottom"/>
          </w:tcPr>
          <w:p w14:paraId="7538CFC7"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503A8A" w:rsidRPr="009831F6" w14:paraId="06FC67AE" w14:textId="77777777" w:rsidTr="00503A8A">
        <w:trPr>
          <w:trHeight w:val="227"/>
        </w:trPr>
        <w:tc>
          <w:tcPr>
            <w:tcW w:w="821" w:type="pct"/>
            <w:vAlign w:val="bottom"/>
          </w:tcPr>
          <w:p w14:paraId="41A93B0D"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vAlign w:val="bottom"/>
          </w:tcPr>
          <w:p w14:paraId="144B40E2"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vAlign w:val="bottom"/>
          </w:tcPr>
          <w:p w14:paraId="2604EBCE"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vAlign w:val="bottom"/>
          </w:tcPr>
          <w:p w14:paraId="25D6FF2D"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vAlign w:val="bottom"/>
          </w:tcPr>
          <w:p w14:paraId="440823CF"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3" w:type="pct"/>
            <w:vAlign w:val="bottom"/>
          </w:tcPr>
          <w:p w14:paraId="07529A76"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503A8A" w:rsidRPr="009831F6" w14:paraId="347686C9" w14:textId="77777777" w:rsidTr="00503A8A">
        <w:trPr>
          <w:trHeight w:val="227"/>
        </w:trPr>
        <w:tc>
          <w:tcPr>
            <w:tcW w:w="821" w:type="pct"/>
            <w:vAlign w:val="bottom"/>
          </w:tcPr>
          <w:p w14:paraId="1C222447"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06" w:type="pct"/>
            <w:vAlign w:val="bottom"/>
          </w:tcPr>
          <w:p w14:paraId="64D675C2"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958" w:type="pct"/>
            <w:vAlign w:val="bottom"/>
          </w:tcPr>
          <w:p w14:paraId="127075A3"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74" w:type="pct"/>
            <w:vAlign w:val="bottom"/>
          </w:tcPr>
          <w:p w14:paraId="7F5D9FBD"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1019" w:type="pct"/>
            <w:vAlign w:val="bottom"/>
          </w:tcPr>
          <w:p w14:paraId="45C61856"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23" w:type="pct"/>
            <w:vAlign w:val="bottom"/>
          </w:tcPr>
          <w:p w14:paraId="5BA06CB0"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r>
      <w:tr w:rsidR="00503A8A" w:rsidRPr="009831F6" w14:paraId="07669547" w14:textId="77777777" w:rsidTr="00503A8A">
        <w:trPr>
          <w:trHeight w:val="227"/>
        </w:trPr>
        <w:tc>
          <w:tcPr>
            <w:tcW w:w="821" w:type="pct"/>
            <w:vAlign w:val="bottom"/>
          </w:tcPr>
          <w:p w14:paraId="421DA79C"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06" w:type="pct"/>
            <w:vAlign w:val="bottom"/>
          </w:tcPr>
          <w:p w14:paraId="06B3D64E"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958" w:type="pct"/>
            <w:vAlign w:val="bottom"/>
          </w:tcPr>
          <w:p w14:paraId="3C311E84"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74" w:type="pct"/>
            <w:vAlign w:val="bottom"/>
          </w:tcPr>
          <w:p w14:paraId="436C7FED"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1019" w:type="pct"/>
            <w:vAlign w:val="bottom"/>
          </w:tcPr>
          <w:p w14:paraId="34747600"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23" w:type="pct"/>
            <w:vAlign w:val="bottom"/>
          </w:tcPr>
          <w:p w14:paraId="72DF9BBD"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r>
      <w:tr w:rsidR="00503A8A" w:rsidRPr="009831F6" w14:paraId="2D9A039D" w14:textId="77777777" w:rsidTr="00167FDB">
        <w:trPr>
          <w:trHeight w:val="227"/>
        </w:trPr>
        <w:tc>
          <w:tcPr>
            <w:tcW w:w="821" w:type="pct"/>
            <w:tcBorders>
              <w:bottom w:val="single" w:sz="8" w:space="0" w:color="auto"/>
            </w:tcBorders>
            <w:vAlign w:val="bottom"/>
          </w:tcPr>
          <w:p w14:paraId="057982C3"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tcBorders>
              <w:bottom w:val="single" w:sz="8" w:space="0" w:color="auto"/>
            </w:tcBorders>
            <w:vAlign w:val="bottom"/>
          </w:tcPr>
          <w:p w14:paraId="219A2EA3"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tcBorders>
              <w:bottom w:val="single" w:sz="8" w:space="0" w:color="auto"/>
            </w:tcBorders>
            <w:vAlign w:val="bottom"/>
          </w:tcPr>
          <w:p w14:paraId="32FBD4BE"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tcBorders>
              <w:bottom w:val="single" w:sz="8" w:space="0" w:color="auto"/>
            </w:tcBorders>
            <w:vAlign w:val="bottom"/>
          </w:tcPr>
          <w:p w14:paraId="021D5957"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tcBorders>
              <w:bottom w:val="single" w:sz="8" w:space="0" w:color="auto"/>
            </w:tcBorders>
            <w:vAlign w:val="bottom"/>
          </w:tcPr>
          <w:p w14:paraId="3AF909B1"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3" w:type="pct"/>
            <w:tcBorders>
              <w:bottom w:val="single" w:sz="8" w:space="0" w:color="auto"/>
            </w:tcBorders>
            <w:vAlign w:val="bottom"/>
          </w:tcPr>
          <w:p w14:paraId="7EF58FC9"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503A8A" w:rsidRPr="009831F6" w14:paraId="33C28B3A" w14:textId="77777777" w:rsidTr="00167FDB">
        <w:trPr>
          <w:trHeight w:val="255"/>
        </w:trPr>
        <w:tc>
          <w:tcPr>
            <w:tcW w:w="821" w:type="pct"/>
            <w:tcBorders>
              <w:top w:val="single" w:sz="8" w:space="0" w:color="auto"/>
            </w:tcBorders>
            <w:vAlign w:val="bottom"/>
          </w:tcPr>
          <w:p w14:paraId="08895F9A" w14:textId="77777777" w:rsidR="00503A8A" w:rsidRPr="009831F6" w:rsidRDefault="00503A8A"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tcBorders>
              <w:top w:val="single" w:sz="8" w:space="0" w:color="auto"/>
            </w:tcBorders>
            <w:vAlign w:val="bottom"/>
          </w:tcPr>
          <w:p w14:paraId="192547F3" w14:textId="77777777" w:rsidR="00503A8A" w:rsidRPr="009831F6" w:rsidRDefault="00503A8A"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tcBorders>
              <w:top w:val="single" w:sz="8" w:space="0" w:color="auto"/>
            </w:tcBorders>
            <w:vAlign w:val="bottom"/>
          </w:tcPr>
          <w:p w14:paraId="4646072D" w14:textId="77777777" w:rsidR="00503A8A" w:rsidRPr="009831F6" w:rsidRDefault="00503A8A"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tcBorders>
              <w:top w:val="single" w:sz="8" w:space="0" w:color="auto"/>
            </w:tcBorders>
            <w:vAlign w:val="bottom"/>
          </w:tcPr>
          <w:p w14:paraId="078E1148" w14:textId="77777777" w:rsidR="00503A8A" w:rsidRPr="009831F6" w:rsidRDefault="00503A8A"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tcBorders>
              <w:top w:val="single" w:sz="8" w:space="0" w:color="auto"/>
            </w:tcBorders>
            <w:vAlign w:val="bottom"/>
          </w:tcPr>
          <w:p w14:paraId="7039B904" w14:textId="77777777" w:rsidR="00503A8A" w:rsidRPr="009831F6" w:rsidRDefault="00503A8A"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3" w:type="pct"/>
            <w:tcBorders>
              <w:top w:val="single" w:sz="8" w:space="0" w:color="auto"/>
            </w:tcBorders>
            <w:vAlign w:val="bottom"/>
          </w:tcPr>
          <w:p w14:paraId="717BC1B1" w14:textId="77777777" w:rsidR="00503A8A" w:rsidRPr="009831F6" w:rsidRDefault="00503A8A"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bl>
    <w:p w14:paraId="2BCE3096" w14:textId="77777777" w:rsidR="00E447D7" w:rsidRDefault="00E447D7" w:rsidP="00E447D7">
      <w:pPr>
        <w:bidi w:val="0"/>
        <w:spacing w:line="60" w:lineRule="exact"/>
      </w:pPr>
    </w:p>
    <w:tbl>
      <w:tblPr>
        <w:tblpPr w:leftFromText="180" w:rightFromText="180" w:vertAnchor="text" w:horzAnchor="page" w:tblpX="5422" w:tblpY="-35"/>
        <w:tblOverlap w:val="never"/>
        <w:bidiVisual/>
        <w:tblW w:w="1408" w:type="pct"/>
        <w:tblLook w:val="01E0" w:firstRow="1" w:lastRow="1" w:firstColumn="1" w:lastColumn="1" w:noHBand="0" w:noVBand="0"/>
      </w:tblPr>
      <w:tblGrid>
        <w:gridCol w:w="700"/>
        <w:gridCol w:w="687"/>
        <w:gridCol w:w="816"/>
        <w:gridCol w:w="489"/>
        <w:gridCol w:w="868"/>
        <w:gridCol w:w="701"/>
      </w:tblGrid>
      <w:tr w:rsidR="00503A8A" w:rsidRPr="009831F6" w14:paraId="3C6C4290" w14:textId="77777777" w:rsidTr="00503A8A">
        <w:trPr>
          <w:trHeight w:val="259"/>
        </w:trPr>
        <w:tc>
          <w:tcPr>
            <w:tcW w:w="5000" w:type="pct"/>
            <w:gridSpan w:val="6"/>
            <w:vAlign w:val="bottom"/>
          </w:tcPr>
          <w:p w14:paraId="0FB20B68" w14:textId="69F31520" w:rsidR="00503A8A" w:rsidRPr="009831F6" w:rsidRDefault="00503A8A" w:rsidP="00503A8A">
            <w:pPr>
              <w:pStyle w:val="-4"/>
              <w:rPr>
                <w:rFonts w:asciiTheme="minorBidi" w:hAnsiTheme="minorBidi" w:cstheme="minorBidi"/>
                <w:sz w:val="17"/>
                <w:szCs w:val="17"/>
                <w:rtl/>
              </w:rPr>
            </w:pPr>
            <w:r w:rsidRPr="009A4332">
              <w:rPr>
                <w:rFonts w:asciiTheme="minorBidi" w:hAnsiTheme="minorBidi" w:cstheme="minorBidi"/>
                <w:sz w:val="17"/>
                <w:szCs w:val="17"/>
                <w:rtl/>
              </w:rPr>
              <w:t xml:space="preserve">ליום 30 ביוני </w:t>
            </w:r>
            <w:r w:rsidRPr="009A4332">
              <w:rPr>
                <w:rFonts w:asciiTheme="minorBidi" w:hAnsiTheme="minorBidi" w:cstheme="minorBidi"/>
                <w:sz w:val="17"/>
                <w:szCs w:val="17"/>
                <w:rtl/>
              </w:rPr>
              <w:fldChar w:fldCharType="begin"/>
            </w:r>
            <w:r w:rsidRPr="009A4332">
              <w:rPr>
                <w:rFonts w:asciiTheme="minorBidi" w:hAnsiTheme="minorBidi" w:cstheme="minorBidi"/>
                <w:sz w:val="17"/>
                <w:szCs w:val="17"/>
                <w:rtl/>
              </w:rPr>
              <w:instrText xml:space="preserve"> = </w:instrText>
            </w:r>
            <w:r w:rsidRPr="009A4332">
              <w:rPr>
                <w:rFonts w:asciiTheme="minorBidi" w:hAnsiTheme="minorBidi" w:cstheme="minorBidi"/>
                <w:sz w:val="17"/>
                <w:szCs w:val="17"/>
              </w:rPr>
              <w:instrText>CY-1 \* MERGEFORMAT</w:instrText>
            </w:r>
            <w:r w:rsidRPr="009A4332">
              <w:rPr>
                <w:rFonts w:asciiTheme="minorBidi" w:hAnsiTheme="minorBidi" w:cstheme="minorBidi"/>
                <w:sz w:val="17"/>
                <w:szCs w:val="17"/>
                <w:rtl/>
              </w:rPr>
              <w:instrText xml:space="preserve"> </w:instrText>
            </w:r>
            <w:r w:rsidRPr="009A4332">
              <w:rPr>
                <w:rFonts w:asciiTheme="minorBidi" w:hAnsiTheme="minorBidi" w:cstheme="minorBidi"/>
                <w:sz w:val="17"/>
                <w:szCs w:val="17"/>
                <w:rtl/>
              </w:rPr>
              <w:fldChar w:fldCharType="separate"/>
            </w:r>
            <w:r w:rsidR="00167FDB" w:rsidRPr="009A4332">
              <w:rPr>
                <w:rFonts w:asciiTheme="minorBidi" w:hAnsiTheme="minorBidi" w:cstheme="minorBidi"/>
                <w:noProof/>
                <w:sz w:val="17"/>
                <w:szCs w:val="17"/>
                <w:rtl/>
              </w:rPr>
              <w:t>2023</w:t>
            </w:r>
            <w:r w:rsidRPr="009A4332">
              <w:rPr>
                <w:rFonts w:asciiTheme="minorBidi" w:hAnsiTheme="minorBidi" w:cstheme="minorBidi"/>
                <w:sz w:val="17"/>
                <w:szCs w:val="17"/>
                <w:rtl/>
              </w:rPr>
              <w:fldChar w:fldCharType="end"/>
            </w:r>
            <w:r w:rsidRPr="009A4332">
              <w:rPr>
                <w:rFonts w:asciiTheme="minorBidi" w:hAnsiTheme="minorBidi" w:cstheme="minorBidi"/>
                <w:sz w:val="17"/>
                <w:szCs w:val="17"/>
                <w:rtl/>
              </w:rPr>
              <w:t xml:space="preserve"> </w:t>
            </w:r>
            <w:r w:rsidRPr="009831F6">
              <w:rPr>
                <w:rFonts w:asciiTheme="minorBidi" w:hAnsiTheme="minorBidi" w:cstheme="minorBidi"/>
                <w:sz w:val="17"/>
                <w:szCs w:val="17"/>
                <w:rtl/>
              </w:rPr>
              <w:t xml:space="preserve"> </w:t>
            </w:r>
            <w:r w:rsidRPr="009831F6">
              <w:rPr>
                <w:rFonts w:asciiTheme="minorBidi" w:hAnsiTheme="minorBidi" w:cstheme="minorBidi"/>
                <w:b w:val="0"/>
                <w:bCs w:val="0"/>
                <w:sz w:val="17"/>
                <w:szCs w:val="17"/>
                <w:rtl/>
              </w:rPr>
              <w:t>(בלתי מבוקר)</w:t>
            </w:r>
          </w:p>
        </w:tc>
      </w:tr>
      <w:tr w:rsidR="00503A8A" w:rsidRPr="009831F6" w14:paraId="2E889301" w14:textId="77777777" w:rsidTr="00503A8A">
        <w:tc>
          <w:tcPr>
            <w:tcW w:w="5000" w:type="pct"/>
            <w:gridSpan w:val="6"/>
            <w:vAlign w:val="bottom"/>
          </w:tcPr>
          <w:p w14:paraId="2042677B" w14:textId="77777777" w:rsidR="00503A8A" w:rsidRPr="009831F6" w:rsidRDefault="00503A8A" w:rsidP="00503A8A">
            <w:pPr>
              <w:pStyle w:val="-4"/>
              <w:spacing w:line="240" w:lineRule="auto"/>
              <w:rPr>
                <w:rFonts w:asciiTheme="minorBidi" w:hAnsiTheme="minorBidi" w:cstheme="minorBidi"/>
                <w:sz w:val="17"/>
                <w:szCs w:val="17"/>
                <w:rtl/>
              </w:rPr>
            </w:pPr>
            <w:r w:rsidRPr="009831F6">
              <w:rPr>
                <w:rFonts w:asciiTheme="minorBidi" w:hAnsiTheme="minorBidi" w:cstheme="minorBidi"/>
                <w:sz w:val="17"/>
                <w:szCs w:val="17"/>
                <w:rtl/>
              </w:rPr>
              <w:t>יתרת חוב רשומה</w:t>
            </w:r>
          </w:p>
        </w:tc>
      </w:tr>
      <w:tr w:rsidR="00503A8A" w:rsidRPr="009831F6" w14:paraId="2C79AD4C" w14:textId="77777777" w:rsidTr="00503A8A">
        <w:trPr>
          <w:trHeight w:val="224"/>
        </w:trPr>
        <w:tc>
          <w:tcPr>
            <w:tcW w:w="820" w:type="pct"/>
            <w:vMerge w:val="restart"/>
            <w:vAlign w:val="bottom"/>
          </w:tcPr>
          <w:p w14:paraId="487C657B" w14:textId="77777777" w:rsidR="00503A8A" w:rsidRPr="009831F6" w:rsidRDefault="00503A8A" w:rsidP="00503A8A">
            <w:pPr>
              <w:pStyle w:val="-4"/>
              <w:pBdr>
                <w:bottom w:val="single" w:sz="4" w:space="1" w:color="auto"/>
              </w:pBdr>
              <w:rPr>
                <w:rFonts w:asciiTheme="minorBidi" w:hAnsiTheme="minorBidi" w:cstheme="minorBidi"/>
                <w:sz w:val="17"/>
                <w:szCs w:val="17"/>
                <w:rtl/>
              </w:rPr>
            </w:pPr>
            <w:r w:rsidRPr="009831F6">
              <w:rPr>
                <w:rFonts w:asciiTheme="minorBidi" w:hAnsiTheme="minorBidi" w:cstheme="minorBidi"/>
                <w:sz w:val="17"/>
                <w:szCs w:val="17"/>
                <w:rtl/>
              </w:rPr>
              <w:t>תקינים</w:t>
            </w:r>
          </w:p>
        </w:tc>
        <w:tc>
          <w:tcPr>
            <w:tcW w:w="1764" w:type="pct"/>
            <w:gridSpan w:val="2"/>
            <w:vAlign w:val="bottom"/>
          </w:tcPr>
          <w:p w14:paraId="674DEA89" w14:textId="77777777" w:rsidR="00503A8A" w:rsidRPr="009831F6" w:rsidRDefault="00503A8A" w:rsidP="00503A8A">
            <w:pPr>
              <w:pStyle w:val="-4"/>
              <w:pBdr>
                <w:bottom w:val="single" w:sz="4" w:space="1" w:color="auto"/>
              </w:pBdr>
              <w:rPr>
                <w:rFonts w:asciiTheme="minorBidi" w:hAnsiTheme="minorBidi" w:cstheme="minorBidi"/>
                <w:sz w:val="17"/>
                <w:szCs w:val="17"/>
                <w:rtl/>
              </w:rPr>
            </w:pPr>
            <w:r w:rsidRPr="009831F6">
              <w:rPr>
                <w:rFonts w:asciiTheme="minorBidi" w:hAnsiTheme="minorBidi" w:cstheme="minorBidi"/>
                <w:sz w:val="17"/>
                <w:szCs w:val="17"/>
                <w:rtl/>
              </w:rPr>
              <w:t>בעייתיים</w:t>
            </w:r>
          </w:p>
        </w:tc>
        <w:tc>
          <w:tcPr>
            <w:tcW w:w="574" w:type="pct"/>
            <w:vMerge w:val="restart"/>
            <w:tcBorders>
              <w:left w:val="nil"/>
            </w:tcBorders>
            <w:vAlign w:val="bottom"/>
          </w:tcPr>
          <w:p w14:paraId="332B7538" w14:textId="77777777" w:rsidR="00503A8A" w:rsidRPr="009831F6" w:rsidRDefault="00503A8A" w:rsidP="00503A8A">
            <w:pPr>
              <w:pStyle w:val="-4"/>
              <w:rPr>
                <w:rFonts w:asciiTheme="minorBidi" w:hAnsiTheme="minorBidi" w:cstheme="minorBidi"/>
                <w:sz w:val="17"/>
                <w:szCs w:val="17"/>
                <w:rtl/>
              </w:rPr>
            </w:pPr>
            <w:r w:rsidRPr="009831F6">
              <w:rPr>
                <w:rFonts w:asciiTheme="minorBidi" w:hAnsiTheme="minorBidi" w:cstheme="minorBidi"/>
                <w:sz w:val="17"/>
                <w:szCs w:val="17"/>
                <w:rtl/>
              </w:rPr>
              <w:t>סך הכל</w:t>
            </w:r>
          </w:p>
        </w:tc>
        <w:tc>
          <w:tcPr>
            <w:tcW w:w="1842" w:type="pct"/>
            <w:gridSpan w:val="2"/>
          </w:tcPr>
          <w:p w14:paraId="253CAAF4" w14:textId="77777777" w:rsidR="00503A8A" w:rsidRPr="009831F6" w:rsidRDefault="00503A8A" w:rsidP="00503A8A">
            <w:pPr>
              <w:pStyle w:val="-4"/>
              <w:spacing w:line="192" w:lineRule="auto"/>
              <w:rPr>
                <w:rFonts w:asciiTheme="minorBidi" w:hAnsiTheme="minorBidi" w:cstheme="minorBidi"/>
                <w:sz w:val="17"/>
                <w:szCs w:val="17"/>
                <w:rtl/>
              </w:rPr>
            </w:pPr>
            <w:r w:rsidRPr="009831F6">
              <w:rPr>
                <w:rFonts w:asciiTheme="minorBidi" w:hAnsiTheme="minorBidi" w:cstheme="minorBidi"/>
                <w:sz w:val="17"/>
                <w:szCs w:val="17"/>
                <w:rtl/>
              </w:rPr>
              <w:t>חובות צוברים</w:t>
            </w:r>
          </w:p>
          <w:p w14:paraId="237722AB" w14:textId="77777777" w:rsidR="00503A8A" w:rsidRPr="009831F6" w:rsidRDefault="00503A8A" w:rsidP="00503A8A">
            <w:pPr>
              <w:pStyle w:val="-4"/>
              <w:spacing w:line="192" w:lineRule="auto"/>
              <w:rPr>
                <w:rFonts w:asciiTheme="minorBidi" w:hAnsiTheme="minorBidi" w:cstheme="minorBidi"/>
                <w:sz w:val="17"/>
                <w:szCs w:val="17"/>
                <w:rtl/>
              </w:rPr>
            </w:pPr>
            <w:r w:rsidRPr="009831F6">
              <w:rPr>
                <w:rFonts w:asciiTheme="minorBidi" w:hAnsiTheme="minorBidi" w:cstheme="minorBidi"/>
                <w:sz w:val="17"/>
                <w:szCs w:val="17"/>
                <w:rtl/>
              </w:rPr>
              <w:t>- ימי פיגור</w:t>
            </w:r>
          </w:p>
        </w:tc>
      </w:tr>
      <w:tr w:rsidR="00503A8A" w:rsidRPr="009831F6" w14:paraId="551F95D9" w14:textId="77777777" w:rsidTr="00503A8A">
        <w:trPr>
          <w:trHeight w:val="355"/>
        </w:trPr>
        <w:tc>
          <w:tcPr>
            <w:tcW w:w="820" w:type="pct"/>
            <w:vMerge/>
            <w:vAlign w:val="bottom"/>
          </w:tcPr>
          <w:p w14:paraId="52FA18C5" w14:textId="77777777" w:rsidR="00503A8A" w:rsidRPr="009831F6" w:rsidRDefault="00503A8A" w:rsidP="00503A8A">
            <w:pPr>
              <w:pStyle w:val="-4"/>
              <w:rPr>
                <w:rFonts w:asciiTheme="minorBidi" w:hAnsiTheme="minorBidi" w:cstheme="minorBidi"/>
                <w:sz w:val="17"/>
                <w:szCs w:val="17"/>
                <w:rtl/>
              </w:rPr>
            </w:pPr>
          </w:p>
        </w:tc>
        <w:tc>
          <w:tcPr>
            <w:tcW w:w="806" w:type="pct"/>
            <w:vAlign w:val="bottom"/>
          </w:tcPr>
          <w:p w14:paraId="5F952770" w14:textId="77777777" w:rsidR="00503A8A" w:rsidRPr="009831F6" w:rsidRDefault="00503A8A" w:rsidP="00503A8A">
            <w:pPr>
              <w:pStyle w:val="-4"/>
              <w:pBdr>
                <w:bottom w:val="single" w:sz="4" w:space="1" w:color="auto"/>
              </w:pBdr>
              <w:rPr>
                <w:rFonts w:asciiTheme="minorBidi" w:hAnsiTheme="minorBidi" w:cstheme="minorBidi"/>
                <w:sz w:val="17"/>
                <w:szCs w:val="17"/>
                <w:rtl/>
              </w:rPr>
            </w:pPr>
            <w:r w:rsidRPr="009831F6">
              <w:rPr>
                <w:rFonts w:asciiTheme="minorBidi" w:hAnsiTheme="minorBidi" w:cstheme="minorBidi"/>
                <w:sz w:val="17"/>
                <w:szCs w:val="17"/>
                <w:rtl/>
              </w:rPr>
              <w:t>צוברים</w:t>
            </w:r>
          </w:p>
        </w:tc>
        <w:tc>
          <w:tcPr>
            <w:tcW w:w="958" w:type="pct"/>
            <w:vAlign w:val="bottom"/>
          </w:tcPr>
          <w:p w14:paraId="7816E6C6" w14:textId="77777777" w:rsidR="00503A8A" w:rsidRPr="009831F6" w:rsidRDefault="00503A8A" w:rsidP="00503A8A">
            <w:pPr>
              <w:pStyle w:val="-4"/>
              <w:pBdr>
                <w:bottom w:val="single" w:sz="4" w:space="1" w:color="auto"/>
              </w:pBdr>
              <w:rPr>
                <w:rFonts w:asciiTheme="minorBidi" w:hAnsiTheme="minorBidi" w:cstheme="minorBidi"/>
                <w:sz w:val="17"/>
                <w:szCs w:val="17"/>
                <w:rtl/>
              </w:rPr>
            </w:pPr>
            <w:r w:rsidRPr="009831F6">
              <w:rPr>
                <w:rFonts w:asciiTheme="minorBidi" w:hAnsiTheme="minorBidi" w:cstheme="minorBidi"/>
                <w:sz w:val="17"/>
                <w:szCs w:val="17"/>
                <w:rtl/>
              </w:rPr>
              <w:t>לא צוברים</w:t>
            </w:r>
          </w:p>
        </w:tc>
        <w:tc>
          <w:tcPr>
            <w:tcW w:w="574" w:type="pct"/>
            <w:vMerge/>
            <w:tcBorders>
              <w:left w:val="nil"/>
            </w:tcBorders>
            <w:vAlign w:val="bottom"/>
          </w:tcPr>
          <w:p w14:paraId="21A03A22" w14:textId="77777777" w:rsidR="00503A8A" w:rsidRPr="009831F6" w:rsidRDefault="00503A8A" w:rsidP="00503A8A">
            <w:pPr>
              <w:pStyle w:val="-4"/>
              <w:rPr>
                <w:rFonts w:asciiTheme="minorBidi" w:hAnsiTheme="minorBidi" w:cstheme="minorBidi"/>
                <w:sz w:val="17"/>
                <w:szCs w:val="17"/>
                <w:rtl/>
              </w:rPr>
            </w:pPr>
          </w:p>
        </w:tc>
        <w:tc>
          <w:tcPr>
            <w:tcW w:w="1019" w:type="pct"/>
            <w:vAlign w:val="bottom"/>
          </w:tcPr>
          <w:p w14:paraId="1AE2FC1A" w14:textId="77777777" w:rsidR="00503A8A" w:rsidRPr="009831F6" w:rsidRDefault="00503A8A" w:rsidP="00503A8A">
            <w:pPr>
              <w:jc w:val="center"/>
              <w:rPr>
                <w:rFonts w:asciiTheme="minorBidi" w:hAnsiTheme="minorBidi" w:cstheme="minorBidi"/>
                <w:b/>
                <w:bCs/>
                <w:sz w:val="17"/>
                <w:szCs w:val="17"/>
                <w:rtl/>
              </w:rPr>
            </w:pPr>
            <w:r w:rsidRPr="009831F6">
              <w:rPr>
                <w:rFonts w:asciiTheme="minorBidi" w:hAnsiTheme="minorBidi" w:cstheme="minorBidi"/>
                <w:b/>
                <w:bCs/>
                <w:sz w:val="17"/>
                <w:szCs w:val="17"/>
                <w:rtl/>
              </w:rPr>
              <w:t xml:space="preserve">90 </w:t>
            </w:r>
          </w:p>
          <w:p w14:paraId="10EE2B71" w14:textId="77777777" w:rsidR="00503A8A" w:rsidRPr="009831F6" w:rsidRDefault="00503A8A" w:rsidP="00503A8A">
            <w:pPr>
              <w:pStyle w:val="-4"/>
              <w:rPr>
                <w:rFonts w:asciiTheme="minorBidi" w:hAnsiTheme="minorBidi" w:cstheme="minorBidi"/>
                <w:sz w:val="17"/>
                <w:szCs w:val="17"/>
                <w:rtl/>
              </w:rPr>
            </w:pPr>
            <w:r w:rsidRPr="009831F6">
              <w:rPr>
                <w:rFonts w:asciiTheme="minorBidi" w:hAnsiTheme="minorBidi" w:cstheme="minorBidi"/>
                <w:sz w:val="17"/>
                <w:szCs w:val="17"/>
                <w:rtl/>
              </w:rPr>
              <w:t>או יותר</w:t>
            </w:r>
          </w:p>
        </w:tc>
        <w:tc>
          <w:tcPr>
            <w:tcW w:w="824" w:type="pct"/>
            <w:vAlign w:val="bottom"/>
          </w:tcPr>
          <w:p w14:paraId="1C055828" w14:textId="77777777" w:rsidR="00503A8A" w:rsidRPr="009831F6" w:rsidRDefault="00503A8A" w:rsidP="00503A8A">
            <w:pPr>
              <w:jc w:val="center"/>
              <w:rPr>
                <w:rFonts w:asciiTheme="minorBidi" w:hAnsiTheme="minorBidi" w:cstheme="minorBidi"/>
                <w:b/>
                <w:bCs/>
                <w:sz w:val="17"/>
                <w:szCs w:val="17"/>
                <w:rtl/>
              </w:rPr>
            </w:pPr>
            <w:r w:rsidRPr="009831F6">
              <w:rPr>
                <w:rFonts w:asciiTheme="minorBidi" w:hAnsiTheme="minorBidi" w:cstheme="minorBidi"/>
                <w:b/>
                <w:bCs/>
                <w:sz w:val="17"/>
                <w:szCs w:val="17"/>
                <w:rtl/>
              </w:rPr>
              <w:t>30 ועד</w:t>
            </w:r>
          </w:p>
          <w:p w14:paraId="1413C2A9" w14:textId="77777777" w:rsidR="00503A8A" w:rsidRPr="009831F6" w:rsidRDefault="00503A8A" w:rsidP="00503A8A">
            <w:pPr>
              <w:pStyle w:val="-4"/>
              <w:rPr>
                <w:rFonts w:asciiTheme="minorBidi" w:hAnsiTheme="minorBidi" w:cstheme="minorBidi"/>
                <w:sz w:val="17"/>
                <w:szCs w:val="17"/>
                <w:rtl/>
              </w:rPr>
            </w:pPr>
            <w:r w:rsidRPr="009831F6">
              <w:rPr>
                <w:rFonts w:asciiTheme="minorBidi" w:hAnsiTheme="minorBidi" w:cstheme="minorBidi"/>
                <w:sz w:val="17"/>
                <w:szCs w:val="17"/>
                <w:rtl/>
              </w:rPr>
              <w:t xml:space="preserve">89 </w:t>
            </w:r>
          </w:p>
        </w:tc>
      </w:tr>
      <w:tr w:rsidR="00503A8A" w:rsidRPr="009831F6" w14:paraId="4DF572E9" w14:textId="77777777" w:rsidTr="00503A8A">
        <w:trPr>
          <w:trHeight w:val="259"/>
        </w:trPr>
        <w:tc>
          <w:tcPr>
            <w:tcW w:w="820" w:type="pct"/>
            <w:vAlign w:val="bottom"/>
          </w:tcPr>
          <w:p w14:paraId="37C49879" w14:textId="77777777" w:rsidR="00503A8A" w:rsidRPr="009831F6" w:rsidRDefault="00503A8A" w:rsidP="00503A8A">
            <w:pPr>
              <w:pStyle w:val="-3"/>
              <w:spacing w:line="240" w:lineRule="auto"/>
              <w:rPr>
                <w:rFonts w:asciiTheme="minorBidi" w:hAnsiTheme="minorBidi" w:cstheme="minorBidi"/>
                <w:sz w:val="17"/>
                <w:szCs w:val="17"/>
                <w:rtl/>
              </w:rPr>
            </w:pPr>
          </w:p>
        </w:tc>
        <w:tc>
          <w:tcPr>
            <w:tcW w:w="806" w:type="pct"/>
            <w:vAlign w:val="bottom"/>
          </w:tcPr>
          <w:p w14:paraId="0C1A305A" w14:textId="77777777" w:rsidR="00503A8A" w:rsidRPr="009831F6" w:rsidRDefault="00503A8A" w:rsidP="00503A8A">
            <w:pPr>
              <w:pStyle w:val="-3"/>
              <w:spacing w:line="240" w:lineRule="auto"/>
              <w:rPr>
                <w:rFonts w:asciiTheme="minorBidi" w:hAnsiTheme="minorBidi" w:cstheme="minorBidi"/>
                <w:sz w:val="17"/>
                <w:szCs w:val="17"/>
                <w:rtl/>
              </w:rPr>
            </w:pPr>
          </w:p>
        </w:tc>
        <w:tc>
          <w:tcPr>
            <w:tcW w:w="958" w:type="pct"/>
            <w:vAlign w:val="bottom"/>
          </w:tcPr>
          <w:p w14:paraId="63BDB0BA" w14:textId="77777777" w:rsidR="00503A8A" w:rsidRPr="009831F6" w:rsidRDefault="00503A8A" w:rsidP="00503A8A">
            <w:pPr>
              <w:pStyle w:val="-3"/>
              <w:spacing w:line="240" w:lineRule="auto"/>
              <w:rPr>
                <w:rFonts w:asciiTheme="minorBidi" w:hAnsiTheme="minorBidi" w:cstheme="minorBidi"/>
                <w:sz w:val="17"/>
                <w:szCs w:val="17"/>
                <w:rtl/>
              </w:rPr>
            </w:pPr>
          </w:p>
        </w:tc>
        <w:tc>
          <w:tcPr>
            <w:tcW w:w="574" w:type="pct"/>
            <w:vAlign w:val="bottom"/>
          </w:tcPr>
          <w:p w14:paraId="7F31CD12" w14:textId="77777777" w:rsidR="00503A8A" w:rsidRPr="009831F6" w:rsidRDefault="00503A8A" w:rsidP="00503A8A">
            <w:pPr>
              <w:pStyle w:val="-3"/>
              <w:spacing w:line="240" w:lineRule="auto"/>
              <w:rPr>
                <w:rFonts w:asciiTheme="minorBidi" w:hAnsiTheme="minorBidi" w:cstheme="minorBidi"/>
                <w:sz w:val="17"/>
                <w:szCs w:val="17"/>
                <w:rtl/>
              </w:rPr>
            </w:pPr>
          </w:p>
        </w:tc>
        <w:tc>
          <w:tcPr>
            <w:tcW w:w="1019" w:type="pct"/>
            <w:vAlign w:val="bottom"/>
          </w:tcPr>
          <w:p w14:paraId="34953542" w14:textId="77777777" w:rsidR="00503A8A" w:rsidRPr="009831F6" w:rsidRDefault="00503A8A" w:rsidP="00503A8A">
            <w:pPr>
              <w:pStyle w:val="-3"/>
              <w:spacing w:line="240" w:lineRule="auto"/>
              <w:rPr>
                <w:rFonts w:asciiTheme="minorBidi" w:hAnsiTheme="minorBidi" w:cstheme="minorBidi"/>
                <w:sz w:val="17"/>
                <w:szCs w:val="17"/>
                <w:rtl/>
              </w:rPr>
            </w:pPr>
          </w:p>
        </w:tc>
        <w:tc>
          <w:tcPr>
            <w:tcW w:w="824" w:type="pct"/>
            <w:vAlign w:val="bottom"/>
          </w:tcPr>
          <w:p w14:paraId="5B28F96B" w14:textId="77777777" w:rsidR="00503A8A" w:rsidRPr="009831F6" w:rsidRDefault="00503A8A" w:rsidP="00503A8A">
            <w:pPr>
              <w:pStyle w:val="-3"/>
              <w:spacing w:line="240" w:lineRule="auto"/>
              <w:rPr>
                <w:rFonts w:asciiTheme="minorBidi" w:hAnsiTheme="minorBidi" w:cstheme="minorBidi"/>
                <w:sz w:val="17"/>
                <w:szCs w:val="17"/>
                <w:rtl/>
              </w:rPr>
            </w:pPr>
          </w:p>
        </w:tc>
      </w:tr>
      <w:tr w:rsidR="00503A8A" w:rsidRPr="009831F6" w14:paraId="655BBC6C" w14:textId="77777777" w:rsidTr="00503A8A">
        <w:trPr>
          <w:trHeight w:val="227"/>
        </w:trPr>
        <w:tc>
          <w:tcPr>
            <w:tcW w:w="820" w:type="pct"/>
            <w:vAlign w:val="bottom"/>
          </w:tcPr>
          <w:p w14:paraId="5C4623D8" w14:textId="77777777" w:rsidR="00503A8A" w:rsidRPr="009831F6" w:rsidRDefault="00503A8A" w:rsidP="00503A8A">
            <w:pPr>
              <w:pStyle w:val="-3"/>
              <w:spacing w:line="240" w:lineRule="auto"/>
              <w:rPr>
                <w:rFonts w:asciiTheme="minorBidi" w:hAnsiTheme="minorBidi" w:cstheme="minorBidi"/>
                <w:sz w:val="17"/>
                <w:szCs w:val="17"/>
                <w:rtl/>
              </w:rPr>
            </w:pPr>
          </w:p>
        </w:tc>
        <w:tc>
          <w:tcPr>
            <w:tcW w:w="806" w:type="pct"/>
            <w:vAlign w:val="bottom"/>
          </w:tcPr>
          <w:p w14:paraId="09D9EF16" w14:textId="77777777" w:rsidR="00503A8A" w:rsidRPr="009831F6" w:rsidRDefault="00503A8A" w:rsidP="00503A8A">
            <w:pPr>
              <w:pStyle w:val="-3"/>
              <w:spacing w:line="240" w:lineRule="auto"/>
              <w:rPr>
                <w:rFonts w:asciiTheme="minorBidi" w:hAnsiTheme="minorBidi" w:cstheme="minorBidi"/>
                <w:sz w:val="17"/>
                <w:szCs w:val="17"/>
                <w:rtl/>
              </w:rPr>
            </w:pPr>
          </w:p>
        </w:tc>
        <w:tc>
          <w:tcPr>
            <w:tcW w:w="958" w:type="pct"/>
            <w:vAlign w:val="bottom"/>
          </w:tcPr>
          <w:p w14:paraId="08B5DBC3" w14:textId="77777777" w:rsidR="00503A8A" w:rsidRPr="009831F6" w:rsidRDefault="00503A8A" w:rsidP="00503A8A">
            <w:pPr>
              <w:pStyle w:val="-3"/>
              <w:spacing w:line="240" w:lineRule="auto"/>
              <w:rPr>
                <w:rFonts w:asciiTheme="minorBidi" w:hAnsiTheme="minorBidi" w:cstheme="minorBidi"/>
                <w:sz w:val="17"/>
                <w:szCs w:val="17"/>
                <w:rtl/>
              </w:rPr>
            </w:pPr>
          </w:p>
        </w:tc>
        <w:tc>
          <w:tcPr>
            <w:tcW w:w="574" w:type="pct"/>
            <w:vAlign w:val="bottom"/>
          </w:tcPr>
          <w:p w14:paraId="43BC873B" w14:textId="77777777" w:rsidR="00503A8A" w:rsidRPr="009831F6" w:rsidRDefault="00503A8A" w:rsidP="00503A8A">
            <w:pPr>
              <w:pStyle w:val="-3"/>
              <w:spacing w:line="240" w:lineRule="auto"/>
              <w:rPr>
                <w:rFonts w:asciiTheme="minorBidi" w:hAnsiTheme="minorBidi" w:cstheme="minorBidi"/>
                <w:sz w:val="17"/>
                <w:szCs w:val="17"/>
                <w:rtl/>
              </w:rPr>
            </w:pPr>
          </w:p>
        </w:tc>
        <w:tc>
          <w:tcPr>
            <w:tcW w:w="1019" w:type="pct"/>
            <w:vAlign w:val="bottom"/>
          </w:tcPr>
          <w:p w14:paraId="329CAF89" w14:textId="77777777" w:rsidR="00503A8A" w:rsidRPr="009831F6" w:rsidRDefault="00503A8A" w:rsidP="00503A8A">
            <w:pPr>
              <w:pStyle w:val="-3"/>
              <w:spacing w:line="240" w:lineRule="auto"/>
              <w:rPr>
                <w:rFonts w:asciiTheme="minorBidi" w:hAnsiTheme="minorBidi" w:cstheme="minorBidi"/>
                <w:sz w:val="17"/>
                <w:szCs w:val="17"/>
                <w:rtl/>
              </w:rPr>
            </w:pPr>
          </w:p>
        </w:tc>
        <w:tc>
          <w:tcPr>
            <w:tcW w:w="824" w:type="pct"/>
            <w:vAlign w:val="bottom"/>
          </w:tcPr>
          <w:p w14:paraId="4006F116" w14:textId="77777777" w:rsidR="00503A8A" w:rsidRPr="009831F6" w:rsidRDefault="00503A8A" w:rsidP="00503A8A">
            <w:pPr>
              <w:pStyle w:val="-3"/>
              <w:spacing w:line="240" w:lineRule="auto"/>
              <w:rPr>
                <w:rFonts w:asciiTheme="minorBidi" w:hAnsiTheme="minorBidi" w:cstheme="minorBidi"/>
                <w:sz w:val="17"/>
                <w:szCs w:val="17"/>
                <w:rtl/>
              </w:rPr>
            </w:pPr>
          </w:p>
        </w:tc>
      </w:tr>
      <w:tr w:rsidR="00503A8A" w:rsidRPr="009831F6" w14:paraId="744273EC" w14:textId="77777777" w:rsidTr="00503A8A">
        <w:trPr>
          <w:trHeight w:val="227"/>
        </w:trPr>
        <w:tc>
          <w:tcPr>
            <w:tcW w:w="820" w:type="pct"/>
            <w:vAlign w:val="bottom"/>
          </w:tcPr>
          <w:p w14:paraId="0B585680"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vAlign w:val="bottom"/>
          </w:tcPr>
          <w:p w14:paraId="56FB291E"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vAlign w:val="bottom"/>
          </w:tcPr>
          <w:p w14:paraId="7C653BB6"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vAlign w:val="bottom"/>
          </w:tcPr>
          <w:p w14:paraId="52B0B0D3"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vAlign w:val="bottom"/>
          </w:tcPr>
          <w:p w14:paraId="5F7C644B"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4" w:type="pct"/>
            <w:vAlign w:val="bottom"/>
          </w:tcPr>
          <w:p w14:paraId="422082B0"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503A8A" w:rsidRPr="009831F6" w14:paraId="3DBD6F94" w14:textId="77777777" w:rsidTr="00503A8A">
        <w:trPr>
          <w:trHeight w:val="357"/>
        </w:trPr>
        <w:tc>
          <w:tcPr>
            <w:tcW w:w="820" w:type="pct"/>
            <w:vAlign w:val="bottom"/>
          </w:tcPr>
          <w:p w14:paraId="34662AB5"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vAlign w:val="bottom"/>
          </w:tcPr>
          <w:p w14:paraId="4E8132E7"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vAlign w:val="bottom"/>
          </w:tcPr>
          <w:p w14:paraId="4D8A96E4"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vAlign w:val="bottom"/>
          </w:tcPr>
          <w:p w14:paraId="58CB93E6"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vAlign w:val="bottom"/>
          </w:tcPr>
          <w:p w14:paraId="14F5CE0D"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4" w:type="pct"/>
            <w:vAlign w:val="bottom"/>
          </w:tcPr>
          <w:p w14:paraId="34EE86FD"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503A8A" w:rsidRPr="009831F6" w14:paraId="5C5AFF2B" w14:textId="77777777" w:rsidTr="00503A8A">
        <w:trPr>
          <w:trHeight w:val="227"/>
        </w:trPr>
        <w:tc>
          <w:tcPr>
            <w:tcW w:w="820" w:type="pct"/>
            <w:vAlign w:val="bottom"/>
          </w:tcPr>
          <w:p w14:paraId="276E482D"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vAlign w:val="bottom"/>
          </w:tcPr>
          <w:p w14:paraId="4CD39DCB"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vAlign w:val="bottom"/>
          </w:tcPr>
          <w:p w14:paraId="6D595E78"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vAlign w:val="bottom"/>
          </w:tcPr>
          <w:p w14:paraId="188A06C0"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vAlign w:val="bottom"/>
          </w:tcPr>
          <w:p w14:paraId="0231AF9F"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4" w:type="pct"/>
            <w:vAlign w:val="bottom"/>
          </w:tcPr>
          <w:p w14:paraId="472B1F42"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503A8A" w:rsidRPr="009831F6" w14:paraId="0AB150AA" w14:textId="77777777" w:rsidTr="00503A8A">
        <w:trPr>
          <w:trHeight w:val="227"/>
        </w:trPr>
        <w:tc>
          <w:tcPr>
            <w:tcW w:w="820" w:type="pct"/>
            <w:vAlign w:val="bottom"/>
          </w:tcPr>
          <w:p w14:paraId="29FBFD73"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vAlign w:val="bottom"/>
          </w:tcPr>
          <w:p w14:paraId="4336DCAD"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vAlign w:val="bottom"/>
          </w:tcPr>
          <w:p w14:paraId="2ABC9FA8"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vAlign w:val="bottom"/>
          </w:tcPr>
          <w:p w14:paraId="2145BC76"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vAlign w:val="bottom"/>
          </w:tcPr>
          <w:p w14:paraId="0B5BB8D6"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4" w:type="pct"/>
            <w:vAlign w:val="bottom"/>
          </w:tcPr>
          <w:p w14:paraId="58CEA589"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503A8A" w:rsidRPr="009831F6" w14:paraId="1D628834" w14:textId="77777777" w:rsidTr="00503A8A">
        <w:trPr>
          <w:trHeight w:val="249"/>
        </w:trPr>
        <w:tc>
          <w:tcPr>
            <w:tcW w:w="820" w:type="pct"/>
            <w:vAlign w:val="bottom"/>
          </w:tcPr>
          <w:p w14:paraId="4F703FB5"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06" w:type="pct"/>
            <w:vAlign w:val="bottom"/>
          </w:tcPr>
          <w:p w14:paraId="2048D434"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958" w:type="pct"/>
            <w:vAlign w:val="bottom"/>
          </w:tcPr>
          <w:p w14:paraId="25019361"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74" w:type="pct"/>
            <w:vAlign w:val="bottom"/>
          </w:tcPr>
          <w:p w14:paraId="487FA477"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1019" w:type="pct"/>
            <w:vAlign w:val="bottom"/>
          </w:tcPr>
          <w:p w14:paraId="63D533DB"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24" w:type="pct"/>
            <w:vAlign w:val="bottom"/>
          </w:tcPr>
          <w:p w14:paraId="05335578"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r>
      <w:tr w:rsidR="00503A8A" w:rsidRPr="009831F6" w14:paraId="4F0D9FF5" w14:textId="77777777" w:rsidTr="00503A8A">
        <w:trPr>
          <w:trHeight w:val="397"/>
        </w:trPr>
        <w:tc>
          <w:tcPr>
            <w:tcW w:w="820" w:type="pct"/>
            <w:vAlign w:val="bottom"/>
          </w:tcPr>
          <w:p w14:paraId="681001CA" w14:textId="77777777" w:rsidR="00503A8A" w:rsidRPr="009831F6" w:rsidRDefault="00503A8A"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06" w:type="pct"/>
            <w:vAlign w:val="bottom"/>
          </w:tcPr>
          <w:p w14:paraId="4921867D" w14:textId="77777777" w:rsidR="00503A8A" w:rsidRPr="009831F6" w:rsidRDefault="00503A8A"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958" w:type="pct"/>
            <w:vAlign w:val="bottom"/>
          </w:tcPr>
          <w:p w14:paraId="263136AA" w14:textId="77777777" w:rsidR="00503A8A" w:rsidRPr="009831F6" w:rsidRDefault="00503A8A"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74" w:type="pct"/>
            <w:vAlign w:val="bottom"/>
          </w:tcPr>
          <w:p w14:paraId="490AD5A6" w14:textId="77777777" w:rsidR="00503A8A" w:rsidRPr="009831F6" w:rsidRDefault="00503A8A"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1019" w:type="pct"/>
            <w:vAlign w:val="bottom"/>
          </w:tcPr>
          <w:p w14:paraId="3FB31C7E" w14:textId="77777777" w:rsidR="00503A8A" w:rsidRPr="009831F6" w:rsidRDefault="00503A8A"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24" w:type="pct"/>
            <w:vAlign w:val="bottom"/>
          </w:tcPr>
          <w:p w14:paraId="5558E9C9" w14:textId="77777777" w:rsidR="00503A8A" w:rsidRPr="009831F6" w:rsidRDefault="00503A8A" w:rsidP="00503A8A">
            <w:pPr>
              <w:pStyle w:val="-3"/>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r>
      <w:tr w:rsidR="00503A8A" w:rsidRPr="009831F6" w14:paraId="697BEE4C" w14:textId="77777777" w:rsidTr="00503A8A">
        <w:trPr>
          <w:trHeight w:val="227"/>
        </w:trPr>
        <w:tc>
          <w:tcPr>
            <w:tcW w:w="820" w:type="pct"/>
            <w:vAlign w:val="bottom"/>
          </w:tcPr>
          <w:p w14:paraId="58BE4EF9"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06" w:type="pct"/>
            <w:vAlign w:val="bottom"/>
          </w:tcPr>
          <w:p w14:paraId="17E87F8D"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958" w:type="pct"/>
            <w:vAlign w:val="bottom"/>
          </w:tcPr>
          <w:p w14:paraId="4D71F693"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74" w:type="pct"/>
            <w:vAlign w:val="bottom"/>
          </w:tcPr>
          <w:p w14:paraId="280D41A4"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1019" w:type="pct"/>
            <w:vAlign w:val="bottom"/>
          </w:tcPr>
          <w:p w14:paraId="1F9BFB0F"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24" w:type="pct"/>
            <w:vAlign w:val="bottom"/>
          </w:tcPr>
          <w:p w14:paraId="3DFB370E"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r>
      <w:tr w:rsidR="00503A8A" w:rsidRPr="009831F6" w14:paraId="13E7EF8F" w14:textId="77777777" w:rsidTr="00503A8A">
        <w:trPr>
          <w:trHeight w:val="249"/>
        </w:trPr>
        <w:tc>
          <w:tcPr>
            <w:tcW w:w="820" w:type="pct"/>
            <w:vAlign w:val="bottom"/>
          </w:tcPr>
          <w:p w14:paraId="5271CE1F"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vAlign w:val="bottom"/>
          </w:tcPr>
          <w:p w14:paraId="72FD6668"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vAlign w:val="bottom"/>
          </w:tcPr>
          <w:p w14:paraId="7E4E9A3D"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vAlign w:val="bottom"/>
          </w:tcPr>
          <w:p w14:paraId="28801D1C"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vAlign w:val="bottom"/>
          </w:tcPr>
          <w:p w14:paraId="55E973E4"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4" w:type="pct"/>
            <w:vAlign w:val="bottom"/>
          </w:tcPr>
          <w:p w14:paraId="780FDEEC"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503A8A" w:rsidRPr="009831F6" w14:paraId="379C952A" w14:textId="77777777" w:rsidTr="00503A8A">
        <w:trPr>
          <w:trHeight w:hRule="exact" w:val="79"/>
        </w:trPr>
        <w:tc>
          <w:tcPr>
            <w:tcW w:w="820" w:type="pct"/>
            <w:vAlign w:val="bottom"/>
          </w:tcPr>
          <w:p w14:paraId="43DE031C" w14:textId="77777777" w:rsidR="00503A8A" w:rsidRPr="009831F6" w:rsidRDefault="00503A8A" w:rsidP="00503A8A">
            <w:pPr>
              <w:pStyle w:val="-12"/>
              <w:pBdr>
                <w:top w:val="none" w:sz="0" w:space="0" w:color="auto"/>
              </w:pBdr>
              <w:spacing w:line="240" w:lineRule="auto"/>
              <w:jc w:val="center"/>
              <w:rPr>
                <w:rFonts w:asciiTheme="minorBidi" w:hAnsiTheme="minorBidi" w:cstheme="minorBidi"/>
                <w:sz w:val="17"/>
                <w:szCs w:val="17"/>
                <w:rtl/>
              </w:rPr>
            </w:pPr>
          </w:p>
        </w:tc>
        <w:tc>
          <w:tcPr>
            <w:tcW w:w="806" w:type="pct"/>
            <w:vAlign w:val="bottom"/>
          </w:tcPr>
          <w:p w14:paraId="372A31EC" w14:textId="77777777" w:rsidR="00503A8A" w:rsidRPr="009831F6" w:rsidRDefault="00503A8A" w:rsidP="00503A8A">
            <w:pPr>
              <w:pStyle w:val="-12"/>
              <w:pBdr>
                <w:top w:val="none" w:sz="0" w:space="0" w:color="auto"/>
              </w:pBdr>
              <w:spacing w:line="240" w:lineRule="auto"/>
              <w:jc w:val="center"/>
              <w:rPr>
                <w:rFonts w:asciiTheme="minorBidi" w:hAnsiTheme="minorBidi" w:cstheme="minorBidi"/>
                <w:sz w:val="17"/>
                <w:szCs w:val="17"/>
                <w:rtl/>
              </w:rPr>
            </w:pPr>
          </w:p>
        </w:tc>
        <w:tc>
          <w:tcPr>
            <w:tcW w:w="958" w:type="pct"/>
            <w:vAlign w:val="bottom"/>
          </w:tcPr>
          <w:p w14:paraId="68CA0206" w14:textId="77777777" w:rsidR="00503A8A" w:rsidRPr="009831F6" w:rsidRDefault="00503A8A" w:rsidP="00503A8A">
            <w:pPr>
              <w:pStyle w:val="-12"/>
              <w:pBdr>
                <w:top w:val="none" w:sz="0" w:space="0" w:color="auto"/>
              </w:pBdr>
              <w:spacing w:line="240" w:lineRule="auto"/>
              <w:jc w:val="center"/>
              <w:rPr>
                <w:rFonts w:asciiTheme="minorBidi" w:hAnsiTheme="minorBidi" w:cstheme="minorBidi"/>
                <w:sz w:val="17"/>
                <w:szCs w:val="17"/>
                <w:rtl/>
              </w:rPr>
            </w:pPr>
          </w:p>
        </w:tc>
        <w:tc>
          <w:tcPr>
            <w:tcW w:w="574" w:type="pct"/>
            <w:vAlign w:val="bottom"/>
          </w:tcPr>
          <w:p w14:paraId="28BC9179" w14:textId="77777777" w:rsidR="00503A8A" w:rsidRPr="009831F6" w:rsidRDefault="00503A8A" w:rsidP="00503A8A">
            <w:pPr>
              <w:pStyle w:val="-12"/>
              <w:pBdr>
                <w:top w:val="none" w:sz="0" w:space="0" w:color="auto"/>
              </w:pBdr>
              <w:spacing w:line="240" w:lineRule="auto"/>
              <w:jc w:val="center"/>
              <w:rPr>
                <w:rFonts w:asciiTheme="minorBidi" w:hAnsiTheme="minorBidi" w:cstheme="minorBidi"/>
                <w:b/>
                <w:bCs/>
                <w:sz w:val="17"/>
                <w:szCs w:val="17"/>
                <w:rtl/>
              </w:rPr>
            </w:pPr>
          </w:p>
        </w:tc>
        <w:tc>
          <w:tcPr>
            <w:tcW w:w="1019" w:type="pct"/>
            <w:vAlign w:val="bottom"/>
          </w:tcPr>
          <w:p w14:paraId="65259B02" w14:textId="77777777" w:rsidR="00503A8A" w:rsidRPr="009831F6" w:rsidRDefault="00503A8A" w:rsidP="00503A8A">
            <w:pPr>
              <w:pStyle w:val="-12"/>
              <w:pBdr>
                <w:top w:val="none" w:sz="0" w:space="0" w:color="auto"/>
              </w:pBdr>
              <w:spacing w:line="240" w:lineRule="auto"/>
              <w:jc w:val="center"/>
              <w:rPr>
                <w:rFonts w:asciiTheme="minorBidi" w:hAnsiTheme="minorBidi" w:cstheme="minorBidi"/>
                <w:sz w:val="17"/>
                <w:szCs w:val="17"/>
                <w:rtl/>
              </w:rPr>
            </w:pPr>
          </w:p>
        </w:tc>
        <w:tc>
          <w:tcPr>
            <w:tcW w:w="824" w:type="pct"/>
            <w:vAlign w:val="bottom"/>
          </w:tcPr>
          <w:p w14:paraId="6EB88393" w14:textId="77777777" w:rsidR="00503A8A" w:rsidRPr="009831F6" w:rsidRDefault="00503A8A" w:rsidP="00503A8A">
            <w:pPr>
              <w:pStyle w:val="-12"/>
              <w:pBdr>
                <w:top w:val="none" w:sz="0" w:space="0" w:color="auto"/>
              </w:pBdr>
              <w:spacing w:line="240" w:lineRule="auto"/>
              <w:jc w:val="center"/>
              <w:rPr>
                <w:rFonts w:asciiTheme="minorBidi" w:hAnsiTheme="minorBidi" w:cstheme="minorBidi"/>
                <w:sz w:val="17"/>
                <w:szCs w:val="17"/>
                <w:rtl/>
              </w:rPr>
            </w:pPr>
          </w:p>
        </w:tc>
      </w:tr>
      <w:tr w:rsidR="00503A8A" w:rsidRPr="009831F6" w14:paraId="689B88D5" w14:textId="77777777" w:rsidTr="00503A8A">
        <w:trPr>
          <w:trHeight w:val="203"/>
        </w:trPr>
        <w:tc>
          <w:tcPr>
            <w:tcW w:w="820" w:type="pct"/>
            <w:vAlign w:val="bottom"/>
          </w:tcPr>
          <w:p w14:paraId="0D13425B" w14:textId="77777777" w:rsidR="00503A8A" w:rsidRPr="009831F6" w:rsidRDefault="00503A8A" w:rsidP="00503A8A">
            <w:pPr>
              <w:pStyle w:val="-3"/>
              <w:spacing w:line="240" w:lineRule="auto"/>
              <w:rPr>
                <w:rFonts w:asciiTheme="minorBidi" w:hAnsiTheme="minorBidi" w:cstheme="minorBidi"/>
                <w:sz w:val="17"/>
                <w:szCs w:val="17"/>
                <w:rtl/>
              </w:rPr>
            </w:pPr>
          </w:p>
        </w:tc>
        <w:tc>
          <w:tcPr>
            <w:tcW w:w="806" w:type="pct"/>
            <w:vAlign w:val="bottom"/>
          </w:tcPr>
          <w:p w14:paraId="36E54539" w14:textId="77777777" w:rsidR="00503A8A" w:rsidRPr="009831F6" w:rsidRDefault="00503A8A" w:rsidP="00503A8A">
            <w:pPr>
              <w:pStyle w:val="-3"/>
              <w:spacing w:line="240" w:lineRule="auto"/>
              <w:rPr>
                <w:rFonts w:asciiTheme="minorBidi" w:hAnsiTheme="minorBidi" w:cstheme="minorBidi"/>
                <w:sz w:val="17"/>
                <w:szCs w:val="17"/>
                <w:rtl/>
              </w:rPr>
            </w:pPr>
          </w:p>
        </w:tc>
        <w:tc>
          <w:tcPr>
            <w:tcW w:w="958" w:type="pct"/>
            <w:vAlign w:val="bottom"/>
          </w:tcPr>
          <w:p w14:paraId="149D5CF9" w14:textId="77777777" w:rsidR="00503A8A" w:rsidRPr="009831F6" w:rsidRDefault="00503A8A" w:rsidP="00503A8A">
            <w:pPr>
              <w:pStyle w:val="-3"/>
              <w:spacing w:line="240" w:lineRule="auto"/>
              <w:rPr>
                <w:rFonts w:asciiTheme="minorBidi" w:hAnsiTheme="minorBidi" w:cstheme="minorBidi"/>
                <w:sz w:val="17"/>
                <w:szCs w:val="17"/>
                <w:rtl/>
              </w:rPr>
            </w:pPr>
          </w:p>
        </w:tc>
        <w:tc>
          <w:tcPr>
            <w:tcW w:w="574" w:type="pct"/>
            <w:vAlign w:val="bottom"/>
          </w:tcPr>
          <w:p w14:paraId="740477F2" w14:textId="77777777" w:rsidR="00503A8A" w:rsidRPr="009831F6" w:rsidRDefault="00503A8A" w:rsidP="00503A8A">
            <w:pPr>
              <w:pStyle w:val="-3"/>
              <w:spacing w:line="240" w:lineRule="auto"/>
              <w:rPr>
                <w:rFonts w:asciiTheme="minorBidi" w:hAnsiTheme="minorBidi" w:cstheme="minorBidi"/>
                <w:b/>
                <w:bCs/>
                <w:sz w:val="17"/>
                <w:szCs w:val="17"/>
                <w:rtl/>
              </w:rPr>
            </w:pPr>
          </w:p>
        </w:tc>
        <w:tc>
          <w:tcPr>
            <w:tcW w:w="1019" w:type="pct"/>
            <w:vAlign w:val="bottom"/>
          </w:tcPr>
          <w:p w14:paraId="6A7A87A8" w14:textId="77777777" w:rsidR="00503A8A" w:rsidRPr="009831F6" w:rsidRDefault="00503A8A" w:rsidP="00503A8A">
            <w:pPr>
              <w:pStyle w:val="-3"/>
              <w:spacing w:line="240" w:lineRule="auto"/>
              <w:rPr>
                <w:rFonts w:asciiTheme="minorBidi" w:hAnsiTheme="minorBidi" w:cstheme="minorBidi"/>
                <w:sz w:val="17"/>
                <w:szCs w:val="17"/>
                <w:rtl/>
              </w:rPr>
            </w:pPr>
          </w:p>
        </w:tc>
        <w:tc>
          <w:tcPr>
            <w:tcW w:w="824" w:type="pct"/>
            <w:vAlign w:val="bottom"/>
          </w:tcPr>
          <w:p w14:paraId="79B324E6" w14:textId="77777777" w:rsidR="00503A8A" w:rsidRPr="009831F6" w:rsidRDefault="00503A8A" w:rsidP="00503A8A">
            <w:pPr>
              <w:pStyle w:val="-3"/>
              <w:spacing w:line="240" w:lineRule="auto"/>
              <w:rPr>
                <w:rFonts w:asciiTheme="minorBidi" w:hAnsiTheme="minorBidi" w:cstheme="minorBidi"/>
                <w:sz w:val="17"/>
                <w:szCs w:val="17"/>
                <w:rtl/>
              </w:rPr>
            </w:pPr>
          </w:p>
        </w:tc>
      </w:tr>
      <w:tr w:rsidR="00503A8A" w:rsidRPr="009831F6" w14:paraId="72702A51" w14:textId="77777777" w:rsidTr="00503A8A">
        <w:trPr>
          <w:trHeight w:val="227"/>
        </w:trPr>
        <w:tc>
          <w:tcPr>
            <w:tcW w:w="820" w:type="pct"/>
            <w:vAlign w:val="bottom"/>
          </w:tcPr>
          <w:p w14:paraId="31DD4831" w14:textId="77777777" w:rsidR="00503A8A" w:rsidRPr="009831F6" w:rsidRDefault="00503A8A" w:rsidP="00503A8A">
            <w:pPr>
              <w:pStyle w:val="-3"/>
              <w:spacing w:line="240" w:lineRule="auto"/>
              <w:rPr>
                <w:rFonts w:asciiTheme="minorBidi" w:hAnsiTheme="minorBidi" w:cstheme="minorBidi"/>
                <w:sz w:val="17"/>
                <w:szCs w:val="17"/>
                <w:rtl/>
              </w:rPr>
            </w:pPr>
          </w:p>
        </w:tc>
        <w:tc>
          <w:tcPr>
            <w:tcW w:w="806" w:type="pct"/>
            <w:vAlign w:val="bottom"/>
          </w:tcPr>
          <w:p w14:paraId="11276076" w14:textId="77777777" w:rsidR="00503A8A" w:rsidRPr="009831F6" w:rsidRDefault="00503A8A" w:rsidP="00503A8A">
            <w:pPr>
              <w:pStyle w:val="-3"/>
              <w:spacing w:line="240" w:lineRule="auto"/>
              <w:rPr>
                <w:rFonts w:asciiTheme="minorBidi" w:hAnsiTheme="minorBidi" w:cstheme="minorBidi"/>
                <w:sz w:val="17"/>
                <w:szCs w:val="17"/>
                <w:rtl/>
              </w:rPr>
            </w:pPr>
          </w:p>
        </w:tc>
        <w:tc>
          <w:tcPr>
            <w:tcW w:w="958" w:type="pct"/>
            <w:vAlign w:val="bottom"/>
          </w:tcPr>
          <w:p w14:paraId="2EAC4E7C" w14:textId="77777777" w:rsidR="00503A8A" w:rsidRPr="009831F6" w:rsidRDefault="00503A8A" w:rsidP="00503A8A">
            <w:pPr>
              <w:pStyle w:val="-3"/>
              <w:spacing w:line="240" w:lineRule="auto"/>
              <w:rPr>
                <w:rFonts w:asciiTheme="minorBidi" w:hAnsiTheme="minorBidi" w:cstheme="minorBidi"/>
                <w:sz w:val="17"/>
                <w:szCs w:val="17"/>
                <w:rtl/>
              </w:rPr>
            </w:pPr>
          </w:p>
        </w:tc>
        <w:tc>
          <w:tcPr>
            <w:tcW w:w="574" w:type="pct"/>
            <w:vAlign w:val="bottom"/>
          </w:tcPr>
          <w:p w14:paraId="234BA6B1" w14:textId="77777777" w:rsidR="00503A8A" w:rsidRPr="009831F6" w:rsidRDefault="00503A8A" w:rsidP="00503A8A">
            <w:pPr>
              <w:pStyle w:val="-3"/>
              <w:spacing w:line="240" w:lineRule="auto"/>
              <w:rPr>
                <w:rFonts w:asciiTheme="minorBidi" w:hAnsiTheme="minorBidi" w:cstheme="minorBidi"/>
                <w:b/>
                <w:bCs/>
                <w:sz w:val="17"/>
                <w:szCs w:val="17"/>
                <w:rtl/>
              </w:rPr>
            </w:pPr>
          </w:p>
        </w:tc>
        <w:tc>
          <w:tcPr>
            <w:tcW w:w="1019" w:type="pct"/>
            <w:vAlign w:val="bottom"/>
          </w:tcPr>
          <w:p w14:paraId="28469E42" w14:textId="77777777" w:rsidR="00503A8A" w:rsidRPr="009831F6" w:rsidRDefault="00503A8A" w:rsidP="00503A8A">
            <w:pPr>
              <w:pStyle w:val="-3"/>
              <w:spacing w:line="240" w:lineRule="auto"/>
              <w:rPr>
                <w:rFonts w:asciiTheme="minorBidi" w:hAnsiTheme="minorBidi" w:cstheme="minorBidi"/>
                <w:sz w:val="17"/>
                <w:szCs w:val="17"/>
                <w:rtl/>
              </w:rPr>
            </w:pPr>
          </w:p>
        </w:tc>
        <w:tc>
          <w:tcPr>
            <w:tcW w:w="824" w:type="pct"/>
            <w:vAlign w:val="bottom"/>
          </w:tcPr>
          <w:p w14:paraId="3832082B" w14:textId="77777777" w:rsidR="00503A8A" w:rsidRPr="009831F6" w:rsidRDefault="00503A8A" w:rsidP="00503A8A">
            <w:pPr>
              <w:pStyle w:val="-3"/>
              <w:spacing w:line="240" w:lineRule="auto"/>
              <w:rPr>
                <w:rFonts w:asciiTheme="minorBidi" w:hAnsiTheme="minorBidi" w:cstheme="minorBidi"/>
                <w:sz w:val="17"/>
                <w:szCs w:val="17"/>
                <w:rtl/>
              </w:rPr>
            </w:pPr>
          </w:p>
        </w:tc>
      </w:tr>
      <w:tr w:rsidR="00503A8A" w:rsidRPr="009831F6" w14:paraId="388D6778" w14:textId="77777777" w:rsidTr="00503A8A">
        <w:trPr>
          <w:trHeight w:val="227"/>
        </w:trPr>
        <w:tc>
          <w:tcPr>
            <w:tcW w:w="820" w:type="pct"/>
            <w:vAlign w:val="bottom"/>
          </w:tcPr>
          <w:p w14:paraId="54145751"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vAlign w:val="bottom"/>
          </w:tcPr>
          <w:p w14:paraId="2B669BDD"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vAlign w:val="bottom"/>
          </w:tcPr>
          <w:p w14:paraId="1A76342C"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vAlign w:val="bottom"/>
          </w:tcPr>
          <w:p w14:paraId="43BC2904"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vAlign w:val="bottom"/>
          </w:tcPr>
          <w:p w14:paraId="247E5EAA"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4" w:type="pct"/>
            <w:vAlign w:val="bottom"/>
          </w:tcPr>
          <w:p w14:paraId="1F025BED" w14:textId="77777777" w:rsidR="00503A8A" w:rsidRPr="009831F6" w:rsidRDefault="00503A8A" w:rsidP="00503A8A">
            <w:pPr>
              <w:pStyle w:val="-3"/>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503A8A" w:rsidRPr="009831F6" w14:paraId="22AFDDB5" w14:textId="77777777" w:rsidTr="00503A8A">
        <w:trPr>
          <w:trHeight w:val="227"/>
        </w:trPr>
        <w:tc>
          <w:tcPr>
            <w:tcW w:w="820" w:type="pct"/>
            <w:vAlign w:val="bottom"/>
          </w:tcPr>
          <w:p w14:paraId="23C72E4D"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vAlign w:val="bottom"/>
          </w:tcPr>
          <w:p w14:paraId="2B48134B"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vAlign w:val="bottom"/>
          </w:tcPr>
          <w:p w14:paraId="0718FD7D"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vAlign w:val="bottom"/>
          </w:tcPr>
          <w:p w14:paraId="64C164B2"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vAlign w:val="bottom"/>
          </w:tcPr>
          <w:p w14:paraId="6A40FB05"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4" w:type="pct"/>
            <w:vAlign w:val="bottom"/>
          </w:tcPr>
          <w:p w14:paraId="59EAE068" w14:textId="77777777" w:rsidR="00503A8A" w:rsidRPr="009831F6" w:rsidRDefault="00503A8A" w:rsidP="00503A8A">
            <w:pPr>
              <w:pStyle w:val="-3"/>
              <w:pBdr>
                <w:bottom w:val="single" w:sz="4" w:space="1" w:color="auto"/>
              </w:pBdr>
              <w:spacing w:line="240" w:lineRule="auto"/>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503A8A" w:rsidRPr="009831F6" w14:paraId="597143FE" w14:textId="77777777" w:rsidTr="00503A8A">
        <w:trPr>
          <w:trHeight w:val="227"/>
        </w:trPr>
        <w:tc>
          <w:tcPr>
            <w:tcW w:w="820" w:type="pct"/>
            <w:vAlign w:val="bottom"/>
          </w:tcPr>
          <w:p w14:paraId="4FD9401F"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06" w:type="pct"/>
            <w:vAlign w:val="bottom"/>
          </w:tcPr>
          <w:p w14:paraId="5C7DB728"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958" w:type="pct"/>
            <w:vAlign w:val="bottom"/>
          </w:tcPr>
          <w:p w14:paraId="5DE867D3"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74" w:type="pct"/>
            <w:vAlign w:val="bottom"/>
          </w:tcPr>
          <w:p w14:paraId="37E3F1E1"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1019" w:type="pct"/>
            <w:vAlign w:val="bottom"/>
          </w:tcPr>
          <w:p w14:paraId="3EC3119D"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24" w:type="pct"/>
            <w:vAlign w:val="bottom"/>
          </w:tcPr>
          <w:p w14:paraId="5C879BCF" w14:textId="77777777" w:rsidR="00503A8A" w:rsidRPr="009831F6" w:rsidRDefault="00503A8A" w:rsidP="00503A8A">
            <w:pPr>
              <w:pStyle w:val="-3"/>
              <w:spacing w:line="240" w:lineRule="auto"/>
              <w:jc w:val="left"/>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r>
      <w:tr w:rsidR="00503A8A" w:rsidRPr="009831F6" w14:paraId="2561D4A5" w14:textId="77777777" w:rsidTr="00503A8A">
        <w:trPr>
          <w:trHeight w:val="227"/>
        </w:trPr>
        <w:tc>
          <w:tcPr>
            <w:tcW w:w="820" w:type="pct"/>
            <w:vAlign w:val="bottom"/>
          </w:tcPr>
          <w:p w14:paraId="694A4169"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06" w:type="pct"/>
            <w:vAlign w:val="bottom"/>
          </w:tcPr>
          <w:p w14:paraId="60BC46B0"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958" w:type="pct"/>
            <w:vAlign w:val="bottom"/>
          </w:tcPr>
          <w:p w14:paraId="31F0BD35"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574" w:type="pct"/>
            <w:vAlign w:val="bottom"/>
          </w:tcPr>
          <w:p w14:paraId="7B9769F9"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1019" w:type="pct"/>
            <w:vAlign w:val="bottom"/>
          </w:tcPr>
          <w:p w14:paraId="7AC97FD9"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c>
          <w:tcPr>
            <w:tcW w:w="824" w:type="pct"/>
            <w:vAlign w:val="bottom"/>
          </w:tcPr>
          <w:p w14:paraId="1F3A948E" w14:textId="77777777" w:rsidR="00503A8A" w:rsidRPr="009831F6" w:rsidRDefault="00503A8A" w:rsidP="00503A8A">
            <w:pPr>
              <w:pStyle w:val="-3"/>
              <w:pBdr>
                <w:bottom w:val="single" w:sz="4" w:space="1" w:color="auto"/>
              </w:pBdr>
              <w:spacing w:line="240" w:lineRule="auto"/>
              <w:rPr>
                <w:rFonts w:asciiTheme="minorBidi" w:hAnsiTheme="minorBidi" w:cstheme="minorBidi"/>
                <w:b/>
                <w:bCs/>
                <w:sz w:val="17"/>
                <w:szCs w:val="17"/>
                <w:rtl/>
              </w:rPr>
            </w:pPr>
            <w:r w:rsidRPr="009831F6">
              <w:rPr>
                <w:rFonts w:asciiTheme="minorBidi" w:hAnsiTheme="minorBidi" w:cstheme="minorBidi"/>
                <w:b/>
                <w:bCs/>
                <w:sz w:val="17"/>
                <w:szCs w:val="17"/>
                <w:rtl/>
              </w:rPr>
              <w:t xml:space="preserve"> 0</w:t>
            </w:r>
          </w:p>
        </w:tc>
      </w:tr>
      <w:tr w:rsidR="00503A8A" w:rsidRPr="009831F6" w14:paraId="1E8D5393" w14:textId="77777777" w:rsidTr="00167FDB">
        <w:trPr>
          <w:trHeight w:val="227"/>
        </w:trPr>
        <w:tc>
          <w:tcPr>
            <w:tcW w:w="820" w:type="pct"/>
            <w:tcBorders>
              <w:bottom w:val="single" w:sz="8" w:space="0" w:color="auto"/>
            </w:tcBorders>
            <w:vAlign w:val="bottom"/>
          </w:tcPr>
          <w:p w14:paraId="3527753D"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tcBorders>
              <w:bottom w:val="single" w:sz="8" w:space="0" w:color="auto"/>
            </w:tcBorders>
            <w:vAlign w:val="bottom"/>
          </w:tcPr>
          <w:p w14:paraId="45C980F3"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tcBorders>
              <w:bottom w:val="single" w:sz="8" w:space="0" w:color="auto"/>
            </w:tcBorders>
            <w:vAlign w:val="bottom"/>
          </w:tcPr>
          <w:p w14:paraId="5E64B14F"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tcBorders>
              <w:bottom w:val="single" w:sz="8" w:space="0" w:color="auto"/>
            </w:tcBorders>
            <w:vAlign w:val="bottom"/>
          </w:tcPr>
          <w:p w14:paraId="57F30508"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tcBorders>
              <w:bottom w:val="single" w:sz="8" w:space="0" w:color="auto"/>
            </w:tcBorders>
            <w:vAlign w:val="bottom"/>
          </w:tcPr>
          <w:p w14:paraId="2114DBE0"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4" w:type="pct"/>
            <w:tcBorders>
              <w:bottom w:val="single" w:sz="8" w:space="0" w:color="auto"/>
            </w:tcBorders>
            <w:vAlign w:val="bottom"/>
          </w:tcPr>
          <w:p w14:paraId="3843DD4B" w14:textId="77777777" w:rsidR="00503A8A" w:rsidRPr="009831F6" w:rsidRDefault="00503A8A" w:rsidP="00503A8A">
            <w:pPr>
              <w:pStyle w:val="-f1"/>
              <w:pBdr>
                <w:top w:val="none" w:sz="0" w:space="0"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r w:rsidR="00503A8A" w:rsidRPr="009831F6" w14:paraId="15F60B0E" w14:textId="77777777" w:rsidTr="00167FDB">
        <w:trPr>
          <w:trHeight w:val="255"/>
        </w:trPr>
        <w:tc>
          <w:tcPr>
            <w:tcW w:w="820" w:type="pct"/>
            <w:tcBorders>
              <w:top w:val="single" w:sz="8" w:space="0" w:color="auto"/>
            </w:tcBorders>
            <w:vAlign w:val="bottom"/>
          </w:tcPr>
          <w:p w14:paraId="2ECBF343" w14:textId="77777777" w:rsidR="00503A8A" w:rsidRPr="009831F6" w:rsidRDefault="00503A8A"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06" w:type="pct"/>
            <w:tcBorders>
              <w:top w:val="single" w:sz="8" w:space="0" w:color="auto"/>
            </w:tcBorders>
            <w:vAlign w:val="bottom"/>
          </w:tcPr>
          <w:p w14:paraId="61402868" w14:textId="77777777" w:rsidR="00503A8A" w:rsidRPr="009831F6" w:rsidRDefault="00503A8A"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958" w:type="pct"/>
            <w:tcBorders>
              <w:top w:val="single" w:sz="8" w:space="0" w:color="auto"/>
            </w:tcBorders>
            <w:vAlign w:val="bottom"/>
          </w:tcPr>
          <w:p w14:paraId="755AFA2A" w14:textId="77777777" w:rsidR="00503A8A" w:rsidRPr="009831F6" w:rsidRDefault="00503A8A"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574" w:type="pct"/>
            <w:tcBorders>
              <w:top w:val="single" w:sz="8" w:space="0" w:color="auto"/>
            </w:tcBorders>
            <w:vAlign w:val="bottom"/>
          </w:tcPr>
          <w:p w14:paraId="3E3C1C09" w14:textId="77777777" w:rsidR="00503A8A" w:rsidRPr="009831F6" w:rsidRDefault="00503A8A"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1019" w:type="pct"/>
            <w:tcBorders>
              <w:top w:val="single" w:sz="8" w:space="0" w:color="auto"/>
            </w:tcBorders>
            <w:vAlign w:val="bottom"/>
          </w:tcPr>
          <w:p w14:paraId="230C6C00" w14:textId="77777777" w:rsidR="00503A8A" w:rsidRPr="009831F6" w:rsidRDefault="00503A8A"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c>
          <w:tcPr>
            <w:tcW w:w="824" w:type="pct"/>
            <w:tcBorders>
              <w:top w:val="single" w:sz="8" w:space="0" w:color="auto"/>
            </w:tcBorders>
            <w:vAlign w:val="bottom"/>
          </w:tcPr>
          <w:p w14:paraId="2E97F09A" w14:textId="77777777" w:rsidR="00503A8A" w:rsidRPr="009831F6" w:rsidRDefault="00503A8A" w:rsidP="00167FDB">
            <w:pPr>
              <w:pStyle w:val="-f1"/>
              <w:pBdr>
                <w:top w:val="none" w:sz="0" w:space="0" w:color="auto"/>
                <w:bottom w:val="double" w:sz="4" w:space="1" w:color="auto"/>
              </w:pBdr>
              <w:spacing w:before="40" w:line="240" w:lineRule="auto"/>
              <w:ind w:left="0" w:firstLine="0"/>
              <w:rPr>
                <w:rFonts w:asciiTheme="minorBidi" w:hAnsiTheme="minorBidi" w:cstheme="minorBidi"/>
                <w:sz w:val="17"/>
                <w:szCs w:val="17"/>
                <w:rtl/>
              </w:rPr>
            </w:pPr>
            <w:r w:rsidRPr="009831F6">
              <w:rPr>
                <w:rFonts w:asciiTheme="minorBidi" w:hAnsiTheme="minorBidi" w:cstheme="minorBidi"/>
                <w:sz w:val="17"/>
                <w:szCs w:val="17"/>
                <w:rtl/>
              </w:rPr>
              <w:t xml:space="preserve"> 0</w:t>
            </w:r>
          </w:p>
        </w:tc>
      </w:tr>
    </w:tbl>
    <w:tbl>
      <w:tblPr>
        <w:tblpPr w:leftFromText="180" w:rightFromText="180" w:vertAnchor="text" w:horzAnchor="margin" w:tblpY="144"/>
        <w:bidiVisual/>
        <w:tblW w:w="5000" w:type="pct"/>
        <w:tblLook w:val="01E0" w:firstRow="1" w:lastRow="1" w:firstColumn="1" w:lastColumn="1" w:noHBand="0" w:noVBand="0"/>
      </w:tblPr>
      <w:tblGrid>
        <w:gridCol w:w="15132"/>
      </w:tblGrid>
      <w:tr w:rsidR="00503A8A" w:rsidRPr="007E33E7" w14:paraId="514D2F1B" w14:textId="77777777" w:rsidTr="00503A8A">
        <w:trPr>
          <w:trHeight w:val="245"/>
        </w:trPr>
        <w:tc>
          <w:tcPr>
            <w:tcW w:w="15132" w:type="dxa"/>
          </w:tcPr>
          <w:p w14:paraId="54335B94" w14:textId="77777777" w:rsidR="00503A8A" w:rsidRPr="007E33E7" w:rsidRDefault="00503A8A" w:rsidP="00503A8A">
            <w:pPr>
              <w:pStyle w:val="-a"/>
              <w:numPr>
                <w:ilvl w:val="0"/>
                <w:numId w:val="43"/>
              </w:numPr>
              <w:spacing w:after="0" w:line="200" w:lineRule="exact"/>
              <w:rPr>
                <w:sz w:val="17"/>
                <w:szCs w:val="17"/>
                <w:rtl/>
              </w:rPr>
            </w:pPr>
            <w:r w:rsidRPr="007E33E7">
              <w:rPr>
                <w:rFonts w:hint="cs"/>
                <w:sz w:val="17"/>
                <w:szCs w:val="17"/>
                <w:rtl/>
              </w:rPr>
              <w:t>אשראי לציבור לא צובר, נחות</w:t>
            </w:r>
            <w:r w:rsidRPr="007E33E7">
              <w:rPr>
                <w:rFonts w:hint="cs"/>
                <w:b/>
                <w:bCs/>
                <w:sz w:val="17"/>
                <w:szCs w:val="17"/>
                <w:vertAlign w:val="superscript"/>
                <w:rtl/>
              </w:rPr>
              <w:t>[</w:t>
            </w:r>
            <w:r w:rsidRPr="007E33E7">
              <w:rPr>
                <w:sz w:val="17"/>
                <w:szCs w:val="17"/>
                <w:vertAlign w:val="superscript"/>
                <w:rtl/>
              </w:rPr>
              <w:footnoteReference w:id="104"/>
            </w:r>
            <w:r w:rsidRPr="007E33E7">
              <w:rPr>
                <w:rFonts w:hint="cs"/>
                <w:b/>
                <w:bCs/>
                <w:sz w:val="17"/>
                <w:szCs w:val="17"/>
                <w:vertAlign w:val="superscript"/>
                <w:rtl/>
              </w:rPr>
              <w:t>]</w:t>
            </w:r>
            <w:r w:rsidRPr="007E33E7">
              <w:rPr>
                <w:rFonts w:hint="cs"/>
                <w:sz w:val="17"/>
                <w:szCs w:val="17"/>
                <w:rtl/>
              </w:rPr>
              <w:t xml:space="preserve"> או בהשגחה מיוחדת.</w:t>
            </w:r>
          </w:p>
        </w:tc>
      </w:tr>
      <w:tr w:rsidR="00503A8A" w:rsidRPr="007E33E7" w14:paraId="55A1FDD2" w14:textId="77777777" w:rsidTr="00503A8A">
        <w:trPr>
          <w:trHeight w:val="245"/>
        </w:trPr>
        <w:tc>
          <w:tcPr>
            <w:tcW w:w="15132" w:type="dxa"/>
          </w:tcPr>
          <w:p w14:paraId="1914FFB2" w14:textId="77777777" w:rsidR="00503A8A" w:rsidRPr="007E33E7" w:rsidRDefault="00503A8A" w:rsidP="00503A8A">
            <w:pPr>
              <w:pStyle w:val="-a"/>
              <w:numPr>
                <w:ilvl w:val="0"/>
                <w:numId w:val="43"/>
              </w:numPr>
              <w:spacing w:after="0" w:line="200" w:lineRule="exact"/>
              <w:rPr>
                <w:sz w:val="17"/>
                <w:szCs w:val="17"/>
                <w:rtl/>
              </w:rPr>
            </w:pPr>
            <w:r w:rsidRPr="007E33E7">
              <w:rPr>
                <w:rFonts w:hint="cs"/>
                <w:sz w:val="17"/>
                <w:szCs w:val="17"/>
                <w:rtl/>
              </w:rPr>
              <w:t>מסווגים כחובות בעייתיים הצוברים הכנסות ריבית.</w:t>
            </w:r>
          </w:p>
        </w:tc>
      </w:tr>
      <w:tr w:rsidR="00503A8A" w:rsidRPr="007E33E7" w14:paraId="24AF39E8" w14:textId="77777777" w:rsidTr="00503A8A">
        <w:trPr>
          <w:trHeight w:val="245"/>
        </w:trPr>
        <w:tc>
          <w:tcPr>
            <w:tcW w:w="15132" w:type="dxa"/>
          </w:tcPr>
          <w:p w14:paraId="429336EF" w14:textId="4704AB45" w:rsidR="00503A8A" w:rsidRPr="007E33E7" w:rsidRDefault="00503A8A" w:rsidP="00503A8A">
            <w:pPr>
              <w:pStyle w:val="-a"/>
              <w:numPr>
                <w:ilvl w:val="0"/>
                <w:numId w:val="43"/>
              </w:numPr>
              <w:spacing w:after="0" w:line="200" w:lineRule="exact"/>
              <w:rPr>
                <w:sz w:val="17"/>
                <w:szCs w:val="17"/>
                <w:rtl/>
              </w:rPr>
            </w:pPr>
            <w:r w:rsidRPr="007E33E7">
              <w:rPr>
                <w:rFonts w:hint="cs"/>
                <w:sz w:val="17"/>
                <w:szCs w:val="17"/>
                <w:rtl/>
              </w:rPr>
              <w:t>צוברים הכנסות ריבית. חובות בפיגור של 30 ועד 89 ימים בסך ___ מיליוני ש"ח סווגו כחובות בעייתיים</w:t>
            </w:r>
            <w:r w:rsidR="001210B3">
              <w:rPr>
                <w:rFonts w:hint="cs"/>
                <w:sz w:val="17"/>
                <w:szCs w:val="17"/>
                <w:rtl/>
              </w:rPr>
              <w:t xml:space="preserve"> </w:t>
            </w:r>
            <w:r w:rsidR="001210B3" w:rsidRPr="00865418">
              <w:rPr>
                <w:rtl/>
              </w:rPr>
              <w:t>(</w:t>
            </w:r>
            <w:r w:rsidR="001210B3">
              <w:rPr>
                <w:rFonts w:hint="cs"/>
                <w:rtl/>
              </w:rPr>
              <w:t xml:space="preserve">סך ___ ו-___ מיליוני ש"ח לימים 30 ביוני </w:t>
            </w:r>
            <w:r w:rsidR="001210B3" w:rsidRPr="00905C12">
              <w:rPr>
                <w:sz w:val="20"/>
                <w:szCs w:val="20"/>
                <w:rtl/>
              </w:rPr>
              <w:fldChar w:fldCharType="begin"/>
            </w:r>
            <w:r w:rsidR="001210B3" w:rsidRPr="00905C12">
              <w:rPr>
                <w:sz w:val="20"/>
                <w:szCs w:val="20"/>
                <w:rtl/>
              </w:rPr>
              <w:instrText xml:space="preserve"> </w:instrText>
            </w:r>
            <w:r w:rsidR="001210B3" w:rsidRPr="00905C12">
              <w:rPr>
                <w:rFonts w:hint="cs"/>
                <w:sz w:val="20"/>
                <w:szCs w:val="20"/>
                <w:rtl/>
              </w:rPr>
              <w:instrText xml:space="preserve">= </w:instrText>
            </w:r>
            <w:r w:rsidR="001210B3" w:rsidRPr="00905C12">
              <w:rPr>
                <w:rFonts w:hint="cs"/>
                <w:sz w:val="20"/>
                <w:szCs w:val="20"/>
              </w:rPr>
              <w:instrText>CY</w:instrText>
            </w:r>
            <w:r w:rsidR="001210B3">
              <w:instrText>-1</w:instrText>
            </w:r>
            <w:r w:rsidR="001210B3" w:rsidRPr="00905C12">
              <w:rPr>
                <w:rFonts w:hint="cs"/>
                <w:sz w:val="20"/>
                <w:szCs w:val="20"/>
              </w:rPr>
              <w:instrText xml:space="preserve"> \* MERGEFORMAT</w:instrText>
            </w:r>
            <w:r w:rsidR="001210B3" w:rsidRPr="00905C12">
              <w:rPr>
                <w:sz w:val="20"/>
                <w:szCs w:val="20"/>
                <w:rtl/>
              </w:rPr>
              <w:instrText xml:space="preserve"> </w:instrText>
            </w:r>
            <w:r w:rsidR="001210B3" w:rsidRPr="00905C12">
              <w:rPr>
                <w:sz w:val="20"/>
                <w:szCs w:val="20"/>
                <w:rtl/>
              </w:rPr>
              <w:fldChar w:fldCharType="separate"/>
            </w:r>
            <w:r w:rsidR="001210B3" w:rsidRPr="003A584F">
              <w:rPr>
                <w:noProof/>
                <w:rtl/>
              </w:rPr>
              <w:t>2023</w:t>
            </w:r>
            <w:r w:rsidR="001210B3" w:rsidRPr="00905C12">
              <w:rPr>
                <w:sz w:val="20"/>
                <w:szCs w:val="20"/>
                <w:rtl/>
              </w:rPr>
              <w:fldChar w:fldCharType="end"/>
            </w:r>
            <w:r w:rsidR="001210B3">
              <w:rPr>
                <w:rFonts w:hint="cs"/>
                <w:rtl/>
              </w:rPr>
              <w:t xml:space="preserve"> ו-31 בדצמבר </w:t>
            </w:r>
            <w:r w:rsidR="001210B3" w:rsidRPr="00905C12">
              <w:rPr>
                <w:sz w:val="20"/>
                <w:szCs w:val="20"/>
                <w:rtl/>
              </w:rPr>
              <w:fldChar w:fldCharType="begin"/>
            </w:r>
            <w:r w:rsidR="001210B3" w:rsidRPr="00905C12">
              <w:rPr>
                <w:sz w:val="20"/>
                <w:szCs w:val="20"/>
                <w:rtl/>
              </w:rPr>
              <w:instrText xml:space="preserve"> </w:instrText>
            </w:r>
            <w:r w:rsidR="001210B3" w:rsidRPr="00905C12">
              <w:rPr>
                <w:rFonts w:hint="cs"/>
                <w:sz w:val="20"/>
                <w:szCs w:val="20"/>
                <w:rtl/>
              </w:rPr>
              <w:instrText xml:space="preserve">= </w:instrText>
            </w:r>
            <w:r w:rsidR="001210B3" w:rsidRPr="00905C12">
              <w:rPr>
                <w:rFonts w:hint="cs"/>
                <w:sz w:val="20"/>
                <w:szCs w:val="20"/>
              </w:rPr>
              <w:instrText>CY</w:instrText>
            </w:r>
            <w:r w:rsidR="001210B3">
              <w:instrText>-1</w:instrText>
            </w:r>
            <w:r w:rsidR="001210B3" w:rsidRPr="00905C12">
              <w:rPr>
                <w:rFonts w:hint="cs"/>
                <w:sz w:val="20"/>
                <w:szCs w:val="20"/>
              </w:rPr>
              <w:instrText xml:space="preserve"> \* MERGEFORMAT</w:instrText>
            </w:r>
            <w:r w:rsidR="001210B3" w:rsidRPr="00905C12">
              <w:rPr>
                <w:sz w:val="20"/>
                <w:szCs w:val="20"/>
                <w:rtl/>
              </w:rPr>
              <w:instrText xml:space="preserve"> </w:instrText>
            </w:r>
            <w:r w:rsidR="001210B3" w:rsidRPr="00905C12">
              <w:rPr>
                <w:sz w:val="20"/>
                <w:szCs w:val="20"/>
                <w:rtl/>
              </w:rPr>
              <w:fldChar w:fldCharType="separate"/>
            </w:r>
            <w:r w:rsidR="001210B3" w:rsidRPr="003A584F">
              <w:rPr>
                <w:noProof/>
                <w:rtl/>
              </w:rPr>
              <w:t>2023</w:t>
            </w:r>
            <w:r w:rsidR="001210B3" w:rsidRPr="00905C12">
              <w:rPr>
                <w:sz w:val="20"/>
                <w:szCs w:val="20"/>
                <w:rtl/>
              </w:rPr>
              <w:fldChar w:fldCharType="end"/>
            </w:r>
            <w:r w:rsidR="001210B3">
              <w:rPr>
                <w:rFonts w:hint="cs"/>
                <w:rtl/>
              </w:rPr>
              <w:t>, בהתאמה</w:t>
            </w:r>
            <w:r w:rsidR="001210B3" w:rsidRPr="00865418">
              <w:rPr>
                <w:rtl/>
              </w:rPr>
              <w:t>).</w:t>
            </w:r>
          </w:p>
        </w:tc>
      </w:tr>
      <w:tr w:rsidR="00503A8A" w:rsidRPr="007E33E7" w14:paraId="38C09FE4" w14:textId="77777777" w:rsidTr="002715FE">
        <w:trPr>
          <w:trHeight w:val="261"/>
        </w:trPr>
        <w:tc>
          <w:tcPr>
            <w:tcW w:w="15132" w:type="dxa"/>
          </w:tcPr>
          <w:p w14:paraId="714D2CE7" w14:textId="0B6E0F80" w:rsidR="00503A8A" w:rsidRPr="007E33E7" w:rsidRDefault="00503A8A" w:rsidP="002715FE">
            <w:pPr>
              <w:pStyle w:val="-a"/>
              <w:numPr>
                <w:ilvl w:val="0"/>
                <w:numId w:val="43"/>
              </w:numPr>
              <w:spacing w:after="0" w:line="240" w:lineRule="exact"/>
              <w:ind w:left="714" w:hanging="357"/>
              <w:rPr>
                <w:sz w:val="17"/>
                <w:szCs w:val="17"/>
                <w:rtl/>
              </w:rPr>
            </w:pPr>
            <w:r w:rsidRPr="007E33E7">
              <w:rPr>
                <w:sz w:val="17"/>
                <w:szCs w:val="17"/>
                <w:rtl/>
              </w:rPr>
              <w:t xml:space="preserve">סכום הריבית לקבל שנצברה שנמחקה חשבונאית על ידי ביטול הכנסות ריבית הינו בסך ____ </w:t>
            </w:r>
            <w:r w:rsidR="00563629">
              <w:rPr>
                <w:rFonts w:hint="cs"/>
                <w:sz w:val="17"/>
                <w:szCs w:val="17"/>
                <w:rtl/>
              </w:rPr>
              <w:t xml:space="preserve">מיליוני ש"ח </w:t>
            </w:r>
            <w:r w:rsidR="00DE41A0" w:rsidRPr="00865418">
              <w:rPr>
                <w:rtl/>
              </w:rPr>
              <w:t>(</w:t>
            </w:r>
            <w:r w:rsidR="00DE41A0">
              <w:rPr>
                <w:rFonts w:hint="cs"/>
                <w:rtl/>
              </w:rPr>
              <w:t xml:space="preserve">סך __ ו-__ מיליוני ש"ח לימים 30 ביוני </w:t>
            </w:r>
            <w:r w:rsidR="00DE41A0" w:rsidRPr="00905C12">
              <w:rPr>
                <w:sz w:val="20"/>
                <w:szCs w:val="20"/>
                <w:rtl/>
              </w:rPr>
              <w:fldChar w:fldCharType="begin"/>
            </w:r>
            <w:r w:rsidR="00DE41A0" w:rsidRPr="00905C12">
              <w:rPr>
                <w:sz w:val="20"/>
                <w:szCs w:val="20"/>
                <w:rtl/>
              </w:rPr>
              <w:instrText xml:space="preserve"> </w:instrText>
            </w:r>
            <w:r w:rsidR="00DE41A0" w:rsidRPr="00905C12">
              <w:rPr>
                <w:rFonts w:hint="cs"/>
                <w:sz w:val="20"/>
                <w:szCs w:val="20"/>
                <w:rtl/>
              </w:rPr>
              <w:instrText xml:space="preserve">= </w:instrText>
            </w:r>
            <w:r w:rsidR="00DE41A0" w:rsidRPr="00905C12">
              <w:rPr>
                <w:rFonts w:hint="cs"/>
                <w:sz w:val="20"/>
                <w:szCs w:val="20"/>
              </w:rPr>
              <w:instrText>CY</w:instrText>
            </w:r>
            <w:r w:rsidR="00DE41A0">
              <w:instrText>-1</w:instrText>
            </w:r>
            <w:r w:rsidR="00DE41A0" w:rsidRPr="00905C12">
              <w:rPr>
                <w:rFonts w:hint="cs"/>
                <w:sz w:val="20"/>
                <w:szCs w:val="20"/>
              </w:rPr>
              <w:instrText xml:space="preserve"> \* MERGEFORMAT</w:instrText>
            </w:r>
            <w:r w:rsidR="00DE41A0" w:rsidRPr="00905C12">
              <w:rPr>
                <w:sz w:val="20"/>
                <w:szCs w:val="20"/>
                <w:rtl/>
              </w:rPr>
              <w:instrText xml:space="preserve"> </w:instrText>
            </w:r>
            <w:r w:rsidR="00DE41A0" w:rsidRPr="00905C12">
              <w:rPr>
                <w:sz w:val="20"/>
                <w:szCs w:val="20"/>
                <w:rtl/>
              </w:rPr>
              <w:fldChar w:fldCharType="separate"/>
            </w:r>
            <w:r w:rsidR="00DE41A0" w:rsidRPr="003A584F">
              <w:rPr>
                <w:noProof/>
                <w:rtl/>
              </w:rPr>
              <w:t>2023</w:t>
            </w:r>
            <w:r w:rsidR="00DE41A0" w:rsidRPr="00905C12">
              <w:rPr>
                <w:sz w:val="20"/>
                <w:szCs w:val="20"/>
                <w:rtl/>
              </w:rPr>
              <w:fldChar w:fldCharType="end"/>
            </w:r>
            <w:r w:rsidR="00DE41A0">
              <w:rPr>
                <w:rFonts w:hint="cs"/>
                <w:rtl/>
              </w:rPr>
              <w:t xml:space="preserve"> ו-31 בדצמבר </w:t>
            </w:r>
            <w:r w:rsidR="00DE41A0" w:rsidRPr="00905C12">
              <w:rPr>
                <w:sz w:val="20"/>
                <w:szCs w:val="20"/>
                <w:rtl/>
              </w:rPr>
              <w:fldChar w:fldCharType="begin"/>
            </w:r>
            <w:r w:rsidR="00DE41A0" w:rsidRPr="00905C12">
              <w:rPr>
                <w:sz w:val="20"/>
                <w:szCs w:val="20"/>
                <w:rtl/>
              </w:rPr>
              <w:instrText xml:space="preserve"> </w:instrText>
            </w:r>
            <w:r w:rsidR="00DE41A0" w:rsidRPr="00905C12">
              <w:rPr>
                <w:rFonts w:hint="cs"/>
                <w:sz w:val="20"/>
                <w:szCs w:val="20"/>
                <w:rtl/>
              </w:rPr>
              <w:instrText xml:space="preserve">= </w:instrText>
            </w:r>
            <w:r w:rsidR="00DE41A0" w:rsidRPr="00905C12">
              <w:rPr>
                <w:rFonts w:hint="cs"/>
                <w:sz w:val="20"/>
                <w:szCs w:val="20"/>
              </w:rPr>
              <w:instrText>CY</w:instrText>
            </w:r>
            <w:r w:rsidR="00DE41A0">
              <w:instrText>-1</w:instrText>
            </w:r>
            <w:r w:rsidR="00DE41A0" w:rsidRPr="00905C12">
              <w:rPr>
                <w:rFonts w:hint="cs"/>
                <w:sz w:val="20"/>
                <w:szCs w:val="20"/>
              </w:rPr>
              <w:instrText xml:space="preserve"> \* MERGEFORMAT</w:instrText>
            </w:r>
            <w:r w:rsidR="00DE41A0" w:rsidRPr="00905C12">
              <w:rPr>
                <w:sz w:val="20"/>
                <w:szCs w:val="20"/>
                <w:rtl/>
              </w:rPr>
              <w:instrText xml:space="preserve"> </w:instrText>
            </w:r>
            <w:r w:rsidR="00DE41A0" w:rsidRPr="00905C12">
              <w:rPr>
                <w:sz w:val="20"/>
                <w:szCs w:val="20"/>
                <w:rtl/>
              </w:rPr>
              <w:fldChar w:fldCharType="separate"/>
            </w:r>
            <w:r w:rsidR="00DE41A0" w:rsidRPr="003A584F">
              <w:rPr>
                <w:noProof/>
                <w:rtl/>
              </w:rPr>
              <w:t>2023</w:t>
            </w:r>
            <w:r w:rsidR="00DE41A0" w:rsidRPr="00905C12">
              <w:rPr>
                <w:sz w:val="20"/>
                <w:szCs w:val="20"/>
                <w:rtl/>
              </w:rPr>
              <w:fldChar w:fldCharType="end"/>
            </w:r>
            <w:r w:rsidR="00DE41A0">
              <w:rPr>
                <w:rFonts w:hint="cs"/>
                <w:rtl/>
              </w:rPr>
              <w:t>, בהתאמה</w:t>
            </w:r>
            <w:r w:rsidR="00DE41A0" w:rsidRPr="00865418">
              <w:rPr>
                <w:rtl/>
              </w:rPr>
              <w:t>).</w:t>
            </w:r>
            <w:r w:rsidRPr="007E33E7">
              <w:rPr>
                <w:sz w:val="17"/>
                <w:szCs w:val="17"/>
                <w:rtl/>
              </w:rPr>
              <w:t xml:space="preserve"> (הגילוי יינתן לפי מגזרי אשראי).</w:t>
            </w:r>
          </w:p>
        </w:tc>
      </w:tr>
    </w:tbl>
    <w:p w14:paraId="04AFD181" w14:textId="77777777" w:rsidR="004513F3" w:rsidRPr="00F62E8E" w:rsidRDefault="004513F3" w:rsidP="00EF2A3B">
      <w:pPr>
        <w:bidi w:val="0"/>
        <w:spacing w:line="60" w:lineRule="exact"/>
        <w:rPr>
          <w:rtl/>
        </w:rPr>
      </w:pPr>
    </w:p>
    <w:p w14:paraId="6063B47E" w14:textId="77777777" w:rsidR="00330EAC" w:rsidRDefault="00330EAC" w:rsidP="00330EAC">
      <w:pPr>
        <w:bidi w:val="0"/>
        <w:spacing w:line="60" w:lineRule="exact"/>
        <w:rPr>
          <w:rtl/>
        </w:rPr>
      </w:pPr>
    </w:p>
    <w:p w14:paraId="0E619991" w14:textId="77777777" w:rsidR="00B44D02" w:rsidRDefault="00B44D02" w:rsidP="00503A8A">
      <w:pPr>
        <w:spacing w:line="20" w:lineRule="exact"/>
      </w:pPr>
    </w:p>
    <w:p w14:paraId="7D20D75A" w14:textId="77777777" w:rsidR="00364C31" w:rsidRDefault="00364C31" w:rsidP="00503A8A">
      <w:pPr>
        <w:spacing w:line="20" w:lineRule="exact"/>
        <w:rPr>
          <w:rtl/>
        </w:rPr>
        <w:sectPr w:rsidR="00364C31" w:rsidSect="00364C31">
          <w:footnotePr>
            <w:numRestart w:val="eachPage"/>
          </w:footnotePr>
          <w:pgSz w:w="16834" w:h="11909" w:orient="landscape" w:code="9"/>
          <w:pgMar w:top="851" w:right="851" w:bottom="851" w:left="851" w:header="720" w:footer="720" w:gutter="0"/>
          <w:cols w:space="720"/>
          <w:bidi/>
          <w:rtlGutter/>
          <w:docGrid w:linePitch="360"/>
        </w:sectPr>
      </w:pPr>
    </w:p>
    <w:p w14:paraId="311BB348" w14:textId="77777777" w:rsidR="00364C31" w:rsidRDefault="00364C31"/>
    <w:tbl>
      <w:tblPr>
        <w:bidiVisual/>
        <w:tblW w:w="5192" w:type="pct"/>
        <w:tblInd w:w="-336" w:type="dxa"/>
        <w:tblLook w:val="04A0" w:firstRow="1" w:lastRow="0" w:firstColumn="1" w:lastColumn="0" w:noHBand="0" w:noVBand="1"/>
      </w:tblPr>
      <w:tblGrid>
        <w:gridCol w:w="1384"/>
        <w:gridCol w:w="1412"/>
        <w:gridCol w:w="851"/>
        <w:gridCol w:w="850"/>
        <w:gridCol w:w="709"/>
        <w:gridCol w:w="709"/>
        <w:gridCol w:w="709"/>
        <w:gridCol w:w="589"/>
        <w:gridCol w:w="998"/>
        <w:gridCol w:w="1518"/>
        <w:gridCol w:w="21"/>
        <w:gridCol w:w="833"/>
        <w:gridCol w:w="16"/>
      </w:tblGrid>
      <w:tr w:rsidR="00E97929" w:rsidRPr="009E7447" w14:paraId="196C2B76" w14:textId="77777777" w:rsidTr="00364C31">
        <w:trPr>
          <w:gridAfter w:val="1"/>
          <w:wAfter w:w="16" w:type="dxa"/>
          <w:trHeight w:val="259"/>
        </w:trPr>
        <w:tc>
          <w:tcPr>
            <w:tcW w:w="1384" w:type="dxa"/>
            <w:shd w:val="clear" w:color="auto" w:fill="auto"/>
          </w:tcPr>
          <w:p w14:paraId="29A6FB9D" w14:textId="77777777" w:rsidR="00E97929" w:rsidRPr="009E7447" w:rsidRDefault="00E97929" w:rsidP="00461486">
            <w:pPr>
              <w:spacing w:after="60"/>
              <w:ind w:right="-144"/>
              <w:jc w:val="left"/>
              <w:rPr>
                <w:spacing w:val="-6"/>
                <w:sz w:val="14"/>
                <w:szCs w:val="14"/>
                <w:rtl/>
              </w:rPr>
            </w:pPr>
            <w:bookmarkStart w:id="41" w:name="_Hlk102290755"/>
          </w:p>
        </w:tc>
        <w:tc>
          <w:tcPr>
            <w:tcW w:w="9199" w:type="dxa"/>
            <w:gridSpan w:val="11"/>
            <w:shd w:val="clear" w:color="auto" w:fill="auto"/>
          </w:tcPr>
          <w:p w14:paraId="060F70EF" w14:textId="77777777" w:rsidR="00E97929" w:rsidRPr="009E7447" w:rsidRDefault="00E97929" w:rsidP="00461486">
            <w:pPr>
              <w:rPr>
                <w:b/>
                <w:bCs/>
                <w:sz w:val="22"/>
                <w:szCs w:val="22"/>
                <w:rtl/>
              </w:rPr>
            </w:pPr>
            <w:r w:rsidRPr="009E7447">
              <w:rPr>
                <w:b/>
                <w:bCs/>
                <w:sz w:val="22"/>
                <w:szCs w:val="22"/>
                <w:rtl/>
              </w:rPr>
              <w:t xml:space="preserve">ביאור </w:t>
            </w:r>
            <w:r w:rsidRPr="009E7447">
              <w:rPr>
                <w:rFonts w:hint="cs"/>
                <w:b/>
                <w:bCs/>
                <w:sz w:val="22"/>
                <w:szCs w:val="22"/>
                <w:rtl/>
              </w:rPr>
              <w:t>12</w:t>
            </w:r>
            <w:r w:rsidRPr="009E7447">
              <w:rPr>
                <w:b/>
                <w:bCs/>
                <w:sz w:val="22"/>
                <w:szCs w:val="22"/>
                <w:rtl/>
              </w:rPr>
              <w:t xml:space="preserve">  -  </w:t>
            </w:r>
            <w:r w:rsidRPr="009E7447">
              <w:rPr>
                <w:rFonts w:hint="cs"/>
                <w:b/>
                <w:bCs/>
                <w:sz w:val="22"/>
                <w:szCs w:val="22"/>
                <w:rtl/>
              </w:rPr>
              <w:t xml:space="preserve">מידע נוסף על </w:t>
            </w:r>
            <w:r w:rsidRPr="009E7447">
              <w:rPr>
                <w:b/>
                <w:bCs/>
                <w:sz w:val="22"/>
                <w:szCs w:val="22"/>
                <w:rtl/>
              </w:rPr>
              <w:t>סיכון אשראי, אשראי לציבור והפרשה להפסדי אשראי</w:t>
            </w:r>
            <w:r w:rsidRPr="009E7447">
              <w:rPr>
                <w:rFonts w:hint="cs"/>
                <w:b/>
                <w:bCs/>
                <w:sz w:val="22"/>
                <w:szCs w:val="22"/>
                <w:rtl/>
              </w:rPr>
              <w:t xml:space="preserve"> (המשך):</w:t>
            </w:r>
          </w:p>
        </w:tc>
      </w:tr>
      <w:tr w:rsidR="002D718B" w:rsidRPr="009E7447" w14:paraId="44B2B705" w14:textId="77777777" w:rsidTr="00364C31">
        <w:tblPrEx>
          <w:jc w:val="right"/>
          <w:tblInd w:w="0" w:type="dxa"/>
          <w:tblLook w:val="0000" w:firstRow="0" w:lastRow="0" w:firstColumn="0" w:lastColumn="0" w:noHBand="0" w:noVBand="0"/>
        </w:tblPrEx>
        <w:trPr>
          <w:gridAfter w:val="1"/>
          <w:wAfter w:w="16" w:type="dxa"/>
          <w:trHeight w:val="245"/>
          <w:jc w:val="right"/>
        </w:trPr>
        <w:tc>
          <w:tcPr>
            <w:tcW w:w="1384" w:type="dxa"/>
            <w:shd w:val="clear" w:color="auto" w:fill="auto"/>
          </w:tcPr>
          <w:p w14:paraId="65CC0EE7" w14:textId="77777777" w:rsidR="002D718B" w:rsidRPr="009E7447" w:rsidRDefault="002D718B" w:rsidP="00461486">
            <w:pPr>
              <w:spacing w:before="100" w:after="60"/>
              <w:rPr>
                <w:spacing w:val="-4"/>
                <w:rtl/>
              </w:rPr>
            </w:pPr>
          </w:p>
        </w:tc>
        <w:tc>
          <w:tcPr>
            <w:tcW w:w="9199" w:type="dxa"/>
            <w:gridSpan w:val="11"/>
            <w:shd w:val="clear" w:color="auto" w:fill="auto"/>
          </w:tcPr>
          <w:p w14:paraId="1070712E" w14:textId="38308107" w:rsidR="002D718B" w:rsidRPr="009E7447" w:rsidRDefault="002D718B" w:rsidP="002D718B">
            <w:pPr>
              <w:spacing w:before="60" w:after="60"/>
              <w:jc w:val="left"/>
              <w:rPr>
                <w:b/>
                <w:bCs/>
                <w:rtl/>
              </w:rPr>
            </w:pPr>
            <w:r>
              <w:rPr>
                <w:rFonts w:hint="cs"/>
                <w:b/>
                <w:bCs/>
                <w:rtl/>
              </w:rPr>
              <w:t>ב</w:t>
            </w:r>
            <w:r w:rsidRPr="009E7447">
              <w:rPr>
                <w:rFonts w:hint="cs"/>
                <w:b/>
                <w:bCs/>
                <w:rtl/>
              </w:rPr>
              <w:t>.</w:t>
            </w:r>
            <w:r>
              <w:rPr>
                <w:rFonts w:hint="cs"/>
                <w:b/>
                <w:bCs/>
                <w:rtl/>
              </w:rPr>
              <w:t xml:space="preserve">  </w:t>
            </w:r>
            <w:r w:rsidRPr="009E7447">
              <w:rPr>
                <w:rFonts w:hint="cs"/>
                <w:b/>
                <w:bCs/>
                <w:rtl/>
              </w:rPr>
              <w:t>אשראי לציבור</w:t>
            </w:r>
            <w:r w:rsidRPr="009E7447">
              <w:rPr>
                <w:b/>
                <w:bCs/>
                <w:rtl/>
              </w:rPr>
              <w:t xml:space="preserve"> (המשך):</w:t>
            </w:r>
          </w:p>
        </w:tc>
      </w:tr>
      <w:tr w:rsidR="00E97929" w:rsidRPr="009E7447" w14:paraId="6DC0562C" w14:textId="77777777" w:rsidTr="00364C31">
        <w:tblPrEx>
          <w:jc w:val="right"/>
          <w:tblInd w:w="0" w:type="dxa"/>
          <w:tblLook w:val="0000" w:firstRow="0" w:lastRow="0" w:firstColumn="0" w:lastColumn="0" w:noHBand="0" w:noVBand="0"/>
        </w:tblPrEx>
        <w:trPr>
          <w:gridAfter w:val="1"/>
          <w:wAfter w:w="16" w:type="dxa"/>
          <w:trHeight w:val="325"/>
          <w:jc w:val="right"/>
        </w:trPr>
        <w:tc>
          <w:tcPr>
            <w:tcW w:w="1384" w:type="dxa"/>
            <w:shd w:val="clear" w:color="auto" w:fill="auto"/>
          </w:tcPr>
          <w:p w14:paraId="318AB800" w14:textId="77777777" w:rsidR="004F716C" w:rsidRDefault="00E97929" w:rsidP="00DB2C8A">
            <w:pPr>
              <w:spacing w:line="241" w:lineRule="auto"/>
              <w:ind w:left="144" w:hanging="144"/>
              <w:jc w:val="left"/>
              <w:rPr>
                <w:sz w:val="14"/>
                <w:szCs w:val="14"/>
                <w:rtl/>
              </w:rPr>
            </w:pPr>
            <w:r w:rsidRPr="007D10F6">
              <w:rPr>
                <w:rFonts w:hint="cs"/>
                <w:sz w:val="14"/>
                <w:szCs w:val="14"/>
                <w:rtl/>
              </w:rPr>
              <w:t>מתכונת ביאור</w:t>
            </w:r>
          </w:p>
          <w:p w14:paraId="363A85CC" w14:textId="385729C2" w:rsidR="00E97929" w:rsidRPr="004F716C" w:rsidRDefault="00E97929" w:rsidP="004F716C">
            <w:pPr>
              <w:spacing w:line="241" w:lineRule="auto"/>
              <w:ind w:left="144" w:hanging="144"/>
              <w:jc w:val="left"/>
              <w:rPr>
                <w:sz w:val="14"/>
                <w:szCs w:val="14"/>
                <w:rtl/>
              </w:rPr>
            </w:pPr>
            <w:r w:rsidRPr="007D10F6">
              <w:rPr>
                <w:rFonts w:hint="cs"/>
                <w:sz w:val="14"/>
                <w:szCs w:val="14"/>
                <w:rtl/>
              </w:rPr>
              <w:t>עמוד 663-46.1</w:t>
            </w:r>
          </w:p>
        </w:tc>
        <w:tc>
          <w:tcPr>
            <w:tcW w:w="9199" w:type="dxa"/>
            <w:gridSpan w:val="11"/>
            <w:tcBorders>
              <w:left w:val="nil"/>
            </w:tcBorders>
            <w:shd w:val="clear" w:color="auto" w:fill="auto"/>
          </w:tcPr>
          <w:p w14:paraId="7E2BB4B4" w14:textId="4D2BA7D2" w:rsidR="00E97929" w:rsidRPr="009E7447" w:rsidRDefault="00E97929" w:rsidP="00947FCA">
            <w:pPr>
              <w:tabs>
                <w:tab w:val="left" w:pos="446"/>
                <w:tab w:val="left" w:pos="743"/>
              </w:tabs>
              <w:spacing w:line="220" w:lineRule="exact"/>
              <w:ind w:left="448" w:hanging="130"/>
              <w:rPr>
                <w:b/>
                <w:bCs/>
                <w:rtl/>
              </w:rPr>
            </w:pPr>
            <w:r>
              <w:rPr>
                <w:rFonts w:hint="cs"/>
                <w:b/>
                <w:bCs/>
                <w:rtl/>
              </w:rPr>
              <w:t>1.1</w:t>
            </w:r>
            <w:r w:rsidRPr="009E7447">
              <w:rPr>
                <w:b/>
                <w:bCs/>
                <w:rtl/>
              </w:rPr>
              <w:tab/>
            </w:r>
            <w:r w:rsidR="004F2203" w:rsidRPr="004F2203">
              <w:rPr>
                <w:b/>
                <w:bCs/>
                <w:rtl/>
              </w:rPr>
              <w:t xml:space="preserve">איכות אשראי לפי שנות העמדת </w:t>
            </w:r>
            <w:r w:rsidR="004F2203">
              <w:rPr>
                <w:rFonts w:hint="cs"/>
                <w:b/>
                <w:bCs/>
                <w:rtl/>
              </w:rPr>
              <w:t>ה</w:t>
            </w:r>
            <w:r w:rsidR="004F2203" w:rsidRPr="004F2203">
              <w:rPr>
                <w:b/>
                <w:bCs/>
                <w:rtl/>
              </w:rPr>
              <w:t>אשראי</w:t>
            </w:r>
            <w:r w:rsidR="004F2203" w:rsidRPr="004F2203">
              <w:rPr>
                <w:rFonts w:hint="cs"/>
                <w:b/>
                <w:bCs/>
                <w:rtl/>
              </w:rPr>
              <w:t xml:space="preserve"> </w:t>
            </w:r>
          </w:p>
        </w:tc>
      </w:tr>
      <w:tr w:rsidR="00E97929" w:rsidRPr="009E7447" w14:paraId="41D5AB5E" w14:textId="77777777" w:rsidTr="00364C31">
        <w:tblPrEx>
          <w:tblLook w:val="01E0" w:firstRow="1" w:lastRow="1" w:firstColumn="1" w:lastColumn="1" w:noHBand="0" w:noVBand="0"/>
        </w:tblPrEx>
        <w:trPr>
          <w:trHeight w:val="259"/>
        </w:trPr>
        <w:tc>
          <w:tcPr>
            <w:tcW w:w="2796" w:type="dxa"/>
            <w:gridSpan w:val="2"/>
            <w:shd w:val="clear" w:color="auto" w:fill="auto"/>
            <w:vAlign w:val="bottom"/>
          </w:tcPr>
          <w:p w14:paraId="06B6CEB3" w14:textId="77777777" w:rsidR="00E97929" w:rsidRPr="007D10F6" w:rsidRDefault="00E97929" w:rsidP="00461486">
            <w:pPr>
              <w:spacing w:line="241" w:lineRule="auto"/>
              <w:ind w:left="144" w:hanging="144"/>
              <w:jc w:val="left"/>
              <w:rPr>
                <w:color w:val="000000"/>
                <w:sz w:val="18"/>
                <w:szCs w:val="18"/>
                <w:rtl/>
                <w:lang w:eastAsia="he-IL"/>
              </w:rPr>
            </w:pPr>
          </w:p>
        </w:tc>
        <w:tc>
          <w:tcPr>
            <w:tcW w:w="7803" w:type="dxa"/>
            <w:gridSpan w:val="11"/>
            <w:tcBorders>
              <w:left w:val="nil"/>
            </w:tcBorders>
            <w:shd w:val="clear" w:color="auto" w:fill="auto"/>
            <w:vAlign w:val="bottom"/>
            <w:hideMark/>
          </w:tcPr>
          <w:p w14:paraId="2E244E1E" w14:textId="39B570A6" w:rsidR="00E97929" w:rsidRPr="00F75066" w:rsidRDefault="00E97929" w:rsidP="00F75066">
            <w:pPr>
              <w:spacing w:after="120"/>
              <w:jc w:val="center"/>
              <w:rPr>
                <w:b/>
                <w:bCs/>
                <w:sz w:val="18"/>
                <w:szCs w:val="18"/>
                <w:u w:val="single"/>
                <w:rtl/>
              </w:rPr>
            </w:pPr>
            <w:r w:rsidRPr="00F75066">
              <w:rPr>
                <w:rFonts w:hint="cs"/>
                <w:b/>
                <w:bCs/>
                <w:sz w:val="18"/>
                <w:szCs w:val="18"/>
                <w:u w:val="single"/>
                <w:rtl/>
              </w:rPr>
              <w:t xml:space="preserve">ליום </w:t>
            </w:r>
            <w:r w:rsidR="00461486" w:rsidRPr="00F75066">
              <w:rPr>
                <w:rFonts w:hint="cs"/>
                <w:b/>
                <w:bCs/>
                <w:sz w:val="18"/>
                <w:szCs w:val="18"/>
                <w:u w:val="single"/>
                <w:rtl/>
              </w:rPr>
              <w:t>30</w:t>
            </w:r>
            <w:r w:rsidRPr="00F75066">
              <w:rPr>
                <w:rFonts w:hint="cs"/>
                <w:b/>
                <w:bCs/>
                <w:sz w:val="18"/>
                <w:szCs w:val="18"/>
                <w:u w:val="single"/>
                <w:rtl/>
              </w:rPr>
              <w:t xml:space="preserve"> </w:t>
            </w:r>
            <w:r w:rsidR="00461486" w:rsidRPr="00F75066">
              <w:rPr>
                <w:rFonts w:hint="cs"/>
                <w:b/>
                <w:bCs/>
                <w:sz w:val="18"/>
                <w:szCs w:val="18"/>
                <w:u w:val="single"/>
                <w:rtl/>
              </w:rPr>
              <w:t>ביוני</w:t>
            </w:r>
            <w:r w:rsidRPr="00F75066">
              <w:rPr>
                <w:rFonts w:hint="cs"/>
                <w:b/>
                <w:bCs/>
                <w:sz w:val="18"/>
                <w:szCs w:val="18"/>
                <w:u w:val="single"/>
                <w:rtl/>
              </w:rPr>
              <w:t xml:space="preserve"> </w:t>
            </w:r>
            <w:r w:rsidR="00461486" w:rsidRPr="00F75066">
              <w:rPr>
                <w:b/>
                <w:bCs/>
                <w:sz w:val="18"/>
                <w:szCs w:val="18"/>
                <w:u w:val="single"/>
                <w:rtl/>
              </w:rPr>
              <w:fldChar w:fldCharType="begin"/>
            </w:r>
            <w:r w:rsidR="00461486" w:rsidRPr="00F75066">
              <w:rPr>
                <w:b/>
                <w:bCs/>
                <w:sz w:val="18"/>
                <w:szCs w:val="18"/>
                <w:u w:val="single"/>
                <w:rtl/>
              </w:rPr>
              <w:instrText xml:space="preserve"> </w:instrText>
            </w:r>
            <w:r w:rsidR="00461486" w:rsidRPr="00F75066">
              <w:rPr>
                <w:rFonts w:hint="cs"/>
                <w:b/>
                <w:bCs/>
                <w:sz w:val="18"/>
                <w:szCs w:val="18"/>
                <w:u w:val="single"/>
                <w:rtl/>
              </w:rPr>
              <w:instrText xml:space="preserve">= </w:instrText>
            </w:r>
            <w:r w:rsidR="00461486" w:rsidRPr="00F75066">
              <w:rPr>
                <w:rFonts w:hint="cs"/>
                <w:b/>
                <w:bCs/>
                <w:sz w:val="18"/>
                <w:szCs w:val="18"/>
                <w:u w:val="single"/>
              </w:rPr>
              <w:instrText>CY \* MERGEFORMAT</w:instrText>
            </w:r>
            <w:r w:rsidR="00461486" w:rsidRPr="00F75066">
              <w:rPr>
                <w:b/>
                <w:bCs/>
                <w:sz w:val="18"/>
                <w:szCs w:val="18"/>
                <w:u w:val="single"/>
                <w:rtl/>
              </w:rPr>
              <w:instrText xml:space="preserve"> </w:instrText>
            </w:r>
            <w:r w:rsidR="00461486" w:rsidRPr="00F75066">
              <w:rPr>
                <w:b/>
                <w:bCs/>
                <w:sz w:val="18"/>
                <w:szCs w:val="18"/>
                <w:u w:val="single"/>
                <w:rtl/>
              </w:rPr>
              <w:fldChar w:fldCharType="separate"/>
            </w:r>
            <w:r w:rsidR="003A584F" w:rsidRPr="00F75066">
              <w:rPr>
                <w:b/>
                <w:bCs/>
                <w:noProof/>
                <w:sz w:val="18"/>
                <w:szCs w:val="18"/>
                <w:u w:val="single"/>
                <w:rtl/>
              </w:rPr>
              <w:t>2024</w:t>
            </w:r>
            <w:r w:rsidR="00461486" w:rsidRPr="00F75066">
              <w:rPr>
                <w:b/>
                <w:bCs/>
                <w:sz w:val="18"/>
                <w:szCs w:val="18"/>
                <w:u w:val="single"/>
                <w:rtl/>
              </w:rPr>
              <w:fldChar w:fldCharType="end"/>
            </w:r>
            <w:r w:rsidR="000C0EF3" w:rsidRPr="00F75066">
              <w:rPr>
                <w:rFonts w:hint="cs"/>
                <w:b/>
                <w:bCs/>
                <w:sz w:val="18"/>
                <w:szCs w:val="18"/>
                <w:u w:val="single"/>
                <w:rtl/>
              </w:rPr>
              <w:t xml:space="preserve">  </w:t>
            </w:r>
            <w:r w:rsidR="000C0EF3" w:rsidRPr="00F75066">
              <w:rPr>
                <w:rFonts w:hint="cs"/>
                <w:sz w:val="18"/>
                <w:szCs w:val="18"/>
                <w:u w:val="single"/>
                <w:rtl/>
              </w:rPr>
              <w:t>(</w:t>
            </w:r>
            <w:r w:rsidR="000C0EF3" w:rsidRPr="00F75066">
              <w:rPr>
                <w:rFonts w:hint="eastAsia"/>
                <w:sz w:val="18"/>
                <w:szCs w:val="18"/>
                <w:u w:val="single"/>
                <w:rtl/>
              </w:rPr>
              <w:t>בלתי</w:t>
            </w:r>
            <w:r w:rsidR="000C0EF3" w:rsidRPr="00F75066">
              <w:rPr>
                <w:sz w:val="18"/>
                <w:szCs w:val="18"/>
                <w:u w:val="single"/>
                <w:rtl/>
              </w:rPr>
              <w:t xml:space="preserve"> </w:t>
            </w:r>
            <w:r w:rsidR="000C0EF3" w:rsidRPr="00F75066">
              <w:rPr>
                <w:rFonts w:hint="eastAsia"/>
                <w:sz w:val="18"/>
                <w:szCs w:val="18"/>
                <w:u w:val="single"/>
                <w:rtl/>
              </w:rPr>
              <w:t>מבוקר</w:t>
            </w:r>
            <w:r w:rsidR="000C0EF3" w:rsidRPr="00F75066">
              <w:rPr>
                <w:rFonts w:hint="cs"/>
                <w:sz w:val="18"/>
                <w:szCs w:val="18"/>
                <w:u w:val="single"/>
                <w:rtl/>
              </w:rPr>
              <w:t>)</w:t>
            </w:r>
          </w:p>
        </w:tc>
      </w:tr>
      <w:tr w:rsidR="00E97929" w:rsidRPr="009E7447" w14:paraId="01DE93C2" w14:textId="77777777" w:rsidTr="00364C31">
        <w:tblPrEx>
          <w:tblLook w:val="01E0" w:firstRow="1" w:lastRow="1" w:firstColumn="1" w:lastColumn="1" w:noHBand="0" w:noVBand="0"/>
        </w:tblPrEx>
        <w:trPr>
          <w:trHeight w:val="259"/>
        </w:trPr>
        <w:tc>
          <w:tcPr>
            <w:tcW w:w="2796" w:type="dxa"/>
            <w:gridSpan w:val="2"/>
            <w:shd w:val="clear" w:color="auto" w:fill="auto"/>
            <w:vAlign w:val="bottom"/>
          </w:tcPr>
          <w:p w14:paraId="1CF02679" w14:textId="219B17EE" w:rsidR="00E97929" w:rsidRPr="00C15D9A" w:rsidRDefault="00E97929" w:rsidP="00461486">
            <w:pPr>
              <w:spacing w:line="241" w:lineRule="auto"/>
              <w:ind w:left="144" w:hanging="144"/>
              <w:jc w:val="left"/>
              <w:rPr>
                <w:color w:val="000000"/>
                <w:sz w:val="16"/>
                <w:szCs w:val="16"/>
                <w:rtl/>
                <w:lang w:eastAsia="he-IL"/>
              </w:rPr>
            </w:pPr>
          </w:p>
        </w:tc>
        <w:tc>
          <w:tcPr>
            <w:tcW w:w="4417" w:type="dxa"/>
            <w:gridSpan w:val="6"/>
            <w:tcBorders>
              <w:left w:val="nil"/>
            </w:tcBorders>
            <w:shd w:val="clear" w:color="auto" w:fill="auto"/>
            <w:vAlign w:val="bottom"/>
            <w:hideMark/>
          </w:tcPr>
          <w:p w14:paraId="4400A30F" w14:textId="77777777" w:rsidR="00E97929" w:rsidRPr="009E7447" w:rsidRDefault="00E97929" w:rsidP="00461486">
            <w:pPr>
              <w:pBdr>
                <w:bottom w:val="single" w:sz="4" w:space="1" w:color="auto"/>
              </w:pBdr>
              <w:spacing w:after="60"/>
              <w:jc w:val="center"/>
              <w:rPr>
                <w:b/>
                <w:bCs/>
                <w:sz w:val="18"/>
                <w:szCs w:val="18"/>
                <w:rtl/>
              </w:rPr>
            </w:pPr>
            <w:r w:rsidRPr="009E7447">
              <w:rPr>
                <w:rFonts w:hint="cs"/>
                <w:b/>
                <w:bCs/>
                <w:sz w:val="18"/>
                <w:szCs w:val="18"/>
                <w:rtl/>
              </w:rPr>
              <w:t>יתרת חוב רשומה של אשראי לציבור לזמן קצוב</w:t>
            </w:r>
          </w:p>
        </w:tc>
        <w:tc>
          <w:tcPr>
            <w:tcW w:w="2537" w:type="dxa"/>
            <w:gridSpan w:val="3"/>
            <w:shd w:val="clear" w:color="auto" w:fill="auto"/>
            <w:vAlign w:val="bottom"/>
          </w:tcPr>
          <w:p w14:paraId="677C4BA4" w14:textId="77777777" w:rsidR="00E97929" w:rsidRPr="009E7447" w:rsidRDefault="00E97929" w:rsidP="00461486">
            <w:pPr>
              <w:pBdr>
                <w:bottom w:val="single" w:sz="4" w:space="1" w:color="auto"/>
              </w:pBdr>
              <w:spacing w:after="60"/>
              <w:jc w:val="center"/>
              <w:rPr>
                <w:b/>
                <w:bCs/>
                <w:sz w:val="18"/>
                <w:szCs w:val="18"/>
                <w:rtl/>
              </w:rPr>
            </w:pPr>
            <w:r w:rsidRPr="009E7447">
              <w:rPr>
                <w:rFonts w:hint="cs"/>
                <w:b/>
                <w:bCs/>
                <w:sz w:val="18"/>
                <w:szCs w:val="18"/>
                <w:rtl/>
              </w:rPr>
              <w:t>יתרת חוב רשומה של</w:t>
            </w:r>
          </w:p>
        </w:tc>
        <w:tc>
          <w:tcPr>
            <w:tcW w:w="849" w:type="dxa"/>
            <w:gridSpan w:val="2"/>
            <w:shd w:val="clear" w:color="auto" w:fill="auto"/>
          </w:tcPr>
          <w:p w14:paraId="266EC093" w14:textId="77777777" w:rsidR="00E97929" w:rsidRPr="009E7447" w:rsidRDefault="00E97929" w:rsidP="00461486">
            <w:pPr>
              <w:spacing w:line="241" w:lineRule="auto"/>
              <w:jc w:val="center"/>
              <w:rPr>
                <w:b/>
                <w:bCs/>
                <w:sz w:val="18"/>
                <w:szCs w:val="18"/>
                <w:rtl/>
              </w:rPr>
            </w:pPr>
          </w:p>
        </w:tc>
      </w:tr>
      <w:tr w:rsidR="00E97929" w:rsidRPr="009E7447" w14:paraId="2FD65A0D" w14:textId="77777777" w:rsidTr="00364C31">
        <w:tblPrEx>
          <w:tblLook w:val="01E0" w:firstRow="1" w:lastRow="1" w:firstColumn="1" w:lastColumn="1" w:noHBand="0" w:noVBand="0"/>
        </w:tblPrEx>
        <w:trPr>
          <w:gridAfter w:val="1"/>
          <w:wAfter w:w="16" w:type="dxa"/>
          <w:trHeight w:val="602"/>
        </w:trPr>
        <w:tc>
          <w:tcPr>
            <w:tcW w:w="2796" w:type="dxa"/>
            <w:gridSpan w:val="2"/>
            <w:shd w:val="clear" w:color="auto" w:fill="auto"/>
            <w:vAlign w:val="bottom"/>
          </w:tcPr>
          <w:p w14:paraId="52D73079" w14:textId="77777777" w:rsidR="00E97929" w:rsidRPr="009E7447" w:rsidRDefault="00E97929" w:rsidP="00461486">
            <w:pPr>
              <w:spacing w:line="241" w:lineRule="auto"/>
              <w:jc w:val="left"/>
              <w:rPr>
                <w:color w:val="000000"/>
                <w:sz w:val="18"/>
                <w:szCs w:val="18"/>
                <w:u w:val="single"/>
                <w:rtl/>
                <w:lang w:eastAsia="he-IL"/>
              </w:rPr>
            </w:pPr>
          </w:p>
          <w:p w14:paraId="246B783D" w14:textId="68711B1F" w:rsidR="00E97929" w:rsidRPr="009E7447" w:rsidRDefault="00E97929" w:rsidP="00461486">
            <w:pPr>
              <w:spacing w:line="241" w:lineRule="auto"/>
              <w:jc w:val="left"/>
              <w:rPr>
                <w:color w:val="000000"/>
                <w:sz w:val="18"/>
                <w:szCs w:val="18"/>
                <w:rtl/>
                <w:lang w:eastAsia="he-IL"/>
              </w:rPr>
            </w:pPr>
          </w:p>
        </w:tc>
        <w:tc>
          <w:tcPr>
            <w:tcW w:w="851" w:type="dxa"/>
            <w:tcBorders>
              <w:left w:val="nil"/>
            </w:tcBorders>
            <w:shd w:val="clear" w:color="auto" w:fill="auto"/>
            <w:vAlign w:val="bottom"/>
            <w:hideMark/>
          </w:tcPr>
          <w:p w14:paraId="49F08451" w14:textId="61602374" w:rsidR="00E97929" w:rsidRPr="009E7447" w:rsidRDefault="00461486" w:rsidP="00461486">
            <w:pPr>
              <w:pBdr>
                <w:bottom w:val="single" w:sz="6" w:space="1" w:color="auto"/>
              </w:pBdr>
              <w:spacing w:line="241" w:lineRule="auto"/>
              <w:jc w:val="center"/>
              <w:rPr>
                <w:b/>
                <w:bCs/>
                <w:sz w:val="18"/>
                <w:szCs w:val="18"/>
              </w:rPr>
            </w:pPr>
            <w:r w:rsidRPr="00461486">
              <w:rPr>
                <w:b/>
                <w:bCs/>
                <w:sz w:val="18"/>
                <w:szCs w:val="18"/>
                <w:rtl/>
              </w:rPr>
              <w:fldChar w:fldCharType="begin"/>
            </w:r>
            <w:r w:rsidRPr="00461486">
              <w:rPr>
                <w:b/>
                <w:bCs/>
                <w:sz w:val="18"/>
                <w:szCs w:val="18"/>
                <w:rtl/>
              </w:rPr>
              <w:instrText xml:space="preserve"> </w:instrText>
            </w:r>
            <w:r w:rsidRPr="00461486">
              <w:rPr>
                <w:rFonts w:hint="cs"/>
                <w:b/>
                <w:bCs/>
                <w:sz w:val="18"/>
                <w:szCs w:val="18"/>
                <w:rtl/>
              </w:rPr>
              <w:instrText xml:space="preserve">= </w:instrText>
            </w:r>
            <w:r w:rsidRPr="00461486">
              <w:rPr>
                <w:rFonts w:hint="cs"/>
                <w:b/>
                <w:bCs/>
                <w:sz w:val="18"/>
                <w:szCs w:val="18"/>
              </w:rPr>
              <w:instrText>CY \* MERGEFORMAT</w:instrText>
            </w:r>
            <w:r w:rsidRPr="00461486">
              <w:rPr>
                <w:b/>
                <w:bCs/>
                <w:sz w:val="18"/>
                <w:szCs w:val="18"/>
                <w:rtl/>
              </w:rPr>
              <w:instrText xml:space="preserve"> </w:instrText>
            </w:r>
            <w:r w:rsidRPr="00461486">
              <w:rPr>
                <w:b/>
                <w:bCs/>
                <w:sz w:val="18"/>
                <w:szCs w:val="18"/>
                <w:rtl/>
              </w:rPr>
              <w:fldChar w:fldCharType="separate"/>
            </w:r>
            <w:r w:rsidR="003A584F">
              <w:rPr>
                <w:b/>
                <w:bCs/>
                <w:noProof/>
                <w:sz w:val="18"/>
                <w:szCs w:val="18"/>
                <w:rtl/>
              </w:rPr>
              <w:t>2024</w:t>
            </w:r>
            <w:r w:rsidRPr="00461486">
              <w:rPr>
                <w:b/>
                <w:bCs/>
                <w:sz w:val="18"/>
                <w:szCs w:val="18"/>
                <w:rtl/>
              </w:rPr>
              <w:fldChar w:fldCharType="end"/>
            </w:r>
          </w:p>
        </w:tc>
        <w:tc>
          <w:tcPr>
            <w:tcW w:w="850" w:type="dxa"/>
            <w:shd w:val="clear" w:color="auto" w:fill="auto"/>
            <w:vAlign w:val="bottom"/>
            <w:hideMark/>
          </w:tcPr>
          <w:p w14:paraId="2B10EE32" w14:textId="7E4238CE" w:rsidR="00E97929" w:rsidRPr="009E7447" w:rsidRDefault="00461486" w:rsidP="00461486">
            <w:pPr>
              <w:pBdr>
                <w:bottom w:val="single" w:sz="6" w:space="1" w:color="auto"/>
              </w:pBdr>
              <w:spacing w:line="241" w:lineRule="auto"/>
              <w:jc w:val="center"/>
              <w:rPr>
                <w:b/>
                <w:bCs/>
                <w:sz w:val="18"/>
                <w:szCs w:val="18"/>
                <w:rtl/>
              </w:rPr>
            </w:pPr>
            <w:r w:rsidRPr="00461486">
              <w:rPr>
                <w:b/>
                <w:bCs/>
                <w:sz w:val="18"/>
                <w:szCs w:val="18"/>
                <w:rtl/>
              </w:rPr>
              <w:fldChar w:fldCharType="begin"/>
            </w:r>
            <w:r w:rsidRPr="00461486">
              <w:rPr>
                <w:b/>
                <w:bCs/>
                <w:sz w:val="18"/>
                <w:szCs w:val="18"/>
                <w:rtl/>
              </w:rPr>
              <w:instrText xml:space="preserve"> </w:instrText>
            </w:r>
            <w:r w:rsidRPr="00461486">
              <w:rPr>
                <w:rFonts w:hint="cs"/>
                <w:b/>
                <w:bCs/>
                <w:sz w:val="18"/>
                <w:szCs w:val="18"/>
                <w:rtl/>
              </w:rPr>
              <w:instrText xml:space="preserve">= </w:instrText>
            </w:r>
            <w:r w:rsidRPr="00461486">
              <w:rPr>
                <w:rFonts w:hint="cs"/>
                <w:b/>
                <w:bCs/>
                <w:sz w:val="18"/>
                <w:szCs w:val="18"/>
              </w:rPr>
              <w:instrText>CY</w:instrText>
            </w:r>
            <w:r>
              <w:rPr>
                <w:b/>
                <w:bCs/>
                <w:sz w:val="18"/>
                <w:szCs w:val="18"/>
              </w:rPr>
              <w:instrText>-1</w:instrText>
            </w:r>
            <w:r w:rsidRPr="00461486">
              <w:rPr>
                <w:rFonts w:hint="cs"/>
                <w:b/>
                <w:bCs/>
                <w:sz w:val="18"/>
                <w:szCs w:val="18"/>
              </w:rPr>
              <w:instrText xml:space="preserve"> \* MERGEFORMAT</w:instrText>
            </w:r>
            <w:r w:rsidRPr="00461486">
              <w:rPr>
                <w:b/>
                <w:bCs/>
                <w:sz w:val="18"/>
                <w:szCs w:val="18"/>
                <w:rtl/>
              </w:rPr>
              <w:instrText xml:space="preserve"> </w:instrText>
            </w:r>
            <w:r w:rsidRPr="00461486">
              <w:rPr>
                <w:b/>
                <w:bCs/>
                <w:sz w:val="18"/>
                <w:szCs w:val="18"/>
                <w:rtl/>
              </w:rPr>
              <w:fldChar w:fldCharType="separate"/>
            </w:r>
            <w:r w:rsidR="003A584F">
              <w:rPr>
                <w:b/>
                <w:bCs/>
                <w:noProof/>
                <w:sz w:val="18"/>
                <w:szCs w:val="18"/>
                <w:rtl/>
              </w:rPr>
              <w:t>2023</w:t>
            </w:r>
            <w:r w:rsidRPr="00461486">
              <w:rPr>
                <w:b/>
                <w:bCs/>
                <w:sz w:val="18"/>
                <w:szCs w:val="18"/>
                <w:rtl/>
              </w:rPr>
              <w:fldChar w:fldCharType="end"/>
            </w:r>
          </w:p>
        </w:tc>
        <w:tc>
          <w:tcPr>
            <w:tcW w:w="709" w:type="dxa"/>
            <w:shd w:val="clear" w:color="auto" w:fill="auto"/>
            <w:vAlign w:val="bottom"/>
            <w:hideMark/>
          </w:tcPr>
          <w:p w14:paraId="438EB4AD" w14:textId="4BB03DE5" w:rsidR="00E97929" w:rsidRPr="009E7447" w:rsidRDefault="00461486" w:rsidP="00461486">
            <w:pPr>
              <w:pBdr>
                <w:bottom w:val="single" w:sz="6" w:space="1" w:color="auto"/>
              </w:pBdr>
              <w:spacing w:line="241" w:lineRule="auto"/>
              <w:jc w:val="center"/>
              <w:rPr>
                <w:b/>
                <w:bCs/>
                <w:sz w:val="18"/>
                <w:szCs w:val="18"/>
                <w:rtl/>
              </w:rPr>
            </w:pPr>
            <w:r w:rsidRPr="00461486">
              <w:rPr>
                <w:b/>
                <w:bCs/>
                <w:sz w:val="18"/>
                <w:szCs w:val="18"/>
                <w:rtl/>
              </w:rPr>
              <w:fldChar w:fldCharType="begin"/>
            </w:r>
            <w:r w:rsidRPr="00461486">
              <w:rPr>
                <w:b/>
                <w:bCs/>
                <w:sz w:val="18"/>
                <w:szCs w:val="18"/>
                <w:rtl/>
              </w:rPr>
              <w:instrText xml:space="preserve"> </w:instrText>
            </w:r>
            <w:r w:rsidRPr="00461486">
              <w:rPr>
                <w:rFonts w:hint="cs"/>
                <w:b/>
                <w:bCs/>
                <w:sz w:val="18"/>
                <w:szCs w:val="18"/>
                <w:rtl/>
              </w:rPr>
              <w:instrText xml:space="preserve">= </w:instrText>
            </w:r>
            <w:r w:rsidRPr="00461486">
              <w:rPr>
                <w:rFonts w:hint="cs"/>
                <w:b/>
                <w:bCs/>
                <w:sz w:val="18"/>
                <w:szCs w:val="18"/>
              </w:rPr>
              <w:instrText>CY</w:instrText>
            </w:r>
            <w:r>
              <w:rPr>
                <w:b/>
                <w:bCs/>
                <w:sz w:val="18"/>
                <w:szCs w:val="18"/>
              </w:rPr>
              <w:instrText>-2</w:instrText>
            </w:r>
            <w:r w:rsidRPr="00461486">
              <w:rPr>
                <w:rFonts w:hint="cs"/>
                <w:b/>
                <w:bCs/>
                <w:sz w:val="18"/>
                <w:szCs w:val="18"/>
              </w:rPr>
              <w:instrText xml:space="preserve"> \* MERGEFORMAT</w:instrText>
            </w:r>
            <w:r w:rsidRPr="00461486">
              <w:rPr>
                <w:b/>
                <w:bCs/>
                <w:sz w:val="18"/>
                <w:szCs w:val="18"/>
                <w:rtl/>
              </w:rPr>
              <w:instrText xml:space="preserve"> </w:instrText>
            </w:r>
            <w:r w:rsidRPr="00461486">
              <w:rPr>
                <w:b/>
                <w:bCs/>
                <w:sz w:val="18"/>
                <w:szCs w:val="18"/>
                <w:rtl/>
              </w:rPr>
              <w:fldChar w:fldCharType="separate"/>
            </w:r>
            <w:r w:rsidR="003A584F">
              <w:rPr>
                <w:b/>
                <w:bCs/>
                <w:noProof/>
                <w:sz w:val="18"/>
                <w:szCs w:val="18"/>
                <w:rtl/>
              </w:rPr>
              <w:t>2022</w:t>
            </w:r>
            <w:r w:rsidRPr="00461486">
              <w:rPr>
                <w:b/>
                <w:bCs/>
                <w:sz w:val="18"/>
                <w:szCs w:val="18"/>
                <w:rtl/>
              </w:rPr>
              <w:fldChar w:fldCharType="end"/>
            </w:r>
          </w:p>
        </w:tc>
        <w:tc>
          <w:tcPr>
            <w:tcW w:w="709" w:type="dxa"/>
            <w:shd w:val="clear" w:color="auto" w:fill="auto"/>
            <w:vAlign w:val="bottom"/>
            <w:hideMark/>
          </w:tcPr>
          <w:p w14:paraId="54B639BF" w14:textId="09C79F66" w:rsidR="00E97929" w:rsidRPr="009E7447" w:rsidRDefault="00FF2924" w:rsidP="00461486">
            <w:pPr>
              <w:pBdr>
                <w:bottom w:val="single" w:sz="6" w:space="1" w:color="auto"/>
              </w:pBdr>
              <w:spacing w:line="241" w:lineRule="auto"/>
              <w:jc w:val="center"/>
              <w:rPr>
                <w:b/>
                <w:bCs/>
                <w:sz w:val="18"/>
                <w:szCs w:val="18"/>
                <w:rtl/>
              </w:rPr>
            </w:pPr>
            <w:r w:rsidRPr="00461486">
              <w:rPr>
                <w:b/>
                <w:bCs/>
                <w:sz w:val="18"/>
                <w:szCs w:val="18"/>
                <w:rtl/>
              </w:rPr>
              <w:fldChar w:fldCharType="begin"/>
            </w:r>
            <w:r w:rsidRPr="00461486">
              <w:rPr>
                <w:b/>
                <w:bCs/>
                <w:sz w:val="18"/>
                <w:szCs w:val="18"/>
                <w:rtl/>
              </w:rPr>
              <w:instrText xml:space="preserve"> </w:instrText>
            </w:r>
            <w:r w:rsidRPr="00461486">
              <w:rPr>
                <w:rFonts w:hint="cs"/>
                <w:b/>
                <w:bCs/>
                <w:sz w:val="18"/>
                <w:szCs w:val="18"/>
                <w:rtl/>
              </w:rPr>
              <w:instrText xml:space="preserve">= </w:instrText>
            </w:r>
            <w:r w:rsidRPr="00461486">
              <w:rPr>
                <w:rFonts w:hint="cs"/>
                <w:b/>
                <w:bCs/>
                <w:sz w:val="18"/>
                <w:szCs w:val="18"/>
              </w:rPr>
              <w:instrText>CY</w:instrText>
            </w:r>
            <w:r>
              <w:rPr>
                <w:b/>
                <w:bCs/>
                <w:sz w:val="18"/>
                <w:szCs w:val="18"/>
              </w:rPr>
              <w:instrText>-3</w:instrText>
            </w:r>
            <w:r w:rsidRPr="00461486">
              <w:rPr>
                <w:rFonts w:hint="cs"/>
                <w:b/>
                <w:bCs/>
                <w:sz w:val="18"/>
                <w:szCs w:val="18"/>
              </w:rPr>
              <w:instrText>\* MERGEFORMAT</w:instrText>
            </w:r>
            <w:r w:rsidRPr="00461486">
              <w:rPr>
                <w:b/>
                <w:bCs/>
                <w:sz w:val="18"/>
                <w:szCs w:val="18"/>
                <w:rtl/>
              </w:rPr>
              <w:instrText xml:space="preserve"> </w:instrText>
            </w:r>
            <w:r w:rsidRPr="00461486">
              <w:rPr>
                <w:b/>
                <w:bCs/>
                <w:sz w:val="18"/>
                <w:szCs w:val="18"/>
                <w:rtl/>
              </w:rPr>
              <w:fldChar w:fldCharType="separate"/>
            </w:r>
            <w:r w:rsidR="003A584F">
              <w:rPr>
                <w:b/>
                <w:bCs/>
                <w:noProof/>
                <w:sz w:val="18"/>
                <w:szCs w:val="18"/>
                <w:rtl/>
              </w:rPr>
              <w:t>2021</w:t>
            </w:r>
            <w:r w:rsidRPr="00461486">
              <w:rPr>
                <w:b/>
                <w:bCs/>
                <w:sz w:val="18"/>
                <w:szCs w:val="18"/>
                <w:rtl/>
              </w:rPr>
              <w:fldChar w:fldCharType="end"/>
            </w:r>
          </w:p>
        </w:tc>
        <w:tc>
          <w:tcPr>
            <w:tcW w:w="709" w:type="dxa"/>
            <w:shd w:val="clear" w:color="auto" w:fill="auto"/>
            <w:vAlign w:val="bottom"/>
            <w:hideMark/>
          </w:tcPr>
          <w:p w14:paraId="6DD2399D" w14:textId="4CE65E27" w:rsidR="00E97929" w:rsidRPr="009E7447" w:rsidRDefault="00461486" w:rsidP="00461486">
            <w:pPr>
              <w:pBdr>
                <w:bottom w:val="single" w:sz="6" w:space="1" w:color="auto"/>
              </w:pBdr>
              <w:spacing w:line="241" w:lineRule="auto"/>
              <w:jc w:val="center"/>
              <w:rPr>
                <w:b/>
                <w:bCs/>
                <w:sz w:val="18"/>
                <w:szCs w:val="18"/>
                <w:rtl/>
              </w:rPr>
            </w:pPr>
            <w:r w:rsidRPr="00461486">
              <w:rPr>
                <w:b/>
                <w:bCs/>
                <w:sz w:val="18"/>
                <w:szCs w:val="18"/>
                <w:rtl/>
              </w:rPr>
              <w:fldChar w:fldCharType="begin"/>
            </w:r>
            <w:r w:rsidRPr="00461486">
              <w:rPr>
                <w:b/>
                <w:bCs/>
                <w:sz w:val="18"/>
                <w:szCs w:val="18"/>
                <w:rtl/>
              </w:rPr>
              <w:instrText xml:space="preserve"> </w:instrText>
            </w:r>
            <w:r w:rsidRPr="00461486">
              <w:rPr>
                <w:rFonts w:hint="cs"/>
                <w:b/>
                <w:bCs/>
                <w:sz w:val="18"/>
                <w:szCs w:val="18"/>
                <w:rtl/>
              </w:rPr>
              <w:instrText xml:space="preserve">= </w:instrText>
            </w:r>
            <w:r w:rsidRPr="00461486">
              <w:rPr>
                <w:rFonts w:hint="cs"/>
                <w:b/>
                <w:bCs/>
                <w:sz w:val="18"/>
                <w:szCs w:val="18"/>
              </w:rPr>
              <w:instrText>CY</w:instrText>
            </w:r>
            <w:r w:rsidR="00FF2924">
              <w:rPr>
                <w:b/>
                <w:bCs/>
                <w:sz w:val="18"/>
                <w:szCs w:val="18"/>
              </w:rPr>
              <w:instrText>-4</w:instrText>
            </w:r>
            <w:r w:rsidRPr="00461486">
              <w:rPr>
                <w:rFonts w:hint="cs"/>
                <w:b/>
                <w:bCs/>
                <w:sz w:val="18"/>
                <w:szCs w:val="18"/>
              </w:rPr>
              <w:instrText xml:space="preserve"> \* MERGEFORMAT</w:instrText>
            </w:r>
            <w:r w:rsidRPr="00461486">
              <w:rPr>
                <w:b/>
                <w:bCs/>
                <w:sz w:val="18"/>
                <w:szCs w:val="18"/>
                <w:rtl/>
              </w:rPr>
              <w:instrText xml:space="preserve"> </w:instrText>
            </w:r>
            <w:r w:rsidRPr="00461486">
              <w:rPr>
                <w:b/>
                <w:bCs/>
                <w:sz w:val="18"/>
                <w:szCs w:val="18"/>
                <w:rtl/>
              </w:rPr>
              <w:fldChar w:fldCharType="separate"/>
            </w:r>
            <w:r w:rsidR="003A584F">
              <w:rPr>
                <w:b/>
                <w:bCs/>
                <w:noProof/>
                <w:sz w:val="18"/>
                <w:szCs w:val="18"/>
                <w:rtl/>
              </w:rPr>
              <w:t>2020</w:t>
            </w:r>
            <w:r w:rsidRPr="00461486">
              <w:rPr>
                <w:b/>
                <w:bCs/>
                <w:sz w:val="18"/>
                <w:szCs w:val="18"/>
                <w:rtl/>
              </w:rPr>
              <w:fldChar w:fldCharType="end"/>
            </w:r>
          </w:p>
        </w:tc>
        <w:tc>
          <w:tcPr>
            <w:tcW w:w="589" w:type="dxa"/>
            <w:shd w:val="clear" w:color="auto" w:fill="auto"/>
            <w:vAlign w:val="bottom"/>
            <w:hideMark/>
          </w:tcPr>
          <w:p w14:paraId="34F92516" w14:textId="77777777" w:rsidR="00E97929" w:rsidRPr="009E7447" w:rsidRDefault="00E97929" w:rsidP="00461486">
            <w:pPr>
              <w:pBdr>
                <w:bottom w:val="single" w:sz="6" w:space="1" w:color="auto"/>
              </w:pBdr>
              <w:spacing w:line="241" w:lineRule="auto"/>
              <w:jc w:val="center"/>
              <w:rPr>
                <w:b/>
                <w:bCs/>
                <w:sz w:val="18"/>
                <w:szCs w:val="18"/>
                <w:rtl/>
              </w:rPr>
            </w:pPr>
            <w:r w:rsidRPr="009E7447">
              <w:rPr>
                <w:rFonts w:hint="cs"/>
                <w:b/>
                <w:bCs/>
                <w:sz w:val="18"/>
                <w:szCs w:val="18"/>
                <w:rtl/>
              </w:rPr>
              <w:t>קודם</w:t>
            </w:r>
          </w:p>
        </w:tc>
        <w:tc>
          <w:tcPr>
            <w:tcW w:w="998" w:type="dxa"/>
            <w:shd w:val="clear" w:color="auto" w:fill="auto"/>
            <w:vAlign w:val="bottom"/>
            <w:hideMark/>
          </w:tcPr>
          <w:p w14:paraId="551089F1" w14:textId="77777777" w:rsidR="00E97929" w:rsidRPr="009E7447" w:rsidRDefault="00E97929" w:rsidP="00461486">
            <w:pPr>
              <w:pBdr>
                <w:bottom w:val="single" w:sz="6" w:space="1" w:color="auto"/>
              </w:pBdr>
              <w:spacing w:line="241" w:lineRule="auto"/>
              <w:jc w:val="center"/>
              <w:rPr>
                <w:b/>
                <w:bCs/>
                <w:sz w:val="18"/>
                <w:szCs w:val="18"/>
                <w:rtl/>
              </w:rPr>
            </w:pPr>
            <w:r w:rsidRPr="009E7447">
              <w:rPr>
                <w:rFonts w:hint="cs"/>
                <w:b/>
                <w:bCs/>
                <w:sz w:val="18"/>
                <w:szCs w:val="18"/>
                <w:rtl/>
              </w:rPr>
              <w:t>הלוואות מתחדשות</w:t>
            </w:r>
          </w:p>
        </w:tc>
        <w:tc>
          <w:tcPr>
            <w:tcW w:w="1518" w:type="dxa"/>
            <w:shd w:val="clear" w:color="auto" w:fill="auto"/>
            <w:vAlign w:val="bottom"/>
            <w:hideMark/>
          </w:tcPr>
          <w:p w14:paraId="7688D14B" w14:textId="77777777" w:rsidR="00E97929" w:rsidRPr="007D10F6" w:rsidRDefault="00E97929" w:rsidP="00461486">
            <w:pPr>
              <w:pBdr>
                <w:bottom w:val="single" w:sz="6" w:space="1" w:color="auto"/>
              </w:pBdr>
              <w:spacing w:line="241" w:lineRule="auto"/>
              <w:jc w:val="center"/>
              <w:rPr>
                <w:b/>
                <w:bCs/>
                <w:sz w:val="17"/>
                <w:szCs w:val="17"/>
                <w:rtl/>
              </w:rPr>
            </w:pPr>
            <w:r w:rsidRPr="007D10F6">
              <w:rPr>
                <w:rFonts w:hint="cs"/>
                <w:b/>
                <w:bCs/>
                <w:sz w:val="17"/>
                <w:szCs w:val="17"/>
                <w:rtl/>
              </w:rPr>
              <w:t>הלוואות מתחדשות שהומרו להלוואות לזמן קצוב</w:t>
            </w:r>
          </w:p>
        </w:tc>
        <w:tc>
          <w:tcPr>
            <w:tcW w:w="854" w:type="dxa"/>
            <w:gridSpan w:val="2"/>
            <w:shd w:val="clear" w:color="auto" w:fill="auto"/>
            <w:vAlign w:val="bottom"/>
          </w:tcPr>
          <w:p w14:paraId="79D215EA" w14:textId="77777777" w:rsidR="00E97929" w:rsidRPr="009E7447" w:rsidRDefault="00E97929" w:rsidP="00461486">
            <w:pPr>
              <w:pBdr>
                <w:bottom w:val="single" w:sz="6" w:space="1" w:color="auto"/>
              </w:pBdr>
              <w:spacing w:line="241" w:lineRule="auto"/>
              <w:jc w:val="center"/>
              <w:rPr>
                <w:b/>
                <w:bCs/>
                <w:sz w:val="18"/>
                <w:szCs w:val="18"/>
                <w:rtl/>
              </w:rPr>
            </w:pPr>
          </w:p>
          <w:p w14:paraId="0B9FB2F7" w14:textId="77777777" w:rsidR="00E97929" w:rsidRPr="009E7447" w:rsidRDefault="00E97929" w:rsidP="00461486">
            <w:pPr>
              <w:pBdr>
                <w:bottom w:val="single" w:sz="6" w:space="1" w:color="auto"/>
              </w:pBdr>
              <w:spacing w:line="241" w:lineRule="auto"/>
              <w:jc w:val="center"/>
              <w:rPr>
                <w:b/>
                <w:bCs/>
                <w:sz w:val="18"/>
                <w:szCs w:val="18"/>
                <w:rtl/>
              </w:rPr>
            </w:pPr>
          </w:p>
          <w:p w14:paraId="08A15213" w14:textId="77777777" w:rsidR="00E97929" w:rsidRPr="009E7447" w:rsidRDefault="00E97929" w:rsidP="00461486">
            <w:pPr>
              <w:pBdr>
                <w:bottom w:val="single" w:sz="6" w:space="1" w:color="auto"/>
              </w:pBdr>
              <w:spacing w:line="241" w:lineRule="auto"/>
              <w:jc w:val="center"/>
              <w:rPr>
                <w:b/>
                <w:bCs/>
                <w:sz w:val="18"/>
                <w:szCs w:val="18"/>
                <w:rtl/>
              </w:rPr>
            </w:pPr>
            <w:r w:rsidRPr="009E7447">
              <w:rPr>
                <w:rFonts w:hint="cs"/>
                <w:b/>
                <w:bCs/>
                <w:sz w:val="18"/>
                <w:szCs w:val="18"/>
                <w:rtl/>
              </w:rPr>
              <w:t>סה"כ</w:t>
            </w:r>
          </w:p>
        </w:tc>
      </w:tr>
      <w:tr w:rsidR="00E97929" w:rsidRPr="009E7447" w14:paraId="6BC5BB36"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4D497293" w14:textId="77777777" w:rsidR="00E97929" w:rsidRPr="009E7447" w:rsidRDefault="00E97929" w:rsidP="00461486">
            <w:pPr>
              <w:spacing w:line="241" w:lineRule="auto"/>
              <w:ind w:left="144" w:hanging="144"/>
              <w:jc w:val="left"/>
              <w:rPr>
                <w:color w:val="000000"/>
                <w:sz w:val="18"/>
                <w:szCs w:val="18"/>
                <w:rtl/>
                <w:lang w:eastAsia="he-IL"/>
              </w:rPr>
            </w:pPr>
            <w:r w:rsidRPr="009E7447">
              <w:rPr>
                <w:rFonts w:hint="cs"/>
                <w:color w:val="000000"/>
                <w:sz w:val="18"/>
                <w:szCs w:val="18"/>
                <w:u w:val="single"/>
                <w:rtl/>
                <w:lang w:eastAsia="he-IL"/>
              </w:rPr>
              <w:t>פעילות לווים בישראל</w:t>
            </w:r>
          </w:p>
        </w:tc>
        <w:tc>
          <w:tcPr>
            <w:tcW w:w="851" w:type="dxa"/>
            <w:shd w:val="clear" w:color="auto" w:fill="auto"/>
            <w:vAlign w:val="bottom"/>
          </w:tcPr>
          <w:p w14:paraId="15BD40AE" w14:textId="77777777" w:rsidR="00E97929" w:rsidRPr="009E7447" w:rsidRDefault="00E97929" w:rsidP="00461486">
            <w:pPr>
              <w:spacing w:line="241" w:lineRule="auto"/>
              <w:rPr>
                <w:sz w:val="18"/>
                <w:szCs w:val="18"/>
              </w:rPr>
            </w:pPr>
          </w:p>
        </w:tc>
        <w:tc>
          <w:tcPr>
            <w:tcW w:w="850" w:type="dxa"/>
            <w:shd w:val="clear" w:color="auto" w:fill="auto"/>
            <w:vAlign w:val="bottom"/>
          </w:tcPr>
          <w:p w14:paraId="18670D6F" w14:textId="77777777" w:rsidR="00E97929" w:rsidRPr="009E7447" w:rsidRDefault="00E97929" w:rsidP="00461486">
            <w:pPr>
              <w:spacing w:line="241" w:lineRule="auto"/>
              <w:rPr>
                <w:sz w:val="18"/>
                <w:szCs w:val="18"/>
                <w:rtl/>
              </w:rPr>
            </w:pPr>
          </w:p>
        </w:tc>
        <w:tc>
          <w:tcPr>
            <w:tcW w:w="709" w:type="dxa"/>
            <w:shd w:val="clear" w:color="auto" w:fill="auto"/>
            <w:vAlign w:val="bottom"/>
          </w:tcPr>
          <w:p w14:paraId="447B13F8" w14:textId="77777777" w:rsidR="00E97929" w:rsidRPr="009E7447" w:rsidRDefault="00E97929" w:rsidP="00461486">
            <w:pPr>
              <w:spacing w:line="241" w:lineRule="auto"/>
              <w:rPr>
                <w:sz w:val="18"/>
                <w:szCs w:val="18"/>
                <w:rtl/>
              </w:rPr>
            </w:pPr>
          </w:p>
        </w:tc>
        <w:tc>
          <w:tcPr>
            <w:tcW w:w="709" w:type="dxa"/>
            <w:shd w:val="clear" w:color="auto" w:fill="auto"/>
            <w:vAlign w:val="bottom"/>
          </w:tcPr>
          <w:p w14:paraId="40B9F739" w14:textId="77777777" w:rsidR="00E97929" w:rsidRPr="009E7447" w:rsidRDefault="00E97929" w:rsidP="00461486">
            <w:pPr>
              <w:spacing w:line="241" w:lineRule="auto"/>
              <w:rPr>
                <w:sz w:val="18"/>
                <w:szCs w:val="18"/>
                <w:rtl/>
              </w:rPr>
            </w:pPr>
          </w:p>
        </w:tc>
        <w:tc>
          <w:tcPr>
            <w:tcW w:w="709" w:type="dxa"/>
            <w:shd w:val="clear" w:color="auto" w:fill="auto"/>
            <w:vAlign w:val="bottom"/>
          </w:tcPr>
          <w:p w14:paraId="394E0F4A" w14:textId="77777777" w:rsidR="00E97929" w:rsidRPr="009E7447" w:rsidRDefault="00E97929" w:rsidP="00461486">
            <w:pPr>
              <w:spacing w:line="241" w:lineRule="auto"/>
              <w:rPr>
                <w:sz w:val="18"/>
                <w:szCs w:val="18"/>
                <w:rtl/>
              </w:rPr>
            </w:pPr>
          </w:p>
        </w:tc>
        <w:tc>
          <w:tcPr>
            <w:tcW w:w="589" w:type="dxa"/>
            <w:shd w:val="clear" w:color="auto" w:fill="auto"/>
            <w:vAlign w:val="bottom"/>
          </w:tcPr>
          <w:p w14:paraId="02AD4B99" w14:textId="77777777" w:rsidR="00E97929" w:rsidRPr="009E7447" w:rsidRDefault="00E97929" w:rsidP="00461486">
            <w:pPr>
              <w:spacing w:line="241" w:lineRule="auto"/>
              <w:rPr>
                <w:sz w:val="18"/>
                <w:szCs w:val="18"/>
                <w:rtl/>
              </w:rPr>
            </w:pPr>
          </w:p>
        </w:tc>
        <w:tc>
          <w:tcPr>
            <w:tcW w:w="998" w:type="dxa"/>
            <w:shd w:val="clear" w:color="auto" w:fill="auto"/>
            <w:vAlign w:val="bottom"/>
          </w:tcPr>
          <w:p w14:paraId="4D39EB85" w14:textId="77777777" w:rsidR="00E97929" w:rsidRPr="009E7447" w:rsidRDefault="00E97929" w:rsidP="00461486">
            <w:pPr>
              <w:spacing w:line="241" w:lineRule="auto"/>
              <w:rPr>
                <w:sz w:val="18"/>
                <w:szCs w:val="18"/>
                <w:rtl/>
              </w:rPr>
            </w:pPr>
          </w:p>
        </w:tc>
        <w:tc>
          <w:tcPr>
            <w:tcW w:w="1518" w:type="dxa"/>
            <w:shd w:val="clear" w:color="auto" w:fill="auto"/>
            <w:vAlign w:val="bottom"/>
          </w:tcPr>
          <w:p w14:paraId="420D3D56" w14:textId="77777777" w:rsidR="00E97929" w:rsidRPr="009E7447" w:rsidRDefault="00E97929" w:rsidP="00461486">
            <w:pPr>
              <w:spacing w:line="241" w:lineRule="auto"/>
              <w:rPr>
                <w:sz w:val="18"/>
                <w:szCs w:val="18"/>
                <w:rtl/>
              </w:rPr>
            </w:pPr>
          </w:p>
        </w:tc>
        <w:tc>
          <w:tcPr>
            <w:tcW w:w="854" w:type="dxa"/>
            <w:gridSpan w:val="2"/>
            <w:shd w:val="clear" w:color="auto" w:fill="auto"/>
          </w:tcPr>
          <w:p w14:paraId="10F6EBEE" w14:textId="77777777" w:rsidR="00E97929" w:rsidRPr="009E7447" w:rsidRDefault="00E97929" w:rsidP="00461486">
            <w:pPr>
              <w:spacing w:line="241" w:lineRule="auto"/>
              <w:rPr>
                <w:sz w:val="18"/>
                <w:szCs w:val="18"/>
                <w:rtl/>
              </w:rPr>
            </w:pPr>
          </w:p>
        </w:tc>
      </w:tr>
      <w:tr w:rsidR="00E97929" w:rsidRPr="009E7447" w14:paraId="2F19B038"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1BABF7D6" w14:textId="77777777" w:rsidR="00E97929" w:rsidRPr="009E7447" w:rsidRDefault="00E97929" w:rsidP="00461486">
            <w:pPr>
              <w:spacing w:line="241" w:lineRule="auto"/>
              <w:ind w:left="144" w:hanging="144"/>
              <w:jc w:val="left"/>
              <w:rPr>
                <w:color w:val="000000"/>
                <w:sz w:val="18"/>
                <w:szCs w:val="18"/>
                <w:u w:val="single"/>
                <w:rtl/>
                <w:lang w:eastAsia="he-IL"/>
              </w:rPr>
            </w:pPr>
            <w:r w:rsidRPr="009E7447">
              <w:rPr>
                <w:rFonts w:hint="cs"/>
                <w:color w:val="000000"/>
                <w:sz w:val="18"/>
                <w:szCs w:val="18"/>
                <w:u w:val="single"/>
                <w:rtl/>
                <w:lang w:eastAsia="he-IL"/>
              </w:rPr>
              <w:t>ציבור - מסחרי</w:t>
            </w:r>
          </w:p>
        </w:tc>
        <w:tc>
          <w:tcPr>
            <w:tcW w:w="851" w:type="dxa"/>
            <w:shd w:val="clear" w:color="auto" w:fill="auto"/>
            <w:vAlign w:val="bottom"/>
          </w:tcPr>
          <w:p w14:paraId="2F4F91E7" w14:textId="77777777" w:rsidR="00E97929" w:rsidRPr="009E7447" w:rsidRDefault="00E97929" w:rsidP="00461486">
            <w:pPr>
              <w:spacing w:line="241" w:lineRule="auto"/>
              <w:rPr>
                <w:sz w:val="18"/>
                <w:szCs w:val="18"/>
                <w:rtl/>
              </w:rPr>
            </w:pPr>
          </w:p>
        </w:tc>
        <w:tc>
          <w:tcPr>
            <w:tcW w:w="850" w:type="dxa"/>
            <w:shd w:val="clear" w:color="auto" w:fill="auto"/>
            <w:vAlign w:val="bottom"/>
          </w:tcPr>
          <w:p w14:paraId="1A9D177F" w14:textId="77777777" w:rsidR="00E97929" w:rsidRPr="009E7447" w:rsidRDefault="00E97929" w:rsidP="00461486">
            <w:pPr>
              <w:spacing w:line="241" w:lineRule="auto"/>
              <w:rPr>
                <w:sz w:val="18"/>
                <w:szCs w:val="18"/>
                <w:rtl/>
              </w:rPr>
            </w:pPr>
          </w:p>
        </w:tc>
        <w:tc>
          <w:tcPr>
            <w:tcW w:w="709" w:type="dxa"/>
            <w:shd w:val="clear" w:color="auto" w:fill="auto"/>
            <w:vAlign w:val="bottom"/>
          </w:tcPr>
          <w:p w14:paraId="179B2F0B" w14:textId="77777777" w:rsidR="00E97929" w:rsidRPr="009E7447" w:rsidRDefault="00E97929" w:rsidP="00461486">
            <w:pPr>
              <w:spacing w:line="241" w:lineRule="auto"/>
              <w:rPr>
                <w:sz w:val="18"/>
                <w:szCs w:val="18"/>
                <w:rtl/>
              </w:rPr>
            </w:pPr>
          </w:p>
        </w:tc>
        <w:tc>
          <w:tcPr>
            <w:tcW w:w="709" w:type="dxa"/>
            <w:shd w:val="clear" w:color="auto" w:fill="auto"/>
            <w:vAlign w:val="bottom"/>
          </w:tcPr>
          <w:p w14:paraId="37686C8C" w14:textId="77777777" w:rsidR="00E97929" w:rsidRPr="009E7447" w:rsidRDefault="00E97929" w:rsidP="00461486">
            <w:pPr>
              <w:spacing w:line="241" w:lineRule="auto"/>
              <w:rPr>
                <w:sz w:val="18"/>
                <w:szCs w:val="18"/>
                <w:rtl/>
              </w:rPr>
            </w:pPr>
          </w:p>
        </w:tc>
        <w:tc>
          <w:tcPr>
            <w:tcW w:w="709" w:type="dxa"/>
            <w:shd w:val="clear" w:color="auto" w:fill="auto"/>
            <w:vAlign w:val="bottom"/>
          </w:tcPr>
          <w:p w14:paraId="3C190F80" w14:textId="77777777" w:rsidR="00E97929" w:rsidRPr="009E7447" w:rsidRDefault="00E97929" w:rsidP="00461486">
            <w:pPr>
              <w:spacing w:line="241" w:lineRule="auto"/>
              <w:rPr>
                <w:sz w:val="18"/>
                <w:szCs w:val="18"/>
                <w:rtl/>
              </w:rPr>
            </w:pPr>
          </w:p>
        </w:tc>
        <w:tc>
          <w:tcPr>
            <w:tcW w:w="589" w:type="dxa"/>
            <w:shd w:val="clear" w:color="auto" w:fill="auto"/>
            <w:vAlign w:val="bottom"/>
          </w:tcPr>
          <w:p w14:paraId="287476C5" w14:textId="77777777" w:rsidR="00E97929" w:rsidRPr="009E7447" w:rsidRDefault="00E97929" w:rsidP="00461486">
            <w:pPr>
              <w:spacing w:line="241" w:lineRule="auto"/>
              <w:rPr>
                <w:sz w:val="18"/>
                <w:szCs w:val="18"/>
                <w:rtl/>
              </w:rPr>
            </w:pPr>
          </w:p>
        </w:tc>
        <w:tc>
          <w:tcPr>
            <w:tcW w:w="998" w:type="dxa"/>
            <w:shd w:val="clear" w:color="auto" w:fill="auto"/>
            <w:vAlign w:val="bottom"/>
          </w:tcPr>
          <w:p w14:paraId="16FD322B" w14:textId="77777777" w:rsidR="00E97929" w:rsidRPr="009E7447" w:rsidRDefault="00E97929" w:rsidP="00461486">
            <w:pPr>
              <w:spacing w:line="241" w:lineRule="auto"/>
              <w:rPr>
                <w:sz w:val="18"/>
                <w:szCs w:val="18"/>
                <w:rtl/>
              </w:rPr>
            </w:pPr>
          </w:p>
        </w:tc>
        <w:tc>
          <w:tcPr>
            <w:tcW w:w="1518" w:type="dxa"/>
            <w:shd w:val="clear" w:color="auto" w:fill="auto"/>
            <w:vAlign w:val="bottom"/>
          </w:tcPr>
          <w:p w14:paraId="0A7A63DB" w14:textId="77777777" w:rsidR="00E97929" w:rsidRPr="009E7447" w:rsidRDefault="00E97929" w:rsidP="00461486">
            <w:pPr>
              <w:spacing w:line="241" w:lineRule="auto"/>
              <w:rPr>
                <w:sz w:val="18"/>
                <w:szCs w:val="18"/>
                <w:rtl/>
              </w:rPr>
            </w:pPr>
          </w:p>
        </w:tc>
        <w:tc>
          <w:tcPr>
            <w:tcW w:w="854" w:type="dxa"/>
            <w:gridSpan w:val="2"/>
            <w:shd w:val="clear" w:color="auto" w:fill="auto"/>
          </w:tcPr>
          <w:p w14:paraId="14557FEF" w14:textId="77777777" w:rsidR="00E97929" w:rsidRPr="009E7447" w:rsidRDefault="00E97929" w:rsidP="00461486">
            <w:pPr>
              <w:spacing w:line="241" w:lineRule="auto"/>
              <w:rPr>
                <w:sz w:val="18"/>
                <w:szCs w:val="18"/>
                <w:rtl/>
              </w:rPr>
            </w:pPr>
          </w:p>
        </w:tc>
      </w:tr>
      <w:tr w:rsidR="00E97929" w:rsidRPr="009E7447" w14:paraId="49679A6B"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078A1742" w14:textId="77777777" w:rsidR="00E97929" w:rsidRPr="009E7447" w:rsidRDefault="00E97929" w:rsidP="00461486">
            <w:pPr>
              <w:spacing w:line="241" w:lineRule="auto"/>
              <w:ind w:left="144" w:hanging="144"/>
              <w:jc w:val="left"/>
              <w:rPr>
                <w:b/>
                <w:bCs/>
                <w:color w:val="000000"/>
                <w:sz w:val="18"/>
                <w:szCs w:val="18"/>
                <w:rtl/>
                <w:lang w:eastAsia="he-IL"/>
              </w:rPr>
            </w:pPr>
            <w:r w:rsidRPr="009E7447">
              <w:rPr>
                <w:rFonts w:hint="cs"/>
                <w:b/>
                <w:bCs/>
                <w:color w:val="000000"/>
                <w:sz w:val="18"/>
                <w:szCs w:val="18"/>
                <w:rtl/>
                <w:lang w:eastAsia="he-IL"/>
              </w:rPr>
              <w:t>בינוי ונדל"ן – סה"כ</w:t>
            </w:r>
          </w:p>
        </w:tc>
        <w:tc>
          <w:tcPr>
            <w:tcW w:w="851" w:type="dxa"/>
            <w:shd w:val="clear" w:color="auto" w:fill="auto"/>
            <w:vAlign w:val="bottom"/>
            <w:hideMark/>
          </w:tcPr>
          <w:p w14:paraId="57AAFA52" w14:textId="77777777" w:rsidR="00E97929" w:rsidRPr="009E7447" w:rsidRDefault="00E97929" w:rsidP="00461486">
            <w:pPr>
              <w:spacing w:line="241" w:lineRule="auto"/>
              <w:rPr>
                <w:b/>
                <w:bCs/>
                <w:sz w:val="18"/>
                <w:szCs w:val="18"/>
                <w:rtl/>
              </w:rPr>
            </w:pPr>
            <w:r w:rsidRPr="009E7447">
              <w:rPr>
                <w:rFonts w:hint="cs"/>
                <w:b/>
                <w:bCs/>
                <w:sz w:val="18"/>
                <w:szCs w:val="18"/>
                <w:rtl/>
              </w:rPr>
              <w:t xml:space="preserve"> 0</w:t>
            </w:r>
          </w:p>
        </w:tc>
        <w:tc>
          <w:tcPr>
            <w:tcW w:w="850" w:type="dxa"/>
            <w:shd w:val="clear" w:color="auto" w:fill="auto"/>
            <w:vAlign w:val="bottom"/>
            <w:hideMark/>
          </w:tcPr>
          <w:p w14:paraId="5551F03B" w14:textId="77777777" w:rsidR="00E97929" w:rsidRPr="009E7447" w:rsidRDefault="00E97929" w:rsidP="00461486">
            <w:pPr>
              <w:spacing w:line="241" w:lineRule="auto"/>
              <w:rPr>
                <w:b/>
                <w:bCs/>
                <w:sz w:val="18"/>
                <w:szCs w:val="18"/>
                <w:rtl/>
              </w:rPr>
            </w:pPr>
            <w:r w:rsidRPr="009E7447">
              <w:rPr>
                <w:rFonts w:hint="cs"/>
                <w:b/>
                <w:bCs/>
                <w:sz w:val="18"/>
                <w:szCs w:val="18"/>
                <w:rtl/>
              </w:rPr>
              <w:t xml:space="preserve"> 0</w:t>
            </w:r>
          </w:p>
        </w:tc>
        <w:tc>
          <w:tcPr>
            <w:tcW w:w="709" w:type="dxa"/>
            <w:shd w:val="clear" w:color="auto" w:fill="auto"/>
            <w:vAlign w:val="bottom"/>
            <w:hideMark/>
          </w:tcPr>
          <w:p w14:paraId="4379FC79" w14:textId="77777777" w:rsidR="00E97929" w:rsidRPr="009E7447" w:rsidRDefault="00E97929" w:rsidP="00461486">
            <w:pPr>
              <w:spacing w:line="241" w:lineRule="auto"/>
              <w:rPr>
                <w:b/>
                <w:bCs/>
                <w:sz w:val="18"/>
                <w:szCs w:val="18"/>
                <w:rtl/>
              </w:rPr>
            </w:pPr>
            <w:r w:rsidRPr="009E7447">
              <w:rPr>
                <w:rFonts w:hint="cs"/>
                <w:b/>
                <w:bCs/>
                <w:sz w:val="18"/>
                <w:szCs w:val="18"/>
                <w:rtl/>
              </w:rPr>
              <w:t xml:space="preserve"> 0</w:t>
            </w:r>
          </w:p>
        </w:tc>
        <w:tc>
          <w:tcPr>
            <w:tcW w:w="709" w:type="dxa"/>
            <w:shd w:val="clear" w:color="auto" w:fill="auto"/>
            <w:vAlign w:val="bottom"/>
            <w:hideMark/>
          </w:tcPr>
          <w:p w14:paraId="39D77D28" w14:textId="77777777" w:rsidR="00E97929" w:rsidRPr="009E7447" w:rsidRDefault="00E97929" w:rsidP="00461486">
            <w:pPr>
              <w:spacing w:line="241" w:lineRule="auto"/>
              <w:rPr>
                <w:b/>
                <w:bCs/>
                <w:sz w:val="18"/>
                <w:szCs w:val="18"/>
                <w:rtl/>
              </w:rPr>
            </w:pPr>
            <w:r w:rsidRPr="009E7447">
              <w:rPr>
                <w:rFonts w:hint="cs"/>
                <w:b/>
                <w:bCs/>
                <w:sz w:val="18"/>
                <w:szCs w:val="18"/>
                <w:rtl/>
              </w:rPr>
              <w:t xml:space="preserve"> 0</w:t>
            </w:r>
          </w:p>
        </w:tc>
        <w:tc>
          <w:tcPr>
            <w:tcW w:w="709" w:type="dxa"/>
            <w:shd w:val="clear" w:color="auto" w:fill="auto"/>
            <w:vAlign w:val="bottom"/>
            <w:hideMark/>
          </w:tcPr>
          <w:p w14:paraId="1AE94126" w14:textId="77777777" w:rsidR="00E97929" w:rsidRPr="009E7447" w:rsidRDefault="00E97929" w:rsidP="00461486">
            <w:pPr>
              <w:spacing w:line="241" w:lineRule="auto"/>
              <w:rPr>
                <w:b/>
                <w:bCs/>
                <w:sz w:val="18"/>
                <w:szCs w:val="18"/>
                <w:rtl/>
              </w:rPr>
            </w:pPr>
            <w:r w:rsidRPr="009E7447">
              <w:rPr>
                <w:rFonts w:hint="cs"/>
                <w:b/>
                <w:bCs/>
                <w:sz w:val="18"/>
                <w:szCs w:val="18"/>
                <w:rtl/>
              </w:rPr>
              <w:t xml:space="preserve"> 0</w:t>
            </w:r>
          </w:p>
        </w:tc>
        <w:tc>
          <w:tcPr>
            <w:tcW w:w="589" w:type="dxa"/>
            <w:shd w:val="clear" w:color="auto" w:fill="auto"/>
            <w:vAlign w:val="bottom"/>
            <w:hideMark/>
          </w:tcPr>
          <w:p w14:paraId="01750B93" w14:textId="77777777" w:rsidR="00E97929" w:rsidRPr="009E7447" w:rsidRDefault="00E97929" w:rsidP="00461486">
            <w:pPr>
              <w:spacing w:line="241" w:lineRule="auto"/>
              <w:rPr>
                <w:b/>
                <w:bCs/>
                <w:sz w:val="18"/>
                <w:szCs w:val="18"/>
                <w:rtl/>
              </w:rPr>
            </w:pPr>
            <w:r w:rsidRPr="009E7447">
              <w:rPr>
                <w:rFonts w:hint="cs"/>
                <w:b/>
                <w:bCs/>
                <w:sz w:val="18"/>
                <w:szCs w:val="18"/>
                <w:rtl/>
              </w:rPr>
              <w:t xml:space="preserve"> 0</w:t>
            </w:r>
          </w:p>
        </w:tc>
        <w:tc>
          <w:tcPr>
            <w:tcW w:w="998" w:type="dxa"/>
            <w:shd w:val="clear" w:color="auto" w:fill="auto"/>
            <w:vAlign w:val="bottom"/>
            <w:hideMark/>
          </w:tcPr>
          <w:p w14:paraId="0249C5CC" w14:textId="77777777" w:rsidR="00E97929" w:rsidRPr="009E7447" w:rsidRDefault="00E97929" w:rsidP="00461486">
            <w:pPr>
              <w:spacing w:line="241" w:lineRule="auto"/>
              <w:rPr>
                <w:b/>
                <w:bCs/>
                <w:sz w:val="18"/>
                <w:szCs w:val="18"/>
                <w:rtl/>
              </w:rPr>
            </w:pPr>
            <w:r w:rsidRPr="009E7447">
              <w:rPr>
                <w:rFonts w:hint="cs"/>
                <w:b/>
                <w:bCs/>
                <w:sz w:val="18"/>
                <w:szCs w:val="18"/>
                <w:rtl/>
              </w:rPr>
              <w:t xml:space="preserve"> 0</w:t>
            </w:r>
          </w:p>
        </w:tc>
        <w:tc>
          <w:tcPr>
            <w:tcW w:w="1518" w:type="dxa"/>
            <w:shd w:val="clear" w:color="auto" w:fill="auto"/>
            <w:vAlign w:val="bottom"/>
            <w:hideMark/>
          </w:tcPr>
          <w:p w14:paraId="6335C9D9" w14:textId="77777777" w:rsidR="00E97929" w:rsidRPr="009E7447" w:rsidRDefault="00E97929" w:rsidP="00461486">
            <w:pPr>
              <w:spacing w:line="241" w:lineRule="auto"/>
              <w:rPr>
                <w:b/>
                <w:bCs/>
                <w:sz w:val="18"/>
                <w:szCs w:val="18"/>
                <w:rtl/>
              </w:rPr>
            </w:pPr>
            <w:r w:rsidRPr="009E7447">
              <w:rPr>
                <w:rFonts w:hint="cs"/>
                <w:b/>
                <w:bCs/>
                <w:sz w:val="18"/>
                <w:szCs w:val="18"/>
                <w:rtl/>
              </w:rPr>
              <w:t xml:space="preserve"> 0</w:t>
            </w:r>
          </w:p>
        </w:tc>
        <w:tc>
          <w:tcPr>
            <w:tcW w:w="854" w:type="dxa"/>
            <w:gridSpan w:val="2"/>
            <w:shd w:val="clear" w:color="auto" w:fill="auto"/>
            <w:vAlign w:val="bottom"/>
            <w:hideMark/>
          </w:tcPr>
          <w:p w14:paraId="218D6BA7" w14:textId="77777777" w:rsidR="00E97929" w:rsidRPr="009E7447" w:rsidRDefault="00E97929" w:rsidP="00461486">
            <w:pPr>
              <w:spacing w:line="241" w:lineRule="auto"/>
              <w:rPr>
                <w:b/>
                <w:bCs/>
                <w:sz w:val="18"/>
                <w:szCs w:val="18"/>
                <w:rtl/>
              </w:rPr>
            </w:pPr>
            <w:r w:rsidRPr="009E7447">
              <w:rPr>
                <w:rFonts w:hint="cs"/>
                <w:b/>
                <w:bCs/>
                <w:sz w:val="18"/>
                <w:szCs w:val="18"/>
                <w:rtl/>
              </w:rPr>
              <w:t xml:space="preserve"> 0</w:t>
            </w:r>
          </w:p>
        </w:tc>
      </w:tr>
      <w:tr w:rsidR="00E97929" w:rsidRPr="009E7447" w14:paraId="36B00B18"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269BCFEB" w14:textId="77777777" w:rsidR="00E97929" w:rsidRPr="009E7447" w:rsidRDefault="00E97929" w:rsidP="00461486">
            <w:pPr>
              <w:spacing w:line="200" w:lineRule="exact"/>
              <w:ind w:left="144" w:right="144" w:hanging="144"/>
              <w:jc w:val="left"/>
              <w:rPr>
                <w:color w:val="000000"/>
                <w:sz w:val="18"/>
                <w:szCs w:val="18"/>
                <w:rtl/>
                <w:lang w:eastAsia="he-IL"/>
              </w:rPr>
            </w:pPr>
            <w:r w:rsidRPr="009E7447">
              <w:rPr>
                <w:rFonts w:hint="cs"/>
                <w:color w:val="000000"/>
                <w:sz w:val="18"/>
                <w:szCs w:val="18"/>
                <w:rtl/>
                <w:lang w:eastAsia="he-IL"/>
              </w:rPr>
              <w:t>אשראי בדירוג ביצוע</w:t>
            </w:r>
          </w:p>
        </w:tc>
        <w:tc>
          <w:tcPr>
            <w:tcW w:w="851" w:type="dxa"/>
            <w:shd w:val="clear" w:color="auto" w:fill="auto"/>
            <w:vAlign w:val="bottom"/>
            <w:hideMark/>
          </w:tcPr>
          <w:p w14:paraId="42842411"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850" w:type="dxa"/>
            <w:shd w:val="clear" w:color="auto" w:fill="auto"/>
            <w:vAlign w:val="bottom"/>
            <w:hideMark/>
          </w:tcPr>
          <w:p w14:paraId="626874C5"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5C54862D"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31AC59AB"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3BF8CF7C"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589" w:type="dxa"/>
            <w:shd w:val="clear" w:color="auto" w:fill="auto"/>
            <w:vAlign w:val="bottom"/>
            <w:hideMark/>
          </w:tcPr>
          <w:p w14:paraId="533CA422"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998" w:type="dxa"/>
            <w:shd w:val="clear" w:color="auto" w:fill="auto"/>
            <w:vAlign w:val="bottom"/>
            <w:hideMark/>
          </w:tcPr>
          <w:p w14:paraId="58718F41"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1518" w:type="dxa"/>
            <w:shd w:val="clear" w:color="auto" w:fill="auto"/>
            <w:vAlign w:val="bottom"/>
            <w:hideMark/>
          </w:tcPr>
          <w:p w14:paraId="1791A7D4"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854" w:type="dxa"/>
            <w:gridSpan w:val="2"/>
            <w:shd w:val="clear" w:color="auto" w:fill="auto"/>
            <w:vAlign w:val="bottom"/>
            <w:hideMark/>
          </w:tcPr>
          <w:p w14:paraId="49E0231E"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r>
      <w:tr w:rsidR="00E97929" w:rsidRPr="009E7447" w14:paraId="5752E7BC"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1AA65F5A" w14:textId="77777777" w:rsidR="00E97929" w:rsidRPr="009E7447" w:rsidRDefault="00E97929" w:rsidP="00461486">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בדירוג ביצוע ואינו בעייתי</w:t>
            </w:r>
          </w:p>
        </w:tc>
        <w:tc>
          <w:tcPr>
            <w:tcW w:w="851" w:type="dxa"/>
            <w:shd w:val="clear" w:color="auto" w:fill="auto"/>
            <w:vAlign w:val="bottom"/>
            <w:hideMark/>
          </w:tcPr>
          <w:p w14:paraId="7BA4CC0B"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850" w:type="dxa"/>
            <w:shd w:val="clear" w:color="auto" w:fill="auto"/>
            <w:vAlign w:val="bottom"/>
            <w:hideMark/>
          </w:tcPr>
          <w:p w14:paraId="7C34C5B7"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0F920A46"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70A0DE97"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66884BC7"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589" w:type="dxa"/>
            <w:shd w:val="clear" w:color="auto" w:fill="auto"/>
            <w:vAlign w:val="bottom"/>
            <w:hideMark/>
          </w:tcPr>
          <w:p w14:paraId="15CFF420"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998" w:type="dxa"/>
            <w:shd w:val="clear" w:color="auto" w:fill="auto"/>
            <w:vAlign w:val="bottom"/>
            <w:hideMark/>
          </w:tcPr>
          <w:p w14:paraId="65D53981"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1518" w:type="dxa"/>
            <w:shd w:val="clear" w:color="auto" w:fill="auto"/>
            <w:vAlign w:val="bottom"/>
            <w:hideMark/>
          </w:tcPr>
          <w:p w14:paraId="400BE773"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854" w:type="dxa"/>
            <w:gridSpan w:val="2"/>
            <w:shd w:val="clear" w:color="auto" w:fill="auto"/>
            <w:vAlign w:val="bottom"/>
            <w:hideMark/>
          </w:tcPr>
          <w:p w14:paraId="23BAFB99"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r>
      <w:tr w:rsidR="00E97929" w:rsidRPr="009E7447" w14:paraId="5B318322"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2290F842" w14:textId="77777777" w:rsidR="00E97929" w:rsidRPr="009E7447" w:rsidRDefault="00E97929" w:rsidP="00461486">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בעייתי צובר</w:t>
            </w:r>
          </w:p>
        </w:tc>
        <w:tc>
          <w:tcPr>
            <w:tcW w:w="851" w:type="dxa"/>
            <w:shd w:val="clear" w:color="auto" w:fill="auto"/>
            <w:vAlign w:val="bottom"/>
            <w:hideMark/>
          </w:tcPr>
          <w:p w14:paraId="2E90B11A"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850" w:type="dxa"/>
            <w:shd w:val="clear" w:color="auto" w:fill="auto"/>
            <w:vAlign w:val="bottom"/>
            <w:hideMark/>
          </w:tcPr>
          <w:p w14:paraId="7FE703F7"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5C900C8C"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1D3E2D67"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75609A63"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589" w:type="dxa"/>
            <w:shd w:val="clear" w:color="auto" w:fill="auto"/>
            <w:vAlign w:val="bottom"/>
            <w:hideMark/>
          </w:tcPr>
          <w:p w14:paraId="160FBD3B"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998" w:type="dxa"/>
            <w:shd w:val="clear" w:color="auto" w:fill="auto"/>
            <w:vAlign w:val="bottom"/>
            <w:hideMark/>
          </w:tcPr>
          <w:p w14:paraId="74DB3E3F"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1518" w:type="dxa"/>
            <w:shd w:val="clear" w:color="auto" w:fill="auto"/>
            <w:vAlign w:val="bottom"/>
            <w:hideMark/>
          </w:tcPr>
          <w:p w14:paraId="19EFF179"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c>
          <w:tcPr>
            <w:tcW w:w="854" w:type="dxa"/>
            <w:gridSpan w:val="2"/>
            <w:shd w:val="clear" w:color="auto" w:fill="auto"/>
            <w:vAlign w:val="bottom"/>
            <w:hideMark/>
          </w:tcPr>
          <w:p w14:paraId="250F68BB" w14:textId="77777777" w:rsidR="00E97929" w:rsidRPr="009E7447" w:rsidRDefault="00E97929" w:rsidP="00461486">
            <w:pPr>
              <w:spacing w:line="241" w:lineRule="auto"/>
              <w:rPr>
                <w:sz w:val="18"/>
                <w:szCs w:val="18"/>
                <w:rtl/>
              </w:rPr>
            </w:pPr>
            <w:r w:rsidRPr="009E7447">
              <w:rPr>
                <w:rFonts w:hint="cs"/>
                <w:sz w:val="18"/>
                <w:szCs w:val="18"/>
                <w:rtl/>
              </w:rPr>
              <w:t xml:space="preserve"> 0</w:t>
            </w:r>
          </w:p>
        </w:tc>
      </w:tr>
      <w:tr w:rsidR="002D718B" w:rsidRPr="009E7447" w14:paraId="75A7733B"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tcPr>
          <w:p w14:paraId="5207E493" w14:textId="4CBEE39A" w:rsidR="002D718B" w:rsidRPr="009E7447" w:rsidRDefault="002D718B" w:rsidP="002D718B">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צובר</w:t>
            </w:r>
          </w:p>
        </w:tc>
        <w:tc>
          <w:tcPr>
            <w:tcW w:w="851" w:type="dxa"/>
            <w:shd w:val="clear" w:color="auto" w:fill="auto"/>
            <w:vAlign w:val="bottom"/>
          </w:tcPr>
          <w:p w14:paraId="13D8AC7A" w14:textId="275E7C4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0" w:type="dxa"/>
            <w:shd w:val="clear" w:color="auto" w:fill="auto"/>
            <w:vAlign w:val="bottom"/>
          </w:tcPr>
          <w:p w14:paraId="7A5D8C53" w14:textId="6ED27181"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tcPr>
          <w:p w14:paraId="71DD3B58" w14:textId="1A59472B"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tcPr>
          <w:p w14:paraId="4F3A8E16" w14:textId="6E0C0646"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tcPr>
          <w:p w14:paraId="1469CA38" w14:textId="5E599A79"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shd w:val="clear" w:color="auto" w:fill="auto"/>
            <w:vAlign w:val="bottom"/>
          </w:tcPr>
          <w:p w14:paraId="397F9339" w14:textId="2E87F54A"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shd w:val="clear" w:color="auto" w:fill="auto"/>
            <w:vAlign w:val="bottom"/>
          </w:tcPr>
          <w:p w14:paraId="6E3FB31E" w14:textId="30D9EFDA"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shd w:val="clear" w:color="auto" w:fill="auto"/>
            <w:vAlign w:val="bottom"/>
          </w:tcPr>
          <w:p w14:paraId="1CC775B2" w14:textId="33D33B1D"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shd w:val="clear" w:color="auto" w:fill="auto"/>
            <w:vAlign w:val="bottom"/>
          </w:tcPr>
          <w:p w14:paraId="2AFAE171" w14:textId="498F94DC"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36263D7D" w14:textId="77777777" w:rsidTr="00364C31">
        <w:tblPrEx>
          <w:tblLook w:val="01E0" w:firstRow="1" w:lastRow="1" w:firstColumn="1" w:lastColumn="1" w:noHBand="0" w:noVBand="0"/>
        </w:tblPrEx>
        <w:trPr>
          <w:gridAfter w:val="1"/>
          <w:wAfter w:w="16" w:type="dxa"/>
          <w:trHeight w:val="227"/>
        </w:trPr>
        <w:tc>
          <w:tcPr>
            <w:tcW w:w="2796" w:type="dxa"/>
            <w:gridSpan w:val="2"/>
            <w:tcBorders>
              <w:left w:val="single" w:sz="4" w:space="0" w:color="auto"/>
            </w:tcBorders>
            <w:shd w:val="clear" w:color="auto" w:fill="auto"/>
            <w:vAlign w:val="bottom"/>
          </w:tcPr>
          <w:p w14:paraId="158087D8" w14:textId="1E8C6B10" w:rsidR="002D718B" w:rsidRPr="009E7447" w:rsidRDefault="002D718B" w:rsidP="002D718B">
            <w:pPr>
              <w:spacing w:line="241" w:lineRule="auto"/>
              <w:ind w:left="144" w:hanging="144"/>
              <w:jc w:val="left"/>
              <w:rPr>
                <w:color w:val="000000"/>
                <w:sz w:val="18"/>
                <w:szCs w:val="18"/>
                <w:rtl/>
                <w:lang w:eastAsia="he-IL"/>
              </w:rPr>
            </w:pPr>
            <w:r w:rsidRPr="002D718B">
              <w:rPr>
                <w:color w:val="000000"/>
                <w:sz w:val="18"/>
                <w:szCs w:val="18"/>
                <w:rtl/>
                <w:lang w:eastAsia="he-IL"/>
              </w:rPr>
              <w:t xml:space="preserve">מחיקות חשבונאיות במהלך </w:t>
            </w:r>
            <w:r w:rsidR="003361A2">
              <w:rPr>
                <w:rFonts w:hint="cs"/>
                <w:color w:val="000000"/>
                <w:sz w:val="18"/>
                <w:szCs w:val="18"/>
                <w:rtl/>
                <w:lang w:eastAsia="he-IL"/>
              </w:rPr>
              <w:t>התקופה</w:t>
            </w:r>
          </w:p>
        </w:tc>
        <w:tc>
          <w:tcPr>
            <w:tcW w:w="851" w:type="dxa"/>
            <w:tcBorders>
              <w:top w:val="nil"/>
              <w:left w:val="nil"/>
              <w:bottom w:val="single" w:sz="8" w:space="0" w:color="auto"/>
              <w:right w:val="nil"/>
            </w:tcBorders>
            <w:shd w:val="clear" w:color="auto" w:fill="auto"/>
            <w:vAlign w:val="bottom"/>
            <w:hideMark/>
          </w:tcPr>
          <w:p w14:paraId="7EE830CC"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0" w:type="dxa"/>
            <w:tcBorders>
              <w:top w:val="nil"/>
              <w:left w:val="nil"/>
              <w:bottom w:val="single" w:sz="8" w:space="0" w:color="auto"/>
              <w:right w:val="nil"/>
            </w:tcBorders>
            <w:shd w:val="clear" w:color="auto" w:fill="auto"/>
            <w:vAlign w:val="bottom"/>
            <w:hideMark/>
          </w:tcPr>
          <w:p w14:paraId="2CA4FF51"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nil"/>
              <w:left w:val="nil"/>
              <w:bottom w:val="single" w:sz="8" w:space="0" w:color="auto"/>
              <w:right w:val="nil"/>
            </w:tcBorders>
            <w:shd w:val="clear" w:color="auto" w:fill="auto"/>
            <w:vAlign w:val="bottom"/>
            <w:hideMark/>
          </w:tcPr>
          <w:p w14:paraId="50E38DFB"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nil"/>
              <w:left w:val="nil"/>
              <w:bottom w:val="single" w:sz="8" w:space="0" w:color="auto"/>
              <w:right w:val="nil"/>
            </w:tcBorders>
            <w:shd w:val="clear" w:color="auto" w:fill="auto"/>
            <w:vAlign w:val="bottom"/>
            <w:hideMark/>
          </w:tcPr>
          <w:p w14:paraId="44CAC1EE"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nil"/>
              <w:left w:val="nil"/>
              <w:bottom w:val="single" w:sz="8" w:space="0" w:color="auto"/>
              <w:right w:val="nil"/>
            </w:tcBorders>
            <w:shd w:val="clear" w:color="auto" w:fill="auto"/>
            <w:vAlign w:val="bottom"/>
            <w:hideMark/>
          </w:tcPr>
          <w:p w14:paraId="317EA8F2"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tcBorders>
              <w:top w:val="nil"/>
              <w:left w:val="nil"/>
              <w:bottom w:val="single" w:sz="8" w:space="0" w:color="auto"/>
              <w:right w:val="nil"/>
            </w:tcBorders>
            <w:shd w:val="clear" w:color="auto" w:fill="auto"/>
            <w:vAlign w:val="bottom"/>
            <w:hideMark/>
          </w:tcPr>
          <w:p w14:paraId="63240B74"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tcBorders>
              <w:top w:val="nil"/>
              <w:left w:val="nil"/>
              <w:bottom w:val="single" w:sz="8" w:space="0" w:color="auto"/>
              <w:right w:val="nil"/>
            </w:tcBorders>
            <w:shd w:val="clear" w:color="auto" w:fill="auto"/>
            <w:vAlign w:val="bottom"/>
            <w:hideMark/>
          </w:tcPr>
          <w:p w14:paraId="78D83C2D"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tcBorders>
              <w:top w:val="nil"/>
              <w:left w:val="nil"/>
              <w:bottom w:val="single" w:sz="8" w:space="0" w:color="auto"/>
              <w:right w:val="nil"/>
            </w:tcBorders>
            <w:shd w:val="clear" w:color="auto" w:fill="auto"/>
            <w:vAlign w:val="bottom"/>
            <w:hideMark/>
          </w:tcPr>
          <w:p w14:paraId="1A897ECA"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tcBorders>
              <w:top w:val="nil"/>
              <w:left w:val="nil"/>
              <w:bottom w:val="single" w:sz="8" w:space="0" w:color="auto"/>
              <w:right w:val="nil"/>
            </w:tcBorders>
            <w:shd w:val="clear" w:color="auto" w:fill="auto"/>
            <w:vAlign w:val="bottom"/>
            <w:hideMark/>
          </w:tcPr>
          <w:p w14:paraId="27D1C95A"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52B04BD5"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7411BC4C" w14:textId="77777777" w:rsidR="002D718B" w:rsidRPr="009E7447" w:rsidRDefault="002D718B" w:rsidP="002D718B">
            <w:pPr>
              <w:ind w:left="79" w:hanging="79"/>
              <w:jc w:val="left"/>
              <w:rPr>
                <w:color w:val="000000"/>
                <w:sz w:val="18"/>
                <w:szCs w:val="18"/>
                <w:rtl/>
                <w:lang w:eastAsia="he-IL"/>
              </w:rPr>
            </w:pPr>
            <w:r w:rsidRPr="009E7447">
              <w:rPr>
                <w:rFonts w:hint="cs"/>
                <w:b/>
                <w:bCs/>
                <w:color w:val="000000"/>
                <w:sz w:val="18"/>
                <w:szCs w:val="18"/>
                <w:rtl/>
                <w:lang w:eastAsia="he-IL"/>
              </w:rPr>
              <w:t xml:space="preserve">מסחרי – אחר – סה"כ </w:t>
            </w:r>
          </w:p>
        </w:tc>
        <w:tc>
          <w:tcPr>
            <w:tcW w:w="851" w:type="dxa"/>
            <w:tcBorders>
              <w:top w:val="single" w:sz="8" w:space="0" w:color="auto"/>
              <w:left w:val="nil"/>
              <w:bottom w:val="nil"/>
              <w:right w:val="nil"/>
            </w:tcBorders>
            <w:shd w:val="clear" w:color="auto" w:fill="auto"/>
            <w:vAlign w:val="bottom"/>
            <w:hideMark/>
          </w:tcPr>
          <w:p w14:paraId="6771B248" w14:textId="77777777" w:rsidR="002D718B" w:rsidRPr="009E7447" w:rsidRDefault="002D718B" w:rsidP="002D718B">
            <w:pPr>
              <w:spacing w:line="241" w:lineRule="auto"/>
              <w:rPr>
                <w:b/>
                <w:bCs/>
                <w:sz w:val="18"/>
                <w:szCs w:val="18"/>
              </w:rPr>
            </w:pPr>
            <w:r w:rsidRPr="009E7447">
              <w:rPr>
                <w:b/>
                <w:bCs/>
                <w:sz w:val="18"/>
                <w:szCs w:val="18"/>
                <w:rtl/>
              </w:rPr>
              <w:t xml:space="preserve"> </w:t>
            </w:r>
            <w:r w:rsidRPr="009E7447">
              <w:rPr>
                <w:rFonts w:hint="cs"/>
                <w:b/>
                <w:bCs/>
                <w:sz w:val="18"/>
                <w:szCs w:val="18"/>
                <w:rtl/>
              </w:rPr>
              <w:t>0</w:t>
            </w:r>
          </w:p>
        </w:tc>
        <w:tc>
          <w:tcPr>
            <w:tcW w:w="850" w:type="dxa"/>
            <w:tcBorders>
              <w:top w:val="single" w:sz="8" w:space="0" w:color="auto"/>
              <w:left w:val="nil"/>
              <w:bottom w:val="nil"/>
              <w:right w:val="nil"/>
            </w:tcBorders>
            <w:shd w:val="clear" w:color="auto" w:fill="auto"/>
            <w:vAlign w:val="bottom"/>
            <w:hideMark/>
          </w:tcPr>
          <w:p w14:paraId="0FD16BF8" w14:textId="77777777" w:rsidR="002D718B" w:rsidRPr="009E7447" w:rsidRDefault="002D718B" w:rsidP="002D718B">
            <w:pPr>
              <w:spacing w:line="241" w:lineRule="auto"/>
              <w:rPr>
                <w:b/>
                <w:bCs/>
                <w:sz w:val="18"/>
                <w:szCs w:val="18"/>
                <w:rtl/>
              </w:rPr>
            </w:pPr>
            <w:r w:rsidRPr="009E7447">
              <w:rPr>
                <w:rFonts w:hint="cs"/>
                <w:b/>
                <w:bCs/>
                <w:sz w:val="18"/>
                <w:szCs w:val="18"/>
                <w:rtl/>
              </w:rPr>
              <w:t xml:space="preserve"> 0</w:t>
            </w:r>
          </w:p>
        </w:tc>
        <w:tc>
          <w:tcPr>
            <w:tcW w:w="709" w:type="dxa"/>
            <w:tcBorders>
              <w:top w:val="single" w:sz="8" w:space="0" w:color="auto"/>
              <w:left w:val="nil"/>
              <w:bottom w:val="nil"/>
              <w:right w:val="nil"/>
            </w:tcBorders>
            <w:shd w:val="clear" w:color="auto" w:fill="auto"/>
            <w:vAlign w:val="bottom"/>
            <w:hideMark/>
          </w:tcPr>
          <w:p w14:paraId="7027CD93" w14:textId="77777777" w:rsidR="002D718B" w:rsidRPr="009E7447" w:rsidRDefault="002D718B" w:rsidP="002D718B">
            <w:pPr>
              <w:spacing w:line="241" w:lineRule="auto"/>
              <w:rPr>
                <w:b/>
                <w:bCs/>
                <w:sz w:val="18"/>
                <w:szCs w:val="18"/>
              </w:rPr>
            </w:pPr>
            <w:r w:rsidRPr="009E7447">
              <w:rPr>
                <w:b/>
                <w:bCs/>
                <w:sz w:val="18"/>
                <w:szCs w:val="18"/>
                <w:rtl/>
              </w:rPr>
              <w:t xml:space="preserve"> </w:t>
            </w:r>
            <w:r w:rsidRPr="009E7447">
              <w:rPr>
                <w:rFonts w:hint="cs"/>
                <w:b/>
                <w:bCs/>
                <w:sz w:val="18"/>
                <w:szCs w:val="18"/>
                <w:rtl/>
              </w:rPr>
              <w:t>0</w:t>
            </w:r>
          </w:p>
        </w:tc>
        <w:tc>
          <w:tcPr>
            <w:tcW w:w="709" w:type="dxa"/>
            <w:tcBorders>
              <w:top w:val="single" w:sz="8" w:space="0" w:color="auto"/>
              <w:left w:val="nil"/>
              <w:bottom w:val="nil"/>
              <w:right w:val="nil"/>
            </w:tcBorders>
            <w:shd w:val="clear" w:color="auto" w:fill="auto"/>
            <w:vAlign w:val="bottom"/>
            <w:hideMark/>
          </w:tcPr>
          <w:p w14:paraId="4206815B" w14:textId="77777777" w:rsidR="002D718B" w:rsidRPr="009E7447" w:rsidRDefault="002D718B" w:rsidP="002D718B">
            <w:pPr>
              <w:spacing w:line="241" w:lineRule="auto"/>
              <w:rPr>
                <w:b/>
                <w:bCs/>
                <w:sz w:val="18"/>
                <w:szCs w:val="18"/>
                <w:rtl/>
              </w:rPr>
            </w:pPr>
            <w:r w:rsidRPr="009E7447">
              <w:rPr>
                <w:rFonts w:hint="cs"/>
                <w:b/>
                <w:bCs/>
                <w:sz w:val="18"/>
                <w:szCs w:val="18"/>
                <w:rtl/>
              </w:rPr>
              <w:t xml:space="preserve"> 0</w:t>
            </w:r>
          </w:p>
        </w:tc>
        <w:tc>
          <w:tcPr>
            <w:tcW w:w="709" w:type="dxa"/>
            <w:tcBorders>
              <w:top w:val="single" w:sz="8" w:space="0" w:color="auto"/>
              <w:left w:val="nil"/>
              <w:bottom w:val="nil"/>
              <w:right w:val="nil"/>
            </w:tcBorders>
            <w:shd w:val="clear" w:color="auto" w:fill="auto"/>
            <w:vAlign w:val="bottom"/>
            <w:hideMark/>
          </w:tcPr>
          <w:p w14:paraId="0E9D4AC4" w14:textId="77777777" w:rsidR="002D718B" w:rsidRPr="009E7447" w:rsidRDefault="002D718B" w:rsidP="002D718B">
            <w:pPr>
              <w:spacing w:line="241" w:lineRule="auto"/>
              <w:rPr>
                <w:b/>
                <w:bCs/>
                <w:sz w:val="18"/>
                <w:szCs w:val="18"/>
                <w:rtl/>
              </w:rPr>
            </w:pPr>
            <w:r w:rsidRPr="009E7447">
              <w:rPr>
                <w:rFonts w:hint="cs"/>
                <w:b/>
                <w:bCs/>
                <w:sz w:val="18"/>
                <w:szCs w:val="18"/>
                <w:rtl/>
              </w:rPr>
              <w:t xml:space="preserve"> 0</w:t>
            </w:r>
          </w:p>
        </w:tc>
        <w:tc>
          <w:tcPr>
            <w:tcW w:w="589" w:type="dxa"/>
            <w:tcBorders>
              <w:top w:val="single" w:sz="8" w:space="0" w:color="auto"/>
              <w:left w:val="nil"/>
              <w:bottom w:val="nil"/>
              <w:right w:val="nil"/>
            </w:tcBorders>
            <w:shd w:val="clear" w:color="auto" w:fill="auto"/>
            <w:vAlign w:val="bottom"/>
            <w:hideMark/>
          </w:tcPr>
          <w:p w14:paraId="4349F85A" w14:textId="77777777" w:rsidR="002D718B" w:rsidRPr="009E7447" w:rsidRDefault="002D718B" w:rsidP="002D718B">
            <w:pPr>
              <w:spacing w:line="241" w:lineRule="auto"/>
              <w:rPr>
                <w:b/>
                <w:bCs/>
                <w:sz w:val="18"/>
                <w:szCs w:val="18"/>
                <w:rtl/>
              </w:rPr>
            </w:pPr>
            <w:r w:rsidRPr="009E7447">
              <w:rPr>
                <w:rFonts w:hint="cs"/>
                <w:b/>
                <w:bCs/>
                <w:sz w:val="18"/>
                <w:szCs w:val="18"/>
                <w:rtl/>
              </w:rPr>
              <w:t xml:space="preserve"> 0</w:t>
            </w:r>
          </w:p>
        </w:tc>
        <w:tc>
          <w:tcPr>
            <w:tcW w:w="998" w:type="dxa"/>
            <w:tcBorders>
              <w:top w:val="single" w:sz="8" w:space="0" w:color="auto"/>
              <w:left w:val="nil"/>
              <w:bottom w:val="nil"/>
              <w:right w:val="nil"/>
            </w:tcBorders>
            <w:shd w:val="clear" w:color="auto" w:fill="auto"/>
            <w:vAlign w:val="bottom"/>
            <w:hideMark/>
          </w:tcPr>
          <w:p w14:paraId="07C9628D" w14:textId="77777777" w:rsidR="002D718B" w:rsidRPr="009E7447" w:rsidRDefault="002D718B" w:rsidP="002D718B">
            <w:pPr>
              <w:spacing w:line="241" w:lineRule="auto"/>
              <w:rPr>
                <w:b/>
                <w:bCs/>
                <w:sz w:val="18"/>
                <w:szCs w:val="18"/>
                <w:rtl/>
              </w:rPr>
            </w:pPr>
            <w:r w:rsidRPr="009E7447">
              <w:rPr>
                <w:rFonts w:hint="cs"/>
                <w:b/>
                <w:bCs/>
                <w:sz w:val="18"/>
                <w:szCs w:val="18"/>
                <w:rtl/>
              </w:rPr>
              <w:t xml:space="preserve"> 0</w:t>
            </w:r>
          </w:p>
        </w:tc>
        <w:tc>
          <w:tcPr>
            <w:tcW w:w="1518" w:type="dxa"/>
            <w:tcBorders>
              <w:top w:val="single" w:sz="8" w:space="0" w:color="auto"/>
              <w:left w:val="nil"/>
              <w:bottom w:val="nil"/>
              <w:right w:val="nil"/>
            </w:tcBorders>
            <w:shd w:val="clear" w:color="auto" w:fill="auto"/>
            <w:vAlign w:val="bottom"/>
            <w:hideMark/>
          </w:tcPr>
          <w:p w14:paraId="53D66422" w14:textId="77777777" w:rsidR="002D718B" w:rsidRPr="009E7447" w:rsidRDefault="002D718B" w:rsidP="002D718B">
            <w:pPr>
              <w:spacing w:line="241" w:lineRule="auto"/>
              <w:rPr>
                <w:b/>
                <w:bCs/>
                <w:sz w:val="18"/>
                <w:szCs w:val="18"/>
                <w:rtl/>
              </w:rPr>
            </w:pPr>
            <w:r w:rsidRPr="009E7447">
              <w:rPr>
                <w:rFonts w:hint="cs"/>
                <w:b/>
                <w:bCs/>
                <w:sz w:val="18"/>
                <w:szCs w:val="18"/>
                <w:rtl/>
              </w:rPr>
              <w:t xml:space="preserve"> 0</w:t>
            </w:r>
          </w:p>
        </w:tc>
        <w:tc>
          <w:tcPr>
            <w:tcW w:w="854" w:type="dxa"/>
            <w:gridSpan w:val="2"/>
            <w:tcBorders>
              <w:top w:val="single" w:sz="8" w:space="0" w:color="auto"/>
              <w:left w:val="nil"/>
              <w:bottom w:val="nil"/>
              <w:right w:val="nil"/>
            </w:tcBorders>
            <w:shd w:val="clear" w:color="auto" w:fill="auto"/>
            <w:vAlign w:val="bottom"/>
            <w:hideMark/>
          </w:tcPr>
          <w:p w14:paraId="62CC4CEF" w14:textId="77777777" w:rsidR="002D718B" w:rsidRPr="009E7447" w:rsidRDefault="002D718B" w:rsidP="002D718B">
            <w:pPr>
              <w:spacing w:line="241" w:lineRule="auto"/>
              <w:rPr>
                <w:b/>
                <w:bCs/>
                <w:sz w:val="18"/>
                <w:szCs w:val="18"/>
                <w:rtl/>
              </w:rPr>
            </w:pPr>
            <w:r w:rsidRPr="009E7447">
              <w:rPr>
                <w:rFonts w:hint="cs"/>
                <w:b/>
                <w:bCs/>
                <w:sz w:val="18"/>
                <w:szCs w:val="18"/>
                <w:rtl/>
              </w:rPr>
              <w:t xml:space="preserve"> 0</w:t>
            </w:r>
          </w:p>
        </w:tc>
      </w:tr>
      <w:tr w:rsidR="002D718B" w:rsidRPr="009E7447" w14:paraId="321B75B8"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505A1081" w14:textId="77777777" w:rsidR="002D718B" w:rsidRPr="009E7447" w:rsidRDefault="002D718B" w:rsidP="002D718B">
            <w:pPr>
              <w:spacing w:line="200" w:lineRule="exact"/>
              <w:ind w:left="78" w:right="144" w:hanging="78"/>
              <w:jc w:val="left"/>
              <w:rPr>
                <w:color w:val="000000"/>
                <w:sz w:val="18"/>
                <w:szCs w:val="18"/>
                <w:rtl/>
                <w:lang w:eastAsia="he-IL"/>
              </w:rPr>
            </w:pPr>
            <w:r w:rsidRPr="009E7447">
              <w:rPr>
                <w:rFonts w:hint="cs"/>
                <w:color w:val="000000"/>
                <w:sz w:val="18"/>
                <w:szCs w:val="18"/>
                <w:rtl/>
                <w:lang w:eastAsia="he-IL"/>
              </w:rPr>
              <w:t>אשראי בדירוג ביצוע</w:t>
            </w:r>
          </w:p>
        </w:tc>
        <w:tc>
          <w:tcPr>
            <w:tcW w:w="851" w:type="dxa"/>
            <w:shd w:val="clear" w:color="auto" w:fill="auto"/>
            <w:vAlign w:val="bottom"/>
            <w:hideMark/>
          </w:tcPr>
          <w:p w14:paraId="2A3814CF" w14:textId="77777777" w:rsidR="002D718B" w:rsidRPr="009E7447" w:rsidRDefault="002D718B" w:rsidP="002D718B">
            <w:pPr>
              <w:spacing w:line="241" w:lineRule="auto"/>
              <w:rPr>
                <w:sz w:val="18"/>
                <w:szCs w:val="18"/>
              </w:rPr>
            </w:pPr>
            <w:r w:rsidRPr="009E7447">
              <w:rPr>
                <w:rFonts w:hint="cs"/>
                <w:sz w:val="18"/>
                <w:szCs w:val="18"/>
                <w:rtl/>
              </w:rPr>
              <w:t xml:space="preserve"> 0</w:t>
            </w:r>
          </w:p>
        </w:tc>
        <w:tc>
          <w:tcPr>
            <w:tcW w:w="850" w:type="dxa"/>
            <w:shd w:val="clear" w:color="auto" w:fill="auto"/>
            <w:vAlign w:val="bottom"/>
            <w:hideMark/>
          </w:tcPr>
          <w:p w14:paraId="44830AE9"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724671F2"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138E40EF"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535DD994"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shd w:val="clear" w:color="auto" w:fill="auto"/>
            <w:vAlign w:val="bottom"/>
            <w:hideMark/>
          </w:tcPr>
          <w:p w14:paraId="5270EAEA"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shd w:val="clear" w:color="auto" w:fill="auto"/>
            <w:vAlign w:val="bottom"/>
            <w:hideMark/>
          </w:tcPr>
          <w:p w14:paraId="50F0FF47"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shd w:val="clear" w:color="auto" w:fill="auto"/>
            <w:vAlign w:val="bottom"/>
            <w:hideMark/>
          </w:tcPr>
          <w:p w14:paraId="487E32B1"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shd w:val="clear" w:color="auto" w:fill="auto"/>
            <w:vAlign w:val="bottom"/>
            <w:hideMark/>
          </w:tcPr>
          <w:p w14:paraId="2C6B795B"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65D7EEC6"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627FEFA1" w14:textId="77777777" w:rsidR="002D718B" w:rsidRPr="009E7447" w:rsidRDefault="002D718B" w:rsidP="002D718B">
            <w:pPr>
              <w:spacing w:line="200" w:lineRule="exact"/>
              <w:ind w:right="144"/>
              <w:jc w:val="left"/>
              <w:rPr>
                <w:color w:val="000000"/>
                <w:sz w:val="18"/>
                <w:szCs w:val="18"/>
                <w:rtl/>
                <w:lang w:eastAsia="he-IL"/>
              </w:rPr>
            </w:pPr>
            <w:r w:rsidRPr="009E7447">
              <w:rPr>
                <w:rFonts w:hint="cs"/>
                <w:color w:val="000000"/>
                <w:sz w:val="18"/>
                <w:szCs w:val="18"/>
                <w:rtl/>
                <w:lang w:eastAsia="he-IL"/>
              </w:rPr>
              <w:t>אשראי שאינו בדירוג ביצוע ואינו בעייתי</w:t>
            </w:r>
          </w:p>
        </w:tc>
        <w:tc>
          <w:tcPr>
            <w:tcW w:w="851" w:type="dxa"/>
            <w:shd w:val="clear" w:color="auto" w:fill="auto"/>
            <w:vAlign w:val="bottom"/>
            <w:hideMark/>
          </w:tcPr>
          <w:p w14:paraId="6118E0E2"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0" w:type="dxa"/>
            <w:shd w:val="clear" w:color="auto" w:fill="auto"/>
            <w:vAlign w:val="bottom"/>
            <w:hideMark/>
          </w:tcPr>
          <w:p w14:paraId="12781F70"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255ABD4B"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251CA32A"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56AC4F95"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shd w:val="clear" w:color="auto" w:fill="auto"/>
            <w:vAlign w:val="bottom"/>
            <w:hideMark/>
          </w:tcPr>
          <w:p w14:paraId="2B75F25A"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shd w:val="clear" w:color="auto" w:fill="auto"/>
            <w:vAlign w:val="bottom"/>
            <w:hideMark/>
          </w:tcPr>
          <w:p w14:paraId="66DF3DC3"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shd w:val="clear" w:color="auto" w:fill="auto"/>
            <w:vAlign w:val="bottom"/>
            <w:hideMark/>
          </w:tcPr>
          <w:p w14:paraId="1D513E3B"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shd w:val="clear" w:color="auto" w:fill="auto"/>
            <w:vAlign w:val="bottom"/>
            <w:hideMark/>
          </w:tcPr>
          <w:p w14:paraId="50CD0F7C"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04E16A0B"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27EFFCE5" w14:textId="77777777" w:rsidR="002D718B" w:rsidRPr="009E7447" w:rsidRDefault="002D718B" w:rsidP="002D718B">
            <w:pPr>
              <w:spacing w:line="200" w:lineRule="exact"/>
              <w:ind w:left="78" w:hanging="78"/>
              <w:jc w:val="left"/>
              <w:rPr>
                <w:b/>
                <w:bCs/>
                <w:color w:val="000000"/>
                <w:sz w:val="18"/>
                <w:szCs w:val="18"/>
                <w:rtl/>
                <w:lang w:eastAsia="he-IL"/>
              </w:rPr>
            </w:pPr>
            <w:r w:rsidRPr="009E7447">
              <w:rPr>
                <w:rFonts w:hint="cs"/>
                <w:color w:val="000000"/>
                <w:sz w:val="18"/>
                <w:szCs w:val="18"/>
                <w:rtl/>
                <w:lang w:eastAsia="he-IL"/>
              </w:rPr>
              <w:t>אשראי בעייתי צובר</w:t>
            </w:r>
          </w:p>
        </w:tc>
        <w:tc>
          <w:tcPr>
            <w:tcW w:w="851" w:type="dxa"/>
            <w:shd w:val="clear" w:color="auto" w:fill="auto"/>
            <w:vAlign w:val="bottom"/>
            <w:hideMark/>
          </w:tcPr>
          <w:p w14:paraId="3CC5A44D"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0" w:type="dxa"/>
            <w:shd w:val="clear" w:color="auto" w:fill="auto"/>
            <w:vAlign w:val="bottom"/>
            <w:hideMark/>
          </w:tcPr>
          <w:p w14:paraId="053CDFEA"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0B66C17E"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0019BC12"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7650A1FA"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shd w:val="clear" w:color="auto" w:fill="auto"/>
            <w:vAlign w:val="bottom"/>
            <w:hideMark/>
          </w:tcPr>
          <w:p w14:paraId="0E62F0CE"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shd w:val="clear" w:color="auto" w:fill="auto"/>
            <w:vAlign w:val="bottom"/>
            <w:hideMark/>
          </w:tcPr>
          <w:p w14:paraId="04BCCF34"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shd w:val="clear" w:color="auto" w:fill="auto"/>
            <w:vAlign w:val="bottom"/>
            <w:hideMark/>
          </w:tcPr>
          <w:p w14:paraId="5A65B27D"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shd w:val="clear" w:color="auto" w:fill="auto"/>
            <w:vAlign w:val="bottom"/>
            <w:hideMark/>
          </w:tcPr>
          <w:p w14:paraId="0A7D52E2"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49A32A05"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tcPr>
          <w:p w14:paraId="365F5C3C" w14:textId="2A97C138" w:rsidR="002D718B" w:rsidRPr="009E7447" w:rsidRDefault="002D718B" w:rsidP="002D718B">
            <w:pPr>
              <w:spacing w:line="200" w:lineRule="exact"/>
              <w:ind w:left="78" w:hanging="78"/>
              <w:jc w:val="left"/>
              <w:rPr>
                <w:color w:val="000000"/>
                <w:sz w:val="18"/>
                <w:szCs w:val="18"/>
                <w:rtl/>
                <w:lang w:eastAsia="he-IL"/>
              </w:rPr>
            </w:pPr>
            <w:r w:rsidRPr="009E7447">
              <w:rPr>
                <w:rFonts w:hint="cs"/>
                <w:color w:val="000000"/>
                <w:sz w:val="18"/>
                <w:szCs w:val="18"/>
                <w:rtl/>
                <w:lang w:eastAsia="he-IL"/>
              </w:rPr>
              <w:t>אשראי שאינו צובר</w:t>
            </w:r>
          </w:p>
        </w:tc>
        <w:tc>
          <w:tcPr>
            <w:tcW w:w="851" w:type="dxa"/>
            <w:shd w:val="clear" w:color="auto" w:fill="auto"/>
            <w:vAlign w:val="bottom"/>
          </w:tcPr>
          <w:p w14:paraId="036236E7" w14:textId="188825A5" w:rsidR="002D718B" w:rsidRPr="009E7447" w:rsidRDefault="002D718B" w:rsidP="002D718B">
            <w:pPr>
              <w:spacing w:line="241" w:lineRule="auto"/>
              <w:rPr>
                <w:sz w:val="18"/>
                <w:szCs w:val="18"/>
                <w:rtl/>
              </w:rPr>
            </w:pPr>
            <w:r w:rsidRPr="009E7447">
              <w:rPr>
                <w:rFonts w:hint="cs"/>
                <w:sz w:val="18"/>
                <w:szCs w:val="18"/>
                <w:rtl/>
              </w:rPr>
              <w:t xml:space="preserve"> 0</w:t>
            </w:r>
          </w:p>
        </w:tc>
        <w:tc>
          <w:tcPr>
            <w:tcW w:w="850" w:type="dxa"/>
            <w:shd w:val="clear" w:color="auto" w:fill="auto"/>
            <w:vAlign w:val="bottom"/>
          </w:tcPr>
          <w:p w14:paraId="69E0EBDF" w14:textId="3A18EAEE"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tcPr>
          <w:p w14:paraId="74C5AD70" w14:textId="68F98AF1"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tcPr>
          <w:p w14:paraId="5E9BA350" w14:textId="485441A0"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tcPr>
          <w:p w14:paraId="13D51732" w14:textId="63667D8D"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shd w:val="clear" w:color="auto" w:fill="auto"/>
            <w:vAlign w:val="bottom"/>
          </w:tcPr>
          <w:p w14:paraId="70E7988D" w14:textId="6DEB6FAC"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shd w:val="clear" w:color="auto" w:fill="auto"/>
            <w:vAlign w:val="bottom"/>
          </w:tcPr>
          <w:p w14:paraId="7FD44CAF" w14:textId="7C28176F"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shd w:val="clear" w:color="auto" w:fill="auto"/>
            <w:vAlign w:val="bottom"/>
          </w:tcPr>
          <w:p w14:paraId="0E8ED255" w14:textId="29180A91"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shd w:val="clear" w:color="auto" w:fill="auto"/>
            <w:vAlign w:val="bottom"/>
          </w:tcPr>
          <w:p w14:paraId="1827CAFE" w14:textId="1A5A1F4A"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00125A21" w14:textId="77777777" w:rsidTr="00364C31">
        <w:tblPrEx>
          <w:tblLook w:val="01E0" w:firstRow="1" w:lastRow="1" w:firstColumn="1" w:lastColumn="1" w:noHBand="0" w:noVBand="0"/>
        </w:tblPrEx>
        <w:trPr>
          <w:gridAfter w:val="1"/>
          <w:wAfter w:w="16" w:type="dxa"/>
          <w:trHeight w:val="227"/>
        </w:trPr>
        <w:tc>
          <w:tcPr>
            <w:tcW w:w="2796" w:type="dxa"/>
            <w:gridSpan w:val="2"/>
            <w:tcBorders>
              <w:left w:val="single" w:sz="4" w:space="0" w:color="auto"/>
            </w:tcBorders>
            <w:shd w:val="clear" w:color="auto" w:fill="auto"/>
            <w:vAlign w:val="bottom"/>
          </w:tcPr>
          <w:p w14:paraId="56ADD57A" w14:textId="08A60454" w:rsidR="002D718B" w:rsidRPr="009E7447" w:rsidRDefault="003361A2" w:rsidP="003361A2">
            <w:pPr>
              <w:spacing w:line="200" w:lineRule="exact"/>
              <w:ind w:left="142" w:hanging="142"/>
              <w:jc w:val="left"/>
              <w:rPr>
                <w:b/>
                <w:bCs/>
                <w:color w:val="000000"/>
                <w:sz w:val="18"/>
                <w:szCs w:val="18"/>
                <w:rtl/>
                <w:lang w:eastAsia="he-IL"/>
              </w:rPr>
            </w:pPr>
            <w:r w:rsidRPr="002D718B">
              <w:rPr>
                <w:color w:val="000000"/>
                <w:sz w:val="18"/>
                <w:szCs w:val="18"/>
                <w:rtl/>
                <w:lang w:eastAsia="he-IL"/>
              </w:rPr>
              <w:t xml:space="preserve">מחיקות חשבונאיות במהלך </w:t>
            </w:r>
            <w:r>
              <w:rPr>
                <w:rFonts w:hint="cs"/>
                <w:color w:val="000000"/>
                <w:sz w:val="18"/>
                <w:szCs w:val="18"/>
                <w:rtl/>
                <w:lang w:eastAsia="he-IL"/>
              </w:rPr>
              <w:t>התקופה</w:t>
            </w:r>
          </w:p>
        </w:tc>
        <w:tc>
          <w:tcPr>
            <w:tcW w:w="851" w:type="dxa"/>
            <w:tcBorders>
              <w:top w:val="nil"/>
              <w:left w:val="nil"/>
              <w:bottom w:val="single" w:sz="8" w:space="0" w:color="auto"/>
              <w:right w:val="nil"/>
            </w:tcBorders>
            <w:shd w:val="clear" w:color="auto" w:fill="auto"/>
            <w:vAlign w:val="bottom"/>
            <w:hideMark/>
          </w:tcPr>
          <w:p w14:paraId="65E38CF9"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0" w:type="dxa"/>
            <w:tcBorders>
              <w:top w:val="nil"/>
              <w:left w:val="nil"/>
              <w:bottom w:val="single" w:sz="8" w:space="0" w:color="auto"/>
              <w:right w:val="nil"/>
            </w:tcBorders>
            <w:shd w:val="clear" w:color="auto" w:fill="auto"/>
            <w:vAlign w:val="bottom"/>
            <w:hideMark/>
          </w:tcPr>
          <w:p w14:paraId="65A41C9F"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nil"/>
              <w:left w:val="nil"/>
              <w:bottom w:val="single" w:sz="8" w:space="0" w:color="auto"/>
              <w:right w:val="nil"/>
            </w:tcBorders>
            <w:shd w:val="clear" w:color="auto" w:fill="auto"/>
            <w:vAlign w:val="bottom"/>
            <w:hideMark/>
          </w:tcPr>
          <w:p w14:paraId="63EAFCBE"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nil"/>
              <w:left w:val="nil"/>
              <w:bottom w:val="single" w:sz="8" w:space="0" w:color="auto"/>
              <w:right w:val="nil"/>
            </w:tcBorders>
            <w:shd w:val="clear" w:color="auto" w:fill="auto"/>
            <w:vAlign w:val="bottom"/>
            <w:hideMark/>
          </w:tcPr>
          <w:p w14:paraId="48EEDDF7"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nil"/>
              <w:left w:val="nil"/>
              <w:bottom w:val="single" w:sz="8" w:space="0" w:color="auto"/>
              <w:right w:val="nil"/>
            </w:tcBorders>
            <w:shd w:val="clear" w:color="auto" w:fill="auto"/>
            <w:vAlign w:val="bottom"/>
            <w:hideMark/>
          </w:tcPr>
          <w:p w14:paraId="0EC61783"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tcBorders>
              <w:top w:val="nil"/>
              <w:left w:val="nil"/>
              <w:bottom w:val="single" w:sz="8" w:space="0" w:color="auto"/>
              <w:right w:val="nil"/>
            </w:tcBorders>
            <w:shd w:val="clear" w:color="auto" w:fill="auto"/>
            <w:vAlign w:val="bottom"/>
            <w:hideMark/>
          </w:tcPr>
          <w:p w14:paraId="6080BAB4"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tcBorders>
              <w:top w:val="nil"/>
              <w:left w:val="nil"/>
              <w:bottom w:val="single" w:sz="8" w:space="0" w:color="auto"/>
              <w:right w:val="nil"/>
            </w:tcBorders>
            <w:shd w:val="clear" w:color="auto" w:fill="auto"/>
            <w:vAlign w:val="bottom"/>
            <w:hideMark/>
          </w:tcPr>
          <w:p w14:paraId="45877B7C"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tcBorders>
              <w:top w:val="nil"/>
              <w:left w:val="nil"/>
              <w:bottom w:val="single" w:sz="8" w:space="0" w:color="auto"/>
              <w:right w:val="nil"/>
            </w:tcBorders>
            <w:shd w:val="clear" w:color="auto" w:fill="auto"/>
            <w:vAlign w:val="bottom"/>
            <w:hideMark/>
          </w:tcPr>
          <w:p w14:paraId="799913B1"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tcBorders>
              <w:top w:val="nil"/>
              <w:left w:val="nil"/>
              <w:bottom w:val="single" w:sz="8" w:space="0" w:color="auto"/>
              <w:right w:val="nil"/>
            </w:tcBorders>
            <w:shd w:val="clear" w:color="auto" w:fill="auto"/>
            <w:vAlign w:val="bottom"/>
            <w:hideMark/>
          </w:tcPr>
          <w:p w14:paraId="009570BB"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191079F5"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5B184D33" w14:textId="77777777" w:rsidR="002D718B" w:rsidRPr="009E7447" w:rsidRDefault="002D718B" w:rsidP="002D718B">
            <w:pPr>
              <w:spacing w:line="200" w:lineRule="exact"/>
              <w:ind w:left="142" w:right="142" w:hanging="142"/>
              <w:jc w:val="left"/>
              <w:rPr>
                <w:b/>
                <w:bCs/>
                <w:color w:val="000000"/>
                <w:sz w:val="18"/>
                <w:szCs w:val="18"/>
                <w:rtl/>
                <w:lang w:eastAsia="he-IL"/>
              </w:rPr>
            </w:pPr>
            <w:r w:rsidRPr="009E7447">
              <w:rPr>
                <w:rFonts w:hint="cs"/>
                <w:b/>
                <w:bCs/>
                <w:color w:val="000000"/>
                <w:sz w:val="18"/>
                <w:szCs w:val="18"/>
                <w:rtl/>
                <w:lang w:eastAsia="he-IL"/>
              </w:rPr>
              <w:t>אנשים פרטיים – הלוואות לדיור – סה"כ</w:t>
            </w:r>
          </w:p>
        </w:tc>
        <w:tc>
          <w:tcPr>
            <w:tcW w:w="851" w:type="dxa"/>
            <w:tcBorders>
              <w:top w:val="single" w:sz="8" w:space="0" w:color="auto"/>
              <w:left w:val="nil"/>
              <w:bottom w:val="nil"/>
              <w:right w:val="nil"/>
            </w:tcBorders>
            <w:shd w:val="clear" w:color="auto" w:fill="auto"/>
            <w:vAlign w:val="bottom"/>
            <w:hideMark/>
          </w:tcPr>
          <w:p w14:paraId="4E567F1E" w14:textId="77777777" w:rsidR="002D718B" w:rsidRPr="009E7447" w:rsidRDefault="002D718B" w:rsidP="002D718B">
            <w:pPr>
              <w:spacing w:line="241" w:lineRule="auto"/>
              <w:rPr>
                <w:b/>
                <w:bCs/>
                <w:sz w:val="18"/>
                <w:szCs w:val="18"/>
                <w:rtl/>
              </w:rPr>
            </w:pPr>
            <w:r w:rsidRPr="009E7447">
              <w:rPr>
                <w:rFonts w:hint="cs"/>
                <w:b/>
                <w:bCs/>
                <w:sz w:val="18"/>
                <w:szCs w:val="18"/>
                <w:rtl/>
              </w:rPr>
              <w:t xml:space="preserve"> 0</w:t>
            </w:r>
          </w:p>
        </w:tc>
        <w:tc>
          <w:tcPr>
            <w:tcW w:w="850" w:type="dxa"/>
            <w:tcBorders>
              <w:top w:val="single" w:sz="8" w:space="0" w:color="auto"/>
              <w:left w:val="nil"/>
              <w:bottom w:val="nil"/>
              <w:right w:val="nil"/>
            </w:tcBorders>
            <w:shd w:val="clear" w:color="auto" w:fill="auto"/>
            <w:vAlign w:val="bottom"/>
            <w:hideMark/>
          </w:tcPr>
          <w:p w14:paraId="67579091" w14:textId="77777777" w:rsidR="002D718B" w:rsidRPr="009E7447" w:rsidRDefault="002D718B" w:rsidP="002D718B">
            <w:pPr>
              <w:spacing w:line="241" w:lineRule="auto"/>
              <w:rPr>
                <w:b/>
                <w:bCs/>
                <w:sz w:val="18"/>
                <w:szCs w:val="18"/>
                <w:rtl/>
              </w:rPr>
            </w:pPr>
            <w:r w:rsidRPr="009E7447">
              <w:rPr>
                <w:rFonts w:hint="cs"/>
                <w:b/>
                <w:bCs/>
                <w:sz w:val="18"/>
                <w:szCs w:val="18"/>
                <w:rtl/>
              </w:rPr>
              <w:t xml:space="preserve"> 0</w:t>
            </w:r>
          </w:p>
        </w:tc>
        <w:tc>
          <w:tcPr>
            <w:tcW w:w="709" w:type="dxa"/>
            <w:tcBorders>
              <w:top w:val="single" w:sz="8" w:space="0" w:color="auto"/>
              <w:left w:val="nil"/>
              <w:bottom w:val="nil"/>
              <w:right w:val="nil"/>
            </w:tcBorders>
            <w:shd w:val="clear" w:color="auto" w:fill="auto"/>
            <w:vAlign w:val="bottom"/>
            <w:hideMark/>
          </w:tcPr>
          <w:p w14:paraId="2551EF62" w14:textId="77777777" w:rsidR="002D718B" w:rsidRPr="009E7447" w:rsidRDefault="002D718B" w:rsidP="002D718B">
            <w:pPr>
              <w:spacing w:line="241" w:lineRule="auto"/>
              <w:rPr>
                <w:b/>
                <w:bCs/>
                <w:sz w:val="18"/>
                <w:szCs w:val="18"/>
                <w:rtl/>
              </w:rPr>
            </w:pPr>
            <w:r w:rsidRPr="009E7447">
              <w:rPr>
                <w:rFonts w:hint="cs"/>
                <w:b/>
                <w:bCs/>
                <w:sz w:val="18"/>
                <w:szCs w:val="18"/>
                <w:rtl/>
              </w:rPr>
              <w:t xml:space="preserve"> 0</w:t>
            </w:r>
          </w:p>
        </w:tc>
        <w:tc>
          <w:tcPr>
            <w:tcW w:w="709" w:type="dxa"/>
            <w:tcBorders>
              <w:top w:val="single" w:sz="8" w:space="0" w:color="auto"/>
              <w:left w:val="nil"/>
              <w:bottom w:val="nil"/>
              <w:right w:val="nil"/>
            </w:tcBorders>
            <w:shd w:val="clear" w:color="auto" w:fill="auto"/>
            <w:vAlign w:val="bottom"/>
            <w:hideMark/>
          </w:tcPr>
          <w:p w14:paraId="53593ADF" w14:textId="77777777" w:rsidR="002D718B" w:rsidRPr="009E7447" w:rsidRDefault="002D718B" w:rsidP="002D718B">
            <w:pPr>
              <w:spacing w:line="241" w:lineRule="auto"/>
              <w:rPr>
                <w:b/>
                <w:bCs/>
                <w:sz w:val="18"/>
                <w:szCs w:val="18"/>
                <w:rtl/>
              </w:rPr>
            </w:pPr>
            <w:r w:rsidRPr="009E7447">
              <w:rPr>
                <w:rFonts w:hint="cs"/>
                <w:b/>
                <w:bCs/>
                <w:sz w:val="18"/>
                <w:szCs w:val="18"/>
                <w:rtl/>
              </w:rPr>
              <w:t xml:space="preserve"> 0</w:t>
            </w:r>
          </w:p>
        </w:tc>
        <w:tc>
          <w:tcPr>
            <w:tcW w:w="709" w:type="dxa"/>
            <w:tcBorders>
              <w:top w:val="single" w:sz="8" w:space="0" w:color="auto"/>
              <w:left w:val="nil"/>
              <w:bottom w:val="nil"/>
              <w:right w:val="nil"/>
            </w:tcBorders>
            <w:shd w:val="clear" w:color="auto" w:fill="auto"/>
            <w:vAlign w:val="bottom"/>
            <w:hideMark/>
          </w:tcPr>
          <w:p w14:paraId="213466AA" w14:textId="77777777" w:rsidR="002D718B" w:rsidRPr="009E7447" w:rsidRDefault="002D718B" w:rsidP="002D718B">
            <w:pPr>
              <w:spacing w:line="241" w:lineRule="auto"/>
              <w:rPr>
                <w:b/>
                <w:bCs/>
                <w:sz w:val="18"/>
                <w:szCs w:val="18"/>
                <w:rtl/>
              </w:rPr>
            </w:pPr>
            <w:r w:rsidRPr="009E7447">
              <w:rPr>
                <w:rFonts w:hint="cs"/>
                <w:b/>
                <w:bCs/>
                <w:sz w:val="18"/>
                <w:szCs w:val="18"/>
                <w:rtl/>
              </w:rPr>
              <w:t xml:space="preserve"> 0</w:t>
            </w:r>
          </w:p>
        </w:tc>
        <w:tc>
          <w:tcPr>
            <w:tcW w:w="589" w:type="dxa"/>
            <w:tcBorders>
              <w:top w:val="single" w:sz="8" w:space="0" w:color="auto"/>
              <w:left w:val="nil"/>
              <w:bottom w:val="nil"/>
              <w:right w:val="nil"/>
            </w:tcBorders>
            <w:shd w:val="clear" w:color="auto" w:fill="auto"/>
            <w:vAlign w:val="bottom"/>
            <w:hideMark/>
          </w:tcPr>
          <w:p w14:paraId="72533F94" w14:textId="77777777" w:rsidR="002D718B" w:rsidRPr="009E7447" w:rsidRDefault="002D718B" w:rsidP="002D718B">
            <w:pPr>
              <w:spacing w:line="241" w:lineRule="auto"/>
              <w:rPr>
                <w:b/>
                <w:bCs/>
                <w:sz w:val="18"/>
                <w:szCs w:val="18"/>
                <w:rtl/>
              </w:rPr>
            </w:pPr>
            <w:r w:rsidRPr="009E7447">
              <w:rPr>
                <w:rFonts w:hint="cs"/>
                <w:b/>
                <w:bCs/>
                <w:sz w:val="18"/>
                <w:szCs w:val="18"/>
                <w:rtl/>
              </w:rPr>
              <w:t xml:space="preserve"> 0</w:t>
            </w:r>
          </w:p>
        </w:tc>
        <w:tc>
          <w:tcPr>
            <w:tcW w:w="998" w:type="dxa"/>
            <w:tcBorders>
              <w:top w:val="single" w:sz="8" w:space="0" w:color="auto"/>
              <w:left w:val="nil"/>
              <w:bottom w:val="nil"/>
              <w:right w:val="nil"/>
            </w:tcBorders>
            <w:shd w:val="clear" w:color="auto" w:fill="auto"/>
            <w:vAlign w:val="bottom"/>
            <w:hideMark/>
          </w:tcPr>
          <w:p w14:paraId="7EBAF6F7" w14:textId="77777777" w:rsidR="002D718B" w:rsidRPr="009E7447" w:rsidRDefault="002D718B" w:rsidP="002D718B">
            <w:pPr>
              <w:spacing w:line="241" w:lineRule="auto"/>
              <w:rPr>
                <w:b/>
                <w:bCs/>
                <w:sz w:val="18"/>
                <w:szCs w:val="18"/>
                <w:rtl/>
              </w:rPr>
            </w:pPr>
            <w:r w:rsidRPr="009E7447">
              <w:rPr>
                <w:rFonts w:hint="cs"/>
                <w:b/>
                <w:bCs/>
                <w:sz w:val="18"/>
                <w:szCs w:val="18"/>
                <w:rtl/>
              </w:rPr>
              <w:t xml:space="preserve"> 0</w:t>
            </w:r>
          </w:p>
        </w:tc>
        <w:tc>
          <w:tcPr>
            <w:tcW w:w="1518" w:type="dxa"/>
            <w:tcBorders>
              <w:top w:val="single" w:sz="8" w:space="0" w:color="auto"/>
              <w:left w:val="nil"/>
              <w:bottom w:val="nil"/>
              <w:right w:val="nil"/>
            </w:tcBorders>
            <w:shd w:val="clear" w:color="auto" w:fill="auto"/>
            <w:vAlign w:val="bottom"/>
            <w:hideMark/>
          </w:tcPr>
          <w:p w14:paraId="65A158A4" w14:textId="77777777" w:rsidR="002D718B" w:rsidRPr="009E7447" w:rsidRDefault="002D718B" w:rsidP="002D718B">
            <w:pPr>
              <w:spacing w:line="241" w:lineRule="auto"/>
              <w:rPr>
                <w:b/>
                <w:bCs/>
                <w:sz w:val="18"/>
                <w:szCs w:val="18"/>
                <w:rtl/>
              </w:rPr>
            </w:pPr>
            <w:r w:rsidRPr="009E7447">
              <w:rPr>
                <w:rFonts w:hint="cs"/>
                <w:b/>
                <w:bCs/>
                <w:sz w:val="18"/>
                <w:szCs w:val="18"/>
                <w:rtl/>
              </w:rPr>
              <w:t xml:space="preserve"> 0</w:t>
            </w:r>
          </w:p>
        </w:tc>
        <w:tc>
          <w:tcPr>
            <w:tcW w:w="854" w:type="dxa"/>
            <w:gridSpan w:val="2"/>
            <w:tcBorders>
              <w:top w:val="single" w:sz="8" w:space="0" w:color="auto"/>
              <w:left w:val="nil"/>
              <w:bottom w:val="nil"/>
              <w:right w:val="nil"/>
            </w:tcBorders>
            <w:shd w:val="clear" w:color="auto" w:fill="auto"/>
            <w:vAlign w:val="bottom"/>
            <w:hideMark/>
          </w:tcPr>
          <w:p w14:paraId="79D26F9B" w14:textId="77777777" w:rsidR="002D718B" w:rsidRPr="009E7447" w:rsidRDefault="002D718B" w:rsidP="002D718B">
            <w:pPr>
              <w:spacing w:line="241" w:lineRule="auto"/>
              <w:rPr>
                <w:b/>
                <w:bCs/>
                <w:sz w:val="18"/>
                <w:szCs w:val="18"/>
                <w:rtl/>
              </w:rPr>
            </w:pPr>
            <w:r w:rsidRPr="009E7447">
              <w:rPr>
                <w:rFonts w:hint="cs"/>
                <w:b/>
                <w:bCs/>
                <w:sz w:val="18"/>
                <w:szCs w:val="18"/>
                <w:rtl/>
              </w:rPr>
              <w:t xml:space="preserve"> 0</w:t>
            </w:r>
          </w:p>
        </w:tc>
      </w:tr>
      <w:tr w:rsidR="002D718B" w:rsidRPr="009E7447" w14:paraId="59CD678F"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28236E2B" w14:textId="77777777" w:rsidR="002D718B" w:rsidRPr="009E7447" w:rsidRDefault="002D718B" w:rsidP="002D718B">
            <w:pPr>
              <w:spacing w:line="241" w:lineRule="auto"/>
              <w:ind w:left="144" w:hanging="144"/>
              <w:jc w:val="left"/>
              <w:rPr>
                <w:color w:val="000000"/>
                <w:sz w:val="18"/>
                <w:szCs w:val="18"/>
                <w:rtl/>
                <w:lang w:eastAsia="he-IL"/>
              </w:rPr>
            </w:pPr>
            <w:r w:rsidRPr="009E7447">
              <w:rPr>
                <w:color w:val="000000"/>
                <w:sz w:val="18"/>
                <w:szCs w:val="18"/>
                <w:lang w:eastAsia="he-IL"/>
              </w:rPr>
              <w:t>LTV</w:t>
            </w:r>
            <w:r w:rsidRPr="009E7447">
              <w:rPr>
                <w:rFonts w:hint="cs"/>
                <w:color w:val="000000"/>
                <w:sz w:val="18"/>
                <w:szCs w:val="18"/>
                <w:rtl/>
                <w:lang w:eastAsia="he-IL"/>
              </w:rPr>
              <w:t xml:space="preserve"> עד 60%</w:t>
            </w:r>
          </w:p>
        </w:tc>
        <w:tc>
          <w:tcPr>
            <w:tcW w:w="851" w:type="dxa"/>
            <w:shd w:val="clear" w:color="auto" w:fill="auto"/>
            <w:vAlign w:val="bottom"/>
            <w:hideMark/>
          </w:tcPr>
          <w:p w14:paraId="72462A01"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0" w:type="dxa"/>
            <w:shd w:val="clear" w:color="auto" w:fill="auto"/>
            <w:vAlign w:val="bottom"/>
            <w:hideMark/>
          </w:tcPr>
          <w:p w14:paraId="08C66606"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3E4498D2"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68A7834F"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7D65516D"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shd w:val="clear" w:color="auto" w:fill="auto"/>
            <w:vAlign w:val="bottom"/>
            <w:hideMark/>
          </w:tcPr>
          <w:p w14:paraId="32F1B9BC"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shd w:val="clear" w:color="auto" w:fill="auto"/>
            <w:vAlign w:val="bottom"/>
            <w:hideMark/>
          </w:tcPr>
          <w:p w14:paraId="7E6F33F0"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shd w:val="clear" w:color="auto" w:fill="auto"/>
            <w:vAlign w:val="bottom"/>
            <w:hideMark/>
          </w:tcPr>
          <w:p w14:paraId="0B288BCE"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shd w:val="clear" w:color="auto" w:fill="auto"/>
            <w:vAlign w:val="bottom"/>
            <w:hideMark/>
          </w:tcPr>
          <w:p w14:paraId="2D881D00"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7CE43831"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380ABBA1" w14:textId="77777777" w:rsidR="002D718B" w:rsidRPr="009E7447" w:rsidRDefault="002D718B" w:rsidP="002D718B">
            <w:pPr>
              <w:spacing w:line="241" w:lineRule="auto"/>
              <w:ind w:left="144" w:hanging="144"/>
              <w:jc w:val="left"/>
              <w:rPr>
                <w:color w:val="000000"/>
                <w:sz w:val="18"/>
                <w:szCs w:val="18"/>
                <w:rtl/>
                <w:lang w:eastAsia="he-IL"/>
              </w:rPr>
            </w:pPr>
            <w:r w:rsidRPr="009E7447">
              <w:rPr>
                <w:color w:val="000000"/>
                <w:sz w:val="18"/>
                <w:szCs w:val="18"/>
                <w:lang w:eastAsia="he-IL"/>
              </w:rPr>
              <w:t>LTV</w:t>
            </w:r>
            <w:r w:rsidRPr="009E7447">
              <w:rPr>
                <w:color w:val="000000"/>
                <w:sz w:val="18"/>
                <w:szCs w:val="18"/>
                <w:rtl/>
                <w:lang w:eastAsia="he-IL"/>
              </w:rPr>
              <w:t xml:space="preserve"> </w:t>
            </w:r>
            <w:r w:rsidRPr="009E7447">
              <w:rPr>
                <w:rFonts w:hint="cs"/>
                <w:color w:val="000000"/>
                <w:sz w:val="18"/>
                <w:szCs w:val="18"/>
                <w:rtl/>
                <w:lang w:eastAsia="he-IL"/>
              </w:rPr>
              <w:t>מעל 60% ועד 75%</w:t>
            </w:r>
          </w:p>
        </w:tc>
        <w:tc>
          <w:tcPr>
            <w:tcW w:w="851" w:type="dxa"/>
            <w:shd w:val="clear" w:color="auto" w:fill="auto"/>
            <w:vAlign w:val="bottom"/>
            <w:hideMark/>
          </w:tcPr>
          <w:p w14:paraId="0ECCF1CC" w14:textId="77777777" w:rsidR="002D718B" w:rsidRPr="009E7447" w:rsidRDefault="002D718B" w:rsidP="002D718B">
            <w:pPr>
              <w:spacing w:line="241" w:lineRule="auto"/>
              <w:rPr>
                <w:sz w:val="18"/>
                <w:szCs w:val="18"/>
              </w:rPr>
            </w:pPr>
            <w:r w:rsidRPr="009E7447">
              <w:rPr>
                <w:rFonts w:hint="cs"/>
                <w:sz w:val="18"/>
                <w:szCs w:val="18"/>
                <w:rtl/>
              </w:rPr>
              <w:t xml:space="preserve"> 0</w:t>
            </w:r>
          </w:p>
        </w:tc>
        <w:tc>
          <w:tcPr>
            <w:tcW w:w="850" w:type="dxa"/>
            <w:shd w:val="clear" w:color="auto" w:fill="auto"/>
            <w:vAlign w:val="bottom"/>
            <w:hideMark/>
          </w:tcPr>
          <w:p w14:paraId="6764DE92"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23BB8179"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6B62D127"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48FEA8F9"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shd w:val="clear" w:color="auto" w:fill="auto"/>
            <w:vAlign w:val="bottom"/>
            <w:hideMark/>
          </w:tcPr>
          <w:p w14:paraId="6CA53032"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shd w:val="clear" w:color="auto" w:fill="auto"/>
            <w:vAlign w:val="bottom"/>
            <w:hideMark/>
          </w:tcPr>
          <w:p w14:paraId="1836E2E8"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shd w:val="clear" w:color="auto" w:fill="auto"/>
            <w:vAlign w:val="bottom"/>
            <w:hideMark/>
          </w:tcPr>
          <w:p w14:paraId="0CAB91C3"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shd w:val="clear" w:color="auto" w:fill="auto"/>
            <w:vAlign w:val="bottom"/>
            <w:hideMark/>
          </w:tcPr>
          <w:p w14:paraId="2D039126"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044B1E3D" w14:textId="77777777" w:rsidTr="00364C31">
        <w:tblPrEx>
          <w:tblLook w:val="01E0" w:firstRow="1" w:lastRow="1" w:firstColumn="1" w:lastColumn="1" w:noHBand="0" w:noVBand="0"/>
        </w:tblPrEx>
        <w:trPr>
          <w:gridAfter w:val="1"/>
          <w:wAfter w:w="16" w:type="dxa"/>
          <w:trHeight w:val="259"/>
        </w:trPr>
        <w:tc>
          <w:tcPr>
            <w:tcW w:w="2796" w:type="dxa"/>
            <w:gridSpan w:val="2"/>
            <w:shd w:val="clear" w:color="auto" w:fill="auto"/>
            <w:vAlign w:val="bottom"/>
            <w:hideMark/>
          </w:tcPr>
          <w:p w14:paraId="5A4CA463" w14:textId="77777777" w:rsidR="002D718B" w:rsidRPr="009E7447" w:rsidRDefault="002D718B" w:rsidP="002D718B">
            <w:pPr>
              <w:spacing w:line="256" w:lineRule="auto"/>
              <w:jc w:val="left"/>
              <w:rPr>
                <w:b/>
                <w:bCs/>
                <w:color w:val="000000"/>
                <w:sz w:val="18"/>
                <w:szCs w:val="18"/>
                <w:rtl/>
                <w:lang w:eastAsia="he-IL"/>
              </w:rPr>
            </w:pPr>
            <w:r w:rsidRPr="009E7447">
              <w:rPr>
                <w:color w:val="000000"/>
                <w:sz w:val="18"/>
                <w:szCs w:val="18"/>
                <w:lang w:eastAsia="he-IL"/>
              </w:rPr>
              <w:t>LTV</w:t>
            </w:r>
            <w:r w:rsidRPr="009E7447">
              <w:rPr>
                <w:color w:val="000000"/>
                <w:sz w:val="18"/>
                <w:szCs w:val="18"/>
                <w:rtl/>
                <w:lang w:eastAsia="he-IL"/>
              </w:rPr>
              <w:t xml:space="preserve"> </w:t>
            </w:r>
            <w:r w:rsidRPr="009E7447">
              <w:rPr>
                <w:rFonts w:hint="cs"/>
                <w:color w:val="000000"/>
                <w:sz w:val="18"/>
                <w:szCs w:val="18"/>
                <w:rtl/>
                <w:lang w:eastAsia="he-IL"/>
              </w:rPr>
              <w:t>מעל 75%</w:t>
            </w:r>
          </w:p>
        </w:tc>
        <w:tc>
          <w:tcPr>
            <w:tcW w:w="851" w:type="dxa"/>
            <w:tcBorders>
              <w:top w:val="nil"/>
              <w:left w:val="nil"/>
              <w:bottom w:val="single" w:sz="4" w:space="0" w:color="auto"/>
              <w:right w:val="nil"/>
            </w:tcBorders>
            <w:shd w:val="clear" w:color="auto" w:fill="auto"/>
            <w:vAlign w:val="bottom"/>
            <w:hideMark/>
          </w:tcPr>
          <w:p w14:paraId="494B5C15"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0" w:type="dxa"/>
            <w:tcBorders>
              <w:top w:val="nil"/>
              <w:left w:val="nil"/>
              <w:bottom w:val="single" w:sz="4" w:space="0" w:color="auto"/>
              <w:right w:val="nil"/>
            </w:tcBorders>
            <w:shd w:val="clear" w:color="auto" w:fill="auto"/>
            <w:vAlign w:val="bottom"/>
            <w:hideMark/>
          </w:tcPr>
          <w:p w14:paraId="6B185D9B"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nil"/>
              <w:left w:val="nil"/>
              <w:bottom w:val="single" w:sz="4" w:space="0" w:color="auto"/>
              <w:right w:val="nil"/>
            </w:tcBorders>
            <w:shd w:val="clear" w:color="auto" w:fill="auto"/>
            <w:vAlign w:val="bottom"/>
            <w:hideMark/>
          </w:tcPr>
          <w:p w14:paraId="20CBE431"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nil"/>
              <w:left w:val="nil"/>
              <w:bottom w:val="single" w:sz="4" w:space="0" w:color="auto"/>
              <w:right w:val="nil"/>
            </w:tcBorders>
            <w:shd w:val="clear" w:color="auto" w:fill="auto"/>
            <w:vAlign w:val="bottom"/>
            <w:hideMark/>
          </w:tcPr>
          <w:p w14:paraId="48FE0065"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nil"/>
              <w:left w:val="nil"/>
              <w:bottom w:val="single" w:sz="4" w:space="0" w:color="auto"/>
              <w:right w:val="nil"/>
            </w:tcBorders>
            <w:shd w:val="clear" w:color="auto" w:fill="auto"/>
            <w:vAlign w:val="bottom"/>
            <w:hideMark/>
          </w:tcPr>
          <w:p w14:paraId="5361FF4D"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tcBorders>
              <w:top w:val="nil"/>
              <w:left w:val="nil"/>
              <w:bottom w:val="single" w:sz="4" w:space="0" w:color="auto"/>
              <w:right w:val="nil"/>
            </w:tcBorders>
            <w:shd w:val="clear" w:color="auto" w:fill="auto"/>
            <w:vAlign w:val="bottom"/>
            <w:hideMark/>
          </w:tcPr>
          <w:p w14:paraId="718C1A4A"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tcBorders>
              <w:top w:val="nil"/>
              <w:left w:val="nil"/>
              <w:bottom w:val="single" w:sz="4" w:space="0" w:color="auto"/>
              <w:right w:val="nil"/>
            </w:tcBorders>
            <w:shd w:val="clear" w:color="auto" w:fill="auto"/>
            <w:vAlign w:val="bottom"/>
            <w:hideMark/>
          </w:tcPr>
          <w:p w14:paraId="26D9899D"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tcBorders>
              <w:top w:val="nil"/>
              <w:left w:val="nil"/>
              <w:bottom w:val="single" w:sz="4" w:space="0" w:color="auto"/>
              <w:right w:val="nil"/>
            </w:tcBorders>
            <w:shd w:val="clear" w:color="auto" w:fill="auto"/>
            <w:vAlign w:val="bottom"/>
            <w:hideMark/>
          </w:tcPr>
          <w:p w14:paraId="028101EA"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tcBorders>
              <w:top w:val="nil"/>
              <w:left w:val="nil"/>
              <w:bottom w:val="single" w:sz="4" w:space="0" w:color="auto"/>
              <w:right w:val="nil"/>
            </w:tcBorders>
            <w:shd w:val="clear" w:color="auto" w:fill="auto"/>
            <w:vAlign w:val="bottom"/>
            <w:hideMark/>
          </w:tcPr>
          <w:p w14:paraId="2A331220"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0B69F135"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50D3AEA6" w14:textId="77777777" w:rsidR="002D718B" w:rsidRPr="009E7447" w:rsidRDefault="002D718B" w:rsidP="002D718B">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בפיגור ובדירוג ביצוע</w:t>
            </w:r>
          </w:p>
        </w:tc>
        <w:tc>
          <w:tcPr>
            <w:tcW w:w="851" w:type="dxa"/>
            <w:tcBorders>
              <w:top w:val="single" w:sz="4" w:space="0" w:color="auto"/>
              <w:left w:val="nil"/>
              <w:bottom w:val="nil"/>
              <w:right w:val="nil"/>
            </w:tcBorders>
            <w:shd w:val="clear" w:color="auto" w:fill="auto"/>
            <w:vAlign w:val="bottom"/>
            <w:hideMark/>
          </w:tcPr>
          <w:p w14:paraId="63E001C0" w14:textId="77777777" w:rsidR="002D718B" w:rsidRPr="009E7447" w:rsidRDefault="002D718B" w:rsidP="002D718B">
            <w:pPr>
              <w:spacing w:line="241" w:lineRule="auto"/>
              <w:rPr>
                <w:sz w:val="18"/>
                <w:szCs w:val="18"/>
              </w:rPr>
            </w:pPr>
            <w:r w:rsidRPr="009E7447">
              <w:rPr>
                <w:rFonts w:hint="cs"/>
                <w:sz w:val="18"/>
                <w:szCs w:val="18"/>
                <w:rtl/>
              </w:rPr>
              <w:t xml:space="preserve"> 0</w:t>
            </w:r>
          </w:p>
        </w:tc>
        <w:tc>
          <w:tcPr>
            <w:tcW w:w="850" w:type="dxa"/>
            <w:tcBorders>
              <w:top w:val="single" w:sz="4" w:space="0" w:color="auto"/>
              <w:left w:val="nil"/>
              <w:bottom w:val="nil"/>
              <w:right w:val="nil"/>
            </w:tcBorders>
            <w:shd w:val="clear" w:color="auto" w:fill="auto"/>
            <w:vAlign w:val="bottom"/>
            <w:hideMark/>
          </w:tcPr>
          <w:p w14:paraId="23B00EB9"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single" w:sz="4" w:space="0" w:color="auto"/>
              <w:left w:val="nil"/>
              <w:bottom w:val="nil"/>
              <w:right w:val="nil"/>
            </w:tcBorders>
            <w:shd w:val="clear" w:color="auto" w:fill="auto"/>
            <w:vAlign w:val="bottom"/>
            <w:hideMark/>
          </w:tcPr>
          <w:p w14:paraId="34319F3B"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single" w:sz="4" w:space="0" w:color="auto"/>
              <w:left w:val="nil"/>
              <w:bottom w:val="nil"/>
              <w:right w:val="nil"/>
            </w:tcBorders>
            <w:shd w:val="clear" w:color="auto" w:fill="auto"/>
            <w:vAlign w:val="bottom"/>
            <w:hideMark/>
          </w:tcPr>
          <w:p w14:paraId="6EB673F8"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single" w:sz="4" w:space="0" w:color="auto"/>
              <w:left w:val="nil"/>
              <w:bottom w:val="nil"/>
              <w:right w:val="nil"/>
            </w:tcBorders>
            <w:shd w:val="clear" w:color="auto" w:fill="auto"/>
            <w:vAlign w:val="bottom"/>
            <w:hideMark/>
          </w:tcPr>
          <w:p w14:paraId="688BF39E"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tcBorders>
              <w:top w:val="single" w:sz="4" w:space="0" w:color="auto"/>
              <w:left w:val="nil"/>
              <w:bottom w:val="nil"/>
              <w:right w:val="nil"/>
            </w:tcBorders>
            <w:shd w:val="clear" w:color="auto" w:fill="auto"/>
            <w:vAlign w:val="bottom"/>
            <w:hideMark/>
          </w:tcPr>
          <w:p w14:paraId="5C0DDE6C"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tcBorders>
              <w:top w:val="single" w:sz="4" w:space="0" w:color="auto"/>
              <w:left w:val="nil"/>
              <w:bottom w:val="nil"/>
              <w:right w:val="nil"/>
            </w:tcBorders>
            <w:shd w:val="clear" w:color="auto" w:fill="auto"/>
            <w:vAlign w:val="bottom"/>
            <w:hideMark/>
          </w:tcPr>
          <w:p w14:paraId="1B1AAFE6"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tcBorders>
              <w:top w:val="single" w:sz="4" w:space="0" w:color="auto"/>
              <w:left w:val="nil"/>
              <w:bottom w:val="nil"/>
              <w:right w:val="nil"/>
            </w:tcBorders>
            <w:shd w:val="clear" w:color="auto" w:fill="auto"/>
            <w:vAlign w:val="bottom"/>
            <w:hideMark/>
          </w:tcPr>
          <w:p w14:paraId="69DADC26"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tcBorders>
              <w:top w:val="single" w:sz="4" w:space="0" w:color="auto"/>
              <w:left w:val="nil"/>
              <w:bottom w:val="nil"/>
              <w:right w:val="nil"/>
            </w:tcBorders>
            <w:shd w:val="clear" w:color="auto" w:fill="auto"/>
            <w:vAlign w:val="bottom"/>
            <w:hideMark/>
          </w:tcPr>
          <w:p w14:paraId="0C3C9698"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5859AA12"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7A572344" w14:textId="77777777" w:rsidR="002D718B" w:rsidRPr="009E7447" w:rsidRDefault="002D718B" w:rsidP="002D718B">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בפיגור ואינו בדירוג ביצוע</w:t>
            </w:r>
          </w:p>
        </w:tc>
        <w:tc>
          <w:tcPr>
            <w:tcW w:w="851" w:type="dxa"/>
            <w:shd w:val="clear" w:color="auto" w:fill="auto"/>
            <w:vAlign w:val="bottom"/>
            <w:hideMark/>
          </w:tcPr>
          <w:p w14:paraId="7BF0DD90"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0" w:type="dxa"/>
            <w:shd w:val="clear" w:color="auto" w:fill="auto"/>
            <w:vAlign w:val="bottom"/>
            <w:hideMark/>
          </w:tcPr>
          <w:p w14:paraId="6270D2E0"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1D56B511"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226D10EA"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4D2E9C47"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shd w:val="clear" w:color="auto" w:fill="auto"/>
            <w:vAlign w:val="bottom"/>
            <w:hideMark/>
          </w:tcPr>
          <w:p w14:paraId="102E1D46"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shd w:val="clear" w:color="auto" w:fill="auto"/>
            <w:vAlign w:val="bottom"/>
            <w:hideMark/>
          </w:tcPr>
          <w:p w14:paraId="5425B2DC"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shd w:val="clear" w:color="auto" w:fill="auto"/>
            <w:vAlign w:val="bottom"/>
            <w:hideMark/>
          </w:tcPr>
          <w:p w14:paraId="454B971C"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shd w:val="clear" w:color="auto" w:fill="auto"/>
            <w:vAlign w:val="bottom"/>
            <w:hideMark/>
          </w:tcPr>
          <w:p w14:paraId="7FF0EA4E"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44F61B8E"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02DE5893" w14:textId="77777777" w:rsidR="002D718B" w:rsidRPr="009E7447" w:rsidRDefault="002D718B" w:rsidP="002D718B">
            <w:pPr>
              <w:spacing w:line="241" w:lineRule="auto"/>
              <w:ind w:left="144" w:hanging="144"/>
              <w:jc w:val="left"/>
              <w:rPr>
                <w:color w:val="000000"/>
                <w:sz w:val="18"/>
                <w:szCs w:val="18"/>
                <w:rtl/>
                <w:lang w:eastAsia="he-IL"/>
              </w:rPr>
            </w:pPr>
            <w:r w:rsidRPr="009E7447">
              <w:rPr>
                <w:rFonts w:hint="cs"/>
                <w:color w:val="000000"/>
                <w:sz w:val="18"/>
                <w:szCs w:val="18"/>
                <w:rtl/>
                <w:lang w:eastAsia="he-IL"/>
              </w:rPr>
              <w:t>בפיגור 30-89 יום</w:t>
            </w:r>
          </w:p>
        </w:tc>
        <w:tc>
          <w:tcPr>
            <w:tcW w:w="851" w:type="dxa"/>
            <w:shd w:val="clear" w:color="auto" w:fill="auto"/>
            <w:vAlign w:val="bottom"/>
            <w:hideMark/>
          </w:tcPr>
          <w:p w14:paraId="26F89F53"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0" w:type="dxa"/>
            <w:shd w:val="clear" w:color="auto" w:fill="auto"/>
            <w:vAlign w:val="bottom"/>
            <w:hideMark/>
          </w:tcPr>
          <w:p w14:paraId="2B04F52B"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783E3E12"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06E03560"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hideMark/>
          </w:tcPr>
          <w:p w14:paraId="626C48AA"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shd w:val="clear" w:color="auto" w:fill="auto"/>
            <w:vAlign w:val="bottom"/>
            <w:hideMark/>
          </w:tcPr>
          <w:p w14:paraId="6F2C82B6"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shd w:val="clear" w:color="auto" w:fill="auto"/>
            <w:vAlign w:val="bottom"/>
            <w:hideMark/>
          </w:tcPr>
          <w:p w14:paraId="199F81F8"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shd w:val="clear" w:color="auto" w:fill="auto"/>
            <w:vAlign w:val="bottom"/>
            <w:hideMark/>
          </w:tcPr>
          <w:p w14:paraId="1749D8B2"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shd w:val="clear" w:color="auto" w:fill="auto"/>
            <w:vAlign w:val="bottom"/>
            <w:hideMark/>
          </w:tcPr>
          <w:p w14:paraId="070AD0BA"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62005A9D"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308BE1F7" w14:textId="77777777" w:rsidR="002D718B" w:rsidRPr="009E7447" w:rsidRDefault="002D718B" w:rsidP="002D718B">
            <w:pPr>
              <w:spacing w:line="241" w:lineRule="auto"/>
              <w:ind w:left="144" w:hanging="144"/>
              <w:jc w:val="left"/>
              <w:rPr>
                <w:color w:val="000000"/>
                <w:sz w:val="18"/>
                <w:szCs w:val="18"/>
                <w:rtl/>
                <w:lang w:eastAsia="he-IL"/>
              </w:rPr>
            </w:pPr>
            <w:r w:rsidRPr="009E7447">
              <w:rPr>
                <w:rFonts w:hint="cs"/>
                <w:color w:val="000000"/>
                <w:sz w:val="18"/>
                <w:szCs w:val="18"/>
                <w:rtl/>
                <w:lang w:eastAsia="he-IL"/>
              </w:rPr>
              <w:t>בפיגור מעל 90 יום</w:t>
            </w:r>
          </w:p>
        </w:tc>
        <w:tc>
          <w:tcPr>
            <w:tcW w:w="851" w:type="dxa"/>
            <w:tcBorders>
              <w:top w:val="nil"/>
              <w:left w:val="nil"/>
              <w:bottom w:val="single" w:sz="4" w:space="0" w:color="auto"/>
              <w:right w:val="nil"/>
            </w:tcBorders>
            <w:shd w:val="clear" w:color="auto" w:fill="auto"/>
            <w:vAlign w:val="bottom"/>
            <w:hideMark/>
          </w:tcPr>
          <w:p w14:paraId="0168903C" w14:textId="77777777" w:rsidR="002D718B" w:rsidRPr="009E7447" w:rsidRDefault="002D718B" w:rsidP="002D718B">
            <w:pPr>
              <w:spacing w:line="241" w:lineRule="auto"/>
              <w:rPr>
                <w:sz w:val="18"/>
                <w:szCs w:val="18"/>
              </w:rPr>
            </w:pPr>
            <w:r w:rsidRPr="009E7447">
              <w:rPr>
                <w:rFonts w:hint="cs"/>
                <w:sz w:val="18"/>
                <w:szCs w:val="18"/>
                <w:rtl/>
              </w:rPr>
              <w:t xml:space="preserve"> 0</w:t>
            </w:r>
          </w:p>
        </w:tc>
        <w:tc>
          <w:tcPr>
            <w:tcW w:w="850" w:type="dxa"/>
            <w:tcBorders>
              <w:top w:val="nil"/>
              <w:left w:val="nil"/>
              <w:bottom w:val="single" w:sz="4" w:space="0" w:color="auto"/>
              <w:right w:val="nil"/>
            </w:tcBorders>
            <w:shd w:val="clear" w:color="auto" w:fill="auto"/>
            <w:vAlign w:val="bottom"/>
            <w:hideMark/>
          </w:tcPr>
          <w:p w14:paraId="2371F68F"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nil"/>
              <w:left w:val="nil"/>
              <w:bottom w:val="single" w:sz="4" w:space="0" w:color="auto"/>
              <w:right w:val="nil"/>
            </w:tcBorders>
            <w:shd w:val="clear" w:color="auto" w:fill="auto"/>
            <w:vAlign w:val="bottom"/>
            <w:hideMark/>
          </w:tcPr>
          <w:p w14:paraId="660C9E98"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nil"/>
              <w:left w:val="nil"/>
              <w:bottom w:val="single" w:sz="4" w:space="0" w:color="auto"/>
              <w:right w:val="nil"/>
            </w:tcBorders>
            <w:shd w:val="clear" w:color="auto" w:fill="auto"/>
            <w:vAlign w:val="bottom"/>
            <w:hideMark/>
          </w:tcPr>
          <w:p w14:paraId="0D2D1FFA"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nil"/>
              <w:left w:val="nil"/>
              <w:bottom w:val="single" w:sz="4" w:space="0" w:color="auto"/>
              <w:right w:val="nil"/>
            </w:tcBorders>
            <w:shd w:val="clear" w:color="auto" w:fill="auto"/>
            <w:vAlign w:val="bottom"/>
            <w:hideMark/>
          </w:tcPr>
          <w:p w14:paraId="17306116"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tcBorders>
              <w:top w:val="nil"/>
              <w:left w:val="nil"/>
              <w:bottom w:val="single" w:sz="4" w:space="0" w:color="auto"/>
              <w:right w:val="nil"/>
            </w:tcBorders>
            <w:shd w:val="clear" w:color="auto" w:fill="auto"/>
            <w:vAlign w:val="bottom"/>
            <w:hideMark/>
          </w:tcPr>
          <w:p w14:paraId="3609435D"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tcBorders>
              <w:top w:val="nil"/>
              <w:left w:val="nil"/>
              <w:bottom w:val="single" w:sz="4" w:space="0" w:color="auto"/>
              <w:right w:val="nil"/>
            </w:tcBorders>
            <w:shd w:val="clear" w:color="auto" w:fill="auto"/>
            <w:vAlign w:val="bottom"/>
            <w:hideMark/>
          </w:tcPr>
          <w:p w14:paraId="1C6A0D5F"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tcBorders>
              <w:top w:val="nil"/>
              <w:left w:val="nil"/>
              <w:bottom w:val="single" w:sz="4" w:space="0" w:color="auto"/>
              <w:right w:val="nil"/>
            </w:tcBorders>
            <w:shd w:val="clear" w:color="auto" w:fill="auto"/>
            <w:vAlign w:val="bottom"/>
            <w:hideMark/>
          </w:tcPr>
          <w:p w14:paraId="2B8FAD09"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tcBorders>
              <w:top w:val="nil"/>
              <w:left w:val="nil"/>
              <w:bottom w:val="single" w:sz="4" w:space="0" w:color="auto"/>
              <w:right w:val="nil"/>
            </w:tcBorders>
            <w:shd w:val="clear" w:color="auto" w:fill="auto"/>
            <w:vAlign w:val="bottom"/>
            <w:hideMark/>
          </w:tcPr>
          <w:p w14:paraId="41EDFC99"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36D67301"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tcPr>
          <w:p w14:paraId="19471A9D" w14:textId="5D18B486" w:rsidR="002D718B" w:rsidRPr="009E7447" w:rsidRDefault="002D718B" w:rsidP="002D718B">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צובר</w:t>
            </w:r>
          </w:p>
        </w:tc>
        <w:tc>
          <w:tcPr>
            <w:tcW w:w="851" w:type="dxa"/>
            <w:tcBorders>
              <w:top w:val="single" w:sz="4" w:space="0" w:color="auto"/>
              <w:left w:val="nil"/>
              <w:bottom w:val="single" w:sz="4" w:space="0" w:color="auto"/>
              <w:right w:val="nil"/>
            </w:tcBorders>
            <w:shd w:val="clear" w:color="auto" w:fill="auto"/>
            <w:vAlign w:val="bottom"/>
          </w:tcPr>
          <w:p w14:paraId="57D4C9E2" w14:textId="2F16BE93" w:rsidR="002D718B" w:rsidRPr="009E7447" w:rsidRDefault="002D718B" w:rsidP="002D718B">
            <w:pPr>
              <w:spacing w:line="241" w:lineRule="auto"/>
              <w:rPr>
                <w:sz w:val="18"/>
                <w:szCs w:val="18"/>
                <w:rtl/>
              </w:rPr>
            </w:pPr>
            <w:r w:rsidRPr="009E7447">
              <w:rPr>
                <w:rFonts w:hint="cs"/>
                <w:sz w:val="18"/>
                <w:szCs w:val="18"/>
                <w:rtl/>
              </w:rPr>
              <w:t xml:space="preserve"> 0</w:t>
            </w:r>
          </w:p>
        </w:tc>
        <w:tc>
          <w:tcPr>
            <w:tcW w:w="850" w:type="dxa"/>
            <w:tcBorders>
              <w:top w:val="single" w:sz="4" w:space="0" w:color="auto"/>
              <w:left w:val="nil"/>
              <w:bottom w:val="single" w:sz="4" w:space="0" w:color="auto"/>
              <w:right w:val="nil"/>
            </w:tcBorders>
            <w:shd w:val="clear" w:color="auto" w:fill="auto"/>
            <w:vAlign w:val="bottom"/>
          </w:tcPr>
          <w:p w14:paraId="1951BC92" w14:textId="1699CED1"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single" w:sz="4" w:space="0" w:color="auto"/>
              <w:left w:val="nil"/>
              <w:bottom w:val="single" w:sz="4" w:space="0" w:color="auto"/>
              <w:right w:val="nil"/>
            </w:tcBorders>
            <w:shd w:val="clear" w:color="auto" w:fill="auto"/>
            <w:vAlign w:val="bottom"/>
          </w:tcPr>
          <w:p w14:paraId="6FBBDBDE" w14:textId="259FF15C"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single" w:sz="4" w:space="0" w:color="auto"/>
              <w:left w:val="nil"/>
              <w:bottom w:val="single" w:sz="4" w:space="0" w:color="auto"/>
              <w:right w:val="nil"/>
            </w:tcBorders>
            <w:shd w:val="clear" w:color="auto" w:fill="auto"/>
            <w:vAlign w:val="bottom"/>
          </w:tcPr>
          <w:p w14:paraId="14EEC1A5" w14:textId="03FB0A34"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single" w:sz="4" w:space="0" w:color="auto"/>
              <w:left w:val="nil"/>
              <w:bottom w:val="single" w:sz="4" w:space="0" w:color="auto"/>
              <w:right w:val="nil"/>
            </w:tcBorders>
            <w:shd w:val="clear" w:color="auto" w:fill="auto"/>
            <w:vAlign w:val="bottom"/>
          </w:tcPr>
          <w:p w14:paraId="2687A34C" w14:textId="50C30DB5"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tcBorders>
              <w:top w:val="single" w:sz="4" w:space="0" w:color="auto"/>
              <w:left w:val="nil"/>
              <w:bottom w:val="single" w:sz="4" w:space="0" w:color="auto"/>
              <w:right w:val="nil"/>
            </w:tcBorders>
            <w:shd w:val="clear" w:color="auto" w:fill="auto"/>
            <w:vAlign w:val="bottom"/>
          </w:tcPr>
          <w:p w14:paraId="3C90519B" w14:textId="65F1C805"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tcBorders>
              <w:top w:val="single" w:sz="4" w:space="0" w:color="auto"/>
              <w:left w:val="nil"/>
              <w:bottom w:val="single" w:sz="4" w:space="0" w:color="auto"/>
              <w:right w:val="nil"/>
            </w:tcBorders>
            <w:shd w:val="clear" w:color="auto" w:fill="auto"/>
            <w:vAlign w:val="bottom"/>
          </w:tcPr>
          <w:p w14:paraId="07978D97" w14:textId="07935DE8"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tcBorders>
              <w:top w:val="single" w:sz="4" w:space="0" w:color="auto"/>
              <w:left w:val="nil"/>
              <w:bottom w:val="single" w:sz="4" w:space="0" w:color="auto"/>
              <w:right w:val="nil"/>
            </w:tcBorders>
            <w:shd w:val="clear" w:color="auto" w:fill="auto"/>
            <w:vAlign w:val="bottom"/>
          </w:tcPr>
          <w:p w14:paraId="5C1F8B02" w14:textId="3B864AF3"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tcBorders>
              <w:top w:val="single" w:sz="4" w:space="0" w:color="auto"/>
              <w:left w:val="nil"/>
              <w:bottom w:val="single" w:sz="4" w:space="0" w:color="auto"/>
              <w:right w:val="nil"/>
            </w:tcBorders>
            <w:shd w:val="clear" w:color="auto" w:fill="auto"/>
            <w:vAlign w:val="bottom"/>
          </w:tcPr>
          <w:p w14:paraId="4124AB8F" w14:textId="29F61290"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06AFA46C" w14:textId="77777777" w:rsidTr="00364C31">
        <w:tblPrEx>
          <w:tblLook w:val="01E0" w:firstRow="1" w:lastRow="1" w:firstColumn="1" w:lastColumn="1" w:noHBand="0" w:noVBand="0"/>
        </w:tblPrEx>
        <w:trPr>
          <w:gridAfter w:val="1"/>
          <w:wAfter w:w="16" w:type="dxa"/>
          <w:trHeight w:val="227"/>
        </w:trPr>
        <w:tc>
          <w:tcPr>
            <w:tcW w:w="2796" w:type="dxa"/>
            <w:gridSpan w:val="2"/>
            <w:tcBorders>
              <w:left w:val="single" w:sz="4" w:space="0" w:color="auto"/>
            </w:tcBorders>
            <w:shd w:val="clear" w:color="auto" w:fill="auto"/>
            <w:vAlign w:val="bottom"/>
          </w:tcPr>
          <w:p w14:paraId="42A11B7E" w14:textId="0948AD75" w:rsidR="002D718B" w:rsidRPr="009E7447" w:rsidRDefault="003361A2" w:rsidP="002D718B">
            <w:pPr>
              <w:spacing w:line="241" w:lineRule="auto"/>
              <w:ind w:left="144" w:hanging="144"/>
              <w:jc w:val="left"/>
              <w:rPr>
                <w:color w:val="000000"/>
                <w:sz w:val="18"/>
                <w:szCs w:val="18"/>
                <w:rtl/>
                <w:lang w:eastAsia="he-IL"/>
              </w:rPr>
            </w:pPr>
            <w:r w:rsidRPr="002D718B">
              <w:rPr>
                <w:color w:val="000000"/>
                <w:sz w:val="18"/>
                <w:szCs w:val="18"/>
                <w:rtl/>
                <w:lang w:eastAsia="he-IL"/>
              </w:rPr>
              <w:t xml:space="preserve">מחיקות חשבונאיות במהלך </w:t>
            </w:r>
            <w:r>
              <w:rPr>
                <w:rFonts w:hint="cs"/>
                <w:color w:val="000000"/>
                <w:sz w:val="18"/>
                <w:szCs w:val="18"/>
                <w:rtl/>
                <w:lang w:eastAsia="he-IL"/>
              </w:rPr>
              <w:t>התקופה</w:t>
            </w:r>
          </w:p>
        </w:tc>
        <w:tc>
          <w:tcPr>
            <w:tcW w:w="851" w:type="dxa"/>
            <w:tcBorders>
              <w:top w:val="single" w:sz="4" w:space="0" w:color="auto"/>
              <w:left w:val="nil"/>
              <w:bottom w:val="single" w:sz="8" w:space="0" w:color="auto"/>
              <w:right w:val="nil"/>
            </w:tcBorders>
            <w:shd w:val="clear" w:color="auto" w:fill="auto"/>
            <w:vAlign w:val="bottom"/>
            <w:hideMark/>
          </w:tcPr>
          <w:p w14:paraId="39A87E2D"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0" w:type="dxa"/>
            <w:tcBorders>
              <w:top w:val="single" w:sz="4" w:space="0" w:color="auto"/>
              <w:left w:val="nil"/>
              <w:bottom w:val="single" w:sz="8" w:space="0" w:color="auto"/>
              <w:right w:val="nil"/>
            </w:tcBorders>
            <w:shd w:val="clear" w:color="auto" w:fill="auto"/>
            <w:vAlign w:val="bottom"/>
            <w:hideMark/>
          </w:tcPr>
          <w:p w14:paraId="0FFD502E"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single" w:sz="4" w:space="0" w:color="auto"/>
              <w:left w:val="nil"/>
              <w:bottom w:val="single" w:sz="8" w:space="0" w:color="auto"/>
              <w:right w:val="nil"/>
            </w:tcBorders>
            <w:shd w:val="clear" w:color="auto" w:fill="auto"/>
            <w:vAlign w:val="bottom"/>
            <w:hideMark/>
          </w:tcPr>
          <w:p w14:paraId="03F9A14C"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single" w:sz="4" w:space="0" w:color="auto"/>
              <w:left w:val="nil"/>
              <w:bottom w:val="single" w:sz="8" w:space="0" w:color="auto"/>
              <w:right w:val="nil"/>
            </w:tcBorders>
            <w:shd w:val="clear" w:color="auto" w:fill="auto"/>
            <w:vAlign w:val="bottom"/>
            <w:hideMark/>
          </w:tcPr>
          <w:p w14:paraId="1AAD9703"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single" w:sz="4" w:space="0" w:color="auto"/>
              <w:left w:val="nil"/>
              <w:bottom w:val="single" w:sz="8" w:space="0" w:color="auto"/>
              <w:right w:val="nil"/>
            </w:tcBorders>
            <w:shd w:val="clear" w:color="auto" w:fill="auto"/>
            <w:vAlign w:val="bottom"/>
            <w:hideMark/>
          </w:tcPr>
          <w:p w14:paraId="1086FCA0"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tcBorders>
              <w:top w:val="single" w:sz="4" w:space="0" w:color="auto"/>
              <w:left w:val="nil"/>
              <w:bottom w:val="single" w:sz="8" w:space="0" w:color="auto"/>
              <w:right w:val="nil"/>
            </w:tcBorders>
            <w:shd w:val="clear" w:color="auto" w:fill="auto"/>
            <w:vAlign w:val="bottom"/>
            <w:hideMark/>
          </w:tcPr>
          <w:p w14:paraId="259631E3"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tcBorders>
              <w:top w:val="single" w:sz="4" w:space="0" w:color="auto"/>
              <w:left w:val="nil"/>
              <w:bottom w:val="single" w:sz="8" w:space="0" w:color="auto"/>
              <w:right w:val="nil"/>
            </w:tcBorders>
            <w:shd w:val="clear" w:color="auto" w:fill="auto"/>
            <w:vAlign w:val="bottom"/>
            <w:hideMark/>
          </w:tcPr>
          <w:p w14:paraId="0E0487F1"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tcBorders>
              <w:top w:val="single" w:sz="4" w:space="0" w:color="auto"/>
              <w:left w:val="nil"/>
              <w:bottom w:val="single" w:sz="8" w:space="0" w:color="auto"/>
              <w:right w:val="nil"/>
            </w:tcBorders>
            <w:shd w:val="clear" w:color="auto" w:fill="auto"/>
            <w:vAlign w:val="bottom"/>
            <w:hideMark/>
          </w:tcPr>
          <w:p w14:paraId="5EDFDE0C"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tcBorders>
              <w:top w:val="single" w:sz="4" w:space="0" w:color="auto"/>
              <w:left w:val="nil"/>
              <w:bottom w:val="single" w:sz="8" w:space="0" w:color="auto"/>
              <w:right w:val="nil"/>
            </w:tcBorders>
            <w:shd w:val="clear" w:color="auto" w:fill="auto"/>
            <w:vAlign w:val="bottom"/>
            <w:hideMark/>
          </w:tcPr>
          <w:p w14:paraId="4D5666B9" w14:textId="77777777"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1B0AC95D"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1B437537" w14:textId="77777777" w:rsidR="002D718B" w:rsidRPr="009E7447" w:rsidRDefault="002D718B" w:rsidP="002D718B">
            <w:pPr>
              <w:ind w:left="142" w:hanging="142"/>
              <w:jc w:val="left"/>
              <w:rPr>
                <w:b/>
                <w:bCs/>
                <w:color w:val="000000"/>
                <w:sz w:val="18"/>
                <w:szCs w:val="18"/>
                <w:rtl/>
                <w:lang w:eastAsia="he-IL"/>
              </w:rPr>
            </w:pPr>
            <w:r w:rsidRPr="009E7447">
              <w:rPr>
                <w:rFonts w:hint="cs"/>
                <w:b/>
                <w:bCs/>
                <w:color w:val="000000"/>
                <w:sz w:val="18"/>
                <w:szCs w:val="18"/>
                <w:rtl/>
                <w:lang w:eastAsia="he-IL"/>
              </w:rPr>
              <w:t>אנשים פרטיים – אחר – סה"כ</w:t>
            </w:r>
          </w:p>
        </w:tc>
        <w:tc>
          <w:tcPr>
            <w:tcW w:w="851" w:type="dxa"/>
            <w:tcBorders>
              <w:top w:val="single" w:sz="8" w:space="0" w:color="auto"/>
            </w:tcBorders>
            <w:shd w:val="clear" w:color="auto" w:fill="auto"/>
            <w:vAlign w:val="bottom"/>
            <w:hideMark/>
          </w:tcPr>
          <w:p w14:paraId="05F47861" w14:textId="77777777" w:rsidR="002D718B" w:rsidRPr="009E7447" w:rsidRDefault="002D718B" w:rsidP="002D718B">
            <w:pPr>
              <w:spacing w:line="241" w:lineRule="auto"/>
              <w:rPr>
                <w:sz w:val="18"/>
                <w:szCs w:val="18"/>
                <w:rtl/>
              </w:rPr>
            </w:pPr>
            <w:r w:rsidRPr="009E7447">
              <w:rPr>
                <w:rFonts w:hint="cs"/>
                <w:b/>
                <w:bCs/>
                <w:sz w:val="18"/>
                <w:szCs w:val="18"/>
                <w:rtl/>
              </w:rPr>
              <w:t xml:space="preserve"> 0</w:t>
            </w:r>
          </w:p>
        </w:tc>
        <w:tc>
          <w:tcPr>
            <w:tcW w:w="850" w:type="dxa"/>
            <w:tcBorders>
              <w:top w:val="single" w:sz="8" w:space="0" w:color="auto"/>
            </w:tcBorders>
            <w:shd w:val="clear" w:color="auto" w:fill="auto"/>
            <w:vAlign w:val="bottom"/>
            <w:hideMark/>
          </w:tcPr>
          <w:p w14:paraId="0EBAD9F6" w14:textId="77777777" w:rsidR="002D718B" w:rsidRPr="009E7447" w:rsidRDefault="002D718B" w:rsidP="002D718B">
            <w:pPr>
              <w:spacing w:line="241" w:lineRule="auto"/>
              <w:rPr>
                <w:sz w:val="18"/>
                <w:szCs w:val="18"/>
                <w:rtl/>
              </w:rPr>
            </w:pPr>
            <w:r w:rsidRPr="009E7447">
              <w:rPr>
                <w:rFonts w:hint="cs"/>
                <w:b/>
                <w:bCs/>
                <w:sz w:val="18"/>
                <w:szCs w:val="18"/>
                <w:rtl/>
              </w:rPr>
              <w:t xml:space="preserve"> 0</w:t>
            </w:r>
          </w:p>
        </w:tc>
        <w:tc>
          <w:tcPr>
            <w:tcW w:w="709" w:type="dxa"/>
            <w:tcBorders>
              <w:top w:val="single" w:sz="8" w:space="0" w:color="auto"/>
            </w:tcBorders>
            <w:shd w:val="clear" w:color="auto" w:fill="auto"/>
            <w:vAlign w:val="bottom"/>
            <w:hideMark/>
          </w:tcPr>
          <w:p w14:paraId="3148791A" w14:textId="77777777" w:rsidR="002D718B" w:rsidRPr="009E7447" w:rsidRDefault="002D718B" w:rsidP="002D718B">
            <w:pPr>
              <w:spacing w:line="241" w:lineRule="auto"/>
              <w:rPr>
                <w:sz w:val="18"/>
                <w:szCs w:val="18"/>
                <w:rtl/>
              </w:rPr>
            </w:pPr>
            <w:r w:rsidRPr="009E7447">
              <w:rPr>
                <w:rFonts w:hint="cs"/>
                <w:b/>
                <w:bCs/>
                <w:sz w:val="18"/>
                <w:szCs w:val="18"/>
                <w:rtl/>
              </w:rPr>
              <w:t xml:space="preserve"> 0</w:t>
            </w:r>
          </w:p>
        </w:tc>
        <w:tc>
          <w:tcPr>
            <w:tcW w:w="709" w:type="dxa"/>
            <w:tcBorders>
              <w:top w:val="single" w:sz="8" w:space="0" w:color="auto"/>
            </w:tcBorders>
            <w:shd w:val="clear" w:color="auto" w:fill="auto"/>
            <w:vAlign w:val="bottom"/>
            <w:hideMark/>
          </w:tcPr>
          <w:p w14:paraId="445A9FE7" w14:textId="77777777" w:rsidR="002D718B" w:rsidRPr="009E7447" w:rsidRDefault="002D718B" w:rsidP="002D718B">
            <w:pPr>
              <w:spacing w:line="241" w:lineRule="auto"/>
              <w:rPr>
                <w:sz w:val="18"/>
                <w:szCs w:val="18"/>
                <w:rtl/>
              </w:rPr>
            </w:pPr>
            <w:r w:rsidRPr="009E7447">
              <w:rPr>
                <w:rFonts w:hint="cs"/>
                <w:b/>
                <w:bCs/>
                <w:sz w:val="18"/>
                <w:szCs w:val="18"/>
                <w:rtl/>
              </w:rPr>
              <w:t xml:space="preserve"> 0</w:t>
            </w:r>
          </w:p>
        </w:tc>
        <w:tc>
          <w:tcPr>
            <w:tcW w:w="709" w:type="dxa"/>
            <w:tcBorders>
              <w:top w:val="single" w:sz="8" w:space="0" w:color="auto"/>
            </w:tcBorders>
            <w:shd w:val="clear" w:color="auto" w:fill="auto"/>
            <w:vAlign w:val="bottom"/>
            <w:hideMark/>
          </w:tcPr>
          <w:p w14:paraId="63B5495E" w14:textId="77777777" w:rsidR="002D718B" w:rsidRPr="009E7447" w:rsidRDefault="002D718B" w:rsidP="002D718B">
            <w:pPr>
              <w:spacing w:line="241" w:lineRule="auto"/>
              <w:rPr>
                <w:sz w:val="18"/>
                <w:szCs w:val="18"/>
                <w:rtl/>
              </w:rPr>
            </w:pPr>
            <w:r w:rsidRPr="009E7447">
              <w:rPr>
                <w:rFonts w:hint="cs"/>
                <w:b/>
                <w:bCs/>
                <w:sz w:val="18"/>
                <w:szCs w:val="18"/>
                <w:rtl/>
              </w:rPr>
              <w:t xml:space="preserve"> 0</w:t>
            </w:r>
          </w:p>
        </w:tc>
        <w:tc>
          <w:tcPr>
            <w:tcW w:w="589" w:type="dxa"/>
            <w:tcBorders>
              <w:top w:val="single" w:sz="8" w:space="0" w:color="auto"/>
            </w:tcBorders>
            <w:shd w:val="clear" w:color="auto" w:fill="auto"/>
            <w:vAlign w:val="bottom"/>
            <w:hideMark/>
          </w:tcPr>
          <w:p w14:paraId="3CCC7CEE" w14:textId="77777777" w:rsidR="002D718B" w:rsidRPr="009E7447" w:rsidRDefault="002D718B" w:rsidP="002D718B">
            <w:pPr>
              <w:spacing w:line="241" w:lineRule="auto"/>
              <w:rPr>
                <w:sz w:val="18"/>
                <w:szCs w:val="18"/>
                <w:rtl/>
              </w:rPr>
            </w:pPr>
            <w:r w:rsidRPr="009E7447">
              <w:rPr>
                <w:rFonts w:hint="cs"/>
                <w:b/>
                <w:bCs/>
                <w:sz w:val="18"/>
                <w:szCs w:val="18"/>
                <w:rtl/>
              </w:rPr>
              <w:t xml:space="preserve"> 0</w:t>
            </w:r>
          </w:p>
        </w:tc>
        <w:tc>
          <w:tcPr>
            <w:tcW w:w="998" w:type="dxa"/>
            <w:tcBorders>
              <w:top w:val="single" w:sz="8" w:space="0" w:color="auto"/>
            </w:tcBorders>
            <w:shd w:val="clear" w:color="auto" w:fill="auto"/>
            <w:vAlign w:val="bottom"/>
            <w:hideMark/>
          </w:tcPr>
          <w:p w14:paraId="0BE191E1" w14:textId="77777777" w:rsidR="002D718B" w:rsidRPr="009E7447" w:rsidRDefault="002D718B" w:rsidP="002D718B">
            <w:pPr>
              <w:spacing w:line="241" w:lineRule="auto"/>
              <w:rPr>
                <w:sz w:val="18"/>
                <w:szCs w:val="18"/>
                <w:rtl/>
              </w:rPr>
            </w:pPr>
            <w:r w:rsidRPr="009E7447">
              <w:rPr>
                <w:rFonts w:hint="cs"/>
                <w:b/>
                <w:bCs/>
                <w:sz w:val="18"/>
                <w:szCs w:val="18"/>
                <w:rtl/>
              </w:rPr>
              <w:t xml:space="preserve"> 0</w:t>
            </w:r>
          </w:p>
        </w:tc>
        <w:tc>
          <w:tcPr>
            <w:tcW w:w="1518" w:type="dxa"/>
            <w:tcBorders>
              <w:top w:val="single" w:sz="8" w:space="0" w:color="auto"/>
            </w:tcBorders>
            <w:shd w:val="clear" w:color="auto" w:fill="auto"/>
            <w:vAlign w:val="bottom"/>
            <w:hideMark/>
          </w:tcPr>
          <w:p w14:paraId="67A608ED" w14:textId="77777777" w:rsidR="002D718B" w:rsidRPr="009E7447" w:rsidRDefault="002D718B" w:rsidP="002D718B">
            <w:pPr>
              <w:spacing w:line="241" w:lineRule="auto"/>
              <w:rPr>
                <w:sz w:val="18"/>
                <w:szCs w:val="18"/>
                <w:rtl/>
              </w:rPr>
            </w:pPr>
            <w:r w:rsidRPr="009E7447">
              <w:rPr>
                <w:rFonts w:hint="cs"/>
                <w:b/>
                <w:bCs/>
                <w:sz w:val="18"/>
                <w:szCs w:val="18"/>
                <w:rtl/>
              </w:rPr>
              <w:t xml:space="preserve"> 0</w:t>
            </w:r>
          </w:p>
        </w:tc>
        <w:tc>
          <w:tcPr>
            <w:tcW w:w="854" w:type="dxa"/>
            <w:gridSpan w:val="2"/>
            <w:tcBorders>
              <w:top w:val="single" w:sz="8" w:space="0" w:color="auto"/>
            </w:tcBorders>
            <w:shd w:val="clear" w:color="auto" w:fill="auto"/>
            <w:vAlign w:val="bottom"/>
            <w:hideMark/>
          </w:tcPr>
          <w:p w14:paraId="67B16208" w14:textId="77777777" w:rsidR="002D718B" w:rsidRPr="009E7447" w:rsidRDefault="002D718B" w:rsidP="002D718B">
            <w:pPr>
              <w:spacing w:line="241" w:lineRule="auto"/>
              <w:rPr>
                <w:sz w:val="18"/>
                <w:szCs w:val="18"/>
                <w:rtl/>
              </w:rPr>
            </w:pPr>
            <w:r w:rsidRPr="009E7447">
              <w:rPr>
                <w:rFonts w:hint="cs"/>
                <w:b/>
                <w:bCs/>
                <w:sz w:val="18"/>
                <w:szCs w:val="18"/>
                <w:rtl/>
              </w:rPr>
              <w:t xml:space="preserve"> 0</w:t>
            </w:r>
          </w:p>
        </w:tc>
      </w:tr>
      <w:tr w:rsidR="002D718B" w:rsidRPr="009E7447" w14:paraId="3141CAAF" w14:textId="77777777" w:rsidTr="00364C31">
        <w:tblPrEx>
          <w:tblLook w:val="01E0" w:firstRow="1" w:lastRow="1" w:firstColumn="1" w:lastColumn="1" w:noHBand="0" w:noVBand="0"/>
        </w:tblPrEx>
        <w:trPr>
          <w:gridAfter w:val="1"/>
          <w:wAfter w:w="16" w:type="dxa"/>
          <w:trHeight w:val="284"/>
        </w:trPr>
        <w:tc>
          <w:tcPr>
            <w:tcW w:w="2796" w:type="dxa"/>
            <w:gridSpan w:val="2"/>
            <w:shd w:val="clear" w:color="auto" w:fill="auto"/>
            <w:vAlign w:val="bottom"/>
            <w:hideMark/>
          </w:tcPr>
          <w:p w14:paraId="07DBC350" w14:textId="77777777" w:rsidR="002D718B" w:rsidRPr="009E7447" w:rsidRDefault="002D718B" w:rsidP="002D718B">
            <w:pPr>
              <w:bidi w:val="0"/>
              <w:spacing w:line="180" w:lineRule="exact"/>
              <w:ind w:left="142" w:hanging="142"/>
              <w:jc w:val="right"/>
              <w:rPr>
                <w:rFonts w:asciiTheme="minorBidi" w:hAnsiTheme="minorBidi" w:cstheme="minorBidi"/>
                <w:color w:val="000000"/>
                <w:sz w:val="18"/>
                <w:szCs w:val="18"/>
                <w:rtl/>
                <w:lang w:eastAsia="he-IL"/>
              </w:rPr>
            </w:pPr>
            <w:r w:rsidRPr="009E7447">
              <w:rPr>
                <w:rFonts w:asciiTheme="minorBidi" w:hAnsiTheme="minorBidi" w:cstheme="minorBidi" w:hint="cs"/>
                <w:color w:val="000000"/>
                <w:sz w:val="18"/>
                <w:szCs w:val="18"/>
                <w:rtl/>
                <w:lang w:eastAsia="he-IL"/>
              </w:rPr>
              <w:t>אשראי שאינו בפיגור ובדירוג ביצוע</w:t>
            </w:r>
          </w:p>
        </w:tc>
        <w:tc>
          <w:tcPr>
            <w:tcW w:w="851" w:type="dxa"/>
            <w:shd w:val="clear" w:color="auto" w:fill="auto"/>
            <w:vAlign w:val="bottom"/>
            <w:hideMark/>
          </w:tcPr>
          <w:p w14:paraId="14E09554" w14:textId="77777777" w:rsidR="002D718B" w:rsidRPr="009E7447" w:rsidRDefault="002D718B" w:rsidP="002D718B">
            <w:pPr>
              <w:spacing w:line="241" w:lineRule="auto"/>
              <w:rPr>
                <w:rFonts w:asciiTheme="minorBidi" w:hAnsiTheme="minorBidi" w:cstheme="minorBidi"/>
                <w:sz w:val="18"/>
                <w:szCs w:val="18"/>
              </w:rPr>
            </w:pPr>
            <w:r w:rsidRPr="009E7447">
              <w:rPr>
                <w:rFonts w:hint="cs"/>
                <w:sz w:val="18"/>
                <w:szCs w:val="18"/>
                <w:rtl/>
              </w:rPr>
              <w:t xml:space="preserve"> 0</w:t>
            </w:r>
          </w:p>
        </w:tc>
        <w:tc>
          <w:tcPr>
            <w:tcW w:w="850" w:type="dxa"/>
            <w:shd w:val="clear" w:color="auto" w:fill="auto"/>
            <w:vAlign w:val="bottom"/>
            <w:hideMark/>
          </w:tcPr>
          <w:p w14:paraId="06CD7303"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shd w:val="clear" w:color="auto" w:fill="auto"/>
            <w:vAlign w:val="bottom"/>
            <w:hideMark/>
          </w:tcPr>
          <w:p w14:paraId="12C1F61C"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shd w:val="clear" w:color="auto" w:fill="auto"/>
            <w:vAlign w:val="bottom"/>
            <w:hideMark/>
          </w:tcPr>
          <w:p w14:paraId="360B569B"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shd w:val="clear" w:color="auto" w:fill="auto"/>
            <w:vAlign w:val="bottom"/>
            <w:hideMark/>
          </w:tcPr>
          <w:p w14:paraId="6C064841"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589" w:type="dxa"/>
            <w:shd w:val="clear" w:color="auto" w:fill="auto"/>
            <w:vAlign w:val="bottom"/>
            <w:hideMark/>
          </w:tcPr>
          <w:p w14:paraId="480EDE8C"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998" w:type="dxa"/>
            <w:shd w:val="clear" w:color="auto" w:fill="auto"/>
            <w:vAlign w:val="bottom"/>
            <w:hideMark/>
          </w:tcPr>
          <w:p w14:paraId="7D7C814A"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1518" w:type="dxa"/>
            <w:shd w:val="clear" w:color="auto" w:fill="auto"/>
            <w:vAlign w:val="bottom"/>
            <w:hideMark/>
          </w:tcPr>
          <w:p w14:paraId="2C78EB52"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854" w:type="dxa"/>
            <w:gridSpan w:val="2"/>
            <w:shd w:val="clear" w:color="auto" w:fill="auto"/>
            <w:vAlign w:val="bottom"/>
            <w:hideMark/>
          </w:tcPr>
          <w:p w14:paraId="35E870F2"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r>
      <w:tr w:rsidR="002D718B" w:rsidRPr="009E7447" w14:paraId="30C93A09"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44095C16" w14:textId="77777777" w:rsidR="002D718B" w:rsidRPr="009E7447" w:rsidRDefault="002D718B" w:rsidP="002D718B">
            <w:pPr>
              <w:spacing w:line="241" w:lineRule="auto"/>
              <w:ind w:left="144" w:hanging="144"/>
              <w:jc w:val="left"/>
              <w:rPr>
                <w:rFonts w:asciiTheme="minorBidi" w:hAnsiTheme="minorBidi" w:cstheme="minorBidi"/>
                <w:color w:val="000000"/>
                <w:sz w:val="18"/>
                <w:szCs w:val="18"/>
                <w:rtl/>
                <w:lang w:eastAsia="he-IL"/>
              </w:rPr>
            </w:pPr>
            <w:r w:rsidRPr="009E7447">
              <w:rPr>
                <w:rFonts w:asciiTheme="minorBidi" w:hAnsiTheme="minorBidi" w:cstheme="minorBidi" w:hint="cs"/>
                <w:color w:val="000000"/>
                <w:sz w:val="18"/>
                <w:szCs w:val="18"/>
                <w:rtl/>
                <w:lang w:eastAsia="he-IL"/>
              </w:rPr>
              <w:t>אשראי שאינו בפיגור ואינו בדירוג ביצוע</w:t>
            </w:r>
          </w:p>
        </w:tc>
        <w:tc>
          <w:tcPr>
            <w:tcW w:w="851" w:type="dxa"/>
            <w:shd w:val="clear" w:color="auto" w:fill="auto"/>
            <w:vAlign w:val="bottom"/>
            <w:hideMark/>
          </w:tcPr>
          <w:p w14:paraId="361EA0E5"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850" w:type="dxa"/>
            <w:shd w:val="clear" w:color="auto" w:fill="auto"/>
            <w:vAlign w:val="bottom"/>
            <w:hideMark/>
          </w:tcPr>
          <w:p w14:paraId="500F300E"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shd w:val="clear" w:color="auto" w:fill="auto"/>
            <w:vAlign w:val="bottom"/>
            <w:hideMark/>
          </w:tcPr>
          <w:p w14:paraId="71B37222"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shd w:val="clear" w:color="auto" w:fill="auto"/>
            <w:vAlign w:val="bottom"/>
            <w:hideMark/>
          </w:tcPr>
          <w:p w14:paraId="0C2E7585"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shd w:val="clear" w:color="auto" w:fill="auto"/>
            <w:vAlign w:val="bottom"/>
            <w:hideMark/>
          </w:tcPr>
          <w:p w14:paraId="6D5F29D5"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589" w:type="dxa"/>
            <w:shd w:val="clear" w:color="auto" w:fill="auto"/>
            <w:vAlign w:val="bottom"/>
            <w:hideMark/>
          </w:tcPr>
          <w:p w14:paraId="76D4CB42"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998" w:type="dxa"/>
            <w:shd w:val="clear" w:color="auto" w:fill="auto"/>
            <w:vAlign w:val="bottom"/>
            <w:hideMark/>
          </w:tcPr>
          <w:p w14:paraId="5C869EFB"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1518" w:type="dxa"/>
            <w:shd w:val="clear" w:color="auto" w:fill="auto"/>
            <w:vAlign w:val="bottom"/>
            <w:hideMark/>
          </w:tcPr>
          <w:p w14:paraId="338DF4B3"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854" w:type="dxa"/>
            <w:gridSpan w:val="2"/>
            <w:shd w:val="clear" w:color="auto" w:fill="auto"/>
            <w:vAlign w:val="bottom"/>
            <w:hideMark/>
          </w:tcPr>
          <w:p w14:paraId="67F157FC"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r>
      <w:tr w:rsidR="002D718B" w:rsidRPr="009E7447" w14:paraId="7CFBE5EB"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32C43CCB" w14:textId="77777777" w:rsidR="002D718B" w:rsidRPr="009E7447" w:rsidRDefault="002D718B" w:rsidP="002D718B">
            <w:pPr>
              <w:spacing w:line="241" w:lineRule="auto"/>
              <w:ind w:left="144" w:hanging="144"/>
              <w:jc w:val="left"/>
              <w:rPr>
                <w:rFonts w:asciiTheme="minorBidi" w:hAnsiTheme="minorBidi" w:cstheme="minorBidi"/>
                <w:color w:val="000000"/>
                <w:sz w:val="18"/>
                <w:szCs w:val="18"/>
                <w:rtl/>
                <w:lang w:eastAsia="he-IL"/>
              </w:rPr>
            </w:pPr>
            <w:r w:rsidRPr="009E7447">
              <w:rPr>
                <w:rFonts w:hint="cs"/>
                <w:color w:val="000000"/>
                <w:sz w:val="18"/>
                <w:szCs w:val="18"/>
                <w:rtl/>
                <w:lang w:eastAsia="he-IL"/>
              </w:rPr>
              <w:t>בפיגור 30-89 יום</w:t>
            </w:r>
          </w:p>
        </w:tc>
        <w:tc>
          <w:tcPr>
            <w:tcW w:w="851" w:type="dxa"/>
            <w:shd w:val="clear" w:color="auto" w:fill="auto"/>
            <w:vAlign w:val="bottom"/>
            <w:hideMark/>
          </w:tcPr>
          <w:p w14:paraId="2D5D0333"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850" w:type="dxa"/>
            <w:shd w:val="clear" w:color="auto" w:fill="auto"/>
            <w:vAlign w:val="bottom"/>
            <w:hideMark/>
          </w:tcPr>
          <w:p w14:paraId="645091FE"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shd w:val="clear" w:color="auto" w:fill="auto"/>
            <w:vAlign w:val="bottom"/>
            <w:hideMark/>
          </w:tcPr>
          <w:p w14:paraId="01FDAEA5"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shd w:val="clear" w:color="auto" w:fill="auto"/>
            <w:vAlign w:val="bottom"/>
            <w:hideMark/>
          </w:tcPr>
          <w:p w14:paraId="7C219C98"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shd w:val="clear" w:color="auto" w:fill="auto"/>
            <w:vAlign w:val="bottom"/>
            <w:hideMark/>
          </w:tcPr>
          <w:p w14:paraId="30817D51"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589" w:type="dxa"/>
            <w:shd w:val="clear" w:color="auto" w:fill="auto"/>
            <w:vAlign w:val="bottom"/>
            <w:hideMark/>
          </w:tcPr>
          <w:p w14:paraId="72B14DD6"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998" w:type="dxa"/>
            <w:shd w:val="clear" w:color="auto" w:fill="auto"/>
            <w:vAlign w:val="bottom"/>
            <w:hideMark/>
          </w:tcPr>
          <w:p w14:paraId="1703FA8A"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1518" w:type="dxa"/>
            <w:shd w:val="clear" w:color="auto" w:fill="auto"/>
            <w:vAlign w:val="bottom"/>
            <w:hideMark/>
          </w:tcPr>
          <w:p w14:paraId="0EAF33E9"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854" w:type="dxa"/>
            <w:gridSpan w:val="2"/>
            <w:shd w:val="clear" w:color="auto" w:fill="auto"/>
            <w:vAlign w:val="bottom"/>
            <w:hideMark/>
          </w:tcPr>
          <w:p w14:paraId="726738D3"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r>
      <w:tr w:rsidR="002D718B" w:rsidRPr="009E7447" w14:paraId="4A517398"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66B05E88" w14:textId="77777777" w:rsidR="002D718B" w:rsidRPr="009E7447" w:rsidRDefault="002D718B" w:rsidP="002D718B">
            <w:pPr>
              <w:spacing w:line="241" w:lineRule="auto"/>
              <w:ind w:left="144" w:hanging="144"/>
              <w:jc w:val="left"/>
              <w:rPr>
                <w:rFonts w:asciiTheme="minorBidi" w:hAnsiTheme="minorBidi" w:cstheme="minorBidi"/>
                <w:color w:val="000000"/>
                <w:sz w:val="18"/>
                <w:szCs w:val="18"/>
                <w:rtl/>
                <w:lang w:eastAsia="he-IL"/>
              </w:rPr>
            </w:pPr>
            <w:r w:rsidRPr="009E7447">
              <w:rPr>
                <w:rFonts w:hint="cs"/>
                <w:color w:val="000000"/>
                <w:sz w:val="18"/>
                <w:szCs w:val="18"/>
                <w:rtl/>
                <w:lang w:eastAsia="he-IL"/>
              </w:rPr>
              <w:t>בפיגור מעל 90 יום</w:t>
            </w:r>
          </w:p>
        </w:tc>
        <w:tc>
          <w:tcPr>
            <w:tcW w:w="851" w:type="dxa"/>
            <w:tcBorders>
              <w:top w:val="nil"/>
              <w:left w:val="nil"/>
              <w:bottom w:val="single" w:sz="4" w:space="0" w:color="auto"/>
              <w:right w:val="nil"/>
            </w:tcBorders>
            <w:shd w:val="clear" w:color="auto" w:fill="auto"/>
            <w:vAlign w:val="bottom"/>
            <w:hideMark/>
          </w:tcPr>
          <w:p w14:paraId="1727727B"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850" w:type="dxa"/>
            <w:tcBorders>
              <w:top w:val="nil"/>
              <w:left w:val="nil"/>
              <w:bottom w:val="single" w:sz="4" w:space="0" w:color="auto"/>
              <w:right w:val="nil"/>
            </w:tcBorders>
            <w:shd w:val="clear" w:color="auto" w:fill="auto"/>
            <w:vAlign w:val="bottom"/>
            <w:hideMark/>
          </w:tcPr>
          <w:p w14:paraId="5F5FA1D0"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tcBorders>
              <w:top w:val="nil"/>
              <w:left w:val="nil"/>
              <w:bottom w:val="single" w:sz="4" w:space="0" w:color="auto"/>
              <w:right w:val="nil"/>
            </w:tcBorders>
            <w:shd w:val="clear" w:color="auto" w:fill="auto"/>
            <w:vAlign w:val="bottom"/>
            <w:hideMark/>
          </w:tcPr>
          <w:p w14:paraId="72CF8D30"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tcBorders>
              <w:top w:val="nil"/>
              <w:left w:val="nil"/>
              <w:bottom w:val="single" w:sz="4" w:space="0" w:color="auto"/>
              <w:right w:val="nil"/>
            </w:tcBorders>
            <w:shd w:val="clear" w:color="auto" w:fill="auto"/>
            <w:vAlign w:val="bottom"/>
            <w:hideMark/>
          </w:tcPr>
          <w:p w14:paraId="1F686878"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tcBorders>
              <w:top w:val="nil"/>
              <w:left w:val="nil"/>
              <w:bottom w:val="single" w:sz="4" w:space="0" w:color="auto"/>
              <w:right w:val="nil"/>
            </w:tcBorders>
            <w:shd w:val="clear" w:color="auto" w:fill="auto"/>
            <w:vAlign w:val="bottom"/>
            <w:hideMark/>
          </w:tcPr>
          <w:p w14:paraId="037C8B27"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589" w:type="dxa"/>
            <w:tcBorders>
              <w:top w:val="nil"/>
              <w:left w:val="nil"/>
              <w:bottom w:val="single" w:sz="4" w:space="0" w:color="auto"/>
              <w:right w:val="nil"/>
            </w:tcBorders>
            <w:shd w:val="clear" w:color="auto" w:fill="auto"/>
            <w:vAlign w:val="bottom"/>
            <w:hideMark/>
          </w:tcPr>
          <w:p w14:paraId="5BF31C8D"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998" w:type="dxa"/>
            <w:tcBorders>
              <w:top w:val="nil"/>
              <w:left w:val="nil"/>
              <w:bottom w:val="single" w:sz="4" w:space="0" w:color="auto"/>
              <w:right w:val="nil"/>
            </w:tcBorders>
            <w:shd w:val="clear" w:color="auto" w:fill="auto"/>
            <w:vAlign w:val="bottom"/>
            <w:hideMark/>
          </w:tcPr>
          <w:p w14:paraId="189B2EB5"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1518" w:type="dxa"/>
            <w:tcBorders>
              <w:top w:val="nil"/>
              <w:left w:val="nil"/>
              <w:bottom w:val="single" w:sz="4" w:space="0" w:color="auto"/>
              <w:right w:val="nil"/>
            </w:tcBorders>
            <w:shd w:val="clear" w:color="auto" w:fill="auto"/>
            <w:vAlign w:val="bottom"/>
            <w:hideMark/>
          </w:tcPr>
          <w:p w14:paraId="145B954C"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854" w:type="dxa"/>
            <w:gridSpan w:val="2"/>
            <w:tcBorders>
              <w:top w:val="nil"/>
              <w:left w:val="nil"/>
              <w:bottom w:val="single" w:sz="4" w:space="0" w:color="auto"/>
              <w:right w:val="nil"/>
            </w:tcBorders>
            <w:shd w:val="clear" w:color="auto" w:fill="auto"/>
            <w:vAlign w:val="bottom"/>
            <w:hideMark/>
          </w:tcPr>
          <w:p w14:paraId="187B3949"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r>
      <w:tr w:rsidR="002D718B" w:rsidRPr="009E7447" w14:paraId="30279616"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tcPr>
          <w:p w14:paraId="26A9D504" w14:textId="668048BD" w:rsidR="002D718B" w:rsidRPr="009E7447" w:rsidRDefault="002D718B" w:rsidP="002D718B">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צובר</w:t>
            </w:r>
          </w:p>
        </w:tc>
        <w:tc>
          <w:tcPr>
            <w:tcW w:w="851" w:type="dxa"/>
            <w:tcBorders>
              <w:top w:val="single" w:sz="4" w:space="0" w:color="auto"/>
              <w:left w:val="nil"/>
              <w:bottom w:val="single" w:sz="4" w:space="0" w:color="auto"/>
              <w:right w:val="nil"/>
            </w:tcBorders>
            <w:shd w:val="clear" w:color="auto" w:fill="auto"/>
            <w:vAlign w:val="bottom"/>
          </w:tcPr>
          <w:p w14:paraId="5C5DD2CB" w14:textId="7B3DC1A3" w:rsidR="002D718B" w:rsidRPr="009E7447" w:rsidRDefault="002D718B" w:rsidP="002D718B">
            <w:pPr>
              <w:spacing w:line="241" w:lineRule="auto"/>
              <w:rPr>
                <w:sz w:val="18"/>
                <w:szCs w:val="18"/>
                <w:rtl/>
              </w:rPr>
            </w:pPr>
            <w:r w:rsidRPr="009E7447">
              <w:rPr>
                <w:rFonts w:hint="cs"/>
                <w:sz w:val="18"/>
                <w:szCs w:val="18"/>
                <w:rtl/>
              </w:rPr>
              <w:t xml:space="preserve"> 0</w:t>
            </w:r>
          </w:p>
        </w:tc>
        <w:tc>
          <w:tcPr>
            <w:tcW w:w="850" w:type="dxa"/>
            <w:tcBorders>
              <w:top w:val="single" w:sz="4" w:space="0" w:color="auto"/>
              <w:left w:val="nil"/>
              <w:bottom w:val="single" w:sz="4" w:space="0" w:color="auto"/>
              <w:right w:val="nil"/>
            </w:tcBorders>
            <w:shd w:val="clear" w:color="auto" w:fill="auto"/>
            <w:vAlign w:val="bottom"/>
          </w:tcPr>
          <w:p w14:paraId="166C9582" w14:textId="0B3A9463"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single" w:sz="4" w:space="0" w:color="auto"/>
              <w:left w:val="nil"/>
              <w:bottom w:val="single" w:sz="4" w:space="0" w:color="auto"/>
              <w:right w:val="nil"/>
            </w:tcBorders>
            <w:shd w:val="clear" w:color="auto" w:fill="auto"/>
            <w:vAlign w:val="bottom"/>
          </w:tcPr>
          <w:p w14:paraId="5EB054F2" w14:textId="615B4B57"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single" w:sz="4" w:space="0" w:color="auto"/>
              <w:left w:val="nil"/>
              <w:bottom w:val="single" w:sz="4" w:space="0" w:color="auto"/>
              <w:right w:val="nil"/>
            </w:tcBorders>
            <w:shd w:val="clear" w:color="auto" w:fill="auto"/>
            <w:vAlign w:val="bottom"/>
          </w:tcPr>
          <w:p w14:paraId="2DB7B503" w14:textId="06663D59"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tcBorders>
              <w:top w:val="single" w:sz="4" w:space="0" w:color="auto"/>
              <w:left w:val="nil"/>
              <w:bottom w:val="single" w:sz="4" w:space="0" w:color="auto"/>
              <w:right w:val="nil"/>
            </w:tcBorders>
            <w:shd w:val="clear" w:color="auto" w:fill="auto"/>
            <w:vAlign w:val="bottom"/>
          </w:tcPr>
          <w:p w14:paraId="7BA7F98C" w14:textId="1B4C32A9"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tcBorders>
              <w:top w:val="single" w:sz="4" w:space="0" w:color="auto"/>
              <w:left w:val="nil"/>
              <w:bottom w:val="single" w:sz="4" w:space="0" w:color="auto"/>
              <w:right w:val="nil"/>
            </w:tcBorders>
            <w:shd w:val="clear" w:color="auto" w:fill="auto"/>
            <w:vAlign w:val="bottom"/>
          </w:tcPr>
          <w:p w14:paraId="761D584E" w14:textId="55404121"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tcBorders>
              <w:top w:val="single" w:sz="4" w:space="0" w:color="auto"/>
              <w:left w:val="nil"/>
              <w:bottom w:val="single" w:sz="4" w:space="0" w:color="auto"/>
              <w:right w:val="nil"/>
            </w:tcBorders>
            <w:shd w:val="clear" w:color="auto" w:fill="auto"/>
            <w:vAlign w:val="bottom"/>
          </w:tcPr>
          <w:p w14:paraId="5ED1B0A1" w14:textId="1D0F709F"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tcBorders>
              <w:top w:val="single" w:sz="4" w:space="0" w:color="auto"/>
              <w:left w:val="nil"/>
              <w:bottom w:val="single" w:sz="4" w:space="0" w:color="auto"/>
              <w:right w:val="nil"/>
            </w:tcBorders>
            <w:shd w:val="clear" w:color="auto" w:fill="auto"/>
            <w:vAlign w:val="bottom"/>
          </w:tcPr>
          <w:p w14:paraId="2D71F9EA" w14:textId="7460513C"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tcBorders>
              <w:top w:val="single" w:sz="4" w:space="0" w:color="auto"/>
              <w:left w:val="nil"/>
              <w:bottom w:val="single" w:sz="4" w:space="0" w:color="auto"/>
              <w:right w:val="nil"/>
            </w:tcBorders>
            <w:shd w:val="clear" w:color="auto" w:fill="auto"/>
            <w:vAlign w:val="bottom"/>
          </w:tcPr>
          <w:p w14:paraId="088D4F4B" w14:textId="2E1963F5"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5063049E" w14:textId="77777777" w:rsidTr="00364C31">
        <w:tblPrEx>
          <w:tblLook w:val="01E0" w:firstRow="1" w:lastRow="1" w:firstColumn="1" w:lastColumn="1" w:noHBand="0" w:noVBand="0"/>
        </w:tblPrEx>
        <w:trPr>
          <w:gridAfter w:val="1"/>
          <w:wAfter w:w="16" w:type="dxa"/>
          <w:trHeight w:val="227"/>
        </w:trPr>
        <w:tc>
          <w:tcPr>
            <w:tcW w:w="2796" w:type="dxa"/>
            <w:gridSpan w:val="2"/>
            <w:tcBorders>
              <w:left w:val="single" w:sz="4" w:space="0" w:color="auto"/>
            </w:tcBorders>
            <w:shd w:val="clear" w:color="auto" w:fill="auto"/>
            <w:vAlign w:val="bottom"/>
          </w:tcPr>
          <w:p w14:paraId="31CC7266" w14:textId="05AC9653" w:rsidR="002D718B" w:rsidRPr="009E7447" w:rsidRDefault="003361A2" w:rsidP="002D718B">
            <w:pPr>
              <w:spacing w:line="241" w:lineRule="auto"/>
              <w:ind w:left="144" w:hanging="144"/>
              <w:jc w:val="left"/>
              <w:rPr>
                <w:rFonts w:asciiTheme="minorBidi" w:hAnsiTheme="minorBidi" w:cstheme="minorBidi"/>
                <w:color w:val="000000"/>
                <w:sz w:val="18"/>
                <w:szCs w:val="18"/>
                <w:rtl/>
                <w:lang w:eastAsia="he-IL"/>
              </w:rPr>
            </w:pPr>
            <w:r w:rsidRPr="002D718B">
              <w:rPr>
                <w:color w:val="000000"/>
                <w:sz w:val="18"/>
                <w:szCs w:val="18"/>
                <w:rtl/>
                <w:lang w:eastAsia="he-IL"/>
              </w:rPr>
              <w:t xml:space="preserve">מחיקות חשבונאיות במהלך </w:t>
            </w:r>
            <w:r>
              <w:rPr>
                <w:rFonts w:hint="cs"/>
                <w:color w:val="000000"/>
                <w:sz w:val="18"/>
                <w:szCs w:val="18"/>
                <w:rtl/>
                <w:lang w:eastAsia="he-IL"/>
              </w:rPr>
              <w:t>התקופה</w:t>
            </w:r>
          </w:p>
        </w:tc>
        <w:tc>
          <w:tcPr>
            <w:tcW w:w="851" w:type="dxa"/>
            <w:tcBorders>
              <w:top w:val="single" w:sz="4" w:space="0" w:color="auto"/>
              <w:left w:val="nil"/>
              <w:bottom w:val="single" w:sz="8" w:space="0" w:color="auto"/>
              <w:right w:val="nil"/>
            </w:tcBorders>
            <w:shd w:val="clear" w:color="auto" w:fill="auto"/>
            <w:vAlign w:val="bottom"/>
            <w:hideMark/>
          </w:tcPr>
          <w:p w14:paraId="0B4D8747"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850" w:type="dxa"/>
            <w:tcBorders>
              <w:top w:val="single" w:sz="4" w:space="0" w:color="auto"/>
              <w:left w:val="nil"/>
              <w:bottom w:val="single" w:sz="8" w:space="0" w:color="auto"/>
              <w:right w:val="nil"/>
            </w:tcBorders>
            <w:shd w:val="clear" w:color="auto" w:fill="auto"/>
            <w:vAlign w:val="bottom"/>
            <w:hideMark/>
          </w:tcPr>
          <w:p w14:paraId="384B6890"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tcBorders>
              <w:top w:val="single" w:sz="4" w:space="0" w:color="auto"/>
              <w:left w:val="nil"/>
              <w:bottom w:val="single" w:sz="8" w:space="0" w:color="auto"/>
              <w:right w:val="nil"/>
            </w:tcBorders>
            <w:shd w:val="clear" w:color="auto" w:fill="auto"/>
            <w:vAlign w:val="bottom"/>
            <w:hideMark/>
          </w:tcPr>
          <w:p w14:paraId="3FF737E0"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tcBorders>
              <w:top w:val="single" w:sz="4" w:space="0" w:color="auto"/>
              <w:left w:val="nil"/>
              <w:bottom w:val="single" w:sz="8" w:space="0" w:color="auto"/>
              <w:right w:val="nil"/>
            </w:tcBorders>
            <w:shd w:val="clear" w:color="auto" w:fill="auto"/>
            <w:vAlign w:val="bottom"/>
            <w:hideMark/>
          </w:tcPr>
          <w:p w14:paraId="0A2764DE"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tcBorders>
              <w:top w:val="single" w:sz="4" w:space="0" w:color="auto"/>
              <w:left w:val="nil"/>
              <w:bottom w:val="single" w:sz="8" w:space="0" w:color="auto"/>
              <w:right w:val="nil"/>
            </w:tcBorders>
            <w:shd w:val="clear" w:color="auto" w:fill="auto"/>
            <w:vAlign w:val="bottom"/>
            <w:hideMark/>
          </w:tcPr>
          <w:p w14:paraId="24555FFB"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589" w:type="dxa"/>
            <w:tcBorders>
              <w:top w:val="single" w:sz="4" w:space="0" w:color="auto"/>
              <w:left w:val="nil"/>
              <w:bottom w:val="single" w:sz="8" w:space="0" w:color="auto"/>
              <w:right w:val="nil"/>
            </w:tcBorders>
            <w:shd w:val="clear" w:color="auto" w:fill="auto"/>
            <w:vAlign w:val="bottom"/>
            <w:hideMark/>
          </w:tcPr>
          <w:p w14:paraId="7A4FF706"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998" w:type="dxa"/>
            <w:tcBorders>
              <w:top w:val="single" w:sz="4" w:space="0" w:color="auto"/>
              <w:left w:val="nil"/>
              <w:bottom w:val="single" w:sz="8" w:space="0" w:color="auto"/>
              <w:right w:val="nil"/>
            </w:tcBorders>
            <w:shd w:val="clear" w:color="auto" w:fill="auto"/>
            <w:vAlign w:val="bottom"/>
            <w:hideMark/>
          </w:tcPr>
          <w:p w14:paraId="68C48F06"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1518" w:type="dxa"/>
            <w:tcBorders>
              <w:top w:val="single" w:sz="4" w:space="0" w:color="auto"/>
              <w:left w:val="nil"/>
              <w:bottom w:val="single" w:sz="8" w:space="0" w:color="auto"/>
              <w:right w:val="nil"/>
            </w:tcBorders>
            <w:shd w:val="clear" w:color="auto" w:fill="auto"/>
            <w:vAlign w:val="bottom"/>
            <w:hideMark/>
          </w:tcPr>
          <w:p w14:paraId="57AFBE1B"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854" w:type="dxa"/>
            <w:gridSpan w:val="2"/>
            <w:tcBorders>
              <w:top w:val="single" w:sz="4" w:space="0" w:color="auto"/>
              <w:left w:val="nil"/>
              <w:bottom w:val="single" w:sz="8" w:space="0" w:color="auto"/>
              <w:right w:val="nil"/>
            </w:tcBorders>
            <w:shd w:val="clear" w:color="auto" w:fill="auto"/>
            <w:vAlign w:val="bottom"/>
            <w:hideMark/>
          </w:tcPr>
          <w:p w14:paraId="0C1D055A"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r>
      <w:tr w:rsidR="002D718B" w:rsidRPr="009E7447" w14:paraId="638FFDA3"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01B500B6" w14:textId="77777777" w:rsidR="002D718B" w:rsidRPr="009E7447" w:rsidRDefault="002D718B" w:rsidP="002D718B">
            <w:pPr>
              <w:spacing w:line="241" w:lineRule="auto"/>
              <w:ind w:left="144" w:hanging="144"/>
              <w:jc w:val="left"/>
              <w:rPr>
                <w:rFonts w:asciiTheme="minorBidi" w:hAnsiTheme="minorBidi" w:cstheme="minorBidi"/>
                <w:b/>
                <w:bCs/>
                <w:color w:val="000000"/>
                <w:sz w:val="18"/>
                <w:szCs w:val="18"/>
                <w:rtl/>
                <w:lang w:eastAsia="he-IL"/>
              </w:rPr>
            </w:pPr>
            <w:r w:rsidRPr="009E7447">
              <w:rPr>
                <w:rFonts w:asciiTheme="minorBidi" w:hAnsiTheme="minorBidi" w:cstheme="minorBidi" w:hint="cs"/>
                <w:b/>
                <w:bCs/>
                <w:color w:val="000000"/>
                <w:sz w:val="18"/>
                <w:szCs w:val="18"/>
                <w:rtl/>
                <w:lang w:eastAsia="he-IL"/>
              </w:rPr>
              <w:t>סך הכל אשראי לציבור – פעילות בישראל</w:t>
            </w:r>
          </w:p>
        </w:tc>
        <w:tc>
          <w:tcPr>
            <w:tcW w:w="851" w:type="dxa"/>
            <w:tcBorders>
              <w:top w:val="single" w:sz="8" w:space="0" w:color="auto"/>
              <w:left w:val="nil"/>
              <w:bottom w:val="single" w:sz="12" w:space="0" w:color="auto"/>
              <w:right w:val="nil"/>
            </w:tcBorders>
            <w:shd w:val="clear" w:color="auto" w:fill="auto"/>
            <w:vAlign w:val="bottom"/>
            <w:hideMark/>
          </w:tcPr>
          <w:p w14:paraId="17E8FB65"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50" w:type="dxa"/>
            <w:tcBorders>
              <w:top w:val="single" w:sz="8" w:space="0" w:color="auto"/>
              <w:left w:val="nil"/>
              <w:bottom w:val="single" w:sz="12" w:space="0" w:color="auto"/>
              <w:right w:val="nil"/>
            </w:tcBorders>
            <w:shd w:val="clear" w:color="auto" w:fill="auto"/>
            <w:vAlign w:val="bottom"/>
            <w:hideMark/>
          </w:tcPr>
          <w:p w14:paraId="60010ACA"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09" w:type="dxa"/>
            <w:tcBorders>
              <w:top w:val="single" w:sz="8" w:space="0" w:color="auto"/>
              <w:left w:val="nil"/>
              <w:bottom w:val="single" w:sz="12" w:space="0" w:color="auto"/>
              <w:right w:val="nil"/>
            </w:tcBorders>
            <w:shd w:val="clear" w:color="auto" w:fill="auto"/>
            <w:vAlign w:val="bottom"/>
            <w:hideMark/>
          </w:tcPr>
          <w:p w14:paraId="2307C199"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09" w:type="dxa"/>
            <w:tcBorders>
              <w:top w:val="single" w:sz="8" w:space="0" w:color="auto"/>
              <w:left w:val="nil"/>
              <w:bottom w:val="single" w:sz="12" w:space="0" w:color="auto"/>
              <w:right w:val="nil"/>
            </w:tcBorders>
            <w:shd w:val="clear" w:color="auto" w:fill="auto"/>
            <w:vAlign w:val="bottom"/>
            <w:hideMark/>
          </w:tcPr>
          <w:p w14:paraId="7B9AD8BB"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09" w:type="dxa"/>
            <w:tcBorders>
              <w:top w:val="single" w:sz="8" w:space="0" w:color="auto"/>
              <w:left w:val="nil"/>
              <w:bottom w:val="single" w:sz="12" w:space="0" w:color="auto"/>
              <w:right w:val="nil"/>
            </w:tcBorders>
            <w:shd w:val="clear" w:color="auto" w:fill="auto"/>
            <w:vAlign w:val="bottom"/>
            <w:hideMark/>
          </w:tcPr>
          <w:p w14:paraId="7E796914"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589" w:type="dxa"/>
            <w:tcBorders>
              <w:top w:val="single" w:sz="8" w:space="0" w:color="auto"/>
              <w:left w:val="nil"/>
              <w:bottom w:val="single" w:sz="12" w:space="0" w:color="auto"/>
              <w:right w:val="nil"/>
            </w:tcBorders>
            <w:shd w:val="clear" w:color="auto" w:fill="auto"/>
            <w:vAlign w:val="bottom"/>
            <w:hideMark/>
          </w:tcPr>
          <w:p w14:paraId="12C11AE1"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998" w:type="dxa"/>
            <w:tcBorders>
              <w:top w:val="single" w:sz="8" w:space="0" w:color="auto"/>
              <w:left w:val="nil"/>
              <w:bottom w:val="single" w:sz="12" w:space="0" w:color="auto"/>
              <w:right w:val="nil"/>
            </w:tcBorders>
            <w:shd w:val="clear" w:color="auto" w:fill="auto"/>
            <w:vAlign w:val="bottom"/>
            <w:hideMark/>
          </w:tcPr>
          <w:p w14:paraId="1530F1E6"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1518" w:type="dxa"/>
            <w:tcBorders>
              <w:top w:val="single" w:sz="8" w:space="0" w:color="auto"/>
              <w:left w:val="nil"/>
              <w:bottom w:val="single" w:sz="12" w:space="0" w:color="auto"/>
              <w:right w:val="nil"/>
            </w:tcBorders>
            <w:shd w:val="clear" w:color="auto" w:fill="auto"/>
            <w:vAlign w:val="bottom"/>
            <w:hideMark/>
          </w:tcPr>
          <w:p w14:paraId="11BCB4F6"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54" w:type="dxa"/>
            <w:gridSpan w:val="2"/>
            <w:tcBorders>
              <w:top w:val="single" w:sz="8" w:space="0" w:color="auto"/>
              <w:left w:val="nil"/>
              <w:bottom w:val="single" w:sz="12" w:space="0" w:color="auto"/>
              <w:right w:val="nil"/>
            </w:tcBorders>
            <w:shd w:val="clear" w:color="auto" w:fill="auto"/>
            <w:vAlign w:val="bottom"/>
            <w:hideMark/>
          </w:tcPr>
          <w:p w14:paraId="0F7701E2"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r>
      <w:tr w:rsidR="002D718B" w:rsidRPr="009E7447" w14:paraId="4ADB2989"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26023B72" w14:textId="77777777" w:rsidR="002D718B" w:rsidRPr="009E7447" w:rsidRDefault="002D718B" w:rsidP="002D718B">
            <w:pPr>
              <w:ind w:left="142" w:hanging="142"/>
              <w:jc w:val="left"/>
              <w:rPr>
                <w:rFonts w:asciiTheme="minorBidi" w:hAnsiTheme="minorBidi" w:cstheme="minorBidi"/>
                <w:b/>
                <w:bCs/>
                <w:color w:val="000000"/>
                <w:sz w:val="18"/>
                <w:szCs w:val="18"/>
                <w:rtl/>
                <w:lang w:eastAsia="he-IL"/>
              </w:rPr>
            </w:pPr>
            <w:r w:rsidRPr="009E7447">
              <w:rPr>
                <w:rFonts w:asciiTheme="minorBidi" w:hAnsiTheme="minorBidi" w:cstheme="minorBidi" w:hint="cs"/>
                <w:b/>
                <w:bCs/>
                <w:color w:val="000000"/>
                <w:sz w:val="18"/>
                <w:szCs w:val="18"/>
                <w:rtl/>
                <w:lang w:eastAsia="he-IL"/>
              </w:rPr>
              <w:t>סך הכל אשראי לציבור – פעילות בחו"ל</w:t>
            </w:r>
          </w:p>
        </w:tc>
        <w:tc>
          <w:tcPr>
            <w:tcW w:w="851" w:type="dxa"/>
            <w:tcBorders>
              <w:top w:val="single" w:sz="12" w:space="0" w:color="auto"/>
            </w:tcBorders>
            <w:shd w:val="clear" w:color="auto" w:fill="auto"/>
            <w:vAlign w:val="bottom"/>
            <w:hideMark/>
          </w:tcPr>
          <w:p w14:paraId="3EAF471A" w14:textId="77777777" w:rsidR="002D718B" w:rsidRPr="009E7447" w:rsidRDefault="002D718B" w:rsidP="002D718B">
            <w:pPr>
              <w:spacing w:line="241" w:lineRule="auto"/>
              <w:rPr>
                <w:rFonts w:asciiTheme="minorBidi" w:hAnsiTheme="minorBidi" w:cstheme="minorBidi"/>
                <w:b/>
                <w:bCs/>
                <w:sz w:val="18"/>
                <w:szCs w:val="18"/>
              </w:rPr>
            </w:pPr>
            <w:r w:rsidRPr="009E7447">
              <w:rPr>
                <w:rFonts w:hint="cs"/>
                <w:b/>
                <w:bCs/>
                <w:sz w:val="18"/>
                <w:szCs w:val="18"/>
                <w:rtl/>
              </w:rPr>
              <w:t xml:space="preserve"> 0</w:t>
            </w:r>
          </w:p>
        </w:tc>
        <w:tc>
          <w:tcPr>
            <w:tcW w:w="850" w:type="dxa"/>
            <w:tcBorders>
              <w:top w:val="single" w:sz="12" w:space="0" w:color="auto"/>
            </w:tcBorders>
            <w:shd w:val="clear" w:color="auto" w:fill="auto"/>
            <w:vAlign w:val="bottom"/>
            <w:hideMark/>
          </w:tcPr>
          <w:p w14:paraId="65477D3F"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09" w:type="dxa"/>
            <w:tcBorders>
              <w:top w:val="single" w:sz="12" w:space="0" w:color="auto"/>
            </w:tcBorders>
            <w:shd w:val="clear" w:color="auto" w:fill="auto"/>
            <w:vAlign w:val="bottom"/>
            <w:hideMark/>
          </w:tcPr>
          <w:p w14:paraId="029CBAB3"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09" w:type="dxa"/>
            <w:tcBorders>
              <w:top w:val="single" w:sz="12" w:space="0" w:color="auto"/>
            </w:tcBorders>
            <w:shd w:val="clear" w:color="auto" w:fill="auto"/>
            <w:vAlign w:val="bottom"/>
            <w:hideMark/>
          </w:tcPr>
          <w:p w14:paraId="51B30C37"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09" w:type="dxa"/>
            <w:tcBorders>
              <w:top w:val="single" w:sz="12" w:space="0" w:color="auto"/>
            </w:tcBorders>
            <w:shd w:val="clear" w:color="auto" w:fill="auto"/>
            <w:vAlign w:val="bottom"/>
            <w:hideMark/>
          </w:tcPr>
          <w:p w14:paraId="5CE873BF"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589" w:type="dxa"/>
            <w:tcBorders>
              <w:top w:val="single" w:sz="12" w:space="0" w:color="auto"/>
            </w:tcBorders>
            <w:shd w:val="clear" w:color="auto" w:fill="auto"/>
            <w:vAlign w:val="bottom"/>
            <w:hideMark/>
          </w:tcPr>
          <w:p w14:paraId="5CAD4817"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998" w:type="dxa"/>
            <w:tcBorders>
              <w:top w:val="single" w:sz="12" w:space="0" w:color="auto"/>
            </w:tcBorders>
            <w:shd w:val="clear" w:color="auto" w:fill="auto"/>
            <w:vAlign w:val="bottom"/>
            <w:hideMark/>
          </w:tcPr>
          <w:p w14:paraId="7EB39529"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1518" w:type="dxa"/>
            <w:tcBorders>
              <w:top w:val="single" w:sz="12" w:space="0" w:color="auto"/>
            </w:tcBorders>
            <w:shd w:val="clear" w:color="auto" w:fill="auto"/>
            <w:vAlign w:val="bottom"/>
            <w:hideMark/>
          </w:tcPr>
          <w:p w14:paraId="4A6E3AEF"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54" w:type="dxa"/>
            <w:gridSpan w:val="2"/>
            <w:tcBorders>
              <w:top w:val="single" w:sz="12" w:space="0" w:color="auto"/>
            </w:tcBorders>
            <w:shd w:val="clear" w:color="auto" w:fill="auto"/>
            <w:vAlign w:val="bottom"/>
            <w:hideMark/>
          </w:tcPr>
          <w:p w14:paraId="01D7B22D"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r>
      <w:tr w:rsidR="002D718B" w:rsidRPr="009E7447" w14:paraId="302868DC"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54D547A9" w14:textId="77777777" w:rsidR="002D718B" w:rsidRPr="009E7447" w:rsidRDefault="002D718B" w:rsidP="002D718B">
            <w:pPr>
              <w:spacing w:line="241" w:lineRule="auto"/>
              <w:ind w:left="144" w:hanging="144"/>
              <w:jc w:val="left"/>
              <w:rPr>
                <w:rFonts w:asciiTheme="minorBidi" w:hAnsiTheme="minorBidi" w:cstheme="minorBidi"/>
                <w:color w:val="000000"/>
                <w:sz w:val="18"/>
                <w:szCs w:val="18"/>
                <w:rtl/>
                <w:lang w:eastAsia="he-IL"/>
              </w:rPr>
            </w:pPr>
            <w:r w:rsidRPr="009E7447">
              <w:rPr>
                <w:rFonts w:asciiTheme="minorBidi" w:hAnsiTheme="minorBidi" w:cstheme="minorBidi" w:hint="cs"/>
                <w:color w:val="000000"/>
                <w:sz w:val="18"/>
                <w:szCs w:val="18"/>
                <w:rtl/>
                <w:lang w:eastAsia="he-IL"/>
              </w:rPr>
              <w:t>אשראי לא בעייתי</w:t>
            </w:r>
          </w:p>
        </w:tc>
        <w:tc>
          <w:tcPr>
            <w:tcW w:w="851" w:type="dxa"/>
            <w:shd w:val="clear" w:color="auto" w:fill="auto"/>
            <w:vAlign w:val="bottom"/>
            <w:hideMark/>
          </w:tcPr>
          <w:p w14:paraId="152AF58A"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850" w:type="dxa"/>
            <w:shd w:val="clear" w:color="auto" w:fill="auto"/>
            <w:vAlign w:val="bottom"/>
            <w:hideMark/>
          </w:tcPr>
          <w:p w14:paraId="2C1A6C20"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shd w:val="clear" w:color="auto" w:fill="auto"/>
            <w:vAlign w:val="bottom"/>
            <w:hideMark/>
          </w:tcPr>
          <w:p w14:paraId="0CB2DBEC"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shd w:val="clear" w:color="auto" w:fill="auto"/>
            <w:vAlign w:val="bottom"/>
            <w:hideMark/>
          </w:tcPr>
          <w:p w14:paraId="44ABAD79"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shd w:val="clear" w:color="auto" w:fill="auto"/>
            <w:vAlign w:val="bottom"/>
            <w:hideMark/>
          </w:tcPr>
          <w:p w14:paraId="092AD267"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589" w:type="dxa"/>
            <w:shd w:val="clear" w:color="auto" w:fill="auto"/>
            <w:vAlign w:val="bottom"/>
            <w:hideMark/>
          </w:tcPr>
          <w:p w14:paraId="4AD66BEB"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998" w:type="dxa"/>
            <w:shd w:val="clear" w:color="auto" w:fill="auto"/>
            <w:vAlign w:val="bottom"/>
            <w:hideMark/>
          </w:tcPr>
          <w:p w14:paraId="1EF7008C"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1518" w:type="dxa"/>
            <w:shd w:val="clear" w:color="auto" w:fill="auto"/>
            <w:vAlign w:val="bottom"/>
            <w:hideMark/>
          </w:tcPr>
          <w:p w14:paraId="04DCBD1A"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854" w:type="dxa"/>
            <w:gridSpan w:val="2"/>
            <w:shd w:val="clear" w:color="auto" w:fill="auto"/>
            <w:vAlign w:val="bottom"/>
            <w:hideMark/>
          </w:tcPr>
          <w:p w14:paraId="234F3170"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r>
      <w:tr w:rsidR="002D718B" w:rsidRPr="009E7447" w14:paraId="13C14125"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hideMark/>
          </w:tcPr>
          <w:p w14:paraId="194B8B3A" w14:textId="77777777" w:rsidR="002D718B" w:rsidRPr="009E7447" w:rsidRDefault="002D718B" w:rsidP="002D718B">
            <w:pPr>
              <w:spacing w:line="241" w:lineRule="auto"/>
              <w:ind w:left="144" w:hanging="144"/>
              <w:jc w:val="left"/>
              <w:rPr>
                <w:rFonts w:asciiTheme="minorBidi" w:hAnsiTheme="minorBidi" w:cstheme="minorBidi"/>
                <w:color w:val="000000"/>
                <w:sz w:val="18"/>
                <w:szCs w:val="18"/>
                <w:rtl/>
                <w:lang w:eastAsia="he-IL"/>
              </w:rPr>
            </w:pPr>
            <w:r w:rsidRPr="009E7447">
              <w:rPr>
                <w:rFonts w:hint="cs"/>
                <w:color w:val="000000"/>
                <w:sz w:val="18"/>
                <w:szCs w:val="18"/>
                <w:rtl/>
                <w:lang w:eastAsia="he-IL"/>
              </w:rPr>
              <w:t>אשראי בעייתי צובר</w:t>
            </w:r>
          </w:p>
        </w:tc>
        <w:tc>
          <w:tcPr>
            <w:tcW w:w="851" w:type="dxa"/>
            <w:shd w:val="clear" w:color="auto" w:fill="auto"/>
            <w:vAlign w:val="bottom"/>
            <w:hideMark/>
          </w:tcPr>
          <w:p w14:paraId="0228F89B"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850" w:type="dxa"/>
            <w:shd w:val="clear" w:color="auto" w:fill="auto"/>
            <w:vAlign w:val="bottom"/>
            <w:hideMark/>
          </w:tcPr>
          <w:p w14:paraId="78D5FF30"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shd w:val="clear" w:color="auto" w:fill="auto"/>
            <w:vAlign w:val="bottom"/>
            <w:hideMark/>
          </w:tcPr>
          <w:p w14:paraId="44ABCD13"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shd w:val="clear" w:color="auto" w:fill="auto"/>
            <w:vAlign w:val="bottom"/>
            <w:hideMark/>
          </w:tcPr>
          <w:p w14:paraId="0DE72D65"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shd w:val="clear" w:color="auto" w:fill="auto"/>
            <w:vAlign w:val="bottom"/>
            <w:hideMark/>
          </w:tcPr>
          <w:p w14:paraId="78C526D9"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589" w:type="dxa"/>
            <w:shd w:val="clear" w:color="auto" w:fill="auto"/>
            <w:vAlign w:val="bottom"/>
            <w:hideMark/>
          </w:tcPr>
          <w:p w14:paraId="3E7044A6"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998" w:type="dxa"/>
            <w:shd w:val="clear" w:color="auto" w:fill="auto"/>
            <w:vAlign w:val="bottom"/>
            <w:hideMark/>
          </w:tcPr>
          <w:p w14:paraId="74066AD8"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1518" w:type="dxa"/>
            <w:shd w:val="clear" w:color="auto" w:fill="auto"/>
            <w:vAlign w:val="bottom"/>
            <w:hideMark/>
          </w:tcPr>
          <w:p w14:paraId="353DD8CE"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854" w:type="dxa"/>
            <w:gridSpan w:val="2"/>
            <w:shd w:val="clear" w:color="auto" w:fill="auto"/>
            <w:vAlign w:val="bottom"/>
            <w:hideMark/>
          </w:tcPr>
          <w:p w14:paraId="20B325E3"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r>
      <w:tr w:rsidR="002D718B" w:rsidRPr="009E7447" w14:paraId="1A5022FA" w14:textId="77777777" w:rsidTr="00364C31">
        <w:tblPrEx>
          <w:tblLook w:val="01E0" w:firstRow="1" w:lastRow="1" w:firstColumn="1" w:lastColumn="1" w:noHBand="0" w:noVBand="0"/>
        </w:tblPrEx>
        <w:trPr>
          <w:gridAfter w:val="1"/>
          <w:wAfter w:w="16" w:type="dxa"/>
          <w:trHeight w:val="227"/>
        </w:trPr>
        <w:tc>
          <w:tcPr>
            <w:tcW w:w="2796" w:type="dxa"/>
            <w:gridSpan w:val="2"/>
            <w:shd w:val="clear" w:color="auto" w:fill="auto"/>
            <w:vAlign w:val="bottom"/>
          </w:tcPr>
          <w:p w14:paraId="10981BE6" w14:textId="2DD77063" w:rsidR="002D718B" w:rsidRPr="009E7447" w:rsidRDefault="002D718B" w:rsidP="002D718B">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צובר</w:t>
            </w:r>
          </w:p>
        </w:tc>
        <w:tc>
          <w:tcPr>
            <w:tcW w:w="851" w:type="dxa"/>
            <w:shd w:val="clear" w:color="auto" w:fill="auto"/>
            <w:vAlign w:val="bottom"/>
          </w:tcPr>
          <w:p w14:paraId="36730D96" w14:textId="379FC9F1" w:rsidR="002D718B" w:rsidRPr="009E7447" w:rsidRDefault="002D718B" w:rsidP="002D718B">
            <w:pPr>
              <w:spacing w:line="241" w:lineRule="auto"/>
              <w:rPr>
                <w:sz w:val="18"/>
                <w:szCs w:val="18"/>
                <w:rtl/>
              </w:rPr>
            </w:pPr>
            <w:r w:rsidRPr="009E7447">
              <w:rPr>
                <w:rFonts w:hint="cs"/>
                <w:sz w:val="18"/>
                <w:szCs w:val="18"/>
                <w:rtl/>
              </w:rPr>
              <w:t xml:space="preserve"> 0</w:t>
            </w:r>
          </w:p>
        </w:tc>
        <w:tc>
          <w:tcPr>
            <w:tcW w:w="850" w:type="dxa"/>
            <w:shd w:val="clear" w:color="auto" w:fill="auto"/>
            <w:vAlign w:val="bottom"/>
          </w:tcPr>
          <w:p w14:paraId="76DD14D2" w14:textId="0812E624"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tcPr>
          <w:p w14:paraId="1A74BA9F" w14:textId="5813A069"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tcPr>
          <w:p w14:paraId="0B2822D5" w14:textId="03FDB1DE" w:rsidR="002D718B" w:rsidRPr="009E7447" w:rsidRDefault="002D718B" w:rsidP="002D718B">
            <w:pPr>
              <w:spacing w:line="241" w:lineRule="auto"/>
              <w:rPr>
                <w:sz w:val="18"/>
                <w:szCs w:val="18"/>
                <w:rtl/>
              </w:rPr>
            </w:pPr>
            <w:r w:rsidRPr="009E7447">
              <w:rPr>
                <w:rFonts w:hint="cs"/>
                <w:sz w:val="18"/>
                <w:szCs w:val="18"/>
                <w:rtl/>
              </w:rPr>
              <w:t xml:space="preserve"> 0</w:t>
            </w:r>
          </w:p>
        </w:tc>
        <w:tc>
          <w:tcPr>
            <w:tcW w:w="709" w:type="dxa"/>
            <w:shd w:val="clear" w:color="auto" w:fill="auto"/>
            <w:vAlign w:val="bottom"/>
          </w:tcPr>
          <w:p w14:paraId="1DCCFA48" w14:textId="369D3D55" w:rsidR="002D718B" w:rsidRPr="009E7447" w:rsidRDefault="002D718B" w:rsidP="002D718B">
            <w:pPr>
              <w:spacing w:line="241" w:lineRule="auto"/>
              <w:rPr>
                <w:sz w:val="18"/>
                <w:szCs w:val="18"/>
                <w:rtl/>
              </w:rPr>
            </w:pPr>
            <w:r w:rsidRPr="009E7447">
              <w:rPr>
                <w:rFonts w:hint="cs"/>
                <w:sz w:val="18"/>
                <w:szCs w:val="18"/>
                <w:rtl/>
              </w:rPr>
              <w:t xml:space="preserve"> 0</w:t>
            </w:r>
          </w:p>
        </w:tc>
        <w:tc>
          <w:tcPr>
            <w:tcW w:w="589" w:type="dxa"/>
            <w:shd w:val="clear" w:color="auto" w:fill="auto"/>
            <w:vAlign w:val="bottom"/>
          </w:tcPr>
          <w:p w14:paraId="5BAA58C6" w14:textId="4946BBBF" w:rsidR="002D718B" w:rsidRPr="009E7447" w:rsidRDefault="002D718B" w:rsidP="002D718B">
            <w:pPr>
              <w:spacing w:line="241" w:lineRule="auto"/>
              <w:rPr>
                <w:sz w:val="18"/>
                <w:szCs w:val="18"/>
                <w:rtl/>
              </w:rPr>
            </w:pPr>
            <w:r w:rsidRPr="009E7447">
              <w:rPr>
                <w:rFonts w:hint="cs"/>
                <w:sz w:val="18"/>
                <w:szCs w:val="18"/>
                <w:rtl/>
              </w:rPr>
              <w:t xml:space="preserve"> 0</w:t>
            </w:r>
          </w:p>
        </w:tc>
        <w:tc>
          <w:tcPr>
            <w:tcW w:w="998" w:type="dxa"/>
            <w:shd w:val="clear" w:color="auto" w:fill="auto"/>
            <w:vAlign w:val="bottom"/>
          </w:tcPr>
          <w:p w14:paraId="311C7BBF" w14:textId="399D6E5F" w:rsidR="002D718B" w:rsidRPr="009E7447" w:rsidRDefault="002D718B" w:rsidP="002D718B">
            <w:pPr>
              <w:spacing w:line="241" w:lineRule="auto"/>
              <w:rPr>
                <w:sz w:val="18"/>
                <w:szCs w:val="18"/>
                <w:rtl/>
              </w:rPr>
            </w:pPr>
            <w:r w:rsidRPr="009E7447">
              <w:rPr>
                <w:rFonts w:hint="cs"/>
                <w:sz w:val="18"/>
                <w:szCs w:val="18"/>
                <w:rtl/>
              </w:rPr>
              <w:t xml:space="preserve"> 0</w:t>
            </w:r>
          </w:p>
        </w:tc>
        <w:tc>
          <w:tcPr>
            <w:tcW w:w="1518" w:type="dxa"/>
            <w:shd w:val="clear" w:color="auto" w:fill="auto"/>
            <w:vAlign w:val="bottom"/>
          </w:tcPr>
          <w:p w14:paraId="2CC423BB" w14:textId="67A00023" w:rsidR="002D718B" w:rsidRPr="009E7447" w:rsidRDefault="002D718B" w:rsidP="002D718B">
            <w:pPr>
              <w:spacing w:line="241" w:lineRule="auto"/>
              <w:rPr>
                <w:sz w:val="18"/>
                <w:szCs w:val="18"/>
                <w:rtl/>
              </w:rPr>
            </w:pPr>
            <w:r w:rsidRPr="009E7447">
              <w:rPr>
                <w:rFonts w:hint="cs"/>
                <w:sz w:val="18"/>
                <w:szCs w:val="18"/>
                <w:rtl/>
              </w:rPr>
              <w:t xml:space="preserve"> 0</w:t>
            </w:r>
          </w:p>
        </w:tc>
        <w:tc>
          <w:tcPr>
            <w:tcW w:w="854" w:type="dxa"/>
            <w:gridSpan w:val="2"/>
            <w:shd w:val="clear" w:color="auto" w:fill="auto"/>
            <w:vAlign w:val="bottom"/>
          </w:tcPr>
          <w:p w14:paraId="7B9B9280" w14:textId="00321F74" w:rsidR="002D718B" w:rsidRPr="009E7447" w:rsidRDefault="002D718B" w:rsidP="002D718B">
            <w:pPr>
              <w:spacing w:line="241" w:lineRule="auto"/>
              <w:rPr>
                <w:sz w:val="18"/>
                <w:szCs w:val="18"/>
                <w:rtl/>
              </w:rPr>
            </w:pPr>
            <w:r w:rsidRPr="009E7447">
              <w:rPr>
                <w:rFonts w:hint="cs"/>
                <w:sz w:val="18"/>
                <w:szCs w:val="18"/>
                <w:rtl/>
              </w:rPr>
              <w:t xml:space="preserve"> 0</w:t>
            </w:r>
          </w:p>
        </w:tc>
      </w:tr>
      <w:tr w:rsidR="002D718B" w:rsidRPr="009E7447" w14:paraId="4703CA88" w14:textId="77777777" w:rsidTr="00364C31">
        <w:tblPrEx>
          <w:tblLook w:val="01E0" w:firstRow="1" w:lastRow="1" w:firstColumn="1" w:lastColumn="1" w:noHBand="0" w:noVBand="0"/>
        </w:tblPrEx>
        <w:trPr>
          <w:gridAfter w:val="1"/>
          <w:wAfter w:w="16" w:type="dxa"/>
          <w:trHeight w:val="227"/>
        </w:trPr>
        <w:tc>
          <w:tcPr>
            <w:tcW w:w="2796" w:type="dxa"/>
            <w:gridSpan w:val="2"/>
            <w:tcBorders>
              <w:left w:val="single" w:sz="4" w:space="0" w:color="auto"/>
            </w:tcBorders>
            <w:shd w:val="clear" w:color="auto" w:fill="auto"/>
            <w:vAlign w:val="bottom"/>
          </w:tcPr>
          <w:p w14:paraId="77ECED73" w14:textId="1AD924F7" w:rsidR="002D718B" w:rsidRPr="009E7447" w:rsidRDefault="003361A2" w:rsidP="002D718B">
            <w:pPr>
              <w:spacing w:line="241" w:lineRule="auto"/>
              <w:ind w:left="144" w:hanging="144"/>
              <w:jc w:val="left"/>
              <w:rPr>
                <w:rFonts w:asciiTheme="minorBidi" w:hAnsiTheme="minorBidi" w:cstheme="minorBidi"/>
                <w:color w:val="000000"/>
                <w:sz w:val="18"/>
                <w:szCs w:val="18"/>
                <w:rtl/>
                <w:lang w:eastAsia="he-IL"/>
              </w:rPr>
            </w:pPr>
            <w:r w:rsidRPr="002D718B">
              <w:rPr>
                <w:color w:val="000000"/>
                <w:sz w:val="18"/>
                <w:szCs w:val="18"/>
                <w:rtl/>
                <w:lang w:eastAsia="he-IL"/>
              </w:rPr>
              <w:t xml:space="preserve">מחיקות חשבונאיות במהלך </w:t>
            </w:r>
            <w:r>
              <w:rPr>
                <w:rFonts w:hint="cs"/>
                <w:color w:val="000000"/>
                <w:sz w:val="18"/>
                <w:szCs w:val="18"/>
                <w:rtl/>
                <w:lang w:eastAsia="he-IL"/>
              </w:rPr>
              <w:t>התקופה</w:t>
            </w:r>
          </w:p>
        </w:tc>
        <w:tc>
          <w:tcPr>
            <w:tcW w:w="851" w:type="dxa"/>
            <w:tcBorders>
              <w:top w:val="nil"/>
              <w:left w:val="nil"/>
              <w:bottom w:val="single" w:sz="12" w:space="0" w:color="auto"/>
              <w:right w:val="nil"/>
            </w:tcBorders>
            <w:shd w:val="clear" w:color="auto" w:fill="auto"/>
            <w:vAlign w:val="bottom"/>
            <w:hideMark/>
          </w:tcPr>
          <w:p w14:paraId="575E39C8"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850" w:type="dxa"/>
            <w:tcBorders>
              <w:top w:val="nil"/>
              <w:left w:val="nil"/>
              <w:bottom w:val="single" w:sz="12" w:space="0" w:color="auto"/>
              <w:right w:val="nil"/>
            </w:tcBorders>
            <w:shd w:val="clear" w:color="auto" w:fill="auto"/>
            <w:vAlign w:val="bottom"/>
            <w:hideMark/>
          </w:tcPr>
          <w:p w14:paraId="54DB81CD"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tcBorders>
              <w:top w:val="nil"/>
              <w:left w:val="nil"/>
              <w:bottom w:val="single" w:sz="12" w:space="0" w:color="auto"/>
              <w:right w:val="nil"/>
            </w:tcBorders>
            <w:shd w:val="clear" w:color="auto" w:fill="auto"/>
            <w:vAlign w:val="bottom"/>
            <w:hideMark/>
          </w:tcPr>
          <w:p w14:paraId="040F6EA4"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tcBorders>
              <w:top w:val="nil"/>
              <w:left w:val="nil"/>
              <w:bottom w:val="single" w:sz="12" w:space="0" w:color="auto"/>
              <w:right w:val="nil"/>
            </w:tcBorders>
            <w:shd w:val="clear" w:color="auto" w:fill="auto"/>
            <w:vAlign w:val="bottom"/>
            <w:hideMark/>
          </w:tcPr>
          <w:p w14:paraId="5F1442E6"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709" w:type="dxa"/>
            <w:tcBorders>
              <w:top w:val="nil"/>
              <w:left w:val="nil"/>
              <w:bottom w:val="single" w:sz="12" w:space="0" w:color="auto"/>
              <w:right w:val="nil"/>
            </w:tcBorders>
            <w:shd w:val="clear" w:color="auto" w:fill="auto"/>
            <w:vAlign w:val="bottom"/>
            <w:hideMark/>
          </w:tcPr>
          <w:p w14:paraId="275749AC"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589" w:type="dxa"/>
            <w:tcBorders>
              <w:top w:val="nil"/>
              <w:left w:val="nil"/>
              <w:bottom w:val="single" w:sz="12" w:space="0" w:color="auto"/>
              <w:right w:val="nil"/>
            </w:tcBorders>
            <w:shd w:val="clear" w:color="auto" w:fill="auto"/>
            <w:vAlign w:val="bottom"/>
            <w:hideMark/>
          </w:tcPr>
          <w:p w14:paraId="5AB21656"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998" w:type="dxa"/>
            <w:tcBorders>
              <w:top w:val="nil"/>
              <w:left w:val="nil"/>
              <w:bottom w:val="single" w:sz="12" w:space="0" w:color="auto"/>
              <w:right w:val="nil"/>
            </w:tcBorders>
            <w:shd w:val="clear" w:color="auto" w:fill="auto"/>
            <w:vAlign w:val="bottom"/>
            <w:hideMark/>
          </w:tcPr>
          <w:p w14:paraId="7D0FCCB0"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1518" w:type="dxa"/>
            <w:tcBorders>
              <w:top w:val="nil"/>
              <w:left w:val="nil"/>
              <w:bottom w:val="single" w:sz="12" w:space="0" w:color="auto"/>
              <w:right w:val="nil"/>
            </w:tcBorders>
            <w:shd w:val="clear" w:color="auto" w:fill="auto"/>
            <w:vAlign w:val="bottom"/>
            <w:hideMark/>
          </w:tcPr>
          <w:p w14:paraId="622C67E8"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c>
          <w:tcPr>
            <w:tcW w:w="854" w:type="dxa"/>
            <w:gridSpan w:val="2"/>
            <w:tcBorders>
              <w:top w:val="nil"/>
              <w:left w:val="nil"/>
              <w:bottom w:val="single" w:sz="12" w:space="0" w:color="auto"/>
              <w:right w:val="nil"/>
            </w:tcBorders>
            <w:shd w:val="clear" w:color="auto" w:fill="auto"/>
            <w:vAlign w:val="bottom"/>
            <w:hideMark/>
          </w:tcPr>
          <w:p w14:paraId="5C9B25BE" w14:textId="77777777" w:rsidR="002D718B" w:rsidRPr="009E7447" w:rsidRDefault="002D718B" w:rsidP="002D718B">
            <w:pPr>
              <w:spacing w:line="241" w:lineRule="auto"/>
              <w:rPr>
                <w:rFonts w:asciiTheme="minorBidi" w:hAnsiTheme="minorBidi" w:cstheme="minorBidi"/>
                <w:sz w:val="18"/>
                <w:szCs w:val="18"/>
                <w:rtl/>
              </w:rPr>
            </w:pPr>
            <w:r w:rsidRPr="009E7447">
              <w:rPr>
                <w:rFonts w:hint="cs"/>
                <w:sz w:val="18"/>
                <w:szCs w:val="18"/>
                <w:rtl/>
              </w:rPr>
              <w:t xml:space="preserve"> 0</w:t>
            </w:r>
          </w:p>
        </w:tc>
      </w:tr>
      <w:tr w:rsidR="002D718B" w:rsidRPr="009E7447" w14:paraId="05BD0A21" w14:textId="77777777" w:rsidTr="00364C31">
        <w:tblPrEx>
          <w:tblLook w:val="01E0" w:firstRow="1" w:lastRow="1" w:firstColumn="1" w:lastColumn="1" w:noHBand="0" w:noVBand="0"/>
        </w:tblPrEx>
        <w:trPr>
          <w:gridAfter w:val="1"/>
          <w:wAfter w:w="16" w:type="dxa"/>
          <w:trHeight w:val="305"/>
        </w:trPr>
        <w:tc>
          <w:tcPr>
            <w:tcW w:w="2796" w:type="dxa"/>
            <w:gridSpan w:val="2"/>
            <w:shd w:val="clear" w:color="auto" w:fill="auto"/>
            <w:vAlign w:val="bottom"/>
            <w:hideMark/>
          </w:tcPr>
          <w:p w14:paraId="777D9B72" w14:textId="77777777" w:rsidR="002D718B" w:rsidRPr="009E7447" w:rsidRDefault="002D718B" w:rsidP="002D718B">
            <w:pPr>
              <w:spacing w:before="120"/>
              <w:ind w:left="142" w:hanging="142"/>
              <w:jc w:val="left"/>
              <w:rPr>
                <w:rFonts w:asciiTheme="minorBidi" w:hAnsiTheme="minorBidi" w:cstheme="minorBidi"/>
                <w:b/>
                <w:bCs/>
                <w:color w:val="000000"/>
                <w:sz w:val="18"/>
                <w:szCs w:val="18"/>
                <w:rtl/>
                <w:lang w:eastAsia="he-IL"/>
              </w:rPr>
            </w:pPr>
            <w:r w:rsidRPr="009E7447">
              <w:rPr>
                <w:rFonts w:asciiTheme="minorBidi" w:hAnsiTheme="minorBidi" w:cstheme="minorBidi" w:hint="cs"/>
                <w:b/>
                <w:bCs/>
                <w:color w:val="000000"/>
                <w:sz w:val="18"/>
                <w:szCs w:val="18"/>
                <w:rtl/>
                <w:lang w:eastAsia="he-IL"/>
              </w:rPr>
              <w:t>סך הכל אשראי לציבור</w:t>
            </w:r>
          </w:p>
        </w:tc>
        <w:tc>
          <w:tcPr>
            <w:tcW w:w="851" w:type="dxa"/>
            <w:tcBorders>
              <w:top w:val="single" w:sz="12" w:space="0" w:color="auto"/>
              <w:left w:val="nil"/>
              <w:bottom w:val="single" w:sz="18" w:space="0" w:color="auto"/>
              <w:right w:val="nil"/>
            </w:tcBorders>
            <w:shd w:val="clear" w:color="auto" w:fill="auto"/>
            <w:vAlign w:val="bottom"/>
            <w:hideMark/>
          </w:tcPr>
          <w:p w14:paraId="28C14EAA"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50" w:type="dxa"/>
            <w:tcBorders>
              <w:top w:val="single" w:sz="12" w:space="0" w:color="auto"/>
              <w:left w:val="nil"/>
              <w:bottom w:val="single" w:sz="18" w:space="0" w:color="auto"/>
              <w:right w:val="nil"/>
            </w:tcBorders>
            <w:shd w:val="clear" w:color="auto" w:fill="auto"/>
            <w:vAlign w:val="bottom"/>
            <w:hideMark/>
          </w:tcPr>
          <w:p w14:paraId="1AF3991D"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09" w:type="dxa"/>
            <w:tcBorders>
              <w:top w:val="single" w:sz="12" w:space="0" w:color="auto"/>
              <w:left w:val="nil"/>
              <w:bottom w:val="single" w:sz="18" w:space="0" w:color="auto"/>
              <w:right w:val="nil"/>
            </w:tcBorders>
            <w:shd w:val="clear" w:color="auto" w:fill="auto"/>
            <w:vAlign w:val="bottom"/>
            <w:hideMark/>
          </w:tcPr>
          <w:p w14:paraId="0E45C0B5"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09" w:type="dxa"/>
            <w:tcBorders>
              <w:top w:val="single" w:sz="12" w:space="0" w:color="auto"/>
              <w:left w:val="nil"/>
              <w:bottom w:val="single" w:sz="18" w:space="0" w:color="auto"/>
              <w:right w:val="nil"/>
            </w:tcBorders>
            <w:shd w:val="clear" w:color="auto" w:fill="auto"/>
            <w:vAlign w:val="bottom"/>
            <w:hideMark/>
          </w:tcPr>
          <w:p w14:paraId="24FEAB0F"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09" w:type="dxa"/>
            <w:tcBorders>
              <w:top w:val="single" w:sz="12" w:space="0" w:color="auto"/>
              <w:left w:val="nil"/>
              <w:bottom w:val="single" w:sz="18" w:space="0" w:color="auto"/>
              <w:right w:val="nil"/>
            </w:tcBorders>
            <w:shd w:val="clear" w:color="auto" w:fill="auto"/>
            <w:vAlign w:val="bottom"/>
            <w:hideMark/>
          </w:tcPr>
          <w:p w14:paraId="58F526FB"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589" w:type="dxa"/>
            <w:tcBorders>
              <w:top w:val="single" w:sz="12" w:space="0" w:color="auto"/>
              <w:left w:val="nil"/>
              <w:bottom w:val="single" w:sz="18" w:space="0" w:color="auto"/>
              <w:right w:val="nil"/>
            </w:tcBorders>
            <w:shd w:val="clear" w:color="auto" w:fill="auto"/>
            <w:vAlign w:val="bottom"/>
            <w:hideMark/>
          </w:tcPr>
          <w:p w14:paraId="4FE53E6E"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998" w:type="dxa"/>
            <w:tcBorders>
              <w:top w:val="single" w:sz="12" w:space="0" w:color="auto"/>
              <w:left w:val="nil"/>
              <w:bottom w:val="single" w:sz="18" w:space="0" w:color="auto"/>
              <w:right w:val="nil"/>
            </w:tcBorders>
            <w:shd w:val="clear" w:color="auto" w:fill="auto"/>
            <w:vAlign w:val="bottom"/>
            <w:hideMark/>
          </w:tcPr>
          <w:p w14:paraId="2898D43C"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1518" w:type="dxa"/>
            <w:tcBorders>
              <w:top w:val="single" w:sz="12" w:space="0" w:color="auto"/>
              <w:left w:val="nil"/>
              <w:bottom w:val="single" w:sz="18" w:space="0" w:color="auto"/>
              <w:right w:val="nil"/>
            </w:tcBorders>
            <w:shd w:val="clear" w:color="auto" w:fill="auto"/>
            <w:vAlign w:val="bottom"/>
            <w:hideMark/>
          </w:tcPr>
          <w:p w14:paraId="0A12C636"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54" w:type="dxa"/>
            <w:gridSpan w:val="2"/>
            <w:tcBorders>
              <w:top w:val="single" w:sz="12" w:space="0" w:color="auto"/>
              <w:left w:val="nil"/>
              <w:bottom w:val="single" w:sz="18" w:space="0" w:color="auto"/>
              <w:right w:val="nil"/>
            </w:tcBorders>
            <w:shd w:val="clear" w:color="auto" w:fill="auto"/>
            <w:vAlign w:val="bottom"/>
            <w:hideMark/>
          </w:tcPr>
          <w:p w14:paraId="0D4AB2E1" w14:textId="77777777" w:rsidR="002D718B" w:rsidRPr="009E7447" w:rsidRDefault="002D718B" w:rsidP="002D718B">
            <w:pPr>
              <w:spacing w:line="241" w:lineRule="auto"/>
              <w:rPr>
                <w:rFonts w:asciiTheme="minorBidi" w:hAnsiTheme="minorBidi" w:cstheme="minorBidi"/>
                <w:b/>
                <w:bCs/>
                <w:sz w:val="18"/>
                <w:szCs w:val="18"/>
                <w:rtl/>
              </w:rPr>
            </w:pPr>
            <w:r w:rsidRPr="009E7447">
              <w:rPr>
                <w:rFonts w:hint="cs"/>
                <w:b/>
                <w:bCs/>
                <w:sz w:val="18"/>
                <w:szCs w:val="18"/>
                <w:rtl/>
              </w:rPr>
              <w:t xml:space="preserve"> 0</w:t>
            </w:r>
          </w:p>
        </w:tc>
      </w:tr>
    </w:tbl>
    <w:p w14:paraId="4BE526D8" w14:textId="77777777" w:rsidR="009331D4" w:rsidRDefault="009331D4" w:rsidP="00941DC3">
      <w:pPr>
        <w:rPr>
          <w:b/>
          <w:bCs/>
          <w:u w:val="single"/>
          <w:rtl/>
        </w:rPr>
      </w:pPr>
      <w:bookmarkStart w:id="42" w:name="_Hlk102290871"/>
      <w:bookmarkEnd w:id="41"/>
    </w:p>
    <w:bookmarkEnd w:id="42"/>
    <w:p w14:paraId="631B750E" w14:textId="5E076B86" w:rsidR="00C1584D" w:rsidRDefault="00C1584D">
      <w:pPr>
        <w:bidi w:val="0"/>
        <w:jc w:val="left"/>
      </w:pPr>
      <w:r>
        <w:rPr>
          <w:rtl/>
        </w:rPr>
        <w:br w:type="page"/>
      </w:r>
    </w:p>
    <w:tbl>
      <w:tblPr>
        <w:bidiVisual/>
        <w:tblW w:w="5192" w:type="pct"/>
        <w:tblInd w:w="-336" w:type="dxa"/>
        <w:tblLook w:val="04A0" w:firstRow="1" w:lastRow="0" w:firstColumn="1" w:lastColumn="0" w:noHBand="0" w:noVBand="1"/>
      </w:tblPr>
      <w:tblGrid>
        <w:gridCol w:w="1373"/>
        <w:gridCol w:w="425"/>
        <w:gridCol w:w="578"/>
        <w:gridCol w:w="825"/>
        <w:gridCol w:w="794"/>
        <w:gridCol w:w="794"/>
        <w:gridCol w:w="794"/>
        <w:gridCol w:w="794"/>
        <w:gridCol w:w="817"/>
        <w:gridCol w:w="999"/>
        <w:gridCol w:w="1531"/>
        <w:gridCol w:w="21"/>
        <w:gridCol w:w="838"/>
        <w:gridCol w:w="16"/>
      </w:tblGrid>
      <w:tr w:rsidR="00732544" w:rsidRPr="009E7447" w14:paraId="5ABA0C56" w14:textId="77777777" w:rsidTr="00C1584D">
        <w:trPr>
          <w:gridAfter w:val="1"/>
          <w:wAfter w:w="16" w:type="dxa"/>
          <w:trHeight w:val="259"/>
        </w:trPr>
        <w:tc>
          <w:tcPr>
            <w:tcW w:w="1373" w:type="dxa"/>
            <w:shd w:val="clear" w:color="auto" w:fill="auto"/>
          </w:tcPr>
          <w:p w14:paraId="4ED81BDB" w14:textId="77777777" w:rsidR="00732544" w:rsidRPr="009E7447" w:rsidRDefault="00732544" w:rsidP="00400DD1">
            <w:pPr>
              <w:spacing w:after="60"/>
              <w:ind w:right="-144"/>
              <w:jc w:val="left"/>
              <w:rPr>
                <w:spacing w:val="-6"/>
                <w:sz w:val="14"/>
                <w:szCs w:val="14"/>
                <w:rtl/>
              </w:rPr>
            </w:pPr>
          </w:p>
        </w:tc>
        <w:tc>
          <w:tcPr>
            <w:tcW w:w="9210" w:type="dxa"/>
            <w:gridSpan w:val="12"/>
            <w:shd w:val="clear" w:color="auto" w:fill="auto"/>
          </w:tcPr>
          <w:p w14:paraId="53B17A9F" w14:textId="77777777" w:rsidR="00732544" w:rsidRPr="009E7447" w:rsidRDefault="00732544" w:rsidP="00400DD1">
            <w:pPr>
              <w:rPr>
                <w:b/>
                <w:bCs/>
                <w:sz w:val="22"/>
                <w:szCs w:val="22"/>
                <w:rtl/>
              </w:rPr>
            </w:pPr>
            <w:r w:rsidRPr="009E7447">
              <w:rPr>
                <w:b/>
                <w:bCs/>
                <w:sz w:val="22"/>
                <w:szCs w:val="22"/>
                <w:rtl/>
              </w:rPr>
              <w:t xml:space="preserve">ביאור </w:t>
            </w:r>
            <w:r w:rsidRPr="009E7447">
              <w:rPr>
                <w:rFonts w:hint="cs"/>
                <w:b/>
                <w:bCs/>
                <w:sz w:val="22"/>
                <w:szCs w:val="22"/>
                <w:rtl/>
              </w:rPr>
              <w:t>12</w:t>
            </w:r>
            <w:r w:rsidRPr="009E7447">
              <w:rPr>
                <w:b/>
                <w:bCs/>
                <w:sz w:val="22"/>
                <w:szCs w:val="22"/>
                <w:rtl/>
              </w:rPr>
              <w:t xml:space="preserve">  -  </w:t>
            </w:r>
            <w:r w:rsidRPr="009E7447">
              <w:rPr>
                <w:rFonts w:hint="cs"/>
                <w:b/>
                <w:bCs/>
                <w:sz w:val="22"/>
                <w:szCs w:val="22"/>
                <w:rtl/>
              </w:rPr>
              <w:t xml:space="preserve">מידע נוסף על </w:t>
            </w:r>
            <w:r w:rsidRPr="009E7447">
              <w:rPr>
                <w:b/>
                <w:bCs/>
                <w:sz w:val="22"/>
                <w:szCs w:val="22"/>
                <w:rtl/>
              </w:rPr>
              <w:t>סיכון אשראי, אשראי לציבור והפרשה להפסדי אשראי</w:t>
            </w:r>
            <w:r w:rsidRPr="009E7447">
              <w:rPr>
                <w:rFonts w:hint="cs"/>
                <w:b/>
                <w:bCs/>
                <w:sz w:val="22"/>
                <w:szCs w:val="22"/>
                <w:rtl/>
              </w:rPr>
              <w:t xml:space="preserve"> (המשך):</w:t>
            </w:r>
          </w:p>
        </w:tc>
      </w:tr>
      <w:tr w:rsidR="00732544" w:rsidRPr="009E7447" w14:paraId="1F13F628" w14:textId="77777777" w:rsidTr="00C1584D">
        <w:tblPrEx>
          <w:jc w:val="right"/>
          <w:tblInd w:w="0" w:type="dxa"/>
          <w:tblLook w:val="0000" w:firstRow="0" w:lastRow="0" w:firstColumn="0" w:lastColumn="0" w:noHBand="0" w:noVBand="0"/>
        </w:tblPrEx>
        <w:trPr>
          <w:gridAfter w:val="1"/>
          <w:wAfter w:w="16" w:type="dxa"/>
          <w:trHeight w:val="245"/>
          <w:jc w:val="right"/>
        </w:trPr>
        <w:tc>
          <w:tcPr>
            <w:tcW w:w="1373" w:type="dxa"/>
            <w:shd w:val="clear" w:color="auto" w:fill="auto"/>
          </w:tcPr>
          <w:p w14:paraId="2E7832A2" w14:textId="77777777" w:rsidR="00732544" w:rsidRPr="009E7447" w:rsidRDefault="00732544" w:rsidP="00400DD1">
            <w:pPr>
              <w:spacing w:before="100" w:after="60"/>
              <w:rPr>
                <w:spacing w:val="-4"/>
                <w:rtl/>
              </w:rPr>
            </w:pPr>
          </w:p>
        </w:tc>
        <w:tc>
          <w:tcPr>
            <w:tcW w:w="425" w:type="dxa"/>
            <w:shd w:val="clear" w:color="auto" w:fill="auto"/>
          </w:tcPr>
          <w:p w14:paraId="543B4033" w14:textId="77777777" w:rsidR="00732544" w:rsidRPr="009E7447" w:rsidRDefault="00732544" w:rsidP="00400DD1">
            <w:pPr>
              <w:spacing w:before="60" w:after="60"/>
              <w:jc w:val="left"/>
              <w:rPr>
                <w:b/>
                <w:bCs/>
                <w:rtl/>
              </w:rPr>
            </w:pPr>
            <w:r>
              <w:rPr>
                <w:rFonts w:hint="cs"/>
                <w:b/>
                <w:bCs/>
                <w:rtl/>
              </w:rPr>
              <w:t>ב</w:t>
            </w:r>
            <w:r w:rsidRPr="009E7447">
              <w:rPr>
                <w:rFonts w:hint="cs"/>
                <w:b/>
                <w:bCs/>
                <w:rtl/>
              </w:rPr>
              <w:t>.</w:t>
            </w:r>
          </w:p>
        </w:tc>
        <w:tc>
          <w:tcPr>
            <w:tcW w:w="8785" w:type="dxa"/>
            <w:gridSpan w:val="11"/>
            <w:shd w:val="clear" w:color="auto" w:fill="auto"/>
          </w:tcPr>
          <w:p w14:paraId="001ACC15" w14:textId="77777777" w:rsidR="00732544" w:rsidRPr="009E7447" w:rsidRDefault="00732544" w:rsidP="00400DD1">
            <w:pPr>
              <w:spacing w:before="60" w:after="60" w:line="180" w:lineRule="exact"/>
              <w:jc w:val="left"/>
              <w:rPr>
                <w:b/>
                <w:bCs/>
                <w:rtl/>
              </w:rPr>
            </w:pPr>
            <w:r w:rsidRPr="009E7447">
              <w:rPr>
                <w:rFonts w:hint="cs"/>
                <w:b/>
                <w:bCs/>
                <w:rtl/>
              </w:rPr>
              <w:t>אשראי לציבור</w:t>
            </w:r>
            <w:r w:rsidRPr="009E7447">
              <w:rPr>
                <w:b/>
                <w:bCs/>
                <w:rtl/>
              </w:rPr>
              <w:t xml:space="preserve"> (המשך):</w:t>
            </w:r>
          </w:p>
        </w:tc>
      </w:tr>
      <w:tr w:rsidR="00732544" w:rsidRPr="009E7447" w14:paraId="51B878EA" w14:textId="77777777" w:rsidTr="00C1584D">
        <w:tblPrEx>
          <w:jc w:val="right"/>
          <w:tblInd w:w="0" w:type="dxa"/>
          <w:tblLook w:val="0000" w:firstRow="0" w:lastRow="0" w:firstColumn="0" w:lastColumn="0" w:noHBand="0" w:noVBand="0"/>
        </w:tblPrEx>
        <w:trPr>
          <w:gridAfter w:val="1"/>
          <w:wAfter w:w="16" w:type="dxa"/>
          <w:trHeight w:val="325"/>
          <w:jc w:val="right"/>
        </w:trPr>
        <w:tc>
          <w:tcPr>
            <w:tcW w:w="1798" w:type="dxa"/>
            <w:gridSpan w:val="2"/>
            <w:shd w:val="clear" w:color="auto" w:fill="auto"/>
          </w:tcPr>
          <w:p w14:paraId="6673C6ED" w14:textId="3AFAFFC9" w:rsidR="00732544" w:rsidRPr="009E7447" w:rsidRDefault="00732544" w:rsidP="00400DD1">
            <w:pPr>
              <w:jc w:val="left"/>
              <w:rPr>
                <w:b/>
                <w:bCs/>
                <w:rtl/>
              </w:rPr>
            </w:pPr>
          </w:p>
        </w:tc>
        <w:tc>
          <w:tcPr>
            <w:tcW w:w="8785" w:type="dxa"/>
            <w:gridSpan w:val="11"/>
            <w:tcBorders>
              <w:left w:val="nil"/>
            </w:tcBorders>
            <w:shd w:val="clear" w:color="auto" w:fill="auto"/>
          </w:tcPr>
          <w:p w14:paraId="02A36724" w14:textId="0CA494D0" w:rsidR="00732544" w:rsidRPr="009E7447" w:rsidRDefault="00732544" w:rsidP="00400DD1">
            <w:pPr>
              <w:tabs>
                <w:tab w:val="left" w:pos="446"/>
              </w:tabs>
              <w:spacing w:line="220" w:lineRule="exact"/>
              <w:ind w:left="448" w:hanging="448"/>
              <w:rPr>
                <w:b/>
                <w:bCs/>
                <w:rtl/>
              </w:rPr>
            </w:pPr>
            <w:r>
              <w:rPr>
                <w:rFonts w:hint="cs"/>
                <w:b/>
                <w:bCs/>
                <w:rtl/>
              </w:rPr>
              <w:t>1.1</w:t>
            </w:r>
            <w:r w:rsidRPr="009E7447">
              <w:rPr>
                <w:b/>
                <w:bCs/>
                <w:rtl/>
              </w:rPr>
              <w:tab/>
            </w:r>
            <w:r w:rsidR="0063152C" w:rsidRPr="0063152C">
              <w:rPr>
                <w:b/>
                <w:bCs/>
                <w:rtl/>
              </w:rPr>
              <w:t>איכות אשראי לפי שנות העמדת האשראי</w:t>
            </w:r>
            <w:r w:rsidR="0063152C">
              <w:rPr>
                <w:rFonts w:hint="cs"/>
                <w:b/>
                <w:bCs/>
                <w:rtl/>
              </w:rPr>
              <w:t xml:space="preserve">: </w:t>
            </w:r>
            <w:r w:rsidR="0063152C" w:rsidRPr="0063152C">
              <w:rPr>
                <w:rFonts w:hint="cs"/>
                <w:rtl/>
              </w:rPr>
              <w:t>(המשך)</w:t>
            </w:r>
          </w:p>
        </w:tc>
      </w:tr>
      <w:tr w:rsidR="00732544" w:rsidRPr="009E7447" w14:paraId="5AB6B8E0" w14:textId="77777777" w:rsidTr="00C1584D">
        <w:tblPrEx>
          <w:tblLook w:val="01E0" w:firstRow="1" w:lastRow="1" w:firstColumn="1" w:lastColumn="1" w:noHBand="0" w:noVBand="0"/>
        </w:tblPrEx>
        <w:trPr>
          <w:trHeight w:val="259"/>
        </w:trPr>
        <w:tc>
          <w:tcPr>
            <w:tcW w:w="2376" w:type="dxa"/>
            <w:gridSpan w:val="3"/>
            <w:shd w:val="clear" w:color="auto" w:fill="auto"/>
            <w:vAlign w:val="bottom"/>
          </w:tcPr>
          <w:p w14:paraId="2D0382A0" w14:textId="77777777" w:rsidR="00732544" w:rsidRPr="007D10F6" w:rsidRDefault="00732544" w:rsidP="00400DD1">
            <w:pPr>
              <w:spacing w:line="241" w:lineRule="auto"/>
              <w:ind w:left="144" w:hanging="144"/>
              <w:jc w:val="left"/>
              <w:rPr>
                <w:color w:val="000000"/>
                <w:sz w:val="18"/>
                <w:szCs w:val="18"/>
                <w:rtl/>
                <w:lang w:eastAsia="he-IL"/>
              </w:rPr>
            </w:pPr>
          </w:p>
        </w:tc>
        <w:tc>
          <w:tcPr>
            <w:tcW w:w="8223" w:type="dxa"/>
            <w:gridSpan w:val="11"/>
            <w:tcBorders>
              <w:left w:val="nil"/>
            </w:tcBorders>
            <w:shd w:val="clear" w:color="auto" w:fill="auto"/>
            <w:vAlign w:val="bottom"/>
            <w:hideMark/>
          </w:tcPr>
          <w:p w14:paraId="7AB707E4" w14:textId="65424322" w:rsidR="00732544" w:rsidRPr="00F75066" w:rsidRDefault="00732544" w:rsidP="00F75066">
            <w:pPr>
              <w:spacing w:after="120"/>
              <w:jc w:val="center"/>
              <w:rPr>
                <w:b/>
                <w:bCs/>
                <w:sz w:val="18"/>
                <w:szCs w:val="18"/>
                <w:u w:val="single"/>
                <w:rtl/>
              </w:rPr>
            </w:pPr>
            <w:r w:rsidRPr="00F75066">
              <w:rPr>
                <w:rFonts w:hint="cs"/>
                <w:b/>
                <w:bCs/>
                <w:sz w:val="18"/>
                <w:szCs w:val="18"/>
                <w:u w:val="single"/>
                <w:rtl/>
              </w:rPr>
              <w:t xml:space="preserve">ליום 30 ביוני </w:t>
            </w:r>
            <w:r w:rsidRPr="00F75066">
              <w:rPr>
                <w:b/>
                <w:bCs/>
                <w:sz w:val="18"/>
                <w:szCs w:val="18"/>
                <w:u w:val="single"/>
                <w:rtl/>
              </w:rPr>
              <w:fldChar w:fldCharType="begin"/>
            </w:r>
            <w:r w:rsidRPr="00F75066">
              <w:rPr>
                <w:b/>
                <w:bCs/>
                <w:sz w:val="18"/>
                <w:szCs w:val="18"/>
                <w:u w:val="single"/>
                <w:rtl/>
              </w:rPr>
              <w:instrText xml:space="preserve"> </w:instrText>
            </w:r>
            <w:r w:rsidRPr="00F75066">
              <w:rPr>
                <w:rFonts w:hint="cs"/>
                <w:b/>
                <w:bCs/>
                <w:sz w:val="18"/>
                <w:szCs w:val="18"/>
                <w:u w:val="single"/>
                <w:rtl/>
              </w:rPr>
              <w:instrText xml:space="preserve">= </w:instrText>
            </w:r>
            <w:r w:rsidRPr="00F75066">
              <w:rPr>
                <w:rFonts w:hint="cs"/>
                <w:b/>
                <w:bCs/>
                <w:sz w:val="18"/>
                <w:szCs w:val="18"/>
                <w:u w:val="single"/>
              </w:rPr>
              <w:instrText>CY</w:instrText>
            </w:r>
            <w:r w:rsidRPr="00F75066">
              <w:rPr>
                <w:b/>
                <w:bCs/>
                <w:sz w:val="18"/>
                <w:szCs w:val="18"/>
                <w:u w:val="single"/>
              </w:rPr>
              <w:instrText>-1</w:instrText>
            </w:r>
            <w:r w:rsidRPr="00F75066">
              <w:rPr>
                <w:rFonts w:hint="cs"/>
                <w:b/>
                <w:bCs/>
                <w:sz w:val="18"/>
                <w:szCs w:val="18"/>
                <w:u w:val="single"/>
              </w:rPr>
              <w:instrText xml:space="preserve"> \* MERGEFORMAT</w:instrText>
            </w:r>
            <w:r w:rsidRPr="00F75066">
              <w:rPr>
                <w:b/>
                <w:bCs/>
                <w:sz w:val="18"/>
                <w:szCs w:val="18"/>
                <w:u w:val="single"/>
                <w:rtl/>
              </w:rPr>
              <w:instrText xml:space="preserve"> </w:instrText>
            </w:r>
            <w:r w:rsidRPr="00F75066">
              <w:rPr>
                <w:b/>
                <w:bCs/>
                <w:sz w:val="18"/>
                <w:szCs w:val="18"/>
                <w:u w:val="single"/>
                <w:rtl/>
              </w:rPr>
              <w:fldChar w:fldCharType="separate"/>
            </w:r>
            <w:r w:rsidR="003A584F" w:rsidRPr="00F75066">
              <w:rPr>
                <w:b/>
                <w:bCs/>
                <w:noProof/>
                <w:sz w:val="18"/>
                <w:szCs w:val="18"/>
                <w:u w:val="single"/>
                <w:rtl/>
              </w:rPr>
              <w:t>2023</w:t>
            </w:r>
            <w:r w:rsidRPr="00F75066">
              <w:rPr>
                <w:b/>
                <w:bCs/>
                <w:sz w:val="18"/>
                <w:szCs w:val="18"/>
                <w:u w:val="single"/>
                <w:rtl/>
              </w:rPr>
              <w:fldChar w:fldCharType="end"/>
            </w:r>
            <w:r w:rsidRPr="00F75066">
              <w:rPr>
                <w:rFonts w:hint="cs"/>
                <w:b/>
                <w:bCs/>
                <w:sz w:val="18"/>
                <w:szCs w:val="18"/>
                <w:u w:val="single"/>
                <w:rtl/>
              </w:rPr>
              <w:t xml:space="preserve">  </w:t>
            </w:r>
            <w:r w:rsidRPr="00F75066">
              <w:rPr>
                <w:rFonts w:hint="cs"/>
                <w:sz w:val="18"/>
                <w:szCs w:val="18"/>
                <w:u w:val="single"/>
                <w:rtl/>
              </w:rPr>
              <w:t>(</w:t>
            </w:r>
            <w:r w:rsidRPr="00F75066">
              <w:rPr>
                <w:rFonts w:hint="eastAsia"/>
                <w:sz w:val="18"/>
                <w:szCs w:val="18"/>
                <w:u w:val="single"/>
                <w:rtl/>
              </w:rPr>
              <w:t>בלתי</w:t>
            </w:r>
            <w:r w:rsidRPr="00F75066">
              <w:rPr>
                <w:sz w:val="18"/>
                <w:szCs w:val="18"/>
                <w:u w:val="single"/>
                <w:rtl/>
              </w:rPr>
              <w:t xml:space="preserve"> </w:t>
            </w:r>
            <w:r w:rsidRPr="00F75066">
              <w:rPr>
                <w:rFonts w:hint="eastAsia"/>
                <w:sz w:val="18"/>
                <w:szCs w:val="18"/>
                <w:u w:val="single"/>
                <w:rtl/>
              </w:rPr>
              <w:t>מבוקר</w:t>
            </w:r>
            <w:r w:rsidRPr="00F75066">
              <w:rPr>
                <w:rFonts w:hint="cs"/>
                <w:sz w:val="18"/>
                <w:szCs w:val="18"/>
                <w:u w:val="single"/>
                <w:rtl/>
              </w:rPr>
              <w:t>)</w:t>
            </w:r>
          </w:p>
        </w:tc>
      </w:tr>
      <w:tr w:rsidR="00732544" w:rsidRPr="009E7447" w14:paraId="0D6F203A" w14:textId="77777777" w:rsidTr="00C1584D">
        <w:tblPrEx>
          <w:tblLook w:val="01E0" w:firstRow="1" w:lastRow="1" w:firstColumn="1" w:lastColumn="1" w:noHBand="0" w:noVBand="0"/>
        </w:tblPrEx>
        <w:trPr>
          <w:trHeight w:val="259"/>
        </w:trPr>
        <w:tc>
          <w:tcPr>
            <w:tcW w:w="2376" w:type="dxa"/>
            <w:gridSpan w:val="3"/>
            <w:shd w:val="clear" w:color="auto" w:fill="auto"/>
            <w:vAlign w:val="bottom"/>
          </w:tcPr>
          <w:p w14:paraId="2EDF5DBD" w14:textId="4A338322" w:rsidR="00732544" w:rsidRPr="00C15D9A" w:rsidRDefault="00732544" w:rsidP="00400DD1">
            <w:pPr>
              <w:spacing w:line="241" w:lineRule="auto"/>
              <w:ind w:left="144" w:hanging="144"/>
              <w:jc w:val="left"/>
              <w:rPr>
                <w:color w:val="000000"/>
                <w:sz w:val="16"/>
                <w:szCs w:val="16"/>
                <w:rtl/>
                <w:lang w:eastAsia="he-IL"/>
              </w:rPr>
            </w:pPr>
          </w:p>
        </w:tc>
        <w:tc>
          <w:tcPr>
            <w:tcW w:w="4818" w:type="dxa"/>
            <w:gridSpan w:val="6"/>
            <w:tcBorders>
              <w:left w:val="nil"/>
            </w:tcBorders>
            <w:shd w:val="clear" w:color="auto" w:fill="auto"/>
            <w:vAlign w:val="bottom"/>
            <w:hideMark/>
          </w:tcPr>
          <w:p w14:paraId="4A1BF8DF" w14:textId="77777777" w:rsidR="00732544" w:rsidRPr="009E7447" w:rsidRDefault="00732544" w:rsidP="00400DD1">
            <w:pPr>
              <w:pBdr>
                <w:bottom w:val="single" w:sz="4" w:space="1" w:color="auto"/>
              </w:pBdr>
              <w:spacing w:after="60"/>
              <w:jc w:val="center"/>
              <w:rPr>
                <w:b/>
                <w:bCs/>
                <w:sz w:val="18"/>
                <w:szCs w:val="18"/>
                <w:rtl/>
              </w:rPr>
            </w:pPr>
            <w:r w:rsidRPr="009E7447">
              <w:rPr>
                <w:rFonts w:hint="cs"/>
                <w:b/>
                <w:bCs/>
                <w:sz w:val="18"/>
                <w:szCs w:val="18"/>
                <w:rtl/>
              </w:rPr>
              <w:t>יתרת חוב רשומה של אשראי לציבור לזמן קצוב</w:t>
            </w:r>
          </w:p>
        </w:tc>
        <w:tc>
          <w:tcPr>
            <w:tcW w:w="2551" w:type="dxa"/>
            <w:gridSpan w:val="3"/>
            <w:shd w:val="clear" w:color="auto" w:fill="auto"/>
            <w:vAlign w:val="bottom"/>
          </w:tcPr>
          <w:p w14:paraId="2E275B5B" w14:textId="77777777" w:rsidR="00732544" w:rsidRPr="009E7447" w:rsidRDefault="00732544" w:rsidP="00400DD1">
            <w:pPr>
              <w:pBdr>
                <w:bottom w:val="single" w:sz="4" w:space="1" w:color="auto"/>
              </w:pBdr>
              <w:spacing w:after="60"/>
              <w:jc w:val="center"/>
              <w:rPr>
                <w:b/>
                <w:bCs/>
                <w:sz w:val="18"/>
                <w:szCs w:val="18"/>
                <w:rtl/>
              </w:rPr>
            </w:pPr>
            <w:r w:rsidRPr="009E7447">
              <w:rPr>
                <w:rFonts w:hint="cs"/>
                <w:b/>
                <w:bCs/>
                <w:sz w:val="18"/>
                <w:szCs w:val="18"/>
                <w:rtl/>
              </w:rPr>
              <w:t>יתרת חוב רשומה של</w:t>
            </w:r>
          </w:p>
        </w:tc>
        <w:tc>
          <w:tcPr>
            <w:tcW w:w="854" w:type="dxa"/>
            <w:gridSpan w:val="2"/>
            <w:shd w:val="clear" w:color="auto" w:fill="auto"/>
          </w:tcPr>
          <w:p w14:paraId="36E86B74" w14:textId="77777777" w:rsidR="00732544" w:rsidRPr="009E7447" w:rsidRDefault="00732544" w:rsidP="00400DD1">
            <w:pPr>
              <w:spacing w:line="241" w:lineRule="auto"/>
              <w:jc w:val="center"/>
              <w:rPr>
                <w:b/>
                <w:bCs/>
                <w:sz w:val="18"/>
                <w:szCs w:val="18"/>
                <w:rtl/>
              </w:rPr>
            </w:pPr>
          </w:p>
        </w:tc>
      </w:tr>
      <w:tr w:rsidR="00732544" w:rsidRPr="009E7447" w14:paraId="52D5CF8C" w14:textId="77777777" w:rsidTr="00C1584D">
        <w:tblPrEx>
          <w:tblLook w:val="01E0" w:firstRow="1" w:lastRow="1" w:firstColumn="1" w:lastColumn="1" w:noHBand="0" w:noVBand="0"/>
        </w:tblPrEx>
        <w:trPr>
          <w:gridAfter w:val="1"/>
          <w:wAfter w:w="16" w:type="dxa"/>
          <w:trHeight w:val="602"/>
        </w:trPr>
        <w:tc>
          <w:tcPr>
            <w:tcW w:w="2376" w:type="dxa"/>
            <w:gridSpan w:val="3"/>
            <w:shd w:val="clear" w:color="auto" w:fill="auto"/>
            <w:vAlign w:val="bottom"/>
          </w:tcPr>
          <w:p w14:paraId="7B3417CD" w14:textId="77777777" w:rsidR="00732544" w:rsidRPr="009E7447" w:rsidRDefault="00732544" w:rsidP="00400DD1">
            <w:pPr>
              <w:spacing w:line="241" w:lineRule="auto"/>
              <w:jc w:val="left"/>
              <w:rPr>
                <w:color w:val="000000"/>
                <w:sz w:val="18"/>
                <w:szCs w:val="18"/>
                <w:u w:val="single"/>
                <w:rtl/>
                <w:lang w:eastAsia="he-IL"/>
              </w:rPr>
            </w:pPr>
          </w:p>
          <w:p w14:paraId="1881FF4C" w14:textId="77777777" w:rsidR="00732544" w:rsidRPr="009E7447" w:rsidRDefault="00732544" w:rsidP="00400DD1">
            <w:pPr>
              <w:spacing w:line="241" w:lineRule="auto"/>
              <w:jc w:val="left"/>
              <w:rPr>
                <w:color w:val="000000"/>
                <w:sz w:val="18"/>
                <w:szCs w:val="18"/>
                <w:rtl/>
                <w:lang w:eastAsia="he-IL"/>
              </w:rPr>
            </w:pPr>
            <w:r w:rsidRPr="009E7447">
              <w:rPr>
                <w:rFonts w:hint="cs"/>
                <w:color w:val="000000"/>
                <w:sz w:val="18"/>
                <w:szCs w:val="18"/>
                <w:u w:val="single"/>
                <w:rtl/>
                <w:lang w:eastAsia="he-IL"/>
              </w:rPr>
              <w:t>איכות אשראי לפי שנות העמדת אשראי</w:t>
            </w:r>
          </w:p>
        </w:tc>
        <w:tc>
          <w:tcPr>
            <w:tcW w:w="825" w:type="dxa"/>
            <w:tcBorders>
              <w:left w:val="nil"/>
            </w:tcBorders>
            <w:shd w:val="clear" w:color="auto" w:fill="auto"/>
            <w:vAlign w:val="bottom"/>
            <w:hideMark/>
          </w:tcPr>
          <w:p w14:paraId="4E2BC8C5" w14:textId="05BD5A8F" w:rsidR="00732544" w:rsidRPr="009E7447" w:rsidRDefault="00732544" w:rsidP="00400DD1">
            <w:pPr>
              <w:pBdr>
                <w:bottom w:val="single" w:sz="6" w:space="1" w:color="auto"/>
              </w:pBdr>
              <w:spacing w:line="241" w:lineRule="auto"/>
              <w:jc w:val="center"/>
              <w:rPr>
                <w:b/>
                <w:bCs/>
                <w:sz w:val="18"/>
                <w:szCs w:val="18"/>
              </w:rPr>
            </w:pPr>
            <w:r w:rsidRPr="00461486">
              <w:rPr>
                <w:b/>
                <w:bCs/>
                <w:sz w:val="18"/>
                <w:szCs w:val="18"/>
                <w:rtl/>
              </w:rPr>
              <w:fldChar w:fldCharType="begin"/>
            </w:r>
            <w:r w:rsidRPr="00461486">
              <w:rPr>
                <w:b/>
                <w:bCs/>
                <w:sz w:val="18"/>
                <w:szCs w:val="18"/>
                <w:rtl/>
              </w:rPr>
              <w:instrText xml:space="preserve"> </w:instrText>
            </w:r>
            <w:r w:rsidRPr="00461486">
              <w:rPr>
                <w:rFonts w:hint="cs"/>
                <w:b/>
                <w:bCs/>
                <w:sz w:val="18"/>
                <w:szCs w:val="18"/>
                <w:rtl/>
              </w:rPr>
              <w:instrText xml:space="preserve">= </w:instrText>
            </w:r>
            <w:r w:rsidRPr="00461486">
              <w:rPr>
                <w:rFonts w:hint="cs"/>
                <w:b/>
                <w:bCs/>
                <w:sz w:val="18"/>
                <w:szCs w:val="18"/>
              </w:rPr>
              <w:instrText>CY \* MERGEFORMAT</w:instrText>
            </w:r>
            <w:r w:rsidRPr="00461486">
              <w:rPr>
                <w:b/>
                <w:bCs/>
                <w:sz w:val="18"/>
                <w:szCs w:val="18"/>
                <w:rtl/>
              </w:rPr>
              <w:instrText xml:space="preserve"> </w:instrText>
            </w:r>
            <w:r w:rsidRPr="00461486">
              <w:rPr>
                <w:b/>
                <w:bCs/>
                <w:sz w:val="18"/>
                <w:szCs w:val="18"/>
                <w:rtl/>
              </w:rPr>
              <w:fldChar w:fldCharType="separate"/>
            </w:r>
            <w:r w:rsidR="003A584F">
              <w:rPr>
                <w:b/>
                <w:bCs/>
                <w:noProof/>
                <w:sz w:val="18"/>
                <w:szCs w:val="18"/>
                <w:rtl/>
              </w:rPr>
              <w:t>2024</w:t>
            </w:r>
            <w:r w:rsidRPr="00461486">
              <w:rPr>
                <w:b/>
                <w:bCs/>
                <w:sz w:val="18"/>
                <w:szCs w:val="18"/>
                <w:rtl/>
              </w:rPr>
              <w:fldChar w:fldCharType="end"/>
            </w:r>
          </w:p>
        </w:tc>
        <w:tc>
          <w:tcPr>
            <w:tcW w:w="794" w:type="dxa"/>
            <w:shd w:val="clear" w:color="auto" w:fill="auto"/>
            <w:vAlign w:val="bottom"/>
            <w:hideMark/>
          </w:tcPr>
          <w:p w14:paraId="00C21652" w14:textId="7D1630C8" w:rsidR="00732544" w:rsidRPr="009E7447" w:rsidRDefault="00732544" w:rsidP="00400DD1">
            <w:pPr>
              <w:pBdr>
                <w:bottom w:val="single" w:sz="6" w:space="1" w:color="auto"/>
              </w:pBdr>
              <w:spacing w:line="241" w:lineRule="auto"/>
              <w:jc w:val="center"/>
              <w:rPr>
                <w:b/>
                <w:bCs/>
                <w:sz w:val="18"/>
                <w:szCs w:val="18"/>
                <w:rtl/>
              </w:rPr>
            </w:pPr>
            <w:r w:rsidRPr="00461486">
              <w:rPr>
                <w:b/>
                <w:bCs/>
                <w:sz w:val="18"/>
                <w:szCs w:val="18"/>
                <w:rtl/>
              </w:rPr>
              <w:fldChar w:fldCharType="begin"/>
            </w:r>
            <w:r w:rsidRPr="00461486">
              <w:rPr>
                <w:b/>
                <w:bCs/>
                <w:sz w:val="18"/>
                <w:szCs w:val="18"/>
                <w:rtl/>
              </w:rPr>
              <w:instrText xml:space="preserve"> </w:instrText>
            </w:r>
            <w:r w:rsidRPr="00461486">
              <w:rPr>
                <w:rFonts w:hint="cs"/>
                <w:b/>
                <w:bCs/>
                <w:sz w:val="18"/>
                <w:szCs w:val="18"/>
                <w:rtl/>
              </w:rPr>
              <w:instrText xml:space="preserve">= </w:instrText>
            </w:r>
            <w:r w:rsidRPr="00461486">
              <w:rPr>
                <w:rFonts w:hint="cs"/>
                <w:b/>
                <w:bCs/>
                <w:sz w:val="18"/>
                <w:szCs w:val="18"/>
              </w:rPr>
              <w:instrText>CY</w:instrText>
            </w:r>
            <w:r>
              <w:rPr>
                <w:b/>
                <w:bCs/>
                <w:sz w:val="18"/>
                <w:szCs w:val="18"/>
              </w:rPr>
              <w:instrText>-1</w:instrText>
            </w:r>
            <w:r w:rsidRPr="00461486">
              <w:rPr>
                <w:rFonts w:hint="cs"/>
                <w:b/>
                <w:bCs/>
                <w:sz w:val="18"/>
                <w:szCs w:val="18"/>
              </w:rPr>
              <w:instrText xml:space="preserve"> \* MERGEFORMAT</w:instrText>
            </w:r>
            <w:r w:rsidRPr="00461486">
              <w:rPr>
                <w:b/>
                <w:bCs/>
                <w:sz w:val="18"/>
                <w:szCs w:val="18"/>
                <w:rtl/>
              </w:rPr>
              <w:instrText xml:space="preserve"> </w:instrText>
            </w:r>
            <w:r w:rsidRPr="00461486">
              <w:rPr>
                <w:b/>
                <w:bCs/>
                <w:sz w:val="18"/>
                <w:szCs w:val="18"/>
                <w:rtl/>
              </w:rPr>
              <w:fldChar w:fldCharType="separate"/>
            </w:r>
            <w:r w:rsidR="003A584F">
              <w:rPr>
                <w:b/>
                <w:bCs/>
                <w:noProof/>
                <w:sz w:val="18"/>
                <w:szCs w:val="18"/>
                <w:rtl/>
              </w:rPr>
              <w:t>2023</w:t>
            </w:r>
            <w:r w:rsidRPr="00461486">
              <w:rPr>
                <w:b/>
                <w:bCs/>
                <w:sz w:val="18"/>
                <w:szCs w:val="18"/>
                <w:rtl/>
              </w:rPr>
              <w:fldChar w:fldCharType="end"/>
            </w:r>
          </w:p>
        </w:tc>
        <w:tc>
          <w:tcPr>
            <w:tcW w:w="794" w:type="dxa"/>
            <w:shd w:val="clear" w:color="auto" w:fill="auto"/>
            <w:vAlign w:val="bottom"/>
            <w:hideMark/>
          </w:tcPr>
          <w:p w14:paraId="30DEF8B8" w14:textId="3F8FF309" w:rsidR="00732544" w:rsidRPr="009E7447" w:rsidRDefault="00732544" w:rsidP="00400DD1">
            <w:pPr>
              <w:pBdr>
                <w:bottom w:val="single" w:sz="6" w:space="1" w:color="auto"/>
              </w:pBdr>
              <w:spacing w:line="241" w:lineRule="auto"/>
              <w:jc w:val="center"/>
              <w:rPr>
                <w:b/>
                <w:bCs/>
                <w:sz w:val="18"/>
                <w:szCs w:val="18"/>
                <w:rtl/>
              </w:rPr>
            </w:pPr>
            <w:r w:rsidRPr="00461486">
              <w:rPr>
                <w:b/>
                <w:bCs/>
                <w:sz w:val="18"/>
                <w:szCs w:val="18"/>
                <w:rtl/>
              </w:rPr>
              <w:fldChar w:fldCharType="begin"/>
            </w:r>
            <w:r w:rsidRPr="00461486">
              <w:rPr>
                <w:b/>
                <w:bCs/>
                <w:sz w:val="18"/>
                <w:szCs w:val="18"/>
                <w:rtl/>
              </w:rPr>
              <w:instrText xml:space="preserve"> </w:instrText>
            </w:r>
            <w:r w:rsidRPr="00461486">
              <w:rPr>
                <w:rFonts w:hint="cs"/>
                <w:b/>
                <w:bCs/>
                <w:sz w:val="18"/>
                <w:szCs w:val="18"/>
                <w:rtl/>
              </w:rPr>
              <w:instrText xml:space="preserve">= </w:instrText>
            </w:r>
            <w:r w:rsidRPr="00461486">
              <w:rPr>
                <w:rFonts w:hint="cs"/>
                <w:b/>
                <w:bCs/>
                <w:sz w:val="18"/>
                <w:szCs w:val="18"/>
              </w:rPr>
              <w:instrText>CY</w:instrText>
            </w:r>
            <w:r>
              <w:rPr>
                <w:b/>
                <w:bCs/>
                <w:sz w:val="18"/>
                <w:szCs w:val="18"/>
              </w:rPr>
              <w:instrText>-2</w:instrText>
            </w:r>
            <w:r w:rsidRPr="00461486">
              <w:rPr>
                <w:rFonts w:hint="cs"/>
                <w:b/>
                <w:bCs/>
                <w:sz w:val="18"/>
                <w:szCs w:val="18"/>
              </w:rPr>
              <w:instrText xml:space="preserve"> \* MERGEFORMAT</w:instrText>
            </w:r>
            <w:r w:rsidRPr="00461486">
              <w:rPr>
                <w:b/>
                <w:bCs/>
                <w:sz w:val="18"/>
                <w:szCs w:val="18"/>
                <w:rtl/>
              </w:rPr>
              <w:instrText xml:space="preserve"> </w:instrText>
            </w:r>
            <w:r w:rsidRPr="00461486">
              <w:rPr>
                <w:b/>
                <w:bCs/>
                <w:sz w:val="18"/>
                <w:szCs w:val="18"/>
                <w:rtl/>
              </w:rPr>
              <w:fldChar w:fldCharType="separate"/>
            </w:r>
            <w:r w:rsidR="003A584F">
              <w:rPr>
                <w:b/>
                <w:bCs/>
                <w:noProof/>
                <w:sz w:val="18"/>
                <w:szCs w:val="18"/>
                <w:rtl/>
              </w:rPr>
              <w:t>2022</w:t>
            </w:r>
            <w:r w:rsidRPr="00461486">
              <w:rPr>
                <w:b/>
                <w:bCs/>
                <w:sz w:val="18"/>
                <w:szCs w:val="18"/>
                <w:rtl/>
              </w:rPr>
              <w:fldChar w:fldCharType="end"/>
            </w:r>
          </w:p>
        </w:tc>
        <w:tc>
          <w:tcPr>
            <w:tcW w:w="794" w:type="dxa"/>
            <w:shd w:val="clear" w:color="auto" w:fill="auto"/>
            <w:vAlign w:val="bottom"/>
            <w:hideMark/>
          </w:tcPr>
          <w:p w14:paraId="74F875C5" w14:textId="058EBD7A" w:rsidR="00732544" w:rsidRPr="009E7447" w:rsidRDefault="00732544" w:rsidP="00400DD1">
            <w:pPr>
              <w:pBdr>
                <w:bottom w:val="single" w:sz="6" w:space="1" w:color="auto"/>
              </w:pBdr>
              <w:spacing w:line="241" w:lineRule="auto"/>
              <w:jc w:val="center"/>
              <w:rPr>
                <w:b/>
                <w:bCs/>
                <w:sz w:val="18"/>
                <w:szCs w:val="18"/>
                <w:rtl/>
              </w:rPr>
            </w:pPr>
            <w:r w:rsidRPr="00461486">
              <w:rPr>
                <w:b/>
                <w:bCs/>
                <w:sz w:val="18"/>
                <w:szCs w:val="18"/>
                <w:rtl/>
              </w:rPr>
              <w:fldChar w:fldCharType="begin"/>
            </w:r>
            <w:r w:rsidRPr="00461486">
              <w:rPr>
                <w:b/>
                <w:bCs/>
                <w:sz w:val="18"/>
                <w:szCs w:val="18"/>
                <w:rtl/>
              </w:rPr>
              <w:instrText xml:space="preserve"> </w:instrText>
            </w:r>
            <w:r w:rsidRPr="00461486">
              <w:rPr>
                <w:rFonts w:hint="cs"/>
                <w:b/>
                <w:bCs/>
                <w:sz w:val="18"/>
                <w:szCs w:val="18"/>
                <w:rtl/>
              </w:rPr>
              <w:instrText xml:space="preserve">= </w:instrText>
            </w:r>
            <w:r w:rsidRPr="00461486">
              <w:rPr>
                <w:rFonts w:hint="cs"/>
                <w:b/>
                <w:bCs/>
                <w:sz w:val="18"/>
                <w:szCs w:val="18"/>
              </w:rPr>
              <w:instrText>CY</w:instrText>
            </w:r>
            <w:r>
              <w:rPr>
                <w:b/>
                <w:bCs/>
                <w:sz w:val="18"/>
                <w:szCs w:val="18"/>
              </w:rPr>
              <w:instrText>-3</w:instrText>
            </w:r>
            <w:r w:rsidRPr="00461486">
              <w:rPr>
                <w:rFonts w:hint="cs"/>
                <w:b/>
                <w:bCs/>
                <w:sz w:val="18"/>
                <w:szCs w:val="18"/>
              </w:rPr>
              <w:instrText>\* MERGEFORMAT</w:instrText>
            </w:r>
            <w:r w:rsidRPr="00461486">
              <w:rPr>
                <w:b/>
                <w:bCs/>
                <w:sz w:val="18"/>
                <w:szCs w:val="18"/>
                <w:rtl/>
              </w:rPr>
              <w:instrText xml:space="preserve"> </w:instrText>
            </w:r>
            <w:r w:rsidRPr="00461486">
              <w:rPr>
                <w:b/>
                <w:bCs/>
                <w:sz w:val="18"/>
                <w:szCs w:val="18"/>
                <w:rtl/>
              </w:rPr>
              <w:fldChar w:fldCharType="separate"/>
            </w:r>
            <w:r w:rsidR="003A584F">
              <w:rPr>
                <w:b/>
                <w:bCs/>
                <w:noProof/>
                <w:sz w:val="18"/>
                <w:szCs w:val="18"/>
                <w:rtl/>
              </w:rPr>
              <w:t>2021</w:t>
            </w:r>
            <w:r w:rsidRPr="00461486">
              <w:rPr>
                <w:b/>
                <w:bCs/>
                <w:sz w:val="18"/>
                <w:szCs w:val="18"/>
                <w:rtl/>
              </w:rPr>
              <w:fldChar w:fldCharType="end"/>
            </w:r>
          </w:p>
        </w:tc>
        <w:tc>
          <w:tcPr>
            <w:tcW w:w="794" w:type="dxa"/>
            <w:shd w:val="clear" w:color="auto" w:fill="auto"/>
            <w:vAlign w:val="bottom"/>
            <w:hideMark/>
          </w:tcPr>
          <w:p w14:paraId="7ACB047B" w14:textId="522A022F" w:rsidR="00732544" w:rsidRPr="009E7447" w:rsidRDefault="00732544" w:rsidP="00400DD1">
            <w:pPr>
              <w:pBdr>
                <w:bottom w:val="single" w:sz="6" w:space="1" w:color="auto"/>
              </w:pBdr>
              <w:spacing w:line="241" w:lineRule="auto"/>
              <w:jc w:val="center"/>
              <w:rPr>
                <w:b/>
                <w:bCs/>
                <w:sz w:val="18"/>
                <w:szCs w:val="18"/>
                <w:rtl/>
              </w:rPr>
            </w:pPr>
            <w:r w:rsidRPr="00461486">
              <w:rPr>
                <w:b/>
                <w:bCs/>
                <w:sz w:val="18"/>
                <w:szCs w:val="18"/>
                <w:rtl/>
              </w:rPr>
              <w:fldChar w:fldCharType="begin"/>
            </w:r>
            <w:r w:rsidRPr="00461486">
              <w:rPr>
                <w:b/>
                <w:bCs/>
                <w:sz w:val="18"/>
                <w:szCs w:val="18"/>
                <w:rtl/>
              </w:rPr>
              <w:instrText xml:space="preserve"> </w:instrText>
            </w:r>
            <w:r w:rsidRPr="00461486">
              <w:rPr>
                <w:rFonts w:hint="cs"/>
                <w:b/>
                <w:bCs/>
                <w:sz w:val="18"/>
                <w:szCs w:val="18"/>
                <w:rtl/>
              </w:rPr>
              <w:instrText xml:space="preserve">= </w:instrText>
            </w:r>
            <w:r w:rsidRPr="00461486">
              <w:rPr>
                <w:rFonts w:hint="cs"/>
                <w:b/>
                <w:bCs/>
                <w:sz w:val="18"/>
                <w:szCs w:val="18"/>
              </w:rPr>
              <w:instrText>CY</w:instrText>
            </w:r>
            <w:r>
              <w:rPr>
                <w:b/>
                <w:bCs/>
                <w:sz w:val="18"/>
                <w:szCs w:val="18"/>
              </w:rPr>
              <w:instrText>-4</w:instrText>
            </w:r>
            <w:r w:rsidRPr="00461486">
              <w:rPr>
                <w:rFonts w:hint="cs"/>
                <w:b/>
                <w:bCs/>
                <w:sz w:val="18"/>
                <w:szCs w:val="18"/>
              </w:rPr>
              <w:instrText xml:space="preserve"> \* MERGEFORMAT</w:instrText>
            </w:r>
            <w:r w:rsidRPr="00461486">
              <w:rPr>
                <w:b/>
                <w:bCs/>
                <w:sz w:val="18"/>
                <w:szCs w:val="18"/>
                <w:rtl/>
              </w:rPr>
              <w:instrText xml:space="preserve"> </w:instrText>
            </w:r>
            <w:r w:rsidRPr="00461486">
              <w:rPr>
                <w:b/>
                <w:bCs/>
                <w:sz w:val="18"/>
                <w:szCs w:val="18"/>
                <w:rtl/>
              </w:rPr>
              <w:fldChar w:fldCharType="separate"/>
            </w:r>
            <w:r w:rsidR="003A584F">
              <w:rPr>
                <w:b/>
                <w:bCs/>
                <w:noProof/>
                <w:sz w:val="18"/>
                <w:szCs w:val="18"/>
                <w:rtl/>
              </w:rPr>
              <w:t>2020</w:t>
            </w:r>
            <w:r w:rsidRPr="00461486">
              <w:rPr>
                <w:b/>
                <w:bCs/>
                <w:sz w:val="18"/>
                <w:szCs w:val="18"/>
                <w:rtl/>
              </w:rPr>
              <w:fldChar w:fldCharType="end"/>
            </w:r>
          </w:p>
        </w:tc>
        <w:tc>
          <w:tcPr>
            <w:tcW w:w="817" w:type="dxa"/>
            <w:shd w:val="clear" w:color="auto" w:fill="auto"/>
            <w:vAlign w:val="bottom"/>
            <w:hideMark/>
          </w:tcPr>
          <w:p w14:paraId="5977D94B" w14:textId="77777777" w:rsidR="00732544" w:rsidRPr="009E7447" w:rsidRDefault="00732544" w:rsidP="00400DD1">
            <w:pPr>
              <w:pBdr>
                <w:bottom w:val="single" w:sz="6" w:space="1" w:color="auto"/>
              </w:pBdr>
              <w:spacing w:line="241" w:lineRule="auto"/>
              <w:jc w:val="center"/>
              <w:rPr>
                <w:b/>
                <w:bCs/>
                <w:sz w:val="18"/>
                <w:szCs w:val="18"/>
                <w:rtl/>
              </w:rPr>
            </w:pPr>
            <w:r w:rsidRPr="009E7447">
              <w:rPr>
                <w:rFonts w:hint="cs"/>
                <w:b/>
                <w:bCs/>
                <w:sz w:val="18"/>
                <w:szCs w:val="18"/>
                <w:rtl/>
              </w:rPr>
              <w:t>קודם</w:t>
            </w:r>
          </w:p>
        </w:tc>
        <w:tc>
          <w:tcPr>
            <w:tcW w:w="999" w:type="dxa"/>
            <w:shd w:val="clear" w:color="auto" w:fill="auto"/>
            <w:vAlign w:val="bottom"/>
            <w:hideMark/>
          </w:tcPr>
          <w:p w14:paraId="65D800C3" w14:textId="77777777" w:rsidR="00732544" w:rsidRPr="009E7447" w:rsidRDefault="00732544" w:rsidP="00400DD1">
            <w:pPr>
              <w:pBdr>
                <w:bottom w:val="single" w:sz="6" w:space="1" w:color="auto"/>
              </w:pBdr>
              <w:spacing w:line="241" w:lineRule="auto"/>
              <w:jc w:val="center"/>
              <w:rPr>
                <w:b/>
                <w:bCs/>
                <w:sz w:val="18"/>
                <w:szCs w:val="18"/>
                <w:rtl/>
              </w:rPr>
            </w:pPr>
            <w:r w:rsidRPr="009E7447">
              <w:rPr>
                <w:rFonts w:hint="cs"/>
                <w:b/>
                <w:bCs/>
                <w:sz w:val="18"/>
                <w:szCs w:val="18"/>
                <w:rtl/>
              </w:rPr>
              <w:t>הלוואות מתחדשות</w:t>
            </w:r>
          </w:p>
        </w:tc>
        <w:tc>
          <w:tcPr>
            <w:tcW w:w="1531" w:type="dxa"/>
            <w:shd w:val="clear" w:color="auto" w:fill="auto"/>
            <w:vAlign w:val="bottom"/>
            <w:hideMark/>
          </w:tcPr>
          <w:p w14:paraId="2AA235F9" w14:textId="77777777" w:rsidR="00732544" w:rsidRPr="007D10F6" w:rsidRDefault="00732544" w:rsidP="00400DD1">
            <w:pPr>
              <w:pBdr>
                <w:bottom w:val="single" w:sz="6" w:space="1" w:color="auto"/>
              </w:pBdr>
              <w:spacing w:line="241" w:lineRule="auto"/>
              <w:jc w:val="center"/>
              <w:rPr>
                <w:b/>
                <w:bCs/>
                <w:sz w:val="17"/>
                <w:szCs w:val="17"/>
                <w:rtl/>
              </w:rPr>
            </w:pPr>
            <w:r w:rsidRPr="007D10F6">
              <w:rPr>
                <w:rFonts w:hint="cs"/>
                <w:b/>
                <w:bCs/>
                <w:sz w:val="17"/>
                <w:szCs w:val="17"/>
                <w:rtl/>
              </w:rPr>
              <w:t>הלוואות מתחדשות שהומרו להלוואות לזמן קצוב</w:t>
            </w:r>
          </w:p>
        </w:tc>
        <w:tc>
          <w:tcPr>
            <w:tcW w:w="859" w:type="dxa"/>
            <w:gridSpan w:val="2"/>
            <w:shd w:val="clear" w:color="auto" w:fill="auto"/>
            <w:vAlign w:val="bottom"/>
          </w:tcPr>
          <w:p w14:paraId="2BFD51F9" w14:textId="77777777" w:rsidR="00732544" w:rsidRPr="009E7447" w:rsidRDefault="00732544" w:rsidP="00400DD1">
            <w:pPr>
              <w:pBdr>
                <w:bottom w:val="single" w:sz="6" w:space="1" w:color="auto"/>
              </w:pBdr>
              <w:spacing w:line="241" w:lineRule="auto"/>
              <w:jc w:val="center"/>
              <w:rPr>
                <w:b/>
                <w:bCs/>
                <w:sz w:val="18"/>
                <w:szCs w:val="18"/>
                <w:rtl/>
              </w:rPr>
            </w:pPr>
          </w:p>
          <w:p w14:paraId="303E7FFF" w14:textId="77777777" w:rsidR="00732544" w:rsidRPr="009E7447" w:rsidRDefault="00732544" w:rsidP="00400DD1">
            <w:pPr>
              <w:pBdr>
                <w:bottom w:val="single" w:sz="6" w:space="1" w:color="auto"/>
              </w:pBdr>
              <w:spacing w:line="241" w:lineRule="auto"/>
              <w:jc w:val="center"/>
              <w:rPr>
                <w:b/>
                <w:bCs/>
                <w:sz w:val="18"/>
                <w:szCs w:val="18"/>
                <w:rtl/>
              </w:rPr>
            </w:pPr>
          </w:p>
          <w:p w14:paraId="68C11880" w14:textId="77777777" w:rsidR="00732544" w:rsidRPr="009E7447" w:rsidRDefault="00732544" w:rsidP="00400DD1">
            <w:pPr>
              <w:pBdr>
                <w:bottom w:val="single" w:sz="6" w:space="1" w:color="auto"/>
              </w:pBdr>
              <w:spacing w:line="241" w:lineRule="auto"/>
              <w:jc w:val="center"/>
              <w:rPr>
                <w:b/>
                <w:bCs/>
                <w:sz w:val="18"/>
                <w:szCs w:val="18"/>
                <w:rtl/>
              </w:rPr>
            </w:pPr>
            <w:r w:rsidRPr="009E7447">
              <w:rPr>
                <w:rFonts w:hint="cs"/>
                <w:b/>
                <w:bCs/>
                <w:sz w:val="18"/>
                <w:szCs w:val="18"/>
                <w:rtl/>
              </w:rPr>
              <w:t>סה"כ</w:t>
            </w:r>
          </w:p>
        </w:tc>
      </w:tr>
      <w:tr w:rsidR="00732544" w:rsidRPr="009E7447" w14:paraId="03D0E056"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6F882106"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u w:val="single"/>
                <w:rtl/>
                <w:lang w:eastAsia="he-IL"/>
              </w:rPr>
              <w:t>פעילות לווים בישראל</w:t>
            </w:r>
          </w:p>
        </w:tc>
        <w:tc>
          <w:tcPr>
            <w:tcW w:w="825" w:type="dxa"/>
            <w:shd w:val="clear" w:color="auto" w:fill="auto"/>
            <w:vAlign w:val="bottom"/>
          </w:tcPr>
          <w:p w14:paraId="5467C3FC" w14:textId="77777777" w:rsidR="00732544" w:rsidRPr="009E7447" w:rsidRDefault="00732544" w:rsidP="00400DD1">
            <w:pPr>
              <w:spacing w:line="241" w:lineRule="auto"/>
              <w:rPr>
                <w:sz w:val="18"/>
                <w:szCs w:val="18"/>
              </w:rPr>
            </w:pPr>
          </w:p>
        </w:tc>
        <w:tc>
          <w:tcPr>
            <w:tcW w:w="794" w:type="dxa"/>
            <w:shd w:val="clear" w:color="auto" w:fill="auto"/>
            <w:vAlign w:val="bottom"/>
          </w:tcPr>
          <w:p w14:paraId="2BD68E76" w14:textId="77777777" w:rsidR="00732544" w:rsidRPr="009E7447" w:rsidRDefault="00732544" w:rsidP="00400DD1">
            <w:pPr>
              <w:spacing w:line="241" w:lineRule="auto"/>
              <w:rPr>
                <w:sz w:val="18"/>
                <w:szCs w:val="18"/>
                <w:rtl/>
              </w:rPr>
            </w:pPr>
          </w:p>
        </w:tc>
        <w:tc>
          <w:tcPr>
            <w:tcW w:w="794" w:type="dxa"/>
            <w:shd w:val="clear" w:color="auto" w:fill="auto"/>
            <w:vAlign w:val="bottom"/>
          </w:tcPr>
          <w:p w14:paraId="61241EA1" w14:textId="77777777" w:rsidR="00732544" w:rsidRPr="009E7447" w:rsidRDefault="00732544" w:rsidP="00400DD1">
            <w:pPr>
              <w:spacing w:line="241" w:lineRule="auto"/>
              <w:rPr>
                <w:sz w:val="18"/>
                <w:szCs w:val="18"/>
                <w:rtl/>
              </w:rPr>
            </w:pPr>
          </w:p>
        </w:tc>
        <w:tc>
          <w:tcPr>
            <w:tcW w:w="794" w:type="dxa"/>
            <w:shd w:val="clear" w:color="auto" w:fill="auto"/>
            <w:vAlign w:val="bottom"/>
          </w:tcPr>
          <w:p w14:paraId="41B7F78E" w14:textId="77777777" w:rsidR="00732544" w:rsidRPr="009E7447" w:rsidRDefault="00732544" w:rsidP="00400DD1">
            <w:pPr>
              <w:spacing w:line="241" w:lineRule="auto"/>
              <w:rPr>
                <w:sz w:val="18"/>
                <w:szCs w:val="18"/>
                <w:rtl/>
              </w:rPr>
            </w:pPr>
          </w:p>
        </w:tc>
        <w:tc>
          <w:tcPr>
            <w:tcW w:w="794" w:type="dxa"/>
            <w:shd w:val="clear" w:color="auto" w:fill="auto"/>
            <w:vAlign w:val="bottom"/>
          </w:tcPr>
          <w:p w14:paraId="49A0E019" w14:textId="77777777" w:rsidR="00732544" w:rsidRPr="009E7447" w:rsidRDefault="00732544" w:rsidP="00400DD1">
            <w:pPr>
              <w:spacing w:line="241" w:lineRule="auto"/>
              <w:rPr>
                <w:sz w:val="18"/>
                <w:szCs w:val="18"/>
                <w:rtl/>
              </w:rPr>
            </w:pPr>
          </w:p>
        </w:tc>
        <w:tc>
          <w:tcPr>
            <w:tcW w:w="817" w:type="dxa"/>
            <w:shd w:val="clear" w:color="auto" w:fill="auto"/>
            <w:vAlign w:val="bottom"/>
          </w:tcPr>
          <w:p w14:paraId="3BC1ECEF" w14:textId="77777777" w:rsidR="00732544" w:rsidRPr="009E7447" w:rsidRDefault="00732544" w:rsidP="00400DD1">
            <w:pPr>
              <w:spacing w:line="241" w:lineRule="auto"/>
              <w:rPr>
                <w:sz w:val="18"/>
                <w:szCs w:val="18"/>
                <w:rtl/>
              </w:rPr>
            </w:pPr>
          </w:p>
        </w:tc>
        <w:tc>
          <w:tcPr>
            <w:tcW w:w="999" w:type="dxa"/>
            <w:shd w:val="clear" w:color="auto" w:fill="auto"/>
            <w:vAlign w:val="bottom"/>
          </w:tcPr>
          <w:p w14:paraId="19AB5C1A" w14:textId="77777777" w:rsidR="00732544" w:rsidRPr="009E7447" w:rsidRDefault="00732544" w:rsidP="00400DD1">
            <w:pPr>
              <w:spacing w:line="241" w:lineRule="auto"/>
              <w:rPr>
                <w:sz w:val="18"/>
                <w:szCs w:val="18"/>
                <w:rtl/>
              </w:rPr>
            </w:pPr>
          </w:p>
        </w:tc>
        <w:tc>
          <w:tcPr>
            <w:tcW w:w="1531" w:type="dxa"/>
            <w:shd w:val="clear" w:color="auto" w:fill="auto"/>
            <w:vAlign w:val="bottom"/>
          </w:tcPr>
          <w:p w14:paraId="5DF90BAA" w14:textId="77777777" w:rsidR="00732544" w:rsidRPr="009E7447" w:rsidRDefault="00732544" w:rsidP="00400DD1">
            <w:pPr>
              <w:spacing w:line="241" w:lineRule="auto"/>
              <w:rPr>
                <w:sz w:val="18"/>
                <w:szCs w:val="18"/>
                <w:rtl/>
              </w:rPr>
            </w:pPr>
          </w:p>
        </w:tc>
        <w:tc>
          <w:tcPr>
            <w:tcW w:w="859" w:type="dxa"/>
            <w:gridSpan w:val="2"/>
            <w:shd w:val="clear" w:color="auto" w:fill="auto"/>
          </w:tcPr>
          <w:p w14:paraId="364157C5" w14:textId="77777777" w:rsidR="00732544" w:rsidRPr="009E7447" w:rsidRDefault="00732544" w:rsidP="00400DD1">
            <w:pPr>
              <w:spacing w:line="241" w:lineRule="auto"/>
              <w:rPr>
                <w:sz w:val="18"/>
                <w:szCs w:val="18"/>
                <w:rtl/>
              </w:rPr>
            </w:pPr>
          </w:p>
        </w:tc>
      </w:tr>
      <w:tr w:rsidR="00732544" w:rsidRPr="009E7447" w14:paraId="2A326615"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7F3AE674" w14:textId="77777777" w:rsidR="00732544" w:rsidRPr="009E7447" w:rsidRDefault="00732544" w:rsidP="00400DD1">
            <w:pPr>
              <w:spacing w:line="241" w:lineRule="auto"/>
              <w:ind w:left="144" w:hanging="144"/>
              <w:jc w:val="left"/>
              <w:rPr>
                <w:color w:val="000000"/>
                <w:sz w:val="18"/>
                <w:szCs w:val="18"/>
                <w:u w:val="single"/>
                <w:rtl/>
                <w:lang w:eastAsia="he-IL"/>
              </w:rPr>
            </w:pPr>
            <w:r w:rsidRPr="009E7447">
              <w:rPr>
                <w:rFonts w:hint="cs"/>
                <w:color w:val="000000"/>
                <w:sz w:val="18"/>
                <w:szCs w:val="18"/>
                <w:u w:val="single"/>
                <w:rtl/>
                <w:lang w:eastAsia="he-IL"/>
              </w:rPr>
              <w:t>ציבור - מסחרי</w:t>
            </w:r>
          </w:p>
        </w:tc>
        <w:tc>
          <w:tcPr>
            <w:tcW w:w="825" w:type="dxa"/>
            <w:shd w:val="clear" w:color="auto" w:fill="auto"/>
            <w:vAlign w:val="bottom"/>
          </w:tcPr>
          <w:p w14:paraId="11A7FE95" w14:textId="77777777" w:rsidR="00732544" w:rsidRPr="009E7447" w:rsidRDefault="00732544" w:rsidP="00400DD1">
            <w:pPr>
              <w:spacing w:line="241" w:lineRule="auto"/>
              <w:rPr>
                <w:sz w:val="18"/>
                <w:szCs w:val="18"/>
                <w:rtl/>
              </w:rPr>
            </w:pPr>
          </w:p>
        </w:tc>
        <w:tc>
          <w:tcPr>
            <w:tcW w:w="794" w:type="dxa"/>
            <w:shd w:val="clear" w:color="auto" w:fill="auto"/>
            <w:vAlign w:val="bottom"/>
          </w:tcPr>
          <w:p w14:paraId="74DE5924" w14:textId="77777777" w:rsidR="00732544" w:rsidRPr="009E7447" w:rsidRDefault="00732544" w:rsidP="00400DD1">
            <w:pPr>
              <w:spacing w:line="241" w:lineRule="auto"/>
              <w:rPr>
                <w:sz w:val="18"/>
                <w:szCs w:val="18"/>
                <w:rtl/>
              </w:rPr>
            </w:pPr>
          </w:p>
        </w:tc>
        <w:tc>
          <w:tcPr>
            <w:tcW w:w="794" w:type="dxa"/>
            <w:shd w:val="clear" w:color="auto" w:fill="auto"/>
            <w:vAlign w:val="bottom"/>
          </w:tcPr>
          <w:p w14:paraId="110EB111" w14:textId="77777777" w:rsidR="00732544" w:rsidRPr="009E7447" w:rsidRDefault="00732544" w:rsidP="00400DD1">
            <w:pPr>
              <w:spacing w:line="241" w:lineRule="auto"/>
              <w:rPr>
                <w:sz w:val="18"/>
                <w:szCs w:val="18"/>
                <w:rtl/>
              </w:rPr>
            </w:pPr>
          </w:p>
        </w:tc>
        <w:tc>
          <w:tcPr>
            <w:tcW w:w="794" w:type="dxa"/>
            <w:shd w:val="clear" w:color="auto" w:fill="auto"/>
            <w:vAlign w:val="bottom"/>
          </w:tcPr>
          <w:p w14:paraId="7BAB9DBB" w14:textId="77777777" w:rsidR="00732544" w:rsidRPr="009E7447" w:rsidRDefault="00732544" w:rsidP="00400DD1">
            <w:pPr>
              <w:spacing w:line="241" w:lineRule="auto"/>
              <w:rPr>
                <w:sz w:val="18"/>
                <w:szCs w:val="18"/>
                <w:rtl/>
              </w:rPr>
            </w:pPr>
          </w:p>
        </w:tc>
        <w:tc>
          <w:tcPr>
            <w:tcW w:w="794" w:type="dxa"/>
            <w:shd w:val="clear" w:color="auto" w:fill="auto"/>
            <w:vAlign w:val="bottom"/>
          </w:tcPr>
          <w:p w14:paraId="01CF16DC" w14:textId="77777777" w:rsidR="00732544" w:rsidRPr="009E7447" w:rsidRDefault="00732544" w:rsidP="00400DD1">
            <w:pPr>
              <w:spacing w:line="241" w:lineRule="auto"/>
              <w:rPr>
                <w:sz w:val="18"/>
                <w:szCs w:val="18"/>
                <w:rtl/>
              </w:rPr>
            </w:pPr>
          </w:p>
        </w:tc>
        <w:tc>
          <w:tcPr>
            <w:tcW w:w="817" w:type="dxa"/>
            <w:shd w:val="clear" w:color="auto" w:fill="auto"/>
            <w:vAlign w:val="bottom"/>
          </w:tcPr>
          <w:p w14:paraId="00AC9638" w14:textId="77777777" w:rsidR="00732544" w:rsidRPr="009E7447" w:rsidRDefault="00732544" w:rsidP="00400DD1">
            <w:pPr>
              <w:spacing w:line="241" w:lineRule="auto"/>
              <w:rPr>
                <w:sz w:val="18"/>
                <w:szCs w:val="18"/>
                <w:rtl/>
              </w:rPr>
            </w:pPr>
          </w:p>
        </w:tc>
        <w:tc>
          <w:tcPr>
            <w:tcW w:w="999" w:type="dxa"/>
            <w:shd w:val="clear" w:color="auto" w:fill="auto"/>
            <w:vAlign w:val="bottom"/>
          </w:tcPr>
          <w:p w14:paraId="780BA0D5" w14:textId="77777777" w:rsidR="00732544" w:rsidRPr="009E7447" w:rsidRDefault="00732544" w:rsidP="00400DD1">
            <w:pPr>
              <w:spacing w:line="241" w:lineRule="auto"/>
              <w:rPr>
                <w:sz w:val="18"/>
                <w:szCs w:val="18"/>
                <w:rtl/>
              </w:rPr>
            </w:pPr>
          </w:p>
        </w:tc>
        <w:tc>
          <w:tcPr>
            <w:tcW w:w="1531" w:type="dxa"/>
            <w:shd w:val="clear" w:color="auto" w:fill="auto"/>
            <w:vAlign w:val="bottom"/>
          </w:tcPr>
          <w:p w14:paraId="71260EF2" w14:textId="77777777" w:rsidR="00732544" w:rsidRPr="009E7447" w:rsidRDefault="00732544" w:rsidP="00400DD1">
            <w:pPr>
              <w:spacing w:line="241" w:lineRule="auto"/>
              <w:rPr>
                <w:sz w:val="18"/>
                <w:szCs w:val="18"/>
                <w:rtl/>
              </w:rPr>
            </w:pPr>
          </w:p>
        </w:tc>
        <w:tc>
          <w:tcPr>
            <w:tcW w:w="859" w:type="dxa"/>
            <w:gridSpan w:val="2"/>
            <w:shd w:val="clear" w:color="auto" w:fill="auto"/>
          </w:tcPr>
          <w:p w14:paraId="5C184596" w14:textId="77777777" w:rsidR="00732544" w:rsidRPr="009E7447" w:rsidRDefault="00732544" w:rsidP="00400DD1">
            <w:pPr>
              <w:spacing w:line="241" w:lineRule="auto"/>
              <w:rPr>
                <w:sz w:val="18"/>
                <w:szCs w:val="18"/>
                <w:rtl/>
              </w:rPr>
            </w:pPr>
          </w:p>
        </w:tc>
      </w:tr>
      <w:tr w:rsidR="00732544" w:rsidRPr="009E7447" w14:paraId="2A5384F5"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6A82FE41" w14:textId="77777777" w:rsidR="00732544" w:rsidRPr="009E7447" w:rsidRDefault="00732544" w:rsidP="00400DD1">
            <w:pPr>
              <w:spacing w:line="241" w:lineRule="auto"/>
              <w:ind w:left="144" w:hanging="144"/>
              <w:jc w:val="left"/>
              <w:rPr>
                <w:b/>
                <w:bCs/>
                <w:color w:val="000000"/>
                <w:sz w:val="18"/>
                <w:szCs w:val="18"/>
                <w:rtl/>
                <w:lang w:eastAsia="he-IL"/>
              </w:rPr>
            </w:pPr>
            <w:r w:rsidRPr="009E7447">
              <w:rPr>
                <w:rFonts w:hint="cs"/>
                <w:b/>
                <w:bCs/>
                <w:color w:val="000000"/>
                <w:sz w:val="18"/>
                <w:szCs w:val="18"/>
                <w:rtl/>
                <w:lang w:eastAsia="he-IL"/>
              </w:rPr>
              <w:t>בינוי ונדל"ן – סה"כ</w:t>
            </w:r>
          </w:p>
        </w:tc>
        <w:tc>
          <w:tcPr>
            <w:tcW w:w="825" w:type="dxa"/>
            <w:shd w:val="clear" w:color="auto" w:fill="auto"/>
            <w:vAlign w:val="bottom"/>
            <w:hideMark/>
          </w:tcPr>
          <w:p w14:paraId="3E610085"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shd w:val="clear" w:color="auto" w:fill="auto"/>
            <w:vAlign w:val="bottom"/>
            <w:hideMark/>
          </w:tcPr>
          <w:p w14:paraId="2A5DC04A"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shd w:val="clear" w:color="auto" w:fill="auto"/>
            <w:vAlign w:val="bottom"/>
            <w:hideMark/>
          </w:tcPr>
          <w:p w14:paraId="69A6A5C8"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shd w:val="clear" w:color="auto" w:fill="auto"/>
            <w:vAlign w:val="bottom"/>
            <w:hideMark/>
          </w:tcPr>
          <w:p w14:paraId="3932CDC3"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shd w:val="clear" w:color="auto" w:fill="auto"/>
            <w:vAlign w:val="bottom"/>
            <w:hideMark/>
          </w:tcPr>
          <w:p w14:paraId="6D0C7F17"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817" w:type="dxa"/>
            <w:shd w:val="clear" w:color="auto" w:fill="auto"/>
            <w:vAlign w:val="bottom"/>
            <w:hideMark/>
          </w:tcPr>
          <w:p w14:paraId="1374799D"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999" w:type="dxa"/>
            <w:shd w:val="clear" w:color="auto" w:fill="auto"/>
            <w:vAlign w:val="bottom"/>
            <w:hideMark/>
          </w:tcPr>
          <w:p w14:paraId="766A3102"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1531" w:type="dxa"/>
            <w:shd w:val="clear" w:color="auto" w:fill="auto"/>
            <w:vAlign w:val="bottom"/>
            <w:hideMark/>
          </w:tcPr>
          <w:p w14:paraId="62E703AC"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859" w:type="dxa"/>
            <w:gridSpan w:val="2"/>
            <w:shd w:val="clear" w:color="auto" w:fill="auto"/>
            <w:vAlign w:val="bottom"/>
            <w:hideMark/>
          </w:tcPr>
          <w:p w14:paraId="5384D7B1"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r>
      <w:tr w:rsidR="00732544" w:rsidRPr="009E7447" w14:paraId="5CCCAB19"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612074CE" w14:textId="77777777" w:rsidR="00732544" w:rsidRPr="009E7447" w:rsidRDefault="00732544" w:rsidP="00400DD1">
            <w:pPr>
              <w:spacing w:line="200" w:lineRule="exact"/>
              <w:ind w:left="144" w:right="144" w:hanging="144"/>
              <w:jc w:val="left"/>
              <w:rPr>
                <w:color w:val="000000"/>
                <w:sz w:val="18"/>
                <w:szCs w:val="18"/>
                <w:rtl/>
                <w:lang w:eastAsia="he-IL"/>
              </w:rPr>
            </w:pPr>
            <w:r w:rsidRPr="009E7447">
              <w:rPr>
                <w:rFonts w:hint="cs"/>
                <w:color w:val="000000"/>
                <w:sz w:val="18"/>
                <w:szCs w:val="18"/>
                <w:rtl/>
                <w:lang w:eastAsia="he-IL"/>
              </w:rPr>
              <w:t>אשראי בדירוג ביצוע</w:t>
            </w:r>
          </w:p>
        </w:tc>
        <w:tc>
          <w:tcPr>
            <w:tcW w:w="825" w:type="dxa"/>
            <w:shd w:val="clear" w:color="auto" w:fill="auto"/>
            <w:vAlign w:val="bottom"/>
            <w:hideMark/>
          </w:tcPr>
          <w:p w14:paraId="352DFFD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40BBCDD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7FD5886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3DDFA214"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4759A31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54D1C02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0DC59779"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7050C7B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660B5BC6"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746FFC95"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32CCB4B3"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בדירוג ביצוע ואינו בעייתי</w:t>
            </w:r>
          </w:p>
        </w:tc>
        <w:tc>
          <w:tcPr>
            <w:tcW w:w="825" w:type="dxa"/>
            <w:shd w:val="clear" w:color="auto" w:fill="auto"/>
            <w:vAlign w:val="bottom"/>
            <w:hideMark/>
          </w:tcPr>
          <w:p w14:paraId="723D0FF7"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2B9A67E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5D8FBAA4"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6DF7FD3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5DBB214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6EF9182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651F9AA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087DE63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60F6BAF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1646F88E"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0739D253"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בעייתי צובר</w:t>
            </w:r>
          </w:p>
        </w:tc>
        <w:tc>
          <w:tcPr>
            <w:tcW w:w="825" w:type="dxa"/>
            <w:shd w:val="clear" w:color="auto" w:fill="auto"/>
            <w:vAlign w:val="bottom"/>
            <w:hideMark/>
          </w:tcPr>
          <w:p w14:paraId="504666B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37E0170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2AE16F5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2579551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3AC2303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46BFA3A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40F67EC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4B69B5B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316BF947"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4ABA9F7E"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3BBA184F"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צובר</w:t>
            </w:r>
          </w:p>
        </w:tc>
        <w:tc>
          <w:tcPr>
            <w:tcW w:w="825" w:type="dxa"/>
            <w:tcBorders>
              <w:top w:val="nil"/>
              <w:left w:val="nil"/>
              <w:bottom w:val="single" w:sz="8" w:space="0" w:color="auto"/>
              <w:right w:val="nil"/>
            </w:tcBorders>
            <w:shd w:val="clear" w:color="auto" w:fill="auto"/>
            <w:vAlign w:val="bottom"/>
            <w:hideMark/>
          </w:tcPr>
          <w:p w14:paraId="6D43556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8" w:space="0" w:color="auto"/>
              <w:right w:val="nil"/>
            </w:tcBorders>
            <w:shd w:val="clear" w:color="auto" w:fill="auto"/>
            <w:vAlign w:val="bottom"/>
            <w:hideMark/>
          </w:tcPr>
          <w:p w14:paraId="4B3148C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8" w:space="0" w:color="auto"/>
              <w:right w:val="nil"/>
            </w:tcBorders>
            <w:shd w:val="clear" w:color="auto" w:fill="auto"/>
            <w:vAlign w:val="bottom"/>
            <w:hideMark/>
          </w:tcPr>
          <w:p w14:paraId="3CC2092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8" w:space="0" w:color="auto"/>
              <w:right w:val="nil"/>
            </w:tcBorders>
            <w:shd w:val="clear" w:color="auto" w:fill="auto"/>
            <w:vAlign w:val="bottom"/>
            <w:hideMark/>
          </w:tcPr>
          <w:p w14:paraId="7AE7127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8" w:space="0" w:color="auto"/>
              <w:right w:val="nil"/>
            </w:tcBorders>
            <w:shd w:val="clear" w:color="auto" w:fill="auto"/>
            <w:vAlign w:val="bottom"/>
            <w:hideMark/>
          </w:tcPr>
          <w:p w14:paraId="0DBC1029"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tcBorders>
              <w:top w:val="nil"/>
              <w:left w:val="nil"/>
              <w:bottom w:val="single" w:sz="8" w:space="0" w:color="auto"/>
              <w:right w:val="nil"/>
            </w:tcBorders>
            <w:shd w:val="clear" w:color="auto" w:fill="auto"/>
            <w:vAlign w:val="bottom"/>
            <w:hideMark/>
          </w:tcPr>
          <w:p w14:paraId="02C4BFE7"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tcBorders>
              <w:top w:val="nil"/>
              <w:left w:val="nil"/>
              <w:bottom w:val="single" w:sz="8" w:space="0" w:color="auto"/>
              <w:right w:val="nil"/>
            </w:tcBorders>
            <w:shd w:val="clear" w:color="auto" w:fill="auto"/>
            <w:vAlign w:val="bottom"/>
            <w:hideMark/>
          </w:tcPr>
          <w:p w14:paraId="5102AD93"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tcBorders>
              <w:top w:val="nil"/>
              <w:left w:val="nil"/>
              <w:bottom w:val="single" w:sz="8" w:space="0" w:color="auto"/>
              <w:right w:val="nil"/>
            </w:tcBorders>
            <w:shd w:val="clear" w:color="auto" w:fill="auto"/>
            <w:vAlign w:val="bottom"/>
            <w:hideMark/>
          </w:tcPr>
          <w:p w14:paraId="6EC9C42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tcBorders>
              <w:top w:val="nil"/>
              <w:left w:val="nil"/>
              <w:bottom w:val="single" w:sz="8" w:space="0" w:color="auto"/>
              <w:right w:val="nil"/>
            </w:tcBorders>
            <w:shd w:val="clear" w:color="auto" w:fill="auto"/>
            <w:vAlign w:val="bottom"/>
            <w:hideMark/>
          </w:tcPr>
          <w:p w14:paraId="4D76342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399CDFA0"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748585E1" w14:textId="77777777" w:rsidR="00732544" w:rsidRPr="009E7447" w:rsidRDefault="00732544" w:rsidP="00400DD1">
            <w:pPr>
              <w:ind w:left="79" w:hanging="79"/>
              <w:jc w:val="left"/>
              <w:rPr>
                <w:color w:val="000000"/>
                <w:sz w:val="18"/>
                <w:szCs w:val="18"/>
                <w:rtl/>
                <w:lang w:eastAsia="he-IL"/>
              </w:rPr>
            </w:pPr>
            <w:r w:rsidRPr="009E7447">
              <w:rPr>
                <w:rFonts w:hint="cs"/>
                <w:b/>
                <w:bCs/>
                <w:color w:val="000000"/>
                <w:sz w:val="18"/>
                <w:szCs w:val="18"/>
                <w:rtl/>
                <w:lang w:eastAsia="he-IL"/>
              </w:rPr>
              <w:t xml:space="preserve">מסחרי – אחר – סה"כ </w:t>
            </w:r>
          </w:p>
        </w:tc>
        <w:tc>
          <w:tcPr>
            <w:tcW w:w="825" w:type="dxa"/>
            <w:tcBorders>
              <w:top w:val="single" w:sz="8" w:space="0" w:color="auto"/>
              <w:left w:val="nil"/>
              <w:bottom w:val="nil"/>
              <w:right w:val="nil"/>
            </w:tcBorders>
            <w:shd w:val="clear" w:color="auto" w:fill="auto"/>
            <w:vAlign w:val="bottom"/>
            <w:hideMark/>
          </w:tcPr>
          <w:p w14:paraId="416DF22A" w14:textId="77777777" w:rsidR="00732544" w:rsidRPr="009E7447" w:rsidRDefault="00732544" w:rsidP="00400DD1">
            <w:pPr>
              <w:spacing w:line="241" w:lineRule="auto"/>
              <w:rPr>
                <w:b/>
                <w:bCs/>
                <w:sz w:val="18"/>
                <w:szCs w:val="18"/>
              </w:rPr>
            </w:pPr>
            <w:r w:rsidRPr="009E7447">
              <w:rPr>
                <w:b/>
                <w:bCs/>
                <w:sz w:val="18"/>
                <w:szCs w:val="18"/>
                <w:rtl/>
              </w:rPr>
              <w:t xml:space="preserve"> </w:t>
            </w:r>
            <w:r w:rsidRPr="009E7447">
              <w:rPr>
                <w:rFonts w:hint="cs"/>
                <w:b/>
                <w:bCs/>
                <w:sz w:val="18"/>
                <w:szCs w:val="18"/>
                <w:rtl/>
              </w:rPr>
              <w:t>0</w:t>
            </w:r>
          </w:p>
        </w:tc>
        <w:tc>
          <w:tcPr>
            <w:tcW w:w="794" w:type="dxa"/>
            <w:tcBorders>
              <w:top w:val="single" w:sz="8" w:space="0" w:color="auto"/>
              <w:left w:val="nil"/>
              <w:bottom w:val="nil"/>
              <w:right w:val="nil"/>
            </w:tcBorders>
            <w:shd w:val="clear" w:color="auto" w:fill="auto"/>
            <w:vAlign w:val="bottom"/>
            <w:hideMark/>
          </w:tcPr>
          <w:p w14:paraId="31EFFE9D"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tcBorders>
              <w:top w:val="single" w:sz="8" w:space="0" w:color="auto"/>
              <w:left w:val="nil"/>
              <w:bottom w:val="nil"/>
              <w:right w:val="nil"/>
            </w:tcBorders>
            <w:shd w:val="clear" w:color="auto" w:fill="auto"/>
            <w:vAlign w:val="bottom"/>
            <w:hideMark/>
          </w:tcPr>
          <w:p w14:paraId="5F07A034" w14:textId="77777777" w:rsidR="00732544" w:rsidRPr="009E7447" w:rsidRDefault="00732544" w:rsidP="00400DD1">
            <w:pPr>
              <w:spacing w:line="241" w:lineRule="auto"/>
              <w:rPr>
                <w:b/>
                <w:bCs/>
                <w:sz w:val="18"/>
                <w:szCs w:val="18"/>
              </w:rPr>
            </w:pPr>
            <w:r w:rsidRPr="009E7447">
              <w:rPr>
                <w:b/>
                <w:bCs/>
                <w:sz w:val="18"/>
                <w:szCs w:val="18"/>
                <w:rtl/>
              </w:rPr>
              <w:t xml:space="preserve"> </w:t>
            </w:r>
            <w:r w:rsidRPr="009E7447">
              <w:rPr>
                <w:rFonts w:hint="cs"/>
                <w:b/>
                <w:bCs/>
                <w:sz w:val="18"/>
                <w:szCs w:val="18"/>
                <w:rtl/>
              </w:rPr>
              <w:t>0</w:t>
            </w:r>
          </w:p>
        </w:tc>
        <w:tc>
          <w:tcPr>
            <w:tcW w:w="794" w:type="dxa"/>
            <w:tcBorders>
              <w:top w:val="single" w:sz="8" w:space="0" w:color="auto"/>
              <w:left w:val="nil"/>
              <w:bottom w:val="nil"/>
              <w:right w:val="nil"/>
            </w:tcBorders>
            <w:shd w:val="clear" w:color="auto" w:fill="auto"/>
            <w:vAlign w:val="bottom"/>
            <w:hideMark/>
          </w:tcPr>
          <w:p w14:paraId="4299DC8F"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tcBorders>
              <w:top w:val="single" w:sz="8" w:space="0" w:color="auto"/>
              <w:left w:val="nil"/>
              <w:bottom w:val="nil"/>
              <w:right w:val="nil"/>
            </w:tcBorders>
            <w:shd w:val="clear" w:color="auto" w:fill="auto"/>
            <w:vAlign w:val="bottom"/>
            <w:hideMark/>
          </w:tcPr>
          <w:p w14:paraId="23AF227B"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817" w:type="dxa"/>
            <w:tcBorders>
              <w:top w:val="single" w:sz="8" w:space="0" w:color="auto"/>
              <w:left w:val="nil"/>
              <w:bottom w:val="nil"/>
              <w:right w:val="nil"/>
            </w:tcBorders>
            <w:shd w:val="clear" w:color="auto" w:fill="auto"/>
            <w:vAlign w:val="bottom"/>
            <w:hideMark/>
          </w:tcPr>
          <w:p w14:paraId="10CA9BEF"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999" w:type="dxa"/>
            <w:tcBorders>
              <w:top w:val="single" w:sz="8" w:space="0" w:color="auto"/>
              <w:left w:val="nil"/>
              <w:bottom w:val="nil"/>
              <w:right w:val="nil"/>
            </w:tcBorders>
            <w:shd w:val="clear" w:color="auto" w:fill="auto"/>
            <w:vAlign w:val="bottom"/>
            <w:hideMark/>
          </w:tcPr>
          <w:p w14:paraId="47CCCBBB"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1531" w:type="dxa"/>
            <w:tcBorders>
              <w:top w:val="single" w:sz="8" w:space="0" w:color="auto"/>
              <w:left w:val="nil"/>
              <w:bottom w:val="nil"/>
              <w:right w:val="nil"/>
            </w:tcBorders>
            <w:shd w:val="clear" w:color="auto" w:fill="auto"/>
            <w:vAlign w:val="bottom"/>
            <w:hideMark/>
          </w:tcPr>
          <w:p w14:paraId="16B0AFB6"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859" w:type="dxa"/>
            <w:gridSpan w:val="2"/>
            <w:tcBorders>
              <w:top w:val="single" w:sz="8" w:space="0" w:color="auto"/>
              <w:left w:val="nil"/>
              <w:bottom w:val="nil"/>
              <w:right w:val="nil"/>
            </w:tcBorders>
            <w:shd w:val="clear" w:color="auto" w:fill="auto"/>
            <w:vAlign w:val="bottom"/>
            <w:hideMark/>
          </w:tcPr>
          <w:p w14:paraId="13518660"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r>
      <w:tr w:rsidR="00732544" w:rsidRPr="009E7447" w14:paraId="170EE1D9"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523BD34B" w14:textId="77777777" w:rsidR="00732544" w:rsidRPr="009E7447" w:rsidRDefault="00732544" w:rsidP="00400DD1">
            <w:pPr>
              <w:spacing w:line="200" w:lineRule="exact"/>
              <w:ind w:left="78" w:right="144" w:hanging="78"/>
              <w:jc w:val="left"/>
              <w:rPr>
                <w:color w:val="000000"/>
                <w:sz w:val="18"/>
                <w:szCs w:val="18"/>
                <w:rtl/>
                <w:lang w:eastAsia="he-IL"/>
              </w:rPr>
            </w:pPr>
            <w:r w:rsidRPr="009E7447">
              <w:rPr>
                <w:rFonts w:hint="cs"/>
                <w:color w:val="000000"/>
                <w:sz w:val="18"/>
                <w:szCs w:val="18"/>
                <w:rtl/>
                <w:lang w:eastAsia="he-IL"/>
              </w:rPr>
              <w:t>אשראי בדירוג ביצוע</w:t>
            </w:r>
          </w:p>
        </w:tc>
        <w:tc>
          <w:tcPr>
            <w:tcW w:w="825" w:type="dxa"/>
            <w:shd w:val="clear" w:color="auto" w:fill="auto"/>
            <w:vAlign w:val="bottom"/>
            <w:hideMark/>
          </w:tcPr>
          <w:p w14:paraId="5C25B9BD" w14:textId="77777777" w:rsidR="00732544" w:rsidRPr="009E7447" w:rsidRDefault="00732544" w:rsidP="00400DD1">
            <w:pPr>
              <w:spacing w:line="241" w:lineRule="auto"/>
              <w:rPr>
                <w:sz w:val="18"/>
                <w:szCs w:val="18"/>
              </w:rPr>
            </w:pPr>
            <w:r w:rsidRPr="009E7447">
              <w:rPr>
                <w:rFonts w:hint="cs"/>
                <w:sz w:val="18"/>
                <w:szCs w:val="18"/>
                <w:rtl/>
              </w:rPr>
              <w:t xml:space="preserve"> 0</w:t>
            </w:r>
          </w:p>
        </w:tc>
        <w:tc>
          <w:tcPr>
            <w:tcW w:w="794" w:type="dxa"/>
            <w:shd w:val="clear" w:color="auto" w:fill="auto"/>
            <w:vAlign w:val="bottom"/>
            <w:hideMark/>
          </w:tcPr>
          <w:p w14:paraId="2E536B2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51430C7D"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1442F646"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67EE8D4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45ADEEC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3CAEEF7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1E2461A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74C3CFF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25F5A07E"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30FAF981" w14:textId="77777777" w:rsidR="00732544" w:rsidRPr="009E7447" w:rsidRDefault="00732544" w:rsidP="00400DD1">
            <w:pPr>
              <w:spacing w:line="200" w:lineRule="exact"/>
              <w:ind w:right="144"/>
              <w:jc w:val="left"/>
              <w:rPr>
                <w:color w:val="000000"/>
                <w:sz w:val="18"/>
                <w:szCs w:val="18"/>
                <w:rtl/>
                <w:lang w:eastAsia="he-IL"/>
              </w:rPr>
            </w:pPr>
            <w:r w:rsidRPr="009E7447">
              <w:rPr>
                <w:rFonts w:hint="cs"/>
                <w:color w:val="000000"/>
                <w:sz w:val="18"/>
                <w:szCs w:val="18"/>
                <w:rtl/>
                <w:lang w:eastAsia="he-IL"/>
              </w:rPr>
              <w:t>אשראי שאינו בדירוג ביצוע ואינו בעייתי</w:t>
            </w:r>
          </w:p>
        </w:tc>
        <w:tc>
          <w:tcPr>
            <w:tcW w:w="825" w:type="dxa"/>
            <w:shd w:val="clear" w:color="auto" w:fill="auto"/>
            <w:vAlign w:val="bottom"/>
            <w:hideMark/>
          </w:tcPr>
          <w:p w14:paraId="2742A22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4252A4C7"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7788497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427879D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22E7B5F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2E3D157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786DEB7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2BEF47F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15A9963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09C1EC11"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5B1ABEB0" w14:textId="77777777" w:rsidR="00732544" w:rsidRPr="009E7447" w:rsidRDefault="00732544" w:rsidP="00400DD1">
            <w:pPr>
              <w:spacing w:line="200" w:lineRule="exact"/>
              <w:ind w:left="78" w:hanging="78"/>
              <w:jc w:val="left"/>
              <w:rPr>
                <w:b/>
                <w:bCs/>
                <w:color w:val="000000"/>
                <w:sz w:val="18"/>
                <w:szCs w:val="18"/>
                <w:rtl/>
                <w:lang w:eastAsia="he-IL"/>
              </w:rPr>
            </w:pPr>
            <w:r w:rsidRPr="009E7447">
              <w:rPr>
                <w:rFonts w:hint="cs"/>
                <w:color w:val="000000"/>
                <w:sz w:val="18"/>
                <w:szCs w:val="18"/>
                <w:rtl/>
                <w:lang w:eastAsia="he-IL"/>
              </w:rPr>
              <w:t>אשראי בעייתי צובר</w:t>
            </w:r>
          </w:p>
        </w:tc>
        <w:tc>
          <w:tcPr>
            <w:tcW w:w="825" w:type="dxa"/>
            <w:shd w:val="clear" w:color="auto" w:fill="auto"/>
            <w:vAlign w:val="bottom"/>
            <w:hideMark/>
          </w:tcPr>
          <w:p w14:paraId="2C1259A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57053A59"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7E9C3F6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4B39087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6605AF8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032C2ED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510D51D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070A2C69"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2C566733"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0D1EFD29"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6F8A0829" w14:textId="77777777" w:rsidR="00732544" w:rsidRPr="009E7447" w:rsidRDefault="00732544" w:rsidP="00400DD1">
            <w:pPr>
              <w:spacing w:line="200" w:lineRule="exact"/>
              <w:ind w:left="144" w:right="144" w:hanging="144"/>
              <w:jc w:val="left"/>
              <w:rPr>
                <w:b/>
                <w:bCs/>
                <w:color w:val="000000"/>
                <w:sz w:val="18"/>
                <w:szCs w:val="18"/>
                <w:rtl/>
                <w:lang w:eastAsia="he-IL"/>
              </w:rPr>
            </w:pPr>
            <w:r w:rsidRPr="009E7447">
              <w:rPr>
                <w:rFonts w:hint="cs"/>
                <w:color w:val="000000"/>
                <w:sz w:val="18"/>
                <w:szCs w:val="18"/>
                <w:rtl/>
                <w:lang w:eastAsia="he-IL"/>
              </w:rPr>
              <w:t>אשראי שאינו צובר</w:t>
            </w:r>
          </w:p>
        </w:tc>
        <w:tc>
          <w:tcPr>
            <w:tcW w:w="825" w:type="dxa"/>
            <w:tcBorders>
              <w:top w:val="nil"/>
              <w:left w:val="nil"/>
              <w:bottom w:val="single" w:sz="8" w:space="0" w:color="auto"/>
              <w:right w:val="nil"/>
            </w:tcBorders>
            <w:shd w:val="clear" w:color="auto" w:fill="auto"/>
            <w:vAlign w:val="bottom"/>
            <w:hideMark/>
          </w:tcPr>
          <w:p w14:paraId="1D6811B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8" w:space="0" w:color="auto"/>
              <w:right w:val="nil"/>
            </w:tcBorders>
            <w:shd w:val="clear" w:color="auto" w:fill="auto"/>
            <w:vAlign w:val="bottom"/>
            <w:hideMark/>
          </w:tcPr>
          <w:p w14:paraId="3C7D81D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8" w:space="0" w:color="auto"/>
              <w:right w:val="nil"/>
            </w:tcBorders>
            <w:shd w:val="clear" w:color="auto" w:fill="auto"/>
            <w:vAlign w:val="bottom"/>
            <w:hideMark/>
          </w:tcPr>
          <w:p w14:paraId="35E9CF9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8" w:space="0" w:color="auto"/>
              <w:right w:val="nil"/>
            </w:tcBorders>
            <w:shd w:val="clear" w:color="auto" w:fill="auto"/>
            <w:vAlign w:val="bottom"/>
            <w:hideMark/>
          </w:tcPr>
          <w:p w14:paraId="65CDDB8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8" w:space="0" w:color="auto"/>
              <w:right w:val="nil"/>
            </w:tcBorders>
            <w:shd w:val="clear" w:color="auto" w:fill="auto"/>
            <w:vAlign w:val="bottom"/>
            <w:hideMark/>
          </w:tcPr>
          <w:p w14:paraId="256C883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tcBorders>
              <w:top w:val="nil"/>
              <w:left w:val="nil"/>
              <w:bottom w:val="single" w:sz="8" w:space="0" w:color="auto"/>
              <w:right w:val="nil"/>
            </w:tcBorders>
            <w:shd w:val="clear" w:color="auto" w:fill="auto"/>
            <w:vAlign w:val="bottom"/>
            <w:hideMark/>
          </w:tcPr>
          <w:p w14:paraId="4FB17CB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tcBorders>
              <w:top w:val="nil"/>
              <w:left w:val="nil"/>
              <w:bottom w:val="single" w:sz="8" w:space="0" w:color="auto"/>
              <w:right w:val="nil"/>
            </w:tcBorders>
            <w:shd w:val="clear" w:color="auto" w:fill="auto"/>
            <w:vAlign w:val="bottom"/>
            <w:hideMark/>
          </w:tcPr>
          <w:p w14:paraId="670A6C2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tcBorders>
              <w:top w:val="nil"/>
              <w:left w:val="nil"/>
              <w:bottom w:val="single" w:sz="8" w:space="0" w:color="auto"/>
              <w:right w:val="nil"/>
            </w:tcBorders>
            <w:shd w:val="clear" w:color="auto" w:fill="auto"/>
            <w:vAlign w:val="bottom"/>
            <w:hideMark/>
          </w:tcPr>
          <w:p w14:paraId="15E498D9"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tcBorders>
              <w:top w:val="nil"/>
              <w:left w:val="nil"/>
              <w:bottom w:val="single" w:sz="8" w:space="0" w:color="auto"/>
              <w:right w:val="nil"/>
            </w:tcBorders>
            <w:shd w:val="clear" w:color="auto" w:fill="auto"/>
            <w:vAlign w:val="bottom"/>
            <w:hideMark/>
          </w:tcPr>
          <w:p w14:paraId="7DC86D8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6F63C898"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78E2C005" w14:textId="77777777" w:rsidR="00732544" w:rsidRPr="009E7447" w:rsidRDefault="00732544" w:rsidP="00400DD1">
            <w:pPr>
              <w:spacing w:line="200" w:lineRule="exact"/>
              <w:ind w:left="142" w:right="142" w:hanging="142"/>
              <w:jc w:val="left"/>
              <w:rPr>
                <w:b/>
                <w:bCs/>
                <w:color w:val="000000"/>
                <w:sz w:val="18"/>
                <w:szCs w:val="18"/>
                <w:rtl/>
                <w:lang w:eastAsia="he-IL"/>
              </w:rPr>
            </w:pPr>
            <w:r w:rsidRPr="009E7447">
              <w:rPr>
                <w:rFonts w:hint="cs"/>
                <w:b/>
                <w:bCs/>
                <w:color w:val="000000"/>
                <w:sz w:val="18"/>
                <w:szCs w:val="18"/>
                <w:rtl/>
                <w:lang w:eastAsia="he-IL"/>
              </w:rPr>
              <w:t>אנשים פרטיים – הלוואות לדיור – סה"כ</w:t>
            </w:r>
          </w:p>
        </w:tc>
        <w:tc>
          <w:tcPr>
            <w:tcW w:w="825" w:type="dxa"/>
            <w:tcBorders>
              <w:top w:val="single" w:sz="8" w:space="0" w:color="auto"/>
              <w:left w:val="nil"/>
              <w:bottom w:val="nil"/>
              <w:right w:val="nil"/>
            </w:tcBorders>
            <w:shd w:val="clear" w:color="auto" w:fill="auto"/>
            <w:vAlign w:val="bottom"/>
            <w:hideMark/>
          </w:tcPr>
          <w:p w14:paraId="2DED6D83"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tcBorders>
              <w:top w:val="single" w:sz="8" w:space="0" w:color="auto"/>
              <w:left w:val="nil"/>
              <w:bottom w:val="nil"/>
              <w:right w:val="nil"/>
            </w:tcBorders>
            <w:shd w:val="clear" w:color="auto" w:fill="auto"/>
            <w:vAlign w:val="bottom"/>
            <w:hideMark/>
          </w:tcPr>
          <w:p w14:paraId="088F116F"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tcBorders>
              <w:top w:val="single" w:sz="8" w:space="0" w:color="auto"/>
              <w:left w:val="nil"/>
              <w:bottom w:val="nil"/>
              <w:right w:val="nil"/>
            </w:tcBorders>
            <w:shd w:val="clear" w:color="auto" w:fill="auto"/>
            <w:vAlign w:val="bottom"/>
            <w:hideMark/>
          </w:tcPr>
          <w:p w14:paraId="739C96CE"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tcBorders>
              <w:top w:val="single" w:sz="8" w:space="0" w:color="auto"/>
              <w:left w:val="nil"/>
              <w:bottom w:val="nil"/>
              <w:right w:val="nil"/>
            </w:tcBorders>
            <w:shd w:val="clear" w:color="auto" w:fill="auto"/>
            <w:vAlign w:val="bottom"/>
            <w:hideMark/>
          </w:tcPr>
          <w:p w14:paraId="5952419D"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tcBorders>
              <w:top w:val="single" w:sz="8" w:space="0" w:color="auto"/>
              <w:left w:val="nil"/>
              <w:bottom w:val="nil"/>
              <w:right w:val="nil"/>
            </w:tcBorders>
            <w:shd w:val="clear" w:color="auto" w:fill="auto"/>
            <w:vAlign w:val="bottom"/>
            <w:hideMark/>
          </w:tcPr>
          <w:p w14:paraId="43AC09B7"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817" w:type="dxa"/>
            <w:tcBorders>
              <w:top w:val="single" w:sz="8" w:space="0" w:color="auto"/>
              <w:left w:val="nil"/>
              <w:bottom w:val="nil"/>
              <w:right w:val="nil"/>
            </w:tcBorders>
            <w:shd w:val="clear" w:color="auto" w:fill="auto"/>
            <w:vAlign w:val="bottom"/>
            <w:hideMark/>
          </w:tcPr>
          <w:p w14:paraId="39FD779D"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999" w:type="dxa"/>
            <w:tcBorders>
              <w:top w:val="single" w:sz="8" w:space="0" w:color="auto"/>
              <w:left w:val="nil"/>
              <w:bottom w:val="nil"/>
              <w:right w:val="nil"/>
            </w:tcBorders>
            <w:shd w:val="clear" w:color="auto" w:fill="auto"/>
            <w:vAlign w:val="bottom"/>
            <w:hideMark/>
          </w:tcPr>
          <w:p w14:paraId="4BE29C79"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1531" w:type="dxa"/>
            <w:tcBorders>
              <w:top w:val="single" w:sz="8" w:space="0" w:color="auto"/>
              <w:left w:val="nil"/>
              <w:bottom w:val="nil"/>
              <w:right w:val="nil"/>
            </w:tcBorders>
            <w:shd w:val="clear" w:color="auto" w:fill="auto"/>
            <w:vAlign w:val="bottom"/>
            <w:hideMark/>
          </w:tcPr>
          <w:p w14:paraId="4F99B103"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859" w:type="dxa"/>
            <w:gridSpan w:val="2"/>
            <w:tcBorders>
              <w:top w:val="single" w:sz="8" w:space="0" w:color="auto"/>
              <w:left w:val="nil"/>
              <w:bottom w:val="nil"/>
              <w:right w:val="nil"/>
            </w:tcBorders>
            <w:shd w:val="clear" w:color="auto" w:fill="auto"/>
            <w:vAlign w:val="bottom"/>
            <w:hideMark/>
          </w:tcPr>
          <w:p w14:paraId="56289EE0"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r>
      <w:tr w:rsidR="00732544" w:rsidRPr="009E7447" w14:paraId="198E11A9"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62136B86" w14:textId="77777777" w:rsidR="00732544" w:rsidRPr="009E7447" w:rsidRDefault="00732544" w:rsidP="00400DD1">
            <w:pPr>
              <w:spacing w:line="241" w:lineRule="auto"/>
              <w:ind w:left="144" w:hanging="144"/>
              <w:jc w:val="left"/>
              <w:rPr>
                <w:color w:val="000000"/>
                <w:sz w:val="18"/>
                <w:szCs w:val="18"/>
                <w:rtl/>
                <w:lang w:eastAsia="he-IL"/>
              </w:rPr>
            </w:pPr>
            <w:r w:rsidRPr="009E7447">
              <w:rPr>
                <w:color w:val="000000"/>
                <w:sz w:val="18"/>
                <w:szCs w:val="18"/>
                <w:lang w:eastAsia="he-IL"/>
              </w:rPr>
              <w:t>LTV</w:t>
            </w:r>
            <w:r w:rsidRPr="009E7447">
              <w:rPr>
                <w:rFonts w:hint="cs"/>
                <w:color w:val="000000"/>
                <w:sz w:val="18"/>
                <w:szCs w:val="18"/>
                <w:rtl/>
                <w:lang w:eastAsia="he-IL"/>
              </w:rPr>
              <w:t xml:space="preserve"> עד 60%</w:t>
            </w:r>
          </w:p>
        </w:tc>
        <w:tc>
          <w:tcPr>
            <w:tcW w:w="825" w:type="dxa"/>
            <w:shd w:val="clear" w:color="auto" w:fill="auto"/>
            <w:vAlign w:val="bottom"/>
            <w:hideMark/>
          </w:tcPr>
          <w:p w14:paraId="1E10DAB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07A3223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1864E80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72274AE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6870AC39"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458BE4B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22D3254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194A60AD"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556B89B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4DD2ECDD"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7A48495F" w14:textId="77777777" w:rsidR="00732544" w:rsidRPr="009E7447" w:rsidRDefault="00732544" w:rsidP="00400DD1">
            <w:pPr>
              <w:spacing w:line="241" w:lineRule="auto"/>
              <w:ind w:left="144" w:hanging="144"/>
              <w:jc w:val="left"/>
              <w:rPr>
                <w:color w:val="000000"/>
                <w:sz w:val="18"/>
                <w:szCs w:val="18"/>
                <w:rtl/>
                <w:lang w:eastAsia="he-IL"/>
              </w:rPr>
            </w:pPr>
            <w:r w:rsidRPr="009E7447">
              <w:rPr>
                <w:color w:val="000000"/>
                <w:sz w:val="18"/>
                <w:szCs w:val="18"/>
                <w:lang w:eastAsia="he-IL"/>
              </w:rPr>
              <w:t>LTV</w:t>
            </w:r>
            <w:r w:rsidRPr="009E7447">
              <w:rPr>
                <w:color w:val="000000"/>
                <w:sz w:val="18"/>
                <w:szCs w:val="18"/>
                <w:rtl/>
                <w:lang w:eastAsia="he-IL"/>
              </w:rPr>
              <w:t xml:space="preserve"> </w:t>
            </w:r>
            <w:r w:rsidRPr="009E7447">
              <w:rPr>
                <w:rFonts w:hint="cs"/>
                <w:color w:val="000000"/>
                <w:sz w:val="18"/>
                <w:szCs w:val="18"/>
                <w:rtl/>
                <w:lang w:eastAsia="he-IL"/>
              </w:rPr>
              <w:t>מעל 60% ועד 75%</w:t>
            </w:r>
          </w:p>
        </w:tc>
        <w:tc>
          <w:tcPr>
            <w:tcW w:w="825" w:type="dxa"/>
            <w:shd w:val="clear" w:color="auto" w:fill="auto"/>
            <w:vAlign w:val="bottom"/>
            <w:hideMark/>
          </w:tcPr>
          <w:p w14:paraId="4233BE91" w14:textId="77777777" w:rsidR="00732544" w:rsidRPr="009E7447" w:rsidRDefault="00732544" w:rsidP="00400DD1">
            <w:pPr>
              <w:spacing w:line="241" w:lineRule="auto"/>
              <w:rPr>
                <w:sz w:val="18"/>
                <w:szCs w:val="18"/>
              </w:rPr>
            </w:pPr>
            <w:r w:rsidRPr="009E7447">
              <w:rPr>
                <w:rFonts w:hint="cs"/>
                <w:sz w:val="18"/>
                <w:szCs w:val="18"/>
                <w:rtl/>
              </w:rPr>
              <w:t xml:space="preserve"> 0</w:t>
            </w:r>
          </w:p>
        </w:tc>
        <w:tc>
          <w:tcPr>
            <w:tcW w:w="794" w:type="dxa"/>
            <w:shd w:val="clear" w:color="auto" w:fill="auto"/>
            <w:vAlign w:val="bottom"/>
            <w:hideMark/>
          </w:tcPr>
          <w:p w14:paraId="5622A0A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097A4106"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321D3D8D"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26CF10C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70C48CB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3F575F89"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15F8EBC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097AF9E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05C287D1" w14:textId="77777777" w:rsidTr="00C1584D">
        <w:tblPrEx>
          <w:tblLook w:val="01E0" w:firstRow="1" w:lastRow="1" w:firstColumn="1" w:lastColumn="1" w:noHBand="0" w:noVBand="0"/>
        </w:tblPrEx>
        <w:trPr>
          <w:gridAfter w:val="1"/>
          <w:wAfter w:w="16" w:type="dxa"/>
          <w:trHeight w:val="259"/>
        </w:trPr>
        <w:tc>
          <w:tcPr>
            <w:tcW w:w="2376" w:type="dxa"/>
            <w:gridSpan w:val="3"/>
            <w:shd w:val="clear" w:color="auto" w:fill="auto"/>
            <w:vAlign w:val="bottom"/>
            <w:hideMark/>
          </w:tcPr>
          <w:p w14:paraId="2FD5A61D" w14:textId="77777777" w:rsidR="00732544" w:rsidRPr="009E7447" w:rsidRDefault="00732544" w:rsidP="00400DD1">
            <w:pPr>
              <w:spacing w:line="256" w:lineRule="auto"/>
              <w:jc w:val="left"/>
              <w:rPr>
                <w:b/>
                <w:bCs/>
                <w:color w:val="000000"/>
                <w:sz w:val="18"/>
                <w:szCs w:val="18"/>
                <w:rtl/>
                <w:lang w:eastAsia="he-IL"/>
              </w:rPr>
            </w:pPr>
            <w:r w:rsidRPr="009E7447">
              <w:rPr>
                <w:color w:val="000000"/>
                <w:sz w:val="18"/>
                <w:szCs w:val="18"/>
                <w:lang w:eastAsia="he-IL"/>
              </w:rPr>
              <w:t>LTV</w:t>
            </w:r>
            <w:r w:rsidRPr="009E7447">
              <w:rPr>
                <w:color w:val="000000"/>
                <w:sz w:val="18"/>
                <w:szCs w:val="18"/>
                <w:rtl/>
                <w:lang w:eastAsia="he-IL"/>
              </w:rPr>
              <w:t xml:space="preserve"> </w:t>
            </w:r>
            <w:r w:rsidRPr="009E7447">
              <w:rPr>
                <w:rFonts w:hint="cs"/>
                <w:color w:val="000000"/>
                <w:sz w:val="18"/>
                <w:szCs w:val="18"/>
                <w:rtl/>
                <w:lang w:eastAsia="he-IL"/>
              </w:rPr>
              <w:t>מעל 75%</w:t>
            </w:r>
          </w:p>
        </w:tc>
        <w:tc>
          <w:tcPr>
            <w:tcW w:w="825" w:type="dxa"/>
            <w:tcBorders>
              <w:top w:val="nil"/>
              <w:left w:val="nil"/>
              <w:bottom w:val="single" w:sz="4" w:space="0" w:color="auto"/>
              <w:right w:val="nil"/>
            </w:tcBorders>
            <w:shd w:val="clear" w:color="auto" w:fill="auto"/>
            <w:vAlign w:val="bottom"/>
            <w:hideMark/>
          </w:tcPr>
          <w:p w14:paraId="3252797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210B407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47B42A4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65C7EAD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4188572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tcBorders>
              <w:top w:val="nil"/>
              <w:left w:val="nil"/>
              <w:bottom w:val="single" w:sz="4" w:space="0" w:color="auto"/>
              <w:right w:val="nil"/>
            </w:tcBorders>
            <w:shd w:val="clear" w:color="auto" w:fill="auto"/>
            <w:vAlign w:val="bottom"/>
            <w:hideMark/>
          </w:tcPr>
          <w:p w14:paraId="2683427D"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tcBorders>
              <w:top w:val="nil"/>
              <w:left w:val="nil"/>
              <w:bottom w:val="single" w:sz="4" w:space="0" w:color="auto"/>
              <w:right w:val="nil"/>
            </w:tcBorders>
            <w:shd w:val="clear" w:color="auto" w:fill="auto"/>
            <w:vAlign w:val="bottom"/>
            <w:hideMark/>
          </w:tcPr>
          <w:p w14:paraId="149A836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tcBorders>
              <w:top w:val="nil"/>
              <w:left w:val="nil"/>
              <w:bottom w:val="single" w:sz="4" w:space="0" w:color="auto"/>
              <w:right w:val="nil"/>
            </w:tcBorders>
            <w:shd w:val="clear" w:color="auto" w:fill="auto"/>
            <w:vAlign w:val="bottom"/>
            <w:hideMark/>
          </w:tcPr>
          <w:p w14:paraId="06B0305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tcBorders>
              <w:top w:val="nil"/>
              <w:left w:val="nil"/>
              <w:bottom w:val="single" w:sz="4" w:space="0" w:color="auto"/>
              <w:right w:val="nil"/>
            </w:tcBorders>
            <w:shd w:val="clear" w:color="auto" w:fill="auto"/>
            <w:vAlign w:val="bottom"/>
            <w:hideMark/>
          </w:tcPr>
          <w:p w14:paraId="303BEB66"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53B72083"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12E115A6"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בפיגור ובדירוג ביצוע</w:t>
            </w:r>
          </w:p>
        </w:tc>
        <w:tc>
          <w:tcPr>
            <w:tcW w:w="825" w:type="dxa"/>
            <w:tcBorders>
              <w:top w:val="single" w:sz="4" w:space="0" w:color="auto"/>
              <w:left w:val="nil"/>
              <w:bottom w:val="nil"/>
              <w:right w:val="nil"/>
            </w:tcBorders>
            <w:shd w:val="clear" w:color="auto" w:fill="auto"/>
            <w:vAlign w:val="bottom"/>
            <w:hideMark/>
          </w:tcPr>
          <w:p w14:paraId="60084809" w14:textId="77777777" w:rsidR="00732544" w:rsidRPr="009E7447" w:rsidRDefault="00732544" w:rsidP="00400DD1">
            <w:pPr>
              <w:spacing w:line="241" w:lineRule="auto"/>
              <w:rPr>
                <w:sz w:val="18"/>
                <w:szCs w:val="18"/>
              </w:rPr>
            </w:pPr>
            <w:r w:rsidRPr="009E7447">
              <w:rPr>
                <w:rFonts w:hint="cs"/>
                <w:sz w:val="18"/>
                <w:szCs w:val="18"/>
                <w:rtl/>
              </w:rPr>
              <w:t xml:space="preserve"> 0</w:t>
            </w:r>
          </w:p>
        </w:tc>
        <w:tc>
          <w:tcPr>
            <w:tcW w:w="794" w:type="dxa"/>
            <w:tcBorders>
              <w:top w:val="single" w:sz="4" w:space="0" w:color="auto"/>
              <w:left w:val="nil"/>
              <w:bottom w:val="nil"/>
              <w:right w:val="nil"/>
            </w:tcBorders>
            <w:shd w:val="clear" w:color="auto" w:fill="auto"/>
            <w:vAlign w:val="bottom"/>
            <w:hideMark/>
          </w:tcPr>
          <w:p w14:paraId="38C06D1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single" w:sz="4" w:space="0" w:color="auto"/>
              <w:left w:val="nil"/>
              <w:bottom w:val="nil"/>
              <w:right w:val="nil"/>
            </w:tcBorders>
            <w:shd w:val="clear" w:color="auto" w:fill="auto"/>
            <w:vAlign w:val="bottom"/>
            <w:hideMark/>
          </w:tcPr>
          <w:p w14:paraId="4925F3C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single" w:sz="4" w:space="0" w:color="auto"/>
              <w:left w:val="nil"/>
              <w:bottom w:val="nil"/>
              <w:right w:val="nil"/>
            </w:tcBorders>
            <w:shd w:val="clear" w:color="auto" w:fill="auto"/>
            <w:vAlign w:val="bottom"/>
            <w:hideMark/>
          </w:tcPr>
          <w:p w14:paraId="5007079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single" w:sz="4" w:space="0" w:color="auto"/>
              <w:left w:val="nil"/>
              <w:bottom w:val="nil"/>
              <w:right w:val="nil"/>
            </w:tcBorders>
            <w:shd w:val="clear" w:color="auto" w:fill="auto"/>
            <w:vAlign w:val="bottom"/>
            <w:hideMark/>
          </w:tcPr>
          <w:p w14:paraId="38BC13D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tcBorders>
              <w:top w:val="single" w:sz="4" w:space="0" w:color="auto"/>
              <w:left w:val="nil"/>
              <w:bottom w:val="nil"/>
              <w:right w:val="nil"/>
            </w:tcBorders>
            <w:shd w:val="clear" w:color="auto" w:fill="auto"/>
            <w:vAlign w:val="bottom"/>
            <w:hideMark/>
          </w:tcPr>
          <w:p w14:paraId="2250DD1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tcBorders>
              <w:top w:val="single" w:sz="4" w:space="0" w:color="auto"/>
              <w:left w:val="nil"/>
              <w:bottom w:val="nil"/>
              <w:right w:val="nil"/>
            </w:tcBorders>
            <w:shd w:val="clear" w:color="auto" w:fill="auto"/>
            <w:vAlign w:val="bottom"/>
            <w:hideMark/>
          </w:tcPr>
          <w:p w14:paraId="133F977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tcBorders>
              <w:top w:val="single" w:sz="4" w:space="0" w:color="auto"/>
              <w:left w:val="nil"/>
              <w:bottom w:val="nil"/>
              <w:right w:val="nil"/>
            </w:tcBorders>
            <w:shd w:val="clear" w:color="auto" w:fill="auto"/>
            <w:vAlign w:val="bottom"/>
            <w:hideMark/>
          </w:tcPr>
          <w:p w14:paraId="09A2D30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tcBorders>
              <w:top w:val="single" w:sz="4" w:space="0" w:color="auto"/>
              <w:left w:val="nil"/>
              <w:bottom w:val="nil"/>
              <w:right w:val="nil"/>
            </w:tcBorders>
            <w:shd w:val="clear" w:color="auto" w:fill="auto"/>
            <w:vAlign w:val="bottom"/>
            <w:hideMark/>
          </w:tcPr>
          <w:p w14:paraId="4687683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06D271E3"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33672373"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בפיגור ואינו בדירוג ביצוע</w:t>
            </w:r>
          </w:p>
        </w:tc>
        <w:tc>
          <w:tcPr>
            <w:tcW w:w="825" w:type="dxa"/>
            <w:shd w:val="clear" w:color="auto" w:fill="auto"/>
            <w:vAlign w:val="bottom"/>
            <w:hideMark/>
          </w:tcPr>
          <w:p w14:paraId="16C7AEC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05898E8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092E3A73"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4D84F9F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017718D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51006684"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1769A63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4B19EC6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3C904C7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4FB84725"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5267C038"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rtl/>
                <w:lang w:eastAsia="he-IL"/>
              </w:rPr>
              <w:t>בפיגור 30-89 יום</w:t>
            </w:r>
          </w:p>
        </w:tc>
        <w:tc>
          <w:tcPr>
            <w:tcW w:w="825" w:type="dxa"/>
            <w:shd w:val="clear" w:color="auto" w:fill="auto"/>
            <w:vAlign w:val="bottom"/>
            <w:hideMark/>
          </w:tcPr>
          <w:p w14:paraId="71460B5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272F0BFD"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52EB9FA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3459CDF3"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743EA0C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21AB6A7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481FD4C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0831F08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7EE5C4B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552E8F1A"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6B8E25CA"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rtl/>
                <w:lang w:eastAsia="he-IL"/>
              </w:rPr>
              <w:t>בפיגור מעל 90 יום</w:t>
            </w:r>
          </w:p>
        </w:tc>
        <w:tc>
          <w:tcPr>
            <w:tcW w:w="825" w:type="dxa"/>
            <w:tcBorders>
              <w:top w:val="nil"/>
              <w:left w:val="nil"/>
              <w:bottom w:val="single" w:sz="4" w:space="0" w:color="auto"/>
              <w:right w:val="nil"/>
            </w:tcBorders>
            <w:shd w:val="clear" w:color="auto" w:fill="auto"/>
            <w:vAlign w:val="bottom"/>
            <w:hideMark/>
          </w:tcPr>
          <w:p w14:paraId="474C9DEF" w14:textId="77777777" w:rsidR="00732544" w:rsidRPr="009E7447" w:rsidRDefault="00732544" w:rsidP="00400DD1">
            <w:pPr>
              <w:spacing w:line="241" w:lineRule="auto"/>
              <w:rPr>
                <w:sz w:val="18"/>
                <w:szCs w:val="18"/>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6153B4D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634E505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4E6DBD9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630F912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tcBorders>
              <w:top w:val="nil"/>
              <w:left w:val="nil"/>
              <w:bottom w:val="single" w:sz="4" w:space="0" w:color="auto"/>
              <w:right w:val="nil"/>
            </w:tcBorders>
            <w:shd w:val="clear" w:color="auto" w:fill="auto"/>
            <w:vAlign w:val="bottom"/>
            <w:hideMark/>
          </w:tcPr>
          <w:p w14:paraId="6740D864"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tcBorders>
              <w:top w:val="nil"/>
              <w:left w:val="nil"/>
              <w:bottom w:val="single" w:sz="4" w:space="0" w:color="auto"/>
              <w:right w:val="nil"/>
            </w:tcBorders>
            <w:shd w:val="clear" w:color="auto" w:fill="auto"/>
            <w:vAlign w:val="bottom"/>
            <w:hideMark/>
          </w:tcPr>
          <w:p w14:paraId="3DBA4FE4"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tcBorders>
              <w:top w:val="nil"/>
              <w:left w:val="nil"/>
              <w:bottom w:val="single" w:sz="4" w:space="0" w:color="auto"/>
              <w:right w:val="nil"/>
            </w:tcBorders>
            <w:shd w:val="clear" w:color="auto" w:fill="auto"/>
            <w:vAlign w:val="bottom"/>
            <w:hideMark/>
          </w:tcPr>
          <w:p w14:paraId="2F97B65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tcBorders>
              <w:top w:val="nil"/>
              <w:left w:val="nil"/>
              <w:bottom w:val="single" w:sz="4" w:space="0" w:color="auto"/>
              <w:right w:val="nil"/>
            </w:tcBorders>
            <w:shd w:val="clear" w:color="auto" w:fill="auto"/>
            <w:vAlign w:val="bottom"/>
            <w:hideMark/>
          </w:tcPr>
          <w:p w14:paraId="6A3A2F1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3C0463BC"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7634C64A"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צובר</w:t>
            </w:r>
          </w:p>
        </w:tc>
        <w:tc>
          <w:tcPr>
            <w:tcW w:w="825" w:type="dxa"/>
            <w:tcBorders>
              <w:top w:val="single" w:sz="4" w:space="0" w:color="auto"/>
              <w:left w:val="nil"/>
              <w:bottom w:val="single" w:sz="8" w:space="0" w:color="auto"/>
              <w:right w:val="nil"/>
            </w:tcBorders>
            <w:shd w:val="clear" w:color="auto" w:fill="auto"/>
            <w:vAlign w:val="bottom"/>
            <w:hideMark/>
          </w:tcPr>
          <w:p w14:paraId="61A7E9A9"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single" w:sz="4" w:space="0" w:color="auto"/>
              <w:left w:val="nil"/>
              <w:bottom w:val="single" w:sz="8" w:space="0" w:color="auto"/>
              <w:right w:val="nil"/>
            </w:tcBorders>
            <w:shd w:val="clear" w:color="auto" w:fill="auto"/>
            <w:vAlign w:val="bottom"/>
            <w:hideMark/>
          </w:tcPr>
          <w:p w14:paraId="01BBDE14"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single" w:sz="4" w:space="0" w:color="auto"/>
              <w:left w:val="nil"/>
              <w:bottom w:val="single" w:sz="8" w:space="0" w:color="auto"/>
              <w:right w:val="nil"/>
            </w:tcBorders>
            <w:shd w:val="clear" w:color="auto" w:fill="auto"/>
            <w:vAlign w:val="bottom"/>
            <w:hideMark/>
          </w:tcPr>
          <w:p w14:paraId="1F43450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single" w:sz="4" w:space="0" w:color="auto"/>
              <w:left w:val="nil"/>
              <w:bottom w:val="single" w:sz="8" w:space="0" w:color="auto"/>
              <w:right w:val="nil"/>
            </w:tcBorders>
            <w:shd w:val="clear" w:color="auto" w:fill="auto"/>
            <w:vAlign w:val="bottom"/>
            <w:hideMark/>
          </w:tcPr>
          <w:p w14:paraId="72BC44B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single" w:sz="4" w:space="0" w:color="auto"/>
              <w:left w:val="nil"/>
              <w:bottom w:val="single" w:sz="8" w:space="0" w:color="auto"/>
              <w:right w:val="nil"/>
            </w:tcBorders>
            <w:shd w:val="clear" w:color="auto" w:fill="auto"/>
            <w:vAlign w:val="bottom"/>
            <w:hideMark/>
          </w:tcPr>
          <w:p w14:paraId="3BA4CDD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tcBorders>
              <w:top w:val="single" w:sz="4" w:space="0" w:color="auto"/>
              <w:left w:val="nil"/>
              <w:bottom w:val="single" w:sz="8" w:space="0" w:color="auto"/>
              <w:right w:val="nil"/>
            </w:tcBorders>
            <w:shd w:val="clear" w:color="auto" w:fill="auto"/>
            <w:vAlign w:val="bottom"/>
            <w:hideMark/>
          </w:tcPr>
          <w:p w14:paraId="3C787A5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tcBorders>
              <w:top w:val="single" w:sz="4" w:space="0" w:color="auto"/>
              <w:left w:val="nil"/>
              <w:bottom w:val="single" w:sz="8" w:space="0" w:color="auto"/>
              <w:right w:val="nil"/>
            </w:tcBorders>
            <w:shd w:val="clear" w:color="auto" w:fill="auto"/>
            <w:vAlign w:val="bottom"/>
            <w:hideMark/>
          </w:tcPr>
          <w:p w14:paraId="74FACE1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tcBorders>
              <w:top w:val="single" w:sz="4" w:space="0" w:color="auto"/>
              <w:left w:val="nil"/>
              <w:bottom w:val="single" w:sz="8" w:space="0" w:color="auto"/>
              <w:right w:val="nil"/>
            </w:tcBorders>
            <w:shd w:val="clear" w:color="auto" w:fill="auto"/>
            <w:vAlign w:val="bottom"/>
            <w:hideMark/>
          </w:tcPr>
          <w:p w14:paraId="54C080A6"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tcBorders>
              <w:top w:val="single" w:sz="4" w:space="0" w:color="auto"/>
              <w:left w:val="nil"/>
              <w:bottom w:val="single" w:sz="8" w:space="0" w:color="auto"/>
              <w:right w:val="nil"/>
            </w:tcBorders>
            <w:shd w:val="clear" w:color="auto" w:fill="auto"/>
            <w:vAlign w:val="bottom"/>
            <w:hideMark/>
          </w:tcPr>
          <w:p w14:paraId="781440B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078749E5"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0F72EB75" w14:textId="77777777" w:rsidR="00732544" w:rsidRPr="009E7447" w:rsidRDefault="00732544" w:rsidP="00400DD1">
            <w:pPr>
              <w:ind w:left="142" w:hanging="142"/>
              <w:jc w:val="left"/>
              <w:rPr>
                <w:b/>
                <w:bCs/>
                <w:color w:val="000000"/>
                <w:sz w:val="18"/>
                <w:szCs w:val="18"/>
                <w:rtl/>
                <w:lang w:eastAsia="he-IL"/>
              </w:rPr>
            </w:pPr>
            <w:r w:rsidRPr="009E7447">
              <w:rPr>
                <w:rFonts w:hint="cs"/>
                <w:b/>
                <w:bCs/>
                <w:color w:val="000000"/>
                <w:sz w:val="18"/>
                <w:szCs w:val="18"/>
                <w:rtl/>
                <w:lang w:eastAsia="he-IL"/>
              </w:rPr>
              <w:t>אנשים פרטיים – אחר – סה"כ</w:t>
            </w:r>
          </w:p>
        </w:tc>
        <w:tc>
          <w:tcPr>
            <w:tcW w:w="825" w:type="dxa"/>
            <w:tcBorders>
              <w:top w:val="single" w:sz="8" w:space="0" w:color="auto"/>
            </w:tcBorders>
            <w:shd w:val="clear" w:color="auto" w:fill="auto"/>
            <w:vAlign w:val="bottom"/>
            <w:hideMark/>
          </w:tcPr>
          <w:p w14:paraId="46BF97E8"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c>
          <w:tcPr>
            <w:tcW w:w="794" w:type="dxa"/>
            <w:tcBorders>
              <w:top w:val="single" w:sz="8" w:space="0" w:color="auto"/>
            </w:tcBorders>
            <w:shd w:val="clear" w:color="auto" w:fill="auto"/>
            <w:vAlign w:val="bottom"/>
            <w:hideMark/>
          </w:tcPr>
          <w:p w14:paraId="3F338628"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c>
          <w:tcPr>
            <w:tcW w:w="794" w:type="dxa"/>
            <w:tcBorders>
              <w:top w:val="single" w:sz="8" w:space="0" w:color="auto"/>
            </w:tcBorders>
            <w:shd w:val="clear" w:color="auto" w:fill="auto"/>
            <w:vAlign w:val="bottom"/>
            <w:hideMark/>
          </w:tcPr>
          <w:p w14:paraId="36AE956F"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c>
          <w:tcPr>
            <w:tcW w:w="794" w:type="dxa"/>
            <w:tcBorders>
              <w:top w:val="single" w:sz="8" w:space="0" w:color="auto"/>
            </w:tcBorders>
            <w:shd w:val="clear" w:color="auto" w:fill="auto"/>
            <w:vAlign w:val="bottom"/>
            <w:hideMark/>
          </w:tcPr>
          <w:p w14:paraId="62A78230"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c>
          <w:tcPr>
            <w:tcW w:w="794" w:type="dxa"/>
            <w:tcBorders>
              <w:top w:val="single" w:sz="8" w:space="0" w:color="auto"/>
            </w:tcBorders>
            <w:shd w:val="clear" w:color="auto" w:fill="auto"/>
            <w:vAlign w:val="bottom"/>
            <w:hideMark/>
          </w:tcPr>
          <w:p w14:paraId="4F3A547D"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c>
          <w:tcPr>
            <w:tcW w:w="817" w:type="dxa"/>
            <w:tcBorders>
              <w:top w:val="single" w:sz="8" w:space="0" w:color="auto"/>
            </w:tcBorders>
            <w:shd w:val="clear" w:color="auto" w:fill="auto"/>
            <w:vAlign w:val="bottom"/>
            <w:hideMark/>
          </w:tcPr>
          <w:p w14:paraId="0BC80C37"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c>
          <w:tcPr>
            <w:tcW w:w="999" w:type="dxa"/>
            <w:tcBorders>
              <w:top w:val="single" w:sz="8" w:space="0" w:color="auto"/>
            </w:tcBorders>
            <w:shd w:val="clear" w:color="auto" w:fill="auto"/>
            <w:vAlign w:val="bottom"/>
            <w:hideMark/>
          </w:tcPr>
          <w:p w14:paraId="1489546D"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c>
          <w:tcPr>
            <w:tcW w:w="1531" w:type="dxa"/>
            <w:tcBorders>
              <w:top w:val="single" w:sz="8" w:space="0" w:color="auto"/>
            </w:tcBorders>
            <w:shd w:val="clear" w:color="auto" w:fill="auto"/>
            <w:vAlign w:val="bottom"/>
            <w:hideMark/>
          </w:tcPr>
          <w:p w14:paraId="7378A725"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c>
          <w:tcPr>
            <w:tcW w:w="859" w:type="dxa"/>
            <w:gridSpan w:val="2"/>
            <w:tcBorders>
              <w:top w:val="single" w:sz="8" w:space="0" w:color="auto"/>
            </w:tcBorders>
            <w:shd w:val="clear" w:color="auto" w:fill="auto"/>
            <w:vAlign w:val="bottom"/>
            <w:hideMark/>
          </w:tcPr>
          <w:p w14:paraId="76B13691"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r>
      <w:tr w:rsidR="00732544" w:rsidRPr="009E7447" w14:paraId="6CA73C38" w14:textId="77777777" w:rsidTr="00C1584D">
        <w:tblPrEx>
          <w:tblLook w:val="01E0" w:firstRow="1" w:lastRow="1" w:firstColumn="1" w:lastColumn="1" w:noHBand="0" w:noVBand="0"/>
        </w:tblPrEx>
        <w:trPr>
          <w:gridAfter w:val="1"/>
          <w:wAfter w:w="16" w:type="dxa"/>
          <w:trHeight w:val="284"/>
        </w:trPr>
        <w:tc>
          <w:tcPr>
            <w:tcW w:w="2376" w:type="dxa"/>
            <w:gridSpan w:val="3"/>
            <w:shd w:val="clear" w:color="auto" w:fill="auto"/>
            <w:vAlign w:val="bottom"/>
            <w:hideMark/>
          </w:tcPr>
          <w:p w14:paraId="6C2A9B59" w14:textId="77777777" w:rsidR="00732544" w:rsidRPr="009E7447" w:rsidRDefault="00732544" w:rsidP="00400DD1">
            <w:pPr>
              <w:bidi w:val="0"/>
              <w:spacing w:line="180" w:lineRule="exact"/>
              <w:ind w:left="142" w:hanging="142"/>
              <w:jc w:val="right"/>
              <w:rPr>
                <w:rFonts w:asciiTheme="minorBidi" w:hAnsiTheme="minorBidi" w:cstheme="minorBidi"/>
                <w:color w:val="000000"/>
                <w:sz w:val="18"/>
                <w:szCs w:val="18"/>
                <w:rtl/>
                <w:lang w:eastAsia="he-IL"/>
              </w:rPr>
            </w:pPr>
            <w:r w:rsidRPr="009E7447">
              <w:rPr>
                <w:rFonts w:asciiTheme="minorBidi" w:hAnsiTheme="minorBidi" w:cstheme="minorBidi" w:hint="cs"/>
                <w:color w:val="000000"/>
                <w:sz w:val="18"/>
                <w:szCs w:val="18"/>
                <w:rtl/>
                <w:lang w:eastAsia="he-IL"/>
              </w:rPr>
              <w:t>אשראי שאינו בפיגור ובדירוג ביצוע</w:t>
            </w:r>
          </w:p>
        </w:tc>
        <w:tc>
          <w:tcPr>
            <w:tcW w:w="825" w:type="dxa"/>
            <w:shd w:val="clear" w:color="auto" w:fill="auto"/>
            <w:vAlign w:val="bottom"/>
            <w:hideMark/>
          </w:tcPr>
          <w:p w14:paraId="39969846" w14:textId="77777777" w:rsidR="00732544" w:rsidRPr="009E7447" w:rsidRDefault="00732544" w:rsidP="00400DD1">
            <w:pPr>
              <w:spacing w:line="241" w:lineRule="auto"/>
              <w:rPr>
                <w:rFonts w:asciiTheme="minorBidi" w:hAnsiTheme="minorBidi" w:cstheme="minorBidi"/>
                <w:sz w:val="18"/>
                <w:szCs w:val="18"/>
              </w:rPr>
            </w:pPr>
            <w:r w:rsidRPr="009E7447">
              <w:rPr>
                <w:rFonts w:hint="cs"/>
                <w:sz w:val="18"/>
                <w:szCs w:val="18"/>
                <w:rtl/>
              </w:rPr>
              <w:t xml:space="preserve"> 0</w:t>
            </w:r>
          </w:p>
        </w:tc>
        <w:tc>
          <w:tcPr>
            <w:tcW w:w="794" w:type="dxa"/>
            <w:shd w:val="clear" w:color="auto" w:fill="auto"/>
            <w:vAlign w:val="bottom"/>
            <w:hideMark/>
          </w:tcPr>
          <w:p w14:paraId="615C817B"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34E03389"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1825DF2C"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7FEF4AA3"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17" w:type="dxa"/>
            <w:shd w:val="clear" w:color="auto" w:fill="auto"/>
            <w:vAlign w:val="bottom"/>
            <w:hideMark/>
          </w:tcPr>
          <w:p w14:paraId="1A0F3D23"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999" w:type="dxa"/>
            <w:shd w:val="clear" w:color="auto" w:fill="auto"/>
            <w:vAlign w:val="bottom"/>
            <w:hideMark/>
          </w:tcPr>
          <w:p w14:paraId="55A92D2C"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1531" w:type="dxa"/>
            <w:shd w:val="clear" w:color="auto" w:fill="auto"/>
            <w:vAlign w:val="bottom"/>
            <w:hideMark/>
          </w:tcPr>
          <w:p w14:paraId="5636D96F"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59" w:type="dxa"/>
            <w:gridSpan w:val="2"/>
            <w:shd w:val="clear" w:color="auto" w:fill="auto"/>
            <w:vAlign w:val="bottom"/>
            <w:hideMark/>
          </w:tcPr>
          <w:p w14:paraId="1140591C"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r>
      <w:tr w:rsidR="00732544" w:rsidRPr="009E7447" w14:paraId="51DFB7A2"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66BE2142" w14:textId="77777777" w:rsidR="00732544" w:rsidRPr="009E7447" w:rsidRDefault="00732544" w:rsidP="00400DD1">
            <w:pPr>
              <w:spacing w:line="241" w:lineRule="auto"/>
              <w:ind w:left="144" w:hanging="144"/>
              <w:jc w:val="left"/>
              <w:rPr>
                <w:rFonts w:asciiTheme="minorBidi" w:hAnsiTheme="minorBidi" w:cstheme="minorBidi"/>
                <w:color w:val="000000"/>
                <w:sz w:val="18"/>
                <w:szCs w:val="18"/>
                <w:rtl/>
                <w:lang w:eastAsia="he-IL"/>
              </w:rPr>
            </w:pPr>
            <w:r w:rsidRPr="009E7447">
              <w:rPr>
                <w:rFonts w:asciiTheme="minorBidi" w:hAnsiTheme="minorBidi" w:cstheme="minorBidi" w:hint="cs"/>
                <w:color w:val="000000"/>
                <w:sz w:val="18"/>
                <w:szCs w:val="18"/>
                <w:rtl/>
                <w:lang w:eastAsia="he-IL"/>
              </w:rPr>
              <w:t>אשראי שאינו בפיגור ואינו בדירוג ביצוע</w:t>
            </w:r>
          </w:p>
        </w:tc>
        <w:tc>
          <w:tcPr>
            <w:tcW w:w="825" w:type="dxa"/>
            <w:shd w:val="clear" w:color="auto" w:fill="auto"/>
            <w:vAlign w:val="bottom"/>
            <w:hideMark/>
          </w:tcPr>
          <w:p w14:paraId="270ED6FE"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7F5A84F8"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4EAC0EDC"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39C2F5FF"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07641CF2"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17" w:type="dxa"/>
            <w:shd w:val="clear" w:color="auto" w:fill="auto"/>
            <w:vAlign w:val="bottom"/>
            <w:hideMark/>
          </w:tcPr>
          <w:p w14:paraId="26B71335"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999" w:type="dxa"/>
            <w:shd w:val="clear" w:color="auto" w:fill="auto"/>
            <w:vAlign w:val="bottom"/>
            <w:hideMark/>
          </w:tcPr>
          <w:p w14:paraId="5868A0EF"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1531" w:type="dxa"/>
            <w:shd w:val="clear" w:color="auto" w:fill="auto"/>
            <w:vAlign w:val="bottom"/>
            <w:hideMark/>
          </w:tcPr>
          <w:p w14:paraId="40F2D202"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59" w:type="dxa"/>
            <w:gridSpan w:val="2"/>
            <w:shd w:val="clear" w:color="auto" w:fill="auto"/>
            <w:vAlign w:val="bottom"/>
            <w:hideMark/>
          </w:tcPr>
          <w:p w14:paraId="3E6F60C2"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r>
      <w:tr w:rsidR="00732544" w:rsidRPr="009E7447" w14:paraId="5B8DCDCD"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0E94B4CB" w14:textId="77777777" w:rsidR="00732544" w:rsidRPr="009E7447" w:rsidRDefault="00732544" w:rsidP="00400DD1">
            <w:pPr>
              <w:spacing w:line="241" w:lineRule="auto"/>
              <w:ind w:left="144" w:hanging="144"/>
              <w:jc w:val="left"/>
              <w:rPr>
                <w:rFonts w:asciiTheme="minorBidi" w:hAnsiTheme="minorBidi" w:cstheme="minorBidi"/>
                <w:color w:val="000000"/>
                <w:sz w:val="18"/>
                <w:szCs w:val="18"/>
                <w:rtl/>
                <w:lang w:eastAsia="he-IL"/>
              </w:rPr>
            </w:pPr>
            <w:r w:rsidRPr="009E7447">
              <w:rPr>
                <w:rFonts w:hint="cs"/>
                <w:color w:val="000000"/>
                <w:sz w:val="18"/>
                <w:szCs w:val="18"/>
                <w:rtl/>
                <w:lang w:eastAsia="he-IL"/>
              </w:rPr>
              <w:t>בפיגור 30-89 יום</w:t>
            </w:r>
          </w:p>
        </w:tc>
        <w:tc>
          <w:tcPr>
            <w:tcW w:w="825" w:type="dxa"/>
            <w:shd w:val="clear" w:color="auto" w:fill="auto"/>
            <w:vAlign w:val="bottom"/>
            <w:hideMark/>
          </w:tcPr>
          <w:p w14:paraId="79E89BA5"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6BA80937"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287681FC"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656575E3"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00688167"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17" w:type="dxa"/>
            <w:shd w:val="clear" w:color="auto" w:fill="auto"/>
            <w:vAlign w:val="bottom"/>
            <w:hideMark/>
          </w:tcPr>
          <w:p w14:paraId="4438EA2A"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999" w:type="dxa"/>
            <w:shd w:val="clear" w:color="auto" w:fill="auto"/>
            <w:vAlign w:val="bottom"/>
            <w:hideMark/>
          </w:tcPr>
          <w:p w14:paraId="567C2B5E"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1531" w:type="dxa"/>
            <w:shd w:val="clear" w:color="auto" w:fill="auto"/>
            <w:vAlign w:val="bottom"/>
            <w:hideMark/>
          </w:tcPr>
          <w:p w14:paraId="7498A2C4"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59" w:type="dxa"/>
            <w:gridSpan w:val="2"/>
            <w:shd w:val="clear" w:color="auto" w:fill="auto"/>
            <w:vAlign w:val="bottom"/>
            <w:hideMark/>
          </w:tcPr>
          <w:p w14:paraId="1EA92F71"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r>
      <w:tr w:rsidR="00732544" w:rsidRPr="009E7447" w14:paraId="76B6FE8C"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6A1D23D0" w14:textId="77777777" w:rsidR="00732544" w:rsidRPr="009E7447" w:rsidRDefault="00732544" w:rsidP="00400DD1">
            <w:pPr>
              <w:spacing w:line="241" w:lineRule="auto"/>
              <w:ind w:left="144" w:hanging="144"/>
              <w:jc w:val="left"/>
              <w:rPr>
                <w:rFonts w:asciiTheme="minorBidi" w:hAnsiTheme="minorBidi" w:cstheme="minorBidi"/>
                <w:color w:val="000000"/>
                <w:sz w:val="18"/>
                <w:szCs w:val="18"/>
                <w:rtl/>
                <w:lang w:eastAsia="he-IL"/>
              </w:rPr>
            </w:pPr>
            <w:r w:rsidRPr="009E7447">
              <w:rPr>
                <w:rFonts w:hint="cs"/>
                <w:color w:val="000000"/>
                <w:sz w:val="18"/>
                <w:szCs w:val="18"/>
                <w:rtl/>
                <w:lang w:eastAsia="he-IL"/>
              </w:rPr>
              <w:t>בפיגור מעל 90 יום</w:t>
            </w:r>
          </w:p>
        </w:tc>
        <w:tc>
          <w:tcPr>
            <w:tcW w:w="825" w:type="dxa"/>
            <w:tcBorders>
              <w:top w:val="nil"/>
              <w:left w:val="nil"/>
              <w:bottom w:val="single" w:sz="4" w:space="0" w:color="auto"/>
              <w:right w:val="nil"/>
            </w:tcBorders>
            <w:shd w:val="clear" w:color="auto" w:fill="auto"/>
            <w:vAlign w:val="bottom"/>
            <w:hideMark/>
          </w:tcPr>
          <w:p w14:paraId="7AF3C371"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749DC0EE"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62FF6677"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7B0AD4BE"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69908457"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17" w:type="dxa"/>
            <w:tcBorders>
              <w:top w:val="nil"/>
              <w:left w:val="nil"/>
              <w:bottom w:val="single" w:sz="4" w:space="0" w:color="auto"/>
              <w:right w:val="nil"/>
            </w:tcBorders>
            <w:shd w:val="clear" w:color="auto" w:fill="auto"/>
            <w:vAlign w:val="bottom"/>
            <w:hideMark/>
          </w:tcPr>
          <w:p w14:paraId="6831FF9B"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999" w:type="dxa"/>
            <w:tcBorders>
              <w:top w:val="nil"/>
              <w:left w:val="nil"/>
              <w:bottom w:val="single" w:sz="4" w:space="0" w:color="auto"/>
              <w:right w:val="nil"/>
            </w:tcBorders>
            <w:shd w:val="clear" w:color="auto" w:fill="auto"/>
            <w:vAlign w:val="bottom"/>
            <w:hideMark/>
          </w:tcPr>
          <w:p w14:paraId="6127BCC4"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1531" w:type="dxa"/>
            <w:tcBorders>
              <w:top w:val="nil"/>
              <w:left w:val="nil"/>
              <w:bottom w:val="single" w:sz="4" w:space="0" w:color="auto"/>
              <w:right w:val="nil"/>
            </w:tcBorders>
            <w:shd w:val="clear" w:color="auto" w:fill="auto"/>
            <w:vAlign w:val="bottom"/>
            <w:hideMark/>
          </w:tcPr>
          <w:p w14:paraId="4C8194C7"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59" w:type="dxa"/>
            <w:gridSpan w:val="2"/>
            <w:tcBorders>
              <w:top w:val="nil"/>
              <w:left w:val="nil"/>
              <w:bottom w:val="single" w:sz="4" w:space="0" w:color="auto"/>
              <w:right w:val="nil"/>
            </w:tcBorders>
            <w:shd w:val="clear" w:color="auto" w:fill="auto"/>
            <w:vAlign w:val="bottom"/>
            <w:hideMark/>
          </w:tcPr>
          <w:p w14:paraId="22356D83"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r>
      <w:tr w:rsidR="00732544" w:rsidRPr="009E7447" w14:paraId="2F08F9EB"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65503765" w14:textId="77777777" w:rsidR="00732544" w:rsidRPr="009E7447" w:rsidRDefault="00732544" w:rsidP="00400DD1">
            <w:pPr>
              <w:spacing w:line="241" w:lineRule="auto"/>
              <w:ind w:left="144" w:hanging="144"/>
              <w:jc w:val="left"/>
              <w:rPr>
                <w:rFonts w:asciiTheme="minorBidi" w:hAnsiTheme="minorBidi" w:cstheme="minorBidi"/>
                <w:color w:val="000000"/>
                <w:sz w:val="18"/>
                <w:szCs w:val="18"/>
                <w:rtl/>
                <w:lang w:eastAsia="he-IL"/>
              </w:rPr>
            </w:pPr>
            <w:r w:rsidRPr="009E7447">
              <w:rPr>
                <w:rFonts w:hint="cs"/>
                <w:color w:val="000000"/>
                <w:sz w:val="18"/>
                <w:szCs w:val="18"/>
                <w:rtl/>
                <w:lang w:eastAsia="he-IL"/>
              </w:rPr>
              <w:t>אשראי שאינו צובר</w:t>
            </w:r>
          </w:p>
        </w:tc>
        <w:tc>
          <w:tcPr>
            <w:tcW w:w="825" w:type="dxa"/>
            <w:tcBorders>
              <w:top w:val="single" w:sz="4" w:space="0" w:color="auto"/>
              <w:left w:val="nil"/>
              <w:bottom w:val="single" w:sz="8" w:space="0" w:color="auto"/>
              <w:right w:val="nil"/>
            </w:tcBorders>
            <w:shd w:val="clear" w:color="auto" w:fill="auto"/>
            <w:vAlign w:val="bottom"/>
            <w:hideMark/>
          </w:tcPr>
          <w:p w14:paraId="516A0551"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single" w:sz="4" w:space="0" w:color="auto"/>
              <w:left w:val="nil"/>
              <w:bottom w:val="single" w:sz="8" w:space="0" w:color="auto"/>
              <w:right w:val="nil"/>
            </w:tcBorders>
            <w:shd w:val="clear" w:color="auto" w:fill="auto"/>
            <w:vAlign w:val="bottom"/>
            <w:hideMark/>
          </w:tcPr>
          <w:p w14:paraId="6B5AD648"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single" w:sz="4" w:space="0" w:color="auto"/>
              <w:left w:val="nil"/>
              <w:bottom w:val="single" w:sz="8" w:space="0" w:color="auto"/>
              <w:right w:val="nil"/>
            </w:tcBorders>
            <w:shd w:val="clear" w:color="auto" w:fill="auto"/>
            <w:vAlign w:val="bottom"/>
            <w:hideMark/>
          </w:tcPr>
          <w:p w14:paraId="16DB6A8A"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single" w:sz="4" w:space="0" w:color="auto"/>
              <w:left w:val="nil"/>
              <w:bottom w:val="single" w:sz="8" w:space="0" w:color="auto"/>
              <w:right w:val="nil"/>
            </w:tcBorders>
            <w:shd w:val="clear" w:color="auto" w:fill="auto"/>
            <w:vAlign w:val="bottom"/>
            <w:hideMark/>
          </w:tcPr>
          <w:p w14:paraId="7A92F6A3"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single" w:sz="4" w:space="0" w:color="auto"/>
              <w:left w:val="nil"/>
              <w:bottom w:val="single" w:sz="8" w:space="0" w:color="auto"/>
              <w:right w:val="nil"/>
            </w:tcBorders>
            <w:shd w:val="clear" w:color="auto" w:fill="auto"/>
            <w:vAlign w:val="bottom"/>
            <w:hideMark/>
          </w:tcPr>
          <w:p w14:paraId="730CC87E"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17" w:type="dxa"/>
            <w:tcBorders>
              <w:top w:val="single" w:sz="4" w:space="0" w:color="auto"/>
              <w:left w:val="nil"/>
              <w:bottom w:val="single" w:sz="8" w:space="0" w:color="auto"/>
              <w:right w:val="nil"/>
            </w:tcBorders>
            <w:shd w:val="clear" w:color="auto" w:fill="auto"/>
            <w:vAlign w:val="bottom"/>
            <w:hideMark/>
          </w:tcPr>
          <w:p w14:paraId="4C747E96"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999" w:type="dxa"/>
            <w:tcBorders>
              <w:top w:val="single" w:sz="4" w:space="0" w:color="auto"/>
              <w:left w:val="nil"/>
              <w:bottom w:val="single" w:sz="8" w:space="0" w:color="auto"/>
              <w:right w:val="nil"/>
            </w:tcBorders>
            <w:shd w:val="clear" w:color="auto" w:fill="auto"/>
            <w:vAlign w:val="bottom"/>
            <w:hideMark/>
          </w:tcPr>
          <w:p w14:paraId="2C29213A"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1531" w:type="dxa"/>
            <w:tcBorders>
              <w:top w:val="single" w:sz="4" w:space="0" w:color="auto"/>
              <w:left w:val="nil"/>
              <w:bottom w:val="single" w:sz="8" w:space="0" w:color="auto"/>
              <w:right w:val="nil"/>
            </w:tcBorders>
            <w:shd w:val="clear" w:color="auto" w:fill="auto"/>
            <w:vAlign w:val="bottom"/>
            <w:hideMark/>
          </w:tcPr>
          <w:p w14:paraId="40EC74A7"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59" w:type="dxa"/>
            <w:gridSpan w:val="2"/>
            <w:tcBorders>
              <w:top w:val="single" w:sz="4" w:space="0" w:color="auto"/>
              <w:left w:val="nil"/>
              <w:bottom w:val="single" w:sz="8" w:space="0" w:color="auto"/>
              <w:right w:val="nil"/>
            </w:tcBorders>
            <w:shd w:val="clear" w:color="auto" w:fill="auto"/>
            <w:vAlign w:val="bottom"/>
            <w:hideMark/>
          </w:tcPr>
          <w:p w14:paraId="4A44088E"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r>
      <w:tr w:rsidR="00732544" w:rsidRPr="009E7447" w14:paraId="04DFED1E"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0668670B" w14:textId="77777777" w:rsidR="00732544" w:rsidRPr="009E7447" w:rsidRDefault="00732544" w:rsidP="00400DD1">
            <w:pPr>
              <w:spacing w:line="241" w:lineRule="auto"/>
              <w:ind w:left="144" w:hanging="144"/>
              <w:jc w:val="left"/>
              <w:rPr>
                <w:rFonts w:asciiTheme="minorBidi" w:hAnsiTheme="minorBidi" w:cstheme="minorBidi"/>
                <w:b/>
                <w:bCs/>
                <w:color w:val="000000"/>
                <w:sz w:val="18"/>
                <w:szCs w:val="18"/>
                <w:rtl/>
                <w:lang w:eastAsia="he-IL"/>
              </w:rPr>
            </w:pPr>
            <w:r w:rsidRPr="009E7447">
              <w:rPr>
                <w:rFonts w:asciiTheme="minorBidi" w:hAnsiTheme="minorBidi" w:cstheme="minorBidi" w:hint="cs"/>
                <w:b/>
                <w:bCs/>
                <w:color w:val="000000"/>
                <w:sz w:val="18"/>
                <w:szCs w:val="18"/>
                <w:rtl/>
                <w:lang w:eastAsia="he-IL"/>
              </w:rPr>
              <w:t>סך הכל אשראי לציבור – פעילות בישראל</w:t>
            </w:r>
          </w:p>
        </w:tc>
        <w:tc>
          <w:tcPr>
            <w:tcW w:w="825" w:type="dxa"/>
            <w:tcBorders>
              <w:top w:val="single" w:sz="8" w:space="0" w:color="auto"/>
              <w:left w:val="nil"/>
              <w:bottom w:val="single" w:sz="12" w:space="0" w:color="auto"/>
              <w:right w:val="nil"/>
            </w:tcBorders>
            <w:shd w:val="clear" w:color="auto" w:fill="auto"/>
            <w:vAlign w:val="bottom"/>
            <w:hideMark/>
          </w:tcPr>
          <w:p w14:paraId="6E45CD16"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8" w:space="0" w:color="auto"/>
              <w:left w:val="nil"/>
              <w:bottom w:val="single" w:sz="12" w:space="0" w:color="auto"/>
              <w:right w:val="nil"/>
            </w:tcBorders>
            <w:shd w:val="clear" w:color="auto" w:fill="auto"/>
            <w:vAlign w:val="bottom"/>
            <w:hideMark/>
          </w:tcPr>
          <w:p w14:paraId="06D9B8C3"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8" w:space="0" w:color="auto"/>
              <w:left w:val="nil"/>
              <w:bottom w:val="single" w:sz="12" w:space="0" w:color="auto"/>
              <w:right w:val="nil"/>
            </w:tcBorders>
            <w:shd w:val="clear" w:color="auto" w:fill="auto"/>
            <w:vAlign w:val="bottom"/>
            <w:hideMark/>
          </w:tcPr>
          <w:p w14:paraId="6991B660"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8" w:space="0" w:color="auto"/>
              <w:left w:val="nil"/>
              <w:bottom w:val="single" w:sz="12" w:space="0" w:color="auto"/>
              <w:right w:val="nil"/>
            </w:tcBorders>
            <w:shd w:val="clear" w:color="auto" w:fill="auto"/>
            <w:vAlign w:val="bottom"/>
            <w:hideMark/>
          </w:tcPr>
          <w:p w14:paraId="160E8128"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8" w:space="0" w:color="auto"/>
              <w:left w:val="nil"/>
              <w:bottom w:val="single" w:sz="12" w:space="0" w:color="auto"/>
              <w:right w:val="nil"/>
            </w:tcBorders>
            <w:shd w:val="clear" w:color="auto" w:fill="auto"/>
            <w:vAlign w:val="bottom"/>
            <w:hideMark/>
          </w:tcPr>
          <w:p w14:paraId="457D8DCF"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17" w:type="dxa"/>
            <w:tcBorders>
              <w:top w:val="single" w:sz="8" w:space="0" w:color="auto"/>
              <w:left w:val="nil"/>
              <w:bottom w:val="single" w:sz="12" w:space="0" w:color="auto"/>
              <w:right w:val="nil"/>
            </w:tcBorders>
            <w:shd w:val="clear" w:color="auto" w:fill="auto"/>
            <w:vAlign w:val="bottom"/>
            <w:hideMark/>
          </w:tcPr>
          <w:p w14:paraId="7CB61377"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999" w:type="dxa"/>
            <w:tcBorders>
              <w:top w:val="single" w:sz="8" w:space="0" w:color="auto"/>
              <w:left w:val="nil"/>
              <w:bottom w:val="single" w:sz="12" w:space="0" w:color="auto"/>
              <w:right w:val="nil"/>
            </w:tcBorders>
            <w:shd w:val="clear" w:color="auto" w:fill="auto"/>
            <w:vAlign w:val="bottom"/>
            <w:hideMark/>
          </w:tcPr>
          <w:p w14:paraId="7015B131"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1531" w:type="dxa"/>
            <w:tcBorders>
              <w:top w:val="single" w:sz="8" w:space="0" w:color="auto"/>
              <w:left w:val="nil"/>
              <w:bottom w:val="single" w:sz="12" w:space="0" w:color="auto"/>
              <w:right w:val="nil"/>
            </w:tcBorders>
            <w:shd w:val="clear" w:color="auto" w:fill="auto"/>
            <w:vAlign w:val="bottom"/>
            <w:hideMark/>
          </w:tcPr>
          <w:p w14:paraId="0B3B9379"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59" w:type="dxa"/>
            <w:gridSpan w:val="2"/>
            <w:tcBorders>
              <w:top w:val="single" w:sz="8" w:space="0" w:color="auto"/>
              <w:left w:val="nil"/>
              <w:bottom w:val="single" w:sz="12" w:space="0" w:color="auto"/>
              <w:right w:val="nil"/>
            </w:tcBorders>
            <w:shd w:val="clear" w:color="auto" w:fill="auto"/>
            <w:vAlign w:val="bottom"/>
            <w:hideMark/>
          </w:tcPr>
          <w:p w14:paraId="07954760"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r>
      <w:tr w:rsidR="00732544" w:rsidRPr="009E7447" w14:paraId="0D46A8FD"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1D985711" w14:textId="77777777" w:rsidR="00732544" w:rsidRPr="009E7447" w:rsidRDefault="00732544" w:rsidP="00400DD1">
            <w:pPr>
              <w:ind w:left="142" w:hanging="142"/>
              <w:jc w:val="left"/>
              <w:rPr>
                <w:rFonts w:asciiTheme="minorBidi" w:hAnsiTheme="minorBidi" w:cstheme="minorBidi"/>
                <w:b/>
                <w:bCs/>
                <w:color w:val="000000"/>
                <w:sz w:val="18"/>
                <w:szCs w:val="18"/>
                <w:rtl/>
                <w:lang w:eastAsia="he-IL"/>
              </w:rPr>
            </w:pPr>
            <w:r w:rsidRPr="009E7447">
              <w:rPr>
                <w:rFonts w:asciiTheme="minorBidi" w:hAnsiTheme="minorBidi" w:cstheme="minorBidi" w:hint="cs"/>
                <w:b/>
                <w:bCs/>
                <w:color w:val="000000"/>
                <w:sz w:val="18"/>
                <w:szCs w:val="18"/>
                <w:rtl/>
                <w:lang w:eastAsia="he-IL"/>
              </w:rPr>
              <w:t>סך הכל אשראי לציבור – פעילות בחו"ל</w:t>
            </w:r>
          </w:p>
        </w:tc>
        <w:tc>
          <w:tcPr>
            <w:tcW w:w="825" w:type="dxa"/>
            <w:tcBorders>
              <w:top w:val="single" w:sz="12" w:space="0" w:color="auto"/>
            </w:tcBorders>
            <w:shd w:val="clear" w:color="auto" w:fill="auto"/>
            <w:vAlign w:val="bottom"/>
            <w:hideMark/>
          </w:tcPr>
          <w:p w14:paraId="7850DF5E" w14:textId="77777777" w:rsidR="00732544" w:rsidRPr="009E7447" w:rsidRDefault="00732544" w:rsidP="00400DD1">
            <w:pPr>
              <w:spacing w:line="241" w:lineRule="auto"/>
              <w:rPr>
                <w:rFonts w:asciiTheme="minorBidi" w:hAnsiTheme="minorBidi" w:cstheme="minorBidi"/>
                <w:b/>
                <w:bCs/>
                <w:sz w:val="18"/>
                <w:szCs w:val="18"/>
              </w:rPr>
            </w:pPr>
            <w:r w:rsidRPr="009E7447">
              <w:rPr>
                <w:rFonts w:hint="cs"/>
                <w:b/>
                <w:bCs/>
                <w:sz w:val="18"/>
                <w:szCs w:val="18"/>
                <w:rtl/>
              </w:rPr>
              <w:t xml:space="preserve"> 0</w:t>
            </w:r>
          </w:p>
        </w:tc>
        <w:tc>
          <w:tcPr>
            <w:tcW w:w="794" w:type="dxa"/>
            <w:tcBorders>
              <w:top w:val="single" w:sz="12" w:space="0" w:color="auto"/>
            </w:tcBorders>
            <w:shd w:val="clear" w:color="auto" w:fill="auto"/>
            <w:vAlign w:val="bottom"/>
            <w:hideMark/>
          </w:tcPr>
          <w:p w14:paraId="51962231"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12" w:space="0" w:color="auto"/>
            </w:tcBorders>
            <w:shd w:val="clear" w:color="auto" w:fill="auto"/>
            <w:vAlign w:val="bottom"/>
            <w:hideMark/>
          </w:tcPr>
          <w:p w14:paraId="07AA942F"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12" w:space="0" w:color="auto"/>
            </w:tcBorders>
            <w:shd w:val="clear" w:color="auto" w:fill="auto"/>
            <w:vAlign w:val="bottom"/>
            <w:hideMark/>
          </w:tcPr>
          <w:p w14:paraId="36039582"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12" w:space="0" w:color="auto"/>
            </w:tcBorders>
            <w:shd w:val="clear" w:color="auto" w:fill="auto"/>
            <w:vAlign w:val="bottom"/>
            <w:hideMark/>
          </w:tcPr>
          <w:p w14:paraId="428B6C2D"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17" w:type="dxa"/>
            <w:tcBorders>
              <w:top w:val="single" w:sz="12" w:space="0" w:color="auto"/>
            </w:tcBorders>
            <w:shd w:val="clear" w:color="auto" w:fill="auto"/>
            <w:vAlign w:val="bottom"/>
            <w:hideMark/>
          </w:tcPr>
          <w:p w14:paraId="79C1CCEA"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999" w:type="dxa"/>
            <w:tcBorders>
              <w:top w:val="single" w:sz="12" w:space="0" w:color="auto"/>
            </w:tcBorders>
            <w:shd w:val="clear" w:color="auto" w:fill="auto"/>
            <w:vAlign w:val="bottom"/>
            <w:hideMark/>
          </w:tcPr>
          <w:p w14:paraId="1ADF33A8"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1531" w:type="dxa"/>
            <w:tcBorders>
              <w:top w:val="single" w:sz="12" w:space="0" w:color="auto"/>
            </w:tcBorders>
            <w:shd w:val="clear" w:color="auto" w:fill="auto"/>
            <w:vAlign w:val="bottom"/>
            <w:hideMark/>
          </w:tcPr>
          <w:p w14:paraId="7FCD773D"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59" w:type="dxa"/>
            <w:gridSpan w:val="2"/>
            <w:tcBorders>
              <w:top w:val="single" w:sz="12" w:space="0" w:color="auto"/>
            </w:tcBorders>
            <w:shd w:val="clear" w:color="auto" w:fill="auto"/>
            <w:vAlign w:val="bottom"/>
            <w:hideMark/>
          </w:tcPr>
          <w:p w14:paraId="08645CBE"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r>
      <w:tr w:rsidR="00732544" w:rsidRPr="009E7447" w14:paraId="794DD25E"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6ACD9BB8" w14:textId="77777777" w:rsidR="00732544" w:rsidRPr="009E7447" w:rsidRDefault="00732544" w:rsidP="00400DD1">
            <w:pPr>
              <w:spacing w:line="241" w:lineRule="auto"/>
              <w:ind w:left="144" w:hanging="144"/>
              <w:jc w:val="left"/>
              <w:rPr>
                <w:rFonts w:asciiTheme="minorBidi" w:hAnsiTheme="minorBidi" w:cstheme="minorBidi"/>
                <w:color w:val="000000"/>
                <w:sz w:val="18"/>
                <w:szCs w:val="18"/>
                <w:rtl/>
                <w:lang w:eastAsia="he-IL"/>
              </w:rPr>
            </w:pPr>
            <w:r w:rsidRPr="009E7447">
              <w:rPr>
                <w:rFonts w:asciiTheme="minorBidi" w:hAnsiTheme="minorBidi" w:cstheme="minorBidi" w:hint="cs"/>
                <w:color w:val="000000"/>
                <w:sz w:val="18"/>
                <w:szCs w:val="18"/>
                <w:rtl/>
                <w:lang w:eastAsia="he-IL"/>
              </w:rPr>
              <w:t>אשראי לא בעייתי</w:t>
            </w:r>
          </w:p>
        </w:tc>
        <w:tc>
          <w:tcPr>
            <w:tcW w:w="825" w:type="dxa"/>
            <w:shd w:val="clear" w:color="auto" w:fill="auto"/>
            <w:vAlign w:val="bottom"/>
            <w:hideMark/>
          </w:tcPr>
          <w:p w14:paraId="6CDBC951"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46C722C9"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608E4452"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4CDFECAF"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4587C8D2"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17" w:type="dxa"/>
            <w:shd w:val="clear" w:color="auto" w:fill="auto"/>
            <w:vAlign w:val="bottom"/>
            <w:hideMark/>
          </w:tcPr>
          <w:p w14:paraId="052FF290"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999" w:type="dxa"/>
            <w:shd w:val="clear" w:color="auto" w:fill="auto"/>
            <w:vAlign w:val="bottom"/>
            <w:hideMark/>
          </w:tcPr>
          <w:p w14:paraId="1B7942B9"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1531" w:type="dxa"/>
            <w:shd w:val="clear" w:color="auto" w:fill="auto"/>
            <w:vAlign w:val="bottom"/>
            <w:hideMark/>
          </w:tcPr>
          <w:p w14:paraId="160186D4"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59" w:type="dxa"/>
            <w:gridSpan w:val="2"/>
            <w:shd w:val="clear" w:color="auto" w:fill="auto"/>
            <w:vAlign w:val="bottom"/>
            <w:hideMark/>
          </w:tcPr>
          <w:p w14:paraId="539E41C4"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r>
      <w:tr w:rsidR="00732544" w:rsidRPr="009E7447" w14:paraId="152265B0"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398C5C01" w14:textId="77777777" w:rsidR="00732544" w:rsidRPr="009E7447" w:rsidRDefault="00732544" w:rsidP="00400DD1">
            <w:pPr>
              <w:spacing w:line="241" w:lineRule="auto"/>
              <w:ind w:left="144" w:hanging="144"/>
              <w:jc w:val="left"/>
              <w:rPr>
                <w:rFonts w:asciiTheme="minorBidi" w:hAnsiTheme="minorBidi" w:cstheme="minorBidi"/>
                <w:color w:val="000000"/>
                <w:sz w:val="18"/>
                <w:szCs w:val="18"/>
                <w:rtl/>
                <w:lang w:eastAsia="he-IL"/>
              </w:rPr>
            </w:pPr>
            <w:r w:rsidRPr="009E7447">
              <w:rPr>
                <w:rFonts w:hint="cs"/>
                <w:color w:val="000000"/>
                <w:sz w:val="18"/>
                <w:szCs w:val="18"/>
                <w:rtl/>
                <w:lang w:eastAsia="he-IL"/>
              </w:rPr>
              <w:t>אשראי בעייתי צובר</w:t>
            </w:r>
          </w:p>
        </w:tc>
        <w:tc>
          <w:tcPr>
            <w:tcW w:w="825" w:type="dxa"/>
            <w:shd w:val="clear" w:color="auto" w:fill="auto"/>
            <w:vAlign w:val="bottom"/>
            <w:hideMark/>
          </w:tcPr>
          <w:p w14:paraId="58B275F1"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516387C0"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725BAB7C"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41CEB2FA"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31B4EF45"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17" w:type="dxa"/>
            <w:shd w:val="clear" w:color="auto" w:fill="auto"/>
            <w:vAlign w:val="bottom"/>
            <w:hideMark/>
          </w:tcPr>
          <w:p w14:paraId="054C0ABA"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999" w:type="dxa"/>
            <w:shd w:val="clear" w:color="auto" w:fill="auto"/>
            <w:vAlign w:val="bottom"/>
            <w:hideMark/>
          </w:tcPr>
          <w:p w14:paraId="5144412F"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1531" w:type="dxa"/>
            <w:shd w:val="clear" w:color="auto" w:fill="auto"/>
            <w:vAlign w:val="bottom"/>
            <w:hideMark/>
          </w:tcPr>
          <w:p w14:paraId="42858A15"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59" w:type="dxa"/>
            <w:gridSpan w:val="2"/>
            <w:shd w:val="clear" w:color="auto" w:fill="auto"/>
            <w:vAlign w:val="bottom"/>
            <w:hideMark/>
          </w:tcPr>
          <w:p w14:paraId="180F1196"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r>
      <w:tr w:rsidR="00732544" w:rsidRPr="009E7447" w14:paraId="579953D8"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63A3BB45" w14:textId="77777777" w:rsidR="00732544" w:rsidRPr="009E7447" w:rsidRDefault="00732544" w:rsidP="00400DD1">
            <w:pPr>
              <w:spacing w:line="241" w:lineRule="auto"/>
              <w:ind w:left="144" w:hanging="144"/>
              <w:jc w:val="left"/>
              <w:rPr>
                <w:rFonts w:asciiTheme="minorBidi" w:hAnsiTheme="minorBidi" w:cstheme="minorBidi"/>
                <w:color w:val="000000"/>
                <w:sz w:val="18"/>
                <w:szCs w:val="18"/>
                <w:rtl/>
                <w:lang w:eastAsia="he-IL"/>
              </w:rPr>
            </w:pPr>
            <w:r w:rsidRPr="009E7447">
              <w:rPr>
                <w:rFonts w:hint="cs"/>
                <w:color w:val="000000"/>
                <w:sz w:val="18"/>
                <w:szCs w:val="18"/>
                <w:rtl/>
                <w:lang w:eastAsia="he-IL"/>
              </w:rPr>
              <w:t>אשראי שאינו צובר</w:t>
            </w:r>
          </w:p>
        </w:tc>
        <w:tc>
          <w:tcPr>
            <w:tcW w:w="825" w:type="dxa"/>
            <w:tcBorders>
              <w:top w:val="nil"/>
              <w:left w:val="nil"/>
              <w:bottom w:val="single" w:sz="12" w:space="0" w:color="auto"/>
              <w:right w:val="nil"/>
            </w:tcBorders>
            <w:shd w:val="clear" w:color="auto" w:fill="auto"/>
            <w:vAlign w:val="bottom"/>
            <w:hideMark/>
          </w:tcPr>
          <w:p w14:paraId="1B5437F6"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nil"/>
              <w:left w:val="nil"/>
              <w:bottom w:val="single" w:sz="12" w:space="0" w:color="auto"/>
              <w:right w:val="nil"/>
            </w:tcBorders>
            <w:shd w:val="clear" w:color="auto" w:fill="auto"/>
            <w:vAlign w:val="bottom"/>
            <w:hideMark/>
          </w:tcPr>
          <w:p w14:paraId="08F38F71"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nil"/>
              <w:left w:val="nil"/>
              <w:bottom w:val="single" w:sz="12" w:space="0" w:color="auto"/>
              <w:right w:val="nil"/>
            </w:tcBorders>
            <w:shd w:val="clear" w:color="auto" w:fill="auto"/>
            <w:vAlign w:val="bottom"/>
            <w:hideMark/>
          </w:tcPr>
          <w:p w14:paraId="02D2A8F0"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nil"/>
              <w:left w:val="nil"/>
              <w:bottom w:val="single" w:sz="12" w:space="0" w:color="auto"/>
              <w:right w:val="nil"/>
            </w:tcBorders>
            <w:shd w:val="clear" w:color="auto" w:fill="auto"/>
            <w:vAlign w:val="bottom"/>
            <w:hideMark/>
          </w:tcPr>
          <w:p w14:paraId="66A7AC38"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nil"/>
              <w:left w:val="nil"/>
              <w:bottom w:val="single" w:sz="12" w:space="0" w:color="auto"/>
              <w:right w:val="nil"/>
            </w:tcBorders>
            <w:shd w:val="clear" w:color="auto" w:fill="auto"/>
            <w:vAlign w:val="bottom"/>
            <w:hideMark/>
          </w:tcPr>
          <w:p w14:paraId="4986C08E"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17" w:type="dxa"/>
            <w:tcBorders>
              <w:top w:val="nil"/>
              <w:left w:val="nil"/>
              <w:bottom w:val="single" w:sz="12" w:space="0" w:color="auto"/>
              <w:right w:val="nil"/>
            </w:tcBorders>
            <w:shd w:val="clear" w:color="auto" w:fill="auto"/>
            <w:vAlign w:val="bottom"/>
            <w:hideMark/>
          </w:tcPr>
          <w:p w14:paraId="5195DAC1"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999" w:type="dxa"/>
            <w:tcBorders>
              <w:top w:val="nil"/>
              <w:left w:val="nil"/>
              <w:bottom w:val="single" w:sz="12" w:space="0" w:color="auto"/>
              <w:right w:val="nil"/>
            </w:tcBorders>
            <w:shd w:val="clear" w:color="auto" w:fill="auto"/>
            <w:vAlign w:val="bottom"/>
            <w:hideMark/>
          </w:tcPr>
          <w:p w14:paraId="7CF60FC7"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1531" w:type="dxa"/>
            <w:tcBorders>
              <w:top w:val="nil"/>
              <w:left w:val="nil"/>
              <w:bottom w:val="single" w:sz="12" w:space="0" w:color="auto"/>
              <w:right w:val="nil"/>
            </w:tcBorders>
            <w:shd w:val="clear" w:color="auto" w:fill="auto"/>
            <w:vAlign w:val="bottom"/>
            <w:hideMark/>
          </w:tcPr>
          <w:p w14:paraId="06C83431"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59" w:type="dxa"/>
            <w:gridSpan w:val="2"/>
            <w:tcBorders>
              <w:top w:val="nil"/>
              <w:left w:val="nil"/>
              <w:bottom w:val="single" w:sz="12" w:space="0" w:color="auto"/>
              <w:right w:val="nil"/>
            </w:tcBorders>
            <w:shd w:val="clear" w:color="auto" w:fill="auto"/>
            <w:vAlign w:val="bottom"/>
            <w:hideMark/>
          </w:tcPr>
          <w:p w14:paraId="4986E8AF"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r>
      <w:tr w:rsidR="00732544" w:rsidRPr="009E7447" w14:paraId="7990A65A" w14:textId="77777777" w:rsidTr="00C1584D">
        <w:tblPrEx>
          <w:tblLook w:val="01E0" w:firstRow="1" w:lastRow="1" w:firstColumn="1" w:lastColumn="1" w:noHBand="0" w:noVBand="0"/>
        </w:tblPrEx>
        <w:trPr>
          <w:gridAfter w:val="1"/>
          <w:wAfter w:w="16" w:type="dxa"/>
          <w:trHeight w:val="305"/>
        </w:trPr>
        <w:tc>
          <w:tcPr>
            <w:tcW w:w="2376" w:type="dxa"/>
            <w:gridSpan w:val="3"/>
            <w:shd w:val="clear" w:color="auto" w:fill="auto"/>
            <w:vAlign w:val="bottom"/>
            <w:hideMark/>
          </w:tcPr>
          <w:p w14:paraId="3032703E" w14:textId="77777777" w:rsidR="00732544" w:rsidRPr="009E7447" w:rsidRDefault="00732544" w:rsidP="00400DD1">
            <w:pPr>
              <w:spacing w:before="120"/>
              <w:ind w:left="142" w:hanging="142"/>
              <w:jc w:val="left"/>
              <w:rPr>
                <w:rFonts w:asciiTheme="minorBidi" w:hAnsiTheme="minorBidi" w:cstheme="minorBidi"/>
                <w:b/>
                <w:bCs/>
                <w:color w:val="000000"/>
                <w:sz w:val="18"/>
                <w:szCs w:val="18"/>
                <w:rtl/>
                <w:lang w:eastAsia="he-IL"/>
              </w:rPr>
            </w:pPr>
            <w:r w:rsidRPr="009E7447">
              <w:rPr>
                <w:rFonts w:asciiTheme="minorBidi" w:hAnsiTheme="minorBidi" w:cstheme="minorBidi" w:hint="cs"/>
                <w:b/>
                <w:bCs/>
                <w:color w:val="000000"/>
                <w:sz w:val="18"/>
                <w:szCs w:val="18"/>
                <w:rtl/>
                <w:lang w:eastAsia="he-IL"/>
              </w:rPr>
              <w:t>סך הכל אשראי לציבור</w:t>
            </w:r>
          </w:p>
        </w:tc>
        <w:tc>
          <w:tcPr>
            <w:tcW w:w="825" w:type="dxa"/>
            <w:tcBorders>
              <w:top w:val="single" w:sz="12" w:space="0" w:color="auto"/>
              <w:left w:val="nil"/>
              <w:bottom w:val="single" w:sz="18" w:space="0" w:color="auto"/>
              <w:right w:val="nil"/>
            </w:tcBorders>
            <w:shd w:val="clear" w:color="auto" w:fill="auto"/>
            <w:vAlign w:val="bottom"/>
            <w:hideMark/>
          </w:tcPr>
          <w:p w14:paraId="1A08CE25"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12" w:space="0" w:color="auto"/>
              <w:left w:val="nil"/>
              <w:bottom w:val="single" w:sz="18" w:space="0" w:color="auto"/>
              <w:right w:val="nil"/>
            </w:tcBorders>
            <w:shd w:val="clear" w:color="auto" w:fill="auto"/>
            <w:vAlign w:val="bottom"/>
            <w:hideMark/>
          </w:tcPr>
          <w:p w14:paraId="5ED93031"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12" w:space="0" w:color="auto"/>
              <w:left w:val="nil"/>
              <w:bottom w:val="single" w:sz="18" w:space="0" w:color="auto"/>
              <w:right w:val="nil"/>
            </w:tcBorders>
            <w:shd w:val="clear" w:color="auto" w:fill="auto"/>
            <w:vAlign w:val="bottom"/>
            <w:hideMark/>
          </w:tcPr>
          <w:p w14:paraId="4D1A9DF8"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12" w:space="0" w:color="auto"/>
              <w:left w:val="nil"/>
              <w:bottom w:val="single" w:sz="18" w:space="0" w:color="auto"/>
              <w:right w:val="nil"/>
            </w:tcBorders>
            <w:shd w:val="clear" w:color="auto" w:fill="auto"/>
            <w:vAlign w:val="bottom"/>
            <w:hideMark/>
          </w:tcPr>
          <w:p w14:paraId="112B0897"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12" w:space="0" w:color="auto"/>
              <w:left w:val="nil"/>
              <w:bottom w:val="single" w:sz="18" w:space="0" w:color="auto"/>
              <w:right w:val="nil"/>
            </w:tcBorders>
            <w:shd w:val="clear" w:color="auto" w:fill="auto"/>
            <w:vAlign w:val="bottom"/>
            <w:hideMark/>
          </w:tcPr>
          <w:p w14:paraId="3AF545FF"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17" w:type="dxa"/>
            <w:tcBorders>
              <w:top w:val="single" w:sz="12" w:space="0" w:color="auto"/>
              <w:left w:val="nil"/>
              <w:bottom w:val="single" w:sz="18" w:space="0" w:color="auto"/>
              <w:right w:val="nil"/>
            </w:tcBorders>
            <w:shd w:val="clear" w:color="auto" w:fill="auto"/>
            <w:vAlign w:val="bottom"/>
            <w:hideMark/>
          </w:tcPr>
          <w:p w14:paraId="6E8B29DD"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999" w:type="dxa"/>
            <w:tcBorders>
              <w:top w:val="single" w:sz="12" w:space="0" w:color="auto"/>
              <w:left w:val="nil"/>
              <w:bottom w:val="single" w:sz="18" w:space="0" w:color="auto"/>
              <w:right w:val="nil"/>
            </w:tcBorders>
            <w:shd w:val="clear" w:color="auto" w:fill="auto"/>
            <w:vAlign w:val="bottom"/>
            <w:hideMark/>
          </w:tcPr>
          <w:p w14:paraId="6BD20881"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1531" w:type="dxa"/>
            <w:tcBorders>
              <w:top w:val="single" w:sz="12" w:space="0" w:color="auto"/>
              <w:left w:val="nil"/>
              <w:bottom w:val="single" w:sz="18" w:space="0" w:color="auto"/>
              <w:right w:val="nil"/>
            </w:tcBorders>
            <w:shd w:val="clear" w:color="auto" w:fill="auto"/>
            <w:vAlign w:val="bottom"/>
            <w:hideMark/>
          </w:tcPr>
          <w:p w14:paraId="739D3B90"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59" w:type="dxa"/>
            <w:gridSpan w:val="2"/>
            <w:tcBorders>
              <w:top w:val="single" w:sz="12" w:space="0" w:color="auto"/>
              <w:left w:val="nil"/>
              <w:bottom w:val="single" w:sz="18" w:space="0" w:color="auto"/>
              <w:right w:val="nil"/>
            </w:tcBorders>
            <w:shd w:val="clear" w:color="auto" w:fill="auto"/>
            <w:vAlign w:val="bottom"/>
            <w:hideMark/>
          </w:tcPr>
          <w:p w14:paraId="72030982"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r>
    </w:tbl>
    <w:p w14:paraId="5F376C0E" w14:textId="77777777" w:rsidR="00402BF2" w:rsidRDefault="00402BF2" w:rsidP="00E45283">
      <w:pPr>
        <w:rPr>
          <w:b/>
          <w:bCs/>
          <w:u w:val="single"/>
          <w:rtl/>
        </w:rPr>
      </w:pPr>
    </w:p>
    <w:p w14:paraId="02F7D494" w14:textId="77777777" w:rsidR="00794E61" w:rsidRDefault="00794E61">
      <w:pPr>
        <w:bidi w:val="0"/>
        <w:jc w:val="left"/>
      </w:pPr>
      <w:r>
        <w:rPr>
          <w:rtl/>
        </w:rPr>
        <w:br w:type="page"/>
      </w:r>
    </w:p>
    <w:tbl>
      <w:tblPr>
        <w:bidiVisual/>
        <w:tblW w:w="5192" w:type="pct"/>
        <w:tblInd w:w="-336" w:type="dxa"/>
        <w:tblLook w:val="04A0" w:firstRow="1" w:lastRow="0" w:firstColumn="1" w:lastColumn="0" w:noHBand="0" w:noVBand="1"/>
      </w:tblPr>
      <w:tblGrid>
        <w:gridCol w:w="1373"/>
        <w:gridCol w:w="425"/>
        <w:gridCol w:w="578"/>
        <w:gridCol w:w="825"/>
        <w:gridCol w:w="794"/>
        <w:gridCol w:w="794"/>
        <w:gridCol w:w="794"/>
        <w:gridCol w:w="794"/>
        <w:gridCol w:w="817"/>
        <w:gridCol w:w="999"/>
        <w:gridCol w:w="1531"/>
        <w:gridCol w:w="21"/>
        <w:gridCol w:w="838"/>
        <w:gridCol w:w="16"/>
      </w:tblGrid>
      <w:tr w:rsidR="00732544" w:rsidRPr="009E7447" w14:paraId="37ADDF63" w14:textId="77777777" w:rsidTr="00C1584D">
        <w:trPr>
          <w:gridAfter w:val="1"/>
          <w:wAfter w:w="16" w:type="dxa"/>
          <w:trHeight w:val="259"/>
        </w:trPr>
        <w:tc>
          <w:tcPr>
            <w:tcW w:w="1373" w:type="dxa"/>
            <w:shd w:val="clear" w:color="auto" w:fill="auto"/>
          </w:tcPr>
          <w:p w14:paraId="1CCFD8E6" w14:textId="77777777" w:rsidR="00732544" w:rsidRPr="009E7447" w:rsidRDefault="00732544" w:rsidP="00400DD1">
            <w:pPr>
              <w:spacing w:after="60"/>
              <w:ind w:right="-144"/>
              <w:jc w:val="left"/>
              <w:rPr>
                <w:spacing w:val="-6"/>
                <w:sz w:val="14"/>
                <w:szCs w:val="14"/>
                <w:rtl/>
              </w:rPr>
            </w:pPr>
          </w:p>
        </w:tc>
        <w:tc>
          <w:tcPr>
            <w:tcW w:w="9210" w:type="dxa"/>
            <w:gridSpan w:val="12"/>
            <w:shd w:val="clear" w:color="auto" w:fill="auto"/>
          </w:tcPr>
          <w:p w14:paraId="6CC0B35D" w14:textId="77777777" w:rsidR="00732544" w:rsidRPr="009E7447" w:rsidRDefault="00732544" w:rsidP="00400DD1">
            <w:pPr>
              <w:rPr>
                <w:b/>
                <w:bCs/>
                <w:sz w:val="22"/>
                <w:szCs w:val="22"/>
                <w:rtl/>
              </w:rPr>
            </w:pPr>
            <w:r w:rsidRPr="009E7447">
              <w:rPr>
                <w:b/>
                <w:bCs/>
                <w:sz w:val="22"/>
                <w:szCs w:val="22"/>
                <w:rtl/>
              </w:rPr>
              <w:t xml:space="preserve">ביאור </w:t>
            </w:r>
            <w:r w:rsidRPr="009E7447">
              <w:rPr>
                <w:rFonts w:hint="cs"/>
                <w:b/>
                <w:bCs/>
                <w:sz w:val="22"/>
                <w:szCs w:val="22"/>
                <w:rtl/>
              </w:rPr>
              <w:t>12</w:t>
            </w:r>
            <w:r w:rsidRPr="009E7447">
              <w:rPr>
                <w:b/>
                <w:bCs/>
                <w:sz w:val="22"/>
                <w:szCs w:val="22"/>
                <w:rtl/>
              </w:rPr>
              <w:t xml:space="preserve">  -  </w:t>
            </w:r>
            <w:r w:rsidRPr="009E7447">
              <w:rPr>
                <w:rFonts w:hint="cs"/>
                <w:b/>
                <w:bCs/>
                <w:sz w:val="22"/>
                <w:szCs w:val="22"/>
                <w:rtl/>
              </w:rPr>
              <w:t xml:space="preserve">מידע נוסף על </w:t>
            </w:r>
            <w:r w:rsidRPr="009E7447">
              <w:rPr>
                <w:b/>
                <w:bCs/>
                <w:sz w:val="22"/>
                <w:szCs w:val="22"/>
                <w:rtl/>
              </w:rPr>
              <w:t>סיכון אשראי, אשראי לציבור והפרשה להפסדי אשראי</w:t>
            </w:r>
            <w:r w:rsidRPr="009E7447">
              <w:rPr>
                <w:rFonts w:hint="cs"/>
                <w:b/>
                <w:bCs/>
                <w:sz w:val="22"/>
                <w:szCs w:val="22"/>
                <w:rtl/>
              </w:rPr>
              <w:t xml:space="preserve"> (המשך):</w:t>
            </w:r>
          </w:p>
        </w:tc>
      </w:tr>
      <w:tr w:rsidR="00732544" w:rsidRPr="009E7447" w14:paraId="01F1BD05" w14:textId="77777777" w:rsidTr="00C1584D">
        <w:tblPrEx>
          <w:jc w:val="right"/>
          <w:tblInd w:w="0" w:type="dxa"/>
          <w:tblLook w:val="0000" w:firstRow="0" w:lastRow="0" w:firstColumn="0" w:lastColumn="0" w:noHBand="0" w:noVBand="0"/>
        </w:tblPrEx>
        <w:trPr>
          <w:gridAfter w:val="1"/>
          <w:wAfter w:w="16" w:type="dxa"/>
          <w:trHeight w:val="245"/>
          <w:jc w:val="right"/>
        </w:trPr>
        <w:tc>
          <w:tcPr>
            <w:tcW w:w="1373" w:type="dxa"/>
            <w:shd w:val="clear" w:color="auto" w:fill="auto"/>
          </w:tcPr>
          <w:p w14:paraId="245FA252" w14:textId="77777777" w:rsidR="00732544" w:rsidRPr="009E7447" w:rsidRDefault="00732544" w:rsidP="00400DD1">
            <w:pPr>
              <w:spacing w:before="100" w:after="60"/>
              <w:rPr>
                <w:spacing w:val="-4"/>
                <w:rtl/>
              </w:rPr>
            </w:pPr>
          </w:p>
        </w:tc>
        <w:tc>
          <w:tcPr>
            <w:tcW w:w="425" w:type="dxa"/>
            <w:shd w:val="clear" w:color="auto" w:fill="auto"/>
          </w:tcPr>
          <w:p w14:paraId="03E2F6F7" w14:textId="77777777" w:rsidR="00732544" w:rsidRPr="009E7447" w:rsidRDefault="00732544" w:rsidP="00400DD1">
            <w:pPr>
              <w:spacing w:before="60" w:after="60"/>
              <w:jc w:val="left"/>
              <w:rPr>
                <w:b/>
                <w:bCs/>
                <w:rtl/>
              </w:rPr>
            </w:pPr>
            <w:r>
              <w:rPr>
                <w:rFonts w:hint="cs"/>
                <w:b/>
                <w:bCs/>
                <w:rtl/>
              </w:rPr>
              <w:t>ב</w:t>
            </w:r>
            <w:r w:rsidRPr="009E7447">
              <w:rPr>
                <w:rFonts w:hint="cs"/>
                <w:b/>
                <w:bCs/>
                <w:rtl/>
              </w:rPr>
              <w:t>.</w:t>
            </w:r>
          </w:p>
        </w:tc>
        <w:tc>
          <w:tcPr>
            <w:tcW w:w="8785" w:type="dxa"/>
            <w:gridSpan w:val="11"/>
            <w:shd w:val="clear" w:color="auto" w:fill="auto"/>
          </w:tcPr>
          <w:p w14:paraId="352906AC" w14:textId="77777777" w:rsidR="00732544" w:rsidRPr="009E7447" w:rsidRDefault="00732544" w:rsidP="00400DD1">
            <w:pPr>
              <w:spacing w:before="60" w:after="60" w:line="180" w:lineRule="exact"/>
              <w:jc w:val="left"/>
              <w:rPr>
                <w:b/>
                <w:bCs/>
                <w:rtl/>
              </w:rPr>
            </w:pPr>
            <w:r w:rsidRPr="009E7447">
              <w:rPr>
                <w:rFonts w:hint="cs"/>
                <w:b/>
                <w:bCs/>
                <w:rtl/>
              </w:rPr>
              <w:t>אשראי לציבור</w:t>
            </w:r>
            <w:r w:rsidRPr="009E7447">
              <w:rPr>
                <w:b/>
                <w:bCs/>
                <w:rtl/>
              </w:rPr>
              <w:t xml:space="preserve"> (המשך):</w:t>
            </w:r>
          </w:p>
        </w:tc>
      </w:tr>
      <w:tr w:rsidR="00732544" w:rsidRPr="009E7447" w14:paraId="44F14785" w14:textId="77777777" w:rsidTr="00C1584D">
        <w:tblPrEx>
          <w:jc w:val="right"/>
          <w:tblInd w:w="0" w:type="dxa"/>
          <w:tblLook w:val="0000" w:firstRow="0" w:lastRow="0" w:firstColumn="0" w:lastColumn="0" w:noHBand="0" w:noVBand="0"/>
        </w:tblPrEx>
        <w:trPr>
          <w:gridAfter w:val="1"/>
          <w:wAfter w:w="16" w:type="dxa"/>
          <w:trHeight w:val="325"/>
          <w:jc w:val="right"/>
        </w:trPr>
        <w:tc>
          <w:tcPr>
            <w:tcW w:w="1798" w:type="dxa"/>
            <w:gridSpan w:val="2"/>
            <w:shd w:val="clear" w:color="auto" w:fill="auto"/>
          </w:tcPr>
          <w:p w14:paraId="6F66464C" w14:textId="76B4D0CF" w:rsidR="00732544" w:rsidRPr="009E7447" w:rsidRDefault="00732544" w:rsidP="00400DD1">
            <w:pPr>
              <w:jc w:val="left"/>
              <w:rPr>
                <w:b/>
                <w:bCs/>
                <w:rtl/>
              </w:rPr>
            </w:pPr>
          </w:p>
        </w:tc>
        <w:tc>
          <w:tcPr>
            <w:tcW w:w="8785" w:type="dxa"/>
            <w:gridSpan w:val="11"/>
            <w:tcBorders>
              <w:left w:val="nil"/>
            </w:tcBorders>
            <w:shd w:val="clear" w:color="auto" w:fill="auto"/>
          </w:tcPr>
          <w:p w14:paraId="41A3D363" w14:textId="4EC38006" w:rsidR="00732544" w:rsidRPr="009E7447" w:rsidRDefault="00732544" w:rsidP="00400DD1">
            <w:pPr>
              <w:tabs>
                <w:tab w:val="left" w:pos="446"/>
              </w:tabs>
              <w:spacing w:line="220" w:lineRule="exact"/>
              <w:ind w:left="448" w:hanging="448"/>
              <w:rPr>
                <w:b/>
                <w:bCs/>
                <w:rtl/>
              </w:rPr>
            </w:pPr>
            <w:r>
              <w:rPr>
                <w:rFonts w:hint="cs"/>
                <w:b/>
                <w:bCs/>
                <w:rtl/>
              </w:rPr>
              <w:t>1.1</w:t>
            </w:r>
            <w:r w:rsidRPr="009E7447">
              <w:rPr>
                <w:b/>
                <w:bCs/>
                <w:rtl/>
              </w:rPr>
              <w:tab/>
            </w:r>
            <w:r w:rsidR="0063152C" w:rsidRPr="0063152C">
              <w:rPr>
                <w:b/>
                <w:bCs/>
                <w:rtl/>
              </w:rPr>
              <w:t>איכות אשראי לפי שנות העמדת האשראי</w:t>
            </w:r>
            <w:r w:rsidR="0063152C">
              <w:rPr>
                <w:rFonts w:hint="cs"/>
                <w:b/>
                <w:bCs/>
                <w:rtl/>
              </w:rPr>
              <w:t xml:space="preserve">: </w:t>
            </w:r>
            <w:r w:rsidR="0063152C" w:rsidRPr="0063152C">
              <w:rPr>
                <w:rFonts w:hint="cs"/>
                <w:rtl/>
              </w:rPr>
              <w:t>(המשך)</w:t>
            </w:r>
          </w:p>
        </w:tc>
      </w:tr>
      <w:tr w:rsidR="00732544" w:rsidRPr="009E7447" w14:paraId="4DAEF455" w14:textId="77777777" w:rsidTr="00C1584D">
        <w:tblPrEx>
          <w:tblLook w:val="01E0" w:firstRow="1" w:lastRow="1" w:firstColumn="1" w:lastColumn="1" w:noHBand="0" w:noVBand="0"/>
        </w:tblPrEx>
        <w:trPr>
          <w:trHeight w:val="259"/>
        </w:trPr>
        <w:tc>
          <w:tcPr>
            <w:tcW w:w="2376" w:type="dxa"/>
            <w:gridSpan w:val="3"/>
            <w:shd w:val="clear" w:color="auto" w:fill="auto"/>
            <w:vAlign w:val="bottom"/>
          </w:tcPr>
          <w:p w14:paraId="775188E3" w14:textId="77777777" w:rsidR="00732544" w:rsidRPr="007D10F6" w:rsidRDefault="00732544" w:rsidP="00400DD1">
            <w:pPr>
              <w:spacing w:line="241" w:lineRule="auto"/>
              <w:ind w:left="144" w:hanging="144"/>
              <w:jc w:val="left"/>
              <w:rPr>
                <w:color w:val="000000"/>
                <w:sz w:val="18"/>
                <w:szCs w:val="18"/>
                <w:rtl/>
                <w:lang w:eastAsia="he-IL"/>
              </w:rPr>
            </w:pPr>
          </w:p>
        </w:tc>
        <w:tc>
          <w:tcPr>
            <w:tcW w:w="8223" w:type="dxa"/>
            <w:gridSpan w:val="11"/>
            <w:tcBorders>
              <w:left w:val="nil"/>
            </w:tcBorders>
            <w:shd w:val="clear" w:color="auto" w:fill="auto"/>
            <w:vAlign w:val="bottom"/>
            <w:hideMark/>
          </w:tcPr>
          <w:p w14:paraId="0DFD68ED" w14:textId="69FF2572" w:rsidR="00732544" w:rsidRPr="00F75066" w:rsidRDefault="00732544" w:rsidP="00F75066">
            <w:pPr>
              <w:spacing w:after="120"/>
              <w:jc w:val="center"/>
              <w:rPr>
                <w:b/>
                <w:bCs/>
                <w:sz w:val="18"/>
                <w:szCs w:val="18"/>
                <w:u w:val="single"/>
                <w:rtl/>
              </w:rPr>
            </w:pPr>
            <w:r w:rsidRPr="00F75066">
              <w:rPr>
                <w:rFonts w:hint="cs"/>
                <w:b/>
                <w:bCs/>
                <w:sz w:val="18"/>
                <w:szCs w:val="18"/>
                <w:u w:val="single"/>
                <w:rtl/>
              </w:rPr>
              <w:t xml:space="preserve">ליום 31 בדצמבר </w:t>
            </w:r>
            <w:r w:rsidRPr="00F75066">
              <w:rPr>
                <w:b/>
                <w:bCs/>
                <w:sz w:val="18"/>
                <w:szCs w:val="18"/>
                <w:u w:val="single"/>
                <w:rtl/>
              </w:rPr>
              <w:fldChar w:fldCharType="begin"/>
            </w:r>
            <w:r w:rsidRPr="00F75066">
              <w:rPr>
                <w:b/>
                <w:bCs/>
                <w:sz w:val="18"/>
                <w:szCs w:val="18"/>
                <w:u w:val="single"/>
                <w:rtl/>
              </w:rPr>
              <w:instrText xml:space="preserve"> </w:instrText>
            </w:r>
            <w:r w:rsidRPr="00F75066">
              <w:rPr>
                <w:rFonts w:hint="cs"/>
                <w:b/>
                <w:bCs/>
                <w:sz w:val="18"/>
                <w:szCs w:val="18"/>
                <w:u w:val="single"/>
                <w:rtl/>
              </w:rPr>
              <w:instrText xml:space="preserve">= </w:instrText>
            </w:r>
            <w:r w:rsidRPr="00F75066">
              <w:rPr>
                <w:rFonts w:hint="cs"/>
                <w:b/>
                <w:bCs/>
                <w:sz w:val="18"/>
                <w:szCs w:val="18"/>
                <w:u w:val="single"/>
              </w:rPr>
              <w:instrText>CY</w:instrText>
            </w:r>
            <w:r w:rsidRPr="00F75066">
              <w:rPr>
                <w:b/>
                <w:bCs/>
                <w:sz w:val="18"/>
                <w:szCs w:val="18"/>
                <w:u w:val="single"/>
              </w:rPr>
              <w:instrText>-1</w:instrText>
            </w:r>
            <w:r w:rsidRPr="00F75066">
              <w:rPr>
                <w:rFonts w:hint="cs"/>
                <w:b/>
                <w:bCs/>
                <w:sz w:val="18"/>
                <w:szCs w:val="18"/>
                <w:u w:val="single"/>
              </w:rPr>
              <w:instrText xml:space="preserve"> \* MERGEFORMAT</w:instrText>
            </w:r>
            <w:r w:rsidRPr="00F75066">
              <w:rPr>
                <w:b/>
                <w:bCs/>
                <w:sz w:val="18"/>
                <w:szCs w:val="18"/>
                <w:u w:val="single"/>
                <w:rtl/>
              </w:rPr>
              <w:instrText xml:space="preserve"> </w:instrText>
            </w:r>
            <w:r w:rsidRPr="00F75066">
              <w:rPr>
                <w:b/>
                <w:bCs/>
                <w:sz w:val="18"/>
                <w:szCs w:val="18"/>
                <w:u w:val="single"/>
                <w:rtl/>
              </w:rPr>
              <w:fldChar w:fldCharType="separate"/>
            </w:r>
            <w:r w:rsidR="003A584F" w:rsidRPr="00F75066">
              <w:rPr>
                <w:b/>
                <w:bCs/>
                <w:noProof/>
                <w:sz w:val="18"/>
                <w:szCs w:val="18"/>
                <w:u w:val="single"/>
                <w:rtl/>
              </w:rPr>
              <w:t>2023</w:t>
            </w:r>
            <w:r w:rsidRPr="00F75066">
              <w:rPr>
                <w:b/>
                <w:bCs/>
                <w:sz w:val="18"/>
                <w:szCs w:val="18"/>
                <w:u w:val="single"/>
                <w:rtl/>
              </w:rPr>
              <w:fldChar w:fldCharType="end"/>
            </w:r>
            <w:r w:rsidRPr="00F75066">
              <w:rPr>
                <w:rFonts w:hint="cs"/>
                <w:b/>
                <w:bCs/>
                <w:sz w:val="18"/>
                <w:szCs w:val="18"/>
                <w:u w:val="single"/>
                <w:rtl/>
              </w:rPr>
              <w:t xml:space="preserve">  </w:t>
            </w:r>
            <w:r w:rsidRPr="00F75066">
              <w:rPr>
                <w:rFonts w:hint="cs"/>
                <w:sz w:val="18"/>
                <w:szCs w:val="18"/>
                <w:u w:val="single"/>
                <w:rtl/>
              </w:rPr>
              <w:t>(</w:t>
            </w:r>
            <w:r w:rsidRPr="00F75066">
              <w:rPr>
                <w:rFonts w:hint="eastAsia"/>
                <w:sz w:val="18"/>
                <w:szCs w:val="18"/>
                <w:u w:val="single"/>
                <w:rtl/>
              </w:rPr>
              <w:t>מבוקר</w:t>
            </w:r>
            <w:r w:rsidRPr="00F75066">
              <w:rPr>
                <w:rFonts w:hint="cs"/>
                <w:sz w:val="18"/>
                <w:szCs w:val="18"/>
                <w:u w:val="single"/>
                <w:rtl/>
              </w:rPr>
              <w:t>)</w:t>
            </w:r>
          </w:p>
        </w:tc>
      </w:tr>
      <w:tr w:rsidR="00732544" w:rsidRPr="009E7447" w14:paraId="69130FDE" w14:textId="77777777" w:rsidTr="00C1584D">
        <w:tblPrEx>
          <w:tblLook w:val="01E0" w:firstRow="1" w:lastRow="1" w:firstColumn="1" w:lastColumn="1" w:noHBand="0" w:noVBand="0"/>
        </w:tblPrEx>
        <w:trPr>
          <w:trHeight w:val="259"/>
        </w:trPr>
        <w:tc>
          <w:tcPr>
            <w:tcW w:w="2376" w:type="dxa"/>
            <w:gridSpan w:val="3"/>
            <w:shd w:val="clear" w:color="auto" w:fill="auto"/>
            <w:vAlign w:val="bottom"/>
          </w:tcPr>
          <w:p w14:paraId="4BE04F79" w14:textId="11BB89B7" w:rsidR="00732544" w:rsidRPr="00C15D9A" w:rsidRDefault="00732544" w:rsidP="00400DD1">
            <w:pPr>
              <w:spacing w:line="241" w:lineRule="auto"/>
              <w:ind w:left="144" w:hanging="144"/>
              <w:jc w:val="left"/>
              <w:rPr>
                <w:color w:val="000000"/>
                <w:sz w:val="16"/>
                <w:szCs w:val="16"/>
                <w:rtl/>
                <w:lang w:eastAsia="he-IL"/>
              </w:rPr>
            </w:pPr>
          </w:p>
        </w:tc>
        <w:tc>
          <w:tcPr>
            <w:tcW w:w="4818" w:type="dxa"/>
            <w:gridSpan w:val="6"/>
            <w:tcBorders>
              <w:left w:val="nil"/>
            </w:tcBorders>
            <w:shd w:val="clear" w:color="auto" w:fill="auto"/>
            <w:vAlign w:val="bottom"/>
            <w:hideMark/>
          </w:tcPr>
          <w:p w14:paraId="7755B2B0" w14:textId="77777777" w:rsidR="00732544" w:rsidRPr="009E7447" w:rsidRDefault="00732544" w:rsidP="00400DD1">
            <w:pPr>
              <w:pBdr>
                <w:bottom w:val="single" w:sz="4" w:space="1" w:color="auto"/>
              </w:pBdr>
              <w:spacing w:after="60"/>
              <w:jc w:val="center"/>
              <w:rPr>
                <w:b/>
                <w:bCs/>
                <w:sz w:val="18"/>
                <w:szCs w:val="18"/>
                <w:rtl/>
              </w:rPr>
            </w:pPr>
            <w:r w:rsidRPr="009E7447">
              <w:rPr>
                <w:rFonts w:hint="cs"/>
                <w:b/>
                <w:bCs/>
                <w:sz w:val="18"/>
                <w:szCs w:val="18"/>
                <w:rtl/>
              </w:rPr>
              <w:t>יתרת חוב רשומה של אשראי לציבור לזמן קצוב</w:t>
            </w:r>
          </w:p>
        </w:tc>
        <w:tc>
          <w:tcPr>
            <w:tcW w:w="2551" w:type="dxa"/>
            <w:gridSpan w:val="3"/>
            <w:shd w:val="clear" w:color="auto" w:fill="auto"/>
            <w:vAlign w:val="bottom"/>
          </w:tcPr>
          <w:p w14:paraId="2DB5130F" w14:textId="77777777" w:rsidR="00732544" w:rsidRPr="009E7447" w:rsidRDefault="00732544" w:rsidP="00400DD1">
            <w:pPr>
              <w:pBdr>
                <w:bottom w:val="single" w:sz="4" w:space="1" w:color="auto"/>
              </w:pBdr>
              <w:spacing w:after="60"/>
              <w:jc w:val="center"/>
              <w:rPr>
                <w:b/>
                <w:bCs/>
                <w:sz w:val="18"/>
                <w:szCs w:val="18"/>
                <w:rtl/>
              </w:rPr>
            </w:pPr>
            <w:r w:rsidRPr="009E7447">
              <w:rPr>
                <w:rFonts w:hint="cs"/>
                <w:b/>
                <w:bCs/>
                <w:sz w:val="18"/>
                <w:szCs w:val="18"/>
                <w:rtl/>
              </w:rPr>
              <w:t>יתרת חוב רשומה של</w:t>
            </w:r>
          </w:p>
        </w:tc>
        <w:tc>
          <w:tcPr>
            <w:tcW w:w="854" w:type="dxa"/>
            <w:gridSpan w:val="2"/>
            <w:shd w:val="clear" w:color="auto" w:fill="auto"/>
          </w:tcPr>
          <w:p w14:paraId="16A8E983" w14:textId="77777777" w:rsidR="00732544" w:rsidRPr="009E7447" w:rsidRDefault="00732544" w:rsidP="00400DD1">
            <w:pPr>
              <w:spacing w:line="241" w:lineRule="auto"/>
              <w:jc w:val="center"/>
              <w:rPr>
                <w:b/>
                <w:bCs/>
                <w:sz w:val="18"/>
                <w:szCs w:val="18"/>
                <w:rtl/>
              </w:rPr>
            </w:pPr>
          </w:p>
        </w:tc>
      </w:tr>
      <w:tr w:rsidR="00732544" w:rsidRPr="009E7447" w14:paraId="19DA2042" w14:textId="77777777" w:rsidTr="00C1584D">
        <w:tblPrEx>
          <w:tblLook w:val="01E0" w:firstRow="1" w:lastRow="1" w:firstColumn="1" w:lastColumn="1" w:noHBand="0" w:noVBand="0"/>
        </w:tblPrEx>
        <w:trPr>
          <w:gridAfter w:val="1"/>
          <w:wAfter w:w="16" w:type="dxa"/>
          <w:trHeight w:val="602"/>
        </w:trPr>
        <w:tc>
          <w:tcPr>
            <w:tcW w:w="2376" w:type="dxa"/>
            <w:gridSpan w:val="3"/>
            <w:shd w:val="clear" w:color="auto" w:fill="auto"/>
            <w:vAlign w:val="bottom"/>
          </w:tcPr>
          <w:p w14:paraId="1B54AA37" w14:textId="77777777" w:rsidR="00732544" w:rsidRPr="009E7447" w:rsidRDefault="00732544" w:rsidP="00400DD1">
            <w:pPr>
              <w:spacing w:line="241" w:lineRule="auto"/>
              <w:jc w:val="left"/>
              <w:rPr>
                <w:color w:val="000000"/>
                <w:sz w:val="18"/>
                <w:szCs w:val="18"/>
                <w:u w:val="single"/>
                <w:rtl/>
                <w:lang w:eastAsia="he-IL"/>
              </w:rPr>
            </w:pPr>
          </w:p>
          <w:p w14:paraId="1A12CF68" w14:textId="77777777" w:rsidR="00732544" w:rsidRPr="009E7447" w:rsidRDefault="00732544" w:rsidP="00400DD1">
            <w:pPr>
              <w:spacing w:line="241" w:lineRule="auto"/>
              <w:jc w:val="left"/>
              <w:rPr>
                <w:color w:val="000000"/>
                <w:sz w:val="18"/>
                <w:szCs w:val="18"/>
                <w:rtl/>
                <w:lang w:eastAsia="he-IL"/>
              </w:rPr>
            </w:pPr>
            <w:r w:rsidRPr="009E7447">
              <w:rPr>
                <w:rFonts w:hint="cs"/>
                <w:color w:val="000000"/>
                <w:sz w:val="18"/>
                <w:szCs w:val="18"/>
                <w:u w:val="single"/>
                <w:rtl/>
                <w:lang w:eastAsia="he-IL"/>
              </w:rPr>
              <w:t>איכות אשראי לפי שנות העמדת אשראי</w:t>
            </w:r>
          </w:p>
        </w:tc>
        <w:tc>
          <w:tcPr>
            <w:tcW w:w="825" w:type="dxa"/>
            <w:tcBorders>
              <w:left w:val="nil"/>
            </w:tcBorders>
            <w:shd w:val="clear" w:color="auto" w:fill="auto"/>
            <w:vAlign w:val="bottom"/>
            <w:hideMark/>
          </w:tcPr>
          <w:p w14:paraId="5EAB90F0" w14:textId="1AD2FB3E" w:rsidR="00732544" w:rsidRPr="009E7447" w:rsidRDefault="00732544" w:rsidP="00400DD1">
            <w:pPr>
              <w:pBdr>
                <w:bottom w:val="single" w:sz="6" w:space="1" w:color="auto"/>
              </w:pBdr>
              <w:spacing w:line="241" w:lineRule="auto"/>
              <w:jc w:val="center"/>
              <w:rPr>
                <w:b/>
                <w:bCs/>
                <w:sz w:val="18"/>
                <w:szCs w:val="18"/>
              </w:rPr>
            </w:pPr>
            <w:r w:rsidRPr="00461486">
              <w:rPr>
                <w:b/>
                <w:bCs/>
                <w:sz w:val="18"/>
                <w:szCs w:val="18"/>
                <w:rtl/>
              </w:rPr>
              <w:fldChar w:fldCharType="begin"/>
            </w:r>
            <w:r w:rsidRPr="00461486">
              <w:rPr>
                <w:b/>
                <w:bCs/>
                <w:sz w:val="18"/>
                <w:szCs w:val="18"/>
                <w:rtl/>
              </w:rPr>
              <w:instrText xml:space="preserve"> </w:instrText>
            </w:r>
            <w:r w:rsidRPr="00461486">
              <w:rPr>
                <w:rFonts w:hint="cs"/>
                <w:b/>
                <w:bCs/>
                <w:sz w:val="18"/>
                <w:szCs w:val="18"/>
                <w:rtl/>
              </w:rPr>
              <w:instrText xml:space="preserve">= </w:instrText>
            </w:r>
            <w:r w:rsidRPr="00461486">
              <w:rPr>
                <w:rFonts w:hint="cs"/>
                <w:b/>
                <w:bCs/>
                <w:sz w:val="18"/>
                <w:szCs w:val="18"/>
              </w:rPr>
              <w:instrText>CY \* MERGEFORMAT</w:instrText>
            </w:r>
            <w:r w:rsidRPr="00461486">
              <w:rPr>
                <w:b/>
                <w:bCs/>
                <w:sz w:val="18"/>
                <w:szCs w:val="18"/>
                <w:rtl/>
              </w:rPr>
              <w:instrText xml:space="preserve"> </w:instrText>
            </w:r>
            <w:r w:rsidRPr="00461486">
              <w:rPr>
                <w:b/>
                <w:bCs/>
                <w:sz w:val="18"/>
                <w:szCs w:val="18"/>
                <w:rtl/>
              </w:rPr>
              <w:fldChar w:fldCharType="separate"/>
            </w:r>
            <w:r w:rsidR="003A584F">
              <w:rPr>
                <w:b/>
                <w:bCs/>
                <w:noProof/>
                <w:sz w:val="18"/>
                <w:szCs w:val="18"/>
                <w:rtl/>
              </w:rPr>
              <w:t>2024</w:t>
            </w:r>
            <w:r w:rsidRPr="00461486">
              <w:rPr>
                <w:b/>
                <w:bCs/>
                <w:sz w:val="18"/>
                <w:szCs w:val="18"/>
                <w:rtl/>
              </w:rPr>
              <w:fldChar w:fldCharType="end"/>
            </w:r>
          </w:p>
        </w:tc>
        <w:tc>
          <w:tcPr>
            <w:tcW w:w="794" w:type="dxa"/>
            <w:shd w:val="clear" w:color="auto" w:fill="auto"/>
            <w:vAlign w:val="bottom"/>
            <w:hideMark/>
          </w:tcPr>
          <w:p w14:paraId="76E41DF4" w14:textId="4FA8542B" w:rsidR="00732544" w:rsidRPr="009E7447" w:rsidRDefault="00732544" w:rsidP="00400DD1">
            <w:pPr>
              <w:pBdr>
                <w:bottom w:val="single" w:sz="6" w:space="1" w:color="auto"/>
              </w:pBdr>
              <w:spacing w:line="241" w:lineRule="auto"/>
              <w:jc w:val="center"/>
              <w:rPr>
                <w:b/>
                <w:bCs/>
                <w:sz w:val="18"/>
                <w:szCs w:val="18"/>
                <w:rtl/>
              </w:rPr>
            </w:pPr>
            <w:r w:rsidRPr="00461486">
              <w:rPr>
                <w:b/>
                <w:bCs/>
                <w:sz w:val="18"/>
                <w:szCs w:val="18"/>
                <w:rtl/>
              </w:rPr>
              <w:fldChar w:fldCharType="begin"/>
            </w:r>
            <w:r w:rsidRPr="00461486">
              <w:rPr>
                <w:b/>
                <w:bCs/>
                <w:sz w:val="18"/>
                <w:szCs w:val="18"/>
                <w:rtl/>
              </w:rPr>
              <w:instrText xml:space="preserve"> </w:instrText>
            </w:r>
            <w:r w:rsidRPr="00461486">
              <w:rPr>
                <w:rFonts w:hint="cs"/>
                <w:b/>
                <w:bCs/>
                <w:sz w:val="18"/>
                <w:szCs w:val="18"/>
                <w:rtl/>
              </w:rPr>
              <w:instrText xml:space="preserve">= </w:instrText>
            </w:r>
            <w:r w:rsidRPr="00461486">
              <w:rPr>
                <w:rFonts w:hint="cs"/>
                <w:b/>
                <w:bCs/>
                <w:sz w:val="18"/>
                <w:szCs w:val="18"/>
              </w:rPr>
              <w:instrText>CY</w:instrText>
            </w:r>
            <w:r>
              <w:rPr>
                <w:b/>
                <w:bCs/>
                <w:sz w:val="18"/>
                <w:szCs w:val="18"/>
              </w:rPr>
              <w:instrText>-1</w:instrText>
            </w:r>
            <w:r w:rsidRPr="00461486">
              <w:rPr>
                <w:rFonts w:hint="cs"/>
                <w:b/>
                <w:bCs/>
                <w:sz w:val="18"/>
                <w:szCs w:val="18"/>
              </w:rPr>
              <w:instrText xml:space="preserve"> \* MERGEFORMAT</w:instrText>
            </w:r>
            <w:r w:rsidRPr="00461486">
              <w:rPr>
                <w:b/>
                <w:bCs/>
                <w:sz w:val="18"/>
                <w:szCs w:val="18"/>
                <w:rtl/>
              </w:rPr>
              <w:instrText xml:space="preserve"> </w:instrText>
            </w:r>
            <w:r w:rsidRPr="00461486">
              <w:rPr>
                <w:b/>
                <w:bCs/>
                <w:sz w:val="18"/>
                <w:szCs w:val="18"/>
                <w:rtl/>
              </w:rPr>
              <w:fldChar w:fldCharType="separate"/>
            </w:r>
            <w:r w:rsidR="003A584F">
              <w:rPr>
                <w:b/>
                <w:bCs/>
                <w:noProof/>
                <w:sz w:val="18"/>
                <w:szCs w:val="18"/>
                <w:rtl/>
              </w:rPr>
              <w:t>2023</w:t>
            </w:r>
            <w:r w:rsidRPr="00461486">
              <w:rPr>
                <w:b/>
                <w:bCs/>
                <w:sz w:val="18"/>
                <w:szCs w:val="18"/>
                <w:rtl/>
              </w:rPr>
              <w:fldChar w:fldCharType="end"/>
            </w:r>
          </w:p>
        </w:tc>
        <w:tc>
          <w:tcPr>
            <w:tcW w:w="794" w:type="dxa"/>
            <w:shd w:val="clear" w:color="auto" w:fill="auto"/>
            <w:vAlign w:val="bottom"/>
            <w:hideMark/>
          </w:tcPr>
          <w:p w14:paraId="285E0085" w14:textId="4D259FE2" w:rsidR="00732544" w:rsidRPr="009E7447" w:rsidRDefault="00732544" w:rsidP="00400DD1">
            <w:pPr>
              <w:pBdr>
                <w:bottom w:val="single" w:sz="6" w:space="1" w:color="auto"/>
              </w:pBdr>
              <w:spacing w:line="241" w:lineRule="auto"/>
              <w:jc w:val="center"/>
              <w:rPr>
                <w:b/>
                <w:bCs/>
                <w:sz w:val="18"/>
                <w:szCs w:val="18"/>
                <w:rtl/>
              </w:rPr>
            </w:pPr>
            <w:r w:rsidRPr="00461486">
              <w:rPr>
                <w:b/>
                <w:bCs/>
                <w:sz w:val="18"/>
                <w:szCs w:val="18"/>
                <w:rtl/>
              </w:rPr>
              <w:fldChar w:fldCharType="begin"/>
            </w:r>
            <w:r w:rsidRPr="00461486">
              <w:rPr>
                <w:b/>
                <w:bCs/>
                <w:sz w:val="18"/>
                <w:szCs w:val="18"/>
                <w:rtl/>
              </w:rPr>
              <w:instrText xml:space="preserve"> </w:instrText>
            </w:r>
            <w:r w:rsidRPr="00461486">
              <w:rPr>
                <w:rFonts w:hint="cs"/>
                <w:b/>
                <w:bCs/>
                <w:sz w:val="18"/>
                <w:szCs w:val="18"/>
                <w:rtl/>
              </w:rPr>
              <w:instrText xml:space="preserve">= </w:instrText>
            </w:r>
            <w:r w:rsidRPr="00461486">
              <w:rPr>
                <w:rFonts w:hint="cs"/>
                <w:b/>
                <w:bCs/>
                <w:sz w:val="18"/>
                <w:szCs w:val="18"/>
              </w:rPr>
              <w:instrText>CY</w:instrText>
            </w:r>
            <w:r>
              <w:rPr>
                <w:b/>
                <w:bCs/>
                <w:sz w:val="18"/>
                <w:szCs w:val="18"/>
              </w:rPr>
              <w:instrText>-2</w:instrText>
            </w:r>
            <w:r w:rsidRPr="00461486">
              <w:rPr>
                <w:rFonts w:hint="cs"/>
                <w:b/>
                <w:bCs/>
                <w:sz w:val="18"/>
                <w:szCs w:val="18"/>
              </w:rPr>
              <w:instrText xml:space="preserve"> \* MERGEFORMAT</w:instrText>
            </w:r>
            <w:r w:rsidRPr="00461486">
              <w:rPr>
                <w:b/>
                <w:bCs/>
                <w:sz w:val="18"/>
                <w:szCs w:val="18"/>
                <w:rtl/>
              </w:rPr>
              <w:instrText xml:space="preserve"> </w:instrText>
            </w:r>
            <w:r w:rsidRPr="00461486">
              <w:rPr>
                <w:b/>
                <w:bCs/>
                <w:sz w:val="18"/>
                <w:szCs w:val="18"/>
                <w:rtl/>
              </w:rPr>
              <w:fldChar w:fldCharType="separate"/>
            </w:r>
            <w:r w:rsidR="003A584F">
              <w:rPr>
                <w:b/>
                <w:bCs/>
                <w:noProof/>
                <w:sz w:val="18"/>
                <w:szCs w:val="18"/>
                <w:rtl/>
              </w:rPr>
              <w:t>2022</w:t>
            </w:r>
            <w:r w:rsidRPr="00461486">
              <w:rPr>
                <w:b/>
                <w:bCs/>
                <w:sz w:val="18"/>
                <w:szCs w:val="18"/>
                <w:rtl/>
              </w:rPr>
              <w:fldChar w:fldCharType="end"/>
            </w:r>
          </w:p>
        </w:tc>
        <w:tc>
          <w:tcPr>
            <w:tcW w:w="794" w:type="dxa"/>
            <w:shd w:val="clear" w:color="auto" w:fill="auto"/>
            <w:vAlign w:val="bottom"/>
            <w:hideMark/>
          </w:tcPr>
          <w:p w14:paraId="3946B0EE" w14:textId="624C17B9" w:rsidR="00732544" w:rsidRPr="009E7447" w:rsidRDefault="00732544" w:rsidP="00400DD1">
            <w:pPr>
              <w:pBdr>
                <w:bottom w:val="single" w:sz="6" w:space="1" w:color="auto"/>
              </w:pBdr>
              <w:spacing w:line="241" w:lineRule="auto"/>
              <w:jc w:val="center"/>
              <w:rPr>
                <w:b/>
                <w:bCs/>
                <w:sz w:val="18"/>
                <w:szCs w:val="18"/>
                <w:rtl/>
              </w:rPr>
            </w:pPr>
            <w:r w:rsidRPr="00461486">
              <w:rPr>
                <w:b/>
                <w:bCs/>
                <w:sz w:val="18"/>
                <w:szCs w:val="18"/>
                <w:rtl/>
              </w:rPr>
              <w:fldChar w:fldCharType="begin"/>
            </w:r>
            <w:r w:rsidRPr="00461486">
              <w:rPr>
                <w:b/>
                <w:bCs/>
                <w:sz w:val="18"/>
                <w:szCs w:val="18"/>
                <w:rtl/>
              </w:rPr>
              <w:instrText xml:space="preserve"> </w:instrText>
            </w:r>
            <w:r w:rsidRPr="00461486">
              <w:rPr>
                <w:rFonts w:hint="cs"/>
                <w:b/>
                <w:bCs/>
                <w:sz w:val="18"/>
                <w:szCs w:val="18"/>
                <w:rtl/>
              </w:rPr>
              <w:instrText xml:space="preserve">= </w:instrText>
            </w:r>
            <w:r w:rsidRPr="00461486">
              <w:rPr>
                <w:rFonts w:hint="cs"/>
                <w:b/>
                <w:bCs/>
                <w:sz w:val="18"/>
                <w:szCs w:val="18"/>
              </w:rPr>
              <w:instrText>CY</w:instrText>
            </w:r>
            <w:r>
              <w:rPr>
                <w:b/>
                <w:bCs/>
                <w:sz w:val="18"/>
                <w:szCs w:val="18"/>
              </w:rPr>
              <w:instrText>-3</w:instrText>
            </w:r>
            <w:r w:rsidRPr="00461486">
              <w:rPr>
                <w:rFonts w:hint="cs"/>
                <w:b/>
                <w:bCs/>
                <w:sz w:val="18"/>
                <w:szCs w:val="18"/>
              </w:rPr>
              <w:instrText>\* MERGEFORMAT</w:instrText>
            </w:r>
            <w:r w:rsidRPr="00461486">
              <w:rPr>
                <w:b/>
                <w:bCs/>
                <w:sz w:val="18"/>
                <w:szCs w:val="18"/>
                <w:rtl/>
              </w:rPr>
              <w:instrText xml:space="preserve"> </w:instrText>
            </w:r>
            <w:r w:rsidRPr="00461486">
              <w:rPr>
                <w:b/>
                <w:bCs/>
                <w:sz w:val="18"/>
                <w:szCs w:val="18"/>
                <w:rtl/>
              </w:rPr>
              <w:fldChar w:fldCharType="separate"/>
            </w:r>
            <w:r w:rsidR="003A584F">
              <w:rPr>
                <w:b/>
                <w:bCs/>
                <w:noProof/>
                <w:sz w:val="18"/>
                <w:szCs w:val="18"/>
                <w:rtl/>
              </w:rPr>
              <w:t>2021</w:t>
            </w:r>
            <w:r w:rsidRPr="00461486">
              <w:rPr>
                <w:b/>
                <w:bCs/>
                <w:sz w:val="18"/>
                <w:szCs w:val="18"/>
                <w:rtl/>
              </w:rPr>
              <w:fldChar w:fldCharType="end"/>
            </w:r>
          </w:p>
        </w:tc>
        <w:tc>
          <w:tcPr>
            <w:tcW w:w="794" w:type="dxa"/>
            <w:shd w:val="clear" w:color="auto" w:fill="auto"/>
            <w:vAlign w:val="bottom"/>
            <w:hideMark/>
          </w:tcPr>
          <w:p w14:paraId="67FE604B" w14:textId="063F6708" w:rsidR="00732544" w:rsidRPr="009E7447" w:rsidRDefault="00732544" w:rsidP="00400DD1">
            <w:pPr>
              <w:pBdr>
                <w:bottom w:val="single" w:sz="6" w:space="1" w:color="auto"/>
              </w:pBdr>
              <w:spacing w:line="241" w:lineRule="auto"/>
              <w:jc w:val="center"/>
              <w:rPr>
                <w:b/>
                <w:bCs/>
                <w:sz w:val="18"/>
                <w:szCs w:val="18"/>
                <w:rtl/>
              </w:rPr>
            </w:pPr>
            <w:r w:rsidRPr="00461486">
              <w:rPr>
                <w:b/>
                <w:bCs/>
                <w:sz w:val="18"/>
                <w:szCs w:val="18"/>
                <w:rtl/>
              </w:rPr>
              <w:fldChar w:fldCharType="begin"/>
            </w:r>
            <w:r w:rsidRPr="00461486">
              <w:rPr>
                <w:b/>
                <w:bCs/>
                <w:sz w:val="18"/>
                <w:szCs w:val="18"/>
                <w:rtl/>
              </w:rPr>
              <w:instrText xml:space="preserve"> </w:instrText>
            </w:r>
            <w:r w:rsidRPr="00461486">
              <w:rPr>
                <w:rFonts w:hint="cs"/>
                <w:b/>
                <w:bCs/>
                <w:sz w:val="18"/>
                <w:szCs w:val="18"/>
                <w:rtl/>
              </w:rPr>
              <w:instrText xml:space="preserve">= </w:instrText>
            </w:r>
            <w:r w:rsidRPr="00461486">
              <w:rPr>
                <w:rFonts w:hint="cs"/>
                <w:b/>
                <w:bCs/>
                <w:sz w:val="18"/>
                <w:szCs w:val="18"/>
              </w:rPr>
              <w:instrText>CY</w:instrText>
            </w:r>
            <w:r>
              <w:rPr>
                <w:b/>
                <w:bCs/>
                <w:sz w:val="18"/>
                <w:szCs w:val="18"/>
              </w:rPr>
              <w:instrText>-4</w:instrText>
            </w:r>
            <w:r w:rsidRPr="00461486">
              <w:rPr>
                <w:rFonts w:hint="cs"/>
                <w:b/>
                <w:bCs/>
                <w:sz w:val="18"/>
                <w:szCs w:val="18"/>
              </w:rPr>
              <w:instrText xml:space="preserve"> \* MERGEFORMAT</w:instrText>
            </w:r>
            <w:r w:rsidRPr="00461486">
              <w:rPr>
                <w:b/>
                <w:bCs/>
                <w:sz w:val="18"/>
                <w:szCs w:val="18"/>
                <w:rtl/>
              </w:rPr>
              <w:instrText xml:space="preserve"> </w:instrText>
            </w:r>
            <w:r w:rsidRPr="00461486">
              <w:rPr>
                <w:b/>
                <w:bCs/>
                <w:sz w:val="18"/>
                <w:szCs w:val="18"/>
                <w:rtl/>
              </w:rPr>
              <w:fldChar w:fldCharType="separate"/>
            </w:r>
            <w:r w:rsidR="003A584F">
              <w:rPr>
                <w:b/>
                <w:bCs/>
                <w:noProof/>
                <w:sz w:val="18"/>
                <w:szCs w:val="18"/>
                <w:rtl/>
              </w:rPr>
              <w:t>2020</w:t>
            </w:r>
            <w:r w:rsidRPr="00461486">
              <w:rPr>
                <w:b/>
                <w:bCs/>
                <w:sz w:val="18"/>
                <w:szCs w:val="18"/>
                <w:rtl/>
              </w:rPr>
              <w:fldChar w:fldCharType="end"/>
            </w:r>
          </w:p>
        </w:tc>
        <w:tc>
          <w:tcPr>
            <w:tcW w:w="817" w:type="dxa"/>
            <w:shd w:val="clear" w:color="auto" w:fill="auto"/>
            <w:vAlign w:val="bottom"/>
            <w:hideMark/>
          </w:tcPr>
          <w:p w14:paraId="24C1022D" w14:textId="77777777" w:rsidR="00732544" w:rsidRPr="009E7447" w:rsidRDefault="00732544" w:rsidP="00400DD1">
            <w:pPr>
              <w:pBdr>
                <w:bottom w:val="single" w:sz="6" w:space="1" w:color="auto"/>
              </w:pBdr>
              <w:spacing w:line="241" w:lineRule="auto"/>
              <w:jc w:val="center"/>
              <w:rPr>
                <w:b/>
                <w:bCs/>
                <w:sz w:val="18"/>
                <w:szCs w:val="18"/>
                <w:rtl/>
              </w:rPr>
            </w:pPr>
            <w:r w:rsidRPr="009E7447">
              <w:rPr>
                <w:rFonts w:hint="cs"/>
                <w:b/>
                <w:bCs/>
                <w:sz w:val="18"/>
                <w:szCs w:val="18"/>
                <w:rtl/>
              </w:rPr>
              <w:t>קודם</w:t>
            </w:r>
          </w:p>
        </w:tc>
        <w:tc>
          <w:tcPr>
            <w:tcW w:w="999" w:type="dxa"/>
            <w:shd w:val="clear" w:color="auto" w:fill="auto"/>
            <w:vAlign w:val="bottom"/>
            <w:hideMark/>
          </w:tcPr>
          <w:p w14:paraId="1B7D4587" w14:textId="77777777" w:rsidR="00732544" w:rsidRPr="009E7447" w:rsidRDefault="00732544" w:rsidP="00400DD1">
            <w:pPr>
              <w:pBdr>
                <w:bottom w:val="single" w:sz="6" w:space="1" w:color="auto"/>
              </w:pBdr>
              <w:spacing w:line="241" w:lineRule="auto"/>
              <w:jc w:val="center"/>
              <w:rPr>
                <w:b/>
                <w:bCs/>
                <w:sz w:val="18"/>
                <w:szCs w:val="18"/>
                <w:rtl/>
              </w:rPr>
            </w:pPr>
            <w:r w:rsidRPr="009E7447">
              <w:rPr>
                <w:rFonts w:hint="cs"/>
                <w:b/>
                <w:bCs/>
                <w:sz w:val="18"/>
                <w:szCs w:val="18"/>
                <w:rtl/>
              </w:rPr>
              <w:t>הלוואות מתחדשות</w:t>
            </w:r>
          </w:p>
        </w:tc>
        <w:tc>
          <w:tcPr>
            <w:tcW w:w="1531" w:type="dxa"/>
            <w:shd w:val="clear" w:color="auto" w:fill="auto"/>
            <w:vAlign w:val="bottom"/>
            <w:hideMark/>
          </w:tcPr>
          <w:p w14:paraId="2FE102F7" w14:textId="77777777" w:rsidR="00732544" w:rsidRPr="007D10F6" w:rsidRDefault="00732544" w:rsidP="00400DD1">
            <w:pPr>
              <w:pBdr>
                <w:bottom w:val="single" w:sz="6" w:space="1" w:color="auto"/>
              </w:pBdr>
              <w:spacing w:line="241" w:lineRule="auto"/>
              <w:jc w:val="center"/>
              <w:rPr>
                <w:b/>
                <w:bCs/>
                <w:sz w:val="17"/>
                <w:szCs w:val="17"/>
                <w:rtl/>
              </w:rPr>
            </w:pPr>
            <w:r w:rsidRPr="007D10F6">
              <w:rPr>
                <w:rFonts w:hint="cs"/>
                <w:b/>
                <w:bCs/>
                <w:sz w:val="17"/>
                <w:szCs w:val="17"/>
                <w:rtl/>
              </w:rPr>
              <w:t>הלוואות מתחדשות שהומרו להלוואות לזמן קצוב</w:t>
            </w:r>
          </w:p>
        </w:tc>
        <w:tc>
          <w:tcPr>
            <w:tcW w:w="859" w:type="dxa"/>
            <w:gridSpan w:val="2"/>
            <w:shd w:val="clear" w:color="auto" w:fill="auto"/>
            <w:vAlign w:val="bottom"/>
          </w:tcPr>
          <w:p w14:paraId="663B9D0A" w14:textId="77777777" w:rsidR="00732544" w:rsidRPr="009E7447" w:rsidRDefault="00732544" w:rsidP="00400DD1">
            <w:pPr>
              <w:pBdr>
                <w:bottom w:val="single" w:sz="6" w:space="1" w:color="auto"/>
              </w:pBdr>
              <w:spacing w:line="241" w:lineRule="auto"/>
              <w:jc w:val="center"/>
              <w:rPr>
                <w:b/>
                <w:bCs/>
                <w:sz w:val="18"/>
                <w:szCs w:val="18"/>
                <w:rtl/>
              </w:rPr>
            </w:pPr>
          </w:p>
          <w:p w14:paraId="18046446" w14:textId="77777777" w:rsidR="00732544" w:rsidRPr="009E7447" w:rsidRDefault="00732544" w:rsidP="00400DD1">
            <w:pPr>
              <w:pBdr>
                <w:bottom w:val="single" w:sz="6" w:space="1" w:color="auto"/>
              </w:pBdr>
              <w:spacing w:line="241" w:lineRule="auto"/>
              <w:jc w:val="center"/>
              <w:rPr>
                <w:b/>
                <w:bCs/>
                <w:sz w:val="18"/>
                <w:szCs w:val="18"/>
                <w:rtl/>
              </w:rPr>
            </w:pPr>
          </w:p>
          <w:p w14:paraId="7B878A86" w14:textId="77777777" w:rsidR="00732544" w:rsidRPr="009E7447" w:rsidRDefault="00732544" w:rsidP="00400DD1">
            <w:pPr>
              <w:pBdr>
                <w:bottom w:val="single" w:sz="6" w:space="1" w:color="auto"/>
              </w:pBdr>
              <w:spacing w:line="241" w:lineRule="auto"/>
              <w:jc w:val="center"/>
              <w:rPr>
                <w:b/>
                <w:bCs/>
                <w:sz w:val="18"/>
                <w:szCs w:val="18"/>
                <w:rtl/>
              </w:rPr>
            </w:pPr>
            <w:r w:rsidRPr="009E7447">
              <w:rPr>
                <w:rFonts w:hint="cs"/>
                <w:b/>
                <w:bCs/>
                <w:sz w:val="18"/>
                <w:szCs w:val="18"/>
                <w:rtl/>
              </w:rPr>
              <w:t>סה"כ</w:t>
            </w:r>
          </w:p>
        </w:tc>
      </w:tr>
      <w:tr w:rsidR="00732544" w:rsidRPr="009E7447" w14:paraId="3381C2B3"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601434E7"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u w:val="single"/>
                <w:rtl/>
                <w:lang w:eastAsia="he-IL"/>
              </w:rPr>
              <w:t>פעילות לווים בישראל</w:t>
            </w:r>
          </w:p>
        </w:tc>
        <w:tc>
          <w:tcPr>
            <w:tcW w:w="825" w:type="dxa"/>
            <w:shd w:val="clear" w:color="auto" w:fill="auto"/>
            <w:vAlign w:val="bottom"/>
          </w:tcPr>
          <w:p w14:paraId="023E7337" w14:textId="77777777" w:rsidR="00732544" w:rsidRPr="009E7447" w:rsidRDefault="00732544" w:rsidP="00400DD1">
            <w:pPr>
              <w:spacing w:line="241" w:lineRule="auto"/>
              <w:rPr>
                <w:sz w:val="18"/>
                <w:szCs w:val="18"/>
              </w:rPr>
            </w:pPr>
          </w:p>
        </w:tc>
        <w:tc>
          <w:tcPr>
            <w:tcW w:w="794" w:type="dxa"/>
            <w:shd w:val="clear" w:color="auto" w:fill="auto"/>
            <w:vAlign w:val="bottom"/>
          </w:tcPr>
          <w:p w14:paraId="30D6AAAC" w14:textId="77777777" w:rsidR="00732544" w:rsidRPr="009E7447" w:rsidRDefault="00732544" w:rsidP="00400DD1">
            <w:pPr>
              <w:spacing w:line="241" w:lineRule="auto"/>
              <w:rPr>
                <w:sz w:val="18"/>
                <w:szCs w:val="18"/>
                <w:rtl/>
              </w:rPr>
            </w:pPr>
          </w:p>
        </w:tc>
        <w:tc>
          <w:tcPr>
            <w:tcW w:w="794" w:type="dxa"/>
            <w:shd w:val="clear" w:color="auto" w:fill="auto"/>
            <w:vAlign w:val="bottom"/>
          </w:tcPr>
          <w:p w14:paraId="365E49FA" w14:textId="77777777" w:rsidR="00732544" w:rsidRPr="009E7447" w:rsidRDefault="00732544" w:rsidP="00400DD1">
            <w:pPr>
              <w:spacing w:line="241" w:lineRule="auto"/>
              <w:rPr>
                <w:sz w:val="18"/>
                <w:szCs w:val="18"/>
                <w:rtl/>
              </w:rPr>
            </w:pPr>
          </w:p>
        </w:tc>
        <w:tc>
          <w:tcPr>
            <w:tcW w:w="794" w:type="dxa"/>
            <w:shd w:val="clear" w:color="auto" w:fill="auto"/>
            <w:vAlign w:val="bottom"/>
          </w:tcPr>
          <w:p w14:paraId="5A48BCDB" w14:textId="77777777" w:rsidR="00732544" w:rsidRPr="009E7447" w:rsidRDefault="00732544" w:rsidP="00400DD1">
            <w:pPr>
              <w:spacing w:line="241" w:lineRule="auto"/>
              <w:rPr>
                <w:sz w:val="18"/>
                <w:szCs w:val="18"/>
                <w:rtl/>
              </w:rPr>
            </w:pPr>
          </w:p>
        </w:tc>
        <w:tc>
          <w:tcPr>
            <w:tcW w:w="794" w:type="dxa"/>
            <w:shd w:val="clear" w:color="auto" w:fill="auto"/>
            <w:vAlign w:val="bottom"/>
          </w:tcPr>
          <w:p w14:paraId="338210E0" w14:textId="77777777" w:rsidR="00732544" w:rsidRPr="009E7447" w:rsidRDefault="00732544" w:rsidP="00400DD1">
            <w:pPr>
              <w:spacing w:line="241" w:lineRule="auto"/>
              <w:rPr>
                <w:sz w:val="18"/>
                <w:szCs w:val="18"/>
                <w:rtl/>
              </w:rPr>
            </w:pPr>
          </w:p>
        </w:tc>
        <w:tc>
          <w:tcPr>
            <w:tcW w:w="817" w:type="dxa"/>
            <w:shd w:val="clear" w:color="auto" w:fill="auto"/>
            <w:vAlign w:val="bottom"/>
          </w:tcPr>
          <w:p w14:paraId="1FCE29C2" w14:textId="77777777" w:rsidR="00732544" w:rsidRPr="009E7447" w:rsidRDefault="00732544" w:rsidP="00400DD1">
            <w:pPr>
              <w:spacing w:line="241" w:lineRule="auto"/>
              <w:rPr>
                <w:sz w:val="18"/>
                <w:szCs w:val="18"/>
                <w:rtl/>
              </w:rPr>
            </w:pPr>
          </w:p>
        </w:tc>
        <w:tc>
          <w:tcPr>
            <w:tcW w:w="999" w:type="dxa"/>
            <w:shd w:val="clear" w:color="auto" w:fill="auto"/>
            <w:vAlign w:val="bottom"/>
          </w:tcPr>
          <w:p w14:paraId="4324BCC9" w14:textId="77777777" w:rsidR="00732544" w:rsidRPr="009E7447" w:rsidRDefault="00732544" w:rsidP="00400DD1">
            <w:pPr>
              <w:spacing w:line="241" w:lineRule="auto"/>
              <w:rPr>
                <w:sz w:val="18"/>
                <w:szCs w:val="18"/>
                <w:rtl/>
              </w:rPr>
            </w:pPr>
          </w:p>
        </w:tc>
        <w:tc>
          <w:tcPr>
            <w:tcW w:w="1531" w:type="dxa"/>
            <w:shd w:val="clear" w:color="auto" w:fill="auto"/>
            <w:vAlign w:val="bottom"/>
          </w:tcPr>
          <w:p w14:paraId="736B4588" w14:textId="77777777" w:rsidR="00732544" w:rsidRPr="009E7447" w:rsidRDefault="00732544" w:rsidP="00400DD1">
            <w:pPr>
              <w:spacing w:line="241" w:lineRule="auto"/>
              <w:rPr>
                <w:sz w:val="18"/>
                <w:szCs w:val="18"/>
                <w:rtl/>
              </w:rPr>
            </w:pPr>
          </w:p>
        </w:tc>
        <w:tc>
          <w:tcPr>
            <w:tcW w:w="859" w:type="dxa"/>
            <w:gridSpan w:val="2"/>
            <w:shd w:val="clear" w:color="auto" w:fill="auto"/>
          </w:tcPr>
          <w:p w14:paraId="75575C6D" w14:textId="77777777" w:rsidR="00732544" w:rsidRPr="009E7447" w:rsidRDefault="00732544" w:rsidP="00400DD1">
            <w:pPr>
              <w:spacing w:line="241" w:lineRule="auto"/>
              <w:rPr>
                <w:sz w:val="18"/>
                <w:szCs w:val="18"/>
                <w:rtl/>
              </w:rPr>
            </w:pPr>
          </w:p>
        </w:tc>
      </w:tr>
      <w:tr w:rsidR="00732544" w:rsidRPr="009E7447" w14:paraId="66A445BD"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141725AC" w14:textId="77777777" w:rsidR="00732544" w:rsidRPr="009E7447" w:rsidRDefault="00732544" w:rsidP="00400DD1">
            <w:pPr>
              <w:spacing w:line="241" w:lineRule="auto"/>
              <w:ind w:left="144" w:hanging="144"/>
              <w:jc w:val="left"/>
              <w:rPr>
                <w:color w:val="000000"/>
                <w:sz w:val="18"/>
                <w:szCs w:val="18"/>
                <w:u w:val="single"/>
                <w:rtl/>
                <w:lang w:eastAsia="he-IL"/>
              </w:rPr>
            </w:pPr>
            <w:r w:rsidRPr="009E7447">
              <w:rPr>
                <w:rFonts w:hint="cs"/>
                <w:color w:val="000000"/>
                <w:sz w:val="18"/>
                <w:szCs w:val="18"/>
                <w:u w:val="single"/>
                <w:rtl/>
                <w:lang w:eastAsia="he-IL"/>
              </w:rPr>
              <w:t>ציבור - מסחרי</w:t>
            </w:r>
          </w:p>
        </w:tc>
        <w:tc>
          <w:tcPr>
            <w:tcW w:w="825" w:type="dxa"/>
            <w:shd w:val="clear" w:color="auto" w:fill="auto"/>
            <w:vAlign w:val="bottom"/>
          </w:tcPr>
          <w:p w14:paraId="570CE663" w14:textId="77777777" w:rsidR="00732544" w:rsidRPr="009E7447" w:rsidRDefault="00732544" w:rsidP="00400DD1">
            <w:pPr>
              <w:spacing w:line="241" w:lineRule="auto"/>
              <w:rPr>
                <w:sz w:val="18"/>
                <w:szCs w:val="18"/>
                <w:rtl/>
              </w:rPr>
            </w:pPr>
          </w:p>
        </w:tc>
        <w:tc>
          <w:tcPr>
            <w:tcW w:w="794" w:type="dxa"/>
            <w:shd w:val="clear" w:color="auto" w:fill="auto"/>
            <w:vAlign w:val="bottom"/>
          </w:tcPr>
          <w:p w14:paraId="24EF58EE" w14:textId="77777777" w:rsidR="00732544" w:rsidRPr="009E7447" w:rsidRDefault="00732544" w:rsidP="00400DD1">
            <w:pPr>
              <w:spacing w:line="241" w:lineRule="auto"/>
              <w:rPr>
                <w:sz w:val="18"/>
                <w:szCs w:val="18"/>
                <w:rtl/>
              </w:rPr>
            </w:pPr>
          </w:p>
        </w:tc>
        <w:tc>
          <w:tcPr>
            <w:tcW w:w="794" w:type="dxa"/>
            <w:shd w:val="clear" w:color="auto" w:fill="auto"/>
            <w:vAlign w:val="bottom"/>
          </w:tcPr>
          <w:p w14:paraId="0D336AB2" w14:textId="77777777" w:rsidR="00732544" w:rsidRPr="009E7447" w:rsidRDefault="00732544" w:rsidP="00400DD1">
            <w:pPr>
              <w:spacing w:line="241" w:lineRule="auto"/>
              <w:rPr>
                <w:sz w:val="18"/>
                <w:szCs w:val="18"/>
                <w:rtl/>
              </w:rPr>
            </w:pPr>
          </w:p>
        </w:tc>
        <w:tc>
          <w:tcPr>
            <w:tcW w:w="794" w:type="dxa"/>
            <w:shd w:val="clear" w:color="auto" w:fill="auto"/>
            <w:vAlign w:val="bottom"/>
          </w:tcPr>
          <w:p w14:paraId="0890E60A" w14:textId="77777777" w:rsidR="00732544" w:rsidRPr="009E7447" w:rsidRDefault="00732544" w:rsidP="00400DD1">
            <w:pPr>
              <w:spacing w:line="241" w:lineRule="auto"/>
              <w:rPr>
                <w:sz w:val="18"/>
                <w:szCs w:val="18"/>
                <w:rtl/>
              </w:rPr>
            </w:pPr>
          </w:p>
        </w:tc>
        <w:tc>
          <w:tcPr>
            <w:tcW w:w="794" w:type="dxa"/>
            <w:shd w:val="clear" w:color="auto" w:fill="auto"/>
            <w:vAlign w:val="bottom"/>
          </w:tcPr>
          <w:p w14:paraId="39D5CA07" w14:textId="77777777" w:rsidR="00732544" w:rsidRPr="009E7447" w:rsidRDefault="00732544" w:rsidP="00400DD1">
            <w:pPr>
              <w:spacing w:line="241" w:lineRule="auto"/>
              <w:rPr>
                <w:sz w:val="18"/>
                <w:szCs w:val="18"/>
                <w:rtl/>
              </w:rPr>
            </w:pPr>
          </w:p>
        </w:tc>
        <w:tc>
          <w:tcPr>
            <w:tcW w:w="817" w:type="dxa"/>
            <w:shd w:val="clear" w:color="auto" w:fill="auto"/>
            <w:vAlign w:val="bottom"/>
          </w:tcPr>
          <w:p w14:paraId="59B43174" w14:textId="77777777" w:rsidR="00732544" w:rsidRPr="009E7447" w:rsidRDefault="00732544" w:rsidP="00400DD1">
            <w:pPr>
              <w:spacing w:line="241" w:lineRule="auto"/>
              <w:rPr>
                <w:sz w:val="18"/>
                <w:szCs w:val="18"/>
                <w:rtl/>
              </w:rPr>
            </w:pPr>
          </w:p>
        </w:tc>
        <w:tc>
          <w:tcPr>
            <w:tcW w:w="999" w:type="dxa"/>
            <w:shd w:val="clear" w:color="auto" w:fill="auto"/>
            <w:vAlign w:val="bottom"/>
          </w:tcPr>
          <w:p w14:paraId="70DA10D8" w14:textId="77777777" w:rsidR="00732544" w:rsidRPr="009E7447" w:rsidRDefault="00732544" w:rsidP="00400DD1">
            <w:pPr>
              <w:spacing w:line="241" w:lineRule="auto"/>
              <w:rPr>
                <w:sz w:val="18"/>
                <w:szCs w:val="18"/>
                <w:rtl/>
              </w:rPr>
            </w:pPr>
          </w:p>
        </w:tc>
        <w:tc>
          <w:tcPr>
            <w:tcW w:w="1531" w:type="dxa"/>
            <w:shd w:val="clear" w:color="auto" w:fill="auto"/>
            <w:vAlign w:val="bottom"/>
          </w:tcPr>
          <w:p w14:paraId="78C52946" w14:textId="77777777" w:rsidR="00732544" w:rsidRPr="009E7447" w:rsidRDefault="00732544" w:rsidP="00400DD1">
            <w:pPr>
              <w:spacing w:line="241" w:lineRule="auto"/>
              <w:rPr>
                <w:sz w:val="18"/>
                <w:szCs w:val="18"/>
                <w:rtl/>
              </w:rPr>
            </w:pPr>
          </w:p>
        </w:tc>
        <w:tc>
          <w:tcPr>
            <w:tcW w:w="859" w:type="dxa"/>
            <w:gridSpan w:val="2"/>
            <w:shd w:val="clear" w:color="auto" w:fill="auto"/>
          </w:tcPr>
          <w:p w14:paraId="3ECD578B" w14:textId="77777777" w:rsidR="00732544" w:rsidRPr="009E7447" w:rsidRDefault="00732544" w:rsidP="00400DD1">
            <w:pPr>
              <w:spacing w:line="241" w:lineRule="auto"/>
              <w:rPr>
                <w:sz w:val="18"/>
                <w:szCs w:val="18"/>
                <w:rtl/>
              </w:rPr>
            </w:pPr>
          </w:p>
        </w:tc>
      </w:tr>
      <w:tr w:rsidR="00732544" w:rsidRPr="009E7447" w14:paraId="1A5BEF5F"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4714401F" w14:textId="77777777" w:rsidR="00732544" w:rsidRPr="009E7447" w:rsidRDefault="00732544" w:rsidP="00400DD1">
            <w:pPr>
              <w:spacing w:line="241" w:lineRule="auto"/>
              <w:ind w:left="144" w:hanging="144"/>
              <w:jc w:val="left"/>
              <w:rPr>
                <w:b/>
                <w:bCs/>
                <w:color w:val="000000"/>
                <w:sz w:val="18"/>
                <w:szCs w:val="18"/>
                <w:rtl/>
                <w:lang w:eastAsia="he-IL"/>
              </w:rPr>
            </w:pPr>
            <w:r w:rsidRPr="009E7447">
              <w:rPr>
                <w:rFonts w:hint="cs"/>
                <w:b/>
                <w:bCs/>
                <w:color w:val="000000"/>
                <w:sz w:val="18"/>
                <w:szCs w:val="18"/>
                <w:rtl/>
                <w:lang w:eastAsia="he-IL"/>
              </w:rPr>
              <w:t>בינוי ונדל"ן – סה"כ</w:t>
            </w:r>
          </w:p>
        </w:tc>
        <w:tc>
          <w:tcPr>
            <w:tcW w:w="825" w:type="dxa"/>
            <w:shd w:val="clear" w:color="auto" w:fill="auto"/>
            <w:vAlign w:val="bottom"/>
            <w:hideMark/>
          </w:tcPr>
          <w:p w14:paraId="6EECC4A5"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shd w:val="clear" w:color="auto" w:fill="auto"/>
            <w:vAlign w:val="bottom"/>
            <w:hideMark/>
          </w:tcPr>
          <w:p w14:paraId="0C40D08D"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shd w:val="clear" w:color="auto" w:fill="auto"/>
            <w:vAlign w:val="bottom"/>
            <w:hideMark/>
          </w:tcPr>
          <w:p w14:paraId="2D8D6633"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shd w:val="clear" w:color="auto" w:fill="auto"/>
            <w:vAlign w:val="bottom"/>
            <w:hideMark/>
          </w:tcPr>
          <w:p w14:paraId="2496761D"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shd w:val="clear" w:color="auto" w:fill="auto"/>
            <w:vAlign w:val="bottom"/>
            <w:hideMark/>
          </w:tcPr>
          <w:p w14:paraId="3B3E0A3B"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817" w:type="dxa"/>
            <w:shd w:val="clear" w:color="auto" w:fill="auto"/>
            <w:vAlign w:val="bottom"/>
            <w:hideMark/>
          </w:tcPr>
          <w:p w14:paraId="561B4F27"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999" w:type="dxa"/>
            <w:shd w:val="clear" w:color="auto" w:fill="auto"/>
            <w:vAlign w:val="bottom"/>
            <w:hideMark/>
          </w:tcPr>
          <w:p w14:paraId="70B85D36"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1531" w:type="dxa"/>
            <w:shd w:val="clear" w:color="auto" w:fill="auto"/>
            <w:vAlign w:val="bottom"/>
            <w:hideMark/>
          </w:tcPr>
          <w:p w14:paraId="6BDCDCD9"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859" w:type="dxa"/>
            <w:gridSpan w:val="2"/>
            <w:shd w:val="clear" w:color="auto" w:fill="auto"/>
            <w:vAlign w:val="bottom"/>
            <w:hideMark/>
          </w:tcPr>
          <w:p w14:paraId="131150F8"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r>
      <w:tr w:rsidR="00732544" w:rsidRPr="009E7447" w14:paraId="03A304E2"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53FAC89B" w14:textId="77777777" w:rsidR="00732544" w:rsidRPr="009E7447" w:rsidRDefault="00732544" w:rsidP="00400DD1">
            <w:pPr>
              <w:spacing w:line="200" w:lineRule="exact"/>
              <w:ind w:left="144" w:right="144" w:hanging="144"/>
              <w:jc w:val="left"/>
              <w:rPr>
                <w:color w:val="000000"/>
                <w:sz w:val="18"/>
                <w:szCs w:val="18"/>
                <w:rtl/>
                <w:lang w:eastAsia="he-IL"/>
              </w:rPr>
            </w:pPr>
            <w:r w:rsidRPr="009E7447">
              <w:rPr>
                <w:rFonts w:hint="cs"/>
                <w:color w:val="000000"/>
                <w:sz w:val="18"/>
                <w:szCs w:val="18"/>
                <w:rtl/>
                <w:lang w:eastAsia="he-IL"/>
              </w:rPr>
              <w:t>אשראי בדירוג ביצוע</w:t>
            </w:r>
          </w:p>
        </w:tc>
        <w:tc>
          <w:tcPr>
            <w:tcW w:w="825" w:type="dxa"/>
            <w:shd w:val="clear" w:color="auto" w:fill="auto"/>
            <w:vAlign w:val="bottom"/>
            <w:hideMark/>
          </w:tcPr>
          <w:p w14:paraId="56EECBE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2210745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6C4B31B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1BC062ED"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3E9FDF5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1648AE4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7D52BC2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6A09D0C7"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159B589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58F44745"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1FFF0C06"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בדירוג ביצוע ואינו בעייתי</w:t>
            </w:r>
          </w:p>
        </w:tc>
        <w:tc>
          <w:tcPr>
            <w:tcW w:w="825" w:type="dxa"/>
            <w:shd w:val="clear" w:color="auto" w:fill="auto"/>
            <w:vAlign w:val="bottom"/>
            <w:hideMark/>
          </w:tcPr>
          <w:p w14:paraId="167D055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5541C4A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5722E8ED"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714EC24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757F48F9"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2F1F60F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61D8660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45CE38F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136D08B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648A81DA"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2E5F0666"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בעייתי צובר</w:t>
            </w:r>
          </w:p>
        </w:tc>
        <w:tc>
          <w:tcPr>
            <w:tcW w:w="825" w:type="dxa"/>
            <w:shd w:val="clear" w:color="auto" w:fill="auto"/>
            <w:vAlign w:val="bottom"/>
            <w:hideMark/>
          </w:tcPr>
          <w:p w14:paraId="0E8532D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26FC86B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40C9438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043016C4"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43E621B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6EA73786"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200A00A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3AC89D07"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3D3CE784"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66371742"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30A46C4D"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צובר</w:t>
            </w:r>
          </w:p>
        </w:tc>
        <w:tc>
          <w:tcPr>
            <w:tcW w:w="825" w:type="dxa"/>
            <w:tcBorders>
              <w:top w:val="nil"/>
              <w:left w:val="nil"/>
              <w:bottom w:val="single" w:sz="8" w:space="0" w:color="auto"/>
              <w:right w:val="nil"/>
            </w:tcBorders>
            <w:shd w:val="clear" w:color="auto" w:fill="auto"/>
            <w:vAlign w:val="bottom"/>
            <w:hideMark/>
          </w:tcPr>
          <w:p w14:paraId="2EDB933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8" w:space="0" w:color="auto"/>
              <w:right w:val="nil"/>
            </w:tcBorders>
            <w:shd w:val="clear" w:color="auto" w:fill="auto"/>
            <w:vAlign w:val="bottom"/>
            <w:hideMark/>
          </w:tcPr>
          <w:p w14:paraId="38ABD5F6"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8" w:space="0" w:color="auto"/>
              <w:right w:val="nil"/>
            </w:tcBorders>
            <w:shd w:val="clear" w:color="auto" w:fill="auto"/>
            <w:vAlign w:val="bottom"/>
            <w:hideMark/>
          </w:tcPr>
          <w:p w14:paraId="333C198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8" w:space="0" w:color="auto"/>
              <w:right w:val="nil"/>
            </w:tcBorders>
            <w:shd w:val="clear" w:color="auto" w:fill="auto"/>
            <w:vAlign w:val="bottom"/>
            <w:hideMark/>
          </w:tcPr>
          <w:p w14:paraId="23AD389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8" w:space="0" w:color="auto"/>
              <w:right w:val="nil"/>
            </w:tcBorders>
            <w:shd w:val="clear" w:color="auto" w:fill="auto"/>
            <w:vAlign w:val="bottom"/>
            <w:hideMark/>
          </w:tcPr>
          <w:p w14:paraId="4761218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tcBorders>
              <w:top w:val="nil"/>
              <w:left w:val="nil"/>
              <w:bottom w:val="single" w:sz="8" w:space="0" w:color="auto"/>
              <w:right w:val="nil"/>
            </w:tcBorders>
            <w:shd w:val="clear" w:color="auto" w:fill="auto"/>
            <w:vAlign w:val="bottom"/>
            <w:hideMark/>
          </w:tcPr>
          <w:p w14:paraId="744FC04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tcBorders>
              <w:top w:val="nil"/>
              <w:left w:val="nil"/>
              <w:bottom w:val="single" w:sz="8" w:space="0" w:color="auto"/>
              <w:right w:val="nil"/>
            </w:tcBorders>
            <w:shd w:val="clear" w:color="auto" w:fill="auto"/>
            <w:vAlign w:val="bottom"/>
            <w:hideMark/>
          </w:tcPr>
          <w:p w14:paraId="3290899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tcBorders>
              <w:top w:val="nil"/>
              <w:left w:val="nil"/>
              <w:bottom w:val="single" w:sz="8" w:space="0" w:color="auto"/>
              <w:right w:val="nil"/>
            </w:tcBorders>
            <w:shd w:val="clear" w:color="auto" w:fill="auto"/>
            <w:vAlign w:val="bottom"/>
            <w:hideMark/>
          </w:tcPr>
          <w:p w14:paraId="6DFBFE76"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tcBorders>
              <w:top w:val="nil"/>
              <w:left w:val="nil"/>
              <w:bottom w:val="single" w:sz="8" w:space="0" w:color="auto"/>
              <w:right w:val="nil"/>
            </w:tcBorders>
            <w:shd w:val="clear" w:color="auto" w:fill="auto"/>
            <w:vAlign w:val="bottom"/>
            <w:hideMark/>
          </w:tcPr>
          <w:p w14:paraId="775DD81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784BAA40"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6A842E65" w14:textId="77777777" w:rsidR="00732544" w:rsidRPr="009E7447" w:rsidRDefault="00732544" w:rsidP="00400DD1">
            <w:pPr>
              <w:ind w:left="79" w:hanging="79"/>
              <w:jc w:val="left"/>
              <w:rPr>
                <w:color w:val="000000"/>
                <w:sz w:val="18"/>
                <w:szCs w:val="18"/>
                <w:rtl/>
                <w:lang w:eastAsia="he-IL"/>
              </w:rPr>
            </w:pPr>
            <w:r w:rsidRPr="009E7447">
              <w:rPr>
                <w:rFonts w:hint="cs"/>
                <w:b/>
                <w:bCs/>
                <w:color w:val="000000"/>
                <w:sz w:val="18"/>
                <w:szCs w:val="18"/>
                <w:rtl/>
                <w:lang w:eastAsia="he-IL"/>
              </w:rPr>
              <w:t xml:space="preserve">מסחרי – אחר – סה"כ </w:t>
            </w:r>
          </w:p>
        </w:tc>
        <w:tc>
          <w:tcPr>
            <w:tcW w:w="825" w:type="dxa"/>
            <w:tcBorders>
              <w:top w:val="single" w:sz="8" w:space="0" w:color="auto"/>
              <w:left w:val="nil"/>
              <w:bottom w:val="nil"/>
              <w:right w:val="nil"/>
            </w:tcBorders>
            <w:shd w:val="clear" w:color="auto" w:fill="auto"/>
            <w:vAlign w:val="bottom"/>
            <w:hideMark/>
          </w:tcPr>
          <w:p w14:paraId="6BF4B659" w14:textId="77777777" w:rsidR="00732544" w:rsidRPr="009E7447" w:rsidRDefault="00732544" w:rsidP="00400DD1">
            <w:pPr>
              <w:spacing w:line="241" w:lineRule="auto"/>
              <w:rPr>
                <w:b/>
                <w:bCs/>
                <w:sz w:val="18"/>
                <w:szCs w:val="18"/>
              </w:rPr>
            </w:pPr>
            <w:r w:rsidRPr="009E7447">
              <w:rPr>
                <w:b/>
                <w:bCs/>
                <w:sz w:val="18"/>
                <w:szCs w:val="18"/>
                <w:rtl/>
              </w:rPr>
              <w:t xml:space="preserve"> </w:t>
            </w:r>
            <w:r w:rsidRPr="009E7447">
              <w:rPr>
                <w:rFonts w:hint="cs"/>
                <w:b/>
                <w:bCs/>
                <w:sz w:val="18"/>
                <w:szCs w:val="18"/>
                <w:rtl/>
              </w:rPr>
              <w:t>0</w:t>
            </w:r>
          </w:p>
        </w:tc>
        <w:tc>
          <w:tcPr>
            <w:tcW w:w="794" w:type="dxa"/>
            <w:tcBorders>
              <w:top w:val="single" w:sz="8" w:space="0" w:color="auto"/>
              <w:left w:val="nil"/>
              <w:bottom w:val="nil"/>
              <w:right w:val="nil"/>
            </w:tcBorders>
            <w:shd w:val="clear" w:color="auto" w:fill="auto"/>
            <w:vAlign w:val="bottom"/>
            <w:hideMark/>
          </w:tcPr>
          <w:p w14:paraId="2604767C"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tcBorders>
              <w:top w:val="single" w:sz="8" w:space="0" w:color="auto"/>
              <w:left w:val="nil"/>
              <w:bottom w:val="nil"/>
              <w:right w:val="nil"/>
            </w:tcBorders>
            <w:shd w:val="clear" w:color="auto" w:fill="auto"/>
            <w:vAlign w:val="bottom"/>
            <w:hideMark/>
          </w:tcPr>
          <w:p w14:paraId="14423A28" w14:textId="77777777" w:rsidR="00732544" w:rsidRPr="009E7447" w:rsidRDefault="00732544" w:rsidP="00400DD1">
            <w:pPr>
              <w:spacing w:line="241" w:lineRule="auto"/>
              <w:rPr>
                <w:b/>
                <w:bCs/>
                <w:sz w:val="18"/>
                <w:szCs w:val="18"/>
              </w:rPr>
            </w:pPr>
            <w:r w:rsidRPr="009E7447">
              <w:rPr>
                <w:b/>
                <w:bCs/>
                <w:sz w:val="18"/>
                <w:szCs w:val="18"/>
                <w:rtl/>
              </w:rPr>
              <w:t xml:space="preserve"> </w:t>
            </w:r>
            <w:r w:rsidRPr="009E7447">
              <w:rPr>
                <w:rFonts w:hint="cs"/>
                <w:b/>
                <w:bCs/>
                <w:sz w:val="18"/>
                <w:szCs w:val="18"/>
                <w:rtl/>
              </w:rPr>
              <w:t>0</w:t>
            </w:r>
          </w:p>
        </w:tc>
        <w:tc>
          <w:tcPr>
            <w:tcW w:w="794" w:type="dxa"/>
            <w:tcBorders>
              <w:top w:val="single" w:sz="8" w:space="0" w:color="auto"/>
              <w:left w:val="nil"/>
              <w:bottom w:val="nil"/>
              <w:right w:val="nil"/>
            </w:tcBorders>
            <w:shd w:val="clear" w:color="auto" w:fill="auto"/>
            <w:vAlign w:val="bottom"/>
            <w:hideMark/>
          </w:tcPr>
          <w:p w14:paraId="4BBDD278"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tcBorders>
              <w:top w:val="single" w:sz="8" w:space="0" w:color="auto"/>
              <w:left w:val="nil"/>
              <w:bottom w:val="nil"/>
              <w:right w:val="nil"/>
            </w:tcBorders>
            <w:shd w:val="clear" w:color="auto" w:fill="auto"/>
            <w:vAlign w:val="bottom"/>
            <w:hideMark/>
          </w:tcPr>
          <w:p w14:paraId="4C401970"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817" w:type="dxa"/>
            <w:tcBorders>
              <w:top w:val="single" w:sz="8" w:space="0" w:color="auto"/>
              <w:left w:val="nil"/>
              <w:bottom w:val="nil"/>
              <w:right w:val="nil"/>
            </w:tcBorders>
            <w:shd w:val="clear" w:color="auto" w:fill="auto"/>
            <w:vAlign w:val="bottom"/>
            <w:hideMark/>
          </w:tcPr>
          <w:p w14:paraId="521CC157"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999" w:type="dxa"/>
            <w:tcBorders>
              <w:top w:val="single" w:sz="8" w:space="0" w:color="auto"/>
              <w:left w:val="nil"/>
              <w:bottom w:val="nil"/>
              <w:right w:val="nil"/>
            </w:tcBorders>
            <w:shd w:val="clear" w:color="auto" w:fill="auto"/>
            <w:vAlign w:val="bottom"/>
            <w:hideMark/>
          </w:tcPr>
          <w:p w14:paraId="343216C6"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1531" w:type="dxa"/>
            <w:tcBorders>
              <w:top w:val="single" w:sz="8" w:space="0" w:color="auto"/>
              <w:left w:val="nil"/>
              <w:bottom w:val="nil"/>
              <w:right w:val="nil"/>
            </w:tcBorders>
            <w:shd w:val="clear" w:color="auto" w:fill="auto"/>
            <w:vAlign w:val="bottom"/>
            <w:hideMark/>
          </w:tcPr>
          <w:p w14:paraId="00A0808D"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859" w:type="dxa"/>
            <w:gridSpan w:val="2"/>
            <w:tcBorders>
              <w:top w:val="single" w:sz="8" w:space="0" w:color="auto"/>
              <w:left w:val="nil"/>
              <w:bottom w:val="nil"/>
              <w:right w:val="nil"/>
            </w:tcBorders>
            <w:shd w:val="clear" w:color="auto" w:fill="auto"/>
            <w:vAlign w:val="bottom"/>
            <w:hideMark/>
          </w:tcPr>
          <w:p w14:paraId="287053CD"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r>
      <w:tr w:rsidR="00732544" w:rsidRPr="009E7447" w14:paraId="00DC126C"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09CF493C" w14:textId="77777777" w:rsidR="00732544" w:rsidRPr="009E7447" w:rsidRDefault="00732544" w:rsidP="00400DD1">
            <w:pPr>
              <w:spacing w:line="200" w:lineRule="exact"/>
              <w:ind w:left="78" w:right="144" w:hanging="78"/>
              <w:jc w:val="left"/>
              <w:rPr>
                <w:color w:val="000000"/>
                <w:sz w:val="18"/>
                <w:szCs w:val="18"/>
                <w:rtl/>
                <w:lang w:eastAsia="he-IL"/>
              </w:rPr>
            </w:pPr>
            <w:r w:rsidRPr="009E7447">
              <w:rPr>
                <w:rFonts w:hint="cs"/>
                <w:color w:val="000000"/>
                <w:sz w:val="18"/>
                <w:szCs w:val="18"/>
                <w:rtl/>
                <w:lang w:eastAsia="he-IL"/>
              </w:rPr>
              <w:t>אשראי בדירוג ביצוע</w:t>
            </w:r>
          </w:p>
        </w:tc>
        <w:tc>
          <w:tcPr>
            <w:tcW w:w="825" w:type="dxa"/>
            <w:shd w:val="clear" w:color="auto" w:fill="auto"/>
            <w:vAlign w:val="bottom"/>
            <w:hideMark/>
          </w:tcPr>
          <w:p w14:paraId="703934EC" w14:textId="77777777" w:rsidR="00732544" w:rsidRPr="009E7447" w:rsidRDefault="00732544" w:rsidP="00400DD1">
            <w:pPr>
              <w:spacing w:line="241" w:lineRule="auto"/>
              <w:rPr>
                <w:sz w:val="18"/>
                <w:szCs w:val="18"/>
              </w:rPr>
            </w:pPr>
            <w:r w:rsidRPr="009E7447">
              <w:rPr>
                <w:rFonts w:hint="cs"/>
                <w:sz w:val="18"/>
                <w:szCs w:val="18"/>
                <w:rtl/>
              </w:rPr>
              <w:t xml:space="preserve"> 0</w:t>
            </w:r>
          </w:p>
        </w:tc>
        <w:tc>
          <w:tcPr>
            <w:tcW w:w="794" w:type="dxa"/>
            <w:shd w:val="clear" w:color="auto" w:fill="auto"/>
            <w:vAlign w:val="bottom"/>
            <w:hideMark/>
          </w:tcPr>
          <w:p w14:paraId="5DB02F6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4B1865CD"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0206575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4850A334"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5891E77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706AC94D"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4BB98AD4"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280FCA99"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74CDB2E4"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15BB6D9D" w14:textId="77777777" w:rsidR="00732544" w:rsidRPr="009E7447" w:rsidRDefault="00732544" w:rsidP="00400DD1">
            <w:pPr>
              <w:spacing w:line="200" w:lineRule="exact"/>
              <w:ind w:right="144"/>
              <w:jc w:val="left"/>
              <w:rPr>
                <w:color w:val="000000"/>
                <w:sz w:val="18"/>
                <w:szCs w:val="18"/>
                <w:rtl/>
                <w:lang w:eastAsia="he-IL"/>
              </w:rPr>
            </w:pPr>
            <w:r w:rsidRPr="009E7447">
              <w:rPr>
                <w:rFonts w:hint="cs"/>
                <w:color w:val="000000"/>
                <w:sz w:val="18"/>
                <w:szCs w:val="18"/>
                <w:rtl/>
                <w:lang w:eastAsia="he-IL"/>
              </w:rPr>
              <w:t>אשראי שאינו בדירוג ביצוע ואינו בעייתי</w:t>
            </w:r>
          </w:p>
        </w:tc>
        <w:tc>
          <w:tcPr>
            <w:tcW w:w="825" w:type="dxa"/>
            <w:shd w:val="clear" w:color="auto" w:fill="auto"/>
            <w:vAlign w:val="bottom"/>
            <w:hideMark/>
          </w:tcPr>
          <w:p w14:paraId="5268D23D"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1A5647F7"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7B1389C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37994FDD"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0F99B086"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1615B2FD"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5980512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2AB521D3"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01DF766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0817EE34"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1254C97F" w14:textId="77777777" w:rsidR="00732544" w:rsidRPr="009E7447" w:rsidRDefault="00732544" w:rsidP="00400DD1">
            <w:pPr>
              <w:spacing w:line="200" w:lineRule="exact"/>
              <w:ind w:left="78" w:hanging="78"/>
              <w:jc w:val="left"/>
              <w:rPr>
                <w:b/>
                <w:bCs/>
                <w:color w:val="000000"/>
                <w:sz w:val="18"/>
                <w:szCs w:val="18"/>
                <w:rtl/>
                <w:lang w:eastAsia="he-IL"/>
              </w:rPr>
            </w:pPr>
            <w:r w:rsidRPr="009E7447">
              <w:rPr>
                <w:rFonts w:hint="cs"/>
                <w:color w:val="000000"/>
                <w:sz w:val="18"/>
                <w:szCs w:val="18"/>
                <w:rtl/>
                <w:lang w:eastAsia="he-IL"/>
              </w:rPr>
              <w:t>אשראי בעייתי צובר</w:t>
            </w:r>
          </w:p>
        </w:tc>
        <w:tc>
          <w:tcPr>
            <w:tcW w:w="825" w:type="dxa"/>
            <w:shd w:val="clear" w:color="auto" w:fill="auto"/>
            <w:vAlign w:val="bottom"/>
            <w:hideMark/>
          </w:tcPr>
          <w:p w14:paraId="59C2D07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21C57D4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306461F7"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160F11A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5B251419"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3880FA8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47178853"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6CD5A0F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5A8DAC4D"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17605926"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1919E768" w14:textId="77777777" w:rsidR="00732544" w:rsidRPr="009E7447" w:rsidRDefault="00732544" w:rsidP="00400DD1">
            <w:pPr>
              <w:spacing w:line="200" w:lineRule="exact"/>
              <w:ind w:left="144" w:right="144" w:hanging="144"/>
              <w:jc w:val="left"/>
              <w:rPr>
                <w:b/>
                <w:bCs/>
                <w:color w:val="000000"/>
                <w:sz w:val="18"/>
                <w:szCs w:val="18"/>
                <w:rtl/>
                <w:lang w:eastAsia="he-IL"/>
              </w:rPr>
            </w:pPr>
            <w:r w:rsidRPr="009E7447">
              <w:rPr>
                <w:rFonts w:hint="cs"/>
                <w:color w:val="000000"/>
                <w:sz w:val="18"/>
                <w:szCs w:val="18"/>
                <w:rtl/>
                <w:lang w:eastAsia="he-IL"/>
              </w:rPr>
              <w:t>אשראי שאינו צובר</w:t>
            </w:r>
          </w:p>
        </w:tc>
        <w:tc>
          <w:tcPr>
            <w:tcW w:w="825" w:type="dxa"/>
            <w:tcBorders>
              <w:top w:val="nil"/>
              <w:left w:val="nil"/>
              <w:bottom w:val="single" w:sz="8" w:space="0" w:color="auto"/>
              <w:right w:val="nil"/>
            </w:tcBorders>
            <w:shd w:val="clear" w:color="auto" w:fill="auto"/>
            <w:vAlign w:val="bottom"/>
            <w:hideMark/>
          </w:tcPr>
          <w:p w14:paraId="11CF423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8" w:space="0" w:color="auto"/>
              <w:right w:val="nil"/>
            </w:tcBorders>
            <w:shd w:val="clear" w:color="auto" w:fill="auto"/>
            <w:vAlign w:val="bottom"/>
            <w:hideMark/>
          </w:tcPr>
          <w:p w14:paraId="572B419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8" w:space="0" w:color="auto"/>
              <w:right w:val="nil"/>
            </w:tcBorders>
            <w:shd w:val="clear" w:color="auto" w:fill="auto"/>
            <w:vAlign w:val="bottom"/>
            <w:hideMark/>
          </w:tcPr>
          <w:p w14:paraId="31803E5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8" w:space="0" w:color="auto"/>
              <w:right w:val="nil"/>
            </w:tcBorders>
            <w:shd w:val="clear" w:color="auto" w:fill="auto"/>
            <w:vAlign w:val="bottom"/>
            <w:hideMark/>
          </w:tcPr>
          <w:p w14:paraId="1FE5169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8" w:space="0" w:color="auto"/>
              <w:right w:val="nil"/>
            </w:tcBorders>
            <w:shd w:val="clear" w:color="auto" w:fill="auto"/>
            <w:vAlign w:val="bottom"/>
            <w:hideMark/>
          </w:tcPr>
          <w:p w14:paraId="32A10137"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tcBorders>
              <w:top w:val="nil"/>
              <w:left w:val="nil"/>
              <w:bottom w:val="single" w:sz="8" w:space="0" w:color="auto"/>
              <w:right w:val="nil"/>
            </w:tcBorders>
            <w:shd w:val="clear" w:color="auto" w:fill="auto"/>
            <w:vAlign w:val="bottom"/>
            <w:hideMark/>
          </w:tcPr>
          <w:p w14:paraId="65B86AB4"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tcBorders>
              <w:top w:val="nil"/>
              <w:left w:val="nil"/>
              <w:bottom w:val="single" w:sz="8" w:space="0" w:color="auto"/>
              <w:right w:val="nil"/>
            </w:tcBorders>
            <w:shd w:val="clear" w:color="auto" w:fill="auto"/>
            <w:vAlign w:val="bottom"/>
            <w:hideMark/>
          </w:tcPr>
          <w:p w14:paraId="6EE25F6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tcBorders>
              <w:top w:val="nil"/>
              <w:left w:val="nil"/>
              <w:bottom w:val="single" w:sz="8" w:space="0" w:color="auto"/>
              <w:right w:val="nil"/>
            </w:tcBorders>
            <w:shd w:val="clear" w:color="auto" w:fill="auto"/>
            <w:vAlign w:val="bottom"/>
            <w:hideMark/>
          </w:tcPr>
          <w:p w14:paraId="7D737884"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tcBorders>
              <w:top w:val="nil"/>
              <w:left w:val="nil"/>
              <w:bottom w:val="single" w:sz="8" w:space="0" w:color="auto"/>
              <w:right w:val="nil"/>
            </w:tcBorders>
            <w:shd w:val="clear" w:color="auto" w:fill="auto"/>
            <w:vAlign w:val="bottom"/>
            <w:hideMark/>
          </w:tcPr>
          <w:p w14:paraId="51E3487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74DF8DBA"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6648BEB3" w14:textId="77777777" w:rsidR="00732544" w:rsidRPr="009E7447" w:rsidRDefault="00732544" w:rsidP="00400DD1">
            <w:pPr>
              <w:spacing w:line="200" w:lineRule="exact"/>
              <w:ind w:left="142" w:right="142" w:hanging="142"/>
              <w:jc w:val="left"/>
              <w:rPr>
                <w:b/>
                <w:bCs/>
                <w:color w:val="000000"/>
                <w:sz w:val="18"/>
                <w:szCs w:val="18"/>
                <w:rtl/>
                <w:lang w:eastAsia="he-IL"/>
              </w:rPr>
            </w:pPr>
            <w:r w:rsidRPr="009E7447">
              <w:rPr>
                <w:rFonts w:hint="cs"/>
                <w:b/>
                <w:bCs/>
                <w:color w:val="000000"/>
                <w:sz w:val="18"/>
                <w:szCs w:val="18"/>
                <w:rtl/>
                <w:lang w:eastAsia="he-IL"/>
              </w:rPr>
              <w:t>אנשים פרטיים – הלוואות לדיור – סה"כ</w:t>
            </w:r>
          </w:p>
        </w:tc>
        <w:tc>
          <w:tcPr>
            <w:tcW w:w="825" w:type="dxa"/>
            <w:tcBorders>
              <w:top w:val="single" w:sz="8" w:space="0" w:color="auto"/>
              <w:left w:val="nil"/>
              <w:bottom w:val="nil"/>
              <w:right w:val="nil"/>
            </w:tcBorders>
            <w:shd w:val="clear" w:color="auto" w:fill="auto"/>
            <w:vAlign w:val="bottom"/>
            <w:hideMark/>
          </w:tcPr>
          <w:p w14:paraId="0FC8C633"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tcBorders>
              <w:top w:val="single" w:sz="8" w:space="0" w:color="auto"/>
              <w:left w:val="nil"/>
              <w:bottom w:val="nil"/>
              <w:right w:val="nil"/>
            </w:tcBorders>
            <w:shd w:val="clear" w:color="auto" w:fill="auto"/>
            <w:vAlign w:val="bottom"/>
            <w:hideMark/>
          </w:tcPr>
          <w:p w14:paraId="24685EF5"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tcBorders>
              <w:top w:val="single" w:sz="8" w:space="0" w:color="auto"/>
              <w:left w:val="nil"/>
              <w:bottom w:val="nil"/>
              <w:right w:val="nil"/>
            </w:tcBorders>
            <w:shd w:val="clear" w:color="auto" w:fill="auto"/>
            <w:vAlign w:val="bottom"/>
            <w:hideMark/>
          </w:tcPr>
          <w:p w14:paraId="530F9AF8"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tcBorders>
              <w:top w:val="single" w:sz="8" w:space="0" w:color="auto"/>
              <w:left w:val="nil"/>
              <w:bottom w:val="nil"/>
              <w:right w:val="nil"/>
            </w:tcBorders>
            <w:shd w:val="clear" w:color="auto" w:fill="auto"/>
            <w:vAlign w:val="bottom"/>
            <w:hideMark/>
          </w:tcPr>
          <w:p w14:paraId="18B8FE41"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794" w:type="dxa"/>
            <w:tcBorders>
              <w:top w:val="single" w:sz="8" w:space="0" w:color="auto"/>
              <w:left w:val="nil"/>
              <w:bottom w:val="nil"/>
              <w:right w:val="nil"/>
            </w:tcBorders>
            <w:shd w:val="clear" w:color="auto" w:fill="auto"/>
            <w:vAlign w:val="bottom"/>
            <w:hideMark/>
          </w:tcPr>
          <w:p w14:paraId="0BFEB525"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817" w:type="dxa"/>
            <w:tcBorders>
              <w:top w:val="single" w:sz="8" w:space="0" w:color="auto"/>
              <w:left w:val="nil"/>
              <w:bottom w:val="nil"/>
              <w:right w:val="nil"/>
            </w:tcBorders>
            <w:shd w:val="clear" w:color="auto" w:fill="auto"/>
            <w:vAlign w:val="bottom"/>
            <w:hideMark/>
          </w:tcPr>
          <w:p w14:paraId="45780264"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999" w:type="dxa"/>
            <w:tcBorders>
              <w:top w:val="single" w:sz="8" w:space="0" w:color="auto"/>
              <w:left w:val="nil"/>
              <w:bottom w:val="nil"/>
              <w:right w:val="nil"/>
            </w:tcBorders>
            <w:shd w:val="clear" w:color="auto" w:fill="auto"/>
            <w:vAlign w:val="bottom"/>
            <w:hideMark/>
          </w:tcPr>
          <w:p w14:paraId="280087C7"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1531" w:type="dxa"/>
            <w:tcBorders>
              <w:top w:val="single" w:sz="8" w:space="0" w:color="auto"/>
              <w:left w:val="nil"/>
              <w:bottom w:val="nil"/>
              <w:right w:val="nil"/>
            </w:tcBorders>
            <w:shd w:val="clear" w:color="auto" w:fill="auto"/>
            <w:vAlign w:val="bottom"/>
            <w:hideMark/>
          </w:tcPr>
          <w:p w14:paraId="3765A1C7"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c>
          <w:tcPr>
            <w:tcW w:w="859" w:type="dxa"/>
            <w:gridSpan w:val="2"/>
            <w:tcBorders>
              <w:top w:val="single" w:sz="8" w:space="0" w:color="auto"/>
              <w:left w:val="nil"/>
              <w:bottom w:val="nil"/>
              <w:right w:val="nil"/>
            </w:tcBorders>
            <w:shd w:val="clear" w:color="auto" w:fill="auto"/>
            <w:vAlign w:val="bottom"/>
            <w:hideMark/>
          </w:tcPr>
          <w:p w14:paraId="50FC29E1" w14:textId="77777777" w:rsidR="00732544" w:rsidRPr="009E7447" w:rsidRDefault="00732544" w:rsidP="00400DD1">
            <w:pPr>
              <w:spacing w:line="241" w:lineRule="auto"/>
              <w:rPr>
                <w:b/>
                <w:bCs/>
                <w:sz w:val="18"/>
                <w:szCs w:val="18"/>
                <w:rtl/>
              </w:rPr>
            </w:pPr>
            <w:r w:rsidRPr="009E7447">
              <w:rPr>
                <w:rFonts w:hint="cs"/>
                <w:b/>
                <w:bCs/>
                <w:sz w:val="18"/>
                <w:szCs w:val="18"/>
                <w:rtl/>
              </w:rPr>
              <w:t xml:space="preserve"> 0</w:t>
            </w:r>
          </w:p>
        </w:tc>
      </w:tr>
      <w:tr w:rsidR="00732544" w:rsidRPr="009E7447" w14:paraId="285EFD42"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3F4D157A" w14:textId="77777777" w:rsidR="00732544" w:rsidRPr="009E7447" w:rsidRDefault="00732544" w:rsidP="00400DD1">
            <w:pPr>
              <w:spacing w:line="241" w:lineRule="auto"/>
              <w:ind w:left="144" w:hanging="144"/>
              <w:jc w:val="left"/>
              <w:rPr>
                <w:color w:val="000000"/>
                <w:sz w:val="18"/>
                <w:szCs w:val="18"/>
                <w:rtl/>
                <w:lang w:eastAsia="he-IL"/>
              </w:rPr>
            </w:pPr>
            <w:r w:rsidRPr="009E7447">
              <w:rPr>
                <w:color w:val="000000"/>
                <w:sz w:val="18"/>
                <w:szCs w:val="18"/>
                <w:lang w:eastAsia="he-IL"/>
              </w:rPr>
              <w:t>LTV</w:t>
            </w:r>
            <w:r w:rsidRPr="009E7447">
              <w:rPr>
                <w:rFonts w:hint="cs"/>
                <w:color w:val="000000"/>
                <w:sz w:val="18"/>
                <w:szCs w:val="18"/>
                <w:rtl/>
                <w:lang w:eastAsia="he-IL"/>
              </w:rPr>
              <w:t xml:space="preserve"> עד 60%</w:t>
            </w:r>
          </w:p>
        </w:tc>
        <w:tc>
          <w:tcPr>
            <w:tcW w:w="825" w:type="dxa"/>
            <w:shd w:val="clear" w:color="auto" w:fill="auto"/>
            <w:vAlign w:val="bottom"/>
            <w:hideMark/>
          </w:tcPr>
          <w:p w14:paraId="0B3DBB5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5A49DB04"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5E64086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3EA47E5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478EA3C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462E8FB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034B573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7C5C96C3"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0710BE3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57D853DB"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5F26914F" w14:textId="77777777" w:rsidR="00732544" w:rsidRPr="009E7447" w:rsidRDefault="00732544" w:rsidP="00400DD1">
            <w:pPr>
              <w:spacing w:line="241" w:lineRule="auto"/>
              <w:ind w:left="144" w:hanging="144"/>
              <w:jc w:val="left"/>
              <w:rPr>
                <w:color w:val="000000"/>
                <w:sz w:val="18"/>
                <w:szCs w:val="18"/>
                <w:rtl/>
                <w:lang w:eastAsia="he-IL"/>
              </w:rPr>
            </w:pPr>
            <w:r w:rsidRPr="009E7447">
              <w:rPr>
                <w:color w:val="000000"/>
                <w:sz w:val="18"/>
                <w:szCs w:val="18"/>
                <w:lang w:eastAsia="he-IL"/>
              </w:rPr>
              <w:t>LTV</w:t>
            </w:r>
            <w:r w:rsidRPr="009E7447">
              <w:rPr>
                <w:color w:val="000000"/>
                <w:sz w:val="18"/>
                <w:szCs w:val="18"/>
                <w:rtl/>
                <w:lang w:eastAsia="he-IL"/>
              </w:rPr>
              <w:t xml:space="preserve"> </w:t>
            </w:r>
            <w:r w:rsidRPr="009E7447">
              <w:rPr>
                <w:rFonts w:hint="cs"/>
                <w:color w:val="000000"/>
                <w:sz w:val="18"/>
                <w:szCs w:val="18"/>
                <w:rtl/>
                <w:lang w:eastAsia="he-IL"/>
              </w:rPr>
              <w:t>מעל 60% ועד 75%</w:t>
            </w:r>
          </w:p>
        </w:tc>
        <w:tc>
          <w:tcPr>
            <w:tcW w:w="825" w:type="dxa"/>
            <w:shd w:val="clear" w:color="auto" w:fill="auto"/>
            <w:vAlign w:val="bottom"/>
            <w:hideMark/>
          </w:tcPr>
          <w:p w14:paraId="65A176B6" w14:textId="77777777" w:rsidR="00732544" w:rsidRPr="009E7447" w:rsidRDefault="00732544" w:rsidP="00400DD1">
            <w:pPr>
              <w:spacing w:line="241" w:lineRule="auto"/>
              <w:rPr>
                <w:sz w:val="18"/>
                <w:szCs w:val="18"/>
              </w:rPr>
            </w:pPr>
            <w:r w:rsidRPr="009E7447">
              <w:rPr>
                <w:rFonts w:hint="cs"/>
                <w:sz w:val="18"/>
                <w:szCs w:val="18"/>
                <w:rtl/>
              </w:rPr>
              <w:t xml:space="preserve"> 0</w:t>
            </w:r>
          </w:p>
        </w:tc>
        <w:tc>
          <w:tcPr>
            <w:tcW w:w="794" w:type="dxa"/>
            <w:shd w:val="clear" w:color="auto" w:fill="auto"/>
            <w:vAlign w:val="bottom"/>
            <w:hideMark/>
          </w:tcPr>
          <w:p w14:paraId="7E541D59"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7BF6DB7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484F238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1F11BE4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06BE0017"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421638B7"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698A8D7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0361BE9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2F366A40" w14:textId="77777777" w:rsidTr="00C1584D">
        <w:tblPrEx>
          <w:tblLook w:val="01E0" w:firstRow="1" w:lastRow="1" w:firstColumn="1" w:lastColumn="1" w:noHBand="0" w:noVBand="0"/>
        </w:tblPrEx>
        <w:trPr>
          <w:gridAfter w:val="1"/>
          <w:wAfter w:w="16" w:type="dxa"/>
          <w:trHeight w:val="259"/>
        </w:trPr>
        <w:tc>
          <w:tcPr>
            <w:tcW w:w="2376" w:type="dxa"/>
            <w:gridSpan w:val="3"/>
            <w:shd w:val="clear" w:color="auto" w:fill="auto"/>
            <w:vAlign w:val="bottom"/>
            <w:hideMark/>
          </w:tcPr>
          <w:p w14:paraId="2115E595" w14:textId="77777777" w:rsidR="00732544" w:rsidRPr="009E7447" w:rsidRDefault="00732544" w:rsidP="00400DD1">
            <w:pPr>
              <w:spacing w:line="256" w:lineRule="auto"/>
              <w:jc w:val="left"/>
              <w:rPr>
                <w:b/>
                <w:bCs/>
                <w:color w:val="000000"/>
                <w:sz w:val="18"/>
                <w:szCs w:val="18"/>
                <w:rtl/>
                <w:lang w:eastAsia="he-IL"/>
              </w:rPr>
            </w:pPr>
            <w:r w:rsidRPr="009E7447">
              <w:rPr>
                <w:color w:val="000000"/>
                <w:sz w:val="18"/>
                <w:szCs w:val="18"/>
                <w:lang w:eastAsia="he-IL"/>
              </w:rPr>
              <w:t>LTV</w:t>
            </w:r>
            <w:r w:rsidRPr="009E7447">
              <w:rPr>
                <w:color w:val="000000"/>
                <w:sz w:val="18"/>
                <w:szCs w:val="18"/>
                <w:rtl/>
                <w:lang w:eastAsia="he-IL"/>
              </w:rPr>
              <w:t xml:space="preserve"> </w:t>
            </w:r>
            <w:r w:rsidRPr="009E7447">
              <w:rPr>
                <w:rFonts w:hint="cs"/>
                <w:color w:val="000000"/>
                <w:sz w:val="18"/>
                <w:szCs w:val="18"/>
                <w:rtl/>
                <w:lang w:eastAsia="he-IL"/>
              </w:rPr>
              <w:t>מעל 75%</w:t>
            </w:r>
          </w:p>
        </w:tc>
        <w:tc>
          <w:tcPr>
            <w:tcW w:w="825" w:type="dxa"/>
            <w:tcBorders>
              <w:top w:val="nil"/>
              <w:left w:val="nil"/>
              <w:bottom w:val="single" w:sz="4" w:space="0" w:color="auto"/>
              <w:right w:val="nil"/>
            </w:tcBorders>
            <w:shd w:val="clear" w:color="auto" w:fill="auto"/>
            <w:vAlign w:val="bottom"/>
            <w:hideMark/>
          </w:tcPr>
          <w:p w14:paraId="6015439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2ACFF0F9"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065C3B8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1B637C7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52A98D7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tcBorders>
              <w:top w:val="nil"/>
              <w:left w:val="nil"/>
              <w:bottom w:val="single" w:sz="4" w:space="0" w:color="auto"/>
              <w:right w:val="nil"/>
            </w:tcBorders>
            <w:shd w:val="clear" w:color="auto" w:fill="auto"/>
            <w:vAlign w:val="bottom"/>
            <w:hideMark/>
          </w:tcPr>
          <w:p w14:paraId="4DA59BB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tcBorders>
              <w:top w:val="nil"/>
              <w:left w:val="nil"/>
              <w:bottom w:val="single" w:sz="4" w:space="0" w:color="auto"/>
              <w:right w:val="nil"/>
            </w:tcBorders>
            <w:shd w:val="clear" w:color="auto" w:fill="auto"/>
            <w:vAlign w:val="bottom"/>
            <w:hideMark/>
          </w:tcPr>
          <w:p w14:paraId="6554D616"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tcBorders>
              <w:top w:val="nil"/>
              <w:left w:val="nil"/>
              <w:bottom w:val="single" w:sz="4" w:space="0" w:color="auto"/>
              <w:right w:val="nil"/>
            </w:tcBorders>
            <w:shd w:val="clear" w:color="auto" w:fill="auto"/>
            <w:vAlign w:val="bottom"/>
            <w:hideMark/>
          </w:tcPr>
          <w:p w14:paraId="02A5F2D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tcBorders>
              <w:top w:val="nil"/>
              <w:left w:val="nil"/>
              <w:bottom w:val="single" w:sz="4" w:space="0" w:color="auto"/>
              <w:right w:val="nil"/>
            </w:tcBorders>
            <w:shd w:val="clear" w:color="auto" w:fill="auto"/>
            <w:vAlign w:val="bottom"/>
            <w:hideMark/>
          </w:tcPr>
          <w:p w14:paraId="33611A3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08ED353A"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5596D651"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בפיגור ובדירוג ביצוע</w:t>
            </w:r>
          </w:p>
        </w:tc>
        <w:tc>
          <w:tcPr>
            <w:tcW w:w="825" w:type="dxa"/>
            <w:tcBorders>
              <w:top w:val="single" w:sz="4" w:space="0" w:color="auto"/>
              <w:left w:val="nil"/>
              <w:bottom w:val="nil"/>
              <w:right w:val="nil"/>
            </w:tcBorders>
            <w:shd w:val="clear" w:color="auto" w:fill="auto"/>
            <w:vAlign w:val="bottom"/>
            <w:hideMark/>
          </w:tcPr>
          <w:p w14:paraId="16A8BCB1" w14:textId="77777777" w:rsidR="00732544" w:rsidRPr="009E7447" w:rsidRDefault="00732544" w:rsidP="00400DD1">
            <w:pPr>
              <w:spacing w:line="241" w:lineRule="auto"/>
              <w:rPr>
                <w:sz w:val="18"/>
                <w:szCs w:val="18"/>
              </w:rPr>
            </w:pPr>
            <w:r w:rsidRPr="009E7447">
              <w:rPr>
                <w:rFonts w:hint="cs"/>
                <w:sz w:val="18"/>
                <w:szCs w:val="18"/>
                <w:rtl/>
              </w:rPr>
              <w:t xml:space="preserve"> 0</w:t>
            </w:r>
          </w:p>
        </w:tc>
        <w:tc>
          <w:tcPr>
            <w:tcW w:w="794" w:type="dxa"/>
            <w:tcBorders>
              <w:top w:val="single" w:sz="4" w:space="0" w:color="auto"/>
              <w:left w:val="nil"/>
              <w:bottom w:val="nil"/>
              <w:right w:val="nil"/>
            </w:tcBorders>
            <w:shd w:val="clear" w:color="auto" w:fill="auto"/>
            <w:vAlign w:val="bottom"/>
            <w:hideMark/>
          </w:tcPr>
          <w:p w14:paraId="625B8EE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single" w:sz="4" w:space="0" w:color="auto"/>
              <w:left w:val="nil"/>
              <w:bottom w:val="nil"/>
              <w:right w:val="nil"/>
            </w:tcBorders>
            <w:shd w:val="clear" w:color="auto" w:fill="auto"/>
            <w:vAlign w:val="bottom"/>
            <w:hideMark/>
          </w:tcPr>
          <w:p w14:paraId="6D86A52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single" w:sz="4" w:space="0" w:color="auto"/>
              <w:left w:val="nil"/>
              <w:bottom w:val="nil"/>
              <w:right w:val="nil"/>
            </w:tcBorders>
            <w:shd w:val="clear" w:color="auto" w:fill="auto"/>
            <w:vAlign w:val="bottom"/>
            <w:hideMark/>
          </w:tcPr>
          <w:p w14:paraId="617BF7C7"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single" w:sz="4" w:space="0" w:color="auto"/>
              <w:left w:val="nil"/>
              <w:bottom w:val="nil"/>
              <w:right w:val="nil"/>
            </w:tcBorders>
            <w:shd w:val="clear" w:color="auto" w:fill="auto"/>
            <w:vAlign w:val="bottom"/>
            <w:hideMark/>
          </w:tcPr>
          <w:p w14:paraId="6BDD894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tcBorders>
              <w:top w:val="single" w:sz="4" w:space="0" w:color="auto"/>
              <w:left w:val="nil"/>
              <w:bottom w:val="nil"/>
              <w:right w:val="nil"/>
            </w:tcBorders>
            <w:shd w:val="clear" w:color="auto" w:fill="auto"/>
            <w:vAlign w:val="bottom"/>
            <w:hideMark/>
          </w:tcPr>
          <w:p w14:paraId="2CE91A0D"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tcBorders>
              <w:top w:val="single" w:sz="4" w:space="0" w:color="auto"/>
              <w:left w:val="nil"/>
              <w:bottom w:val="nil"/>
              <w:right w:val="nil"/>
            </w:tcBorders>
            <w:shd w:val="clear" w:color="auto" w:fill="auto"/>
            <w:vAlign w:val="bottom"/>
            <w:hideMark/>
          </w:tcPr>
          <w:p w14:paraId="05993ED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tcBorders>
              <w:top w:val="single" w:sz="4" w:space="0" w:color="auto"/>
              <w:left w:val="nil"/>
              <w:bottom w:val="nil"/>
              <w:right w:val="nil"/>
            </w:tcBorders>
            <w:shd w:val="clear" w:color="auto" w:fill="auto"/>
            <w:vAlign w:val="bottom"/>
            <w:hideMark/>
          </w:tcPr>
          <w:p w14:paraId="630D6B77"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tcBorders>
              <w:top w:val="single" w:sz="4" w:space="0" w:color="auto"/>
              <w:left w:val="nil"/>
              <w:bottom w:val="nil"/>
              <w:right w:val="nil"/>
            </w:tcBorders>
            <w:shd w:val="clear" w:color="auto" w:fill="auto"/>
            <w:vAlign w:val="bottom"/>
            <w:hideMark/>
          </w:tcPr>
          <w:p w14:paraId="14E0A38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4D2C3DF7"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0F1FAFBD"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בפיגור ואינו בדירוג ביצוע</w:t>
            </w:r>
          </w:p>
        </w:tc>
        <w:tc>
          <w:tcPr>
            <w:tcW w:w="825" w:type="dxa"/>
            <w:shd w:val="clear" w:color="auto" w:fill="auto"/>
            <w:vAlign w:val="bottom"/>
            <w:hideMark/>
          </w:tcPr>
          <w:p w14:paraId="4DA5ABF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67C224E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1E0F72E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51B8342D"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22B692E4"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512E07E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6DF2D36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17A615F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59A5EAC4"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40F7A050"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355201A0"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rtl/>
                <w:lang w:eastAsia="he-IL"/>
              </w:rPr>
              <w:t>בפיגור 30-89 יום</w:t>
            </w:r>
          </w:p>
        </w:tc>
        <w:tc>
          <w:tcPr>
            <w:tcW w:w="825" w:type="dxa"/>
            <w:shd w:val="clear" w:color="auto" w:fill="auto"/>
            <w:vAlign w:val="bottom"/>
            <w:hideMark/>
          </w:tcPr>
          <w:p w14:paraId="2615294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14DC32B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5E92BF1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3EB8E38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shd w:val="clear" w:color="auto" w:fill="auto"/>
            <w:vAlign w:val="bottom"/>
            <w:hideMark/>
          </w:tcPr>
          <w:p w14:paraId="55FE0258"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shd w:val="clear" w:color="auto" w:fill="auto"/>
            <w:vAlign w:val="bottom"/>
            <w:hideMark/>
          </w:tcPr>
          <w:p w14:paraId="0CACC25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shd w:val="clear" w:color="auto" w:fill="auto"/>
            <w:vAlign w:val="bottom"/>
            <w:hideMark/>
          </w:tcPr>
          <w:p w14:paraId="5AA7307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shd w:val="clear" w:color="auto" w:fill="auto"/>
            <w:vAlign w:val="bottom"/>
            <w:hideMark/>
          </w:tcPr>
          <w:p w14:paraId="5AFAD796"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shd w:val="clear" w:color="auto" w:fill="auto"/>
            <w:vAlign w:val="bottom"/>
            <w:hideMark/>
          </w:tcPr>
          <w:p w14:paraId="642D8296"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545E3551"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76CE0582"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rtl/>
                <w:lang w:eastAsia="he-IL"/>
              </w:rPr>
              <w:t>בפיגור מעל 90 יום</w:t>
            </w:r>
          </w:p>
        </w:tc>
        <w:tc>
          <w:tcPr>
            <w:tcW w:w="825" w:type="dxa"/>
            <w:tcBorders>
              <w:top w:val="nil"/>
              <w:left w:val="nil"/>
              <w:bottom w:val="single" w:sz="4" w:space="0" w:color="auto"/>
              <w:right w:val="nil"/>
            </w:tcBorders>
            <w:shd w:val="clear" w:color="auto" w:fill="auto"/>
            <w:vAlign w:val="bottom"/>
            <w:hideMark/>
          </w:tcPr>
          <w:p w14:paraId="58B6545F" w14:textId="77777777" w:rsidR="00732544" w:rsidRPr="009E7447" w:rsidRDefault="00732544" w:rsidP="00400DD1">
            <w:pPr>
              <w:spacing w:line="241" w:lineRule="auto"/>
              <w:rPr>
                <w:sz w:val="18"/>
                <w:szCs w:val="18"/>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65CF9BF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68A07D85"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6FFC492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3C8E73D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tcBorders>
              <w:top w:val="nil"/>
              <w:left w:val="nil"/>
              <w:bottom w:val="single" w:sz="4" w:space="0" w:color="auto"/>
              <w:right w:val="nil"/>
            </w:tcBorders>
            <w:shd w:val="clear" w:color="auto" w:fill="auto"/>
            <w:vAlign w:val="bottom"/>
            <w:hideMark/>
          </w:tcPr>
          <w:p w14:paraId="3FFE0A7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tcBorders>
              <w:top w:val="nil"/>
              <w:left w:val="nil"/>
              <w:bottom w:val="single" w:sz="4" w:space="0" w:color="auto"/>
              <w:right w:val="nil"/>
            </w:tcBorders>
            <w:shd w:val="clear" w:color="auto" w:fill="auto"/>
            <w:vAlign w:val="bottom"/>
            <w:hideMark/>
          </w:tcPr>
          <w:p w14:paraId="0FE37203"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tcBorders>
              <w:top w:val="nil"/>
              <w:left w:val="nil"/>
              <w:bottom w:val="single" w:sz="4" w:space="0" w:color="auto"/>
              <w:right w:val="nil"/>
            </w:tcBorders>
            <w:shd w:val="clear" w:color="auto" w:fill="auto"/>
            <w:vAlign w:val="bottom"/>
            <w:hideMark/>
          </w:tcPr>
          <w:p w14:paraId="23999237"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tcBorders>
              <w:top w:val="nil"/>
              <w:left w:val="nil"/>
              <w:bottom w:val="single" w:sz="4" w:space="0" w:color="auto"/>
              <w:right w:val="nil"/>
            </w:tcBorders>
            <w:shd w:val="clear" w:color="auto" w:fill="auto"/>
            <w:vAlign w:val="bottom"/>
            <w:hideMark/>
          </w:tcPr>
          <w:p w14:paraId="558B198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70E0BB73"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3D303AE5" w14:textId="77777777" w:rsidR="00732544" w:rsidRPr="009E7447" w:rsidRDefault="00732544" w:rsidP="00400DD1">
            <w:pPr>
              <w:spacing w:line="241" w:lineRule="auto"/>
              <w:ind w:left="144" w:hanging="144"/>
              <w:jc w:val="left"/>
              <w:rPr>
                <w:color w:val="000000"/>
                <w:sz w:val="18"/>
                <w:szCs w:val="18"/>
                <w:rtl/>
                <w:lang w:eastAsia="he-IL"/>
              </w:rPr>
            </w:pPr>
            <w:r w:rsidRPr="009E7447">
              <w:rPr>
                <w:rFonts w:hint="cs"/>
                <w:color w:val="000000"/>
                <w:sz w:val="18"/>
                <w:szCs w:val="18"/>
                <w:rtl/>
                <w:lang w:eastAsia="he-IL"/>
              </w:rPr>
              <w:t>אשראי שאינו צובר</w:t>
            </w:r>
          </w:p>
        </w:tc>
        <w:tc>
          <w:tcPr>
            <w:tcW w:w="825" w:type="dxa"/>
            <w:tcBorders>
              <w:top w:val="single" w:sz="4" w:space="0" w:color="auto"/>
              <w:left w:val="nil"/>
              <w:bottom w:val="single" w:sz="8" w:space="0" w:color="auto"/>
              <w:right w:val="nil"/>
            </w:tcBorders>
            <w:shd w:val="clear" w:color="auto" w:fill="auto"/>
            <w:vAlign w:val="bottom"/>
            <w:hideMark/>
          </w:tcPr>
          <w:p w14:paraId="7E502E31"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single" w:sz="4" w:space="0" w:color="auto"/>
              <w:left w:val="nil"/>
              <w:bottom w:val="single" w:sz="8" w:space="0" w:color="auto"/>
              <w:right w:val="nil"/>
            </w:tcBorders>
            <w:shd w:val="clear" w:color="auto" w:fill="auto"/>
            <w:vAlign w:val="bottom"/>
            <w:hideMark/>
          </w:tcPr>
          <w:p w14:paraId="6509072F"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single" w:sz="4" w:space="0" w:color="auto"/>
              <w:left w:val="nil"/>
              <w:bottom w:val="single" w:sz="8" w:space="0" w:color="auto"/>
              <w:right w:val="nil"/>
            </w:tcBorders>
            <w:shd w:val="clear" w:color="auto" w:fill="auto"/>
            <w:vAlign w:val="bottom"/>
            <w:hideMark/>
          </w:tcPr>
          <w:p w14:paraId="266579CE"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single" w:sz="4" w:space="0" w:color="auto"/>
              <w:left w:val="nil"/>
              <w:bottom w:val="single" w:sz="8" w:space="0" w:color="auto"/>
              <w:right w:val="nil"/>
            </w:tcBorders>
            <w:shd w:val="clear" w:color="auto" w:fill="auto"/>
            <w:vAlign w:val="bottom"/>
            <w:hideMark/>
          </w:tcPr>
          <w:p w14:paraId="1DFEA49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794" w:type="dxa"/>
            <w:tcBorders>
              <w:top w:val="single" w:sz="4" w:space="0" w:color="auto"/>
              <w:left w:val="nil"/>
              <w:bottom w:val="single" w:sz="8" w:space="0" w:color="auto"/>
              <w:right w:val="nil"/>
            </w:tcBorders>
            <w:shd w:val="clear" w:color="auto" w:fill="auto"/>
            <w:vAlign w:val="bottom"/>
            <w:hideMark/>
          </w:tcPr>
          <w:p w14:paraId="4CFDC72B"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17" w:type="dxa"/>
            <w:tcBorders>
              <w:top w:val="single" w:sz="4" w:space="0" w:color="auto"/>
              <w:left w:val="nil"/>
              <w:bottom w:val="single" w:sz="8" w:space="0" w:color="auto"/>
              <w:right w:val="nil"/>
            </w:tcBorders>
            <w:shd w:val="clear" w:color="auto" w:fill="auto"/>
            <w:vAlign w:val="bottom"/>
            <w:hideMark/>
          </w:tcPr>
          <w:p w14:paraId="3ECE95F0"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999" w:type="dxa"/>
            <w:tcBorders>
              <w:top w:val="single" w:sz="4" w:space="0" w:color="auto"/>
              <w:left w:val="nil"/>
              <w:bottom w:val="single" w:sz="8" w:space="0" w:color="auto"/>
              <w:right w:val="nil"/>
            </w:tcBorders>
            <w:shd w:val="clear" w:color="auto" w:fill="auto"/>
            <w:vAlign w:val="bottom"/>
            <w:hideMark/>
          </w:tcPr>
          <w:p w14:paraId="165ADF72"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1531" w:type="dxa"/>
            <w:tcBorders>
              <w:top w:val="single" w:sz="4" w:space="0" w:color="auto"/>
              <w:left w:val="nil"/>
              <w:bottom w:val="single" w:sz="8" w:space="0" w:color="auto"/>
              <w:right w:val="nil"/>
            </w:tcBorders>
            <w:shd w:val="clear" w:color="auto" w:fill="auto"/>
            <w:vAlign w:val="bottom"/>
            <w:hideMark/>
          </w:tcPr>
          <w:p w14:paraId="373AE84A"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c>
          <w:tcPr>
            <w:tcW w:w="859" w:type="dxa"/>
            <w:gridSpan w:val="2"/>
            <w:tcBorders>
              <w:top w:val="single" w:sz="4" w:space="0" w:color="auto"/>
              <w:left w:val="nil"/>
              <w:bottom w:val="single" w:sz="8" w:space="0" w:color="auto"/>
              <w:right w:val="nil"/>
            </w:tcBorders>
            <w:shd w:val="clear" w:color="auto" w:fill="auto"/>
            <w:vAlign w:val="bottom"/>
            <w:hideMark/>
          </w:tcPr>
          <w:p w14:paraId="69EE2A7C" w14:textId="77777777" w:rsidR="00732544" w:rsidRPr="009E7447" w:rsidRDefault="00732544" w:rsidP="00400DD1">
            <w:pPr>
              <w:spacing w:line="241" w:lineRule="auto"/>
              <w:rPr>
                <w:sz w:val="18"/>
                <w:szCs w:val="18"/>
                <w:rtl/>
              </w:rPr>
            </w:pPr>
            <w:r w:rsidRPr="009E7447">
              <w:rPr>
                <w:rFonts w:hint="cs"/>
                <w:sz w:val="18"/>
                <w:szCs w:val="18"/>
                <w:rtl/>
              </w:rPr>
              <w:t xml:space="preserve"> 0</w:t>
            </w:r>
          </w:p>
        </w:tc>
      </w:tr>
      <w:tr w:rsidR="00732544" w:rsidRPr="009E7447" w14:paraId="0F2E7618"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788413E6" w14:textId="77777777" w:rsidR="00732544" w:rsidRPr="009E7447" w:rsidRDefault="00732544" w:rsidP="00400DD1">
            <w:pPr>
              <w:ind w:left="142" w:hanging="142"/>
              <w:jc w:val="left"/>
              <w:rPr>
                <w:b/>
                <w:bCs/>
                <w:color w:val="000000"/>
                <w:sz w:val="18"/>
                <w:szCs w:val="18"/>
                <w:rtl/>
                <w:lang w:eastAsia="he-IL"/>
              </w:rPr>
            </w:pPr>
            <w:r w:rsidRPr="009E7447">
              <w:rPr>
                <w:rFonts w:hint="cs"/>
                <w:b/>
                <w:bCs/>
                <w:color w:val="000000"/>
                <w:sz w:val="18"/>
                <w:szCs w:val="18"/>
                <w:rtl/>
                <w:lang w:eastAsia="he-IL"/>
              </w:rPr>
              <w:t>אנשים פרטיים – אחר – סה"כ</w:t>
            </w:r>
          </w:p>
        </w:tc>
        <w:tc>
          <w:tcPr>
            <w:tcW w:w="825" w:type="dxa"/>
            <w:tcBorders>
              <w:top w:val="single" w:sz="8" w:space="0" w:color="auto"/>
            </w:tcBorders>
            <w:shd w:val="clear" w:color="auto" w:fill="auto"/>
            <w:vAlign w:val="bottom"/>
            <w:hideMark/>
          </w:tcPr>
          <w:p w14:paraId="7DFC58C2"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c>
          <w:tcPr>
            <w:tcW w:w="794" w:type="dxa"/>
            <w:tcBorders>
              <w:top w:val="single" w:sz="8" w:space="0" w:color="auto"/>
            </w:tcBorders>
            <w:shd w:val="clear" w:color="auto" w:fill="auto"/>
            <w:vAlign w:val="bottom"/>
            <w:hideMark/>
          </w:tcPr>
          <w:p w14:paraId="54E61492"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c>
          <w:tcPr>
            <w:tcW w:w="794" w:type="dxa"/>
            <w:tcBorders>
              <w:top w:val="single" w:sz="8" w:space="0" w:color="auto"/>
            </w:tcBorders>
            <w:shd w:val="clear" w:color="auto" w:fill="auto"/>
            <w:vAlign w:val="bottom"/>
            <w:hideMark/>
          </w:tcPr>
          <w:p w14:paraId="19AFF5E4"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c>
          <w:tcPr>
            <w:tcW w:w="794" w:type="dxa"/>
            <w:tcBorders>
              <w:top w:val="single" w:sz="8" w:space="0" w:color="auto"/>
            </w:tcBorders>
            <w:shd w:val="clear" w:color="auto" w:fill="auto"/>
            <w:vAlign w:val="bottom"/>
            <w:hideMark/>
          </w:tcPr>
          <w:p w14:paraId="0E78DEEF"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c>
          <w:tcPr>
            <w:tcW w:w="794" w:type="dxa"/>
            <w:tcBorders>
              <w:top w:val="single" w:sz="8" w:space="0" w:color="auto"/>
            </w:tcBorders>
            <w:shd w:val="clear" w:color="auto" w:fill="auto"/>
            <w:vAlign w:val="bottom"/>
            <w:hideMark/>
          </w:tcPr>
          <w:p w14:paraId="4E0D25A7"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c>
          <w:tcPr>
            <w:tcW w:w="817" w:type="dxa"/>
            <w:tcBorders>
              <w:top w:val="single" w:sz="8" w:space="0" w:color="auto"/>
            </w:tcBorders>
            <w:shd w:val="clear" w:color="auto" w:fill="auto"/>
            <w:vAlign w:val="bottom"/>
            <w:hideMark/>
          </w:tcPr>
          <w:p w14:paraId="696A65A9"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c>
          <w:tcPr>
            <w:tcW w:w="999" w:type="dxa"/>
            <w:tcBorders>
              <w:top w:val="single" w:sz="8" w:space="0" w:color="auto"/>
            </w:tcBorders>
            <w:shd w:val="clear" w:color="auto" w:fill="auto"/>
            <w:vAlign w:val="bottom"/>
            <w:hideMark/>
          </w:tcPr>
          <w:p w14:paraId="31CAF71C"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c>
          <w:tcPr>
            <w:tcW w:w="1531" w:type="dxa"/>
            <w:tcBorders>
              <w:top w:val="single" w:sz="8" w:space="0" w:color="auto"/>
            </w:tcBorders>
            <w:shd w:val="clear" w:color="auto" w:fill="auto"/>
            <w:vAlign w:val="bottom"/>
            <w:hideMark/>
          </w:tcPr>
          <w:p w14:paraId="5276CA88"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c>
          <w:tcPr>
            <w:tcW w:w="859" w:type="dxa"/>
            <w:gridSpan w:val="2"/>
            <w:tcBorders>
              <w:top w:val="single" w:sz="8" w:space="0" w:color="auto"/>
            </w:tcBorders>
            <w:shd w:val="clear" w:color="auto" w:fill="auto"/>
            <w:vAlign w:val="bottom"/>
            <w:hideMark/>
          </w:tcPr>
          <w:p w14:paraId="3244A9AF" w14:textId="77777777" w:rsidR="00732544" w:rsidRPr="009E7447" w:rsidRDefault="00732544" w:rsidP="00400DD1">
            <w:pPr>
              <w:spacing w:line="241" w:lineRule="auto"/>
              <w:rPr>
                <w:sz w:val="18"/>
                <w:szCs w:val="18"/>
                <w:rtl/>
              </w:rPr>
            </w:pPr>
            <w:r w:rsidRPr="009E7447">
              <w:rPr>
                <w:rFonts w:hint="cs"/>
                <w:b/>
                <w:bCs/>
                <w:sz w:val="18"/>
                <w:szCs w:val="18"/>
                <w:rtl/>
              </w:rPr>
              <w:t xml:space="preserve"> 0</w:t>
            </w:r>
          </w:p>
        </w:tc>
      </w:tr>
      <w:tr w:rsidR="00732544" w:rsidRPr="009E7447" w14:paraId="737DBFC7" w14:textId="77777777" w:rsidTr="00C1584D">
        <w:tblPrEx>
          <w:tblLook w:val="01E0" w:firstRow="1" w:lastRow="1" w:firstColumn="1" w:lastColumn="1" w:noHBand="0" w:noVBand="0"/>
        </w:tblPrEx>
        <w:trPr>
          <w:gridAfter w:val="1"/>
          <w:wAfter w:w="16" w:type="dxa"/>
          <w:trHeight w:val="284"/>
        </w:trPr>
        <w:tc>
          <w:tcPr>
            <w:tcW w:w="2376" w:type="dxa"/>
            <w:gridSpan w:val="3"/>
            <w:shd w:val="clear" w:color="auto" w:fill="auto"/>
            <w:vAlign w:val="bottom"/>
            <w:hideMark/>
          </w:tcPr>
          <w:p w14:paraId="04753031" w14:textId="77777777" w:rsidR="00732544" w:rsidRPr="009E7447" w:rsidRDefault="00732544" w:rsidP="00400DD1">
            <w:pPr>
              <w:bidi w:val="0"/>
              <w:spacing w:line="180" w:lineRule="exact"/>
              <w:ind w:left="142" w:hanging="142"/>
              <w:jc w:val="right"/>
              <w:rPr>
                <w:rFonts w:asciiTheme="minorBidi" w:hAnsiTheme="minorBidi" w:cstheme="minorBidi"/>
                <w:color w:val="000000"/>
                <w:sz w:val="18"/>
                <w:szCs w:val="18"/>
                <w:rtl/>
                <w:lang w:eastAsia="he-IL"/>
              </w:rPr>
            </w:pPr>
            <w:r w:rsidRPr="009E7447">
              <w:rPr>
                <w:rFonts w:asciiTheme="minorBidi" w:hAnsiTheme="minorBidi" w:cstheme="minorBidi" w:hint="cs"/>
                <w:color w:val="000000"/>
                <w:sz w:val="18"/>
                <w:szCs w:val="18"/>
                <w:rtl/>
                <w:lang w:eastAsia="he-IL"/>
              </w:rPr>
              <w:t>אשראי שאינו בפיגור ובדירוג ביצוע</w:t>
            </w:r>
          </w:p>
        </w:tc>
        <w:tc>
          <w:tcPr>
            <w:tcW w:w="825" w:type="dxa"/>
            <w:shd w:val="clear" w:color="auto" w:fill="auto"/>
            <w:vAlign w:val="bottom"/>
            <w:hideMark/>
          </w:tcPr>
          <w:p w14:paraId="1EC6877E" w14:textId="77777777" w:rsidR="00732544" w:rsidRPr="009E7447" w:rsidRDefault="00732544" w:rsidP="00400DD1">
            <w:pPr>
              <w:spacing w:line="241" w:lineRule="auto"/>
              <w:rPr>
                <w:rFonts w:asciiTheme="minorBidi" w:hAnsiTheme="minorBidi" w:cstheme="minorBidi"/>
                <w:sz w:val="18"/>
                <w:szCs w:val="18"/>
              </w:rPr>
            </w:pPr>
            <w:r w:rsidRPr="009E7447">
              <w:rPr>
                <w:rFonts w:hint="cs"/>
                <w:sz w:val="18"/>
                <w:szCs w:val="18"/>
                <w:rtl/>
              </w:rPr>
              <w:t xml:space="preserve"> 0</w:t>
            </w:r>
          </w:p>
        </w:tc>
        <w:tc>
          <w:tcPr>
            <w:tcW w:w="794" w:type="dxa"/>
            <w:shd w:val="clear" w:color="auto" w:fill="auto"/>
            <w:vAlign w:val="bottom"/>
            <w:hideMark/>
          </w:tcPr>
          <w:p w14:paraId="4148AF63"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1C7D2ECD"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09792D0B"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08C1A5D0"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17" w:type="dxa"/>
            <w:shd w:val="clear" w:color="auto" w:fill="auto"/>
            <w:vAlign w:val="bottom"/>
            <w:hideMark/>
          </w:tcPr>
          <w:p w14:paraId="0802D37D"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999" w:type="dxa"/>
            <w:shd w:val="clear" w:color="auto" w:fill="auto"/>
            <w:vAlign w:val="bottom"/>
            <w:hideMark/>
          </w:tcPr>
          <w:p w14:paraId="6F781B5A"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1531" w:type="dxa"/>
            <w:shd w:val="clear" w:color="auto" w:fill="auto"/>
            <w:vAlign w:val="bottom"/>
            <w:hideMark/>
          </w:tcPr>
          <w:p w14:paraId="6DBE4DB2"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59" w:type="dxa"/>
            <w:gridSpan w:val="2"/>
            <w:shd w:val="clear" w:color="auto" w:fill="auto"/>
            <w:vAlign w:val="bottom"/>
            <w:hideMark/>
          </w:tcPr>
          <w:p w14:paraId="38B78533"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r>
      <w:tr w:rsidR="00732544" w:rsidRPr="009E7447" w14:paraId="0F6BD6CA"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3A3335B9" w14:textId="77777777" w:rsidR="00732544" w:rsidRPr="009E7447" w:rsidRDefault="00732544" w:rsidP="00400DD1">
            <w:pPr>
              <w:spacing w:line="241" w:lineRule="auto"/>
              <w:ind w:left="144" w:hanging="144"/>
              <w:jc w:val="left"/>
              <w:rPr>
                <w:rFonts w:asciiTheme="minorBidi" w:hAnsiTheme="minorBidi" w:cstheme="minorBidi"/>
                <w:color w:val="000000"/>
                <w:sz w:val="18"/>
                <w:szCs w:val="18"/>
                <w:rtl/>
                <w:lang w:eastAsia="he-IL"/>
              </w:rPr>
            </w:pPr>
            <w:r w:rsidRPr="009E7447">
              <w:rPr>
                <w:rFonts w:asciiTheme="minorBidi" w:hAnsiTheme="minorBidi" w:cstheme="minorBidi" w:hint="cs"/>
                <w:color w:val="000000"/>
                <w:sz w:val="18"/>
                <w:szCs w:val="18"/>
                <w:rtl/>
                <w:lang w:eastAsia="he-IL"/>
              </w:rPr>
              <w:t>אשראי שאינו בפיגור ואינו בדירוג ביצוע</w:t>
            </w:r>
          </w:p>
        </w:tc>
        <w:tc>
          <w:tcPr>
            <w:tcW w:w="825" w:type="dxa"/>
            <w:shd w:val="clear" w:color="auto" w:fill="auto"/>
            <w:vAlign w:val="bottom"/>
            <w:hideMark/>
          </w:tcPr>
          <w:p w14:paraId="59A0BA92"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06224E02"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6D174378"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30843AE5"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5BD43709"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17" w:type="dxa"/>
            <w:shd w:val="clear" w:color="auto" w:fill="auto"/>
            <w:vAlign w:val="bottom"/>
            <w:hideMark/>
          </w:tcPr>
          <w:p w14:paraId="775037EC"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999" w:type="dxa"/>
            <w:shd w:val="clear" w:color="auto" w:fill="auto"/>
            <w:vAlign w:val="bottom"/>
            <w:hideMark/>
          </w:tcPr>
          <w:p w14:paraId="5B7E48E7"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1531" w:type="dxa"/>
            <w:shd w:val="clear" w:color="auto" w:fill="auto"/>
            <w:vAlign w:val="bottom"/>
            <w:hideMark/>
          </w:tcPr>
          <w:p w14:paraId="16BF9C9D"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59" w:type="dxa"/>
            <w:gridSpan w:val="2"/>
            <w:shd w:val="clear" w:color="auto" w:fill="auto"/>
            <w:vAlign w:val="bottom"/>
            <w:hideMark/>
          </w:tcPr>
          <w:p w14:paraId="4FE7EC94"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r>
      <w:tr w:rsidR="00732544" w:rsidRPr="009E7447" w14:paraId="3969E85C"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371BC1E0" w14:textId="77777777" w:rsidR="00732544" w:rsidRPr="009E7447" w:rsidRDefault="00732544" w:rsidP="00400DD1">
            <w:pPr>
              <w:spacing w:line="241" w:lineRule="auto"/>
              <w:ind w:left="144" w:hanging="144"/>
              <w:jc w:val="left"/>
              <w:rPr>
                <w:rFonts w:asciiTheme="minorBidi" w:hAnsiTheme="minorBidi" w:cstheme="minorBidi"/>
                <w:color w:val="000000"/>
                <w:sz w:val="18"/>
                <w:szCs w:val="18"/>
                <w:rtl/>
                <w:lang w:eastAsia="he-IL"/>
              </w:rPr>
            </w:pPr>
            <w:r w:rsidRPr="009E7447">
              <w:rPr>
                <w:rFonts w:hint="cs"/>
                <w:color w:val="000000"/>
                <w:sz w:val="18"/>
                <w:szCs w:val="18"/>
                <w:rtl/>
                <w:lang w:eastAsia="he-IL"/>
              </w:rPr>
              <w:t>בפיגור 30-89 יום</w:t>
            </w:r>
          </w:p>
        </w:tc>
        <w:tc>
          <w:tcPr>
            <w:tcW w:w="825" w:type="dxa"/>
            <w:shd w:val="clear" w:color="auto" w:fill="auto"/>
            <w:vAlign w:val="bottom"/>
            <w:hideMark/>
          </w:tcPr>
          <w:p w14:paraId="3EE97495"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1D2A598A"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7CB9BBB3"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7C62C78C"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748E3A12"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17" w:type="dxa"/>
            <w:shd w:val="clear" w:color="auto" w:fill="auto"/>
            <w:vAlign w:val="bottom"/>
            <w:hideMark/>
          </w:tcPr>
          <w:p w14:paraId="0F56BA41"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999" w:type="dxa"/>
            <w:shd w:val="clear" w:color="auto" w:fill="auto"/>
            <w:vAlign w:val="bottom"/>
            <w:hideMark/>
          </w:tcPr>
          <w:p w14:paraId="0D3410E1"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1531" w:type="dxa"/>
            <w:shd w:val="clear" w:color="auto" w:fill="auto"/>
            <w:vAlign w:val="bottom"/>
            <w:hideMark/>
          </w:tcPr>
          <w:p w14:paraId="2178433C"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59" w:type="dxa"/>
            <w:gridSpan w:val="2"/>
            <w:shd w:val="clear" w:color="auto" w:fill="auto"/>
            <w:vAlign w:val="bottom"/>
            <w:hideMark/>
          </w:tcPr>
          <w:p w14:paraId="1DB810D1"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r>
      <w:tr w:rsidR="00732544" w:rsidRPr="009E7447" w14:paraId="491F2C3F"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2F03E15F" w14:textId="77777777" w:rsidR="00732544" w:rsidRPr="009E7447" w:rsidRDefault="00732544" w:rsidP="00400DD1">
            <w:pPr>
              <w:spacing w:line="241" w:lineRule="auto"/>
              <w:ind w:left="144" w:hanging="144"/>
              <w:jc w:val="left"/>
              <w:rPr>
                <w:rFonts w:asciiTheme="minorBidi" w:hAnsiTheme="minorBidi" w:cstheme="minorBidi"/>
                <w:color w:val="000000"/>
                <w:sz w:val="18"/>
                <w:szCs w:val="18"/>
                <w:rtl/>
                <w:lang w:eastAsia="he-IL"/>
              </w:rPr>
            </w:pPr>
            <w:r w:rsidRPr="009E7447">
              <w:rPr>
                <w:rFonts w:hint="cs"/>
                <w:color w:val="000000"/>
                <w:sz w:val="18"/>
                <w:szCs w:val="18"/>
                <w:rtl/>
                <w:lang w:eastAsia="he-IL"/>
              </w:rPr>
              <w:t>בפיגור מעל 90 יום</w:t>
            </w:r>
          </w:p>
        </w:tc>
        <w:tc>
          <w:tcPr>
            <w:tcW w:w="825" w:type="dxa"/>
            <w:tcBorders>
              <w:top w:val="nil"/>
              <w:left w:val="nil"/>
              <w:bottom w:val="single" w:sz="4" w:space="0" w:color="auto"/>
              <w:right w:val="nil"/>
            </w:tcBorders>
            <w:shd w:val="clear" w:color="auto" w:fill="auto"/>
            <w:vAlign w:val="bottom"/>
            <w:hideMark/>
          </w:tcPr>
          <w:p w14:paraId="42E9CC15"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1E4721EA"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29ECD125"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7D2048B0"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nil"/>
              <w:left w:val="nil"/>
              <w:bottom w:val="single" w:sz="4" w:space="0" w:color="auto"/>
              <w:right w:val="nil"/>
            </w:tcBorders>
            <w:shd w:val="clear" w:color="auto" w:fill="auto"/>
            <w:vAlign w:val="bottom"/>
            <w:hideMark/>
          </w:tcPr>
          <w:p w14:paraId="5A917661"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17" w:type="dxa"/>
            <w:tcBorders>
              <w:top w:val="nil"/>
              <w:left w:val="nil"/>
              <w:bottom w:val="single" w:sz="4" w:space="0" w:color="auto"/>
              <w:right w:val="nil"/>
            </w:tcBorders>
            <w:shd w:val="clear" w:color="auto" w:fill="auto"/>
            <w:vAlign w:val="bottom"/>
            <w:hideMark/>
          </w:tcPr>
          <w:p w14:paraId="19775D8D"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999" w:type="dxa"/>
            <w:tcBorders>
              <w:top w:val="nil"/>
              <w:left w:val="nil"/>
              <w:bottom w:val="single" w:sz="4" w:space="0" w:color="auto"/>
              <w:right w:val="nil"/>
            </w:tcBorders>
            <w:shd w:val="clear" w:color="auto" w:fill="auto"/>
            <w:vAlign w:val="bottom"/>
            <w:hideMark/>
          </w:tcPr>
          <w:p w14:paraId="134CBCCC"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1531" w:type="dxa"/>
            <w:tcBorders>
              <w:top w:val="nil"/>
              <w:left w:val="nil"/>
              <w:bottom w:val="single" w:sz="4" w:space="0" w:color="auto"/>
              <w:right w:val="nil"/>
            </w:tcBorders>
            <w:shd w:val="clear" w:color="auto" w:fill="auto"/>
            <w:vAlign w:val="bottom"/>
            <w:hideMark/>
          </w:tcPr>
          <w:p w14:paraId="01F39808"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59" w:type="dxa"/>
            <w:gridSpan w:val="2"/>
            <w:tcBorders>
              <w:top w:val="nil"/>
              <w:left w:val="nil"/>
              <w:bottom w:val="single" w:sz="4" w:space="0" w:color="auto"/>
              <w:right w:val="nil"/>
            </w:tcBorders>
            <w:shd w:val="clear" w:color="auto" w:fill="auto"/>
            <w:vAlign w:val="bottom"/>
            <w:hideMark/>
          </w:tcPr>
          <w:p w14:paraId="791C2E0A"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r>
      <w:tr w:rsidR="00732544" w:rsidRPr="009E7447" w14:paraId="43F7AB6C"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4BF14BF8" w14:textId="77777777" w:rsidR="00732544" w:rsidRPr="009E7447" w:rsidRDefault="00732544" w:rsidP="00400DD1">
            <w:pPr>
              <w:spacing w:line="241" w:lineRule="auto"/>
              <w:ind w:left="144" w:hanging="144"/>
              <w:jc w:val="left"/>
              <w:rPr>
                <w:rFonts w:asciiTheme="minorBidi" w:hAnsiTheme="minorBidi" w:cstheme="minorBidi"/>
                <w:color w:val="000000"/>
                <w:sz w:val="18"/>
                <w:szCs w:val="18"/>
                <w:rtl/>
                <w:lang w:eastAsia="he-IL"/>
              </w:rPr>
            </w:pPr>
            <w:r w:rsidRPr="009E7447">
              <w:rPr>
                <w:rFonts w:hint="cs"/>
                <w:color w:val="000000"/>
                <w:sz w:val="18"/>
                <w:szCs w:val="18"/>
                <w:rtl/>
                <w:lang w:eastAsia="he-IL"/>
              </w:rPr>
              <w:t>אשראי שאינו צובר</w:t>
            </w:r>
          </w:p>
        </w:tc>
        <w:tc>
          <w:tcPr>
            <w:tcW w:w="825" w:type="dxa"/>
            <w:tcBorders>
              <w:top w:val="single" w:sz="4" w:space="0" w:color="auto"/>
              <w:left w:val="nil"/>
              <w:bottom w:val="single" w:sz="8" w:space="0" w:color="auto"/>
              <w:right w:val="nil"/>
            </w:tcBorders>
            <w:shd w:val="clear" w:color="auto" w:fill="auto"/>
            <w:vAlign w:val="bottom"/>
            <w:hideMark/>
          </w:tcPr>
          <w:p w14:paraId="02FC5632"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single" w:sz="4" w:space="0" w:color="auto"/>
              <w:left w:val="nil"/>
              <w:bottom w:val="single" w:sz="8" w:space="0" w:color="auto"/>
              <w:right w:val="nil"/>
            </w:tcBorders>
            <w:shd w:val="clear" w:color="auto" w:fill="auto"/>
            <w:vAlign w:val="bottom"/>
            <w:hideMark/>
          </w:tcPr>
          <w:p w14:paraId="25835B43"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single" w:sz="4" w:space="0" w:color="auto"/>
              <w:left w:val="nil"/>
              <w:bottom w:val="single" w:sz="8" w:space="0" w:color="auto"/>
              <w:right w:val="nil"/>
            </w:tcBorders>
            <w:shd w:val="clear" w:color="auto" w:fill="auto"/>
            <w:vAlign w:val="bottom"/>
            <w:hideMark/>
          </w:tcPr>
          <w:p w14:paraId="3B50DB6E"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single" w:sz="4" w:space="0" w:color="auto"/>
              <w:left w:val="nil"/>
              <w:bottom w:val="single" w:sz="8" w:space="0" w:color="auto"/>
              <w:right w:val="nil"/>
            </w:tcBorders>
            <w:shd w:val="clear" w:color="auto" w:fill="auto"/>
            <w:vAlign w:val="bottom"/>
            <w:hideMark/>
          </w:tcPr>
          <w:p w14:paraId="27FEDD62"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single" w:sz="4" w:space="0" w:color="auto"/>
              <w:left w:val="nil"/>
              <w:bottom w:val="single" w:sz="8" w:space="0" w:color="auto"/>
              <w:right w:val="nil"/>
            </w:tcBorders>
            <w:shd w:val="clear" w:color="auto" w:fill="auto"/>
            <w:vAlign w:val="bottom"/>
            <w:hideMark/>
          </w:tcPr>
          <w:p w14:paraId="777FCAF2"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17" w:type="dxa"/>
            <w:tcBorders>
              <w:top w:val="single" w:sz="4" w:space="0" w:color="auto"/>
              <w:left w:val="nil"/>
              <w:bottom w:val="single" w:sz="8" w:space="0" w:color="auto"/>
              <w:right w:val="nil"/>
            </w:tcBorders>
            <w:shd w:val="clear" w:color="auto" w:fill="auto"/>
            <w:vAlign w:val="bottom"/>
            <w:hideMark/>
          </w:tcPr>
          <w:p w14:paraId="7C9997A7"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999" w:type="dxa"/>
            <w:tcBorders>
              <w:top w:val="single" w:sz="4" w:space="0" w:color="auto"/>
              <w:left w:val="nil"/>
              <w:bottom w:val="single" w:sz="8" w:space="0" w:color="auto"/>
              <w:right w:val="nil"/>
            </w:tcBorders>
            <w:shd w:val="clear" w:color="auto" w:fill="auto"/>
            <w:vAlign w:val="bottom"/>
            <w:hideMark/>
          </w:tcPr>
          <w:p w14:paraId="2B5BD7AE"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1531" w:type="dxa"/>
            <w:tcBorders>
              <w:top w:val="single" w:sz="4" w:space="0" w:color="auto"/>
              <w:left w:val="nil"/>
              <w:bottom w:val="single" w:sz="8" w:space="0" w:color="auto"/>
              <w:right w:val="nil"/>
            </w:tcBorders>
            <w:shd w:val="clear" w:color="auto" w:fill="auto"/>
            <w:vAlign w:val="bottom"/>
            <w:hideMark/>
          </w:tcPr>
          <w:p w14:paraId="7D6E0B58"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59" w:type="dxa"/>
            <w:gridSpan w:val="2"/>
            <w:tcBorders>
              <w:top w:val="single" w:sz="4" w:space="0" w:color="auto"/>
              <w:left w:val="nil"/>
              <w:bottom w:val="single" w:sz="8" w:space="0" w:color="auto"/>
              <w:right w:val="nil"/>
            </w:tcBorders>
            <w:shd w:val="clear" w:color="auto" w:fill="auto"/>
            <w:vAlign w:val="bottom"/>
            <w:hideMark/>
          </w:tcPr>
          <w:p w14:paraId="01B626B5"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r>
      <w:tr w:rsidR="00732544" w:rsidRPr="009E7447" w14:paraId="2C7A3AFB"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0F781486" w14:textId="77777777" w:rsidR="00732544" w:rsidRPr="009E7447" w:rsidRDefault="00732544" w:rsidP="00400DD1">
            <w:pPr>
              <w:spacing w:line="241" w:lineRule="auto"/>
              <w:ind w:left="144" w:hanging="144"/>
              <w:jc w:val="left"/>
              <w:rPr>
                <w:rFonts w:asciiTheme="minorBidi" w:hAnsiTheme="minorBidi" w:cstheme="minorBidi"/>
                <w:b/>
                <w:bCs/>
                <w:color w:val="000000"/>
                <w:sz w:val="18"/>
                <w:szCs w:val="18"/>
                <w:rtl/>
                <w:lang w:eastAsia="he-IL"/>
              </w:rPr>
            </w:pPr>
            <w:r w:rsidRPr="009E7447">
              <w:rPr>
                <w:rFonts w:asciiTheme="minorBidi" w:hAnsiTheme="minorBidi" w:cstheme="minorBidi" w:hint="cs"/>
                <w:b/>
                <w:bCs/>
                <w:color w:val="000000"/>
                <w:sz w:val="18"/>
                <w:szCs w:val="18"/>
                <w:rtl/>
                <w:lang w:eastAsia="he-IL"/>
              </w:rPr>
              <w:t>סך הכל אשראי לציבור – פעילות בישראל</w:t>
            </w:r>
          </w:p>
        </w:tc>
        <w:tc>
          <w:tcPr>
            <w:tcW w:w="825" w:type="dxa"/>
            <w:tcBorders>
              <w:top w:val="single" w:sz="8" w:space="0" w:color="auto"/>
              <w:left w:val="nil"/>
              <w:bottom w:val="single" w:sz="12" w:space="0" w:color="auto"/>
              <w:right w:val="nil"/>
            </w:tcBorders>
            <w:shd w:val="clear" w:color="auto" w:fill="auto"/>
            <w:vAlign w:val="bottom"/>
            <w:hideMark/>
          </w:tcPr>
          <w:p w14:paraId="0CB80B56"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8" w:space="0" w:color="auto"/>
              <w:left w:val="nil"/>
              <w:bottom w:val="single" w:sz="12" w:space="0" w:color="auto"/>
              <w:right w:val="nil"/>
            </w:tcBorders>
            <w:shd w:val="clear" w:color="auto" w:fill="auto"/>
            <w:vAlign w:val="bottom"/>
            <w:hideMark/>
          </w:tcPr>
          <w:p w14:paraId="0B978DA1"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8" w:space="0" w:color="auto"/>
              <w:left w:val="nil"/>
              <w:bottom w:val="single" w:sz="12" w:space="0" w:color="auto"/>
              <w:right w:val="nil"/>
            </w:tcBorders>
            <w:shd w:val="clear" w:color="auto" w:fill="auto"/>
            <w:vAlign w:val="bottom"/>
            <w:hideMark/>
          </w:tcPr>
          <w:p w14:paraId="5021137B"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8" w:space="0" w:color="auto"/>
              <w:left w:val="nil"/>
              <w:bottom w:val="single" w:sz="12" w:space="0" w:color="auto"/>
              <w:right w:val="nil"/>
            </w:tcBorders>
            <w:shd w:val="clear" w:color="auto" w:fill="auto"/>
            <w:vAlign w:val="bottom"/>
            <w:hideMark/>
          </w:tcPr>
          <w:p w14:paraId="1FF54627"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8" w:space="0" w:color="auto"/>
              <w:left w:val="nil"/>
              <w:bottom w:val="single" w:sz="12" w:space="0" w:color="auto"/>
              <w:right w:val="nil"/>
            </w:tcBorders>
            <w:shd w:val="clear" w:color="auto" w:fill="auto"/>
            <w:vAlign w:val="bottom"/>
            <w:hideMark/>
          </w:tcPr>
          <w:p w14:paraId="1F91124C"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17" w:type="dxa"/>
            <w:tcBorders>
              <w:top w:val="single" w:sz="8" w:space="0" w:color="auto"/>
              <w:left w:val="nil"/>
              <w:bottom w:val="single" w:sz="12" w:space="0" w:color="auto"/>
              <w:right w:val="nil"/>
            </w:tcBorders>
            <w:shd w:val="clear" w:color="auto" w:fill="auto"/>
            <w:vAlign w:val="bottom"/>
            <w:hideMark/>
          </w:tcPr>
          <w:p w14:paraId="1B77B611"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999" w:type="dxa"/>
            <w:tcBorders>
              <w:top w:val="single" w:sz="8" w:space="0" w:color="auto"/>
              <w:left w:val="nil"/>
              <w:bottom w:val="single" w:sz="12" w:space="0" w:color="auto"/>
              <w:right w:val="nil"/>
            </w:tcBorders>
            <w:shd w:val="clear" w:color="auto" w:fill="auto"/>
            <w:vAlign w:val="bottom"/>
            <w:hideMark/>
          </w:tcPr>
          <w:p w14:paraId="5A907674"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1531" w:type="dxa"/>
            <w:tcBorders>
              <w:top w:val="single" w:sz="8" w:space="0" w:color="auto"/>
              <w:left w:val="nil"/>
              <w:bottom w:val="single" w:sz="12" w:space="0" w:color="auto"/>
              <w:right w:val="nil"/>
            </w:tcBorders>
            <w:shd w:val="clear" w:color="auto" w:fill="auto"/>
            <w:vAlign w:val="bottom"/>
            <w:hideMark/>
          </w:tcPr>
          <w:p w14:paraId="731D1688"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59" w:type="dxa"/>
            <w:gridSpan w:val="2"/>
            <w:tcBorders>
              <w:top w:val="single" w:sz="8" w:space="0" w:color="auto"/>
              <w:left w:val="nil"/>
              <w:bottom w:val="single" w:sz="12" w:space="0" w:color="auto"/>
              <w:right w:val="nil"/>
            </w:tcBorders>
            <w:shd w:val="clear" w:color="auto" w:fill="auto"/>
            <w:vAlign w:val="bottom"/>
            <w:hideMark/>
          </w:tcPr>
          <w:p w14:paraId="3DF649CE"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r>
      <w:tr w:rsidR="00732544" w:rsidRPr="009E7447" w14:paraId="37BA0252"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68356C2C" w14:textId="77777777" w:rsidR="00732544" w:rsidRPr="009E7447" w:rsidRDefault="00732544" w:rsidP="00400DD1">
            <w:pPr>
              <w:ind w:left="142" w:hanging="142"/>
              <w:jc w:val="left"/>
              <w:rPr>
                <w:rFonts w:asciiTheme="minorBidi" w:hAnsiTheme="minorBidi" w:cstheme="minorBidi"/>
                <w:b/>
                <w:bCs/>
                <w:color w:val="000000"/>
                <w:sz w:val="18"/>
                <w:szCs w:val="18"/>
                <w:rtl/>
                <w:lang w:eastAsia="he-IL"/>
              </w:rPr>
            </w:pPr>
            <w:r w:rsidRPr="009E7447">
              <w:rPr>
                <w:rFonts w:asciiTheme="minorBidi" w:hAnsiTheme="minorBidi" w:cstheme="minorBidi" w:hint="cs"/>
                <w:b/>
                <w:bCs/>
                <w:color w:val="000000"/>
                <w:sz w:val="18"/>
                <w:szCs w:val="18"/>
                <w:rtl/>
                <w:lang w:eastAsia="he-IL"/>
              </w:rPr>
              <w:t>סך הכל אשראי לציבור – פעילות בחו"ל</w:t>
            </w:r>
          </w:p>
        </w:tc>
        <w:tc>
          <w:tcPr>
            <w:tcW w:w="825" w:type="dxa"/>
            <w:tcBorders>
              <w:top w:val="single" w:sz="12" w:space="0" w:color="auto"/>
            </w:tcBorders>
            <w:shd w:val="clear" w:color="auto" w:fill="auto"/>
            <w:vAlign w:val="bottom"/>
            <w:hideMark/>
          </w:tcPr>
          <w:p w14:paraId="6483CEA4" w14:textId="77777777" w:rsidR="00732544" w:rsidRPr="009E7447" w:rsidRDefault="00732544" w:rsidP="00400DD1">
            <w:pPr>
              <w:spacing w:line="241" w:lineRule="auto"/>
              <w:rPr>
                <w:rFonts w:asciiTheme="minorBidi" w:hAnsiTheme="minorBidi" w:cstheme="minorBidi"/>
                <w:b/>
                <w:bCs/>
                <w:sz w:val="18"/>
                <w:szCs w:val="18"/>
              </w:rPr>
            </w:pPr>
            <w:r w:rsidRPr="009E7447">
              <w:rPr>
                <w:rFonts w:hint="cs"/>
                <w:b/>
                <w:bCs/>
                <w:sz w:val="18"/>
                <w:szCs w:val="18"/>
                <w:rtl/>
              </w:rPr>
              <w:t xml:space="preserve"> 0</w:t>
            </w:r>
          </w:p>
        </w:tc>
        <w:tc>
          <w:tcPr>
            <w:tcW w:w="794" w:type="dxa"/>
            <w:tcBorders>
              <w:top w:val="single" w:sz="12" w:space="0" w:color="auto"/>
            </w:tcBorders>
            <w:shd w:val="clear" w:color="auto" w:fill="auto"/>
            <w:vAlign w:val="bottom"/>
            <w:hideMark/>
          </w:tcPr>
          <w:p w14:paraId="2F9B50AE"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12" w:space="0" w:color="auto"/>
            </w:tcBorders>
            <w:shd w:val="clear" w:color="auto" w:fill="auto"/>
            <w:vAlign w:val="bottom"/>
            <w:hideMark/>
          </w:tcPr>
          <w:p w14:paraId="7472FAA6"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12" w:space="0" w:color="auto"/>
            </w:tcBorders>
            <w:shd w:val="clear" w:color="auto" w:fill="auto"/>
            <w:vAlign w:val="bottom"/>
            <w:hideMark/>
          </w:tcPr>
          <w:p w14:paraId="7A06B188"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12" w:space="0" w:color="auto"/>
            </w:tcBorders>
            <w:shd w:val="clear" w:color="auto" w:fill="auto"/>
            <w:vAlign w:val="bottom"/>
            <w:hideMark/>
          </w:tcPr>
          <w:p w14:paraId="6DD598BA"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17" w:type="dxa"/>
            <w:tcBorders>
              <w:top w:val="single" w:sz="12" w:space="0" w:color="auto"/>
            </w:tcBorders>
            <w:shd w:val="clear" w:color="auto" w:fill="auto"/>
            <w:vAlign w:val="bottom"/>
            <w:hideMark/>
          </w:tcPr>
          <w:p w14:paraId="36510E2F"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999" w:type="dxa"/>
            <w:tcBorders>
              <w:top w:val="single" w:sz="12" w:space="0" w:color="auto"/>
            </w:tcBorders>
            <w:shd w:val="clear" w:color="auto" w:fill="auto"/>
            <w:vAlign w:val="bottom"/>
            <w:hideMark/>
          </w:tcPr>
          <w:p w14:paraId="5E99E93B"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1531" w:type="dxa"/>
            <w:tcBorders>
              <w:top w:val="single" w:sz="12" w:space="0" w:color="auto"/>
            </w:tcBorders>
            <w:shd w:val="clear" w:color="auto" w:fill="auto"/>
            <w:vAlign w:val="bottom"/>
            <w:hideMark/>
          </w:tcPr>
          <w:p w14:paraId="51955333"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59" w:type="dxa"/>
            <w:gridSpan w:val="2"/>
            <w:tcBorders>
              <w:top w:val="single" w:sz="12" w:space="0" w:color="auto"/>
            </w:tcBorders>
            <w:shd w:val="clear" w:color="auto" w:fill="auto"/>
            <w:vAlign w:val="bottom"/>
            <w:hideMark/>
          </w:tcPr>
          <w:p w14:paraId="68A5B267"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r>
      <w:tr w:rsidR="00732544" w:rsidRPr="009E7447" w14:paraId="22567A0A"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75F7C2A7" w14:textId="77777777" w:rsidR="00732544" w:rsidRPr="009E7447" w:rsidRDefault="00732544" w:rsidP="00400DD1">
            <w:pPr>
              <w:spacing w:line="241" w:lineRule="auto"/>
              <w:ind w:left="144" w:hanging="144"/>
              <w:jc w:val="left"/>
              <w:rPr>
                <w:rFonts w:asciiTheme="minorBidi" w:hAnsiTheme="minorBidi" w:cstheme="minorBidi"/>
                <w:color w:val="000000"/>
                <w:sz w:val="18"/>
                <w:szCs w:val="18"/>
                <w:rtl/>
                <w:lang w:eastAsia="he-IL"/>
              </w:rPr>
            </w:pPr>
            <w:r w:rsidRPr="009E7447">
              <w:rPr>
                <w:rFonts w:asciiTheme="minorBidi" w:hAnsiTheme="minorBidi" w:cstheme="minorBidi" w:hint="cs"/>
                <w:color w:val="000000"/>
                <w:sz w:val="18"/>
                <w:szCs w:val="18"/>
                <w:rtl/>
                <w:lang w:eastAsia="he-IL"/>
              </w:rPr>
              <w:t>אשראי לא בעייתי</w:t>
            </w:r>
          </w:p>
        </w:tc>
        <w:tc>
          <w:tcPr>
            <w:tcW w:w="825" w:type="dxa"/>
            <w:shd w:val="clear" w:color="auto" w:fill="auto"/>
            <w:vAlign w:val="bottom"/>
            <w:hideMark/>
          </w:tcPr>
          <w:p w14:paraId="3CF369B8"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612B84CB"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5D924E7D"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50D9FD15"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55CEE924"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17" w:type="dxa"/>
            <w:shd w:val="clear" w:color="auto" w:fill="auto"/>
            <w:vAlign w:val="bottom"/>
            <w:hideMark/>
          </w:tcPr>
          <w:p w14:paraId="7DD2F419"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999" w:type="dxa"/>
            <w:shd w:val="clear" w:color="auto" w:fill="auto"/>
            <w:vAlign w:val="bottom"/>
            <w:hideMark/>
          </w:tcPr>
          <w:p w14:paraId="20EB641C"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1531" w:type="dxa"/>
            <w:shd w:val="clear" w:color="auto" w:fill="auto"/>
            <w:vAlign w:val="bottom"/>
            <w:hideMark/>
          </w:tcPr>
          <w:p w14:paraId="016C57EC"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59" w:type="dxa"/>
            <w:gridSpan w:val="2"/>
            <w:shd w:val="clear" w:color="auto" w:fill="auto"/>
            <w:vAlign w:val="bottom"/>
            <w:hideMark/>
          </w:tcPr>
          <w:p w14:paraId="3475B2BB"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r>
      <w:tr w:rsidR="00732544" w:rsidRPr="009E7447" w14:paraId="206A88DE"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6A94A942" w14:textId="77777777" w:rsidR="00732544" w:rsidRPr="009E7447" w:rsidRDefault="00732544" w:rsidP="00400DD1">
            <w:pPr>
              <w:spacing w:line="241" w:lineRule="auto"/>
              <w:ind w:left="144" w:hanging="144"/>
              <w:jc w:val="left"/>
              <w:rPr>
                <w:rFonts w:asciiTheme="minorBidi" w:hAnsiTheme="minorBidi" w:cstheme="minorBidi"/>
                <w:color w:val="000000"/>
                <w:sz w:val="18"/>
                <w:szCs w:val="18"/>
                <w:rtl/>
                <w:lang w:eastAsia="he-IL"/>
              </w:rPr>
            </w:pPr>
            <w:r w:rsidRPr="009E7447">
              <w:rPr>
                <w:rFonts w:hint="cs"/>
                <w:color w:val="000000"/>
                <w:sz w:val="18"/>
                <w:szCs w:val="18"/>
                <w:rtl/>
                <w:lang w:eastAsia="he-IL"/>
              </w:rPr>
              <w:t>אשראי בעייתי צובר</w:t>
            </w:r>
          </w:p>
        </w:tc>
        <w:tc>
          <w:tcPr>
            <w:tcW w:w="825" w:type="dxa"/>
            <w:shd w:val="clear" w:color="auto" w:fill="auto"/>
            <w:vAlign w:val="bottom"/>
            <w:hideMark/>
          </w:tcPr>
          <w:p w14:paraId="642E4671"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5E515024"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707C4EEA"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6BEC5F0A"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shd w:val="clear" w:color="auto" w:fill="auto"/>
            <w:vAlign w:val="bottom"/>
            <w:hideMark/>
          </w:tcPr>
          <w:p w14:paraId="66070289"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17" w:type="dxa"/>
            <w:shd w:val="clear" w:color="auto" w:fill="auto"/>
            <w:vAlign w:val="bottom"/>
            <w:hideMark/>
          </w:tcPr>
          <w:p w14:paraId="35F91E02"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999" w:type="dxa"/>
            <w:shd w:val="clear" w:color="auto" w:fill="auto"/>
            <w:vAlign w:val="bottom"/>
            <w:hideMark/>
          </w:tcPr>
          <w:p w14:paraId="3100FD35"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1531" w:type="dxa"/>
            <w:shd w:val="clear" w:color="auto" w:fill="auto"/>
            <w:vAlign w:val="bottom"/>
            <w:hideMark/>
          </w:tcPr>
          <w:p w14:paraId="0DFEA2DD"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59" w:type="dxa"/>
            <w:gridSpan w:val="2"/>
            <w:shd w:val="clear" w:color="auto" w:fill="auto"/>
            <w:vAlign w:val="bottom"/>
            <w:hideMark/>
          </w:tcPr>
          <w:p w14:paraId="7CBAAC22"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r>
      <w:tr w:rsidR="00732544" w:rsidRPr="009E7447" w14:paraId="5D8AC189" w14:textId="77777777" w:rsidTr="00C1584D">
        <w:tblPrEx>
          <w:tblLook w:val="01E0" w:firstRow="1" w:lastRow="1" w:firstColumn="1" w:lastColumn="1" w:noHBand="0" w:noVBand="0"/>
        </w:tblPrEx>
        <w:trPr>
          <w:gridAfter w:val="1"/>
          <w:wAfter w:w="16" w:type="dxa"/>
          <w:trHeight w:val="227"/>
        </w:trPr>
        <w:tc>
          <w:tcPr>
            <w:tcW w:w="2376" w:type="dxa"/>
            <w:gridSpan w:val="3"/>
            <w:shd w:val="clear" w:color="auto" w:fill="auto"/>
            <w:vAlign w:val="bottom"/>
            <w:hideMark/>
          </w:tcPr>
          <w:p w14:paraId="32117182" w14:textId="77777777" w:rsidR="00732544" w:rsidRPr="009E7447" w:rsidRDefault="00732544" w:rsidP="00400DD1">
            <w:pPr>
              <w:spacing w:line="241" w:lineRule="auto"/>
              <w:ind w:left="144" w:hanging="144"/>
              <w:jc w:val="left"/>
              <w:rPr>
                <w:rFonts w:asciiTheme="minorBidi" w:hAnsiTheme="minorBidi" w:cstheme="minorBidi"/>
                <w:color w:val="000000"/>
                <w:sz w:val="18"/>
                <w:szCs w:val="18"/>
                <w:rtl/>
                <w:lang w:eastAsia="he-IL"/>
              </w:rPr>
            </w:pPr>
            <w:r w:rsidRPr="009E7447">
              <w:rPr>
                <w:rFonts w:hint="cs"/>
                <w:color w:val="000000"/>
                <w:sz w:val="18"/>
                <w:szCs w:val="18"/>
                <w:rtl/>
                <w:lang w:eastAsia="he-IL"/>
              </w:rPr>
              <w:t>אשראי שאינו צובר</w:t>
            </w:r>
          </w:p>
        </w:tc>
        <w:tc>
          <w:tcPr>
            <w:tcW w:w="825" w:type="dxa"/>
            <w:tcBorders>
              <w:top w:val="nil"/>
              <w:left w:val="nil"/>
              <w:bottom w:val="single" w:sz="12" w:space="0" w:color="auto"/>
              <w:right w:val="nil"/>
            </w:tcBorders>
            <w:shd w:val="clear" w:color="auto" w:fill="auto"/>
            <w:vAlign w:val="bottom"/>
            <w:hideMark/>
          </w:tcPr>
          <w:p w14:paraId="623C5F4B"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nil"/>
              <w:left w:val="nil"/>
              <w:bottom w:val="single" w:sz="12" w:space="0" w:color="auto"/>
              <w:right w:val="nil"/>
            </w:tcBorders>
            <w:shd w:val="clear" w:color="auto" w:fill="auto"/>
            <w:vAlign w:val="bottom"/>
            <w:hideMark/>
          </w:tcPr>
          <w:p w14:paraId="41209CA2"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nil"/>
              <w:left w:val="nil"/>
              <w:bottom w:val="single" w:sz="12" w:space="0" w:color="auto"/>
              <w:right w:val="nil"/>
            </w:tcBorders>
            <w:shd w:val="clear" w:color="auto" w:fill="auto"/>
            <w:vAlign w:val="bottom"/>
            <w:hideMark/>
          </w:tcPr>
          <w:p w14:paraId="1B25CB45"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nil"/>
              <w:left w:val="nil"/>
              <w:bottom w:val="single" w:sz="12" w:space="0" w:color="auto"/>
              <w:right w:val="nil"/>
            </w:tcBorders>
            <w:shd w:val="clear" w:color="auto" w:fill="auto"/>
            <w:vAlign w:val="bottom"/>
            <w:hideMark/>
          </w:tcPr>
          <w:p w14:paraId="13F3D66F"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794" w:type="dxa"/>
            <w:tcBorders>
              <w:top w:val="nil"/>
              <w:left w:val="nil"/>
              <w:bottom w:val="single" w:sz="12" w:space="0" w:color="auto"/>
              <w:right w:val="nil"/>
            </w:tcBorders>
            <w:shd w:val="clear" w:color="auto" w:fill="auto"/>
            <w:vAlign w:val="bottom"/>
            <w:hideMark/>
          </w:tcPr>
          <w:p w14:paraId="0C7614ED"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17" w:type="dxa"/>
            <w:tcBorders>
              <w:top w:val="nil"/>
              <w:left w:val="nil"/>
              <w:bottom w:val="single" w:sz="12" w:space="0" w:color="auto"/>
              <w:right w:val="nil"/>
            </w:tcBorders>
            <w:shd w:val="clear" w:color="auto" w:fill="auto"/>
            <w:vAlign w:val="bottom"/>
            <w:hideMark/>
          </w:tcPr>
          <w:p w14:paraId="290D8F35"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999" w:type="dxa"/>
            <w:tcBorders>
              <w:top w:val="nil"/>
              <w:left w:val="nil"/>
              <w:bottom w:val="single" w:sz="12" w:space="0" w:color="auto"/>
              <w:right w:val="nil"/>
            </w:tcBorders>
            <w:shd w:val="clear" w:color="auto" w:fill="auto"/>
            <w:vAlign w:val="bottom"/>
            <w:hideMark/>
          </w:tcPr>
          <w:p w14:paraId="083BA632"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1531" w:type="dxa"/>
            <w:tcBorders>
              <w:top w:val="nil"/>
              <w:left w:val="nil"/>
              <w:bottom w:val="single" w:sz="12" w:space="0" w:color="auto"/>
              <w:right w:val="nil"/>
            </w:tcBorders>
            <w:shd w:val="clear" w:color="auto" w:fill="auto"/>
            <w:vAlign w:val="bottom"/>
            <w:hideMark/>
          </w:tcPr>
          <w:p w14:paraId="736379A5"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c>
          <w:tcPr>
            <w:tcW w:w="859" w:type="dxa"/>
            <w:gridSpan w:val="2"/>
            <w:tcBorders>
              <w:top w:val="nil"/>
              <w:left w:val="nil"/>
              <w:bottom w:val="single" w:sz="12" w:space="0" w:color="auto"/>
              <w:right w:val="nil"/>
            </w:tcBorders>
            <w:shd w:val="clear" w:color="auto" w:fill="auto"/>
            <w:vAlign w:val="bottom"/>
            <w:hideMark/>
          </w:tcPr>
          <w:p w14:paraId="4A3E9299" w14:textId="77777777" w:rsidR="00732544" w:rsidRPr="009E7447" w:rsidRDefault="00732544" w:rsidP="00400DD1">
            <w:pPr>
              <w:spacing w:line="241" w:lineRule="auto"/>
              <w:rPr>
                <w:rFonts w:asciiTheme="minorBidi" w:hAnsiTheme="minorBidi" w:cstheme="minorBidi"/>
                <w:sz w:val="18"/>
                <w:szCs w:val="18"/>
                <w:rtl/>
              </w:rPr>
            </w:pPr>
            <w:r w:rsidRPr="009E7447">
              <w:rPr>
                <w:rFonts w:hint="cs"/>
                <w:sz w:val="18"/>
                <w:szCs w:val="18"/>
                <w:rtl/>
              </w:rPr>
              <w:t xml:space="preserve"> 0</w:t>
            </w:r>
          </w:p>
        </w:tc>
      </w:tr>
      <w:tr w:rsidR="00732544" w:rsidRPr="009E7447" w14:paraId="629B04B3" w14:textId="77777777" w:rsidTr="00C1584D">
        <w:tblPrEx>
          <w:tblLook w:val="01E0" w:firstRow="1" w:lastRow="1" w:firstColumn="1" w:lastColumn="1" w:noHBand="0" w:noVBand="0"/>
        </w:tblPrEx>
        <w:trPr>
          <w:gridAfter w:val="1"/>
          <w:wAfter w:w="16" w:type="dxa"/>
          <w:trHeight w:val="305"/>
        </w:trPr>
        <w:tc>
          <w:tcPr>
            <w:tcW w:w="2376" w:type="dxa"/>
            <w:gridSpan w:val="3"/>
            <w:shd w:val="clear" w:color="auto" w:fill="auto"/>
            <w:vAlign w:val="bottom"/>
            <w:hideMark/>
          </w:tcPr>
          <w:p w14:paraId="2F2F8953" w14:textId="77777777" w:rsidR="00732544" w:rsidRPr="009E7447" w:rsidRDefault="00732544" w:rsidP="00400DD1">
            <w:pPr>
              <w:spacing w:before="120"/>
              <w:ind w:left="142" w:hanging="142"/>
              <w:jc w:val="left"/>
              <w:rPr>
                <w:rFonts w:asciiTheme="minorBidi" w:hAnsiTheme="minorBidi" w:cstheme="minorBidi"/>
                <w:b/>
                <w:bCs/>
                <w:color w:val="000000"/>
                <w:sz w:val="18"/>
                <w:szCs w:val="18"/>
                <w:rtl/>
                <w:lang w:eastAsia="he-IL"/>
              </w:rPr>
            </w:pPr>
            <w:r w:rsidRPr="009E7447">
              <w:rPr>
                <w:rFonts w:asciiTheme="minorBidi" w:hAnsiTheme="minorBidi" w:cstheme="minorBidi" w:hint="cs"/>
                <w:b/>
                <w:bCs/>
                <w:color w:val="000000"/>
                <w:sz w:val="18"/>
                <w:szCs w:val="18"/>
                <w:rtl/>
                <w:lang w:eastAsia="he-IL"/>
              </w:rPr>
              <w:t>סך הכל אשראי לציבור</w:t>
            </w:r>
          </w:p>
        </w:tc>
        <w:tc>
          <w:tcPr>
            <w:tcW w:w="825" w:type="dxa"/>
            <w:tcBorders>
              <w:top w:val="single" w:sz="12" w:space="0" w:color="auto"/>
              <w:left w:val="nil"/>
              <w:bottom w:val="single" w:sz="18" w:space="0" w:color="auto"/>
              <w:right w:val="nil"/>
            </w:tcBorders>
            <w:shd w:val="clear" w:color="auto" w:fill="auto"/>
            <w:vAlign w:val="bottom"/>
            <w:hideMark/>
          </w:tcPr>
          <w:p w14:paraId="4DB405D9"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12" w:space="0" w:color="auto"/>
              <w:left w:val="nil"/>
              <w:bottom w:val="single" w:sz="18" w:space="0" w:color="auto"/>
              <w:right w:val="nil"/>
            </w:tcBorders>
            <w:shd w:val="clear" w:color="auto" w:fill="auto"/>
            <w:vAlign w:val="bottom"/>
            <w:hideMark/>
          </w:tcPr>
          <w:p w14:paraId="0E5147BA"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12" w:space="0" w:color="auto"/>
              <w:left w:val="nil"/>
              <w:bottom w:val="single" w:sz="18" w:space="0" w:color="auto"/>
              <w:right w:val="nil"/>
            </w:tcBorders>
            <w:shd w:val="clear" w:color="auto" w:fill="auto"/>
            <w:vAlign w:val="bottom"/>
            <w:hideMark/>
          </w:tcPr>
          <w:p w14:paraId="5F3961A4"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12" w:space="0" w:color="auto"/>
              <w:left w:val="nil"/>
              <w:bottom w:val="single" w:sz="18" w:space="0" w:color="auto"/>
              <w:right w:val="nil"/>
            </w:tcBorders>
            <w:shd w:val="clear" w:color="auto" w:fill="auto"/>
            <w:vAlign w:val="bottom"/>
            <w:hideMark/>
          </w:tcPr>
          <w:p w14:paraId="3763BDD3"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794" w:type="dxa"/>
            <w:tcBorders>
              <w:top w:val="single" w:sz="12" w:space="0" w:color="auto"/>
              <w:left w:val="nil"/>
              <w:bottom w:val="single" w:sz="18" w:space="0" w:color="auto"/>
              <w:right w:val="nil"/>
            </w:tcBorders>
            <w:shd w:val="clear" w:color="auto" w:fill="auto"/>
            <w:vAlign w:val="bottom"/>
            <w:hideMark/>
          </w:tcPr>
          <w:p w14:paraId="08761B0D"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17" w:type="dxa"/>
            <w:tcBorders>
              <w:top w:val="single" w:sz="12" w:space="0" w:color="auto"/>
              <w:left w:val="nil"/>
              <w:bottom w:val="single" w:sz="18" w:space="0" w:color="auto"/>
              <w:right w:val="nil"/>
            </w:tcBorders>
            <w:shd w:val="clear" w:color="auto" w:fill="auto"/>
            <w:vAlign w:val="bottom"/>
            <w:hideMark/>
          </w:tcPr>
          <w:p w14:paraId="35F87B91"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999" w:type="dxa"/>
            <w:tcBorders>
              <w:top w:val="single" w:sz="12" w:space="0" w:color="auto"/>
              <w:left w:val="nil"/>
              <w:bottom w:val="single" w:sz="18" w:space="0" w:color="auto"/>
              <w:right w:val="nil"/>
            </w:tcBorders>
            <w:shd w:val="clear" w:color="auto" w:fill="auto"/>
            <w:vAlign w:val="bottom"/>
            <w:hideMark/>
          </w:tcPr>
          <w:p w14:paraId="18A94C36"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1531" w:type="dxa"/>
            <w:tcBorders>
              <w:top w:val="single" w:sz="12" w:space="0" w:color="auto"/>
              <w:left w:val="nil"/>
              <w:bottom w:val="single" w:sz="18" w:space="0" w:color="auto"/>
              <w:right w:val="nil"/>
            </w:tcBorders>
            <w:shd w:val="clear" w:color="auto" w:fill="auto"/>
            <w:vAlign w:val="bottom"/>
            <w:hideMark/>
          </w:tcPr>
          <w:p w14:paraId="31DD61A0"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c>
          <w:tcPr>
            <w:tcW w:w="859" w:type="dxa"/>
            <w:gridSpan w:val="2"/>
            <w:tcBorders>
              <w:top w:val="single" w:sz="12" w:space="0" w:color="auto"/>
              <w:left w:val="nil"/>
              <w:bottom w:val="single" w:sz="18" w:space="0" w:color="auto"/>
              <w:right w:val="nil"/>
            </w:tcBorders>
            <w:shd w:val="clear" w:color="auto" w:fill="auto"/>
            <w:vAlign w:val="bottom"/>
            <w:hideMark/>
          </w:tcPr>
          <w:p w14:paraId="14F6FED6" w14:textId="77777777" w:rsidR="00732544" w:rsidRPr="009E7447" w:rsidRDefault="00732544" w:rsidP="00400DD1">
            <w:pPr>
              <w:spacing w:line="241" w:lineRule="auto"/>
              <w:rPr>
                <w:rFonts w:asciiTheme="minorBidi" w:hAnsiTheme="minorBidi" w:cstheme="minorBidi"/>
                <w:b/>
                <w:bCs/>
                <w:sz w:val="18"/>
                <w:szCs w:val="18"/>
                <w:rtl/>
              </w:rPr>
            </w:pPr>
            <w:r w:rsidRPr="009E7447">
              <w:rPr>
                <w:rFonts w:hint="cs"/>
                <w:b/>
                <w:bCs/>
                <w:sz w:val="18"/>
                <w:szCs w:val="18"/>
                <w:rtl/>
              </w:rPr>
              <w:t xml:space="preserve"> 0</w:t>
            </w:r>
          </w:p>
        </w:tc>
      </w:tr>
    </w:tbl>
    <w:p w14:paraId="7612E621" w14:textId="77777777" w:rsidR="00794E61" w:rsidRDefault="00794E61" w:rsidP="00794E61">
      <w:pPr>
        <w:rPr>
          <w:b/>
          <w:bCs/>
          <w:u w:val="single"/>
          <w:rtl/>
        </w:rPr>
      </w:pPr>
    </w:p>
    <w:p w14:paraId="04785AB2" w14:textId="74768C78" w:rsidR="00E45283" w:rsidRDefault="00E45283" w:rsidP="00E45283">
      <w:pPr>
        <w:rPr>
          <w:rtl/>
        </w:rPr>
      </w:pPr>
      <w:r>
        <w:rPr>
          <w:rtl/>
        </w:rPr>
        <w:br w:type="page"/>
      </w:r>
    </w:p>
    <w:tbl>
      <w:tblPr>
        <w:bidiVisual/>
        <w:tblW w:w="5066" w:type="pct"/>
        <w:tblLook w:val="04A0" w:firstRow="1" w:lastRow="0" w:firstColumn="1" w:lastColumn="0" w:noHBand="0" w:noVBand="1"/>
      </w:tblPr>
      <w:tblGrid>
        <w:gridCol w:w="1131"/>
        <w:gridCol w:w="424"/>
        <w:gridCol w:w="8787"/>
      </w:tblGrid>
      <w:tr w:rsidR="00347524" w:rsidRPr="009E7447" w14:paraId="067FA837" w14:textId="77777777" w:rsidTr="00777ED4">
        <w:trPr>
          <w:trHeight w:val="259"/>
        </w:trPr>
        <w:tc>
          <w:tcPr>
            <w:tcW w:w="547" w:type="pct"/>
          </w:tcPr>
          <w:p w14:paraId="39A4C202" w14:textId="77777777" w:rsidR="00347524" w:rsidRPr="009E7447" w:rsidRDefault="00347524" w:rsidP="002C7046">
            <w:pPr>
              <w:spacing w:after="60"/>
              <w:ind w:right="-144"/>
              <w:jc w:val="left"/>
              <w:rPr>
                <w:spacing w:val="-6"/>
                <w:sz w:val="14"/>
                <w:szCs w:val="14"/>
                <w:rtl/>
              </w:rPr>
            </w:pPr>
            <w:bookmarkStart w:id="43" w:name="_Hlk102293257"/>
          </w:p>
        </w:tc>
        <w:tc>
          <w:tcPr>
            <w:tcW w:w="4453" w:type="pct"/>
            <w:gridSpan w:val="2"/>
          </w:tcPr>
          <w:p w14:paraId="00B3A2F8" w14:textId="77777777" w:rsidR="00347524" w:rsidRPr="009E7447" w:rsidRDefault="00347524" w:rsidP="002C7046">
            <w:pPr>
              <w:spacing w:after="60"/>
              <w:rPr>
                <w:b/>
                <w:bCs/>
                <w:sz w:val="22"/>
                <w:szCs w:val="22"/>
                <w:rtl/>
              </w:rPr>
            </w:pPr>
            <w:r w:rsidRPr="009E7447">
              <w:rPr>
                <w:b/>
                <w:bCs/>
                <w:sz w:val="22"/>
                <w:szCs w:val="22"/>
                <w:rtl/>
              </w:rPr>
              <w:t xml:space="preserve">ביאור </w:t>
            </w:r>
            <w:r w:rsidRPr="009E7447">
              <w:rPr>
                <w:rFonts w:hint="cs"/>
                <w:b/>
                <w:bCs/>
                <w:sz w:val="22"/>
                <w:szCs w:val="22"/>
                <w:rtl/>
              </w:rPr>
              <w:t>12</w:t>
            </w:r>
            <w:r w:rsidRPr="009E7447">
              <w:rPr>
                <w:b/>
                <w:bCs/>
                <w:sz w:val="22"/>
                <w:szCs w:val="22"/>
                <w:rtl/>
              </w:rPr>
              <w:t xml:space="preserve">  -  </w:t>
            </w:r>
            <w:r w:rsidRPr="009E7447">
              <w:rPr>
                <w:rFonts w:hint="cs"/>
                <w:b/>
                <w:bCs/>
                <w:sz w:val="22"/>
                <w:szCs w:val="22"/>
                <w:rtl/>
              </w:rPr>
              <w:t xml:space="preserve">מידע נוסף על </w:t>
            </w:r>
            <w:r w:rsidRPr="009E7447">
              <w:rPr>
                <w:b/>
                <w:bCs/>
                <w:sz w:val="22"/>
                <w:szCs w:val="22"/>
                <w:rtl/>
              </w:rPr>
              <w:t>סיכון אשראי, אשראי לציבור והפרשה להפסדי אשראי</w:t>
            </w:r>
            <w:r w:rsidRPr="009E7447">
              <w:rPr>
                <w:rFonts w:hint="cs"/>
                <w:b/>
                <w:bCs/>
                <w:sz w:val="22"/>
                <w:szCs w:val="22"/>
                <w:rtl/>
              </w:rPr>
              <w:t xml:space="preserve"> (המשך):</w:t>
            </w:r>
          </w:p>
        </w:tc>
      </w:tr>
      <w:tr w:rsidR="00347524" w:rsidRPr="009E7447" w14:paraId="063D71D0" w14:textId="77777777" w:rsidTr="00777ED4">
        <w:tblPrEx>
          <w:jc w:val="right"/>
          <w:tblLook w:val="0000" w:firstRow="0" w:lastRow="0" w:firstColumn="0" w:lastColumn="0" w:noHBand="0" w:noVBand="0"/>
        </w:tblPrEx>
        <w:trPr>
          <w:trHeight w:val="245"/>
          <w:jc w:val="right"/>
        </w:trPr>
        <w:tc>
          <w:tcPr>
            <w:tcW w:w="547" w:type="pct"/>
          </w:tcPr>
          <w:p w14:paraId="6A64E839" w14:textId="77777777" w:rsidR="00347524" w:rsidRPr="009E7447" w:rsidRDefault="00347524" w:rsidP="002C7046">
            <w:pPr>
              <w:spacing w:before="100" w:after="60"/>
              <w:rPr>
                <w:spacing w:val="-4"/>
                <w:rtl/>
              </w:rPr>
            </w:pPr>
          </w:p>
        </w:tc>
        <w:tc>
          <w:tcPr>
            <w:tcW w:w="205" w:type="pct"/>
          </w:tcPr>
          <w:p w14:paraId="3C2DB86B" w14:textId="77777777" w:rsidR="00347524" w:rsidRPr="009E7447" w:rsidRDefault="00347524" w:rsidP="002C7046">
            <w:pPr>
              <w:spacing w:before="60" w:after="60"/>
              <w:jc w:val="left"/>
              <w:rPr>
                <w:b/>
                <w:bCs/>
                <w:rtl/>
              </w:rPr>
            </w:pPr>
            <w:r>
              <w:rPr>
                <w:rFonts w:hint="cs"/>
                <w:b/>
                <w:bCs/>
                <w:rtl/>
              </w:rPr>
              <w:t>ב</w:t>
            </w:r>
            <w:r w:rsidRPr="009E7447">
              <w:rPr>
                <w:rFonts w:hint="cs"/>
                <w:b/>
                <w:bCs/>
                <w:rtl/>
              </w:rPr>
              <w:t>.</w:t>
            </w:r>
          </w:p>
        </w:tc>
        <w:tc>
          <w:tcPr>
            <w:tcW w:w="4248" w:type="pct"/>
          </w:tcPr>
          <w:p w14:paraId="4108B611" w14:textId="77777777" w:rsidR="00347524" w:rsidRPr="009E7447" w:rsidRDefault="00347524" w:rsidP="002C7046">
            <w:pPr>
              <w:spacing w:before="60" w:after="60" w:line="180" w:lineRule="exact"/>
              <w:jc w:val="left"/>
              <w:rPr>
                <w:b/>
                <w:bCs/>
                <w:rtl/>
              </w:rPr>
            </w:pPr>
            <w:r w:rsidRPr="009E7447">
              <w:rPr>
                <w:rFonts w:hint="cs"/>
                <w:b/>
                <w:bCs/>
                <w:rtl/>
              </w:rPr>
              <w:t>אשראי לציבור</w:t>
            </w:r>
            <w:r w:rsidRPr="009E7447">
              <w:rPr>
                <w:b/>
                <w:bCs/>
                <w:rtl/>
              </w:rPr>
              <w:t xml:space="preserve"> (המשך):</w:t>
            </w:r>
          </w:p>
        </w:tc>
      </w:tr>
      <w:tr w:rsidR="00347524" w:rsidRPr="009E7447" w14:paraId="3B126782" w14:textId="77777777" w:rsidTr="00777ED4">
        <w:tblPrEx>
          <w:jc w:val="right"/>
          <w:tblLook w:val="0000" w:firstRow="0" w:lastRow="0" w:firstColumn="0" w:lastColumn="0" w:noHBand="0" w:noVBand="0"/>
        </w:tblPrEx>
        <w:trPr>
          <w:trHeight w:val="325"/>
          <w:jc w:val="right"/>
        </w:trPr>
        <w:tc>
          <w:tcPr>
            <w:tcW w:w="547" w:type="pct"/>
          </w:tcPr>
          <w:p w14:paraId="7E43DE8C" w14:textId="77777777" w:rsidR="00347524" w:rsidRPr="00F05272" w:rsidRDefault="00347524" w:rsidP="002C7046">
            <w:pPr>
              <w:spacing w:line="241" w:lineRule="auto"/>
              <w:ind w:left="144" w:hanging="144"/>
              <w:jc w:val="left"/>
              <w:rPr>
                <w:sz w:val="14"/>
                <w:szCs w:val="14"/>
              </w:rPr>
            </w:pPr>
            <w:r w:rsidRPr="00F05272">
              <w:rPr>
                <w:rFonts w:hint="eastAsia"/>
                <w:sz w:val="14"/>
                <w:szCs w:val="14"/>
                <w:rtl/>
              </w:rPr>
              <w:t>מתכונת</w:t>
            </w:r>
            <w:r w:rsidRPr="00F05272">
              <w:rPr>
                <w:sz w:val="14"/>
                <w:szCs w:val="14"/>
                <w:rtl/>
              </w:rPr>
              <w:t xml:space="preserve"> </w:t>
            </w:r>
            <w:r w:rsidRPr="00F05272">
              <w:rPr>
                <w:rFonts w:hint="eastAsia"/>
                <w:sz w:val="14"/>
                <w:szCs w:val="14"/>
                <w:rtl/>
              </w:rPr>
              <w:t>ביאור</w:t>
            </w:r>
          </w:p>
          <w:p w14:paraId="625FCE8E" w14:textId="181DEBE0" w:rsidR="00347524" w:rsidRPr="00777ED4" w:rsidRDefault="00347524" w:rsidP="00777ED4">
            <w:pPr>
              <w:rPr>
                <w:sz w:val="14"/>
                <w:szCs w:val="14"/>
                <w:rtl/>
              </w:rPr>
            </w:pPr>
            <w:r w:rsidRPr="00F05272">
              <w:rPr>
                <w:rFonts w:hint="eastAsia"/>
                <w:sz w:val="14"/>
                <w:szCs w:val="14"/>
                <w:rtl/>
              </w:rPr>
              <w:t>עמוד</w:t>
            </w:r>
            <w:r w:rsidRPr="00F05272">
              <w:rPr>
                <w:sz w:val="14"/>
                <w:szCs w:val="14"/>
                <w:rtl/>
              </w:rPr>
              <w:t xml:space="preserve"> 663-47</w:t>
            </w:r>
          </w:p>
        </w:tc>
        <w:tc>
          <w:tcPr>
            <w:tcW w:w="205" w:type="pct"/>
          </w:tcPr>
          <w:p w14:paraId="1084030B" w14:textId="77777777" w:rsidR="00347524" w:rsidRPr="009E7447" w:rsidRDefault="00347524" w:rsidP="002C7046">
            <w:pPr>
              <w:spacing w:before="60" w:after="60"/>
              <w:jc w:val="left"/>
              <w:rPr>
                <w:b/>
                <w:bCs/>
                <w:rtl/>
              </w:rPr>
            </w:pPr>
          </w:p>
        </w:tc>
        <w:tc>
          <w:tcPr>
            <w:tcW w:w="4248" w:type="pct"/>
            <w:tcBorders>
              <w:left w:val="nil"/>
            </w:tcBorders>
          </w:tcPr>
          <w:p w14:paraId="33756E3A" w14:textId="0F4C13EA" w:rsidR="00347524" w:rsidRPr="009E7447" w:rsidRDefault="00347524" w:rsidP="002C7046">
            <w:pPr>
              <w:tabs>
                <w:tab w:val="left" w:pos="446"/>
              </w:tabs>
              <w:spacing w:before="60" w:after="60" w:line="180" w:lineRule="exact"/>
              <w:ind w:left="448" w:hanging="448"/>
              <w:rPr>
                <w:b/>
                <w:bCs/>
                <w:rtl/>
              </w:rPr>
            </w:pPr>
            <w:r>
              <w:rPr>
                <w:rFonts w:hint="cs"/>
                <w:b/>
                <w:bCs/>
                <w:rtl/>
              </w:rPr>
              <w:t>2</w:t>
            </w:r>
            <w:r w:rsidRPr="009E7447">
              <w:rPr>
                <w:b/>
                <w:bCs/>
                <w:rtl/>
              </w:rPr>
              <w:t>.</w:t>
            </w:r>
            <w:r>
              <w:rPr>
                <w:rFonts w:hint="cs"/>
                <w:b/>
                <w:bCs/>
                <w:rtl/>
              </w:rPr>
              <w:t xml:space="preserve">א.   </w:t>
            </w:r>
            <w:r w:rsidRPr="009E7447">
              <w:rPr>
                <w:rFonts w:hint="cs"/>
                <w:b/>
                <w:bCs/>
                <w:rtl/>
              </w:rPr>
              <w:t xml:space="preserve">מידע נוסף על </w:t>
            </w:r>
            <w:r w:rsidRPr="00EB3D07">
              <w:rPr>
                <w:rFonts w:hint="cs"/>
                <w:b/>
                <w:bCs/>
                <w:rtl/>
              </w:rPr>
              <w:t>חובות לא צוברים</w:t>
            </w:r>
            <w:r w:rsidR="009C3577">
              <w:rPr>
                <w:rFonts w:hint="cs"/>
                <w:b/>
                <w:bCs/>
                <w:rtl/>
              </w:rPr>
              <w:t xml:space="preserve">    </w:t>
            </w:r>
          </w:p>
        </w:tc>
      </w:tr>
    </w:tbl>
    <w:p w14:paraId="365A7D56" w14:textId="77777777" w:rsidR="00AF6944" w:rsidRDefault="00AF6944"/>
    <w:bookmarkEnd w:id="43"/>
    <w:tbl>
      <w:tblPr>
        <w:bidiVisual/>
        <w:tblW w:w="4746" w:type="pct"/>
        <w:tblLook w:val="01E0" w:firstRow="1" w:lastRow="1" w:firstColumn="1" w:lastColumn="1" w:noHBand="0" w:noVBand="0"/>
      </w:tblPr>
      <w:tblGrid>
        <w:gridCol w:w="3402"/>
        <w:gridCol w:w="1143"/>
        <w:gridCol w:w="773"/>
        <w:gridCol w:w="1300"/>
        <w:gridCol w:w="1008"/>
        <w:gridCol w:w="992"/>
        <w:gridCol w:w="1070"/>
      </w:tblGrid>
      <w:tr w:rsidR="00AF6944" w:rsidRPr="009E7447" w14:paraId="27A2BA26" w14:textId="77777777" w:rsidTr="00AF6944">
        <w:trPr>
          <w:trHeight w:val="259"/>
        </w:trPr>
        <w:tc>
          <w:tcPr>
            <w:tcW w:w="1756" w:type="pct"/>
            <w:tcBorders>
              <w:left w:val="nil"/>
            </w:tcBorders>
            <w:vAlign w:val="bottom"/>
          </w:tcPr>
          <w:p w14:paraId="0FDD0C80" w14:textId="77777777" w:rsidR="00AF6944" w:rsidRPr="009E7447" w:rsidRDefault="00AF6944" w:rsidP="00400DD1">
            <w:pPr>
              <w:spacing w:line="241" w:lineRule="auto"/>
              <w:ind w:left="144" w:hanging="144"/>
              <w:jc w:val="left"/>
              <w:rPr>
                <w:color w:val="000000"/>
                <w:rtl/>
                <w:lang w:eastAsia="he-IL"/>
              </w:rPr>
            </w:pPr>
          </w:p>
        </w:tc>
        <w:tc>
          <w:tcPr>
            <w:tcW w:w="590" w:type="pct"/>
            <w:vAlign w:val="bottom"/>
          </w:tcPr>
          <w:p w14:paraId="2E3540AD" w14:textId="77777777" w:rsidR="00AF6944" w:rsidRPr="009E7447" w:rsidRDefault="00AF6944" w:rsidP="00400DD1">
            <w:pPr>
              <w:pBdr>
                <w:bottom w:val="single" w:sz="6" w:space="1" w:color="auto"/>
              </w:pBdr>
              <w:spacing w:before="30"/>
              <w:jc w:val="center"/>
              <w:rPr>
                <w:sz w:val="16"/>
                <w:szCs w:val="16"/>
                <w:rtl/>
              </w:rPr>
            </w:pPr>
            <w:r w:rsidRPr="009E7447">
              <w:rPr>
                <w:rFonts w:hint="cs"/>
                <w:b/>
                <w:bCs/>
                <w:sz w:val="16"/>
                <w:szCs w:val="16"/>
                <w:rtl/>
              </w:rPr>
              <w:t>יתרת</w:t>
            </w:r>
            <w:r w:rsidRPr="009E7447">
              <w:rPr>
                <w:b/>
                <w:bCs/>
                <w:sz w:val="18"/>
                <w:szCs w:val="18"/>
                <w:vertAlign w:val="superscript"/>
                <w:rtl/>
              </w:rPr>
              <w:t>(</w:t>
            </w:r>
            <w:r w:rsidRPr="009E7447">
              <w:rPr>
                <w:rFonts w:hint="cs"/>
                <w:b/>
                <w:bCs/>
                <w:sz w:val="18"/>
                <w:szCs w:val="18"/>
                <w:vertAlign w:val="superscript"/>
                <w:rtl/>
              </w:rPr>
              <w:t>א</w:t>
            </w:r>
            <w:r w:rsidRPr="009E7447">
              <w:rPr>
                <w:b/>
                <w:bCs/>
                <w:sz w:val="18"/>
                <w:szCs w:val="18"/>
                <w:vertAlign w:val="superscript"/>
                <w:rtl/>
              </w:rPr>
              <w:t>)</w:t>
            </w:r>
            <w:r w:rsidRPr="009E7447">
              <w:rPr>
                <w:rFonts w:hint="cs"/>
                <w:b/>
                <w:bCs/>
                <w:sz w:val="16"/>
                <w:szCs w:val="16"/>
                <w:rtl/>
              </w:rPr>
              <w:t xml:space="preserve"> חובות </w:t>
            </w:r>
            <w:r w:rsidRPr="00EB3D07">
              <w:rPr>
                <w:rFonts w:hint="cs"/>
                <w:b/>
                <w:bCs/>
                <w:sz w:val="16"/>
                <w:szCs w:val="16"/>
                <w:rtl/>
              </w:rPr>
              <w:t>לא צוברים</w:t>
            </w:r>
            <w:r w:rsidRPr="009E7447">
              <w:rPr>
                <w:rFonts w:hint="cs"/>
                <w:b/>
                <w:bCs/>
                <w:sz w:val="16"/>
                <w:szCs w:val="16"/>
                <w:rtl/>
              </w:rPr>
              <w:t xml:space="preserve"> בגינם קיימת הפרשה </w:t>
            </w:r>
          </w:p>
        </w:tc>
        <w:tc>
          <w:tcPr>
            <w:tcW w:w="399" w:type="pct"/>
            <w:vAlign w:val="bottom"/>
          </w:tcPr>
          <w:p w14:paraId="4BFEECD6" w14:textId="77777777" w:rsidR="00AF6944" w:rsidRPr="009E7447" w:rsidRDefault="00AF6944" w:rsidP="00400DD1">
            <w:pPr>
              <w:pBdr>
                <w:bottom w:val="single" w:sz="6" w:space="1" w:color="auto"/>
              </w:pBdr>
              <w:spacing w:before="20"/>
              <w:jc w:val="center"/>
              <w:rPr>
                <w:sz w:val="16"/>
                <w:szCs w:val="16"/>
                <w:rtl/>
              </w:rPr>
            </w:pPr>
            <w:r w:rsidRPr="009E7447">
              <w:rPr>
                <w:rFonts w:hint="cs"/>
                <w:b/>
                <w:bCs/>
                <w:sz w:val="16"/>
                <w:szCs w:val="16"/>
                <w:rtl/>
              </w:rPr>
              <w:t xml:space="preserve">יתרת הפרשה </w:t>
            </w:r>
          </w:p>
        </w:tc>
        <w:tc>
          <w:tcPr>
            <w:tcW w:w="671" w:type="pct"/>
            <w:vAlign w:val="bottom"/>
          </w:tcPr>
          <w:p w14:paraId="0DD0AC3B" w14:textId="77777777" w:rsidR="00AF6944" w:rsidRPr="009E7447" w:rsidRDefault="00AF6944" w:rsidP="00400DD1">
            <w:pPr>
              <w:pBdr>
                <w:bottom w:val="single" w:sz="6" w:space="1" w:color="auto"/>
              </w:pBdr>
              <w:spacing w:before="30"/>
              <w:jc w:val="center"/>
              <w:rPr>
                <w:b/>
                <w:bCs/>
                <w:sz w:val="16"/>
                <w:szCs w:val="16"/>
                <w:rtl/>
              </w:rPr>
            </w:pPr>
            <w:r w:rsidRPr="009E7447">
              <w:rPr>
                <w:rFonts w:hint="cs"/>
                <w:b/>
                <w:bCs/>
                <w:sz w:val="16"/>
                <w:szCs w:val="16"/>
                <w:rtl/>
              </w:rPr>
              <w:t>יתרת</w:t>
            </w:r>
            <w:r w:rsidRPr="009E7447">
              <w:rPr>
                <w:b/>
                <w:bCs/>
                <w:sz w:val="18"/>
                <w:szCs w:val="18"/>
                <w:vertAlign w:val="superscript"/>
                <w:rtl/>
              </w:rPr>
              <w:t>(</w:t>
            </w:r>
            <w:r w:rsidRPr="009E7447">
              <w:rPr>
                <w:rFonts w:hint="cs"/>
                <w:b/>
                <w:bCs/>
                <w:sz w:val="18"/>
                <w:szCs w:val="18"/>
                <w:vertAlign w:val="superscript"/>
                <w:rtl/>
              </w:rPr>
              <w:t>א</w:t>
            </w:r>
            <w:r w:rsidRPr="009E7447">
              <w:rPr>
                <w:b/>
                <w:bCs/>
                <w:sz w:val="18"/>
                <w:szCs w:val="18"/>
                <w:vertAlign w:val="superscript"/>
                <w:rtl/>
              </w:rPr>
              <w:t>)</w:t>
            </w:r>
            <w:r w:rsidRPr="009E7447">
              <w:rPr>
                <w:rFonts w:hint="cs"/>
                <w:b/>
                <w:bCs/>
                <w:sz w:val="16"/>
                <w:szCs w:val="16"/>
                <w:rtl/>
              </w:rPr>
              <w:t xml:space="preserve"> חובות </w:t>
            </w:r>
            <w:r w:rsidRPr="00EB3D07">
              <w:rPr>
                <w:rFonts w:hint="cs"/>
                <w:b/>
                <w:bCs/>
                <w:sz w:val="16"/>
                <w:szCs w:val="16"/>
                <w:rtl/>
              </w:rPr>
              <w:t>לא צוברים</w:t>
            </w:r>
            <w:r w:rsidRPr="009E7447">
              <w:rPr>
                <w:rFonts w:hint="cs"/>
                <w:b/>
                <w:bCs/>
                <w:sz w:val="16"/>
                <w:szCs w:val="16"/>
                <w:rtl/>
              </w:rPr>
              <w:t xml:space="preserve"> בגינם לא קיימת הפרשה </w:t>
            </w:r>
          </w:p>
        </w:tc>
        <w:tc>
          <w:tcPr>
            <w:tcW w:w="520" w:type="pct"/>
            <w:vAlign w:val="bottom"/>
          </w:tcPr>
          <w:p w14:paraId="196C08C9" w14:textId="77777777" w:rsidR="00AF6944" w:rsidRPr="009E7447" w:rsidRDefault="00AF6944" w:rsidP="00400DD1">
            <w:pPr>
              <w:pBdr>
                <w:bottom w:val="single" w:sz="6" w:space="1" w:color="auto"/>
              </w:pBdr>
              <w:spacing w:before="20"/>
              <w:jc w:val="center"/>
              <w:rPr>
                <w:b/>
                <w:bCs/>
                <w:sz w:val="16"/>
                <w:szCs w:val="16"/>
                <w:rtl/>
              </w:rPr>
            </w:pPr>
            <w:r w:rsidRPr="009E7447">
              <w:rPr>
                <w:rFonts w:hint="cs"/>
                <w:b/>
                <w:bCs/>
                <w:sz w:val="16"/>
                <w:szCs w:val="16"/>
                <w:rtl/>
              </w:rPr>
              <w:t>סך הכל יתרת</w:t>
            </w:r>
            <w:r w:rsidRPr="009E7447">
              <w:rPr>
                <w:b/>
                <w:bCs/>
                <w:sz w:val="16"/>
                <w:szCs w:val="16"/>
                <w:vertAlign w:val="superscript"/>
                <w:rtl/>
              </w:rPr>
              <w:t>(</w:t>
            </w:r>
            <w:r w:rsidRPr="009E7447">
              <w:rPr>
                <w:rFonts w:hint="cs"/>
                <w:b/>
                <w:bCs/>
                <w:sz w:val="16"/>
                <w:szCs w:val="16"/>
                <w:vertAlign w:val="superscript"/>
                <w:rtl/>
              </w:rPr>
              <w:t>א</w:t>
            </w:r>
            <w:r w:rsidRPr="009E7447">
              <w:rPr>
                <w:b/>
                <w:bCs/>
                <w:sz w:val="16"/>
                <w:szCs w:val="16"/>
                <w:vertAlign w:val="superscript"/>
                <w:rtl/>
              </w:rPr>
              <w:t>)</w:t>
            </w:r>
            <w:r w:rsidRPr="009E7447">
              <w:rPr>
                <w:rFonts w:hint="cs"/>
                <w:b/>
                <w:bCs/>
                <w:sz w:val="16"/>
                <w:szCs w:val="16"/>
                <w:rtl/>
              </w:rPr>
              <w:t xml:space="preserve"> </w:t>
            </w:r>
            <w:r w:rsidRPr="00EB3D07">
              <w:rPr>
                <w:rFonts w:hint="cs"/>
                <w:b/>
                <w:bCs/>
                <w:sz w:val="16"/>
                <w:szCs w:val="16"/>
                <w:rtl/>
              </w:rPr>
              <w:t>חובות לא צוברים</w:t>
            </w:r>
            <w:r w:rsidRPr="00EB3D07">
              <w:rPr>
                <w:rFonts w:hint="cs"/>
                <w:b/>
                <w:bCs/>
                <w:sz w:val="16"/>
                <w:szCs w:val="16"/>
                <w:vertAlign w:val="superscript"/>
                <w:rtl/>
              </w:rPr>
              <w:t>(</w:t>
            </w:r>
            <w:r w:rsidRPr="00C61EB4">
              <w:rPr>
                <w:rFonts w:hint="cs"/>
                <w:b/>
                <w:bCs/>
                <w:sz w:val="16"/>
                <w:szCs w:val="16"/>
                <w:vertAlign w:val="superscript"/>
                <w:rtl/>
              </w:rPr>
              <w:t>ב)(ג)</w:t>
            </w:r>
          </w:p>
        </w:tc>
        <w:tc>
          <w:tcPr>
            <w:tcW w:w="512" w:type="pct"/>
            <w:vAlign w:val="bottom"/>
          </w:tcPr>
          <w:p w14:paraId="6099C715" w14:textId="77777777" w:rsidR="00AF6944" w:rsidRPr="009E7447" w:rsidRDefault="00AF6944" w:rsidP="00400DD1">
            <w:pPr>
              <w:spacing w:before="20"/>
              <w:jc w:val="center"/>
              <w:rPr>
                <w:b/>
                <w:bCs/>
                <w:sz w:val="16"/>
                <w:szCs w:val="16"/>
                <w:rtl/>
              </w:rPr>
            </w:pPr>
            <w:r w:rsidRPr="009E7447">
              <w:rPr>
                <w:rFonts w:hint="cs"/>
                <w:b/>
                <w:bCs/>
                <w:sz w:val="16"/>
                <w:szCs w:val="16"/>
                <w:rtl/>
              </w:rPr>
              <w:t xml:space="preserve">יתרת קרן חוזית </w:t>
            </w:r>
          </w:p>
          <w:p w14:paraId="06775616" w14:textId="77777777" w:rsidR="00AF6944" w:rsidRPr="009E7447" w:rsidRDefault="00AF6944" w:rsidP="00400DD1">
            <w:pPr>
              <w:pBdr>
                <w:bottom w:val="single" w:sz="6" w:space="1" w:color="auto"/>
              </w:pBdr>
              <w:ind w:left="-28" w:right="-28"/>
              <w:jc w:val="center"/>
              <w:rPr>
                <w:b/>
                <w:bCs/>
                <w:sz w:val="16"/>
                <w:szCs w:val="16"/>
                <w:rtl/>
              </w:rPr>
            </w:pPr>
            <w:r w:rsidRPr="009E7447">
              <w:rPr>
                <w:rFonts w:hint="cs"/>
                <w:b/>
                <w:bCs/>
                <w:sz w:val="16"/>
                <w:szCs w:val="16"/>
                <w:rtl/>
              </w:rPr>
              <w:t xml:space="preserve">של </w:t>
            </w:r>
            <w:r w:rsidRPr="00EB3D07">
              <w:rPr>
                <w:rFonts w:hint="cs"/>
                <w:b/>
                <w:bCs/>
                <w:sz w:val="16"/>
                <w:szCs w:val="16"/>
                <w:rtl/>
              </w:rPr>
              <w:t>חובות לא צוברים</w:t>
            </w:r>
          </w:p>
        </w:tc>
        <w:tc>
          <w:tcPr>
            <w:tcW w:w="552" w:type="pct"/>
            <w:vAlign w:val="bottom"/>
          </w:tcPr>
          <w:p w14:paraId="2B2E3B39" w14:textId="77777777" w:rsidR="00AF6944" w:rsidRPr="009E7447" w:rsidRDefault="00AF6944" w:rsidP="00400DD1">
            <w:pPr>
              <w:pBdr>
                <w:bottom w:val="single" w:sz="6" w:space="1" w:color="auto"/>
              </w:pBdr>
              <w:ind w:left="-28" w:right="-28"/>
              <w:jc w:val="center"/>
              <w:rPr>
                <w:b/>
                <w:bCs/>
                <w:sz w:val="16"/>
                <w:szCs w:val="16"/>
                <w:rtl/>
              </w:rPr>
            </w:pPr>
            <w:r w:rsidRPr="00E01C9A">
              <w:rPr>
                <w:rFonts w:hint="cs"/>
                <w:b/>
                <w:bCs/>
                <w:sz w:val="16"/>
                <w:szCs w:val="16"/>
                <w:rtl/>
              </w:rPr>
              <w:t>הכנסות ריבית שנרשמו</w:t>
            </w:r>
            <w:r w:rsidRPr="009E7447">
              <w:rPr>
                <w:rFonts w:hint="cs"/>
                <w:b/>
                <w:bCs/>
                <w:sz w:val="16"/>
                <w:szCs w:val="16"/>
                <w:vertAlign w:val="superscript"/>
                <w:rtl/>
              </w:rPr>
              <w:t>[</w:t>
            </w:r>
            <w:r w:rsidRPr="009E7447">
              <w:rPr>
                <w:rFonts w:hint="cs"/>
                <w:b/>
                <w:bCs/>
                <w:vertAlign w:val="superscript"/>
                <w:rtl/>
              </w:rPr>
              <w:t>ד</w:t>
            </w:r>
            <w:r w:rsidRPr="009E7447">
              <w:rPr>
                <w:rFonts w:hint="cs"/>
                <w:b/>
                <w:bCs/>
                <w:sz w:val="16"/>
                <w:szCs w:val="16"/>
                <w:vertAlign w:val="superscript"/>
                <w:rtl/>
              </w:rPr>
              <w:t>]</w:t>
            </w:r>
          </w:p>
        </w:tc>
      </w:tr>
      <w:tr w:rsidR="00AF6944" w:rsidRPr="009E7447" w14:paraId="71340F40" w14:textId="77777777" w:rsidTr="00AF6944">
        <w:trPr>
          <w:trHeight w:val="259"/>
        </w:trPr>
        <w:tc>
          <w:tcPr>
            <w:tcW w:w="1756" w:type="pct"/>
            <w:tcBorders>
              <w:left w:val="nil"/>
            </w:tcBorders>
            <w:vAlign w:val="bottom"/>
          </w:tcPr>
          <w:p w14:paraId="05DDEBD4" w14:textId="77777777" w:rsidR="00AF6944" w:rsidRPr="009E7447" w:rsidRDefault="00AF6944" w:rsidP="00400DD1">
            <w:pPr>
              <w:spacing w:line="241" w:lineRule="auto"/>
              <w:ind w:left="144" w:hanging="144"/>
              <w:jc w:val="left"/>
              <w:rPr>
                <w:color w:val="000000"/>
                <w:rtl/>
                <w:lang w:eastAsia="he-IL"/>
              </w:rPr>
            </w:pPr>
          </w:p>
        </w:tc>
        <w:tc>
          <w:tcPr>
            <w:tcW w:w="3244" w:type="pct"/>
            <w:gridSpan w:val="6"/>
            <w:vAlign w:val="bottom"/>
          </w:tcPr>
          <w:p w14:paraId="146491A4" w14:textId="3B8F8F0C" w:rsidR="00AF6944" w:rsidRPr="00AF6944" w:rsidRDefault="00AF6944" w:rsidP="00AF6944">
            <w:pPr>
              <w:pBdr>
                <w:bottom w:val="single" w:sz="6" w:space="1" w:color="auto"/>
              </w:pBdr>
              <w:spacing w:before="120"/>
              <w:ind w:left="-28" w:right="-28"/>
              <w:jc w:val="center"/>
              <w:rPr>
                <w:b/>
                <w:bCs/>
                <w:sz w:val="17"/>
                <w:szCs w:val="17"/>
                <w:rtl/>
              </w:rPr>
            </w:pPr>
            <w:r w:rsidRPr="001B0E06">
              <w:rPr>
                <w:rFonts w:hint="cs"/>
                <w:b/>
                <w:bCs/>
                <w:sz w:val="16"/>
                <w:szCs w:val="16"/>
                <w:rtl/>
              </w:rPr>
              <w:t xml:space="preserve">ליום 30 ביוני </w:t>
            </w:r>
            <w:r w:rsidRPr="001B0E06">
              <w:rPr>
                <w:b/>
                <w:bCs/>
                <w:sz w:val="16"/>
                <w:szCs w:val="16"/>
                <w:rtl/>
              </w:rPr>
              <w:fldChar w:fldCharType="begin"/>
            </w:r>
            <w:r w:rsidRPr="001B0E06">
              <w:rPr>
                <w:b/>
                <w:bCs/>
                <w:sz w:val="16"/>
                <w:szCs w:val="16"/>
                <w:rtl/>
              </w:rPr>
              <w:instrText xml:space="preserve"> </w:instrText>
            </w:r>
            <w:r w:rsidRPr="001B0E06">
              <w:rPr>
                <w:rFonts w:hint="cs"/>
                <w:b/>
                <w:bCs/>
                <w:sz w:val="16"/>
                <w:szCs w:val="16"/>
                <w:rtl/>
              </w:rPr>
              <w:instrText xml:space="preserve">= </w:instrText>
            </w:r>
            <w:r w:rsidRPr="001B0E06">
              <w:rPr>
                <w:rFonts w:hint="cs"/>
                <w:b/>
                <w:bCs/>
                <w:sz w:val="16"/>
                <w:szCs w:val="16"/>
              </w:rPr>
              <w:instrText>CY \* MERGEFORMAT</w:instrText>
            </w:r>
            <w:r w:rsidRPr="001B0E06">
              <w:rPr>
                <w:b/>
                <w:bCs/>
                <w:sz w:val="16"/>
                <w:szCs w:val="16"/>
                <w:rtl/>
              </w:rPr>
              <w:instrText xml:space="preserve"> </w:instrText>
            </w:r>
            <w:r w:rsidRPr="001B0E06">
              <w:rPr>
                <w:b/>
                <w:bCs/>
                <w:sz w:val="16"/>
                <w:szCs w:val="16"/>
                <w:rtl/>
              </w:rPr>
              <w:fldChar w:fldCharType="separate"/>
            </w:r>
            <w:r w:rsidRPr="001B0E06">
              <w:rPr>
                <w:b/>
                <w:bCs/>
                <w:noProof/>
                <w:sz w:val="16"/>
                <w:szCs w:val="16"/>
                <w:rtl/>
              </w:rPr>
              <w:t>2024</w:t>
            </w:r>
            <w:r w:rsidRPr="001B0E06">
              <w:rPr>
                <w:b/>
                <w:bCs/>
                <w:sz w:val="16"/>
                <w:szCs w:val="16"/>
                <w:rtl/>
              </w:rPr>
              <w:fldChar w:fldCharType="end"/>
            </w:r>
            <w:r w:rsidRPr="00AF6944">
              <w:rPr>
                <w:rFonts w:hint="cs"/>
                <w:b/>
                <w:bCs/>
                <w:color w:val="000000"/>
                <w:sz w:val="17"/>
                <w:szCs w:val="17"/>
                <w:rtl/>
                <w:lang w:eastAsia="he-IL"/>
              </w:rPr>
              <w:t xml:space="preserve">  </w:t>
            </w:r>
            <w:r w:rsidRPr="001B0E06">
              <w:rPr>
                <w:rFonts w:hint="cs"/>
                <w:sz w:val="16"/>
                <w:szCs w:val="16"/>
                <w:rtl/>
              </w:rPr>
              <w:t>(</w:t>
            </w:r>
            <w:r w:rsidRPr="001B0E06">
              <w:rPr>
                <w:rFonts w:hint="eastAsia"/>
                <w:sz w:val="16"/>
                <w:szCs w:val="16"/>
                <w:rtl/>
              </w:rPr>
              <w:t>בלתי</w:t>
            </w:r>
            <w:r w:rsidRPr="001B0E06">
              <w:rPr>
                <w:sz w:val="16"/>
                <w:szCs w:val="16"/>
                <w:rtl/>
              </w:rPr>
              <w:t xml:space="preserve"> </w:t>
            </w:r>
            <w:r w:rsidRPr="001B0E06">
              <w:rPr>
                <w:rFonts w:hint="eastAsia"/>
                <w:sz w:val="16"/>
                <w:szCs w:val="16"/>
                <w:rtl/>
              </w:rPr>
              <w:t>מבוקר</w:t>
            </w:r>
            <w:r w:rsidRPr="001B0E06">
              <w:rPr>
                <w:rFonts w:hint="cs"/>
                <w:sz w:val="16"/>
                <w:szCs w:val="16"/>
                <w:rtl/>
              </w:rPr>
              <w:t>)</w:t>
            </w:r>
          </w:p>
        </w:tc>
      </w:tr>
      <w:tr w:rsidR="00AF6944" w:rsidRPr="009E7447" w14:paraId="735B1640" w14:textId="77777777" w:rsidTr="00AF6944">
        <w:tc>
          <w:tcPr>
            <w:tcW w:w="1756" w:type="pct"/>
            <w:vAlign w:val="bottom"/>
          </w:tcPr>
          <w:p w14:paraId="5FF68898" w14:textId="77777777" w:rsidR="00AF6944" w:rsidRPr="00F35649" w:rsidRDefault="00AF6944" w:rsidP="00400DD1">
            <w:pPr>
              <w:jc w:val="left"/>
              <w:rPr>
                <w:b/>
                <w:bCs/>
                <w:color w:val="000000"/>
                <w:sz w:val="18"/>
                <w:szCs w:val="18"/>
                <w:u w:val="single"/>
                <w:rtl/>
                <w:lang w:eastAsia="he-IL"/>
              </w:rPr>
            </w:pPr>
            <w:r w:rsidRPr="00F35649">
              <w:rPr>
                <w:rFonts w:hint="cs"/>
                <w:b/>
                <w:bCs/>
                <w:color w:val="000000"/>
                <w:sz w:val="18"/>
                <w:szCs w:val="18"/>
                <w:u w:val="single"/>
                <w:rtl/>
                <w:lang w:eastAsia="he-IL"/>
              </w:rPr>
              <w:t>פעילות לווים בישראל</w:t>
            </w:r>
          </w:p>
        </w:tc>
        <w:tc>
          <w:tcPr>
            <w:tcW w:w="590" w:type="pct"/>
            <w:vAlign w:val="bottom"/>
          </w:tcPr>
          <w:p w14:paraId="0FE325E9" w14:textId="77777777" w:rsidR="00AF6944" w:rsidRPr="009E7447" w:rsidRDefault="00AF6944" w:rsidP="00400DD1">
            <w:pPr>
              <w:spacing w:line="241" w:lineRule="auto"/>
              <w:rPr>
                <w:sz w:val="18"/>
                <w:szCs w:val="18"/>
                <w:rtl/>
              </w:rPr>
            </w:pPr>
          </w:p>
        </w:tc>
        <w:tc>
          <w:tcPr>
            <w:tcW w:w="399" w:type="pct"/>
            <w:vAlign w:val="bottom"/>
          </w:tcPr>
          <w:p w14:paraId="18320455" w14:textId="77777777" w:rsidR="00AF6944" w:rsidRPr="009E7447" w:rsidRDefault="00AF6944" w:rsidP="00400DD1">
            <w:pPr>
              <w:spacing w:line="241" w:lineRule="auto"/>
              <w:rPr>
                <w:sz w:val="18"/>
                <w:szCs w:val="18"/>
                <w:rtl/>
              </w:rPr>
            </w:pPr>
          </w:p>
        </w:tc>
        <w:tc>
          <w:tcPr>
            <w:tcW w:w="671" w:type="pct"/>
            <w:vAlign w:val="bottom"/>
          </w:tcPr>
          <w:p w14:paraId="51DCFC8E" w14:textId="77777777" w:rsidR="00AF6944" w:rsidRPr="009E7447" w:rsidRDefault="00AF6944" w:rsidP="00400DD1">
            <w:pPr>
              <w:spacing w:line="241" w:lineRule="auto"/>
              <w:rPr>
                <w:sz w:val="18"/>
                <w:szCs w:val="18"/>
                <w:rtl/>
              </w:rPr>
            </w:pPr>
          </w:p>
        </w:tc>
        <w:tc>
          <w:tcPr>
            <w:tcW w:w="520" w:type="pct"/>
            <w:vAlign w:val="bottom"/>
          </w:tcPr>
          <w:p w14:paraId="25D1BEF6" w14:textId="77777777" w:rsidR="00AF6944" w:rsidRPr="009E7447" w:rsidRDefault="00AF6944" w:rsidP="00400DD1">
            <w:pPr>
              <w:spacing w:line="241" w:lineRule="auto"/>
              <w:rPr>
                <w:sz w:val="18"/>
                <w:szCs w:val="18"/>
                <w:rtl/>
              </w:rPr>
            </w:pPr>
          </w:p>
        </w:tc>
        <w:tc>
          <w:tcPr>
            <w:tcW w:w="512" w:type="pct"/>
            <w:vAlign w:val="bottom"/>
          </w:tcPr>
          <w:p w14:paraId="7A97A201" w14:textId="77777777" w:rsidR="00AF6944" w:rsidRPr="009E7447" w:rsidRDefault="00AF6944" w:rsidP="00400DD1">
            <w:pPr>
              <w:spacing w:line="241" w:lineRule="auto"/>
              <w:rPr>
                <w:sz w:val="18"/>
                <w:szCs w:val="18"/>
                <w:rtl/>
              </w:rPr>
            </w:pPr>
          </w:p>
        </w:tc>
        <w:tc>
          <w:tcPr>
            <w:tcW w:w="552" w:type="pct"/>
            <w:vAlign w:val="bottom"/>
          </w:tcPr>
          <w:p w14:paraId="262EFADF" w14:textId="77777777" w:rsidR="00AF6944" w:rsidRPr="009E7447" w:rsidRDefault="00AF6944" w:rsidP="00400DD1">
            <w:pPr>
              <w:spacing w:line="241" w:lineRule="auto"/>
              <w:rPr>
                <w:sz w:val="18"/>
                <w:szCs w:val="18"/>
                <w:rtl/>
              </w:rPr>
            </w:pPr>
          </w:p>
        </w:tc>
      </w:tr>
      <w:tr w:rsidR="00AF6944" w:rsidRPr="009E7447" w14:paraId="02427BAC" w14:textId="77777777" w:rsidTr="00AF6944">
        <w:tc>
          <w:tcPr>
            <w:tcW w:w="1756" w:type="pct"/>
            <w:vAlign w:val="bottom"/>
          </w:tcPr>
          <w:p w14:paraId="34203BFA" w14:textId="77777777" w:rsidR="00AF6944" w:rsidRPr="00F35649" w:rsidRDefault="00AF6944" w:rsidP="00400DD1">
            <w:pPr>
              <w:ind w:left="144" w:hanging="144"/>
              <w:jc w:val="left"/>
              <w:rPr>
                <w:color w:val="000000"/>
                <w:sz w:val="18"/>
                <w:szCs w:val="18"/>
                <w:lang w:eastAsia="he-IL"/>
              </w:rPr>
            </w:pPr>
            <w:r w:rsidRPr="00F35649">
              <w:rPr>
                <w:rFonts w:hint="cs"/>
                <w:color w:val="000000"/>
                <w:sz w:val="18"/>
                <w:szCs w:val="18"/>
                <w:u w:val="single"/>
                <w:rtl/>
                <w:lang w:eastAsia="he-IL"/>
              </w:rPr>
              <w:t>ציבור - מסחרי בישראל</w:t>
            </w:r>
            <w:r w:rsidRPr="00F35649">
              <w:rPr>
                <w:rFonts w:hint="cs"/>
                <w:color w:val="000000"/>
                <w:sz w:val="18"/>
                <w:szCs w:val="18"/>
                <w:rtl/>
                <w:lang w:eastAsia="he-IL"/>
              </w:rPr>
              <w:t xml:space="preserve">: </w:t>
            </w:r>
          </w:p>
        </w:tc>
        <w:tc>
          <w:tcPr>
            <w:tcW w:w="590" w:type="pct"/>
            <w:vAlign w:val="bottom"/>
          </w:tcPr>
          <w:p w14:paraId="53A9C581" w14:textId="77777777" w:rsidR="00AF6944" w:rsidRPr="009E7447" w:rsidRDefault="00AF6944" w:rsidP="00400DD1">
            <w:pPr>
              <w:spacing w:line="241" w:lineRule="auto"/>
              <w:rPr>
                <w:sz w:val="18"/>
                <w:szCs w:val="18"/>
                <w:rtl/>
              </w:rPr>
            </w:pPr>
          </w:p>
        </w:tc>
        <w:tc>
          <w:tcPr>
            <w:tcW w:w="399" w:type="pct"/>
            <w:vAlign w:val="bottom"/>
          </w:tcPr>
          <w:p w14:paraId="330ABDFB" w14:textId="77777777" w:rsidR="00AF6944" w:rsidRPr="009E7447" w:rsidRDefault="00AF6944" w:rsidP="00400DD1">
            <w:pPr>
              <w:spacing w:line="241" w:lineRule="auto"/>
              <w:rPr>
                <w:sz w:val="18"/>
                <w:szCs w:val="18"/>
                <w:rtl/>
              </w:rPr>
            </w:pPr>
          </w:p>
        </w:tc>
        <w:tc>
          <w:tcPr>
            <w:tcW w:w="671" w:type="pct"/>
            <w:vAlign w:val="bottom"/>
          </w:tcPr>
          <w:p w14:paraId="3E27110A" w14:textId="77777777" w:rsidR="00AF6944" w:rsidRPr="009E7447" w:rsidRDefault="00AF6944" w:rsidP="00400DD1">
            <w:pPr>
              <w:spacing w:line="241" w:lineRule="auto"/>
              <w:rPr>
                <w:sz w:val="18"/>
                <w:szCs w:val="18"/>
                <w:rtl/>
              </w:rPr>
            </w:pPr>
          </w:p>
        </w:tc>
        <w:tc>
          <w:tcPr>
            <w:tcW w:w="520" w:type="pct"/>
            <w:vAlign w:val="bottom"/>
          </w:tcPr>
          <w:p w14:paraId="7BC571B7" w14:textId="77777777" w:rsidR="00AF6944" w:rsidRPr="009E7447" w:rsidRDefault="00AF6944" w:rsidP="00400DD1">
            <w:pPr>
              <w:spacing w:line="241" w:lineRule="auto"/>
              <w:rPr>
                <w:sz w:val="18"/>
                <w:szCs w:val="18"/>
                <w:rtl/>
              </w:rPr>
            </w:pPr>
          </w:p>
        </w:tc>
        <w:tc>
          <w:tcPr>
            <w:tcW w:w="512" w:type="pct"/>
            <w:vAlign w:val="bottom"/>
          </w:tcPr>
          <w:p w14:paraId="60A86573" w14:textId="77777777" w:rsidR="00AF6944" w:rsidRPr="009E7447" w:rsidRDefault="00AF6944" w:rsidP="00400DD1">
            <w:pPr>
              <w:spacing w:line="241" w:lineRule="auto"/>
              <w:rPr>
                <w:sz w:val="18"/>
                <w:szCs w:val="18"/>
                <w:rtl/>
              </w:rPr>
            </w:pPr>
          </w:p>
        </w:tc>
        <w:tc>
          <w:tcPr>
            <w:tcW w:w="552" w:type="pct"/>
            <w:vAlign w:val="bottom"/>
          </w:tcPr>
          <w:p w14:paraId="3748E33D" w14:textId="77777777" w:rsidR="00AF6944" w:rsidRPr="009E7447" w:rsidRDefault="00AF6944" w:rsidP="00400DD1">
            <w:pPr>
              <w:spacing w:line="241" w:lineRule="auto"/>
              <w:rPr>
                <w:sz w:val="18"/>
                <w:szCs w:val="18"/>
                <w:rtl/>
              </w:rPr>
            </w:pPr>
          </w:p>
        </w:tc>
      </w:tr>
      <w:tr w:rsidR="00AF6944" w:rsidRPr="009E7447" w14:paraId="7B9A98C6" w14:textId="77777777" w:rsidTr="00AF6944">
        <w:tc>
          <w:tcPr>
            <w:tcW w:w="1756" w:type="pct"/>
            <w:vAlign w:val="bottom"/>
          </w:tcPr>
          <w:p w14:paraId="61697DA6" w14:textId="77777777" w:rsidR="00AF6944" w:rsidRPr="00F35649" w:rsidRDefault="00AF6944" w:rsidP="00400DD1">
            <w:pPr>
              <w:ind w:left="144" w:hanging="144"/>
              <w:jc w:val="left"/>
              <w:rPr>
                <w:b/>
                <w:bCs/>
                <w:color w:val="000000"/>
                <w:sz w:val="18"/>
                <w:szCs w:val="18"/>
                <w:rtl/>
                <w:lang w:eastAsia="he-IL"/>
              </w:rPr>
            </w:pPr>
            <w:r w:rsidRPr="00F35649">
              <w:rPr>
                <w:rFonts w:hint="cs"/>
                <w:color w:val="000000"/>
                <w:sz w:val="18"/>
                <w:szCs w:val="18"/>
                <w:rtl/>
                <w:lang w:eastAsia="he-IL"/>
              </w:rPr>
              <w:t xml:space="preserve">   בינוי ונדל"ן </w:t>
            </w:r>
          </w:p>
        </w:tc>
        <w:tc>
          <w:tcPr>
            <w:tcW w:w="590" w:type="pct"/>
            <w:vAlign w:val="bottom"/>
          </w:tcPr>
          <w:p w14:paraId="27062BD6" w14:textId="77777777" w:rsidR="00AF6944" w:rsidRPr="009E7447" w:rsidRDefault="00AF6944" w:rsidP="00400DD1">
            <w:pPr>
              <w:spacing w:line="241" w:lineRule="auto"/>
              <w:rPr>
                <w:sz w:val="18"/>
                <w:szCs w:val="18"/>
                <w:rtl/>
              </w:rPr>
            </w:pPr>
            <w:r w:rsidRPr="009E7447">
              <w:rPr>
                <w:rFonts w:hint="cs"/>
                <w:sz w:val="18"/>
                <w:szCs w:val="18"/>
                <w:rtl/>
              </w:rPr>
              <w:t xml:space="preserve"> 0</w:t>
            </w:r>
          </w:p>
        </w:tc>
        <w:tc>
          <w:tcPr>
            <w:tcW w:w="399" w:type="pct"/>
            <w:vAlign w:val="bottom"/>
          </w:tcPr>
          <w:p w14:paraId="32CC851D" w14:textId="77777777" w:rsidR="00AF6944" w:rsidRPr="009E7447" w:rsidRDefault="00AF6944" w:rsidP="00400DD1">
            <w:pPr>
              <w:spacing w:line="241" w:lineRule="auto"/>
              <w:rPr>
                <w:sz w:val="18"/>
                <w:szCs w:val="18"/>
                <w:rtl/>
              </w:rPr>
            </w:pPr>
            <w:r w:rsidRPr="009E7447">
              <w:rPr>
                <w:rFonts w:hint="cs"/>
                <w:sz w:val="18"/>
                <w:szCs w:val="18"/>
                <w:rtl/>
              </w:rPr>
              <w:t xml:space="preserve"> 0</w:t>
            </w:r>
          </w:p>
        </w:tc>
        <w:tc>
          <w:tcPr>
            <w:tcW w:w="671" w:type="pct"/>
            <w:vAlign w:val="bottom"/>
          </w:tcPr>
          <w:p w14:paraId="6B1B713D" w14:textId="77777777" w:rsidR="00AF6944" w:rsidRPr="009E7447" w:rsidRDefault="00AF6944" w:rsidP="00400DD1">
            <w:pPr>
              <w:spacing w:line="241" w:lineRule="auto"/>
              <w:rPr>
                <w:sz w:val="18"/>
                <w:szCs w:val="18"/>
                <w:rtl/>
              </w:rPr>
            </w:pPr>
            <w:r w:rsidRPr="009E7447">
              <w:rPr>
                <w:rFonts w:hint="cs"/>
                <w:sz w:val="18"/>
                <w:szCs w:val="18"/>
                <w:rtl/>
              </w:rPr>
              <w:t xml:space="preserve"> 0</w:t>
            </w:r>
          </w:p>
        </w:tc>
        <w:tc>
          <w:tcPr>
            <w:tcW w:w="520" w:type="pct"/>
            <w:vAlign w:val="bottom"/>
          </w:tcPr>
          <w:p w14:paraId="16D42AD9" w14:textId="77777777" w:rsidR="00AF6944" w:rsidRPr="009E7447" w:rsidRDefault="00AF6944" w:rsidP="00400DD1">
            <w:pPr>
              <w:spacing w:line="241" w:lineRule="auto"/>
              <w:rPr>
                <w:sz w:val="18"/>
                <w:szCs w:val="18"/>
                <w:rtl/>
              </w:rPr>
            </w:pPr>
            <w:r w:rsidRPr="009E7447">
              <w:rPr>
                <w:rFonts w:hint="cs"/>
                <w:sz w:val="18"/>
                <w:szCs w:val="18"/>
                <w:rtl/>
              </w:rPr>
              <w:t xml:space="preserve"> 0</w:t>
            </w:r>
          </w:p>
        </w:tc>
        <w:tc>
          <w:tcPr>
            <w:tcW w:w="512" w:type="pct"/>
            <w:vAlign w:val="bottom"/>
          </w:tcPr>
          <w:p w14:paraId="647C79B5" w14:textId="77777777" w:rsidR="00AF6944" w:rsidRPr="009E7447" w:rsidRDefault="00AF6944" w:rsidP="00400DD1">
            <w:pPr>
              <w:spacing w:line="241" w:lineRule="auto"/>
              <w:rPr>
                <w:sz w:val="18"/>
                <w:szCs w:val="18"/>
                <w:rtl/>
              </w:rPr>
            </w:pPr>
            <w:r w:rsidRPr="009E7447">
              <w:rPr>
                <w:rFonts w:hint="cs"/>
                <w:sz w:val="18"/>
                <w:szCs w:val="18"/>
                <w:rtl/>
              </w:rPr>
              <w:t xml:space="preserve"> 0</w:t>
            </w:r>
          </w:p>
        </w:tc>
        <w:tc>
          <w:tcPr>
            <w:tcW w:w="552" w:type="pct"/>
            <w:vAlign w:val="bottom"/>
          </w:tcPr>
          <w:p w14:paraId="1655FB69" w14:textId="77777777" w:rsidR="00AF6944" w:rsidRPr="009E7447" w:rsidRDefault="00AF6944" w:rsidP="00400DD1">
            <w:pPr>
              <w:spacing w:line="241" w:lineRule="auto"/>
              <w:rPr>
                <w:sz w:val="18"/>
                <w:szCs w:val="18"/>
                <w:rtl/>
              </w:rPr>
            </w:pPr>
            <w:r w:rsidRPr="009E7447">
              <w:rPr>
                <w:rFonts w:hint="cs"/>
                <w:sz w:val="18"/>
                <w:szCs w:val="18"/>
                <w:rtl/>
              </w:rPr>
              <w:t>0</w:t>
            </w:r>
          </w:p>
        </w:tc>
      </w:tr>
      <w:tr w:rsidR="00AF6944" w:rsidRPr="009E7447" w14:paraId="72B83F62" w14:textId="77777777" w:rsidTr="00AF6944">
        <w:tc>
          <w:tcPr>
            <w:tcW w:w="1756" w:type="pct"/>
            <w:vAlign w:val="bottom"/>
          </w:tcPr>
          <w:p w14:paraId="3BEB1CF7" w14:textId="77777777" w:rsidR="00AF6944" w:rsidRPr="00F35649" w:rsidRDefault="00AF6944" w:rsidP="00400DD1">
            <w:pPr>
              <w:ind w:left="144" w:hanging="144"/>
              <w:jc w:val="left"/>
              <w:rPr>
                <w:b/>
                <w:bCs/>
                <w:color w:val="000000"/>
                <w:sz w:val="18"/>
                <w:szCs w:val="18"/>
                <w:rtl/>
                <w:lang w:eastAsia="he-IL"/>
              </w:rPr>
            </w:pPr>
            <w:r w:rsidRPr="00F35649">
              <w:rPr>
                <w:rFonts w:hint="cs"/>
                <w:color w:val="000000"/>
                <w:sz w:val="18"/>
                <w:szCs w:val="18"/>
                <w:rtl/>
                <w:lang w:eastAsia="he-IL"/>
              </w:rPr>
              <w:t xml:space="preserve">   מסחרי - אחר</w:t>
            </w:r>
          </w:p>
        </w:tc>
        <w:tc>
          <w:tcPr>
            <w:tcW w:w="590" w:type="pct"/>
            <w:vAlign w:val="bottom"/>
          </w:tcPr>
          <w:p w14:paraId="45C30898" w14:textId="77777777" w:rsidR="00AF6944" w:rsidRPr="009E7447" w:rsidRDefault="00AF6944"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399" w:type="pct"/>
            <w:vAlign w:val="bottom"/>
          </w:tcPr>
          <w:p w14:paraId="662D9964" w14:textId="77777777" w:rsidR="00AF6944" w:rsidRPr="009E7447" w:rsidRDefault="00AF6944"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671" w:type="pct"/>
            <w:vAlign w:val="bottom"/>
          </w:tcPr>
          <w:p w14:paraId="7E6279ED" w14:textId="77777777" w:rsidR="00AF6944" w:rsidRPr="009E7447" w:rsidRDefault="00AF6944"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520" w:type="pct"/>
            <w:vAlign w:val="bottom"/>
          </w:tcPr>
          <w:p w14:paraId="22EC68D1" w14:textId="77777777" w:rsidR="00AF6944" w:rsidRPr="009E7447" w:rsidRDefault="00AF6944"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512" w:type="pct"/>
            <w:vAlign w:val="bottom"/>
          </w:tcPr>
          <w:p w14:paraId="627DED2B" w14:textId="77777777" w:rsidR="00AF6944" w:rsidRPr="009E7447" w:rsidRDefault="00AF6944"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552" w:type="pct"/>
            <w:vAlign w:val="bottom"/>
          </w:tcPr>
          <w:p w14:paraId="14008342" w14:textId="77777777" w:rsidR="00AF6944" w:rsidRPr="009E7447" w:rsidRDefault="00AF6944" w:rsidP="00400DD1">
            <w:pPr>
              <w:pBdr>
                <w:bottom w:val="single" w:sz="4" w:space="1" w:color="auto"/>
              </w:pBdr>
              <w:spacing w:line="241" w:lineRule="auto"/>
              <w:rPr>
                <w:b/>
                <w:bCs/>
                <w:sz w:val="18"/>
                <w:szCs w:val="18"/>
                <w:rtl/>
              </w:rPr>
            </w:pPr>
            <w:r w:rsidRPr="009E7447">
              <w:rPr>
                <w:rFonts w:hint="cs"/>
                <w:sz w:val="18"/>
                <w:szCs w:val="18"/>
                <w:rtl/>
              </w:rPr>
              <w:t>0</w:t>
            </w:r>
          </w:p>
        </w:tc>
      </w:tr>
      <w:tr w:rsidR="00AF6944" w:rsidRPr="009E7447" w14:paraId="5A7B07CD" w14:textId="77777777" w:rsidTr="00AF6944">
        <w:tc>
          <w:tcPr>
            <w:tcW w:w="1756" w:type="pct"/>
            <w:vAlign w:val="bottom"/>
          </w:tcPr>
          <w:p w14:paraId="1B0B91B2" w14:textId="77777777" w:rsidR="00AF6944" w:rsidRPr="00F35649" w:rsidRDefault="00AF6944" w:rsidP="00400DD1">
            <w:pPr>
              <w:ind w:left="73" w:hanging="73"/>
              <w:jc w:val="left"/>
              <w:rPr>
                <w:b/>
                <w:bCs/>
                <w:color w:val="000000"/>
                <w:sz w:val="18"/>
                <w:szCs w:val="18"/>
                <w:lang w:eastAsia="he-IL"/>
              </w:rPr>
            </w:pPr>
            <w:r w:rsidRPr="00F35649">
              <w:rPr>
                <w:rFonts w:hint="eastAsia"/>
                <w:b/>
                <w:bCs/>
                <w:color w:val="000000"/>
                <w:sz w:val="18"/>
                <w:szCs w:val="18"/>
                <w:rtl/>
                <w:lang w:eastAsia="he-IL"/>
              </w:rPr>
              <w:t>סך</w:t>
            </w:r>
            <w:r w:rsidRPr="00F35649">
              <w:rPr>
                <w:b/>
                <w:bCs/>
                <w:color w:val="000000"/>
                <w:sz w:val="18"/>
                <w:szCs w:val="18"/>
                <w:rtl/>
                <w:lang w:eastAsia="he-IL"/>
              </w:rPr>
              <w:t xml:space="preserve"> </w:t>
            </w:r>
            <w:r w:rsidRPr="00F35649">
              <w:rPr>
                <w:rFonts w:hint="eastAsia"/>
                <w:b/>
                <w:bCs/>
                <w:color w:val="000000"/>
                <w:sz w:val="18"/>
                <w:szCs w:val="18"/>
                <w:rtl/>
                <w:lang w:eastAsia="he-IL"/>
              </w:rPr>
              <w:t>הכל</w:t>
            </w:r>
            <w:r w:rsidRPr="00F35649">
              <w:rPr>
                <w:b/>
                <w:bCs/>
                <w:color w:val="000000"/>
                <w:sz w:val="18"/>
                <w:szCs w:val="18"/>
                <w:rtl/>
                <w:lang w:eastAsia="he-IL"/>
              </w:rPr>
              <w:t xml:space="preserve"> </w:t>
            </w:r>
            <w:r w:rsidRPr="00F35649">
              <w:rPr>
                <w:rFonts w:hint="eastAsia"/>
                <w:b/>
                <w:bCs/>
                <w:color w:val="000000"/>
                <w:sz w:val="18"/>
                <w:szCs w:val="18"/>
                <w:rtl/>
                <w:lang w:eastAsia="he-IL"/>
              </w:rPr>
              <w:t>מסחרי</w:t>
            </w:r>
          </w:p>
        </w:tc>
        <w:tc>
          <w:tcPr>
            <w:tcW w:w="590" w:type="pct"/>
            <w:vAlign w:val="bottom"/>
          </w:tcPr>
          <w:p w14:paraId="25E108CC" w14:textId="77777777" w:rsidR="00AF6944" w:rsidRPr="009E7447" w:rsidRDefault="00AF6944" w:rsidP="00400DD1">
            <w:pPr>
              <w:spacing w:line="241" w:lineRule="auto"/>
              <w:jc w:val="left"/>
              <w:rPr>
                <w:b/>
                <w:bCs/>
                <w:sz w:val="18"/>
                <w:szCs w:val="18"/>
                <w:rtl/>
              </w:rPr>
            </w:pPr>
            <w:r w:rsidRPr="009E7447">
              <w:rPr>
                <w:rFonts w:hint="cs"/>
                <w:sz w:val="18"/>
                <w:szCs w:val="18"/>
                <w:rtl/>
              </w:rPr>
              <w:t xml:space="preserve"> </w:t>
            </w:r>
            <w:r w:rsidRPr="009E7447">
              <w:rPr>
                <w:sz w:val="18"/>
                <w:szCs w:val="18"/>
                <w:rtl/>
              </w:rPr>
              <w:t>0</w:t>
            </w:r>
          </w:p>
        </w:tc>
        <w:tc>
          <w:tcPr>
            <w:tcW w:w="399" w:type="pct"/>
            <w:vAlign w:val="bottom"/>
          </w:tcPr>
          <w:p w14:paraId="451B3740" w14:textId="77777777" w:rsidR="00AF6944" w:rsidRPr="009E7447" w:rsidRDefault="00AF6944" w:rsidP="00400DD1">
            <w:pPr>
              <w:spacing w:line="241" w:lineRule="auto"/>
              <w:jc w:val="left"/>
              <w:rPr>
                <w:b/>
                <w:bCs/>
                <w:sz w:val="18"/>
                <w:szCs w:val="18"/>
                <w:rtl/>
              </w:rPr>
            </w:pPr>
            <w:r w:rsidRPr="009E7447">
              <w:rPr>
                <w:rFonts w:hint="cs"/>
                <w:sz w:val="18"/>
                <w:szCs w:val="18"/>
                <w:rtl/>
              </w:rPr>
              <w:t xml:space="preserve"> </w:t>
            </w:r>
            <w:r w:rsidRPr="009E7447">
              <w:rPr>
                <w:sz w:val="18"/>
                <w:szCs w:val="18"/>
                <w:rtl/>
              </w:rPr>
              <w:t>0</w:t>
            </w:r>
          </w:p>
        </w:tc>
        <w:tc>
          <w:tcPr>
            <w:tcW w:w="671" w:type="pct"/>
            <w:vAlign w:val="bottom"/>
          </w:tcPr>
          <w:p w14:paraId="4023747B" w14:textId="77777777" w:rsidR="00AF6944" w:rsidRPr="009E7447" w:rsidRDefault="00AF6944" w:rsidP="00400DD1">
            <w:pPr>
              <w:spacing w:line="241" w:lineRule="auto"/>
              <w:jc w:val="left"/>
              <w:rPr>
                <w:b/>
                <w:bCs/>
                <w:sz w:val="18"/>
                <w:szCs w:val="18"/>
                <w:rtl/>
              </w:rPr>
            </w:pPr>
            <w:r w:rsidRPr="009E7447">
              <w:rPr>
                <w:rFonts w:hint="cs"/>
                <w:sz w:val="18"/>
                <w:szCs w:val="18"/>
                <w:rtl/>
              </w:rPr>
              <w:t xml:space="preserve"> </w:t>
            </w:r>
            <w:r w:rsidRPr="009E7447">
              <w:rPr>
                <w:sz w:val="18"/>
                <w:szCs w:val="18"/>
                <w:rtl/>
              </w:rPr>
              <w:t>0</w:t>
            </w:r>
          </w:p>
        </w:tc>
        <w:tc>
          <w:tcPr>
            <w:tcW w:w="520" w:type="pct"/>
            <w:vAlign w:val="bottom"/>
          </w:tcPr>
          <w:p w14:paraId="2B38718B" w14:textId="77777777" w:rsidR="00AF6944" w:rsidRPr="009E7447" w:rsidRDefault="00AF6944" w:rsidP="00400DD1">
            <w:pPr>
              <w:spacing w:line="241" w:lineRule="auto"/>
              <w:jc w:val="left"/>
              <w:rPr>
                <w:b/>
                <w:bCs/>
                <w:sz w:val="18"/>
                <w:szCs w:val="18"/>
                <w:rtl/>
              </w:rPr>
            </w:pPr>
            <w:r w:rsidRPr="009E7447">
              <w:rPr>
                <w:rFonts w:hint="cs"/>
                <w:sz w:val="18"/>
                <w:szCs w:val="18"/>
                <w:rtl/>
              </w:rPr>
              <w:t xml:space="preserve"> </w:t>
            </w:r>
            <w:r w:rsidRPr="009E7447">
              <w:rPr>
                <w:sz w:val="18"/>
                <w:szCs w:val="18"/>
                <w:rtl/>
              </w:rPr>
              <w:t>0</w:t>
            </w:r>
          </w:p>
        </w:tc>
        <w:tc>
          <w:tcPr>
            <w:tcW w:w="512" w:type="pct"/>
            <w:vAlign w:val="bottom"/>
          </w:tcPr>
          <w:p w14:paraId="2F68B9B0" w14:textId="77777777" w:rsidR="00AF6944" w:rsidRPr="009E7447" w:rsidRDefault="00AF6944" w:rsidP="00400DD1">
            <w:pPr>
              <w:spacing w:line="241" w:lineRule="auto"/>
              <w:jc w:val="left"/>
              <w:rPr>
                <w:b/>
                <w:bCs/>
                <w:sz w:val="18"/>
                <w:szCs w:val="18"/>
                <w:rtl/>
              </w:rPr>
            </w:pPr>
            <w:r w:rsidRPr="009E7447">
              <w:rPr>
                <w:rFonts w:hint="cs"/>
                <w:sz w:val="18"/>
                <w:szCs w:val="18"/>
                <w:rtl/>
              </w:rPr>
              <w:t xml:space="preserve"> </w:t>
            </w:r>
            <w:r w:rsidRPr="009E7447">
              <w:rPr>
                <w:sz w:val="18"/>
                <w:szCs w:val="18"/>
                <w:rtl/>
              </w:rPr>
              <w:t>0</w:t>
            </w:r>
          </w:p>
        </w:tc>
        <w:tc>
          <w:tcPr>
            <w:tcW w:w="552" w:type="pct"/>
            <w:vAlign w:val="bottom"/>
          </w:tcPr>
          <w:p w14:paraId="5FA866C2" w14:textId="77777777" w:rsidR="00AF6944" w:rsidRPr="009E7447" w:rsidRDefault="00AF6944" w:rsidP="00400DD1">
            <w:pPr>
              <w:spacing w:line="241" w:lineRule="auto"/>
              <w:jc w:val="left"/>
              <w:rPr>
                <w:b/>
                <w:bCs/>
                <w:sz w:val="18"/>
                <w:szCs w:val="18"/>
                <w:rtl/>
              </w:rPr>
            </w:pPr>
            <w:r w:rsidRPr="009E7447">
              <w:rPr>
                <w:rFonts w:hint="cs"/>
                <w:sz w:val="18"/>
                <w:szCs w:val="18"/>
                <w:rtl/>
              </w:rPr>
              <w:t>0</w:t>
            </w:r>
          </w:p>
        </w:tc>
      </w:tr>
      <w:tr w:rsidR="00AF6944" w:rsidRPr="009E7447" w14:paraId="4BE16E2A" w14:textId="77777777" w:rsidTr="00AF6944">
        <w:tc>
          <w:tcPr>
            <w:tcW w:w="1756" w:type="pct"/>
            <w:vAlign w:val="bottom"/>
          </w:tcPr>
          <w:p w14:paraId="1C8ECBAF" w14:textId="77777777" w:rsidR="00AF6944" w:rsidRPr="00F35649" w:rsidRDefault="00AF6944" w:rsidP="00400DD1">
            <w:pPr>
              <w:spacing w:before="40" w:line="200" w:lineRule="exact"/>
              <w:ind w:left="73" w:right="144" w:hanging="73"/>
              <w:jc w:val="left"/>
              <w:rPr>
                <w:b/>
                <w:bCs/>
                <w:color w:val="000000"/>
                <w:sz w:val="18"/>
                <w:szCs w:val="18"/>
                <w:lang w:eastAsia="he-IL"/>
              </w:rPr>
            </w:pPr>
            <w:r w:rsidRPr="00F35649">
              <w:rPr>
                <w:rFonts w:hint="eastAsia"/>
                <w:b/>
                <w:bCs/>
                <w:color w:val="000000"/>
                <w:sz w:val="18"/>
                <w:szCs w:val="18"/>
                <w:rtl/>
                <w:lang w:eastAsia="he-IL"/>
              </w:rPr>
              <w:t>אנשים</w:t>
            </w:r>
            <w:r w:rsidRPr="00F35649">
              <w:rPr>
                <w:b/>
                <w:bCs/>
                <w:color w:val="000000"/>
                <w:sz w:val="18"/>
                <w:szCs w:val="18"/>
                <w:rtl/>
                <w:lang w:eastAsia="he-IL"/>
              </w:rPr>
              <w:t xml:space="preserve"> </w:t>
            </w:r>
            <w:r w:rsidRPr="00F35649">
              <w:rPr>
                <w:rFonts w:hint="eastAsia"/>
                <w:b/>
                <w:bCs/>
                <w:color w:val="000000"/>
                <w:sz w:val="18"/>
                <w:szCs w:val="18"/>
                <w:rtl/>
                <w:lang w:eastAsia="he-IL"/>
              </w:rPr>
              <w:t>פרטיים</w:t>
            </w:r>
            <w:r w:rsidRPr="00F35649">
              <w:rPr>
                <w:b/>
                <w:bCs/>
                <w:color w:val="000000"/>
                <w:sz w:val="18"/>
                <w:szCs w:val="18"/>
                <w:rtl/>
                <w:lang w:eastAsia="he-IL"/>
              </w:rPr>
              <w:t xml:space="preserve"> - </w:t>
            </w:r>
            <w:r w:rsidRPr="00F35649">
              <w:rPr>
                <w:rFonts w:hint="eastAsia"/>
                <w:b/>
                <w:bCs/>
                <w:color w:val="000000"/>
                <w:sz w:val="18"/>
                <w:szCs w:val="18"/>
                <w:rtl/>
                <w:lang w:eastAsia="he-IL"/>
              </w:rPr>
              <w:t>הלוואות</w:t>
            </w:r>
            <w:r w:rsidRPr="00F35649">
              <w:rPr>
                <w:b/>
                <w:bCs/>
                <w:color w:val="000000"/>
                <w:sz w:val="18"/>
                <w:szCs w:val="18"/>
                <w:rtl/>
                <w:lang w:eastAsia="he-IL"/>
              </w:rPr>
              <w:t xml:space="preserve"> </w:t>
            </w:r>
            <w:r w:rsidRPr="00F35649">
              <w:rPr>
                <w:rFonts w:hint="eastAsia"/>
                <w:b/>
                <w:bCs/>
                <w:color w:val="000000"/>
                <w:sz w:val="18"/>
                <w:szCs w:val="18"/>
                <w:rtl/>
                <w:lang w:eastAsia="he-IL"/>
              </w:rPr>
              <w:t>לדיור</w:t>
            </w:r>
          </w:p>
        </w:tc>
        <w:tc>
          <w:tcPr>
            <w:tcW w:w="590" w:type="pct"/>
            <w:vAlign w:val="bottom"/>
          </w:tcPr>
          <w:p w14:paraId="2D28B03F" w14:textId="77777777" w:rsidR="00AF6944" w:rsidRPr="009E7447" w:rsidRDefault="00AF6944" w:rsidP="00400DD1">
            <w:pPr>
              <w:spacing w:line="241" w:lineRule="auto"/>
              <w:rPr>
                <w:sz w:val="18"/>
                <w:szCs w:val="18"/>
                <w:rtl/>
              </w:rPr>
            </w:pPr>
            <w:r w:rsidRPr="009E7447">
              <w:rPr>
                <w:rFonts w:hint="cs"/>
                <w:sz w:val="18"/>
                <w:szCs w:val="18"/>
                <w:rtl/>
              </w:rPr>
              <w:t xml:space="preserve"> 0</w:t>
            </w:r>
          </w:p>
        </w:tc>
        <w:tc>
          <w:tcPr>
            <w:tcW w:w="399" w:type="pct"/>
            <w:vAlign w:val="bottom"/>
          </w:tcPr>
          <w:p w14:paraId="0CFE3928" w14:textId="77777777" w:rsidR="00AF6944" w:rsidRPr="009E7447" w:rsidRDefault="00AF6944" w:rsidP="00400DD1">
            <w:pPr>
              <w:spacing w:line="241" w:lineRule="auto"/>
              <w:rPr>
                <w:sz w:val="18"/>
                <w:szCs w:val="18"/>
                <w:rtl/>
              </w:rPr>
            </w:pPr>
            <w:r w:rsidRPr="009E7447">
              <w:rPr>
                <w:rFonts w:hint="cs"/>
                <w:sz w:val="18"/>
                <w:szCs w:val="18"/>
                <w:rtl/>
              </w:rPr>
              <w:t xml:space="preserve"> 0</w:t>
            </w:r>
          </w:p>
        </w:tc>
        <w:tc>
          <w:tcPr>
            <w:tcW w:w="671" w:type="pct"/>
            <w:vAlign w:val="bottom"/>
          </w:tcPr>
          <w:p w14:paraId="0FE365F6" w14:textId="77777777" w:rsidR="00AF6944" w:rsidRPr="009E7447" w:rsidRDefault="00AF6944" w:rsidP="00400DD1">
            <w:pPr>
              <w:spacing w:line="241" w:lineRule="auto"/>
              <w:rPr>
                <w:sz w:val="18"/>
                <w:szCs w:val="18"/>
                <w:rtl/>
              </w:rPr>
            </w:pPr>
            <w:r w:rsidRPr="009E7447">
              <w:rPr>
                <w:rFonts w:hint="cs"/>
                <w:sz w:val="18"/>
                <w:szCs w:val="18"/>
                <w:rtl/>
              </w:rPr>
              <w:t xml:space="preserve"> 0</w:t>
            </w:r>
          </w:p>
        </w:tc>
        <w:tc>
          <w:tcPr>
            <w:tcW w:w="520" w:type="pct"/>
            <w:vAlign w:val="bottom"/>
          </w:tcPr>
          <w:p w14:paraId="21CB4B36" w14:textId="77777777" w:rsidR="00AF6944" w:rsidRPr="009E7447" w:rsidRDefault="00AF6944" w:rsidP="00400DD1">
            <w:pPr>
              <w:spacing w:line="241" w:lineRule="auto"/>
              <w:rPr>
                <w:sz w:val="18"/>
                <w:szCs w:val="18"/>
                <w:rtl/>
              </w:rPr>
            </w:pPr>
            <w:r w:rsidRPr="009E7447">
              <w:rPr>
                <w:rFonts w:hint="cs"/>
                <w:sz w:val="18"/>
                <w:szCs w:val="18"/>
                <w:rtl/>
              </w:rPr>
              <w:t xml:space="preserve"> 0</w:t>
            </w:r>
          </w:p>
        </w:tc>
        <w:tc>
          <w:tcPr>
            <w:tcW w:w="512" w:type="pct"/>
            <w:vAlign w:val="bottom"/>
          </w:tcPr>
          <w:p w14:paraId="0F111CFA" w14:textId="77777777" w:rsidR="00AF6944" w:rsidRPr="009E7447" w:rsidRDefault="00AF6944" w:rsidP="00400DD1">
            <w:pPr>
              <w:spacing w:line="241" w:lineRule="auto"/>
              <w:rPr>
                <w:sz w:val="18"/>
                <w:szCs w:val="18"/>
                <w:rtl/>
              </w:rPr>
            </w:pPr>
            <w:r w:rsidRPr="009E7447">
              <w:rPr>
                <w:rFonts w:hint="cs"/>
                <w:sz w:val="18"/>
                <w:szCs w:val="18"/>
                <w:rtl/>
              </w:rPr>
              <w:t xml:space="preserve"> 0</w:t>
            </w:r>
          </w:p>
        </w:tc>
        <w:tc>
          <w:tcPr>
            <w:tcW w:w="552" w:type="pct"/>
            <w:vAlign w:val="bottom"/>
          </w:tcPr>
          <w:p w14:paraId="1E916BCE" w14:textId="77777777" w:rsidR="00AF6944" w:rsidRPr="009E7447" w:rsidRDefault="00AF6944" w:rsidP="00400DD1">
            <w:pPr>
              <w:spacing w:line="241" w:lineRule="auto"/>
              <w:rPr>
                <w:sz w:val="18"/>
                <w:szCs w:val="18"/>
                <w:rtl/>
              </w:rPr>
            </w:pPr>
            <w:r w:rsidRPr="009E7447">
              <w:rPr>
                <w:rFonts w:hint="cs"/>
                <w:sz w:val="18"/>
                <w:szCs w:val="18"/>
                <w:rtl/>
              </w:rPr>
              <w:t>0</w:t>
            </w:r>
          </w:p>
        </w:tc>
      </w:tr>
      <w:tr w:rsidR="00AF6944" w:rsidRPr="009E7447" w14:paraId="03BD1A65" w14:textId="77777777" w:rsidTr="00AF6944">
        <w:tc>
          <w:tcPr>
            <w:tcW w:w="1756" w:type="pct"/>
            <w:vAlign w:val="bottom"/>
          </w:tcPr>
          <w:p w14:paraId="0C85C9A6" w14:textId="77777777" w:rsidR="00AF6944" w:rsidRPr="00F35649" w:rsidRDefault="00AF6944" w:rsidP="00400DD1">
            <w:pPr>
              <w:ind w:left="73" w:hanging="73"/>
              <w:jc w:val="left"/>
              <w:rPr>
                <w:b/>
                <w:bCs/>
                <w:color w:val="000000"/>
                <w:sz w:val="18"/>
                <w:szCs w:val="18"/>
                <w:lang w:eastAsia="he-IL"/>
              </w:rPr>
            </w:pPr>
            <w:r w:rsidRPr="00F35649">
              <w:rPr>
                <w:rFonts w:hint="eastAsia"/>
                <w:b/>
                <w:bCs/>
                <w:color w:val="000000"/>
                <w:sz w:val="18"/>
                <w:szCs w:val="18"/>
                <w:rtl/>
                <w:lang w:eastAsia="he-IL"/>
              </w:rPr>
              <w:t>אנשים</w:t>
            </w:r>
            <w:r w:rsidRPr="00F35649">
              <w:rPr>
                <w:b/>
                <w:bCs/>
                <w:color w:val="000000"/>
                <w:sz w:val="18"/>
                <w:szCs w:val="18"/>
                <w:rtl/>
                <w:lang w:eastAsia="he-IL"/>
              </w:rPr>
              <w:t xml:space="preserve"> </w:t>
            </w:r>
            <w:r w:rsidRPr="00F35649">
              <w:rPr>
                <w:rFonts w:hint="eastAsia"/>
                <w:b/>
                <w:bCs/>
                <w:color w:val="000000"/>
                <w:sz w:val="18"/>
                <w:szCs w:val="18"/>
                <w:rtl/>
                <w:lang w:eastAsia="he-IL"/>
              </w:rPr>
              <w:t>פרטיים</w:t>
            </w:r>
            <w:r w:rsidRPr="00F35649">
              <w:rPr>
                <w:b/>
                <w:bCs/>
                <w:color w:val="000000"/>
                <w:sz w:val="18"/>
                <w:szCs w:val="18"/>
                <w:rtl/>
                <w:lang w:eastAsia="he-IL"/>
              </w:rPr>
              <w:t xml:space="preserve"> - </w:t>
            </w:r>
            <w:r w:rsidRPr="00F35649">
              <w:rPr>
                <w:rFonts w:hint="eastAsia"/>
                <w:b/>
                <w:bCs/>
                <w:color w:val="000000"/>
                <w:sz w:val="18"/>
                <w:szCs w:val="18"/>
                <w:rtl/>
                <w:lang w:eastAsia="he-IL"/>
              </w:rPr>
              <w:t>אחר</w:t>
            </w:r>
          </w:p>
        </w:tc>
        <w:tc>
          <w:tcPr>
            <w:tcW w:w="590" w:type="pct"/>
            <w:vAlign w:val="bottom"/>
          </w:tcPr>
          <w:p w14:paraId="0395AB84" w14:textId="77777777" w:rsidR="00AF6944" w:rsidRPr="009E7447" w:rsidRDefault="00AF6944" w:rsidP="00400DD1">
            <w:pPr>
              <w:pBdr>
                <w:bottom w:val="single" w:sz="4" w:space="1" w:color="auto"/>
              </w:pBdr>
              <w:spacing w:line="241" w:lineRule="auto"/>
              <w:rPr>
                <w:b/>
                <w:bCs/>
                <w:color w:val="000000"/>
                <w:sz w:val="18"/>
                <w:szCs w:val="18"/>
                <w:rtl/>
                <w:lang w:eastAsia="he-IL"/>
              </w:rPr>
            </w:pPr>
            <w:r w:rsidRPr="009E7447">
              <w:rPr>
                <w:rFonts w:hint="cs"/>
                <w:sz w:val="18"/>
                <w:szCs w:val="18"/>
                <w:rtl/>
              </w:rPr>
              <w:t xml:space="preserve"> 0</w:t>
            </w:r>
          </w:p>
        </w:tc>
        <w:tc>
          <w:tcPr>
            <w:tcW w:w="399" w:type="pct"/>
            <w:vAlign w:val="bottom"/>
          </w:tcPr>
          <w:p w14:paraId="1FE1A200" w14:textId="77777777" w:rsidR="00AF6944" w:rsidRPr="009E7447" w:rsidRDefault="00AF6944" w:rsidP="00400DD1">
            <w:pPr>
              <w:pBdr>
                <w:bottom w:val="single" w:sz="4" w:space="1" w:color="auto"/>
              </w:pBdr>
              <w:spacing w:line="241" w:lineRule="auto"/>
              <w:rPr>
                <w:b/>
                <w:bCs/>
                <w:color w:val="000000"/>
                <w:sz w:val="18"/>
                <w:szCs w:val="18"/>
                <w:rtl/>
                <w:lang w:eastAsia="he-IL"/>
              </w:rPr>
            </w:pPr>
            <w:r w:rsidRPr="009E7447">
              <w:rPr>
                <w:rFonts w:hint="cs"/>
                <w:sz w:val="18"/>
                <w:szCs w:val="18"/>
                <w:rtl/>
              </w:rPr>
              <w:t xml:space="preserve"> 0</w:t>
            </w:r>
          </w:p>
        </w:tc>
        <w:tc>
          <w:tcPr>
            <w:tcW w:w="671" w:type="pct"/>
            <w:vAlign w:val="bottom"/>
          </w:tcPr>
          <w:p w14:paraId="2E109293" w14:textId="77777777" w:rsidR="00AF6944" w:rsidRPr="009E7447" w:rsidRDefault="00AF6944" w:rsidP="00400DD1">
            <w:pPr>
              <w:pBdr>
                <w:bottom w:val="single" w:sz="4" w:space="1" w:color="auto"/>
              </w:pBdr>
              <w:spacing w:line="241" w:lineRule="auto"/>
              <w:rPr>
                <w:b/>
                <w:bCs/>
                <w:color w:val="000000"/>
                <w:sz w:val="18"/>
                <w:szCs w:val="18"/>
                <w:rtl/>
                <w:lang w:eastAsia="he-IL"/>
              </w:rPr>
            </w:pPr>
            <w:r w:rsidRPr="009E7447">
              <w:rPr>
                <w:rFonts w:hint="cs"/>
                <w:sz w:val="18"/>
                <w:szCs w:val="18"/>
                <w:rtl/>
              </w:rPr>
              <w:t xml:space="preserve"> 0</w:t>
            </w:r>
          </w:p>
        </w:tc>
        <w:tc>
          <w:tcPr>
            <w:tcW w:w="520" w:type="pct"/>
            <w:vAlign w:val="bottom"/>
          </w:tcPr>
          <w:p w14:paraId="4CD3CA33" w14:textId="77777777" w:rsidR="00AF6944" w:rsidRPr="009E7447" w:rsidRDefault="00AF6944" w:rsidP="00400DD1">
            <w:pPr>
              <w:pBdr>
                <w:bottom w:val="single" w:sz="4" w:space="1" w:color="auto"/>
              </w:pBdr>
              <w:spacing w:line="241" w:lineRule="auto"/>
              <w:rPr>
                <w:b/>
                <w:bCs/>
                <w:color w:val="000000"/>
                <w:sz w:val="18"/>
                <w:szCs w:val="18"/>
                <w:rtl/>
                <w:lang w:eastAsia="he-IL"/>
              </w:rPr>
            </w:pPr>
            <w:r w:rsidRPr="009E7447">
              <w:rPr>
                <w:rFonts w:hint="cs"/>
                <w:sz w:val="18"/>
                <w:szCs w:val="18"/>
                <w:rtl/>
              </w:rPr>
              <w:t xml:space="preserve"> 0</w:t>
            </w:r>
          </w:p>
        </w:tc>
        <w:tc>
          <w:tcPr>
            <w:tcW w:w="512" w:type="pct"/>
            <w:vAlign w:val="bottom"/>
          </w:tcPr>
          <w:p w14:paraId="7400D43A" w14:textId="77777777" w:rsidR="00AF6944" w:rsidRPr="009E7447" w:rsidRDefault="00AF6944" w:rsidP="00400DD1">
            <w:pPr>
              <w:pBdr>
                <w:bottom w:val="single" w:sz="4" w:space="1" w:color="auto"/>
              </w:pBdr>
              <w:spacing w:line="241" w:lineRule="auto"/>
              <w:rPr>
                <w:b/>
                <w:bCs/>
                <w:color w:val="000000"/>
                <w:sz w:val="18"/>
                <w:szCs w:val="18"/>
                <w:rtl/>
                <w:lang w:eastAsia="he-IL"/>
              </w:rPr>
            </w:pPr>
            <w:r w:rsidRPr="009E7447">
              <w:rPr>
                <w:rFonts w:hint="cs"/>
                <w:sz w:val="18"/>
                <w:szCs w:val="18"/>
                <w:rtl/>
              </w:rPr>
              <w:t xml:space="preserve"> 0</w:t>
            </w:r>
          </w:p>
        </w:tc>
        <w:tc>
          <w:tcPr>
            <w:tcW w:w="552" w:type="pct"/>
            <w:vAlign w:val="bottom"/>
          </w:tcPr>
          <w:p w14:paraId="5EDA9CC5" w14:textId="77777777" w:rsidR="00AF6944" w:rsidRPr="009E7447" w:rsidRDefault="00AF6944" w:rsidP="00400DD1">
            <w:pPr>
              <w:pBdr>
                <w:bottom w:val="single" w:sz="4" w:space="1" w:color="auto"/>
              </w:pBdr>
              <w:spacing w:line="241" w:lineRule="auto"/>
              <w:rPr>
                <w:b/>
                <w:bCs/>
                <w:color w:val="000000"/>
                <w:sz w:val="18"/>
                <w:szCs w:val="18"/>
                <w:rtl/>
                <w:lang w:eastAsia="he-IL"/>
              </w:rPr>
            </w:pPr>
            <w:r w:rsidRPr="009E7447">
              <w:rPr>
                <w:rFonts w:hint="cs"/>
                <w:sz w:val="18"/>
                <w:szCs w:val="18"/>
                <w:rtl/>
              </w:rPr>
              <w:t>0</w:t>
            </w:r>
          </w:p>
        </w:tc>
      </w:tr>
      <w:tr w:rsidR="00AF6944" w:rsidRPr="009E7447" w14:paraId="5D447CA0" w14:textId="77777777" w:rsidTr="00AF6944">
        <w:tc>
          <w:tcPr>
            <w:tcW w:w="1756" w:type="pct"/>
            <w:vAlign w:val="bottom"/>
          </w:tcPr>
          <w:p w14:paraId="741E5D2F" w14:textId="77777777" w:rsidR="00AF6944" w:rsidRPr="00F35649" w:rsidRDefault="00AF6944" w:rsidP="00F35649">
            <w:pPr>
              <w:spacing w:before="40" w:line="180" w:lineRule="exact"/>
              <w:ind w:left="142" w:right="142" w:hanging="142"/>
              <w:jc w:val="left"/>
              <w:rPr>
                <w:b/>
                <w:bCs/>
                <w:color w:val="000000"/>
                <w:sz w:val="18"/>
                <w:szCs w:val="18"/>
                <w:rtl/>
                <w:lang w:eastAsia="he-IL"/>
              </w:rPr>
            </w:pPr>
            <w:r w:rsidRPr="00F35649">
              <w:rPr>
                <w:rFonts w:hint="cs"/>
                <w:b/>
                <w:bCs/>
                <w:color w:val="000000"/>
                <w:sz w:val="18"/>
                <w:szCs w:val="18"/>
                <w:rtl/>
                <w:lang w:eastAsia="he-IL"/>
              </w:rPr>
              <w:t>סך הכל אשראי לציבור - פעילות בישראל</w:t>
            </w:r>
          </w:p>
        </w:tc>
        <w:tc>
          <w:tcPr>
            <w:tcW w:w="590" w:type="pct"/>
            <w:vAlign w:val="bottom"/>
          </w:tcPr>
          <w:p w14:paraId="4BE9B867" w14:textId="77777777" w:rsidR="00AF6944" w:rsidRPr="009E7447" w:rsidRDefault="00AF6944" w:rsidP="00400DD1">
            <w:pP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399" w:type="pct"/>
            <w:vAlign w:val="bottom"/>
          </w:tcPr>
          <w:p w14:paraId="605429A6" w14:textId="77777777" w:rsidR="00AF6944" w:rsidRPr="009E7447" w:rsidRDefault="00AF6944" w:rsidP="00400DD1">
            <w:pP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671" w:type="pct"/>
            <w:vAlign w:val="bottom"/>
          </w:tcPr>
          <w:p w14:paraId="17CEA42B" w14:textId="77777777" w:rsidR="00AF6944" w:rsidRPr="009E7447" w:rsidRDefault="00AF6944" w:rsidP="00400DD1">
            <w:pP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520" w:type="pct"/>
            <w:vAlign w:val="bottom"/>
          </w:tcPr>
          <w:p w14:paraId="6D7CB772" w14:textId="77777777" w:rsidR="00AF6944" w:rsidRPr="009E7447" w:rsidRDefault="00AF6944" w:rsidP="00400DD1">
            <w:pP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512" w:type="pct"/>
            <w:vAlign w:val="bottom"/>
          </w:tcPr>
          <w:p w14:paraId="64968899" w14:textId="77777777" w:rsidR="00AF6944" w:rsidRPr="009E7447" w:rsidRDefault="00AF6944" w:rsidP="00400DD1">
            <w:pP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552" w:type="pct"/>
            <w:vAlign w:val="bottom"/>
          </w:tcPr>
          <w:p w14:paraId="7E033CE8" w14:textId="77777777" w:rsidR="00AF6944" w:rsidRPr="009E7447" w:rsidRDefault="00AF6944" w:rsidP="00400DD1">
            <w:pPr>
              <w:spacing w:line="241" w:lineRule="auto"/>
              <w:jc w:val="left"/>
              <w:rPr>
                <w:color w:val="000000"/>
                <w:sz w:val="18"/>
                <w:szCs w:val="18"/>
                <w:rtl/>
                <w:lang w:eastAsia="he-IL"/>
              </w:rPr>
            </w:pPr>
            <w:r w:rsidRPr="009E7447">
              <w:rPr>
                <w:rFonts w:hint="cs"/>
                <w:b/>
                <w:bCs/>
                <w:color w:val="000000"/>
                <w:sz w:val="18"/>
                <w:szCs w:val="18"/>
                <w:rtl/>
                <w:lang w:eastAsia="he-IL"/>
              </w:rPr>
              <w:t>0</w:t>
            </w:r>
          </w:p>
        </w:tc>
      </w:tr>
      <w:tr w:rsidR="00AF6944" w:rsidRPr="009E7447" w14:paraId="5AB98F63" w14:textId="77777777" w:rsidTr="00AF6944">
        <w:tc>
          <w:tcPr>
            <w:tcW w:w="1756" w:type="pct"/>
            <w:vAlign w:val="bottom"/>
          </w:tcPr>
          <w:p w14:paraId="1226BC13" w14:textId="77777777" w:rsidR="00AF6944" w:rsidRPr="00F35649" w:rsidRDefault="00AF6944" w:rsidP="00400DD1">
            <w:pPr>
              <w:bidi w:val="0"/>
              <w:spacing w:line="144" w:lineRule="auto"/>
              <w:ind w:left="432" w:hanging="144"/>
              <w:rPr>
                <w:color w:val="000000"/>
                <w:sz w:val="18"/>
                <w:szCs w:val="18"/>
                <w:rtl/>
                <w:lang w:eastAsia="he-IL"/>
              </w:rPr>
            </w:pPr>
          </w:p>
        </w:tc>
        <w:tc>
          <w:tcPr>
            <w:tcW w:w="590" w:type="pct"/>
          </w:tcPr>
          <w:p w14:paraId="7309D78D" w14:textId="77777777" w:rsidR="00AF6944" w:rsidRPr="009E7447" w:rsidRDefault="00AF6944" w:rsidP="00400DD1">
            <w:pPr>
              <w:bidi w:val="0"/>
              <w:spacing w:line="144" w:lineRule="auto"/>
              <w:rPr>
                <w:sz w:val="18"/>
                <w:szCs w:val="18"/>
                <w:rtl/>
              </w:rPr>
            </w:pPr>
          </w:p>
        </w:tc>
        <w:tc>
          <w:tcPr>
            <w:tcW w:w="399" w:type="pct"/>
          </w:tcPr>
          <w:p w14:paraId="5B9F3455" w14:textId="77777777" w:rsidR="00AF6944" w:rsidRPr="009E7447" w:rsidRDefault="00AF6944" w:rsidP="00400DD1">
            <w:pPr>
              <w:bidi w:val="0"/>
              <w:spacing w:line="144" w:lineRule="auto"/>
              <w:rPr>
                <w:sz w:val="18"/>
                <w:szCs w:val="18"/>
                <w:rtl/>
              </w:rPr>
            </w:pPr>
          </w:p>
        </w:tc>
        <w:tc>
          <w:tcPr>
            <w:tcW w:w="671" w:type="pct"/>
          </w:tcPr>
          <w:p w14:paraId="05A78151" w14:textId="77777777" w:rsidR="00AF6944" w:rsidRPr="009E7447" w:rsidRDefault="00AF6944" w:rsidP="00400DD1">
            <w:pPr>
              <w:bidi w:val="0"/>
              <w:spacing w:line="144" w:lineRule="auto"/>
              <w:rPr>
                <w:sz w:val="18"/>
                <w:szCs w:val="18"/>
                <w:rtl/>
              </w:rPr>
            </w:pPr>
          </w:p>
        </w:tc>
        <w:tc>
          <w:tcPr>
            <w:tcW w:w="520" w:type="pct"/>
          </w:tcPr>
          <w:p w14:paraId="0618AB24" w14:textId="77777777" w:rsidR="00AF6944" w:rsidRPr="009E7447" w:rsidRDefault="00AF6944" w:rsidP="00400DD1">
            <w:pPr>
              <w:bidi w:val="0"/>
              <w:spacing w:line="144" w:lineRule="auto"/>
              <w:rPr>
                <w:sz w:val="18"/>
                <w:szCs w:val="18"/>
                <w:rtl/>
              </w:rPr>
            </w:pPr>
          </w:p>
        </w:tc>
        <w:tc>
          <w:tcPr>
            <w:tcW w:w="512" w:type="pct"/>
          </w:tcPr>
          <w:p w14:paraId="7B6A25B8" w14:textId="77777777" w:rsidR="00AF6944" w:rsidRPr="009E7447" w:rsidRDefault="00AF6944" w:rsidP="00400DD1">
            <w:pPr>
              <w:bidi w:val="0"/>
              <w:spacing w:line="144" w:lineRule="auto"/>
              <w:rPr>
                <w:sz w:val="18"/>
                <w:szCs w:val="18"/>
                <w:rtl/>
              </w:rPr>
            </w:pPr>
          </w:p>
        </w:tc>
        <w:tc>
          <w:tcPr>
            <w:tcW w:w="552" w:type="pct"/>
          </w:tcPr>
          <w:p w14:paraId="3235F30A" w14:textId="77777777" w:rsidR="00AF6944" w:rsidRPr="009E7447" w:rsidRDefault="00AF6944" w:rsidP="00400DD1">
            <w:pPr>
              <w:bidi w:val="0"/>
              <w:spacing w:line="144" w:lineRule="auto"/>
              <w:rPr>
                <w:sz w:val="18"/>
                <w:szCs w:val="18"/>
                <w:rtl/>
              </w:rPr>
            </w:pPr>
          </w:p>
        </w:tc>
      </w:tr>
      <w:tr w:rsidR="00AF6944" w:rsidRPr="009E7447" w14:paraId="26820245" w14:textId="77777777" w:rsidTr="00AF6944">
        <w:tc>
          <w:tcPr>
            <w:tcW w:w="1756" w:type="pct"/>
            <w:vAlign w:val="bottom"/>
          </w:tcPr>
          <w:p w14:paraId="20EF77BC" w14:textId="77777777" w:rsidR="00AF6944" w:rsidRPr="00F35649" w:rsidRDefault="00AF6944" w:rsidP="00400DD1">
            <w:pPr>
              <w:jc w:val="left"/>
              <w:rPr>
                <w:b/>
                <w:bCs/>
                <w:color w:val="000000"/>
                <w:sz w:val="18"/>
                <w:szCs w:val="18"/>
                <w:u w:val="single"/>
                <w:rtl/>
                <w:lang w:eastAsia="he-IL"/>
              </w:rPr>
            </w:pPr>
            <w:r w:rsidRPr="00F35649">
              <w:rPr>
                <w:rFonts w:hint="cs"/>
                <w:b/>
                <w:bCs/>
                <w:color w:val="000000"/>
                <w:sz w:val="18"/>
                <w:szCs w:val="18"/>
                <w:u w:val="single"/>
                <w:rtl/>
                <w:lang w:eastAsia="he-IL"/>
              </w:rPr>
              <w:t>פעילות לווים בחו"ל</w:t>
            </w:r>
          </w:p>
        </w:tc>
        <w:tc>
          <w:tcPr>
            <w:tcW w:w="590" w:type="pct"/>
            <w:vAlign w:val="bottom"/>
          </w:tcPr>
          <w:p w14:paraId="1DD1305B" w14:textId="77777777" w:rsidR="00AF6944" w:rsidRPr="009E7447" w:rsidRDefault="00AF6944" w:rsidP="00400DD1">
            <w:pPr>
              <w:spacing w:line="241" w:lineRule="auto"/>
              <w:rPr>
                <w:sz w:val="18"/>
                <w:szCs w:val="18"/>
                <w:rtl/>
              </w:rPr>
            </w:pPr>
          </w:p>
        </w:tc>
        <w:tc>
          <w:tcPr>
            <w:tcW w:w="399" w:type="pct"/>
            <w:vAlign w:val="bottom"/>
          </w:tcPr>
          <w:p w14:paraId="7D38CA5A" w14:textId="77777777" w:rsidR="00AF6944" w:rsidRPr="009E7447" w:rsidRDefault="00AF6944" w:rsidP="00400DD1">
            <w:pPr>
              <w:spacing w:line="241" w:lineRule="auto"/>
              <w:rPr>
                <w:sz w:val="18"/>
                <w:szCs w:val="18"/>
                <w:rtl/>
              </w:rPr>
            </w:pPr>
          </w:p>
        </w:tc>
        <w:tc>
          <w:tcPr>
            <w:tcW w:w="671" w:type="pct"/>
            <w:vAlign w:val="bottom"/>
          </w:tcPr>
          <w:p w14:paraId="06B7E0D9" w14:textId="77777777" w:rsidR="00AF6944" w:rsidRPr="009E7447" w:rsidRDefault="00AF6944" w:rsidP="00400DD1">
            <w:pPr>
              <w:spacing w:line="241" w:lineRule="auto"/>
              <w:rPr>
                <w:sz w:val="18"/>
                <w:szCs w:val="18"/>
                <w:rtl/>
              </w:rPr>
            </w:pPr>
          </w:p>
        </w:tc>
        <w:tc>
          <w:tcPr>
            <w:tcW w:w="520" w:type="pct"/>
            <w:vAlign w:val="bottom"/>
          </w:tcPr>
          <w:p w14:paraId="5739ABF0" w14:textId="77777777" w:rsidR="00AF6944" w:rsidRPr="009E7447" w:rsidRDefault="00AF6944" w:rsidP="00400DD1">
            <w:pPr>
              <w:spacing w:line="241" w:lineRule="auto"/>
              <w:rPr>
                <w:sz w:val="18"/>
                <w:szCs w:val="18"/>
                <w:rtl/>
              </w:rPr>
            </w:pPr>
          </w:p>
        </w:tc>
        <w:tc>
          <w:tcPr>
            <w:tcW w:w="512" w:type="pct"/>
            <w:vAlign w:val="bottom"/>
          </w:tcPr>
          <w:p w14:paraId="5A85FE7D" w14:textId="77777777" w:rsidR="00AF6944" w:rsidRPr="009E7447" w:rsidRDefault="00AF6944" w:rsidP="00400DD1">
            <w:pPr>
              <w:spacing w:line="241" w:lineRule="auto"/>
              <w:rPr>
                <w:sz w:val="18"/>
                <w:szCs w:val="18"/>
                <w:rtl/>
              </w:rPr>
            </w:pPr>
          </w:p>
        </w:tc>
        <w:tc>
          <w:tcPr>
            <w:tcW w:w="552" w:type="pct"/>
            <w:vAlign w:val="bottom"/>
          </w:tcPr>
          <w:p w14:paraId="6180D541" w14:textId="77777777" w:rsidR="00AF6944" w:rsidRPr="009E7447" w:rsidRDefault="00AF6944" w:rsidP="00400DD1">
            <w:pPr>
              <w:spacing w:line="241" w:lineRule="auto"/>
              <w:rPr>
                <w:sz w:val="18"/>
                <w:szCs w:val="18"/>
                <w:rtl/>
              </w:rPr>
            </w:pPr>
          </w:p>
        </w:tc>
      </w:tr>
      <w:tr w:rsidR="00AF6944" w:rsidRPr="009E7447" w14:paraId="06EEDA39" w14:textId="77777777" w:rsidTr="00AF6944">
        <w:tc>
          <w:tcPr>
            <w:tcW w:w="1756" w:type="pct"/>
            <w:vAlign w:val="bottom"/>
          </w:tcPr>
          <w:p w14:paraId="087AC06F" w14:textId="77777777" w:rsidR="00AF6944" w:rsidRPr="00F35649" w:rsidRDefault="00AF6944" w:rsidP="00F35649">
            <w:pPr>
              <w:spacing w:before="40" w:line="180" w:lineRule="exact"/>
              <w:ind w:left="142" w:right="142" w:hanging="142"/>
              <w:jc w:val="left"/>
              <w:rPr>
                <w:b/>
                <w:bCs/>
                <w:color w:val="000000"/>
                <w:sz w:val="18"/>
                <w:szCs w:val="18"/>
                <w:rtl/>
                <w:lang w:eastAsia="he-IL"/>
              </w:rPr>
            </w:pPr>
            <w:r w:rsidRPr="00F35649">
              <w:rPr>
                <w:rFonts w:hint="cs"/>
                <w:b/>
                <w:bCs/>
                <w:color w:val="000000"/>
                <w:sz w:val="18"/>
                <w:szCs w:val="18"/>
                <w:rtl/>
                <w:lang w:eastAsia="he-IL"/>
              </w:rPr>
              <w:t>סך הכל אשראי לציבור - פעילות בחו"ל</w:t>
            </w:r>
          </w:p>
        </w:tc>
        <w:tc>
          <w:tcPr>
            <w:tcW w:w="590" w:type="pct"/>
            <w:vAlign w:val="bottom"/>
          </w:tcPr>
          <w:p w14:paraId="683506BD" w14:textId="77777777" w:rsidR="00AF6944" w:rsidRPr="009E7447" w:rsidRDefault="00AF6944" w:rsidP="00400DD1">
            <w:pPr>
              <w:pBdr>
                <w:bottom w:val="single" w:sz="4" w:space="1" w:color="auto"/>
              </w:pBd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399" w:type="pct"/>
            <w:vAlign w:val="bottom"/>
          </w:tcPr>
          <w:p w14:paraId="55506523" w14:textId="77777777" w:rsidR="00AF6944" w:rsidRPr="009E7447" w:rsidRDefault="00AF6944" w:rsidP="00400DD1">
            <w:pPr>
              <w:pBdr>
                <w:bottom w:val="single" w:sz="4" w:space="1" w:color="auto"/>
              </w:pBd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671" w:type="pct"/>
            <w:vAlign w:val="bottom"/>
          </w:tcPr>
          <w:p w14:paraId="0844DFD0" w14:textId="77777777" w:rsidR="00AF6944" w:rsidRPr="009E7447" w:rsidRDefault="00AF6944" w:rsidP="00400DD1">
            <w:pPr>
              <w:pBdr>
                <w:bottom w:val="single" w:sz="4" w:space="1" w:color="auto"/>
              </w:pBd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520" w:type="pct"/>
            <w:vAlign w:val="bottom"/>
          </w:tcPr>
          <w:p w14:paraId="554AD7D9" w14:textId="77777777" w:rsidR="00AF6944" w:rsidRPr="009E7447" w:rsidRDefault="00AF6944" w:rsidP="00400DD1">
            <w:pPr>
              <w:pBdr>
                <w:bottom w:val="single" w:sz="4" w:space="1" w:color="auto"/>
              </w:pBd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512" w:type="pct"/>
            <w:vAlign w:val="bottom"/>
          </w:tcPr>
          <w:p w14:paraId="33477CE5" w14:textId="77777777" w:rsidR="00AF6944" w:rsidRPr="009E7447" w:rsidRDefault="00AF6944" w:rsidP="00400DD1">
            <w:pPr>
              <w:pBdr>
                <w:bottom w:val="single" w:sz="4" w:space="1" w:color="auto"/>
              </w:pBd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552" w:type="pct"/>
            <w:vAlign w:val="bottom"/>
          </w:tcPr>
          <w:p w14:paraId="588F2798" w14:textId="77777777" w:rsidR="00AF6944" w:rsidRPr="009E7447" w:rsidRDefault="00AF6944" w:rsidP="00400DD1">
            <w:pPr>
              <w:pBdr>
                <w:bottom w:val="single" w:sz="4" w:space="1" w:color="auto"/>
              </w:pBdr>
              <w:spacing w:line="241" w:lineRule="auto"/>
              <w:jc w:val="left"/>
              <w:rPr>
                <w:color w:val="000000"/>
                <w:sz w:val="18"/>
                <w:szCs w:val="18"/>
                <w:rtl/>
                <w:lang w:eastAsia="he-IL"/>
              </w:rPr>
            </w:pPr>
            <w:r w:rsidRPr="009E7447">
              <w:rPr>
                <w:rFonts w:hint="cs"/>
                <w:b/>
                <w:bCs/>
                <w:color w:val="000000"/>
                <w:sz w:val="18"/>
                <w:szCs w:val="18"/>
                <w:rtl/>
                <w:lang w:eastAsia="he-IL"/>
              </w:rPr>
              <w:t>0</w:t>
            </w:r>
          </w:p>
        </w:tc>
      </w:tr>
      <w:tr w:rsidR="00AF6944" w:rsidRPr="009E7447" w14:paraId="3317F027" w14:textId="77777777" w:rsidTr="00AF6944">
        <w:trPr>
          <w:trHeight w:val="259"/>
        </w:trPr>
        <w:tc>
          <w:tcPr>
            <w:tcW w:w="1756" w:type="pct"/>
            <w:vAlign w:val="bottom"/>
          </w:tcPr>
          <w:p w14:paraId="5BF72637" w14:textId="3B454F67" w:rsidR="00AF6944" w:rsidRPr="00F35649" w:rsidRDefault="00AF6944" w:rsidP="00400DD1">
            <w:pPr>
              <w:spacing w:line="241" w:lineRule="auto"/>
              <w:ind w:left="144" w:hanging="144"/>
              <w:jc w:val="left"/>
              <w:rPr>
                <w:b/>
                <w:bCs/>
                <w:color w:val="000000"/>
                <w:sz w:val="18"/>
                <w:szCs w:val="18"/>
                <w:rtl/>
                <w:lang w:eastAsia="he-IL"/>
              </w:rPr>
            </w:pPr>
            <w:r w:rsidRPr="00F35649">
              <w:rPr>
                <w:rFonts w:hint="cs"/>
                <w:b/>
                <w:bCs/>
                <w:color w:val="000000"/>
                <w:sz w:val="18"/>
                <w:szCs w:val="18"/>
                <w:rtl/>
                <w:lang w:eastAsia="he-IL"/>
              </w:rPr>
              <w:t xml:space="preserve">סך הכל </w:t>
            </w:r>
          </w:p>
        </w:tc>
        <w:tc>
          <w:tcPr>
            <w:tcW w:w="590" w:type="pct"/>
            <w:vAlign w:val="bottom"/>
          </w:tcPr>
          <w:p w14:paraId="3381F0AF" w14:textId="77777777" w:rsidR="00AF6944" w:rsidRPr="00B55481" w:rsidRDefault="00AF6944" w:rsidP="00400DD1">
            <w:pPr>
              <w:pBdr>
                <w:bottom w:val="double" w:sz="4" w:space="1" w:color="auto"/>
              </w:pBdr>
              <w:spacing w:line="241" w:lineRule="auto"/>
              <w:ind w:left="144" w:hanging="144"/>
              <w:jc w:val="left"/>
              <w:rPr>
                <w:b/>
                <w:bCs/>
                <w:color w:val="000000"/>
                <w:sz w:val="18"/>
                <w:szCs w:val="18"/>
                <w:rtl/>
                <w:lang w:eastAsia="he-IL"/>
              </w:rPr>
            </w:pPr>
            <w:r w:rsidRPr="00B55481">
              <w:rPr>
                <w:rFonts w:hint="cs"/>
                <w:b/>
                <w:bCs/>
                <w:color w:val="000000"/>
                <w:sz w:val="18"/>
                <w:szCs w:val="18"/>
                <w:rtl/>
                <w:lang w:eastAsia="he-IL"/>
              </w:rPr>
              <w:t xml:space="preserve"> 0</w:t>
            </w:r>
          </w:p>
        </w:tc>
        <w:tc>
          <w:tcPr>
            <w:tcW w:w="399" w:type="pct"/>
            <w:vAlign w:val="bottom"/>
          </w:tcPr>
          <w:p w14:paraId="1AFB4836" w14:textId="77777777" w:rsidR="00AF6944" w:rsidRPr="00B55481" w:rsidRDefault="00AF6944" w:rsidP="00400DD1">
            <w:pPr>
              <w:pBdr>
                <w:bottom w:val="double" w:sz="4" w:space="1" w:color="auto"/>
              </w:pBdr>
              <w:spacing w:line="241" w:lineRule="auto"/>
              <w:ind w:left="144" w:hanging="144"/>
              <w:jc w:val="left"/>
              <w:rPr>
                <w:b/>
                <w:bCs/>
                <w:color w:val="000000"/>
                <w:sz w:val="18"/>
                <w:szCs w:val="18"/>
                <w:rtl/>
                <w:lang w:eastAsia="he-IL"/>
              </w:rPr>
            </w:pPr>
            <w:r w:rsidRPr="00B55481">
              <w:rPr>
                <w:rFonts w:hint="cs"/>
                <w:b/>
                <w:bCs/>
                <w:color w:val="000000"/>
                <w:sz w:val="18"/>
                <w:szCs w:val="18"/>
                <w:rtl/>
                <w:lang w:eastAsia="he-IL"/>
              </w:rPr>
              <w:t xml:space="preserve"> 0</w:t>
            </w:r>
          </w:p>
        </w:tc>
        <w:tc>
          <w:tcPr>
            <w:tcW w:w="671" w:type="pct"/>
            <w:vAlign w:val="bottom"/>
          </w:tcPr>
          <w:p w14:paraId="350E02E7" w14:textId="77777777" w:rsidR="00AF6944" w:rsidRPr="00B55481" w:rsidRDefault="00AF6944" w:rsidP="00400DD1">
            <w:pPr>
              <w:pBdr>
                <w:bottom w:val="double" w:sz="4" w:space="1" w:color="auto"/>
              </w:pBdr>
              <w:spacing w:line="241" w:lineRule="auto"/>
              <w:ind w:left="144" w:hanging="144"/>
              <w:jc w:val="left"/>
              <w:rPr>
                <w:b/>
                <w:bCs/>
                <w:color w:val="000000"/>
                <w:sz w:val="18"/>
                <w:szCs w:val="18"/>
                <w:rtl/>
                <w:lang w:eastAsia="he-IL"/>
              </w:rPr>
            </w:pPr>
            <w:r w:rsidRPr="00B55481">
              <w:rPr>
                <w:rFonts w:hint="cs"/>
                <w:b/>
                <w:bCs/>
                <w:color w:val="000000"/>
                <w:sz w:val="18"/>
                <w:szCs w:val="18"/>
                <w:rtl/>
                <w:lang w:eastAsia="he-IL"/>
              </w:rPr>
              <w:t xml:space="preserve"> 0</w:t>
            </w:r>
          </w:p>
        </w:tc>
        <w:tc>
          <w:tcPr>
            <w:tcW w:w="520" w:type="pct"/>
            <w:vAlign w:val="bottom"/>
          </w:tcPr>
          <w:p w14:paraId="7592361A" w14:textId="77777777" w:rsidR="00AF6944" w:rsidRPr="00B55481" w:rsidRDefault="00AF6944" w:rsidP="00400DD1">
            <w:pPr>
              <w:pBdr>
                <w:bottom w:val="double" w:sz="4" w:space="1" w:color="auto"/>
              </w:pBdr>
              <w:spacing w:line="241" w:lineRule="auto"/>
              <w:ind w:left="144" w:hanging="144"/>
              <w:jc w:val="left"/>
              <w:rPr>
                <w:color w:val="000000"/>
                <w:sz w:val="18"/>
                <w:szCs w:val="18"/>
                <w:rtl/>
                <w:lang w:eastAsia="he-IL"/>
              </w:rPr>
            </w:pPr>
            <w:r w:rsidRPr="00B55481">
              <w:rPr>
                <w:rFonts w:hint="cs"/>
                <w:b/>
                <w:bCs/>
                <w:color w:val="000000"/>
                <w:sz w:val="18"/>
                <w:szCs w:val="18"/>
                <w:rtl/>
                <w:lang w:eastAsia="he-IL"/>
              </w:rPr>
              <w:t xml:space="preserve"> 0</w:t>
            </w:r>
          </w:p>
        </w:tc>
        <w:tc>
          <w:tcPr>
            <w:tcW w:w="512" w:type="pct"/>
            <w:vAlign w:val="bottom"/>
          </w:tcPr>
          <w:p w14:paraId="053269A7" w14:textId="77777777" w:rsidR="00AF6944" w:rsidRPr="00B55481" w:rsidRDefault="00AF6944" w:rsidP="00400DD1">
            <w:pPr>
              <w:pBdr>
                <w:bottom w:val="double" w:sz="4" w:space="1" w:color="auto"/>
              </w:pBdr>
              <w:spacing w:line="241" w:lineRule="auto"/>
              <w:ind w:left="144" w:hanging="144"/>
              <w:jc w:val="left"/>
              <w:rPr>
                <w:color w:val="000000"/>
                <w:sz w:val="18"/>
                <w:szCs w:val="18"/>
                <w:rtl/>
                <w:lang w:eastAsia="he-IL"/>
              </w:rPr>
            </w:pPr>
            <w:r w:rsidRPr="00B55481">
              <w:rPr>
                <w:rFonts w:hint="cs"/>
                <w:b/>
                <w:bCs/>
                <w:color w:val="000000"/>
                <w:sz w:val="18"/>
                <w:szCs w:val="18"/>
                <w:rtl/>
                <w:lang w:eastAsia="he-IL"/>
              </w:rPr>
              <w:t xml:space="preserve"> 0</w:t>
            </w:r>
          </w:p>
        </w:tc>
        <w:tc>
          <w:tcPr>
            <w:tcW w:w="552" w:type="pct"/>
            <w:vAlign w:val="bottom"/>
          </w:tcPr>
          <w:p w14:paraId="7A0BD5D9" w14:textId="77777777" w:rsidR="00AF6944" w:rsidRPr="00B55481" w:rsidRDefault="00AF6944" w:rsidP="00400DD1">
            <w:pPr>
              <w:pBdr>
                <w:bottom w:val="double" w:sz="4" w:space="1" w:color="auto"/>
              </w:pBdr>
              <w:spacing w:line="241" w:lineRule="auto"/>
              <w:jc w:val="left"/>
              <w:rPr>
                <w:color w:val="000000"/>
                <w:sz w:val="18"/>
                <w:szCs w:val="18"/>
                <w:rtl/>
                <w:lang w:eastAsia="he-IL"/>
              </w:rPr>
            </w:pPr>
            <w:r w:rsidRPr="00B55481">
              <w:rPr>
                <w:rFonts w:hint="cs"/>
                <w:b/>
                <w:bCs/>
                <w:color w:val="000000"/>
                <w:sz w:val="18"/>
                <w:szCs w:val="18"/>
                <w:rtl/>
                <w:lang w:eastAsia="he-IL"/>
              </w:rPr>
              <w:t>0</w:t>
            </w:r>
          </w:p>
        </w:tc>
      </w:tr>
      <w:tr w:rsidR="00AF6944" w:rsidRPr="009E7447" w14:paraId="78EEB84E" w14:textId="77777777" w:rsidTr="00AF6944">
        <w:trPr>
          <w:trHeight w:val="227"/>
        </w:trPr>
        <w:tc>
          <w:tcPr>
            <w:tcW w:w="1756" w:type="pct"/>
            <w:vAlign w:val="bottom"/>
          </w:tcPr>
          <w:p w14:paraId="2091E0EF" w14:textId="77777777" w:rsidR="00AF6944" w:rsidRPr="00F35649" w:rsidRDefault="00AF6944" w:rsidP="00400DD1">
            <w:pPr>
              <w:ind w:left="144" w:hanging="144"/>
              <w:jc w:val="left"/>
              <w:rPr>
                <w:color w:val="000000"/>
                <w:sz w:val="18"/>
                <w:szCs w:val="18"/>
                <w:rtl/>
                <w:lang w:eastAsia="he-IL"/>
              </w:rPr>
            </w:pPr>
            <w:r w:rsidRPr="00F35649">
              <w:rPr>
                <w:rFonts w:hint="cs"/>
                <w:color w:val="000000"/>
                <w:sz w:val="18"/>
                <w:szCs w:val="18"/>
                <w:rtl/>
                <w:lang w:eastAsia="he-IL"/>
              </w:rPr>
              <w:t>מזה:</w:t>
            </w:r>
          </w:p>
        </w:tc>
        <w:tc>
          <w:tcPr>
            <w:tcW w:w="590" w:type="pct"/>
          </w:tcPr>
          <w:p w14:paraId="176EEE45" w14:textId="77777777" w:rsidR="00AF6944" w:rsidRPr="009E7447" w:rsidRDefault="00AF6944" w:rsidP="00400DD1">
            <w:pPr>
              <w:spacing w:line="241" w:lineRule="auto"/>
              <w:rPr>
                <w:sz w:val="18"/>
                <w:szCs w:val="18"/>
                <w:rtl/>
              </w:rPr>
            </w:pPr>
          </w:p>
        </w:tc>
        <w:tc>
          <w:tcPr>
            <w:tcW w:w="399" w:type="pct"/>
          </w:tcPr>
          <w:p w14:paraId="15B77E72" w14:textId="77777777" w:rsidR="00AF6944" w:rsidRPr="009E7447" w:rsidRDefault="00AF6944" w:rsidP="00400DD1">
            <w:pPr>
              <w:spacing w:line="241" w:lineRule="auto"/>
              <w:rPr>
                <w:sz w:val="18"/>
                <w:szCs w:val="18"/>
                <w:rtl/>
              </w:rPr>
            </w:pPr>
          </w:p>
        </w:tc>
        <w:tc>
          <w:tcPr>
            <w:tcW w:w="671" w:type="pct"/>
          </w:tcPr>
          <w:p w14:paraId="3B7AA9CA" w14:textId="77777777" w:rsidR="00AF6944" w:rsidRPr="009E7447" w:rsidRDefault="00AF6944" w:rsidP="00400DD1">
            <w:pPr>
              <w:spacing w:line="241" w:lineRule="auto"/>
              <w:rPr>
                <w:sz w:val="18"/>
                <w:szCs w:val="18"/>
                <w:rtl/>
              </w:rPr>
            </w:pPr>
          </w:p>
        </w:tc>
        <w:tc>
          <w:tcPr>
            <w:tcW w:w="520" w:type="pct"/>
          </w:tcPr>
          <w:p w14:paraId="6BD08412" w14:textId="77777777" w:rsidR="00AF6944" w:rsidRPr="009E7447" w:rsidRDefault="00AF6944" w:rsidP="00400DD1">
            <w:pPr>
              <w:spacing w:line="241" w:lineRule="auto"/>
              <w:rPr>
                <w:sz w:val="18"/>
                <w:szCs w:val="18"/>
                <w:rtl/>
              </w:rPr>
            </w:pPr>
          </w:p>
        </w:tc>
        <w:tc>
          <w:tcPr>
            <w:tcW w:w="512" w:type="pct"/>
          </w:tcPr>
          <w:p w14:paraId="396790A3" w14:textId="77777777" w:rsidR="00AF6944" w:rsidRPr="009E7447" w:rsidRDefault="00AF6944" w:rsidP="00400DD1">
            <w:pPr>
              <w:spacing w:line="241" w:lineRule="auto"/>
              <w:rPr>
                <w:rtl/>
              </w:rPr>
            </w:pPr>
          </w:p>
        </w:tc>
        <w:tc>
          <w:tcPr>
            <w:tcW w:w="552" w:type="pct"/>
          </w:tcPr>
          <w:p w14:paraId="55249ED8" w14:textId="77777777" w:rsidR="00AF6944" w:rsidRPr="009E7447" w:rsidRDefault="00AF6944" w:rsidP="00400DD1">
            <w:pPr>
              <w:spacing w:line="241" w:lineRule="auto"/>
              <w:rPr>
                <w:rtl/>
              </w:rPr>
            </w:pPr>
          </w:p>
        </w:tc>
      </w:tr>
      <w:tr w:rsidR="00AF6944" w:rsidRPr="009E7447" w14:paraId="62FBD7FB" w14:textId="77777777" w:rsidTr="00AF6944">
        <w:trPr>
          <w:trHeight w:val="227"/>
        </w:trPr>
        <w:tc>
          <w:tcPr>
            <w:tcW w:w="1756" w:type="pct"/>
            <w:vAlign w:val="bottom"/>
          </w:tcPr>
          <w:p w14:paraId="4614A173" w14:textId="77777777" w:rsidR="00AF6944" w:rsidRPr="00F35649" w:rsidRDefault="00AF6944" w:rsidP="00400DD1">
            <w:pPr>
              <w:ind w:left="142" w:right="-113" w:hanging="142"/>
              <w:jc w:val="left"/>
              <w:rPr>
                <w:color w:val="000000"/>
                <w:sz w:val="18"/>
                <w:szCs w:val="18"/>
                <w:rtl/>
                <w:lang w:eastAsia="he-IL"/>
              </w:rPr>
            </w:pPr>
            <w:r w:rsidRPr="00F35649">
              <w:rPr>
                <w:rFonts w:hint="cs"/>
                <w:color w:val="000000"/>
                <w:sz w:val="18"/>
                <w:szCs w:val="18"/>
                <w:rtl/>
                <w:lang w:eastAsia="he-IL"/>
              </w:rPr>
              <w:t>נמדד פרטנית לפי ערך נוכחי של תזרימי מזומנים</w:t>
            </w:r>
          </w:p>
        </w:tc>
        <w:tc>
          <w:tcPr>
            <w:tcW w:w="590" w:type="pct"/>
            <w:vAlign w:val="bottom"/>
          </w:tcPr>
          <w:p w14:paraId="20828D00" w14:textId="77777777" w:rsidR="00AF6944" w:rsidRPr="009E7447" w:rsidRDefault="00AF6944"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399" w:type="pct"/>
            <w:vAlign w:val="bottom"/>
          </w:tcPr>
          <w:p w14:paraId="4B67F2C5" w14:textId="77777777" w:rsidR="00AF6944" w:rsidRPr="009E7447" w:rsidRDefault="00AF6944"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671" w:type="pct"/>
            <w:vAlign w:val="bottom"/>
          </w:tcPr>
          <w:p w14:paraId="6DD94B20" w14:textId="77777777" w:rsidR="00AF6944" w:rsidRPr="009E7447" w:rsidRDefault="00AF6944"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520" w:type="pct"/>
            <w:vAlign w:val="bottom"/>
          </w:tcPr>
          <w:p w14:paraId="4424097B" w14:textId="77777777" w:rsidR="00AF6944" w:rsidRPr="009E7447" w:rsidRDefault="00AF6944"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512" w:type="pct"/>
            <w:vAlign w:val="bottom"/>
          </w:tcPr>
          <w:p w14:paraId="358C7B17" w14:textId="77777777" w:rsidR="00AF6944" w:rsidRPr="009E7447" w:rsidRDefault="00AF6944" w:rsidP="00400DD1">
            <w:pPr>
              <w:pBdr>
                <w:bottom w:val="single" w:sz="4" w:space="1" w:color="auto"/>
              </w:pBdr>
              <w:spacing w:line="241" w:lineRule="auto"/>
              <w:rPr>
                <w:rtl/>
              </w:rPr>
            </w:pPr>
            <w:r w:rsidRPr="009E7447">
              <w:rPr>
                <w:rFonts w:hint="cs"/>
                <w:sz w:val="18"/>
                <w:szCs w:val="18"/>
                <w:rtl/>
              </w:rPr>
              <w:t>0</w:t>
            </w:r>
          </w:p>
        </w:tc>
        <w:tc>
          <w:tcPr>
            <w:tcW w:w="552" w:type="pct"/>
            <w:vAlign w:val="bottom"/>
          </w:tcPr>
          <w:p w14:paraId="695AFF2A" w14:textId="77777777" w:rsidR="00AF6944" w:rsidRPr="009E7447" w:rsidRDefault="00AF6944" w:rsidP="00400DD1">
            <w:pPr>
              <w:spacing w:line="241" w:lineRule="auto"/>
              <w:rPr>
                <w:rtl/>
              </w:rPr>
            </w:pPr>
          </w:p>
        </w:tc>
      </w:tr>
      <w:tr w:rsidR="00AF6944" w:rsidRPr="009E7447" w14:paraId="64457A50" w14:textId="77777777" w:rsidTr="00AF6944">
        <w:trPr>
          <w:trHeight w:hRule="exact" w:val="72"/>
        </w:trPr>
        <w:tc>
          <w:tcPr>
            <w:tcW w:w="1756" w:type="pct"/>
            <w:vAlign w:val="bottom"/>
          </w:tcPr>
          <w:p w14:paraId="4D391726" w14:textId="77777777" w:rsidR="00AF6944" w:rsidRPr="00F35649" w:rsidRDefault="00AF6944" w:rsidP="00400DD1">
            <w:pPr>
              <w:spacing w:line="241" w:lineRule="auto"/>
              <w:ind w:left="144" w:hanging="144"/>
              <w:jc w:val="left"/>
              <w:rPr>
                <w:color w:val="000000"/>
                <w:sz w:val="18"/>
                <w:szCs w:val="18"/>
                <w:u w:val="single"/>
                <w:rtl/>
                <w:lang w:eastAsia="he-IL"/>
              </w:rPr>
            </w:pPr>
          </w:p>
        </w:tc>
        <w:tc>
          <w:tcPr>
            <w:tcW w:w="590" w:type="pct"/>
          </w:tcPr>
          <w:p w14:paraId="2239F435" w14:textId="77777777" w:rsidR="00AF6944" w:rsidRPr="009E7447" w:rsidRDefault="00AF6944" w:rsidP="00400DD1">
            <w:pPr>
              <w:spacing w:line="241" w:lineRule="auto"/>
              <w:jc w:val="center"/>
              <w:rPr>
                <w:sz w:val="18"/>
                <w:szCs w:val="18"/>
                <w:rtl/>
              </w:rPr>
            </w:pPr>
          </w:p>
        </w:tc>
        <w:tc>
          <w:tcPr>
            <w:tcW w:w="399" w:type="pct"/>
          </w:tcPr>
          <w:p w14:paraId="245A6235" w14:textId="77777777" w:rsidR="00AF6944" w:rsidRPr="009E7447" w:rsidRDefault="00AF6944" w:rsidP="00400DD1">
            <w:pPr>
              <w:spacing w:line="241" w:lineRule="auto"/>
              <w:jc w:val="center"/>
              <w:rPr>
                <w:sz w:val="18"/>
                <w:szCs w:val="18"/>
                <w:rtl/>
              </w:rPr>
            </w:pPr>
          </w:p>
        </w:tc>
        <w:tc>
          <w:tcPr>
            <w:tcW w:w="671" w:type="pct"/>
          </w:tcPr>
          <w:p w14:paraId="3A7653A3" w14:textId="77777777" w:rsidR="00AF6944" w:rsidRPr="009E7447" w:rsidRDefault="00AF6944" w:rsidP="00400DD1">
            <w:pPr>
              <w:spacing w:line="241" w:lineRule="auto"/>
              <w:jc w:val="center"/>
              <w:rPr>
                <w:sz w:val="18"/>
                <w:szCs w:val="18"/>
                <w:rtl/>
              </w:rPr>
            </w:pPr>
          </w:p>
        </w:tc>
        <w:tc>
          <w:tcPr>
            <w:tcW w:w="520" w:type="pct"/>
          </w:tcPr>
          <w:p w14:paraId="68735985" w14:textId="77777777" w:rsidR="00AF6944" w:rsidRPr="009E7447" w:rsidRDefault="00AF6944" w:rsidP="00400DD1">
            <w:pPr>
              <w:spacing w:line="241" w:lineRule="auto"/>
              <w:jc w:val="center"/>
              <w:rPr>
                <w:sz w:val="18"/>
                <w:szCs w:val="18"/>
                <w:rtl/>
              </w:rPr>
            </w:pPr>
          </w:p>
        </w:tc>
        <w:tc>
          <w:tcPr>
            <w:tcW w:w="512" w:type="pct"/>
          </w:tcPr>
          <w:p w14:paraId="2C3E4432" w14:textId="77777777" w:rsidR="00AF6944" w:rsidRPr="009E7447" w:rsidRDefault="00AF6944" w:rsidP="00400DD1">
            <w:pPr>
              <w:spacing w:line="241" w:lineRule="auto"/>
              <w:rPr>
                <w:rtl/>
              </w:rPr>
            </w:pPr>
          </w:p>
        </w:tc>
        <w:tc>
          <w:tcPr>
            <w:tcW w:w="552" w:type="pct"/>
          </w:tcPr>
          <w:p w14:paraId="6BCAF5D2" w14:textId="77777777" w:rsidR="00AF6944" w:rsidRPr="009E7447" w:rsidRDefault="00AF6944" w:rsidP="00400DD1">
            <w:pPr>
              <w:spacing w:line="241" w:lineRule="auto"/>
              <w:rPr>
                <w:rtl/>
              </w:rPr>
            </w:pPr>
          </w:p>
        </w:tc>
      </w:tr>
      <w:tr w:rsidR="00AF6944" w:rsidRPr="009E7447" w14:paraId="251E4D1C" w14:textId="77777777" w:rsidTr="00AF6944">
        <w:trPr>
          <w:trHeight w:val="227"/>
        </w:trPr>
        <w:tc>
          <w:tcPr>
            <w:tcW w:w="1756" w:type="pct"/>
            <w:vAlign w:val="bottom"/>
          </w:tcPr>
          <w:p w14:paraId="1E215113" w14:textId="77777777" w:rsidR="00AF6944" w:rsidRPr="00F35649" w:rsidRDefault="00AF6944" w:rsidP="00400DD1">
            <w:pPr>
              <w:spacing w:line="241" w:lineRule="auto"/>
              <w:ind w:left="144" w:hanging="144"/>
              <w:jc w:val="left"/>
              <w:rPr>
                <w:color w:val="000000"/>
                <w:sz w:val="18"/>
                <w:szCs w:val="18"/>
                <w:rtl/>
                <w:lang w:eastAsia="he-IL"/>
              </w:rPr>
            </w:pPr>
            <w:r w:rsidRPr="00F35649">
              <w:rPr>
                <w:rFonts w:hint="cs"/>
                <w:color w:val="000000"/>
                <w:sz w:val="18"/>
                <w:szCs w:val="18"/>
                <w:rtl/>
                <w:lang w:eastAsia="he-IL"/>
              </w:rPr>
              <w:t>נמדד פרטנית לפי שווי הוגן של ביטחון</w:t>
            </w:r>
          </w:p>
        </w:tc>
        <w:tc>
          <w:tcPr>
            <w:tcW w:w="590" w:type="pct"/>
            <w:vAlign w:val="bottom"/>
          </w:tcPr>
          <w:p w14:paraId="7F301207" w14:textId="77777777" w:rsidR="00AF6944" w:rsidRPr="009E7447" w:rsidRDefault="00AF6944"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399" w:type="pct"/>
            <w:vAlign w:val="bottom"/>
          </w:tcPr>
          <w:p w14:paraId="7230855C" w14:textId="77777777" w:rsidR="00AF6944" w:rsidRPr="009E7447" w:rsidRDefault="00AF6944"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671" w:type="pct"/>
            <w:vAlign w:val="bottom"/>
          </w:tcPr>
          <w:p w14:paraId="4A790D23" w14:textId="77777777" w:rsidR="00AF6944" w:rsidRPr="009E7447" w:rsidRDefault="00AF6944"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520" w:type="pct"/>
            <w:vAlign w:val="bottom"/>
          </w:tcPr>
          <w:p w14:paraId="20F9D527" w14:textId="77777777" w:rsidR="00AF6944" w:rsidRPr="009E7447" w:rsidRDefault="00AF6944" w:rsidP="00400DD1">
            <w:pPr>
              <w:pBdr>
                <w:bottom w:val="single" w:sz="4" w:space="1" w:color="auto"/>
              </w:pBdr>
              <w:spacing w:line="241" w:lineRule="auto"/>
              <w:rPr>
                <w:b/>
                <w:bCs/>
                <w:sz w:val="18"/>
                <w:szCs w:val="18"/>
                <w:rtl/>
              </w:rPr>
            </w:pPr>
            <w:r w:rsidRPr="009E7447">
              <w:rPr>
                <w:rFonts w:hint="cs"/>
                <w:sz w:val="18"/>
                <w:szCs w:val="18"/>
                <w:rtl/>
              </w:rPr>
              <w:t xml:space="preserve"> </w:t>
            </w:r>
            <w:r>
              <w:rPr>
                <w:rFonts w:hint="cs"/>
                <w:sz w:val="18"/>
                <w:szCs w:val="18"/>
                <w:rtl/>
              </w:rPr>
              <w:t>0</w:t>
            </w:r>
          </w:p>
        </w:tc>
        <w:tc>
          <w:tcPr>
            <w:tcW w:w="512" w:type="pct"/>
            <w:vAlign w:val="bottom"/>
          </w:tcPr>
          <w:p w14:paraId="2B73000D" w14:textId="77777777" w:rsidR="00AF6944" w:rsidRPr="009E7447" w:rsidRDefault="00AF6944" w:rsidP="00400DD1">
            <w:pPr>
              <w:pBdr>
                <w:bottom w:val="single" w:sz="4" w:space="1" w:color="auto"/>
              </w:pBdr>
              <w:spacing w:line="241" w:lineRule="auto"/>
              <w:rPr>
                <w:b/>
                <w:bCs/>
                <w:rtl/>
              </w:rPr>
            </w:pPr>
            <w:r w:rsidRPr="009E7447">
              <w:rPr>
                <w:rFonts w:hint="cs"/>
                <w:sz w:val="18"/>
                <w:szCs w:val="18"/>
                <w:rtl/>
              </w:rPr>
              <w:t>0</w:t>
            </w:r>
          </w:p>
        </w:tc>
        <w:tc>
          <w:tcPr>
            <w:tcW w:w="552" w:type="pct"/>
            <w:vAlign w:val="bottom"/>
          </w:tcPr>
          <w:p w14:paraId="75D5C61D" w14:textId="77777777" w:rsidR="00AF6944" w:rsidRPr="009E7447" w:rsidRDefault="00AF6944" w:rsidP="00400DD1">
            <w:pPr>
              <w:spacing w:line="241" w:lineRule="auto"/>
              <w:rPr>
                <w:rtl/>
              </w:rPr>
            </w:pPr>
          </w:p>
        </w:tc>
      </w:tr>
      <w:tr w:rsidR="00AF6944" w:rsidRPr="009E7447" w14:paraId="727842E0" w14:textId="77777777" w:rsidTr="00AF6944">
        <w:trPr>
          <w:trHeight w:val="227"/>
        </w:trPr>
        <w:tc>
          <w:tcPr>
            <w:tcW w:w="1756" w:type="pct"/>
            <w:vAlign w:val="bottom"/>
          </w:tcPr>
          <w:p w14:paraId="7925E686" w14:textId="77777777" w:rsidR="00AF6944" w:rsidRPr="00F35649" w:rsidRDefault="00AF6944" w:rsidP="00400DD1">
            <w:pPr>
              <w:spacing w:line="241" w:lineRule="auto"/>
              <w:ind w:left="144" w:hanging="144"/>
              <w:jc w:val="left"/>
              <w:rPr>
                <w:color w:val="000000"/>
                <w:sz w:val="18"/>
                <w:szCs w:val="18"/>
                <w:rtl/>
                <w:lang w:eastAsia="he-IL"/>
              </w:rPr>
            </w:pPr>
            <w:r w:rsidRPr="00F35649">
              <w:rPr>
                <w:rFonts w:hint="cs"/>
                <w:color w:val="000000"/>
                <w:sz w:val="18"/>
                <w:szCs w:val="18"/>
                <w:rtl/>
                <w:lang w:eastAsia="he-IL"/>
              </w:rPr>
              <w:t>נמדד על בסיס קבוצתי</w:t>
            </w:r>
          </w:p>
        </w:tc>
        <w:tc>
          <w:tcPr>
            <w:tcW w:w="590" w:type="pct"/>
            <w:vAlign w:val="bottom"/>
          </w:tcPr>
          <w:p w14:paraId="3E099C5D" w14:textId="77777777" w:rsidR="00AF6944" w:rsidRPr="009E7447" w:rsidRDefault="00AF6944" w:rsidP="00400DD1">
            <w:pPr>
              <w:pBdr>
                <w:bottom w:val="single" w:sz="4" w:space="1" w:color="auto"/>
              </w:pBdr>
              <w:spacing w:line="241" w:lineRule="auto"/>
              <w:rPr>
                <w:sz w:val="18"/>
                <w:szCs w:val="18"/>
                <w:rtl/>
              </w:rPr>
            </w:pPr>
            <w:r w:rsidRPr="009E7447">
              <w:rPr>
                <w:rFonts w:hint="cs"/>
                <w:sz w:val="18"/>
                <w:szCs w:val="18"/>
                <w:rtl/>
              </w:rPr>
              <w:t xml:space="preserve"> 0     </w:t>
            </w:r>
          </w:p>
        </w:tc>
        <w:tc>
          <w:tcPr>
            <w:tcW w:w="399" w:type="pct"/>
            <w:vAlign w:val="bottom"/>
          </w:tcPr>
          <w:p w14:paraId="11C07507" w14:textId="77777777" w:rsidR="00AF6944" w:rsidRPr="009E7447" w:rsidRDefault="00AF6944" w:rsidP="00400DD1">
            <w:pPr>
              <w:pBdr>
                <w:bottom w:val="single" w:sz="4" w:space="1" w:color="auto"/>
              </w:pBdr>
              <w:spacing w:line="241" w:lineRule="auto"/>
              <w:rPr>
                <w:sz w:val="18"/>
                <w:szCs w:val="18"/>
                <w:rtl/>
              </w:rPr>
            </w:pPr>
            <w:r w:rsidRPr="009E7447">
              <w:rPr>
                <w:rFonts w:hint="cs"/>
                <w:sz w:val="18"/>
                <w:szCs w:val="18"/>
                <w:rtl/>
              </w:rPr>
              <w:t xml:space="preserve"> 0</w:t>
            </w:r>
          </w:p>
        </w:tc>
        <w:tc>
          <w:tcPr>
            <w:tcW w:w="671" w:type="pct"/>
            <w:vAlign w:val="bottom"/>
          </w:tcPr>
          <w:p w14:paraId="1F564DD5" w14:textId="77777777" w:rsidR="00AF6944" w:rsidRPr="009E7447" w:rsidRDefault="00AF6944" w:rsidP="00400DD1">
            <w:pPr>
              <w:pBdr>
                <w:bottom w:val="single" w:sz="4" w:space="1" w:color="auto"/>
              </w:pBdr>
              <w:spacing w:line="241" w:lineRule="auto"/>
              <w:rPr>
                <w:sz w:val="18"/>
                <w:szCs w:val="18"/>
                <w:rtl/>
              </w:rPr>
            </w:pPr>
            <w:r w:rsidRPr="009E7447">
              <w:rPr>
                <w:rFonts w:hint="cs"/>
                <w:sz w:val="18"/>
                <w:szCs w:val="18"/>
                <w:rtl/>
              </w:rPr>
              <w:t xml:space="preserve"> 0</w:t>
            </w:r>
          </w:p>
        </w:tc>
        <w:tc>
          <w:tcPr>
            <w:tcW w:w="520" w:type="pct"/>
            <w:vAlign w:val="bottom"/>
          </w:tcPr>
          <w:p w14:paraId="4CF4B860" w14:textId="77777777" w:rsidR="00AF6944" w:rsidRPr="009E7447" w:rsidRDefault="00AF6944" w:rsidP="00400DD1">
            <w:pPr>
              <w:pBdr>
                <w:bottom w:val="single" w:sz="4" w:space="1" w:color="auto"/>
              </w:pBdr>
              <w:spacing w:line="241" w:lineRule="auto"/>
              <w:rPr>
                <w:sz w:val="18"/>
                <w:szCs w:val="18"/>
                <w:rtl/>
              </w:rPr>
            </w:pPr>
            <w:r w:rsidRPr="009E7447">
              <w:rPr>
                <w:rFonts w:hint="cs"/>
                <w:sz w:val="18"/>
                <w:szCs w:val="18"/>
                <w:rtl/>
              </w:rPr>
              <w:t xml:space="preserve"> 0</w:t>
            </w:r>
          </w:p>
        </w:tc>
        <w:tc>
          <w:tcPr>
            <w:tcW w:w="512" w:type="pct"/>
            <w:vAlign w:val="bottom"/>
          </w:tcPr>
          <w:p w14:paraId="6352061A" w14:textId="77777777" w:rsidR="00AF6944" w:rsidRPr="009E7447" w:rsidRDefault="00AF6944" w:rsidP="00400DD1">
            <w:pPr>
              <w:pBdr>
                <w:bottom w:val="single" w:sz="4" w:space="1" w:color="auto"/>
              </w:pBdr>
              <w:spacing w:line="241" w:lineRule="auto"/>
              <w:rPr>
                <w:sz w:val="18"/>
                <w:szCs w:val="18"/>
                <w:rtl/>
              </w:rPr>
            </w:pPr>
            <w:r w:rsidRPr="009E7447">
              <w:rPr>
                <w:rFonts w:hint="cs"/>
                <w:sz w:val="18"/>
                <w:szCs w:val="18"/>
                <w:rtl/>
              </w:rPr>
              <w:t>0</w:t>
            </w:r>
          </w:p>
        </w:tc>
        <w:tc>
          <w:tcPr>
            <w:tcW w:w="552" w:type="pct"/>
            <w:vAlign w:val="bottom"/>
          </w:tcPr>
          <w:p w14:paraId="5CC0FB5F" w14:textId="77777777" w:rsidR="00AF6944" w:rsidRPr="009E7447" w:rsidRDefault="00AF6944" w:rsidP="00400DD1">
            <w:pPr>
              <w:spacing w:line="241" w:lineRule="auto"/>
              <w:rPr>
                <w:rtl/>
              </w:rPr>
            </w:pPr>
          </w:p>
        </w:tc>
      </w:tr>
    </w:tbl>
    <w:p w14:paraId="4876F610" w14:textId="1FE904AF" w:rsidR="00347524" w:rsidRDefault="00347524">
      <w:pPr>
        <w:rPr>
          <w:rtl/>
        </w:rPr>
      </w:pPr>
    </w:p>
    <w:tbl>
      <w:tblPr>
        <w:bidiVisual/>
        <w:tblW w:w="4746" w:type="pct"/>
        <w:tblLook w:val="01E0" w:firstRow="1" w:lastRow="1" w:firstColumn="1" w:lastColumn="1" w:noHBand="0" w:noVBand="0"/>
      </w:tblPr>
      <w:tblGrid>
        <w:gridCol w:w="3402"/>
        <w:gridCol w:w="1143"/>
        <w:gridCol w:w="773"/>
        <w:gridCol w:w="1300"/>
        <w:gridCol w:w="1008"/>
        <w:gridCol w:w="992"/>
        <w:gridCol w:w="1070"/>
      </w:tblGrid>
      <w:tr w:rsidR="00AF6944" w:rsidRPr="009E7447" w14:paraId="38FC4809" w14:textId="77777777" w:rsidTr="00CB5D5C">
        <w:trPr>
          <w:trHeight w:val="259"/>
        </w:trPr>
        <w:tc>
          <w:tcPr>
            <w:tcW w:w="1756" w:type="pct"/>
            <w:tcBorders>
              <w:left w:val="nil"/>
            </w:tcBorders>
            <w:vAlign w:val="bottom"/>
          </w:tcPr>
          <w:p w14:paraId="607AE292" w14:textId="77777777" w:rsidR="00AF6944" w:rsidRPr="009E7447" w:rsidRDefault="00AF6944" w:rsidP="00CB5D5C">
            <w:pPr>
              <w:spacing w:line="241" w:lineRule="auto"/>
              <w:ind w:left="144" w:hanging="144"/>
              <w:jc w:val="left"/>
              <w:rPr>
                <w:color w:val="000000"/>
                <w:rtl/>
                <w:lang w:eastAsia="he-IL"/>
              </w:rPr>
            </w:pPr>
          </w:p>
        </w:tc>
        <w:tc>
          <w:tcPr>
            <w:tcW w:w="3244" w:type="pct"/>
            <w:gridSpan w:val="6"/>
            <w:vAlign w:val="bottom"/>
          </w:tcPr>
          <w:p w14:paraId="6552EA88" w14:textId="4F4509FD" w:rsidR="00AF6944" w:rsidRPr="001B0E06" w:rsidRDefault="00AF6944" w:rsidP="00CB5D5C">
            <w:pPr>
              <w:pBdr>
                <w:bottom w:val="single" w:sz="6" w:space="1" w:color="auto"/>
              </w:pBdr>
              <w:spacing w:line="241" w:lineRule="auto"/>
              <w:jc w:val="center"/>
              <w:rPr>
                <w:b/>
                <w:bCs/>
                <w:color w:val="000000"/>
                <w:sz w:val="16"/>
                <w:szCs w:val="16"/>
                <w:rtl/>
                <w:lang w:eastAsia="he-IL"/>
              </w:rPr>
            </w:pPr>
            <w:r w:rsidRPr="001B0E06">
              <w:rPr>
                <w:rFonts w:hint="cs"/>
                <w:b/>
                <w:bCs/>
                <w:sz w:val="16"/>
                <w:szCs w:val="16"/>
                <w:rtl/>
              </w:rPr>
              <w:t xml:space="preserve">ליום 30 ביוני </w:t>
            </w:r>
            <w:r w:rsidRPr="001B0E06">
              <w:rPr>
                <w:b/>
                <w:bCs/>
                <w:sz w:val="16"/>
                <w:szCs w:val="16"/>
                <w:rtl/>
              </w:rPr>
              <w:fldChar w:fldCharType="begin"/>
            </w:r>
            <w:r w:rsidRPr="001B0E06">
              <w:rPr>
                <w:b/>
                <w:bCs/>
                <w:sz w:val="16"/>
                <w:szCs w:val="16"/>
                <w:rtl/>
              </w:rPr>
              <w:instrText xml:space="preserve"> </w:instrText>
            </w:r>
            <w:r w:rsidRPr="001B0E06">
              <w:rPr>
                <w:rFonts w:hint="cs"/>
                <w:b/>
                <w:bCs/>
                <w:sz w:val="16"/>
                <w:szCs w:val="16"/>
                <w:rtl/>
              </w:rPr>
              <w:instrText xml:space="preserve">= </w:instrText>
            </w:r>
            <w:r w:rsidRPr="001B0E06">
              <w:rPr>
                <w:rFonts w:hint="cs"/>
                <w:b/>
                <w:bCs/>
                <w:sz w:val="16"/>
                <w:szCs w:val="16"/>
              </w:rPr>
              <w:instrText>CY</w:instrText>
            </w:r>
            <w:r w:rsidRPr="001B0E06">
              <w:rPr>
                <w:b/>
                <w:bCs/>
                <w:sz w:val="16"/>
                <w:szCs w:val="16"/>
              </w:rPr>
              <w:instrText>-1</w:instrText>
            </w:r>
            <w:r w:rsidRPr="001B0E06">
              <w:rPr>
                <w:rFonts w:hint="cs"/>
                <w:b/>
                <w:bCs/>
                <w:sz w:val="16"/>
                <w:szCs w:val="16"/>
              </w:rPr>
              <w:instrText xml:space="preserve"> \* MERGEFORMAT</w:instrText>
            </w:r>
            <w:r w:rsidRPr="001B0E06">
              <w:rPr>
                <w:b/>
                <w:bCs/>
                <w:sz w:val="16"/>
                <w:szCs w:val="16"/>
                <w:rtl/>
              </w:rPr>
              <w:instrText xml:space="preserve"> </w:instrText>
            </w:r>
            <w:r w:rsidRPr="001B0E06">
              <w:rPr>
                <w:b/>
                <w:bCs/>
                <w:sz w:val="16"/>
                <w:szCs w:val="16"/>
                <w:rtl/>
              </w:rPr>
              <w:fldChar w:fldCharType="separate"/>
            </w:r>
            <w:r w:rsidRPr="001B0E06">
              <w:rPr>
                <w:b/>
                <w:bCs/>
                <w:noProof/>
                <w:sz w:val="16"/>
                <w:szCs w:val="16"/>
                <w:rtl/>
              </w:rPr>
              <w:t>2023</w:t>
            </w:r>
            <w:r w:rsidRPr="001B0E06">
              <w:rPr>
                <w:b/>
                <w:bCs/>
                <w:sz w:val="16"/>
                <w:szCs w:val="16"/>
                <w:rtl/>
              </w:rPr>
              <w:fldChar w:fldCharType="end"/>
            </w:r>
            <w:r w:rsidRPr="001B0E06">
              <w:rPr>
                <w:rFonts w:hint="cs"/>
                <w:b/>
                <w:bCs/>
                <w:color w:val="000000"/>
                <w:sz w:val="16"/>
                <w:szCs w:val="16"/>
                <w:rtl/>
                <w:lang w:eastAsia="he-IL"/>
              </w:rPr>
              <w:t xml:space="preserve">  </w:t>
            </w:r>
            <w:r w:rsidRPr="001B0E06">
              <w:rPr>
                <w:rFonts w:hint="cs"/>
                <w:sz w:val="16"/>
                <w:szCs w:val="16"/>
                <w:rtl/>
              </w:rPr>
              <w:t>(</w:t>
            </w:r>
            <w:r w:rsidRPr="001B0E06">
              <w:rPr>
                <w:rFonts w:hint="eastAsia"/>
                <w:sz w:val="16"/>
                <w:szCs w:val="16"/>
                <w:rtl/>
              </w:rPr>
              <w:t>בלתי</w:t>
            </w:r>
            <w:r w:rsidRPr="001B0E06">
              <w:rPr>
                <w:sz w:val="16"/>
                <w:szCs w:val="16"/>
                <w:rtl/>
              </w:rPr>
              <w:t xml:space="preserve"> </w:t>
            </w:r>
            <w:r w:rsidRPr="001B0E06">
              <w:rPr>
                <w:rFonts w:hint="eastAsia"/>
                <w:sz w:val="16"/>
                <w:szCs w:val="16"/>
                <w:rtl/>
              </w:rPr>
              <w:t>מבוקר</w:t>
            </w:r>
            <w:r w:rsidRPr="001B0E06">
              <w:rPr>
                <w:rFonts w:hint="cs"/>
                <w:sz w:val="16"/>
                <w:szCs w:val="16"/>
                <w:rtl/>
              </w:rPr>
              <w:t>)</w:t>
            </w:r>
          </w:p>
        </w:tc>
      </w:tr>
      <w:tr w:rsidR="00AF6944" w:rsidRPr="009E7447" w14:paraId="71AA53E1" w14:textId="77777777" w:rsidTr="00CB5D5C">
        <w:tc>
          <w:tcPr>
            <w:tcW w:w="1756" w:type="pct"/>
            <w:vAlign w:val="bottom"/>
          </w:tcPr>
          <w:p w14:paraId="1D854790" w14:textId="77777777" w:rsidR="00AF6944" w:rsidRPr="00F35649" w:rsidRDefault="00AF6944" w:rsidP="00CB5D5C">
            <w:pPr>
              <w:jc w:val="left"/>
              <w:rPr>
                <w:b/>
                <w:bCs/>
                <w:color w:val="000000"/>
                <w:sz w:val="18"/>
                <w:szCs w:val="18"/>
                <w:u w:val="single"/>
                <w:rtl/>
                <w:lang w:eastAsia="he-IL"/>
              </w:rPr>
            </w:pPr>
            <w:r w:rsidRPr="00F35649">
              <w:rPr>
                <w:rFonts w:hint="cs"/>
                <w:b/>
                <w:bCs/>
                <w:color w:val="000000"/>
                <w:sz w:val="18"/>
                <w:szCs w:val="18"/>
                <w:u w:val="single"/>
                <w:rtl/>
                <w:lang w:eastAsia="he-IL"/>
              </w:rPr>
              <w:t>פעילות לווים בישראל</w:t>
            </w:r>
          </w:p>
        </w:tc>
        <w:tc>
          <w:tcPr>
            <w:tcW w:w="590" w:type="pct"/>
            <w:vAlign w:val="bottom"/>
          </w:tcPr>
          <w:p w14:paraId="1D172825" w14:textId="77777777" w:rsidR="00AF6944" w:rsidRPr="009E7447" w:rsidRDefault="00AF6944" w:rsidP="00CB5D5C">
            <w:pPr>
              <w:spacing w:line="241" w:lineRule="auto"/>
              <w:rPr>
                <w:sz w:val="18"/>
                <w:szCs w:val="18"/>
                <w:rtl/>
              </w:rPr>
            </w:pPr>
          </w:p>
        </w:tc>
        <w:tc>
          <w:tcPr>
            <w:tcW w:w="399" w:type="pct"/>
            <w:vAlign w:val="bottom"/>
          </w:tcPr>
          <w:p w14:paraId="1C6BDC33" w14:textId="77777777" w:rsidR="00AF6944" w:rsidRPr="009E7447" w:rsidRDefault="00AF6944" w:rsidP="00CB5D5C">
            <w:pPr>
              <w:spacing w:line="241" w:lineRule="auto"/>
              <w:rPr>
                <w:sz w:val="18"/>
                <w:szCs w:val="18"/>
                <w:rtl/>
              </w:rPr>
            </w:pPr>
          </w:p>
        </w:tc>
        <w:tc>
          <w:tcPr>
            <w:tcW w:w="671" w:type="pct"/>
            <w:vAlign w:val="bottom"/>
          </w:tcPr>
          <w:p w14:paraId="70EB5250" w14:textId="77777777" w:rsidR="00AF6944" w:rsidRPr="009E7447" w:rsidRDefault="00AF6944" w:rsidP="00CB5D5C">
            <w:pPr>
              <w:spacing w:line="241" w:lineRule="auto"/>
              <w:rPr>
                <w:sz w:val="18"/>
                <w:szCs w:val="18"/>
                <w:rtl/>
              </w:rPr>
            </w:pPr>
          </w:p>
        </w:tc>
        <w:tc>
          <w:tcPr>
            <w:tcW w:w="520" w:type="pct"/>
            <w:vAlign w:val="bottom"/>
          </w:tcPr>
          <w:p w14:paraId="0EC1B356" w14:textId="77777777" w:rsidR="00AF6944" w:rsidRPr="009E7447" w:rsidRDefault="00AF6944" w:rsidP="00CB5D5C">
            <w:pPr>
              <w:spacing w:line="241" w:lineRule="auto"/>
              <w:rPr>
                <w:sz w:val="18"/>
                <w:szCs w:val="18"/>
                <w:rtl/>
              </w:rPr>
            </w:pPr>
          </w:p>
        </w:tc>
        <w:tc>
          <w:tcPr>
            <w:tcW w:w="512" w:type="pct"/>
            <w:vAlign w:val="bottom"/>
          </w:tcPr>
          <w:p w14:paraId="3809AFDA" w14:textId="77777777" w:rsidR="00AF6944" w:rsidRPr="009E7447" w:rsidRDefault="00AF6944" w:rsidP="00CB5D5C">
            <w:pPr>
              <w:spacing w:line="241" w:lineRule="auto"/>
              <w:rPr>
                <w:sz w:val="18"/>
                <w:szCs w:val="18"/>
                <w:rtl/>
              </w:rPr>
            </w:pPr>
          </w:p>
        </w:tc>
        <w:tc>
          <w:tcPr>
            <w:tcW w:w="552" w:type="pct"/>
            <w:vAlign w:val="bottom"/>
          </w:tcPr>
          <w:p w14:paraId="66AC0E37" w14:textId="77777777" w:rsidR="00AF6944" w:rsidRPr="009E7447" w:rsidRDefault="00AF6944" w:rsidP="00CB5D5C">
            <w:pPr>
              <w:spacing w:line="241" w:lineRule="auto"/>
              <w:rPr>
                <w:sz w:val="18"/>
                <w:szCs w:val="18"/>
                <w:rtl/>
              </w:rPr>
            </w:pPr>
          </w:p>
        </w:tc>
      </w:tr>
      <w:tr w:rsidR="00AF6944" w:rsidRPr="009E7447" w14:paraId="2B3E4740" w14:textId="77777777" w:rsidTr="00CB5D5C">
        <w:tc>
          <w:tcPr>
            <w:tcW w:w="1756" w:type="pct"/>
            <w:vAlign w:val="bottom"/>
          </w:tcPr>
          <w:p w14:paraId="2E60E144" w14:textId="77777777" w:rsidR="00AF6944" w:rsidRPr="00F35649" w:rsidRDefault="00AF6944" w:rsidP="00CB5D5C">
            <w:pPr>
              <w:ind w:left="144" w:hanging="144"/>
              <w:jc w:val="left"/>
              <w:rPr>
                <w:color w:val="000000"/>
                <w:sz w:val="18"/>
                <w:szCs w:val="18"/>
                <w:lang w:eastAsia="he-IL"/>
              </w:rPr>
            </w:pPr>
            <w:r w:rsidRPr="00F35649">
              <w:rPr>
                <w:rFonts w:hint="cs"/>
                <w:color w:val="000000"/>
                <w:sz w:val="18"/>
                <w:szCs w:val="18"/>
                <w:u w:val="single"/>
                <w:rtl/>
                <w:lang w:eastAsia="he-IL"/>
              </w:rPr>
              <w:t>ציבור - מסחרי בישראל</w:t>
            </w:r>
            <w:r w:rsidRPr="00F35649">
              <w:rPr>
                <w:rFonts w:hint="cs"/>
                <w:color w:val="000000"/>
                <w:sz w:val="18"/>
                <w:szCs w:val="18"/>
                <w:rtl/>
                <w:lang w:eastAsia="he-IL"/>
              </w:rPr>
              <w:t xml:space="preserve">: </w:t>
            </w:r>
          </w:p>
        </w:tc>
        <w:tc>
          <w:tcPr>
            <w:tcW w:w="590" w:type="pct"/>
            <w:vAlign w:val="bottom"/>
          </w:tcPr>
          <w:p w14:paraId="55AEB15D" w14:textId="77777777" w:rsidR="00AF6944" w:rsidRPr="009E7447" w:rsidRDefault="00AF6944" w:rsidP="00CB5D5C">
            <w:pPr>
              <w:spacing w:line="241" w:lineRule="auto"/>
              <w:rPr>
                <w:sz w:val="18"/>
                <w:szCs w:val="18"/>
                <w:rtl/>
              </w:rPr>
            </w:pPr>
          </w:p>
        </w:tc>
        <w:tc>
          <w:tcPr>
            <w:tcW w:w="399" w:type="pct"/>
            <w:vAlign w:val="bottom"/>
          </w:tcPr>
          <w:p w14:paraId="29D71773" w14:textId="77777777" w:rsidR="00AF6944" w:rsidRPr="009E7447" w:rsidRDefault="00AF6944" w:rsidP="00CB5D5C">
            <w:pPr>
              <w:spacing w:line="241" w:lineRule="auto"/>
              <w:rPr>
                <w:sz w:val="18"/>
                <w:szCs w:val="18"/>
                <w:rtl/>
              </w:rPr>
            </w:pPr>
          </w:p>
        </w:tc>
        <w:tc>
          <w:tcPr>
            <w:tcW w:w="671" w:type="pct"/>
            <w:vAlign w:val="bottom"/>
          </w:tcPr>
          <w:p w14:paraId="3BAB6860" w14:textId="77777777" w:rsidR="00AF6944" w:rsidRPr="009E7447" w:rsidRDefault="00AF6944" w:rsidP="00CB5D5C">
            <w:pPr>
              <w:spacing w:line="241" w:lineRule="auto"/>
              <w:rPr>
                <w:sz w:val="18"/>
                <w:szCs w:val="18"/>
                <w:rtl/>
              </w:rPr>
            </w:pPr>
          </w:p>
        </w:tc>
        <w:tc>
          <w:tcPr>
            <w:tcW w:w="520" w:type="pct"/>
            <w:vAlign w:val="bottom"/>
          </w:tcPr>
          <w:p w14:paraId="39CFFD4C" w14:textId="77777777" w:rsidR="00AF6944" w:rsidRPr="009E7447" w:rsidRDefault="00AF6944" w:rsidP="00CB5D5C">
            <w:pPr>
              <w:spacing w:line="241" w:lineRule="auto"/>
              <w:rPr>
                <w:sz w:val="18"/>
                <w:szCs w:val="18"/>
                <w:rtl/>
              </w:rPr>
            </w:pPr>
          </w:p>
        </w:tc>
        <w:tc>
          <w:tcPr>
            <w:tcW w:w="512" w:type="pct"/>
            <w:vAlign w:val="bottom"/>
          </w:tcPr>
          <w:p w14:paraId="7B351EF4" w14:textId="77777777" w:rsidR="00AF6944" w:rsidRPr="009E7447" w:rsidRDefault="00AF6944" w:rsidP="00CB5D5C">
            <w:pPr>
              <w:spacing w:line="241" w:lineRule="auto"/>
              <w:rPr>
                <w:sz w:val="18"/>
                <w:szCs w:val="18"/>
                <w:rtl/>
              </w:rPr>
            </w:pPr>
          </w:p>
        </w:tc>
        <w:tc>
          <w:tcPr>
            <w:tcW w:w="552" w:type="pct"/>
            <w:vAlign w:val="bottom"/>
          </w:tcPr>
          <w:p w14:paraId="3FF16862" w14:textId="77777777" w:rsidR="00AF6944" w:rsidRPr="009E7447" w:rsidRDefault="00AF6944" w:rsidP="00CB5D5C">
            <w:pPr>
              <w:spacing w:line="241" w:lineRule="auto"/>
              <w:rPr>
                <w:sz w:val="18"/>
                <w:szCs w:val="18"/>
                <w:rtl/>
              </w:rPr>
            </w:pPr>
          </w:p>
        </w:tc>
      </w:tr>
      <w:tr w:rsidR="00AF6944" w:rsidRPr="009E7447" w14:paraId="1F6F13EB" w14:textId="77777777" w:rsidTr="00CB5D5C">
        <w:tc>
          <w:tcPr>
            <w:tcW w:w="1756" w:type="pct"/>
            <w:vAlign w:val="bottom"/>
          </w:tcPr>
          <w:p w14:paraId="0F403F50" w14:textId="77777777" w:rsidR="00AF6944" w:rsidRPr="00F35649" w:rsidRDefault="00AF6944" w:rsidP="00CB5D5C">
            <w:pPr>
              <w:ind w:left="144" w:hanging="144"/>
              <w:jc w:val="left"/>
              <w:rPr>
                <w:b/>
                <w:bCs/>
                <w:color w:val="000000"/>
                <w:sz w:val="18"/>
                <w:szCs w:val="18"/>
                <w:rtl/>
                <w:lang w:eastAsia="he-IL"/>
              </w:rPr>
            </w:pPr>
            <w:r w:rsidRPr="00F35649">
              <w:rPr>
                <w:rFonts w:hint="cs"/>
                <w:color w:val="000000"/>
                <w:sz w:val="18"/>
                <w:szCs w:val="18"/>
                <w:rtl/>
                <w:lang w:eastAsia="he-IL"/>
              </w:rPr>
              <w:t xml:space="preserve">   בינוי ונדל"ן </w:t>
            </w:r>
          </w:p>
        </w:tc>
        <w:tc>
          <w:tcPr>
            <w:tcW w:w="590" w:type="pct"/>
            <w:vAlign w:val="bottom"/>
          </w:tcPr>
          <w:p w14:paraId="2EC9AA78" w14:textId="77777777" w:rsidR="00AF6944" w:rsidRPr="009E7447" w:rsidRDefault="00AF6944" w:rsidP="00CB5D5C">
            <w:pPr>
              <w:spacing w:line="241" w:lineRule="auto"/>
              <w:rPr>
                <w:sz w:val="18"/>
                <w:szCs w:val="18"/>
                <w:rtl/>
              </w:rPr>
            </w:pPr>
            <w:r w:rsidRPr="009E7447">
              <w:rPr>
                <w:rFonts w:hint="cs"/>
                <w:sz w:val="18"/>
                <w:szCs w:val="18"/>
                <w:rtl/>
              </w:rPr>
              <w:t xml:space="preserve"> 0</w:t>
            </w:r>
          </w:p>
        </w:tc>
        <w:tc>
          <w:tcPr>
            <w:tcW w:w="399" w:type="pct"/>
            <w:vAlign w:val="bottom"/>
          </w:tcPr>
          <w:p w14:paraId="099D7F3C" w14:textId="77777777" w:rsidR="00AF6944" w:rsidRPr="009E7447" w:rsidRDefault="00AF6944" w:rsidP="00CB5D5C">
            <w:pPr>
              <w:spacing w:line="241" w:lineRule="auto"/>
              <w:rPr>
                <w:sz w:val="18"/>
                <w:szCs w:val="18"/>
                <w:rtl/>
              </w:rPr>
            </w:pPr>
            <w:r w:rsidRPr="009E7447">
              <w:rPr>
                <w:rFonts w:hint="cs"/>
                <w:sz w:val="18"/>
                <w:szCs w:val="18"/>
                <w:rtl/>
              </w:rPr>
              <w:t xml:space="preserve"> 0</w:t>
            </w:r>
          </w:p>
        </w:tc>
        <w:tc>
          <w:tcPr>
            <w:tcW w:w="671" w:type="pct"/>
            <w:vAlign w:val="bottom"/>
          </w:tcPr>
          <w:p w14:paraId="7A26D8C4" w14:textId="77777777" w:rsidR="00AF6944" w:rsidRPr="009E7447" w:rsidRDefault="00AF6944" w:rsidP="00CB5D5C">
            <w:pPr>
              <w:spacing w:line="241" w:lineRule="auto"/>
              <w:rPr>
                <w:sz w:val="18"/>
                <w:szCs w:val="18"/>
                <w:rtl/>
              </w:rPr>
            </w:pPr>
            <w:r w:rsidRPr="009E7447">
              <w:rPr>
                <w:rFonts w:hint="cs"/>
                <w:sz w:val="18"/>
                <w:szCs w:val="18"/>
                <w:rtl/>
              </w:rPr>
              <w:t xml:space="preserve"> 0</w:t>
            </w:r>
          </w:p>
        </w:tc>
        <w:tc>
          <w:tcPr>
            <w:tcW w:w="520" w:type="pct"/>
            <w:vAlign w:val="bottom"/>
          </w:tcPr>
          <w:p w14:paraId="3F56CB58" w14:textId="77777777" w:rsidR="00AF6944" w:rsidRPr="009E7447" w:rsidRDefault="00AF6944" w:rsidP="00CB5D5C">
            <w:pPr>
              <w:spacing w:line="241" w:lineRule="auto"/>
              <w:rPr>
                <w:sz w:val="18"/>
                <w:szCs w:val="18"/>
                <w:rtl/>
              </w:rPr>
            </w:pPr>
            <w:r w:rsidRPr="009E7447">
              <w:rPr>
                <w:rFonts w:hint="cs"/>
                <w:sz w:val="18"/>
                <w:szCs w:val="18"/>
                <w:rtl/>
              </w:rPr>
              <w:t xml:space="preserve"> 0</w:t>
            </w:r>
          </w:p>
        </w:tc>
        <w:tc>
          <w:tcPr>
            <w:tcW w:w="512" w:type="pct"/>
            <w:vAlign w:val="bottom"/>
          </w:tcPr>
          <w:p w14:paraId="7FC3B76C" w14:textId="77777777" w:rsidR="00AF6944" w:rsidRPr="009E7447" w:rsidRDefault="00AF6944" w:rsidP="00CB5D5C">
            <w:pPr>
              <w:spacing w:line="241" w:lineRule="auto"/>
              <w:rPr>
                <w:sz w:val="18"/>
                <w:szCs w:val="18"/>
                <w:rtl/>
              </w:rPr>
            </w:pPr>
            <w:r w:rsidRPr="009E7447">
              <w:rPr>
                <w:rFonts w:hint="cs"/>
                <w:sz w:val="18"/>
                <w:szCs w:val="18"/>
                <w:rtl/>
              </w:rPr>
              <w:t xml:space="preserve"> 0</w:t>
            </w:r>
          </w:p>
        </w:tc>
        <w:tc>
          <w:tcPr>
            <w:tcW w:w="552" w:type="pct"/>
            <w:vAlign w:val="bottom"/>
          </w:tcPr>
          <w:p w14:paraId="12609CE1" w14:textId="77777777" w:rsidR="00AF6944" w:rsidRPr="009E7447" w:rsidRDefault="00AF6944" w:rsidP="00CB5D5C">
            <w:pPr>
              <w:spacing w:line="241" w:lineRule="auto"/>
              <w:rPr>
                <w:sz w:val="18"/>
                <w:szCs w:val="18"/>
                <w:rtl/>
              </w:rPr>
            </w:pPr>
            <w:r w:rsidRPr="009E7447">
              <w:rPr>
                <w:rFonts w:hint="cs"/>
                <w:sz w:val="18"/>
                <w:szCs w:val="18"/>
                <w:rtl/>
              </w:rPr>
              <w:t>0</w:t>
            </w:r>
          </w:p>
        </w:tc>
      </w:tr>
      <w:tr w:rsidR="00AF6944" w:rsidRPr="009E7447" w14:paraId="7D18BF34" w14:textId="77777777" w:rsidTr="00CB5D5C">
        <w:tc>
          <w:tcPr>
            <w:tcW w:w="1756" w:type="pct"/>
            <w:vAlign w:val="bottom"/>
          </w:tcPr>
          <w:p w14:paraId="035BF059" w14:textId="77777777" w:rsidR="00AF6944" w:rsidRPr="00F35649" w:rsidRDefault="00AF6944" w:rsidP="00CB5D5C">
            <w:pPr>
              <w:ind w:left="144" w:hanging="144"/>
              <w:jc w:val="left"/>
              <w:rPr>
                <w:b/>
                <w:bCs/>
                <w:color w:val="000000"/>
                <w:sz w:val="18"/>
                <w:szCs w:val="18"/>
                <w:rtl/>
                <w:lang w:eastAsia="he-IL"/>
              </w:rPr>
            </w:pPr>
            <w:r w:rsidRPr="00F35649">
              <w:rPr>
                <w:rFonts w:hint="cs"/>
                <w:color w:val="000000"/>
                <w:sz w:val="18"/>
                <w:szCs w:val="18"/>
                <w:rtl/>
                <w:lang w:eastAsia="he-IL"/>
              </w:rPr>
              <w:t xml:space="preserve">   מסחרי - אחר</w:t>
            </w:r>
          </w:p>
        </w:tc>
        <w:tc>
          <w:tcPr>
            <w:tcW w:w="590" w:type="pct"/>
            <w:vAlign w:val="bottom"/>
          </w:tcPr>
          <w:p w14:paraId="79202EDD" w14:textId="77777777" w:rsidR="00AF6944" w:rsidRPr="009E7447" w:rsidRDefault="00AF6944" w:rsidP="00CB5D5C">
            <w:pPr>
              <w:pBdr>
                <w:bottom w:val="single" w:sz="4" w:space="1" w:color="auto"/>
              </w:pBdr>
              <w:spacing w:line="241" w:lineRule="auto"/>
              <w:rPr>
                <w:b/>
                <w:bCs/>
                <w:sz w:val="18"/>
                <w:szCs w:val="18"/>
                <w:rtl/>
              </w:rPr>
            </w:pPr>
            <w:r w:rsidRPr="009E7447">
              <w:rPr>
                <w:rFonts w:hint="cs"/>
                <w:sz w:val="18"/>
                <w:szCs w:val="18"/>
                <w:rtl/>
              </w:rPr>
              <w:t xml:space="preserve"> 0</w:t>
            </w:r>
          </w:p>
        </w:tc>
        <w:tc>
          <w:tcPr>
            <w:tcW w:w="399" w:type="pct"/>
            <w:vAlign w:val="bottom"/>
          </w:tcPr>
          <w:p w14:paraId="62B2DEC0" w14:textId="77777777" w:rsidR="00AF6944" w:rsidRPr="009E7447" w:rsidRDefault="00AF6944" w:rsidP="00CB5D5C">
            <w:pPr>
              <w:pBdr>
                <w:bottom w:val="single" w:sz="4" w:space="1" w:color="auto"/>
              </w:pBdr>
              <w:spacing w:line="241" w:lineRule="auto"/>
              <w:rPr>
                <w:b/>
                <w:bCs/>
                <w:sz w:val="18"/>
                <w:szCs w:val="18"/>
                <w:rtl/>
              </w:rPr>
            </w:pPr>
            <w:r w:rsidRPr="009E7447">
              <w:rPr>
                <w:rFonts w:hint="cs"/>
                <w:sz w:val="18"/>
                <w:szCs w:val="18"/>
                <w:rtl/>
              </w:rPr>
              <w:t xml:space="preserve"> 0</w:t>
            </w:r>
          </w:p>
        </w:tc>
        <w:tc>
          <w:tcPr>
            <w:tcW w:w="671" w:type="pct"/>
            <w:vAlign w:val="bottom"/>
          </w:tcPr>
          <w:p w14:paraId="03185F5E" w14:textId="77777777" w:rsidR="00AF6944" w:rsidRPr="009E7447" w:rsidRDefault="00AF6944" w:rsidP="00CB5D5C">
            <w:pPr>
              <w:pBdr>
                <w:bottom w:val="single" w:sz="4" w:space="1" w:color="auto"/>
              </w:pBdr>
              <w:spacing w:line="241" w:lineRule="auto"/>
              <w:rPr>
                <w:b/>
                <w:bCs/>
                <w:sz w:val="18"/>
                <w:szCs w:val="18"/>
                <w:rtl/>
              </w:rPr>
            </w:pPr>
            <w:r w:rsidRPr="009E7447">
              <w:rPr>
                <w:rFonts w:hint="cs"/>
                <w:sz w:val="18"/>
                <w:szCs w:val="18"/>
                <w:rtl/>
              </w:rPr>
              <w:t xml:space="preserve"> 0</w:t>
            </w:r>
          </w:p>
        </w:tc>
        <w:tc>
          <w:tcPr>
            <w:tcW w:w="520" w:type="pct"/>
            <w:vAlign w:val="bottom"/>
          </w:tcPr>
          <w:p w14:paraId="590F570A" w14:textId="77777777" w:rsidR="00AF6944" w:rsidRPr="009E7447" w:rsidRDefault="00AF6944" w:rsidP="00CB5D5C">
            <w:pPr>
              <w:pBdr>
                <w:bottom w:val="single" w:sz="4" w:space="1" w:color="auto"/>
              </w:pBdr>
              <w:spacing w:line="241" w:lineRule="auto"/>
              <w:rPr>
                <w:b/>
                <w:bCs/>
                <w:sz w:val="18"/>
                <w:szCs w:val="18"/>
                <w:rtl/>
              </w:rPr>
            </w:pPr>
            <w:r w:rsidRPr="009E7447">
              <w:rPr>
                <w:rFonts w:hint="cs"/>
                <w:sz w:val="18"/>
                <w:szCs w:val="18"/>
                <w:rtl/>
              </w:rPr>
              <w:t xml:space="preserve"> 0</w:t>
            </w:r>
          </w:p>
        </w:tc>
        <w:tc>
          <w:tcPr>
            <w:tcW w:w="512" w:type="pct"/>
            <w:vAlign w:val="bottom"/>
          </w:tcPr>
          <w:p w14:paraId="3C8AF5D3" w14:textId="77777777" w:rsidR="00AF6944" w:rsidRPr="009E7447" w:rsidRDefault="00AF6944" w:rsidP="00CB5D5C">
            <w:pPr>
              <w:pBdr>
                <w:bottom w:val="single" w:sz="4" w:space="1" w:color="auto"/>
              </w:pBdr>
              <w:spacing w:line="241" w:lineRule="auto"/>
              <w:rPr>
                <w:b/>
                <w:bCs/>
                <w:sz w:val="18"/>
                <w:szCs w:val="18"/>
                <w:rtl/>
              </w:rPr>
            </w:pPr>
            <w:r w:rsidRPr="009E7447">
              <w:rPr>
                <w:rFonts w:hint="cs"/>
                <w:sz w:val="18"/>
                <w:szCs w:val="18"/>
                <w:rtl/>
              </w:rPr>
              <w:t xml:space="preserve"> 0</w:t>
            </w:r>
          </w:p>
        </w:tc>
        <w:tc>
          <w:tcPr>
            <w:tcW w:w="552" w:type="pct"/>
            <w:vAlign w:val="bottom"/>
          </w:tcPr>
          <w:p w14:paraId="3A056C4E" w14:textId="77777777" w:rsidR="00AF6944" w:rsidRPr="009E7447" w:rsidRDefault="00AF6944" w:rsidP="00CB5D5C">
            <w:pPr>
              <w:pBdr>
                <w:bottom w:val="single" w:sz="4" w:space="1" w:color="auto"/>
              </w:pBdr>
              <w:spacing w:line="241" w:lineRule="auto"/>
              <w:rPr>
                <w:b/>
                <w:bCs/>
                <w:sz w:val="18"/>
                <w:szCs w:val="18"/>
                <w:rtl/>
              </w:rPr>
            </w:pPr>
            <w:r w:rsidRPr="009E7447">
              <w:rPr>
                <w:rFonts w:hint="cs"/>
                <w:sz w:val="18"/>
                <w:szCs w:val="18"/>
                <w:rtl/>
              </w:rPr>
              <w:t>0</w:t>
            </w:r>
          </w:p>
        </w:tc>
      </w:tr>
      <w:tr w:rsidR="00AF6944" w:rsidRPr="009E7447" w14:paraId="7BCFA3AE" w14:textId="77777777" w:rsidTr="00CB5D5C">
        <w:tc>
          <w:tcPr>
            <w:tcW w:w="1756" w:type="pct"/>
            <w:vAlign w:val="bottom"/>
          </w:tcPr>
          <w:p w14:paraId="396C2A0C" w14:textId="77777777" w:rsidR="00AF6944" w:rsidRPr="00F35649" w:rsidRDefault="00AF6944" w:rsidP="00CB5D5C">
            <w:pPr>
              <w:ind w:left="73" w:hanging="73"/>
              <w:jc w:val="left"/>
              <w:rPr>
                <w:b/>
                <w:bCs/>
                <w:color w:val="000000"/>
                <w:sz w:val="18"/>
                <w:szCs w:val="18"/>
                <w:lang w:eastAsia="he-IL"/>
              </w:rPr>
            </w:pPr>
            <w:r w:rsidRPr="00F35649">
              <w:rPr>
                <w:rFonts w:hint="eastAsia"/>
                <w:b/>
                <w:bCs/>
                <w:color w:val="000000"/>
                <w:sz w:val="18"/>
                <w:szCs w:val="18"/>
                <w:rtl/>
                <w:lang w:eastAsia="he-IL"/>
              </w:rPr>
              <w:t>סך</w:t>
            </w:r>
            <w:r w:rsidRPr="00F35649">
              <w:rPr>
                <w:b/>
                <w:bCs/>
                <w:color w:val="000000"/>
                <w:sz w:val="18"/>
                <w:szCs w:val="18"/>
                <w:rtl/>
                <w:lang w:eastAsia="he-IL"/>
              </w:rPr>
              <w:t xml:space="preserve"> </w:t>
            </w:r>
            <w:r w:rsidRPr="00F35649">
              <w:rPr>
                <w:rFonts w:hint="eastAsia"/>
                <w:b/>
                <w:bCs/>
                <w:color w:val="000000"/>
                <w:sz w:val="18"/>
                <w:szCs w:val="18"/>
                <w:rtl/>
                <w:lang w:eastAsia="he-IL"/>
              </w:rPr>
              <w:t>הכל</w:t>
            </w:r>
            <w:r w:rsidRPr="00F35649">
              <w:rPr>
                <w:b/>
                <w:bCs/>
                <w:color w:val="000000"/>
                <w:sz w:val="18"/>
                <w:szCs w:val="18"/>
                <w:rtl/>
                <w:lang w:eastAsia="he-IL"/>
              </w:rPr>
              <w:t xml:space="preserve"> </w:t>
            </w:r>
            <w:r w:rsidRPr="00F35649">
              <w:rPr>
                <w:rFonts w:hint="eastAsia"/>
                <w:b/>
                <w:bCs/>
                <w:color w:val="000000"/>
                <w:sz w:val="18"/>
                <w:szCs w:val="18"/>
                <w:rtl/>
                <w:lang w:eastAsia="he-IL"/>
              </w:rPr>
              <w:t>מסחרי</w:t>
            </w:r>
          </w:p>
        </w:tc>
        <w:tc>
          <w:tcPr>
            <w:tcW w:w="590" w:type="pct"/>
            <w:vAlign w:val="bottom"/>
          </w:tcPr>
          <w:p w14:paraId="0595E774" w14:textId="77777777" w:rsidR="00AF6944" w:rsidRPr="009E7447" w:rsidRDefault="00AF6944" w:rsidP="00CB5D5C">
            <w:pPr>
              <w:spacing w:line="241" w:lineRule="auto"/>
              <w:jc w:val="left"/>
              <w:rPr>
                <w:b/>
                <w:bCs/>
                <w:sz w:val="18"/>
                <w:szCs w:val="18"/>
                <w:rtl/>
              </w:rPr>
            </w:pPr>
            <w:r w:rsidRPr="009E7447">
              <w:rPr>
                <w:rFonts w:hint="cs"/>
                <w:sz w:val="18"/>
                <w:szCs w:val="18"/>
                <w:rtl/>
              </w:rPr>
              <w:t xml:space="preserve"> </w:t>
            </w:r>
            <w:r w:rsidRPr="009E7447">
              <w:rPr>
                <w:sz w:val="18"/>
                <w:szCs w:val="18"/>
                <w:rtl/>
              </w:rPr>
              <w:t>0</w:t>
            </w:r>
          </w:p>
        </w:tc>
        <w:tc>
          <w:tcPr>
            <w:tcW w:w="399" w:type="pct"/>
            <w:vAlign w:val="bottom"/>
          </w:tcPr>
          <w:p w14:paraId="62DCFF7E" w14:textId="77777777" w:rsidR="00AF6944" w:rsidRPr="009E7447" w:rsidRDefault="00AF6944" w:rsidP="00CB5D5C">
            <w:pPr>
              <w:spacing w:line="241" w:lineRule="auto"/>
              <w:jc w:val="left"/>
              <w:rPr>
                <w:b/>
                <w:bCs/>
                <w:sz w:val="18"/>
                <w:szCs w:val="18"/>
                <w:rtl/>
              </w:rPr>
            </w:pPr>
            <w:r w:rsidRPr="009E7447">
              <w:rPr>
                <w:rFonts w:hint="cs"/>
                <w:sz w:val="18"/>
                <w:szCs w:val="18"/>
                <w:rtl/>
              </w:rPr>
              <w:t xml:space="preserve"> </w:t>
            </w:r>
            <w:r w:rsidRPr="009E7447">
              <w:rPr>
                <w:sz w:val="18"/>
                <w:szCs w:val="18"/>
                <w:rtl/>
              </w:rPr>
              <w:t>0</w:t>
            </w:r>
          </w:p>
        </w:tc>
        <w:tc>
          <w:tcPr>
            <w:tcW w:w="671" w:type="pct"/>
            <w:vAlign w:val="bottom"/>
          </w:tcPr>
          <w:p w14:paraId="53426102" w14:textId="77777777" w:rsidR="00AF6944" w:rsidRPr="009E7447" w:rsidRDefault="00AF6944" w:rsidP="00CB5D5C">
            <w:pPr>
              <w:spacing w:line="241" w:lineRule="auto"/>
              <w:jc w:val="left"/>
              <w:rPr>
                <w:b/>
                <w:bCs/>
                <w:sz w:val="18"/>
                <w:szCs w:val="18"/>
                <w:rtl/>
              </w:rPr>
            </w:pPr>
            <w:r w:rsidRPr="009E7447">
              <w:rPr>
                <w:rFonts w:hint="cs"/>
                <w:sz w:val="18"/>
                <w:szCs w:val="18"/>
                <w:rtl/>
              </w:rPr>
              <w:t xml:space="preserve"> </w:t>
            </w:r>
            <w:r w:rsidRPr="009E7447">
              <w:rPr>
                <w:sz w:val="18"/>
                <w:szCs w:val="18"/>
                <w:rtl/>
              </w:rPr>
              <w:t>0</w:t>
            </w:r>
          </w:p>
        </w:tc>
        <w:tc>
          <w:tcPr>
            <w:tcW w:w="520" w:type="pct"/>
            <w:vAlign w:val="bottom"/>
          </w:tcPr>
          <w:p w14:paraId="34907A92" w14:textId="77777777" w:rsidR="00AF6944" w:rsidRPr="009E7447" w:rsidRDefault="00AF6944" w:rsidP="00CB5D5C">
            <w:pPr>
              <w:spacing w:line="241" w:lineRule="auto"/>
              <w:jc w:val="left"/>
              <w:rPr>
                <w:b/>
                <w:bCs/>
                <w:sz w:val="18"/>
                <w:szCs w:val="18"/>
                <w:rtl/>
              </w:rPr>
            </w:pPr>
            <w:r w:rsidRPr="009E7447">
              <w:rPr>
                <w:rFonts w:hint="cs"/>
                <w:sz w:val="18"/>
                <w:szCs w:val="18"/>
                <w:rtl/>
              </w:rPr>
              <w:t xml:space="preserve"> </w:t>
            </w:r>
            <w:r w:rsidRPr="009E7447">
              <w:rPr>
                <w:sz w:val="18"/>
                <w:szCs w:val="18"/>
                <w:rtl/>
              </w:rPr>
              <w:t>0</w:t>
            </w:r>
          </w:p>
        </w:tc>
        <w:tc>
          <w:tcPr>
            <w:tcW w:w="512" w:type="pct"/>
            <w:vAlign w:val="bottom"/>
          </w:tcPr>
          <w:p w14:paraId="25BAFBA6" w14:textId="77777777" w:rsidR="00AF6944" w:rsidRPr="009E7447" w:rsidRDefault="00AF6944" w:rsidP="00CB5D5C">
            <w:pPr>
              <w:spacing w:line="241" w:lineRule="auto"/>
              <w:jc w:val="left"/>
              <w:rPr>
                <w:b/>
                <w:bCs/>
                <w:sz w:val="18"/>
                <w:szCs w:val="18"/>
                <w:rtl/>
              </w:rPr>
            </w:pPr>
            <w:r w:rsidRPr="009E7447">
              <w:rPr>
                <w:rFonts w:hint="cs"/>
                <w:sz w:val="18"/>
                <w:szCs w:val="18"/>
                <w:rtl/>
              </w:rPr>
              <w:t xml:space="preserve"> </w:t>
            </w:r>
            <w:r w:rsidRPr="009E7447">
              <w:rPr>
                <w:sz w:val="18"/>
                <w:szCs w:val="18"/>
                <w:rtl/>
              </w:rPr>
              <w:t>0</w:t>
            </w:r>
          </w:p>
        </w:tc>
        <w:tc>
          <w:tcPr>
            <w:tcW w:w="552" w:type="pct"/>
            <w:vAlign w:val="bottom"/>
          </w:tcPr>
          <w:p w14:paraId="1154C329" w14:textId="77777777" w:rsidR="00AF6944" w:rsidRPr="009E7447" w:rsidRDefault="00AF6944" w:rsidP="00CB5D5C">
            <w:pPr>
              <w:spacing w:line="241" w:lineRule="auto"/>
              <w:jc w:val="left"/>
              <w:rPr>
                <w:b/>
                <w:bCs/>
                <w:sz w:val="18"/>
                <w:szCs w:val="18"/>
                <w:rtl/>
              </w:rPr>
            </w:pPr>
            <w:r w:rsidRPr="009E7447">
              <w:rPr>
                <w:rFonts w:hint="cs"/>
                <w:sz w:val="18"/>
                <w:szCs w:val="18"/>
                <w:rtl/>
              </w:rPr>
              <w:t>0</w:t>
            </w:r>
          </w:p>
        </w:tc>
      </w:tr>
      <w:tr w:rsidR="00AF6944" w:rsidRPr="009E7447" w14:paraId="2180FF39" w14:textId="77777777" w:rsidTr="00CB5D5C">
        <w:tc>
          <w:tcPr>
            <w:tcW w:w="1756" w:type="pct"/>
            <w:vAlign w:val="bottom"/>
          </w:tcPr>
          <w:p w14:paraId="67C7355B" w14:textId="77777777" w:rsidR="00AF6944" w:rsidRPr="00F35649" w:rsidRDefault="00AF6944" w:rsidP="00CB5D5C">
            <w:pPr>
              <w:spacing w:before="40" w:line="200" w:lineRule="exact"/>
              <w:ind w:left="73" w:right="144" w:hanging="73"/>
              <w:jc w:val="left"/>
              <w:rPr>
                <w:b/>
                <w:bCs/>
                <w:color w:val="000000"/>
                <w:sz w:val="18"/>
                <w:szCs w:val="18"/>
                <w:lang w:eastAsia="he-IL"/>
              </w:rPr>
            </w:pPr>
            <w:r w:rsidRPr="00F35649">
              <w:rPr>
                <w:rFonts w:hint="eastAsia"/>
                <w:b/>
                <w:bCs/>
                <w:color w:val="000000"/>
                <w:sz w:val="18"/>
                <w:szCs w:val="18"/>
                <w:rtl/>
                <w:lang w:eastAsia="he-IL"/>
              </w:rPr>
              <w:t>אנשים</w:t>
            </w:r>
            <w:r w:rsidRPr="00F35649">
              <w:rPr>
                <w:b/>
                <w:bCs/>
                <w:color w:val="000000"/>
                <w:sz w:val="18"/>
                <w:szCs w:val="18"/>
                <w:rtl/>
                <w:lang w:eastAsia="he-IL"/>
              </w:rPr>
              <w:t xml:space="preserve"> </w:t>
            </w:r>
            <w:r w:rsidRPr="00F35649">
              <w:rPr>
                <w:rFonts w:hint="eastAsia"/>
                <w:b/>
                <w:bCs/>
                <w:color w:val="000000"/>
                <w:sz w:val="18"/>
                <w:szCs w:val="18"/>
                <w:rtl/>
                <w:lang w:eastAsia="he-IL"/>
              </w:rPr>
              <w:t>פרטיים</w:t>
            </w:r>
            <w:r w:rsidRPr="00F35649">
              <w:rPr>
                <w:b/>
                <w:bCs/>
                <w:color w:val="000000"/>
                <w:sz w:val="18"/>
                <w:szCs w:val="18"/>
                <w:rtl/>
                <w:lang w:eastAsia="he-IL"/>
              </w:rPr>
              <w:t xml:space="preserve"> - </w:t>
            </w:r>
            <w:r w:rsidRPr="00F35649">
              <w:rPr>
                <w:rFonts w:hint="eastAsia"/>
                <w:b/>
                <w:bCs/>
                <w:color w:val="000000"/>
                <w:sz w:val="18"/>
                <w:szCs w:val="18"/>
                <w:rtl/>
                <w:lang w:eastAsia="he-IL"/>
              </w:rPr>
              <w:t>הלוואות</w:t>
            </w:r>
            <w:r w:rsidRPr="00F35649">
              <w:rPr>
                <w:b/>
                <w:bCs/>
                <w:color w:val="000000"/>
                <w:sz w:val="18"/>
                <w:szCs w:val="18"/>
                <w:rtl/>
                <w:lang w:eastAsia="he-IL"/>
              </w:rPr>
              <w:t xml:space="preserve"> </w:t>
            </w:r>
            <w:r w:rsidRPr="00F35649">
              <w:rPr>
                <w:rFonts w:hint="eastAsia"/>
                <w:b/>
                <w:bCs/>
                <w:color w:val="000000"/>
                <w:sz w:val="18"/>
                <w:szCs w:val="18"/>
                <w:rtl/>
                <w:lang w:eastAsia="he-IL"/>
              </w:rPr>
              <w:t>לדיור</w:t>
            </w:r>
          </w:p>
        </w:tc>
        <w:tc>
          <w:tcPr>
            <w:tcW w:w="590" w:type="pct"/>
            <w:vAlign w:val="bottom"/>
          </w:tcPr>
          <w:p w14:paraId="6056DAAB" w14:textId="77777777" w:rsidR="00AF6944" w:rsidRPr="009E7447" w:rsidRDefault="00AF6944" w:rsidP="00CB5D5C">
            <w:pPr>
              <w:spacing w:line="241" w:lineRule="auto"/>
              <w:rPr>
                <w:sz w:val="18"/>
                <w:szCs w:val="18"/>
                <w:rtl/>
              </w:rPr>
            </w:pPr>
            <w:r w:rsidRPr="009E7447">
              <w:rPr>
                <w:rFonts w:hint="cs"/>
                <w:sz w:val="18"/>
                <w:szCs w:val="18"/>
                <w:rtl/>
              </w:rPr>
              <w:t xml:space="preserve"> 0</w:t>
            </w:r>
          </w:p>
        </w:tc>
        <w:tc>
          <w:tcPr>
            <w:tcW w:w="399" w:type="pct"/>
            <w:vAlign w:val="bottom"/>
          </w:tcPr>
          <w:p w14:paraId="7F0FC090" w14:textId="77777777" w:rsidR="00AF6944" w:rsidRPr="009E7447" w:rsidRDefault="00AF6944" w:rsidP="00CB5D5C">
            <w:pPr>
              <w:spacing w:line="241" w:lineRule="auto"/>
              <w:rPr>
                <w:sz w:val="18"/>
                <w:szCs w:val="18"/>
                <w:rtl/>
              </w:rPr>
            </w:pPr>
            <w:r w:rsidRPr="009E7447">
              <w:rPr>
                <w:rFonts w:hint="cs"/>
                <w:sz w:val="18"/>
                <w:szCs w:val="18"/>
                <w:rtl/>
              </w:rPr>
              <w:t xml:space="preserve"> 0</w:t>
            </w:r>
          </w:p>
        </w:tc>
        <w:tc>
          <w:tcPr>
            <w:tcW w:w="671" w:type="pct"/>
            <w:vAlign w:val="bottom"/>
          </w:tcPr>
          <w:p w14:paraId="1A5B4A7A" w14:textId="77777777" w:rsidR="00AF6944" w:rsidRPr="009E7447" w:rsidRDefault="00AF6944" w:rsidP="00CB5D5C">
            <w:pPr>
              <w:spacing w:line="241" w:lineRule="auto"/>
              <w:rPr>
                <w:sz w:val="18"/>
                <w:szCs w:val="18"/>
                <w:rtl/>
              </w:rPr>
            </w:pPr>
            <w:r w:rsidRPr="009E7447">
              <w:rPr>
                <w:rFonts w:hint="cs"/>
                <w:sz w:val="18"/>
                <w:szCs w:val="18"/>
                <w:rtl/>
              </w:rPr>
              <w:t xml:space="preserve"> 0</w:t>
            </w:r>
          </w:p>
        </w:tc>
        <w:tc>
          <w:tcPr>
            <w:tcW w:w="520" w:type="pct"/>
            <w:vAlign w:val="bottom"/>
          </w:tcPr>
          <w:p w14:paraId="3B44EF08" w14:textId="77777777" w:rsidR="00AF6944" w:rsidRPr="009E7447" w:rsidRDefault="00AF6944" w:rsidP="00CB5D5C">
            <w:pPr>
              <w:spacing w:line="241" w:lineRule="auto"/>
              <w:rPr>
                <w:sz w:val="18"/>
                <w:szCs w:val="18"/>
                <w:rtl/>
              </w:rPr>
            </w:pPr>
            <w:r w:rsidRPr="009E7447">
              <w:rPr>
                <w:rFonts w:hint="cs"/>
                <w:sz w:val="18"/>
                <w:szCs w:val="18"/>
                <w:rtl/>
              </w:rPr>
              <w:t xml:space="preserve"> 0</w:t>
            </w:r>
          </w:p>
        </w:tc>
        <w:tc>
          <w:tcPr>
            <w:tcW w:w="512" w:type="pct"/>
            <w:vAlign w:val="bottom"/>
          </w:tcPr>
          <w:p w14:paraId="5E92CF09" w14:textId="77777777" w:rsidR="00AF6944" w:rsidRPr="009E7447" w:rsidRDefault="00AF6944" w:rsidP="00CB5D5C">
            <w:pPr>
              <w:spacing w:line="241" w:lineRule="auto"/>
              <w:rPr>
                <w:sz w:val="18"/>
                <w:szCs w:val="18"/>
                <w:rtl/>
              </w:rPr>
            </w:pPr>
            <w:r w:rsidRPr="009E7447">
              <w:rPr>
                <w:rFonts w:hint="cs"/>
                <w:sz w:val="18"/>
                <w:szCs w:val="18"/>
                <w:rtl/>
              </w:rPr>
              <w:t xml:space="preserve"> 0</w:t>
            </w:r>
          </w:p>
        </w:tc>
        <w:tc>
          <w:tcPr>
            <w:tcW w:w="552" w:type="pct"/>
            <w:vAlign w:val="bottom"/>
          </w:tcPr>
          <w:p w14:paraId="411D70E6" w14:textId="77777777" w:rsidR="00AF6944" w:rsidRPr="009E7447" w:rsidRDefault="00AF6944" w:rsidP="00CB5D5C">
            <w:pPr>
              <w:spacing w:line="241" w:lineRule="auto"/>
              <w:rPr>
                <w:sz w:val="18"/>
                <w:szCs w:val="18"/>
                <w:rtl/>
              </w:rPr>
            </w:pPr>
            <w:r w:rsidRPr="009E7447">
              <w:rPr>
                <w:rFonts w:hint="cs"/>
                <w:sz w:val="18"/>
                <w:szCs w:val="18"/>
                <w:rtl/>
              </w:rPr>
              <w:t>0</w:t>
            </w:r>
          </w:p>
        </w:tc>
      </w:tr>
      <w:tr w:rsidR="00AF6944" w:rsidRPr="009E7447" w14:paraId="3C3755B1" w14:textId="77777777" w:rsidTr="00CB5D5C">
        <w:tc>
          <w:tcPr>
            <w:tcW w:w="1756" w:type="pct"/>
            <w:vAlign w:val="bottom"/>
          </w:tcPr>
          <w:p w14:paraId="6CCBF51C" w14:textId="77777777" w:rsidR="00AF6944" w:rsidRPr="00F35649" w:rsidRDefault="00AF6944" w:rsidP="00CB5D5C">
            <w:pPr>
              <w:ind w:left="73" w:hanging="73"/>
              <w:jc w:val="left"/>
              <w:rPr>
                <w:b/>
                <w:bCs/>
                <w:color w:val="000000"/>
                <w:sz w:val="18"/>
                <w:szCs w:val="18"/>
                <w:lang w:eastAsia="he-IL"/>
              </w:rPr>
            </w:pPr>
            <w:r w:rsidRPr="00F35649">
              <w:rPr>
                <w:rFonts w:hint="eastAsia"/>
                <w:b/>
                <w:bCs/>
                <w:color w:val="000000"/>
                <w:sz w:val="18"/>
                <w:szCs w:val="18"/>
                <w:rtl/>
                <w:lang w:eastAsia="he-IL"/>
              </w:rPr>
              <w:t>אנשים</w:t>
            </w:r>
            <w:r w:rsidRPr="00F35649">
              <w:rPr>
                <w:b/>
                <w:bCs/>
                <w:color w:val="000000"/>
                <w:sz w:val="18"/>
                <w:szCs w:val="18"/>
                <w:rtl/>
                <w:lang w:eastAsia="he-IL"/>
              </w:rPr>
              <w:t xml:space="preserve"> </w:t>
            </w:r>
            <w:r w:rsidRPr="00F35649">
              <w:rPr>
                <w:rFonts w:hint="eastAsia"/>
                <w:b/>
                <w:bCs/>
                <w:color w:val="000000"/>
                <w:sz w:val="18"/>
                <w:szCs w:val="18"/>
                <w:rtl/>
                <w:lang w:eastAsia="he-IL"/>
              </w:rPr>
              <w:t>פרטיים</w:t>
            </w:r>
            <w:r w:rsidRPr="00F35649">
              <w:rPr>
                <w:b/>
                <w:bCs/>
                <w:color w:val="000000"/>
                <w:sz w:val="18"/>
                <w:szCs w:val="18"/>
                <w:rtl/>
                <w:lang w:eastAsia="he-IL"/>
              </w:rPr>
              <w:t xml:space="preserve"> - </w:t>
            </w:r>
            <w:r w:rsidRPr="00F35649">
              <w:rPr>
                <w:rFonts w:hint="eastAsia"/>
                <w:b/>
                <w:bCs/>
                <w:color w:val="000000"/>
                <w:sz w:val="18"/>
                <w:szCs w:val="18"/>
                <w:rtl/>
                <w:lang w:eastAsia="he-IL"/>
              </w:rPr>
              <w:t>אחר</w:t>
            </w:r>
          </w:p>
        </w:tc>
        <w:tc>
          <w:tcPr>
            <w:tcW w:w="590" w:type="pct"/>
            <w:vAlign w:val="bottom"/>
          </w:tcPr>
          <w:p w14:paraId="67873758" w14:textId="77777777" w:rsidR="00AF6944" w:rsidRPr="009E7447" w:rsidRDefault="00AF6944" w:rsidP="00CB5D5C">
            <w:pPr>
              <w:pBdr>
                <w:bottom w:val="single" w:sz="4" w:space="1" w:color="auto"/>
              </w:pBdr>
              <w:spacing w:line="241" w:lineRule="auto"/>
              <w:rPr>
                <w:b/>
                <w:bCs/>
                <w:color w:val="000000"/>
                <w:sz w:val="18"/>
                <w:szCs w:val="18"/>
                <w:rtl/>
                <w:lang w:eastAsia="he-IL"/>
              </w:rPr>
            </w:pPr>
            <w:r w:rsidRPr="009E7447">
              <w:rPr>
                <w:rFonts w:hint="cs"/>
                <w:sz w:val="18"/>
                <w:szCs w:val="18"/>
                <w:rtl/>
              </w:rPr>
              <w:t xml:space="preserve"> 0</w:t>
            </w:r>
          </w:p>
        </w:tc>
        <w:tc>
          <w:tcPr>
            <w:tcW w:w="399" w:type="pct"/>
            <w:vAlign w:val="bottom"/>
          </w:tcPr>
          <w:p w14:paraId="496314B1" w14:textId="77777777" w:rsidR="00AF6944" w:rsidRPr="009E7447" w:rsidRDefault="00AF6944" w:rsidP="00CB5D5C">
            <w:pPr>
              <w:pBdr>
                <w:bottom w:val="single" w:sz="4" w:space="1" w:color="auto"/>
              </w:pBdr>
              <w:spacing w:line="241" w:lineRule="auto"/>
              <w:rPr>
                <w:b/>
                <w:bCs/>
                <w:color w:val="000000"/>
                <w:sz w:val="18"/>
                <w:szCs w:val="18"/>
                <w:rtl/>
                <w:lang w:eastAsia="he-IL"/>
              </w:rPr>
            </w:pPr>
            <w:r w:rsidRPr="009E7447">
              <w:rPr>
                <w:rFonts w:hint="cs"/>
                <w:sz w:val="18"/>
                <w:szCs w:val="18"/>
                <w:rtl/>
              </w:rPr>
              <w:t xml:space="preserve"> 0</w:t>
            </w:r>
          </w:p>
        </w:tc>
        <w:tc>
          <w:tcPr>
            <w:tcW w:w="671" w:type="pct"/>
            <w:vAlign w:val="bottom"/>
          </w:tcPr>
          <w:p w14:paraId="791DAF73" w14:textId="77777777" w:rsidR="00AF6944" w:rsidRPr="009E7447" w:rsidRDefault="00AF6944" w:rsidP="00CB5D5C">
            <w:pPr>
              <w:pBdr>
                <w:bottom w:val="single" w:sz="4" w:space="1" w:color="auto"/>
              </w:pBdr>
              <w:spacing w:line="241" w:lineRule="auto"/>
              <w:rPr>
                <w:b/>
                <w:bCs/>
                <w:color w:val="000000"/>
                <w:sz w:val="18"/>
                <w:szCs w:val="18"/>
                <w:rtl/>
                <w:lang w:eastAsia="he-IL"/>
              </w:rPr>
            </w:pPr>
            <w:r w:rsidRPr="009E7447">
              <w:rPr>
                <w:rFonts w:hint="cs"/>
                <w:sz w:val="18"/>
                <w:szCs w:val="18"/>
                <w:rtl/>
              </w:rPr>
              <w:t xml:space="preserve"> 0</w:t>
            </w:r>
          </w:p>
        </w:tc>
        <w:tc>
          <w:tcPr>
            <w:tcW w:w="520" w:type="pct"/>
            <w:vAlign w:val="bottom"/>
          </w:tcPr>
          <w:p w14:paraId="02E0D73A" w14:textId="77777777" w:rsidR="00AF6944" w:rsidRPr="009E7447" w:rsidRDefault="00AF6944" w:rsidP="00CB5D5C">
            <w:pPr>
              <w:pBdr>
                <w:bottom w:val="single" w:sz="4" w:space="1" w:color="auto"/>
              </w:pBdr>
              <w:spacing w:line="241" w:lineRule="auto"/>
              <w:rPr>
                <w:b/>
                <w:bCs/>
                <w:color w:val="000000"/>
                <w:sz w:val="18"/>
                <w:szCs w:val="18"/>
                <w:rtl/>
                <w:lang w:eastAsia="he-IL"/>
              </w:rPr>
            </w:pPr>
            <w:r w:rsidRPr="009E7447">
              <w:rPr>
                <w:rFonts w:hint="cs"/>
                <w:sz w:val="18"/>
                <w:szCs w:val="18"/>
                <w:rtl/>
              </w:rPr>
              <w:t xml:space="preserve"> 0</w:t>
            </w:r>
          </w:p>
        </w:tc>
        <w:tc>
          <w:tcPr>
            <w:tcW w:w="512" w:type="pct"/>
            <w:vAlign w:val="bottom"/>
          </w:tcPr>
          <w:p w14:paraId="06AD76B5" w14:textId="77777777" w:rsidR="00AF6944" w:rsidRPr="009E7447" w:rsidRDefault="00AF6944" w:rsidP="00CB5D5C">
            <w:pPr>
              <w:pBdr>
                <w:bottom w:val="single" w:sz="4" w:space="1" w:color="auto"/>
              </w:pBdr>
              <w:spacing w:line="241" w:lineRule="auto"/>
              <w:rPr>
                <w:b/>
                <w:bCs/>
                <w:color w:val="000000"/>
                <w:sz w:val="18"/>
                <w:szCs w:val="18"/>
                <w:rtl/>
                <w:lang w:eastAsia="he-IL"/>
              </w:rPr>
            </w:pPr>
            <w:r w:rsidRPr="009E7447">
              <w:rPr>
                <w:rFonts w:hint="cs"/>
                <w:sz w:val="18"/>
                <w:szCs w:val="18"/>
                <w:rtl/>
              </w:rPr>
              <w:t xml:space="preserve"> 0</w:t>
            </w:r>
          </w:p>
        </w:tc>
        <w:tc>
          <w:tcPr>
            <w:tcW w:w="552" w:type="pct"/>
            <w:vAlign w:val="bottom"/>
          </w:tcPr>
          <w:p w14:paraId="47AFBECB" w14:textId="77777777" w:rsidR="00AF6944" w:rsidRPr="009E7447" w:rsidRDefault="00AF6944" w:rsidP="00CB5D5C">
            <w:pPr>
              <w:pBdr>
                <w:bottom w:val="single" w:sz="4" w:space="1" w:color="auto"/>
              </w:pBdr>
              <w:spacing w:line="241" w:lineRule="auto"/>
              <w:rPr>
                <w:b/>
                <w:bCs/>
                <w:color w:val="000000"/>
                <w:sz w:val="18"/>
                <w:szCs w:val="18"/>
                <w:rtl/>
                <w:lang w:eastAsia="he-IL"/>
              </w:rPr>
            </w:pPr>
            <w:r w:rsidRPr="009E7447">
              <w:rPr>
                <w:rFonts w:hint="cs"/>
                <w:sz w:val="18"/>
                <w:szCs w:val="18"/>
                <w:rtl/>
              </w:rPr>
              <w:t>0</w:t>
            </w:r>
          </w:p>
        </w:tc>
      </w:tr>
      <w:tr w:rsidR="00AF6944" w:rsidRPr="009E7447" w14:paraId="2F898EE6" w14:textId="77777777" w:rsidTr="00CB5D5C">
        <w:tc>
          <w:tcPr>
            <w:tcW w:w="1756" w:type="pct"/>
            <w:vAlign w:val="bottom"/>
          </w:tcPr>
          <w:p w14:paraId="31DF3DB2" w14:textId="77777777" w:rsidR="00AF6944" w:rsidRPr="00F35649" w:rsidRDefault="00AF6944" w:rsidP="00CB5D5C">
            <w:pPr>
              <w:spacing w:before="40" w:line="180" w:lineRule="exact"/>
              <w:ind w:left="142" w:right="142" w:hanging="142"/>
              <w:jc w:val="left"/>
              <w:rPr>
                <w:b/>
                <w:bCs/>
                <w:color w:val="000000"/>
                <w:sz w:val="18"/>
                <w:szCs w:val="18"/>
                <w:rtl/>
                <w:lang w:eastAsia="he-IL"/>
              </w:rPr>
            </w:pPr>
            <w:r w:rsidRPr="00F35649">
              <w:rPr>
                <w:rFonts w:hint="cs"/>
                <w:b/>
                <w:bCs/>
                <w:color w:val="000000"/>
                <w:sz w:val="18"/>
                <w:szCs w:val="18"/>
                <w:rtl/>
                <w:lang w:eastAsia="he-IL"/>
              </w:rPr>
              <w:t>סך הכל אשראי לציבור - פעילות בישראל</w:t>
            </w:r>
          </w:p>
        </w:tc>
        <w:tc>
          <w:tcPr>
            <w:tcW w:w="590" w:type="pct"/>
            <w:vAlign w:val="bottom"/>
          </w:tcPr>
          <w:p w14:paraId="5C4E99B3" w14:textId="77777777" w:rsidR="00AF6944" w:rsidRPr="009E7447" w:rsidRDefault="00AF6944" w:rsidP="00CB5D5C">
            <w:pP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399" w:type="pct"/>
            <w:vAlign w:val="bottom"/>
          </w:tcPr>
          <w:p w14:paraId="4E6B3F2B" w14:textId="77777777" w:rsidR="00AF6944" w:rsidRPr="009E7447" w:rsidRDefault="00AF6944" w:rsidP="00CB5D5C">
            <w:pP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671" w:type="pct"/>
            <w:vAlign w:val="bottom"/>
          </w:tcPr>
          <w:p w14:paraId="036337FB" w14:textId="77777777" w:rsidR="00AF6944" w:rsidRPr="009E7447" w:rsidRDefault="00AF6944" w:rsidP="00CB5D5C">
            <w:pP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520" w:type="pct"/>
            <w:vAlign w:val="bottom"/>
          </w:tcPr>
          <w:p w14:paraId="1067461E" w14:textId="77777777" w:rsidR="00AF6944" w:rsidRPr="009E7447" w:rsidRDefault="00AF6944" w:rsidP="00CB5D5C">
            <w:pP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512" w:type="pct"/>
            <w:vAlign w:val="bottom"/>
          </w:tcPr>
          <w:p w14:paraId="64F9ADA2" w14:textId="77777777" w:rsidR="00AF6944" w:rsidRPr="009E7447" w:rsidRDefault="00AF6944" w:rsidP="00CB5D5C">
            <w:pP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552" w:type="pct"/>
            <w:vAlign w:val="bottom"/>
          </w:tcPr>
          <w:p w14:paraId="59871DA8" w14:textId="77777777" w:rsidR="00AF6944" w:rsidRPr="009E7447" w:rsidRDefault="00AF6944" w:rsidP="00CB5D5C">
            <w:pPr>
              <w:spacing w:line="241" w:lineRule="auto"/>
              <w:jc w:val="left"/>
              <w:rPr>
                <w:color w:val="000000"/>
                <w:sz w:val="18"/>
                <w:szCs w:val="18"/>
                <w:rtl/>
                <w:lang w:eastAsia="he-IL"/>
              </w:rPr>
            </w:pPr>
            <w:r w:rsidRPr="009E7447">
              <w:rPr>
                <w:rFonts w:hint="cs"/>
                <w:b/>
                <w:bCs/>
                <w:color w:val="000000"/>
                <w:sz w:val="18"/>
                <w:szCs w:val="18"/>
                <w:rtl/>
                <w:lang w:eastAsia="he-IL"/>
              </w:rPr>
              <w:t>0</w:t>
            </w:r>
          </w:p>
        </w:tc>
      </w:tr>
      <w:tr w:rsidR="00AF6944" w:rsidRPr="009E7447" w14:paraId="2DC1BC4D" w14:textId="77777777" w:rsidTr="00CB5D5C">
        <w:tc>
          <w:tcPr>
            <w:tcW w:w="1756" w:type="pct"/>
            <w:vAlign w:val="bottom"/>
          </w:tcPr>
          <w:p w14:paraId="4B3BD15D" w14:textId="77777777" w:rsidR="00AF6944" w:rsidRPr="00F35649" w:rsidRDefault="00AF6944" w:rsidP="00CB5D5C">
            <w:pPr>
              <w:bidi w:val="0"/>
              <w:spacing w:line="144" w:lineRule="auto"/>
              <w:ind w:left="432" w:hanging="144"/>
              <w:rPr>
                <w:color w:val="000000"/>
                <w:sz w:val="18"/>
                <w:szCs w:val="18"/>
                <w:rtl/>
                <w:lang w:eastAsia="he-IL"/>
              </w:rPr>
            </w:pPr>
          </w:p>
        </w:tc>
        <w:tc>
          <w:tcPr>
            <w:tcW w:w="590" w:type="pct"/>
          </w:tcPr>
          <w:p w14:paraId="50DBC562" w14:textId="77777777" w:rsidR="00AF6944" w:rsidRPr="009E7447" w:rsidRDefault="00AF6944" w:rsidP="00CB5D5C">
            <w:pPr>
              <w:bidi w:val="0"/>
              <w:spacing w:line="144" w:lineRule="auto"/>
              <w:rPr>
                <w:sz w:val="18"/>
                <w:szCs w:val="18"/>
                <w:rtl/>
              </w:rPr>
            </w:pPr>
          </w:p>
        </w:tc>
        <w:tc>
          <w:tcPr>
            <w:tcW w:w="399" w:type="pct"/>
          </w:tcPr>
          <w:p w14:paraId="1A303053" w14:textId="77777777" w:rsidR="00AF6944" w:rsidRPr="009E7447" w:rsidRDefault="00AF6944" w:rsidP="00CB5D5C">
            <w:pPr>
              <w:bidi w:val="0"/>
              <w:spacing w:line="144" w:lineRule="auto"/>
              <w:rPr>
                <w:sz w:val="18"/>
                <w:szCs w:val="18"/>
                <w:rtl/>
              </w:rPr>
            </w:pPr>
          </w:p>
        </w:tc>
        <w:tc>
          <w:tcPr>
            <w:tcW w:w="671" w:type="pct"/>
          </w:tcPr>
          <w:p w14:paraId="45BA8CF6" w14:textId="77777777" w:rsidR="00AF6944" w:rsidRPr="009E7447" w:rsidRDefault="00AF6944" w:rsidP="00CB5D5C">
            <w:pPr>
              <w:bidi w:val="0"/>
              <w:spacing w:line="144" w:lineRule="auto"/>
              <w:rPr>
                <w:sz w:val="18"/>
                <w:szCs w:val="18"/>
                <w:rtl/>
              </w:rPr>
            </w:pPr>
          </w:p>
        </w:tc>
        <w:tc>
          <w:tcPr>
            <w:tcW w:w="520" w:type="pct"/>
          </w:tcPr>
          <w:p w14:paraId="20BE84AC" w14:textId="77777777" w:rsidR="00AF6944" w:rsidRPr="009E7447" w:rsidRDefault="00AF6944" w:rsidP="00CB5D5C">
            <w:pPr>
              <w:bidi w:val="0"/>
              <w:spacing w:line="144" w:lineRule="auto"/>
              <w:rPr>
                <w:sz w:val="18"/>
                <w:szCs w:val="18"/>
                <w:rtl/>
              </w:rPr>
            </w:pPr>
          </w:p>
        </w:tc>
        <w:tc>
          <w:tcPr>
            <w:tcW w:w="512" w:type="pct"/>
          </w:tcPr>
          <w:p w14:paraId="47F48304" w14:textId="77777777" w:rsidR="00AF6944" w:rsidRPr="009E7447" w:rsidRDefault="00AF6944" w:rsidP="00CB5D5C">
            <w:pPr>
              <w:bidi w:val="0"/>
              <w:spacing w:line="144" w:lineRule="auto"/>
              <w:rPr>
                <w:sz w:val="18"/>
                <w:szCs w:val="18"/>
                <w:rtl/>
              </w:rPr>
            </w:pPr>
          </w:p>
        </w:tc>
        <w:tc>
          <w:tcPr>
            <w:tcW w:w="552" w:type="pct"/>
          </w:tcPr>
          <w:p w14:paraId="0A5303B4" w14:textId="77777777" w:rsidR="00AF6944" w:rsidRPr="009E7447" w:rsidRDefault="00AF6944" w:rsidP="00CB5D5C">
            <w:pPr>
              <w:bidi w:val="0"/>
              <w:spacing w:line="144" w:lineRule="auto"/>
              <w:rPr>
                <w:sz w:val="18"/>
                <w:szCs w:val="18"/>
                <w:rtl/>
              </w:rPr>
            </w:pPr>
          </w:p>
        </w:tc>
      </w:tr>
      <w:tr w:rsidR="00AF6944" w:rsidRPr="009E7447" w14:paraId="0FB19977" w14:textId="77777777" w:rsidTr="00CB5D5C">
        <w:tc>
          <w:tcPr>
            <w:tcW w:w="1756" w:type="pct"/>
            <w:vAlign w:val="bottom"/>
          </w:tcPr>
          <w:p w14:paraId="7C619A61" w14:textId="77777777" w:rsidR="00AF6944" w:rsidRPr="00F35649" w:rsidRDefault="00AF6944" w:rsidP="00CB5D5C">
            <w:pPr>
              <w:jc w:val="left"/>
              <w:rPr>
                <w:b/>
                <w:bCs/>
                <w:color w:val="000000"/>
                <w:sz w:val="18"/>
                <w:szCs w:val="18"/>
                <w:u w:val="single"/>
                <w:rtl/>
                <w:lang w:eastAsia="he-IL"/>
              </w:rPr>
            </w:pPr>
            <w:r w:rsidRPr="00F35649">
              <w:rPr>
                <w:rFonts w:hint="cs"/>
                <w:b/>
                <w:bCs/>
                <w:color w:val="000000"/>
                <w:sz w:val="18"/>
                <w:szCs w:val="18"/>
                <w:u w:val="single"/>
                <w:rtl/>
                <w:lang w:eastAsia="he-IL"/>
              </w:rPr>
              <w:t>פעילות לווים בחו"ל</w:t>
            </w:r>
          </w:p>
        </w:tc>
        <w:tc>
          <w:tcPr>
            <w:tcW w:w="590" w:type="pct"/>
            <w:vAlign w:val="bottom"/>
          </w:tcPr>
          <w:p w14:paraId="476C7539" w14:textId="77777777" w:rsidR="00AF6944" w:rsidRPr="009E7447" w:rsidRDefault="00AF6944" w:rsidP="00CB5D5C">
            <w:pPr>
              <w:spacing w:line="241" w:lineRule="auto"/>
              <w:rPr>
                <w:sz w:val="18"/>
                <w:szCs w:val="18"/>
                <w:rtl/>
              </w:rPr>
            </w:pPr>
          </w:p>
        </w:tc>
        <w:tc>
          <w:tcPr>
            <w:tcW w:w="399" w:type="pct"/>
            <w:vAlign w:val="bottom"/>
          </w:tcPr>
          <w:p w14:paraId="26D9DA75" w14:textId="77777777" w:rsidR="00AF6944" w:rsidRPr="009E7447" w:rsidRDefault="00AF6944" w:rsidP="00CB5D5C">
            <w:pPr>
              <w:spacing w:line="241" w:lineRule="auto"/>
              <w:rPr>
                <w:sz w:val="18"/>
                <w:szCs w:val="18"/>
                <w:rtl/>
              </w:rPr>
            </w:pPr>
          </w:p>
        </w:tc>
        <w:tc>
          <w:tcPr>
            <w:tcW w:w="671" w:type="pct"/>
            <w:vAlign w:val="bottom"/>
          </w:tcPr>
          <w:p w14:paraId="0E9E90AD" w14:textId="77777777" w:rsidR="00AF6944" w:rsidRPr="009E7447" w:rsidRDefault="00AF6944" w:rsidP="00CB5D5C">
            <w:pPr>
              <w:spacing w:line="241" w:lineRule="auto"/>
              <w:rPr>
                <w:sz w:val="18"/>
                <w:szCs w:val="18"/>
                <w:rtl/>
              </w:rPr>
            </w:pPr>
          </w:p>
        </w:tc>
        <w:tc>
          <w:tcPr>
            <w:tcW w:w="520" w:type="pct"/>
            <w:vAlign w:val="bottom"/>
          </w:tcPr>
          <w:p w14:paraId="7420EBFA" w14:textId="77777777" w:rsidR="00AF6944" w:rsidRPr="009E7447" w:rsidRDefault="00AF6944" w:rsidP="00CB5D5C">
            <w:pPr>
              <w:spacing w:line="241" w:lineRule="auto"/>
              <w:rPr>
                <w:sz w:val="18"/>
                <w:szCs w:val="18"/>
                <w:rtl/>
              </w:rPr>
            </w:pPr>
          </w:p>
        </w:tc>
        <w:tc>
          <w:tcPr>
            <w:tcW w:w="512" w:type="pct"/>
            <w:vAlign w:val="bottom"/>
          </w:tcPr>
          <w:p w14:paraId="2E09B954" w14:textId="77777777" w:rsidR="00AF6944" w:rsidRPr="009E7447" w:rsidRDefault="00AF6944" w:rsidP="00CB5D5C">
            <w:pPr>
              <w:spacing w:line="241" w:lineRule="auto"/>
              <w:rPr>
                <w:sz w:val="18"/>
                <w:szCs w:val="18"/>
                <w:rtl/>
              </w:rPr>
            </w:pPr>
          </w:p>
        </w:tc>
        <w:tc>
          <w:tcPr>
            <w:tcW w:w="552" w:type="pct"/>
            <w:vAlign w:val="bottom"/>
          </w:tcPr>
          <w:p w14:paraId="46178762" w14:textId="77777777" w:rsidR="00AF6944" w:rsidRPr="009E7447" w:rsidRDefault="00AF6944" w:rsidP="00CB5D5C">
            <w:pPr>
              <w:spacing w:line="241" w:lineRule="auto"/>
              <w:rPr>
                <w:sz w:val="18"/>
                <w:szCs w:val="18"/>
                <w:rtl/>
              </w:rPr>
            </w:pPr>
          </w:p>
        </w:tc>
      </w:tr>
      <w:tr w:rsidR="00AF6944" w:rsidRPr="009E7447" w14:paraId="3AD805D6" w14:textId="77777777" w:rsidTr="00CB5D5C">
        <w:tc>
          <w:tcPr>
            <w:tcW w:w="1756" w:type="pct"/>
            <w:vAlign w:val="bottom"/>
          </w:tcPr>
          <w:p w14:paraId="2B591C0F" w14:textId="77777777" w:rsidR="00AF6944" w:rsidRPr="00F35649" w:rsidRDefault="00AF6944" w:rsidP="00CB5D5C">
            <w:pPr>
              <w:spacing w:before="40" w:line="180" w:lineRule="exact"/>
              <w:ind w:left="142" w:right="142" w:hanging="142"/>
              <w:jc w:val="left"/>
              <w:rPr>
                <w:b/>
                <w:bCs/>
                <w:color w:val="000000"/>
                <w:sz w:val="18"/>
                <w:szCs w:val="18"/>
                <w:rtl/>
                <w:lang w:eastAsia="he-IL"/>
              </w:rPr>
            </w:pPr>
            <w:r w:rsidRPr="00F35649">
              <w:rPr>
                <w:rFonts w:hint="cs"/>
                <w:b/>
                <w:bCs/>
                <w:color w:val="000000"/>
                <w:sz w:val="18"/>
                <w:szCs w:val="18"/>
                <w:rtl/>
                <w:lang w:eastAsia="he-IL"/>
              </w:rPr>
              <w:t>סך הכל אשראי לציבור - פעילות בחו"ל</w:t>
            </w:r>
          </w:p>
        </w:tc>
        <w:tc>
          <w:tcPr>
            <w:tcW w:w="590" w:type="pct"/>
            <w:vAlign w:val="bottom"/>
          </w:tcPr>
          <w:p w14:paraId="14963D46" w14:textId="77777777" w:rsidR="00AF6944" w:rsidRPr="009E7447" w:rsidRDefault="00AF6944" w:rsidP="00CB5D5C">
            <w:pPr>
              <w:pBdr>
                <w:bottom w:val="single" w:sz="4" w:space="1" w:color="auto"/>
              </w:pBd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399" w:type="pct"/>
            <w:vAlign w:val="bottom"/>
          </w:tcPr>
          <w:p w14:paraId="62B96764" w14:textId="77777777" w:rsidR="00AF6944" w:rsidRPr="009E7447" w:rsidRDefault="00AF6944" w:rsidP="00CB5D5C">
            <w:pPr>
              <w:pBdr>
                <w:bottom w:val="single" w:sz="4" w:space="1" w:color="auto"/>
              </w:pBd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671" w:type="pct"/>
            <w:vAlign w:val="bottom"/>
          </w:tcPr>
          <w:p w14:paraId="7DC053AC" w14:textId="77777777" w:rsidR="00AF6944" w:rsidRPr="009E7447" w:rsidRDefault="00AF6944" w:rsidP="00CB5D5C">
            <w:pPr>
              <w:pBdr>
                <w:bottom w:val="single" w:sz="4" w:space="1" w:color="auto"/>
              </w:pBd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520" w:type="pct"/>
            <w:vAlign w:val="bottom"/>
          </w:tcPr>
          <w:p w14:paraId="5656E059" w14:textId="77777777" w:rsidR="00AF6944" w:rsidRPr="009E7447" w:rsidRDefault="00AF6944" w:rsidP="00CB5D5C">
            <w:pPr>
              <w:pBdr>
                <w:bottom w:val="single" w:sz="4" w:space="1" w:color="auto"/>
              </w:pBd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512" w:type="pct"/>
            <w:vAlign w:val="bottom"/>
          </w:tcPr>
          <w:p w14:paraId="5DE9A1B4" w14:textId="77777777" w:rsidR="00AF6944" w:rsidRPr="009E7447" w:rsidRDefault="00AF6944" w:rsidP="00CB5D5C">
            <w:pPr>
              <w:pBdr>
                <w:bottom w:val="single" w:sz="4" w:space="1" w:color="auto"/>
              </w:pBd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552" w:type="pct"/>
            <w:vAlign w:val="bottom"/>
          </w:tcPr>
          <w:p w14:paraId="66ED5B64" w14:textId="77777777" w:rsidR="00AF6944" w:rsidRPr="009E7447" w:rsidRDefault="00AF6944" w:rsidP="00CB5D5C">
            <w:pPr>
              <w:pBdr>
                <w:bottom w:val="single" w:sz="4" w:space="1" w:color="auto"/>
              </w:pBdr>
              <w:spacing w:line="241" w:lineRule="auto"/>
              <w:jc w:val="left"/>
              <w:rPr>
                <w:color w:val="000000"/>
                <w:sz w:val="18"/>
                <w:szCs w:val="18"/>
                <w:rtl/>
                <w:lang w:eastAsia="he-IL"/>
              </w:rPr>
            </w:pPr>
            <w:r w:rsidRPr="009E7447">
              <w:rPr>
                <w:rFonts w:hint="cs"/>
                <w:b/>
                <w:bCs/>
                <w:color w:val="000000"/>
                <w:sz w:val="18"/>
                <w:szCs w:val="18"/>
                <w:rtl/>
                <w:lang w:eastAsia="he-IL"/>
              </w:rPr>
              <w:t>0</w:t>
            </w:r>
          </w:p>
        </w:tc>
      </w:tr>
      <w:tr w:rsidR="00AF6944" w:rsidRPr="009E7447" w14:paraId="78588C51" w14:textId="77777777" w:rsidTr="00CB5D5C">
        <w:trPr>
          <w:trHeight w:val="259"/>
        </w:trPr>
        <w:tc>
          <w:tcPr>
            <w:tcW w:w="1756" w:type="pct"/>
            <w:vAlign w:val="bottom"/>
          </w:tcPr>
          <w:p w14:paraId="0C64BBE9" w14:textId="77777777" w:rsidR="00AF6944" w:rsidRPr="00F35649" w:rsidRDefault="00AF6944" w:rsidP="00CB5D5C">
            <w:pPr>
              <w:spacing w:line="241" w:lineRule="auto"/>
              <w:ind w:left="144" w:hanging="144"/>
              <w:jc w:val="left"/>
              <w:rPr>
                <w:b/>
                <w:bCs/>
                <w:color w:val="000000"/>
                <w:sz w:val="18"/>
                <w:szCs w:val="18"/>
                <w:rtl/>
                <w:lang w:eastAsia="he-IL"/>
              </w:rPr>
            </w:pPr>
            <w:r w:rsidRPr="00F35649">
              <w:rPr>
                <w:rFonts w:hint="cs"/>
                <w:b/>
                <w:bCs/>
                <w:color w:val="000000"/>
                <w:sz w:val="18"/>
                <w:szCs w:val="18"/>
                <w:rtl/>
                <w:lang w:eastAsia="he-IL"/>
              </w:rPr>
              <w:t xml:space="preserve">סך הכל </w:t>
            </w:r>
          </w:p>
        </w:tc>
        <w:tc>
          <w:tcPr>
            <w:tcW w:w="590" w:type="pct"/>
            <w:vAlign w:val="bottom"/>
          </w:tcPr>
          <w:p w14:paraId="0F8992F8" w14:textId="77777777" w:rsidR="00AF6944" w:rsidRPr="00B55481" w:rsidRDefault="00AF6944" w:rsidP="00CB5D5C">
            <w:pPr>
              <w:pBdr>
                <w:bottom w:val="double" w:sz="4" w:space="1" w:color="auto"/>
              </w:pBdr>
              <w:spacing w:line="241" w:lineRule="auto"/>
              <w:ind w:left="144" w:hanging="144"/>
              <w:jc w:val="left"/>
              <w:rPr>
                <w:b/>
                <w:bCs/>
                <w:color w:val="000000"/>
                <w:sz w:val="18"/>
                <w:szCs w:val="18"/>
                <w:rtl/>
                <w:lang w:eastAsia="he-IL"/>
              </w:rPr>
            </w:pPr>
            <w:r w:rsidRPr="00B55481">
              <w:rPr>
                <w:rFonts w:hint="cs"/>
                <w:b/>
                <w:bCs/>
                <w:color w:val="000000"/>
                <w:sz w:val="18"/>
                <w:szCs w:val="18"/>
                <w:rtl/>
                <w:lang w:eastAsia="he-IL"/>
              </w:rPr>
              <w:t xml:space="preserve"> 0</w:t>
            </w:r>
          </w:p>
        </w:tc>
        <w:tc>
          <w:tcPr>
            <w:tcW w:w="399" w:type="pct"/>
            <w:vAlign w:val="bottom"/>
          </w:tcPr>
          <w:p w14:paraId="2BD7E5D9" w14:textId="77777777" w:rsidR="00AF6944" w:rsidRPr="00B55481" w:rsidRDefault="00AF6944" w:rsidP="00CB5D5C">
            <w:pPr>
              <w:pBdr>
                <w:bottom w:val="double" w:sz="4" w:space="1" w:color="auto"/>
              </w:pBdr>
              <w:spacing w:line="241" w:lineRule="auto"/>
              <w:ind w:left="144" w:hanging="144"/>
              <w:jc w:val="left"/>
              <w:rPr>
                <w:b/>
                <w:bCs/>
                <w:color w:val="000000"/>
                <w:sz w:val="18"/>
                <w:szCs w:val="18"/>
                <w:rtl/>
                <w:lang w:eastAsia="he-IL"/>
              </w:rPr>
            </w:pPr>
            <w:r w:rsidRPr="00B55481">
              <w:rPr>
                <w:rFonts w:hint="cs"/>
                <w:b/>
                <w:bCs/>
                <w:color w:val="000000"/>
                <w:sz w:val="18"/>
                <w:szCs w:val="18"/>
                <w:rtl/>
                <w:lang w:eastAsia="he-IL"/>
              </w:rPr>
              <w:t xml:space="preserve"> 0</w:t>
            </w:r>
          </w:p>
        </w:tc>
        <w:tc>
          <w:tcPr>
            <w:tcW w:w="671" w:type="pct"/>
            <w:vAlign w:val="bottom"/>
          </w:tcPr>
          <w:p w14:paraId="149980B0" w14:textId="77777777" w:rsidR="00AF6944" w:rsidRPr="00B55481" w:rsidRDefault="00AF6944" w:rsidP="00CB5D5C">
            <w:pPr>
              <w:pBdr>
                <w:bottom w:val="double" w:sz="4" w:space="1" w:color="auto"/>
              </w:pBdr>
              <w:spacing w:line="241" w:lineRule="auto"/>
              <w:ind w:left="144" w:hanging="144"/>
              <w:jc w:val="left"/>
              <w:rPr>
                <w:b/>
                <w:bCs/>
                <w:color w:val="000000"/>
                <w:sz w:val="18"/>
                <w:szCs w:val="18"/>
                <w:rtl/>
                <w:lang w:eastAsia="he-IL"/>
              </w:rPr>
            </w:pPr>
            <w:r w:rsidRPr="00B55481">
              <w:rPr>
                <w:rFonts w:hint="cs"/>
                <w:b/>
                <w:bCs/>
                <w:color w:val="000000"/>
                <w:sz w:val="18"/>
                <w:szCs w:val="18"/>
                <w:rtl/>
                <w:lang w:eastAsia="he-IL"/>
              </w:rPr>
              <w:t xml:space="preserve"> 0</w:t>
            </w:r>
          </w:p>
        </w:tc>
        <w:tc>
          <w:tcPr>
            <w:tcW w:w="520" w:type="pct"/>
            <w:vAlign w:val="bottom"/>
          </w:tcPr>
          <w:p w14:paraId="5FEAA505" w14:textId="77777777" w:rsidR="00AF6944" w:rsidRPr="00B55481" w:rsidRDefault="00AF6944" w:rsidP="00CB5D5C">
            <w:pPr>
              <w:pBdr>
                <w:bottom w:val="double" w:sz="4" w:space="1" w:color="auto"/>
              </w:pBdr>
              <w:spacing w:line="241" w:lineRule="auto"/>
              <w:ind w:left="144" w:hanging="144"/>
              <w:jc w:val="left"/>
              <w:rPr>
                <w:color w:val="000000"/>
                <w:sz w:val="18"/>
                <w:szCs w:val="18"/>
                <w:rtl/>
                <w:lang w:eastAsia="he-IL"/>
              </w:rPr>
            </w:pPr>
            <w:r w:rsidRPr="00B55481">
              <w:rPr>
                <w:rFonts w:hint="cs"/>
                <w:b/>
                <w:bCs/>
                <w:color w:val="000000"/>
                <w:sz w:val="18"/>
                <w:szCs w:val="18"/>
                <w:rtl/>
                <w:lang w:eastAsia="he-IL"/>
              </w:rPr>
              <w:t xml:space="preserve"> 0</w:t>
            </w:r>
          </w:p>
        </w:tc>
        <w:tc>
          <w:tcPr>
            <w:tcW w:w="512" w:type="pct"/>
            <w:vAlign w:val="bottom"/>
          </w:tcPr>
          <w:p w14:paraId="47C99CCA" w14:textId="77777777" w:rsidR="00AF6944" w:rsidRPr="00B55481" w:rsidRDefault="00AF6944" w:rsidP="00CB5D5C">
            <w:pPr>
              <w:pBdr>
                <w:bottom w:val="double" w:sz="4" w:space="1" w:color="auto"/>
              </w:pBdr>
              <w:spacing w:line="241" w:lineRule="auto"/>
              <w:ind w:left="144" w:hanging="144"/>
              <w:jc w:val="left"/>
              <w:rPr>
                <w:color w:val="000000"/>
                <w:sz w:val="18"/>
                <w:szCs w:val="18"/>
                <w:rtl/>
                <w:lang w:eastAsia="he-IL"/>
              </w:rPr>
            </w:pPr>
            <w:r w:rsidRPr="00B55481">
              <w:rPr>
                <w:rFonts w:hint="cs"/>
                <w:b/>
                <w:bCs/>
                <w:color w:val="000000"/>
                <w:sz w:val="18"/>
                <w:szCs w:val="18"/>
                <w:rtl/>
                <w:lang w:eastAsia="he-IL"/>
              </w:rPr>
              <w:t xml:space="preserve"> 0</w:t>
            </w:r>
          </w:p>
        </w:tc>
        <w:tc>
          <w:tcPr>
            <w:tcW w:w="552" w:type="pct"/>
            <w:vAlign w:val="bottom"/>
          </w:tcPr>
          <w:p w14:paraId="1C90C169" w14:textId="77777777" w:rsidR="00AF6944" w:rsidRPr="00B55481" w:rsidRDefault="00AF6944" w:rsidP="00CB5D5C">
            <w:pPr>
              <w:pBdr>
                <w:bottom w:val="double" w:sz="4" w:space="1" w:color="auto"/>
              </w:pBdr>
              <w:spacing w:line="241" w:lineRule="auto"/>
              <w:jc w:val="left"/>
              <w:rPr>
                <w:color w:val="000000"/>
                <w:sz w:val="18"/>
                <w:szCs w:val="18"/>
                <w:rtl/>
                <w:lang w:eastAsia="he-IL"/>
              </w:rPr>
            </w:pPr>
            <w:r w:rsidRPr="00B55481">
              <w:rPr>
                <w:rFonts w:hint="cs"/>
                <w:b/>
                <w:bCs/>
                <w:color w:val="000000"/>
                <w:sz w:val="18"/>
                <w:szCs w:val="18"/>
                <w:rtl/>
                <w:lang w:eastAsia="he-IL"/>
              </w:rPr>
              <w:t>0</w:t>
            </w:r>
          </w:p>
        </w:tc>
      </w:tr>
      <w:tr w:rsidR="00AF6944" w:rsidRPr="009E7447" w14:paraId="5C655FD0" w14:textId="77777777" w:rsidTr="00CB5D5C">
        <w:trPr>
          <w:trHeight w:val="227"/>
        </w:trPr>
        <w:tc>
          <w:tcPr>
            <w:tcW w:w="1756" w:type="pct"/>
            <w:vAlign w:val="bottom"/>
          </w:tcPr>
          <w:p w14:paraId="780C01F3" w14:textId="77777777" w:rsidR="00AF6944" w:rsidRPr="00F35649" w:rsidRDefault="00AF6944" w:rsidP="00CB5D5C">
            <w:pPr>
              <w:ind w:left="144" w:hanging="144"/>
              <w:jc w:val="left"/>
              <w:rPr>
                <w:color w:val="000000"/>
                <w:sz w:val="18"/>
                <w:szCs w:val="18"/>
                <w:rtl/>
                <w:lang w:eastAsia="he-IL"/>
              </w:rPr>
            </w:pPr>
            <w:r w:rsidRPr="00F35649">
              <w:rPr>
                <w:rFonts w:hint="cs"/>
                <w:color w:val="000000"/>
                <w:sz w:val="18"/>
                <w:szCs w:val="18"/>
                <w:rtl/>
                <w:lang w:eastAsia="he-IL"/>
              </w:rPr>
              <w:t>מזה:</w:t>
            </w:r>
          </w:p>
        </w:tc>
        <w:tc>
          <w:tcPr>
            <w:tcW w:w="590" w:type="pct"/>
          </w:tcPr>
          <w:p w14:paraId="7FB3B14C" w14:textId="77777777" w:rsidR="00AF6944" w:rsidRPr="009E7447" w:rsidRDefault="00AF6944" w:rsidP="00CB5D5C">
            <w:pPr>
              <w:spacing w:line="241" w:lineRule="auto"/>
              <w:rPr>
                <w:sz w:val="18"/>
                <w:szCs w:val="18"/>
                <w:rtl/>
              </w:rPr>
            </w:pPr>
          </w:p>
        </w:tc>
        <w:tc>
          <w:tcPr>
            <w:tcW w:w="399" w:type="pct"/>
          </w:tcPr>
          <w:p w14:paraId="2BA5B1B6" w14:textId="77777777" w:rsidR="00AF6944" w:rsidRPr="009E7447" w:rsidRDefault="00AF6944" w:rsidP="00CB5D5C">
            <w:pPr>
              <w:spacing w:line="241" w:lineRule="auto"/>
              <w:rPr>
                <w:sz w:val="18"/>
                <w:szCs w:val="18"/>
                <w:rtl/>
              </w:rPr>
            </w:pPr>
          </w:p>
        </w:tc>
        <w:tc>
          <w:tcPr>
            <w:tcW w:w="671" w:type="pct"/>
          </w:tcPr>
          <w:p w14:paraId="0E9F6BC3" w14:textId="77777777" w:rsidR="00AF6944" w:rsidRPr="009E7447" w:rsidRDefault="00AF6944" w:rsidP="00CB5D5C">
            <w:pPr>
              <w:spacing w:line="241" w:lineRule="auto"/>
              <w:rPr>
                <w:sz w:val="18"/>
                <w:szCs w:val="18"/>
                <w:rtl/>
              </w:rPr>
            </w:pPr>
          </w:p>
        </w:tc>
        <w:tc>
          <w:tcPr>
            <w:tcW w:w="520" w:type="pct"/>
          </w:tcPr>
          <w:p w14:paraId="14F5C6BF" w14:textId="77777777" w:rsidR="00AF6944" w:rsidRPr="009E7447" w:rsidRDefault="00AF6944" w:rsidP="00CB5D5C">
            <w:pPr>
              <w:spacing w:line="241" w:lineRule="auto"/>
              <w:rPr>
                <w:sz w:val="18"/>
                <w:szCs w:val="18"/>
                <w:rtl/>
              </w:rPr>
            </w:pPr>
          </w:p>
        </w:tc>
        <w:tc>
          <w:tcPr>
            <w:tcW w:w="512" w:type="pct"/>
          </w:tcPr>
          <w:p w14:paraId="33D65BFD" w14:textId="77777777" w:rsidR="00AF6944" w:rsidRPr="009E7447" w:rsidRDefault="00AF6944" w:rsidP="00CB5D5C">
            <w:pPr>
              <w:spacing w:line="241" w:lineRule="auto"/>
              <w:rPr>
                <w:rtl/>
              </w:rPr>
            </w:pPr>
          </w:p>
        </w:tc>
        <w:tc>
          <w:tcPr>
            <w:tcW w:w="552" w:type="pct"/>
          </w:tcPr>
          <w:p w14:paraId="4193C124" w14:textId="77777777" w:rsidR="00AF6944" w:rsidRPr="009E7447" w:rsidRDefault="00AF6944" w:rsidP="00CB5D5C">
            <w:pPr>
              <w:spacing w:line="241" w:lineRule="auto"/>
              <w:rPr>
                <w:rtl/>
              </w:rPr>
            </w:pPr>
          </w:p>
        </w:tc>
      </w:tr>
      <w:tr w:rsidR="00AF6944" w:rsidRPr="009E7447" w14:paraId="6BE988B4" w14:textId="77777777" w:rsidTr="00CB5D5C">
        <w:trPr>
          <w:trHeight w:val="227"/>
        </w:trPr>
        <w:tc>
          <w:tcPr>
            <w:tcW w:w="1756" w:type="pct"/>
            <w:vAlign w:val="bottom"/>
          </w:tcPr>
          <w:p w14:paraId="38199152" w14:textId="77777777" w:rsidR="00AF6944" w:rsidRPr="00F35649" w:rsidRDefault="00AF6944" w:rsidP="00CB5D5C">
            <w:pPr>
              <w:ind w:left="142" w:right="-113" w:hanging="142"/>
              <w:jc w:val="left"/>
              <w:rPr>
                <w:color w:val="000000"/>
                <w:sz w:val="18"/>
                <w:szCs w:val="18"/>
                <w:rtl/>
                <w:lang w:eastAsia="he-IL"/>
              </w:rPr>
            </w:pPr>
            <w:r w:rsidRPr="00F35649">
              <w:rPr>
                <w:rFonts w:hint="cs"/>
                <w:color w:val="000000"/>
                <w:sz w:val="18"/>
                <w:szCs w:val="18"/>
                <w:rtl/>
                <w:lang w:eastAsia="he-IL"/>
              </w:rPr>
              <w:t>נמדד פרטנית לפי ערך נוכחי של תזרימי מזומנים</w:t>
            </w:r>
          </w:p>
        </w:tc>
        <w:tc>
          <w:tcPr>
            <w:tcW w:w="590" w:type="pct"/>
            <w:vAlign w:val="bottom"/>
          </w:tcPr>
          <w:p w14:paraId="47E8B9B3" w14:textId="77777777" w:rsidR="00AF6944" w:rsidRPr="009E7447" w:rsidRDefault="00AF6944" w:rsidP="00CB5D5C">
            <w:pPr>
              <w:pBdr>
                <w:bottom w:val="single" w:sz="4" w:space="1" w:color="auto"/>
              </w:pBdr>
              <w:spacing w:line="241" w:lineRule="auto"/>
              <w:rPr>
                <w:b/>
                <w:bCs/>
                <w:sz w:val="18"/>
                <w:szCs w:val="18"/>
                <w:rtl/>
              </w:rPr>
            </w:pPr>
            <w:r w:rsidRPr="009E7447">
              <w:rPr>
                <w:rFonts w:hint="cs"/>
                <w:sz w:val="18"/>
                <w:szCs w:val="18"/>
                <w:rtl/>
              </w:rPr>
              <w:t xml:space="preserve"> 0</w:t>
            </w:r>
          </w:p>
        </w:tc>
        <w:tc>
          <w:tcPr>
            <w:tcW w:w="399" w:type="pct"/>
            <w:vAlign w:val="bottom"/>
          </w:tcPr>
          <w:p w14:paraId="4628E9BC" w14:textId="77777777" w:rsidR="00AF6944" w:rsidRPr="009E7447" w:rsidRDefault="00AF6944" w:rsidP="00CB5D5C">
            <w:pPr>
              <w:pBdr>
                <w:bottom w:val="single" w:sz="4" w:space="1" w:color="auto"/>
              </w:pBdr>
              <w:spacing w:line="241" w:lineRule="auto"/>
              <w:rPr>
                <w:b/>
                <w:bCs/>
                <w:sz w:val="18"/>
                <w:szCs w:val="18"/>
                <w:rtl/>
              </w:rPr>
            </w:pPr>
            <w:r w:rsidRPr="009E7447">
              <w:rPr>
                <w:rFonts w:hint="cs"/>
                <w:sz w:val="18"/>
                <w:szCs w:val="18"/>
                <w:rtl/>
              </w:rPr>
              <w:t xml:space="preserve"> 0</w:t>
            </w:r>
          </w:p>
        </w:tc>
        <w:tc>
          <w:tcPr>
            <w:tcW w:w="671" w:type="pct"/>
            <w:vAlign w:val="bottom"/>
          </w:tcPr>
          <w:p w14:paraId="2A9BA5BE" w14:textId="77777777" w:rsidR="00AF6944" w:rsidRPr="009E7447" w:rsidRDefault="00AF6944" w:rsidP="00CB5D5C">
            <w:pPr>
              <w:pBdr>
                <w:bottom w:val="single" w:sz="4" w:space="1" w:color="auto"/>
              </w:pBdr>
              <w:spacing w:line="241" w:lineRule="auto"/>
              <w:rPr>
                <w:b/>
                <w:bCs/>
                <w:sz w:val="18"/>
                <w:szCs w:val="18"/>
                <w:rtl/>
              </w:rPr>
            </w:pPr>
            <w:r w:rsidRPr="009E7447">
              <w:rPr>
                <w:rFonts w:hint="cs"/>
                <w:sz w:val="18"/>
                <w:szCs w:val="18"/>
                <w:rtl/>
              </w:rPr>
              <w:t xml:space="preserve"> 0</w:t>
            </w:r>
          </w:p>
        </w:tc>
        <w:tc>
          <w:tcPr>
            <w:tcW w:w="520" w:type="pct"/>
            <w:vAlign w:val="bottom"/>
          </w:tcPr>
          <w:p w14:paraId="303238B3" w14:textId="77777777" w:rsidR="00AF6944" w:rsidRPr="009E7447" w:rsidRDefault="00AF6944" w:rsidP="00CB5D5C">
            <w:pPr>
              <w:pBdr>
                <w:bottom w:val="single" w:sz="4" w:space="1" w:color="auto"/>
              </w:pBdr>
              <w:spacing w:line="241" w:lineRule="auto"/>
              <w:rPr>
                <w:b/>
                <w:bCs/>
                <w:sz w:val="18"/>
                <w:szCs w:val="18"/>
                <w:rtl/>
              </w:rPr>
            </w:pPr>
            <w:r w:rsidRPr="009E7447">
              <w:rPr>
                <w:rFonts w:hint="cs"/>
                <w:sz w:val="18"/>
                <w:szCs w:val="18"/>
                <w:rtl/>
              </w:rPr>
              <w:t xml:space="preserve"> 0</w:t>
            </w:r>
          </w:p>
        </w:tc>
        <w:tc>
          <w:tcPr>
            <w:tcW w:w="512" w:type="pct"/>
            <w:vAlign w:val="bottom"/>
          </w:tcPr>
          <w:p w14:paraId="11B5FA3B" w14:textId="77777777" w:rsidR="00AF6944" w:rsidRPr="009E7447" w:rsidRDefault="00AF6944" w:rsidP="00CB5D5C">
            <w:pPr>
              <w:pBdr>
                <w:bottom w:val="single" w:sz="4" w:space="1" w:color="auto"/>
              </w:pBdr>
              <w:spacing w:line="241" w:lineRule="auto"/>
              <w:rPr>
                <w:rtl/>
              </w:rPr>
            </w:pPr>
            <w:r w:rsidRPr="009E7447">
              <w:rPr>
                <w:rFonts w:hint="cs"/>
                <w:sz w:val="18"/>
                <w:szCs w:val="18"/>
                <w:rtl/>
              </w:rPr>
              <w:t>0</w:t>
            </w:r>
          </w:p>
        </w:tc>
        <w:tc>
          <w:tcPr>
            <w:tcW w:w="552" w:type="pct"/>
            <w:vAlign w:val="bottom"/>
          </w:tcPr>
          <w:p w14:paraId="0D4D5CB0" w14:textId="77777777" w:rsidR="00AF6944" w:rsidRPr="009E7447" w:rsidRDefault="00AF6944" w:rsidP="00CB5D5C">
            <w:pPr>
              <w:spacing w:line="241" w:lineRule="auto"/>
              <w:rPr>
                <w:rtl/>
              </w:rPr>
            </w:pPr>
          </w:p>
        </w:tc>
      </w:tr>
      <w:tr w:rsidR="00AF6944" w:rsidRPr="009E7447" w14:paraId="06BB8FCF" w14:textId="77777777" w:rsidTr="00CB5D5C">
        <w:trPr>
          <w:trHeight w:hRule="exact" w:val="72"/>
        </w:trPr>
        <w:tc>
          <w:tcPr>
            <w:tcW w:w="1756" w:type="pct"/>
            <w:vAlign w:val="bottom"/>
          </w:tcPr>
          <w:p w14:paraId="792E4724" w14:textId="77777777" w:rsidR="00AF6944" w:rsidRPr="00F35649" w:rsidRDefault="00AF6944" w:rsidP="00CB5D5C">
            <w:pPr>
              <w:spacing w:line="241" w:lineRule="auto"/>
              <w:ind w:left="144" w:hanging="144"/>
              <w:jc w:val="left"/>
              <w:rPr>
                <w:color w:val="000000"/>
                <w:sz w:val="18"/>
                <w:szCs w:val="18"/>
                <w:u w:val="single"/>
                <w:rtl/>
                <w:lang w:eastAsia="he-IL"/>
              </w:rPr>
            </w:pPr>
          </w:p>
        </w:tc>
        <w:tc>
          <w:tcPr>
            <w:tcW w:w="590" w:type="pct"/>
          </w:tcPr>
          <w:p w14:paraId="7F6C23B0" w14:textId="77777777" w:rsidR="00AF6944" w:rsidRPr="009E7447" w:rsidRDefault="00AF6944" w:rsidP="00CB5D5C">
            <w:pPr>
              <w:spacing w:line="241" w:lineRule="auto"/>
              <w:jc w:val="center"/>
              <w:rPr>
                <w:sz w:val="18"/>
                <w:szCs w:val="18"/>
                <w:rtl/>
              </w:rPr>
            </w:pPr>
          </w:p>
        </w:tc>
        <w:tc>
          <w:tcPr>
            <w:tcW w:w="399" w:type="pct"/>
          </w:tcPr>
          <w:p w14:paraId="72A221A1" w14:textId="77777777" w:rsidR="00AF6944" w:rsidRPr="009E7447" w:rsidRDefault="00AF6944" w:rsidP="00CB5D5C">
            <w:pPr>
              <w:spacing w:line="241" w:lineRule="auto"/>
              <w:jc w:val="center"/>
              <w:rPr>
                <w:sz w:val="18"/>
                <w:szCs w:val="18"/>
                <w:rtl/>
              </w:rPr>
            </w:pPr>
          </w:p>
        </w:tc>
        <w:tc>
          <w:tcPr>
            <w:tcW w:w="671" w:type="pct"/>
          </w:tcPr>
          <w:p w14:paraId="50F0FFB8" w14:textId="77777777" w:rsidR="00AF6944" w:rsidRPr="009E7447" w:rsidRDefault="00AF6944" w:rsidP="00CB5D5C">
            <w:pPr>
              <w:spacing w:line="241" w:lineRule="auto"/>
              <w:jc w:val="center"/>
              <w:rPr>
                <w:sz w:val="18"/>
                <w:szCs w:val="18"/>
                <w:rtl/>
              </w:rPr>
            </w:pPr>
          </w:p>
        </w:tc>
        <w:tc>
          <w:tcPr>
            <w:tcW w:w="520" w:type="pct"/>
          </w:tcPr>
          <w:p w14:paraId="488F14C7" w14:textId="77777777" w:rsidR="00AF6944" w:rsidRPr="009E7447" w:rsidRDefault="00AF6944" w:rsidP="00CB5D5C">
            <w:pPr>
              <w:spacing w:line="241" w:lineRule="auto"/>
              <w:jc w:val="center"/>
              <w:rPr>
                <w:sz w:val="18"/>
                <w:szCs w:val="18"/>
                <w:rtl/>
              </w:rPr>
            </w:pPr>
          </w:p>
        </w:tc>
        <w:tc>
          <w:tcPr>
            <w:tcW w:w="512" w:type="pct"/>
          </w:tcPr>
          <w:p w14:paraId="341CF574" w14:textId="77777777" w:rsidR="00AF6944" w:rsidRPr="009E7447" w:rsidRDefault="00AF6944" w:rsidP="00CB5D5C">
            <w:pPr>
              <w:spacing w:line="241" w:lineRule="auto"/>
              <w:rPr>
                <w:rtl/>
              </w:rPr>
            </w:pPr>
          </w:p>
        </w:tc>
        <w:tc>
          <w:tcPr>
            <w:tcW w:w="552" w:type="pct"/>
          </w:tcPr>
          <w:p w14:paraId="560130D7" w14:textId="77777777" w:rsidR="00AF6944" w:rsidRPr="009E7447" w:rsidRDefault="00AF6944" w:rsidP="00CB5D5C">
            <w:pPr>
              <w:spacing w:line="241" w:lineRule="auto"/>
              <w:rPr>
                <w:rtl/>
              </w:rPr>
            </w:pPr>
          </w:p>
        </w:tc>
      </w:tr>
      <w:tr w:rsidR="00AF6944" w:rsidRPr="009E7447" w14:paraId="7C809595" w14:textId="77777777" w:rsidTr="00CB5D5C">
        <w:trPr>
          <w:trHeight w:val="227"/>
        </w:trPr>
        <w:tc>
          <w:tcPr>
            <w:tcW w:w="1756" w:type="pct"/>
            <w:vAlign w:val="bottom"/>
          </w:tcPr>
          <w:p w14:paraId="6488BAA9" w14:textId="77777777" w:rsidR="00AF6944" w:rsidRPr="00F35649" w:rsidRDefault="00AF6944" w:rsidP="00CB5D5C">
            <w:pPr>
              <w:spacing w:line="241" w:lineRule="auto"/>
              <w:ind w:left="144" w:hanging="144"/>
              <w:jc w:val="left"/>
              <w:rPr>
                <w:color w:val="000000"/>
                <w:sz w:val="18"/>
                <w:szCs w:val="18"/>
                <w:rtl/>
                <w:lang w:eastAsia="he-IL"/>
              </w:rPr>
            </w:pPr>
            <w:r w:rsidRPr="00F35649">
              <w:rPr>
                <w:rFonts w:hint="cs"/>
                <w:color w:val="000000"/>
                <w:sz w:val="18"/>
                <w:szCs w:val="18"/>
                <w:rtl/>
                <w:lang w:eastAsia="he-IL"/>
              </w:rPr>
              <w:t>נמדד פרטנית לפי שווי הוגן של ביטחון</w:t>
            </w:r>
          </w:p>
        </w:tc>
        <w:tc>
          <w:tcPr>
            <w:tcW w:w="590" w:type="pct"/>
            <w:vAlign w:val="bottom"/>
          </w:tcPr>
          <w:p w14:paraId="6C6DC3A7" w14:textId="77777777" w:rsidR="00AF6944" w:rsidRPr="009E7447" w:rsidRDefault="00AF6944" w:rsidP="00CB5D5C">
            <w:pPr>
              <w:pBdr>
                <w:bottom w:val="single" w:sz="4" w:space="1" w:color="auto"/>
              </w:pBdr>
              <w:spacing w:line="241" w:lineRule="auto"/>
              <w:rPr>
                <w:b/>
                <w:bCs/>
                <w:sz w:val="18"/>
                <w:szCs w:val="18"/>
                <w:rtl/>
              </w:rPr>
            </w:pPr>
            <w:r w:rsidRPr="009E7447">
              <w:rPr>
                <w:rFonts w:hint="cs"/>
                <w:sz w:val="18"/>
                <w:szCs w:val="18"/>
                <w:rtl/>
              </w:rPr>
              <w:t xml:space="preserve"> 0</w:t>
            </w:r>
          </w:p>
        </w:tc>
        <w:tc>
          <w:tcPr>
            <w:tcW w:w="399" w:type="pct"/>
            <w:vAlign w:val="bottom"/>
          </w:tcPr>
          <w:p w14:paraId="49F7CAD7" w14:textId="77777777" w:rsidR="00AF6944" w:rsidRPr="009E7447" w:rsidRDefault="00AF6944" w:rsidP="00CB5D5C">
            <w:pPr>
              <w:pBdr>
                <w:bottom w:val="single" w:sz="4" w:space="1" w:color="auto"/>
              </w:pBdr>
              <w:spacing w:line="241" w:lineRule="auto"/>
              <w:rPr>
                <w:b/>
                <w:bCs/>
                <w:sz w:val="18"/>
                <w:szCs w:val="18"/>
                <w:rtl/>
              </w:rPr>
            </w:pPr>
            <w:r w:rsidRPr="009E7447">
              <w:rPr>
                <w:rFonts w:hint="cs"/>
                <w:sz w:val="18"/>
                <w:szCs w:val="18"/>
                <w:rtl/>
              </w:rPr>
              <w:t xml:space="preserve"> 0</w:t>
            </w:r>
          </w:p>
        </w:tc>
        <w:tc>
          <w:tcPr>
            <w:tcW w:w="671" w:type="pct"/>
            <w:vAlign w:val="bottom"/>
          </w:tcPr>
          <w:p w14:paraId="422D669C" w14:textId="77777777" w:rsidR="00AF6944" w:rsidRPr="009E7447" w:rsidRDefault="00AF6944" w:rsidP="00CB5D5C">
            <w:pPr>
              <w:pBdr>
                <w:bottom w:val="single" w:sz="4" w:space="1" w:color="auto"/>
              </w:pBdr>
              <w:spacing w:line="241" w:lineRule="auto"/>
              <w:rPr>
                <w:b/>
                <w:bCs/>
                <w:sz w:val="18"/>
                <w:szCs w:val="18"/>
                <w:rtl/>
              </w:rPr>
            </w:pPr>
            <w:r w:rsidRPr="009E7447">
              <w:rPr>
                <w:rFonts w:hint="cs"/>
                <w:sz w:val="18"/>
                <w:szCs w:val="18"/>
                <w:rtl/>
              </w:rPr>
              <w:t xml:space="preserve"> 0</w:t>
            </w:r>
          </w:p>
        </w:tc>
        <w:tc>
          <w:tcPr>
            <w:tcW w:w="520" w:type="pct"/>
            <w:vAlign w:val="bottom"/>
          </w:tcPr>
          <w:p w14:paraId="62C6339B" w14:textId="77777777" w:rsidR="00AF6944" w:rsidRPr="009E7447" w:rsidRDefault="00AF6944" w:rsidP="00CB5D5C">
            <w:pPr>
              <w:pBdr>
                <w:bottom w:val="single" w:sz="4" w:space="1" w:color="auto"/>
              </w:pBdr>
              <w:spacing w:line="241" w:lineRule="auto"/>
              <w:rPr>
                <w:b/>
                <w:bCs/>
                <w:sz w:val="18"/>
                <w:szCs w:val="18"/>
                <w:rtl/>
              </w:rPr>
            </w:pPr>
            <w:r w:rsidRPr="009E7447">
              <w:rPr>
                <w:rFonts w:hint="cs"/>
                <w:sz w:val="18"/>
                <w:szCs w:val="18"/>
                <w:rtl/>
              </w:rPr>
              <w:t xml:space="preserve"> </w:t>
            </w:r>
            <w:r>
              <w:rPr>
                <w:rFonts w:hint="cs"/>
                <w:sz w:val="18"/>
                <w:szCs w:val="18"/>
                <w:rtl/>
              </w:rPr>
              <w:t>0</w:t>
            </w:r>
          </w:p>
        </w:tc>
        <w:tc>
          <w:tcPr>
            <w:tcW w:w="512" w:type="pct"/>
            <w:vAlign w:val="bottom"/>
          </w:tcPr>
          <w:p w14:paraId="68B69F57" w14:textId="77777777" w:rsidR="00AF6944" w:rsidRPr="009E7447" w:rsidRDefault="00AF6944" w:rsidP="00CB5D5C">
            <w:pPr>
              <w:pBdr>
                <w:bottom w:val="single" w:sz="4" w:space="1" w:color="auto"/>
              </w:pBdr>
              <w:spacing w:line="241" w:lineRule="auto"/>
              <w:rPr>
                <w:b/>
                <w:bCs/>
                <w:rtl/>
              </w:rPr>
            </w:pPr>
            <w:r w:rsidRPr="009E7447">
              <w:rPr>
                <w:rFonts w:hint="cs"/>
                <w:sz w:val="18"/>
                <w:szCs w:val="18"/>
                <w:rtl/>
              </w:rPr>
              <w:t>0</w:t>
            </w:r>
          </w:p>
        </w:tc>
        <w:tc>
          <w:tcPr>
            <w:tcW w:w="552" w:type="pct"/>
            <w:vAlign w:val="bottom"/>
          </w:tcPr>
          <w:p w14:paraId="410BCB3C" w14:textId="77777777" w:rsidR="00AF6944" w:rsidRPr="009E7447" w:rsidRDefault="00AF6944" w:rsidP="00CB5D5C">
            <w:pPr>
              <w:spacing w:line="241" w:lineRule="auto"/>
              <w:rPr>
                <w:rtl/>
              </w:rPr>
            </w:pPr>
          </w:p>
        </w:tc>
      </w:tr>
      <w:tr w:rsidR="00AF6944" w:rsidRPr="009E7447" w14:paraId="48FFBAAC" w14:textId="77777777" w:rsidTr="00CB5D5C">
        <w:trPr>
          <w:trHeight w:val="227"/>
        </w:trPr>
        <w:tc>
          <w:tcPr>
            <w:tcW w:w="1756" w:type="pct"/>
            <w:vAlign w:val="bottom"/>
          </w:tcPr>
          <w:p w14:paraId="6BF77EB2" w14:textId="77777777" w:rsidR="00AF6944" w:rsidRPr="00F35649" w:rsidRDefault="00AF6944" w:rsidP="00CB5D5C">
            <w:pPr>
              <w:spacing w:line="241" w:lineRule="auto"/>
              <w:ind w:left="144" w:hanging="144"/>
              <w:jc w:val="left"/>
              <w:rPr>
                <w:color w:val="000000"/>
                <w:sz w:val="18"/>
                <w:szCs w:val="18"/>
                <w:rtl/>
                <w:lang w:eastAsia="he-IL"/>
              </w:rPr>
            </w:pPr>
            <w:r w:rsidRPr="00F35649">
              <w:rPr>
                <w:rFonts w:hint="cs"/>
                <w:color w:val="000000"/>
                <w:sz w:val="18"/>
                <w:szCs w:val="18"/>
                <w:rtl/>
                <w:lang w:eastAsia="he-IL"/>
              </w:rPr>
              <w:t>נמדד על בסיס קבוצתי</w:t>
            </w:r>
          </w:p>
        </w:tc>
        <w:tc>
          <w:tcPr>
            <w:tcW w:w="590" w:type="pct"/>
            <w:vAlign w:val="bottom"/>
          </w:tcPr>
          <w:p w14:paraId="10C45F63" w14:textId="77777777" w:rsidR="00AF6944" w:rsidRPr="009E7447" w:rsidRDefault="00AF6944" w:rsidP="00CB5D5C">
            <w:pPr>
              <w:pBdr>
                <w:bottom w:val="single" w:sz="4" w:space="1" w:color="auto"/>
              </w:pBdr>
              <w:spacing w:line="241" w:lineRule="auto"/>
              <w:rPr>
                <w:sz w:val="18"/>
                <w:szCs w:val="18"/>
                <w:rtl/>
              </w:rPr>
            </w:pPr>
            <w:r w:rsidRPr="009E7447">
              <w:rPr>
                <w:rFonts w:hint="cs"/>
                <w:sz w:val="18"/>
                <w:szCs w:val="18"/>
                <w:rtl/>
              </w:rPr>
              <w:t xml:space="preserve"> 0     </w:t>
            </w:r>
          </w:p>
        </w:tc>
        <w:tc>
          <w:tcPr>
            <w:tcW w:w="399" w:type="pct"/>
            <w:vAlign w:val="bottom"/>
          </w:tcPr>
          <w:p w14:paraId="588C2205" w14:textId="77777777" w:rsidR="00AF6944" w:rsidRPr="009E7447" w:rsidRDefault="00AF6944" w:rsidP="00CB5D5C">
            <w:pPr>
              <w:pBdr>
                <w:bottom w:val="single" w:sz="4" w:space="1" w:color="auto"/>
              </w:pBdr>
              <w:spacing w:line="241" w:lineRule="auto"/>
              <w:rPr>
                <w:sz w:val="18"/>
                <w:szCs w:val="18"/>
                <w:rtl/>
              </w:rPr>
            </w:pPr>
            <w:r w:rsidRPr="009E7447">
              <w:rPr>
                <w:rFonts w:hint="cs"/>
                <w:sz w:val="18"/>
                <w:szCs w:val="18"/>
                <w:rtl/>
              </w:rPr>
              <w:t xml:space="preserve"> 0</w:t>
            </w:r>
          </w:p>
        </w:tc>
        <w:tc>
          <w:tcPr>
            <w:tcW w:w="671" w:type="pct"/>
            <w:vAlign w:val="bottom"/>
          </w:tcPr>
          <w:p w14:paraId="1301F77B" w14:textId="77777777" w:rsidR="00AF6944" w:rsidRPr="009E7447" w:rsidRDefault="00AF6944" w:rsidP="00CB5D5C">
            <w:pPr>
              <w:pBdr>
                <w:bottom w:val="single" w:sz="4" w:space="1" w:color="auto"/>
              </w:pBdr>
              <w:spacing w:line="241" w:lineRule="auto"/>
              <w:rPr>
                <w:sz w:val="18"/>
                <w:szCs w:val="18"/>
                <w:rtl/>
              </w:rPr>
            </w:pPr>
            <w:r w:rsidRPr="009E7447">
              <w:rPr>
                <w:rFonts w:hint="cs"/>
                <w:sz w:val="18"/>
                <w:szCs w:val="18"/>
                <w:rtl/>
              </w:rPr>
              <w:t xml:space="preserve"> 0</w:t>
            </w:r>
          </w:p>
        </w:tc>
        <w:tc>
          <w:tcPr>
            <w:tcW w:w="520" w:type="pct"/>
            <w:vAlign w:val="bottom"/>
          </w:tcPr>
          <w:p w14:paraId="4D7FDF1B" w14:textId="77777777" w:rsidR="00AF6944" w:rsidRPr="009E7447" w:rsidRDefault="00AF6944" w:rsidP="00CB5D5C">
            <w:pPr>
              <w:pBdr>
                <w:bottom w:val="single" w:sz="4" w:space="1" w:color="auto"/>
              </w:pBdr>
              <w:spacing w:line="241" w:lineRule="auto"/>
              <w:rPr>
                <w:sz w:val="18"/>
                <w:szCs w:val="18"/>
                <w:rtl/>
              </w:rPr>
            </w:pPr>
            <w:r w:rsidRPr="009E7447">
              <w:rPr>
                <w:rFonts w:hint="cs"/>
                <w:sz w:val="18"/>
                <w:szCs w:val="18"/>
                <w:rtl/>
              </w:rPr>
              <w:t xml:space="preserve"> 0</w:t>
            </w:r>
          </w:p>
        </w:tc>
        <w:tc>
          <w:tcPr>
            <w:tcW w:w="512" w:type="pct"/>
            <w:vAlign w:val="bottom"/>
          </w:tcPr>
          <w:p w14:paraId="3D9EFC34" w14:textId="77777777" w:rsidR="00AF6944" w:rsidRPr="009E7447" w:rsidRDefault="00AF6944" w:rsidP="00CB5D5C">
            <w:pPr>
              <w:pBdr>
                <w:bottom w:val="single" w:sz="4" w:space="1" w:color="auto"/>
              </w:pBdr>
              <w:spacing w:line="241" w:lineRule="auto"/>
              <w:rPr>
                <w:sz w:val="18"/>
                <w:szCs w:val="18"/>
                <w:rtl/>
              </w:rPr>
            </w:pPr>
            <w:r w:rsidRPr="009E7447">
              <w:rPr>
                <w:rFonts w:hint="cs"/>
                <w:sz w:val="18"/>
                <w:szCs w:val="18"/>
                <w:rtl/>
              </w:rPr>
              <w:t>0</w:t>
            </w:r>
          </w:p>
        </w:tc>
        <w:tc>
          <w:tcPr>
            <w:tcW w:w="552" w:type="pct"/>
            <w:vAlign w:val="bottom"/>
          </w:tcPr>
          <w:p w14:paraId="173E383A" w14:textId="77777777" w:rsidR="00AF6944" w:rsidRPr="009E7447" w:rsidRDefault="00AF6944" w:rsidP="00CB5D5C">
            <w:pPr>
              <w:spacing w:line="241" w:lineRule="auto"/>
              <w:rPr>
                <w:rtl/>
              </w:rPr>
            </w:pPr>
          </w:p>
        </w:tc>
      </w:tr>
    </w:tbl>
    <w:p w14:paraId="7F009406" w14:textId="77777777" w:rsidR="00AF6944" w:rsidRDefault="00AF6944">
      <w:pPr>
        <w:rPr>
          <w:rtl/>
        </w:rPr>
      </w:pPr>
    </w:p>
    <w:p w14:paraId="49657EA5" w14:textId="77777777" w:rsidR="00623A25" w:rsidRDefault="00623A25"/>
    <w:tbl>
      <w:tblPr>
        <w:bidiVisual/>
        <w:tblW w:w="4761" w:type="pct"/>
        <w:tblLook w:val="01E0" w:firstRow="1" w:lastRow="1" w:firstColumn="1" w:lastColumn="1" w:noHBand="0" w:noVBand="0"/>
      </w:tblPr>
      <w:tblGrid>
        <w:gridCol w:w="422"/>
        <w:gridCol w:w="9297"/>
      </w:tblGrid>
      <w:tr w:rsidR="005B573E" w:rsidRPr="009E7447" w14:paraId="68BB372D" w14:textId="77777777" w:rsidTr="005B573E">
        <w:trPr>
          <w:trHeight w:val="245"/>
        </w:trPr>
        <w:tc>
          <w:tcPr>
            <w:tcW w:w="217" w:type="pct"/>
            <w:shd w:val="clear" w:color="auto" w:fill="auto"/>
          </w:tcPr>
          <w:p w14:paraId="40EBF3C1" w14:textId="77777777" w:rsidR="005B573E" w:rsidRPr="009E7447" w:rsidRDefault="005B573E" w:rsidP="00400DD1">
            <w:pPr>
              <w:spacing w:line="240" w:lineRule="exact"/>
              <w:rPr>
                <w:sz w:val="18"/>
                <w:szCs w:val="18"/>
                <w:rtl/>
              </w:rPr>
            </w:pPr>
          </w:p>
        </w:tc>
        <w:tc>
          <w:tcPr>
            <w:tcW w:w="4783" w:type="pct"/>
            <w:shd w:val="clear" w:color="auto" w:fill="auto"/>
          </w:tcPr>
          <w:p w14:paraId="270AE9E1" w14:textId="77777777" w:rsidR="005B573E" w:rsidRPr="00454B47" w:rsidRDefault="005B573E" w:rsidP="00400DD1">
            <w:pPr>
              <w:numPr>
                <w:ilvl w:val="0"/>
                <w:numId w:val="23"/>
              </w:numPr>
              <w:spacing w:after="60"/>
              <w:ind w:left="357" w:hanging="357"/>
              <w:rPr>
                <w:sz w:val="17"/>
                <w:szCs w:val="17"/>
                <w:rtl/>
              </w:rPr>
            </w:pPr>
            <w:r w:rsidRPr="00454B47">
              <w:rPr>
                <w:rFonts w:hint="cs"/>
                <w:sz w:val="17"/>
                <w:szCs w:val="17"/>
                <w:rtl/>
              </w:rPr>
              <w:t>יתרת חוב רשומה.</w:t>
            </w:r>
          </w:p>
        </w:tc>
      </w:tr>
      <w:tr w:rsidR="005B573E" w:rsidRPr="009E7447" w14:paraId="25AB045A" w14:textId="77777777" w:rsidTr="005B573E">
        <w:trPr>
          <w:trHeight w:val="245"/>
        </w:trPr>
        <w:tc>
          <w:tcPr>
            <w:tcW w:w="217" w:type="pct"/>
            <w:shd w:val="clear" w:color="auto" w:fill="auto"/>
          </w:tcPr>
          <w:p w14:paraId="71409C66" w14:textId="77777777" w:rsidR="005B573E" w:rsidRPr="009E7447" w:rsidRDefault="005B573E" w:rsidP="00400DD1">
            <w:pPr>
              <w:spacing w:line="240" w:lineRule="exact"/>
              <w:rPr>
                <w:sz w:val="18"/>
                <w:szCs w:val="18"/>
                <w:rtl/>
              </w:rPr>
            </w:pPr>
          </w:p>
        </w:tc>
        <w:tc>
          <w:tcPr>
            <w:tcW w:w="4783" w:type="pct"/>
            <w:shd w:val="clear" w:color="auto" w:fill="auto"/>
          </w:tcPr>
          <w:p w14:paraId="2AD76E30" w14:textId="013A64B3" w:rsidR="005B573E" w:rsidRPr="00454B47" w:rsidRDefault="005B573E" w:rsidP="00400DD1">
            <w:pPr>
              <w:numPr>
                <w:ilvl w:val="0"/>
                <w:numId w:val="23"/>
              </w:numPr>
              <w:spacing w:after="60"/>
              <w:ind w:left="357" w:hanging="357"/>
              <w:rPr>
                <w:sz w:val="17"/>
                <w:szCs w:val="17"/>
                <w:rtl/>
              </w:rPr>
            </w:pPr>
            <w:r w:rsidRPr="00454B47">
              <w:rPr>
                <w:rFonts w:hint="cs"/>
                <w:sz w:val="17"/>
                <w:szCs w:val="17"/>
                <w:shd w:val="clear" w:color="auto" w:fill="E4FFDF"/>
              </w:rPr>
              <w:t xml:space="preserve"> </w:t>
            </w:r>
            <w:r w:rsidRPr="00454B47">
              <w:rPr>
                <w:rFonts w:hint="cs"/>
                <w:sz w:val="17"/>
                <w:szCs w:val="17"/>
                <w:rtl/>
              </w:rPr>
              <w:t>אילו החובות שאינם צוברים היו צוברים ריבית לפי התנאים המקוריים היו נרשמות הכנסות ריבית בסך ___ ש"ח</w:t>
            </w:r>
            <w:r>
              <w:rPr>
                <w:sz w:val="17"/>
                <w:szCs w:val="17"/>
              </w:rPr>
              <w:t xml:space="preserve"> </w:t>
            </w:r>
            <w:r>
              <w:rPr>
                <w:rFonts w:hint="cs"/>
                <w:sz w:val="17"/>
                <w:szCs w:val="17"/>
                <w:rtl/>
              </w:rPr>
              <w:t>(</w:t>
            </w:r>
            <w:r w:rsidRPr="00454B47">
              <w:rPr>
                <w:sz w:val="17"/>
                <w:szCs w:val="17"/>
                <w:rtl/>
              </w:rPr>
              <w:t>ל</w:t>
            </w:r>
            <w:r>
              <w:rPr>
                <w:rFonts w:hint="cs"/>
                <w:sz w:val="17"/>
                <w:szCs w:val="17"/>
                <w:rtl/>
              </w:rPr>
              <w:t>תקופה שהסתיימה ב-</w:t>
            </w:r>
            <w:r w:rsidRPr="00454B47">
              <w:rPr>
                <w:sz w:val="17"/>
                <w:szCs w:val="17"/>
                <w:rtl/>
              </w:rPr>
              <w:t xml:space="preserve"> </w:t>
            </w:r>
            <w:r w:rsidRPr="00454B47">
              <w:rPr>
                <w:rFonts w:hint="cs"/>
                <w:sz w:val="17"/>
                <w:szCs w:val="17"/>
                <w:rtl/>
              </w:rPr>
              <w:t>30</w:t>
            </w:r>
            <w:r w:rsidRPr="00454B47">
              <w:rPr>
                <w:sz w:val="17"/>
                <w:szCs w:val="17"/>
                <w:rtl/>
              </w:rPr>
              <w:t xml:space="preserve"> </w:t>
            </w:r>
            <w:r w:rsidRPr="00454B47">
              <w:rPr>
                <w:rFonts w:hint="cs"/>
                <w:sz w:val="17"/>
                <w:szCs w:val="17"/>
                <w:rtl/>
              </w:rPr>
              <w:t>ביוני</w:t>
            </w:r>
            <w:r w:rsidRPr="00454B47">
              <w:rPr>
                <w:sz w:val="17"/>
                <w:szCs w:val="17"/>
                <w:rtl/>
              </w:rPr>
              <w:t xml:space="preserve"> </w:t>
            </w:r>
            <w:r w:rsidRPr="00454B47">
              <w:rPr>
                <w:sz w:val="17"/>
                <w:szCs w:val="17"/>
                <w:rtl/>
              </w:rPr>
              <w:fldChar w:fldCharType="begin"/>
            </w:r>
            <w:r w:rsidRPr="00454B47">
              <w:rPr>
                <w:sz w:val="17"/>
                <w:szCs w:val="17"/>
                <w:rtl/>
              </w:rPr>
              <w:instrText xml:space="preserve"> </w:instrText>
            </w:r>
            <w:r w:rsidRPr="00454B47">
              <w:rPr>
                <w:rFonts w:hint="cs"/>
                <w:sz w:val="17"/>
                <w:szCs w:val="17"/>
                <w:rtl/>
              </w:rPr>
              <w:instrText xml:space="preserve">= </w:instrText>
            </w:r>
            <w:r w:rsidRPr="00454B47">
              <w:rPr>
                <w:rFonts w:hint="cs"/>
                <w:sz w:val="17"/>
                <w:szCs w:val="17"/>
              </w:rPr>
              <w:instrText>CY</w:instrText>
            </w:r>
            <w:r>
              <w:rPr>
                <w:sz w:val="17"/>
                <w:szCs w:val="17"/>
              </w:rPr>
              <w:instrText>-1</w:instrText>
            </w:r>
            <w:r w:rsidRPr="00454B47">
              <w:rPr>
                <w:rFonts w:hint="cs"/>
                <w:sz w:val="17"/>
                <w:szCs w:val="17"/>
              </w:rPr>
              <w:instrText xml:space="preserve"> \* MERGEFORMAT</w:instrText>
            </w:r>
            <w:r w:rsidRPr="00454B47">
              <w:rPr>
                <w:sz w:val="17"/>
                <w:szCs w:val="17"/>
                <w:rtl/>
              </w:rPr>
              <w:instrText xml:space="preserve"> </w:instrText>
            </w:r>
            <w:r w:rsidRPr="00454B47">
              <w:rPr>
                <w:sz w:val="17"/>
                <w:szCs w:val="17"/>
                <w:rtl/>
              </w:rPr>
              <w:fldChar w:fldCharType="separate"/>
            </w:r>
            <w:r>
              <w:rPr>
                <w:noProof/>
                <w:sz w:val="17"/>
                <w:szCs w:val="17"/>
                <w:rtl/>
              </w:rPr>
              <w:t>2023</w:t>
            </w:r>
            <w:r w:rsidRPr="00454B47">
              <w:rPr>
                <w:sz w:val="17"/>
                <w:szCs w:val="17"/>
                <w:rtl/>
              </w:rPr>
              <w:fldChar w:fldCharType="end"/>
            </w:r>
            <w:r w:rsidRPr="00454B47">
              <w:rPr>
                <w:rFonts w:hint="cs"/>
                <w:sz w:val="17"/>
                <w:szCs w:val="17"/>
                <w:rtl/>
              </w:rPr>
              <w:t xml:space="preserve"> בסך ___ </w:t>
            </w:r>
            <w:r>
              <w:rPr>
                <w:rFonts w:hint="cs"/>
                <w:sz w:val="17"/>
                <w:szCs w:val="17"/>
                <w:rtl/>
              </w:rPr>
              <w:t>ש"ח).</w:t>
            </w:r>
          </w:p>
        </w:tc>
      </w:tr>
      <w:tr w:rsidR="005B573E" w:rsidRPr="009E7447" w14:paraId="329668CB" w14:textId="77777777" w:rsidTr="005B573E">
        <w:trPr>
          <w:trHeight w:val="245"/>
        </w:trPr>
        <w:tc>
          <w:tcPr>
            <w:tcW w:w="217" w:type="pct"/>
            <w:shd w:val="clear" w:color="auto" w:fill="auto"/>
          </w:tcPr>
          <w:p w14:paraId="2CD2AD2A" w14:textId="77777777" w:rsidR="005B573E" w:rsidRPr="009E7447" w:rsidRDefault="005B573E" w:rsidP="00400DD1">
            <w:pPr>
              <w:spacing w:line="240" w:lineRule="exact"/>
              <w:rPr>
                <w:sz w:val="18"/>
                <w:szCs w:val="18"/>
                <w:rtl/>
              </w:rPr>
            </w:pPr>
          </w:p>
        </w:tc>
        <w:tc>
          <w:tcPr>
            <w:tcW w:w="4783" w:type="pct"/>
            <w:tcBorders>
              <w:left w:val="nil"/>
            </w:tcBorders>
            <w:shd w:val="clear" w:color="auto" w:fill="auto"/>
          </w:tcPr>
          <w:p w14:paraId="1441924E" w14:textId="377165C8" w:rsidR="005B573E" w:rsidRPr="00454B47" w:rsidRDefault="005B573E" w:rsidP="00400DD1">
            <w:pPr>
              <w:numPr>
                <w:ilvl w:val="0"/>
                <w:numId w:val="23"/>
              </w:numPr>
              <w:spacing w:after="60"/>
              <w:ind w:left="357" w:hanging="357"/>
              <w:rPr>
                <w:sz w:val="17"/>
                <w:szCs w:val="17"/>
                <w:rtl/>
              </w:rPr>
            </w:pPr>
            <w:r w:rsidRPr="00454B47">
              <w:rPr>
                <w:rFonts w:hint="cs"/>
                <w:sz w:val="17"/>
                <w:szCs w:val="17"/>
                <w:rtl/>
              </w:rPr>
              <w:t xml:space="preserve">סך יתרת החוב הרשומה הממוצעת של חובות לא צוברים לתקופה שהסתיימה </w:t>
            </w:r>
            <w:r w:rsidRPr="00454B47">
              <w:rPr>
                <w:sz w:val="17"/>
                <w:szCs w:val="17"/>
                <w:rtl/>
              </w:rPr>
              <w:t xml:space="preserve">ליום </w:t>
            </w:r>
            <w:r w:rsidRPr="00454B47">
              <w:rPr>
                <w:rFonts w:hint="cs"/>
                <w:sz w:val="17"/>
                <w:szCs w:val="17"/>
                <w:rtl/>
              </w:rPr>
              <w:t>30</w:t>
            </w:r>
            <w:r w:rsidRPr="00454B47">
              <w:rPr>
                <w:sz w:val="17"/>
                <w:szCs w:val="17"/>
                <w:rtl/>
              </w:rPr>
              <w:t xml:space="preserve"> </w:t>
            </w:r>
            <w:r w:rsidRPr="00454B47">
              <w:rPr>
                <w:rFonts w:hint="cs"/>
                <w:sz w:val="17"/>
                <w:szCs w:val="17"/>
                <w:rtl/>
              </w:rPr>
              <w:t>ביוני</w:t>
            </w:r>
            <w:r w:rsidRPr="00454B47">
              <w:rPr>
                <w:sz w:val="17"/>
                <w:szCs w:val="17"/>
                <w:rtl/>
              </w:rPr>
              <w:t xml:space="preserve"> </w:t>
            </w:r>
            <w:r w:rsidRPr="00454B47">
              <w:rPr>
                <w:sz w:val="17"/>
                <w:szCs w:val="17"/>
                <w:rtl/>
              </w:rPr>
              <w:fldChar w:fldCharType="begin"/>
            </w:r>
            <w:r w:rsidRPr="00454B47">
              <w:rPr>
                <w:sz w:val="17"/>
                <w:szCs w:val="17"/>
                <w:rtl/>
              </w:rPr>
              <w:instrText xml:space="preserve"> </w:instrText>
            </w:r>
            <w:r w:rsidRPr="00454B47">
              <w:rPr>
                <w:rFonts w:hint="cs"/>
                <w:sz w:val="17"/>
                <w:szCs w:val="17"/>
                <w:rtl/>
              </w:rPr>
              <w:instrText xml:space="preserve">= </w:instrText>
            </w:r>
            <w:r w:rsidRPr="00454B47">
              <w:rPr>
                <w:rFonts w:hint="cs"/>
                <w:sz w:val="17"/>
                <w:szCs w:val="17"/>
              </w:rPr>
              <w:instrText>CY \* MERGEFORMAT</w:instrText>
            </w:r>
            <w:r w:rsidRPr="00454B47">
              <w:rPr>
                <w:sz w:val="17"/>
                <w:szCs w:val="17"/>
                <w:rtl/>
              </w:rPr>
              <w:instrText xml:space="preserve"> </w:instrText>
            </w:r>
            <w:r w:rsidRPr="00454B47">
              <w:rPr>
                <w:sz w:val="17"/>
                <w:szCs w:val="17"/>
                <w:rtl/>
              </w:rPr>
              <w:fldChar w:fldCharType="separate"/>
            </w:r>
            <w:r>
              <w:rPr>
                <w:noProof/>
                <w:sz w:val="17"/>
                <w:szCs w:val="17"/>
                <w:rtl/>
              </w:rPr>
              <w:t>2024</w:t>
            </w:r>
            <w:r w:rsidRPr="00454B47">
              <w:rPr>
                <w:sz w:val="17"/>
                <w:szCs w:val="17"/>
                <w:rtl/>
              </w:rPr>
              <w:fldChar w:fldCharType="end"/>
            </w:r>
            <w:r w:rsidRPr="00454B47">
              <w:rPr>
                <w:rFonts w:hint="cs"/>
                <w:sz w:val="17"/>
                <w:szCs w:val="17"/>
                <w:rtl/>
              </w:rPr>
              <w:t xml:space="preserve"> הינה בסך ___ ש"ח</w:t>
            </w:r>
            <w:r w:rsidRPr="00454B47">
              <w:rPr>
                <w:sz w:val="17"/>
                <w:szCs w:val="17"/>
                <w:rtl/>
              </w:rPr>
              <w:t xml:space="preserve"> </w:t>
            </w:r>
            <w:r>
              <w:rPr>
                <w:rFonts w:hint="cs"/>
                <w:sz w:val="17"/>
                <w:szCs w:val="17"/>
                <w:rtl/>
              </w:rPr>
              <w:t>(</w:t>
            </w:r>
            <w:r w:rsidRPr="00454B47">
              <w:rPr>
                <w:sz w:val="17"/>
                <w:szCs w:val="17"/>
                <w:rtl/>
              </w:rPr>
              <w:t xml:space="preserve">ליום </w:t>
            </w:r>
            <w:r w:rsidRPr="00454B47">
              <w:rPr>
                <w:rFonts w:hint="cs"/>
                <w:sz w:val="17"/>
                <w:szCs w:val="17"/>
                <w:rtl/>
              </w:rPr>
              <w:t>30</w:t>
            </w:r>
            <w:r w:rsidRPr="00454B47">
              <w:rPr>
                <w:sz w:val="17"/>
                <w:szCs w:val="17"/>
                <w:rtl/>
              </w:rPr>
              <w:t xml:space="preserve"> </w:t>
            </w:r>
            <w:r w:rsidRPr="00454B47">
              <w:rPr>
                <w:rFonts w:hint="cs"/>
                <w:sz w:val="17"/>
                <w:szCs w:val="17"/>
                <w:rtl/>
              </w:rPr>
              <w:t>ביוני</w:t>
            </w:r>
            <w:r w:rsidRPr="00454B47">
              <w:rPr>
                <w:sz w:val="17"/>
                <w:szCs w:val="17"/>
                <w:rtl/>
              </w:rPr>
              <w:t xml:space="preserve"> </w:t>
            </w:r>
            <w:r w:rsidRPr="00454B47">
              <w:rPr>
                <w:sz w:val="17"/>
                <w:szCs w:val="17"/>
                <w:rtl/>
              </w:rPr>
              <w:fldChar w:fldCharType="begin"/>
            </w:r>
            <w:r w:rsidRPr="00454B47">
              <w:rPr>
                <w:sz w:val="17"/>
                <w:szCs w:val="17"/>
                <w:rtl/>
              </w:rPr>
              <w:instrText xml:space="preserve"> </w:instrText>
            </w:r>
            <w:r w:rsidRPr="00454B47">
              <w:rPr>
                <w:rFonts w:hint="cs"/>
                <w:sz w:val="17"/>
                <w:szCs w:val="17"/>
                <w:rtl/>
              </w:rPr>
              <w:instrText xml:space="preserve">= </w:instrText>
            </w:r>
            <w:r w:rsidRPr="00454B47">
              <w:rPr>
                <w:rFonts w:hint="cs"/>
                <w:sz w:val="17"/>
                <w:szCs w:val="17"/>
              </w:rPr>
              <w:instrText>CY</w:instrText>
            </w:r>
            <w:r>
              <w:rPr>
                <w:sz w:val="17"/>
                <w:szCs w:val="17"/>
              </w:rPr>
              <w:instrText>-1</w:instrText>
            </w:r>
            <w:r w:rsidRPr="00454B47">
              <w:rPr>
                <w:rFonts w:hint="cs"/>
                <w:sz w:val="17"/>
                <w:szCs w:val="17"/>
              </w:rPr>
              <w:instrText xml:space="preserve"> \* MERGEFORMAT</w:instrText>
            </w:r>
            <w:r w:rsidRPr="00454B47">
              <w:rPr>
                <w:sz w:val="17"/>
                <w:szCs w:val="17"/>
                <w:rtl/>
              </w:rPr>
              <w:instrText xml:space="preserve"> </w:instrText>
            </w:r>
            <w:r w:rsidRPr="00454B47">
              <w:rPr>
                <w:sz w:val="17"/>
                <w:szCs w:val="17"/>
                <w:rtl/>
              </w:rPr>
              <w:fldChar w:fldCharType="separate"/>
            </w:r>
            <w:r>
              <w:rPr>
                <w:noProof/>
                <w:sz w:val="17"/>
                <w:szCs w:val="17"/>
                <w:rtl/>
              </w:rPr>
              <w:t>2023</w:t>
            </w:r>
            <w:r w:rsidRPr="00454B47">
              <w:rPr>
                <w:sz w:val="17"/>
                <w:szCs w:val="17"/>
                <w:rtl/>
              </w:rPr>
              <w:fldChar w:fldCharType="end"/>
            </w:r>
            <w:r w:rsidRPr="00454B47">
              <w:rPr>
                <w:rFonts w:hint="cs"/>
                <w:sz w:val="17"/>
                <w:szCs w:val="17"/>
                <w:rtl/>
              </w:rPr>
              <w:t xml:space="preserve"> הינה בסך ___ </w:t>
            </w:r>
            <w:r>
              <w:rPr>
                <w:rFonts w:hint="cs"/>
                <w:sz w:val="17"/>
                <w:szCs w:val="17"/>
                <w:rtl/>
              </w:rPr>
              <w:t>ש"ח)</w:t>
            </w:r>
            <w:r w:rsidRPr="00454B47">
              <w:rPr>
                <w:rFonts w:hint="cs"/>
                <w:sz w:val="17"/>
                <w:szCs w:val="17"/>
                <w:rtl/>
              </w:rPr>
              <w:t>.</w:t>
            </w:r>
          </w:p>
        </w:tc>
      </w:tr>
      <w:tr w:rsidR="005B573E" w:rsidRPr="009E7447" w14:paraId="593A47C9" w14:textId="77777777" w:rsidTr="005B573E">
        <w:trPr>
          <w:trHeight w:val="245"/>
        </w:trPr>
        <w:tc>
          <w:tcPr>
            <w:tcW w:w="217" w:type="pct"/>
            <w:shd w:val="clear" w:color="auto" w:fill="auto"/>
          </w:tcPr>
          <w:p w14:paraId="4F3EFEE6" w14:textId="77777777" w:rsidR="005B573E" w:rsidRPr="009E7447" w:rsidRDefault="005B573E" w:rsidP="00400DD1">
            <w:pPr>
              <w:spacing w:line="240" w:lineRule="exact"/>
              <w:rPr>
                <w:sz w:val="18"/>
                <w:szCs w:val="18"/>
                <w:rtl/>
              </w:rPr>
            </w:pPr>
          </w:p>
        </w:tc>
        <w:tc>
          <w:tcPr>
            <w:tcW w:w="4783" w:type="pct"/>
            <w:tcBorders>
              <w:left w:val="nil"/>
            </w:tcBorders>
            <w:shd w:val="clear" w:color="auto" w:fill="auto"/>
          </w:tcPr>
          <w:p w14:paraId="3E5EE314" w14:textId="77777777" w:rsidR="005B573E" w:rsidRPr="00454B47" w:rsidRDefault="005B573E" w:rsidP="00400DD1">
            <w:pPr>
              <w:numPr>
                <w:ilvl w:val="0"/>
                <w:numId w:val="23"/>
              </w:numPr>
              <w:spacing w:after="60"/>
              <w:ind w:left="357" w:hanging="357"/>
              <w:rPr>
                <w:sz w:val="17"/>
                <w:szCs w:val="17"/>
                <w:rtl/>
              </w:rPr>
            </w:pPr>
            <w:r w:rsidRPr="00454B47">
              <w:rPr>
                <w:rFonts w:hint="cs"/>
                <w:sz w:val="17"/>
                <w:szCs w:val="17"/>
                <w:rtl/>
              </w:rPr>
              <w:t>סכום הכנסות הריבית שנרשמו בתקופת הדיווח, בגין היתרה הממוצעת של החובות הלא צוברים.</w:t>
            </w:r>
          </w:p>
        </w:tc>
      </w:tr>
    </w:tbl>
    <w:p w14:paraId="6D610751" w14:textId="3298A8C0" w:rsidR="00B10CB3" w:rsidRPr="00454B47" w:rsidRDefault="00B10CB3">
      <w:pPr>
        <w:rPr>
          <w:rtl/>
        </w:rPr>
      </w:pPr>
    </w:p>
    <w:p w14:paraId="258EA5F1" w14:textId="77777777" w:rsidR="00B10CB3" w:rsidRDefault="00B10CB3">
      <w:pPr>
        <w:bidi w:val="0"/>
        <w:jc w:val="left"/>
      </w:pPr>
      <w:r>
        <w:rPr>
          <w:rtl/>
        </w:rPr>
        <w:br w:type="page"/>
      </w:r>
    </w:p>
    <w:p w14:paraId="65F7570A" w14:textId="77777777" w:rsidR="00F32A2A" w:rsidRDefault="00F32A2A">
      <w:pPr>
        <w:bidi w:val="0"/>
        <w:spacing w:line="14" w:lineRule="exact"/>
      </w:pPr>
    </w:p>
    <w:tbl>
      <w:tblPr>
        <w:bidiVisual/>
        <w:tblW w:w="5068" w:type="pct"/>
        <w:tblInd w:w="-4" w:type="dxa"/>
        <w:tblLook w:val="04A0" w:firstRow="1" w:lastRow="0" w:firstColumn="1" w:lastColumn="0" w:noHBand="0" w:noVBand="1"/>
      </w:tblPr>
      <w:tblGrid>
        <w:gridCol w:w="1132"/>
        <w:gridCol w:w="424"/>
        <w:gridCol w:w="8790"/>
      </w:tblGrid>
      <w:tr w:rsidR="00FC112F" w:rsidRPr="009E7447" w14:paraId="72CFE72F" w14:textId="77777777" w:rsidTr="005B573E">
        <w:trPr>
          <w:trHeight w:val="259"/>
        </w:trPr>
        <w:tc>
          <w:tcPr>
            <w:tcW w:w="547" w:type="pct"/>
          </w:tcPr>
          <w:p w14:paraId="19F7214A" w14:textId="77777777" w:rsidR="00FC112F" w:rsidRPr="009E7447" w:rsidRDefault="00FC112F" w:rsidP="00400DD1">
            <w:pPr>
              <w:spacing w:after="60"/>
              <w:ind w:right="-144"/>
              <w:jc w:val="left"/>
              <w:rPr>
                <w:spacing w:val="-6"/>
                <w:sz w:val="14"/>
                <w:szCs w:val="14"/>
                <w:rtl/>
              </w:rPr>
            </w:pPr>
          </w:p>
        </w:tc>
        <w:tc>
          <w:tcPr>
            <w:tcW w:w="4453" w:type="pct"/>
            <w:gridSpan w:val="2"/>
          </w:tcPr>
          <w:p w14:paraId="38C4D944" w14:textId="77777777" w:rsidR="00FC112F" w:rsidRPr="009E7447" w:rsidRDefault="00FC112F" w:rsidP="00400DD1">
            <w:pPr>
              <w:spacing w:after="60"/>
              <w:rPr>
                <w:b/>
                <w:bCs/>
                <w:sz w:val="22"/>
                <w:szCs w:val="22"/>
                <w:rtl/>
              </w:rPr>
            </w:pPr>
            <w:r w:rsidRPr="009E7447">
              <w:rPr>
                <w:b/>
                <w:bCs/>
                <w:sz w:val="22"/>
                <w:szCs w:val="22"/>
                <w:rtl/>
              </w:rPr>
              <w:t xml:space="preserve">ביאור </w:t>
            </w:r>
            <w:r w:rsidRPr="009E7447">
              <w:rPr>
                <w:rFonts w:hint="cs"/>
                <w:b/>
                <w:bCs/>
                <w:sz w:val="22"/>
                <w:szCs w:val="22"/>
                <w:rtl/>
              </w:rPr>
              <w:t>12</w:t>
            </w:r>
            <w:r w:rsidRPr="009E7447">
              <w:rPr>
                <w:b/>
                <w:bCs/>
                <w:sz w:val="22"/>
                <w:szCs w:val="22"/>
                <w:rtl/>
              </w:rPr>
              <w:t xml:space="preserve">  -  </w:t>
            </w:r>
            <w:r w:rsidRPr="009E7447">
              <w:rPr>
                <w:rFonts w:hint="cs"/>
                <w:b/>
                <w:bCs/>
                <w:sz w:val="22"/>
                <w:szCs w:val="22"/>
                <w:rtl/>
              </w:rPr>
              <w:t xml:space="preserve">מידע נוסף על </w:t>
            </w:r>
            <w:r w:rsidRPr="009E7447">
              <w:rPr>
                <w:b/>
                <w:bCs/>
                <w:sz w:val="22"/>
                <w:szCs w:val="22"/>
                <w:rtl/>
              </w:rPr>
              <w:t>סיכון אשראי, אשראי לציבור והפרשה להפסדי אשראי</w:t>
            </w:r>
            <w:r w:rsidRPr="009E7447">
              <w:rPr>
                <w:rFonts w:hint="cs"/>
                <w:b/>
                <w:bCs/>
                <w:sz w:val="22"/>
                <w:szCs w:val="22"/>
                <w:rtl/>
              </w:rPr>
              <w:t xml:space="preserve"> (המשך):</w:t>
            </w:r>
          </w:p>
        </w:tc>
      </w:tr>
      <w:tr w:rsidR="00FC112F" w:rsidRPr="009E7447" w14:paraId="61F08BD0" w14:textId="77777777" w:rsidTr="005B573E">
        <w:tblPrEx>
          <w:jc w:val="right"/>
          <w:tblInd w:w="0" w:type="dxa"/>
          <w:tblLook w:val="0000" w:firstRow="0" w:lastRow="0" w:firstColumn="0" w:lastColumn="0" w:noHBand="0" w:noVBand="0"/>
        </w:tblPrEx>
        <w:trPr>
          <w:trHeight w:val="245"/>
          <w:jc w:val="right"/>
        </w:trPr>
        <w:tc>
          <w:tcPr>
            <w:tcW w:w="547" w:type="pct"/>
          </w:tcPr>
          <w:p w14:paraId="2CE4DBFA" w14:textId="77777777" w:rsidR="00FC112F" w:rsidRPr="009E7447" w:rsidRDefault="00FC112F" w:rsidP="00400DD1">
            <w:pPr>
              <w:spacing w:before="100" w:after="60"/>
              <w:rPr>
                <w:spacing w:val="-4"/>
                <w:rtl/>
              </w:rPr>
            </w:pPr>
          </w:p>
        </w:tc>
        <w:tc>
          <w:tcPr>
            <w:tcW w:w="205" w:type="pct"/>
          </w:tcPr>
          <w:p w14:paraId="62D7E0DB" w14:textId="77777777" w:rsidR="00FC112F" w:rsidRPr="009E7447" w:rsidRDefault="00FC112F" w:rsidP="00400DD1">
            <w:pPr>
              <w:spacing w:before="60" w:after="60"/>
              <w:jc w:val="left"/>
              <w:rPr>
                <w:b/>
                <w:bCs/>
                <w:rtl/>
              </w:rPr>
            </w:pPr>
            <w:r>
              <w:rPr>
                <w:rFonts w:hint="cs"/>
                <w:b/>
                <w:bCs/>
                <w:rtl/>
              </w:rPr>
              <w:t>ב</w:t>
            </w:r>
            <w:r w:rsidRPr="009E7447">
              <w:rPr>
                <w:rFonts w:hint="cs"/>
                <w:b/>
                <w:bCs/>
                <w:rtl/>
              </w:rPr>
              <w:t>.</w:t>
            </w:r>
          </w:p>
        </w:tc>
        <w:tc>
          <w:tcPr>
            <w:tcW w:w="4249" w:type="pct"/>
          </w:tcPr>
          <w:p w14:paraId="0EDA2600" w14:textId="77777777" w:rsidR="00FC112F" w:rsidRPr="009E7447" w:rsidRDefault="00FC112F" w:rsidP="00400DD1">
            <w:pPr>
              <w:spacing w:before="60" w:after="60" w:line="180" w:lineRule="exact"/>
              <w:jc w:val="left"/>
              <w:rPr>
                <w:b/>
                <w:bCs/>
                <w:rtl/>
              </w:rPr>
            </w:pPr>
            <w:r w:rsidRPr="009E7447">
              <w:rPr>
                <w:rFonts w:hint="cs"/>
                <w:b/>
                <w:bCs/>
                <w:rtl/>
              </w:rPr>
              <w:t>אשראי לציבור</w:t>
            </w:r>
            <w:r w:rsidRPr="009E7447">
              <w:rPr>
                <w:b/>
                <w:bCs/>
                <w:rtl/>
              </w:rPr>
              <w:t xml:space="preserve"> (המשך):</w:t>
            </w:r>
          </w:p>
        </w:tc>
      </w:tr>
      <w:tr w:rsidR="00FC112F" w:rsidRPr="009E7447" w14:paraId="48BA3238" w14:textId="77777777" w:rsidTr="005B573E">
        <w:tblPrEx>
          <w:jc w:val="right"/>
          <w:tblInd w:w="0" w:type="dxa"/>
          <w:tblLook w:val="0000" w:firstRow="0" w:lastRow="0" w:firstColumn="0" w:lastColumn="0" w:noHBand="0" w:noVBand="0"/>
        </w:tblPrEx>
        <w:trPr>
          <w:trHeight w:val="325"/>
          <w:jc w:val="right"/>
        </w:trPr>
        <w:tc>
          <w:tcPr>
            <w:tcW w:w="547" w:type="pct"/>
          </w:tcPr>
          <w:p w14:paraId="6430A525" w14:textId="77777777" w:rsidR="00FC112F" w:rsidRPr="009E7447" w:rsidRDefault="00FC112F" w:rsidP="00400DD1">
            <w:pPr>
              <w:bidi w:val="0"/>
              <w:spacing w:before="60" w:after="60"/>
              <w:jc w:val="right"/>
            </w:pPr>
          </w:p>
        </w:tc>
        <w:tc>
          <w:tcPr>
            <w:tcW w:w="205" w:type="pct"/>
          </w:tcPr>
          <w:p w14:paraId="393C5C93" w14:textId="77777777" w:rsidR="00FC112F" w:rsidRPr="009E7447" w:rsidRDefault="00FC112F" w:rsidP="00400DD1">
            <w:pPr>
              <w:spacing w:before="60" w:after="60"/>
              <w:jc w:val="left"/>
              <w:rPr>
                <w:b/>
                <w:bCs/>
                <w:rtl/>
              </w:rPr>
            </w:pPr>
          </w:p>
        </w:tc>
        <w:tc>
          <w:tcPr>
            <w:tcW w:w="4249" w:type="pct"/>
            <w:tcBorders>
              <w:left w:val="nil"/>
            </w:tcBorders>
          </w:tcPr>
          <w:p w14:paraId="5BB84EF7" w14:textId="77777777" w:rsidR="00FC112F" w:rsidRPr="009E7447" w:rsidRDefault="00FC112F" w:rsidP="00400DD1">
            <w:pPr>
              <w:tabs>
                <w:tab w:val="left" w:pos="446"/>
              </w:tabs>
              <w:spacing w:before="60" w:after="60" w:line="180" w:lineRule="exact"/>
              <w:ind w:left="448" w:hanging="448"/>
              <w:rPr>
                <w:b/>
                <w:bCs/>
                <w:rtl/>
              </w:rPr>
            </w:pPr>
            <w:r>
              <w:rPr>
                <w:rFonts w:hint="cs"/>
                <w:b/>
                <w:bCs/>
                <w:rtl/>
              </w:rPr>
              <w:t>2</w:t>
            </w:r>
            <w:r w:rsidRPr="009E7447">
              <w:rPr>
                <w:b/>
                <w:bCs/>
                <w:rtl/>
              </w:rPr>
              <w:t>.</w:t>
            </w:r>
            <w:r>
              <w:rPr>
                <w:rFonts w:hint="cs"/>
                <w:b/>
                <w:bCs/>
                <w:rtl/>
              </w:rPr>
              <w:t xml:space="preserve">א.   </w:t>
            </w:r>
            <w:r w:rsidRPr="009E7447">
              <w:rPr>
                <w:rFonts w:hint="cs"/>
                <w:b/>
                <w:bCs/>
                <w:rtl/>
              </w:rPr>
              <w:t xml:space="preserve">מידע נוסף על </w:t>
            </w:r>
            <w:r w:rsidRPr="00EB3D07">
              <w:rPr>
                <w:rFonts w:hint="cs"/>
                <w:b/>
                <w:bCs/>
                <w:rtl/>
              </w:rPr>
              <w:t>חובות לא צוברים</w:t>
            </w:r>
            <w:r>
              <w:rPr>
                <w:rFonts w:hint="cs"/>
                <w:b/>
                <w:bCs/>
                <w:rtl/>
              </w:rPr>
              <w:t xml:space="preserve"> (המשך):</w:t>
            </w:r>
          </w:p>
        </w:tc>
      </w:tr>
    </w:tbl>
    <w:p w14:paraId="21B5FFA8" w14:textId="77777777" w:rsidR="005B573E" w:rsidRDefault="005B573E"/>
    <w:tbl>
      <w:tblPr>
        <w:bidiVisual/>
        <w:tblW w:w="5077" w:type="pct"/>
        <w:tblInd w:w="-4" w:type="dxa"/>
        <w:tblLook w:val="01E0" w:firstRow="1" w:lastRow="1" w:firstColumn="1" w:lastColumn="1" w:noHBand="0" w:noVBand="0"/>
      </w:tblPr>
      <w:tblGrid>
        <w:gridCol w:w="1124"/>
        <w:gridCol w:w="3118"/>
        <w:gridCol w:w="1145"/>
        <w:gridCol w:w="775"/>
        <w:gridCol w:w="1296"/>
        <w:gridCol w:w="997"/>
        <w:gridCol w:w="1057"/>
        <w:gridCol w:w="852"/>
      </w:tblGrid>
      <w:tr w:rsidR="005B573E" w:rsidRPr="009E7447" w14:paraId="77ADF697" w14:textId="77777777" w:rsidTr="005B573E">
        <w:trPr>
          <w:trHeight w:val="259"/>
        </w:trPr>
        <w:tc>
          <w:tcPr>
            <w:tcW w:w="542" w:type="pct"/>
          </w:tcPr>
          <w:p w14:paraId="2A257C0A" w14:textId="77777777" w:rsidR="005B573E" w:rsidRPr="009E7447" w:rsidRDefault="005B573E" w:rsidP="00400DD1">
            <w:pPr>
              <w:rPr>
                <w:sz w:val="14"/>
                <w:szCs w:val="14"/>
                <w:rtl/>
              </w:rPr>
            </w:pPr>
          </w:p>
        </w:tc>
        <w:tc>
          <w:tcPr>
            <w:tcW w:w="1504" w:type="pct"/>
            <w:tcBorders>
              <w:left w:val="nil"/>
            </w:tcBorders>
            <w:vAlign w:val="bottom"/>
          </w:tcPr>
          <w:p w14:paraId="5812A9CD" w14:textId="77777777" w:rsidR="005B573E" w:rsidRPr="009E7447" w:rsidRDefault="005B573E" w:rsidP="00400DD1">
            <w:pPr>
              <w:spacing w:line="241" w:lineRule="auto"/>
              <w:ind w:left="144" w:hanging="144"/>
              <w:jc w:val="left"/>
              <w:rPr>
                <w:color w:val="000000"/>
                <w:rtl/>
                <w:lang w:eastAsia="he-IL"/>
              </w:rPr>
            </w:pPr>
          </w:p>
        </w:tc>
        <w:tc>
          <w:tcPr>
            <w:tcW w:w="2953" w:type="pct"/>
            <w:gridSpan w:val="6"/>
            <w:vAlign w:val="bottom"/>
          </w:tcPr>
          <w:p w14:paraId="5F090266" w14:textId="17F9ECA6" w:rsidR="005B573E" w:rsidRPr="009E7447" w:rsidRDefault="005B573E" w:rsidP="00400DD1">
            <w:pPr>
              <w:pBdr>
                <w:bottom w:val="single" w:sz="6" w:space="1" w:color="auto"/>
              </w:pBdr>
              <w:spacing w:line="241" w:lineRule="auto"/>
              <w:jc w:val="center"/>
              <w:rPr>
                <w:b/>
                <w:bCs/>
                <w:color w:val="000000"/>
                <w:sz w:val="24"/>
                <w:szCs w:val="24"/>
                <w:rtl/>
                <w:lang w:eastAsia="he-IL"/>
              </w:rPr>
            </w:pPr>
            <w:r w:rsidRPr="009E7447">
              <w:rPr>
                <w:rFonts w:hint="cs"/>
                <w:b/>
                <w:bCs/>
                <w:sz w:val="18"/>
                <w:szCs w:val="18"/>
                <w:rtl/>
              </w:rPr>
              <w:t xml:space="preserve">ליום </w:t>
            </w:r>
            <w:r>
              <w:rPr>
                <w:rFonts w:hint="cs"/>
                <w:b/>
                <w:bCs/>
                <w:sz w:val="18"/>
                <w:szCs w:val="18"/>
                <w:rtl/>
              </w:rPr>
              <w:t>31</w:t>
            </w:r>
            <w:r w:rsidRPr="009E7447">
              <w:rPr>
                <w:rFonts w:hint="cs"/>
                <w:b/>
                <w:bCs/>
                <w:sz w:val="18"/>
                <w:szCs w:val="18"/>
                <w:rtl/>
              </w:rPr>
              <w:t xml:space="preserve"> </w:t>
            </w:r>
            <w:r>
              <w:rPr>
                <w:rFonts w:hint="cs"/>
                <w:b/>
                <w:bCs/>
                <w:sz w:val="18"/>
                <w:szCs w:val="18"/>
                <w:rtl/>
              </w:rPr>
              <w:t xml:space="preserve">בדצמבר </w:t>
            </w:r>
            <w:r w:rsidRPr="00461486">
              <w:rPr>
                <w:b/>
                <w:bCs/>
                <w:sz w:val="18"/>
                <w:szCs w:val="18"/>
                <w:rtl/>
              </w:rPr>
              <w:fldChar w:fldCharType="begin"/>
            </w:r>
            <w:r w:rsidRPr="00461486">
              <w:rPr>
                <w:b/>
                <w:bCs/>
                <w:sz w:val="18"/>
                <w:szCs w:val="18"/>
                <w:rtl/>
              </w:rPr>
              <w:instrText xml:space="preserve"> </w:instrText>
            </w:r>
            <w:r w:rsidRPr="00461486">
              <w:rPr>
                <w:rFonts w:hint="cs"/>
                <w:b/>
                <w:bCs/>
                <w:sz w:val="18"/>
                <w:szCs w:val="18"/>
                <w:rtl/>
              </w:rPr>
              <w:instrText xml:space="preserve">= </w:instrText>
            </w:r>
            <w:r w:rsidRPr="00461486">
              <w:rPr>
                <w:rFonts w:hint="cs"/>
                <w:b/>
                <w:bCs/>
                <w:sz w:val="18"/>
                <w:szCs w:val="18"/>
              </w:rPr>
              <w:instrText>CY</w:instrText>
            </w:r>
            <w:r>
              <w:rPr>
                <w:b/>
                <w:bCs/>
                <w:sz w:val="18"/>
                <w:szCs w:val="18"/>
              </w:rPr>
              <w:instrText>-1</w:instrText>
            </w:r>
            <w:r w:rsidRPr="00461486">
              <w:rPr>
                <w:rFonts w:hint="cs"/>
                <w:b/>
                <w:bCs/>
                <w:sz w:val="18"/>
                <w:szCs w:val="18"/>
              </w:rPr>
              <w:instrText xml:space="preserve"> \* MERGEFORMAT</w:instrText>
            </w:r>
            <w:r w:rsidRPr="00461486">
              <w:rPr>
                <w:b/>
                <w:bCs/>
                <w:sz w:val="18"/>
                <w:szCs w:val="18"/>
                <w:rtl/>
              </w:rPr>
              <w:instrText xml:space="preserve"> </w:instrText>
            </w:r>
            <w:r w:rsidRPr="00461486">
              <w:rPr>
                <w:b/>
                <w:bCs/>
                <w:sz w:val="18"/>
                <w:szCs w:val="18"/>
                <w:rtl/>
              </w:rPr>
              <w:fldChar w:fldCharType="separate"/>
            </w:r>
            <w:r>
              <w:rPr>
                <w:b/>
                <w:bCs/>
                <w:noProof/>
                <w:sz w:val="18"/>
                <w:szCs w:val="18"/>
                <w:rtl/>
              </w:rPr>
              <w:t>2023</w:t>
            </w:r>
            <w:r w:rsidRPr="00461486">
              <w:rPr>
                <w:b/>
                <w:bCs/>
                <w:sz w:val="18"/>
                <w:szCs w:val="18"/>
                <w:rtl/>
              </w:rPr>
              <w:fldChar w:fldCharType="end"/>
            </w:r>
            <w:r>
              <w:rPr>
                <w:rFonts w:hint="cs"/>
                <w:b/>
                <w:bCs/>
                <w:color w:val="000000"/>
                <w:sz w:val="24"/>
                <w:szCs w:val="24"/>
                <w:rtl/>
                <w:lang w:eastAsia="he-IL"/>
              </w:rPr>
              <w:t xml:space="preserve">  </w:t>
            </w:r>
            <w:r w:rsidRPr="000C0EF3">
              <w:rPr>
                <w:rFonts w:hint="cs"/>
                <w:sz w:val="18"/>
                <w:szCs w:val="18"/>
                <w:rtl/>
              </w:rPr>
              <w:t>(</w:t>
            </w:r>
            <w:r w:rsidRPr="000C0EF3">
              <w:rPr>
                <w:rFonts w:hint="eastAsia"/>
                <w:sz w:val="18"/>
                <w:szCs w:val="18"/>
                <w:rtl/>
              </w:rPr>
              <w:t>מבוקר</w:t>
            </w:r>
            <w:r w:rsidRPr="000C0EF3">
              <w:rPr>
                <w:rFonts w:hint="cs"/>
                <w:sz w:val="18"/>
                <w:szCs w:val="18"/>
                <w:rtl/>
              </w:rPr>
              <w:t>)</w:t>
            </w:r>
          </w:p>
        </w:tc>
      </w:tr>
      <w:tr w:rsidR="005B573E" w:rsidRPr="009E7447" w14:paraId="22A64600" w14:textId="77777777" w:rsidTr="005B573E">
        <w:trPr>
          <w:trHeight w:val="259"/>
        </w:trPr>
        <w:tc>
          <w:tcPr>
            <w:tcW w:w="542" w:type="pct"/>
            <w:shd w:val="clear" w:color="auto" w:fill="auto"/>
          </w:tcPr>
          <w:p w14:paraId="4DAEF6F5" w14:textId="77777777" w:rsidR="005B573E" w:rsidRPr="009E7447" w:rsidRDefault="005B573E" w:rsidP="00400DD1">
            <w:pPr>
              <w:spacing w:before="60"/>
              <w:ind w:right="-142"/>
              <w:jc w:val="left"/>
              <w:rPr>
                <w:spacing w:val="-6"/>
                <w:sz w:val="14"/>
                <w:szCs w:val="14"/>
                <w:rtl/>
              </w:rPr>
            </w:pPr>
          </w:p>
        </w:tc>
        <w:tc>
          <w:tcPr>
            <w:tcW w:w="1504" w:type="pct"/>
            <w:tcBorders>
              <w:left w:val="nil"/>
            </w:tcBorders>
            <w:vAlign w:val="bottom"/>
          </w:tcPr>
          <w:p w14:paraId="0AED8D42" w14:textId="77777777" w:rsidR="005B573E" w:rsidRPr="009E7447" w:rsidRDefault="005B573E" w:rsidP="00400DD1">
            <w:pPr>
              <w:spacing w:line="241" w:lineRule="auto"/>
              <w:ind w:left="144" w:hanging="144"/>
              <w:jc w:val="left"/>
              <w:rPr>
                <w:color w:val="000000"/>
                <w:rtl/>
                <w:lang w:eastAsia="he-IL"/>
              </w:rPr>
            </w:pPr>
          </w:p>
        </w:tc>
        <w:tc>
          <w:tcPr>
            <w:tcW w:w="552" w:type="pct"/>
            <w:vAlign w:val="bottom"/>
          </w:tcPr>
          <w:p w14:paraId="5650CC7B" w14:textId="77777777" w:rsidR="005B573E" w:rsidRPr="009E7447" w:rsidRDefault="005B573E" w:rsidP="00400DD1">
            <w:pPr>
              <w:pBdr>
                <w:bottom w:val="single" w:sz="6" w:space="1" w:color="auto"/>
              </w:pBdr>
              <w:spacing w:before="30"/>
              <w:jc w:val="center"/>
              <w:rPr>
                <w:sz w:val="16"/>
                <w:szCs w:val="16"/>
                <w:rtl/>
              </w:rPr>
            </w:pPr>
            <w:r w:rsidRPr="009E7447">
              <w:rPr>
                <w:rFonts w:hint="cs"/>
                <w:b/>
                <w:bCs/>
                <w:sz w:val="16"/>
                <w:szCs w:val="16"/>
                <w:rtl/>
              </w:rPr>
              <w:t>יתרת</w:t>
            </w:r>
            <w:r w:rsidRPr="009E7447">
              <w:rPr>
                <w:b/>
                <w:bCs/>
                <w:sz w:val="18"/>
                <w:szCs w:val="18"/>
                <w:vertAlign w:val="superscript"/>
                <w:rtl/>
              </w:rPr>
              <w:t>(</w:t>
            </w:r>
            <w:r w:rsidRPr="009E7447">
              <w:rPr>
                <w:rFonts w:hint="cs"/>
                <w:b/>
                <w:bCs/>
                <w:sz w:val="18"/>
                <w:szCs w:val="18"/>
                <w:vertAlign w:val="superscript"/>
                <w:rtl/>
              </w:rPr>
              <w:t>א</w:t>
            </w:r>
            <w:r w:rsidRPr="009E7447">
              <w:rPr>
                <w:b/>
                <w:bCs/>
                <w:sz w:val="18"/>
                <w:szCs w:val="18"/>
                <w:vertAlign w:val="superscript"/>
                <w:rtl/>
              </w:rPr>
              <w:t>)</w:t>
            </w:r>
            <w:r w:rsidRPr="009E7447">
              <w:rPr>
                <w:rFonts w:hint="cs"/>
                <w:b/>
                <w:bCs/>
                <w:sz w:val="16"/>
                <w:szCs w:val="16"/>
                <w:rtl/>
              </w:rPr>
              <w:t xml:space="preserve"> חובות </w:t>
            </w:r>
            <w:r w:rsidRPr="00EB3D07">
              <w:rPr>
                <w:rFonts w:hint="cs"/>
                <w:b/>
                <w:bCs/>
                <w:sz w:val="16"/>
                <w:szCs w:val="16"/>
                <w:rtl/>
              </w:rPr>
              <w:t>לא צוברים</w:t>
            </w:r>
            <w:r w:rsidRPr="009E7447">
              <w:rPr>
                <w:rFonts w:hint="cs"/>
                <w:b/>
                <w:bCs/>
                <w:sz w:val="16"/>
                <w:szCs w:val="16"/>
                <w:rtl/>
              </w:rPr>
              <w:t xml:space="preserve"> בגינם קיימת הפרשה </w:t>
            </w:r>
          </w:p>
        </w:tc>
        <w:tc>
          <w:tcPr>
            <w:tcW w:w="374" w:type="pct"/>
            <w:vAlign w:val="bottom"/>
          </w:tcPr>
          <w:p w14:paraId="74C16AAA" w14:textId="77777777" w:rsidR="005B573E" w:rsidRPr="009E7447" w:rsidRDefault="005B573E" w:rsidP="00400DD1">
            <w:pPr>
              <w:pBdr>
                <w:bottom w:val="single" w:sz="6" w:space="1" w:color="auto"/>
              </w:pBdr>
              <w:spacing w:before="20"/>
              <w:jc w:val="center"/>
              <w:rPr>
                <w:sz w:val="16"/>
                <w:szCs w:val="16"/>
                <w:rtl/>
              </w:rPr>
            </w:pPr>
            <w:r w:rsidRPr="009E7447">
              <w:rPr>
                <w:rFonts w:hint="cs"/>
                <w:b/>
                <w:bCs/>
                <w:sz w:val="16"/>
                <w:szCs w:val="16"/>
                <w:rtl/>
              </w:rPr>
              <w:t xml:space="preserve">יתרת הפרשה </w:t>
            </w:r>
          </w:p>
        </w:tc>
        <w:tc>
          <w:tcPr>
            <w:tcW w:w="625" w:type="pct"/>
            <w:vAlign w:val="bottom"/>
          </w:tcPr>
          <w:p w14:paraId="3B25EFBF" w14:textId="77777777" w:rsidR="005B573E" w:rsidRPr="009E7447" w:rsidRDefault="005B573E" w:rsidP="00400DD1">
            <w:pPr>
              <w:pBdr>
                <w:bottom w:val="single" w:sz="6" w:space="1" w:color="auto"/>
              </w:pBdr>
              <w:spacing w:before="30"/>
              <w:jc w:val="center"/>
              <w:rPr>
                <w:b/>
                <w:bCs/>
                <w:sz w:val="16"/>
                <w:szCs w:val="16"/>
                <w:rtl/>
              </w:rPr>
            </w:pPr>
            <w:r w:rsidRPr="009E7447">
              <w:rPr>
                <w:rFonts w:hint="cs"/>
                <w:b/>
                <w:bCs/>
                <w:sz w:val="16"/>
                <w:szCs w:val="16"/>
                <w:rtl/>
              </w:rPr>
              <w:t>יתרת</w:t>
            </w:r>
            <w:r w:rsidRPr="009E7447">
              <w:rPr>
                <w:b/>
                <w:bCs/>
                <w:sz w:val="18"/>
                <w:szCs w:val="18"/>
                <w:vertAlign w:val="superscript"/>
                <w:rtl/>
              </w:rPr>
              <w:t>(</w:t>
            </w:r>
            <w:r w:rsidRPr="009E7447">
              <w:rPr>
                <w:rFonts w:hint="cs"/>
                <w:b/>
                <w:bCs/>
                <w:sz w:val="18"/>
                <w:szCs w:val="18"/>
                <w:vertAlign w:val="superscript"/>
                <w:rtl/>
              </w:rPr>
              <w:t>א</w:t>
            </w:r>
            <w:r w:rsidRPr="009E7447">
              <w:rPr>
                <w:b/>
                <w:bCs/>
                <w:sz w:val="18"/>
                <w:szCs w:val="18"/>
                <w:vertAlign w:val="superscript"/>
                <w:rtl/>
              </w:rPr>
              <w:t>)</w:t>
            </w:r>
            <w:r w:rsidRPr="009E7447">
              <w:rPr>
                <w:rFonts w:hint="cs"/>
                <w:b/>
                <w:bCs/>
                <w:sz w:val="16"/>
                <w:szCs w:val="16"/>
                <w:rtl/>
              </w:rPr>
              <w:t xml:space="preserve"> חובות </w:t>
            </w:r>
            <w:r w:rsidRPr="00EB3D07">
              <w:rPr>
                <w:rFonts w:hint="cs"/>
                <w:b/>
                <w:bCs/>
                <w:sz w:val="16"/>
                <w:szCs w:val="16"/>
                <w:rtl/>
              </w:rPr>
              <w:t>לא צוברים</w:t>
            </w:r>
            <w:r w:rsidRPr="009E7447">
              <w:rPr>
                <w:rFonts w:hint="cs"/>
                <w:b/>
                <w:bCs/>
                <w:sz w:val="16"/>
                <w:szCs w:val="16"/>
                <w:rtl/>
              </w:rPr>
              <w:t xml:space="preserve"> בגינם לא קיימת הפרשה </w:t>
            </w:r>
          </w:p>
        </w:tc>
        <w:tc>
          <w:tcPr>
            <w:tcW w:w="481" w:type="pct"/>
            <w:vAlign w:val="bottom"/>
          </w:tcPr>
          <w:p w14:paraId="396B531F" w14:textId="77777777" w:rsidR="005B573E" w:rsidRPr="009E7447" w:rsidRDefault="005B573E" w:rsidP="00400DD1">
            <w:pPr>
              <w:pBdr>
                <w:bottom w:val="single" w:sz="6" w:space="1" w:color="auto"/>
              </w:pBdr>
              <w:spacing w:before="20"/>
              <w:jc w:val="center"/>
              <w:rPr>
                <w:b/>
                <w:bCs/>
                <w:sz w:val="16"/>
                <w:szCs w:val="16"/>
                <w:rtl/>
              </w:rPr>
            </w:pPr>
            <w:r w:rsidRPr="009E7447">
              <w:rPr>
                <w:rFonts w:hint="cs"/>
                <w:b/>
                <w:bCs/>
                <w:sz w:val="16"/>
                <w:szCs w:val="16"/>
                <w:rtl/>
              </w:rPr>
              <w:t>סך הכל יתרת</w:t>
            </w:r>
            <w:r w:rsidRPr="009E7447">
              <w:rPr>
                <w:b/>
                <w:bCs/>
                <w:sz w:val="16"/>
                <w:szCs w:val="16"/>
                <w:vertAlign w:val="superscript"/>
                <w:rtl/>
              </w:rPr>
              <w:t>(</w:t>
            </w:r>
            <w:r w:rsidRPr="009E7447">
              <w:rPr>
                <w:rFonts w:hint="cs"/>
                <w:b/>
                <w:bCs/>
                <w:sz w:val="16"/>
                <w:szCs w:val="16"/>
                <w:vertAlign w:val="superscript"/>
                <w:rtl/>
              </w:rPr>
              <w:t>א</w:t>
            </w:r>
            <w:r w:rsidRPr="009E7447">
              <w:rPr>
                <w:b/>
                <w:bCs/>
                <w:sz w:val="16"/>
                <w:szCs w:val="16"/>
                <w:vertAlign w:val="superscript"/>
                <w:rtl/>
              </w:rPr>
              <w:t>)</w:t>
            </w:r>
            <w:r w:rsidRPr="009E7447">
              <w:rPr>
                <w:rFonts w:hint="cs"/>
                <w:b/>
                <w:bCs/>
                <w:sz w:val="16"/>
                <w:szCs w:val="16"/>
                <w:rtl/>
              </w:rPr>
              <w:t xml:space="preserve"> </w:t>
            </w:r>
            <w:r w:rsidRPr="00EB3D07">
              <w:rPr>
                <w:rFonts w:hint="cs"/>
                <w:b/>
                <w:bCs/>
                <w:sz w:val="16"/>
                <w:szCs w:val="16"/>
                <w:rtl/>
              </w:rPr>
              <w:t>חובות לא צוברים</w:t>
            </w:r>
            <w:r w:rsidRPr="00EB3D07">
              <w:rPr>
                <w:rFonts w:hint="cs"/>
                <w:b/>
                <w:bCs/>
                <w:sz w:val="16"/>
                <w:szCs w:val="16"/>
                <w:vertAlign w:val="superscript"/>
                <w:rtl/>
              </w:rPr>
              <w:t>(</w:t>
            </w:r>
            <w:r w:rsidRPr="00C61EB4">
              <w:rPr>
                <w:rFonts w:hint="cs"/>
                <w:b/>
                <w:bCs/>
                <w:sz w:val="16"/>
                <w:szCs w:val="16"/>
                <w:vertAlign w:val="superscript"/>
                <w:rtl/>
              </w:rPr>
              <w:t>ב)(ג)</w:t>
            </w:r>
          </w:p>
        </w:tc>
        <w:tc>
          <w:tcPr>
            <w:tcW w:w="510" w:type="pct"/>
            <w:vAlign w:val="bottom"/>
          </w:tcPr>
          <w:p w14:paraId="656092D8" w14:textId="77777777" w:rsidR="005B573E" w:rsidRPr="009E7447" w:rsidRDefault="005B573E" w:rsidP="00400DD1">
            <w:pPr>
              <w:spacing w:before="20"/>
              <w:jc w:val="center"/>
              <w:rPr>
                <w:b/>
                <w:bCs/>
                <w:sz w:val="16"/>
                <w:szCs w:val="16"/>
                <w:rtl/>
              </w:rPr>
            </w:pPr>
            <w:r w:rsidRPr="009E7447">
              <w:rPr>
                <w:rFonts w:hint="cs"/>
                <w:b/>
                <w:bCs/>
                <w:sz w:val="16"/>
                <w:szCs w:val="16"/>
                <w:rtl/>
              </w:rPr>
              <w:t xml:space="preserve">יתרת קרן חוזית </w:t>
            </w:r>
          </w:p>
          <w:p w14:paraId="44EE465B" w14:textId="77777777" w:rsidR="005B573E" w:rsidRPr="009E7447" w:rsidRDefault="005B573E" w:rsidP="00400DD1">
            <w:pPr>
              <w:pBdr>
                <w:bottom w:val="single" w:sz="6" w:space="1" w:color="auto"/>
              </w:pBdr>
              <w:ind w:left="-28" w:right="-28"/>
              <w:jc w:val="center"/>
              <w:rPr>
                <w:b/>
                <w:bCs/>
                <w:sz w:val="16"/>
                <w:szCs w:val="16"/>
                <w:rtl/>
              </w:rPr>
            </w:pPr>
            <w:r w:rsidRPr="009E7447">
              <w:rPr>
                <w:rFonts w:hint="cs"/>
                <w:b/>
                <w:bCs/>
                <w:sz w:val="16"/>
                <w:szCs w:val="16"/>
                <w:rtl/>
              </w:rPr>
              <w:t xml:space="preserve">של </w:t>
            </w:r>
            <w:r w:rsidRPr="00EB3D07">
              <w:rPr>
                <w:rFonts w:hint="cs"/>
                <w:b/>
                <w:bCs/>
                <w:sz w:val="16"/>
                <w:szCs w:val="16"/>
                <w:rtl/>
              </w:rPr>
              <w:t>חובות לא צוברים</w:t>
            </w:r>
          </w:p>
        </w:tc>
        <w:tc>
          <w:tcPr>
            <w:tcW w:w="411" w:type="pct"/>
            <w:vAlign w:val="bottom"/>
          </w:tcPr>
          <w:p w14:paraId="040DDB64" w14:textId="77777777" w:rsidR="005B573E" w:rsidRPr="009E7447" w:rsidRDefault="005B573E" w:rsidP="00400DD1">
            <w:pPr>
              <w:pBdr>
                <w:bottom w:val="single" w:sz="6" w:space="1" w:color="auto"/>
              </w:pBdr>
              <w:ind w:left="-28" w:right="-28"/>
              <w:jc w:val="center"/>
              <w:rPr>
                <w:b/>
                <w:bCs/>
                <w:sz w:val="16"/>
                <w:szCs w:val="16"/>
                <w:rtl/>
              </w:rPr>
            </w:pPr>
            <w:r w:rsidRPr="00E01C9A">
              <w:rPr>
                <w:rFonts w:hint="cs"/>
                <w:b/>
                <w:bCs/>
                <w:sz w:val="16"/>
                <w:szCs w:val="16"/>
                <w:rtl/>
              </w:rPr>
              <w:t>הכנסות ריבית שנרשמו</w:t>
            </w:r>
            <w:r w:rsidRPr="009E7447">
              <w:rPr>
                <w:rFonts w:hint="cs"/>
                <w:b/>
                <w:bCs/>
                <w:sz w:val="16"/>
                <w:szCs w:val="16"/>
                <w:vertAlign w:val="superscript"/>
                <w:rtl/>
              </w:rPr>
              <w:t>[</w:t>
            </w:r>
            <w:r w:rsidRPr="009E7447">
              <w:rPr>
                <w:rFonts w:hint="cs"/>
                <w:b/>
                <w:bCs/>
                <w:vertAlign w:val="superscript"/>
                <w:rtl/>
              </w:rPr>
              <w:t>ד</w:t>
            </w:r>
            <w:r w:rsidRPr="009E7447">
              <w:rPr>
                <w:rFonts w:hint="cs"/>
                <w:b/>
                <w:bCs/>
                <w:sz w:val="16"/>
                <w:szCs w:val="16"/>
                <w:vertAlign w:val="superscript"/>
                <w:rtl/>
              </w:rPr>
              <w:t>]</w:t>
            </w:r>
          </w:p>
        </w:tc>
      </w:tr>
      <w:tr w:rsidR="005B573E" w:rsidRPr="009E7447" w14:paraId="271B1B12" w14:textId="77777777" w:rsidTr="005B573E">
        <w:tc>
          <w:tcPr>
            <w:tcW w:w="542" w:type="pct"/>
          </w:tcPr>
          <w:p w14:paraId="5FD82A17" w14:textId="77777777" w:rsidR="005B573E" w:rsidRPr="009E7447" w:rsidRDefault="005B573E" w:rsidP="00400DD1">
            <w:pPr>
              <w:spacing w:line="241" w:lineRule="auto"/>
              <w:rPr>
                <w:rtl/>
              </w:rPr>
            </w:pPr>
          </w:p>
        </w:tc>
        <w:tc>
          <w:tcPr>
            <w:tcW w:w="1504" w:type="pct"/>
            <w:vAlign w:val="bottom"/>
          </w:tcPr>
          <w:p w14:paraId="0CE57918" w14:textId="77777777" w:rsidR="005B573E" w:rsidRPr="00F35649" w:rsidRDefault="005B573E" w:rsidP="00400DD1">
            <w:pPr>
              <w:jc w:val="left"/>
              <w:rPr>
                <w:b/>
                <w:bCs/>
                <w:color w:val="000000"/>
                <w:sz w:val="18"/>
                <w:szCs w:val="18"/>
                <w:u w:val="single"/>
                <w:rtl/>
                <w:lang w:eastAsia="he-IL"/>
              </w:rPr>
            </w:pPr>
            <w:r w:rsidRPr="00F35649">
              <w:rPr>
                <w:rFonts w:hint="cs"/>
                <w:b/>
                <w:bCs/>
                <w:color w:val="000000"/>
                <w:sz w:val="18"/>
                <w:szCs w:val="18"/>
                <w:u w:val="single"/>
                <w:rtl/>
                <w:lang w:eastAsia="he-IL"/>
              </w:rPr>
              <w:t>פעילות לווים בישראל</w:t>
            </w:r>
          </w:p>
        </w:tc>
        <w:tc>
          <w:tcPr>
            <w:tcW w:w="552" w:type="pct"/>
            <w:vAlign w:val="bottom"/>
          </w:tcPr>
          <w:p w14:paraId="5A633A4D" w14:textId="77777777" w:rsidR="005B573E" w:rsidRPr="009E7447" w:rsidRDefault="005B573E" w:rsidP="00400DD1">
            <w:pPr>
              <w:spacing w:line="241" w:lineRule="auto"/>
              <w:rPr>
                <w:sz w:val="18"/>
                <w:szCs w:val="18"/>
                <w:rtl/>
              </w:rPr>
            </w:pPr>
          </w:p>
        </w:tc>
        <w:tc>
          <w:tcPr>
            <w:tcW w:w="374" w:type="pct"/>
            <w:vAlign w:val="bottom"/>
          </w:tcPr>
          <w:p w14:paraId="2BC08FBB" w14:textId="77777777" w:rsidR="005B573E" w:rsidRPr="009E7447" w:rsidRDefault="005B573E" w:rsidP="00400DD1">
            <w:pPr>
              <w:spacing w:line="241" w:lineRule="auto"/>
              <w:rPr>
                <w:sz w:val="18"/>
                <w:szCs w:val="18"/>
                <w:rtl/>
              </w:rPr>
            </w:pPr>
          </w:p>
        </w:tc>
        <w:tc>
          <w:tcPr>
            <w:tcW w:w="625" w:type="pct"/>
            <w:vAlign w:val="bottom"/>
          </w:tcPr>
          <w:p w14:paraId="1556B57B" w14:textId="77777777" w:rsidR="005B573E" w:rsidRPr="009E7447" w:rsidRDefault="005B573E" w:rsidP="00400DD1">
            <w:pPr>
              <w:spacing w:line="241" w:lineRule="auto"/>
              <w:rPr>
                <w:sz w:val="18"/>
                <w:szCs w:val="18"/>
                <w:rtl/>
              </w:rPr>
            </w:pPr>
          </w:p>
        </w:tc>
        <w:tc>
          <w:tcPr>
            <w:tcW w:w="481" w:type="pct"/>
            <w:vAlign w:val="bottom"/>
          </w:tcPr>
          <w:p w14:paraId="3A7CDA2B" w14:textId="77777777" w:rsidR="005B573E" w:rsidRPr="009E7447" w:rsidRDefault="005B573E" w:rsidP="00400DD1">
            <w:pPr>
              <w:spacing w:line="241" w:lineRule="auto"/>
              <w:rPr>
                <w:sz w:val="18"/>
                <w:szCs w:val="18"/>
                <w:rtl/>
              </w:rPr>
            </w:pPr>
          </w:p>
        </w:tc>
        <w:tc>
          <w:tcPr>
            <w:tcW w:w="510" w:type="pct"/>
            <w:vAlign w:val="bottom"/>
          </w:tcPr>
          <w:p w14:paraId="62CA7D15" w14:textId="77777777" w:rsidR="005B573E" w:rsidRPr="009E7447" w:rsidRDefault="005B573E" w:rsidP="00400DD1">
            <w:pPr>
              <w:spacing w:line="241" w:lineRule="auto"/>
              <w:rPr>
                <w:sz w:val="18"/>
                <w:szCs w:val="18"/>
                <w:rtl/>
              </w:rPr>
            </w:pPr>
          </w:p>
        </w:tc>
        <w:tc>
          <w:tcPr>
            <w:tcW w:w="411" w:type="pct"/>
            <w:vAlign w:val="bottom"/>
          </w:tcPr>
          <w:p w14:paraId="0D2D8A30" w14:textId="77777777" w:rsidR="005B573E" w:rsidRPr="009E7447" w:rsidRDefault="005B573E" w:rsidP="00400DD1">
            <w:pPr>
              <w:spacing w:line="241" w:lineRule="auto"/>
              <w:rPr>
                <w:sz w:val="18"/>
                <w:szCs w:val="18"/>
                <w:rtl/>
              </w:rPr>
            </w:pPr>
          </w:p>
        </w:tc>
      </w:tr>
      <w:tr w:rsidR="005B573E" w:rsidRPr="009E7447" w14:paraId="202DC578" w14:textId="77777777" w:rsidTr="005B573E">
        <w:tc>
          <w:tcPr>
            <w:tcW w:w="542" w:type="pct"/>
          </w:tcPr>
          <w:p w14:paraId="55EA4DE4" w14:textId="77777777" w:rsidR="005B573E" w:rsidRPr="009E7447" w:rsidRDefault="005B573E" w:rsidP="00400DD1">
            <w:pPr>
              <w:spacing w:line="241" w:lineRule="auto"/>
              <w:rPr>
                <w:rtl/>
              </w:rPr>
            </w:pPr>
          </w:p>
        </w:tc>
        <w:tc>
          <w:tcPr>
            <w:tcW w:w="1504" w:type="pct"/>
            <w:vAlign w:val="bottom"/>
          </w:tcPr>
          <w:p w14:paraId="592974B7" w14:textId="77777777" w:rsidR="005B573E" w:rsidRPr="00F35649" w:rsidRDefault="005B573E" w:rsidP="00400DD1">
            <w:pPr>
              <w:ind w:left="144" w:hanging="144"/>
              <w:jc w:val="left"/>
              <w:rPr>
                <w:color w:val="000000"/>
                <w:sz w:val="18"/>
                <w:szCs w:val="18"/>
                <w:lang w:eastAsia="he-IL"/>
              </w:rPr>
            </w:pPr>
            <w:r w:rsidRPr="00F35649">
              <w:rPr>
                <w:rFonts w:hint="cs"/>
                <w:color w:val="000000"/>
                <w:sz w:val="18"/>
                <w:szCs w:val="18"/>
                <w:u w:val="single"/>
                <w:rtl/>
                <w:lang w:eastAsia="he-IL"/>
              </w:rPr>
              <w:t>ציבור - מסחרי בישראל</w:t>
            </w:r>
            <w:r w:rsidRPr="00F35649">
              <w:rPr>
                <w:rFonts w:hint="cs"/>
                <w:color w:val="000000"/>
                <w:sz w:val="18"/>
                <w:szCs w:val="18"/>
                <w:rtl/>
                <w:lang w:eastAsia="he-IL"/>
              </w:rPr>
              <w:t xml:space="preserve">: </w:t>
            </w:r>
          </w:p>
        </w:tc>
        <w:tc>
          <w:tcPr>
            <w:tcW w:w="552" w:type="pct"/>
            <w:vAlign w:val="bottom"/>
          </w:tcPr>
          <w:p w14:paraId="266F6800" w14:textId="77777777" w:rsidR="005B573E" w:rsidRPr="009E7447" w:rsidRDefault="005B573E" w:rsidP="00400DD1">
            <w:pPr>
              <w:spacing w:line="241" w:lineRule="auto"/>
              <w:rPr>
                <w:sz w:val="18"/>
                <w:szCs w:val="18"/>
                <w:rtl/>
              </w:rPr>
            </w:pPr>
          </w:p>
        </w:tc>
        <w:tc>
          <w:tcPr>
            <w:tcW w:w="374" w:type="pct"/>
            <w:vAlign w:val="bottom"/>
          </w:tcPr>
          <w:p w14:paraId="1AF58179" w14:textId="77777777" w:rsidR="005B573E" w:rsidRPr="009E7447" w:rsidRDefault="005B573E" w:rsidP="00400DD1">
            <w:pPr>
              <w:spacing w:line="241" w:lineRule="auto"/>
              <w:rPr>
                <w:sz w:val="18"/>
                <w:szCs w:val="18"/>
                <w:rtl/>
              </w:rPr>
            </w:pPr>
          </w:p>
        </w:tc>
        <w:tc>
          <w:tcPr>
            <w:tcW w:w="625" w:type="pct"/>
            <w:vAlign w:val="bottom"/>
          </w:tcPr>
          <w:p w14:paraId="5774BEA5" w14:textId="77777777" w:rsidR="005B573E" w:rsidRPr="009E7447" w:rsidRDefault="005B573E" w:rsidP="00400DD1">
            <w:pPr>
              <w:spacing w:line="241" w:lineRule="auto"/>
              <w:rPr>
                <w:sz w:val="18"/>
                <w:szCs w:val="18"/>
                <w:rtl/>
              </w:rPr>
            </w:pPr>
          </w:p>
        </w:tc>
        <w:tc>
          <w:tcPr>
            <w:tcW w:w="481" w:type="pct"/>
            <w:vAlign w:val="bottom"/>
          </w:tcPr>
          <w:p w14:paraId="34C2A8EB" w14:textId="77777777" w:rsidR="005B573E" w:rsidRPr="009E7447" w:rsidRDefault="005B573E" w:rsidP="00400DD1">
            <w:pPr>
              <w:spacing w:line="241" w:lineRule="auto"/>
              <w:rPr>
                <w:sz w:val="18"/>
                <w:szCs w:val="18"/>
                <w:rtl/>
              </w:rPr>
            </w:pPr>
          </w:p>
        </w:tc>
        <w:tc>
          <w:tcPr>
            <w:tcW w:w="510" w:type="pct"/>
            <w:vAlign w:val="bottom"/>
          </w:tcPr>
          <w:p w14:paraId="2AD70535" w14:textId="77777777" w:rsidR="005B573E" w:rsidRPr="009E7447" w:rsidRDefault="005B573E" w:rsidP="00400DD1">
            <w:pPr>
              <w:spacing w:line="241" w:lineRule="auto"/>
              <w:rPr>
                <w:sz w:val="18"/>
                <w:szCs w:val="18"/>
                <w:rtl/>
              </w:rPr>
            </w:pPr>
          </w:p>
        </w:tc>
        <w:tc>
          <w:tcPr>
            <w:tcW w:w="411" w:type="pct"/>
            <w:vAlign w:val="bottom"/>
          </w:tcPr>
          <w:p w14:paraId="15EF80D2" w14:textId="77777777" w:rsidR="005B573E" w:rsidRPr="009E7447" w:rsidRDefault="005B573E" w:rsidP="00400DD1">
            <w:pPr>
              <w:spacing w:line="241" w:lineRule="auto"/>
              <w:rPr>
                <w:sz w:val="18"/>
                <w:szCs w:val="18"/>
                <w:rtl/>
              </w:rPr>
            </w:pPr>
          </w:p>
        </w:tc>
      </w:tr>
      <w:tr w:rsidR="005B573E" w:rsidRPr="009E7447" w14:paraId="079BCB14" w14:textId="77777777" w:rsidTr="005B573E">
        <w:tc>
          <w:tcPr>
            <w:tcW w:w="542" w:type="pct"/>
          </w:tcPr>
          <w:p w14:paraId="16FD4385" w14:textId="77777777" w:rsidR="005B573E" w:rsidRPr="009E7447" w:rsidRDefault="005B573E" w:rsidP="00400DD1">
            <w:pPr>
              <w:spacing w:line="241" w:lineRule="auto"/>
              <w:rPr>
                <w:rtl/>
              </w:rPr>
            </w:pPr>
          </w:p>
        </w:tc>
        <w:tc>
          <w:tcPr>
            <w:tcW w:w="1504" w:type="pct"/>
            <w:vAlign w:val="bottom"/>
          </w:tcPr>
          <w:p w14:paraId="530E2BFA" w14:textId="77777777" w:rsidR="005B573E" w:rsidRPr="00F35649" w:rsidRDefault="005B573E" w:rsidP="00400DD1">
            <w:pPr>
              <w:ind w:left="144" w:hanging="144"/>
              <w:jc w:val="left"/>
              <w:rPr>
                <w:b/>
                <w:bCs/>
                <w:color w:val="000000"/>
                <w:sz w:val="18"/>
                <w:szCs w:val="18"/>
                <w:rtl/>
                <w:lang w:eastAsia="he-IL"/>
              </w:rPr>
            </w:pPr>
            <w:r w:rsidRPr="00F35649">
              <w:rPr>
                <w:rFonts w:hint="cs"/>
                <w:color w:val="000000"/>
                <w:sz w:val="18"/>
                <w:szCs w:val="18"/>
                <w:rtl/>
                <w:lang w:eastAsia="he-IL"/>
              </w:rPr>
              <w:t xml:space="preserve">   בינוי ונדל"ן </w:t>
            </w:r>
          </w:p>
        </w:tc>
        <w:tc>
          <w:tcPr>
            <w:tcW w:w="552" w:type="pct"/>
            <w:vAlign w:val="bottom"/>
          </w:tcPr>
          <w:p w14:paraId="61B9F547" w14:textId="77777777" w:rsidR="005B573E" w:rsidRPr="009E7447" w:rsidRDefault="005B573E" w:rsidP="00400DD1">
            <w:pPr>
              <w:spacing w:line="241" w:lineRule="auto"/>
              <w:rPr>
                <w:sz w:val="18"/>
                <w:szCs w:val="18"/>
                <w:rtl/>
              </w:rPr>
            </w:pPr>
            <w:r w:rsidRPr="009E7447">
              <w:rPr>
                <w:rFonts w:hint="cs"/>
                <w:sz w:val="18"/>
                <w:szCs w:val="18"/>
                <w:rtl/>
              </w:rPr>
              <w:t xml:space="preserve"> 0</w:t>
            </w:r>
          </w:p>
        </w:tc>
        <w:tc>
          <w:tcPr>
            <w:tcW w:w="374" w:type="pct"/>
            <w:vAlign w:val="bottom"/>
          </w:tcPr>
          <w:p w14:paraId="36038E5E" w14:textId="77777777" w:rsidR="005B573E" w:rsidRPr="009E7447" w:rsidRDefault="005B573E" w:rsidP="00400DD1">
            <w:pPr>
              <w:spacing w:line="241" w:lineRule="auto"/>
              <w:rPr>
                <w:sz w:val="18"/>
                <w:szCs w:val="18"/>
                <w:rtl/>
              </w:rPr>
            </w:pPr>
            <w:r w:rsidRPr="009E7447">
              <w:rPr>
                <w:rFonts w:hint="cs"/>
                <w:sz w:val="18"/>
                <w:szCs w:val="18"/>
                <w:rtl/>
              </w:rPr>
              <w:t xml:space="preserve"> 0</w:t>
            </w:r>
          </w:p>
        </w:tc>
        <w:tc>
          <w:tcPr>
            <w:tcW w:w="625" w:type="pct"/>
            <w:vAlign w:val="bottom"/>
          </w:tcPr>
          <w:p w14:paraId="4179835D" w14:textId="77777777" w:rsidR="005B573E" w:rsidRPr="009E7447" w:rsidRDefault="005B573E" w:rsidP="00400DD1">
            <w:pPr>
              <w:spacing w:line="241" w:lineRule="auto"/>
              <w:rPr>
                <w:sz w:val="18"/>
                <w:szCs w:val="18"/>
                <w:rtl/>
              </w:rPr>
            </w:pPr>
            <w:r w:rsidRPr="009E7447">
              <w:rPr>
                <w:rFonts w:hint="cs"/>
                <w:sz w:val="18"/>
                <w:szCs w:val="18"/>
                <w:rtl/>
              </w:rPr>
              <w:t xml:space="preserve"> 0</w:t>
            </w:r>
          </w:p>
        </w:tc>
        <w:tc>
          <w:tcPr>
            <w:tcW w:w="481" w:type="pct"/>
            <w:vAlign w:val="bottom"/>
          </w:tcPr>
          <w:p w14:paraId="6DB1711B" w14:textId="77777777" w:rsidR="005B573E" w:rsidRPr="009E7447" w:rsidRDefault="005B573E" w:rsidP="00400DD1">
            <w:pPr>
              <w:spacing w:line="241" w:lineRule="auto"/>
              <w:rPr>
                <w:sz w:val="18"/>
                <w:szCs w:val="18"/>
                <w:rtl/>
              </w:rPr>
            </w:pPr>
            <w:r w:rsidRPr="009E7447">
              <w:rPr>
                <w:rFonts w:hint="cs"/>
                <w:sz w:val="18"/>
                <w:szCs w:val="18"/>
                <w:rtl/>
              </w:rPr>
              <w:t xml:space="preserve"> 0</w:t>
            </w:r>
          </w:p>
        </w:tc>
        <w:tc>
          <w:tcPr>
            <w:tcW w:w="510" w:type="pct"/>
            <w:vAlign w:val="bottom"/>
          </w:tcPr>
          <w:p w14:paraId="4B4D0F58" w14:textId="77777777" w:rsidR="005B573E" w:rsidRPr="009E7447" w:rsidRDefault="005B573E" w:rsidP="00400DD1">
            <w:pPr>
              <w:spacing w:line="241" w:lineRule="auto"/>
              <w:rPr>
                <w:sz w:val="18"/>
                <w:szCs w:val="18"/>
                <w:rtl/>
              </w:rPr>
            </w:pPr>
            <w:r w:rsidRPr="009E7447">
              <w:rPr>
                <w:rFonts w:hint="cs"/>
                <w:sz w:val="18"/>
                <w:szCs w:val="18"/>
                <w:rtl/>
              </w:rPr>
              <w:t xml:space="preserve"> 0</w:t>
            </w:r>
          </w:p>
        </w:tc>
        <w:tc>
          <w:tcPr>
            <w:tcW w:w="411" w:type="pct"/>
            <w:vAlign w:val="bottom"/>
          </w:tcPr>
          <w:p w14:paraId="66528A98" w14:textId="77777777" w:rsidR="005B573E" w:rsidRPr="009E7447" w:rsidRDefault="005B573E" w:rsidP="00400DD1">
            <w:pPr>
              <w:spacing w:line="241" w:lineRule="auto"/>
              <w:rPr>
                <w:sz w:val="18"/>
                <w:szCs w:val="18"/>
                <w:rtl/>
              </w:rPr>
            </w:pPr>
            <w:r w:rsidRPr="009E7447">
              <w:rPr>
                <w:rFonts w:hint="cs"/>
                <w:sz w:val="18"/>
                <w:szCs w:val="18"/>
                <w:rtl/>
              </w:rPr>
              <w:t>0</w:t>
            </w:r>
          </w:p>
        </w:tc>
      </w:tr>
      <w:tr w:rsidR="005B573E" w:rsidRPr="009E7447" w14:paraId="420BBCB9" w14:textId="77777777" w:rsidTr="005B573E">
        <w:tc>
          <w:tcPr>
            <w:tcW w:w="542" w:type="pct"/>
          </w:tcPr>
          <w:p w14:paraId="7ECA7A48" w14:textId="77777777" w:rsidR="005B573E" w:rsidRPr="009E7447" w:rsidRDefault="005B573E" w:rsidP="00400DD1">
            <w:pPr>
              <w:spacing w:line="241" w:lineRule="auto"/>
              <w:rPr>
                <w:rtl/>
              </w:rPr>
            </w:pPr>
          </w:p>
        </w:tc>
        <w:tc>
          <w:tcPr>
            <w:tcW w:w="1504" w:type="pct"/>
            <w:vAlign w:val="bottom"/>
          </w:tcPr>
          <w:p w14:paraId="06DE4898" w14:textId="77777777" w:rsidR="005B573E" w:rsidRPr="00F35649" w:rsidRDefault="005B573E" w:rsidP="00400DD1">
            <w:pPr>
              <w:ind w:left="144" w:hanging="144"/>
              <w:jc w:val="left"/>
              <w:rPr>
                <w:b/>
                <w:bCs/>
                <w:color w:val="000000"/>
                <w:sz w:val="18"/>
                <w:szCs w:val="18"/>
                <w:rtl/>
                <w:lang w:eastAsia="he-IL"/>
              </w:rPr>
            </w:pPr>
            <w:r w:rsidRPr="00F35649">
              <w:rPr>
                <w:rFonts w:hint="cs"/>
                <w:color w:val="000000"/>
                <w:sz w:val="18"/>
                <w:szCs w:val="18"/>
                <w:rtl/>
                <w:lang w:eastAsia="he-IL"/>
              </w:rPr>
              <w:t xml:space="preserve">   מסחרי - אחר</w:t>
            </w:r>
          </w:p>
        </w:tc>
        <w:tc>
          <w:tcPr>
            <w:tcW w:w="552" w:type="pct"/>
            <w:vAlign w:val="bottom"/>
          </w:tcPr>
          <w:p w14:paraId="18939B6E" w14:textId="77777777" w:rsidR="005B573E" w:rsidRPr="009E7447" w:rsidRDefault="005B573E"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374" w:type="pct"/>
            <w:vAlign w:val="bottom"/>
          </w:tcPr>
          <w:p w14:paraId="71BE84E1" w14:textId="77777777" w:rsidR="005B573E" w:rsidRPr="009E7447" w:rsidRDefault="005B573E"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625" w:type="pct"/>
            <w:vAlign w:val="bottom"/>
          </w:tcPr>
          <w:p w14:paraId="34FC953D" w14:textId="77777777" w:rsidR="005B573E" w:rsidRPr="009E7447" w:rsidRDefault="005B573E"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481" w:type="pct"/>
            <w:vAlign w:val="bottom"/>
          </w:tcPr>
          <w:p w14:paraId="58F61568" w14:textId="77777777" w:rsidR="005B573E" w:rsidRPr="009E7447" w:rsidRDefault="005B573E"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510" w:type="pct"/>
            <w:vAlign w:val="bottom"/>
          </w:tcPr>
          <w:p w14:paraId="73A02539" w14:textId="77777777" w:rsidR="005B573E" w:rsidRPr="009E7447" w:rsidRDefault="005B573E"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411" w:type="pct"/>
            <w:vAlign w:val="bottom"/>
          </w:tcPr>
          <w:p w14:paraId="61C0F1DE" w14:textId="77777777" w:rsidR="005B573E" w:rsidRPr="009E7447" w:rsidRDefault="005B573E" w:rsidP="00400DD1">
            <w:pPr>
              <w:pBdr>
                <w:bottom w:val="single" w:sz="4" w:space="1" w:color="auto"/>
              </w:pBdr>
              <w:spacing w:line="241" w:lineRule="auto"/>
              <w:rPr>
                <w:b/>
                <w:bCs/>
                <w:sz w:val="18"/>
                <w:szCs w:val="18"/>
                <w:rtl/>
              </w:rPr>
            </w:pPr>
            <w:r w:rsidRPr="009E7447">
              <w:rPr>
                <w:rFonts w:hint="cs"/>
                <w:sz w:val="18"/>
                <w:szCs w:val="18"/>
                <w:rtl/>
              </w:rPr>
              <w:t>0</w:t>
            </w:r>
          </w:p>
        </w:tc>
      </w:tr>
      <w:tr w:rsidR="005B573E" w:rsidRPr="009E7447" w14:paraId="6FDA8FCB" w14:textId="77777777" w:rsidTr="005B573E">
        <w:tc>
          <w:tcPr>
            <w:tcW w:w="542" w:type="pct"/>
          </w:tcPr>
          <w:p w14:paraId="5753CE56" w14:textId="77777777" w:rsidR="005B573E" w:rsidRPr="009E7447" w:rsidRDefault="005B573E" w:rsidP="00400DD1">
            <w:pPr>
              <w:spacing w:line="241" w:lineRule="auto"/>
              <w:rPr>
                <w:rtl/>
              </w:rPr>
            </w:pPr>
          </w:p>
        </w:tc>
        <w:tc>
          <w:tcPr>
            <w:tcW w:w="1504" w:type="pct"/>
            <w:vAlign w:val="bottom"/>
          </w:tcPr>
          <w:p w14:paraId="68F84BAD" w14:textId="77777777" w:rsidR="005B573E" w:rsidRPr="00F35649" w:rsidRDefault="005B573E" w:rsidP="00400DD1">
            <w:pPr>
              <w:ind w:left="73" w:hanging="73"/>
              <w:jc w:val="left"/>
              <w:rPr>
                <w:b/>
                <w:bCs/>
                <w:color w:val="000000"/>
                <w:sz w:val="18"/>
                <w:szCs w:val="18"/>
                <w:lang w:eastAsia="he-IL"/>
              </w:rPr>
            </w:pPr>
            <w:r w:rsidRPr="00F35649">
              <w:rPr>
                <w:rFonts w:hint="eastAsia"/>
                <w:b/>
                <w:bCs/>
                <w:color w:val="000000"/>
                <w:sz w:val="18"/>
                <w:szCs w:val="18"/>
                <w:rtl/>
                <w:lang w:eastAsia="he-IL"/>
              </w:rPr>
              <w:t>סך</w:t>
            </w:r>
            <w:r w:rsidRPr="00F35649">
              <w:rPr>
                <w:b/>
                <w:bCs/>
                <w:color w:val="000000"/>
                <w:sz w:val="18"/>
                <w:szCs w:val="18"/>
                <w:rtl/>
                <w:lang w:eastAsia="he-IL"/>
              </w:rPr>
              <w:t xml:space="preserve"> </w:t>
            </w:r>
            <w:r w:rsidRPr="00F35649">
              <w:rPr>
                <w:rFonts w:hint="eastAsia"/>
                <w:b/>
                <w:bCs/>
                <w:color w:val="000000"/>
                <w:sz w:val="18"/>
                <w:szCs w:val="18"/>
                <w:rtl/>
                <w:lang w:eastAsia="he-IL"/>
              </w:rPr>
              <w:t>הכל</w:t>
            </w:r>
            <w:r w:rsidRPr="00F35649">
              <w:rPr>
                <w:b/>
                <w:bCs/>
                <w:color w:val="000000"/>
                <w:sz w:val="18"/>
                <w:szCs w:val="18"/>
                <w:rtl/>
                <w:lang w:eastAsia="he-IL"/>
              </w:rPr>
              <w:t xml:space="preserve"> </w:t>
            </w:r>
            <w:r w:rsidRPr="00F35649">
              <w:rPr>
                <w:rFonts w:hint="eastAsia"/>
                <w:b/>
                <w:bCs/>
                <w:color w:val="000000"/>
                <w:sz w:val="18"/>
                <w:szCs w:val="18"/>
                <w:rtl/>
                <w:lang w:eastAsia="he-IL"/>
              </w:rPr>
              <w:t>מסחרי</w:t>
            </w:r>
          </w:p>
        </w:tc>
        <w:tc>
          <w:tcPr>
            <w:tcW w:w="552" w:type="pct"/>
            <w:vAlign w:val="bottom"/>
          </w:tcPr>
          <w:p w14:paraId="187C199F" w14:textId="77777777" w:rsidR="005B573E" w:rsidRPr="009E7447" w:rsidRDefault="005B573E" w:rsidP="00400DD1">
            <w:pPr>
              <w:spacing w:line="241" w:lineRule="auto"/>
              <w:jc w:val="left"/>
              <w:rPr>
                <w:b/>
                <w:bCs/>
                <w:sz w:val="18"/>
                <w:szCs w:val="18"/>
                <w:rtl/>
              </w:rPr>
            </w:pPr>
            <w:r w:rsidRPr="009E7447">
              <w:rPr>
                <w:rFonts w:hint="cs"/>
                <w:sz w:val="18"/>
                <w:szCs w:val="18"/>
                <w:rtl/>
              </w:rPr>
              <w:t xml:space="preserve"> </w:t>
            </w:r>
            <w:r w:rsidRPr="009E7447">
              <w:rPr>
                <w:sz w:val="18"/>
                <w:szCs w:val="18"/>
                <w:rtl/>
              </w:rPr>
              <w:t>0</w:t>
            </w:r>
          </w:p>
        </w:tc>
        <w:tc>
          <w:tcPr>
            <w:tcW w:w="374" w:type="pct"/>
            <w:vAlign w:val="bottom"/>
          </w:tcPr>
          <w:p w14:paraId="6BEFA035" w14:textId="77777777" w:rsidR="005B573E" w:rsidRPr="009E7447" w:rsidRDefault="005B573E" w:rsidP="00400DD1">
            <w:pPr>
              <w:spacing w:line="241" w:lineRule="auto"/>
              <w:jc w:val="left"/>
              <w:rPr>
                <w:b/>
                <w:bCs/>
                <w:sz w:val="18"/>
                <w:szCs w:val="18"/>
                <w:rtl/>
              </w:rPr>
            </w:pPr>
            <w:r w:rsidRPr="009E7447">
              <w:rPr>
                <w:rFonts w:hint="cs"/>
                <w:sz w:val="18"/>
                <w:szCs w:val="18"/>
                <w:rtl/>
              </w:rPr>
              <w:t xml:space="preserve"> </w:t>
            </w:r>
            <w:r w:rsidRPr="009E7447">
              <w:rPr>
                <w:sz w:val="18"/>
                <w:szCs w:val="18"/>
                <w:rtl/>
              </w:rPr>
              <w:t>0</w:t>
            </w:r>
          </w:p>
        </w:tc>
        <w:tc>
          <w:tcPr>
            <w:tcW w:w="625" w:type="pct"/>
            <w:vAlign w:val="bottom"/>
          </w:tcPr>
          <w:p w14:paraId="62E1FAFA" w14:textId="77777777" w:rsidR="005B573E" w:rsidRPr="009E7447" w:rsidRDefault="005B573E" w:rsidP="00400DD1">
            <w:pPr>
              <w:spacing w:line="241" w:lineRule="auto"/>
              <w:jc w:val="left"/>
              <w:rPr>
                <w:b/>
                <w:bCs/>
                <w:sz w:val="18"/>
                <w:szCs w:val="18"/>
                <w:rtl/>
              </w:rPr>
            </w:pPr>
            <w:r w:rsidRPr="009E7447">
              <w:rPr>
                <w:rFonts w:hint="cs"/>
                <w:sz w:val="18"/>
                <w:szCs w:val="18"/>
                <w:rtl/>
              </w:rPr>
              <w:t xml:space="preserve"> </w:t>
            </w:r>
            <w:r w:rsidRPr="009E7447">
              <w:rPr>
                <w:sz w:val="18"/>
                <w:szCs w:val="18"/>
                <w:rtl/>
              </w:rPr>
              <w:t>0</w:t>
            </w:r>
          </w:p>
        </w:tc>
        <w:tc>
          <w:tcPr>
            <w:tcW w:w="481" w:type="pct"/>
            <w:vAlign w:val="bottom"/>
          </w:tcPr>
          <w:p w14:paraId="12662E0D" w14:textId="77777777" w:rsidR="005B573E" w:rsidRPr="009E7447" w:rsidRDefault="005B573E" w:rsidP="00400DD1">
            <w:pPr>
              <w:spacing w:line="241" w:lineRule="auto"/>
              <w:jc w:val="left"/>
              <w:rPr>
                <w:b/>
                <w:bCs/>
                <w:sz w:val="18"/>
                <w:szCs w:val="18"/>
                <w:rtl/>
              </w:rPr>
            </w:pPr>
            <w:r w:rsidRPr="009E7447">
              <w:rPr>
                <w:rFonts w:hint="cs"/>
                <w:sz w:val="18"/>
                <w:szCs w:val="18"/>
                <w:rtl/>
              </w:rPr>
              <w:t xml:space="preserve"> </w:t>
            </w:r>
            <w:r w:rsidRPr="009E7447">
              <w:rPr>
                <w:sz w:val="18"/>
                <w:szCs w:val="18"/>
                <w:rtl/>
              </w:rPr>
              <w:t>0</w:t>
            </w:r>
          </w:p>
        </w:tc>
        <w:tc>
          <w:tcPr>
            <w:tcW w:w="510" w:type="pct"/>
            <w:vAlign w:val="bottom"/>
          </w:tcPr>
          <w:p w14:paraId="75016B68" w14:textId="77777777" w:rsidR="005B573E" w:rsidRPr="009E7447" w:rsidRDefault="005B573E" w:rsidP="00400DD1">
            <w:pPr>
              <w:spacing w:line="241" w:lineRule="auto"/>
              <w:jc w:val="left"/>
              <w:rPr>
                <w:b/>
                <w:bCs/>
                <w:sz w:val="18"/>
                <w:szCs w:val="18"/>
                <w:rtl/>
              </w:rPr>
            </w:pPr>
            <w:r w:rsidRPr="009E7447">
              <w:rPr>
                <w:rFonts w:hint="cs"/>
                <w:sz w:val="18"/>
                <w:szCs w:val="18"/>
                <w:rtl/>
              </w:rPr>
              <w:t xml:space="preserve"> </w:t>
            </w:r>
            <w:r w:rsidRPr="009E7447">
              <w:rPr>
                <w:sz w:val="18"/>
                <w:szCs w:val="18"/>
                <w:rtl/>
              </w:rPr>
              <w:t>0</w:t>
            </w:r>
          </w:p>
        </w:tc>
        <w:tc>
          <w:tcPr>
            <w:tcW w:w="411" w:type="pct"/>
            <w:vAlign w:val="bottom"/>
          </w:tcPr>
          <w:p w14:paraId="528267F2" w14:textId="77777777" w:rsidR="005B573E" w:rsidRPr="009E7447" w:rsidRDefault="005B573E" w:rsidP="00400DD1">
            <w:pPr>
              <w:spacing w:line="241" w:lineRule="auto"/>
              <w:jc w:val="left"/>
              <w:rPr>
                <w:b/>
                <w:bCs/>
                <w:sz w:val="18"/>
                <w:szCs w:val="18"/>
                <w:rtl/>
              </w:rPr>
            </w:pPr>
            <w:r w:rsidRPr="009E7447">
              <w:rPr>
                <w:rFonts w:hint="cs"/>
                <w:sz w:val="18"/>
                <w:szCs w:val="18"/>
                <w:rtl/>
              </w:rPr>
              <w:t>0</w:t>
            </w:r>
          </w:p>
        </w:tc>
      </w:tr>
      <w:tr w:rsidR="005B573E" w:rsidRPr="009E7447" w14:paraId="3ED393C7" w14:textId="77777777" w:rsidTr="005B573E">
        <w:tc>
          <w:tcPr>
            <w:tcW w:w="542" w:type="pct"/>
          </w:tcPr>
          <w:p w14:paraId="2ECB59A1" w14:textId="77777777" w:rsidR="005B573E" w:rsidRPr="009E7447" w:rsidRDefault="005B573E" w:rsidP="00400DD1">
            <w:pPr>
              <w:spacing w:line="241" w:lineRule="auto"/>
              <w:rPr>
                <w:rtl/>
              </w:rPr>
            </w:pPr>
          </w:p>
        </w:tc>
        <w:tc>
          <w:tcPr>
            <w:tcW w:w="1504" w:type="pct"/>
            <w:vAlign w:val="bottom"/>
          </w:tcPr>
          <w:p w14:paraId="3961226E" w14:textId="77777777" w:rsidR="005B573E" w:rsidRPr="00F35649" w:rsidRDefault="005B573E" w:rsidP="00400DD1">
            <w:pPr>
              <w:spacing w:before="40" w:line="200" w:lineRule="exact"/>
              <w:ind w:left="73" w:right="144" w:hanging="73"/>
              <w:jc w:val="left"/>
              <w:rPr>
                <w:b/>
                <w:bCs/>
                <w:color w:val="000000"/>
                <w:sz w:val="18"/>
                <w:szCs w:val="18"/>
                <w:lang w:eastAsia="he-IL"/>
              </w:rPr>
            </w:pPr>
            <w:r w:rsidRPr="00F35649">
              <w:rPr>
                <w:rFonts w:hint="eastAsia"/>
                <w:b/>
                <w:bCs/>
                <w:color w:val="000000"/>
                <w:sz w:val="18"/>
                <w:szCs w:val="18"/>
                <w:rtl/>
                <w:lang w:eastAsia="he-IL"/>
              </w:rPr>
              <w:t>אנשים</w:t>
            </w:r>
            <w:r w:rsidRPr="00F35649">
              <w:rPr>
                <w:b/>
                <w:bCs/>
                <w:color w:val="000000"/>
                <w:sz w:val="18"/>
                <w:szCs w:val="18"/>
                <w:rtl/>
                <w:lang w:eastAsia="he-IL"/>
              </w:rPr>
              <w:t xml:space="preserve"> </w:t>
            </w:r>
            <w:r w:rsidRPr="00F35649">
              <w:rPr>
                <w:rFonts w:hint="eastAsia"/>
                <w:b/>
                <w:bCs/>
                <w:color w:val="000000"/>
                <w:sz w:val="18"/>
                <w:szCs w:val="18"/>
                <w:rtl/>
                <w:lang w:eastAsia="he-IL"/>
              </w:rPr>
              <w:t>פרטיים</w:t>
            </w:r>
            <w:r w:rsidRPr="00F35649">
              <w:rPr>
                <w:b/>
                <w:bCs/>
                <w:color w:val="000000"/>
                <w:sz w:val="18"/>
                <w:szCs w:val="18"/>
                <w:rtl/>
                <w:lang w:eastAsia="he-IL"/>
              </w:rPr>
              <w:t xml:space="preserve"> - </w:t>
            </w:r>
            <w:r w:rsidRPr="00F35649">
              <w:rPr>
                <w:rFonts w:hint="eastAsia"/>
                <w:b/>
                <w:bCs/>
                <w:color w:val="000000"/>
                <w:sz w:val="18"/>
                <w:szCs w:val="18"/>
                <w:rtl/>
                <w:lang w:eastAsia="he-IL"/>
              </w:rPr>
              <w:t>הלוואות</w:t>
            </w:r>
            <w:r w:rsidRPr="00F35649">
              <w:rPr>
                <w:b/>
                <w:bCs/>
                <w:color w:val="000000"/>
                <w:sz w:val="18"/>
                <w:szCs w:val="18"/>
                <w:rtl/>
                <w:lang w:eastAsia="he-IL"/>
              </w:rPr>
              <w:t xml:space="preserve"> </w:t>
            </w:r>
            <w:r w:rsidRPr="00F35649">
              <w:rPr>
                <w:rFonts w:hint="eastAsia"/>
                <w:b/>
                <w:bCs/>
                <w:color w:val="000000"/>
                <w:sz w:val="18"/>
                <w:szCs w:val="18"/>
                <w:rtl/>
                <w:lang w:eastAsia="he-IL"/>
              </w:rPr>
              <w:t>לדיור</w:t>
            </w:r>
          </w:p>
        </w:tc>
        <w:tc>
          <w:tcPr>
            <w:tcW w:w="552" w:type="pct"/>
            <w:vAlign w:val="bottom"/>
          </w:tcPr>
          <w:p w14:paraId="5E72AFF3" w14:textId="77777777" w:rsidR="005B573E" w:rsidRPr="009E7447" w:rsidRDefault="005B573E" w:rsidP="00400DD1">
            <w:pPr>
              <w:spacing w:line="241" w:lineRule="auto"/>
              <w:rPr>
                <w:sz w:val="18"/>
                <w:szCs w:val="18"/>
                <w:rtl/>
              </w:rPr>
            </w:pPr>
            <w:r w:rsidRPr="009E7447">
              <w:rPr>
                <w:rFonts w:hint="cs"/>
                <w:sz w:val="18"/>
                <w:szCs w:val="18"/>
                <w:rtl/>
              </w:rPr>
              <w:t xml:space="preserve"> 0</w:t>
            </w:r>
          </w:p>
        </w:tc>
        <w:tc>
          <w:tcPr>
            <w:tcW w:w="374" w:type="pct"/>
            <w:vAlign w:val="bottom"/>
          </w:tcPr>
          <w:p w14:paraId="70D4DCE2" w14:textId="77777777" w:rsidR="005B573E" w:rsidRPr="009E7447" w:rsidRDefault="005B573E" w:rsidP="00400DD1">
            <w:pPr>
              <w:spacing w:line="241" w:lineRule="auto"/>
              <w:rPr>
                <w:sz w:val="18"/>
                <w:szCs w:val="18"/>
                <w:rtl/>
              </w:rPr>
            </w:pPr>
            <w:r w:rsidRPr="009E7447">
              <w:rPr>
                <w:rFonts w:hint="cs"/>
                <w:sz w:val="18"/>
                <w:szCs w:val="18"/>
                <w:rtl/>
              </w:rPr>
              <w:t xml:space="preserve"> 0</w:t>
            </w:r>
          </w:p>
        </w:tc>
        <w:tc>
          <w:tcPr>
            <w:tcW w:w="625" w:type="pct"/>
            <w:vAlign w:val="bottom"/>
          </w:tcPr>
          <w:p w14:paraId="312AC19D" w14:textId="77777777" w:rsidR="005B573E" w:rsidRPr="009E7447" w:rsidRDefault="005B573E" w:rsidP="00400DD1">
            <w:pPr>
              <w:spacing w:line="241" w:lineRule="auto"/>
              <w:rPr>
                <w:sz w:val="18"/>
                <w:szCs w:val="18"/>
                <w:rtl/>
              </w:rPr>
            </w:pPr>
            <w:r w:rsidRPr="009E7447">
              <w:rPr>
                <w:rFonts w:hint="cs"/>
                <w:sz w:val="18"/>
                <w:szCs w:val="18"/>
                <w:rtl/>
              </w:rPr>
              <w:t xml:space="preserve"> 0</w:t>
            </w:r>
          </w:p>
        </w:tc>
        <w:tc>
          <w:tcPr>
            <w:tcW w:w="481" w:type="pct"/>
            <w:vAlign w:val="bottom"/>
          </w:tcPr>
          <w:p w14:paraId="50527315" w14:textId="77777777" w:rsidR="005B573E" w:rsidRPr="009E7447" w:rsidRDefault="005B573E" w:rsidP="00400DD1">
            <w:pPr>
              <w:spacing w:line="241" w:lineRule="auto"/>
              <w:rPr>
                <w:sz w:val="18"/>
                <w:szCs w:val="18"/>
                <w:rtl/>
              </w:rPr>
            </w:pPr>
            <w:r w:rsidRPr="009E7447">
              <w:rPr>
                <w:rFonts w:hint="cs"/>
                <w:sz w:val="18"/>
                <w:szCs w:val="18"/>
                <w:rtl/>
              </w:rPr>
              <w:t xml:space="preserve"> 0</w:t>
            </w:r>
          </w:p>
        </w:tc>
        <w:tc>
          <w:tcPr>
            <w:tcW w:w="510" w:type="pct"/>
            <w:vAlign w:val="bottom"/>
          </w:tcPr>
          <w:p w14:paraId="0615DEAC" w14:textId="77777777" w:rsidR="005B573E" w:rsidRPr="009E7447" w:rsidRDefault="005B573E" w:rsidP="00400DD1">
            <w:pPr>
              <w:spacing w:line="241" w:lineRule="auto"/>
              <w:rPr>
                <w:sz w:val="18"/>
                <w:szCs w:val="18"/>
                <w:rtl/>
              </w:rPr>
            </w:pPr>
            <w:r w:rsidRPr="009E7447">
              <w:rPr>
                <w:rFonts w:hint="cs"/>
                <w:sz w:val="18"/>
                <w:szCs w:val="18"/>
                <w:rtl/>
              </w:rPr>
              <w:t xml:space="preserve"> 0</w:t>
            </w:r>
          </w:p>
        </w:tc>
        <w:tc>
          <w:tcPr>
            <w:tcW w:w="411" w:type="pct"/>
            <w:vAlign w:val="bottom"/>
          </w:tcPr>
          <w:p w14:paraId="100C317F" w14:textId="77777777" w:rsidR="005B573E" w:rsidRPr="009E7447" w:rsidRDefault="005B573E" w:rsidP="00400DD1">
            <w:pPr>
              <w:spacing w:line="241" w:lineRule="auto"/>
              <w:rPr>
                <w:sz w:val="18"/>
                <w:szCs w:val="18"/>
                <w:rtl/>
              </w:rPr>
            </w:pPr>
            <w:r w:rsidRPr="009E7447">
              <w:rPr>
                <w:rFonts w:hint="cs"/>
                <w:sz w:val="18"/>
                <w:szCs w:val="18"/>
                <w:rtl/>
              </w:rPr>
              <w:t>0</w:t>
            </w:r>
          </w:p>
        </w:tc>
      </w:tr>
      <w:tr w:rsidR="005B573E" w:rsidRPr="009E7447" w14:paraId="75121329" w14:textId="77777777" w:rsidTr="005B573E">
        <w:tc>
          <w:tcPr>
            <w:tcW w:w="542" w:type="pct"/>
          </w:tcPr>
          <w:p w14:paraId="55D90D70" w14:textId="77777777" w:rsidR="005B573E" w:rsidRPr="009E7447" w:rsidRDefault="005B573E" w:rsidP="00400DD1">
            <w:pPr>
              <w:spacing w:line="241" w:lineRule="auto"/>
              <w:rPr>
                <w:rtl/>
              </w:rPr>
            </w:pPr>
          </w:p>
        </w:tc>
        <w:tc>
          <w:tcPr>
            <w:tcW w:w="1504" w:type="pct"/>
            <w:vAlign w:val="bottom"/>
          </w:tcPr>
          <w:p w14:paraId="33DB3CE1" w14:textId="77777777" w:rsidR="005B573E" w:rsidRPr="00F35649" w:rsidRDefault="005B573E" w:rsidP="00400DD1">
            <w:pPr>
              <w:ind w:left="73" w:hanging="73"/>
              <w:jc w:val="left"/>
              <w:rPr>
                <w:b/>
                <w:bCs/>
                <w:color w:val="000000"/>
                <w:sz w:val="18"/>
                <w:szCs w:val="18"/>
                <w:lang w:eastAsia="he-IL"/>
              </w:rPr>
            </w:pPr>
            <w:r w:rsidRPr="00F35649">
              <w:rPr>
                <w:rFonts w:hint="eastAsia"/>
                <w:b/>
                <w:bCs/>
                <w:color w:val="000000"/>
                <w:sz w:val="18"/>
                <w:szCs w:val="18"/>
                <w:rtl/>
                <w:lang w:eastAsia="he-IL"/>
              </w:rPr>
              <w:t>אנשים</w:t>
            </w:r>
            <w:r w:rsidRPr="00F35649">
              <w:rPr>
                <w:b/>
                <w:bCs/>
                <w:color w:val="000000"/>
                <w:sz w:val="18"/>
                <w:szCs w:val="18"/>
                <w:rtl/>
                <w:lang w:eastAsia="he-IL"/>
              </w:rPr>
              <w:t xml:space="preserve"> </w:t>
            </w:r>
            <w:r w:rsidRPr="00F35649">
              <w:rPr>
                <w:rFonts w:hint="eastAsia"/>
                <w:b/>
                <w:bCs/>
                <w:color w:val="000000"/>
                <w:sz w:val="18"/>
                <w:szCs w:val="18"/>
                <w:rtl/>
                <w:lang w:eastAsia="he-IL"/>
              </w:rPr>
              <w:t>פרטיים</w:t>
            </w:r>
            <w:r w:rsidRPr="00F35649">
              <w:rPr>
                <w:b/>
                <w:bCs/>
                <w:color w:val="000000"/>
                <w:sz w:val="18"/>
                <w:szCs w:val="18"/>
                <w:rtl/>
                <w:lang w:eastAsia="he-IL"/>
              </w:rPr>
              <w:t xml:space="preserve"> - </w:t>
            </w:r>
            <w:r w:rsidRPr="00F35649">
              <w:rPr>
                <w:rFonts w:hint="eastAsia"/>
                <w:b/>
                <w:bCs/>
                <w:color w:val="000000"/>
                <w:sz w:val="18"/>
                <w:szCs w:val="18"/>
                <w:rtl/>
                <w:lang w:eastAsia="he-IL"/>
              </w:rPr>
              <w:t>אחר</w:t>
            </w:r>
          </w:p>
        </w:tc>
        <w:tc>
          <w:tcPr>
            <w:tcW w:w="552" w:type="pct"/>
            <w:vAlign w:val="bottom"/>
          </w:tcPr>
          <w:p w14:paraId="7CBB5BDA" w14:textId="77777777" w:rsidR="005B573E" w:rsidRPr="009E7447" w:rsidRDefault="005B573E" w:rsidP="00400DD1">
            <w:pPr>
              <w:pBdr>
                <w:bottom w:val="single" w:sz="4" w:space="1" w:color="auto"/>
              </w:pBdr>
              <w:spacing w:line="241" w:lineRule="auto"/>
              <w:rPr>
                <w:b/>
                <w:bCs/>
                <w:color w:val="000000"/>
                <w:sz w:val="18"/>
                <w:szCs w:val="18"/>
                <w:rtl/>
                <w:lang w:eastAsia="he-IL"/>
              </w:rPr>
            </w:pPr>
            <w:r w:rsidRPr="009E7447">
              <w:rPr>
                <w:rFonts w:hint="cs"/>
                <w:sz w:val="18"/>
                <w:szCs w:val="18"/>
                <w:rtl/>
              </w:rPr>
              <w:t xml:space="preserve"> 0</w:t>
            </w:r>
          </w:p>
        </w:tc>
        <w:tc>
          <w:tcPr>
            <w:tcW w:w="374" w:type="pct"/>
            <w:vAlign w:val="bottom"/>
          </w:tcPr>
          <w:p w14:paraId="3ABFC26A" w14:textId="77777777" w:rsidR="005B573E" w:rsidRPr="009E7447" w:rsidRDefault="005B573E" w:rsidP="00400DD1">
            <w:pPr>
              <w:pBdr>
                <w:bottom w:val="single" w:sz="4" w:space="1" w:color="auto"/>
              </w:pBdr>
              <w:spacing w:line="241" w:lineRule="auto"/>
              <w:rPr>
                <w:b/>
                <w:bCs/>
                <w:color w:val="000000"/>
                <w:sz w:val="18"/>
                <w:szCs w:val="18"/>
                <w:rtl/>
                <w:lang w:eastAsia="he-IL"/>
              </w:rPr>
            </w:pPr>
            <w:r w:rsidRPr="009E7447">
              <w:rPr>
                <w:rFonts w:hint="cs"/>
                <w:sz w:val="18"/>
                <w:szCs w:val="18"/>
                <w:rtl/>
              </w:rPr>
              <w:t xml:space="preserve"> 0</w:t>
            </w:r>
          </w:p>
        </w:tc>
        <w:tc>
          <w:tcPr>
            <w:tcW w:w="625" w:type="pct"/>
            <w:vAlign w:val="bottom"/>
          </w:tcPr>
          <w:p w14:paraId="69923F09" w14:textId="77777777" w:rsidR="005B573E" w:rsidRPr="009E7447" w:rsidRDefault="005B573E" w:rsidP="00400DD1">
            <w:pPr>
              <w:pBdr>
                <w:bottom w:val="single" w:sz="4" w:space="1" w:color="auto"/>
              </w:pBdr>
              <w:spacing w:line="241" w:lineRule="auto"/>
              <w:rPr>
                <w:b/>
                <w:bCs/>
                <w:color w:val="000000"/>
                <w:sz w:val="18"/>
                <w:szCs w:val="18"/>
                <w:rtl/>
                <w:lang w:eastAsia="he-IL"/>
              </w:rPr>
            </w:pPr>
            <w:r w:rsidRPr="009E7447">
              <w:rPr>
                <w:rFonts w:hint="cs"/>
                <w:sz w:val="18"/>
                <w:szCs w:val="18"/>
                <w:rtl/>
              </w:rPr>
              <w:t xml:space="preserve"> 0</w:t>
            </w:r>
          </w:p>
        </w:tc>
        <w:tc>
          <w:tcPr>
            <w:tcW w:w="481" w:type="pct"/>
            <w:vAlign w:val="bottom"/>
          </w:tcPr>
          <w:p w14:paraId="2A893701" w14:textId="77777777" w:rsidR="005B573E" w:rsidRPr="009E7447" w:rsidRDefault="005B573E" w:rsidP="00400DD1">
            <w:pPr>
              <w:pBdr>
                <w:bottom w:val="single" w:sz="4" w:space="1" w:color="auto"/>
              </w:pBdr>
              <w:spacing w:line="241" w:lineRule="auto"/>
              <w:rPr>
                <w:b/>
                <w:bCs/>
                <w:color w:val="000000"/>
                <w:sz w:val="18"/>
                <w:szCs w:val="18"/>
                <w:rtl/>
                <w:lang w:eastAsia="he-IL"/>
              </w:rPr>
            </w:pPr>
            <w:r w:rsidRPr="009E7447">
              <w:rPr>
                <w:rFonts w:hint="cs"/>
                <w:sz w:val="18"/>
                <w:szCs w:val="18"/>
                <w:rtl/>
              </w:rPr>
              <w:t xml:space="preserve"> 0</w:t>
            </w:r>
          </w:p>
        </w:tc>
        <w:tc>
          <w:tcPr>
            <w:tcW w:w="510" w:type="pct"/>
            <w:vAlign w:val="bottom"/>
          </w:tcPr>
          <w:p w14:paraId="6D0FE911" w14:textId="77777777" w:rsidR="005B573E" w:rsidRPr="009E7447" w:rsidRDefault="005B573E" w:rsidP="00400DD1">
            <w:pPr>
              <w:pBdr>
                <w:bottom w:val="single" w:sz="4" w:space="1" w:color="auto"/>
              </w:pBdr>
              <w:spacing w:line="241" w:lineRule="auto"/>
              <w:rPr>
                <w:b/>
                <w:bCs/>
                <w:color w:val="000000"/>
                <w:sz w:val="18"/>
                <w:szCs w:val="18"/>
                <w:rtl/>
                <w:lang w:eastAsia="he-IL"/>
              </w:rPr>
            </w:pPr>
            <w:r w:rsidRPr="009E7447">
              <w:rPr>
                <w:rFonts w:hint="cs"/>
                <w:sz w:val="18"/>
                <w:szCs w:val="18"/>
                <w:rtl/>
              </w:rPr>
              <w:t xml:space="preserve"> 0</w:t>
            </w:r>
          </w:p>
        </w:tc>
        <w:tc>
          <w:tcPr>
            <w:tcW w:w="411" w:type="pct"/>
            <w:vAlign w:val="bottom"/>
          </w:tcPr>
          <w:p w14:paraId="166D2ADD" w14:textId="77777777" w:rsidR="005B573E" w:rsidRPr="009E7447" w:rsidRDefault="005B573E" w:rsidP="00400DD1">
            <w:pPr>
              <w:pBdr>
                <w:bottom w:val="single" w:sz="4" w:space="1" w:color="auto"/>
              </w:pBdr>
              <w:spacing w:line="241" w:lineRule="auto"/>
              <w:rPr>
                <w:b/>
                <w:bCs/>
                <w:color w:val="000000"/>
                <w:sz w:val="18"/>
                <w:szCs w:val="18"/>
                <w:rtl/>
                <w:lang w:eastAsia="he-IL"/>
              </w:rPr>
            </w:pPr>
            <w:r w:rsidRPr="009E7447">
              <w:rPr>
                <w:rFonts w:hint="cs"/>
                <w:sz w:val="18"/>
                <w:szCs w:val="18"/>
                <w:rtl/>
              </w:rPr>
              <w:t>0</w:t>
            </w:r>
          </w:p>
        </w:tc>
      </w:tr>
      <w:tr w:rsidR="005B573E" w:rsidRPr="009E7447" w14:paraId="21B6825E" w14:textId="77777777" w:rsidTr="005B573E">
        <w:tc>
          <w:tcPr>
            <w:tcW w:w="542" w:type="pct"/>
          </w:tcPr>
          <w:p w14:paraId="5175F28C" w14:textId="77777777" w:rsidR="005B573E" w:rsidRPr="009E7447" w:rsidRDefault="005B573E" w:rsidP="00400DD1">
            <w:pPr>
              <w:spacing w:line="241" w:lineRule="auto"/>
              <w:rPr>
                <w:rtl/>
              </w:rPr>
            </w:pPr>
          </w:p>
        </w:tc>
        <w:tc>
          <w:tcPr>
            <w:tcW w:w="1504" w:type="pct"/>
            <w:vAlign w:val="bottom"/>
          </w:tcPr>
          <w:p w14:paraId="12543488" w14:textId="77777777" w:rsidR="005B573E" w:rsidRPr="00F35649" w:rsidRDefault="005B573E" w:rsidP="00F35649">
            <w:pPr>
              <w:spacing w:before="40" w:line="180" w:lineRule="exact"/>
              <w:ind w:left="142" w:right="142" w:hanging="142"/>
              <w:jc w:val="left"/>
              <w:rPr>
                <w:b/>
                <w:bCs/>
                <w:color w:val="000000"/>
                <w:sz w:val="18"/>
                <w:szCs w:val="18"/>
                <w:rtl/>
                <w:lang w:eastAsia="he-IL"/>
              </w:rPr>
            </w:pPr>
            <w:r w:rsidRPr="00F35649">
              <w:rPr>
                <w:rFonts w:hint="cs"/>
                <w:b/>
                <w:bCs/>
                <w:color w:val="000000"/>
                <w:sz w:val="18"/>
                <w:szCs w:val="18"/>
                <w:rtl/>
                <w:lang w:eastAsia="he-IL"/>
              </w:rPr>
              <w:t>סך הכל אשראי לציבור - פעילות בישראל</w:t>
            </w:r>
          </w:p>
        </w:tc>
        <w:tc>
          <w:tcPr>
            <w:tcW w:w="552" w:type="pct"/>
            <w:vAlign w:val="bottom"/>
          </w:tcPr>
          <w:p w14:paraId="436FFEBA" w14:textId="77777777" w:rsidR="005B573E" w:rsidRPr="009E7447" w:rsidRDefault="005B573E" w:rsidP="00400DD1">
            <w:pP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374" w:type="pct"/>
            <w:vAlign w:val="bottom"/>
          </w:tcPr>
          <w:p w14:paraId="3A8BFDB0" w14:textId="77777777" w:rsidR="005B573E" w:rsidRPr="009E7447" w:rsidRDefault="005B573E" w:rsidP="00400DD1">
            <w:pP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625" w:type="pct"/>
            <w:vAlign w:val="bottom"/>
          </w:tcPr>
          <w:p w14:paraId="279013CB" w14:textId="77777777" w:rsidR="005B573E" w:rsidRPr="009E7447" w:rsidRDefault="005B573E" w:rsidP="00400DD1">
            <w:pP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481" w:type="pct"/>
            <w:vAlign w:val="bottom"/>
          </w:tcPr>
          <w:p w14:paraId="5D5417D4" w14:textId="77777777" w:rsidR="005B573E" w:rsidRPr="009E7447" w:rsidRDefault="005B573E" w:rsidP="00400DD1">
            <w:pP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510" w:type="pct"/>
            <w:vAlign w:val="bottom"/>
          </w:tcPr>
          <w:p w14:paraId="7E230BFC" w14:textId="77777777" w:rsidR="005B573E" w:rsidRPr="009E7447" w:rsidRDefault="005B573E" w:rsidP="00400DD1">
            <w:pP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411" w:type="pct"/>
            <w:vAlign w:val="bottom"/>
          </w:tcPr>
          <w:p w14:paraId="218FB8F0" w14:textId="77777777" w:rsidR="005B573E" w:rsidRPr="009E7447" w:rsidRDefault="005B573E" w:rsidP="00400DD1">
            <w:pPr>
              <w:spacing w:line="241" w:lineRule="auto"/>
              <w:jc w:val="left"/>
              <w:rPr>
                <w:color w:val="000000"/>
                <w:sz w:val="18"/>
                <w:szCs w:val="18"/>
                <w:rtl/>
                <w:lang w:eastAsia="he-IL"/>
              </w:rPr>
            </w:pPr>
            <w:r w:rsidRPr="009E7447">
              <w:rPr>
                <w:rFonts w:hint="cs"/>
                <w:b/>
                <w:bCs/>
                <w:color w:val="000000"/>
                <w:sz w:val="18"/>
                <w:szCs w:val="18"/>
                <w:rtl/>
                <w:lang w:eastAsia="he-IL"/>
              </w:rPr>
              <w:t>0</w:t>
            </w:r>
          </w:p>
        </w:tc>
      </w:tr>
      <w:tr w:rsidR="005B573E" w:rsidRPr="009E7447" w14:paraId="37B88976" w14:textId="77777777" w:rsidTr="005B573E">
        <w:tc>
          <w:tcPr>
            <w:tcW w:w="542" w:type="pct"/>
          </w:tcPr>
          <w:p w14:paraId="71B405F2" w14:textId="77777777" w:rsidR="005B573E" w:rsidRPr="009E7447" w:rsidRDefault="005B573E" w:rsidP="00400DD1">
            <w:pPr>
              <w:bidi w:val="0"/>
              <w:spacing w:line="144" w:lineRule="auto"/>
              <w:rPr>
                <w:rtl/>
              </w:rPr>
            </w:pPr>
          </w:p>
        </w:tc>
        <w:tc>
          <w:tcPr>
            <w:tcW w:w="1504" w:type="pct"/>
            <w:vAlign w:val="bottom"/>
          </w:tcPr>
          <w:p w14:paraId="31BF582F" w14:textId="77777777" w:rsidR="005B573E" w:rsidRPr="00F35649" w:rsidRDefault="005B573E" w:rsidP="00400DD1">
            <w:pPr>
              <w:bidi w:val="0"/>
              <w:spacing w:line="144" w:lineRule="auto"/>
              <w:ind w:left="432" w:hanging="144"/>
              <w:rPr>
                <w:color w:val="000000"/>
                <w:sz w:val="18"/>
                <w:szCs w:val="18"/>
                <w:rtl/>
                <w:lang w:eastAsia="he-IL"/>
              </w:rPr>
            </w:pPr>
          </w:p>
        </w:tc>
        <w:tc>
          <w:tcPr>
            <w:tcW w:w="552" w:type="pct"/>
          </w:tcPr>
          <w:p w14:paraId="14A6E3E2" w14:textId="77777777" w:rsidR="005B573E" w:rsidRPr="009E7447" w:rsidRDefault="005B573E" w:rsidP="00400DD1">
            <w:pPr>
              <w:bidi w:val="0"/>
              <w:spacing w:line="144" w:lineRule="auto"/>
              <w:rPr>
                <w:sz w:val="18"/>
                <w:szCs w:val="18"/>
                <w:rtl/>
              </w:rPr>
            </w:pPr>
          </w:p>
        </w:tc>
        <w:tc>
          <w:tcPr>
            <w:tcW w:w="374" w:type="pct"/>
          </w:tcPr>
          <w:p w14:paraId="618122A7" w14:textId="77777777" w:rsidR="005B573E" w:rsidRPr="009E7447" w:rsidRDefault="005B573E" w:rsidP="00400DD1">
            <w:pPr>
              <w:bidi w:val="0"/>
              <w:spacing w:line="144" w:lineRule="auto"/>
              <w:rPr>
                <w:sz w:val="18"/>
                <w:szCs w:val="18"/>
                <w:rtl/>
              </w:rPr>
            </w:pPr>
          </w:p>
        </w:tc>
        <w:tc>
          <w:tcPr>
            <w:tcW w:w="625" w:type="pct"/>
          </w:tcPr>
          <w:p w14:paraId="321B3A6F" w14:textId="77777777" w:rsidR="005B573E" w:rsidRPr="009E7447" w:rsidRDefault="005B573E" w:rsidP="00400DD1">
            <w:pPr>
              <w:bidi w:val="0"/>
              <w:spacing w:line="144" w:lineRule="auto"/>
              <w:rPr>
                <w:sz w:val="18"/>
                <w:szCs w:val="18"/>
                <w:rtl/>
              </w:rPr>
            </w:pPr>
          </w:p>
        </w:tc>
        <w:tc>
          <w:tcPr>
            <w:tcW w:w="481" w:type="pct"/>
          </w:tcPr>
          <w:p w14:paraId="599D7F07" w14:textId="77777777" w:rsidR="005B573E" w:rsidRPr="009E7447" w:rsidRDefault="005B573E" w:rsidP="00400DD1">
            <w:pPr>
              <w:bidi w:val="0"/>
              <w:spacing w:line="144" w:lineRule="auto"/>
              <w:rPr>
                <w:sz w:val="18"/>
                <w:szCs w:val="18"/>
                <w:rtl/>
              </w:rPr>
            </w:pPr>
          </w:p>
        </w:tc>
        <w:tc>
          <w:tcPr>
            <w:tcW w:w="510" w:type="pct"/>
          </w:tcPr>
          <w:p w14:paraId="0A1F0D0F" w14:textId="77777777" w:rsidR="005B573E" w:rsidRPr="009E7447" w:rsidRDefault="005B573E" w:rsidP="00400DD1">
            <w:pPr>
              <w:bidi w:val="0"/>
              <w:spacing w:line="144" w:lineRule="auto"/>
              <w:rPr>
                <w:sz w:val="18"/>
                <w:szCs w:val="18"/>
                <w:rtl/>
              </w:rPr>
            </w:pPr>
          </w:p>
        </w:tc>
        <w:tc>
          <w:tcPr>
            <w:tcW w:w="411" w:type="pct"/>
          </w:tcPr>
          <w:p w14:paraId="64449FEF" w14:textId="77777777" w:rsidR="005B573E" w:rsidRPr="009E7447" w:rsidRDefault="005B573E" w:rsidP="00400DD1">
            <w:pPr>
              <w:bidi w:val="0"/>
              <w:spacing w:line="144" w:lineRule="auto"/>
              <w:rPr>
                <w:sz w:val="18"/>
                <w:szCs w:val="18"/>
                <w:rtl/>
              </w:rPr>
            </w:pPr>
          </w:p>
        </w:tc>
      </w:tr>
      <w:tr w:rsidR="005B573E" w:rsidRPr="009E7447" w14:paraId="39BAA0D8" w14:textId="77777777" w:rsidTr="005B573E">
        <w:tc>
          <w:tcPr>
            <w:tcW w:w="542" w:type="pct"/>
          </w:tcPr>
          <w:p w14:paraId="3D7E5473" w14:textId="77777777" w:rsidR="005B573E" w:rsidRPr="009E7447" w:rsidRDefault="005B573E" w:rsidP="00400DD1">
            <w:pPr>
              <w:spacing w:line="241" w:lineRule="auto"/>
              <w:rPr>
                <w:rtl/>
              </w:rPr>
            </w:pPr>
          </w:p>
        </w:tc>
        <w:tc>
          <w:tcPr>
            <w:tcW w:w="1504" w:type="pct"/>
            <w:vAlign w:val="bottom"/>
          </w:tcPr>
          <w:p w14:paraId="252A6B26" w14:textId="77777777" w:rsidR="005B573E" w:rsidRPr="00F35649" w:rsidRDefault="005B573E" w:rsidP="00400DD1">
            <w:pPr>
              <w:jc w:val="left"/>
              <w:rPr>
                <w:b/>
                <w:bCs/>
                <w:color w:val="000000"/>
                <w:sz w:val="18"/>
                <w:szCs w:val="18"/>
                <w:u w:val="single"/>
                <w:rtl/>
                <w:lang w:eastAsia="he-IL"/>
              </w:rPr>
            </w:pPr>
            <w:r w:rsidRPr="00F35649">
              <w:rPr>
                <w:rFonts w:hint="cs"/>
                <w:b/>
                <w:bCs/>
                <w:color w:val="000000"/>
                <w:sz w:val="18"/>
                <w:szCs w:val="18"/>
                <w:u w:val="single"/>
                <w:rtl/>
                <w:lang w:eastAsia="he-IL"/>
              </w:rPr>
              <w:t>פעילות לווים בחו"ל</w:t>
            </w:r>
          </w:p>
        </w:tc>
        <w:tc>
          <w:tcPr>
            <w:tcW w:w="552" w:type="pct"/>
            <w:vAlign w:val="bottom"/>
          </w:tcPr>
          <w:p w14:paraId="675D5A62" w14:textId="77777777" w:rsidR="005B573E" w:rsidRPr="009E7447" w:rsidRDefault="005B573E" w:rsidP="00400DD1">
            <w:pPr>
              <w:spacing w:line="241" w:lineRule="auto"/>
              <w:rPr>
                <w:sz w:val="18"/>
                <w:szCs w:val="18"/>
                <w:rtl/>
              </w:rPr>
            </w:pPr>
          </w:p>
        </w:tc>
        <w:tc>
          <w:tcPr>
            <w:tcW w:w="374" w:type="pct"/>
            <w:vAlign w:val="bottom"/>
          </w:tcPr>
          <w:p w14:paraId="036149AE" w14:textId="77777777" w:rsidR="005B573E" w:rsidRPr="009E7447" w:rsidRDefault="005B573E" w:rsidP="00400DD1">
            <w:pPr>
              <w:spacing w:line="241" w:lineRule="auto"/>
              <w:rPr>
                <w:sz w:val="18"/>
                <w:szCs w:val="18"/>
                <w:rtl/>
              </w:rPr>
            </w:pPr>
          </w:p>
        </w:tc>
        <w:tc>
          <w:tcPr>
            <w:tcW w:w="625" w:type="pct"/>
            <w:vAlign w:val="bottom"/>
          </w:tcPr>
          <w:p w14:paraId="46545727" w14:textId="77777777" w:rsidR="005B573E" w:rsidRPr="009E7447" w:rsidRDefault="005B573E" w:rsidP="00400DD1">
            <w:pPr>
              <w:spacing w:line="241" w:lineRule="auto"/>
              <w:rPr>
                <w:sz w:val="18"/>
                <w:szCs w:val="18"/>
                <w:rtl/>
              </w:rPr>
            </w:pPr>
          </w:p>
        </w:tc>
        <w:tc>
          <w:tcPr>
            <w:tcW w:w="481" w:type="pct"/>
            <w:vAlign w:val="bottom"/>
          </w:tcPr>
          <w:p w14:paraId="2CA03CD3" w14:textId="77777777" w:rsidR="005B573E" w:rsidRPr="009E7447" w:rsidRDefault="005B573E" w:rsidP="00400DD1">
            <w:pPr>
              <w:spacing w:line="241" w:lineRule="auto"/>
              <w:rPr>
                <w:sz w:val="18"/>
                <w:szCs w:val="18"/>
                <w:rtl/>
              </w:rPr>
            </w:pPr>
          </w:p>
        </w:tc>
        <w:tc>
          <w:tcPr>
            <w:tcW w:w="510" w:type="pct"/>
            <w:vAlign w:val="bottom"/>
          </w:tcPr>
          <w:p w14:paraId="1A4A3356" w14:textId="77777777" w:rsidR="005B573E" w:rsidRPr="009E7447" w:rsidRDefault="005B573E" w:rsidP="00400DD1">
            <w:pPr>
              <w:spacing w:line="241" w:lineRule="auto"/>
              <w:rPr>
                <w:sz w:val="18"/>
                <w:szCs w:val="18"/>
                <w:rtl/>
              </w:rPr>
            </w:pPr>
          </w:p>
        </w:tc>
        <w:tc>
          <w:tcPr>
            <w:tcW w:w="411" w:type="pct"/>
            <w:vAlign w:val="bottom"/>
          </w:tcPr>
          <w:p w14:paraId="2BA02510" w14:textId="77777777" w:rsidR="005B573E" w:rsidRPr="009E7447" w:rsidRDefault="005B573E" w:rsidP="00400DD1">
            <w:pPr>
              <w:spacing w:line="241" w:lineRule="auto"/>
              <w:rPr>
                <w:sz w:val="18"/>
                <w:szCs w:val="18"/>
                <w:rtl/>
              </w:rPr>
            </w:pPr>
          </w:p>
        </w:tc>
      </w:tr>
      <w:tr w:rsidR="005B573E" w:rsidRPr="009E7447" w14:paraId="3B5ABF68" w14:textId="77777777" w:rsidTr="005B573E">
        <w:tc>
          <w:tcPr>
            <w:tcW w:w="542" w:type="pct"/>
          </w:tcPr>
          <w:p w14:paraId="47B943A1" w14:textId="77777777" w:rsidR="005B573E" w:rsidRPr="009E7447" w:rsidRDefault="005B573E" w:rsidP="00400DD1">
            <w:pPr>
              <w:spacing w:line="241" w:lineRule="auto"/>
              <w:rPr>
                <w:rtl/>
              </w:rPr>
            </w:pPr>
          </w:p>
        </w:tc>
        <w:tc>
          <w:tcPr>
            <w:tcW w:w="1504" w:type="pct"/>
            <w:vAlign w:val="bottom"/>
          </w:tcPr>
          <w:p w14:paraId="06940C15" w14:textId="77777777" w:rsidR="005B573E" w:rsidRPr="00F35649" w:rsidRDefault="005B573E" w:rsidP="00F35649">
            <w:pPr>
              <w:spacing w:before="40" w:line="180" w:lineRule="exact"/>
              <w:ind w:left="142" w:right="142" w:hanging="142"/>
              <w:jc w:val="left"/>
              <w:rPr>
                <w:b/>
                <w:bCs/>
                <w:color w:val="000000"/>
                <w:sz w:val="18"/>
                <w:szCs w:val="18"/>
                <w:rtl/>
                <w:lang w:eastAsia="he-IL"/>
              </w:rPr>
            </w:pPr>
            <w:r w:rsidRPr="00F35649">
              <w:rPr>
                <w:rFonts w:hint="cs"/>
                <w:b/>
                <w:bCs/>
                <w:color w:val="000000"/>
                <w:sz w:val="18"/>
                <w:szCs w:val="18"/>
                <w:rtl/>
                <w:lang w:eastAsia="he-IL"/>
              </w:rPr>
              <w:t>סך הכל אשראי לציבור - פעילות בחו"ל</w:t>
            </w:r>
          </w:p>
        </w:tc>
        <w:tc>
          <w:tcPr>
            <w:tcW w:w="552" w:type="pct"/>
            <w:vAlign w:val="bottom"/>
          </w:tcPr>
          <w:p w14:paraId="78A0352D" w14:textId="77777777" w:rsidR="005B573E" w:rsidRPr="009E7447" w:rsidRDefault="005B573E" w:rsidP="00400DD1">
            <w:pPr>
              <w:pBdr>
                <w:bottom w:val="single" w:sz="4" w:space="1" w:color="auto"/>
              </w:pBd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374" w:type="pct"/>
            <w:vAlign w:val="bottom"/>
          </w:tcPr>
          <w:p w14:paraId="3524FE5A" w14:textId="77777777" w:rsidR="005B573E" w:rsidRPr="009E7447" w:rsidRDefault="005B573E" w:rsidP="00400DD1">
            <w:pPr>
              <w:pBdr>
                <w:bottom w:val="single" w:sz="4" w:space="1" w:color="auto"/>
              </w:pBd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625" w:type="pct"/>
            <w:vAlign w:val="bottom"/>
          </w:tcPr>
          <w:p w14:paraId="673E9809" w14:textId="77777777" w:rsidR="005B573E" w:rsidRPr="009E7447" w:rsidRDefault="005B573E" w:rsidP="00400DD1">
            <w:pPr>
              <w:pBdr>
                <w:bottom w:val="single" w:sz="4" w:space="1" w:color="auto"/>
              </w:pBd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481" w:type="pct"/>
            <w:vAlign w:val="bottom"/>
          </w:tcPr>
          <w:p w14:paraId="675B8D33" w14:textId="77777777" w:rsidR="005B573E" w:rsidRPr="009E7447" w:rsidRDefault="005B573E" w:rsidP="00400DD1">
            <w:pPr>
              <w:pBdr>
                <w:bottom w:val="single" w:sz="4" w:space="1" w:color="auto"/>
              </w:pBd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510" w:type="pct"/>
            <w:vAlign w:val="bottom"/>
          </w:tcPr>
          <w:p w14:paraId="3E44C800" w14:textId="77777777" w:rsidR="005B573E" w:rsidRPr="009E7447" w:rsidRDefault="005B573E" w:rsidP="00400DD1">
            <w:pPr>
              <w:pBdr>
                <w:bottom w:val="single" w:sz="4" w:space="1" w:color="auto"/>
              </w:pBdr>
              <w:spacing w:line="241" w:lineRule="auto"/>
              <w:ind w:left="144" w:hanging="144"/>
              <w:jc w:val="left"/>
              <w:rPr>
                <w:color w:val="000000"/>
                <w:sz w:val="18"/>
                <w:szCs w:val="18"/>
                <w:rtl/>
                <w:lang w:eastAsia="he-IL"/>
              </w:rPr>
            </w:pPr>
            <w:r w:rsidRPr="009E7447">
              <w:rPr>
                <w:rFonts w:hint="cs"/>
                <w:b/>
                <w:bCs/>
                <w:color w:val="000000"/>
                <w:sz w:val="18"/>
                <w:szCs w:val="18"/>
                <w:rtl/>
                <w:lang w:eastAsia="he-IL"/>
              </w:rPr>
              <w:t xml:space="preserve"> 0</w:t>
            </w:r>
          </w:p>
        </w:tc>
        <w:tc>
          <w:tcPr>
            <w:tcW w:w="411" w:type="pct"/>
            <w:vAlign w:val="bottom"/>
          </w:tcPr>
          <w:p w14:paraId="6FB9861B" w14:textId="77777777" w:rsidR="005B573E" w:rsidRPr="009E7447" w:rsidRDefault="005B573E" w:rsidP="00400DD1">
            <w:pPr>
              <w:pBdr>
                <w:bottom w:val="single" w:sz="4" w:space="1" w:color="auto"/>
              </w:pBdr>
              <w:spacing w:line="241" w:lineRule="auto"/>
              <w:jc w:val="left"/>
              <w:rPr>
                <w:color w:val="000000"/>
                <w:sz w:val="18"/>
                <w:szCs w:val="18"/>
                <w:rtl/>
                <w:lang w:eastAsia="he-IL"/>
              </w:rPr>
            </w:pPr>
            <w:r w:rsidRPr="009E7447">
              <w:rPr>
                <w:rFonts w:hint="cs"/>
                <w:b/>
                <w:bCs/>
                <w:color w:val="000000"/>
                <w:sz w:val="18"/>
                <w:szCs w:val="18"/>
                <w:rtl/>
                <w:lang w:eastAsia="he-IL"/>
              </w:rPr>
              <w:t>0</w:t>
            </w:r>
          </w:p>
        </w:tc>
      </w:tr>
      <w:tr w:rsidR="005B573E" w:rsidRPr="009E7447" w14:paraId="51DDF275" w14:textId="77777777" w:rsidTr="005B573E">
        <w:trPr>
          <w:trHeight w:val="259"/>
        </w:trPr>
        <w:tc>
          <w:tcPr>
            <w:tcW w:w="542" w:type="pct"/>
          </w:tcPr>
          <w:p w14:paraId="236DCD87" w14:textId="77777777" w:rsidR="005B573E" w:rsidRPr="009E7447" w:rsidRDefault="005B573E" w:rsidP="00400DD1">
            <w:pPr>
              <w:spacing w:line="241" w:lineRule="auto"/>
              <w:rPr>
                <w:rtl/>
              </w:rPr>
            </w:pPr>
          </w:p>
        </w:tc>
        <w:tc>
          <w:tcPr>
            <w:tcW w:w="1504" w:type="pct"/>
            <w:vAlign w:val="bottom"/>
          </w:tcPr>
          <w:p w14:paraId="307B2E26" w14:textId="77777777" w:rsidR="005B573E" w:rsidRPr="00F35649" w:rsidRDefault="005B573E" w:rsidP="00400DD1">
            <w:pPr>
              <w:spacing w:line="241" w:lineRule="auto"/>
              <w:ind w:left="144" w:hanging="144"/>
              <w:jc w:val="left"/>
              <w:rPr>
                <w:b/>
                <w:bCs/>
                <w:color w:val="000000"/>
                <w:sz w:val="18"/>
                <w:szCs w:val="18"/>
                <w:rtl/>
                <w:lang w:eastAsia="he-IL"/>
              </w:rPr>
            </w:pPr>
            <w:r w:rsidRPr="00F35649">
              <w:rPr>
                <w:rFonts w:hint="cs"/>
                <w:b/>
                <w:bCs/>
                <w:color w:val="000000"/>
                <w:sz w:val="18"/>
                <w:szCs w:val="18"/>
                <w:rtl/>
                <w:lang w:eastAsia="he-IL"/>
              </w:rPr>
              <w:t>סך הכל אשראי לציבור</w:t>
            </w:r>
          </w:p>
        </w:tc>
        <w:tc>
          <w:tcPr>
            <w:tcW w:w="552" w:type="pct"/>
            <w:vAlign w:val="bottom"/>
          </w:tcPr>
          <w:p w14:paraId="00A642EC" w14:textId="77777777" w:rsidR="005B573E" w:rsidRPr="00B55481" w:rsidRDefault="005B573E" w:rsidP="00400DD1">
            <w:pPr>
              <w:pBdr>
                <w:bottom w:val="double" w:sz="4" w:space="1" w:color="auto"/>
              </w:pBdr>
              <w:spacing w:line="241" w:lineRule="auto"/>
              <w:ind w:left="144" w:hanging="144"/>
              <w:jc w:val="left"/>
              <w:rPr>
                <w:b/>
                <w:bCs/>
                <w:color w:val="000000"/>
                <w:sz w:val="18"/>
                <w:szCs w:val="18"/>
                <w:rtl/>
                <w:lang w:eastAsia="he-IL"/>
              </w:rPr>
            </w:pPr>
            <w:r w:rsidRPr="00B55481">
              <w:rPr>
                <w:rFonts w:hint="cs"/>
                <w:b/>
                <w:bCs/>
                <w:color w:val="000000"/>
                <w:sz w:val="18"/>
                <w:szCs w:val="18"/>
                <w:rtl/>
                <w:lang w:eastAsia="he-IL"/>
              </w:rPr>
              <w:t xml:space="preserve"> 0</w:t>
            </w:r>
          </w:p>
        </w:tc>
        <w:tc>
          <w:tcPr>
            <w:tcW w:w="374" w:type="pct"/>
            <w:vAlign w:val="bottom"/>
          </w:tcPr>
          <w:p w14:paraId="0562066B" w14:textId="77777777" w:rsidR="005B573E" w:rsidRPr="00B55481" w:rsidRDefault="005B573E" w:rsidP="00400DD1">
            <w:pPr>
              <w:pBdr>
                <w:bottom w:val="double" w:sz="4" w:space="1" w:color="auto"/>
              </w:pBdr>
              <w:spacing w:line="241" w:lineRule="auto"/>
              <w:ind w:left="144" w:hanging="144"/>
              <w:jc w:val="left"/>
              <w:rPr>
                <w:b/>
                <w:bCs/>
                <w:color w:val="000000"/>
                <w:sz w:val="18"/>
                <w:szCs w:val="18"/>
                <w:rtl/>
                <w:lang w:eastAsia="he-IL"/>
              </w:rPr>
            </w:pPr>
            <w:r w:rsidRPr="00B55481">
              <w:rPr>
                <w:rFonts w:hint="cs"/>
                <w:b/>
                <w:bCs/>
                <w:color w:val="000000"/>
                <w:sz w:val="18"/>
                <w:szCs w:val="18"/>
                <w:rtl/>
                <w:lang w:eastAsia="he-IL"/>
              </w:rPr>
              <w:t xml:space="preserve"> 0</w:t>
            </w:r>
          </w:p>
        </w:tc>
        <w:tc>
          <w:tcPr>
            <w:tcW w:w="625" w:type="pct"/>
            <w:vAlign w:val="bottom"/>
          </w:tcPr>
          <w:p w14:paraId="1C9CF092" w14:textId="77777777" w:rsidR="005B573E" w:rsidRPr="00B55481" w:rsidRDefault="005B573E" w:rsidP="00400DD1">
            <w:pPr>
              <w:pBdr>
                <w:bottom w:val="double" w:sz="4" w:space="1" w:color="auto"/>
              </w:pBdr>
              <w:spacing w:line="241" w:lineRule="auto"/>
              <w:ind w:left="144" w:hanging="144"/>
              <w:jc w:val="left"/>
              <w:rPr>
                <w:b/>
                <w:bCs/>
                <w:color w:val="000000"/>
                <w:sz w:val="18"/>
                <w:szCs w:val="18"/>
                <w:rtl/>
                <w:lang w:eastAsia="he-IL"/>
              </w:rPr>
            </w:pPr>
            <w:r w:rsidRPr="00B55481">
              <w:rPr>
                <w:rFonts w:hint="cs"/>
                <w:b/>
                <w:bCs/>
                <w:color w:val="000000"/>
                <w:sz w:val="18"/>
                <w:szCs w:val="18"/>
                <w:rtl/>
                <w:lang w:eastAsia="he-IL"/>
              </w:rPr>
              <w:t xml:space="preserve"> 0</w:t>
            </w:r>
          </w:p>
        </w:tc>
        <w:tc>
          <w:tcPr>
            <w:tcW w:w="481" w:type="pct"/>
            <w:vAlign w:val="bottom"/>
          </w:tcPr>
          <w:p w14:paraId="4BC5CAC4" w14:textId="77777777" w:rsidR="005B573E" w:rsidRPr="00B55481" w:rsidRDefault="005B573E" w:rsidP="00400DD1">
            <w:pPr>
              <w:pBdr>
                <w:bottom w:val="double" w:sz="4" w:space="1" w:color="auto"/>
              </w:pBdr>
              <w:spacing w:line="241" w:lineRule="auto"/>
              <w:ind w:left="144" w:hanging="144"/>
              <w:jc w:val="left"/>
              <w:rPr>
                <w:color w:val="000000"/>
                <w:sz w:val="18"/>
                <w:szCs w:val="18"/>
                <w:rtl/>
                <w:lang w:eastAsia="he-IL"/>
              </w:rPr>
            </w:pPr>
            <w:r w:rsidRPr="00B55481">
              <w:rPr>
                <w:rFonts w:hint="cs"/>
                <w:b/>
                <w:bCs/>
                <w:color w:val="000000"/>
                <w:sz w:val="18"/>
                <w:szCs w:val="18"/>
                <w:rtl/>
                <w:lang w:eastAsia="he-IL"/>
              </w:rPr>
              <w:t xml:space="preserve"> 0</w:t>
            </w:r>
          </w:p>
        </w:tc>
        <w:tc>
          <w:tcPr>
            <w:tcW w:w="510" w:type="pct"/>
            <w:vAlign w:val="bottom"/>
          </w:tcPr>
          <w:p w14:paraId="7E00A4D1" w14:textId="77777777" w:rsidR="005B573E" w:rsidRPr="00B55481" w:rsidRDefault="005B573E" w:rsidP="00400DD1">
            <w:pPr>
              <w:pBdr>
                <w:bottom w:val="double" w:sz="4" w:space="1" w:color="auto"/>
              </w:pBdr>
              <w:spacing w:line="241" w:lineRule="auto"/>
              <w:ind w:left="144" w:hanging="144"/>
              <w:jc w:val="left"/>
              <w:rPr>
                <w:color w:val="000000"/>
                <w:sz w:val="18"/>
                <w:szCs w:val="18"/>
                <w:rtl/>
                <w:lang w:eastAsia="he-IL"/>
              </w:rPr>
            </w:pPr>
            <w:r w:rsidRPr="00B55481">
              <w:rPr>
                <w:rFonts w:hint="cs"/>
                <w:b/>
                <w:bCs/>
                <w:color w:val="000000"/>
                <w:sz w:val="18"/>
                <w:szCs w:val="18"/>
                <w:rtl/>
                <w:lang w:eastAsia="he-IL"/>
              </w:rPr>
              <w:t xml:space="preserve"> 0</w:t>
            </w:r>
          </w:p>
        </w:tc>
        <w:tc>
          <w:tcPr>
            <w:tcW w:w="411" w:type="pct"/>
            <w:vAlign w:val="bottom"/>
          </w:tcPr>
          <w:p w14:paraId="79BFE5C0" w14:textId="77777777" w:rsidR="005B573E" w:rsidRPr="00B55481" w:rsidRDefault="005B573E" w:rsidP="00400DD1">
            <w:pPr>
              <w:pBdr>
                <w:bottom w:val="double" w:sz="4" w:space="1" w:color="auto"/>
              </w:pBdr>
              <w:spacing w:line="241" w:lineRule="auto"/>
              <w:jc w:val="left"/>
              <w:rPr>
                <w:color w:val="000000"/>
                <w:sz w:val="18"/>
                <w:szCs w:val="18"/>
                <w:rtl/>
                <w:lang w:eastAsia="he-IL"/>
              </w:rPr>
            </w:pPr>
            <w:r w:rsidRPr="00B55481">
              <w:rPr>
                <w:rFonts w:hint="cs"/>
                <w:b/>
                <w:bCs/>
                <w:color w:val="000000"/>
                <w:sz w:val="18"/>
                <w:szCs w:val="18"/>
                <w:rtl/>
                <w:lang w:eastAsia="he-IL"/>
              </w:rPr>
              <w:t>0</w:t>
            </w:r>
          </w:p>
        </w:tc>
      </w:tr>
      <w:tr w:rsidR="005B573E" w:rsidRPr="009E7447" w14:paraId="296B0F65" w14:textId="77777777" w:rsidTr="005B573E">
        <w:trPr>
          <w:trHeight w:val="227"/>
        </w:trPr>
        <w:tc>
          <w:tcPr>
            <w:tcW w:w="542" w:type="pct"/>
          </w:tcPr>
          <w:p w14:paraId="4AAB4826" w14:textId="77777777" w:rsidR="005B573E" w:rsidRPr="009E7447" w:rsidRDefault="005B573E" w:rsidP="00400DD1">
            <w:pPr>
              <w:rPr>
                <w:rtl/>
              </w:rPr>
            </w:pPr>
          </w:p>
        </w:tc>
        <w:tc>
          <w:tcPr>
            <w:tcW w:w="1504" w:type="pct"/>
            <w:vAlign w:val="bottom"/>
          </w:tcPr>
          <w:p w14:paraId="7BF14C16" w14:textId="77777777" w:rsidR="005B573E" w:rsidRPr="00F35649" w:rsidRDefault="005B573E" w:rsidP="00400DD1">
            <w:pPr>
              <w:ind w:left="144" w:hanging="144"/>
              <w:jc w:val="left"/>
              <w:rPr>
                <w:color w:val="000000"/>
                <w:sz w:val="18"/>
                <w:szCs w:val="18"/>
                <w:rtl/>
                <w:lang w:eastAsia="he-IL"/>
              </w:rPr>
            </w:pPr>
            <w:r w:rsidRPr="00F35649">
              <w:rPr>
                <w:rFonts w:hint="cs"/>
                <w:color w:val="000000"/>
                <w:sz w:val="18"/>
                <w:szCs w:val="18"/>
                <w:rtl/>
                <w:lang w:eastAsia="he-IL"/>
              </w:rPr>
              <w:t>מזה:</w:t>
            </w:r>
          </w:p>
        </w:tc>
        <w:tc>
          <w:tcPr>
            <w:tcW w:w="552" w:type="pct"/>
          </w:tcPr>
          <w:p w14:paraId="7300EDF6" w14:textId="77777777" w:rsidR="005B573E" w:rsidRPr="009E7447" w:rsidRDefault="005B573E" w:rsidP="00400DD1">
            <w:pPr>
              <w:spacing w:line="241" w:lineRule="auto"/>
              <w:rPr>
                <w:sz w:val="18"/>
                <w:szCs w:val="18"/>
                <w:rtl/>
              </w:rPr>
            </w:pPr>
          </w:p>
        </w:tc>
        <w:tc>
          <w:tcPr>
            <w:tcW w:w="374" w:type="pct"/>
          </w:tcPr>
          <w:p w14:paraId="05B5EDE2" w14:textId="77777777" w:rsidR="005B573E" w:rsidRPr="009E7447" w:rsidRDefault="005B573E" w:rsidP="00400DD1">
            <w:pPr>
              <w:spacing w:line="241" w:lineRule="auto"/>
              <w:rPr>
                <w:sz w:val="18"/>
                <w:szCs w:val="18"/>
                <w:rtl/>
              </w:rPr>
            </w:pPr>
          </w:p>
        </w:tc>
        <w:tc>
          <w:tcPr>
            <w:tcW w:w="625" w:type="pct"/>
          </w:tcPr>
          <w:p w14:paraId="2F739FCA" w14:textId="77777777" w:rsidR="005B573E" w:rsidRPr="009E7447" w:rsidRDefault="005B573E" w:rsidP="00400DD1">
            <w:pPr>
              <w:spacing w:line="241" w:lineRule="auto"/>
              <w:rPr>
                <w:sz w:val="18"/>
                <w:szCs w:val="18"/>
                <w:rtl/>
              </w:rPr>
            </w:pPr>
          </w:p>
        </w:tc>
        <w:tc>
          <w:tcPr>
            <w:tcW w:w="481" w:type="pct"/>
          </w:tcPr>
          <w:p w14:paraId="01C5D411" w14:textId="77777777" w:rsidR="005B573E" w:rsidRPr="009E7447" w:rsidRDefault="005B573E" w:rsidP="00400DD1">
            <w:pPr>
              <w:spacing w:line="241" w:lineRule="auto"/>
              <w:rPr>
                <w:sz w:val="18"/>
                <w:szCs w:val="18"/>
                <w:rtl/>
              </w:rPr>
            </w:pPr>
          </w:p>
        </w:tc>
        <w:tc>
          <w:tcPr>
            <w:tcW w:w="510" w:type="pct"/>
          </w:tcPr>
          <w:p w14:paraId="1D652ED3" w14:textId="77777777" w:rsidR="005B573E" w:rsidRPr="009E7447" w:rsidRDefault="005B573E" w:rsidP="00400DD1">
            <w:pPr>
              <w:spacing w:line="241" w:lineRule="auto"/>
              <w:rPr>
                <w:rtl/>
              </w:rPr>
            </w:pPr>
          </w:p>
        </w:tc>
        <w:tc>
          <w:tcPr>
            <w:tcW w:w="411" w:type="pct"/>
          </w:tcPr>
          <w:p w14:paraId="4DC2134B" w14:textId="77777777" w:rsidR="005B573E" w:rsidRPr="009E7447" w:rsidRDefault="005B573E" w:rsidP="00400DD1">
            <w:pPr>
              <w:spacing w:line="241" w:lineRule="auto"/>
              <w:rPr>
                <w:rtl/>
              </w:rPr>
            </w:pPr>
          </w:p>
        </w:tc>
      </w:tr>
      <w:tr w:rsidR="005B573E" w:rsidRPr="009E7447" w14:paraId="5F19B447" w14:textId="77777777" w:rsidTr="005B573E">
        <w:trPr>
          <w:trHeight w:val="227"/>
        </w:trPr>
        <w:tc>
          <w:tcPr>
            <w:tcW w:w="542" w:type="pct"/>
          </w:tcPr>
          <w:p w14:paraId="0B3A65CB" w14:textId="77777777" w:rsidR="005B573E" w:rsidRPr="009E7447" w:rsidRDefault="005B573E" w:rsidP="00400DD1">
            <w:pPr>
              <w:rPr>
                <w:rtl/>
              </w:rPr>
            </w:pPr>
          </w:p>
        </w:tc>
        <w:tc>
          <w:tcPr>
            <w:tcW w:w="1504" w:type="pct"/>
            <w:vAlign w:val="bottom"/>
          </w:tcPr>
          <w:p w14:paraId="29C3C0DF" w14:textId="77777777" w:rsidR="005B573E" w:rsidRPr="00F35649" w:rsidRDefault="005B573E" w:rsidP="00400DD1">
            <w:pPr>
              <w:ind w:left="142" w:right="-113" w:hanging="142"/>
              <w:jc w:val="left"/>
              <w:rPr>
                <w:color w:val="000000"/>
                <w:sz w:val="18"/>
                <w:szCs w:val="18"/>
                <w:rtl/>
                <w:lang w:eastAsia="he-IL"/>
              </w:rPr>
            </w:pPr>
            <w:r w:rsidRPr="00F35649">
              <w:rPr>
                <w:rFonts w:hint="cs"/>
                <w:color w:val="000000"/>
                <w:sz w:val="18"/>
                <w:szCs w:val="18"/>
                <w:rtl/>
                <w:lang w:eastAsia="he-IL"/>
              </w:rPr>
              <w:t>נמדד פרטנית לפי ערך נוכחי של תזרימי מזומנים</w:t>
            </w:r>
          </w:p>
        </w:tc>
        <w:tc>
          <w:tcPr>
            <w:tcW w:w="552" w:type="pct"/>
            <w:vAlign w:val="bottom"/>
          </w:tcPr>
          <w:p w14:paraId="55CAEEE5" w14:textId="77777777" w:rsidR="005B573E" w:rsidRPr="009E7447" w:rsidRDefault="005B573E"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374" w:type="pct"/>
            <w:vAlign w:val="bottom"/>
          </w:tcPr>
          <w:p w14:paraId="653BB6C2" w14:textId="77777777" w:rsidR="005B573E" w:rsidRPr="009E7447" w:rsidRDefault="005B573E"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625" w:type="pct"/>
            <w:vAlign w:val="bottom"/>
          </w:tcPr>
          <w:p w14:paraId="3EDF1C13" w14:textId="77777777" w:rsidR="005B573E" w:rsidRPr="009E7447" w:rsidRDefault="005B573E"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481" w:type="pct"/>
            <w:vAlign w:val="bottom"/>
          </w:tcPr>
          <w:p w14:paraId="1044D873" w14:textId="77777777" w:rsidR="005B573E" w:rsidRPr="009E7447" w:rsidRDefault="005B573E"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510" w:type="pct"/>
            <w:vAlign w:val="bottom"/>
          </w:tcPr>
          <w:p w14:paraId="3C307B8F" w14:textId="77777777" w:rsidR="005B573E" w:rsidRPr="009E7447" w:rsidRDefault="005B573E" w:rsidP="00400DD1">
            <w:pPr>
              <w:pBdr>
                <w:bottom w:val="single" w:sz="4" w:space="1" w:color="auto"/>
              </w:pBdr>
              <w:spacing w:line="241" w:lineRule="auto"/>
              <w:rPr>
                <w:rtl/>
              </w:rPr>
            </w:pPr>
            <w:r w:rsidRPr="009E7447">
              <w:rPr>
                <w:rFonts w:hint="cs"/>
                <w:sz w:val="18"/>
                <w:szCs w:val="18"/>
                <w:rtl/>
              </w:rPr>
              <w:t>0</w:t>
            </w:r>
          </w:p>
        </w:tc>
        <w:tc>
          <w:tcPr>
            <w:tcW w:w="411" w:type="pct"/>
            <w:vAlign w:val="bottom"/>
          </w:tcPr>
          <w:p w14:paraId="2B00F73D" w14:textId="77777777" w:rsidR="005B573E" w:rsidRPr="009E7447" w:rsidRDefault="005B573E" w:rsidP="00400DD1">
            <w:pPr>
              <w:spacing w:line="241" w:lineRule="auto"/>
              <w:rPr>
                <w:rtl/>
              </w:rPr>
            </w:pPr>
          </w:p>
        </w:tc>
      </w:tr>
      <w:tr w:rsidR="005B573E" w:rsidRPr="009E7447" w14:paraId="2214241C" w14:textId="77777777" w:rsidTr="005B573E">
        <w:trPr>
          <w:trHeight w:hRule="exact" w:val="72"/>
        </w:trPr>
        <w:tc>
          <w:tcPr>
            <w:tcW w:w="542" w:type="pct"/>
          </w:tcPr>
          <w:p w14:paraId="7825EED1" w14:textId="77777777" w:rsidR="005B573E" w:rsidRPr="009E7447" w:rsidRDefault="005B573E" w:rsidP="00400DD1">
            <w:pPr>
              <w:rPr>
                <w:rtl/>
              </w:rPr>
            </w:pPr>
          </w:p>
        </w:tc>
        <w:tc>
          <w:tcPr>
            <w:tcW w:w="1504" w:type="pct"/>
            <w:vAlign w:val="bottom"/>
          </w:tcPr>
          <w:p w14:paraId="756E1BF9" w14:textId="77777777" w:rsidR="005B573E" w:rsidRPr="00F35649" w:rsidRDefault="005B573E" w:rsidP="00400DD1">
            <w:pPr>
              <w:spacing w:line="241" w:lineRule="auto"/>
              <w:ind w:left="144" w:hanging="144"/>
              <w:jc w:val="left"/>
              <w:rPr>
                <w:color w:val="000000"/>
                <w:sz w:val="18"/>
                <w:szCs w:val="18"/>
                <w:u w:val="single"/>
                <w:rtl/>
                <w:lang w:eastAsia="he-IL"/>
              </w:rPr>
            </w:pPr>
          </w:p>
        </w:tc>
        <w:tc>
          <w:tcPr>
            <w:tcW w:w="552" w:type="pct"/>
          </w:tcPr>
          <w:p w14:paraId="1C341732" w14:textId="77777777" w:rsidR="005B573E" w:rsidRPr="009E7447" w:rsidRDefault="005B573E" w:rsidP="00400DD1">
            <w:pPr>
              <w:spacing w:line="241" w:lineRule="auto"/>
              <w:jc w:val="center"/>
              <w:rPr>
                <w:sz w:val="18"/>
                <w:szCs w:val="18"/>
                <w:rtl/>
              </w:rPr>
            </w:pPr>
          </w:p>
        </w:tc>
        <w:tc>
          <w:tcPr>
            <w:tcW w:w="374" w:type="pct"/>
          </w:tcPr>
          <w:p w14:paraId="156A96D5" w14:textId="77777777" w:rsidR="005B573E" w:rsidRPr="009E7447" w:rsidRDefault="005B573E" w:rsidP="00400DD1">
            <w:pPr>
              <w:spacing w:line="241" w:lineRule="auto"/>
              <w:jc w:val="center"/>
              <w:rPr>
                <w:sz w:val="18"/>
                <w:szCs w:val="18"/>
                <w:rtl/>
              </w:rPr>
            </w:pPr>
          </w:p>
        </w:tc>
        <w:tc>
          <w:tcPr>
            <w:tcW w:w="625" w:type="pct"/>
          </w:tcPr>
          <w:p w14:paraId="35292FAA" w14:textId="77777777" w:rsidR="005B573E" w:rsidRPr="009E7447" w:rsidRDefault="005B573E" w:rsidP="00400DD1">
            <w:pPr>
              <w:spacing w:line="241" w:lineRule="auto"/>
              <w:jc w:val="center"/>
              <w:rPr>
                <w:sz w:val="18"/>
                <w:szCs w:val="18"/>
                <w:rtl/>
              </w:rPr>
            </w:pPr>
          </w:p>
        </w:tc>
        <w:tc>
          <w:tcPr>
            <w:tcW w:w="481" w:type="pct"/>
          </w:tcPr>
          <w:p w14:paraId="08164EC6" w14:textId="77777777" w:rsidR="005B573E" w:rsidRPr="009E7447" w:rsidRDefault="005B573E" w:rsidP="00400DD1">
            <w:pPr>
              <w:spacing w:line="241" w:lineRule="auto"/>
              <w:jc w:val="center"/>
              <w:rPr>
                <w:sz w:val="18"/>
                <w:szCs w:val="18"/>
                <w:rtl/>
              </w:rPr>
            </w:pPr>
          </w:p>
        </w:tc>
        <w:tc>
          <w:tcPr>
            <w:tcW w:w="510" w:type="pct"/>
          </w:tcPr>
          <w:p w14:paraId="5AD8B661" w14:textId="77777777" w:rsidR="005B573E" w:rsidRPr="009E7447" w:rsidRDefault="005B573E" w:rsidP="00400DD1">
            <w:pPr>
              <w:spacing w:line="241" w:lineRule="auto"/>
              <w:rPr>
                <w:rtl/>
              </w:rPr>
            </w:pPr>
          </w:p>
        </w:tc>
        <w:tc>
          <w:tcPr>
            <w:tcW w:w="411" w:type="pct"/>
          </w:tcPr>
          <w:p w14:paraId="46D986C6" w14:textId="77777777" w:rsidR="005B573E" w:rsidRPr="009E7447" w:rsidRDefault="005B573E" w:rsidP="00400DD1">
            <w:pPr>
              <w:spacing w:line="241" w:lineRule="auto"/>
              <w:rPr>
                <w:rtl/>
              </w:rPr>
            </w:pPr>
          </w:p>
        </w:tc>
      </w:tr>
      <w:tr w:rsidR="005B573E" w:rsidRPr="009E7447" w14:paraId="5D3B95A7" w14:textId="77777777" w:rsidTr="005B573E">
        <w:trPr>
          <w:trHeight w:val="227"/>
        </w:trPr>
        <w:tc>
          <w:tcPr>
            <w:tcW w:w="542" w:type="pct"/>
          </w:tcPr>
          <w:p w14:paraId="79BA1944" w14:textId="77777777" w:rsidR="005B573E" w:rsidRPr="009E7447" w:rsidRDefault="005B573E" w:rsidP="00400DD1">
            <w:pPr>
              <w:rPr>
                <w:rtl/>
              </w:rPr>
            </w:pPr>
          </w:p>
        </w:tc>
        <w:tc>
          <w:tcPr>
            <w:tcW w:w="1504" w:type="pct"/>
            <w:vAlign w:val="bottom"/>
          </w:tcPr>
          <w:p w14:paraId="7F15AC11" w14:textId="77777777" w:rsidR="005B573E" w:rsidRPr="00F35649" w:rsidRDefault="005B573E" w:rsidP="00400DD1">
            <w:pPr>
              <w:spacing w:line="241" w:lineRule="auto"/>
              <w:ind w:left="144" w:hanging="144"/>
              <w:jc w:val="left"/>
              <w:rPr>
                <w:color w:val="000000"/>
                <w:sz w:val="18"/>
                <w:szCs w:val="18"/>
                <w:rtl/>
                <w:lang w:eastAsia="he-IL"/>
              </w:rPr>
            </w:pPr>
            <w:r w:rsidRPr="00F35649">
              <w:rPr>
                <w:rFonts w:hint="cs"/>
                <w:color w:val="000000"/>
                <w:sz w:val="18"/>
                <w:szCs w:val="18"/>
                <w:rtl/>
                <w:lang w:eastAsia="he-IL"/>
              </w:rPr>
              <w:t>נמדד פרטנית לפי שווי הוגן של ביטחון</w:t>
            </w:r>
          </w:p>
        </w:tc>
        <w:tc>
          <w:tcPr>
            <w:tcW w:w="552" w:type="pct"/>
            <w:vAlign w:val="bottom"/>
          </w:tcPr>
          <w:p w14:paraId="7D77017B" w14:textId="77777777" w:rsidR="005B573E" w:rsidRPr="009E7447" w:rsidRDefault="005B573E"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374" w:type="pct"/>
            <w:vAlign w:val="bottom"/>
          </w:tcPr>
          <w:p w14:paraId="5980CEE2" w14:textId="77777777" w:rsidR="005B573E" w:rsidRPr="009E7447" w:rsidRDefault="005B573E"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625" w:type="pct"/>
            <w:vAlign w:val="bottom"/>
          </w:tcPr>
          <w:p w14:paraId="3D8D900A" w14:textId="77777777" w:rsidR="005B573E" w:rsidRPr="009E7447" w:rsidRDefault="005B573E" w:rsidP="00400DD1">
            <w:pPr>
              <w:pBdr>
                <w:bottom w:val="single" w:sz="4" w:space="1" w:color="auto"/>
              </w:pBdr>
              <w:spacing w:line="241" w:lineRule="auto"/>
              <w:rPr>
                <w:b/>
                <w:bCs/>
                <w:sz w:val="18"/>
                <w:szCs w:val="18"/>
                <w:rtl/>
              </w:rPr>
            </w:pPr>
            <w:r w:rsidRPr="009E7447">
              <w:rPr>
                <w:rFonts w:hint="cs"/>
                <w:sz w:val="18"/>
                <w:szCs w:val="18"/>
                <w:rtl/>
              </w:rPr>
              <w:t xml:space="preserve"> 0</w:t>
            </w:r>
          </w:p>
        </w:tc>
        <w:tc>
          <w:tcPr>
            <w:tcW w:w="481" w:type="pct"/>
            <w:vAlign w:val="bottom"/>
          </w:tcPr>
          <w:p w14:paraId="7ADBA499" w14:textId="77777777" w:rsidR="005B573E" w:rsidRPr="009E7447" w:rsidRDefault="005B573E" w:rsidP="00400DD1">
            <w:pPr>
              <w:pBdr>
                <w:bottom w:val="single" w:sz="4" w:space="1" w:color="auto"/>
              </w:pBdr>
              <w:spacing w:line="241" w:lineRule="auto"/>
              <w:rPr>
                <w:b/>
                <w:bCs/>
                <w:sz w:val="18"/>
                <w:szCs w:val="18"/>
                <w:rtl/>
              </w:rPr>
            </w:pPr>
            <w:r w:rsidRPr="009E7447">
              <w:rPr>
                <w:rFonts w:hint="cs"/>
                <w:sz w:val="18"/>
                <w:szCs w:val="18"/>
                <w:rtl/>
              </w:rPr>
              <w:t xml:space="preserve"> </w:t>
            </w:r>
            <w:r>
              <w:rPr>
                <w:rFonts w:hint="cs"/>
                <w:sz w:val="18"/>
                <w:szCs w:val="18"/>
                <w:rtl/>
              </w:rPr>
              <w:t>0</w:t>
            </w:r>
          </w:p>
        </w:tc>
        <w:tc>
          <w:tcPr>
            <w:tcW w:w="510" w:type="pct"/>
            <w:vAlign w:val="bottom"/>
          </w:tcPr>
          <w:p w14:paraId="57468109" w14:textId="77777777" w:rsidR="005B573E" w:rsidRPr="009E7447" w:rsidRDefault="005B573E" w:rsidP="00400DD1">
            <w:pPr>
              <w:pBdr>
                <w:bottom w:val="single" w:sz="4" w:space="1" w:color="auto"/>
              </w:pBdr>
              <w:spacing w:line="241" w:lineRule="auto"/>
              <w:rPr>
                <w:b/>
                <w:bCs/>
                <w:rtl/>
              </w:rPr>
            </w:pPr>
            <w:r w:rsidRPr="009E7447">
              <w:rPr>
                <w:rFonts w:hint="cs"/>
                <w:sz w:val="18"/>
                <w:szCs w:val="18"/>
                <w:rtl/>
              </w:rPr>
              <w:t>0</w:t>
            </w:r>
          </w:p>
        </w:tc>
        <w:tc>
          <w:tcPr>
            <w:tcW w:w="411" w:type="pct"/>
            <w:vAlign w:val="bottom"/>
          </w:tcPr>
          <w:p w14:paraId="46D10F0F" w14:textId="77777777" w:rsidR="005B573E" w:rsidRPr="009E7447" w:rsidRDefault="005B573E" w:rsidP="00400DD1">
            <w:pPr>
              <w:spacing w:line="241" w:lineRule="auto"/>
              <w:rPr>
                <w:rtl/>
              </w:rPr>
            </w:pPr>
          </w:p>
        </w:tc>
      </w:tr>
      <w:tr w:rsidR="005B573E" w:rsidRPr="009E7447" w14:paraId="7151491C" w14:textId="77777777" w:rsidTr="005B573E">
        <w:trPr>
          <w:trHeight w:val="227"/>
        </w:trPr>
        <w:tc>
          <w:tcPr>
            <w:tcW w:w="542" w:type="pct"/>
          </w:tcPr>
          <w:p w14:paraId="51E91463" w14:textId="77777777" w:rsidR="005B573E" w:rsidRPr="009E7447" w:rsidRDefault="005B573E" w:rsidP="00400DD1">
            <w:pPr>
              <w:rPr>
                <w:rtl/>
              </w:rPr>
            </w:pPr>
          </w:p>
        </w:tc>
        <w:tc>
          <w:tcPr>
            <w:tcW w:w="1504" w:type="pct"/>
            <w:vAlign w:val="bottom"/>
          </w:tcPr>
          <w:p w14:paraId="6331F264" w14:textId="77777777" w:rsidR="005B573E" w:rsidRPr="00F35649" w:rsidRDefault="005B573E" w:rsidP="00400DD1">
            <w:pPr>
              <w:spacing w:line="241" w:lineRule="auto"/>
              <w:ind w:left="144" w:hanging="144"/>
              <w:jc w:val="left"/>
              <w:rPr>
                <w:color w:val="000000"/>
                <w:sz w:val="18"/>
                <w:szCs w:val="18"/>
                <w:rtl/>
                <w:lang w:eastAsia="he-IL"/>
              </w:rPr>
            </w:pPr>
            <w:r w:rsidRPr="00F35649">
              <w:rPr>
                <w:rFonts w:hint="cs"/>
                <w:color w:val="000000"/>
                <w:sz w:val="18"/>
                <w:szCs w:val="18"/>
                <w:rtl/>
                <w:lang w:eastAsia="he-IL"/>
              </w:rPr>
              <w:t>נמדד על בסיס קבוצתי</w:t>
            </w:r>
          </w:p>
        </w:tc>
        <w:tc>
          <w:tcPr>
            <w:tcW w:w="552" w:type="pct"/>
            <w:vAlign w:val="bottom"/>
          </w:tcPr>
          <w:p w14:paraId="0E2CC651" w14:textId="77777777" w:rsidR="005B573E" w:rsidRPr="009E7447" w:rsidRDefault="005B573E" w:rsidP="00400DD1">
            <w:pPr>
              <w:pBdr>
                <w:bottom w:val="single" w:sz="4" w:space="1" w:color="auto"/>
              </w:pBdr>
              <w:spacing w:line="241" w:lineRule="auto"/>
              <w:rPr>
                <w:sz w:val="18"/>
                <w:szCs w:val="18"/>
                <w:rtl/>
              </w:rPr>
            </w:pPr>
            <w:r w:rsidRPr="009E7447">
              <w:rPr>
                <w:rFonts w:hint="cs"/>
                <w:sz w:val="18"/>
                <w:szCs w:val="18"/>
                <w:rtl/>
              </w:rPr>
              <w:t xml:space="preserve"> 0     </w:t>
            </w:r>
          </w:p>
        </w:tc>
        <w:tc>
          <w:tcPr>
            <w:tcW w:w="374" w:type="pct"/>
            <w:vAlign w:val="bottom"/>
          </w:tcPr>
          <w:p w14:paraId="66C0B8B0" w14:textId="77777777" w:rsidR="005B573E" w:rsidRPr="009E7447" w:rsidRDefault="005B573E" w:rsidP="00400DD1">
            <w:pPr>
              <w:pBdr>
                <w:bottom w:val="single" w:sz="4" w:space="1" w:color="auto"/>
              </w:pBdr>
              <w:spacing w:line="241" w:lineRule="auto"/>
              <w:rPr>
                <w:sz w:val="18"/>
                <w:szCs w:val="18"/>
                <w:rtl/>
              </w:rPr>
            </w:pPr>
            <w:r w:rsidRPr="009E7447">
              <w:rPr>
                <w:rFonts w:hint="cs"/>
                <w:sz w:val="18"/>
                <w:szCs w:val="18"/>
                <w:rtl/>
              </w:rPr>
              <w:t xml:space="preserve"> 0</w:t>
            </w:r>
          </w:p>
        </w:tc>
        <w:tc>
          <w:tcPr>
            <w:tcW w:w="625" w:type="pct"/>
            <w:vAlign w:val="bottom"/>
          </w:tcPr>
          <w:p w14:paraId="0A7A18AC" w14:textId="77777777" w:rsidR="005B573E" w:rsidRPr="009E7447" w:rsidRDefault="005B573E" w:rsidP="00400DD1">
            <w:pPr>
              <w:pBdr>
                <w:bottom w:val="single" w:sz="4" w:space="1" w:color="auto"/>
              </w:pBdr>
              <w:spacing w:line="241" w:lineRule="auto"/>
              <w:rPr>
                <w:sz w:val="18"/>
                <w:szCs w:val="18"/>
                <w:rtl/>
              </w:rPr>
            </w:pPr>
            <w:r w:rsidRPr="009E7447">
              <w:rPr>
                <w:rFonts w:hint="cs"/>
                <w:sz w:val="18"/>
                <w:szCs w:val="18"/>
                <w:rtl/>
              </w:rPr>
              <w:t xml:space="preserve"> 0</w:t>
            </w:r>
          </w:p>
        </w:tc>
        <w:tc>
          <w:tcPr>
            <w:tcW w:w="481" w:type="pct"/>
            <w:vAlign w:val="bottom"/>
          </w:tcPr>
          <w:p w14:paraId="09114512" w14:textId="77777777" w:rsidR="005B573E" w:rsidRPr="009E7447" w:rsidRDefault="005B573E" w:rsidP="00400DD1">
            <w:pPr>
              <w:pBdr>
                <w:bottom w:val="single" w:sz="4" w:space="1" w:color="auto"/>
              </w:pBdr>
              <w:spacing w:line="241" w:lineRule="auto"/>
              <w:rPr>
                <w:sz w:val="18"/>
                <w:szCs w:val="18"/>
                <w:rtl/>
              </w:rPr>
            </w:pPr>
            <w:r w:rsidRPr="009E7447">
              <w:rPr>
                <w:rFonts w:hint="cs"/>
                <w:sz w:val="18"/>
                <w:szCs w:val="18"/>
                <w:rtl/>
              </w:rPr>
              <w:t xml:space="preserve"> 0</w:t>
            </w:r>
          </w:p>
        </w:tc>
        <w:tc>
          <w:tcPr>
            <w:tcW w:w="510" w:type="pct"/>
            <w:vAlign w:val="bottom"/>
          </w:tcPr>
          <w:p w14:paraId="76937B0F" w14:textId="77777777" w:rsidR="005B573E" w:rsidRPr="009E7447" w:rsidRDefault="005B573E" w:rsidP="00400DD1">
            <w:pPr>
              <w:pBdr>
                <w:bottom w:val="single" w:sz="4" w:space="1" w:color="auto"/>
              </w:pBdr>
              <w:spacing w:line="241" w:lineRule="auto"/>
              <w:rPr>
                <w:sz w:val="18"/>
                <w:szCs w:val="18"/>
                <w:rtl/>
              </w:rPr>
            </w:pPr>
            <w:r w:rsidRPr="009E7447">
              <w:rPr>
                <w:rFonts w:hint="cs"/>
                <w:sz w:val="18"/>
                <w:szCs w:val="18"/>
                <w:rtl/>
              </w:rPr>
              <w:t>0</w:t>
            </w:r>
          </w:p>
        </w:tc>
        <w:tc>
          <w:tcPr>
            <w:tcW w:w="411" w:type="pct"/>
            <w:vAlign w:val="bottom"/>
          </w:tcPr>
          <w:p w14:paraId="12E4DF25" w14:textId="77777777" w:rsidR="005B573E" w:rsidRPr="009E7447" w:rsidRDefault="005B573E" w:rsidP="00400DD1">
            <w:pPr>
              <w:spacing w:line="241" w:lineRule="auto"/>
              <w:rPr>
                <w:rtl/>
              </w:rPr>
            </w:pPr>
          </w:p>
        </w:tc>
      </w:tr>
      <w:tr w:rsidR="005B573E" w:rsidRPr="009E7447" w14:paraId="733611B7" w14:textId="77777777" w:rsidTr="005B573E">
        <w:tc>
          <w:tcPr>
            <w:tcW w:w="542" w:type="pct"/>
          </w:tcPr>
          <w:p w14:paraId="566E99A0" w14:textId="77777777" w:rsidR="005B573E" w:rsidRPr="009E7447" w:rsidRDefault="005B573E" w:rsidP="00400DD1">
            <w:pPr>
              <w:bidi w:val="0"/>
              <w:rPr>
                <w:sz w:val="10"/>
                <w:szCs w:val="10"/>
                <w:rtl/>
              </w:rPr>
            </w:pPr>
          </w:p>
        </w:tc>
        <w:tc>
          <w:tcPr>
            <w:tcW w:w="1504" w:type="pct"/>
            <w:vAlign w:val="bottom"/>
          </w:tcPr>
          <w:p w14:paraId="1D97F066" w14:textId="77777777" w:rsidR="005B573E" w:rsidRPr="009E7447" w:rsidRDefault="005B573E" w:rsidP="00400DD1">
            <w:pPr>
              <w:bidi w:val="0"/>
              <w:ind w:left="144" w:hanging="144"/>
              <w:rPr>
                <w:color w:val="000000"/>
                <w:sz w:val="10"/>
                <w:szCs w:val="10"/>
                <w:u w:val="single"/>
                <w:rtl/>
                <w:lang w:eastAsia="he-IL"/>
              </w:rPr>
            </w:pPr>
          </w:p>
        </w:tc>
        <w:tc>
          <w:tcPr>
            <w:tcW w:w="552" w:type="pct"/>
          </w:tcPr>
          <w:p w14:paraId="68EE43E8" w14:textId="77777777" w:rsidR="005B573E" w:rsidRPr="009E7447" w:rsidRDefault="005B573E" w:rsidP="00400DD1">
            <w:pPr>
              <w:bidi w:val="0"/>
              <w:rPr>
                <w:sz w:val="10"/>
                <w:szCs w:val="10"/>
                <w:rtl/>
              </w:rPr>
            </w:pPr>
          </w:p>
        </w:tc>
        <w:tc>
          <w:tcPr>
            <w:tcW w:w="374" w:type="pct"/>
          </w:tcPr>
          <w:p w14:paraId="17B006BB" w14:textId="77777777" w:rsidR="005B573E" w:rsidRPr="009E7447" w:rsidRDefault="005B573E" w:rsidP="00400DD1">
            <w:pPr>
              <w:bidi w:val="0"/>
              <w:rPr>
                <w:sz w:val="10"/>
                <w:szCs w:val="10"/>
                <w:rtl/>
              </w:rPr>
            </w:pPr>
          </w:p>
        </w:tc>
        <w:tc>
          <w:tcPr>
            <w:tcW w:w="625" w:type="pct"/>
          </w:tcPr>
          <w:p w14:paraId="56FEF98A" w14:textId="77777777" w:rsidR="005B573E" w:rsidRPr="009E7447" w:rsidRDefault="005B573E" w:rsidP="00400DD1">
            <w:pPr>
              <w:bidi w:val="0"/>
              <w:rPr>
                <w:sz w:val="10"/>
                <w:szCs w:val="10"/>
                <w:rtl/>
              </w:rPr>
            </w:pPr>
          </w:p>
        </w:tc>
        <w:tc>
          <w:tcPr>
            <w:tcW w:w="481" w:type="pct"/>
          </w:tcPr>
          <w:p w14:paraId="0EB81986" w14:textId="77777777" w:rsidR="005B573E" w:rsidRPr="009E7447" w:rsidRDefault="005B573E" w:rsidP="00400DD1">
            <w:pPr>
              <w:bidi w:val="0"/>
              <w:rPr>
                <w:sz w:val="10"/>
                <w:szCs w:val="10"/>
                <w:rtl/>
              </w:rPr>
            </w:pPr>
          </w:p>
        </w:tc>
        <w:tc>
          <w:tcPr>
            <w:tcW w:w="510" w:type="pct"/>
          </w:tcPr>
          <w:p w14:paraId="47B7DCDB" w14:textId="77777777" w:rsidR="005B573E" w:rsidRPr="009E7447" w:rsidRDefault="005B573E" w:rsidP="00400DD1">
            <w:pPr>
              <w:bidi w:val="0"/>
              <w:rPr>
                <w:sz w:val="10"/>
                <w:szCs w:val="10"/>
                <w:rtl/>
              </w:rPr>
            </w:pPr>
          </w:p>
        </w:tc>
        <w:tc>
          <w:tcPr>
            <w:tcW w:w="411" w:type="pct"/>
          </w:tcPr>
          <w:p w14:paraId="73A099B8" w14:textId="77777777" w:rsidR="005B573E" w:rsidRPr="009E7447" w:rsidRDefault="005B573E" w:rsidP="00400DD1">
            <w:pPr>
              <w:bidi w:val="0"/>
              <w:rPr>
                <w:sz w:val="10"/>
                <w:szCs w:val="10"/>
                <w:rtl/>
              </w:rPr>
            </w:pPr>
          </w:p>
        </w:tc>
      </w:tr>
    </w:tbl>
    <w:p w14:paraId="00739887" w14:textId="6B88D782" w:rsidR="00FC112F" w:rsidRDefault="00FC112F">
      <w:pPr>
        <w:rPr>
          <w:rtl/>
        </w:rPr>
      </w:pPr>
    </w:p>
    <w:p w14:paraId="3A72BE64" w14:textId="77777777" w:rsidR="001B0E06" w:rsidRDefault="001B0E06">
      <w:pPr>
        <w:rPr>
          <w:rtl/>
        </w:rPr>
      </w:pPr>
    </w:p>
    <w:p w14:paraId="7BC08CD6" w14:textId="77777777" w:rsidR="00F35649" w:rsidRDefault="00F35649"/>
    <w:tbl>
      <w:tblPr>
        <w:bidiVisual/>
        <w:tblW w:w="4999" w:type="pct"/>
        <w:tblLook w:val="01E0" w:firstRow="1" w:lastRow="1" w:firstColumn="1" w:lastColumn="1" w:noHBand="0" w:noVBand="0"/>
      </w:tblPr>
      <w:tblGrid>
        <w:gridCol w:w="992"/>
        <w:gridCol w:w="9213"/>
      </w:tblGrid>
      <w:tr w:rsidR="006D5457" w:rsidRPr="009E7447" w14:paraId="7FC1D4ED" w14:textId="77777777" w:rsidTr="006D5457">
        <w:trPr>
          <w:trHeight w:val="245"/>
        </w:trPr>
        <w:tc>
          <w:tcPr>
            <w:tcW w:w="486" w:type="pct"/>
            <w:shd w:val="clear" w:color="auto" w:fill="auto"/>
          </w:tcPr>
          <w:p w14:paraId="1E800D01" w14:textId="77777777" w:rsidR="006D5457" w:rsidRPr="009E7447" w:rsidRDefault="006D5457" w:rsidP="00400DD1">
            <w:pPr>
              <w:spacing w:line="240" w:lineRule="exact"/>
              <w:rPr>
                <w:sz w:val="18"/>
                <w:szCs w:val="18"/>
                <w:rtl/>
              </w:rPr>
            </w:pPr>
          </w:p>
        </w:tc>
        <w:tc>
          <w:tcPr>
            <w:tcW w:w="4514" w:type="pct"/>
            <w:shd w:val="clear" w:color="auto" w:fill="auto"/>
          </w:tcPr>
          <w:p w14:paraId="09DD097E" w14:textId="77777777" w:rsidR="006D5457" w:rsidRPr="00454B47" w:rsidRDefault="006D5457" w:rsidP="00454B47">
            <w:pPr>
              <w:numPr>
                <w:ilvl w:val="0"/>
                <w:numId w:val="32"/>
              </w:numPr>
              <w:spacing w:after="60"/>
              <w:rPr>
                <w:sz w:val="17"/>
                <w:szCs w:val="17"/>
                <w:rtl/>
              </w:rPr>
            </w:pPr>
            <w:r w:rsidRPr="00454B47">
              <w:rPr>
                <w:rFonts w:hint="cs"/>
                <w:sz w:val="17"/>
                <w:szCs w:val="17"/>
                <w:rtl/>
              </w:rPr>
              <w:t>יתרת חוב רשומה.</w:t>
            </w:r>
          </w:p>
        </w:tc>
      </w:tr>
      <w:tr w:rsidR="006D5457" w:rsidRPr="009E7447" w14:paraId="6C11EBA3" w14:textId="77777777" w:rsidTr="006D5457">
        <w:trPr>
          <w:trHeight w:val="245"/>
        </w:trPr>
        <w:tc>
          <w:tcPr>
            <w:tcW w:w="486" w:type="pct"/>
            <w:shd w:val="clear" w:color="auto" w:fill="auto"/>
          </w:tcPr>
          <w:p w14:paraId="4A12841B" w14:textId="77777777" w:rsidR="006D5457" w:rsidRPr="009E7447" w:rsidRDefault="006D5457" w:rsidP="00400DD1">
            <w:pPr>
              <w:spacing w:line="240" w:lineRule="exact"/>
              <w:rPr>
                <w:sz w:val="18"/>
                <w:szCs w:val="18"/>
                <w:rtl/>
              </w:rPr>
            </w:pPr>
          </w:p>
        </w:tc>
        <w:tc>
          <w:tcPr>
            <w:tcW w:w="4514" w:type="pct"/>
            <w:shd w:val="clear" w:color="auto" w:fill="auto"/>
          </w:tcPr>
          <w:p w14:paraId="40112053" w14:textId="77777777" w:rsidR="006D5457" w:rsidRPr="00454B47" w:rsidRDefault="006D5457" w:rsidP="00454B47">
            <w:pPr>
              <w:numPr>
                <w:ilvl w:val="0"/>
                <w:numId w:val="32"/>
              </w:numPr>
              <w:spacing w:after="60"/>
              <w:ind w:left="357" w:hanging="357"/>
              <w:rPr>
                <w:sz w:val="17"/>
                <w:szCs w:val="17"/>
                <w:rtl/>
              </w:rPr>
            </w:pPr>
            <w:r w:rsidRPr="00454B47">
              <w:rPr>
                <w:rFonts w:hint="cs"/>
                <w:sz w:val="17"/>
                <w:szCs w:val="17"/>
                <w:shd w:val="clear" w:color="auto" w:fill="E4FFDF"/>
              </w:rPr>
              <w:t xml:space="preserve"> </w:t>
            </w:r>
            <w:r w:rsidRPr="00454B47">
              <w:rPr>
                <w:rFonts w:hint="cs"/>
                <w:sz w:val="17"/>
                <w:szCs w:val="17"/>
                <w:rtl/>
              </w:rPr>
              <w:t>אילו החובות שאינם צוברים היו צוברים ריבית לפי התנאים המקוריים היו נרשמות הכנסות ריבית בסך ___ ש"ח.</w:t>
            </w:r>
          </w:p>
        </w:tc>
      </w:tr>
      <w:tr w:rsidR="006D5457" w:rsidRPr="009E7447" w14:paraId="30AC0B56" w14:textId="77777777" w:rsidTr="006D5457">
        <w:trPr>
          <w:trHeight w:val="245"/>
        </w:trPr>
        <w:tc>
          <w:tcPr>
            <w:tcW w:w="486" w:type="pct"/>
            <w:shd w:val="clear" w:color="auto" w:fill="auto"/>
          </w:tcPr>
          <w:p w14:paraId="0689C41B" w14:textId="77777777" w:rsidR="006D5457" w:rsidRPr="009E7447" w:rsidRDefault="006D5457" w:rsidP="00400DD1">
            <w:pPr>
              <w:spacing w:line="240" w:lineRule="exact"/>
              <w:rPr>
                <w:sz w:val="18"/>
                <w:szCs w:val="18"/>
                <w:rtl/>
              </w:rPr>
            </w:pPr>
          </w:p>
        </w:tc>
        <w:tc>
          <w:tcPr>
            <w:tcW w:w="4514" w:type="pct"/>
            <w:tcBorders>
              <w:left w:val="nil"/>
            </w:tcBorders>
            <w:shd w:val="clear" w:color="auto" w:fill="auto"/>
          </w:tcPr>
          <w:p w14:paraId="7E3E2205" w14:textId="78BCFEEF" w:rsidR="006D5457" w:rsidRPr="00454B47" w:rsidRDefault="006D5457" w:rsidP="00454B47">
            <w:pPr>
              <w:numPr>
                <w:ilvl w:val="0"/>
                <w:numId w:val="32"/>
              </w:numPr>
              <w:spacing w:after="60"/>
              <w:ind w:left="357" w:hanging="357"/>
              <w:rPr>
                <w:sz w:val="17"/>
                <w:szCs w:val="17"/>
                <w:rtl/>
              </w:rPr>
            </w:pPr>
            <w:r w:rsidRPr="00454B47">
              <w:rPr>
                <w:rFonts w:hint="cs"/>
                <w:sz w:val="17"/>
                <w:szCs w:val="17"/>
                <w:rtl/>
              </w:rPr>
              <w:t xml:space="preserve">סך יתרת החוב הרשומה הממוצעת של חובות לא צוברים לתקופה שהסתיימה </w:t>
            </w:r>
            <w:r w:rsidRPr="00454B47">
              <w:rPr>
                <w:sz w:val="17"/>
                <w:szCs w:val="17"/>
                <w:rtl/>
              </w:rPr>
              <w:t xml:space="preserve">ליום 31 בדצמבר </w:t>
            </w:r>
            <w:r w:rsidRPr="00454B47">
              <w:rPr>
                <w:sz w:val="17"/>
                <w:szCs w:val="17"/>
                <w:rtl/>
              </w:rPr>
              <w:fldChar w:fldCharType="begin"/>
            </w:r>
            <w:r w:rsidRPr="00454B47">
              <w:rPr>
                <w:sz w:val="17"/>
                <w:szCs w:val="17"/>
                <w:rtl/>
              </w:rPr>
              <w:instrText xml:space="preserve"> </w:instrText>
            </w:r>
            <w:r w:rsidRPr="00454B47">
              <w:rPr>
                <w:rFonts w:hint="cs"/>
                <w:sz w:val="17"/>
                <w:szCs w:val="17"/>
                <w:rtl/>
              </w:rPr>
              <w:instrText xml:space="preserve">= </w:instrText>
            </w:r>
            <w:r w:rsidRPr="00454B47">
              <w:rPr>
                <w:rFonts w:hint="cs"/>
                <w:sz w:val="17"/>
                <w:szCs w:val="17"/>
              </w:rPr>
              <w:instrText>CY</w:instrText>
            </w:r>
            <w:r w:rsidRPr="00454B47">
              <w:rPr>
                <w:sz w:val="17"/>
                <w:szCs w:val="17"/>
              </w:rPr>
              <w:instrText>-1</w:instrText>
            </w:r>
            <w:r w:rsidRPr="00454B47">
              <w:rPr>
                <w:rFonts w:hint="cs"/>
                <w:sz w:val="17"/>
                <w:szCs w:val="17"/>
              </w:rPr>
              <w:instrText xml:space="preserve"> \* MERGEFORMAT</w:instrText>
            </w:r>
            <w:r w:rsidRPr="00454B47">
              <w:rPr>
                <w:sz w:val="17"/>
                <w:szCs w:val="17"/>
                <w:rtl/>
              </w:rPr>
              <w:instrText xml:space="preserve"> </w:instrText>
            </w:r>
            <w:r w:rsidRPr="00454B47">
              <w:rPr>
                <w:sz w:val="17"/>
                <w:szCs w:val="17"/>
                <w:rtl/>
              </w:rPr>
              <w:fldChar w:fldCharType="separate"/>
            </w:r>
            <w:r>
              <w:rPr>
                <w:noProof/>
                <w:sz w:val="17"/>
                <w:szCs w:val="17"/>
                <w:rtl/>
              </w:rPr>
              <w:t>2023</w:t>
            </w:r>
            <w:r w:rsidRPr="00454B47">
              <w:rPr>
                <w:sz w:val="17"/>
                <w:szCs w:val="17"/>
                <w:rtl/>
              </w:rPr>
              <w:fldChar w:fldCharType="end"/>
            </w:r>
            <w:r w:rsidRPr="00454B47">
              <w:rPr>
                <w:rFonts w:hint="cs"/>
                <w:sz w:val="17"/>
                <w:szCs w:val="17"/>
                <w:rtl/>
              </w:rPr>
              <w:t xml:space="preserve"> הינה בסך ___ ש"ח.</w:t>
            </w:r>
          </w:p>
        </w:tc>
      </w:tr>
      <w:tr w:rsidR="006D5457" w:rsidRPr="009E7447" w14:paraId="4694FBA9" w14:textId="77777777" w:rsidTr="006D5457">
        <w:trPr>
          <w:trHeight w:val="245"/>
        </w:trPr>
        <w:tc>
          <w:tcPr>
            <w:tcW w:w="486" w:type="pct"/>
            <w:shd w:val="clear" w:color="auto" w:fill="auto"/>
          </w:tcPr>
          <w:p w14:paraId="533B9CE9" w14:textId="77777777" w:rsidR="006D5457" w:rsidRPr="009E7447" w:rsidRDefault="006D5457" w:rsidP="00400DD1">
            <w:pPr>
              <w:spacing w:line="240" w:lineRule="exact"/>
              <w:rPr>
                <w:sz w:val="18"/>
                <w:szCs w:val="18"/>
                <w:rtl/>
              </w:rPr>
            </w:pPr>
          </w:p>
        </w:tc>
        <w:tc>
          <w:tcPr>
            <w:tcW w:w="4514" w:type="pct"/>
            <w:tcBorders>
              <w:left w:val="nil"/>
            </w:tcBorders>
            <w:shd w:val="clear" w:color="auto" w:fill="auto"/>
          </w:tcPr>
          <w:p w14:paraId="53D5A7D8" w14:textId="77777777" w:rsidR="006D5457" w:rsidRPr="00454B47" w:rsidRDefault="006D5457" w:rsidP="00454B47">
            <w:pPr>
              <w:numPr>
                <w:ilvl w:val="0"/>
                <w:numId w:val="32"/>
              </w:numPr>
              <w:spacing w:after="60"/>
              <w:ind w:left="357" w:hanging="357"/>
              <w:rPr>
                <w:sz w:val="17"/>
                <w:szCs w:val="17"/>
                <w:rtl/>
              </w:rPr>
            </w:pPr>
            <w:r w:rsidRPr="00454B47">
              <w:rPr>
                <w:rFonts w:hint="cs"/>
                <w:sz w:val="17"/>
                <w:szCs w:val="17"/>
                <w:rtl/>
              </w:rPr>
              <w:t>סכום הכנסות הריבית שנרשמו בתקופת הדיווח, בגין היתרה הממוצעת של החובות הלא צוברים.</w:t>
            </w:r>
          </w:p>
        </w:tc>
      </w:tr>
    </w:tbl>
    <w:p w14:paraId="0C6EF8EB" w14:textId="3F4E4C4F" w:rsidR="00FC112F" w:rsidRPr="00454B47" w:rsidRDefault="00FC112F">
      <w:pPr>
        <w:rPr>
          <w:rtl/>
        </w:rPr>
      </w:pPr>
    </w:p>
    <w:p w14:paraId="39D255D4" w14:textId="5EEC666F" w:rsidR="00FC112F" w:rsidRDefault="00FC112F">
      <w:pPr>
        <w:bidi w:val="0"/>
        <w:jc w:val="left"/>
      </w:pPr>
      <w:r>
        <w:rPr>
          <w:rtl/>
        </w:rPr>
        <w:br w:type="page"/>
      </w:r>
    </w:p>
    <w:p w14:paraId="68690377" w14:textId="77777777" w:rsidR="00D346BE" w:rsidRDefault="00D346BE">
      <w:pPr>
        <w:rPr>
          <w:rtl/>
        </w:rPr>
      </w:pPr>
    </w:p>
    <w:tbl>
      <w:tblPr>
        <w:bidiVisual/>
        <w:tblW w:w="5000" w:type="pct"/>
        <w:tblInd w:w="287" w:type="dxa"/>
        <w:tblLook w:val="04A0" w:firstRow="1" w:lastRow="0" w:firstColumn="1" w:lastColumn="0" w:noHBand="0" w:noVBand="1"/>
      </w:tblPr>
      <w:tblGrid>
        <w:gridCol w:w="1224"/>
        <w:gridCol w:w="328"/>
        <w:gridCol w:w="68"/>
        <w:gridCol w:w="3543"/>
        <w:gridCol w:w="888"/>
        <w:gridCol w:w="1127"/>
        <w:gridCol w:w="1211"/>
        <w:gridCol w:w="700"/>
        <w:gridCol w:w="896"/>
        <w:gridCol w:w="163"/>
        <w:gridCol w:w="59"/>
      </w:tblGrid>
      <w:tr w:rsidR="00D346BE" w:rsidRPr="00D346BE" w14:paraId="1B03FB48" w14:textId="77777777" w:rsidTr="00B65F7C">
        <w:trPr>
          <w:trHeight w:val="259"/>
        </w:trPr>
        <w:tc>
          <w:tcPr>
            <w:tcW w:w="600" w:type="pct"/>
          </w:tcPr>
          <w:p w14:paraId="3EDF7ADA" w14:textId="77777777" w:rsidR="00D346BE" w:rsidRPr="00D346BE" w:rsidRDefault="00D346BE" w:rsidP="00424195">
            <w:pPr>
              <w:spacing w:after="60"/>
              <w:ind w:right="-144"/>
              <w:rPr>
                <w:rFonts w:asciiTheme="minorBidi" w:hAnsiTheme="minorBidi" w:cstheme="minorBidi"/>
                <w:spacing w:val="-6"/>
                <w:sz w:val="18"/>
                <w:szCs w:val="18"/>
              </w:rPr>
            </w:pPr>
          </w:p>
        </w:tc>
        <w:tc>
          <w:tcPr>
            <w:tcW w:w="4400" w:type="pct"/>
            <w:gridSpan w:val="10"/>
            <w:hideMark/>
          </w:tcPr>
          <w:p w14:paraId="1E78CAAC" w14:textId="77777777" w:rsidR="00D346BE" w:rsidRPr="005B240E" w:rsidRDefault="00D346BE" w:rsidP="00424195">
            <w:pPr>
              <w:spacing w:after="60"/>
              <w:rPr>
                <w:rFonts w:asciiTheme="minorBidi" w:hAnsiTheme="minorBidi" w:cstheme="minorBidi"/>
                <w:b/>
                <w:bCs/>
                <w:rtl/>
              </w:rPr>
            </w:pPr>
            <w:r w:rsidRPr="005B240E">
              <w:rPr>
                <w:rFonts w:asciiTheme="minorBidi" w:hAnsiTheme="minorBidi" w:cstheme="minorBidi"/>
                <w:b/>
                <w:bCs/>
                <w:rtl/>
              </w:rPr>
              <w:t>ביאור 12  -  מידע נוסף על סיכון אשראי, אשראי לציבור והפרשה להפסדי אשראי (המשך):</w:t>
            </w:r>
          </w:p>
        </w:tc>
      </w:tr>
      <w:tr w:rsidR="00D346BE" w:rsidRPr="00D346BE" w14:paraId="185A9BC8" w14:textId="77777777" w:rsidTr="00B65F7C">
        <w:trPr>
          <w:trHeight w:val="245"/>
        </w:trPr>
        <w:tc>
          <w:tcPr>
            <w:tcW w:w="600" w:type="pct"/>
          </w:tcPr>
          <w:p w14:paraId="02CBC7FC" w14:textId="77777777" w:rsidR="00D346BE" w:rsidRPr="00D346BE" w:rsidRDefault="00D346BE" w:rsidP="00424195">
            <w:pPr>
              <w:spacing w:before="100" w:after="60"/>
              <w:rPr>
                <w:rFonts w:asciiTheme="minorBidi" w:hAnsiTheme="minorBidi" w:cstheme="minorBidi"/>
                <w:sz w:val="18"/>
                <w:szCs w:val="18"/>
                <w:rtl/>
              </w:rPr>
            </w:pPr>
          </w:p>
        </w:tc>
        <w:tc>
          <w:tcPr>
            <w:tcW w:w="193" w:type="pct"/>
            <w:gridSpan w:val="2"/>
            <w:hideMark/>
          </w:tcPr>
          <w:p w14:paraId="5EC3C551" w14:textId="77777777" w:rsidR="00D346BE" w:rsidRPr="005B240E" w:rsidRDefault="00D346BE" w:rsidP="00424195">
            <w:pPr>
              <w:spacing w:before="60" w:after="60"/>
              <w:rPr>
                <w:rFonts w:asciiTheme="minorBidi" w:hAnsiTheme="minorBidi" w:cstheme="minorBidi"/>
                <w:b/>
                <w:bCs/>
                <w:rtl/>
              </w:rPr>
            </w:pPr>
            <w:r w:rsidRPr="005B240E">
              <w:rPr>
                <w:rFonts w:asciiTheme="minorBidi" w:hAnsiTheme="minorBidi" w:cstheme="minorBidi"/>
                <w:b/>
                <w:bCs/>
                <w:rtl/>
              </w:rPr>
              <w:t>ב.</w:t>
            </w:r>
          </w:p>
        </w:tc>
        <w:tc>
          <w:tcPr>
            <w:tcW w:w="4207" w:type="pct"/>
            <w:gridSpan w:val="8"/>
            <w:hideMark/>
          </w:tcPr>
          <w:p w14:paraId="1775AC2B" w14:textId="77777777" w:rsidR="00D346BE" w:rsidRPr="005B240E" w:rsidRDefault="00D346BE" w:rsidP="00424195">
            <w:pPr>
              <w:spacing w:before="60" w:after="60"/>
              <w:rPr>
                <w:rFonts w:asciiTheme="minorBidi" w:hAnsiTheme="minorBidi" w:cstheme="minorBidi"/>
                <w:b/>
                <w:bCs/>
                <w:rtl/>
              </w:rPr>
            </w:pPr>
            <w:r w:rsidRPr="005B240E">
              <w:rPr>
                <w:rFonts w:asciiTheme="minorBidi" w:hAnsiTheme="minorBidi" w:cstheme="minorBidi"/>
                <w:b/>
                <w:bCs/>
                <w:rtl/>
              </w:rPr>
              <w:t>אשראי לציבור</w:t>
            </w:r>
            <w:r w:rsidRPr="005B240E">
              <w:rPr>
                <w:rFonts w:asciiTheme="minorBidi" w:hAnsiTheme="minorBidi" w:cstheme="minorBidi"/>
                <w:rtl/>
              </w:rPr>
              <w:t xml:space="preserve"> </w:t>
            </w:r>
            <w:r w:rsidRPr="005B240E">
              <w:rPr>
                <w:rFonts w:asciiTheme="minorBidi" w:hAnsiTheme="minorBidi" w:cstheme="minorBidi"/>
                <w:b/>
                <w:bCs/>
                <w:rtl/>
              </w:rPr>
              <w:t>(המשך):</w:t>
            </w:r>
          </w:p>
        </w:tc>
      </w:tr>
      <w:tr w:rsidR="00D346BE" w:rsidRPr="00D346BE" w14:paraId="2A2727FC" w14:textId="77777777" w:rsidTr="00B65F7C">
        <w:trPr>
          <w:gridAfter w:val="1"/>
          <w:wAfter w:w="29" w:type="pct"/>
          <w:trHeight w:val="245"/>
        </w:trPr>
        <w:tc>
          <w:tcPr>
            <w:tcW w:w="600" w:type="pct"/>
          </w:tcPr>
          <w:p w14:paraId="6716F6EF" w14:textId="15C20966" w:rsidR="00D346BE" w:rsidRPr="00947FCA" w:rsidRDefault="00947FCA" w:rsidP="00424195">
            <w:pPr>
              <w:spacing w:before="60" w:after="60"/>
              <w:rPr>
                <w:rFonts w:asciiTheme="minorBidi" w:hAnsiTheme="minorBidi" w:cstheme="minorBidi"/>
                <w:b/>
                <w:bCs/>
                <w:sz w:val="18"/>
                <w:szCs w:val="18"/>
                <w:highlight w:val="yellow"/>
                <w:rtl/>
              </w:rPr>
            </w:pPr>
            <w:r w:rsidRPr="00F5085D">
              <w:rPr>
                <w:rFonts w:asciiTheme="minorBidi" w:hAnsiTheme="minorBidi" w:cstheme="minorBidi" w:hint="cs"/>
                <w:b/>
                <w:bCs/>
                <w:color w:val="C00000"/>
                <w:sz w:val="18"/>
                <w:szCs w:val="18"/>
                <w:rtl/>
              </w:rPr>
              <w:t>[עודכן]</w:t>
            </w:r>
          </w:p>
        </w:tc>
        <w:tc>
          <w:tcPr>
            <w:tcW w:w="161" w:type="pct"/>
            <w:tcBorders>
              <w:right w:val="single" w:sz="4" w:space="0" w:color="auto"/>
            </w:tcBorders>
          </w:tcPr>
          <w:p w14:paraId="770C2043" w14:textId="77777777" w:rsidR="00D346BE" w:rsidRPr="00D346BE" w:rsidRDefault="00D346BE" w:rsidP="00424195">
            <w:pPr>
              <w:spacing w:before="60" w:after="60"/>
              <w:rPr>
                <w:rFonts w:asciiTheme="minorBidi" w:hAnsiTheme="minorBidi" w:cstheme="minorBidi"/>
                <w:b/>
                <w:bCs/>
                <w:sz w:val="18"/>
                <w:szCs w:val="18"/>
                <w:rtl/>
              </w:rPr>
            </w:pPr>
          </w:p>
        </w:tc>
        <w:tc>
          <w:tcPr>
            <w:tcW w:w="4210" w:type="pct"/>
            <w:gridSpan w:val="8"/>
            <w:tcBorders>
              <w:left w:val="single" w:sz="4" w:space="0" w:color="auto"/>
            </w:tcBorders>
            <w:hideMark/>
          </w:tcPr>
          <w:p w14:paraId="273EAAB2" w14:textId="5E1796CC" w:rsidR="00D346BE" w:rsidRPr="00D346BE" w:rsidRDefault="00D346BE" w:rsidP="00424195">
            <w:pPr>
              <w:tabs>
                <w:tab w:val="left" w:pos="446"/>
              </w:tabs>
              <w:spacing w:before="60" w:after="60" w:line="216" w:lineRule="auto"/>
              <w:ind w:left="446" w:hanging="446"/>
              <w:rPr>
                <w:rFonts w:asciiTheme="minorBidi" w:hAnsiTheme="minorBidi" w:cstheme="minorBidi"/>
                <w:sz w:val="18"/>
                <w:szCs w:val="18"/>
                <w:rtl/>
              </w:rPr>
            </w:pPr>
            <w:r w:rsidRPr="00D346BE">
              <w:rPr>
                <w:rFonts w:asciiTheme="minorBidi" w:hAnsiTheme="minorBidi" w:cstheme="minorBidi"/>
                <w:b/>
                <w:bCs/>
                <w:sz w:val="18"/>
                <w:szCs w:val="18"/>
                <w:rtl/>
              </w:rPr>
              <w:t>2.ב.</w:t>
            </w:r>
            <w:r w:rsidRPr="00D346BE">
              <w:rPr>
                <w:rFonts w:asciiTheme="minorBidi" w:hAnsiTheme="minorBidi" w:cstheme="minorBidi"/>
                <w:b/>
                <w:bCs/>
                <w:sz w:val="18"/>
                <w:szCs w:val="18"/>
                <w:rtl/>
              </w:rPr>
              <w:tab/>
            </w:r>
            <w:r w:rsidRPr="00B72A05">
              <w:rPr>
                <w:rFonts w:asciiTheme="minorBidi" w:hAnsiTheme="minorBidi" w:cstheme="minorBidi"/>
                <w:b/>
                <w:bCs/>
                <w:sz w:val="19"/>
                <w:szCs w:val="19"/>
                <w:rtl/>
              </w:rPr>
              <w:t>מידע על חובות של לווים בקשיים פיננסיים שעברו שינוי בתנאים</w:t>
            </w:r>
            <w:r w:rsidR="0017082A" w:rsidRPr="0017082A">
              <w:rPr>
                <w:rFonts w:asciiTheme="minorBidi" w:hAnsiTheme="minorBidi" w:cstheme="minorBidi" w:hint="cs"/>
                <w:sz w:val="18"/>
                <w:szCs w:val="18"/>
                <w:vertAlign w:val="superscript"/>
                <w:rtl/>
              </w:rPr>
              <w:t>[</w:t>
            </w:r>
            <w:r w:rsidR="0017082A" w:rsidRPr="0017082A">
              <w:rPr>
                <w:rStyle w:val="a7"/>
                <w:rtl/>
              </w:rPr>
              <w:footnoteReference w:id="105"/>
            </w:r>
            <w:r w:rsidR="0017082A" w:rsidRPr="0017082A">
              <w:rPr>
                <w:rFonts w:asciiTheme="minorBidi" w:hAnsiTheme="minorBidi" w:cstheme="minorBidi" w:hint="cs"/>
                <w:sz w:val="18"/>
                <w:szCs w:val="18"/>
                <w:vertAlign w:val="superscript"/>
                <w:rtl/>
              </w:rPr>
              <w:t>]</w:t>
            </w:r>
            <w:r>
              <w:rPr>
                <w:rFonts w:asciiTheme="minorBidi" w:hAnsiTheme="minorBidi" w:cstheme="minorBidi" w:hint="cs"/>
                <w:b/>
                <w:bCs/>
                <w:sz w:val="18"/>
                <w:szCs w:val="18"/>
                <w:rtl/>
              </w:rPr>
              <w:t>:</w:t>
            </w:r>
          </w:p>
        </w:tc>
      </w:tr>
      <w:tr w:rsidR="00D346BE" w:rsidRPr="00D346BE" w14:paraId="048548E0" w14:textId="77777777" w:rsidTr="00B65F7C">
        <w:trPr>
          <w:gridAfter w:val="1"/>
          <w:wAfter w:w="29" w:type="pct"/>
          <w:trHeight w:val="471"/>
        </w:trPr>
        <w:tc>
          <w:tcPr>
            <w:tcW w:w="600" w:type="pct"/>
          </w:tcPr>
          <w:p w14:paraId="157DFD09" w14:textId="77777777" w:rsidR="00D346BE" w:rsidRPr="006A2C31" w:rsidRDefault="00D346BE" w:rsidP="00D346BE">
            <w:pPr>
              <w:rPr>
                <w:sz w:val="14"/>
                <w:szCs w:val="14"/>
                <w:rtl/>
              </w:rPr>
            </w:pPr>
            <w:r w:rsidRPr="006A2C31">
              <w:rPr>
                <w:rFonts w:hint="cs"/>
                <w:sz w:val="14"/>
                <w:szCs w:val="14"/>
                <w:rtl/>
              </w:rPr>
              <w:t>מתכונת ביאור</w:t>
            </w:r>
          </w:p>
          <w:p w14:paraId="3B35C6AA" w14:textId="1D60F692" w:rsidR="00D346BE" w:rsidRPr="00D346BE" w:rsidRDefault="00D346BE" w:rsidP="00D346BE">
            <w:pPr>
              <w:rPr>
                <w:rFonts w:asciiTheme="minorBidi" w:hAnsiTheme="minorBidi" w:cstheme="minorBidi"/>
                <w:sz w:val="18"/>
                <w:szCs w:val="18"/>
                <w:highlight w:val="yellow"/>
                <w:rtl/>
              </w:rPr>
            </w:pPr>
            <w:r w:rsidRPr="006A2C31">
              <w:rPr>
                <w:rFonts w:hint="cs"/>
                <w:sz w:val="14"/>
                <w:szCs w:val="14"/>
                <w:rtl/>
              </w:rPr>
              <w:t>עמוד 663-49</w:t>
            </w:r>
          </w:p>
        </w:tc>
        <w:tc>
          <w:tcPr>
            <w:tcW w:w="161" w:type="pct"/>
            <w:tcBorders>
              <w:right w:val="single" w:sz="4" w:space="0" w:color="auto"/>
            </w:tcBorders>
          </w:tcPr>
          <w:p w14:paraId="1913329D" w14:textId="77777777" w:rsidR="00D346BE" w:rsidRPr="00D346BE" w:rsidRDefault="00D346BE" w:rsidP="00424195">
            <w:pPr>
              <w:spacing w:before="60" w:after="60"/>
              <w:rPr>
                <w:rFonts w:asciiTheme="minorBidi" w:hAnsiTheme="minorBidi" w:cstheme="minorBidi"/>
                <w:b/>
                <w:bCs/>
                <w:sz w:val="18"/>
                <w:szCs w:val="18"/>
                <w:rtl/>
              </w:rPr>
            </w:pPr>
          </w:p>
        </w:tc>
        <w:tc>
          <w:tcPr>
            <w:tcW w:w="4210" w:type="pct"/>
            <w:gridSpan w:val="8"/>
            <w:tcBorders>
              <w:left w:val="single" w:sz="4" w:space="0" w:color="auto"/>
            </w:tcBorders>
          </w:tcPr>
          <w:p w14:paraId="1089761F" w14:textId="77777777" w:rsidR="00D346BE" w:rsidRPr="00D346BE" w:rsidRDefault="00D346BE" w:rsidP="00424195">
            <w:pPr>
              <w:tabs>
                <w:tab w:val="left" w:pos="446"/>
              </w:tabs>
              <w:spacing w:before="60" w:after="60" w:line="216" w:lineRule="auto"/>
              <w:ind w:left="446" w:hanging="446"/>
              <w:rPr>
                <w:rFonts w:asciiTheme="minorBidi" w:hAnsiTheme="minorBidi" w:cstheme="minorBidi"/>
                <w:b/>
                <w:bCs/>
                <w:sz w:val="18"/>
                <w:szCs w:val="18"/>
                <w:rtl/>
              </w:rPr>
            </w:pPr>
            <w:r w:rsidRPr="00D346BE">
              <w:rPr>
                <w:rFonts w:asciiTheme="minorBidi" w:hAnsiTheme="minorBidi" w:cstheme="minorBidi"/>
                <w:b/>
                <w:bCs/>
                <w:sz w:val="18"/>
                <w:szCs w:val="18"/>
                <w:rtl/>
              </w:rPr>
              <w:t>2.ב.1</w:t>
            </w:r>
            <w:r w:rsidRPr="00D346BE">
              <w:rPr>
                <w:rFonts w:asciiTheme="minorBidi" w:hAnsiTheme="minorBidi" w:cstheme="minorBidi"/>
                <w:b/>
                <w:bCs/>
                <w:sz w:val="18"/>
                <w:szCs w:val="18"/>
                <w:rtl/>
              </w:rPr>
              <w:tab/>
            </w:r>
            <w:r w:rsidRPr="00B72A05">
              <w:rPr>
                <w:rFonts w:asciiTheme="minorBidi" w:hAnsiTheme="minorBidi" w:cstheme="minorBidi"/>
                <w:b/>
                <w:bCs/>
                <w:sz w:val="18"/>
                <w:szCs w:val="18"/>
                <w:u w:val="single"/>
                <w:rtl/>
              </w:rPr>
              <w:t>איכות אשראי ומצב הפיגור של חובות של לווים בקשיים פיננסיים שעברו שינוי בתנאים</w:t>
            </w:r>
            <w:r w:rsidRPr="00B72A05">
              <w:rPr>
                <w:rFonts w:asciiTheme="minorBidi" w:hAnsiTheme="minorBidi" w:cstheme="minorBidi"/>
                <w:b/>
                <w:bCs/>
                <w:sz w:val="18"/>
                <w:szCs w:val="18"/>
                <w:rtl/>
              </w:rPr>
              <w:t>:</w:t>
            </w:r>
          </w:p>
        </w:tc>
      </w:tr>
      <w:tr w:rsidR="00D346BE" w:rsidRPr="00D346BE" w14:paraId="0303C458" w14:textId="77777777" w:rsidTr="00B65F7C">
        <w:trPr>
          <w:gridAfter w:val="2"/>
          <w:wAfter w:w="109" w:type="pct"/>
          <w:trHeight w:val="259"/>
        </w:trPr>
        <w:tc>
          <w:tcPr>
            <w:tcW w:w="600" w:type="pct"/>
          </w:tcPr>
          <w:p w14:paraId="0849630A" w14:textId="77777777" w:rsidR="00D346BE" w:rsidRPr="00D346BE" w:rsidRDefault="00D346BE" w:rsidP="00424195">
            <w:pPr>
              <w:spacing w:before="60"/>
              <w:ind w:right="-142"/>
              <w:rPr>
                <w:rFonts w:asciiTheme="minorBidi" w:hAnsiTheme="minorBidi" w:cstheme="minorBidi"/>
                <w:spacing w:val="-6"/>
                <w:sz w:val="18"/>
                <w:szCs w:val="18"/>
                <w:rtl/>
              </w:rPr>
            </w:pPr>
          </w:p>
        </w:tc>
        <w:tc>
          <w:tcPr>
            <w:tcW w:w="161" w:type="pct"/>
            <w:tcBorders>
              <w:right w:val="single" w:sz="4" w:space="0" w:color="auto"/>
            </w:tcBorders>
            <w:vAlign w:val="bottom"/>
          </w:tcPr>
          <w:p w14:paraId="026929D0" w14:textId="77777777" w:rsidR="00D346BE" w:rsidRPr="00D346BE" w:rsidRDefault="00D346BE" w:rsidP="00424195">
            <w:pPr>
              <w:rPr>
                <w:rFonts w:asciiTheme="minorBidi" w:hAnsiTheme="minorBidi" w:cstheme="minorBidi"/>
                <w:sz w:val="18"/>
                <w:szCs w:val="18"/>
                <w:rtl/>
              </w:rPr>
            </w:pPr>
          </w:p>
        </w:tc>
        <w:tc>
          <w:tcPr>
            <w:tcW w:w="1768" w:type="pct"/>
            <w:gridSpan w:val="2"/>
            <w:tcBorders>
              <w:left w:val="single" w:sz="4" w:space="0" w:color="auto"/>
            </w:tcBorders>
            <w:vAlign w:val="bottom"/>
          </w:tcPr>
          <w:p w14:paraId="1775C65D" w14:textId="77777777" w:rsidR="00D346BE" w:rsidRPr="00D346BE" w:rsidRDefault="00D346BE" w:rsidP="00424195">
            <w:pPr>
              <w:ind w:left="144" w:hanging="144"/>
              <w:rPr>
                <w:rFonts w:asciiTheme="minorBidi" w:hAnsiTheme="minorBidi" w:cstheme="minorBidi"/>
                <w:color w:val="000000"/>
                <w:sz w:val="18"/>
                <w:szCs w:val="18"/>
                <w:rtl/>
                <w:lang w:eastAsia="he-IL"/>
              </w:rPr>
            </w:pPr>
          </w:p>
        </w:tc>
        <w:tc>
          <w:tcPr>
            <w:tcW w:w="2362" w:type="pct"/>
            <w:gridSpan w:val="5"/>
            <w:vAlign w:val="bottom"/>
            <w:hideMark/>
          </w:tcPr>
          <w:p w14:paraId="1C47A14D" w14:textId="77777777" w:rsidR="00D346BE" w:rsidRPr="00F75066" w:rsidRDefault="00D346BE" w:rsidP="00F75066">
            <w:pPr>
              <w:spacing w:after="120"/>
              <w:jc w:val="center"/>
              <w:rPr>
                <w:rFonts w:asciiTheme="minorBidi" w:hAnsiTheme="minorBidi" w:cstheme="minorBidi"/>
                <w:b/>
                <w:bCs/>
                <w:color w:val="000000"/>
                <w:sz w:val="18"/>
                <w:szCs w:val="18"/>
                <w:u w:val="single"/>
                <w:rtl/>
                <w:lang w:eastAsia="he-IL"/>
              </w:rPr>
            </w:pPr>
            <w:r w:rsidRPr="00F75066">
              <w:rPr>
                <w:rFonts w:asciiTheme="minorBidi" w:hAnsiTheme="minorBidi" w:cstheme="minorBidi"/>
                <w:b/>
                <w:bCs/>
                <w:sz w:val="18"/>
                <w:szCs w:val="18"/>
                <w:u w:val="single"/>
                <w:rtl/>
              </w:rPr>
              <w:t xml:space="preserve">ליום 30 ביוני </w:t>
            </w:r>
            <w:r w:rsidRPr="00F75066">
              <w:rPr>
                <w:rFonts w:asciiTheme="minorBidi" w:hAnsiTheme="minorBidi" w:cstheme="minorBidi"/>
                <w:b/>
                <w:bCs/>
                <w:sz w:val="18"/>
                <w:szCs w:val="18"/>
                <w:u w:val="single"/>
                <w:rtl/>
              </w:rPr>
              <w:fldChar w:fldCharType="begin"/>
            </w:r>
            <w:r w:rsidRPr="00F75066">
              <w:rPr>
                <w:rFonts w:asciiTheme="minorBidi" w:hAnsiTheme="minorBidi" w:cstheme="minorBidi"/>
                <w:b/>
                <w:bCs/>
                <w:sz w:val="18"/>
                <w:szCs w:val="18"/>
                <w:u w:val="single"/>
                <w:rtl/>
              </w:rPr>
              <w:instrText xml:space="preserve"> = </w:instrText>
            </w:r>
            <w:r w:rsidRPr="00F75066">
              <w:rPr>
                <w:rFonts w:asciiTheme="minorBidi" w:hAnsiTheme="minorBidi" w:cstheme="minorBidi"/>
                <w:b/>
                <w:bCs/>
                <w:sz w:val="18"/>
                <w:szCs w:val="18"/>
                <w:u w:val="single"/>
              </w:rPr>
              <w:instrText>CY \* MERGEFORMAT</w:instrText>
            </w:r>
            <w:r w:rsidRPr="00F75066">
              <w:rPr>
                <w:rFonts w:asciiTheme="minorBidi" w:hAnsiTheme="minorBidi" w:cstheme="minorBidi"/>
                <w:b/>
                <w:bCs/>
                <w:sz w:val="18"/>
                <w:szCs w:val="18"/>
                <w:u w:val="single"/>
                <w:rtl/>
              </w:rPr>
              <w:instrText xml:space="preserve"> </w:instrText>
            </w:r>
            <w:r w:rsidRPr="00F75066">
              <w:rPr>
                <w:rFonts w:asciiTheme="minorBidi" w:hAnsiTheme="minorBidi" w:cstheme="minorBidi"/>
                <w:b/>
                <w:bCs/>
                <w:sz w:val="18"/>
                <w:szCs w:val="18"/>
                <w:u w:val="single"/>
                <w:rtl/>
              </w:rPr>
              <w:fldChar w:fldCharType="separate"/>
            </w:r>
            <w:r w:rsidRPr="00F75066">
              <w:rPr>
                <w:rFonts w:asciiTheme="minorBidi" w:hAnsiTheme="minorBidi" w:cstheme="minorBidi"/>
                <w:b/>
                <w:bCs/>
                <w:noProof/>
                <w:sz w:val="18"/>
                <w:szCs w:val="18"/>
                <w:u w:val="single"/>
                <w:rtl/>
              </w:rPr>
              <w:t>2024</w:t>
            </w:r>
            <w:r w:rsidRPr="00F75066">
              <w:rPr>
                <w:rFonts w:asciiTheme="minorBidi" w:hAnsiTheme="minorBidi" w:cstheme="minorBidi"/>
                <w:b/>
                <w:bCs/>
                <w:sz w:val="18"/>
                <w:szCs w:val="18"/>
                <w:u w:val="single"/>
                <w:rtl/>
              </w:rPr>
              <w:fldChar w:fldCharType="end"/>
            </w:r>
            <w:r w:rsidRPr="00F75066">
              <w:rPr>
                <w:rFonts w:asciiTheme="minorBidi" w:hAnsiTheme="minorBidi" w:cstheme="minorBidi"/>
                <w:b/>
                <w:bCs/>
                <w:color w:val="000000"/>
                <w:sz w:val="18"/>
                <w:szCs w:val="18"/>
                <w:u w:val="single"/>
                <w:rtl/>
                <w:lang w:eastAsia="he-IL"/>
              </w:rPr>
              <w:t xml:space="preserve">  </w:t>
            </w:r>
            <w:r w:rsidRPr="00F75066">
              <w:rPr>
                <w:rFonts w:asciiTheme="minorBidi" w:hAnsiTheme="minorBidi" w:cstheme="minorBidi"/>
                <w:color w:val="000000"/>
                <w:sz w:val="18"/>
                <w:szCs w:val="18"/>
                <w:u w:val="single"/>
                <w:rtl/>
                <w:lang w:eastAsia="he-IL"/>
              </w:rPr>
              <w:t>(בלתי מבוקר)</w:t>
            </w:r>
          </w:p>
        </w:tc>
      </w:tr>
      <w:tr w:rsidR="00B72A05" w:rsidRPr="00D346BE" w14:paraId="58464DD6" w14:textId="77777777" w:rsidTr="00B65F7C">
        <w:trPr>
          <w:gridAfter w:val="2"/>
          <w:wAfter w:w="109" w:type="pct"/>
          <w:trHeight w:val="259"/>
        </w:trPr>
        <w:tc>
          <w:tcPr>
            <w:tcW w:w="600" w:type="pct"/>
          </w:tcPr>
          <w:p w14:paraId="30A9706E" w14:textId="77777777" w:rsidR="00B72A05" w:rsidRPr="00D346BE" w:rsidRDefault="00B72A05" w:rsidP="00424195">
            <w:pPr>
              <w:spacing w:before="60"/>
              <w:ind w:right="-142"/>
              <w:rPr>
                <w:rFonts w:asciiTheme="minorBidi" w:hAnsiTheme="minorBidi" w:cstheme="minorBidi"/>
                <w:spacing w:val="-6"/>
                <w:sz w:val="18"/>
                <w:szCs w:val="18"/>
                <w:rtl/>
              </w:rPr>
            </w:pPr>
          </w:p>
        </w:tc>
        <w:tc>
          <w:tcPr>
            <w:tcW w:w="161" w:type="pct"/>
            <w:tcBorders>
              <w:right w:val="single" w:sz="4" w:space="0" w:color="auto"/>
            </w:tcBorders>
            <w:vAlign w:val="bottom"/>
          </w:tcPr>
          <w:p w14:paraId="6F4B04D3" w14:textId="77777777" w:rsidR="00B72A05" w:rsidRPr="00D346BE" w:rsidRDefault="00B72A05" w:rsidP="00424195">
            <w:pPr>
              <w:rPr>
                <w:rFonts w:asciiTheme="minorBidi" w:hAnsiTheme="minorBidi" w:cstheme="minorBidi"/>
                <w:sz w:val="18"/>
                <w:szCs w:val="18"/>
                <w:rtl/>
              </w:rPr>
            </w:pPr>
          </w:p>
        </w:tc>
        <w:tc>
          <w:tcPr>
            <w:tcW w:w="1768" w:type="pct"/>
            <w:gridSpan w:val="2"/>
            <w:tcBorders>
              <w:left w:val="single" w:sz="4" w:space="0" w:color="auto"/>
            </w:tcBorders>
            <w:vAlign w:val="bottom"/>
          </w:tcPr>
          <w:p w14:paraId="2C04FCD4" w14:textId="77777777" w:rsidR="00B72A05" w:rsidRPr="00D346BE" w:rsidRDefault="00B72A05" w:rsidP="00424195">
            <w:pPr>
              <w:ind w:left="144" w:hanging="144"/>
              <w:rPr>
                <w:rFonts w:asciiTheme="minorBidi" w:hAnsiTheme="minorBidi" w:cstheme="minorBidi"/>
                <w:color w:val="000000"/>
                <w:sz w:val="18"/>
                <w:szCs w:val="18"/>
                <w:rtl/>
                <w:lang w:eastAsia="he-IL"/>
              </w:rPr>
            </w:pPr>
          </w:p>
        </w:tc>
        <w:tc>
          <w:tcPr>
            <w:tcW w:w="2362" w:type="pct"/>
            <w:gridSpan w:val="5"/>
            <w:vAlign w:val="bottom"/>
          </w:tcPr>
          <w:p w14:paraId="56641353" w14:textId="2037F85F" w:rsidR="00B72A05" w:rsidRPr="00D346BE" w:rsidRDefault="00B72A05" w:rsidP="00424195">
            <w:pPr>
              <w:pBdr>
                <w:bottom w:val="single" w:sz="6" w:space="1" w:color="auto"/>
              </w:pBdr>
              <w:jc w:val="center"/>
              <w:rPr>
                <w:rFonts w:asciiTheme="minorBidi" w:hAnsiTheme="minorBidi" w:cstheme="minorBidi"/>
                <w:b/>
                <w:bCs/>
                <w:sz w:val="18"/>
                <w:szCs w:val="18"/>
                <w:rtl/>
              </w:rPr>
            </w:pPr>
            <w:r>
              <w:rPr>
                <w:rFonts w:asciiTheme="minorBidi" w:hAnsiTheme="minorBidi" w:cstheme="minorBidi" w:hint="cs"/>
                <w:b/>
                <w:bCs/>
                <w:sz w:val="18"/>
                <w:szCs w:val="18"/>
                <w:rtl/>
              </w:rPr>
              <w:t>יתרת חוב רשומה</w:t>
            </w:r>
          </w:p>
        </w:tc>
      </w:tr>
      <w:tr w:rsidR="00D346BE" w:rsidRPr="00D346BE" w14:paraId="0B3F65F9" w14:textId="77777777" w:rsidTr="00B65F7C">
        <w:trPr>
          <w:gridAfter w:val="2"/>
          <w:wAfter w:w="109" w:type="pct"/>
          <w:trHeight w:val="259"/>
        </w:trPr>
        <w:tc>
          <w:tcPr>
            <w:tcW w:w="600" w:type="pct"/>
          </w:tcPr>
          <w:p w14:paraId="42900E61" w14:textId="77777777" w:rsidR="00D346BE" w:rsidRPr="00D346BE" w:rsidRDefault="00D346BE" w:rsidP="00424195">
            <w:pPr>
              <w:rPr>
                <w:rFonts w:asciiTheme="minorBidi" w:hAnsiTheme="minorBidi" w:cstheme="minorBidi"/>
                <w:sz w:val="18"/>
                <w:szCs w:val="18"/>
                <w:rtl/>
              </w:rPr>
            </w:pPr>
          </w:p>
        </w:tc>
        <w:tc>
          <w:tcPr>
            <w:tcW w:w="161" w:type="pct"/>
            <w:tcBorders>
              <w:right w:val="single" w:sz="4" w:space="0" w:color="auto"/>
            </w:tcBorders>
            <w:vAlign w:val="bottom"/>
          </w:tcPr>
          <w:p w14:paraId="2B8471BD" w14:textId="77777777" w:rsidR="00D346BE" w:rsidRPr="00D346BE" w:rsidRDefault="00D346BE" w:rsidP="00424195">
            <w:pPr>
              <w:rPr>
                <w:rFonts w:asciiTheme="minorBidi" w:hAnsiTheme="minorBidi" w:cstheme="minorBidi"/>
                <w:sz w:val="18"/>
                <w:szCs w:val="18"/>
                <w:rtl/>
              </w:rPr>
            </w:pPr>
          </w:p>
        </w:tc>
        <w:tc>
          <w:tcPr>
            <w:tcW w:w="1768" w:type="pct"/>
            <w:gridSpan w:val="2"/>
            <w:tcBorders>
              <w:left w:val="single" w:sz="4" w:space="0" w:color="auto"/>
            </w:tcBorders>
            <w:vAlign w:val="bottom"/>
          </w:tcPr>
          <w:p w14:paraId="130C299E" w14:textId="77777777" w:rsidR="00D346BE" w:rsidRPr="00D346BE" w:rsidRDefault="00D346BE" w:rsidP="00424195">
            <w:pPr>
              <w:ind w:left="144" w:hanging="144"/>
              <w:rPr>
                <w:rFonts w:asciiTheme="minorBidi" w:hAnsiTheme="minorBidi" w:cstheme="minorBidi"/>
                <w:color w:val="000000"/>
                <w:sz w:val="18"/>
                <w:szCs w:val="18"/>
                <w:rtl/>
                <w:lang w:eastAsia="he-IL"/>
              </w:rPr>
            </w:pPr>
          </w:p>
        </w:tc>
        <w:tc>
          <w:tcPr>
            <w:tcW w:w="987" w:type="pct"/>
            <w:gridSpan w:val="2"/>
            <w:vAlign w:val="bottom"/>
            <w:hideMark/>
          </w:tcPr>
          <w:p w14:paraId="54A55097" w14:textId="77777777" w:rsidR="00D346BE" w:rsidRPr="00D346BE" w:rsidRDefault="00D346BE" w:rsidP="00424195">
            <w:pPr>
              <w:pBdr>
                <w:bottom w:val="single" w:sz="4" w:space="1" w:color="auto"/>
              </w:pBdr>
              <w:jc w:val="center"/>
              <w:rPr>
                <w:rFonts w:asciiTheme="minorBidi" w:hAnsiTheme="minorBidi" w:cstheme="minorBidi"/>
                <w:b/>
                <w:bCs/>
                <w:sz w:val="18"/>
                <w:szCs w:val="18"/>
                <w:rtl/>
              </w:rPr>
            </w:pPr>
            <w:r w:rsidRPr="00D346BE">
              <w:rPr>
                <w:rFonts w:asciiTheme="minorBidi" w:hAnsiTheme="minorBidi" w:cstheme="minorBidi"/>
                <w:b/>
                <w:bCs/>
                <w:sz w:val="18"/>
                <w:szCs w:val="18"/>
                <w:rtl/>
              </w:rPr>
              <w:t>בעייתי</w:t>
            </w:r>
          </w:p>
        </w:tc>
        <w:tc>
          <w:tcPr>
            <w:tcW w:w="936" w:type="pct"/>
            <w:gridSpan w:val="2"/>
            <w:vAlign w:val="bottom"/>
          </w:tcPr>
          <w:p w14:paraId="6511818D" w14:textId="77777777" w:rsidR="00D346BE" w:rsidRPr="00D346BE" w:rsidRDefault="00D346BE" w:rsidP="00424195">
            <w:pPr>
              <w:pBdr>
                <w:bottom w:val="single" w:sz="4" w:space="1" w:color="auto"/>
              </w:pBdr>
              <w:jc w:val="center"/>
              <w:rPr>
                <w:rFonts w:asciiTheme="minorBidi" w:hAnsiTheme="minorBidi" w:cstheme="minorBidi"/>
                <w:b/>
                <w:bCs/>
                <w:sz w:val="18"/>
                <w:szCs w:val="18"/>
                <w:rtl/>
              </w:rPr>
            </w:pPr>
            <w:r w:rsidRPr="00D346BE">
              <w:rPr>
                <w:rFonts w:asciiTheme="minorBidi" w:hAnsiTheme="minorBidi" w:cstheme="minorBidi"/>
                <w:b/>
                <w:bCs/>
                <w:sz w:val="18"/>
                <w:szCs w:val="18"/>
                <w:rtl/>
              </w:rPr>
              <w:t>לא בעייתי</w:t>
            </w:r>
          </w:p>
        </w:tc>
        <w:tc>
          <w:tcPr>
            <w:tcW w:w="439" w:type="pct"/>
            <w:vAlign w:val="bottom"/>
          </w:tcPr>
          <w:p w14:paraId="6BA3F01C" w14:textId="77777777" w:rsidR="00D346BE" w:rsidRPr="00D346BE" w:rsidRDefault="00D346BE" w:rsidP="00424195">
            <w:pPr>
              <w:jc w:val="center"/>
              <w:rPr>
                <w:rFonts w:asciiTheme="minorBidi" w:hAnsiTheme="minorBidi" w:cstheme="minorBidi"/>
                <w:b/>
                <w:bCs/>
                <w:sz w:val="18"/>
                <w:szCs w:val="18"/>
                <w:rtl/>
              </w:rPr>
            </w:pPr>
          </w:p>
        </w:tc>
      </w:tr>
      <w:tr w:rsidR="00D346BE" w:rsidRPr="00D346BE" w14:paraId="49DC7463" w14:textId="77777777" w:rsidTr="00B65F7C">
        <w:trPr>
          <w:gridAfter w:val="2"/>
          <w:wAfter w:w="109" w:type="pct"/>
          <w:trHeight w:val="259"/>
        </w:trPr>
        <w:tc>
          <w:tcPr>
            <w:tcW w:w="600" w:type="pct"/>
          </w:tcPr>
          <w:p w14:paraId="1A37C86B" w14:textId="77777777" w:rsidR="00D346BE" w:rsidRPr="00D346BE" w:rsidRDefault="00D346BE" w:rsidP="00424195">
            <w:pPr>
              <w:rPr>
                <w:rFonts w:asciiTheme="minorBidi" w:hAnsiTheme="minorBidi" w:cstheme="minorBidi"/>
                <w:sz w:val="18"/>
                <w:szCs w:val="18"/>
                <w:rtl/>
              </w:rPr>
            </w:pPr>
          </w:p>
        </w:tc>
        <w:tc>
          <w:tcPr>
            <w:tcW w:w="161" w:type="pct"/>
            <w:tcBorders>
              <w:right w:val="single" w:sz="4" w:space="0" w:color="auto"/>
            </w:tcBorders>
            <w:vAlign w:val="bottom"/>
          </w:tcPr>
          <w:p w14:paraId="691064DF" w14:textId="77777777" w:rsidR="00D346BE" w:rsidRPr="00D346BE" w:rsidRDefault="00D346BE" w:rsidP="00424195">
            <w:pPr>
              <w:rPr>
                <w:rFonts w:asciiTheme="minorBidi" w:hAnsiTheme="minorBidi" w:cstheme="minorBidi"/>
                <w:sz w:val="18"/>
                <w:szCs w:val="18"/>
                <w:rtl/>
              </w:rPr>
            </w:pPr>
          </w:p>
        </w:tc>
        <w:tc>
          <w:tcPr>
            <w:tcW w:w="1768" w:type="pct"/>
            <w:gridSpan w:val="2"/>
            <w:tcBorders>
              <w:left w:val="single" w:sz="4" w:space="0" w:color="auto"/>
            </w:tcBorders>
            <w:vAlign w:val="bottom"/>
          </w:tcPr>
          <w:p w14:paraId="34FA9B19" w14:textId="77777777" w:rsidR="00D346BE" w:rsidRPr="00D346BE" w:rsidRDefault="00D346BE" w:rsidP="00424195">
            <w:pPr>
              <w:ind w:left="144" w:hanging="144"/>
              <w:rPr>
                <w:rFonts w:asciiTheme="minorBidi" w:hAnsiTheme="minorBidi" w:cstheme="minorBidi"/>
                <w:color w:val="000000"/>
                <w:sz w:val="18"/>
                <w:szCs w:val="18"/>
                <w:rtl/>
                <w:lang w:eastAsia="he-IL"/>
              </w:rPr>
            </w:pPr>
          </w:p>
        </w:tc>
        <w:tc>
          <w:tcPr>
            <w:tcW w:w="435" w:type="pct"/>
            <w:vAlign w:val="bottom"/>
            <w:hideMark/>
          </w:tcPr>
          <w:p w14:paraId="0D1CF0FE" w14:textId="77777777" w:rsidR="00D346BE" w:rsidRPr="00D346BE" w:rsidRDefault="00D346BE" w:rsidP="00424195">
            <w:pPr>
              <w:pBdr>
                <w:bottom w:val="single" w:sz="6" w:space="1" w:color="auto"/>
              </w:pBdr>
              <w:jc w:val="center"/>
              <w:rPr>
                <w:rFonts w:asciiTheme="minorBidi" w:hAnsiTheme="minorBidi" w:cstheme="minorBidi"/>
                <w:b/>
                <w:bCs/>
                <w:sz w:val="18"/>
                <w:szCs w:val="18"/>
                <w:rtl/>
              </w:rPr>
            </w:pPr>
            <w:r w:rsidRPr="00D346BE">
              <w:rPr>
                <w:rFonts w:asciiTheme="minorBidi" w:hAnsiTheme="minorBidi" w:cstheme="minorBidi"/>
                <w:b/>
                <w:bCs/>
                <w:sz w:val="18"/>
                <w:szCs w:val="18"/>
                <w:rtl/>
              </w:rPr>
              <w:t>לא צובר</w:t>
            </w:r>
          </w:p>
        </w:tc>
        <w:tc>
          <w:tcPr>
            <w:tcW w:w="552" w:type="pct"/>
            <w:vAlign w:val="bottom"/>
            <w:hideMark/>
          </w:tcPr>
          <w:p w14:paraId="2A55EAC2" w14:textId="77777777" w:rsidR="00D346BE" w:rsidRPr="00D346BE" w:rsidRDefault="00D346BE" w:rsidP="00424195">
            <w:pPr>
              <w:pBdr>
                <w:bottom w:val="single" w:sz="6" w:space="1" w:color="auto"/>
              </w:pBdr>
              <w:jc w:val="center"/>
              <w:rPr>
                <w:rFonts w:asciiTheme="minorBidi" w:hAnsiTheme="minorBidi" w:cstheme="minorBidi"/>
                <w:b/>
                <w:bCs/>
                <w:sz w:val="18"/>
                <w:szCs w:val="18"/>
                <w:rtl/>
              </w:rPr>
            </w:pPr>
            <w:r w:rsidRPr="00D346BE">
              <w:rPr>
                <w:rFonts w:asciiTheme="minorBidi" w:hAnsiTheme="minorBidi" w:cstheme="minorBidi"/>
                <w:b/>
                <w:bCs/>
                <w:sz w:val="18"/>
                <w:szCs w:val="18"/>
                <w:rtl/>
              </w:rPr>
              <w:t>צובר הכנסות ריבית</w:t>
            </w:r>
          </w:p>
        </w:tc>
        <w:tc>
          <w:tcPr>
            <w:tcW w:w="593" w:type="pct"/>
            <w:vAlign w:val="bottom"/>
            <w:hideMark/>
          </w:tcPr>
          <w:p w14:paraId="3D1BEDF1" w14:textId="77777777" w:rsidR="00D346BE" w:rsidRPr="00D346BE" w:rsidRDefault="00D346BE" w:rsidP="00424195">
            <w:pPr>
              <w:pBdr>
                <w:bottom w:val="single" w:sz="6" w:space="1" w:color="auto"/>
              </w:pBdr>
              <w:jc w:val="center"/>
              <w:rPr>
                <w:rFonts w:asciiTheme="minorBidi" w:hAnsiTheme="minorBidi" w:cstheme="minorBidi"/>
                <w:b/>
                <w:bCs/>
                <w:sz w:val="18"/>
                <w:szCs w:val="18"/>
                <w:rtl/>
              </w:rPr>
            </w:pPr>
            <w:r w:rsidRPr="00D346BE">
              <w:rPr>
                <w:rFonts w:asciiTheme="minorBidi" w:hAnsiTheme="minorBidi" w:cstheme="minorBidi"/>
                <w:b/>
                <w:bCs/>
                <w:sz w:val="18"/>
                <w:szCs w:val="18"/>
                <w:rtl/>
              </w:rPr>
              <w:t>בפיגור של</w:t>
            </w:r>
            <w:r w:rsidRPr="00D346BE">
              <w:rPr>
                <w:rFonts w:asciiTheme="minorBidi" w:hAnsiTheme="minorBidi" w:cstheme="minorBidi"/>
                <w:b/>
                <w:bCs/>
                <w:sz w:val="18"/>
                <w:szCs w:val="18"/>
              </w:rPr>
              <w:t xml:space="preserve"> </w:t>
            </w:r>
            <w:r w:rsidRPr="00D346BE">
              <w:rPr>
                <w:rFonts w:asciiTheme="minorBidi" w:hAnsiTheme="minorBidi" w:cstheme="minorBidi"/>
                <w:b/>
                <w:bCs/>
                <w:sz w:val="18"/>
                <w:szCs w:val="18"/>
                <w:rtl/>
              </w:rPr>
              <w:t>30</w:t>
            </w:r>
          </w:p>
          <w:p w14:paraId="73840BBE" w14:textId="77777777" w:rsidR="00D346BE" w:rsidRPr="00D346BE" w:rsidRDefault="00D346BE" w:rsidP="00424195">
            <w:pPr>
              <w:pBdr>
                <w:bottom w:val="single" w:sz="6" w:space="1" w:color="auto"/>
              </w:pBdr>
              <w:jc w:val="center"/>
              <w:rPr>
                <w:rFonts w:asciiTheme="minorBidi" w:hAnsiTheme="minorBidi" w:cstheme="minorBidi"/>
                <w:b/>
                <w:bCs/>
                <w:sz w:val="18"/>
                <w:szCs w:val="18"/>
                <w:rtl/>
              </w:rPr>
            </w:pPr>
            <w:r w:rsidRPr="00D346BE">
              <w:rPr>
                <w:rFonts w:asciiTheme="minorBidi" w:hAnsiTheme="minorBidi" w:cstheme="minorBidi"/>
                <w:b/>
                <w:bCs/>
                <w:sz w:val="18"/>
                <w:szCs w:val="18"/>
                <w:rtl/>
              </w:rPr>
              <w:t>ימים או יותר</w:t>
            </w:r>
          </w:p>
        </w:tc>
        <w:tc>
          <w:tcPr>
            <w:tcW w:w="343" w:type="pct"/>
            <w:vAlign w:val="bottom"/>
            <w:hideMark/>
          </w:tcPr>
          <w:p w14:paraId="2BC36605" w14:textId="77777777" w:rsidR="00D346BE" w:rsidRPr="00D346BE" w:rsidRDefault="00D346BE" w:rsidP="00424195">
            <w:pPr>
              <w:pBdr>
                <w:bottom w:val="single" w:sz="6" w:space="1" w:color="auto"/>
              </w:pBdr>
              <w:jc w:val="center"/>
              <w:rPr>
                <w:rFonts w:asciiTheme="minorBidi" w:hAnsiTheme="minorBidi" w:cstheme="minorBidi"/>
                <w:b/>
                <w:bCs/>
                <w:sz w:val="18"/>
                <w:szCs w:val="18"/>
                <w:rtl/>
              </w:rPr>
            </w:pPr>
            <w:r w:rsidRPr="00D346BE">
              <w:rPr>
                <w:rFonts w:asciiTheme="minorBidi" w:hAnsiTheme="minorBidi" w:cstheme="minorBidi"/>
                <w:b/>
                <w:bCs/>
                <w:sz w:val="18"/>
                <w:szCs w:val="18"/>
                <w:rtl/>
              </w:rPr>
              <w:t>לא</w:t>
            </w:r>
          </w:p>
          <w:p w14:paraId="022D9A2C" w14:textId="77777777" w:rsidR="00D346BE" w:rsidRPr="00D346BE" w:rsidRDefault="00D346BE" w:rsidP="00424195">
            <w:pPr>
              <w:pBdr>
                <w:bottom w:val="single" w:sz="6" w:space="1" w:color="auto"/>
              </w:pBdr>
              <w:jc w:val="center"/>
              <w:rPr>
                <w:rFonts w:asciiTheme="minorBidi" w:hAnsiTheme="minorBidi" w:cstheme="minorBidi"/>
                <w:b/>
                <w:bCs/>
                <w:sz w:val="18"/>
                <w:szCs w:val="18"/>
                <w:rtl/>
              </w:rPr>
            </w:pPr>
            <w:r w:rsidRPr="00D346BE">
              <w:rPr>
                <w:rFonts w:asciiTheme="minorBidi" w:hAnsiTheme="minorBidi" w:cstheme="minorBidi"/>
                <w:b/>
                <w:bCs/>
                <w:sz w:val="18"/>
                <w:szCs w:val="18"/>
                <w:rtl/>
              </w:rPr>
              <w:t>בפיגור</w:t>
            </w:r>
          </w:p>
        </w:tc>
        <w:tc>
          <w:tcPr>
            <w:tcW w:w="439" w:type="pct"/>
            <w:vAlign w:val="bottom"/>
            <w:hideMark/>
          </w:tcPr>
          <w:p w14:paraId="2A8040FC" w14:textId="77777777" w:rsidR="00D346BE" w:rsidRPr="00D346BE" w:rsidRDefault="00D346BE" w:rsidP="00424195">
            <w:pPr>
              <w:pBdr>
                <w:bottom w:val="single" w:sz="6" w:space="1" w:color="auto"/>
              </w:pBdr>
              <w:jc w:val="center"/>
              <w:rPr>
                <w:rFonts w:asciiTheme="minorBidi" w:hAnsiTheme="minorBidi" w:cstheme="minorBidi"/>
                <w:b/>
                <w:bCs/>
                <w:sz w:val="18"/>
                <w:szCs w:val="18"/>
                <w:rtl/>
              </w:rPr>
            </w:pPr>
            <w:r w:rsidRPr="00D346BE">
              <w:rPr>
                <w:rFonts w:asciiTheme="minorBidi" w:hAnsiTheme="minorBidi" w:cstheme="minorBidi"/>
                <w:b/>
                <w:bCs/>
                <w:sz w:val="18"/>
                <w:szCs w:val="18"/>
                <w:rtl/>
              </w:rPr>
              <w:t>סך</w:t>
            </w:r>
          </w:p>
          <w:p w14:paraId="1549C377" w14:textId="77777777" w:rsidR="00D346BE" w:rsidRPr="00D346BE" w:rsidRDefault="00D346BE" w:rsidP="00424195">
            <w:pPr>
              <w:pBdr>
                <w:bottom w:val="single" w:sz="6" w:space="1" w:color="auto"/>
              </w:pBdr>
              <w:jc w:val="center"/>
              <w:rPr>
                <w:rFonts w:asciiTheme="minorBidi" w:hAnsiTheme="minorBidi" w:cstheme="minorBidi"/>
                <w:b/>
                <w:bCs/>
                <w:sz w:val="18"/>
                <w:szCs w:val="18"/>
                <w:rtl/>
              </w:rPr>
            </w:pPr>
            <w:r w:rsidRPr="00D346BE">
              <w:rPr>
                <w:rFonts w:asciiTheme="minorBidi" w:hAnsiTheme="minorBidi" w:cstheme="minorBidi"/>
                <w:b/>
                <w:bCs/>
                <w:sz w:val="18"/>
                <w:szCs w:val="18"/>
                <w:rtl/>
              </w:rPr>
              <w:t xml:space="preserve">הכל </w:t>
            </w:r>
            <w:r w:rsidRPr="00D346BE">
              <w:rPr>
                <w:rFonts w:asciiTheme="minorBidi" w:hAnsiTheme="minorBidi" w:cstheme="minorBidi"/>
                <w:sz w:val="18"/>
                <w:szCs w:val="18"/>
                <w:vertAlign w:val="superscript"/>
                <w:rtl/>
              </w:rPr>
              <w:t>(א)</w:t>
            </w:r>
          </w:p>
        </w:tc>
      </w:tr>
      <w:tr w:rsidR="00D346BE" w:rsidRPr="00D346BE" w14:paraId="720BFB44" w14:textId="77777777" w:rsidTr="00B65F7C">
        <w:trPr>
          <w:gridAfter w:val="2"/>
          <w:wAfter w:w="109" w:type="pct"/>
          <w:trHeight w:val="259"/>
        </w:trPr>
        <w:tc>
          <w:tcPr>
            <w:tcW w:w="600" w:type="pct"/>
          </w:tcPr>
          <w:p w14:paraId="2969D0BC" w14:textId="77777777" w:rsidR="00D346BE" w:rsidRPr="00D346BE" w:rsidRDefault="00D346BE" w:rsidP="00424195">
            <w:pPr>
              <w:rPr>
                <w:rFonts w:asciiTheme="minorBidi" w:hAnsiTheme="minorBidi" w:cstheme="minorBidi"/>
                <w:sz w:val="18"/>
                <w:szCs w:val="18"/>
                <w:rtl/>
              </w:rPr>
            </w:pPr>
          </w:p>
        </w:tc>
        <w:tc>
          <w:tcPr>
            <w:tcW w:w="161" w:type="pct"/>
            <w:tcBorders>
              <w:right w:val="single" w:sz="4" w:space="0" w:color="auto"/>
            </w:tcBorders>
            <w:vAlign w:val="bottom"/>
          </w:tcPr>
          <w:p w14:paraId="5B797CCF" w14:textId="77777777" w:rsidR="00D346BE" w:rsidRPr="00D346BE" w:rsidRDefault="00D346BE" w:rsidP="00424195">
            <w:pPr>
              <w:rPr>
                <w:rFonts w:asciiTheme="minorBidi" w:hAnsiTheme="minorBidi" w:cstheme="minorBidi"/>
                <w:sz w:val="18"/>
                <w:szCs w:val="18"/>
                <w:rtl/>
              </w:rPr>
            </w:pPr>
          </w:p>
        </w:tc>
        <w:tc>
          <w:tcPr>
            <w:tcW w:w="1768" w:type="pct"/>
            <w:gridSpan w:val="2"/>
            <w:tcBorders>
              <w:left w:val="single" w:sz="4" w:space="0" w:color="auto"/>
            </w:tcBorders>
            <w:vAlign w:val="bottom"/>
            <w:hideMark/>
          </w:tcPr>
          <w:p w14:paraId="5EB5FA19" w14:textId="77777777" w:rsidR="00D346BE" w:rsidRPr="00D346BE" w:rsidRDefault="00D346BE" w:rsidP="00424195">
            <w:pPr>
              <w:ind w:left="34"/>
              <w:rPr>
                <w:rFonts w:asciiTheme="minorBidi" w:hAnsiTheme="minorBidi" w:cstheme="minorBidi"/>
                <w:b/>
                <w:bCs/>
                <w:color w:val="000000"/>
                <w:sz w:val="18"/>
                <w:szCs w:val="18"/>
                <w:u w:val="single"/>
                <w:rtl/>
                <w:lang w:eastAsia="he-IL"/>
              </w:rPr>
            </w:pPr>
            <w:r w:rsidRPr="00D346BE">
              <w:rPr>
                <w:rFonts w:asciiTheme="minorBidi" w:hAnsiTheme="minorBidi" w:cstheme="minorBidi"/>
                <w:b/>
                <w:bCs/>
                <w:color w:val="000000"/>
                <w:sz w:val="18"/>
                <w:szCs w:val="18"/>
                <w:u w:val="single"/>
                <w:rtl/>
                <w:lang w:eastAsia="he-IL"/>
              </w:rPr>
              <w:t>פעילות לווים בישראל</w:t>
            </w:r>
          </w:p>
        </w:tc>
        <w:tc>
          <w:tcPr>
            <w:tcW w:w="435" w:type="pct"/>
            <w:vAlign w:val="bottom"/>
          </w:tcPr>
          <w:p w14:paraId="06487650" w14:textId="77777777" w:rsidR="00D346BE" w:rsidRPr="00D346BE" w:rsidRDefault="00D346BE" w:rsidP="00424195">
            <w:pPr>
              <w:rPr>
                <w:rFonts w:asciiTheme="minorBidi" w:hAnsiTheme="minorBidi" w:cstheme="minorBidi"/>
                <w:sz w:val="18"/>
                <w:szCs w:val="18"/>
                <w:rtl/>
              </w:rPr>
            </w:pPr>
          </w:p>
        </w:tc>
        <w:tc>
          <w:tcPr>
            <w:tcW w:w="552" w:type="pct"/>
            <w:vAlign w:val="bottom"/>
          </w:tcPr>
          <w:p w14:paraId="24EF9DC0" w14:textId="77777777" w:rsidR="00D346BE" w:rsidRPr="00D346BE" w:rsidRDefault="00D346BE" w:rsidP="00424195">
            <w:pPr>
              <w:rPr>
                <w:rFonts w:asciiTheme="minorBidi" w:hAnsiTheme="minorBidi" w:cstheme="minorBidi"/>
                <w:sz w:val="18"/>
                <w:szCs w:val="18"/>
                <w:rtl/>
              </w:rPr>
            </w:pPr>
          </w:p>
        </w:tc>
        <w:tc>
          <w:tcPr>
            <w:tcW w:w="593" w:type="pct"/>
            <w:vAlign w:val="bottom"/>
          </w:tcPr>
          <w:p w14:paraId="17839B8E" w14:textId="77777777" w:rsidR="00D346BE" w:rsidRPr="00D346BE" w:rsidRDefault="00D346BE" w:rsidP="00424195">
            <w:pPr>
              <w:rPr>
                <w:rFonts w:asciiTheme="minorBidi" w:hAnsiTheme="minorBidi" w:cstheme="minorBidi"/>
                <w:sz w:val="18"/>
                <w:szCs w:val="18"/>
                <w:rtl/>
              </w:rPr>
            </w:pPr>
          </w:p>
        </w:tc>
        <w:tc>
          <w:tcPr>
            <w:tcW w:w="343" w:type="pct"/>
            <w:vAlign w:val="bottom"/>
          </w:tcPr>
          <w:p w14:paraId="2EF35108" w14:textId="77777777" w:rsidR="00D346BE" w:rsidRPr="00D346BE" w:rsidRDefault="00D346BE" w:rsidP="00424195">
            <w:pPr>
              <w:rPr>
                <w:rFonts w:asciiTheme="minorBidi" w:hAnsiTheme="minorBidi" w:cstheme="minorBidi"/>
                <w:sz w:val="18"/>
                <w:szCs w:val="18"/>
                <w:rtl/>
              </w:rPr>
            </w:pPr>
          </w:p>
        </w:tc>
        <w:tc>
          <w:tcPr>
            <w:tcW w:w="439" w:type="pct"/>
            <w:vAlign w:val="bottom"/>
          </w:tcPr>
          <w:p w14:paraId="47786D75" w14:textId="77777777" w:rsidR="00D346BE" w:rsidRPr="00D346BE" w:rsidRDefault="00D346BE" w:rsidP="00424195">
            <w:pPr>
              <w:rPr>
                <w:rFonts w:asciiTheme="minorBidi" w:hAnsiTheme="minorBidi" w:cstheme="minorBidi"/>
                <w:sz w:val="18"/>
                <w:szCs w:val="18"/>
                <w:rtl/>
              </w:rPr>
            </w:pPr>
          </w:p>
        </w:tc>
      </w:tr>
      <w:tr w:rsidR="00D346BE" w:rsidRPr="00D346BE" w14:paraId="09302F19" w14:textId="77777777" w:rsidTr="00B65F7C">
        <w:trPr>
          <w:gridAfter w:val="2"/>
          <w:wAfter w:w="109" w:type="pct"/>
          <w:trHeight w:val="259"/>
        </w:trPr>
        <w:tc>
          <w:tcPr>
            <w:tcW w:w="600" w:type="pct"/>
          </w:tcPr>
          <w:p w14:paraId="50B350C5" w14:textId="77777777" w:rsidR="00D346BE" w:rsidRPr="00D346BE" w:rsidRDefault="00D346BE" w:rsidP="00424195">
            <w:pPr>
              <w:rPr>
                <w:rFonts w:asciiTheme="minorBidi" w:hAnsiTheme="minorBidi" w:cstheme="minorBidi"/>
                <w:sz w:val="18"/>
                <w:szCs w:val="18"/>
                <w:rtl/>
              </w:rPr>
            </w:pPr>
          </w:p>
        </w:tc>
        <w:tc>
          <w:tcPr>
            <w:tcW w:w="161" w:type="pct"/>
            <w:tcBorders>
              <w:right w:val="single" w:sz="4" w:space="0" w:color="auto"/>
            </w:tcBorders>
            <w:vAlign w:val="bottom"/>
          </w:tcPr>
          <w:p w14:paraId="0A2E7328" w14:textId="77777777" w:rsidR="00D346BE" w:rsidRPr="00D346BE" w:rsidRDefault="00D346BE" w:rsidP="00424195">
            <w:pPr>
              <w:rPr>
                <w:rFonts w:asciiTheme="minorBidi" w:hAnsiTheme="minorBidi" w:cstheme="minorBidi"/>
                <w:sz w:val="18"/>
                <w:szCs w:val="18"/>
                <w:rtl/>
              </w:rPr>
            </w:pPr>
          </w:p>
        </w:tc>
        <w:tc>
          <w:tcPr>
            <w:tcW w:w="1768" w:type="pct"/>
            <w:gridSpan w:val="2"/>
            <w:tcBorders>
              <w:left w:val="single" w:sz="4" w:space="0" w:color="auto"/>
            </w:tcBorders>
            <w:vAlign w:val="bottom"/>
            <w:hideMark/>
          </w:tcPr>
          <w:p w14:paraId="330473FD" w14:textId="77777777" w:rsidR="00D346BE" w:rsidRPr="00D346BE" w:rsidRDefault="00D346BE" w:rsidP="00424195">
            <w:pPr>
              <w:ind w:left="34"/>
              <w:rPr>
                <w:rFonts w:asciiTheme="minorBidi" w:hAnsiTheme="minorBidi" w:cstheme="minorBidi"/>
                <w:color w:val="000000"/>
                <w:sz w:val="18"/>
                <w:szCs w:val="18"/>
                <w:rtl/>
                <w:lang w:eastAsia="he-IL"/>
              </w:rPr>
            </w:pPr>
            <w:r w:rsidRPr="00D346BE">
              <w:rPr>
                <w:rFonts w:asciiTheme="minorBidi" w:hAnsiTheme="minorBidi" w:cstheme="minorBidi"/>
                <w:color w:val="000000"/>
                <w:sz w:val="18"/>
                <w:szCs w:val="18"/>
                <w:rtl/>
                <w:lang w:eastAsia="he-IL"/>
              </w:rPr>
              <w:t>מסחרי</w:t>
            </w:r>
          </w:p>
        </w:tc>
        <w:tc>
          <w:tcPr>
            <w:tcW w:w="435" w:type="pct"/>
            <w:vAlign w:val="bottom"/>
            <w:hideMark/>
          </w:tcPr>
          <w:p w14:paraId="4CE27C10" w14:textId="77777777" w:rsidR="00D346BE" w:rsidRPr="00D346BE" w:rsidRDefault="00D346BE" w:rsidP="00424195">
            <w:pPr>
              <w:rPr>
                <w:rFonts w:asciiTheme="minorBidi" w:hAnsiTheme="minorBidi" w:cstheme="minorBidi"/>
                <w:sz w:val="18"/>
                <w:szCs w:val="18"/>
              </w:rPr>
            </w:pPr>
            <w:r w:rsidRPr="00D346BE">
              <w:rPr>
                <w:rFonts w:asciiTheme="minorBidi" w:hAnsiTheme="minorBidi" w:cstheme="minorBidi"/>
                <w:sz w:val="18"/>
                <w:szCs w:val="18"/>
                <w:rtl/>
              </w:rPr>
              <w:t xml:space="preserve"> 0</w:t>
            </w:r>
          </w:p>
        </w:tc>
        <w:tc>
          <w:tcPr>
            <w:tcW w:w="552" w:type="pct"/>
            <w:vAlign w:val="bottom"/>
            <w:hideMark/>
          </w:tcPr>
          <w:p w14:paraId="27BE52C6" w14:textId="77777777" w:rsidR="00D346BE" w:rsidRPr="00D346BE" w:rsidRDefault="00D346BE" w:rsidP="00424195">
            <w:pPr>
              <w:rPr>
                <w:rFonts w:asciiTheme="minorBidi" w:hAnsiTheme="minorBidi" w:cstheme="minorBidi"/>
                <w:sz w:val="18"/>
                <w:szCs w:val="18"/>
                <w:rtl/>
              </w:rPr>
            </w:pPr>
            <w:r w:rsidRPr="00D346BE">
              <w:rPr>
                <w:rFonts w:asciiTheme="minorBidi" w:hAnsiTheme="minorBidi" w:cstheme="minorBidi"/>
                <w:sz w:val="18"/>
                <w:szCs w:val="18"/>
                <w:rtl/>
              </w:rPr>
              <w:t xml:space="preserve"> 0</w:t>
            </w:r>
          </w:p>
        </w:tc>
        <w:tc>
          <w:tcPr>
            <w:tcW w:w="593" w:type="pct"/>
            <w:vAlign w:val="bottom"/>
            <w:hideMark/>
          </w:tcPr>
          <w:p w14:paraId="4B7A2B0E" w14:textId="77777777" w:rsidR="00D346BE" w:rsidRPr="00D346BE" w:rsidRDefault="00D346BE" w:rsidP="00424195">
            <w:pPr>
              <w:rPr>
                <w:rFonts w:asciiTheme="minorBidi" w:hAnsiTheme="minorBidi" w:cstheme="minorBidi"/>
                <w:sz w:val="18"/>
                <w:szCs w:val="18"/>
                <w:rtl/>
              </w:rPr>
            </w:pPr>
            <w:r w:rsidRPr="00D346BE">
              <w:rPr>
                <w:rFonts w:asciiTheme="minorBidi" w:hAnsiTheme="minorBidi" w:cstheme="minorBidi"/>
                <w:sz w:val="18"/>
                <w:szCs w:val="18"/>
                <w:rtl/>
              </w:rPr>
              <w:t xml:space="preserve"> 0</w:t>
            </w:r>
          </w:p>
        </w:tc>
        <w:tc>
          <w:tcPr>
            <w:tcW w:w="343" w:type="pct"/>
            <w:vAlign w:val="bottom"/>
            <w:hideMark/>
          </w:tcPr>
          <w:p w14:paraId="28D2899C" w14:textId="77777777" w:rsidR="00D346BE" w:rsidRPr="00D346BE" w:rsidRDefault="00D346BE" w:rsidP="00424195">
            <w:pPr>
              <w:rPr>
                <w:rFonts w:asciiTheme="minorBidi" w:hAnsiTheme="minorBidi" w:cstheme="minorBidi"/>
                <w:sz w:val="18"/>
                <w:szCs w:val="18"/>
                <w:rtl/>
              </w:rPr>
            </w:pPr>
            <w:r w:rsidRPr="00D346BE">
              <w:rPr>
                <w:rFonts w:asciiTheme="minorBidi" w:hAnsiTheme="minorBidi" w:cstheme="minorBidi"/>
                <w:sz w:val="18"/>
                <w:szCs w:val="18"/>
                <w:rtl/>
              </w:rPr>
              <w:t xml:space="preserve"> 0</w:t>
            </w:r>
          </w:p>
        </w:tc>
        <w:tc>
          <w:tcPr>
            <w:tcW w:w="439" w:type="pct"/>
            <w:vAlign w:val="bottom"/>
            <w:hideMark/>
          </w:tcPr>
          <w:p w14:paraId="2FF5F120" w14:textId="77777777" w:rsidR="00D346BE" w:rsidRPr="00D346BE" w:rsidRDefault="00D346BE" w:rsidP="00424195">
            <w:pPr>
              <w:rPr>
                <w:rFonts w:asciiTheme="minorBidi" w:hAnsiTheme="minorBidi" w:cstheme="minorBidi"/>
                <w:sz w:val="18"/>
                <w:szCs w:val="18"/>
                <w:rtl/>
              </w:rPr>
            </w:pPr>
            <w:r w:rsidRPr="00D346BE">
              <w:rPr>
                <w:rFonts w:asciiTheme="minorBidi" w:hAnsiTheme="minorBidi" w:cstheme="minorBidi"/>
                <w:sz w:val="18"/>
                <w:szCs w:val="18"/>
                <w:rtl/>
              </w:rPr>
              <w:t xml:space="preserve"> 0</w:t>
            </w:r>
          </w:p>
        </w:tc>
      </w:tr>
      <w:tr w:rsidR="00D346BE" w:rsidRPr="00D346BE" w14:paraId="7E57AF62" w14:textId="77777777" w:rsidTr="00B65F7C">
        <w:trPr>
          <w:gridAfter w:val="2"/>
          <w:wAfter w:w="109" w:type="pct"/>
          <w:trHeight w:val="259"/>
        </w:trPr>
        <w:tc>
          <w:tcPr>
            <w:tcW w:w="600" w:type="pct"/>
          </w:tcPr>
          <w:p w14:paraId="188B76BA" w14:textId="77777777" w:rsidR="00D346BE" w:rsidRPr="00D346BE" w:rsidRDefault="00D346BE" w:rsidP="00424195">
            <w:pPr>
              <w:rPr>
                <w:rFonts w:asciiTheme="minorBidi" w:hAnsiTheme="minorBidi" w:cstheme="minorBidi"/>
                <w:sz w:val="18"/>
                <w:szCs w:val="18"/>
                <w:rtl/>
              </w:rPr>
            </w:pPr>
          </w:p>
        </w:tc>
        <w:tc>
          <w:tcPr>
            <w:tcW w:w="161" w:type="pct"/>
            <w:tcBorders>
              <w:right w:val="single" w:sz="4" w:space="0" w:color="auto"/>
            </w:tcBorders>
            <w:vAlign w:val="bottom"/>
          </w:tcPr>
          <w:p w14:paraId="39566A3A" w14:textId="77777777" w:rsidR="00D346BE" w:rsidRPr="00D346BE" w:rsidRDefault="00D346BE" w:rsidP="00424195">
            <w:pPr>
              <w:rPr>
                <w:rFonts w:asciiTheme="minorBidi" w:hAnsiTheme="minorBidi" w:cstheme="minorBidi"/>
                <w:sz w:val="18"/>
                <w:szCs w:val="18"/>
                <w:rtl/>
              </w:rPr>
            </w:pPr>
          </w:p>
        </w:tc>
        <w:tc>
          <w:tcPr>
            <w:tcW w:w="1768" w:type="pct"/>
            <w:gridSpan w:val="2"/>
            <w:tcBorders>
              <w:left w:val="single" w:sz="4" w:space="0" w:color="auto"/>
            </w:tcBorders>
            <w:vAlign w:val="bottom"/>
            <w:hideMark/>
          </w:tcPr>
          <w:p w14:paraId="433616CD" w14:textId="77777777" w:rsidR="00D346BE" w:rsidRPr="00D346BE" w:rsidRDefault="00D346BE" w:rsidP="00424195">
            <w:pPr>
              <w:spacing w:before="40" w:line="200" w:lineRule="exact"/>
              <w:ind w:right="144" w:firstLine="34"/>
              <w:rPr>
                <w:rFonts w:asciiTheme="minorBidi" w:hAnsiTheme="minorBidi" w:cstheme="minorBidi"/>
                <w:color w:val="000000"/>
                <w:sz w:val="18"/>
                <w:szCs w:val="18"/>
                <w:rtl/>
                <w:lang w:eastAsia="he-IL"/>
              </w:rPr>
            </w:pPr>
            <w:r w:rsidRPr="00D346BE">
              <w:rPr>
                <w:rFonts w:asciiTheme="minorBidi" w:hAnsiTheme="minorBidi" w:cstheme="minorBidi"/>
                <w:color w:val="000000"/>
                <w:sz w:val="18"/>
                <w:szCs w:val="18"/>
                <w:rtl/>
                <w:lang w:eastAsia="he-IL"/>
              </w:rPr>
              <w:t>אנשים פרטיים - הלוואות לדיור</w:t>
            </w:r>
          </w:p>
        </w:tc>
        <w:tc>
          <w:tcPr>
            <w:tcW w:w="435" w:type="pct"/>
            <w:vAlign w:val="bottom"/>
            <w:hideMark/>
          </w:tcPr>
          <w:p w14:paraId="0D158740" w14:textId="77777777" w:rsidR="00D346BE" w:rsidRPr="00D346BE" w:rsidRDefault="00D346BE" w:rsidP="00424195">
            <w:pPr>
              <w:rPr>
                <w:rFonts w:asciiTheme="minorBidi" w:hAnsiTheme="minorBidi" w:cstheme="minorBidi"/>
                <w:sz w:val="18"/>
                <w:szCs w:val="18"/>
              </w:rPr>
            </w:pPr>
            <w:r w:rsidRPr="00D346BE">
              <w:rPr>
                <w:rFonts w:asciiTheme="minorBidi" w:hAnsiTheme="minorBidi" w:cstheme="minorBidi"/>
                <w:sz w:val="18"/>
                <w:szCs w:val="18"/>
                <w:rtl/>
              </w:rPr>
              <w:t xml:space="preserve"> 0</w:t>
            </w:r>
          </w:p>
        </w:tc>
        <w:tc>
          <w:tcPr>
            <w:tcW w:w="552" w:type="pct"/>
            <w:vAlign w:val="bottom"/>
            <w:hideMark/>
          </w:tcPr>
          <w:p w14:paraId="0DF24E63" w14:textId="77777777" w:rsidR="00D346BE" w:rsidRPr="00D346BE" w:rsidRDefault="00D346BE" w:rsidP="00424195">
            <w:pPr>
              <w:rPr>
                <w:rFonts w:asciiTheme="minorBidi" w:hAnsiTheme="minorBidi" w:cstheme="minorBidi"/>
                <w:sz w:val="18"/>
                <w:szCs w:val="18"/>
                <w:rtl/>
              </w:rPr>
            </w:pPr>
            <w:r w:rsidRPr="00D346BE">
              <w:rPr>
                <w:rFonts w:asciiTheme="minorBidi" w:hAnsiTheme="minorBidi" w:cstheme="minorBidi"/>
                <w:sz w:val="18"/>
                <w:szCs w:val="18"/>
                <w:rtl/>
              </w:rPr>
              <w:t xml:space="preserve"> 0</w:t>
            </w:r>
          </w:p>
        </w:tc>
        <w:tc>
          <w:tcPr>
            <w:tcW w:w="593" w:type="pct"/>
            <w:vAlign w:val="bottom"/>
            <w:hideMark/>
          </w:tcPr>
          <w:p w14:paraId="23B5DEEB" w14:textId="77777777" w:rsidR="00D346BE" w:rsidRPr="00D346BE" w:rsidRDefault="00D346BE" w:rsidP="00424195">
            <w:pPr>
              <w:rPr>
                <w:rFonts w:asciiTheme="minorBidi" w:hAnsiTheme="minorBidi" w:cstheme="minorBidi"/>
                <w:sz w:val="18"/>
                <w:szCs w:val="18"/>
                <w:rtl/>
              </w:rPr>
            </w:pPr>
            <w:r w:rsidRPr="00D346BE">
              <w:rPr>
                <w:rFonts w:asciiTheme="minorBidi" w:hAnsiTheme="minorBidi" w:cstheme="minorBidi"/>
                <w:sz w:val="18"/>
                <w:szCs w:val="18"/>
                <w:rtl/>
              </w:rPr>
              <w:t xml:space="preserve"> 0</w:t>
            </w:r>
          </w:p>
        </w:tc>
        <w:tc>
          <w:tcPr>
            <w:tcW w:w="343" w:type="pct"/>
            <w:vAlign w:val="bottom"/>
            <w:hideMark/>
          </w:tcPr>
          <w:p w14:paraId="1335A4A2" w14:textId="77777777" w:rsidR="00D346BE" w:rsidRPr="00D346BE" w:rsidRDefault="00D346BE" w:rsidP="00424195">
            <w:pPr>
              <w:rPr>
                <w:rFonts w:asciiTheme="minorBidi" w:hAnsiTheme="minorBidi" w:cstheme="minorBidi"/>
                <w:sz w:val="18"/>
                <w:szCs w:val="18"/>
                <w:rtl/>
              </w:rPr>
            </w:pPr>
            <w:r w:rsidRPr="00D346BE">
              <w:rPr>
                <w:rFonts w:asciiTheme="minorBidi" w:hAnsiTheme="minorBidi" w:cstheme="minorBidi"/>
                <w:sz w:val="18"/>
                <w:szCs w:val="18"/>
                <w:rtl/>
              </w:rPr>
              <w:t xml:space="preserve"> 0</w:t>
            </w:r>
          </w:p>
        </w:tc>
        <w:tc>
          <w:tcPr>
            <w:tcW w:w="439" w:type="pct"/>
            <w:vAlign w:val="bottom"/>
            <w:hideMark/>
          </w:tcPr>
          <w:p w14:paraId="0BF9845E" w14:textId="77777777" w:rsidR="00D346BE" w:rsidRPr="00D346BE" w:rsidRDefault="00D346BE" w:rsidP="00424195">
            <w:pPr>
              <w:rPr>
                <w:rFonts w:asciiTheme="minorBidi" w:hAnsiTheme="minorBidi" w:cstheme="minorBidi"/>
                <w:sz w:val="18"/>
                <w:szCs w:val="18"/>
                <w:rtl/>
              </w:rPr>
            </w:pPr>
            <w:r w:rsidRPr="00D346BE">
              <w:rPr>
                <w:rFonts w:asciiTheme="minorBidi" w:hAnsiTheme="minorBidi" w:cstheme="minorBidi"/>
                <w:sz w:val="18"/>
                <w:szCs w:val="18"/>
                <w:rtl/>
              </w:rPr>
              <w:t xml:space="preserve"> 0</w:t>
            </w:r>
          </w:p>
        </w:tc>
      </w:tr>
      <w:tr w:rsidR="00D346BE" w:rsidRPr="00D346BE" w14:paraId="5850E937" w14:textId="77777777" w:rsidTr="00B65F7C">
        <w:trPr>
          <w:gridAfter w:val="2"/>
          <w:wAfter w:w="109" w:type="pct"/>
          <w:trHeight w:val="259"/>
        </w:trPr>
        <w:tc>
          <w:tcPr>
            <w:tcW w:w="600" w:type="pct"/>
          </w:tcPr>
          <w:p w14:paraId="04F04D5F" w14:textId="77777777" w:rsidR="00D346BE" w:rsidRPr="00D346BE" w:rsidRDefault="00D346BE" w:rsidP="00424195">
            <w:pPr>
              <w:rPr>
                <w:rFonts w:asciiTheme="minorBidi" w:hAnsiTheme="minorBidi" w:cstheme="minorBidi"/>
                <w:sz w:val="18"/>
                <w:szCs w:val="18"/>
                <w:rtl/>
              </w:rPr>
            </w:pPr>
          </w:p>
        </w:tc>
        <w:tc>
          <w:tcPr>
            <w:tcW w:w="161" w:type="pct"/>
            <w:tcBorders>
              <w:right w:val="single" w:sz="4" w:space="0" w:color="auto"/>
            </w:tcBorders>
            <w:vAlign w:val="bottom"/>
          </w:tcPr>
          <w:p w14:paraId="11D4F847" w14:textId="77777777" w:rsidR="00D346BE" w:rsidRPr="00D346BE" w:rsidRDefault="00D346BE" w:rsidP="00424195">
            <w:pPr>
              <w:rPr>
                <w:rFonts w:asciiTheme="minorBidi" w:hAnsiTheme="minorBidi" w:cstheme="minorBidi"/>
                <w:sz w:val="18"/>
                <w:szCs w:val="18"/>
                <w:rtl/>
              </w:rPr>
            </w:pPr>
          </w:p>
        </w:tc>
        <w:tc>
          <w:tcPr>
            <w:tcW w:w="1768" w:type="pct"/>
            <w:gridSpan w:val="2"/>
            <w:tcBorders>
              <w:left w:val="single" w:sz="4" w:space="0" w:color="auto"/>
            </w:tcBorders>
            <w:vAlign w:val="bottom"/>
            <w:hideMark/>
          </w:tcPr>
          <w:p w14:paraId="32456933" w14:textId="77777777" w:rsidR="00D346BE" w:rsidRPr="00D346BE" w:rsidRDefault="00D346BE" w:rsidP="00424195">
            <w:pPr>
              <w:ind w:firstLine="34"/>
              <w:rPr>
                <w:rFonts w:asciiTheme="minorBidi" w:hAnsiTheme="minorBidi" w:cstheme="minorBidi"/>
                <w:color w:val="000000"/>
                <w:sz w:val="18"/>
                <w:szCs w:val="18"/>
                <w:rtl/>
                <w:lang w:eastAsia="he-IL"/>
              </w:rPr>
            </w:pPr>
            <w:r w:rsidRPr="00D346BE">
              <w:rPr>
                <w:rFonts w:asciiTheme="minorBidi" w:hAnsiTheme="minorBidi" w:cstheme="minorBidi"/>
                <w:color w:val="000000"/>
                <w:sz w:val="18"/>
                <w:szCs w:val="18"/>
                <w:rtl/>
                <w:lang w:eastAsia="he-IL"/>
              </w:rPr>
              <w:t>אנשים פרטיים - אחר</w:t>
            </w:r>
          </w:p>
        </w:tc>
        <w:tc>
          <w:tcPr>
            <w:tcW w:w="435" w:type="pct"/>
            <w:vAlign w:val="bottom"/>
            <w:hideMark/>
          </w:tcPr>
          <w:p w14:paraId="2BE1A637" w14:textId="77777777" w:rsidR="00D346BE" w:rsidRPr="00D346BE" w:rsidRDefault="00D346BE" w:rsidP="00424195">
            <w:pPr>
              <w:rPr>
                <w:rFonts w:asciiTheme="minorBidi" w:hAnsiTheme="minorBidi" w:cstheme="minorBidi"/>
                <w:sz w:val="18"/>
                <w:szCs w:val="18"/>
              </w:rPr>
            </w:pPr>
            <w:r w:rsidRPr="00D346BE">
              <w:rPr>
                <w:rFonts w:asciiTheme="minorBidi" w:hAnsiTheme="minorBidi" w:cstheme="minorBidi"/>
                <w:sz w:val="18"/>
                <w:szCs w:val="18"/>
                <w:rtl/>
              </w:rPr>
              <w:t xml:space="preserve"> 0</w:t>
            </w:r>
          </w:p>
        </w:tc>
        <w:tc>
          <w:tcPr>
            <w:tcW w:w="552" w:type="pct"/>
            <w:vAlign w:val="bottom"/>
            <w:hideMark/>
          </w:tcPr>
          <w:p w14:paraId="0AB259E9" w14:textId="77777777" w:rsidR="00D346BE" w:rsidRPr="00D346BE" w:rsidRDefault="00D346BE" w:rsidP="00424195">
            <w:pPr>
              <w:rPr>
                <w:rFonts w:asciiTheme="minorBidi" w:hAnsiTheme="minorBidi" w:cstheme="minorBidi"/>
                <w:sz w:val="18"/>
                <w:szCs w:val="18"/>
                <w:rtl/>
              </w:rPr>
            </w:pPr>
            <w:r w:rsidRPr="00D346BE">
              <w:rPr>
                <w:rFonts w:asciiTheme="minorBidi" w:hAnsiTheme="minorBidi" w:cstheme="minorBidi"/>
                <w:sz w:val="18"/>
                <w:szCs w:val="18"/>
                <w:rtl/>
              </w:rPr>
              <w:t xml:space="preserve"> 0</w:t>
            </w:r>
          </w:p>
        </w:tc>
        <w:tc>
          <w:tcPr>
            <w:tcW w:w="593" w:type="pct"/>
            <w:vAlign w:val="bottom"/>
            <w:hideMark/>
          </w:tcPr>
          <w:p w14:paraId="772FEF85" w14:textId="77777777" w:rsidR="00D346BE" w:rsidRPr="00D346BE" w:rsidRDefault="00D346BE" w:rsidP="00424195">
            <w:pPr>
              <w:rPr>
                <w:rFonts w:asciiTheme="minorBidi" w:hAnsiTheme="minorBidi" w:cstheme="minorBidi"/>
                <w:sz w:val="18"/>
                <w:szCs w:val="18"/>
                <w:rtl/>
              </w:rPr>
            </w:pPr>
            <w:r w:rsidRPr="00D346BE">
              <w:rPr>
                <w:rFonts w:asciiTheme="minorBidi" w:hAnsiTheme="minorBidi" w:cstheme="minorBidi"/>
                <w:sz w:val="18"/>
                <w:szCs w:val="18"/>
                <w:rtl/>
              </w:rPr>
              <w:t xml:space="preserve"> 0</w:t>
            </w:r>
          </w:p>
        </w:tc>
        <w:tc>
          <w:tcPr>
            <w:tcW w:w="343" w:type="pct"/>
            <w:vAlign w:val="bottom"/>
            <w:hideMark/>
          </w:tcPr>
          <w:p w14:paraId="0504C425" w14:textId="77777777" w:rsidR="00D346BE" w:rsidRPr="00D346BE" w:rsidRDefault="00D346BE" w:rsidP="00424195">
            <w:pPr>
              <w:rPr>
                <w:rFonts w:asciiTheme="minorBidi" w:hAnsiTheme="minorBidi" w:cstheme="minorBidi"/>
                <w:sz w:val="18"/>
                <w:szCs w:val="18"/>
                <w:rtl/>
              </w:rPr>
            </w:pPr>
            <w:r w:rsidRPr="00D346BE">
              <w:rPr>
                <w:rFonts w:asciiTheme="minorBidi" w:hAnsiTheme="minorBidi" w:cstheme="minorBidi"/>
                <w:sz w:val="18"/>
                <w:szCs w:val="18"/>
                <w:rtl/>
              </w:rPr>
              <w:t xml:space="preserve"> 0</w:t>
            </w:r>
          </w:p>
        </w:tc>
        <w:tc>
          <w:tcPr>
            <w:tcW w:w="439" w:type="pct"/>
            <w:vAlign w:val="bottom"/>
            <w:hideMark/>
          </w:tcPr>
          <w:p w14:paraId="22E5789D" w14:textId="77777777" w:rsidR="00D346BE" w:rsidRPr="00D346BE" w:rsidRDefault="00D346BE" w:rsidP="00424195">
            <w:pPr>
              <w:rPr>
                <w:rFonts w:asciiTheme="minorBidi" w:hAnsiTheme="minorBidi" w:cstheme="minorBidi"/>
                <w:sz w:val="18"/>
                <w:szCs w:val="18"/>
                <w:rtl/>
              </w:rPr>
            </w:pPr>
            <w:r w:rsidRPr="00D346BE">
              <w:rPr>
                <w:rFonts w:asciiTheme="minorBidi" w:hAnsiTheme="minorBidi" w:cstheme="minorBidi"/>
                <w:sz w:val="18"/>
                <w:szCs w:val="18"/>
                <w:rtl/>
              </w:rPr>
              <w:t xml:space="preserve"> 0</w:t>
            </w:r>
          </w:p>
        </w:tc>
      </w:tr>
      <w:tr w:rsidR="00D346BE" w:rsidRPr="00D346BE" w14:paraId="2399CE01" w14:textId="77777777" w:rsidTr="00B65F7C">
        <w:trPr>
          <w:gridAfter w:val="2"/>
          <w:wAfter w:w="109" w:type="pct"/>
          <w:trHeight w:val="259"/>
        </w:trPr>
        <w:tc>
          <w:tcPr>
            <w:tcW w:w="600" w:type="pct"/>
          </w:tcPr>
          <w:p w14:paraId="330FB614" w14:textId="77777777" w:rsidR="00D346BE" w:rsidRPr="00D346BE" w:rsidRDefault="00D346BE" w:rsidP="00424195">
            <w:pPr>
              <w:rPr>
                <w:rFonts w:asciiTheme="minorBidi" w:hAnsiTheme="minorBidi" w:cstheme="minorBidi"/>
                <w:sz w:val="18"/>
                <w:szCs w:val="18"/>
                <w:rtl/>
              </w:rPr>
            </w:pPr>
          </w:p>
        </w:tc>
        <w:tc>
          <w:tcPr>
            <w:tcW w:w="161" w:type="pct"/>
            <w:tcBorders>
              <w:right w:val="single" w:sz="4" w:space="0" w:color="auto"/>
            </w:tcBorders>
            <w:vAlign w:val="bottom"/>
          </w:tcPr>
          <w:p w14:paraId="7CC8E199" w14:textId="77777777" w:rsidR="00D346BE" w:rsidRPr="00D346BE" w:rsidRDefault="00D346BE" w:rsidP="00424195">
            <w:pPr>
              <w:rPr>
                <w:rFonts w:asciiTheme="minorBidi" w:hAnsiTheme="minorBidi" w:cstheme="minorBidi"/>
                <w:sz w:val="18"/>
                <w:szCs w:val="18"/>
                <w:rtl/>
              </w:rPr>
            </w:pPr>
          </w:p>
        </w:tc>
        <w:tc>
          <w:tcPr>
            <w:tcW w:w="1768" w:type="pct"/>
            <w:gridSpan w:val="2"/>
            <w:tcBorders>
              <w:left w:val="single" w:sz="4" w:space="0" w:color="auto"/>
            </w:tcBorders>
            <w:vAlign w:val="bottom"/>
            <w:hideMark/>
          </w:tcPr>
          <w:p w14:paraId="41839D99" w14:textId="77777777" w:rsidR="00D346BE" w:rsidRPr="00D346BE" w:rsidRDefault="00D346BE" w:rsidP="00424195">
            <w:pPr>
              <w:spacing w:before="60" w:line="180" w:lineRule="exact"/>
              <w:ind w:left="34" w:right="142"/>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סך הכל אשראי לציבור - פעילות בישראל</w:t>
            </w:r>
          </w:p>
        </w:tc>
        <w:tc>
          <w:tcPr>
            <w:tcW w:w="435" w:type="pct"/>
            <w:vAlign w:val="bottom"/>
            <w:hideMark/>
          </w:tcPr>
          <w:p w14:paraId="7141C986" w14:textId="77777777" w:rsidR="00D346BE" w:rsidRPr="00D346BE" w:rsidRDefault="00D346BE" w:rsidP="00424195">
            <w:pPr>
              <w:pBdr>
                <w:top w:val="single" w:sz="4" w:space="1" w:color="auto"/>
              </w:pBdr>
              <w:ind w:left="144" w:hanging="144"/>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 xml:space="preserve"> 0</w:t>
            </w:r>
          </w:p>
        </w:tc>
        <w:tc>
          <w:tcPr>
            <w:tcW w:w="552" w:type="pct"/>
            <w:vAlign w:val="bottom"/>
            <w:hideMark/>
          </w:tcPr>
          <w:p w14:paraId="03DD1CCF" w14:textId="77777777" w:rsidR="00D346BE" w:rsidRPr="00D346BE" w:rsidRDefault="00D346BE" w:rsidP="00424195">
            <w:pPr>
              <w:pBdr>
                <w:top w:val="single" w:sz="4" w:space="1" w:color="auto"/>
              </w:pBdr>
              <w:ind w:left="144" w:hanging="144"/>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 xml:space="preserve"> 0</w:t>
            </w:r>
          </w:p>
        </w:tc>
        <w:tc>
          <w:tcPr>
            <w:tcW w:w="593" w:type="pct"/>
            <w:vAlign w:val="bottom"/>
            <w:hideMark/>
          </w:tcPr>
          <w:p w14:paraId="54A6DFE1" w14:textId="77777777" w:rsidR="00D346BE" w:rsidRPr="00D346BE" w:rsidRDefault="00D346BE" w:rsidP="00424195">
            <w:pPr>
              <w:pBdr>
                <w:top w:val="single" w:sz="4" w:space="1" w:color="auto"/>
              </w:pBdr>
              <w:ind w:left="144" w:hanging="144"/>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 xml:space="preserve"> 0</w:t>
            </w:r>
          </w:p>
        </w:tc>
        <w:tc>
          <w:tcPr>
            <w:tcW w:w="343" w:type="pct"/>
            <w:vAlign w:val="bottom"/>
            <w:hideMark/>
          </w:tcPr>
          <w:p w14:paraId="20E79ACC" w14:textId="77777777" w:rsidR="00D346BE" w:rsidRPr="00D346BE" w:rsidRDefault="00D346BE" w:rsidP="00424195">
            <w:pPr>
              <w:pBdr>
                <w:top w:val="single" w:sz="4" w:space="1" w:color="auto"/>
              </w:pBdr>
              <w:ind w:left="144" w:hanging="144"/>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 xml:space="preserve"> 0</w:t>
            </w:r>
          </w:p>
        </w:tc>
        <w:tc>
          <w:tcPr>
            <w:tcW w:w="439" w:type="pct"/>
            <w:vAlign w:val="bottom"/>
            <w:hideMark/>
          </w:tcPr>
          <w:p w14:paraId="702A58B3" w14:textId="77777777" w:rsidR="00D346BE" w:rsidRPr="00D346BE" w:rsidRDefault="00D346BE" w:rsidP="00424195">
            <w:pPr>
              <w:pBdr>
                <w:top w:val="single" w:sz="4" w:space="1" w:color="auto"/>
              </w:pBdr>
              <w:ind w:left="144" w:hanging="144"/>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 xml:space="preserve"> 0</w:t>
            </w:r>
          </w:p>
        </w:tc>
      </w:tr>
      <w:tr w:rsidR="00D346BE" w:rsidRPr="00D346BE" w14:paraId="5A7205F2" w14:textId="77777777" w:rsidTr="00B65F7C">
        <w:trPr>
          <w:gridAfter w:val="2"/>
          <w:wAfter w:w="109" w:type="pct"/>
          <w:trHeight w:val="259"/>
        </w:trPr>
        <w:tc>
          <w:tcPr>
            <w:tcW w:w="600" w:type="pct"/>
          </w:tcPr>
          <w:p w14:paraId="5E80C352" w14:textId="77777777" w:rsidR="00D346BE" w:rsidRPr="00D346BE" w:rsidRDefault="00D346BE" w:rsidP="00424195">
            <w:pPr>
              <w:rPr>
                <w:rFonts w:asciiTheme="minorBidi" w:hAnsiTheme="minorBidi" w:cstheme="minorBidi"/>
                <w:sz w:val="18"/>
                <w:szCs w:val="18"/>
                <w:rtl/>
              </w:rPr>
            </w:pPr>
          </w:p>
        </w:tc>
        <w:tc>
          <w:tcPr>
            <w:tcW w:w="161" w:type="pct"/>
            <w:tcBorders>
              <w:right w:val="single" w:sz="4" w:space="0" w:color="auto"/>
            </w:tcBorders>
            <w:vAlign w:val="bottom"/>
          </w:tcPr>
          <w:p w14:paraId="0CD1FB28" w14:textId="77777777" w:rsidR="00D346BE" w:rsidRPr="00D346BE" w:rsidRDefault="00D346BE" w:rsidP="00424195">
            <w:pPr>
              <w:rPr>
                <w:rFonts w:asciiTheme="minorBidi" w:hAnsiTheme="minorBidi" w:cstheme="minorBidi"/>
                <w:sz w:val="18"/>
                <w:szCs w:val="18"/>
                <w:rtl/>
              </w:rPr>
            </w:pPr>
          </w:p>
        </w:tc>
        <w:tc>
          <w:tcPr>
            <w:tcW w:w="1768" w:type="pct"/>
            <w:gridSpan w:val="2"/>
            <w:tcBorders>
              <w:left w:val="single" w:sz="4" w:space="0" w:color="auto"/>
            </w:tcBorders>
            <w:vAlign w:val="bottom"/>
            <w:hideMark/>
          </w:tcPr>
          <w:p w14:paraId="6E9CE341" w14:textId="77777777" w:rsidR="00D346BE" w:rsidRPr="00D346BE" w:rsidRDefault="00D346BE" w:rsidP="00424195">
            <w:pPr>
              <w:spacing w:before="40" w:line="180" w:lineRule="exact"/>
              <w:ind w:left="142" w:right="142" w:hanging="108"/>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סך הכל אשראי לציבור - פעילות בחו"ל</w:t>
            </w:r>
          </w:p>
        </w:tc>
        <w:tc>
          <w:tcPr>
            <w:tcW w:w="435" w:type="pct"/>
            <w:vAlign w:val="bottom"/>
            <w:hideMark/>
          </w:tcPr>
          <w:p w14:paraId="13C71786" w14:textId="77777777" w:rsidR="00D346BE" w:rsidRPr="00D346BE" w:rsidRDefault="00D346BE" w:rsidP="00424195">
            <w:pPr>
              <w:pBdr>
                <w:bottom w:val="single" w:sz="4" w:space="1" w:color="auto"/>
              </w:pBdr>
              <w:ind w:left="144" w:hanging="144"/>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 xml:space="preserve"> 0</w:t>
            </w:r>
          </w:p>
        </w:tc>
        <w:tc>
          <w:tcPr>
            <w:tcW w:w="552" w:type="pct"/>
            <w:vAlign w:val="bottom"/>
            <w:hideMark/>
          </w:tcPr>
          <w:p w14:paraId="57DE1A2A" w14:textId="77777777" w:rsidR="00D346BE" w:rsidRPr="00D346BE" w:rsidRDefault="00D346BE" w:rsidP="00424195">
            <w:pPr>
              <w:pBdr>
                <w:bottom w:val="single" w:sz="4" w:space="1" w:color="auto"/>
              </w:pBdr>
              <w:ind w:left="144" w:hanging="144"/>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 xml:space="preserve"> 0</w:t>
            </w:r>
          </w:p>
        </w:tc>
        <w:tc>
          <w:tcPr>
            <w:tcW w:w="593" w:type="pct"/>
            <w:vAlign w:val="bottom"/>
            <w:hideMark/>
          </w:tcPr>
          <w:p w14:paraId="7E9E96B8" w14:textId="77777777" w:rsidR="00D346BE" w:rsidRPr="00D346BE" w:rsidRDefault="00D346BE" w:rsidP="00424195">
            <w:pPr>
              <w:pBdr>
                <w:bottom w:val="single" w:sz="4" w:space="1" w:color="auto"/>
              </w:pBdr>
              <w:ind w:left="144" w:hanging="144"/>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 xml:space="preserve"> 0</w:t>
            </w:r>
          </w:p>
        </w:tc>
        <w:tc>
          <w:tcPr>
            <w:tcW w:w="343" w:type="pct"/>
            <w:vAlign w:val="bottom"/>
            <w:hideMark/>
          </w:tcPr>
          <w:p w14:paraId="25090C67" w14:textId="77777777" w:rsidR="00D346BE" w:rsidRPr="00D346BE" w:rsidRDefault="00D346BE" w:rsidP="00424195">
            <w:pPr>
              <w:pBdr>
                <w:bottom w:val="single" w:sz="4" w:space="1" w:color="auto"/>
              </w:pBdr>
              <w:ind w:left="144" w:hanging="144"/>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 xml:space="preserve"> 0</w:t>
            </w:r>
          </w:p>
        </w:tc>
        <w:tc>
          <w:tcPr>
            <w:tcW w:w="439" w:type="pct"/>
            <w:vAlign w:val="bottom"/>
            <w:hideMark/>
          </w:tcPr>
          <w:p w14:paraId="672D931F" w14:textId="77777777" w:rsidR="00D346BE" w:rsidRPr="00D346BE" w:rsidRDefault="00D346BE" w:rsidP="00424195">
            <w:pPr>
              <w:pBdr>
                <w:bottom w:val="single" w:sz="4" w:space="1" w:color="auto"/>
              </w:pBdr>
              <w:ind w:left="144" w:hanging="144"/>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 xml:space="preserve"> 0</w:t>
            </w:r>
          </w:p>
        </w:tc>
      </w:tr>
      <w:tr w:rsidR="00D346BE" w:rsidRPr="00D346BE" w14:paraId="1D6C6934" w14:textId="77777777" w:rsidTr="00B65F7C">
        <w:trPr>
          <w:gridAfter w:val="2"/>
          <w:wAfter w:w="109" w:type="pct"/>
          <w:trHeight w:val="259"/>
        </w:trPr>
        <w:tc>
          <w:tcPr>
            <w:tcW w:w="600" w:type="pct"/>
          </w:tcPr>
          <w:p w14:paraId="635AEE27" w14:textId="77777777" w:rsidR="00D346BE" w:rsidRPr="00D346BE" w:rsidRDefault="00D346BE" w:rsidP="00424195">
            <w:pPr>
              <w:rPr>
                <w:rFonts w:asciiTheme="minorBidi" w:hAnsiTheme="minorBidi" w:cstheme="minorBidi"/>
                <w:sz w:val="18"/>
                <w:szCs w:val="18"/>
                <w:rtl/>
              </w:rPr>
            </w:pPr>
          </w:p>
        </w:tc>
        <w:tc>
          <w:tcPr>
            <w:tcW w:w="161" w:type="pct"/>
            <w:tcBorders>
              <w:right w:val="single" w:sz="4" w:space="0" w:color="auto"/>
            </w:tcBorders>
            <w:vAlign w:val="bottom"/>
          </w:tcPr>
          <w:p w14:paraId="326F34D2" w14:textId="77777777" w:rsidR="00D346BE" w:rsidRPr="00D346BE" w:rsidRDefault="00D346BE" w:rsidP="00424195">
            <w:pPr>
              <w:rPr>
                <w:rFonts w:asciiTheme="minorBidi" w:hAnsiTheme="minorBidi" w:cstheme="minorBidi"/>
                <w:sz w:val="18"/>
                <w:szCs w:val="18"/>
                <w:rtl/>
              </w:rPr>
            </w:pPr>
          </w:p>
        </w:tc>
        <w:tc>
          <w:tcPr>
            <w:tcW w:w="1768" w:type="pct"/>
            <w:gridSpan w:val="2"/>
            <w:tcBorders>
              <w:left w:val="single" w:sz="4" w:space="0" w:color="auto"/>
            </w:tcBorders>
            <w:vAlign w:val="bottom"/>
            <w:hideMark/>
          </w:tcPr>
          <w:p w14:paraId="6F4A3048" w14:textId="77777777" w:rsidR="00D346BE" w:rsidRPr="00D346BE" w:rsidRDefault="00D346BE" w:rsidP="00424195">
            <w:pPr>
              <w:ind w:left="144" w:hanging="144"/>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סך הכל אשראי לציבור</w:t>
            </w:r>
          </w:p>
        </w:tc>
        <w:tc>
          <w:tcPr>
            <w:tcW w:w="435" w:type="pct"/>
            <w:vAlign w:val="bottom"/>
            <w:hideMark/>
          </w:tcPr>
          <w:p w14:paraId="0C2B2BC0" w14:textId="77777777" w:rsidR="00D346BE" w:rsidRPr="00D346BE" w:rsidRDefault="00D346BE" w:rsidP="00424195">
            <w:pPr>
              <w:pBdr>
                <w:bottom w:val="double" w:sz="4" w:space="1" w:color="auto"/>
              </w:pBdr>
              <w:ind w:left="144" w:hanging="144"/>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 xml:space="preserve"> 0</w:t>
            </w:r>
          </w:p>
        </w:tc>
        <w:tc>
          <w:tcPr>
            <w:tcW w:w="552" w:type="pct"/>
            <w:vAlign w:val="bottom"/>
            <w:hideMark/>
          </w:tcPr>
          <w:p w14:paraId="6F3A264F" w14:textId="77777777" w:rsidR="00D346BE" w:rsidRPr="00D346BE" w:rsidRDefault="00D346BE" w:rsidP="00424195">
            <w:pPr>
              <w:pBdr>
                <w:bottom w:val="double" w:sz="4" w:space="1" w:color="auto"/>
              </w:pBdr>
              <w:ind w:left="144" w:hanging="144"/>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 xml:space="preserve"> 0</w:t>
            </w:r>
          </w:p>
        </w:tc>
        <w:tc>
          <w:tcPr>
            <w:tcW w:w="593" w:type="pct"/>
            <w:vAlign w:val="bottom"/>
            <w:hideMark/>
          </w:tcPr>
          <w:p w14:paraId="24DCA26E" w14:textId="77777777" w:rsidR="00D346BE" w:rsidRPr="00D346BE" w:rsidRDefault="00D346BE" w:rsidP="00424195">
            <w:pPr>
              <w:pBdr>
                <w:bottom w:val="double" w:sz="4" w:space="1" w:color="auto"/>
              </w:pBdr>
              <w:ind w:left="144" w:hanging="144"/>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 xml:space="preserve"> 0</w:t>
            </w:r>
          </w:p>
        </w:tc>
        <w:tc>
          <w:tcPr>
            <w:tcW w:w="343" w:type="pct"/>
            <w:vAlign w:val="bottom"/>
            <w:hideMark/>
          </w:tcPr>
          <w:p w14:paraId="3F502802" w14:textId="77777777" w:rsidR="00D346BE" w:rsidRPr="00D346BE" w:rsidRDefault="00D346BE" w:rsidP="00424195">
            <w:pPr>
              <w:pBdr>
                <w:bottom w:val="double" w:sz="4" w:space="1" w:color="auto"/>
              </w:pBdr>
              <w:ind w:left="144" w:hanging="144"/>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 xml:space="preserve"> 0</w:t>
            </w:r>
          </w:p>
        </w:tc>
        <w:tc>
          <w:tcPr>
            <w:tcW w:w="439" w:type="pct"/>
            <w:vAlign w:val="bottom"/>
            <w:hideMark/>
          </w:tcPr>
          <w:p w14:paraId="011BAA99" w14:textId="77777777" w:rsidR="00D346BE" w:rsidRPr="00D346BE" w:rsidRDefault="00D346BE" w:rsidP="00424195">
            <w:pPr>
              <w:pBdr>
                <w:bottom w:val="double" w:sz="4" w:space="1" w:color="auto"/>
              </w:pBdr>
              <w:ind w:left="144" w:hanging="144"/>
              <w:rPr>
                <w:rFonts w:asciiTheme="minorBidi" w:hAnsiTheme="minorBidi" w:cstheme="minorBidi"/>
                <w:b/>
                <w:bCs/>
                <w:color w:val="000000"/>
                <w:sz w:val="18"/>
                <w:szCs w:val="18"/>
                <w:rtl/>
                <w:lang w:eastAsia="he-IL"/>
              </w:rPr>
            </w:pPr>
            <w:r w:rsidRPr="00D346BE">
              <w:rPr>
                <w:rFonts w:asciiTheme="minorBidi" w:hAnsiTheme="minorBidi" w:cstheme="minorBidi"/>
                <w:b/>
                <w:bCs/>
                <w:color w:val="000000"/>
                <w:sz w:val="18"/>
                <w:szCs w:val="18"/>
                <w:rtl/>
                <w:lang w:eastAsia="he-IL"/>
              </w:rPr>
              <w:t xml:space="preserve"> 0</w:t>
            </w:r>
            <w:r w:rsidRPr="00D346BE">
              <w:rPr>
                <w:rFonts w:asciiTheme="minorBidi" w:hAnsiTheme="minorBidi" w:cstheme="minorBidi"/>
                <w:sz w:val="18"/>
                <w:szCs w:val="18"/>
                <w:vertAlign w:val="superscript"/>
                <w:rtl/>
              </w:rPr>
              <w:t xml:space="preserve"> (ב)</w:t>
            </w:r>
            <w:r w:rsidRPr="00D346BE">
              <w:rPr>
                <w:rFonts w:asciiTheme="minorBidi" w:hAnsiTheme="minorBidi" w:cstheme="minorBidi"/>
                <w:b/>
                <w:bCs/>
                <w:color w:val="000000"/>
                <w:sz w:val="18"/>
                <w:szCs w:val="18"/>
                <w:rtl/>
                <w:lang w:eastAsia="he-IL"/>
              </w:rPr>
              <w:t xml:space="preserve"> </w:t>
            </w:r>
          </w:p>
        </w:tc>
      </w:tr>
    </w:tbl>
    <w:p w14:paraId="63D8E189" w14:textId="77777777" w:rsidR="00D346BE" w:rsidRDefault="00D346BE">
      <w:pPr>
        <w:rPr>
          <w:rtl/>
        </w:rPr>
      </w:pPr>
    </w:p>
    <w:p w14:paraId="365AA69C" w14:textId="77777777" w:rsidR="00B72A05" w:rsidRDefault="00B72A05">
      <w:pPr>
        <w:rPr>
          <w:rtl/>
        </w:rPr>
      </w:pPr>
    </w:p>
    <w:tbl>
      <w:tblPr>
        <w:bidiVisual/>
        <w:tblW w:w="5000" w:type="pct"/>
        <w:tblLook w:val="01E0" w:firstRow="1" w:lastRow="1" w:firstColumn="1" w:lastColumn="1" w:noHBand="0" w:noVBand="0"/>
      </w:tblPr>
      <w:tblGrid>
        <w:gridCol w:w="1556"/>
        <w:gridCol w:w="8651"/>
      </w:tblGrid>
      <w:tr w:rsidR="0037573B" w:rsidRPr="00184108" w14:paraId="179A807C" w14:textId="77777777" w:rsidTr="002A6368">
        <w:trPr>
          <w:trHeight w:val="245"/>
        </w:trPr>
        <w:tc>
          <w:tcPr>
            <w:tcW w:w="762" w:type="pct"/>
            <w:tcBorders>
              <w:right w:val="single" w:sz="4" w:space="0" w:color="auto"/>
            </w:tcBorders>
            <w:shd w:val="clear" w:color="auto" w:fill="auto"/>
          </w:tcPr>
          <w:p w14:paraId="5D7C3252" w14:textId="77777777" w:rsidR="0037573B" w:rsidRPr="00184108" w:rsidRDefault="0037573B" w:rsidP="00424195">
            <w:pPr>
              <w:spacing w:before="60" w:afterLines="60" w:after="144"/>
              <w:rPr>
                <w:sz w:val="18"/>
                <w:szCs w:val="18"/>
                <w:rtl/>
              </w:rPr>
            </w:pPr>
          </w:p>
        </w:tc>
        <w:tc>
          <w:tcPr>
            <w:tcW w:w="4238" w:type="pct"/>
            <w:tcBorders>
              <w:left w:val="single" w:sz="4" w:space="0" w:color="auto"/>
            </w:tcBorders>
            <w:shd w:val="clear" w:color="auto" w:fill="auto"/>
          </w:tcPr>
          <w:p w14:paraId="00A3665C" w14:textId="77777777" w:rsidR="0037573B" w:rsidRPr="00184108" w:rsidRDefault="0037573B" w:rsidP="00B72A05">
            <w:pPr>
              <w:spacing w:before="60"/>
              <w:ind w:left="318" w:hanging="284"/>
              <w:rPr>
                <w:sz w:val="17"/>
                <w:szCs w:val="17"/>
                <w:rtl/>
              </w:rPr>
            </w:pPr>
            <w:r>
              <w:rPr>
                <w:rFonts w:hint="cs"/>
                <w:sz w:val="17"/>
                <w:szCs w:val="17"/>
                <w:rtl/>
              </w:rPr>
              <w:t xml:space="preserve">(א) בשישה חודשים שהסתיימו ביום </w:t>
            </w:r>
            <w:r w:rsidRPr="000D0E4E">
              <w:rPr>
                <w:rFonts w:asciiTheme="minorBidi" w:hAnsiTheme="minorBidi" w:cstheme="minorBidi"/>
                <w:sz w:val="17"/>
                <w:szCs w:val="17"/>
                <w:rtl/>
              </w:rPr>
              <w:t xml:space="preserve">30 ביוני </w:t>
            </w:r>
            <w:r w:rsidRPr="000D0E4E">
              <w:rPr>
                <w:rFonts w:asciiTheme="minorBidi" w:hAnsiTheme="minorBidi" w:cstheme="minorBidi"/>
                <w:sz w:val="17"/>
                <w:szCs w:val="17"/>
                <w:rtl/>
              </w:rPr>
              <w:fldChar w:fldCharType="begin"/>
            </w:r>
            <w:r w:rsidRPr="000D0E4E">
              <w:rPr>
                <w:rFonts w:asciiTheme="minorBidi" w:hAnsiTheme="minorBidi" w:cstheme="minorBidi"/>
                <w:sz w:val="17"/>
                <w:szCs w:val="17"/>
                <w:rtl/>
              </w:rPr>
              <w:instrText xml:space="preserve"> = </w:instrText>
            </w:r>
            <w:r w:rsidRPr="000D0E4E">
              <w:rPr>
                <w:rFonts w:asciiTheme="minorBidi" w:hAnsiTheme="minorBidi" w:cstheme="minorBidi"/>
                <w:sz w:val="17"/>
                <w:szCs w:val="17"/>
              </w:rPr>
              <w:instrText>CY \* MERGEFORMAT</w:instrText>
            </w:r>
            <w:r w:rsidRPr="000D0E4E">
              <w:rPr>
                <w:rFonts w:asciiTheme="minorBidi" w:hAnsiTheme="minorBidi" w:cstheme="minorBidi"/>
                <w:sz w:val="17"/>
                <w:szCs w:val="17"/>
                <w:rtl/>
              </w:rPr>
              <w:instrText xml:space="preserve"> </w:instrText>
            </w:r>
            <w:r w:rsidRPr="000D0E4E">
              <w:rPr>
                <w:rFonts w:asciiTheme="minorBidi" w:hAnsiTheme="minorBidi" w:cstheme="minorBidi"/>
                <w:sz w:val="17"/>
                <w:szCs w:val="17"/>
                <w:rtl/>
              </w:rPr>
              <w:fldChar w:fldCharType="separate"/>
            </w:r>
            <w:r w:rsidRPr="000D0E4E">
              <w:rPr>
                <w:rFonts w:asciiTheme="minorBidi" w:hAnsiTheme="minorBidi" w:cstheme="minorBidi"/>
                <w:noProof/>
                <w:sz w:val="17"/>
                <w:szCs w:val="17"/>
                <w:rtl/>
              </w:rPr>
              <w:t>2024</w:t>
            </w:r>
            <w:r w:rsidRPr="000D0E4E">
              <w:rPr>
                <w:rFonts w:asciiTheme="minorBidi" w:hAnsiTheme="minorBidi" w:cstheme="minorBidi"/>
                <w:sz w:val="17"/>
                <w:szCs w:val="17"/>
                <w:rtl/>
              </w:rPr>
              <w:fldChar w:fldCharType="end"/>
            </w:r>
            <w:r w:rsidRPr="000D0E4E">
              <w:rPr>
                <w:rFonts w:asciiTheme="minorBidi" w:hAnsiTheme="minorBidi" w:cstheme="minorBidi"/>
                <w:b/>
                <w:bCs/>
                <w:color w:val="000000"/>
                <w:sz w:val="17"/>
                <w:szCs w:val="17"/>
                <w:rtl/>
                <w:lang w:eastAsia="he-IL"/>
              </w:rPr>
              <w:t xml:space="preserve">  </w:t>
            </w:r>
            <w:r w:rsidRPr="00184108">
              <w:rPr>
                <w:sz w:val="17"/>
                <w:szCs w:val="17"/>
                <w:rtl/>
              </w:rPr>
              <w:t xml:space="preserve">חובות צוברים שעברו שינוי בתנאים בשנים קודמות בסך </w:t>
            </w:r>
            <w:r>
              <w:rPr>
                <w:rFonts w:hint="cs"/>
                <w:sz w:val="17"/>
                <w:szCs w:val="17"/>
                <w:rtl/>
              </w:rPr>
              <w:t>__</w:t>
            </w:r>
            <w:r w:rsidRPr="00184108">
              <w:rPr>
                <w:sz w:val="17"/>
                <w:szCs w:val="17"/>
                <w:rtl/>
              </w:rPr>
              <w:t xml:space="preserve"> מ</w:t>
            </w:r>
            <w:r>
              <w:rPr>
                <w:rFonts w:hint="cs"/>
                <w:sz w:val="17"/>
                <w:szCs w:val="17"/>
                <w:rtl/>
              </w:rPr>
              <w:t>יליוני</w:t>
            </w:r>
            <w:r w:rsidRPr="00184108">
              <w:rPr>
                <w:sz w:val="17"/>
                <w:szCs w:val="17"/>
                <w:rtl/>
              </w:rPr>
              <w:t xml:space="preserve"> ש"ח הפסיקו להיכלל בגילוי, משום שהתקיימו שני התנאים הבאים:</w:t>
            </w:r>
          </w:p>
        </w:tc>
      </w:tr>
      <w:tr w:rsidR="0037573B" w:rsidRPr="00184108" w14:paraId="0391520F" w14:textId="77777777" w:rsidTr="00B72A05">
        <w:trPr>
          <w:trHeight w:val="510"/>
        </w:trPr>
        <w:tc>
          <w:tcPr>
            <w:tcW w:w="762" w:type="pct"/>
            <w:tcBorders>
              <w:right w:val="single" w:sz="4" w:space="0" w:color="auto"/>
            </w:tcBorders>
            <w:shd w:val="clear" w:color="auto" w:fill="auto"/>
          </w:tcPr>
          <w:p w14:paraId="1D3FDD35" w14:textId="77777777" w:rsidR="0037573B" w:rsidRPr="00184108" w:rsidRDefault="0037573B" w:rsidP="00424195">
            <w:pPr>
              <w:spacing w:before="60" w:afterLines="60" w:after="144"/>
              <w:rPr>
                <w:sz w:val="18"/>
                <w:szCs w:val="18"/>
                <w:rtl/>
              </w:rPr>
            </w:pPr>
          </w:p>
        </w:tc>
        <w:tc>
          <w:tcPr>
            <w:tcW w:w="4238" w:type="pct"/>
            <w:tcBorders>
              <w:left w:val="single" w:sz="4" w:space="0" w:color="auto"/>
            </w:tcBorders>
            <w:shd w:val="clear" w:color="auto" w:fill="auto"/>
          </w:tcPr>
          <w:p w14:paraId="3615F629" w14:textId="77777777" w:rsidR="0037573B" w:rsidRPr="00184108" w:rsidRDefault="0037573B" w:rsidP="00B72A05">
            <w:pPr>
              <w:pStyle w:val="ac"/>
              <w:numPr>
                <w:ilvl w:val="0"/>
                <w:numId w:val="42"/>
              </w:numPr>
              <w:spacing w:before="60" w:line="259" w:lineRule="auto"/>
              <w:ind w:left="601" w:hanging="215"/>
              <w:rPr>
                <w:rFonts w:ascii="Arial" w:hAnsi="Arial" w:cs="Arial"/>
                <w:sz w:val="17"/>
                <w:szCs w:val="17"/>
                <w:shd w:val="clear" w:color="auto" w:fill="E4FFDF"/>
              </w:rPr>
            </w:pPr>
            <w:r w:rsidRPr="00184108">
              <w:rPr>
                <w:rFonts w:ascii="Arial" w:hAnsi="Arial" w:cs="Arial"/>
                <w:sz w:val="17"/>
                <w:szCs w:val="17"/>
                <w:rtl/>
              </w:rPr>
              <w:t xml:space="preserve">בוצעה הערכת אשראי עדכנית ומתועדת היטב של מצבו הפיננסי של הלווה ושל יכולת ההחזר לפי התנאים החדשים, </w:t>
            </w:r>
            <w:r w:rsidRPr="00184108">
              <w:rPr>
                <w:rFonts w:ascii="Arial" w:hAnsi="Arial" w:cs="Arial" w:hint="cs"/>
                <w:sz w:val="17"/>
                <w:szCs w:val="17"/>
                <w:rtl/>
              </w:rPr>
              <w:t xml:space="preserve">    </w:t>
            </w:r>
            <w:r w:rsidRPr="00184108">
              <w:rPr>
                <w:rFonts w:ascii="Arial" w:hAnsi="Arial" w:cs="Arial"/>
                <w:sz w:val="17"/>
                <w:szCs w:val="17"/>
                <w:rtl/>
              </w:rPr>
              <w:t>המראה שניתן להמשיך לסווג את החוב כחוב צובר וכי החוב אינו בפיגור ואינו בעייתי.</w:t>
            </w:r>
          </w:p>
        </w:tc>
      </w:tr>
      <w:tr w:rsidR="0037573B" w:rsidRPr="00184108" w14:paraId="58937B66" w14:textId="77777777" w:rsidTr="002A6368">
        <w:trPr>
          <w:trHeight w:val="245"/>
        </w:trPr>
        <w:tc>
          <w:tcPr>
            <w:tcW w:w="762" w:type="pct"/>
            <w:tcBorders>
              <w:right w:val="single" w:sz="4" w:space="0" w:color="auto"/>
            </w:tcBorders>
            <w:shd w:val="clear" w:color="auto" w:fill="auto"/>
          </w:tcPr>
          <w:p w14:paraId="7905CC6F" w14:textId="77777777" w:rsidR="0037573B" w:rsidRPr="00184108" w:rsidRDefault="0037573B" w:rsidP="00424195">
            <w:pPr>
              <w:spacing w:before="60" w:afterLines="60" w:after="144"/>
              <w:rPr>
                <w:sz w:val="18"/>
                <w:szCs w:val="18"/>
                <w:rtl/>
              </w:rPr>
            </w:pPr>
          </w:p>
        </w:tc>
        <w:tc>
          <w:tcPr>
            <w:tcW w:w="4238" w:type="pct"/>
            <w:tcBorders>
              <w:left w:val="single" w:sz="4" w:space="0" w:color="auto"/>
            </w:tcBorders>
            <w:shd w:val="clear" w:color="auto" w:fill="auto"/>
          </w:tcPr>
          <w:p w14:paraId="6E80A6FF" w14:textId="77777777" w:rsidR="0037573B" w:rsidRPr="00184108" w:rsidRDefault="0037573B" w:rsidP="0037573B">
            <w:pPr>
              <w:pStyle w:val="ac"/>
              <w:numPr>
                <w:ilvl w:val="0"/>
                <w:numId w:val="42"/>
              </w:numPr>
              <w:spacing w:before="60" w:afterLines="60" w:after="144" w:line="259" w:lineRule="auto"/>
              <w:ind w:left="601" w:hanging="218"/>
              <w:rPr>
                <w:rFonts w:ascii="Arial" w:hAnsi="Arial" w:cs="Arial"/>
                <w:sz w:val="17"/>
                <w:szCs w:val="17"/>
                <w:rtl/>
              </w:rPr>
            </w:pPr>
            <w:r w:rsidRPr="00184108">
              <w:rPr>
                <w:rFonts w:ascii="Arial" w:hAnsi="Arial" w:cs="Arial"/>
                <w:sz w:val="17"/>
                <w:szCs w:val="17"/>
                <w:rtl/>
              </w:rPr>
              <w:t xml:space="preserve">ההערכה כללה בחינה של ביצועי פירעון נמשכים היסטוריים של הלווה, כמשמעותם בסעיף </w:t>
            </w:r>
            <w:r>
              <w:rPr>
                <w:rFonts w:ascii="Arial" w:hAnsi="Arial" w:cs="Arial" w:hint="cs"/>
                <w:sz w:val="17"/>
                <w:szCs w:val="17"/>
                <w:rtl/>
              </w:rPr>
              <w:t>30ה.</w:t>
            </w:r>
            <w:r w:rsidRPr="00184108">
              <w:rPr>
                <w:rFonts w:ascii="Arial" w:hAnsi="Arial" w:cs="Arial"/>
                <w:sz w:val="17"/>
                <w:szCs w:val="17"/>
                <w:rtl/>
              </w:rPr>
              <w:t xml:space="preserve"> להוראות הדיווח לציבור, במשך לכל הפחות 24 חודשים.</w:t>
            </w:r>
          </w:p>
        </w:tc>
      </w:tr>
      <w:tr w:rsidR="0037573B" w:rsidRPr="00184108" w14:paraId="30C2BC25" w14:textId="77777777" w:rsidTr="002A6368">
        <w:trPr>
          <w:trHeight w:val="245"/>
        </w:trPr>
        <w:tc>
          <w:tcPr>
            <w:tcW w:w="762" w:type="pct"/>
            <w:tcBorders>
              <w:right w:val="single" w:sz="4" w:space="0" w:color="auto"/>
            </w:tcBorders>
            <w:shd w:val="clear" w:color="auto" w:fill="auto"/>
          </w:tcPr>
          <w:p w14:paraId="2CF1CE26" w14:textId="77777777" w:rsidR="0037573B" w:rsidRPr="00184108" w:rsidRDefault="0037573B" w:rsidP="00424195">
            <w:pPr>
              <w:spacing w:before="60" w:afterLines="60" w:after="144"/>
              <w:rPr>
                <w:sz w:val="18"/>
                <w:szCs w:val="18"/>
                <w:rtl/>
              </w:rPr>
            </w:pPr>
          </w:p>
        </w:tc>
        <w:tc>
          <w:tcPr>
            <w:tcW w:w="4238" w:type="pct"/>
            <w:tcBorders>
              <w:left w:val="single" w:sz="4" w:space="0" w:color="auto"/>
            </w:tcBorders>
            <w:shd w:val="clear" w:color="auto" w:fill="auto"/>
          </w:tcPr>
          <w:p w14:paraId="537E5654" w14:textId="79BC7BAF" w:rsidR="0037573B" w:rsidRPr="00184108" w:rsidRDefault="0037573B" w:rsidP="00424195">
            <w:pPr>
              <w:spacing w:before="60" w:afterLines="60" w:after="144"/>
              <w:ind w:left="317" w:hanging="317"/>
              <w:rPr>
                <w:sz w:val="17"/>
                <w:szCs w:val="17"/>
                <w:rtl/>
              </w:rPr>
            </w:pPr>
            <w:r>
              <w:rPr>
                <w:rFonts w:hint="cs"/>
                <w:sz w:val="17"/>
                <w:szCs w:val="17"/>
                <w:rtl/>
              </w:rPr>
              <w:t xml:space="preserve"> (ב) </w:t>
            </w:r>
            <w:r w:rsidRPr="000D0E4E">
              <w:rPr>
                <w:rFonts w:hint="cs"/>
                <w:sz w:val="18"/>
                <w:szCs w:val="18"/>
                <w:rtl/>
              </w:rPr>
              <w:t xml:space="preserve">ליום 30 ביוני </w:t>
            </w:r>
            <w:r w:rsidRPr="000D0E4E">
              <w:rPr>
                <w:rFonts w:hint="cs"/>
                <w:sz w:val="18"/>
                <w:szCs w:val="18"/>
                <w:rtl/>
              </w:rPr>
              <w:fldChar w:fldCharType="begin"/>
            </w:r>
            <w:r w:rsidRPr="000D0E4E">
              <w:rPr>
                <w:rFonts w:hint="cs"/>
                <w:sz w:val="18"/>
                <w:szCs w:val="18"/>
                <w:rtl/>
              </w:rPr>
              <w:instrText xml:space="preserve"> = </w:instrText>
            </w:r>
            <w:r w:rsidRPr="000D0E4E">
              <w:rPr>
                <w:sz w:val="18"/>
                <w:szCs w:val="18"/>
              </w:rPr>
              <w:instrText>CY \* MERGEFORMAT</w:instrText>
            </w:r>
            <w:r w:rsidRPr="000D0E4E">
              <w:rPr>
                <w:sz w:val="18"/>
                <w:szCs w:val="18"/>
                <w:rtl/>
              </w:rPr>
              <w:instrText xml:space="preserve"> </w:instrText>
            </w:r>
            <w:r w:rsidRPr="000D0E4E">
              <w:rPr>
                <w:rFonts w:hint="cs"/>
                <w:sz w:val="18"/>
                <w:szCs w:val="18"/>
                <w:rtl/>
              </w:rPr>
              <w:fldChar w:fldCharType="separate"/>
            </w:r>
            <w:r>
              <w:rPr>
                <w:noProof/>
                <w:sz w:val="18"/>
                <w:szCs w:val="18"/>
                <w:rtl/>
              </w:rPr>
              <w:t>2024</w:t>
            </w:r>
            <w:r w:rsidRPr="000D0E4E">
              <w:rPr>
                <w:rFonts w:hint="cs"/>
                <w:sz w:val="18"/>
                <w:szCs w:val="18"/>
                <w:rtl/>
              </w:rPr>
              <w:fldChar w:fldCharType="end"/>
            </w:r>
            <w:r w:rsidRPr="000D0E4E">
              <w:rPr>
                <w:rFonts w:hint="cs"/>
                <w:color w:val="000000"/>
                <w:sz w:val="18"/>
                <w:szCs w:val="18"/>
                <w:rtl/>
                <w:lang w:eastAsia="he-IL"/>
              </w:rPr>
              <w:t xml:space="preserve">  </w:t>
            </w:r>
            <w:r w:rsidRPr="00184108">
              <w:rPr>
                <w:sz w:val="17"/>
                <w:szCs w:val="17"/>
                <w:rtl/>
              </w:rPr>
              <w:t xml:space="preserve">חובות של לווים בקשיים פיננסיים בסך </w:t>
            </w:r>
            <w:r>
              <w:rPr>
                <w:rFonts w:hint="cs"/>
                <w:sz w:val="17"/>
                <w:szCs w:val="17"/>
                <w:rtl/>
              </w:rPr>
              <w:t>__</w:t>
            </w:r>
            <w:r w:rsidRPr="00184108">
              <w:rPr>
                <w:sz w:val="17"/>
                <w:szCs w:val="17"/>
                <w:rtl/>
              </w:rPr>
              <w:t xml:space="preserve"> מ</w:t>
            </w:r>
            <w:r>
              <w:rPr>
                <w:rFonts w:hint="cs"/>
                <w:sz w:val="17"/>
                <w:szCs w:val="17"/>
                <w:rtl/>
              </w:rPr>
              <w:t>יליוני</w:t>
            </w:r>
            <w:r w:rsidRPr="00184108">
              <w:rPr>
                <w:sz w:val="17"/>
                <w:szCs w:val="17"/>
                <w:rtl/>
              </w:rPr>
              <w:t xml:space="preserve"> ש"ח עברו שינוי בתנאים יותר מפעמיים</w:t>
            </w:r>
            <w:r>
              <w:rPr>
                <w:rFonts w:hint="cs"/>
                <w:sz w:val="17"/>
                <w:szCs w:val="17"/>
                <w:rtl/>
              </w:rPr>
              <w:t>.</w:t>
            </w:r>
          </w:p>
        </w:tc>
      </w:tr>
    </w:tbl>
    <w:p w14:paraId="7CFBA676" w14:textId="77777777" w:rsidR="00D346BE" w:rsidRDefault="00D346BE"/>
    <w:p w14:paraId="2144D529" w14:textId="027D43DA" w:rsidR="0037573B" w:rsidRDefault="0037573B">
      <w:pPr>
        <w:bidi w:val="0"/>
        <w:jc w:val="left"/>
      </w:pPr>
      <w:bookmarkStart w:id="44" w:name="_Hlk102294317"/>
      <w:r>
        <w:br w:type="page"/>
      </w:r>
    </w:p>
    <w:tbl>
      <w:tblPr>
        <w:bidiVisual/>
        <w:tblW w:w="5000" w:type="pct"/>
        <w:tblInd w:w="17" w:type="dxa"/>
        <w:tblLook w:val="04A0" w:firstRow="1" w:lastRow="0" w:firstColumn="1" w:lastColumn="0" w:noHBand="0" w:noVBand="1"/>
      </w:tblPr>
      <w:tblGrid>
        <w:gridCol w:w="967"/>
        <w:gridCol w:w="388"/>
        <w:gridCol w:w="3258"/>
        <w:gridCol w:w="578"/>
        <w:gridCol w:w="1182"/>
        <w:gridCol w:w="1331"/>
        <w:gridCol w:w="792"/>
        <w:gridCol w:w="708"/>
        <w:gridCol w:w="1003"/>
      </w:tblGrid>
      <w:tr w:rsidR="0037573B" w:rsidRPr="0037573B" w14:paraId="0D483BC1" w14:textId="77777777" w:rsidTr="00D25076">
        <w:trPr>
          <w:trHeight w:val="259"/>
        </w:trPr>
        <w:tc>
          <w:tcPr>
            <w:tcW w:w="474" w:type="pct"/>
          </w:tcPr>
          <w:p w14:paraId="3A3F965F" w14:textId="77777777" w:rsidR="0037573B" w:rsidRPr="0037573B" w:rsidRDefault="0037573B" w:rsidP="00424195">
            <w:pPr>
              <w:spacing w:after="60"/>
              <w:ind w:right="-144"/>
              <w:rPr>
                <w:rFonts w:asciiTheme="minorBidi" w:hAnsiTheme="minorBidi" w:cstheme="minorBidi"/>
                <w:spacing w:val="-6"/>
                <w:sz w:val="18"/>
                <w:szCs w:val="18"/>
              </w:rPr>
            </w:pPr>
          </w:p>
        </w:tc>
        <w:tc>
          <w:tcPr>
            <w:tcW w:w="4526" w:type="pct"/>
            <w:gridSpan w:val="8"/>
            <w:hideMark/>
          </w:tcPr>
          <w:p w14:paraId="34787C60" w14:textId="77777777" w:rsidR="0037573B" w:rsidRPr="005B240E" w:rsidRDefault="0037573B" w:rsidP="00424195">
            <w:pPr>
              <w:spacing w:after="60"/>
              <w:rPr>
                <w:rFonts w:asciiTheme="minorBidi" w:hAnsiTheme="minorBidi" w:cstheme="minorBidi"/>
                <w:b/>
                <w:bCs/>
                <w:rtl/>
              </w:rPr>
            </w:pPr>
            <w:r w:rsidRPr="005B240E">
              <w:rPr>
                <w:rFonts w:asciiTheme="minorBidi" w:hAnsiTheme="minorBidi" w:cstheme="minorBidi"/>
                <w:b/>
                <w:bCs/>
                <w:rtl/>
              </w:rPr>
              <w:t>ביאור 12  -  מידע נוסף על סיכון אשראי, אשראי לציבור והפרשה להפסדי אשראי (המשך):</w:t>
            </w:r>
          </w:p>
        </w:tc>
      </w:tr>
      <w:tr w:rsidR="0037573B" w:rsidRPr="0037573B" w14:paraId="2D47C257" w14:textId="77777777" w:rsidTr="00D25076">
        <w:trPr>
          <w:trHeight w:val="245"/>
        </w:trPr>
        <w:tc>
          <w:tcPr>
            <w:tcW w:w="474" w:type="pct"/>
          </w:tcPr>
          <w:p w14:paraId="27291C87" w14:textId="77777777" w:rsidR="0037573B" w:rsidRPr="0037573B" w:rsidRDefault="0037573B" w:rsidP="00424195">
            <w:pPr>
              <w:spacing w:before="100" w:after="60"/>
              <w:rPr>
                <w:rFonts w:asciiTheme="minorBidi" w:hAnsiTheme="minorBidi" w:cstheme="minorBidi"/>
                <w:sz w:val="18"/>
                <w:szCs w:val="18"/>
                <w:rtl/>
              </w:rPr>
            </w:pPr>
          </w:p>
        </w:tc>
        <w:tc>
          <w:tcPr>
            <w:tcW w:w="190" w:type="pct"/>
            <w:hideMark/>
          </w:tcPr>
          <w:p w14:paraId="6F383078" w14:textId="77777777" w:rsidR="0037573B" w:rsidRPr="005B240E" w:rsidRDefault="0037573B" w:rsidP="00424195">
            <w:pPr>
              <w:spacing w:before="60" w:after="60"/>
              <w:rPr>
                <w:rFonts w:asciiTheme="minorBidi" w:hAnsiTheme="minorBidi" w:cstheme="minorBidi"/>
                <w:b/>
                <w:bCs/>
                <w:rtl/>
              </w:rPr>
            </w:pPr>
            <w:r w:rsidRPr="005B240E">
              <w:rPr>
                <w:rFonts w:asciiTheme="minorBidi" w:hAnsiTheme="minorBidi" w:cstheme="minorBidi"/>
                <w:b/>
                <w:bCs/>
                <w:rtl/>
              </w:rPr>
              <w:t>ב.</w:t>
            </w:r>
          </w:p>
        </w:tc>
        <w:tc>
          <w:tcPr>
            <w:tcW w:w="4336" w:type="pct"/>
            <w:gridSpan w:val="7"/>
            <w:hideMark/>
          </w:tcPr>
          <w:p w14:paraId="59A86C18" w14:textId="77777777" w:rsidR="0037573B" w:rsidRPr="005B240E" w:rsidRDefault="0037573B" w:rsidP="00424195">
            <w:pPr>
              <w:spacing w:before="60" w:after="60"/>
              <w:rPr>
                <w:rFonts w:asciiTheme="minorBidi" w:hAnsiTheme="minorBidi" w:cstheme="minorBidi"/>
                <w:b/>
                <w:bCs/>
                <w:rtl/>
              </w:rPr>
            </w:pPr>
            <w:r w:rsidRPr="005B240E">
              <w:rPr>
                <w:rFonts w:asciiTheme="minorBidi" w:hAnsiTheme="minorBidi" w:cstheme="minorBidi"/>
                <w:b/>
                <w:bCs/>
                <w:rtl/>
              </w:rPr>
              <w:t>אשראי לציבור</w:t>
            </w:r>
            <w:r w:rsidRPr="005B240E">
              <w:rPr>
                <w:rFonts w:asciiTheme="minorBidi" w:hAnsiTheme="minorBidi" w:cstheme="minorBidi"/>
                <w:rtl/>
              </w:rPr>
              <w:t xml:space="preserve"> </w:t>
            </w:r>
            <w:r w:rsidRPr="005B240E">
              <w:rPr>
                <w:rFonts w:asciiTheme="minorBidi" w:hAnsiTheme="minorBidi" w:cstheme="minorBidi"/>
                <w:b/>
                <w:bCs/>
                <w:rtl/>
              </w:rPr>
              <w:t>(המשך):</w:t>
            </w:r>
          </w:p>
        </w:tc>
      </w:tr>
      <w:tr w:rsidR="0037573B" w:rsidRPr="0037573B" w14:paraId="465373DC" w14:textId="77777777" w:rsidTr="00D25076">
        <w:trPr>
          <w:trHeight w:val="245"/>
        </w:trPr>
        <w:tc>
          <w:tcPr>
            <w:tcW w:w="474" w:type="pct"/>
          </w:tcPr>
          <w:p w14:paraId="34F7537B" w14:textId="439B7359" w:rsidR="0037573B" w:rsidRPr="0037573B" w:rsidRDefault="0037573B" w:rsidP="00947FCA">
            <w:pPr>
              <w:spacing w:before="60" w:after="60"/>
              <w:rPr>
                <w:rFonts w:asciiTheme="minorBidi" w:hAnsiTheme="minorBidi" w:cstheme="minorBidi"/>
                <w:sz w:val="18"/>
                <w:szCs w:val="18"/>
                <w:highlight w:val="yellow"/>
                <w:rtl/>
              </w:rPr>
            </w:pPr>
          </w:p>
        </w:tc>
        <w:tc>
          <w:tcPr>
            <w:tcW w:w="190" w:type="pct"/>
            <w:tcBorders>
              <w:right w:val="single" w:sz="4" w:space="0" w:color="auto"/>
            </w:tcBorders>
          </w:tcPr>
          <w:p w14:paraId="0F4A614A" w14:textId="77777777" w:rsidR="0037573B" w:rsidRPr="0037573B" w:rsidRDefault="0037573B" w:rsidP="00424195">
            <w:pPr>
              <w:spacing w:before="60" w:after="60"/>
              <w:rPr>
                <w:rFonts w:asciiTheme="minorBidi" w:hAnsiTheme="minorBidi" w:cstheme="minorBidi"/>
                <w:b/>
                <w:bCs/>
                <w:sz w:val="18"/>
                <w:szCs w:val="18"/>
                <w:rtl/>
              </w:rPr>
            </w:pPr>
          </w:p>
        </w:tc>
        <w:tc>
          <w:tcPr>
            <w:tcW w:w="4336" w:type="pct"/>
            <w:gridSpan w:val="7"/>
            <w:tcBorders>
              <w:left w:val="single" w:sz="4" w:space="0" w:color="auto"/>
            </w:tcBorders>
            <w:hideMark/>
          </w:tcPr>
          <w:p w14:paraId="338311ED" w14:textId="73F1FC35" w:rsidR="0037573B" w:rsidRPr="00D25076" w:rsidRDefault="0037573B" w:rsidP="00424195">
            <w:pPr>
              <w:tabs>
                <w:tab w:val="left" w:pos="446"/>
              </w:tabs>
              <w:spacing w:before="60" w:after="60" w:line="216" w:lineRule="auto"/>
              <w:ind w:left="446" w:hanging="446"/>
              <w:rPr>
                <w:rFonts w:asciiTheme="minorBidi" w:hAnsiTheme="minorBidi" w:cstheme="minorBidi"/>
                <w:sz w:val="19"/>
                <w:szCs w:val="19"/>
                <w:rtl/>
              </w:rPr>
            </w:pPr>
            <w:r w:rsidRPr="00D25076">
              <w:rPr>
                <w:rFonts w:asciiTheme="minorBidi" w:hAnsiTheme="minorBidi" w:cstheme="minorBidi"/>
                <w:b/>
                <w:bCs/>
                <w:sz w:val="19"/>
                <w:szCs w:val="19"/>
                <w:rtl/>
              </w:rPr>
              <w:t>2.ב.</w:t>
            </w:r>
            <w:r w:rsidRPr="00D25076">
              <w:rPr>
                <w:rFonts w:asciiTheme="minorBidi" w:hAnsiTheme="minorBidi" w:cstheme="minorBidi"/>
                <w:b/>
                <w:bCs/>
                <w:sz w:val="19"/>
                <w:szCs w:val="19"/>
                <w:rtl/>
              </w:rPr>
              <w:tab/>
              <w:t>מידע על חובות של לווים בקשיים פיננסיים שעברו שינוי בתנאים</w:t>
            </w:r>
            <w:r w:rsidRPr="00D25076">
              <w:rPr>
                <w:rFonts w:asciiTheme="minorBidi" w:hAnsiTheme="minorBidi" w:cstheme="minorBidi"/>
                <w:sz w:val="19"/>
                <w:szCs w:val="19"/>
                <w:rtl/>
              </w:rPr>
              <w:t xml:space="preserve">: </w:t>
            </w:r>
            <w:r w:rsidR="00D61E12">
              <w:rPr>
                <w:rFonts w:asciiTheme="minorBidi" w:hAnsiTheme="minorBidi" w:cstheme="minorBidi" w:hint="cs"/>
                <w:sz w:val="19"/>
                <w:szCs w:val="19"/>
                <w:rtl/>
              </w:rPr>
              <w:t>(המשך)</w:t>
            </w:r>
          </w:p>
        </w:tc>
      </w:tr>
      <w:tr w:rsidR="006A2C31" w:rsidRPr="0037573B" w14:paraId="03EC2EFD" w14:textId="77777777" w:rsidTr="00D25076">
        <w:trPr>
          <w:trHeight w:val="245"/>
        </w:trPr>
        <w:tc>
          <w:tcPr>
            <w:tcW w:w="474" w:type="pct"/>
          </w:tcPr>
          <w:p w14:paraId="10C2FF8B" w14:textId="77777777" w:rsidR="006A2C31" w:rsidRPr="006A2C31" w:rsidRDefault="006A2C31" w:rsidP="006A2C31">
            <w:pPr>
              <w:rPr>
                <w:sz w:val="14"/>
                <w:szCs w:val="14"/>
                <w:rtl/>
              </w:rPr>
            </w:pPr>
            <w:r w:rsidRPr="006A2C31">
              <w:rPr>
                <w:rFonts w:hint="cs"/>
                <w:sz w:val="14"/>
                <w:szCs w:val="14"/>
                <w:rtl/>
              </w:rPr>
              <w:t>מתכונת ביאור</w:t>
            </w:r>
          </w:p>
          <w:p w14:paraId="0A9092B2" w14:textId="022503D0" w:rsidR="006A2C31" w:rsidRPr="0037573B" w:rsidRDefault="006A2C31" w:rsidP="006A2C31">
            <w:pPr>
              <w:rPr>
                <w:rFonts w:asciiTheme="minorBidi" w:hAnsiTheme="minorBidi" w:cstheme="minorBidi"/>
                <w:sz w:val="18"/>
                <w:szCs w:val="18"/>
                <w:highlight w:val="yellow"/>
                <w:rtl/>
              </w:rPr>
            </w:pPr>
            <w:r w:rsidRPr="006A2C31">
              <w:rPr>
                <w:rFonts w:hint="cs"/>
                <w:sz w:val="14"/>
                <w:szCs w:val="14"/>
                <w:rtl/>
              </w:rPr>
              <w:t>עמוד 663-</w:t>
            </w:r>
            <w:r>
              <w:rPr>
                <w:rFonts w:hint="cs"/>
                <w:sz w:val="14"/>
                <w:szCs w:val="14"/>
                <w:rtl/>
              </w:rPr>
              <w:t>50</w:t>
            </w:r>
          </w:p>
        </w:tc>
        <w:tc>
          <w:tcPr>
            <w:tcW w:w="190" w:type="pct"/>
            <w:tcBorders>
              <w:right w:val="single" w:sz="4" w:space="0" w:color="auto"/>
            </w:tcBorders>
          </w:tcPr>
          <w:p w14:paraId="67586CFC" w14:textId="77777777" w:rsidR="006A2C31" w:rsidRPr="0037573B" w:rsidRDefault="006A2C31" w:rsidP="006A2C31">
            <w:pPr>
              <w:spacing w:before="60" w:after="60"/>
              <w:rPr>
                <w:rFonts w:asciiTheme="minorBidi" w:hAnsiTheme="minorBidi" w:cstheme="minorBidi"/>
                <w:b/>
                <w:bCs/>
                <w:sz w:val="18"/>
                <w:szCs w:val="18"/>
                <w:rtl/>
              </w:rPr>
            </w:pPr>
          </w:p>
        </w:tc>
        <w:tc>
          <w:tcPr>
            <w:tcW w:w="4336" w:type="pct"/>
            <w:gridSpan w:val="7"/>
            <w:tcBorders>
              <w:left w:val="single" w:sz="4" w:space="0" w:color="auto"/>
            </w:tcBorders>
          </w:tcPr>
          <w:p w14:paraId="4659F3D6" w14:textId="77777777" w:rsidR="006A2C31" w:rsidRPr="00B72A05" w:rsidRDefault="006A2C31" w:rsidP="006A2C31">
            <w:pPr>
              <w:tabs>
                <w:tab w:val="left" w:pos="446"/>
              </w:tabs>
              <w:spacing w:before="60" w:after="120" w:line="216" w:lineRule="auto"/>
              <w:ind w:left="448" w:hanging="448"/>
              <w:rPr>
                <w:rFonts w:asciiTheme="minorBidi" w:hAnsiTheme="minorBidi" w:cstheme="minorBidi"/>
                <w:b/>
                <w:bCs/>
                <w:sz w:val="18"/>
                <w:szCs w:val="18"/>
                <w:rtl/>
              </w:rPr>
            </w:pPr>
            <w:r w:rsidRPr="00B72A05">
              <w:rPr>
                <w:rFonts w:asciiTheme="minorBidi" w:hAnsiTheme="minorBidi" w:cstheme="minorBidi"/>
                <w:b/>
                <w:bCs/>
                <w:sz w:val="18"/>
                <w:szCs w:val="18"/>
                <w:rtl/>
              </w:rPr>
              <w:t>2.ב.2</w:t>
            </w:r>
            <w:r w:rsidRPr="00B72A05">
              <w:rPr>
                <w:rFonts w:asciiTheme="minorBidi" w:hAnsiTheme="minorBidi" w:cstheme="minorBidi"/>
                <w:b/>
                <w:bCs/>
                <w:sz w:val="18"/>
                <w:szCs w:val="18"/>
                <w:rtl/>
              </w:rPr>
              <w:tab/>
            </w:r>
            <w:r w:rsidRPr="00B72A05">
              <w:rPr>
                <w:rFonts w:asciiTheme="minorBidi" w:hAnsiTheme="minorBidi" w:cstheme="minorBidi"/>
                <w:b/>
                <w:bCs/>
                <w:sz w:val="18"/>
                <w:szCs w:val="18"/>
                <w:u w:val="single"/>
                <w:rtl/>
              </w:rPr>
              <w:t>איכות אשראי ומצב הפיגור של חובות של לווים בקשיים פיננסיים שעברו שינוי בתנאים במהלך תקופת הדיווח</w:t>
            </w:r>
            <w:r w:rsidRPr="00B72A05">
              <w:rPr>
                <w:rFonts w:asciiTheme="minorBidi" w:hAnsiTheme="minorBidi" w:cstheme="minorBidi"/>
                <w:b/>
                <w:bCs/>
                <w:sz w:val="18"/>
                <w:szCs w:val="18"/>
                <w:rtl/>
              </w:rPr>
              <w:t>:</w:t>
            </w:r>
          </w:p>
        </w:tc>
      </w:tr>
      <w:tr w:rsidR="005B240E" w:rsidRPr="0037573B" w14:paraId="26C50B90" w14:textId="77777777" w:rsidTr="00D25076">
        <w:trPr>
          <w:trHeight w:val="259"/>
        </w:trPr>
        <w:tc>
          <w:tcPr>
            <w:tcW w:w="474" w:type="pct"/>
          </w:tcPr>
          <w:p w14:paraId="6684E140" w14:textId="77777777" w:rsidR="006A2C31" w:rsidRPr="0037573B" w:rsidRDefault="006A2C31" w:rsidP="006A2C31">
            <w:pPr>
              <w:spacing w:before="60"/>
              <w:ind w:right="-142"/>
              <w:rPr>
                <w:rFonts w:asciiTheme="minorBidi" w:hAnsiTheme="minorBidi" w:cstheme="minorBidi"/>
                <w:spacing w:val="-6"/>
                <w:sz w:val="18"/>
                <w:szCs w:val="18"/>
                <w:rtl/>
              </w:rPr>
            </w:pPr>
          </w:p>
        </w:tc>
        <w:tc>
          <w:tcPr>
            <w:tcW w:w="190" w:type="pct"/>
            <w:tcBorders>
              <w:right w:val="single" w:sz="4" w:space="0" w:color="auto"/>
            </w:tcBorders>
            <w:vAlign w:val="bottom"/>
          </w:tcPr>
          <w:p w14:paraId="12C24C37" w14:textId="77777777" w:rsidR="006A2C31" w:rsidRPr="0037573B" w:rsidRDefault="006A2C31" w:rsidP="006A2C31">
            <w:pPr>
              <w:rPr>
                <w:rFonts w:asciiTheme="minorBidi" w:hAnsiTheme="minorBidi" w:cstheme="minorBidi"/>
                <w:sz w:val="18"/>
                <w:szCs w:val="18"/>
                <w:rtl/>
              </w:rPr>
            </w:pPr>
          </w:p>
        </w:tc>
        <w:tc>
          <w:tcPr>
            <w:tcW w:w="1596" w:type="pct"/>
            <w:tcBorders>
              <w:left w:val="single" w:sz="4" w:space="0" w:color="auto"/>
            </w:tcBorders>
            <w:vAlign w:val="bottom"/>
          </w:tcPr>
          <w:p w14:paraId="42F2860A" w14:textId="77777777" w:rsidR="006A2C31" w:rsidRPr="0037573B" w:rsidRDefault="006A2C31" w:rsidP="006A2C31">
            <w:pPr>
              <w:spacing w:before="120"/>
              <w:ind w:left="142" w:hanging="142"/>
              <w:rPr>
                <w:rFonts w:asciiTheme="minorBidi" w:hAnsiTheme="minorBidi" w:cstheme="minorBidi"/>
                <w:color w:val="000000"/>
                <w:sz w:val="18"/>
                <w:szCs w:val="18"/>
                <w:rtl/>
                <w:lang w:eastAsia="he-IL"/>
              </w:rPr>
            </w:pPr>
          </w:p>
        </w:tc>
        <w:tc>
          <w:tcPr>
            <w:tcW w:w="2740" w:type="pct"/>
            <w:gridSpan w:val="6"/>
            <w:vAlign w:val="bottom"/>
          </w:tcPr>
          <w:p w14:paraId="6D0CFFFA" w14:textId="6C72A6E3" w:rsidR="006A2C31" w:rsidRPr="00F75066" w:rsidRDefault="006A2C31" w:rsidP="00F75066">
            <w:pPr>
              <w:jc w:val="center"/>
              <w:rPr>
                <w:rFonts w:asciiTheme="minorBidi" w:hAnsiTheme="minorBidi" w:cstheme="minorBidi"/>
                <w:b/>
                <w:bCs/>
                <w:sz w:val="18"/>
                <w:szCs w:val="18"/>
                <w:u w:val="single"/>
                <w:rtl/>
              </w:rPr>
            </w:pPr>
            <w:r w:rsidRPr="00F75066">
              <w:rPr>
                <w:rFonts w:asciiTheme="minorBidi" w:hAnsiTheme="minorBidi" w:cstheme="minorBidi"/>
                <w:b/>
                <w:bCs/>
                <w:sz w:val="18"/>
                <w:szCs w:val="18"/>
                <w:u w:val="single"/>
                <w:rtl/>
              </w:rPr>
              <w:t xml:space="preserve">שלושה חודשים שהסתיימו ביום 30 ביוני </w:t>
            </w:r>
            <w:r w:rsidRPr="00F75066">
              <w:rPr>
                <w:rFonts w:asciiTheme="minorBidi" w:hAnsiTheme="minorBidi" w:cstheme="minorBidi"/>
                <w:b/>
                <w:bCs/>
                <w:sz w:val="18"/>
                <w:szCs w:val="18"/>
                <w:u w:val="single"/>
                <w:rtl/>
              </w:rPr>
              <w:fldChar w:fldCharType="begin"/>
            </w:r>
            <w:r w:rsidRPr="00F75066">
              <w:rPr>
                <w:rFonts w:asciiTheme="minorBidi" w:hAnsiTheme="minorBidi" w:cstheme="minorBidi"/>
                <w:b/>
                <w:bCs/>
                <w:sz w:val="18"/>
                <w:szCs w:val="18"/>
                <w:u w:val="single"/>
                <w:rtl/>
              </w:rPr>
              <w:instrText xml:space="preserve"> = </w:instrText>
            </w:r>
            <w:r w:rsidRPr="00F75066">
              <w:rPr>
                <w:rFonts w:asciiTheme="minorBidi" w:hAnsiTheme="minorBidi" w:cstheme="minorBidi"/>
                <w:b/>
                <w:bCs/>
                <w:sz w:val="18"/>
                <w:szCs w:val="18"/>
                <w:u w:val="single"/>
              </w:rPr>
              <w:instrText>CY \* MERGEFORMAT</w:instrText>
            </w:r>
            <w:r w:rsidRPr="00F75066">
              <w:rPr>
                <w:rFonts w:asciiTheme="minorBidi" w:hAnsiTheme="minorBidi" w:cstheme="minorBidi"/>
                <w:b/>
                <w:bCs/>
                <w:sz w:val="18"/>
                <w:szCs w:val="18"/>
                <w:u w:val="single"/>
                <w:rtl/>
              </w:rPr>
              <w:instrText xml:space="preserve"> </w:instrText>
            </w:r>
            <w:r w:rsidRPr="00F75066">
              <w:rPr>
                <w:rFonts w:asciiTheme="minorBidi" w:hAnsiTheme="minorBidi" w:cstheme="minorBidi"/>
                <w:b/>
                <w:bCs/>
                <w:sz w:val="18"/>
                <w:szCs w:val="18"/>
                <w:u w:val="single"/>
                <w:rtl/>
              </w:rPr>
              <w:fldChar w:fldCharType="separate"/>
            </w:r>
            <w:r w:rsidRPr="00F75066">
              <w:rPr>
                <w:rFonts w:asciiTheme="minorBidi" w:hAnsiTheme="minorBidi" w:cstheme="minorBidi"/>
                <w:b/>
                <w:bCs/>
                <w:noProof/>
                <w:sz w:val="18"/>
                <w:szCs w:val="18"/>
                <w:u w:val="single"/>
                <w:rtl/>
              </w:rPr>
              <w:t>2024</w:t>
            </w:r>
            <w:r w:rsidRPr="00F75066">
              <w:rPr>
                <w:rFonts w:asciiTheme="minorBidi" w:hAnsiTheme="minorBidi" w:cstheme="minorBidi"/>
                <w:b/>
                <w:bCs/>
                <w:sz w:val="18"/>
                <w:szCs w:val="18"/>
                <w:u w:val="single"/>
                <w:rtl/>
              </w:rPr>
              <w:fldChar w:fldCharType="end"/>
            </w:r>
            <w:r w:rsidRPr="00F75066">
              <w:rPr>
                <w:rFonts w:asciiTheme="minorBidi" w:hAnsiTheme="minorBidi" w:cstheme="minorBidi"/>
                <w:b/>
                <w:bCs/>
                <w:color w:val="000000"/>
                <w:sz w:val="18"/>
                <w:szCs w:val="18"/>
                <w:u w:val="single"/>
                <w:rtl/>
                <w:lang w:eastAsia="he-IL"/>
              </w:rPr>
              <w:t xml:space="preserve">  </w:t>
            </w:r>
            <w:r w:rsidRPr="00F75066">
              <w:rPr>
                <w:rFonts w:asciiTheme="minorBidi" w:hAnsiTheme="minorBidi" w:cstheme="minorBidi"/>
                <w:color w:val="000000"/>
                <w:sz w:val="18"/>
                <w:szCs w:val="18"/>
                <w:u w:val="single"/>
                <w:rtl/>
                <w:lang w:eastAsia="he-IL"/>
              </w:rPr>
              <w:t>(בלתי מבוקר)</w:t>
            </w:r>
          </w:p>
        </w:tc>
      </w:tr>
      <w:tr w:rsidR="00D25076" w:rsidRPr="0037573B" w14:paraId="6C8335FA" w14:textId="3DD36C6C" w:rsidTr="00D25076">
        <w:trPr>
          <w:trHeight w:val="259"/>
        </w:trPr>
        <w:tc>
          <w:tcPr>
            <w:tcW w:w="474" w:type="pct"/>
          </w:tcPr>
          <w:p w14:paraId="4D1B6658" w14:textId="77777777" w:rsidR="00D25076" w:rsidRPr="0037573B" w:rsidRDefault="00D25076" w:rsidP="00D25076">
            <w:pPr>
              <w:spacing w:before="60"/>
              <w:ind w:right="-142"/>
              <w:rPr>
                <w:rFonts w:asciiTheme="minorBidi" w:hAnsiTheme="minorBidi" w:cstheme="minorBidi"/>
                <w:spacing w:val="-6"/>
                <w:sz w:val="18"/>
                <w:szCs w:val="18"/>
                <w:rtl/>
              </w:rPr>
            </w:pPr>
          </w:p>
        </w:tc>
        <w:tc>
          <w:tcPr>
            <w:tcW w:w="190" w:type="pct"/>
            <w:tcBorders>
              <w:right w:val="single" w:sz="4" w:space="0" w:color="auto"/>
            </w:tcBorders>
            <w:vAlign w:val="bottom"/>
          </w:tcPr>
          <w:p w14:paraId="2F321616" w14:textId="77777777" w:rsidR="00D25076" w:rsidRPr="0037573B" w:rsidRDefault="00D25076" w:rsidP="00D25076">
            <w:pPr>
              <w:rPr>
                <w:rFonts w:asciiTheme="minorBidi" w:hAnsiTheme="minorBidi" w:cstheme="minorBidi"/>
                <w:sz w:val="18"/>
                <w:szCs w:val="18"/>
                <w:rtl/>
              </w:rPr>
            </w:pPr>
          </w:p>
        </w:tc>
        <w:tc>
          <w:tcPr>
            <w:tcW w:w="1596" w:type="pct"/>
            <w:tcBorders>
              <w:left w:val="single" w:sz="4" w:space="0" w:color="auto"/>
            </w:tcBorders>
            <w:vAlign w:val="bottom"/>
          </w:tcPr>
          <w:p w14:paraId="2F8614D9" w14:textId="77777777" w:rsidR="00D25076" w:rsidRPr="0037573B" w:rsidRDefault="00D25076" w:rsidP="00D25076">
            <w:pPr>
              <w:spacing w:before="120"/>
              <w:ind w:left="142" w:hanging="142"/>
              <w:rPr>
                <w:rFonts w:asciiTheme="minorBidi" w:hAnsiTheme="minorBidi" w:cstheme="minorBidi"/>
                <w:color w:val="000000"/>
                <w:sz w:val="18"/>
                <w:szCs w:val="18"/>
                <w:rtl/>
                <w:lang w:eastAsia="he-IL"/>
              </w:rPr>
            </w:pPr>
          </w:p>
        </w:tc>
        <w:tc>
          <w:tcPr>
            <w:tcW w:w="2249" w:type="pct"/>
            <w:gridSpan w:val="5"/>
            <w:vAlign w:val="bottom"/>
          </w:tcPr>
          <w:p w14:paraId="45DA8DEA" w14:textId="3F816B5F" w:rsidR="00D25076" w:rsidRPr="0037573B" w:rsidRDefault="00D25076" w:rsidP="00D25076">
            <w:pPr>
              <w:pBdr>
                <w:bottom w:val="single" w:sz="6" w:space="1" w:color="auto"/>
              </w:pBdr>
              <w:jc w:val="center"/>
              <w:rPr>
                <w:rFonts w:asciiTheme="minorBidi" w:hAnsiTheme="minorBidi" w:cstheme="minorBidi"/>
                <w:b/>
                <w:bCs/>
                <w:sz w:val="18"/>
                <w:szCs w:val="18"/>
                <w:rtl/>
              </w:rPr>
            </w:pPr>
            <w:r>
              <w:rPr>
                <w:rFonts w:asciiTheme="minorBidi" w:hAnsiTheme="minorBidi" w:cstheme="minorBidi" w:hint="cs"/>
                <w:b/>
                <w:bCs/>
                <w:sz w:val="18"/>
                <w:szCs w:val="18"/>
                <w:rtl/>
              </w:rPr>
              <w:t>יתרת חוב רשומה</w:t>
            </w:r>
          </w:p>
        </w:tc>
        <w:tc>
          <w:tcPr>
            <w:tcW w:w="491" w:type="pct"/>
            <w:vAlign w:val="bottom"/>
          </w:tcPr>
          <w:p w14:paraId="72F34718" w14:textId="77777777" w:rsidR="00D25076" w:rsidRPr="0037573B" w:rsidRDefault="00D25076" w:rsidP="00D25076">
            <w:pPr>
              <w:jc w:val="center"/>
              <w:rPr>
                <w:rFonts w:asciiTheme="minorBidi" w:hAnsiTheme="minorBidi" w:cstheme="minorBidi"/>
                <w:b/>
                <w:bCs/>
                <w:sz w:val="18"/>
                <w:szCs w:val="18"/>
                <w:rtl/>
              </w:rPr>
            </w:pPr>
          </w:p>
        </w:tc>
      </w:tr>
      <w:tr w:rsidR="00D25076" w:rsidRPr="0037573B" w14:paraId="40BFDAA8" w14:textId="77777777" w:rsidTr="00D25076">
        <w:trPr>
          <w:trHeight w:val="259"/>
        </w:trPr>
        <w:tc>
          <w:tcPr>
            <w:tcW w:w="474" w:type="pct"/>
          </w:tcPr>
          <w:p w14:paraId="705962F5" w14:textId="77777777" w:rsidR="00D25076" w:rsidRPr="0037573B" w:rsidRDefault="00D25076" w:rsidP="00D25076">
            <w:pPr>
              <w:rPr>
                <w:rFonts w:asciiTheme="minorBidi" w:hAnsiTheme="minorBidi" w:cstheme="minorBidi"/>
                <w:sz w:val="18"/>
                <w:szCs w:val="18"/>
                <w:rtl/>
              </w:rPr>
            </w:pPr>
          </w:p>
        </w:tc>
        <w:tc>
          <w:tcPr>
            <w:tcW w:w="190" w:type="pct"/>
            <w:tcBorders>
              <w:right w:val="single" w:sz="4" w:space="0" w:color="auto"/>
            </w:tcBorders>
            <w:vAlign w:val="bottom"/>
          </w:tcPr>
          <w:p w14:paraId="3036546E" w14:textId="77777777" w:rsidR="00D25076" w:rsidRPr="0037573B" w:rsidRDefault="00D25076" w:rsidP="00D25076">
            <w:pPr>
              <w:rPr>
                <w:rFonts w:asciiTheme="minorBidi" w:hAnsiTheme="minorBidi" w:cstheme="minorBidi"/>
                <w:sz w:val="18"/>
                <w:szCs w:val="18"/>
                <w:rtl/>
              </w:rPr>
            </w:pPr>
          </w:p>
        </w:tc>
        <w:tc>
          <w:tcPr>
            <w:tcW w:w="1596" w:type="pct"/>
            <w:tcBorders>
              <w:left w:val="single" w:sz="4" w:space="0" w:color="auto"/>
            </w:tcBorders>
            <w:vAlign w:val="bottom"/>
          </w:tcPr>
          <w:p w14:paraId="2F51CA84" w14:textId="77777777" w:rsidR="00D25076" w:rsidRPr="0037573B" w:rsidRDefault="00D25076" w:rsidP="00D25076">
            <w:pPr>
              <w:ind w:left="144" w:hanging="144"/>
              <w:rPr>
                <w:rFonts w:asciiTheme="minorBidi" w:hAnsiTheme="minorBidi" w:cstheme="minorBidi"/>
                <w:color w:val="000000"/>
                <w:sz w:val="18"/>
                <w:szCs w:val="18"/>
                <w:rtl/>
                <w:lang w:eastAsia="he-IL"/>
              </w:rPr>
            </w:pPr>
          </w:p>
        </w:tc>
        <w:tc>
          <w:tcPr>
            <w:tcW w:w="862" w:type="pct"/>
            <w:gridSpan w:val="2"/>
            <w:vAlign w:val="bottom"/>
            <w:hideMark/>
          </w:tcPr>
          <w:p w14:paraId="6FD2F986" w14:textId="77777777" w:rsidR="00D25076" w:rsidRPr="0037573B" w:rsidRDefault="00D25076" w:rsidP="00D25076">
            <w:pPr>
              <w:pBdr>
                <w:bottom w:val="single" w:sz="4"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בעייתי</w:t>
            </w:r>
          </w:p>
        </w:tc>
        <w:tc>
          <w:tcPr>
            <w:tcW w:w="1040" w:type="pct"/>
            <w:gridSpan w:val="2"/>
            <w:vAlign w:val="bottom"/>
          </w:tcPr>
          <w:p w14:paraId="0BBB8624" w14:textId="77777777" w:rsidR="00D25076" w:rsidRPr="0037573B" w:rsidRDefault="00D25076" w:rsidP="00D25076">
            <w:pPr>
              <w:pBdr>
                <w:bottom w:val="single" w:sz="4"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לא בעייתי</w:t>
            </w:r>
          </w:p>
        </w:tc>
        <w:tc>
          <w:tcPr>
            <w:tcW w:w="838" w:type="pct"/>
            <w:gridSpan w:val="2"/>
            <w:vAlign w:val="bottom"/>
          </w:tcPr>
          <w:p w14:paraId="3415BB51" w14:textId="77777777" w:rsidR="00D25076" w:rsidRPr="0037573B" w:rsidRDefault="00D25076" w:rsidP="00D25076">
            <w:pPr>
              <w:jc w:val="center"/>
              <w:rPr>
                <w:rFonts w:asciiTheme="minorBidi" w:hAnsiTheme="minorBidi" w:cstheme="minorBidi"/>
                <w:b/>
                <w:bCs/>
                <w:sz w:val="18"/>
                <w:szCs w:val="18"/>
                <w:rtl/>
              </w:rPr>
            </w:pPr>
          </w:p>
        </w:tc>
      </w:tr>
      <w:tr w:rsidR="00D25076" w:rsidRPr="0037573B" w14:paraId="34F8096C" w14:textId="77777777" w:rsidTr="00E96B34">
        <w:trPr>
          <w:trHeight w:val="624"/>
        </w:trPr>
        <w:tc>
          <w:tcPr>
            <w:tcW w:w="474" w:type="pct"/>
          </w:tcPr>
          <w:p w14:paraId="1B343CC5" w14:textId="77777777" w:rsidR="00D25076" w:rsidRPr="0037573B" w:rsidRDefault="00D25076" w:rsidP="00D25076">
            <w:pPr>
              <w:rPr>
                <w:rFonts w:asciiTheme="minorBidi" w:hAnsiTheme="minorBidi" w:cstheme="minorBidi"/>
                <w:sz w:val="18"/>
                <w:szCs w:val="18"/>
                <w:rtl/>
              </w:rPr>
            </w:pPr>
          </w:p>
        </w:tc>
        <w:tc>
          <w:tcPr>
            <w:tcW w:w="190" w:type="pct"/>
            <w:tcBorders>
              <w:right w:val="single" w:sz="4" w:space="0" w:color="auto"/>
            </w:tcBorders>
            <w:vAlign w:val="bottom"/>
          </w:tcPr>
          <w:p w14:paraId="3E0C0DF6" w14:textId="77777777" w:rsidR="00D25076" w:rsidRPr="0037573B" w:rsidRDefault="00D25076" w:rsidP="00D25076">
            <w:pPr>
              <w:rPr>
                <w:rFonts w:asciiTheme="minorBidi" w:hAnsiTheme="minorBidi" w:cstheme="minorBidi"/>
                <w:sz w:val="18"/>
                <w:szCs w:val="18"/>
                <w:rtl/>
              </w:rPr>
            </w:pPr>
          </w:p>
        </w:tc>
        <w:tc>
          <w:tcPr>
            <w:tcW w:w="1596" w:type="pct"/>
            <w:tcBorders>
              <w:left w:val="single" w:sz="4" w:space="0" w:color="auto"/>
            </w:tcBorders>
            <w:vAlign w:val="bottom"/>
          </w:tcPr>
          <w:p w14:paraId="6F805947" w14:textId="77777777" w:rsidR="00D25076" w:rsidRPr="0037573B" w:rsidRDefault="00D25076" w:rsidP="00D25076">
            <w:pPr>
              <w:ind w:left="144" w:hanging="144"/>
              <w:rPr>
                <w:rFonts w:asciiTheme="minorBidi" w:hAnsiTheme="minorBidi" w:cstheme="minorBidi"/>
                <w:color w:val="000000"/>
                <w:sz w:val="18"/>
                <w:szCs w:val="18"/>
                <w:rtl/>
                <w:lang w:eastAsia="he-IL"/>
              </w:rPr>
            </w:pPr>
          </w:p>
        </w:tc>
        <w:tc>
          <w:tcPr>
            <w:tcW w:w="283" w:type="pct"/>
            <w:vAlign w:val="bottom"/>
            <w:hideMark/>
          </w:tcPr>
          <w:p w14:paraId="29EDDA80" w14:textId="77777777" w:rsidR="00D25076" w:rsidRPr="0037573B" w:rsidRDefault="00D25076" w:rsidP="00D25076">
            <w:pPr>
              <w:pBdr>
                <w:bottom w:val="single" w:sz="6"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לא צובר</w:t>
            </w:r>
          </w:p>
        </w:tc>
        <w:tc>
          <w:tcPr>
            <w:tcW w:w="579" w:type="pct"/>
            <w:vAlign w:val="bottom"/>
            <w:hideMark/>
          </w:tcPr>
          <w:p w14:paraId="24E434F2" w14:textId="77777777" w:rsidR="00D25076" w:rsidRPr="0037573B" w:rsidRDefault="00D25076" w:rsidP="00D25076">
            <w:pPr>
              <w:pBdr>
                <w:bottom w:val="single" w:sz="6"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צובר הכנסות ריבית</w:t>
            </w:r>
          </w:p>
        </w:tc>
        <w:tc>
          <w:tcPr>
            <w:tcW w:w="652" w:type="pct"/>
            <w:vAlign w:val="bottom"/>
            <w:hideMark/>
          </w:tcPr>
          <w:p w14:paraId="61CFF696" w14:textId="77777777" w:rsidR="00D25076" w:rsidRPr="0037573B" w:rsidRDefault="00D25076" w:rsidP="00D25076">
            <w:pPr>
              <w:pBdr>
                <w:bottom w:val="single" w:sz="6"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בפיגור של</w:t>
            </w:r>
            <w:r w:rsidRPr="0037573B">
              <w:rPr>
                <w:rFonts w:asciiTheme="minorBidi" w:hAnsiTheme="minorBidi" w:cstheme="minorBidi"/>
                <w:b/>
                <w:bCs/>
                <w:sz w:val="18"/>
                <w:szCs w:val="18"/>
              </w:rPr>
              <w:t xml:space="preserve"> </w:t>
            </w:r>
            <w:r w:rsidRPr="0037573B">
              <w:rPr>
                <w:rFonts w:asciiTheme="minorBidi" w:hAnsiTheme="minorBidi" w:cstheme="minorBidi"/>
                <w:b/>
                <w:bCs/>
                <w:sz w:val="18"/>
                <w:szCs w:val="18"/>
                <w:rtl/>
              </w:rPr>
              <w:t>30</w:t>
            </w:r>
          </w:p>
          <w:p w14:paraId="0233CE0F" w14:textId="77777777" w:rsidR="00D25076" w:rsidRPr="0037573B" w:rsidRDefault="00D25076" w:rsidP="00D25076">
            <w:pPr>
              <w:pBdr>
                <w:bottom w:val="single" w:sz="6"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ימים או יותר</w:t>
            </w:r>
          </w:p>
        </w:tc>
        <w:tc>
          <w:tcPr>
            <w:tcW w:w="388" w:type="pct"/>
            <w:vAlign w:val="bottom"/>
            <w:hideMark/>
          </w:tcPr>
          <w:p w14:paraId="1874C8B4" w14:textId="77777777" w:rsidR="00D25076" w:rsidRPr="0037573B" w:rsidRDefault="00D25076" w:rsidP="00D25076">
            <w:pPr>
              <w:pBdr>
                <w:bottom w:val="single" w:sz="6"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לא</w:t>
            </w:r>
          </w:p>
          <w:p w14:paraId="53445E29" w14:textId="77777777" w:rsidR="00D25076" w:rsidRPr="0037573B" w:rsidRDefault="00D25076" w:rsidP="00D25076">
            <w:pPr>
              <w:pBdr>
                <w:bottom w:val="single" w:sz="6"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בפיגור</w:t>
            </w:r>
          </w:p>
        </w:tc>
        <w:tc>
          <w:tcPr>
            <w:tcW w:w="347" w:type="pct"/>
            <w:vAlign w:val="bottom"/>
            <w:hideMark/>
          </w:tcPr>
          <w:p w14:paraId="00DD214B" w14:textId="77777777" w:rsidR="00D25076" w:rsidRPr="0037573B" w:rsidRDefault="00D25076" w:rsidP="00D25076">
            <w:pPr>
              <w:pBdr>
                <w:bottom w:val="single" w:sz="6"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סך</w:t>
            </w:r>
          </w:p>
          <w:p w14:paraId="3E52D7EB" w14:textId="77777777" w:rsidR="00D25076" w:rsidRPr="0037573B" w:rsidRDefault="00D25076" w:rsidP="00D25076">
            <w:pPr>
              <w:pBdr>
                <w:bottom w:val="single" w:sz="6"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 xml:space="preserve">הכל </w:t>
            </w:r>
          </w:p>
        </w:tc>
        <w:tc>
          <w:tcPr>
            <w:tcW w:w="491" w:type="pct"/>
            <w:vAlign w:val="bottom"/>
          </w:tcPr>
          <w:p w14:paraId="0B322984" w14:textId="77777777" w:rsidR="00D25076" w:rsidRPr="0037573B" w:rsidRDefault="00D25076" w:rsidP="00D25076">
            <w:pPr>
              <w:pBdr>
                <w:bottom w:val="single" w:sz="4"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מחיקות חשבונאיות</w:t>
            </w:r>
          </w:p>
          <w:p w14:paraId="1E6F7569" w14:textId="77777777" w:rsidR="00D25076" w:rsidRPr="0037573B" w:rsidRDefault="00D25076" w:rsidP="00D25076">
            <w:pPr>
              <w:pBdr>
                <w:bottom w:val="single" w:sz="4"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4-6/</w:t>
            </w:r>
            <w:r w:rsidRPr="0037573B">
              <w:rPr>
                <w:rFonts w:asciiTheme="minorBidi" w:hAnsiTheme="minorBidi" w:cstheme="minorBidi"/>
                <w:b/>
                <w:bCs/>
                <w:sz w:val="18"/>
                <w:szCs w:val="18"/>
                <w:rtl/>
              </w:rPr>
              <w:fldChar w:fldCharType="begin"/>
            </w:r>
            <w:r w:rsidRPr="0037573B">
              <w:rPr>
                <w:rFonts w:asciiTheme="minorBidi" w:hAnsiTheme="minorBidi" w:cstheme="minorBidi"/>
                <w:b/>
                <w:bCs/>
                <w:sz w:val="18"/>
                <w:szCs w:val="18"/>
                <w:rtl/>
              </w:rPr>
              <w:instrText xml:space="preserve"> = </w:instrText>
            </w:r>
            <w:r w:rsidRPr="0037573B">
              <w:rPr>
                <w:rFonts w:asciiTheme="minorBidi" w:hAnsiTheme="minorBidi" w:cstheme="minorBidi"/>
                <w:b/>
                <w:bCs/>
                <w:sz w:val="18"/>
                <w:szCs w:val="18"/>
              </w:rPr>
              <w:instrText>CY \* MERGEFORMAT</w:instrText>
            </w:r>
            <w:r w:rsidRPr="0037573B">
              <w:rPr>
                <w:rFonts w:asciiTheme="minorBidi" w:hAnsiTheme="minorBidi" w:cstheme="minorBidi"/>
                <w:b/>
                <w:bCs/>
                <w:sz w:val="18"/>
                <w:szCs w:val="18"/>
                <w:rtl/>
              </w:rPr>
              <w:instrText xml:space="preserve"> </w:instrText>
            </w:r>
            <w:r w:rsidRPr="0037573B">
              <w:rPr>
                <w:rFonts w:asciiTheme="minorBidi" w:hAnsiTheme="minorBidi" w:cstheme="minorBidi"/>
                <w:b/>
                <w:bCs/>
                <w:sz w:val="18"/>
                <w:szCs w:val="18"/>
                <w:rtl/>
              </w:rPr>
              <w:fldChar w:fldCharType="separate"/>
            </w:r>
            <w:r w:rsidRPr="0037573B">
              <w:rPr>
                <w:rFonts w:asciiTheme="minorBidi" w:hAnsiTheme="minorBidi" w:cstheme="minorBidi"/>
                <w:b/>
                <w:bCs/>
                <w:noProof/>
                <w:sz w:val="18"/>
                <w:szCs w:val="18"/>
                <w:rtl/>
              </w:rPr>
              <w:t>2024</w:t>
            </w:r>
            <w:r w:rsidRPr="0037573B">
              <w:rPr>
                <w:rFonts w:asciiTheme="minorBidi" w:hAnsiTheme="minorBidi" w:cstheme="minorBidi"/>
                <w:b/>
                <w:bCs/>
                <w:sz w:val="18"/>
                <w:szCs w:val="18"/>
                <w:rtl/>
              </w:rPr>
              <w:fldChar w:fldCharType="end"/>
            </w:r>
            <w:r w:rsidRPr="0037573B">
              <w:rPr>
                <w:rFonts w:asciiTheme="minorBidi" w:hAnsiTheme="minorBidi" w:cstheme="minorBidi"/>
                <w:b/>
                <w:bCs/>
                <w:color w:val="000000"/>
                <w:sz w:val="18"/>
                <w:szCs w:val="18"/>
                <w:rtl/>
                <w:lang w:eastAsia="he-IL"/>
              </w:rPr>
              <w:t xml:space="preserve">  </w:t>
            </w:r>
          </w:p>
        </w:tc>
      </w:tr>
      <w:tr w:rsidR="00D25076" w:rsidRPr="0037573B" w14:paraId="6B99D1E2" w14:textId="77777777" w:rsidTr="00D25076">
        <w:trPr>
          <w:trHeight w:val="259"/>
        </w:trPr>
        <w:tc>
          <w:tcPr>
            <w:tcW w:w="474" w:type="pct"/>
          </w:tcPr>
          <w:p w14:paraId="2A8E4AA1" w14:textId="77777777" w:rsidR="00D25076" w:rsidRPr="0037573B" w:rsidRDefault="00D25076" w:rsidP="00D25076">
            <w:pPr>
              <w:rPr>
                <w:rFonts w:asciiTheme="minorBidi" w:hAnsiTheme="minorBidi" w:cstheme="minorBidi"/>
                <w:sz w:val="18"/>
                <w:szCs w:val="18"/>
                <w:rtl/>
              </w:rPr>
            </w:pPr>
          </w:p>
        </w:tc>
        <w:tc>
          <w:tcPr>
            <w:tcW w:w="190" w:type="pct"/>
            <w:tcBorders>
              <w:right w:val="single" w:sz="4" w:space="0" w:color="auto"/>
            </w:tcBorders>
            <w:vAlign w:val="bottom"/>
          </w:tcPr>
          <w:p w14:paraId="2FD1C686" w14:textId="77777777" w:rsidR="00D25076" w:rsidRPr="0037573B" w:rsidRDefault="00D25076" w:rsidP="00D25076">
            <w:pPr>
              <w:rPr>
                <w:rFonts w:asciiTheme="minorBidi" w:hAnsiTheme="minorBidi" w:cstheme="minorBidi"/>
                <w:sz w:val="18"/>
                <w:szCs w:val="18"/>
                <w:rtl/>
              </w:rPr>
            </w:pPr>
          </w:p>
        </w:tc>
        <w:tc>
          <w:tcPr>
            <w:tcW w:w="1596" w:type="pct"/>
            <w:tcBorders>
              <w:left w:val="single" w:sz="4" w:space="0" w:color="auto"/>
            </w:tcBorders>
            <w:vAlign w:val="bottom"/>
            <w:hideMark/>
          </w:tcPr>
          <w:p w14:paraId="1DB9D9D3" w14:textId="77777777" w:rsidR="00D25076" w:rsidRPr="0037573B" w:rsidRDefault="00D25076" w:rsidP="00D25076">
            <w:pPr>
              <w:ind w:left="34"/>
              <w:rPr>
                <w:rFonts w:asciiTheme="minorBidi" w:hAnsiTheme="minorBidi" w:cstheme="minorBidi"/>
                <w:b/>
                <w:bCs/>
                <w:color w:val="000000"/>
                <w:sz w:val="18"/>
                <w:szCs w:val="18"/>
                <w:u w:val="single"/>
                <w:rtl/>
                <w:lang w:eastAsia="he-IL"/>
              </w:rPr>
            </w:pPr>
            <w:r w:rsidRPr="0037573B">
              <w:rPr>
                <w:rFonts w:asciiTheme="minorBidi" w:hAnsiTheme="minorBidi" w:cstheme="minorBidi"/>
                <w:b/>
                <w:bCs/>
                <w:color w:val="000000"/>
                <w:sz w:val="18"/>
                <w:szCs w:val="18"/>
                <w:u w:val="single"/>
                <w:rtl/>
                <w:lang w:eastAsia="he-IL"/>
              </w:rPr>
              <w:t>פעילות לווים בישראל</w:t>
            </w:r>
          </w:p>
        </w:tc>
        <w:tc>
          <w:tcPr>
            <w:tcW w:w="283" w:type="pct"/>
            <w:vAlign w:val="bottom"/>
          </w:tcPr>
          <w:p w14:paraId="7DE630A4" w14:textId="77777777" w:rsidR="00D25076" w:rsidRPr="0037573B" w:rsidRDefault="00D25076" w:rsidP="00D25076">
            <w:pPr>
              <w:rPr>
                <w:rFonts w:asciiTheme="minorBidi" w:hAnsiTheme="minorBidi" w:cstheme="minorBidi"/>
                <w:sz w:val="18"/>
                <w:szCs w:val="18"/>
                <w:rtl/>
              </w:rPr>
            </w:pPr>
          </w:p>
        </w:tc>
        <w:tc>
          <w:tcPr>
            <w:tcW w:w="579" w:type="pct"/>
            <w:vAlign w:val="bottom"/>
          </w:tcPr>
          <w:p w14:paraId="02E4FE3D" w14:textId="77777777" w:rsidR="00D25076" w:rsidRPr="0037573B" w:rsidRDefault="00D25076" w:rsidP="00D25076">
            <w:pPr>
              <w:rPr>
                <w:rFonts w:asciiTheme="minorBidi" w:hAnsiTheme="minorBidi" w:cstheme="minorBidi"/>
                <w:sz w:val="18"/>
                <w:szCs w:val="18"/>
                <w:rtl/>
              </w:rPr>
            </w:pPr>
          </w:p>
        </w:tc>
        <w:tc>
          <w:tcPr>
            <w:tcW w:w="652" w:type="pct"/>
            <w:vAlign w:val="bottom"/>
          </w:tcPr>
          <w:p w14:paraId="25FA2AFA" w14:textId="77777777" w:rsidR="00D25076" w:rsidRPr="0037573B" w:rsidRDefault="00D25076" w:rsidP="00D25076">
            <w:pPr>
              <w:rPr>
                <w:rFonts w:asciiTheme="minorBidi" w:hAnsiTheme="minorBidi" w:cstheme="minorBidi"/>
                <w:sz w:val="18"/>
                <w:szCs w:val="18"/>
                <w:rtl/>
              </w:rPr>
            </w:pPr>
          </w:p>
        </w:tc>
        <w:tc>
          <w:tcPr>
            <w:tcW w:w="388" w:type="pct"/>
            <w:vAlign w:val="bottom"/>
          </w:tcPr>
          <w:p w14:paraId="094F70DF" w14:textId="77777777" w:rsidR="00D25076" w:rsidRPr="0037573B" w:rsidRDefault="00D25076" w:rsidP="00D25076">
            <w:pPr>
              <w:rPr>
                <w:rFonts w:asciiTheme="minorBidi" w:hAnsiTheme="minorBidi" w:cstheme="minorBidi"/>
                <w:sz w:val="18"/>
                <w:szCs w:val="18"/>
                <w:rtl/>
              </w:rPr>
            </w:pPr>
          </w:p>
        </w:tc>
        <w:tc>
          <w:tcPr>
            <w:tcW w:w="347" w:type="pct"/>
            <w:vAlign w:val="bottom"/>
          </w:tcPr>
          <w:p w14:paraId="47A9E065" w14:textId="77777777" w:rsidR="00D25076" w:rsidRPr="0037573B" w:rsidRDefault="00D25076" w:rsidP="00D25076">
            <w:pPr>
              <w:rPr>
                <w:rFonts w:asciiTheme="minorBidi" w:hAnsiTheme="minorBidi" w:cstheme="minorBidi"/>
                <w:sz w:val="18"/>
                <w:szCs w:val="18"/>
                <w:rtl/>
              </w:rPr>
            </w:pPr>
          </w:p>
        </w:tc>
        <w:tc>
          <w:tcPr>
            <w:tcW w:w="491" w:type="pct"/>
            <w:vAlign w:val="bottom"/>
          </w:tcPr>
          <w:p w14:paraId="5B12642C" w14:textId="77777777" w:rsidR="00D25076" w:rsidRPr="0037573B" w:rsidRDefault="00D25076" w:rsidP="00D25076">
            <w:pPr>
              <w:rPr>
                <w:rFonts w:asciiTheme="minorBidi" w:hAnsiTheme="minorBidi" w:cstheme="minorBidi"/>
                <w:sz w:val="18"/>
                <w:szCs w:val="18"/>
                <w:rtl/>
              </w:rPr>
            </w:pPr>
          </w:p>
        </w:tc>
      </w:tr>
      <w:tr w:rsidR="00D25076" w:rsidRPr="0037573B" w14:paraId="70FF5168" w14:textId="77777777" w:rsidTr="00D25076">
        <w:trPr>
          <w:trHeight w:val="259"/>
        </w:trPr>
        <w:tc>
          <w:tcPr>
            <w:tcW w:w="474" w:type="pct"/>
          </w:tcPr>
          <w:p w14:paraId="0715CC82" w14:textId="77777777" w:rsidR="00D25076" w:rsidRPr="0037573B" w:rsidRDefault="00D25076" w:rsidP="00D25076">
            <w:pPr>
              <w:rPr>
                <w:rFonts w:asciiTheme="minorBidi" w:hAnsiTheme="minorBidi" w:cstheme="minorBidi"/>
                <w:sz w:val="18"/>
                <w:szCs w:val="18"/>
                <w:rtl/>
              </w:rPr>
            </w:pPr>
          </w:p>
        </w:tc>
        <w:tc>
          <w:tcPr>
            <w:tcW w:w="190" w:type="pct"/>
            <w:tcBorders>
              <w:right w:val="single" w:sz="4" w:space="0" w:color="auto"/>
            </w:tcBorders>
            <w:vAlign w:val="bottom"/>
          </w:tcPr>
          <w:p w14:paraId="6A533F03" w14:textId="77777777" w:rsidR="00D25076" w:rsidRPr="0037573B" w:rsidRDefault="00D25076" w:rsidP="00D25076">
            <w:pPr>
              <w:rPr>
                <w:rFonts w:asciiTheme="minorBidi" w:hAnsiTheme="minorBidi" w:cstheme="minorBidi"/>
                <w:sz w:val="18"/>
                <w:szCs w:val="18"/>
                <w:rtl/>
              </w:rPr>
            </w:pPr>
          </w:p>
        </w:tc>
        <w:tc>
          <w:tcPr>
            <w:tcW w:w="1596" w:type="pct"/>
            <w:tcBorders>
              <w:left w:val="single" w:sz="4" w:space="0" w:color="auto"/>
            </w:tcBorders>
            <w:vAlign w:val="bottom"/>
            <w:hideMark/>
          </w:tcPr>
          <w:p w14:paraId="16A5413D" w14:textId="77777777" w:rsidR="00D25076" w:rsidRPr="0037573B" w:rsidRDefault="00D25076" w:rsidP="00D25076">
            <w:pPr>
              <w:ind w:left="34"/>
              <w:rPr>
                <w:rFonts w:asciiTheme="minorBidi" w:hAnsiTheme="minorBidi" w:cstheme="minorBidi"/>
                <w:color w:val="000000"/>
                <w:sz w:val="18"/>
                <w:szCs w:val="18"/>
                <w:rtl/>
                <w:lang w:eastAsia="he-IL"/>
              </w:rPr>
            </w:pPr>
            <w:r w:rsidRPr="0037573B">
              <w:rPr>
                <w:rFonts w:asciiTheme="minorBidi" w:hAnsiTheme="minorBidi" w:cstheme="minorBidi"/>
                <w:color w:val="000000"/>
                <w:sz w:val="18"/>
                <w:szCs w:val="18"/>
                <w:rtl/>
                <w:lang w:eastAsia="he-IL"/>
              </w:rPr>
              <w:t>מסחרי</w:t>
            </w:r>
          </w:p>
        </w:tc>
        <w:tc>
          <w:tcPr>
            <w:tcW w:w="283" w:type="pct"/>
            <w:vAlign w:val="bottom"/>
            <w:hideMark/>
          </w:tcPr>
          <w:p w14:paraId="5CC49142" w14:textId="77777777" w:rsidR="00D25076" w:rsidRPr="0037573B" w:rsidRDefault="00D25076" w:rsidP="00D25076">
            <w:pPr>
              <w:rPr>
                <w:rFonts w:asciiTheme="minorBidi" w:hAnsiTheme="minorBidi" w:cstheme="minorBidi"/>
                <w:sz w:val="18"/>
                <w:szCs w:val="18"/>
              </w:rPr>
            </w:pPr>
            <w:r w:rsidRPr="0037573B">
              <w:rPr>
                <w:rFonts w:asciiTheme="minorBidi" w:hAnsiTheme="minorBidi" w:cstheme="minorBidi"/>
                <w:sz w:val="18"/>
                <w:szCs w:val="18"/>
                <w:rtl/>
              </w:rPr>
              <w:t xml:space="preserve"> 0</w:t>
            </w:r>
          </w:p>
        </w:tc>
        <w:tc>
          <w:tcPr>
            <w:tcW w:w="579" w:type="pct"/>
            <w:vAlign w:val="bottom"/>
            <w:hideMark/>
          </w:tcPr>
          <w:p w14:paraId="7C05717B" w14:textId="77777777" w:rsidR="00D25076" w:rsidRPr="0037573B" w:rsidRDefault="00D25076" w:rsidP="00D25076">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652" w:type="pct"/>
            <w:vAlign w:val="bottom"/>
            <w:hideMark/>
          </w:tcPr>
          <w:p w14:paraId="77DF7A16" w14:textId="77777777" w:rsidR="00D25076" w:rsidRPr="0037573B" w:rsidRDefault="00D25076" w:rsidP="00D25076">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388" w:type="pct"/>
            <w:vAlign w:val="bottom"/>
            <w:hideMark/>
          </w:tcPr>
          <w:p w14:paraId="535B8851" w14:textId="77777777" w:rsidR="00D25076" w:rsidRPr="0037573B" w:rsidRDefault="00D25076" w:rsidP="00D25076">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347" w:type="pct"/>
            <w:vAlign w:val="bottom"/>
            <w:hideMark/>
          </w:tcPr>
          <w:p w14:paraId="79895BAC" w14:textId="77777777" w:rsidR="00D25076" w:rsidRPr="0037573B" w:rsidRDefault="00D25076" w:rsidP="00D25076">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491" w:type="pct"/>
            <w:vAlign w:val="bottom"/>
          </w:tcPr>
          <w:p w14:paraId="258EC3EE" w14:textId="77777777" w:rsidR="00D25076" w:rsidRPr="0037573B" w:rsidRDefault="00D25076" w:rsidP="00D25076">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r>
      <w:tr w:rsidR="00D25076" w:rsidRPr="0037573B" w14:paraId="5401BB34" w14:textId="77777777" w:rsidTr="00D25076">
        <w:trPr>
          <w:trHeight w:val="259"/>
        </w:trPr>
        <w:tc>
          <w:tcPr>
            <w:tcW w:w="474" w:type="pct"/>
          </w:tcPr>
          <w:p w14:paraId="0DE2FBB8" w14:textId="77777777" w:rsidR="00D25076" w:rsidRPr="0037573B" w:rsidRDefault="00D25076" w:rsidP="00D25076">
            <w:pPr>
              <w:rPr>
                <w:rFonts w:asciiTheme="minorBidi" w:hAnsiTheme="minorBidi" w:cstheme="minorBidi"/>
                <w:sz w:val="18"/>
                <w:szCs w:val="18"/>
                <w:rtl/>
              </w:rPr>
            </w:pPr>
          </w:p>
        </w:tc>
        <w:tc>
          <w:tcPr>
            <w:tcW w:w="190" w:type="pct"/>
            <w:tcBorders>
              <w:right w:val="single" w:sz="4" w:space="0" w:color="auto"/>
            </w:tcBorders>
            <w:vAlign w:val="bottom"/>
          </w:tcPr>
          <w:p w14:paraId="57DF7BE9" w14:textId="77777777" w:rsidR="00D25076" w:rsidRPr="0037573B" w:rsidRDefault="00D25076" w:rsidP="00D25076">
            <w:pPr>
              <w:rPr>
                <w:rFonts w:asciiTheme="minorBidi" w:hAnsiTheme="minorBidi" w:cstheme="minorBidi"/>
                <w:sz w:val="18"/>
                <w:szCs w:val="18"/>
                <w:rtl/>
              </w:rPr>
            </w:pPr>
          </w:p>
        </w:tc>
        <w:tc>
          <w:tcPr>
            <w:tcW w:w="1596" w:type="pct"/>
            <w:tcBorders>
              <w:left w:val="single" w:sz="4" w:space="0" w:color="auto"/>
            </w:tcBorders>
            <w:vAlign w:val="bottom"/>
            <w:hideMark/>
          </w:tcPr>
          <w:p w14:paraId="33A19115" w14:textId="77777777" w:rsidR="00D25076" w:rsidRPr="0037573B" w:rsidRDefault="00D25076" w:rsidP="00D25076">
            <w:pPr>
              <w:spacing w:before="40" w:line="200" w:lineRule="exact"/>
              <w:ind w:right="144" w:firstLine="34"/>
              <w:rPr>
                <w:rFonts w:asciiTheme="minorBidi" w:hAnsiTheme="minorBidi" w:cstheme="minorBidi"/>
                <w:color w:val="000000"/>
                <w:sz w:val="18"/>
                <w:szCs w:val="18"/>
                <w:rtl/>
                <w:lang w:eastAsia="he-IL"/>
              </w:rPr>
            </w:pPr>
            <w:r w:rsidRPr="0037573B">
              <w:rPr>
                <w:rFonts w:asciiTheme="minorBidi" w:hAnsiTheme="minorBidi" w:cstheme="minorBidi"/>
                <w:color w:val="000000"/>
                <w:sz w:val="18"/>
                <w:szCs w:val="18"/>
                <w:rtl/>
                <w:lang w:eastAsia="he-IL"/>
              </w:rPr>
              <w:t>אנשים פרטיים - הלוואות לדיור</w:t>
            </w:r>
          </w:p>
        </w:tc>
        <w:tc>
          <w:tcPr>
            <w:tcW w:w="283" w:type="pct"/>
            <w:vAlign w:val="bottom"/>
            <w:hideMark/>
          </w:tcPr>
          <w:p w14:paraId="58479AA2" w14:textId="77777777" w:rsidR="00D25076" w:rsidRPr="0037573B" w:rsidRDefault="00D25076" w:rsidP="00D25076">
            <w:pPr>
              <w:rPr>
                <w:rFonts w:asciiTheme="minorBidi" w:hAnsiTheme="minorBidi" w:cstheme="minorBidi"/>
                <w:sz w:val="18"/>
                <w:szCs w:val="18"/>
              </w:rPr>
            </w:pPr>
            <w:r w:rsidRPr="0037573B">
              <w:rPr>
                <w:rFonts w:asciiTheme="minorBidi" w:hAnsiTheme="minorBidi" w:cstheme="minorBidi"/>
                <w:sz w:val="18"/>
                <w:szCs w:val="18"/>
                <w:rtl/>
              </w:rPr>
              <w:t xml:space="preserve"> 0</w:t>
            </w:r>
          </w:p>
        </w:tc>
        <w:tc>
          <w:tcPr>
            <w:tcW w:w="579" w:type="pct"/>
            <w:vAlign w:val="bottom"/>
            <w:hideMark/>
          </w:tcPr>
          <w:p w14:paraId="4E04280B" w14:textId="77777777" w:rsidR="00D25076" w:rsidRPr="0037573B" w:rsidRDefault="00D25076" w:rsidP="00D25076">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652" w:type="pct"/>
            <w:vAlign w:val="bottom"/>
            <w:hideMark/>
          </w:tcPr>
          <w:p w14:paraId="10811D1E" w14:textId="77777777" w:rsidR="00D25076" w:rsidRPr="0037573B" w:rsidRDefault="00D25076" w:rsidP="00D25076">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388" w:type="pct"/>
            <w:vAlign w:val="bottom"/>
            <w:hideMark/>
          </w:tcPr>
          <w:p w14:paraId="4446C9AF" w14:textId="77777777" w:rsidR="00D25076" w:rsidRPr="0037573B" w:rsidRDefault="00D25076" w:rsidP="00D25076">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347" w:type="pct"/>
            <w:vAlign w:val="bottom"/>
            <w:hideMark/>
          </w:tcPr>
          <w:p w14:paraId="6AB42AD8" w14:textId="77777777" w:rsidR="00D25076" w:rsidRPr="0037573B" w:rsidRDefault="00D25076" w:rsidP="00D25076">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491" w:type="pct"/>
            <w:vAlign w:val="bottom"/>
          </w:tcPr>
          <w:p w14:paraId="1CDC8C5E" w14:textId="77777777" w:rsidR="00D25076" w:rsidRPr="0037573B" w:rsidRDefault="00D25076" w:rsidP="00D25076">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r>
      <w:tr w:rsidR="00D25076" w:rsidRPr="0037573B" w14:paraId="014A1E8C" w14:textId="77777777" w:rsidTr="00D25076">
        <w:trPr>
          <w:trHeight w:val="259"/>
        </w:trPr>
        <w:tc>
          <w:tcPr>
            <w:tcW w:w="474" w:type="pct"/>
          </w:tcPr>
          <w:p w14:paraId="6177978D" w14:textId="77777777" w:rsidR="00D25076" w:rsidRPr="0037573B" w:rsidRDefault="00D25076" w:rsidP="00D25076">
            <w:pPr>
              <w:rPr>
                <w:rFonts w:asciiTheme="minorBidi" w:hAnsiTheme="minorBidi" w:cstheme="minorBidi"/>
                <w:sz w:val="18"/>
                <w:szCs w:val="18"/>
                <w:rtl/>
              </w:rPr>
            </w:pPr>
          </w:p>
        </w:tc>
        <w:tc>
          <w:tcPr>
            <w:tcW w:w="190" w:type="pct"/>
            <w:tcBorders>
              <w:right w:val="single" w:sz="4" w:space="0" w:color="auto"/>
            </w:tcBorders>
            <w:vAlign w:val="bottom"/>
          </w:tcPr>
          <w:p w14:paraId="43FDD803" w14:textId="77777777" w:rsidR="00D25076" w:rsidRPr="0037573B" w:rsidRDefault="00D25076" w:rsidP="00D25076">
            <w:pPr>
              <w:rPr>
                <w:rFonts w:asciiTheme="minorBidi" w:hAnsiTheme="minorBidi" w:cstheme="minorBidi"/>
                <w:sz w:val="18"/>
                <w:szCs w:val="18"/>
                <w:rtl/>
              </w:rPr>
            </w:pPr>
          </w:p>
        </w:tc>
        <w:tc>
          <w:tcPr>
            <w:tcW w:w="1596" w:type="pct"/>
            <w:tcBorders>
              <w:left w:val="single" w:sz="4" w:space="0" w:color="auto"/>
            </w:tcBorders>
            <w:vAlign w:val="bottom"/>
            <w:hideMark/>
          </w:tcPr>
          <w:p w14:paraId="7C54B21E" w14:textId="77777777" w:rsidR="00D25076" w:rsidRPr="0037573B" w:rsidRDefault="00D25076" w:rsidP="00D25076">
            <w:pPr>
              <w:ind w:firstLine="34"/>
              <w:rPr>
                <w:rFonts w:asciiTheme="minorBidi" w:hAnsiTheme="minorBidi" w:cstheme="minorBidi"/>
                <w:color w:val="000000"/>
                <w:sz w:val="18"/>
                <w:szCs w:val="18"/>
                <w:rtl/>
                <w:lang w:eastAsia="he-IL"/>
              </w:rPr>
            </w:pPr>
            <w:r w:rsidRPr="0037573B">
              <w:rPr>
                <w:rFonts w:asciiTheme="minorBidi" w:hAnsiTheme="minorBidi" w:cstheme="minorBidi"/>
                <w:color w:val="000000"/>
                <w:sz w:val="18"/>
                <w:szCs w:val="18"/>
                <w:rtl/>
                <w:lang w:eastAsia="he-IL"/>
              </w:rPr>
              <w:t>אנשים פרטיים - אחר</w:t>
            </w:r>
          </w:p>
        </w:tc>
        <w:tc>
          <w:tcPr>
            <w:tcW w:w="283" w:type="pct"/>
            <w:vAlign w:val="bottom"/>
            <w:hideMark/>
          </w:tcPr>
          <w:p w14:paraId="58423098" w14:textId="77777777" w:rsidR="00D25076" w:rsidRPr="0037573B" w:rsidRDefault="00D25076" w:rsidP="00D25076">
            <w:pPr>
              <w:rPr>
                <w:rFonts w:asciiTheme="minorBidi" w:hAnsiTheme="minorBidi" w:cstheme="minorBidi"/>
                <w:sz w:val="18"/>
                <w:szCs w:val="18"/>
              </w:rPr>
            </w:pPr>
            <w:r w:rsidRPr="0037573B">
              <w:rPr>
                <w:rFonts w:asciiTheme="minorBidi" w:hAnsiTheme="minorBidi" w:cstheme="minorBidi"/>
                <w:sz w:val="18"/>
                <w:szCs w:val="18"/>
                <w:rtl/>
              </w:rPr>
              <w:t xml:space="preserve"> 0</w:t>
            </w:r>
          </w:p>
        </w:tc>
        <w:tc>
          <w:tcPr>
            <w:tcW w:w="579" w:type="pct"/>
            <w:vAlign w:val="bottom"/>
            <w:hideMark/>
          </w:tcPr>
          <w:p w14:paraId="7E4F0F42" w14:textId="77777777" w:rsidR="00D25076" w:rsidRPr="0037573B" w:rsidRDefault="00D25076" w:rsidP="00D25076">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652" w:type="pct"/>
            <w:vAlign w:val="bottom"/>
            <w:hideMark/>
          </w:tcPr>
          <w:p w14:paraId="3A09413A" w14:textId="77777777" w:rsidR="00D25076" w:rsidRPr="0037573B" w:rsidRDefault="00D25076" w:rsidP="00D25076">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388" w:type="pct"/>
            <w:vAlign w:val="bottom"/>
            <w:hideMark/>
          </w:tcPr>
          <w:p w14:paraId="1018176E" w14:textId="77777777" w:rsidR="00D25076" w:rsidRPr="0037573B" w:rsidRDefault="00D25076" w:rsidP="00D25076">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347" w:type="pct"/>
            <w:vAlign w:val="bottom"/>
            <w:hideMark/>
          </w:tcPr>
          <w:p w14:paraId="074783C6" w14:textId="77777777" w:rsidR="00D25076" w:rsidRPr="0037573B" w:rsidRDefault="00D25076" w:rsidP="00D25076">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491" w:type="pct"/>
            <w:vAlign w:val="bottom"/>
          </w:tcPr>
          <w:p w14:paraId="5D96E7DE" w14:textId="77777777" w:rsidR="00D25076" w:rsidRPr="0037573B" w:rsidRDefault="00D25076" w:rsidP="00D25076">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r>
      <w:tr w:rsidR="00D25076" w:rsidRPr="0037573B" w14:paraId="6AF1BB9D" w14:textId="77777777" w:rsidTr="00D25076">
        <w:trPr>
          <w:trHeight w:val="259"/>
        </w:trPr>
        <w:tc>
          <w:tcPr>
            <w:tcW w:w="474" w:type="pct"/>
          </w:tcPr>
          <w:p w14:paraId="13828DBF" w14:textId="77777777" w:rsidR="00D25076" w:rsidRPr="0037573B" w:rsidRDefault="00D25076" w:rsidP="00D25076">
            <w:pPr>
              <w:rPr>
                <w:rFonts w:asciiTheme="minorBidi" w:hAnsiTheme="minorBidi" w:cstheme="minorBidi"/>
                <w:sz w:val="18"/>
                <w:szCs w:val="18"/>
                <w:rtl/>
              </w:rPr>
            </w:pPr>
          </w:p>
        </w:tc>
        <w:tc>
          <w:tcPr>
            <w:tcW w:w="190" w:type="pct"/>
            <w:tcBorders>
              <w:right w:val="single" w:sz="4" w:space="0" w:color="auto"/>
            </w:tcBorders>
            <w:vAlign w:val="bottom"/>
          </w:tcPr>
          <w:p w14:paraId="1284844D" w14:textId="77777777" w:rsidR="00D25076" w:rsidRPr="0037573B" w:rsidRDefault="00D25076" w:rsidP="00D25076">
            <w:pPr>
              <w:rPr>
                <w:rFonts w:asciiTheme="minorBidi" w:hAnsiTheme="minorBidi" w:cstheme="minorBidi"/>
                <w:sz w:val="18"/>
                <w:szCs w:val="18"/>
                <w:rtl/>
              </w:rPr>
            </w:pPr>
          </w:p>
        </w:tc>
        <w:tc>
          <w:tcPr>
            <w:tcW w:w="1596" w:type="pct"/>
            <w:tcBorders>
              <w:left w:val="single" w:sz="4" w:space="0" w:color="auto"/>
            </w:tcBorders>
            <w:vAlign w:val="bottom"/>
            <w:hideMark/>
          </w:tcPr>
          <w:p w14:paraId="00D42786" w14:textId="77777777" w:rsidR="00D25076" w:rsidRPr="0037573B" w:rsidRDefault="00D25076" w:rsidP="00D25076">
            <w:pPr>
              <w:spacing w:before="60" w:line="180" w:lineRule="exact"/>
              <w:ind w:left="34" w:right="142"/>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סך הכל אשראי לציבור - פעילות בישראל</w:t>
            </w:r>
          </w:p>
        </w:tc>
        <w:tc>
          <w:tcPr>
            <w:tcW w:w="283" w:type="pct"/>
            <w:vAlign w:val="bottom"/>
            <w:hideMark/>
          </w:tcPr>
          <w:p w14:paraId="65FCFB95" w14:textId="77777777" w:rsidR="00D25076" w:rsidRPr="0037573B" w:rsidRDefault="00D25076" w:rsidP="00D25076">
            <w:pPr>
              <w:pBdr>
                <w:top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579" w:type="pct"/>
            <w:vAlign w:val="bottom"/>
            <w:hideMark/>
          </w:tcPr>
          <w:p w14:paraId="354C78A8" w14:textId="77777777" w:rsidR="00D25076" w:rsidRPr="0037573B" w:rsidRDefault="00D25076" w:rsidP="00D25076">
            <w:pPr>
              <w:pBdr>
                <w:top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652" w:type="pct"/>
            <w:vAlign w:val="bottom"/>
            <w:hideMark/>
          </w:tcPr>
          <w:p w14:paraId="51BD937B" w14:textId="77777777" w:rsidR="00D25076" w:rsidRPr="0037573B" w:rsidRDefault="00D25076" w:rsidP="00D25076">
            <w:pPr>
              <w:pBdr>
                <w:top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388" w:type="pct"/>
            <w:vAlign w:val="bottom"/>
            <w:hideMark/>
          </w:tcPr>
          <w:p w14:paraId="70CFB657" w14:textId="77777777" w:rsidR="00D25076" w:rsidRPr="0037573B" w:rsidRDefault="00D25076" w:rsidP="00D25076">
            <w:pPr>
              <w:pBdr>
                <w:top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347" w:type="pct"/>
            <w:vAlign w:val="bottom"/>
            <w:hideMark/>
          </w:tcPr>
          <w:p w14:paraId="6B930D95" w14:textId="77777777" w:rsidR="00D25076" w:rsidRPr="0037573B" w:rsidRDefault="00D25076" w:rsidP="00D25076">
            <w:pPr>
              <w:pBdr>
                <w:top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491" w:type="pct"/>
            <w:vAlign w:val="bottom"/>
          </w:tcPr>
          <w:p w14:paraId="037CEF37" w14:textId="77777777" w:rsidR="00D25076" w:rsidRPr="0037573B" w:rsidRDefault="00D25076" w:rsidP="00D25076">
            <w:pPr>
              <w:pBdr>
                <w:top w:val="single" w:sz="4" w:space="1" w:color="auto"/>
              </w:pBdr>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r>
      <w:tr w:rsidR="00D25076" w:rsidRPr="0037573B" w14:paraId="6E14E719" w14:textId="77777777" w:rsidTr="00D25076">
        <w:trPr>
          <w:trHeight w:val="259"/>
        </w:trPr>
        <w:tc>
          <w:tcPr>
            <w:tcW w:w="474" w:type="pct"/>
          </w:tcPr>
          <w:p w14:paraId="56B75D6F" w14:textId="77777777" w:rsidR="00D25076" w:rsidRPr="0037573B" w:rsidRDefault="00D25076" w:rsidP="00D25076">
            <w:pPr>
              <w:rPr>
                <w:rFonts w:asciiTheme="minorBidi" w:hAnsiTheme="minorBidi" w:cstheme="minorBidi"/>
                <w:sz w:val="18"/>
                <w:szCs w:val="18"/>
                <w:rtl/>
              </w:rPr>
            </w:pPr>
          </w:p>
        </w:tc>
        <w:tc>
          <w:tcPr>
            <w:tcW w:w="190" w:type="pct"/>
            <w:tcBorders>
              <w:right w:val="single" w:sz="4" w:space="0" w:color="auto"/>
            </w:tcBorders>
            <w:vAlign w:val="bottom"/>
          </w:tcPr>
          <w:p w14:paraId="53885EA3" w14:textId="77777777" w:rsidR="00D25076" w:rsidRPr="0037573B" w:rsidRDefault="00D25076" w:rsidP="00D25076">
            <w:pPr>
              <w:rPr>
                <w:rFonts w:asciiTheme="minorBidi" w:hAnsiTheme="minorBidi" w:cstheme="minorBidi"/>
                <w:sz w:val="18"/>
                <w:szCs w:val="18"/>
                <w:rtl/>
              </w:rPr>
            </w:pPr>
          </w:p>
        </w:tc>
        <w:tc>
          <w:tcPr>
            <w:tcW w:w="1596" w:type="pct"/>
            <w:tcBorders>
              <w:left w:val="single" w:sz="4" w:space="0" w:color="auto"/>
            </w:tcBorders>
            <w:vAlign w:val="bottom"/>
            <w:hideMark/>
          </w:tcPr>
          <w:p w14:paraId="31A381F6" w14:textId="77777777" w:rsidR="00D25076" w:rsidRPr="0037573B" w:rsidRDefault="00D25076" w:rsidP="00D25076">
            <w:pPr>
              <w:spacing w:before="40" w:line="180" w:lineRule="exact"/>
              <w:ind w:left="142" w:right="142" w:hanging="108"/>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סך הכל אשראי לציבור - פעילות בחו"ל</w:t>
            </w:r>
          </w:p>
        </w:tc>
        <w:tc>
          <w:tcPr>
            <w:tcW w:w="283" w:type="pct"/>
            <w:vAlign w:val="bottom"/>
            <w:hideMark/>
          </w:tcPr>
          <w:p w14:paraId="68BD7FAC" w14:textId="77777777" w:rsidR="00D25076" w:rsidRPr="0037573B" w:rsidRDefault="00D25076" w:rsidP="00D25076">
            <w:pPr>
              <w:pBdr>
                <w:bottom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579" w:type="pct"/>
            <w:vAlign w:val="bottom"/>
            <w:hideMark/>
          </w:tcPr>
          <w:p w14:paraId="48D7EA5C" w14:textId="77777777" w:rsidR="00D25076" w:rsidRPr="0037573B" w:rsidRDefault="00D25076" w:rsidP="00D25076">
            <w:pPr>
              <w:pBdr>
                <w:bottom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652" w:type="pct"/>
            <w:vAlign w:val="bottom"/>
            <w:hideMark/>
          </w:tcPr>
          <w:p w14:paraId="1E46B573" w14:textId="77777777" w:rsidR="00D25076" w:rsidRPr="0037573B" w:rsidRDefault="00D25076" w:rsidP="00D25076">
            <w:pPr>
              <w:pBdr>
                <w:bottom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388" w:type="pct"/>
            <w:vAlign w:val="bottom"/>
            <w:hideMark/>
          </w:tcPr>
          <w:p w14:paraId="19ABB114" w14:textId="77777777" w:rsidR="00D25076" w:rsidRPr="0037573B" w:rsidRDefault="00D25076" w:rsidP="00D25076">
            <w:pPr>
              <w:pBdr>
                <w:bottom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347" w:type="pct"/>
            <w:vAlign w:val="bottom"/>
            <w:hideMark/>
          </w:tcPr>
          <w:p w14:paraId="6AB51DDC" w14:textId="77777777" w:rsidR="00D25076" w:rsidRPr="0037573B" w:rsidRDefault="00D25076" w:rsidP="00D25076">
            <w:pPr>
              <w:pBdr>
                <w:bottom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491" w:type="pct"/>
            <w:vAlign w:val="bottom"/>
          </w:tcPr>
          <w:p w14:paraId="414779B5" w14:textId="77777777" w:rsidR="00D25076" w:rsidRPr="0037573B" w:rsidRDefault="00D25076" w:rsidP="00D25076">
            <w:pPr>
              <w:pBdr>
                <w:bottom w:val="single" w:sz="4" w:space="1" w:color="auto"/>
              </w:pBdr>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r>
      <w:tr w:rsidR="00D25076" w:rsidRPr="0037573B" w14:paraId="712B49F1" w14:textId="77777777" w:rsidTr="00D25076">
        <w:trPr>
          <w:trHeight w:val="259"/>
        </w:trPr>
        <w:tc>
          <w:tcPr>
            <w:tcW w:w="474" w:type="pct"/>
          </w:tcPr>
          <w:p w14:paraId="32F29BD3" w14:textId="77777777" w:rsidR="00D25076" w:rsidRPr="0037573B" w:rsidRDefault="00D25076" w:rsidP="00D25076">
            <w:pPr>
              <w:rPr>
                <w:rFonts w:asciiTheme="minorBidi" w:hAnsiTheme="minorBidi" w:cstheme="minorBidi"/>
                <w:sz w:val="18"/>
                <w:szCs w:val="18"/>
                <w:rtl/>
              </w:rPr>
            </w:pPr>
          </w:p>
        </w:tc>
        <w:tc>
          <w:tcPr>
            <w:tcW w:w="190" w:type="pct"/>
            <w:tcBorders>
              <w:right w:val="single" w:sz="4" w:space="0" w:color="auto"/>
            </w:tcBorders>
            <w:vAlign w:val="bottom"/>
          </w:tcPr>
          <w:p w14:paraId="2050BD4E" w14:textId="77777777" w:rsidR="00D25076" w:rsidRPr="0037573B" w:rsidRDefault="00D25076" w:rsidP="00D25076">
            <w:pPr>
              <w:rPr>
                <w:rFonts w:asciiTheme="minorBidi" w:hAnsiTheme="minorBidi" w:cstheme="minorBidi"/>
                <w:sz w:val="18"/>
                <w:szCs w:val="18"/>
                <w:rtl/>
              </w:rPr>
            </w:pPr>
          </w:p>
        </w:tc>
        <w:tc>
          <w:tcPr>
            <w:tcW w:w="1596" w:type="pct"/>
            <w:tcBorders>
              <w:left w:val="single" w:sz="4" w:space="0" w:color="auto"/>
            </w:tcBorders>
            <w:vAlign w:val="bottom"/>
            <w:hideMark/>
          </w:tcPr>
          <w:p w14:paraId="547B1008" w14:textId="77777777" w:rsidR="00D25076" w:rsidRPr="0037573B" w:rsidRDefault="00D25076" w:rsidP="00D25076">
            <w:pP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סך הכל אשראי לציבור</w:t>
            </w:r>
          </w:p>
        </w:tc>
        <w:tc>
          <w:tcPr>
            <w:tcW w:w="283" w:type="pct"/>
            <w:vAlign w:val="bottom"/>
            <w:hideMark/>
          </w:tcPr>
          <w:p w14:paraId="1022F3AD" w14:textId="77777777" w:rsidR="00D25076" w:rsidRPr="0037573B" w:rsidRDefault="00D25076" w:rsidP="00D25076">
            <w:pPr>
              <w:pBdr>
                <w:bottom w:val="doub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579" w:type="pct"/>
            <w:vAlign w:val="bottom"/>
            <w:hideMark/>
          </w:tcPr>
          <w:p w14:paraId="27EAF57D" w14:textId="77777777" w:rsidR="00D25076" w:rsidRPr="0037573B" w:rsidRDefault="00D25076" w:rsidP="00D25076">
            <w:pPr>
              <w:pBdr>
                <w:bottom w:val="doub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652" w:type="pct"/>
            <w:vAlign w:val="bottom"/>
            <w:hideMark/>
          </w:tcPr>
          <w:p w14:paraId="7BD87461" w14:textId="77777777" w:rsidR="00D25076" w:rsidRPr="0037573B" w:rsidRDefault="00D25076" w:rsidP="00D25076">
            <w:pPr>
              <w:pBdr>
                <w:bottom w:val="doub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388" w:type="pct"/>
            <w:vAlign w:val="bottom"/>
            <w:hideMark/>
          </w:tcPr>
          <w:p w14:paraId="39F5A161" w14:textId="77777777" w:rsidR="00D25076" w:rsidRPr="0037573B" w:rsidRDefault="00D25076" w:rsidP="00D25076">
            <w:pPr>
              <w:pBdr>
                <w:bottom w:val="doub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347" w:type="pct"/>
            <w:vAlign w:val="bottom"/>
            <w:hideMark/>
          </w:tcPr>
          <w:p w14:paraId="1F3CCEB2" w14:textId="77777777" w:rsidR="00D25076" w:rsidRPr="0037573B" w:rsidRDefault="00D25076" w:rsidP="00D25076">
            <w:pPr>
              <w:pBdr>
                <w:bottom w:val="doub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r w:rsidRPr="0037573B">
              <w:rPr>
                <w:rFonts w:asciiTheme="minorBidi" w:hAnsiTheme="minorBidi" w:cstheme="minorBidi"/>
                <w:sz w:val="18"/>
                <w:szCs w:val="18"/>
                <w:vertAlign w:val="superscript"/>
                <w:rtl/>
              </w:rPr>
              <w:t xml:space="preserve"> </w:t>
            </w:r>
          </w:p>
        </w:tc>
        <w:tc>
          <w:tcPr>
            <w:tcW w:w="491" w:type="pct"/>
            <w:vAlign w:val="bottom"/>
          </w:tcPr>
          <w:p w14:paraId="7AD24EF0" w14:textId="77777777" w:rsidR="00D25076" w:rsidRPr="0037573B" w:rsidRDefault="00D25076" w:rsidP="00D25076">
            <w:pPr>
              <w:pBdr>
                <w:bottom w:val="double" w:sz="4" w:space="1" w:color="auto"/>
              </w:pBdr>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r w:rsidRPr="0037573B">
              <w:rPr>
                <w:rFonts w:asciiTheme="minorBidi" w:hAnsiTheme="minorBidi" w:cstheme="minorBidi"/>
                <w:sz w:val="18"/>
                <w:szCs w:val="18"/>
                <w:vertAlign w:val="superscript"/>
                <w:rtl/>
              </w:rPr>
              <w:t xml:space="preserve"> </w:t>
            </w:r>
          </w:p>
        </w:tc>
      </w:tr>
    </w:tbl>
    <w:p w14:paraId="0BB8B5A8" w14:textId="77777777" w:rsidR="0037573B" w:rsidRDefault="0037573B" w:rsidP="0037573B">
      <w:pPr>
        <w:jc w:val="left"/>
        <w:rPr>
          <w:rtl/>
        </w:rPr>
      </w:pPr>
    </w:p>
    <w:p w14:paraId="7D8AD6B5" w14:textId="77777777" w:rsidR="00D25076" w:rsidRDefault="0037573B" w:rsidP="0037573B">
      <w:pPr>
        <w:tabs>
          <w:tab w:val="left" w:pos="7947"/>
        </w:tabs>
        <w:bidi w:val="0"/>
        <w:jc w:val="left"/>
      </w:pPr>
      <w:r>
        <w:tab/>
      </w:r>
    </w:p>
    <w:tbl>
      <w:tblPr>
        <w:bidiVisual/>
        <w:tblW w:w="5000" w:type="pct"/>
        <w:tblInd w:w="17" w:type="dxa"/>
        <w:tblLook w:val="04A0" w:firstRow="1" w:lastRow="0" w:firstColumn="1" w:lastColumn="0" w:noHBand="0" w:noVBand="1"/>
      </w:tblPr>
      <w:tblGrid>
        <w:gridCol w:w="967"/>
        <w:gridCol w:w="388"/>
        <w:gridCol w:w="3258"/>
        <w:gridCol w:w="578"/>
        <w:gridCol w:w="1182"/>
        <w:gridCol w:w="1331"/>
        <w:gridCol w:w="792"/>
        <w:gridCol w:w="708"/>
        <w:gridCol w:w="1003"/>
      </w:tblGrid>
      <w:tr w:rsidR="00D25076" w:rsidRPr="0037573B" w14:paraId="079D9B86" w14:textId="77777777" w:rsidTr="0019446C">
        <w:trPr>
          <w:trHeight w:val="259"/>
        </w:trPr>
        <w:tc>
          <w:tcPr>
            <w:tcW w:w="474" w:type="pct"/>
          </w:tcPr>
          <w:p w14:paraId="525BD99C" w14:textId="77777777" w:rsidR="00D25076" w:rsidRPr="0037573B" w:rsidRDefault="00D25076" w:rsidP="0019446C">
            <w:pPr>
              <w:spacing w:before="60"/>
              <w:ind w:right="-142"/>
              <w:rPr>
                <w:rFonts w:asciiTheme="minorBidi" w:hAnsiTheme="minorBidi" w:cstheme="minorBidi"/>
                <w:spacing w:val="-6"/>
                <w:sz w:val="18"/>
                <w:szCs w:val="18"/>
                <w:rtl/>
              </w:rPr>
            </w:pPr>
          </w:p>
        </w:tc>
        <w:tc>
          <w:tcPr>
            <w:tcW w:w="190" w:type="pct"/>
            <w:tcBorders>
              <w:right w:val="single" w:sz="4" w:space="0" w:color="auto"/>
            </w:tcBorders>
            <w:vAlign w:val="bottom"/>
          </w:tcPr>
          <w:p w14:paraId="28B81941" w14:textId="77777777" w:rsidR="00D25076" w:rsidRPr="0037573B" w:rsidRDefault="00D25076" w:rsidP="0019446C">
            <w:pPr>
              <w:rPr>
                <w:rFonts w:asciiTheme="minorBidi" w:hAnsiTheme="minorBidi" w:cstheme="minorBidi"/>
                <w:sz w:val="18"/>
                <w:szCs w:val="18"/>
                <w:rtl/>
              </w:rPr>
            </w:pPr>
          </w:p>
        </w:tc>
        <w:tc>
          <w:tcPr>
            <w:tcW w:w="1596" w:type="pct"/>
            <w:tcBorders>
              <w:left w:val="single" w:sz="4" w:space="0" w:color="auto"/>
            </w:tcBorders>
            <w:vAlign w:val="bottom"/>
          </w:tcPr>
          <w:p w14:paraId="39AD9573" w14:textId="77777777" w:rsidR="00D25076" w:rsidRPr="0037573B" w:rsidRDefault="00D25076" w:rsidP="0019446C">
            <w:pPr>
              <w:spacing w:before="120"/>
              <w:ind w:left="142" w:hanging="142"/>
              <w:rPr>
                <w:rFonts w:asciiTheme="minorBidi" w:hAnsiTheme="minorBidi" w:cstheme="minorBidi"/>
                <w:color w:val="000000"/>
                <w:sz w:val="18"/>
                <w:szCs w:val="18"/>
                <w:rtl/>
                <w:lang w:eastAsia="he-IL"/>
              </w:rPr>
            </w:pPr>
          </w:p>
        </w:tc>
        <w:tc>
          <w:tcPr>
            <w:tcW w:w="2740" w:type="pct"/>
            <w:gridSpan w:val="6"/>
            <w:vAlign w:val="bottom"/>
          </w:tcPr>
          <w:p w14:paraId="534B3784" w14:textId="62463DE0" w:rsidR="00D25076" w:rsidRPr="00F75066" w:rsidRDefault="00D25076" w:rsidP="00F75066">
            <w:pPr>
              <w:jc w:val="center"/>
              <w:rPr>
                <w:rFonts w:asciiTheme="minorBidi" w:hAnsiTheme="minorBidi" w:cstheme="minorBidi"/>
                <w:b/>
                <w:bCs/>
                <w:sz w:val="18"/>
                <w:szCs w:val="18"/>
                <w:u w:val="single"/>
                <w:rtl/>
              </w:rPr>
            </w:pPr>
            <w:r w:rsidRPr="00F75066">
              <w:rPr>
                <w:rFonts w:asciiTheme="minorBidi" w:hAnsiTheme="minorBidi" w:cstheme="minorBidi" w:hint="cs"/>
                <w:b/>
                <w:bCs/>
                <w:sz w:val="18"/>
                <w:szCs w:val="18"/>
                <w:u w:val="single"/>
                <w:rtl/>
              </w:rPr>
              <w:t>שישה</w:t>
            </w:r>
            <w:r w:rsidRPr="00F75066">
              <w:rPr>
                <w:rFonts w:asciiTheme="minorBidi" w:hAnsiTheme="minorBidi" w:cstheme="minorBidi"/>
                <w:b/>
                <w:bCs/>
                <w:sz w:val="18"/>
                <w:szCs w:val="18"/>
                <w:u w:val="single"/>
                <w:rtl/>
              </w:rPr>
              <w:t xml:space="preserve"> חודשים שהסתיימו ביום 30 ביוני </w:t>
            </w:r>
            <w:r w:rsidRPr="00F75066">
              <w:rPr>
                <w:rFonts w:asciiTheme="minorBidi" w:hAnsiTheme="minorBidi" w:cstheme="minorBidi"/>
                <w:b/>
                <w:bCs/>
                <w:sz w:val="18"/>
                <w:szCs w:val="18"/>
                <w:u w:val="single"/>
                <w:rtl/>
              </w:rPr>
              <w:fldChar w:fldCharType="begin"/>
            </w:r>
            <w:r w:rsidRPr="00F75066">
              <w:rPr>
                <w:rFonts w:asciiTheme="minorBidi" w:hAnsiTheme="minorBidi" w:cstheme="minorBidi"/>
                <w:b/>
                <w:bCs/>
                <w:sz w:val="18"/>
                <w:szCs w:val="18"/>
                <w:u w:val="single"/>
                <w:rtl/>
              </w:rPr>
              <w:instrText xml:space="preserve"> = </w:instrText>
            </w:r>
            <w:r w:rsidRPr="00F75066">
              <w:rPr>
                <w:rFonts w:asciiTheme="minorBidi" w:hAnsiTheme="minorBidi" w:cstheme="minorBidi"/>
                <w:b/>
                <w:bCs/>
                <w:sz w:val="18"/>
                <w:szCs w:val="18"/>
                <w:u w:val="single"/>
              </w:rPr>
              <w:instrText>CY \* MERGEFORMAT</w:instrText>
            </w:r>
            <w:r w:rsidRPr="00F75066">
              <w:rPr>
                <w:rFonts w:asciiTheme="minorBidi" w:hAnsiTheme="minorBidi" w:cstheme="minorBidi"/>
                <w:b/>
                <w:bCs/>
                <w:sz w:val="18"/>
                <w:szCs w:val="18"/>
                <w:u w:val="single"/>
                <w:rtl/>
              </w:rPr>
              <w:instrText xml:space="preserve"> </w:instrText>
            </w:r>
            <w:r w:rsidRPr="00F75066">
              <w:rPr>
                <w:rFonts w:asciiTheme="minorBidi" w:hAnsiTheme="minorBidi" w:cstheme="minorBidi"/>
                <w:b/>
                <w:bCs/>
                <w:sz w:val="18"/>
                <w:szCs w:val="18"/>
                <w:u w:val="single"/>
                <w:rtl/>
              </w:rPr>
              <w:fldChar w:fldCharType="separate"/>
            </w:r>
            <w:r w:rsidRPr="00F75066">
              <w:rPr>
                <w:rFonts w:asciiTheme="minorBidi" w:hAnsiTheme="minorBidi" w:cstheme="minorBidi"/>
                <w:b/>
                <w:bCs/>
                <w:noProof/>
                <w:sz w:val="18"/>
                <w:szCs w:val="18"/>
                <w:u w:val="single"/>
                <w:rtl/>
              </w:rPr>
              <w:t>2024</w:t>
            </w:r>
            <w:r w:rsidRPr="00F75066">
              <w:rPr>
                <w:rFonts w:asciiTheme="minorBidi" w:hAnsiTheme="minorBidi" w:cstheme="minorBidi"/>
                <w:b/>
                <w:bCs/>
                <w:sz w:val="18"/>
                <w:szCs w:val="18"/>
                <w:u w:val="single"/>
                <w:rtl/>
              </w:rPr>
              <w:fldChar w:fldCharType="end"/>
            </w:r>
            <w:r w:rsidRPr="00F75066">
              <w:rPr>
                <w:rFonts w:asciiTheme="minorBidi" w:hAnsiTheme="minorBidi" w:cstheme="minorBidi"/>
                <w:b/>
                <w:bCs/>
                <w:color w:val="000000"/>
                <w:sz w:val="18"/>
                <w:szCs w:val="18"/>
                <w:u w:val="single"/>
                <w:rtl/>
                <w:lang w:eastAsia="he-IL"/>
              </w:rPr>
              <w:t xml:space="preserve">  </w:t>
            </w:r>
            <w:r w:rsidRPr="00F75066">
              <w:rPr>
                <w:rFonts w:asciiTheme="minorBidi" w:hAnsiTheme="minorBidi" w:cstheme="minorBidi"/>
                <w:color w:val="000000"/>
                <w:sz w:val="18"/>
                <w:szCs w:val="18"/>
                <w:u w:val="single"/>
                <w:rtl/>
                <w:lang w:eastAsia="he-IL"/>
              </w:rPr>
              <w:t>(בלתי מבוקר)</w:t>
            </w:r>
          </w:p>
        </w:tc>
      </w:tr>
      <w:tr w:rsidR="00D25076" w:rsidRPr="0037573B" w14:paraId="06B28573" w14:textId="77777777" w:rsidTr="0019446C">
        <w:trPr>
          <w:trHeight w:val="259"/>
        </w:trPr>
        <w:tc>
          <w:tcPr>
            <w:tcW w:w="474" w:type="pct"/>
          </w:tcPr>
          <w:p w14:paraId="44640B9E" w14:textId="77777777" w:rsidR="00D25076" w:rsidRPr="0037573B" w:rsidRDefault="00D25076" w:rsidP="0019446C">
            <w:pPr>
              <w:spacing w:before="60"/>
              <w:ind w:right="-142"/>
              <w:rPr>
                <w:rFonts w:asciiTheme="minorBidi" w:hAnsiTheme="minorBidi" w:cstheme="minorBidi"/>
                <w:spacing w:val="-6"/>
                <w:sz w:val="18"/>
                <w:szCs w:val="18"/>
                <w:rtl/>
              </w:rPr>
            </w:pPr>
          </w:p>
        </w:tc>
        <w:tc>
          <w:tcPr>
            <w:tcW w:w="190" w:type="pct"/>
            <w:tcBorders>
              <w:right w:val="single" w:sz="4" w:space="0" w:color="auto"/>
            </w:tcBorders>
            <w:vAlign w:val="bottom"/>
          </w:tcPr>
          <w:p w14:paraId="4D1E7F1E" w14:textId="77777777" w:rsidR="00D25076" w:rsidRPr="0037573B" w:rsidRDefault="00D25076" w:rsidP="0019446C">
            <w:pPr>
              <w:rPr>
                <w:rFonts w:asciiTheme="minorBidi" w:hAnsiTheme="minorBidi" w:cstheme="minorBidi"/>
                <w:sz w:val="18"/>
                <w:szCs w:val="18"/>
                <w:rtl/>
              </w:rPr>
            </w:pPr>
          </w:p>
        </w:tc>
        <w:tc>
          <w:tcPr>
            <w:tcW w:w="1596" w:type="pct"/>
            <w:tcBorders>
              <w:left w:val="single" w:sz="4" w:space="0" w:color="auto"/>
            </w:tcBorders>
            <w:vAlign w:val="bottom"/>
          </w:tcPr>
          <w:p w14:paraId="25FF901F" w14:textId="77777777" w:rsidR="00D25076" w:rsidRPr="0037573B" w:rsidRDefault="00D25076" w:rsidP="0019446C">
            <w:pPr>
              <w:spacing w:before="120"/>
              <w:ind w:left="142" w:hanging="142"/>
              <w:rPr>
                <w:rFonts w:asciiTheme="minorBidi" w:hAnsiTheme="minorBidi" w:cstheme="minorBidi"/>
                <w:color w:val="000000"/>
                <w:sz w:val="18"/>
                <w:szCs w:val="18"/>
                <w:rtl/>
                <w:lang w:eastAsia="he-IL"/>
              </w:rPr>
            </w:pPr>
          </w:p>
        </w:tc>
        <w:tc>
          <w:tcPr>
            <w:tcW w:w="2249" w:type="pct"/>
            <w:gridSpan w:val="5"/>
            <w:vAlign w:val="bottom"/>
          </w:tcPr>
          <w:p w14:paraId="5848B027" w14:textId="77777777" w:rsidR="00D25076" w:rsidRPr="0037573B" w:rsidRDefault="00D25076" w:rsidP="0019446C">
            <w:pPr>
              <w:pBdr>
                <w:bottom w:val="single" w:sz="6" w:space="1" w:color="auto"/>
              </w:pBdr>
              <w:jc w:val="center"/>
              <w:rPr>
                <w:rFonts w:asciiTheme="minorBidi" w:hAnsiTheme="minorBidi" w:cstheme="minorBidi"/>
                <w:b/>
                <w:bCs/>
                <w:sz w:val="18"/>
                <w:szCs w:val="18"/>
                <w:rtl/>
              </w:rPr>
            </w:pPr>
            <w:r>
              <w:rPr>
                <w:rFonts w:asciiTheme="minorBidi" w:hAnsiTheme="minorBidi" w:cstheme="minorBidi" w:hint="cs"/>
                <w:b/>
                <w:bCs/>
                <w:sz w:val="18"/>
                <w:szCs w:val="18"/>
                <w:rtl/>
              </w:rPr>
              <w:t>יתרת חוב רשומה</w:t>
            </w:r>
          </w:p>
        </w:tc>
        <w:tc>
          <w:tcPr>
            <w:tcW w:w="491" w:type="pct"/>
            <w:vAlign w:val="bottom"/>
          </w:tcPr>
          <w:p w14:paraId="779ABF87" w14:textId="77777777" w:rsidR="00D25076" w:rsidRPr="0037573B" w:rsidRDefault="00D25076" w:rsidP="0019446C">
            <w:pPr>
              <w:jc w:val="center"/>
              <w:rPr>
                <w:rFonts w:asciiTheme="minorBidi" w:hAnsiTheme="minorBidi" w:cstheme="minorBidi"/>
                <w:b/>
                <w:bCs/>
                <w:sz w:val="18"/>
                <w:szCs w:val="18"/>
                <w:rtl/>
              </w:rPr>
            </w:pPr>
          </w:p>
        </w:tc>
      </w:tr>
      <w:tr w:rsidR="00D25076" w:rsidRPr="0037573B" w14:paraId="2EA80407" w14:textId="77777777" w:rsidTr="0019446C">
        <w:trPr>
          <w:trHeight w:val="259"/>
        </w:trPr>
        <w:tc>
          <w:tcPr>
            <w:tcW w:w="474" w:type="pct"/>
          </w:tcPr>
          <w:p w14:paraId="09B6335E" w14:textId="77777777" w:rsidR="00D25076" w:rsidRPr="0037573B" w:rsidRDefault="00D25076" w:rsidP="0019446C">
            <w:pPr>
              <w:rPr>
                <w:rFonts w:asciiTheme="minorBidi" w:hAnsiTheme="minorBidi" w:cstheme="minorBidi"/>
                <w:sz w:val="18"/>
                <w:szCs w:val="18"/>
                <w:rtl/>
              </w:rPr>
            </w:pPr>
          </w:p>
        </w:tc>
        <w:tc>
          <w:tcPr>
            <w:tcW w:w="190" w:type="pct"/>
            <w:tcBorders>
              <w:right w:val="single" w:sz="4" w:space="0" w:color="auto"/>
            </w:tcBorders>
            <w:vAlign w:val="bottom"/>
          </w:tcPr>
          <w:p w14:paraId="2DDD6588" w14:textId="77777777" w:rsidR="00D25076" w:rsidRPr="0037573B" w:rsidRDefault="00D25076" w:rsidP="0019446C">
            <w:pPr>
              <w:rPr>
                <w:rFonts w:asciiTheme="minorBidi" w:hAnsiTheme="minorBidi" w:cstheme="minorBidi"/>
                <w:sz w:val="18"/>
                <w:szCs w:val="18"/>
                <w:rtl/>
              </w:rPr>
            </w:pPr>
          </w:p>
        </w:tc>
        <w:tc>
          <w:tcPr>
            <w:tcW w:w="1596" w:type="pct"/>
            <w:tcBorders>
              <w:left w:val="single" w:sz="4" w:space="0" w:color="auto"/>
            </w:tcBorders>
            <w:vAlign w:val="bottom"/>
          </w:tcPr>
          <w:p w14:paraId="218CD7B8" w14:textId="77777777" w:rsidR="00D25076" w:rsidRPr="0037573B" w:rsidRDefault="00D25076" w:rsidP="0019446C">
            <w:pPr>
              <w:ind w:left="144" w:hanging="144"/>
              <w:rPr>
                <w:rFonts w:asciiTheme="minorBidi" w:hAnsiTheme="minorBidi" w:cstheme="minorBidi"/>
                <w:color w:val="000000"/>
                <w:sz w:val="18"/>
                <w:szCs w:val="18"/>
                <w:rtl/>
                <w:lang w:eastAsia="he-IL"/>
              </w:rPr>
            </w:pPr>
          </w:p>
        </w:tc>
        <w:tc>
          <w:tcPr>
            <w:tcW w:w="862" w:type="pct"/>
            <w:gridSpan w:val="2"/>
            <w:vAlign w:val="bottom"/>
            <w:hideMark/>
          </w:tcPr>
          <w:p w14:paraId="333C61FF" w14:textId="77777777" w:rsidR="00D25076" w:rsidRPr="0037573B" w:rsidRDefault="00D25076" w:rsidP="0019446C">
            <w:pPr>
              <w:pBdr>
                <w:bottom w:val="single" w:sz="4"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בעייתי</w:t>
            </w:r>
          </w:p>
        </w:tc>
        <w:tc>
          <w:tcPr>
            <w:tcW w:w="1040" w:type="pct"/>
            <w:gridSpan w:val="2"/>
            <w:vAlign w:val="bottom"/>
          </w:tcPr>
          <w:p w14:paraId="2E88374C" w14:textId="77777777" w:rsidR="00D25076" w:rsidRPr="0037573B" w:rsidRDefault="00D25076" w:rsidP="0019446C">
            <w:pPr>
              <w:pBdr>
                <w:bottom w:val="single" w:sz="4"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לא בעייתי</w:t>
            </w:r>
          </w:p>
        </w:tc>
        <w:tc>
          <w:tcPr>
            <w:tcW w:w="838" w:type="pct"/>
            <w:gridSpan w:val="2"/>
            <w:vAlign w:val="bottom"/>
          </w:tcPr>
          <w:p w14:paraId="3ABE3946" w14:textId="77777777" w:rsidR="00D25076" w:rsidRPr="0037573B" w:rsidRDefault="00D25076" w:rsidP="0019446C">
            <w:pPr>
              <w:jc w:val="center"/>
              <w:rPr>
                <w:rFonts w:asciiTheme="minorBidi" w:hAnsiTheme="minorBidi" w:cstheme="minorBidi"/>
                <w:b/>
                <w:bCs/>
                <w:sz w:val="18"/>
                <w:szCs w:val="18"/>
                <w:rtl/>
              </w:rPr>
            </w:pPr>
          </w:p>
        </w:tc>
      </w:tr>
      <w:tr w:rsidR="00D25076" w:rsidRPr="0037573B" w14:paraId="35EE61B2" w14:textId="77777777" w:rsidTr="00E96B34">
        <w:trPr>
          <w:trHeight w:val="680"/>
        </w:trPr>
        <w:tc>
          <w:tcPr>
            <w:tcW w:w="474" w:type="pct"/>
          </w:tcPr>
          <w:p w14:paraId="7EAF52F6" w14:textId="77777777" w:rsidR="00D25076" w:rsidRPr="0037573B" w:rsidRDefault="00D25076" w:rsidP="0019446C">
            <w:pPr>
              <w:rPr>
                <w:rFonts w:asciiTheme="minorBidi" w:hAnsiTheme="minorBidi" w:cstheme="minorBidi"/>
                <w:sz w:val="18"/>
                <w:szCs w:val="18"/>
                <w:rtl/>
              </w:rPr>
            </w:pPr>
          </w:p>
        </w:tc>
        <w:tc>
          <w:tcPr>
            <w:tcW w:w="190" w:type="pct"/>
            <w:tcBorders>
              <w:right w:val="single" w:sz="4" w:space="0" w:color="auto"/>
            </w:tcBorders>
            <w:vAlign w:val="bottom"/>
          </w:tcPr>
          <w:p w14:paraId="270EA014" w14:textId="77777777" w:rsidR="00D25076" w:rsidRPr="0037573B" w:rsidRDefault="00D25076" w:rsidP="0019446C">
            <w:pPr>
              <w:rPr>
                <w:rFonts w:asciiTheme="minorBidi" w:hAnsiTheme="minorBidi" w:cstheme="minorBidi"/>
                <w:sz w:val="18"/>
                <w:szCs w:val="18"/>
                <w:rtl/>
              </w:rPr>
            </w:pPr>
          </w:p>
        </w:tc>
        <w:tc>
          <w:tcPr>
            <w:tcW w:w="1596" w:type="pct"/>
            <w:tcBorders>
              <w:left w:val="single" w:sz="4" w:space="0" w:color="auto"/>
            </w:tcBorders>
            <w:vAlign w:val="bottom"/>
          </w:tcPr>
          <w:p w14:paraId="771FEAB7" w14:textId="77777777" w:rsidR="00D25076" w:rsidRPr="0037573B" w:rsidRDefault="00D25076" w:rsidP="0019446C">
            <w:pPr>
              <w:ind w:left="144" w:hanging="144"/>
              <w:rPr>
                <w:rFonts w:asciiTheme="minorBidi" w:hAnsiTheme="minorBidi" w:cstheme="minorBidi"/>
                <w:color w:val="000000"/>
                <w:sz w:val="18"/>
                <w:szCs w:val="18"/>
                <w:rtl/>
                <w:lang w:eastAsia="he-IL"/>
              </w:rPr>
            </w:pPr>
          </w:p>
        </w:tc>
        <w:tc>
          <w:tcPr>
            <w:tcW w:w="283" w:type="pct"/>
            <w:vAlign w:val="bottom"/>
            <w:hideMark/>
          </w:tcPr>
          <w:p w14:paraId="1E7C6B50" w14:textId="77777777" w:rsidR="00D25076" w:rsidRPr="0037573B" w:rsidRDefault="00D25076" w:rsidP="0019446C">
            <w:pPr>
              <w:pBdr>
                <w:bottom w:val="single" w:sz="6"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לא צובר</w:t>
            </w:r>
          </w:p>
        </w:tc>
        <w:tc>
          <w:tcPr>
            <w:tcW w:w="579" w:type="pct"/>
            <w:vAlign w:val="bottom"/>
            <w:hideMark/>
          </w:tcPr>
          <w:p w14:paraId="262DA738" w14:textId="77777777" w:rsidR="00D25076" w:rsidRPr="0037573B" w:rsidRDefault="00D25076" w:rsidP="0019446C">
            <w:pPr>
              <w:pBdr>
                <w:bottom w:val="single" w:sz="6"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צובר הכנסות ריבית</w:t>
            </w:r>
          </w:p>
        </w:tc>
        <w:tc>
          <w:tcPr>
            <w:tcW w:w="652" w:type="pct"/>
            <w:vAlign w:val="bottom"/>
            <w:hideMark/>
          </w:tcPr>
          <w:p w14:paraId="4074C9F0" w14:textId="77777777" w:rsidR="00D25076" w:rsidRPr="0037573B" w:rsidRDefault="00D25076" w:rsidP="0019446C">
            <w:pPr>
              <w:pBdr>
                <w:bottom w:val="single" w:sz="6"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בפיגור של</w:t>
            </w:r>
            <w:r w:rsidRPr="0037573B">
              <w:rPr>
                <w:rFonts w:asciiTheme="minorBidi" w:hAnsiTheme="minorBidi" w:cstheme="minorBidi"/>
                <w:b/>
                <w:bCs/>
                <w:sz w:val="18"/>
                <w:szCs w:val="18"/>
              </w:rPr>
              <w:t xml:space="preserve"> </w:t>
            </w:r>
            <w:r w:rsidRPr="0037573B">
              <w:rPr>
                <w:rFonts w:asciiTheme="minorBidi" w:hAnsiTheme="minorBidi" w:cstheme="minorBidi"/>
                <w:b/>
                <w:bCs/>
                <w:sz w:val="18"/>
                <w:szCs w:val="18"/>
                <w:rtl/>
              </w:rPr>
              <w:t>30</w:t>
            </w:r>
          </w:p>
          <w:p w14:paraId="5B73D7AC" w14:textId="77777777" w:rsidR="00D25076" w:rsidRPr="0037573B" w:rsidRDefault="00D25076" w:rsidP="0019446C">
            <w:pPr>
              <w:pBdr>
                <w:bottom w:val="single" w:sz="6"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ימים או יותר</w:t>
            </w:r>
          </w:p>
        </w:tc>
        <w:tc>
          <w:tcPr>
            <w:tcW w:w="388" w:type="pct"/>
            <w:vAlign w:val="bottom"/>
            <w:hideMark/>
          </w:tcPr>
          <w:p w14:paraId="0625D960" w14:textId="77777777" w:rsidR="00D25076" w:rsidRPr="0037573B" w:rsidRDefault="00D25076" w:rsidP="0019446C">
            <w:pPr>
              <w:pBdr>
                <w:bottom w:val="single" w:sz="6"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לא</w:t>
            </w:r>
          </w:p>
          <w:p w14:paraId="7510DCF6" w14:textId="77777777" w:rsidR="00D25076" w:rsidRPr="0037573B" w:rsidRDefault="00D25076" w:rsidP="0019446C">
            <w:pPr>
              <w:pBdr>
                <w:bottom w:val="single" w:sz="6"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בפיגור</w:t>
            </w:r>
          </w:p>
        </w:tc>
        <w:tc>
          <w:tcPr>
            <w:tcW w:w="347" w:type="pct"/>
            <w:vAlign w:val="bottom"/>
            <w:hideMark/>
          </w:tcPr>
          <w:p w14:paraId="22F9C633" w14:textId="77777777" w:rsidR="00D25076" w:rsidRPr="0037573B" w:rsidRDefault="00D25076" w:rsidP="0019446C">
            <w:pPr>
              <w:pBdr>
                <w:bottom w:val="single" w:sz="6"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סך</w:t>
            </w:r>
          </w:p>
          <w:p w14:paraId="63355DAE" w14:textId="77777777" w:rsidR="00D25076" w:rsidRPr="0037573B" w:rsidRDefault="00D25076" w:rsidP="0019446C">
            <w:pPr>
              <w:pBdr>
                <w:bottom w:val="single" w:sz="6"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 xml:space="preserve">הכל </w:t>
            </w:r>
          </w:p>
        </w:tc>
        <w:tc>
          <w:tcPr>
            <w:tcW w:w="491" w:type="pct"/>
            <w:vAlign w:val="bottom"/>
          </w:tcPr>
          <w:p w14:paraId="1157BD2C" w14:textId="77777777" w:rsidR="00D25076" w:rsidRPr="0037573B" w:rsidRDefault="00D25076" w:rsidP="0019446C">
            <w:pPr>
              <w:pBdr>
                <w:bottom w:val="single" w:sz="4" w:space="1" w:color="auto"/>
              </w:pBdr>
              <w:jc w:val="center"/>
              <w:rPr>
                <w:rFonts w:asciiTheme="minorBidi" w:hAnsiTheme="minorBidi" w:cstheme="minorBidi"/>
                <w:b/>
                <w:bCs/>
                <w:sz w:val="18"/>
                <w:szCs w:val="18"/>
                <w:rtl/>
              </w:rPr>
            </w:pPr>
            <w:r w:rsidRPr="0037573B">
              <w:rPr>
                <w:rFonts w:asciiTheme="minorBidi" w:hAnsiTheme="minorBidi" w:cstheme="minorBidi"/>
                <w:b/>
                <w:bCs/>
                <w:sz w:val="18"/>
                <w:szCs w:val="18"/>
                <w:rtl/>
              </w:rPr>
              <w:t>מחיקות חשבונאיות</w:t>
            </w:r>
          </w:p>
          <w:p w14:paraId="6E00F61B" w14:textId="726925C4" w:rsidR="00D25076" w:rsidRPr="0037573B" w:rsidRDefault="00D25076" w:rsidP="0019446C">
            <w:pPr>
              <w:pBdr>
                <w:bottom w:val="single" w:sz="4" w:space="1" w:color="auto"/>
              </w:pBdr>
              <w:jc w:val="center"/>
              <w:rPr>
                <w:rFonts w:asciiTheme="minorBidi" w:hAnsiTheme="minorBidi" w:cstheme="minorBidi"/>
                <w:b/>
                <w:bCs/>
                <w:sz w:val="18"/>
                <w:szCs w:val="18"/>
                <w:rtl/>
              </w:rPr>
            </w:pPr>
            <w:r>
              <w:rPr>
                <w:rFonts w:asciiTheme="minorBidi" w:hAnsiTheme="minorBidi" w:cstheme="minorBidi" w:hint="cs"/>
                <w:b/>
                <w:bCs/>
                <w:sz w:val="18"/>
                <w:szCs w:val="18"/>
                <w:rtl/>
              </w:rPr>
              <w:t>1-6</w:t>
            </w:r>
            <w:r w:rsidRPr="0037573B">
              <w:rPr>
                <w:rFonts w:asciiTheme="minorBidi" w:hAnsiTheme="minorBidi" w:cstheme="minorBidi"/>
                <w:b/>
                <w:bCs/>
                <w:sz w:val="18"/>
                <w:szCs w:val="18"/>
                <w:rtl/>
              </w:rPr>
              <w:t>/</w:t>
            </w:r>
            <w:r w:rsidRPr="0037573B">
              <w:rPr>
                <w:rFonts w:asciiTheme="minorBidi" w:hAnsiTheme="minorBidi" w:cstheme="minorBidi"/>
                <w:b/>
                <w:bCs/>
                <w:sz w:val="18"/>
                <w:szCs w:val="18"/>
                <w:rtl/>
              </w:rPr>
              <w:fldChar w:fldCharType="begin"/>
            </w:r>
            <w:r w:rsidRPr="0037573B">
              <w:rPr>
                <w:rFonts w:asciiTheme="minorBidi" w:hAnsiTheme="minorBidi" w:cstheme="minorBidi"/>
                <w:b/>
                <w:bCs/>
                <w:sz w:val="18"/>
                <w:szCs w:val="18"/>
                <w:rtl/>
              </w:rPr>
              <w:instrText xml:space="preserve"> = </w:instrText>
            </w:r>
            <w:r w:rsidRPr="0037573B">
              <w:rPr>
                <w:rFonts w:asciiTheme="minorBidi" w:hAnsiTheme="minorBidi" w:cstheme="minorBidi"/>
                <w:b/>
                <w:bCs/>
                <w:sz w:val="18"/>
                <w:szCs w:val="18"/>
              </w:rPr>
              <w:instrText>CY \* MERGEFORMAT</w:instrText>
            </w:r>
            <w:r w:rsidRPr="0037573B">
              <w:rPr>
                <w:rFonts w:asciiTheme="minorBidi" w:hAnsiTheme="minorBidi" w:cstheme="minorBidi"/>
                <w:b/>
                <w:bCs/>
                <w:sz w:val="18"/>
                <w:szCs w:val="18"/>
                <w:rtl/>
              </w:rPr>
              <w:instrText xml:space="preserve"> </w:instrText>
            </w:r>
            <w:r w:rsidRPr="0037573B">
              <w:rPr>
                <w:rFonts w:asciiTheme="minorBidi" w:hAnsiTheme="minorBidi" w:cstheme="minorBidi"/>
                <w:b/>
                <w:bCs/>
                <w:sz w:val="18"/>
                <w:szCs w:val="18"/>
                <w:rtl/>
              </w:rPr>
              <w:fldChar w:fldCharType="separate"/>
            </w:r>
            <w:r w:rsidRPr="0037573B">
              <w:rPr>
                <w:rFonts w:asciiTheme="minorBidi" w:hAnsiTheme="minorBidi" w:cstheme="minorBidi"/>
                <w:b/>
                <w:bCs/>
                <w:noProof/>
                <w:sz w:val="18"/>
                <w:szCs w:val="18"/>
                <w:rtl/>
              </w:rPr>
              <w:t>2024</w:t>
            </w:r>
            <w:r w:rsidRPr="0037573B">
              <w:rPr>
                <w:rFonts w:asciiTheme="minorBidi" w:hAnsiTheme="minorBidi" w:cstheme="minorBidi"/>
                <w:b/>
                <w:bCs/>
                <w:sz w:val="18"/>
                <w:szCs w:val="18"/>
                <w:rtl/>
              </w:rPr>
              <w:fldChar w:fldCharType="end"/>
            </w:r>
            <w:r w:rsidRPr="0037573B">
              <w:rPr>
                <w:rFonts w:asciiTheme="minorBidi" w:hAnsiTheme="minorBidi" w:cstheme="minorBidi"/>
                <w:b/>
                <w:bCs/>
                <w:color w:val="000000"/>
                <w:sz w:val="18"/>
                <w:szCs w:val="18"/>
                <w:rtl/>
                <w:lang w:eastAsia="he-IL"/>
              </w:rPr>
              <w:t xml:space="preserve">  </w:t>
            </w:r>
          </w:p>
        </w:tc>
      </w:tr>
      <w:tr w:rsidR="00D25076" w:rsidRPr="0037573B" w14:paraId="61920762" w14:textId="77777777" w:rsidTr="0019446C">
        <w:trPr>
          <w:trHeight w:val="259"/>
        </w:trPr>
        <w:tc>
          <w:tcPr>
            <w:tcW w:w="474" w:type="pct"/>
          </w:tcPr>
          <w:p w14:paraId="1526B51F" w14:textId="77777777" w:rsidR="00D25076" w:rsidRPr="0037573B" w:rsidRDefault="00D25076" w:rsidP="0019446C">
            <w:pPr>
              <w:rPr>
                <w:rFonts w:asciiTheme="minorBidi" w:hAnsiTheme="minorBidi" w:cstheme="minorBidi"/>
                <w:sz w:val="18"/>
                <w:szCs w:val="18"/>
                <w:rtl/>
              </w:rPr>
            </w:pPr>
          </w:p>
        </w:tc>
        <w:tc>
          <w:tcPr>
            <w:tcW w:w="190" w:type="pct"/>
            <w:tcBorders>
              <w:right w:val="single" w:sz="4" w:space="0" w:color="auto"/>
            </w:tcBorders>
            <w:vAlign w:val="bottom"/>
          </w:tcPr>
          <w:p w14:paraId="08FF165F" w14:textId="77777777" w:rsidR="00D25076" w:rsidRPr="0037573B" w:rsidRDefault="00D25076" w:rsidP="0019446C">
            <w:pPr>
              <w:rPr>
                <w:rFonts w:asciiTheme="minorBidi" w:hAnsiTheme="minorBidi" w:cstheme="minorBidi"/>
                <w:sz w:val="18"/>
                <w:szCs w:val="18"/>
                <w:rtl/>
              </w:rPr>
            </w:pPr>
          </w:p>
        </w:tc>
        <w:tc>
          <w:tcPr>
            <w:tcW w:w="1596" w:type="pct"/>
            <w:tcBorders>
              <w:left w:val="single" w:sz="4" w:space="0" w:color="auto"/>
            </w:tcBorders>
            <w:vAlign w:val="bottom"/>
            <w:hideMark/>
          </w:tcPr>
          <w:p w14:paraId="3D09DF27" w14:textId="77777777" w:rsidR="00D25076" w:rsidRPr="0037573B" w:rsidRDefault="00D25076" w:rsidP="0019446C">
            <w:pPr>
              <w:ind w:left="34"/>
              <w:rPr>
                <w:rFonts w:asciiTheme="minorBidi" w:hAnsiTheme="minorBidi" w:cstheme="minorBidi"/>
                <w:b/>
                <w:bCs/>
                <w:color w:val="000000"/>
                <w:sz w:val="18"/>
                <w:szCs w:val="18"/>
                <w:u w:val="single"/>
                <w:rtl/>
                <w:lang w:eastAsia="he-IL"/>
              </w:rPr>
            </w:pPr>
            <w:r w:rsidRPr="0037573B">
              <w:rPr>
                <w:rFonts w:asciiTheme="minorBidi" w:hAnsiTheme="minorBidi" w:cstheme="minorBidi"/>
                <w:b/>
                <w:bCs/>
                <w:color w:val="000000"/>
                <w:sz w:val="18"/>
                <w:szCs w:val="18"/>
                <w:u w:val="single"/>
                <w:rtl/>
                <w:lang w:eastAsia="he-IL"/>
              </w:rPr>
              <w:t>פעילות לווים בישראל</w:t>
            </w:r>
          </w:p>
        </w:tc>
        <w:tc>
          <w:tcPr>
            <w:tcW w:w="283" w:type="pct"/>
            <w:vAlign w:val="bottom"/>
          </w:tcPr>
          <w:p w14:paraId="3EC2AE30" w14:textId="77777777" w:rsidR="00D25076" w:rsidRPr="0037573B" w:rsidRDefault="00D25076" w:rsidP="0019446C">
            <w:pPr>
              <w:rPr>
                <w:rFonts w:asciiTheme="minorBidi" w:hAnsiTheme="minorBidi" w:cstheme="minorBidi"/>
                <w:sz w:val="18"/>
                <w:szCs w:val="18"/>
                <w:rtl/>
              </w:rPr>
            </w:pPr>
          </w:p>
        </w:tc>
        <w:tc>
          <w:tcPr>
            <w:tcW w:w="579" w:type="pct"/>
            <w:vAlign w:val="bottom"/>
          </w:tcPr>
          <w:p w14:paraId="4DA14B2B" w14:textId="77777777" w:rsidR="00D25076" w:rsidRPr="0037573B" w:rsidRDefault="00D25076" w:rsidP="0019446C">
            <w:pPr>
              <w:rPr>
                <w:rFonts w:asciiTheme="minorBidi" w:hAnsiTheme="minorBidi" w:cstheme="minorBidi"/>
                <w:sz w:val="18"/>
                <w:szCs w:val="18"/>
                <w:rtl/>
              </w:rPr>
            </w:pPr>
          </w:p>
        </w:tc>
        <w:tc>
          <w:tcPr>
            <w:tcW w:w="652" w:type="pct"/>
            <w:vAlign w:val="bottom"/>
          </w:tcPr>
          <w:p w14:paraId="3FCD8165" w14:textId="77777777" w:rsidR="00D25076" w:rsidRPr="0037573B" w:rsidRDefault="00D25076" w:rsidP="0019446C">
            <w:pPr>
              <w:rPr>
                <w:rFonts w:asciiTheme="minorBidi" w:hAnsiTheme="minorBidi" w:cstheme="minorBidi"/>
                <w:sz w:val="18"/>
                <w:szCs w:val="18"/>
                <w:rtl/>
              </w:rPr>
            </w:pPr>
          </w:p>
        </w:tc>
        <w:tc>
          <w:tcPr>
            <w:tcW w:w="388" w:type="pct"/>
            <w:vAlign w:val="bottom"/>
          </w:tcPr>
          <w:p w14:paraId="49E9D230" w14:textId="77777777" w:rsidR="00D25076" w:rsidRPr="0037573B" w:rsidRDefault="00D25076" w:rsidP="0019446C">
            <w:pPr>
              <w:rPr>
                <w:rFonts w:asciiTheme="minorBidi" w:hAnsiTheme="minorBidi" w:cstheme="minorBidi"/>
                <w:sz w:val="18"/>
                <w:szCs w:val="18"/>
                <w:rtl/>
              </w:rPr>
            </w:pPr>
          </w:p>
        </w:tc>
        <w:tc>
          <w:tcPr>
            <w:tcW w:w="347" w:type="pct"/>
            <w:vAlign w:val="bottom"/>
          </w:tcPr>
          <w:p w14:paraId="2A3154C1" w14:textId="77777777" w:rsidR="00D25076" w:rsidRPr="0037573B" w:rsidRDefault="00D25076" w:rsidP="0019446C">
            <w:pPr>
              <w:rPr>
                <w:rFonts w:asciiTheme="minorBidi" w:hAnsiTheme="minorBidi" w:cstheme="minorBidi"/>
                <w:sz w:val="18"/>
                <w:szCs w:val="18"/>
                <w:rtl/>
              </w:rPr>
            </w:pPr>
          </w:p>
        </w:tc>
        <w:tc>
          <w:tcPr>
            <w:tcW w:w="491" w:type="pct"/>
            <w:vAlign w:val="bottom"/>
          </w:tcPr>
          <w:p w14:paraId="418D375F" w14:textId="77777777" w:rsidR="00D25076" w:rsidRPr="0037573B" w:rsidRDefault="00D25076" w:rsidP="0019446C">
            <w:pPr>
              <w:rPr>
                <w:rFonts w:asciiTheme="minorBidi" w:hAnsiTheme="minorBidi" w:cstheme="minorBidi"/>
                <w:sz w:val="18"/>
                <w:szCs w:val="18"/>
                <w:rtl/>
              </w:rPr>
            </w:pPr>
          </w:p>
        </w:tc>
      </w:tr>
      <w:tr w:rsidR="00D25076" w:rsidRPr="0037573B" w14:paraId="4DC798EF" w14:textId="77777777" w:rsidTr="0019446C">
        <w:trPr>
          <w:trHeight w:val="259"/>
        </w:trPr>
        <w:tc>
          <w:tcPr>
            <w:tcW w:w="474" w:type="pct"/>
          </w:tcPr>
          <w:p w14:paraId="3A322C91" w14:textId="77777777" w:rsidR="00D25076" w:rsidRPr="0037573B" w:rsidRDefault="00D25076" w:rsidP="0019446C">
            <w:pPr>
              <w:rPr>
                <w:rFonts w:asciiTheme="minorBidi" w:hAnsiTheme="minorBidi" w:cstheme="minorBidi"/>
                <w:sz w:val="18"/>
                <w:szCs w:val="18"/>
                <w:rtl/>
              </w:rPr>
            </w:pPr>
          </w:p>
        </w:tc>
        <w:tc>
          <w:tcPr>
            <w:tcW w:w="190" w:type="pct"/>
            <w:tcBorders>
              <w:right w:val="single" w:sz="4" w:space="0" w:color="auto"/>
            </w:tcBorders>
            <w:vAlign w:val="bottom"/>
          </w:tcPr>
          <w:p w14:paraId="31E49B15" w14:textId="77777777" w:rsidR="00D25076" w:rsidRPr="0037573B" w:rsidRDefault="00D25076" w:rsidP="0019446C">
            <w:pPr>
              <w:rPr>
                <w:rFonts w:asciiTheme="minorBidi" w:hAnsiTheme="minorBidi" w:cstheme="minorBidi"/>
                <w:sz w:val="18"/>
                <w:szCs w:val="18"/>
                <w:rtl/>
              </w:rPr>
            </w:pPr>
          </w:p>
        </w:tc>
        <w:tc>
          <w:tcPr>
            <w:tcW w:w="1596" w:type="pct"/>
            <w:tcBorders>
              <w:left w:val="single" w:sz="4" w:space="0" w:color="auto"/>
            </w:tcBorders>
            <w:vAlign w:val="bottom"/>
            <w:hideMark/>
          </w:tcPr>
          <w:p w14:paraId="2A1E3764" w14:textId="77777777" w:rsidR="00D25076" w:rsidRPr="0037573B" w:rsidRDefault="00D25076" w:rsidP="0019446C">
            <w:pPr>
              <w:ind w:left="34"/>
              <w:rPr>
                <w:rFonts w:asciiTheme="minorBidi" w:hAnsiTheme="minorBidi" w:cstheme="minorBidi"/>
                <w:color w:val="000000"/>
                <w:sz w:val="18"/>
                <w:szCs w:val="18"/>
                <w:rtl/>
                <w:lang w:eastAsia="he-IL"/>
              </w:rPr>
            </w:pPr>
            <w:r w:rsidRPr="0037573B">
              <w:rPr>
                <w:rFonts w:asciiTheme="minorBidi" w:hAnsiTheme="minorBidi" w:cstheme="minorBidi"/>
                <w:color w:val="000000"/>
                <w:sz w:val="18"/>
                <w:szCs w:val="18"/>
                <w:rtl/>
                <w:lang w:eastAsia="he-IL"/>
              </w:rPr>
              <w:t>מסחרי</w:t>
            </w:r>
          </w:p>
        </w:tc>
        <w:tc>
          <w:tcPr>
            <w:tcW w:w="283" w:type="pct"/>
            <w:vAlign w:val="bottom"/>
            <w:hideMark/>
          </w:tcPr>
          <w:p w14:paraId="643FCB19" w14:textId="77777777" w:rsidR="00D25076" w:rsidRPr="0037573B" w:rsidRDefault="00D25076" w:rsidP="0019446C">
            <w:pPr>
              <w:rPr>
                <w:rFonts w:asciiTheme="minorBidi" w:hAnsiTheme="minorBidi" w:cstheme="minorBidi"/>
                <w:sz w:val="18"/>
                <w:szCs w:val="18"/>
              </w:rPr>
            </w:pPr>
            <w:r w:rsidRPr="0037573B">
              <w:rPr>
                <w:rFonts w:asciiTheme="minorBidi" w:hAnsiTheme="minorBidi" w:cstheme="minorBidi"/>
                <w:sz w:val="18"/>
                <w:szCs w:val="18"/>
                <w:rtl/>
              </w:rPr>
              <w:t xml:space="preserve"> 0</w:t>
            </w:r>
          </w:p>
        </w:tc>
        <w:tc>
          <w:tcPr>
            <w:tcW w:w="579" w:type="pct"/>
            <w:vAlign w:val="bottom"/>
            <w:hideMark/>
          </w:tcPr>
          <w:p w14:paraId="7E5F5AC4" w14:textId="77777777" w:rsidR="00D25076" w:rsidRPr="0037573B" w:rsidRDefault="00D25076" w:rsidP="0019446C">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652" w:type="pct"/>
            <w:vAlign w:val="bottom"/>
            <w:hideMark/>
          </w:tcPr>
          <w:p w14:paraId="2B2A057E" w14:textId="77777777" w:rsidR="00D25076" w:rsidRPr="0037573B" w:rsidRDefault="00D25076" w:rsidP="0019446C">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388" w:type="pct"/>
            <w:vAlign w:val="bottom"/>
            <w:hideMark/>
          </w:tcPr>
          <w:p w14:paraId="06218905" w14:textId="77777777" w:rsidR="00D25076" w:rsidRPr="0037573B" w:rsidRDefault="00D25076" w:rsidP="0019446C">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347" w:type="pct"/>
            <w:vAlign w:val="bottom"/>
            <w:hideMark/>
          </w:tcPr>
          <w:p w14:paraId="4F923AEA" w14:textId="77777777" w:rsidR="00D25076" w:rsidRPr="0037573B" w:rsidRDefault="00D25076" w:rsidP="0019446C">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491" w:type="pct"/>
            <w:vAlign w:val="bottom"/>
          </w:tcPr>
          <w:p w14:paraId="37EB0264" w14:textId="77777777" w:rsidR="00D25076" w:rsidRPr="0037573B" w:rsidRDefault="00D25076" w:rsidP="0019446C">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r>
      <w:tr w:rsidR="00D25076" w:rsidRPr="0037573B" w14:paraId="0875450B" w14:textId="77777777" w:rsidTr="0019446C">
        <w:trPr>
          <w:trHeight w:val="259"/>
        </w:trPr>
        <w:tc>
          <w:tcPr>
            <w:tcW w:w="474" w:type="pct"/>
          </w:tcPr>
          <w:p w14:paraId="7D42E429" w14:textId="77777777" w:rsidR="00D25076" w:rsidRPr="0037573B" w:rsidRDefault="00D25076" w:rsidP="0019446C">
            <w:pPr>
              <w:rPr>
                <w:rFonts w:asciiTheme="minorBidi" w:hAnsiTheme="minorBidi" w:cstheme="minorBidi"/>
                <w:sz w:val="18"/>
                <w:szCs w:val="18"/>
                <w:rtl/>
              </w:rPr>
            </w:pPr>
          </w:p>
        </w:tc>
        <w:tc>
          <w:tcPr>
            <w:tcW w:w="190" w:type="pct"/>
            <w:tcBorders>
              <w:right w:val="single" w:sz="4" w:space="0" w:color="auto"/>
            </w:tcBorders>
            <w:vAlign w:val="bottom"/>
          </w:tcPr>
          <w:p w14:paraId="0A37E2D9" w14:textId="77777777" w:rsidR="00D25076" w:rsidRPr="0037573B" w:rsidRDefault="00D25076" w:rsidP="0019446C">
            <w:pPr>
              <w:rPr>
                <w:rFonts w:asciiTheme="minorBidi" w:hAnsiTheme="minorBidi" w:cstheme="minorBidi"/>
                <w:sz w:val="18"/>
                <w:szCs w:val="18"/>
                <w:rtl/>
              </w:rPr>
            </w:pPr>
          </w:p>
        </w:tc>
        <w:tc>
          <w:tcPr>
            <w:tcW w:w="1596" w:type="pct"/>
            <w:tcBorders>
              <w:left w:val="single" w:sz="4" w:space="0" w:color="auto"/>
            </w:tcBorders>
            <w:vAlign w:val="bottom"/>
            <w:hideMark/>
          </w:tcPr>
          <w:p w14:paraId="1D064C51" w14:textId="77777777" w:rsidR="00D25076" w:rsidRPr="0037573B" w:rsidRDefault="00D25076" w:rsidP="0019446C">
            <w:pPr>
              <w:spacing w:before="40" w:line="200" w:lineRule="exact"/>
              <w:ind w:right="144" w:firstLine="34"/>
              <w:rPr>
                <w:rFonts w:asciiTheme="minorBidi" w:hAnsiTheme="minorBidi" w:cstheme="minorBidi"/>
                <w:color w:val="000000"/>
                <w:sz w:val="18"/>
                <w:szCs w:val="18"/>
                <w:rtl/>
                <w:lang w:eastAsia="he-IL"/>
              </w:rPr>
            </w:pPr>
            <w:r w:rsidRPr="0037573B">
              <w:rPr>
                <w:rFonts w:asciiTheme="minorBidi" w:hAnsiTheme="minorBidi" w:cstheme="minorBidi"/>
                <w:color w:val="000000"/>
                <w:sz w:val="18"/>
                <w:szCs w:val="18"/>
                <w:rtl/>
                <w:lang w:eastAsia="he-IL"/>
              </w:rPr>
              <w:t>אנשים פרטיים - הלוואות לדיור</w:t>
            </w:r>
          </w:p>
        </w:tc>
        <w:tc>
          <w:tcPr>
            <w:tcW w:w="283" w:type="pct"/>
            <w:vAlign w:val="bottom"/>
            <w:hideMark/>
          </w:tcPr>
          <w:p w14:paraId="15AA7CB8" w14:textId="77777777" w:rsidR="00D25076" w:rsidRPr="0037573B" w:rsidRDefault="00D25076" w:rsidP="0019446C">
            <w:pPr>
              <w:rPr>
                <w:rFonts w:asciiTheme="minorBidi" w:hAnsiTheme="minorBidi" w:cstheme="minorBidi"/>
                <w:sz w:val="18"/>
                <w:szCs w:val="18"/>
              </w:rPr>
            </w:pPr>
            <w:r w:rsidRPr="0037573B">
              <w:rPr>
                <w:rFonts w:asciiTheme="minorBidi" w:hAnsiTheme="minorBidi" w:cstheme="minorBidi"/>
                <w:sz w:val="18"/>
                <w:szCs w:val="18"/>
                <w:rtl/>
              </w:rPr>
              <w:t xml:space="preserve"> 0</w:t>
            </w:r>
          </w:p>
        </w:tc>
        <w:tc>
          <w:tcPr>
            <w:tcW w:w="579" w:type="pct"/>
            <w:vAlign w:val="bottom"/>
            <w:hideMark/>
          </w:tcPr>
          <w:p w14:paraId="487F68A6" w14:textId="77777777" w:rsidR="00D25076" w:rsidRPr="0037573B" w:rsidRDefault="00D25076" w:rsidP="0019446C">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652" w:type="pct"/>
            <w:vAlign w:val="bottom"/>
            <w:hideMark/>
          </w:tcPr>
          <w:p w14:paraId="5ADE7EEC" w14:textId="77777777" w:rsidR="00D25076" w:rsidRPr="0037573B" w:rsidRDefault="00D25076" w:rsidP="0019446C">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388" w:type="pct"/>
            <w:vAlign w:val="bottom"/>
            <w:hideMark/>
          </w:tcPr>
          <w:p w14:paraId="24B7FCAD" w14:textId="77777777" w:rsidR="00D25076" w:rsidRPr="0037573B" w:rsidRDefault="00D25076" w:rsidP="0019446C">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347" w:type="pct"/>
            <w:vAlign w:val="bottom"/>
            <w:hideMark/>
          </w:tcPr>
          <w:p w14:paraId="416543A0" w14:textId="77777777" w:rsidR="00D25076" w:rsidRPr="0037573B" w:rsidRDefault="00D25076" w:rsidP="0019446C">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491" w:type="pct"/>
            <w:vAlign w:val="bottom"/>
          </w:tcPr>
          <w:p w14:paraId="64E0359A" w14:textId="77777777" w:rsidR="00D25076" w:rsidRPr="0037573B" w:rsidRDefault="00D25076" w:rsidP="0019446C">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r>
      <w:tr w:rsidR="00D25076" w:rsidRPr="0037573B" w14:paraId="64343466" w14:textId="77777777" w:rsidTr="0019446C">
        <w:trPr>
          <w:trHeight w:val="259"/>
        </w:trPr>
        <w:tc>
          <w:tcPr>
            <w:tcW w:w="474" w:type="pct"/>
          </w:tcPr>
          <w:p w14:paraId="15E66049" w14:textId="77777777" w:rsidR="00D25076" w:rsidRPr="0037573B" w:rsidRDefault="00D25076" w:rsidP="0019446C">
            <w:pPr>
              <w:rPr>
                <w:rFonts w:asciiTheme="minorBidi" w:hAnsiTheme="minorBidi" w:cstheme="minorBidi"/>
                <w:sz w:val="18"/>
                <w:szCs w:val="18"/>
                <w:rtl/>
              </w:rPr>
            </w:pPr>
          </w:p>
        </w:tc>
        <w:tc>
          <w:tcPr>
            <w:tcW w:w="190" w:type="pct"/>
            <w:tcBorders>
              <w:right w:val="single" w:sz="4" w:space="0" w:color="auto"/>
            </w:tcBorders>
            <w:vAlign w:val="bottom"/>
          </w:tcPr>
          <w:p w14:paraId="42088738" w14:textId="77777777" w:rsidR="00D25076" w:rsidRPr="0037573B" w:rsidRDefault="00D25076" w:rsidP="0019446C">
            <w:pPr>
              <w:rPr>
                <w:rFonts w:asciiTheme="minorBidi" w:hAnsiTheme="minorBidi" w:cstheme="minorBidi"/>
                <w:sz w:val="18"/>
                <w:szCs w:val="18"/>
                <w:rtl/>
              </w:rPr>
            </w:pPr>
          </w:p>
        </w:tc>
        <w:tc>
          <w:tcPr>
            <w:tcW w:w="1596" w:type="pct"/>
            <w:tcBorders>
              <w:left w:val="single" w:sz="4" w:space="0" w:color="auto"/>
            </w:tcBorders>
            <w:vAlign w:val="bottom"/>
            <w:hideMark/>
          </w:tcPr>
          <w:p w14:paraId="5C3839BF" w14:textId="77777777" w:rsidR="00D25076" w:rsidRPr="0037573B" w:rsidRDefault="00D25076" w:rsidP="0019446C">
            <w:pPr>
              <w:ind w:firstLine="34"/>
              <w:rPr>
                <w:rFonts w:asciiTheme="minorBidi" w:hAnsiTheme="minorBidi" w:cstheme="minorBidi"/>
                <w:color w:val="000000"/>
                <w:sz w:val="18"/>
                <w:szCs w:val="18"/>
                <w:rtl/>
                <w:lang w:eastAsia="he-IL"/>
              </w:rPr>
            </w:pPr>
            <w:r w:rsidRPr="0037573B">
              <w:rPr>
                <w:rFonts w:asciiTheme="minorBidi" w:hAnsiTheme="minorBidi" w:cstheme="minorBidi"/>
                <w:color w:val="000000"/>
                <w:sz w:val="18"/>
                <w:szCs w:val="18"/>
                <w:rtl/>
                <w:lang w:eastAsia="he-IL"/>
              </w:rPr>
              <w:t>אנשים פרטיים - אחר</w:t>
            </w:r>
          </w:p>
        </w:tc>
        <w:tc>
          <w:tcPr>
            <w:tcW w:w="283" w:type="pct"/>
            <w:vAlign w:val="bottom"/>
            <w:hideMark/>
          </w:tcPr>
          <w:p w14:paraId="740C3C62" w14:textId="77777777" w:rsidR="00D25076" w:rsidRPr="0037573B" w:rsidRDefault="00D25076" w:rsidP="0019446C">
            <w:pPr>
              <w:rPr>
                <w:rFonts w:asciiTheme="minorBidi" w:hAnsiTheme="minorBidi" w:cstheme="minorBidi"/>
                <w:sz w:val="18"/>
                <w:szCs w:val="18"/>
              </w:rPr>
            </w:pPr>
            <w:r w:rsidRPr="0037573B">
              <w:rPr>
                <w:rFonts w:asciiTheme="minorBidi" w:hAnsiTheme="minorBidi" w:cstheme="minorBidi"/>
                <w:sz w:val="18"/>
                <w:szCs w:val="18"/>
                <w:rtl/>
              </w:rPr>
              <w:t xml:space="preserve"> 0</w:t>
            </w:r>
          </w:p>
        </w:tc>
        <w:tc>
          <w:tcPr>
            <w:tcW w:w="579" w:type="pct"/>
            <w:vAlign w:val="bottom"/>
            <w:hideMark/>
          </w:tcPr>
          <w:p w14:paraId="1475804D" w14:textId="77777777" w:rsidR="00D25076" w:rsidRPr="0037573B" w:rsidRDefault="00D25076" w:rsidP="0019446C">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652" w:type="pct"/>
            <w:vAlign w:val="bottom"/>
            <w:hideMark/>
          </w:tcPr>
          <w:p w14:paraId="7AC7D7D2" w14:textId="77777777" w:rsidR="00D25076" w:rsidRPr="0037573B" w:rsidRDefault="00D25076" w:rsidP="0019446C">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388" w:type="pct"/>
            <w:vAlign w:val="bottom"/>
            <w:hideMark/>
          </w:tcPr>
          <w:p w14:paraId="5FAF88ED" w14:textId="77777777" w:rsidR="00D25076" w:rsidRPr="0037573B" w:rsidRDefault="00D25076" w:rsidP="0019446C">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347" w:type="pct"/>
            <w:vAlign w:val="bottom"/>
            <w:hideMark/>
          </w:tcPr>
          <w:p w14:paraId="6C24CCD4" w14:textId="77777777" w:rsidR="00D25076" w:rsidRPr="0037573B" w:rsidRDefault="00D25076" w:rsidP="0019446C">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c>
          <w:tcPr>
            <w:tcW w:w="491" w:type="pct"/>
            <w:vAlign w:val="bottom"/>
          </w:tcPr>
          <w:p w14:paraId="5AD2CDF6" w14:textId="77777777" w:rsidR="00D25076" w:rsidRPr="0037573B" w:rsidRDefault="00D25076" w:rsidP="0019446C">
            <w:pPr>
              <w:rPr>
                <w:rFonts w:asciiTheme="minorBidi" w:hAnsiTheme="minorBidi" w:cstheme="minorBidi"/>
                <w:sz w:val="18"/>
                <w:szCs w:val="18"/>
                <w:rtl/>
              </w:rPr>
            </w:pPr>
            <w:r w:rsidRPr="0037573B">
              <w:rPr>
                <w:rFonts w:asciiTheme="minorBidi" w:hAnsiTheme="minorBidi" w:cstheme="minorBidi"/>
                <w:sz w:val="18"/>
                <w:szCs w:val="18"/>
                <w:rtl/>
              </w:rPr>
              <w:t xml:space="preserve"> 0</w:t>
            </w:r>
          </w:p>
        </w:tc>
      </w:tr>
      <w:tr w:rsidR="00D25076" w:rsidRPr="0037573B" w14:paraId="124266BF" w14:textId="77777777" w:rsidTr="0019446C">
        <w:trPr>
          <w:trHeight w:val="259"/>
        </w:trPr>
        <w:tc>
          <w:tcPr>
            <w:tcW w:w="474" w:type="pct"/>
          </w:tcPr>
          <w:p w14:paraId="41CB2BAF" w14:textId="77777777" w:rsidR="00D25076" w:rsidRPr="0037573B" w:rsidRDefault="00D25076" w:rsidP="0019446C">
            <w:pPr>
              <w:rPr>
                <w:rFonts w:asciiTheme="minorBidi" w:hAnsiTheme="minorBidi" w:cstheme="minorBidi"/>
                <w:sz w:val="18"/>
                <w:szCs w:val="18"/>
                <w:rtl/>
              </w:rPr>
            </w:pPr>
          </w:p>
        </w:tc>
        <w:tc>
          <w:tcPr>
            <w:tcW w:w="190" w:type="pct"/>
            <w:tcBorders>
              <w:right w:val="single" w:sz="4" w:space="0" w:color="auto"/>
            </w:tcBorders>
            <w:vAlign w:val="bottom"/>
          </w:tcPr>
          <w:p w14:paraId="2A57B15E" w14:textId="77777777" w:rsidR="00D25076" w:rsidRPr="0037573B" w:rsidRDefault="00D25076" w:rsidP="0019446C">
            <w:pPr>
              <w:rPr>
                <w:rFonts w:asciiTheme="minorBidi" w:hAnsiTheme="minorBidi" w:cstheme="minorBidi"/>
                <w:sz w:val="18"/>
                <w:szCs w:val="18"/>
                <w:rtl/>
              </w:rPr>
            </w:pPr>
          </w:p>
        </w:tc>
        <w:tc>
          <w:tcPr>
            <w:tcW w:w="1596" w:type="pct"/>
            <w:tcBorders>
              <w:left w:val="single" w:sz="4" w:space="0" w:color="auto"/>
            </w:tcBorders>
            <w:vAlign w:val="bottom"/>
            <w:hideMark/>
          </w:tcPr>
          <w:p w14:paraId="013C1FFF" w14:textId="77777777" w:rsidR="00D25076" w:rsidRPr="0037573B" w:rsidRDefault="00D25076" w:rsidP="0019446C">
            <w:pPr>
              <w:spacing w:before="60" w:line="180" w:lineRule="exact"/>
              <w:ind w:left="34" w:right="142"/>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סך הכל אשראי לציבור - פעילות בישראל</w:t>
            </w:r>
          </w:p>
        </w:tc>
        <w:tc>
          <w:tcPr>
            <w:tcW w:w="283" w:type="pct"/>
            <w:vAlign w:val="bottom"/>
            <w:hideMark/>
          </w:tcPr>
          <w:p w14:paraId="7AA419A1" w14:textId="77777777" w:rsidR="00D25076" w:rsidRPr="0037573B" w:rsidRDefault="00D25076" w:rsidP="0019446C">
            <w:pPr>
              <w:pBdr>
                <w:top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579" w:type="pct"/>
            <w:vAlign w:val="bottom"/>
            <w:hideMark/>
          </w:tcPr>
          <w:p w14:paraId="047824D6" w14:textId="77777777" w:rsidR="00D25076" w:rsidRPr="0037573B" w:rsidRDefault="00D25076" w:rsidP="0019446C">
            <w:pPr>
              <w:pBdr>
                <w:top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652" w:type="pct"/>
            <w:vAlign w:val="bottom"/>
            <w:hideMark/>
          </w:tcPr>
          <w:p w14:paraId="1029E19D" w14:textId="77777777" w:rsidR="00D25076" w:rsidRPr="0037573B" w:rsidRDefault="00D25076" w:rsidP="0019446C">
            <w:pPr>
              <w:pBdr>
                <w:top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388" w:type="pct"/>
            <w:vAlign w:val="bottom"/>
            <w:hideMark/>
          </w:tcPr>
          <w:p w14:paraId="31C0FC88" w14:textId="77777777" w:rsidR="00D25076" w:rsidRPr="0037573B" w:rsidRDefault="00D25076" w:rsidP="0019446C">
            <w:pPr>
              <w:pBdr>
                <w:top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347" w:type="pct"/>
            <w:vAlign w:val="bottom"/>
            <w:hideMark/>
          </w:tcPr>
          <w:p w14:paraId="53A4C599" w14:textId="77777777" w:rsidR="00D25076" w:rsidRPr="0037573B" w:rsidRDefault="00D25076" w:rsidP="0019446C">
            <w:pPr>
              <w:pBdr>
                <w:top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491" w:type="pct"/>
            <w:vAlign w:val="bottom"/>
          </w:tcPr>
          <w:p w14:paraId="733D5067" w14:textId="77777777" w:rsidR="00D25076" w:rsidRPr="0037573B" w:rsidRDefault="00D25076" w:rsidP="0019446C">
            <w:pPr>
              <w:pBdr>
                <w:top w:val="single" w:sz="4" w:space="1" w:color="auto"/>
              </w:pBdr>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r>
      <w:tr w:rsidR="00D25076" w:rsidRPr="0037573B" w14:paraId="35B9EE7D" w14:textId="77777777" w:rsidTr="0019446C">
        <w:trPr>
          <w:trHeight w:val="259"/>
        </w:trPr>
        <w:tc>
          <w:tcPr>
            <w:tcW w:w="474" w:type="pct"/>
          </w:tcPr>
          <w:p w14:paraId="186C7373" w14:textId="77777777" w:rsidR="00D25076" w:rsidRPr="0037573B" w:rsidRDefault="00D25076" w:rsidP="0019446C">
            <w:pPr>
              <w:rPr>
                <w:rFonts w:asciiTheme="minorBidi" w:hAnsiTheme="minorBidi" w:cstheme="minorBidi"/>
                <w:sz w:val="18"/>
                <w:szCs w:val="18"/>
                <w:rtl/>
              </w:rPr>
            </w:pPr>
          </w:p>
        </w:tc>
        <w:tc>
          <w:tcPr>
            <w:tcW w:w="190" w:type="pct"/>
            <w:tcBorders>
              <w:right w:val="single" w:sz="4" w:space="0" w:color="auto"/>
            </w:tcBorders>
            <w:vAlign w:val="bottom"/>
          </w:tcPr>
          <w:p w14:paraId="1395AFE3" w14:textId="77777777" w:rsidR="00D25076" w:rsidRPr="0037573B" w:rsidRDefault="00D25076" w:rsidP="0019446C">
            <w:pPr>
              <w:rPr>
                <w:rFonts w:asciiTheme="minorBidi" w:hAnsiTheme="minorBidi" w:cstheme="minorBidi"/>
                <w:sz w:val="18"/>
                <w:szCs w:val="18"/>
                <w:rtl/>
              </w:rPr>
            </w:pPr>
          </w:p>
        </w:tc>
        <w:tc>
          <w:tcPr>
            <w:tcW w:w="1596" w:type="pct"/>
            <w:tcBorders>
              <w:left w:val="single" w:sz="4" w:space="0" w:color="auto"/>
            </w:tcBorders>
            <w:vAlign w:val="bottom"/>
            <w:hideMark/>
          </w:tcPr>
          <w:p w14:paraId="70895846" w14:textId="77777777" w:rsidR="00D25076" w:rsidRPr="0037573B" w:rsidRDefault="00D25076" w:rsidP="0019446C">
            <w:pPr>
              <w:spacing w:before="40" w:line="180" w:lineRule="exact"/>
              <w:ind w:left="142" w:right="142" w:hanging="108"/>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סך הכל אשראי לציבור - פעילות בחו"ל</w:t>
            </w:r>
          </w:p>
        </w:tc>
        <w:tc>
          <w:tcPr>
            <w:tcW w:w="283" w:type="pct"/>
            <w:vAlign w:val="bottom"/>
            <w:hideMark/>
          </w:tcPr>
          <w:p w14:paraId="600C7A33" w14:textId="77777777" w:rsidR="00D25076" w:rsidRPr="0037573B" w:rsidRDefault="00D25076" w:rsidP="0019446C">
            <w:pPr>
              <w:pBdr>
                <w:bottom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579" w:type="pct"/>
            <w:vAlign w:val="bottom"/>
            <w:hideMark/>
          </w:tcPr>
          <w:p w14:paraId="59B8F1A2" w14:textId="77777777" w:rsidR="00D25076" w:rsidRPr="0037573B" w:rsidRDefault="00D25076" w:rsidP="0019446C">
            <w:pPr>
              <w:pBdr>
                <w:bottom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652" w:type="pct"/>
            <w:vAlign w:val="bottom"/>
            <w:hideMark/>
          </w:tcPr>
          <w:p w14:paraId="271ABE67" w14:textId="77777777" w:rsidR="00D25076" w:rsidRPr="0037573B" w:rsidRDefault="00D25076" w:rsidP="0019446C">
            <w:pPr>
              <w:pBdr>
                <w:bottom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388" w:type="pct"/>
            <w:vAlign w:val="bottom"/>
            <w:hideMark/>
          </w:tcPr>
          <w:p w14:paraId="48073422" w14:textId="77777777" w:rsidR="00D25076" w:rsidRPr="0037573B" w:rsidRDefault="00D25076" w:rsidP="0019446C">
            <w:pPr>
              <w:pBdr>
                <w:bottom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347" w:type="pct"/>
            <w:vAlign w:val="bottom"/>
            <w:hideMark/>
          </w:tcPr>
          <w:p w14:paraId="5767D777" w14:textId="77777777" w:rsidR="00D25076" w:rsidRPr="0037573B" w:rsidRDefault="00D25076" w:rsidP="0019446C">
            <w:pPr>
              <w:pBdr>
                <w:bottom w:val="sing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491" w:type="pct"/>
            <w:vAlign w:val="bottom"/>
          </w:tcPr>
          <w:p w14:paraId="45C1C546" w14:textId="77777777" w:rsidR="00D25076" w:rsidRPr="0037573B" w:rsidRDefault="00D25076" w:rsidP="0019446C">
            <w:pPr>
              <w:pBdr>
                <w:bottom w:val="single" w:sz="4" w:space="1" w:color="auto"/>
              </w:pBdr>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r>
      <w:tr w:rsidR="00D25076" w:rsidRPr="0037573B" w14:paraId="4EFAE9A6" w14:textId="77777777" w:rsidTr="0019446C">
        <w:trPr>
          <w:trHeight w:val="259"/>
        </w:trPr>
        <w:tc>
          <w:tcPr>
            <w:tcW w:w="474" w:type="pct"/>
          </w:tcPr>
          <w:p w14:paraId="38FF0601" w14:textId="77777777" w:rsidR="00D25076" w:rsidRPr="0037573B" w:rsidRDefault="00D25076" w:rsidP="0019446C">
            <w:pPr>
              <w:rPr>
                <w:rFonts w:asciiTheme="minorBidi" w:hAnsiTheme="minorBidi" w:cstheme="minorBidi"/>
                <w:sz w:val="18"/>
                <w:szCs w:val="18"/>
                <w:rtl/>
              </w:rPr>
            </w:pPr>
          </w:p>
        </w:tc>
        <w:tc>
          <w:tcPr>
            <w:tcW w:w="190" w:type="pct"/>
            <w:tcBorders>
              <w:right w:val="single" w:sz="4" w:space="0" w:color="auto"/>
            </w:tcBorders>
            <w:vAlign w:val="bottom"/>
          </w:tcPr>
          <w:p w14:paraId="2A9630FA" w14:textId="77777777" w:rsidR="00D25076" w:rsidRPr="0037573B" w:rsidRDefault="00D25076" w:rsidP="0019446C">
            <w:pPr>
              <w:rPr>
                <w:rFonts w:asciiTheme="minorBidi" w:hAnsiTheme="minorBidi" w:cstheme="minorBidi"/>
                <w:sz w:val="18"/>
                <w:szCs w:val="18"/>
                <w:rtl/>
              </w:rPr>
            </w:pPr>
          </w:p>
        </w:tc>
        <w:tc>
          <w:tcPr>
            <w:tcW w:w="1596" w:type="pct"/>
            <w:tcBorders>
              <w:left w:val="single" w:sz="4" w:space="0" w:color="auto"/>
            </w:tcBorders>
            <w:vAlign w:val="bottom"/>
            <w:hideMark/>
          </w:tcPr>
          <w:p w14:paraId="5EE1ADC7" w14:textId="77777777" w:rsidR="00D25076" w:rsidRPr="0037573B" w:rsidRDefault="00D25076" w:rsidP="0019446C">
            <w:pP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סך הכל אשראי לציבור</w:t>
            </w:r>
          </w:p>
        </w:tc>
        <w:tc>
          <w:tcPr>
            <w:tcW w:w="283" w:type="pct"/>
            <w:vAlign w:val="bottom"/>
            <w:hideMark/>
          </w:tcPr>
          <w:p w14:paraId="12D485A9" w14:textId="77777777" w:rsidR="00D25076" w:rsidRPr="0037573B" w:rsidRDefault="00D25076" w:rsidP="0019446C">
            <w:pPr>
              <w:pBdr>
                <w:bottom w:val="doub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579" w:type="pct"/>
            <w:vAlign w:val="bottom"/>
            <w:hideMark/>
          </w:tcPr>
          <w:p w14:paraId="7E185A1D" w14:textId="77777777" w:rsidR="00D25076" w:rsidRPr="0037573B" w:rsidRDefault="00D25076" w:rsidP="0019446C">
            <w:pPr>
              <w:pBdr>
                <w:bottom w:val="doub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652" w:type="pct"/>
            <w:vAlign w:val="bottom"/>
            <w:hideMark/>
          </w:tcPr>
          <w:p w14:paraId="074613CF" w14:textId="77777777" w:rsidR="00D25076" w:rsidRPr="0037573B" w:rsidRDefault="00D25076" w:rsidP="0019446C">
            <w:pPr>
              <w:pBdr>
                <w:bottom w:val="doub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388" w:type="pct"/>
            <w:vAlign w:val="bottom"/>
            <w:hideMark/>
          </w:tcPr>
          <w:p w14:paraId="267296AF" w14:textId="77777777" w:rsidR="00D25076" w:rsidRPr="0037573B" w:rsidRDefault="00D25076" w:rsidP="0019446C">
            <w:pPr>
              <w:pBdr>
                <w:bottom w:val="doub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p>
        </w:tc>
        <w:tc>
          <w:tcPr>
            <w:tcW w:w="347" w:type="pct"/>
            <w:vAlign w:val="bottom"/>
            <w:hideMark/>
          </w:tcPr>
          <w:p w14:paraId="150B910B" w14:textId="77777777" w:rsidR="00D25076" w:rsidRPr="0037573B" w:rsidRDefault="00D25076" w:rsidP="0019446C">
            <w:pPr>
              <w:pBdr>
                <w:bottom w:val="double" w:sz="4" w:space="1" w:color="auto"/>
              </w:pBdr>
              <w:ind w:left="144" w:hanging="144"/>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r w:rsidRPr="0037573B">
              <w:rPr>
                <w:rFonts w:asciiTheme="minorBidi" w:hAnsiTheme="minorBidi" w:cstheme="minorBidi"/>
                <w:sz w:val="18"/>
                <w:szCs w:val="18"/>
                <w:vertAlign w:val="superscript"/>
                <w:rtl/>
              </w:rPr>
              <w:t xml:space="preserve"> </w:t>
            </w:r>
          </w:p>
        </w:tc>
        <w:tc>
          <w:tcPr>
            <w:tcW w:w="491" w:type="pct"/>
            <w:vAlign w:val="bottom"/>
          </w:tcPr>
          <w:p w14:paraId="77C801D3" w14:textId="77777777" w:rsidR="00D25076" w:rsidRPr="0037573B" w:rsidRDefault="00D25076" w:rsidP="0019446C">
            <w:pPr>
              <w:pBdr>
                <w:bottom w:val="double" w:sz="4" w:space="1" w:color="auto"/>
              </w:pBdr>
              <w:rPr>
                <w:rFonts w:asciiTheme="minorBidi" w:hAnsiTheme="minorBidi" w:cstheme="minorBidi"/>
                <w:b/>
                <w:bCs/>
                <w:color w:val="000000"/>
                <w:sz w:val="18"/>
                <w:szCs w:val="18"/>
                <w:rtl/>
                <w:lang w:eastAsia="he-IL"/>
              </w:rPr>
            </w:pPr>
            <w:r w:rsidRPr="0037573B">
              <w:rPr>
                <w:rFonts w:asciiTheme="minorBidi" w:hAnsiTheme="minorBidi" w:cstheme="minorBidi"/>
                <w:b/>
                <w:bCs/>
                <w:color w:val="000000"/>
                <w:sz w:val="18"/>
                <w:szCs w:val="18"/>
                <w:rtl/>
                <w:lang w:eastAsia="he-IL"/>
              </w:rPr>
              <w:t xml:space="preserve"> 0</w:t>
            </w:r>
            <w:r w:rsidRPr="0037573B">
              <w:rPr>
                <w:rFonts w:asciiTheme="minorBidi" w:hAnsiTheme="minorBidi" w:cstheme="minorBidi"/>
                <w:sz w:val="18"/>
                <w:szCs w:val="18"/>
                <w:vertAlign w:val="superscript"/>
                <w:rtl/>
              </w:rPr>
              <w:t xml:space="preserve"> </w:t>
            </w:r>
          </w:p>
        </w:tc>
      </w:tr>
    </w:tbl>
    <w:p w14:paraId="65E931C4" w14:textId="710F9317" w:rsidR="0037573B" w:rsidRDefault="0037573B" w:rsidP="0037573B">
      <w:pPr>
        <w:tabs>
          <w:tab w:val="left" w:pos="7947"/>
        </w:tabs>
        <w:bidi w:val="0"/>
        <w:jc w:val="left"/>
      </w:pPr>
    </w:p>
    <w:p w14:paraId="35E563B4" w14:textId="77777777" w:rsidR="00E61F52" w:rsidRDefault="00E61F52"/>
    <w:p w14:paraId="060A415A" w14:textId="213BD010" w:rsidR="00E61F52" w:rsidRDefault="00E61F52">
      <w:pPr>
        <w:bidi w:val="0"/>
        <w:jc w:val="left"/>
      </w:pPr>
      <w:r>
        <w:br w:type="page"/>
      </w:r>
    </w:p>
    <w:p w14:paraId="6B5B3498" w14:textId="77777777" w:rsidR="006A2C31" w:rsidRDefault="006A2C31"/>
    <w:tbl>
      <w:tblPr>
        <w:bidiVisual/>
        <w:tblW w:w="4932" w:type="pct"/>
        <w:tblInd w:w="-120" w:type="dxa"/>
        <w:tblLook w:val="04A0" w:firstRow="1" w:lastRow="0" w:firstColumn="1" w:lastColumn="0" w:noHBand="0" w:noVBand="1"/>
      </w:tblPr>
      <w:tblGrid>
        <w:gridCol w:w="1144"/>
        <w:gridCol w:w="3115"/>
        <w:gridCol w:w="1033"/>
        <w:gridCol w:w="1112"/>
        <w:gridCol w:w="1071"/>
        <w:gridCol w:w="904"/>
        <w:gridCol w:w="735"/>
        <w:gridCol w:w="946"/>
        <w:gridCol w:w="8"/>
      </w:tblGrid>
      <w:tr w:rsidR="00E61F52" w:rsidRPr="00E61F52" w14:paraId="2FAC1727" w14:textId="77777777" w:rsidTr="00FD513C">
        <w:trPr>
          <w:gridAfter w:val="1"/>
          <w:wAfter w:w="4" w:type="pct"/>
          <w:trHeight w:val="259"/>
        </w:trPr>
        <w:tc>
          <w:tcPr>
            <w:tcW w:w="4996" w:type="pct"/>
            <w:gridSpan w:val="8"/>
            <w:hideMark/>
          </w:tcPr>
          <w:p w14:paraId="36031792" w14:textId="77777777" w:rsidR="00E61F52" w:rsidRPr="005B240E" w:rsidRDefault="00E61F52" w:rsidP="00FD513C">
            <w:pPr>
              <w:spacing w:after="60"/>
              <w:ind w:left="1024" w:firstLine="5"/>
              <w:rPr>
                <w:rFonts w:asciiTheme="minorBidi" w:hAnsiTheme="minorBidi" w:cstheme="minorBidi"/>
                <w:b/>
                <w:bCs/>
                <w:rtl/>
              </w:rPr>
            </w:pPr>
            <w:r w:rsidRPr="005B240E">
              <w:rPr>
                <w:rFonts w:asciiTheme="minorBidi" w:hAnsiTheme="minorBidi" w:cstheme="minorBidi"/>
                <w:b/>
                <w:bCs/>
                <w:rtl/>
              </w:rPr>
              <w:t>ביאור 12  -  מידע נוסף על סיכון אשראי, אשראי לציבור והפרשה להפסדי אשראי (המשך):</w:t>
            </w:r>
          </w:p>
        </w:tc>
      </w:tr>
      <w:tr w:rsidR="006A2C31" w:rsidRPr="00E61F52" w14:paraId="0225C498" w14:textId="77777777" w:rsidTr="00FD513C">
        <w:trPr>
          <w:trHeight w:val="245"/>
        </w:trPr>
        <w:tc>
          <w:tcPr>
            <w:tcW w:w="5000" w:type="pct"/>
            <w:gridSpan w:val="9"/>
            <w:hideMark/>
          </w:tcPr>
          <w:p w14:paraId="5AA4DFAD" w14:textId="5C68D269" w:rsidR="006A2C31" w:rsidRPr="005B240E" w:rsidRDefault="006A2C31" w:rsidP="00FD513C">
            <w:pPr>
              <w:spacing w:before="60" w:after="60"/>
              <w:ind w:left="1166" w:hanging="137"/>
              <w:rPr>
                <w:rFonts w:asciiTheme="minorBidi" w:hAnsiTheme="minorBidi" w:cstheme="minorBidi"/>
                <w:b/>
                <w:bCs/>
                <w:rtl/>
              </w:rPr>
            </w:pPr>
            <w:r w:rsidRPr="005B240E">
              <w:rPr>
                <w:rFonts w:asciiTheme="minorBidi" w:hAnsiTheme="minorBidi" w:cstheme="minorBidi"/>
                <w:b/>
                <w:bCs/>
                <w:rtl/>
              </w:rPr>
              <w:t>ב.</w:t>
            </w:r>
            <w:r w:rsidRPr="005B240E">
              <w:rPr>
                <w:rFonts w:asciiTheme="minorBidi" w:hAnsiTheme="minorBidi" w:cstheme="minorBidi" w:hint="cs"/>
                <w:b/>
                <w:bCs/>
                <w:rtl/>
              </w:rPr>
              <w:t xml:space="preserve"> </w:t>
            </w:r>
            <w:r w:rsidRPr="005B240E">
              <w:rPr>
                <w:rFonts w:asciiTheme="minorBidi" w:hAnsiTheme="minorBidi" w:cstheme="minorBidi"/>
                <w:b/>
                <w:bCs/>
                <w:rtl/>
              </w:rPr>
              <w:t>אשראי לציבור</w:t>
            </w:r>
            <w:r w:rsidRPr="005B240E">
              <w:rPr>
                <w:rFonts w:asciiTheme="minorBidi" w:hAnsiTheme="minorBidi" w:cstheme="minorBidi"/>
                <w:rtl/>
              </w:rPr>
              <w:t xml:space="preserve"> </w:t>
            </w:r>
            <w:r w:rsidRPr="005B240E">
              <w:rPr>
                <w:rFonts w:asciiTheme="minorBidi" w:hAnsiTheme="minorBidi" w:cstheme="minorBidi"/>
                <w:b/>
                <w:bCs/>
                <w:rtl/>
              </w:rPr>
              <w:t>(המשך):</w:t>
            </w:r>
          </w:p>
        </w:tc>
      </w:tr>
      <w:tr w:rsidR="00D61E12" w:rsidRPr="00E61F52" w14:paraId="02467542" w14:textId="77777777" w:rsidTr="00FD513C">
        <w:trPr>
          <w:trHeight w:val="245"/>
        </w:trPr>
        <w:tc>
          <w:tcPr>
            <w:tcW w:w="568" w:type="pct"/>
            <w:tcBorders>
              <w:right w:val="single" w:sz="4" w:space="0" w:color="auto"/>
            </w:tcBorders>
          </w:tcPr>
          <w:p w14:paraId="7DF3BF66" w14:textId="77777777" w:rsidR="00D61E12" w:rsidRPr="00E61F52" w:rsidRDefault="00D61E12" w:rsidP="00D61E12">
            <w:pPr>
              <w:spacing w:before="60" w:after="60"/>
              <w:rPr>
                <w:rFonts w:asciiTheme="minorBidi" w:hAnsiTheme="minorBidi" w:cstheme="minorBidi"/>
                <w:b/>
                <w:bCs/>
                <w:sz w:val="18"/>
                <w:szCs w:val="18"/>
                <w:rtl/>
              </w:rPr>
            </w:pPr>
          </w:p>
        </w:tc>
        <w:tc>
          <w:tcPr>
            <w:tcW w:w="4432" w:type="pct"/>
            <w:gridSpan w:val="8"/>
            <w:tcBorders>
              <w:left w:val="single" w:sz="4" w:space="0" w:color="auto"/>
            </w:tcBorders>
            <w:hideMark/>
          </w:tcPr>
          <w:p w14:paraId="0B02B781" w14:textId="582E13E0" w:rsidR="00D61E12" w:rsidRPr="00E61F52" w:rsidRDefault="00D61E12" w:rsidP="00D61E12">
            <w:pPr>
              <w:tabs>
                <w:tab w:val="left" w:pos="446"/>
              </w:tabs>
              <w:spacing w:before="60" w:after="60" w:line="216" w:lineRule="auto"/>
              <w:ind w:left="446" w:hanging="446"/>
              <w:rPr>
                <w:rFonts w:asciiTheme="minorBidi" w:hAnsiTheme="minorBidi" w:cstheme="minorBidi"/>
                <w:sz w:val="18"/>
                <w:szCs w:val="18"/>
                <w:rtl/>
              </w:rPr>
            </w:pPr>
            <w:r w:rsidRPr="00D25076">
              <w:rPr>
                <w:rFonts w:asciiTheme="minorBidi" w:hAnsiTheme="minorBidi" w:cstheme="minorBidi"/>
                <w:b/>
                <w:bCs/>
                <w:sz w:val="19"/>
                <w:szCs w:val="19"/>
                <w:rtl/>
              </w:rPr>
              <w:t>2.ב.</w:t>
            </w:r>
            <w:r w:rsidRPr="00D25076">
              <w:rPr>
                <w:rFonts w:asciiTheme="minorBidi" w:hAnsiTheme="minorBidi" w:cstheme="minorBidi"/>
                <w:b/>
                <w:bCs/>
                <w:sz w:val="19"/>
                <w:szCs w:val="19"/>
                <w:rtl/>
              </w:rPr>
              <w:tab/>
              <w:t>מידע על חובות של לווים בקשיים פיננסיים שעברו שינוי בתנאים</w:t>
            </w:r>
            <w:r w:rsidRPr="00D25076">
              <w:rPr>
                <w:rFonts w:asciiTheme="minorBidi" w:hAnsiTheme="minorBidi" w:cstheme="minorBidi"/>
                <w:sz w:val="19"/>
                <w:szCs w:val="19"/>
                <w:rtl/>
              </w:rPr>
              <w:t xml:space="preserve">: </w:t>
            </w:r>
            <w:r>
              <w:rPr>
                <w:rFonts w:asciiTheme="minorBidi" w:hAnsiTheme="minorBidi" w:cstheme="minorBidi" w:hint="cs"/>
                <w:sz w:val="19"/>
                <w:szCs w:val="19"/>
                <w:rtl/>
              </w:rPr>
              <w:t>(המשך)</w:t>
            </w:r>
          </w:p>
        </w:tc>
      </w:tr>
      <w:tr w:rsidR="006A2C31" w:rsidRPr="00E61F52" w14:paraId="60D3F52E" w14:textId="77777777" w:rsidTr="00FD513C">
        <w:trPr>
          <w:trHeight w:val="245"/>
        </w:trPr>
        <w:tc>
          <w:tcPr>
            <w:tcW w:w="568" w:type="pct"/>
            <w:tcBorders>
              <w:right w:val="single" w:sz="4" w:space="0" w:color="auto"/>
            </w:tcBorders>
          </w:tcPr>
          <w:p w14:paraId="3FE11AC4" w14:textId="77777777" w:rsidR="006A2C31" w:rsidRPr="006A2C31" w:rsidRDefault="006A2C31" w:rsidP="00B44878">
            <w:pPr>
              <w:rPr>
                <w:sz w:val="14"/>
                <w:szCs w:val="14"/>
                <w:rtl/>
              </w:rPr>
            </w:pPr>
            <w:r w:rsidRPr="006A2C31">
              <w:rPr>
                <w:rFonts w:hint="cs"/>
                <w:sz w:val="14"/>
                <w:szCs w:val="14"/>
                <w:rtl/>
              </w:rPr>
              <w:t>מתכונת ביאור</w:t>
            </w:r>
          </w:p>
          <w:p w14:paraId="640D0A97" w14:textId="4DD93C12" w:rsidR="00E61F52" w:rsidRPr="00E61F52" w:rsidRDefault="006A2C31" w:rsidP="00B44878">
            <w:pPr>
              <w:rPr>
                <w:rFonts w:asciiTheme="minorBidi" w:hAnsiTheme="minorBidi" w:cstheme="minorBidi"/>
                <w:b/>
                <w:bCs/>
                <w:sz w:val="18"/>
                <w:szCs w:val="18"/>
                <w:rtl/>
              </w:rPr>
            </w:pPr>
            <w:r w:rsidRPr="006A2C31">
              <w:rPr>
                <w:rFonts w:hint="cs"/>
                <w:sz w:val="14"/>
                <w:szCs w:val="14"/>
                <w:rtl/>
              </w:rPr>
              <w:t>עמוד 663-</w:t>
            </w:r>
            <w:r>
              <w:rPr>
                <w:rFonts w:hint="cs"/>
                <w:sz w:val="14"/>
                <w:szCs w:val="14"/>
                <w:rtl/>
              </w:rPr>
              <w:t>51.1</w:t>
            </w:r>
          </w:p>
        </w:tc>
        <w:tc>
          <w:tcPr>
            <w:tcW w:w="4432" w:type="pct"/>
            <w:gridSpan w:val="8"/>
            <w:tcBorders>
              <w:left w:val="single" w:sz="4" w:space="0" w:color="auto"/>
            </w:tcBorders>
          </w:tcPr>
          <w:p w14:paraId="635C23BD" w14:textId="2685DDE4" w:rsidR="00E61F52" w:rsidRPr="00E61F52" w:rsidRDefault="00E61F52" w:rsidP="00B62F94">
            <w:pPr>
              <w:tabs>
                <w:tab w:val="left" w:pos="446"/>
              </w:tabs>
              <w:spacing w:before="60" w:after="240" w:line="216" w:lineRule="auto"/>
              <w:ind w:left="448" w:hanging="448"/>
              <w:rPr>
                <w:rFonts w:asciiTheme="minorBidi" w:hAnsiTheme="minorBidi" w:cstheme="minorBidi"/>
                <w:sz w:val="18"/>
                <w:szCs w:val="18"/>
                <w:rtl/>
              </w:rPr>
            </w:pPr>
            <w:r w:rsidRPr="00E96B34">
              <w:rPr>
                <w:rFonts w:asciiTheme="minorBidi" w:hAnsiTheme="minorBidi" w:cstheme="minorBidi"/>
                <w:b/>
                <w:bCs/>
                <w:sz w:val="18"/>
                <w:szCs w:val="18"/>
                <w:rtl/>
              </w:rPr>
              <w:t>2.ב.3</w:t>
            </w:r>
            <w:r w:rsidRPr="00E61F52">
              <w:rPr>
                <w:rFonts w:asciiTheme="minorBidi" w:hAnsiTheme="minorBidi" w:cstheme="minorBidi"/>
                <w:sz w:val="18"/>
                <w:szCs w:val="18"/>
                <w:rtl/>
              </w:rPr>
              <w:tab/>
            </w:r>
            <w:r w:rsidRPr="00E96B34">
              <w:rPr>
                <w:rFonts w:asciiTheme="minorBidi" w:hAnsiTheme="minorBidi" w:cstheme="minorBidi"/>
                <w:b/>
                <w:bCs/>
                <w:sz w:val="18"/>
                <w:szCs w:val="18"/>
                <w:u w:val="single"/>
                <w:rtl/>
              </w:rPr>
              <w:t>חובות של לווים בקשיים פיננסיים שעברו שינויים במהלך תקופת הדיווח</w:t>
            </w:r>
            <w:r w:rsidRPr="00E96B34">
              <w:rPr>
                <w:rFonts w:asciiTheme="minorBidi" w:hAnsiTheme="minorBidi" w:cstheme="minorBidi"/>
                <w:b/>
                <w:bCs/>
                <w:sz w:val="18"/>
                <w:szCs w:val="18"/>
                <w:rtl/>
              </w:rPr>
              <w:t>:</w:t>
            </w:r>
            <w:r w:rsidR="004307EA">
              <w:rPr>
                <w:rFonts w:asciiTheme="minorBidi" w:hAnsiTheme="minorBidi" w:cstheme="minorBidi" w:hint="cs"/>
                <w:sz w:val="18"/>
                <w:szCs w:val="18"/>
                <w:rtl/>
              </w:rPr>
              <w:t xml:space="preserve"> </w:t>
            </w:r>
            <w:r w:rsidR="004307EA" w:rsidRPr="004307EA">
              <w:rPr>
                <w:rFonts w:asciiTheme="minorBidi" w:hAnsiTheme="minorBidi" w:cstheme="minorBidi" w:hint="cs"/>
                <w:sz w:val="18"/>
                <w:szCs w:val="18"/>
                <w:vertAlign w:val="superscript"/>
                <w:rtl/>
              </w:rPr>
              <w:t>[</w:t>
            </w:r>
            <w:r w:rsidR="004307EA" w:rsidRPr="004307EA">
              <w:rPr>
                <w:rStyle w:val="a7"/>
                <w:rtl/>
              </w:rPr>
              <w:footnoteReference w:id="106"/>
            </w:r>
            <w:r w:rsidR="004307EA" w:rsidRPr="004307EA">
              <w:rPr>
                <w:rFonts w:asciiTheme="minorBidi" w:hAnsiTheme="minorBidi" w:cstheme="minorBidi" w:hint="cs"/>
                <w:sz w:val="18"/>
                <w:szCs w:val="18"/>
                <w:vertAlign w:val="superscript"/>
                <w:rtl/>
              </w:rPr>
              <w:t>]</w:t>
            </w:r>
          </w:p>
        </w:tc>
      </w:tr>
      <w:tr w:rsidR="006A2C31" w:rsidRPr="00E61F52" w14:paraId="28679029" w14:textId="77777777" w:rsidTr="00E96B34">
        <w:trPr>
          <w:trHeight w:val="259"/>
        </w:trPr>
        <w:tc>
          <w:tcPr>
            <w:tcW w:w="568" w:type="pct"/>
            <w:tcBorders>
              <w:right w:val="single" w:sz="4" w:space="0" w:color="auto"/>
            </w:tcBorders>
            <w:vAlign w:val="bottom"/>
          </w:tcPr>
          <w:p w14:paraId="7BDD406C" w14:textId="77777777" w:rsidR="00E61F52" w:rsidRPr="00E61F52" w:rsidRDefault="00E61F52" w:rsidP="00424195">
            <w:pPr>
              <w:rPr>
                <w:rFonts w:asciiTheme="minorBidi" w:hAnsiTheme="minorBidi" w:cstheme="minorBidi"/>
                <w:sz w:val="18"/>
                <w:szCs w:val="18"/>
                <w:rtl/>
              </w:rPr>
            </w:pPr>
          </w:p>
        </w:tc>
        <w:tc>
          <w:tcPr>
            <w:tcW w:w="1547" w:type="pct"/>
            <w:tcBorders>
              <w:left w:val="single" w:sz="4" w:space="0" w:color="auto"/>
            </w:tcBorders>
            <w:vAlign w:val="bottom"/>
          </w:tcPr>
          <w:p w14:paraId="71FD6432" w14:textId="77777777" w:rsidR="00E61F52" w:rsidRPr="00E61F52" w:rsidRDefault="00E61F52" w:rsidP="00424195">
            <w:pPr>
              <w:spacing w:before="120"/>
              <w:ind w:left="142" w:hanging="142"/>
              <w:rPr>
                <w:rFonts w:asciiTheme="minorBidi" w:hAnsiTheme="minorBidi" w:cstheme="minorBidi"/>
                <w:color w:val="000000"/>
                <w:sz w:val="18"/>
                <w:szCs w:val="18"/>
                <w:rtl/>
                <w:lang w:eastAsia="he-IL"/>
              </w:rPr>
            </w:pPr>
          </w:p>
        </w:tc>
        <w:tc>
          <w:tcPr>
            <w:tcW w:w="2885" w:type="pct"/>
            <w:gridSpan w:val="7"/>
            <w:vAlign w:val="bottom"/>
          </w:tcPr>
          <w:p w14:paraId="20F9C0D6" w14:textId="215B2538" w:rsidR="00E61F52" w:rsidRPr="00F75066" w:rsidRDefault="00E61F52" w:rsidP="00F75066">
            <w:pPr>
              <w:jc w:val="center"/>
              <w:rPr>
                <w:rFonts w:asciiTheme="minorBidi" w:hAnsiTheme="minorBidi" w:cstheme="minorBidi"/>
                <w:b/>
                <w:bCs/>
                <w:sz w:val="18"/>
                <w:szCs w:val="18"/>
                <w:u w:val="single"/>
                <w:rtl/>
              </w:rPr>
            </w:pPr>
            <w:r w:rsidRPr="00F75066">
              <w:rPr>
                <w:rFonts w:asciiTheme="minorBidi" w:hAnsiTheme="minorBidi" w:cstheme="minorBidi"/>
                <w:b/>
                <w:bCs/>
                <w:sz w:val="18"/>
                <w:szCs w:val="18"/>
                <w:u w:val="single"/>
                <w:rtl/>
              </w:rPr>
              <w:t xml:space="preserve">שלושה חודשים שהסתיימו ביום 30 ביוני </w:t>
            </w:r>
            <w:r w:rsidRPr="00F75066">
              <w:rPr>
                <w:rFonts w:asciiTheme="minorBidi" w:hAnsiTheme="minorBidi" w:cstheme="minorBidi"/>
                <w:b/>
                <w:bCs/>
                <w:sz w:val="18"/>
                <w:szCs w:val="18"/>
                <w:u w:val="single"/>
                <w:rtl/>
              </w:rPr>
              <w:fldChar w:fldCharType="begin"/>
            </w:r>
            <w:r w:rsidRPr="00F75066">
              <w:rPr>
                <w:rFonts w:asciiTheme="minorBidi" w:hAnsiTheme="minorBidi" w:cstheme="minorBidi"/>
                <w:b/>
                <w:bCs/>
                <w:sz w:val="18"/>
                <w:szCs w:val="18"/>
                <w:u w:val="single"/>
                <w:rtl/>
              </w:rPr>
              <w:instrText xml:space="preserve"> = </w:instrText>
            </w:r>
            <w:r w:rsidRPr="00F75066">
              <w:rPr>
                <w:rFonts w:asciiTheme="minorBidi" w:hAnsiTheme="minorBidi" w:cstheme="minorBidi"/>
                <w:b/>
                <w:bCs/>
                <w:sz w:val="18"/>
                <w:szCs w:val="18"/>
                <w:u w:val="single"/>
              </w:rPr>
              <w:instrText>CY \* MERGEFORMAT</w:instrText>
            </w:r>
            <w:r w:rsidRPr="00F75066">
              <w:rPr>
                <w:rFonts w:asciiTheme="minorBidi" w:hAnsiTheme="minorBidi" w:cstheme="minorBidi"/>
                <w:b/>
                <w:bCs/>
                <w:sz w:val="18"/>
                <w:szCs w:val="18"/>
                <w:u w:val="single"/>
                <w:rtl/>
              </w:rPr>
              <w:instrText xml:space="preserve"> </w:instrText>
            </w:r>
            <w:r w:rsidRPr="00F75066">
              <w:rPr>
                <w:rFonts w:asciiTheme="minorBidi" w:hAnsiTheme="minorBidi" w:cstheme="minorBidi"/>
                <w:b/>
                <w:bCs/>
                <w:sz w:val="18"/>
                <w:szCs w:val="18"/>
                <w:u w:val="single"/>
                <w:rtl/>
              </w:rPr>
              <w:fldChar w:fldCharType="separate"/>
            </w:r>
            <w:r w:rsidRPr="00F75066">
              <w:rPr>
                <w:rFonts w:asciiTheme="minorBidi" w:hAnsiTheme="minorBidi" w:cstheme="minorBidi"/>
                <w:b/>
                <w:bCs/>
                <w:noProof/>
                <w:sz w:val="18"/>
                <w:szCs w:val="18"/>
                <w:u w:val="single"/>
                <w:rtl/>
              </w:rPr>
              <w:t>2024</w:t>
            </w:r>
            <w:r w:rsidRPr="00F75066">
              <w:rPr>
                <w:rFonts w:asciiTheme="minorBidi" w:hAnsiTheme="minorBidi" w:cstheme="minorBidi"/>
                <w:b/>
                <w:bCs/>
                <w:sz w:val="18"/>
                <w:szCs w:val="18"/>
                <w:u w:val="single"/>
                <w:rtl/>
              </w:rPr>
              <w:fldChar w:fldCharType="end"/>
            </w:r>
            <w:r w:rsidRPr="00F75066">
              <w:rPr>
                <w:rFonts w:asciiTheme="minorBidi" w:hAnsiTheme="minorBidi" w:cstheme="minorBidi"/>
                <w:b/>
                <w:bCs/>
                <w:color w:val="000000"/>
                <w:sz w:val="18"/>
                <w:szCs w:val="18"/>
                <w:u w:val="single"/>
                <w:rtl/>
                <w:lang w:eastAsia="he-IL"/>
              </w:rPr>
              <w:t xml:space="preserve">  </w:t>
            </w:r>
            <w:r w:rsidRPr="00F75066">
              <w:rPr>
                <w:rFonts w:asciiTheme="minorBidi" w:hAnsiTheme="minorBidi" w:cstheme="minorBidi"/>
                <w:color w:val="000000"/>
                <w:sz w:val="18"/>
                <w:szCs w:val="18"/>
                <w:u w:val="single"/>
                <w:rtl/>
                <w:lang w:eastAsia="he-IL"/>
              </w:rPr>
              <w:t>(בלתי מבוקר)</w:t>
            </w:r>
          </w:p>
        </w:tc>
      </w:tr>
      <w:tr w:rsidR="006A2C31" w:rsidRPr="00E61F52" w14:paraId="59699230" w14:textId="77777777" w:rsidTr="00E96B34">
        <w:trPr>
          <w:trHeight w:val="259"/>
        </w:trPr>
        <w:tc>
          <w:tcPr>
            <w:tcW w:w="568" w:type="pct"/>
            <w:tcBorders>
              <w:right w:val="single" w:sz="4" w:space="0" w:color="auto"/>
            </w:tcBorders>
            <w:vAlign w:val="bottom"/>
          </w:tcPr>
          <w:p w14:paraId="28123423" w14:textId="77777777" w:rsidR="00E61F52" w:rsidRPr="00E61F52" w:rsidRDefault="00E61F52" w:rsidP="00424195">
            <w:pPr>
              <w:rPr>
                <w:rFonts w:asciiTheme="minorBidi" w:hAnsiTheme="minorBidi" w:cstheme="minorBidi"/>
                <w:sz w:val="18"/>
                <w:szCs w:val="18"/>
                <w:rtl/>
              </w:rPr>
            </w:pPr>
          </w:p>
        </w:tc>
        <w:tc>
          <w:tcPr>
            <w:tcW w:w="1547" w:type="pct"/>
            <w:tcBorders>
              <w:left w:val="single" w:sz="4" w:space="0" w:color="auto"/>
            </w:tcBorders>
            <w:vAlign w:val="bottom"/>
          </w:tcPr>
          <w:p w14:paraId="5D66E1E1" w14:textId="77777777" w:rsidR="00E61F52" w:rsidRPr="00E61F52" w:rsidRDefault="00E61F52" w:rsidP="00424195">
            <w:pPr>
              <w:ind w:left="144" w:hanging="144"/>
              <w:rPr>
                <w:rFonts w:asciiTheme="minorBidi" w:hAnsiTheme="minorBidi" w:cstheme="minorBidi"/>
                <w:color w:val="000000"/>
                <w:sz w:val="18"/>
                <w:szCs w:val="18"/>
                <w:rtl/>
                <w:lang w:eastAsia="he-IL"/>
              </w:rPr>
            </w:pPr>
          </w:p>
        </w:tc>
        <w:tc>
          <w:tcPr>
            <w:tcW w:w="1065" w:type="pct"/>
            <w:gridSpan w:val="2"/>
            <w:vAlign w:val="bottom"/>
            <w:hideMark/>
          </w:tcPr>
          <w:p w14:paraId="4EF4534C" w14:textId="77777777" w:rsidR="00E61F52" w:rsidRPr="00E61F52" w:rsidRDefault="00E61F52" w:rsidP="00424195">
            <w:pPr>
              <w:pBdr>
                <w:bottom w:val="single" w:sz="4"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סך הכל</w:t>
            </w:r>
          </w:p>
        </w:tc>
        <w:tc>
          <w:tcPr>
            <w:tcW w:w="1820" w:type="pct"/>
            <w:gridSpan w:val="5"/>
            <w:vAlign w:val="bottom"/>
          </w:tcPr>
          <w:p w14:paraId="0E2C6D4B" w14:textId="77777777" w:rsidR="00E61F52" w:rsidRPr="00E61F52" w:rsidRDefault="00E61F52" w:rsidP="00424195">
            <w:pPr>
              <w:pBdr>
                <w:bottom w:val="single" w:sz="4"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סוג השינוי</w:t>
            </w:r>
            <w:r w:rsidRPr="00E61F52">
              <w:rPr>
                <w:rFonts w:asciiTheme="minorBidi" w:hAnsiTheme="minorBidi" w:cstheme="minorBidi"/>
                <w:sz w:val="18"/>
                <w:szCs w:val="18"/>
                <w:vertAlign w:val="superscript"/>
                <w:rtl/>
              </w:rPr>
              <w:t xml:space="preserve"> (א)</w:t>
            </w:r>
          </w:p>
        </w:tc>
      </w:tr>
      <w:tr w:rsidR="006A2C31" w:rsidRPr="00E61F52" w14:paraId="69D7B7DC" w14:textId="77777777" w:rsidTr="00DE06C8">
        <w:trPr>
          <w:trHeight w:val="461"/>
        </w:trPr>
        <w:tc>
          <w:tcPr>
            <w:tcW w:w="568" w:type="pct"/>
            <w:tcBorders>
              <w:right w:val="single" w:sz="4" w:space="0" w:color="auto"/>
            </w:tcBorders>
            <w:vAlign w:val="bottom"/>
          </w:tcPr>
          <w:p w14:paraId="421A2144" w14:textId="77777777" w:rsidR="00E61F52" w:rsidRPr="00E61F52" w:rsidRDefault="00E61F52" w:rsidP="00424195">
            <w:pPr>
              <w:rPr>
                <w:rFonts w:asciiTheme="minorBidi" w:hAnsiTheme="minorBidi" w:cstheme="minorBidi"/>
                <w:sz w:val="18"/>
                <w:szCs w:val="18"/>
                <w:rtl/>
              </w:rPr>
            </w:pPr>
          </w:p>
        </w:tc>
        <w:tc>
          <w:tcPr>
            <w:tcW w:w="1547" w:type="pct"/>
            <w:tcBorders>
              <w:left w:val="single" w:sz="4" w:space="0" w:color="auto"/>
            </w:tcBorders>
            <w:vAlign w:val="bottom"/>
          </w:tcPr>
          <w:p w14:paraId="7F7B01C5" w14:textId="77777777" w:rsidR="00E61F52" w:rsidRPr="00E61F52" w:rsidRDefault="00E61F52" w:rsidP="00424195">
            <w:pPr>
              <w:ind w:left="144" w:hanging="144"/>
              <w:rPr>
                <w:rFonts w:asciiTheme="minorBidi" w:hAnsiTheme="minorBidi" w:cstheme="minorBidi"/>
                <w:color w:val="000000"/>
                <w:sz w:val="18"/>
                <w:szCs w:val="18"/>
                <w:rtl/>
                <w:lang w:eastAsia="he-IL"/>
              </w:rPr>
            </w:pPr>
          </w:p>
        </w:tc>
        <w:tc>
          <w:tcPr>
            <w:tcW w:w="513" w:type="pct"/>
            <w:vAlign w:val="bottom"/>
            <w:hideMark/>
          </w:tcPr>
          <w:p w14:paraId="2CFFDB21" w14:textId="77777777" w:rsidR="00E61F52" w:rsidRPr="00E61F52" w:rsidRDefault="00E61F52" w:rsidP="00424195">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יתרת חוב רשומה</w:t>
            </w:r>
          </w:p>
        </w:tc>
        <w:tc>
          <w:tcPr>
            <w:tcW w:w="552" w:type="pct"/>
            <w:vAlign w:val="bottom"/>
            <w:hideMark/>
          </w:tcPr>
          <w:p w14:paraId="6E863E80" w14:textId="77777777" w:rsidR="00E61F52" w:rsidRPr="00E61F52" w:rsidRDefault="00E61F52" w:rsidP="00424195">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אחוז השינוי מסך הכל</w:t>
            </w:r>
          </w:p>
        </w:tc>
        <w:tc>
          <w:tcPr>
            <w:tcW w:w="532" w:type="pct"/>
            <w:vAlign w:val="bottom"/>
            <w:hideMark/>
          </w:tcPr>
          <w:p w14:paraId="2F18B993" w14:textId="77777777" w:rsidR="00E61F52" w:rsidRPr="00E61F52" w:rsidRDefault="00E61F52" w:rsidP="00424195">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ויתור</w:t>
            </w:r>
          </w:p>
          <w:p w14:paraId="629406A8" w14:textId="77777777" w:rsidR="00E61F52" w:rsidRPr="00E61F52" w:rsidRDefault="00E61F52" w:rsidP="00424195">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על קרן</w:t>
            </w:r>
          </w:p>
        </w:tc>
        <w:tc>
          <w:tcPr>
            <w:tcW w:w="449" w:type="pct"/>
            <w:vAlign w:val="bottom"/>
            <w:hideMark/>
          </w:tcPr>
          <w:p w14:paraId="63D03518" w14:textId="77777777" w:rsidR="00E61F52" w:rsidRPr="00E61F52" w:rsidRDefault="00E61F52" w:rsidP="00424195">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ויתור</w:t>
            </w:r>
          </w:p>
          <w:p w14:paraId="4591C04C" w14:textId="77777777" w:rsidR="00E61F52" w:rsidRPr="00E61F52" w:rsidRDefault="00E61F52" w:rsidP="00424195">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על ריבית</w:t>
            </w:r>
          </w:p>
        </w:tc>
        <w:tc>
          <w:tcPr>
            <w:tcW w:w="365" w:type="pct"/>
            <w:vAlign w:val="bottom"/>
            <w:hideMark/>
          </w:tcPr>
          <w:p w14:paraId="038AF0A4" w14:textId="77777777" w:rsidR="00E61F52" w:rsidRPr="00E61F52" w:rsidRDefault="00E61F52" w:rsidP="00424195">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הארכת תקופה</w:t>
            </w:r>
          </w:p>
        </w:tc>
        <w:tc>
          <w:tcPr>
            <w:tcW w:w="474" w:type="pct"/>
            <w:gridSpan w:val="2"/>
            <w:vAlign w:val="bottom"/>
          </w:tcPr>
          <w:p w14:paraId="043E6C91" w14:textId="77777777" w:rsidR="00E61F52" w:rsidRPr="00E61F52" w:rsidRDefault="00E61F52" w:rsidP="00424195">
            <w:pPr>
              <w:pBdr>
                <w:bottom w:val="single" w:sz="4"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דחיית תשלומים</w:t>
            </w:r>
            <w:r w:rsidRPr="00E61F52">
              <w:rPr>
                <w:rFonts w:asciiTheme="minorBidi" w:hAnsiTheme="minorBidi" w:cstheme="minorBidi"/>
                <w:b/>
                <w:bCs/>
                <w:color w:val="000000"/>
                <w:sz w:val="18"/>
                <w:szCs w:val="18"/>
                <w:rtl/>
                <w:lang w:eastAsia="he-IL"/>
              </w:rPr>
              <w:t xml:space="preserve"> </w:t>
            </w:r>
          </w:p>
        </w:tc>
      </w:tr>
      <w:tr w:rsidR="006A2C31" w:rsidRPr="00E61F52" w14:paraId="323AB252" w14:textId="77777777" w:rsidTr="00E96B34">
        <w:trPr>
          <w:trHeight w:val="265"/>
        </w:trPr>
        <w:tc>
          <w:tcPr>
            <w:tcW w:w="568" w:type="pct"/>
            <w:tcBorders>
              <w:right w:val="single" w:sz="4" w:space="0" w:color="auto"/>
            </w:tcBorders>
            <w:vAlign w:val="bottom"/>
          </w:tcPr>
          <w:p w14:paraId="13B5742D" w14:textId="77777777" w:rsidR="00E61F52" w:rsidRPr="00E61F52" w:rsidRDefault="00E61F52" w:rsidP="00424195">
            <w:pPr>
              <w:rPr>
                <w:rFonts w:asciiTheme="minorBidi" w:hAnsiTheme="minorBidi" w:cstheme="minorBidi"/>
                <w:sz w:val="18"/>
                <w:szCs w:val="18"/>
                <w:rtl/>
              </w:rPr>
            </w:pPr>
          </w:p>
        </w:tc>
        <w:tc>
          <w:tcPr>
            <w:tcW w:w="1547" w:type="pct"/>
            <w:tcBorders>
              <w:left w:val="single" w:sz="4" w:space="0" w:color="auto"/>
            </w:tcBorders>
            <w:vAlign w:val="bottom"/>
          </w:tcPr>
          <w:p w14:paraId="3336A27D" w14:textId="77777777" w:rsidR="00E61F52" w:rsidRPr="00E61F52" w:rsidRDefault="00E61F52" w:rsidP="00424195">
            <w:pPr>
              <w:rPr>
                <w:rFonts w:asciiTheme="minorBidi" w:hAnsiTheme="minorBidi" w:cstheme="minorBidi"/>
                <w:color w:val="000000"/>
                <w:sz w:val="18"/>
                <w:szCs w:val="18"/>
                <w:rtl/>
                <w:lang w:eastAsia="he-IL"/>
              </w:rPr>
            </w:pPr>
          </w:p>
        </w:tc>
        <w:tc>
          <w:tcPr>
            <w:tcW w:w="513" w:type="pct"/>
            <w:vAlign w:val="bottom"/>
          </w:tcPr>
          <w:p w14:paraId="52045B78" w14:textId="77777777" w:rsidR="00E61F52" w:rsidRPr="00E61F52" w:rsidRDefault="00E61F52" w:rsidP="00424195">
            <w:pPr>
              <w:pBdr>
                <w:bottom w:val="single" w:sz="4" w:space="1" w:color="auto"/>
              </w:pBdr>
              <w:jc w:val="center"/>
              <w:rPr>
                <w:rFonts w:asciiTheme="minorBidi" w:hAnsiTheme="minorBidi" w:cstheme="minorBidi"/>
                <w:sz w:val="18"/>
                <w:szCs w:val="18"/>
                <w:rtl/>
              </w:rPr>
            </w:pPr>
            <w:r w:rsidRPr="00E61F52">
              <w:rPr>
                <w:rFonts w:asciiTheme="minorBidi" w:hAnsiTheme="minorBidi" w:cstheme="minorBidi"/>
                <w:sz w:val="18"/>
                <w:szCs w:val="18"/>
                <w:rtl/>
              </w:rPr>
              <w:t>מיליוני ש"ח</w:t>
            </w:r>
          </w:p>
        </w:tc>
        <w:tc>
          <w:tcPr>
            <w:tcW w:w="552" w:type="pct"/>
            <w:vAlign w:val="bottom"/>
          </w:tcPr>
          <w:p w14:paraId="0C35DE11" w14:textId="77777777" w:rsidR="00E61F52" w:rsidRPr="00E61F52" w:rsidRDefault="00E61F52" w:rsidP="00424195">
            <w:pPr>
              <w:pBdr>
                <w:bottom w:val="single" w:sz="4" w:space="1" w:color="auto"/>
              </w:pBdr>
              <w:jc w:val="center"/>
              <w:rPr>
                <w:rFonts w:asciiTheme="minorBidi" w:hAnsiTheme="minorBidi" w:cstheme="minorBidi"/>
                <w:sz w:val="18"/>
                <w:szCs w:val="18"/>
                <w:rtl/>
              </w:rPr>
            </w:pPr>
            <w:r w:rsidRPr="00E61F52">
              <w:rPr>
                <w:rFonts w:asciiTheme="minorBidi" w:hAnsiTheme="minorBidi" w:cstheme="minorBidi"/>
                <w:sz w:val="18"/>
                <w:szCs w:val="18"/>
                <w:rtl/>
              </w:rPr>
              <w:t>%</w:t>
            </w:r>
          </w:p>
        </w:tc>
        <w:tc>
          <w:tcPr>
            <w:tcW w:w="1820" w:type="pct"/>
            <w:gridSpan w:val="5"/>
            <w:vAlign w:val="bottom"/>
          </w:tcPr>
          <w:p w14:paraId="0994F2FE" w14:textId="77777777" w:rsidR="00E61F52" w:rsidRPr="00E61F52" w:rsidRDefault="00E61F52" w:rsidP="00424195">
            <w:pPr>
              <w:pBdr>
                <w:bottom w:val="single" w:sz="4" w:space="1" w:color="auto"/>
              </w:pBdr>
              <w:jc w:val="center"/>
              <w:rPr>
                <w:rFonts w:asciiTheme="minorBidi" w:hAnsiTheme="minorBidi" w:cstheme="minorBidi"/>
                <w:sz w:val="18"/>
                <w:szCs w:val="18"/>
                <w:rtl/>
              </w:rPr>
            </w:pPr>
            <w:r w:rsidRPr="00E61F52">
              <w:rPr>
                <w:rFonts w:asciiTheme="minorBidi" w:hAnsiTheme="minorBidi" w:cstheme="minorBidi"/>
                <w:sz w:val="18"/>
                <w:szCs w:val="18"/>
                <w:rtl/>
              </w:rPr>
              <w:t>מיליוני ש"ח</w:t>
            </w:r>
          </w:p>
        </w:tc>
      </w:tr>
      <w:tr w:rsidR="006A2C31" w:rsidRPr="00E61F52" w14:paraId="1E8EE46E" w14:textId="77777777" w:rsidTr="00E96B34">
        <w:trPr>
          <w:trHeight w:val="259"/>
        </w:trPr>
        <w:tc>
          <w:tcPr>
            <w:tcW w:w="568" w:type="pct"/>
            <w:tcBorders>
              <w:right w:val="single" w:sz="4" w:space="0" w:color="auto"/>
            </w:tcBorders>
            <w:vAlign w:val="bottom"/>
          </w:tcPr>
          <w:p w14:paraId="10D7C889" w14:textId="77777777" w:rsidR="00E61F52" w:rsidRPr="00E61F52" w:rsidRDefault="00E61F52" w:rsidP="00424195">
            <w:pPr>
              <w:rPr>
                <w:rFonts w:asciiTheme="minorBidi" w:hAnsiTheme="minorBidi" w:cstheme="minorBidi"/>
                <w:sz w:val="18"/>
                <w:szCs w:val="18"/>
                <w:rtl/>
              </w:rPr>
            </w:pPr>
          </w:p>
        </w:tc>
        <w:tc>
          <w:tcPr>
            <w:tcW w:w="1547" w:type="pct"/>
            <w:tcBorders>
              <w:left w:val="single" w:sz="4" w:space="0" w:color="auto"/>
            </w:tcBorders>
            <w:vAlign w:val="bottom"/>
            <w:hideMark/>
          </w:tcPr>
          <w:p w14:paraId="4134F3F4" w14:textId="77777777" w:rsidR="00E61F52" w:rsidRPr="00E61F52" w:rsidRDefault="00E61F52" w:rsidP="00424195">
            <w:pPr>
              <w:ind w:left="34"/>
              <w:rPr>
                <w:rFonts w:asciiTheme="minorBidi" w:hAnsiTheme="minorBidi" w:cstheme="minorBidi"/>
                <w:b/>
                <w:bCs/>
                <w:color w:val="000000"/>
                <w:sz w:val="18"/>
                <w:szCs w:val="18"/>
                <w:u w:val="single"/>
                <w:rtl/>
                <w:lang w:eastAsia="he-IL"/>
              </w:rPr>
            </w:pPr>
            <w:r w:rsidRPr="00E61F52">
              <w:rPr>
                <w:rFonts w:asciiTheme="minorBidi" w:hAnsiTheme="minorBidi" w:cstheme="minorBidi"/>
                <w:b/>
                <w:bCs/>
                <w:color w:val="000000"/>
                <w:sz w:val="18"/>
                <w:szCs w:val="18"/>
                <w:u w:val="single"/>
                <w:rtl/>
                <w:lang w:eastAsia="he-IL"/>
              </w:rPr>
              <w:t>פעילות לווים בישראל</w:t>
            </w:r>
          </w:p>
        </w:tc>
        <w:tc>
          <w:tcPr>
            <w:tcW w:w="513" w:type="pct"/>
            <w:vAlign w:val="bottom"/>
          </w:tcPr>
          <w:p w14:paraId="277FBCB9" w14:textId="77777777" w:rsidR="00E61F52" w:rsidRPr="00E61F52" w:rsidRDefault="00E61F52" w:rsidP="00424195">
            <w:pPr>
              <w:rPr>
                <w:rFonts w:asciiTheme="minorBidi" w:hAnsiTheme="minorBidi" w:cstheme="minorBidi"/>
                <w:sz w:val="18"/>
                <w:szCs w:val="18"/>
                <w:rtl/>
              </w:rPr>
            </w:pPr>
          </w:p>
        </w:tc>
        <w:tc>
          <w:tcPr>
            <w:tcW w:w="552" w:type="pct"/>
            <w:vAlign w:val="bottom"/>
          </w:tcPr>
          <w:p w14:paraId="6A77B9F4" w14:textId="77777777" w:rsidR="00E61F52" w:rsidRPr="00E61F52" w:rsidRDefault="00E61F52" w:rsidP="00424195">
            <w:pPr>
              <w:rPr>
                <w:rFonts w:asciiTheme="minorBidi" w:hAnsiTheme="minorBidi" w:cstheme="minorBidi"/>
                <w:sz w:val="18"/>
                <w:szCs w:val="18"/>
                <w:rtl/>
              </w:rPr>
            </w:pPr>
          </w:p>
        </w:tc>
        <w:tc>
          <w:tcPr>
            <w:tcW w:w="532" w:type="pct"/>
            <w:vAlign w:val="bottom"/>
          </w:tcPr>
          <w:p w14:paraId="0E25C10D" w14:textId="77777777" w:rsidR="00E61F52" w:rsidRPr="00E61F52" w:rsidRDefault="00E61F52" w:rsidP="00424195">
            <w:pPr>
              <w:rPr>
                <w:rFonts w:asciiTheme="minorBidi" w:hAnsiTheme="minorBidi" w:cstheme="minorBidi"/>
                <w:sz w:val="18"/>
                <w:szCs w:val="18"/>
                <w:rtl/>
              </w:rPr>
            </w:pPr>
          </w:p>
        </w:tc>
        <w:tc>
          <w:tcPr>
            <w:tcW w:w="449" w:type="pct"/>
            <w:vAlign w:val="bottom"/>
          </w:tcPr>
          <w:p w14:paraId="596BC96B" w14:textId="77777777" w:rsidR="00E61F52" w:rsidRPr="00E61F52" w:rsidRDefault="00E61F52" w:rsidP="00424195">
            <w:pPr>
              <w:rPr>
                <w:rFonts w:asciiTheme="minorBidi" w:hAnsiTheme="minorBidi" w:cstheme="minorBidi"/>
                <w:sz w:val="18"/>
                <w:szCs w:val="18"/>
                <w:rtl/>
              </w:rPr>
            </w:pPr>
          </w:p>
        </w:tc>
        <w:tc>
          <w:tcPr>
            <w:tcW w:w="365" w:type="pct"/>
            <w:vAlign w:val="bottom"/>
          </w:tcPr>
          <w:p w14:paraId="171AE278" w14:textId="77777777" w:rsidR="00E61F52" w:rsidRPr="00E61F52" w:rsidRDefault="00E61F52" w:rsidP="00424195">
            <w:pPr>
              <w:rPr>
                <w:rFonts w:asciiTheme="minorBidi" w:hAnsiTheme="minorBidi" w:cstheme="minorBidi"/>
                <w:sz w:val="18"/>
                <w:szCs w:val="18"/>
                <w:rtl/>
              </w:rPr>
            </w:pPr>
          </w:p>
        </w:tc>
        <w:tc>
          <w:tcPr>
            <w:tcW w:w="474" w:type="pct"/>
            <w:gridSpan w:val="2"/>
            <w:vAlign w:val="bottom"/>
          </w:tcPr>
          <w:p w14:paraId="7D6ECBD7" w14:textId="77777777" w:rsidR="00E61F52" w:rsidRPr="00E61F52" w:rsidRDefault="00E61F52" w:rsidP="00424195">
            <w:pPr>
              <w:rPr>
                <w:rFonts w:asciiTheme="minorBidi" w:hAnsiTheme="minorBidi" w:cstheme="minorBidi"/>
                <w:sz w:val="18"/>
                <w:szCs w:val="18"/>
                <w:rtl/>
              </w:rPr>
            </w:pPr>
          </w:p>
        </w:tc>
      </w:tr>
      <w:tr w:rsidR="006A2C31" w:rsidRPr="00E61F52" w14:paraId="71921CB3" w14:textId="77777777" w:rsidTr="00E96B34">
        <w:trPr>
          <w:trHeight w:val="259"/>
        </w:trPr>
        <w:tc>
          <w:tcPr>
            <w:tcW w:w="568" w:type="pct"/>
            <w:tcBorders>
              <w:right w:val="single" w:sz="4" w:space="0" w:color="auto"/>
            </w:tcBorders>
            <w:vAlign w:val="bottom"/>
          </w:tcPr>
          <w:p w14:paraId="6ADE0409" w14:textId="77777777" w:rsidR="00E61F52" w:rsidRPr="00E61F52" w:rsidRDefault="00E61F52" w:rsidP="00424195">
            <w:pPr>
              <w:rPr>
                <w:rFonts w:asciiTheme="minorBidi" w:hAnsiTheme="minorBidi" w:cstheme="minorBidi"/>
                <w:sz w:val="18"/>
                <w:szCs w:val="18"/>
                <w:rtl/>
              </w:rPr>
            </w:pPr>
          </w:p>
        </w:tc>
        <w:tc>
          <w:tcPr>
            <w:tcW w:w="1547" w:type="pct"/>
            <w:tcBorders>
              <w:left w:val="single" w:sz="4" w:space="0" w:color="auto"/>
            </w:tcBorders>
            <w:vAlign w:val="bottom"/>
            <w:hideMark/>
          </w:tcPr>
          <w:p w14:paraId="624DB053" w14:textId="77777777" w:rsidR="00E61F52" w:rsidRPr="00E61F52" w:rsidRDefault="00E61F52" w:rsidP="00424195">
            <w:pPr>
              <w:ind w:left="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מסחרי</w:t>
            </w:r>
          </w:p>
        </w:tc>
        <w:tc>
          <w:tcPr>
            <w:tcW w:w="513" w:type="pct"/>
            <w:vAlign w:val="bottom"/>
            <w:hideMark/>
          </w:tcPr>
          <w:p w14:paraId="59723F16" w14:textId="77777777" w:rsidR="00E61F52" w:rsidRPr="00E61F52" w:rsidRDefault="00E61F52" w:rsidP="00424195">
            <w:pPr>
              <w:rPr>
                <w:rFonts w:asciiTheme="minorBidi" w:hAnsiTheme="minorBidi" w:cstheme="minorBidi"/>
                <w:sz w:val="18"/>
                <w:szCs w:val="18"/>
              </w:rPr>
            </w:pPr>
            <w:r w:rsidRPr="00E61F52">
              <w:rPr>
                <w:rFonts w:asciiTheme="minorBidi" w:hAnsiTheme="minorBidi" w:cstheme="minorBidi"/>
                <w:sz w:val="18"/>
                <w:szCs w:val="18"/>
                <w:rtl/>
              </w:rPr>
              <w:t xml:space="preserve"> 0</w:t>
            </w:r>
          </w:p>
        </w:tc>
        <w:tc>
          <w:tcPr>
            <w:tcW w:w="552" w:type="pct"/>
            <w:vAlign w:val="bottom"/>
            <w:hideMark/>
          </w:tcPr>
          <w:p w14:paraId="0EEB0E28" w14:textId="77777777" w:rsidR="00E61F52" w:rsidRPr="00E61F52" w:rsidRDefault="00E61F52" w:rsidP="00424195">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32" w:type="pct"/>
            <w:vAlign w:val="bottom"/>
            <w:hideMark/>
          </w:tcPr>
          <w:p w14:paraId="6A8ABBDE" w14:textId="77777777" w:rsidR="00E61F52" w:rsidRPr="00E61F52" w:rsidRDefault="00E61F52" w:rsidP="00424195">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49" w:type="pct"/>
            <w:vAlign w:val="bottom"/>
            <w:hideMark/>
          </w:tcPr>
          <w:p w14:paraId="67561B59" w14:textId="77777777" w:rsidR="00E61F52" w:rsidRPr="00E61F52" w:rsidRDefault="00E61F52" w:rsidP="00424195">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365" w:type="pct"/>
            <w:vAlign w:val="bottom"/>
            <w:hideMark/>
          </w:tcPr>
          <w:p w14:paraId="6D640E27" w14:textId="77777777" w:rsidR="00E61F52" w:rsidRPr="00E61F52" w:rsidRDefault="00E61F52" w:rsidP="00424195">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74" w:type="pct"/>
            <w:gridSpan w:val="2"/>
            <w:vAlign w:val="bottom"/>
          </w:tcPr>
          <w:p w14:paraId="327FF2CB" w14:textId="77777777" w:rsidR="00E61F52" w:rsidRPr="00E61F52" w:rsidRDefault="00E61F52" w:rsidP="00424195">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6A2C31" w:rsidRPr="00E61F52" w14:paraId="5A74B2F6" w14:textId="77777777" w:rsidTr="00E96B34">
        <w:trPr>
          <w:trHeight w:val="259"/>
        </w:trPr>
        <w:tc>
          <w:tcPr>
            <w:tcW w:w="568" w:type="pct"/>
            <w:tcBorders>
              <w:right w:val="single" w:sz="4" w:space="0" w:color="auto"/>
            </w:tcBorders>
            <w:vAlign w:val="bottom"/>
          </w:tcPr>
          <w:p w14:paraId="0D63FFC2" w14:textId="77777777" w:rsidR="00E61F52" w:rsidRPr="00E61F52" w:rsidRDefault="00E61F52" w:rsidP="00424195">
            <w:pPr>
              <w:rPr>
                <w:rFonts w:asciiTheme="minorBidi" w:hAnsiTheme="minorBidi" w:cstheme="minorBidi"/>
                <w:sz w:val="18"/>
                <w:szCs w:val="18"/>
                <w:rtl/>
              </w:rPr>
            </w:pPr>
          </w:p>
        </w:tc>
        <w:tc>
          <w:tcPr>
            <w:tcW w:w="1547" w:type="pct"/>
            <w:tcBorders>
              <w:left w:val="single" w:sz="4" w:space="0" w:color="auto"/>
            </w:tcBorders>
            <w:vAlign w:val="bottom"/>
            <w:hideMark/>
          </w:tcPr>
          <w:p w14:paraId="50576B59" w14:textId="77777777" w:rsidR="00E61F52" w:rsidRPr="00E61F52" w:rsidRDefault="00E61F52" w:rsidP="00424195">
            <w:pPr>
              <w:spacing w:before="40" w:line="200" w:lineRule="exact"/>
              <w:ind w:right="144" w:firstLine="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אנשים פרטיים - הלוואות לדיור</w:t>
            </w:r>
          </w:p>
        </w:tc>
        <w:tc>
          <w:tcPr>
            <w:tcW w:w="513" w:type="pct"/>
            <w:vAlign w:val="bottom"/>
            <w:hideMark/>
          </w:tcPr>
          <w:p w14:paraId="44BE262D" w14:textId="77777777" w:rsidR="00E61F52" w:rsidRPr="00E61F52" w:rsidRDefault="00E61F52" w:rsidP="00424195">
            <w:pPr>
              <w:rPr>
                <w:rFonts w:asciiTheme="minorBidi" w:hAnsiTheme="minorBidi" w:cstheme="minorBidi"/>
                <w:sz w:val="18"/>
                <w:szCs w:val="18"/>
              </w:rPr>
            </w:pPr>
            <w:r w:rsidRPr="00E61F52">
              <w:rPr>
                <w:rFonts w:asciiTheme="minorBidi" w:hAnsiTheme="minorBidi" w:cstheme="minorBidi"/>
                <w:sz w:val="18"/>
                <w:szCs w:val="18"/>
                <w:rtl/>
              </w:rPr>
              <w:t xml:space="preserve"> 0</w:t>
            </w:r>
          </w:p>
        </w:tc>
        <w:tc>
          <w:tcPr>
            <w:tcW w:w="552" w:type="pct"/>
            <w:vAlign w:val="bottom"/>
          </w:tcPr>
          <w:p w14:paraId="4DCB54F4" w14:textId="77777777" w:rsidR="00E61F52" w:rsidRPr="00E61F52" w:rsidRDefault="00E61F52" w:rsidP="00424195">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32" w:type="pct"/>
            <w:vAlign w:val="bottom"/>
            <w:hideMark/>
          </w:tcPr>
          <w:p w14:paraId="0C86EEDC" w14:textId="77777777" w:rsidR="00E61F52" w:rsidRPr="00E61F52" w:rsidRDefault="00E61F52" w:rsidP="00424195">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49" w:type="pct"/>
            <w:vAlign w:val="bottom"/>
            <w:hideMark/>
          </w:tcPr>
          <w:p w14:paraId="2F8615B6" w14:textId="77777777" w:rsidR="00E61F52" w:rsidRPr="00E61F52" w:rsidRDefault="00E61F52" w:rsidP="00424195">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365" w:type="pct"/>
            <w:vAlign w:val="bottom"/>
            <w:hideMark/>
          </w:tcPr>
          <w:p w14:paraId="45FBABE7" w14:textId="77777777" w:rsidR="00E61F52" w:rsidRPr="00E61F52" w:rsidRDefault="00E61F52" w:rsidP="00424195">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74" w:type="pct"/>
            <w:gridSpan w:val="2"/>
            <w:vAlign w:val="bottom"/>
          </w:tcPr>
          <w:p w14:paraId="62FE8D04" w14:textId="77777777" w:rsidR="00E61F52" w:rsidRPr="00E61F52" w:rsidRDefault="00E61F52" w:rsidP="00424195">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6A2C31" w:rsidRPr="00E61F52" w14:paraId="6C9263CF" w14:textId="77777777" w:rsidTr="00E96B34">
        <w:trPr>
          <w:trHeight w:val="259"/>
        </w:trPr>
        <w:tc>
          <w:tcPr>
            <w:tcW w:w="568" w:type="pct"/>
            <w:tcBorders>
              <w:right w:val="single" w:sz="4" w:space="0" w:color="auto"/>
            </w:tcBorders>
            <w:vAlign w:val="bottom"/>
          </w:tcPr>
          <w:p w14:paraId="4A025F68" w14:textId="77777777" w:rsidR="00E61F52" w:rsidRPr="00E61F52" w:rsidRDefault="00E61F52" w:rsidP="00424195">
            <w:pPr>
              <w:rPr>
                <w:rFonts w:asciiTheme="minorBidi" w:hAnsiTheme="minorBidi" w:cstheme="minorBidi"/>
                <w:sz w:val="18"/>
                <w:szCs w:val="18"/>
                <w:rtl/>
              </w:rPr>
            </w:pPr>
          </w:p>
        </w:tc>
        <w:tc>
          <w:tcPr>
            <w:tcW w:w="1547" w:type="pct"/>
            <w:tcBorders>
              <w:left w:val="single" w:sz="4" w:space="0" w:color="auto"/>
            </w:tcBorders>
            <w:vAlign w:val="bottom"/>
            <w:hideMark/>
          </w:tcPr>
          <w:p w14:paraId="58130307" w14:textId="77777777" w:rsidR="00E61F52" w:rsidRPr="00E61F52" w:rsidRDefault="00E61F52" w:rsidP="00424195">
            <w:pPr>
              <w:ind w:firstLine="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אנשים פרטיים - אחר</w:t>
            </w:r>
          </w:p>
        </w:tc>
        <w:tc>
          <w:tcPr>
            <w:tcW w:w="513" w:type="pct"/>
            <w:vAlign w:val="bottom"/>
            <w:hideMark/>
          </w:tcPr>
          <w:p w14:paraId="6C68131C" w14:textId="77777777" w:rsidR="00E61F52" w:rsidRPr="00E61F52" w:rsidRDefault="00E61F52" w:rsidP="00424195">
            <w:pPr>
              <w:rPr>
                <w:rFonts w:asciiTheme="minorBidi" w:hAnsiTheme="minorBidi" w:cstheme="minorBidi"/>
                <w:sz w:val="18"/>
                <w:szCs w:val="18"/>
              </w:rPr>
            </w:pPr>
            <w:r w:rsidRPr="00E61F52">
              <w:rPr>
                <w:rFonts w:asciiTheme="minorBidi" w:hAnsiTheme="minorBidi" w:cstheme="minorBidi"/>
                <w:sz w:val="18"/>
                <w:szCs w:val="18"/>
                <w:rtl/>
              </w:rPr>
              <w:t xml:space="preserve"> 0</w:t>
            </w:r>
          </w:p>
        </w:tc>
        <w:tc>
          <w:tcPr>
            <w:tcW w:w="552" w:type="pct"/>
            <w:vAlign w:val="bottom"/>
          </w:tcPr>
          <w:p w14:paraId="6FB204C4" w14:textId="77777777" w:rsidR="00E61F52" w:rsidRPr="00E61F52" w:rsidRDefault="00E61F52" w:rsidP="00424195">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32" w:type="pct"/>
            <w:vAlign w:val="bottom"/>
            <w:hideMark/>
          </w:tcPr>
          <w:p w14:paraId="1B6DCD1D" w14:textId="77777777" w:rsidR="00E61F52" w:rsidRPr="00E61F52" w:rsidRDefault="00E61F52" w:rsidP="00424195">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49" w:type="pct"/>
            <w:vAlign w:val="bottom"/>
            <w:hideMark/>
          </w:tcPr>
          <w:p w14:paraId="5E629964" w14:textId="77777777" w:rsidR="00E61F52" w:rsidRPr="00E61F52" w:rsidRDefault="00E61F52" w:rsidP="00424195">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365" w:type="pct"/>
            <w:vAlign w:val="bottom"/>
            <w:hideMark/>
          </w:tcPr>
          <w:p w14:paraId="07A37297" w14:textId="77777777" w:rsidR="00E61F52" w:rsidRPr="00E61F52" w:rsidRDefault="00E61F52" w:rsidP="00424195">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74" w:type="pct"/>
            <w:gridSpan w:val="2"/>
            <w:vAlign w:val="bottom"/>
          </w:tcPr>
          <w:p w14:paraId="246FB57E" w14:textId="77777777" w:rsidR="00E61F52" w:rsidRPr="00E61F52" w:rsidRDefault="00E61F52" w:rsidP="00424195">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6A2C31" w:rsidRPr="00E61F52" w14:paraId="4D461ACA" w14:textId="77777777" w:rsidTr="00E96B34">
        <w:trPr>
          <w:trHeight w:val="259"/>
        </w:trPr>
        <w:tc>
          <w:tcPr>
            <w:tcW w:w="568" w:type="pct"/>
            <w:tcBorders>
              <w:right w:val="single" w:sz="4" w:space="0" w:color="auto"/>
            </w:tcBorders>
            <w:vAlign w:val="bottom"/>
          </w:tcPr>
          <w:p w14:paraId="470BEF84" w14:textId="77777777" w:rsidR="00E61F52" w:rsidRPr="00E61F52" w:rsidRDefault="00E61F52" w:rsidP="00424195">
            <w:pPr>
              <w:rPr>
                <w:rFonts w:asciiTheme="minorBidi" w:hAnsiTheme="minorBidi" w:cstheme="minorBidi"/>
                <w:sz w:val="18"/>
                <w:szCs w:val="18"/>
                <w:rtl/>
              </w:rPr>
            </w:pPr>
          </w:p>
        </w:tc>
        <w:tc>
          <w:tcPr>
            <w:tcW w:w="1547" w:type="pct"/>
            <w:tcBorders>
              <w:left w:val="single" w:sz="4" w:space="0" w:color="auto"/>
            </w:tcBorders>
            <w:vAlign w:val="bottom"/>
            <w:hideMark/>
          </w:tcPr>
          <w:p w14:paraId="2FF06369" w14:textId="77777777" w:rsidR="00E61F52" w:rsidRPr="00E61F52" w:rsidRDefault="00E61F52" w:rsidP="00424195">
            <w:pPr>
              <w:spacing w:before="60" w:line="180" w:lineRule="exact"/>
              <w:ind w:left="34" w:right="142"/>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 - פעילות בישראל</w:t>
            </w:r>
          </w:p>
        </w:tc>
        <w:tc>
          <w:tcPr>
            <w:tcW w:w="513" w:type="pct"/>
            <w:vAlign w:val="bottom"/>
            <w:hideMark/>
          </w:tcPr>
          <w:p w14:paraId="34227F6C" w14:textId="77777777" w:rsidR="00E61F52" w:rsidRPr="00E61F52" w:rsidRDefault="00E61F52" w:rsidP="00424195">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52" w:type="pct"/>
            <w:vAlign w:val="bottom"/>
          </w:tcPr>
          <w:p w14:paraId="2A7F28A1" w14:textId="77777777" w:rsidR="00E61F52" w:rsidRPr="00E61F52" w:rsidRDefault="00E61F52" w:rsidP="00424195">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sz w:val="18"/>
                <w:szCs w:val="18"/>
                <w:rtl/>
              </w:rPr>
              <w:t xml:space="preserve"> 0%</w:t>
            </w:r>
          </w:p>
        </w:tc>
        <w:tc>
          <w:tcPr>
            <w:tcW w:w="532" w:type="pct"/>
            <w:vAlign w:val="bottom"/>
            <w:hideMark/>
          </w:tcPr>
          <w:p w14:paraId="6B466C85" w14:textId="77777777" w:rsidR="00E61F52" w:rsidRPr="00E61F52" w:rsidRDefault="00E61F52" w:rsidP="00424195">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449" w:type="pct"/>
            <w:vAlign w:val="bottom"/>
            <w:hideMark/>
          </w:tcPr>
          <w:p w14:paraId="07BE27D3" w14:textId="77777777" w:rsidR="00E61F52" w:rsidRPr="00E61F52" w:rsidRDefault="00E61F52" w:rsidP="00424195">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365" w:type="pct"/>
            <w:vAlign w:val="bottom"/>
            <w:hideMark/>
          </w:tcPr>
          <w:p w14:paraId="250A86B9" w14:textId="77777777" w:rsidR="00E61F52" w:rsidRPr="00E61F52" w:rsidRDefault="00E61F52" w:rsidP="00424195">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474" w:type="pct"/>
            <w:gridSpan w:val="2"/>
            <w:vAlign w:val="bottom"/>
          </w:tcPr>
          <w:p w14:paraId="1FDF1C1C" w14:textId="77777777" w:rsidR="00E61F52" w:rsidRPr="00E61F52" w:rsidRDefault="00E61F52" w:rsidP="00424195">
            <w:pPr>
              <w:pBdr>
                <w:top w:val="single" w:sz="4" w:space="1" w:color="auto"/>
              </w:pBdr>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r>
      <w:tr w:rsidR="006A2C31" w:rsidRPr="00E61F52" w14:paraId="19444479" w14:textId="77777777" w:rsidTr="00E96B34">
        <w:trPr>
          <w:trHeight w:val="259"/>
        </w:trPr>
        <w:tc>
          <w:tcPr>
            <w:tcW w:w="568" w:type="pct"/>
            <w:tcBorders>
              <w:right w:val="single" w:sz="4" w:space="0" w:color="auto"/>
            </w:tcBorders>
            <w:vAlign w:val="bottom"/>
          </w:tcPr>
          <w:p w14:paraId="157E8F34" w14:textId="77777777" w:rsidR="00E61F52" w:rsidRPr="00E61F52" w:rsidRDefault="00E61F52" w:rsidP="00424195">
            <w:pPr>
              <w:rPr>
                <w:rFonts w:asciiTheme="minorBidi" w:hAnsiTheme="minorBidi" w:cstheme="minorBidi"/>
                <w:sz w:val="18"/>
                <w:szCs w:val="18"/>
                <w:rtl/>
              </w:rPr>
            </w:pPr>
          </w:p>
        </w:tc>
        <w:tc>
          <w:tcPr>
            <w:tcW w:w="1547" w:type="pct"/>
            <w:tcBorders>
              <w:left w:val="single" w:sz="4" w:space="0" w:color="auto"/>
            </w:tcBorders>
            <w:vAlign w:val="bottom"/>
            <w:hideMark/>
          </w:tcPr>
          <w:p w14:paraId="33486CDF" w14:textId="77777777" w:rsidR="00E61F52" w:rsidRPr="00E61F52" w:rsidRDefault="00E61F52" w:rsidP="00424195">
            <w:pPr>
              <w:spacing w:before="40" w:line="180" w:lineRule="exact"/>
              <w:ind w:left="142" w:right="142" w:hanging="108"/>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 - פעילות בחו"ל</w:t>
            </w:r>
          </w:p>
        </w:tc>
        <w:tc>
          <w:tcPr>
            <w:tcW w:w="513" w:type="pct"/>
            <w:vAlign w:val="bottom"/>
            <w:hideMark/>
          </w:tcPr>
          <w:p w14:paraId="7C857C94" w14:textId="77777777" w:rsidR="00E61F52" w:rsidRPr="00E61F52" w:rsidRDefault="00E61F52" w:rsidP="00424195">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52" w:type="pct"/>
            <w:vAlign w:val="bottom"/>
          </w:tcPr>
          <w:p w14:paraId="2809243E" w14:textId="77777777" w:rsidR="00E61F52" w:rsidRPr="00E61F52" w:rsidRDefault="00E61F52" w:rsidP="00424195">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sz w:val="18"/>
                <w:szCs w:val="18"/>
                <w:rtl/>
              </w:rPr>
              <w:t xml:space="preserve"> 0%</w:t>
            </w:r>
          </w:p>
        </w:tc>
        <w:tc>
          <w:tcPr>
            <w:tcW w:w="532" w:type="pct"/>
            <w:vAlign w:val="bottom"/>
            <w:hideMark/>
          </w:tcPr>
          <w:p w14:paraId="01C01659" w14:textId="77777777" w:rsidR="00E61F52" w:rsidRPr="00E61F52" w:rsidRDefault="00E61F52" w:rsidP="00424195">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449" w:type="pct"/>
            <w:vAlign w:val="bottom"/>
            <w:hideMark/>
          </w:tcPr>
          <w:p w14:paraId="4126142C" w14:textId="77777777" w:rsidR="00E61F52" w:rsidRPr="00E61F52" w:rsidRDefault="00E61F52" w:rsidP="00424195">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365" w:type="pct"/>
            <w:vAlign w:val="bottom"/>
            <w:hideMark/>
          </w:tcPr>
          <w:p w14:paraId="6CE0AC88" w14:textId="77777777" w:rsidR="00E61F52" w:rsidRPr="00E61F52" w:rsidRDefault="00E61F52" w:rsidP="00424195">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474" w:type="pct"/>
            <w:gridSpan w:val="2"/>
            <w:vAlign w:val="bottom"/>
          </w:tcPr>
          <w:p w14:paraId="0247D85E" w14:textId="77777777" w:rsidR="00E61F52" w:rsidRPr="00E61F52" w:rsidRDefault="00E61F52" w:rsidP="00424195">
            <w:pPr>
              <w:pBdr>
                <w:bottom w:val="single" w:sz="4" w:space="1" w:color="auto"/>
              </w:pBdr>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r>
      <w:tr w:rsidR="006A2C31" w:rsidRPr="00E61F52" w14:paraId="052BE9DA" w14:textId="77777777" w:rsidTr="00E96B34">
        <w:trPr>
          <w:trHeight w:val="259"/>
        </w:trPr>
        <w:tc>
          <w:tcPr>
            <w:tcW w:w="568" w:type="pct"/>
            <w:tcBorders>
              <w:right w:val="single" w:sz="4" w:space="0" w:color="auto"/>
            </w:tcBorders>
            <w:vAlign w:val="bottom"/>
          </w:tcPr>
          <w:p w14:paraId="6B03A3E2" w14:textId="77777777" w:rsidR="00E61F52" w:rsidRPr="00E61F52" w:rsidRDefault="00E61F52" w:rsidP="00424195">
            <w:pPr>
              <w:rPr>
                <w:rFonts w:asciiTheme="minorBidi" w:hAnsiTheme="minorBidi" w:cstheme="minorBidi"/>
                <w:sz w:val="18"/>
                <w:szCs w:val="18"/>
                <w:rtl/>
              </w:rPr>
            </w:pPr>
          </w:p>
        </w:tc>
        <w:tc>
          <w:tcPr>
            <w:tcW w:w="1547" w:type="pct"/>
            <w:tcBorders>
              <w:left w:val="single" w:sz="4" w:space="0" w:color="auto"/>
            </w:tcBorders>
            <w:vAlign w:val="bottom"/>
            <w:hideMark/>
          </w:tcPr>
          <w:p w14:paraId="05B3025A" w14:textId="77777777" w:rsidR="00E61F52" w:rsidRPr="00E61F52" w:rsidRDefault="00E61F52" w:rsidP="00424195">
            <w:pP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w:t>
            </w:r>
          </w:p>
        </w:tc>
        <w:tc>
          <w:tcPr>
            <w:tcW w:w="513" w:type="pct"/>
            <w:vAlign w:val="bottom"/>
            <w:hideMark/>
          </w:tcPr>
          <w:p w14:paraId="3F6DE3E1" w14:textId="77777777" w:rsidR="00E61F52" w:rsidRPr="00E61F52" w:rsidRDefault="00E61F52" w:rsidP="00424195">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52" w:type="pct"/>
            <w:vAlign w:val="bottom"/>
          </w:tcPr>
          <w:p w14:paraId="75CBF684" w14:textId="77777777" w:rsidR="00E61F52" w:rsidRPr="00E61F52" w:rsidRDefault="00E61F52" w:rsidP="00424195">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sz w:val="18"/>
                <w:szCs w:val="18"/>
                <w:rtl/>
              </w:rPr>
              <w:t xml:space="preserve"> 0%</w:t>
            </w:r>
          </w:p>
        </w:tc>
        <w:tc>
          <w:tcPr>
            <w:tcW w:w="532" w:type="pct"/>
            <w:vAlign w:val="bottom"/>
            <w:hideMark/>
          </w:tcPr>
          <w:p w14:paraId="2CBD269B" w14:textId="77777777" w:rsidR="00E61F52" w:rsidRPr="00E61F52" w:rsidRDefault="00E61F52" w:rsidP="00424195">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449" w:type="pct"/>
            <w:vAlign w:val="bottom"/>
            <w:hideMark/>
          </w:tcPr>
          <w:p w14:paraId="6F7EDD80" w14:textId="77777777" w:rsidR="00E61F52" w:rsidRPr="00E61F52" w:rsidRDefault="00E61F52" w:rsidP="00424195">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365" w:type="pct"/>
            <w:vAlign w:val="bottom"/>
            <w:hideMark/>
          </w:tcPr>
          <w:p w14:paraId="7104657E" w14:textId="77777777" w:rsidR="00E61F52" w:rsidRPr="00E61F52" w:rsidRDefault="00E61F52" w:rsidP="00424195">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r w:rsidRPr="00E61F52">
              <w:rPr>
                <w:rFonts w:asciiTheme="minorBidi" w:hAnsiTheme="minorBidi" w:cstheme="minorBidi"/>
                <w:sz w:val="18"/>
                <w:szCs w:val="18"/>
                <w:vertAlign w:val="superscript"/>
                <w:rtl/>
              </w:rPr>
              <w:t xml:space="preserve"> </w:t>
            </w:r>
          </w:p>
        </w:tc>
        <w:tc>
          <w:tcPr>
            <w:tcW w:w="474" w:type="pct"/>
            <w:gridSpan w:val="2"/>
            <w:vAlign w:val="bottom"/>
          </w:tcPr>
          <w:p w14:paraId="50B6857D" w14:textId="77777777" w:rsidR="00E61F52" w:rsidRPr="00E61F52" w:rsidRDefault="00E61F52" w:rsidP="00424195">
            <w:pPr>
              <w:pBdr>
                <w:bottom w:val="double" w:sz="4" w:space="1" w:color="auto"/>
              </w:pBdr>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r w:rsidRPr="00E61F52">
              <w:rPr>
                <w:rFonts w:asciiTheme="minorBidi" w:hAnsiTheme="minorBidi" w:cstheme="minorBidi"/>
                <w:sz w:val="18"/>
                <w:szCs w:val="18"/>
                <w:vertAlign w:val="superscript"/>
                <w:rtl/>
              </w:rPr>
              <w:t xml:space="preserve"> </w:t>
            </w:r>
          </w:p>
        </w:tc>
      </w:tr>
    </w:tbl>
    <w:p w14:paraId="0EA9AAF1" w14:textId="77777777" w:rsidR="00E61F52" w:rsidRDefault="00E61F52" w:rsidP="00E61F52">
      <w:pPr>
        <w:tabs>
          <w:tab w:val="left" w:pos="7947"/>
        </w:tabs>
        <w:jc w:val="left"/>
        <w:rPr>
          <w:rtl/>
        </w:rPr>
      </w:pPr>
    </w:p>
    <w:p w14:paraId="4DD30D9F" w14:textId="77777777" w:rsidR="00B62F94" w:rsidRDefault="00B62F94" w:rsidP="00E61F52">
      <w:pPr>
        <w:tabs>
          <w:tab w:val="left" w:pos="7947"/>
        </w:tabs>
        <w:jc w:val="left"/>
        <w:rPr>
          <w:rtl/>
        </w:rPr>
      </w:pPr>
    </w:p>
    <w:tbl>
      <w:tblPr>
        <w:bidiVisual/>
        <w:tblW w:w="4934" w:type="pct"/>
        <w:tblInd w:w="-125" w:type="dxa"/>
        <w:tblLook w:val="04A0" w:firstRow="1" w:lastRow="0" w:firstColumn="1" w:lastColumn="0" w:noHBand="0" w:noVBand="1"/>
      </w:tblPr>
      <w:tblGrid>
        <w:gridCol w:w="1145"/>
        <w:gridCol w:w="3116"/>
        <w:gridCol w:w="1033"/>
        <w:gridCol w:w="1112"/>
        <w:gridCol w:w="1072"/>
        <w:gridCol w:w="904"/>
        <w:gridCol w:w="735"/>
        <w:gridCol w:w="955"/>
      </w:tblGrid>
      <w:tr w:rsidR="003B4E23" w:rsidRPr="00E61F52" w14:paraId="1AF03D9C" w14:textId="77777777" w:rsidTr="0019446C">
        <w:trPr>
          <w:trHeight w:val="259"/>
        </w:trPr>
        <w:tc>
          <w:tcPr>
            <w:tcW w:w="568" w:type="pct"/>
            <w:tcBorders>
              <w:right w:val="single" w:sz="4" w:space="0" w:color="auto"/>
            </w:tcBorders>
            <w:vAlign w:val="bottom"/>
          </w:tcPr>
          <w:p w14:paraId="111AB57F" w14:textId="77777777" w:rsidR="003B4E23" w:rsidRPr="00E61F52" w:rsidRDefault="003B4E23" w:rsidP="0019446C">
            <w:pPr>
              <w:rPr>
                <w:rFonts w:asciiTheme="minorBidi" w:hAnsiTheme="minorBidi" w:cstheme="minorBidi"/>
                <w:sz w:val="18"/>
                <w:szCs w:val="18"/>
                <w:rtl/>
              </w:rPr>
            </w:pPr>
          </w:p>
        </w:tc>
        <w:tc>
          <w:tcPr>
            <w:tcW w:w="1547" w:type="pct"/>
            <w:tcBorders>
              <w:left w:val="single" w:sz="4" w:space="0" w:color="auto"/>
            </w:tcBorders>
            <w:vAlign w:val="bottom"/>
          </w:tcPr>
          <w:p w14:paraId="48B19677" w14:textId="77777777" w:rsidR="003B4E23" w:rsidRPr="00E61F52" w:rsidRDefault="003B4E23" w:rsidP="0019446C">
            <w:pPr>
              <w:spacing w:before="120"/>
              <w:ind w:left="142" w:hanging="142"/>
              <w:rPr>
                <w:rFonts w:asciiTheme="minorBidi" w:hAnsiTheme="minorBidi" w:cstheme="minorBidi"/>
                <w:color w:val="000000"/>
                <w:sz w:val="18"/>
                <w:szCs w:val="18"/>
                <w:rtl/>
                <w:lang w:eastAsia="he-IL"/>
              </w:rPr>
            </w:pPr>
          </w:p>
        </w:tc>
        <w:tc>
          <w:tcPr>
            <w:tcW w:w="2885" w:type="pct"/>
            <w:gridSpan w:val="6"/>
            <w:vAlign w:val="bottom"/>
          </w:tcPr>
          <w:p w14:paraId="5FE62397" w14:textId="11D1DDEE" w:rsidR="003B4E23" w:rsidRPr="00F75066" w:rsidRDefault="003B4E23" w:rsidP="00F75066">
            <w:pPr>
              <w:jc w:val="center"/>
              <w:rPr>
                <w:rFonts w:asciiTheme="minorBidi" w:hAnsiTheme="minorBidi" w:cstheme="minorBidi"/>
                <w:b/>
                <w:bCs/>
                <w:sz w:val="18"/>
                <w:szCs w:val="18"/>
                <w:u w:val="single"/>
                <w:rtl/>
              </w:rPr>
            </w:pPr>
            <w:r w:rsidRPr="00F75066">
              <w:rPr>
                <w:rFonts w:asciiTheme="minorBidi" w:hAnsiTheme="minorBidi" w:cstheme="minorBidi" w:hint="cs"/>
                <w:b/>
                <w:bCs/>
                <w:sz w:val="18"/>
                <w:szCs w:val="18"/>
                <w:u w:val="single"/>
                <w:rtl/>
              </w:rPr>
              <w:t>שישה</w:t>
            </w:r>
            <w:r w:rsidRPr="00F75066">
              <w:rPr>
                <w:rFonts w:asciiTheme="minorBidi" w:hAnsiTheme="minorBidi" w:cstheme="minorBidi"/>
                <w:b/>
                <w:bCs/>
                <w:sz w:val="18"/>
                <w:szCs w:val="18"/>
                <w:u w:val="single"/>
                <w:rtl/>
              </w:rPr>
              <w:t xml:space="preserve"> חודשים שהסתיימו ביום 30 ביוני </w:t>
            </w:r>
            <w:r w:rsidRPr="00F75066">
              <w:rPr>
                <w:rFonts w:asciiTheme="minorBidi" w:hAnsiTheme="minorBidi" w:cstheme="minorBidi"/>
                <w:b/>
                <w:bCs/>
                <w:sz w:val="18"/>
                <w:szCs w:val="18"/>
                <w:u w:val="single"/>
                <w:rtl/>
              </w:rPr>
              <w:fldChar w:fldCharType="begin"/>
            </w:r>
            <w:r w:rsidRPr="00F75066">
              <w:rPr>
                <w:rFonts w:asciiTheme="minorBidi" w:hAnsiTheme="minorBidi" w:cstheme="minorBidi"/>
                <w:b/>
                <w:bCs/>
                <w:sz w:val="18"/>
                <w:szCs w:val="18"/>
                <w:u w:val="single"/>
                <w:rtl/>
              </w:rPr>
              <w:instrText xml:space="preserve"> = </w:instrText>
            </w:r>
            <w:r w:rsidRPr="00F75066">
              <w:rPr>
                <w:rFonts w:asciiTheme="minorBidi" w:hAnsiTheme="minorBidi" w:cstheme="minorBidi"/>
                <w:b/>
                <w:bCs/>
                <w:sz w:val="18"/>
                <w:szCs w:val="18"/>
                <w:u w:val="single"/>
              </w:rPr>
              <w:instrText>CY \* MERGEFORMAT</w:instrText>
            </w:r>
            <w:r w:rsidRPr="00F75066">
              <w:rPr>
                <w:rFonts w:asciiTheme="minorBidi" w:hAnsiTheme="minorBidi" w:cstheme="minorBidi"/>
                <w:b/>
                <w:bCs/>
                <w:sz w:val="18"/>
                <w:szCs w:val="18"/>
                <w:u w:val="single"/>
                <w:rtl/>
              </w:rPr>
              <w:instrText xml:space="preserve"> </w:instrText>
            </w:r>
            <w:r w:rsidRPr="00F75066">
              <w:rPr>
                <w:rFonts w:asciiTheme="minorBidi" w:hAnsiTheme="minorBidi" w:cstheme="minorBidi"/>
                <w:b/>
                <w:bCs/>
                <w:sz w:val="18"/>
                <w:szCs w:val="18"/>
                <w:u w:val="single"/>
                <w:rtl/>
              </w:rPr>
              <w:fldChar w:fldCharType="separate"/>
            </w:r>
            <w:r w:rsidRPr="00F75066">
              <w:rPr>
                <w:rFonts w:asciiTheme="minorBidi" w:hAnsiTheme="minorBidi" w:cstheme="minorBidi"/>
                <w:b/>
                <w:bCs/>
                <w:noProof/>
                <w:sz w:val="18"/>
                <w:szCs w:val="18"/>
                <w:u w:val="single"/>
                <w:rtl/>
              </w:rPr>
              <w:t>2024</w:t>
            </w:r>
            <w:r w:rsidRPr="00F75066">
              <w:rPr>
                <w:rFonts w:asciiTheme="minorBidi" w:hAnsiTheme="minorBidi" w:cstheme="minorBidi"/>
                <w:b/>
                <w:bCs/>
                <w:sz w:val="18"/>
                <w:szCs w:val="18"/>
                <w:u w:val="single"/>
                <w:rtl/>
              </w:rPr>
              <w:fldChar w:fldCharType="end"/>
            </w:r>
            <w:r w:rsidRPr="00F75066">
              <w:rPr>
                <w:rFonts w:asciiTheme="minorBidi" w:hAnsiTheme="minorBidi" w:cstheme="minorBidi"/>
                <w:b/>
                <w:bCs/>
                <w:color w:val="000000"/>
                <w:sz w:val="18"/>
                <w:szCs w:val="18"/>
                <w:u w:val="single"/>
                <w:rtl/>
                <w:lang w:eastAsia="he-IL"/>
              </w:rPr>
              <w:t xml:space="preserve">  </w:t>
            </w:r>
            <w:r w:rsidRPr="00F75066">
              <w:rPr>
                <w:rFonts w:asciiTheme="minorBidi" w:hAnsiTheme="minorBidi" w:cstheme="minorBidi"/>
                <w:color w:val="000000"/>
                <w:sz w:val="18"/>
                <w:szCs w:val="18"/>
                <w:u w:val="single"/>
                <w:rtl/>
                <w:lang w:eastAsia="he-IL"/>
              </w:rPr>
              <w:t>(בלתי מבוקר)</w:t>
            </w:r>
          </w:p>
        </w:tc>
      </w:tr>
      <w:tr w:rsidR="003B4E23" w:rsidRPr="00E61F52" w14:paraId="22B83CEB" w14:textId="77777777" w:rsidTr="0019446C">
        <w:trPr>
          <w:trHeight w:val="259"/>
        </w:trPr>
        <w:tc>
          <w:tcPr>
            <w:tcW w:w="568" w:type="pct"/>
            <w:tcBorders>
              <w:right w:val="single" w:sz="4" w:space="0" w:color="auto"/>
            </w:tcBorders>
            <w:vAlign w:val="bottom"/>
          </w:tcPr>
          <w:p w14:paraId="0D7856C7" w14:textId="77777777" w:rsidR="003B4E23" w:rsidRPr="00E61F52" w:rsidRDefault="003B4E23" w:rsidP="0019446C">
            <w:pPr>
              <w:rPr>
                <w:rFonts w:asciiTheme="minorBidi" w:hAnsiTheme="minorBidi" w:cstheme="minorBidi"/>
                <w:sz w:val="18"/>
                <w:szCs w:val="18"/>
                <w:rtl/>
              </w:rPr>
            </w:pPr>
          </w:p>
        </w:tc>
        <w:tc>
          <w:tcPr>
            <w:tcW w:w="1547" w:type="pct"/>
            <w:tcBorders>
              <w:left w:val="single" w:sz="4" w:space="0" w:color="auto"/>
            </w:tcBorders>
            <w:vAlign w:val="bottom"/>
          </w:tcPr>
          <w:p w14:paraId="5CA5C03F" w14:textId="77777777" w:rsidR="003B4E23" w:rsidRPr="00E61F52" w:rsidRDefault="003B4E23" w:rsidP="0019446C">
            <w:pPr>
              <w:ind w:left="144" w:hanging="144"/>
              <w:rPr>
                <w:rFonts w:asciiTheme="minorBidi" w:hAnsiTheme="minorBidi" w:cstheme="minorBidi"/>
                <w:color w:val="000000"/>
                <w:sz w:val="18"/>
                <w:szCs w:val="18"/>
                <w:rtl/>
                <w:lang w:eastAsia="he-IL"/>
              </w:rPr>
            </w:pPr>
          </w:p>
        </w:tc>
        <w:tc>
          <w:tcPr>
            <w:tcW w:w="1065" w:type="pct"/>
            <w:gridSpan w:val="2"/>
            <w:vAlign w:val="bottom"/>
            <w:hideMark/>
          </w:tcPr>
          <w:p w14:paraId="5DCD1451" w14:textId="77777777" w:rsidR="003B4E23" w:rsidRPr="00E61F52" w:rsidRDefault="003B4E23" w:rsidP="0019446C">
            <w:pPr>
              <w:pBdr>
                <w:bottom w:val="single" w:sz="4"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סך הכל</w:t>
            </w:r>
          </w:p>
        </w:tc>
        <w:tc>
          <w:tcPr>
            <w:tcW w:w="1820" w:type="pct"/>
            <w:gridSpan w:val="4"/>
            <w:vAlign w:val="bottom"/>
          </w:tcPr>
          <w:p w14:paraId="1F9142B1" w14:textId="77777777" w:rsidR="003B4E23" w:rsidRPr="00E61F52" w:rsidRDefault="003B4E23" w:rsidP="0019446C">
            <w:pPr>
              <w:pBdr>
                <w:bottom w:val="single" w:sz="4"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סוג השינוי</w:t>
            </w:r>
            <w:r w:rsidRPr="00E61F52">
              <w:rPr>
                <w:rFonts w:asciiTheme="minorBidi" w:hAnsiTheme="minorBidi" w:cstheme="minorBidi"/>
                <w:sz w:val="18"/>
                <w:szCs w:val="18"/>
                <w:vertAlign w:val="superscript"/>
                <w:rtl/>
              </w:rPr>
              <w:t xml:space="preserve"> (א)</w:t>
            </w:r>
          </w:p>
        </w:tc>
      </w:tr>
      <w:tr w:rsidR="003B4E23" w:rsidRPr="00E61F52" w14:paraId="2E13605C" w14:textId="77777777" w:rsidTr="00DE06C8">
        <w:trPr>
          <w:trHeight w:val="445"/>
        </w:trPr>
        <w:tc>
          <w:tcPr>
            <w:tcW w:w="568" w:type="pct"/>
            <w:tcBorders>
              <w:right w:val="single" w:sz="4" w:space="0" w:color="auto"/>
            </w:tcBorders>
            <w:vAlign w:val="bottom"/>
          </w:tcPr>
          <w:p w14:paraId="1105DB31" w14:textId="77777777" w:rsidR="003B4E23" w:rsidRPr="00E61F52" w:rsidRDefault="003B4E23" w:rsidP="0019446C">
            <w:pPr>
              <w:rPr>
                <w:rFonts w:asciiTheme="minorBidi" w:hAnsiTheme="minorBidi" w:cstheme="minorBidi"/>
                <w:sz w:val="18"/>
                <w:szCs w:val="18"/>
                <w:rtl/>
              </w:rPr>
            </w:pPr>
          </w:p>
        </w:tc>
        <w:tc>
          <w:tcPr>
            <w:tcW w:w="1547" w:type="pct"/>
            <w:tcBorders>
              <w:left w:val="single" w:sz="4" w:space="0" w:color="auto"/>
            </w:tcBorders>
            <w:vAlign w:val="bottom"/>
          </w:tcPr>
          <w:p w14:paraId="28B695C8" w14:textId="77777777" w:rsidR="003B4E23" w:rsidRPr="00E61F52" w:rsidRDefault="003B4E23" w:rsidP="0019446C">
            <w:pPr>
              <w:ind w:left="144" w:hanging="144"/>
              <w:rPr>
                <w:rFonts w:asciiTheme="minorBidi" w:hAnsiTheme="minorBidi" w:cstheme="minorBidi"/>
                <w:color w:val="000000"/>
                <w:sz w:val="18"/>
                <w:szCs w:val="18"/>
                <w:rtl/>
                <w:lang w:eastAsia="he-IL"/>
              </w:rPr>
            </w:pPr>
          </w:p>
        </w:tc>
        <w:tc>
          <w:tcPr>
            <w:tcW w:w="513" w:type="pct"/>
            <w:vAlign w:val="bottom"/>
            <w:hideMark/>
          </w:tcPr>
          <w:p w14:paraId="7F9CEF39" w14:textId="77777777" w:rsidR="003B4E23" w:rsidRPr="00E61F52" w:rsidRDefault="003B4E23" w:rsidP="0019446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יתרת חוב רשומה</w:t>
            </w:r>
          </w:p>
        </w:tc>
        <w:tc>
          <w:tcPr>
            <w:tcW w:w="552" w:type="pct"/>
            <w:vAlign w:val="bottom"/>
            <w:hideMark/>
          </w:tcPr>
          <w:p w14:paraId="4292482E" w14:textId="77777777" w:rsidR="003B4E23" w:rsidRPr="00E61F52" w:rsidRDefault="003B4E23" w:rsidP="0019446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אחוז השינוי מסך הכל</w:t>
            </w:r>
          </w:p>
        </w:tc>
        <w:tc>
          <w:tcPr>
            <w:tcW w:w="532" w:type="pct"/>
            <w:vAlign w:val="bottom"/>
            <w:hideMark/>
          </w:tcPr>
          <w:p w14:paraId="00E7EAE6" w14:textId="77777777" w:rsidR="003B4E23" w:rsidRPr="00E61F52" w:rsidRDefault="003B4E23" w:rsidP="0019446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ויתור</w:t>
            </w:r>
          </w:p>
          <w:p w14:paraId="5C2B3964" w14:textId="77777777" w:rsidR="003B4E23" w:rsidRPr="00E61F52" w:rsidRDefault="003B4E23" w:rsidP="0019446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על קרן</w:t>
            </w:r>
          </w:p>
        </w:tc>
        <w:tc>
          <w:tcPr>
            <w:tcW w:w="449" w:type="pct"/>
            <w:vAlign w:val="bottom"/>
            <w:hideMark/>
          </w:tcPr>
          <w:p w14:paraId="0145A83F" w14:textId="77777777" w:rsidR="003B4E23" w:rsidRPr="00E61F52" w:rsidRDefault="003B4E23" w:rsidP="0019446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ויתור</w:t>
            </w:r>
          </w:p>
          <w:p w14:paraId="68541B94" w14:textId="77777777" w:rsidR="003B4E23" w:rsidRPr="00E61F52" w:rsidRDefault="003B4E23" w:rsidP="0019446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על ריבית</w:t>
            </w:r>
          </w:p>
        </w:tc>
        <w:tc>
          <w:tcPr>
            <w:tcW w:w="365" w:type="pct"/>
            <w:vAlign w:val="bottom"/>
            <w:hideMark/>
          </w:tcPr>
          <w:p w14:paraId="7DB2DA6C" w14:textId="77777777" w:rsidR="003B4E23" w:rsidRPr="00E61F52" w:rsidRDefault="003B4E23" w:rsidP="0019446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הארכת תקופה</w:t>
            </w:r>
          </w:p>
        </w:tc>
        <w:tc>
          <w:tcPr>
            <w:tcW w:w="474" w:type="pct"/>
            <w:vAlign w:val="bottom"/>
          </w:tcPr>
          <w:p w14:paraId="51726ED9" w14:textId="77777777" w:rsidR="003B4E23" w:rsidRPr="00E61F52" w:rsidRDefault="003B4E23" w:rsidP="0019446C">
            <w:pPr>
              <w:pBdr>
                <w:bottom w:val="single" w:sz="4"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דחיית תשלומים</w:t>
            </w:r>
            <w:r w:rsidRPr="00E61F52">
              <w:rPr>
                <w:rFonts w:asciiTheme="minorBidi" w:hAnsiTheme="minorBidi" w:cstheme="minorBidi"/>
                <w:b/>
                <w:bCs/>
                <w:color w:val="000000"/>
                <w:sz w:val="18"/>
                <w:szCs w:val="18"/>
                <w:rtl/>
                <w:lang w:eastAsia="he-IL"/>
              </w:rPr>
              <w:t xml:space="preserve"> </w:t>
            </w:r>
          </w:p>
        </w:tc>
      </w:tr>
      <w:tr w:rsidR="003B4E23" w:rsidRPr="00E61F52" w14:paraId="6E832523" w14:textId="77777777" w:rsidTr="0019446C">
        <w:trPr>
          <w:trHeight w:val="265"/>
        </w:trPr>
        <w:tc>
          <w:tcPr>
            <w:tcW w:w="568" w:type="pct"/>
            <w:tcBorders>
              <w:right w:val="single" w:sz="4" w:space="0" w:color="auto"/>
            </w:tcBorders>
            <w:vAlign w:val="bottom"/>
          </w:tcPr>
          <w:p w14:paraId="386487FB" w14:textId="77777777" w:rsidR="003B4E23" w:rsidRPr="00E61F52" w:rsidRDefault="003B4E23" w:rsidP="0019446C">
            <w:pPr>
              <w:rPr>
                <w:rFonts w:asciiTheme="minorBidi" w:hAnsiTheme="minorBidi" w:cstheme="minorBidi"/>
                <w:sz w:val="18"/>
                <w:szCs w:val="18"/>
                <w:rtl/>
              </w:rPr>
            </w:pPr>
          </w:p>
        </w:tc>
        <w:tc>
          <w:tcPr>
            <w:tcW w:w="1547" w:type="pct"/>
            <w:tcBorders>
              <w:left w:val="single" w:sz="4" w:space="0" w:color="auto"/>
            </w:tcBorders>
            <w:vAlign w:val="bottom"/>
          </w:tcPr>
          <w:p w14:paraId="03C18ADE" w14:textId="77777777" w:rsidR="003B4E23" w:rsidRPr="00E61F52" w:rsidRDefault="003B4E23" w:rsidP="0019446C">
            <w:pPr>
              <w:rPr>
                <w:rFonts w:asciiTheme="minorBidi" w:hAnsiTheme="minorBidi" w:cstheme="minorBidi"/>
                <w:color w:val="000000"/>
                <w:sz w:val="18"/>
                <w:szCs w:val="18"/>
                <w:rtl/>
                <w:lang w:eastAsia="he-IL"/>
              </w:rPr>
            </w:pPr>
          </w:p>
        </w:tc>
        <w:tc>
          <w:tcPr>
            <w:tcW w:w="513" w:type="pct"/>
            <w:vAlign w:val="bottom"/>
          </w:tcPr>
          <w:p w14:paraId="32F92298" w14:textId="77777777" w:rsidR="003B4E23" w:rsidRPr="00E61F52" w:rsidRDefault="003B4E23" w:rsidP="0019446C">
            <w:pPr>
              <w:pBdr>
                <w:bottom w:val="single" w:sz="4" w:space="1" w:color="auto"/>
              </w:pBdr>
              <w:jc w:val="center"/>
              <w:rPr>
                <w:rFonts w:asciiTheme="minorBidi" w:hAnsiTheme="minorBidi" w:cstheme="minorBidi"/>
                <w:sz w:val="18"/>
                <w:szCs w:val="18"/>
                <w:rtl/>
              </w:rPr>
            </w:pPr>
            <w:r w:rsidRPr="00E61F52">
              <w:rPr>
                <w:rFonts w:asciiTheme="minorBidi" w:hAnsiTheme="minorBidi" w:cstheme="minorBidi"/>
                <w:sz w:val="18"/>
                <w:szCs w:val="18"/>
                <w:rtl/>
              </w:rPr>
              <w:t>מיליוני ש"ח</w:t>
            </w:r>
          </w:p>
        </w:tc>
        <w:tc>
          <w:tcPr>
            <w:tcW w:w="552" w:type="pct"/>
            <w:vAlign w:val="bottom"/>
          </w:tcPr>
          <w:p w14:paraId="1AB0E0B0" w14:textId="77777777" w:rsidR="003B4E23" w:rsidRPr="00E61F52" w:rsidRDefault="003B4E23" w:rsidP="0019446C">
            <w:pPr>
              <w:pBdr>
                <w:bottom w:val="single" w:sz="4" w:space="1" w:color="auto"/>
              </w:pBdr>
              <w:jc w:val="center"/>
              <w:rPr>
                <w:rFonts w:asciiTheme="minorBidi" w:hAnsiTheme="minorBidi" w:cstheme="minorBidi"/>
                <w:sz w:val="18"/>
                <w:szCs w:val="18"/>
                <w:rtl/>
              </w:rPr>
            </w:pPr>
            <w:r w:rsidRPr="00E61F52">
              <w:rPr>
                <w:rFonts w:asciiTheme="minorBidi" w:hAnsiTheme="minorBidi" w:cstheme="minorBidi"/>
                <w:sz w:val="18"/>
                <w:szCs w:val="18"/>
                <w:rtl/>
              </w:rPr>
              <w:t>%</w:t>
            </w:r>
          </w:p>
        </w:tc>
        <w:tc>
          <w:tcPr>
            <w:tcW w:w="1820" w:type="pct"/>
            <w:gridSpan w:val="4"/>
            <w:vAlign w:val="bottom"/>
          </w:tcPr>
          <w:p w14:paraId="0EA86DA6" w14:textId="77777777" w:rsidR="003B4E23" w:rsidRPr="00E61F52" w:rsidRDefault="003B4E23" w:rsidP="0019446C">
            <w:pPr>
              <w:pBdr>
                <w:bottom w:val="single" w:sz="4" w:space="1" w:color="auto"/>
              </w:pBdr>
              <w:jc w:val="center"/>
              <w:rPr>
                <w:rFonts w:asciiTheme="minorBidi" w:hAnsiTheme="minorBidi" w:cstheme="minorBidi"/>
                <w:sz w:val="18"/>
                <w:szCs w:val="18"/>
                <w:rtl/>
              </w:rPr>
            </w:pPr>
            <w:r w:rsidRPr="00E61F52">
              <w:rPr>
                <w:rFonts w:asciiTheme="minorBidi" w:hAnsiTheme="minorBidi" w:cstheme="minorBidi"/>
                <w:sz w:val="18"/>
                <w:szCs w:val="18"/>
                <w:rtl/>
              </w:rPr>
              <w:t>מיליוני ש"ח</w:t>
            </w:r>
          </w:p>
        </w:tc>
      </w:tr>
      <w:tr w:rsidR="003B4E23" w:rsidRPr="00E61F52" w14:paraId="4E675135" w14:textId="77777777" w:rsidTr="0019446C">
        <w:trPr>
          <w:trHeight w:val="259"/>
        </w:trPr>
        <w:tc>
          <w:tcPr>
            <w:tcW w:w="568" w:type="pct"/>
            <w:tcBorders>
              <w:right w:val="single" w:sz="4" w:space="0" w:color="auto"/>
            </w:tcBorders>
            <w:vAlign w:val="bottom"/>
          </w:tcPr>
          <w:p w14:paraId="38349385" w14:textId="77777777" w:rsidR="003B4E23" w:rsidRPr="00E61F52" w:rsidRDefault="003B4E23" w:rsidP="0019446C">
            <w:pPr>
              <w:rPr>
                <w:rFonts w:asciiTheme="minorBidi" w:hAnsiTheme="minorBidi" w:cstheme="minorBidi"/>
                <w:sz w:val="18"/>
                <w:szCs w:val="18"/>
                <w:rtl/>
              </w:rPr>
            </w:pPr>
          </w:p>
        </w:tc>
        <w:tc>
          <w:tcPr>
            <w:tcW w:w="1547" w:type="pct"/>
            <w:tcBorders>
              <w:left w:val="single" w:sz="4" w:space="0" w:color="auto"/>
            </w:tcBorders>
            <w:vAlign w:val="bottom"/>
            <w:hideMark/>
          </w:tcPr>
          <w:p w14:paraId="540C2D0E" w14:textId="77777777" w:rsidR="003B4E23" w:rsidRPr="00E61F52" w:rsidRDefault="003B4E23" w:rsidP="0019446C">
            <w:pPr>
              <w:ind w:left="34"/>
              <w:rPr>
                <w:rFonts w:asciiTheme="minorBidi" w:hAnsiTheme="minorBidi" w:cstheme="minorBidi"/>
                <w:b/>
                <w:bCs/>
                <w:color w:val="000000"/>
                <w:sz w:val="18"/>
                <w:szCs w:val="18"/>
                <w:u w:val="single"/>
                <w:rtl/>
                <w:lang w:eastAsia="he-IL"/>
              </w:rPr>
            </w:pPr>
            <w:r w:rsidRPr="00E61F52">
              <w:rPr>
                <w:rFonts w:asciiTheme="minorBidi" w:hAnsiTheme="minorBidi" w:cstheme="minorBidi"/>
                <w:b/>
                <w:bCs/>
                <w:color w:val="000000"/>
                <w:sz w:val="18"/>
                <w:szCs w:val="18"/>
                <w:u w:val="single"/>
                <w:rtl/>
                <w:lang w:eastAsia="he-IL"/>
              </w:rPr>
              <w:t>פעילות לווים בישראל</w:t>
            </w:r>
          </w:p>
        </w:tc>
        <w:tc>
          <w:tcPr>
            <w:tcW w:w="513" w:type="pct"/>
            <w:vAlign w:val="bottom"/>
          </w:tcPr>
          <w:p w14:paraId="722966D2" w14:textId="77777777" w:rsidR="003B4E23" w:rsidRPr="00E61F52" w:rsidRDefault="003B4E23" w:rsidP="0019446C">
            <w:pPr>
              <w:rPr>
                <w:rFonts w:asciiTheme="minorBidi" w:hAnsiTheme="minorBidi" w:cstheme="minorBidi"/>
                <w:sz w:val="18"/>
                <w:szCs w:val="18"/>
                <w:rtl/>
              </w:rPr>
            </w:pPr>
          </w:p>
        </w:tc>
        <w:tc>
          <w:tcPr>
            <w:tcW w:w="552" w:type="pct"/>
            <w:vAlign w:val="bottom"/>
          </w:tcPr>
          <w:p w14:paraId="395A8658" w14:textId="77777777" w:rsidR="003B4E23" w:rsidRPr="00E61F52" w:rsidRDefault="003B4E23" w:rsidP="0019446C">
            <w:pPr>
              <w:rPr>
                <w:rFonts w:asciiTheme="minorBidi" w:hAnsiTheme="minorBidi" w:cstheme="minorBidi"/>
                <w:sz w:val="18"/>
                <w:szCs w:val="18"/>
                <w:rtl/>
              </w:rPr>
            </w:pPr>
          </w:p>
        </w:tc>
        <w:tc>
          <w:tcPr>
            <w:tcW w:w="532" w:type="pct"/>
            <w:vAlign w:val="bottom"/>
          </w:tcPr>
          <w:p w14:paraId="60E0A1C7" w14:textId="77777777" w:rsidR="003B4E23" w:rsidRPr="00E61F52" w:rsidRDefault="003B4E23" w:rsidP="0019446C">
            <w:pPr>
              <w:rPr>
                <w:rFonts w:asciiTheme="minorBidi" w:hAnsiTheme="minorBidi" w:cstheme="minorBidi"/>
                <w:sz w:val="18"/>
                <w:szCs w:val="18"/>
                <w:rtl/>
              </w:rPr>
            </w:pPr>
          </w:p>
        </w:tc>
        <w:tc>
          <w:tcPr>
            <w:tcW w:w="449" w:type="pct"/>
            <w:vAlign w:val="bottom"/>
          </w:tcPr>
          <w:p w14:paraId="24AB37E5" w14:textId="77777777" w:rsidR="003B4E23" w:rsidRPr="00E61F52" w:rsidRDefault="003B4E23" w:rsidP="0019446C">
            <w:pPr>
              <w:rPr>
                <w:rFonts w:asciiTheme="minorBidi" w:hAnsiTheme="minorBidi" w:cstheme="minorBidi"/>
                <w:sz w:val="18"/>
                <w:szCs w:val="18"/>
                <w:rtl/>
              </w:rPr>
            </w:pPr>
          </w:p>
        </w:tc>
        <w:tc>
          <w:tcPr>
            <w:tcW w:w="365" w:type="pct"/>
            <w:vAlign w:val="bottom"/>
          </w:tcPr>
          <w:p w14:paraId="578C158C" w14:textId="77777777" w:rsidR="003B4E23" w:rsidRPr="00E61F52" w:rsidRDefault="003B4E23" w:rsidP="0019446C">
            <w:pPr>
              <w:rPr>
                <w:rFonts w:asciiTheme="minorBidi" w:hAnsiTheme="minorBidi" w:cstheme="minorBidi"/>
                <w:sz w:val="18"/>
                <w:szCs w:val="18"/>
                <w:rtl/>
              </w:rPr>
            </w:pPr>
          </w:p>
        </w:tc>
        <w:tc>
          <w:tcPr>
            <w:tcW w:w="474" w:type="pct"/>
            <w:vAlign w:val="bottom"/>
          </w:tcPr>
          <w:p w14:paraId="34236F08" w14:textId="77777777" w:rsidR="003B4E23" w:rsidRPr="00E61F52" w:rsidRDefault="003B4E23" w:rsidP="0019446C">
            <w:pPr>
              <w:rPr>
                <w:rFonts w:asciiTheme="minorBidi" w:hAnsiTheme="minorBidi" w:cstheme="minorBidi"/>
                <w:sz w:val="18"/>
                <w:szCs w:val="18"/>
                <w:rtl/>
              </w:rPr>
            </w:pPr>
          </w:p>
        </w:tc>
      </w:tr>
      <w:tr w:rsidR="003B4E23" w:rsidRPr="00E61F52" w14:paraId="2BB16CF3" w14:textId="77777777" w:rsidTr="0019446C">
        <w:trPr>
          <w:trHeight w:val="259"/>
        </w:trPr>
        <w:tc>
          <w:tcPr>
            <w:tcW w:w="568" w:type="pct"/>
            <w:tcBorders>
              <w:right w:val="single" w:sz="4" w:space="0" w:color="auto"/>
            </w:tcBorders>
            <w:vAlign w:val="bottom"/>
          </w:tcPr>
          <w:p w14:paraId="6CA34D25" w14:textId="77777777" w:rsidR="003B4E23" w:rsidRPr="00E61F52" w:rsidRDefault="003B4E23" w:rsidP="0019446C">
            <w:pPr>
              <w:rPr>
                <w:rFonts w:asciiTheme="minorBidi" w:hAnsiTheme="minorBidi" w:cstheme="minorBidi"/>
                <w:sz w:val="18"/>
                <w:szCs w:val="18"/>
                <w:rtl/>
              </w:rPr>
            </w:pPr>
          </w:p>
        </w:tc>
        <w:tc>
          <w:tcPr>
            <w:tcW w:w="1547" w:type="pct"/>
            <w:tcBorders>
              <w:left w:val="single" w:sz="4" w:space="0" w:color="auto"/>
            </w:tcBorders>
            <w:vAlign w:val="bottom"/>
            <w:hideMark/>
          </w:tcPr>
          <w:p w14:paraId="4FD37E0D" w14:textId="77777777" w:rsidR="003B4E23" w:rsidRPr="00E61F52" w:rsidRDefault="003B4E23" w:rsidP="0019446C">
            <w:pPr>
              <w:ind w:left="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מסחרי</w:t>
            </w:r>
          </w:p>
        </w:tc>
        <w:tc>
          <w:tcPr>
            <w:tcW w:w="513" w:type="pct"/>
            <w:vAlign w:val="bottom"/>
            <w:hideMark/>
          </w:tcPr>
          <w:p w14:paraId="7F978B11" w14:textId="77777777" w:rsidR="003B4E23" w:rsidRPr="00E61F52" w:rsidRDefault="003B4E23" w:rsidP="0019446C">
            <w:pPr>
              <w:rPr>
                <w:rFonts w:asciiTheme="minorBidi" w:hAnsiTheme="minorBidi" w:cstheme="minorBidi"/>
                <w:sz w:val="18"/>
                <w:szCs w:val="18"/>
              </w:rPr>
            </w:pPr>
            <w:r w:rsidRPr="00E61F52">
              <w:rPr>
                <w:rFonts w:asciiTheme="minorBidi" w:hAnsiTheme="minorBidi" w:cstheme="minorBidi"/>
                <w:sz w:val="18"/>
                <w:szCs w:val="18"/>
                <w:rtl/>
              </w:rPr>
              <w:t xml:space="preserve"> 0</w:t>
            </w:r>
          </w:p>
        </w:tc>
        <w:tc>
          <w:tcPr>
            <w:tcW w:w="552" w:type="pct"/>
            <w:vAlign w:val="bottom"/>
            <w:hideMark/>
          </w:tcPr>
          <w:p w14:paraId="73BEFCEA" w14:textId="77777777" w:rsidR="003B4E23" w:rsidRPr="00E61F52" w:rsidRDefault="003B4E23" w:rsidP="0019446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32" w:type="pct"/>
            <w:vAlign w:val="bottom"/>
            <w:hideMark/>
          </w:tcPr>
          <w:p w14:paraId="00F99306" w14:textId="77777777" w:rsidR="003B4E23" w:rsidRPr="00E61F52" w:rsidRDefault="003B4E23" w:rsidP="0019446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49" w:type="pct"/>
            <w:vAlign w:val="bottom"/>
            <w:hideMark/>
          </w:tcPr>
          <w:p w14:paraId="018A03F5" w14:textId="77777777" w:rsidR="003B4E23" w:rsidRPr="00E61F52" w:rsidRDefault="003B4E23" w:rsidP="0019446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365" w:type="pct"/>
            <w:vAlign w:val="bottom"/>
            <w:hideMark/>
          </w:tcPr>
          <w:p w14:paraId="26C67904" w14:textId="77777777" w:rsidR="003B4E23" w:rsidRPr="00E61F52" w:rsidRDefault="003B4E23" w:rsidP="0019446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74" w:type="pct"/>
            <w:vAlign w:val="bottom"/>
          </w:tcPr>
          <w:p w14:paraId="271D5778" w14:textId="77777777" w:rsidR="003B4E23" w:rsidRPr="00E61F52" w:rsidRDefault="003B4E23" w:rsidP="0019446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3B4E23" w:rsidRPr="00E61F52" w14:paraId="37A6DED9" w14:textId="77777777" w:rsidTr="0019446C">
        <w:trPr>
          <w:trHeight w:val="259"/>
        </w:trPr>
        <w:tc>
          <w:tcPr>
            <w:tcW w:w="568" w:type="pct"/>
            <w:tcBorders>
              <w:right w:val="single" w:sz="4" w:space="0" w:color="auto"/>
            </w:tcBorders>
            <w:vAlign w:val="bottom"/>
          </w:tcPr>
          <w:p w14:paraId="50AD7A02" w14:textId="77777777" w:rsidR="003B4E23" w:rsidRPr="00E61F52" w:rsidRDefault="003B4E23" w:rsidP="0019446C">
            <w:pPr>
              <w:rPr>
                <w:rFonts w:asciiTheme="minorBidi" w:hAnsiTheme="minorBidi" w:cstheme="minorBidi"/>
                <w:sz w:val="18"/>
                <w:szCs w:val="18"/>
                <w:rtl/>
              </w:rPr>
            </w:pPr>
          </w:p>
        </w:tc>
        <w:tc>
          <w:tcPr>
            <w:tcW w:w="1547" w:type="pct"/>
            <w:tcBorders>
              <w:left w:val="single" w:sz="4" w:space="0" w:color="auto"/>
            </w:tcBorders>
            <w:vAlign w:val="bottom"/>
            <w:hideMark/>
          </w:tcPr>
          <w:p w14:paraId="2A2E8B1D" w14:textId="77777777" w:rsidR="003B4E23" w:rsidRPr="00E61F52" w:rsidRDefault="003B4E23" w:rsidP="0019446C">
            <w:pPr>
              <w:spacing w:before="40" w:line="200" w:lineRule="exact"/>
              <w:ind w:right="144" w:firstLine="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אנשים פרטיים - הלוואות לדיור</w:t>
            </w:r>
          </w:p>
        </w:tc>
        <w:tc>
          <w:tcPr>
            <w:tcW w:w="513" w:type="pct"/>
            <w:vAlign w:val="bottom"/>
            <w:hideMark/>
          </w:tcPr>
          <w:p w14:paraId="569B9460" w14:textId="77777777" w:rsidR="003B4E23" w:rsidRPr="00E61F52" w:rsidRDefault="003B4E23" w:rsidP="0019446C">
            <w:pPr>
              <w:rPr>
                <w:rFonts w:asciiTheme="minorBidi" w:hAnsiTheme="minorBidi" w:cstheme="minorBidi"/>
                <w:sz w:val="18"/>
                <w:szCs w:val="18"/>
              </w:rPr>
            </w:pPr>
            <w:r w:rsidRPr="00E61F52">
              <w:rPr>
                <w:rFonts w:asciiTheme="minorBidi" w:hAnsiTheme="minorBidi" w:cstheme="minorBidi"/>
                <w:sz w:val="18"/>
                <w:szCs w:val="18"/>
                <w:rtl/>
              </w:rPr>
              <w:t xml:space="preserve"> 0</w:t>
            </w:r>
          </w:p>
        </w:tc>
        <w:tc>
          <w:tcPr>
            <w:tcW w:w="552" w:type="pct"/>
            <w:vAlign w:val="bottom"/>
          </w:tcPr>
          <w:p w14:paraId="29981399" w14:textId="77777777" w:rsidR="003B4E23" w:rsidRPr="00E61F52" w:rsidRDefault="003B4E23" w:rsidP="0019446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32" w:type="pct"/>
            <w:vAlign w:val="bottom"/>
            <w:hideMark/>
          </w:tcPr>
          <w:p w14:paraId="4A349D90" w14:textId="77777777" w:rsidR="003B4E23" w:rsidRPr="00E61F52" w:rsidRDefault="003B4E23" w:rsidP="0019446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49" w:type="pct"/>
            <w:vAlign w:val="bottom"/>
            <w:hideMark/>
          </w:tcPr>
          <w:p w14:paraId="5F8D7401" w14:textId="77777777" w:rsidR="003B4E23" w:rsidRPr="00E61F52" w:rsidRDefault="003B4E23" w:rsidP="0019446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365" w:type="pct"/>
            <w:vAlign w:val="bottom"/>
            <w:hideMark/>
          </w:tcPr>
          <w:p w14:paraId="50A82A45" w14:textId="77777777" w:rsidR="003B4E23" w:rsidRPr="00E61F52" w:rsidRDefault="003B4E23" w:rsidP="0019446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74" w:type="pct"/>
            <w:vAlign w:val="bottom"/>
          </w:tcPr>
          <w:p w14:paraId="5E6A8616" w14:textId="77777777" w:rsidR="003B4E23" w:rsidRPr="00E61F52" w:rsidRDefault="003B4E23" w:rsidP="0019446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3B4E23" w:rsidRPr="00E61F52" w14:paraId="6677A590" w14:textId="77777777" w:rsidTr="0019446C">
        <w:trPr>
          <w:trHeight w:val="259"/>
        </w:trPr>
        <w:tc>
          <w:tcPr>
            <w:tcW w:w="568" w:type="pct"/>
            <w:tcBorders>
              <w:right w:val="single" w:sz="4" w:space="0" w:color="auto"/>
            </w:tcBorders>
            <w:vAlign w:val="bottom"/>
          </w:tcPr>
          <w:p w14:paraId="17BFF10B" w14:textId="77777777" w:rsidR="003B4E23" w:rsidRPr="00E61F52" w:rsidRDefault="003B4E23" w:rsidP="0019446C">
            <w:pPr>
              <w:rPr>
                <w:rFonts w:asciiTheme="minorBidi" w:hAnsiTheme="minorBidi" w:cstheme="minorBidi"/>
                <w:sz w:val="18"/>
                <w:szCs w:val="18"/>
                <w:rtl/>
              </w:rPr>
            </w:pPr>
          </w:p>
        </w:tc>
        <w:tc>
          <w:tcPr>
            <w:tcW w:w="1547" w:type="pct"/>
            <w:tcBorders>
              <w:left w:val="single" w:sz="4" w:space="0" w:color="auto"/>
            </w:tcBorders>
            <w:vAlign w:val="bottom"/>
            <w:hideMark/>
          </w:tcPr>
          <w:p w14:paraId="398EEE0A" w14:textId="77777777" w:rsidR="003B4E23" w:rsidRPr="00E61F52" w:rsidRDefault="003B4E23" w:rsidP="0019446C">
            <w:pPr>
              <w:ind w:firstLine="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אנשים פרטיים - אחר</w:t>
            </w:r>
          </w:p>
        </w:tc>
        <w:tc>
          <w:tcPr>
            <w:tcW w:w="513" w:type="pct"/>
            <w:vAlign w:val="bottom"/>
            <w:hideMark/>
          </w:tcPr>
          <w:p w14:paraId="3B4ED491" w14:textId="77777777" w:rsidR="003B4E23" w:rsidRPr="00E61F52" w:rsidRDefault="003B4E23" w:rsidP="0019446C">
            <w:pPr>
              <w:rPr>
                <w:rFonts w:asciiTheme="minorBidi" w:hAnsiTheme="minorBidi" w:cstheme="minorBidi"/>
                <w:sz w:val="18"/>
                <w:szCs w:val="18"/>
              </w:rPr>
            </w:pPr>
            <w:r w:rsidRPr="00E61F52">
              <w:rPr>
                <w:rFonts w:asciiTheme="minorBidi" w:hAnsiTheme="minorBidi" w:cstheme="minorBidi"/>
                <w:sz w:val="18"/>
                <w:szCs w:val="18"/>
                <w:rtl/>
              </w:rPr>
              <w:t xml:space="preserve"> 0</w:t>
            </w:r>
          </w:p>
        </w:tc>
        <w:tc>
          <w:tcPr>
            <w:tcW w:w="552" w:type="pct"/>
            <w:vAlign w:val="bottom"/>
          </w:tcPr>
          <w:p w14:paraId="5A3D9DD5" w14:textId="77777777" w:rsidR="003B4E23" w:rsidRPr="00E61F52" w:rsidRDefault="003B4E23" w:rsidP="0019446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32" w:type="pct"/>
            <w:vAlign w:val="bottom"/>
            <w:hideMark/>
          </w:tcPr>
          <w:p w14:paraId="08DCE872" w14:textId="77777777" w:rsidR="003B4E23" w:rsidRPr="00E61F52" w:rsidRDefault="003B4E23" w:rsidP="0019446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49" w:type="pct"/>
            <w:vAlign w:val="bottom"/>
            <w:hideMark/>
          </w:tcPr>
          <w:p w14:paraId="1DCE1EC1" w14:textId="77777777" w:rsidR="003B4E23" w:rsidRPr="00E61F52" w:rsidRDefault="003B4E23" w:rsidP="0019446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365" w:type="pct"/>
            <w:vAlign w:val="bottom"/>
            <w:hideMark/>
          </w:tcPr>
          <w:p w14:paraId="077E9494" w14:textId="77777777" w:rsidR="003B4E23" w:rsidRPr="00E61F52" w:rsidRDefault="003B4E23" w:rsidP="0019446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74" w:type="pct"/>
            <w:vAlign w:val="bottom"/>
          </w:tcPr>
          <w:p w14:paraId="1E16A9AA" w14:textId="77777777" w:rsidR="003B4E23" w:rsidRPr="00E61F52" w:rsidRDefault="003B4E23" w:rsidP="0019446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3B4E23" w:rsidRPr="00E61F52" w14:paraId="41D9CBD0" w14:textId="77777777" w:rsidTr="0019446C">
        <w:trPr>
          <w:trHeight w:val="259"/>
        </w:trPr>
        <w:tc>
          <w:tcPr>
            <w:tcW w:w="568" w:type="pct"/>
            <w:tcBorders>
              <w:right w:val="single" w:sz="4" w:space="0" w:color="auto"/>
            </w:tcBorders>
            <w:vAlign w:val="bottom"/>
          </w:tcPr>
          <w:p w14:paraId="1717781B" w14:textId="77777777" w:rsidR="003B4E23" w:rsidRPr="00E61F52" w:rsidRDefault="003B4E23" w:rsidP="0019446C">
            <w:pPr>
              <w:rPr>
                <w:rFonts w:asciiTheme="minorBidi" w:hAnsiTheme="minorBidi" w:cstheme="minorBidi"/>
                <w:sz w:val="18"/>
                <w:szCs w:val="18"/>
                <w:rtl/>
              </w:rPr>
            </w:pPr>
          </w:p>
        </w:tc>
        <w:tc>
          <w:tcPr>
            <w:tcW w:w="1547" w:type="pct"/>
            <w:tcBorders>
              <w:left w:val="single" w:sz="4" w:space="0" w:color="auto"/>
            </w:tcBorders>
            <w:vAlign w:val="bottom"/>
            <w:hideMark/>
          </w:tcPr>
          <w:p w14:paraId="7A6761C5" w14:textId="77777777" w:rsidR="003B4E23" w:rsidRPr="00E61F52" w:rsidRDefault="003B4E23" w:rsidP="0019446C">
            <w:pPr>
              <w:spacing w:before="60" w:line="180" w:lineRule="exact"/>
              <w:ind w:left="34" w:right="142"/>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 - פעילות בישראל</w:t>
            </w:r>
          </w:p>
        </w:tc>
        <w:tc>
          <w:tcPr>
            <w:tcW w:w="513" w:type="pct"/>
            <w:vAlign w:val="bottom"/>
            <w:hideMark/>
          </w:tcPr>
          <w:p w14:paraId="6B1ECB15" w14:textId="77777777" w:rsidR="003B4E23" w:rsidRPr="00E61F52" w:rsidRDefault="003B4E23" w:rsidP="0019446C">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52" w:type="pct"/>
            <w:vAlign w:val="bottom"/>
          </w:tcPr>
          <w:p w14:paraId="1761E309" w14:textId="77777777" w:rsidR="003B4E23" w:rsidRPr="00E61F52" w:rsidRDefault="003B4E23" w:rsidP="0019446C">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sz w:val="18"/>
                <w:szCs w:val="18"/>
                <w:rtl/>
              </w:rPr>
              <w:t xml:space="preserve"> 0%</w:t>
            </w:r>
          </w:p>
        </w:tc>
        <w:tc>
          <w:tcPr>
            <w:tcW w:w="532" w:type="pct"/>
            <w:vAlign w:val="bottom"/>
            <w:hideMark/>
          </w:tcPr>
          <w:p w14:paraId="214F943B" w14:textId="77777777" w:rsidR="003B4E23" w:rsidRPr="00E61F52" w:rsidRDefault="003B4E23" w:rsidP="0019446C">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449" w:type="pct"/>
            <w:vAlign w:val="bottom"/>
            <w:hideMark/>
          </w:tcPr>
          <w:p w14:paraId="04F66B9C" w14:textId="77777777" w:rsidR="003B4E23" w:rsidRPr="00E61F52" w:rsidRDefault="003B4E23" w:rsidP="0019446C">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365" w:type="pct"/>
            <w:vAlign w:val="bottom"/>
            <w:hideMark/>
          </w:tcPr>
          <w:p w14:paraId="7C8B00C8" w14:textId="77777777" w:rsidR="003B4E23" w:rsidRPr="00E61F52" w:rsidRDefault="003B4E23" w:rsidP="0019446C">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474" w:type="pct"/>
            <w:vAlign w:val="bottom"/>
          </w:tcPr>
          <w:p w14:paraId="7BA9F2F0" w14:textId="77777777" w:rsidR="003B4E23" w:rsidRPr="00E61F52" w:rsidRDefault="003B4E23" w:rsidP="0019446C">
            <w:pPr>
              <w:pBdr>
                <w:top w:val="single" w:sz="4" w:space="1" w:color="auto"/>
              </w:pBdr>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r>
      <w:tr w:rsidR="003B4E23" w:rsidRPr="00E61F52" w14:paraId="29644C2F" w14:textId="77777777" w:rsidTr="0019446C">
        <w:trPr>
          <w:trHeight w:val="259"/>
        </w:trPr>
        <w:tc>
          <w:tcPr>
            <w:tcW w:w="568" w:type="pct"/>
            <w:tcBorders>
              <w:right w:val="single" w:sz="4" w:space="0" w:color="auto"/>
            </w:tcBorders>
            <w:vAlign w:val="bottom"/>
          </w:tcPr>
          <w:p w14:paraId="5B6CB052" w14:textId="77777777" w:rsidR="003B4E23" w:rsidRPr="00E61F52" w:rsidRDefault="003B4E23" w:rsidP="0019446C">
            <w:pPr>
              <w:rPr>
                <w:rFonts w:asciiTheme="minorBidi" w:hAnsiTheme="minorBidi" w:cstheme="minorBidi"/>
                <w:sz w:val="18"/>
                <w:szCs w:val="18"/>
                <w:rtl/>
              </w:rPr>
            </w:pPr>
          </w:p>
        </w:tc>
        <w:tc>
          <w:tcPr>
            <w:tcW w:w="1547" w:type="pct"/>
            <w:tcBorders>
              <w:left w:val="single" w:sz="4" w:space="0" w:color="auto"/>
            </w:tcBorders>
            <w:vAlign w:val="bottom"/>
            <w:hideMark/>
          </w:tcPr>
          <w:p w14:paraId="73B517BF" w14:textId="77777777" w:rsidR="003B4E23" w:rsidRPr="00E61F52" w:rsidRDefault="003B4E23" w:rsidP="0019446C">
            <w:pPr>
              <w:spacing w:before="40" w:line="180" w:lineRule="exact"/>
              <w:ind w:left="142" w:right="142" w:hanging="108"/>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 - פעילות בחו"ל</w:t>
            </w:r>
          </w:p>
        </w:tc>
        <w:tc>
          <w:tcPr>
            <w:tcW w:w="513" w:type="pct"/>
            <w:vAlign w:val="bottom"/>
            <w:hideMark/>
          </w:tcPr>
          <w:p w14:paraId="055CF20D" w14:textId="77777777" w:rsidR="003B4E23" w:rsidRPr="00E61F52" w:rsidRDefault="003B4E23" w:rsidP="0019446C">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52" w:type="pct"/>
            <w:vAlign w:val="bottom"/>
          </w:tcPr>
          <w:p w14:paraId="59BE9358" w14:textId="77777777" w:rsidR="003B4E23" w:rsidRPr="00E61F52" w:rsidRDefault="003B4E23" w:rsidP="0019446C">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sz w:val="18"/>
                <w:szCs w:val="18"/>
                <w:rtl/>
              </w:rPr>
              <w:t xml:space="preserve"> 0%</w:t>
            </w:r>
          </w:p>
        </w:tc>
        <w:tc>
          <w:tcPr>
            <w:tcW w:w="532" w:type="pct"/>
            <w:vAlign w:val="bottom"/>
            <w:hideMark/>
          </w:tcPr>
          <w:p w14:paraId="7F2780C4" w14:textId="77777777" w:rsidR="003B4E23" w:rsidRPr="00E61F52" w:rsidRDefault="003B4E23" w:rsidP="0019446C">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449" w:type="pct"/>
            <w:vAlign w:val="bottom"/>
            <w:hideMark/>
          </w:tcPr>
          <w:p w14:paraId="2983CB54" w14:textId="77777777" w:rsidR="003B4E23" w:rsidRPr="00E61F52" w:rsidRDefault="003B4E23" w:rsidP="0019446C">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365" w:type="pct"/>
            <w:vAlign w:val="bottom"/>
            <w:hideMark/>
          </w:tcPr>
          <w:p w14:paraId="401C0D30" w14:textId="77777777" w:rsidR="003B4E23" w:rsidRPr="00E61F52" w:rsidRDefault="003B4E23" w:rsidP="0019446C">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474" w:type="pct"/>
            <w:vAlign w:val="bottom"/>
          </w:tcPr>
          <w:p w14:paraId="0F32C2B5" w14:textId="77777777" w:rsidR="003B4E23" w:rsidRPr="00E61F52" w:rsidRDefault="003B4E23" w:rsidP="0019446C">
            <w:pPr>
              <w:pBdr>
                <w:bottom w:val="single" w:sz="4" w:space="1" w:color="auto"/>
              </w:pBdr>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r>
      <w:tr w:rsidR="003B4E23" w:rsidRPr="00E61F52" w14:paraId="5CB6E3D4" w14:textId="77777777" w:rsidTr="0019446C">
        <w:trPr>
          <w:trHeight w:val="259"/>
        </w:trPr>
        <w:tc>
          <w:tcPr>
            <w:tcW w:w="568" w:type="pct"/>
            <w:tcBorders>
              <w:right w:val="single" w:sz="4" w:space="0" w:color="auto"/>
            </w:tcBorders>
            <w:vAlign w:val="bottom"/>
          </w:tcPr>
          <w:p w14:paraId="07CB63EB" w14:textId="77777777" w:rsidR="003B4E23" w:rsidRPr="00E61F52" w:rsidRDefault="003B4E23" w:rsidP="0019446C">
            <w:pPr>
              <w:rPr>
                <w:rFonts w:asciiTheme="minorBidi" w:hAnsiTheme="minorBidi" w:cstheme="minorBidi"/>
                <w:sz w:val="18"/>
                <w:szCs w:val="18"/>
                <w:rtl/>
              </w:rPr>
            </w:pPr>
          </w:p>
        </w:tc>
        <w:tc>
          <w:tcPr>
            <w:tcW w:w="1547" w:type="pct"/>
            <w:tcBorders>
              <w:left w:val="single" w:sz="4" w:space="0" w:color="auto"/>
            </w:tcBorders>
            <w:vAlign w:val="bottom"/>
            <w:hideMark/>
          </w:tcPr>
          <w:p w14:paraId="20C4F4BB" w14:textId="77777777" w:rsidR="003B4E23" w:rsidRPr="00E61F52" w:rsidRDefault="003B4E23" w:rsidP="0019446C">
            <w:pP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w:t>
            </w:r>
          </w:p>
        </w:tc>
        <w:tc>
          <w:tcPr>
            <w:tcW w:w="513" w:type="pct"/>
            <w:vAlign w:val="bottom"/>
            <w:hideMark/>
          </w:tcPr>
          <w:p w14:paraId="3EED72EA" w14:textId="77777777" w:rsidR="003B4E23" w:rsidRPr="00E61F52" w:rsidRDefault="003B4E23" w:rsidP="0019446C">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52" w:type="pct"/>
            <w:vAlign w:val="bottom"/>
          </w:tcPr>
          <w:p w14:paraId="365E51B3" w14:textId="77777777" w:rsidR="003B4E23" w:rsidRPr="00E61F52" w:rsidRDefault="003B4E23" w:rsidP="0019446C">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sz w:val="18"/>
                <w:szCs w:val="18"/>
                <w:rtl/>
              </w:rPr>
              <w:t xml:space="preserve"> 0%</w:t>
            </w:r>
          </w:p>
        </w:tc>
        <w:tc>
          <w:tcPr>
            <w:tcW w:w="532" w:type="pct"/>
            <w:vAlign w:val="bottom"/>
            <w:hideMark/>
          </w:tcPr>
          <w:p w14:paraId="5B711FEF" w14:textId="77777777" w:rsidR="003B4E23" w:rsidRPr="00E61F52" w:rsidRDefault="003B4E23" w:rsidP="0019446C">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449" w:type="pct"/>
            <w:vAlign w:val="bottom"/>
            <w:hideMark/>
          </w:tcPr>
          <w:p w14:paraId="1DE300D9" w14:textId="77777777" w:rsidR="003B4E23" w:rsidRPr="00E61F52" w:rsidRDefault="003B4E23" w:rsidP="0019446C">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365" w:type="pct"/>
            <w:vAlign w:val="bottom"/>
            <w:hideMark/>
          </w:tcPr>
          <w:p w14:paraId="28A44353" w14:textId="77777777" w:rsidR="003B4E23" w:rsidRPr="00E61F52" w:rsidRDefault="003B4E23" w:rsidP="0019446C">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r w:rsidRPr="00E61F52">
              <w:rPr>
                <w:rFonts w:asciiTheme="minorBidi" w:hAnsiTheme="minorBidi" w:cstheme="minorBidi"/>
                <w:sz w:val="18"/>
                <w:szCs w:val="18"/>
                <w:vertAlign w:val="superscript"/>
                <w:rtl/>
              </w:rPr>
              <w:t xml:space="preserve"> </w:t>
            </w:r>
          </w:p>
        </w:tc>
        <w:tc>
          <w:tcPr>
            <w:tcW w:w="474" w:type="pct"/>
            <w:vAlign w:val="bottom"/>
          </w:tcPr>
          <w:p w14:paraId="40B78D5C" w14:textId="77777777" w:rsidR="003B4E23" w:rsidRPr="00E61F52" w:rsidRDefault="003B4E23" w:rsidP="0019446C">
            <w:pPr>
              <w:pBdr>
                <w:bottom w:val="double" w:sz="4" w:space="1" w:color="auto"/>
              </w:pBdr>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r w:rsidRPr="00E61F52">
              <w:rPr>
                <w:rFonts w:asciiTheme="minorBidi" w:hAnsiTheme="minorBidi" w:cstheme="minorBidi"/>
                <w:sz w:val="18"/>
                <w:szCs w:val="18"/>
                <w:vertAlign w:val="superscript"/>
                <w:rtl/>
              </w:rPr>
              <w:t xml:space="preserve"> </w:t>
            </w:r>
          </w:p>
        </w:tc>
      </w:tr>
    </w:tbl>
    <w:p w14:paraId="02768ED6" w14:textId="77777777" w:rsidR="00E61F52" w:rsidRDefault="00E61F52" w:rsidP="00E61F52">
      <w:pPr>
        <w:tabs>
          <w:tab w:val="left" w:pos="7947"/>
        </w:tabs>
        <w:jc w:val="left"/>
        <w:rPr>
          <w:rtl/>
        </w:rPr>
      </w:pPr>
    </w:p>
    <w:p w14:paraId="4AF442ED" w14:textId="77777777" w:rsidR="00B62F94" w:rsidRDefault="00B62F94" w:rsidP="00E61F52">
      <w:pPr>
        <w:tabs>
          <w:tab w:val="left" w:pos="7947"/>
        </w:tabs>
        <w:jc w:val="left"/>
        <w:rPr>
          <w:rtl/>
        </w:rPr>
      </w:pPr>
    </w:p>
    <w:p w14:paraId="2E8F5B23" w14:textId="77777777" w:rsidR="00B62F94" w:rsidRDefault="00B62F94" w:rsidP="00E61F52">
      <w:pPr>
        <w:tabs>
          <w:tab w:val="left" w:pos="7947"/>
        </w:tabs>
        <w:jc w:val="left"/>
        <w:rPr>
          <w:rtl/>
        </w:rPr>
      </w:pPr>
    </w:p>
    <w:tbl>
      <w:tblPr>
        <w:bidiVisual/>
        <w:tblW w:w="4372" w:type="pct"/>
        <w:tblInd w:w="999" w:type="dxa"/>
        <w:tblLook w:val="01E0" w:firstRow="1" w:lastRow="1" w:firstColumn="1" w:lastColumn="1" w:noHBand="0" w:noVBand="0"/>
      </w:tblPr>
      <w:tblGrid>
        <w:gridCol w:w="8925"/>
      </w:tblGrid>
      <w:tr w:rsidR="00B44878" w:rsidRPr="00E61F52" w14:paraId="4AADF9C9" w14:textId="77777777" w:rsidTr="00B62F94">
        <w:trPr>
          <w:trHeight w:val="245"/>
        </w:trPr>
        <w:tc>
          <w:tcPr>
            <w:tcW w:w="5000" w:type="pct"/>
            <w:shd w:val="clear" w:color="auto" w:fill="auto"/>
          </w:tcPr>
          <w:p w14:paraId="40F679DD" w14:textId="77777777" w:rsidR="00B44878" w:rsidRPr="00E61F52" w:rsidRDefault="00B44878" w:rsidP="00E61F52">
            <w:pPr>
              <w:spacing w:before="60" w:afterLines="60" w:after="144" w:line="259" w:lineRule="auto"/>
              <w:ind w:left="317" w:hanging="283"/>
              <w:rPr>
                <w:sz w:val="18"/>
                <w:szCs w:val="18"/>
                <w:rtl/>
              </w:rPr>
            </w:pPr>
            <w:r w:rsidRPr="00E61F52">
              <w:rPr>
                <w:rFonts w:hint="cs"/>
                <w:sz w:val="18"/>
                <w:szCs w:val="18"/>
                <w:rtl/>
              </w:rPr>
              <w:t xml:space="preserve">(א) </w:t>
            </w:r>
            <w:r w:rsidRPr="00E61F52">
              <w:rPr>
                <w:sz w:val="18"/>
                <w:szCs w:val="18"/>
                <w:rtl/>
              </w:rPr>
              <w:t>יש לפרט את סוגי השינויים שנעשו בחובות ולתאר את הסוגים העיקריים של ענפי המשק או קבוצות החובות שבהם בוצעו השינויים. אין צורך לתת גילוי לסוגי שינויים שאינם מהותיים. תאגיד בנקאי נדרש להתאים את הביאור למצבו ולהוסיף מידע כמותי ואיכותי כדי לעמוד בדרישות הגילוי בקודיפיקציה</w:t>
            </w:r>
          </w:p>
        </w:tc>
      </w:tr>
    </w:tbl>
    <w:p w14:paraId="77648944" w14:textId="77777777" w:rsidR="00E61F52" w:rsidRDefault="00E61F52" w:rsidP="00E61F52">
      <w:pPr>
        <w:tabs>
          <w:tab w:val="left" w:pos="7947"/>
        </w:tabs>
        <w:jc w:val="left"/>
        <w:rPr>
          <w:rtl/>
        </w:rPr>
      </w:pPr>
    </w:p>
    <w:p w14:paraId="4FE8EB2B" w14:textId="13639422" w:rsidR="00E61F52" w:rsidRDefault="00E61F52">
      <w:pPr>
        <w:bidi w:val="0"/>
        <w:jc w:val="left"/>
        <w:rPr>
          <w:rtl/>
        </w:rPr>
      </w:pPr>
      <w:r>
        <w:rPr>
          <w:rtl/>
        </w:rPr>
        <w:br w:type="page"/>
      </w:r>
    </w:p>
    <w:tbl>
      <w:tblPr>
        <w:bidiVisual/>
        <w:tblW w:w="5066" w:type="pct"/>
        <w:tblInd w:w="-135" w:type="dxa"/>
        <w:tblLook w:val="04A0" w:firstRow="1" w:lastRow="0" w:firstColumn="1" w:lastColumn="0" w:noHBand="0" w:noVBand="1"/>
      </w:tblPr>
      <w:tblGrid>
        <w:gridCol w:w="1133"/>
        <w:gridCol w:w="9209"/>
      </w:tblGrid>
      <w:tr w:rsidR="00E61F52" w:rsidRPr="00E61F52" w14:paraId="55D7EE41" w14:textId="77777777" w:rsidTr="00B44878">
        <w:trPr>
          <w:trHeight w:val="259"/>
        </w:trPr>
        <w:tc>
          <w:tcPr>
            <w:tcW w:w="5000" w:type="pct"/>
            <w:gridSpan w:val="2"/>
            <w:hideMark/>
          </w:tcPr>
          <w:p w14:paraId="23538311" w14:textId="77777777" w:rsidR="00E61F52" w:rsidRPr="005B240E" w:rsidRDefault="00E61F52" w:rsidP="00B44878">
            <w:pPr>
              <w:spacing w:after="60"/>
              <w:ind w:firstLine="1158"/>
              <w:rPr>
                <w:rFonts w:asciiTheme="minorBidi" w:hAnsiTheme="minorBidi" w:cstheme="minorBidi"/>
                <w:b/>
                <w:bCs/>
                <w:rtl/>
              </w:rPr>
            </w:pPr>
            <w:r w:rsidRPr="005B240E">
              <w:rPr>
                <w:rFonts w:asciiTheme="minorBidi" w:hAnsiTheme="minorBidi" w:cstheme="minorBidi"/>
                <w:b/>
                <w:bCs/>
                <w:rtl/>
              </w:rPr>
              <w:lastRenderedPageBreak/>
              <w:t>ביאור 12  -  מידע נוסף על סיכון אשראי, אשראי לציבור והפרשה להפסדי אשראי (המשך):</w:t>
            </w:r>
          </w:p>
        </w:tc>
      </w:tr>
      <w:tr w:rsidR="00B44878" w:rsidRPr="00E61F52" w14:paraId="71A294BB" w14:textId="77777777" w:rsidTr="00B44878">
        <w:trPr>
          <w:trHeight w:val="245"/>
        </w:trPr>
        <w:tc>
          <w:tcPr>
            <w:tcW w:w="5000" w:type="pct"/>
            <w:gridSpan w:val="2"/>
            <w:hideMark/>
          </w:tcPr>
          <w:p w14:paraId="3002AC8E" w14:textId="4697EEEC" w:rsidR="00B44878" w:rsidRPr="005B240E" w:rsidRDefault="00B44878" w:rsidP="00B44878">
            <w:pPr>
              <w:spacing w:before="60" w:after="60"/>
              <w:ind w:left="1728" w:hanging="570"/>
              <w:rPr>
                <w:rFonts w:asciiTheme="minorBidi" w:hAnsiTheme="minorBidi" w:cstheme="minorBidi"/>
                <w:b/>
                <w:bCs/>
                <w:rtl/>
              </w:rPr>
            </w:pPr>
            <w:r w:rsidRPr="005B240E">
              <w:rPr>
                <w:rFonts w:asciiTheme="minorBidi" w:hAnsiTheme="minorBidi" w:cstheme="minorBidi"/>
                <w:b/>
                <w:bCs/>
                <w:rtl/>
              </w:rPr>
              <w:t>ב.</w:t>
            </w:r>
            <w:r w:rsidRPr="005B240E">
              <w:rPr>
                <w:rFonts w:asciiTheme="minorBidi" w:hAnsiTheme="minorBidi" w:cstheme="minorBidi" w:hint="cs"/>
                <w:b/>
                <w:bCs/>
                <w:rtl/>
              </w:rPr>
              <w:t xml:space="preserve"> </w:t>
            </w:r>
            <w:r w:rsidRPr="005B240E">
              <w:rPr>
                <w:rFonts w:asciiTheme="minorBidi" w:hAnsiTheme="minorBidi" w:cstheme="minorBidi"/>
                <w:b/>
                <w:bCs/>
                <w:rtl/>
              </w:rPr>
              <w:t>אשראי לציבור</w:t>
            </w:r>
            <w:r w:rsidRPr="005B240E">
              <w:rPr>
                <w:rFonts w:asciiTheme="minorBidi" w:hAnsiTheme="minorBidi" w:cstheme="minorBidi"/>
                <w:rtl/>
              </w:rPr>
              <w:t xml:space="preserve"> </w:t>
            </w:r>
            <w:r w:rsidRPr="005B240E">
              <w:rPr>
                <w:rFonts w:asciiTheme="minorBidi" w:hAnsiTheme="minorBidi" w:cstheme="minorBidi"/>
                <w:b/>
                <w:bCs/>
                <w:rtl/>
              </w:rPr>
              <w:t>(המשך):</w:t>
            </w:r>
          </w:p>
        </w:tc>
      </w:tr>
      <w:tr w:rsidR="00D61E12" w:rsidRPr="00E61F52" w14:paraId="779FDEF2" w14:textId="77777777" w:rsidTr="003E1170">
        <w:trPr>
          <w:trHeight w:val="245"/>
        </w:trPr>
        <w:tc>
          <w:tcPr>
            <w:tcW w:w="548" w:type="pct"/>
          </w:tcPr>
          <w:p w14:paraId="0530BF46" w14:textId="77777777" w:rsidR="00D61E12" w:rsidRPr="00E61F52" w:rsidRDefault="00D61E12" w:rsidP="00D61E12">
            <w:pPr>
              <w:spacing w:before="60" w:after="60"/>
              <w:rPr>
                <w:rFonts w:asciiTheme="minorBidi" w:hAnsiTheme="minorBidi" w:cstheme="minorBidi"/>
                <w:b/>
                <w:bCs/>
                <w:sz w:val="18"/>
                <w:szCs w:val="18"/>
                <w:rtl/>
              </w:rPr>
            </w:pPr>
          </w:p>
        </w:tc>
        <w:tc>
          <w:tcPr>
            <w:tcW w:w="4452" w:type="pct"/>
            <w:tcBorders>
              <w:left w:val="single" w:sz="4" w:space="0" w:color="auto"/>
            </w:tcBorders>
            <w:hideMark/>
          </w:tcPr>
          <w:p w14:paraId="3A26A54A" w14:textId="5CB2791A" w:rsidR="00D61E12" w:rsidRPr="00F73AFE" w:rsidRDefault="00D61E12" w:rsidP="00D61E12">
            <w:pPr>
              <w:tabs>
                <w:tab w:val="left" w:pos="159"/>
              </w:tabs>
              <w:spacing w:before="60" w:after="60" w:line="216" w:lineRule="auto"/>
              <w:ind w:left="443" w:hanging="287"/>
              <w:rPr>
                <w:rFonts w:asciiTheme="minorBidi" w:hAnsiTheme="minorBidi" w:cstheme="minorBidi"/>
                <w:sz w:val="19"/>
                <w:szCs w:val="19"/>
                <w:rtl/>
              </w:rPr>
            </w:pPr>
            <w:r w:rsidRPr="00D25076">
              <w:rPr>
                <w:rFonts w:asciiTheme="minorBidi" w:hAnsiTheme="minorBidi" w:cstheme="minorBidi"/>
                <w:b/>
                <w:bCs/>
                <w:sz w:val="19"/>
                <w:szCs w:val="19"/>
                <w:rtl/>
              </w:rPr>
              <w:t>2.ב.</w:t>
            </w:r>
            <w:r>
              <w:rPr>
                <w:rFonts w:asciiTheme="minorBidi" w:hAnsiTheme="minorBidi" w:cstheme="minorBidi" w:hint="cs"/>
                <w:b/>
                <w:bCs/>
                <w:sz w:val="19"/>
                <w:szCs w:val="19"/>
                <w:rtl/>
              </w:rPr>
              <w:t xml:space="preserve">   </w:t>
            </w:r>
            <w:r w:rsidRPr="00D25076">
              <w:rPr>
                <w:rFonts w:asciiTheme="minorBidi" w:hAnsiTheme="minorBidi" w:cstheme="minorBidi"/>
                <w:b/>
                <w:bCs/>
                <w:sz w:val="19"/>
                <w:szCs w:val="19"/>
                <w:rtl/>
              </w:rPr>
              <w:t>מידע על חובות של לווים בקשיים פיננסיים שעברו שינוי בתנאים</w:t>
            </w:r>
            <w:r w:rsidRPr="00D25076">
              <w:rPr>
                <w:rFonts w:asciiTheme="minorBidi" w:hAnsiTheme="minorBidi" w:cstheme="minorBidi"/>
                <w:sz w:val="19"/>
                <w:szCs w:val="19"/>
                <w:rtl/>
              </w:rPr>
              <w:t xml:space="preserve">: </w:t>
            </w:r>
            <w:r>
              <w:rPr>
                <w:rFonts w:asciiTheme="minorBidi" w:hAnsiTheme="minorBidi" w:cstheme="minorBidi" w:hint="cs"/>
                <w:sz w:val="19"/>
                <w:szCs w:val="19"/>
                <w:rtl/>
              </w:rPr>
              <w:t>(המשך)</w:t>
            </w:r>
          </w:p>
        </w:tc>
      </w:tr>
      <w:tr w:rsidR="00B44878" w:rsidRPr="00E61F52" w14:paraId="521B7495" w14:textId="77777777" w:rsidTr="00B44878">
        <w:trPr>
          <w:trHeight w:val="245"/>
        </w:trPr>
        <w:tc>
          <w:tcPr>
            <w:tcW w:w="548" w:type="pct"/>
            <w:tcBorders>
              <w:right w:val="single" w:sz="4" w:space="0" w:color="auto"/>
            </w:tcBorders>
          </w:tcPr>
          <w:p w14:paraId="28DB64CF" w14:textId="77777777" w:rsidR="00B44878" w:rsidRPr="006A2C31" w:rsidRDefault="00B44878" w:rsidP="00B44878">
            <w:pPr>
              <w:rPr>
                <w:sz w:val="14"/>
                <w:szCs w:val="14"/>
                <w:rtl/>
              </w:rPr>
            </w:pPr>
            <w:r w:rsidRPr="006A2C31">
              <w:rPr>
                <w:rFonts w:hint="cs"/>
                <w:sz w:val="14"/>
                <w:szCs w:val="14"/>
                <w:rtl/>
              </w:rPr>
              <w:t>מתכונת ביאור</w:t>
            </w:r>
          </w:p>
          <w:p w14:paraId="4B38ECAA" w14:textId="03B72F85" w:rsidR="00B44878" w:rsidRPr="00E61F52" w:rsidRDefault="00B44878" w:rsidP="00B44878">
            <w:pPr>
              <w:rPr>
                <w:rFonts w:asciiTheme="minorBidi" w:hAnsiTheme="minorBidi" w:cstheme="minorBidi"/>
                <w:b/>
                <w:bCs/>
                <w:sz w:val="18"/>
                <w:szCs w:val="18"/>
                <w:rtl/>
              </w:rPr>
            </w:pPr>
            <w:r w:rsidRPr="006A2C31">
              <w:rPr>
                <w:rFonts w:hint="cs"/>
                <w:sz w:val="14"/>
                <w:szCs w:val="14"/>
                <w:rtl/>
              </w:rPr>
              <w:t>עמוד 663-</w:t>
            </w:r>
            <w:r>
              <w:rPr>
                <w:rFonts w:hint="cs"/>
                <w:sz w:val="14"/>
                <w:szCs w:val="14"/>
                <w:rtl/>
              </w:rPr>
              <w:t>51.1</w:t>
            </w:r>
          </w:p>
        </w:tc>
        <w:tc>
          <w:tcPr>
            <w:tcW w:w="4452" w:type="pct"/>
          </w:tcPr>
          <w:p w14:paraId="61DC0E3F" w14:textId="4A23EFBD" w:rsidR="00B44878" w:rsidRPr="00F73AFE" w:rsidRDefault="00B44878" w:rsidP="00B62F94">
            <w:pPr>
              <w:tabs>
                <w:tab w:val="left" w:pos="446"/>
              </w:tabs>
              <w:spacing w:before="60" w:after="240" w:line="216" w:lineRule="auto"/>
              <w:ind w:left="448" w:hanging="289"/>
              <w:rPr>
                <w:rFonts w:asciiTheme="minorBidi" w:hAnsiTheme="minorBidi" w:cstheme="minorBidi"/>
                <w:b/>
                <w:bCs/>
                <w:sz w:val="18"/>
                <w:szCs w:val="18"/>
                <w:rtl/>
              </w:rPr>
            </w:pPr>
            <w:r w:rsidRPr="00F73AFE">
              <w:rPr>
                <w:rFonts w:asciiTheme="minorBidi" w:hAnsiTheme="minorBidi" w:cstheme="minorBidi"/>
                <w:b/>
                <w:bCs/>
                <w:sz w:val="18"/>
                <w:szCs w:val="18"/>
                <w:rtl/>
              </w:rPr>
              <w:t>2.ב.3</w:t>
            </w:r>
            <w:r w:rsidRPr="00F73AFE">
              <w:rPr>
                <w:rFonts w:asciiTheme="minorBidi" w:hAnsiTheme="minorBidi" w:cstheme="minorBidi" w:hint="cs"/>
                <w:b/>
                <w:bCs/>
                <w:sz w:val="18"/>
                <w:szCs w:val="18"/>
                <w:rtl/>
              </w:rPr>
              <w:t xml:space="preserve"> </w:t>
            </w:r>
            <w:r w:rsidRPr="00F73AFE">
              <w:rPr>
                <w:rFonts w:asciiTheme="minorBidi" w:hAnsiTheme="minorBidi" w:cstheme="minorBidi"/>
                <w:b/>
                <w:bCs/>
                <w:sz w:val="18"/>
                <w:szCs w:val="18"/>
                <w:u w:val="single"/>
                <w:rtl/>
              </w:rPr>
              <w:t>חובות של לווים בקשיים פיננסיים שעברו שינויים במהלך תקופת הדיווח</w:t>
            </w:r>
            <w:r w:rsidR="00F73AFE" w:rsidRPr="00F73AFE">
              <w:rPr>
                <w:rFonts w:asciiTheme="minorBidi" w:hAnsiTheme="minorBidi" w:cstheme="minorBidi" w:hint="cs"/>
                <w:b/>
                <w:bCs/>
                <w:sz w:val="18"/>
                <w:szCs w:val="18"/>
                <w:rtl/>
              </w:rPr>
              <w:t>:</w:t>
            </w:r>
            <w:r w:rsidRPr="00F73AFE">
              <w:rPr>
                <w:rFonts w:asciiTheme="minorBidi" w:hAnsiTheme="minorBidi" w:cstheme="minorBidi"/>
                <w:b/>
                <w:bCs/>
                <w:sz w:val="18"/>
                <w:szCs w:val="18"/>
                <w:rtl/>
              </w:rPr>
              <w:t xml:space="preserve"> </w:t>
            </w:r>
            <w:r w:rsidRPr="00F73AFE">
              <w:rPr>
                <w:rFonts w:asciiTheme="minorBidi" w:hAnsiTheme="minorBidi" w:cstheme="minorBidi"/>
                <w:sz w:val="18"/>
                <w:szCs w:val="18"/>
                <w:rtl/>
              </w:rPr>
              <w:t>(המשך)</w:t>
            </w:r>
          </w:p>
        </w:tc>
      </w:tr>
    </w:tbl>
    <w:p w14:paraId="3AC5553E" w14:textId="77777777" w:rsidR="00B62F94" w:rsidRDefault="00B62F94"/>
    <w:tbl>
      <w:tblPr>
        <w:bidiVisual/>
        <w:tblW w:w="4826" w:type="pct"/>
        <w:tblInd w:w="-245" w:type="dxa"/>
        <w:tblLook w:val="04A0" w:firstRow="1" w:lastRow="0" w:firstColumn="1" w:lastColumn="0" w:noHBand="0" w:noVBand="1"/>
      </w:tblPr>
      <w:tblGrid>
        <w:gridCol w:w="1248"/>
        <w:gridCol w:w="3241"/>
        <w:gridCol w:w="1389"/>
        <w:gridCol w:w="1139"/>
        <w:gridCol w:w="1269"/>
        <w:gridCol w:w="1566"/>
      </w:tblGrid>
      <w:tr w:rsidR="00B62F94" w:rsidRPr="00E61F52" w14:paraId="6D582455" w14:textId="77777777" w:rsidTr="00B62F94">
        <w:trPr>
          <w:trHeight w:val="259"/>
        </w:trPr>
        <w:tc>
          <w:tcPr>
            <w:tcW w:w="633" w:type="pct"/>
            <w:tcBorders>
              <w:right w:val="single" w:sz="4" w:space="0" w:color="auto"/>
            </w:tcBorders>
            <w:vAlign w:val="bottom"/>
          </w:tcPr>
          <w:p w14:paraId="02544EFA" w14:textId="77777777" w:rsidR="00B44878" w:rsidRPr="00E61F52" w:rsidRDefault="00B44878" w:rsidP="00B44878">
            <w:pPr>
              <w:rPr>
                <w:rFonts w:asciiTheme="minorBidi" w:hAnsiTheme="minorBidi" w:cstheme="minorBidi"/>
                <w:sz w:val="18"/>
                <w:szCs w:val="18"/>
                <w:rtl/>
              </w:rPr>
            </w:pPr>
          </w:p>
        </w:tc>
        <w:tc>
          <w:tcPr>
            <w:tcW w:w="1645" w:type="pct"/>
            <w:tcBorders>
              <w:left w:val="single" w:sz="4" w:space="0" w:color="auto"/>
            </w:tcBorders>
            <w:vAlign w:val="bottom"/>
          </w:tcPr>
          <w:p w14:paraId="77666DF0" w14:textId="77777777" w:rsidR="00B44878" w:rsidRPr="00E61F52" w:rsidRDefault="00B44878" w:rsidP="00B44878">
            <w:pPr>
              <w:spacing w:before="120"/>
              <w:ind w:left="142" w:hanging="142"/>
              <w:rPr>
                <w:rFonts w:asciiTheme="minorBidi" w:hAnsiTheme="minorBidi" w:cstheme="minorBidi"/>
                <w:color w:val="000000"/>
                <w:sz w:val="18"/>
                <w:szCs w:val="18"/>
                <w:rtl/>
                <w:lang w:eastAsia="he-IL"/>
              </w:rPr>
            </w:pPr>
          </w:p>
        </w:tc>
        <w:tc>
          <w:tcPr>
            <w:tcW w:w="2722" w:type="pct"/>
            <w:gridSpan w:val="4"/>
            <w:vAlign w:val="bottom"/>
            <w:hideMark/>
          </w:tcPr>
          <w:p w14:paraId="2F9474F8" w14:textId="77777777" w:rsidR="00B44878" w:rsidRPr="00E61F52" w:rsidRDefault="00B44878" w:rsidP="00B44878">
            <w:pPr>
              <w:pBdr>
                <w:bottom w:val="single" w:sz="6" w:space="1" w:color="auto"/>
              </w:pBdr>
              <w:jc w:val="center"/>
              <w:rPr>
                <w:rFonts w:asciiTheme="minorBidi" w:hAnsiTheme="minorBidi" w:cstheme="minorBidi"/>
                <w:b/>
                <w:bCs/>
                <w:color w:val="000000"/>
                <w:sz w:val="18"/>
                <w:szCs w:val="18"/>
                <w:rtl/>
                <w:lang w:eastAsia="he-IL"/>
              </w:rPr>
            </w:pPr>
            <w:r w:rsidRPr="00E61F52">
              <w:rPr>
                <w:rFonts w:asciiTheme="minorBidi" w:hAnsiTheme="minorBidi" w:cstheme="minorBidi"/>
                <w:b/>
                <w:bCs/>
                <w:sz w:val="18"/>
                <w:szCs w:val="18"/>
                <w:rtl/>
              </w:rPr>
              <w:t xml:space="preserve">השפעות כספיות של שינוי בתנאים של חובות של לווים בקשיים פיננסיים </w:t>
            </w:r>
          </w:p>
        </w:tc>
      </w:tr>
      <w:tr w:rsidR="00B62F94" w:rsidRPr="00E61F52" w14:paraId="592283E3" w14:textId="77777777" w:rsidTr="00B62F94">
        <w:trPr>
          <w:trHeight w:val="259"/>
        </w:trPr>
        <w:tc>
          <w:tcPr>
            <w:tcW w:w="633" w:type="pct"/>
            <w:tcBorders>
              <w:right w:val="single" w:sz="4" w:space="0" w:color="auto"/>
            </w:tcBorders>
            <w:vAlign w:val="bottom"/>
          </w:tcPr>
          <w:p w14:paraId="6976D3B4" w14:textId="77777777" w:rsidR="00B44878" w:rsidRPr="00E61F52" w:rsidRDefault="00B44878" w:rsidP="00B44878">
            <w:pPr>
              <w:rPr>
                <w:rFonts w:asciiTheme="minorBidi" w:hAnsiTheme="minorBidi" w:cstheme="minorBidi"/>
                <w:sz w:val="18"/>
                <w:szCs w:val="18"/>
                <w:rtl/>
              </w:rPr>
            </w:pPr>
          </w:p>
        </w:tc>
        <w:tc>
          <w:tcPr>
            <w:tcW w:w="1645" w:type="pct"/>
            <w:tcBorders>
              <w:left w:val="single" w:sz="4" w:space="0" w:color="auto"/>
            </w:tcBorders>
            <w:vAlign w:val="bottom"/>
          </w:tcPr>
          <w:p w14:paraId="0EA47FED" w14:textId="77777777" w:rsidR="00B44878" w:rsidRPr="00E61F52" w:rsidRDefault="00B44878" w:rsidP="00B44878">
            <w:pPr>
              <w:spacing w:before="120"/>
              <w:ind w:left="142" w:hanging="142"/>
              <w:rPr>
                <w:rFonts w:asciiTheme="minorBidi" w:hAnsiTheme="minorBidi" w:cstheme="minorBidi"/>
                <w:color w:val="000000"/>
                <w:sz w:val="18"/>
                <w:szCs w:val="18"/>
                <w:rtl/>
                <w:lang w:eastAsia="he-IL"/>
              </w:rPr>
            </w:pPr>
          </w:p>
        </w:tc>
        <w:tc>
          <w:tcPr>
            <w:tcW w:w="2722" w:type="pct"/>
            <w:gridSpan w:val="4"/>
            <w:vAlign w:val="bottom"/>
          </w:tcPr>
          <w:p w14:paraId="57CC7147" w14:textId="53EDC37E" w:rsidR="00B44878" w:rsidRPr="00B62F94" w:rsidRDefault="00B44878" w:rsidP="00B44878">
            <w:pPr>
              <w:pBdr>
                <w:bottom w:val="single" w:sz="6" w:space="1" w:color="auto"/>
              </w:pBdr>
              <w:jc w:val="center"/>
              <w:rPr>
                <w:rFonts w:asciiTheme="minorBidi" w:hAnsiTheme="minorBidi" w:cstheme="minorBidi"/>
                <w:b/>
                <w:bCs/>
                <w:sz w:val="17"/>
                <w:szCs w:val="17"/>
                <w:rtl/>
              </w:rPr>
            </w:pPr>
            <w:r w:rsidRPr="00B62F94">
              <w:rPr>
                <w:rFonts w:asciiTheme="minorBidi" w:hAnsiTheme="minorBidi" w:cstheme="minorBidi"/>
                <w:b/>
                <w:bCs/>
                <w:sz w:val="17"/>
                <w:szCs w:val="17"/>
                <w:rtl/>
              </w:rPr>
              <w:t xml:space="preserve">שלושה חודשים שהסתיימו ביום 30 ביוני </w:t>
            </w:r>
            <w:r w:rsidRPr="00B62F94">
              <w:rPr>
                <w:rFonts w:asciiTheme="minorBidi" w:hAnsiTheme="minorBidi" w:cstheme="minorBidi"/>
                <w:b/>
                <w:bCs/>
                <w:sz w:val="17"/>
                <w:szCs w:val="17"/>
                <w:rtl/>
              </w:rPr>
              <w:fldChar w:fldCharType="begin"/>
            </w:r>
            <w:r w:rsidRPr="00B62F94">
              <w:rPr>
                <w:rFonts w:asciiTheme="minorBidi" w:hAnsiTheme="minorBidi" w:cstheme="minorBidi"/>
                <w:b/>
                <w:bCs/>
                <w:sz w:val="17"/>
                <w:szCs w:val="17"/>
                <w:rtl/>
              </w:rPr>
              <w:instrText xml:space="preserve"> = </w:instrText>
            </w:r>
            <w:r w:rsidRPr="00B62F94">
              <w:rPr>
                <w:rFonts w:asciiTheme="minorBidi" w:hAnsiTheme="minorBidi" w:cstheme="minorBidi"/>
                <w:b/>
                <w:bCs/>
                <w:sz w:val="17"/>
                <w:szCs w:val="17"/>
              </w:rPr>
              <w:instrText>CY \* MERGEFORMAT</w:instrText>
            </w:r>
            <w:r w:rsidRPr="00B62F94">
              <w:rPr>
                <w:rFonts w:asciiTheme="minorBidi" w:hAnsiTheme="minorBidi" w:cstheme="minorBidi"/>
                <w:b/>
                <w:bCs/>
                <w:sz w:val="17"/>
                <w:szCs w:val="17"/>
                <w:rtl/>
              </w:rPr>
              <w:instrText xml:space="preserve"> </w:instrText>
            </w:r>
            <w:r w:rsidRPr="00B62F94">
              <w:rPr>
                <w:rFonts w:asciiTheme="minorBidi" w:hAnsiTheme="minorBidi" w:cstheme="minorBidi"/>
                <w:b/>
                <w:bCs/>
                <w:sz w:val="17"/>
                <w:szCs w:val="17"/>
                <w:rtl/>
              </w:rPr>
              <w:fldChar w:fldCharType="separate"/>
            </w:r>
            <w:r w:rsidRPr="00B62F94">
              <w:rPr>
                <w:rFonts w:asciiTheme="minorBidi" w:hAnsiTheme="minorBidi" w:cstheme="minorBidi"/>
                <w:b/>
                <w:bCs/>
                <w:noProof/>
                <w:sz w:val="17"/>
                <w:szCs w:val="17"/>
                <w:rtl/>
              </w:rPr>
              <w:t>2024</w:t>
            </w:r>
            <w:r w:rsidRPr="00B62F94">
              <w:rPr>
                <w:rFonts w:asciiTheme="minorBidi" w:hAnsiTheme="minorBidi" w:cstheme="minorBidi"/>
                <w:b/>
                <w:bCs/>
                <w:sz w:val="17"/>
                <w:szCs w:val="17"/>
                <w:rtl/>
              </w:rPr>
              <w:fldChar w:fldCharType="end"/>
            </w:r>
            <w:r w:rsidRPr="00B62F94">
              <w:rPr>
                <w:rFonts w:asciiTheme="minorBidi" w:hAnsiTheme="minorBidi" w:cstheme="minorBidi"/>
                <w:b/>
                <w:bCs/>
                <w:color w:val="000000"/>
                <w:sz w:val="17"/>
                <w:szCs w:val="17"/>
                <w:rtl/>
                <w:lang w:eastAsia="he-IL"/>
              </w:rPr>
              <w:t xml:space="preserve">  </w:t>
            </w:r>
            <w:r w:rsidRPr="00B62F94">
              <w:rPr>
                <w:rFonts w:asciiTheme="minorBidi" w:hAnsiTheme="minorBidi" w:cstheme="minorBidi"/>
                <w:color w:val="000000"/>
                <w:sz w:val="17"/>
                <w:szCs w:val="17"/>
                <w:rtl/>
                <w:lang w:eastAsia="he-IL"/>
              </w:rPr>
              <w:t>(בלתי מבוקר)</w:t>
            </w:r>
          </w:p>
        </w:tc>
      </w:tr>
      <w:tr w:rsidR="00B62F94" w:rsidRPr="00E61F52" w14:paraId="4C02F3BF" w14:textId="77777777" w:rsidTr="00B62F94">
        <w:trPr>
          <w:trHeight w:val="259"/>
        </w:trPr>
        <w:tc>
          <w:tcPr>
            <w:tcW w:w="633" w:type="pct"/>
            <w:tcBorders>
              <w:right w:val="single" w:sz="4" w:space="0" w:color="auto"/>
            </w:tcBorders>
            <w:vAlign w:val="bottom"/>
          </w:tcPr>
          <w:p w14:paraId="1C2A862A" w14:textId="77777777" w:rsidR="00B44878" w:rsidRPr="00E61F52" w:rsidRDefault="00B44878" w:rsidP="00B44878">
            <w:pPr>
              <w:rPr>
                <w:rFonts w:asciiTheme="minorBidi" w:hAnsiTheme="minorBidi" w:cstheme="minorBidi"/>
                <w:sz w:val="18"/>
                <w:szCs w:val="18"/>
                <w:rtl/>
              </w:rPr>
            </w:pPr>
          </w:p>
        </w:tc>
        <w:tc>
          <w:tcPr>
            <w:tcW w:w="1645" w:type="pct"/>
            <w:tcBorders>
              <w:left w:val="single" w:sz="4" w:space="0" w:color="auto"/>
            </w:tcBorders>
            <w:vAlign w:val="bottom"/>
          </w:tcPr>
          <w:p w14:paraId="2669C5E9" w14:textId="77777777" w:rsidR="00B44878" w:rsidRPr="00E61F52" w:rsidRDefault="00B44878" w:rsidP="00B44878">
            <w:pPr>
              <w:ind w:left="144" w:hanging="144"/>
              <w:rPr>
                <w:rFonts w:asciiTheme="minorBidi" w:hAnsiTheme="minorBidi" w:cstheme="minorBidi"/>
                <w:color w:val="000000"/>
                <w:sz w:val="18"/>
                <w:szCs w:val="18"/>
                <w:rtl/>
                <w:lang w:eastAsia="he-IL"/>
              </w:rPr>
            </w:pPr>
          </w:p>
        </w:tc>
        <w:tc>
          <w:tcPr>
            <w:tcW w:w="2722" w:type="pct"/>
            <w:gridSpan w:val="4"/>
            <w:vAlign w:val="bottom"/>
          </w:tcPr>
          <w:p w14:paraId="42DA4E84" w14:textId="77777777" w:rsidR="00B44878" w:rsidRPr="00E61F52" w:rsidRDefault="00B44878" w:rsidP="00B44878">
            <w:pPr>
              <w:pBdr>
                <w:bottom w:val="single" w:sz="4"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סוג השינוי</w:t>
            </w:r>
            <w:r w:rsidRPr="00E61F52">
              <w:rPr>
                <w:rFonts w:asciiTheme="minorBidi" w:hAnsiTheme="minorBidi" w:cstheme="minorBidi"/>
                <w:sz w:val="18"/>
                <w:szCs w:val="18"/>
                <w:vertAlign w:val="superscript"/>
                <w:rtl/>
              </w:rPr>
              <w:t xml:space="preserve"> (א)</w:t>
            </w:r>
          </w:p>
        </w:tc>
      </w:tr>
      <w:tr w:rsidR="00B62F94" w:rsidRPr="00E61F52" w14:paraId="2F4DB920" w14:textId="77777777" w:rsidTr="00B62F94">
        <w:trPr>
          <w:trHeight w:val="569"/>
        </w:trPr>
        <w:tc>
          <w:tcPr>
            <w:tcW w:w="633" w:type="pct"/>
            <w:tcBorders>
              <w:right w:val="single" w:sz="4" w:space="0" w:color="auto"/>
            </w:tcBorders>
            <w:vAlign w:val="bottom"/>
          </w:tcPr>
          <w:p w14:paraId="284DBF67" w14:textId="77777777" w:rsidR="00B44878" w:rsidRPr="00E61F52" w:rsidRDefault="00B44878" w:rsidP="00B44878">
            <w:pPr>
              <w:rPr>
                <w:rFonts w:asciiTheme="minorBidi" w:hAnsiTheme="minorBidi" w:cstheme="minorBidi"/>
                <w:sz w:val="18"/>
                <w:szCs w:val="18"/>
                <w:rtl/>
              </w:rPr>
            </w:pPr>
          </w:p>
        </w:tc>
        <w:tc>
          <w:tcPr>
            <w:tcW w:w="1645" w:type="pct"/>
            <w:tcBorders>
              <w:left w:val="single" w:sz="4" w:space="0" w:color="auto"/>
            </w:tcBorders>
            <w:vAlign w:val="bottom"/>
          </w:tcPr>
          <w:p w14:paraId="49B4A42A" w14:textId="77777777" w:rsidR="00B44878" w:rsidRPr="00E61F52" w:rsidRDefault="00B44878" w:rsidP="00B44878">
            <w:pPr>
              <w:ind w:left="144" w:hanging="144"/>
              <w:rPr>
                <w:rFonts w:asciiTheme="minorBidi" w:hAnsiTheme="minorBidi" w:cstheme="minorBidi"/>
                <w:color w:val="000000"/>
                <w:sz w:val="18"/>
                <w:szCs w:val="18"/>
                <w:rtl/>
                <w:lang w:eastAsia="he-IL"/>
              </w:rPr>
            </w:pPr>
          </w:p>
        </w:tc>
        <w:tc>
          <w:tcPr>
            <w:tcW w:w="705" w:type="pct"/>
            <w:vAlign w:val="bottom"/>
            <w:hideMark/>
          </w:tcPr>
          <w:p w14:paraId="320ABF9E" w14:textId="77777777" w:rsidR="00B44878" w:rsidRPr="00E61F52" w:rsidRDefault="00B44878" w:rsidP="00B44878">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ויתור</w:t>
            </w:r>
          </w:p>
          <w:p w14:paraId="6165DA80" w14:textId="77777777" w:rsidR="00B44878" w:rsidRPr="00E61F52" w:rsidRDefault="00B44878" w:rsidP="00B44878">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על קרן</w:t>
            </w:r>
          </w:p>
        </w:tc>
        <w:tc>
          <w:tcPr>
            <w:tcW w:w="578" w:type="pct"/>
            <w:vAlign w:val="bottom"/>
            <w:hideMark/>
          </w:tcPr>
          <w:p w14:paraId="1B7C52FE" w14:textId="77777777" w:rsidR="00B44878" w:rsidRPr="00E61F52" w:rsidRDefault="00B44878" w:rsidP="00B44878">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ויתור</w:t>
            </w:r>
          </w:p>
          <w:p w14:paraId="0B88A2BC" w14:textId="77777777" w:rsidR="00B44878" w:rsidRPr="00E61F52" w:rsidRDefault="00B44878" w:rsidP="00B44878">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על ריבית</w:t>
            </w:r>
          </w:p>
        </w:tc>
        <w:tc>
          <w:tcPr>
            <w:tcW w:w="644" w:type="pct"/>
            <w:vAlign w:val="bottom"/>
            <w:hideMark/>
          </w:tcPr>
          <w:p w14:paraId="13D7AC37" w14:textId="77777777" w:rsidR="00B44878" w:rsidRPr="00E61F52" w:rsidRDefault="00B44878" w:rsidP="00B44878">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ממוצע הארכת תקופה</w:t>
            </w:r>
          </w:p>
        </w:tc>
        <w:tc>
          <w:tcPr>
            <w:tcW w:w="795" w:type="pct"/>
            <w:vAlign w:val="bottom"/>
            <w:hideMark/>
          </w:tcPr>
          <w:p w14:paraId="53F66A02" w14:textId="77777777" w:rsidR="00B44878" w:rsidRPr="00E61F52" w:rsidRDefault="00B44878" w:rsidP="00B44878">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דחיית תשלומים ממוצעת</w:t>
            </w:r>
          </w:p>
        </w:tc>
      </w:tr>
      <w:tr w:rsidR="00B62F94" w:rsidRPr="00E61F52" w14:paraId="03CE809B" w14:textId="77777777" w:rsidTr="00B62F94">
        <w:trPr>
          <w:trHeight w:val="271"/>
        </w:trPr>
        <w:tc>
          <w:tcPr>
            <w:tcW w:w="633" w:type="pct"/>
            <w:tcBorders>
              <w:right w:val="single" w:sz="4" w:space="0" w:color="auto"/>
            </w:tcBorders>
            <w:vAlign w:val="bottom"/>
          </w:tcPr>
          <w:p w14:paraId="53C3D7C4" w14:textId="77777777" w:rsidR="00B44878" w:rsidRPr="00E61F52" w:rsidRDefault="00B44878" w:rsidP="00B44878">
            <w:pPr>
              <w:rPr>
                <w:rFonts w:asciiTheme="minorBidi" w:hAnsiTheme="minorBidi" w:cstheme="minorBidi"/>
                <w:sz w:val="18"/>
                <w:szCs w:val="18"/>
                <w:rtl/>
              </w:rPr>
            </w:pPr>
          </w:p>
        </w:tc>
        <w:tc>
          <w:tcPr>
            <w:tcW w:w="1645" w:type="pct"/>
            <w:tcBorders>
              <w:left w:val="single" w:sz="4" w:space="0" w:color="auto"/>
            </w:tcBorders>
            <w:vAlign w:val="bottom"/>
          </w:tcPr>
          <w:p w14:paraId="1B395D90" w14:textId="77777777" w:rsidR="00B44878" w:rsidRPr="00E61F52" w:rsidRDefault="00B44878" w:rsidP="00B44878">
            <w:pPr>
              <w:ind w:left="144" w:hanging="144"/>
              <w:rPr>
                <w:rFonts w:asciiTheme="minorBidi" w:hAnsiTheme="minorBidi" w:cstheme="minorBidi"/>
                <w:color w:val="000000"/>
                <w:sz w:val="18"/>
                <w:szCs w:val="18"/>
                <w:rtl/>
                <w:lang w:eastAsia="he-IL"/>
              </w:rPr>
            </w:pPr>
          </w:p>
        </w:tc>
        <w:tc>
          <w:tcPr>
            <w:tcW w:w="705" w:type="pct"/>
            <w:vAlign w:val="bottom"/>
          </w:tcPr>
          <w:p w14:paraId="02C70B3F" w14:textId="77777777" w:rsidR="00B44878" w:rsidRPr="00E61F52" w:rsidRDefault="00B44878" w:rsidP="00B44878">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sz w:val="18"/>
                <w:szCs w:val="18"/>
                <w:rtl/>
              </w:rPr>
              <w:t>מיליוני ש"ח</w:t>
            </w:r>
          </w:p>
        </w:tc>
        <w:tc>
          <w:tcPr>
            <w:tcW w:w="578" w:type="pct"/>
            <w:vAlign w:val="bottom"/>
          </w:tcPr>
          <w:p w14:paraId="290730A0" w14:textId="77777777" w:rsidR="00B44878" w:rsidRPr="00E61F52" w:rsidRDefault="00B44878" w:rsidP="00B44878">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sz w:val="18"/>
                <w:szCs w:val="18"/>
                <w:rtl/>
              </w:rPr>
              <w:t>%</w:t>
            </w:r>
          </w:p>
        </w:tc>
        <w:tc>
          <w:tcPr>
            <w:tcW w:w="644" w:type="pct"/>
            <w:vAlign w:val="bottom"/>
          </w:tcPr>
          <w:p w14:paraId="13E14192" w14:textId="77777777" w:rsidR="00B44878" w:rsidRPr="00E61F52" w:rsidRDefault="00B44878" w:rsidP="00B44878">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חודשים</w:t>
            </w:r>
          </w:p>
        </w:tc>
        <w:tc>
          <w:tcPr>
            <w:tcW w:w="795" w:type="pct"/>
            <w:vAlign w:val="bottom"/>
          </w:tcPr>
          <w:p w14:paraId="439D478B" w14:textId="77777777" w:rsidR="00B44878" w:rsidRPr="00E61F52" w:rsidRDefault="00B44878" w:rsidP="00B44878">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חודשים</w:t>
            </w:r>
          </w:p>
        </w:tc>
      </w:tr>
      <w:tr w:rsidR="00B62F94" w:rsidRPr="00E61F52" w14:paraId="46B4A94C" w14:textId="77777777" w:rsidTr="00B62F94">
        <w:trPr>
          <w:trHeight w:val="259"/>
        </w:trPr>
        <w:tc>
          <w:tcPr>
            <w:tcW w:w="633" w:type="pct"/>
            <w:tcBorders>
              <w:right w:val="single" w:sz="4" w:space="0" w:color="auto"/>
            </w:tcBorders>
            <w:vAlign w:val="bottom"/>
          </w:tcPr>
          <w:p w14:paraId="24287D5F" w14:textId="77777777" w:rsidR="00B44878" w:rsidRPr="00E61F52" w:rsidRDefault="00B44878" w:rsidP="00B44878">
            <w:pPr>
              <w:rPr>
                <w:rFonts w:asciiTheme="minorBidi" w:hAnsiTheme="minorBidi" w:cstheme="minorBidi"/>
                <w:sz w:val="18"/>
                <w:szCs w:val="18"/>
                <w:rtl/>
              </w:rPr>
            </w:pPr>
          </w:p>
        </w:tc>
        <w:tc>
          <w:tcPr>
            <w:tcW w:w="1645" w:type="pct"/>
            <w:tcBorders>
              <w:left w:val="single" w:sz="4" w:space="0" w:color="auto"/>
            </w:tcBorders>
            <w:vAlign w:val="bottom"/>
            <w:hideMark/>
          </w:tcPr>
          <w:p w14:paraId="405E6ECB" w14:textId="77777777" w:rsidR="00B44878" w:rsidRPr="00E61F52" w:rsidRDefault="00B44878" w:rsidP="00B44878">
            <w:pPr>
              <w:ind w:left="34"/>
              <w:rPr>
                <w:rFonts w:asciiTheme="minorBidi" w:hAnsiTheme="minorBidi" w:cstheme="minorBidi"/>
                <w:b/>
                <w:bCs/>
                <w:color w:val="000000"/>
                <w:sz w:val="18"/>
                <w:szCs w:val="18"/>
                <w:u w:val="single"/>
                <w:rtl/>
                <w:lang w:eastAsia="he-IL"/>
              </w:rPr>
            </w:pPr>
            <w:r w:rsidRPr="00E61F52">
              <w:rPr>
                <w:rFonts w:asciiTheme="minorBidi" w:hAnsiTheme="minorBidi" w:cstheme="minorBidi"/>
                <w:b/>
                <w:bCs/>
                <w:color w:val="000000"/>
                <w:sz w:val="18"/>
                <w:szCs w:val="18"/>
                <w:u w:val="single"/>
                <w:rtl/>
                <w:lang w:eastAsia="he-IL"/>
              </w:rPr>
              <w:t>פעילות לווים בישראל</w:t>
            </w:r>
          </w:p>
        </w:tc>
        <w:tc>
          <w:tcPr>
            <w:tcW w:w="705" w:type="pct"/>
            <w:vAlign w:val="bottom"/>
          </w:tcPr>
          <w:p w14:paraId="01CD2DF4" w14:textId="77777777" w:rsidR="00B44878" w:rsidRPr="00E61F52" w:rsidRDefault="00B44878" w:rsidP="00B44878">
            <w:pPr>
              <w:rPr>
                <w:rFonts w:asciiTheme="minorBidi" w:hAnsiTheme="minorBidi" w:cstheme="minorBidi"/>
                <w:sz w:val="18"/>
                <w:szCs w:val="18"/>
                <w:rtl/>
              </w:rPr>
            </w:pPr>
          </w:p>
        </w:tc>
        <w:tc>
          <w:tcPr>
            <w:tcW w:w="578" w:type="pct"/>
            <w:vAlign w:val="bottom"/>
          </w:tcPr>
          <w:p w14:paraId="376892B4" w14:textId="77777777" w:rsidR="00B44878" w:rsidRPr="00E61F52" w:rsidRDefault="00B44878" w:rsidP="00B44878">
            <w:pPr>
              <w:rPr>
                <w:rFonts w:asciiTheme="minorBidi" w:hAnsiTheme="minorBidi" w:cstheme="minorBidi"/>
                <w:sz w:val="18"/>
                <w:szCs w:val="18"/>
                <w:rtl/>
              </w:rPr>
            </w:pPr>
          </w:p>
        </w:tc>
        <w:tc>
          <w:tcPr>
            <w:tcW w:w="644" w:type="pct"/>
            <w:vAlign w:val="bottom"/>
          </w:tcPr>
          <w:p w14:paraId="41D0CB8D" w14:textId="77777777" w:rsidR="00B44878" w:rsidRPr="00E61F52" w:rsidRDefault="00B44878" w:rsidP="00B44878">
            <w:pPr>
              <w:rPr>
                <w:rFonts w:asciiTheme="minorBidi" w:hAnsiTheme="minorBidi" w:cstheme="minorBidi"/>
                <w:sz w:val="18"/>
                <w:szCs w:val="18"/>
                <w:rtl/>
              </w:rPr>
            </w:pPr>
          </w:p>
        </w:tc>
        <w:tc>
          <w:tcPr>
            <w:tcW w:w="795" w:type="pct"/>
            <w:vAlign w:val="bottom"/>
          </w:tcPr>
          <w:p w14:paraId="021DA7A2" w14:textId="77777777" w:rsidR="00B44878" w:rsidRPr="00E61F52" w:rsidRDefault="00B44878" w:rsidP="00B44878">
            <w:pPr>
              <w:rPr>
                <w:rFonts w:asciiTheme="minorBidi" w:hAnsiTheme="minorBidi" w:cstheme="minorBidi"/>
                <w:sz w:val="18"/>
                <w:szCs w:val="18"/>
                <w:rtl/>
              </w:rPr>
            </w:pPr>
          </w:p>
        </w:tc>
      </w:tr>
      <w:tr w:rsidR="00B62F94" w:rsidRPr="00E61F52" w14:paraId="60A7B27F" w14:textId="77777777" w:rsidTr="00B62F94">
        <w:trPr>
          <w:trHeight w:val="259"/>
        </w:trPr>
        <w:tc>
          <w:tcPr>
            <w:tcW w:w="633" w:type="pct"/>
            <w:tcBorders>
              <w:right w:val="single" w:sz="4" w:space="0" w:color="auto"/>
            </w:tcBorders>
            <w:vAlign w:val="bottom"/>
          </w:tcPr>
          <w:p w14:paraId="1BCFB257" w14:textId="77777777" w:rsidR="00B44878" w:rsidRPr="00E61F52" w:rsidRDefault="00B44878" w:rsidP="00B44878">
            <w:pPr>
              <w:rPr>
                <w:rFonts w:asciiTheme="minorBidi" w:hAnsiTheme="minorBidi" w:cstheme="minorBidi"/>
                <w:sz w:val="18"/>
                <w:szCs w:val="18"/>
                <w:rtl/>
              </w:rPr>
            </w:pPr>
          </w:p>
        </w:tc>
        <w:tc>
          <w:tcPr>
            <w:tcW w:w="1645" w:type="pct"/>
            <w:tcBorders>
              <w:left w:val="single" w:sz="4" w:space="0" w:color="auto"/>
            </w:tcBorders>
            <w:vAlign w:val="bottom"/>
            <w:hideMark/>
          </w:tcPr>
          <w:p w14:paraId="09F9630A" w14:textId="77777777" w:rsidR="00B44878" w:rsidRPr="00E61F52" w:rsidRDefault="00B44878" w:rsidP="00B44878">
            <w:pPr>
              <w:ind w:left="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מסחרי</w:t>
            </w:r>
          </w:p>
        </w:tc>
        <w:tc>
          <w:tcPr>
            <w:tcW w:w="705" w:type="pct"/>
            <w:vAlign w:val="bottom"/>
            <w:hideMark/>
          </w:tcPr>
          <w:p w14:paraId="3F592949" w14:textId="77777777" w:rsidR="00B44878" w:rsidRPr="00E61F52" w:rsidRDefault="00B44878" w:rsidP="00B44878">
            <w:pPr>
              <w:rPr>
                <w:rFonts w:asciiTheme="minorBidi" w:hAnsiTheme="minorBidi" w:cstheme="minorBidi"/>
                <w:sz w:val="18"/>
                <w:szCs w:val="18"/>
              </w:rPr>
            </w:pPr>
            <w:r w:rsidRPr="00E61F52">
              <w:rPr>
                <w:rFonts w:asciiTheme="minorBidi" w:hAnsiTheme="minorBidi" w:cstheme="minorBidi"/>
                <w:sz w:val="18"/>
                <w:szCs w:val="18"/>
                <w:rtl/>
              </w:rPr>
              <w:t xml:space="preserve"> 0</w:t>
            </w:r>
          </w:p>
        </w:tc>
        <w:tc>
          <w:tcPr>
            <w:tcW w:w="578" w:type="pct"/>
            <w:vAlign w:val="bottom"/>
            <w:hideMark/>
          </w:tcPr>
          <w:p w14:paraId="5A91A744" w14:textId="77777777" w:rsidR="00B44878" w:rsidRPr="00E61F52" w:rsidRDefault="00B44878" w:rsidP="00B44878">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644" w:type="pct"/>
            <w:vAlign w:val="bottom"/>
            <w:hideMark/>
          </w:tcPr>
          <w:p w14:paraId="20CABC10" w14:textId="77777777" w:rsidR="00B44878" w:rsidRPr="00E61F52" w:rsidRDefault="00B44878" w:rsidP="00B44878">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795" w:type="pct"/>
            <w:vAlign w:val="bottom"/>
            <w:hideMark/>
          </w:tcPr>
          <w:p w14:paraId="1C9D7BEB" w14:textId="77777777" w:rsidR="00B44878" w:rsidRPr="00E61F52" w:rsidRDefault="00B44878" w:rsidP="00B44878">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B62F94" w:rsidRPr="00E61F52" w14:paraId="24D1DEC8" w14:textId="77777777" w:rsidTr="00B62F94">
        <w:trPr>
          <w:trHeight w:val="259"/>
        </w:trPr>
        <w:tc>
          <w:tcPr>
            <w:tcW w:w="633" w:type="pct"/>
            <w:tcBorders>
              <w:right w:val="single" w:sz="4" w:space="0" w:color="auto"/>
            </w:tcBorders>
            <w:vAlign w:val="bottom"/>
          </w:tcPr>
          <w:p w14:paraId="1C77A0F5" w14:textId="77777777" w:rsidR="00B44878" w:rsidRPr="00E61F52" w:rsidRDefault="00B44878" w:rsidP="00B44878">
            <w:pPr>
              <w:rPr>
                <w:rFonts w:asciiTheme="minorBidi" w:hAnsiTheme="minorBidi" w:cstheme="minorBidi"/>
                <w:sz w:val="18"/>
                <w:szCs w:val="18"/>
                <w:rtl/>
              </w:rPr>
            </w:pPr>
          </w:p>
        </w:tc>
        <w:tc>
          <w:tcPr>
            <w:tcW w:w="1645" w:type="pct"/>
            <w:tcBorders>
              <w:left w:val="single" w:sz="4" w:space="0" w:color="auto"/>
            </w:tcBorders>
            <w:vAlign w:val="bottom"/>
            <w:hideMark/>
          </w:tcPr>
          <w:p w14:paraId="3466A348" w14:textId="77777777" w:rsidR="00B44878" w:rsidRPr="00E61F52" w:rsidRDefault="00B44878" w:rsidP="00B44878">
            <w:pPr>
              <w:spacing w:before="40" w:line="200" w:lineRule="exact"/>
              <w:ind w:right="144" w:firstLine="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אנשים פרטיים - הלוואות לדיור</w:t>
            </w:r>
          </w:p>
        </w:tc>
        <w:tc>
          <w:tcPr>
            <w:tcW w:w="705" w:type="pct"/>
            <w:vAlign w:val="bottom"/>
            <w:hideMark/>
          </w:tcPr>
          <w:p w14:paraId="6092D78C" w14:textId="77777777" w:rsidR="00B44878" w:rsidRPr="00E61F52" w:rsidRDefault="00B44878" w:rsidP="00B44878">
            <w:pPr>
              <w:rPr>
                <w:rFonts w:asciiTheme="minorBidi" w:hAnsiTheme="minorBidi" w:cstheme="minorBidi"/>
                <w:sz w:val="18"/>
                <w:szCs w:val="18"/>
              </w:rPr>
            </w:pPr>
            <w:r w:rsidRPr="00E61F52">
              <w:rPr>
                <w:rFonts w:asciiTheme="minorBidi" w:hAnsiTheme="minorBidi" w:cstheme="minorBidi"/>
                <w:sz w:val="18"/>
                <w:szCs w:val="18"/>
                <w:rtl/>
              </w:rPr>
              <w:t xml:space="preserve"> 0</w:t>
            </w:r>
          </w:p>
        </w:tc>
        <w:tc>
          <w:tcPr>
            <w:tcW w:w="578" w:type="pct"/>
            <w:vAlign w:val="bottom"/>
          </w:tcPr>
          <w:p w14:paraId="7C640041" w14:textId="77777777" w:rsidR="00B44878" w:rsidRPr="00E61F52" w:rsidRDefault="00B44878" w:rsidP="00B44878">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644" w:type="pct"/>
            <w:vAlign w:val="bottom"/>
            <w:hideMark/>
          </w:tcPr>
          <w:p w14:paraId="236ABB1F" w14:textId="77777777" w:rsidR="00B44878" w:rsidRPr="00E61F52" w:rsidRDefault="00B44878" w:rsidP="00B44878">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795" w:type="pct"/>
            <w:vAlign w:val="bottom"/>
            <w:hideMark/>
          </w:tcPr>
          <w:p w14:paraId="50995154" w14:textId="77777777" w:rsidR="00B44878" w:rsidRPr="00E61F52" w:rsidRDefault="00B44878" w:rsidP="00B44878">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B62F94" w:rsidRPr="00E61F52" w14:paraId="51AFF410" w14:textId="77777777" w:rsidTr="00B62F94">
        <w:trPr>
          <w:trHeight w:val="259"/>
        </w:trPr>
        <w:tc>
          <w:tcPr>
            <w:tcW w:w="633" w:type="pct"/>
            <w:tcBorders>
              <w:right w:val="single" w:sz="4" w:space="0" w:color="auto"/>
            </w:tcBorders>
            <w:vAlign w:val="bottom"/>
          </w:tcPr>
          <w:p w14:paraId="225C5B46" w14:textId="77777777" w:rsidR="00B44878" w:rsidRPr="00E61F52" w:rsidRDefault="00B44878" w:rsidP="00B44878">
            <w:pPr>
              <w:rPr>
                <w:rFonts w:asciiTheme="minorBidi" w:hAnsiTheme="minorBidi" w:cstheme="minorBidi"/>
                <w:sz w:val="18"/>
                <w:szCs w:val="18"/>
                <w:rtl/>
              </w:rPr>
            </w:pPr>
          </w:p>
        </w:tc>
        <w:tc>
          <w:tcPr>
            <w:tcW w:w="1645" w:type="pct"/>
            <w:tcBorders>
              <w:left w:val="single" w:sz="4" w:space="0" w:color="auto"/>
            </w:tcBorders>
            <w:vAlign w:val="bottom"/>
            <w:hideMark/>
          </w:tcPr>
          <w:p w14:paraId="4C26643F" w14:textId="77777777" w:rsidR="00B44878" w:rsidRPr="00E61F52" w:rsidRDefault="00B44878" w:rsidP="00B44878">
            <w:pPr>
              <w:ind w:firstLine="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אנשים פרטיים - אחר</w:t>
            </w:r>
          </w:p>
        </w:tc>
        <w:tc>
          <w:tcPr>
            <w:tcW w:w="705" w:type="pct"/>
            <w:vAlign w:val="bottom"/>
            <w:hideMark/>
          </w:tcPr>
          <w:p w14:paraId="77E09A3A" w14:textId="77777777" w:rsidR="00B44878" w:rsidRPr="00E61F52" w:rsidRDefault="00B44878" w:rsidP="00B44878">
            <w:pPr>
              <w:rPr>
                <w:rFonts w:asciiTheme="minorBidi" w:hAnsiTheme="minorBidi" w:cstheme="minorBidi"/>
                <w:sz w:val="18"/>
                <w:szCs w:val="18"/>
              </w:rPr>
            </w:pPr>
            <w:r w:rsidRPr="00E61F52">
              <w:rPr>
                <w:rFonts w:asciiTheme="minorBidi" w:hAnsiTheme="minorBidi" w:cstheme="minorBidi"/>
                <w:sz w:val="18"/>
                <w:szCs w:val="18"/>
                <w:rtl/>
              </w:rPr>
              <w:t xml:space="preserve"> 0</w:t>
            </w:r>
          </w:p>
        </w:tc>
        <w:tc>
          <w:tcPr>
            <w:tcW w:w="578" w:type="pct"/>
            <w:vAlign w:val="bottom"/>
          </w:tcPr>
          <w:p w14:paraId="7E899F00" w14:textId="77777777" w:rsidR="00B44878" w:rsidRPr="00E61F52" w:rsidRDefault="00B44878" w:rsidP="00B44878">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644" w:type="pct"/>
            <w:vAlign w:val="bottom"/>
            <w:hideMark/>
          </w:tcPr>
          <w:p w14:paraId="00A5ADA1" w14:textId="77777777" w:rsidR="00B44878" w:rsidRPr="00E61F52" w:rsidRDefault="00B44878" w:rsidP="00B44878">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795" w:type="pct"/>
            <w:vAlign w:val="bottom"/>
            <w:hideMark/>
          </w:tcPr>
          <w:p w14:paraId="6F0298E1" w14:textId="77777777" w:rsidR="00B44878" w:rsidRPr="00E61F52" w:rsidRDefault="00B44878" w:rsidP="00B44878">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B62F94" w:rsidRPr="00E61F52" w14:paraId="14C3F9BD" w14:textId="77777777" w:rsidTr="00B62F94">
        <w:trPr>
          <w:trHeight w:val="259"/>
        </w:trPr>
        <w:tc>
          <w:tcPr>
            <w:tcW w:w="633" w:type="pct"/>
            <w:tcBorders>
              <w:right w:val="single" w:sz="4" w:space="0" w:color="auto"/>
            </w:tcBorders>
            <w:vAlign w:val="bottom"/>
          </w:tcPr>
          <w:p w14:paraId="6632E6A6" w14:textId="77777777" w:rsidR="00B44878" w:rsidRPr="00E61F52" w:rsidRDefault="00B44878" w:rsidP="00B44878">
            <w:pPr>
              <w:rPr>
                <w:rFonts w:asciiTheme="minorBidi" w:hAnsiTheme="minorBidi" w:cstheme="minorBidi"/>
                <w:sz w:val="18"/>
                <w:szCs w:val="18"/>
                <w:rtl/>
              </w:rPr>
            </w:pPr>
          </w:p>
        </w:tc>
        <w:tc>
          <w:tcPr>
            <w:tcW w:w="1645" w:type="pct"/>
            <w:tcBorders>
              <w:left w:val="single" w:sz="4" w:space="0" w:color="auto"/>
            </w:tcBorders>
            <w:vAlign w:val="bottom"/>
            <w:hideMark/>
          </w:tcPr>
          <w:p w14:paraId="49C74A2B" w14:textId="77777777" w:rsidR="00B44878" w:rsidRPr="00E61F52" w:rsidRDefault="00B44878" w:rsidP="00B44878">
            <w:pPr>
              <w:spacing w:before="60" w:line="180" w:lineRule="exact"/>
              <w:ind w:left="34" w:right="142"/>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 - פעילות בישראל</w:t>
            </w:r>
          </w:p>
        </w:tc>
        <w:tc>
          <w:tcPr>
            <w:tcW w:w="705" w:type="pct"/>
            <w:vAlign w:val="bottom"/>
            <w:hideMark/>
          </w:tcPr>
          <w:p w14:paraId="7D75219E" w14:textId="77777777" w:rsidR="00B44878" w:rsidRPr="00E61F52" w:rsidRDefault="00B44878" w:rsidP="00B44878">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78" w:type="pct"/>
            <w:vAlign w:val="bottom"/>
          </w:tcPr>
          <w:p w14:paraId="1197ADFA" w14:textId="77777777" w:rsidR="00B44878" w:rsidRPr="00E61F52" w:rsidRDefault="00B44878" w:rsidP="00B44878">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sz w:val="18"/>
                <w:szCs w:val="18"/>
                <w:rtl/>
              </w:rPr>
              <w:t xml:space="preserve"> 0%</w:t>
            </w:r>
          </w:p>
        </w:tc>
        <w:tc>
          <w:tcPr>
            <w:tcW w:w="644" w:type="pct"/>
            <w:vAlign w:val="bottom"/>
            <w:hideMark/>
          </w:tcPr>
          <w:p w14:paraId="02FA01CD" w14:textId="77777777" w:rsidR="00B44878" w:rsidRPr="00E61F52" w:rsidRDefault="00B44878" w:rsidP="00B44878">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795" w:type="pct"/>
            <w:vAlign w:val="bottom"/>
            <w:hideMark/>
          </w:tcPr>
          <w:p w14:paraId="4C23CEDE" w14:textId="77777777" w:rsidR="00B44878" w:rsidRPr="00E61F52" w:rsidRDefault="00B44878" w:rsidP="00B44878">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r>
      <w:tr w:rsidR="00B62F94" w:rsidRPr="00E61F52" w14:paraId="6A2186B1" w14:textId="77777777" w:rsidTr="00B62F94">
        <w:trPr>
          <w:trHeight w:val="259"/>
        </w:trPr>
        <w:tc>
          <w:tcPr>
            <w:tcW w:w="633" w:type="pct"/>
            <w:tcBorders>
              <w:right w:val="single" w:sz="4" w:space="0" w:color="auto"/>
            </w:tcBorders>
            <w:vAlign w:val="bottom"/>
          </w:tcPr>
          <w:p w14:paraId="3D507F08" w14:textId="77777777" w:rsidR="00B44878" w:rsidRPr="00E61F52" w:rsidRDefault="00B44878" w:rsidP="00B44878">
            <w:pPr>
              <w:rPr>
                <w:rFonts w:asciiTheme="minorBidi" w:hAnsiTheme="minorBidi" w:cstheme="minorBidi"/>
                <w:sz w:val="18"/>
                <w:szCs w:val="18"/>
                <w:rtl/>
              </w:rPr>
            </w:pPr>
          </w:p>
        </w:tc>
        <w:tc>
          <w:tcPr>
            <w:tcW w:w="1645" w:type="pct"/>
            <w:tcBorders>
              <w:left w:val="single" w:sz="4" w:space="0" w:color="auto"/>
            </w:tcBorders>
            <w:vAlign w:val="bottom"/>
            <w:hideMark/>
          </w:tcPr>
          <w:p w14:paraId="542638A9" w14:textId="77777777" w:rsidR="00B44878" w:rsidRPr="00E61F52" w:rsidRDefault="00B44878" w:rsidP="00B44878">
            <w:pPr>
              <w:spacing w:before="40" w:line="180" w:lineRule="exact"/>
              <w:ind w:left="142" w:right="142" w:hanging="108"/>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 - פעילות בחו"ל</w:t>
            </w:r>
          </w:p>
        </w:tc>
        <w:tc>
          <w:tcPr>
            <w:tcW w:w="705" w:type="pct"/>
            <w:vAlign w:val="bottom"/>
            <w:hideMark/>
          </w:tcPr>
          <w:p w14:paraId="595894AB" w14:textId="77777777" w:rsidR="00B44878" w:rsidRPr="00E61F52" w:rsidRDefault="00B44878" w:rsidP="00B44878">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78" w:type="pct"/>
            <w:vAlign w:val="bottom"/>
          </w:tcPr>
          <w:p w14:paraId="364C45D4" w14:textId="77777777" w:rsidR="00B44878" w:rsidRPr="00E61F52" w:rsidRDefault="00B44878" w:rsidP="00B44878">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sz w:val="18"/>
                <w:szCs w:val="18"/>
                <w:rtl/>
              </w:rPr>
              <w:t xml:space="preserve"> 0%</w:t>
            </w:r>
          </w:p>
        </w:tc>
        <w:tc>
          <w:tcPr>
            <w:tcW w:w="644" w:type="pct"/>
            <w:vAlign w:val="bottom"/>
            <w:hideMark/>
          </w:tcPr>
          <w:p w14:paraId="271FAA76" w14:textId="77777777" w:rsidR="00B44878" w:rsidRPr="00E61F52" w:rsidRDefault="00B44878" w:rsidP="00B44878">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795" w:type="pct"/>
            <w:vAlign w:val="bottom"/>
            <w:hideMark/>
          </w:tcPr>
          <w:p w14:paraId="04DB3F8C" w14:textId="77777777" w:rsidR="00B44878" w:rsidRPr="00E61F52" w:rsidRDefault="00B44878" w:rsidP="00B44878">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r>
      <w:tr w:rsidR="00B62F94" w:rsidRPr="00E61F52" w14:paraId="38D8B861" w14:textId="77777777" w:rsidTr="00B62F94">
        <w:trPr>
          <w:trHeight w:val="259"/>
        </w:trPr>
        <w:tc>
          <w:tcPr>
            <w:tcW w:w="633" w:type="pct"/>
            <w:tcBorders>
              <w:right w:val="single" w:sz="4" w:space="0" w:color="auto"/>
            </w:tcBorders>
            <w:vAlign w:val="bottom"/>
          </w:tcPr>
          <w:p w14:paraId="23393448" w14:textId="77777777" w:rsidR="00B44878" w:rsidRPr="00E61F52" w:rsidRDefault="00B44878" w:rsidP="00B44878">
            <w:pPr>
              <w:rPr>
                <w:rFonts w:asciiTheme="minorBidi" w:hAnsiTheme="minorBidi" w:cstheme="minorBidi"/>
                <w:sz w:val="18"/>
                <w:szCs w:val="18"/>
                <w:rtl/>
              </w:rPr>
            </w:pPr>
          </w:p>
        </w:tc>
        <w:tc>
          <w:tcPr>
            <w:tcW w:w="1645" w:type="pct"/>
            <w:tcBorders>
              <w:left w:val="single" w:sz="4" w:space="0" w:color="auto"/>
            </w:tcBorders>
            <w:vAlign w:val="bottom"/>
            <w:hideMark/>
          </w:tcPr>
          <w:p w14:paraId="64976AEC" w14:textId="77777777" w:rsidR="00B44878" w:rsidRPr="00E61F52" w:rsidRDefault="00B44878" w:rsidP="00B44878">
            <w:pP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w:t>
            </w:r>
          </w:p>
        </w:tc>
        <w:tc>
          <w:tcPr>
            <w:tcW w:w="705" w:type="pct"/>
            <w:vAlign w:val="bottom"/>
            <w:hideMark/>
          </w:tcPr>
          <w:p w14:paraId="1FEDC57D" w14:textId="77777777" w:rsidR="00B44878" w:rsidRPr="00E61F52" w:rsidRDefault="00B44878" w:rsidP="00B44878">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78" w:type="pct"/>
            <w:vAlign w:val="bottom"/>
          </w:tcPr>
          <w:p w14:paraId="7FBE1982" w14:textId="77777777" w:rsidR="00B44878" w:rsidRPr="00E61F52" w:rsidRDefault="00B44878" w:rsidP="00B44878">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sz w:val="18"/>
                <w:szCs w:val="18"/>
                <w:rtl/>
              </w:rPr>
              <w:t xml:space="preserve"> 0%</w:t>
            </w:r>
          </w:p>
        </w:tc>
        <w:tc>
          <w:tcPr>
            <w:tcW w:w="644" w:type="pct"/>
            <w:vAlign w:val="bottom"/>
            <w:hideMark/>
          </w:tcPr>
          <w:p w14:paraId="3AE58CE8" w14:textId="77777777" w:rsidR="00B44878" w:rsidRPr="00E61F52" w:rsidRDefault="00B44878" w:rsidP="00B44878">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795" w:type="pct"/>
            <w:vAlign w:val="bottom"/>
            <w:hideMark/>
          </w:tcPr>
          <w:p w14:paraId="135B83B7" w14:textId="77777777" w:rsidR="00B44878" w:rsidRPr="00E61F52" w:rsidRDefault="00B44878" w:rsidP="00B44878">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r>
    </w:tbl>
    <w:p w14:paraId="6E3689D5" w14:textId="77777777" w:rsidR="00E61F52" w:rsidRDefault="00E61F52" w:rsidP="00E61F52">
      <w:pPr>
        <w:tabs>
          <w:tab w:val="left" w:pos="7947"/>
        </w:tabs>
        <w:jc w:val="left"/>
        <w:rPr>
          <w:rtl/>
        </w:rPr>
      </w:pPr>
    </w:p>
    <w:p w14:paraId="415A6D1B" w14:textId="77777777" w:rsidR="009323A5" w:rsidRDefault="009323A5" w:rsidP="00E61F52">
      <w:pPr>
        <w:tabs>
          <w:tab w:val="left" w:pos="7947"/>
        </w:tabs>
        <w:jc w:val="left"/>
        <w:rPr>
          <w:rtl/>
        </w:rPr>
      </w:pPr>
    </w:p>
    <w:p w14:paraId="7457BE5E" w14:textId="77777777" w:rsidR="009323A5" w:rsidRDefault="009323A5" w:rsidP="00E61F52">
      <w:pPr>
        <w:tabs>
          <w:tab w:val="left" w:pos="7947"/>
        </w:tabs>
        <w:jc w:val="left"/>
        <w:rPr>
          <w:rtl/>
        </w:rPr>
      </w:pPr>
    </w:p>
    <w:tbl>
      <w:tblPr>
        <w:bidiVisual/>
        <w:tblW w:w="4826" w:type="pct"/>
        <w:tblInd w:w="-245" w:type="dxa"/>
        <w:tblLook w:val="04A0" w:firstRow="1" w:lastRow="0" w:firstColumn="1" w:lastColumn="0" w:noHBand="0" w:noVBand="1"/>
      </w:tblPr>
      <w:tblGrid>
        <w:gridCol w:w="1248"/>
        <w:gridCol w:w="3241"/>
        <w:gridCol w:w="1389"/>
        <w:gridCol w:w="1139"/>
        <w:gridCol w:w="1269"/>
        <w:gridCol w:w="1566"/>
      </w:tblGrid>
      <w:tr w:rsidR="00B62F94" w:rsidRPr="00E61F52" w14:paraId="6D0DFA15" w14:textId="77777777" w:rsidTr="00B62F94">
        <w:trPr>
          <w:trHeight w:val="259"/>
        </w:trPr>
        <w:tc>
          <w:tcPr>
            <w:tcW w:w="633" w:type="pct"/>
            <w:tcBorders>
              <w:right w:val="single" w:sz="4" w:space="0" w:color="auto"/>
            </w:tcBorders>
            <w:vAlign w:val="bottom"/>
          </w:tcPr>
          <w:p w14:paraId="4903FCD5" w14:textId="77777777" w:rsidR="00B62F94" w:rsidRPr="00E61F52" w:rsidRDefault="00B62F94" w:rsidP="00CB5D5C">
            <w:pPr>
              <w:rPr>
                <w:rFonts w:asciiTheme="minorBidi" w:hAnsiTheme="minorBidi" w:cstheme="minorBidi"/>
                <w:sz w:val="18"/>
                <w:szCs w:val="18"/>
                <w:rtl/>
              </w:rPr>
            </w:pPr>
          </w:p>
        </w:tc>
        <w:tc>
          <w:tcPr>
            <w:tcW w:w="1645" w:type="pct"/>
            <w:tcBorders>
              <w:left w:val="single" w:sz="4" w:space="0" w:color="auto"/>
            </w:tcBorders>
            <w:vAlign w:val="bottom"/>
          </w:tcPr>
          <w:p w14:paraId="39076021" w14:textId="77777777" w:rsidR="00B62F94" w:rsidRPr="00E61F52" w:rsidRDefault="00B62F94" w:rsidP="00CB5D5C">
            <w:pPr>
              <w:spacing w:before="120"/>
              <w:ind w:left="142" w:hanging="142"/>
              <w:rPr>
                <w:rFonts w:asciiTheme="minorBidi" w:hAnsiTheme="minorBidi" w:cstheme="minorBidi"/>
                <w:color w:val="000000"/>
                <w:sz w:val="18"/>
                <w:szCs w:val="18"/>
                <w:rtl/>
                <w:lang w:eastAsia="he-IL"/>
              </w:rPr>
            </w:pPr>
          </w:p>
        </w:tc>
        <w:tc>
          <w:tcPr>
            <w:tcW w:w="2722" w:type="pct"/>
            <w:gridSpan w:val="4"/>
            <w:vAlign w:val="bottom"/>
            <w:hideMark/>
          </w:tcPr>
          <w:p w14:paraId="6AFFA947" w14:textId="77777777" w:rsidR="00B62F94" w:rsidRPr="00E61F52" w:rsidRDefault="00B62F94" w:rsidP="00CB5D5C">
            <w:pPr>
              <w:pBdr>
                <w:bottom w:val="single" w:sz="6" w:space="1" w:color="auto"/>
              </w:pBdr>
              <w:jc w:val="center"/>
              <w:rPr>
                <w:rFonts w:asciiTheme="minorBidi" w:hAnsiTheme="minorBidi" w:cstheme="minorBidi"/>
                <w:b/>
                <w:bCs/>
                <w:color w:val="000000"/>
                <w:sz w:val="18"/>
                <w:szCs w:val="18"/>
                <w:rtl/>
                <w:lang w:eastAsia="he-IL"/>
              </w:rPr>
            </w:pPr>
            <w:r w:rsidRPr="00E61F52">
              <w:rPr>
                <w:rFonts w:asciiTheme="minorBidi" w:hAnsiTheme="minorBidi" w:cstheme="minorBidi"/>
                <w:b/>
                <w:bCs/>
                <w:sz w:val="18"/>
                <w:szCs w:val="18"/>
                <w:rtl/>
              </w:rPr>
              <w:t xml:space="preserve">השפעות כספיות של שינוי בתנאים של חובות של לווים בקשיים פיננסיים </w:t>
            </w:r>
          </w:p>
        </w:tc>
      </w:tr>
      <w:tr w:rsidR="00B62F94" w:rsidRPr="00E61F52" w14:paraId="1D073F58" w14:textId="77777777" w:rsidTr="00B62F94">
        <w:trPr>
          <w:trHeight w:val="259"/>
        </w:trPr>
        <w:tc>
          <w:tcPr>
            <w:tcW w:w="633" w:type="pct"/>
            <w:tcBorders>
              <w:right w:val="single" w:sz="4" w:space="0" w:color="auto"/>
            </w:tcBorders>
            <w:vAlign w:val="bottom"/>
          </w:tcPr>
          <w:p w14:paraId="4C3FEA0B" w14:textId="77777777" w:rsidR="00B62F94" w:rsidRPr="00E61F52" w:rsidRDefault="00B62F94" w:rsidP="00CB5D5C">
            <w:pPr>
              <w:rPr>
                <w:rFonts w:asciiTheme="minorBidi" w:hAnsiTheme="minorBidi" w:cstheme="minorBidi"/>
                <w:sz w:val="18"/>
                <w:szCs w:val="18"/>
                <w:rtl/>
              </w:rPr>
            </w:pPr>
          </w:p>
        </w:tc>
        <w:tc>
          <w:tcPr>
            <w:tcW w:w="1645" w:type="pct"/>
            <w:tcBorders>
              <w:left w:val="single" w:sz="4" w:space="0" w:color="auto"/>
            </w:tcBorders>
            <w:vAlign w:val="bottom"/>
          </w:tcPr>
          <w:p w14:paraId="4B028FEC" w14:textId="77777777" w:rsidR="00B62F94" w:rsidRPr="00E61F52" w:rsidRDefault="00B62F94" w:rsidP="00CB5D5C">
            <w:pPr>
              <w:spacing w:before="120"/>
              <w:ind w:left="142" w:hanging="142"/>
              <w:rPr>
                <w:rFonts w:asciiTheme="minorBidi" w:hAnsiTheme="minorBidi" w:cstheme="minorBidi"/>
                <w:color w:val="000000"/>
                <w:sz w:val="18"/>
                <w:szCs w:val="18"/>
                <w:rtl/>
                <w:lang w:eastAsia="he-IL"/>
              </w:rPr>
            </w:pPr>
          </w:p>
        </w:tc>
        <w:tc>
          <w:tcPr>
            <w:tcW w:w="2722" w:type="pct"/>
            <w:gridSpan w:val="4"/>
            <w:vAlign w:val="bottom"/>
          </w:tcPr>
          <w:p w14:paraId="3C58281A" w14:textId="208ECDF5" w:rsidR="00B62F94" w:rsidRPr="00B62F94" w:rsidRDefault="001B58C3" w:rsidP="00CB5D5C">
            <w:pPr>
              <w:pBdr>
                <w:bottom w:val="single" w:sz="6" w:space="1" w:color="auto"/>
              </w:pBdr>
              <w:jc w:val="center"/>
              <w:rPr>
                <w:rFonts w:asciiTheme="minorBidi" w:hAnsiTheme="minorBidi" w:cstheme="minorBidi"/>
                <w:b/>
                <w:bCs/>
                <w:sz w:val="17"/>
                <w:szCs w:val="17"/>
                <w:rtl/>
              </w:rPr>
            </w:pPr>
            <w:r>
              <w:rPr>
                <w:rFonts w:asciiTheme="minorBidi" w:hAnsiTheme="minorBidi" w:cstheme="minorBidi" w:hint="cs"/>
                <w:b/>
                <w:bCs/>
                <w:sz w:val="17"/>
                <w:szCs w:val="17"/>
                <w:rtl/>
              </w:rPr>
              <w:t>שישה</w:t>
            </w:r>
            <w:r w:rsidR="00B62F94" w:rsidRPr="00B62F94">
              <w:rPr>
                <w:rFonts w:asciiTheme="minorBidi" w:hAnsiTheme="minorBidi" w:cstheme="minorBidi"/>
                <w:b/>
                <w:bCs/>
                <w:sz w:val="17"/>
                <w:szCs w:val="17"/>
                <w:rtl/>
              </w:rPr>
              <w:t xml:space="preserve"> חודשים שהסתיימו ביום 30 ביוני </w:t>
            </w:r>
            <w:r w:rsidRPr="00B62F94">
              <w:rPr>
                <w:rFonts w:asciiTheme="minorBidi" w:hAnsiTheme="minorBidi" w:cstheme="minorBidi"/>
                <w:b/>
                <w:bCs/>
                <w:sz w:val="17"/>
                <w:szCs w:val="17"/>
                <w:rtl/>
              </w:rPr>
              <w:fldChar w:fldCharType="begin"/>
            </w:r>
            <w:r w:rsidRPr="00B62F94">
              <w:rPr>
                <w:rFonts w:asciiTheme="minorBidi" w:hAnsiTheme="minorBidi" w:cstheme="minorBidi"/>
                <w:b/>
                <w:bCs/>
                <w:sz w:val="17"/>
                <w:szCs w:val="17"/>
                <w:rtl/>
              </w:rPr>
              <w:instrText xml:space="preserve"> = </w:instrText>
            </w:r>
            <w:r w:rsidRPr="00B62F94">
              <w:rPr>
                <w:rFonts w:asciiTheme="minorBidi" w:hAnsiTheme="minorBidi" w:cstheme="minorBidi"/>
                <w:b/>
                <w:bCs/>
                <w:sz w:val="17"/>
                <w:szCs w:val="17"/>
              </w:rPr>
              <w:instrText>CY \* MERGEFORMAT</w:instrText>
            </w:r>
            <w:r w:rsidRPr="00B62F94">
              <w:rPr>
                <w:rFonts w:asciiTheme="minorBidi" w:hAnsiTheme="minorBidi" w:cstheme="minorBidi"/>
                <w:b/>
                <w:bCs/>
                <w:sz w:val="17"/>
                <w:szCs w:val="17"/>
                <w:rtl/>
              </w:rPr>
              <w:instrText xml:space="preserve"> </w:instrText>
            </w:r>
            <w:r w:rsidRPr="00B62F94">
              <w:rPr>
                <w:rFonts w:asciiTheme="minorBidi" w:hAnsiTheme="minorBidi" w:cstheme="minorBidi"/>
                <w:b/>
                <w:bCs/>
                <w:sz w:val="17"/>
                <w:szCs w:val="17"/>
                <w:rtl/>
              </w:rPr>
              <w:fldChar w:fldCharType="separate"/>
            </w:r>
            <w:r w:rsidRPr="00B62F94">
              <w:rPr>
                <w:rFonts w:asciiTheme="minorBidi" w:hAnsiTheme="minorBidi" w:cstheme="minorBidi"/>
                <w:b/>
                <w:bCs/>
                <w:noProof/>
                <w:sz w:val="17"/>
                <w:szCs w:val="17"/>
                <w:rtl/>
              </w:rPr>
              <w:t>2024</w:t>
            </w:r>
            <w:r w:rsidRPr="00B62F94">
              <w:rPr>
                <w:rFonts w:asciiTheme="minorBidi" w:hAnsiTheme="minorBidi" w:cstheme="minorBidi"/>
                <w:b/>
                <w:bCs/>
                <w:sz w:val="17"/>
                <w:szCs w:val="17"/>
                <w:rtl/>
              </w:rPr>
              <w:fldChar w:fldCharType="end"/>
            </w:r>
            <w:r w:rsidRPr="00B62F94">
              <w:rPr>
                <w:rFonts w:asciiTheme="minorBidi" w:hAnsiTheme="minorBidi" w:cstheme="minorBidi"/>
                <w:b/>
                <w:bCs/>
                <w:color w:val="000000"/>
                <w:sz w:val="17"/>
                <w:szCs w:val="17"/>
                <w:rtl/>
                <w:lang w:eastAsia="he-IL"/>
              </w:rPr>
              <w:t xml:space="preserve">  </w:t>
            </w:r>
            <w:r w:rsidR="00B62F94" w:rsidRPr="00B62F94">
              <w:rPr>
                <w:rFonts w:asciiTheme="minorBidi" w:hAnsiTheme="minorBidi" w:cstheme="minorBidi"/>
                <w:color w:val="000000"/>
                <w:sz w:val="17"/>
                <w:szCs w:val="17"/>
                <w:rtl/>
                <w:lang w:eastAsia="he-IL"/>
              </w:rPr>
              <w:t>(בלתי מבוקר)</w:t>
            </w:r>
          </w:p>
        </w:tc>
      </w:tr>
      <w:tr w:rsidR="00B62F94" w:rsidRPr="00E61F52" w14:paraId="67FAB354" w14:textId="77777777" w:rsidTr="00B62F94">
        <w:trPr>
          <w:trHeight w:val="259"/>
        </w:trPr>
        <w:tc>
          <w:tcPr>
            <w:tcW w:w="633" w:type="pct"/>
            <w:tcBorders>
              <w:right w:val="single" w:sz="4" w:space="0" w:color="auto"/>
            </w:tcBorders>
            <w:vAlign w:val="bottom"/>
          </w:tcPr>
          <w:p w14:paraId="3A15DAE7" w14:textId="77777777" w:rsidR="00B62F94" w:rsidRPr="00E61F52" w:rsidRDefault="00B62F94" w:rsidP="00CB5D5C">
            <w:pPr>
              <w:rPr>
                <w:rFonts w:asciiTheme="minorBidi" w:hAnsiTheme="minorBidi" w:cstheme="minorBidi"/>
                <w:sz w:val="18"/>
                <w:szCs w:val="18"/>
                <w:rtl/>
              </w:rPr>
            </w:pPr>
          </w:p>
        </w:tc>
        <w:tc>
          <w:tcPr>
            <w:tcW w:w="1645" w:type="pct"/>
            <w:tcBorders>
              <w:left w:val="single" w:sz="4" w:space="0" w:color="auto"/>
            </w:tcBorders>
            <w:vAlign w:val="bottom"/>
          </w:tcPr>
          <w:p w14:paraId="737B91C7" w14:textId="77777777" w:rsidR="00B62F94" w:rsidRPr="00E61F52" w:rsidRDefault="00B62F94" w:rsidP="00CB5D5C">
            <w:pPr>
              <w:ind w:left="144" w:hanging="144"/>
              <w:rPr>
                <w:rFonts w:asciiTheme="minorBidi" w:hAnsiTheme="minorBidi" w:cstheme="minorBidi"/>
                <w:color w:val="000000"/>
                <w:sz w:val="18"/>
                <w:szCs w:val="18"/>
                <w:rtl/>
                <w:lang w:eastAsia="he-IL"/>
              </w:rPr>
            </w:pPr>
          </w:p>
        </w:tc>
        <w:tc>
          <w:tcPr>
            <w:tcW w:w="2722" w:type="pct"/>
            <w:gridSpan w:val="4"/>
            <w:vAlign w:val="bottom"/>
          </w:tcPr>
          <w:p w14:paraId="66947288" w14:textId="77777777" w:rsidR="00B62F94" w:rsidRPr="00E61F52" w:rsidRDefault="00B62F94" w:rsidP="00CB5D5C">
            <w:pPr>
              <w:pBdr>
                <w:bottom w:val="single" w:sz="4"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סוג השינוי</w:t>
            </w:r>
            <w:r w:rsidRPr="00E61F52">
              <w:rPr>
                <w:rFonts w:asciiTheme="minorBidi" w:hAnsiTheme="minorBidi" w:cstheme="minorBidi"/>
                <w:sz w:val="18"/>
                <w:szCs w:val="18"/>
                <w:vertAlign w:val="superscript"/>
                <w:rtl/>
              </w:rPr>
              <w:t xml:space="preserve"> (א)</w:t>
            </w:r>
          </w:p>
        </w:tc>
      </w:tr>
      <w:tr w:rsidR="00B62F94" w:rsidRPr="00E61F52" w14:paraId="2AFD95D1" w14:textId="77777777" w:rsidTr="00B62F94">
        <w:trPr>
          <w:trHeight w:val="569"/>
        </w:trPr>
        <w:tc>
          <w:tcPr>
            <w:tcW w:w="633" w:type="pct"/>
            <w:tcBorders>
              <w:right w:val="single" w:sz="4" w:space="0" w:color="auto"/>
            </w:tcBorders>
            <w:vAlign w:val="bottom"/>
          </w:tcPr>
          <w:p w14:paraId="17BE9B40" w14:textId="77777777" w:rsidR="00B62F94" w:rsidRPr="00E61F52" w:rsidRDefault="00B62F94" w:rsidP="00CB5D5C">
            <w:pPr>
              <w:rPr>
                <w:rFonts w:asciiTheme="minorBidi" w:hAnsiTheme="minorBidi" w:cstheme="minorBidi"/>
                <w:sz w:val="18"/>
                <w:szCs w:val="18"/>
                <w:rtl/>
              </w:rPr>
            </w:pPr>
          </w:p>
        </w:tc>
        <w:tc>
          <w:tcPr>
            <w:tcW w:w="1645" w:type="pct"/>
            <w:tcBorders>
              <w:left w:val="single" w:sz="4" w:space="0" w:color="auto"/>
            </w:tcBorders>
            <w:vAlign w:val="bottom"/>
          </w:tcPr>
          <w:p w14:paraId="065691CA" w14:textId="77777777" w:rsidR="00B62F94" w:rsidRPr="00E61F52" w:rsidRDefault="00B62F94" w:rsidP="00CB5D5C">
            <w:pPr>
              <w:ind w:left="144" w:hanging="144"/>
              <w:rPr>
                <w:rFonts w:asciiTheme="minorBidi" w:hAnsiTheme="minorBidi" w:cstheme="minorBidi"/>
                <w:color w:val="000000"/>
                <w:sz w:val="18"/>
                <w:szCs w:val="18"/>
                <w:rtl/>
                <w:lang w:eastAsia="he-IL"/>
              </w:rPr>
            </w:pPr>
          </w:p>
        </w:tc>
        <w:tc>
          <w:tcPr>
            <w:tcW w:w="705" w:type="pct"/>
            <w:vAlign w:val="bottom"/>
            <w:hideMark/>
          </w:tcPr>
          <w:p w14:paraId="422393F3" w14:textId="77777777" w:rsidR="00B62F94" w:rsidRPr="00E61F52" w:rsidRDefault="00B62F94" w:rsidP="00CB5D5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ויתור</w:t>
            </w:r>
          </w:p>
          <w:p w14:paraId="69EFB980" w14:textId="77777777" w:rsidR="00B62F94" w:rsidRPr="00E61F52" w:rsidRDefault="00B62F94" w:rsidP="00CB5D5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על קרן</w:t>
            </w:r>
          </w:p>
        </w:tc>
        <w:tc>
          <w:tcPr>
            <w:tcW w:w="578" w:type="pct"/>
            <w:vAlign w:val="bottom"/>
            <w:hideMark/>
          </w:tcPr>
          <w:p w14:paraId="2CAC56BE" w14:textId="77777777" w:rsidR="00B62F94" w:rsidRPr="00E61F52" w:rsidRDefault="00B62F94" w:rsidP="00CB5D5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ויתור</w:t>
            </w:r>
          </w:p>
          <w:p w14:paraId="6A88786F" w14:textId="77777777" w:rsidR="00B62F94" w:rsidRPr="00E61F52" w:rsidRDefault="00B62F94" w:rsidP="00CB5D5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על ריבית</w:t>
            </w:r>
          </w:p>
        </w:tc>
        <w:tc>
          <w:tcPr>
            <w:tcW w:w="644" w:type="pct"/>
            <w:vAlign w:val="bottom"/>
            <w:hideMark/>
          </w:tcPr>
          <w:p w14:paraId="10812A1F" w14:textId="77777777" w:rsidR="00B62F94" w:rsidRPr="00E61F52" w:rsidRDefault="00B62F94" w:rsidP="00CB5D5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ממוצע הארכת תקופה</w:t>
            </w:r>
          </w:p>
        </w:tc>
        <w:tc>
          <w:tcPr>
            <w:tcW w:w="795" w:type="pct"/>
            <w:vAlign w:val="bottom"/>
            <w:hideMark/>
          </w:tcPr>
          <w:p w14:paraId="46399B0A" w14:textId="77777777" w:rsidR="00B62F94" w:rsidRPr="00E61F52" w:rsidRDefault="00B62F94" w:rsidP="00CB5D5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דחיית תשלומים ממוצעת</w:t>
            </w:r>
          </w:p>
        </w:tc>
      </w:tr>
      <w:tr w:rsidR="00B62F94" w:rsidRPr="00E61F52" w14:paraId="4300045A" w14:textId="77777777" w:rsidTr="00B62F94">
        <w:trPr>
          <w:trHeight w:val="271"/>
        </w:trPr>
        <w:tc>
          <w:tcPr>
            <w:tcW w:w="633" w:type="pct"/>
            <w:tcBorders>
              <w:right w:val="single" w:sz="4" w:space="0" w:color="auto"/>
            </w:tcBorders>
            <w:vAlign w:val="bottom"/>
          </w:tcPr>
          <w:p w14:paraId="5D693BD4" w14:textId="77777777" w:rsidR="00B62F94" w:rsidRPr="00E61F52" w:rsidRDefault="00B62F94" w:rsidP="00CB5D5C">
            <w:pPr>
              <w:rPr>
                <w:rFonts w:asciiTheme="minorBidi" w:hAnsiTheme="minorBidi" w:cstheme="minorBidi"/>
                <w:sz w:val="18"/>
                <w:szCs w:val="18"/>
                <w:rtl/>
              </w:rPr>
            </w:pPr>
          </w:p>
        </w:tc>
        <w:tc>
          <w:tcPr>
            <w:tcW w:w="1645" w:type="pct"/>
            <w:tcBorders>
              <w:left w:val="single" w:sz="4" w:space="0" w:color="auto"/>
            </w:tcBorders>
            <w:vAlign w:val="bottom"/>
          </w:tcPr>
          <w:p w14:paraId="29292A1B" w14:textId="77777777" w:rsidR="00B62F94" w:rsidRPr="00E61F52" w:rsidRDefault="00B62F94" w:rsidP="00CB5D5C">
            <w:pPr>
              <w:ind w:left="144" w:hanging="144"/>
              <w:rPr>
                <w:rFonts w:asciiTheme="minorBidi" w:hAnsiTheme="minorBidi" w:cstheme="minorBidi"/>
                <w:color w:val="000000"/>
                <w:sz w:val="18"/>
                <w:szCs w:val="18"/>
                <w:rtl/>
                <w:lang w:eastAsia="he-IL"/>
              </w:rPr>
            </w:pPr>
          </w:p>
        </w:tc>
        <w:tc>
          <w:tcPr>
            <w:tcW w:w="705" w:type="pct"/>
            <w:vAlign w:val="bottom"/>
          </w:tcPr>
          <w:p w14:paraId="2B410B7A" w14:textId="77777777" w:rsidR="00B62F94" w:rsidRPr="00E61F52" w:rsidRDefault="00B62F94" w:rsidP="00CB5D5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sz w:val="18"/>
                <w:szCs w:val="18"/>
                <w:rtl/>
              </w:rPr>
              <w:t>מיליוני ש"ח</w:t>
            </w:r>
          </w:p>
        </w:tc>
        <w:tc>
          <w:tcPr>
            <w:tcW w:w="578" w:type="pct"/>
            <w:vAlign w:val="bottom"/>
          </w:tcPr>
          <w:p w14:paraId="79620D9A" w14:textId="77777777" w:rsidR="00B62F94" w:rsidRPr="00E61F52" w:rsidRDefault="00B62F94" w:rsidP="00CB5D5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sz w:val="18"/>
                <w:szCs w:val="18"/>
                <w:rtl/>
              </w:rPr>
              <w:t>%</w:t>
            </w:r>
          </w:p>
        </w:tc>
        <w:tc>
          <w:tcPr>
            <w:tcW w:w="644" w:type="pct"/>
            <w:vAlign w:val="bottom"/>
          </w:tcPr>
          <w:p w14:paraId="41B0B552" w14:textId="77777777" w:rsidR="00B62F94" w:rsidRPr="00E61F52" w:rsidRDefault="00B62F94" w:rsidP="00CB5D5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חודשים</w:t>
            </w:r>
          </w:p>
        </w:tc>
        <w:tc>
          <w:tcPr>
            <w:tcW w:w="795" w:type="pct"/>
            <w:vAlign w:val="bottom"/>
          </w:tcPr>
          <w:p w14:paraId="3328E5AE" w14:textId="77777777" w:rsidR="00B62F94" w:rsidRPr="00E61F52" w:rsidRDefault="00B62F94" w:rsidP="00CB5D5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חודשים</w:t>
            </w:r>
          </w:p>
        </w:tc>
      </w:tr>
      <w:tr w:rsidR="00B62F94" w:rsidRPr="00E61F52" w14:paraId="7C4BB587" w14:textId="77777777" w:rsidTr="00B62F94">
        <w:trPr>
          <w:trHeight w:val="259"/>
        </w:trPr>
        <w:tc>
          <w:tcPr>
            <w:tcW w:w="633" w:type="pct"/>
            <w:tcBorders>
              <w:right w:val="single" w:sz="4" w:space="0" w:color="auto"/>
            </w:tcBorders>
            <w:vAlign w:val="bottom"/>
          </w:tcPr>
          <w:p w14:paraId="72B3B6C0" w14:textId="77777777" w:rsidR="00B62F94" w:rsidRPr="00E61F52" w:rsidRDefault="00B62F94" w:rsidP="00CB5D5C">
            <w:pPr>
              <w:rPr>
                <w:rFonts w:asciiTheme="minorBidi" w:hAnsiTheme="minorBidi" w:cstheme="minorBidi"/>
                <w:sz w:val="18"/>
                <w:szCs w:val="18"/>
                <w:rtl/>
              </w:rPr>
            </w:pPr>
          </w:p>
        </w:tc>
        <w:tc>
          <w:tcPr>
            <w:tcW w:w="1645" w:type="pct"/>
            <w:tcBorders>
              <w:left w:val="single" w:sz="4" w:space="0" w:color="auto"/>
            </w:tcBorders>
            <w:vAlign w:val="bottom"/>
            <w:hideMark/>
          </w:tcPr>
          <w:p w14:paraId="7376DD95" w14:textId="77777777" w:rsidR="00B62F94" w:rsidRPr="00E61F52" w:rsidRDefault="00B62F94" w:rsidP="00CB5D5C">
            <w:pPr>
              <w:ind w:left="34"/>
              <w:rPr>
                <w:rFonts w:asciiTheme="minorBidi" w:hAnsiTheme="minorBidi" w:cstheme="minorBidi"/>
                <w:b/>
                <w:bCs/>
                <w:color w:val="000000"/>
                <w:sz w:val="18"/>
                <w:szCs w:val="18"/>
                <w:u w:val="single"/>
                <w:rtl/>
                <w:lang w:eastAsia="he-IL"/>
              </w:rPr>
            </w:pPr>
            <w:r w:rsidRPr="00E61F52">
              <w:rPr>
                <w:rFonts w:asciiTheme="minorBidi" w:hAnsiTheme="minorBidi" w:cstheme="minorBidi"/>
                <w:b/>
                <w:bCs/>
                <w:color w:val="000000"/>
                <w:sz w:val="18"/>
                <w:szCs w:val="18"/>
                <w:u w:val="single"/>
                <w:rtl/>
                <w:lang w:eastAsia="he-IL"/>
              </w:rPr>
              <w:t>פעילות לווים בישראל</w:t>
            </w:r>
          </w:p>
        </w:tc>
        <w:tc>
          <w:tcPr>
            <w:tcW w:w="705" w:type="pct"/>
            <w:vAlign w:val="bottom"/>
          </w:tcPr>
          <w:p w14:paraId="321F8475" w14:textId="77777777" w:rsidR="00B62F94" w:rsidRPr="00E61F52" w:rsidRDefault="00B62F94" w:rsidP="00CB5D5C">
            <w:pPr>
              <w:rPr>
                <w:rFonts w:asciiTheme="minorBidi" w:hAnsiTheme="minorBidi" w:cstheme="minorBidi"/>
                <w:sz w:val="18"/>
                <w:szCs w:val="18"/>
                <w:rtl/>
              </w:rPr>
            </w:pPr>
          </w:p>
        </w:tc>
        <w:tc>
          <w:tcPr>
            <w:tcW w:w="578" w:type="pct"/>
            <w:vAlign w:val="bottom"/>
          </w:tcPr>
          <w:p w14:paraId="7E29428F" w14:textId="77777777" w:rsidR="00B62F94" w:rsidRPr="00E61F52" w:rsidRDefault="00B62F94" w:rsidP="00CB5D5C">
            <w:pPr>
              <w:rPr>
                <w:rFonts w:asciiTheme="minorBidi" w:hAnsiTheme="minorBidi" w:cstheme="minorBidi"/>
                <w:sz w:val="18"/>
                <w:szCs w:val="18"/>
                <w:rtl/>
              </w:rPr>
            </w:pPr>
          </w:p>
        </w:tc>
        <w:tc>
          <w:tcPr>
            <w:tcW w:w="644" w:type="pct"/>
            <w:vAlign w:val="bottom"/>
          </w:tcPr>
          <w:p w14:paraId="0FEB61C9" w14:textId="77777777" w:rsidR="00B62F94" w:rsidRPr="00E61F52" w:rsidRDefault="00B62F94" w:rsidP="00CB5D5C">
            <w:pPr>
              <w:rPr>
                <w:rFonts w:asciiTheme="minorBidi" w:hAnsiTheme="minorBidi" w:cstheme="minorBidi"/>
                <w:sz w:val="18"/>
                <w:szCs w:val="18"/>
                <w:rtl/>
              </w:rPr>
            </w:pPr>
          </w:p>
        </w:tc>
        <w:tc>
          <w:tcPr>
            <w:tcW w:w="795" w:type="pct"/>
            <w:vAlign w:val="bottom"/>
          </w:tcPr>
          <w:p w14:paraId="54131CFB" w14:textId="77777777" w:rsidR="00B62F94" w:rsidRPr="00E61F52" w:rsidRDefault="00B62F94" w:rsidP="00CB5D5C">
            <w:pPr>
              <w:rPr>
                <w:rFonts w:asciiTheme="minorBidi" w:hAnsiTheme="minorBidi" w:cstheme="minorBidi"/>
                <w:sz w:val="18"/>
                <w:szCs w:val="18"/>
                <w:rtl/>
              </w:rPr>
            </w:pPr>
          </w:p>
        </w:tc>
      </w:tr>
      <w:tr w:rsidR="00B62F94" w:rsidRPr="00E61F52" w14:paraId="179A592F" w14:textId="77777777" w:rsidTr="00B62F94">
        <w:trPr>
          <w:trHeight w:val="259"/>
        </w:trPr>
        <w:tc>
          <w:tcPr>
            <w:tcW w:w="633" w:type="pct"/>
            <w:tcBorders>
              <w:right w:val="single" w:sz="4" w:space="0" w:color="auto"/>
            </w:tcBorders>
            <w:vAlign w:val="bottom"/>
          </w:tcPr>
          <w:p w14:paraId="7F7FEEE8" w14:textId="77777777" w:rsidR="00B62F94" w:rsidRPr="00E61F52" w:rsidRDefault="00B62F94" w:rsidP="00CB5D5C">
            <w:pPr>
              <w:rPr>
                <w:rFonts w:asciiTheme="minorBidi" w:hAnsiTheme="minorBidi" w:cstheme="minorBidi"/>
                <w:sz w:val="18"/>
                <w:szCs w:val="18"/>
                <w:rtl/>
              </w:rPr>
            </w:pPr>
          </w:p>
        </w:tc>
        <w:tc>
          <w:tcPr>
            <w:tcW w:w="1645" w:type="pct"/>
            <w:tcBorders>
              <w:left w:val="single" w:sz="4" w:space="0" w:color="auto"/>
            </w:tcBorders>
            <w:vAlign w:val="bottom"/>
            <w:hideMark/>
          </w:tcPr>
          <w:p w14:paraId="69FD25A7" w14:textId="77777777" w:rsidR="00B62F94" w:rsidRPr="00E61F52" w:rsidRDefault="00B62F94" w:rsidP="00CB5D5C">
            <w:pPr>
              <w:ind w:left="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מסחרי</w:t>
            </w:r>
          </w:p>
        </w:tc>
        <w:tc>
          <w:tcPr>
            <w:tcW w:w="705" w:type="pct"/>
            <w:vAlign w:val="bottom"/>
            <w:hideMark/>
          </w:tcPr>
          <w:p w14:paraId="2F9A5CBF" w14:textId="77777777" w:rsidR="00B62F94" w:rsidRPr="00E61F52" w:rsidRDefault="00B62F94" w:rsidP="00CB5D5C">
            <w:pPr>
              <w:rPr>
                <w:rFonts w:asciiTheme="minorBidi" w:hAnsiTheme="minorBidi" w:cstheme="minorBidi"/>
                <w:sz w:val="18"/>
                <w:szCs w:val="18"/>
              </w:rPr>
            </w:pPr>
            <w:r w:rsidRPr="00E61F52">
              <w:rPr>
                <w:rFonts w:asciiTheme="minorBidi" w:hAnsiTheme="minorBidi" w:cstheme="minorBidi"/>
                <w:sz w:val="18"/>
                <w:szCs w:val="18"/>
                <w:rtl/>
              </w:rPr>
              <w:t xml:space="preserve"> 0</w:t>
            </w:r>
          </w:p>
        </w:tc>
        <w:tc>
          <w:tcPr>
            <w:tcW w:w="578" w:type="pct"/>
            <w:vAlign w:val="bottom"/>
            <w:hideMark/>
          </w:tcPr>
          <w:p w14:paraId="4FE4E680" w14:textId="77777777" w:rsidR="00B62F94" w:rsidRPr="00E61F52" w:rsidRDefault="00B62F94"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644" w:type="pct"/>
            <w:vAlign w:val="bottom"/>
            <w:hideMark/>
          </w:tcPr>
          <w:p w14:paraId="1B6B918C" w14:textId="77777777" w:rsidR="00B62F94" w:rsidRPr="00E61F52" w:rsidRDefault="00B62F94"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795" w:type="pct"/>
            <w:vAlign w:val="bottom"/>
            <w:hideMark/>
          </w:tcPr>
          <w:p w14:paraId="08BB618F" w14:textId="77777777" w:rsidR="00B62F94" w:rsidRPr="00E61F52" w:rsidRDefault="00B62F94"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B62F94" w:rsidRPr="00E61F52" w14:paraId="003D907F" w14:textId="77777777" w:rsidTr="00B62F94">
        <w:trPr>
          <w:trHeight w:val="259"/>
        </w:trPr>
        <w:tc>
          <w:tcPr>
            <w:tcW w:w="633" w:type="pct"/>
            <w:tcBorders>
              <w:right w:val="single" w:sz="4" w:space="0" w:color="auto"/>
            </w:tcBorders>
            <w:vAlign w:val="bottom"/>
          </w:tcPr>
          <w:p w14:paraId="175C1653" w14:textId="77777777" w:rsidR="00B62F94" w:rsidRPr="00E61F52" w:rsidRDefault="00B62F94" w:rsidP="00CB5D5C">
            <w:pPr>
              <w:rPr>
                <w:rFonts w:asciiTheme="minorBidi" w:hAnsiTheme="minorBidi" w:cstheme="minorBidi"/>
                <w:sz w:val="18"/>
                <w:szCs w:val="18"/>
                <w:rtl/>
              </w:rPr>
            </w:pPr>
          </w:p>
        </w:tc>
        <w:tc>
          <w:tcPr>
            <w:tcW w:w="1645" w:type="pct"/>
            <w:tcBorders>
              <w:left w:val="single" w:sz="4" w:space="0" w:color="auto"/>
            </w:tcBorders>
            <w:vAlign w:val="bottom"/>
            <w:hideMark/>
          </w:tcPr>
          <w:p w14:paraId="42D1351C" w14:textId="77777777" w:rsidR="00B62F94" w:rsidRPr="00E61F52" w:rsidRDefault="00B62F94" w:rsidP="00CB5D5C">
            <w:pPr>
              <w:spacing w:before="40" w:line="200" w:lineRule="exact"/>
              <w:ind w:right="144" w:firstLine="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אנשים פרטיים - הלוואות לדיור</w:t>
            </w:r>
          </w:p>
        </w:tc>
        <w:tc>
          <w:tcPr>
            <w:tcW w:w="705" w:type="pct"/>
            <w:vAlign w:val="bottom"/>
            <w:hideMark/>
          </w:tcPr>
          <w:p w14:paraId="6EEF4D88" w14:textId="77777777" w:rsidR="00B62F94" w:rsidRPr="00E61F52" w:rsidRDefault="00B62F94"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78" w:type="pct"/>
            <w:vAlign w:val="bottom"/>
          </w:tcPr>
          <w:p w14:paraId="6D7E5CDB" w14:textId="77777777" w:rsidR="00B62F94" w:rsidRPr="00E61F52" w:rsidRDefault="00B62F94"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644" w:type="pct"/>
            <w:vAlign w:val="bottom"/>
            <w:hideMark/>
          </w:tcPr>
          <w:p w14:paraId="23BD208A" w14:textId="77777777" w:rsidR="00B62F94" w:rsidRPr="00E61F52" w:rsidRDefault="00B62F94"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795" w:type="pct"/>
            <w:vAlign w:val="bottom"/>
            <w:hideMark/>
          </w:tcPr>
          <w:p w14:paraId="29962607" w14:textId="77777777" w:rsidR="00B62F94" w:rsidRPr="00E61F52" w:rsidRDefault="00B62F94"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B62F94" w:rsidRPr="00E61F52" w14:paraId="52F73020" w14:textId="77777777" w:rsidTr="00B62F94">
        <w:trPr>
          <w:trHeight w:val="259"/>
        </w:trPr>
        <w:tc>
          <w:tcPr>
            <w:tcW w:w="633" w:type="pct"/>
            <w:tcBorders>
              <w:right w:val="single" w:sz="4" w:space="0" w:color="auto"/>
            </w:tcBorders>
            <w:vAlign w:val="bottom"/>
          </w:tcPr>
          <w:p w14:paraId="54DD0338" w14:textId="77777777" w:rsidR="00B62F94" w:rsidRPr="00E61F52" w:rsidRDefault="00B62F94" w:rsidP="00CB5D5C">
            <w:pPr>
              <w:rPr>
                <w:rFonts w:asciiTheme="minorBidi" w:hAnsiTheme="minorBidi" w:cstheme="minorBidi"/>
                <w:sz w:val="18"/>
                <w:szCs w:val="18"/>
                <w:rtl/>
              </w:rPr>
            </w:pPr>
          </w:p>
        </w:tc>
        <w:tc>
          <w:tcPr>
            <w:tcW w:w="1645" w:type="pct"/>
            <w:tcBorders>
              <w:left w:val="single" w:sz="4" w:space="0" w:color="auto"/>
            </w:tcBorders>
            <w:vAlign w:val="bottom"/>
            <w:hideMark/>
          </w:tcPr>
          <w:p w14:paraId="3DD16632" w14:textId="77777777" w:rsidR="00B62F94" w:rsidRPr="00E61F52" w:rsidRDefault="00B62F94" w:rsidP="00CB5D5C">
            <w:pPr>
              <w:ind w:firstLine="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אנשים פרטיים - אחר</w:t>
            </w:r>
          </w:p>
        </w:tc>
        <w:tc>
          <w:tcPr>
            <w:tcW w:w="705" w:type="pct"/>
            <w:vAlign w:val="bottom"/>
            <w:hideMark/>
          </w:tcPr>
          <w:p w14:paraId="254A4EC7" w14:textId="77777777" w:rsidR="00B62F94" w:rsidRPr="00E61F52" w:rsidRDefault="00B62F94" w:rsidP="00CB5D5C">
            <w:pPr>
              <w:rPr>
                <w:rFonts w:asciiTheme="minorBidi" w:hAnsiTheme="minorBidi" w:cstheme="minorBidi"/>
                <w:sz w:val="18"/>
                <w:szCs w:val="18"/>
              </w:rPr>
            </w:pPr>
            <w:r w:rsidRPr="00E61F52">
              <w:rPr>
                <w:rFonts w:asciiTheme="minorBidi" w:hAnsiTheme="minorBidi" w:cstheme="minorBidi"/>
                <w:sz w:val="18"/>
                <w:szCs w:val="18"/>
                <w:rtl/>
              </w:rPr>
              <w:t xml:space="preserve"> 0</w:t>
            </w:r>
          </w:p>
        </w:tc>
        <w:tc>
          <w:tcPr>
            <w:tcW w:w="578" w:type="pct"/>
            <w:vAlign w:val="bottom"/>
          </w:tcPr>
          <w:p w14:paraId="2EBCEE21" w14:textId="77777777" w:rsidR="00B62F94" w:rsidRPr="00E61F52" w:rsidRDefault="00B62F94"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644" w:type="pct"/>
            <w:vAlign w:val="bottom"/>
            <w:hideMark/>
          </w:tcPr>
          <w:p w14:paraId="2108268E" w14:textId="77777777" w:rsidR="00B62F94" w:rsidRPr="00E61F52" w:rsidRDefault="00B62F94"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795" w:type="pct"/>
            <w:vAlign w:val="bottom"/>
            <w:hideMark/>
          </w:tcPr>
          <w:p w14:paraId="50BBE2C3" w14:textId="77777777" w:rsidR="00B62F94" w:rsidRPr="00E61F52" w:rsidRDefault="00B62F94"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B62F94" w:rsidRPr="00E61F52" w14:paraId="65E36FF1" w14:textId="77777777" w:rsidTr="00B62F94">
        <w:trPr>
          <w:trHeight w:val="259"/>
        </w:trPr>
        <w:tc>
          <w:tcPr>
            <w:tcW w:w="633" w:type="pct"/>
            <w:tcBorders>
              <w:right w:val="single" w:sz="4" w:space="0" w:color="auto"/>
            </w:tcBorders>
            <w:vAlign w:val="bottom"/>
          </w:tcPr>
          <w:p w14:paraId="6FFE1AEE" w14:textId="77777777" w:rsidR="00B62F94" w:rsidRPr="00E61F52" w:rsidRDefault="00B62F94" w:rsidP="00CB5D5C">
            <w:pPr>
              <w:rPr>
                <w:rFonts w:asciiTheme="minorBidi" w:hAnsiTheme="minorBidi" w:cstheme="minorBidi"/>
                <w:sz w:val="18"/>
                <w:szCs w:val="18"/>
                <w:rtl/>
              </w:rPr>
            </w:pPr>
          </w:p>
        </w:tc>
        <w:tc>
          <w:tcPr>
            <w:tcW w:w="1645" w:type="pct"/>
            <w:tcBorders>
              <w:left w:val="single" w:sz="4" w:space="0" w:color="auto"/>
            </w:tcBorders>
            <w:vAlign w:val="bottom"/>
            <w:hideMark/>
          </w:tcPr>
          <w:p w14:paraId="025C1E77" w14:textId="77777777" w:rsidR="00B62F94" w:rsidRPr="00E61F52" w:rsidRDefault="00B62F94" w:rsidP="00CB5D5C">
            <w:pPr>
              <w:spacing w:before="60" w:line="180" w:lineRule="exact"/>
              <w:ind w:left="34" w:right="142"/>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 - פעילות בישראל</w:t>
            </w:r>
          </w:p>
        </w:tc>
        <w:tc>
          <w:tcPr>
            <w:tcW w:w="705" w:type="pct"/>
            <w:vAlign w:val="bottom"/>
            <w:hideMark/>
          </w:tcPr>
          <w:p w14:paraId="23097467" w14:textId="77777777" w:rsidR="00B62F94" w:rsidRPr="00E61F52" w:rsidRDefault="00B62F94" w:rsidP="00CB5D5C">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78" w:type="pct"/>
            <w:vAlign w:val="bottom"/>
          </w:tcPr>
          <w:p w14:paraId="3CC35D9A" w14:textId="77777777" w:rsidR="00B62F94" w:rsidRPr="00E61F52" w:rsidRDefault="00B62F94" w:rsidP="00CB5D5C">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sz w:val="18"/>
                <w:szCs w:val="18"/>
                <w:rtl/>
              </w:rPr>
              <w:t xml:space="preserve"> 0%</w:t>
            </w:r>
          </w:p>
        </w:tc>
        <w:tc>
          <w:tcPr>
            <w:tcW w:w="644" w:type="pct"/>
            <w:vAlign w:val="bottom"/>
            <w:hideMark/>
          </w:tcPr>
          <w:p w14:paraId="2DEAA0AF" w14:textId="77777777" w:rsidR="00B62F94" w:rsidRPr="00E61F52" w:rsidRDefault="00B62F94" w:rsidP="00CB5D5C">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795" w:type="pct"/>
            <w:vAlign w:val="bottom"/>
            <w:hideMark/>
          </w:tcPr>
          <w:p w14:paraId="1D2314D8" w14:textId="77777777" w:rsidR="00B62F94" w:rsidRPr="00E61F52" w:rsidRDefault="00B62F94" w:rsidP="00CB5D5C">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r>
      <w:tr w:rsidR="00B62F94" w:rsidRPr="00E61F52" w14:paraId="59A79CC7" w14:textId="77777777" w:rsidTr="00B62F94">
        <w:trPr>
          <w:trHeight w:val="259"/>
        </w:trPr>
        <w:tc>
          <w:tcPr>
            <w:tcW w:w="633" w:type="pct"/>
            <w:tcBorders>
              <w:right w:val="single" w:sz="4" w:space="0" w:color="auto"/>
            </w:tcBorders>
            <w:vAlign w:val="bottom"/>
          </w:tcPr>
          <w:p w14:paraId="614A69B5" w14:textId="77777777" w:rsidR="00B62F94" w:rsidRPr="00E61F52" w:rsidRDefault="00B62F94" w:rsidP="00CB5D5C">
            <w:pPr>
              <w:rPr>
                <w:rFonts w:asciiTheme="minorBidi" w:hAnsiTheme="minorBidi" w:cstheme="minorBidi"/>
                <w:sz w:val="18"/>
                <w:szCs w:val="18"/>
                <w:rtl/>
              </w:rPr>
            </w:pPr>
          </w:p>
        </w:tc>
        <w:tc>
          <w:tcPr>
            <w:tcW w:w="1645" w:type="pct"/>
            <w:tcBorders>
              <w:left w:val="single" w:sz="4" w:space="0" w:color="auto"/>
            </w:tcBorders>
            <w:vAlign w:val="bottom"/>
            <w:hideMark/>
          </w:tcPr>
          <w:p w14:paraId="7EC639F0" w14:textId="77777777" w:rsidR="00B62F94" w:rsidRPr="00E61F52" w:rsidRDefault="00B62F94" w:rsidP="00CB5D5C">
            <w:pPr>
              <w:spacing w:before="40" w:line="180" w:lineRule="exact"/>
              <w:ind w:left="142" w:right="142" w:hanging="108"/>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 - פעילות בחו"ל</w:t>
            </w:r>
          </w:p>
        </w:tc>
        <w:tc>
          <w:tcPr>
            <w:tcW w:w="705" w:type="pct"/>
            <w:vAlign w:val="bottom"/>
            <w:hideMark/>
          </w:tcPr>
          <w:p w14:paraId="15A9AFB1" w14:textId="77777777" w:rsidR="00B62F94" w:rsidRPr="00E61F52" w:rsidRDefault="00B62F94" w:rsidP="00CB5D5C">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78" w:type="pct"/>
            <w:vAlign w:val="bottom"/>
          </w:tcPr>
          <w:p w14:paraId="29C5C463" w14:textId="77777777" w:rsidR="00B62F94" w:rsidRPr="00E61F52" w:rsidRDefault="00B62F94" w:rsidP="00CB5D5C">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sz w:val="18"/>
                <w:szCs w:val="18"/>
                <w:rtl/>
              </w:rPr>
              <w:t xml:space="preserve"> 0%</w:t>
            </w:r>
          </w:p>
        </w:tc>
        <w:tc>
          <w:tcPr>
            <w:tcW w:w="644" w:type="pct"/>
            <w:vAlign w:val="bottom"/>
            <w:hideMark/>
          </w:tcPr>
          <w:p w14:paraId="230BCE74" w14:textId="77777777" w:rsidR="00B62F94" w:rsidRPr="00E61F52" w:rsidRDefault="00B62F94" w:rsidP="00CB5D5C">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795" w:type="pct"/>
            <w:vAlign w:val="bottom"/>
            <w:hideMark/>
          </w:tcPr>
          <w:p w14:paraId="16FBEC5E" w14:textId="77777777" w:rsidR="00B62F94" w:rsidRPr="00E61F52" w:rsidRDefault="00B62F94" w:rsidP="00CB5D5C">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r>
      <w:tr w:rsidR="00B62F94" w:rsidRPr="00E61F52" w14:paraId="70D63CC4" w14:textId="77777777" w:rsidTr="00B62F94">
        <w:trPr>
          <w:trHeight w:val="259"/>
        </w:trPr>
        <w:tc>
          <w:tcPr>
            <w:tcW w:w="633" w:type="pct"/>
            <w:tcBorders>
              <w:right w:val="single" w:sz="4" w:space="0" w:color="auto"/>
            </w:tcBorders>
            <w:vAlign w:val="bottom"/>
          </w:tcPr>
          <w:p w14:paraId="0E3654D7" w14:textId="77777777" w:rsidR="00B62F94" w:rsidRPr="00E61F52" w:rsidRDefault="00B62F94" w:rsidP="00CB5D5C">
            <w:pPr>
              <w:rPr>
                <w:rFonts w:asciiTheme="minorBidi" w:hAnsiTheme="minorBidi" w:cstheme="minorBidi"/>
                <w:sz w:val="18"/>
                <w:szCs w:val="18"/>
                <w:rtl/>
              </w:rPr>
            </w:pPr>
          </w:p>
        </w:tc>
        <w:tc>
          <w:tcPr>
            <w:tcW w:w="1645" w:type="pct"/>
            <w:tcBorders>
              <w:left w:val="single" w:sz="4" w:space="0" w:color="auto"/>
            </w:tcBorders>
            <w:vAlign w:val="bottom"/>
            <w:hideMark/>
          </w:tcPr>
          <w:p w14:paraId="556167B6" w14:textId="77777777" w:rsidR="00B62F94" w:rsidRPr="00E61F52" w:rsidRDefault="00B62F94" w:rsidP="00CB5D5C">
            <w:pP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w:t>
            </w:r>
          </w:p>
        </w:tc>
        <w:tc>
          <w:tcPr>
            <w:tcW w:w="705" w:type="pct"/>
            <w:vAlign w:val="bottom"/>
            <w:hideMark/>
          </w:tcPr>
          <w:p w14:paraId="14D4A662" w14:textId="77777777" w:rsidR="00B62F94" w:rsidRPr="00E61F52" w:rsidRDefault="00B62F94" w:rsidP="00CB5D5C">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78" w:type="pct"/>
            <w:vAlign w:val="bottom"/>
          </w:tcPr>
          <w:p w14:paraId="3CFFBB58" w14:textId="77777777" w:rsidR="00B62F94" w:rsidRPr="00E61F52" w:rsidRDefault="00B62F94" w:rsidP="00CB5D5C">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sz w:val="18"/>
                <w:szCs w:val="18"/>
                <w:rtl/>
              </w:rPr>
              <w:t xml:space="preserve"> 0%</w:t>
            </w:r>
          </w:p>
        </w:tc>
        <w:tc>
          <w:tcPr>
            <w:tcW w:w="644" w:type="pct"/>
            <w:vAlign w:val="bottom"/>
            <w:hideMark/>
          </w:tcPr>
          <w:p w14:paraId="39C2EC38" w14:textId="77777777" w:rsidR="00B62F94" w:rsidRPr="00E61F52" w:rsidRDefault="00B62F94" w:rsidP="00CB5D5C">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795" w:type="pct"/>
            <w:vAlign w:val="bottom"/>
            <w:hideMark/>
          </w:tcPr>
          <w:p w14:paraId="05ED049A" w14:textId="77777777" w:rsidR="00B62F94" w:rsidRPr="00E61F52" w:rsidRDefault="00B62F94" w:rsidP="00CB5D5C">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r>
    </w:tbl>
    <w:p w14:paraId="0EA00410" w14:textId="77777777" w:rsidR="00B62F94" w:rsidRDefault="00B62F94" w:rsidP="00E61F52">
      <w:pPr>
        <w:tabs>
          <w:tab w:val="left" w:pos="7947"/>
        </w:tabs>
        <w:jc w:val="left"/>
        <w:rPr>
          <w:rtl/>
        </w:rPr>
      </w:pPr>
    </w:p>
    <w:p w14:paraId="3B478EC8" w14:textId="77777777" w:rsidR="00E61F52" w:rsidRDefault="00E61F52" w:rsidP="00E61F52">
      <w:pPr>
        <w:tabs>
          <w:tab w:val="left" w:pos="7947"/>
        </w:tabs>
        <w:jc w:val="left"/>
        <w:rPr>
          <w:rtl/>
        </w:rPr>
      </w:pPr>
    </w:p>
    <w:p w14:paraId="57885FCA" w14:textId="77777777" w:rsidR="00B62F94" w:rsidRDefault="00B62F94" w:rsidP="00E61F52">
      <w:pPr>
        <w:tabs>
          <w:tab w:val="left" w:pos="7947"/>
        </w:tabs>
        <w:jc w:val="left"/>
        <w:rPr>
          <w:rtl/>
        </w:rPr>
      </w:pPr>
    </w:p>
    <w:tbl>
      <w:tblPr>
        <w:bidiVisual/>
        <w:tblW w:w="4302" w:type="pct"/>
        <w:tblInd w:w="887" w:type="dxa"/>
        <w:tblLook w:val="01E0" w:firstRow="1" w:lastRow="1" w:firstColumn="1" w:lastColumn="1" w:noHBand="0" w:noVBand="0"/>
      </w:tblPr>
      <w:tblGrid>
        <w:gridCol w:w="8782"/>
      </w:tblGrid>
      <w:tr w:rsidR="00E61F52" w:rsidRPr="00E61F52" w14:paraId="03FBC06B" w14:textId="77777777" w:rsidTr="009323A5">
        <w:trPr>
          <w:trHeight w:val="245"/>
        </w:trPr>
        <w:tc>
          <w:tcPr>
            <w:tcW w:w="5000" w:type="pct"/>
            <w:shd w:val="clear" w:color="auto" w:fill="auto"/>
          </w:tcPr>
          <w:p w14:paraId="6D3ACDF2" w14:textId="77777777" w:rsidR="00E61F52" w:rsidRPr="00E61F52" w:rsidRDefault="00E61F52" w:rsidP="00424195">
            <w:pPr>
              <w:spacing w:before="60" w:afterLines="60" w:after="144"/>
              <w:ind w:left="317" w:hanging="283"/>
              <w:rPr>
                <w:sz w:val="18"/>
                <w:szCs w:val="18"/>
                <w:rtl/>
              </w:rPr>
            </w:pPr>
            <w:bookmarkStart w:id="45" w:name="_Hlk158296713"/>
            <w:r w:rsidRPr="00E61F52">
              <w:rPr>
                <w:rFonts w:hint="cs"/>
                <w:sz w:val="18"/>
                <w:szCs w:val="18"/>
                <w:rtl/>
              </w:rPr>
              <w:t xml:space="preserve">(א) </w:t>
            </w:r>
            <w:r w:rsidRPr="00E61F52">
              <w:rPr>
                <w:sz w:val="18"/>
                <w:szCs w:val="18"/>
                <w:rtl/>
              </w:rPr>
              <w:t>יש לפרט את סוגי השינויים שנעשו בחובות ולתאר את הסוגים העיקריים של ענפי המשק או קבוצות החובות שבהם בוצעו השינויים. אין צורך לתת גילוי לסוגי שינויים שאינם מהותיים. תאגיד בנקאי נדרש להתאים את הביאור למצבו ולהוסיף מידע כמותי ואיכותי כדי לעמוד בדרישות הגילוי בקודיפיקציה</w:t>
            </w:r>
          </w:p>
        </w:tc>
      </w:tr>
      <w:bookmarkEnd w:id="45"/>
    </w:tbl>
    <w:p w14:paraId="0F94306F" w14:textId="77777777" w:rsidR="00E61F52" w:rsidRDefault="00E61F52" w:rsidP="00E61F52">
      <w:pPr>
        <w:tabs>
          <w:tab w:val="left" w:pos="7947"/>
        </w:tabs>
        <w:jc w:val="left"/>
      </w:pPr>
    </w:p>
    <w:p w14:paraId="05FD3D92" w14:textId="394ACF94" w:rsidR="0037573B" w:rsidRDefault="0037573B" w:rsidP="00E61F52">
      <w:pPr>
        <w:tabs>
          <w:tab w:val="left" w:pos="7947"/>
        </w:tabs>
        <w:bidi w:val="0"/>
        <w:jc w:val="left"/>
      </w:pPr>
      <w:r>
        <w:br w:type="page"/>
      </w:r>
    </w:p>
    <w:p w14:paraId="6E2DF042" w14:textId="77777777" w:rsidR="0037573B" w:rsidRDefault="0037573B">
      <w:pPr>
        <w:rPr>
          <w:rtl/>
        </w:rPr>
      </w:pPr>
    </w:p>
    <w:tbl>
      <w:tblPr>
        <w:bidiVisual/>
        <w:tblW w:w="5208" w:type="pct"/>
        <w:tblInd w:w="-424" w:type="dxa"/>
        <w:tblLook w:val="04A0" w:firstRow="1" w:lastRow="0" w:firstColumn="1" w:lastColumn="0" w:noHBand="0" w:noVBand="1"/>
      </w:tblPr>
      <w:tblGrid>
        <w:gridCol w:w="1429"/>
        <w:gridCol w:w="9203"/>
      </w:tblGrid>
      <w:tr w:rsidR="00E61F52" w:rsidRPr="00E61F52" w14:paraId="4D1671DA" w14:textId="77777777" w:rsidTr="005B240E">
        <w:trPr>
          <w:trHeight w:val="259"/>
        </w:trPr>
        <w:tc>
          <w:tcPr>
            <w:tcW w:w="5000" w:type="pct"/>
            <w:gridSpan w:val="2"/>
            <w:hideMark/>
          </w:tcPr>
          <w:p w14:paraId="5D98E1AC" w14:textId="77777777" w:rsidR="00E61F52" w:rsidRPr="005B240E" w:rsidRDefault="00E61F52" w:rsidP="005B240E">
            <w:pPr>
              <w:spacing w:after="60"/>
              <w:ind w:left="1316"/>
              <w:rPr>
                <w:rFonts w:asciiTheme="minorBidi" w:hAnsiTheme="minorBidi" w:cstheme="minorBidi"/>
                <w:b/>
                <w:bCs/>
                <w:rtl/>
              </w:rPr>
            </w:pPr>
            <w:r w:rsidRPr="005B240E">
              <w:rPr>
                <w:rFonts w:asciiTheme="minorBidi" w:hAnsiTheme="minorBidi" w:cstheme="minorBidi"/>
                <w:b/>
                <w:bCs/>
                <w:rtl/>
              </w:rPr>
              <w:t>ביאור 12  -  מידע נוסף על סיכון אשראי, אשראי לציבור והפרשה להפסדי אשראי (המשך):</w:t>
            </w:r>
          </w:p>
        </w:tc>
      </w:tr>
      <w:tr w:rsidR="005B240E" w:rsidRPr="00E61F52" w14:paraId="279CBDDB" w14:textId="77777777" w:rsidTr="005B240E">
        <w:trPr>
          <w:trHeight w:val="245"/>
        </w:trPr>
        <w:tc>
          <w:tcPr>
            <w:tcW w:w="5000" w:type="pct"/>
            <w:gridSpan w:val="2"/>
            <w:hideMark/>
          </w:tcPr>
          <w:p w14:paraId="26947016" w14:textId="03259001" w:rsidR="005B240E" w:rsidRPr="005B240E" w:rsidRDefault="005B240E" w:rsidP="005B240E">
            <w:pPr>
              <w:spacing w:before="60" w:after="60"/>
              <w:ind w:left="1316"/>
              <w:rPr>
                <w:rFonts w:asciiTheme="minorBidi" w:hAnsiTheme="minorBidi" w:cstheme="minorBidi"/>
                <w:b/>
                <w:bCs/>
                <w:rtl/>
              </w:rPr>
            </w:pPr>
            <w:r w:rsidRPr="005B240E">
              <w:rPr>
                <w:rFonts w:asciiTheme="minorBidi" w:hAnsiTheme="minorBidi" w:cstheme="minorBidi"/>
                <w:b/>
                <w:bCs/>
                <w:rtl/>
              </w:rPr>
              <w:t>ב.</w:t>
            </w:r>
            <w:r w:rsidRPr="005B240E">
              <w:rPr>
                <w:rFonts w:asciiTheme="minorBidi" w:hAnsiTheme="minorBidi" w:cstheme="minorBidi" w:hint="cs"/>
                <w:b/>
                <w:bCs/>
                <w:rtl/>
              </w:rPr>
              <w:t xml:space="preserve"> </w:t>
            </w:r>
            <w:r w:rsidRPr="005B240E">
              <w:rPr>
                <w:rFonts w:asciiTheme="minorBidi" w:hAnsiTheme="minorBidi" w:cstheme="minorBidi"/>
                <w:b/>
                <w:bCs/>
                <w:rtl/>
              </w:rPr>
              <w:t>אשראי לציבור</w:t>
            </w:r>
            <w:r w:rsidRPr="005B240E">
              <w:rPr>
                <w:rFonts w:asciiTheme="minorBidi" w:hAnsiTheme="minorBidi" w:cstheme="minorBidi"/>
                <w:rtl/>
              </w:rPr>
              <w:t xml:space="preserve"> </w:t>
            </w:r>
            <w:r w:rsidRPr="005B240E">
              <w:rPr>
                <w:rFonts w:asciiTheme="minorBidi" w:hAnsiTheme="minorBidi" w:cstheme="minorBidi"/>
                <w:b/>
                <w:bCs/>
                <w:rtl/>
              </w:rPr>
              <w:t>(המשך):</w:t>
            </w:r>
          </w:p>
        </w:tc>
      </w:tr>
      <w:tr w:rsidR="00D61E12" w:rsidRPr="00E61F52" w14:paraId="3E768FE0" w14:textId="77777777" w:rsidTr="00BB295B">
        <w:trPr>
          <w:trHeight w:val="245"/>
        </w:trPr>
        <w:tc>
          <w:tcPr>
            <w:tcW w:w="672" w:type="pct"/>
          </w:tcPr>
          <w:p w14:paraId="432C476F" w14:textId="77777777" w:rsidR="00D61E12" w:rsidRPr="00E61F52" w:rsidRDefault="00D61E12" w:rsidP="00D61E12">
            <w:pPr>
              <w:spacing w:before="60" w:after="60"/>
              <w:rPr>
                <w:rFonts w:asciiTheme="minorBidi" w:hAnsiTheme="minorBidi" w:cstheme="minorBidi"/>
                <w:b/>
                <w:bCs/>
                <w:sz w:val="18"/>
                <w:szCs w:val="18"/>
                <w:rtl/>
              </w:rPr>
            </w:pPr>
          </w:p>
        </w:tc>
        <w:tc>
          <w:tcPr>
            <w:tcW w:w="4328" w:type="pct"/>
            <w:tcBorders>
              <w:left w:val="single" w:sz="4" w:space="0" w:color="auto"/>
            </w:tcBorders>
            <w:hideMark/>
          </w:tcPr>
          <w:p w14:paraId="14BD551A" w14:textId="5F56CA61" w:rsidR="00D61E12" w:rsidRPr="00A128EC" w:rsidRDefault="00D61E12" w:rsidP="00D61E12">
            <w:pPr>
              <w:tabs>
                <w:tab w:val="left" w:pos="446"/>
              </w:tabs>
              <w:spacing w:before="60" w:after="60" w:line="216" w:lineRule="auto"/>
              <w:ind w:left="446" w:hanging="446"/>
              <w:rPr>
                <w:rFonts w:asciiTheme="minorBidi" w:hAnsiTheme="minorBidi" w:cstheme="minorBidi"/>
                <w:sz w:val="19"/>
                <w:szCs w:val="19"/>
                <w:rtl/>
              </w:rPr>
            </w:pPr>
            <w:r w:rsidRPr="00D25076">
              <w:rPr>
                <w:rFonts w:asciiTheme="minorBidi" w:hAnsiTheme="minorBidi" w:cstheme="minorBidi"/>
                <w:b/>
                <w:bCs/>
                <w:sz w:val="19"/>
                <w:szCs w:val="19"/>
                <w:rtl/>
              </w:rPr>
              <w:t>2.ב.</w:t>
            </w:r>
            <w:r w:rsidRPr="00D25076">
              <w:rPr>
                <w:rFonts w:asciiTheme="minorBidi" w:hAnsiTheme="minorBidi" w:cstheme="minorBidi"/>
                <w:b/>
                <w:bCs/>
                <w:sz w:val="19"/>
                <w:szCs w:val="19"/>
                <w:rtl/>
              </w:rPr>
              <w:tab/>
              <w:t>מידע על חובות של לווים בקשיים פיננסיים שעברו שינוי בתנאים</w:t>
            </w:r>
            <w:r w:rsidRPr="00D25076">
              <w:rPr>
                <w:rFonts w:asciiTheme="minorBidi" w:hAnsiTheme="minorBidi" w:cstheme="minorBidi"/>
                <w:sz w:val="19"/>
                <w:szCs w:val="19"/>
                <w:rtl/>
              </w:rPr>
              <w:t xml:space="preserve">: </w:t>
            </w:r>
            <w:r>
              <w:rPr>
                <w:rFonts w:asciiTheme="minorBidi" w:hAnsiTheme="minorBidi" w:cstheme="minorBidi" w:hint="cs"/>
                <w:sz w:val="19"/>
                <w:szCs w:val="19"/>
                <w:rtl/>
              </w:rPr>
              <w:t>(המשך)</w:t>
            </w:r>
          </w:p>
        </w:tc>
      </w:tr>
      <w:tr w:rsidR="005B240E" w:rsidRPr="00E61F52" w14:paraId="7199C89E" w14:textId="77777777" w:rsidTr="005B240E">
        <w:trPr>
          <w:trHeight w:val="245"/>
        </w:trPr>
        <w:tc>
          <w:tcPr>
            <w:tcW w:w="672" w:type="pct"/>
            <w:tcBorders>
              <w:right w:val="single" w:sz="4" w:space="0" w:color="auto"/>
            </w:tcBorders>
          </w:tcPr>
          <w:p w14:paraId="5E1DE863" w14:textId="77777777" w:rsidR="005B240E" w:rsidRPr="006A2C31" w:rsidRDefault="005B240E" w:rsidP="005B240E">
            <w:pPr>
              <w:rPr>
                <w:sz w:val="14"/>
                <w:szCs w:val="14"/>
                <w:rtl/>
              </w:rPr>
            </w:pPr>
            <w:r w:rsidRPr="006A2C31">
              <w:rPr>
                <w:rFonts w:hint="cs"/>
                <w:sz w:val="14"/>
                <w:szCs w:val="14"/>
                <w:rtl/>
              </w:rPr>
              <w:t>מתכונת ביאור</w:t>
            </w:r>
          </w:p>
          <w:p w14:paraId="657A5E83" w14:textId="3C68F6FB" w:rsidR="005B240E" w:rsidRPr="00E61F52" w:rsidRDefault="005B240E" w:rsidP="005B240E">
            <w:pPr>
              <w:rPr>
                <w:rFonts w:asciiTheme="minorBidi" w:hAnsiTheme="minorBidi" w:cstheme="minorBidi"/>
                <w:b/>
                <w:bCs/>
                <w:sz w:val="18"/>
                <w:szCs w:val="18"/>
                <w:rtl/>
              </w:rPr>
            </w:pPr>
            <w:r w:rsidRPr="006A2C31">
              <w:rPr>
                <w:rFonts w:hint="cs"/>
                <w:sz w:val="14"/>
                <w:szCs w:val="14"/>
                <w:rtl/>
              </w:rPr>
              <w:t>עמוד 663-</w:t>
            </w:r>
            <w:r>
              <w:rPr>
                <w:rFonts w:hint="cs"/>
                <w:sz w:val="14"/>
                <w:szCs w:val="14"/>
                <w:rtl/>
              </w:rPr>
              <w:t>51.1</w:t>
            </w:r>
          </w:p>
        </w:tc>
        <w:tc>
          <w:tcPr>
            <w:tcW w:w="4328" w:type="pct"/>
          </w:tcPr>
          <w:p w14:paraId="2288B523" w14:textId="77777777" w:rsidR="005B240E" w:rsidRPr="00E61F52" w:rsidRDefault="005B240E" w:rsidP="005B240E">
            <w:pPr>
              <w:tabs>
                <w:tab w:val="left" w:pos="446"/>
              </w:tabs>
              <w:spacing w:before="60" w:after="120" w:line="216" w:lineRule="auto"/>
              <w:ind w:left="448" w:hanging="448"/>
              <w:rPr>
                <w:rFonts w:asciiTheme="minorBidi" w:hAnsiTheme="minorBidi" w:cstheme="minorBidi"/>
                <w:sz w:val="18"/>
                <w:szCs w:val="18"/>
                <w:rtl/>
              </w:rPr>
            </w:pPr>
            <w:r w:rsidRPr="00A128EC">
              <w:rPr>
                <w:rFonts w:asciiTheme="minorBidi" w:hAnsiTheme="minorBidi" w:cstheme="minorBidi"/>
                <w:b/>
                <w:bCs/>
                <w:sz w:val="18"/>
                <w:szCs w:val="18"/>
                <w:rtl/>
              </w:rPr>
              <w:t>2.ב.3</w:t>
            </w:r>
            <w:r w:rsidRPr="00A128EC">
              <w:rPr>
                <w:rFonts w:asciiTheme="minorBidi" w:hAnsiTheme="minorBidi" w:cstheme="minorBidi"/>
                <w:b/>
                <w:bCs/>
                <w:sz w:val="18"/>
                <w:szCs w:val="18"/>
                <w:rtl/>
              </w:rPr>
              <w:tab/>
            </w:r>
            <w:r w:rsidRPr="00A128EC">
              <w:rPr>
                <w:rFonts w:asciiTheme="minorBidi" w:hAnsiTheme="minorBidi" w:cstheme="minorBidi"/>
                <w:b/>
                <w:bCs/>
                <w:sz w:val="18"/>
                <w:szCs w:val="18"/>
                <w:u w:val="single"/>
                <w:rtl/>
              </w:rPr>
              <w:t>חובות של לווים בקשיים פיננסיים שעברו שינויים במהלך תקופת הדיווח</w:t>
            </w:r>
            <w:r w:rsidRPr="00E61F52">
              <w:rPr>
                <w:rFonts w:asciiTheme="minorBidi" w:hAnsiTheme="minorBidi" w:cstheme="minorBidi"/>
                <w:sz w:val="18"/>
                <w:szCs w:val="18"/>
                <w:rtl/>
              </w:rPr>
              <w:t xml:space="preserve"> (המשך):</w:t>
            </w:r>
          </w:p>
        </w:tc>
      </w:tr>
    </w:tbl>
    <w:p w14:paraId="08E25D49" w14:textId="285FE81C" w:rsidR="001B58C3" w:rsidRPr="001B58C3" w:rsidRDefault="001B58C3" w:rsidP="001B58C3">
      <w:pPr>
        <w:ind w:left="1560"/>
        <w:rPr>
          <w:sz w:val="16"/>
          <w:szCs w:val="16"/>
          <w:vertAlign w:val="superscript"/>
        </w:rPr>
      </w:pPr>
    </w:p>
    <w:tbl>
      <w:tblPr>
        <w:bidiVisual/>
        <w:tblW w:w="4909" w:type="pct"/>
        <w:tblInd w:w="-589" w:type="dxa"/>
        <w:tblLook w:val="04A0" w:firstRow="1" w:lastRow="0" w:firstColumn="1" w:lastColumn="0" w:noHBand="0" w:noVBand="1"/>
      </w:tblPr>
      <w:tblGrid>
        <w:gridCol w:w="1590"/>
        <w:gridCol w:w="3241"/>
        <w:gridCol w:w="1068"/>
        <w:gridCol w:w="886"/>
        <w:gridCol w:w="1162"/>
        <w:gridCol w:w="1010"/>
        <w:gridCol w:w="1064"/>
      </w:tblGrid>
      <w:tr w:rsidR="001B58C3" w:rsidRPr="00E61F52" w14:paraId="3438EC3C" w14:textId="77777777" w:rsidTr="001B58C3">
        <w:trPr>
          <w:trHeight w:val="259"/>
        </w:trPr>
        <w:tc>
          <w:tcPr>
            <w:tcW w:w="793" w:type="pct"/>
            <w:tcBorders>
              <w:right w:val="single" w:sz="4" w:space="0" w:color="auto"/>
            </w:tcBorders>
            <w:vAlign w:val="bottom"/>
          </w:tcPr>
          <w:p w14:paraId="33B24B7D" w14:textId="77777777" w:rsidR="001B58C3" w:rsidRPr="00E61F52" w:rsidRDefault="001B58C3" w:rsidP="005B240E">
            <w:pPr>
              <w:rPr>
                <w:rFonts w:asciiTheme="minorBidi" w:hAnsiTheme="minorBidi" w:cstheme="minorBidi"/>
                <w:sz w:val="18"/>
                <w:szCs w:val="18"/>
                <w:rtl/>
              </w:rPr>
            </w:pPr>
            <w:bookmarkStart w:id="46" w:name="_Hlk160963531"/>
          </w:p>
        </w:tc>
        <w:tc>
          <w:tcPr>
            <w:tcW w:w="4207" w:type="pct"/>
            <w:gridSpan w:val="6"/>
            <w:tcBorders>
              <w:left w:val="single" w:sz="4" w:space="0" w:color="auto"/>
            </w:tcBorders>
            <w:vAlign w:val="bottom"/>
          </w:tcPr>
          <w:p w14:paraId="4ED09D8C" w14:textId="6D20F28A" w:rsidR="001B58C3" w:rsidRPr="00F75066" w:rsidRDefault="00F75066" w:rsidP="006B4CB5">
            <w:pPr>
              <w:spacing w:after="120"/>
              <w:ind w:left="380"/>
              <w:rPr>
                <w:rFonts w:asciiTheme="minorBidi" w:hAnsiTheme="minorBidi" w:cstheme="minorBidi"/>
                <w:b/>
                <w:bCs/>
                <w:sz w:val="18"/>
                <w:szCs w:val="18"/>
                <w:u w:val="single"/>
                <w:rtl/>
              </w:rPr>
            </w:pPr>
            <w:r w:rsidRPr="00F75066">
              <w:rPr>
                <w:rFonts w:asciiTheme="minorBidi" w:hAnsiTheme="minorBidi" w:cstheme="minorBidi" w:hint="cs"/>
                <w:b/>
                <w:bCs/>
                <w:sz w:val="18"/>
                <w:szCs w:val="18"/>
                <w:rtl/>
              </w:rPr>
              <w:t xml:space="preserve">  </w:t>
            </w:r>
            <w:r w:rsidR="001B58C3" w:rsidRPr="00F75066">
              <w:rPr>
                <w:rFonts w:asciiTheme="minorBidi" w:hAnsiTheme="minorBidi" w:cstheme="minorBidi"/>
                <w:b/>
                <w:bCs/>
                <w:sz w:val="18"/>
                <w:szCs w:val="18"/>
                <w:u w:val="single"/>
                <w:rtl/>
              </w:rPr>
              <w:t xml:space="preserve">חובות של לווים בקשיים פיננסיים שכשלו בתקופת הדיווח לאחר שעברו שינוי בתנאים </w:t>
            </w:r>
            <w:r w:rsidR="001B58C3" w:rsidRPr="00F75066">
              <w:rPr>
                <w:rFonts w:asciiTheme="minorBidi" w:hAnsiTheme="minorBidi" w:cstheme="minorBidi"/>
                <w:sz w:val="18"/>
                <w:szCs w:val="18"/>
                <w:u w:val="single"/>
                <w:vertAlign w:val="superscript"/>
                <w:rtl/>
              </w:rPr>
              <w:t>(ב)</w:t>
            </w:r>
          </w:p>
        </w:tc>
      </w:tr>
      <w:bookmarkEnd w:id="46"/>
      <w:tr w:rsidR="001B58C3" w:rsidRPr="00E61F52" w14:paraId="01B7886C" w14:textId="77777777" w:rsidTr="001B58C3">
        <w:trPr>
          <w:trHeight w:val="259"/>
        </w:trPr>
        <w:tc>
          <w:tcPr>
            <w:tcW w:w="793" w:type="pct"/>
            <w:tcBorders>
              <w:right w:val="single" w:sz="4" w:space="0" w:color="auto"/>
            </w:tcBorders>
            <w:vAlign w:val="bottom"/>
          </w:tcPr>
          <w:p w14:paraId="06CB949D" w14:textId="77777777" w:rsidR="005B240E" w:rsidRPr="00E61F52" w:rsidRDefault="005B240E" w:rsidP="005B240E">
            <w:pPr>
              <w:rPr>
                <w:rFonts w:asciiTheme="minorBidi" w:hAnsiTheme="minorBidi" w:cstheme="minorBidi"/>
                <w:sz w:val="18"/>
                <w:szCs w:val="18"/>
                <w:rtl/>
              </w:rPr>
            </w:pPr>
          </w:p>
        </w:tc>
        <w:tc>
          <w:tcPr>
            <w:tcW w:w="1617" w:type="pct"/>
            <w:tcBorders>
              <w:left w:val="single" w:sz="4" w:space="0" w:color="auto"/>
            </w:tcBorders>
            <w:vAlign w:val="bottom"/>
          </w:tcPr>
          <w:p w14:paraId="4B110435" w14:textId="77777777" w:rsidR="005B240E" w:rsidRPr="00E61F52" w:rsidRDefault="005B240E" w:rsidP="005B240E">
            <w:pPr>
              <w:spacing w:before="120"/>
              <w:ind w:left="142" w:hanging="142"/>
              <w:rPr>
                <w:rFonts w:asciiTheme="minorBidi" w:hAnsiTheme="minorBidi" w:cstheme="minorBidi"/>
                <w:color w:val="000000"/>
                <w:sz w:val="18"/>
                <w:szCs w:val="18"/>
                <w:rtl/>
                <w:lang w:eastAsia="he-IL"/>
              </w:rPr>
            </w:pPr>
          </w:p>
        </w:tc>
        <w:tc>
          <w:tcPr>
            <w:tcW w:w="2590" w:type="pct"/>
            <w:gridSpan w:val="5"/>
            <w:vAlign w:val="bottom"/>
          </w:tcPr>
          <w:p w14:paraId="66DB2F6E" w14:textId="254BF0F6" w:rsidR="005B240E" w:rsidRPr="00E61F52" w:rsidRDefault="005B240E" w:rsidP="005B240E">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 xml:space="preserve">שלושה חודשים שהסתיימו ביום 30 ביוני </w:t>
            </w:r>
            <w:r w:rsidRPr="00E61F52">
              <w:rPr>
                <w:rFonts w:asciiTheme="minorBidi" w:hAnsiTheme="minorBidi" w:cstheme="minorBidi"/>
                <w:b/>
                <w:bCs/>
                <w:sz w:val="18"/>
                <w:szCs w:val="18"/>
                <w:rtl/>
              </w:rPr>
              <w:fldChar w:fldCharType="begin"/>
            </w:r>
            <w:r w:rsidRPr="00E61F52">
              <w:rPr>
                <w:rFonts w:asciiTheme="minorBidi" w:hAnsiTheme="minorBidi" w:cstheme="minorBidi"/>
                <w:b/>
                <w:bCs/>
                <w:sz w:val="18"/>
                <w:szCs w:val="18"/>
                <w:rtl/>
              </w:rPr>
              <w:instrText xml:space="preserve"> = </w:instrText>
            </w:r>
            <w:r w:rsidRPr="00E61F52">
              <w:rPr>
                <w:rFonts w:asciiTheme="minorBidi" w:hAnsiTheme="minorBidi" w:cstheme="minorBidi"/>
                <w:b/>
                <w:bCs/>
                <w:sz w:val="18"/>
                <w:szCs w:val="18"/>
              </w:rPr>
              <w:instrText>CY \* MERGEFORMAT</w:instrText>
            </w:r>
            <w:r w:rsidRPr="00E61F52">
              <w:rPr>
                <w:rFonts w:asciiTheme="minorBidi" w:hAnsiTheme="minorBidi" w:cstheme="minorBidi"/>
                <w:b/>
                <w:bCs/>
                <w:sz w:val="18"/>
                <w:szCs w:val="18"/>
                <w:rtl/>
              </w:rPr>
              <w:instrText xml:space="preserve"> </w:instrText>
            </w:r>
            <w:r w:rsidRPr="00E61F52">
              <w:rPr>
                <w:rFonts w:asciiTheme="minorBidi" w:hAnsiTheme="minorBidi" w:cstheme="minorBidi"/>
                <w:b/>
                <w:bCs/>
                <w:sz w:val="18"/>
                <w:szCs w:val="18"/>
                <w:rtl/>
              </w:rPr>
              <w:fldChar w:fldCharType="separate"/>
            </w:r>
            <w:r w:rsidRPr="00E61F52">
              <w:rPr>
                <w:rFonts w:asciiTheme="minorBidi" w:hAnsiTheme="minorBidi" w:cstheme="minorBidi"/>
                <w:b/>
                <w:bCs/>
                <w:noProof/>
                <w:sz w:val="18"/>
                <w:szCs w:val="18"/>
                <w:rtl/>
              </w:rPr>
              <w:t>2024</w:t>
            </w:r>
            <w:r w:rsidRPr="00E61F52">
              <w:rPr>
                <w:rFonts w:asciiTheme="minorBidi" w:hAnsiTheme="minorBidi" w:cstheme="minorBidi"/>
                <w:b/>
                <w:bCs/>
                <w:sz w:val="18"/>
                <w:szCs w:val="18"/>
                <w:rtl/>
              </w:rPr>
              <w:fldChar w:fldCharType="end"/>
            </w:r>
            <w:r w:rsidRPr="00E61F52">
              <w:rPr>
                <w:rFonts w:asciiTheme="minorBidi" w:hAnsiTheme="minorBidi" w:cstheme="minorBidi"/>
                <w:b/>
                <w:bCs/>
                <w:color w:val="000000"/>
                <w:sz w:val="18"/>
                <w:szCs w:val="18"/>
                <w:rtl/>
                <w:lang w:eastAsia="he-IL"/>
              </w:rPr>
              <w:t xml:space="preserve">  </w:t>
            </w:r>
            <w:r w:rsidRPr="00A128EC">
              <w:rPr>
                <w:rFonts w:asciiTheme="minorBidi" w:hAnsiTheme="minorBidi" w:cstheme="minorBidi"/>
                <w:color w:val="000000"/>
                <w:sz w:val="18"/>
                <w:szCs w:val="18"/>
                <w:rtl/>
                <w:lang w:eastAsia="he-IL"/>
              </w:rPr>
              <w:t>(בלתי מבוקר)</w:t>
            </w:r>
          </w:p>
        </w:tc>
      </w:tr>
      <w:tr w:rsidR="001B58C3" w:rsidRPr="00E61F52" w14:paraId="0477CDBF" w14:textId="77777777" w:rsidTr="001B58C3">
        <w:trPr>
          <w:trHeight w:val="259"/>
        </w:trPr>
        <w:tc>
          <w:tcPr>
            <w:tcW w:w="793" w:type="pct"/>
            <w:tcBorders>
              <w:right w:val="single" w:sz="4" w:space="0" w:color="auto"/>
            </w:tcBorders>
            <w:vAlign w:val="bottom"/>
          </w:tcPr>
          <w:p w14:paraId="78F95B91" w14:textId="77777777" w:rsidR="005B240E" w:rsidRPr="00E61F52" w:rsidRDefault="005B240E" w:rsidP="005B240E">
            <w:pPr>
              <w:rPr>
                <w:rFonts w:asciiTheme="minorBidi" w:hAnsiTheme="minorBidi" w:cstheme="minorBidi"/>
                <w:sz w:val="18"/>
                <w:szCs w:val="18"/>
                <w:rtl/>
              </w:rPr>
            </w:pPr>
          </w:p>
        </w:tc>
        <w:tc>
          <w:tcPr>
            <w:tcW w:w="1617" w:type="pct"/>
            <w:tcBorders>
              <w:left w:val="single" w:sz="4" w:space="0" w:color="auto"/>
            </w:tcBorders>
            <w:vAlign w:val="bottom"/>
          </w:tcPr>
          <w:p w14:paraId="113ABCB2" w14:textId="77777777" w:rsidR="005B240E" w:rsidRPr="00E61F52" w:rsidRDefault="005B240E" w:rsidP="005B240E">
            <w:pPr>
              <w:ind w:left="144" w:hanging="144"/>
              <w:rPr>
                <w:rFonts w:asciiTheme="minorBidi" w:hAnsiTheme="minorBidi" w:cstheme="minorBidi"/>
                <w:color w:val="000000"/>
                <w:sz w:val="18"/>
                <w:szCs w:val="18"/>
                <w:rtl/>
                <w:lang w:eastAsia="he-IL"/>
              </w:rPr>
            </w:pPr>
          </w:p>
        </w:tc>
        <w:tc>
          <w:tcPr>
            <w:tcW w:w="533" w:type="pct"/>
            <w:vAlign w:val="bottom"/>
            <w:hideMark/>
          </w:tcPr>
          <w:p w14:paraId="1565BC2D" w14:textId="77777777" w:rsidR="005B240E" w:rsidRPr="00E61F52" w:rsidRDefault="005B240E" w:rsidP="005B240E">
            <w:pPr>
              <w:pBdr>
                <w:bottom w:val="single" w:sz="4"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סך הכל</w:t>
            </w:r>
          </w:p>
        </w:tc>
        <w:tc>
          <w:tcPr>
            <w:tcW w:w="2057" w:type="pct"/>
            <w:gridSpan w:val="4"/>
            <w:vAlign w:val="bottom"/>
          </w:tcPr>
          <w:p w14:paraId="7AF0D712" w14:textId="77777777" w:rsidR="005B240E" w:rsidRPr="00E61F52" w:rsidRDefault="005B240E" w:rsidP="005B240E">
            <w:pPr>
              <w:pBdr>
                <w:bottom w:val="single" w:sz="4"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סוג השינוי</w:t>
            </w:r>
            <w:r w:rsidRPr="00E61F52">
              <w:rPr>
                <w:rFonts w:asciiTheme="minorBidi" w:hAnsiTheme="minorBidi" w:cstheme="minorBidi"/>
                <w:sz w:val="18"/>
                <w:szCs w:val="18"/>
                <w:vertAlign w:val="superscript"/>
                <w:rtl/>
              </w:rPr>
              <w:t xml:space="preserve"> (א)</w:t>
            </w:r>
          </w:p>
        </w:tc>
      </w:tr>
      <w:tr w:rsidR="001B58C3" w:rsidRPr="00E61F52" w14:paraId="383DCE6C" w14:textId="77777777" w:rsidTr="001B58C3">
        <w:trPr>
          <w:trHeight w:val="555"/>
        </w:trPr>
        <w:tc>
          <w:tcPr>
            <w:tcW w:w="793" w:type="pct"/>
            <w:tcBorders>
              <w:right w:val="single" w:sz="4" w:space="0" w:color="auto"/>
            </w:tcBorders>
            <w:vAlign w:val="bottom"/>
          </w:tcPr>
          <w:p w14:paraId="031CC3C6" w14:textId="77777777" w:rsidR="005B240E" w:rsidRPr="00E61F52" w:rsidRDefault="005B240E" w:rsidP="005B240E">
            <w:pPr>
              <w:rPr>
                <w:rFonts w:asciiTheme="minorBidi" w:hAnsiTheme="minorBidi" w:cstheme="minorBidi"/>
                <w:sz w:val="18"/>
                <w:szCs w:val="18"/>
                <w:rtl/>
              </w:rPr>
            </w:pPr>
          </w:p>
        </w:tc>
        <w:tc>
          <w:tcPr>
            <w:tcW w:w="1617" w:type="pct"/>
            <w:tcBorders>
              <w:left w:val="single" w:sz="4" w:space="0" w:color="auto"/>
            </w:tcBorders>
            <w:vAlign w:val="bottom"/>
          </w:tcPr>
          <w:p w14:paraId="018F3CEE" w14:textId="77777777" w:rsidR="005B240E" w:rsidRPr="00E61F52" w:rsidRDefault="005B240E" w:rsidP="005B240E">
            <w:pPr>
              <w:ind w:left="144" w:hanging="144"/>
              <w:rPr>
                <w:rFonts w:asciiTheme="minorBidi" w:hAnsiTheme="minorBidi" w:cstheme="minorBidi"/>
                <w:color w:val="000000"/>
                <w:sz w:val="18"/>
                <w:szCs w:val="18"/>
                <w:rtl/>
                <w:lang w:eastAsia="he-IL"/>
              </w:rPr>
            </w:pPr>
          </w:p>
        </w:tc>
        <w:tc>
          <w:tcPr>
            <w:tcW w:w="533" w:type="pct"/>
            <w:vAlign w:val="bottom"/>
            <w:hideMark/>
          </w:tcPr>
          <w:p w14:paraId="6F211A34" w14:textId="77777777" w:rsidR="005B240E" w:rsidRPr="00E61F52" w:rsidRDefault="005B240E" w:rsidP="005B240E">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יתרת חוב רשומה</w:t>
            </w:r>
          </w:p>
        </w:tc>
        <w:tc>
          <w:tcPr>
            <w:tcW w:w="442" w:type="pct"/>
            <w:vAlign w:val="bottom"/>
            <w:hideMark/>
          </w:tcPr>
          <w:p w14:paraId="63F72003" w14:textId="77777777" w:rsidR="005B240E" w:rsidRPr="00E61F52" w:rsidRDefault="005B240E" w:rsidP="005B240E">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ויתור</w:t>
            </w:r>
          </w:p>
          <w:p w14:paraId="1A940C1A" w14:textId="77777777" w:rsidR="005B240E" w:rsidRPr="00E61F52" w:rsidRDefault="005B240E" w:rsidP="005B240E">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על קרן</w:t>
            </w:r>
          </w:p>
        </w:tc>
        <w:tc>
          <w:tcPr>
            <w:tcW w:w="580" w:type="pct"/>
            <w:vAlign w:val="bottom"/>
            <w:hideMark/>
          </w:tcPr>
          <w:p w14:paraId="3CA10255" w14:textId="77777777" w:rsidR="005B240E" w:rsidRPr="00E61F52" w:rsidRDefault="005B240E" w:rsidP="005B240E">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ויתור</w:t>
            </w:r>
          </w:p>
          <w:p w14:paraId="07E35C43" w14:textId="77777777" w:rsidR="005B240E" w:rsidRPr="00E61F52" w:rsidRDefault="005B240E" w:rsidP="005B240E">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על ריבית</w:t>
            </w:r>
          </w:p>
        </w:tc>
        <w:tc>
          <w:tcPr>
            <w:tcW w:w="504" w:type="pct"/>
            <w:vAlign w:val="bottom"/>
            <w:hideMark/>
          </w:tcPr>
          <w:p w14:paraId="3857209A" w14:textId="77777777" w:rsidR="005B240E" w:rsidRPr="00E61F52" w:rsidRDefault="005B240E" w:rsidP="005B240E">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הארכת תקופה</w:t>
            </w:r>
          </w:p>
        </w:tc>
        <w:tc>
          <w:tcPr>
            <w:tcW w:w="531" w:type="pct"/>
            <w:vAlign w:val="bottom"/>
          </w:tcPr>
          <w:p w14:paraId="018A7882" w14:textId="77777777" w:rsidR="005B240E" w:rsidRPr="00E61F52" w:rsidRDefault="005B240E" w:rsidP="005B240E">
            <w:pPr>
              <w:pBdr>
                <w:bottom w:val="single" w:sz="4"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דחיית תשלומים</w:t>
            </w:r>
            <w:r w:rsidRPr="00E61F52">
              <w:rPr>
                <w:rFonts w:asciiTheme="minorBidi" w:hAnsiTheme="minorBidi" w:cstheme="minorBidi"/>
                <w:b/>
                <w:bCs/>
                <w:color w:val="000000"/>
                <w:sz w:val="18"/>
                <w:szCs w:val="18"/>
                <w:rtl/>
                <w:lang w:eastAsia="he-IL"/>
              </w:rPr>
              <w:t xml:space="preserve"> </w:t>
            </w:r>
          </w:p>
        </w:tc>
      </w:tr>
      <w:tr w:rsidR="001B58C3" w:rsidRPr="00E61F52" w14:paraId="0901E3EF" w14:textId="77777777" w:rsidTr="001B58C3">
        <w:trPr>
          <w:trHeight w:val="265"/>
        </w:trPr>
        <w:tc>
          <w:tcPr>
            <w:tcW w:w="793" w:type="pct"/>
            <w:tcBorders>
              <w:right w:val="single" w:sz="4" w:space="0" w:color="auto"/>
            </w:tcBorders>
            <w:vAlign w:val="bottom"/>
          </w:tcPr>
          <w:p w14:paraId="3624CBBE" w14:textId="77777777" w:rsidR="005B240E" w:rsidRPr="00E61F52" w:rsidRDefault="005B240E" w:rsidP="005B240E">
            <w:pPr>
              <w:rPr>
                <w:rFonts w:asciiTheme="minorBidi" w:hAnsiTheme="minorBidi" w:cstheme="minorBidi"/>
                <w:sz w:val="18"/>
                <w:szCs w:val="18"/>
                <w:rtl/>
              </w:rPr>
            </w:pPr>
          </w:p>
        </w:tc>
        <w:tc>
          <w:tcPr>
            <w:tcW w:w="1617" w:type="pct"/>
            <w:tcBorders>
              <w:left w:val="single" w:sz="4" w:space="0" w:color="auto"/>
            </w:tcBorders>
            <w:vAlign w:val="bottom"/>
          </w:tcPr>
          <w:p w14:paraId="3CA91A68" w14:textId="77777777" w:rsidR="005B240E" w:rsidRPr="00E61F52" w:rsidRDefault="005B240E" w:rsidP="005B240E">
            <w:pPr>
              <w:rPr>
                <w:rFonts w:asciiTheme="minorBidi" w:hAnsiTheme="minorBidi" w:cstheme="minorBidi"/>
                <w:color w:val="000000"/>
                <w:sz w:val="18"/>
                <w:szCs w:val="18"/>
                <w:rtl/>
                <w:lang w:eastAsia="he-IL"/>
              </w:rPr>
            </w:pPr>
          </w:p>
        </w:tc>
        <w:tc>
          <w:tcPr>
            <w:tcW w:w="2590" w:type="pct"/>
            <w:gridSpan w:val="5"/>
            <w:vAlign w:val="bottom"/>
          </w:tcPr>
          <w:p w14:paraId="3E66CE37" w14:textId="77777777" w:rsidR="005B240E" w:rsidRPr="00E61F52" w:rsidRDefault="005B240E" w:rsidP="005B240E">
            <w:pPr>
              <w:pBdr>
                <w:bottom w:val="single" w:sz="4" w:space="1" w:color="auto"/>
              </w:pBdr>
              <w:jc w:val="center"/>
              <w:rPr>
                <w:rFonts w:asciiTheme="minorBidi" w:hAnsiTheme="minorBidi" w:cstheme="minorBidi"/>
                <w:sz w:val="18"/>
                <w:szCs w:val="18"/>
                <w:rtl/>
              </w:rPr>
            </w:pPr>
            <w:r w:rsidRPr="00E61F52">
              <w:rPr>
                <w:rFonts w:asciiTheme="minorBidi" w:hAnsiTheme="minorBidi" w:cstheme="minorBidi"/>
                <w:sz w:val="18"/>
                <w:szCs w:val="18"/>
                <w:rtl/>
              </w:rPr>
              <w:t>מיליוני ש"ח</w:t>
            </w:r>
          </w:p>
        </w:tc>
      </w:tr>
      <w:tr w:rsidR="001B58C3" w:rsidRPr="00E61F52" w14:paraId="398A366E" w14:textId="77777777" w:rsidTr="001B58C3">
        <w:trPr>
          <w:trHeight w:val="259"/>
        </w:trPr>
        <w:tc>
          <w:tcPr>
            <w:tcW w:w="793" w:type="pct"/>
            <w:tcBorders>
              <w:right w:val="single" w:sz="4" w:space="0" w:color="auto"/>
            </w:tcBorders>
            <w:vAlign w:val="bottom"/>
          </w:tcPr>
          <w:p w14:paraId="2891F409" w14:textId="77777777" w:rsidR="005B240E" w:rsidRPr="00E61F52" w:rsidRDefault="005B240E" w:rsidP="005B240E">
            <w:pPr>
              <w:rPr>
                <w:rFonts w:asciiTheme="minorBidi" w:hAnsiTheme="minorBidi" w:cstheme="minorBidi"/>
                <w:sz w:val="18"/>
                <w:szCs w:val="18"/>
                <w:rtl/>
              </w:rPr>
            </w:pPr>
          </w:p>
        </w:tc>
        <w:tc>
          <w:tcPr>
            <w:tcW w:w="1617" w:type="pct"/>
            <w:tcBorders>
              <w:left w:val="single" w:sz="4" w:space="0" w:color="auto"/>
            </w:tcBorders>
            <w:vAlign w:val="bottom"/>
            <w:hideMark/>
          </w:tcPr>
          <w:p w14:paraId="024BB731" w14:textId="77777777" w:rsidR="005B240E" w:rsidRPr="00E61F52" w:rsidRDefault="005B240E" w:rsidP="005B240E">
            <w:pPr>
              <w:ind w:left="34"/>
              <w:rPr>
                <w:rFonts w:asciiTheme="minorBidi" w:hAnsiTheme="minorBidi" w:cstheme="minorBidi"/>
                <w:b/>
                <w:bCs/>
                <w:color w:val="000000"/>
                <w:sz w:val="18"/>
                <w:szCs w:val="18"/>
                <w:u w:val="single"/>
                <w:rtl/>
                <w:lang w:eastAsia="he-IL"/>
              </w:rPr>
            </w:pPr>
            <w:r w:rsidRPr="00E61F52">
              <w:rPr>
                <w:rFonts w:asciiTheme="minorBidi" w:hAnsiTheme="minorBidi" w:cstheme="minorBidi"/>
                <w:b/>
                <w:bCs/>
                <w:color w:val="000000"/>
                <w:sz w:val="18"/>
                <w:szCs w:val="18"/>
                <w:u w:val="single"/>
                <w:rtl/>
                <w:lang w:eastAsia="he-IL"/>
              </w:rPr>
              <w:t>פעילות לווים בישראל</w:t>
            </w:r>
          </w:p>
        </w:tc>
        <w:tc>
          <w:tcPr>
            <w:tcW w:w="533" w:type="pct"/>
            <w:vAlign w:val="bottom"/>
          </w:tcPr>
          <w:p w14:paraId="2DBF95F0" w14:textId="77777777" w:rsidR="005B240E" w:rsidRPr="00E61F52" w:rsidRDefault="005B240E" w:rsidP="005B240E">
            <w:pPr>
              <w:rPr>
                <w:rFonts w:asciiTheme="minorBidi" w:hAnsiTheme="minorBidi" w:cstheme="minorBidi"/>
                <w:sz w:val="18"/>
                <w:szCs w:val="18"/>
                <w:rtl/>
              </w:rPr>
            </w:pPr>
          </w:p>
        </w:tc>
        <w:tc>
          <w:tcPr>
            <w:tcW w:w="442" w:type="pct"/>
            <w:vAlign w:val="bottom"/>
          </w:tcPr>
          <w:p w14:paraId="29E7E871" w14:textId="77777777" w:rsidR="005B240E" w:rsidRPr="00E61F52" w:rsidRDefault="005B240E" w:rsidP="005B240E">
            <w:pPr>
              <w:rPr>
                <w:rFonts w:asciiTheme="minorBidi" w:hAnsiTheme="minorBidi" w:cstheme="minorBidi"/>
                <w:sz w:val="18"/>
                <w:szCs w:val="18"/>
                <w:rtl/>
              </w:rPr>
            </w:pPr>
          </w:p>
        </w:tc>
        <w:tc>
          <w:tcPr>
            <w:tcW w:w="580" w:type="pct"/>
            <w:vAlign w:val="bottom"/>
          </w:tcPr>
          <w:p w14:paraId="40CCEFC6" w14:textId="77777777" w:rsidR="005B240E" w:rsidRPr="00E61F52" w:rsidRDefault="005B240E" w:rsidP="005B240E">
            <w:pPr>
              <w:rPr>
                <w:rFonts w:asciiTheme="minorBidi" w:hAnsiTheme="minorBidi" w:cstheme="minorBidi"/>
                <w:sz w:val="18"/>
                <w:szCs w:val="18"/>
                <w:rtl/>
              </w:rPr>
            </w:pPr>
          </w:p>
        </w:tc>
        <w:tc>
          <w:tcPr>
            <w:tcW w:w="504" w:type="pct"/>
            <w:vAlign w:val="bottom"/>
          </w:tcPr>
          <w:p w14:paraId="111745AA" w14:textId="77777777" w:rsidR="005B240E" w:rsidRPr="00E61F52" w:rsidRDefault="005B240E" w:rsidP="005B240E">
            <w:pPr>
              <w:rPr>
                <w:rFonts w:asciiTheme="minorBidi" w:hAnsiTheme="minorBidi" w:cstheme="minorBidi"/>
                <w:sz w:val="18"/>
                <w:szCs w:val="18"/>
                <w:rtl/>
              </w:rPr>
            </w:pPr>
          </w:p>
        </w:tc>
        <w:tc>
          <w:tcPr>
            <w:tcW w:w="531" w:type="pct"/>
            <w:vAlign w:val="bottom"/>
          </w:tcPr>
          <w:p w14:paraId="44D85037" w14:textId="77777777" w:rsidR="005B240E" w:rsidRPr="00E61F52" w:rsidRDefault="005B240E" w:rsidP="005B240E">
            <w:pPr>
              <w:rPr>
                <w:rFonts w:asciiTheme="minorBidi" w:hAnsiTheme="minorBidi" w:cstheme="minorBidi"/>
                <w:sz w:val="18"/>
                <w:szCs w:val="18"/>
                <w:rtl/>
              </w:rPr>
            </w:pPr>
          </w:p>
        </w:tc>
      </w:tr>
      <w:tr w:rsidR="001B58C3" w:rsidRPr="00E61F52" w14:paraId="044C0A13" w14:textId="77777777" w:rsidTr="001B58C3">
        <w:trPr>
          <w:trHeight w:val="259"/>
        </w:trPr>
        <w:tc>
          <w:tcPr>
            <w:tcW w:w="793" w:type="pct"/>
            <w:tcBorders>
              <w:right w:val="single" w:sz="4" w:space="0" w:color="auto"/>
            </w:tcBorders>
            <w:vAlign w:val="bottom"/>
          </w:tcPr>
          <w:p w14:paraId="0656FBBF" w14:textId="77777777" w:rsidR="005B240E" w:rsidRPr="00E61F52" w:rsidRDefault="005B240E" w:rsidP="005B240E">
            <w:pPr>
              <w:rPr>
                <w:rFonts w:asciiTheme="minorBidi" w:hAnsiTheme="minorBidi" w:cstheme="minorBidi"/>
                <w:sz w:val="18"/>
                <w:szCs w:val="18"/>
                <w:rtl/>
              </w:rPr>
            </w:pPr>
          </w:p>
        </w:tc>
        <w:tc>
          <w:tcPr>
            <w:tcW w:w="1617" w:type="pct"/>
            <w:tcBorders>
              <w:left w:val="single" w:sz="4" w:space="0" w:color="auto"/>
            </w:tcBorders>
            <w:vAlign w:val="bottom"/>
            <w:hideMark/>
          </w:tcPr>
          <w:p w14:paraId="5204836F" w14:textId="77777777" w:rsidR="005B240E" w:rsidRPr="00E61F52" w:rsidRDefault="005B240E" w:rsidP="005B240E">
            <w:pPr>
              <w:ind w:left="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מסחרי</w:t>
            </w:r>
          </w:p>
        </w:tc>
        <w:tc>
          <w:tcPr>
            <w:tcW w:w="533" w:type="pct"/>
            <w:vAlign w:val="bottom"/>
            <w:hideMark/>
          </w:tcPr>
          <w:p w14:paraId="12332A3F" w14:textId="77777777" w:rsidR="005B240E" w:rsidRPr="00E61F52" w:rsidRDefault="005B240E" w:rsidP="005B240E">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42" w:type="pct"/>
            <w:vAlign w:val="bottom"/>
            <w:hideMark/>
          </w:tcPr>
          <w:p w14:paraId="4FE85C19" w14:textId="77777777" w:rsidR="005B240E" w:rsidRPr="00E61F52" w:rsidRDefault="005B240E" w:rsidP="005B240E">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80" w:type="pct"/>
            <w:vAlign w:val="bottom"/>
            <w:hideMark/>
          </w:tcPr>
          <w:p w14:paraId="2022012D" w14:textId="77777777" w:rsidR="005B240E" w:rsidRPr="00E61F52" w:rsidRDefault="005B240E" w:rsidP="005B240E">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04" w:type="pct"/>
            <w:vAlign w:val="bottom"/>
            <w:hideMark/>
          </w:tcPr>
          <w:p w14:paraId="5393E9DF" w14:textId="77777777" w:rsidR="005B240E" w:rsidRPr="00E61F52" w:rsidRDefault="005B240E" w:rsidP="005B240E">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31" w:type="pct"/>
            <w:vAlign w:val="bottom"/>
          </w:tcPr>
          <w:p w14:paraId="6C7FF7A3" w14:textId="77777777" w:rsidR="005B240E" w:rsidRPr="00E61F52" w:rsidRDefault="005B240E" w:rsidP="005B240E">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1B58C3" w:rsidRPr="00E61F52" w14:paraId="0231CB43" w14:textId="77777777" w:rsidTr="001B58C3">
        <w:trPr>
          <w:trHeight w:val="259"/>
        </w:trPr>
        <w:tc>
          <w:tcPr>
            <w:tcW w:w="793" w:type="pct"/>
            <w:tcBorders>
              <w:right w:val="single" w:sz="4" w:space="0" w:color="auto"/>
            </w:tcBorders>
            <w:vAlign w:val="bottom"/>
          </w:tcPr>
          <w:p w14:paraId="742B3711" w14:textId="77777777" w:rsidR="005B240E" w:rsidRPr="00E61F52" w:rsidRDefault="005B240E" w:rsidP="005B240E">
            <w:pPr>
              <w:rPr>
                <w:rFonts w:asciiTheme="minorBidi" w:hAnsiTheme="minorBidi" w:cstheme="minorBidi"/>
                <w:sz w:val="18"/>
                <w:szCs w:val="18"/>
                <w:rtl/>
              </w:rPr>
            </w:pPr>
          </w:p>
        </w:tc>
        <w:tc>
          <w:tcPr>
            <w:tcW w:w="1617" w:type="pct"/>
            <w:tcBorders>
              <w:left w:val="single" w:sz="4" w:space="0" w:color="auto"/>
            </w:tcBorders>
            <w:vAlign w:val="bottom"/>
            <w:hideMark/>
          </w:tcPr>
          <w:p w14:paraId="38EC81E9" w14:textId="77777777" w:rsidR="005B240E" w:rsidRPr="00E61F52" w:rsidRDefault="005B240E" w:rsidP="005B240E">
            <w:pPr>
              <w:spacing w:before="40" w:line="200" w:lineRule="exact"/>
              <w:ind w:right="144" w:firstLine="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אנשים פרטיים - הלוואות לדיור</w:t>
            </w:r>
          </w:p>
        </w:tc>
        <w:tc>
          <w:tcPr>
            <w:tcW w:w="533" w:type="pct"/>
            <w:vAlign w:val="bottom"/>
            <w:hideMark/>
          </w:tcPr>
          <w:p w14:paraId="64408F80" w14:textId="77777777" w:rsidR="005B240E" w:rsidRPr="00E61F52" w:rsidRDefault="005B240E" w:rsidP="005B240E">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42" w:type="pct"/>
            <w:vAlign w:val="bottom"/>
            <w:hideMark/>
          </w:tcPr>
          <w:p w14:paraId="1BCE02C2" w14:textId="77777777" w:rsidR="005B240E" w:rsidRPr="00E61F52" w:rsidRDefault="005B240E" w:rsidP="005B240E">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80" w:type="pct"/>
            <w:vAlign w:val="bottom"/>
            <w:hideMark/>
          </w:tcPr>
          <w:p w14:paraId="494C9D79" w14:textId="77777777" w:rsidR="005B240E" w:rsidRPr="00E61F52" w:rsidRDefault="005B240E" w:rsidP="005B240E">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04" w:type="pct"/>
            <w:vAlign w:val="bottom"/>
            <w:hideMark/>
          </w:tcPr>
          <w:p w14:paraId="1B42125C" w14:textId="77777777" w:rsidR="005B240E" w:rsidRPr="00E61F52" w:rsidRDefault="005B240E" w:rsidP="005B240E">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31" w:type="pct"/>
            <w:vAlign w:val="bottom"/>
          </w:tcPr>
          <w:p w14:paraId="50C7205F" w14:textId="77777777" w:rsidR="005B240E" w:rsidRPr="00E61F52" w:rsidRDefault="005B240E" w:rsidP="005B240E">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1B58C3" w:rsidRPr="00E61F52" w14:paraId="6C5510E5" w14:textId="77777777" w:rsidTr="001B58C3">
        <w:trPr>
          <w:trHeight w:val="259"/>
        </w:trPr>
        <w:tc>
          <w:tcPr>
            <w:tcW w:w="793" w:type="pct"/>
            <w:tcBorders>
              <w:right w:val="single" w:sz="4" w:space="0" w:color="auto"/>
            </w:tcBorders>
            <w:vAlign w:val="bottom"/>
          </w:tcPr>
          <w:p w14:paraId="4B4F6849" w14:textId="77777777" w:rsidR="005B240E" w:rsidRPr="00E61F52" w:rsidRDefault="005B240E" w:rsidP="005B240E">
            <w:pPr>
              <w:rPr>
                <w:rFonts w:asciiTheme="minorBidi" w:hAnsiTheme="minorBidi" w:cstheme="minorBidi"/>
                <w:sz w:val="18"/>
                <w:szCs w:val="18"/>
                <w:rtl/>
              </w:rPr>
            </w:pPr>
          </w:p>
        </w:tc>
        <w:tc>
          <w:tcPr>
            <w:tcW w:w="1617" w:type="pct"/>
            <w:tcBorders>
              <w:left w:val="single" w:sz="4" w:space="0" w:color="auto"/>
            </w:tcBorders>
            <w:vAlign w:val="bottom"/>
            <w:hideMark/>
          </w:tcPr>
          <w:p w14:paraId="40609309" w14:textId="77777777" w:rsidR="005B240E" w:rsidRPr="00E61F52" w:rsidRDefault="005B240E" w:rsidP="005B240E">
            <w:pPr>
              <w:ind w:firstLine="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אנשים פרטיים - אחר</w:t>
            </w:r>
          </w:p>
        </w:tc>
        <w:tc>
          <w:tcPr>
            <w:tcW w:w="533" w:type="pct"/>
            <w:vAlign w:val="bottom"/>
            <w:hideMark/>
          </w:tcPr>
          <w:p w14:paraId="53F59AEF" w14:textId="77777777" w:rsidR="005B240E" w:rsidRPr="00E61F52" w:rsidRDefault="005B240E" w:rsidP="005B240E">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42" w:type="pct"/>
            <w:vAlign w:val="bottom"/>
            <w:hideMark/>
          </w:tcPr>
          <w:p w14:paraId="1045946D" w14:textId="77777777" w:rsidR="005B240E" w:rsidRPr="00E61F52" w:rsidRDefault="005B240E" w:rsidP="005B240E">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80" w:type="pct"/>
            <w:vAlign w:val="bottom"/>
            <w:hideMark/>
          </w:tcPr>
          <w:p w14:paraId="585BC5A8" w14:textId="77777777" w:rsidR="005B240E" w:rsidRPr="00E61F52" w:rsidRDefault="005B240E" w:rsidP="005B240E">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04" w:type="pct"/>
            <w:vAlign w:val="bottom"/>
            <w:hideMark/>
          </w:tcPr>
          <w:p w14:paraId="53BA9060" w14:textId="77777777" w:rsidR="005B240E" w:rsidRPr="00E61F52" w:rsidRDefault="005B240E" w:rsidP="005B240E">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31" w:type="pct"/>
            <w:vAlign w:val="bottom"/>
          </w:tcPr>
          <w:p w14:paraId="3741A49E" w14:textId="77777777" w:rsidR="005B240E" w:rsidRPr="00E61F52" w:rsidRDefault="005B240E" w:rsidP="005B240E">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1B58C3" w:rsidRPr="00E61F52" w14:paraId="094037C9" w14:textId="77777777" w:rsidTr="001B58C3">
        <w:trPr>
          <w:trHeight w:val="259"/>
        </w:trPr>
        <w:tc>
          <w:tcPr>
            <w:tcW w:w="793" w:type="pct"/>
            <w:tcBorders>
              <w:right w:val="single" w:sz="4" w:space="0" w:color="auto"/>
            </w:tcBorders>
            <w:vAlign w:val="bottom"/>
          </w:tcPr>
          <w:p w14:paraId="167616AF" w14:textId="77777777" w:rsidR="005B240E" w:rsidRPr="00E61F52" w:rsidRDefault="005B240E" w:rsidP="005B240E">
            <w:pPr>
              <w:rPr>
                <w:rFonts w:asciiTheme="minorBidi" w:hAnsiTheme="minorBidi" w:cstheme="minorBidi"/>
                <w:sz w:val="18"/>
                <w:szCs w:val="18"/>
                <w:rtl/>
              </w:rPr>
            </w:pPr>
          </w:p>
        </w:tc>
        <w:tc>
          <w:tcPr>
            <w:tcW w:w="1617" w:type="pct"/>
            <w:tcBorders>
              <w:left w:val="single" w:sz="4" w:space="0" w:color="auto"/>
            </w:tcBorders>
            <w:vAlign w:val="bottom"/>
            <w:hideMark/>
          </w:tcPr>
          <w:p w14:paraId="4B50E3DB" w14:textId="77777777" w:rsidR="005B240E" w:rsidRPr="00E61F52" w:rsidRDefault="005B240E" w:rsidP="005B240E">
            <w:pPr>
              <w:spacing w:before="60" w:line="180" w:lineRule="exact"/>
              <w:ind w:left="34" w:right="142"/>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 - פעילות בישראל</w:t>
            </w:r>
          </w:p>
        </w:tc>
        <w:tc>
          <w:tcPr>
            <w:tcW w:w="533" w:type="pct"/>
            <w:vAlign w:val="bottom"/>
            <w:hideMark/>
          </w:tcPr>
          <w:p w14:paraId="79422FCE" w14:textId="77777777" w:rsidR="005B240E" w:rsidRPr="00E61F52" w:rsidRDefault="005B240E" w:rsidP="005B240E">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442" w:type="pct"/>
            <w:vAlign w:val="bottom"/>
            <w:hideMark/>
          </w:tcPr>
          <w:p w14:paraId="7B30FD93" w14:textId="77777777" w:rsidR="005B240E" w:rsidRPr="00E61F52" w:rsidRDefault="005B240E" w:rsidP="005B240E">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80" w:type="pct"/>
            <w:vAlign w:val="bottom"/>
            <w:hideMark/>
          </w:tcPr>
          <w:p w14:paraId="217CE777" w14:textId="77777777" w:rsidR="005B240E" w:rsidRPr="00E61F52" w:rsidRDefault="005B240E" w:rsidP="005B240E">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04" w:type="pct"/>
            <w:vAlign w:val="bottom"/>
            <w:hideMark/>
          </w:tcPr>
          <w:p w14:paraId="4FC88BD5" w14:textId="77777777" w:rsidR="005B240E" w:rsidRPr="00E61F52" w:rsidRDefault="005B240E" w:rsidP="005B240E">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31" w:type="pct"/>
            <w:vAlign w:val="bottom"/>
          </w:tcPr>
          <w:p w14:paraId="5BA94EC8" w14:textId="77777777" w:rsidR="005B240E" w:rsidRPr="00E61F52" w:rsidRDefault="005B240E" w:rsidP="005B240E">
            <w:pPr>
              <w:pBdr>
                <w:top w:val="single" w:sz="4" w:space="1" w:color="auto"/>
              </w:pBdr>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r>
      <w:tr w:rsidR="001B58C3" w:rsidRPr="00E61F52" w14:paraId="776D0FB8" w14:textId="77777777" w:rsidTr="001B58C3">
        <w:trPr>
          <w:trHeight w:val="259"/>
        </w:trPr>
        <w:tc>
          <w:tcPr>
            <w:tcW w:w="793" w:type="pct"/>
            <w:tcBorders>
              <w:right w:val="single" w:sz="4" w:space="0" w:color="auto"/>
            </w:tcBorders>
            <w:vAlign w:val="bottom"/>
          </w:tcPr>
          <w:p w14:paraId="7FA8C76C" w14:textId="77777777" w:rsidR="005B240E" w:rsidRPr="00E61F52" w:rsidRDefault="005B240E" w:rsidP="005B240E">
            <w:pPr>
              <w:rPr>
                <w:rFonts w:asciiTheme="minorBidi" w:hAnsiTheme="minorBidi" w:cstheme="minorBidi"/>
                <w:sz w:val="18"/>
                <w:szCs w:val="18"/>
                <w:rtl/>
              </w:rPr>
            </w:pPr>
          </w:p>
        </w:tc>
        <w:tc>
          <w:tcPr>
            <w:tcW w:w="1617" w:type="pct"/>
            <w:tcBorders>
              <w:left w:val="single" w:sz="4" w:space="0" w:color="auto"/>
            </w:tcBorders>
            <w:vAlign w:val="bottom"/>
            <w:hideMark/>
          </w:tcPr>
          <w:p w14:paraId="08F77D4A" w14:textId="77777777" w:rsidR="005B240E" w:rsidRPr="00E61F52" w:rsidRDefault="005B240E" w:rsidP="005B240E">
            <w:pPr>
              <w:spacing w:before="40" w:line="180" w:lineRule="exact"/>
              <w:ind w:left="142" w:right="142" w:hanging="108"/>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 - פעילות בחו"ל</w:t>
            </w:r>
          </w:p>
        </w:tc>
        <w:tc>
          <w:tcPr>
            <w:tcW w:w="533" w:type="pct"/>
            <w:vAlign w:val="bottom"/>
            <w:hideMark/>
          </w:tcPr>
          <w:p w14:paraId="198E2786" w14:textId="77777777" w:rsidR="005B240E" w:rsidRPr="00E61F52" w:rsidRDefault="005B240E" w:rsidP="005B240E">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442" w:type="pct"/>
            <w:vAlign w:val="bottom"/>
            <w:hideMark/>
          </w:tcPr>
          <w:p w14:paraId="7D8EF686" w14:textId="77777777" w:rsidR="005B240E" w:rsidRPr="00E61F52" w:rsidRDefault="005B240E" w:rsidP="005B240E">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80" w:type="pct"/>
            <w:vAlign w:val="bottom"/>
            <w:hideMark/>
          </w:tcPr>
          <w:p w14:paraId="70947161" w14:textId="77777777" w:rsidR="005B240E" w:rsidRPr="00E61F52" w:rsidRDefault="005B240E" w:rsidP="005B240E">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04" w:type="pct"/>
            <w:vAlign w:val="bottom"/>
            <w:hideMark/>
          </w:tcPr>
          <w:p w14:paraId="09CE9C70" w14:textId="77777777" w:rsidR="005B240E" w:rsidRPr="00E61F52" w:rsidRDefault="005B240E" w:rsidP="005B240E">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31" w:type="pct"/>
            <w:vAlign w:val="bottom"/>
          </w:tcPr>
          <w:p w14:paraId="56543473" w14:textId="77777777" w:rsidR="005B240E" w:rsidRPr="00E61F52" w:rsidRDefault="005B240E" w:rsidP="005B240E">
            <w:pPr>
              <w:pBdr>
                <w:bottom w:val="single" w:sz="4" w:space="1" w:color="auto"/>
              </w:pBdr>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r>
      <w:tr w:rsidR="001B58C3" w:rsidRPr="00E61F52" w14:paraId="74409F4D" w14:textId="77777777" w:rsidTr="001B58C3">
        <w:trPr>
          <w:trHeight w:val="259"/>
        </w:trPr>
        <w:tc>
          <w:tcPr>
            <w:tcW w:w="793" w:type="pct"/>
            <w:tcBorders>
              <w:right w:val="single" w:sz="4" w:space="0" w:color="auto"/>
            </w:tcBorders>
            <w:vAlign w:val="bottom"/>
          </w:tcPr>
          <w:p w14:paraId="2E00EDEC" w14:textId="77777777" w:rsidR="005B240E" w:rsidRPr="00E61F52" w:rsidRDefault="005B240E" w:rsidP="005B240E">
            <w:pPr>
              <w:rPr>
                <w:rFonts w:asciiTheme="minorBidi" w:hAnsiTheme="minorBidi" w:cstheme="minorBidi"/>
                <w:sz w:val="18"/>
                <w:szCs w:val="18"/>
                <w:rtl/>
              </w:rPr>
            </w:pPr>
          </w:p>
        </w:tc>
        <w:tc>
          <w:tcPr>
            <w:tcW w:w="1617" w:type="pct"/>
            <w:tcBorders>
              <w:left w:val="single" w:sz="4" w:space="0" w:color="auto"/>
            </w:tcBorders>
            <w:vAlign w:val="bottom"/>
            <w:hideMark/>
          </w:tcPr>
          <w:p w14:paraId="74B435BF" w14:textId="77777777" w:rsidR="005B240E" w:rsidRPr="00E61F52" w:rsidRDefault="005B240E" w:rsidP="005B240E">
            <w:pP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w:t>
            </w:r>
          </w:p>
        </w:tc>
        <w:tc>
          <w:tcPr>
            <w:tcW w:w="533" w:type="pct"/>
            <w:vAlign w:val="bottom"/>
            <w:hideMark/>
          </w:tcPr>
          <w:p w14:paraId="407ED760" w14:textId="77777777" w:rsidR="005B240E" w:rsidRPr="00E61F52" w:rsidRDefault="005B240E" w:rsidP="005B240E">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442" w:type="pct"/>
            <w:vAlign w:val="bottom"/>
            <w:hideMark/>
          </w:tcPr>
          <w:p w14:paraId="5D19426F" w14:textId="77777777" w:rsidR="005B240E" w:rsidRPr="00E61F52" w:rsidRDefault="005B240E" w:rsidP="005B240E">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80" w:type="pct"/>
            <w:vAlign w:val="bottom"/>
            <w:hideMark/>
          </w:tcPr>
          <w:p w14:paraId="2D167DE2" w14:textId="77777777" w:rsidR="005B240E" w:rsidRPr="00E61F52" w:rsidRDefault="005B240E" w:rsidP="005B240E">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04" w:type="pct"/>
            <w:vAlign w:val="bottom"/>
            <w:hideMark/>
          </w:tcPr>
          <w:p w14:paraId="52E80D9C" w14:textId="77777777" w:rsidR="005B240E" w:rsidRPr="00E61F52" w:rsidRDefault="005B240E" w:rsidP="005B240E">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r w:rsidRPr="00E61F52">
              <w:rPr>
                <w:rFonts w:asciiTheme="minorBidi" w:hAnsiTheme="minorBidi" w:cstheme="minorBidi"/>
                <w:sz w:val="18"/>
                <w:szCs w:val="18"/>
                <w:vertAlign w:val="superscript"/>
                <w:rtl/>
              </w:rPr>
              <w:t xml:space="preserve"> </w:t>
            </w:r>
          </w:p>
        </w:tc>
        <w:tc>
          <w:tcPr>
            <w:tcW w:w="531" w:type="pct"/>
            <w:vAlign w:val="bottom"/>
          </w:tcPr>
          <w:p w14:paraId="2B5EF097" w14:textId="77777777" w:rsidR="005B240E" w:rsidRPr="00E61F52" w:rsidRDefault="005B240E" w:rsidP="005B240E">
            <w:pPr>
              <w:pBdr>
                <w:bottom w:val="double" w:sz="4" w:space="1" w:color="auto"/>
              </w:pBdr>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r w:rsidRPr="00E61F52">
              <w:rPr>
                <w:rFonts w:asciiTheme="minorBidi" w:hAnsiTheme="minorBidi" w:cstheme="minorBidi"/>
                <w:sz w:val="18"/>
                <w:szCs w:val="18"/>
                <w:vertAlign w:val="superscript"/>
                <w:rtl/>
              </w:rPr>
              <w:t xml:space="preserve"> </w:t>
            </w:r>
          </w:p>
        </w:tc>
      </w:tr>
    </w:tbl>
    <w:p w14:paraId="385ACCC3" w14:textId="77777777" w:rsidR="0037573B" w:rsidRDefault="0037573B">
      <w:pPr>
        <w:rPr>
          <w:rtl/>
        </w:rPr>
      </w:pPr>
    </w:p>
    <w:p w14:paraId="6247EEC6" w14:textId="77777777" w:rsidR="00C80597" w:rsidRDefault="00C80597">
      <w:pPr>
        <w:rPr>
          <w:rtl/>
        </w:rPr>
      </w:pPr>
    </w:p>
    <w:tbl>
      <w:tblPr>
        <w:bidiVisual/>
        <w:tblW w:w="4911" w:type="pct"/>
        <w:tblInd w:w="-594" w:type="dxa"/>
        <w:tblLook w:val="04A0" w:firstRow="1" w:lastRow="0" w:firstColumn="1" w:lastColumn="0" w:noHBand="0" w:noVBand="1"/>
      </w:tblPr>
      <w:tblGrid>
        <w:gridCol w:w="1589"/>
        <w:gridCol w:w="3242"/>
        <w:gridCol w:w="1069"/>
        <w:gridCol w:w="886"/>
        <w:gridCol w:w="1163"/>
        <w:gridCol w:w="1011"/>
        <w:gridCol w:w="1065"/>
      </w:tblGrid>
      <w:tr w:rsidR="001B58C3" w:rsidRPr="00E61F52" w14:paraId="1121173C" w14:textId="77777777" w:rsidTr="00F75066">
        <w:trPr>
          <w:trHeight w:val="259"/>
        </w:trPr>
        <w:tc>
          <w:tcPr>
            <w:tcW w:w="793" w:type="pct"/>
            <w:tcBorders>
              <w:right w:val="single" w:sz="4" w:space="0" w:color="auto"/>
            </w:tcBorders>
            <w:vAlign w:val="bottom"/>
          </w:tcPr>
          <w:p w14:paraId="141630C7" w14:textId="77777777" w:rsidR="001B58C3" w:rsidRPr="00E61F52" w:rsidRDefault="001B58C3" w:rsidP="00CB5D5C">
            <w:pPr>
              <w:rPr>
                <w:rFonts w:asciiTheme="minorBidi" w:hAnsiTheme="minorBidi" w:cstheme="minorBidi"/>
                <w:sz w:val="18"/>
                <w:szCs w:val="18"/>
                <w:rtl/>
              </w:rPr>
            </w:pPr>
          </w:p>
        </w:tc>
        <w:tc>
          <w:tcPr>
            <w:tcW w:w="1617" w:type="pct"/>
            <w:tcBorders>
              <w:left w:val="single" w:sz="4" w:space="0" w:color="auto"/>
            </w:tcBorders>
            <w:vAlign w:val="bottom"/>
          </w:tcPr>
          <w:p w14:paraId="325A092D" w14:textId="77777777" w:rsidR="001B58C3" w:rsidRPr="00E61F52" w:rsidRDefault="001B58C3" w:rsidP="00CB5D5C">
            <w:pPr>
              <w:spacing w:before="120"/>
              <w:ind w:left="142" w:hanging="142"/>
              <w:rPr>
                <w:rFonts w:asciiTheme="minorBidi" w:hAnsiTheme="minorBidi" w:cstheme="minorBidi"/>
                <w:color w:val="000000"/>
                <w:sz w:val="18"/>
                <w:szCs w:val="18"/>
                <w:rtl/>
                <w:lang w:eastAsia="he-IL"/>
              </w:rPr>
            </w:pPr>
          </w:p>
        </w:tc>
        <w:tc>
          <w:tcPr>
            <w:tcW w:w="2590" w:type="pct"/>
            <w:gridSpan w:val="5"/>
            <w:vAlign w:val="bottom"/>
          </w:tcPr>
          <w:p w14:paraId="431ED6BE" w14:textId="1A0D6B0E" w:rsidR="001B58C3" w:rsidRPr="00E61F52" w:rsidRDefault="001B58C3" w:rsidP="00CB5D5C">
            <w:pPr>
              <w:pBdr>
                <w:bottom w:val="single" w:sz="6" w:space="1" w:color="auto"/>
              </w:pBdr>
              <w:jc w:val="center"/>
              <w:rPr>
                <w:rFonts w:asciiTheme="minorBidi" w:hAnsiTheme="minorBidi" w:cstheme="minorBidi"/>
                <w:b/>
                <w:bCs/>
                <w:sz w:val="18"/>
                <w:szCs w:val="18"/>
                <w:rtl/>
              </w:rPr>
            </w:pPr>
            <w:r>
              <w:rPr>
                <w:rFonts w:asciiTheme="minorBidi" w:hAnsiTheme="minorBidi" w:cstheme="minorBidi" w:hint="cs"/>
                <w:b/>
                <w:bCs/>
                <w:sz w:val="18"/>
                <w:szCs w:val="18"/>
                <w:rtl/>
              </w:rPr>
              <w:t>שישה</w:t>
            </w:r>
            <w:r w:rsidRPr="00E61F52">
              <w:rPr>
                <w:rFonts w:asciiTheme="minorBidi" w:hAnsiTheme="minorBidi" w:cstheme="minorBidi"/>
                <w:b/>
                <w:bCs/>
                <w:sz w:val="18"/>
                <w:szCs w:val="18"/>
                <w:rtl/>
              </w:rPr>
              <w:t xml:space="preserve"> חודשים שהסתיימו ביום 30 ביוני </w:t>
            </w:r>
            <w:r w:rsidRPr="00E61F52">
              <w:rPr>
                <w:rFonts w:asciiTheme="minorBidi" w:hAnsiTheme="minorBidi" w:cstheme="minorBidi"/>
                <w:b/>
                <w:bCs/>
                <w:sz w:val="18"/>
                <w:szCs w:val="18"/>
                <w:rtl/>
              </w:rPr>
              <w:fldChar w:fldCharType="begin"/>
            </w:r>
            <w:r w:rsidRPr="00E61F52">
              <w:rPr>
                <w:rFonts w:asciiTheme="minorBidi" w:hAnsiTheme="minorBidi" w:cstheme="minorBidi"/>
                <w:b/>
                <w:bCs/>
                <w:sz w:val="18"/>
                <w:szCs w:val="18"/>
                <w:rtl/>
              </w:rPr>
              <w:instrText xml:space="preserve"> = </w:instrText>
            </w:r>
            <w:r w:rsidRPr="00E61F52">
              <w:rPr>
                <w:rFonts w:asciiTheme="minorBidi" w:hAnsiTheme="minorBidi" w:cstheme="minorBidi"/>
                <w:b/>
                <w:bCs/>
                <w:sz w:val="18"/>
                <w:szCs w:val="18"/>
              </w:rPr>
              <w:instrText>CY \* MERGEFORMAT</w:instrText>
            </w:r>
            <w:r w:rsidRPr="00E61F52">
              <w:rPr>
                <w:rFonts w:asciiTheme="minorBidi" w:hAnsiTheme="minorBidi" w:cstheme="minorBidi"/>
                <w:b/>
                <w:bCs/>
                <w:sz w:val="18"/>
                <w:szCs w:val="18"/>
                <w:rtl/>
              </w:rPr>
              <w:instrText xml:space="preserve"> </w:instrText>
            </w:r>
            <w:r w:rsidRPr="00E61F52">
              <w:rPr>
                <w:rFonts w:asciiTheme="minorBidi" w:hAnsiTheme="minorBidi" w:cstheme="minorBidi"/>
                <w:b/>
                <w:bCs/>
                <w:sz w:val="18"/>
                <w:szCs w:val="18"/>
                <w:rtl/>
              </w:rPr>
              <w:fldChar w:fldCharType="separate"/>
            </w:r>
            <w:r w:rsidRPr="00E61F52">
              <w:rPr>
                <w:rFonts w:asciiTheme="minorBidi" w:hAnsiTheme="minorBidi" w:cstheme="minorBidi"/>
                <w:b/>
                <w:bCs/>
                <w:noProof/>
                <w:sz w:val="18"/>
                <w:szCs w:val="18"/>
                <w:rtl/>
              </w:rPr>
              <w:t>2024</w:t>
            </w:r>
            <w:r w:rsidRPr="00E61F52">
              <w:rPr>
                <w:rFonts w:asciiTheme="minorBidi" w:hAnsiTheme="minorBidi" w:cstheme="minorBidi"/>
                <w:b/>
                <w:bCs/>
                <w:sz w:val="18"/>
                <w:szCs w:val="18"/>
                <w:rtl/>
              </w:rPr>
              <w:fldChar w:fldCharType="end"/>
            </w:r>
            <w:r w:rsidRPr="00E61F52">
              <w:rPr>
                <w:rFonts w:asciiTheme="minorBidi" w:hAnsiTheme="minorBidi" w:cstheme="minorBidi"/>
                <w:b/>
                <w:bCs/>
                <w:color w:val="000000"/>
                <w:sz w:val="18"/>
                <w:szCs w:val="18"/>
                <w:rtl/>
                <w:lang w:eastAsia="he-IL"/>
              </w:rPr>
              <w:t xml:space="preserve">  </w:t>
            </w:r>
            <w:r w:rsidRPr="00A128EC">
              <w:rPr>
                <w:rFonts w:asciiTheme="minorBidi" w:hAnsiTheme="minorBidi" w:cstheme="minorBidi"/>
                <w:color w:val="000000"/>
                <w:sz w:val="18"/>
                <w:szCs w:val="18"/>
                <w:rtl/>
                <w:lang w:eastAsia="he-IL"/>
              </w:rPr>
              <w:t>(בלתי מבוקר)</w:t>
            </w:r>
          </w:p>
        </w:tc>
      </w:tr>
      <w:tr w:rsidR="001B58C3" w:rsidRPr="00E61F52" w14:paraId="1E8514A7" w14:textId="77777777" w:rsidTr="00F75066">
        <w:trPr>
          <w:trHeight w:val="259"/>
        </w:trPr>
        <w:tc>
          <w:tcPr>
            <w:tcW w:w="793" w:type="pct"/>
            <w:tcBorders>
              <w:right w:val="single" w:sz="4" w:space="0" w:color="auto"/>
            </w:tcBorders>
            <w:vAlign w:val="bottom"/>
          </w:tcPr>
          <w:p w14:paraId="3D8514F7" w14:textId="77777777" w:rsidR="001B58C3" w:rsidRPr="00E61F52" w:rsidRDefault="001B58C3" w:rsidP="00CB5D5C">
            <w:pPr>
              <w:rPr>
                <w:rFonts w:asciiTheme="minorBidi" w:hAnsiTheme="minorBidi" w:cstheme="minorBidi"/>
                <w:sz w:val="18"/>
                <w:szCs w:val="18"/>
                <w:rtl/>
              </w:rPr>
            </w:pPr>
          </w:p>
        </w:tc>
        <w:tc>
          <w:tcPr>
            <w:tcW w:w="1617" w:type="pct"/>
            <w:tcBorders>
              <w:left w:val="single" w:sz="4" w:space="0" w:color="auto"/>
            </w:tcBorders>
            <w:vAlign w:val="bottom"/>
          </w:tcPr>
          <w:p w14:paraId="35821C1A" w14:textId="77777777" w:rsidR="001B58C3" w:rsidRPr="00E61F52" w:rsidRDefault="001B58C3" w:rsidP="00CB5D5C">
            <w:pPr>
              <w:ind w:left="144" w:hanging="144"/>
              <w:rPr>
                <w:rFonts w:asciiTheme="minorBidi" w:hAnsiTheme="minorBidi" w:cstheme="minorBidi"/>
                <w:color w:val="000000"/>
                <w:sz w:val="18"/>
                <w:szCs w:val="18"/>
                <w:rtl/>
                <w:lang w:eastAsia="he-IL"/>
              </w:rPr>
            </w:pPr>
          </w:p>
        </w:tc>
        <w:tc>
          <w:tcPr>
            <w:tcW w:w="533" w:type="pct"/>
            <w:vAlign w:val="bottom"/>
            <w:hideMark/>
          </w:tcPr>
          <w:p w14:paraId="5B7CD926" w14:textId="77777777" w:rsidR="001B58C3" w:rsidRPr="00E61F52" w:rsidRDefault="001B58C3" w:rsidP="00CB5D5C">
            <w:pPr>
              <w:pBdr>
                <w:bottom w:val="single" w:sz="4"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סך הכל</w:t>
            </w:r>
          </w:p>
        </w:tc>
        <w:tc>
          <w:tcPr>
            <w:tcW w:w="2057" w:type="pct"/>
            <w:gridSpan w:val="4"/>
            <w:vAlign w:val="bottom"/>
          </w:tcPr>
          <w:p w14:paraId="5FA3807D" w14:textId="77777777" w:rsidR="001B58C3" w:rsidRPr="00E61F52" w:rsidRDefault="001B58C3" w:rsidP="00CB5D5C">
            <w:pPr>
              <w:pBdr>
                <w:bottom w:val="single" w:sz="4"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סוג השינוי</w:t>
            </w:r>
            <w:r w:rsidRPr="00E61F52">
              <w:rPr>
                <w:rFonts w:asciiTheme="minorBidi" w:hAnsiTheme="minorBidi" w:cstheme="minorBidi"/>
                <w:sz w:val="18"/>
                <w:szCs w:val="18"/>
                <w:vertAlign w:val="superscript"/>
                <w:rtl/>
              </w:rPr>
              <w:t xml:space="preserve"> (א)</w:t>
            </w:r>
          </w:p>
        </w:tc>
      </w:tr>
      <w:tr w:rsidR="001B58C3" w:rsidRPr="00E61F52" w14:paraId="1222F0BA" w14:textId="77777777" w:rsidTr="00F75066">
        <w:trPr>
          <w:trHeight w:val="555"/>
        </w:trPr>
        <w:tc>
          <w:tcPr>
            <w:tcW w:w="793" w:type="pct"/>
            <w:tcBorders>
              <w:right w:val="single" w:sz="4" w:space="0" w:color="auto"/>
            </w:tcBorders>
            <w:vAlign w:val="bottom"/>
          </w:tcPr>
          <w:p w14:paraId="72760AF4" w14:textId="77777777" w:rsidR="001B58C3" w:rsidRPr="00E61F52" w:rsidRDefault="001B58C3" w:rsidP="00CB5D5C">
            <w:pPr>
              <w:rPr>
                <w:rFonts w:asciiTheme="minorBidi" w:hAnsiTheme="minorBidi" w:cstheme="minorBidi"/>
                <w:sz w:val="18"/>
                <w:szCs w:val="18"/>
                <w:rtl/>
              </w:rPr>
            </w:pPr>
          </w:p>
        </w:tc>
        <w:tc>
          <w:tcPr>
            <w:tcW w:w="1617" w:type="pct"/>
            <w:tcBorders>
              <w:left w:val="single" w:sz="4" w:space="0" w:color="auto"/>
            </w:tcBorders>
            <w:vAlign w:val="bottom"/>
          </w:tcPr>
          <w:p w14:paraId="358F2D00" w14:textId="77777777" w:rsidR="001B58C3" w:rsidRPr="00E61F52" w:rsidRDefault="001B58C3" w:rsidP="00CB5D5C">
            <w:pPr>
              <w:ind w:left="144" w:hanging="144"/>
              <w:rPr>
                <w:rFonts w:asciiTheme="minorBidi" w:hAnsiTheme="minorBidi" w:cstheme="minorBidi"/>
                <w:color w:val="000000"/>
                <w:sz w:val="18"/>
                <w:szCs w:val="18"/>
                <w:rtl/>
                <w:lang w:eastAsia="he-IL"/>
              </w:rPr>
            </w:pPr>
          </w:p>
        </w:tc>
        <w:tc>
          <w:tcPr>
            <w:tcW w:w="533" w:type="pct"/>
            <w:vAlign w:val="bottom"/>
            <w:hideMark/>
          </w:tcPr>
          <w:p w14:paraId="50BE244D" w14:textId="77777777" w:rsidR="001B58C3" w:rsidRPr="00E61F52" w:rsidRDefault="001B58C3" w:rsidP="00CB5D5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יתרת חוב רשומה</w:t>
            </w:r>
          </w:p>
        </w:tc>
        <w:tc>
          <w:tcPr>
            <w:tcW w:w="442" w:type="pct"/>
            <w:vAlign w:val="bottom"/>
            <w:hideMark/>
          </w:tcPr>
          <w:p w14:paraId="29838CDE" w14:textId="77777777" w:rsidR="001B58C3" w:rsidRPr="00E61F52" w:rsidRDefault="001B58C3" w:rsidP="00CB5D5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ויתור</w:t>
            </w:r>
          </w:p>
          <w:p w14:paraId="36BFF3E5" w14:textId="77777777" w:rsidR="001B58C3" w:rsidRPr="00E61F52" w:rsidRDefault="001B58C3" w:rsidP="00CB5D5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על קרן</w:t>
            </w:r>
          </w:p>
        </w:tc>
        <w:tc>
          <w:tcPr>
            <w:tcW w:w="580" w:type="pct"/>
            <w:vAlign w:val="bottom"/>
            <w:hideMark/>
          </w:tcPr>
          <w:p w14:paraId="7CFC6A76" w14:textId="77777777" w:rsidR="001B58C3" w:rsidRPr="00E61F52" w:rsidRDefault="001B58C3" w:rsidP="00CB5D5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ויתור</w:t>
            </w:r>
          </w:p>
          <w:p w14:paraId="7A8D1BA3" w14:textId="77777777" w:rsidR="001B58C3" w:rsidRPr="00E61F52" w:rsidRDefault="001B58C3" w:rsidP="00CB5D5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על ריבית</w:t>
            </w:r>
          </w:p>
        </w:tc>
        <w:tc>
          <w:tcPr>
            <w:tcW w:w="504" w:type="pct"/>
            <w:vAlign w:val="bottom"/>
            <w:hideMark/>
          </w:tcPr>
          <w:p w14:paraId="126A3647" w14:textId="77777777" w:rsidR="001B58C3" w:rsidRPr="00E61F52" w:rsidRDefault="001B58C3" w:rsidP="00CB5D5C">
            <w:pPr>
              <w:pBdr>
                <w:bottom w:val="single" w:sz="6"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הארכת תקופה</w:t>
            </w:r>
          </w:p>
        </w:tc>
        <w:tc>
          <w:tcPr>
            <w:tcW w:w="531" w:type="pct"/>
            <w:vAlign w:val="bottom"/>
          </w:tcPr>
          <w:p w14:paraId="0FB0F13A" w14:textId="77777777" w:rsidR="001B58C3" w:rsidRPr="00E61F52" w:rsidRDefault="001B58C3" w:rsidP="00CB5D5C">
            <w:pPr>
              <w:pBdr>
                <w:bottom w:val="single" w:sz="4" w:space="1" w:color="auto"/>
              </w:pBdr>
              <w:jc w:val="center"/>
              <w:rPr>
                <w:rFonts w:asciiTheme="minorBidi" w:hAnsiTheme="minorBidi" w:cstheme="minorBidi"/>
                <w:b/>
                <w:bCs/>
                <w:sz w:val="18"/>
                <w:szCs w:val="18"/>
                <w:rtl/>
              </w:rPr>
            </w:pPr>
            <w:r w:rsidRPr="00E61F52">
              <w:rPr>
                <w:rFonts w:asciiTheme="minorBidi" w:hAnsiTheme="minorBidi" w:cstheme="minorBidi"/>
                <w:b/>
                <w:bCs/>
                <w:sz w:val="18"/>
                <w:szCs w:val="18"/>
                <w:rtl/>
              </w:rPr>
              <w:t>דחיית תשלומים</w:t>
            </w:r>
            <w:r w:rsidRPr="00E61F52">
              <w:rPr>
                <w:rFonts w:asciiTheme="minorBidi" w:hAnsiTheme="minorBidi" w:cstheme="minorBidi"/>
                <w:b/>
                <w:bCs/>
                <w:color w:val="000000"/>
                <w:sz w:val="18"/>
                <w:szCs w:val="18"/>
                <w:rtl/>
                <w:lang w:eastAsia="he-IL"/>
              </w:rPr>
              <w:t xml:space="preserve"> </w:t>
            </w:r>
          </w:p>
        </w:tc>
      </w:tr>
      <w:tr w:rsidR="001B58C3" w:rsidRPr="00E61F52" w14:paraId="4CA194EF" w14:textId="77777777" w:rsidTr="00F75066">
        <w:trPr>
          <w:trHeight w:val="265"/>
        </w:trPr>
        <w:tc>
          <w:tcPr>
            <w:tcW w:w="793" w:type="pct"/>
            <w:tcBorders>
              <w:right w:val="single" w:sz="4" w:space="0" w:color="auto"/>
            </w:tcBorders>
            <w:vAlign w:val="bottom"/>
          </w:tcPr>
          <w:p w14:paraId="6179BAF4" w14:textId="77777777" w:rsidR="001B58C3" w:rsidRPr="00E61F52" w:rsidRDefault="001B58C3" w:rsidP="00CB5D5C">
            <w:pPr>
              <w:rPr>
                <w:rFonts w:asciiTheme="minorBidi" w:hAnsiTheme="minorBidi" w:cstheme="minorBidi"/>
                <w:sz w:val="18"/>
                <w:szCs w:val="18"/>
                <w:rtl/>
              </w:rPr>
            </w:pPr>
          </w:p>
        </w:tc>
        <w:tc>
          <w:tcPr>
            <w:tcW w:w="1617" w:type="pct"/>
            <w:tcBorders>
              <w:left w:val="single" w:sz="4" w:space="0" w:color="auto"/>
            </w:tcBorders>
            <w:vAlign w:val="bottom"/>
          </w:tcPr>
          <w:p w14:paraId="16060300" w14:textId="77777777" w:rsidR="001B58C3" w:rsidRPr="00E61F52" w:rsidRDefault="001B58C3" w:rsidP="00CB5D5C">
            <w:pPr>
              <w:rPr>
                <w:rFonts w:asciiTheme="minorBidi" w:hAnsiTheme="minorBidi" w:cstheme="minorBidi"/>
                <w:color w:val="000000"/>
                <w:sz w:val="18"/>
                <w:szCs w:val="18"/>
                <w:rtl/>
                <w:lang w:eastAsia="he-IL"/>
              </w:rPr>
            </w:pPr>
          </w:p>
        </w:tc>
        <w:tc>
          <w:tcPr>
            <w:tcW w:w="2590" w:type="pct"/>
            <w:gridSpan w:val="5"/>
            <w:vAlign w:val="bottom"/>
          </w:tcPr>
          <w:p w14:paraId="7FADE11A" w14:textId="77777777" w:rsidR="001B58C3" w:rsidRPr="00E61F52" w:rsidRDefault="001B58C3" w:rsidP="00CB5D5C">
            <w:pPr>
              <w:pBdr>
                <w:bottom w:val="single" w:sz="4" w:space="1" w:color="auto"/>
              </w:pBdr>
              <w:jc w:val="center"/>
              <w:rPr>
                <w:rFonts w:asciiTheme="minorBidi" w:hAnsiTheme="minorBidi" w:cstheme="minorBidi"/>
                <w:sz w:val="18"/>
                <w:szCs w:val="18"/>
                <w:rtl/>
              </w:rPr>
            </w:pPr>
            <w:r w:rsidRPr="00E61F52">
              <w:rPr>
                <w:rFonts w:asciiTheme="minorBidi" w:hAnsiTheme="minorBidi" w:cstheme="minorBidi"/>
                <w:sz w:val="18"/>
                <w:szCs w:val="18"/>
                <w:rtl/>
              </w:rPr>
              <w:t>מיליוני ש"ח</w:t>
            </w:r>
          </w:p>
        </w:tc>
      </w:tr>
      <w:tr w:rsidR="001B58C3" w:rsidRPr="00E61F52" w14:paraId="4D085FA2" w14:textId="77777777" w:rsidTr="00F75066">
        <w:trPr>
          <w:trHeight w:val="259"/>
        </w:trPr>
        <w:tc>
          <w:tcPr>
            <w:tcW w:w="793" w:type="pct"/>
            <w:tcBorders>
              <w:right w:val="single" w:sz="4" w:space="0" w:color="auto"/>
            </w:tcBorders>
            <w:vAlign w:val="bottom"/>
          </w:tcPr>
          <w:p w14:paraId="6DDB83A4" w14:textId="77777777" w:rsidR="001B58C3" w:rsidRPr="00E61F52" w:rsidRDefault="001B58C3" w:rsidP="00CB5D5C">
            <w:pPr>
              <w:rPr>
                <w:rFonts w:asciiTheme="minorBidi" w:hAnsiTheme="minorBidi" w:cstheme="minorBidi"/>
                <w:sz w:val="18"/>
                <w:szCs w:val="18"/>
                <w:rtl/>
              </w:rPr>
            </w:pPr>
          </w:p>
        </w:tc>
        <w:tc>
          <w:tcPr>
            <w:tcW w:w="1617" w:type="pct"/>
            <w:tcBorders>
              <w:left w:val="single" w:sz="4" w:space="0" w:color="auto"/>
            </w:tcBorders>
            <w:vAlign w:val="bottom"/>
            <w:hideMark/>
          </w:tcPr>
          <w:p w14:paraId="19561D39" w14:textId="77777777" w:rsidR="001B58C3" w:rsidRPr="00E61F52" w:rsidRDefault="001B58C3" w:rsidP="00CB5D5C">
            <w:pPr>
              <w:ind w:left="34"/>
              <w:rPr>
                <w:rFonts w:asciiTheme="minorBidi" w:hAnsiTheme="minorBidi" w:cstheme="minorBidi"/>
                <w:b/>
                <w:bCs/>
                <w:color w:val="000000"/>
                <w:sz w:val="18"/>
                <w:szCs w:val="18"/>
                <w:u w:val="single"/>
                <w:rtl/>
                <w:lang w:eastAsia="he-IL"/>
              </w:rPr>
            </w:pPr>
            <w:r w:rsidRPr="00E61F52">
              <w:rPr>
                <w:rFonts w:asciiTheme="minorBidi" w:hAnsiTheme="minorBidi" w:cstheme="minorBidi"/>
                <w:b/>
                <w:bCs/>
                <w:color w:val="000000"/>
                <w:sz w:val="18"/>
                <w:szCs w:val="18"/>
                <w:u w:val="single"/>
                <w:rtl/>
                <w:lang w:eastAsia="he-IL"/>
              </w:rPr>
              <w:t>פעילות לווים בישראל</w:t>
            </w:r>
          </w:p>
        </w:tc>
        <w:tc>
          <w:tcPr>
            <w:tcW w:w="533" w:type="pct"/>
            <w:vAlign w:val="bottom"/>
          </w:tcPr>
          <w:p w14:paraId="17ABC3E4" w14:textId="77777777" w:rsidR="001B58C3" w:rsidRPr="00E61F52" w:rsidRDefault="001B58C3" w:rsidP="00CB5D5C">
            <w:pPr>
              <w:rPr>
                <w:rFonts w:asciiTheme="minorBidi" w:hAnsiTheme="minorBidi" w:cstheme="minorBidi"/>
                <w:sz w:val="18"/>
                <w:szCs w:val="18"/>
                <w:rtl/>
              </w:rPr>
            </w:pPr>
          </w:p>
        </w:tc>
        <w:tc>
          <w:tcPr>
            <w:tcW w:w="442" w:type="pct"/>
            <w:vAlign w:val="bottom"/>
          </w:tcPr>
          <w:p w14:paraId="3386AD70" w14:textId="77777777" w:rsidR="001B58C3" w:rsidRPr="00E61F52" w:rsidRDefault="001B58C3" w:rsidP="00CB5D5C">
            <w:pPr>
              <w:rPr>
                <w:rFonts w:asciiTheme="minorBidi" w:hAnsiTheme="minorBidi" w:cstheme="minorBidi"/>
                <w:sz w:val="18"/>
                <w:szCs w:val="18"/>
                <w:rtl/>
              </w:rPr>
            </w:pPr>
          </w:p>
        </w:tc>
        <w:tc>
          <w:tcPr>
            <w:tcW w:w="580" w:type="pct"/>
            <w:vAlign w:val="bottom"/>
          </w:tcPr>
          <w:p w14:paraId="50B87096" w14:textId="77777777" w:rsidR="001B58C3" w:rsidRPr="00E61F52" w:rsidRDefault="001B58C3" w:rsidP="00CB5D5C">
            <w:pPr>
              <w:rPr>
                <w:rFonts w:asciiTheme="minorBidi" w:hAnsiTheme="minorBidi" w:cstheme="minorBidi"/>
                <w:sz w:val="18"/>
                <w:szCs w:val="18"/>
                <w:rtl/>
              </w:rPr>
            </w:pPr>
          </w:p>
        </w:tc>
        <w:tc>
          <w:tcPr>
            <w:tcW w:w="504" w:type="pct"/>
            <w:vAlign w:val="bottom"/>
          </w:tcPr>
          <w:p w14:paraId="4EC40E99" w14:textId="77777777" w:rsidR="001B58C3" w:rsidRPr="00E61F52" w:rsidRDefault="001B58C3" w:rsidP="00CB5D5C">
            <w:pPr>
              <w:rPr>
                <w:rFonts w:asciiTheme="minorBidi" w:hAnsiTheme="minorBidi" w:cstheme="minorBidi"/>
                <w:sz w:val="18"/>
                <w:szCs w:val="18"/>
                <w:rtl/>
              </w:rPr>
            </w:pPr>
          </w:p>
        </w:tc>
        <w:tc>
          <w:tcPr>
            <w:tcW w:w="531" w:type="pct"/>
            <w:vAlign w:val="bottom"/>
          </w:tcPr>
          <w:p w14:paraId="5270D0D5" w14:textId="77777777" w:rsidR="001B58C3" w:rsidRPr="00E61F52" w:rsidRDefault="001B58C3" w:rsidP="00CB5D5C">
            <w:pPr>
              <w:rPr>
                <w:rFonts w:asciiTheme="minorBidi" w:hAnsiTheme="minorBidi" w:cstheme="minorBidi"/>
                <w:sz w:val="18"/>
                <w:szCs w:val="18"/>
                <w:rtl/>
              </w:rPr>
            </w:pPr>
          </w:p>
        </w:tc>
      </w:tr>
      <w:tr w:rsidR="001B58C3" w:rsidRPr="00E61F52" w14:paraId="4FBA7F98" w14:textId="77777777" w:rsidTr="00F75066">
        <w:trPr>
          <w:trHeight w:val="259"/>
        </w:trPr>
        <w:tc>
          <w:tcPr>
            <w:tcW w:w="793" w:type="pct"/>
            <w:tcBorders>
              <w:right w:val="single" w:sz="4" w:space="0" w:color="auto"/>
            </w:tcBorders>
            <w:vAlign w:val="bottom"/>
          </w:tcPr>
          <w:p w14:paraId="5549A50A" w14:textId="77777777" w:rsidR="001B58C3" w:rsidRPr="00E61F52" w:rsidRDefault="001B58C3" w:rsidP="00CB5D5C">
            <w:pPr>
              <w:rPr>
                <w:rFonts w:asciiTheme="minorBidi" w:hAnsiTheme="minorBidi" w:cstheme="minorBidi"/>
                <w:sz w:val="18"/>
                <w:szCs w:val="18"/>
                <w:rtl/>
              </w:rPr>
            </w:pPr>
          </w:p>
        </w:tc>
        <w:tc>
          <w:tcPr>
            <w:tcW w:w="1617" w:type="pct"/>
            <w:tcBorders>
              <w:left w:val="single" w:sz="4" w:space="0" w:color="auto"/>
            </w:tcBorders>
            <w:vAlign w:val="bottom"/>
            <w:hideMark/>
          </w:tcPr>
          <w:p w14:paraId="054D4CA6" w14:textId="77777777" w:rsidR="001B58C3" w:rsidRPr="00E61F52" w:rsidRDefault="001B58C3" w:rsidP="00CB5D5C">
            <w:pPr>
              <w:ind w:left="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מסחרי</w:t>
            </w:r>
          </w:p>
        </w:tc>
        <w:tc>
          <w:tcPr>
            <w:tcW w:w="533" w:type="pct"/>
            <w:vAlign w:val="bottom"/>
            <w:hideMark/>
          </w:tcPr>
          <w:p w14:paraId="018231E2" w14:textId="77777777" w:rsidR="001B58C3" w:rsidRPr="00E61F52" w:rsidRDefault="001B58C3"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42" w:type="pct"/>
            <w:vAlign w:val="bottom"/>
            <w:hideMark/>
          </w:tcPr>
          <w:p w14:paraId="7AC059B4" w14:textId="77777777" w:rsidR="001B58C3" w:rsidRPr="00E61F52" w:rsidRDefault="001B58C3"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80" w:type="pct"/>
            <w:vAlign w:val="bottom"/>
            <w:hideMark/>
          </w:tcPr>
          <w:p w14:paraId="403E4DD8" w14:textId="77777777" w:rsidR="001B58C3" w:rsidRPr="00E61F52" w:rsidRDefault="001B58C3"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04" w:type="pct"/>
            <w:vAlign w:val="bottom"/>
            <w:hideMark/>
          </w:tcPr>
          <w:p w14:paraId="313D3BCD" w14:textId="77777777" w:rsidR="001B58C3" w:rsidRPr="00E61F52" w:rsidRDefault="001B58C3"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31" w:type="pct"/>
            <w:vAlign w:val="bottom"/>
          </w:tcPr>
          <w:p w14:paraId="152BE345" w14:textId="77777777" w:rsidR="001B58C3" w:rsidRPr="00E61F52" w:rsidRDefault="001B58C3"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1B58C3" w:rsidRPr="00E61F52" w14:paraId="54872E19" w14:textId="77777777" w:rsidTr="00F75066">
        <w:trPr>
          <w:trHeight w:val="259"/>
        </w:trPr>
        <w:tc>
          <w:tcPr>
            <w:tcW w:w="793" w:type="pct"/>
            <w:tcBorders>
              <w:right w:val="single" w:sz="4" w:space="0" w:color="auto"/>
            </w:tcBorders>
            <w:vAlign w:val="bottom"/>
          </w:tcPr>
          <w:p w14:paraId="40BDC688" w14:textId="77777777" w:rsidR="001B58C3" w:rsidRPr="00E61F52" w:rsidRDefault="001B58C3" w:rsidP="00CB5D5C">
            <w:pPr>
              <w:rPr>
                <w:rFonts w:asciiTheme="minorBidi" w:hAnsiTheme="minorBidi" w:cstheme="minorBidi"/>
                <w:sz w:val="18"/>
                <w:szCs w:val="18"/>
                <w:rtl/>
              </w:rPr>
            </w:pPr>
          </w:p>
        </w:tc>
        <w:tc>
          <w:tcPr>
            <w:tcW w:w="1617" w:type="pct"/>
            <w:tcBorders>
              <w:left w:val="single" w:sz="4" w:space="0" w:color="auto"/>
            </w:tcBorders>
            <w:vAlign w:val="bottom"/>
            <w:hideMark/>
          </w:tcPr>
          <w:p w14:paraId="4B7620DA" w14:textId="77777777" w:rsidR="001B58C3" w:rsidRPr="00E61F52" w:rsidRDefault="001B58C3" w:rsidP="00CB5D5C">
            <w:pPr>
              <w:spacing w:before="40" w:line="200" w:lineRule="exact"/>
              <w:ind w:right="144" w:firstLine="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אנשים פרטיים - הלוואות לדיור</w:t>
            </w:r>
          </w:p>
        </w:tc>
        <w:tc>
          <w:tcPr>
            <w:tcW w:w="533" w:type="pct"/>
            <w:vAlign w:val="bottom"/>
            <w:hideMark/>
          </w:tcPr>
          <w:p w14:paraId="0DD7360C" w14:textId="77777777" w:rsidR="001B58C3" w:rsidRPr="00E61F52" w:rsidRDefault="001B58C3"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42" w:type="pct"/>
            <w:vAlign w:val="bottom"/>
            <w:hideMark/>
          </w:tcPr>
          <w:p w14:paraId="14411E96" w14:textId="77777777" w:rsidR="001B58C3" w:rsidRPr="00E61F52" w:rsidRDefault="001B58C3"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80" w:type="pct"/>
            <w:vAlign w:val="bottom"/>
            <w:hideMark/>
          </w:tcPr>
          <w:p w14:paraId="213F2B1F" w14:textId="77777777" w:rsidR="001B58C3" w:rsidRPr="00E61F52" w:rsidRDefault="001B58C3"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04" w:type="pct"/>
            <w:vAlign w:val="bottom"/>
            <w:hideMark/>
          </w:tcPr>
          <w:p w14:paraId="0F661ACF" w14:textId="77777777" w:rsidR="001B58C3" w:rsidRPr="00E61F52" w:rsidRDefault="001B58C3"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31" w:type="pct"/>
            <w:vAlign w:val="bottom"/>
          </w:tcPr>
          <w:p w14:paraId="5B1F22CE" w14:textId="77777777" w:rsidR="001B58C3" w:rsidRPr="00E61F52" w:rsidRDefault="001B58C3"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1B58C3" w:rsidRPr="00E61F52" w14:paraId="54B7E51A" w14:textId="77777777" w:rsidTr="00F75066">
        <w:trPr>
          <w:trHeight w:val="259"/>
        </w:trPr>
        <w:tc>
          <w:tcPr>
            <w:tcW w:w="793" w:type="pct"/>
            <w:tcBorders>
              <w:right w:val="single" w:sz="4" w:space="0" w:color="auto"/>
            </w:tcBorders>
            <w:vAlign w:val="bottom"/>
          </w:tcPr>
          <w:p w14:paraId="6100592F" w14:textId="77777777" w:rsidR="001B58C3" w:rsidRPr="00E61F52" w:rsidRDefault="001B58C3" w:rsidP="00CB5D5C">
            <w:pPr>
              <w:rPr>
                <w:rFonts w:asciiTheme="minorBidi" w:hAnsiTheme="minorBidi" w:cstheme="minorBidi"/>
                <w:sz w:val="18"/>
                <w:szCs w:val="18"/>
                <w:rtl/>
              </w:rPr>
            </w:pPr>
          </w:p>
        </w:tc>
        <w:tc>
          <w:tcPr>
            <w:tcW w:w="1617" w:type="pct"/>
            <w:tcBorders>
              <w:left w:val="single" w:sz="4" w:space="0" w:color="auto"/>
            </w:tcBorders>
            <w:vAlign w:val="bottom"/>
            <w:hideMark/>
          </w:tcPr>
          <w:p w14:paraId="656A53B0" w14:textId="77777777" w:rsidR="001B58C3" w:rsidRPr="00E61F52" w:rsidRDefault="001B58C3" w:rsidP="00CB5D5C">
            <w:pPr>
              <w:ind w:firstLine="34"/>
              <w:rPr>
                <w:rFonts w:asciiTheme="minorBidi" w:hAnsiTheme="minorBidi" w:cstheme="minorBidi"/>
                <w:color w:val="000000"/>
                <w:sz w:val="18"/>
                <w:szCs w:val="18"/>
                <w:rtl/>
                <w:lang w:eastAsia="he-IL"/>
              </w:rPr>
            </w:pPr>
            <w:r w:rsidRPr="00E61F52">
              <w:rPr>
                <w:rFonts w:asciiTheme="minorBidi" w:hAnsiTheme="minorBidi" w:cstheme="minorBidi"/>
                <w:color w:val="000000"/>
                <w:sz w:val="18"/>
                <w:szCs w:val="18"/>
                <w:rtl/>
                <w:lang w:eastAsia="he-IL"/>
              </w:rPr>
              <w:t>אנשים פרטיים - אחר</w:t>
            </w:r>
          </w:p>
        </w:tc>
        <w:tc>
          <w:tcPr>
            <w:tcW w:w="533" w:type="pct"/>
            <w:vAlign w:val="bottom"/>
            <w:hideMark/>
          </w:tcPr>
          <w:p w14:paraId="3B196B31" w14:textId="77777777" w:rsidR="001B58C3" w:rsidRPr="00E61F52" w:rsidRDefault="001B58C3"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442" w:type="pct"/>
            <w:vAlign w:val="bottom"/>
            <w:hideMark/>
          </w:tcPr>
          <w:p w14:paraId="593211FD" w14:textId="77777777" w:rsidR="001B58C3" w:rsidRPr="00E61F52" w:rsidRDefault="001B58C3"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80" w:type="pct"/>
            <w:vAlign w:val="bottom"/>
            <w:hideMark/>
          </w:tcPr>
          <w:p w14:paraId="70E8F2EB" w14:textId="77777777" w:rsidR="001B58C3" w:rsidRPr="00E61F52" w:rsidRDefault="001B58C3"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04" w:type="pct"/>
            <w:vAlign w:val="bottom"/>
            <w:hideMark/>
          </w:tcPr>
          <w:p w14:paraId="33BC23AC" w14:textId="77777777" w:rsidR="001B58C3" w:rsidRPr="00E61F52" w:rsidRDefault="001B58C3"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c>
          <w:tcPr>
            <w:tcW w:w="531" w:type="pct"/>
            <w:vAlign w:val="bottom"/>
          </w:tcPr>
          <w:p w14:paraId="53B15287" w14:textId="77777777" w:rsidR="001B58C3" w:rsidRPr="00E61F52" w:rsidRDefault="001B58C3" w:rsidP="00CB5D5C">
            <w:pPr>
              <w:rPr>
                <w:rFonts w:asciiTheme="minorBidi" w:hAnsiTheme="minorBidi" w:cstheme="minorBidi"/>
                <w:sz w:val="18"/>
                <w:szCs w:val="18"/>
                <w:rtl/>
              </w:rPr>
            </w:pPr>
            <w:r w:rsidRPr="00E61F52">
              <w:rPr>
                <w:rFonts w:asciiTheme="minorBidi" w:hAnsiTheme="minorBidi" w:cstheme="minorBidi"/>
                <w:sz w:val="18"/>
                <w:szCs w:val="18"/>
                <w:rtl/>
              </w:rPr>
              <w:t xml:space="preserve"> 0</w:t>
            </w:r>
          </w:p>
        </w:tc>
      </w:tr>
      <w:tr w:rsidR="001B58C3" w:rsidRPr="00E61F52" w14:paraId="58DE1E36" w14:textId="77777777" w:rsidTr="00F75066">
        <w:trPr>
          <w:trHeight w:val="259"/>
        </w:trPr>
        <w:tc>
          <w:tcPr>
            <w:tcW w:w="793" w:type="pct"/>
            <w:tcBorders>
              <w:right w:val="single" w:sz="4" w:space="0" w:color="auto"/>
            </w:tcBorders>
            <w:vAlign w:val="bottom"/>
          </w:tcPr>
          <w:p w14:paraId="2DDCEB0A" w14:textId="77777777" w:rsidR="001B58C3" w:rsidRPr="00E61F52" w:rsidRDefault="001B58C3" w:rsidP="00CB5D5C">
            <w:pPr>
              <w:rPr>
                <w:rFonts w:asciiTheme="minorBidi" w:hAnsiTheme="minorBidi" w:cstheme="minorBidi"/>
                <w:sz w:val="18"/>
                <w:szCs w:val="18"/>
                <w:rtl/>
              </w:rPr>
            </w:pPr>
          </w:p>
        </w:tc>
        <w:tc>
          <w:tcPr>
            <w:tcW w:w="1617" w:type="pct"/>
            <w:tcBorders>
              <w:left w:val="single" w:sz="4" w:space="0" w:color="auto"/>
            </w:tcBorders>
            <w:vAlign w:val="bottom"/>
            <w:hideMark/>
          </w:tcPr>
          <w:p w14:paraId="0F31BB3F" w14:textId="77777777" w:rsidR="001B58C3" w:rsidRPr="00E61F52" w:rsidRDefault="001B58C3" w:rsidP="00CB5D5C">
            <w:pPr>
              <w:spacing w:before="60" w:line="180" w:lineRule="exact"/>
              <w:ind w:left="34" w:right="142"/>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 - פעילות בישראל</w:t>
            </w:r>
          </w:p>
        </w:tc>
        <w:tc>
          <w:tcPr>
            <w:tcW w:w="533" w:type="pct"/>
            <w:vAlign w:val="bottom"/>
            <w:hideMark/>
          </w:tcPr>
          <w:p w14:paraId="01E926D9" w14:textId="77777777" w:rsidR="001B58C3" w:rsidRPr="00E61F52" w:rsidRDefault="001B58C3" w:rsidP="00CB5D5C">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442" w:type="pct"/>
            <w:vAlign w:val="bottom"/>
            <w:hideMark/>
          </w:tcPr>
          <w:p w14:paraId="688406D5" w14:textId="77777777" w:rsidR="001B58C3" w:rsidRPr="00E61F52" w:rsidRDefault="001B58C3" w:rsidP="00CB5D5C">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80" w:type="pct"/>
            <w:vAlign w:val="bottom"/>
            <w:hideMark/>
          </w:tcPr>
          <w:p w14:paraId="2C06F578" w14:textId="77777777" w:rsidR="001B58C3" w:rsidRPr="00E61F52" w:rsidRDefault="001B58C3" w:rsidP="00CB5D5C">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04" w:type="pct"/>
            <w:vAlign w:val="bottom"/>
            <w:hideMark/>
          </w:tcPr>
          <w:p w14:paraId="2203D024" w14:textId="77777777" w:rsidR="001B58C3" w:rsidRPr="00E61F52" w:rsidRDefault="001B58C3" w:rsidP="00CB5D5C">
            <w:pPr>
              <w:pBdr>
                <w:top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31" w:type="pct"/>
            <w:vAlign w:val="bottom"/>
          </w:tcPr>
          <w:p w14:paraId="0754BCDD" w14:textId="77777777" w:rsidR="001B58C3" w:rsidRPr="00E61F52" w:rsidRDefault="001B58C3" w:rsidP="00CB5D5C">
            <w:pPr>
              <w:pBdr>
                <w:top w:val="single" w:sz="4" w:space="1" w:color="auto"/>
              </w:pBdr>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r>
      <w:tr w:rsidR="001B58C3" w:rsidRPr="00E61F52" w14:paraId="42D066D9" w14:textId="77777777" w:rsidTr="00F75066">
        <w:trPr>
          <w:trHeight w:val="259"/>
        </w:trPr>
        <w:tc>
          <w:tcPr>
            <w:tcW w:w="793" w:type="pct"/>
            <w:tcBorders>
              <w:right w:val="single" w:sz="4" w:space="0" w:color="auto"/>
            </w:tcBorders>
            <w:vAlign w:val="bottom"/>
          </w:tcPr>
          <w:p w14:paraId="5C39D2BC" w14:textId="77777777" w:rsidR="001B58C3" w:rsidRPr="00E61F52" w:rsidRDefault="001B58C3" w:rsidP="00CB5D5C">
            <w:pPr>
              <w:rPr>
                <w:rFonts w:asciiTheme="minorBidi" w:hAnsiTheme="minorBidi" w:cstheme="minorBidi"/>
                <w:sz w:val="18"/>
                <w:szCs w:val="18"/>
                <w:rtl/>
              </w:rPr>
            </w:pPr>
          </w:p>
        </w:tc>
        <w:tc>
          <w:tcPr>
            <w:tcW w:w="1617" w:type="pct"/>
            <w:tcBorders>
              <w:left w:val="single" w:sz="4" w:space="0" w:color="auto"/>
            </w:tcBorders>
            <w:vAlign w:val="bottom"/>
            <w:hideMark/>
          </w:tcPr>
          <w:p w14:paraId="31565D53" w14:textId="77777777" w:rsidR="001B58C3" w:rsidRPr="00E61F52" w:rsidRDefault="001B58C3" w:rsidP="00CB5D5C">
            <w:pPr>
              <w:spacing w:before="40" w:line="180" w:lineRule="exact"/>
              <w:ind w:left="142" w:right="142" w:hanging="108"/>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 - פעילות בחו"ל</w:t>
            </w:r>
          </w:p>
        </w:tc>
        <w:tc>
          <w:tcPr>
            <w:tcW w:w="533" w:type="pct"/>
            <w:vAlign w:val="bottom"/>
            <w:hideMark/>
          </w:tcPr>
          <w:p w14:paraId="594709A0" w14:textId="77777777" w:rsidR="001B58C3" w:rsidRPr="00E61F52" w:rsidRDefault="001B58C3" w:rsidP="00CB5D5C">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442" w:type="pct"/>
            <w:vAlign w:val="bottom"/>
            <w:hideMark/>
          </w:tcPr>
          <w:p w14:paraId="15491C1D" w14:textId="77777777" w:rsidR="001B58C3" w:rsidRPr="00E61F52" w:rsidRDefault="001B58C3" w:rsidP="00CB5D5C">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80" w:type="pct"/>
            <w:vAlign w:val="bottom"/>
            <w:hideMark/>
          </w:tcPr>
          <w:p w14:paraId="30C847F9" w14:textId="77777777" w:rsidR="001B58C3" w:rsidRPr="00E61F52" w:rsidRDefault="001B58C3" w:rsidP="00CB5D5C">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04" w:type="pct"/>
            <w:vAlign w:val="bottom"/>
            <w:hideMark/>
          </w:tcPr>
          <w:p w14:paraId="0E7DE138" w14:textId="77777777" w:rsidR="001B58C3" w:rsidRPr="00E61F52" w:rsidRDefault="001B58C3" w:rsidP="00CB5D5C">
            <w:pPr>
              <w:pBdr>
                <w:bottom w:val="sing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31" w:type="pct"/>
            <w:vAlign w:val="bottom"/>
          </w:tcPr>
          <w:p w14:paraId="0E35D8F2" w14:textId="77777777" w:rsidR="001B58C3" w:rsidRPr="00E61F52" w:rsidRDefault="001B58C3" w:rsidP="00CB5D5C">
            <w:pPr>
              <w:pBdr>
                <w:bottom w:val="single" w:sz="4" w:space="1" w:color="auto"/>
              </w:pBdr>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r>
      <w:tr w:rsidR="001B58C3" w:rsidRPr="00E61F52" w14:paraId="0BF3D9CD" w14:textId="77777777" w:rsidTr="00F75066">
        <w:trPr>
          <w:trHeight w:val="259"/>
        </w:trPr>
        <w:tc>
          <w:tcPr>
            <w:tcW w:w="793" w:type="pct"/>
            <w:tcBorders>
              <w:right w:val="single" w:sz="4" w:space="0" w:color="auto"/>
            </w:tcBorders>
            <w:vAlign w:val="bottom"/>
          </w:tcPr>
          <w:p w14:paraId="50066FBE" w14:textId="77777777" w:rsidR="001B58C3" w:rsidRPr="00E61F52" w:rsidRDefault="001B58C3" w:rsidP="00CB5D5C">
            <w:pPr>
              <w:rPr>
                <w:rFonts w:asciiTheme="minorBidi" w:hAnsiTheme="minorBidi" w:cstheme="minorBidi"/>
                <w:sz w:val="18"/>
                <w:szCs w:val="18"/>
                <w:rtl/>
              </w:rPr>
            </w:pPr>
          </w:p>
        </w:tc>
        <w:tc>
          <w:tcPr>
            <w:tcW w:w="1617" w:type="pct"/>
            <w:tcBorders>
              <w:left w:val="single" w:sz="4" w:space="0" w:color="auto"/>
            </w:tcBorders>
            <w:vAlign w:val="bottom"/>
            <w:hideMark/>
          </w:tcPr>
          <w:p w14:paraId="21F9AEDB" w14:textId="77777777" w:rsidR="001B58C3" w:rsidRPr="00E61F52" w:rsidRDefault="001B58C3" w:rsidP="00CB5D5C">
            <w:pP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סך הכל אשראי לציבור</w:t>
            </w:r>
          </w:p>
        </w:tc>
        <w:tc>
          <w:tcPr>
            <w:tcW w:w="533" w:type="pct"/>
            <w:vAlign w:val="bottom"/>
            <w:hideMark/>
          </w:tcPr>
          <w:p w14:paraId="02B5D171" w14:textId="77777777" w:rsidR="001B58C3" w:rsidRPr="00E61F52" w:rsidRDefault="001B58C3" w:rsidP="00CB5D5C">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442" w:type="pct"/>
            <w:vAlign w:val="bottom"/>
            <w:hideMark/>
          </w:tcPr>
          <w:p w14:paraId="14309347" w14:textId="77777777" w:rsidR="001B58C3" w:rsidRPr="00E61F52" w:rsidRDefault="001B58C3" w:rsidP="00CB5D5C">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80" w:type="pct"/>
            <w:vAlign w:val="bottom"/>
            <w:hideMark/>
          </w:tcPr>
          <w:p w14:paraId="268EB941" w14:textId="77777777" w:rsidR="001B58C3" w:rsidRPr="00E61F52" w:rsidRDefault="001B58C3" w:rsidP="00CB5D5C">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p>
        </w:tc>
        <w:tc>
          <w:tcPr>
            <w:tcW w:w="504" w:type="pct"/>
            <w:vAlign w:val="bottom"/>
            <w:hideMark/>
          </w:tcPr>
          <w:p w14:paraId="4C65AE68" w14:textId="77777777" w:rsidR="001B58C3" w:rsidRPr="00E61F52" w:rsidRDefault="001B58C3" w:rsidP="00CB5D5C">
            <w:pPr>
              <w:pBdr>
                <w:bottom w:val="double" w:sz="4" w:space="1" w:color="auto"/>
              </w:pBdr>
              <w:ind w:left="144" w:hanging="144"/>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r w:rsidRPr="00E61F52">
              <w:rPr>
                <w:rFonts w:asciiTheme="minorBidi" w:hAnsiTheme="minorBidi" w:cstheme="minorBidi"/>
                <w:sz w:val="18"/>
                <w:szCs w:val="18"/>
                <w:vertAlign w:val="superscript"/>
                <w:rtl/>
              </w:rPr>
              <w:t xml:space="preserve"> </w:t>
            </w:r>
          </w:p>
        </w:tc>
        <w:tc>
          <w:tcPr>
            <w:tcW w:w="531" w:type="pct"/>
            <w:vAlign w:val="bottom"/>
          </w:tcPr>
          <w:p w14:paraId="73E0A3AB" w14:textId="77777777" w:rsidR="001B58C3" w:rsidRPr="00E61F52" w:rsidRDefault="001B58C3" w:rsidP="00CB5D5C">
            <w:pPr>
              <w:pBdr>
                <w:bottom w:val="double" w:sz="4" w:space="1" w:color="auto"/>
              </w:pBdr>
              <w:rPr>
                <w:rFonts w:asciiTheme="minorBidi" w:hAnsiTheme="minorBidi" w:cstheme="minorBidi"/>
                <w:b/>
                <w:bCs/>
                <w:color w:val="000000"/>
                <w:sz w:val="18"/>
                <w:szCs w:val="18"/>
                <w:rtl/>
                <w:lang w:eastAsia="he-IL"/>
              </w:rPr>
            </w:pPr>
            <w:r w:rsidRPr="00E61F52">
              <w:rPr>
                <w:rFonts w:asciiTheme="minorBidi" w:hAnsiTheme="minorBidi" w:cstheme="minorBidi"/>
                <w:b/>
                <w:bCs/>
                <w:color w:val="000000"/>
                <w:sz w:val="18"/>
                <w:szCs w:val="18"/>
                <w:rtl/>
                <w:lang w:eastAsia="he-IL"/>
              </w:rPr>
              <w:t xml:space="preserve"> 0</w:t>
            </w:r>
            <w:r w:rsidRPr="00E61F52">
              <w:rPr>
                <w:rFonts w:asciiTheme="minorBidi" w:hAnsiTheme="minorBidi" w:cstheme="minorBidi"/>
                <w:sz w:val="18"/>
                <w:szCs w:val="18"/>
                <w:vertAlign w:val="superscript"/>
                <w:rtl/>
              </w:rPr>
              <w:t xml:space="preserve"> </w:t>
            </w:r>
          </w:p>
        </w:tc>
      </w:tr>
    </w:tbl>
    <w:p w14:paraId="7FDE56C4" w14:textId="77777777" w:rsidR="00E61F52" w:rsidRDefault="00E61F52">
      <w:pPr>
        <w:rPr>
          <w:rtl/>
        </w:rPr>
      </w:pPr>
    </w:p>
    <w:tbl>
      <w:tblPr>
        <w:bidiVisual/>
        <w:tblW w:w="4164" w:type="pct"/>
        <w:tblInd w:w="1000" w:type="dxa"/>
        <w:tblLook w:val="01E0" w:firstRow="1" w:lastRow="1" w:firstColumn="1" w:lastColumn="1" w:noHBand="0" w:noVBand="0"/>
      </w:tblPr>
      <w:tblGrid>
        <w:gridCol w:w="8500"/>
      </w:tblGrid>
      <w:tr w:rsidR="00E61F52" w:rsidRPr="00E61F52" w14:paraId="64A6511A" w14:textId="77777777" w:rsidTr="001B58C3">
        <w:trPr>
          <w:trHeight w:val="245"/>
        </w:trPr>
        <w:tc>
          <w:tcPr>
            <w:tcW w:w="5000" w:type="pct"/>
            <w:shd w:val="clear" w:color="auto" w:fill="auto"/>
          </w:tcPr>
          <w:p w14:paraId="28E141CE" w14:textId="77777777" w:rsidR="00E61F52" w:rsidRPr="00E61F52" w:rsidRDefault="00E61F52" w:rsidP="00424195">
            <w:pPr>
              <w:spacing w:before="60" w:afterLines="60" w:after="144"/>
              <w:ind w:left="317" w:hanging="283"/>
              <w:rPr>
                <w:sz w:val="18"/>
                <w:szCs w:val="18"/>
                <w:rtl/>
              </w:rPr>
            </w:pPr>
            <w:r w:rsidRPr="00E61F52">
              <w:rPr>
                <w:rFonts w:hint="cs"/>
                <w:sz w:val="18"/>
                <w:szCs w:val="18"/>
                <w:rtl/>
              </w:rPr>
              <w:t xml:space="preserve">(א) </w:t>
            </w:r>
            <w:r w:rsidRPr="00E61F52">
              <w:rPr>
                <w:sz w:val="18"/>
                <w:szCs w:val="18"/>
                <w:rtl/>
              </w:rPr>
              <w:t>יש לפרט את סוגי השינויים שנעשו בחובות ולתאר את הסוגים העיקריים של ענפי המשק או קבוצות החובות שבהם בוצעו השינויים. אין צורך לתת גילוי לסוגי שינויים שאינם מהותיים. תאגיד בנקאי נדרש להתאים את הביאור למצבו ולהוסיף מידע כמותי ואיכותי כדי לעמוד בדרישות הגילוי בקודיפיקציה</w:t>
            </w:r>
          </w:p>
        </w:tc>
      </w:tr>
      <w:tr w:rsidR="00E61F52" w:rsidRPr="00E61F52" w14:paraId="2FFA4F60" w14:textId="77777777" w:rsidTr="001B58C3">
        <w:trPr>
          <w:trHeight w:val="245"/>
        </w:trPr>
        <w:tc>
          <w:tcPr>
            <w:tcW w:w="5000" w:type="pct"/>
            <w:shd w:val="clear" w:color="auto" w:fill="auto"/>
          </w:tcPr>
          <w:p w14:paraId="5B824768" w14:textId="77777777" w:rsidR="00E61F52" w:rsidRPr="00E61F52" w:rsidRDefault="00E61F52" w:rsidP="00424195">
            <w:pPr>
              <w:spacing w:before="60" w:afterLines="60" w:after="144"/>
              <w:ind w:left="317" w:hanging="283"/>
              <w:rPr>
                <w:sz w:val="18"/>
                <w:szCs w:val="18"/>
                <w:rtl/>
              </w:rPr>
            </w:pPr>
            <w:r w:rsidRPr="00E61F52">
              <w:rPr>
                <w:rFonts w:hint="cs"/>
                <w:sz w:val="18"/>
                <w:szCs w:val="18"/>
                <w:rtl/>
              </w:rPr>
              <w:t xml:space="preserve">(ב) </w:t>
            </w:r>
            <w:r w:rsidRPr="00E61F52">
              <w:rPr>
                <w:sz w:val="18"/>
                <w:szCs w:val="18"/>
                <w:rtl/>
              </w:rPr>
              <w:t>חובות שכשלו בשנת הדיווח, לאחר שעברו שינוי בתנאים של חובות של לווים בקשיים פיננסיים, במהלך 12 החודשים שקדמו למועד שבו הם כשלו</w:t>
            </w:r>
          </w:p>
        </w:tc>
      </w:tr>
    </w:tbl>
    <w:p w14:paraId="06188707" w14:textId="77777777" w:rsidR="00E61F52" w:rsidRDefault="00E61F52">
      <w:pPr>
        <w:rPr>
          <w:rtl/>
        </w:rPr>
      </w:pPr>
    </w:p>
    <w:p w14:paraId="75C85FE8" w14:textId="581939BE" w:rsidR="0037573B" w:rsidRDefault="0037573B" w:rsidP="00E61F52">
      <w:pPr>
        <w:bidi w:val="0"/>
        <w:jc w:val="left"/>
      </w:pPr>
      <w:r>
        <w:rPr>
          <w:rtl/>
        </w:rPr>
        <w:br w:type="page"/>
      </w:r>
    </w:p>
    <w:tbl>
      <w:tblPr>
        <w:bidiVisual/>
        <w:tblW w:w="4952" w:type="pct"/>
        <w:tblInd w:w="-4" w:type="dxa"/>
        <w:tblLook w:val="04A0" w:firstRow="1" w:lastRow="0" w:firstColumn="1" w:lastColumn="0" w:noHBand="0" w:noVBand="1"/>
      </w:tblPr>
      <w:tblGrid>
        <w:gridCol w:w="1020"/>
        <w:gridCol w:w="13"/>
        <w:gridCol w:w="377"/>
        <w:gridCol w:w="47"/>
        <w:gridCol w:w="3176"/>
        <w:gridCol w:w="1124"/>
        <w:gridCol w:w="1124"/>
        <w:gridCol w:w="1262"/>
        <w:gridCol w:w="983"/>
        <w:gridCol w:w="983"/>
      </w:tblGrid>
      <w:tr w:rsidR="0024209E" w:rsidRPr="00886EE2" w14:paraId="7960CEA8" w14:textId="77777777" w:rsidTr="00E61F52">
        <w:trPr>
          <w:trHeight w:val="259"/>
        </w:trPr>
        <w:tc>
          <w:tcPr>
            <w:tcW w:w="505" w:type="pct"/>
          </w:tcPr>
          <w:p w14:paraId="24A1F344" w14:textId="2D4E1953" w:rsidR="0024209E" w:rsidRPr="00886EE2" w:rsidRDefault="0024209E">
            <w:pPr>
              <w:spacing w:after="60"/>
              <w:ind w:right="-144"/>
              <w:jc w:val="left"/>
              <w:rPr>
                <w:rFonts w:asciiTheme="minorBidi" w:hAnsiTheme="minorBidi" w:cstheme="minorBidi"/>
                <w:spacing w:val="-6"/>
              </w:rPr>
            </w:pPr>
          </w:p>
        </w:tc>
        <w:tc>
          <w:tcPr>
            <w:tcW w:w="4495" w:type="pct"/>
            <w:gridSpan w:val="9"/>
            <w:hideMark/>
          </w:tcPr>
          <w:p w14:paraId="73FE2F13" w14:textId="77777777" w:rsidR="0024209E" w:rsidRPr="00886EE2" w:rsidRDefault="0024209E">
            <w:pPr>
              <w:spacing w:after="60"/>
              <w:rPr>
                <w:rFonts w:asciiTheme="minorBidi" w:hAnsiTheme="minorBidi" w:cstheme="minorBidi"/>
                <w:b/>
                <w:bCs/>
                <w:rtl/>
              </w:rPr>
            </w:pPr>
            <w:r w:rsidRPr="00886EE2">
              <w:rPr>
                <w:rFonts w:asciiTheme="minorBidi" w:hAnsiTheme="minorBidi" w:cstheme="minorBidi"/>
                <w:b/>
                <w:bCs/>
                <w:rtl/>
              </w:rPr>
              <w:t>ביאור 12  -  מידע נוסף על סיכון אשראי, אשראי לציבור והפרשה להפסדי אשראי (המשך):</w:t>
            </w:r>
          </w:p>
        </w:tc>
      </w:tr>
      <w:tr w:rsidR="0024209E" w:rsidRPr="00886EE2" w14:paraId="18485806" w14:textId="77777777" w:rsidTr="00E61F52">
        <w:trPr>
          <w:trHeight w:val="245"/>
        </w:trPr>
        <w:tc>
          <w:tcPr>
            <w:tcW w:w="505" w:type="pct"/>
          </w:tcPr>
          <w:p w14:paraId="11E4EC75" w14:textId="77777777" w:rsidR="0024209E" w:rsidRPr="00886EE2" w:rsidRDefault="0024209E">
            <w:pPr>
              <w:spacing w:before="100" w:after="60"/>
              <w:rPr>
                <w:rFonts w:asciiTheme="minorBidi" w:hAnsiTheme="minorBidi" w:cstheme="minorBidi"/>
                <w:rtl/>
              </w:rPr>
            </w:pPr>
          </w:p>
        </w:tc>
        <w:tc>
          <w:tcPr>
            <w:tcW w:w="193" w:type="pct"/>
            <w:gridSpan w:val="2"/>
            <w:hideMark/>
          </w:tcPr>
          <w:p w14:paraId="16500DDD" w14:textId="77777777" w:rsidR="0024209E" w:rsidRPr="00886EE2" w:rsidRDefault="0024209E">
            <w:pPr>
              <w:spacing w:before="60" w:after="60"/>
              <w:jc w:val="left"/>
              <w:rPr>
                <w:rFonts w:asciiTheme="minorBidi" w:hAnsiTheme="minorBidi" w:cstheme="minorBidi"/>
                <w:b/>
                <w:bCs/>
                <w:rtl/>
              </w:rPr>
            </w:pPr>
            <w:r w:rsidRPr="00886EE2">
              <w:rPr>
                <w:rFonts w:asciiTheme="minorBidi" w:hAnsiTheme="minorBidi" w:cstheme="minorBidi"/>
                <w:b/>
                <w:bCs/>
                <w:rtl/>
              </w:rPr>
              <w:t>ב.</w:t>
            </w:r>
          </w:p>
        </w:tc>
        <w:tc>
          <w:tcPr>
            <w:tcW w:w="4302" w:type="pct"/>
            <w:gridSpan w:val="7"/>
            <w:hideMark/>
          </w:tcPr>
          <w:p w14:paraId="18308418" w14:textId="77777777" w:rsidR="0024209E" w:rsidRPr="00886EE2" w:rsidRDefault="0024209E">
            <w:pPr>
              <w:spacing w:before="60" w:after="60"/>
              <w:jc w:val="left"/>
              <w:rPr>
                <w:rFonts w:asciiTheme="minorBidi" w:hAnsiTheme="minorBidi" w:cstheme="minorBidi"/>
                <w:b/>
                <w:bCs/>
                <w:rtl/>
              </w:rPr>
            </w:pPr>
            <w:r w:rsidRPr="00886EE2">
              <w:rPr>
                <w:rFonts w:asciiTheme="minorBidi" w:hAnsiTheme="minorBidi" w:cstheme="minorBidi"/>
                <w:b/>
                <w:bCs/>
                <w:rtl/>
              </w:rPr>
              <w:t>אשראי לציבור</w:t>
            </w:r>
            <w:r w:rsidRPr="00886EE2">
              <w:rPr>
                <w:rFonts w:asciiTheme="minorBidi" w:hAnsiTheme="minorBidi" w:cstheme="minorBidi"/>
                <w:rtl/>
              </w:rPr>
              <w:t xml:space="preserve"> </w:t>
            </w:r>
            <w:r w:rsidRPr="00886EE2">
              <w:rPr>
                <w:rFonts w:asciiTheme="minorBidi" w:hAnsiTheme="minorBidi" w:cstheme="minorBidi"/>
                <w:b/>
                <w:bCs/>
                <w:rtl/>
              </w:rPr>
              <w:t>(המשך):</w:t>
            </w:r>
          </w:p>
        </w:tc>
      </w:tr>
      <w:tr w:rsidR="0024209E" w:rsidRPr="00886EE2" w14:paraId="2A67378B" w14:textId="77777777" w:rsidTr="00E61F52">
        <w:trPr>
          <w:trHeight w:val="245"/>
        </w:trPr>
        <w:tc>
          <w:tcPr>
            <w:tcW w:w="505" w:type="pct"/>
            <w:hideMark/>
          </w:tcPr>
          <w:p w14:paraId="18B9675E" w14:textId="76C74A09" w:rsidR="0024209E" w:rsidRPr="00886EE2" w:rsidRDefault="0024209E">
            <w:pPr>
              <w:spacing w:before="60" w:after="60"/>
              <w:rPr>
                <w:rFonts w:asciiTheme="minorBidi" w:hAnsiTheme="minorBidi" w:cstheme="minorBidi"/>
                <w:sz w:val="18"/>
                <w:szCs w:val="18"/>
                <w:rtl/>
              </w:rPr>
            </w:pPr>
          </w:p>
        </w:tc>
        <w:tc>
          <w:tcPr>
            <w:tcW w:w="193" w:type="pct"/>
            <w:gridSpan w:val="2"/>
          </w:tcPr>
          <w:p w14:paraId="1BBF2D0F" w14:textId="77777777" w:rsidR="0024209E" w:rsidRPr="00886EE2" w:rsidRDefault="0024209E">
            <w:pPr>
              <w:spacing w:before="60" w:after="60"/>
              <w:jc w:val="left"/>
              <w:rPr>
                <w:rFonts w:asciiTheme="minorBidi" w:hAnsiTheme="minorBidi" w:cstheme="minorBidi"/>
                <w:b/>
                <w:bCs/>
                <w:sz w:val="18"/>
                <w:szCs w:val="18"/>
                <w:rtl/>
              </w:rPr>
            </w:pPr>
          </w:p>
        </w:tc>
        <w:tc>
          <w:tcPr>
            <w:tcW w:w="4302" w:type="pct"/>
            <w:gridSpan w:val="7"/>
            <w:hideMark/>
          </w:tcPr>
          <w:p w14:paraId="10305CDD" w14:textId="6F304837" w:rsidR="0024209E" w:rsidRPr="006A5A39" w:rsidRDefault="0024209E">
            <w:pPr>
              <w:tabs>
                <w:tab w:val="left" w:pos="446"/>
              </w:tabs>
              <w:spacing w:before="60" w:after="60" w:line="216" w:lineRule="auto"/>
              <w:ind w:left="446" w:hanging="446"/>
              <w:rPr>
                <w:rFonts w:asciiTheme="minorBidi" w:hAnsiTheme="minorBidi" w:cstheme="minorBidi"/>
                <w:sz w:val="19"/>
                <w:szCs w:val="19"/>
                <w:rtl/>
              </w:rPr>
            </w:pPr>
            <w:r w:rsidRPr="006A5A39">
              <w:rPr>
                <w:rFonts w:asciiTheme="minorBidi" w:hAnsiTheme="minorBidi" w:cstheme="minorBidi"/>
                <w:b/>
                <w:bCs/>
                <w:sz w:val="19"/>
                <w:szCs w:val="19"/>
                <w:rtl/>
              </w:rPr>
              <w:t>2.</w:t>
            </w:r>
            <w:r w:rsidR="00886EE2" w:rsidRPr="006A5A39">
              <w:rPr>
                <w:rFonts w:asciiTheme="minorBidi" w:hAnsiTheme="minorBidi" w:cstheme="minorBidi"/>
                <w:b/>
                <w:bCs/>
                <w:sz w:val="19"/>
                <w:szCs w:val="19"/>
                <w:rtl/>
              </w:rPr>
              <w:t>ג</w:t>
            </w:r>
            <w:r w:rsidRPr="006A5A39">
              <w:rPr>
                <w:rFonts w:asciiTheme="minorBidi" w:hAnsiTheme="minorBidi" w:cstheme="minorBidi"/>
                <w:b/>
                <w:bCs/>
                <w:sz w:val="19"/>
                <w:szCs w:val="19"/>
                <w:rtl/>
              </w:rPr>
              <w:t>.</w:t>
            </w:r>
            <w:r w:rsidRPr="006A5A39">
              <w:rPr>
                <w:rFonts w:asciiTheme="minorBidi" w:hAnsiTheme="minorBidi" w:cstheme="minorBidi"/>
                <w:b/>
                <w:bCs/>
                <w:sz w:val="19"/>
                <w:szCs w:val="19"/>
                <w:rtl/>
              </w:rPr>
              <w:tab/>
              <w:t>מידע נוסף על חובות שעברו ארגון מחדש של חוב בעייתי</w:t>
            </w:r>
            <w:r w:rsidRPr="006A5A39">
              <w:rPr>
                <w:rFonts w:asciiTheme="minorBidi" w:hAnsiTheme="minorBidi" w:cstheme="minorBidi"/>
                <w:b/>
                <w:bCs/>
                <w:sz w:val="19"/>
                <w:szCs w:val="19"/>
                <w:vertAlign w:val="superscript"/>
                <w:rtl/>
              </w:rPr>
              <w:t xml:space="preserve"> </w:t>
            </w:r>
          </w:p>
        </w:tc>
      </w:tr>
      <w:bookmarkEnd w:id="44"/>
      <w:tr w:rsidR="006026BF" w:rsidRPr="00886EE2" w14:paraId="775A26E1" w14:textId="77777777" w:rsidTr="00E61F52">
        <w:trPr>
          <w:trHeight w:val="259"/>
        </w:trPr>
        <w:tc>
          <w:tcPr>
            <w:tcW w:w="511" w:type="pct"/>
            <w:gridSpan w:val="2"/>
          </w:tcPr>
          <w:p w14:paraId="3CF58686" w14:textId="77777777" w:rsidR="006026BF" w:rsidRPr="00886EE2" w:rsidRDefault="006026BF" w:rsidP="00400DD1">
            <w:pPr>
              <w:spacing w:before="60"/>
              <w:ind w:right="-142"/>
              <w:jc w:val="left"/>
              <w:rPr>
                <w:rFonts w:asciiTheme="minorBidi" w:hAnsiTheme="minorBidi" w:cstheme="minorBidi"/>
                <w:spacing w:val="-6"/>
                <w:sz w:val="18"/>
                <w:szCs w:val="18"/>
                <w:rtl/>
              </w:rPr>
            </w:pPr>
          </w:p>
        </w:tc>
        <w:tc>
          <w:tcPr>
            <w:tcW w:w="210" w:type="pct"/>
            <w:gridSpan w:val="2"/>
            <w:vAlign w:val="bottom"/>
          </w:tcPr>
          <w:p w14:paraId="32368C7C" w14:textId="77777777" w:rsidR="006026BF" w:rsidRPr="00886EE2" w:rsidRDefault="006026BF" w:rsidP="00400DD1">
            <w:pPr>
              <w:rPr>
                <w:rFonts w:asciiTheme="minorBidi" w:hAnsiTheme="minorBidi" w:cstheme="minorBidi"/>
                <w:sz w:val="18"/>
                <w:szCs w:val="18"/>
                <w:rtl/>
              </w:rPr>
            </w:pPr>
          </w:p>
        </w:tc>
        <w:tc>
          <w:tcPr>
            <w:tcW w:w="1571" w:type="pct"/>
            <w:vAlign w:val="bottom"/>
          </w:tcPr>
          <w:p w14:paraId="71B847A9" w14:textId="77777777" w:rsidR="006026BF" w:rsidRPr="00886EE2" w:rsidRDefault="006026BF" w:rsidP="00400DD1">
            <w:pPr>
              <w:ind w:left="144" w:hanging="144"/>
              <w:jc w:val="left"/>
              <w:rPr>
                <w:rFonts w:asciiTheme="minorBidi" w:hAnsiTheme="minorBidi" w:cstheme="minorBidi"/>
                <w:color w:val="000000"/>
                <w:sz w:val="18"/>
                <w:szCs w:val="18"/>
                <w:rtl/>
                <w:lang w:eastAsia="he-IL"/>
              </w:rPr>
            </w:pPr>
          </w:p>
        </w:tc>
        <w:tc>
          <w:tcPr>
            <w:tcW w:w="2707" w:type="pct"/>
            <w:gridSpan w:val="5"/>
            <w:vAlign w:val="bottom"/>
            <w:hideMark/>
          </w:tcPr>
          <w:p w14:paraId="45A21DB3" w14:textId="6D662A8F" w:rsidR="006026BF" w:rsidRPr="00886EE2" w:rsidRDefault="006026BF" w:rsidP="00400DD1">
            <w:pPr>
              <w:pBdr>
                <w:bottom w:val="single" w:sz="6" w:space="1" w:color="auto"/>
              </w:pBdr>
              <w:jc w:val="center"/>
              <w:rPr>
                <w:rFonts w:asciiTheme="minorBidi" w:hAnsiTheme="minorBidi" w:cstheme="minorBidi"/>
                <w:b/>
                <w:bCs/>
                <w:color w:val="000000"/>
                <w:sz w:val="18"/>
                <w:szCs w:val="18"/>
                <w:rtl/>
                <w:lang w:eastAsia="he-IL"/>
              </w:rPr>
            </w:pPr>
            <w:r w:rsidRPr="00886EE2">
              <w:rPr>
                <w:rFonts w:asciiTheme="minorBidi" w:hAnsiTheme="minorBidi" w:cstheme="minorBidi"/>
                <w:b/>
                <w:bCs/>
                <w:sz w:val="18"/>
                <w:szCs w:val="18"/>
                <w:rtl/>
              </w:rPr>
              <w:t xml:space="preserve">ליום 30 ביוני </w:t>
            </w:r>
            <w:r w:rsidRPr="00886EE2">
              <w:rPr>
                <w:rFonts w:asciiTheme="minorBidi" w:hAnsiTheme="minorBidi" w:cstheme="minorBidi"/>
                <w:b/>
                <w:bCs/>
                <w:sz w:val="18"/>
                <w:szCs w:val="18"/>
                <w:rtl/>
              </w:rPr>
              <w:fldChar w:fldCharType="begin"/>
            </w:r>
            <w:r w:rsidRPr="00886EE2">
              <w:rPr>
                <w:rFonts w:asciiTheme="minorBidi" w:hAnsiTheme="minorBidi" w:cstheme="minorBidi"/>
                <w:b/>
                <w:bCs/>
                <w:sz w:val="18"/>
                <w:szCs w:val="18"/>
                <w:rtl/>
              </w:rPr>
              <w:instrText xml:space="preserve"> = </w:instrText>
            </w:r>
            <w:r w:rsidRPr="00886EE2">
              <w:rPr>
                <w:rFonts w:asciiTheme="minorBidi" w:hAnsiTheme="minorBidi" w:cstheme="minorBidi"/>
                <w:b/>
                <w:bCs/>
                <w:sz w:val="18"/>
                <w:szCs w:val="18"/>
              </w:rPr>
              <w:instrText>CY-1 \* MERGEFORMAT</w:instrText>
            </w:r>
            <w:r w:rsidRPr="00886EE2">
              <w:rPr>
                <w:rFonts w:asciiTheme="minorBidi" w:hAnsiTheme="minorBidi" w:cstheme="minorBidi"/>
                <w:b/>
                <w:bCs/>
                <w:sz w:val="18"/>
                <w:szCs w:val="18"/>
                <w:rtl/>
              </w:rPr>
              <w:instrText xml:space="preserve"> </w:instrText>
            </w:r>
            <w:r w:rsidRPr="00886EE2">
              <w:rPr>
                <w:rFonts w:asciiTheme="minorBidi" w:hAnsiTheme="minorBidi" w:cstheme="minorBidi"/>
                <w:b/>
                <w:bCs/>
                <w:sz w:val="18"/>
                <w:szCs w:val="18"/>
                <w:rtl/>
              </w:rPr>
              <w:fldChar w:fldCharType="separate"/>
            </w:r>
            <w:r w:rsidR="003A584F" w:rsidRPr="00886EE2">
              <w:rPr>
                <w:rFonts w:asciiTheme="minorBidi" w:hAnsiTheme="minorBidi" w:cstheme="minorBidi"/>
                <w:b/>
                <w:bCs/>
                <w:noProof/>
                <w:sz w:val="18"/>
                <w:szCs w:val="18"/>
                <w:rtl/>
              </w:rPr>
              <w:t>2023</w:t>
            </w:r>
            <w:r w:rsidRPr="00886EE2">
              <w:rPr>
                <w:rFonts w:asciiTheme="minorBidi" w:hAnsiTheme="minorBidi" w:cstheme="minorBidi"/>
                <w:b/>
                <w:bCs/>
                <w:sz w:val="18"/>
                <w:szCs w:val="18"/>
                <w:rtl/>
              </w:rPr>
              <w:fldChar w:fldCharType="end"/>
            </w:r>
            <w:r w:rsidR="00623A25" w:rsidRPr="00886EE2">
              <w:rPr>
                <w:rFonts w:asciiTheme="minorBidi" w:hAnsiTheme="minorBidi" w:cstheme="minorBidi"/>
                <w:b/>
                <w:bCs/>
                <w:color w:val="000000"/>
                <w:sz w:val="18"/>
                <w:szCs w:val="18"/>
                <w:rtl/>
                <w:lang w:eastAsia="he-IL"/>
              </w:rPr>
              <w:t xml:space="preserve">  </w:t>
            </w:r>
            <w:r w:rsidR="00623A25" w:rsidRPr="00886EE2">
              <w:rPr>
                <w:rFonts w:asciiTheme="minorBidi" w:hAnsiTheme="minorBidi" w:cstheme="minorBidi"/>
                <w:color w:val="000000"/>
                <w:sz w:val="18"/>
                <w:szCs w:val="18"/>
                <w:rtl/>
                <w:lang w:eastAsia="he-IL"/>
              </w:rPr>
              <w:t>(בלתי מבוקר)</w:t>
            </w:r>
          </w:p>
        </w:tc>
      </w:tr>
      <w:tr w:rsidR="006026BF" w:rsidRPr="00886EE2" w14:paraId="30315F43" w14:textId="77777777" w:rsidTr="00E61F52">
        <w:trPr>
          <w:trHeight w:val="259"/>
        </w:trPr>
        <w:tc>
          <w:tcPr>
            <w:tcW w:w="511" w:type="pct"/>
            <w:gridSpan w:val="2"/>
          </w:tcPr>
          <w:p w14:paraId="68C83AC5" w14:textId="77777777" w:rsidR="006026BF" w:rsidRPr="00886EE2" w:rsidRDefault="006026BF" w:rsidP="00400DD1">
            <w:pPr>
              <w:rPr>
                <w:rFonts w:asciiTheme="minorBidi" w:hAnsiTheme="minorBidi" w:cstheme="minorBidi"/>
                <w:sz w:val="18"/>
                <w:szCs w:val="18"/>
                <w:rtl/>
              </w:rPr>
            </w:pPr>
          </w:p>
        </w:tc>
        <w:tc>
          <w:tcPr>
            <w:tcW w:w="210" w:type="pct"/>
            <w:gridSpan w:val="2"/>
            <w:vAlign w:val="bottom"/>
          </w:tcPr>
          <w:p w14:paraId="648387CF" w14:textId="77777777" w:rsidR="006026BF" w:rsidRPr="00886EE2" w:rsidRDefault="006026BF" w:rsidP="00400DD1">
            <w:pPr>
              <w:rPr>
                <w:rFonts w:asciiTheme="minorBidi" w:hAnsiTheme="minorBidi" w:cstheme="minorBidi"/>
                <w:sz w:val="18"/>
                <w:szCs w:val="18"/>
                <w:rtl/>
              </w:rPr>
            </w:pPr>
          </w:p>
        </w:tc>
        <w:tc>
          <w:tcPr>
            <w:tcW w:w="1571" w:type="pct"/>
            <w:vAlign w:val="bottom"/>
          </w:tcPr>
          <w:p w14:paraId="24FDEDC9" w14:textId="77777777" w:rsidR="006026BF" w:rsidRPr="00886EE2" w:rsidRDefault="006026BF" w:rsidP="00400DD1">
            <w:pPr>
              <w:ind w:left="144" w:hanging="144"/>
              <w:jc w:val="left"/>
              <w:rPr>
                <w:rFonts w:asciiTheme="minorBidi" w:hAnsiTheme="minorBidi" w:cstheme="minorBidi"/>
                <w:color w:val="000000"/>
                <w:sz w:val="18"/>
                <w:szCs w:val="18"/>
                <w:rtl/>
                <w:lang w:eastAsia="he-IL"/>
              </w:rPr>
            </w:pPr>
          </w:p>
        </w:tc>
        <w:tc>
          <w:tcPr>
            <w:tcW w:w="2707" w:type="pct"/>
            <w:gridSpan w:val="5"/>
            <w:vAlign w:val="bottom"/>
            <w:hideMark/>
          </w:tcPr>
          <w:p w14:paraId="3C980CD7" w14:textId="77777777" w:rsidR="006026BF" w:rsidRPr="00886EE2" w:rsidRDefault="006026BF" w:rsidP="00400DD1">
            <w:pPr>
              <w:pBdr>
                <w:bottom w:val="single" w:sz="6" w:space="1" w:color="auto"/>
              </w:pBdr>
              <w:jc w:val="center"/>
              <w:rPr>
                <w:rFonts w:asciiTheme="minorBidi" w:hAnsiTheme="minorBidi" w:cstheme="minorBidi"/>
                <w:b/>
                <w:bCs/>
                <w:sz w:val="18"/>
                <w:szCs w:val="18"/>
                <w:rtl/>
              </w:rPr>
            </w:pPr>
            <w:r w:rsidRPr="00886EE2">
              <w:rPr>
                <w:rFonts w:asciiTheme="minorBidi" w:hAnsiTheme="minorBidi" w:cstheme="minorBidi"/>
                <w:b/>
                <w:bCs/>
                <w:sz w:val="18"/>
                <w:szCs w:val="18"/>
                <w:rtl/>
              </w:rPr>
              <w:t>יתרת חוב רשומה</w:t>
            </w:r>
          </w:p>
        </w:tc>
      </w:tr>
      <w:tr w:rsidR="006026BF" w:rsidRPr="00886EE2" w14:paraId="5BD8A2F9" w14:textId="77777777" w:rsidTr="00E61F52">
        <w:trPr>
          <w:trHeight w:val="259"/>
        </w:trPr>
        <w:tc>
          <w:tcPr>
            <w:tcW w:w="511" w:type="pct"/>
            <w:gridSpan w:val="2"/>
          </w:tcPr>
          <w:p w14:paraId="712047EE" w14:textId="77777777" w:rsidR="006026BF" w:rsidRPr="00886EE2" w:rsidRDefault="006026BF" w:rsidP="00400DD1">
            <w:pPr>
              <w:rPr>
                <w:rFonts w:asciiTheme="minorBidi" w:hAnsiTheme="minorBidi" w:cstheme="minorBidi"/>
                <w:sz w:val="18"/>
                <w:szCs w:val="18"/>
                <w:rtl/>
              </w:rPr>
            </w:pPr>
          </w:p>
        </w:tc>
        <w:tc>
          <w:tcPr>
            <w:tcW w:w="210" w:type="pct"/>
            <w:gridSpan w:val="2"/>
            <w:vAlign w:val="bottom"/>
          </w:tcPr>
          <w:p w14:paraId="7E74774F" w14:textId="77777777" w:rsidR="006026BF" w:rsidRPr="00886EE2" w:rsidRDefault="006026BF" w:rsidP="00400DD1">
            <w:pPr>
              <w:rPr>
                <w:rFonts w:asciiTheme="minorBidi" w:hAnsiTheme="minorBidi" w:cstheme="minorBidi"/>
                <w:sz w:val="18"/>
                <w:szCs w:val="18"/>
                <w:rtl/>
              </w:rPr>
            </w:pPr>
          </w:p>
        </w:tc>
        <w:tc>
          <w:tcPr>
            <w:tcW w:w="1571" w:type="pct"/>
            <w:vAlign w:val="bottom"/>
          </w:tcPr>
          <w:p w14:paraId="551209A9" w14:textId="77777777" w:rsidR="006026BF" w:rsidRPr="00886EE2" w:rsidRDefault="006026BF" w:rsidP="00400DD1">
            <w:pPr>
              <w:ind w:left="144" w:hanging="144"/>
              <w:jc w:val="left"/>
              <w:rPr>
                <w:rFonts w:asciiTheme="minorBidi" w:hAnsiTheme="minorBidi" w:cstheme="minorBidi"/>
                <w:color w:val="000000"/>
                <w:sz w:val="18"/>
                <w:szCs w:val="18"/>
                <w:rtl/>
                <w:lang w:eastAsia="he-IL"/>
              </w:rPr>
            </w:pPr>
          </w:p>
        </w:tc>
        <w:tc>
          <w:tcPr>
            <w:tcW w:w="556" w:type="pct"/>
            <w:vAlign w:val="bottom"/>
            <w:hideMark/>
          </w:tcPr>
          <w:p w14:paraId="30096AE4" w14:textId="77777777" w:rsidR="006026BF" w:rsidRPr="00886EE2" w:rsidRDefault="006026BF" w:rsidP="00400DD1">
            <w:pPr>
              <w:jc w:val="center"/>
              <w:rPr>
                <w:rFonts w:asciiTheme="minorBidi" w:hAnsiTheme="minorBidi" w:cstheme="minorBidi"/>
                <w:b/>
                <w:bCs/>
                <w:sz w:val="18"/>
                <w:szCs w:val="18"/>
                <w:rtl/>
              </w:rPr>
            </w:pPr>
            <w:r w:rsidRPr="00886EE2">
              <w:rPr>
                <w:rFonts w:asciiTheme="minorBidi" w:hAnsiTheme="minorBidi" w:cstheme="minorBidi"/>
                <w:b/>
                <w:bCs/>
                <w:sz w:val="18"/>
                <w:szCs w:val="18"/>
                <w:rtl/>
              </w:rPr>
              <w:t>שאינם</w:t>
            </w:r>
          </w:p>
        </w:tc>
        <w:tc>
          <w:tcPr>
            <w:tcW w:w="1665" w:type="pct"/>
            <w:gridSpan w:val="3"/>
            <w:vAlign w:val="bottom"/>
            <w:hideMark/>
          </w:tcPr>
          <w:p w14:paraId="74568624" w14:textId="77777777" w:rsidR="006026BF" w:rsidRPr="00886EE2" w:rsidRDefault="006026BF" w:rsidP="00400DD1">
            <w:pPr>
              <w:pBdr>
                <w:bottom w:val="single" w:sz="6" w:space="1" w:color="auto"/>
              </w:pBdr>
              <w:jc w:val="center"/>
              <w:rPr>
                <w:rFonts w:asciiTheme="minorBidi" w:hAnsiTheme="minorBidi" w:cstheme="minorBidi"/>
                <w:b/>
                <w:bCs/>
                <w:sz w:val="18"/>
                <w:szCs w:val="18"/>
                <w:rtl/>
              </w:rPr>
            </w:pPr>
            <w:r w:rsidRPr="00886EE2">
              <w:rPr>
                <w:rFonts w:asciiTheme="minorBidi" w:hAnsiTheme="minorBidi" w:cstheme="minorBidi"/>
                <w:b/>
                <w:bCs/>
                <w:sz w:val="18"/>
                <w:szCs w:val="18"/>
                <w:rtl/>
              </w:rPr>
              <w:t>צוברים הכנסות ריבית</w:t>
            </w:r>
          </w:p>
        </w:tc>
        <w:tc>
          <w:tcPr>
            <w:tcW w:w="486" w:type="pct"/>
            <w:vAlign w:val="bottom"/>
          </w:tcPr>
          <w:p w14:paraId="366500B3" w14:textId="77777777" w:rsidR="006026BF" w:rsidRPr="00886EE2" w:rsidRDefault="006026BF" w:rsidP="00400DD1">
            <w:pPr>
              <w:rPr>
                <w:rFonts w:asciiTheme="minorBidi" w:hAnsiTheme="minorBidi" w:cstheme="minorBidi"/>
                <w:sz w:val="18"/>
                <w:szCs w:val="18"/>
                <w:rtl/>
              </w:rPr>
            </w:pPr>
          </w:p>
        </w:tc>
      </w:tr>
      <w:tr w:rsidR="006026BF" w:rsidRPr="00886EE2" w14:paraId="41F0BCC8" w14:textId="77777777" w:rsidTr="00E61F52">
        <w:trPr>
          <w:trHeight w:val="259"/>
        </w:trPr>
        <w:tc>
          <w:tcPr>
            <w:tcW w:w="511" w:type="pct"/>
            <w:gridSpan w:val="2"/>
          </w:tcPr>
          <w:p w14:paraId="20F12365" w14:textId="77777777" w:rsidR="006026BF" w:rsidRPr="00886EE2" w:rsidRDefault="006026BF" w:rsidP="00400DD1">
            <w:pPr>
              <w:rPr>
                <w:rFonts w:asciiTheme="minorBidi" w:hAnsiTheme="minorBidi" w:cstheme="minorBidi"/>
                <w:sz w:val="18"/>
                <w:szCs w:val="18"/>
                <w:rtl/>
              </w:rPr>
            </w:pPr>
          </w:p>
        </w:tc>
        <w:tc>
          <w:tcPr>
            <w:tcW w:w="210" w:type="pct"/>
            <w:gridSpan w:val="2"/>
            <w:vAlign w:val="bottom"/>
          </w:tcPr>
          <w:p w14:paraId="5DE7939C" w14:textId="77777777" w:rsidR="006026BF" w:rsidRPr="00886EE2" w:rsidRDefault="006026BF" w:rsidP="00400DD1">
            <w:pPr>
              <w:rPr>
                <w:rFonts w:asciiTheme="minorBidi" w:hAnsiTheme="minorBidi" w:cstheme="minorBidi"/>
                <w:sz w:val="18"/>
                <w:szCs w:val="18"/>
                <w:rtl/>
              </w:rPr>
            </w:pPr>
          </w:p>
        </w:tc>
        <w:tc>
          <w:tcPr>
            <w:tcW w:w="1571" w:type="pct"/>
            <w:vAlign w:val="bottom"/>
          </w:tcPr>
          <w:p w14:paraId="1816B12C" w14:textId="77777777" w:rsidR="006026BF" w:rsidRPr="00886EE2" w:rsidRDefault="006026BF" w:rsidP="00400DD1">
            <w:pPr>
              <w:ind w:left="144" w:hanging="144"/>
              <w:jc w:val="left"/>
              <w:rPr>
                <w:rFonts w:asciiTheme="minorBidi" w:hAnsiTheme="minorBidi" w:cstheme="minorBidi"/>
                <w:color w:val="000000"/>
                <w:sz w:val="18"/>
                <w:szCs w:val="18"/>
                <w:rtl/>
                <w:lang w:eastAsia="he-IL"/>
              </w:rPr>
            </w:pPr>
          </w:p>
        </w:tc>
        <w:tc>
          <w:tcPr>
            <w:tcW w:w="556" w:type="pct"/>
            <w:vAlign w:val="bottom"/>
            <w:hideMark/>
          </w:tcPr>
          <w:p w14:paraId="3997B53C" w14:textId="77777777" w:rsidR="006026BF" w:rsidRPr="00886EE2" w:rsidRDefault="006026BF" w:rsidP="00400DD1">
            <w:pPr>
              <w:pBdr>
                <w:bottom w:val="single" w:sz="6" w:space="1" w:color="auto"/>
              </w:pBdr>
              <w:jc w:val="center"/>
              <w:rPr>
                <w:rFonts w:asciiTheme="minorBidi" w:hAnsiTheme="minorBidi" w:cstheme="minorBidi"/>
                <w:b/>
                <w:bCs/>
                <w:sz w:val="18"/>
                <w:szCs w:val="18"/>
                <w:rtl/>
              </w:rPr>
            </w:pPr>
            <w:r w:rsidRPr="00886EE2">
              <w:rPr>
                <w:rFonts w:asciiTheme="minorBidi" w:hAnsiTheme="minorBidi" w:cstheme="minorBidi"/>
                <w:b/>
                <w:bCs/>
                <w:sz w:val="18"/>
                <w:szCs w:val="18"/>
                <w:rtl/>
              </w:rPr>
              <w:t>צוברים הכנסות ריבית</w:t>
            </w:r>
          </w:p>
        </w:tc>
        <w:tc>
          <w:tcPr>
            <w:tcW w:w="556" w:type="pct"/>
            <w:vAlign w:val="bottom"/>
            <w:hideMark/>
          </w:tcPr>
          <w:p w14:paraId="0C1086E2" w14:textId="77777777" w:rsidR="006026BF" w:rsidRPr="00886EE2" w:rsidRDefault="006026BF" w:rsidP="00400DD1">
            <w:pPr>
              <w:pBdr>
                <w:bottom w:val="single" w:sz="6" w:space="1" w:color="auto"/>
              </w:pBdr>
              <w:jc w:val="center"/>
              <w:rPr>
                <w:rFonts w:asciiTheme="minorBidi" w:hAnsiTheme="minorBidi" w:cstheme="minorBidi"/>
                <w:b/>
                <w:bCs/>
                <w:sz w:val="18"/>
                <w:szCs w:val="18"/>
                <w:rtl/>
              </w:rPr>
            </w:pPr>
            <w:r w:rsidRPr="00886EE2">
              <w:rPr>
                <w:rFonts w:asciiTheme="minorBidi" w:hAnsiTheme="minorBidi" w:cstheme="minorBidi"/>
                <w:b/>
                <w:bCs/>
                <w:sz w:val="18"/>
                <w:szCs w:val="18"/>
                <w:rtl/>
              </w:rPr>
              <w:t>בפיגור של 90 ימים או יותר</w:t>
            </w:r>
          </w:p>
        </w:tc>
        <w:tc>
          <w:tcPr>
            <w:tcW w:w="624" w:type="pct"/>
            <w:vAlign w:val="bottom"/>
            <w:hideMark/>
          </w:tcPr>
          <w:p w14:paraId="71133589" w14:textId="77777777" w:rsidR="006026BF" w:rsidRPr="00886EE2" w:rsidRDefault="006026BF" w:rsidP="00400DD1">
            <w:pPr>
              <w:pBdr>
                <w:bottom w:val="single" w:sz="6" w:space="1" w:color="auto"/>
              </w:pBdr>
              <w:jc w:val="center"/>
              <w:rPr>
                <w:rFonts w:asciiTheme="minorBidi" w:hAnsiTheme="minorBidi" w:cstheme="minorBidi"/>
                <w:b/>
                <w:bCs/>
                <w:sz w:val="18"/>
                <w:szCs w:val="18"/>
                <w:rtl/>
              </w:rPr>
            </w:pPr>
            <w:r w:rsidRPr="00886EE2">
              <w:rPr>
                <w:rFonts w:asciiTheme="minorBidi" w:hAnsiTheme="minorBidi" w:cstheme="minorBidi"/>
                <w:b/>
                <w:bCs/>
                <w:sz w:val="18"/>
                <w:szCs w:val="18"/>
                <w:rtl/>
              </w:rPr>
              <w:t>בפיגור של</w:t>
            </w:r>
            <w:r w:rsidRPr="00886EE2">
              <w:rPr>
                <w:rFonts w:asciiTheme="minorBidi" w:hAnsiTheme="minorBidi" w:cstheme="minorBidi"/>
                <w:b/>
                <w:bCs/>
                <w:sz w:val="18"/>
                <w:szCs w:val="18"/>
              </w:rPr>
              <w:t xml:space="preserve"> </w:t>
            </w:r>
            <w:r w:rsidRPr="00886EE2">
              <w:rPr>
                <w:rFonts w:asciiTheme="minorBidi" w:hAnsiTheme="minorBidi" w:cstheme="minorBidi"/>
                <w:b/>
                <w:bCs/>
                <w:sz w:val="18"/>
                <w:szCs w:val="18"/>
                <w:rtl/>
              </w:rPr>
              <w:t>30</w:t>
            </w:r>
          </w:p>
          <w:p w14:paraId="08F9B3C5" w14:textId="77777777" w:rsidR="006026BF" w:rsidRPr="00886EE2" w:rsidRDefault="006026BF" w:rsidP="00400DD1">
            <w:pPr>
              <w:pBdr>
                <w:bottom w:val="single" w:sz="6" w:space="1" w:color="auto"/>
              </w:pBdr>
              <w:jc w:val="center"/>
              <w:rPr>
                <w:rFonts w:asciiTheme="minorBidi" w:hAnsiTheme="minorBidi" w:cstheme="minorBidi"/>
                <w:b/>
                <w:bCs/>
                <w:sz w:val="18"/>
                <w:szCs w:val="18"/>
                <w:rtl/>
              </w:rPr>
            </w:pPr>
            <w:r w:rsidRPr="00886EE2">
              <w:rPr>
                <w:rFonts w:asciiTheme="minorBidi" w:hAnsiTheme="minorBidi" w:cstheme="minorBidi"/>
                <w:b/>
                <w:bCs/>
                <w:sz w:val="18"/>
                <w:szCs w:val="18"/>
                <w:rtl/>
              </w:rPr>
              <w:t>ועד</w:t>
            </w:r>
            <w:r w:rsidRPr="00886EE2">
              <w:rPr>
                <w:rFonts w:asciiTheme="minorBidi" w:hAnsiTheme="minorBidi" w:cstheme="minorBidi"/>
                <w:b/>
                <w:bCs/>
                <w:sz w:val="18"/>
                <w:szCs w:val="18"/>
              </w:rPr>
              <w:t xml:space="preserve"> </w:t>
            </w:r>
            <w:r w:rsidRPr="00886EE2">
              <w:rPr>
                <w:rFonts w:asciiTheme="minorBidi" w:hAnsiTheme="minorBidi" w:cstheme="minorBidi"/>
                <w:b/>
                <w:bCs/>
                <w:sz w:val="18"/>
                <w:szCs w:val="18"/>
                <w:rtl/>
              </w:rPr>
              <w:t>89 ימים</w:t>
            </w:r>
          </w:p>
        </w:tc>
        <w:tc>
          <w:tcPr>
            <w:tcW w:w="486" w:type="pct"/>
            <w:vAlign w:val="bottom"/>
            <w:hideMark/>
          </w:tcPr>
          <w:p w14:paraId="6E724EBA" w14:textId="77777777" w:rsidR="006026BF" w:rsidRPr="00886EE2" w:rsidRDefault="006026BF" w:rsidP="00400DD1">
            <w:pPr>
              <w:pBdr>
                <w:bottom w:val="single" w:sz="6" w:space="1" w:color="auto"/>
              </w:pBdr>
              <w:jc w:val="center"/>
              <w:rPr>
                <w:rFonts w:asciiTheme="minorBidi" w:hAnsiTheme="minorBidi" w:cstheme="minorBidi"/>
                <w:b/>
                <w:bCs/>
                <w:sz w:val="18"/>
                <w:szCs w:val="18"/>
                <w:rtl/>
              </w:rPr>
            </w:pPr>
            <w:r w:rsidRPr="00886EE2">
              <w:rPr>
                <w:rFonts w:asciiTheme="minorBidi" w:hAnsiTheme="minorBidi" w:cstheme="minorBidi"/>
                <w:b/>
                <w:bCs/>
                <w:sz w:val="18"/>
                <w:szCs w:val="18"/>
                <w:rtl/>
              </w:rPr>
              <w:t>לא</w:t>
            </w:r>
          </w:p>
          <w:p w14:paraId="32431E52" w14:textId="77777777" w:rsidR="006026BF" w:rsidRPr="00886EE2" w:rsidRDefault="006026BF" w:rsidP="00400DD1">
            <w:pPr>
              <w:pBdr>
                <w:bottom w:val="single" w:sz="6" w:space="1" w:color="auto"/>
              </w:pBdr>
              <w:jc w:val="center"/>
              <w:rPr>
                <w:rFonts w:asciiTheme="minorBidi" w:hAnsiTheme="minorBidi" w:cstheme="minorBidi"/>
                <w:b/>
                <w:bCs/>
                <w:sz w:val="18"/>
                <w:szCs w:val="18"/>
                <w:rtl/>
              </w:rPr>
            </w:pPr>
            <w:r w:rsidRPr="00886EE2">
              <w:rPr>
                <w:rFonts w:asciiTheme="minorBidi" w:hAnsiTheme="minorBidi" w:cstheme="minorBidi"/>
                <w:b/>
                <w:bCs/>
                <w:sz w:val="18"/>
                <w:szCs w:val="18"/>
                <w:rtl/>
              </w:rPr>
              <w:t>בפיגור</w:t>
            </w:r>
          </w:p>
        </w:tc>
        <w:tc>
          <w:tcPr>
            <w:tcW w:w="486" w:type="pct"/>
            <w:vAlign w:val="bottom"/>
            <w:hideMark/>
          </w:tcPr>
          <w:p w14:paraId="53EF073B" w14:textId="77777777" w:rsidR="006026BF" w:rsidRPr="00886EE2" w:rsidRDefault="006026BF" w:rsidP="00400DD1">
            <w:pPr>
              <w:pBdr>
                <w:bottom w:val="single" w:sz="6" w:space="1" w:color="auto"/>
              </w:pBdr>
              <w:jc w:val="center"/>
              <w:rPr>
                <w:rFonts w:asciiTheme="minorBidi" w:hAnsiTheme="minorBidi" w:cstheme="minorBidi"/>
                <w:b/>
                <w:bCs/>
                <w:sz w:val="18"/>
                <w:szCs w:val="18"/>
                <w:rtl/>
              </w:rPr>
            </w:pPr>
            <w:r w:rsidRPr="00886EE2">
              <w:rPr>
                <w:rFonts w:asciiTheme="minorBidi" w:hAnsiTheme="minorBidi" w:cstheme="minorBidi"/>
                <w:b/>
                <w:bCs/>
                <w:sz w:val="18"/>
                <w:szCs w:val="18"/>
                <w:rtl/>
              </w:rPr>
              <w:t>סך</w:t>
            </w:r>
          </w:p>
          <w:p w14:paraId="13F53B4D" w14:textId="77777777" w:rsidR="006026BF" w:rsidRPr="00886EE2" w:rsidRDefault="006026BF" w:rsidP="00400DD1">
            <w:pPr>
              <w:pBdr>
                <w:bottom w:val="single" w:sz="6" w:space="1" w:color="auto"/>
              </w:pBdr>
              <w:jc w:val="center"/>
              <w:rPr>
                <w:rFonts w:asciiTheme="minorBidi" w:hAnsiTheme="minorBidi" w:cstheme="minorBidi"/>
                <w:b/>
                <w:bCs/>
                <w:sz w:val="18"/>
                <w:szCs w:val="18"/>
                <w:rtl/>
              </w:rPr>
            </w:pPr>
            <w:r w:rsidRPr="00886EE2">
              <w:rPr>
                <w:rFonts w:asciiTheme="minorBidi" w:hAnsiTheme="minorBidi" w:cstheme="minorBidi"/>
                <w:b/>
                <w:bCs/>
                <w:sz w:val="18"/>
                <w:szCs w:val="18"/>
                <w:rtl/>
              </w:rPr>
              <w:t>הכל</w:t>
            </w:r>
          </w:p>
        </w:tc>
      </w:tr>
      <w:tr w:rsidR="006026BF" w:rsidRPr="00886EE2" w14:paraId="17140FF1" w14:textId="77777777" w:rsidTr="00E61F52">
        <w:trPr>
          <w:trHeight w:val="259"/>
        </w:trPr>
        <w:tc>
          <w:tcPr>
            <w:tcW w:w="511" w:type="pct"/>
            <w:gridSpan w:val="2"/>
          </w:tcPr>
          <w:p w14:paraId="4B872D41" w14:textId="77777777" w:rsidR="006026BF" w:rsidRPr="00886EE2" w:rsidRDefault="006026BF" w:rsidP="00400DD1">
            <w:pPr>
              <w:rPr>
                <w:rFonts w:asciiTheme="minorBidi" w:hAnsiTheme="minorBidi" w:cstheme="minorBidi"/>
                <w:sz w:val="18"/>
                <w:szCs w:val="18"/>
                <w:rtl/>
              </w:rPr>
            </w:pPr>
          </w:p>
        </w:tc>
        <w:tc>
          <w:tcPr>
            <w:tcW w:w="210" w:type="pct"/>
            <w:gridSpan w:val="2"/>
            <w:vAlign w:val="bottom"/>
          </w:tcPr>
          <w:p w14:paraId="1BE00655" w14:textId="77777777" w:rsidR="006026BF" w:rsidRPr="00886EE2" w:rsidRDefault="006026BF" w:rsidP="00400DD1">
            <w:pPr>
              <w:rPr>
                <w:rFonts w:asciiTheme="minorBidi" w:hAnsiTheme="minorBidi" w:cstheme="minorBidi"/>
                <w:sz w:val="18"/>
                <w:szCs w:val="18"/>
                <w:rtl/>
              </w:rPr>
            </w:pPr>
          </w:p>
        </w:tc>
        <w:tc>
          <w:tcPr>
            <w:tcW w:w="1571" w:type="pct"/>
            <w:vAlign w:val="bottom"/>
            <w:hideMark/>
          </w:tcPr>
          <w:p w14:paraId="7C5FBE0C" w14:textId="77777777" w:rsidR="006026BF" w:rsidRPr="00886EE2" w:rsidRDefault="006026BF" w:rsidP="00400DD1">
            <w:pPr>
              <w:ind w:left="34"/>
              <w:jc w:val="left"/>
              <w:rPr>
                <w:rFonts w:asciiTheme="minorBidi" w:hAnsiTheme="minorBidi" w:cstheme="minorBidi"/>
                <w:b/>
                <w:bCs/>
                <w:color w:val="000000"/>
                <w:sz w:val="18"/>
                <w:szCs w:val="18"/>
                <w:u w:val="single"/>
                <w:rtl/>
                <w:lang w:eastAsia="he-IL"/>
              </w:rPr>
            </w:pPr>
            <w:r w:rsidRPr="00886EE2">
              <w:rPr>
                <w:rFonts w:asciiTheme="minorBidi" w:hAnsiTheme="minorBidi" w:cstheme="minorBidi"/>
                <w:b/>
                <w:bCs/>
                <w:color w:val="000000"/>
                <w:sz w:val="18"/>
                <w:szCs w:val="18"/>
                <w:u w:val="single"/>
                <w:rtl/>
                <w:lang w:eastAsia="he-IL"/>
              </w:rPr>
              <w:t>פעילות לווים בישראל</w:t>
            </w:r>
          </w:p>
        </w:tc>
        <w:tc>
          <w:tcPr>
            <w:tcW w:w="556" w:type="pct"/>
            <w:vAlign w:val="bottom"/>
          </w:tcPr>
          <w:p w14:paraId="000AC408" w14:textId="77777777" w:rsidR="006026BF" w:rsidRPr="00886EE2" w:rsidRDefault="006026BF" w:rsidP="00400DD1">
            <w:pPr>
              <w:rPr>
                <w:rFonts w:asciiTheme="minorBidi" w:hAnsiTheme="minorBidi" w:cstheme="minorBidi"/>
                <w:sz w:val="18"/>
                <w:szCs w:val="18"/>
                <w:rtl/>
              </w:rPr>
            </w:pPr>
          </w:p>
        </w:tc>
        <w:tc>
          <w:tcPr>
            <w:tcW w:w="556" w:type="pct"/>
            <w:vAlign w:val="bottom"/>
          </w:tcPr>
          <w:p w14:paraId="380F0926" w14:textId="77777777" w:rsidR="006026BF" w:rsidRPr="00886EE2" w:rsidRDefault="006026BF" w:rsidP="00400DD1">
            <w:pPr>
              <w:rPr>
                <w:rFonts w:asciiTheme="minorBidi" w:hAnsiTheme="minorBidi" w:cstheme="minorBidi"/>
                <w:sz w:val="18"/>
                <w:szCs w:val="18"/>
                <w:rtl/>
              </w:rPr>
            </w:pPr>
          </w:p>
        </w:tc>
        <w:tc>
          <w:tcPr>
            <w:tcW w:w="624" w:type="pct"/>
            <w:vAlign w:val="bottom"/>
          </w:tcPr>
          <w:p w14:paraId="33DED105" w14:textId="77777777" w:rsidR="006026BF" w:rsidRPr="00886EE2" w:rsidRDefault="006026BF" w:rsidP="00400DD1">
            <w:pPr>
              <w:rPr>
                <w:rFonts w:asciiTheme="minorBidi" w:hAnsiTheme="minorBidi" w:cstheme="minorBidi"/>
                <w:sz w:val="18"/>
                <w:szCs w:val="18"/>
                <w:rtl/>
              </w:rPr>
            </w:pPr>
          </w:p>
        </w:tc>
        <w:tc>
          <w:tcPr>
            <w:tcW w:w="486" w:type="pct"/>
            <w:vAlign w:val="bottom"/>
          </w:tcPr>
          <w:p w14:paraId="0605889C" w14:textId="77777777" w:rsidR="006026BF" w:rsidRPr="00886EE2" w:rsidRDefault="006026BF" w:rsidP="00400DD1">
            <w:pPr>
              <w:rPr>
                <w:rFonts w:asciiTheme="minorBidi" w:hAnsiTheme="minorBidi" w:cstheme="minorBidi"/>
                <w:sz w:val="18"/>
                <w:szCs w:val="18"/>
                <w:rtl/>
              </w:rPr>
            </w:pPr>
          </w:p>
        </w:tc>
        <w:tc>
          <w:tcPr>
            <w:tcW w:w="486" w:type="pct"/>
            <w:vAlign w:val="bottom"/>
          </w:tcPr>
          <w:p w14:paraId="1D566958" w14:textId="77777777" w:rsidR="006026BF" w:rsidRPr="00886EE2" w:rsidRDefault="006026BF" w:rsidP="00400DD1">
            <w:pPr>
              <w:rPr>
                <w:rFonts w:asciiTheme="minorBidi" w:hAnsiTheme="minorBidi" w:cstheme="minorBidi"/>
                <w:sz w:val="18"/>
                <w:szCs w:val="18"/>
                <w:rtl/>
              </w:rPr>
            </w:pPr>
          </w:p>
        </w:tc>
      </w:tr>
      <w:tr w:rsidR="006026BF" w:rsidRPr="00886EE2" w14:paraId="6940C408" w14:textId="77777777" w:rsidTr="00E61F52">
        <w:trPr>
          <w:trHeight w:val="259"/>
        </w:trPr>
        <w:tc>
          <w:tcPr>
            <w:tcW w:w="511" w:type="pct"/>
            <w:gridSpan w:val="2"/>
          </w:tcPr>
          <w:p w14:paraId="77B44226" w14:textId="77777777" w:rsidR="006026BF" w:rsidRPr="00886EE2" w:rsidRDefault="006026BF" w:rsidP="00400DD1">
            <w:pPr>
              <w:rPr>
                <w:rFonts w:asciiTheme="minorBidi" w:hAnsiTheme="minorBidi" w:cstheme="minorBidi"/>
                <w:sz w:val="18"/>
                <w:szCs w:val="18"/>
                <w:rtl/>
              </w:rPr>
            </w:pPr>
          </w:p>
        </w:tc>
        <w:tc>
          <w:tcPr>
            <w:tcW w:w="210" w:type="pct"/>
            <w:gridSpan w:val="2"/>
            <w:vAlign w:val="bottom"/>
          </w:tcPr>
          <w:p w14:paraId="595AB572" w14:textId="77777777" w:rsidR="006026BF" w:rsidRPr="00886EE2" w:rsidRDefault="006026BF" w:rsidP="00400DD1">
            <w:pPr>
              <w:rPr>
                <w:rFonts w:asciiTheme="minorBidi" w:hAnsiTheme="minorBidi" w:cstheme="minorBidi"/>
                <w:sz w:val="18"/>
                <w:szCs w:val="18"/>
                <w:rtl/>
              </w:rPr>
            </w:pPr>
          </w:p>
        </w:tc>
        <w:tc>
          <w:tcPr>
            <w:tcW w:w="1571" w:type="pct"/>
            <w:vAlign w:val="bottom"/>
            <w:hideMark/>
          </w:tcPr>
          <w:p w14:paraId="07EFCA2F" w14:textId="77777777" w:rsidR="006026BF" w:rsidRPr="00886EE2" w:rsidRDefault="006026BF" w:rsidP="00400DD1">
            <w:pPr>
              <w:ind w:left="144" w:hanging="110"/>
              <w:jc w:val="left"/>
              <w:rPr>
                <w:rFonts w:asciiTheme="minorBidi" w:hAnsiTheme="minorBidi" w:cstheme="minorBidi"/>
                <w:color w:val="000000"/>
                <w:sz w:val="18"/>
                <w:szCs w:val="18"/>
                <w:rtl/>
                <w:lang w:eastAsia="he-IL"/>
              </w:rPr>
            </w:pPr>
            <w:r w:rsidRPr="00886EE2">
              <w:rPr>
                <w:rFonts w:asciiTheme="minorBidi" w:hAnsiTheme="minorBidi" w:cstheme="minorBidi"/>
                <w:color w:val="000000"/>
                <w:sz w:val="18"/>
                <w:szCs w:val="18"/>
                <w:u w:val="single"/>
                <w:rtl/>
                <w:lang w:eastAsia="he-IL"/>
              </w:rPr>
              <w:t>ציבור - מסחרי</w:t>
            </w:r>
            <w:r w:rsidRPr="00886EE2">
              <w:rPr>
                <w:rFonts w:asciiTheme="minorBidi" w:hAnsiTheme="minorBidi" w:cstheme="minorBidi"/>
                <w:color w:val="000000"/>
                <w:sz w:val="18"/>
                <w:szCs w:val="18"/>
                <w:rtl/>
                <w:lang w:eastAsia="he-IL"/>
              </w:rPr>
              <w:t xml:space="preserve">: </w:t>
            </w:r>
          </w:p>
        </w:tc>
        <w:tc>
          <w:tcPr>
            <w:tcW w:w="556" w:type="pct"/>
            <w:vAlign w:val="bottom"/>
          </w:tcPr>
          <w:p w14:paraId="152C128B" w14:textId="77777777" w:rsidR="006026BF" w:rsidRPr="00886EE2" w:rsidRDefault="006026BF" w:rsidP="00400DD1">
            <w:pPr>
              <w:rPr>
                <w:rFonts w:asciiTheme="minorBidi" w:hAnsiTheme="minorBidi" w:cstheme="minorBidi"/>
                <w:sz w:val="18"/>
                <w:szCs w:val="18"/>
              </w:rPr>
            </w:pPr>
          </w:p>
        </w:tc>
        <w:tc>
          <w:tcPr>
            <w:tcW w:w="556" w:type="pct"/>
            <w:vAlign w:val="bottom"/>
          </w:tcPr>
          <w:p w14:paraId="56D00B14" w14:textId="77777777" w:rsidR="006026BF" w:rsidRPr="00886EE2" w:rsidRDefault="006026BF" w:rsidP="00400DD1">
            <w:pPr>
              <w:rPr>
                <w:rFonts w:asciiTheme="minorBidi" w:hAnsiTheme="minorBidi" w:cstheme="minorBidi"/>
                <w:sz w:val="18"/>
                <w:szCs w:val="18"/>
                <w:rtl/>
              </w:rPr>
            </w:pPr>
          </w:p>
        </w:tc>
        <w:tc>
          <w:tcPr>
            <w:tcW w:w="624" w:type="pct"/>
            <w:vAlign w:val="bottom"/>
          </w:tcPr>
          <w:p w14:paraId="0645DB08" w14:textId="77777777" w:rsidR="006026BF" w:rsidRPr="00886EE2" w:rsidRDefault="006026BF" w:rsidP="00400DD1">
            <w:pPr>
              <w:rPr>
                <w:rFonts w:asciiTheme="minorBidi" w:hAnsiTheme="minorBidi" w:cstheme="minorBidi"/>
                <w:sz w:val="18"/>
                <w:szCs w:val="18"/>
                <w:rtl/>
              </w:rPr>
            </w:pPr>
          </w:p>
        </w:tc>
        <w:tc>
          <w:tcPr>
            <w:tcW w:w="486" w:type="pct"/>
            <w:vAlign w:val="bottom"/>
          </w:tcPr>
          <w:p w14:paraId="40F07070" w14:textId="77777777" w:rsidR="006026BF" w:rsidRPr="00886EE2" w:rsidRDefault="006026BF" w:rsidP="00400DD1">
            <w:pPr>
              <w:rPr>
                <w:rFonts w:asciiTheme="minorBidi" w:hAnsiTheme="minorBidi" w:cstheme="minorBidi"/>
                <w:sz w:val="18"/>
                <w:szCs w:val="18"/>
                <w:rtl/>
              </w:rPr>
            </w:pPr>
          </w:p>
        </w:tc>
        <w:tc>
          <w:tcPr>
            <w:tcW w:w="486" w:type="pct"/>
            <w:vAlign w:val="bottom"/>
          </w:tcPr>
          <w:p w14:paraId="63164ACF" w14:textId="77777777" w:rsidR="006026BF" w:rsidRPr="00886EE2" w:rsidRDefault="006026BF" w:rsidP="00400DD1">
            <w:pPr>
              <w:rPr>
                <w:rFonts w:asciiTheme="minorBidi" w:hAnsiTheme="minorBidi" w:cstheme="minorBidi"/>
                <w:sz w:val="18"/>
                <w:szCs w:val="18"/>
                <w:rtl/>
              </w:rPr>
            </w:pPr>
          </w:p>
        </w:tc>
      </w:tr>
      <w:tr w:rsidR="006026BF" w:rsidRPr="00886EE2" w14:paraId="67B539BA" w14:textId="77777777" w:rsidTr="00E61F52">
        <w:trPr>
          <w:trHeight w:val="259"/>
        </w:trPr>
        <w:tc>
          <w:tcPr>
            <w:tcW w:w="511" w:type="pct"/>
            <w:gridSpan w:val="2"/>
          </w:tcPr>
          <w:p w14:paraId="74AD6921" w14:textId="77777777" w:rsidR="006026BF" w:rsidRPr="00886EE2" w:rsidRDefault="006026BF" w:rsidP="00400DD1">
            <w:pPr>
              <w:rPr>
                <w:rFonts w:asciiTheme="minorBidi" w:hAnsiTheme="minorBidi" w:cstheme="minorBidi"/>
                <w:sz w:val="18"/>
                <w:szCs w:val="18"/>
                <w:rtl/>
              </w:rPr>
            </w:pPr>
          </w:p>
        </w:tc>
        <w:tc>
          <w:tcPr>
            <w:tcW w:w="210" w:type="pct"/>
            <w:gridSpan w:val="2"/>
            <w:vAlign w:val="bottom"/>
          </w:tcPr>
          <w:p w14:paraId="3BA70B5A" w14:textId="77777777" w:rsidR="006026BF" w:rsidRPr="00886EE2" w:rsidRDefault="006026BF" w:rsidP="00400DD1">
            <w:pPr>
              <w:rPr>
                <w:rFonts w:asciiTheme="minorBidi" w:hAnsiTheme="minorBidi" w:cstheme="minorBidi"/>
                <w:sz w:val="18"/>
                <w:szCs w:val="18"/>
                <w:rtl/>
              </w:rPr>
            </w:pPr>
          </w:p>
        </w:tc>
        <w:tc>
          <w:tcPr>
            <w:tcW w:w="1571" w:type="pct"/>
            <w:vAlign w:val="bottom"/>
            <w:hideMark/>
          </w:tcPr>
          <w:p w14:paraId="126B58FC" w14:textId="77777777" w:rsidR="006026BF" w:rsidRPr="00886EE2" w:rsidRDefault="006026BF" w:rsidP="000823AD">
            <w:pPr>
              <w:ind w:left="720" w:hanging="632"/>
              <w:jc w:val="left"/>
              <w:rPr>
                <w:rFonts w:asciiTheme="minorBidi" w:hAnsiTheme="minorBidi" w:cstheme="minorBidi"/>
                <w:color w:val="000000"/>
                <w:sz w:val="18"/>
                <w:szCs w:val="18"/>
                <w:rtl/>
                <w:lang w:eastAsia="he-IL"/>
              </w:rPr>
            </w:pPr>
            <w:r w:rsidRPr="00886EE2">
              <w:rPr>
                <w:rFonts w:asciiTheme="minorBidi" w:hAnsiTheme="minorBidi" w:cstheme="minorBidi"/>
                <w:color w:val="000000"/>
                <w:sz w:val="18"/>
                <w:szCs w:val="18"/>
                <w:rtl/>
                <w:lang w:eastAsia="he-IL"/>
              </w:rPr>
              <w:t>בינוי ונדל"ן</w:t>
            </w:r>
          </w:p>
        </w:tc>
        <w:tc>
          <w:tcPr>
            <w:tcW w:w="556" w:type="pct"/>
            <w:vAlign w:val="bottom"/>
            <w:hideMark/>
          </w:tcPr>
          <w:p w14:paraId="3B41747E" w14:textId="77777777" w:rsidR="006026BF" w:rsidRPr="00886EE2" w:rsidRDefault="006026BF" w:rsidP="00400DD1">
            <w:pP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56" w:type="pct"/>
            <w:vAlign w:val="bottom"/>
            <w:hideMark/>
          </w:tcPr>
          <w:p w14:paraId="591EE169" w14:textId="77777777" w:rsidR="006026BF" w:rsidRPr="00886EE2" w:rsidRDefault="006026BF" w:rsidP="00400DD1">
            <w:pP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624" w:type="pct"/>
            <w:vAlign w:val="bottom"/>
            <w:hideMark/>
          </w:tcPr>
          <w:p w14:paraId="10BA589B" w14:textId="77777777" w:rsidR="006026BF" w:rsidRPr="00886EE2" w:rsidRDefault="006026BF" w:rsidP="00400DD1">
            <w:pP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486" w:type="pct"/>
            <w:vAlign w:val="bottom"/>
            <w:hideMark/>
          </w:tcPr>
          <w:p w14:paraId="57E5F585" w14:textId="77777777" w:rsidR="006026BF" w:rsidRPr="00886EE2" w:rsidRDefault="006026BF" w:rsidP="00400DD1">
            <w:pP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486" w:type="pct"/>
            <w:vAlign w:val="bottom"/>
            <w:hideMark/>
          </w:tcPr>
          <w:p w14:paraId="2C08C689" w14:textId="77777777" w:rsidR="006026BF" w:rsidRPr="00886EE2" w:rsidRDefault="006026BF" w:rsidP="00400DD1">
            <w:pPr>
              <w:rPr>
                <w:rFonts w:asciiTheme="minorBidi" w:hAnsiTheme="minorBidi" w:cstheme="minorBidi"/>
                <w:sz w:val="18"/>
                <w:szCs w:val="18"/>
                <w:rtl/>
              </w:rPr>
            </w:pPr>
            <w:r w:rsidRPr="00886EE2">
              <w:rPr>
                <w:rFonts w:asciiTheme="minorBidi" w:hAnsiTheme="minorBidi" w:cstheme="minorBidi"/>
                <w:sz w:val="18"/>
                <w:szCs w:val="18"/>
                <w:rtl/>
              </w:rPr>
              <w:t xml:space="preserve"> 0</w:t>
            </w:r>
          </w:p>
        </w:tc>
      </w:tr>
      <w:tr w:rsidR="006026BF" w:rsidRPr="00886EE2" w14:paraId="6EE9991A" w14:textId="77777777" w:rsidTr="00E61F52">
        <w:trPr>
          <w:trHeight w:val="259"/>
        </w:trPr>
        <w:tc>
          <w:tcPr>
            <w:tcW w:w="511" w:type="pct"/>
            <w:gridSpan w:val="2"/>
          </w:tcPr>
          <w:p w14:paraId="2E748B1C" w14:textId="77777777" w:rsidR="006026BF" w:rsidRPr="00886EE2" w:rsidRDefault="006026BF" w:rsidP="00400DD1">
            <w:pPr>
              <w:rPr>
                <w:rFonts w:asciiTheme="minorBidi" w:hAnsiTheme="minorBidi" w:cstheme="minorBidi"/>
                <w:sz w:val="18"/>
                <w:szCs w:val="18"/>
                <w:rtl/>
              </w:rPr>
            </w:pPr>
          </w:p>
        </w:tc>
        <w:tc>
          <w:tcPr>
            <w:tcW w:w="210" w:type="pct"/>
            <w:gridSpan w:val="2"/>
            <w:vAlign w:val="bottom"/>
          </w:tcPr>
          <w:p w14:paraId="48097249" w14:textId="77777777" w:rsidR="006026BF" w:rsidRPr="00886EE2" w:rsidRDefault="006026BF" w:rsidP="00400DD1">
            <w:pPr>
              <w:rPr>
                <w:rFonts w:asciiTheme="minorBidi" w:hAnsiTheme="minorBidi" w:cstheme="minorBidi"/>
                <w:sz w:val="18"/>
                <w:szCs w:val="18"/>
                <w:rtl/>
              </w:rPr>
            </w:pPr>
          </w:p>
        </w:tc>
        <w:tc>
          <w:tcPr>
            <w:tcW w:w="1571" w:type="pct"/>
            <w:vAlign w:val="bottom"/>
            <w:hideMark/>
          </w:tcPr>
          <w:p w14:paraId="2D722E71" w14:textId="77777777" w:rsidR="006026BF" w:rsidRPr="00886EE2" w:rsidRDefault="006026BF" w:rsidP="006873DC">
            <w:pPr>
              <w:ind w:left="720" w:hanging="632"/>
              <w:jc w:val="left"/>
              <w:rPr>
                <w:rFonts w:asciiTheme="minorBidi" w:hAnsiTheme="minorBidi" w:cstheme="minorBidi"/>
                <w:color w:val="000000"/>
                <w:sz w:val="18"/>
                <w:szCs w:val="18"/>
                <w:rtl/>
                <w:lang w:eastAsia="he-IL"/>
              </w:rPr>
            </w:pPr>
            <w:r w:rsidRPr="00886EE2">
              <w:rPr>
                <w:rFonts w:asciiTheme="minorBidi" w:hAnsiTheme="minorBidi" w:cstheme="minorBidi"/>
                <w:color w:val="000000"/>
                <w:sz w:val="18"/>
                <w:szCs w:val="18"/>
                <w:rtl/>
                <w:lang w:eastAsia="he-IL"/>
              </w:rPr>
              <w:t>מסחרי - אחר</w:t>
            </w:r>
          </w:p>
        </w:tc>
        <w:tc>
          <w:tcPr>
            <w:tcW w:w="556" w:type="pct"/>
            <w:vAlign w:val="bottom"/>
            <w:hideMark/>
          </w:tcPr>
          <w:p w14:paraId="106C6950" w14:textId="77777777" w:rsidR="006026BF" w:rsidRPr="00886EE2" w:rsidRDefault="006026BF" w:rsidP="00400DD1">
            <w:pPr>
              <w:pBdr>
                <w:bottom w:val="single" w:sz="4" w:space="1" w:color="auto"/>
              </w:pBdr>
              <w:rPr>
                <w:rFonts w:asciiTheme="minorBidi" w:hAnsiTheme="minorBidi" w:cstheme="minorBidi"/>
                <w:color w:val="000000"/>
                <w:sz w:val="18"/>
                <w:szCs w:val="18"/>
                <w:rtl/>
                <w:lang w:eastAsia="he-IL"/>
              </w:rPr>
            </w:pPr>
            <w:r w:rsidRPr="00886EE2">
              <w:rPr>
                <w:rFonts w:asciiTheme="minorBidi" w:hAnsiTheme="minorBidi" w:cstheme="minorBidi"/>
                <w:sz w:val="18"/>
                <w:szCs w:val="18"/>
                <w:rtl/>
              </w:rPr>
              <w:t xml:space="preserve"> 0</w:t>
            </w:r>
          </w:p>
        </w:tc>
        <w:tc>
          <w:tcPr>
            <w:tcW w:w="556" w:type="pct"/>
            <w:vAlign w:val="bottom"/>
            <w:hideMark/>
          </w:tcPr>
          <w:p w14:paraId="2A10E7BF" w14:textId="77777777" w:rsidR="006026BF" w:rsidRPr="00886EE2" w:rsidRDefault="006026BF" w:rsidP="00400DD1">
            <w:pPr>
              <w:pBdr>
                <w:bottom w:val="single" w:sz="4" w:space="1" w:color="auto"/>
              </w:pBdr>
              <w:rPr>
                <w:rFonts w:asciiTheme="minorBidi" w:hAnsiTheme="minorBidi" w:cstheme="minorBidi"/>
                <w:color w:val="000000"/>
                <w:sz w:val="18"/>
                <w:szCs w:val="18"/>
                <w:rtl/>
                <w:lang w:eastAsia="he-IL"/>
              </w:rPr>
            </w:pPr>
            <w:r w:rsidRPr="00886EE2">
              <w:rPr>
                <w:rFonts w:asciiTheme="minorBidi" w:hAnsiTheme="minorBidi" w:cstheme="minorBidi"/>
                <w:sz w:val="18"/>
                <w:szCs w:val="18"/>
                <w:rtl/>
              </w:rPr>
              <w:t xml:space="preserve"> 0</w:t>
            </w:r>
          </w:p>
        </w:tc>
        <w:tc>
          <w:tcPr>
            <w:tcW w:w="624" w:type="pct"/>
            <w:vAlign w:val="bottom"/>
            <w:hideMark/>
          </w:tcPr>
          <w:p w14:paraId="65976160" w14:textId="77777777" w:rsidR="006026BF" w:rsidRPr="00886EE2" w:rsidRDefault="006026BF" w:rsidP="00400DD1">
            <w:pPr>
              <w:pBdr>
                <w:bottom w:val="single" w:sz="4" w:space="1" w:color="auto"/>
              </w:pBdr>
              <w:rPr>
                <w:rFonts w:asciiTheme="minorBidi" w:hAnsiTheme="minorBidi" w:cstheme="minorBidi"/>
                <w:color w:val="000000"/>
                <w:sz w:val="18"/>
                <w:szCs w:val="18"/>
                <w:rtl/>
                <w:lang w:eastAsia="he-IL"/>
              </w:rPr>
            </w:pPr>
            <w:r w:rsidRPr="00886EE2">
              <w:rPr>
                <w:rFonts w:asciiTheme="minorBidi" w:hAnsiTheme="minorBidi" w:cstheme="minorBidi"/>
                <w:sz w:val="18"/>
                <w:szCs w:val="18"/>
                <w:rtl/>
              </w:rPr>
              <w:t xml:space="preserve"> 0</w:t>
            </w:r>
          </w:p>
        </w:tc>
        <w:tc>
          <w:tcPr>
            <w:tcW w:w="486" w:type="pct"/>
            <w:vAlign w:val="bottom"/>
            <w:hideMark/>
          </w:tcPr>
          <w:p w14:paraId="7B7F9BA7" w14:textId="77777777" w:rsidR="006026BF" w:rsidRPr="00886EE2" w:rsidRDefault="006026BF" w:rsidP="00400DD1">
            <w:pPr>
              <w:pBdr>
                <w:bottom w:val="single" w:sz="4" w:space="1" w:color="auto"/>
              </w:pBdr>
              <w:rPr>
                <w:rFonts w:asciiTheme="minorBidi" w:hAnsiTheme="minorBidi" w:cstheme="minorBidi"/>
                <w:color w:val="000000"/>
                <w:sz w:val="18"/>
                <w:szCs w:val="18"/>
                <w:rtl/>
                <w:lang w:eastAsia="he-IL"/>
              </w:rPr>
            </w:pPr>
            <w:r w:rsidRPr="00886EE2">
              <w:rPr>
                <w:rFonts w:asciiTheme="minorBidi" w:hAnsiTheme="minorBidi" w:cstheme="minorBidi"/>
                <w:sz w:val="18"/>
                <w:szCs w:val="18"/>
                <w:rtl/>
              </w:rPr>
              <w:t xml:space="preserve"> 0</w:t>
            </w:r>
          </w:p>
        </w:tc>
        <w:tc>
          <w:tcPr>
            <w:tcW w:w="486" w:type="pct"/>
            <w:vAlign w:val="bottom"/>
            <w:hideMark/>
          </w:tcPr>
          <w:p w14:paraId="69835891" w14:textId="77777777" w:rsidR="006026BF" w:rsidRPr="00886EE2" w:rsidRDefault="006026BF" w:rsidP="00400DD1">
            <w:pPr>
              <w:pBdr>
                <w:bottom w:val="single" w:sz="4" w:space="1" w:color="auto"/>
              </w:pBdr>
              <w:rPr>
                <w:rFonts w:asciiTheme="minorBidi" w:hAnsiTheme="minorBidi" w:cstheme="minorBidi"/>
                <w:color w:val="000000"/>
                <w:sz w:val="18"/>
                <w:szCs w:val="18"/>
                <w:rtl/>
                <w:lang w:eastAsia="he-IL"/>
              </w:rPr>
            </w:pPr>
            <w:r w:rsidRPr="00886EE2">
              <w:rPr>
                <w:rFonts w:asciiTheme="minorBidi" w:hAnsiTheme="minorBidi" w:cstheme="minorBidi"/>
                <w:sz w:val="18"/>
                <w:szCs w:val="18"/>
                <w:rtl/>
              </w:rPr>
              <w:t xml:space="preserve"> 0</w:t>
            </w:r>
          </w:p>
        </w:tc>
      </w:tr>
      <w:tr w:rsidR="006026BF" w:rsidRPr="00886EE2" w14:paraId="709FDAD7" w14:textId="77777777" w:rsidTr="00E61F52">
        <w:trPr>
          <w:trHeight w:val="259"/>
        </w:trPr>
        <w:tc>
          <w:tcPr>
            <w:tcW w:w="511" w:type="pct"/>
            <w:gridSpan w:val="2"/>
          </w:tcPr>
          <w:p w14:paraId="12A35FE7" w14:textId="77777777" w:rsidR="006026BF" w:rsidRPr="00886EE2" w:rsidRDefault="006026BF" w:rsidP="00400DD1">
            <w:pPr>
              <w:rPr>
                <w:rFonts w:asciiTheme="minorBidi" w:hAnsiTheme="minorBidi" w:cstheme="minorBidi"/>
                <w:sz w:val="18"/>
                <w:szCs w:val="18"/>
                <w:rtl/>
              </w:rPr>
            </w:pPr>
          </w:p>
        </w:tc>
        <w:tc>
          <w:tcPr>
            <w:tcW w:w="210" w:type="pct"/>
            <w:gridSpan w:val="2"/>
            <w:vAlign w:val="bottom"/>
          </w:tcPr>
          <w:p w14:paraId="20A2D24C" w14:textId="77777777" w:rsidR="006026BF" w:rsidRPr="00886EE2" w:rsidRDefault="006026BF" w:rsidP="00400DD1">
            <w:pPr>
              <w:rPr>
                <w:rFonts w:asciiTheme="minorBidi" w:hAnsiTheme="minorBidi" w:cstheme="minorBidi"/>
                <w:sz w:val="18"/>
                <w:szCs w:val="18"/>
                <w:rtl/>
              </w:rPr>
            </w:pPr>
          </w:p>
        </w:tc>
        <w:tc>
          <w:tcPr>
            <w:tcW w:w="1571" w:type="pct"/>
            <w:vAlign w:val="bottom"/>
            <w:hideMark/>
          </w:tcPr>
          <w:p w14:paraId="216A7BFD" w14:textId="77777777" w:rsidR="006026BF" w:rsidRPr="00886EE2" w:rsidRDefault="006026BF" w:rsidP="00400DD1">
            <w:pPr>
              <w:ind w:left="34"/>
              <w:jc w:val="left"/>
              <w:rPr>
                <w:rFonts w:asciiTheme="minorBidi" w:hAnsiTheme="minorBidi" w:cstheme="minorBidi"/>
                <w:color w:val="000000"/>
                <w:sz w:val="18"/>
                <w:szCs w:val="18"/>
                <w:rtl/>
                <w:lang w:eastAsia="he-IL"/>
              </w:rPr>
            </w:pPr>
            <w:r w:rsidRPr="00886EE2">
              <w:rPr>
                <w:rFonts w:asciiTheme="minorBidi" w:hAnsiTheme="minorBidi" w:cstheme="minorBidi"/>
                <w:color w:val="000000"/>
                <w:sz w:val="18"/>
                <w:szCs w:val="18"/>
                <w:rtl/>
                <w:lang w:eastAsia="he-IL"/>
              </w:rPr>
              <w:t>סך הכל מסחרי</w:t>
            </w:r>
          </w:p>
        </w:tc>
        <w:tc>
          <w:tcPr>
            <w:tcW w:w="556" w:type="pct"/>
            <w:vAlign w:val="bottom"/>
            <w:hideMark/>
          </w:tcPr>
          <w:p w14:paraId="0D234C3D" w14:textId="77777777" w:rsidR="006026BF" w:rsidRPr="00886EE2" w:rsidRDefault="006026BF" w:rsidP="00400DD1">
            <w:pPr>
              <w:jc w:val="left"/>
              <w:rPr>
                <w:rFonts w:asciiTheme="minorBidi" w:hAnsiTheme="minorBidi" w:cstheme="minorBidi"/>
                <w:sz w:val="18"/>
                <w:szCs w:val="18"/>
              </w:rPr>
            </w:pPr>
            <w:r w:rsidRPr="00886EE2">
              <w:rPr>
                <w:rFonts w:asciiTheme="minorBidi" w:hAnsiTheme="minorBidi" w:cstheme="minorBidi"/>
                <w:sz w:val="18"/>
                <w:szCs w:val="18"/>
                <w:rtl/>
              </w:rPr>
              <w:t xml:space="preserve"> 0</w:t>
            </w:r>
          </w:p>
        </w:tc>
        <w:tc>
          <w:tcPr>
            <w:tcW w:w="556" w:type="pct"/>
            <w:vAlign w:val="bottom"/>
            <w:hideMark/>
          </w:tcPr>
          <w:p w14:paraId="1E3083E6" w14:textId="77777777" w:rsidR="006026BF" w:rsidRPr="00886EE2" w:rsidRDefault="006026BF" w:rsidP="00400DD1">
            <w:pPr>
              <w:jc w:val="left"/>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624" w:type="pct"/>
            <w:vAlign w:val="bottom"/>
            <w:hideMark/>
          </w:tcPr>
          <w:p w14:paraId="4640C9D3" w14:textId="77777777" w:rsidR="006026BF" w:rsidRPr="00886EE2" w:rsidRDefault="006026BF" w:rsidP="00400DD1">
            <w:pPr>
              <w:jc w:val="left"/>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486" w:type="pct"/>
            <w:vAlign w:val="bottom"/>
            <w:hideMark/>
          </w:tcPr>
          <w:p w14:paraId="3E8B7121" w14:textId="77777777" w:rsidR="006026BF" w:rsidRPr="00886EE2" w:rsidRDefault="006026BF" w:rsidP="00400DD1">
            <w:pPr>
              <w:jc w:val="left"/>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486" w:type="pct"/>
            <w:vAlign w:val="bottom"/>
            <w:hideMark/>
          </w:tcPr>
          <w:p w14:paraId="067FD1CA" w14:textId="77777777" w:rsidR="006026BF" w:rsidRPr="00886EE2" w:rsidRDefault="006026BF" w:rsidP="00400DD1">
            <w:pPr>
              <w:jc w:val="left"/>
              <w:rPr>
                <w:rFonts w:asciiTheme="minorBidi" w:hAnsiTheme="minorBidi" w:cstheme="minorBidi"/>
                <w:sz w:val="18"/>
                <w:szCs w:val="18"/>
                <w:rtl/>
              </w:rPr>
            </w:pPr>
            <w:r w:rsidRPr="00886EE2">
              <w:rPr>
                <w:rFonts w:asciiTheme="minorBidi" w:hAnsiTheme="minorBidi" w:cstheme="minorBidi"/>
                <w:sz w:val="18"/>
                <w:szCs w:val="18"/>
                <w:rtl/>
              </w:rPr>
              <w:t xml:space="preserve"> 0</w:t>
            </w:r>
          </w:p>
        </w:tc>
      </w:tr>
      <w:tr w:rsidR="006026BF" w:rsidRPr="00886EE2" w14:paraId="11F97423" w14:textId="77777777" w:rsidTr="00E61F52">
        <w:trPr>
          <w:trHeight w:val="259"/>
        </w:trPr>
        <w:tc>
          <w:tcPr>
            <w:tcW w:w="511" w:type="pct"/>
            <w:gridSpan w:val="2"/>
          </w:tcPr>
          <w:p w14:paraId="3F9B6D9B" w14:textId="77777777" w:rsidR="006026BF" w:rsidRPr="00886EE2" w:rsidRDefault="006026BF" w:rsidP="00400DD1">
            <w:pPr>
              <w:rPr>
                <w:rFonts w:asciiTheme="minorBidi" w:hAnsiTheme="minorBidi" w:cstheme="minorBidi"/>
                <w:sz w:val="18"/>
                <w:szCs w:val="18"/>
                <w:rtl/>
              </w:rPr>
            </w:pPr>
          </w:p>
        </w:tc>
        <w:tc>
          <w:tcPr>
            <w:tcW w:w="210" w:type="pct"/>
            <w:gridSpan w:val="2"/>
            <w:vAlign w:val="bottom"/>
          </w:tcPr>
          <w:p w14:paraId="48C8A4C1" w14:textId="77777777" w:rsidR="006026BF" w:rsidRPr="00886EE2" w:rsidRDefault="006026BF" w:rsidP="00400DD1">
            <w:pPr>
              <w:rPr>
                <w:rFonts w:asciiTheme="minorBidi" w:hAnsiTheme="minorBidi" w:cstheme="minorBidi"/>
                <w:sz w:val="18"/>
                <w:szCs w:val="18"/>
                <w:rtl/>
              </w:rPr>
            </w:pPr>
          </w:p>
        </w:tc>
        <w:tc>
          <w:tcPr>
            <w:tcW w:w="1571" w:type="pct"/>
            <w:vAlign w:val="bottom"/>
            <w:hideMark/>
          </w:tcPr>
          <w:p w14:paraId="54656AF6" w14:textId="77777777" w:rsidR="006026BF" w:rsidRPr="00886EE2" w:rsidRDefault="006026BF" w:rsidP="00400DD1">
            <w:pPr>
              <w:spacing w:before="40" w:line="200" w:lineRule="exact"/>
              <w:ind w:right="144" w:firstLine="34"/>
              <w:jc w:val="left"/>
              <w:rPr>
                <w:rFonts w:asciiTheme="minorBidi" w:hAnsiTheme="minorBidi" w:cstheme="minorBidi"/>
                <w:color w:val="000000"/>
                <w:sz w:val="18"/>
                <w:szCs w:val="18"/>
                <w:rtl/>
                <w:lang w:eastAsia="he-IL"/>
              </w:rPr>
            </w:pPr>
            <w:r w:rsidRPr="00886EE2">
              <w:rPr>
                <w:rFonts w:asciiTheme="minorBidi" w:hAnsiTheme="minorBidi" w:cstheme="minorBidi"/>
                <w:color w:val="000000"/>
                <w:sz w:val="18"/>
                <w:szCs w:val="18"/>
                <w:rtl/>
                <w:lang w:eastAsia="he-IL"/>
              </w:rPr>
              <w:t>אנשים פרטיים - הלוואות לדיור</w:t>
            </w:r>
          </w:p>
        </w:tc>
        <w:tc>
          <w:tcPr>
            <w:tcW w:w="556" w:type="pct"/>
            <w:vAlign w:val="bottom"/>
            <w:hideMark/>
          </w:tcPr>
          <w:p w14:paraId="51C539F4" w14:textId="77777777" w:rsidR="006026BF" w:rsidRPr="00886EE2" w:rsidRDefault="006026BF" w:rsidP="00400DD1">
            <w:pPr>
              <w:rPr>
                <w:rFonts w:asciiTheme="minorBidi" w:hAnsiTheme="minorBidi" w:cstheme="minorBidi"/>
                <w:sz w:val="18"/>
                <w:szCs w:val="18"/>
              </w:rPr>
            </w:pPr>
            <w:r w:rsidRPr="00886EE2">
              <w:rPr>
                <w:rFonts w:asciiTheme="minorBidi" w:hAnsiTheme="minorBidi" w:cstheme="minorBidi"/>
                <w:sz w:val="18"/>
                <w:szCs w:val="18"/>
                <w:rtl/>
              </w:rPr>
              <w:t xml:space="preserve"> 0</w:t>
            </w:r>
          </w:p>
        </w:tc>
        <w:tc>
          <w:tcPr>
            <w:tcW w:w="556" w:type="pct"/>
            <w:vAlign w:val="bottom"/>
            <w:hideMark/>
          </w:tcPr>
          <w:p w14:paraId="164D36A3" w14:textId="77777777" w:rsidR="006026BF" w:rsidRPr="00886EE2" w:rsidRDefault="006026BF" w:rsidP="00400DD1">
            <w:pP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624" w:type="pct"/>
            <w:vAlign w:val="bottom"/>
            <w:hideMark/>
          </w:tcPr>
          <w:p w14:paraId="2B35BB65" w14:textId="77777777" w:rsidR="006026BF" w:rsidRPr="00886EE2" w:rsidRDefault="006026BF" w:rsidP="00400DD1">
            <w:pP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486" w:type="pct"/>
            <w:vAlign w:val="bottom"/>
            <w:hideMark/>
          </w:tcPr>
          <w:p w14:paraId="4762E3AA" w14:textId="77777777" w:rsidR="006026BF" w:rsidRPr="00886EE2" w:rsidRDefault="006026BF" w:rsidP="00400DD1">
            <w:pP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486" w:type="pct"/>
            <w:vAlign w:val="bottom"/>
            <w:hideMark/>
          </w:tcPr>
          <w:p w14:paraId="37C4BFA8" w14:textId="77777777" w:rsidR="006026BF" w:rsidRPr="00886EE2" w:rsidRDefault="006026BF" w:rsidP="00400DD1">
            <w:pPr>
              <w:rPr>
                <w:rFonts w:asciiTheme="minorBidi" w:hAnsiTheme="minorBidi" w:cstheme="minorBidi"/>
                <w:sz w:val="18"/>
                <w:szCs w:val="18"/>
                <w:rtl/>
              </w:rPr>
            </w:pPr>
            <w:r w:rsidRPr="00886EE2">
              <w:rPr>
                <w:rFonts w:asciiTheme="minorBidi" w:hAnsiTheme="minorBidi" w:cstheme="minorBidi"/>
                <w:sz w:val="18"/>
                <w:szCs w:val="18"/>
                <w:rtl/>
              </w:rPr>
              <w:t xml:space="preserve"> 0</w:t>
            </w:r>
          </w:p>
        </w:tc>
      </w:tr>
      <w:tr w:rsidR="006026BF" w:rsidRPr="00886EE2" w14:paraId="0DE5887F" w14:textId="77777777" w:rsidTr="00E61F52">
        <w:trPr>
          <w:trHeight w:val="259"/>
        </w:trPr>
        <w:tc>
          <w:tcPr>
            <w:tcW w:w="511" w:type="pct"/>
            <w:gridSpan w:val="2"/>
          </w:tcPr>
          <w:p w14:paraId="29E92FF8" w14:textId="77777777" w:rsidR="006026BF" w:rsidRPr="00886EE2" w:rsidRDefault="006026BF" w:rsidP="00400DD1">
            <w:pPr>
              <w:rPr>
                <w:rFonts w:asciiTheme="minorBidi" w:hAnsiTheme="minorBidi" w:cstheme="minorBidi"/>
                <w:sz w:val="18"/>
                <w:szCs w:val="18"/>
                <w:rtl/>
              </w:rPr>
            </w:pPr>
          </w:p>
        </w:tc>
        <w:tc>
          <w:tcPr>
            <w:tcW w:w="210" w:type="pct"/>
            <w:gridSpan w:val="2"/>
            <w:vAlign w:val="bottom"/>
          </w:tcPr>
          <w:p w14:paraId="71E1FAFB" w14:textId="77777777" w:rsidR="006026BF" w:rsidRPr="00886EE2" w:rsidRDefault="006026BF" w:rsidP="00400DD1">
            <w:pPr>
              <w:rPr>
                <w:rFonts w:asciiTheme="minorBidi" w:hAnsiTheme="minorBidi" w:cstheme="minorBidi"/>
                <w:sz w:val="18"/>
                <w:szCs w:val="18"/>
                <w:rtl/>
              </w:rPr>
            </w:pPr>
          </w:p>
        </w:tc>
        <w:tc>
          <w:tcPr>
            <w:tcW w:w="1571" w:type="pct"/>
            <w:vAlign w:val="bottom"/>
            <w:hideMark/>
          </w:tcPr>
          <w:p w14:paraId="056670BD" w14:textId="77777777" w:rsidR="006026BF" w:rsidRPr="00886EE2" w:rsidRDefault="006026BF" w:rsidP="00400DD1">
            <w:pPr>
              <w:ind w:firstLine="34"/>
              <w:jc w:val="left"/>
              <w:rPr>
                <w:rFonts w:asciiTheme="minorBidi" w:hAnsiTheme="minorBidi" w:cstheme="minorBidi"/>
                <w:color w:val="000000"/>
                <w:sz w:val="18"/>
                <w:szCs w:val="18"/>
                <w:rtl/>
                <w:lang w:eastAsia="he-IL"/>
              </w:rPr>
            </w:pPr>
            <w:r w:rsidRPr="00886EE2">
              <w:rPr>
                <w:rFonts w:asciiTheme="minorBidi" w:hAnsiTheme="minorBidi" w:cstheme="minorBidi"/>
                <w:color w:val="000000"/>
                <w:sz w:val="18"/>
                <w:szCs w:val="18"/>
                <w:rtl/>
                <w:lang w:eastAsia="he-IL"/>
              </w:rPr>
              <w:t>אנשים פרטיים - אחר</w:t>
            </w:r>
          </w:p>
        </w:tc>
        <w:tc>
          <w:tcPr>
            <w:tcW w:w="556" w:type="pct"/>
            <w:vAlign w:val="bottom"/>
            <w:hideMark/>
          </w:tcPr>
          <w:p w14:paraId="45FFB862" w14:textId="77777777" w:rsidR="006026BF" w:rsidRPr="00886EE2" w:rsidRDefault="006026BF" w:rsidP="00400DD1">
            <w:pPr>
              <w:rPr>
                <w:rFonts w:asciiTheme="minorBidi" w:hAnsiTheme="minorBidi" w:cstheme="minorBidi"/>
                <w:sz w:val="18"/>
                <w:szCs w:val="18"/>
              </w:rPr>
            </w:pPr>
            <w:r w:rsidRPr="00886EE2">
              <w:rPr>
                <w:rFonts w:asciiTheme="minorBidi" w:hAnsiTheme="minorBidi" w:cstheme="minorBidi"/>
                <w:sz w:val="18"/>
                <w:szCs w:val="18"/>
                <w:rtl/>
              </w:rPr>
              <w:t xml:space="preserve"> 0</w:t>
            </w:r>
          </w:p>
        </w:tc>
        <w:tc>
          <w:tcPr>
            <w:tcW w:w="556" w:type="pct"/>
            <w:vAlign w:val="bottom"/>
            <w:hideMark/>
          </w:tcPr>
          <w:p w14:paraId="7E516A81" w14:textId="77777777" w:rsidR="006026BF" w:rsidRPr="00886EE2" w:rsidRDefault="006026BF" w:rsidP="00400DD1">
            <w:pP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624" w:type="pct"/>
            <w:vAlign w:val="bottom"/>
            <w:hideMark/>
          </w:tcPr>
          <w:p w14:paraId="146FCE14" w14:textId="77777777" w:rsidR="006026BF" w:rsidRPr="00886EE2" w:rsidRDefault="006026BF" w:rsidP="00400DD1">
            <w:pP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486" w:type="pct"/>
            <w:vAlign w:val="bottom"/>
            <w:hideMark/>
          </w:tcPr>
          <w:p w14:paraId="20418872" w14:textId="77777777" w:rsidR="006026BF" w:rsidRPr="00886EE2" w:rsidRDefault="006026BF" w:rsidP="00400DD1">
            <w:pP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486" w:type="pct"/>
            <w:vAlign w:val="bottom"/>
            <w:hideMark/>
          </w:tcPr>
          <w:p w14:paraId="0D1C3337" w14:textId="77777777" w:rsidR="006026BF" w:rsidRPr="00886EE2" w:rsidRDefault="006026BF" w:rsidP="00400DD1">
            <w:pPr>
              <w:rPr>
                <w:rFonts w:asciiTheme="minorBidi" w:hAnsiTheme="minorBidi" w:cstheme="minorBidi"/>
                <w:sz w:val="18"/>
                <w:szCs w:val="18"/>
                <w:rtl/>
              </w:rPr>
            </w:pPr>
            <w:r w:rsidRPr="00886EE2">
              <w:rPr>
                <w:rFonts w:asciiTheme="minorBidi" w:hAnsiTheme="minorBidi" w:cstheme="minorBidi"/>
                <w:sz w:val="18"/>
                <w:szCs w:val="18"/>
                <w:rtl/>
              </w:rPr>
              <w:t xml:space="preserve"> 0</w:t>
            </w:r>
          </w:p>
        </w:tc>
      </w:tr>
      <w:tr w:rsidR="006026BF" w:rsidRPr="00886EE2" w14:paraId="788CA8B2" w14:textId="77777777" w:rsidTr="00E61F52">
        <w:trPr>
          <w:trHeight w:val="259"/>
        </w:trPr>
        <w:tc>
          <w:tcPr>
            <w:tcW w:w="511" w:type="pct"/>
            <w:gridSpan w:val="2"/>
          </w:tcPr>
          <w:p w14:paraId="39B21680" w14:textId="77777777" w:rsidR="006026BF" w:rsidRPr="00886EE2" w:rsidRDefault="006026BF" w:rsidP="00400DD1">
            <w:pPr>
              <w:rPr>
                <w:rFonts w:asciiTheme="minorBidi" w:hAnsiTheme="minorBidi" w:cstheme="minorBidi"/>
                <w:sz w:val="18"/>
                <w:szCs w:val="18"/>
                <w:rtl/>
              </w:rPr>
            </w:pPr>
          </w:p>
        </w:tc>
        <w:tc>
          <w:tcPr>
            <w:tcW w:w="210" w:type="pct"/>
            <w:gridSpan w:val="2"/>
            <w:vAlign w:val="bottom"/>
          </w:tcPr>
          <w:p w14:paraId="00160658" w14:textId="77777777" w:rsidR="006026BF" w:rsidRPr="00886EE2" w:rsidRDefault="006026BF" w:rsidP="00400DD1">
            <w:pPr>
              <w:rPr>
                <w:rFonts w:asciiTheme="minorBidi" w:hAnsiTheme="minorBidi" w:cstheme="minorBidi"/>
                <w:sz w:val="18"/>
                <w:szCs w:val="18"/>
                <w:rtl/>
              </w:rPr>
            </w:pPr>
          </w:p>
        </w:tc>
        <w:tc>
          <w:tcPr>
            <w:tcW w:w="1571" w:type="pct"/>
            <w:vAlign w:val="bottom"/>
            <w:hideMark/>
          </w:tcPr>
          <w:p w14:paraId="67FE0946" w14:textId="77777777" w:rsidR="006026BF" w:rsidRPr="00886EE2" w:rsidRDefault="006026BF" w:rsidP="007046CF">
            <w:pPr>
              <w:spacing w:before="60" w:line="180" w:lineRule="exact"/>
              <w:ind w:left="34" w:right="142"/>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סך הכל אשראי לציבור - פעילות בישראל</w:t>
            </w:r>
          </w:p>
        </w:tc>
        <w:tc>
          <w:tcPr>
            <w:tcW w:w="556" w:type="pct"/>
            <w:vAlign w:val="bottom"/>
            <w:hideMark/>
          </w:tcPr>
          <w:p w14:paraId="17B6C230" w14:textId="77777777" w:rsidR="006026BF" w:rsidRPr="00886EE2" w:rsidRDefault="006026BF" w:rsidP="00400DD1">
            <w:pPr>
              <w:pBdr>
                <w:top w:val="single" w:sz="4" w:space="1" w:color="auto"/>
              </w:pBdr>
              <w:ind w:left="144" w:hanging="144"/>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 xml:space="preserve"> 0</w:t>
            </w:r>
          </w:p>
        </w:tc>
        <w:tc>
          <w:tcPr>
            <w:tcW w:w="556" w:type="pct"/>
            <w:vAlign w:val="bottom"/>
            <w:hideMark/>
          </w:tcPr>
          <w:p w14:paraId="594460EF" w14:textId="77777777" w:rsidR="006026BF" w:rsidRPr="00886EE2" w:rsidRDefault="006026BF" w:rsidP="00400DD1">
            <w:pPr>
              <w:pBdr>
                <w:top w:val="single" w:sz="4" w:space="1" w:color="auto"/>
              </w:pBdr>
              <w:ind w:left="144" w:hanging="144"/>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 xml:space="preserve"> 0</w:t>
            </w:r>
          </w:p>
        </w:tc>
        <w:tc>
          <w:tcPr>
            <w:tcW w:w="624" w:type="pct"/>
            <w:vAlign w:val="bottom"/>
            <w:hideMark/>
          </w:tcPr>
          <w:p w14:paraId="2F47A530" w14:textId="77777777" w:rsidR="006026BF" w:rsidRPr="00886EE2" w:rsidRDefault="006026BF" w:rsidP="00400DD1">
            <w:pPr>
              <w:pBdr>
                <w:top w:val="single" w:sz="4" w:space="1" w:color="auto"/>
              </w:pBdr>
              <w:ind w:left="144" w:hanging="144"/>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 xml:space="preserve"> 0</w:t>
            </w:r>
          </w:p>
        </w:tc>
        <w:tc>
          <w:tcPr>
            <w:tcW w:w="486" w:type="pct"/>
            <w:vAlign w:val="bottom"/>
            <w:hideMark/>
          </w:tcPr>
          <w:p w14:paraId="6A98FFA5" w14:textId="77777777" w:rsidR="006026BF" w:rsidRPr="00886EE2" w:rsidRDefault="006026BF" w:rsidP="00400DD1">
            <w:pPr>
              <w:pBdr>
                <w:top w:val="single" w:sz="4" w:space="1" w:color="auto"/>
              </w:pBdr>
              <w:ind w:left="144" w:hanging="144"/>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 xml:space="preserve"> 0</w:t>
            </w:r>
          </w:p>
        </w:tc>
        <w:tc>
          <w:tcPr>
            <w:tcW w:w="486" w:type="pct"/>
            <w:vAlign w:val="bottom"/>
            <w:hideMark/>
          </w:tcPr>
          <w:p w14:paraId="0A945BA6" w14:textId="77777777" w:rsidR="006026BF" w:rsidRPr="00886EE2" w:rsidRDefault="006026BF" w:rsidP="00400DD1">
            <w:pPr>
              <w:pBdr>
                <w:top w:val="single" w:sz="4" w:space="1" w:color="auto"/>
              </w:pBdr>
              <w:ind w:left="144" w:hanging="144"/>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 xml:space="preserve"> 0</w:t>
            </w:r>
          </w:p>
        </w:tc>
      </w:tr>
      <w:tr w:rsidR="006026BF" w:rsidRPr="00886EE2" w14:paraId="03EC56D2" w14:textId="77777777" w:rsidTr="00E61F52">
        <w:tc>
          <w:tcPr>
            <w:tcW w:w="511" w:type="pct"/>
            <w:gridSpan w:val="2"/>
          </w:tcPr>
          <w:p w14:paraId="4730BA1C" w14:textId="77777777" w:rsidR="006026BF" w:rsidRPr="00886EE2" w:rsidRDefault="006026BF" w:rsidP="00400DD1">
            <w:pPr>
              <w:spacing w:line="120" w:lineRule="exact"/>
              <w:rPr>
                <w:rFonts w:asciiTheme="minorBidi" w:hAnsiTheme="minorBidi" w:cstheme="minorBidi"/>
                <w:sz w:val="18"/>
                <w:szCs w:val="18"/>
                <w:rtl/>
              </w:rPr>
            </w:pPr>
          </w:p>
        </w:tc>
        <w:tc>
          <w:tcPr>
            <w:tcW w:w="210" w:type="pct"/>
            <w:gridSpan w:val="2"/>
            <w:vAlign w:val="bottom"/>
          </w:tcPr>
          <w:p w14:paraId="3360B158" w14:textId="77777777" w:rsidR="006026BF" w:rsidRPr="00886EE2" w:rsidRDefault="006026BF" w:rsidP="00400DD1">
            <w:pPr>
              <w:spacing w:line="120" w:lineRule="exact"/>
              <w:rPr>
                <w:rFonts w:asciiTheme="minorBidi" w:hAnsiTheme="minorBidi" w:cstheme="minorBidi"/>
                <w:sz w:val="18"/>
                <w:szCs w:val="18"/>
                <w:rtl/>
              </w:rPr>
            </w:pPr>
          </w:p>
        </w:tc>
        <w:tc>
          <w:tcPr>
            <w:tcW w:w="1571" w:type="pct"/>
            <w:vAlign w:val="bottom"/>
          </w:tcPr>
          <w:p w14:paraId="1F804966" w14:textId="77777777" w:rsidR="006026BF" w:rsidRPr="00886EE2" w:rsidRDefault="006026BF" w:rsidP="00400DD1">
            <w:pPr>
              <w:spacing w:line="120" w:lineRule="exact"/>
              <w:ind w:left="432" w:right="144" w:hanging="144"/>
              <w:jc w:val="left"/>
              <w:rPr>
                <w:rFonts w:asciiTheme="minorBidi" w:hAnsiTheme="minorBidi" w:cstheme="minorBidi"/>
                <w:color w:val="000000"/>
                <w:sz w:val="18"/>
                <w:szCs w:val="18"/>
                <w:rtl/>
                <w:lang w:eastAsia="he-IL"/>
              </w:rPr>
            </w:pPr>
          </w:p>
        </w:tc>
        <w:tc>
          <w:tcPr>
            <w:tcW w:w="556" w:type="pct"/>
          </w:tcPr>
          <w:p w14:paraId="178C8C06" w14:textId="77777777" w:rsidR="006026BF" w:rsidRPr="00886EE2" w:rsidRDefault="006026BF" w:rsidP="00400DD1">
            <w:pPr>
              <w:spacing w:line="120" w:lineRule="exact"/>
              <w:jc w:val="center"/>
              <w:rPr>
                <w:rFonts w:asciiTheme="minorBidi" w:hAnsiTheme="minorBidi" w:cstheme="minorBidi"/>
                <w:sz w:val="18"/>
                <w:szCs w:val="18"/>
                <w:rtl/>
              </w:rPr>
            </w:pPr>
          </w:p>
        </w:tc>
        <w:tc>
          <w:tcPr>
            <w:tcW w:w="556" w:type="pct"/>
          </w:tcPr>
          <w:p w14:paraId="05E47DFA" w14:textId="77777777" w:rsidR="006026BF" w:rsidRPr="00886EE2" w:rsidRDefault="006026BF" w:rsidP="00400DD1">
            <w:pPr>
              <w:spacing w:line="120" w:lineRule="exact"/>
              <w:jc w:val="center"/>
              <w:rPr>
                <w:rFonts w:asciiTheme="minorBidi" w:hAnsiTheme="minorBidi" w:cstheme="minorBidi"/>
                <w:sz w:val="18"/>
                <w:szCs w:val="18"/>
                <w:rtl/>
              </w:rPr>
            </w:pPr>
          </w:p>
        </w:tc>
        <w:tc>
          <w:tcPr>
            <w:tcW w:w="624" w:type="pct"/>
          </w:tcPr>
          <w:p w14:paraId="29C19159" w14:textId="77777777" w:rsidR="006026BF" w:rsidRPr="00886EE2" w:rsidRDefault="006026BF" w:rsidP="00400DD1">
            <w:pPr>
              <w:spacing w:line="120" w:lineRule="exact"/>
              <w:jc w:val="center"/>
              <w:rPr>
                <w:rFonts w:asciiTheme="minorBidi" w:hAnsiTheme="minorBidi" w:cstheme="minorBidi"/>
                <w:sz w:val="18"/>
                <w:szCs w:val="18"/>
                <w:rtl/>
              </w:rPr>
            </w:pPr>
          </w:p>
        </w:tc>
        <w:tc>
          <w:tcPr>
            <w:tcW w:w="486" w:type="pct"/>
          </w:tcPr>
          <w:p w14:paraId="01F1DFA6" w14:textId="77777777" w:rsidR="006026BF" w:rsidRPr="00886EE2" w:rsidRDefault="006026BF" w:rsidP="00400DD1">
            <w:pPr>
              <w:spacing w:line="120" w:lineRule="exact"/>
              <w:jc w:val="center"/>
              <w:rPr>
                <w:rFonts w:asciiTheme="minorBidi" w:hAnsiTheme="minorBidi" w:cstheme="minorBidi"/>
                <w:sz w:val="18"/>
                <w:szCs w:val="18"/>
                <w:rtl/>
              </w:rPr>
            </w:pPr>
          </w:p>
        </w:tc>
        <w:tc>
          <w:tcPr>
            <w:tcW w:w="486" w:type="pct"/>
          </w:tcPr>
          <w:p w14:paraId="371D8E64" w14:textId="77777777" w:rsidR="006026BF" w:rsidRPr="00886EE2" w:rsidRDefault="006026BF" w:rsidP="00400DD1">
            <w:pPr>
              <w:spacing w:line="120" w:lineRule="exact"/>
              <w:jc w:val="center"/>
              <w:rPr>
                <w:rFonts w:asciiTheme="minorBidi" w:hAnsiTheme="minorBidi" w:cstheme="minorBidi"/>
                <w:sz w:val="18"/>
                <w:szCs w:val="18"/>
                <w:rtl/>
              </w:rPr>
            </w:pPr>
          </w:p>
        </w:tc>
      </w:tr>
      <w:tr w:rsidR="006026BF" w:rsidRPr="00886EE2" w14:paraId="1D969E1E" w14:textId="77777777" w:rsidTr="00E61F52">
        <w:trPr>
          <w:trHeight w:val="259"/>
        </w:trPr>
        <w:tc>
          <w:tcPr>
            <w:tcW w:w="511" w:type="pct"/>
            <w:gridSpan w:val="2"/>
          </w:tcPr>
          <w:p w14:paraId="1CCB5B28" w14:textId="77777777" w:rsidR="006026BF" w:rsidRPr="00886EE2" w:rsidRDefault="006026BF" w:rsidP="00400DD1">
            <w:pPr>
              <w:rPr>
                <w:rFonts w:asciiTheme="minorBidi" w:hAnsiTheme="minorBidi" w:cstheme="minorBidi"/>
                <w:sz w:val="18"/>
                <w:szCs w:val="18"/>
                <w:rtl/>
              </w:rPr>
            </w:pPr>
          </w:p>
        </w:tc>
        <w:tc>
          <w:tcPr>
            <w:tcW w:w="210" w:type="pct"/>
            <w:gridSpan w:val="2"/>
            <w:vAlign w:val="bottom"/>
          </w:tcPr>
          <w:p w14:paraId="4074CF18" w14:textId="77777777" w:rsidR="006026BF" w:rsidRPr="00886EE2" w:rsidRDefault="006026BF" w:rsidP="00400DD1">
            <w:pPr>
              <w:rPr>
                <w:rFonts w:asciiTheme="minorBidi" w:hAnsiTheme="minorBidi" w:cstheme="minorBidi"/>
                <w:sz w:val="18"/>
                <w:szCs w:val="18"/>
                <w:rtl/>
              </w:rPr>
            </w:pPr>
          </w:p>
        </w:tc>
        <w:tc>
          <w:tcPr>
            <w:tcW w:w="1571" w:type="pct"/>
            <w:vAlign w:val="bottom"/>
            <w:hideMark/>
          </w:tcPr>
          <w:p w14:paraId="5C39A315" w14:textId="77777777" w:rsidR="006026BF" w:rsidRPr="00886EE2" w:rsidRDefault="006026BF" w:rsidP="00400DD1">
            <w:pPr>
              <w:ind w:left="34"/>
              <w:jc w:val="left"/>
              <w:rPr>
                <w:rFonts w:asciiTheme="minorBidi" w:hAnsiTheme="minorBidi" w:cstheme="minorBidi"/>
                <w:b/>
                <w:bCs/>
                <w:color w:val="000000"/>
                <w:sz w:val="18"/>
                <w:szCs w:val="18"/>
                <w:u w:val="single"/>
                <w:rtl/>
                <w:lang w:eastAsia="he-IL"/>
              </w:rPr>
            </w:pPr>
            <w:r w:rsidRPr="00886EE2">
              <w:rPr>
                <w:rFonts w:asciiTheme="minorBidi" w:hAnsiTheme="minorBidi" w:cstheme="minorBidi"/>
                <w:b/>
                <w:bCs/>
                <w:color w:val="000000"/>
                <w:sz w:val="18"/>
                <w:szCs w:val="18"/>
                <w:u w:val="single"/>
                <w:rtl/>
                <w:lang w:eastAsia="he-IL"/>
              </w:rPr>
              <w:t>פעילות לווים בחו"ל</w:t>
            </w:r>
          </w:p>
        </w:tc>
        <w:tc>
          <w:tcPr>
            <w:tcW w:w="556" w:type="pct"/>
            <w:vAlign w:val="bottom"/>
          </w:tcPr>
          <w:p w14:paraId="2A3254E4" w14:textId="77777777" w:rsidR="006026BF" w:rsidRPr="00886EE2" w:rsidRDefault="006026BF" w:rsidP="00400DD1">
            <w:pPr>
              <w:rPr>
                <w:rFonts w:asciiTheme="minorBidi" w:hAnsiTheme="minorBidi" w:cstheme="minorBidi"/>
                <w:sz w:val="18"/>
                <w:szCs w:val="18"/>
                <w:rtl/>
              </w:rPr>
            </w:pPr>
          </w:p>
        </w:tc>
        <w:tc>
          <w:tcPr>
            <w:tcW w:w="556" w:type="pct"/>
            <w:vAlign w:val="bottom"/>
          </w:tcPr>
          <w:p w14:paraId="67EF76C2" w14:textId="77777777" w:rsidR="006026BF" w:rsidRPr="00886EE2" w:rsidRDefault="006026BF" w:rsidP="00400DD1">
            <w:pPr>
              <w:rPr>
                <w:rFonts w:asciiTheme="minorBidi" w:hAnsiTheme="minorBidi" w:cstheme="minorBidi"/>
                <w:sz w:val="18"/>
                <w:szCs w:val="18"/>
                <w:rtl/>
              </w:rPr>
            </w:pPr>
          </w:p>
        </w:tc>
        <w:tc>
          <w:tcPr>
            <w:tcW w:w="624" w:type="pct"/>
            <w:vAlign w:val="bottom"/>
          </w:tcPr>
          <w:p w14:paraId="68ABD8B3" w14:textId="77777777" w:rsidR="006026BF" w:rsidRPr="00886EE2" w:rsidRDefault="006026BF" w:rsidP="00400DD1">
            <w:pPr>
              <w:rPr>
                <w:rFonts w:asciiTheme="minorBidi" w:hAnsiTheme="minorBidi" w:cstheme="minorBidi"/>
                <w:sz w:val="18"/>
                <w:szCs w:val="18"/>
                <w:rtl/>
              </w:rPr>
            </w:pPr>
          </w:p>
        </w:tc>
        <w:tc>
          <w:tcPr>
            <w:tcW w:w="486" w:type="pct"/>
            <w:vAlign w:val="bottom"/>
          </w:tcPr>
          <w:p w14:paraId="23A53E45" w14:textId="77777777" w:rsidR="006026BF" w:rsidRPr="00886EE2" w:rsidRDefault="006026BF" w:rsidP="00400DD1">
            <w:pPr>
              <w:rPr>
                <w:rFonts w:asciiTheme="minorBidi" w:hAnsiTheme="minorBidi" w:cstheme="minorBidi"/>
                <w:sz w:val="18"/>
                <w:szCs w:val="18"/>
                <w:rtl/>
              </w:rPr>
            </w:pPr>
          </w:p>
        </w:tc>
        <w:tc>
          <w:tcPr>
            <w:tcW w:w="486" w:type="pct"/>
            <w:vAlign w:val="bottom"/>
          </w:tcPr>
          <w:p w14:paraId="15529E7B" w14:textId="77777777" w:rsidR="006026BF" w:rsidRPr="00886EE2" w:rsidRDefault="006026BF" w:rsidP="00400DD1">
            <w:pPr>
              <w:rPr>
                <w:rFonts w:asciiTheme="minorBidi" w:hAnsiTheme="minorBidi" w:cstheme="minorBidi"/>
                <w:sz w:val="18"/>
                <w:szCs w:val="18"/>
                <w:rtl/>
              </w:rPr>
            </w:pPr>
          </w:p>
        </w:tc>
      </w:tr>
      <w:tr w:rsidR="006026BF" w:rsidRPr="00886EE2" w14:paraId="258B2FFE" w14:textId="77777777" w:rsidTr="00E61F52">
        <w:trPr>
          <w:trHeight w:val="259"/>
        </w:trPr>
        <w:tc>
          <w:tcPr>
            <w:tcW w:w="511" w:type="pct"/>
            <w:gridSpan w:val="2"/>
          </w:tcPr>
          <w:p w14:paraId="363C98AD" w14:textId="77777777" w:rsidR="006026BF" w:rsidRPr="00886EE2" w:rsidRDefault="006026BF" w:rsidP="00400DD1">
            <w:pPr>
              <w:rPr>
                <w:rFonts w:asciiTheme="minorBidi" w:hAnsiTheme="minorBidi" w:cstheme="minorBidi"/>
                <w:sz w:val="18"/>
                <w:szCs w:val="18"/>
                <w:rtl/>
              </w:rPr>
            </w:pPr>
          </w:p>
        </w:tc>
        <w:tc>
          <w:tcPr>
            <w:tcW w:w="210" w:type="pct"/>
            <w:gridSpan w:val="2"/>
            <w:vAlign w:val="bottom"/>
          </w:tcPr>
          <w:p w14:paraId="4DB9EC07" w14:textId="77777777" w:rsidR="006026BF" w:rsidRPr="00886EE2" w:rsidRDefault="006026BF" w:rsidP="00400DD1">
            <w:pPr>
              <w:rPr>
                <w:rFonts w:asciiTheme="minorBidi" w:hAnsiTheme="minorBidi" w:cstheme="minorBidi"/>
                <w:sz w:val="18"/>
                <w:szCs w:val="18"/>
                <w:rtl/>
              </w:rPr>
            </w:pPr>
          </w:p>
        </w:tc>
        <w:tc>
          <w:tcPr>
            <w:tcW w:w="1571" w:type="pct"/>
            <w:vAlign w:val="bottom"/>
            <w:hideMark/>
          </w:tcPr>
          <w:p w14:paraId="70A0B7CF" w14:textId="77777777" w:rsidR="006026BF" w:rsidRPr="00886EE2" w:rsidRDefault="006026BF" w:rsidP="00F35649">
            <w:pPr>
              <w:spacing w:before="40" w:line="180" w:lineRule="exact"/>
              <w:ind w:left="142" w:right="142" w:hanging="108"/>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סך הכל אשראי לציבור - פעילות בחו"ל</w:t>
            </w:r>
          </w:p>
        </w:tc>
        <w:tc>
          <w:tcPr>
            <w:tcW w:w="556" w:type="pct"/>
            <w:vAlign w:val="bottom"/>
            <w:hideMark/>
          </w:tcPr>
          <w:p w14:paraId="60B87649" w14:textId="77777777" w:rsidR="006026BF" w:rsidRPr="00886EE2" w:rsidRDefault="006026BF" w:rsidP="00400DD1">
            <w:pPr>
              <w:pBdr>
                <w:bottom w:val="single" w:sz="4" w:space="1" w:color="auto"/>
              </w:pBdr>
              <w:ind w:left="144" w:hanging="144"/>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 xml:space="preserve"> 0</w:t>
            </w:r>
          </w:p>
        </w:tc>
        <w:tc>
          <w:tcPr>
            <w:tcW w:w="556" w:type="pct"/>
            <w:vAlign w:val="bottom"/>
            <w:hideMark/>
          </w:tcPr>
          <w:p w14:paraId="1F9EB28D" w14:textId="77777777" w:rsidR="006026BF" w:rsidRPr="00886EE2" w:rsidRDefault="006026BF" w:rsidP="00400DD1">
            <w:pPr>
              <w:pBdr>
                <w:bottom w:val="single" w:sz="4" w:space="1" w:color="auto"/>
              </w:pBdr>
              <w:ind w:left="144" w:hanging="144"/>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 xml:space="preserve"> 0</w:t>
            </w:r>
          </w:p>
        </w:tc>
        <w:tc>
          <w:tcPr>
            <w:tcW w:w="624" w:type="pct"/>
            <w:vAlign w:val="bottom"/>
            <w:hideMark/>
          </w:tcPr>
          <w:p w14:paraId="26349182" w14:textId="77777777" w:rsidR="006026BF" w:rsidRPr="00886EE2" w:rsidRDefault="006026BF" w:rsidP="00400DD1">
            <w:pPr>
              <w:pBdr>
                <w:bottom w:val="single" w:sz="4" w:space="1" w:color="auto"/>
              </w:pBdr>
              <w:ind w:left="144" w:hanging="144"/>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 xml:space="preserve"> 0</w:t>
            </w:r>
          </w:p>
        </w:tc>
        <w:tc>
          <w:tcPr>
            <w:tcW w:w="486" w:type="pct"/>
            <w:vAlign w:val="bottom"/>
            <w:hideMark/>
          </w:tcPr>
          <w:p w14:paraId="49BEEA3D" w14:textId="77777777" w:rsidR="006026BF" w:rsidRPr="00886EE2" w:rsidRDefault="006026BF" w:rsidP="00400DD1">
            <w:pPr>
              <w:pBdr>
                <w:bottom w:val="single" w:sz="4" w:space="1" w:color="auto"/>
              </w:pBdr>
              <w:ind w:left="144" w:hanging="144"/>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 xml:space="preserve"> 0</w:t>
            </w:r>
          </w:p>
        </w:tc>
        <w:tc>
          <w:tcPr>
            <w:tcW w:w="486" w:type="pct"/>
            <w:vAlign w:val="bottom"/>
            <w:hideMark/>
          </w:tcPr>
          <w:p w14:paraId="3C2D00F9" w14:textId="77777777" w:rsidR="006026BF" w:rsidRPr="00886EE2" w:rsidRDefault="006026BF" w:rsidP="00400DD1">
            <w:pPr>
              <w:pBdr>
                <w:bottom w:val="single" w:sz="4" w:space="1" w:color="auto"/>
              </w:pBdr>
              <w:ind w:left="144" w:hanging="144"/>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 xml:space="preserve"> 0</w:t>
            </w:r>
          </w:p>
        </w:tc>
      </w:tr>
      <w:tr w:rsidR="006026BF" w:rsidRPr="00886EE2" w14:paraId="3FB3CFFE" w14:textId="77777777" w:rsidTr="00E61F52">
        <w:trPr>
          <w:trHeight w:val="259"/>
        </w:trPr>
        <w:tc>
          <w:tcPr>
            <w:tcW w:w="511" w:type="pct"/>
            <w:gridSpan w:val="2"/>
          </w:tcPr>
          <w:p w14:paraId="67BCED73" w14:textId="77777777" w:rsidR="006026BF" w:rsidRPr="00886EE2" w:rsidRDefault="006026BF" w:rsidP="00400DD1">
            <w:pPr>
              <w:rPr>
                <w:rFonts w:asciiTheme="minorBidi" w:hAnsiTheme="minorBidi" w:cstheme="minorBidi"/>
                <w:sz w:val="18"/>
                <w:szCs w:val="18"/>
                <w:rtl/>
              </w:rPr>
            </w:pPr>
          </w:p>
        </w:tc>
        <w:tc>
          <w:tcPr>
            <w:tcW w:w="210" w:type="pct"/>
            <w:gridSpan w:val="2"/>
            <w:vAlign w:val="bottom"/>
          </w:tcPr>
          <w:p w14:paraId="55EE4E3C" w14:textId="77777777" w:rsidR="006026BF" w:rsidRPr="00886EE2" w:rsidRDefault="006026BF" w:rsidP="00400DD1">
            <w:pPr>
              <w:rPr>
                <w:rFonts w:asciiTheme="minorBidi" w:hAnsiTheme="minorBidi" w:cstheme="minorBidi"/>
                <w:sz w:val="18"/>
                <w:szCs w:val="18"/>
                <w:rtl/>
              </w:rPr>
            </w:pPr>
          </w:p>
        </w:tc>
        <w:tc>
          <w:tcPr>
            <w:tcW w:w="1571" w:type="pct"/>
            <w:vAlign w:val="bottom"/>
            <w:hideMark/>
          </w:tcPr>
          <w:p w14:paraId="323C3E7F" w14:textId="77777777" w:rsidR="006026BF" w:rsidRPr="00886EE2" w:rsidRDefault="006026BF" w:rsidP="00400DD1">
            <w:pPr>
              <w:ind w:left="144" w:hanging="144"/>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 xml:space="preserve">סך הכל </w:t>
            </w:r>
          </w:p>
        </w:tc>
        <w:tc>
          <w:tcPr>
            <w:tcW w:w="556" w:type="pct"/>
            <w:vAlign w:val="bottom"/>
            <w:hideMark/>
          </w:tcPr>
          <w:p w14:paraId="4C365ACA" w14:textId="77777777" w:rsidR="006026BF" w:rsidRPr="00886EE2" w:rsidRDefault="006026BF" w:rsidP="00400DD1">
            <w:pPr>
              <w:pBdr>
                <w:bottom w:val="double" w:sz="4" w:space="1" w:color="auto"/>
              </w:pBdr>
              <w:ind w:left="144" w:hanging="144"/>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 xml:space="preserve"> 0</w:t>
            </w:r>
          </w:p>
        </w:tc>
        <w:tc>
          <w:tcPr>
            <w:tcW w:w="556" w:type="pct"/>
            <w:vAlign w:val="bottom"/>
            <w:hideMark/>
          </w:tcPr>
          <w:p w14:paraId="5C45CA41" w14:textId="77777777" w:rsidR="006026BF" w:rsidRPr="00886EE2" w:rsidRDefault="006026BF" w:rsidP="00400DD1">
            <w:pPr>
              <w:pBdr>
                <w:bottom w:val="double" w:sz="4" w:space="1" w:color="auto"/>
              </w:pBdr>
              <w:ind w:left="144" w:hanging="144"/>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 xml:space="preserve"> 0</w:t>
            </w:r>
          </w:p>
        </w:tc>
        <w:tc>
          <w:tcPr>
            <w:tcW w:w="624" w:type="pct"/>
            <w:vAlign w:val="bottom"/>
            <w:hideMark/>
          </w:tcPr>
          <w:p w14:paraId="7C6CF567" w14:textId="77777777" w:rsidR="006026BF" w:rsidRPr="00886EE2" w:rsidRDefault="006026BF" w:rsidP="00400DD1">
            <w:pPr>
              <w:pBdr>
                <w:bottom w:val="double" w:sz="4" w:space="1" w:color="auto"/>
              </w:pBdr>
              <w:ind w:left="144" w:hanging="144"/>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 xml:space="preserve"> 0</w:t>
            </w:r>
          </w:p>
        </w:tc>
        <w:tc>
          <w:tcPr>
            <w:tcW w:w="486" w:type="pct"/>
            <w:vAlign w:val="bottom"/>
            <w:hideMark/>
          </w:tcPr>
          <w:p w14:paraId="7B0F6FCB" w14:textId="77777777" w:rsidR="006026BF" w:rsidRPr="00886EE2" w:rsidRDefault="006026BF" w:rsidP="00400DD1">
            <w:pPr>
              <w:pBdr>
                <w:bottom w:val="double" w:sz="4" w:space="1" w:color="auto"/>
              </w:pBdr>
              <w:ind w:left="144" w:hanging="144"/>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 xml:space="preserve"> 0</w:t>
            </w:r>
          </w:p>
        </w:tc>
        <w:tc>
          <w:tcPr>
            <w:tcW w:w="486" w:type="pct"/>
            <w:vAlign w:val="bottom"/>
            <w:hideMark/>
          </w:tcPr>
          <w:p w14:paraId="1A40B6DC" w14:textId="77777777" w:rsidR="006026BF" w:rsidRPr="00886EE2" w:rsidRDefault="006026BF" w:rsidP="00400DD1">
            <w:pPr>
              <w:pBdr>
                <w:bottom w:val="double" w:sz="4" w:space="1" w:color="auto"/>
              </w:pBdr>
              <w:ind w:left="144" w:hanging="144"/>
              <w:jc w:val="left"/>
              <w:rPr>
                <w:rFonts w:asciiTheme="minorBidi" w:hAnsiTheme="minorBidi" w:cstheme="minorBidi"/>
                <w:b/>
                <w:bCs/>
                <w:color w:val="000000"/>
                <w:sz w:val="18"/>
                <w:szCs w:val="18"/>
                <w:rtl/>
                <w:lang w:eastAsia="he-IL"/>
              </w:rPr>
            </w:pPr>
            <w:r w:rsidRPr="00886EE2">
              <w:rPr>
                <w:rFonts w:asciiTheme="minorBidi" w:hAnsiTheme="minorBidi" w:cstheme="minorBidi"/>
                <w:b/>
                <w:bCs/>
                <w:color w:val="000000"/>
                <w:sz w:val="18"/>
                <w:szCs w:val="18"/>
                <w:rtl/>
                <w:lang w:eastAsia="he-IL"/>
              </w:rPr>
              <w:t xml:space="preserve"> 0</w:t>
            </w:r>
          </w:p>
        </w:tc>
      </w:tr>
    </w:tbl>
    <w:p w14:paraId="1B26F41C" w14:textId="77777777" w:rsidR="0024209E" w:rsidRDefault="0024209E"/>
    <w:tbl>
      <w:tblPr>
        <w:bidiVisual/>
        <w:tblW w:w="4927" w:type="pct"/>
        <w:tblLook w:val="04A0" w:firstRow="1" w:lastRow="0" w:firstColumn="1" w:lastColumn="0" w:noHBand="0" w:noVBand="1"/>
      </w:tblPr>
      <w:tblGrid>
        <w:gridCol w:w="795"/>
        <w:gridCol w:w="615"/>
        <w:gridCol w:w="8648"/>
      </w:tblGrid>
      <w:tr w:rsidR="0024209E" w14:paraId="138BD9C9" w14:textId="77777777" w:rsidTr="00E406C0">
        <w:trPr>
          <w:trHeight w:val="245"/>
        </w:trPr>
        <w:tc>
          <w:tcPr>
            <w:tcW w:w="795" w:type="dxa"/>
          </w:tcPr>
          <w:p w14:paraId="1327069C" w14:textId="77777777" w:rsidR="0024209E" w:rsidRDefault="0024209E">
            <w:pPr>
              <w:spacing w:before="60" w:after="60"/>
              <w:rPr>
                <w:spacing w:val="-8"/>
                <w:sz w:val="14"/>
                <w:szCs w:val="14"/>
              </w:rPr>
            </w:pPr>
            <w:bookmarkStart w:id="47" w:name="_Hlk102294380"/>
          </w:p>
        </w:tc>
        <w:tc>
          <w:tcPr>
            <w:tcW w:w="615" w:type="dxa"/>
          </w:tcPr>
          <w:p w14:paraId="5B35533B" w14:textId="77777777" w:rsidR="0024209E" w:rsidRDefault="0024209E">
            <w:pPr>
              <w:spacing w:before="60" w:after="60"/>
              <w:jc w:val="left"/>
              <w:rPr>
                <w:b/>
                <w:bCs/>
                <w:rtl/>
              </w:rPr>
            </w:pPr>
          </w:p>
        </w:tc>
        <w:tc>
          <w:tcPr>
            <w:tcW w:w="8648" w:type="dxa"/>
            <w:hideMark/>
          </w:tcPr>
          <w:p w14:paraId="27C6DFFE" w14:textId="3AEAFC4C" w:rsidR="0024209E" w:rsidRDefault="0024209E">
            <w:pPr>
              <w:tabs>
                <w:tab w:val="left" w:pos="1160"/>
              </w:tabs>
              <w:spacing w:before="60" w:after="60" w:line="216" w:lineRule="auto"/>
              <w:ind w:left="446" w:hanging="448"/>
              <w:rPr>
                <w:b/>
                <w:bCs/>
                <w:rtl/>
              </w:rPr>
            </w:pPr>
            <w:r>
              <w:rPr>
                <w:rFonts w:hint="cs"/>
                <w:color w:val="000000"/>
                <w:sz w:val="18"/>
                <w:szCs w:val="18"/>
                <w:rtl/>
                <w:lang w:eastAsia="he-IL"/>
              </w:rPr>
              <w:t xml:space="preserve">ליום 30 ביוני </w:t>
            </w:r>
            <w:r w:rsidRPr="0024209E">
              <w:rPr>
                <w:rFonts w:hint="cs"/>
                <w:sz w:val="18"/>
                <w:szCs w:val="18"/>
                <w:rtl/>
              </w:rPr>
              <w:fldChar w:fldCharType="begin"/>
            </w:r>
            <w:r w:rsidRPr="0024209E">
              <w:rPr>
                <w:rFonts w:hint="cs"/>
                <w:sz w:val="18"/>
                <w:szCs w:val="18"/>
                <w:rtl/>
              </w:rPr>
              <w:instrText xml:space="preserve"> = </w:instrText>
            </w:r>
            <w:r w:rsidRPr="0024209E">
              <w:rPr>
                <w:sz w:val="18"/>
                <w:szCs w:val="18"/>
              </w:rPr>
              <w:instrText>CY</w:instrText>
            </w:r>
            <w:r w:rsidR="006026BF">
              <w:rPr>
                <w:sz w:val="18"/>
                <w:szCs w:val="18"/>
              </w:rPr>
              <w:instrText>-1</w:instrText>
            </w:r>
            <w:r w:rsidRPr="0024209E">
              <w:rPr>
                <w:sz w:val="18"/>
                <w:szCs w:val="18"/>
              </w:rPr>
              <w:instrText xml:space="preserve"> \* MERGEFORMAT</w:instrText>
            </w:r>
            <w:r w:rsidRPr="0024209E">
              <w:rPr>
                <w:sz w:val="18"/>
                <w:szCs w:val="18"/>
                <w:rtl/>
              </w:rPr>
              <w:instrText xml:space="preserve"> </w:instrText>
            </w:r>
            <w:r w:rsidRPr="0024209E">
              <w:rPr>
                <w:rFonts w:hint="cs"/>
                <w:sz w:val="18"/>
                <w:szCs w:val="18"/>
                <w:rtl/>
              </w:rPr>
              <w:fldChar w:fldCharType="separate"/>
            </w:r>
            <w:r w:rsidR="003A584F">
              <w:rPr>
                <w:noProof/>
                <w:sz w:val="18"/>
                <w:szCs w:val="18"/>
                <w:rtl/>
              </w:rPr>
              <w:t>2023</w:t>
            </w:r>
            <w:r w:rsidRPr="0024209E">
              <w:rPr>
                <w:rFonts w:hint="cs"/>
                <w:sz w:val="18"/>
                <w:szCs w:val="18"/>
                <w:rtl/>
              </w:rPr>
              <w:fldChar w:fldCharType="end"/>
            </w:r>
            <w:r>
              <w:rPr>
                <w:rFonts w:hint="cs"/>
                <w:color w:val="000000"/>
                <w:sz w:val="18"/>
                <w:szCs w:val="18"/>
                <w:rtl/>
                <w:lang w:eastAsia="he-IL"/>
              </w:rPr>
              <w:t xml:space="preserve"> חובות שעברו ארגון מחדש של חוב בעייתי בסך ___ מיליוני ש"ח סווגו כחובות בעייתיים</w:t>
            </w:r>
            <w:r>
              <w:rPr>
                <w:rFonts w:hint="cs"/>
                <w:b/>
                <w:bCs/>
                <w:rtl/>
              </w:rPr>
              <w:t>.</w:t>
            </w:r>
          </w:p>
        </w:tc>
      </w:tr>
      <w:bookmarkEnd w:id="47"/>
    </w:tbl>
    <w:p w14:paraId="66DA622F" w14:textId="77777777" w:rsidR="00CC0F91" w:rsidRDefault="00CC0F91" w:rsidP="002B1958">
      <w:pPr>
        <w:pStyle w:val="-2"/>
        <w:ind w:left="1612"/>
        <w:rPr>
          <w:rtl/>
        </w:rPr>
      </w:pPr>
    </w:p>
    <w:tbl>
      <w:tblPr>
        <w:bidiVisual/>
        <w:tblW w:w="4951" w:type="pct"/>
        <w:tblInd w:w="-4" w:type="dxa"/>
        <w:tblLook w:val="04A0" w:firstRow="1" w:lastRow="0" w:firstColumn="1" w:lastColumn="0" w:noHBand="0" w:noVBand="1"/>
      </w:tblPr>
      <w:tblGrid>
        <w:gridCol w:w="1038"/>
        <w:gridCol w:w="424"/>
        <w:gridCol w:w="3176"/>
        <w:gridCol w:w="1124"/>
        <w:gridCol w:w="1124"/>
        <w:gridCol w:w="1261"/>
        <w:gridCol w:w="982"/>
        <w:gridCol w:w="978"/>
      </w:tblGrid>
      <w:tr w:rsidR="00497259" w14:paraId="5D39DE22" w14:textId="77777777" w:rsidTr="00E61F52">
        <w:trPr>
          <w:trHeight w:val="259"/>
        </w:trPr>
        <w:tc>
          <w:tcPr>
            <w:tcW w:w="513" w:type="pct"/>
          </w:tcPr>
          <w:p w14:paraId="53EC8F59" w14:textId="77777777" w:rsidR="00497259" w:rsidRDefault="00497259" w:rsidP="00400DD1">
            <w:pPr>
              <w:spacing w:before="60"/>
              <w:ind w:right="-142"/>
              <w:jc w:val="left"/>
              <w:rPr>
                <w:spacing w:val="-6"/>
                <w:sz w:val="14"/>
                <w:szCs w:val="14"/>
                <w:rtl/>
              </w:rPr>
            </w:pPr>
          </w:p>
        </w:tc>
        <w:tc>
          <w:tcPr>
            <w:tcW w:w="210" w:type="pct"/>
            <w:vAlign w:val="bottom"/>
          </w:tcPr>
          <w:p w14:paraId="35442FFC" w14:textId="77777777" w:rsidR="00497259" w:rsidRDefault="00497259" w:rsidP="00400DD1">
            <w:pPr>
              <w:rPr>
                <w:rtl/>
              </w:rPr>
            </w:pPr>
          </w:p>
        </w:tc>
        <w:tc>
          <w:tcPr>
            <w:tcW w:w="1571" w:type="pct"/>
            <w:vAlign w:val="bottom"/>
          </w:tcPr>
          <w:p w14:paraId="13F1AA8B" w14:textId="77777777" w:rsidR="00497259" w:rsidRDefault="00497259" w:rsidP="00400DD1">
            <w:pPr>
              <w:ind w:left="144" w:hanging="144"/>
              <w:jc w:val="left"/>
              <w:rPr>
                <w:color w:val="000000"/>
                <w:rtl/>
                <w:lang w:eastAsia="he-IL"/>
              </w:rPr>
            </w:pPr>
          </w:p>
        </w:tc>
        <w:tc>
          <w:tcPr>
            <w:tcW w:w="2707" w:type="pct"/>
            <w:gridSpan w:val="5"/>
            <w:vAlign w:val="bottom"/>
            <w:hideMark/>
          </w:tcPr>
          <w:p w14:paraId="392861BA" w14:textId="5EB07FB1" w:rsidR="00497259" w:rsidRDefault="00497259" w:rsidP="00400DD1">
            <w:pPr>
              <w:pBdr>
                <w:bottom w:val="single" w:sz="6" w:space="1" w:color="auto"/>
              </w:pBdr>
              <w:jc w:val="center"/>
              <w:rPr>
                <w:b/>
                <w:bCs/>
                <w:color w:val="000000"/>
                <w:sz w:val="18"/>
                <w:szCs w:val="18"/>
                <w:rtl/>
                <w:lang w:eastAsia="he-IL"/>
              </w:rPr>
            </w:pPr>
            <w:r>
              <w:rPr>
                <w:rFonts w:hint="cs"/>
                <w:b/>
                <w:bCs/>
                <w:sz w:val="18"/>
                <w:szCs w:val="18"/>
                <w:rtl/>
              </w:rPr>
              <w:t xml:space="preserve">ליום 31 בדצמבר </w:t>
            </w:r>
            <w:r>
              <w:rPr>
                <w:rFonts w:hint="cs"/>
                <w:b/>
                <w:bCs/>
                <w:sz w:val="18"/>
                <w:szCs w:val="18"/>
                <w:rtl/>
              </w:rPr>
              <w:fldChar w:fldCharType="begin"/>
            </w:r>
            <w:r>
              <w:rPr>
                <w:rFonts w:hint="cs"/>
                <w:b/>
                <w:bCs/>
                <w:sz w:val="18"/>
                <w:szCs w:val="18"/>
                <w:rtl/>
              </w:rPr>
              <w:instrText xml:space="preserve"> = </w:instrText>
            </w:r>
            <w:r>
              <w:rPr>
                <w:b/>
                <w:bCs/>
                <w:sz w:val="18"/>
                <w:szCs w:val="18"/>
              </w:rPr>
              <w:instrText>CY-1 \* MERGEFORMAT</w:instrText>
            </w:r>
            <w:r>
              <w:rPr>
                <w:b/>
                <w:bCs/>
                <w:sz w:val="18"/>
                <w:szCs w:val="18"/>
                <w:rtl/>
              </w:rPr>
              <w:instrText xml:space="preserve"> </w:instrText>
            </w:r>
            <w:r>
              <w:rPr>
                <w:rFonts w:hint="cs"/>
                <w:b/>
                <w:bCs/>
                <w:sz w:val="18"/>
                <w:szCs w:val="18"/>
                <w:rtl/>
              </w:rPr>
              <w:fldChar w:fldCharType="separate"/>
            </w:r>
            <w:r w:rsidR="003A584F">
              <w:rPr>
                <w:b/>
                <w:bCs/>
                <w:noProof/>
                <w:sz w:val="18"/>
                <w:szCs w:val="18"/>
                <w:rtl/>
              </w:rPr>
              <w:t>2023</w:t>
            </w:r>
            <w:r>
              <w:rPr>
                <w:rFonts w:hint="cs"/>
                <w:b/>
                <w:bCs/>
                <w:sz w:val="18"/>
                <w:szCs w:val="18"/>
                <w:rtl/>
              </w:rPr>
              <w:fldChar w:fldCharType="end"/>
            </w:r>
            <w:r w:rsidR="00623A25">
              <w:rPr>
                <w:rFonts w:hint="cs"/>
                <w:b/>
                <w:bCs/>
                <w:color w:val="000000"/>
                <w:sz w:val="18"/>
                <w:szCs w:val="18"/>
                <w:rtl/>
                <w:lang w:eastAsia="he-IL"/>
              </w:rPr>
              <w:t xml:space="preserve">  </w:t>
            </w:r>
            <w:r w:rsidR="00623A25" w:rsidRPr="001F0989">
              <w:rPr>
                <w:rFonts w:hint="cs"/>
                <w:color w:val="000000"/>
                <w:sz w:val="18"/>
                <w:szCs w:val="18"/>
                <w:rtl/>
                <w:lang w:eastAsia="he-IL"/>
              </w:rPr>
              <w:t>(מבוקר)</w:t>
            </w:r>
          </w:p>
        </w:tc>
      </w:tr>
      <w:tr w:rsidR="00497259" w14:paraId="5EAA60E9" w14:textId="77777777" w:rsidTr="00E61F52">
        <w:trPr>
          <w:trHeight w:val="259"/>
        </w:trPr>
        <w:tc>
          <w:tcPr>
            <w:tcW w:w="513" w:type="pct"/>
          </w:tcPr>
          <w:p w14:paraId="48FB3675" w14:textId="77777777" w:rsidR="00497259" w:rsidRDefault="00497259" w:rsidP="00400DD1">
            <w:pPr>
              <w:rPr>
                <w:rtl/>
              </w:rPr>
            </w:pPr>
          </w:p>
        </w:tc>
        <w:tc>
          <w:tcPr>
            <w:tcW w:w="210" w:type="pct"/>
            <w:vAlign w:val="bottom"/>
          </w:tcPr>
          <w:p w14:paraId="6864EFEE" w14:textId="77777777" w:rsidR="00497259" w:rsidRDefault="00497259" w:rsidP="00400DD1">
            <w:pPr>
              <w:rPr>
                <w:rtl/>
              </w:rPr>
            </w:pPr>
          </w:p>
        </w:tc>
        <w:tc>
          <w:tcPr>
            <w:tcW w:w="1571" w:type="pct"/>
            <w:vAlign w:val="bottom"/>
          </w:tcPr>
          <w:p w14:paraId="03557DF8" w14:textId="77777777" w:rsidR="00497259" w:rsidRDefault="00497259" w:rsidP="00400DD1">
            <w:pPr>
              <w:ind w:left="144" w:hanging="144"/>
              <w:jc w:val="left"/>
              <w:rPr>
                <w:color w:val="000000"/>
                <w:rtl/>
                <w:lang w:eastAsia="he-IL"/>
              </w:rPr>
            </w:pPr>
          </w:p>
        </w:tc>
        <w:tc>
          <w:tcPr>
            <w:tcW w:w="2707" w:type="pct"/>
            <w:gridSpan w:val="5"/>
            <w:vAlign w:val="bottom"/>
            <w:hideMark/>
          </w:tcPr>
          <w:p w14:paraId="01CE33EB" w14:textId="77777777" w:rsidR="00497259" w:rsidRDefault="00497259" w:rsidP="00400DD1">
            <w:pPr>
              <w:pBdr>
                <w:bottom w:val="single" w:sz="6" w:space="1" w:color="auto"/>
              </w:pBdr>
              <w:jc w:val="center"/>
              <w:rPr>
                <w:b/>
                <w:bCs/>
                <w:sz w:val="18"/>
                <w:szCs w:val="18"/>
                <w:rtl/>
              </w:rPr>
            </w:pPr>
            <w:r>
              <w:rPr>
                <w:rFonts w:hint="cs"/>
                <w:b/>
                <w:bCs/>
                <w:sz w:val="18"/>
                <w:szCs w:val="18"/>
                <w:rtl/>
              </w:rPr>
              <w:t>יתרת חוב רשומה</w:t>
            </w:r>
          </w:p>
        </w:tc>
      </w:tr>
      <w:tr w:rsidR="00497259" w14:paraId="73590EDC" w14:textId="77777777" w:rsidTr="00E61F52">
        <w:trPr>
          <w:trHeight w:val="259"/>
        </w:trPr>
        <w:tc>
          <w:tcPr>
            <w:tcW w:w="513" w:type="pct"/>
          </w:tcPr>
          <w:p w14:paraId="4954C0BC" w14:textId="77777777" w:rsidR="00497259" w:rsidRDefault="00497259" w:rsidP="00400DD1">
            <w:pPr>
              <w:rPr>
                <w:rtl/>
              </w:rPr>
            </w:pPr>
          </w:p>
        </w:tc>
        <w:tc>
          <w:tcPr>
            <w:tcW w:w="210" w:type="pct"/>
            <w:vAlign w:val="bottom"/>
          </w:tcPr>
          <w:p w14:paraId="5372C0F7" w14:textId="77777777" w:rsidR="00497259" w:rsidRDefault="00497259" w:rsidP="00400DD1">
            <w:pPr>
              <w:rPr>
                <w:rtl/>
              </w:rPr>
            </w:pPr>
          </w:p>
        </w:tc>
        <w:tc>
          <w:tcPr>
            <w:tcW w:w="1571" w:type="pct"/>
            <w:vAlign w:val="bottom"/>
          </w:tcPr>
          <w:p w14:paraId="7461A74F" w14:textId="77777777" w:rsidR="00497259" w:rsidRDefault="00497259" w:rsidP="00400DD1">
            <w:pPr>
              <w:ind w:left="144" w:hanging="144"/>
              <w:jc w:val="left"/>
              <w:rPr>
                <w:color w:val="000000"/>
                <w:rtl/>
                <w:lang w:eastAsia="he-IL"/>
              </w:rPr>
            </w:pPr>
          </w:p>
        </w:tc>
        <w:tc>
          <w:tcPr>
            <w:tcW w:w="556" w:type="pct"/>
            <w:vAlign w:val="bottom"/>
            <w:hideMark/>
          </w:tcPr>
          <w:p w14:paraId="615C6AE6" w14:textId="77777777" w:rsidR="00497259" w:rsidRDefault="00497259" w:rsidP="00400DD1">
            <w:pPr>
              <w:jc w:val="center"/>
              <w:rPr>
                <w:b/>
                <w:bCs/>
                <w:rtl/>
              </w:rPr>
            </w:pPr>
            <w:r>
              <w:rPr>
                <w:rFonts w:hint="cs"/>
                <w:b/>
                <w:bCs/>
                <w:sz w:val="18"/>
                <w:szCs w:val="18"/>
                <w:rtl/>
              </w:rPr>
              <w:t>שאינם</w:t>
            </w:r>
          </w:p>
        </w:tc>
        <w:tc>
          <w:tcPr>
            <w:tcW w:w="1666" w:type="pct"/>
            <w:gridSpan w:val="3"/>
            <w:vAlign w:val="bottom"/>
            <w:hideMark/>
          </w:tcPr>
          <w:p w14:paraId="317DD44B" w14:textId="77777777" w:rsidR="00497259" w:rsidRDefault="00497259" w:rsidP="00400DD1">
            <w:pPr>
              <w:pBdr>
                <w:bottom w:val="single" w:sz="6" w:space="1" w:color="auto"/>
              </w:pBdr>
              <w:jc w:val="center"/>
              <w:rPr>
                <w:b/>
                <w:bCs/>
                <w:sz w:val="18"/>
                <w:szCs w:val="18"/>
                <w:rtl/>
              </w:rPr>
            </w:pPr>
            <w:r>
              <w:rPr>
                <w:rFonts w:hint="cs"/>
                <w:b/>
                <w:bCs/>
                <w:sz w:val="18"/>
                <w:szCs w:val="18"/>
                <w:rtl/>
              </w:rPr>
              <w:t>צוברים הכנסות ריבית</w:t>
            </w:r>
          </w:p>
        </w:tc>
        <w:tc>
          <w:tcPr>
            <w:tcW w:w="485" w:type="pct"/>
            <w:vAlign w:val="bottom"/>
          </w:tcPr>
          <w:p w14:paraId="434619D0" w14:textId="77777777" w:rsidR="00497259" w:rsidRDefault="00497259" w:rsidP="00400DD1">
            <w:pPr>
              <w:rPr>
                <w:rtl/>
              </w:rPr>
            </w:pPr>
          </w:p>
        </w:tc>
      </w:tr>
      <w:tr w:rsidR="00497259" w14:paraId="683A50FC" w14:textId="77777777" w:rsidTr="00E61F52">
        <w:trPr>
          <w:trHeight w:val="259"/>
        </w:trPr>
        <w:tc>
          <w:tcPr>
            <w:tcW w:w="513" w:type="pct"/>
          </w:tcPr>
          <w:p w14:paraId="3A9C0702" w14:textId="77777777" w:rsidR="00497259" w:rsidRDefault="00497259" w:rsidP="00400DD1">
            <w:pPr>
              <w:rPr>
                <w:rtl/>
              </w:rPr>
            </w:pPr>
          </w:p>
        </w:tc>
        <w:tc>
          <w:tcPr>
            <w:tcW w:w="210" w:type="pct"/>
            <w:vAlign w:val="bottom"/>
          </w:tcPr>
          <w:p w14:paraId="0EC59F96" w14:textId="77777777" w:rsidR="00497259" w:rsidRDefault="00497259" w:rsidP="00400DD1">
            <w:pPr>
              <w:rPr>
                <w:rtl/>
              </w:rPr>
            </w:pPr>
          </w:p>
        </w:tc>
        <w:tc>
          <w:tcPr>
            <w:tcW w:w="1571" w:type="pct"/>
            <w:vAlign w:val="bottom"/>
          </w:tcPr>
          <w:p w14:paraId="4E87F863" w14:textId="77777777" w:rsidR="00497259" w:rsidRDefault="00497259" w:rsidP="00400DD1">
            <w:pPr>
              <w:ind w:left="144" w:hanging="144"/>
              <w:jc w:val="left"/>
              <w:rPr>
                <w:color w:val="000000"/>
                <w:rtl/>
                <w:lang w:eastAsia="he-IL"/>
              </w:rPr>
            </w:pPr>
          </w:p>
        </w:tc>
        <w:tc>
          <w:tcPr>
            <w:tcW w:w="556" w:type="pct"/>
            <w:vAlign w:val="bottom"/>
            <w:hideMark/>
          </w:tcPr>
          <w:p w14:paraId="5150BEF6" w14:textId="77777777" w:rsidR="00497259" w:rsidRDefault="00497259" w:rsidP="00400DD1">
            <w:pPr>
              <w:pBdr>
                <w:bottom w:val="single" w:sz="6" w:space="1" w:color="auto"/>
              </w:pBdr>
              <w:jc w:val="center"/>
              <w:rPr>
                <w:b/>
                <w:bCs/>
                <w:sz w:val="18"/>
                <w:szCs w:val="18"/>
                <w:rtl/>
              </w:rPr>
            </w:pPr>
            <w:r>
              <w:rPr>
                <w:rFonts w:hint="cs"/>
                <w:b/>
                <w:bCs/>
                <w:sz w:val="18"/>
                <w:szCs w:val="18"/>
                <w:rtl/>
              </w:rPr>
              <w:t>צוברים הכנסות ריבית</w:t>
            </w:r>
          </w:p>
        </w:tc>
        <w:tc>
          <w:tcPr>
            <w:tcW w:w="556" w:type="pct"/>
            <w:vAlign w:val="bottom"/>
            <w:hideMark/>
          </w:tcPr>
          <w:p w14:paraId="21BACAC5" w14:textId="77777777" w:rsidR="00497259" w:rsidRDefault="00497259" w:rsidP="00400DD1">
            <w:pPr>
              <w:pBdr>
                <w:bottom w:val="single" w:sz="6" w:space="1" w:color="auto"/>
              </w:pBdr>
              <w:jc w:val="center"/>
              <w:rPr>
                <w:b/>
                <w:bCs/>
                <w:sz w:val="16"/>
                <w:szCs w:val="16"/>
                <w:rtl/>
              </w:rPr>
            </w:pPr>
            <w:r>
              <w:rPr>
                <w:rFonts w:hint="cs"/>
                <w:b/>
                <w:bCs/>
                <w:sz w:val="16"/>
                <w:szCs w:val="16"/>
                <w:rtl/>
              </w:rPr>
              <w:t>בפיגור של 90 ימים או יותר</w:t>
            </w:r>
          </w:p>
        </w:tc>
        <w:tc>
          <w:tcPr>
            <w:tcW w:w="624" w:type="pct"/>
            <w:vAlign w:val="bottom"/>
            <w:hideMark/>
          </w:tcPr>
          <w:p w14:paraId="1601B485" w14:textId="77777777" w:rsidR="00497259" w:rsidRDefault="00497259" w:rsidP="00400DD1">
            <w:pPr>
              <w:pBdr>
                <w:bottom w:val="single" w:sz="6" w:space="1" w:color="auto"/>
              </w:pBdr>
              <w:jc w:val="center"/>
              <w:rPr>
                <w:b/>
                <w:bCs/>
                <w:sz w:val="16"/>
                <w:szCs w:val="16"/>
                <w:rtl/>
              </w:rPr>
            </w:pPr>
            <w:r>
              <w:rPr>
                <w:rFonts w:hint="cs"/>
                <w:b/>
                <w:bCs/>
                <w:sz w:val="16"/>
                <w:szCs w:val="16"/>
                <w:rtl/>
              </w:rPr>
              <w:t>בפיגור של</w:t>
            </w:r>
            <w:r>
              <w:rPr>
                <w:rFonts w:hint="cs"/>
                <w:b/>
                <w:bCs/>
                <w:sz w:val="16"/>
                <w:szCs w:val="16"/>
              </w:rPr>
              <w:t xml:space="preserve"> </w:t>
            </w:r>
            <w:r>
              <w:rPr>
                <w:rFonts w:hint="cs"/>
                <w:b/>
                <w:bCs/>
                <w:sz w:val="16"/>
                <w:szCs w:val="16"/>
                <w:rtl/>
              </w:rPr>
              <w:t>30</w:t>
            </w:r>
          </w:p>
          <w:p w14:paraId="5A771AB2" w14:textId="77777777" w:rsidR="00497259" w:rsidRDefault="00497259" w:rsidP="00400DD1">
            <w:pPr>
              <w:pBdr>
                <w:bottom w:val="single" w:sz="6" w:space="1" w:color="auto"/>
              </w:pBdr>
              <w:jc w:val="center"/>
              <w:rPr>
                <w:b/>
                <w:bCs/>
                <w:sz w:val="16"/>
                <w:szCs w:val="16"/>
                <w:rtl/>
              </w:rPr>
            </w:pPr>
            <w:r>
              <w:rPr>
                <w:rFonts w:hint="cs"/>
                <w:b/>
                <w:bCs/>
                <w:sz w:val="16"/>
                <w:szCs w:val="16"/>
                <w:rtl/>
              </w:rPr>
              <w:t>ועד</w:t>
            </w:r>
            <w:r>
              <w:rPr>
                <w:rFonts w:hint="cs"/>
                <w:b/>
                <w:bCs/>
                <w:sz w:val="16"/>
                <w:szCs w:val="16"/>
              </w:rPr>
              <w:t xml:space="preserve"> </w:t>
            </w:r>
            <w:r>
              <w:rPr>
                <w:rFonts w:hint="cs"/>
                <w:b/>
                <w:bCs/>
                <w:sz w:val="16"/>
                <w:szCs w:val="16"/>
                <w:rtl/>
              </w:rPr>
              <w:t>89 ימים</w:t>
            </w:r>
          </w:p>
        </w:tc>
        <w:tc>
          <w:tcPr>
            <w:tcW w:w="486" w:type="pct"/>
            <w:vAlign w:val="bottom"/>
            <w:hideMark/>
          </w:tcPr>
          <w:p w14:paraId="26480A57" w14:textId="77777777" w:rsidR="00497259" w:rsidRDefault="00497259" w:rsidP="00400DD1">
            <w:pPr>
              <w:pBdr>
                <w:bottom w:val="single" w:sz="6" w:space="1" w:color="auto"/>
              </w:pBdr>
              <w:jc w:val="center"/>
              <w:rPr>
                <w:b/>
                <w:bCs/>
                <w:sz w:val="16"/>
                <w:szCs w:val="16"/>
                <w:rtl/>
              </w:rPr>
            </w:pPr>
            <w:r>
              <w:rPr>
                <w:rFonts w:hint="cs"/>
                <w:b/>
                <w:bCs/>
                <w:sz w:val="16"/>
                <w:szCs w:val="16"/>
                <w:rtl/>
              </w:rPr>
              <w:t>לא</w:t>
            </w:r>
          </w:p>
          <w:p w14:paraId="34C15FC2" w14:textId="77777777" w:rsidR="00497259" w:rsidRDefault="00497259" w:rsidP="00400DD1">
            <w:pPr>
              <w:pBdr>
                <w:bottom w:val="single" w:sz="6" w:space="1" w:color="auto"/>
              </w:pBdr>
              <w:jc w:val="center"/>
              <w:rPr>
                <w:b/>
                <w:bCs/>
                <w:sz w:val="16"/>
                <w:szCs w:val="16"/>
                <w:rtl/>
              </w:rPr>
            </w:pPr>
            <w:r>
              <w:rPr>
                <w:rFonts w:hint="cs"/>
                <w:b/>
                <w:bCs/>
                <w:sz w:val="16"/>
                <w:szCs w:val="16"/>
                <w:rtl/>
              </w:rPr>
              <w:t>בפיגור</w:t>
            </w:r>
          </w:p>
        </w:tc>
        <w:tc>
          <w:tcPr>
            <w:tcW w:w="485" w:type="pct"/>
            <w:vAlign w:val="bottom"/>
            <w:hideMark/>
          </w:tcPr>
          <w:p w14:paraId="79835922" w14:textId="77777777" w:rsidR="00497259" w:rsidRDefault="00497259" w:rsidP="00400DD1">
            <w:pPr>
              <w:pBdr>
                <w:bottom w:val="single" w:sz="6" w:space="1" w:color="auto"/>
              </w:pBdr>
              <w:jc w:val="center"/>
              <w:rPr>
                <w:b/>
                <w:bCs/>
                <w:sz w:val="18"/>
                <w:szCs w:val="18"/>
                <w:rtl/>
              </w:rPr>
            </w:pPr>
            <w:r>
              <w:rPr>
                <w:rFonts w:hint="cs"/>
                <w:b/>
                <w:bCs/>
                <w:sz w:val="18"/>
                <w:szCs w:val="18"/>
                <w:rtl/>
              </w:rPr>
              <w:t>סך</w:t>
            </w:r>
          </w:p>
          <w:p w14:paraId="3EFF6E61" w14:textId="77777777" w:rsidR="00497259" w:rsidRDefault="00497259" w:rsidP="00400DD1">
            <w:pPr>
              <w:pBdr>
                <w:bottom w:val="single" w:sz="6" w:space="1" w:color="auto"/>
              </w:pBdr>
              <w:jc w:val="center"/>
              <w:rPr>
                <w:b/>
                <w:bCs/>
                <w:sz w:val="18"/>
                <w:szCs w:val="18"/>
                <w:rtl/>
              </w:rPr>
            </w:pPr>
            <w:r>
              <w:rPr>
                <w:rFonts w:hint="cs"/>
                <w:b/>
                <w:bCs/>
                <w:sz w:val="18"/>
                <w:szCs w:val="18"/>
                <w:rtl/>
              </w:rPr>
              <w:t>הכל</w:t>
            </w:r>
          </w:p>
        </w:tc>
      </w:tr>
      <w:tr w:rsidR="00497259" w14:paraId="378E97AB" w14:textId="77777777" w:rsidTr="00E61F52">
        <w:trPr>
          <w:trHeight w:val="259"/>
        </w:trPr>
        <w:tc>
          <w:tcPr>
            <w:tcW w:w="513" w:type="pct"/>
          </w:tcPr>
          <w:p w14:paraId="2041B3E8" w14:textId="77777777" w:rsidR="00497259" w:rsidRDefault="00497259" w:rsidP="00400DD1">
            <w:pPr>
              <w:rPr>
                <w:rtl/>
              </w:rPr>
            </w:pPr>
          </w:p>
        </w:tc>
        <w:tc>
          <w:tcPr>
            <w:tcW w:w="210" w:type="pct"/>
            <w:vAlign w:val="bottom"/>
          </w:tcPr>
          <w:p w14:paraId="139F9563" w14:textId="77777777" w:rsidR="00497259" w:rsidRDefault="00497259" w:rsidP="00400DD1">
            <w:pPr>
              <w:rPr>
                <w:rtl/>
              </w:rPr>
            </w:pPr>
          </w:p>
        </w:tc>
        <w:tc>
          <w:tcPr>
            <w:tcW w:w="1571" w:type="pct"/>
            <w:vAlign w:val="bottom"/>
            <w:hideMark/>
          </w:tcPr>
          <w:p w14:paraId="6C32C317" w14:textId="77777777" w:rsidR="00497259" w:rsidRDefault="00497259" w:rsidP="00400DD1">
            <w:pPr>
              <w:ind w:left="34"/>
              <w:jc w:val="left"/>
              <w:rPr>
                <w:b/>
                <w:bCs/>
                <w:color w:val="000000"/>
                <w:sz w:val="18"/>
                <w:szCs w:val="18"/>
                <w:u w:val="single"/>
                <w:rtl/>
                <w:lang w:eastAsia="he-IL"/>
              </w:rPr>
            </w:pPr>
            <w:r>
              <w:rPr>
                <w:rFonts w:hint="cs"/>
                <w:b/>
                <w:bCs/>
                <w:color w:val="000000"/>
                <w:sz w:val="18"/>
                <w:szCs w:val="18"/>
                <w:u w:val="single"/>
                <w:rtl/>
                <w:lang w:eastAsia="he-IL"/>
              </w:rPr>
              <w:t>פעילות לווים בישראל</w:t>
            </w:r>
          </w:p>
        </w:tc>
        <w:tc>
          <w:tcPr>
            <w:tcW w:w="556" w:type="pct"/>
            <w:vAlign w:val="bottom"/>
          </w:tcPr>
          <w:p w14:paraId="7273382C" w14:textId="77777777" w:rsidR="00497259" w:rsidRDefault="00497259" w:rsidP="00400DD1">
            <w:pPr>
              <w:rPr>
                <w:sz w:val="18"/>
                <w:szCs w:val="18"/>
                <w:rtl/>
              </w:rPr>
            </w:pPr>
          </w:p>
        </w:tc>
        <w:tc>
          <w:tcPr>
            <w:tcW w:w="556" w:type="pct"/>
            <w:vAlign w:val="bottom"/>
          </w:tcPr>
          <w:p w14:paraId="493EE2B3" w14:textId="77777777" w:rsidR="00497259" w:rsidRDefault="00497259" w:rsidP="00400DD1">
            <w:pPr>
              <w:rPr>
                <w:sz w:val="18"/>
                <w:szCs w:val="18"/>
                <w:rtl/>
              </w:rPr>
            </w:pPr>
          </w:p>
        </w:tc>
        <w:tc>
          <w:tcPr>
            <w:tcW w:w="624" w:type="pct"/>
            <w:vAlign w:val="bottom"/>
          </w:tcPr>
          <w:p w14:paraId="0C8BCA77" w14:textId="77777777" w:rsidR="00497259" w:rsidRDefault="00497259" w:rsidP="00400DD1">
            <w:pPr>
              <w:rPr>
                <w:sz w:val="18"/>
                <w:szCs w:val="18"/>
                <w:rtl/>
              </w:rPr>
            </w:pPr>
          </w:p>
        </w:tc>
        <w:tc>
          <w:tcPr>
            <w:tcW w:w="486" w:type="pct"/>
            <w:vAlign w:val="bottom"/>
          </w:tcPr>
          <w:p w14:paraId="69E2FE1C" w14:textId="77777777" w:rsidR="00497259" w:rsidRDefault="00497259" w:rsidP="00400DD1">
            <w:pPr>
              <w:rPr>
                <w:sz w:val="18"/>
                <w:szCs w:val="18"/>
                <w:rtl/>
              </w:rPr>
            </w:pPr>
          </w:p>
        </w:tc>
        <w:tc>
          <w:tcPr>
            <w:tcW w:w="485" w:type="pct"/>
            <w:vAlign w:val="bottom"/>
          </w:tcPr>
          <w:p w14:paraId="443B71EE" w14:textId="77777777" w:rsidR="00497259" w:rsidRDefault="00497259" w:rsidP="00400DD1">
            <w:pPr>
              <w:rPr>
                <w:sz w:val="18"/>
                <w:szCs w:val="18"/>
                <w:rtl/>
              </w:rPr>
            </w:pPr>
          </w:p>
        </w:tc>
      </w:tr>
      <w:tr w:rsidR="00497259" w14:paraId="303463FE" w14:textId="77777777" w:rsidTr="00E61F52">
        <w:trPr>
          <w:trHeight w:val="259"/>
        </w:trPr>
        <w:tc>
          <w:tcPr>
            <w:tcW w:w="513" w:type="pct"/>
          </w:tcPr>
          <w:p w14:paraId="745D5DA6" w14:textId="77777777" w:rsidR="00497259" w:rsidRDefault="00497259" w:rsidP="00400DD1">
            <w:pPr>
              <w:rPr>
                <w:rtl/>
              </w:rPr>
            </w:pPr>
          </w:p>
        </w:tc>
        <w:tc>
          <w:tcPr>
            <w:tcW w:w="210" w:type="pct"/>
            <w:vAlign w:val="bottom"/>
          </w:tcPr>
          <w:p w14:paraId="3CDEA40A" w14:textId="77777777" w:rsidR="00497259" w:rsidRDefault="00497259" w:rsidP="00400DD1">
            <w:pPr>
              <w:rPr>
                <w:rtl/>
              </w:rPr>
            </w:pPr>
          </w:p>
        </w:tc>
        <w:tc>
          <w:tcPr>
            <w:tcW w:w="1571" w:type="pct"/>
            <w:vAlign w:val="bottom"/>
            <w:hideMark/>
          </w:tcPr>
          <w:p w14:paraId="4447DB7D" w14:textId="77777777" w:rsidR="00497259" w:rsidRPr="00080FB5" w:rsidRDefault="00497259" w:rsidP="00400DD1">
            <w:pPr>
              <w:ind w:left="144" w:hanging="110"/>
              <w:jc w:val="left"/>
              <w:rPr>
                <w:color w:val="000000"/>
                <w:sz w:val="18"/>
                <w:szCs w:val="18"/>
                <w:rtl/>
                <w:lang w:eastAsia="he-IL"/>
              </w:rPr>
            </w:pPr>
            <w:r w:rsidRPr="00080FB5">
              <w:rPr>
                <w:rFonts w:hint="cs"/>
                <w:color w:val="000000"/>
                <w:sz w:val="18"/>
                <w:szCs w:val="18"/>
                <w:u w:val="single"/>
                <w:rtl/>
                <w:lang w:eastAsia="he-IL"/>
              </w:rPr>
              <w:t>ציבור - מסחרי</w:t>
            </w:r>
            <w:r w:rsidRPr="00080FB5">
              <w:rPr>
                <w:rFonts w:hint="cs"/>
                <w:color w:val="000000"/>
                <w:sz w:val="18"/>
                <w:szCs w:val="18"/>
                <w:rtl/>
                <w:lang w:eastAsia="he-IL"/>
              </w:rPr>
              <w:t xml:space="preserve">: </w:t>
            </w:r>
          </w:p>
        </w:tc>
        <w:tc>
          <w:tcPr>
            <w:tcW w:w="556" w:type="pct"/>
            <w:vAlign w:val="bottom"/>
          </w:tcPr>
          <w:p w14:paraId="13BC2BAC" w14:textId="77777777" w:rsidR="00497259" w:rsidRDefault="00497259" w:rsidP="00400DD1">
            <w:pPr>
              <w:rPr>
                <w:sz w:val="18"/>
                <w:szCs w:val="18"/>
              </w:rPr>
            </w:pPr>
          </w:p>
        </w:tc>
        <w:tc>
          <w:tcPr>
            <w:tcW w:w="556" w:type="pct"/>
            <w:vAlign w:val="bottom"/>
          </w:tcPr>
          <w:p w14:paraId="34E4101F" w14:textId="77777777" w:rsidR="00497259" w:rsidRDefault="00497259" w:rsidP="00400DD1">
            <w:pPr>
              <w:rPr>
                <w:sz w:val="18"/>
                <w:szCs w:val="18"/>
                <w:rtl/>
              </w:rPr>
            </w:pPr>
          </w:p>
        </w:tc>
        <w:tc>
          <w:tcPr>
            <w:tcW w:w="624" w:type="pct"/>
            <w:vAlign w:val="bottom"/>
          </w:tcPr>
          <w:p w14:paraId="2C4B364D" w14:textId="77777777" w:rsidR="00497259" w:rsidRDefault="00497259" w:rsidP="00400DD1">
            <w:pPr>
              <w:rPr>
                <w:sz w:val="18"/>
                <w:szCs w:val="18"/>
                <w:rtl/>
              </w:rPr>
            </w:pPr>
          </w:p>
        </w:tc>
        <w:tc>
          <w:tcPr>
            <w:tcW w:w="486" w:type="pct"/>
            <w:vAlign w:val="bottom"/>
          </w:tcPr>
          <w:p w14:paraId="5C6EF4EC" w14:textId="77777777" w:rsidR="00497259" w:rsidRDefault="00497259" w:rsidP="00400DD1">
            <w:pPr>
              <w:rPr>
                <w:sz w:val="18"/>
                <w:szCs w:val="18"/>
                <w:rtl/>
              </w:rPr>
            </w:pPr>
          </w:p>
        </w:tc>
        <w:tc>
          <w:tcPr>
            <w:tcW w:w="485" w:type="pct"/>
            <w:vAlign w:val="bottom"/>
          </w:tcPr>
          <w:p w14:paraId="27B6F07B" w14:textId="77777777" w:rsidR="00497259" w:rsidRDefault="00497259" w:rsidP="00400DD1">
            <w:pPr>
              <w:rPr>
                <w:sz w:val="18"/>
                <w:szCs w:val="18"/>
                <w:rtl/>
              </w:rPr>
            </w:pPr>
          </w:p>
        </w:tc>
      </w:tr>
      <w:tr w:rsidR="00497259" w14:paraId="6560D38B" w14:textId="77777777" w:rsidTr="00E61F52">
        <w:trPr>
          <w:trHeight w:val="259"/>
        </w:trPr>
        <w:tc>
          <w:tcPr>
            <w:tcW w:w="513" w:type="pct"/>
          </w:tcPr>
          <w:p w14:paraId="64ECE1C9" w14:textId="77777777" w:rsidR="00497259" w:rsidRDefault="00497259" w:rsidP="00400DD1">
            <w:pPr>
              <w:rPr>
                <w:rtl/>
              </w:rPr>
            </w:pPr>
          </w:p>
        </w:tc>
        <w:tc>
          <w:tcPr>
            <w:tcW w:w="210" w:type="pct"/>
            <w:vAlign w:val="bottom"/>
          </w:tcPr>
          <w:p w14:paraId="6E9EC60A" w14:textId="77777777" w:rsidR="00497259" w:rsidRDefault="00497259" w:rsidP="00400DD1">
            <w:pPr>
              <w:rPr>
                <w:rtl/>
              </w:rPr>
            </w:pPr>
          </w:p>
        </w:tc>
        <w:tc>
          <w:tcPr>
            <w:tcW w:w="1571" w:type="pct"/>
            <w:vAlign w:val="bottom"/>
            <w:hideMark/>
          </w:tcPr>
          <w:p w14:paraId="5C206EA8" w14:textId="77777777" w:rsidR="00497259" w:rsidRDefault="00497259" w:rsidP="006873DC">
            <w:pPr>
              <w:ind w:left="720" w:hanging="632"/>
              <w:jc w:val="left"/>
              <w:rPr>
                <w:color w:val="000000"/>
                <w:sz w:val="18"/>
                <w:szCs w:val="18"/>
                <w:rtl/>
                <w:lang w:eastAsia="he-IL"/>
              </w:rPr>
            </w:pPr>
            <w:r>
              <w:rPr>
                <w:rFonts w:hint="cs"/>
                <w:color w:val="000000"/>
                <w:sz w:val="18"/>
                <w:szCs w:val="18"/>
                <w:rtl/>
                <w:lang w:eastAsia="he-IL"/>
              </w:rPr>
              <w:t>בינוי ונדל"ן</w:t>
            </w:r>
          </w:p>
        </w:tc>
        <w:tc>
          <w:tcPr>
            <w:tcW w:w="556" w:type="pct"/>
            <w:vAlign w:val="bottom"/>
            <w:hideMark/>
          </w:tcPr>
          <w:p w14:paraId="63421B24" w14:textId="77777777" w:rsidR="00497259" w:rsidRDefault="00497259" w:rsidP="00400DD1">
            <w:pPr>
              <w:rPr>
                <w:sz w:val="18"/>
                <w:szCs w:val="18"/>
                <w:rtl/>
              </w:rPr>
            </w:pPr>
            <w:r>
              <w:rPr>
                <w:rFonts w:hint="cs"/>
                <w:sz w:val="18"/>
                <w:szCs w:val="18"/>
                <w:rtl/>
              </w:rPr>
              <w:t xml:space="preserve"> 0</w:t>
            </w:r>
          </w:p>
        </w:tc>
        <w:tc>
          <w:tcPr>
            <w:tcW w:w="556" w:type="pct"/>
            <w:vAlign w:val="bottom"/>
            <w:hideMark/>
          </w:tcPr>
          <w:p w14:paraId="7A18146F" w14:textId="77777777" w:rsidR="00497259" w:rsidRDefault="00497259" w:rsidP="00400DD1">
            <w:pPr>
              <w:rPr>
                <w:sz w:val="18"/>
                <w:szCs w:val="18"/>
                <w:rtl/>
              </w:rPr>
            </w:pPr>
            <w:r>
              <w:rPr>
                <w:rFonts w:hint="cs"/>
                <w:sz w:val="18"/>
                <w:szCs w:val="18"/>
                <w:rtl/>
              </w:rPr>
              <w:t xml:space="preserve"> 0</w:t>
            </w:r>
          </w:p>
        </w:tc>
        <w:tc>
          <w:tcPr>
            <w:tcW w:w="624" w:type="pct"/>
            <w:vAlign w:val="bottom"/>
            <w:hideMark/>
          </w:tcPr>
          <w:p w14:paraId="08D4D6CC" w14:textId="77777777" w:rsidR="00497259" w:rsidRDefault="00497259" w:rsidP="00400DD1">
            <w:pPr>
              <w:rPr>
                <w:sz w:val="18"/>
                <w:szCs w:val="18"/>
                <w:rtl/>
              </w:rPr>
            </w:pPr>
            <w:r>
              <w:rPr>
                <w:rFonts w:hint="cs"/>
                <w:sz w:val="18"/>
                <w:szCs w:val="18"/>
                <w:rtl/>
              </w:rPr>
              <w:t xml:space="preserve"> 0</w:t>
            </w:r>
          </w:p>
        </w:tc>
        <w:tc>
          <w:tcPr>
            <w:tcW w:w="486" w:type="pct"/>
            <w:vAlign w:val="bottom"/>
            <w:hideMark/>
          </w:tcPr>
          <w:p w14:paraId="6840F5F2" w14:textId="77777777" w:rsidR="00497259" w:rsidRDefault="00497259" w:rsidP="00400DD1">
            <w:pPr>
              <w:rPr>
                <w:sz w:val="18"/>
                <w:szCs w:val="18"/>
                <w:rtl/>
              </w:rPr>
            </w:pPr>
            <w:r>
              <w:rPr>
                <w:rFonts w:hint="cs"/>
                <w:sz w:val="18"/>
                <w:szCs w:val="18"/>
                <w:rtl/>
              </w:rPr>
              <w:t xml:space="preserve"> 0</w:t>
            </w:r>
          </w:p>
        </w:tc>
        <w:tc>
          <w:tcPr>
            <w:tcW w:w="485" w:type="pct"/>
            <w:vAlign w:val="bottom"/>
            <w:hideMark/>
          </w:tcPr>
          <w:p w14:paraId="1F283AB4" w14:textId="77777777" w:rsidR="00497259" w:rsidRDefault="00497259" w:rsidP="00400DD1">
            <w:pPr>
              <w:rPr>
                <w:sz w:val="18"/>
                <w:szCs w:val="18"/>
                <w:rtl/>
              </w:rPr>
            </w:pPr>
            <w:r>
              <w:rPr>
                <w:rFonts w:hint="cs"/>
                <w:sz w:val="18"/>
                <w:szCs w:val="18"/>
                <w:rtl/>
              </w:rPr>
              <w:t xml:space="preserve"> 0</w:t>
            </w:r>
          </w:p>
        </w:tc>
      </w:tr>
      <w:tr w:rsidR="00497259" w14:paraId="7EFB141F" w14:textId="77777777" w:rsidTr="00E61F52">
        <w:trPr>
          <w:trHeight w:val="259"/>
        </w:trPr>
        <w:tc>
          <w:tcPr>
            <w:tcW w:w="513" w:type="pct"/>
          </w:tcPr>
          <w:p w14:paraId="4EA078A0" w14:textId="77777777" w:rsidR="00497259" w:rsidRDefault="00497259" w:rsidP="00400DD1">
            <w:pPr>
              <w:rPr>
                <w:rtl/>
              </w:rPr>
            </w:pPr>
          </w:p>
        </w:tc>
        <w:tc>
          <w:tcPr>
            <w:tcW w:w="210" w:type="pct"/>
            <w:vAlign w:val="bottom"/>
          </w:tcPr>
          <w:p w14:paraId="7D407900" w14:textId="77777777" w:rsidR="00497259" w:rsidRDefault="00497259" w:rsidP="00400DD1">
            <w:pPr>
              <w:rPr>
                <w:rtl/>
              </w:rPr>
            </w:pPr>
          </w:p>
        </w:tc>
        <w:tc>
          <w:tcPr>
            <w:tcW w:w="1571" w:type="pct"/>
            <w:vAlign w:val="bottom"/>
            <w:hideMark/>
          </w:tcPr>
          <w:p w14:paraId="2D6EDDE7" w14:textId="77777777" w:rsidR="00497259" w:rsidRDefault="00497259" w:rsidP="006873DC">
            <w:pPr>
              <w:ind w:left="720" w:hanging="632"/>
              <w:jc w:val="left"/>
              <w:rPr>
                <w:color w:val="000000"/>
                <w:sz w:val="18"/>
                <w:szCs w:val="18"/>
                <w:rtl/>
                <w:lang w:eastAsia="he-IL"/>
              </w:rPr>
            </w:pPr>
            <w:r>
              <w:rPr>
                <w:rFonts w:hint="cs"/>
                <w:color w:val="000000"/>
                <w:sz w:val="18"/>
                <w:szCs w:val="18"/>
                <w:rtl/>
                <w:lang w:eastAsia="he-IL"/>
              </w:rPr>
              <w:t>מסחרי - אחר</w:t>
            </w:r>
          </w:p>
        </w:tc>
        <w:tc>
          <w:tcPr>
            <w:tcW w:w="556" w:type="pct"/>
            <w:vAlign w:val="bottom"/>
            <w:hideMark/>
          </w:tcPr>
          <w:p w14:paraId="1143A5C9" w14:textId="77777777" w:rsidR="00497259" w:rsidRDefault="00497259" w:rsidP="00400DD1">
            <w:pPr>
              <w:pBdr>
                <w:bottom w:val="single" w:sz="4" w:space="1" w:color="auto"/>
              </w:pBdr>
              <w:rPr>
                <w:color w:val="000000"/>
                <w:sz w:val="18"/>
                <w:szCs w:val="18"/>
                <w:rtl/>
                <w:lang w:eastAsia="he-IL"/>
              </w:rPr>
            </w:pPr>
            <w:r>
              <w:rPr>
                <w:rFonts w:hint="cs"/>
                <w:sz w:val="18"/>
                <w:szCs w:val="18"/>
                <w:rtl/>
              </w:rPr>
              <w:t xml:space="preserve"> 0</w:t>
            </w:r>
          </w:p>
        </w:tc>
        <w:tc>
          <w:tcPr>
            <w:tcW w:w="556" w:type="pct"/>
            <w:vAlign w:val="bottom"/>
            <w:hideMark/>
          </w:tcPr>
          <w:p w14:paraId="6B3BD2B4" w14:textId="77777777" w:rsidR="00497259" w:rsidRDefault="00497259" w:rsidP="00400DD1">
            <w:pPr>
              <w:pBdr>
                <w:bottom w:val="single" w:sz="4" w:space="1" w:color="auto"/>
              </w:pBdr>
              <w:rPr>
                <w:color w:val="000000"/>
                <w:sz w:val="18"/>
                <w:szCs w:val="18"/>
                <w:rtl/>
                <w:lang w:eastAsia="he-IL"/>
              </w:rPr>
            </w:pPr>
            <w:r>
              <w:rPr>
                <w:rFonts w:hint="cs"/>
                <w:sz w:val="18"/>
                <w:szCs w:val="18"/>
                <w:rtl/>
              </w:rPr>
              <w:t xml:space="preserve"> 0</w:t>
            </w:r>
          </w:p>
        </w:tc>
        <w:tc>
          <w:tcPr>
            <w:tcW w:w="624" w:type="pct"/>
            <w:vAlign w:val="bottom"/>
            <w:hideMark/>
          </w:tcPr>
          <w:p w14:paraId="710F368E" w14:textId="77777777" w:rsidR="00497259" w:rsidRDefault="00497259" w:rsidP="00400DD1">
            <w:pPr>
              <w:pBdr>
                <w:bottom w:val="single" w:sz="4" w:space="1" w:color="auto"/>
              </w:pBdr>
              <w:rPr>
                <w:color w:val="000000"/>
                <w:sz w:val="18"/>
                <w:szCs w:val="18"/>
                <w:rtl/>
                <w:lang w:eastAsia="he-IL"/>
              </w:rPr>
            </w:pPr>
            <w:r>
              <w:rPr>
                <w:rFonts w:hint="cs"/>
                <w:sz w:val="18"/>
                <w:szCs w:val="18"/>
                <w:rtl/>
              </w:rPr>
              <w:t xml:space="preserve"> 0</w:t>
            </w:r>
          </w:p>
        </w:tc>
        <w:tc>
          <w:tcPr>
            <w:tcW w:w="486" w:type="pct"/>
            <w:vAlign w:val="bottom"/>
            <w:hideMark/>
          </w:tcPr>
          <w:p w14:paraId="6FACC677" w14:textId="77777777" w:rsidR="00497259" w:rsidRDefault="00497259" w:rsidP="00400DD1">
            <w:pPr>
              <w:pBdr>
                <w:bottom w:val="single" w:sz="4" w:space="1" w:color="auto"/>
              </w:pBdr>
              <w:rPr>
                <w:color w:val="000000"/>
                <w:sz w:val="18"/>
                <w:szCs w:val="18"/>
                <w:rtl/>
                <w:lang w:eastAsia="he-IL"/>
              </w:rPr>
            </w:pPr>
            <w:r>
              <w:rPr>
                <w:rFonts w:hint="cs"/>
                <w:sz w:val="18"/>
                <w:szCs w:val="18"/>
                <w:rtl/>
              </w:rPr>
              <w:t xml:space="preserve"> 0</w:t>
            </w:r>
          </w:p>
        </w:tc>
        <w:tc>
          <w:tcPr>
            <w:tcW w:w="485" w:type="pct"/>
            <w:vAlign w:val="bottom"/>
            <w:hideMark/>
          </w:tcPr>
          <w:p w14:paraId="5246BE30" w14:textId="77777777" w:rsidR="00497259" w:rsidRDefault="00497259" w:rsidP="00400DD1">
            <w:pPr>
              <w:pBdr>
                <w:bottom w:val="single" w:sz="4" w:space="1" w:color="auto"/>
              </w:pBdr>
              <w:rPr>
                <w:color w:val="000000"/>
                <w:sz w:val="18"/>
                <w:szCs w:val="18"/>
                <w:rtl/>
                <w:lang w:eastAsia="he-IL"/>
              </w:rPr>
            </w:pPr>
            <w:r>
              <w:rPr>
                <w:rFonts w:hint="cs"/>
                <w:sz w:val="18"/>
                <w:szCs w:val="18"/>
                <w:rtl/>
              </w:rPr>
              <w:t xml:space="preserve"> 0</w:t>
            </w:r>
          </w:p>
        </w:tc>
      </w:tr>
      <w:tr w:rsidR="00497259" w14:paraId="3D905373" w14:textId="77777777" w:rsidTr="00E61F52">
        <w:trPr>
          <w:trHeight w:val="259"/>
        </w:trPr>
        <w:tc>
          <w:tcPr>
            <w:tcW w:w="513" w:type="pct"/>
          </w:tcPr>
          <w:p w14:paraId="013FDD8E" w14:textId="77777777" w:rsidR="00497259" w:rsidRDefault="00497259" w:rsidP="00400DD1">
            <w:pPr>
              <w:rPr>
                <w:rtl/>
              </w:rPr>
            </w:pPr>
          </w:p>
        </w:tc>
        <w:tc>
          <w:tcPr>
            <w:tcW w:w="210" w:type="pct"/>
            <w:vAlign w:val="bottom"/>
          </w:tcPr>
          <w:p w14:paraId="0A234078" w14:textId="77777777" w:rsidR="00497259" w:rsidRDefault="00497259" w:rsidP="00400DD1">
            <w:pPr>
              <w:rPr>
                <w:rtl/>
              </w:rPr>
            </w:pPr>
          </w:p>
        </w:tc>
        <w:tc>
          <w:tcPr>
            <w:tcW w:w="1571" w:type="pct"/>
            <w:vAlign w:val="bottom"/>
            <w:hideMark/>
          </w:tcPr>
          <w:p w14:paraId="056CF1B2" w14:textId="77777777" w:rsidR="00497259" w:rsidRPr="007046CF" w:rsidRDefault="00497259" w:rsidP="00400DD1">
            <w:pPr>
              <w:ind w:left="34"/>
              <w:jc w:val="left"/>
              <w:rPr>
                <w:color w:val="000000"/>
                <w:sz w:val="18"/>
                <w:szCs w:val="18"/>
                <w:rtl/>
                <w:lang w:eastAsia="he-IL"/>
              </w:rPr>
            </w:pPr>
            <w:r w:rsidRPr="007046CF">
              <w:rPr>
                <w:rFonts w:hint="cs"/>
                <w:color w:val="000000"/>
                <w:sz w:val="18"/>
                <w:szCs w:val="18"/>
                <w:rtl/>
                <w:lang w:eastAsia="he-IL"/>
              </w:rPr>
              <w:t>סך הכל מסחרי</w:t>
            </w:r>
          </w:p>
        </w:tc>
        <w:tc>
          <w:tcPr>
            <w:tcW w:w="556" w:type="pct"/>
            <w:vAlign w:val="bottom"/>
            <w:hideMark/>
          </w:tcPr>
          <w:p w14:paraId="3F80FE30" w14:textId="77777777" w:rsidR="00497259" w:rsidRDefault="00497259" w:rsidP="00400DD1">
            <w:pPr>
              <w:jc w:val="left"/>
              <w:rPr>
                <w:sz w:val="18"/>
                <w:szCs w:val="18"/>
              </w:rPr>
            </w:pPr>
            <w:r>
              <w:rPr>
                <w:rFonts w:hint="cs"/>
                <w:sz w:val="18"/>
                <w:szCs w:val="18"/>
                <w:rtl/>
              </w:rPr>
              <w:t xml:space="preserve"> 0</w:t>
            </w:r>
          </w:p>
        </w:tc>
        <w:tc>
          <w:tcPr>
            <w:tcW w:w="556" w:type="pct"/>
            <w:vAlign w:val="bottom"/>
            <w:hideMark/>
          </w:tcPr>
          <w:p w14:paraId="52A44254" w14:textId="77777777" w:rsidR="00497259" w:rsidRDefault="00497259" w:rsidP="00400DD1">
            <w:pPr>
              <w:jc w:val="left"/>
              <w:rPr>
                <w:sz w:val="18"/>
                <w:szCs w:val="18"/>
                <w:rtl/>
              </w:rPr>
            </w:pPr>
            <w:r>
              <w:rPr>
                <w:rFonts w:hint="cs"/>
                <w:sz w:val="18"/>
                <w:szCs w:val="18"/>
                <w:rtl/>
              </w:rPr>
              <w:t xml:space="preserve"> 0</w:t>
            </w:r>
          </w:p>
        </w:tc>
        <w:tc>
          <w:tcPr>
            <w:tcW w:w="624" w:type="pct"/>
            <w:vAlign w:val="bottom"/>
            <w:hideMark/>
          </w:tcPr>
          <w:p w14:paraId="02916C3B" w14:textId="77777777" w:rsidR="00497259" w:rsidRDefault="00497259" w:rsidP="00400DD1">
            <w:pPr>
              <w:jc w:val="left"/>
              <w:rPr>
                <w:sz w:val="18"/>
                <w:szCs w:val="18"/>
                <w:rtl/>
              </w:rPr>
            </w:pPr>
            <w:r>
              <w:rPr>
                <w:rFonts w:hint="cs"/>
                <w:sz w:val="18"/>
                <w:szCs w:val="18"/>
                <w:rtl/>
              </w:rPr>
              <w:t xml:space="preserve"> 0</w:t>
            </w:r>
          </w:p>
        </w:tc>
        <w:tc>
          <w:tcPr>
            <w:tcW w:w="486" w:type="pct"/>
            <w:vAlign w:val="bottom"/>
            <w:hideMark/>
          </w:tcPr>
          <w:p w14:paraId="1FF1D380" w14:textId="77777777" w:rsidR="00497259" w:rsidRDefault="00497259" w:rsidP="00400DD1">
            <w:pPr>
              <w:jc w:val="left"/>
              <w:rPr>
                <w:sz w:val="18"/>
                <w:szCs w:val="18"/>
                <w:rtl/>
              </w:rPr>
            </w:pPr>
            <w:r>
              <w:rPr>
                <w:rFonts w:hint="cs"/>
                <w:sz w:val="18"/>
                <w:szCs w:val="18"/>
                <w:rtl/>
              </w:rPr>
              <w:t xml:space="preserve"> 0</w:t>
            </w:r>
          </w:p>
        </w:tc>
        <w:tc>
          <w:tcPr>
            <w:tcW w:w="485" w:type="pct"/>
            <w:vAlign w:val="bottom"/>
            <w:hideMark/>
          </w:tcPr>
          <w:p w14:paraId="1B4B9498" w14:textId="77777777" w:rsidR="00497259" w:rsidRDefault="00497259" w:rsidP="00400DD1">
            <w:pPr>
              <w:jc w:val="left"/>
              <w:rPr>
                <w:sz w:val="18"/>
                <w:szCs w:val="18"/>
                <w:rtl/>
              </w:rPr>
            </w:pPr>
            <w:r>
              <w:rPr>
                <w:rFonts w:hint="cs"/>
                <w:sz w:val="18"/>
                <w:szCs w:val="18"/>
                <w:rtl/>
              </w:rPr>
              <w:t xml:space="preserve"> 0</w:t>
            </w:r>
          </w:p>
        </w:tc>
      </w:tr>
      <w:tr w:rsidR="00497259" w14:paraId="7A567B50" w14:textId="77777777" w:rsidTr="00E61F52">
        <w:trPr>
          <w:trHeight w:val="259"/>
        </w:trPr>
        <w:tc>
          <w:tcPr>
            <w:tcW w:w="513" w:type="pct"/>
          </w:tcPr>
          <w:p w14:paraId="64DE4083" w14:textId="77777777" w:rsidR="00497259" w:rsidRDefault="00497259" w:rsidP="00400DD1">
            <w:pPr>
              <w:rPr>
                <w:rtl/>
              </w:rPr>
            </w:pPr>
          </w:p>
        </w:tc>
        <w:tc>
          <w:tcPr>
            <w:tcW w:w="210" w:type="pct"/>
            <w:vAlign w:val="bottom"/>
          </w:tcPr>
          <w:p w14:paraId="3D5DC459" w14:textId="77777777" w:rsidR="00497259" w:rsidRDefault="00497259" w:rsidP="00400DD1">
            <w:pPr>
              <w:rPr>
                <w:rtl/>
              </w:rPr>
            </w:pPr>
          </w:p>
        </w:tc>
        <w:tc>
          <w:tcPr>
            <w:tcW w:w="1571" w:type="pct"/>
            <w:vAlign w:val="bottom"/>
            <w:hideMark/>
          </w:tcPr>
          <w:p w14:paraId="51424D3E" w14:textId="77777777" w:rsidR="00497259" w:rsidRPr="007046CF" w:rsidRDefault="00497259" w:rsidP="00400DD1">
            <w:pPr>
              <w:spacing w:before="40" w:line="200" w:lineRule="exact"/>
              <w:ind w:right="144" w:firstLine="34"/>
              <w:jc w:val="left"/>
              <w:rPr>
                <w:color w:val="000000"/>
                <w:sz w:val="18"/>
                <w:szCs w:val="18"/>
                <w:rtl/>
                <w:lang w:eastAsia="he-IL"/>
              </w:rPr>
            </w:pPr>
            <w:r w:rsidRPr="007046CF">
              <w:rPr>
                <w:rFonts w:hint="cs"/>
                <w:color w:val="000000"/>
                <w:sz w:val="18"/>
                <w:szCs w:val="18"/>
                <w:rtl/>
                <w:lang w:eastAsia="he-IL"/>
              </w:rPr>
              <w:t>אנשים פרטיים - הלוואות לדיור</w:t>
            </w:r>
          </w:p>
        </w:tc>
        <w:tc>
          <w:tcPr>
            <w:tcW w:w="556" w:type="pct"/>
            <w:vAlign w:val="bottom"/>
            <w:hideMark/>
          </w:tcPr>
          <w:p w14:paraId="779A253A" w14:textId="77777777" w:rsidR="00497259" w:rsidRDefault="00497259" w:rsidP="00400DD1">
            <w:pPr>
              <w:rPr>
                <w:sz w:val="18"/>
                <w:szCs w:val="18"/>
              </w:rPr>
            </w:pPr>
            <w:r>
              <w:rPr>
                <w:rFonts w:hint="cs"/>
                <w:sz w:val="18"/>
                <w:szCs w:val="18"/>
                <w:rtl/>
              </w:rPr>
              <w:t xml:space="preserve"> 0</w:t>
            </w:r>
          </w:p>
        </w:tc>
        <w:tc>
          <w:tcPr>
            <w:tcW w:w="556" w:type="pct"/>
            <w:vAlign w:val="bottom"/>
            <w:hideMark/>
          </w:tcPr>
          <w:p w14:paraId="6F931CE0" w14:textId="77777777" w:rsidR="00497259" w:rsidRDefault="00497259" w:rsidP="00400DD1">
            <w:pPr>
              <w:rPr>
                <w:sz w:val="18"/>
                <w:szCs w:val="18"/>
                <w:rtl/>
              </w:rPr>
            </w:pPr>
            <w:r>
              <w:rPr>
                <w:rFonts w:hint="cs"/>
                <w:sz w:val="18"/>
                <w:szCs w:val="18"/>
                <w:rtl/>
              </w:rPr>
              <w:t xml:space="preserve"> 0</w:t>
            </w:r>
          </w:p>
        </w:tc>
        <w:tc>
          <w:tcPr>
            <w:tcW w:w="624" w:type="pct"/>
            <w:vAlign w:val="bottom"/>
            <w:hideMark/>
          </w:tcPr>
          <w:p w14:paraId="79C7B27C" w14:textId="77777777" w:rsidR="00497259" w:rsidRDefault="00497259" w:rsidP="00400DD1">
            <w:pPr>
              <w:rPr>
                <w:sz w:val="18"/>
                <w:szCs w:val="18"/>
                <w:rtl/>
              </w:rPr>
            </w:pPr>
            <w:r>
              <w:rPr>
                <w:rFonts w:hint="cs"/>
                <w:sz w:val="18"/>
                <w:szCs w:val="18"/>
                <w:rtl/>
              </w:rPr>
              <w:t xml:space="preserve"> 0</w:t>
            </w:r>
          </w:p>
        </w:tc>
        <w:tc>
          <w:tcPr>
            <w:tcW w:w="486" w:type="pct"/>
            <w:vAlign w:val="bottom"/>
            <w:hideMark/>
          </w:tcPr>
          <w:p w14:paraId="7D173BA6" w14:textId="77777777" w:rsidR="00497259" w:rsidRDefault="00497259" w:rsidP="00400DD1">
            <w:pPr>
              <w:rPr>
                <w:sz w:val="18"/>
                <w:szCs w:val="18"/>
                <w:rtl/>
              </w:rPr>
            </w:pPr>
            <w:r>
              <w:rPr>
                <w:rFonts w:hint="cs"/>
                <w:sz w:val="18"/>
                <w:szCs w:val="18"/>
                <w:rtl/>
              </w:rPr>
              <w:t xml:space="preserve"> 0</w:t>
            </w:r>
          </w:p>
        </w:tc>
        <w:tc>
          <w:tcPr>
            <w:tcW w:w="485" w:type="pct"/>
            <w:vAlign w:val="bottom"/>
            <w:hideMark/>
          </w:tcPr>
          <w:p w14:paraId="7F585233" w14:textId="77777777" w:rsidR="00497259" w:rsidRDefault="00497259" w:rsidP="00400DD1">
            <w:pPr>
              <w:rPr>
                <w:sz w:val="18"/>
                <w:szCs w:val="18"/>
                <w:rtl/>
              </w:rPr>
            </w:pPr>
            <w:r>
              <w:rPr>
                <w:rFonts w:hint="cs"/>
                <w:sz w:val="18"/>
                <w:szCs w:val="18"/>
                <w:rtl/>
              </w:rPr>
              <w:t xml:space="preserve"> 0</w:t>
            </w:r>
          </w:p>
        </w:tc>
      </w:tr>
      <w:tr w:rsidR="00497259" w14:paraId="190AF051" w14:textId="77777777" w:rsidTr="00E61F52">
        <w:trPr>
          <w:trHeight w:val="259"/>
        </w:trPr>
        <w:tc>
          <w:tcPr>
            <w:tcW w:w="513" w:type="pct"/>
          </w:tcPr>
          <w:p w14:paraId="62C5B7F4" w14:textId="77777777" w:rsidR="00497259" w:rsidRDefault="00497259" w:rsidP="00400DD1">
            <w:pPr>
              <w:rPr>
                <w:rtl/>
              </w:rPr>
            </w:pPr>
          </w:p>
        </w:tc>
        <w:tc>
          <w:tcPr>
            <w:tcW w:w="210" w:type="pct"/>
            <w:vAlign w:val="bottom"/>
          </w:tcPr>
          <w:p w14:paraId="562EEA46" w14:textId="77777777" w:rsidR="00497259" w:rsidRDefault="00497259" w:rsidP="00400DD1">
            <w:pPr>
              <w:rPr>
                <w:rtl/>
              </w:rPr>
            </w:pPr>
          </w:p>
        </w:tc>
        <w:tc>
          <w:tcPr>
            <w:tcW w:w="1571" w:type="pct"/>
            <w:vAlign w:val="bottom"/>
            <w:hideMark/>
          </w:tcPr>
          <w:p w14:paraId="60DE6914" w14:textId="77777777" w:rsidR="00497259" w:rsidRPr="007046CF" w:rsidRDefault="00497259" w:rsidP="00400DD1">
            <w:pPr>
              <w:ind w:firstLine="34"/>
              <w:jc w:val="left"/>
              <w:rPr>
                <w:color w:val="000000"/>
                <w:sz w:val="18"/>
                <w:szCs w:val="18"/>
                <w:rtl/>
                <w:lang w:eastAsia="he-IL"/>
              </w:rPr>
            </w:pPr>
            <w:r w:rsidRPr="007046CF">
              <w:rPr>
                <w:rFonts w:hint="cs"/>
                <w:color w:val="000000"/>
                <w:sz w:val="18"/>
                <w:szCs w:val="18"/>
                <w:rtl/>
                <w:lang w:eastAsia="he-IL"/>
              </w:rPr>
              <w:t>אנשים פרטיים - אחר</w:t>
            </w:r>
          </w:p>
        </w:tc>
        <w:tc>
          <w:tcPr>
            <w:tcW w:w="556" w:type="pct"/>
            <w:vAlign w:val="bottom"/>
            <w:hideMark/>
          </w:tcPr>
          <w:p w14:paraId="4F720273" w14:textId="77777777" w:rsidR="00497259" w:rsidRDefault="00497259" w:rsidP="00400DD1">
            <w:pPr>
              <w:rPr>
                <w:sz w:val="18"/>
                <w:szCs w:val="18"/>
              </w:rPr>
            </w:pPr>
            <w:r>
              <w:rPr>
                <w:rFonts w:hint="cs"/>
                <w:sz w:val="18"/>
                <w:szCs w:val="18"/>
                <w:rtl/>
              </w:rPr>
              <w:t xml:space="preserve"> 0</w:t>
            </w:r>
          </w:p>
        </w:tc>
        <w:tc>
          <w:tcPr>
            <w:tcW w:w="556" w:type="pct"/>
            <w:vAlign w:val="bottom"/>
            <w:hideMark/>
          </w:tcPr>
          <w:p w14:paraId="63D4DBFA" w14:textId="77777777" w:rsidR="00497259" w:rsidRDefault="00497259" w:rsidP="00400DD1">
            <w:pPr>
              <w:rPr>
                <w:sz w:val="18"/>
                <w:szCs w:val="18"/>
                <w:rtl/>
              </w:rPr>
            </w:pPr>
            <w:r>
              <w:rPr>
                <w:rFonts w:hint="cs"/>
                <w:sz w:val="18"/>
                <w:szCs w:val="18"/>
                <w:rtl/>
              </w:rPr>
              <w:t xml:space="preserve"> 0</w:t>
            </w:r>
          </w:p>
        </w:tc>
        <w:tc>
          <w:tcPr>
            <w:tcW w:w="624" w:type="pct"/>
            <w:vAlign w:val="bottom"/>
            <w:hideMark/>
          </w:tcPr>
          <w:p w14:paraId="7807FCBA" w14:textId="77777777" w:rsidR="00497259" w:rsidRDefault="00497259" w:rsidP="00400DD1">
            <w:pPr>
              <w:rPr>
                <w:sz w:val="18"/>
                <w:szCs w:val="18"/>
                <w:rtl/>
              </w:rPr>
            </w:pPr>
            <w:r>
              <w:rPr>
                <w:rFonts w:hint="cs"/>
                <w:sz w:val="18"/>
                <w:szCs w:val="18"/>
                <w:rtl/>
              </w:rPr>
              <w:t xml:space="preserve"> 0</w:t>
            </w:r>
          </w:p>
        </w:tc>
        <w:tc>
          <w:tcPr>
            <w:tcW w:w="486" w:type="pct"/>
            <w:vAlign w:val="bottom"/>
            <w:hideMark/>
          </w:tcPr>
          <w:p w14:paraId="657775E3" w14:textId="77777777" w:rsidR="00497259" w:rsidRDefault="00497259" w:rsidP="00400DD1">
            <w:pPr>
              <w:rPr>
                <w:sz w:val="18"/>
                <w:szCs w:val="18"/>
                <w:rtl/>
              </w:rPr>
            </w:pPr>
            <w:r>
              <w:rPr>
                <w:rFonts w:hint="cs"/>
                <w:sz w:val="18"/>
                <w:szCs w:val="18"/>
                <w:rtl/>
              </w:rPr>
              <w:t xml:space="preserve"> 0</w:t>
            </w:r>
          </w:p>
        </w:tc>
        <w:tc>
          <w:tcPr>
            <w:tcW w:w="485" w:type="pct"/>
            <w:vAlign w:val="bottom"/>
            <w:hideMark/>
          </w:tcPr>
          <w:p w14:paraId="32F26B4B" w14:textId="77777777" w:rsidR="00497259" w:rsidRDefault="00497259" w:rsidP="00400DD1">
            <w:pPr>
              <w:rPr>
                <w:sz w:val="18"/>
                <w:szCs w:val="18"/>
                <w:rtl/>
              </w:rPr>
            </w:pPr>
            <w:r>
              <w:rPr>
                <w:rFonts w:hint="cs"/>
                <w:sz w:val="18"/>
                <w:szCs w:val="18"/>
                <w:rtl/>
              </w:rPr>
              <w:t xml:space="preserve"> 0</w:t>
            </w:r>
          </w:p>
        </w:tc>
      </w:tr>
      <w:tr w:rsidR="00497259" w14:paraId="73514FB7" w14:textId="77777777" w:rsidTr="00E61F52">
        <w:trPr>
          <w:trHeight w:val="259"/>
        </w:trPr>
        <w:tc>
          <w:tcPr>
            <w:tcW w:w="513" w:type="pct"/>
          </w:tcPr>
          <w:p w14:paraId="53B2259F" w14:textId="77777777" w:rsidR="00497259" w:rsidRDefault="00497259" w:rsidP="00400DD1">
            <w:pPr>
              <w:rPr>
                <w:rtl/>
              </w:rPr>
            </w:pPr>
          </w:p>
        </w:tc>
        <w:tc>
          <w:tcPr>
            <w:tcW w:w="210" w:type="pct"/>
            <w:vAlign w:val="bottom"/>
          </w:tcPr>
          <w:p w14:paraId="745A2890" w14:textId="77777777" w:rsidR="00497259" w:rsidRDefault="00497259" w:rsidP="00400DD1">
            <w:pPr>
              <w:rPr>
                <w:rtl/>
              </w:rPr>
            </w:pPr>
          </w:p>
        </w:tc>
        <w:tc>
          <w:tcPr>
            <w:tcW w:w="1571" w:type="pct"/>
            <w:vAlign w:val="bottom"/>
            <w:hideMark/>
          </w:tcPr>
          <w:p w14:paraId="41D31A6B" w14:textId="77777777" w:rsidR="00497259" w:rsidRDefault="00497259" w:rsidP="007046CF">
            <w:pPr>
              <w:spacing w:before="60" w:line="180" w:lineRule="exact"/>
              <w:ind w:left="34" w:right="142"/>
              <w:jc w:val="left"/>
              <w:rPr>
                <w:b/>
                <w:bCs/>
                <w:color w:val="000000"/>
                <w:sz w:val="18"/>
                <w:szCs w:val="18"/>
                <w:rtl/>
                <w:lang w:eastAsia="he-IL"/>
              </w:rPr>
            </w:pPr>
            <w:r>
              <w:rPr>
                <w:rFonts w:hint="cs"/>
                <w:b/>
                <w:bCs/>
                <w:color w:val="000000"/>
                <w:sz w:val="18"/>
                <w:szCs w:val="18"/>
                <w:rtl/>
                <w:lang w:eastAsia="he-IL"/>
              </w:rPr>
              <w:t>סך הכל אשראי לציבור - פעילות בישראל</w:t>
            </w:r>
          </w:p>
        </w:tc>
        <w:tc>
          <w:tcPr>
            <w:tcW w:w="556" w:type="pct"/>
            <w:vAlign w:val="bottom"/>
            <w:hideMark/>
          </w:tcPr>
          <w:p w14:paraId="5AA94952" w14:textId="77777777" w:rsidR="00497259" w:rsidRDefault="00497259" w:rsidP="00400DD1">
            <w:pPr>
              <w:pBdr>
                <w:top w:val="single" w:sz="4" w:space="1" w:color="auto"/>
              </w:pBdr>
              <w:ind w:left="144" w:hanging="144"/>
              <w:jc w:val="left"/>
              <w:rPr>
                <w:b/>
                <w:bCs/>
                <w:color w:val="000000"/>
                <w:sz w:val="18"/>
                <w:szCs w:val="18"/>
                <w:rtl/>
                <w:lang w:eastAsia="he-IL"/>
              </w:rPr>
            </w:pPr>
            <w:r>
              <w:rPr>
                <w:rFonts w:hint="cs"/>
                <w:b/>
                <w:bCs/>
                <w:color w:val="000000"/>
                <w:sz w:val="18"/>
                <w:szCs w:val="18"/>
                <w:rtl/>
                <w:lang w:eastAsia="he-IL"/>
              </w:rPr>
              <w:t xml:space="preserve"> 0</w:t>
            </w:r>
          </w:p>
        </w:tc>
        <w:tc>
          <w:tcPr>
            <w:tcW w:w="556" w:type="pct"/>
            <w:vAlign w:val="bottom"/>
            <w:hideMark/>
          </w:tcPr>
          <w:p w14:paraId="2B6EAF73" w14:textId="77777777" w:rsidR="00497259" w:rsidRDefault="00497259" w:rsidP="00400DD1">
            <w:pPr>
              <w:pBdr>
                <w:top w:val="single" w:sz="4" w:space="1" w:color="auto"/>
              </w:pBdr>
              <w:ind w:left="144" w:hanging="144"/>
              <w:jc w:val="left"/>
              <w:rPr>
                <w:b/>
                <w:bCs/>
                <w:color w:val="000000"/>
                <w:sz w:val="18"/>
                <w:szCs w:val="18"/>
                <w:rtl/>
                <w:lang w:eastAsia="he-IL"/>
              </w:rPr>
            </w:pPr>
            <w:r>
              <w:rPr>
                <w:rFonts w:hint="cs"/>
                <w:b/>
                <w:bCs/>
                <w:color w:val="000000"/>
                <w:sz w:val="18"/>
                <w:szCs w:val="18"/>
                <w:rtl/>
                <w:lang w:eastAsia="he-IL"/>
              </w:rPr>
              <w:t xml:space="preserve"> 0</w:t>
            </w:r>
          </w:p>
        </w:tc>
        <w:tc>
          <w:tcPr>
            <w:tcW w:w="624" w:type="pct"/>
            <w:vAlign w:val="bottom"/>
            <w:hideMark/>
          </w:tcPr>
          <w:p w14:paraId="504D8E64" w14:textId="77777777" w:rsidR="00497259" w:rsidRDefault="00497259" w:rsidP="00400DD1">
            <w:pPr>
              <w:pBdr>
                <w:top w:val="single" w:sz="4" w:space="1" w:color="auto"/>
              </w:pBdr>
              <w:ind w:left="144" w:hanging="144"/>
              <w:jc w:val="left"/>
              <w:rPr>
                <w:b/>
                <w:bCs/>
                <w:color w:val="000000"/>
                <w:sz w:val="18"/>
                <w:szCs w:val="18"/>
                <w:rtl/>
                <w:lang w:eastAsia="he-IL"/>
              </w:rPr>
            </w:pPr>
            <w:r>
              <w:rPr>
                <w:rFonts w:hint="cs"/>
                <w:b/>
                <w:bCs/>
                <w:color w:val="000000"/>
                <w:sz w:val="18"/>
                <w:szCs w:val="18"/>
                <w:rtl/>
                <w:lang w:eastAsia="he-IL"/>
              </w:rPr>
              <w:t xml:space="preserve"> 0</w:t>
            </w:r>
          </w:p>
        </w:tc>
        <w:tc>
          <w:tcPr>
            <w:tcW w:w="486" w:type="pct"/>
            <w:vAlign w:val="bottom"/>
            <w:hideMark/>
          </w:tcPr>
          <w:p w14:paraId="4A5C7456" w14:textId="77777777" w:rsidR="00497259" w:rsidRDefault="00497259" w:rsidP="00400DD1">
            <w:pPr>
              <w:pBdr>
                <w:top w:val="single" w:sz="4" w:space="1" w:color="auto"/>
              </w:pBdr>
              <w:ind w:left="144" w:hanging="144"/>
              <w:jc w:val="left"/>
              <w:rPr>
                <w:b/>
                <w:bCs/>
                <w:color w:val="000000"/>
                <w:sz w:val="18"/>
                <w:szCs w:val="18"/>
                <w:rtl/>
                <w:lang w:eastAsia="he-IL"/>
              </w:rPr>
            </w:pPr>
            <w:r>
              <w:rPr>
                <w:rFonts w:hint="cs"/>
                <w:b/>
                <w:bCs/>
                <w:color w:val="000000"/>
                <w:sz w:val="18"/>
                <w:szCs w:val="18"/>
                <w:rtl/>
                <w:lang w:eastAsia="he-IL"/>
              </w:rPr>
              <w:t xml:space="preserve"> 0</w:t>
            </w:r>
          </w:p>
        </w:tc>
        <w:tc>
          <w:tcPr>
            <w:tcW w:w="485" w:type="pct"/>
            <w:vAlign w:val="bottom"/>
            <w:hideMark/>
          </w:tcPr>
          <w:p w14:paraId="57E7D132" w14:textId="77777777" w:rsidR="00497259" w:rsidRDefault="00497259" w:rsidP="00400DD1">
            <w:pPr>
              <w:pBdr>
                <w:top w:val="single" w:sz="4" w:space="1" w:color="auto"/>
              </w:pBdr>
              <w:ind w:left="144" w:hanging="144"/>
              <w:jc w:val="left"/>
              <w:rPr>
                <w:b/>
                <w:bCs/>
                <w:color w:val="000000"/>
                <w:sz w:val="18"/>
                <w:szCs w:val="18"/>
                <w:rtl/>
                <w:lang w:eastAsia="he-IL"/>
              </w:rPr>
            </w:pPr>
            <w:r>
              <w:rPr>
                <w:rFonts w:hint="cs"/>
                <w:b/>
                <w:bCs/>
                <w:color w:val="000000"/>
                <w:sz w:val="18"/>
                <w:szCs w:val="18"/>
                <w:rtl/>
                <w:lang w:eastAsia="he-IL"/>
              </w:rPr>
              <w:t xml:space="preserve"> 0</w:t>
            </w:r>
          </w:p>
        </w:tc>
      </w:tr>
      <w:tr w:rsidR="00497259" w14:paraId="01678313" w14:textId="77777777" w:rsidTr="00E61F52">
        <w:tc>
          <w:tcPr>
            <w:tcW w:w="513" w:type="pct"/>
          </w:tcPr>
          <w:p w14:paraId="116C168B" w14:textId="77777777" w:rsidR="00497259" w:rsidRDefault="00497259" w:rsidP="00400DD1">
            <w:pPr>
              <w:spacing w:line="120" w:lineRule="exact"/>
              <w:rPr>
                <w:rtl/>
              </w:rPr>
            </w:pPr>
          </w:p>
        </w:tc>
        <w:tc>
          <w:tcPr>
            <w:tcW w:w="210" w:type="pct"/>
            <w:vAlign w:val="bottom"/>
          </w:tcPr>
          <w:p w14:paraId="7AA99E18" w14:textId="77777777" w:rsidR="00497259" w:rsidRDefault="00497259" w:rsidP="00400DD1">
            <w:pPr>
              <w:spacing w:line="120" w:lineRule="exact"/>
              <w:rPr>
                <w:rtl/>
              </w:rPr>
            </w:pPr>
          </w:p>
        </w:tc>
        <w:tc>
          <w:tcPr>
            <w:tcW w:w="1571" w:type="pct"/>
            <w:vAlign w:val="bottom"/>
          </w:tcPr>
          <w:p w14:paraId="5823097C" w14:textId="77777777" w:rsidR="00497259" w:rsidRDefault="00497259" w:rsidP="00400DD1">
            <w:pPr>
              <w:spacing w:line="120" w:lineRule="exact"/>
              <w:ind w:left="432" w:right="144" w:hanging="144"/>
              <w:jc w:val="left"/>
              <w:rPr>
                <w:color w:val="000000"/>
                <w:sz w:val="8"/>
                <w:szCs w:val="8"/>
                <w:rtl/>
                <w:lang w:eastAsia="he-IL"/>
              </w:rPr>
            </w:pPr>
          </w:p>
        </w:tc>
        <w:tc>
          <w:tcPr>
            <w:tcW w:w="556" w:type="pct"/>
          </w:tcPr>
          <w:p w14:paraId="532FC32C" w14:textId="77777777" w:rsidR="00497259" w:rsidRDefault="00497259" w:rsidP="00400DD1">
            <w:pPr>
              <w:spacing w:line="120" w:lineRule="exact"/>
              <w:jc w:val="center"/>
              <w:rPr>
                <w:sz w:val="18"/>
                <w:szCs w:val="18"/>
                <w:rtl/>
              </w:rPr>
            </w:pPr>
          </w:p>
        </w:tc>
        <w:tc>
          <w:tcPr>
            <w:tcW w:w="556" w:type="pct"/>
          </w:tcPr>
          <w:p w14:paraId="6A5F42C0" w14:textId="77777777" w:rsidR="00497259" w:rsidRDefault="00497259" w:rsidP="00400DD1">
            <w:pPr>
              <w:spacing w:line="120" w:lineRule="exact"/>
              <w:jc w:val="center"/>
              <w:rPr>
                <w:sz w:val="18"/>
                <w:szCs w:val="18"/>
                <w:rtl/>
              </w:rPr>
            </w:pPr>
          </w:p>
        </w:tc>
        <w:tc>
          <w:tcPr>
            <w:tcW w:w="624" w:type="pct"/>
          </w:tcPr>
          <w:p w14:paraId="6390C2CC" w14:textId="77777777" w:rsidR="00497259" w:rsidRDefault="00497259" w:rsidP="00400DD1">
            <w:pPr>
              <w:spacing w:line="120" w:lineRule="exact"/>
              <w:jc w:val="center"/>
              <w:rPr>
                <w:sz w:val="18"/>
                <w:szCs w:val="18"/>
                <w:rtl/>
              </w:rPr>
            </w:pPr>
          </w:p>
        </w:tc>
        <w:tc>
          <w:tcPr>
            <w:tcW w:w="486" w:type="pct"/>
          </w:tcPr>
          <w:p w14:paraId="438E0066" w14:textId="77777777" w:rsidR="00497259" w:rsidRDefault="00497259" w:rsidP="00400DD1">
            <w:pPr>
              <w:spacing w:line="120" w:lineRule="exact"/>
              <w:jc w:val="center"/>
              <w:rPr>
                <w:sz w:val="18"/>
                <w:szCs w:val="18"/>
                <w:rtl/>
              </w:rPr>
            </w:pPr>
          </w:p>
        </w:tc>
        <w:tc>
          <w:tcPr>
            <w:tcW w:w="485" w:type="pct"/>
          </w:tcPr>
          <w:p w14:paraId="39B21F4C" w14:textId="77777777" w:rsidR="00497259" w:rsidRDefault="00497259" w:rsidP="00400DD1">
            <w:pPr>
              <w:spacing w:line="120" w:lineRule="exact"/>
              <w:jc w:val="center"/>
              <w:rPr>
                <w:sz w:val="18"/>
                <w:szCs w:val="18"/>
                <w:rtl/>
              </w:rPr>
            </w:pPr>
          </w:p>
        </w:tc>
      </w:tr>
      <w:tr w:rsidR="00497259" w14:paraId="3328FEE8" w14:textId="77777777" w:rsidTr="00E61F52">
        <w:trPr>
          <w:trHeight w:val="259"/>
        </w:trPr>
        <w:tc>
          <w:tcPr>
            <w:tcW w:w="513" w:type="pct"/>
          </w:tcPr>
          <w:p w14:paraId="7B1C28EB" w14:textId="77777777" w:rsidR="00497259" w:rsidRDefault="00497259" w:rsidP="00400DD1">
            <w:pPr>
              <w:rPr>
                <w:rtl/>
              </w:rPr>
            </w:pPr>
          </w:p>
        </w:tc>
        <w:tc>
          <w:tcPr>
            <w:tcW w:w="210" w:type="pct"/>
            <w:vAlign w:val="bottom"/>
          </w:tcPr>
          <w:p w14:paraId="025AC858" w14:textId="77777777" w:rsidR="00497259" w:rsidRDefault="00497259" w:rsidP="00400DD1">
            <w:pPr>
              <w:rPr>
                <w:rtl/>
              </w:rPr>
            </w:pPr>
          </w:p>
        </w:tc>
        <w:tc>
          <w:tcPr>
            <w:tcW w:w="1571" w:type="pct"/>
            <w:vAlign w:val="bottom"/>
            <w:hideMark/>
          </w:tcPr>
          <w:p w14:paraId="6FC4987B" w14:textId="77777777" w:rsidR="00497259" w:rsidRDefault="00497259" w:rsidP="00400DD1">
            <w:pPr>
              <w:ind w:left="34"/>
              <w:jc w:val="left"/>
              <w:rPr>
                <w:b/>
                <w:bCs/>
                <w:color w:val="000000"/>
                <w:sz w:val="18"/>
                <w:szCs w:val="18"/>
                <w:u w:val="single"/>
                <w:rtl/>
                <w:lang w:eastAsia="he-IL"/>
              </w:rPr>
            </w:pPr>
            <w:r>
              <w:rPr>
                <w:rFonts w:hint="cs"/>
                <w:b/>
                <w:bCs/>
                <w:color w:val="000000"/>
                <w:sz w:val="18"/>
                <w:szCs w:val="18"/>
                <w:u w:val="single"/>
                <w:rtl/>
                <w:lang w:eastAsia="he-IL"/>
              </w:rPr>
              <w:t>פעילות לווים בחו"ל</w:t>
            </w:r>
          </w:p>
        </w:tc>
        <w:tc>
          <w:tcPr>
            <w:tcW w:w="556" w:type="pct"/>
            <w:vAlign w:val="bottom"/>
          </w:tcPr>
          <w:p w14:paraId="641A8F95" w14:textId="77777777" w:rsidR="00497259" w:rsidRDefault="00497259" w:rsidP="00400DD1">
            <w:pPr>
              <w:rPr>
                <w:sz w:val="18"/>
                <w:szCs w:val="18"/>
                <w:rtl/>
              </w:rPr>
            </w:pPr>
          </w:p>
        </w:tc>
        <w:tc>
          <w:tcPr>
            <w:tcW w:w="556" w:type="pct"/>
            <w:vAlign w:val="bottom"/>
          </w:tcPr>
          <w:p w14:paraId="6A03436F" w14:textId="77777777" w:rsidR="00497259" w:rsidRDefault="00497259" w:rsidP="00400DD1">
            <w:pPr>
              <w:rPr>
                <w:sz w:val="18"/>
                <w:szCs w:val="18"/>
                <w:rtl/>
              </w:rPr>
            </w:pPr>
          </w:p>
        </w:tc>
        <w:tc>
          <w:tcPr>
            <w:tcW w:w="624" w:type="pct"/>
            <w:vAlign w:val="bottom"/>
          </w:tcPr>
          <w:p w14:paraId="1A3EE047" w14:textId="77777777" w:rsidR="00497259" w:rsidRDefault="00497259" w:rsidP="00400DD1">
            <w:pPr>
              <w:rPr>
                <w:sz w:val="18"/>
                <w:szCs w:val="18"/>
                <w:rtl/>
              </w:rPr>
            </w:pPr>
          </w:p>
        </w:tc>
        <w:tc>
          <w:tcPr>
            <w:tcW w:w="486" w:type="pct"/>
            <w:vAlign w:val="bottom"/>
          </w:tcPr>
          <w:p w14:paraId="792ECD4B" w14:textId="77777777" w:rsidR="00497259" w:rsidRDefault="00497259" w:rsidP="00400DD1">
            <w:pPr>
              <w:rPr>
                <w:sz w:val="18"/>
                <w:szCs w:val="18"/>
                <w:rtl/>
              </w:rPr>
            </w:pPr>
          </w:p>
        </w:tc>
        <w:tc>
          <w:tcPr>
            <w:tcW w:w="485" w:type="pct"/>
            <w:vAlign w:val="bottom"/>
          </w:tcPr>
          <w:p w14:paraId="1386BDB8" w14:textId="77777777" w:rsidR="00497259" w:rsidRDefault="00497259" w:rsidP="00400DD1">
            <w:pPr>
              <w:rPr>
                <w:sz w:val="18"/>
                <w:szCs w:val="18"/>
                <w:rtl/>
              </w:rPr>
            </w:pPr>
          </w:p>
        </w:tc>
      </w:tr>
      <w:tr w:rsidR="00497259" w14:paraId="6040FF2F" w14:textId="77777777" w:rsidTr="00E61F52">
        <w:trPr>
          <w:trHeight w:val="259"/>
        </w:trPr>
        <w:tc>
          <w:tcPr>
            <w:tcW w:w="513" w:type="pct"/>
          </w:tcPr>
          <w:p w14:paraId="46C7D390" w14:textId="77777777" w:rsidR="00497259" w:rsidRDefault="00497259" w:rsidP="00400DD1">
            <w:pPr>
              <w:rPr>
                <w:rtl/>
              </w:rPr>
            </w:pPr>
          </w:p>
        </w:tc>
        <w:tc>
          <w:tcPr>
            <w:tcW w:w="210" w:type="pct"/>
            <w:vAlign w:val="bottom"/>
          </w:tcPr>
          <w:p w14:paraId="7B0C0783" w14:textId="77777777" w:rsidR="00497259" w:rsidRDefault="00497259" w:rsidP="00400DD1">
            <w:pPr>
              <w:rPr>
                <w:rtl/>
              </w:rPr>
            </w:pPr>
          </w:p>
        </w:tc>
        <w:tc>
          <w:tcPr>
            <w:tcW w:w="1571" w:type="pct"/>
            <w:vAlign w:val="bottom"/>
            <w:hideMark/>
          </w:tcPr>
          <w:p w14:paraId="17892261" w14:textId="77777777" w:rsidR="00497259" w:rsidRDefault="00497259" w:rsidP="00F35649">
            <w:pPr>
              <w:spacing w:before="40" w:line="180" w:lineRule="exact"/>
              <w:ind w:left="142" w:right="142" w:hanging="108"/>
              <w:jc w:val="left"/>
              <w:rPr>
                <w:b/>
                <w:bCs/>
                <w:color w:val="000000"/>
                <w:sz w:val="18"/>
                <w:szCs w:val="18"/>
                <w:rtl/>
                <w:lang w:eastAsia="he-IL"/>
              </w:rPr>
            </w:pPr>
            <w:r>
              <w:rPr>
                <w:rFonts w:hint="cs"/>
                <w:b/>
                <w:bCs/>
                <w:color w:val="000000"/>
                <w:sz w:val="18"/>
                <w:szCs w:val="18"/>
                <w:rtl/>
                <w:lang w:eastAsia="he-IL"/>
              </w:rPr>
              <w:t>סך הכל אשראי לציבור - פעילות בחו"ל</w:t>
            </w:r>
          </w:p>
        </w:tc>
        <w:tc>
          <w:tcPr>
            <w:tcW w:w="556" w:type="pct"/>
            <w:vAlign w:val="bottom"/>
            <w:hideMark/>
          </w:tcPr>
          <w:p w14:paraId="02F8AB66" w14:textId="77777777" w:rsidR="00497259" w:rsidRDefault="00497259" w:rsidP="00400DD1">
            <w:pPr>
              <w:pBdr>
                <w:bottom w:val="single" w:sz="4" w:space="1" w:color="auto"/>
              </w:pBdr>
              <w:ind w:left="144" w:hanging="144"/>
              <w:jc w:val="left"/>
              <w:rPr>
                <w:b/>
                <w:bCs/>
                <w:color w:val="000000"/>
                <w:sz w:val="18"/>
                <w:szCs w:val="18"/>
                <w:rtl/>
                <w:lang w:eastAsia="he-IL"/>
              </w:rPr>
            </w:pPr>
            <w:r>
              <w:rPr>
                <w:rFonts w:hint="cs"/>
                <w:b/>
                <w:bCs/>
                <w:color w:val="000000"/>
                <w:sz w:val="18"/>
                <w:szCs w:val="18"/>
                <w:rtl/>
                <w:lang w:eastAsia="he-IL"/>
              </w:rPr>
              <w:t xml:space="preserve"> 0</w:t>
            </w:r>
          </w:p>
        </w:tc>
        <w:tc>
          <w:tcPr>
            <w:tcW w:w="556" w:type="pct"/>
            <w:vAlign w:val="bottom"/>
            <w:hideMark/>
          </w:tcPr>
          <w:p w14:paraId="18D41876" w14:textId="77777777" w:rsidR="00497259" w:rsidRDefault="00497259" w:rsidP="00400DD1">
            <w:pPr>
              <w:pBdr>
                <w:bottom w:val="single" w:sz="4" w:space="1" w:color="auto"/>
              </w:pBdr>
              <w:ind w:left="144" w:hanging="144"/>
              <w:jc w:val="left"/>
              <w:rPr>
                <w:b/>
                <w:bCs/>
                <w:color w:val="000000"/>
                <w:sz w:val="18"/>
                <w:szCs w:val="18"/>
                <w:rtl/>
                <w:lang w:eastAsia="he-IL"/>
              </w:rPr>
            </w:pPr>
            <w:r>
              <w:rPr>
                <w:rFonts w:hint="cs"/>
                <w:b/>
                <w:bCs/>
                <w:color w:val="000000"/>
                <w:sz w:val="18"/>
                <w:szCs w:val="18"/>
                <w:rtl/>
                <w:lang w:eastAsia="he-IL"/>
              </w:rPr>
              <w:t xml:space="preserve"> 0</w:t>
            </w:r>
          </w:p>
        </w:tc>
        <w:tc>
          <w:tcPr>
            <w:tcW w:w="624" w:type="pct"/>
            <w:vAlign w:val="bottom"/>
            <w:hideMark/>
          </w:tcPr>
          <w:p w14:paraId="1BBB2763" w14:textId="77777777" w:rsidR="00497259" w:rsidRDefault="00497259" w:rsidP="00400DD1">
            <w:pPr>
              <w:pBdr>
                <w:bottom w:val="single" w:sz="4" w:space="1" w:color="auto"/>
              </w:pBdr>
              <w:ind w:left="144" w:hanging="144"/>
              <w:jc w:val="left"/>
              <w:rPr>
                <w:b/>
                <w:bCs/>
                <w:color w:val="000000"/>
                <w:sz w:val="18"/>
                <w:szCs w:val="18"/>
                <w:rtl/>
                <w:lang w:eastAsia="he-IL"/>
              </w:rPr>
            </w:pPr>
            <w:r>
              <w:rPr>
                <w:rFonts w:hint="cs"/>
                <w:b/>
                <w:bCs/>
                <w:color w:val="000000"/>
                <w:sz w:val="18"/>
                <w:szCs w:val="18"/>
                <w:rtl/>
                <w:lang w:eastAsia="he-IL"/>
              </w:rPr>
              <w:t xml:space="preserve"> 0</w:t>
            </w:r>
          </w:p>
        </w:tc>
        <w:tc>
          <w:tcPr>
            <w:tcW w:w="486" w:type="pct"/>
            <w:vAlign w:val="bottom"/>
            <w:hideMark/>
          </w:tcPr>
          <w:p w14:paraId="75E2B423" w14:textId="77777777" w:rsidR="00497259" w:rsidRDefault="00497259" w:rsidP="00400DD1">
            <w:pPr>
              <w:pBdr>
                <w:bottom w:val="single" w:sz="4" w:space="1" w:color="auto"/>
              </w:pBdr>
              <w:ind w:left="144" w:hanging="144"/>
              <w:jc w:val="left"/>
              <w:rPr>
                <w:b/>
                <w:bCs/>
                <w:color w:val="000000"/>
                <w:sz w:val="18"/>
                <w:szCs w:val="18"/>
                <w:rtl/>
                <w:lang w:eastAsia="he-IL"/>
              </w:rPr>
            </w:pPr>
            <w:r>
              <w:rPr>
                <w:rFonts w:hint="cs"/>
                <w:b/>
                <w:bCs/>
                <w:color w:val="000000"/>
                <w:sz w:val="18"/>
                <w:szCs w:val="18"/>
                <w:rtl/>
                <w:lang w:eastAsia="he-IL"/>
              </w:rPr>
              <w:t xml:space="preserve"> 0</w:t>
            </w:r>
          </w:p>
        </w:tc>
        <w:tc>
          <w:tcPr>
            <w:tcW w:w="485" w:type="pct"/>
            <w:vAlign w:val="bottom"/>
            <w:hideMark/>
          </w:tcPr>
          <w:p w14:paraId="1525A53E" w14:textId="77777777" w:rsidR="00497259" w:rsidRDefault="00497259" w:rsidP="00400DD1">
            <w:pPr>
              <w:pBdr>
                <w:bottom w:val="single" w:sz="4" w:space="1" w:color="auto"/>
              </w:pBdr>
              <w:ind w:left="144" w:hanging="144"/>
              <w:jc w:val="left"/>
              <w:rPr>
                <w:b/>
                <w:bCs/>
                <w:color w:val="000000"/>
                <w:sz w:val="18"/>
                <w:szCs w:val="18"/>
                <w:rtl/>
                <w:lang w:eastAsia="he-IL"/>
              </w:rPr>
            </w:pPr>
            <w:r>
              <w:rPr>
                <w:rFonts w:hint="cs"/>
                <w:b/>
                <w:bCs/>
                <w:color w:val="000000"/>
                <w:sz w:val="18"/>
                <w:szCs w:val="18"/>
                <w:rtl/>
                <w:lang w:eastAsia="he-IL"/>
              </w:rPr>
              <w:t xml:space="preserve"> 0</w:t>
            </w:r>
          </w:p>
        </w:tc>
      </w:tr>
      <w:tr w:rsidR="00497259" w14:paraId="022F8E5E" w14:textId="77777777" w:rsidTr="00E61F52">
        <w:trPr>
          <w:trHeight w:val="259"/>
        </w:trPr>
        <w:tc>
          <w:tcPr>
            <w:tcW w:w="513" w:type="pct"/>
          </w:tcPr>
          <w:p w14:paraId="388A88BD" w14:textId="77777777" w:rsidR="00497259" w:rsidRDefault="00497259" w:rsidP="00400DD1">
            <w:pPr>
              <w:rPr>
                <w:rtl/>
              </w:rPr>
            </w:pPr>
          </w:p>
        </w:tc>
        <w:tc>
          <w:tcPr>
            <w:tcW w:w="210" w:type="pct"/>
            <w:vAlign w:val="bottom"/>
          </w:tcPr>
          <w:p w14:paraId="35AC8C42" w14:textId="77777777" w:rsidR="00497259" w:rsidRDefault="00497259" w:rsidP="00400DD1">
            <w:pPr>
              <w:rPr>
                <w:rtl/>
              </w:rPr>
            </w:pPr>
          </w:p>
        </w:tc>
        <w:tc>
          <w:tcPr>
            <w:tcW w:w="1571" w:type="pct"/>
            <w:vAlign w:val="bottom"/>
            <w:hideMark/>
          </w:tcPr>
          <w:p w14:paraId="378D9266" w14:textId="77777777" w:rsidR="00497259" w:rsidRDefault="00497259" w:rsidP="00400DD1">
            <w:pPr>
              <w:ind w:left="144" w:hanging="144"/>
              <w:jc w:val="left"/>
              <w:rPr>
                <w:b/>
                <w:bCs/>
                <w:color w:val="000000"/>
                <w:sz w:val="18"/>
                <w:szCs w:val="18"/>
                <w:rtl/>
                <w:lang w:eastAsia="he-IL"/>
              </w:rPr>
            </w:pPr>
            <w:r>
              <w:rPr>
                <w:rFonts w:hint="cs"/>
                <w:b/>
                <w:bCs/>
                <w:color w:val="000000"/>
                <w:sz w:val="18"/>
                <w:szCs w:val="18"/>
                <w:rtl/>
                <w:lang w:eastAsia="he-IL"/>
              </w:rPr>
              <w:t xml:space="preserve">סך הכל </w:t>
            </w:r>
          </w:p>
        </w:tc>
        <w:tc>
          <w:tcPr>
            <w:tcW w:w="556" w:type="pct"/>
            <w:vAlign w:val="bottom"/>
            <w:hideMark/>
          </w:tcPr>
          <w:p w14:paraId="4D362567" w14:textId="77777777" w:rsidR="00497259" w:rsidRDefault="00497259" w:rsidP="00400DD1">
            <w:pPr>
              <w:pBdr>
                <w:bottom w:val="double" w:sz="4" w:space="1" w:color="auto"/>
              </w:pBdr>
              <w:ind w:left="144" w:hanging="144"/>
              <w:jc w:val="left"/>
              <w:rPr>
                <w:b/>
                <w:bCs/>
                <w:color w:val="000000"/>
                <w:sz w:val="18"/>
                <w:szCs w:val="18"/>
                <w:rtl/>
                <w:lang w:eastAsia="he-IL"/>
              </w:rPr>
            </w:pPr>
            <w:r>
              <w:rPr>
                <w:rFonts w:hint="cs"/>
                <w:b/>
                <w:bCs/>
                <w:color w:val="000000"/>
                <w:sz w:val="18"/>
                <w:szCs w:val="18"/>
                <w:rtl/>
                <w:lang w:eastAsia="he-IL"/>
              </w:rPr>
              <w:t xml:space="preserve"> 0</w:t>
            </w:r>
          </w:p>
        </w:tc>
        <w:tc>
          <w:tcPr>
            <w:tcW w:w="556" w:type="pct"/>
            <w:vAlign w:val="bottom"/>
            <w:hideMark/>
          </w:tcPr>
          <w:p w14:paraId="3145ABCC" w14:textId="77777777" w:rsidR="00497259" w:rsidRDefault="00497259" w:rsidP="00400DD1">
            <w:pPr>
              <w:pBdr>
                <w:bottom w:val="double" w:sz="4" w:space="1" w:color="auto"/>
              </w:pBdr>
              <w:ind w:left="144" w:hanging="144"/>
              <w:jc w:val="left"/>
              <w:rPr>
                <w:b/>
                <w:bCs/>
                <w:color w:val="000000"/>
                <w:sz w:val="18"/>
                <w:szCs w:val="18"/>
                <w:rtl/>
                <w:lang w:eastAsia="he-IL"/>
              </w:rPr>
            </w:pPr>
            <w:r>
              <w:rPr>
                <w:rFonts w:hint="cs"/>
                <w:b/>
                <w:bCs/>
                <w:color w:val="000000"/>
                <w:sz w:val="18"/>
                <w:szCs w:val="18"/>
                <w:rtl/>
                <w:lang w:eastAsia="he-IL"/>
              </w:rPr>
              <w:t xml:space="preserve"> 0</w:t>
            </w:r>
          </w:p>
        </w:tc>
        <w:tc>
          <w:tcPr>
            <w:tcW w:w="624" w:type="pct"/>
            <w:vAlign w:val="bottom"/>
            <w:hideMark/>
          </w:tcPr>
          <w:p w14:paraId="58DC809B" w14:textId="77777777" w:rsidR="00497259" w:rsidRDefault="00497259" w:rsidP="00400DD1">
            <w:pPr>
              <w:pBdr>
                <w:bottom w:val="double" w:sz="4" w:space="1" w:color="auto"/>
              </w:pBdr>
              <w:ind w:left="144" w:hanging="144"/>
              <w:jc w:val="left"/>
              <w:rPr>
                <w:b/>
                <w:bCs/>
                <w:color w:val="000000"/>
                <w:sz w:val="18"/>
                <w:szCs w:val="18"/>
                <w:rtl/>
                <w:lang w:eastAsia="he-IL"/>
              </w:rPr>
            </w:pPr>
            <w:r>
              <w:rPr>
                <w:rFonts w:hint="cs"/>
                <w:b/>
                <w:bCs/>
                <w:color w:val="000000"/>
                <w:sz w:val="18"/>
                <w:szCs w:val="18"/>
                <w:rtl/>
                <w:lang w:eastAsia="he-IL"/>
              </w:rPr>
              <w:t xml:space="preserve"> 0</w:t>
            </w:r>
          </w:p>
        </w:tc>
        <w:tc>
          <w:tcPr>
            <w:tcW w:w="486" w:type="pct"/>
            <w:vAlign w:val="bottom"/>
            <w:hideMark/>
          </w:tcPr>
          <w:p w14:paraId="1E3EAFCC" w14:textId="77777777" w:rsidR="00497259" w:rsidRDefault="00497259" w:rsidP="00400DD1">
            <w:pPr>
              <w:pBdr>
                <w:bottom w:val="double" w:sz="4" w:space="1" w:color="auto"/>
              </w:pBdr>
              <w:ind w:left="144" w:hanging="144"/>
              <w:jc w:val="left"/>
              <w:rPr>
                <w:b/>
                <w:bCs/>
                <w:color w:val="000000"/>
                <w:sz w:val="18"/>
                <w:szCs w:val="18"/>
                <w:rtl/>
                <w:lang w:eastAsia="he-IL"/>
              </w:rPr>
            </w:pPr>
            <w:r>
              <w:rPr>
                <w:rFonts w:hint="cs"/>
                <w:b/>
                <w:bCs/>
                <w:color w:val="000000"/>
                <w:sz w:val="18"/>
                <w:szCs w:val="18"/>
                <w:rtl/>
                <w:lang w:eastAsia="he-IL"/>
              </w:rPr>
              <w:t xml:space="preserve"> 0</w:t>
            </w:r>
          </w:p>
        </w:tc>
        <w:tc>
          <w:tcPr>
            <w:tcW w:w="485" w:type="pct"/>
            <w:vAlign w:val="bottom"/>
            <w:hideMark/>
          </w:tcPr>
          <w:p w14:paraId="65EAF7C1" w14:textId="77777777" w:rsidR="00497259" w:rsidRDefault="00497259" w:rsidP="00400DD1">
            <w:pPr>
              <w:pBdr>
                <w:bottom w:val="double" w:sz="4" w:space="1" w:color="auto"/>
              </w:pBdr>
              <w:ind w:left="144" w:hanging="144"/>
              <w:jc w:val="left"/>
              <w:rPr>
                <w:b/>
                <w:bCs/>
                <w:color w:val="000000"/>
                <w:sz w:val="18"/>
                <w:szCs w:val="18"/>
                <w:rtl/>
                <w:lang w:eastAsia="he-IL"/>
              </w:rPr>
            </w:pPr>
            <w:r>
              <w:rPr>
                <w:rFonts w:hint="cs"/>
                <w:b/>
                <w:bCs/>
                <w:color w:val="000000"/>
                <w:sz w:val="18"/>
                <w:szCs w:val="18"/>
                <w:rtl/>
                <w:lang w:eastAsia="he-IL"/>
              </w:rPr>
              <w:t xml:space="preserve"> 0</w:t>
            </w:r>
          </w:p>
        </w:tc>
      </w:tr>
    </w:tbl>
    <w:p w14:paraId="294E3C7B" w14:textId="54794BD9" w:rsidR="00497259" w:rsidRDefault="00497259" w:rsidP="001E1091">
      <w:pPr>
        <w:rPr>
          <w:sz w:val="2"/>
          <w:szCs w:val="2"/>
          <w:rtl/>
        </w:rPr>
      </w:pPr>
    </w:p>
    <w:p w14:paraId="4C5FB952" w14:textId="23832CB7" w:rsidR="00497259" w:rsidRDefault="00497259" w:rsidP="001E1091">
      <w:pPr>
        <w:rPr>
          <w:sz w:val="2"/>
          <w:szCs w:val="2"/>
          <w:rtl/>
        </w:rPr>
      </w:pPr>
    </w:p>
    <w:p w14:paraId="7A571C7A" w14:textId="3178A2E8" w:rsidR="00497259" w:rsidRDefault="00497259" w:rsidP="001E1091">
      <w:pPr>
        <w:rPr>
          <w:sz w:val="2"/>
          <w:szCs w:val="2"/>
          <w:rtl/>
        </w:rPr>
      </w:pPr>
    </w:p>
    <w:p w14:paraId="7C0E696E" w14:textId="5AB6CD67" w:rsidR="00497259" w:rsidRDefault="00497259" w:rsidP="001E1091">
      <w:pPr>
        <w:rPr>
          <w:sz w:val="2"/>
          <w:szCs w:val="2"/>
          <w:rtl/>
        </w:rPr>
      </w:pPr>
    </w:p>
    <w:p w14:paraId="31F2C987" w14:textId="33F7EE60" w:rsidR="00623A25" w:rsidRDefault="00623A25" w:rsidP="001E1091">
      <w:pPr>
        <w:rPr>
          <w:sz w:val="2"/>
          <w:szCs w:val="2"/>
          <w:rtl/>
        </w:rPr>
      </w:pPr>
    </w:p>
    <w:p w14:paraId="4980B26A" w14:textId="0C4B9FAE" w:rsidR="00623A25" w:rsidRDefault="00623A25" w:rsidP="001E1091">
      <w:pPr>
        <w:rPr>
          <w:sz w:val="2"/>
          <w:szCs w:val="2"/>
          <w:rtl/>
        </w:rPr>
      </w:pPr>
    </w:p>
    <w:p w14:paraId="4C397F92" w14:textId="6C417F2D" w:rsidR="00623A25" w:rsidRDefault="00623A25" w:rsidP="001E1091">
      <w:pPr>
        <w:rPr>
          <w:sz w:val="2"/>
          <w:szCs w:val="2"/>
          <w:rtl/>
        </w:rPr>
      </w:pPr>
    </w:p>
    <w:p w14:paraId="27B8E419" w14:textId="5B58A7BE" w:rsidR="007046CF" w:rsidRDefault="007046CF" w:rsidP="001E1091">
      <w:pPr>
        <w:rPr>
          <w:sz w:val="2"/>
          <w:szCs w:val="2"/>
          <w:rtl/>
        </w:rPr>
      </w:pPr>
    </w:p>
    <w:p w14:paraId="73281D41" w14:textId="64E1EA9D" w:rsidR="007046CF" w:rsidRDefault="007046CF" w:rsidP="001E1091">
      <w:pPr>
        <w:rPr>
          <w:sz w:val="2"/>
          <w:szCs w:val="2"/>
          <w:rtl/>
        </w:rPr>
      </w:pPr>
    </w:p>
    <w:p w14:paraId="49F2718F" w14:textId="5CD7F521" w:rsidR="007046CF" w:rsidRDefault="007046CF" w:rsidP="001E1091">
      <w:pPr>
        <w:rPr>
          <w:sz w:val="2"/>
          <w:szCs w:val="2"/>
          <w:rtl/>
        </w:rPr>
      </w:pPr>
    </w:p>
    <w:p w14:paraId="63E3E1CE" w14:textId="77777777" w:rsidR="007046CF" w:rsidRDefault="007046CF" w:rsidP="001E1091">
      <w:pPr>
        <w:rPr>
          <w:sz w:val="2"/>
          <w:szCs w:val="2"/>
          <w:rtl/>
        </w:rPr>
      </w:pPr>
    </w:p>
    <w:p w14:paraId="045EB334" w14:textId="748F72D3" w:rsidR="00623A25" w:rsidRDefault="00623A25" w:rsidP="001E1091">
      <w:pPr>
        <w:rPr>
          <w:sz w:val="2"/>
          <w:szCs w:val="2"/>
          <w:rtl/>
        </w:rPr>
      </w:pPr>
    </w:p>
    <w:p w14:paraId="3E350B67" w14:textId="77777777" w:rsidR="00623A25" w:rsidRPr="00F62E8E" w:rsidRDefault="00623A25" w:rsidP="001E1091">
      <w:pPr>
        <w:rPr>
          <w:sz w:val="2"/>
          <w:szCs w:val="2"/>
          <w:rtl/>
        </w:rPr>
      </w:pPr>
    </w:p>
    <w:tbl>
      <w:tblPr>
        <w:bidiVisual/>
        <w:tblW w:w="4927" w:type="pct"/>
        <w:tblLook w:val="04A0" w:firstRow="1" w:lastRow="0" w:firstColumn="1" w:lastColumn="0" w:noHBand="0" w:noVBand="1"/>
      </w:tblPr>
      <w:tblGrid>
        <w:gridCol w:w="795"/>
        <w:gridCol w:w="615"/>
        <w:gridCol w:w="8648"/>
      </w:tblGrid>
      <w:tr w:rsidR="00497259" w14:paraId="0480FC9A" w14:textId="77777777" w:rsidTr="00E406C0">
        <w:trPr>
          <w:trHeight w:val="245"/>
        </w:trPr>
        <w:tc>
          <w:tcPr>
            <w:tcW w:w="795" w:type="dxa"/>
          </w:tcPr>
          <w:p w14:paraId="6D866ED9" w14:textId="77777777" w:rsidR="00497259" w:rsidRDefault="00497259" w:rsidP="00400DD1">
            <w:pPr>
              <w:spacing w:before="60" w:after="60"/>
              <w:rPr>
                <w:spacing w:val="-8"/>
                <w:sz w:val="14"/>
                <w:szCs w:val="14"/>
              </w:rPr>
            </w:pPr>
          </w:p>
        </w:tc>
        <w:tc>
          <w:tcPr>
            <w:tcW w:w="615" w:type="dxa"/>
          </w:tcPr>
          <w:p w14:paraId="59576E12" w14:textId="77777777" w:rsidR="00497259" w:rsidRDefault="00497259" w:rsidP="00400DD1">
            <w:pPr>
              <w:spacing w:before="60" w:after="60"/>
              <w:jc w:val="left"/>
              <w:rPr>
                <w:b/>
                <w:bCs/>
                <w:rtl/>
              </w:rPr>
            </w:pPr>
          </w:p>
        </w:tc>
        <w:tc>
          <w:tcPr>
            <w:tcW w:w="8648" w:type="dxa"/>
            <w:hideMark/>
          </w:tcPr>
          <w:p w14:paraId="0A269078" w14:textId="388C4707" w:rsidR="00497259" w:rsidRDefault="00497259" w:rsidP="00400DD1">
            <w:pPr>
              <w:tabs>
                <w:tab w:val="left" w:pos="1160"/>
              </w:tabs>
              <w:spacing w:before="60" w:after="60" w:line="216" w:lineRule="auto"/>
              <w:ind w:left="446" w:hanging="448"/>
              <w:rPr>
                <w:b/>
                <w:bCs/>
                <w:rtl/>
              </w:rPr>
            </w:pPr>
            <w:r>
              <w:rPr>
                <w:rFonts w:hint="cs"/>
                <w:color w:val="000000"/>
                <w:sz w:val="18"/>
                <w:szCs w:val="18"/>
                <w:rtl/>
                <w:lang w:eastAsia="he-IL"/>
              </w:rPr>
              <w:t xml:space="preserve">ליום 31 בדצמבר </w:t>
            </w:r>
            <w:r w:rsidRPr="0024209E">
              <w:rPr>
                <w:rFonts w:hint="cs"/>
                <w:sz w:val="18"/>
                <w:szCs w:val="18"/>
                <w:rtl/>
              </w:rPr>
              <w:fldChar w:fldCharType="begin"/>
            </w:r>
            <w:r w:rsidRPr="0024209E">
              <w:rPr>
                <w:rFonts w:hint="cs"/>
                <w:sz w:val="18"/>
                <w:szCs w:val="18"/>
                <w:rtl/>
              </w:rPr>
              <w:instrText xml:space="preserve"> = </w:instrText>
            </w:r>
            <w:r w:rsidRPr="0024209E">
              <w:rPr>
                <w:sz w:val="18"/>
                <w:szCs w:val="18"/>
              </w:rPr>
              <w:instrText>CY</w:instrText>
            </w:r>
            <w:r>
              <w:rPr>
                <w:sz w:val="18"/>
                <w:szCs w:val="18"/>
              </w:rPr>
              <w:instrText>-1</w:instrText>
            </w:r>
            <w:r w:rsidRPr="0024209E">
              <w:rPr>
                <w:sz w:val="18"/>
                <w:szCs w:val="18"/>
              </w:rPr>
              <w:instrText xml:space="preserve"> \* MERGEFORMAT</w:instrText>
            </w:r>
            <w:r w:rsidRPr="0024209E">
              <w:rPr>
                <w:sz w:val="18"/>
                <w:szCs w:val="18"/>
                <w:rtl/>
              </w:rPr>
              <w:instrText xml:space="preserve"> </w:instrText>
            </w:r>
            <w:r w:rsidRPr="0024209E">
              <w:rPr>
                <w:rFonts w:hint="cs"/>
                <w:sz w:val="18"/>
                <w:szCs w:val="18"/>
                <w:rtl/>
              </w:rPr>
              <w:fldChar w:fldCharType="separate"/>
            </w:r>
            <w:r w:rsidR="003A584F">
              <w:rPr>
                <w:noProof/>
                <w:sz w:val="18"/>
                <w:szCs w:val="18"/>
                <w:rtl/>
              </w:rPr>
              <w:t>2023</w:t>
            </w:r>
            <w:r w:rsidRPr="0024209E">
              <w:rPr>
                <w:rFonts w:hint="cs"/>
                <w:sz w:val="18"/>
                <w:szCs w:val="18"/>
                <w:rtl/>
              </w:rPr>
              <w:fldChar w:fldCharType="end"/>
            </w:r>
            <w:r>
              <w:rPr>
                <w:rFonts w:hint="cs"/>
                <w:color w:val="000000"/>
                <w:sz w:val="18"/>
                <w:szCs w:val="18"/>
                <w:rtl/>
                <w:lang w:eastAsia="he-IL"/>
              </w:rPr>
              <w:t xml:space="preserve"> חובות שעברו ארגון מחדש של חוב בעייתי בסך ___ מיליוני ש"ח סווגו כחובות בעייתיים</w:t>
            </w:r>
            <w:r>
              <w:rPr>
                <w:rFonts w:hint="cs"/>
                <w:b/>
                <w:bCs/>
                <w:rtl/>
              </w:rPr>
              <w:t>.</w:t>
            </w:r>
          </w:p>
        </w:tc>
      </w:tr>
    </w:tbl>
    <w:p w14:paraId="1F1738BB" w14:textId="682BFAAF" w:rsidR="00E36A2E" w:rsidRDefault="00E36A2E">
      <w:pPr>
        <w:rPr>
          <w:rtl/>
        </w:rPr>
      </w:pPr>
    </w:p>
    <w:p w14:paraId="7A3CF0E0" w14:textId="77777777" w:rsidR="00E36A2E" w:rsidRDefault="00E36A2E">
      <w:pPr>
        <w:bidi w:val="0"/>
        <w:jc w:val="left"/>
      </w:pPr>
      <w:r>
        <w:rPr>
          <w:rtl/>
        </w:rPr>
        <w:br w:type="page"/>
      </w:r>
    </w:p>
    <w:tbl>
      <w:tblPr>
        <w:bidiVisual/>
        <w:tblW w:w="5002" w:type="pct"/>
        <w:tblInd w:w="-4" w:type="dxa"/>
        <w:tblLook w:val="04A0" w:firstRow="1" w:lastRow="0" w:firstColumn="1" w:lastColumn="0" w:noHBand="0" w:noVBand="1"/>
      </w:tblPr>
      <w:tblGrid>
        <w:gridCol w:w="971"/>
        <w:gridCol w:w="387"/>
        <w:gridCol w:w="2887"/>
        <w:gridCol w:w="706"/>
        <w:gridCol w:w="1130"/>
        <w:gridCol w:w="1165"/>
        <w:gridCol w:w="640"/>
        <w:gridCol w:w="1047"/>
        <w:gridCol w:w="1278"/>
      </w:tblGrid>
      <w:tr w:rsidR="00080FB5" w:rsidRPr="00886EE2" w14:paraId="14C4D3F5" w14:textId="614C91A6" w:rsidTr="00080FB5">
        <w:trPr>
          <w:trHeight w:val="259"/>
        </w:trPr>
        <w:tc>
          <w:tcPr>
            <w:tcW w:w="477" w:type="pct"/>
          </w:tcPr>
          <w:p w14:paraId="562D9338" w14:textId="77777777" w:rsidR="00080FB5" w:rsidRPr="00886EE2" w:rsidRDefault="00080FB5" w:rsidP="00400DD1">
            <w:pPr>
              <w:spacing w:after="60"/>
              <w:ind w:right="-144"/>
              <w:jc w:val="left"/>
              <w:rPr>
                <w:rFonts w:asciiTheme="minorBidi" w:hAnsiTheme="minorBidi" w:cstheme="minorBidi"/>
                <w:spacing w:val="-6"/>
              </w:rPr>
            </w:pPr>
          </w:p>
        </w:tc>
        <w:tc>
          <w:tcPr>
            <w:tcW w:w="4523" w:type="pct"/>
            <w:gridSpan w:val="8"/>
            <w:hideMark/>
          </w:tcPr>
          <w:p w14:paraId="517C80C5" w14:textId="78BDBDDC" w:rsidR="00080FB5" w:rsidRPr="00886EE2" w:rsidRDefault="00080FB5" w:rsidP="00400DD1">
            <w:pPr>
              <w:spacing w:after="60"/>
              <w:rPr>
                <w:rFonts w:asciiTheme="minorBidi" w:hAnsiTheme="minorBidi" w:cstheme="minorBidi"/>
                <w:b/>
                <w:bCs/>
                <w:rtl/>
              </w:rPr>
            </w:pPr>
            <w:r w:rsidRPr="00886EE2">
              <w:rPr>
                <w:rFonts w:asciiTheme="minorBidi" w:hAnsiTheme="minorBidi" w:cstheme="minorBidi"/>
                <w:b/>
                <w:bCs/>
                <w:rtl/>
              </w:rPr>
              <w:t>ביאור 12  -  מידע נוסף על סיכון אשראי, אשראי לציבור והפרשה להפסדי אשראי (המשך):</w:t>
            </w:r>
          </w:p>
        </w:tc>
      </w:tr>
      <w:tr w:rsidR="00080FB5" w:rsidRPr="00886EE2" w14:paraId="7A59DA01" w14:textId="3064DBE3" w:rsidTr="00080FB5">
        <w:trPr>
          <w:trHeight w:val="245"/>
        </w:trPr>
        <w:tc>
          <w:tcPr>
            <w:tcW w:w="477" w:type="pct"/>
          </w:tcPr>
          <w:p w14:paraId="5E041706" w14:textId="77777777" w:rsidR="00080FB5" w:rsidRPr="00886EE2" w:rsidRDefault="00080FB5" w:rsidP="00400DD1">
            <w:pPr>
              <w:spacing w:before="100" w:after="60"/>
              <w:rPr>
                <w:rFonts w:asciiTheme="minorBidi" w:hAnsiTheme="minorBidi" w:cstheme="minorBidi"/>
                <w:rtl/>
              </w:rPr>
            </w:pPr>
          </w:p>
        </w:tc>
        <w:tc>
          <w:tcPr>
            <w:tcW w:w="190" w:type="pct"/>
            <w:hideMark/>
          </w:tcPr>
          <w:p w14:paraId="5DF423C9" w14:textId="77777777" w:rsidR="00080FB5" w:rsidRPr="00886EE2" w:rsidRDefault="00080FB5" w:rsidP="00400DD1">
            <w:pPr>
              <w:spacing w:before="60" w:after="60"/>
              <w:jc w:val="left"/>
              <w:rPr>
                <w:rFonts w:asciiTheme="minorBidi" w:hAnsiTheme="minorBidi" w:cstheme="minorBidi"/>
                <w:b/>
                <w:bCs/>
                <w:rtl/>
              </w:rPr>
            </w:pPr>
            <w:r w:rsidRPr="00886EE2">
              <w:rPr>
                <w:rFonts w:asciiTheme="minorBidi" w:hAnsiTheme="minorBidi" w:cstheme="minorBidi"/>
                <w:b/>
                <w:bCs/>
                <w:rtl/>
              </w:rPr>
              <w:t>ב.</w:t>
            </w:r>
          </w:p>
        </w:tc>
        <w:tc>
          <w:tcPr>
            <w:tcW w:w="4333" w:type="pct"/>
            <w:gridSpan w:val="7"/>
            <w:hideMark/>
          </w:tcPr>
          <w:p w14:paraId="28545088" w14:textId="6CAB3B6A" w:rsidR="00080FB5" w:rsidRPr="00886EE2" w:rsidRDefault="00080FB5" w:rsidP="00400DD1">
            <w:pPr>
              <w:spacing w:before="60" w:after="60"/>
              <w:jc w:val="left"/>
              <w:rPr>
                <w:rFonts w:asciiTheme="minorBidi" w:hAnsiTheme="minorBidi" w:cstheme="minorBidi"/>
                <w:b/>
                <w:bCs/>
                <w:rtl/>
              </w:rPr>
            </w:pPr>
            <w:r w:rsidRPr="00886EE2">
              <w:rPr>
                <w:rFonts w:asciiTheme="minorBidi" w:hAnsiTheme="minorBidi" w:cstheme="minorBidi"/>
                <w:b/>
                <w:bCs/>
                <w:rtl/>
              </w:rPr>
              <w:t>אשראי לציבור</w:t>
            </w:r>
            <w:r w:rsidRPr="00886EE2">
              <w:rPr>
                <w:rFonts w:asciiTheme="minorBidi" w:hAnsiTheme="minorBidi" w:cstheme="minorBidi"/>
                <w:rtl/>
              </w:rPr>
              <w:t xml:space="preserve"> </w:t>
            </w:r>
            <w:r w:rsidRPr="00886EE2">
              <w:rPr>
                <w:rFonts w:asciiTheme="minorBidi" w:hAnsiTheme="minorBidi" w:cstheme="minorBidi"/>
                <w:b/>
                <w:bCs/>
                <w:rtl/>
              </w:rPr>
              <w:t>(המשך):</w:t>
            </w:r>
          </w:p>
        </w:tc>
      </w:tr>
      <w:tr w:rsidR="00080FB5" w:rsidRPr="00886EE2" w14:paraId="69919840" w14:textId="45A24CAB" w:rsidTr="00080FB5">
        <w:trPr>
          <w:trHeight w:val="245"/>
        </w:trPr>
        <w:tc>
          <w:tcPr>
            <w:tcW w:w="477" w:type="pct"/>
            <w:hideMark/>
          </w:tcPr>
          <w:p w14:paraId="640D5292" w14:textId="77777777" w:rsidR="00080FB5" w:rsidRPr="00886EE2" w:rsidRDefault="00080FB5" w:rsidP="00400DD1">
            <w:pPr>
              <w:spacing w:before="60" w:after="60"/>
              <w:rPr>
                <w:rFonts w:asciiTheme="minorBidi" w:hAnsiTheme="minorBidi" w:cstheme="minorBidi"/>
                <w:sz w:val="18"/>
                <w:szCs w:val="18"/>
                <w:rtl/>
              </w:rPr>
            </w:pPr>
          </w:p>
        </w:tc>
        <w:tc>
          <w:tcPr>
            <w:tcW w:w="190" w:type="pct"/>
          </w:tcPr>
          <w:p w14:paraId="6E258EC4" w14:textId="77777777" w:rsidR="00080FB5" w:rsidRPr="00886EE2" w:rsidRDefault="00080FB5" w:rsidP="00400DD1">
            <w:pPr>
              <w:spacing w:before="60" w:after="60"/>
              <w:jc w:val="left"/>
              <w:rPr>
                <w:rFonts w:asciiTheme="minorBidi" w:hAnsiTheme="minorBidi" w:cstheme="minorBidi"/>
                <w:b/>
                <w:bCs/>
                <w:sz w:val="18"/>
                <w:szCs w:val="18"/>
                <w:rtl/>
              </w:rPr>
            </w:pPr>
          </w:p>
        </w:tc>
        <w:tc>
          <w:tcPr>
            <w:tcW w:w="4333" w:type="pct"/>
            <w:gridSpan w:val="7"/>
            <w:hideMark/>
          </w:tcPr>
          <w:p w14:paraId="7E641F19" w14:textId="47FB46A1" w:rsidR="00080FB5" w:rsidRPr="006A5A39" w:rsidRDefault="00080FB5" w:rsidP="0008088F">
            <w:pPr>
              <w:tabs>
                <w:tab w:val="left" w:pos="446"/>
              </w:tabs>
              <w:spacing w:before="60" w:after="240" w:line="216" w:lineRule="auto"/>
              <w:ind w:left="448" w:hanging="448"/>
              <w:rPr>
                <w:rFonts w:asciiTheme="minorBidi" w:hAnsiTheme="minorBidi" w:cstheme="minorBidi"/>
                <w:b/>
                <w:bCs/>
                <w:sz w:val="19"/>
                <w:szCs w:val="19"/>
                <w:rtl/>
              </w:rPr>
            </w:pPr>
            <w:r w:rsidRPr="006A5A39">
              <w:rPr>
                <w:rFonts w:asciiTheme="minorBidi" w:hAnsiTheme="minorBidi" w:cstheme="minorBidi"/>
                <w:b/>
                <w:bCs/>
                <w:sz w:val="19"/>
                <w:szCs w:val="19"/>
                <w:rtl/>
              </w:rPr>
              <w:t>2.</w:t>
            </w:r>
            <w:r w:rsidR="00886EE2" w:rsidRPr="006A5A39">
              <w:rPr>
                <w:rFonts w:asciiTheme="minorBidi" w:hAnsiTheme="minorBidi" w:cstheme="minorBidi"/>
                <w:b/>
                <w:bCs/>
                <w:sz w:val="19"/>
                <w:szCs w:val="19"/>
                <w:rtl/>
              </w:rPr>
              <w:t>ג</w:t>
            </w:r>
            <w:r w:rsidRPr="006A5A39">
              <w:rPr>
                <w:rFonts w:asciiTheme="minorBidi" w:hAnsiTheme="minorBidi" w:cstheme="minorBidi"/>
                <w:b/>
                <w:bCs/>
                <w:sz w:val="19"/>
                <w:szCs w:val="19"/>
                <w:rtl/>
              </w:rPr>
              <w:t>.</w:t>
            </w:r>
            <w:r w:rsidRPr="006A5A39">
              <w:rPr>
                <w:rFonts w:asciiTheme="minorBidi" w:hAnsiTheme="minorBidi" w:cstheme="minorBidi"/>
                <w:b/>
                <w:bCs/>
                <w:sz w:val="19"/>
                <w:szCs w:val="19"/>
                <w:rtl/>
              </w:rPr>
              <w:tab/>
              <w:t>מידע נוסף על חובות שעברו ארגון מחדש של חוב בעייתי</w:t>
            </w:r>
            <w:r w:rsidR="006A5A39">
              <w:rPr>
                <w:rFonts w:asciiTheme="minorBidi" w:hAnsiTheme="minorBidi" w:cstheme="minorBidi" w:hint="cs"/>
                <w:b/>
                <w:bCs/>
                <w:sz w:val="19"/>
                <w:szCs w:val="19"/>
                <w:rtl/>
              </w:rPr>
              <w:t>:</w:t>
            </w:r>
            <w:r w:rsidRPr="006A5A39">
              <w:rPr>
                <w:rFonts w:asciiTheme="minorBidi" w:hAnsiTheme="minorBidi" w:cstheme="minorBidi"/>
                <w:b/>
                <w:bCs/>
                <w:sz w:val="19"/>
                <w:szCs w:val="19"/>
                <w:vertAlign w:val="superscript"/>
                <w:rtl/>
              </w:rPr>
              <w:t xml:space="preserve"> </w:t>
            </w:r>
            <w:r w:rsidRPr="006A5A39">
              <w:rPr>
                <w:rFonts w:asciiTheme="minorBidi" w:hAnsiTheme="minorBidi" w:cstheme="minorBidi"/>
                <w:sz w:val="19"/>
                <w:szCs w:val="19"/>
                <w:rtl/>
              </w:rPr>
              <w:t xml:space="preserve"> (המשך)  </w:t>
            </w:r>
          </w:p>
        </w:tc>
      </w:tr>
      <w:tr w:rsidR="0022555B" w:rsidRPr="00886EE2" w14:paraId="7C28DEE1" w14:textId="77777777" w:rsidTr="00400DD1">
        <w:tblPrEx>
          <w:tblLook w:val="01E0" w:firstRow="1" w:lastRow="1" w:firstColumn="1" w:lastColumn="1" w:noHBand="0" w:noVBand="0"/>
        </w:tblPrEx>
        <w:trPr>
          <w:trHeight w:val="259"/>
        </w:trPr>
        <w:tc>
          <w:tcPr>
            <w:tcW w:w="477" w:type="pct"/>
          </w:tcPr>
          <w:p w14:paraId="11183F07" w14:textId="77777777" w:rsidR="0022555B" w:rsidRPr="00886EE2" w:rsidRDefault="0022555B" w:rsidP="00400DD1">
            <w:pPr>
              <w:spacing w:before="60" w:after="60"/>
              <w:rPr>
                <w:rFonts w:asciiTheme="minorBidi" w:hAnsiTheme="minorBidi" w:cstheme="minorBidi"/>
                <w:sz w:val="18"/>
                <w:szCs w:val="18"/>
                <w:rtl/>
              </w:rPr>
            </w:pPr>
          </w:p>
        </w:tc>
        <w:tc>
          <w:tcPr>
            <w:tcW w:w="190" w:type="pct"/>
            <w:vAlign w:val="bottom"/>
          </w:tcPr>
          <w:p w14:paraId="6A36AD6E" w14:textId="77777777" w:rsidR="0022555B" w:rsidRPr="00886EE2" w:rsidRDefault="0022555B" w:rsidP="00400DD1">
            <w:pPr>
              <w:pStyle w:val="-7"/>
              <w:spacing w:line="240" w:lineRule="auto"/>
              <w:rPr>
                <w:rFonts w:asciiTheme="minorBidi" w:hAnsiTheme="minorBidi" w:cstheme="minorBidi"/>
                <w:sz w:val="18"/>
                <w:szCs w:val="18"/>
                <w:rtl/>
              </w:rPr>
            </w:pPr>
          </w:p>
        </w:tc>
        <w:tc>
          <w:tcPr>
            <w:tcW w:w="1416" w:type="pct"/>
            <w:vAlign w:val="bottom"/>
          </w:tcPr>
          <w:p w14:paraId="4EA85683" w14:textId="77777777" w:rsidR="0022555B" w:rsidRPr="00886EE2" w:rsidRDefault="0022555B" w:rsidP="00400DD1">
            <w:pPr>
              <w:pStyle w:val="-0"/>
              <w:rPr>
                <w:rFonts w:asciiTheme="minorBidi" w:hAnsiTheme="minorBidi" w:cstheme="minorBidi"/>
                <w:sz w:val="18"/>
                <w:szCs w:val="18"/>
                <w:rtl/>
              </w:rPr>
            </w:pPr>
          </w:p>
        </w:tc>
        <w:tc>
          <w:tcPr>
            <w:tcW w:w="2917" w:type="pct"/>
            <w:gridSpan w:val="6"/>
            <w:vAlign w:val="bottom"/>
          </w:tcPr>
          <w:p w14:paraId="2B0BBB9A" w14:textId="77777777" w:rsidR="0022555B" w:rsidRPr="00E55B85" w:rsidRDefault="0022555B" w:rsidP="004E550F">
            <w:pPr>
              <w:pStyle w:val="-4"/>
              <w:spacing w:after="40" w:line="240" w:lineRule="auto"/>
              <w:rPr>
                <w:rFonts w:asciiTheme="minorBidi" w:hAnsiTheme="minorBidi" w:cstheme="minorBidi"/>
                <w:sz w:val="19"/>
                <w:szCs w:val="19"/>
                <w:rtl/>
              </w:rPr>
            </w:pPr>
            <w:r w:rsidRPr="00E55B85">
              <w:rPr>
                <w:rFonts w:asciiTheme="minorBidi" w:hAnsiTheme="minorBidi" w:cstheme="minorBidi"/>
                <w:sz w:val="19"/>
                <w:szCs w:val="19"/>
                <w:rtl/>
              </w:rPr>
              <w:t>ארגונים מחדש שבוצעו בתקופת הדוח</w:t>
            </w:r>
          </w:p>
        </w:tc>
      </w:tr>
      <w:tr w:rsidR="0022555B" w:rsidRPr="00886EE2" w14:paraId="3A8729B0" w14:textId="77777777" w:rsidTr="00400DD1">
        <w:tblPrEx>
          <w:tblLook w:val="01E0" w:firstRow="1" w:lastRow="1" w:firstColumn="1" w:lastColumn="1" w:noHBand="0" w:noVBand="0"/>
        </w:tblPrEx>
        <w:trPr>
          <w:trHeight w:val="259"/>
        </w:trPr>
        <w:tc>
          <w:tcPr>
            <w:tcW w:w="477" w:type="pct"/>
          </w:tcPr>
          <w:p w14:paraId="3394E0C8" w14:textId="5F6E73B7" w:rsidR="0022555B" w:rsidRPr="00886EE2" w:rsidRDefault="0022555B" w:rsidP="00400DD1">
            <w:pPr>
              <w:pStyle w:val="-fa"/>
              <w:ind w:right="-142"/>
              <w:rPr>
                <w:rFonts w:asciiTheme="minorBidi" w:hAnsiTheme="minorBidi" w:cstheme="minorBidi"/>
                <w:sz w:val="18"/>
                <w:szCs w:val="18"/>
                <w:rtl/>
              </w:rPr>
            </w:pPr>
          </w:p>
        </w:tc>
        <w:tc>
          <w:tcPr>
            <w:tcW w:w="190" w:type="pct"/>
            <w:vAlign w:val="bottom"/>
          </w:tcPr>
          <w:p w14:paraId="718018F1" w14:textId="77777777" w:rsidR="0022555B" w:rsidRPr="00886EE2" w:rsidRDefault="0022555B" w:rsidP="00400DD1">
            <w:pPr>
              <w:pStyle w:val="-7"/>
              <w:spacing w:line="240" w:lineRule="auto"/>
              <w:rPr>
                <w:rFonts w:asciiTheme="minorBidi" w:hAnsiTheme="minorBidi" w:cstheme="minorBidi"/>
                <w:sz w:val="18"/>
                <w:szCs w:val="18"/>
                <w:rtl/>
              </w:rPr>
            </w:pPr>
          </w:p>
        </w:tc>
        <w:tc>
          <w:tcPr>
            <w:tcW w:w="1416" w:type="pct"/>
            <w:vAlign w:val="bottom"/>
          </w:tcPr>
          <w:p w14:paraId="5A49CFE8" w14:textId="77777777" w:rsidR="0022555B" w:rsidRPr="00886EE2" w:rsidRDefault="0022555B" w:rsidP="00400DD1">
            <w:pPr>
              <w:pStyle w:val="-0"/>
              <w:rPr>
                <w:rFonts w:asciiTheme="minorBidi" w:hAnsiTheme="minorBidi" w:cstheme="minorBidi"/>
                <w:sz w:val="18"/>
                <w:szCs w:val="18"/>
                <w:rtl/>
              </w:rPr>
            </w:pPr>
          </w:p>
        </w:tc>
        <w:tc>
          <w:tcPr>
            <w:tcW w:w="1474" w:type="pct"/>
            <w:gridSpan w:val="3"/>
            <w:vAlign w:val="bottom"/>
          </w:tcPr>
          <w:p w14:paraId="5CB9E8F2" w14:textId="53454EC4" w:rsidR="0022555B" w:rsidRPr="00886EE2" w:rsidRDefault="0022555B" w:rsidP="00400DD1">
            <w:pPr>
              <w:pStyle w:val="-4"/>
              <w:rPr>
                <w:rFonts w:asciiTheme="minorBidi" w:hAnsiTheme="minorBidi" w:cstheme="minorBidi"/>
                <w:sz w:val="18"/>
                <w:szCs w:val="18"/>
                <w:rtl/>
              </w:rPr>
            </w:pPr>
            <w:r w:rsidRPr="00886EE2">
              <w:rPr>
                <w:rFonts w:asciiTheme="minorBidi" w:hAnsiTheme="minorBidi" w:cstheme="minorBidi"/>
                <w:sz w:val="18"/>
                <w:szCs w:val="18"/>
                <w:rtl/>
              </w:rPr>
              <w:t xml:space="preserve">בשלושה חודשים שהסתיימו ביום 30 ביוני </w:t>
            </w:r>
            <w:r w:rsidRPr="00886EE2">
              <w:rPr>
                <w:rFonts w:asciiTheme="minorBidi" w:hAnsiTheme="minorBidi" w:cstheme="minorBidi"/>
                <w:sz w:val="18"/>
                <w:szCs w:val="18"/>
                <w:rtl/>
              </w:rPr>
              <w:fldChar w:fldCharType="begin"/>
            </w:r>
            <w:r w:rsidRPr="00886EE2">
              <w:rPr>
                <w:rFonts w:asciiTheme="minorBidi" w:hAnsiTheme="minorBidi" w:cstheme="minorBidi"/>
                <w:sz w:val="18"/>
                <w:szCs w:val="18"/>
                <w:rtl/>
              </w:rPr>
              <w:instrText xml:space="preserve"> = </w:instrText>
            </w:r>
            <w:r w:rsidRPr="00886EE2">
              <w:rPr>
                <w:rFonts w:asciiTheme="minorBidi" w:hAnsiTheme="minorBidi" w:cstheme="minorBidi"/>
                <w:sz w:val="18"/>
                <w:szCs w:val="18"/>
              </w:rPr>
              <w:instrText>CY-1 \* MERGEFORMAT</w:instrText>
            </w:r>
            <w:r w:rsidRPr="00886EE2">
              <w:rPr>
                <w:rFonts w:asciiTheme="minorBidi" w:hAnsiTheme="minorBidi" w:cstheme="minorBidi"/>
                <w:sz w:val="18"/>
                <w:szCs w:val="18"/>
                <w:rtl/>
              </w:rPr>
              <w:instrText xml:space="preserve"> </w:instrText>
            </w:r>
            <w:r w:rsidRPr="00886EE2">
              <w:rPr>
                <w:rFonts w:asciiTheme="minorBidi" w:hAnsiTheme="minorBidi" w:cstheme="minorBidi"/>
                <w:sz w:val="18"/>
                <w:szCs w:val="18"/>
                <w:rtl/>
              </w:rPr>
              <w:fldChar w:fldCharType="separate"/>
            </w:r>
            <w:r w:rsidR="003A584F" w:rsidRPr="00886EE2">
              <w:rPr>
                <w:rFonts w:asciiTheme="minorBidi" w:hAnsiTheme="minorBidi" w:cstheme="minorBidi"/>
                <w:noProof/>
                <w:sz w:val="18"/>
                <w:szCs w:val="18"/>
                <w:rtl/>
              </w:rPr>
              <w:t>2023</w:t>
            </w:r>
            <w:r w:rsidRPr="00886EE2">
              <w:rPr>
                <w:rFonts w:asciiTheme="minorBidi" w:hAnsiTheme="minorBidi" w:cstheme="minorBidi"/>
                <w:sz w:val="18"/>
                <w:szCs w:val="18"/>
                <w:rtl/>
              </w:rPr>
              <w:fldChar w:fldCharType="end"/>
            </w:r>
            <w:r w:rsidRPr="00886EE2">
              <w:rPr>
                <w:rFonts w:asciiTheme="minorBidi" w:hAnsiTheme="minorBidi" w:cstheme="minorBidi"/>
                <w:sz w:val="18"/>
                <w:szCs w:val="18"/>
                <w:rtl/>
              </w:rPr>
              <w:t xml:space="preserve">  </w:t>
            </w:r>
            <w:r w:rsidRPr="00886EE2">
              <w:rPr>
                <w:rFonts w:asciiTheme="minorBidi" w:hAnsiTheme="minorBidi" w:cstheme="minorBidi"/>
                <w:b w:val="0"/>
                <w:bCs w:val="0"/>
                <w:sz w:val="18"/>
                <w:szCs w:val="18"/>
                <w:rtl/>
              </w:rPr>
              <w:t>(בלתי מבוקר)</w:t>
            </w:r>
          </w:p>
        </w:tc>
        <w:tc>
          <w:tcPr>
            <w:tcW w:w="1443" w:type="pct"/>
            <w:gridSpan w:val="3"/>
          </w:tcPr>
          <w:p w14:paraId="632A7ACE" w14:textId="77777777" w:rsidR="0022555B" w:rsidRPr="00886EE2" w:rsidRDefault="0022555B" w:rsidP="00400DD1">
            <w:pPr>
              <w:pStyle w:val="-4"/>
              <w:rPr>
                <w:rFonts w:asciiTheme="minorBidi" w:hAnsiTheme="minorBidi" w:cstheme="minorBidi"/>
                <w:sz w:val="18"/>
                <w:szCs w:val="18"/>
                <w:rtl/>
              </w:rPr>
            </w:pPr>
            <w:r w:rsidRPr="00886EE2">
              <w:rPr>
                <w:rFonts w:asciiTheme="minorBidi" w:hAnsiTheme="minorBidi" w:cstheme="minorBidi"/>
                <w:sz w:val="18"/>
                <w:szCs w:val="18"/>
                <w:rtl/>
              </w:rPr>
              <w:t xml:space="preserve">בשישה חודשים שהסתיימו ביום 30 </w:t>
            </w:r>
          </w:p>
          <w:p w14:paraId="6FB62A71" w14:textId="7E902B7F" w:rsidR="0022555B" w:rsidRPr="00886EE2" w:rsidRDefault="0022555B" w:rsidP="00400DD1">
            <w:pPr>
              <w:pStyle w:val="-4"/>
              <w:rPr>
                <w:rFonts w:asciiTheme="minorBidi" w:hAnsiTheme="minorBidi" w:cstheme="minorBidi"/>
                <w:sz w:val="18"/>
                <w:szCs w:val="18"/>
                <w:rtl/>
              </w:rPr>
            </w:pPr>
            <w:r w:rsidRPr="00886EE2">
              <w:rPr>
                <w:rFonts w:asciiTheme="minorBidi" w:hAnsiTheme="minorBidi" w:cstheme="minorBidi"/>
                <w:sz w:val="18"/>
                <w:szCs w:val="18"/>
                <w:rtl/>
              </w:rPr>
              <w:t xml:space="preserve">ביוני </w:t>
            </w:r>
            <w:r w:rsidRPr="00886EE2">
              <w:rPr>
                <w:rFonts w:asciiTheme="minorBidi" w:hAnsiTheme="minorBidi" w:cstheme="minorBidi"/>
                <w:sz w:val="18"/>
                <w:szCs w:val="18"/>
                <w:rtl/>
              </w:rPr>
              <w:fldChar w:fldCharType="begin"/>
            </w:r>
            <w:r w:rsidRPr="00886EE2">
              <w:rPr>
                <w:rFonts w:asciiTheme="minorBidi" w:hAnsiTheme="minorBidi" w:cstheme="minorBidi"/>
                <w:sz w:val="18"/>
                <w:szCs w:val="18"/>
                <w:rtl/>
              </w:rPr>
              <w:instrText xml:space="preserve"> = </w:instrText>
            </w:r>
            <w:r w:rsidRPr="00886EE2">
              <w:rPr>
                <w:rFonts w:asciiTheme="minorBidi" w:hAnsiTheme="minorBidi" w:cstheme="minorBidi"/>
                <w:sz w:val="18"/>
                <w:szCs w:val="18"/>
              </w:rPr>
              <w:instrText>CY-1 \* MERGEFORMAT</w:instrText>
            </w:r>
            <w:r w:rsidRPr="00886EE2">
              <w:rPr>
                <w:rFonts w:asciiTheme="minorBidi" w:hAnsiTheme="minorBidi" w:cstheme="minorBidi"/>
                <w:sz w:val="18"/>
                <w:szCs w:val="18"/>
                <w:rtl/>
              </w:rPr>
              <w:instrText xml:space="preserve"> </w:instrText>
            </w:r>
            <w:r w:rsidRPr="00886EE2">
              <w:rPr>
                <w:rFonts w:asciiTheme="minorBidi" w:hAnsiTheme="minorBidi" w:cstheme="minorBidi"/>
                <w:sz w:val="18"/>
                <w:szCs w:val="18"/>
                <w:rtl/>
              </w:rPr>
              <w:fldChar w:fldCharType="separate"/>
            </w:r>
            <w:r w:rsidR="003A584F" w:rsidRPr="00886EE2">
              <w:rPr>
                <w:rFonts w:asciiTheme="minorBidi" w:hAnsiTheme="minorBidi" w:cstheme="minorBidi"/>
                <w:noProof/>
                <w:sz w:val="18"/>
                <w:szCs w:val="18"/>
                <w:rtl/>
              </w:rPr>
              <w:t>2023</w:t>
            </w:r>
            <w:r w:rsidRPr="00886EE2">
              <w:rPr>
                <w:rFonts w:asciiTheme="minorBidi" w:hAnsiTheme="minorBidi" w:cstheme="minorBidi"/>
                <w:sz w:val="18"/>
                <w:szCs w:val="18"/>
                <w:rtl/>
              </w:rPr>
              <w:fldChar w:fldCharType="end"/>
            </w:r>
            <w:r w:rsidRPr="00886EE2">
              <w:rPr>
                <w:rFonts w:asciiTheme="minorBidi" w:hAnsiTheme="minorBidi" w:cstheme="minorBidi"/>
                <w:sz w:val="18"/>
                <w:szCs w:val="18"/>
                <w:rtl/>
              </w:rPr>
              <w:t xml:space="preserve">  </w:t>
            </w:r>
            <w:r w:rsidRPr="00886EE2">
              <w:rPr>
                <w:rFonts w:asciiTheme="minorBidi" w:hAnsiTheme="minorBidi" w:cstheme="minorBidi"/>
                <w:b w:val="0"/>
                <w:bCs w:val="0"/>
                <w:sz w:val="18"/>
                <w:szCs w:val="18"/>
                <w:rtl/>
              </w:rPr>
              <w:t>(בלתי מבוקר)</w:t>
            </w:r>
          </w:p>
        </w:tc>
      </w:tr>
      <w:tr w:rsidR="0022555B" w:rsidRPr="00886EE2" w14:paraId="36E9C3C7" w14:textId="77777777" w:rsidTr="00400DD1">
        <w:tblPrEx>
          <w:tblLook w:val="01E0" w:firstRow="1" w:lastRow="1" w:firstColumn="1" w:lastColumn="1" w:noHBand="0" w:noVBand="0"/>
        </w:tblPrEx>
        <w:trPr>
          <w:trHeight w:val="259"/>
        </w:trPr>
        <w:tc>
          <w:tcPr>
            <w:tcW w:w="477" w:type="pct"/>
          </w:tcPr>
          <w:p w14:paraId="6E57097F" w14:textId="77777777" w:rsidR="0022555B" w:rsidRPr="00886EE2" w:rsidRDefault="0022555B" w:rsidP="00400DD1">
            <w:pPr>
              <w:pStyle w:val="-7"/>
              <w:spacing w:line="240" w:lineRule="auto"/>
              <w:rPr>
                <w:rFonts w:asciiTheme="minorBidi" w:hAnsiTheme="minorBidi" w:cstheme="minorBidi"/>
                <w:sz w:val="18"/>
                <w:szCs w:val="18"/>
                <w:rtl/>
              </w:rPr>
            </w:pPr>
          </w:p>
        </w:tc>
        <w:tc>
          <w:tcPr>
            <w:tcW w:w="190" w:type="pct"/>
            <w:vAlign w:val="bottom"/>
          </w:tcPr>
          <w:p w14:paraId="1C142EB2" w14:textId="77777777" w:rsidR="0022555B" w:rsidRPr="00886EE2" w:rsidRDefault="0022555B" w:rsidP="00400DD1">
            <w:pPr>
              <w:pStyle w:val="-7"/>
              <w:spacing w:line="240" w:lineRule="auto"/>
              <w:rPr>
                <w:rFonts w:asciiTheme="minorBidi" w:hAnsiTheme="minorBidi" w:cstheme="minorBidi"/>
                <w:sz w:val="18"/>
                <w:szCs w:val="18"/>
                <w:rtl/>
              </w:rPr>
            </w:pPr>
          </w:p>
        </w:tc>
        <w:tc>
          <w:tcPr>
            <w:tcW w:w="1416" w:type="pct"/>
            <w:vAlign w:val="bottom"/>
          </w:tcPr>
          <w:p w14:paraId="4D502952" w14:textId="77777777" w:rsidR="0022555B" w:rsidRPr="00886EE2" w:rsidRDefault="0022555B" w:rsidP="00400DD1">
            <w:pPr>
              <w:pStyle w:val="-0"/>
              <w:rPr>
                <w:rFonts w:asciiTheme="minorBidi" w:hAnsiTheme="minorBidi" w:cstheme="minorBidi"/>
                <w:sz w:val="18"/>
                <w:szCs w:val="18"/>
                <w:rtl/>
              </w:rPr>
            </w:pPr>
          </w:p>
        </w:tc>
        <w:tc>
          <w:tcPr>
            <w:tcW w:w="347" w:type="pct"/>
            <w:vAlign w:val="bottom"/>
          </w:tcPr>
          <w:p w14:paraId="174E13A5" w14:textId="77777777" w:rsidR="0022555B" w:rsidRPr="00886EE2" w:rsidRDefault="0022555B" w:rsidP="00400DD1">
            <w:pPr>
              <w:pStyle w:val="-4"/>
              <w:rPr>
                <w:rFonts w:asciiTheme="minorBidi" w:hAnsiTheme="minorBidi" w:cstheme="minorBidi"/>
                <w:sz w:val="18"/>
                <w:szCs w:val="18"/>
                <w:rtl/>
              </w:rPr>
            </w:pPr>
            <w:r w:rsidRPr="00886EE2">
              <w:rPr>
                <w:rFonts w:asciiTheme="minorBidi" w:hAnsiTheme="minorBidi" w:cstheme="minorBidi"/>
                <w:sz w:val="18"/>
                <w:szCs w:val="18"/>
                <w:rtl/>
              </w:rPr>
              <w:t>מספר</w:t>
            </w:r>
          </w:p>
          <w:p w14:paraId="29546727" w14:textId="77777777" w:rsidR="0022555B" w:rsidRPr="00886EE2" w:rsidRDefault="0022555B" w:rsidP="00400DD1">
            <w:pPr>
              <w:pStyle w:val="-4"/>
              <w:rPr>
                <w:rFonts w:asciiTheme="minorBidi" w:hAnsiTheme="minorBidi" w:cstheme="minorBidi"/>
                <w:sz w:val="18"/>
                <w:szCs w:val="18"/>
                <w:rtl/>
              </w:rPr>
            </w:pPr>
            <w:r w:rsidRPr="00886EE2">
              <w:rPr>
                <w:rFonts w:asciiTheme="minorBidi" w:hAnsiTheme="minorBidi" w:cstheme="minorBidi"/>
                <w:sz w:val="18"/>
                <w:szCs w:val="18"/>
                <w:rtl/>
              </w:rPr>
              <w:t>חוזים</w:t>
            </w:r>
          </w:p>
        </w:tc>
        <w:tc>
          <w:tcPr>
            <w:tcW w:w="555" w:type="pct"/>
            <w:vAlign w:val="bottom"/>
          </w:tcPr>
          <w:p w14:paraId="2605FE37" w14:textId="77777777" w:rsidR="0022555B" w:rsidRPr="00886EE2" w:rsidRDefault="0022555B" w:rsidP="00400DD1">
            <w:pPr>
              <w:pStyle w:val="-4"/>
              <w:rPr>
                <w:rFonts w:asciiTheme="minorBidi" w:hAnsiTheme="minorBidi" w:cstheme="minorBidi"/>
                <w:sz w:val="18"/>
                <w:szCs w:val="18"/>
                <w:rtl/>
              </w:rPr>
            </w:pPr>
            <w:r w:rsidRPr="00886EE2">
              <w:rPr>
                <w:rFonts w:asciiTheme="minorBidi" w:hAnsiTheme="minorBidi" w:cstheme="minorBidi"/>
                <w:sz w:val="18"/>
                <w:szCs w:val="18"/>
                <w:rtl/>
              </w:rPr>
              <w:t>יתרת חוב רשומה לפני ארגון מחדש</w:t>
            </w:r>
          </w:p>
        </w:tc>
        <w:tc>
          <w:tcPr>
            <w:tcW w:w="572" w:type="pct"/>
            <w:vAlign w:val="bottom"/>
          </w:tcPr>
          <w:p w14:paraId="4EF63C8D" w14:textId="77777777" w:rsidR="0022555B" w:rsidRPr="00886EE2" w:rsidRDefault="0022555B" w:rsidP="00400DD1">
            <w:pPr>
              <w:pStyle w:val="-4"/>
              <w:rPr>
                <w:rFonts w:asciiTheme="minorBidi" w:hAnsiTheme="minorBidi" w:cstheme="minorBidi"/>
                <w:sz w:val="18"/>
                <w:szCs w:val="18"/>
                <w:rtl/>
              </w:rPr>
            </w:pPr>
            <w:r w:rsidRPr="00886EE2">
              <w:rPr>
                <w:rFonts w:asciiTheme="minorBidi" w:hAnsiTheme="minorBidi" w:cstheme="minorBidi"/>
                <w:sz w:val="18"/>
                <w:szCs w:val="18"/>
                <w:rtl/>
              </w:rPr>
              <w:t xml:space="preserve">יתרת חוב </w:t>
            </w:r>
            <w:r w:rsidRPr="00886EE2">
              <w:rPr>
                <w:rFonts w:asciiTheme="minorBidi" w:hAnsiTheme="minorBidi" w:cstheme="minorBidi"/>
                <w:sz w:val="18"/>
                <w:szCs w:val="18"/>
                <w:rtl/>
              </w:rPr>
              <w:br/>
              <w:t xml:space="preserve">רשומה לאחר </w:t>
            </w:r>
          </w:p>
          <w:p w14:paraId="577DCC61" w14:textId="77777777" w:rsidR="0022555B" w:rsidRPr="00886EE2" w:rsidRDefault="0022555B" w:rsidP="00400DD1">
            <w:pPr>
              <w:pStyle w:val="-4"/>
              <w:rPr>
                <w:rFonts w:asciiTheme="minorBidi" w:hAnsiTheme="minorBidi" w:cstheme="minorBidi"/>
                <w:sz w:val="18"/>
                <w:szCs w:val="18"/>
                <w:rtl/>
              </w:rPr>
            </w:pPr>
            <w:r w:rsidRPr="00886EE2">
              <w:rPr>
                <w:rFonts w:asciiTheme="minorBidi" w:hAnsiTheme="minorBidi" w:cstheme="minorBidi"/>
                <w:sz w:val="18"/>
                <w:szCs w:val="18"/>
                <w:rtl/>
              </w:rPr>
              <w:t>ארגון מחדש</w:t>
            </w:r>
          </w:p>
        </w:tc>
        <w:tc>
          <w:tcPr>
            <w:tcW w:w="302" w:type="pct"/>
            <w:vAlign w:val="bottom"/>
          </w:tcPr>
          <w:p w14:paraId="1016994E" w14:textId="77777777" w:rsidR="0022555B" w:rsidRPr="00886EE2" w:rsidRDefault="0022555B" w:rsidP="00400DD1">
            <w:pPr>
              <w:pStyle w:val="-4"/>
              <w:rPr>
                <w:rFonts w:asciiTheme="minorBidi" w:hAnsiTheme="minorBidi" w:cstheme="minorBidi"/>
                <w:sz w:val="18"/>
                <w:szCs w:val="18"/>
                <w:rtl/>
              </w:rPr>
            </w:pPr>
            <w:r w:rsidRPr="00886EE2">
              <w:rPr>
                <w:rFonts w:asciiTheme="minorBidi" w:hAnsiTheme="minorBidi" w:cstheme="minorBidi"/>
                <w:sz w:val="18"/>
                <w:szCs w:val="18"/>
                <w:rtl/>
              </w:rPr>
              <w:t>מספר</w:t>
            </w:r>
          </w:p>
          <w:p w14:paraId="4E0406AC" w14:textId="77777777" w:rsidR="0022555B" w:rsidRPr="00886EE2" w:rsidRDefault="0022555B" w:rsidP="00400DD1">
            <w:pPr>
              <w:pStyle w:val="-4"/>
              <w:rPr>
                <w:rFonts w:asciiTheme="minorBidi" w:hAnsiTheme="minorBidi" w:cstheme="minorBidi"/>
                <w:sz w:val="18"/>
                <w:szCs w:val="18"/>
                <w:rtl/>
              </w:rPr>
            </w:pPr>
            <w:r w:rsidRPr="00886EE2">
              <w:rPr>
                <w:rFonts w:asciiTheme="minorBidi" w:hAnsiTheme="minorBidi" w:cstheme="minorBidi"/>
                <w:sz w:val="18"/>
                <w:szCs w:val="18"/>
                <w:rtl/>
              </w:rPr>
              <w:t>חוזים</w:t>
            </w:r>
          </w:p>
        </w:tc>
        <w:tc>
          <w:tcPr>
            <w:tcW w:w="514" w:type="pct"/>
            <w:vAlign w:val="bottom"/>
          </w:tcPr>
          <w:p w14:paraId="0B80DD50" w14:textId="77777777" w:rsidR="0022555B" w:rsidRPr="00886EE2" w:rsidRDefault="0022555B" w:rsidP="00400DD1">
            <w:pPr>
              <w:pStyle w:val="-4"/>
              <w:rPr>
                <w:rFonts w:asciiTheme="minorBidi" w:hAnsiTheme="minorBidi" w:cstheme="minorBidi"/>
                <w:sz w:val="18"/>
                <w:szCs w:val="18"/>
                <w:rtl/>
              </w:rPr>
            </w:pPr>
            <w:r w:rsidRPr="00886EE2">
              <w:rPr>
                <w:rFonts w:asciiTheme="minorBidi" w:hAnsiTheme="minorBidi" w:cstheme="minorBidi"/>
                <w:sz w:val="18"/>
                <w:szCs w:val="18"/>
                <w:rtl/>
              </w:rPr>
              <w:t>יתרת חוב רשומה לפני ארגון מחדש</w:t>
            </w:r>
          </w:p>
        </w:tc>
        <w:tc>
          <w:tcPr>
            <w:tcW w:w="627" w:type="pct"/>
            <w:vAlign w:val="bottom"/>
          </w:tcPr>
          <w:p w14:paraId="69B6FDF5" w14:textId="77777777" w:rsidR="0022555B" w:rsidRPr="00886EE2" w:rsidRDefault="0022555B" w:rsidP="00400DD1">
            <w:pPr>
              <w:pStyle w:val="-4"/>
              <w:rPr>
                <w:rFonts w:asciiTheme="minorBidi" w:hAnsiTheme="minorBidi" w:cstheme="minorBidi"/>
                <w:sz w:val="18"/>
                <w:szCs w:val="18"/>
                <w:rtl/>
              </w:rPr>
            </w:pPr>
            <w:r w:rsidRPr="00886EE2">
              <w:rPr>
                <w:rFonts w:asciiTheme="minorBidi" w:hAnsiTheme="minorBidi" w:cstheme="minorBidi"/>
                <w:sz w:val="18"/>
                <w:szCs w:val="18"/>
                <w:rtl/>
              </w:rPr>
              <w:t xml:space="preserve">יתרת חוב </w:t>
            </w:r>
            <w:r w:rsidRPr="00886EE2">
              <w:rPr>
                <w:rFonts w:asciiTheme="minorBidi" w:hAnsiTheme="minorBidi" w:cstheme="minorBidi"/>
                <w:sz w:val="18"/>
                <w:szCs w:val="18"/>
                <w:rtl/>
              </w:rPr>
              <w:br/>
              <w:t xml:space="preserve">רשומה לאחר </w:t>
            </w:r>
          </w:p>
          <w:p w14:paraId="2C398D2D" w14:textId="77777777" w:rsidR="0022555B" w:rsidRPr="00886EE2" w:rsidRDefault="0022555B" w:rsidP="00400DD1">
            <w:pPr>
              <w:pStyle w:val="-4"/>
              <w:rPr>
                <w:rFonts w:asciiTheme="minorBidi" w:hAnsiTheme="minorBidi" w:cstheme="minorBidi"/>
                <w:sz w:val="18"/>
                <w:szCs w:val="18"/>
                <w:rtl/>
              </w:rPr>
            </w:pPr>
            <w:r w:rsidRPr="00886EE2">
              <w:rPr>
                <w:rFonts w:asciiTheme="minorBidi" w:hAnsiTheme="minorBidi" w:cstheme="minorBidi"/>
                <w:sz w:val="18"/>
                <w:szCs w:val="18"/>
                <w:rtl/>
              </w:rPr>
              <w:t>ארגון מחדש</w:t>
            </w:r>
          </w:p>
        </w:tc>
      </w:tr>
      <w:tr w:rsidR="0022555B" w:rsidRPr="00886EE2" w14:paraId="332E6E7D" w14:textId="77777777" w:rsidTr="00400DD1">
        <w:tblPrEx>
          <w:tblLook w:val="01E0" w:firstRow="1" w:lastRow="1" w:firstColumn="1" w:lastColumn="1" w:noHBand="0" w:noVBand="0"/>
        </w:tblPrEx>
        <w:trPr>
          <w:trHeight w:val="259"/>
        </w:trPr>
        <w:tc>
          <w:tcPr>
            <w:tcW w:w="477" w:type="pct"/>
          </w:tcPr>
          <w:p w14:paraId="41086742" w14:textId="77777777" w:rsidR="0022555B" w:rsidRPr="00886EE2" w:rsidRDefault="0022555B" w:rsidP="00400DD1">
            <w:pPr>
              <w:pStyle w:val="-7"/>
              <w:rPr>
                <w:rFonts w:asciiTheme="minorBidi" w:hAnsiTheme="minorBidi" w:cstheme="minorBidi"/>
                <w:sz w:val="18"/>
                <w:szCs w:val="18"/>
                <w:rtl/>
              </w:rPr>
            </w:pPr>
          </w:p>
        </w:tc>
        <w:tc>
          <w:tcPr>
            <w:tcW w:w="190" w:type="pct"/>
            <w:vAlign w:val="bottom"/>
          </w:tcPr>
          <w:p w14:paraId="7A6E3121" w14:textId="77777777" w:rsidR="0022555B" w:rsidRPr="00886EE2" w:rsidRDefault="0022555B" w:rsidP="00400DD1">
            <w:pPr>
              <w:pStyle w:val="-7"/>
              <w:rPr>
                <w:rFonts w:asciiTheme="minorBidi" w:hAnsiTheme="minorBidi" w:cstheme="minorBidi"/>
                <w:sz w:val="18"/>
                <w:szCs w:val="18"/>
                <w:rtl/>
              </w:rPr>
            </w:pPr>
          </w:p>
        </w:tc>
        <w:tc>
          <w:tcPr>
            <w:tcW w:w="1416" w:type="pct"/>
            <w:vAlign w:val="bottom"/>
          </w:tcPr>
          <w:p w14:paraId="705FBD3D" w14:textId="77777777" w:rsidR="0022555B" w:rsidRPr="00886EE2" w:rsidRDefault="0022555B" w:rsidP="00400DD1">
            <w:pPr>
              <w:pStyle w:val="-f"/>
              <w:ind w:left="-57"/>
              <w:rPr>
                <w:rFonts w:asciiTheme="minorBidi" w:hAnsiTheme="minorBidi" w:cstheme="minorBidi"/>
                <w:sz w:val="18"/>
                <w:szCs w:val="18"/>
                <w:rtl/>
              </w:rPr>
            </w:pPr>
            <w:r w:rsidRPr="00886EE2">
              <w:rPr>
                <w:rFonts w:asciiTheme="minorBidi" w:hAnsiTheme="minorBidi" w:cstheme="minorBidi"/>
                <w:sz w:val="18"/>
                <w:szCs w:val="18"/>
                <w:rtl/>
              </w:rPr>
              <w:t>פעילות לווים בישראל</w:t>
            </w:r>
          </w:p>
        </w:tc>
        <w:tc>
          <w:tcPr>
            <w:tcW w:w="347" w:type="pct"/>
            <w:vAlign w:val="bottom"/>
          </w:tcPr>
          <w:p w14:paraId="23EBCFE9" w14:textId="77777777" w:rsidR="0022555B" w:rsidRPr="00886EE2" w:rsidRDefault="0022555B" w:rsidP="00400DD1">
            <w:pPr>
              <w:pStyle w:val="-3"/>
              <w:rPr>
                <w:rFonts w:asciiTheme="minorBidi" w:hAnsiTheme="minorBidi" w:cstheme="minorBidi"/>
                <w:sz w:val="18"/>
                <w:szCs w:val="18"/>
                <w:rtl/>
              </w:rPr>
            </w:pPr>
          </w:p>
        </w:tc>
        <w:tc>
          <w:tcPr>
            <w:tcW w:w="555" w:type="pct"/>
            <w:vAlign w:val="bottom"/>
          </w:tcPr>
          <w:p w14:paraId="2893F623" w14:textId="77777777" w:rsidR="0022555B" w:rsidRPr="00886EE2" w:rsidRDefault="0022555B" w:rsidP="00400DD1">
            <w:pPr>
              <w:pStyle w:val="-3"/>
              <w:rPr>
                <w:rFonts w:asciiTheme="minorBidi" w:hAnsiTheme="minorBidi" w:cstheme="minorBidi"/>
                <w:sz w:val="18"/>
                <w:szCs w:val="18"/>
                <w:rtl/>
              </w:rPr>
            </w:pPr>
          </w:p>
        </w:tc>
        <w:tc>
          <w:tcPr>
            <w:tcW w:w="572" w:type="pct"/>
            <w:vAlign w:val="bottom"/>
          </w:tcPr>
          <w:p w14:paraId="4F56640C" w14:textId="77777777" w:rsidR="0022555B" w:rsidRPr="00886EE2" w:rsidRDefault="0022555B" w:rsidP="00400DD1">
            <w:pPr>
              <w:pStyle w:val="-3"/>
              <w:rPr>
                <w:rFonts w:asciiTheme="minorBidi" w:hAnsiTheme="minorBidi" w:cstheme="minorBidi"/>
                <w:sz w:val="18"/>
                <w:szCs w:val="18"/>
                <w:rtl/>
              </w:rPr>
            </w:pPr>
          </w:p>
        </w:tc>
        <w:tc>
          <w:tcPr>
            <w:tcW w:w="302" w:type="pct"/>
          </w:tcPr>
          <w:p w14:paraId="4048F734" w14:textId="77777777" w:rsidR="0022555B" w:rsidRPr="00886EE2" w:rsidRDefault="0022555B" w:rsidP="00400DD1">
            <w:pPr>
              <w:pStyle w:val="-3"/>
              <w:rPr>
                <w:rFonts w:asciiTheme="minorBidi" w:hAnsiTheme="minorBidi" w:cstheme="minorBidi"/>
                <w:sz w:val="18"/>
                <w:szCs w:val="18"/>
                <w:rtl/>
              </w:rPr>
            </w:pPr>
          </w:p>
        </w:tc>
        <w:tc>
          <w:tcPr>
            <w:tcW w:w="514" w:type="pct"/>
          </w:tcPr>
          <w:p w14:paraId="4A404D5F" w14:textId="77777777" w:rsidR="0022555B" w:rsidRPr="00886EE2" w:rsidRDefault="0022555B" w:rsidP="00400DD1">
            <w:pPr>
              <w:pStyle w:val="-3"/>
              <w:rPr>
                <w:rFonts w:asciiTheme="minorBidi" w:hAnsiTheme="minorBidi" w:cstheme="minorBidi"/>
                <w:sz w:val="18"/>
                <w:szCs w:val="18"/>
                <w:rtl/>
              </w:rPr>
            </w:pPr>
          </w:p>
        </w:tc>
        <w:tc>
          <w:tcPr>
            <w:tcW w:w="627" w:type="pct"/>
          </w:tcPr>
          <w:p w14:paraId="1FE51A4B" w14:textId="77777777" w:rsidR="0022555B" w:rsidRPr="00886EE2" w:rsidRDefault="0022555B" w:rsidP="00400DD1">
            <w:pPr>
              <w:pStyle w:val="-3"/>
              <w:rPr>
                <w:rFonts w:asciiTheme="minorBidi" w:hAnsiTheme="minorBidi" w:cstheme="minorBidi"/>
                <w:sz w:val="18"/>
                <w:szCs w:val="18"/>
                <w:rtl/>
              </w:rPr>
            </w:pPr>
          </w:p>
        </w:tc>
      </w:tr>
      <w:tr w:rsidR="0022555B" w:rsidRPr="00886EE2" w14:paraId="49B4F9C1" w14:textId="77777777" w:rsidTr="00400DD1">
        <w:tblPrEx>
          <w:tblLook w:val="01E0" w:firstRow="1" w:lastRow="1" w:firstColumn="1" w:lastColumn="1" w:noHBand="0" w:noVBand="0"/>
        </w:tblPrEx>
        <w:trPr>
          <w:trHeight w:val="259"/>
        </w:trPr>
        <w:tc>
          <w:tcPr>
            <w:tcW w:w="477" w:type="pct"/>
          </w:tcPr>
          <w:p w14:paraId="17517094" w14:textId="77777777" w:rsidR="0022555B" w:rsidRPr="00886EE2" w:rsidRDefault="0022555B" w:rsidP="00400DD1">
            <w:pPr>
              <w:pStyle w:val="-7"/>
              <w:rPr>
                <w:rFonts w:asciiTheme="minorBidi" w:hAnsiTheme="minorBidi" w:cstheme="minorBidi"/>
                <w:sz w:val="18"/>
                <w:szCs w:val="18"/>
                <w:rtl/>
              </w:rPr>
            </w:pPr>
          </w:p>
        </w:tc>
        <w:tc>
          <w:tcPr>
            <w:tcW w:w="190" w:type="pct"/>
            <w:vAlign w:val="bottom"/>
          </w:tcPr>
          <w:p w14:paraId="2A5895F7" w14:textId="77777777" w:rsidR="0022555B" w:rsidRPr="00886EE2" w:rsidRDefault="0022555B" w:rsidP="00400DD1">
            <w:pPr>
              <w:pStyle w:val="-7"/>
              <w:rPr>
                <w:rFonts w:asciiTheme="minorBidi" w:hAnsiTheme="minorBidi" w:cstheme="minorBidi"/>
                <w:sz w:val="18"/>
                <w:szCs w:val="18"/>
                <w:rtl/>
              </w:rPr>
            </w:pPr>
          </w:p>
        </w:tc>
        <w:tc>
          <w:tcPr>
            <w:tcW w:w="1416" w:type="pct"/>
            <w:vAlign w:val="bottom"/>
          </w:tcPr>
          <w:p w14:paraId="237DE10D" w14:textId="77777777" w:rsidR="0022555B" w:rsidRPr="00886EE2" w:rsidRDefault="0022555B" w:rsidP="00400DD1">
            <w:pPr>
              <w:pStyle w:val="-0"/>
              <w:spacing w:line="240" w:lineRule="auto"/>
              <w:rPr>
                <w:rFonts w:asciiTheme="minorBidi" w:hAnsiTheme="minorBidi" w:cstheme="minorBidi"/>
                <w:sz w:val="18"/>
                <w:szCs w:val="18"/>
              </w:rPr>
            </w:pPr>
            <w:r w:rsidRPr="00886EE2">
              <w:rPr>
                <w:rFonts w:asciiTheme="minorBidi" w:hAnsiTheme="minorBidi" w:cstheme="minorBidi"/>
                <w:sz w:val="18"/>
                <w:szCs w:val="18"/>
                <w:u w:val="single"/>
                <w:rtl/>
              </w:rPr>
              <w:t>ציבור - מסחרי</w:t>
            </w:r>
            <w:r w:rsidRPr="00886EE2">
              <w:rPr>
                <w:rFonts w:asciiTheme="minorBidi" w:hAnsiTheme="minorBidi" w:cstheme="minorBidi"/>
                <w:sz w:val="18"/>
                <w:szCs w:val="18"/>
                <w:rtl/>
              </w:rPr>
              <w:t xml:space="preserve"> </w:t>
            </w:r>
          </w:p>
        </w:tc>
        <w:tc>
          <w:tcPr>
            <w:tcW w:w="347" w:type="pct"/>
            <w:vAlign w:val="bottom"/>
          </w:tcPr>
          <w:p w14:paraId="2F2F6BAB" w14:textId="77777777" w:rsidR="0022555B" w:rsidRPr="00886EE2" w:rsidRDefault="0022555B" w:rsidP="00400DD1">
            <w:pPr>
              <w:pStyle w:val="-3"/>
              <w:rPr>
                <w:rFonts w:asciiTheme="minorBidi" w:hAnsiTheme="minorBidi" w:cstheme="minorBidi"/>
                <w:sz w:val="18"/>
                <w:szCs w:val="18"/>
                <w:rtl/>
              </w:rPr>
            </w:pPr>
          </w:p>
        </w:tc>
        <w:tc>
          <w:tcPr>
            <w:tcW w:w="555" w:type="pct"/>
            <w:vAlign w:val="bottom"/>
          </w:tcPr>
          <w:p w14:paraId="49423E96" w14:textId="77777777" w:rsidR="0022555B" w:rsidRPr="00886EE2" w:rsidRDefault="0022555B" w:rsidP="00400DD1">
            <w:pPr>
              <w:pStyle w:val="-3"/>
              <w:rPr>
                <w:rFonts w:asciiTheme="minorBidi" w:hAnsiTheme="minorBidi" w:cstheme="minorBidi"/>
                <w:sz w:val="18"/>
                <w:szCs w:val="18"/>
                <w:rtl/>
              </w:rPr>
            </w:pPr>
          </w:p>
        </w:tc>
        <w:tc>
          <w:tcPr>
            <w:tcW w:w="572" w:type="pct"/>
            <w:vAlign w:val="bottom"/>
          </w:tcPr>
          <w:p w14:paraId="0D67D491" w14:textId="77777777" w:rsidR="0022555B" w:rsidRPr="00886EE2" w:rsidRDefault="0022555B" w:rsidP="00400DD1">
            <w:pPr>
              <w:pStyle w:val="-3"/>
              <w:rPr>
                <w:rFonts w:asciiTheme="minorBidi" w:hAnsiTheme="minorBidi" w:cstheme="minorBidi"/>
                <w:sz w:val="18"/>
                <w:szCs w:val="18"/>
                <w:rtl/>
              </w:rPr>
            </w:pPr>
          </w:p>
        </w:tc>
        <w:tc>
          <w:tcPr>
            <w:tcW w:w="302" w:type="pct"/>
          </w:tcPr>
          <w:p w14:paraId="63526A82" w14:textId="77777777" w:rsidR="0022555B" w:rsidRPr="00886EE2" w:rsidRDefault="0022555B" w:rsidP="00400DD1">
            <w:pPr>
              <w:pStyle w:val="-3"/>
              <w:rPr>
                <w:rFonts w:asciiTheme="minorBidi" w:hAnsiTheme="minorBidi" w:cstheme="minorBidi"/>
                <w:sz w:val="18"/>
                <w:szCs w:val="18"/>
                <w:rtl/>
              </w:rPr>
            </w:pPr>
          </w:p>
        </w:tc>
        <w:tc>
          <w:tcPr>
            <w:tcW w:w="514" w:type="pct"/>
          </w:tcPr>
          <w:p w14:paraId="6BCCE107" w14:textId="77777777" w:rsidR="0022555B" w:rsidRPr="00886EE2" w:rsidRDefault="0022555B" w:rsidP="00400DD1">
            <w:pPr>
              <w:pStyle w:val="-3"/>
              <w:rPr>
                <w:rFonts w:asciiTheme="minorBidi" w:hAnsiTheme="minorBidi" w:cstheme="minorBidi"/>
                <w:sz w:val="18"/>
                <w:szCs w:val="18"/>
                <w:rtl/>
              </w:rPr>
            </w:pPr>
          </w:p>
        </w:tc>
        <w:tc>
          <w:tcPr>
            <w:tcW w:w="627" w:type="pct"/>
          </w:tcPr>
          <w:p w14:paraId="2DE1C7A6" w14:textId="77777777" w:rsidR="0022555B" w:rsidRPr="00886EE2" w:rsidRDefault="0022555B" w:rsidP="00400DD1">
            <w:pPr>
              <w:pStyle w:val="-3"/>
              <w:rPr>
                <w:rFonts w:asciiTheme="minorBidi" w:hAnsiTheme="minorBidi" w:cstheme="minorBidi"/>
                <w:sz w:val="18"/>
                <w:szCs w:val="18"/>
                <w:rtl/>
              </w:rPr>
            </w:pPr>
          </w:p>
        </w:tc>
      </w:tr>
      <w:tr w:rsidR="0022555B" w:rsidRPr="00886EE2" w14:paraId="298BFD49" w14:textId="77777777" w:rsidTr="00400DD1">
        <w:tblPrEx>
          <w:tblLook w:val="01E0" w:firstRow="1" w:lastRow="1" w:firstColumn="1" w:lastColumn="1" w:noHBand="0" w:noVBand="0"/>
        </w:tblPrEx>
        <w:trPr>
          <w:trHeight w:val="259"/>
        </w:trPr>
        <w:tc>
          <w:tcPr>
            <w:tcW w:w="477" w:type="pct"/>
          </w:tcPr>
          <w:p w14:paraId="3EDE41C5" w14:textId="77777777" w:rsidR="0022555B" w:rsidRPr="00886EE2" w:rsidRDefault="0022555B" w:rsidP="00400DD1">
            <w:pPr>
              <w:pStyle w:val="-7"/>
              <w:rPr>
                <w:rFonts w:asciiTheme="minorBidi" w:hAnsiTheme="minorBidi" w:cstheme="minorBidi"/>
                <w:sz w:val="18"/>
                <w:szCs w:val="18"/>
                <w:rtl/>
              </w:rPr>
            </w:pPr>
          </w:p>
        </w:tc>
        <w:tc>
          <w:tcPr>
            <w:tcW w:w="190" w:type="pct"/>
            <w:vAlign w:val="bottom"/>
          </w:tcPr>
          <w:p w14:paraId="6F8E088B" w14:textId="77777777" w:rsidR="0022555B" w:rsidRPr="00886EE2" w:rsidRDefault="0022555B" w:rsidP="00400DD1">
            <w:pPr>
              <w:pStyle w:val="-7"/>
              <w:rPr>
                <w:rFonts w:asciiTheme="minorBidi" w:hAnsiTheme="minorBidi" w:cstheme="minorBidi"/>
                <w:sz w:val="18"/>
                <w:szCs w:val="18"/>
                <w:rtl/>
              </w:rPr>
            </w:pPr>
          </w:p>
        </w:tc>
        <w:tc>
          <w:tcPr>
            <w:tcW w:w="1416" w:type="pct"/>
            <w:vAlign w:val="bottom"/>
          </w:tcPr>
          <w:p w14:paraId="36EA9E81" w14:textId="77777777" w:rsidR="0022555B" w:rsidRPr="00886EE2" w:rsidRDefault="0022555B" w:rsidP="00400DD1">
            <w:pPr>
              <w:ind w:left="720" w:hanging="632"/>
              <w:jc w:val="left"/>
              <w:rPr>
                <w:rFonts w:asciiTheme="minorBidi" w:hAnsiTheme="minorBidi" w:cstheme="minorBidi"/>
                <w:sz w:val="18"/>
                <w:szCs w:val="18"/>
                <w:rtl/>
              </w:rPr>
            </w:pPr>
            <w:r w:rsidRPr="00886EE2">
              <w:rPr>
                <w:rFonts w:asciiTheme="minorBidi" w:hAnsiTheme="minorBidi" w:cstheme="minorBidi"/>
                <w:sz w:val="18"/>
                <w:szCs w:val="18"/>
                <w:rtl/>
              </w:rPr>
              <w:t xml:space="preserve">בינוי ונדל"ן </w:t>
            </w:r>
          </w:p>
        </w:tc>
        <w:tc>
          <w:tcPr>
            <w:tcW w:w="347" w:type="pct"/>
            <w:vAlign w:val="bottom"/>
          </w:tcPr>
          <w:p w14:paraId="61CF84D1"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55" w:type="pct"/>
            <w:vAlign w:val="bottom"/>
          </w:tcPr>
          <w:p w14:paraId="71272A7A"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72" w:type="pct"/>
            <w:vAlign w:val="bottom"/>
          </w:tcPr>
          <w:p w14:paraId="06958163"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302" w:type="pct"/>
            <w:vAlign w:val="bottom"/>
          </w:tcPr>
          <w:p w14:paraId="30915835"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14" w:type="pct"/>
            <w:vAlign w:val="bottom"/>
          </w:tcPr>
          <w:p w14:paraId="52F1A74B"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627" w:type="pct"/>
            <w:vAlign w:val="bottom"/>
          </w:tcPr>
          <w:p w14:paraId="1BABD15F"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r>
      <w:tr w:rsidR="0022555B" w:rsidRPr="00886EE2" w14:paraId="4CF5B137" w14:textId="77777777" w:rsidTr="00400DD1">
        <w:tblPrEx>
          <w:tblLook w:val="01E0" w:firstRow="1" w:lastRow="1" w:firstColumn="1" w:lastColumn="1" w:noHBand="0" w:noVBand="0"/>
        </w:tblPrEx>
        <w:trPr>
          <w:trHeight w:val="259"/>
        </w:trPr>
        <w:tc>
          <w:tcPr>
            <w:tcW w:w="477" w:type="pct"/>
          </w:tcPr>
          <w:p w14:paraId="7A808FD7" w14:textId="77777777" w:rsidR="0022555B" w:rsidRPr="00886EE2" w:rsidRDefault="0022555B" w:rsidP="00400DD1">
            <w:pPr>
              <w:pStyle w:val="-7"/>
              <w:rPr>
                <w:rFonts w:asciiTheme="minorBidi" w:hAnsiTheme="minorBidi" w:cstheme="minorBidi"/>
                <w:sz w:val="18"/>
                <w:szCs w:val="18"/>
                <w:rtl/>
              </w:rPr>
            </w:pPr>
          </w:p>
        </w:tc>
        <w:tc>
          <w:tcPr>
            <w:tcW w:w="190" w:type="pct"/>
            <w:vAlign w:val="bottom"/>
          </w:tcPr>
          <w:p w14:paraId="311B1F65" w14:textId="77777777" w:rsidR="0022555B" w:rsidRPr="00886EE2" w:rsidRDefault="0022555B" w:rsidP="00400DD1">
            <w:pPr>
              <w:pStyle w:val="-7"/>
              <w:rPr>
                <w:rFonts w:asciiTheme="minorBidi" w:hAnsiTheme="minorBidi" w:cstheme="minorBidi"/>
                <w:sz w:val="18"/>
                <w:szCs w:val="18"/>
                <w:rtl/>
              </w:rPr>
            </w:pPr>
          </w:p>
        </w:tc>
        <w:tc>
          <w:tcPr>
            <w:tcW w:w="1416" w:type="pct"/>
            <w:vAlign w:val="bottom"/>
          </w:tcPr>
          <w:p w14:paraId="78903BEE" w14:textId="77777777" w:rsidR="0022555B" w:rsidRPr="00886EE2" w:rsidRDefault="0022555B" w:rsidP="00400DD1">
            <w:pPr>
              <w:ind w:left="720" w:hanging="632"/>
              <w:jc w:val="left"/>
              <w:rPr>
                <w:rFonts w:asciiTheme="minorBidi" w:hAnsiTheme="minorBidi" w:cstheme="minorBidi"/>
                <w:sz w:val="18"/>
                <w:szCs w:val="18"/>
                <w:rtl/>
              </w:rPr>
            </w:pPr>
            <w:r w:rsidRPr="00886EE2">
              <w:rPr>
                <w:rFonts w:asciiTheme="minorBidi" w:hAnsiTheme="minorBidi" w:cstheme="minorBidi"/>
                <w:sz w:val="18"/>
                <w:szCs w:val="18"/>
                <w:rtl/>
              </w:rPr>
              <w:t>מסחרי - אחר</w:t>
            </w:r>
          </w:p>
        </w:tc>
        <w:tc>
          <w:tcPr>
            <w:tcW w:w="347" w:type="pct"/>
            <w:vAlign w:val="bottom"/>
          </w:tcPr>
          <w:p w14:paraId="50581C49" w14:textId="77777777" w:rsidR="0022555B" w:rsidRPr="00886EE2" w:rsidRDefault="0022555B" w:rsidP="00400DD1">
            <w:pPr>
              <w:pStyle w:val="-3"/>
              <w:pBdr>
                <w:bottom w:val="sing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55" w:type="pct"/>
            <w:vAlign w:val="bottom"/>
          </w:tcPr>
          <w:p w14:paraId="5F41FC0D" w14:textId="77777777" w:rsidR="0022555B" w:rsidRPr="00886EE2" w:rsidRDefault="0022555B" w:rsidP="00400DD1">
            <w:pPr>
              <w:pStyle w:val="-3"/>
              <w:pBdr>
                <w:bottom w:val="sing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72" w:type="pct"/>
            <w:vAlign w:val="bottom"/>
          </w:tcPr>
          <w:p w14:paraId="016F6F45" w14:textId="77777777" w:rsidR="0022555B" w:rsidRPr="00886EE2" w:rsidRDefault="0022555B" w:rsidP="00400DD1">
            <w:pPr>
              <w:pStyle w:val="-3"/>
              <w:pBdr>
                <w:bottom w:val="sing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302" w:type="pct"/>
            <w:vAlign w:val="bottom"/>
          </w:tcPr>
          <w:p w14:paraId="2B0C56CD" w14:textId="77777777" w:rsidR="0022555B" w:rsidRPr="00886EE2" w:rsidRDefault="0022555B" w:rsidP="00400DD1">
            <w:pPr>
              <w:pStyle w:val="-3"/>
              <w:pBdr>
                <w:bottom w:val="sing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14" w:type="pct"/>
            <w:vAlign w:val="bottom"/>
          </w:tcPr>
          <w:p w14:paraId="136ABAD0" w14:textId="77777777" w:rsidR="0022555B" w:rsidRPr="00886EE2" w:rsidRDefault="0022555B" w:rsidP="00400DD1">
            <w:pPr>
              <w:pStyle w:val="-3"/>
              <w:pBdr>
                <w:bottom w:val="sing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627" w:type="pct"/>
            <w:vAlign w:val="bottom"/>
          </w:tcPr>
          <w:p w14:paraId="008D6F5B" w14:textId="77777777" w:rsidR="0022555B" w:rsidRPr="00886EE2" w:rsidRDefault="0022555B" w:rsidP="00400DD1">
            <w:pPr>
              <w:pStyle w:val="-3"/>
              <w:pBdr>
                <w:bottom w:val="sing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r>
      <w:tr w:rsidR="0022555B" w:rsidRPr="00886EE2" w14:paraId="4BD40F08" w14:textId="77777777" w:rsidTr="00400DD1">
        <w:tblPrEx>
          <w:tblLook w:val="01E0" w:firstRow="1" w:lastRow="1" w:firstColumn="1" w:lastColumn="1" w:noHBand="0" w:noVBand="0"/>
        </w:tblPrEx>
        <w:trPr>
          <w:trHeight w:val="259"/>
        </w:trPr>
        <w:tc>
          <w:tcPr>
            <w:tcW w:w="477" w:type="pct"/>
          </w:tcPr>
          <w:p w14:paraId="089C6131" w14:textId="77777777" w:rsidR="0022555B" w:rsidRPr="00886EE2" w:rsidRDefault="0022555B" w:rsidP="00400DD1">
            <w:pPr>
              <w:pStyle w:val="-7"/>
              <w:rPr>
                <w:rFonts w:asciiTheme="minorBidi" w:hAnsiTheme="minorBidi" w:cstheme="minorBidi"/>
                <w:sz w:val="18"/>
                <w:szCs w:val="18"/>
                <w:rtl/>
              </w:rPr>
            </w:pPr>
          </w:p>
        </w:tc>
        <w:tc>
          <w:tcPr>
            <w:tcW w:w="190" w:type="pct"/>
            <w:vAlign w:val="bottom"/>
          </w:tcPr>
          <w:p w14:paraId="72493FBB" w14:textId="77777777" w:rsidR="0022555B" w:rsidRPr="00886EE2" w:rsidRDefault="0022555B" w:rsidP="00400DD1">
            <w:pPr>
              <w:pStyle w:val="-7"/>
              <w:rPr>
                <w:rFonts w:asciiTheme="minorBidi" w:hAnsiTheme="minorBidi" w:cstheme="minorBidi"/>
                <w:sz w:val="18"/>
                <w:szCs w:val="18"/>
                <w:rtl/>
              </w:rPr>
            </w:pPr>
          </w:p>
        </w:tc>
        <w:tc>
          <w:tcPr>
            <w:tcW w:w="1416" w:type="pct"/>
            <w:vAlign w:val="bottom"/>
          </w:tcPr>
          <w:p w14:paraId="7F1EEC34" w14:textId="77777777" w:rsidR="0022555B" w:rsidRPr="00886EE2" w:rsidRDefault="0022555B" w:rsidP="00400DD1">
            <w:pPr>
              <w:pStyle w:val="-0"/>
              <w:spacing w:line="240" w:lineRule="auto"/>
              <w:ind w:left="-57" w:firstLine="55"/>
              <w:rPr>
                <w:rFonts w:asciiTheme="minorBidi" w:hAnsiTheme="minorBidi" w:cstheme="minorBidi"/>
                <w:sz w:val="18"/>
                <w:szCs w:val="18"/>
              </w:rPr>
            </w:pPr>
            <w:r w:rsidRPr="00886EE2">
              <w:rPr>
                <w:rFonts w:asciiTheme="minorBidi" w:hAnsiTheme="minorBidi" w:cstheme="minorBidi"/>
                <w:sz w:val="18"/>
                <w:szCs w:val="18"/>
                <w:rtl/>
              </w:rPr>
              <w:t>סך הכל מסחרי</w:t>
            </w:r>
          </w:p>
        </w:tc>
        <w:tc>
          <w:tcPr>
            <w:tcW w:w="347" w:type="pct"/>
            <w:vAlign w:val="bottom"/>
          </w:tcPr>
          <w:p w14:paraId="60589015" w14:textId="77777777" w:rsidR="0022555B" w:rsidRPr="00886EE2" w:rsidRDefault="0022555B" w:rsidP="00400DD1">
            <w:pPr>
              <w:pStyle w:val="-3"/>
              <w:jc w:val="left"/>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55" w:type="pct"/>
            <w:vAlign w:val="bottom"/>
          </w:tcPr>
          <w:p w14:paraId="409C65F2" w14:textId="77777777" w:rsidR="0022555B" w:rsidRPr="00886EE2" w:rsidRDefault="0022555B" w:rsidP="00400DD1">
            <w:pPr>
              <w:pStyle w:val="-3"/>
              <w:jc w:val="left"/>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72" w:type="pct"/>
            <w:vAlign w:val="bottom"/>
          </w:tcPr>
          <w:p w14:paraId="4AFFD978" w14:textId="77777777" w:rsidR="0022555B" w:rsidRPr="00886EE2" w:rsidRDefault="0022555B" w:rsidP="00400DD1">
            <w:pPr>
              <w:pStyle w:val="-3"/>
              <w:jc w:val="left"/>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302" w:type="pct"/>
            <w:vAlign w:val="bottom"/>
          </w:tcPr>
          <w:p w14:paraId="5446A14A" w14:textId="77777777" w:rsidR="0022555B" w:rsidRPr="00886EE2" w:rsidRDefault="0022555B" w:rsidP="00400DD1">
            <w:pPr>
              <w:pStyle w:val="-3"/>
              <w:jc w:val="left"/>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14" w:type="pct"/>
            <w:vAlign w:val="bottom"/>
          </w:tcPr>
          <w:p w14:paraId="34A685C6" w14:textId="77777777" w:rsidR="0022555B" w:rsidRPr="00886EE2" w:rsidRDefault="0022555B" w:rsidP="00400DD1">
            <w:pPr>
              <w:pStyle w:val="-3"/>
              <w:jc w:val="left"/>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627" w:type="pct"/>
            <w:vAlign w:val="bottom"/>
          </w:tcPr>
          <w:p w14:paraId="7366DA5D" w14:textId="77777777" w:rsidR="0022555B" w:rsidRPr="00886EE2" w:rsidRDefault="0022555B" w:rsidP="00400DD1">
            <w:pPr>
              <w:pStyle w:val="-3"/>
              <w:jc w:val="left"/>
              <w:rPr>
                <w:rFonts w:asciiTheme="minorBidi" w:hAnsiTheme="minorBidi" w:cstheme="minorBidi"/>
                <w:sz w:val="18"/>
                <w:szCs w:val="18"/>
                <w:rtl/>
              </w:rPr>
            </w:pPr>
            <w:r w:rsidRPr="00886EE2">
              <w:rPr>
                <w:rFonts w:asciiTheme="minorBidi" w:hAnsiTheme="minorBidi" w:cstheme="minorBidi"/>
                <w:sz w:val="18"/>
                <w:szCs w:val="18"/>
                <w:rtl/>
              </w:rPr>
              <w:t xml:space="preserve"> 0</w:t>
            </w:r>
          </w:p>
        </w:tc>
      </w:tr>
      <w:tr w:rsidR="0022555B" w:rsidRPr="00886EE2" w14:paraId="66190500" w14:textId="77777777" w:rsidTr="00400DD1">
        <w:tblPrEx>
          <w:tblLook w:val="01E0" w:firstRow="1" w:lastRow="1" w:firstColumn="1" w:lastColumn="1" w:noHBand="0" w:noVBand="0"/>
        </w:tblPrEx>
        <w:trPr>
          <w:trHeight w:val="259"/>
        </w:trPr>
        <w:tc>
          <w:tcPr>
            <w:tcW w:w="477" w:type="pct"/>
          </w:tcPr>
          <w:p w14:paraId="21517974" w14:textId="77777777" w:rsidR="0022555B" w:rsidRPr="00886EE2" w:rsidRDefault="0022555B" w:rsidP="00400DD1">
            <w:pPr>
              <w:pStyle w:val="-7"/>
              <w:rPr>
                <w:rFonts w:asciiTheme="minorBidi" w:hAnsiTheme="minorBidi" w:cstheme="minorBidi"/>
                <w:sz w:val="18"/>
                <w:szCs w:val="18"/>
                <w:rtl/>
              </w:rPr>
            </w:pPr>
          </w:p>
        </w:tc>
        <w:tc>
          <w:tcPr>
            <w:tcW w:w="190" w:type="pct"/>
            <w:vAlign w:val="bottom"/>
          </w:tcPr>
          <w:p w14:paraId="4DAD1EEC" w14:textId="77777777" w:rsidR="0022555B" w:rsidRPr="00886EE2" w:rsidRDefault="0022555B" w:rsidP="00400DD1">
            <w:pPr>
              <w:pStyle w:val="-7"/>
              <w:rPr>
                <w:rFonts w:asciiTheme="minorBidi" w:hAnsiTheme="minorBidi" w:cstheme="minorBidi"/>
                <w:sz w:val="18"/>
                <w:szCs w:val="18"/>
                <w:rtl/>
              </w:rPr>
            </w:pPr>
          </w:p>
        </w:tc>
        <w:tc>
          <w:tcPr>
            <w:tcW w:w="1416" w:type="pct"/>
            <w:vAlign w:val="bottom"/>
          </w:tcPr>
          <w:p w14:paraId="05881E07" w14:textId="77777777" w:rsidR="0022555B" w:rsidRPr="00886EE2" w:rsidRDefault="0022555B" w:rsidP="00400DD1">
            <w:pPr>
              <w:pStyle w:val="-21"/>
              <w:ind w:left="-57" w:right="144" w:firstLine="55"/>
              <w:rPr>
                <w:rFonts w:asciiTheme="minorBidi" w:hAnsiTheme="minorBidi" w:cstheme="minorBidi"/>
                <w:sz w:val="18"/>
                <w:szCs w:val="18"/>
              </w:rPr>
            </w:pPr>
            <w:r w:rsidRPr="00886EE2">
              <w:rPr>
                <w:rFonts w:asciiTheme="minorBidi" w:hAnsiTheme="minorBidi" w:cstheme="minorBidi"/>
                <w:sz w:val="18"/>
                <w:szCs w:val="18"/>
                <w:rtl/>
              </w:rPr>
              <w:t>אנשים פרטיים - הלוואות לדיור</w:t>
            </w:r>
          </w:p>
        </w:tc>
        <w:tc>
          <w:tcPr>
            <w:tcW w:w="347" w:type="pct"/>
            <w:vAlign w:val="bottom"/>
          </w:tcPr>
          <w:p w14:paraId="51F4A14C"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55" w:type="pct"/>
            <w:vAlign w:val="bottom"/>
          </w:tcPr>
          <w:p w14:paraId="30DCC7A3"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72" w:type="pct"/>
            <w:vAlign w:val="bottom"/>
          </w:tcPr>
          <w:p w14:paraId="20E388B1"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302" w:type="pct"/>
            <w:vAlign w:val="bottom"/>
          </w:tcPr>
          <w:p w14:paraId="53FFA4EC"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14" w:type="pct"/>
            <w:vAlign w:val="bottom"/>
          </w:tcPr>
          <w:p w14:paraId="1166DB89"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627" w:type="pct"/>
            <w:vAlign w:val="bottom"/>
          </w:tcPr>
          <w:p w14:paraId="3200DC87"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r>
      <w:tr w:rsidR="0022555B" w:rsidRPr="00886EE2" w14:paraId="6739B6C2" w14:textId="77777777" w:rsidTr="00400DD1">
        <w:tblPrEx>
          <w:tblLook w:val="01E0" w:firstRow="1" w:lastRow="1" w:firstColumn="1" w:lastColumn="1" w:noHBand="0" w:noVBand="0"/>
        </w:tblPrEx>
        <w:trPr>
          <w:trHeight w:val="259"/>
        </w:trPr>
        <w:tc>
          <w:tcPr>
            <w:tcW w:w="477" w:type="pct"/>
          </w:tcPr>
          <w:p w14:paraId="68E1C8A9" w14:textId="77777777" w:rsidR="0022555B" w:rsidRPr="00886EE2" w:rsidRDefault="0022555B" w:rsidP="00400DD1">
            <w:pPr>
              <w:pStyle w:val="-7"/>
              <w:rPr>
                <w:rFonts w:asciiTheme="minorBidi" w:hAnsiTheme="minorBidi" w:cstheme="minorBidi"/>
                <w:sz w:val="18"/>
                <w:szCs w:val="18"/>
                <w:rtl/>
              </w:rPr>
            </w:pPr>
          </w:p>
        </w:tc>
        <w:tc>
          <w:tcPr>
            <w:tcW w:w="190" w:type="pct"/>
            <w:vAlign w:val="bottom"/>
          </w:tcPr>
          <w:p w14:paraId="38DBD84E" w14:textId="77777777" w:rsidR="0022555B" w:rsidRPr="00886EE2" w:rsidRDefault="0022555B" w:rsidP="00400DD1">
            <w:pPr>
              <w:pStyle w:val="-7"/>
              <w:rPr>
                <w:rFonts w:asciiTheme="minorBidi" w:hAnsiTheme="minorBidi" w:cstheme="minorBidi"/>
                <w:sz w:val="18"/>
                <w:szCs w:val="18"/>
                <w:rtl/>
              </w:rPr>
            </w:pPr>
          </w:p>
        </w:tc>
        <w:tc>
          <w:tcPr>
            <w:tcW w:w="1416" w:type="pct"/>
            <w:vAlign w:val="bottom"/>
          </w:tcPr>
          <w:p w14:paraId="65060B2A" w14:textId="77777777" w:rsidR="0022555B" w:rsidRPr="00886EE2" w:rsidRDefault="0022555B" w:rsidP="00400DD1">
            <w:pPr>
              <w:pStyle w:val="-0"/>
              <w:spacing w:line="240" w:lineRule="auto"/>
              <w:ind w:left="-57" w:firstLine="55"/>
              <w:rPr>
                <w:rFonts w:asciiTheme="minorBidi" w:hAnsiTheme="minorBidi" w:cstheme="minorBidi"/>
                <w:sz w:val="18"/>
                <w:szCs w:val="18"/>
              </w:rPr>
            </w:pPr>
            <w:r w:rsidRPr="00886EE2">
              <w:rPr>
                <w:rFonts w:asciiTheme="minorBidi" w:hAnsiTheme="minorBidi" w:cstheme="minorBidi"/>
                <w:sz w:val="18"/>
                <w:szCs w:val="18"/>
                <w:rtl/>
              </w:rPr>
              <w:t>אנשים פרטיים - אחר</w:t>
            </w:r>
          </w:p>
        </w:tc>
        <w:tc>
          <w:tcPr>
            <w:tcW w:w="347" w:type="pct"/>
            <w:vAlign w:val="bottom"/>
          </w:tcPr>
          <w:p w14:paraId="33E73A80"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55" w:type="pct"/>
            <w:vAlign w:val="bottom"/>
          </w:tcPr>
          <w:p w14:paraId="48BC1E16"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72" w:type="pct"/>
            <w:vAlign w:val="bottom"/>
          </w:tcPr>
          <w:p w14:paraId="73DB06CF"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302" w:type="pct"/>
            <w:vAlign w:val="bottom"/>
          </w:tcPr>
          <w:p w14:paraId="34A124B7"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14" w:type="pct"/>
            <w:vAlign w:val="bottom"/>
          </w:tcPr>
          <w:p w14:paraId="250A6184"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627" w:type="pct"/>
            <w:vAlign w:val="bottom"/>
          </w:tcPr>
          <w:p w14:paraId="1A4BC10C" w14:textId="77777777" w:rsidR="0022555B" w:rsidRPr="00886EE2" w:rsidRDefault="0022555B" w:rsidP="00400DD1">
            <w:pPr>
              <w:pStyle w:val="-3"/>
              <w:rPr>
                <w:rFonts w:asciiTheme="minorBidi" w:hAnsiTheme="minorBidi" w:cstheme="minorBidi"/>
                <w:sz w:val="18"/>
                <w:szCs w:val="18"/>
                <w:rtl/>
              </w:rPr>
            </w:pPr>
            <w:r w:rsidRPr="00886EE2">
              <w:rPr>
                <w:rFonts w:asciiTheme="minorBidi" w:hAnsiTheme="minorBidi" w:cstheme="minorBidi"/>
                <w:sz w:val="18"/>
                <w:szCs w:val="18"/>
                <w:rtl/>
              </w:rPr>
              <w:t xml:space="preserve"> 0</w:t>
            </w:r>
          </w:p>
        </w:tc>
      </w:tr>
      <w:tr w:rsidR="0022555B" w:rsidRPr="00886EE2" w14:paraId="5426E084" w14:textId="77777777" w:rsidTr="00400DD1">
        <w:tblPrEx>
          <w:tblLook w:val="01E0" w:firstRow="1" w:lastRow="1" w:firstColumn="1" w:lastColumn="1" w:noHBand="0" w:noVBand="0"/>
        </w:tblPrEx>
        <w:trPr>
          <w:trHeight w:val="259"/>
        </w:trPr>
        <w:tc>
          <w:tcPr>
            <w:tcW w:w="477" w:type="pct"/>
          </w:tcPr>
          <w:p w14:paraId="2C2522AB" w14:textId="77777777" w:rsidR="0022555B" w:rsidRPr="00886EE2" w:rsidRDefault="0022555B" w:rsidP="00400DD1">
            <w:pPr>
              <w:pStyle w:val="-7"/>
              <w:rPr>
                <w:rFonts w:asciiTheme="minorBidi" w:hAnsiTheme="minorBidi" w:cstheme="minorBidi"/>
                <w:sz w:val="18"/>
                <w:szCs w:val="18"/>
                <w:rtl/>
              </w:rPr>
            </w:pPr>
          </w:p>
        </w:tc>
        <w:tc>
          <w:tcPr>
            <w:tcW w:w="190" w:type="pct"/>
            <w:vAlign w:val="bottom"/>
          </w:tcPr>
          <w:p w14:paraId="27AFCD12" w14:textId="77777777" w:rsidR="0022555B" w:rsidRPr="00886EE2" w:rsidRDefault="0022555B" w:rsidP="00400DD1">
            <w:pPr>
              <w:pStyle w:val="-7"/>
              <w:rPr>
                <w:rFonts w:asciiTheme="minorBidi" w:hAnsiTheme="minorBidi" w:cstheme="minorBidi"/>
                <w:sz w:val="18"/>
                <w:szCs w:val="18"/>
                <w:rtl/>
              </w:rPr>
            </w:pPr>
          </w:p>
        </w:tc>
        <w:tc>
          <w:tcPr>
            <w:tcW w:w="1416" w:type="pct"/>
            <w:vAlign w:val="bottom"/>
          </w:tcPr>
          <w:p w14:paraId="1E5AE1F0" w14:textId="77777777" w:rsidR="0022555B" w:rsidRPr="00886EE2" w:rsidRDefault="0022555B" w:rsidP="00400DD1">
            <w:pPr>
              <w:pStyle w:val="-21"/>
              <w:spacing w:before="60" w:line="180" w:lineRule="exact"/>
              <w:ind w:left="-57" w:firstLine="0"/>
              <w:rPr>
                <w:rFonts w:asciiTheme="minorBidi" w:hAnsiTheme="minorBidi" w:cstheme="minorBidi"/>
                <w:b/>
                <w:bCs/>
                <w:sz w:val="18"/>
                <w:szCs w:val="18"/>
                <w:rtl/>
              </w:rPr>
            </w:pPr>
            <w:r w:rsidRPr="00886EE2">
              <w:rPr>
                <w:rFonts w:asciiTheme="minorBidi" w:hAnsiTheme="minorBidi" w:cstheme="minorBidi"/>
                <w:b/>
                <w:bCs/>
                <w:sz w:val="18"/>
                <w:szCs w:val="18"/>
                <w:rtl/>
              </w:rPr>
              <w:t>סך הכל אשראי לציבור- פעילות בישראל</w:t>
            </w:r>
          </w:p>
        </w:tc>
        <w:tc>
          <w:tcPr>
            <w:tcW w:w="347" w:type="pct"/>
            <w:vAlign w:val="bottom"/>
          </w:tcPr>
          <w:p w14:paraId="1F9A8915" w14:textId="77777777" w:rsidR="0022555B" w:rsidRPr="00886EE2" w:rsidRDefault="0022555B" w:rsidP="00400DD1">
            <w:pPr>
              <w:pStyle w:val="-f1"/>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55" w:type="pct"/>
            <w:vAlign w:val="bottom"/>
          </w:tcPr>
          <w:p w14:paraId="0689BCC1" w14:textId="77777777" w:rsidR="0022555B" w:rsidRPr="00886EE2" w:rsidRDefault="0022555B" w:rsidP="00400DD1">
            <w:pPr>
              <w:pStyle w:val="-f1"/>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72" w:type="pct"/>
            <w:vAlign w:val="bottom"/>
          </w:tcPr>
          <w:p w14:paraId="6D1AEE95" w14:textId="77777777" w:rsidR="0022555B" w:rsidRPr="00886EE2" w:rsidRDefault="0022555B" w:rsidP="00400DD1">
            <w:pPr>
              <w:pStyle w:val="-f1"/>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302" w:type="pct"/>
            <w:vAlign w:val="bottom"/>
          </w:tcPr>
          <w:p w14:paraId="3D3FCC5B" w14:textId="77777777" w:rsidR="0022555B" w:rsidRPr="00886EE2" w:rsidRDefault="0022555B" w:rsidP="00400DD1">
            <w:pPr>
              <w:pStyle w:val="-f1"/>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14" w:type="pct"/>
            <w:vAlign w:val="bottom"/>
          </w:tcPr>
          <w:p w14:paraId="538F8D35" w14:textId="77777777" w:rsidR="0022555B" w:rsidRPr="00886EE2" w:rsidRDefault="0022555B" w:rsidP="00400DD1">
            <w:pPr>
              <w:pStyle w:val="-f1"/>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627" w:type="pct"/>
            <w:vAlign w:val="bottom"/>
          </w:tcPr>
          <w:p w14:paraId="45291567" w14:textId="77777777" w:rsidR="0022555B" w:rsidRPr="00886EE2" w:rsidRDefault="0022555B" w:rsidP="00400DD1">
            <w:pPr>
              <w:pStyle w:val="-f1"/>
              <w:rPr>
                <w:rFonts w:asciiTheme="minorBidi" w:hAnsiTheme="minorBidi" w:cstheme="minorBidi"/>
                <w:sz w:val="18"/>
                <w:szCs w:val="18"/>
                <w:rtl/>
              </w:rPr>
            </w:pPr>
            <w:r w:rsidRPr="00886EE2">
              <w:rPr>
                <w:rFonts w:asciiTheme="minorBidi" w:hAnsiTheme="minorBidi" w:cstheme="minorBidi"/>
                <w:sz w:val="18"/>
                <w:szCs w:val="18"/>
                <w:rtl/>
              </w:rPr>
              <w:t xml:space="preserve"> 0</w:t>
            </w:r>
          </w:p>
        </w:tc>
      </w:tr>
      <w:tr w:rsidR="0022555B" w:rsidRPr="00886EE2" w14:paraId="79228007" w14:textId="77777777" w:rsidTr="00400DD1">
        <w:tblPrEx>
          <w:tblLook w:val="01E0" w:firstRow="1" w:lastRow="1" w:firstColumn="1" w:lastColumn="1" w:noHBand="0" w:noVBand="0"/>
        </w:tblPrEx>
        <w:trPr>
          <w:trHeight w:val="63"/>
        </w:trPr>
        <w:tc>
          <w:tcPr>
            <w:tcW w:w="477" w:type="pct"/>
          </w:tcPr>
          <w:p w14:paraId="72800875" w14:textId="77777777" w:rsidR="0022555B" w:rsidRPr="00886EE2" w:rsidRDefault="0022555B" w:rsidP="00400DD1">
            <w:pPr>
              <w:pStyle w:val="-7"/>
              <w:spacing w:line="120" w:lineRule="exact"/>
              <w:rPr>
                <w:rFonts w:asciiTheme="minorBidi" w:hAnsiTheme="minorBidi" w:cstheme="minorBidi"/>
                <w:sz w:val="18"/>
                <w:szCs w:val="18"/>
                <w:rtl/>
              </w:rPr>
            </w:pPr>
          </w:p>
        </w:tc>
        <w:tc>
          <w:tcPr>
            <w:tcW w:w="190" w:type="pct"/>
            <w:vAlign w:val="bottom"/>
          </w:tcPr>
          <w:p w14:paraId="34D16EE9" w14:textId="77777777" w:rsidR="0022555B" w:rsidRPr="00886EE2" w:rsidRDefault="0022555B" w:rsidP="00400DD1">
            <w:pPr>
              <w:pStyle w:val="-7"/>
              <w:spacing w:line="120" w:lineRule="exact"/>
              <w:rPr>
                <w:rFonts w:asciiTheme="minorBidi" w:hAnsiTheme="minorBidi" w:cstheme="minorBidi"/>
                <w:sz w:val="18"/>
                <w:szCs w:val="18"/>
                <w:rtl/>
              </w:rPr>
            </w:pPr>
          </w:p>
        </w:tc>
        <w:tc>
          <w:tcPr>
            <w:tcW w:w="1416" w:type="pct"/>
            <w:vAlign w:val="bottom"/>
          </w:tcPr>
          <w:p w14:paraId="6198A49A" w14:textId="77777777" w:rsidR="0022555B" w:rsidRPr="00886EE2" w:rsidRDefault="0022555B" w:rsidP="00400DD1">
            <w:pPr>
              <w:pStyle w:val="-21"/>
              <w:spacing w:before="0" w:line="120" w:lineRule="exact"/>
              <w:ind w:left="432" w:right="144"/>
              <w:rPr>
                <w:rFonts w:asciiTheme="minorBidi" w:hAnsiTheme="minorBidi" w:cstheme="minorBidi"/>
                <w:sz w:val="18"/>
                <w:szCs w:val="18"/>
                <w:rtl/>
              </w:rPr>
            </w:pPr>
          </w:p>
        </w:tc>
        <w:tc>
          <w:tcPr>
            <w:tcW w:w="347" w:type="pct"/>
          </w:tcPr>
          <w:p w14:paraId="37EF9E7C" w14:textId="77777777" w:rsidR="0022555B" w:rsidRPr="00886EE2" w:rsidRDefault="0022555B" w:rsidP="00400DD1">
            <w:pPr>
              <w:pStyle w:val="-121"/>
              <w:pBdr>
                <w:top w:val="none" w:sz="0" w:space="0" w:color="auto"/>
              </w:pBdr>
              <w:spacing w:line="120" w:lineRule="exact"/>
              <w:jc w:val="center"/>
              <w:rPr>
                <w:rFonts w:asciiTheme="minorBidi" w:hAnsiTheme="minorBidi" w:cstheme="minorBidi"/>
                <w:sz w:val="18"/>
                <w:szCs w:val="18"/>
                <w:rtl/>
              </w:rPr>
            </w:pPr>
          </w:p>
        </w:tc>
        <w:tc>
          <w:tcPr>
            <w:tcW w:w="555" w:type="pct"/>
          </w:tcPr>
          <w:p w14:paraId="7E9FBC28" w14:textId="77777777" w:rsidR="0022555B" w:rsidRPr="00886EE2" w:rsidRDefault="0022555B" w:rsidP="00400DD1">
            <w:pPr>
              <w:pStyle w:val="-121"/>
              <w:pBdr>
                <w:top w:val="none" w:sz="0" w:space="0" w:color="auto"/>
              </w:pBdr>
              <w:spacing w:line="120" w:lineRule="exact"/>
              <w:jc w:val="center"/>
              <w:rPr>
                <w:rFonts w:asciiTheme="minorBidi" w:hAnsiTheme="minorBidi" w:cstheme="minorBidi"/>
                <w:sz w:val="18"/>
                <w:szCs w:val="18"/>
                <w:rtl/>
              </w:rPr>
            </w:pPr>
          </w:p>
        </w:tc>
        <w:tc>
          <w:tcPr>
            <w:tcW w:w="572" w:type="pct"/>
          </w:tcPr>
          <w:p w14:paraId="510244D0" w14:textId="77777777" w:rsidR="0022555B" w:rsidRPr="00886EE2" w:rsidRDefault="0022555B" w:rsidP="00400DD1">
            <w:pPr>
              <w:pStyle w:val="-121"/>
              <w:pBdr>
                <w:top w:val="none" w:sz="0" w:space="0" w:color="auto"/>
              </w:pBdr>
              <w:spacing w:line="120" w:lineRule="exact"/>
              <w:jc w:val="center"/>
              <w:rPr>
                <w:rFonts w:asciiTheme="minorBidi" w:hAnsiTheme="minorBidi" w:cstheme="minorBidi"/>
                <w:sz w:val="18"/>
                <w:szCs w:val="18"/>
                <w:rtl/>
              </w:rPr>
            </w:pPr>
          </w:p>
        </w:tc>
        <w:tc>
          <w:tcPr>
            <w:tcW w:w="302" w:type="pct"/>
          </w:tcPr>
          <w:p w14:paraId="5F16CA2F" w14:textId="77777777" w:rsidR="0022555B" w:rsidRPr="00886EE2" w:rsidRDefault="0022555B" w:rsidP="00400DD1">
            <w:pPr>
              <w:pStyle w:val="-121"/>
              <w:pBdr>
                <w:top w:val="none" w:sz="0" w:space="0" w:color="auto"/>
              </w:pBdr>
              <w:spacing w:line="120" w:lineRule="exact"/>
              <w:jc w:val="center"/>
              <w:rPr>
                <w:rFonts w:asciiTheme="minorBidi" w:hAnsiTheme="minorBidi" w:cstheme="minorBidi"/>
                <w:sz w:val="18"/>
                <w:szCs w:val="18"/>
                <w:rtl/>
              </w:rPr>
            </w:pPr>
          </w:p>
        </w:tc>
        <w:tc>
          <w:tcPr>
            <w:tcW w:w="514" w:type="pct"/>
          </w:tcPr>
          <w:p w14:paraId="08575920" w14:textId="77777777" w:rsidR="0022555B" w:rsidRPr="00886EE2" w:rsidRDefault="0022555B" w:rsidP="00400DD1">
            <w:pPr>
              <w:pStyle w:val="-121"/>
              <w:pBdr>
                <w:top w:val="none" w:sz="0" w:space="0" w:color="auto"/>
              </w:pBdr>
              <w:spacing w:line="120" w:lineRule="exact"/>
              <w:jc w:val="center"/>
              <w:rPr>
                <w:rFonts w:asciiTheme="minorBidi" w:hAnsiTheme="minorBidi" w:cstheme="minorBidi"/>
                <w:sz w:val="18"/>
                <w:szCs w:val="18"/>
                <w:rtl/>
              </w:rPr>
            </w:pPr>
          </w:p>
        </w:tc>
        <w:tc>
          <w:tcPr>
            <w:tcW w:w="627" w:type="pct"/>
          </w:tcPr>
          <w:p w14:paraId="1A02D142" w14:textId="77777777" w:rsidR="0022555B" w:rsidRPr="00886EE2" w:rsidRDefault="0022555B" w:rsidP="00400DD1">
            <w:pPr>
              <w:pStyle w:val="-121"/>
              <w:pBdr>
                <w:top w:val="none" w:sz="0" w:space="0" w:color="auto"/>
              </w:pBdr>
              <w:spacing w:line="120" w:lineRule="exact"/>
              <w:jc w:val="center"/>
              <w:rPr>
                <w:rFonts w:asciiTheme="minorBidi" w:hAnsiTheme="minorBidi" w:cstheme="minorBidi"/>
                <w:sz w:val="18"/>
                <w:szCs w:val="18"/>
                <w:rtl/>
              </w:rPr>
            </w:pPr>
          </w:p>
        </w:tc>
      </w:tr>
      <w:tr w:rsidR="0022555B" w:rsidRPr="00886EE2" w14:paraId="4C79F0A2" w14:textId="77777777" w:rsidTr="00400DD1">
        <w:tblPrEx>
          <w:tblLook w:val="01E0" w:firstRow="1" w:lastRow="1" w:firstColumn="1" w:lastColumn="1" w:noHBand="0" w:noVBand="0"/>
        </w:tblPrEx>
        <w:trPr>
          <w:trHeight w:val="259"/>
        </w:trPr>
        <w:tc>
          <w:tcPr>
            <w:tcW w:w="477" w:type="pct"/>
          </w:tcPr>
          <w:p w14:paraId="3B968F71" w14:textId="77777777" w:rsidR="0022555B" w:rsidRPr="00886EE2" w:rsidRDefault="0022555B" w:rsidP="00400DD1">
            <w:pPr>
              <w:pStyle w:val="-7"/>
              <w:rPr>
                <w:rFonts w:asciiTheme="minorBidi" w:hAnsiTheme="minorBidi" w:cstheme="minorBidi"/>
                <w:sz w:val="18"/>
                <w:szCs w:val="18"/>
                <w:rtl/>
              </w:rPr>
            </w:pPr>
          </w:p>
        </w:tc>
        <w:tc>
          <w:tcPr>
            <w:tcW w:w="190" w:type="pct"/>
            <w:vAlign w:val="bottom"/>
          </w:tcPr>
          <w:p w14:paraId="1A09C87B" w14:textId="77777777" w:rsidR="0022555B" w:rsidRPr="00886EE2" w:rsidRDefault="0022555B" w:rsidP="00400DD1">
            <w:pPr>
              <w:pStyle w:val="-7"/>
              <w:rPr>
                <w:rFonts w:asciiTheme="minorBidi" w:hAnsiTheme="minorBidi" w:cstheme="minorBidi"/>
                <w:sz w:val="18"/>
                <w:szCs w:val="18"/>
                <w:rtl/>
              </w:rPr>
            </w:pPr>
          </w:p>
        </w:tc>
        <w:tc>
          <w:tcPr>
            <w:tcW w:w="1416" w:type="pct"/>
            <w:vAlign w:val="bottom"/>
          </w:tcPr>
          <w:p w14:paraId="045CD5C7" w14:textId="77777777" w:rsidR="0022555B" w:rsidRPr="00886EE2" w:rsidRDefault="0022555B" w:rsidP="00400DD1">
            <w:pPr>
              <w:pStyle w:val="-f"/>
              <w:ind w:left="-57"/>
              <w:rPr>
                <w:rFonts w:asciiTheme="minorBidi" w:hAnsiTheme="minorBidi" w:cstheme="minorBidi"/>
                <w:sz w:val="18"/>
                <w:szCs w:val="18"/>
                <w:rtl/>
              </w:rPr>
            </w:pPr>
            <w:r w:rsidRPr="00886EE2">
              <w:rPr>
                <w:rFonts w:asciiTheme="minorBidi" w:hAnsiTheme="minorBidi" w:cstheme="minorBidi"/>
                <w:sz w:val="18"/>
                <w:szCs w:val="18"/>
                <w:rtl/>
              </w:rPr>
              <w:t>פעילות לווים בחו"ל</w:t>
            </w:r>
          </w:p>
        </w:tc>
        <w:tc>
          <w:tcPr>
            <w:tcW w:w="347" w:type="pct"/>
            <w:vAlign w:val="bottom"/>
          </w:tcPr>
          <w:p w14:paraId="7881E485" w14:textId="77777777" w:rsidR="0022555B" w:rsidRPr="00886EE2" w:rsidRDefault="0022555B" w:rsidP="00400DD1">
            <w:pPr>
              <w:pStyle w:val="-3"/>
              <w:rPr>
                <w:rFonts w:asciiTheme="minorBidi" w:hAnsiTheme="minorBidi" w:cstheme="minorBidi"/>
                <w:sz w:val="18"/>
                <w:szCs w:val="18"/>
                <w:rtl/>
              </w:rPr>
            </w:pPr>
          </w:p>
        </w:tc>
        <w:tc>
          <w:tcPr>
            <w:tcW w:w="555" w:type="pct"/>
            <w:vAlign w:val="bottom"/>
          </w:tcPr>
          <w:p w14:paraId="2A28A91F" w14:textId="77777777" w:rsidR="0022555B" w:rsidRPr="00886EE2" w:rsidRDefault="0022555B" w:rsidP="00400DD1">
            <w:pPr>
              <w:pStyle w:val="-3"/>
              <w:rPr>
                <w:rFonts w:asciiTheme="minorBidi" w:hAnsiTheme="minorBidi" w:cstheme="minorBidi"/>
                <w:sz w:val="18"/>
                <w:szCs w:val="18"/>
                <w:rtl/>
              </w:rPr>
            </w:pPr>
          </w:p>
        </w:tc>
        <w:tc>
          <w:tcPr>
            <w:tcW w:w="572" w:type="pct"/>
            <w:vAlign w:val="bottom"/>
          </w:tcPr>
          <w:p w14:paraId="74ECC5D4" w14:textId="77777777" w:rsidR="0022555B" w:rsidRPr="00886EE2" w:rsidRDefault="0022555B" w:rsidP="00400DD1">
            <w:pPr>
              <w:pStyle w:val="-3"/>
              <w:rPr>
                <w:rFonts w:asciiTheme="minorBidi" w:hAnsiTheme="minorBidi" w:cstheme="minorBidi"/>
                <w:sz w:val="18"/>
                <w:szCs w:val="18"/>
                <w:rtl/>
              </w:rPr>
            </w:pPr>
          </w:p>
        </w:tc>
        <w:tc>
          <w:tcPr>
            <w:tcW w:w="302" w:type="pct"/>
            <w:vAlign w:val="bottom"/>
          </w:tcPr>
          <w:p w14:paraId="3A6E3F5E" w14:textId="77777777" w:rsidR="0022555B" w:rsidRPr="00886EE2" w:rsidRDefault="0022555B" w:rsidP="00400DD1">
            <w:pPr>
              <w:pStyle w:val="-3"/>
              <w:rPr>
                <w:rFonts w:asciiTheme="minorBidi" w:hAnsiTheme="minorBidi" w:cstheme="minorBidi"/>
                <w:sz w:val="18"/>
                <w:szCs w:val="18"/>
                <w:rtl/>
              </w:rPr>
            </w:pPr>
          </w:p>
        </w:tc>
        <w:tc>
          <w:tcPr>
            <w:tcW w:w="514" w:type="pct"/>
            <w:vAlign w:val="bottom"/>
          </w:tcPr>
          <w:p w14:paraId="3281BB9C" w14:textId="77777777" w:rsidR="0022555B" w:rsidRPr="00886EE2" w:rsidRDefault="0022555B" w:rsidP="00400DD1">
            <w:pPr>
              <w:pStyle w:val="-3"/>
              <w:rPr>
                <w:rFonts w:asciiTheme="minorBidi" w:hAnsiTheme="minorBidi" w:cstheme="minorBidi"/>
                <w:sz w:val="18"/>
                <w:szCs w:val="18"/>
                <w:rtl/>
              </w:rPr>
            </w:pPr>
          </w:p>
        </w:tc>
        <w:tc>
          <w:tcPr>
            <w:tcW w:w="627" w:type="pct"/>
            <w:vAlign w:val="bottom"/>
          </w:tcPr>
          <w:p w14:paraId="36072DEF" w14:textId="77777777" w:rsidR="0022555B" w:rsidRPr="00886EE2" w:rsidRDefault="0022555B" w:rsidP="00400DD1">
            <w:pPr>
              <w:pStyle w:val="-3"/>
              <w:rPr>
                <w:rFonts w:asciiTheme="minorBidi" w:hAnsiTheme="minorBidi" w:cstheme="minorBidi"/>
                <w:sz w:val="18"/>
                <w:szCs w:val="18"/>
                <w:rtl/>
              </w:rPr>
            </w:pPr>
          </w:p>
        </w:tc>
      </w:tr>
      <w:tr w:rsidR="0022555B" w:rsidRPr="00886EE2" w14:paraId="25368701" w14:textId="77777777" w:rsidTr="00400DD1">
        <w:tblPrEx>
          <w:tblLook w:val="01E0" w:firstRow="1" w:lastRow="1" w:firstColumn="1" w:lastColumn="1" w:noHBand="0" w:noVBand="0"/>
        </w:tblPrEx>
        <w:trPr>
          <w:trHeight w:val="259"/>
        </w:trPr>
        <w:tc>
          <w:tcPr>
            <w:tcW w:w="477" w:type="pct"/>
          </w:tcPr>
          <w:p w14:paraId="7D114346" w14:textId="77777777" w:rsidR="0022555B" w:rsidRPr="00886EE2" w:rsidRDefault="0022555B" w:rsidP="00400DD1">
            <w:pPr>
              <w:pStyle w:val="-7"/>
              <w:rPr>
                <w:rFonts w:asciiTheme="minorBidi" w:hAnsiTheme="minorBidi" w:cstheme="minorBidi"/>
                <w:sz w:val="18"/>
                <w:szCs w:val="18"/>
                <w:rtl/>
              </w:rPr>
            </w:pPr>
          </w:p>
        </w:tc>
        <w:tc>
          <w:tcPr>
            <w:tcW w:w="190" w:type="pct"/>
            <w:vAlign w:val="bottom"/>
          </w:tcPr>
          <w:p w14:paraId="1A4EDF20" w14:textId="77777777" w:rsidR="0022555B" w:rsidRPr="00886EE2" w:rsidRDefault="0022555B" w:rsidP="00400DD1">
            <w:pPr>
              <w:pStyle w:val="-7"/>
              <w:rPr>
                <w:rFonts w:asciiTheme="minorBidi" w:hAnsiTheme="minorBidi" w:cstheme="minorBidi"/>
                <w:sz w:val="18"/>
                <w:szCs w:val="18"/>
                <w:rtl/>
              </w:rPr>
            </w:pPr>
          </w:p>
        </w:tc>
        <w:tc>
          <w:tcPr>
            <w:tcW w:w="1416" w:type="pct"/>
            <w:vAlign w:val="bottom"/>
          </w:tcPr>
          <w:p w14:paraId="5ED28A7E" w14:textId="77777777" w:rsidR="0022555B" w:rsidRPr="00886EE2" w:rsidRDefault="0022555B" w:rsidP="00400DD1">
            <w:pPr>
              <w:pStyle w:val="-21"/>
              <w:spacing w:before="60" w:line="180" w:lineRule="exact"/>
              <w:ind w:left="-57" w:firstLine="0"/>
              <w:rPr>
                <w:rFonts w:asciiTheme="minorBidi" w:hAnsiTheme="minorBidi" w:cstheme="minorBidi"/>
                <w:b/>
                <w:bCs/>
                <w:sz w:val="18"/>
                <w:szCs w:val="18"/>
                <w:rtl/>
              </w:rPr>
            </w:pPr>
            <w:r w:rsidRPr="00886EE2">
              <w:rPr>
                <w:rFonts w:asciiTheme="minorBidi" w:hAnsiTheme="minorBidi" w:cstheme="minorBidi"/>
                <w:b/>
                <w:bCs/>
                <w:sz w:val="18"/>
                <w:szCs w:val="18"/>
                <w:rtl/>
              </w:rPr>
              <w:t>סך הכל אשראי לציבור - פעילות בחו"ל</w:t>
            </w:r>
          </w:p>
        </w:tc>
        <w:tc>
          <w:tcPr>
            <w:tcW w:w="347" w:type="pct"/>
            <w:vAlign w:val="bottom"/>
          </w:tcPr>
          <w:p w14:paraId="4E17E2A2" w14:textId="77777777" w:rsidR="0022555B" w:rsidRPr="00886EE2" w:rsidRDefault="0022555B" w:rsidP="00400DD1">
            <w:pPr>
              <w:pStyle w:val="-f1"/>
              <w:pBdr>
                <w:top w:val="none" w:sz="0" w:space="0" w:color="auto"/>
                <w:bottom w:val="sing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55" w:type="pct"/>
            <w:vAlign w:val="bottom"/>
          </w:tcPr>
          <w:p w14:paraId="055E390C" w14:textId="77777777" w:rsidR="0022555B" w:rsidRPr="00886EE2" w:rsidRDefault="0022555B" w:rsidP="00400DD1">
            <w:pPr>
              <w:pStyle w:val="-f1"/>
              <w:pBdr>
                <w:top w:val="none" w:sz="0" w:space="0" w:color="auto"/>
                <w:bottom w:val="sing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72" w:type="pct"/>
            <w:vAlign w:val="bottom"/>
          </w:tcPr>
          <w:p w14:paraId="0ABF2CD2" w14:textId="77777777" w:rsidR="0022555B" w:rsidRPr="00886EE2" w:rsidRDefault="0022555B" w:rsidP="00400DD1">
            <w:pPr>
              <w:pStyle w:val="-f1"/>
              <w:pBdr>
                <w:top w:val="none" w:sz="0" w:space="0" w:color="auto"/>
                <w:bottom w:val="sing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302" w:type="pct"/>
            <w:vAlign w:val="bottom"/>
          </w:tcPr>
          <w:p w14:paraId="63273540" w14:textId="77777777" w:rsidR="0022555B" w:rsidRPr="00886EE2" w:rsidRDefault="0022555B" w:rsidP="00400DD1">
            <w:pPr>
              <w:pStyle w:val="-f1"/>
              <w:pBdr>
                <w:top w:val="none" w:sz="0" w:space="0" w:color="auto"/>
                <w:bottom w:val="sing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14" w:type="pct"/>
            <w:vAlign w:val="bottom"/>
          </w:tcPr>
          <w:p w14:paraId="7232C498" w14:textId="77777777" w:rsidR="0022555B" w:rsidRPr="00886EE2" w:rsidRDefault="0022555B" w:rsidP="00400DD1">
            <w:pPr>
              <w:pStyle w:val="-f1"/>
              <w:pBdr>
                <w:top w:val="none" w:sz="0" w:space="0" w:color="auto"/>
                <w:bottom w:val="sing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627" w:type="pct"/>
            <w:vAlign w:val="bottom"/>
          </w:tcPr>
          <w:p w14:paraId="20ACEE16" w14:textId="77777777" w:rsidR="0022555B" w:rsidRPr="00886EE2" w:rsidRDefault="0022555B" w:rsidP="00400DD1">
            <w:pPr>
              <w:pStyle w:val="-f1"/>
              <w:pBdr>
                <w:top w:val="none" w:sz="0" w:space="0" w:color="auto"/>
                <w:bottom w:val="sing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r>
      <w:tr w:rsidR="0022555B" w:rsidRPr="00886EE2" w14:paraId="2DA9BC7E" w14:textId="77777777" w:rsidTr="00400DD1">
        <w:tblPrEx>
          <w:tblLook w:val="01E0" w:firstRow="1" w:lastRow="1" w:firstColumn="1" w:lastColumn="1" w:noHBand="0" w:noVBand="0"/>
        </w:tblPrEx>
        <w:trPr>
          <w:trHeight w:val="69"/>
        </w:trPr>
        <w:tc>
          <w:tcPr>
            <w:tcW w:w="477" w:type="pct"/>
          </w:tcPr>
          <w:p w14:paraId="37E5F001" w14:textId="77777777" w:rsidR="0022555B" w:rsidRPr="00886EE2" w:rsidRDefault="0022555B" w:rsidP="00400DD1">
            <w:pPr>
              <w:pStyle w:val="-7"/>
              <w:bidi w:val="0"/>
              <w:spacing w:line="120" w:lineRule="exact"/>
              <w:rPr>
                <w:rFonts w:asciiTheme="minorBidi" w:hAnsiTheme="minorBidi" w:cstheme="minorBidi"/>
                <w:sz w:val="18"/>
                <w:szCs w:val="18"/>
                <w:rtl/>
              </w:rPr>
            </w:pPr>
          </w:p>
        </w:tc>
        <w:tc>
          <w:tcPr>
            <w:tcW w:w="190" w:type="pct"/>
            <w:vAlign w:val="bottom"/>
          </w:tcPr>
          <w:p w14:paraId="0B352A83" w14:textId="77777777" w:rsidR="0022555B" w:rsidRPr="00886EE2" w:rsidRDefault="0022555B" w:rsidP="00400DD1">
            <w:pPr>
              <w:pStyle w:val="-7"/>
              <w:bidi w:val="0"/>
              <w:spacing w:line="120" w:lineRule="exact"/>
              <w:rPr>
                <w:rFonts w:asciiTheme="minorBidi" w:hAnsiTheme="minorBidi" w:cstheme="minorBidi"/>
                <w:sz w:val="18"/>
                <w:szCs w:val="18"/>
                <w:rtl/>
              </w:rPr>
            </w:pPr>
          </w:p>
        </w:tc>
        <w:tc>
          <w:tcPr>
            <w:tcW w:w="1416" w:type="pct"/>
            <w:vAlign w:val="bottom"/>
          </w:tcPr>
          <w:p w14:paraId="11AC9665" w14:textId="77777777" w:rsidR="0022555B" w:rsidRPr="00886EE2" w:rsidRDefault="0022555B" w:rsidP="00400DD1">
            <w:pPr>
              <w:pStyle w:val="-21"/>
              <w:bidi w:val="0"/>
              <w:spacing w:before="0" w:line="120" w:lineRule="exact"/>
              <w:ind w:left="432" w:right="144"/>
              <w:jc w:val="both"/>
              <w:rPr>
                <w:rFonts w:asciiTheme="minorBidi" w:hAnsiTheme="minorBidi" w:cstheme="minorBidi"/>
                <w:sz w:val="18"/>
                <w:szCs w:val="18"/>
                <w:rtl/>
              </w:rPr>
            </w:pPr>
          </w:p>
        </w:tc>
        <w:tc>
          <w:tcPr>
            <w:tcW w:w="347" w:type="pct"/>
          </w:tcPr>
          <w:p w14:paraId="25125A03" w14:textId="77777777" w:rsidR="0022555B" w:rsidRPr="00886EE2" w:rsidRDefault="0022555B" w:rsidP="00400DD1">
            <w:pPr>
              <w:pStyle w:val="-121"/>
              <w:pBdr>
                <w:top w:val="none" w:sz="0" w:space="0" w:color="auto"/>
              </w:pBdr>
              <w:bidi w:val="0"/>
              <w:spacing w:line="120" w:lineRule="exact"/>
              <w:rPr>
                <w:rFonts w:asciiTheme="minorBidi" w:hAnsiTheme="minorBidi" w:cstheme="minorBidi"/>
                <w:sz w:val="18"/>
                <w:szCs w:val="18"/>
                <w:rtl/>
              </w:rPr>
            </w:pPr>
          </w:p>
        </w:tc>
        <w:tc>
          <w:tcPr>
            <w:tcW w:w="555" w:type="pct"/>
          </w:tcPr>
          <w:p w14:paraId="4C13FD35" w14:textId="77777777" w:rsidR="0022555B" w:rsidRPr="00886EE2" w:rsidRDefault="0022555B" w:rsidP="00400DD1">
            <w:pPr>
              <w:pStyle w:val="-121"/>
              <w:pBdr>
                <w:top w:val="none" w:sz="0" w:space="0" w:color="auto"/>
              </w:pBdr>
              <w:bidi w:val="0"/>
              <w:spacing w:line="120" w:lineRule="exact"/>
              <w:rPr>
                <w:rFonts w:asciiTheme="minorBidi" w:hAnsiTheme="minorBidi" w:cstheme="minorBidi"/>
                <w:sz w:val="18"/>
                <w:szCs w:val="18"/>
                <w:rtl/>
              </w:rPr>
            </w:pPr>
          </w:p>
        </w:tc>
        <w:tc>
          <w:tcPr>
            <w:tcW w:w="572" w:type="pct"/>
          </w:tcPr>
          <w:p w14:paraId="35E5A51C" w14:textId="77777777" w:rsidR="0022555B" w:rsidRPr="00886EE2" w:rsidRDefault="0022555B" w:rsidP="00400DD1">
            <w:pPr>
              <w:pStyle w:val="-121"/>
              <w:pBdr>
                <w:top w:val="none" w:sz="0" w:space="0" w:color="auto"/>
              </w:pBdr>
              <w:bidi w:val="0"/>
              <w:spacing w:line="120" w:lineRule="exact"/>
              <w:rPr>
                <w:rFonts w:asciiTheme="minorBidi" w:hAnsiTheme="minorBidi" w:cstheme="minorBidi"/>
                <w:sz w:val="18"/>
                <w:szCs w:val="18"/>
                <w:rtl/>
              </w:rPr>
            </w:pPr>
          </w:p>
        </w:tc>
        <w:tc>
          <w:tcPr>
            <w:tcW w:w="302" w:type="pct"/>
          </w:tcPr>
          <w:p w14:paraId="45FBE841" w14:textId="77777777" w:rsidR="0022555B" w:rsidRPr="00886EE2" w:rsidRDefault="0022555B" w:rsidP="00400DD1">
            <w:pPr>
              <w:pStyle w:val="-121"/>
              <w:pBdr>
                <w:top w:val="none" w:sz="0" w:space="0" w:color="auto"/>
              </w:pBdr>
              <w:bidi w:val="0"/>
              <w:spacing w:line="120" w:lineRule="exact"/>
              <w:rPr>
                <w:rFonts w:asciiTheme="minorBidi" w:hAnsiTheme="minorBidi" w:cstheme="minorBidi"/>
                <w:sz w:val="18"/>
                <w:szCs w:val="18"/>
                <w:rtl/>
              </w:rPr>
            </w:pPr>
          </w:p>
        </w:tc>
        <w:tc>
          <w:tcPr>
            <w:tcW w:w="514" w:type="pct"/>
          </w:tcPr>
          <w:p w14:paraId="6C09F195" w14:textId="77777777" w:rsidR="0022555B" w:rsidRPr="00886EE2" w:rsidRDefault="0022555B" w:rsidP="00400DD1">
            <w:pPr>
              <w:pStyle w:val="-121"/>
              <w:pBdr>
                <w:top w:val="none" w:sz="0" w:space="0" w:color="auto"/>
              </w:pBdr>
              <w:bidi w:val="0"/>
              <w:spacing w:line="120" w:lineRule="exact"/>
              <w:rPr>
                <w:rFonts w:asciiTheme="minorBidi" w:hAnsiTheme="minorBidi" w:cstheme="minorBidi"/>
                <w:sz w:val="18"/>
                <w:szCs w:val="18"/>
                <w:rtl/>
              </w:rPr>
            </w:pPr>
          </w:p>
        </w:tc>
        <w:tc>
          <w:tcPr>
            <w:tcW w:w="627" w:type="pct"/>
          </w:tcPr>
          <w:p w14:paraId="5485D784" w14:textId="77777777" w:rsidR="0022555B" w:rsidRPr="00886EE2" w:rsidRDefault="0022555B" w:rsidP="00400DD1">
            <w:pPr>
              <w:pStyle w:val="-121"/>
              <w:pBdr>
                <w:top w:val="none" w:sz="0" w:space="0" w:color="auto"/>
              </w:pBdr>
              <w:bidi w:val="0"/>
              <w:spacing w:line="120" w:lineRule="exact"/>
              <w:rPr>
                <w:rFonts w:asciiTheme="minorBidi" w:hAnsiTheme="minorBidi" w:cstheme="minorBidi"/>
                <w:sz w:val="18"/>
                <w:szCs w:val="18"/>
                <w:rtl/>
              </w:rPr>
            </w:pPr>
          </w:p>
        </w:tc>
      </w:tr>
      <w:tr w:rsidR="0022555B" w:rsidRPr="00886EE2" w14:paraId="4E310713" w14:textId="77777777" w:rsidTr="00400DD1">
        <w:tblPrEx>
          <w:tblLook w:val="01E0" w:firstRow="1" w:lastRow="1" w:firstColumn="1" w:lastColumn="1" w:noHBand="0" w:noVBand="0"/>
        </w:tblPrEx>
        <w:trPr>
          <w:trHeight w:val="259"/>
        </w:trPr>
        <w:tc>
          <w:tcPr>
            <w:tcW w:w="477" w:type="pct"/>
          </w:tcPr>
          <w:p w14:paraId="63B109EF" w14:textId="77777777" w:rsidR="0022555B" w:rsidRPr="00886EE2" w:rsidRDefault="0022555B" w:rsidP="00400DD1">
            <w:pPr>
              <w:pStyle w:val="-7"/>
              <w:rPr>
                <w:rFonts w:asciiTheme="minorBidi" w:hAnsiTheme="minorBidi" w:cstheme="minorBidi"/>
                <w:sz w:val="18"/>
                <w:szCs w:val="18"/>
                <w:rtl/>
              </w:rPr>
            </w:pPr>
          </w:p>
        </w:tc>
        <w:tc>
          <w:tcPr>
            <w:tcW w:w="190" w:type="pct"/>
            <w:vAlign w:val="bottom"/>
          </w:tcPr>
          <w:p w14:paraId="19D6FFB3" w14:textId="77777777" w:rsidR="0022555B" w:rsidRPr="00886EE2" w:rsidRDefault="0022555B" w:rsidP="00400DD1">
            <w:pPr>
              <w:pStyle w:val="-7"/>
              <w:rPr>
                <w:rFonts w:asciiTheme="minorBidi" w:hAnsiTheme="minorBidi" w:cstheme="minorBidi"/>
                <w:sz w:val="18"/>
                <w:szCs w:val="18"/>
                <w:rtl/>
              </w:rPr>
            </w:pPr>
          </w:p>
        </w:tc>
        <w:tc>
          <w:tcPr>
            <w:tcW w:w="1416" w:type="pct"/>
            <w:vAlign w:val="bottom"/>
          </w:tcPr>
          <w:p w14:paraId="681C42C0" w14:textId="77777777" w:rsidR="0022555B" w:rsidRPr="00886EE2" w:rsidRDefault="0022555B" w:rsidP="00400DD1">
            <w:pPr>
              <w:pStyle w:val="-b"/>
              <w:spacing w:line="240" w:lineRule="auto"/>
              <w:ind w:left="0" w:firstLine="57"/>
              <w:rPr>
                <w:rFonts w:asciiTheme="minorBidi" w:hAnsiTheme="minorBidi" w:cstheme="minorBidi"/>
                <w:sz w:val="18"/>
                <w:szCs w:val="18"/>
                <w:rtl/>
              </w:rPr>
            </w:pPr>
            <w:r w:rsidRPr="00886EE2">
              <w:rPr>
                <w:rFonts w:asciiTheme="minorBidi" w:hAnsiTheme="minorBidi" w:cstheme="minorBidi"/>
                <w:sz w:val="18"/>
                <w:szCs w:val="18"/>
                <w:rtl/>
              </w:rPr>
              <w:t xml:space="preserve">סך הכל </w:t>
            </w:r>
          </w:p>
        </w:tc>
        <w:tc>
          <w:tcPr>
            <w:tcW w:w="347" w:type="pct"/>
            <w:vAlign w:val="bottom"/>
          </w:tcPr>
          <w:p w14:paraId="1F39BFF4" w14:textId="77777777" w:rsidR="0022555B" w:rsidRPr="00886EE2" w:rsidRDefault="0022555B" w:rsidP="00400DD1">
            <w:pPr>
              <w:pStyle w:val="-f1"/>
              <w:pBdr>
                <w:top w:val="none" w:sz="0" w:space="0" w:color="auto"/>
                <w:bottom w:val="doub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55" w:type="pct"/>
            <w:vAlign w:val="bottom"/>
          </w:tcPr>
          <w:p w14:paraId="0585C551" w14:textId="77777777" w:rsidR="0022555B" w:rsidRPr="00886EE2" w:rsidRDefault="0022555B" w:rsidP="00400DD1">
            <w:pPr>
              <w:pStyle w:val="-f1"/>
              <w:pBdr>
                <w:top w:val="none" w:sz="0" w:space="0" w:color="auto"/>
                <w:bottom w:val="doub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72" w:type="pct"/>
            <w:vAlign w:val="bottom"/>
          </w:tcPr>
          <w:p w14:paraId="77EF6773" w14:textId="77777777" w:rsidR="0022555B" w:rsidRPr="00886EE2" w:rsidRDefault="0022555B" w:rsidP="00400DD1">
            <w:pPr>
              <w:pStyle w:val="-f1"/>
              <w:pBdr>
                <w:top w:val="none" w:sz="0" w:space="0" w:color="auto"/>
                <w:bottom w:val="doub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302" w:type="pct"/>
            <w:vAlign w:val="bottom"/>
          </w:tcPr>
          <w:p w14:paraId="36609B5E" w14:textId="77777777" w:rsidR="0022555B" w:rsidRPr="00886EE2" w:rsidRDefault="0022555B" w:rsidP="00400DD1">
            <w:pPr>
              <w:pStyle w:val="-f1"/>
              <w:pBdr>
                <w:top w:val="none" w:sz="0" w:space="0" w:color="auto"/>
                <w:bottom w:val="doub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514" w:type="pct"/>
            <w:vAlign w:val="bottom"/>
          </w:tcPr>
          <w:p w14:paraId="333530E7" w14:textId="77777777" w:rsidR="0022555B" w:rsidRPr="00886EE2" w:rsidRDefault="0022555B" w:rsidP="00400DD1">
            <w:pPr>
              <w:pStyle w:val="-f1"/>
              <w:pBdr>
                <w:top w:val="none" w:sz="0" w:space="0" w:color="auto"/>
                <w:bottom w:val="doub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c>
          <w:tcPr>
            <w:tcW w:w="627" w:type="pct"/>
            <w:vAlign w:val="bottom"/>
          </w:tcPr>
          <w:p w14:paraId="1AA1D9E6" w14:textId="77777777" w:rsidR="0022555B" w:rsidRPr="00886EE2" w:rsidRDefault="0022555B" w:rsidP="00400DD1">
            <w:pPr>
              <w:pStyle w:val="-f1"/>
              <w:pBdr>
                <w:top w:val="none" w:sz="0" w:space="0" w:color="auto"/>
                <w:bottom w:val="double" w:sz="4" w:space="1" w:color="auto"/>
              </w:pBdr>
              <w:rPr>
                <w:rFonts w:asciiTheme="minorBidi" w:hAnsiTheme="minorBidi" w:cstheme="minorBidi"/>
                <w:sz w:val="18"/>
                <w:szCs w:val="18"/>
                <w:rtl/>
              </w:rPr>
            </w:pPr>
            <w:r w:rsidRPr="00886EE2">
              <w:rPr>
                <w:rFonts w:asciiTheme="minorBidi" w:hAnsiTheme="minorBidi" w:cstheme="minorBidi"/>
                <w:sz w:val="18"/>
                <w:szCs w:val="18"/>
                <w:rtl/>
              </w:rPr>
              <w:t xml:space="preserve"> 0</w:t>
            </w:r>
          </w:p>
        </w:tc>
      </w:tr>
      <w:tr w:rsidR="0022555B" w:rsidRPr="00886EE2" w14:paraId="135E94B3" w14:textId="77777777" w:rsidTr="00400DD1">
        <w:tblPrEx>
          <w:tblLook w:val="01E0" w:firstRow="1" w:lastRow="1" w:firstColumn="1" w:lastColumn="1" w:noHBand="0" w:noVBand="0"/>
        </w:tblPrEx>
        <w:trPr>
          <w:trHeight w:val="63"/>
        </w:trPr>
        <w:tc>
          <w:tcPr>
            <w:tcW w:w="477" w:type="pct"/>
          </w:tcPr>
          <w:p w14:paraId="49E9386C" w14:textId="77777777" w:rsidR="0022555B" w:rsidRPr="00886EE2" w:rsidRDefault="0022555B" w:rsidP="00400DD1">
            <w:pPr>
              <w:pStyle w:val="-7"/>
              <w:bidi w:val="0"/>
              <w:spacing w:line="60" w:lineRule="exact"/>
              <w:rPr>
                <w:rFonts w:asciiTheme="minorBidi" w:hAnsiTheme="minorBidi" w:cstheme="minorBidi"/>
                <w:sz w:val="18"/>
                <w:szCs w:val="18"/>
                <w:rtl/>
              </w:rPr>
            </w:pPr>
          </w:p>
        </w:tc>
        <w:tc>
          <w:tcPr>
            <w:tcW w:w="190" w:type="pct"/>
            <w:vAlign w:val="bottom"/>
          </w:tcPr>
          <w:p w14:paraId="13265CE1" w14:textId="77777777" w:rsidR="0022555B" w:rsidRPr="00886EE2" w:rsidRDefault="0022555B" w:rsidP="00400DD1">
            <w:pPr>
              <w:pStyle w:val="-7"/>
              <w:bidi w:val="0"/>
              <w:spacing w:line="60" w:lineRule="exact"/>
              <w:rPr>
                <w:rFonts w:asciiTheme="minorBidi" w:hAnsiTheme="minorBidi" w:cstheme="minorBidi"/>
                <w:sz w:val="18"/>
                <w:szCs w:val="18"/>
                <w:rtl/>
              </w:rPr>
            </w:pPr>
          </w:p>
        </w:tc>
        <w:tc>
          <w:tcPr>
            <w:tcW w:w="1416" w:type="pct"/>
            <w:vAlign w:val="bottom"/>
          </w:tcPr>
          <w:p w14:paraId="41C5EED1" w14:textId="77777777" w:rsidR="0022555B" w:rsidRPr="00886EE2" w:rsidRDefault="0022555B" w:rsidP="00400DD1">
            <w:pPr>
              <w:pStyle w:val="-b"/>
              <w:bidi w:val="0"/>
              <w:spacing w:line="60" w:lineRule="exact"/>
              <w:jc w:val="both"/>
              <w:rPr>
                <w:rFonts w:asciiTheme="minorBidi" w:hAnsiTheme="minorBidi" w:cstheme="minorBidi"/>
                <w:sz w:val="18"/>
                <w:szCs w:val="18"/>
                <w:rtl/>
              </w:rPr>
            </w:pPr>
          </w:p>
        </w:tc>
        <w:tc>
          <w:tcPr>
            <w:tcW w:w="347" w:type="pct"/>
            <w:vAlign w:val="bottom"/>
          </w:tcPr>
          <w:p w14:paraId="6167A1EA" w14:textId="77777777" w:rsidR="0022555B" w:rsidRPr="00886EE2" w:rsidRDefault="0022555B" w:rsidP="00400DD1">
            <w:pPr>
              <w:pStyle w:val="-212"/>
              <w:pBdr>
                <w:top w:val="none" w:sz="0" w:space="0" w:color="auto"/>
              </w:pBdr>
              <w:bidi w:val="0"/>
              <w:spacing w:line="60" w:lineRule="exact"/>
              <w:jc w:val="both"/>
              <w:rPr>
                <w:rFonts w:asciiTheme="minorBidi" w:hAnsiTheme="minorBidi" w:cstheme="minorBidi"/>
                <w:sz w:val="18"/>
                <w:szCs w:val="18"/>
                <w:rtl/>
              </w:rPr>
            </w:pPr>
          </w:p>
        </w:tc>
        <w:tc>
          <w:tcPr>
            <w:tcW w:w="555" w:type="pct"/>
            <w:vAlign w:val="bottom"/>
          </w:tcPr>
          <w:p w14:paraId="5FBB6D9D" w14:textId="77777777" w:rsidR="0022555B" w:rsidRPr="00886EE2" w:rsidRDefault="0022555B" w:rsidP="00400DD1">
            <w:pPr>
              <w:pStyle w:val="-212"/>
              <w:pBdr>
                <w:top w:val="none" w:sz="0" w:space="0" w:color="auto"/>
              </w:pBdr>
              <w:bidi w:val="0"/>
              <w:spacing w:line="60" w:lineRule="exact"/>
              <w:jc w:val="both"/>
              <w:rPr>
                <w:rFonts w:asciiTheme="minorBidi" w:hAnsiTheme="minorBidi" w:cstheme="minorBidi"/>
                <w:sz w:val="18"/>
                <w:szCs w:val="18"/>
                <w:rtl/>
              </w:rPr>
            </w:pPr>
          </w:p>
        </w:tc>
        <w:tc>
          <w:tcPr>
            <w:tcW w:w="572" w:type="pct"/>
            <w:vAlign w:val="bottom"/>
          </w:tcPr>
          <w:p w14:paraId="3469178C" w14:textId="77777777" w:rsidR="0022555B" w:rsidRPr="00886EE2" w:rsidRDefault="0022555B" w:rsidP="00400DD1">
            <w:pPr>
              <w:pStyle w:val="-212"/>
              <w:pBdr>
                <w:top w:val="none" w:sz="0" w:space="0" w:color="auto"/>
              </w:pBdr>
              <w:bidi w:val="0"/>
              <w:spacing w:line="60" w:lineRule="exact"/>
              <w:jc w:val="both"/>
              <w:rPr>
                <w:rFonts w:asciiTheme="minorBidi" w:hAnsiTheme="minorBidi" w:cstheme="minorBidi"/>
                <w:sz w:val="18"/>
                <w:szCs w:val="18"/>
                <w:rtl/>
              </w:rPr>
            </w:pPr>
          </w:p>
        </w:tc>
        <w:tc>
          <w:tcPr>
            <w:tcW w:w="302" w:type="pct"/>
          </w:tcPr>
          <w:p w14:paraId="3EB924D6" w14:textId="77777777" w:rsidR="0022555B" w:rsidRPr="00886EE2" w:rsidRDefault="0022555B" w:rsidP="00400DD1">
            <w:pPr>
              <w:pStyle w:val="-212"/>
              <w:pBdr>
                <w:top w:val="none" w:sz="0" w:space="0" w:color="auto"/>
              </w:pBdr>
              <w:bidi w:val="0"/>
              <w:spacing w:line="60" w:lineRule="exact"/>
              <w:jc w:val="both"/>
              <w:rPr>
                <w:rFonts w:asciiTheme="minorBidi" w:hAnsiTheme="minorBidi" w:cstheme="minorBidi"/>
                <w:sz w:val="18"/>
                <w:szCs w:val="18"/>
                <w:rtl/>
              </w:rPr>
            </w:pPr>
          </w:p>
        </w:tc>
        <w:tc>
          <w:tcPr>
            <w:tcW w:w="514" w:type="pct"/>
          </w:tcPr>
          <w:p w14:paraId="5FC6EA73" w14:textId="77777777" w:rsidR="0022555B" w:rsidRPr="00886EE2" w:rsidRDefault="0022555B" w:rsidP="00400DD1">
            <w:pPr>
              <w:pStyle w:val="-212"/>
              <w:pBdr>
                <w:top w:val="none" w:sz="0" w:space="0" w:color="auto"/>
              </w:pBdr>
              <w:bidi w:val="0"/>
              <w:spacing w:line="60" w:lineRule="exact"/>
              <w:jc w:val="both"/>
              <w:rPr>
                <w:rFonts w:asciiTheme="minorBidi" w:hAnsiTheme="minorBidi" w:cstheme="minorBidi"/>
                <w:sz w:val="18"/>
                <w:szCs w:val="18"/>
                <w:rtl/>
              </w:rPr>
            </w:pPr>
          </w:p>
        </w:tc>
        <w:tc>
          <w:tcPr>
            <w:tcW w:w="627" w:type="pct"/>
          </w:tcPr>
          <w:p w14:paraId="6D1D2D45" w14:textId="77777777" w:rsidR="0022555B" w:rsidRPr="00886EE2" w:rsidRDefault="0022555B" w:rsidP="00400DD1">
            <w:pPr>
              <w:pStyle w:val="-212"/>
              <w:pBdr>
                <w:top w:val="none" w:sz="0" w:space="0" w:color="auto"/>
              </w:pBdr>
              <w:bidi w:val="0"/>
              <w:spacing w:line="60" w:lineRule="exact"/>
              <w:jc w:val="both"/>
              <w:rPr>
                <w:rFonts w:asciiTheme="minorBidi" w:hAnsiTheme="minorBidi" w:cstheme="minorBidi"/>
                <w:sz w:val="18"/>
                <w:szCs w:val="18"/>
                <w:rtl/>
              </w:rPr>
            </w:pPr>
          </w:p>
        </w:tc>
      </w:tr>
    </w:tbl>
    <w:p w14:paraId="5B30B17F" w14:textId="77777777" w:rsidR="00217155" w:rsidRDefault="00217155">
      <w:pPr>
        <w:rPr>
          <w:rtl/>
        </w:rPr>
      </w:pPr>
      <w:bookmarkStart w:id="48" w:name="_Hlk102294888"/>
    </w:p>
    <w:bookmarkEnd w:id="48"/>
    <w:tbl>
      <w:tblPr>
        <w:bidiVisual/>
        <w:tblW w:w="5000" w:type="pct"/>
        <w:tblInd w:w="-14" w:type="dxa"/>
        <w:tblLayout w:type="fixed"/>
        <w:tblLook w:val="01E0" w:firstRow="1" w:lastRow="1" w:firstColumn="1" w:lastColumn="1" w:noHBand="0" w:noVBand="0"/>
      </w:tblPr>
      <w:tblGrid>
        <w:gridCol w:w="993"/>
        <w:gridCol w:w="425"/>
        <w:gridCol w:w="3698"/>
        <w:gridCol w:w="1275"/>
        <w:gridCol w:w="1264"/>
        <w:gridCol w:w="1134"/>
        <w:gridCol w:w="1418"/>
      </w:tblGrid>
      <w:tr w:rsidR="004E550F" w:rsidRPr="00543C25" w14:paraId="44497D31" w14:textId="77777777" w:rsidTr="00E63B86">
        <w:trPr>
          <w:trHeight w:val="259"/>
        </w:trPr>
        <w:tc>
          <w:tcPr>
            <w:tcW w:w="993" w:type="dxa"/>
          </w:tcPr>
          <w:p w14:paraId="2031ED0A" w14:textId="4F406A30" w:rsidR="004E550F" w:rsidRPr="004E550F" w:rsidRDefault="004E550F" w:rsidP="00400DD1">
            <w:pPr>
              <w:pStyle w:val="-7"/>
              <w:spacing w:line="240" w:lineRule="auto"/>
              <w:jc w:val="left"/>
              <w:rPr>
                <w:sz w:val="16"/>
                <w:szCs w:val="16"/>
                <w:rtl/>
              </w:rPr>
            </w:pPr>
          </w:p>
        </w:tc>
        <w:tc>
          <w:tcPr>
            <w:tcW w:w="425" w:type="dxa"/>
            <w:vAlign w:val="bottom"/>
          </w:tcPr>
          <w:p w14:paraId="365F6CDB" w14:textId="77777777" w:rsidR="004E550F" w:rsidRPr="00543C25" w:rsidRDefault="004E550F" w:rsidP="00400DD1">
            <w:pPr>
              <w:pStyle w:val="-7"/>
              <w:spacing w:line="240" w:lineRule="auto"/>
              <w:rPr>
                <w:rtl/>
              </w:rPr>
            </w:pPr>
          </w:p>
        </w:tc>
        <w:tc>
          <w:tcPr>
            <w:tcW w:w="3698" w:type="dxa"/>
            <w:vAlign w:val="bottom"/>
          </w:tcPr>
          <w:p w14:paraId="05DFDE56" w14:textId="77777777" w:rsidR="004E550F" w:rsidRPr="00F00F80" w:rsidRDefault="004E550F" w:rsidP="00400DD1">
            <w:pPr>
              <w:pStyle w:val="-0"/>
              <w:rPr>
                <w:sz w:val="18"/>
                <w:szCs w:val="18"/>
                <w:rtl/>
              </w:rPr>
            </w:pPr>
          </w:p>
        </w:tc>
        <w:tc>
          <w:tcPr>
            <w:tcW w:w="5091" w:type="dxa"/>
            <w:gridSpan w:val="4"/>
            <w:vAlign w:val="bottom"/>
          </w:tcPr>
          <w:p w14:paraId="7861355F" w14:textId="77777777" w:rsidR="004E550F" w:rsidRPr="004E550F" w:rsidRDefault="004E550F" w:rsidP="00400DD1">
            <w:pPr>
              <w:pStyle w:val="-4"/>
              <w:rPr>
                <w:sz w:val="19"/>
                <w:szCs w:val="19"/>
                <w:rtl/>
              </w:rPr>
            </w:pPr>
            <w:r w:rsidRPr="004E550F">
              <w:rPr>
                <w:rFonts w:hint="eastAsia"/>
                <w:sz w:val="19"/>
                <w:szCs w:val="19"/>
                <w:rtl/>
              </w:rPr>
              <w:t>ארגונים</w:t>
            </w:r>
            <w:r w:rsidRPr="004E550F">
              <w:rPr>
                <w:sz w:val="19"/>
                <w:szCs w:val="19"/>
                <w:rtl/>
              </w:rPr>
              <w:t xml:space="preserve"> מחדש </w:t>
            </w:r>
            <w:r w:rsidRPr="004E550F">
              <w:rPr>
                <w:rFonts w:hint="cs"/>
                <w:sz w:val="19"/>
                <w:szCs w:val="19"/>
                <w:rtl/>
              </w:rPr>
              <w:t>ש</w:t>
            </w:r>
            <w:r w:rsidRPr="004E550F">
              <w:rPr>
                <w:rFonts w:hint="eastAsia"/>
                <w:sz w:val="19"/>
                <w:szCs w:val="19"/>
                <w:rtl/>
              </w:rPr>
              <w:t>כשלו</w:t>
            </w:r>
            <w:r w:rsidRPr="004E550F">
              <w:rPr>
                <w:rFonts w:hint="cs"/>
                <w:sz w:val="19"/>
                <w:szCs w:val="19"/>
                <w:rtl/>
              </w:rPr>
              <w:t xml:space="preserve"> </w:t>
            </w:r>
            <w:r w:rsidRPr="004E550F">
              <w:rPr>
                <w:rFonts w:hint="cs"/>
                <w:sz w:val="19"/>
                <w:szCs w:val="19"/>
                <w:vertAlign w:val="superscript"/>
                <w:rtl/>
              </w:rPr>
              <w:t>(א)</w:t>
            </w:r>
          </w:p>
        </w:tc>
      </w:tr>
      <w:tr w:rsidR="004E550F" w:rsidRPr="00543C25" w14:paraId="53A6BE1C" w14:textId="77777777" w:rsidTr="00E63B86">
        <w:trPr>
          <w:trHeight w:val="259"/>
        </w:trPr>
        <w:tc>
          <w:tcPr>
            <w:tcW w:w="993" w:type="dxa"/>
          </w:tcPr>
          <w:p w14:paraId="5254880F" w14:textId="77777777" w:rsidR="004E550F" w:rsidRDefault="004E550F" w:rsidP="00400DD1">
            <w:pPr>
              <w:pStyle w:val="-7"/>
              <w:spacing w:line="240" w:lineRule="auto"/>
              <w:rPr>
                <w:sz w:val="14"/>
                <w:szCs w:val="14"/>
                <w:rtl/>
              </w:rPr>
            </w:pPr>
          </w:p>
        </w:tc>
        <w:tc>
          <w:tcPr>
            <w:tcW w:w="425" w:type="dxa"/>
            <w:vAlign w:val="bottom"/>
          </w:tcPr>
          <w:p w14:paraId="0FF47753" w14:textId="77777777" w:rsidR="004E550F" w:rsidRDefault="004E550F" w:rsidP="00400DD1">
            <w:pPr>
              <w:pStyle w:val="-7"/>
              <w:spacing w:line="240" w:lineRule="auto"/>
              <w:rPr>
                <w:rtl/>
              </w:rPr>
            </w:pPr>
          </w:p>
        </w:tc>
        <w:tc>
          <w:tcPr>
            <w:tcW w:w="3698" w:type="dxa"/>
            <w:vAlign w:val="bottom"/>
          </w:tcPr>
          <w:p w14:paraId="309276C2" w14:textId="77777777" w:rsidR="004E550F" w:rsidRPr="00F00F80" w:rsidRDefault="004E550F" w:rsidP="00400DD1">
            <w:pPr>
              <w:pStyle w:val="-0"/>
              <w:rPr>
                <w:sz w:val="18"/>
                <w:szCs w:val="18"/>
                <w:rtl/>
              </w:rPr>
            </w:pPr>
          </w:p>
        </w:tc>
        <w:tc>
          <w:tcPr>
            <w:tcW w:w="2539" w:type="dxa"/>
            <w:gridSpan w:val="2"/>
            <w:vAlign w:val="bottom"/>
          </w:tcPr>
          <w:p w14:paraId="7DE2AE84" w14:textId="779FC82B" w:rsidR="004E550F" w:rsidRPr="00F00F80" w:rsidRDefault="004E550F" w:rsidP="00400DD1">
            <w:pPr>
              <w:pStyle w:val="-4"/>
              <w:pBdr>
                <w:bottom w:val="single" w:sz="4" w:space="1" w:color="auto"/>
              </w:pBdr>
              <w:rPr>
                <w:sz w:val="18"/>
                <w:szCs w:val="18"/>
                <w:rtl/>
              </w:rPr>
            </w:pPr>
            <w:r w:rsidRPr="00080FB5">
              <w:rPr>
                <w:rFonts w:hint="cs"/>
                <w:sz w:val="17"/>
                <w:szCs w:val="17"/>
                <w:rtl/>
              </w:rPr>
              <w:t xml:space="preserve">בשלושה חודשים שהסתיימו ביום 30 ביוני </w:t>
            </w:r>
            <w:r w:rsidRPr="00080FB5">
              <w:rPr>
                <w:sz w:val="17"/>
                <w:szCs w:val="17"/>
                <w:rtl/>
              </w:rPr>
              <w:fldChar w:fldCharType="begin"/>
            </w:r>
            <w:r w:rsidRPr="00080FB5">
              <w:rPr>
                <w:sz w:val="17"/>
                <w:szCs w:val="17"/>
                <w:rtl/>
              </w:rPr>
              <w:instrText xml:space="preserve"> </w:instrText>
            </w:r>
            <w:r w:rsidRPr="00080FB5">
              <w:rPr>
                <w:rFonts w:hint="cs"/>
                <w:sz w:val="17"/>
                <w:szCs w:val="17"/>
                <w:rtl/>
              </w:rPr>
              <w:instrText xml:space="preserve">= </w:instrText>
            </w:r>
            <w:r w:rsidRPr="00080FB5">
              <w:rPr>
                <w:rFonts w:hint="cs"/>
                <w:sz w:val="17"/>
                <w:szCs w:val="17"/>
              </w:rPr>
              <w:instrText>CY</w:instrText>
            </w:r>
            <w:r>
              <w:rPr>
                <w:sz w:val="17"/>
                <w:szCs w:val="17"/>
              </w:rPr>
              <w:instrText>-1</w:instrText>
            </w:r>
            <w:r w:rsidRPr="00080FB5">
              <w:rPr>
                <w:rFonts w:hint="cs"/>
                <w:sz w:val="17"/>
                <w:szCs w:val="17"/>
              </w:rPr>
              <w:instrText xml:space="preserve"> \* MERGEFORMAT</w:instrText>
            </w:r>
            <w:r w:rsidRPr="00080FB5">
              <w:rPr>
                <w:sz w:val="17"/>
                <w:szCs w:val="17"/>
                <w:rtl/>
              </w:rPr>
              <w:instrText xml:space="preserve"> </w:instrText>
            </w:r>
            <w:r w:rsidRPr="00080FB5">
              <w:rPr>
                <w:sz w:val="17"/>
                <w:szCs w:val="17"/>
                <w:rtl/>
              </w:rPr>
              <w:fldChar w:fldCharType="separate"/>
            </w:r>
            <w:r w:rsidR="003A584F">
              <w:rPr>
                <w:noProof/>
                <w:sz w:val="17"/>
                <w:szCs w:val="17"/>
                <w:rtl/>
              </w:rPr>
              <w:t>2023</w:t>
            </w:r>
            <w:r w:rsidRPr="00080FB5">
              <w:rPr>
                <w:sz w:val="17"/>
                <w:szCs w:val="17"/>
                <w:rtl/>
              </w:rPr>
              <w:fldChar w:fldCharType="end"/>
            </w:r>
            <w:r w:rsidRPr="00080FB5">
              <w:rPr>
                <w:rFonts w:hint="cs"/>
                <w:sz w:val="17"/>
                <w:szCs w:val="17"/>
                <w:rtl/>
              </w:rPr>
              <w:t xml:space="preserve">  </w:t>
            </w:r>
            <w:r w:rsidRPr="001F0989">
              <w:rPr>
                <w:rFonts w:hint="cs"/>
                <w:b w:val="0"/>
                <w:bCs w:val="0"/>
                <w:sz w:val="17"/>
                <w:szCs w:val="17"/>
                <w:rtl/>
              </w:rPr>
              <w:t>(בלתי מבוקר)</w:t>
            </w:r>
          </w:p>
        </w:tc>
        <w:tc>
          <w:tcPr>
            <w:tcW w:w="2552" w:type="dxa"/>
            <w:gridSpan w:val="2"/>
          </w:tcPr>
          <w:p w14:paraId="7C4DE713" w14:textId="6C2A8756" w:rsidR="004E550F" w:rsidRPr="00F00F80" w:rsidRDefault="004E550F" w:rsidP="00400DD1">
            <w:pPr>
              <w:pStyle w:val="-4"/>
              <w:rPr>
                <w:sz w:val="18"/>
                <w:szCs w:val="18"/>
                <w:rtl/>
              </w:rPr>
            </w:pPr>
            <w:r w:rsidRPr="00080FB5">
              <w:rPr>
                <w:rFonts w:hint="cs"/>
                <w:sz w:val="17"/>
                <w:szCs w:val="17"/>
                <w:rtl/>
              </w:rPr>
              <w:t xml:space="preserve">בשישה חודשים שהסתיימו ביום 30 ביוני </w:t>
            </w:r>
            <w:r w:rsidRPr="00080FB5">
              <w:rPr>
                <w:sz w:val="17"/>
                <w:szCs w:val="17"/>
                <w:rtl/>
              </w:rPr>
              <w:fldChar w:fldCharType="begin"/>
            </w:r>
            <w:r w:rsidRPr="00080FB5">
              <w:rPr>
                <w:sz w:val="17"/>
                <w:szCs w:val="17"/>
                <w:rtl/>
              </w:rPr>
              <w:instrText xml:space="preserve"> </w:instrText>
            </w:r>
            <w:r w:rsidRPr="00080FB5">
              <w:rPr>
                <w:rFonts w:hint="cs"/>
                <w:sz w:val="17"/>
                <w:szCs w:val="17"/>
                <w:rtl/>
              </w:rPr>
              <w:instrText xml:space="preserve">= </w:instrText>
            </w:r>
            <w:r w:rsidRPr="00080FB5">
              <w:rPr>
                <w:rFonts w:hint="cs"/>
                <w:sz w:val="17"/>
                <w:szCs w:val="17"/>
              </w:rPr>
              <w:instrText>CY</w:instrText>
            </w:r>
            <w:r>
              <w:rPr>
                <w:sz w:val="17"/>
                <w:szCs w:val="17"/>
              </w:rPr>
              <w:instrText>-1</w:instrText>
            </w:r>
            <w:r w:rsidRPr="00080FB5">
              <w:rPr>
                <w:rFonts w:hint="cs"/>
                <w:sz w:val="17"/>
                <w:szCs w:val="17"/>
              </w:rPr>
              <w:instrText xml:space="preserve"> \* MERGEFORMAT</w:instrText>
            </w:r>
            <w:r w:rsidRPr="00080FB5">
              <w:rPr>
                <w:sz w:val="17"/>
                <w:szCs w:val="17"/>
                <w:rtl/>
              </w:rPr>
              <w:instrText xml:space="preserve"> </w:instrText>
            </w:r>
            <w:r w:rsidRPr="00080FB5">
              <w:rPr>
                <w:sz w:val="17"/>
                <w:szCs w:val="17"/>
                <w:rtl/>
              </w:rPr>
              <w:fldChar w:fldCharType="separate"/>
            </w:r>
            <w:r w:rsidR="003A584F">
              <w:rPr>
                <w:noProof/>
                <w:sz w:val="17"/>
                <w:szCs w:val="17"/>
                <w:rtl/>
              </w:rPr>
              <w:t>2023</w:t>
            </w:r>
            <w:r w:rsidRPr="00080FB5">
              <w:rPr>
                <w:sz w:val="17"/>
                <w:szCs w:val="17"/>
                <w:rtl/>
              </w:rPr>
              <w:fldChar w:fldCharType="end"/>
            </w:r>
            <w:r w:rsidRPr="00080FB5">
              <w:rPr>
                <w:rFonts w:hint="cs"/>
                <w:sz w:val="17"/>
                <w:szCs w:val="17"/>
                <w:rtl/>
              </w:rPr>
              <w:t xml:space="preserve">  </w:t>
            </w:r>
            <w:r w:rsidRPr="001F0989">
              <w:rPr>
                <w:rFonts w:hint="cs"/>
                <w:b w:val="0"/>
                <w:bCs w:val="0"/>
                <w:sz w:val="17"/>
                <w:szCs w:val="17"/>
                <w:rtl/>
              </w:rPr>
              <w:t>(בלתי מבוקר)</w:t>
            </w:r>
          </w:p>
        </w:tc>
      </w:tr>
      <w:tr w:rsidR="004E550F" w:rsidRPr="00543C25" w14:paraId="5FCDBE80" w14:textId="77777777" w:rsidTr="00E63B86">
        <w:trPr>
          <w:trHeight w:val="259"/>
        </w:trPr>
        <w:tc>
          <w:tcPr>
            <w:tcW w:w="993" w:type="dxa"/>
          </w:tcPr>
          <w:p w14:paraId="3ED81BE7" w14:textId="77777777" w:rsidR="004E550F" w:rsidRPr="00487B8A" w:rsidRDefault="004E550F" w:rsidP="00400DD1">
            <w:pPr>
              <w:pStyle w:val="-7"/>
              <w:spacing w:line="240" w:lineRule="auto"/>
              <w:rPr>
                <w:sz w:val="14"/>
                <w:szCs w:val="14"/>
                <w:rtl/>
              </w:rPr>
            </w:pPr>
          </w:p>
        </w:tc>
        <w:tc>
          <w:tcPr>
            <w:tcW w:w="425" w:type="dxa"/>
            <w:vAlign w:val="bottom"/>
          </w:tcPr>
          <w:p w14:paraId="03B33DB2" w14:textId="77777777" w:rsidR="004E550F" w:rsidRPr="00543C25" w:rsidRDefault="004E550F" w:rsidP="00400DD1">
            <w:pPr>
              <w:pStyle w:val="-7"/>
              <w:spacing w:line="240" w:lineRule="auto"/>
              <w:rPr>
                <w:rtl/>
              </w:rPr>
            </w:pPr>
          </w:p>
        </w:tc>
        <w:tc>
          <w:tcPr>
            <w:tcW w:w="3698" w:type="dxa"/>
            <w:vAlign w:val="bottom"/>
          </w:tcPr>
          <w:p w14:paraId="0E5281CD" w14:textId="77777777" w:rsidR="004E550F" w:rsidRPr="00F00F80" w:rsidRDefault="004E550F" w:rsidP="00400DD1">
            <w:pPr>
              <w:pStyle w:val="-0"/>
              <w:spacing w:line="192" w:lineRule="auto"/>
              <w:rPr>
                <w:sz w:val="18"/>
                <w:szCs w:val="18"/>
                <w:rtl/>
              </w:rPr>
            </w:pPr>
          </w:p>
        </w:tc>
        <w:tc>
          <w:tcPr>
            <w:tcW w:w="1275" w:type="dxa"/>
            <w:vAlign w:val="bottom"/>
          </w:tcPr>
          <w:p w14:paraId="0E4A486D" w14:textId="77777777" w:rsidR="004E550F" w:rsidRPr="00F00F80" w:rsidRDefault="004E550F" w:rsidP="00400DD1">
            <w:pPr>
              <w:pStyle w:val="-4"/>
              <w:spacing w:line="216" w:lineRule="auto"/>
              <w:rPr>
                <w:sz w:val="18"/>
                <w:szCs w:val="18"/>
                <w:rtl/>
              </w:rPr>
            </w:pPr>
            <w:r w:rsidRPr="00F00F80">
              <w:rPr>
                <w:rFonts w:hint="eastAsia"/>
                <w:sz w:val="18"/>
                <w:szCs w:val="18"/>
                <w:rtl/>
              </w:rPr>
              <w:t>מספר</w:t>
            </w:r>
            <w:r w:rsidRPr="00F00F80">
              <w:rPr>
                <w:sz w:val="18"/>
                <w:szCs w:val="18"/>
                <w:rtl/>
              </w:rPr>
              <w:t xml:space="preserve"> </w:t>
            </w:r>
            <w:r w:rsidRPr="00F00F80">
              <w:rPr>
                <w:sz w:val="18"/>
                <w:szCs w:val="18"/>
                <w:rtl/>
              </w:rPr>
              <w:br/>
            </w:r>
            <w:r w:rsidRPr="00F00F80">
              <w:rPr>
                <w:rFonts w:hint="eastAsia"/>
                <w:sz w:val="18"/>
                <w:szCs w:val="18"/>
                <w:rtl/>
              </w:rPr>
              <w:t>חוזים</w:t>
            </w:r>
          </w:p>
        </w:tc>
        <w:tc>
          <w:tcPr>
            <w:tcW w:w="1264" w:type="dxa"/>
            <w:vAlign w:val="bottom"/>
          </w:tcPr>
          <w:p w14:paraId="52C944DB" w14:textId="77777777" w:rsidR="004E550F" w:rsidRPr="00F00F80" w:rsidRDefault="004E550F" w:rsidP="00400DD1">
            <w:pPr>
              <w:pStyle w:val="-4"/>
              <w:spacing w:line="216" w:lineRule="auto"/>
              <w:rPr>
                <w:sz w:val="18"/>
                <w:szCs w:val="18"/>
                <w:rtl/>
              </w:rPr>
            </w:pPr>
            <w:r w:rsidRPr="00F00F80">
              <w:rPr>
                <w:rFonts w:hint="eastAsia"/>
                <w:sz w:val="18"/>
                <w:szCs w:val="18"/>
                <w:rtl/>
              </w:rPr>
              <w:t>יתרת</w:t>
            </w:r>
            <w:r w:rsidRPr="00F00F80">
              <w:rPr>
                <w:sz w:val="18"/>
                <w:szCs w:val="18"/>
                <w:rtl/>
              </w:rPr>
              <w:t xml:space="preserve"> </w:t>
            </w:r>
            <w:r w:rsidRPr="00F00F80">
              <w:rPr>
                <w:rFonts w:hint="eastAsia"/>
                <w:sz w:val="18"/>
                <w:szCs w:val="18"/>
                <w:rtl/>
              </w:rPr>
              <w:t>חוב</w:t>
            </w:r>
            <w:r w:rsidRPr="00F00F80">
              <w:rPr>
                <w:sz w:val="18"/>
                <w:szCs w:val="18"/>
                <w:rtl/>
              </w:rPr>
              <w:t xml:space="preserve"> </w:t>
            </w:r>
            <w:r w:rsidRPr="00F00F80">
              <w:rPr>
                <w:rFonts w:hint="eastAsia"/>
                <w:sz w:val="18"/>
                <w:szCs w:val="18"/>
                <w:rtl/>
              </w:rPr>
              <w:t>רשומה</w:t>
            </w:r>
          </w:p>
        </w:tc>
        <w:tc>
          <w:tcPr>
            <w:tcW w:w="1134" w:type="dxa"/>
            <w:vAlign w:val="bottom"/>
          </w:tcPr>
          <w:p w14:paraId="0E63556F" w14:textId="77777777" w:rsidR="004E550F" w:rsidRPr="00F00F80" w:rsidRDefault="004E550F" w:rsidP="00400DD1">
            <w:pPr>
              <w:pStyle w:val="-4"/>
              <w:spacing w:line="216" w:lineRule="auto"/>
              <w:rPr>
                <w:sz w:val="18"/>
                <w:szCs w:val="18"/>
                <w:rtl/>
              </w:rPr>
            </w:pPr>
            <w:r w:rsidRPr="00F00F80">
              <w:rPr>
                <w:rFonts w:hint="eastAsia"/>
                <w:sz w:val="18"/>
                <w:szCs w:val="18"/>
                <w:rtl/>
              </w:rPr>
              <w:t>מספר</w:t>
            </w:r>
            <w:r w:rsidRPr="00F00F80">
              <w:rPr>
                <w:sz w:val="18"/>
                <w:szCs w:val="18"/>
                <w:rtl/>
              </w:rPr>
              <w:t xml:space="preserve"> </w:t>
            </w:r>
            <w:r w:rsidRPr="00F00F80">
              <w:rPr>
                <w:sz w:val="18"/>
                <w:szCs w:val="18"/>
                <w:rtl/>
              </w:rPr>
              <w:br/>
            </w:r>
            <w:r w:rsidRPr="00F00F80">
              <w:rPr>
                <w:rFonts w:hint="eastAsia"/>
                <w:sz w:val="18"/>
                <w:szCs w:val="18"/>
                <w:rtl/>
              </w:rPr>
              <w:t>חוזים</w:t>
            </w:r>
          </w:p>
        </w:tc>
        <w:tc>
          <w:tcPr>
            <w:tcW w:w="1418" w:type="dxa"/>
            <w:vAlign w:val="bottom"/>
          </w:tcPr>
          <w:p w14:paraId="13D14EEE" w14:textId="77777777" w:rsidR="004E550F" w:rsidRPr="00F00F80" w:rsidRDefault="004E550F" w:rsidP="00400DD1">
            <w:pPr>
              <w:pStyle w:val="-4"/>
              <w:spacing w:line="216" w:lineRule="auto"/>
              <w:rPr>
                <w:sz w:val="18"/>
                <w:szCs w:val="18"/>
                <w:rtl/>
              </w:rPr>
            </w:pPr>
            <w:r w:rsidRPr="00F00F80">
              <w:rPr>
                <w:rFonts w:hint="eastAsia"/>
                <w:sz w:val="18"/>
                <w:szCs w:val="18"/>
                <w:rtl/>
              </w:rPr>
              <w:t>יתרת</w:t>
            </w:r>
            <w:r w:rsidRPr="00F00F80">
              <w:rPr>
                <w:sz w:val="18"/>
                <w:szCs w:val="18"/>
                <w:rtl/>
              </w:rPr>
              <w:t xml:space="preserve"> </w:t>
            </w:r>
            <w:r w:rsidRPr="00F00F80">
              <w:rPr>
                <w:rFonts w:hint="eastAsia"/>
                <w:sz w:val="18"/>
                <w:szCs w:val="18"/>
                <w:rtl/>
              </w:rPr>
              <w:t>חוב</w:t>
            </w:r>
            <w:r w:rsidRPr="00F00F80">
              <w:rPr>
                <w:sz w:val="18"/>
                <w:szCs w:val="18"/>
                <w:rtl/>
              </w:rPr>
              <w:t xml:space="preserve"> </w:t>
            </w:r>
            <w:r w:rsidRPr="00F00F80">
              <w:rPr>
                <w:rFonts w:hint="eastAsia"/>
                <w:sz w:val="18"/>
                <w:szCs w:val="18"/>
                <w:rtl/>
              </w:rPr>
              <w:t>רשומה</w:t>
            </w:r>
          </w:p>
        </w:tc>
      </w:tr>
      <w:tr w:rsidR="004E550F" w:rsidRPr="00543C25" w14:paraId="58A285AB" w14:textId="77777777" w:rsidTr="00E63B86">
        <w:trPr>
          <w:trHeight w:hRule="exact" w:val="144"/>
        </w:trPr>
        <w:tc>
          <w:tcPr>
            <w:tcW w:w="993" w:type="dxa"/>
          </w:tcPr>
          <w:p w14:paraId="73121D9F" w14:textId="77777777" w:rsidR="004E550F" w:rsidRDefault="004E550F" w:rsidP="00400DD1">
            <w:pPr>
              <w:pStyle w:val="-7"/>
              <w:rPr>
                <w:sz w:val="14"/>
                <w:szCs w:val="14"/>
                <w:rtl/>
              </w:rPr>
            </w:pPr>
          </w:p>
        </w:tc>
        <w:tc>
          <w:tcPr>
            <w:tcW w:w="425" w:type="dxa"/>
            <w:vAlign w:val="bottom"/>
          </w:tcPr>
          <w:p w14:paraId="190756E6" w14:textId="77777777" w:rsidR="004E550F" w:rsidRDefault="004E550F" w:rsidP="00400DD1">
            <w:pPr>
              <w:pStyle w:val="-7"/>
              <w:rPr>
                <w:rtl/>
              </w:rPr>
            </w:pPr>
          </w:p>
        </w:tc>
        <w:tc>
          <w:tcPr>
            <w:tcW w:w="3698" w:type="dxa"/>
            <w:vAlign w:val="bottom"/>
          </w:tcPr>
          <w:p w14:paraId="499D6C07" w14:textId="77777777" w:rsidR="004E550F" w:rsidRPr="00F00F80" w:rsidRDefault="004E550F" w:rsidP="00400DD1">
            <w:pPr>
              <w:pStyle w:val="-21"/>
              <w:ind w:left="432" w:right="144"/>
              <w:rPr>
                <w:sz w:val="18"/>
                <w:szCs w:val="18"/>
                <w:rtl/>
              </w:rPr>
            </w:pPr>
          </w:p>
        </w:tc>
        <w:tc>
          <w:tcPr>
            <w:tcW w:w="1275" w:type="dxa"/>
          </w:tcPr>
          <w:p w14:paraId="37462468" w14:textId="77777777" w:rsidR="004E550F" w:rsidRPr="00F00F80" w:rsidRDefault="004E550F" w:rsidP="00400DD1">
            <w:pPr>
              <w:pStyle w:val="-121"/>
              <w:pBdr>
                <w:top w:val="none" w:sz="0" w:space="0" w:color="auto"/>
              </w:pBdr>
              <w:rPr>
                <w:sz w:val="18"/>
                <w:szCs w:val="18"/>
                <w:rtl/>
              </w:rPr>
            </w:pPr>
          </w:p>
        </w:tc>
        <w:tc>
          <w:tcPr>
            <w:tcW w:w="1264" w:type="dxa"/>
          </w:tcPr>
          <w:p w14:paraId="18EF77C9" w14:textId="77777777" w:rsidR="004E550F" w:rsidRPr="00F00F80" w:rsidRDefault="004E550F" w:rsidP="00400DD1">
            <w:pPr>
              <w:pStyle w:val="-121"/>
              <w:pBdr>
                <w:top w:val="none" w:sz="0" w:space="0" w:color="auto"/>
              </w:pBdr>
              <w:rPr>
                <w:sz w:val="18"/>
                <w:szCs w:val="18"/>
                <w:rtl/>
              </w:rPr>
            </w:pPr>
          </w:p>
        </w:tc>
        <w:tc>
          <w:tcPr>
            <w:tcW w:w="1134" w:type="dxa"/>
          </w:tcPr>
          <w:p w14:paraId="35D310DE" w14:textId="77777777" w:rsidR="004E550F" w:rsidRPr="00F00F80" w:rsidRDefault="004E550F" w:rsidP="00400DD1">
            <w:pPr>
              <w:pStyle w:val="-121"/>
              <w:pBdr>
                <w:top w:val="none" w:sz="0" w:space="0" w:color="auto"/>
              </w:pBdr>
              <w:rPr>
                <w:sz w:val="18"/>
                <w:szCs w:val="18"/>
                <w:rtl/>
              </w:rPr>
            </w:pPr>
          </w:p>
        </w:tc>
        <w:tc>
          <w:tcPr>
            <w:tcW w:w="1418" w:type="dxa"/>
          </w:tcPr>
          <w:p w14:paraId="7D3AECFC" w14:textId="77777777" w:rsidR="004E550F" w:rsidRPr="00F00F80" w:rsidRDefault="004E550F" w:rsidP="00400DD1">
            <w:pPr>
              <w:pStyle w:val="-121"/>
              <w:pBdr>
                <w:top w:val="none" w:sz="0" w:space="0" w:color="auto"/>
              </w:pBdr>
              <w:rPr>
                <w:sz w:val="18"/>
                <w:szCs w:val="18"/>
                <w:rtl/>
              </w:rPr>
            </w:pPr>
          </w:p>
        </w:tc>
      </w:tr>
      <w:tr w:rsidR="004E550F" w:rsidRPr="00543C25" w14:paraId="23FEBD3C" w14:textId="77777777" w:rsidTr="00E63B86">
        <w:trPr>
          <w:trHeight w:val="259"/>
        </w:trPr>
        <w:tc>
          <w:tcPr>
            <w:tcW w:w="993" w:type="dxa"/>
          </w:tcPr>
          <w:p w14:paraId="6DEED05A" w14:textId="77777777" w:rsidR="004E550F" w:rsidRPr="00487B8A" w:rsidRDefault="004E550F" w:rsidP="00400DD1">
            <w:pPr>
              <w:pStyle w:val="-7"/>
              <w:rPr>
                <w:sz w:val="14"/>
                <w:szCs w:val="14"/>
                <w:rtl/>
              </w:rPr>
            </w:pPr>
          </w:p>
        </w:tc>
        <w:tc>
          <w:tcPr>
            <w:tcW w:w="425" w:type="dxa"/>
            <w:vAlign w:val="bottom"/>
          </w:tcPr>
          <w:p w14:paraId="7DBC07B9" w14:textId="77777777" w:rsidR="004E550F" w:rsidRPr="00543C25" w:rsidRDefault="004E550F" w:rsidP="00400DD1">
            <w:pPr>
              <w:pStyle w:val="-7"/>
              <w:rPr>
                <w:rtl/>
              </w:rPr>
            </w:pPr>
          </w:p>
        </w:tc>
        <w:tc>
          <w:tcPr>
            <w:tcW w:w="3698" w:type="dxa"/>
            <w:vAlign w:val="bottom"/>
          </w:tcPr>
          <w:p w14:paraId="31814E4D" w14:textId="77777777" w:rsidR="004E550F" w:rsidRPr="00F00F80" w:rsidRDefault="004E550F" w:rsidP="00400DD1">
            <w:pPr>
              <w:pStyle w:val="-f"/>
              <w:rPr>
                <w:rFonts w:asciiTheme="minorBidi" w:hAnsiTheme="minorBidi" w:cstheme="minorBidi"/>
                <w:sz w:val="18"/>
                <w:szCs w:val="18"/>
                <w:rtl/>
              </w:rPr>
            </w:pPr>
            <w:r w:rsidRPr="00F00F80">
              <w:rPr>
                <w:rFonts w:asciiTheme="minorBidi" w:hAnsiTheme="minorBidi" w:cstheme="minorBidi"/>
                <w:sz w:val="18"/>
                <w:szCs w:val="18"/>
                <w:rtl/>
              </w:rPr>
              <w:t>פעילות לווים בישראל</w:t>
            </w:r>
          </w:p>
        </w:tc>
        <w:tc>
          <w:tcPr>
            <w:tcW w:w="1275" w:type="dxa"/>
            <w:vAlign w:val="bottom"/>
          </w:tcPr>
          <w:p w14:paraId="48A5B0D2" w14:textId="77777777" w:rsidR="004E550F" w:rsidRPr="00F00F80" w:rsidRDefault="004E550F" w:rsidP="00400DD1">
            <w:pPr>
              <w:pStyle w:val="-3"/>
              <w:rPr>
                <w:rFonts w:asciiTheme="minorBidi" w:hAnsiTheme="minorBidi" w:cstheme="minorBidi"/>
                <w:sz w:val="18"/>
                <w:szCs w:val="18"/>
                <w:rtl/>
              </w:rPr>
            </w:pPr>
          </w:p>
        </w:tc>
        <w:tc>
          <w:tcPr>
            <w:tcW w:w="1264" w:type="dxa"/>
            <w:vAlign w:val="bottom"/>
          </w:tcPr>
          <w:p w14:paraId="177D41C2" w14:textId="77777777" w:rsidR="004E550F" w:rsidRPr="00F00F80" w:rsidRDefault="004E550F" w:rsidP="00400DD1">
            <w:pPr>
              <w:pStyle w:val="-3"/>
              <w:rPr>
                <w:rFonts w:asciiTheme="minorBidi" w:hAnsiTheme="minorBidi" w:cstheme="minorBidi"/>
                <w:sz w:val="18"/>
                <w:szCs w:val="18"/>
                <w:rtl/>
              </w:rPr>
            </w:pPr>
          </w:p>
        </w:tc>
        <w:tc>
          <w:tcPr>
            <w:tcW w:w="1134" w:type="dxa"/>
          </w:tcPr>
          <w:p w14:paraId="3B505E4F" w14:textId="77777777" w:rsidR="004E550F" w:rsidRPr="00F00F80" w:rsidRDefault="004E550F" w:rsidP="00400DD1">
            <w:pPr>
              <w:pStyle w:val="-3"/>
              <w:rPr>
                <w:rFonts w:asciiTheme="minorBidi" w:hAnsiTheme="minorBidi" w:cstheme="minorBidi"/>
                <w:sz w:val="18"/>
                <w:szCs w:val="18"/>
                <w:rtl/>
              </w:rPr>
            </w:pPr>
          </w:p>
        </w:tc>
        <w:tc>
          <w:tcPr>
            <w:tcW w:w="1418" w:type="dxa"/>
          </w:tcPr>
          <w:p w14:paraId="153EC455" w14:textId="77777777" w:rsidR="004E550F" w:rsidRPr="00F00F80" w:rsidRDefault="004E550F" w:rsidP="00400DD1">
            <w:pPr>
              <w:pStyle w:val="-3"/>
              <w:rPr>
                <w:rFonts w:asciiTheme="minorBidi" w:hAnsiTheme="minorBidi" w:cstheme="minorBidi"/>
                <w:sz w:val="18"/>
                <w:szCs w:val="18"/>
                <w:rtl/>
              </w:rPr>
            </w:pPr>
          </w:p>
        </w:tc>
      </w:tr>
      <w:tr w:rsidR="004E550F" w:rsidRPr="00543C25" w14:paraId="6D30AFE4" w14:textId="77777777" w:rsidTr="00E63B86">
        <w:trPr>
          <w:trHeight w:val="259"/>
        </w:trPr>
        <w:tc>
          <w:tcPr>
            <w:tcW w:w="993" w:type="dxa"/>
          </w:tcPr>
          <w:p w14:paraId="7EAE5DCA" w14:textId="77777777" w:rsidR="004E550F" w:rsidRPr="00487B8A" w:rsidRDefault="004E550F" w:rsidP="00400DD1">
            <w:pPr>
              <w:pStyle w:val="-7"/>
              <w:rPr>
                <w:sz w:val="14"/>
                <w:szCs w:val="14"/>
                <w:rtl/>
              </w:rPr>
            </w:pPr>
          </w:p>
        </w:tc>
        <w:tc>
          <w:tcPr>
            <w:tcW w:w="425" w:type="dxa"/>
            <w:vAlign w:val="bottom"/>
          </w:tcPr>
          <w:p w14:paraId="02511B07" w14:textId="77777777" w:rsidR="004E550F" w:rsidRPr="00543C25" w:rsidRDefault="004E550F" w:rsidP="00400DD1">
            <w:pPr>
              <w:pStyle w:val="-7"/>
              <w:rPr>
                <w:rtl/>
              </w:rPr>
            </w:pPr>
          </w:p>
        </w:tc>
        <w:tc>
          <w:tcPr>
            <w:tcW w:w="3698" w:type="dxa"/>
            <w:vAlign w:val="bottom"/>
          </w:tcPr>
          <w:p w14:paraId="7C868CC4" w14:textId="77777777" w:rsidR="004E550F" w:rsidRPr="004E550F" w:rsidRDefault="004E550F" w:rsidP="00400DD1">
            <w:pPr>
              <w:pStyle w:val="-0"/>
              <w:spacing w:line="240" w:lineRule="auto"/>
              <w:rPr>
                <w:rFonts w:asciiTheme="minorBidi" w:hAnsiTheme="minorBidi" w:cstheme="minorBidi"/>
                <w:sz w:val="18"/>
                <w:szCs w:val="18"/>
              </w:rPr>
            </w:pPr>
            <w:r w:rsidRPr="004E550F">
              <w:rPr>
                <w:rFonts w:asciiTheme="minorBidi" w:hAnsiTheme="minorBidi" w:cstheme="minorBidi"/>
                <w:sz w:val="18"/>
                <w:szCs w:val="18"/>
                <w:u w:val="single"/>
                <w:rtl/>
              </w:rPr>
              <w:t>ציבור</w:t>
            </w:r>
            <w:r w:rsidRPr="004E550F">
              <w:rPr>
                <w:rFonts w:asciiTheme="minorBidi" w:hAnsiTheme="minorBidi" w:cstheme="minorBidi" w:hint="cs"/>
                <w:sz w:val="18"/>
                <w:szCs w:val="18"/>
                <w:u w:val="single"/>
                <w:rtl/>
              </w:rPr>
              <w:t xml:space="preserve"> -</w:t>
            </w:r>
            <w:r w:rsidRPr="004E550F">
              <w:rPr>
                <w:rFonts w:asciiTheme="minorBidi" w:hAnsiTheme="minorBidi" w:cstheme="minorBidi"/>
                <w:sz w:val="18"/>
                <w:szCs w:val="18"/>
                <w:u w:val="single"/>
                <w:rtl/>
              </w:rPr>
              <w:t xml:space="preserve"> מסחרי</w:t>
            </w:r>
            <w:r w:rsidRPr="004E550F">
              <w:rPr>
                <w:rFonts w:asciiTheme="minorBidi" w:hAnsiTheme="minorBidi" w:cstheme="minorBidi"/>
                <w:sz w:val="18"/>
                <w:szCs w:val="18"/>
                <w:rtl/>
              </w:rPr>
              <w:t xml:space="preserve">: </w:t>
            </w:r>
          </w:p>
        </w:tc>
        <w:tc>
          <w:tcPr>
            <w:tcW w:w="1275" w:type="dxa"/>
            <w:vAlign w:val="bottom"/>
          </w:tcPr>
          <w:p w14:paraId="50D3485F" w14:textId="77777777" w:rsidR="004E550F" w:rsidRPr="00F00F80" w:rsidRDefault="004E550F" w:rsidP="00400DD1">
            <w:pPr>
              <w:pStyle w:val="-3"/>
              <w:rPr>
                <w:rFonts w:asciiTheme="minorBidi" w:hAnsiTheme="minorBidi" w:cstheme="minorBidi"/>
                <w:sz w:val="18"/>
                <w:szCs w:val="18"/>
                <w:rtl/>
              </w:rPr>
            </w:pPr>
          </w:p>
        </w:tc>
        <w:tc>
          <w:tcPr>
            <w:tcW w:w="1264" w:type="dxa"/>
            <w:vAlign w:val="bottom"/>
          </w:tcPr>
          <w:p w14:paraId="548C3728" w14:textId="77777777" w:rsidR="004E550F" w:rsidRPr="00F00F80" w:rsidRDefault="004E550F" w:rsidP="00400DD1">
            <w:pPr>
              <w:pStyle w:val="-3"/>
              <w:rPr>
                <w:rFonts w:asciiTheme="minorBidi" w:hAnsiTheme="minorBidi" w:cstheme="minorBidi"/>
                <w:sz w:val="18"/>
                <w:szCs w:val="18"/>
                <w:rtl/>
              </w:rPr>
            </w:pPr>
          </w:p>
        </w:tc>
        <w:tc>
          <w:tcPr>
            <w:tcW w:w="1134" w:type="dxa"/>
          </w:tcPr>
          <w:p w14:paraId="222CE0C9" w14:textId="77777777" w:rsidR="004E550F" w:rsidRPr="00F00F80" w:rsidRDefault="004E550F" w:rsidP="00400DD1">
            <w:pPr>
              <w:pStyle w:val="-3"/>
              <w:rPr>
                <w:rFonts w:asciiTheme="minorBidi" w:hAnsiTheme="minorBidi" w:cstheme="minorBidi"/>
                <w:sz w:val="18"/>
                <w:szCs w:val="18"/>
                <w:rtl/>
              </w:rPr>
            </w:pPr>
          </w:p>
        </w:tc>
        <w:tc>
          <w:tcPr>
            <w:tcW w:w="1418" w:type="dxa"/>
          </w:tcPr>
          <w:p w14:paraId="2EB83E09" w14:textId="77777777" w:rsidR="004E550F" w:rsidRPr="00F00F80" w:rsidRDefault="004E550F" w:rsidP="00400DD1">
            <w:pPr>
              <w:pStyle w:val="-3"/>
              <w:rPr>
                <w:rFonts w:asciiTheme="minorBidi" w:hAnsiTheme="minorBidi" w:cstheme="minorBidi"/>
                <w:sz w:val="18"/>
                <w:szCs w:val="18"/>
                <w:rtl/>
              </w:rPr>
            </w:pPr>
          </w:p>
        </w:tc>
      </w:tr>
      <w:tr w:rsidR="004E550F" w:rsidRPr="00543C25" w14:paraId="71B9D2D9" w14:textId="77777777" w:rsidTr="00E63B86">
        <w:trPr>
          <w:trHeight w:val="259"/>
        </w:trPr>
        <w:tc>
          <w:tcPr>
            <w:tcW w:w="993" w:type="dxa"/>
          </w:tcPr>
          <w:p w14:paraId="7FD8A8BF" w14:textId="77777777" w:rsidR="004E550F" w:rsidRPr="00487B8A" w:rsidRDefault="004E550F" w:rsidP="00400DD1">
            <w:pPr>
              <w:pStyle w:val="-7"/>
              <w:rPr>
                <w:sz w:val="14"/>
                <w:szCs w:val="14"/>
                <w:rtl/>
              </w:rPr>
            </w:pPr>
          </w:p>
        </w:tc>
        <w:tc>
          <w:tcPr>
            <w:tcW w:w="425" w:type="dxa"/>
            <w:vAlign w:val="bottom"/>
          </w:tcPr>
          <w:p w14:paraId="35CEAF62" w14:textId="77777777" w:rsidR="004E550F" w:rsidRPr="00543C25" w:rsidRDefault="004E550F" w:rsidP="00400DD1">
            <w:pPr>
              <w:pStyle w:val="-7"/>
              <w:rPr>
                <w:rtl/>
              </w:rPr>
            </w:pPr>
          </w:p>
        </w:tc>
        <w:tc>
          <w:tcPr>
            <w:tcW w:w="3698" w:type="dxa"/>
            <w:vAlign w:val="bottom"/>
          </w:tcPr>
          <w:p w14:paraId="552B1027" w14:textId="77777777" w:rsidR="004E550F" w:rsidRPr="00F00F80" w:rsidRDefault="004E550F" w:rsidP="00400DD1">
            <w:pPr>
              <w:ind w:left="720" w:hanging="632"/>
              <w:jc w:val="left"/>
              <w:rPr>
                <w:rFonts w:asciiTheme="minorBidi" w:hAnsiTheme="minorBidi" w:cstheme="minorBidi"/>
                <w:sz w:val="18"/>
                <w:szCs w:val="18"/>
                <w:rtl/>
              </w:rPr>
            </w:pPr>
            <w:r w:rsidRPr="00F00F80">
              <w:rPr>
                <w:rFonts w:asciiTheme="minorBidi" w:hAnsiTheme="minorBidi" w:cstheme="minorBidi"/>
                <w:sz w:val="18"/>
                <w:szCs w:val="18"/>
                <w:rtl/>
              </w:rPr>
              <w:t xml:space="preserve">בינוי ונדל"ן </w:t>
            </w:r>
          </w:p>
        </w:tc>
        <w:tc>
          <w:tcPr>
            <w:tcW w:w="1275" w:type="dxa"/>
            <w:vAlign w:val="bottom"/>
          </w:tcPr>
          <w:p w14:paraId="701781EE" w14:textId="77777777" w:rsidR="004E550F" w:rsidRPr="00F00F80" w:rsidRDefault="004E550F" w:rsidP="00400DD1">
            <w:pPr>
              <w:pStyle w:val="-3"/>
              <w:rPr>
                <w:rFonts w:asciiTheme="minorBidi" w:hAnsiTheme="minorBidi" w:cstheme="minorBidi"/>
                <w:sz w:val="18"/>
                <w:szCs w:val="18"/>
                <w:rtl/>
              </w:rPr>
            </w:pPr>
            <w:r w:rsidRPr="00F00F80">
              <w:rPr>
                <w:rFonts w:asciiTheme="minorBidi" w:hAnsiTheme="minorBidi" w:cstheme="minorBidi"/>
                <w:sz w:val="18"/>
                <w:szCs w:val="18"/>
                <w:rtl/>
              </w:rPr>
              <w:t xml:space="preserve"> 0</w:t>
            </w:r>
          </w:p>
        </w:tc>
        <w:tc>
          <w:tcPr>
            <w:tcW w:w="1264" w:type="dxa"/>
            <w:vAlign w:val="bottom"/>
          </w:tcPr>
          <w:p w14:paraId="50E07887" w14:textId="77777777" w:rsidR="004E550F" w:rsidRPr="00F00F80" w:rsidRDefault="004E550F" w:rsidP="00400DD1">
            <w:pPr>
              <w:pStyle w:val="-3"/>
              <w:rPr>
                <w:rFonts w:asciiTheme="minorBidi" w:hAnsiTheme="minorBidi" w:cstheme="minorBidi"/>
                <w:sz w:val="18"/>
                <w:szCs w:val="18"/>
                <w:rtl/>
              </w:rPr>
            </w:pPr>
            <w:r w:rsidRPr="00F00F80">
              <w:rPr>
                <w:rFonts w:asciiTheme="minorBidi" w:hAnsiTheme="minorBidi" w:cstheme="minorBidi"/>
                <w:sz w:val="18"/>
                <w:szCs w:val="18"/>
                <w:rtl/>
              </w:rPr>
              <w:t xml:space="preserve"> 0</w:t>
            </w:r>
          </w:p>
        </w:tc>
        <w:tc>
          <w:tcPr>
            <w:tcW w:w="1134" w:type="dxa"/>
            <w:vAlign w:val="bottom"/>
          </w:tcPr>
          <w:p w14:paraId="4E7CB0A1" w14:textId="77777777" w:rsidR="004E550F" w:rsidRPr="00F00F80" w:rsidRDefault="004E550F" w:rsidP="00400DD1">
            <w:pPr>
              <w:pStyle w:val="-3"/>
              <w:rPr>
                <w:rFonts w:asciiTheme="minorBidi" w:hAnsiTheme="minorBidi" w:cstheme="minorBidi"/>
                <w:sz w:val="18"/>
                <w:szCs w:val="18"/>
                <w:rtl/>
              </w:rPr>
            </w:pPr>
            <w:r w:rsidRPr="00F00F80">
              <w:rPr>
                <w:rFonts w:asciiTheme="minorBidi" w:hAnsiTheme="minorBidi" w:cstheme="minorBidi"/>
                <w:sz w:val="18"/>
                <w:szCs w:val="18"/>
                <w:rtl/>
              </w:rPr>
              <w:t xml:space="preserve"> 0</w:t>
            </w:r>
          </w:p>
        </w:tc>
        <w:tc>
          <w:tcPr>
            <w:tcW w:w="1418" w:type="dxa"/>
            <w:vAlign w:val="bottom"/>
          </w:tcPr>
          <w:p w14:paraId="2090E54F" w14:textId="77777777" w:rsidR="004E550F" w:rsidRPr="00F00F80" w:rsidRDefault="004E550F" w:rsidP="00400DD1">
            <w:pPr>
              <w:pStyle w:val="-3"/>
              <w:rPr>
                <w:rFonts w:asciiTheme="minorBidi" w:hAnsiTheme="minorBidi" w:cstheme="minorBidi"/>
                <w:sz w:val="18"/>
                <w:szCs w:val="18"/>
                <w:rtl/>
              </w:rPr>
            </w:pPr>
            <w:r w:rsidRPr="00F00F80">
              <w:rPr>
                <w:rFonts w:asciiTheme="minorBidi" w:hAnsiTheme="minorBidi" w:cstheme="minorBidi"/>
                <w:sz w:val="18"/>
                <w:szCs w:val="18"/>
                <w:rtl/>
              </w:rPr>
              <w:t xml:space="preserve"> 0</w:t>
            </w:r>
          </w:p>
        </w:tc>
      </w:tr>
      <w:tr w:rsidR="004E550F" w:rsidRPr="00543C25" w14:paraId="1CA8BD7F" w14:textId="77777777" w:rsidTr="00E63B86">
        <w:trPr>
          <w:trHeight w:val="259"/>
        </w:trPr>
        <w:tc>
          <w:tcPr>
            <w:tcW w:w="993" w:type="dxa"/>
          </w:tcPr>
          <w:p w14:paraId="00DAD628" w14:textId="77777777" w:rsidR="004E550F" w:rsidRPr="00487B8A" w:rsidRDefault="004E550F" w:rsidP="00400DD1">
            <w:pPr>
              <w:pStyle w:val="-7"/>
              <w:rPr>
                <w:sz w:val="14"/>
                <w:szCs w:val="14"/>
                <w:rtl/>
              </w:rPr>
            </w:pPr>
          </w:p>
        </w:tc>
        <w:tc>
          <w:tcPr>
            <w:tcW w:w="425" w:type="dxa"/>
            <w:vAlign w:val="bottom"/>
          </w:tcPr>
          <w:p w14:paraId="665671CE" w14:textId="77777777" w:rsidR="004E550F" w:rsidRPr="00543C25" w:rsidRDefault="004E550F" w:rsidP="00400DD1">
            <w:pPr>
              <w:pStyle w:val="-7"/>
              <w:rPr>
                <w:rtl/>
              </w:rPr>
            </w:pPr>
          </w:p>
        </w:tc>
        <w:tc>
          <w:tcPr>
            <w:tcW w:w="3698" w:type="dxa"/>
            <w:vAlign w:val="bottom"/>
          </w:tcPr>
          <w:p w14:paraId="1D58CB4C" w14:textId="77777777" w:rsidR="004E550F" w:rsidRPr="00F00F80" w:rsidRDefault="004E550F" w:rsidP="00400DD1">
            <w:pPr>
              <w:ind w:left="720" w:hanging="632"/>
              <w:jc w:val="left"/>
              <w:rPr>
                <w:color w:val="000000"/>
                <w:sz w:val="18"/>
                <w:szCs w:val="18"/>
                <w:rtl/>
                <w:lang w:eastAsia="he-IL"/>
              </w:rPr>
            </w:pPr>
            <w:r w:rsidRPr="00F00F80">
              <w:rPr>
                <w:color w:val="000000"/>
                <w:sz w:val="18"/>
                <w:szCs w:val="18"/>
                <w:rtl/>
                <w:lang w:eastAsia="he-IL"/>
              </w:rPr>
              <w:t>מסחרי - אחר</w:t>
            </w:r>
          </w:p>
        </w:tc>
        <w:tc>
          <w:tcPr>
            <w:tcW w:w="1275" w:type="dxa"/>
            <w:vAlign w:val="bottom"/>
          </w:tcPr>
          <w:p w14:paraId="727BF148" w14:textId="77777777" w:rsidR="004E550F" w:rsidRPr="00F00F80" w:rsidRDefault="004E550F" w:rsidP="00400DD1">
            <w:pPr>
              <w:pStyle w:val="-3"/>
              <w:pBdr>
                <w:bottom w:val="single" w:sz="4" w:space="1" w:color="auto"/>
              </w:pBdr>
              <w:rPr>
                <w:rFonts w:asciiTheme="minorBidi" w:hAnsiTheme="minorBidi" w:cstheme="minorBidi"/>
                <w:sz w:val="18"/>
                <w:szCs w:val="18"/>
                <w:rtl/>
              </w:rPr>
            </w:pPr>
            <w:r w:rsidRPr="00F00F80">
              <w:rPr>
                <w:rFonts w:asciiTheme="minorBidi" w:hAnsiTheme="minorBidi" w:cstheme="minorBidi"/>
                <w:sz w:val="18"/>
                <w:szCs w:val="18"/>
                <w:rtl/>
              </w:rPr>
              <w:t xml:space="preserve"> 0</w:t>
            </w:r>
          </w:p>
        </w:tc>
        <w:tc>
          <w:tcPr>
            <w:tcW w:w="1264" w:type="dxa"/>
            <w:vAlign w:val="bottom"/>
          </w:tcPr>
          <w:p w14:paraId="17E44CB9" w14:textId="77777777" w:rsidR="004E550F" w:rsidRPr="00F00F80" w:rsidRDefault="004E550F" w:rsidP="00400DD1">
            <w:pPr>
              <w:pStyle w:val="-3"/>
              <w:pBdr>
                <w:bottom w:val="single" w:sz="4" w:space="1" w:color="auto"/>
              </w:pBdr>
              <w:rPr>
                <w:rFonts w:asciiTheme="minorBidi" w:hAnsiTheme="minorBidi" w:cstheme="minorBidi"/>
                <w:sz w:val="18"/>
                <w:szCs w:val="18"/>
                <w:rtl/>
              </w:rPr>
            </w:pPr>
            <w:r w:rsidRPr="00F00F80">
              <w:rPr>
                <w:rFonts w:asciiTheme="minorBidi" w:hAnsiTheme="minorBidi" w:cstheme="minorBidi"/>
                <w:sz w:val="18"/>
                <w:szCs w:val="18"/>
                <w:rtl/>
              </w:rPr>
              <w:t xml:space="preserve"> 0</w:t>
            </w:r>
          </w:p>
        </w:tc>
        <w:tc>
          <w:tcPr>
            <w:tcW w:w="1134" w:type="dxa"/>
            <w:vAlign w:val="bottom"/>
          </w:tcPr>
          <w:p w14:paraId="2C600889" w14:textId="77777777" w:rsidR="004E550F" w:rsidRPr="00F00F80" w:rsidRDefault="004E550F" w:rsidP="00400DD1">
            <w:pPr>
              <w:pStyle w:val="-3"/>
              <w:pBdr>
                <w:bottom w:val="single" w:sz="4" w:space="1" w:color="auto"/>
              </w:pBdr>
              <w:rPr>
                <w:rFonts w:asciiTheme="minorBidi" w:hAnsiTheme="minorBidi" w:cstheme="minorBidi"/>
                <w:sz w:val="18"/>
                <w:szCs w:val="18"/>
                <w:rtl/>
              </w:rPr>
            </w:pPr>
            <w:r w:rsidRPr="00F00F80">
              <w:rPr>
                <w:rFonts w:asciiTheme="minorBidi" w:hAnsiTheme="minorBidi" w:cstheme="minorBidi"/>
                <w:sz w:val="18"/>
                <w:szCs w:val="18"/>
                <w:rtl/>
              </w:rPr>
              <w:t xml:space="preserve"> 0</w:t>
            </w:r>
          </w:p>
        </w:tc>
        <w:tc>
          <w:tcPr>
            <w:tcW w:w="1418" w:type="dxa"/>
            <w:vAlign w:val="bottom"/>
          </w:tcPr>
          <w:p w14:paraId="7B343380" w14:textId="77777777" w:rsidR="004E550F" w:rsidRPr="00F00F80" w:rsidRDefault="004E550F" w:rsidP="00400DD1">
            <w:pPr>
              <w:pStyle w:val="-3"/>
              <w:pBdr>
                <w:bottom w:val="single" w:sz="4" w:space="1" w:color="auto"/>
              </w:pBdr>
              <w:rPr>
                <w:rFonts w:asciiTheme="minorBidi" w:hAnsiTheme="minorBidi" w:cstheme="minorBidi"/>
                <w:sz w:val="18"/>
                <w:szCs w:val="18"/>
                <w:rtl/>
              </w:rPr>
            </w:pPr>
            <w:r w:rsidRPr="00F00F80">
              <w:rPr>
                <w:rFonts w:asciiTheme="minorBidi" w:hAnsiTheme="minorBidi" w:cstheme="minorBidi"/>
                <w:sz w:val="18"/>
                <w:szCs w:val="18"/>
                <w:rtl/>
              </w:rPr>
              <w:t xml:space="preserve"> 0</w:t>
            </w:r>
          </w:p>
        </w:tc>
      </w:tr>
      <w:tr w:rsidR="004E550F" w:rsidRPr="00543C25" w14:paraId="75DBB243" w14:textId="77777777" w:rsidTr="00E63B86">
        <w:trPr>
          <w:trHeight w:val="259"/>
        </w:trPr>
        <w:tc>
          <w:tcPr>
            <w:tcW w:w="993" w:type="dxa"/>
          </w:tcPr>
          <w:p w14:paraId="107A7EB1" w14:textId="77777777" w:rsidR="004E550F" w:rsidRDefault="004E550F" w:rsidP="00400DD1">
            <w:pPr>
              <w:pStyle w:val="-7"/>
              <w:rPr>
                <w:sz w:val="14"/>
                <w:szCs w:val="14"/>
                <w:rtl/>
              </w:rPr>
            </w:pPr>
          </w:p>
        </w:tc>
        <w:tc>
          <w:tcPr>
            <w:tcW w:w="425" w:type="dxa"/>
            <w:vAlign w:val="bottom"/>
          </w:tcPr>
          <w:p w14:paraId="465AFFB4" w14:textId="77777777" w:rsidR="004E550F" w:rsidRDefault="004E550F" w:rsidP="00400DD1">
            <w:pPr>
              <w:pStyle w:val="-7"/>
              <w:rPr>
                <w:rtl/>
              </w:rPr>
            </w:pPr>
          </w:p>
        </w:tc>
        <w:tc>
          <w:tcPr>
            <w:tcW w:w="3698" w:type="dxa"/>
            <w:vAlign w:val="bottom"/>
          </w:tcPr>
          <w:p w14:paraId="2C106718" w14:textId="77777777" w:rsidR="004E550F" w:rsidRPr="004E550F" w:rsidRDefault="004E550F" w:rsidP="00400DD1">
            <w:pPr>
              <w:pStyle w:val="-0"/>
              <w:spacing w:line="240" w:lineRule="auto"/>
              <w:ind w:left="39" w:hanging="39"/>
              <w:rPr>
                <w:rFonts w:asciiTheme="minorBidi" w:hAnsiTheme="minorBidi" w:cstheme="minorBidi"/>
                <w:sz w:val="18"/>
                <w:szCs w:val="18"/>
              </w:rPr>
            </w:pPr>
            <w:r w:rsidRPr="004E550F">
              <w:rPr>
                <w:rFonts w:asciiTheme="minorBidi" w:hAnsiTheme="minorBidi" w:cstheme="minorBidi"/>
                <w:sz w:val="18"/>
                <w:szCs w:val="18"/>
                <w:rtl/>
              </w:rPr>
              <w:t>סך הכל מסחרי</w:t>
            </w:r>
          </w:p>
        </w:tc>
        <w:tc>
          <w:tcPr>
            <w:tcW w:w="1275" w:type="dxa"/>
            <w:vAlign w:val="bottom"/>
          </w:tcPr>
          <w:p w14:paraId="0C4FE13C" w14:textId="77777777" w:rsidR="004E550F" w:rsidRPr="00C75B9C" w:rsidRDefault="004E550F" w:rsidP="00400DD1">
            <w:pPr>
              <w:pStyle w:val="-3"/>
              <w:jc w:val="left"/>
              <w:rPr>
                <w:rFonts w:asciiTheme="minorBidi" w:hAnsiTheme="minorBidi" w:cstheme="minorBidi"/>
                <w:sz w:val="18"/>
                <w:szCs w:val="18"/>
                <w:rtl/>
              </w:rPr>
            </w:pPr>
            <w:r w:rsidRPr="00C75B9C">
              <w:rPr>
                <w:rFonts w:asciiTheme="minorBidi" w:hAnsiTheme="minorBidi" w:cstheme="minorBidi"/>
                <w:sz w:val="18"/>
                <w:szCs w:val="18"/>
                <w:rtl/>
              </w:rPr>
              <w:t xml:space="preserve"> 0</w:t>
            </w:r>
          </w:p>
        </w:tc>
        <w:tc>
          <w:tcPr>
            <w:tcW w:w="1264" w:type="dxa"/>
            <w:vAlign w:val="bottom"/>
          </w:tcPr>
          <w:p w14:paraId="6F806248" w14:textId="77777777" w:rsidR="004E550F" w:rsidRPr="00C75B9C" w:rsidRDefault="004E550F" w:rsidP="00400DD1">
            <w:pPr>
              <w:pStyle w:val="-3"/>
              <w:jc w:val="left"/>
              <w:rPr>
                <w:rFonts w:asciiTheme="minorBidi" w:hAnsiTheme="minorBidi" w:cstheme="minorBidi"/>
                <w:sz w:val="18"/>
                <w:szCs w:val="18"/>
                <w:rtl/>
              </w:rPr>
            </w:pPr>
            <w:r w:rsidRPr="00C75B9C">
              <w:rPr>
                <w:rFonts w:asciiTheme="minorBidi" w:hAnsiTheme="minorBidi" w:cstheme="minorBidi"/>
                <w:sz w:val="18"/>
                <w:szCs w:val="18"/>
                <w:rtl/>
              </w:rPr>
              <w:t xml:space="preserve"> 0</w:t>
            </w:r>
          </w:p>
        </w:tc>
        <w:tc>
          <w:tcPr>
            <w:tcW w:w="1134" w:type="dxa"/>
            <w:vAlign w:val="bottom"/>
          </w:tcPr>
          <w:p w14:paraId="2B4759CC" w14:textId="77777777" w:rsidR="004E550F" w:rsidRPr="00C75B9C" w:rsidRDefault="004E550F" w:rsidP="00400DD1">
            <w:pPr>
              <w:pStyle w:val="-3"/>
              <w:jc w:val="left"/>
              <w:rPr>
                <w:rFonts w:asciiTheme="minorBidi" w:hAnsiTheme="minorBidi" w:cstheme="minorBidi"/>
                <w:sz w:val="18"/>
                <w:szCs w:val="18"/>
                <w:rtl/>
              </w:rPr>
            </w:pPr>
            <w:r w:rsidRPr="00C75B9C">
              <w:rPr>
                <w:rFonts w:asciiTheme="minorBidi" w:hAnsiTheme="minorBidi" w:cstheme="minorBidi"/>
                <w:sz w:val="18"/>
                <w:szCs w:val="18"/>
                <w:rtl/>
              </w:rPr>
              <w:t xml:space="preserve"> 0</w:t>
            </w:r>
          </w:p>
        </w:tc>
        <w:tc>
          <w:tcPr>
            <w:tcW w:w="1418" w:type="dxa"/>
            <w:vAlign w:val="bottom"/>
          </w:tcPr>
          <w:p w14:paraId="6B4CA17A" w14:textId="77777777" w:rsidR="004E550F" w:rsidRPr="00C75B9C" w:rsidRDefault="004E550F" w:rsidP="00400DD1">
            <w:pPr>
              <w:pStyle w:val="-3"/>
              <w:jc w:val="left"/>
              <w:rPr>
                <w:rFonts w:asciiTheme="minorBidi" w:hAnsiTheme="minorBidi" w:cstheme="minorBidi"/>
                <w:sz w:val="18"/>
                <w:szCs w:val="18"/>
                <w:rtl/>
              </w:rPr>
            </w:pPr>
            <w:r w:rsidRPr="00C75B9C">
              <w:rPr>
                <w:rFonts w:asciiTheme="minorBidi" w:hAnsiTheme="minorBidi" w:cstheme="minorBidi"/>
                <w:sz w:val="18"/>
                <w:szCs w:val="18"/>
                <w:rtl/>
              </w:rPr>
              <w:t xml:space="preserve"> 0</w:t>
            </w:r>
          </w:p>
        </w:tc>
      </w:tr>
      <w:tr w:rsidR="004E550F" w:rsidRPr="00543C25" w14:paraId="00BEC5DD" w14:textId="77777777" w:rsidTr="00E63B86">
        <w:trPr>
          <w:trHeight w:val="259"/>
        </w:trPr>
        <w:tc>
          <w:tcPr>
            <w:tcW w:w="993" w:type="dxa"/>
          </w:tcPr>
          <w:p w14:paraId="0852B8BE" w14:textId="77777777" w:rsidR="004E550F" w:rsidRPr="00487B8A" w:rsidRDefault="004E550F" w:rsidP="00400DD1">
            <w:pPr>
              <w:pStyle w:val="-7"/>
              <w:rPr>
                <w:sz w:val="14"/>
                <w:szCs w:val="14"/>
                <w:rtl/>
              </w:rPr>
            </w:pPr>
          </w:p>
        </w:tc>
        <w:tc>
          <w:tcPr>
            <w:tcW w:w="425" w:type="dxa"/>
            <w:vAlign w:val="bottom"/>
          </w:tcPr>
          <w:p w14:paraId="68860300" w14:textId="77777777" w:rsidR="004E550F" w:rsidRPr="00543C25" w:rsidRDefault="004E550F" w:rsidP="00400DD1">
            <w:pPr>
              <w:pStyle w:val="-7"/>
              <w:rPr>
                <w:rtl/>
              </w:rPr>
            </w:pPr>
          </w:p>
        </w:tc>
        <w:tc>
          <w:tcPr>
            <w:tcW w:w="3698" w:type="dxa"/>
            <w:vAlign w:val="bottom"/>
          </w:tcPr>
          <w:p w14:paraId="782DF6C1" w14:textId="77777777" w:rsidR="004E550F" w:rsidRPr="004E550F" w:rsidRDefault="004E550F" w:rsidP="00400DD1">
            <w:pPr>
              <w:pStyle w:val="-21"/>
              <w:ind w:left="39" w:hanging="39"/>
              <w:rPr>
                <w:rFonts w:asciiTheme="minorBidi" w:hAnsiTheme="minorBidi" w:cstheme="minorBidi"/>
                <w:sz w:val="18"/>
                <w:szCs w:val="18"/>
              </w:rPr>
            </w:pPr>
            <w:r w:rsidRPr="004E550F">
              <w:rPr>
                <w:rFonts w:asciiTheme="minorBidi" w:hAnsiTheme="minorBidi" w:cstheme="minorBidi"/>
                <w:sz w:val="18"/>
                <w:szCs w:val="18"/>
                <w:rtl/>
              </w:rPr>
              <w:t>אנשים פרטיים - הלוואות לדיור</w:t>
            </w:r>
          </w:p>
        </w:tc>
        <w:tc>
          <w:tcPr>
            <w:tcW w:w="1275" w:type="dxa"/>
            <w:vAlign w:val="bottom"/>
          </w:tcPr>
          <w:p w14:paraId="16604F90" w14:textId="77777777" w:rsidR="004E550F" w:rsidRPr="00C75B9C" w:rsidRDefault="004E550F" w:rsidP="00400DD1">
            <w:pPr>
              <w:pStyle w:val="-3"/>
              <w:rPr>
                <w:rFonts w:asciiTheme="minorBidi" w:hAnsiTheme="minorBidi" w:cstheme="minorBidi"/>
                <w:sz w:val="18"/>
                <w:szCs w:val="18"/>
                <w:rtl/>
              </w:rPr>
            </w:pPr>
            <w:r w:rsidRPr="00C75B9C">
              <w:rPr>
                <w:rFonts w:asciiTheme="minorBidi" w:hAnsiTheme="minorBidi" w:cstheme="minorBidi"/>
                <w:sz w:val="18"/>
                <w:szCs w:val="18"/>
                <w:rtl/>
              </w:rPr>
              <w:t xml:space="preserve"> 0</w:t>
            </w:r>
          </w:p>
        </w:tc>
        <w:tc>
          <w:tcPr>
            <w:tcW w:w="1264" w:type="dxa"/>
            <w:vAlign w:val="bottom"/>
          </w:tcPr>
          <w:p w14:paraId="07D90E20" w14:textId="77777777" w:rsidR="004E550F" w:rsidRPr="00C75B9C" w:rsidRDefault="004E550F" w:rsidP="00400DD1">
            <w:pPr>
              <w:pStyle w:val="-3"/>
              <w:rPr>
                <w:rFonts w:asciiTheme="minorBidi" w:hAnsiTheme="minorBidi" w:cstheme="minorBidi"/>
                <w:sz w:val="18"/>
                <w:szCs w:val="18"/>
                <w:rtl/>
              </w:rPr>
            </w:pPr>
            <w:r w:rsidRPr="00C75B9C">
              <w:rPr>
                <w:rFonts w:asciiTheme="minorBidi" w:hAnsiTheme="minorBidi" w:cstheme="minorBidi"/>
                <w:sz w:val="18"/>
                <w:szCs w:val="18"/>
                <w:rtl/>
              </w:rPr>
              <w:t xml:space="preserve"> 0</w:t>
            </w:r>
          </w:p>
        </w:tc>
        <w:tc>
          <w:tcPr>
            <w:tcW w:w="1134" w:type="dxa"/>
            <w:vAlign w:val="bottom"/>
          </w:tcPr>
          <w:p w14:paraId="2CFF87B1" w14:textId="77777777" w:rsidR="004E550F" w:rsidRPr="00C75B9C" w:rsidRDefault="004E550F" w:rsidP="00400DD1">
            <w:pPr>
              <w:pStyle w:val="-3"/>
              <w:rPr>
                <w:rFonts w:asciiTheme="minorBidi" w:hAnsiTheme="minorBidi" w:cstheme="minorBidi"/>
                <w:sz w:val="18"/>
                <w:szCs w:val="18"/>
                <w:rtl/>
              </w:rPr>
            </w:pPr>
            <w:r w:rsidRPr="00C75B9C">
              <w:rPr>
                <w:rFonts w:asciiTheme="minorBidi" w:hAnsiTheme="minorBidi" w:cstheme="minorBidi"/>
                <w:sz w:val="18"/>
                <w:szCs w:val="18"/>
                <w:rtl/>
              </w:rPr>
              <w:t xml:space="preserve"> 0</w:t>
            </w:r>
          </w:p>
        </w:tc>
        <w:tc>
          <w:tcPr>
            <w:tcW w:w="1418" w:type="dxa"/>
            <w:vAlign w:val="bottom"/>
          </w:tcPr>
          <w:p w14:paraId="62054F44" w14:textId="77777777" w:rsidR="004E550F" w:rsidRPr="00C75B9C" w:rsidRDefault="004E550F" w:rsidP="00400DD1">
            <w:pPr>
              <w:pStyle w:val="-3"/>
              <w:rPr>
                <w:rFonts w:asciiTheme="minorBidi" w:hAnsiTheme="minorBidi" w:cstheme="minorBidi"/>
                <w:sz w:val="18"/>
                <w:szCs w:val="18"/>
                <w:rtl/>
              </w:rPr>
            </w:pPr>
            <w:r w:rsidRPr="00C75B9C">
              <w:rPr>
                <w:rFonts w:asciiTheme="minorBidi" w:hAnsiTheme="minorBidi" w:cstheme="minorBidi"/>
                <w:sz w:val="18"/>
                <w:szCs w:val="18"/>
                <w:rtl/>
              </w:rPr>
              <w:t xml:space="preserve"> 0</w:t>
            </w:r>
          </w:p>
        </w:tc>
      </w:tr>
      <w:tr w:rsidR="004E550F" w:rsidRPr="00543C25" w14:paraId="40FC377C" w14:textId="77777777" w:rsidTr="00E63B86">
        <w:trPr>
          <w:trHeight w:val="259"/>
        </w:trPr>
        <w:tc>
          <w:tcPr>
            <w:tcW w:w="993" w:type="dxa"/>
          </w:tcPr>
          <w:p w14:paraId="31B960D0" w14:textId="77777777" w:rsidR="004E550F" w:rsidRPr="00487B8A" w:rsidRDefault="004E550F" w:rsidP="00400DD1">
            <w:pPr>
              <w:pStyle w:val="-7"/>
              <w:rPr>
                <w:sz w:val="14"/>
                <w:szCs w:val="14"/>
                <w:rtl/>
              </w:rPr>
            </w:pPr>
          </w:p>
        </w:tc>
        <w:tc>
          <w:tcPr>
            <w:tcW w:w="425" w:type="dxa"/>
            <w:vAlign w:val="bottom"/>
          </w:tcPr>
          <w:p w14:paraId="2FC3E7E0" w14:textId="77777777" w:rsidR="004E550F" w:rsidRPr="00543C25" w:rsidRDefault="004E550F" w:rsidP="00400DD1">
            <w:pPr>
              <w:pStyle w:val="-7"/>
              <w:rPr>
                <w:rtl/>
              </w:rPr>
            </w:pPr>
          </w:p>
        </w:tc>
        <w:tc>
          <w:tcPr>
            <w:tcW w:w="3698" w:type="dxa"/>
            <w:vAlign w:val="bottom"/>
          </w:tcPr>
          <w:p w14:paraId="09A35954" w14:textId="77777777" w:rsidR="004E550F" w:rsidRPr="004E550F" w:rsidRDefault="004E550F" w:rsidP="00400DD1">
            <w:pPr>
              <w:pStyle w:val="-0"/>
              <w:spacing w:line="240" w:lineRule="auto"/>
              <w:ind w:left="39" w:hanging="39"/>
              <w:rPr>
                <w:rFonts w:asciiTheme="minorBidi" w:hAnsiTheme="minorBidi" w:cstheme="minorBidi"/>
                <w:sz w:val="18"/>
                <w:szCs w:val="18"/>
              </w:rPr>
            </w:pPr>
            <w:r w:rsidRPr="004E550F">
              <w:rPr>
                <w:rFonts w:asciiTheme="minorBidi" w:hAnsiTheme="minorBidi" w:cstheme="minorBidi"/>
                <w:sz w:val="18"/>
                <w:szCs w:val="18"/>
                <w:rtl/>
              </w:rPr>
              <w:t>אנשים פרטיים - אחר</w:t>
            </w:r>
          </w:p>
        </w:tc>
        <w:tc>
          <w:tcPr>
            <w:tcW w:w="1275" w:type="dxa"/>
            <w:vAlign w:val="bottom"/>
          </w:tcPr>
          <w:p w14:paraId="5AA69849" w14:textId="77777777" w:rsidR="004E550F" w:rsidRPr="00C75B9C" w:rsidRDefault="004E550F" w:rsidP="00400DD1">
            <w:pPr>
              <w:pStyle w:val="-3"/>
              <w:rPr>
                <w:rFonts w:asciiTheme="minorBidi" w:hAnsiTheme="minorBidi" w:cstheme="minorBidi"/>
                <w:sz w:val="18"/>
                <w:szCs w:val="18"/>
                <w:rtl/>
              </w:rPr>
            </w:pPr>
            <w:r w:rsidRPr="00C75B9C">
              <w:rPr>
                <w:rFonts w:asciiTheme="minorBidi" w:hAnsiTheme="minorBidi" w:cstheme="minorBidi"/>
                <w:sz w:val="18"/>
                <w:szCs w:val="18"/>
                <w:rtl/>
              </w:rPr>
              <w:t xml:space="preserve"> 0</w:t>
            </w:r>
          </w:p>
        </w:tc>
        <w:tc>
          <w:tcPr>
            <w:tcW w:w="1264" w:type="dxa"/>
            <w:vAlign w:val="bottom"/>
          </w:tcPr>
          <w:p w14:paraId="442D0385" w14:textId="77777777" w:rsidR="004E550F" w:rsidRPr="00C75B9C" w:rsidRDefault="004E550F" w:rsidP="00400DD1">
            <w:pPr>
              <w:pStyle w:val="-3"/>
              <w:rPr>
                <w:rFonts w:asciiTheme="minorBidi" w:hAnsiTheme="minorBidi" w:cstheme="minorBidi"/>
                <w:sz w:val="18"/>
                <w:szCs w:val="18"/>
                <w:rtl/>
              </w:rPr>
            </w:pPr>
            <w:r w:rsidRPr="00C75B9C">
              <w:rPr>
                <w:rFonts w:asciiTheme="minorBidi" w:hAnsiTheme="minorBidi" w:cstheme="minorBidi"/>
                <w:sz w:val="18"/>
                <w:szCs w:val="18"/>
                <w:rtl/>
              </w:rPr>
              <w:t xml:space="preserve"> 0</w:t>
            </w:r>
          </w:p>
        </w:tc>
        <w:tc>
          <w:tcPr>
            <w:tcW w:w="1134" w:type="dxa"/>
            <w:vAlign w:val="bottom"/>
          </w:tcPr>
          <w:p w14:paraId="0DECE321" w14:textId="77777777" w:rsidR="004E550F" w:rsidRPr="00C75B9C" w:rsidRDefault="004E550F" w:rsidP="00400DD1">
            <w:pPr>
              <w:pStyle w:val="-3"/>
              <w:rPr>
                <w:rFonts w:asciiTheme="minorBidi" w:hAnsiTheme="minorBidi" w:cstheme="minorBidi"/>
                <w:sz w:val="18"/>
                <w:szCs w:val="18"/>
                <w:rtl/>
              </w:rPr>
            </w:pPr>
            <w:r w:rsidRPr="00C75B9C">
              <w:rPr>
                <w:rFonts w:asciiTheme="minorBidi" w:hAnsiTheme="minorBidi" w:cstheme="minorBidi"/>
                <w:sz w:val="18"/>
                <w:szCs w:val="18"/>
                <w:rtl/>
              </w:rPr>
              <w:t xml:space="preserve"> 0</w:t>
            </w:r>
          </w:p>
        </w:tc>
        <w:tc>
          <w:tcPr>
            <w:tcW w:w="1418" w:type="dxa"/>
            <w:vAlign w:val="bottom"/>
          </w:tcPr>
          <w:p w14:paraId="53D22C59" w14:textId="77777777" w:rsidR="004E550F" w:rsidRPr="00C75B9C" w:rsidRDefault="004E550F" w:rsidP="00400DD1">
            <w:pPr>
              <w:pStyle w:val="-3"/>
              <w:rPr>
                <w:rFonts w:asciiTheme="minorBidi" w:hAnsiTheme="minorBidi" w:cstheme="minorBidi"/>
                <w:sz w:val="18"/>
                <w:szCs w:val="18"/>
                <w:rtl/>
              </w:rPr>
            </w:pPr>
            <w:r w:rsidRPr="00C75B9C">
              <w:rPr>
                <w:rFonts w:asciiTheme="minorBidi" w:hAnsiTheme="minorBidi" w:cstheme="minorBidi"/>
                <w:sz w:val="18"/>
                <w:szCs w:val="18"/>
                <w:rtl/>
              </w:rPr>
              <w:t xml:space="preserve"> 0</w:t>
            </w:r>
          </w:p>
        </w:tc>
      </w:tr>
      <w:tr w:rsidR="004E550F" w:rsidRPr="00543C25" w14:paraId="1FFF3792" w14:textId="77777777" w:rsidTr="00E63B86">
        <w:trPr>
          <w:trHeight w:val="259"/>
        </w:trPr>
        <w:tc>
          <w:tcPr>
            <w:tcW w:w="993" w:type="dxa"/>
          </w:tcPr>
          <w:p w14:paraId="26E97221" w14:textId="77777777" w:rsidR="004E550F" w:rsidRPr="00487B8A" w:rsidRDefault="004E550F" w:rsidP="00400DD1">
            <w:pPr>
              <w:pStyle w:val="-7"/>
              <w:rPr>
                <w:sz w:val="14"/>
                <w:szCs w:val="14"/>
                <w:rtl/>
              </w:rPr>
            </w:pPr>
          </w:p>
        </w:tc>
        <w:tc>
          <w:tcPr>
            <w:tcW w:w="425" w:type="dxa"/>
            <w:vAlign w:val="bottom"/>
          </w:tcPr>
          <w:p w14:paraId="64CC2CE9" w14:textId="77777777" w:rsidR="004E550F" w:rsidRPr="00543C25" w:rsidRDefault="004E550F" w:rsidP="00400DD1">
            <w:pPr>
              <w:pStyle w:val="-7"/>
              <w:rPr>
                <w:rtl/>
              </w:rPr>
            </w:pPr>
          </w:p>
        </w:tc>
        <w:tc>
          <w:tcPr>
            <w:tcW w:w="3698" w:type="dxa"/>
            <w:vAlign w:val="bottom"/>
          </w:tcPr>
          <w:p w14:paraId="07E3C715" w14:textId="77777777" w:rsidR="004E550F" w:rsidRPr="00F00F80" w:rsidRDefault="004E550F" w:rsidP="00400DD1">
            <w:pPr>
              <w:pStyle w:val="-21"/>
              <w:rPr>
                <w:rFonts w:asciiTheme="minorBidi" w:hAnsiTheme="minorBidi" w:cstheme="minorBidi"/>
                <w:b/>
                <w:bCs/>
                <w:sz w:val="18"/>
                <w:szCs w:val="18"/>
                <w:rtl/>
              </w:rPr>
            </w:pPr>
            <w:r w:rsidRPr="00F00F80">
              <w:rPr>
                <w:rFonts w:asciiTheme="minorBidi" w:hAnsiTheme="minorBidi" w:cstheme="minorBidi"/>
                <w:b/>
                <w:bCs/>
                <w:sz w:val="18"/>
                <w:szCs w:val="18"/>
                <w:rtl/>
              </w:rPr>
              <w:t>סך הכל אשראי לציבור - פעילות בישראל</w:t>
            </w:r>
          </w:p>
        </w:tc>
        <w:tc>
          <w:tcPr>
            <w:tcW w:w="1275" w:type="dxa"/>
            <w:vAlign w:val="bottom"/>
          </w:tcPr>
          <w:p w14:paraId="48591B56" w14:textId="77777777" w:rsidR="004E550F" w:rsidRPr="00F00F80" w:rsidRDefault="004E550F" w:rsidP="00400DD1">
            <w:pPr>
              <w:pStyle w:val="-f1"/>
              <w:rPr>
                <w:rFonts w:asciiTheme="minorBidi" w:hAnsiTheme="minorBidi" w:cstheme="minorBidi"/>
                <w:sz w:val="18"/>
                <w:szCs w:val="18"/>
                <w:rtl/>
              </w:rPr>
            </w:pPr>
            <w:r w:rsidRPr="00F00F80">
              <w:rPr>
                <w:rFonts w:asciiTheme="minorBidi" w:hAnsiTheme="minorBidi" w:cstheme="minorBidi"/>
                <w:sz w:val="18"/>
                <w:szCs w:val="18"/>
                <w:rtl/>
              </w:rPr>
              <w:t xml:space="preserve"> 0</w:t>
            </w:r>
          </w:p>
        </w:tc>
        <w:tc>
          <w:tcPr>
            <w:tcW w:w="1264" w:type="dxa"/>
            <w:vAlign w:val="bottom"/>
          </w:tcPr>
          <w:p w14:paraId="1D7AA09D" w14:textId="77777777" w:rsidR="004E550F" w:rsidRPr="00F00F80" w:rsidRDefault="004E550F" w:rsidP="00400DD1">
            <w:pPr>
              <w:pStyle w:val="-f1"/>
              <w:rPr>
                <w:rFonts w:asciiTheme="minorBidi" w:hAnsiTheme="minorBidi" w:cstheme="minorBidi"/>
                <w:sz w:val="18"/>
                <w:szCs w:val="18"/>
                <w:rtl/>
              </w:rPr>
            </w:pPr>
            <w:r w:rsidRPr="00F00F80">
              <w:rPr>
                <w:rFonts w:asciiTheme="minorBidi" w:hAnsiTheme="minorBidi" w:cstheme="minorBidi"/>
                <w:sz w:val="18"/>
                <w:szCs w:val="18"/>
                <w:rtl/>
              </w:rPr>
              <w:t xml:space="preserve"> 0</w:t>
            </w:r>
          </w:p>
        </w:tc>
        <w:tc>
          <w:tcPr>
            <w:tcW w:w="1134" w:type="dxa"/>
            <w:vAlign w:val="bottom"/>
          </w:tcPr>
          <w:p w14:paraId="04706FDF" w14:textId="77777777" w:rsidR="004E550F" w:rsidRPr="00F00F80" w:rsidRDefault="004E550F" w:rsidP="00400DD1">
            <w:pPr>
              <w:pStyle w:val="-f1"/>
              <w:rPr>
                <w:rFonts w:asciiTheme="minorBidi" w:hAnsiTheme="minorBidi" w:cstheme="minorBidi"/>
                <w:sz w:val="18"/>
                <w:szCs w:val="18"/>
                <w:rtl/>
              </w:rPr>
            </w:pPr>
            <w:r w:rsidRPr="00F00F80">
              <w:rPr>
                <w:rFonts w:asciiTheme="minorBidi" w:hAnsiTheme="minorBidi" w:cstheme="minorBidi"/>
                <w:sz w:val="18"/>
                <w:szCs w:val="18"/>
                <w:rtl/>
              </w:rPr>
              <w:t xml:space="preserve"> 0</w:t>
            </w:r>
          </w:p>
        </w:tc>
        <w:tc>
          <w:tcPr>
            <w:tcW w:w="1418" w:type="dxa"/>
            <w:vAlign w:val="bottom"/>
          </w:tcPr>
          <w:p w14:paraId="68806067" w14:textId="77777777" w:rsidR="004E550F" w:rsidRPr="00F00F80" w:rsidRDefault="004E550F" w:rsidP="00400DD1">
            <w:pPr>
              <w:pStyle w:val="-f1"/>
              <w:rPr>
                <w:rFonts w:asciiTheme="minorBidi" w:hAnsiTheme="minorBidi" w:cstheme="minorBidi"/>
                <w:sz w:val="18"/>
                <w:szCs w:val="18"/>
                <w:rtl/>
              </w:rPr>
            </w:pPr>
            <w:r w:rsidRPr="00F00F80">
              <w:rPr>
                <w:rFonts w:asciiTheme="minorBidi" w:hAnsiTheme="minorBidi" w:cstheme="minorBidi"/>
                <w:sz w:val="18"/>
                <w:szCs w:val="18"/>
                <w:rtl/>
              </w:rPr>
              <w:t xml:space="preserve"> 0</w:t>
            </w:r>
          </w:p>
        </w:tc>
      </w:tr>
      <w:tr w:rsidR="004E550F" w:rsidRPr="00543C25" w14:paraId="5B94DA64" w14:textId="77777777" w:rsidTr="00E63B86">
        <w:tc>
          <w:tcPr>
            <w:tcW w:w="993" w:type="dxa"/>
          </w:tcPr>
          <w:p w14:paraId="1D03A1F3" w14:textId="77777777" w:rsidR="004E550F" w:rsidRDefault="004E550F" w:rsidP="00400DD1">
            <w:pPr>
              <w:pStyle w:val="-7"/>
              <w:spacing w:line="120" w:lineRule="exact"/>
              <w:rPr>
                <w:sz w:val="14"/>
                <w:szCs w:val="14"/>
                <w:rtl/>
              </w:rPr>
            </w:pPr>
          </w:p>
        </w:tc>
        <w:tc>
          <w:tcPr>
            <w:tcW w:w="425" w:type="dxa"/>
            <w:vAlign w:val="bottom"/>
          </w:tcPr>
          <w:p w14:paraId="2F68ACD0" w14:textId="77777777" w:rsidR="004E550F" w:rsidRDefault="004E550F" w:rsidP="00400DD1">
            <w:pPr>
              <w:pStyle w:val="-7"/>
              <w:spacing w:line="120" w:lineRule="exact"/>
              <w:rPr>
                <w:rtl/>
              </w:rPr>
            </w:pPr>
          </w:p>
        </w:tc>
        <w:tc>
          <w:tcPr>
            <w:tcW w:w="3698" w:type="dxa"/>
            <w:vAlign w:val="bottom"/>
          </w:tcPr>
          <w:p w14:paraId="5DBA709E" w14:textId="77777777" w:rsidR="004E550F" w:rsidRPr="00F00F80" w:rsidRDefault="004E550F" w:rsidP="00400DD1">
            <w:pPr>
              <w:pStyle w:val="-21"/>
              <w:spacing w:before="0" w:line="120" w:lineRule="exact"/>
              <w:ind w:left="432"/>
              <w:rPr>
                <w:rFonts w:asciiTheme="minorBidi" w:hAnsiTheme="minorBidi" w:cstheme="minorBidi"/>
                <w:sz w:val="18"/>
                <w:szCs w:val="18"/>
                <w:rtl/>
              </w:rPr>
            </w:pPr>
          </w:p>
        </w:tc>
        <w:tc>
          <w:tcPr>
            <w:tcW w:w="1275" w:type="dxa"/>
          </w:tcPr>
          <w:p w14:paraId="547F3B0F" w14:textId="77777777" w:rsidR="004E550F" w:rsidRPr="00F00F80" w:rsidRDefault="004E550F" w:rsidP="00400DD1">
            <w:pPr>
              <w:pStyle w:val="-121"/>
              <w:pBdr>
                <w:top w:val="none" w:sz="0" w:space="0" w:color="auto"/>
              </w:pBdr>
              <w:spacing w:line="120" w:lineRule="exact"/>
              <w:jc w:val="center"/>
              <w:rPr>
                <w:rFonts w:asciiTheme="minorBidi" w:hAnsiTheme="minorBidi" w:cstheme="minorBidi"/>
                <w:b/>
                <w:bCs/>
                <w:sz w:val="18"/>
                <w:szCs w:val="18"/>
                <w:rtl/>
              </w:rPr>
            </w:pPr>
          </w:p>
        </w:tc>
        <w:tc>
          <w:tcPr>
            <w:tcW w:w="1264" w:type="dxa"/>
          </w:tcPr>
          <w:p w14:paraId="30098A3D" w14:textId="77777777" w:rsidR="004E550F" w:rsidRPr="00F00F80" w:rsidRDefault="004E550F" w:rsidP="00400DD1">
            <w:pPr>
              <w:pStyle w:val="-121"/>
              <w:pBdr>
                <w:top w:val="none" w:sz="0" w:space="0" w:color="auto"/>
              </w:pBdr>
              <w:spacing w:line="120" w:lineRule="exact"/>
              <w:jc w:val="center"/>
              <w:rPr>
                <w:rFonts w:asciiTheme="minorBidi" w:hAnsiTheme="minorBidi" w:cstheme="minorBidi"/>
                <w:b/>
                <w:bCs/>
                <w:sz w:val="18"/>
                <w:szCs w:val="18"/>
                <w:rtl/>
              </w:rPr>
            </w:pPr>
          </w:p>
        </w:tc>
        <w:tc>
          <w:tcPr>
            <w:tcW w:w="1134" w:type="dxa"/>
          </w:tcPr>
          <w:p w14:paraId="79090D30" w14:textId="77777777" w:rsidR="004E550F" w:rsidRPr="00F00F80" w:rsidRDefault="004E550F" w:rsidP="00400DD1">
            <w:pPr>
              <w:pStyle w:val="-121"/>
              <w:pBdr>
                <w:top w:val="none" w:sz="0" w:space="0" w:color="auto"/>
              </w:pBdr>
              <w:spacing w:line="120" w:lineRule="exact"/>
              <w:jc w:val="center"/>
              <w:rPr>
                <w:rFonts w:asciiTheme="minorBidi" w:hAnsiTheme="minorBidi" w:cstheme="minorBidi"/>
                <w:b/>
                <w:bCs/>
                <w:sz w:val="18"/>
                <w:szCs w:val="18"/>
                <w:rtl/>
              </w:rPr>
            </w:pPr>
          </w:p>
        </w:tc>
        <w:tc>
          <w:tcPr>
            <w:tcW w:w="1418" w:type="dxa"/>
          </w:tcPr>
          <w:p w14:paraId="6B4BF221" w14:textId="77777777" w:rsidR="004E550F" w:rsidRPr="00F00F80" w:rsidRDefault="004E550F" w:rsidP="00400DD1">
            <w:pPr>
              <w:pStyle w:val="-121"/>
              <w:pBdr>
                <w:top w:val="none" w:sz="0" w:space="0" w:color="auto"/>
              </w:pBdr>
              <w:spacing w:line="120" w:lineRule="exact"/>
              <w:jc w:val="center"/>
              <w:rPr>
                <w:rFonts w:asciiTheme="minorBidi" w:hAnsiTheme="minorBidi" w:cstheme="minorBidi"/>
                <w:b/>
                <w:bCs/>
                <w:sz w:val="18"/>
                <w:szCs w:val="18"/>
                <w:rtl/>
              </w:rPr>
            </w:pPr>
          </w:p>
        </w:tc>
      </w:tr>
      <w:tr w:rsidR="004E550F" w:rsidRPr="00543C25" w14:paraId="2FA23ED5" w14:textId="77777777" w:rsidTr="00E63B86">
        <w:trPr>
          <w:trHeight w:val="259"/>
        </w:trPr>
        <w:tc>
          <w:tcPr>
            <w:tcW w:w="993" w:type="dxa"/>
          </w:tcPr>
          <w:p w14:paraId="788B18A6" w14:textId="77777777" w:rsidR="004E550F" w:rsidRPr="00487B8A" w:rsidRDefault="004E550F" w:rsidP="00400DD1">
            <w:pPr>
              <w:pStyle w:val="-7"/>
              <w:rPr>
                <w:sz w:val="14"/>
                <w:szCs w:val="14"/>
                <w:rtl/>
              </w:rPr>
            </w:pPr>
          </w:p>
        </w:tc>
        <w:tc>
          <w:tcPr>
            <w:tcW w:w="425" w:type="dxa"/>
            <w:vAlign w:val="bottom"/>
          </w:tcPr>
          <w:p w14:paraId="0B3D8ED8" w14:textId="77777777" w:rsidR="004E550F" w:rsidRPr="00543C25" w:rsidRDefault="004E550F" w:rsidP="00400DD1">
            <w:pPr>
              <w:pStyle w:val="-7"/>
              <w:rPr>
                <w:rtl/>
              </w:rPr>
            </w:pPr>
          </w:p>
        </w:tc>
        <w:tc>
          <w:tcPr>
            <w:tcW w:w="3698" w:type="dxa"/>
            <w:vAlign w:val="bottom"/>
          </w:tcPr>
          <w:p w14:paraId="539DB5BB" w14:textId="77777777" w:rsidR="004E550F" w:rsidRPr="00F00F80" w:rsidRDefault="004E550F" w:rsidP="00400DD1">
            <w:pPr>
              <w:pStyle w:val="-f"/>
              <w:rPr>
                <w:rFonts w:asciiTheme="minorBidi" w:hAnsiTheme="minorBidi" w:cstheme="minorBidi"/>
                <w:sz w:val="18"/>
                <w:szCs w:val="18"/>
                <w:rtl/>
              </w:rPr>
            </w:pPr>
            <w:r w:rsidRPr="00F00F80">
              <w:rPr>
                <w:rFonts w:asciiTheme="minorBidi" w:hAnsiTheme="minorBidi" w:cstheme="minorBidi"/>
                <w:sz w:val="18"/>
                <w:szCs w:val="18"/>
                <w:rtl/>
              </w:rPr>
              <w:t>פעילות לווים בחו"ל</w:t>
            </w:r>
          </w:p>
        </w:tc>
        <w:tc>
          <w:tcPr>
            <w:tcW w:w="1275" w:type="dxa"/>
            <w:vAlign w:val="bottom"/>
          </w:tcPr>
          <w:p w14:paraId="6451A8CA" w14:textId="77777777" w:rsidR="004E550F" w:rsidRPr="00F00F80" w:rsidRDefault="004E550F" w:rsidP="00400DD1">
            <w:pPr>
              <w:pStyle w:val="-3"/>
              <w:rPr>
                <w:rFonts w:asciiTheme="minorBidi" w:hAnsiTheme="minorBidi" w:cstheme="minorBidi"/>
                <w:b/>
                <w:bCs/>
                <w:sz w:val="18"/>
                <w:szCs w:val="18"/>
                <w:rtl/>
              </w:rPr>
            </w:pPr>
          </w:p>
        </w:tc>
        <w:tc>
          <w:tcPr>
            <w:tcW w:w="1264" w:type="dxa"/>
            <w:vAlign w:val="bottom"/>
          </w:tcPr>
          <w:p w14:paraId="2BC52FC4" w14:textId="77777777" w:rsidR="004E550F" w:rsidRPr="00F00F80" w:rsidRDefault="004E550F" w:rsidP="00400DD1">
            <w:pPr>
              <w:pStyle w:val="-3"/>
              <w:rPr>
                <w:rFonts w:asciiTheme="minorBidi" w:hAnsiTheme="minorBidi" w:cstheme="minorBidi"/>
                <w:b/>
                <w:bCs/>
                <w:sz w:val="18"/>
                <w:szCs w:val="18"/>
                <w:rtl/>
              </w:rPr>
            </w:pPr>
          </w:p>
        </w:tc>
        <w:tc>
          <w:tcPr>
            <w:tcW w:w="1134" w:type="dxa"/>
            <w:vAlign w:val="bottom"/>
          </w:tcPr>
          <w:p w14:paraId="46C638A3" w14:textId="77777777" w:rsidR="004E550F" w:rsidRPr="00F00F80" w:rsidRDefault="004E550F" w:rsidP="00400DD1">
            <w:pPr>
              <w:pStyle w:val="-3"/>
              <w:rPr>
                <w:rFonts w:asciiTheme="minorBidi" w:hAnsiTheme="minorBidi" w:cstheme="minorBidi"/>
                <w:b/>
                <w:bCs/>
                <w:sz w:val="18"/>
                <w:szCs w:val="18"/>
                <w:rtl/>
              </w:rPr>
            </w:pPr>
          </w:p>
        </w:tc>
        <w:tc>
          <w:tcPr>
            <w:tcW w:w="1418" w:type="dxa"/>
            <w:vAlign w:val="bottom"/>
          </w:tcPr>
          <w:p w14:paraId="3D77952A" w14:textId="77777777" w:rsidR="004E550F" w:rsidRPr="00F00F80" w:rsidRDefault="004E550F" w:rsidP="00400DD1">
            <w:pPr>
              <w:pStyle w:val="-3"/>
              <w:rPr>
                <w:rFonts w:asciiTheme="minorBidi" w:hAnsiTheme="minorBidi" w:cstheme="minorBidi"/>
                <w:b/>
                <w:bCs/>
                <w:sz w:val="18"/>
                <w:szCs w:val="18"/>
                <w:rtl/>
              </w:rPr>
            </w:pPr>
          </w:p>
        </w:tc>
      </w:tr>
      <w:tr w:rsidR="004E550F" w:rsidRPr="00543C25" w14:paraId="670249A5" w14:textId="77777777" w:rsidTr="00E63B86">
        <w:trPr>
          <w:trHeight w:val="259"/>
        </w:trPr>
        <w:tc>
          <w:tcPr>
            <w:tcW w:w="993" w:type="dxa"/>
          </w:tcPr>
          <w:p w14:paraId="7E512B4C" w14:textId="77777777" w:rsidR="004E550F" w:rsidRPr="00487B8A" w:rsidRDefault="004E550F" w:rsidP="00400DD1">
            <w:pPr>
              <w:pStyle w:val="-7"/>
              <w:rPr>
                <w:sz w:val="14"/>
                <w:szCs w:val="14"/>
                <w:rtl/>
              </w:rPr>
            </w:pPr>
          </w:p>
        </w:tc>
        <w:tc>
          <w:tcPr>
            <w:tcW w:w="425" w:type="dxa"/>
            <w:vAlign w:val="bottom"/>
          </w:tcPr>
          <w:p w14:paraId="0AF6EC1D" w14:textId="77777777" w:rsidR="004E550F" w:rsidRPr="00543C25" w:rsidRDefault="004E550F" w:rsidP="00400DD1">
            <w:pPr>
              <w:pStyle w:val="-7"/>
              <w:rPr>
                <w:rtl/>
              </w:rPr>
            </w:pPr>
          </w:p>
        </w:tc>
        <w:tc>
          <w:tcPr>
            <w:tcW w:w="3698" w:type="dxa"/>
            <w:vAlign w:val="bottom"/>
          </w:tcPr>
          <w:p w14:paraId="3DCCBE6C" w14:textId="77777777" w:rsidR="004E550F" w:rsidRPr="00F00F80" w:rsidRDefault="004E550F" w:rsidP="00400DD1">
            <w:pPr>
              <w:pStyle w:val="-b"/>
              <w:rPr>
                <w:rFonts w:asciiTheme="minorBidi" w:hAnsiTheme="minorBidi" w:cstheme="minorBidi"/>
                <w:sz w:val="18"/>
                <w:szCs w:val="18"/>
                <w:rtl/>
              </w:rPr>
            </w:pPr>
            <w:r w:rsidRPr="00F00F80">
              <w:rPr>
                <w:rFonts w:asciiTheme="minorBidi" w:hAnsiTheme="minorBidi" w:cstheme="minorBidi"/>
                <w:sz w:val="18"/>
                <w:szCs w:val="18"/>
                <w:rtl/>
              </w:rPr>
              <w:t>סך הכל אשראי לציבור</w:t>
            </w:r>
            <w:r w:rsidRPr="00F00F80">
              <w:rPr>
                <w:rFonts w:asciiTheme="minorBidi" w:hAnsiTheme="minorBidi" w:cstheme="minorBidi" w:hint="cs"/>
                <w:sz w:val="18"/>
                <w:szCs w:val="18"/>
                <w:rtl/>
              </w:rPr>
              <w:t xml:space="preserve"> -</w:t>
            </w:r>
            <w:r w:rsidRPr="00F00F80">
              <w:rPr>
                <w:rFonts w:asciiTheme="minorBidi" w:hAnsiTheme="minorBidi" w:cstheme="minorBidi"/>
                <w:sz w:val="18"/>
                <w:szCs w:val="18"/>
                <w:rtl/>
              </w:rPr>
              <w:t xml:space="preserve"> פעילות בחו"ל</w:t>
            </w:r>
          </w:p>
        </w:tc>
        <w:tc>
          <w:tcPr>
            <w:tcW w:w="1275" w:type="dxa"/>
            <w:vAlign w:val="bottom"/>
          </w:tcPr>
          <w:p w14:paraId="72B1FD50" w14:textId="77777777" w:rsidR="004E550F" w:rsidRPr="00F00F80" w:rsidRDefault="004E550F" w:rsidP="00400DD1">
            <w:pPr>
              <w:pStyle w:val="-f1"/>
              <w:pBdr>
                <w:top w:val="none" w:sz="0" w:space="0" w:color="auto"/>
                <w:bottom w:val="single" w:sz="4" w:space="1" w:color="auto"/>
              </w:pBdr>
              <w:rPr>
                <w:rFonts w:asciiTheme="minorBidi" w:hAnsiTheme="minorBidi" w:cstheme="minorBidi"/>
                <w:sz w:val="18"/>
                <w:szCs w:val="18"/>
                <w:rtl/>
              </w:rPr>
            </w:pPr>
            <w:r w:rsidRPr="00F00F80">
              <w:rPr>
                <w:rFonts w:asciiTheme="minorBidi" w:hAnsiTheme="minorBidi" w:cstheme="minorBidi"/>
                <w:sz w:val="18"/>
                <w:szCs w:val="18"/>
                <w:rtl/>
              </w:rPr>
              <w:t xml:space="preserve"> 0</w:t>
            </w:r>
          </w:p>
        </w:tc>
        <w:tc>
          <w:tcPr>
            <w:tcW w:w="1264" w:type="dxa"/>
            <w:vAlign w:val="bottom"/>
          </w:tcPr>
          <w:p w14:paraId="314FDC3A" w14:textId="77777777" w:rsidR="004E550F" w:rsidRPr="00F00F80" w:rsidRDefault="004E550F" w:rsidP="00400DD1">
            <w:pPr>
              <w:pStyle w:val="-f1"/>
              <w:pBdr>
                <w:top w:val="none" w:sz="0" w:space="0" w:color="auto"/>
                <w:bottom w:val="single" w:sz="4" w:space="1" w:color="auto"/>
              </w:pBdr>
              <w:rPr>
                <w:rFonts w:asciiTheme="minorBidi" w:hAnsiTheme="minorBidi" w:cstheme="minorBidi"/>
                <w:sz w:val="18"/>
                <w:szCs w:val="18"/>
                <w:rtl/>
              </w:rPr>
            </w:pPr>
            <w:r w:rsidRPr="00F00F80">
              <w:rPr>
                <w:rFonts w:asciiTheme="minorBidi" w:hAnsiTheme="minorBidi" w:cstheme="minorBidi"/>
                <w:sz w:val="18"/>
                <w:szCs w:val="18"/>
                <w:rtl/>
              </w:rPr>
              <w:t xml:space="preserve"> 0</w:t>
            </w:r>
          </w:p>
        </w:tc>
        <w:tc>
          <w:tcPr>
            <w:tcW w:w="1134" w:type="dxa"/>
            <w:vAlign w:val="bottom"/>
          </w:tcPr>
          <w:p w14:paraId="5FC061C7" w14:textId="77777777" w:rsidR="004E550F" w:rsidRPr="00F00F80" w:rsidRDefault="004E550F" w:rsidP="00400DD1">
            <w:pPr>
              <w:pStyle w:val="-f1"/>
              <w:pBdr>
                <w:top w:val="none" w:sz="0" w:space="0" w:color="auto"/>
                <w:bottom w:val="single" w:sz="4" w:space="1" w:color="auto"/>
              </w:pBdr>
              <w:rPr>
                <w:rFonts w:asciiTheme="minorBidi" w:hAnsiTheme="minorBidi" w:cstheme="minorBidi"/>
                <w:sz w:val="18"/>
                <w:szCs w:val="18"/>
                <w:rtl/>
              </w:rPr>
            </w:pPr>
            <w:r w:rsidRPr="00F00F80">
              <w:rPr>
                <w:rFonts w:asciiTheme="minorBidi" w:hAnsiTheme="minorBidi" w:cstheme="minorBidi"/>
                <w:sz w:val="18"/>
                <w:szCs w:val="18"/>
                <w:rtl/>
              </w:rPr>
              <w:t xml:space="preserve"> 0</w:t>
            </w:r>
          </w:p>
        </w:tc>
        <w:tc>
          <w:tcPr>
            <w:tcW w:w="1418" w:type="dxa"/>
            <w:vAlign w:val="bottom"/>
          </w:tcPr>
          <w:p w14:paraId="7273FEC9" w14:textId="77777777" w:rsidR="004E550F" w:rsidRPr="00F00F80" w:rsidRDefault="004E550F" w:rsidP="00400DD1">
            <w:pPr>
              <w:pStyle w:val="-f1"/>
              <w:pBdr>
                <w:top w:val="none" w:sz="0" w:space="0" w:color="auto"/>
                <w:bottom w:val="single" w:sz="4" w:space="1" w:color="auto"/>
              </w:pBdr>
              <w:rPr>
                <w:rFonts w:asciiTheme="minorBidi" w:hAnsiTheme="minorBidi" w:cstheme="minorBidi"/>
                <w:sz w:val="18"/>
                <w:szCs w:val="18"/>
                <w:rtl/>
              </w:rPr>
            </w:pPr>
            <w:r w:rsidRPr="00F00F80">
              <w:rPr>
                <w:rFonts w:asciiTheme="minorBidi" w:hAnsiTheme="minorBidi" w:cstheme="minorBidi"/>
                <w:sz w:val="18"/>
                <w:szCs w:val="18"/>
                <w:rtl/>
              </w:rPr>
              <w:t xml:space="preserve"> 0</w:t>
            </w:r>
          </w:p>
        </w:tc>
      </w:tr>
      <w:tr w:rsidR="004E550F" w:rsidRPr="00543C25" w14:paraId="57BBD907" w14:textId="77777777" w:rsidTr="00E63B86">
        <w:tc>
          <w:tcPr>
            <w:tcW w:w="993" w:type="dxa"/>
          </w:tcPr>
          <w:p w14:paraId="5DD03D0B" w14:textId="77777777" w:rsidR="004E550F" w:rsidRDefault="004E550F" w:rsidP="00400DD1">
            <w:pPr>
              <w:pStyle w:val="-7"/>
              <w:bidi w:val="0"/>
              <w:spacing w:line="120" w:lineRule="exact"/>
              <w:rPr>
                <w:sz w:val="14"/>
                <w:szCs w:val="14"/>
                <w:rtl/>
              </w:rPr>
            </w:pPr>
          </w:p>
        </w:tc>
        <w:tc>
          <w:tcPr>
            <w:tcW w:w="425" w:type="dxa"/>
            <w:vAlign w:val="bottom"/>
          </w:tcPr>
          <w:p w14:paraId="18C2C3BD" w14:textId="77777777" w:rsidR="004E550F" w:rsidRDefault="004E550F" w:rsidP="00400DD1">
            <w:pPr>
              <w:pStyle w:val="-7"/>
              <w:bidi w:val="0"/>
              <w:spacing w:line="120" w:lineRule="exact"/>
              <w:rPr>
                <w:rtl/>
              </w:rPr>
            </w:pPr>
          </w:p>
        </w:tc>
        <w:tc>
          <w:tcPr>
            <w:tcW w:w="3698" w:type="dxa"/>
            <w:vAlign w:val="bottom"/>
          </w:tcPr>
          <w:p w14:paraId="02DBDCFD" w14:textId="77777777" w:rsidR="004E550F" w:rsidRPr="00F00F80" w:rsidRDefault="004E550F" w:rsidP="00400DD1">
            <w:pPr>
              <w:pStyle w:val="-21"/>
              <w:bidi w:val="0"/>
              <w:spacing w:before="0" w:line="120" w:lineRule="exact"/>
              <w:ind w:left="432"/>
              <w:jc w:val="both"/>
              <w:rPr>
                <w:rFonts w:asciiTheme="minorBidi" w:hAnsiTheme="minorBidi" w:cstheme="minorBidi"/>
                <w:sz w:val="18"/>
                <w:szCs w:val="18"/>
                <w:rtl/>
              </w:rPr>
            </w:pPr>
          </w:p>
        </w:tc>
        <w:tc>
          <w:tcPr>
            <w:tcW w:w="1275" w:type="dxa"/>
          </w:tcPr>
          <w:p w14:paraId="47B999A5" w14:textId="77777777" w:rsidR="004E550F" w:rsidRPr="00F00F80" w:rsidRDefault="004E550F" w:rsidP="00400DD1">
            <w:pPr>
              <w:pStyle w:val="-121"/>
              <w:pBdr>
                <w:top w:val="none" w:sz="0" w:space="0" w:color="auto"/>
              </w:pBdr>
              <w:bidi w:val="0"/>
              <w:spacing w:line="120" w:lineRule="exact"/>
              <w:rPr>
                <w:rFonts w:asciiTheme="minorBidi" w:hAnsiTheme="minorBidi" w:cstheme="minorBidi"/>
                <w:b/>
                <w:bCs/>
                <w:sz w:val="18"/>
                <w:szCs w:val="18"/>
                <w:rtl/>
              </w:rPr>
            </w:pPr>
          </w:p>
        </w:tc>
        <w:tc>
          <w:tcPr>
            <w:tcW w:w="1264" w:type="dxa"/>
          </w:tcPr>
          <w:p w14:paraId="36483094" w14:textId="77777777" w:rsidR="004E550F" w:rsidRPr="00F00F80" w:rsidRDefault="004E550F" w:rsidP="00400DD1">
            <w:pPr>
              <w:pStyle w:val="-121"/>
              <w:pBdr>
                <w:top w:val="none" w:sz="0" w:space="0" w:color="auto"/>
              </w:pBdr>
              <w:bidi w:val="0"/>
              <w:spacing w:line="120" w:lineRule="exact"/>
              <w:rPr>
                <w:rFonts w:asciiTheme="minorBidi" w:hAnsiTheme="minorBidi" w:cstheme="minorBidi"/>
                <w:b/>
                <w:bCs/>
                <w:sz w:val="18"/>
                <w:szCs w:val="18"/>
                <w:rtl/>
              </w:rPr>
            </w:pPr>
          </w:p>
        </w:tc>
        <w:tc>
          <w:tcPr>
            <w:tcW w:w="1134" w:type="dxa"/>
          </w:tcPr>
          <w:p w14:paraId="0A7C5BE3" w14:textId="77777777" w:rsidR="004E550F" w:rsidRPr="00F00F80" w:rsidRDefault="004E550F" w:rsidP="00400DD1">
            <w:pPr>
              <w:pStyle w:val="-121"/>
              <w:pBdr>
                <w:top w:val="none" w:sz="0" w:space="0" w:color="auto"/>
              </w:pBdr>
              <w:bidi w:val="0"/>
              <w:spacing w:line="120" w:lineRule="exact"/>
              <w:rPr>
                <w:rFonts w:asciiTheme="minorBidi" w:hAnsiTheme="minorBidi" w:cstheme="minorBidi"/>
                <w:b/>
                <w:bCs/>
                <w:sz w:val="18"/>
                <w:szCs w:val="18"/>
                <w:rtl/>
              </w:rPr>
            </w:pPr>
          </w:p>
        </w:tc>
        <w:tc>
          <w:tcPr>
            <w:tcW w:w="1418" w:type="dxa"/>
          </w:tcPr>
          <w:p w14:paraId="5FDDB6D4" w14:textId="77777777" w:rsidR="004E550F" w:rsidRPr="00F00F80" w:rsidRDefault="004E550F" w:rsidP="00400DD1">
            <w:pPr>
              <w:pStyle w:val="-121"/>
              <w:pBdr>
                <w:top w:val="none" w:sz="0" w:space="0" w:color="auto"/>
              </w:pBdr>
              <w:bidi w:val="0"/>
              <w:spacing w:line="120" w:lineRule="exact"/>
              <w:rPr>
                <w:rFonts w:asciiTheme="minorBidi" w:hAnsiTheme="minorBidi" w:cstheme="minorBidi"/>
                <w:b/>
                <w:bCs/>
                <w:sz w:val="18"/>
                <w:szCs w:val="18"/>
                <w:rtl/>
              </w:rPr>
            </w:pPr>
          </w:p>
        </w:tc>
      </w:tr>
      <w:tr w:rsidR="004E550F" w:rsidRPr="00543C25" w14:paraId="7B562656" w14:textId="77777777" w:rsidTr="00E63B86">
        <w:trPr>
          <w:trHeight w:val="259"/>
        </w:trPr>
        <w:tc>
          <w:tcPr>
            <w:tcW w:w="993" w:type="dxa"/>
          </w:tcPr>
          <w:p w14:paraId="5C81BE9A" w14:textId="77777777" w:rsidR="004E550F" w:rsidRPr="00487B8A" w:rsidRDefault="004E550F" w:rsidP="00400DD1">
            <w:pPr>
              <w:pStyle w:val="-7"/>
              <w:rPr>
                <w:sz w:val="14"/>
                <w:szCs w:val="14"/>
                <w:rtl/>
              </w:rPr>
            </w:pPr>
          </w:p>
        </w:tc>
        <w:tc>
          <w:tcPr>
            <w:tcW w:w="425" w:type="dxa"/>
            <w:vAlign w:val="bottom"/>
          </w:tcPr>
          <w:p w14:paraId="787A0AB6" w14:textId="77777777" w:rsidR="004E550F" w:rsidRPr="00543C25" w:rsidRDefault="004E550F" w:rsidP="00400DD1">
            <w:pPr>
              <w:pStyle w:val="-7"/>
              <w:rPr>
                <w:rtl/>
              </w:rPr>
            </w:pPr>
          </w:p>
        </w:tc>
        <w:tc>
          <w:tcPr>
            <w:tcW w:w="3698" w:type="dxa"/>
            <w:vAlign w:val="bottom"/>
          </w:tcPr>
          <w:p w14:paraId="7CF9D01D" w14:textId="77777777" w:rsidR="004E550F" w:rsidRPr="00F00F80" w:rsidRDefault="004E550F" w:rsidP="00400DD1">
            <w:pPr>
              <w:pStyle w:val="-b"/>
              <w:rPr>
                <w:rFonts w:asciiTheme="minorBidi" w:hAnsiTheme="minorBidi" w:cstheme="minorBidi"/>
                <w:sz w:val="18"/>
                <w:szCs w:val="18"/>
                <w:rtl/>
              </w:rPr>
            </w:pPr>
            <w:r w:rsidRPr="00F00F80">
              <w:rPr>
                <w:rFonts w:asciiTheme="minorBidi" w:hAnsiTheme="minorBidi" w:cstheme="minorBidi"/>
                <w:sz w:val="18"/>
                <w:szCs w:val="18"/>
                <w:rtl/>
              </w:rPr>
              <w:t xml:space="preserve">סך הכל </w:t>
            </w:r>
          </w:p>
        </w:tc>
        <w:tc>
          <w:tcPr>
            <w:tcW w:w="1275" w:type="dxa"/>
            <w:vAlign w:val="bottom"/>
          </w:tcPr>
          <w:p w14:paraId="16B1ED3C" w14:textId="77777777" w:rsidR="004E550F" w:rsidRPr="00F00F80" w:rsidRDefault="004E550F" w:rsidP="00400DD1">
            <w:pPr>
              <w:pStyle w:val="-f1"/>
              <w:pBdr>
                <w:top w:val="none" w:sz="0" w:space="0" w:color="auto"/>
                <w:bottom w:val="double" w:sz="4" w:space="1" w:color="auto"/>
              </w:pBdr>
              <w:rPr>
                <w:rFonts w:asciiTheme="minorBidi" w:hAnsiTheme="minorBidi" w:cstheme="minorBidi"/>
                <w:sz w:val="18"/>
                <w:szCs w:val="18"/>
                <w:rtl/>
              </w:rPr>
            </w:pPr>
            <w:r w:rsidRPr="00F00F80">
              <w:rPr>
                <w:rFonts w:asciiTheme="minorBidi" w:hAnsiTheme="minorBidi" w:cstheme="minorBidi"/>
                <w:sz w:val="18"/>
                <w:szCs w:val="18"/>
                <w:rtl/>
              </w:rPr>
              <w:t xml:space="preserve"> 0</w:t>
            </w:r>
          </w:p>
        </w:tc>
        <w:tc>
          <w:tcPr>
            <w:tcW w:w="1264" w:type="dxa"/>
            <w:vAlign w:val="bottom"/>
          </w:tcPr>
          <w:p w14:paraId="42E6E4A6" w14:textId="77777777" w:rsidR="004E550F" w:rsidRPr="00F00F80" w:rsidRDefault="004E550F" w:rsidP="00400DD1">
            <w:pPr>
              <w:pStyle w:val="-f1"/>
              <w:pBdr>
                <w:top w:val="none" w:sz="0" w:space="0" w:color="auto"/>
                <w:bottom w:val="double" w:sz="4" w:space="1" w:color="auto"/>
              </w:pBdr>
              <w:rPr>
                <w:rFonts w:asciiTheme="minorBidi" w:hAnsiTheme="minorBidi" w:cstheme="minorBidi"/>
                <w:sz w:val="18"/>
                <w:szCs w:val="18"/>
                <w:rtl/>
              </w:rPr>
            </w:pPr>
            <w:r w:rsidRPr="00F00F80">
              <w:rPr>
                <w:rFonts w:asciiTheme="minorBidi" w:hAnsiTheme="minorBidi" w:cstheme="minorBidi"/>
                <w:sz w:val="18"/>
                <w:szCs w:val="18"/>
                <w:rtl/>
              </w:rPr>
              <w:t xml:space="preserve"> 0</w:t>
            </w:r>
          </w:p>
        </w:tc>
        <w:tc>
          <w:tcPr>
            <w:tcW w:w="1134" w:type="dxa"/>
            <w:vAlign w:val="bottom"/>
          </w:tcPr>
          <w:p w14:paraId="2EDE8395" w14:textId="77777777" w:rsidR="004E550F" w:rsidRPr="00F00F80" w:rsidRDefault="004E550F" w:rsidP="00400DD1">
            <w:pPr>
              <w:pStyle w:val="-f1"/>
              <w:pBdr>
                <w:top w:val="none" w:sz="0" w:space="0" w:color="auto"/>
                <w:bottom w:val="double" w:sz="4" w:space="1" w:color="auto"/>
              </w:pBdr>
              <w:rPr>
                <w:rFonts w:asciiTheme="minorBidi" w:hAnsiTheme="minorBidi" w:cstheme="minorBidi"/>
                <w:sz w:val="18"/>
                <w:szCs w:val="18"/>
                <w:rtl/>
              </w:rPr>
            </w:pPr>
            <w:r w:rsidRPr="00F00F80">
              <w:rPr>
                <w:rFonts w:asciiTheme="minorBidi" w:hAnsiTheme="minorBidi" w:cstheme="minorBidi"/>
                <w:sz w:val="18"/>
                <w:szCs w:val="18"/>
                <w:rtl/>
              </w:rPr>
              <w:t xml:space="preserve"> 0</w:t>
            </w:r>
          </w:p>
        </w:tc>
        <w:tc>
          <w:tcPr>
            <w:tcW w:w="1418" w:type="dxa"/>
            <w:vAlign w:val="bottom"/>
          </w:tcPr>
          <w:p w14:paraId="296AA55A" w14:textId="77777777" w:rsidR="004E550F" w:rsidRPr="00F00F80" w:rsidRDefault="004E550F" w:rsidP="00400DD1">
            <w:pPr>
              <w:pStyle w:val="-f1"/>
              <w:pBdr>
                <w:top w:val="none" w:sz="0" w:space="0" w:color="auto"/>
                <w:bottom w:val="double" w:sz="4" w:space="1" w:color="auto"/>
              </w:pBdr>
              <w:rPr>
                <w:rFonts w:asciiTheme="minorBidi" w:hAnsiTheme="minorBidi" w:cstheme="minorBidi"/>
                <w:sz w:val="18"/>
                <w:szCs w:val="18"/>
                <w:rtl/>
              </w:rPr>
            </w:pPr>
            <w:r w:rsidRPr="00F00F80">
              <w:rPr>
                <w:rFonts w:asciiTheme="minorBidi" w:hAnsiTheme="minorBidi" w:cstheme="minorBidi"/>
                <w:sz w:val="18"/>
                <w:szCs w:val="18"/>
                <w:rtl/>
              </w:rPr>
              <w:t xml:space="preserve"> 0</w:t>
            </w:r>
          </w:p>
        </w:tc>
      </w:tr>
      <w:tr w:rsidR="004E550F" w:rsidRPr="00543C25" w14:paraId="139D714E" w14:textId="77777777" w:rsidTr="00E63B86">
        <w:tc>
          <w:tcPr>
            <w:tcW w:w="993" w:type="dxa"/>
          </w:tcPr>
          <w:p w14:paraId="3309BDBC" w14:textId="77777777" w:rsidR="004E550F" w:rsidRDefault="004E550F" w:rsidP="00400DD1">
            <w:pPr>
              <w:pStyle w:val="-7"/>
              <w:bidi w:val="0"/>
              <w:spacing w:line="60" w:lineRule="exact"/>
              <w:rPr>
                <w:sz w:val="14"/>
                <w:szCs w:val="14"/>
                <w:rtl/>
              </w:rPr>
            </w:pPr>
          </w:p>
        </w:tc>
        <w:tc>
          <w:tcPr>
            <w:tcW w:w="425" w:type="dxa"/>
            <w:vAlign w:val="bottom"/>
          </w:tcPr>
          <w:p w14:paraId="17C09EF4" w14:textId="77777777" w:rsidR="004E550F" w:rsidRDefault="004E550F" w:rsidP="00400DD1">
            <w:pPr>
              <w:pStyle w:val="-7"/>
              <w:bidi w:val="0"/>
              <w:spacing w:line="60" w:lineRule="exact"/>
              <w:rPr>
                <w:rtl/>
              </w:rPr>
            </w:pPr>
          </w:p>
        </w:tc>
        <w:tc>
          <w:tcPr>
            <w:tcW w:w="3698" w:type="dxa"/>
            <w:vAlign w:val="bottom"/>
          </w:tcPr>
          <w:p w14:paraId="539EBF52" w14:textId="77777777" w:rsidR="004E550F" w:rsidRDefault="004E550F" w:rsidP="00400DD1">
            <w:pPr>
              <w:pStyle w:val="-b"/>
              <w:bidi w:val="0"/>
              <w:spacing w:line="60" w:lineRule="exact"/>
              <w:jc w:val="both"/>
              <w:rPr>
                <w:rtl/>
              </w:rPr>
            </w:pPr>
          </w:p>
        </w:tc>
        <w:tc>
          <w:tcPr>
            <w:tcW w:w="1275" w:type="dxa"/>
            <w:vAlign w:val="bottom"/>
          </w:tcPr>
          <w:p w14:paraId="0C1E8DF9" w14:textId="77777777" w:rsidR="004E550F" w:rsidRDefault="004E550F" w:rsidP="00400DD1">
            <w:pPr>
              <w:pStyle w:val="-212"/>
              <w:pBdr>
                <w:top w:val="none" w:sz="0" w:space="0" w:color="auto"/>
              </w:pBdr>
              <w:bidi w:val="0"/>
              <w:spacing w:line="60" w:lineRule="exact"/>
              <w:jc w:val="both"/>
              <w:rPr>
                <w:rtl/>
              </w:rPr>
            </w:pPr>
          </w:p>
        </w:tc>
        <w:tc>
          <w:tcPr>
            <w:tcW w:w="1264" w:type="dxa"/>
            <w:vAlign w:val="bottom"/>
          </w:tcPr>
          <w:p w14:paraId="0B39537D" w14:textId="77777777" w:rsidR="004E550F" w:rsidRDefault="004E550F" w:rsidP="00400DD1">
            <w:pPr>
              <w:pStyle w:val="-212"/>
              <w:pBdr>
                <w:top w:val="none" w:sz="0" w:space="0" w:color="auto"/>
              </w:pBdr>
              <w:bidi w:val="0"/>
              <w:spacing w:line="60" w:lineRule="exact"/>
              <w:jc w:val="both"/>
              <w:rPr>
                <w:rtl/>
              </w:rPr>
            </w:pPr>
          </w:p>
        </w:tc>
        <w:tc>
          <w:tcPr>
            <w:tcW w:w="1134" w:type="dxa"/>
          </w:tcPr>
          <w:p w14:paraId="3144A792" w14:textId="77777777" w:rsidR="004E550F" w:rsidRDefault="004E550F" w:rsidP="00400DD1">
            <w:pPr>
              <w:pStyle w:val="-212"/>
              <w:pBdr>
                <w:top w:val="none" w:sz="0" w:space="0" w:color="auto"/>
              </w:pBdr>
              <w:bidi w:val="0"/>
              <w:spacing w:line="60" w:lineRule="exact"/>
              <w:jc w:val="both"/>
              <w:rPr>
                <w:rtl/>
              </w:rPr>
            </w:pPr>
          </w:p>
        </w:tc>
        <w:tc>
          <w:tcPr>
            <w:tcW w:w="1418" w:type="dxa"/>
          </w:tcPr>
          <w:p w14:paraId="31DD589E" w14:textId="77777777" w:rsidR="004E550F" w:rsidRDefault="004E550F" w:rsidP="00400DD1">
            <w:pPr>
              <w:pStyle w:val="-212"/>
              <w:pBdr>
                <w:top w:val="none" w:sz="0" w:space="0" w:color="auto"/>
              </w:pBdr>
              <w:bidi w:val="0"/>
              <w:spacing w:line="60" w:lineRule="exact"/>
              <w:jc w:val="both"/>
              <w:rPr>
                <w:rtl/>
              </w:rPr>
            </w:pPr>
          </w:p>
        </w:tc>
      </w:tr>
    </w:tbl>
    <w:p w14:paraId="09B7953C" w14:textId="16464004" w:rsidR="004E550F" w:rsidRDefault="004E550F">
      <w:pPr>
        <w:rPr>
          <w:rtl/>
        </w:rPr>
      </w:pPr>
    </w:p>
    <w:p w14:paraId="2012A0A3" w14:textId="77777777" w:rsidR="004E550F" w:rsidRDefault="004E550F"/>
    <w:tbl>
      <w:tblPr>
        <w:bidiVisual/>
        <w:tblW w:w="5000" w:type="pct"/>
        <w:tblInd w:w="-1" w:type="dxa"/>
        <w:tblLayout w:type="fixed"/>
        <w:tblLook w:val="01E0" w:firstRow="1" w:lastRow="1" w:firstColumn="1" w:lastColumn="1" w:noHBand="0" w:noVBand="0"/>
      </w:tblPr>
      <w:tblGrid>
        <w:gridCol w:w="993"/>
        <w:gridCol w:w="425"/>
        <w:gridCol w:w="8789"/>
      </w:tblGrid>
      <w:tr w:rsidR="00E36A2E" w:rsidRPr="00543C25" w14:paraId="49F63C90" w14:textId="77777777" w:rsidTr="00E63B86">
        <w:trPr>
          <w:trHeight w:val="245"/>
        </w:trPr>
        <w:tc>
          <w:tcPr>
            <w:tcW w:w="993" w:type="dxa"/>
          </w:tcPr>
          <w:p w14:paraId="58135B02" w14:textId="77777777" w:rsidR="00E36A2E" w:rsidRDefault="00E36A2E" w:rsidP="00400DD1">
            <w:pPr>
              <w:pStyle w:val="-a"/>
              <w:spacing w:after="0" w:line="240" w:lineRule="exact"/>
              <w:rPr>
                <w:rtl/>
              </w:rPr>
            </w:pPr>
          </w:p>
        </w:tc>
        <w:tc>
          <w:tcPr>
            <w:tcW w:w="425" w:type="dxa"/>
          </w:tcPr>
          <w:p w14:paraId="799739D5" w14:textId="77777777" w:rsidR="00E36A2E" w:rsidRDefault="00E36A2E" w:rsidP="00400DD1">
            <w:pPr>
              <w:pStyle w:val="-a"/>
              <w:spacing w:after="0" w:line="240" w:lineRule="exact"/>
              <w:rPr>
                <w:rtl/>
              </w:rPr>
            </w:pPr>
          </w:p>
        </w:tc>
        <w:tc>
          <w:tcPr>
            <w:tcW w:w="8789" w:type="dxa"/>
          </w:tcPr>
          <w:p w14:paraId="3992A5FA" w14:textId="77777777" w:rsidR="00E36A2E" w:rsidRPr="004E550F" w:rsidRDefault="00E36A2E" w:rsidP="00400DD1">
            <w:pPr>
              <w:pStyle w:val="-a"/>
              <w:spacing w:after="0" w:line="240" w:lineRule="exact"/>
              <w:ind w:left="454" w:hanging="454"/>
              <w:rPr>
                <w:rtl/>
              </w:rPr>
            </w:pPr>
            <w:r w:rsidRPr="004E550F">
              <w:rPr>
                <w:rtl/>
              </w:rPr>
              <w:t>(</w:t>
            </w:r>
            <w:r w:rsidRPr="004E550F">
              <w:rPr>
                <w:rFonts w:hint="cs"/>
                <w:rtl/>
              </w:rPr>
              <w:t>א</w:t>
            </w:r>
            <w:r w:rsidRPr="004E550F">
              <w:rPr>
                <w:rtl/>
              </w:rPr>
              <w:t>)</w:t>
            </w:r>
            <w:r w:rsidRPr="004E550F">
              <w:rPr>
                <w:rFonts w:hint="cs"/>
                <w:rtl/>
              </w:rPr>
              <w:tab/>
            </w:r>
            <w:r w:rsidRPr="004E550F">
              <w:rPr>
                <w:rFonts w:hint="eastAsia"/>
                <w:rtl/>
              </w:rPr>
              <w:t>חובות</w:t>
            </w:r>
            <w:r w:rsidRPr="004E550F">
              <w:rPr>
                <w:rtl/>
              </w:rPr>
              <w:t xml:space="preserve"> </w:t>
            </w:r>
            <w:r w:rsidRPr="004E550F">
              <w:rPr>
                <w:rFonts w:hint="eastAsia"/>
                <w:rtl/>
              </w:rPr>
              <w:t>שהפכו</w:t>
            </w:r>
            <w:r w:rsidRPr="004E550F">
              <w:rPr>
                <w:rtl/>
              </w:rPr>
              <w:t xml:space="preserve"> </w:t>
            </w:r>
            <w:r w:rsidRPr="004E550F">
              <w:rPr>
                <w:rFonts w:hint="cs"/>
                <w:rtl/>
              </w:rPr>
              <w:t>בתקופת</w:t>
            </w:r>
            <w:r w:rsidRPr="004E550F">
              <w:rPr>
                <w:rtl/>
              </w:rPr>
              <w:t xml:space="preserve"> </w:t>
            </w:r>
            <w:r w:rsidRPr="004E550F">
              <w:rPr>
                <w:rFonts w:hint="eastAsia"/>
                <w:rtl/>
              </w:rPr>
              <w:t>הדיווח</w:t>
            </w:r>
            <w:r w:rsidRPr="004E550F">
              <w:rPr>
                <w:rtl/>
              </w:rPr>
              <w:t xml:space="preserve"> </w:t>
            </w:r>
            <w:r w:rsidRPr="004E550F">
              <w:rPr>
                <w:rFonts w:hint="eastAsia"/>
                <w:rtl/>
              </w:rPr>
              <w:t>לחובות</w:t>
            </w:r>
            <w:r w:rsidRPr="004E550F">
              <w:rPr>
                <w:rtl/>
              </w:rPr>
              <w:t xml:space="preserve"> </w:t>
            </w:r>
            <w:r w:rsidRPr="004E550F">
              <w:rPr>
                <w:rFonts w:hint="eastAsia"/>
                <w:rtl/>
              </w:rPr>
              <w:t>בפיגור</w:t>
            </w:r>
            <w:r w:rsidRPr="004E550F">
              <w:rPr>
                <w:rtl/>
              </w:rPr>
              <w:t xml:space="preserve"> </w:t>
            </w:r>
            <w:r w:rsidRPr="004E550F">
              <w:rPr>
                <w:rFonts w:hint="eastAsia"/>
                <w:rtl/>
              </w:rPr>
              <w:t>של</w:t>
            </w:r>
            <w:r w:rsidRPr="004E550F">
              <w:rPr>
                <w:rtl/>
              </w:rPr>
              <w:t xml:space="preserve"> 30 </w:t>
            </w:r>
            <w:r w:rsidRPr="004E550F">
              <w:rPr>
                <w:rFonts w:hint="eastAsia"/>
                <w:rtl/>
              </w:rPr>
              <w:t>ימים</w:t>
            </w:r>
            <w:r w:rsidRPr="004E550F">
              <w:rPr>
                <w:rtl/>
              </w:rPr>
              <w:t xml:space="preserve"> </w:t>
            </w:r>
            <w:r w:rsidRPr="004E550F">
              <w:rPr>
                <w:rFonts w:hint="eastAsia"/>
                <w:rtl/>
              </w:rPr>
              <w:t>או</w:t>
            </w:r>
            <w:r w:rsidRPr="004E550F">
              <w:rPr>
                <w:rtl/>
              </w:rPr>
              <w:t xml:space="preserve"> </w:t>
            </w:r>
            <w:r w:rsidRPr="004E550F">
              <w:rPr>
                <w:rFonts w:hint="eastAsia"/>
                <w:rtl/>
              </w:rPr>
              <w:t>יותר</w:t>
            </w:r>
            <w:r w:rsidRPr="004E550F">
              <w:rPr>
                <w:rtl/>
              </w:rPr>
              <w:t xml:space="preserve">, </w:t>
            </w:r>
            <w:r w:rsidRPr="004E550F">
              <w:rPr>
                <w:rFonts w:hint="eastAsia"/>
                <w:rtl/>
              </w:rPr>
              <w:t>אשר</w:t>
            </w:r>
            <w:r w:rsidRPr="004E550F">
              <w:rPr>
                <w:rtl/>
              </w:rPr>
              <w:t xml:space="preserve"> </w:t>
            </w:r>
            <w:r w:rsidRPr="004E550F">
              <w:rPr>
                <w:rFonts w:hint="eastAsia"/>
                <w:rtl/>
              </w:rPr>
              <w:t>אורגנו</w:t>
            </w:r>
            <w:r w:rsidRPr="004E550F">
              <w:rPr>
                <w:rtl/>
              </w:rPr>
              <w:t xml:space="preserve"> </w:t>
            </w:r>
            <w:r w:rsidRPr="004E550F">
              <w:rPr>
                <w:rFonts w:hint="eastAsia"/>
                <w:rtl/>
              </w:rPr>
              <w:t>מחדש</w:t>
            </w:r>
            <w:r w:rsidRPr="004E550F">
              <w:rPr>
                <w:rtl/>
              </w:rPr>
              <w:t xml:space="preserve"> </w:t>
            </w:r>
            <w:r w:rsidRPr="004E550F">
              <w:rPr>
                <w:rFonts w:hint="eastAsia"/>
                <w:rtl/>
              </w:rPr>
              <w:t>בארגון</w:t>
            </w:r>
            <w:r w:rsidRPr="004E550F">
              <w:rPr>
                <w:rtl/>
              </w:rPr>
              <w:t xml:space="preserve"> </w:t>
            </w:r>
            <w:r w:rsidRPr="004E550F">
              <w:rPr>
                <w:rFonts w:hint="eastAsia"/>
                <w:rtl/>
              </w:rPr>
              <w:t>מחדש</w:t>
            </w:r>
            <w:r w:rsidRPr="004E550F">
              <w:rPr>
                <w:rtl/>
              </w:rPr>
              <w:t xml:space="preserve"> </w:t>
            </w:r>
            <w:r w:rsidRPr="004E550F">
              <w:rPr>
                <w:rFonts w:hint="eastAsia"/>
                <w:rtl/>
              </w:rPr>
              <w:t>של</w:t>
            </w:r>
            <w:r w:rsidRPr="004E550F">
              <w:rPr>
                <w:rtl/>
              </w:rPr>
              <w:t xml:space="preserve"> </w:t>
            </w:r>
            <w:r w:rsidRPr="004E550F">
              <w:rPr>
                <w:rFonts w:hint="eastAsia"/>
                <w:rtl/>
              </w:rPr>
              <w:t>חוב</w:t>
            </w:r>
            <w:r w:rsidRPr="004E550F">
              <w:rPr>
                <w:rtl/>
              </w:rPr>
              <w:t xml:space="preserve"> </w:t>
            </w:r>
            <w:r w:rsidRPr="004E550F">
              <w:rPr>
                <w:rFonts w:hint="eastAsia"/>
                <w:rtl/>
              </w:rPr>
              <w:t>בעייתי</w:t>
            </w:r>
            <w:r w:rsidRPr="004E550F">
              <w:rPr>
                <w:rtl/>
              </w:rPr>
              <w:t xml:space="preserve"> </w:t>
            </w:r>
            <w:r w:rsidRPr="004E550F">
              <w:rPr>
                <w:rFonts w:hint="eastAsia"/>
                <w:rtl/>
              </w:rPr>
              <w:t>במהלך</w:t>
            </w:r>
            <w:r w:rsidRPr="004E550F">
              <w:rPr>
                <w:rtl/>
              </w:rPr>
              <w:t xml:space="preserve"> 12 </w:t>
            </w:r>
            <w:r w:rsidRPr="004E550F">
              <w:rPr>
                <w:rFonts w:hint="eastAsia"/>
                <w:rtl/>
              </w:rPr>
              <w:t>החודשים</w:t>
            </w:r>
            <w:r w:rsidRPr="004E550F">
              <w:rPr>
                <w:rtl/>
              </w:rPr>
              <w:t xml:space="preserve"> </w:t>
            </w:r>
            <w:r w:rsidRPr="004E550F">
              <w:rPr>
                <w:rFonts w:hint="eastAsia"/>
                <w:rtl/>
              </w:rPr>
              <w:t>שקדמו</w:t>
            </w:r>
            <w:r w:rsidRPr="004E550F">
              <w:rPr>
                <w:rtl/>
              </w:rPr>
              <w:t xml:space="preserve"> </w:t>
            </w:r>
            <w:r w:rsidRPr="004E550F">
              <w:rPr>
                <w:rFonts w:hint="eastAsia"/>
                <w:rtl/>
              </w:rPr>
              <w:t>למועד</w:t>
            </w:r>
            <w:r w:rsidRPr="004E550F">
              <w:rPr>
                <w:rtl/>
              </w:rPr>
              <w:t xml:space="preserve"> </w:t>
            </w:r>
            <w:r w:rsidRPr="004E550F">
              <w:rPr>
                <w:rFonts w:hint="eastAsia"/>
                <w:rtl/>
              </w:rPr>
              <w:t>שבו</w:t>
            </w:r>
            <w:r w:rsidRPr="004E550F">
              <w:rPr>
                <w:rtl/>
              </w:rPr>
              <w:t xml:space="preserve"> </w:t>
            </w:r>
            <w:r w:rsidRPr="004E550F">
              <w:rPr>
                <w:rFonts w:hint="eastAsia"/>
                <w:rtl/>
              </w:rPr>
              <w:t>הם</w:t>
            </w:r>
            <w:r w:rsidRPr="004E550F">
              <w:rPr>
                <w:rtl/>
              </w:rPr>
              <w:t xml:space="preserve"> </w:t>
            </w:r>
            <w:r w:rsidRPr="004E550F">
              <w:rPr>
                <w:rFonts w:hint="eastAsia"/>
                <w:rtl/>
              </w:rPr>
              <w:t>הפכו</w:t>
            </w:r>
            <w:r w:rsidRPr="004E550F">
              <w:rPr>
                <w:rtl/>
              </w:rPr>
              <w:t xml:space="preserve"> </w:t>
            </w:r>
            <w:r w:rsidRPr="004E550F">
              <w:rPr>
                <w:rFonts w:hint="eastAsia"/>
                <w:rtl/>
              </w:rPr>
              <w:t>לחובות</w:t>
            </w:r>
            <w:r w:rsidRPr="004E550F">
              <w:rPr>
                <w:rtl/>
              </w:rPr>
              <w:t xml:space="preserve"> </w:t>
            </w:r>
            <w:r w:rsidRPr="004E550F">
              <w:rPr>
                <w:rFonts w:hint="eastAsia"/>
                <w:rtl/>
              </w:rPr>
              <w:t>בפיגור</w:t>
            </w:r>
            <w:r w:rsidRPr="004E550F">
              <w:rPr>
                <w:rtl/>
              </w:rPr>
              <w:t>.</w:t>
            </w:r>
          </w:p>
        </w:tc>
      </w:tr>
    </w:tbl>
    <w:p w14:paraId="39054719" w14:textId="4419698A" w:rsidR="00E84F6A" w:rsidRDefault="00E84F6A">
      <w:pPr>
        <w:spacing w:line="360" w:lineRule="auto"/>
        <w:rPr>
          <w:rtl/>
        </w:rPr>
      </w:pPr>
    </w:p>
    <w:p w14:paraId="1DF2B00C" w14:textId="77777777" w:rsidR="00E84F6A" w:rsidRDefault="00E84F6A">
      <w:pPr>
        <w:bidi w:val="0"/>
        <w:jc w:val="left"/>
        <w:rPr>
          <w:rtl/>
        </w:rPr>
      </w:pPr>
      <w:r>
        <w:rPr>
          <w:rtl/>
        </w:rPr>
        <w:br w:type="page"/>
      </w:r>
    </w:p>
    <w:tbl>
      <w:tblPr>
        <w:bidiVisual/>
        <w:tblW w:w="4974" w:type="pct"/>
        <w:tblInd w:w="-4" w:type="dxa"/>
        <w:tblLayout w:type="fixed"/>
        <w:tblLook w:val="04A0" w:firstRow="1" w:lastRow="0" w:firstColumn="1" w:lastColumn="0" w:noHBand="0" w:noVBand="1"/>
      </w:tblPr>
      <w:tblGrid>
        <w:gridCol w:w="1077"/>
        <w:gridCol w:w="425"/>
        <w:gridCol w:w="8595"/>
        <w:gridCol w:w="57"/>
      </w:tblGrid>
      <w:tr w:rsidR="00F21FF0" w14:paraId="18F1311A" w14:textId="77777777" w:rsidTr="00E63B86">
        <w:trPr>
          <w:gridAfter w:val="1"/>
          <w:wAfter w:w="57" w:type="dxa"/>
          <w:trHeight w:val="259"/>
        </w:trPr>
        <w:tc>
          <w:tcPr>
            <w:tcW w:w="1077" w:type="dxa"/>
          </w:tcPr>
          <w:p w14:paraId="787F5E9A" w14:textId="77777777" w:rsidR="00F21FF0" w:rsidRDefault="00F21FF0">
            <w:pPr>
              <w:spacing w:after="60"/>
              <w:ind w:right="-144"/>
              <w:jc w:val="left"/>
              <w:rPr>
                <w:spacing w:val="-6"/>
                <w:sz w:val="14"/>
                <w:szCs w:val="14"/>
              </w:rPr>
            </w:pPr>
            <w:bookmarkStart w:id="49" w:name="_Hlk93661811"/>
            <w:bookmarkStart w:id="50" w:name="_Hlk102295004"/>
          </w:p>
        </w:tc>
        <w:tc>
          <w:tcPr>
            <w:tcW w:w="9020" w:type="dxa"/>
            <w:gridSpan w:val="2"/>
            <w:hideMark/>
          </w:tcPr>
          <w:p w14:paraId="495D3CC5" w14:textId="77777777" w:rsidR="00F21FF0" w:rsidRDefault="00F21FF0">
            <w:pPr>
              <w:spacing w:after="60"/>
              <w:rPr>
                <w:b/>
                <w:bCs/>
                <w:sz w:val="22"/>
                <w:szCs w:val="22"/>
                <w:rtl/>
              </w:rPr>
            </w:pPr>
            <w:r>
              <w:rPr>
                <w:rFonts w:hint="cs"/>
                <w:b/>
                <w:bCs/>
                <w:sz w:val="22"/>
                <w:szCs w:val="22"/>
                <w:rtl/>
              </w:rPr>
              <w:t>ביאור 12  -  מידע נוסף על סיכון אשראי, אשראי לציבור והפרשה להפסדי אשראי (המשך):</w:t>
            </w:r>
          </w:p>
        </w:tc>
      </w:tr>
      <w:tr w:rsidR="00F21FF0" w14:paraId="5E726684" w14:textId="77777777" w:rsidTr="00E63B86">
        <w:trPr>
          <w:gridAfter w:val="1"/>
          <w:wAfter w:w="57" w:type="dxa"/>
          <w:trHeight w:val="245"/>
        </w:trPr>
        <w:tc>
          <w:tcPr>
            <w:tcW w:w="1077" w:type="dxa"/>
          </w:tcPr>
          <w:p w14:paraId="77F57C9F" w14:textId="77777777" w:rsidR="00F21FF0" w:rsidRDefault="00F21FF0">
            <w:pPr>
              <w:spacing w:before="100" w:after="60"/>
              <w:rPr>
                <w:rtl/>
              </w:rPr>
            </w:pPr>
          </w:p>
        </w:tc>
        <w:tc>
          <w:tcPr>
            <w:tcW w:w="425" w:type="dxa"/>
            <w:hideMark/>
          </w:tcPr>
          <w:p w14:paraId="1FBAD939" w14:textId="77777777" w:rsidR="00F21FF0" w:rsidRDefault="00F21FF0">
            <w:pPr>
              <w:spacing w:before="60" w:after="60"/>
              <w:jc w:val="left"/>
              <w:rPr>
                <w:b/>
                <w:bCs/>
                <w:rtl/>
              </w:rPr>
            </w:pPr>
            <w:r>
              <w:rPr>
                <w:rFonts w:hint="cs"/>
                <w:b/>
                <w:bCs/>
                <w:rtl/>
              </w:rPr>
              <w:t>ב.</w:t>
            </w:r>
          </w:p>
        </w:tc>
        <w:tc>
          <w:tcPr>
            <w:tcW w:w="8595" w:type="dxa"/>
            <w:hideMark/>
          </w:tcPr>
          <w:p w14:paraId="5E2C241D" w14:textId="77777777" w:rsidR="00F21FF0" w:rsidRDefault="00F21FF0">
            <w:pPr>
              <w:spacing w:before="60" w:after="60"/>
              <w:jc w:val="left"/>
              <w:rPr>
                <w:b/>
                <w:bCs/>
                <w:rtl/>
              </w:rPr>
            </w:pPr>
            <w:r>
              <w:rPr>
                <w:rFonts w:hint="cs"/>
                <w:b/>
                <w:bCs/>
                <w:rtl/>
              </w:rPr>
              <w:t>אשראי לציבור</w:t>
            </w:r>
            <w:r>
              <w:rPr>
                <w:rFonts w:hint="cs"/>
                <w:rtl/>
              </w:rPr>
              <w:t xml:space="preserve"> </w:t>
            </w:r>
            <w:r>
              <w:rPr>
                <w:rFonts w:hint="cs"/>
                <w:b/>
                <w:bCs/>
                <w:rtl/>
              </w:rPr>
              <w:t>(המשך):</w:t>
            </w:r>
          </w:p>
        </w:tc>
      </w:tr>
      <w:bookmarkEnd w:id="49"/>
      <w:tr w:rsidR="00F21FF0" w14:paraId="7F621316" w14:textId="77777777" w:rsidTr="00E63B86">
        <w:trPr>
          <w:trHeight w:val="245"/>
        </w:trPr>
        <w:tc>
          <w:tcPr>
            <w:tcW w:w="1502" w:type="dxa"/>
            <w:gridSpan w:val="2"/>
            <w:hideMark/>
          </w:tcPr>
          <w:p w14:paraId="47BA125E" w14:textId="793BF2BE" w:rsidR="00F21FF0" w:rsidRDefault="00F21FF0">
            <w:pPr>
              <w:spacing w:before="60" w:after="60"/>
            </w:pPr>
            <w:r>
              <w:rPr>
                <w:rFonts w:hint="cs"/>
                <w:spacing w:val="-8"/>
                <w:sz w:val="14"/>
                <w:szCs w:val="14"/>
                <w:rtl/>
              </w:rPr>
              <w:t>מ</w:t>
            </w:r>
            <w:r w:rsidR="004A285E">
              <w:rPr>
                <w:rFonts w:hint="cs"/>
                <w:spacing w:val="-8"/>
                <w:sz w:val="14"/>
                <w:szCs w:val="14"/>
                <w:rtl/>
              </w:rPr>
              <w:t>.</w:t>
            </w:r>
            <w:r>
              <w:rPr>
                <w:rFonts w:hint="cs"/>
                <w:spacing w:val="-8"/>
                <w:sz w:val="14"/>
                <w:szCs w:val="14"/>
                <w:rtl/>
              </w:rPr>
              <w:t xml:space="preserve"> ביאור עמ' </w:t>
            </w:r>
            <w:r w:rsidR="00E84F6A">
              <w:rPr>
                <w:rFonts w:hint="cs"/>
                <w:spacing w:val="-8"/>
                <w:sz w:val="14"/>
                <w:szCs w:val="14"/>
                <w:rtl/>
              </w:rPr>
              <w:t>663-51</w:t>
            </w:r>
          </w:p>
        </w:tc>
        <w:tc>
          <w:tcPr>
            <w:tcW w:w="8652" w:type="dxa"/>
            <w:gridSpan w:val="2"/>
            <w:tcBorders>
              <w:left w:val="nil"/>
            </w:tcBorders>
            <w:hideMark/>
          </w:tcPr>
          <w:p w14:paraId="0FD527BC" w14:textId="1248AC72" w:rsidR="00F21FF0" w:rsidRPr="006A5A39" w:rsidRDefault="00F21FF0">
            <w:pPr>
              <w:tabs>
                <w:tab w:val="left" w:pos="572"/>
              </w:tabs>
              <w:spacing w:before="60" w:after="60" w:line="216" w:lineRule="auto"/>
              <w:ind w:left="446" w:hanging="446"/>
              <w:rPr>
                <w:sz w:val="18"/>
                <w:szCs w:val="18"/>
              </w:rPr>
            </w:pPr>
            <w:r w:rsidRPr="006A5A39">
              <w:rPr>
                <w:rFonts w:hint="cs"/>
                <w:b/>
                <w:bCs/>
                <w:sz w:val="18"/>
                <w:szCs w:val="18"/>
                <w:rtl/>
              </w:rPr>
              <w:t>2.</w:t>
            </w:r>
            <w:r w:rsidR="00886EE2" w:rsidRPr="006A5A39">
              <w:rPr>
                <w:rFonts w:hint="cs"/>
                <w:b/>
                <w:bCs/>
                <w:sz w:val="18"/>
                <w:szCs w:val="18"/>
                <w:rtl/>
              </w:rPr>
              <w:t>ד</w:t>
            </w:r>
            <w:r w:rsidRPr="006A5A39">
              <w:rPr>
                <w:rFonts w:hint="cs"/>
                <w:b/>
                <w:bCs/>
                <w:sz w:val="18"/>
                <w:szCs w:val="18"/>
                <w:rtl/>
              </w:rPr>
              <w:t>.</w:t>
            </w:r>
            <w:r w:rsidRPr="006A5A39">
              <w:rPr>
                <w:rFonts w:hint="cs"/>
                <w:b/>
                <w:bCs/>
                <w:sz w:val="18"/>
                <w:szCs w:val="18"/>
                <w:rtl/>
              </w:rPr>
              <w:tab/>
              <w:t>מידע נוסף על אשראי לא צובר בפיגור</w:t>
            </w:r>
          </w:p>
        </w:tc>
      </w:tr>
    </w:tbl>
    <w:p w14:paraId="5DE0FDE4" w14:textId="77777777" w:rsidR="006D671B" w:rsidRDefault="006D671B"/>
    <w:tbl>
      <w:tblPr>
        <w:bidiVisual/>
        <w:tblW w:w="4974" w:type="pct"/>
        <w:tblInd w:w="-4" w:type="dxa"/>
        <w:tblLayout w:type="fixed"/>
        <w:tblLook w:val="04A0" w:firstRow="1" w:lastRow="0" w:firstColumn="1" w:lastColumn="0" w:noHBand="0" w:noVBand="1"/>
      </w:tblPr>
      <w:tblGrid>
        <w:gridCol w:w="941"/>
        <w:gridCol w:w="1701"/>
        <w:gridCol w:w="1134"/>
        <w:gridCol w:w="992"/>
        <w:gridCol w:w="1134"/>
        <w:gridCol w:w="992"/>
        <w:gridCol w:w="993"/>
        <w:gridCol w:w="992"/>
        <w:gridCol w:w="709"/>
        <w:gridCol w:w="566"/>
      </w:tblGrid>
      <w:tr w:rsidR="00F21FF0" w14:paraId="3989F2E4" w14:textId="77777777" w:rsidTr="006D671B">
        <w:trPr>
          <w:trHeight w:val="259"/>
        </w:trPr>
        <w:tc>
          <w:tcPr>
            <w:tcW w:w="941" w:type="dxa"/>
          </w:tcPr>
          <w:p w14:paraId="7083313E" w14:textId="77777777" w:rsidR="00F21FF0" w:rsidRDefault="00F21FF0">
            <w:pPr>
              <w:spacing w:before="60"/>
              <w:jc w:val="left"/>
              <w:rPr>
                <w:sz w:val="14"/>
                <w:szCs w:val="14"/>
                <w:rtl/>
              </w:rPr>
            </w:pPr>
          </w:p>
        </w:tc>
        <w:tc>
          <w:tcPr>
            <w:tcW w:w="1701" w:type="dxa"/>
            <w:tcBorders>
              <w:left w:val="nil"/>
            </w:tcBorders>
            <w:vAlign w:val="bottom"/>
          </w:tcPr>
          <w:p w14:paraId="02CDC7ED" w14:textId="77777777" w:rsidR="00F21FF0" w:rsidRDefault="00F21FF0">
            <w:pPr>
              <w:ind w:left="144" w:hanging="144"/>
              <w:jc w:val="left"/>
              <w:rPr>
                <w:color w:val="000000"/>
                <w:rtl/>
                <w:lang w:eastAsia="he-IL"/>
              </w:rPr>
            </w:pPr>
          </w:p>
        </w:tc>
        <w:tc>
          <w:tcPr>
            <w:tcW w:w="7512" w:type="dxa"/>
            <w:gridSpan w:val="8"/>
            <w:vAlign w:val="bottom"/>
            <w:hideMark/>
          </w:tcPr>
          <w:p w14:paraId="2B7B7025" w14:textId="52E82F8B" w:rsidR="00F21FF0" w:rsidRPr="00D63C0E" w:rsidRDefault="00F21FF0" w:rsidP="00D63C0E">
            <w:pPr>
              <w:pBdr>
                <w:bottom w:val="single" w:sz="6" w:space="1" w:color="auto"/>
              </w:pBdr>
              <w:spacing w:after="40"/>
              <w:jc w:val="center"/>
              <w:rPr>
                <w:b/>
                <w:bCs/>
                <w:sz w:val="18"/>
                <w:szCs w:val="18"/>
                <w:rtl/>
              </w:rPr>
            </w:pPr>
            <w:r w:rsidRPr="00D63C0E">
              <w:rPr>
                <w:rFonts w:hint="cs"/>
                <w:b/>
                <w:bCs/>
                <w:sz w:val="18"/>
                <w:szCs w:val="18"/>
                <w:rtl/>
              </w:rPr>
              <w:t xml:space="preserve">ליום 30 ביוני </w:t>
            </w:r>
            <w:r w:rsidRPr="00D63C0E">
              <w:rPr>
                <w:b/>
                <w:bCs/>
                <w:sz w:val="18"/>
                <w:szCs w:val="18"/>
                <w:rtl/>
              </w:rPr>
              <w:fldChar w:fldCharType="begin"/>
            </w:r>
            <w:r w:rsidRPr="00D63C0E">
              <w:rPr>
                <w:b/>
                <w:bCs/>
                <w:sz w:val="18"/>
                <w:szCs w:val="18"/>
                <w:rtl/>
              </w:rPr>
              <w:instrText xml:space="preserve"> </w:instrText>
            </w:r>
            <w:r w:rsidRPr="00D63C0E">
              <w:rPr>
                <w:rFonts w:hint="cs"/>
                <w:b/>
                <w:bCs/>
                <w:sz w:val="18"/>
                <w:szCs w:val="18"/>
                <w:rtl/>
              </w:rPr>
              <w:instrText xml:space="preserve">= </w:instrText>
            </w:r>
            <w:r w:rsidRPr="00D63C0E">
              <w:rPr>
                <w:rFonts w:hint="cs"/>
                <w:b/>
                <w:bCs/>
                <w:sz w:val="18"/>
                <w:szCs w:val="18"/>
              </w:rPr>
              <w:instrText>CY \* MERGEFORMAT</w:instrText>
            </w:r>
            <w:r w:rsidRPr="00D63C0E">
              <w:rPr>
                <w:b/>
                <w:bCs/>
                <w:sz w:val="18"/>
                <w:szCs w:val="18"/>
                <w:rtl/>
              </w:rPr>
              <w:instrText xml:space="preserve"> </w:instrText>
            </w:r>
            <w:r w:rsidRPr="00D63C0E">
              <w:rPr>
                <w:b/>
                <w:bCs/>
                <w:sz w:val="18"/>
                <w:szCs w:val="18"/>
                <w:rtl/>
              </w:rPr>
              <w:fldChar w:fldCharType="separate"/>
            </w:r>
            <w:r w:rsidR="003A584F">
              <w:rPr>
                <w:b/>
                <w:bCs/>
                <w:noProof/>
                <w:sz w:val="18"/>
                <w:szCs w:val="18"/>
                <w:rtl/>
              </w:rPr>
              <w:t>2024</w:t>
            </w:r>
            <w:r w:rsidRPr="00D63C0E">
              <w:rPr>
                <w:b/>
                <w:bCs/>
                <w:sz w:val="18"/>
                <w:szCs w:val="18"/>
                <w:rtl/>
              </w:rPr>
              <w:fldChar w:fldCharType="end"/>
            </w:r>
            <w:r w:rsidR="00D63C0E" w:rsidRPr="00D63C0E">
              <w:rPr>
                <w:rFonts w:hint="cs"/>
                <w:b/>
                <w:bCs/>
                <w:sz w:val="18"/>
                <w:szCs w:val="18"/>
                <w:rtl/>
              </w:rPr>
              <w:t xml:space="preserve">  </w:t>
            </w:r>
            <w:r w:rsidR="00D63C0E" w:rsidRPr="001F0989">
              <w:rPr>
                <w:rFonts w:hint="cs"/>
                <w:sz w:val="18"/>
                <w:szCs w:val="18"/>
                <w:rtl/>
              </w:rPr>
              <w:t>(בלתי מבוקר)</w:t>
            </w:r>
          </w:p>
        </w:tc>
      </w:tr>
      <w:tr w:rsidR="00F21FF0" w14:paraId="1BBFE462" w14:textId="77777777" w:rsidTr="006D671B">
        <w:trPr>
          <w:trHeight w:val="510"/>
        </w:trPr>
        <w:tc>
          <w:tcPr>
            <w:tcW w:w="941" w:type="dxa"/>
          </w:tcPr>
          <w:p w14:paraId="11BBA1DD" w14:textId="77777777" w:rsidR="00F21FF0" w:rsidRDefault="00F21FF0">
            <w:pPr>
              <w:rPr>
                <w:sz w:val="14"/>
                <w:szCs w:val="14"/>
                <w:rtl/>
              </w:rPr>
            </w:pPr>
          </w:p>
        </w:tc>
        <w:tc>
          <w:tcPr>
            <w:tcW w:w="1701" w:type="dxa"/>
            <w:tcBorders>
              <w:left w:val="nil"/>
            </w:tcBorders>
            <w:vAlign w:val="bottom"/>
          </w:tcPr>
          <w:p w14:paraId="5B8183CD" w14:textId="77777777" w:rsidR="00F21FF0" w:rsidRDefault="00F21FF0" w:rsidP="006D671B">
            <w:pPr>
              <w:jc w:val="left"/>
              <w:rPr>
                <w:color w:val="000000"/>
                <w:rtl/>
                <w:lang w:eastAsia="he-IL"/>
              </w:rPr>
            </w:pPr>
          </w:p>
        </w:tc>
        <w:tc>
          <w:tcPr>
            <w:tcW w:w="1134" w:type="dxa"/>
          </w:tcPr>
          <w:p w14:paraId="586185E7" w14:textId="77777777" w:rsidR="006D671B" w:rsidRDefault="00F21FF0" w:rsidP="006D671B">
            <w:pPr>
              <w:pBdr>
                <w:bottom w:val="single" w:sz="6" w:space="1" w:color="auto"/>
              </w:pBdr>
              <w:jc w:val="center"/>
              <w:rPr>
                <w:b/>
                <w:bCs/>
                <w:sz w:val="16"/>
                <w:szCs w:val="16"/>
                <w:rtl/>
              </w:rPr>
            </w:pPr>
            <w:r>
              <w:rPr>
                <w:rFonts w:hint="cs"/>
                <w:b/>
                <w:bCs/>
                <w:sz w:val="16"/>
                <w:szCs w:val="16"/>
                <w:rtl/>
              </w:rPr>
              <w:t>אינו בפיגור של 90 יום</w:t>
            </w:r>
          </w:p>
          <w:p w14:paraId="046CD4D1" w14:textId="72483D38" w:rsidR="00F21FF0" w:rsidRDefault="00F21FF0" w:rsidP="006D671B">
            <w:pPr>
              <w:pBdr>
                <w:bottom w:val="single" w:sz="6" w:space="1" w:color="auto"/>
              </w:pBdr>
              <w:jc w:val="center"/>
              <w:rPr>
                <w:b/>
                <w:bCs/>
                <w:sz w:val="16"/>
                <w:szCs w:val="16"/>
                <w:rtl/>
              </w:rPr>
            </w:pPr>
            <w:r>
              <w:rPr>
                <w:rFonts w:hint="cs"/>
                <w:b/>
                <w:bCs/>
                <w:sz w:val="16"/>
                <w:szCs w:val="16"/>
                <w:rtl/>
              </w:rPr>
              <w:t xml:space="preserve"> או יותר</w:t>
            </w:r>
          </w:p>
        </w:tc>
        <w:tc>
          <w:tcPr>
            <w:tcW w:w="992" w:type="dxa"/>
          </w:tcPr>
          <w:p w14:paraId="0DF96768" w14:textId="0A14591E" w:rsidR="006D671B" w:rsidRDefault="00F21FF0" w:rsidP="006D671B">
            <w:pPr>
              <w:pBdr>
                <w:bottom w:val="single" w:sz="6" w:space="1" w:color="auto"/>
              </w:pBdr>
              <w:jc w:val="center"/>
              <w:rPr>
                <w:b/>
                <w:bCs/>
                <w:sz w:val="16"/>
                <w:szCs w:val="16"/>
                <w:rtl/>
              </w:rPr>
            </w:pPr>
            <w:r>
              <w:rPr>
                <w:rFonts w:hint="cs"/>
                <w:b/>
                <w:bCs/>
                <w:sz w:val="16"/>
                <w:szCs w:val="16"/>
                <w:rtl/>
              </w:rPr>
              <w:t>בפיגור של 90 ימים</w:t>
            </w:r>
          </w:p>
          <w:p w14:paraId="5C5DC554" w14:textId="46ED0584" w:rsidR="00F21FF0" w:rsidRDefault="00F21FF0" w:rsidP="006D671B">
            <w:pPr>
              <w:pBdr>
                <w:bottom w:val="single" w:sz="6" w:space="1" w:color="auto"/>
              </w:pBdr>
              <w:jc w:val="center"/>
              <w:rPr>
                <w:b/>
                <w:bCs/>
                <w:sz w:val="16"/>
                <w:szCs w:val="16"/>
                <w:rtl/>
              </w:rPr>
            </w:pPr>
            <w:r>
              <w:rPr>
                <w:rFonts w:hint="cs"/>
                <w:b/>
                <w:bCs/>
                <w:sz w:val="16"/>
                <w:szCs w:val="16"/>
                <w:rtl/>
              </w:rPr>
              <w:t>עד 180</w:t>
            </w:r>
          </w:p>
        </w:tc>
        <w:tc>
          <w:tcPr>
            <w:tcW w:w="1134" w:type="dxa"/>
          </w:tcPr>
          <w:p w14:paraId="4B58DB66" w14:textId="49AB9503" w:rsidR="006D671B" w:rsidRDefault="00F21FF0" w:rsidP="006D671B">
            <w:pPr>
              <w:pBdr>
                <w:bottom w:val="single" w:sz="6" w:space="1" w:color="auto"/>
              </w:pBdr>
              <w:jc w:val="center"/>
              <w:rPr>
                <w:b/>
                <w:bCs/>
                <w:sz w:val="16"/>
                <w:szCs w:val="16"/>
                <w:rtl/>
              </w:rPr>
            </w:pPr>
            <w:r>
              <w:rPr>
                <w:rFonts w:hint="cs"/>
                <w:b/>
                <w:bCs/>
                <w:sz w:val="16"/>
                <w:szCs w:val="16"/>
                <w:rtl/>
              </w:rPr>
              <w:t>בפיגור מעל 180 ימים</w:t>
            </w:r>
          </w:p>
          <w:p w14:paraId="790DFA6E" w14:textId="647A854E" w:rsidR="00F21FF0" w:rsidRDefault="00F21FF0" w:rsidP="006D671B">
            <w:pPr>
              <w:pBdr>
                <w:bottom w:val="single" w:sz="6" w:space="1" w:color="auto"/>
              </w:pBdr>
              <w:jc w:val="center"/>
              <w:rPr>
                <w:b/>
                <w:bCs/>
                <w:sz w:val="16"/>
                <w:szCs w:val="16"/>
                <w:rtl/>
              </w:rPr>
            </w:pPr>
            <w:r>
              <w:rPr>
                <w:rFonts w:hint="cs"/>
                <w:b/>
                <w:bCs/>
                <w:sz w:val="16"/>
                <w:szCs w:val="16"/>
                <w:rtl/>
              </w:rPr>
              <w:t>עד שנה</w:t>
            </w:r>
          </w:p>
        </w:tc>
        <w:tc>
          <w:tcPr>
            <w:tcW w:w="992" w:type="dxa"/>
          </w:tcPr>
          <w:p w14:paraId="29F27443" w14:textId="77777777" w:rsidR="006D671B" w:rsidRDefault="00F21FF0" w:rsidP="006D671B">
            <w:pPr>
              <w:pBdr>
                <w:bottom w:val="single" w:sz="6" w:space="1" w:color="auto"/>
              </w:pBdr>
              <w:jc w:val="center"/>
              <w:rPr>
                <w:b/>
                <w:bCs/>
                <w:sz w:val="16"/>
                <w:szCs w:val="16"/>
                <w:rtl/>
              </w:rPr>
            </w:pPr>
            <w:r>
              <w:rPr>
                <w:rFonts w:hint="cs"/>
                <w:b/>
                <w:bCs/>
                <w:sz w:val="16"/>
                <w:szCs w:val="16"/>
                <w:rtl/>
              </w:rPr>
              <w:t>בפיגור מעל שנה ועד</w:t>
            </w:r>
          </w:p>
          <w:p w14:paraId="3A6E7F8D" w14:textId="28D53A70" w:rsidR="00F21FF0" w:rsidRDefault="00F21FF0" w:rsidP="006D671B">
            <w:pPr>
              <w:pBdr>
                <w:bottom w:val="single" w:sz="6" w:space="1" w:color="auto"/>
              </w:pBdr>
              <w:jc w:val="center"/>
              <w:rPr>
                <w:b/>
                <w:bCs/>
                <w:sz w:val="16"/>
                <w:szCs w:val="16"/>
                <w:rtl/>
              </w:rPr>
            </w:pPr>
            <w:r>
              <w:rPr>
                <w:rFonts w:hint="cs"/>
                <w:b/>
                <w:bCs/>
                <w:sz w:val="16"/>
                <w:szCs w:val="16"/>
                <w:rtl/>
              </w:rPr>
              <w:t>3 שנים</w:t>
            </w:r>
          </w:p>
        </w:tc>
        <w:tc>
          <w:tcPr>
            <w:tcW w:w="993" w:type="dxa"/>
          </w:tcPr>
          <w:p w14:paraId="37EEB4D2" w14:textId="2D15E6CF" w:rsidR="00F21FF0" w:rsidRDefault="00F21FF0" w:rsidP="006D671B">
            <w:pPr>
              <w:pBdr>
                <w:bottom w:val="single" w:sz="6" w:space="1" w:color="auto"/>
              </w:pBdr>
              <w:jc w:val="center"/>
              <w:rPr>
                <w:b/>
                <w:bCs/>
                <w:sz w:val="16"/>
                <w:szCs w:val="16"/>
                <w:rtl/>
              </w:rPr>
            </w:pPr>
            <w:r>
              <w:rPr>
                <w:rFonts w:hint="cs"/>
                <w:b/>
                <w:bCs/>
                <w:sz w:val="16"/>
                <w:szCs w:val="16"/>
                <w:rtl/>
              </w:rPr>
              <w:t>בפיגור מעל 3 שנים ועד 5 שנים</w:t>
            </w:r>
          </w:p>
        </w:tc>
        <w:tc>
          <w:tcPr>
            <w:tcW w:w="992" w:type="dxa"/>
          </w:tcPr>
          <w:p w14:paraId="7E734F7F" w14:textId="62EA54D3" w:rsidR="00F21FF0" w:rsidRDefault="00F21FF0" w:rsidP="006D671B">
            <w:pPr>
              <w:pBdr>
                <w:bottom w:val="single" w:sz="6" w:space="1" w:color="auto"/>
              </w:pBdr>
              <w:jc w:val="center"/>
              <w:rPr>
                <w:b/>
                <w:bCs/>
                <w:sz w:val="16"/>
                <w:szCs w:val="16"/>
                <w:rtl/>
              </w:rPr>
            </w:pPr>
            <w:r>
              <w:rPr>
                <w:rFonts w:hint="cs"/>
                <w:b/>
                <w:bCs/>
                <w:sz w:val="16"/>
                <w:szCs w:val="16"/>
                <w:rtl/>
              </w:rPr>
              <w:t>בפיגור מעל 5 שנים ועד 7 שנים</w:t>
            </w:r>
          </w:p>
        </w:tc>
        <w:tc>
          <w:tcPr>
            <w:tcW w:w="709" w:type="dxa"/>
          </w:tcPr>
          <w:p w14:paraId="382701E6" w14:textId="4973A9B9" w:rsidR="00F21FF0" w:rsidRDefault="00F21FF0" w:rsidP="006D671B">
            <w:pPr>
              <w:pBdr>
                <w:bottom w:val="single" w:sz="6" w:space="1" w:color="auto"/>
              </w:pBdr>
              <w:jc w:val="center"/>
              <w:rPr>
                <w:b/>
                <w:bCs/>
                <w:sz w:val="16"/>
                <w:szCs w:val="16"/>
                <w:rtl/>
              </w:rPr>
            </w:pPr>
            <w:r>
              <w:rPr>
                <w:rFonts w:hint="cs"/>
                <w:b/>
                <w:bCs/>
                <w:sz w:val="16"/>
                <w:szCs w:val="16"/>
                <w:rtl/>
              </w:rPr>
              <w:t>בפיגור מעל 7 שנים</w:t>
            </w:r>
          </w:p>
        </w:tc>
        <w:tc>
          <w:tcPr>
            <w:tcW w:w="566" w:type="dxa"/>
          </w:tcPr>
          <w:p w14:paraId="696F68A8" w14:textId="77777777" w:rsidR="006D671B" w:rsidRDefault="006D671B" w:rsidP="006D671B">
            <w:pPr>
              <w:pBdr>
                <w:bottom w:val="single" w:sz="6" w:space="1" w:color="auto"/>
              </w:pBdr>
              <w:jc w:val="center"/>
              <w:rPr>
                <w:b/>
                <w:bCs/>
                <w:sz w:val="16"/>
                <w:szCs w:val="16"/>
                <w:rtl/>
              </w:rPr>
            </w:pPr>
          </w:p>
          <w:p w14:paraId="1F15A0A0" w14:textId="7C83DAD7" w:rsidR="00F21FF0" w:rsidRDefault="00F21FF0" w:rsidP="006D671B">
            <w:pPr>
              <w:pBdr>
                <w:bottom w:val="single" w:sz="6" w:space="1" w:color="auto"/>
              </w:pBdr>
              <w:jc w:val="center"/>
              <w:rPr>
                <w:b/>
                <w:bCs/>
                <w:sz w:val="16"/>
                <w:szCs w:val="16"/>
                <w:rtl/>
              </w:rPr>
            </w:pPr>
            <w:r>
              <w:rPr>
                <w:rFonts w:hint="cs"/>
                <w:b/>
                <w:bCs/>
                <w:sz w:val="16"/>
                <w:szCs w:val="16"/>
                <w:rtl/>
              </w:rPr>
              <w:t>סך הכל</w:t>
            </w:r>
          </w:p>
        </w:tc>
      </w:tr>
      <w:tr w:rsidR="00F21FF0" w14:paraId="2515B932" w14:textId="77777777" w:rsidTr="006D671B">
        <w:trPr>
          <w:trHeight w:hRule="exact" w:val="144"/>
        </w:trPr>
        <w:tc>
          <w:tcPr>
            <w:tcW w:w="941" w:type="dxa"/>
          </w:tcPr>
          <w:p w14:paraId="2BA9374E" w14:textId="77777777" w:rsidR="00F21FF0" w:rsidRDefault="00F21FF0">
            <w:pPr>
              <w:rPr>
                <w:sz w:val="14"/>
                <w:szCs w:val="14"/>
                <w:rtl/>
              </w:rPr>
            </w:pPr>
          </w:p>
        </w:tc>
        <w:tc>
          <w:tcPr>
            <w:tcW w:w="1701" w:type="dxa"/>
            <w:tcBorders>
              <w:left w:val="nil"/>
            </w:tcBorders>
            <w:vAlign w:val="bottom"/>
          </w:tcPr>
          <w:p w14:paraId="5219CD40" w14:textId="77777777" w:rsidR="00F21FF0" w:rsidRDefault="00F21FF0">
            <w:pPr>
              <w:spacing w:before="40" w:line="200" w:lineRule="exact"/>
              <w:ind w:left="432" w:right="144" w:hanging="144"/>
              <w:jc w:val="left"/>
              <w:rPr>
                <w:color w:val="000000"/>
                <w:sz w:val="18"/>
                <w:szCs w:val="18"/>
                <w:rtl/>
                <w:lang w:eastAsia="he-IL"/>
              </w:rPr>
            </w:pPr>
          </w:p>
        </w:tc>
        <w:tc>
          <w:tcPr>
            <w:tcW w:w="1134" w:type="dxa"/>
          </w:tcPr>
          <w:p w14:paraId="42E3DF99" w14:textId="77777777" w:rsidR="00F21FF0" w:rsidRDefault="00F21FF0">
            <w:pPr>
              <w:rPr>
                <w:rtl/>
              </w:rPr>
            </w:pPr>
          </w:p>
        </w:tc>
        <w:tc>
          <w:tcPr>
            <w:tcW w:w="992" w:type="dxa"/>
          </w:tcPr>
          <w:p w14:paraId="3B05D822" w14:textId="77777777" w:rsidR="00F21FF0" w:rsidRDefault="00F21FF0">
            <w:pPr>
              <w:rPr>
                <w:rtl/>
              </w:rPr>
            </w:pPr>
          </w:p>
        </w:tc>
        <w:tc>
          <w:tcPr>
            <w:tcW w:w="1134" w:type="dxa"/>
          </w:tcPr>
          <w:p w14:paraId="6A416B3D" w14:textId="77777777" w:rsidR="00F21FF0" w:rsidRDefault="00F21FF0">
            <w:pPr>
              <w:rPr>
                <w:rtl/>
              </w:rPr>
            </w:pPr>
          </w:p>
        </w:tc>
        <w:tc>
          <w:tcPr>
            <w:tcW w:w="992" w:type="dxa"/>
          </w:tcPr>
          <w:p w14:paraId="6ABBE9A9" w14:textId="77777777" w:rsidR="00F21FF0" w:rsidRDefault="00F21FF0">
            <w:pPr>
              <w:rPr>
                <w:rtl/>
              </w:rPr>
            </w:pPr>
          </w:p>
        </w:tc>
        <w:tc>
          <w:tcPr>
            <w:tcW w:w="993" w:type="dxa"/>
          </w:tcPr>
          <w:p w14:paraId="45FFE4D1" w14:textId="77777777" w:rsidR="00F21FF0" w:rsidRDefault="00F21FF0">
            <w:pPr>
              <w:rPr>
                <w:rtl/>
              </w:rPr>
            </w:pPr>
          </w:p>
        </w:tc>
        <w:tc>
          <w:tcPr>
            <w:tcW w:w="992" w:type="dxa"/>
          </w:tcPr>
          <w:p w14:paraId="04F9F966" w14:textId="77777777" w:rsidR="00F21FF0" w:rsidRDefault="00F21FF0">
            <w:pPr>
              <w:rPr>
                <w:rtl/>
              </w:rPr>
            </w:pPr>
          </w:p>
        </w:tc>
        <w:tc>
          <w:tcPr>
            <w:tcW w:w="709" w:type="dxa"/>
          </w:tcPr>
          <w:p w14:paraId="04E17EDF" w14:textId="77777777" w:rsidR="00F21FF0" w:rsidRDefault="00F21FF0">
            <w:pPr>
              <w:rPr>
                <w:rtl/>
              </w:rPr>
            </w:pPr>
          </w:p>
        </w:tc>
        <w:tc>
          <w:tcPr>
            <w:tcW w:w="566" w:type="dxa"/>
          </w:tcPr>
          <w:p w14:paraId="59CCE90F" w14:textId="77777777" w:rsidR="00F21FF0" w:rsidRDefault="00F21FF0">
            <w:pPr>
              <w:rPr>
                <w:rtl/>
              </w:rPr>
            </w:pPr>
          </w:p>
        </w:tc>
      </w:tr>
      <w:tr w:rsidR="00F21FF0" w14:paraId="61BCD7CD" w14:textId="77777777" w:rsidTr="006D671B">
        <w:trPr>
          <w:trHeight w:val="259"/>
        </w:trPr>
        <w:tc>
          <w:tcPr>
            <w:tcW w:w="941" w:type="dxa"/>
          </w:tcPr>
          <w:p w14:paraId="4D6E7759" w14:textId="77777777" w:rsidR="00F21FF0" w:rsidRDefault="00F21FF0">
            <w:pPr>
              <w:rPr>
                <w:sz w:val="14"/>
                <w:szCs w:val="14"/>
                <w:rtl/>
              </w:rPr>
            </w:pPr>
          </w:p>
        </w:tc>
        <w:tc>
          <w:tcPr>
            <w:tcW w:w="1701" w:type="dxa"/>
            <w:tcBorders>
              <w:left w:val="nil"/>
            </w:tcBorders>
            <w:vAlign w:val="bottom"/>
            <w:hideMark/>
          </w:tcPr>
          <w:p w14:paraId="7AFC7541" w14:textId="77777777" w:rsidR="00F21FF0" w:rsidRPr="006D671B" w:rsidRDefault="00F21FF0">
            <w:pPr>
              <w:jc w:val="left"/>
              <w:rPr>
                <w:color w:val="000000"/>
                <w:sz w:val="18"/>
                <w:szCs w:val="18"/>
                <w:rtl/>
                <w:lang w:eastAsia="he-IL"/>
              </w:rPr>
            </w:pPr>
            <w:r w:rsidRPr="006D671B">
              <w:rPr>
                <w:rFonts w:hint="cs"/>
                <w:color w:val="000000"/>
                <w:sz w:val="18"/>
                <w:szCs w:val="18"/>
                <w:rtl/>
                <w:lang w:eastAsia="he-IL"/>
              </w:rPr>
              <w:t>מסחרי</w:t>
            </w:r>
          </w:p>
        </w:tc>
        <w:tc>
          <w:tcPr>
            <w:tcW w:w="1134" w:type="dxa"/>
            <w:hideMark/>
          </w:tcPr>
          <w:p w14:paraId="422B3A05" w14:textId="77777777" w:rsidR="00F21FF0" w:rsidRDefault="00F21FF0">
            <w:pPr>
              <w:rPr>
                <w:sz w:val="18"/>
                <w:szCs w:val="18"/>
                <w:rtl/>
              </w:rPr>
            </w:pPr>
            <w:r>
              <w:rPr>
                <w:rFonts w:hint="cs"/>
                <w:sz w:val="18"/>
                <w:szCs w:val="18"/>
                <w:rtl/>
              </w:rPr>
              <w:t>0</w:t>
            </w:r>
          </w:p>
        </w:tc>
        <w:tc>
          <w:tcPr>
            <w:tcW w:w="992" w:type="dxa"/>
            <w:hideMark/>
          </w:tcPr>
          <w:p w14:paraId="0F5DB1F4" w14:textId="77777777" w:rsidR="00F21FF0" w:rsidRDefault="00F21FF0">
            <w:pPr>
              <w:rPr>
                <w:sz w:val="18"/>
                <w:szCs w:val="18"/>
                <w:rtl/>
              </w:rPr>
            </w:pPr>
            <w:r>
              <w:rPr>
                <w:rFonts w:hint="cs"/>
                <w:sz w:val="18"/>
                <w:szCs w:val="18"/>
                <w:rtl/>
              </w:rPr>
              <w:t>0</w:t>
            </w:r>
          </w:p>
        </w:tc>
        <w:tc>
          <w:tcPr>
            <w:tcW w:w="1134" w:type="dxa"/>
            <w:hideMark/>
          </w:tcPr>
          <w:p w14:paraId="188092D8" w14:textId="77777777" w:rsidR="00F21FF0" w:rsidRDefault="00F21FF0">
            <w:pPr>
              <w:rPr>
                <w:sz w:val="18"/>
                <w:szCs w:val="18"/>
                <w:rtl/>
              </w:rPr>
            </w:pPr>
            <w:r>
              <w:rPr>
                <w:rFonts w:hint="cs"/>
                <w:sz w:val="18"/>
                <w:szCs w:val="18"/>
                <w:rtl/>
              </w:rPr>
              <w:t>0</w:t>
            </w:r>
          </w:p>
        </w:tc>
        <w:tc>
          <w:tcPr>
            <w:tcW w:w="992" w:type="dxa"/>
            <w:hideMark/>
          </w:tcPr>
          <w:p w14:paraId="178E1A99" w14:textId="77777777" w:rsidR="00F21FF0" w:rsidRDefault="00F21FF0">
            <w:pPr>
              <w:rPr>
                <w:sz w:val="18"/>
                <w:szCs w:val="18"/>
                <w:rtl/>
              </w:rPr>
            </w:pPr>
            <w:r>
              <w:rPr>
                <w:rFonts w:hint="cs"/>
                <w:sz w:val="18"/>
                <w:szCs w:val="18"/>
                <w:rtl/>
              </w:rPr>
              <w:t>0</w:t>
            </w:r>
          </w:p>
        </w:tc>
        <w:tc>
          <w:tcPr>
            <w:tcW w:w="993" w:type="dxa"/>
            <w:hideMark/>
          </w:tcPr>
          <w:p w14:paraId="419F26EA" w14:textId="77777777" w:rsidR="00F21FF0" w:rsidRDefault="00F21FF0">
            <w:pPr>
              <w:rPr>
                <w:sz w:val="18"/>
                <w:szCs w:val="18"/>
                <w:rtl/>
              </w:rPr>
            </w:pPr>
            <w:r>
              <w:rPr>
                <w:rFonts w:hint="cs"/>
                <w:sz w:val="18"/>
                <w:szCs w:val="18"/>
                <w:rtl/>
              </w:rPr>
              <w:t>0</w:t>
            </w:r>
          </w:p>
        </w:tc>
        <w:tc>
          <w:tcPr>
            <w:tcW w:w="992" w:type="dxa"/>
            <w:hideMark/>
          </w:tcPr>
          <w:p w14:paraId="11A4B5DA" w14:textId="77777777" w:rsidR="00F21FF0" w:rsidRDefault="00F21FF0">
            <w:pPr>
              <w:rPr>
                <w:sz w:val="18"/>
                <w:szCs w:val="18"/>
                <w:rtl/>
              </w:rPr>
            </w:pPr>
            <w:r>
              <w:rPr>
                <w:rFonts w:hint="cs"/>
                <w:sz w:val="18"/>
                <w:szCs w:val="18"/>
                <w:rtl/>
              </w:rPr>
              <w:t>0</w:t>
            </w:r>
          </w:p>
        </w:tc>
        <w:tc>
          <w:tcPr>
            <w:tcW w:w="709" w:type="dxa"/>
            <w:hideMark/>
          </w:tcPr>
          <w:p w14:paraId="76E133AD" w14:textId="77777777" w:rsidR="00F21FF0" w:rsidRDefault="00F21FF0">
            <w:pPr>
              <w:rPr>
                <w:sz w:val="18"/>
                <w:szCs w:val="18"/>
                <w:rtl/>
              </w:rPr>
            </w:pPr>
            <w:r>
              <w:rPr>
                <w:rFonts w:hint="cs"/>
                <w:sz w:val="18"/>
                <w:szCs w:val="18"/>
                <w:rtl/>
              </w:rPr>
              <w:t>0</w:t>
            </w:r>
          </w:p>
        </w:tc>
        <w:tc>
          <w:tcPr>
            <w:tcW w:w="566" w:type="dxa"/>
            <w:hideMark/>
          </w:tcPr>
          <w:p w14:paraId="388858A1" w14:textId="77777777" w:rsidR="00F21FF0" w:rsidRDefault="00F21FF0">
            <w:pPr>
              <w:rPr>
                <w:sz w:val="18"/>
                <w:szCs w:val="18"/>
                <w:rtl/>
              </w:rPr>
            </w:pPr>
            <w:r>
              <w:rPr>
                <w:rFonts w:hint="cs"/>
                <w:sz w:val="18"/>
                <w:szCs w:val="18"/>
                <w:rtl/>
              </w:rPr>
              <w:t>0</w:t>
            </w:r>
          </w:p>
        </w:tc>
      </w:tr>
      <w:tr w:rsidR="00F21FF0" w14:paraId="62B1753D" w14:textId="77777777" w:rsidTr="006D671B">
        <w:trPr>
          <w:trHeight w:val="259"/>
        </w:trPr>
        <w:tc>
          <w:tcPr>
            <w:tcW w:w="941" w:type="dxa"/>
          </w:tcPr>
          <w:p w14:paraId="24AFBFF9" w14:textId="77777777" w:rsidR="00F21FF0" w:rsidRDefault="00F21FF0">
            <w:pPr>
              <w:rPr>
                <w:sz w:val="14"/>
                <w:szCs w:val="14"/>
                <w:rtl/>
              </w:rPr>
            </w:pPr>
          </w:p>
        </w:tc>
        <w:tc>
          <w:tcPr>
            <w:tcW w:w="1701" w:type="dxa"/>
            <w:tcBorders>
              <w:left w:val="nil"/>
            </w:tcBorders>
            <w:vAlign w:val="bottom"/>
            <w:hideMark/>
          </w:tcPr>
          <w:p w14:paraId="77E4AF75" w14:textId="77777777" w:rsidR="00F21FF0" w:rsidRPr="006D671B" w:rsidRDefault="00F21FF0">
            <w:pPr>
              <w:ind w:left="144" w:hanging="144"/>
              <w:jc w:val="left"/>
              <w:rPr>
                <w:color w:val="000000"/>
                <w:sz w:val="18"/>
                <w:szCs w:val="18"/>
                <w:rtl/>
                <w:lang w:eastAsia="he-IL"/>
              </w:rPr>
            </w:pPr>
            <w:r w:rsidRPr="006D671B">
              <w:rPr>
                <w:rFonts w:hint="cs"/>
                <w:color w:val="000000"/>
                <w:sz w:val="18"/>
                <w:szCs w:val="18"/>
                <w:rtl/>
                <w:lang w:eastAsia="he-IL"/>
              </w:rPr>
              <w:t>הלוואות לדיור</w:t>
            </w:r>
          </w:p>
        </w:tc>
        <w:tc>
          <w:tcPr>
            <w:tcW w:w="1134" w:type="dxa"/>
            <w:hideMark/>
          </w:tcPr>
          <w:p w14:paraId="1B2C20A7" w14:textId="77777777" w:rsidR="00F21FF0" w:rsidRDefault="00F21FF0">
            <w:pPr>
              <w:rPr>
                <w:sz w:val="18"/>
                <w:szCs w:val="18"/>
              </w:rPr>
            </w:pPr>
            <w:r>
              <w:rPr>
                <w:rFonts w:hint="cs"/>
                <w:sz w:val="18"/>
                <w:szCs w:val="18"/>
                <w:rtl/>
              </w:rPr>
              <w:t>0</w:t>
            </w:r>
          </w:p>
        </w:tc>
        <w:tc>
          <w:tcPr>
            <w:tcW w:w="992" w:type="dxa"/>
            <w:hideMark/>
          </w:tcPr>
          <w:p w14:paraId="06ED77F8" w14:textId="77777777" w:rsidR="00F21FF0" w:rsidRDefault="00F21FF0">
            <w:pPr>
              <w:rPr>
                <w:sz w:val="18"/>
                <w:szCs w:val="18"/>
                <w:rtl/>
              </w:rPr>
            </w:pPr>
            <w:r>
              <w:rPr>
                <w:rFonts w:hint="cs"/>
                <w:sz w:val="18"/>
                <w:szCs w:val="18"/>
                <w:rtl/>
              </w:rPr>
              <w:t>0</w:t>
            </w:r>
          </w:p>
        </w:tc>
        <w:tc>
          <w:tcPr>
            <w:tcW w:w="1134" w:type="dxa"/>
            <w:hideMark/>
          </w:tcPr>
          <w:p w14:paraId="5F201BA4" w14:textId="77777777" w:rsidR="00F21FF0" w:rsidRDefault="00F21FF0">
            <w:pPr>
              <w:rPr>
                <w:sz w:val="18"/>
                <w:szCs w:val="18"/>
                <w:rtl/>
              </w:rPr>
            </w:pPr>
            <w:r>
              <w:rPr>
                <w:rFonts w:hint="cs"/>
                <w:sz w:val="18"/>
                <w:szCs w:val="18"/>
                <w:rtl/>
              </w:rPr>
              <w:t>0</w:t>
            </w:r>
          </w:p>
        </w:tc>
        <w:tc>
          <w:tcPr>
            <w:tcW w:w="992" w:type="dxa"/>
            <w:hideMark/>
          </w:tcPr>
          <w:p w14:paraId="6DD14568" w14:textId="77777777" w:rsidR="00F21FF0" w:rsidRDefault="00F21FF0">
            <w:pPr>
              <w:rPr>
                <w:sz w:val="18"/>
                <w:szCs w:val="18"/>
                <w:rtl/>
              </w:rPr>
            </w:pPr>
            <w:r>
              <w:rPr>
                <w:rFonts w:hint="cs"/>
                <w:sz w:val="18"/>
                <w:szCs w:val="18"/>
                <w:rtl/>
              </w:rPr>
              <w:t>0</w:t>
            </w:r>
          </w:p>
        </w:tc>
        <w:tc>
          <w:tcPr>
            <w:tcW w:w="993" w:type="dxa"/>
            <w:hideMark/>
          </w:tcPr>
          <w:p w14:paraId="10609707" w14:textId="77777777" w:rsidR="00F21FF0" w:rsidRDefault="00F21FF0">
            <w:pPr>
              <w:rPr>
                <w:sz w:val="18"/>
                <w:szCs w:val="18"/>
                <w:rtl/>
              </w:rPr>
            </w:pPr>
            <w:r>
              <w:rPr>
                <w:rFonts w:hint="cs"/>
                <w:sz w:val="18"/>
                <w:szCs w:val="18"/>
                <w:rtl/>
              </w:rPr>
              <w:t>0</w:t>
            </w:r>
          </w:p>
        </w:tc>
        <w:tc>
          <w:tcPr>
            <w:tcW w:w="992" w:type="dxa"/>
            <w:hideMark/>
          </w:tcPr>
          <w:p w14:paraId="648E9EEA" w14:textId="77777777" w:rsidR="00F21FF0" w:rsidRDefault="00F21FF0">
            <w:pPr>
              <w:rPr>
                <w:sz w:val="18"/>
                <w:szCs w:val="18"/>
                <w:rtl/>
              </w:rPr>
            </w:pPr>
            <w:r>
              <w:rPr>
                <w:rFonts w:hint="cs"/>
                <w:sz w:val="18"/>
                <w:szCs w:val="18"/>
                <w:rtl/>
              </w:rPr>
              <w:t>0</w:t>
            </w:r>
          </w:p>
        </w:tc>
        <w:tc>
          <w:tcPr>
            <w:tcW w:w="709" w:type="dxa"/>
            <w:hideMark/>
          </w:tcPr>
          <w:p w14:paraId="4E7359C3" w14:textId="77777777" w:rsidR="00F21FF0" w:rsidRDefault="00F21FF0">
            <w:pPr>
              <w:rPr>
                <w:sz w:val="18"/>
                <w:szCs w:val="18"/>
                <w:rtl/>
              </w:rPr>
            </w:pPr>
            <w:r>
              <w:rPr>
                <w:rFonts w:hint="cs"/>
                <w:sz w:val="18"/>
                <w:szCs w:val="18"/>
                <w:rtl/>
              </w:rPr>
              <w:t>0</w:t>
            </w:r>
          </w:p>
        </w:tc>
        <w:tc>
          <w:tcPr>
            <w:tcW w:w="566" w:type="dxa"/>
            <w:hideMark/>
          </w:tcPr>
          <w:p w14:paraId="3A47771D" w14:textId="77777777" w:rsidR="00F21FF0" w:rsidRDefault="00F21FF0">
            <w:pPr>
              <w:rPr>
                <w:sz w:val="18"/>
                <w:szCs w:val="18"/>
                <w:rtl/>
              </w:rPr>
            </w:pPr>
            <w:r>
              <w:rPr>
                <w:rFonts w:hint="cs"/>
                <w:sz w:val="18"/>
                <w:szCs w:val="18"/>
                <w:rtl/>
              </w:rPr>
              <w:t>0</w:t>
            </w:r>
          </w:p>
        </w:tc>
      </w:tr>
      <w:tr w:rsidR="00F21FF0" w14:paraId="5B9F77D6" w14:textId="77777777" w:rsidTr="006D671B">
        <w:trPr>
          <w:trHeight w:val="259"/>
        </w:trPr>
        <w:tc>
          <w:tcPr>
            <w:tcW w:w="941" w:type="dxa"/>
          </w:tcPr>
          <w:p w14:paraId="4CEB9FF8" w14:textId="77777777" w:rsidR="00F21FF0" w:rsidRDefault="00F21FF0">
            <w:pPr>
              <w:rPr>
                <w:sz w:val="14"/>
                <w:szCs w:val="14"/>
                <w:rtl/>
              </w:rPr>
            </w:pPr>
          </w:p>
        </w:tc>
        <w:tc>
          <w:tcPr>
            <w:tcW w:w="1701" w:type="dxa"/>
            <w:tcBorders>
              <w:left w:val="nil"/>
            </w:tcBorders>
            <w:vAlign w:val="bottom"/>
            <w:hideMark/>
          </w:tcPr>
          <w:p w14:paraId="618443C4" w14:textId="77777777" w:rsidR="00F21FF0" w:rsidRPr="006D671B" w:rsidRDefault="00F21FF0">
            <w:pPr>
              <w:ind w:left="39" w:hanging="39"/>
              <w:jc w:val="left"/>
              <w:rPr>
                <w:color w:val="000000"/>
                <w:sz w:val="18"/>
                <w:szCs w:val="18"/>
                <w:rtl/>
                <w:lang w:eastAsia="he-IL"/>
              </w:rPr>
            </w:pPr>
            <w:r w:rsidRPr="006D671B">
              <w:rPr>
                <w:rFonts w:hint="cs"/>
                <w:color w:val="000000"/>
                <w:sz w:val="18"/>
                <w:szCs w:val="18"/>
                <w:rtl/>
                <w:lang w:eastAsia="he-IL"/>
              </w:rPr>
              <w:t>אנשים פרטיים - אחר</w:t>
            </w:r>
          </w:p>
        </w:tc>
        <w:tc>
          <w:tcPr>
            <w:tcW w:w="1134" w:type="dxa"/>
            <w:hideMark/>
          </w:tcPr>
          <w:p w14:paraId="2A288FD2" w14:textId="77777777" w:rsidR="00F21FF0" w:rsidRDefault="00F21FF0">
            <w:pPr>
              <w:pBdr>
                <w:bottom w:val="single" w:sz="4" w:space="1" w:color="auto"/>
              </w:pBdr>
              <w:jc w:val="left"/>
              <w:rPr>
                <w:sz w:val="18"/>
                <w:szCs w:val="18"/>
              </w:rPr>
            </w:pPr>
            <w:r>
              <w:rPr>
                <w:rFonts w:hint="cs"/>
                <w:sz w:val="18"/>
                <w:szCs w:val="18"/>
                <w:rtl/>
              </w:rPr>
              <w:t>0</w:t>
            </w:r>
          </w:p>
        </w:tc>
        <w:tc>
          <w:tcPr>
            <w:tcW w:w="992" w:type="dxa"/>
            <w:hideMark/>
          </w:tcPr>
          <w:p w14:paraId="7122280E" w14:textId="77777777" w:rsidR="00F21FF0" w:rsidRDefault="00F21FF0">
            <w:pPr>
              <w:pBdr>
                <w:bottom w:val="single" w:sz="4" w:space="1" w:color="auto"/>
              </w:pBdr>
              <w:jc w:val="left"/>
              <w:rPr>
                <w:sz w:val="18"/>
                <w:szCs w:val="18"/>
                <w:rtl/>
              </w:rPr>
            </w:pPr>
            <w:r>
              <w:rPr>
                <w:rFonts w:hint="cs"/>
                <w:sz w:val="18"/>
                <w:szCs w:val="18"/>
                <w:rtl/>
              </w:rPr>
              <w:t>0</w:t>
            </w:r>
          </w:p>
        </w:tc>
        <w:tc>
          <w:tcPr>
            <w:tcW w:w="1134" w:type="dxa"/>
            <w:hideMark/>
          </w:tcPr>
          <w:p w14:paraId="466786D7" w14:textId="77777777" w:rsidR="00F21FF0" w:rsidRDefault="00F21FF0">
            <w:pPr>
              <w:pBdr>
                <w:bottom w:val="single" w:sz="4" w:space="1" w:color="auto"/>
              </w:pBdr>
              <w:jc w:val="left"/>
              <w:rPr>
                <w:sz w:val="18"/>
                <w:szCs w:val="18"/>
                <w:rtl/>
              </w:rPr>
            </w:pPr>
            <w:r>
              <w:rPr>
                <w:rFonts w:hint="cs"/>
                <w:sz w:val="18"/>
                <w:szCs w:val="18"/>
                <w:rtl/>
              </w:rPr>
              <w:t>0</w:t>
            </w:r>
          </w:p>
        </w:tc>
        <w:tc>
          <w:tcPr>
            <w:tcW w:w="992" w:type="dxa"/>
            <w:hideMark/>
          </w:tcPr>
          <w:p w14:paraId="0CACB35C" w14:textId="77777777" w:rsidR="00F21FF0" w:rsidRDefault="00F21FF0">
            <w:pPr>
              <w:pBdr>
                <w:bottom w:val="single" w:sz="4" w:space="1" w:color="auto"/>
              </w:pBdr>
              <w:jc w:val="left"/>
              <w:rPr>
                <w:sz w:val="18"/>
                <w:szCs w:val="18"/>
                <w:rtl/>
              </w:rPr>
            </w:pPr>
            <w:r>
              <w:rPr>
                <w:rFonts w:hint="cs"/>
                <w:sz w:val="18"/>
                <w:szCs w:val="18"/>
                <w:rtl/>
              </w:rPr>
              <w:t>0</w:t>
            </w:r>
          </w:p>
        </w:tc>
        <w:tc>
          <w:tcPr>
            <w:tcW w:w="993" w:type="dxa"/>
            <w:hideMark/>
          </w:tcPr>
          <w:p w14:paraId="58698E50" w14:textId="77777777" w:rsidR="00F21FF0" w:rsidRDefault="00F21FF0">
            <w:pPr>
              <w:pBdr>
                <w:bottom w:val="single" w:sz="4" w:space="1" w:color="auto"/>
              </w:pBdr>
              <w:jc w:val="left"/>
              <w:rPr>
                <w:sz w:val="18"/>
                <w:szCs w:val="18"/>
                <w:rtl/>
              </w:rPr>
            </w:pPr>
            <w:r>
              <w:rPr>
                <w:rFonts w:hint="cs"/>
                <w:sz w:val="18"/>
                <w:szCs w:val="18"/>
                <w:rtl/>
              </w:rPr>
              <w:t>0</w:t>
            </w:r>
          </w:p>
        </w:tc>
        <w:tc>
          <w:tcPr>
            <w:tcW w:w="992" w:type="dxa"/>
            <w:hideMark/>
          </w:tcPr>
          <w:p w14:paraId="64856E40" w14:textId="77777777" w:rsidR="00F21FF0" w:rsidRDefault="00F21FF0">
            <w:pPr>
              <w:pBdr>
                <w:bottom w:val="single" w:sz="4" w:space="1" w:color="auto"/>
              </w:pBdr>
              <w:jc w:val="left"/>
              <w:rPr>
                <w:sz w:val="18"/>
                <w:szCs w:val="18"/>
                <w:rtl/>
              </w:rPr>
            </w:pPr>
            <w:r>
              <w:rPr>
                <w:rFonts w:hint="cs"/>
                <w:sz w:val="18"/>
                <w:szCs w:val="18"/>
                <w:rtl/>
              </w:rPr>
              <w:t>0</w:t>
            </w:r>
          </w:p>
        </w:tc>
        <w:tc>
          <w:tcPr>
            <w:tcW w:w="709" w:type="dxa"/>
            <w:hideMark/>
          </w:tcPr>
          <w:p w14:paraId="6DE36942" w14:textId="77777777" w:rsidR="00F21FF0" w:rsidRDefault="00F21FF0">
            <w:pPr>
              <w:pBdr>
                <w:bottom w:val="single" w:sz="4" w:space="1" w:color="auto"/>
              </w:pBdr>
              <w:jc w:val="left"/>
              <w:rPr>
                <w:sz w:val="18"/>
                <w:szCs w:val="18"/>
                <w:rtl/>
              </w:rPr>
            </w:pPr>
            <w:r>
              <w:rPr>
                <w:rFonts w:hint="cs"/>
                <w:sz w:val="18"/>
                <w:szCs w:val="18"/>
                <w:rtl/>
              </w:rPr>
              <w:t>0</w:t>
            </w:r>
          </w:p>
        </w:tc>
        <w:tc>
          <w:tcPr>
            <w:tcW w:w="566" w:type="dxa"/>
            <w:hideMark/>
          </w:tcPr>
          <w:p w14:paraId="484A0B47" w14:textId="77777777" w:rsidR="00F21FF0" w:rsidRDefault="00F21FF0">
            <w:pPr>
              <w:pBdr>
                <w:bottom w:val="single" w:sz="4" w:space="1" w:color="auto"/>
              </w:pBdr>
              <w:jc w:val="left"/>
              <w:rPr>
                <w:sz w:val="18"/>
                <w:szCs w:val="18"/>
                <w:rtl/>
              </w:rPr>
            </w:pPr>
            <w:r>
              <w:rPr>
                <w:rFonts w:hint="cs"/>
                <w:sz w:val="18"/>
                <w:szCs w:val="18"/>
                <w:rtl/>
              </w:rPr>
              <w:t>0</w:t>
            </w:r>
          </w:p>
        </w:tc>
      </w:tr>
      <w:tr w:rsidR="00F21FF0" w14:paraId="406A1700" w14:textId="77777777" w:rsidTr="006D671B">
        <w:trPr>
          <w:trHeight w:val="259"/>
        </w:trPr>
        <w:tc>
          <w:tcPr>
            <w:tcW w:w="941" w:type="dxa"/>
          </w:tcPr>
          <w:p w14:paraId="0FC52CCE" w14:textId="77777777" w:rsidR="00F21FF0" w:rsidRDefault="00F21FF0">
            <w:pPr>
              <w:rPr>
                <w:sz w:val="14"/>
                <w:szCs w:val="14"/>
                <w:rtl/>
              </w:rPr>
            </w:pPr>
          </w:p>
        </w:tc>
        <w:tc>
          <w:tcPr>
            <w:tcW w:w="1701" w:type="dxa"/>
            <w:tcBorders>
              <w:left w:val="nil"/>
            </w:tcBorders>
            <w:vAlign w:val="bottom"/>
            <w:hideMark/>
          </w:tcPr>
          <w:p w14:paraId="381B2DCA" w14:textId="77777777" w:rsidR="00F21FF0" w:rsidRPr="006D671B" w:rsidRDefault="00F21FF0">
            <w:pPr>
              <w:ind w:left="144" w:hanging="144"/>
              <w:jc w:val="left"/>
              <w:rPr>
                <w:b/>
                <w:bCs/>
                <w:color w:val="000000"/>
                <w:sz w:val="18"/>
                <w:szCs w:val="18"/>
                <w:rtl/>
                <w:lang w:eastAsia="he-IL"/>
              </w:rPr>
            </w:pPr>
            <w:r w:rsidRPr="006D671B">
              <w:rPr>
                <w:rFonts w:hint="cs"/>
                <w:b/>
                <w:bCs/>
                <w:color w:val="000000"/>
                <w:sz w:val="18"/>
                <w:szCs w:val="18"/>
                <w:rtl/>
                <w:lang w:eastAsia="he-IL"/>
              </w:rPr>
              <w:t xml:space="preserve">סך הכל </w:t>
            </w:r>
          </w:p>
        </w:tc>
        <w:tc>
          <w:tcPr>
            <w:tcW w:w="1134" w:type="dxa"/>
            <w:hideMark/>
          </w:tcPr>
          <w:p w14:paraId="05B86558" w14:textId="77777777" w:rsidR="00F21FF0" w:rsidRDefault="00F21FF0">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992" w:type="dxa"/>
            <w:hideMark/>
          </w:tcPr>
          <w:p w14:paraId="0E1494F9" w14:textId="77777777" w:rsidR="00F21FF0" w:rsidRDefault="00F21FF0">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1134" w:type="dxa"/>
            <w:hideMark/>
          </w:tcPr>
          <w:p w14:paraId="46A3CA2E" w14:textId="77777777" w:rsidR="00F21FF0" w:rsidRDefault="00F21FF0">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992" w:type="dxa"/>
            <w:hideMark/>
          </w:tcPr>
          <w:p w14:paraId="1490299F" w14:textId="77777777" w:rsidR="00F21FF0" w:rsidRDefault="00F21FF0">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993" w:type="dxa"/>
            <w:hideMark/>
          </w:tcPr>
          <w:p w14:paraId="7999633E" w14:textId="77777777" w:rsidR="00F21FF0" w:rsidRDefault="00F21FF0">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992" w:type="dxa"/>
            <w:hideMark/>
          </w:tcPr>
          <w:p w14:paraId="0C81415B" w14:textId="77777777" w:rsidR="00F21FF0" w:rsidRDefault="00F21FF0">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709" w:type="dxa"/>
            <w:hideMark/>
          </w:tcPr>
          <w:p w14:paraId="55B4EF0A" w14:textId="77777777" w:rsidR="00F21FF0" w:rsidRDefault="00F21FF0">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566" w:type="dxa"/>
            <w:hideMark/>
          </w:tcPr>
          <w:p w14:paraId="19432834" w14:textId="77777777" w:rsidR="00F21FF0" w:rsidRDefault="00F21FF0">
            <w:pPr>
              <w:pBdr>
                <w:bottom w:val="double" w:sz="4" w:space="1" w:color="auto"/>
              </w:pBdr>
              <w:ind w:left="144" w:hanging="144"/>
              <w:jc w:val="left"/>
              <w:rPr>
                <w:b/>
                <w:bCs/>
                <w:color w:val="000000"/>
                <w:sz w:val="16"/>
                <w:szCs w:val="16"/>
                <w:rtl/>
                <w:lang w:eastAsia="he-IL"/>
              </w:rPr>
            </w:pPr>
            <w:r>
              <w:rPr>
                <w:rFonts w:hint="cs"/>
                <w:b/>
                <w:bCs/>
                <w:sz w:val="18"/>
                <w:szCs w:val="18"/>
                <w:rtl/>
              </w:rPr>
              <w:t>0</w:t>
            </w:r>
          </w:p>
        </w:tc>
      </w:tr>
      <w:tr w:rsidR="00F21FF0" w14:paraId="4829036F" w14:textId="77777777" w:rsidTr="006D671B">
        <w:tc>
          <w:tcPr>
            <w:tcW w:w="941" w:type="dxa"/>
          </w:tcPr>
          <w:p w14:paraId="4101391C" w14:textId="77777777" w:rsidR="00F21FF0" w:rsidRDefault="00F21FF0">
            <w:pPr>
              <w:bidi w:val="0"/>
              <w:spacing w:line="60" w:lineRule="exact"/>
              <w:rPr>
                <w:sz w:val="14"/>
                <w:szCs w:val="14"/>
                <w:rtl/>
              </w:rPr>
            </w:pPr>
          </w:p>
        </w:tc>
        <w:tc>
          <w:tcPr>
            <w:tcW w:w="1701" w:type="dxa"/>
            <w:vAlign w:val="bottom"/>
          </w:tcPr>
          <w:p w14:paraId="70E05873" w14:textId="77777777" w:rsidR="00F21FF0" w:rsidRDefault="00F21FF0">
            <w:pPr>
              <w:bidi w:val="0"/>
              <w:spacing w:line="60" w:lineRule="exact"/>
              <w:ind w:left="144" w:hanging="144"/>
              <w:rPr>
                <w:b/>
                <w:bCs/>
                <w:color w:val="000000"/>
                <w:rtl/>
                <w:lang w:eastAsia="he-IL"/>
              </w:rPr>
            </w:pPr>
          </w:p>
        </w:tc>
        <w:tc>
          <w:tcPr>
            <w:tcW w:w="1134" w:type="dxa"/>
          </w:tcPr>
          <w:p w14:paraId="69AE175B" w14:textId="77777777" w:rsidR="00F21FF0" w:rsidRDefault="00F21FF0">
            <w:pPr>
              <w:bidi w:val="0"/>
              <w:spacing w:line="60" w:lineRule="exact"/>
              <w:rPr>
                <w:rtl/>
              </w:rPr>
            </w:pPr>
          </w:p>
        </w:tc>
        <w:tc>
          <w:tcPr>
            <w:tcW w:w="992" w:type="dxa"/>
          </w:tcPr>
          <w:p w14:paraId="56C2E755" w14:textId="77777777" w:rsidR="00F21FF0" w:rsidRDefault="00F21FF0">
            <w:pPr>
              <w:bidi w:val="0"/>
              <w:spacing w:line="60" w:lineRule="exact"/>
              <w:rPr>
                <w:rtl/>
              </w:rPr>
            </w:pPr>
          </w:p>
        </w:tc>
        <w:tc>
          <w:tcPr>
            <w:tcW w:w="1134" w:type="dxa"/>
          </w:tcPr>
          <w:p w14:paraId="0E318997" w14:textId="77777777" w:rsidR="00F21FF0" w:rsidRDefault="00F21FF0">
            <w:pPr>
              <w:bidi w:val="0"/>
              <w:spacing w:line="60" w:lineRule="exact"/>
              <w:rPr>
                <w:rtl/>
              </w:rPr>
            </w:pPr>
          </w:p>
        </w:tc>
        <w:tc>
          <w:tcPr>
            <w:tcW w:w="992" w:type="dxa"/>
          </w:tcPr>
          <w:p w14:paraId="1D7813F0" w14:textId="77777777" w:rsidR="00F21FF0" w:rsidRDefault="00F21FF0">
            <w:pPr>
              <w:bidi w:val="0"/>
              <w:spacing w:line="60" w:lineRule="exact"/>
              <w:rPr>
                <w:rtl/>
              </w:rPr>
            </w:pPr>
          </w:p>
        </w:tc>
        <w:tc>
          <w:tcPr>
            <w:tcW w:w="993" w:type="dxa"/>
          </w:tcPr>
          <w:p w14:paraId="22A1ACDD" w14:textId="77777777" w:rsidR="00F21FF0" w:rsidRDefault="00F21FF0">
            <w:pPr>
              <w:bidi w:val="0"/>
              <w:spacing w:line="60" w:lineRule="exact"/>
              <w:rPr>
                <w:rtl/>
              </w:rPr>
            </w:pPr>
          </w:p>
        </w:tc>
        <w:tc>
          <w:tcPr>
            <w:tcW w:w="992" w:type="dxa"/>
          </w:tcPr>
          <w:p w14:paraId="2F71697C" w14:textId="77777777" w:rsidR="00F21FF0" w:rsidRDefault="00F21FF0">
            <w:pPr>
              <w:bidi w:val="0"/>
              <w:spacing w:line="60" w:lineRule="exact"/>
              <w:rPr>
                <w:rtl/>
              </w:rPr>
            </w:pPr>
          </w:p>
        </w:tc>
        <w:tc>
          <w:tcPr>
            <w:tcW w:w="709" w:type="dxa"/>
          </w:tcPr>
          <w:p w14:paraId="2CE893AA" w14:textId="77777777" w:rsidR="00F21FF0" w:rsidRDefault="00F21FF0">
            <w:pPr>
              <w:bidi w:val="0"/>
              <w:spacing w:line="60" w:lineRule="exact"/>
              <w:rPr>
                <w:rtl/>
              </w:rPr>
            </w:pPr>
          </w:p>
        </w:tc>
        <w:tc>
          <w:tcPr>
            <w:tcW w:w="566" w:type="dxa"/>
          </w:tcPr>
          <w:p w14:paraId="71759D86" w14:textId="77777777" w:rsidR="00F21FF0" w:rsidRDefault="00F21FF0">
            <w:pPr>
              <w:bidi w:val="0"/>
              <w:spacing w:line="60" w:lineRule="exact"/>
              <w:rPr>
                <w:rtl/>
              </w:rPr>
            </w:pPr>
          </w:p>
        </w:tc>
      </w:tr>
    </w:tbl>
    <w:p w14:paraId="253A7AB2" w14:textId="684BB53C" w:rsidR="00E36A2E" w:rsidRDefault="00E36A2E">
      <w:pPr>
        <w:rPr>
          <w:rtl/>
        </w:rPr>
      </w:pPr>
    </w:p>
    <w:p w14:paraId="3B74B602" w14:textId="309BC2A5" w:rsidR="00D63C0E" w:rsidRDefault="00D63C0E">
      <w:pPr>
        <w:rPr>
          <w:rtl/>
        </w:rPr>
      </w:pPr>
    </w:p>
    <w:p w14:paraId="6286F161" w14:textId="77777777" w:rsidR="00D26088" w:rsidRDefault="00D26088">
      <w:pPr>
        <w:rPr>
          <w:rtl/>
        </w:rPr>
      </w:pPr>
    </w:p>
    <w:tbl>
      <w:tblPr>
        <w:bidiVisual/>
        <w:tblW w:w="4974" w:type="pct"/>
        <w:tblInd w:w="-4" w:type="dxa"/>
        <w:tblLayout w:type="fixed"/>
        <w:tblLook w:val="04A0" w:firstRow="1" w:lastRow="0" w:firstColumn="1" w:lastColumn="0" w:noHBand="0" w:noVBand="1"/>
      </w:tblPr>
      <w:tblGrid>
        <w:gridCol w:w="941"/>
        <w:gridCol w:w="1701"/>
        <w:gridCol w:w="1134"/>
        <w:gridCol w:w="992"/>
        <w:gridCol w:w="1134"/>
        <w:gridCol w:w="992"/>
        <w:gridCol w:w="993"/>
        <w:gridCol w:w="992"/>
        <w:gridCol w:w="709"/>
        <w:gridCol w:w="566"/>
      </w:tblGrid>
      <w:tr w:rsidR="00D63C0E" w14:paraId="29504AF4" w14:textId="77777777" w:rsidTr="00400DD1">
        <w:trPr>
          <w:trHeight w:val="259"/>
        </w:trPr>
        <w:tc>
          <w:tcPr>
            <w:tcW w:w="941" w:type="dxa"/>
          </w:tcPr>
          <w:p w14:paraId="1AD92B9A" w14:textId="77777777" w:rsidR="00D63C0E" w:rsidRDefault="00D63C0E" w:rsidP="00400DD1">
            <w:pPr>
              <w:spacing w:before="60"/>
              <w:jc w:val="left"/>
              <w:rPr>
                <w:sz w:val="14"/>
                <w:szCs w:val="14"/>
                <w:rtl/>
              </w:rPr>
            </w:pPr>
          </w:p>
        </w:tc>
        <w:tc>
          <w:tcPr>
            <w:tcW w:w="1701" w:type="dxa"/>
            <w:tcBorders>
              <w:left w:val="nil"/>
            </w:tcBorders>
            <w:vAlign w:val="bottom"/>
          </w:tcPr>
          <w:p w14:paraId="186A642D" w14:textId="77777777" w:rsidR="00D63C0E" w:rsidRDefault="00D63C0E" w:rsidP="00400DD1">
            <w:pPr>
              <w:ind w:left="144" w:hanging="144"/>
              <w:jc w:val="left"/>
              <w:rPr>
                <w:color w:val="000000"/>
                <w:rtl/>
                <w:lang w:eastAsia="he-IL"/>
              </w:rPr>
            </w:pPr>
          </w:p>
        </w:tc>
        <w:tc>
          <w:tcPr>
            <w:tcW w:w="7512" w:type="dxa"/>
            <w:gridSpan w:val="8"/>
            <w:vAlign w:val="bottom"/>
            <w:hideMark/>
          </w:tcPr>
          <w:p w14:paraId="4491D2C9" w14:textId="0AF5E8BC" w:rsidR="00D63C0E" w:rsidRPr="00D63C0E" w:rsidRDefault="00D63C0E" w:rsidP="00400DD1">
            <w:pPr>
              <w:pBdr>
                <w:bottom w:val="single" w:sz="6" w:space="1" w:color="auto"/>
              </w:pBdr>
              <w:spacing w:after="40"/>
              <w:jc w:val="center"/>
              <w:rPr>
                <w:b/>
                <w:bCs/>
                <w:sz w:val="18"/>
                <w:szCs w:val="18"/>
                <w:rtl/>
              </w:rPr>
            </w:pPr>
            <w:r w:rsidRPr="00D63C0E">
              <w:rPr>
                <w:rFonts w:hint="cs"/>
                <w:b/>
                <w:bCs/>
                <w:sz w:val="18"/>
                <w:szCs w:val="18"/>
                <w:rtl/>
              </w:rPr>
              <w:t xml:space="preserve">ליום 30 ביוני </w:t>
            </w:r>
            <w:r w:rsidRPr="00D63C0E">
              <w:rPr>
                <w:b/>
                <w:bCs/>
                <w:sz w:val="18"/>
                <w:szCs w:val="18"/>
                <w:rtl/>
              </w:rPr>
              <w:fldChar w:fldCharType="begin"/>
            </w:r>
            <w:r w:rsidRPr="00D63C0E">
              <w:rPr>
                <w:b/>
                <w:bCs/>
                <w:sz w:val="18"/>
                <w:szCs w:val="18"/>
                <w:rtl/>
              </w:rPr>
              <w:instrText xml:space="preserve"> </w:instrText>
            </w:r>
            <w:r w:rsidRPr="00D63C0E">
              <w:rPr>
                <w:rFonts w:hint="cs"/>
                <w:b/>
                <w:bCs/>
                <w:sz w:val="18"/>
                <w:szCs w:val="18"/>
                <w:rtl/>
              </w:rPr>
              <w:instrText xml:space="preserve">= </w:instrText>
            </w:r>
            <w:r w:rsidRPr="00D63C0E">
              <w:rPr>
                <w:rFonts w:hint="cs"/>
                <w:b/>
                <w:bCs/>
                <w:sz w:val="18"/>
                <w:szCs w:val="18"/>
              </w:rPr>
              <w:instrText>CY</w:instrText>
            </w:r>
            <w:r>
              <w:rPr>
                <w:b/>
                <w:bCs/>
                <w:sz w:val="18"/>
                <w:szCs w:val="18"/>
              </w:rPr>
              <w:instrText>-1</w:instrText>
            </w:r>
            <w:r w:rsidRPr="00D63C0E">
              <w:rPr>
                <w:rFonts w:hint="cs"/>
                <w:b/>
                <w:bCs/>
                <w:sz w:val="18"/>
                <w:szCs w:val="18"/>
              </w:rPr>
              <w:instrText xml:space="preserve"> \* MERGEFORMAT</w:instrText>
            </w:r>
            <w:r w:rsidRPr="00D63C0E">
              <w:rPr>
                <w:b/>
                <w:bCs/>
                <w:sz w:val="18"/>
                <w:szCs w:val="18"/>
                <w:rtl/>
              </w:rPr>
              <w:instrText xml:space="preserve"> </w:instrText>
            </w:r>
            <w:r w:rsidRPr="00D63C0E">
              <w:rPr>
                <w:b/>
                <w:bCs/>
                <w:sz w:val="18"/>
                <w:szCs w:val="18"/>
                <w:rtl/>
              </w:rPr>
              <w:fldChar w:fldCharType="separate"/>
            </w:r>
            <w:r w:rsidR="003A584F">
              <w:rPr>
                <w:b/>
                <w:bCs/>
                <w:noProof/>
                <w:sz w:val="18"/>
                <w:szCs w:val="18"/>
                <w:rtl/>
              </w:rPr>
              <w:t>2023</w:t>
            </w:r>
            <w:r w:rsidRPr="00D63C0E">
              <w:rPr>
                <w:b/>
                <w:bCs/>
                <w:sz w:val="18"/>
                <w:szCs w:val="18"/>
                <w:rtl/>
              </w:rPr>
              <w:fldChar w:fldCharType="end"/>
            </w:r>
            <w:r w:rsidRPr="00D63C0E">
              <w:rPr>
                <w:rFonts w:hint="cs"/>
                <w:b/>
                <w:bCs/>
                <w:sz w:val="18"/>
                <w:szCs w:val="18"/>
                <w:rtl/>
              </w:rPr>
              <w:t xml:space="preserve">  </w:t>
            </w:r>
            <w:r w:rsidRPr="001F0989">
              <w:rPr>
                <w:rFonts w:hint="cs"/>
                <w:sz w:val="18"/>
                <w:szCs w:val="18"/>
                <w:rtl/>
              </w:rPr>
              <w:t>(בלתי מבוקר)</w:t>
            </w:r>
          </w:p>
        </w:tc>
      </w:tr>
      <w:tr w:rsidR="00D63C0E" w14:paraId="3BDB938F" w14:textId="77777777" w:rsidTr="00400DD1">
        <w:trPr>
          <w:trHeight w:val="510"/>
        </w:trPr>
        <w:tc>
          <w:tcPr>
            <w:tcW w:w="941" w:type="dxa"/>
          </w:tcPr>
          <w:p w14:paraId="085835A1" w14:textId="77777777" w:rsidR="00D63C0E" w:rsidRDefault="00D63C0E" w:rsidP="00400DD1">
            <w:pPr>
              <w:rPr>
                <w:sz w:val="14"/>
                <w:szCs w:val="14"/>
                <w:rtl/>
              </w:rPr>
            </w:pPr>
          </w:p>
        </w:tc>
        <w:tc>
          <w:tcPr>
            <w:tcW w:w="1701" w:type="dxa"/>
            <w:tcBorders>
              <w:left w:val="nil"/>
            </w:tcBorders>
            <w:vAlign w:val="bottom"/>
          </w:tcPr>
          <w:p w14:paraId="3B0E23CD" w14:textId="77777777" w:rsidR="00D63C0E" w:rsidRDefault="00D63C0E" w:rsidP="00400DD1">
            <w:pPr>
              <w:jc w:val="left"/>
              <w:rPr>
                <w:color w:val="000000"/>
                <w:rtl/>
                <w:lang w:eastAsia="he-IL"/>
              </w:rPr>
            </w:pPr>
          </w:p>
        </w:tc>
        <w:tc>
          <w:tcPr>
            <w:tcW w:w="1134" w:type="dxa"/>
          </w:tcPr>
          <w:p w14:paraId="28803FCC" w14:textId="77777777" w:rsidR="00D63C0E" w:rsidRDefault="00D63C0E" w:rsidP="00400DD1">
            <w:pPr>
              <w:pBdr>
                <w:bottom w:val="single" w:sz="6" w:space="1" w:color="auto"/>
              </w:pBdr>
              <w:jc w:val="center"/>
              <w:rPr>
                <w:b/>
                <w:bCs/>
                <w:sz w:val="16"/>
                <w:szCs w:val="16"/>
                <w:rtl/>
              </w:rPr>
            </w:pPr>
            <w:r>
              <w:rPr>
                <w:rFonts w:hint="cs"/>
                <w:b/>
                <w:bCs/>
                <w:sz w:val="16"/>
                <w:szCs w:val="16"/>
                <w:rtl/>
              </w:rPr>
              <w:t>אינו בפיגור של 90 יום</w:t>
            </w:r>
          </w:p>
          <w:p w14:paraId="5B1C4428" w14:textId="77777777" w:rsidR="00D63C0E" w:rsidRDefault="00D63C0E" w:rsidP="00400DD1">
            <w:pPr>
              <w:pBdr>
                <w:bottom w:val="single" w:sz="6" w:space="1" w:color="auto"/>
              </w:pBdr>
              <w:jc w:val="center"/>
              <w:rPr>
                <w:b/>
                <w:bCs/>
                <w:sz w:val="16"/>
                <w:szCs w:val="16"/>
                <w:rtl/>
              </w:rPr>
            </w:pPr>
            <w:r>
              <w:rPr>
                <w:rFonts w:hint="cs"/>
                <w:b/>
                <w:bCs/>
                <w:sz w:val="16"/>
                <w:szCs w:val="16"/>
                <w:rtl/>
              </w:rPr>
              <w:t xml:space="preserve"> או יותר</w:t>
            </w:r>
          </w:p>
        </w:tc>
        <w:tc>
          <w:tcPr>
            <w:tcW w:w="992" w:type="dxa"/>
          </w:tcPr>
          <w:p w14:paraId="666FA492" w14:textId="77777777" w:rsidR="00D63C0E" w:rsidRDefault="00D63C0E" w:rsidP="00400DD1">
            <w:pPr>
              <w:pBdr>
                <w:bottom w:val="single" w:sz="6" w:space="1" w:color="auto"/>
              </w:pBdr>
              <w:jc w:val="center"/>
              <w:rPr>
                <w:b/>
                <w:bCs/>
                <w:sz w:val="16"/>
                <w:szCs w:val="16"/>
                <w:rtl/>
              </w:rPr>
            </w:pPr>
            <w:r>
              <w:rPr>
                <w:rFonts w:hint="cs"/>
                <w:b/>
                <w:bCs/>
                <w:sz w:val="16"/>
                <w:szCs w:val="16"/>
                <w:rtl/>
              </w:rPr>
              <w:t>בפיגור של 90 ימים</w:t>
            </w:r>
          </w:p>
          <w:p w14:paraId="64096069" w14:textId="77777777" w:rsidR="00D63C0E" w:rsidRDefault="00D63C0E" w:rsidP="00400DD1">
            <w:pPr>
              <w:pBdr>
                <w:bottom w:val="single" w:sz="6" w:space="1" w:color="auto"/>
              </w:pBdr>
              <w:jc w:val="center"/>
              <w:rPr>
                <w:b/>
                <w:bCs/>
                <w:sz w:val="16"/>
                <w:szCs w:val="16"/>
                <w:rtl/>
              </w:rPr>
            </w:pPr>
            <w:r>
              <w:rPr>
                <w:rFonts w:hint="cs"/>
                <w:b/>
                <w:bCs/>
                <w:sz w:val="16"/>
                <w:szCs w:val="16"/>
                <w:rtl/>
              </w:rPr>
              <w:t>עד 180</w:t>
            </w:r>
          </w:p>
        </w:tc>
        <w:tc>
          <w:tcPr>
            <w:tcW w:w="1134" w:type="dxa"/>
          </w:tcPr>
          <w:p w14:paraId="56C48126" w14:textId="77777777" w:rsidR="00D63C0E" w:rsidRDefault="00D63C0E" w:rsidP="00400DD1">
            <w:pPr>
              <w:pBdr>
                <w:bottom w:val="single" w:sz="6" w:space="1" w:color="auto"/>
              </w:pBdr>
              <w:jc w:val="center"/>
              <w:rPr>
                <w:b/>
                <w:bCs/>
                <w:sz w:val="16"/>
                <w:szCs w:val="16"/>
                <w:rtl/>
              </w:rPr>
            </w:pPr>
            <w:r>
              <w:rPr>
                <w:rFonts w:hint="cs"/>
                <w:b/>
                <w:bCs/>
                <w:sz w:val="16"/>
                <w:szCs w:val="16"/>
                <w:rtl/>
              </w:rPr>
              <w:t>בפיגור מעל 180 ימים</w:t>
            </w:r>
          </w:p>
          <w:p w14:paraId="4B9B62F3" w14:textId="77777777" w:rsidR="00D63C0E" w:rsidRDefault="00D63C0E" w:rsidP="00400DD1">
            <w:pPr>
              <w:pBdr>
                <w:bottom w:val="single" w:sz="6" w:space="1" w:color="auto"/>
              </w:pBdr>
              <w:jc w:val="center"/>
              <w:rPr>
                <w:b/>
                <w:bCs/>
                <w:sz w:val="16"/>
                <w:szCs w:val="16"/>
                <w:rtl/>
              </w:rPr>
            </w:pPr>
            <w:r>
              <w:rPr>
                <w:rFonts w:hint="cs"/>
                <w:b/>
                <w:bCs/>
                <w:sz w:val="16"/>
                <w:szCs w:val="16"/>
                <w:rtl/>
              </w:rPr>
              <w:t>עד שנה</w:t>
            </w:r>
          </w:p>
        </w:tc>
        <w:tc>
          <w:tcPr>
            <w:tcW w:w="992" w:type="dxa"/>
          </w:tcPr>
          <w:p w14:paraId="232FDD72" w14:textId="77777777" w:rsidR="00D63C0E" w:rsidRDefault="00D63C0E" w:rsidP="00400DD1">
            <w:pPr>
              <w:pBdr>
                <w:bottom w:val="single" w:sz="6" w:space="1" w:color="auto"/>
              </w:pBdr>
              <w:jc w:val="center"/>
              <w:rPr>
                <w:b/>
                <w:bCs/>
                <w:sz w:val="16"/>
                <w:szCs w:val="16"/>
                <w:rtl/>
              </w:rPr>
            </w:pPr>
            <w:r>
              <w:rPr>
                <w:rFonts w:hint="cs"/>
                <w:b/>
                <w:bCs/>
                <w:sz w:val="16"/>
                <w:szCs w:val="16"/>
                <w:rtl/>
              </w:rPr>
              <w:t>בפיגור מעל שנה ועד</w:t>
            </w:r>
          </w:p>
          <w:p w14:paraId="7E4F17BB" w14:textId="77777777" w:rsidR="00D63C0E" w:rsidRDefault="00D63C0E" w:rsidP="00400DD1">
            <w:pPr>
              <w:pBdr>
                <w:bottom w:val="single" w:sz="6" w:space="1" w:color="auto"/>
              </w:pBdr>
              <w:jc w:val="center"/>
              <w:rPr>
                <w:b/>
                <w:bCs/>
                <w:sz w:val="16"/>
                <w:szCs w:val="16"/>
                <w:rtl/>
              </w:rPr>
            </w:pPr>
            <w:r>
              <w:rPr>
                <w:rFonts w:hint="cs"/>
                <w:b/>
                <w:bCs/>
                <w:sz w:val="16"/>
                <w:szCs w:val="16"/>
                <w:rtl/>
              </w:rPr>
              <w:t>3 שנים</w:t>
            </w:r>
          </w:p>
        </w:tc>
        <w:tc>
          <w:tcPr>
            <w:tcW w:w="993" w:type="dxa"/>
          </w:tcPr>
          <w:p w14:paraId="3B4E5F6A" w14:textId="77777777" w:rsidR="00D63C0E" w:rsidRDefault="00D63C0E" w:rsidP="00400DD1">
            <w:pPr>
              <w:pBdr>
                <w:bottom w:val="single" w:sz="6" w:space="1" w:color="auto"/>
              </w:pBdr>
              <w:jc w:val="center"/>
              <w:rPr>
                <w:b/>
                <w:bCs/>
                <w:sz w:val="16"/>
                <w:szCs w:val="16"/>
                <w:rtl/>
              </w:rPr>
            </w:pPr>
            <w:r>
              <w:rPr>
                <w:rFonts w:hint="cs"/>
                <w:b/>
                <w:bCs/>
                <w:sz w:val="16"/>
                <w:szCs w:val="16"/>
                <w:rtl/>
              </w:rPr>
              <w:t>בפיגור מעל 3 שנים ועד 5 שנים</w:t>
            </w:r>
          </w:p>
        </w:tc>
        <w:tc>
          <w:tcPr>
            <w:tcW w:w="992" w:type="dxa"/>
          </w:tcPr>
          <w:p w14:paraId="48AF305C" w14:textId="77777777" w:rsidR="00D63C0E" w:rsidRDefault="00D63C0E" w:rsidP="00400DD1">
            <w:pPr>
              <w:pBdr>
                <w:bottom w:val="single" w:sz="6" w:space="1" w:color="auto"/>
              </w:pBdr>
              <w:jc w:val="center"/>
              <w:rPr>
                <w:b/>
                <w:bCs/>
                <w:sz w:val="16"/>
                <w:szCs w:val="16"/>
                <w:rtl/>
              </w:rPr>
            </w:pPr>
            <w:r>
              <w:rPr>
                <w:rFonts w:hint="cs"/>
                <w:b/>
                <w:bCs/>
                <w:sz w:val="16"/>
                <w:szCs w:val="16"/>
                <w:rtl/>
              </w:rPr>
              <w:t>בפיגור מעל 5 שנים ועד 7 שנים</w:t>
            </w:r>
          </w:p>
        </w:tc>
        <w:tc>
          <w:tcPr>
            <w:tcW w:w="709" w:type="dxa"/>
          </w:tcPr>
          <w:p w14:paraId="03DF24DF" w14:textId="77777777" w:rsidR="00D63C0E" w:rsidRDefault="00D63C0E" w:rsidP="00400DD1">
            <w:pPr>
              <w:pBdr>
                <w:bottom w:val="single" w:sz="6" w:space="1" w:color="auto"/>
              </w:pBdr>
              <w:jc w:val="center"/>
              <w:rPr>
                <w:b/>
                <w:bCs/>
                <w:sz w:val="16"/>
                <w:szCs w:val="16"/>
                <w:rtl/>
              </w:rPr>
            </w:pPr>
            <w:r>
              <w:rPr>
                <w:rFonts w:hint="cs"/>
                <w:b/>
                <w:bCs/>
                <w:sz w:val="16"/>
                <w:szCs w:val="16"/>
                <w:rtl/>
              </w:rPr>
              <w:t>בפיגור מעל 7 שנים</w:t>
            </w:r>
          </w:p>
        </w:tc>
        <w:tc>
          <w:tcPr>
            <w:tcW w:w="566" w:type="dxa"/>
          </w:tcPr>
          <w:p w14:paraId="2296449F" w14:textId="77777777" w:rsidR="00D63C0E" w:rsidRDefault="00D63C0E" w:rsidP="00400DD1">
            <w:pPr>
              <w:pBdr>
                <w:bottom w:val="single" w:sz="6" w:space="1" w:color="auto"/>
              </w:pBdr>
              <w:jc w:val="center"/>
              <w:rPr>
                <w:b/>
                <w:bCs/>
                <w:sz w:val="16"/>
                <w:szCs w:val="16"/>
                <w:rtl/>
              </w:rPr>
            </w:pPr>
          </w:p>
          <w:p w14:paraId="79D357C8" w14:textId="77777777" w:rsidR="00D63C0E" w:rsidRDefault="00D63C0E" w:rsidP="00400DD1">
            <w:pPr>
              <w:pBdr>
                <w:bottom w:val="single" w:sz="6" w:space="1" w:color="auto"/>
              </w:pBdr>
              <w:jc w:val="center"/>
              <w:rPr>
                <w:b/>
                <w:bCs/>
                <w:sz w:val="16"/>
                <w:szCs w:val="16"/>
                <w:rtl/>
              </w:rPr>
            </w:pPr>
            <w:r>
              <w:rPr>
                <w:rFonts w:hint="cs"/>
                <w:b/>
                <w:bCs/>
                <w:sz w:val="16"/>
                <w:szCs w:val="16"/>
                <w:rtl/>
              </w:rPr>
              <w:t>סך הכל</w:t>
            </w:r>
          </w:p>
        </w:tc>
      </w:tr>
      <w:tr w:rsidR="00D63C0E" w14:paraId="17ADF5B0" w14:textId="77777777" w:rsidTr="00400DD1">
        <w:trPr>
          <w:trHeight w:hRule="exact" w:val="144"/>
        </w:trPr>
        <w:tc>
          <w:tcPr>
            <w:tcW w:w="941" w:type="dxa"/>
          </w:tcPr>
          <w:p w14:paraId="71B8B12F" w14:textId="77777777" w:rsidR="00D63C0E" w:rsidRDefault="00D63C0E" w:rsidP="00400DD1">
            <w:pPr>
              <w:rPr>
                <w:sz w:val="14"/>
                <w:szCs w:val="14"/>
                <w:rtl/>
              </w:rPr>
            </w:pPr>
          </w:p>
        </w:tc>
        <w:tc>
          <w:tcPr>
            <w:tcW w:w="1701" w:type="dxa"/>
            <w:tcBorders>
              <w:left w:val="nil"/>
            </w:tcBorders>
            <w:vAlign w:val="bottom"/>
          </w:tcPr>
          <w:p w14:paraId="557248EA" w14:textId="77777777" w:rsidR="00D63C0E" w:rsidRDefault="00D63C0E" w:rsidP="00400DD1">
            <w:pPr>
              <w:spacing w:before="40" w:line="200" w:lineRule="exact"/>
              <w:ind w:left="432" w:right="144" w:hanging="144"/>
              <w:jc w:val="left"/>
              <w:rPr>
                <w:color w:val="000000"/>
                <w:sz w:val="18"/>
                <w:szCs w:val="18"/>
                <w:rtl/>
                <w:lang w:eastAsia="he-IL"/>
              </w:rPr>
            </w:pPr>
          </w:p>
        </w:tc>
        <w:tc>
          <w:tcPr>
            <w:tcW w:w="1134" w:type="dxa"/>
          </w:tcPr>
          <w:p w14:paraId="1C642821" w14:textId="77777777" w:rsidR="00D63C0E" w:rsidRDefault="00D63C0E" w:rsidP="00400DD1">
            <w:pPr>
              <w:rPr>
                <w:rtl/>
              </w:rPr>
            </w:pPr>
          </w:p>
        </w:tc>
        <w:tc>
          <w:tcPr>
            <w:tcW w:w="992" w:type="dxa"/>
          </w:tcPr>
          <w:p w14:paraId="49643BC6" w14:textId="77777777" w:rsidR="00D63C0E" w:rsidRDefault="00D63C0E" w:rsidP="00400DD1">
            <w:pPr>
              <w:rPr>
                <w:rtl/>
              </w:rPr>
            </w:pPr>
          </w:p>
        </w:tc>
        <w:tc>
          <w:tcPr>
            <w:tcW w:w="1134" w:type="dxa"/>
          </w:tcPr>
          <w:p w14:paraId="25560734" w14:textId="77777777" w:rsidR="00D63C0E" w:rsidRDefault="00D63C0E" w:rsidP="00400DD1">
            <w:pPr>
              <w:rPr>
                <w:rtl/>
              </w:rPr>
            </w:pPr>
          </w:p>
        </w:tc>
        <w:tc>
          <w:tcPr>
            <w:tcW w:w="992" w:type="dxa"/>
          </w:tcPr>
          <w:p w14:paraId="705F1B6C" w14:textId="77777777" w:rsidR="00D63C0E" w:rsidRDefault="00D63C0E" w:rsidP="00400DD1">
            <w:pPr>
              <w:rPr>
                <w:rtl/>
              </w:rPr>
            </w:pPr>
          </w:p>
        </w:tc>
        <w:tc>
          <w:tcPr>
            <w:tcW w:w="993" w:type="dxa"/>
          </w:tcPr>
          <w:p w14:paraId="0BABEDA8" w14:textId="77777777" w:rsidR="00D63C0E" w:rsidRDefault="00D63C0E" w:rsidP="00400DD1">
            <w:pPr>
              <w:rPr>
                <w:rtl/>
              </w:rPr>
            </w:pPr>
          </w:p>
        </w:tc>
        <w:tc>
          <w:tcPr>
            <w:tcW w:w="992" w:type="dxa"/>
          </w:tcPr>
          <w:p w14:paraId="5DC8FD67" w14:textId="77777777" w:rsidR="00D63C0E" w:rsidRDefault="00D63C0E" w:rsidP="00400DD1">
            <w:pPr>
              <w:rPr>
                <w:rtl/>
              </w:rPr>
            </w:pPr>
          </w:p>
        </w:tc>
        <w:tc>
          <w:tcPr>
            <w:tcW w:w="709" w:type="dxa"/>
          </w:tcPr>
          <w:p w14:paraId="02AE3B2D" w14:textId="77777777" w:rsidR="00D63C0E" w:rsidRDefault="00D63C0E" w:rsidP="00400DD1">
            <w:pPr>
              <w:rPr>
                <w:rtl/>
              </w:rPr>
            </w:pPr>
          </w:p>
        </w:tc>
        <w:tc>
          <w:tcPr>
            <w:tcW w:w="566" w:type="dxa"/>
          </w:tcPr>
          <w:p w14:paraId="7120F042" w14:textId="77777777" w:rsidR="00D63C0E" w:rsidRDefault="00D63C0E" w:rsidP="00400DD1">
            <w:pPr>
              <w:rPr>
                <w:rtl/>
              </w:rPr>
            </w:pPr>
          </w:p>
        </w:tc>
      </w:tr>
      <w:tr w:rsidR="00D63C0E" w14:paraId="5AADA5F7" w14:textId="77777777" w:rsidTr="00400DD1">
        <w:trPr>
          <w:trHeight w:val="259"/>
        </w:trPr>
        <w:tc>
          <w:tcPr>
            <w:tcW w:w="941" w:type="dxa"/>
          </w:tcPr>
          <w:p w14:paraId="07B7261A" w14:textId="77777777" w:rsidR="00D63C0E" w:rsidRDefault="00D63C0E" w:rsidP="00400DD1">
            <w:pPr>
              <w:rPr>
                <w:sz w:val="14"/>
                <w:szCs w:val="14"/>
                <w:rtl/>
              </w:rPr>
            </w:pPr>
          </w:p>
        </w:tc>
        <w:tc>
          <w:tcPr>
            <w:tcW w:w="1701" w:type="dxa"/>
            <w:tcBorders>
              <w:left w:val="nil"/>
            </w:tcBorders>
            <w:vAlign w:val="bottom"/>
            <w:hideMark/>
          </w:tcPr>
          <w:p w14:paraId="183D59A9" w14:textId="77777777" w:rsidR="00D63C0E" w:rsidRPr="006D671B" w:rsidRDefault="00D63C0E" w:rsidP="00400DD1">
            <w:pPr>
              <w:jc w:val="left"/>
              <w:rPr>
                <w:color w:val="000000"/>
                <w:sz w:val="18"/>
                <w:szCs w:val="18"/>
                <w:rtl/>
                <w:lang w:eastAsia="he-IL"/>
              </w:rPr>
            </w:pPr>
            <w:r w:rsidRPr="006D671B">
              <w:rPr>
                <w:rFonts w:hint="cs"/>
                <w:color w:val="000000"/>
                <w:sz w:val="18"/>
                <w:szCs w:val="18"/>
                <w:rtl/>
                <w:lang w:eastAsia="he-IL"/>
              </w:rPr>
              <w:t>מסחרי</w:t>
            </w:r>
          </w:p>
        </w:tc>
        <w:tc>
          <w:tcPr>
            <w:tcW w:w="1134" w:type="dxa"/>
            <w:hideMark/>
          </w:tcPr>
          <w:p w14:paraId="04A5744D" w14:textId="77777777" w:rsidR="00D63C0E" w:rsidRDefault="00D63C0E" w:rsidP="00400DD1">
            <w:pPr>
              <w:rPr>
                <w:sz w:val="18"/>
                <w:szCs w:val="18"/>
                <w:rtl/>
              </w:rPr>
            </w:pPr>
            <w:r>
              <w:rPr>
                <w:rFonts w:hint="cs"/>
                <w:sz w:val="18"/>
                <w:szCs w:val="18"/>
                <w:rtl/>
              </w:rPr>
              <w:t>0</w:t>
            </w:r>
          </w:p>
        </w:tc>
        <w:tc>
          <w:tcPr>
            <w:tcW w:w="992" w:type="dxa"/>
            <w:hideMark/>
          </w:tcPr>
          <w:p w14:paraId="5A6B6186" w14:textId="77777777" w:rsidR="00D63C0E" w:rsidRDefault="00D63C0E" w:rsidP="00400DD1">
            <w:pPr>
              <w:rPr>
                <w:sz w:val="18"/>
                <w:szCs w:val="18"/>
                <w:rtl/>
              </w:rPr>
            </w:pPr>
            <w:r>
              <w:rPr>
                <w:rFonts w:hint="cs"/>
                <w:sz w:val="18"/>
                <w:szCs w:val="18"/>
                <w:rtl/>
              </w:rPr>
              <w:t>0</w:t>
            </w:r>
          </w:p>
        </w:tc>
        <w:tc>
          <w:tcPr>
            <w:tcW w:w="1134" w:type="dxa"/>
            <w:hideMark/>
          </w:tcPr>
          <w:p w14:paraId="64892A51" w14:textId="77777777" w:rsidR="00D63C0E" w:rsidRDefault="00D63C0E" w:rsidP="00400DD1">
            <w:pPr>
              <w:rPr>
                <w:sz w:val="18"/>
                <w:szCs w:val="18"/>
                <w:rtl/>
              </w:rPr>
            </w:pPr>
            <w:r>
              <w:rPr>
                <w:rFonts w:hint="cs"/>
                <w:sz w:val="18"/>
                <w:szCs w:val="18"/>
                <w:rtl/>
              </w:rPr>
              <w:t>0</w:t>
            </w:r>
          </w:p>
        </w:tc>
        <w:tc>
          <w:tcPr>
            <w:tcW w:w="992" w:type="dxa"/>
            <w:hideMark/>
          </w:tcPr>
          <w:p w14:paraId="7D29610E" w14:textId="77777777" w:rsidR="00D63C0E" w:rsidRDefault="00D63C0E" w:rsidP="00400DD1">
            <w:pPr>
              <w:rPr>
                <w:sz w:val="18"/>
                <w:szCs w:val="18"/>
                <w:rtl/>
              </w:rPr>
            </w:pPr>
            <w:r>
              <w:rPr>
                <w:rFonts w:hint="cs"/>
                <w:sz w:val="18"/>
                <w:szCs w:val="18"/>
                <w:rtl/>
              </w:rPr>
              <w:t>0</w:t>
            </w:r>
          </w:p>
        </w:tc>
        <w:tc>
          <w:tcPr>
            <w:tcW w:w="993" w:type="dxa"/>
            <w:hideMark/>
          </w:tcPr>
          <w:p w14:paraId="377D4B0D" w14:textId="77777777" w:rsidR="00D63C0E" w:rsidRDefault="00D63C0E" w:rsidP="00400DD1">
            <w:pPr>
              <w:rPr>
                <w:sz w:val="18"/>
                <w:szCs w:val="18"/>
                <w:rtl/>
              </w:rPr>
            </w:pPr>
            <w:r>
              <w:rPr>
                <w:rFonts w:hint="cs"/>
                <w:sz w:val="18"/>
                <w:szCs w:val="18"/>
                <w:rtl/>
              </w:rPr>
              <w:t>0</w:t>
            </w:r>
          </w:p>
        </w:tc>
        <w:tc>
          <w:tcPr>
            <w:tcW w:w="992" w:type="dxa"/>
            <w:hideMark/>
          </w:tcPr>
          <w:p w14:paraId="5CB4FA07" w14:textId="77777777" w:rsidR="00D63C0E" w:rsidRDefault="00D63C0E" w:rsidP="00400DD1">
            <w:pPr>
              <w:rPr>
                <w:sz w:val="18"/>
                <w:szCs w:val="18"/>
                <w:rtl/>
              </w:rPr>
            </w:pPr>
            <w:r>
              <w:rPr>
                <w:rFonts w:hint="cs"/>
                <w:sz w:val="18"/>
                <w:szCs w:val="18"/>
                <w:rtl/>
              </w:rPr>
              <w:t>0</w:t>
            </w:r>
          </w:p>
        </w:tc>
        <w:tc>
          <w:tcPr>
            <w:tcW w:w="709" w:type="dxa"/>
            <w:hideMark/>
          </w:tcPr>
          <w:p w14:paraId="25E8C340" w14:textId="77777777" w:rsidR="00D63C0E" w:rsidRDefault="00D63C0E" w:rsidP="00400DD1">
            <w:pPr>
              <w:rPr>
                <w:sz w:val="18"/>
                <w:szCs w:val="18"/>
                <w:rtl/>
              </w:rPr>
            </w:pPr>
            <w:r>
              <w:rPr>
                <w:rFonts w:hint="cs"/>
                <w:sz w:val="18"/>
                <w:szCs w:val="18"/>
                <w:rtl/>
              </w:rPr>
              <w:t>0</w:t>
            </w:r>
          </w:p>
        </w:tc>
        <w:tc>
          <w:tcPr>
            <w:tcW w:w="566" w:type="dxa"/>
            <w:hideMark/>
          </w:tcPr>
          <w:p w14:paraId="6D972685" w14:textId="77777777" w:rsidR="00D63C0E" w:rsidRDefault="00D63C0E" w:rsidP="00400DD1">
            <w:pPr>
              <w:rPr>
                <w:sz w:val="18"/>
                <w:szCs w:val="18"/>
                <w:rtl/>
              </w:rPr>
            </w:pPr>
            <w:r>
              <w:rPr>
                <w:rFonts w:hint="cs"/>
                <w:sz w:val="18"/>
                <w:szCs w:val="18"/>
                <w:rtl/>
              </w:rPr>
              <w:t>0</w:t>
            </w:r>
          </w:p>
        </w:tc>
      </w:tr>
      <w:tr w:rsidR="00D63C0E" w14:paraId="5775C74A" w14:textId="77777777" w:rsidTr="00400DD1">
        <w:trPr>
          <w:trHeight w:val="259"/>
        </w:trPr>
        <w:tc>
          <w:tcPr>
            <w:tcW w:w="941" w:type="dxa"/>
          </w:tcPr>
          <w:p w14:paraId="52C4D310" w14:textId="77777777" w:rsidR="00D63C0E" w:rsidRDefault="00D63C0E" w:rsidP="00400DD1">
            <w:pPr>
              <w:rPr>
                <w:sz w:val="14"/>
                <w:szCs w:val="14"/>
                <w:rtl/>
              </w:rPr>
            </w:pPr>
          </w:p>
        </w:tc>
        <w:tc>
          <w:tcPr>
            <w:tcW w:w="1701" w:type="dxa"/>
            <w:tcBorders>
              <w:left w:val="nil"/>
            </w:tcBorders>
            <w:vAlign w:val="bottom"/>
            <w:hideMark/>
          </w:tcPr>
          <w:p w14:paraId="63E200F3" w14:textId="77777777" w:rsidR="00D63C0E" w:rsidRPr="006D671B" w:rsidRDefault="00D63C0E" w:rsidP="00400DD1">
            <w:pPr>
              <w:ind w:left="144" w:hanging="144"/>
              <w:jc w:val="left"/>
              <w:rPr>
                <w:color w:val="000000"/>
                <w:sz w:val="18"/>
                <w:szCs w:val="18"/>
                <w:rtl/>
                <w:lang w:eastAsia="he-IL"/>
              </w:rPr>
            </w:pPr>
            <w:r w:rsidRPr="006D671B">
              <w:rPr>
                <w:rFonts w:hint="cs"/>
                <w:color w:val="000000"/>
                <w:sz w:val="18"/>
                <w:szCs w:val="18"/>
                <w:rtl/>
                <w:lang w:eastAsia="he-IL"/>
              </w:rPr>
              <w:t>הלוואות לדיור</w:t>
            </w:r>
          </w:p>
        </w:tc>
        <w:tc>
          <w:tcPr>
            <w:tcW w:w="1134" w:type="dxa"/>
            <w:hideMark/>
          </w:tcPr>
          <w:p w14:paraId="704B58F2" w14:textId="77777777" w:rsidR="00D63C0E" w:rsidRDefault="00D63C0E" w:rsidP="00400DD1">
            <w:pPr>
              <w:rPr>
                <w:sz w:val="18"/>
                <w:szCs w:val="18"/>
              </w:rPr>
            </w:pPr>
            <w:r>
              <w:rPr>
                <w:rFonts w:hint="cs"/>
                <w:sz w:val="18"/>
                <w:szCs w:val="18"/>
                <w:rtl/>
              </w:rPr>
              <w:t>0</w:t>
            </w:r>
          </w:p>
        </w:tc>
        <w:tc>
          <w:tcPr>
            <w:tcW w:w="992" w:type="dxa"/>
            <w:hideMark/>
          </w:tcPr>
          <w:p w14:paraId="15A0209F" w14:textId="77777777" w:rsidR="00D63C0E" w:rsidRDefault="00D63C0E" w:rsidP="00400DD1">
            <w:pPr>
              <w:rPr>
                <w:sz w:val="18"/>
                <w:szCs w:val="18"/>
                <w:rtl/>
              </w:rPr>
            </w:pPr>
            <w:r>
              <w:rPr>
                <w:rFonts w:hint="cs"/>
                <w:sz w:val="18"/>
                <w:szCs w:val="18"/>
                <w:rtl/>
              </w:rPr>
              <w:t>0</w:t>
            </w:r>
          </w:p>
        </w:tc>
        <w:tc>
          <w:tcPr>
            <w:tcW w:w="1134" w:type="dxa"/>
            <w:hideMark/>
          </w:tcPr>
          <w:p w14:paraId="3B102C09" w14:textId="77777777" w:rsidR="00D63C0E" w:rsidRDefault="00D63C0E" w:rsidP="00400DD1">
            <w:pPr>
              <w:rPr>
                <w:sz w:val="18"/>
                <w:szCs w:val="18"/>
                <w:rtl/>
              </w:rPr>
            </w:pPr>
            <w:r>
              <w:rPr>
                <w:rFonts w:hint="cs"/>
                <w:sz w:val="18"/>
                <w:szCs w:val="18"/>
                <w:rtl/>
              </w:rPr>
              <w:t>0</w:t>
            </w:r>
          </w:p>
        </w:tc>
        <w:tc>
          <w:tcPr>
            <w:tcW w:w="992" w:type="dxa"/>
            <w:hideMark/>
          </w:tcPr>
          <w:p w14:paraId="7676188D" w14:textId="77777777" w:rsidR="00D63C0E" w:rsidRDefault="00D63C0E" w:rsidP="00400DD1">
            <w:pPr>
              <w:rPr>
                <w:sz w:val="18"/>
                <w:szCs w:val="18"/>
                <w:rtl/>
              </w:rPr>
            </w:pPr>
            <w:r>
              <w:rPr>
                <w:rFonts w:hint="cs"/>
                <w:sz w:val="18"/>
                <w:szCs w:val="18"/>
                <w:rtl/>
              </w:rPr>
              <w:t>0</w:t>
            </w:r>
          </w:p>
        </w:tc>
        <w:tc>
          <w:tcPr>
            <w:tcW w:w="993" w:type="dxa"/>
            <w:hideMark/>
          </w:tcPr>
          <w:p w14:paraId="2B98DDC6" w14:textId="77777777" w:rsidR="00D63C0E" w:rsidRDefault="00D63C0E" w:rsidP="00400DD1">
            <w:pPr>
              <w:rPr>
                <w:sz w:val="18"/>
                <w:szCs w:val="18"/>
                <w:rtl/>
              </w:rPr>
            </w:pPr>
            <w:r>
              <w:rPr>
                <w:rFonts w:hint="cs"/>
                <w:sz w:val="18"/>
                <w:szCs w:val="18"/>
                <w:rtl/>
              </w:rPr>
              <w:t>0</w:t>
            </w:r>
          </w:p>
        </w:tc>
        <w:tc>
          <w:tcPr>
            <w:tcW w:w="992" w:type="dxa"/>
            <w:hideMark/>
          </w:tcPr>
          <w:p w14:paraId="2280B4D8" w14:textId="77777777" w:rsidR="00D63C0E" w:rsidRDefault="00D63C0E" w:rsidP="00400DD1">
            <w:pPr>
              <w:rPr>
                <w:sz w:val="18"/>
                <w:szCs w:val="18"/>
                <w:rtl/>
              </w:rPr>
            </w:pPr>
            <w:r>
              <w:rPr>
                <w:rFonts w:hint="cs"/>
                <w:sz w:val="18"/>
                <w:szCs w:val="18"/>
                <w:rtl/>
              </w:rPr>
              <w:t>0</w:t>
            </w:r>
          </w:p>
        </w:tc>
        <w:tc>
          <w:tcPr>
            <w:tcW w:w="709" w:type="dxa"/>
            <w:hideMark/>
          </w:tcPr>
          <w:p w14:paraId="3EA699FC" w14:textId="77777777" w:rsidR="00D63C0E" w:rsidRDefault="00D63C0E" w:rsidP="00400DD1">
            <w:pPr>
              <w:rPr>
                <w:sz w:val="18"/>
                <w:szCs w:val="18"/>
                <w:rtl/>
              </w:rPr>
            </w:pPr>
            <w:r>
              <w:rPr>
                <w:rFonts w:hint="cs"/>
                <w:sz w:val="18"/>
                <w:szCs w:val="18"/>
                <w:rtl/>
              </w:rPr>
              <w:t>0</w:t>
            </w:r>
          </w:p>
        </w:tc>
        <w:tc>
          <w:tcPr>
            <w:tcW w:w="566" w:type="dxa"/>
            <w:hideMark/>
          </w:tcPr>
          <w:p w14:paraId="186E3862" w14:textId="77777777" w:rsidR="00D63C0E" w:rsidRDefault="00D63C0E" w:rsidP="00400DD1">
            <w:pPr>
              <w:rPr>
                <w:sz w:val="18"/>
                <w:szCs w:val="18"/>
                <w:rtl/>
              </w:rPr>
            </w:pPr>
            <w:r>
              <w:rPr>
                <w:rFonts w:hint="cs"/>
                <w:sz w:val="18"/>
                <w:szCs w:val="18"/>
                <w:rtl/>
              </w:rPr>
              <w:t>0</w:t>
            </w:r>
          </w:p>
        </w:tc>
      </w:tr>
      <w:tr w:rsidR="00D63C0E" w14:paraId="31AB9FF5" w14:textId="77777777" w:rsidTr="00400DD1">
        <w:trPr>
          <w:trHeight w:val="259"/>
        </w:trPr>
        <w:tc>
          <w:tcPr>
            <w:tcW w:w="941" w:type="dxa"/>
          </w:tcPr>
          <w:p w14:paraId="5C6B4ADB" w14:textId="77777777" w:rsidR="00D63C0E" w:rsidRDefault="00D63C0E" w:rsidP="00400DD1">
            <w:pPr>
              <w:rPr>
                <w:sz w:val="14"/>
                <w:szCs w:val="14"/>
                <w:rtl/>
              </w:rPr>
            </w:pPr>
          </w:p>
        </w:tc>
        <w:tc>
          <w:tcPr>
            <w:tcW w:w="1701" w:type="dxa"/>
            <w:tcBorders>
              <w:left w:val="nil"/>
            </w:tcBorders>
            <w:vAlign w:val="bottom"/>
            <w:hideMark/>
          </w:tcPr>
          <w:p w14:paraId="1B239FC2" w14:textId="77777777" w:rsidR="00D63C0E" w:rsidRPr="006D671B" w:rsidRDefault="00D63C0E" w:rsidP="00400DD1">
            <w:pPr>
              <w:ind w:left="39" w:hanging="39"/>
              <w:jc w:val="left"/>
              <w:rPr>
                <w:color w:val="000000"/>
                <w:sz w:val="18"/>
                <w:szCs w:val="18"/>
                <w:rtl/>
                <w:lang w:eastAsia="he-IL"/>
              </w:rPr>
            </w:pPr>
            <w:r w:rsidRPr="006D671B">
              <w:rPr>
                <w:rFonts w:hint="cs"/>
                <w:color w:val="000000"/>
                <w:sz w:val="18"/>
                <w:szCs w:val="18"/>
                <w:rtl/>
                <w:lang w:eastAsia="he-IL"/>
              </w:rPr>
              <w:t>אנשים פרטיים - אחר</w:t>
            </w:r>
          </w:p>
        </w:tc>
        <w:tc>
          <w:tcPr>
            <w:tcW w:w="1134" w:type="dxa"/>
            <w:hideMark/>
          </w:tcPr>
          <w:p w14:paraId="40B4940B" w14:textId="77777777" w:rsidR="00D63C0E" w:rsidRDefault="00D63C0E" w:rsidP="00400DD1">
            <w:pPr>
              <w:pBdr>
                <w:bottom w:val="single" w:sz="4" w:space="1" w:color="auto"/>
              </w:pBdr>
              <w:jc w:val="left"/>
              <w:rPr>
                <w:sz w:val="18"/>
                <w:szCs w:val="18"/>
              </w:rPr>
            </w:pPr>
            <w:r>
              <w:rPr>
                <w:rFonts w:hint="cs"/>
                <w:sz w:val="18"/>
                <w:szCs w:val="18"/>
                <w:rtl/>
              </w:rPr>
              <w:t>0</w:t>
            </w:r>
          </w:p>
        </w:tc>
        <w:tc>
          <w:tcPr>
            <w:tcW w:w="992" w:type="dxa"/>
            <w:hideMark/>
          </w:tcPr>
          <w:p w14:paraId="6AA0372C" w14:textId="77777777" w:rsidR="00D63C0E" w:rsidRDefault="00D63C0E" w:rsidP="00400DD1">
            <w:pPr>
              <w:pBdr>
                <w:bottom w:val="single" w:sz="4" w:space="1" w:color="auto"/>
              </w:pBdr>
              <w:jc w:val="left"/>
              <w:rPr>
                <w:sz w:val="18"/>
                <w:szCs w:val="18"/>
                <w:rtl/>
              </w:rPr>
            </w:pPr>
            <w:r>
              <w:rPr>
                <w:rFonts w:hint="cs"/>
                <w:sz w:val="18"/>
                <w:szCs w:val="18"/>
                <w:rtl/>
              </w:rPr>
              <w:t>0</w:t>
            </w:r>
          </w:p>
        </w:tc>
        <w:tc>
          <w:tcPr>
            <w:tcW w:w="1134" w:type="dxa"/>
            <w:hideMark/>
          </w:tcPr>
          <w:p w14:paraId="1F717046" w14:textId="77777777" w:rsidR="00D63C0E" w:rsidRDefault="00D63C0E" w:rsidP="00400DD1">
            <w:pPr>
              <w:pBdr>
                <w:bottom w:val="single" w:sz="4" w:space="1" w:color="auto"/>
              </w:pBdr>
              <w:jc w:val="left"/>
              <w:rPr>
                <w:sz w:val="18"/>
                <w:szCs w:val="18"/>
                <w:rtl/>
              </w:rPr>
            </w:pPr>
            <w:r>
              <w:rPr>
                <w:rFonts w:hint="cs"/>
                <w:sz w:val="18"/>
                <w:szCs w:val="18"/>
                <w:rtl/>
              </w:rPr>
              <w:t>0</w:t>
            </w:r>
          </w:p>
        </w:tc>
        <w:tc>
          <w:tcPr>
            <w:tcW w:w="992" w:type="dxa"/>
            <w:hideMark/>
          </w:tcPr>
          <w:p w14:paraId="5DECE660" w14:textId="77777777" w:rsidR="00D63C0E" w:rsidRDefault="00D63C0E" w:rsidP="00400DD1">
            <w:pPr>
              <w:pBdr>
                <w:bottom w:val="single" w:sz="4" w:space="1" w:color="auto"/>
              </w:pBdr>
              <w:jc w:val="left"/>
              <w:rPr>
                <w:sz w:val="18"/>
                <w:szCs w:val="18"/>
                <w:rtl/>
              </w:rPr>
            </w:pPr>
            <w:r>
              <w:rPr>
                <w:rFonts w:hint="cs"/>
                <w:sz w:val="18"/>
                <w:szCs w:val="18"/>
                <w:rtl/>
              </w:rPr>
              <w:t>0</w:t>
            </w:r>
          </w:p>
        </w:tc>
        <w:tc>
          <w:tcPr>
            <w:tcW w:w="993" w:type="dxa"/>
            <w:hideMark/>
          </w:tcPr>
          <w:p w14:paraId="644ECC83" w14:textId="77777777" w:rsidR="00D63C0E" w:rsidRDefault="00D63C0E" w:rsidP="00400DD1">
            <w:pPr>
              <w:pBdr>
                <w:bottom w:val="single" w:sz="4" w:space="1" w:color="auto"/>
              </w:pBdr>
              <w:jc w:val="left"/>
              <w:rPr>
                <w:sz w:val="18"/>
                <w:szCs w:val="18"/>
                <w:rtl/>
              </w:rPr>
            </w:pPr>
            <w:r>
              <w:rPr>
                <w:rFonts w:hint="cs"/>
                <w:sz w:val="18"/>
                <w:szCs w:val="18"/>
                <w:rtl/>
              </w:rPr>
              <w:t>0</w:t>
            </w:r>
          </w:p>
        </w:tc>
        <w:tc>
          <w:tcPr>
            <w:tcW w:w="992" w:type="dxa"/>
            <w:hideMark/>
          </w:tcPr>
          <w:p w14:paraId="3E089D0D" w14:textId="77777777" w:rsidR="00D63C0E" w:rsidRDefault="00D63C0E" w:rsidP="00400DD1">
            <w:pPr>
              <w:pBdr>
                <w:bottom w:val="single" w:sz="4" w:space="1" w:color="auto"/>
              </w:pBdr>
              <w:jc w:val="left"/>
              <w:rPr>
                <w:sz w:val="18"/>
                <w:szCs w:val="18"/>
                <w:rtl/>
              </w:rPr>
            </w:pPr>
            <w:r>
              <w:rPr>
                <w:rFonts w:hint="cs"/>
                <w:sz w:val="18"/>
                <w:szCs w:val="18"/>
                <w:rtl/>
              </w:rPr>
              <w:t>0</w:t>
            </w:r>
          </w:p>
        </w:tc>
        <w:tc>
          <w:tcPr>
            <w:tcW w:w="709" w:type="dxa"/>
            <w:hideMark/>
          </w:tcPr>
          <w:p w14:paraId="6B7DBEEE" w14:textId="77777777" w:rsidR="00D63C0E" w:rsidRDefault="00D63C0E" w:rsidP="00400DD1">
            <w:pPr>
              <w:pBdr>
                <w:bottom w:val="single" w:sz="4" w:space="1" w:color="auto"/>
              </w:pBdr>
              <w:jc w:val="left"/>
              <w:rPr>
                <w:sz w:val="18"/>
                <w:szCs w:val="18"/>
                <w:rtl/>
              </w:rPr>
            </w:pPr>
            <w:r>
              <w:rPr>
                <w:rFonts w:hint="cs"/>
                <w:sz w:val="18"/>
                <w:szCs w:val="18"/>
                <w:rtl/>
              </w:rPr>
              <w:t>0</w:t>
            </w:r>
          </w:p>
        </w:tc>
        <w:tc>
          <w:tcPr>
            <w:tcW w:w="566" w:type="dxa"/>
            <w:hideMark/>
          </w:tcPr>
          <w:p w14:paraId="5212AE0A" w14:textId="77777777" w:rsidR="00D63C0E" w:rsidRDefault="00D63C0E" w:rsidP="00400DD1">
            <w:pPr>
              <w:pBdr>
                <w:bottom w:val="single" w:sz="4" w:space="1" w:color="auto"/>
              </w:pBdr>
              <w:jc w:val="left"/>
              <w:rPr>
                <w:sz w:val="18"/>
                <w:szCs w:val="18"/>
                <w:rtl/>
              </w:rPr>
            </w:pPr>
            <w:r>
              <w:rPr>
                <w:rFonts w:hint="cs"/>
                <w:sz w:val="18"/>
                <w:szCs w:val="18"/>
                <w:rtl/>
              </w:rPr>
              <w:t>0</w:t>
            </w:r>
          </w:p>
        </w:tc>
      </w:tr>
      <w:tr w:rsidR="00D63C0E" w14:paraId="64C64687" w14:textId="77777777" w:rsidTr="00400DD1">
        <w:trPr>
          <w:trHeight w:val="259"/>
        </w:trPr>
        <w:tc>
          <w:tcPr>
            <w:tcW w:w="941" w:type="dxa"/>
          </w:tcPr>
          <w:p w14:paraId="20244A2E" w14:textId="77777777" w:rsidR="00D63C0E" w:rsidRDefault="00D63C0E" w:rsidP="00400DD1">
            <w:pPr>
              <w:rPr>
                <w:sz w:val="14"/>
                <w:szCs w:val="14"/>
                <w:rtl/>
              </w:rPr>
            </w:pPr>
          </w:p>
        </w:tc>
        <w:tc>
          <w:tcPr>
            <w:tcW w:w="1701" w:type="dxa"/>
            <w:tcBorders>
              <w:left w:val="nil"/>
            </w:tcBorders>
            <w:vAlign w:val="bottom"/>
            <w:hideMark/>
          </w:tcPr>
          <w:p w14:paraId="2B3E87D3" w14:textId="77777777" w:rsidR="00D63C0E" w:rsidRPr="006D671B" w:rsidRDefault="00D63C0E" w:rsidP="00400DD1">
            <w:pPr>
              <w:ind w:left="144" w:hanging="144"/>
              <w:jc w:val="left"/>
              <w:rPr>
                <w:b/>
                <w:bCs/>
                <w:color w:val="000000"/>
                <w:sz w:val="18"/>
                <w:szCs w:val="18"/>
                <w:rtl/>
                <w:lang w:eastAsia="he-IL"/>
              </w:rPr>
            </w:pPr>
            <w:r w:rsidRPr="006D671B">
              <w:rPr>
                <w:rFonts w:hint="cs"/>
                <w:b/>
                <w:bCs/>
                <w:color w:val="000000"/>
                <w:sz w:val="18"/>
                <w:szCs w:val="18"/>
                <w:rtl/>
                <w:lang w:eastAsia="he-IL"/>
              </w:rPr>
              <w:t xml:space="preserve">סך הכל </w:t>
            </w:r>
          </w:p>
        </w:tc>
        <w:tc>
          <w:tcPr>
            <w:tcW w:w="1134" w:type="dxa"/>
            <w:hideMark/>
          </w:tcPr>
          <w:p w14:paraId="18ED7D93" w14:textId="77777777" w:rsidR="00D63C0E" w:rsidRDefault="00D63C0E" w:rsidP="00400DD1">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992" w:type="dxa"/>
            <w:hideMark/>
          </w:tcPr>
          <w:p w14:paraId="69F734A9" w14:textId="77777777" w:rsidR="00D63C0E" w:rsidRDefault="00D63C0E" w:rsidP="00400DD1">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1134" w:type="dxa"/>
            <w:hideMark/>
          </w:tcPr>
          <w:p w14:paraId="4BAC2371" w14:textId="77777777" w:rsidR="00D63C0E" w:rsidRDefault="00D63C0E" w:rsidP="00400DD1">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992" w:type="dxa"/>
            <w:hideMark/>
          </w:tcPr>
          <w:p w14:paraId="25D87D0B" w14:textId="77777777" w:rsidR="00D63C0E" w:rsidRDefault="00D63C0E" w:rsidP="00400DD1">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993" w:type="dxa"/>
            <w:hideMark/>
          </w:tcPr>
          <w:p w14:paraId="7D41E469" w14:textId="77777777" w:rsidR="00D63C0E" w:rsidRDefault="00D63C0E" w:rsidP="00400DD1">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992" w:type="dxa"/>
            <w:hideMark/>
          </w:tcPr>
          <w:p w14:paraId="63E4930B" w14:textId="77777777" w:rsidR="00D63C0E" w:rsidRDefault="00D63C0E" w:rsidP="00400DD1">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709" w:type="dxa"/>
            <w:hideMark/>
          </w:tcPr>
          <w:p w14:paraId="52E9F36C" w14:textId="77777777" w:rsidR="00D63C0E" w:rsidRDefault="00D63C0E" w:rsidP="00400DD1">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566" w:type="dxa"/>
            <w:hideMark/>
          </w:tcPr>
          <w:p w14:paraId="742C5BAF" w14:textId="77777777" w:rsidR="00D63C0E" w:rsidRDefault="00D63C0E" w:rsidP="00400DD1">
            <w:pPr>
              <w:pBdr>
                <w:bottom w:val="double" w:sz="4" w:space="1" w:color="auto"/>
              </w:pBdr>
              <w:ind w:left="144" w:hanging="144"/>
              <w:jc w:val="left"/>
              <w:rPr>
                <w:b/>
                <w:bCs/>
                <w:color w:val="000000"/>
                <w:sz w:val="16"/>
                <w:szCs w:val="16"/>
                <w:rtl/>
                <w:lang w:eastAsia="he-IL"/>
              </w:rPr>
            </w:pPr>
            <w:r>
              <w:rPr>
                <w:rFonts w:hint="cs"/>
                <w:b/>
                <w:bCs/>
                <w:sz w:val="18"/>
                <w:szCs w:val="18"/>
                <w:rtl/>
              </w:rPr>
              <w:t>0</w:t>
            </w:r>
          </w:p>
        </w:tc>
      </w:tr>
      <w:tr w:rsidR="00D63C0E" w14:paraId="0C9ADE7A" w14:textId="77777777" w:rsidTr="00400DD1">
        <w:tc>
          <w:tcPr>
            <w:tcW w:w="941" w:type="dxa"/>
          </w:tcPr>
          <w:p w14:paraId="258C8FEC" w14:textId="77777777" w:rsidR="00D63C0E" w:rsidRDefault="00D63C0E" w:rsidP="00400DD1">
            <w:pPr>
              <w:bidi w:val="0"/>
              <w:spacing w:line="60" w:lineRule="exact"/>
              <w:rPr>
                <w:sz w:val="14"/>
                <w:szCs w:val="14"/>
                <w:rtl/>
              </w:rPr>
            </w:pPr>
          </w:p>
        </w:tc>
        <w:tc>
          <w:tcPr>
            <w:tcW w:w="1701" w:type="dxa"/>
            <w:vAlign w:val="bottom"/>
          </w:tcPr>
          <w:p w14:paraId="1C7A1346" w14:textId="77777777" w:rsidR="00D63C0E" w:rsidRDefault="00D63C0E" w:rsidP="00400DD1">
            <w:pPr>
              <w:bidi w:val="0"/>
              <w:spacing w:line="60" w:lineRule="exact"/>
              <w:ind w:left="144" w:hanging="144"/>
              <w:rPr>
                <w:b/>
                <w:bCs/>
                <w:color w:val="000000"/>
                <w:rtl/>
                <w:lang w:eastAsia="he-IL"/>
              </w:rPr>
            </w:pPr>
          </w:p>
        </w:tc>
        <w:tc>
          <w:tcPr>
            <w:tcW w:w="1134" w:type="dxa"/>
          </w:tcPr>
          <w:p w14:paraId="1242234C" w14:textId="77777777" w:rsidR="00D63C0E" w:rsidRDefault="00D63C0E" w:rsidP="00400DD1">
            <w:pPr>
              <w:bidi w:val="0"/>
              <w:spacing w:line="60" w:lineRule="exact"/>
              <w:rPr>
                <w:rtl/>
              </w:rPr>
            </w:pPr>
          </w:p>
        </w:tc>
        <w:tc>
          <w:tcPr>
            <w:tcW w:w="992" w:type="dxa"/>
          </w:tcPr>
          <w:p w14:paraId="0E50DD4D" w14:textId="77777777" w:rsidR="00D63C0E" w:rsidRDefault="00D63C0E" w:rsidP="00400DD1">
            <w:pPr>
              <w:bidi w:val="0"/>
              <w:spacing w:line="60" w:lineRule="exact"/>
              <w:rPr>
                <w:rtl/>
              </w:rPr>
            </w:pPr>
          </w:p>
        </w:tc>
        <w:tc>
          <w:tcPr>
            <w:tcW w:w="1134" w:type="dxa"/>
          </w:tcPr>
          <w:p w14:paraId="4F467969" w14:textId="77777777" w:rsidR="00D63C0E" w:rsidRDefault="00D63C0E" w:rsidP="00400DD1">
            <w:pPr>
              <w:bidi w:val="0"/>
              <w:spacing w:line="60" w:lineRule="exact"/>
              <w:rPr>
                <w:rtl/>
              </w:rPr>
            </w:pPr>
          </w:p>
        </w:tc>
        <w:tc>
          <w:tcPr>
            <w:tcW w:w="992" w:type="dxa"/>
          </w:tcPr>
          <w:p w14:paraId="5DAC91F3" w14:textId="77777777" w:rsidR="00D63C0E" w:rsidRDefault="00D63C0E" w:rsidP="00400DD1">
            <w:pPr>
              <w:bidi w:val="0"/>
              <w:spacing w:line="60" w:lineRule="exact"/>
              <w:rPr>
                <w:rtl/>
              </w:rPr>
            </w:pPr>
          </w:p>
        </w:tc>
        <w:tc>
          <w:tcPr>
            <w:tcW w:w="993" w:type="dxa"/>
          </w:tcPr>
          <w:p w14:paraId="40680B31" w14:textId="77777777" w:rsidR="00D63C0E" w:rsidRDefault="00D63C0E" w:rsidP="00400DD1">
            <w:pPr>
              <w:bidi w:val="0"/>
              <w:spacing w:line="60" w:lineRule="exact"/>
              <w:rPr>
                <w:rtl/>
              </w:rPr>
            </w:pPr>
          </w:p>
        </w:tc>
        <w:tc>
          <w:tcPr>
            <w:tcW w:w="992" w:type="dxa"/>
          </w:tcPr>
          <w:p w14:paraId="72823090" w14:textId="77777777" w:rsidR="00D63C0E" w:rsidRDefault="00D63C0E" w:rsidP="00400DD1">
            <w:pPr>
              <w:bidi w:val="0"/>
              <w:spacing w:line="60" w:lineRule="exact"/>
              <w:rPr>
                <w:rtl/>
              </w:rPr>
            </w:pPr>
          </w:p>
        </w:tc>
        <w:tc>
          <w:tcPr>
            <w:tcW w:w="709" w:type="dxa"/>
          </w:tcPr>
          <w:p w14:paraId="078DF562" w14:textId="77777777" w:rsidR="00D63C0E" w:rsidRDefault="00D63C0E" w:rsidP="00400DD1">
            <w:pPr>
              <w:bidi w:val="0"/>
              <w:spacing w:line="60" w:lineRule="exact"/>
              <w:rPr>
                <w:rtl/>
              </w:rPr>
            </w:pPr>
          </w:p>
        </w:tc>
        <w:tc>
          <w:tcPr>
            <w:tcW w:w="566" w:type="dxa"/>
          </w:tcPr>
          <w:p w14:paraId="6C0B67D2" w14:textId="77777777" w:rsidR="00D63C0E" w:rsidRDefault="00D63C0E" w:rsidP="00400DD1">
            <w:pPr>
              <w:bidi w:val="0"/>
              <w:spacing w:line="60" w:lineRule="exact"/>
              <w:rPr>
                <w:rtl/>
              </w:rPr>
            </w:pPr>
          </w:p>
        </w:tc>
      </w:tr>
    </w:tbl>
    <w:p w14:paraId="0C01247C" w14:textId="33E894AF" w:rsidR="00D63C0E" w:rsidRDefault="00D63C0E">
      <w:pPr>
        <w:rPr>
          <w:rtl/>
        </w:rPr>
      </w:pPr>
    </w:p>
    <w:p w14:paraId="7C9CDFA7" w14:textId="66A9136C" w:rsidR="00D63C0E" w:rsidRDefault="00D63C0E">
      <w:pPr>
        <w:rPr>
          <w:rtl/>
        </w:rPr>
      </w:pPr>
    </w:p>
    <w:p w14:paraId="7F5B1649" w14:textId="77777777" w:rsidR="00D26088" w:rsidRDefault="00D26088">
      <w:pPr>
        <w:rPr>
          <w:rtl/>
        </w:rPr>
      </w:pPr>
    </w:p>
    <w:tbl>
      <w:tblPr>
        <w:bidiVisual/>
        <w:tblW w:w="4974" w:type="pct"/>
        <w:tblInd w:w="-4" w:type="dxa"/>
        <w:tblLayout w:type="fixed"/>
        <w:tblLook w:val="04A0" w:firstRow="1" w:lastRow="0" w:firstColumn="1" w:lastColumn="0" w:noHBand="0" w:noVBand="1"/>
      </w:tblPr>
      <w:tblGrid>
        <w:gridCol w:w="941"/>
        <w:gridCol w:w="1701"/>
        <w:gridCol w:w="1134"/>
        <w:gridCol w:w="992"/>
        <w:gridCol w:w="1134"/>
        <w:gridCol w:w="992"/>
        <w:gridCol w:w="993"/>
        <w:gridCol w:w="992"/>
        <w:gridCol w:w="709"/>
        <w:gridCol w:w="566"/>
      </w:tblGrid>
      <w:tr w:rsidR="00D63C0E" w14:paraId="361083AE" w14:textId="77777777" w:rsidTr="00400DD1">
        <w:trPr>
          <w:trHeight w:val="259"/>
        </w:trPr>
        <w:tc>
          <w:tcPr>
            <w:tcW w:w="941" w:type="dxa"/>
          </w:tcPr>
          <w:p w14:paraId="626E8692" w14:textId="77777777" w:rsidR="00D63C0E" w:rsidRDefault="00D63C0E" w:rsidP="00400DD1">
            <w:pPr>
              <w:spacing w:before="60"/>
              <w:jc w:val="left"/>
              <w:rPr>
                <w:sz w:val="14"/>
                <w:szCs w:val="14"/>
                <w:rtl/>
              </w:rPr>
            </w:pPr>
          </w:p>
        </w:tc>
        <w:tc>
          <w:tcPr>
            <w:tcW w:w="1701" w:type="dxa"/>
            <w:tcBorders>
              <w:left w:val="nil"/>
            </w:tcBorders>
            <w:vAlign w:val="bottom"/>
          </w:tcPr>
          <w:p w14:paraId="452D6EF3" w14:textId="77777777" w:rsidR="00D63C0E" w:rsidRDefault="00D63C0E" w:rsidP="00400DD1">
            <w:pPr>
              <w:ind w:left="144" w:hanging="144"/>
              <w:jc w:val="left"/>
              <w:rPr>
                <w:color w:val="000000"/>
                <w:rtl/>
                <w:lang w:eastAsia="he-IL"/>
              </w:rPr>
            </w:pPr>
          </w:p>
        </w:tc>
        <w:tc>
          <w:tcPr>
            <w:tcW w:w="7512" w:type="dxa"/>
            <w:gridSpan w:val="8"/>
            <w:vAlign w:val="bottom"/>
            <w:hideMark/>
          </w:tcPr>
          <w:p w14:paraId="7B0626EE" w14:textId="4B8C70AD" w:rsidR="00D63C0E" w:rsidRPr="00D63C0E" w:rsidRDefault="00D63C0E" w:rsidP="00400DD1">
            <w:pPr>
              <w:pBdr>
                <w:bottom w:val="single" w:sz="6" w:space="1" w:color="auto"/>
              </w:pBdr>
              <w:spacing w:after="40"/>
              <w:jc w:val="center"/>
              <w:rPr>
                <w:b/>
                <w:bCs/>
                <w:sz w:val="18"/>
                <w:szCs w:val="18"/>
                <w:rtl/>
              </w:rPr>
            </w:pPr>
            <w:r w:rsidRPr="00D63C0E">
              <w:rPr>
                <w:rFonts w:hint="cs"/>
                <w:b/>
                <w:bCs/>
                <w:sz w:val="18"/>
                <w:szCs w:val="18"/>
                <w:rtl/>
              </w:rPr>
              <w:t xml:space="preserve">ליום </w:t>
            </w:r>
            <w:r>
              <w:rPr>
                <w:rFonts w:hint="cs"/>
                <w:b/>
                <w:bCs/>
                <w:sz w:val="18"/>
                <w:szCs w:val="18"/>
                <w:rtl/>
              </w:rPr>
              <w:t>31</w:t>
            </w:r>
            <w:r w:rsidRPr="00D63C0E">
              <w:rPr>
                <w:rFonts w:hint="cs"/>
                <w:b/>
                <w:bCs/>
                <w:sz w:val="18"/>
                <w:szCs w:val="18"/>
                <w:rtl/>
              </w:rPr>
              <w:t xml:space="preserve"> </w:t>
            </w:r>
            <w:r>
              <w:rPr>
                <w:rFonts w:hint="cs"/>
                <w:b/>
                <w:bCs/>
                <w:sz w:val="18"/>
                <w:szCs w:val="18"/>
                <w:rtl/>
              </w:rPr>
              <w:t>בדצמבר</w:t>
            </w:r>
            <w:r w:rsidRPr="00D63C0E">
              <w:rPr>
                <w:rFonts w:hint="cs"/>
                <w:b/>
                <w:bCs/>
                <w:sz w:val="18"/>
                <w:szCs w:val="18"/>
                <w:rtl/>
              </w:rPr>
              <w:t xml:space="preserve"> </w:t>
            </w:r>
            <w:r w:rsidRPr="00D63C0E">
              <w:rPr>
                <w:b/>
                <w:bCs/>
                <w:sz w:val="18"/>
                <w:szCs w:val="18"/>
                <w:rtl/>
              </w:rPr>
              <w:fldChar w:fldCharType="begin"/>
            </w:r>
            <w:r w:rsidRPr="00D63C0E">
              <w:rPr>
                <w:b/>
                <w:bCs/>
                <w:sz w:val="18"/>
                <w:szCs w:val="18"/>
                <w:rtl/>
              </w:rPr>
              <w:instrText xml:space="preserve"> </w:instrText>
            </w:r>
            <w:r w:rsidRPr="00D63C0E">
              <w:rPr>
                <w:rFonts w:hint="cs"/>
                <w:b/>
                <w:bCs/>
                <w:sz w:val="18"/>
                <w:szCs w:val="18"/>
                <w:rtl/>
              </w:rPr>
              <w:instrText xml:space="preserve">= </w:instrText>
            </w:r>
            <w:r w:rsidRPr="00D63C0E">
              <w:rPr>
                <w:rFonts w:hint="cs"/>
                <w:b/>
                <w:bCs/>
                <w:sz w:val="18"/>
                <w:szCs w:val="18"/>
              </w:rPr>
              <w:instrText>CY</w:instrText>
            </w:r>
            <w:r>
              <w:rPr>
                <w:b/>
                <w:bCs/>
                <w:sz w:val="18"/>
                <w:szCs w:val="18"/>
              </w:rPr>
              <w:instrText>-1</w:instrText>
            </w:r>
            <w:r w:rsidRPr="00D63C0E">
              <w:rPr>
                <w:rFonts w:hint="cs"/>
                <w:b/>
                <w:bCs/>
                <w:sz w:val="18"/>
                <w:szCs w:val="18"/>
              </w:rPr>
              <w:instrText xml:space="preserve"> \* MERGEFORMAT</w:instrText>
            </w:r>
            <w:r w:rsidRPr="00D63C0E">
              <w:rPr>
                <w:b/>
                <w:bCs/>
                <w:sz w:val="18"/>
                <w:szCs w:val="18"/>
                <w:rtl/>
              </w:rPr>
              <w:instrText xml:space="preserve"> </w:instrText>
            </w:r>
            <w:r w:rsidRPr="00D63C0E">
              <w:rPr>
                <w:b/>
                <w:bCs/>
                <w:sz w:val="18"/>
                <w:szCs w:val="18"/>
                <w:rtl/>
              </w:rPr>
              <w:fldChar w:fldCharType="separate"/>
            </w:r>
            <w:r w:rsidR="003A584F">
              <w:rPr>
                <w:b/>
                <w:bCs/>
                <w:noProof/>
                <w:sz w:val="18"/>
                <w:szCs w:val="18"/>
                <w:rtl/>
              </w:rPr>
              <w:t>2023</w:t>
            </w:r>
            <w:r w:rsidRPr="00D63C0E">
              <w:rPr>
                <w:b/>
                <w:bCs/>
                <w:sz w:val="18"/>
                <w:szCs w:val="18"/>
                <w:rtl/>
              </w:rPr>
              <w:fldChar w:fldCharType="end"/>
            </w:r>
            <w:r w:rsidRPr="00D63C0E">
              <w:rPr>
                <w:rFonts w:hint="cs"/>
                <w:b/>
                <w:bCs/>
                <w:sz w:val="18"/>
                <w:szCs w:val="18"/>
                <w:rtl/>
              </w:rPr>
              <w:t xml:space="preserve">  </w:t>
            </w:r>
            <w:r w:rsidRPr="001F0989">
              <w:rPr>
                <w:rFonts w:hint="cs"/>
                <w:sz w:val="18"/>
                <w:szCs w:val="18"/>
                <w:rtl/>
              </w:rPr>
              <w:t>(מבוקר)</w:t>
            </w:r>
          </w:p>
        </w:tc>
      </w:tr>
      <w:tr w:rsidR="00D63C0E" w14:paraId="295B2BAE" w14:textId="77777777" w:rsidTr="00400DD1">
        <w:trPr>
          <w:trHeight w:val="510"/>
        </w:trPr>
        <w:tc>
          <w:tcPr>
            <w:tcW w:w="941" w:type="dxa"/>
          </w:tcPr>
          <w:p w14:paraId="32987092" w14:textId="77777777" w:rsidR="00D63C0E" w:rsidRDefault="00D63C0E" w:rsidP="00400DD1">
            <w:pPr>
              <w:rPr>
                <w:sz w:val="14"/>
                <w:szCs w:val="14"/>
                <w:rtl/>
              </w:rPr>
            </w:pPr>
          </w:p>
        </w:tc>
        <w:tc>
          <w:tcPr>
            <w:tcW w:w="1701" w:type="dxa"/>
            <w:tcBorders>
              <w:left w:val="nil"/>
            </w:tcBorders>
            <w:vAlign w:val="bottom"/>
          </w:tcPr>
          <w:p w14:paraId="1D235A06" w14:textId="77777777" w:rsidR="00D63C0E" w:rsidRDefault="00D63C0E" w:rsidP="00400DD1">
            <w:pPr>
              <w:jc w:val="left"/>
              <w:rPr>
                <w:color w:val="000000"/>
                <w:rtl/>
                <w:lang w:eastAsia="he-IL"/>
              </w:rPr>
            </w:pPr>
          </w:p>
        </w:tc>
        <w:tc>
          <w:tcPr>
            <w:tcW w:w="1134" w:type="dxa"/>
          </w:tcPr>
          <w:p w14:paraId="70414881" w14:textId="77777777" w:rsidR="00D63C0E" w:rsidRDefault="00D63C0E" w:rsidP="00400DD1">
            <w:pPr>
              <w:pBdr>
                <w:bottom w:val="single" w:sz="6" w:space="1" w:color="auto"/>
              </w:pBdr>
              <w:jc w:val="center"/>
              <w:rPr>
                <w:b/>
                <w:bCs/>
                <w:sz w:val="16"/>
                <w:szCs w:val="16"/>
                <w:rtl/>
              </w:rPr>
            </w:pPr>
            <w:r>
              <w:rPr>
                <w:rFonts w:hint="cs"/>
                <w:b/>
                <w:bCs/>
                <w:sz w:val="16"/>
                <w:szCs w:val="16"/>
                <w:rtl/>
              </w:rPr>
              <w:t>אינו בפיגור של 90 יום</w:t>
            </w:r>
          </w:p>
          <w:p w14:paraId="13878323" w14:textId="77777777" w:rsidR="00D63C0E" w:rsidRDefault="00D63C0E" w:rsidP="00400DD1">
            <w:pPr>
              <w:pBdr>
                <w:bottom w:val="single" w:sz="6" w:space="1" w:color="auto"/>
              </w:pBdr>
              <w:jc w:val="center"/>
              <w:rPr>
                <w:b/>
                <w:bCs/>
                <w:sz w:val="16"/>
                <w:szCs w:val="16"/>
                <w:rtl/>
              </w:rPr>
            </w:pPr>
            <w:r>
              <w:rPr>
                <w:rFonts w:hint="cs"/>
                <w:b/>
                <w:bCs/>
                <w:sz w:val="16"/>
                <w:szCs w:val="16"/>
                <w:rtl/>
              </w:rPr>
              <w:t xml:space="preserve"> או יותר</w:t>
            </w:r>
          </w:p>
        </w:tc>
        <w:tc>
          <w:tcPr>
            <w:tcW w:w="992" w:type="dxa"/>
          </w:tcPr>
          <w:p w14:paraId="50BE9C5F" w14:textId="77777777" w:rsidR="00D63C0E" w:rsidRDefault="00D63C0E" w:rsidP="00400DD1">
            <w:pPr>
              <w:pBdr>
                <w:bottom w:val="single" w:sz="6" w:space="1" w:color="auto"/>
              </w:pBdr>
              <w:jc w:val="center"/>
              <w:rPr>
                <w:b/>
                <w:bCs/>
                <w:sz w:val="16"/>
                <w:szCs w:val="16"/>
                <w:rtl/>
              </w:rPr>
            </w:pPr>
            <w:r>
              <w:rPr>
                <w:rFonts w:hint="cs"/>
                <w:b/>
                <w:bCs/>
                <w:sz w:val="16"/>
                <w:szCs w:val="16"/>
                <w:rtl/>
              </w:rPr>
              <w:t>בפיגור של 90 ימים</w:t>
            </w:r>
          </w:p>
          <w:p w14:paraId="3B81CD5E" w14:textId="77777777" w:rsidR="00D63C0E" w:rsidRDefault="00D63C0E" w:rsidP="00400DD1">
            <w:pPr>
              <w:pBdr>
                <w:bottom w:val="single" w:sz="6" w:space="1" w:color="auto"/>
              </w:pBdr>
              <w:jc w:val="center"/>
              <w:rPr>
                <w:b/>
                <w:bCs/>
                <w:sz w:val="16"/>
                <w:szCs w:val="16"/>
                <w:rtl/>
              </w:rPr>
            </w:pPr>
            <w:r>
              <w:rPr>
                <w:rFonts w:hint="cs"/>
                <w:b/>
                <w:bCs/>
                <w:sz w:val="16"/>
                <w:szCs w:val="16"/>
                <w:rtl/>
              </w:rPr>
              <w:t>עד 180</w:t>
            </w:r>
          </w:p>
        </w:tc>
        <w:tc>
          <w:tcPr>
            <w:tcW w:w="1134" w:type="dxa"/>
          </w:tcPr>
          <w:p w14:paraId="7DB0555A" w14:textId="77777777" w:rsidR="00D63C0E" w:rsidRDefault="00D63C0E" w:rsidP="00400DD1">
            <w:pPr>
              <w:pBdr>
                <w:bottom w:val="single" w:sz="6" w:space="1" w:color="auto"/>
              </w:pBdr>
              <w:jc w:val="center"/>
              <w:rPr>
                <w:b/>
                <w:bCs/>
                <w:sz w:val="16"/>
                <w:szCs w:val="16"/>
                <w:rtl/>
              </w:rPr>
            </w:pPr>
            <w:r>
              <w:rPr>
                <w:rFonts w:hint="cs"/>
                <w:b/>
                <w:bCs/>
                <w:sz w:val="16"/>
                <w:szCs w:val="16"/>
                <w:rtl/>
              </w:rPr>
              <w:t>בפיגור מעל 180 ימים</w:t>
            </w:r>
          </w:p>
          <w:p w14:paraId="70C76576" w14:textId="77777777" w:rsidR="00D63C0E" w:rsidRDefault="00D63C0E" w:rsidP="00400DD1">
            <w:pPr>
              <w:pBdr>
                <w:bottom w:val="single" w:sz="6" w:space="1" w:color="auto"/>
              </w:pBdr>
              <w:jc w:val="center"/>
              <w:rPr>
                <w:b/>
                <w:bCs/>
                <w:sz w:val="16"/>
                <w:szCs w:val="16"/>
                <w:rtl/>
              </w:rPr>
            </w:pPr>
            <w:r>
              <w:rPr>
                <w:rFonts w:hint="cs"/>
                <w:b/>
                <w:bCs/>
                <w:sz w:val="16"/>
                <w:szCs w:val="16"/>
                <w:rtl/>
              </w:rPr>
              <w:t>עד שנה</w:t>
            </w:r>
          </w:p>
        </w:tc>
        <w:tc>
          <w:tcPr>
            <w:tcW w:w="992" w:type="dxa"/>
          </w:tcPr>
          <w:p w14:paraId="2C8C652B" w14:textId="77777777" w:rsidR="00D63C0E" w:rsidRDefault="00D63C0E" w:rsidP="00400DD1">
            <w:pPr>
              <w:pBdr>
                <w:bottom w:val="single" w:sz="6" w:space="1" w:color="auto"/>
              </w:pBdr>
              <w:jc w:val="center"/>
              <w:rPr>
                <w:b/>
                <w:bCs/>
                <w:sz w:val="16"/>
                <w:szCs w:val="16"/>
                <w:rtl/>
              </w:rPr>
            </w:pPr>
            <w:r>
              <w:rPr>
                <w:rFonts w:hint="cs"/>
                <w:b/>
                <w:bCs/>
                <w:sz w:val="16"/>
                <w:szCs w:val="16"/>
                <w:rtl/>
              </w:rPr>
              <w:t>בפיגור מעל שנה ועד</w:t>
            </w:r>
          </w:p>
          <w:p w14:paraId="2111DB7E" w14:textId="77777777" w:rsidR="00D63C0E" w:rsidRDefault="00D63C0E" w:rsidP="00400DD1">
            <w:pPr>
              <w:pBdr>
                <w:bottom w:val="single" w:sz="6" w:space="1" w:color="auto"/>
              </w:pBdr>
              <w:jc w:val="center"/>
              <w:rPr>
                <w:b/>
                <w:bCs/>
                <w:sz w:val="16"/>
                <w:szCs w:val="16"/>
                <w:rtl/>
              </w:rPr>
            </w:pPr>
            <w:r>
              <w:rPr>
                <w:rFonts w:hint="cs"/>
                <w:b/>
                <w:bCs/>
                <w:sz w:val="16"/>
                <w:szCs w:val="16"/>
                <w:rtl/>
              </w:rPr>
              <w:t>3 שנים</w:t>
            </w:r>
          </w:p>
        </w:tc>
        <w:tc>
          <w:tcPr>
            <w:tcW w:w="993" w:type="dxa"/>
          </w:tcPr>
          <w:p w14:paraId="451E4571" w14:textId="77777777" w:rsidR="00D63C0E" w:rsidRDefault="00D63C0E" w:rsidP="00400DD1">
            <w:pPr>
              <w:pBdr>
                <w:bottom w:val="single" w:sz="6" w:space="1" w:color="auto"/>
              </w:pBdr>
              <w:jc w:val="center"/>
              <w:rPr>
                <w:b/>
                <w:bCs/>
                <w:sz w:val="16"/>
                <w:szCs w:val="16"/>
                <w:rtl/>
              </w:rPr>
            </w:pPr>
            <w:r>
              <w:rPr>
                <w:rFonts w:hint="cs"/>
                <w:b/>
                <w:bCs/>
                <w:sz w:val="16"/>
                <w:szCs w:val="16"/>
                <w:rtl/>
              </w:rPr>
              <w:t>בפיגור מעל 3 שנים ועד 5 שנים</w:t>
            </w:r>
          </w:p>
        </w:tc>
        <w:tc>
          <w:tcPr>
            <w:tcW w:w="992" w:type="dxa"/>
          </w:tcPr>
          <w:p w14:paraId="355AE3A2" w14:textId="77777777" w:rsidR="00D63C0E" w:rsidRDefault="00D63C0E" w:rsidP="00400DD1">
            <w:pPr>
              <w:pBdr>
                <w:bottom w:val="single" w:sz="6" w:space="1" w:color="auto"/>
              </w:pBdr>
              <w:jc w:val="center"/>
              <w:rPr>
                <w:b/>
                <w:bCs/>
                <w:sz w:val="16"/>
                <w:szCs w:val="16"/>
                <w:rtl/>
              </w:rPr>
            </w:pPr>
            <w:r>
              <w:rPr>
                <w:rFonts w:hint="cs"/>
                <w:b/>
                <w:bCs/>
                <w:sz w:val="16"/>
                <w:szCs w:val="16"/>
                <w:rtl/>
              </w:rPr>
              <w:t>בפיגור מעל 5 שנים ועד 7 שנים</w:t>
            </w:r>
          </w:p>
        </w:tc>
        <w:tc>
          <w:tcPr>
            <w:tcW w:w="709" w:type="dxa"/>
          </w:tcPr>
          <w:p w14:paraId="7ADB80AF" w14:textId="77777777" w:rsidR="00D63C0E" w:rsidRDefault="00D63C0E" w:rsidP="00400DD1">
            <w:pPr>
              <w:pBdr>
                <w:bottom w:val="single" w:sz="6" w:space="1" w:color="auto"/>
              </w:pBdr>
              <w:jc w:val="center"/>
              <w:rPr>
                <w:b/>
                <w:bCs/>
                <w:sz w:val="16"/>
                <w:szCs w:val="16"/>
                <w:rtl/>
              </w:rPr>
            </w:pPr>
            <w:r>
              <w:rPr>
                <w:rFonts w:hint="cs"/>
                <w:b/>
                <w:bCs/>
                <w:sz w:val="16"/>
                <w:szCs w:val="16"/>
                <w:rtl/>
              </w:rPr>
              <w:t>בפיגור מעל 7 שנים</w:t>
            </w:r>
          </w:p>
        </w:tc>
        <w:tc>
          <w:tcPr>
            <w:tcW w:w="566" w:type="dxa"/>
          </w:tcPr>
          <w:p w14:paraId="51E4BAAD" w14:textId="77777777" w:rsidR="00D63C0E" w:rsidRDefault="00D63C0E" w:rsidP="00400DD1">
            <w:pPr>
              <w:pBdr>
                <w:bottom w:val="single" w:sz="6" w:space="1" w:color="auto"/>
              </w:pBdr>
              <w:jc w:val="center"/>
              <w:rPr>
                <w:b/>
                <w:bCs/>
                <w:sz w:val="16"/>
                <w:szCs w:val="16"/>
                <w:rtl/>
              </w:rPr>
            </w:pPr>
          </w:p>
          <w:p w14:paraId="4EDA577D" w14:textId="77777777" w:rsidR="00D63C0E" w:rsidRDefault="00D63C0E" w:rsidP="00400DD1">
            <w:pPr>
              <w:pBdr>
                <w:bottom w:val="single" w:sz="6" w:space="1" w:color="auto"/>
              </w:pBdr>
              <w:jc w:val="center"/>
              <w:rPr>
                <w:b/>
                <w:bCs/>
                <w:sz w:val="16"/>
                <w:szCs w:val="16"/>
                <w:rtl/>
              </w:rPr>
            </w:pPr>
            <w:r>
              <w:rPr>
                <w:rFonts w:hint="cs"/>
                <w:b/>
                <w:bCs/>
                <w:sz w:val="16"/>
                <w:szCs w:val="16"/>
                <w:rtl/>
              </w:rPr>
              <w:t>סך הכל</w:t>
            </w:r>
          </w:p>
        </w:tc>
      </w:tr>
      <w:tr w:rsidR="00D63C0E" w14:paraId="76EDEC3F" w14:textId="77777777" w:rsidTr="00400DD1">
        <w:trPr>
          <w:trHeight w:hRule="exact" w:val="144"/>
        </w:trPr>
        <w:tc>
          <w:tcPr>
            <w:tcW w:w="941" w:type="dxa"/>
          </w:tcPr>
          <w:p w14:paraId="29A780D0" w14:textId="77777777" w:rsidR="00D63C0E" w:rsidRDefault="00D63C0E" w:rsidP="00400DD1">
            <w:pPr>
              <w:rPr>
                <w:sz w:val="14"/>
                <w:szCs w:val="14"/>
                <w:rtl/>
              </w:rPr>
            </w:pPr>
          </w:p>
        </w:tc>
        <w:tc>
          <w:tcPr>
            <w:tcW w:w="1701" w:type="dxa"/>
            <w:tcBorders>
              <w:left w:val="nil"/>
            </w:tcBorders>
            <w:vAlign w:val="bottom"/>
          </w:tcPr>
          <w:p w14:paraId="1A0573CC" w14:textId="77777777" w:rsidR="00D63C0E" w:rsidRDefault="00D63C0E" w:rsidP="00400DD1">
            <w:pPr>
              <w:spacing w:before="40" w:line="200" w:lineRule="exact"/>
              <w:ind w:left="432" w:right="144" w:hanging="144"/>
              <w:jc w:val="left"/>
              <w:rPr>
                <w:color w:val="000000"/>
                <w:sz w:val="18"/>
                <w:szCs w:val="18"/>
                <w:rtl/>
                <w:lang w:eastAsia="he-IL"/>
              </w:rPr>
            </w:pPr>
          </w:p>
        </w:tc>
        <w:tc>
          <w:tcPr>
            <w:tcW w:w="1134" w:type="dxa"/>
          </w:tcPr>
          <w:p w14:paraId="5E38107B" w14:textId="77777777" w:rsidR="00D63C0E" w:rsidRDefault="00D63C0E" w:rsidP="00400DD1">
            <w:pPr>
              <w:rPr>
                <w:rtl/>
              </w:rPr>
            </w:pPr>
          </w:p>
        </w:tc>
        <w:tc>
          <w:tcPr>
            <w:tcW w:w="992" w:type="dxa"/>
          </w:tcPr>
          <w:p w14:paraId="27DD2171" w14:textId="77777777" w:rsidR="00D63C0E" w:rsidRDefault="00D63C0E" w:rsidP="00400DD1">
            <w:pPr>
              <w:rPr>
                <w:rtl/>
              </w:rPr>
            </w:pPr>
          </w:p>
        </w:tc>
        <w:tc>
          <w:tcPr>
            <w:tcW w:w="1134" w:type="dxa"/>
          </w:tcPr>
          <w:p w14:paraId="6958AEF6" w14:textId="77777777" w:rsidR="00D63C0E" w:rsidRDefault="00D63C0E" w:rsidP="00400DD1">
            <w:pPr>
              <w:rPr>
                <w:rtl/>
              </w:rPr>
            </w:pPr>
          </w:p>
        </w:tc>
        <w:tc>
          <w:tcPr>
            <w:tcW w:w="992" w:type="dxa"/>
          </w:tcPr>
          <w:p w14:paraId="0A3CF514" w14:textId="77777777" w:rsidR="00D63C0E" w:rsidRDefault="00D63C0E" w:rsidP="00400DD1">
            <w:pPr>
              <w:rPr>
                <w:rtl/>
              </w:rPr>
            </w:pPr>
          </w:p>
        </w:tc>
        <w:tc>
          <w:tcPr>
            <w:tcW w:w="993" w:type="dxa"/>
          </w:tcPr>
          <w:p w14:paraId="5F92AE58" w14:textId="77777777" w:rsidR="00D63C0E" w:rsidRDefault="00D63C0E" w:rsidP="00400DD1">
            <w:pPr>
              <w:rPr>
                <w:rtl/>
              </w:rPr>
            </w:pPr>
          </w:p>
        </w:tc>
        <w:tc>
          <w:tcPr>
            <w:tcW w:w="992" w:type="dxa"/>
          </w:tcPr>
          <w:p w14:paraId="19375B02" w14:textId="77777777" w:rsidR="00D63C0E" w:rsidRDefault="00D63C0E" w:rsidP="00400DD1">
            <w:pPr>
              <w:rPr>
                <w:rtl/>
              </w:rPr>
            </w:pPr>
          </w:p>
        </w:tc>
        <w:tc>
          <w:tcPr>
            <w:tcW w:w="709" w:type="dxa"/>
          </w:tcPr>
          <w:p w14:paraId="7BAB2AEC" w14:textId="77777777" w:rsidR="00D63C0E" w:rsidRDefault="00D63C0E" w:rsidP="00400DD1">
            <w:pPr>
              <w:rPr>
                <w:rtl/>
              </w:rPr>
            </w:pPr>
          </w:p>
        </w:tc>
        <w:tc>
          <w:tcPr>
            <w:tcW w:w="566" w:type="dxa"/>
          </w:tcPr>
          <w:p w14:paraId="709A9FB6" w14:textId="77777777" w:rsidR="00D63C0E" w:rsidRDefault="00D63C0E" w:rsidP="00400DD1">
            <w:pPr>
              <w:rPr>
                <w:rtl/>
              </w:rPr>
            </w:pPr>
          </w:p>
        </w:tc>
      </w:tr>
      <w:tr w:rsidR="00D63C0E" w14:paraId="2C410896" w14:textId="77777777" w:rsidTr="00400DD1">
        <w:trPr>
          <w:trHeight w:val="259"/>
        </w:trPr>
        <w:tc>
          <w:tcPr>
            <w:tcW w:w="941" w:type="dxa"/>
          </w:tcPr>
          <w:p w14:paraId="208D12B7" w14:textId="77777777" w:rsidR="00D63C0E" w:rsidRDefault="00D63C0E" w:rsidP="00400DD1">
            <w:pPr>
              <w:rPr>
                <w:sz w:val="14"/>
                <w:szCs w:val="14"/>
                <w:rtl/>
              </w:rPr>
            </w:pPr>
          </w:p>
        </w:tc>
        <w:tc>
          <w:tcPr>
            <w:tcW w:w="1701" w:type="dxa"/>
            <w:tcBorders>
              <w:left w:val="nil"/>
            </w:tcBorders>
            <w:vAlign w:val="bottom"/>
            <w:hideMark/>
          </w:tcPr>
          <w:p w14:paraId="5F13CAA0" w14:textId="77777777" w:rsidR="00D63C0E" w:rsidRPr="006D671B" w:rsidRDefault="00D63C0E" w:rsidP="00400DD1">
            <w:pPr>
              <w:jc w:val="left"/>
              <w:rPr>
                <w:color w:val="000000"/>
                <w:sz w:val="18"/>
                <w:szCs w:val="18"/>
                <w:rtl/>
                <w:lang w:eastAsia="he-IL"/>
              </w:rPr>
            </w:pPr>
            <w:r w:rsidRPr="006D671B">
              <w:rPr>
                <w:rFonts w:hint="cs"/>
                <w:color w:val="000000"/>
                <w:sz w:val="18"/>
                <w:szCs w:val="18"/>
                <w:rtl/>
                <w:lang w:eastAsia="he-IL"/>
              </w:rPr>
              <w:t>מסחרי</w:t>
            </w:r>
          </w:p>
        </w:tc>
        <w:tc>
          <w:tcPr>
            <w:tcW w:w="1134" w:type="dxa"/>
            <w:hideMark/>
          </w:tcPr>
          <w:p w14:paraId="1551354B" w14:textId="77777777" w:rsidR="00D63C0E" w:rsidRDefault="00D63C0E" w:rsidP="00400DD1">
            <w:pPr>
              <w:rPr>
                <w:sz w:val="18"/>
                <w:szCs w:val="18"/>
                <w:rtl/>
              </w:rPr>
            </w:pPr>
            <w:r>
              <w:rPr>
                <w:rFonts w:hint="cs"/>
                <w:sz w:val="18"/>
                <w:szCs w:val="18"/>
                <w:rtl/>
              </w:rPr>
              <w:t>0</w:t>
            </w:r>
          </w:p>
        </w:tc>
        <w:tc>
          <w:tcPr>
            <w:tcW w:w="992" w:type="dxa"/>
            <w:hideMark/>
          </w:tcPr>
          <w:p w14:paraId="67763790" w14:textId="77777777" w:rsidR="00D63C0E" w:rsidRDefault="00D63C0E" w:rsidP="00400DD1">
            <w:pPr>
              <w:rPr>
                <w:sz w:val="18"/>
                <w:szCs w:val="18"/>
                <w:rtl/>
              </w:rPr>
            </w:pPr>
            <w:r>
              <w:rPr>
                <w:rFonts w:hint="cs"/>
                <w:sz w:val="18"/>
                <w:szCs w:val="18"/>
                <w:rtl/>
              </w:rPr>
              <w:t>0</w:t>
            </w:r>
          </w:p>
        </w:tc>
        <w:tc>
          <w:tcPr>
            <w:tcW w:w="1134" w:type="dxa"/>
            <w:hideMark/>
          </w:tcPr>
          <w:p w14:paraId="3D3E8DCB" w14:textId="77777777" w:rsidR="00D63C0E" w:rsidRDefault="00D63C0E" w:rsidP="00400DD1">
            <w:pPr>
              <w:rPr>
                <w:sz w:val="18"/>
                <w:szCs w:val="18"/>
                <w:rtl/>
              </w:rPr>
            </w:pPr>
            <w:r>
              <w:rPr>
                <w:rFonts w:hint="cs"/>
                <w:sz w:val="18"/>
                <w:szCs w:val="18"/>
                <w:rtl/>
              </w:rPr>
              <w:t>0</w:t>
            </w:r>
          </w:p>
        </w:tc>
        <w:tc>
          <w:tcPr>
            <w:tcW w:w="992" w:type="dxa"/>
            <w:hideMark/>
          </w:tcPr>
          <w:p w14:paraId="23D26F9A" w14:textId="77777777" w:rsidR="00D63C0E" w:rsidRDefault="00D63C0E" w:rsidP="00400DD1">
            <w:pPr>
              <w:rPr>
                <w:sz w:val="18"/>
                <w:szCs w:val="18"/>
                <w:rtl/>
              </w:rPr>
            </w:pPr>
            <w:r>
              <w:rPr>
                <w:rFonts w:hint="cs"/>
                <w:sz w:val="18"/>
                <w:szCs w:val="18"/>
                <w:rtl/>
              </w:rPr>
              <w:t>0</w:t>
            </w:r>
          </w:p>
        </w:tc>
        <w:tc>
          <w:tcPr>
            <w:tcW w:w="993" w:type="dxa"/>
            <w:hideMark/>
          </w:tcPr>
          <w:p w14:paraId="5B102C07" w14:textId="77777777" w:rsidR="00D63C0E" w:rsidRDefault="00D63C0E" w:rsidP="00400DD1">
            <w:pPr>
              <w:rPr>
                <w:sz w:val="18"/>
                <w:szCs w:val="18"/>
                <w:rtl/>
              </w:rPr>
            </w:pPr>
            <w:r>
              <w:rPr>
                <w:rFonts w:hint="cs"/>
                <w:sz w:val="18"/>
                <w:szCs w:val="18"/>
                <w:rtl/>
              </w:rPr>
              <w:t>0</w:t>
            </w:r>
          </w:p>
        </w:tc>
        <w:tc>
          <w:tcPr>
            <w:tcW w:w="992" w:type="dxa"/>
            <w:hideMark/>
          </w:tcPr>
          <w:p w14:paraId="1675F484" w14:textId="77777777" w:rsidR="00D63C0E" w:rsidRDefault="00D63C0E" w:rsidP="00400DD1">
            <w:pPr>
              <w:rPr>
                <w:sz w:val="18"/>
                <w:szCs w:val="18"/>
                <w:rtl/>
              </w:rPr>
            </w:pPr>
            <w:r>
              <w:rPr>
                <w:rFonts w:hint="cs"/>
                <w:sz w:val="18"/>
                <w:szCs w:val="18"/>
                <w:rtl/>
              </w:rPr>
              <w:t>0</w:t>
            </w:r>
          </w:p>
        </w:tc>
        <w:tc>
          <w:tcPr>
            <w:tcW w:w="709" w:type="dxa"/>
            <w:hideMark/>
          </w:tcPr>
          <w:p w14:paraId="46323BFA" w14:textId="77777777" w:rsidR="00D63C0E" w:rsidRDefault="00D63C0E" w:rsidP="00400DD1">
            <w:pPr>
              <w:rPr>
                <w:sz w:val="18"/>
                <w:szCs w:val="18"/>
                <w:rtl/>
              </w:rPr>
            </w:pPr>
            <w:r>
              <w:rPr>
                <w:rFonts w:hint="cs"/>
                <w:sz w:val="18"/>
                <w:szCs w:val="18"/>
                <w:rtl/>
              </w:rPr>
              <w:t>0</w:t>
            </w:r>
          </w:p>
        </w:tc>
        <w:tc>
          <w:tcPr>
            <w:tcW w:w="566" w:type="dxa"/>
            <w:hideMark/>
          </w:tcPr>
          <w:p w14:paraId="1033BF5D" w14:textId="77777777" w:rsidR="00D63C0E" w:rsidRDefault="00D63C0E" w:rsidP="00400DD1">
            <w:pPr>
              <w:rPr>
                <w:sz w:val="18"/>
                <w:szCs w:val="18"/>
                <w:rtl/>
              </w:rPr>
            </w:pPr>
            <w:r>
              <w:rPr>
                <w:rFonts w:hint="cs"/>
                <w:sz w:val="18"/>
                <w:szCs w:val="18"/>
                <w:rtl/>
              </w:rPr>
              <w:t>0</w:t>
            </w:r>
          </w:p>
        </w:tc>
      </w:tr>
      <w:tr w:rsidR="00D63C0E" w14:paraId="41E04217" w14:textId="77777777" w:rsidTr="00400DD1">
        <w:trPr>
          <w:trHeight w:val="259"/>
        </w:trPr>
        <w:tc>
          <w:tcPr>
            <w:tcW w:w="941" w:type="dxa"/>
          </w:tcPr>
          <w:p w14:paraId="55F32600" w14:textId="77777777" w:rsidR="00D63C0E" w:rsidRDefault="00D63C0E" w:rsidP="00400DD1">
            <w:pPr>
              <w:rPr>
                <w:sz w:val="14"/>
                <w:szCs w:val="14"/>
                <w:rtl/>
              </w:rPr>
            </w:pPr>
          </w:p>
        </w:tc>
        <w:tc>
          <w:tcPr>
            <w:tcW w:w="1701" w:type="dxa"/>
            <w:tcBorders>
              <w:left w:val="nil"/>
            </w:tcBorders>
            <w:vAlign w:val="bottom"/>
            <w:hideMark/>
          </w:tcPr>
          <w:p w14:paraId="6C05C116" w14:textId="77777777" w:rsidR="00D63C0E" w:rsidRPr="006D671B" w:rsidRDefault="00D63C0E" w:rsidP="00400DD1">
            <w:pPr>
              <w:ind w:left="144" w:hanging="144"/>
              <w:jc w:val="left"/>
              <w:rPr>
                <w:color w:val="000000"/>
                <w:sz w:val="18"/>
                <w:szCs w:val="18"/>
                <w:rtl/>
                <w:lang w:eastAsia="he-IL"/>
              </w:rPr>
            </w:pPr>
            <w:r w:rsidRPr="006D671B">
              <w:rPr>
                <w:rFonts w:hint="cs"/>
                <w:color w:val="000000"/>
                <w:sz w:val="18"/>
                <w:szCs w:val="18"/>
                <w:rtl/>
                <w:lang w:eastAsia="he-IL"/>
              </w:rPr>
              <w:t>הלוואות לדיור</w:t>
            </w:r>
          </w:p>
        </w:tc>
        <w:tc>
          <w:tcPr>
            <w:tcW w:w="1134" w:type="dxa"/>
            <w:hideMark/>
          </w:tcPr>
          <w:p w14:paraId="33CD6932" w14:textId="77777777" w:rsidR="00D63C0E" w:rsidRDefault="00D63C0E" w:rsidP="00400DD1">
            <w:pPr>
              <w:rPr>
                <w:sz w:val="18"/>
                <w:szCs w:val="18"/>
              </w:rPr>
            </w:pPr>
            <w:r>
              <w:rPr>
                <w:rFonts w:hint="cs"/>
                <w:sz w:val="18"/>
                <w:szCs w:val="18"/>
                <w:rtl/>
              </w:rPr>
              <w:t>0</w:t>
            </w:r>
          </w:p>
        </w:tc>
        <w:tc>
          <w:tcPr>
            <w:tcW w:w="992" w:type="dxa"/>
            <w:hideMark/>
          </w:tcPr>
          <w:p w14:paraId="6A4974E9" w14:textId="77777777" w:rsidR="00D63C0E" w:rsidRDefault="00D63C0E" w:rsidP="00400DD1">
            <w:pPr>
              <w:rPr>
                <w:sz w:val="18"/>
                <w:szCs w:val="18"/>
                <w:rtl/>
              </w:rPr>
            </w:pPr>
            <w:r>
              <w:rPr>
                <w:rFonts w:hint="cs"/>
                <w:sz w:val="18"/>
                <w:szCs w:val="18"/>
                <w:rtl/>
              </w:rPr>
              <w:t>0</w:t>
            </w:r>
          </w:p>
        </w:tc>
        <w:tc>
          <w:tcPr>
            <w:tcW w:w="1134" w:type="dxa"/>
            <w:hideMark/>
          </w:tcPr>
          <w:p w14:paraId="1F16EF01" w14:textId="77777777" w:rsidR="00D63C0E" w:rsidRDefault="00D63C0E" w:rsidP="00400DD1">
            <w:pPr>
              <w:rPr>
                <w:sz w:val="18"/>
                <w:szCs w:val="18"/>
                <w:rtl/>
              </w:rPr>
            </w:pPr>
            <w:r>
              <w:rPr>
                <w:rFonts w:hint="cs"/>
                <w:sz w:val="18"/>
                <w:szCs w:val="18"/>
                <w:rtl/>
              </w:rPr>
              <w:t>0</w:t>
            </w:r>
          </w:p>
        </w:tc>
        <w:tc>
          <w:tcPr>
            <w:tcW w:w="992" w:type="dxa"/>
            <w:hideMark/>
          </w:tcPr>
          <w:p w14:paraId="4DDBC378" w14:textId="77777777" w:rsidR="00D63C0E" w:rsidRDefault="00D63C0E" w:rsidP="00400DD1">
            <w:pPr>
              <w:rPr>
                <w:sz w:val="18"/>
                <w:szCs w:val="18"/>
                <w:rtl/>
              </w:rPr>
            </w:pPr>
            <w:r>
              <w:rPr>
                <w:rFonts w:hint="cs"/>
                <w:sz w:val="18"/>
                <w:szCs w:val="18"/>
                <w:rtl/>
              </w:rPr>
              <w:t>0</w:t>
            </w:r>
          </w:p>
        </w:tc>
        <w:tc>
          <w:tcPr>
            <w:tcW w:w="993" w:type="dxa"/>
            <w:hideMark/>
          </w:tcPr>
          <w:p w14:paraId="02E69EBA" w14:textId="77777777" w:rsidR="00D63C0E" w:rsidRDefault="00D63C0E" w:rsidP="00400DD1">
            <w:pPr>
              <w:rPr>
                <w:sz w:val="18"/>
                <w:szCs w:val="18"/>
                <w:rtl/>
              </w:rPr>
            </w:pPr>
            <w:r>
              <w:rPr>
                <w:rFonts w:hint="cs"/>
                <w:sz w:val="18"/>
                <w:szCs w:val="18"/>
                <w:rtl/>
              </w:rPr>
              <w:t>0</w:t>
            </w:r>
          </w:p>
        </w:tc>
        <w:tc>
          <w:tcPr>
            <w:tcW w:w="992" w:type="dxa"/>
            <w:hideMark/>
          </w:tcPr>
          <w:p w14:paraId="6463E7A9" w14:textId="77777777" w:rsidR="00D63C0E" w:rsidRDefault="00D63C0E" w:rsidP="00400DD1">
            <w:pPr>
              <w:rPr>
                <w:sz w:val="18"/>
                <w:szCs w:val="18"/>
                <w:rtl/>
              </w:rPr>
            </w:pPr>
            <w:r>
              <w:rPr>
                <w:rFonts w:hint="cs"/>
                <w:sz w:val="18"/>
                <w:szCs w:val="18"/>
                <w:rtl/>
              </w:rPr>
              <w:t>0</w:t>
            </w:r>
          </w:p>
        </w:tc>
        <w:tc>
          <w:tcPr>
            <w:tcW w:w="709" w:type="dxa"/>
            <w:hideMark/>
          </w:tcPr>
          <w:p w14:paraId="67BB3109" w14:textId="77777777" w:rsidR="00D63C0E" w:rsidRDefault="00D63C0E" w:rsidP="00400DD1">
            <w:pPr>
              <w:rPr>
                <w:sz w:val="18"/>
                <w:szCs w:val="18"/>
                <w:rtl/>
              </w:rPr>
            </w:pPr>
            <w:r>
              <w:rPr>
                <w:rFonts w:hint="cs"/>
                <w:sz w:val="18"/>
                <w:szCs w:val="18"/>
                <w:rtl/>
              </w:rPr>
              <w:t>0</w:t>
            </w:r>
          </w:p>
        </w:tc>
        <w:tc>
          <w:tcPr>
            <w:tcW w:w="566" w:type="dxa"/>
            <w:hideMark/>
          </w:tcPr>
          <w:p w14:paraId="135513AB" w14:textId="77777777" w:rsidR="00D63C0E" w:rsidRDefault="00D63C0E" w:rsidP="00400DD1">
            <w:pPr>
              <w:rPr>
                <w:sz w:val="18"/>
                <w:szCs w:val="18"/>
                <w:rtl/>
              </w:rPr>
            </w:pPr>
            <w:r>
              <w:rPr>
                <w:rFonts w:hint="cs"/>
                <w:sz w:val="18"/>
                <w:szCs w:val="18"/>
                <w:rtl/>
              </w:rPr>
              <w:t>0</w:t>
            </w:r>
          </w:p>
        </w:tc>
      </w:tr>
      <w:tr w:rsidR="00D63C0E" w14:paraId="27259182" w14:textId="77777777" w:rsidTr="00400DD1">
        <w:trPr>
          <w:trHeight w:val="259"/>
        </w:trPr>
        <w:tc>
          <w:tcPr>
            <w:tcW w:w="941" w:type="dxa"/>
          </w:tcPr>
          <w:p w14:paraId="53544452" w14:textId="77777777" w:rsidR="00D63C0E" w:rsidRDefault="00D63C0E" w:rsidP="00400DD1">
            <w:pPr>
              <w:rPr>
                <w:sz w:val="14"/>
                <w:szCs w:val="14"/>
                <w:rtl/>
              </w:rPr>
            </w:pPr>
          </w:p>
        </w:tc>
        <w:tc>
          <w:tcPr>
            <w:tcW w:w="1701" w:type="dxa"/>
            <w:tcBorders>
              <w:left w:val="nil"/>
            </w:tcBorders>
            <w:vAlign w:val="bottom"/>
            <w:hideMark/>
          </w:tcPr>
          <w:p w14:paraId="62CDE111" w14:textId="77777777" w:rsidR="00D63C0E" w:rsidRPr="006D671B" w:rsidRDefault="00D63C0E" w:rsidP="00400DD1">
            <w:pPr>
              <w:ind w:left="39" w:hanging="39"/>
              <w:jc w:val="left"/>
              <w:rPr>
                <w:color w:val="000000"/>
                <w:sz w:val="18"/>
                <w:szCs w:val="18"/>
                <w:rtl/>
                <w:lang w:eastAsia="he-IL"/>
              </w:rPr>
            </w:pPr>
            <w:r w:rsidRPr="006D671B">
              <w:rPr>
                <w:rFonts w:hint="cs"/>
                <w:color w:val="000000"/>
                <w:sz w:val="18"/>
                <w:szCs w:val="18"/>
                <w:rtl/>
                <w:lang w:eastAsia="he-IL"/>
              </w:rPr>
              <w:t>אנשים פרטיים - אחר</w:t>
            </w:r>
          </w:p>
        </w:tc>
        <w:tc>
          <w:tcPr>
            <w:tcW w:w="1134" w:type="dxa"/>
            <w:hideMark/>
          </w:tcPr>
          <w:p w14:paraId="0F403CDE" w14:textId="77777777" w:rsidR="00D63C0E" w:rsidRDefault="00D63C0E" w:rsidP="00400DD1">
            <w:pPr>
              <w:pBdr>
                <w:bottom w:val="single" w:sz="4" w:space="1" w:color="auto"/>
              </w:pBdr>
              <w:jc w:val="left"/>
              <w:rPr>
                <w:sz w:val="18"/>
                <w:szCs w:val="18"/>
              </w:rPr>
            </w:pPr>
            <w:r>
              <w:rPr>
                <w:rFonts w:hint="cs"/>
                <w:sz w:val="18"/>
                <w:szCs w:val="18"/>
                <w:rtl/>
              </w:rPr>
              <w:t>0</w:t>
            </w:r>
          </w:p>
        </w:tc>
        <w:tc>
          <w:tcPr>
            <w:tcW w:w="992" w:type="dxa"/>
            <w:hideMark/>
          </w:tcPr>
          <w:p w14:paraId="2E6BD582" w14:textId="77777777" w:rsidR="00D63C0E" w:rsidRDefault="00D63C0E" w:rsidP="00400DD1">
            <w:pPr>
              <w:pBdr>
                <w:bottom w:val="single" w:sz="4" w:space="1" w:color="auto"/>
              </w:pBdr>
              <w:jc w:val="left"/>
              <w:rPr>
                <w:sz w:val="18"/>
                <w:szCs w:val="18"/>
                <w:rtl/>
              </w:rPr>
            </w:pPr>
            <w:r>
              <w:rPr>
                <w:rFonts w:hint="cs"/>
                <w:sz w:val="18"/>
                <w:szCs w:val="18"/>
                <w:rtl/>
              </w:rPr>
              <w:t>0</w:t>
            </w:r>
          </w:p>
        </w:tc>
        <w:tc>
          <w:tcPr>
            <w:tcW w:w="1134" w:type="dxa"/>
            <w:hideMark/>
          </w:tcPr>
          <w:p w14:paraId="79EAB34A" w14:textId="77777777" w:rsidR="00D63C0E" w:rsidRDefault="00D63C0E" w:rsidP="00400DD1">
            <w:pPr>
              <w:pBdr>
                <w:bottom w:val="single" w:sz="4" w:space="1" w:color="auto"/>
              </w:pBdr>
              <w:jc w:val="left"/>
              <w:rPr>
                <w:sz w:val="18"/>
                <w:szCs w:val="18"/>
                <w:rtl/>
              </w:rPr>
            </w:pPr>
            <w:r>
              <w:rPr>
                <w:rFonts w:hint="cs"/>
                <w:sz w:val="18"/>
                <w:szCs w:val="18"/>
                <w:rtl/>
              </w:rPr>
              <w:t>0</w:t>
            </w:r>
          </w:p>
        </w:tc>
        <w:tc>
          <w:tcPr>
            <w:tcW w:w="992" w:type="dxa"/>
            <w:hideMark/>
          </w:tcPr>
          <w:p w14:paraId="3BED20A2" w14:textId="77777777" w:rsidR="00D63C0E" w:rsidRDefault="00D63C0E" w:rsidP="00400DD1">
            <w:pPr>
              <w:pBdr>
                <w:bottom w:val="single" w:sz="4" w:space="1" w:color="auto"/>
              </w:pBdr>
              <w:jc w:val="left"/>
              <w:rPr>
                <w:sz w:val="18"/>
                <w:szCs w:val="18"/>
                <w:rtl/>
              </w:rPr>
            </w:pPr>
            <w:r>
              <w:rPr>
                <w:rFonts w:hint="cs"/>
                <w:sz w:val="18"/>
                <w:szCs w:val="18"/>
                <w:rtl/>
              </w:rPr>
              <w:t>0</w:t>
            </w:r>
          </w:p>
        </w:tc>
        <w:tc>
          <w:tcPr>
            <w:tcW w:w="993" w:type="dxa"/>
            <w:hideMark/>
          </w:tcPr>
          <w:p w14:paraId="1309BF58" w14:textId="77777777" w:rsidR="00D63C0E" w:rsidRDefault="00D63C0E" w:rsidP="00400DD1">
            <w:pPr>
              <w:pBdr>
                <w:bottom w:val="single" w:sz="4" w:space="1" w:color="auto"/>
              </w:pBdr>
              <w:jc w:val="left"/>
              <w:rPr>
                <w:sz w:val="18"/>
                <w:szCs w:val="18"/>
                <w:rtl/>
              </w:rPr>
            </w:pPr>
            <w:r>
              <w:rPr>
                <w:rFonts w:hint="cs"/>
                <w:sz w:val="18"/>
                <w:szCs w:val="18"/>
                <w:rtl/>
              </w:rPr>
              <w:t>0</w:t>
            </w:r>
          </w:p>
        </w:tc>
        <w:tc>
          <w:tcPr>
            <w:tcW w:w="992" w:type="dxa"/>
            <w:hideMark/>
          </w:tcPr>
          <w:p w14:paraId="77FE5A4C" w14:textId="77777777" w:rsidR="00D63C0E" w:rsidRDefault="00D63C0E" w:rsidP="00400DD1">
            <w:pPr>
              <w:pBdr>
                <w:bottom w:val="single" w:sz="4" w:space="1" w:color="auto"/>
              </w:pBdr>
              <w:jc w:val="left"/>
              <w:rPr>
                <w:sz w:val="18"/>
                <w:szCs w:val="18"/>
                <w:rtl/>
              </w:rPr>
            </w:pPr>
            <w:r>
              <w:rPr>
                <w:rFonts w:hint="cs"/>
                <w:sz w:val="18"/>
                <w:szCs w:val="18"/>
                <w:rtl/>
              </w:rPr>
              <w:t>0</w:t>
            </w:r>
          </w:p>
        </w:tc>
        <w:tc>
          <w:tcPr>
            <w:tcW w:w="709" w:type="dxa"/>
            <w:hideMark/>
          </w:tcPr>
          <w:p w14:paraId="73DB12D0" w14:textId="77777777" w:rsidR="00D63C0E" w:rsidRDefault="00D63C0E" w:rsidP="00400DD1">
            <w:pPr>
              <w:pBdr>
                <w:bottom w:val="single" w:sz="4" w:space="1" w:color="auto"/>
              </w:pBdr>
              <w:jc w:val="left"/>
              <w:rPr>
                <w:sz w:val="18"/>
                <w:szCs w:val="18"/>
                <w:rtl/>
              </w:rPr>
            </w:pPr>
            <w:r>
              <w:rPr>
                <w:rFonts w:hint="cs"/>
                <w:sz w:val="18"/>
                <w:szCs w:val="18"/>
                <w:rtl/>
              </w:rPr>
              <w:t>0</w:t>
            </w:r>
          </w:p>
        </w:tc>
        <w:tc>
          <w:tcPr>
            <w:tcW w:w="566" w:type="dxa"/>
            <w:hideMark/>
          </w:tcPr>
          <w:p w14:paraId="366DA37C" w14:textId="77777777" w:rsidR="00D63C0E" w:rsidRDefault="00D63C0E" w:rsidP="00400DD1">
            <w:pPr>
              <w:pBdr>
                <w:bottom w:val="single" w:sz="4" w:space="1" w:color="auto"/>
              </w:pBdr>
              <w:jc w:val="left"/>
              <w:rPr>
                <w:sz w:val="18"/>
                <w:szCs w:val="18"/>
                <w:rtl/>
              </w:rPr>
            </w:pPr>
            <w:r>
              <w:rPr>
                <w:rFonts w:hint="cs"/>
                <w:sz w:val="18"/>
                <w:szCs w:val="18"/>
                <w:rtl/>
              </w:rPr>
              <w:t>0</w:t>
            </w:r>
          </w:p>
        </w:tc>
      </w:tr>
      <w:tr w:rsidR="00D63C0E" w14:paraId="37490FDD" w14:textId="77777777" w:rsidTr="00400DD1">
        <w:trPr>
          <w:trHeight w:val="259"/>
        </w:trPr>
        <w:tc>
          <w:tcPr>
            <w:tcW w:w="941" w:type="dxa"/>
          </w:tcPr>
          <w:p w14:paraId="674BEA50" w14:textId="77777777" w:rsidR="00D63C0E" w:rsidRDefault="00D63C0E" w:rsidP="00400DD1">
            <w:pPr>
              <w:rPr>
                <w:sz w:val="14"/>
                <w:szCs w:val="14"/>
                <w:rtl/>
              </w:rPr>
            </w:pPr>
          </w:p>
        </w:tc>
        <w:tc>
          <w:tcPr>
            <w:tcW w:w="1701" w:type="dxa"/>
            <w:tcBorders>
              <w:left w:val="nil"/>
            </w:tcBorders>
            <w:vAlign w:val="bottom"/>
            <w:hideMark/>
          </w:tcPr>
          <w:p w14:paraId="6668E0D8" w14:textId="77777777" w:rsidR="00D63C0E" w:rsidRPr="006D671B" w:rsidRDefault="00D63C0E" w:rsidP="00400DD1">
            <w:pPr>
              <w:ind w:left="144" w:hanging="144"/>
              <w:jc w:val="left"/>
              <w:rPr>
                <w:b/>
                <w:bCs/>
                <w:color w:val="000000"/>
                <w:sz w:val="18"/>
                <w:szCs w:val="18"/>
                <w:rtl/>
                <w:lang w:eastAsia="he-IL"/>
              </w:rPr>
            </w:pPr>
            <w:r w:rsidRPr="006D671B">
              <w:rPr>
                <w:rFonts w:hint="cs"/>
                <w:b/>
                <w:bCs/>
                <w:color w:val="000000"/>
                <w:sz w:val="18"/>
                <w:szCs w:val="18"/>
                <w:rtl/>
                <w:lang w:eastAsia="he-IL"/>
              </w:rPr>
              <w:t xml:space="preserve">סך הכל </w:t>
            </w:r>
          </w:p>
        </w:tc>
        <w:tc>
          <w:tcPr>
            <w:tcW w:w="1134" w:type="dxa"/>
            <w:hideMark/>
          </w:tcPr>
          <w:p w14:paraId="608699E1" w14:textId="77777777" w:rsidR="00D63C0E" w:rsidRDefault="00D63C0E" w:rsidP="00400DD1">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992" w:type="dxa"/>
            <w:hideMark/>
          </w:tcPr>
          <w:p w14:paraId="26CA3DA8" w14:textId="77777777" w:rsidR="00D63C0E" w:rsidRDefault="00D63C0E" w:rsidP="00400DD1">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1134" w:type="dxa"/>
            <w:hideMark/>
          </w:tcPr>
          <w:p w14:paraId="37AC259B" w14:textId="77777777" w:rsidR="00D63C0E" w:rsidRDefault="00D63C0E" w:rsidP="00400DD1">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992" w:type="dxa"/>
            <w:hideMark/>
          </w:tcPr>
          <w:p w14:paraId="622B8166" w14:textId="77777777" w:rsidR="00D63C0E" w:rsidRDefault="00D63C0E" w:rsidP="00400DD1">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993" w:type="dxa"/>
            <w:hideMark/>
          </w:tcPr>
          <w:p w14:paraId="3A101AF2" w14:textId="77777777" w:rsidR="00D63C0E" w:rsidRDefault="00D63C0E" w:rsidP="00400DD1">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992" w:type="dxa"/>
            <w:hideMark/>
          </w:tcPr>
          <w:p w14:paraId="16E6772E" w14:textId="77777777" w:rsidR="00D63C0E" w:rsidRDefault="00D63C0E" w:rsidP="00400DD1">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709" w:type="dxa"/>
            <w:hideMark/>
          </w:tcPr>
          <w:p w14:paraId="2276DB35" w14:textId="77777777" w:rsidR="00D63C0E" w:rsidRDefault="00D63C0E" w:rsidP="00400DD1">
            <w:pPr>
              <w:pBdr>
                <w:bottom w:val="double" w:sz="4" w:space="1" w:color="auto"/>
              </w:pBdr>
              <w:ind w:left="144" w:hanging="144"/>
              <w:jc w:val="left"/>
              <w:rPr>
                <w:b/>
                <w:bCs/>
                <w:color w:val="000000"/>
                <w:sz w:val="16"/>
                <w:szCs w:val="16"/>
                <w:rtl/>
                <w:lang w:eastAsia="he-IL"/>
              </w:rPr>
            </w:pPr>
            <w:r>
              <w:rPr>
                <w:rFonts w:hint="cs"/>
                <w:b/>
                <w:bCs/>
                <w:sz w:val="18"/>
                <w:szCs w:val="18"/>
                <w:rtl/>
              </w:rPr>
              <w:t>0</w:t>
            </w:r>
          </w:p>
        </w:tc>
        <w:tc>
          <w:tcPr>
            <w:tcW w:w="566" w:type="dxa"/>
            <w:hideMark/>
          </w:tcPr>
          <w:p w14:paraId="44C43C46" w14:textId="77777777" w:rsidR="00D63C0E" w:rsidRDefault="00D63C0E" w:rsidP="00400DD1">
            <w:pPr>
              <w:pBdr>
                <w:bottom w:val="double" w:sz="4" w:space="1" w:color="auto"/>
              </w:pBdr>
              <w:ind w:left="144" w:hanging="144"/>
              <w:jc w:val="left"/>
              <w:rPr>
                <w:b/>
                <w:bCs/>
                <w:color w:val="000000"/>
                <w:sz w:val="16"/>
                <w:szCs w:val="16"/>
                <w:rtl/>
                <w:lang w:eastAsia="he-IL"/>
              </w:rPr>
            </w:pPr>
            <w:r>
              <w:rPr>
                <w:rFonts w:hint="cs"/>
                <w:b/>
                <w:bCs/>
                <w:sz w:val="18"/>
                <w:szCs w:val="18"/>
                <w:rtl/>
              </w:rPr>
              <w:t>0</w:t>
            </w:r>
          </w:p>
        </w:tc>
      </w:tr>
      <w:tr w:rsidR="00D63C0E" w14:paraId="29E91FFD" w14:textId="77777777" w:rsidTr="00400DD1">
        <w:tc>
          <w:tcPr>
            <w:tcW w:w="941" w:type="dxa"/>
          </w:tcPr>
          <w:p w14:paraId="08F2613D" w14:textId="77777777" w:rsidR="00D63C0E" w:rsidRDefault="00D63C0E" w:rsidP="00400DD1">
            <w:pPr>
              <w:bidi w:val="0"/>
              <w:spacing w:line="60" w:lineRule="exact"/>
              <w:rPr>
                <w:sz w:val="14"/>
                <w:szCs w:val="14"/>
                <w:rtl/>
              </w:rPr>
            </w:pPr>
          </w:p>
        </w:tc>
        <w:tc>
          <w:tcPr>
            <w:tcW w:w="1701" w:type="dxa"/>
            <w:vAlign w:val="bottom"/>
          </w:tcPr>
          <w:p w14:paraId="55890D5E" w14:textId="77777777" w:rsidR="00D63C0E" w:rsidRDefault="00D63C0E" w:rsidP="00400DD1">
            <w:pPr>
              <w:bidi w:val="0"/>
              <w:spacing w:line="60" w:lineRule="exact"/>
              <w:ind w:left="144" w:hanging="144"/>
              <w:rPr>
                <w:b/>
                <w:bCs/>
                <w:color w:val="000000"/>
                <w:rtl/>
                <w:lang w:eastAsia="he-IL"/>
              </w:rPr>
            </w:pPr>
          </w:p>
        </w:tc>
        <w:tc>
          <w:tcPr>
            <w:tcW w:w="1134" w:type="dxa"/>
          </w:tcPr>
          <w:p w14:paraId="05D2AF6F" w14:textId="77777777" w:rsidR="00D63C0E" w:rsidRDefault="00D63C0E" w:rsidP="00400DD1">
            <w:pPr>
              <w:bidi w:val="0"/>
              <w:spacing w:line="60" w:lineRule="exact"/>
              <w:rPr>
                <w:rtl/>
              </w:rPr>
            </w:pPr>
          </w:p>
        </w:tc>
        <w:tc>
          <w:tcPr>
            <w:tcW w:w="992" w:type="dxa"/>
          </w:tcPr>
          <w:p w14:paraId="7EA0F875" w14:textId="77777777" w:rsidR="00D63C0E" w:rsidRDefault="00D63C0E" w:rsidP="00400DD1">
            <w:pPr>
              <w:bidi w:val="0"/>
              <w:spacing w:line="60" w:lineRule="exact"/>
              <w:rPr>
                <w:rtl/>
              </w:rPr>
            </w:pPr>
          </w:p>
        </w:tc>
        <w:tc>
          <w:tcPr>
            <w:tcW w:w="1134" w:type="dxa"/>
          </w:tcPr>
          <w:p w14:paraId="0068971F" w14:textId="77777777" w:rsidR="00D63C0E" w:rsidRDefault="00D63C0E" w:rsidP="00400DD1">
            <w:pPr>
              <w:bidi w:val="0"/>
              <w:spacing w:line="60" w:lineRule="exact"/>
              <w:rPr>
                <w:rtl/>
              </w:rPr>
            </w:pPr>
          </w:p>
        </w:tc>
        <w:tc>
          <w:tcPr>
            <w:tcW w:w="992" w:type="dxa"/>
          </w:tcPr>
          <w:p w14:paraId="477A220E" w14:textId="77777777" w:rsidR="00D63C0E" w:rsidRDefault="00D63C0E" w:rsidP="00400DD1">
            <w:pPr>
              <w:bidi w:val="0"/>
              <w:spacing w:line="60" w:lineRule="exact"/>
              <w:rPr>
                <w:rtl/>
              </w:rPr>
            </w:pPr>
          </w:p>
        </w:tc>
        <w:tc>
          <w:tcPr>
            <w:tcW w:w="993" w:type="dxa"/>
          </w:tcPr>
          <w:p w14:paraId="337949DB" w14:textId="77777777" w:rsidR="00D63C0E" w:rsidRDefault="00D63C0E" w:rsidP="00400DD1">
            <w:pPr>
              <w:bidi w:val="0"/>
              <w:spacing w:line="60" w:lineRule="exact"/>
              <w:rPr>
                <w:rtl/>
              </w:rPr>
            </w:pPr>
          </w:p>
        </w:tc>
        <w:tc>
          <w:tcPr>
            <w:tcW w:w="992" w:type="dxa"/>
          </w:tcPr>
          <w:p w14:paraId="4F132575" w14:textId="77777777" w:rsidR="00D63C0E" w:rsidRDefault="00D63C0E" w:rsidP="00400DD1">
            <w:pPr>
              <w:bidi w:val="0"/>
              <w:spacing w:line="60" w:lineRule="exact"/>
              <w:rPr>
                <w:rtl/>
              </w:rPr>
            </w:pPr>
          </w:p>
        </w:tc>
        <w:tc>
          <w:tcPr>
            <w:tcW w:w="709" w:type="dxa"/>
          </w:tcPr>
          <w:p w14:paraId="2C90DD9C" w14:textId="77777777" w:rsidR="00D63C0E" w:rsidRDefault="00D63C0E" w:rsidP="00400DD1">
            <w:pPr>
              <w:bidi w:val="0"/>
              <w:spacing w:line="60" w:lineRule="exact"/>
              <w:rPr>
                <w:rtl/>
              </w:rPr>
            </w:pPr>
          </w:p>
        </w:tc>
        <w:tc>
          <w:tcPr>
            <w:tcW w:w="566" w:type="dxa"/>
          </w:tcPr>
          <w:p w14:paraId="4C9276EC" w14:textId="77777777" w:rsidR="00D63C0E" w:rsidRDefault="00D63C0E" w:rsidP="00400DD1">
            <w:pPr>
              <w:bidi w:val="0"/>
              <w:spacing w:line="60" w:lineRule="exact"/>
              <w:rPr>
                <w:rtl/>
              </w:rPr>
            </w:pPr>
          </w:p>
        </w:tc>
      </w:tr>
    </w:tbl>
    <w:p w14:paraId="25DCAFFC" w14:textId="77777777" w:rsidR="00D63C0E" w:rsidRDefault="00D63C0E"/>
    <w:bookmarkEnd w:id="50"/>
    <w:p w14:paraId="2F37075B" w14:textId="77777777" w:rsidR="00E36A2E" w:rsidRDefault="00E36A2E"/>
    <w:p w14:paraId="68086F86" w14:textId="4C5AE912" w:rsidR="00E36A2E" w:rsidRDefault="00E36A2E">
      <w:pPr>
        <w:rPr>
          <w:rtl/>
        </w:rPr>
      </w:pPr>
    </w:p>
    <w:p w14:paraId="56AC392B" w14:textId="4F74C2A3" w:rsidR="00E36A2E" w:rsidRDefault="00E36A2E">
      <w:pPr>
        <w:bidi w:val="0"/>
        <w:jc w:val="left"/>
      </w:pPr>
      <w:r>
        <w:rPr>
          <w:rtl/>
        </w:rPr>
        <w:br w:type="page"/>
      </w:r>
    </w:p>
    <w:p w14:paraId="4D5BB48A" w14:textId="77777777" w:rsidR="00E36A2E" w:rsidRDefault="00E36A2E"/>
    <w:tbl>
      <w:tblPr>
        <w:bidiVisual/>
        <w:tblW w:w="5000" w:type="pct"/>
        <w:tblInd w:w="-4" w:type="dxa"/>
        <w:tblLayout w:type="fixed"/>
        <w:tblLook w:val="04A0" w:firstRow="1" w:lastRow="0" w:firstColumn="1" w:lastColumn="0" w:noHBand="0" w:noVBand="1"/>
      </w:tblPr>
      <w:tblGrid>
        <w:gridCol w:w="993"/>
        <w:gridCol w:w="425"/>
        <w:gridCol w:w="8789"/>
      </w:tblGrid>
      <w:tr w:rsidR="00920D64" w:rsidRPr="00543C25" w14:paraId="6E743549" w14:textId="77777777" w:rsidTr="00E63B86">
        <w:trPr>
          <w:trHeight w:val="259"/>
        </w:trPr>
        <w:tc>
          <w:tcPr>
            <w:tcW w:w="993" w:type="dxa"/>
          </w:tcPr>
          <w:p w14:paraId="4EED85B3" w14:textId="77777777" w:rsidR="00F32A2A" w:rsidRDefault="00F32A2A">
            <w:pPr>
              <w:pStyle w:val="-fa"/>
              <w:spacing w:before="0" w:after="60"/>
              <w:rPr>
                <w:rtl/>
              </w:rPr>
            </w:pPr>
          </w:p>
        </w:tc>
        <w:tc>
          <w:tcPr>
            <w:tcW w:w="9214" w:type="dxa"/>
            <w:gridSpan w:val="2"/>
          </w:tcPr>
          <w:p w14:paraId="092F1639" w14:textId="77777777" w:rsidR="00F32A2A" w:rsidRDefault="00064F72" w:rsidP="00316579">
            <w:pPr>
              <w:pStyle w:val="-8"/>
              <w:rPr>
                <w:rtl/>
              </w:rPr>
            </w:pPr>
            <w:r w:rsidRPr="00CF2A74">
              <w:rPr>
                <w:rtl/>
              </w:rPr>
              <w:t xml:space="preserve">ביאור </w:t>
            </w:r>
            <w:r>
              <w:rPr>
                <w:rFonts w:hint="cs"/>
                <w:rtl/>
              </w:rPr>
              <w:t>1</w:t>
            </w:r>
            <w:r w:rsidR="00316579">
              <w:rPr>
                <w:rFonts w:hint="cs"/>
                <w:rtl/>
              </w:rPr>
              <w:t>2</w:t>
            </w:r>
            <w:r w:rsidRPr="00CF2A74">
              <w:rPr>
                <w:rtl/>
              </w:rPr>
              <w:t xml:space="preserve">  -  </w:t>
            </w:r>
            <w:r>
              <w:rPr>
                <w:rFonts w:hint="cs"/>
                <w:rtl/>
              </w:rPr>
              <w:t xml:space="preserve">מידע נוסף על </w:t>
            </w:r>
            <w:r w:rsidRPr="00CF2A74">
              <w:rPr>
                <w:rtl/>
              </w:rPr>
              <w:t>סיכון אשראי, אשראי לציבור והפרשה להפסדי אשראי</w:t>
            </w:r>
            <w:r>
              <w:rPr>
                <w:rFonts w:hint="cs"/>
                <w:rtl/>
              </w:rPr>
              <w:t xml:space="preserve"> (המשך):</w:t>
            </w:r>
          </w:p>
        </w:tc>
      </w:tr>
      <w:tr w:rsidR="00385275" w:rsidRPr="007363C7" w14:paraId="1192A7C7" w14:textId="77777777" w:rsidTr="00E63B86">
        <w:tblPrEx>
          <w:jc w:val="right"/>
          <w:tblInd w:w="0" w:type="dxa"/>
          <w:tblLook w:val="0000" w:firstRow="0" w:lastRow="0" w:firstColumn="0" w:lastColumn="0" w:noHBand="0" w:noVBand="0"/>
        </w:tblPrEx>
        <w:trPr>
          <w:trHeight w:val="245"/>
          <w:jc w:val="right"/>
        </w:trPr>
        <w:tc>
          <w:tcPr>
            <w:tcW w:w="993" w:type="dxa"/>
          </w:tcPr>
          <w:p w14:paraId="1A717E52" w14:textId="77777777" w:rsidR="00E63B86" w:rsidRDefault="00B44059" w:rsidP="00E63B86">
            <w:pPr>
              <w:pStyle w:val="-7"/>
              <w:spacing w:line="240" w:lineRule="auto"/>
              <w:rPr>
                <w:spacing w:val="-4"/>
                <w:sz w:val="14"/>
                <w:szCs w:val="14"/>
                <w:rtl/>
              </w:rPr>
            </w:pPr>
            <w:r w:rsidRPr="00B44059">
              <w:rPr>
                <w:rFonts w:hint="eastAsia"/>
                <w:spacing w:val="-4"/>
                <w:sz w:val="14"/>
                <w:szCs w:val="14"/>
                <w:rtl/>
              </w:rPr>
              <w:t>מתכונת</w:t>
            </w:r>
            <w:r w:rsidRPr="00B44059">
              <w:rPr>
                <w:spacing w:val="-4"/>
                <w:sz w:val="14"/>
                <w:szCs w:val="14"/>
                <w:rtl/>
              </w:rPr>
              <w:t xml:space="preserve"> ביאור</w:t>
            </w:r>
          </w:p>
          <w:p w14:paraId="7B2D34A4" w14:textId="6E3C4D61" w:rsidR="00F32A2A" w:rsidRDefault="00B44059" w:rsidP="00E63B86">
            <w:pPr>
              <w:pStyle w:val="-7"/>
              <w:spacing w:line="240" w:lineRule="auto"/>
              <w:rPr>
                <w:spacing w:val="-4"/>
                <w:sz w:val="14"/>
                <w:szCs w:val="14"/>
                <w:rtl/>
              </w:rPr>
            </w:pPr>
            <w:r w:rsidRPr="00B44059">
              <w:rPr>
                <w:spacing w:val="-4"/>
                <w:sz w:val="14"/>
                <w:szCs w:val="14"/>
                <w:rtl/>
              </w:rPr>
              <w:t xml:space="preserve"> </w:t>
            </w:r>
            <w:r w:rsidRPr="00B44059">
              <w:rPr>
                <w:rFonts w:hint="eastAsia"/>
                <w:spacing w:val="-4"/>
                <w:sz w:val="14"/>
                <w:szCs w:val="14"/>
                <w:rtl/>
              </w:rPr>
              <w:t>עמ</w:t>
            </w:r>
            <w:r w:rsidRPr="00B44059">
              <w:rPr>
                <w:spacing w:val="-4"/>
                <w:sz w:val="14"/>
                <w:szCs w:val="14"/>
                <w:rtl/>
              </w:rPr>
              <w:t>' 663-52</w:t>
            </w:r>
          </w:p>
        </w:tc>
        <w:tc>
          <w:tcPr>
            <w:tcW w:w="425" w:type="dxa"/>
          </w:tcPr>
          <w:p w14:paraId="104972FD" w14:textId="77777777" w:rsidR="00CF2A74" w:rsidRDefault="00385275" w:rsidP="007000FB">
            <w:pPr>
              <w:pStyle w:val="-f4"/>
              <w:spacing w:line="240" w:lineRule="auto"/>
              <w:jc w:val="left"/>
              <w:rPr>
                <w:rtl/>
              </w:rPr>
            </w:pPr>
            <w:r>
              <w:rPr>
                <w:rFonts w:hint="cs"/>
                <w:rtl/>
              </w:rPr>
              <w:t>ב.</w:t>
            </w:r>
          </w:p>
        </w:tc>
        <w:tc>
          <w:tcPr>
            <w:tcW w:w="8789" w:type="dxa"/>
          </w:tcPr>
          <w:p w14:paraId="6CCD0DAD" w14:textId="7A55AB77" w:rsidR="00CF2A74" w:rsidRDefault="00785FB0" w:rsidP="007000FB">
            <w:pPr>
              <w:pStyle w:val="-f4"/>
              <w:spacing w:line="240" w:lineRule="auto"/>
              <w:jc w:val="left"/>
              <w:rPr>
                <w:rtl/>
              </w:rPr>
            </w:pPr>
            <w:r>
              <w:rPr>
                <w:rFonts w:hint="cs"/>
                <w:rtl/>
              </w:rPr>
              <w:t>אשראי לציבור</w:t>
            </w:r>
            <w:r w:rsidR="00CF2A74" w:rsidRPr="00CF2A74">
              <w:rPr>
                <w:rtl/>
              </w:rPr>
              <w:t xml:space="preserve"> (המשך):</w:t>
            </w:r>
          </w:p>
        </w:tc>
      </w:tr>
      <w:tr w:rsidR="00385275" w:rsidRPr="007363C7" w14:paraId="19091448" w14:textId="77777777" w:rsidTr="00E63B86">
        <w:tblPrEx>
          <w:jc w:val="right"/>
          <w:tblInd w:w="0" w:type="dxa"/>
          <w:tblLook w:val="0000" w:firstRow="0" w:lastRow="0" w:firstColumn="0" w:lastColumn="0" w:noHBand="0" w:noVBand="0"/>
        </w:tblPrEx>
        <w:trPr>
          <w:trHeight w:val="245"/>
          <w:jc w:val="right"/>
        </w:trPr>
        <w:tc>
          <w:tcPr>
            <w:tcW w:w="993" w:type="dxa"/>
          </w:tcPr>
          <w:p w14:paraId="423B2F92" w14:textId="77777777" w:rsidR="00CF2A74" w:rsidRDefault="00CF2A74" w:rsidP="007000FB">
            <w:pPr>
              <w:pStyle w:val="-fa"/>
              <w:spacing w:after="60"/>
              <w:ind w:right="-142"/>
              <w:rPr>
                <w:rtl/>
              </w:rPr>
            </w:pPr>
          </w:p>
        </w:tc>
        <w:tc>
          <w:tcPr>
            <w:tcW w:w="425" w:type="dxa"/>
          </w:tcPr>
          <w:p w14:paraId="739CC94E" w14:textId="77777777" w:rsidR="00CF2A74" w:rsidRDefault="00CF2A74" w:rsidP="007000FB">
            <w:pPr>
              <w:pStyle w:val="-f4"/>
              <w:spacing w:line="240" w:lineRule="auto"/>
              <w:jc w:val="left"/>
              <w:rPr>
                <w:rtl/>
              </w:rPr>
            </w:pPr>
          </w:p>
        </w:tc>
        <w:tc>
          <w:tcPr>
            <w:tcW w:w="8789" w:type="dxa"/>
          </w:tcPr>
          <w:p w14:paraId="60E3AA4C" w14:textId="77777777" w:rsidR="00CF2A74" w:rsidRPr="00CF2A74" w:rsidRDefault="00CF2A74" w:rsidP="00BF7750">
            <w:pPr>
              <w:pStyle w:val="-24"/>
              <w:tabs>
                <w:tab w:val="clear" w:pos="893"/>
              </w:tabs>
              <w:spacing w:line="240" w:lineRule="auto"/>
              <w:ind w:left="351" w:hanging="351"/>
              <w:rPr>
                <w:b/>
                <w:bCs/>
                <w:rtl/>
              </w:rPr>
            </w:pPr>
            <w:r w:rsidRPr="00CF2A74">
              <w:rPr>
                <w:b/>
                <w:bCs/>
                <w:rtl/>
              </w:rPr>
              <w:t>3.</w:t>
            </w:r>
            <w:r w:rsidRPr="00CF2A74">
              <w:rPr>
                <w:b/>
                <w:bCs/>
                <w:rtl/>
              </w:rPr>
              <w:tab/>
            </w:r>
            <w:r w:rsidRPr="00CF2A74">
              <w:rPr>
                <w:rFonts w:hint="eastAsia"/>
                <w:b/>
                <w:bCs/>
                <w:rtl/>
              </w:rPr>
              <w:t>מידע</w:t>
            </w:r>
            <w:r w:rsidRPr="00CF2A74">
              <w:rPr>
                <w:b/>
                <w:bCs/>
                <w:rtl/>
              </w:rPr>
              <w:t xml:space="preserve"> </w:t>
            </w:r>
            <w:r w:rsidRPr="00CF2A74">
              <w:rPr>
                <w:rFonts w:hint="eastAsia"/>
                <w:b/>
                <w:bCs/>
                <w:rtl/>
              </w:rPr>
              <w:t>נוסף</w:t>
            </w:r>
            <w:r w:rsidRPr="00CF2A74">
              <w:rPr>
                <w:b/>
                <w:bCs/>
                <w:rtl/>
              </w:rPr>
              <w:t xml:space="preserve"> </w:t>
            </w:r>
            <w:r w:rsidRPr="00CF2A74">
              <w:rPr>
                <w:rFonts w:hint="eastAsia"/>
                <w:b/>
                <w:bCs/>
                <w:rtl/>
              </w:rPr>
              <w:t>על</w:t>
            </w:r>
            <w:r w:rsidRPr="00CF2A74">
              <w:rPr>
                <w:b/>
                <w:bCs/>
                <w:rtl/>
              </w:rPr>
              <w:t xml:space="preserve"> </w:t>
            </w:r>
            <w:r w:rsidRPr="00CF2A74">
              <w:rPr>
                <w:rFonts w:hint="eastAsia"/>
                <w:b/>
                <w:bCs/>
                <w:rtl/>
              </w:rPr>
              <w:t>הלוואות</w:t>
            </w:r>
            <w:r w:rsidRPr="00CF2A74">
              <w:rPr>
                <w:b/>
                <w:bCs/>
                <w:rtl/>
              </w:rPr>
              <w:t xml:space="preserve"> </w:t>
            </w:r>
            <w:r w:rsidRPr="00CF2A74">
              <w:rPr>
                <w:rFonts w:hint="eastAsia"/>
                <w:b/>
                <w:bCs/>
                <w:rtl/>
              </w:rPr>
              <w:t>לדיור</w:t>
            </w:r>
            <w:r w:rsidRPr="00CF2A74">
              <w:rPr>
                <w:b/>
                <w:bCs/>
                <w:rtl/>
              </w:rPr>
              <w:t>:</w:t>
            </w:r>
            <w:r w:rsidRPr="00E704F0">
              <w:rPr>
                <w:b/>
                <w:bCs/>
                <w:sz w:val="18"/>
                <w:szCs w:val="18"/>
                <w:vertAlign w:val="superscript"/>
                <w:rtl/>
              </w:rPr>
              <w:t>[</w:t>
            </w:r>
            <w:r w:rsidRPr="00E704F0">
              <w:rPr>
                <w:rStyle w:val="a7"/>
                <w:b/>
                <w:bCs/>
                <w:sz w:val="18"/>
                <w:szCs w:val="18"/>
                <w:rtl/>
              </w:rPr>
              <w:footnoteReference w:id="107"/>
            </w:r>
            <w:r w:rsidRPr="00E704F0">
              <w:rPr>
                <w:b/>
                <w:bCs/>
                <w:sz w:val="18"/>
                <w:szCs w:val="18"/>
                <w:vertAlign w:val="superscript"/>
                <w:rtl/>
              </w:rPr>
              <w:t>]</w:t>
            </w:r>
          </w:p>
        </w:tc>
      </w:tr>
      <w:tr w:rsidR="00385275" w:rsidRPr="00BF7750" w14:paraId="51FE012A" w14:textId="77777777" w:rsidTr="00E63B86">
        <w:tblPrEx>
          <w:jc w:val="right"/>
          <w:tblInd w:w="0" w:type="dxa"/>
          <w:tblLook w:val="0000" w:firstRow="0" w:lastRow="0" w:firstColumn="0" w:lastColumn="0" w:noHBand="0" w:noVBand="0"/>
        </w:tblPrEx>
        <w:trPr>
          <w:trHeight w:val="245"/>
          <w:jc w:val="right"/>
        </w:trPr>
        <w:tc>
          <w:tcPr>
            <w:tcW w:w="993" w:type="dxa"/>
          </w:tcPr>
          <w:p w14:paraId="0C5BCC80" w14:textId="77777777" w:rsidR="00CF2A74" w:rsidRPr="00BF7750" w:rsidRDefault="00CF2A74" w:rsidP="007000FB">
            <w:pPr>
              <w:pStyle w:val="-7"/>
              <w:spacing w:before="60" w:after="60" w:line="240" w:lineRule="auto"/>
              <w:rPr>
                <w:sz w:val="18"/>
                <w:szCs w:val="18"/>
                <w:rtl/>
              </w:rPr>
            </w:pPr>
          </w:p>
        </w:tc>
        <w:tc>
          <w:tcPr>
            <w:tcW w:w="425" w:type="dxa"/>
          </w:tcPr>
          <w:p w14:paraId="38C102C6" w14:textId="77777777" w:rsidR="00CF2A74" w:rsidRPr="00BF7750" w:rsidRDefault="00CF2A74" w:rsidP="007000FB">
            <w:pPr>
              <w:pStyle w:val="-f4"/>
              <w:spacing w:line="240" w:lineRule="auto"/>
              <w:jc w:val="left"/>
              <w:rPr>
                <w:sz w:val="18"/>
                <w:szCs w:val="18"/>
                <w:rtl/>
              </w:rPr>
            </w:pPr>
          </w:p>
        </w:tc>
        <w:tc>
          <w:tcPr>
            <w:tcW w:w="8789" w:type="dxa"/>
          </w:tcPr>
          <w:p w14:paraId="5F942937" w14:textId="3A5A8DDF" w:rsidR="00CF2A74" w:rsidRPr="00BF7750" w:rsidRDefault="00BF7750" w:rsidP="00BF7750">
            <w:pPr>
              <w:pStyle w:val="-20"/>
              <w:spacing w:line="240" w:lineRule="auto"/>
              <w:ind w:left="454" w:hanging="153"/>
              <w:rPr>
                <w:b/>
                <w:bCs/>
                <w:sz w:val="18"/>
                <w:szCs w:val="18"/>
                <w:rtl/>
              </w:rPr>
            </w:pPr>
            <w:r w:rsidRPr="00BF7750">
              <w:rPr>
                <w:rFonts w:hint="cs"/>
                <w:b/>
                <w:bCs/>
                <w:sz w:val="18"/>
                <w:szCs w:val="18"/>
                <w:rtl/>
              </w:rPr>
              <w:t xml:space="preserve">  </w:t>
            </w:r>
            <w:r w:rsidR="00B44059" w:rsidRPr="00BF7750">
              <w:rPr>
                <w:rFonts w:hint="eastAsia"/>
                <w:b/>
                <w:bCs/>
                <w:sz w:val="18"/>
                <w:szCs w:val="18"/>
                <w:rtl/>
              </w:rPr>
              <w:t>יתרות</w:t>
            </w:r>
            <w:r w:rsidR="00B44059" w:rsidRPr="00BF7750">
              <w:rPr>
                <w:b/>
                <w:bCs/>
                <w:sz w:val="18"/>
                <w:szCs w:val="18"/>
                <w:rtl/>
              </w:rPr>
              <w:t xml:space="preserve"> </w:t>
            </w:r>
            <w:r w:rsidR="00B44059" w:rsidRPr="00BF7750">
              <w:rPr>
                <w:rFonts w:hint="eastAsia"/>
                <w:b/>
                <w:bCs/>
                <w:sz w:val="18"/>
                <w:szCs w:val="18"/>
                <w:rtl/>
              </w:rPr>
              <w:t>לסוף</w:t>
            </w:r>
            <w:r w:rsidR="00B44059" w:rsidRPr="00BF7750">
              <w:rPr>
                <w:b/>
                <w:bCs/>
                <w:sz w:val="18"/>
                <w:szCs w:val="18"/>
                <w:rtl/>
              </w:rPr>
              <w:t xml:space="preserve"> </w:t>
            </w:r>
            <w:r w:rsidR="00B44059" w:rsidRPr="00BF7750">
              <w:rPr>
                <w:rFonts w:hint="eastAsia"/>
                <w:b/>
                <w:bCs/>
                <w:sz w:val="18"/>
                <w:szCs w:val="18"/>
                <w:rtl/>
              </w:rPr>
              <w:t>תקופה</w:t>
            </w:r>
            <w:r w:rsidR="00B44059" w:rsidRPr="00BF7750">
              <w:rPr>
                <w:b/>
                <w:bCs/>
                <w:sz w:val="18"/>
                <w:szCs w:val="18"/>
                <w:rtl/>
              </w:rPr>
              <w:t xml:space="preserve"> </w:t>
            </w:r>
            <w:r w:rsidR="00B44059" w:rsidRPr="00BF7750">
              <w:rPr>
                <w:rFonts w:hint="eastAsia"/>
                <w:b/>
                <w:bCs/>
                <w:sz w:val="18"/>
                <w:szCs w:val="18"/>
                <w:rtl/>
              </w:rPr>
              <w:t>לפי</w:t>
            </w:r>
            <w:r w:rsidR="00B44059" w:rsidRPr="00BF7750">
              <w:rPr>
                <w:b/>
                <w:bCs/>
                <w:sz w:val="18"/>
                <w:szCs w:val="18"/>
                <w:rtl/>
              </w:rPr>
              <w:t xml:space="preserve"> </w:t>
            </w:r>
            <w:r w:rsidR="00B44059" w:rsidRPr="00BF7750">
              <w:rPr>
                <w:rFonts w:hint="eastAsia"/>
                <w:b/>
                <w:bCs/>
                <w:sz w:val="18"/>
                <w:szCs w:val="18"/>
                <w:rtl/>
              </w:rPr>
              <w:t>שיעור</w:t>
            </w:r>
            <w:r w:rsidR="00B44059" w:rsidRPr="00BF7750">
              <w:rPr>
                <w:b/>
                <w:bCs/>
                <w:sz w:val="18"/>
                <w:szCs w:val="18"/>
                <w:rtl/>
              </w:rPr>
              <w:t xml:space="preserve"> </w:t>
            </w:r>
            <w:r w:rsidR="00B44059" w:rsidRPr="00BF7750">
              <w:rPr>
                <w:rFonts w:hint="eastAsia"/>
                <w:b/>
                <w:bCs/>
                <w:sz w:val="18"/>
                <w:szCs w:val="18"/>
                <w:rtl/>
              </w:rPr>
              <w:t>המימון</w:t>
            </w:r>
            <w:r w:rsidR="00B44059" w:rsidRPr="00BF7750">
              <w:rPr>
                <w:b/>
                <w:bCs/>
                <w:sz w:val="18"/>
                <w:szCs w:val="18"/>
                <w:rtl/>
              </w:rPr>
              <w:t xml:space="preserve"> (</w:t>
            </w:r>
            <w:r w:rsidR="00B44059" w:rsidRPr="00BF7750">
              <w:rPr>
                <w:b/>
                <w:bCs/>
                <w:sz w:val="18"/>
                <w:szCs w:val="18"/>
              </w:rPr>
              <w:t>LTV</w:t>
            </w:r>
            <w:r w:rsidR="00B44059" w:rsidRPr="00BF7750">
              <w:rPr>
                <w:b/>
                <w:bCs/>
                <w:sz w:val="18"/>
                <w:szCs w:val="18"/>
                <w:rtl/>
              </w:rPr>
              <w:t>)</w:t>
            </w:r>
            <w:r w:rsidR="00B44059" w:rsidRPr="00BF7750">
              <w:rPr>
                <w:b/>
                <w:bCs/>
                <w:sz w:val="18"/>
                <w:szCs w:val="18"/>
                <w:vertAlign w:val="superscript"/>
                <w:rtl/>
              </w:rPr>
              <w:t>(א)</w:t>
            </w:r>
            <w:r w:rsidR="00B44059" w:rsidRPr="00BF7750">
              <w:rPr>
                <w:b/>
                <w:bCs/>
                <w:sz w:val="18"/>
                <w:szCs w:val="18"/>
                <w:rtl/>
              </w:rPr>
              <w:t xml:space="preserve">, </w:t>
            </w:r>
            <w:r w:rsidR="00B44059" w:rsidRPr="00BF7750">
              <w:rPr>
                <w:rFonts w:hint="eastAsia"/>
                <w:b/>
                <w:bCs/>
                <w:sz w:val="18"/>
                <w:szCs w:val="18"/>
                <w:rtl/>
              </w:rPr>
              <w:t>סוג</w:t>
            </w:r>
            <w:r w:rsidR="00B44059" w:rsidRPr="00BF7750">
              <w:rPr>
                <w:b/>
                <w:bCs/>
                <w:sz w:val="18"/>
                <w:szCs w:val="18"/>
                <w:rtl/>
              </w:rPr>
              <w:t xml:space="preserve"> </w:t>
            </w:r>
            <w:r w:rsidR="00B44059" w:rsidRPr="00BF7750">
              <w:rPr>
                <w:rFonts w:hint="eastAsia"/>
                <w:b/>
                <w:bCs/>
                <w:sz w:val="18"/>
                <w:szCs w:val="18"/>
                <w:rtl/>
              </w:rPr>
              <w:t>החזר</w:t>
            </w:r>
            <w:r w:rsidR="00B44059" w:rsidRPr="00BF7750">
              <w:rPr>
                <w:b/>
                <w:bCs/>
                <w:sz w:val="18"/>
                <w:szCs w:val="18"/>
                <w:rtl/>
              </w:rPr>
              <w:t xml:space="preserve"> </w:t>
            </w:r>
            <w:r w:rsidR="00B44059" w:rsidRPr="00BF7750">
              <w:rPr>
                <w:rFonts w:hint="eastAsia"/>
                <w:b/>
                <w:bCs/>
                <w:sz w:val="18"/>
                <w:szCs w:val="18"/>
                <w:rtl/>
              </w:rPr>
              <w:t>וסוג</w:t>
            </w:r>
            <w:r w:rsidR="00B44059" w:rsidRPr="00BF7750">
              <w:rPr>
                <w:b/>
                <w:bCs/>
                <w:sz w:val="18"/>
                <w:szCs w:val="18"/>
                <w:rtl/>
              </w:rPr>
              <w:t xml:space="preserve"> </w:t>
            </w:r>
            <w:r w:rsidR="00B44059" w:rsidRPr="00BF7750">
              <w:rPr>
                <w:rFonts w:hint="eastAsia"/>
                <w:b/>
                <w:bCs/>
                <w:sz w:val="18"/>
                <w:szCs w:val="18"/>
                <w:rtl/>
              </w:rPr>
              <w:t>הריבית</w:t>
            </w:r>
            <w:r w:rsidR="00B44059" w:rsidRPr="00BF7750">
              <w:rPr>
                <w:b/>
                <w:bCs/>
                <w:sz w:val="18"/>
                <w:szCs w:val="18"/>
                <w:rtl/>
              </w:rPr>
              <w:t>:</w:t>
            </w:r>
            <w:r w:rsidR="00F00F80">
              <w:rPr>
                <w:rFonts w:hint="cs"/>
                <w:b/>
                <w:bCs/>
                <w:sz w:val="18"/>
                <w:szCs w:val="18"/>
                <w:rtl/>
              </w:rPr>
              <w:t xml:space="preserve">   </w:t>
            </w:r>
          </w:p>
        </w:tc>
      </w:tr>
    </w:tbl>
    <w:p w14:paraId="187F8E76" w14:textId="77777777" w:rsidR="00920D64" w:rsidRPr="00BF7750" w:rsidRDefault="00920D64" w:rsidP="00920D64">
      <w:pPr>
        <w:rPr>
          <w:sz w:val="18"/>
          <w:szCs w:val="18"/>
          <w:rtl/>
        </w:rPr>
      </w:pPr>
    </w:p>
    <w:tbl>
      <w:tblPr>
        <w:bidiVisual/>
        <w:tblW w:w="4983" w:type="pct"/>
        <w:tblLayout w:type="fixed"/>
        <w:tblLook w:val="01E0" w:firstRow="1" w:lastRow="1" w:firstColumn="1" w:lastColumn="1" w:noHBand="0" w:noVBand="0"/>
      </w:tblPr>
      <w:tblGrid>
        <w:gridCol w:w="970"/>
        <w:gridCol w:w="794"/>
        <w:gridCol w:w="3742"/>
        <w:gridCol w:w="992"/>
        <w:gridCol w:w="992"/>
        <w:gridCol w:w="1493"/>
        <w:gridCol w:w="1189"/>
      </w:tblGrid>
      <w:tr w:rsidR="00A502CD" w:rsidRPr="00BF7750" w14:paraId="7B65B5A4" w14:textId="77777777" w:rsidTr="004A285E">
        <w:trPr>
          <w:trHeight w:val="259"/>
        </w:trPr>
        <w:tc>
          <w:tcPr>
            <w:tcW w:w="970" w:type="dxa"/>
          </w:tcPr>
          <w:p w14:paraId="7089156A" w14:textId="77777777" w:rsidR="00A502CD" w:rsidRPr="00BF7750" w:rsidRDefault="00A502CD" w:rsidP="00A502CD">
            <w:pPr>
              <w:pStyle w:val="-7"/>
              <w:jc w:val="left"/>
              <w:rPr>
                <w:sz w:val="18"/>
                <w:szCs w:val="18"/>
                <w:rtl/>
              </w:rPr>
            </w:pPr>
          </w:p>
        </w:tc>
        <w:tc>
          <w:tcPr>
            <w:tcW w:w="794" w:type="dxa"/>
            <w:vAlign w:val="bottom"/>
          </w:tcPr>
          <w:p w14:paraId="56076776" w14:textId="77777777" w:rsidR="00A502CD" w:rsidRPr="00BF7750" w:rsidRDefault="00A502CD" w:rsidP="00A502CD">
            <w:pPr>
              <w:pStyle w:val="-7"/>
              <w:jc w:val="left"/>
              <w:rPr>
                <w:sz w:val="18"/>
                <w:szCs w:val="18"/>
                <w:rtl/>
              </w:rPr>
            </w:pPr>
          </w:p>
        </w:tc>
        <w:tc>
          <w:tcPr>
            <w:tcW w:w="3742" w:type="dxa"/>
            <w:vAlign w:val="bottom"/>
          </w:tcPr>
          <w:p w14:paraId="7518FFB1" w14:textId="77777777" w:rsidR="00A502CD" w:rsidRPr="00BF7750" w:rsidRDefault="00A502CD" w:rsidP="00A502CD">
            <w:pPr>
              <w:pStyle w:val="-0"/>
              <w:rPr>
                <w:sz w:val="18"/>
                <w:szCs w:val="18"/>
                <w:rtl/>
              </w:rPr>
            </w:pPr>
          </w:p>
        </w:tc>
        <w:tc>
          <w:tcPr>
            <w:tcW w:w="4666" w:type="dxa"/>
            <w:gridSpan w:val="4"/>
            <w:vAlign w:val="bottom"/>
          </w:tcPr>
          <w:p w14:paraId="5B1623BB" w14:textId="43910267" w:rsidR="00A502CD" w:rsidRPr="00BF7750" w:rsidRDefault="00A502CD" w:rsidP="00A502CD">
            <w:pPr>
              <w:pStyle w:val="-4"/>
              <w:spacing w:after="40" w:line="192" w:lineRule="auto"/>
              <w:rPr>
                <w:sz w:val="18"/>
                <w:szCs w:val="18"/>
                <w:rtl/>
              </w:rPr>
            </w:pPr>
            <w:r w:rsidRPr="00D63C0E">
              <w:rPr>
                <w:rFonts w:hint="cs"/>
                <w:sz w:val="18"/>
                <w:szCs w:val="18"/>
                <w:rtl/>
              </w:rPr>
              <w:t xml:space="preserve">ליום 30 ביוני </w:t>
            </w:r>
            <w:r w:rsidRPr="00D63C0E">
              <w:rPr>
                <w:b w:val="0"/>
                <w:bCs w:val="0"/>
                <w:sz w:val="18"/>
                <w:szCs w:val="18"/>
                <w:rtl/>
              </w:rPr>
              <w:fldChar w:fldCharType="begin"/>
            </w:r>
            <w:r w:rsidRPr="00D63C0E">
              <w:rPr>
                <w:sz w:val="18"/>
                <w:szCs w:val="18"/>
                <w:rtl/>
              </w:rPr>
              <w:instrText xml:space="preserve"> </w:instrText>
            </w:r>
            <w:r w:rsidRPr="00D63C0E">
              <w:rPr>
                <w:rFonts w:hint="cs"/>
                <w:sz w:val="18"/>
                <w:szCs w:val="18"/>
                <w:rtl/>
              </w:rPr>
              <w:instrText xml:space="preserve">= </w:instrText>
            </w:r>
            <w:r w:rsidRPr="00D63C0E">
              <w:rPr>
                <w:rFonts w:hint="cs"/>
                <w:sz w:val="18"/>
                <w:szCs w:val="18"/>
              </w:rPr>
              <w:instrText>CY \* MERGEFORMAT</w:instrText>
            </w:r>
            <w:r w:rsidRPr="00D63C0E">
              <w:rPr>
                <w:sz w:val="18"/>
                <w:szCs w:val="18"/>
                <w:rtl/>
              </w:rPr>
              <w:instrText xml:space="preserve"> </w:instrText>
            </w:r>
            <w:r w:rsidRPr="00D63C0E">
              <w:rPr>
                <w:b w:val="0"/>
                <w:bCs w:val="0"/>
                <w:sz w:val="18"/>
                <w:szCs w:val="18"/>
                <w:rtl/>
              </w:rPr>
              <w:fldChar w:fldCharType="separate"/>
            </w:r>
            <w:r w:rsidR="003A584F">
              <w:rPr>
                <w:noProof/>
                <w:sz w:val="18"/>
                <w:szCs w:val="18"/>
                <w:rtl/>
              </w:rPr>
              <w:t>2024</w:t>
            </w:r>
            <w:r w:rsidRPr="00D63C0E">
              <w:rPr>
                <w:b w:val="0"/>
                <w:bCs w:val="0"/>
                <w:sz w:val="18"/>
                <w:szCs w:val="18"/>
                <w:rtl/>
              </w:rPr>
              <w:fldChar w:fldCharType="end"/>
            </w:r>
            <w:r w:rsidRPr="00D63C0E">
              <w:rPr>
                <w:rFonts w:hint="cs"/>
                <w:b w:val="0"/>
                <w:bCs w:val="0"/>
                <w:sz w:val="18"/>
                <w:szCs w:val="18"/>
                <w:rtl/>
              </w:rPr>
              <w:t xml:space="preserve">  (בלתי מבוקר)</w:t>
            </w:r>
          </w:p>
        </w:tc>
      </w:tr>
      <w:tr w:rsidR="00064F72" w:rsidRPr="00BF7750" w14:paraId="29F0776D" w14:textId="77777777" w:rsidTr="004A285E">
        <w:trPr>
          <w:trHeight w:val="259"/>
        </w:trPr>
        <w:tc>
          <w:tcPr>
            <w:tcW w:w="970" w:type="dxa"/>
          </w:tcPr>
          <w:p w14:paraId="02C76FD5" w14:textId="77777777" w:rsidR="00064F72" w:rsidRPr="00BF7750" w:rsidRDefault="00064F72" w:rsidP="00064F72">
            <w:pPr>
              <w:pStyle w:val="-7"/>
              <w:jc w:val="left"/>
              <w:rPr>
                <w:sz w:val="18"/>
                <w:szCs w:val="18"/>
                <w:rtl/>
              </w:rPr>
            </w:pPr>
          </w:p>
        </w:tc>
        <w:tc>
          <w:tcPr>
            <w:tcW w:w="794" w:type="dxa"/>
            <w:vAlign w:val="bottom"/>
          </w:tcPr>
          <w:p w14:paraId="3819E1AC" w14:textId="77777777" w:rsidR="00064F72" w:rsidRPr="00BF7750" w:rsidRDefault="00064F72" w:rsidP="00064F72">
            <w:pPr>
              <w:pStyle w:val="-7"/>
              <w:jc w:val="left"/>
              <w:rPr>
                <w:sz w:val="18"/>
                <w:szCs w:val="18"/>
                <w:rtl/>
              </w:rPr>
            </w:pPr>
          </w:p>
        </w:tc>
        <w:tc>
          <w:tcPr>
            <w:tcW w:w="3742" w:type="dxa"/>
            <w:vAlign w:val="bottom"/>
          </w:tcPr>
          <w:p w14:paraId="53F357AA" w14:textId="77777777" w:rsidR="00064F72" w:rsidRPr="00BF7750" w:rsidRDefault="00064F72" w:rsidP="00064F72">
            <w:pPr>
              <w:pStyle w:val="-0"/>
              <w:rPr>
                <w:sz w:val="18"/>
                <w:szCs w:val="18"/>
                <w:rtl/>
              </w:rPr>
            </w:pPr>
          </w:p>
        </w:tc>
        <w:tc>
          <w:tcPr>
            <w:tcW w:w="3477" w:type="dxa"/>
            <w:gridSpan w:val="3"/>
            <w:vAlign w:val="bottom"/>
          </w:tcPr>
          <w:p w14:paraId="3976EDA0" w14:textId="77777777" w:rsidR="00F32A2A" w:rsidRPr="00BF7750" w:rsidRDefault="00064F72" w:rsidP="00F00F80">
            <w:pPr>
              <w:pStyle w:val="-4"/>
              <w:pBdr>
                <w:bottom w:val="single" w:sz="4" w:space="1" w:color="auto"/>
              </w:pBdr>
              <w:spacing w:line="192" w:lineRule="auto"/>
              <w:rPr>
                <w:b w:val="0"/>
                <w:bCs w:val="0"/>
                <w:sz w:val="18"/>
                <w:szCs w:val="18"/>
                <w:rtl/>
              </w:rPr>
            </w:pPr>
            <w:r w:rsidRPr="00BF7750">
              <w:rPr>
                <w:rFonts w:hint="eastAsia"/>
                <w:sz w:val="18"/>
                <w:szCs w:val="18"/>
                <w:rtl/>
              </w:rPr>
              <w:t>יתרת</w:t>
            </w:r>
            <w:r w:rsidRPr="00BF7750">
              <w:rPr>
                <w:sz w:val="18"/>
                <w:szCs w:val="18"/>
                <w:rtl/>
              </w:rPr>
              <w:t xml:space="preserve"> </w:t>
            </w:r>
            <w:r w:rsidRPr="00BF7750">
              <w:rPr>
                <w:rFonts w:hint="eastAsia"/>
                <w:sz w:val="18"/>
                <w:szCs w:val="18"/>
                <w:rtl/>
              </w:rPr>
              <w:t>הלוואות</w:t>
            </w:r>
            <w:r w:rsidRPr="00BF7750">
              <w:rPr>
                <w:sz w:val="18"/>
                <w:szCs w:val="18"/>
                <w:rtl/>
              </w:rPr>
              <w:t xml:space="preserve"> </w:t>
            </w:r>
            <w:r w:rsidRPr="00BF7750">
              <w:rPr>
                <w:rFonts w:hint="eastAsia"/>
                <w:sz w:val="18"/>
                <w:szCs w:val="18"/>
                <w:rtl/>
              </w:rPr>
              <w:t>לדיור</w:t>
            </w:r>
          </w:p>
        </w:tc>
        <w:tc>
          <w:tcPr>
            <w:tcW w:w="1189" w:type="dxa"/>
            <w:vAlign w:val="bottom"/>
          </w:tcPr>
          <w:p w14:paraId="2286D6F0" w14:textId="77777777" w:rsidR="00064F72" w:rsidRPr="00BF7750" w:rsidRDefault="00064F72" w:rsidP="00F00F80">
            <w:pPr>
              <w:pStyle w:val="-4"/>
              <w:spacing w:line="192" w:lineRule="auto"/>
              <w:rPr>
                <w:b w:val="0"/>
                <w:bCs w:val="0"/>
                <w:sz w:val="18"/>
                <w:szCs w:val="18"/>
                <w:rtl/>
              </w:rPr>
            </w:pPr>
            <w:r w:rsidRPr="00BF7750">
              <w:rPr>
                <w:rFonts w:hint="eastAsia"/>
                <w:sz w:val="18"/>
                <w:szCs w:val="18"/>
                <w:rtl/>
              </w:rPr>
              <w:t>סיכון</w:t>
            </w:r>
            <w:r w:rsidRPr="00BF7750">
              <w:rPr>
                <w:sz w:val="18"/>
                <w:szCs w:val="18"/>
                <w:rtl/>
              </w:rPr>
              <w:t xml:space="preserve"> </w:t>
            </w:r>
            <w:r w:rsidRPr="00BF7750">
              <w:rPr>
                <w:rFonts w:hint="eastAsia"/>
                <w:sz w:val="18"/>
                <w:szCs w:val="18"/>
                <w:rtl/>
              </w:rPr>
              <w:t>אשראי</w:t>
            </w:r>
            <w:r w:rsidRPr="00BF7750">
              <w:rPr>
                <w:b w:val="0"/>
                <w:bCs w:val="0"/>
                <w:sz w:val="18"/>
                <w:szCs w:val="18"/>
                <w:rtl/>
              </w:rPr>
              <w:t xml:space="preserve"> </w:t>
            </w:r>
            <w:r w:rsidRPr="00BF7750">
              <w:rPr>
                <w:rFonts w:hint="cs"/>
                <w:sz w:val="18"/>
                <w:szCs w:val="18"/>
                <w:rtl/>
              </w:rPr>
              <w:t>חוץ מאזני</w:t>
            </w:r>
          </w:p>
        </w:tc>
      </w:tr>
      <w:tr w:rsidR="00064F72" w:rsidRPr="00BF7750" w14:paraId="5928C56C" w14:textId="77777777" w:rsidTr="004A285E">
        <w:trPr>
          <w:trHeight w:val="259"/>
        </w:trPr>
        <w:tc>
          <w:tcPr>
            <w:tcW w:w="970" w:type="dxa"/>
          </w:tcPr>
          <w:p w14:paraId="092259F5" w14:textId="77777777" w:rsidR="00064F72" w:rsidRPr="00BF7750" w:rsidRDefault="00064F72" w:rsidP="00064F72">
            <w:pPr>
              <w:pStyle w:val="-7"/>
              <w:jc w:val="left"/>
              <w:rPr>
                <w:sz w:val="18"/>
                <w:szCs w:val="18"/>
                <w:rtl/>
              </w:rPr>
            </w:pPr>
          </w:p>
        </w:tc>
        <w:tc>
          <w:tcPr>
            <w:tcW w:w="794" w:type="dxa"/>
            <w:vAlign w:val="bottom"/>
          </w:tcPr>
          <w:p w14:paraId="05E1B8D1" w14:textId="77777777" w:rsidR="00064F72" w:rsidRPr="00BF7750" w:rsidRDefault="00064F72" w:rsidP="00064F72">
            <w:pPr>
              <w:pStyle w:val="-7"/>
              <w:jc w:val="left"/>
              <w:rPr>
                <w:sz w:val="18"/>
                <w:szCs w:val="18"/>
                <w:rtl/>
              </w:rPr>
            </w:pPr>
          </w:p>
        </w:tc>
        <w:tc>
          <w:tcPr>
            <w:tcW w:w="3742" w:type="dxa"/>
            <w:vAlign w:val="bottom"/>
          </w:tcPr>
          <w:p w14:paraId="3F7BCEDE" w14:textId="77777777" w:rsidR="00064F72" w:rsidRPr="00BF7750" w:rsidRDefault="00064F72" w:rsidP="00064F72">
            <w:pPr>
              <w:pStyle w:val="-0"/>
              <w:rPr>
                <w:sz w:val="18"/>
                <w:szCs w:val="18"/>
                <w:rtl/>
              </w:rPr>
            </w:pPr>
          </w:p>
        </w:tc>
        <w:tc>
          <w:tcPr>
            <w:tcW w:w="992" w:type="dxa"/>
            <w:vAlign w:val="bottom"/>
          </w:tcPr>
          <w:p w14:paraId="0BBBE32F" w14:textId="77777777" w:rsidR="00064F72" w:rsidRPr="004D099E" w:rsidRDefault="00064F72" w:rsidP="00064F72">
            <w:pPr>
              <w:pStyle w:val="-4"/>
              <w:pBdr>
                <w:bottom w:val="single" w:sz="4" w:space="1" w:color="auto"/>
              </w:pBdr>
              <w:rPr>
                <w:sz w:val="18"/>
                <w:szCs w:val="18"/>
                <w:rtl/>
              </w:rPr>
            </w:pPr>
            <w:r w:rsidRPr="004D099E">
              <w:rPr>
                <w:rFonts w:hint="eastAsia"/>
                <w:sz w:val="18"/>
                <w:szCs w:val="18"/>
                <w:rtl/>
              </w:rPr>
              <w:t>סך</w:t>
            </w:r>
            <w:r w:rsidRPr="004D099E">
              <w:rPr>
                <w:rFonts w:hint="cs"/>
                <w:sz w:val="18"/>
                <w:szCs w:val="18"/>
                <w:rtl/>
              </w:rPr>
              <w:t xml:space="preserve"> </w:t>
            </w:r>
            <w:r w:rsidRPr="004D099E">
              <w:rPr>
                <w:rFonts w:hint="eastAsia"/>
                <w:sz w:val="18"/>
                <w:szCs w:val="18"/>
                <w:rtl/>
              </w:rPr>
              <w:t>הכל</w:t>
            </w:r>
          </w:p>
        </w:tc>
        <w:tc>
          <w:tcPr>
            <w:tcW w:w="992" w:type="dxa"/>
            <w:vAlign w:val="bottom"/>
          </w:tcPr>
          <w:p w14:paraId="42072EF5" w14:textId="77777777" w:rsidR="00064F72" w:rsidRPr="00BF7750" w:rsidRDefault="00064F72" w:rsidP="00064F72">
            <w:pPr>
              <w:pStyle w:val="-4"/>
              <w:jc w:val="left"/>
              <w:rPr>
                <w:b w:val="0"/>
                <w:bCs w:val="0"/>
                <w:sz w:val="18"/>
                <w:szCs w:val="18"/>
                <w:rtl/>
              </w:rPr>
            </w:pPr>
            <w:r w:rsidRPr="00BF7750">
              <w:rPr>
                <w:rFonts w:hint="cs"/>
                <w:b w:val="0"/>
                <w:bCs w:val="0"/>
                <w:sz w:val="18"/>
                <w:szCs w:val="18"/>
                <w:rtl/>
              </w:rPr>
              <w:t>מזה:</w:t>
            </w:r>
          </w:p>
          <w:p w14:paraId="4D054B34" w14:textId="182C544E" w:rsidR="00064F72" w:rsidRPr="00BF7750" w:rsidRDefault="00064F72" w:rsidP="00F00F80">
            <w:pPr>
              <w:pStyle w:val="-4"/>
              <w:jc w:val="left"/>
              <w:rPr>
                <w:b w:val="0"/>
                <w:bCs w:val="0"/>
                <w:sz w:val="18"/>
                <w:szCs w:val="18"/>
                <w:rtl/>
              </w:rPr>
            </w:pPr>
            <w:r w:rsidRPr="00BF7750">
              <w:rPr>
                <w:rFonts w:hint="cs"/>
                <w:b w:val="0"/>
                <w:bCs w:val="0"/>
                <w:sz w:val="18"/>
                <w:szCs w:val="18"/>
                <w:rtl/>
              </w:rPr>
              <w:t>בולט</w:t>
            </w:r>
            <w:r w:rsidR="00F00F80">
              <w:rPr>
                <w:rFonts w:hint="cs"/>
                <w:b w:val="0"/>
                <w:bCs w:val="0"/>
                <w:sz w:val="18"/>
                <w:szCs w:val="18"/>
                <w:rtl/>
              </w:rPr>
              <w:t xml:space="preserve"> </w:t>
            </w:r>
            <w:r w:rsidRPr="00BF7750">
              <w:rPr>
                <w:rFonts w:hint="cs"/>
                <w:b w:val="0"/>
                <w:bCs w:val="0"/>
                <w:sz w:val="18"/>
                <w:szCs w:val="18"/>
                <w:rtl/>
              </w:rPr>
              <w:t>ובלון</w:t>
            </w:r>
            <w:r w:rsidRPr="00BF7750" w:rsidDel="00907ED7">
              <w:rPr>
                <w:rFonts w:hint="cs"/>
                <w:b w:val="0"/>
                <w:bCs w:val="0"/>
                <w:sz w:val="18"/>
                <w:szCs w:val="18"/>
                <w:vertAlign w:val="superscript"/>
                <w:rtl/>
              </w:rPr>
              <w:t xml:space="preserve"> </w:t>
            </w:r>
          </w:p>
        </w:tc>
        <w:tc>
          <w:tcPr>
            <w:tcW w:w="1493" w:type="dxa"/>
            <w:vAlign w:val="bottom"/>
          </w:tcPr>
          <w:p w14:paraId="5F22DD82" w14:textId="77777777" w:rsidR="00064F72" w:rsidRPr="00BF7750" w:rsidRDefault="00064F72" w:rsidP="00064F72">
            <w:pPr>
              <w:pStyle w:val="-4"/>
              <w:pBdr>
                <w:bottom w:val="none" w:sz="0" w:space="0" w:color="auto"/>
              </w:pBdr>
              <w:jc w:val="left"/>
              <w:rPr>
                <w:b w:val="0"/>
                <w:bCs w:val="0"/>
                <w:sz w:val="18"/>
                <w:szCs w:val="18"/>
                <w:rtl/>
              </w:rPr>
            </w:pPr>
            <w:r w:rsidRPr="00BF7750">
              <w:rPr>
                <w:rFonts w:hint="cs"/>
                <w:b w:val="0"/>
                <w:bCs w:val="0"/>
                <w:sz w:val="18"/>
                <w:szCs w:val="18"/>
                <w:rtl/>
              </w:rPr>
              <w:t>מזה:</w:t>
            </w:r>
          </w:p>
          <w:p w14:paraId="5798B957" w14:textId="73242E9D" w:rsidR="00064F72" w:rsidRPr="00BF7750" w:rsidRDefault="00064F72" w:rsidP="00064F72">
            <w:pPr>
              <w:pStyle w:val="-4"/>
              <w:spacing w:line="240" w:lineRule="auto"/>
              <w:ind w:right="-57"/>
              <w:jc w:val="left"/>
              <w:rPr>
                <w:b w:val="0"/>
                <w:bCs w:val="0"/>
                <w:sz w:val="18"/>
                <w:szCs w:val="18"/>
                <w:rtl/>
              </w:rPr>
            </w:pPr>
            <w:r w:rsidRPr="00BF7750">
              <w:rPr>
                <w:rFonts w:hint="cs"/>
                <w:b w:val="0"/>
                <w:bCs w:val="0"/>
                <w:sz w:val="18"/>
                <w:szCs w:val="18"/>
                <w:rtl/>
              </w:rPr>
              <w:t>ריבית משתנה</w:t>
            </w:r>
          </w:p>
        </w:tc>
        <w:tc>
          <w:tcPr>
            <w:tcW w:w="1189" w:type="dxa"/>
            <w:vAlign w:val="bottom"/>
          </w:tcPr>
          <w:p w14:paraId="190B14C7" w14:textId="77777777" w:rsidR="00064F72" w:rsidRPr="004D099E" w:rsidRDefault="00064F72" w:rsidP="00064F72">
            <w:pPr>
              <w:pStyle w:val="-4"/>
              <w:rPr>
                <w:sz w:val="18"/>
                <w:szCs w:val="18"/>
                <w:rtl/>
              </w:rPr>
            </w:pPr>
            <w:r w:rsidRPr="004D099E">
              <w:rPr>
                <w:rFonts w:hint="eastAsia"/>
                <w:sz w:val="18"/>
                <w:szCs w:val="18"/>
                <w:rtl/>
              </w:rPr>
              <w:t>סך</w:t>
            </w:r>
            <w:r w:rsidRPr="004D099E">
              <w:rPr>
                <w:sz w:val="18"/>
                <w:szCs w:val="18"/>
                <w:rtl/>
              </w:rPr>
              <w:t xml:space="preserve"> </w:t>
            </w:r>
            <w:r w:rsidRPr="004D099E">
              <w:rPr>
                <w:rFonts w:hint="eastAsia"/>
                <w:sz w:val="18"/>
                <w:szCs w:val="18"/>
                <w:rtl/>
              </w:rPr>
              <w:t>הכל</w:t>
            </w:r>
          </w:p>
        </w:tc>
      </w:tr>
      <w:tr w:rsidR="00262E23" w:rsidRPr="00BF7750" w14:paraId="6660D131" w14:textId="77777777" w:rsidTr="004A285E">
        <w:tc>
          <w:tcPr>
            <w:tcW w:w="970" w:type="dxa"/>
          </w:tcPr>
          <w:p w14:paraId="0C2AA3BE" w14:textId="77777777" w:rsidR="00CF2A74" w:rsidRPr="00BF7750" w:rsidRDefault="00CF2A74" w:rsidP="00CF2A74">
            <w:pPr>
              <w:pStyle w:val="-7"/>
              <w:bidi w:val="0"/>
              <w:spacing w:line="60" w:lineRule="exact"/>
              <w:rPr>
                <w:sz w:val="18"/>
                <w:szCs w:val="18"/>
                <w:rtl/>
              </w:rPr>
            </w:pPr>
          </w:p>
        </w:tc>
        <w:tc>
          <w:tcPr>
            <w:tcW w:w="794" w:type="dxa"/>
            <w:vAlign w:val="bottom"/>
          </w:tcPr>
          <w:p w14:paraId="5AD86BE4" w14:textId="77777777" w:rsidR="00CF2A74" w:rsidRPr="00BF7750" w:rsidRDefault="00CF2A74" w:rsidP="00CF2A74">
            <w:pPr>
              <w:pStyle w:val="-7"/>
              <w:bidi w:val="0"/>
              <w:spacing w:line="60" w:lineRule="exact"/>
              <w:rPr>
                <w:sz w:val="18"/>
                <w:szCs w:val="18"/>
                <w:rtl/>
              </w:rPr>
            </w:pPr>
          </w:p>
        </w:tc>
        <w:tc>
          <w:tcPr>
            <w:tcW w:w="3742" w:type="dxa"/>
            <w:vAlign w:val="bottom"/>
          </w:tcPr>
          <w:p w14:paraId="3BAFE8B0" w14:textId="77777777" w:rsidR="00CF2A74" w:rsidRPr="00BF7750" w:rsidRDefault="00CF2A74" w:rsidP="00CF2A74">
            <w:pPr>
              <w:pStyle w:val="-0"/>
              <w:bidi w:val="0"/>
              <w:spacing w:line="60" w:lineRule="exact"/>
              <w:jc w:val="both"/>
              <w:rPr>
                <w:sz w:val="18"/>
                <w:szCs w:val="18"/>
                <w:rtl/>
              </w:rPr>
            </w:pPr>
          </w:p>
        </w:tc>
        <w:tc>
          <w:tcPr>
            <w:tcW w:w="992" w:type="dxa"/>
            <w:vAlign w:val="bottom"/>
          </w:tcPr>
          <w:p w14:paraId="667E8020" w14:textId="77777777" w:rsidR="00CF2A74" w:rsidRPr="00BF7750" w:rsidRDefault="00CF2A74" w:rsidP="00CF2A74">
            <w:pPr>
              <w:pStyle w:val="-7"/>
              <w:bidi w:val="0"/>
              <w:spacing w:line="60" w:lineRule="exact"/>
              <w:rPr>
                <w:sz w:val="18"/>
                <w:szCs w:val="18"/>
                <w:rtl/>
              </w:rPr>
            </w:pPr>
          </w:p>
        </w:tc>
        <w:tc>
          <w:tcPr>
            <w:tcW w:w="992" w:type="dxa"/>
            <w:vAlign w:val="bottom"/>
          </w:tcPr>
          <w:p w14:paraId="1E0643D0" w14:textId="77777777" w:rsidR="00CF2A74" w:rsidRPr="00BF7750" w:rsidRDefault="00CF2A74" w:rsidP="00CF2A74">
            <w:pPr>
              <w:pStyle w:val="-7"/>
              <w:bidi w:val="0"/>
              <w:spacing w:line="60" w:lineRule="exact"/>
              <w:rPr>
                <w:sz w:val="18"/>
                <w:szCs w:val="18"/>
                <w:rtl/>
              </w:rPr>
            </w:pPr>
          </w:p>
        </w:tc>
        <w:tc>
          <w:tcPr>
            <w:tcW w:w="1493" w:type="dxa"/>
            <w:vAlign w:val="bottom"/>
          </w:tcPr>
          <w:p w14:paraId="71644386" w14:textId="77777777" w:rsidR="00CF2A74" w:rsidRPr="00BF7750" w:rsidRDefault="00CF2A74" w:rsidP="00CF2A74">
            <w:pPr>
              <w:pStyle w:val="-7"/>
              <w:bidi w:val="0"/>
              <w:spacing w:line="60" w:lineRule="exact"/>
              <w:rPr>
                <w:sz w:val="18"/>
                <w:szCs w:val="18"/>
                <w:rtl/>
              </w:rPr>
            </w:pPr>
          </w:p>
        </w:tc>
        <w:tc>
          <w:tcPr>
            <w:tcW w:w="1189" w:type="dxa"/>
            <w:vAlign w:val="bottom"/>
          </w:tcPr>
          <w:p w14:paraId="2E7F5807" w14:textId="77777777" w:rsidR="00CF2A74" w:rsidRPr="00BF7750" w:rsidRDefault="00CF2A74" w:rsidP="00CF2A74">
            <w:pPr>
              <w:pStyle w:val="-7"/>
              <w:bidi w:val="0"/>
              <w:spacing w:line="60" w:lineRule="exact"/>
              <w:rPr>
                <w:sz w:val="18"/>
                <w:szCs w:val="18"/>
                <w:rtl/>
              </w:rPr>
            </w:pPr>
          </w:p>
        </w:tc>
      </w:tr>
      <w:tr w:rsidR="00262E23" w:rsidRPr="00BF7750" w14:paraId="7ACD53A3" w14:textId="77777777" w:rsidTr="004A285E">
        <w:trPr>
          <w:trHeight w:val="259"/>
        </w:trPr>
        <w:tc>
          <w:tcPr>
            <w:tcW w:w="970" w:type="dxa"/>
          </w:tcPr>
          <w:p w14:paraId="2B463E09" w14:textId="77777777" w:rsidR="00262E23" w:rsidRPr="00BF7750" w:rsidRDefault="00262E23" w:rsidP="00994BE3">
            <w:pPr>
              <w:pStyle w:val="-7"/>
              <w:jc w:val="left"/>
              <w:rPr>
                <w:sz w:val="18"/>
                <w:szCs w:val="18"/>
                <w:rtl/>
              </w:rPr>
            </w:pPr>
          </w:p>
        </w:tc>
        <w:tc>
          <w:tcPr>
            <w:tcW w:w="794" w:type="dxa"/>
            <w:vAlign w:val="bottom"/>
          </w:tcPr>
          <w:p w14:paraId="40C6B510" w14:textId="77777777" w:rsidR="00262E23" w:rsidRPr="00BF7750" w:rsidRDefault="00262E23" w:rsidP="00994BE3">
            <w:pPr>
              <w:pStyle w:val="-7"/>
              <w:jc w:val="left"/>
              <w:rPr>
                <w:sz w:val="18"/>
                <w:szCs w:val="18"/>
                <w:rtl/>
              </w:rPr>
            </w:pPr>
          </w:p>
        </w:tc>
        <w:tc>
          <w:tcPr>
            <w:tcW w:w="3742" w:type="dxa"/>
            <w:vAlign w:val="bottom"/>
          </w:tcPr>
          <w:p w14:paraId="221CFFD4" w14:textId="4963F5A7" w:rsidR="00CF2A74" w:rsidRPr="00BF7750" w:rsidRDefault="00262E23" w:rsidP="004D099E">
            <w:pPr>
              <w:pStyle w:val="-0"/>
              <w:spacing w:line="240" w:lineRule="auto"/>
              <w:rPr>
                <w:sz w:val="18"/>
                <w:szCs w:val="18"/>
                <w:rtl/>
              </w:rPr>
            </w:pPr>
            <w:r w:rsidRPr="004D099E">
              <w:rPr>
                <w:rFonts w:hint="cs"/>
                <w:b/>
                <w:bCs/>
                <w:sz w:val="18"/>
                <w:szCs w:val="18"/>
                <w:rtl/>
              </w:rPr>
              <w:t>שעבוד ראשון: שיעור המימון</w:t>
            </w:r>
            <w:r w:rsidR="00F00F80">
              <w:rPr>
                <w:rFonts w:hint="cs"/>
                <w:sz w:val="18"/>
                <w:szCs w:val="18"/>
                <w:rtl/>
              </w:rPr>
              <w:t xml:space="preserve">  </w:t>
            </w:r>
            <w:r w:rsidRPr="00BF7750">
              <w:rPr>
                <w:rFonts w:hint="cs"/>
                <w:sz w:val="18"/>
                <w:szCs w:val="18"/>
                <w:rtl/>
              </w:rPr>
              <w:t>עד 60%</w:t>
            </w:r>
          </w:p>
        </w:tc>
        <w:tc>
          <w:tcPr>
            <w:tcW w:w="992" w:type="dxa"/>
            <w:vAlign w:val="bottom"/>
          </w:tcPr>
          <w:p w14:paraId="4D8F39C3" w14:textId="77777777" w:rsidR="00262E23" w:rsidRPr="00BF7750" w:rsidRDefault="00262E23" w:rsidP="00994BE3">
            <w:pPr>
              <w:pStyle w:val="-7"/>
              <w:jc w:val="left"/>
              <w:rPr>
                <w:sz w:val="18"/>
                <w:szCs w:val="18"/>
                <w:rtl/>
              </w:rPr>
            </w:pPr>
            <w:r w:rsidRPr="00BF7750">
              <w:rPr>
                <w:rFonts w:hint="cs"/>
                <w:sz w:val="18"/>
                <w:szCs w:val="18"/>
                <w:rtl/>
              </w:rPr>
              <w:t xml:space="preserve"> 0</w:t>
            </w:r>
          </w:p>
        </w:tc>
        <w:tc>
          <w:tcPr>
            <w:tcW w:w="992" w:type="dxa"/>
            <w:vAlign w:val="bottom"/>
          </w:tcPr>
          <w:p w14:paraId="0AA7CE34" w14:textId="77777777" w:rsidR="00262E23" w:rsidRPr="00BF7750" w:rsidRDefault="00262E23" w:rsidP="00994BE3">
            <w:pPr>
              <w:pStyle w:val="-7"/>
              <w:jc w:val="left"/>
              <w:rPr>
                <w:sz w:val="18"/>
                <w:szCs w:val="18"/>
                <w:rtl/>
              </w:rPr>
            </w:pPr>
            <w:r w:rsidRPr="00BF7750">
              <w:rPr>
                <w:rFonts w:hint="cs"/>
                <w:sz w:val="18"/>
                <w:szCs w:val="18"/>
                <w:rtl/>
              </w:rPr>
              <w:t xml:space="preserve"> 0</w:t>
            </w:r>
          </w:p>
        </w:tc>
        <w:tc>
          <w:tcPr>
            <w:tcW w:w="1493" w:type="dxa"/>
            <w:vAlign w:val="bottom"/>
          </w:tcPr>
          <w:p w14:paraId="629E44A1" w14:textId="77777777" w:rsidR="00262E23" w:rsidRPr="00BF7750" w:rsidRDefault="00262E23" w:rsidP="00994BE3">
            <w:pPr>
              <w:pStyle w:val="-7"/>
              <w:jc w:val="left"/>
              <w:rPr>
                <w:sz w:val="18"/>
                <w:szCs w:val="18"/>
                <w:rtl/>
              </w:rPr>
            </w:pPr>
            <w:r w:rsidRPr="00BF7750">
              <w:rPr>
                <w:rFonts w:hint="cs"/>
                <w:sz w:val="18"/>
                <w:szCs w:val="18"/>
                <w:rtl/>
              </w:rPr>
              <w:t xml:space="preserve"> 0</w:t>
            </w:r>
          </w:p>
        </w:tc>
        <w:tc>
          <w:tcPr>
            <w:tcW w:w="1189" w:type="dxa"/>
            <w:vAlign w:val="bottom"/>
          </w:tcPr>
          <w:p w14:paraId="6CBBC6FA" w14:textId="77777777" w:rsidR="00262E23" w:rsidRPr="00BF7750" w:rsidRDefault="00262E23" w:rsidP="00994BE3">
            <w:pPr>
              <w:pStyle w:val="-7"/>
              <w:jc w:val="left"/>
              <w:rPr>
                <w:sz w:val="18"/>
                <w:szCs w:val="18"/>
                <w:rtl/>
              </w:rPr>
            </w:pPr>
            <w:r w:rsidRPr="00BF7750">
              <w:rPr>
                <w:rFonts w:hint="cs"/>
                <w:sz w:val="18"/>
                <w:szCs w:val="18"/>
                <w:rtl/>
              </w:rPr>
              <w:t xml:space="preserve"> 0</w:t>
            </w:r>
          </w:p>
        </w:tc>
      </w:tr>
      <w:tr w:rsidR="00262E23" w:rsidRPr="00BF7750" w14:paraId="0EC04376" w14:textId="77777777" w:rsidTr="004A285E">
        <w:trPr>
          <w:trHeight w:val="259"/>
        </w:trPr>
        <w:tc>
          <w:tcPr>
            <w:tcW w:w="970" w:type="dxa"/>
          </w:tcPr>
          <w:p w14:paraId="320E86EE" w14:textId="77777777" w:rsidR="00262E23" w:rsidRPr="00BF7750" w:rsidRDefault="00262E23" w:rsidP="00994BE3">
            <w:pPr>
              <w:pStyle w:val="-7"/>
              <w:jc w:val="left"/>
              <w:rPr>
                <w:sz w:val="18"/>
                <w:szCs w:val="18"/>
                <w:rtl/>
              </w:rPr>
            </w:pPr>
          </w:p>
        </w:tc>
        <w:tc>
          <w:tcPr>
            <w:tcW w:w="794" w:type="dxa"/>
            <w:vAlign w:val="bottom"/>
          </w:tcPr>
          <w:p w14:paraId="725B35E5" w14:textId="77777777" w:rsidR="00262E23" w:rsidRPr="00BF7750" w:rsidRDefault="00262E23" w:rsidP="00994BE3">
            <w:pPr>
              <w:pStyle w:val="-7"/>
              <w:jc w:val="left"/>
              <w:rPr>
                <w:sz w:val="18"/>
                <w:szCs w:val="18"/>
                <w:rtl/>
              </w:rPr>
            </w:pPr>
          </w:p>
        </w:tc>
        <w:tc>
          <w:tcPr>
            <w:tcW w:w="3742" w:type="dxa"/>
            <w:vAlign w:val="bottom"/>
          </w:tcPr>
          <w:p w14:paraId="302F7F70" w14:textId="12462B2C" w:rsidR="00262E23" w:rsidRPr="00BF7750" w:rsidRDefault="00262E23" w:rsidP="004D099E">
            <w:pPr>
              <w:pStyle w:val="-0"/>
              <w:spacing w:line="240" w:lineRule="auto"/>
              <w:ind w:left="1299"/>
              <w:rPr>
                <w:sz w:val="18"/>
                <w:szCs w:val="18"/>
                <w:rtl/>
              </w:rPr>
            </w:pPr>
            <w:r w:rsidRPr="00BF7750">
              <w:rPr>
                <w:sz w:val="18"/>
                <w:szCs w:val="18"/>
                <w:rtl/>
              </w:rPr>
              <w:tab/>
            </w:r>
            <w:r w:rsidRPr="00BF7750">
              <w:rPr>
                <w:rFonts w:hint="cs"/>
                <w:sz w:val="18"/>
                <w:szCs w:val="18"/>
                <w:rtl/>
              </w:rPr>
              <w:tab/>
            </w:r>
            <w:r w:rsidRPr="00BF7750">
              <w:rPr>
                <w:sz w:val="18"/>
                <w:szCs w:val="18"/>
                <w:rtl/>
              </w:rPr>
              <w:tab/>
            </w:r>
            <w:r w:rsidR="004D099E">
              <w:rPr>
                <w:rFonts w:hint="cs"/>
                <w:sz w:val="18"/>
                <w:szCs w:val="18"/>
                <w:rtl/>
              </w:rPr>
              <w:t xml:space="preserve">      </w:t>
            </w:r>
            <w:r w:rsidRPr="00BF7750">
              <w:rPr>
                <w:rFonts w:hint="cs"/>
                <w:sz w:val="18"/>
                <w:szCs w:val="18"/>
                <w:rtl/>
              </w:rPr>
              <w:t>מעל 60%</w:t>
            </w:r>
          </w:p>
        </w:tc>
        <w:tc>
          <w:tcPr>
            <w:tcW w:w="992" w:type="dxa"/>
            <w:vAlign w:val="bottom"/>
          </w:tcPr>
          <w:p w14:paraId="2938BF3C" w14:textId="77777777" w:rsidR="00262E23" w:rsidRPr="00BF7750" w:rsidRDefault="00262E23" w:rsidP="00994BE3">
            <w:pPr>
              <w:pStyle w:val="-7"/>
              <w:jc w:val="left"/>
              <w:rPr>
                <w:sz w:val="18"/>
                <w:szCs w:val="18"/>
                <w:rtl/>
              </w:rPr>
            </w:pPr>
            <w:r w:rsidRPr="00BF7750">
              <w:rPr>
                <w:rFonts w:hint="cs"/>
                <w:sz w:val="18"/>
                <w:szCs w:val="18"/>
                <w:rtl/>
              </w:rPr>
              <w:t xml:space="preserve"> 0</w:t>
            </w:r>
          </w:p>
        </w:tc>
        <w:tc>
          <w:tcPr>
            <w:tcW w:w="992" w:type="dxa"/>
            <w:vAlign w:val="bottom"/>
          </w:tcPr>
          <w:p w14:paraId="010D2895" w14:textId="77777777" w:rsidR="00262E23" w:rsidRPr="00BF7750" w:rsidRDefault="00262E23" w:rsidP="00994BE3">
            <w:pPr>
              <w:pStyle w:val="-7"/>
              <w:jc w:val="left"/>
              <w:rPr>
                <w:sz w:val="18"/>
                <w:szCs w:val="18"/>
                <w:rtl/>
              </w:rPr>
            </w:pPr>
            <w:r w:rsidRPr="00BF7750">
              <w:rPr>
                <w:rFonts w:hint="cs"/>
                <w:sz w:val="18"/>
                <w:szCs w:val="18"/>
                <w:rtl/>
              </w:rPr>
              <w:t xml:space="preserve"> 0</w:t>
            </w:r>
          </w:p>
        </w:tc>
        <w:tc>
          <w:tcPr>
            <w:tcW w:w="1493" w:type="dxa"/>
            <w:vAlign w:val="bottom"/>
          </w:tcPr>
          <w:p w14:paraId="70DA900D" w14:textId="77777777" w:rsidR="00262E23" w:rsidRPr="00BF7750" w:rsidRDefault="00262E23" w:rsidP="00994BE3">
            <w:pPr>
              <w:pStyle w:val="-7"/>
              <w:jc w:val="left"/>
              <w:rPr>
                <w:sz w:val="18"/>
                <w:szCs w:val="18"/>
                <w:rtl/>
              </w:rPr>
            </w:pPr>
            <w:r w:rsidRPr="00BF7750">
              <w:rPr>
                <w:rFonts w:hint="cs"/>
                <w:sz w:val="18"/>
                <w:szCs w:val="18"/>
                <w:rtl/>
              </w:rPr>
              <w:t xml:space="preserve"> 0</w:t>
            </w:r>
          </w:p>
        </w:tc>
        <w:tc>
          <w:tcPr>
            <w:tcW w:w="1189" w:type="dxa"/>
            <w:vAlign w:val="bottom"/>
          </w:tcPr>
          <w:p w14:paraId="0BD53E36" w14:textId="77777777" w:rsidR="00262E23" w:rsidRPr="00BF7750" w:rsidRDefault="00262E23" w:rsidP="00994BE3">
            <w:pPr>
              <w:pStyle w:val="-7"/>
              <w:jc w:val="left"/>
              <w:rPr>
                <w:sz w:val="18"/>
                <w:szCs w:val="18"/>
                <w:rtl/>
              </w:rPr>
            </w:pPr>
            <w:r w:rsidRPr="00BF7750">
              <w:rPr>
                <w:rFonts w:hint="cs"/>
                <w:sz w:val="18"/>
                <w:szCs w:val="18"/>
                <w:rtl/>
              </w:rPr>
              <w:t xml:space="preserve"> 0</w:t>
            </w:r>
          </w:p>
        </w:tc>
      </w:tr>
      <w:tr w:rsidR="00262E23" w:rsidRPr="00BF7750" w14:paraId="40C492CE" w14:textId="77777777" w:rsidTr="004A285E">
        <w:trPr>
          <w:trHeight w:val="259"/>
        </w:trPr>
        <w:tc>
          <w:tcPr>
            <w:tcW w:w="970" w:type="dxa"/>
          </w:tcPr>
          <w:p w14:paraId="00E8AEEF" w14:textId="77777777" w:rsidR="00262E23" w:rsidRPr="00BF7750" w:rsidRDefault="00262E23" w:rsidP="00994BE3">
            <w:pPr>
              <w:pStyle w:val="-7"/>
              <w:jc w:val="left"/>
              <w:rPr>
                <w:sz w:val="18"/>
                <w:szCs w:val="18"/>
                <w:rtl/>
              </w:rPr>
            </w:pPr>
          </w:p>
        </w:tc>
        <w:tc>
          <w:tcPr>
            <w:tcW w:w="794" w:type="dxa"/>
            <w:vAlign w:val="bottom"/>
          </w:tcPr>
          <w:p w14:paraId="798BA89D" w14:textId="77777777" w:rsidR="00262E23" w:rsidRPr="00BF7750" w:rsidRDefault="00262E23" w:rsidP="00994BE3">
            <w:pPr>
              <w:pStyle w:val="-7"/>
              <w:jc w:val="left"/>
              <w:rPr>
                <w:sz w:val="18"/>
                <w:szCs w:val="18"/>
                <w:rtl/>
              </w:rPr>
            </w:pPr>
          </w:p>
        </w:tc>
        <w:tc>
          <w:tcPr>
            <w:tcW w:w="3742" w:type="dxa"/>
            <w:vAlign w:val="bottom"/>
          </w:tcPr>
          <w:p w14:paraId="7DD08C2A" w14:textId="77777777" w:rsidR="00CF2A74" w:rsidRPr="004D099E" w:rsidRDefault="00262E23" w:rsidP="004D099E">
            <w:pPr>
              <w:pStyle w:val="-0"/>
              <w:spacing w:line="240" w:lineRule="auto"/>
              <w:rPr>
                <w:b/>
                <w:bCs/>
                <w:sz w:val="18"/>
                <w:szCs w:val="18"/>
                <w:rtl/>
              </w:rPr>
            </w:pPr>
            <w:r w:rsidRPr="004D099E">
              <w:rPr>
                <w:rFonts w:hint="cs"/>
                <w:b/>
                <w:bCs/>
                <w:sz w:val="18"/>
                <w:szCs w:val="18"/>
                <w:rtl/>
              </w:rPr>
              <w:t>שעבוד משני או ללא שעבוד</w:t>
            </w:r>
          </w:p>
        </w:tc>
        <w:tc>
          <w:tcPr>
            <w:tcW w:w="992" w:type="dxa"/>
            <w:vAlign w:val="bottom"/>
          </w:tcPr>
          <w:p w14:paraId="449E19AC" w14:textId="77777777" w:rsidR="00CF2A74" w:rsidRPr="00BF7750" w:rsidRDefault="00262E23" w:rsidP="00CF2A74">
            <w:pPr>
              <w:pStyle w:val="-7"/>
              <w:pBdr>
                <w:bottom w:val="single" w:sz="4" w:space="1" w:color="auto"/>
              </w:pBdr>
              <w:jc w:val="left"/>
              <w:rPr>
                <w:sz w:val="18"/>
                <w:szCs w:val="18"/>
                <w:rtl/>
              </w:rPr>
            </w:pPr>
            <w:r w:rsidRPr="00BF7750">
              <w:rPr>
                <w:rFonts w:hint="cs"/>
                <w:sz w:val="18"/>
                <w:szCs w:val="18"/>
                <w:rtl/>
              </w:rPr>
              <w:t xml:space="preserve"> 0</w:t>
            </w:r>
          </w:p>
        </w:tc>
        <w:tc>
          <w:tcPr>
            <w:tcW w:w="992" w:type="dxa"/>
            <w:vAlign w:val="bottom"/>
          </w:tcPr>
          <w:p w14:paraId="004BC36A" w14:textId="77777777" w:rsidR="00CF2A74" w:rsidRPr="00BF7750" w:rsidRDefault="00262E23" w:rsidP="00CF2A74">
            <w:pPr>
              <w:pStyle w:val="-7"/>
              <w:pBdr>
                <w:bottom w:val="single" w:sz="4" w:space="1" w:color="auto"/>
              </w:pBdr>
              <w:jc w:val="left"/>
              <w:rPr>
                <w:sz w:val="18"/>
                <w:szCs w:val="18"/>
                <w:rtl/>
              </w:rPr>
            </w:pPr>
            <w:r w:rsidRPr="00BF7750">
              <w:rPr>
                <w:rFonts w:hint="cs"/>
                <w:sz w:val="18"/>
                <w:szCs w:val="18"/>
                <w:rtl/>
              </w:rPr>
              <w:t xml:space="preserve"> 0</w:t>
            </w:r>
          </w:p>
        </w:tc>
        <w:tc>
          <w:tcPr>
            <w:tcW w:w="1493" w:type="dxa"/>
            <w:vAlign w:val="bottom"/>
          </w:tcPr>
          <w:p w14:paraId="75946A82" w14:textId="77777777" w:rsidR="00CF2A74" w:rsidRPr="00BF7750" w:rsidRDefault="00262E23" w:rsidP="00CF2A74">
            <w:pPr>
              <w:pStyle w:val="-7"/>
              <w:pBdr>
                <w:bottom w:val="single" w:sz="4" w:space="1" w:color="auto"/>
              </w:pBdr>
              <w:jc w:val="left"/>
              <w:rPr>
                <w:sz w:val="18"/>
                <w:szCs w:val="18"/>
                <w:rtl/>
              </w:rPr>
            </w:pPr>
            <w:r w:rsidRPr="00BF7750">
              <w:rPr>
                <w:rFonts w:hint="cs"/>
                <w:sz w:val="18"/>
                <w:szCs w:val="18"/>
                <w:rtl/>
              </w:rPr>
              <w:t xml:space="preserve"> 0</w:t>
            </w:r>
          </w:p>
        </w:tc>
        <w:tc>
          <w:tcPr>
            <w:tcW w:w="1189" w:type="dxa"/>
            <w:vAlign w:val="bottom"/>
          </w:tcPr>
          <w:p w14:paraId="59C6F57D" w14:textId="77777777" w:rsidR="00CF2A74" w:rsidRPr="00BF7750" w:rsidRDefault="00262E23" w:rsidP="00CF2A74">
            <w:pPr>
              <w:pStyle w:val="-7"/>
              <w:pBdr>
                <w:bottom w:val="single" w:sz="4" w:space="1" w:color="auto"/>
              </w:pBdr>
              <w:jc w:val="left"/>
              <w:rPr>
                <w:sz w:val="18"/>
                <w:szCs w:val="18"/>
                <w:rtl/>
              </w:rPr>
            </w:pPr>
            <w:r w:rsidRPr="00BF7750">
              <w:rPr>
                <w:rFonts w:hint="cs"/>
                <w:sz w:val="18"/>
                <w:szCs w:val="18"/>
                <w:rtl/>
              </w:rPr>
              <w:t xml:space="preserve"> 0</w:t>
            </w:r>
          </w:p>
        </w:tc>
      </w:tr>
      <w:tr w:rsidR="00262E23" w:rsidRPr="00BF7750" w14:paraId="274E482E" w14:textId="77777777" w:rsidTr="004A285E">
        <w:trPr>
          <w:trHeight w:val="259"/>
        </w:trPr>
        <w:tc>
          <w:tcPr>
            <w:tcW w:w="970" w:type="dxa"/>
          </w:tcPr>
          <w:p w14:paraId="5040ACDF" w14:textId="77777777" w:rsidR="00262E23" w:rsidRPr="00BF7750" w:rsidRDefault="00262E23" w:rsidP="00994BE3">
            <w:pPr>
              <w:pStyle w:val="-7"/>
              <w:jc w:val="left"/>
              <w:rPr>
                <w:sz w:val="18"/>
                <w:szCs w:val="18"/>
                <w:rtl/>
              </w:rPr>
            </w:pPr>
          </w:p>
        </w:tc>
        <w:tc>
          <w:tcPr>
            <w:tcW w:w="794" w:type="dxa"/>
            <w:vAlign w:val="bottom"/>
          </w:tcPr>
          <w:p w14:paraId="5C34BE27" w14:textId="77777777" w:rsidR="00262E23" w:rsidRPr="00BF7750" w:rsidRDefault="00262E23" w:rsidP="00994BE3">
            <w:pPr>
              <w:pStyle w:val="-7"/>
              <w:jc w:val="left"/>
              <w:rPr>
                <w:sz w:val="18"/>
                <w:szCs w:val="18"/>
                <w:rtl/>
              </w:rPr>
            </w:pPr>
          </w:p>
        </w:tc>
        <w:tc>
          <w:tcPr>
            <w:tcW w:w="3742" w:type="dxa"/>
            <w:vAlign w:val="bottom"/>
          </w:tcPr>
          <w:p w14:paraId="6E6FC185" w14:textId="77777777" w:rsidR="00262E23" w:rsidRPr="00BF7750" w:rsidRDefault="00262E23" w:rsidP="004D099E">
            <w:pPr>
              <w:pStyle w:val="-b"/>
              <w:spacing w:line="240" w:lineRule="auto"/>
              <w:rPr>
                <w:sz w:val="18"/>
                <w:szCs w:val="18"/>
                <w:rtl/>
              </w:rPr>
            </w:pPr>
            <w:r w:rsidRPr="00BF7750">
              <w:rPr>
                <w:rFonts w:hint="cs"/>
                <w:sz w:val="18"/>
                <w:szCs w:val="18"/>
                <w:rtl/>
              </w:rPr>
              <w:t>סך הכל</w:t>
            </w:r>
          </w:p>
        </w:tc>
        <w:tc>
          <w:tcPr>
            <w:tcW w:w="992" w:type="dxa"/>
            <w:vAlign w:val="bottom"/>
          </w:tcPr>
          <w:p w14:paraId="506005F9" w14:textId="77777777" w:rsidR="00F32A2A" w:rsidRPr="00BF7750" w:rsidRDefault="00262E23">
            <w:pPr>
              <w:pStyle w:val="-f1"/>
              <w:pBdr>
                <w:top w:val="none" w:sz="0" w:space="0" w:color="auto"/>
                <w:bottom w:val="double" w:sz="4" w:space="1" w:color="auto"/>
              </w:pBdr>
              <w:rPr>
                <w:sz w:val="18"/>
                <w:szCs w:val="18"/>
                <w:rtl/>
              </w:rPr>
            </w:pPr>
            <w:r w:rsidRPr="00BF7750">
              <w:rPr>
                <w:rFonts w:hint="cs"/>
                <w:sz w:val="18"/>
                <w:szCs w:val="18"/>
                <w:rtl/>
              </w:rPr>
              <w:t xml:space="preserve"> 0</w:t>
            </w:r>
          </w:p>
        </w:tc>
        <w:tc>
          <w:tcPr>
            <w:tcW w:w="992" w:type="dxa"/>
            <w:vAlign w:val="bottom"/>
          </w:tcPr>
          <w:p w14:paraId="0ED208A3" w14:textId="77777777" w:rsidR="00F32A2A" w:rsidRPr="00BF7750" w:rsidRDefault="00262E23">
            <w:pPr>
              <w:pStyle w:val="-f1"/>
              <w:pBdr>
                <w:top w:val="none" w:sz="0" w:space="0" w:color="auto"/>
                <w:bottom w:val="double" w:sz="4" w:space="1" w:color="auto"/>
              </w:pBdr>
              <w:rPr>
                <w:sz w:val="18"/>
                <w:szCs w:val="18"/>
                <w:rtl/>
              </w:rPr>
            </w:pPr>
            <w:r w:rsidRPr="00BF7750">
              <w:rPr>
                <w:rFonts w:hint="cs"/>
                <w:sz w:val="18"/>
                <w:szCs w:val="18"/>
                <w:rtl/>
              </w:rPr>
              <w:t xml:space="preserve"> 0</w:t>
            </w:r>
          </w:p>
        </w:tc>
        <w:tc>
          <w:tcPr>
            <w:tcW w:w="1493" w:type="dxa"/>
            <w:vAlign w:val="bottom"/>
          </w:tcPr>
          <w:p w14:paraId="2AA20D43" w14:textId="77777777" w:rsidR="00F32A2A" w:rsidRPr="00BF7750" w:rsidRDefault="00262E23">
            <w:pPr>
              <w:pStyle w:val="-f1"/>
              <w:pBdr>
                <w:top w:val="none" w:sz="0" w:space="0" w:color="auto"/>
                <w:bottom w:val="double" w:sz="4" w:space="1" w:color="auto"/>
              </w:pBdr>
              <w:rPr>
                <w:sz w:val="18"/>
                <w:szCs w:val="18"/>
                <w:rtl/>
              </w:rPr>
            </w:pPr>
            <w:r w:rsidRPr="00BF7750">
              <w:rPr>
                <w:rFonts w:hint="cs"/>
                <w:sz w:val="18"/>
                <w:szCs w:val="18"/>
                <w:rtl/>
              </w:rPr>
              <w:t xml:space="preserve"> 0</w:t>
            </w:r>
          </w:p>
        </w:tc>
        <w:tc>
          <w:tcPr>
            <w:tcW w:w="1189" w:type="dxa"/>
            <w:vAlign w:val="bottom"/>
          </w:tcPr>
          <w:p w14:paraId="25E39816" w14:textId="77777777" w:rsidR="00F32A2A" w:rsidRPr="00BF7750" w:rsidRDefault="00262E23">
            <w:pPr>
              <w:pStyle w:val="-f1"/>
              <w:pBdr>
                <w:top w:val="none" w:sz="0" w:space="0" w:color="auto"/>
                <w:bottom w:val="double" w:sz="4" w:space="1" w:color="auto"/>
              </w:pBdr>
              <w:rPr>
                <w:sz w:val="18"/>
                <w:szCs w:val="18"/>
                <w:rtl/>
              </w:rPr>
            </w:pPr>
            <w:r w:rsidRPr="00BF7750">
              <w:rPr>
                <w:rFonts w:hint="cs"/>
                <w:sz w:val="18"/>
                <w:szCs w:val="18"/>
                <w:rtl/>
              </w:rPr>
              <w:t xml:space="preserve"> 0</w:t>
            </w:r>
          </w:p>
        </w:tc>
      </w:tr>
    </w:tbl>
    <w:p w14:paraId="2D904B1F" w14:textId="37BFEFE2" w:rsidR="00A502CD" w:rsidRDefault="00A502CD">
      <w:pPr>
        <w:rPr>
          <w:rtl/>
        </w:rPr>
      </w:pPr>
    </w:p>
    <w:p w14:paraId="59628625" w14:textId="77777777" w:rsidR="004C0D22" w:rsidRDefault="004C0D22"/>
    <w:tbl>
      <w:tblPr>
        <w:bidiVisual/>
        <w:tblW w:w="4983" w:type="pct"/>
        <w:tblLayout w:type="fixed"/>
        <w:tblLook w:val="01E0" w:firstRow="1" w:lastRow="1" w:firstColumn="1" w:lastColumn="1" w:noHBand="0" w:noVBand="0"/>
      </w:tblPr>
      <w:tblGrid>
        <w:gridCol w:w="970"/>
        <w:gridCol w:w="794"/>
        <w:gridCol w:w="3742"/>
        <w:gridCol w:w="992"/>
        <w:gridCol w:w="992"/>
        <w:gridCol w:w="1493"/>
        <w:gridCol w:w="1189"/>
      </w:tblGrid>
      <w:tr w:rsidR="004A285E" w:rsidRPr="00BF7750" w14:paraId="4ECDB5BC" w14:textId="77777777" w:rsidTr="000A69A2">
        <w:trPr>
          <w:trHeight w:val="259"/>
        </w:trPr>
        <w:tc>
          <w:tcPr>
            <w:tcW w:w="970" w:type="dxa"/>
          </w:tcPr>
          <w:p w14:paraId="7A58C545" w14:textId="77777777" w:rsidR="004A285E" w:rsidRPr="00BF7750" w:rsidRDefault="004A285E" w:rsidP="000A69A2">
            <w:pPr>
              <w:pStyle w:val="-7"/>
              <w:jc w:val="left"/>
              <w:rPr>
                <w:sz w:val="18"/>
                <w:szCs w:val="18"/>
                <w:rtl/>
              </w:rPr>
            </w:pPr>
          </w:p>
        </w:tc>
        <w:tc>
          <w:tcPr>
            <w:tcW w:w="794" w:type="dxa"/>
            <w:vAlign w:val="bottom"/>
          </w:tcPr>
          <w:p w14:paraId="3A94DBFB" w14:textId="77777777" w:rsidR="004A285E" w:rsidRPr="00BF7750" w:rsidRDefault="004A285E" w:rsidP="000A69A2">
            <w:pPr>
              <w:pStyle w:val="-7"/>
              <w:jc w:val="left"/>
              <w:rPr>
                <w:sz w:val="18"/>
                <w:szCs w:val="18"/>
                <w:rtl/>
              </w:rPr>
            </w:pPr>
          </w:p>
        </w:tc>
        <w:tc>
          <w:tcPr>
            <w:tcW w:w="3742" w:type="dxa"/>
            <w:vAlign w:val="bottom"/>
          </w:tcPr>
          <w:p w14:paraId="7BC80605" w14:textId="453A4B81" w:rsidR="004A285E" w:rsidRPr="00BF7750" w:rsidRDefault="004A285E" w:rsidP="000A69A2">
            <w:pPr>
              <w:pStyle w:val="-0"/>
              <w:rPr>
                <w:sz w:val="18"/>
                <w:szCs w:val="18"/>
                <w:rtl/>
              </w:rPr>
            </w:pPr>
          </w:p>
        </w:tc>
        <w:tc>
          <w:tcPr>
            <w:tcW w:w="4666" w:type="dxa"/>
            <w:gridSpan w:val="4"/>
            <w:vAlign w:val="bottom"/>
          </w:tcPr>
          <w:p w14:paraId="439BE5DA" w14:textId="49C0CDE1" w:rsidR="004A285E" w:rsidRPr="00BF7750" w:rsidRDefault="004A285E" w:rsidP="000A69A2">
            <w:pPr>
              <w:pStyle w:val="-4"/>
              <w:spacing w:after="40" w:line="192" w:lineRule="auto"/>
              <w:rPr>
                <w:sz w:val="18"/>
                <w:szCs w:val="18"/>
                <w:rtl/>
              </w:rPr>
            </w:pPr>
            <w:r w:rsidRPr="00D63C0E">
              <w:rPr>
                <w:rFonts w:hint="cs"/>
                <w:sz w:val="18"/>
                <w:szCs w:val="18"/>
                <w:rtl/>
              </w:rPr>
              <w:t xml:space="preserve">ליום 30 ביוני </w:t>
            </w:r>
            <w:r w:rsidRPr="00D63C0E">
              <w:rPr>
                <w:b w:val="0"/>
                <w:bCs w:val="0"/>
                <w:sz w:val="18"/>
                <w:szCs w:val="18"/>
                <w:rtl/>
              </w:rPr>
              <w:fldChar w:fldCharType="begin"/>
            </w:r>
            <w:r w:rsidRPr="00D63C0E">
              <w:rPr>
                <w:sz w:val="18"/>
                <w:szCs w:val="18"/>
                <w:rtl/>
              </w:rPr>
              <w:instrText xml:space="preserve"> </w:instrText>
            </w:r>
            <w:r w:rsidRPr="00D63C0E">
              <w:rPr>
                <w:rFonts w:hint="cs"/>
                <w:sz w:val="18"/>
                <w:szCs w:val="18"/>
                <w:rtl/>
              </w:rPr>
              <w:instrText xml:space="preserve">= </w:instrText>
            </w:r>
            <w:r w:rsidRPr="00D63C0E">
              <w:rPr>
                <w:rFonts w:hint="cs"/>
                <w:sz w:val="18"/>
                <w:szCs w:val="18"/>
              </w:rPr>
              <w:instrText>CY</w:instrText>
            </w:r>
            <w:r>
              <w:rPr>
                <w:sz w:val="18"/>
                <w:szCs w:val="18"/>
              </w:rPr>
              <w:instrText>-1</w:instrText>
            </w:r>
            <w:r w:rsidRPr="00D63C0E">
              <w:rPr>
                <w:rFonts w:hint="cs"/>
                <w:sz w:val="18"/>
                <w:szCs w:val="18"/>
              </w:rPr>
              <w:instrText xml:space="preserve"> \* MERGEFORMAT</w:instrText>
            </w:r>
            <w:r w:rsidRPr="00D63C0E">
              <w:rPr>
                <w:sz w:val="18"/>
                <w:szCs w:val="18"/>
                <w:rtl/>
              </w:rPr>
              <w:instrText xml:space="preserve"> </w:instrText>
            </w:r>
            <w:r w:rsidRPr="00D63C0E">
              <w:rPr>
                <w:b w:val="0"/>
                <w:bCs w:val="0"/>
                <w:sz w:val="18"/>
                <w:szCs w:val="18"/>
                <w:rtl/>
              </w:rPr>
              <w:fldChar w:fldCharType="separate"/>
            </w:r>
            <w:r>
              <w:rPr>
                <w:noProof/>
                <w:sz w:val="18"/>
                <w:szCs w:val="18"/>
                <w:rtl/>
              </w:rPr>
              <w:t>2023</w:t>
            </w:r>
            <w:r w:rsidRPr="00D63C0E">
              <w:rPr>
                <w:b w:val="0"/>
                <w:bCs w:val="0"/>
                <w:sz w:val="18"/>
                <w:szCs w:val="18"/>
                <w:rtl/>
              </w:rPr>
              <w:fldChar w:fldCharType="end"/>
            </w:r>
            <w:r w:rsidRPr="00D63C0E">
              <w:rPr>
                <w:rFonts w:hint="cs"/>
                <w:b w:val="0"/>
                <w:bCs w:val="0"/>
                <w:sz w:val="18"/>
                <w:szCs w:val="18"/>
                <w:rtl/>
              </w:rPr>
              <w:t xml:space="preserve">  (בלתי מבוקר)</w:t>
            </w:r>
          </w:p>
        </w:tc>
      </w:tr>
      <w:tr w:rsidR="004A285E" w:rsidRPr="00BF7750" w14:paraId="542DFE60" w14:textId="77777777" w:rsidTr="000A69A2">
        <w:trPr>
          <w:trHeight w:val="259"/>
        </w:trPr>
        <w:tc>
          <w:tcPr>
            <w:tcW w:w="970" w:type="dxa"/>
          </w:tcPr>
          <w:p w14:paraId="44C1C975" w14:textId="77777777" w:rsidR="004A285E" w:rsidRPr="00BF7750" w:rsidRDefault="004A285E" w:rsidP="000A69A2">
            <w:pPr>
              <w:pStyle w:val="-7"/>
              <w:jc w:val="left"/>
              <w:rPr>
                <w:sz w:val="18"/>
                <w:szCs w:val="18"/>
                <w:rtl/>
              </w:rPr>
            </w:pPr>
          </w:p>
        </w:tc>
        <w:tc>
          <w:tcPr>
            <w:tcW w:w="794" w:type="dxa"/>
            <w:vAlign w:val="bottom"/>
          </w:tcPr>
          <w:p w14:paraId="595A7760" w14:textId="77777777" w:rsidR="004A285E" w:rsidRPr="00BF7750" w:rsidRDefault="004A285E" w:rsidP="000A69A2">
            <w:pPr>
              <w:pStyle w:val="-7"/>
              <w:jc w:val="left"/>
              <w:rPr>
                <w:sz w:val="18"/>
                <w:szCs w:val="18"/>
                <w:rtl/>
              </w:rPr>
            </w:pPr>
          </w:p>
        </w:tc>
        <w:tc>
          <w:tcPr>
            <w:tcW w:w="3742" w:type="dxa"/>
            <w:vAlign w:val="bottom"/>
          </w:tcPr>
          <w:p w14:paraId="7EA290F6" w14:textId="77777777" w:rsidR="004A285E" w:rsidRPr="00BF7750" w:rsidRDefault="004A285E" w:rsidP="000A69A2">
            <w:pPr>
              <w:pStyle w:val="-0"/>
              <w:rPr>
                <w:sz w:val="18"/>
                <w:szCs w:val="18"/>
                <w:rtl/>
              </w:rPr>
            </w:pPr>
          </w:p>
        </w:tc>
        <w:tc>
          <w:tcPr>
            <w:tcW w:w="3477" w:type="dxa"/>
            <w:gridSpan w:val="3"/>
            <w:vAlign w:val="bottom"/>
          </w:tcPr>
          <w:p w14:paraId="3DA02D92" w14:textId="77777777" w:rsidR="004A285E" w:rsidRPr="00BF7750" w:rsidRDefault="004A285E" w:rsidP="000A69A2">
            <w:pPr>
              <w:pStyle w:val="-4"/>
              <w:pBdr>
                <w:bottom w:val="single" w:sz="4" w:space="1" w:color="auto"/>
              </w:pBdr>
              <w:spacing w:line="192" w:lineRule="auto"/>
              <w:rPr>
                <w:b w:val="0"/>
                <w:bCs w:val="0"/>
                <w:sz w:val="18"/>
                <w:szCs w:val="18"/>
                <w:rtl/>
              </w:rPr>
            </w:pPr>
            <w:r w:rsidRPr="00BF7750">
              <w:rPr>
                <w:rFonts w:hint="eastAsia"/>
                <w:sz w:val="18"/>
                <w:szCs w:val="18"/>
                <w:rtl/>
              </w:rPr>
              <w:t>יתרת</w:t>
            </w:r>
            <w:r w:rsidRPr="00BF7750">
              <w:rPr>
                <w:sz w:val="18"/>
                <w:szCs w:val="18"/>
                <w:rtl/>
              </w:rPr>
              <w:t xml:space="preserve"> </w:t>
            </w:r>
            <w:r w:rsidRPr="00BF7750">
              <w:rPr>
                <w:rFonts w:hint="eastAsia"/>
                <w:sz w:val="18"/>
                <w:szCs w:val="18"/>
                <w:rtl/>
              </w:rPr>
              <w:t>הלוואות</w:t>
            </w:r>
            <w:r w:rsidRPr="00BF7750">
              <w:rPr>
                <w:sz w:val="18"/>
                <w:szCs w:val="18"/>
                <w:rtl/>
              </w:rPr>
              <w:t xml:space="preserve"> </w:t>
            </w:r>
            <w:r w:rsidRPr="00BF7750">
              <w:rPr>
                <w:rFonts w:hint="eastAsia"/>
                <w:sz w:val="18"/>
                <w:szCs w:val="18"/>
                <w:rtl/>
              </w:rPr>
              <w:t>לדיור</w:t>
            </w:r>
          </w:p>
        </w:tc>
        <w:tc>
          <w:tcPr>
            <w:tcW w:w="1189" w:type="dxa"/>
            <w:vAlign w:val="bottom"/>
          </w:tcPr>
          <w:p w14:paraId="45010BC9" w14:textId="77777777" w:rsidR="004A285E" w:rsidRPr="00BF7750" w:rsidRDefault="004A285E" w:rsidP="000A69A2">
            <w:pPr>
              <w:pStyle w:val="-4"/>
              <w:spacing w:line="192" w:lineRule="auto"/>
              <w:rPr>
                <w:b w:val="0"/>
                <w:bCs w:val="0"/>
                <w:sz w:val="18"/>
                <w:szCs w:val="18"/>
                <w:rtl/>
              </w:rPr>
            </w:pPr>
            <w:r w:rsidRPr="00BF7750">
              <w:rPr>
                <w:rFonts w:hint="eastAsia"/>
                <w:sz w:val="18"/>
                <w:szCs w:val="18"/>
                <w:rtl/>
              </w:rPr>
              <w:t>סיכון</w:t>
            </w:r>
            <w:r w:rsidRPr="00BF7750">
              <w:rPr>
                <w:sz w:val="18"/>
                <w:szCs w:val="18"/>
                <w:rtl/>
              </w:rPr>
              <w:t xml:space="preserve"> </w:t>
            </w:r>
            <w:r w:rsidRPr="00BF7750">
              <w:rPr>
                <w:rFonts w:hint="eastAsia"/>
                <w:sz w:val="18"/>
                <w:szCs w:val="18"/>
                <w:rtl/>
              </w:rPr>
              <w:t>אשראי</w:t>
            </w:r>
            <w:r w:rsidRPr="00BF7750">
              <w:rPr>
                <w:b w:val="0"/>
                <w:bCs w:val="0"/>
                <w:sz w:val="18"/>
                <w:szCs w:val="18"/>
                <w:rtl/>
              </w:rPr>
              <w:t xml:space="preserve"> </w:t>
            </w:r>
            <w:r w:rsidRPr="00BF7750">
              <w:rPr>
                <w:rFonts w:hint="cs"/>
                <w:sz w:val="18"/>
                <w:szCs w:val="18"/>
                <w:rtl/>
              </w:rPr>
              <w:t>חוץ מאזני</w:t>
            </w:r>
          </w:p>
        </w:tc>
      </w:tr>
      <w:tr w:rsidR="004A285E" w:rsidRPr="00BF7750" w14:paraId="46D7079B" w14:textId="77777777" w:rsidTr="000A69A2">
        <w:trPr>
          <w:trHeight w:val="259"/>
        </w:trPr>
        <w:tc>
          <w:tcPr>
            <w:tcW w:w="970" w:type="dxa"/>
          </w:tcPr>
          <w:p w14:paraId="03849959" w14:textId="77777777" w:rsidR="004A285E" w:rsidRPr="00BF7750" w:rsidRDefault="004A285E" w:rsidP="000A69A2">
            <w:pPr>
              <w:pStyle w:val="-7"/>
              <w:jc w:val="left"/>
              <w:rPr>
                <w:sz w:val="18"/>
                <w:szCs w:val="18"/>
                <w:rtl/>
              </w:rPr>
            </w:pPr>
          </w:p>
        </w:tc>
        <w:tc>
          <w:tcPr>
            <w:tcW w:w="794" w:type="dxa"/>
            <w:vAlign w:val="bottom"/>
          </w:tcPr>
          <w:p w14:paraId="10FB9119" w14:textId="77777777" w:rsidR="004A285E" w:rsidRPr="00BF7750" w:rsidRDefault="004A285E" w:rsidP="000A69A2">
            <w:pPr>
              <w:pStyle w:val="-7"/>
              <w:jc w:val="left"/>
              <w:rPr>
                <w:sz w:val="18"/>
                <w:szCs w:val="18"/>
                <w:rtl/>
              </w:rPr>
            </w:pPr>
          </w:p>
        </w:tc>
        <w:tc>
          <w:tcPr>
            <w:tcW w:w="3742" w:type="dxa"/>
            <w:vAlign w:val="bottom"/>
          </w:tcPr>
          <w:p w14:paraId="1DFA348A" w14:textId="77777777" w:rsidR="004A285E" w:rsidRPr="00BF7750" w:rsidRDefault="004A285E" w:rsidP="000A69A2">
            <w:pPr>
              <w:pStyle w:val="-0"/>
              <w:rPr>
                <w:sz w:val="18"/>
                <w:szCs w:val="18"/>
                <w:rtl/>
              </w:rPr>
            </w:pPr>
          </w:p>
        </w:tc>
        <w:tc>
          <w:tcPr>
            <w:tcW w:w="992" w:type="dxa"/>
            <w:vAlign w:val="bottom"/>
          </w:tcPr>
          <w:p w14:paraId="22BE5E69" w14:textId="77777777" w:rsidR="004A285E" w:rsidRPr="004D099E" w:rsidRDefault="004A285E" w:rsidP="000A69A2">
            <w:pPr>
              <w:pStyle w:val="-4"/>
              <w:pBdr>
                <w:bottom w:val="single" w:sz="4" w:space="1" w:color="auto"/>
              </w:pBdr>
              <w:rPr>
                <w:sz w:val="18"/>
                <w:szCs w:val="18"/>
                <w:rtl/>
              </w:rPr>
            </w:pPr>
            <w:r w:rsidRPr="004D099E">
              <w:rPr>
                <w:rFonts w:hint="eastAsia"/>
                <w:sz w:val="18"/>
                <w:szCs w:val="18"/>
                <w:rtl/>
              </w:rPr>
              <w:t>סך</w:t>
            </w:r>
            <w:r w:rsidRPr="004D099E">
              <w:rPr>
                <w:rFonts w:hint="cs"/>
                <w:sz w:val="18"/>
                <w:szCs w:val="18"/>
                <w:rtl/>
              </w:rPr>
              <w:t xml:space="preserve"> </w:t>
            </w:r>
            <w:r w:rsidRPr="004D099E">
              <w:rPr>
                <w:rFonts w:hint="eastAsia"/>
                <w:sz w:val="18"/>
                <w:szCs w:val="18"/>
                <w:rtl/>
              </w:rPr>
              <w:t>הכל</w:t>
            </w:r>
          </w:p>
        </w:tc>
        <w:tc>
          <w:tcPr>
            <w:tcW w:w="992" w:type="dxa"/>
            <w:vAlign w:val="bottom"/>
          </w:tcPr>
          <w:p w14:paraId="7C38B889" w14:textId="77777777" w:rsidR="004A285E" w:rsidRPr="00BF7750" w:rsidRDefault="004A285E" w:rsidP="000A69A2">
            <w:pPr>
              <w:pStyle w:val="-4"/>
              <w:jc w:val="left"/>
              <w:rPr>
                <w:b w:val="0"/>
                <w:bCs w:val="0"/>
                <w:sz w:val="18"/>
                <w:szCs w:val="18"/>
                <w:rtl/>
              </w:rPr>
            </w:pPr>
            <w:r w:rsidRPr="00BF7750">
              <w:rPr>
                <w:rFonts w:hint="cs"/>
                <w:b w:val="0"/>
                <w:bCs w:val="0"/>
                <w:sz w:val="18"/>
                <w:szCs w:val="18"/>
                <w:rtl/>
              </w:rPr>
              <w:t>מזה:</w:t>
            </w:r>
          </w:p>
          <w:p w14:paraId="270C4A2B" w14:textId="77777777" w:rsidR="004A285E" w:rsidRPr="00BF7750" w:rsidRDefault="004A285E" w:rsidP="000A69A2">
            <w:pPr>
              <w:pStyle w:val="-4"/>
              <w:jc w:val="left"/>
              <w:rPr>
                <w:b w:val="0"/>
                <w:bCs w:val="0"/>
                <w:sz w:val="18"/>
                <w:szCs w:val="18"/>
                <w:rtl/>
              </w:rPr>
            </w:pPr>
            <w:r w:rsidRPr="00BF7750">
              <w:rPr>
                <w:rFonts w:hint="cs"/>
                <w:b w:val="0"/>
                <w:bCs w:val="0"/>
                <w:sz w:val="18"/>
                <w:szCs w:val="18"/>
                <w:rtl/>
              </w:rPr>
              <w:t>בולט</w:t>
            </w:r>
            <w:r>
              <w:rPr>
                <w:rFonts w:hint="cs"/>
                <w:b w:val="0"/>
                <w:bCs w:val="0"/>
                <w:sz w:val="18"/>
                <w:szCs w:val="18"/>
                <w:rtl/>
              </w:rPr>
              <w:t xml:space="preserve"> </w:t>
            </w:r>
            <w:r w:rsidRPr="00BF7750">
              <w:rPr>
                <w:rFonts w:hint="cs"/>
                <w:b w:val="0"/>
                <w:bCs w:val="0"/>
                <w:sz w:val="18"/>
                <w:szCs w:val="18"/>
                <w:rtl/>
              </w:rPr>
              <w:t>ובלון</w:t>
            </w:r>
            <w:r w:rsidRPr="00BF7750" w:rsidDel="00907ED7">
              <w:rPr>
                <w:rFonts w:hint="cs"/>
                <w:b w:val="0"/>
                <w:bCs w:val="0"/>
                <w:sz w:val="18"/>
                <w:szCs w:val="18"/>
                <w:vertAlign w:val="superscript"/>
                <w:rtl/>
              </w:rPr>
              <w:t xml:space="preserve"> </w:t>
            </w:r>
          </w:p>
        </w:tc>
        <w:tc>
          <w:tcPr>
            <w:tcW w:w="1493" w:type="dxa"/>
            <w:vAlign w:val="bottom"/>
          </w:tcPr>
          <w:p w14:paraId="1D862AC4" w14:textId="77777777" w:rsidR="004A285E" w:rsidRPr="00BF7750" w:rsidRDefault="004A285E" w:rsidP="000A69A2">
            <w:pPr>
              <w:pStyle w:val="-4"/>
              <w:pBdr>
                <w:bottom w:val="none" w:sz="0" w:space="0" w:color="auto"/>
              </w:pBdr>
              <w:jc w:val="left"/>
              <w:rPr>
                <w:b w:val="0"/>
                <w:bCs w:val="0"/>
                <w:sz w:val="18"/>
                <w:szCs w:val="18"/>
                <w:rtl/>
              </w:rPr>
            </w:pPr>
            <w:r w:rsidRPr="00BF7750">
              <w:rPr>
                <w:rFonts w:hint="cs"/>
                <w:b w:val="0"/>
                <w:bCs w:val="0"/>
                <w:sz w:val="18"/>
                <w:szCs w:val="18"/>
                <w:rtl/>
              </w:rPr>
              <w:t>מזה:</w:t>
            </w:r>
          </w:p>
          <w:p w14:paraId="3F235E32" w14:textId="77777777" w:rsidR="004A285E" w:rsidRPr="00BF7750" w:rsidRDefault="004A285E" w:rsidP="000A69A2">
            <w:pPr>
              <w:pStyle w:val="-4"/>
              <w:spacing w:line="240" w:lineRule="auto"/>
              <w:ind w:right="-57"/>
              <w:jc w:val="left"/>
              <w:rPr>
                <w:b w:val="0"/>
                <w:bCs w:val="0"/>
                <w:sz w:val="18"/>
                <w:szCs w:val="18"/>
                <w:rtl/>
              </w:rPr>
            </w:pPr>
            <w:r w:rsidRPr="00BF7750">
              <w:rPr>
                <w:rFonts w:hint="cs"/>
                <w:b w:val="0"/>
                <w:bCs w:val="0"/>
                <w:sz w:val="18"/>
                <w:szCs w:val="18"/>
                <w:rtl/>
              </w:rPr>
              <w:t>ריבית משתנה</w:t>
            </w:r>
          </w:p>
        </w:tc>
        <w:tc>
          <w:tcPr>
            <w:tcW w:w="1189" w:type="dxa"/>
            <w:vAlign w:val="bottom"/>
          </w:tcPr>
          <w:p w14:paraId="4AE17875" w14:textId="77777777" w:rsidR="004A285E" w:rsidRPr="004D099E" w:rsidRDefault="004A285E" w:rsidP="000A69A2">
            <w:pPr>
              <w:pStyle w:val="-4"/>
              <w:rPr>
                <w:sz w:val="18"/>
                <w:szCs w:val="18"/>
                <w:rtl/>
              </w:rPr>
            </w:pPr>
            <w:r w:rsidRPr="004D099E">
              <w:rPr>
                <w:rFonts w:hint="eastAsia"/>
                <w:sz w:val="18"/>
                <w:szCs w:val="18"/>
                <w:rtl/>
              </w:rPr>
              <w:t>סך</w:t>
            </w:r>
            <w:r w:rsidRPr="004D099E">
              <w:rPr>
                <w:sz w:val="18"/>
                <w:szCs w:val="18"/>
                <w:rtl/>
              </w:rPr>
              <w:t xml:space="preserve"> </w:t>
            </w:r>
            <w:r w:rsidRPr="004D099E">
              <w:rPr>
                <w:rFonts w:hint="eastAsia"/>
                <w:sz w:val="18"/>
                <w:szCs w:val="18"/>
                <w:rtl/>
              </w:rPr>
              <w:t>הכל</w:t>
            </w:r>
          </w:p>
        </w:tc>
      </w:tr>
      <w:tr w:rsidR="004A285E" w:rsidRPr="00BF7750" w14:paraId="674B57FB" w14:textId="77777777" w:rsidTr="000A69A2">
        <w:tc>
          <w:tcPr>
            <w:tcW w:w="970" w:type="dxa"/>
          </w:tcPr>
          <w:p w14:paraId="424B9CC0" w14:textId="77777777" w:rsidR="004A285E" w:rsidRPr="00BF7750" w:rsidRDefault="004A285E" w:rsidP="000A69A2">
            <w:pPr>
              <w:pStyle w:val="-7"/>
              <w:bidi w:val="0"/>
              <w:spacing w:line="60" w:lineRule="exact"/>
              <w:rPr>
                <w:sz w:val="18"/>
                <w:szCs w:val="18"/>
                <w:rtl/>
              </w:rPr>
            </w:pPr>
          </w:p>
        </w:tc>
        <w:tc>
          <w:tcPr>
            <w:tcW w:w="794" w:type="dxa"/>
            <w:vAlign w:val="bottom"/>
          </w:tcPr>
          <w:p w14:paraId="69C94A9D" w14:textId="77777777" w:rsidR="004A285E" w:rsidRPr="00BF7750" w:rsidRDefault="004A285E" w:rsidP="000A69A2">
            <w:pPr>
              <w:pStyle w:val="-7"/>
              <w:bidi w:val="0"/>
              <w:spacing w:line="60" w:lineRule="exact"/>
              <w:rPr>
                <w:sz w:val="18"/>
                <w:szCs w:val="18"/>
                <w:rtl/>
              </w:rPr>
            </w:pPr>
          </w:p>
        </w:tc>
        <w:tc>
          <w:tcPr>
            <w:tcW w:w="3742" w:type="dxa"/>
            <w:vAlign w:val="bottom"/>
          </w:tcPr>
          <w:p w14:paraId="6A405335" w14:textId="77777777" w:rsidR="004A285E" w:rsidRPr="00BF7750" w:rsidRDefault="004A285E" w:rsidP="000A69A2">
            <w:pPr>
              <w:pStyle w:val="-0"/>
              <w:bidi w:val="0"/>
              <w:spacing w:line="60" w:lineRule="exact"/>
              <w:jc w:val="both"/>
              <w:rPr>
                <w:sz w:val="18"/>
                <w:szCs w:val="18"/>
                <w:rtl/>
              </w:rPr>
            </w:pPr>
          </w:p>
        </w:tc>
        <w:tc>
          <w:tcPr>
            <w:tcW w:w="992" w:type="dxa"/>
            <w:vAlign w:val="bottom"/>
          </w:tcPr>
          <w:p w14:paraId="40C500DB" w14:textId="77777777" w:rsidR="004A285E" w:rsidRPr="00BF7750" w:rsidRDefault="004A285E" w:rsidP="000A69A2">
            <w:pPr>
              <w:pStyle w:val="-7"/>
              <w:bidi w:val="0"/>
              <w:spacing w:line="60" w:lineRule="exact"/>
              <w:rPr>
                <w:sz w:val="18"/>
                <w:szCs w:val="18"/>
                <w:rtl/>
              </w:rPr>
            </w:pPr>
          </w:p>
        </w:tc>
        <w:tc>
          <w:tcPr>
            <w:tcW w:w="992" w:type="dxa"/>
            <w:vAlign w:val="bottom"/>
          </w:tcPr>
          <w:p w14:paraId="60BE9AE9" w14:textId="77777777" w:rsidR="004A285E" w:rsidRPr="00BF7750" w:rsidRDefault="004A285E" w:rsidP="000A69A2">
            <w:pPr>
              <w:pStyle w:val="-7"/>
              <w:bidi w:val="0"/>
              <w:spacing w:line="60" w:lineRule="exact"/>
              <w:rPr>
                <w:sz w:val="18"/>
                <w:szCs w:val="18"/>
                <w:rtl/>
              </w:rPr>
            </w:pPr>
          </w:p>
        </w:tc>
        <w:tc>
          <w:tcPr>
            <w:tcW w:w="1493" w:type="dxa"/>
            <w:vAlign w:val="bottom"/>
          </w:tcPr>
          <w:p w14:paraId="0B49D62F" w14:textId="77777777" w:rsidR="004A285E" w:rsidRPr="00BF7750" w:rsidRDefault="004A285E" w:rsidP="000A69A2">
            <w:pPr>
              <w:pStyle w:val="-7"/>
              <w:bidi w:val="0"/>
              <w:spacing w:line="60" w:lineRule="exact"/>
              <w:rPr>
                <w:sz w:val="18"/>
                <w:szCs w:val="18"/>
                <w:rtl/>
              </w:rPr>
            </w:pPr>
          </w:p>
        </w:tc>
        <w:tc>
          <w:tcPr>
            <w:tcW w:w="1189" w:type="dxa"/>
            <w:vAlign w:val="bottom"/>
          </w:tcPr>
          <w:p w14:paraId="2AAA6E04" w14:textId="77777777" w:rsidR="004A285E" w:rsidRPr="00BF7750" w:rsidRDefault="004A285E" w:rsidP="000A69A2">
            <w:pPr>
              <w:pStyle w:val="-7"/>
              <w:bidi w:val="0"/>
              <w:spacing w:line="60" w:lineRule="exact"/>
              <w:rPr>
                <w:sz w:val="18"/>
                <w:szCs w:val="18"/>
                <w:rtl/>
              </w:rPr>
            </w:pPr>
          </w:p>
        </w:tc>
      </w:tr>
      <w:tr w:rsidR="004A285E" w:rsidRPr="00BF7750" w14:paraId="398EE95F" w14:textId="77777777" w:rsidTr="000A69A2">
        <w:trPr>
          <w:trHeight w:val="259"/>
        </w:trPr>
        <w:tc>
          <w:tcPr>
            <w:tcW w:w="970" w:type="dxa"/>
          </w:tcPr>
          <w:p w14:paraId="507B31CB" w14:textId="77777777" w:rsidR="004A285E" w:rsidRPr="00BF7750" w:rsidRDefault="004A285E" w:rsidP="000A69A2">
            <w:pPr>
              <w:pStyle w:val="-7"/>
              <w:jc w:val="left"/>
              <w:rPr>
                <w:sz w:val="18"/>
                <w:szCs w:val="18"/>
                <w:rtl/>
              </w:rPr>
            </w:pPr>
          </w:p>
        </w:tc>
        <w:tc>
          <w:tcPr>
            <w:tcW w:w="794" w:type="dxa"/>
            <w:vAlign w:val="bottom"/>
          </w:tcPr>
          <w:p w14:paraId="21320B05" w14:textId="77777777" w:rsidR="004A285E" w:rsidRPr="00BF7750" w:rsidRDefault="004A285E" w:rsidP="000A69A2">
            <w:pPr>
              <w:pStyle w:val="-7"/>
              <w:jc w:val="left"/>
              <w:rPr>
                <w:sz w:val="18"/>
                <w:szCs w:val="18"/>
                <w:rtl/>
              </w:rPr>
            </w:pPr>
          </w:p>
        </w:tc>
        <w:tc>
          <w:tcPr>
            <w:tcW w:w="3742" w:type="dxa"/>
            <w:vAlign w:val="bottom"/>
          </w:tcPr>
          <w:p w14:paraId="17DD833B" w14:textId="77777777" w:rsidR="004A285E" w:rsidRPr="00BF7750" w:rsidRDefault="004A285E" w:rsidP="000A69A2">
            <w:pPr>
              <w:pStyle w:val="-0"/>
              <w:spacing w:line="240" w:lineRule="auto"/>
              <w:rPr>
                <w:sz w:val="18"/>
                <w:szCs w:val="18"/>
                <w:rtl/>
              </w:rPr>
            </w:pPr>
            <w:r w:rsidRPr="004D099E">
              <w:rPr>
                <w:rFonts w:hint="cs"/>
                <w:b/>
                <w:bCs/>
                <w:sz w:val="18"/>
                <w:szCs w:val="18"/>
                <w:rtl/>
              </w:rPr>
              <w:t>שעבוד ראשון: שיעור המימון</w:t>
            </w:r>
            <w:r>
              <w:rPr>
                <w:rFonts w:hint="cs"/>
                <w:sz w:val="18"/>
                <w:szCs w:val="18"/>
                <w:rtl/>
              </w:rPr>
              <w:t xml:space="preserve">  </w:t>
            </w:r>
            <w:r w:rsidRPr="00BF7750">
              <w:rPr>
                <w:rFonts w:hint="cs"/>
                <w:sz w:val="18"/>
                <w:szCs w:val="18"/>
                <w:rtl/>
              </w:rPr>
              <w:t>עד 60%</w:t>
            </w:r>
          </w:p>
        </w:tc>
        <w:tc>
          <w:tcPr>
            <w:tcW w:w="992" w:type="dxa"/>
            <w:vAlign w:val="bottom"/>
          </w:tcPr>
          <w:p w14:paraId="28001BB1" w14:textId="77777777" w:rsidR="004A285E" w:rsidRPr="00BF7750" w:rsidRDefault="004A285E" w:rsidP="000A69A2">
            <w:pPr>
              <w:pStyle w:val="-7"/>
              <w:jc w:val="left"/>
              <w:rPr>
                <w:sz w:val="18"/>
                <w:szCs w:val="18"/>
                <w:rtl/>
              </w:rPr>
            </w:pPr>
            <w:r w:rsidRPr="00BF7750">
              <w:rPr>
                <w:rFonts w:hint="cs"/>
                <w:sz w:val="18"/>
                <w:szCs w:val="18"/>
                <w:rtl/>
              </w:rPr>
              <w:t xml:space="preserve"> 0</w:t>
            </w:r>
          </w:p>
        </w:tc>
        <w:tc>
          <w:tcPr>
            <w:tcW w:w="992" w:type="dxa"/>
            <w:vAlign w:val="bottom"/>
          </w:tcPr>
          <w:p w14:paraId="2733240D" w14:textId="77777777" w:rsidR="004A285E" w:rsidRPr="00BF7750" w:rsidRDefault="004A285E" w:rsidP="000A69A2">
            <w:pPr>
              <w:pStyle w:val="-7"/>
              <w:jc w:val="left"/>
              <w:rPr>
                <w:sz w:val="18"/>
                <w:szCs w:val="18"/>
                <w:rtl/>
              </w:rPr>
            </w:pPr>
            <w:r w:rsidRPr="00BF7750">
              <w:rPr>
                <w:rFonts w:hint="cs"/>
                <w:sz w:val="18"/>
                <w:szCs w:val="18"/>
                <w:rtl/>
              </w:rPr>
              <w:t xml:space="preserve"> 0</w:t>
            </w:r>
          </w:p>
        </w:tc>
        <w:tc>
          <w:tcPr>
            <w:tcW w:w="1493" w:type="dxa"/>
            <w:vAlign w:val="bottom"/>
          </w:tcPr>
          <w:p w14:paraId="6FFADCE3" w14:textId="77777777" w:rsidR="004A285E" w:rsidRPr="00BF7750" w:rsidRDefault="004A285E" w:rsidP="000A69A2">
            <w:pPr>
              <w:pStyle w:val="-7"/>
              <w:jc w:val="left"/>
              <w:rPr>
                <w:sz w:val="18"/>
                <w:szCs w:val="18"/>
                <w:rtl/>
              </w:rPr>
            </w:pPr>
            <w:r w:rsidRPr="00BF7750">
              <w:rPr>
                <w:rFonts w:hint="cs"/>
                <w:sz w:val="18"/>
                <w:szCs w:val="18"/>
                <w:rtl/>
              </w:rPr>
              <w:t xml:space="preserve"> 0</w:t>
            </w:r>
          </w:p>
        </w:tc>
        <w:tc>
          <w:tcPr>
            <w:tcW w:w="1189" w:type="dxa"/>
            <w:vAlign w:val="bottom"/>
          </w:tcPr>
          <w:p w14:paraId="05F8EC53" w14:textId="77777777" w:rsidR="004A285E" w:rsidRPr="00BF7750" w:rsidRDefault="004A285E" w:rsidP="000A69A2">
            <w:pPr>
              <w:pStyle w:val="-7"/>
              <w:jc w:val="left"/>
              <w:rPr>
                <w:sz w:val="18"/>
                <w:szCs w:val="18"/>
                <w:rtl/>
              </w:rPr>
            </w:pPr>
            <w:r w:rsidRPr="00BF7750">
              <w:rPr>
                <w:rFonts w:hint="cs"/>
                <w:sz w:val="18"/>
                <w:szCs w:val="18"/>
                <w:rtl/>
              </w:rPr>
              <w:t xml:space="preserve"> 0</w:t>
            </w:r>
          </w:p>
        </w:tc>
      </w:tr>
      <w:tr w:rsidR="004A285E" w:rsidRPr="00BF7750" w14:paraId="57FCA122" w14:textId="77777777" w:rsidTr="000A69A2">
        <w:trPr>
          <w:trHeight w:val="259"/>
        </w:trPr>
        <w:tc>
          <w:tcPr>
            <w:tcW w:w="970" w:type="dxa"/>
          </w:tcPr>
          <w:p w14:paraId="3A9BA459" w14:textId="77777777" w:rsidR="004A285E" w:rsidRPr="00BF7750" w:rsidRDefault="004A285E" w:rsidP="000A69A2">
            <w:pPr>
              <w:pStyle w:val="-7"/>
              <w:jc w:val="left"/>
              <w:rPr>
                <w:sz w:val="18"/>
                <w:szCs w:val="18"/>
                <w:rtl/>
              </w:rPr>
            </w:pPr>
          </w:p>
        </w:tc>
        <w:tc>
          <w:tcPr>
            <w:tcW w:w="794" w:type="dxa"/>
            <w:vAlign w:val="bottom"/>
          </w:tcPr>
          <w:p w14:paraId="7FFCC511" w14:textId="77777777" w:rsidR="004A285E" w:rsidRPr="00BF7750" w:rsidRDefault="004A285E" w:rsidP="000A69A2">
            <w:pPr>
              <w:pStyle w:val="-7"/>
              <w:jc w:val="left"/>
              <w:rPr>
                <w:sz w:val="18"/>
                <w:szCs w:val="18"/>
                <w:rtl/>
              </w:rPr>
            </w:pPr>
          </w:p>
        </w:tc>
        <w:tc>
          <w:tcPr>
            <w:tcW w:w="3742" w:type="dxa"/>
            <w:vAlign w:val="bottom"/>
          </w:tcPr>
          <w:p w14:paraId="1F211C1B" w14:textId="77777777" w:rsidR="004A285E" w:rsidRPr="00BF7750" w:rsidRDefault="004A285E" w:rsidP="000A69A2">
            <w:pPr>
              <w:pStyle w:val="-0"/>
              <w:spacing w:line="240" w:lineRule="auto"/>
              <w:ind w:left="1299"/>
              <w:rPr>
                <w:sz w:val="18"/>
                <w:szCs w:val="18"/>
                <w:rtl/>
              </w:rPr>
            </w:pPr>
            <w:r w:rsidRPr="00BF7750">
              <w:rPr>
                <w:sz w:val="18"/>
                <w:szCs w:val="18"/>
                <w:rtl/>
              </w:rPr>
              <w:tab/>
            </w:r>
            <w:r w:rsidRPr="00BF7750">
              <w:rPr>
                <w:rFonts w:hint="cs"/>
                <w:sz w:val="18"/>
                <w:szCs w:val="18"/>
                <w:rtl/>
              </w:rPr>
              <w:tab/>
            </w:r>
            <w:r w:rsidRPr="00BF7750">
              <w:rPr>
                <w:sz w:val="18"/>
                <w:szCs w:val="18"/>
                <w:rtl/>
              </w:rPr>
              <w:tab/>
            </w:r>
            <w:r>
              <w:rPr>
                <w:rFonts w:hint="cs"/>
                <w:sz w:val="18"/>
                <w:szCs w:val="18"/>
                <w:rtl/>
              </w:rPr>
              <w:t xml:space="preserve">      </w:t>
            </w:r>
            <w:r w:rsidRPr="00BF7750">
              <w:rPr>
                <w:rFonts w:hint="cs"/>
                <w:sz w:val="18"/>
                <w:szCs w:val="18"/>
                <w:rtl/>
              </w:rPr>
              <w:t>מעל 60%</w:t>
            </w:r>
          </w:p>
        </w:tc>
        <w:tc>
          <w:tcPr>
            <w:tcW w:w="992" w:type="dxa"/>
            <w:vAlign w:val="bottom"/>
          </w:tcPr>
          <w:p w14:paraId="54400642" w14:textId="77777777" w:rsidR="004A285E" w:rsidRPr="00BF7750" w:rsidRDefault="004A285E" w:rsidP="000A69A2">
            <w:pPr>
              <w:pStyle w:val="-7"/>
              <w:jc w:val="left"/>
              <w:rPr>
                <w:sz w:val="18"/>
                <w:szCs w:val="18"/>
                <w:rtl/>
              </w:rPr>
            </w:pPr>
            <w:r w:rsidRPr="00BF7750">
              <w:rPr>
                <w:rFonts w:hint="cs"/>
                <w:sz w:val="18"/>
                <w:szCs w:val="18"/>
                <w:rtl/>
              </w:rPr>
              <w:t xml:space="preserve"> 0</w:t>
            </w:r>
          </w:p>
        </w:tc>
        <w:tc>
          <w:tcPr>
            <w:tcW w:w="992" w:type="dxa"/>
            <w:vAlign w:val="bottom"/>
          </w:tcPr>
          <w:p w14:paraId="373CF2A3" w14:textId="77777777" w:rsidR="004A285E" w:rsidRPr="00BF7750" w:rsidRDefault="004A285E" w:rsidP="000A69A2">
            <w:pPr>
              <w:pStyle w:val="-7"/>
              <w:jc w:val="left"/>
              <w:rPr>
                <w:sz w:val="18"/>
                <w:szCs w:val="18"/>
                <w:rtl/>
              </w:rPr>
            </w:pPr>
            <w:r w:rsidRPr="00BF7750">
              <w:rPr>
                <w:rFonts w:hint="cs"/>
                <w:sz w:val="18"/>
                <w:szCs w:val="18"/>
                <w:rtl/>
              </w:rPr>
              <w:t xml:space="preserve"> 0</w:t>
            </w:r>
          </w:p>
        </w:tc>
        <w:tc>
          <w:tcPr>
            <w:tcW w:w="1493" w:type="dxa"/>
            <w:vAlign w:val="bottom"/>
          </w:tcPr>
          <w:p w14:paraId="383516D4" w14:textId="77777777" w:rsidR="004A285E" w:rsidRPr="00BF7750" w:rsidRDefault="004A285E" w:rsidP="000A69A2">
            <w:pPr>
              <w:pStyle w:val="-7"/>
              <w:jc w:val="left"/>
              <w:rPr>
                <w:sz w:val="18"/>
                <w:szCs w:val="18"/>
                <w:rtl/>
              </w:rPr>
            </w:pPr>
            <w:r w:rsidRPr="00BF7750">
              <w:rPr>
                <w:rFonts w:hint="cs"/>
                <w:sz w:val="18"/>
                <w:szCs w:val="18"/>
                <w:rtl/>
              </w:rPr>
              <w:t xml:space="preserve"> 0</w:t>
            </w:r>
          </w:p>
        </w:tc>
        <w:tc>
          <w:tcPr>
            <w:tcW w:w="1189" w:type="dxa"/>
            <w:vAlign w:val="bottom"/>
          </w:tcPr>
          <w:p w14:paraId="67B9A505" w14:textId="77777777" w:rsidR="004A285E" w:rsidRPr="00BF7750" w:rsidRDefault="004A285E" w:rsidP="000A69A2">
            <w:pPr>
              <w:pStyle w:val="-7"/>
              <w:jc w:val="left"/>
              <w:rPr>
                <w:sz w:val="18"/>
                <w:szCs w:val="18"/>
                <w:rtl/>
              </w:rPr>
            </w:pPr>
            <w:r w:rsidRPr="00BF7750">
              <w:rPr>
                <w:rFonts w:hint="cs"/>
                <w:sz w:val="18"/>
                <w:szCs w:val="18"/>
                <w:rtl/>
              </w:rPr>
              <w:t xml:space="preserve"> 0</w:t>
            </w:r>
          </w:p>
        </w:tc>
      </w:tr>
      <w:tr w:rsidR="004A285E" w:rsidRPr="00BF7750" w14:paraId="7221036D" w14:textId="77777777" w:rsidTr="000A69A2">
        <w:trPr>
          <w:trHeight w:val="259"/>
        </w:trPr>
        <w:tc>
          <w:tcPr>
            <w:tcW w:w="970" w:type="dxa"/>
          </w:tcPr>
          <w:p w14:paraId="11BE79E9" w14:textId="77777777" w:rsidR="004A285E" w:rsidRPr="00BF7750" w:rsidRDefault="004A285E" w:rsidP="000A69A2">
            <w:pPr>
              <w:pStyle w:val="-7"/>
              <w:jc w:val="left"/>
              <w:rPr>
                <w:sz w:val="18"/>
                <w:szCs w:val="18"/>
                <w:rtl/>
              </w:rPr>
            </w:pPr>
          </w:p>
        </w:tc>
        <w:tc>
          <w:tcPr>
            <w:tcW w:w="794" w:type="dxa"/>
            <w:vAlign w:val="bottom"/>
          </w:tcPr>
          <w:p w14:paraId="535789FA" w14:textId="77777777" w:rsidR="004A285E" w:rsidRPr="00BF7750" w:rsidRDefault="004A285E" w:rsidP="000A69A2">
            <w:pPr>
              <w:pStyle w:val="-7"/>
              <w:jc w:val="left"/>
              <w:rPr>
                <w:sz w:val="18"/>
                <w:szCs w:val="18"/>
                <w:rtl/>
              </w:rPr>
            </w:pPr>
          </w:p>
        </w:tc>
        <w:tc>
          <w:tcPr>
            <w:tcW w:w="3742" w:type="dxa"/>
            <w:vAlign w:val="bottom"/>
          </w:tcPr>
          <w:p w14:paraId="60552DB6" w14:textId="77777777" w:rsidR="004A285E" w:rsidRPr="004D099E" w:rsidRDefault="004A285E" w:rsidP="000A69A2">
            <w:pPr>
              <w:pStyle w:val="-0"/>
              <w:spacing w:line="240" w:lineRule="auto"/>
              <w:rPr>
                <w:b/>
                <w:bCs/>
                <w:sz w:val="18"/>
                <w:szCs w:val="18"/>
                <w:rtl/>
              </w:rPr>
            </w:pPr>
            <w:r w:rsidRPr="004D099E">
              <w:rPr>
                <w:rFonts w:hint="cs"/>
                <w:b/>
                <w:bCs/>
                <w:sz w:val="18"/>
                <w:szCs w:val="18"/>
                <w:rtl/>
              </w:rPr>
              <w:t>שעבוד משני או ללא שעבוד</w:t>
            </w:r>
          </w:p>
        </w:tc>
        <w:tc>
          <w:tcPr>
            <w:tcW w:w="992" w:type="dxa"/>
            <w:vAlign w:val="bottom"/>
          </w:tcPr>
          <w:p w14:paraId="3EC77C8E" w14:textId="77777777" w:rsidR="004A285E" w:rsidRPr="00BF7750" w:rsidRDefault="004A285E" w:rsidP="000A69A2">
            <w:pPr>
              <w:pStyle w:val="-7"/>
              <w:pBdr>
                <w:bottom w:val="single" w:sz="4" w:space="1" w:color="auto"/>
              </w:pBdr>
              <w:jc w:val="left"/>
              <w:rPr>
                <w:sz w:val="18"/>
                <w:szCs w:val="18"/>
                <w:rtl/>
              </w:rPr>
            </w:pPr>
            <w:r w:rsidRPr="00BF7750">
              <w:rPr>
                <w:rFonts w:hint="cs"/>
                <w:sz w:val="18"/>
                <w:szCs w:val="18"/>
                <w:rtl/>
              </w:rPr>
              <w:t xml:space="preserve"> 0</w:t>
            </w:r>
          </w:p>
        </w:tc>
        <w:tc>
          <w:tcPr>
            <w:tcW w:w="992" w:type="dxa"/>
            <w:vAlign w:val="bottom"/>
          </w:tcPr>
          <w:p w14:paraId="06021A79" w14:textId="77777777" w:rsidR="004A285E" w:rsidRPr="00BF7750" w:rsidRDefault="004A285E" w:rsidP="000A69A2">
            <w:pPr>
              <w:pStyle w:val="-7"/>
              <w:pBdr>
                <w:bottom w:val="single" w:sz="4" w:space="1" w:color="auto"/>
              </w:pBdr>
              <w:jc w:val="left"/>
              <w:rPr>
                <w:sz w:val="18"/>
                <w:szCs w:val="18"/>
                <w:rtl/>
              </w:rPr>
            </w:pPr>
            <w:r w:rsidRPr="00BF7750">
              <w:rPr>
                <w:rFonts w:hint="cs"/>
                <w:sz w:val="18"/>
                <w:szCs w:val="18"/>
                <w:rtl/>
              </w:rPr>
              <w:t xml:space="preserve"> 0</w:t>
            </w:r>
          </w:p>
        </w:tc>
        <w:tc>
          <w:tcPr>
            <w:tcW w:w="1493" w:type="dxa"/>
            <w:vAlign w:val="bottom"/>
          </w:tcPr>
          <w:p w14:paraId="19BE40FE" w14:textId="77777777" w:rsidR="004A285E" w:rsidRPr="00BF7750" w:rsidRDefault="004A285E" w:rsidP="000A69A2">
            <w:pPr>
              <w:pStyle w:val="-7"/>
              <w:pBdr>
                <w:bottom w:val="single" w:sz="4" w:space="1" w:color="auto"/>
              </w:pBdr>
              <w:jc w:val="left"/>
              <w:rPr>
                <w:sz w:val="18"/>
                <w:szCs w:val="18"/>
                <w:rtl/>
              </w:rPr>
            </w:pPr>
            <w:r w:rsidRPr="00BF7750">
              <w:rPr>
                <w:rFonts w:hint="cs"/>
                <w:sz w:val="18"/>
                <w:szCs w:val="18"/>
                <w:rtl/>
              </w:rPr>
              <w:t xml:space="preserve"> 0</w:t>
            </w:r>
          </w:p>
        </w:tc>
        <w:tc>
          <w:tcPr>
            <w:tcW w:w="1189" w:type="dxa"/>
            <w:vAlign w:val="bottom"/>
          </w:tcPr>
          <w:p w14:paraId="32D00A1F" w14:textId="77777777" w:rsidR="004A285E" w:rsidRPr="00BF7750" w:rsidRDefault="004A285E" w:rsidP="000A69A2">
            <w:pPr>
              <w:pStyle w:val="-7"/>
              <w:pBdr>
                <w:bottom w:val="single" w:sz="4" w:space="1" w:color="auto"/>
              </w:pBdr>
              <w:jc w:val="left"/>
              <w:rPr>
                <w:sz w:val="18"/>
                <w:szCs w:val="18"/>
                <w:rtl/>
              </w:rPr>
            </w:pPr>
            <w:r w:rsidRPr="00BF7750">
              <w:rPr>
                <w:rFonts w:hint="cs"/>
                <w:sz w:val="18"/>
                <w:szCs w:val="18"/>
                <w:rtl/>
              </w:rPr>
              <w:t xml:space="preserve"> 0</w:t>
            </w:r>
          </w:p>
        </w:tc>
      </w:tr>
      <w:tr w:rsidR="004A285E" w:rsidRPr="00BF7750" w14:paraId="5FB4D10D" w14:textId="77777777" w:rsidTr="000A69A2">
        <w:trPr>
          <w:trHeight w:val="259"/>
        </w:trPr>
        <w:tc>
          <w:tcPr>
            <w:tcW w:w="970" w:type="dxa"/>
          </w:tcPr>
          <w:p w14:paraId="778D6754" w14:textId="77777777" w:rsidR="004A285E" w:rsidRPr="00BF7750" w:rsidRDefault="004A285E" w:rsidP="000A69A2">
            <w:pPr>
              <w:pStyle w:val="-7"/>
              <w:jc w:val="left"/>
              <w:rPr>
                <w:sz w:val="18"/>
                <w:szCs w:val="18"/>
                <w:rtl/>
              </w:rPr>
            </w:pPr>
          </w:p>
        </w:tc>
        <w:tc>
          <w:tcPr>
            <w:tcW w:w="794" w:type="dxa"/>
            <w:vAlign w:val="bottom"/>
          </w:tcPr>
          <w:p w14:paraId="06C1EFBD" w14:textId="77777777" w:rsidR="004A285E" w:rsidRPr="00BF7750" w:rsidRDefault="004A285E" w:rsidP="000A69A2">
            <w:pPr>
              <w:pStyle w:val="-7"/>
              <w:jc w:val="left"/>
              <w:rPr>
                <w:sz w:val="18"/>
                <w:szCs w:val="18"/>
                <w:rtl/>
              </w:rPr>
            </w:pPr>
          </w:p>
        </w:tc>
        <w:tc>
          <w:tcPr>
            <w:tcW w:w="3742" w:type="dxa"/>
            <w:vAlign w:val="bottom"/>
          </w:tcPr>
          <w:p w14:paraId="5916E0A1" w14:textId="77777777" w:rsidR="004A285E" w:rsidRPr="00BF7750" w:rsidRDefault="004A285E" w:rsidP="000A69A2">
            <w:pPr>
              <w:pStyle w:val="-b"/>
              <w:spacing w:line="240" w:lineRule="auto"/>
              <w:rPr>
                <w:sz w:val="18"/>
                <w:szCs w:val="18"/>
                <w:rtl/>
              </w:rPr>
            </w:pPr>
            <w:r w:rsidRPr="00BF7750">
              <w:rPr>
                <w:rFonts w:hint="cs"/>
                <w:sz w:val="18"/>
                <w:szCs w:val="18"/>
                <w:rtl/>
              </w:rPr>
              <w:t>סך הכל</w:t>
            </w:r>
          </w:p>
        </w:tc>
        <w:tc>
          <w:tcPr>
            <w:tcW w:w="992" w:type="dxa"/>
            <w:vAlign w:val="bottom"/>
          </w:tcPr>
          <w:p w14:paraId="5DB45874" w14:textId="77777777" w:rsidR="004A285E" w:rsidRPr="00BF7750" w:rsidRDefault="004A285E" w:rsidP="000A69A2">
            <w:pPr>
              <w:pStyle w:val="-f1"/>
              <w:pBdr>
                <w:top w:val="none" w:sz="0" w:space="0" w:color="auto"/>
                <w:bottom w:val="double" w:sz="4" w:space="1" w:color="auto"/>
              </w:pBdr>
              <w:rPr>
                <w:sz w:val="18"/>
                <w:szCs w:val="18"/>
                <w:rtl/>
              </w:rPr>
            </w:pPr>
            <w:r w:rsidRPr="00BF7750">
              <w:rPr>
                <w:rFonts w:hint="cs"/>
                <w:sz w:val="18"/>
                <w:szCs w:val="18"/>
                <w:rtl/>
              </w:rPr>
              <w:t xml:space="preserve"> 0</w:t>
            </w:r>
          </w:p>
        </w:tc>
        <w:tc>
          <w:tcPr>
            <w:tcW w:w="992" w:type="dxa"/>
            <w:vAlign w:val="bottom"/>
          </w:tcPr>
          <w:p w14:paraId="6AB23D6B" w14:textId="77777777" w:rsidR="004A285E" w:rsidRPr="00BF7750" w:rsidRDefault="004A285E" w:rsidP="000A69A2">
            <w:pPr>
              <w:pStyle w:val="-f1"/>
              <w:pBdr>
                <w:top w:val="none" w:sz="0" w:space="0" w:color="auto"/>
                <w:bottom w:val="double" w:sz="4" w:space="1" w:color="auto"/>
              </w:pBdr>
              <w:rPr>
                <w:sz w:val="18"/>
                <w:szCs w:val="18"/>
                <w:rtl/>
              </w:rPr>
            </w:pPr>
            <w:r w:rsidRPr="00BF7750">
              <w:rPr>
                <w:rFonts w:hint="cs"/>
                <w:sz w:val="18"/>
                <w:szCs w:val="18"/>
                <w:rtl/>
              </w:rPr>
              <w:t xml:space="preserve"> 0</w:t>
            </w:r>
          </w:p>
        </w:tc>
        <w:tc>
          <w:tcPr>
            <w:tcW w:w="1493" w:type="dxa"/>
            <w:vAlign w:val="bottom"/>
          </w:tcPr>
          <w:p w14:paraId="52EB258F" w14:textId="77777777" w:rsidR="004A285E" w:rsidRPr="00BF7750" w:rsidRDefault="004A285E" w:rsidP="000A69A2">
            <w:pPr>
              <w:pStyle w:val="-f1"/>
              <w:pBdr>
                <w:top w:val="none" w:sz="0" w:space="0" w:color="auto"/>
                <w:bottom w:val="double" w:sz="4" w:space="1" w:color="auto"/>
              </w:pBdr>
              <w:rPr>
                <w:sz w:val="18"/>
                <w:szCs w:val="18"/>
                <w:rtl/>
              </w:rPr>
            </w:pPr>
            <w:r w:rsidRPr="00BF7750">
              <w:rPr>
                <w:rFonts w:hint="cs"/>
                <w:sz w:val="18"/>
                <w:szCs w:val="18"/>
                <w:rtl/>
              </w:rPr>
              <w:t xml:space="preserve"> 0</w:t>
            </w:r>
          </w:p>
        </w:tc>
        <w:tc>
          <w:tcPr>
            <w:tcW w:w="1189" w:type="dxa"/>
            <w:vAlign w:val="bottom"/>
          </w:tcPr>
          <w:p w14:paraId="220CCA2C" w14:textId="77777777" w:rsidR="004A285E" w:rsidRPr="00BF7750" w:rsidRDefault="004A285E" w:rsidP="000A69A2">
            <w:pPr>
              <w:pStyle w:val="-f1"/>
              <w:pBdr>
                <w:top w:val="none" w:sz="0" w:space="0" w:color="auto"/>
                <w:bottom w:val="double" w:sz="4" w:space="1" w:color="auto"/>
              </w:pBdr>
              <w:rPr>
                <w:sz w:val="18"/>
                <w:szCs w:val="18"/>
                <w:rtl/>
              </w:rPr>
            </w:pPr>
            <w:r w:rsidRPr="00BF7750">
              <w:rPr>
                <w:rFonts w:hint="cs"/>
                <w:sz w:val="18"/>
                <w:szCs w:val="18"/>
                <w:rtl/>
              </w:rPr>
              <w:t xml:space="preserve"> 0</w:t>
            </w:r>
          </w:p>
        </w:tc>
      </w:tr>
    </w:tbl>
    <w:p w14:paraId="5B71B057" w14:textId="480E596E" w:rsidR="00F32A2A" w:rsidRDefault="00F32A2A">
      <w:pPr>
        <w:rPr>
          <w:rtl/>
        </w:rPr>
      </w:pPr>
    </w:p>
    <w:p w14:paraId="6989BD9B" w14:textId="77777777" w:rsidR="004C0D22" w:rsidRDefault="004C0D22">
      <w:pPr>
        <w:rPr>
          <w:rtl/>
        </w:rPr>
      </w:pPr>
    </w:p>
    <w:tbl>
      <w:tblPr>
        <w:bidiVisual/>
        <w:tblW w:w="4983" w:type="pct"/>
        <w:tblLayout w:type="fixed"/>
        <w:tblLook w:val="01E0" w:firstRow="1" w:lastRow="1" w:firstColumn="1" w:lastColumn="1" w:noHBand="0" w:noVBand="0"/>
      </w:tblPr>
      <w:tblGrid>
        <w:gridCol w:w="970"/>
        <w:gridCol w:w="794"/>
        <w:gridCol w:w="3742"/>
        <w:gridCol w:w="992"/>
        <w:gridCol w:w="992"/>
        <w:gridCol w:w="1493"/>
        <w:gridCol w:w="1189"/>
      </w:tblGrid>
      <w:tr w:rsidR="004A285E" w:rsidRPr="00BF7750" w14:paraId="5560538B" w14:textId="77777777" w:rsidTr="000A69A2">
        <w:trPr>
          <w:trHeight w:val="259"/>
        </w:trPr>
        <w:tc>
          <w:tcPr>
            <w:tcW w:w="970" w:type="dxa"/>
          </w:tcPr>
          <w:p w14:paraId="6FC42EC3" w14:textId="77777777" w:rsidR="004A285E" w:rsidRPr="00BF7750" w:rsidRDefault="004A285E" w:rsidP="000A69A2">
            <w:pPr>
              <w:pStyle w:val="-7"/>
              <w:jc w:val="left"/>
              <w:rPr>
                <w:sz w:val="18"/>
                <w:szCs w:val="18"/>
                <w:rtl/>
              </w:rPr>
            </w:pPr>
          </w:p>
        </w:tc>
        <w:tc>
          <w:tcPr>
            <w:tcW w:w="794" w:type="dxa"/>
            <w:vAlign w:val="bottom"/>
          </w:tcPr>
          <w:p w14:paraId="5442CF92" w14:textId="77777777" w:rsidR="004A285E" w:rsidRPr="00BF7750" w:rsidRDefault="004A285E" w:rsidP="000A69A2">
            <w:pPr>
              <w:pStyle w:val="-7"/>
              <w:jc w:val="left"/>
              <w:rPr>
                <w:sz w:val="18"/>
                <w:szCs w:val="18"/>
                <w:rtl/>
              </w:rPr>
            </w:pPr>
          </w:p>
        </w:tc>
        <w:tc>
          <w:tcPr>
            <w:tcW w:w="3742" w:type="dxa"/>
            <w:vAlign w:val="bottom"/>
          </w:tcPr>
          <w:p w14:paraId="22220110" w14:textId="37F0E6B1" w:rsidR="004A285E" w:rsidRPr="00BF7750" w:rsidRDefault="004A285E" w:rsidP="000A69A2">
            <w:pPr>
              <w:pStyle w:val="-0"/>
              <w:rPr>
                <w:sz w:val="18"/>
                <w:szCs w:val="18"/>
                <w:rtl/>
              </w:rPr>
            </w:pPr>
          </w:p>
        </w:tc>
        <w:tc>
          <w:tcPr>
            <w:tcW w:w="4666" w:type="dxa"/>
            <w:gridSpan w:val="4"/>
            <w:vAlign w:val="bottom"/>
          </w:tcPr>
          <w:p w14:paraId="0D8F814E" w14:textId="3FA8321A" w:rsidR="004A285E" w:rsidRPr="00BF7750" w:rsidRDefault="004A285E" w:rsidP="004A285E">
            <w:pPr>
              <w:pBdr>
                <w:bottom w:val="single" w:sz="4" w:space="1" w:color="auto"/>
              </w:pBdr>
              <w:bidi w:val="0"/>
              <w:jc w:val="center"/>
              <w:rPr>
                <w:sz w:val="18"/>
                <w:szCs w:val="18"/>
                <w:rtl/>
              </w:rPr>
            </w:pPr>
            <w:r w:rsidRPr="004A285E">
              <w:rPr>
                <w:b/>
                <w:bCs/>
                <w:sz w:val="18"/>
                <w:szCs w:val="18"/>
                <w:rtl/>
              </w:rPr>
              <w:t xml:space="preserve">ליום 31 בדצמבר 2023  </w:t>
            </w:r>
            <w:r w:rsidRPr="004A285E">
              <w:rPr>
                <w:sz w:val="18"/>
                <w:szCs w:val="18"/>
                <w:rtl/>
              </w:rPr>
              <w:t>(מבוקר)</w:t>
            </w:r>
          </w:p>
        </w:tc>
      </w:tr>
      <w:tr w:rsidR="004A285E" w:rsidRPr="00BF7750" w14:paraId="58825360" w14:textId="77777777" w:rsidTr="000A69A2">
        <w:trPr>
          <w:trHeight w:val="259"/>
        </w:trPr>
        <w:tc>
          <w:tcPr>
            <w:tcW w:w="970" w:type="dxa"/>
          </w:tcPr>
          <w:p w14:paraId="6B71DCE7" w14:textId="77777777" w:rsidR="004A285E" w:rsidRPr="00BF7750" w:rsidRDefault="004A285E" w:rsidP="000A69A2">
            <w:pPr>
              <w:pStyle w:val="-7"/>
              <w:jc w:val="left"/>
              <w:rPr>
                <w:sz w:val="18"/>
                <w:szCs w:val="18"/>
                <w:rtl/>
              </w:rPr>
            </w:pPr>
          </w:p>
        </w:tc>
        <w:tc>
          <w:tcPr>
            <w:tcW w:w="794" w:type="dxa"/>
            <w:vAlign w:val="bottom"/>
          </w:tcPr>
          <w:p w14:paraId="0A3468DB" w14:textId="77777777" w:rsidR="004A285E" w:rsidRPr="00BF7750" w:rsidRDefault="004A285E" w:rsidP="000A69A2">
            <w:pPr>
              <w:pStyle w:val="-7"/>
              <w:jc w:val="left"/>
              <w:rPr>
                <w:sz w:val="18"/>
                <w:szCs w:val="18"/>
                <w:rtl/>
              </w:rPr>
            </w:pPr>
          </w:p>
        </w:tc>
        <w:tc>
          <w:tcPr>
            <w:tcW w:w="3742" w:type="dxa"/>
            <w:vAlign w:val="bottom"/>
          </w:tcPr>
          <w:p w14:paraId="17A7526F" w14:textId="77777777" w:rsidR="004A285E" w:rsidRPr="00BF7750" w:rsidRDefault="004A285E" w:rsidP="000A69A2">
            <w:pPr>
              <w:pStyle w:val="-0"/>
              <w:rPr>
                <w:sz w:val="18"/>
                <w:szCs w:val="18"/>
                <w:rtl/>
              </w:rPr>
            </w:pPr>
          </w:p>
        </w:tc>
        <w:tc>
          <w:tcPr>
            <w:tcW w:w="3477" w:type="dxa"/>
            <w:gridSpan w:val="3"/>
            <w:vAlign w:val="bottom"/>
          </w:tcPr>
          <w:p w14:paraId="09121AA2" w14:textId="77777777" w:rsidR="004A285E" w:rsidRPr="00BF7750" w:rsidRDefault="004A285E" w:rsidP="000A69A2">
            <w:pPr>
              <w:pStyle w:val="-4"/>
              <w:pBdr>
                <w:bottom w:val="single" w:sz="4" w:space="1" w:color="auto"/>
              </w:pBdr>
              <w:spacing w:line="192" w:lineRule="auto"/>
              <w:rPr>
                <w:b w:val="0"/>
                <w:bCs w:val="0"/>
                <w:sz w:val="18"/>
                <w:szCs w:val="18"/>
                <w:rtl/>
              </w:rPr>
            </w:pPr>
            <w:r w:rsidRPr="00BF7750">
              <w:rPr>
                <w:rFonts w:hint="eastAsia"/>
                <w:sz w:val="18"/>
                <w:szCs w:val="18"/>
                <w:rtl/>
              </w:rPr>
              <w:t>יתרת</w:t>
            </w:r>
            <w:r w:rsidRPr="00BF7750">
              <w:rPr>
                <w:sz w:val="18"/>
                <w:szCs w:val="18"/>
                <w:rtl/>
              </w:rPr>
              <w:t xml:space="preserve"> </w:t>
            </w:r>
            <w:r w:rsidRPr="00BF7750">
              <w:rPr>
                <w:rFonts w:hint="eastAsia"/>
                <w:sz w:val="18"/>
                <w:szCs w:val="18"/>
                <w:rtl/>
              </w:rPr>
              <w:t>הלוואות</w:t>
            </w:r>
            <w:r w:rsidRPr="00BF7750">
              <w:rPr>
                <w:sz w:val="18"/>
                <w:szCs w:val="18"/>
                <w:rtl/>
              </w:rPr>
              <w:t xml:space="preserve"> </w:t>
            </w:r>
            <w:r w:rsidRPr="00BF7750">
              <w:rPr>
                <w:rFonts w:hint="eastAsia"/>
                <w:sz w:val="18"/>
                <w:szCs w:val="18"/>
                <w:rtl/>
              </w:rPr>
              <w:t>לדיור</w:t>
            </w:r>
          </w:p>
        </w:tc>
        <w:tc>
          <w:tcPr>
            <w:tcW w:w="1189" w:type="dxa"/>
            <w:vAlign w:val="bottom"/>
          </w:tcPr>
          <w:p w14:paraId="16947612" w14:textId="77777777" w:rsidR="004A285E" w:rsidRPr="00BF7750" w:rsidRDefault="004A285E" w:rsidP="000A69A2">
            <w:pPr>
              <w:pStyle w:val="-4"/>
              <w:spacing w:line="192" w:lineRule="auto"/>
              <w:rPr>
                <w:b w:val="0"/>
                <w:bCs w:val="0"/>
                <w:sz w:val="18"/>
                <w:szCs w:val="18"/>
                <w:rtl/>
              </w:rPr>
            </w:pPr>
            <w:r w:rsidRPr="00BF7750">
              <w:rPr>
                <w:rFonts w:hint="eastAsia"/>
                <w:sz w:val="18"/>
                <w:szCs w:val="18"/>
                <w:rtl/>
              </w:rPr>
              <w:t>סיכון</w:t>
            </w:r>
            <w:r w:rsidRPr="00BF7750">
              <w:rPr>
                <w:sz w:val="18"/>
                <w:szCs w:val="18"/>
                <w:rtl/>
              </w:rPr>
              <w:t xml:space="preserve"> </w:t>
            </w:r>
            <w:r w:rsidRPr="00BF7750">
              <w:rPr>
                <w:rFonts w:hint="eastAsia"/>
                <w:sz w:val="18"/>
                <w:szCs w:val="18"/>
                <w:rtl/>
              </w:rPr>
              <w:t>אשראי</w:t>
            </w:r>
            <w:r w:rsidRPr="00BF7750">
              <w:rPr>
                <w:b w:val="0"/>
                <w:bCs w:val="0"/>
                <w:sz w:val="18"/>
                <w:szCs w:val="18"/>
                <w:rtl/>
              </w:rPr>
              <w:t xml:space="preserve"> </w:t>
            </w:r>
            <w:r w:rsidRPr="00BF7750">
              <w:rPr>
                <w:rFonts w:hint="cs"/>
                <w:sz w:val="18"/>
                <w:szCs w:val="18"/>
                <w:rtl/>
              </w:rPr>
              <w:t>חוץ מאזני</w:t>
            </w:r>
          </w:p>
        </w:tc>
      </w:tr>
      <w:tr w:rsidR="004A285E" w:rsidRPr="00BF7750" w14:paraId="79C01A1A" w14:textId="77777777" w:rsidTr="000A69A2">
        <w:trPr>
          <w:trHeight w:val="259"/>
        </w:trPr>
        <w:tc>
          <w:tcPr>
            <w:tcW w:w="970" w:type="dxa"/>
          </w:tcPr>
          <w:p w14:paraId="1AC5649E" w14:textId="77777777" w:rsidR="004A285E" w:rsidRPr="00BF7750" w:rsidRDefault="004A285E" w:rsidP="000A69A2">
            <w:pPr>
              <w:pStyle w:val="-7"/>
              <w:jc w:val="left"/>
              <w:rPr>
                <w:sz w:val="18"/>
                <w:szCs w:val="18"/>
                <w:rtl/>
              </w:rPr>
            </w:pPr>
          </w:p>
        </w:tc>
        <w:tc>
          <w:tcPr>
            <w:tcW w:w="794" w:type="dxa"/>
            <w:vAlign w:val="bottom"/>
          </w:tcPr>
          <w:p w14:paraId="21B1B39A" w14:textId="77777777" w:rsidR="004A285E" w:rsidRPr="00BF7750" w:rsidRDefault="004A285E" w:rsidP="000A69A2">
            <w:pPr>
              <w:pStyle w:val="-7"/>
              <w:jc w:val="left"/>
              <w:rPr>
                <w:sz w:val="18"/>
                <w:szCs w:val="18"/>
                <w:rtl/>
              </w:rPr>
            </w:pPr>
          </w:p>
        </w:tc>
        <w:tc>
          <w:tcPr>
            <w:tcW w:w="3742" w:type="dxa"/>
            <w:vAlign w:val="bottom"/>
          </w:tcPr>
          <w:p w14:paraId="3943E93F" w14:textId="77777777" w:rsidR="004A285E" w:rsidRPr="00BF7750" w:rsidRDefault="004A285E" w:rsidP="000A69A2">
            <w:pPr>
              <w:pStyle w:val="-0"/>
              <w:rPr>
                <w:sz w:val="18"/>
                <w:szCs w:val="18"/>
                <w:rtl/>
              </w:rPr>
            </w:pPr>
          </w:p>
        </w:tc>
        <w:tc>
          <w:tcPr>
            <w:tcW w:w="992" w:type="dxa"/>
            <w:vAlign w:val="bottom"/>
          </w:tcPr>
          <w:p w14:paraId="7D57E89B" w14:textId="77777777" w:rsidR="004A285E" w:rsidRPr="004D099E" w:rsidRDefault="004A285E" w:rsidP="000A69A2">
            <w:pPr>
              <w:pStyle w:val="-4"/>
              <w:pBdr>
                <w:bottom w:val="single" w:sz="4" w:space="1" w:color="auto"/>
              </w:pBdr>
              <w:rPr>
                <w:sz w:val="18"/>
                <w:szCs w:val="18"/>
                <w:rtl/>
              </w:rPr>
            </w:pPr>
            <w:r w:rsidRPr="004D099E">
              <w:rPr>
                <w:rFonts w:hint="eastAsia"/>
                <w:sz w:val="18"/>
                <w:szCs w:val="18"/>
                <w:rtl/>
              </w:rPr>
              <w:t>סך</w:t>
            </w:r>
            <w:r w:rsidRPr="004D099E">
              <w:rPr>
                <w:rFonts w:hint="cs"/>
                <w:sz w:val="18"/>
                <w:szCs w:val="18"/>
                <w:rtl/>
              </w:rPr>
              <w:t xml:space="preserve"> </w:t>
            </w:r>
            <w:r w:rsidRPr="004D099E">
              <w:rPr>
                <w:rFonts w:hint="eastAsia"/>
                <w:sz w:val="18"/>
                <w:szCs w:val="18"/>
                <w:rtl/>
              </w:rPr>
              <w:t>הכל</w:t>
            </w:r>
          </w:p>
        </w:tc>
        <w:tc>
          <w:tcPr>
            <w:tcW w:w="992" w:type="dxa"/>
            <w:vAlign w:val="bottom"/>
          </w:tcPr>
          <w:p w14:paraId="30837088" w14:textId="77777777" w:rsidR="004A285E" w:rsidRPr="00BF7750" w:rsidRDefault="004A285E" w:rsidP="000A69A2">
            <w:pPr>
              <w:pStyle w:val="-4"/>
              <w:jc w:val="left"/>
              <w:rPr>
                <w:b w:val="0"/>
                <w:bCs w:val="0"/>
                <w:sz w:val="18"/>
                <w:szCs w:val="18"/>
                <w:rtl/>
              </w:rPr>
            </w:pPr>
            <w:r w:rsidRPr="00BF7750">
              <w:rPr>
                <w:rFonts w:hint="cs"/>
                <w:b w:val="0"/>
                <w:bCs w:val="0"/>
                <w:sz w:val="18"/>
                <w:szCs w:val="18"/>
                <w:rtl/>
              </w:rPr>
              <w:t>מזה:</w:t>
            </w:r>
          </w:p>
          <w:p w14:paraId="3D80CC60" w14:textId="77777777" w:rsidR="004A285E" w:rsidRPr="00BF7750" w:rsidRDefault="004A285E" w:rsidP="000A69A2">
            <w:pPr>
              <w:pStyle w:val="-4"/>
              <w:jc w:val="left"/>
              <w:rPr>
                <w:b w:val="0"/>
                <w:bCs w:val="0"/>
                <w:sz w:val="18"/>
                <w:szCs w:val="18"/>
                <w:rtl/>
              </w:rPr>
            </w:pPr>
            <w:r w:rsidRPr="00BF7750">
              <w:rPr>
                <w:rFonts w:hint="cs"/>
                <w:b w:val="0"/>
                <w:bCs w:val="0"/>
                <w:sz w:val="18"/>
                <w:szCs w:val="18"/>
                <w:rtl/>
              </w:rPr>
              <w:t>בולט</w:t>
            </w:r>
            <w:r>
              <w:rPr>
                <w:rFonts w:hint="cs"/>
                <w:b w:val="0"/>
                <w:bCs w:val="0"/>
                <w:sz w:val="18"/>
                <w:szCs w:val="18"/>
                <w:rtl/>
              </w:rPr>
              <w:t xml:space="preserve"> </w:t>
            </w:r>
            <w:r w:rsidRPr="00BF7750">
              <w:rPr>
                <w:rFonts w:hint="cs"/>
                <w:b w:val="0"/>
                <w:bCs w:val="0"/>
                <w:sz w:val="18"/>
                <w:szCs w:val="18"/>
                <w:rtl/>
              </w:rPr>
              <w:t>ובלון</w:t>
            </w:r>
            <w:r w:rsidRPr="00BF7750" w:rsidDel="00907ED7">
              <w:rPr>
                <w:rFonts w:hint="cs"/>
                <w:b w:val="0"/>
                <w:bCs w:val="0"/>
                <w:sz w:val="18"/>
                <w:szCs w:val="18"/>
                <w:vertAlign w:val="superscript"/>
                <w:rtl/>
              </w:rPr>
              <w:t xml:space="preserve"> </w:t>
            </w:r>
          </w:p>
        </w:tc>
        <w:tc>
          <w:tcPr>
            <w:tcW w:w="1493" w:type="dxa"/>
            <w:vAlign w:val="bottom"/>
          </w:tcPr>
          <w:p w14:paraId="112D56D8" w14:textId="77777777" w:rsidR="004A285E" w:rsidRPr="00BF7750" w:rsidRDefault="004A285E" w:rsidP="000A69A2">
            <w:pPr>
              <w:pStyle w:val="-4"/>
              <w:pBdr>
                <w:bottom w:val="none" w:sz="0" w:space="0" w:color="auto"/>
              </w:pBdr>
              <w:jc w:val="left"/>
              <w:rPr>
                <w:b w:val="0"/>
                <w:bCs w:val="0"/>
                <w:sz w:val="18"/>
                <w:szCs w:val="18"/>
                <w:rtl/>
              </w:rPr>
            </w:pPr>
            <w:r w:rsidRPr="00BF7750">
              <w:rPr>
                <w:rFonts w:hint="cs"/>
                <w:b w:val="0"/>
                <w:bCs w:val="0"/>
                <w:sz w:val="18"/>
                <w:szCs w:val="18"/>
                <w:rtl/>
              </w:rPr>
              <w:t>מזה:</w:t>
            </w:r>
          </w:p>
          <w:p w14:paraId="13695963" w14:textId="77777777" w:rsidR="004A285E" w:rsidRPr="00BF7750" w:rsidRDefault="004A285E" w:rsidP="000A69A2">
            <w:pPr>
              <w:pStyle w:val="-4"/>
              <w:spacing w:line="240" w:lineRule="auto"/>
              <w:ind w:right="-57"/>
              <w:jc w:val="left"/>
              <w:rPr>
                <w:b w:val="0"/>
                <w:bCs w:val="0"/>
                <w:sz w:val="18"/>
                <w:szCs w:val="18"/>
                <w:rtl/>
              </w:rPr>
            </w:pPr>
            <w:r w:rsidRPr="00BF7750">
              <w:rPr>
                <w:rFonts w:hint="cs"/>
                <w:b w:val="0"/>
                <w:bCs w:val="0"/>
                <w:sz w:val="18"/>
                <w:szCs w:val="18"/>
                <w:rtl/>
              </w:rPr>
              <w:t>ריבית משתנה</w:t>
            </w:r>
          </w:p>
        </w:tc>
        <w:tc>
          <w:tcPr>
            <w:tcW w:w="1189" w:type="dxa"/>
            <w:vAlign w:val="bottom"/>
          </w:tcPr>
          <w:p w14:paraId="4B96F84A" w14:textId="77777777" w:rsidR="004A285E" w:rsidRPr="004D099E" w:rsidRDefault="004A285E" w:rsidP="000A69A2">
            <w:pPr>
              <w:pStyle w:val="-4"/>
              <w:rPr>
                <w:sz w:val="18"/>
                <w:szCs w:val="18"/>
                <w:rtl/>
              </w:rPr>
            </w:pPr>
            <w:r w:rsidRPr="004D099E">
              <w:rPr>
                <w:rFonts w:hint="eastAsia"/>
                <w:sz w:val="18"/>
                <w:szCs w:val="18"/>
                <w:rtl/>
              </w:rPr>
              <w:t>סך</w:t>
            </w:r>
            <w:r w:rsidRPr="004D099E">
              <w:rPr>
                <w:sz w:val="18"/>
                <w:szCs w:val="18"/>
                <w:rtl/>
              </w:rPr>
              <w:t xml:space="preserve"> </w:t>
            </w:r>
            <w:r w:rsidRPr="004D099E">
              <w:rPr>
                <w:rFonts w:hint="eastAsia"/>
                <w:sz w:val="18"/>
                <w:szCs w:val="18"/>
                <w:rtl/>
              </w:rPr>
              <w:t>הכל</w:t>
            </w:r>
          </w:p>
        </w:tc>
      </w:tr>
      <w:tr w:rsidR="004A285E" w:rsidRPr="00BF7750" w14:paraId="00D71A2E" w14:textId="77777777" w:rsidTr="000A69A2">
        <w:tc>
          <w:tcPr>
            <w:tcW w:w="970" w:type="dxa"/>
          </w:tcPr>
          <w:p w14:paraId="59B654E0" w14:textId="77777777" w:rsidR="004A285E" w:rsidRPr="00BF7750" w:rsidRDefault="004A285E" w:rsidP="000A69A2">
            <w:pPr>
              <w:pStyle w:val="-7"/>
              <w:bidi w:val="0"/>
              <w:spacing w:line="60" w:lineRule="exact"/>
              <w:rPr>
                <w:sz w:val="18"/>
                <w:szCs w:val="18"/>
                <w:rtl/>
              </w:rPr>
            </w:pPr>
          </w:p>
        </w:tc>
        <w:tc>
          <w:tcPr>
            <w:tcW w:w="794" w:type="dxa"/>
            <w:vAlign w:val="bottom"/>
          </w:tcPr>
          <w:p w14:paraId="42E2F1E9" w14:textId="77777777" w:rsidR="004A285E" w:rsidRPr="00BF7750" w:rsidRDefault="004A285E" w:rsidP="000A69A2">
            <w:pPr>
              <w:pStyle w:val="-7"/>
              <w:bidi w:val="0"/>
              <w:spacing w:line="60" w:lineRule="exact"/>
              <w:rPr>
                <w:sz w:val="18"/>
                <w:szCs w:val="18"/>
                <w:rtl/>
              </w:rPr>
            </w:pPr>
          </w:p>
        </w:tc>
        <w:tc>
          <w:tcPr>
            <w:tcW w:w="3742" w:type="dxa"/>
            <w:vAlign w:val="bottom"/>
          </w:tcPr>
          <w:p w14:paraId="17675E00" w14:textId="77777777" w:rsidR="004A285E" w:rsidRPr="00BF7750" w:rsidRDefault="004A285E" w:rsidP="000A69A2">
            <w:pPr>
              <w:pStyle w:val="-0"/>
              <w:bidi w:val="0"/>
              <w:spacing w:line="60" w:lineRule="exact"/>
              <w:jc w:val="both"/>
              <w:rPr>
                <w:sz w:val="18"/>
                <w:szCs w:val="18"/>
                <w:rtl/>
              </w:rPr>
            </w:pPr>
          </w:p>
        </w:tc>
        <w:tc>
          <w:tcPr>
            <w:tcW w:w="992" w:type="dxa"/>
            <w:vAlign w:val="bottom"/>
          </w:tcPr>
          <w:p w14:paraId="738DDE1E" w14:textId="77777777" w:rsidR="004A285E" w:rsidRPr="00BF7750" w:rsidRDefault="004A285E" w:rsidP="000A69A2">
            <w:pPr>
              <w:pStyle w:val="-7"/>
              <w:bidi w:val="0"/>
              <w:spacing w:line="60" w:lineRule="exact"/>
              <w:rPr>
                <w:sz w:val="18"/>
                <w:szCs w:val="18"/>
                <w:rtl/>
              </w:rPr>
            </w:pPr>
          </w:p>
        </w:tc>
        <w:tc>
          <w:tcPr>
            <w:tcW w:w="992" w:type="dxa"/>
            <w:vAlign w:val="bottom"/>
          </w:tcPr>
          <w:p w14:paraId="248F26FA" w14:textId="77777777" w:rsidR="004A285E" w:rsidRPr="00BF7750" w:rsidRDefault="004A285E" w:rsidP="000A69A2">
            <w:pPr>
              <w:pStyle w:val="-7"/>
              <w:bidi w:val="0"/>
              <w:spacing w:line="60" w:lineRule="exact"/>
              <w:rPr>
                <w:sz w:val="18"/>
                <w:szCs w:val="18"/>
                <w:rtl/>
              </w:rPr>
            </w:pPr>
          </w:p>
        </w:tc>
        <w:tc>
          <w:tcPr>
            <w:tcW w:w="1493" w:type="dxa"/>
            <w:vAlign w:val="bottom"/>
          </w:tcPr>
          <w:p w14:paraId="22D704E3" w14:textId="77777777" w:rsidR="004A285E" w:rsidRPr="00BF7750" w:rsidRDefault="004A285E" w:rsidP="000A69A2">
            <w:pPr>
              <w:pStyle w:val="-7"/>
              <w:bidi w:val="0"/>
              <w:spacing w:line="60" w:lineRule="exact"/>
              <w:rPr>
                <w:sz w:val="18"/>
                <w:szCs w:val="18"/>
                <w:rtl/>
              </w:rPr>
            </w:pPr>
          </w:p>
        </w:tc>
        <w:tc>
          <w:tcPr>
            <w:tcW w:w="1189" w:type="dxa"/>
            <w:vAlign w:val="bottom"/>
          </w:tcPr>
          <w:p w14:paraId="2DE3378E" w14:textId="77777777" w:rsidR="004A285E" w:rsidRPr="00BF7750" w:rsidRDefault="004A285E" w:rsidP="000A69A2">
            <w:pPr>
              <w:pStyle w:val="-7"/>
              <w:bidi w:val="0"/>
              <w:spacing w:line="60" w:lineRule="exact"/>
              <w:rPr>
                <w:sz w:val="18"/>
                <w:szCs w:val="18"/>
                <w:rtl/>
              </w:rPr>
            </w:pPr>
          </w:p>
        </w:tc>
      </w:tr>
      <w:tr w:rsidR="004A285E" w:rsidRPr="00BF7750" w14:paraId="746FABB9" w14:textId="77777777" w:rsidTr="000A69A2">
        <w:trPr>
          <w:trHeight w:val="259"/>
        </w:trPr>
        <w:tc>
          <w:tcPr>
            <w:tcW w:w="970" w:type="dxa"/>
          </w:tcPr>
          <w:p w14:paraId="57141726" w14:textId="77777777" w:rsidR="004A285E" w:rsidRPr="00BF7750" w:rsidRDefault="004A285E" w:rsidP="000A69A2">
            <w:pPr>
              <w:pStyle w:val="-7"/>
              <w:jc w:val="left"/>
              <w:rPr>
                <w:sz w:val="18"/>
                <w:szCs w:val="18"/>
                <w:rtl/>
              </w:rPr>
            </w:pPr>
          </w:p>
        </w:tc>
        <w:tc>
          <w:tcPr>
            <w:tcW w:w="794" w:type="dxa"/>
            <w:vAlign w:val="bottom"/>
          </w:tcPr>
          <w:p w14:paraId="38C8EEBD" w14:textId="77777777" w:rsidR="004A285E" w:rsidRPr="00BF7750" w:rsidRDefault="004A285E" w:rsidP="000A69A2">
            <w:pPr>
              <w:pStyle w:val="-7"/>
              <w:jc w:val="left"/>
              <w:rPr>
                <w:sz w:val="18"/>
                <w:szCs w:val="18"/>
                <w:rtl/>
              </w:rPr>
            </w:pPr>
          </w:p>
        </w:tc>
        <w:tc>
          <w:tcPr>
            <w:tcW w:w="3742" w:type="dxa"/>
            <w:vAlign w:val="bottom"/>
          </w:tcPr>
          <w:p w14:paraId="0F7B971D" w14:textId="77777777" w:rsidR="004A285E" w:rsidRPr="00BF7750" w:rsidRDefault="004A285E" w:rsidP="000A69A2">
            <w:pPr>
              <w:pStyle w:val="-0"/>
              <w:spacing w:line="240" w:lineRule="auto"/>
              <w:rPr>
                <w:sz w:val="18"/>
                <w:szCs w:val="18"/>
                <w:rtl/>
              </w:rPr>
            </w:pPr>
            <w:r w:rsidRPr="004D099E">
              <w:rPr>
                <w:rFonts w:hint="cs"/>
                <w:b/>
                <w:bCs/>
                <w:sz w:val="18"/>
                <w:szCs w:val="18"/>
                <w:rtl/>
              </w:rPr>
              <w:t>שעבוד ראשון: שיעור המימון</w:t>
            </w:r>
            <w:r>
              <w:rPr>
                <w:rFonts w:hint="cs"/>
                <w:sz w:val="18"/>
                <w:szCs w:val="18"/>
                <w:rtl/>
              </w:rPr>
              <w:t xml:space="preserve">  </w:t>
            </w:r>
            <w:r w:rsidRPr="00BF7750">
              <w:rPr>
                <w:rFonts w:hint="cs"/>
                <w:sz w:val="18"/>
                <w:szCs w:val="18"/>
                <w:rtl/>
              </w:rPr>
              <w:t>עד 60%</w:t>
            </w:r>
          </w:p>
        </w:tc>
        <w:tc>
          <w:tcPr>
            <w:tcW w:w="992" w:type="dxa"/>
            <w:vAlign w:val="bottom"/>
          </w:tcPr>
          <w:p w14:paraId="1360EDD5" w14:textId="77777777" w:rsidR="004A285E" w:rsidRPr="00BF7750" w:rsidRDefault="004A285E" w:rsidP="000A69A2">
            <w:pPr>
              <w:pStyle w:val="-7"/>
              <w:jc w:val="left"/>
              <w:rPr>
                <w:sz w:val="18"/>
                <w:szCs w:val="18"/>
                <w:rtl/>
              </w:rPr>
            </w:pPr>
            <w:r w:rsidRPr="00BF7750">
              <w:rPr>
                <w:rFonts w:hint="cs"/>
                <w:sz w:val="18"/>
                <w:szCs w:val="18"/>
                <w:rtl/>
              </w:rPr>
              <w:t xml:space="preserve"> 0</w:t>
            </w:r>
          </w:p>
        </w:tc>
        <w:tc>
          <w:tcPr>
            <w:tcW w:w="992" w:type="dxa"/>
            <w:vAlign w:val="bottom"/>
          </w:tcPr>
          <w:p w14:paraId="0890C3FF" w14:textId="77777777" w:rsidR="004A285E" w:rsidRPr="00BF7750" w:rsidRDefault="004A285E" w:rsidP="000A69A2">
            <w:pPr>
              <w:pStyle w:val="-7"/>
              <w:jc w:val="left"/>
              <w:rPr>
                <w:sz w:val="18"/>
                <w:szCs w:val="18"/>
                <w:rtl/>
              </w:rPr>
            </w:pPr>
            <w:r w:rsidRPr="00BF7750">
              <w:rPr>
                <w:rFonts w:hint="cs"/>
                <w:sz w:val="18"/>
                <w:szCs w:val="18"/>
                <w:rtl/>
              </w:rPr>
              <w:t xml:space="preserve"> 0</w:t>
            </w:r>
          </w:p>
        </w:tc>
        <w:tc>
          <w:tcPr>
            <w:tcW w:w="1493" w:type="dxa"/>
            <w:vAlign w:val="bottom"/>
          </w:tcPr>
          <w:p w14:paraId="34BBC948" w14:textId="77777777" w:rsidR="004A285E" w:rsidRPr="00BF7750" w:rsidRDefault="004A285E" w:rsidP="000A69A2">
            <w:pPr>
              <w:pStyle w:val="-7"/>
              <w:jc w:val="left"/>
              <w:rPr>
                <w:sz w:val="18"/>
                <w:szCs w:val="18"/>
                <w:rtl/>
              </w:rPr>
            </w:pPr>
            <w:r w:rsidRPr="00BF7750">
              <w:rPr>
                <w:rFonts w:hint="cs"/>
                <w:sz w:val="18"/>
                <w:szCs w:val="18"/>
                <w:rtl/>
              </w:rPr>
              <w:t xml:space="preserve"> 0</w:t>
            </w:r>
          </w:p>
        </w:tc>
        <w:tc>
          <w:tcPr>
            <w:tcW w:w="1189" w:type="dxa"/>
            <w:vAlign w:val="bottom"/>
          </w:tcPr>
          <w:p w14:paraId="2325991D" w14:textId="77777777" w:rsidR="004A285E" w:rsidRPr="00BF7750" w:rsidRDefault="004A285E" w:rsidP="000A69A2">
            <w:pPr>
              <w:pStyle w:val="-7"/>
              <w:jc w:val="left"/>
              <w:rPr>
                <w:sz w:val="18"/>
                <w:szCs w:val="18"/>
                <w:rtl/>
              </w:rPr>
            </w:pPr>
            <w:r w:rsidRPr="00BF7750">
              <w:rPr>
                <w:rFonts w:hint="cs"/>
                <w:sz w:val="18"/>
                <w:szCs w:val="18"/>
                <w:rtl/>
              </w:rPr>
              <w:t xml:space="preserve"> 0</w:t>
            </w:r>
          </w:p>
        </w:tc>
      </w:tr>
      <w:tr w:rsidR="004A285E" w:rsidRPr="00BF7750" w14:paraId="5395C344" w14:textId="77777777" w:rsidTr="000A69A2">
        <w:trPr>
          <w:trHeight w:val="259"/>
        </w:trPr>
        <w:tc>
          <w:tcPr>
            <w:tcW w:w="970" w:type="dxa"/>
          </w:tcPr>
          <w:p w14:paraId="7B1BCF44" w14:textId="77777777" w:rsidR="004A285E" w:rsidRPr="00BF7750" w:rsidRDefault="004A285E" w:rsidP="000A69A2">
            <w:pPr>
              <w:pStyle w:val="-7"/>
              <w:jc w:val="left"/>
              <w:rPr>
                <w:sz w:val="18"/>
                <w:szCs w:val="18"/>
                <w:rtl/>
              </w:rPr>
            </w:pPr>
          </w:p>
        </w:tc>
        <w:tc>
          <w:tcPr>
            <w:tcW w:w="794" w:type="dxa"/>
            <w:vAlign w:val="bottom"/>
          </w:tcPr>
          <w:p w14:paraId="74EB55AB" w14:textId="77777777" w:rsidR="004A285E" w:rsidRPr="00BF7750" w:rsidRDefault="004A285E" w:rsidP="000A69A2">
            <w:pPr>
              <w:pStyle w:val="-7"/>
              <w:jc w:val="left"/>
              <w:rPr>
                <w:sz w:val="18"/>
                <w:szCs w:val="18"/>
                <w:rtl/>
              </w:rPr>
            </w:pPr>
          </w:p>
        </w:tc>
        <w:tc>
          <w:tcPr>
            <w:tcW w:w="3742" w:type="dxa"/>
            <w:vAlign w:val="bottom"/>
          </w:tcPr>
          <w:p w14:paraId="0342659B" w14:textId="77777777" w:rsidR="004A285E" w:rsidRPr="00BF7750" w:rsidRDefault="004A285E" w:rsidP="000A69A2">
            <w:pPr>
              <w:pStyle w:val="-0"/>
              <w:spacing w:line="240" w:lineRule="auto"/>
              <w:ind w:left="1299"/>
              <w:rPr>
                <w:sz w:val="18"/>
                <w:szCs w:val="18"/>
                <w:rtl/>
              </w:rPr>
            </w:pPr>
            <w:r w:rsidRPr="00BF7750">
              <w:rPr>
                <w:sz w:val="18"/>
                <w:szCs w:val="18"/>
                <w:rtl/>
              </w:rPr>
              <w:tab/>
            </w:r>
            <w:r w:rsidRPr="00BF7750">
              <w:rPr>
                <w:rFonts w:hint="cs"/>
                <w:sz w:val="18"/>
                <w:szCs w:val="18"/>
                <w:rtl/>
              </w:rPr>
              <w:tab/>
            </w:r>
            <w:r w:rsidRPr="00BF7750">
              <w:rPr>
                <w:sz w:val="18"/>
                <w:szCs w:val="18"/>
                <w:rtl/>
              </w:rPr>
              <w:tab/>
            </w:r>
            <w:r>
              <w:rPr>
                <w:rFonts w:hint="cs"/>
                <w:sz w:val="18"/>
                <w:szCs w:val="18"/>
                <w:rtl/>
              </w:rPr>
              <w:t xml:space="preserve">      </w:t>
            </w:r>
            <w:r w:rsidRPr="00BF7750">
              <w:rPr>
                <w:rFonts w:hint="cs"/>
                <w:sz w:val="18"/>
                <w:szCs w:val="18"/>
                <w:rtl/>
              </w:rPr>
              <w:t>מעל 60%</w:t>
            </w:r>
          </w:p>
        </w:tc>
        <w:tc>
          <w:tcPr>
            <w:tcW w:w="992" w:type="dxa"/>
            <w:vAlign w:val="bottom"/>
          </w:tcPr>
          <w:p w14:paraId="25408EC0" w14:textId="77777777" w:rsidR="004A285E" w:rsidRPr="00BF7750" w:rsidRDefault="004A285E" w:rsidP="000A69A2">
            <w:pPr>
              <w:pStyle w:val="-7"/>
              <w:jc w:val="left"/>
              <w:rPr>
                <w:sz w:val="18"/>
                <w:szCs w:val="18"/>
                <w:rtl/>
              </w:rPr>
            </w:pPr>
            <w:r w:rsidRPr="00BF7750">
              <w:rPr>
                <w:rFonts w:hint="cs"/>
                <w:sz w:val="18"/>
                <w:szCs w:val="18"/>
                <w:rtl/>
              </w:rPr>
              <w:t xml:space="preserve"> 0</w:t>
            </w:r>
          </w:p>
        </w:tc>
        <w:tc>
          <w:tcPr>
            <w:tcW w:w="992" w:type="dxa"/>
            <w:vAlign w:val="bottom"/>
          </w:tcPr>
          <w:p w14:paraId="38B1325F" w14:textId="77777777" w:rsidR="004A285E" w:rsidRPr="00BF7750" w:rsidRDefault="004A285E" w:rsidP="000A69A2">
            <w:pPr>
              <w:pStyle w:val="-7"/>
              <w:jc w:val="left"/>
              <w:rPr>
                <w:sz w:val="18"/>
                <w:szCs w:val="18"/>
                <w:rtl/>
              </w:rPr>
            </w:pPr>
            <w:r w:rsidRPr="00BF7750">
              <w:rPr>
                <w:rFonts w:hint="cs"/>
                <w:sz w:val="18"/>
                <w:szCs w:val="18"/>
                <w:rtl/>
              </w:rPr>
              <w:t xml:space="preserve"> 0</w:t>
            </w:r>
          </w:p>
        </w:tc>
        <w:tc>
          <w:tcPr>
            <w:tcW w:w="1493" w:type="dxa"/>
            <w:vAlign w:val="bottom"/>
          </w:tcPr>
          <w:p w14:paraId="00E63018" w14:textId="77777777" w:rsidR="004A285E" w:rsidRPr="00BF7750" w:rsidRDefault="004A285E" w:rsidP="000A69A2">
            <w:pPr>
              <w:pStyle w:val="-7"/>
              <w:jc w:val="left"/>
              <w:rPr>
                <w:sz w:val="18"/>
                <w:szCs w:val="18"/>
                <w:rtl/>
              </w:rPr>
            </w:pPr>
            <w:r w:rsidRPr="00BF7750">
              <w:rPr>
                <w:rFonts w:hint="cs"/>
                <w:sz w:val="18"/>
                <w:szCs w:val="18"/>
                <w:rtl/>
              </w:rPr>
              <w:t xml:space="preserve"> 0</w:t>
            </w:r>
          </w:p>
        </w:tc>
        <w:tc>
          <w:tcPr>
            <w:tcW w:w="1189" w:type="dxa"/>
            <w:vAlign w:val="bottom"/>
          </w:tcPr>
          <w:p w14:paraId="19CFCA6F" w14:textId="77777777" w:rsidR="004A285E" w:rsidRPr="00BF7750" w:rsidRDefault="004A285E" w:rsidP="000A69A2">
            <w:pPr>
              <w:pStyle w:val="-7"/>
              <w:jc w:val="left"/>
              <w:rPr>
                <w:sz w:val="18"/>
                <w:szCs w:val="18"/>
                <w:rtl/>
              </w:rPr>
            </w:pPr>
            <w:r w:rsidRPr="00BF7750">
              <w:rPr>
                <w:rFonts w:hint="cs"/>
                <w:sz w:val="18"/>
                <w:szCs w:val="18"/>
                <w:rtl/>
              </w:rPr>
              <w:t xml:space="preserve"> 0</w:t>
            </w:r>
          </w:p>
        </w:tc>
      </w:tr>
      <w:tr w:rsidR="004A285E" w:rsidRPr="00BF7750" w14:paraId="1A833B32" w14:textId="77777777" w:rsidTr="000A69A2">
        <w:trPr>
          <w:trHeight w:val="259"/>
        </w:trPr>
        <w:tc>
          <w:tcPr>
            <w:tcW w:w="970" w:type="dxa"/>
          </w:tcPr>
          <w:p w14:paraId="3370DCDC" w14:textId="77777777" w:rsidR="004A285E" w:rsidRPr="00BF7750" w:rsidRDefault="004A285E" w:rsidP="000A69A2">
            <w:pPr>
              <w:pStyle w:val="-7"/>
              <w:jc w:val="left"/>
              <w:rPr>
                <w:sz w:val="18"/>
                <w:szCs w:val="18"/>
                <w:rtl/>
              </w:rPr>
            </w:pPr>
          </w:p>
        </w:tc>
        <w:tc>
          <w:tcPr>
            <w:tcW w:w="794" w:type="dxa"/>
            <w:vAlign w:val="bottom"/>
          </w:tcPr>
          <w:p w14:paraId="0BD5BB4B" w14:textId="77777777" w:rsidR="004A285E" w:rsidRPr="00BF7750" w:rsidRDefault="004A285E" w:rsidP="000A69A2">
            <w:pPr>
              <w:pStyle w:val="-7"/>
              <w:jc w:val="left"/>
              <w:rPr>
                <w:sz w:val="18"/>
                <w:szCs w:val="18"/>
                <w:rtl/>
              </w:rPr>
            </w:pPr>
          </w:p>
        </w:tc>
        <w:tc>
          <w:tcPr>
            <w:tcW w:w="3742" w:type="dxa"/>
            <w:vAlign w:val="bottom"/>
          </w:tcPr>
          <w:p w14:paraId="217ED7C8" w14:textId="77777777" w:rsidR="004A285E" w:rsidRPr="004D099E" w:rsidRDefault="004A285E" w:rsidP="000A69A2">
            <w:pPr>
              <w:pStyle w:val="-0"/>
              <w:spacing w:line="240" w:lineRule="auto"/>
              <w:rPr>
                <w:b/>
                <w:bCs/>
                <w:sz w:val="18"/>
                <w:szCs w:val="18"/>
                <w:rtl/>
              </w:rPr>
            </w:pPr>
            <w:r w:rsidRPr="004D099E">
              <w:rPr>
                <w:rFonts w:hint="cs"/>
                <w:b/>
                <w:bCs/>
                <w:sz w:val="18"/>
                <w:szCs w:val="18"/>
                <w:rtl/>
              </w:rPr>
              <w:t>שעבוד משני או ללא שעבוד</w:t>
            </w:r>
          </w:p>
        </w:tc>
        <w:tc>
          <w:tcPr>
            <w:tcW w:w="992" w:type="dxa"/>
            <w:vAlign w:val="bottom"/>
          </w:tcPr>
          <w:p w14:paraId="1A28DB97" w14:textId="77777777" w:rsidR="004A285E" w:rsidRPr="00BF7750" w:rsidRDefault="004A285E" w:rsidP="000A69A2">
            <w:pPr>
              <w:pStyle w:val="-7"/>
              <w:pBdr>
                <w:bottom w:val="single" w:sz="4" w:space="1" w:color="auto"/>
              </w:pBdr>
              <w:jc w:val="left"/>
              <w:rPr>
                <w:sz w:val="18"/>
                <w:szCs w:val="18"/>
                <w:rtl/>
              </w:rPr>
            </w:pPr>
            <w:r w:rsidRPr="00BF7750">
              <w:rPr>
                <w:rFonts w:hint="cs"/>
                <w:sz w:val="18"/>
                <w:szCs w:val="18"/>
                <w:rtl/>
              </w:rPr>
              <w:t xml:space="preserve"> 0</w:t>
            </w:r>
          </w:p>
        </w:tc>
        <w:tc>
          <w:tcPr>
            <w:tcW w:w="992" w:type="dxa"/>
            <w:vAlign w:val="bottom"/>
          </w:tcPr>
          <w:p w14:paraId="2C7CF1B8" w14:textId="77777777" w:rsidR="004A285E" w:rsidRPr="00BF7750" w:rsidRDefault="004A285E" w:rsidP="000A69A2">
            <w:pPr>
              <w:pStyle w:val="-7"/>
              <w:pBdr>
                <w:bottom w:val="single" w:sz="4" w:space="1" w:color="auto"/>
              </w:pBdr>
              <w:jc w:val="left"/>
              <w:rPr>
                <w:sz w:val="18"/>
                <w:szCs w:val="18"/>
                <w:rtl/>
              </w:rPr>
            </w:pPr>
            <w:r w:rsidRPr="00BF7750">
              <w:rPr>
                <w:rFonts w:hint="cs"/>
                <w:sz w:val="18"/>
                <w:szCs w:val="18"/>
                <w:rtl/>
              </w:rPr>
              <w:t xml:space="preserve"> 0</w:t>
            </w:r>
          </w:p>
        </w:tc>
        <w:tc>
          <w:tcPr>
            <w:tcW w:w="1493" w:type="dxa"/>
            <w:vAlign w:val="bottom"/>
          </w:tcPr>
          <w:p w14:paraId="5051ECB8" w14:textId="77777777" w:rsidR="004A285E" w:rsidRPr="00BF7750" w:rsidRDefault="004A285E" w:rsidP="000A69A2">
            <w:pPr>
              <w:pStyle w:val="-7"/>
              <w:pBdr>
                <w:bottom w:val="single" w:sz="4" w:space="1" w:color="auto"/>
              </w:pBdr>
              <w:jc w:val="left"/>
              <w:rPr>
                <w:sz w:val="18"/>
                <w:szCs w:val="18"/>
                <w:rtl/>
              </w:rPr>
            </w:pPr>
            <w:r w:rsidRPr="00BF7750">
              <w:rPr>
                <w:rFonts w:hint="cs"/>
                <w:sz w:val="18"/>
                <w:szCs w:val="18"/>
                <w:rtl/>
              </w:rPr>
              <w:t xml:space="preserve"> 0</w:t>
            </w:r>
          </w:p>
        </w:tc>
        <w:tc>
          <w:tcPr>
            <w:tcW w:w="1189" w:type="dxa"/>
            <w:vAlign w:val="bottom"/>
          </w:tcPr>
          <w:p w14:paraId="71F3369E" w14:textId="77777777" w:rsidR="004A285E" w:rsidRPr="00BF7750" w:rsidRDefault="004A285E" w:rsidP="000A69A2">
            <w:pPr>
              <w:pStyle w:val="-7"/>
              <w:pBdr>
                <w:bottom w:val="single" w:sz="4" w:space="1" w:color="auto"/>
              </w:pBdr>
              <w:jc w:val="left"/>
              <w:rPr>
                <w:sz w:val="18"/>
                <w:szCs w:val="18"/>
                <w:rtl/>
              </w:rPr>
            </w:pPr>
            <w:r w:rsidRPr="00BF7750">
              <w:rPr>
                <w:rFonts w:hint="cs"/>
                <w:sz w:val="18"/>
                <w:szCs w:val="18"/>
                <w:rtl/>
              </w:rPr>
              <w:t xml:space="preserve"> 0</w:t>
            </w:r>
          </w:p>
        </w:tc>
      </w:tr>
      <w:tr w:rsidR="004A285E" w:rsidRPr="00BF7750" w14:paraId="7978AA8C" w14:textId="77777777" w:rsidTr="000A69A2">
        <w:trPr>
          <w:trHeight w:val="259"/>
        </w:trPr>
        <w:tc>
          <w:tcPr>
            <w:tcW w:w="970" w:type="dxa"/>
          </w:tcPr>
          <w:p w14:paraId="3782A0F1" w14:textId="77777777" w:rsidR="004A285E" w:rsidRPr="00BF7750" w:rsidRDefault="004A285E" w:rsidP="000A69A2">
            <w:pPr>
              <w:pStyle w:val="-7"/>
              <w:jc w:val="left"/>
              <w:rPr>
                <w:sz w:val="18"/>
                <w:szCs w:val="18"/>
                <w:rtl/>
              </w:rPr>
            </w:pPr>
          </w:p>
        </w:tc>
        <w:tc>
          <w:tcPr>
            <w:tcW w:w="794" w:type="dxa"/>
            <w:vAlign w:val="bottom"/>
          </w:tcPr>
          <w:p w14:paraId="296504BC" w14:textId="77777777" w:rsidR="004A285E" w:rsidRPr="00BF7750" w:rsidRDefault="004A285E" w:rsidP="000A69A2">
            <w:pPr>
              <w:pStyle w:val="-7"/>
              <w:jc w:val="left"/>
              <w:rPr>
                <w:sz w:val="18"/>
                <w:szCs w:val="18"/>
                <w:rtl/>
              </w:rPr>
            </w:pPr>
          </w:p>
        </w:tc>
        <w:tc>
          <w:tcPr>
            <w:tcW w:w="3742" w:type="dxa"/>
            <w:vAlign w:val="bottom"/>
          </w:tcPr>
          <w:p w14:paraId="23736934" w14:textId="77777777" w:rsidR="004A285E" w:rsidRPr="00BF7750" w:rsidRDefault="004A285E" w:rsidP="000A69A2">
            <w:pPr>
              <w:pStyle w:val="-b"/>
              <w:spacing w:line="240" w:lineRule="auto"/>
              <w:rPr>
                <w:sz w:val="18"/>
                <w:szCs w:val="18"/>
                <w:rtl/>
              </w:rPr>
            </w:pPr>
            <w:r w:rsidRPr="00BF7750">
              <w:rPr>
                <w:rFonts w:hint="cs"/>
                <w:sz w:val="18"/>
                <w:szCs w:val="18"/>
                <w:rtl/>
              </w:rPr>
              <w:t>סך הכל</w:t>
            </w:r>
          </w:p>
        </w:tc>
        <w:tc>
          <w:tcPr>
            <w:tcW w:w="992" w:type="dxa"/>
            <w:vAlign w:val="bottom"/>
          </w:tcPr>
          <w:p w14:paraId="1D97BF9E" w14:textId="77777777" w:rsidR="004A285E" w:rsidRPr="00BF7750" w:rsidRDefault="004A285E" w:rsidP="000A69A2">
            <w:pPr>
              <w:pStyle w:val="-f1"/>
              <w:pBdr>
                <w:top w:val="none" w:sz="0" w:space="0" w:color="auto"/>
                <w:bottom w:val="double" w:sz="4" w:space="1" w:color="auto"/>
              </w:pBdr>
              <w:rPr>
                <w:sz w:val="18"/>
                <w:szCs w:val="18"/>
                <w:rtl/>
              </w:rPr>
            </w:pPr>
            <w:r w:rsidRPr="00BF7750">
              <w:rPr>
                <w:rFonts w:hint="cs"/>
                <w:sz w:val="18"/>
                <w:szCs w:val="18"/>
                <w:rtl/>
              </w:rPr>
              <w:t xml:space="preserve"> 0</w:t>
            </w:r>
          </w:p>
        </w:tc>
        <w:tc>
          <w:tcPr>
            <w:tcW w:w="992" w:type="dxa"/>
            <w:vAlign w:val="bottom"/>
          </w:tcPr>
          <w:p w14:paraId="619ECE10" w14:textId="77777777" w:rsidR="004A285E" w:rsidRPr="00BF7750" w:rsidRDefault="004A285E" w:rsidP="000A69A2">
            <w:pPr>
              <w:pStyle w:val="-f1"/>
              <w:pBdr>
                <w:top w:val="none" w:sz="0" w:space="0" w:color="auto"/>
                <w:bottom w:val="double" w:sz="4" w:space="1" w:color="auto"/>
              </w:pBdr>
              <w:rPr>
                <w:sz w:val="18"/>
                <w:szCs w:val="18"/>
                <w:rtl/>
              </w:rPr>
            </w:pPr>
            <w:r w:rsidRPr="00BF7750">
              <w:rPr>
                <w:rFonts w:hint="cs"/>
                <w:sz w:val="18"/>
                <w:szCs w:val="18"/>
                <w:rtl/>
              </w:rPr>
              <w:t xml:space="preserve"> 0</w:t>
            </w:r>
          </w:p>
        </w:tc>
        <w:tc>
          <w:tcPr>
            <w:tcW w:w="1493" w:type="dxa"/>
            <w:vAlign w:val="bottom"/>
          </w:tcPr>
          <w:p w14:paraId="24542876" w14:textId="77777777" w:rsidR="004A285E" w:rsidRPr="00BF7750" w:rsidRDefault="004A285E" w:rsidP="000A69A2">
            <w:pPr>
              <w:pStyle w:val="-f1"/>
              <w:pBdr>
                <w:top w:val="none" w:sz="0" w:space="0" w:color="auto"/>
                <w:bottom w:val="double" w:sz="4" w:space="1" w:color="auto"/>
              </w:pBdr>
              <w:rPr>
                <w:sz w:val="18"/>
                <w:szCs w:val="18"/>
                <w:rtl/>
              </w:rPr>
            </w:pPr>
            <w:r w:rsidRPr="00BF7750">
              <w:rPr>
                <w:rFonts w:hint="cs"/>
                <w:sz w:val="18"/>
                <w:szCs w:val="18"/>
                <w:rtl/>
              </w:rPr>
              <w:t xml:space="preserve"> 0</w:t>
            </w:r>
          </w:p>
        </w:tc>
        <w:tc>
          <w:tcPr>
            <w:tcW w:w="1189" w:type="dxa"/>
            <w:vAlign w:val="bottom"/>
          </w:tcPr>
          <w:p w14:paraId="4BA0F8E1" w14:textId="77777777" w:rsidR="004A285E" w:rsidRPr="00BF7750" w:rsidRDefault="004A285E" w:rsidP="000A69A2">
            <w:pPr>
              <w:pStyle w:val="-f1"/>
              <w:pBdr>
                <w:top w:val="none" w:sz="0" w:space="0" w:color="auto"/>
                <w:bottom w:val="double" w:sz="4" w:space="1" w:color="auto"/>
              </w:pBdr>
              <w:rPr>
                <w:sz w:val="18"/>
                <w:szCs w:val="18"/>
                <w:rtl/>
              </w:rPr>
            </w:pPr>
            <w:r w:rsidRPr="00BF7750">
              <w:rPr>
                <w:rFonts w:hint="cs"/>
                <w:sz w:val="18"/>
                <w:szCs w:val="18"/>
                <w:rtl/>
              </w:rPr>
              <w:t xml:space="preserve"> 0</w:t>
            </w:r>
          </w:p>
        </w:tc>
      </w:tr>
    </w:tbl>
    <w:p w14:paraId="73D160EE" w14:textId="679E4F59" w:rsidR="00A502CD" w:rsidRDefault="00A502CD">
      <w:pPr>
        <w:rPr>
          <w:rtl/>
        </w:rPr>
      </w:pPr>
    </w:p>
    <w:p w14:paraId="3F56E665" w14:textId="77777777" w:rsidR="004C0D22" w:rsidRDefault="004C0D22">
      <w:pPr>
        <w:rPr>
          <w:rtl/>
        </w:rPr>
      </w:pPr>
    </w:p>
    <w:tbl>
      <w:tblPr>
        <w:bidiVisual/>
        <w:tblW w:w="4989" w:type="pct"/>
        <w:tblLook w:val="01E0" w:firstRow="1" w:lastRow="1" w:firstColumn="1" w:lastColumn="1" w:noHBand="0" w:noVBand="0"/>
      </w:tblPr>
      <w:tblGrid>
        <w:gridCol w:w="969"/>
        <w:gridCol w:w="425"/>
        <w:gridCol w:w="438"/>
        <w:gridCol w:w="8353"/>
      </w:tblGrid>
      <w:tr w:rsidR="00A502CD" w:rsidRPr="00543C25" w14:paraId="3F6932CA" w14:textId="77777777" w:rsidTr="00E63B86">
        <w:trPr>
          <w:trHeight w:val="245"/>
        </w:trPr>
        <w:tc>
          <w:tcPr>
            <w:tcW w:w="970" w:type="dxa"/>
          </w:tcPr>
          <w:p w14:paraId="3386E5BA" w14:textId="77777777" w:rsidR="00A502CD" w:rsidRPr="00C22FAC" w:rsidRDefault="00A502CD" w:rsidP="00D007FA">
            <w:pPr>
              <w:pStyle w:val="-a"/>
              <w:spacing w:after="20"/>
              <w:jc w:val="left"/>
              <w:rPr>
                <w:rtl/>
              </w:rPr>
            </w:pPr>
          </w:p>
        </w:tc>
        <w:tc>
          <w:tcPr>
            <w:tcW w:w="425" w:type="dxa"/>
          </w:tcPr>
          <w:p w14:paraId="5927EE87" w14:textId="77777777" w:rsidR="00A502CD" w:rsidRPr="00C22FAC" w:rsidRDefault="00A502CD" w:rsidP="00D007FA">
            <w:pPr>
              <w:pStyle w:val="-a"/>
              <w:spacing w:after="20"/>
              <w:jc w:val="left"/>
              <w:rPr>
                <w:rtl/>
              </w:rPr>
            </w:pPr>
          </w:p>
        </w:tc>
        <w:tc>
          <w:tcPr>
            <w:tcW w:w="425" w:type="dxa"/>
          </w:tcPr>
          <w:p w14:paraId="70B2DE4D" w14:textId="77777777" w:rsidR="00A502CD" w:rsidRPr="00A502CD" w:rsidRDefault="00A502CD" w:rsidP="0001355B">
            <w:pPr>
              <w:pStyle w:val="-a"/>
              <w:spacing w:after="20"/>
              <w:ind w:right="-144"/>
              <w:jc w:val="left"/>
              <w:rPr>
                <w:rtl/>
              </w:rPr>
            </w:pPr>
            <w:r w:rsidRPr="00A502CD">
              <w:rPr>
                <w:rFonts w:hint="cs"/>
                <w:rtl/>
              </w:rPr>
              <w:t>(א)</w:t>
            </w:r>
          </w:p>
        </w:tc>
        <w:tc>
          <w:tcPr>
            <w:tcW w:w="8365" w:type="dxa"/>
          </w:tcPr>
          <w:p w14:paraId="190712CE" w14:textId="77777777" w:rsidR="00A502CD" w:rsidRDefault="00A502CD">
            <w:pPr>
              <w:pStyle w:val="-a"/>
              <w:spacing w:after="20"/>
              <w:rPr>
                <w:rtl/>
              </w:rPr>
            </w:pPr>
            <w:r>
              <w:rPr>
                <w:rFonts w:hint="cs"/>
                <w:rtl/>
              </w:rPr>
              <w:t>היחס בין המסגרת המאושרת בעת העמדת המסגרת לבין שווי הנכס, כפי שאושר על ידי התאגיד הבנקאי בעת העמדת המסגרת</w:t>
            </w:r>
            <w:r w:rsidRPr="00E24EC9">
              <w:rPr>
                <w:rtl/>
              </w:rPr>
              <w:t>.</w:t>
            </w:r>
          </w:p>
        </w:tc>
      </w:tr>
    </w:tbl>
    <w:p w14:paraId="41CE53F0" w14:textId="77777777" w:rsidR="007A65A1" w:rsidRDefault="007A65A1">
      <w:pPr>
        <w:rPr>
          <w:rtl/>
        </w:rPr>
      </w:pPr>
    </w:p>
    <w:p w14:paraId="2376EEE3" w14:textId="77777777" w:rsidR="007A65A1" w:rsidRDefault="007A65A1">
      <w:pPr>
        <w:rPr>
          <w:rtl/>
        </w:rPr>
      </w:pPr>
    </w:p>
    <w:p w14:paraId="24B745FF" w14:textId="77777777" w:rsidR="007A65A1" w:rsidRDefault="007A65A1">
      <w:pPr>
        <w:pStyle w:val="-fa"/>
        <w:rPr>
          <w:rtl/>
        </w:rPr>
        <w:sectPr w:rsidR="007A65A1" w:rsidSect="00587121">
          <w:footnotePr>
            <w:numRestart w:val="eachPage"/>
          </w:footnotePr>
          <w:pgSz w:w="11909" w:h="16834" w:code="9"/>
          <w:pgMar w:top="851" w:right="851" w:bottom="851" w:left="851" w:header="720" w:footer="720" w:gutter="0"/>
          <w:cols w:space="720"/>
          <w:bidi/>
          <w:rtlGutter/>
          <w:docGrid w:linePitch="360"/>
        </w:sectPr>
      </w:pPr>
    </w:p>
    <w:tbl>
      <w:tblPr>
        <w:bidiVisual/>
        <w:tblW w:w="5000" w:type="pct"/>
        <w:tblLayout w:type="fixed"/>
        <w:tblLook w:val="0000" w:firstRow="0" w:lastRow="0" w:firstColumn="0" w:lastColumn="0" w:noHBand="0" w:noVBand="0"/>
      </w:tblPr>
      <w:tblGrid>
        <w:gridCol w:w="993"/>
        <w:gridCol w:w="567"/>
        <w:gridCol w:w="8628"/>
        <w:gridCol w:w="19"/>
      </w:tblGrid>
      <w:tr w:rsidR="008F784F" w:rsidRPr="007C7A96" w14:paraId="67A0A587" w14:textId="77777777" w:rsidTr="00E63B86">
        <w:trPr>
          <w:trHeight w:val="245"/>
        </w:trPr>
        <w:tc>
          <w:tcPr>
            <w:tcW w:w="993" w:type="dxa"/>
          </w:tcPr>
          <w:p w14:paraId="0218D562" w14:textId="77777777" w:rsidR="008F784F" w:rsidRPr="007C7A96" w:rsidRDefault="008F784F" w:rsidP="0096199F">
            <w:pPr>
              <w:pStyle w:val="-7"/>
              <w:rPr>
                <w:rtl/>
              </w:rPr>
            </w:pPr>
          </w:p>
        </w:tc>
        <w:tc>
          <w:tcPr>
            <w:tcW w:w="9214" w:type="dxa"/>
            <w:gridSpan w:val="3"/>
          </w:tcPr>
          <w:p w14:paraId="0DBEB133" w14:textId="77777777" w:rsidR="008F784F" w:rsidRPr="007C7A96" w:rsidRDefault="008F784F" w:rsidP="00316579">
            <w:pPr>
              <w:pStyle w:val="-f4"/>
              <w:spacing w:before="0" w:line="240" w:lineRule="auto"/>
              <w:jc w:val="left"/>
              <w:rPr>
                <w:sz w:val="22"/>
                <w:szCs w:val="22"/>
                <w:rtl/>
              </w:rPr>
            </w:pPr>
            <w:r w:rsidRPr="007C7A96">
              <w:rPr>
                <w:sz w:val="22"/>
                <w:szCs w:val="22"/>
                <w:rtl/>
              </w:rPr>
              <w:t xml:space="preserve">ביאור </w:t>
            </w:r>
            <w:r w:rsidRPr="007C7A96">
              <w:rPr>
                <w:rFonts w:hint="cs"/>
                <w:sz w:val="22"/>
                <w:szCs w:val="22"/>
                <w:rtl/>
              </w:rPr>
              <w:t>1</w:t>
            </w:r>
            <w:r w:rsidR="00316579">
              <w:rPr>
                <w:rFonts w:hint="cs"/>
                <w:sz w:val="22"/>
                <w:szCs w:val="22"/>
                <w:rtl/>
              </w:rPr>
              <w:t>2</w:t>
            </w:r>
            <w:r w:rsidRPr="007C7A96">
              <w:rPr>
                <w:sz w:val="22"/>
                <w:szCs w:val="22"/>
                <w:rtl/>
              </w:rPr>
              <w:t xml:space="preserve"> </w:t>
            </w:r>
            <w:r w:rsidRPr="007C7A96">
              <w:rPr>
                <w:rFonts w:hint="cs"/>
                <w:sz w:val="22"/>
                <w:szCs w:val="22"/>
                <w:rtl/>
              </w:rPr>
              <w:t xml:space="preserve"> </w:t>
            </w:r>
            <w:r w:rsidRPr="007C7A96">
              <w:rPr>
                <w:sz w:val="22"/>
                <w:szCs w:val="22"/>
                <w:rtl/>
              </w:rPr>
              <w:t xml:space="preserve">- </w:t>
            </w:r>
            <w:r w:rsidRPr="007C7A96">
              <w:rPr>
                <w:rFonts w:hint="cs"/>
                <w:sz w:val="22"/>
                <w:szCs w:val="22"/>
                <w:rtl/>
              </w:rPr>
              <w:t xml:space="preserve"> מידע נוסף על סיכון אשראי, אשראי לציבור והפרשה להפסדי אשראי (המשך):</w:t>
            </w:r>
          </w:p>
        </w:tc>
      </w:tr>
      <w:tr w:rsidR="008F784F" w:rsidRPr="007C7A96" w14:paraId="1BA34D4D" w14:textId="77777777" w:rsidTr="00E63B86">
        <w:trPr>
          <w:gridAfter w:val="1"/>
          <w:wAfter w:w="19" w:type="dxa"/>
          <w:trHeight w:val="245"/>
        </w:trPr>
        <w:tc>
          <w:tcPr>
            <w:tcW w:w="993" w:type="dxa"/>
            <w:vAlign w:val="center"/>
          </w:tcPr>
          <w:p w14:paraId="18FB1F23" w14:textId="77777777" w:rsidR="008F784F" w:rsidRPr="007C7A96" w:rsidRDefault="008F784F" w:rsidP="0096199F">
            <w:pPr>
              <w:pStyle w:val="-7"/>
              <w:jc w:val="left"/>
              <w:rPr>
                <w:sz w:val="14"/>
                <w:szCs w:val="14"/>
                <w:rtl/>
              </w:rPr>
            </w:pPr>
            <w:r w:rsidRPr="007C7A96">
              <w:rPr>
                <w:rFonts w:hint="eastAsia"/>
                <w:sz w:val="14"/>
                <w:szCs w:val="14"/>
                <w:rtl/>
              </w:rPr>
              <w:t>מתכונת</w:t>
            </w:r>
            <w:r w:rsidRPr="007C7A96">
              <w:rPr>
                <w:sz w:val="14"/>
                <w:szCs w:val="14"/>
                <w:rtl/>
              </w:rPr>
              <w:t xml:space="preserve"> ביאור </w:t>
            </w:r>
          </w:p>
          <w:p w14:paraId="74E63530" w14:textId="77777777" w:rsidR="008F784F" w:rsidRPr="007C7A96" w:rsidRDefault="008F784F" w:rsidP="0096199F">
            <w:pPr>
              <w:pStyle w:val="-7"/>
              <w:jc w:val="left"/>
              <w:rPr>
                <w:sz w:val="14"/>
                <w:szCs w:val="14"/>
                <w:rtl/>
              </w:rPr>
            </w:pPr>
            <w:r w:rsidRPr="007C7A96">
              <w:rPr>
                <w:rFonts w:hint="eastAsia"/>
                <w:sz w:val="14"/>
                <w:szCs w:val="14"/>
                <w:rtl/>
              </w:rPr>
              <w:t>עמ</w:t>
            </w:r>
            <w:r w:rsidRPr="007C7A96">
              <w:rPr>
                <w:sz w:val="14"/>
                <w:szCs w:val="14"/>
                <w:rtl/>
              </w:rPr>
              <w:t xml:space="preserve">' </w:t>
            </w:r>
            <w:r w:rsidRPr="007C7A96">
              <w:rPr>
                <w:rFonts w:hint="cs"/>
                <w:sz w:val="14"/>
                <w:szCs w:val="14"/>
                <w:rtl/>
              </w:rPr>
              <w:t>639-77.1</w:t>
            </w:r>
          </w:p>
        </w:tc>
        <w:tc>
          <w:tcPr>
            <w:tcW w:w="567" w:type="dxa"/>
          </w:tcPr>
          <w:p w14:paraId="3E936A79" w14:textId="77777777" w:rsidR="008F784F" w:rsidRPr="007C7A96" w:rsidRDefault="008F784F" w:rsidP="0096199F">
            <w:pPr>
              <w:pStyle w:val="-f4"/>
              <w:spacing w:line="240" w:lineRule="auto"/>
              <w:jc w:val="left"/>
              <w:rPr>
                <w:rtl/>
              </w:rPr>
            </w:pPr>
            <w:r w:rsidRPr="007C7A96">
              <w:rPr>
                <w:rFonts w:hint="cs"/>
                <w:rtl/>
              </w:rPr>
              <w:t>ב1.</w:t>
            </w:r>
          </w:p>
        </w:tc>
        <w:tc>
          <w:tcPr>
            <w:tcW w:w="8628" w:type="dxa"/>
          </w:tcPr>
          <w:p w14:paraId="38687D7F" w14:textId="5FB6E5CF" w:rsidR="008F784F" w:rsidRPr="007C7A96" w:rsidRDefault="008F784F" w:rsidP="00012DEF">
            <w:pPr>
              <w:pStyle w:val="-f4"/>
              <w:spacing w:line="240" w:lineRule="auto"/>
              <w:jc w:val="left"/>
              <w:rPr>
                <w:rtl/>
              </w:rPr>
            </w:pPr>
            <w:r w:rsidRPr="007C7A96">
              <w:rPr>
                <w:rFonts w:hint="cs"/>
                <w:rtl/>
              </w:rPr>
              <w:t xml:space="preserve">מכירה, רכישה וסינדיקציה של סיכון אשראי במהלך </w:t>
            </w:r>
            <w:r w:rsidR="00012DEF">
              <w:rPr>
                <w:rFonts w:hint="cs"/>
                <w:rtl/>
              </w:rPr>
              <w:t>התקופה</w:t>
            </w:r>
            <w:r w:rsidRPr="007C7A96">
              <w:rPr>
                <w:rFonts w:hint="cs"/>
                <w:rtl/>
              </w:rPr>
              <w:t>:</w:t>
            </w:r>
          </w:p>
        </w:tc>
      </w:tr>
      <w:tr w:rsidR="008F784F" w:rsidRPr="007C7A96" w14:paraId="7D892F3C" w14:textId="77777777" w:rsidTr="00E63B86">
        <w:trPr>
          <w:gridAfter w:val="1"/>
          <w:wAfter w:w="19" w:type="dxa"/>
          <w:trHeight w:val="245"/>
        </w:trPr>
        <w:tc>
          <w:tcPr>
            <w:tcW w:w="993" w:type="dxa"/>
          </w:tcPr>
          <w:p w14:paraId="62D9467B" w14:textId="5492C744" w:rsidR="008F784F" w:rsidRPr="007C7A96" w:rsidRDefault="008F784F" w:rsidP="0096199F">
            <w:pPr>
              <w:pStyle w:val="-7"/>
              <w:spacing w:before="60" w:line="240" w:lineRule="auto"/>
              <w:rPr>
                <w:sz w:val="14"/>
                <w:szCs w:val="14"/>
                <w:rtl/>
              </w:rPr>
            </w:pPr>
          </w:p>
        </w:tc>
        <w:tc>
          <w:tcPr>
            <w:tcW w:w="567" w:type="dxa"/>
          </w:tcPr>
          <w:p w14:paraId="4471CFC6" w14:textId="77777777" w:rsidR="008F784F" w:rsidRPr="007C7A96" w:rsidRDefault="008F784F" w:rsidP="0096199F">
            <w:pPr>
              <w:pStyle w:val="-f4"/>
              <w:spacing w:line="240" w:lineRule="auto"/>
              <w:jc w:val="left"/>
              <w:rPr>
                <w:rtl/>
              </w:rPr>
            </w:pPr>
          </w:p>
        </w:tc>
        <w:tc>
          <w:tcPr>
            <w:tcW w:w="8628" w:type="dxa"/>
          </w:tcPr>
          <w:p w14:paraId="5D3CB8C4" w14:textId="54A60D5B" w:rsidR="008F784F" w:rsidRPr="007C7A96" w:rsidRDefault="008F784F" w:rsidP="00BF7750">
            <w:pPr>
              <w:pStyle w:val="-24"/>
              <w:tabs>
                <w:tab w:val="clear" w:pos="893"/>
              </w:tabs>
              <w:spacing w:line="240" w:lineRule="auto"/>
              <w:ind w:left="351" w:hanging="351"/>
              <w:rPr>
                <w:b/>
                <w:bCs/>
                <w:rtl/>
              </w:rPr>
            </w:pPr>
            <w:r w:rsidRPr="007C7A96">
              <w:rPr>
                <w:rFonts w:hint="cs"/>
                <w:b/>
                <w:bCs/>
                <w:rtl/>
              </w:rPr>
              <w:t>1.</w:t>
            </w:r>
            <w:r w:rsidRPr="007C7A96">
              <w:rPr>
                <w:rFonts w:hint="cs"/>
                <w:b/>
                <w:bCs/>
                <w:rtl/>
              </w:rPr>
              <w:tab/>
              <w:t xml:space="preserve">מכירה ורכישה של אשראי לציבור (בסיס מאוחד): </w:t>
            </w:r>
            <w:r w:rsidR="00793E61">
              <w:rPr>
                <w:rFonts w:hint="cs"/>
                <w:b/>
                <w:bCs/>
                <w:rtl/>
              </w:rPr>
              <w:t>***</w:t>
            </w:r>
            <w:r w:rsidR="00AA7D4E">
              <w:rPr>
                <w:rFonts w:hint="cs"/>
                <w:b/>
                <w:bCs/>
                <w:rtl/>
              </w:rPr>
              <w:t xml:space="preserve">    </w:t>
            </w:r>
          </w:p>
        </w:tc>
      </w:tr>
    </w:tbl>
    <w:p w14:paraId="12E6108D" w14:textId="77777777" w:rsidR="00480E52" w:rsidRDefault="00480E52" w:rsidP="00480E52">
      <w:pPr>
        <w:bidi w:val="0"/>
      </w:pPr>
    </w:p>
    <w:tbl>
      <w:tblPr>
        <w:bidiVisual/>
        <w:tblW w:w="4994" w:type="pct"/>
        <w:tblLook w:val="01E0" w:firstRow="1" w:lastRow="1" w:firstColumn="1" w:lastColumn="1" w:noHBand="0" w:noVBand="0"/>
      </w:tblPr>
      <w:tblGrid>
        <w:gridCol w:w="1852"/>
        <w:gridCol w:w="1111"/>
        <w:gridCol w:w="1134"/>
        <w:gridCol w:w="712"/>
        <w:gridCol w:w="992"/>
        <w:gridCol w:w="1624"/>
        <w:gridCol w:w="785"/>
        <w:gridCol w:w="1165"/>
        <w:gridCol w:w="820"/>
      </w:tblGrid>
      <w:tr w:rsidR="00135811" w:rsidRPr="007C7A96" w14:paraId="368C9721" w14:textId="77777777" w:rsidTr="00400DD1">
        <w:trPr>
          <w:trHeight w:val="259"/>
        </w:trPr>
        <w:tc>
          <w:tcPr>
            <w:tcW w:w="1852" w:type="dxa"/>
          </w:tcPr>
          <w:p w14:paraId="41C379E5" w14:textId="77777777" w:rsidR="00135811" w:rsidRPr="007C7A96" w:rsidRDefault="00135811" w:rsidP="00400DD1">
            <w:pPr>
              <w:pStyle w:val="-0"/>
              <w:spacing w:line="240" w:lineRule="auto"/>
              <w:ind w:left="663" w:hanging="231"/>
              <w:rPr>
                <w:color w:val="auto"/>
                <w:sz w:val="18"/>
                <w:szCs w:val="18"/>
                <w:rtl/>
              </w:rPr>
            </w:pPr>
          </w:p>
        </w:tc>
        <w:tc>
          <w:tcPr>
            <w:tcW w:w="8343" w:type="dxa"/>
            <w:gridSpan w:val="8"/>
            <w:vAlign w:val="bottom"/>
          </w:tcPr>
          <w:p w14:paraId="032827D4" w14:textId="561665F2" w:rsidR="00135811" w:rsidRPr="00064437" w:rsidRDefault="00135811" w:rsidP="00400DD1">
            <w:pPr>
              <w:pStyle w:val="-3"/>
              <w:pBdr>
                <w:bottom w:val="single" w:sz="4" w:space="1" w:color="auto"/>
              </w:pBdr>
              <w:spacing w:line="240" w:lineRule="auto"/>
              <w:ind w:left="-28"/>
              <w:jc w:val="center"/>
              <w:rPr>
                <w:b/>
                <w:bCs/>
                <w:sz w:val="19"/>
                <w:szCs w:val="19"/>
                <w:rtl/>
              </w:rPr>
            </w:pPr>
            <w:r w:rsidRPr="00064437">
              <w:rPr>
                <w:rFonts w:hint="cs"/>
                <w:b/>
                <w:bCs/>
                <w:sz w:val="19"/>
                <w:szCs w:val="19"/>
                <w:rtl/>
              </w:rPr>
              <w:t xml:space="preserve">בשלושה חודשים שהסתיימו ביום 30 ביוני </w:t>
            </w:r>
            <w:r w:rsidRPr="00064437">
              <w:rPr>
                <w:b/>
                <w:bCs/>
                <w:sz w:val="19"/>
                <w:szCs w:val="19"/>
                <w:rtl/>
              </w:rPr>
              <w:fldChar w:fldCharType="begin"/>
            </w:r>
            <w:r w:rsidRPr="00064437">
              <w:rPr>
                <w:b/>
                <w:bCs/>
                <w:sz w:val="19"/>
                <w:szCs w:val="19"/>
                <w:rtl/>
              </w:rPr>
              <w:instrText xml:space="preserve"> </w:instrText>
            </w:r>
            <w:r w:rsidRPr="00064437">
              <w:rPr>
                <w:rFonts w:hint="cs"/>
                <w:b/>
                <w:bCs/>
                <w:sz w:val="19"/>
                <w:szCs w:val="19"/>
                <w:rtl/>
              </w:rPr>
              <w:instrText xml:space="preserve">= </w:instrText>
            </w:r>
            <w:r w:rsidRPr="00064437">
              <w:rPr>
                <w:rFonts w:hint="cs"/>
                <w:b/>
                <w:bCs/>
                <w:sz w:val="19"/>
                <w:szCs w:val="19"/>
              </w:rPr>
              <w:instrText>CY \* MERGEFORMAT</w:instrText>
            </w:r>
            <w:r w:rsidRPr="00064437">
              <w:rPr>
                <w:b/>
                <w:bCs/>
                <w:sz w:val="19"/>
                <w:szCs w:val="19"/>
                <w:rtl/>
              </w:rPr>
              <w:instrText xml:space="preserve"> </w:instrText>
            </w:r>
            <w:r w:rsidRPr="00064437">
              <w:rPr>
                <w:b/>
                <w:bCs/>
                <w:sz w:val="19"/>
                <w:szCs w:val="19"/>
                <w:rtl/>
              </w:rPr>
              <w:fldChar w:fldCharType="separate"/>
            </w:r>
            <w:r w:rsidR="003A584F">
              <w:rPr>
                <w:b/>
                <w:bCs/>
                <w:noProof/>
                <w:sz w:val="19"/>
                <w:szCs w:val="19"/>
                <w:rtl/>
              </w:rPr>
              <w:t>2024</w:t>
            </w:r>
            <w:r w:rsidRPr="00064437">
              <w:rPr>
                <w:b/>
                <w:bCs/>
                <w:sz w:val="19"/>
                <w:szCs w:val="19"/>
                <w:rtl/>
              </w:rPr>
              <w:fldChar w:fldCharType="end"/>
            </w:r>
            <w:r w:rsidRPr="00064437">
              <w:rPr>
                <w:rFonts w:hint="cs"/>
                <w:sz w:val="19"/>
                <w:szCs w:val="19"/>
                <w:rtl/>
              </w:rPr>
              <w:t xml:space="preserve">  </w:t>
            </w:r>
            <w:r w:rsidRPr="001F0989">
              <w:rPr>
                <w:rFonts w:hint="cs"/>
                <w:sz w:val="19"/>
                <w:szCs w:val="19"/>
                <w:rtl/>
              </w:rPr>
              <w:t>(בלתי מבוקר)</w:t>
            </w:r>
          </w:p>
        </w:tc>
      </w:tr>
      <w:tr w:rsidR="00135811" w:rsidRPr="007C7A96" w14:paraId="3673A71D" w14:textId="77777777" w:rsidTr="00400DD1">
        <w:trPr>
          <w:trHeight w:val="259"/>
        </w:trPr>
        <w:tc>
          <w:tcPr>
            <w:tcW w:w="1852" w:type="dxa"/>
          </w:tcPr>
          <w:p w14:paraId="4A8E9FC9" w14:textId="77777777" w:rsidR="00135811" w:rsidRPr="007C7A96" w:rsidRDefault="00135811" w:rsidP="00400DD1">
            <w:pPr>
              <w:pStyle w:val="-0"/>
              <w:spacing w:line="240" w:lineRule="auto"/>
              <w:ind w:left="663" w:hanging="231"/>
              <w:rPr>
                <w:color w:val="auto"/>
                <w:sz w:val="18"/>
                <w:szCs w:val="18"/>
                <w:rtl/>
              </w:rPr>
            </w:pPr>
          </w:p>
        </w:tc>
        <w:tc>
          <w:tcPr>
            <w:tcW w:w="5573" w:type="dxa"/>
            <w:gridSpan w:val="5"/>
            <w:vAlign w:val="bottom"/>
          </w:tcPr>
          <w:p w14:paraId="5C94C7D8" w14:textId="77777777" w:rsidR="00135811" w:rsidRPr="00064437" w:rsidRDefault="00135811" w:rsidP="00400DD1">
            <w:pPr>
              <w:pStyle w:val="-3"/>
              <w:pBdr>
                <w:bottom w:val="single" w:sz="4" w:space="1" w:color="auto"/>
              </w:pBdr>
              <w:spacing w:line="240" w:lineRule="auto"/>
              <w:ind w:left="-28"/>
              <w:jc w:val="center"/>
              <w:rPr>
                <w:b/>
                <w:bCs/>
                <w:sz w:val="18"/>
                <w:szCs w:val="18"/>
                <w:rtl/>
              </w:rPr>
            </w:pPr>
            <w:r w:rsidRPr="00064437">
              <w:rPr>
                <w:rFonts w:hint="cs"/>
                <w:b/>
                <w:bCs/>
                <w:sz w:val="18"/>
                <w:szCs w:val="18"/>
                <w:rtl/>
              </w:rPr>
              <w:t>סיכון אשראי לציבור שנמכר</w:t>
            </w:r>
          </w:p>
        </w:tc>
        <w:tc>
          <w:tcPr>
            <w:tcW w:w="2770" w:type="dxa"/>
            <w:gridSpan w:val="3"/>
            <w:vAlign w:val="bottom"/>
          </w:tcPr>
          <w:p w14:paraId="52C3A3E7" w14:textId="77777777" w:rsidR="00135811" w:rsidRPr="00064437" w:rsidRDefault="00135811" w:rsidP="00400DD1">
            <w:pPr>
              <w:pStyle w:val="-3"/>
              <w:pBdr>
                <w:bottom w:val="single" w:sz="4" w:space="1" w:color="auto"/>
              </w:pBdr>
              <w:spacing w:line="240" w:lineRule="auto"/>
              <w:ind w:left="-28"/>
              <w:jc w:val="center"/>
              <w:rPr>
                <w:b/>
                <w:bCs/>
                <w:sz w:val="18"/>
                <w:szCs w:val="18"/>
                <w:rtl/>
              </w:rPr>
            </w:pPr>
            <w:r w:rsidRPr="00064437">
              <w:rPr>
                <w:rFonts w:hint="cs"/>
                <w:b/>
                <w:bCs/>
                <w:sz w:val="18"/>
                <w:szCs w:val="18"/>
                <w:rtl/>
              </w:rPr>
              <w:t xml:space="preserve">סיכון אשראי </w:t>
            </w:r>
            <w:r w:rsidRPr="00064437">
              <w:rPr>
                <w:b/>
                <w:bCs/>
                <w:sz w:val="18"/>
                <w:szCs w:val="18"/>
                <w:rtl/>
              </w:rPr>
              <w:br/>
            </w:r>
            <w:r w:rsidRPr="00064437">
              <w:rPr>
                <w:rFonts w:hint="cs"/>
                <w:b/>
                <w:bCs/>
                <w:sz w:val="18"/>
                <w:szCs w:val="18"/>
                <w:rtl/>
              </w:rPr>
              <w:t>לציבור שנרכש</w:t>
            </w:r>
          </w:p>
        </w:tc>
      </w:tr>
      <w:tr w:rsidR="00135811" w:rsidRPr="007C7A96" w14:paraId="56FEF7FB" w14:textId="77777777" w:rsidTr="00400DD1">
        <w:trPr>
          <w:trHeight w:val="259"/>
        </w:trPr>
        <w:tc>
          <w:tcPr>
            <w:tcW w:w="1852" w:type="dxa"/>
          </w:tcPr>
          <w:p w14:paraId="0DDEE758" w14:textId="77777777" w:rsidR="00135811" w:rsidRPr="007C7A96" w:rsidRDefault="00135811" w:rsidP="00400DD1">
            <w:pPr>
              <w:pStyle w:val="-0"/>
              <w:spacing w:line="240" w:lineRule="auto"/>
              <w:ind w:left="663" w:hanging="231"/>
              <w:rPr>
                <w:color w:val="auto"/>
                <w:sz w:val="18"/>
                <w:szCs w:val="18"/>
                <w:rtl/>
              </w:rPr>
            </w:pPr>
          </w:p>
        </w:tc>
        <w:tc>
          <w:tcPr>
            <w:tcW w:w="1111" w:type="dxa"/>
            <w:vAlign w:val="bottom"/>
          </w:tcPr>
          <w:p w14:paraId="3B5DCC59" w14:textId="77777777" w:rsidR="00135811" w:rsidRPr="00FC7F53" w:rsidRDefault="00135811" w:rsidP="000007A5">
            <w:pPr>
              <w:pStyle w:val="-3"/>
              <w:spacing w:line="240" w:lineRule="auto"/>
              <w:ind w:left="-28"/>
              <w:jc w:val="center"/>
              <w:rPr>
                <w:b/>
                <w:bCs/>
                <w:sz w:val="16"/>
                <w:szCs w:val="16"/>
                <w:rtl/>
              </w:rPr>
            </w:pPr>
            <w:r w:rsidRPr="00FC7F53">
              <w:rPr>
                <w:rFonts w:hint="cs"/>
                <w:b/>
                <w:bCs/>
                <w:sz w:val="16"/>
                <w:szCs w:val="16"/>
                <w:rtl/>
              </w:rPr>
              <w:t>אשראי לציבור שנמכר בתקופה</w:t>
            </w:r>
          </w:p>
        </w:tc>
        <w:tc>
          <w:tcPr>
            <w:tcW w:w="1134" w:type="dxa"/>
            <w:vAlign w:val="bottom"/>
          </w:tcPr>
          <w:p w14:paraId="187540B6" w14:textId="77777777" w:rsidR="00135811" w:rsidRPr="00FC7F53" w:rsidRDefault="00135811" w:rsidP="000007A5">
            <w:pPr>
              <w:pStyle w:val="-3"/>
              <w:spacing w:line="240" w:lineRule="auto"/>
              <w:ind w:left="-28"/>
              <w:jc w:val="center"/>
              <w:rPr>
                <w:b/>
                <w:bCs/>
                <w:sz w:val="16"/>
                <w:szCs w:val="16"/>
                <w:rtl/>
              </w:rPr>
            </w:pPr>
            <w:r w:rsidRPr="00FC7F53">
              <w:rPr>
                <w:rFonts w:hint="cs"/>
                <w:b/>
                <w:bCs/>
                <w:sz w:val="16"/>
                <w:szCs w:val="16"/>
                <w:rtl/>
              </w:rPr>
              <w:t>סיכון אשראי חוץ מאזני** שנמכר בתקופה</w:t>
            </w:r>
          </w:p>
        </w:tc>
        <w:tc>
          <w:tcPr>
            <w:tcW w:w="712" w:type="dxa"/>
            <w:vAlign w:val="bottom"/>
          </w:tcPr>
          <w:p w14:paraId="65403971" w14:textId="77777777" w:rsidR="00135811" w:rsidRPr="00FC7F53" w:rsidRDefault="00135811" w:rsidP="000007A5">
            <w:pPr>
              <w:pStyle w:val="-3"/>
              <w:spacing w:line="240" w:lineRule="auto"/>
              <w:ind w:left="-28"/>
              <w:jc w:val="center"/>
              <w:rPr>
                <w:b/>
                <w:bCs/>
                <w:sz w:val="16"/>
                <w:szCs w:val="16"/>
                <w:rtl/>
              </w:rPr>
            </w:pPr>
            <w:r w:rsidRPr="00FC7F53">
              <w:rPr>
                <w:rFonts w:hint="cs"/>
                <w:b/>
                <w:bCs/>
                <w:sz w:val="16"/>
                <w:szCs w:val="16"/>
                <w:u w:val="single"/>
                <w:rtl/>
              </w:rPr>
              <w:t>מזה</w:t>
            </w:r>
            <w:r w:rsidRPr="00FC7F53">
              <w:rPr>
                <w:rFonts w:hint="cs"/>
                <w:b/>
                <w:bCs/>
                <w:sz w:val="16"/>
                <w:szCs w:val="16"/>
                <w:rtl/>
              </w:rPr>
              <w:t>: אשראי בעייתי</w:t>
            </w:r>
          </w:p>
        </w:tc>
        <w:tc>
          <w:tcPr>
            <w:tcW w:w="992" w:type="dxa"/>
            <w:vAlign w:val="bottom"/>
          </w:tcPr>
          <w:p w14:paraId="6BE88E26" w14:textId="77777777" w:rsidR="00135811" w:rsidRPr="00FC7F53" w:rsidRDefault="00135811" w:rsidP="000007A5">
            <w:pPr>
              <w:pStyle w:val="-3"/>
              <w:spacing w:line="240" w:lineRule="auto"/>
              <w:ind w:left="-28"/>
              <w:jc w:val="center"/>
              <w:rPr>
                <w:b/>
                <w:bCs/>
                <w:sz w:val="16"/>
                <w:szCs w:val="16"/>
                <w:rtl/>
              </w:rPr>
            </w:pPr>
            <w:r w:rsidRPr="00FC7F53">
              <w:rPr>
                <w:rFonts w:hint="cs"/>
                <w:b/>
                <w:bCs/>
                <w:sz w:val="16"/>
                <w:szCs w:val="16"/>
                <w:rtl/>
              </w:rPr>
              <w:t>סך הכל רווח (הפסד) בגין אשראי שנמכר</w:t>
            </w:r>
          </w:p>
        </w:tc>
        <w:tc>
          <w:tcPr>
            <w:tcW w:w="1624" w:type="dxa"/>
            <w:vAlign w:val="bottom"/>
          </w:tcPr>
          <w:p w14:paraId="53A2296F" w14:textId="7456A46E" w:rsidR="00135811" w:rsidRPr="00FC7F53" w:rsidRDefault="00135811" w:rsidP="000007A5">
            <w:pPr>
              <w:pStyle w:val="-3"/>
              <w:spacing w:line="240" w:lineRule="auto"/>
              <w:ind w:left="-28"/>
              <w:jc w:val="center"/>
              <w:rPr>
                <w:b/>
                <w:bCs/>
                <w:sz w:val="16"/>
                <w:szCs w:val="16"/>
                <w:rtl/>
              </w:rPr>
            </w:pPr>
            <w:r w:rsidRPr="00FC7F53">
              <w:rPr>
                <w:rFonts w:hint="cs"/>
                <w:b/>
                <w:bCs/>
                <w:sz w:val="16"/>
                <w:szCs w:val="16"/>
                <w:rtl/>
              </w:rPr>
              <w:t xml:space="preserve">יתרה לסוף </w:t>
            </w:r>
            <w:r w:rsidR="00E55B85">
              <w:rPr>
                <w:rFonts w:hint="cs"/>
                <w:b/>
                <w:bCs/>
                <w:sz w:val="16"/>
                <w:szCs w:val="16"/>
                <w:rtl/>
              </w:rPr>
              <w:t>התקופה</w:t>
            </w:r>
            <w:r w:rsidRPr="00FC7F53">
              <w:rPr>
                <w:rFonts w:hint="cs"/>
                <w:b/>
                <w:bCs/>
                <w:sz w:val="16"/>
                <w:szCs w:val="16"/>
                <w:rtl/>
              </w:rPr>
              <w:t xml:space="preserve"> של האשראי שנמכר, אשר התאגיד הבנקאי נותן עבורו שירות</w:t>
            </w:r>
          </w:p>
        </w:tc>
        <w:tc>
          <w:tcPr>
            <w:tcW w:w="785" w:type="dxa"/>
            <w:vAlign w:val="bottom"/>
          </w:tcPr>
          <w:p w14:paraId="0F1C7B3E" w14:textId="77777777" w:rsidR="00135811" w:rsidRPr="00FC7F53" w:rsidRDefault="00135811" w:rsidP="000007A5">
            <w:pPr>
              <w:pStyle w:val="-3"/>
              <w:spacing w:line="240" w:lineRule="auto"/>
              <w:ind w:left="-28"/>
              <w:jc w:val="center"/>
              <w:rPr>
                <w:b/>
                <w:bCs/>
                <w:sz w:val="16"/>
                <w:szCs w:val="16"/>
                <w:rtl/>
              </w:rPr>
            </w:pPr>
            <w:r w:rsidRPr="00FC7F53">
              <w:rPr>
                <w:rFonts w:hint="cs"/>
                <w:b/>
                <w:bCs/>
                <w:sz w:val="16"/>
                <w:szCs w:val="16"/>
                <w:rtl/>
              </w:rPr>
              <w:t>אשראי לציבור שנרכש בתקופה</w:t>
            </w:r>
          </w:p>
        </w:tc>
        <w:tc>
          <w:tcPr>
            <w:tcW w:w="1165" w:type="dxa"/>
            <w:vAlign w:val="bottom"/>
          </w:tcPr>
          <w:p w14:paraId="52B0ACEC" w14:textId="77777777" w:rsidR="00135811" w:rsidRPr="00FC7F53" w:rsidRDefault="00135811" w:rsidP="000007A5">
            <w:pPr>
              <w:pStyle w:val="-3"/>
              <w:spacing w:line="240" w:lineRule="auto"/>
              <w:ind w:left="-28"/>
              <w:jc w:val="center"/>
              <w:rPr>
                <w:b/>
                <w:bCs/>
                <w:sz w:val="16"/>
                <w:szCs w:val="16"/>
                <w:rtl/>
              </w:rPr>
            </w:pPr>
            <w:r w:rsidRPr="00FC7F53">
              <w:rPr>
                <w:rFonts w:hint="cs"/>
                <w:b/>
                <w:bCs/>
                <w:sz w:val="16"/>
                <w:szCs w:val="16"/>
                <w:rtl/>
              </w:rPr>
              <w:t>סיכון אשראי חוץ מאזני** שנרכש בתקופה</w:t>
            </w:r>
          </w:p>
        </w:tc>
        <w:tc>
          <w:tcPr>
            <w:tcW w:w="820" w:type="dxa"/>
            <w:vAlign w:val="bottom"/>
          </w:tcPr>
          <w:p w14:paraId="5EE6CACD" w14:textId="77777777" w:rsidR="00135811" w:rsidRPr="00FC7F53" w:rsidRDefault="00135811" w:rsidP="000007A5">
            <w:pPr>
              <w:pStyle w:val="-3"/>
              <w:spacing w:line="240" w:lineRule="auto"/>
              <w:ind w:left="-28"/>
              <w:jc w:val="center"/>
              <w:rPr>
                <w:b/>
                <w:bCs/>
                <w:sz w:val="16"/>
                <w:szCs w:val="16"/>
                <w:rtl/>
              </w:rPr>
            </w:pPr>
            <w:r w:rsidRPr="00FC7F53">
              <w:rPr>
                <w:rFonts w:hint="cs"/>
                <w:b/>
                <w:bCs/>
                <w:sz w:val="16"/>
                <w:szCs w:val="16"/>
                <w:u w:val="single"/>
                <w:rtl/>
              </w:rPr>
              <w:t>מזה</w:t>
            </w:r>
            <w:r w:rsidRPr="00FC7F53">
              <w:rPr>
                <w:rFonts w:hint="cs"/>
                <w:b/>
                <w:bCs/>
                <w:sz w:val="16"/>
                <w:szCs w:val="16"/>
                <w:rtl/>
              </w:rPr>
              <w:t>: אשראי בעייתי</w:t>
            </w:r>
          </w:p>
        </w:tc>
      </w:tr>
      <w:tr w:rsidR="00135811" w:rsidRPr="007C7A96" w14:paraId="4D718754" w14:textId="77777777" w:rsidTr="00400DD1">
        <w:trPr>
          <w:trHeight w:val="259"/>
        </w:trPr>
        <w:tc>
          <w:tcPr>
            <w:tcW w:w="1852" w:type="dxa"/>
          </w:tcPr>
          <w:p w14:paraId="0E7C4C67" w14:textId="77777777" w:rsidR="00135811" w:rsidRPr="00FC7F53" w:rsidRDefault="00135811" w:rsidP="00400DD1">
            <w:pPr>
              <w:pStyle w:val="-0"/>
              <w:spacing w:line="240" w:lineRule="auto"/>
              <w:ind w:left="113" w:hanging="113"/>
              <w:rPr>
                <w:b/>
                <w:bCs/>
                <w:color w:val="auto"/>
                <w:sz w:val="17"/>
                <w:szCs w:val="17"/>
                <w:rtl/>
              </w:rPr>
            </w:pPr>
            <w:r w:rsidRPr="00FC7F53">
              <w:rPr>
                <w:rFonts w:hint="cs"/>
                <w:color w:val="auto"/>
                <w:sz w:val="17"/>
                <w:szCs w:val="17"/>
                <w:rtl/>
              </w:rPr>
              <w:t>סך הכל מסחרי*</w:t>
            </w:r>
          </w:p>
        </w:tc>
        <w:tc>
          <w:tcPr>
            <w:tcW w:w="1111" w:type="dxa"/>
            <w:tcBorders>
              <w:top w:val="single" w:sz="4" w:space="0" w:color="auto"/>
            </w:tcBorders>
            <w:vAlign w:val="bottom"/>
          </w:tcPr>
          <w:p w14:paraId="518BB454" w14:textId="77777777" w:rsidR="00135811" w:rsidRPr="005068E4" w:rsidRDefault="00135811" w:rsidP="00400DD1">
            <w:pPr>
              <w:pStyle w:val="-3"/>
              <w:rPr>
                <w:sz w:val="18"/>
                <w:szCs w:val="18"/>
                <w:rtl/>
              </w:rPr>
            </w:pPr>
            <w:r w:rsidRPr="005068E4">
              <w:rPr>
                <w:rFonts w:hint="cs"/>
                <w:sz w:val="18"/>
                <w:szCs w:val="18"/>
                <w:rtl/>
              </w:rPr>
              <w:t xml:space="preserve"> 0</w:t>
            </w:r>
          </w:p>
        </w:tc>
        <w:tc>
          <w:tcPr>
            <w:tcW w:w="1134" w:type="dxa"/>
            <w:tcBorders>
              <w:top w:val="single" w:sz="4" w:space="0" w:color="auto"/>
            </w:tcBorders>
            <w:vAlign w:val="bottom"/>
          </w:tcPr>
          <w:p w14:paraId="7791DB18" w14:textId="77777777" w:rsidR="00135811" w:rsidRPr="005068E4" w:rsidRDefault="00135811" w:rsidP="00400DD1">
            <w:pPr>
              <w:pStyle w:val="-3"/>
              <w:rPr>
                <w:sz w:val="18"/>
                <w:szCs w:val="18"/>
                <w:rtl/>
              </w:rPr>
            </w:pPr>
            <w:r w:rsidRPr="005068E4">
              <w:rPr>
                <w:rFonts w:hint="cs"/>
                <w:sz w:val="18"/>
                <w:szCs w:val="18"/>
                <w:rtl/>
              </w:rPr>
              <w:t xml:space="preserve"> 0</w:t>
            </w:r>
          </w:p>
        </w:tc>
        <w:tc>
          <w:tcPr>
            <w:tcW w:w="712" w:type="dxa"/>
            <w:tcBorders>
              <w:top w:val="single" w:sz="4" w:space="0" w:color="auto"/>
            </w:tcBorders>
            <w:vAlign w:val="bottom"/>
          </w:tcPr>
          <w:p w14:paraId="318F2D18" w14:textId="77777777" w:rsidR="00135811" w:rsidRPr="005068E4" w:rsidRDefault="00135811" w:rsidP="00400DD1">
            <w:pPr>
              <w:pStyle w:val="-3"/>
              <w:rPr>
                <w:sz w:val="18"/>
                <w:szCs w:val="18"/>
                <w:rtl/>
              </w:rPr>
            </w:pPr>
            <w:r w:rsidRPr="005068E4">
              <w:rPr>
                <w:rFonts w:hint="cs"/>
                <w:sz w:val="18"/>
                <w:szCs w:val="18"/>
                <w:rtl/>
              </w:rPr>
              <w:t xml:space="preserve"> 0</w:t>
            </w:r>
          </w:p>
        </w:tc>
        <w:tc>
          <w:tcPr>
            <w:tcW w:w="992" w:type="dxa"/>
            <w:tcBorders>
              <w:top w:val="single" w:sz="4" w:space="0" w:color="auto"/>
            </w:tcBorders>
            <w:vAlign w:val="bottom"/>
          </w:tcPr>
          <w:p w14:paraId="5CC1B17B" w14:textId="77777777" w:rsidR="00135811" w:rsidRPr="005068E4" w:rsidRDefault="00135811" w:rsidP="00400DD1">
            <w:pPr>
              <w:pStyle w:val="-3"/>
              <w:rPr>
                <w:b/>
                <w:bCs/>
                <w:sz w:val="18"/>
                <w:szCs w:val="18"/>
                <w:rtl/>
              </w:rPr>
            </w:pPr>
            <w:r w:rsidRPr="005068E4">
              <w:rPr>
                <w:rFonts w:hint="cs"/>
                <w:sz w:val="18"/>
                <w:szCs w:val="18"/>
                <w:rtl/>
              </w:rPr>
              <w:t xml:space="preserve"> 0</w:t>
            </w:r>
          </w:p>
        </w:tc>
        <w:tc>
          <w:tcPr>
            <w:tcW w:w="1624" w:type="dxa"/>
            <w:tcBorders>
              <w:top w:val="single" w:sz="4" w:space="0" w:color="auto"/>
            </w:tcBorders>
            <w:vAlign w:val="bottom"/>
          </w:tcPr>
          <w:p w14:paraId="0DC2ABA1" w14:textId="77777777" w:rsidR="00135811" w:rsidRPr="005068E4" w:rsidRDefault="00135811" w:rsidP="00400DD1">
            <w:pPr>
              <w:pStyle w:val="-3"/>
              <w:rPr>
                <w:sz w:val="18"/>
                <w:szCs w:val="18"/>
                <w:rtl/>
              </w:rPr>
            </w:pPr>
            <w:r w:rsidRPr="005068E4">
              <w:rPr>
                <w:rFonts w:hint="cs"/>
                <w:sz w:val="18"/>
                <w:szCs w:val="18"/>
                <w:rtl/>
              </w:rPr>
              <w:t xml:space="preserve"> 0</w:t>
            </w:r>
          </w:p>
        </w:tc>
        <w:tc>
          <w:tcPr>
            <w:tcW w:w="785" w:type="dxa"/>
            <w:tcBorders>
              <w:top w:val="single" w:sz="4" w:space="0" w:color="auto"/>
            </w:tcBorders>
            <w:vAlign w:val="bottom"/>
          </w:tcPr>
          <w:p w14:paraId="003F0134" w14:textId="77777777" w:rsidR="00135811" w:rsidRPr="005068E4" w:rsidRDefault="00135811" w:rsidP="00400DD1">
            <w:pPr>
              <w:pStyle w:val="-3"/>
              <w:rPr>
                <w:sz w:val="18"/>
                <w:szCs w:val="18"/>
                <w:rtl/>
              </w:rPr>
            </w:pPr>
            <w:r w:rsidRPr="005068E4">
              <w:rPr>
                <w:rFonts w:hint="cs"/>
                <w:sz w:val="18"/>
                <w:szCs w:val="18"/>
                <w:rtl/>
              </w:rPr>
              <w:t xml:space="preserve"> 0</w:t>
            </w:r>
          </w:p>
        </w:tc>
        <w:tc>
          <w:tcPr>
            <w:tcW w:w="1165" w:type="dxa"/>
            <w:tcBorders>
              <w:top w:val="single" w:sz="4" w:space="0" w:color="auto"/>
            </w:tcBorders>
            <w:vAlign w:val="bottom"/>
          </w:tcPr>
          <w:p w14:paraId="0C1DE6D5" w14:textId="77777777" w:rsidR="00135811" w:rsidRPr="005068E4" w:rsidRDefault="00135811" w:rsidP="00400DD1">
            <w:pPr>
              <w:pStyle w:val="-3"/>
              <w:rPr>
                <w:sz w:val="18"/>
                <w:szCs w:val="18"/>
                <w:rtl/>
              </w:rPr>
            </w:pPr>
            <w:r w:rsidRPr="005068E4">
              <w:rPr>
                <w:rFonts w:hint="cs"/>
                <w:sz w:val="18"/>
                <w:szCs w:val="18"/>
                <w:rtl/>
              </w:rPr>
              <w:t xml:space="preserve"> 0</w:t>
            </w:r>
          </w:p>
        </w:tc>
        <w:tc>
          <w:tcPr>
            <w:tcW w:w="820" w:type="dxa"/>
            <w:tcBorders>
              <w:top w:val="single" w:sz="4" w:space="0" w:color="auto"/>
            </w:tcBorders>
            <w:vAlign w:val="bottom"/>
          </w:tcPr>
          <w:p w14:paraId="722D4308" w14:textId="77777777" w:rsidR="00135811" w:rsidRPr="005068E4" w:rsidRDefault="00135811" w:rsidP="00400DD1">
            <w:pPr>
              <w:pStyle w:val="-3"/>
              <w:rPr>
                <w:sz w:val="18"/>
                <w:szCs w:val="18"/>
                <w:rtl/>
              </w:rPr>
            </w:pPr>
            <w:r w:rsidRPr="005068E4">
              <w:rPr>
                <w:rFonts w:hint="cs"/>
                <w:sz w:val="18"/>
                <w:szCs w:val="18"/>
                <w:rtl/>
              </w:rPr>
              <w:t xml:space="preserve"> 0</w:t>
            </w:r>
          </w:p>
        </w:tc>
      </w:tr>
      <w:tr w:rsidR="00135811" w:rsidRPr="007C7A96" w14:paraId="05E0683F" w14:textId="77777777" w:rsidTr="00400DD1">
        <w:trPr>
          <w:trHeight w:val="259"/>
        </w:trPr>
        <w:tc>
          <w:tcPr>
            <w:tcW w:w="1852" w:type="dxa"/>
          </w:tcPr>
          <w:p w14:paraId="17616EC5" w14:textId="77777777" w:rsidR="00135811" w:rsidRPr="00FC7F53" w:rsidRDefault="00135811" w:rsidP="00400DD1">
            <w:pPr>
              <w:pStyle w:val="-21"/>
              <w:ind w:left="113" w:hanging="113"/>
              <w:rPr>
                <w:b/>
                <w:bCs/>
                <w:color w:val="auto"/>
                <w:sz w:val="17"/>
                <w:szCs w:val="17"/>
                <w:rtl/>
              </w:rPr>
            </w:pPr>
            <w:r w:rsidRPr="00FC7F53">
              <w:rPr>
                <w:rFonts w:hint="cs"/>
                <w:color w:val="auto"/>
                <w:sz w:val="17"/>
                <w:szCs w:val="17"/>
                <w:rtl/>
              </w:rPr>
              <w:t xml:space="preserve">אנשים פרטיים - הלוואות </w:t>
            </w:r>
            <w:r>
              <w:rPr>
                <w:rFonts w:hint="cs"/>
                <w:color w:val="auto"/>
                <w:sz w:val="17"/>
                <w:szCs w:val="17"/>
                <w:rtl/>
              </w:rPr>
              <w:t>ל</w:t>
            </w:r>
            <w:r w:rsidRPr="00FC7F53">
              <w:rPr>
                <w:rFonts w:hint="cs"/>
                <w:color w:val="auto"/>
                <w:sz w:val="17"/>
                <w:szCs w:val="17"/>
                <w:rtl/>
              </w:rPr>
              <w:t>דיור</w:t>
            </w:r>
          </w:p>
        </w:tc>
        <w:tc>
          <w:tcPr>
            <w:tcW w:w="1111" w:type="dxa"/>
            <w:vAlign w:val="bottom"/>
          </w:tcPr>
          <w:p w14:paraId="0FE33976" w14:textId="77777777" w:rsidR="00135811" w:rsidRPr="005068E4" w:rsidRDefault="00135811" w:rsidP="00400DD1">
            <w:pPr>
              <w:pStyle w:val="-3"/>
              <w:rPr>
                <w:sz w:val="18"/>
                <w:szCs w:val="18"/>
                <w:rtl/>
              </w:rPr>
            </w:pPr>
            <w:r w:rsidRPr="005068E4">
              <w:rPr>
                <w:rFonts w:hint="cs"/>
                <w:sz w:val="18"/>
                <w:szCs w:val="18"/>
                <w:rtl/>
              </w:rPr>
              <w:t xml:space="preserve"> 0</w:t>
            </w:r>
          </w:p>
        </w:tc>
        <w:tc>
          <w:tcPr>
            <w:tcW w:w="1134" w:type="dxa"/>
            <w:vAlign w:val="bottom"/>
          </w:tcPr>
          <w:p w14:paraId="1B2018B2" w14:textId="77777777" w:rsidR="00135811" w:rsidRPr="005068E4" w:rsidRDefault="00135811" w:rsidP="00400DD1">
            <w:pPr>
              <w:pStyle w:val="-3"/>
              <w:rPr>
                <w:sz w:val="18"/>
                <w:szCs w:val="18"/>
                <w:rtl/>
              </w:rPr>
            </w:pPr>
            <w:r w:rsidRPr="005068E4">
              <w:rPr>
                <w:rFonts w:hint="cs"/>
                <w:sz w:val="18"/>
                <w:szCs w:val="18"/>
                <w:rtl/>
              </w:rPr>
              <w:t xml:space="preserve"> 0</w:t>
            </w:r>
          </w:p>
        </w:tc>
        <w:tc>
          <w:tcPr>
            <w:tcW w:w="712" w:type="dxa"/>
            <w:vAlign w:val="bottom"/>
          </w:tcPr>
          <w:p w14:paraId="39601A50" w14:textId="77777777" w:rsidR="00135811" w:rsidRPr="005068E4" w:rsidRDefault="00135811" w:rsidP="00400DD1">
            <w:pPr>
              <w:pStyle w:val="-3"/>
              <w:rPr>
                <w:sz w:val="18"/>
                <w:szCs w:val="18"/>
                <w:rtl/>
              </w:rPr>
            </w:pPr>
            <w:r w:rsidRPr="005068E4">
              <w:rPr>
                <w:rFonts w:hint="cs"/>
                <w:sz w:val="18"/>
                <w:szCs w:val="18"/>
                <w:rtl/>
              </w:rPr>
              <w:t xml:space="preserve"> 0</w:t>
            </w:r>
          </w:p>
        </w:tc>
        <w:tc>
          <w:tcPr>
            <w:tcW w:w="992" w:type="dxa"/>
            <w:vAlign w:val="bottom"/>
          </w:tcPr>
          <w:p w14:paraId="36DE4B00" w14:textId="77777777" w:rsidR="00135811" w:rsidRPr="005068E4" w:rsidRDefault="00135811" w:rsidP="00400DD1">
            <w:pPr>
              <w:pStyle w:val="-3"/>
              <w:rPr>
                <w:b/>
                <w:bCs/>
                <w:sz w:val="18"/>
                <w:szCs w:val="18"/>
                <w:rtl/>
              </w:rPr>
            </w:pPr>
            <w:r w:rsidRPr="005068E4">
              <w:rPr>
                <w:rFonts w:hint="cs"/>
                <w:sz w:val="18"/>
                <w:szCs w:val="18"/>
                <w:rtl/>
              </w:rPr>
              <w:t xml:space="preserve"> 0</w:t>
            </w:r>
          </w:p>
        </w:tc>
        <w:tc>
          <w:tcPr>
            <w:tcW w:w="1624" w:type="dxa"/>
            <w:vAlign w:val="bottom"/>
          </w:tcPr>
          <w:p w14:paraId="08F013F9" w14:textId="77777777" w:rsidR="00135811" w:rsidRPr="005068E4" w:rsidRDefault="00135811" w:rsidP="00400DD1">
            <w:pPr>
              <w:pStyle w:val="-3"/>
              <w:rPr>
                <w:sz w:val="18"/>
                <w:szCs w:val="18"/>
                <w:rtl/>
              </w:rPr>
            </w:pPr>
            <w:r w:rsidRPr="005068E4">
              <w:rPr>
                <w:rFonts w:hint="cs"/>
                <w:sz w:val="18"/>
                <w:szCs w:val="18"/>
                <w:rtl/>
              </w:rPr>
              <w:t xml:space="preserve"> 0</w:t>
            </w:r>
          </w:p>
        </w:tc>
        <w:tc>
          <w:tcPr>
            <w:tcW w:w="785" w:type="dxa"/>
            <w:vAlign w:val="bottom"/>
          </w:tcPr>
          <w:p w14:paraId="7D3AEA2E" w14:textId="77777777" w:rsidR="00135811" w:rsidRPr="005068E4" w:rsidRDefault="00135811" w:rsidP="00400DD1">
            <w:pPr>
              <w:pStyle w:val="-3"/>
              <w:rPr>
                <w:sz w:val="18"/>
                <w:szCs w:val="18"/>
                <w:rtl/>
              </w:rPr>
            </w:pPr>
            <w:r w:rsidRPr="005068E4">
              <w:rPr>
                <w:rFonts w:hint="cs"/>
                <w:sz w:val="18"/>
                <w:szCs w:val="18"/>
                <w:rtl/>
              </w:rPr>
              <w:t xml:space="preserve"> 0</w:t>
            </w:r>
          </w:p>
        </w:tc>
        <w:tc>
          <w:tcPr>
            <w:tcW w:w="1165" w:type="dxa"/>
            <w:vAlign w:val="bottom"/>
          </w:tcPr>
          <w:p w14:paraId="5836E5CA" w14:textId="77777777" w:rsidR="00135811" w:rsidRPr="005068E4" w:rsidRDefault="00135811" w:rsidP="00400DD1">
            <w:pPr>
              <w:pStyle w:val="-3"/>
              <w:rPr>
                <w:sz w:val="18"/>
                <w:szCs w:val="18"/>
                <w:rtl/>
              </w:rPr>
            </w:pPr>
            <w:r w:rsidRPr="005068E4">
              <w:rPr>
                <w:rFonts w:hint="cs"/>
                <w:sz w:val="18"/>
                <w:szCs w:val="18"/>
                <w:rtl/>
              </w:rPr>
              <w:t xml:space="preserve"> 0</w:t>
            </w:r>
          </w:p>
        </w:tc>
        <w:tc>
          <w:tcPr>
            <w:tcW w:w="820" w:type="dxa"/>
            <w:vAlign w:val="bottom"/>
          </w:tcPr>
          <w:p w14:paraId="4D1A529E" w14:textId="77777777" w:rsidR="00135811" w:rsidRPr="005068E4" w:rsidRDefault="00135811" w:rsidP="00400DD1">
            <w:pPr>
              <w:pStyle w:val="-3"/>
              <w:rPr>
                <w:sz w:val="18"/>
                <w:szCs w:val="18"/>
                <w:rtl/>
              </w:rPr>
            </w:pPr>
            <w:r w:rsidRPr="005068E4">
              <w:rPr>
                <w:rFonts w:hint="cs"/>
                <w:sz w:val="18"/>
                <w:szCs w:val="18"/>
                <w:rtl/>
              </w:rPr>
              <w:t xml:space="preserve"> 0</w:t>
            </w:r>
          </w:p>
        </w:tc>
      </w:tr>
      <w:tr w:rsidR="00135811" w:rsidRPr="007C7A96" w14:paraId="0BA03073" w14:textId="77777777" w:rsidTr="00400DD1">
        <w:trPr>
          <w:trHeight w:val="259"/>
        </w:trPr>
        <w:tc>
          <w:tcPr>
            <w:tcW w:w="1852" w:type="dxa"/>
          </w:tcPr>
          <w:p w14:paraId="0D0BDB22" w14:textId="77777777" w:rsidR="00135811" w:rsidRPr="00FC7F53" w:rsidRDefault="00135811" w:rsidP="00400DD1">
            <w:pPr>
              <w:pStyle w:val="-0"/>
              <w:spacing w:line="240" w:lineRule="auto"/>
              <w:ind w:left="113" w:hanging="113"/>
              <w:rPr>
                <w:b/>
                <w:bCs/>
                <w:color w:val="auto"/>
                <w:sz w:val="17"/>
                <w:szCs w:val="17"/>
                <w:rtl/>
              </w:rPr>
            </w:pPr>
            <w:r w:rsidRPr="00FC7F53">
              <w:rPr>
                <w:rFonts w:hint="cs"/>
                <w:color w:val="auto"/>
                <w:sz w:val="17"/>
                <w:szCs w:val="17"/>
                <w:rtl/>
              </w:rPr>
              <w:t>אנשים פרטיים - אחר</w:t>
            </w:r>
          </w:p>
        </w:tc>
        <w:tc>
          <w:tcPr>
            <w:tcW w:w="1111" w:type="dxa"/>
            <w:vAlign w:val="bottom"/>
          </w:tcPr>
          <w:p w14:paraId="1AE25B34" w14:textId="77777777" w:rsidR="00135811" w:rsidRPr="005068E4" w:rsidRDefault="00135811" w:rsidP="00400DD1">
            <w:pPr>
              <w:pStyle w:val="-3"/>
              <w:pBdr>
                <w:bottom w:val="single" w:sz="4" w:space="1" w:color="auto"/>
              </w:pBdr>
              <w:rPr>
                <w:sz w:val="18"/>
                <w:szCs w:val="18"/>
                <w:rtl/>
              </w:rPr>
            </w:pPr>
            <w:r w:rsidRPr="005068E4">
              <w:rPr>
                <w:rFonts w:hint="cs"/>
                <w:sz w:val="18"/>
                <w:szCs w:val="18"/>
                <w:rtl/>
              </w:rPr>
              <w:t xml:space="preserve"> 0</w:t>
            </w:r>
          </w:p>
        </w:tc>
        <w:tc>
          <w:tcPr>
            <w:tcW w:w="1134" w:type="dxa"/>
            <w:vAlign w:val="bottom"/>
          </w:tcPr>
          <w:p w14:paraId="78D1A80A" w14:textId="77777777" w:rsidR="00135811" w:rsidRPr="005068E4" w:rsidRDefault="00135811" w:rsidP="00400DD1">
            <w:pPr>
              <w:pStyle w:val="-3"/>
              <w:pBdr>
                <w:bottom w:val="single" w:sz="4" w:space="1" w:color="auto"/>
              </w:pBdr>
              <w:rPr>
                <w:sz w:val="18"/>
                <w:szCs w:val="18"/>
                <w:rtl/>
              </w:rPr>
            </w:pPr>
            <w:r w:rsidRPr="005068E4">
              <w:rPr>
                <w:rFonts w:hint="cs"/>
                <w:sz w:val="18"/>
                <w:szCs w:val="18"/>
                <w:rtl/>
              </w:rPr>
              <w:t xml:space="preserve"> 0</w:t>
            </w:r>
          </w:p>
        </w:tc>
        <w:tc>
          <w:tcPr>
            <w:tcW w:w="712" w:type="dxa"/>
            <w:vAlign w:val="bottom"/>
          </w:tcPr>
          <w:p w14:paraId="1E2872C8" w14:textId="77777777" w:rsidR="00135811" w:rsidRPr="005068E4" w:rsidRDefault="00135811" w:rsidP="00400DD1">
            <w:pPr>
              <w:pStyle w:val="-3"/>
              <w:pBdr>
                <w:bottom w:val="single" w:sz="4" w:space="1" w:color="auto"/>
              </w:pBdr>
              <w:rPr>
                <w:sz w:val="18"/>
                <w:szCs w:val="18"/>
                <w:rtl/>
              </w:rPr>
            </w:pPr>
            <w:r w:rsidRPr="005068E4">
              <w:rPr>
                <w:rFonts w:hint="cs"/>
                <w:sz w:val="18"/>
                <w:szCs w:val="18"/>
                <w:rtl/>
              </w:rPr>
              <w:t xml:space="preserve"> 0</w:t>
            </w:r>
          </w:p>
        </w:tc>
        <w:tc>
          <w:tcPr>
            <w:tcW w:w="992" w:type="dxa"/>
            <w:vAlign w:val="bottom"/>
          </w:tcPr>
          <w:p w14:paraId="10C832E8" w14:textId="77777777" w:rsidR="00135811" w:rsidRPr="005068E4" w:rsidRDefault="00135811" w:rsidP="00400DD1">
            <w:pPr>
              <w:pStyle w:val="-3"/>
              <w:pBdr>
                <w:bottom w:val="single" w:sz="4" w:space="1" w:color="auto"/>
              </w:pBdr>
              <w:rPr>
                <w:b/>
                <w:bCs/>
                <w:sz w:val="18"/>
                <w:szCs w:val="18"/>
                <w:rtl/>
              </w:rPr>
            </w:pPr>
            <w:r w:rsidRPr="005068E4">
              <w:rPr>
                <w:rFonts w:hint="cs"/>
                <w:sz w:val="18"/>
                <w:szCs w:val="18"/>
                <w:rtl/>
              </w:rPr>
              <w:t xml:space="preserve"> 0</w:t>
            </w:r>
          </w:p>
        </w:tc>
        <w:tc>
          <w:tcPr>
            <w:tcW w:w="1624" w:type="dxa"/>
            <w:vAlign w:val="bottom"/>
          </w:tcPr>
          <w:p w14:paraId="6B55B65C" w14:textId="77777777" w:rsidR="00135811" w:rsidRPr="005068E4" w:rsidRDefault="00135811" w:rsidP="00400DD1">
            <w:pPr>
              <w:pStyle w:val="-3"/>
              <w:pBdr>
                <w:bottom w:val="single" w:sz="4" w:space="1" w:color="auto"/>
              </w:pBdr>
              <w:rPr>
                <w:sz w:val="18"/>
                <w:szCs w:val="18"/>
                <w:rtl/>
              </w:rPr>
            </w:pPr>
            <w:r w:rsidRPr="005068E4">
              <w:rPr>
                <w:rFonts w:hint="cs"/>
                <w:sz w:val="18"/>
                <w:szCs w:val="18"/>
                <w:rtl/>
              </w:rPr>
              <w:t xml:space="preserve"> 0</w:t>
            </w:r>
          </w:p>
        </w:tc>
        <w:tc>
          <w:tcPr>
            <w:tcW w:w="785" w:type="dxa"/>
            <w:vAlign w:val="bottom"/>
          </w:tcPr>
          <w:p w14:paraId="5241DD95" w14:textId="77777777" w:rsidR="00135811" w:rsidRPr="005068E4" w:rsidRDefault="00135811" w:rsidP="00400DD1">
            <w:pPr>
              <w:pStyle w:val="-3"/>
              <w:pBdr>
                <w:bottom w:val="single" w:sz="4" w:space="1" w:color="auto"/>
              </w:pBdr>
              <w:rPr>
                <w:sz w:val="18"/>
                <w:szCs w:val="18"/>
                <w:rtl/>
              </w:rPr>
            </w:pPr>
            <w:r w:rsidRPr="005068E4">
              <w:rPr>
                <w:rFonts w:hint="cs"/>
                <w:sz w:val="18"/>
                <w:szCs w:val="18"/>
                <w:rtl/>
              </w:rPr>
              <w:t xml:space="preserve"> 0</w:t>
            </w:r>
          </w:p>
        </w:tc>
        <w:tc>
          <w:tcPr>
            <w:tcW w:w="1165" w:type="dxa"/>
            <w:vAlign w:val="bottom"/>
          </w:tcPr>
          <w:p w14:paraId="43DE8834" w14:textId="77777777" w:rsidR="00135811" w:rsidRPr="005068E4" w:rsidRDefault="00135811" w:rsidP="00400DD1">
            <w:pPr>
              <w:pStyle w:val="-3"/>
              <w:pBdr>
                <w:bottom w:val="single" w:sz="4" w:space="1" w:color="auto"/>
              </w:pBdr>
              <w:rPr>
                <w:sz w:val="18"/>
                <w:szCs w:val="18"/>
                <w:rtl/>
              </w:rPr>
            </w:pPr>
            <w:r w:rsidRPr="005068E4">
              <w:rPr>
                <w:rFonts w:hint="cs"/>
                <w:sz w:val="18"/>
                <w:szCs w:val="18"/>
                <w:rtl/>
              </w:rPr>
              <w:t xml:space="preserve"> 0</w:t>
            </w:r>
          </w:p>
        </w:tc>
        <w:tc>
          <w:tcPr>
            <w:tcW w:w="820" w:type="dxa"/>
            <w:vAlign w:val="bottom"/>
          </w:tcPr>
          <w:p w14:paraId="4B1BFC05" w14:textId="77777777" w:rsidR="00135811" w:rsidRPr="005068E4" w:rsidRDefault="00135811" w:rsidP="00400DD1">
            <w:pPr>
              <w:pStyle w:val="-3"/>
              <w:pBdr>
                <w:bottom w:val="single" w:sz="4" w:space="1" w:color="auto"/>
              </w:pBdr>
              <w:rPr>
                <w:sz w:val="18"/>
                <w:szCs w:val="18"/>
                <w:rtl/>
              </w:rPr>
            </w:pPr>
            <w:r w:rsidRPr="005068E4">
              <w:rPr>
                <w:rFonts w:hint="cs"/>
                <w:sz w:val="18"/>
                <w:szCs w:val="18"/>
                <w:rtl/>
              </w:rPr>
              <w:t xml:space="preserve"> 0</w:t>
            </w:r>
          </w:p>
        </w:tc>
      </w:tr>
      <w:tr w:rsidR="00135811" w:rsidRPr="007C7A96" w14:paraId="6E198888" w14:textId="77777777" w:rsidTr="00400DD1">
        <w:trPr>
          <w:trHeight w:val="66"/>
        </w:trPr>
        <w:tc>
          <w:tcPr>
            <w:tcW w:w="1852" w:type="dxa"/>
          </w:tcPr>
          <w:p w14:paraId="1B6F5D15" w14:textId="77777777" w:rsidR="00135811" w:rsidRPr="005068E4" w:rsidRDefault="00135811" w:rsidP="00400DD1">
            <w:pPr>
              <w:pStyle w:val="-b"/>
              <w:ind w:left="113" w:hanging="113"/>
              <w:rPr>
                <w:b w:val="0"/>
                <w:bCs w:val="0"/>
                <w:color w:val="auto"/>
                <w:sz w:val="17"/>
                <w:szCs w:val="17"/>
                <w:rtl/>
              </w:rPr>
            </w:pPr>
            <w:r w:rsidRPr="005068E4">
              <w:rPr>
                <w:rFonts w:hint="cs"/>
                <w:b w:val="0"/>
                <w:bCs w:val="0"/>
                <w:color w:val="auto"/>
                <w:sz w:val="17"/>
                <w:szCs w:val="17"/>
                <w:rtl/>
              </w:rPr>
              <w:t>סך הכל סיכון אשראי לציבור</w:t>
            </w:r>
          </w:p>
        </w:tc>
        <w:tc>
          <w:tcPr>
            <w:tcW w:w="1111" w:type="dxa"/>
            <w:vAlign w:val="bottom"/>
          </w:tcPr>
          <w:p w14:paraId="1A52B60A" w14:textId="77777777" w:rsidR="00135811" w:rsidRPr="005068E4" w:rsidRDefault="00135811"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1134" w:type="dxa"/>
            <w:vAlign w:val="bottom"/>
          </w:tcPr>
          <w:p w14:paraId="721E5514" w14:textId="77777777" w:rsidR="00135811" w:rsidRPr="005068E4" w:rsidRDefault="00135811"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712" w:type="dxa"/>
            <w:vAlign w:val="bottom"/>
          </w:tcPr>
          <w:p w14:paraId="10B2C9FE" w14:textId="77777777" w:rsidR="00135811" w:rsidRPr="005068E4" w:rsidRDefault="00135811"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992" w:type="dxa"/>
            <w:vAlign w:val="bottom"/>
          </w:tcPr>
          <w:p w14:paraId="35FBD424" w14:textId="77777777" w:rsidR="00135811" w:rsidRPr="005068E4" w:rsidRDefault="00135811"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1624" w:type="dxa"/>
            <w:vAlign w:val="bottom"/>
          </w:tcPr>
          <w:p w14:paraId="19062BC4" w14:textId="77777777" w:rsidR="00135811" w:rsidRPr="005068E4" w:rsidRDefault="00135811"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785" w:type="dxa"/>
            <w:vAlign w:val="bottom"/>
          </w:tcPr>
          <w:p w14:paraId="1CC9CB02" w14:textId="77777777" w:rsidR="00135811" w:rsidRPr="005068E4" w:rsidRDefault="00135811"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1165" w:type="dxa"/>
            <w:vAlign w:val="bottom"/>
          </w:tcPr>
          <w:p w14:paraId="047DC62D" w14:textId="77777777" w:rsidR="00135811" w:rsidRPr="005068E4" w:rsidRDefault="00135811"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820" w:type="dxa"/>
            <w:vAlign w:val="bottom"/>
          </w:tcPr>
          <w:p w14:paraId="68285388" w14:textId="77777777" w:rsidR="00135811" w:rsidRPr="005068E4" w:rsidRDefault="00135811"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r>
    </w:tbl>
    <w:p w14:paraId="22A3FF7E" w14:textId="63A3571D" w:rsidR="00480E52" w:rsidRDefault="00480E52" w:rsidP="00480E52">
      <w:pPr>
        <w:rPr>
          <w:rtl/>
        </w:rPr>
      </w:pPr>
    </w:p>
    <w:p w14:paraId="0C51E102" w14:textId="0FFE0F52" w:rsidR="00AD40A8" w:rsidRDefault="00AD40A8" w:rsidP="00480E52">
      <w:pPr>
        <w:rPr>
          <w:rtl/>
        </w:rPr>
      </w:pPr>
    </w:p>
    <w:p w14:paraId="209E737D" w14:textId="77777777" w:rsidR="00666DC4" w:rsidRDefault="00666DC4" w:rsidP="00480E52">
      <w:pPr>
        <w:rPr>
          <w:rtl/>
        </w:rPr>
      </w:pPr>
    </w:p>
    <w:tbl>
      <w:tblPr>
        <w:bidiVisual/>
        <w:tblW w:w="4994" w:type="pct"/>
        <w:tblLook w:val="01E0" w:firstRow="1" w:lastRow="1" w:firstColumn="1" w:lastColumn="1" w:noHBand="0" w:noVBand="0"/>
      </w:tblPr>
      <w:tblGrid>
        <w:gridCol w:w="1852"/>
        <w:gridCol w:w="1111"/>
        <w:gridCol w:w="1134"/>
        <w:gridCol w:w="712"/>
        <w:gridCol w:w="992"/>
        <w:gridCol w:w="1624"/>
        <w:gridCol w:w="785"/>
        <w:gridCol w:w="1165"/>
        <w:gridCol w:w="820"/>
      </w:tblGrid>
      <w:tr w:rsidR="00135811" w:rsidRPr="007C7A96" w14:paraId="5075CBE2" w14:textId="77777777" w:rsidTr="00400DD1">
        <w:trPr>
          <w:trHeight w:val="259"/>
        </w:trPr>
        <w:tc>
          <w:tcPr>
            <w:tcW w:w="1852" w:type="dxa"/>
          </w:tcPr>
          <w:p w14:paraId="12AA7B09" w14:textId="77777777" w:rsidR="00135811" w:rsidRPr="007C7A96" w:rsidRDefault="00135811" w:rsidP="00400DD1">
            <w:pPr>
              <w:pStyle w:val="-0"/>
              <w:spacing w:line="240" w:lineRule="auto"/>
              <w:ind w:left="663" w:hanging="231"/>
              <w:rPr>
                <w:color w:val="auto"/>
                <w:sz w:val="18"/>
                <w:szCs w:val="18"/>
                <w:rtl/>
              </w:rPr>
            </w:pPr>
          </w:p>
        </w:tc>
        <w:tc>
          <w:tcPr>
            <w:tcW w:w="8343" w:type="dxa"/>
            <w:gridSpan w:val="8"/>
            <w:vAlign w:val="bottom"/>
          </w:tcPr>
          <w:p w14:paraId="313EC76F" w14:textId="4F9AF1CC" w:rsidR="00135811" w:rsidRPr="00064437" w:rsidRDefault="00320C27" w:rsidP="00400DD1">
            <w:pPr>
              <w:pStyle w:val="-3"/>
              <w:pBdr>
                <w:bottom w:val="single" w:sz="4" w:space="1" w:color="auto"/>
              </w:pBdr>
              <w:spacing w:line="240" w:lineRule="auto"/>
              <w:ind w:left="-28"/>
              <w:jc w:val="center"/>
              <w:rPr>
                <w:b/>
                <w:bCs/>
                <w:sz w:val="19"/>
                <w:szCs w:val="19"/>
                <w:rtl/>
              </w:rPr>
            </w:pPr>
            <w:r>
              <w:rPr>
                <w:rFonts w:hint="cs"/>
                <w:b/>
                <w:bCs/>
                <w:sz w:val="19"/>
                <w:szCs w:val="19"/>
                <w:rtl/>
              </w:rPr>
              <w:t>בשישה</w:t>
            </w:r>
            <w:r w:rsidRPr="00064437">
              <w:rPr>
                <w:rFonts w:hint="cs"/>
                <w:b/>
                <w:bCs/>
                <w:sz w:val="19"/>
                <w:szCs w:val="19"/>
                <w:rtl/>
              </w:rPr>
              <w:t xml:space="preserve"> חודשים </w:t>
            </w:r>
            <w:r w:rsidR="00135811" w:rsidRPr="00064437">
              <w:rPr>
                <w:rFonts w:hint="cs"/>
                <w:b/>
                <w:bCs/>
                <w:sz w:val="19"/>
                <w:szCs w:val="19"/>
                <w:rtl/>
              </w:rPr>
              <w:t xml:space="preserve">שהסתיימו ביום 30 ביוני </w:t>
            </w:r>
            <w:r w:rsidR="00135811" w:rsidRPr="00064437">
              <w:rPr>
                <w:b/>
                <w:bCs/>
                <w:sz w:val="19"/>
                <w:szCs w:val="19"/>
                <w:rtl/>
              </w:rPr>
              <w:fldChar w:fldCharType="begin"/>
            </w:r>
            <w:r w:rsidR="00135811" w:rsidRPr="00064437">
              <w:rPr>
                <w:b/>
                <w:bCs/>
                <w:sz w:val="19"/>
                <w:szCs w:val="19"/>
                <w:rtl/>
              </w:rPr>
              <w:instrText xml:space="preserve"> </w:instrText>
            </w:r>
            <w:r w:rsidR="00135811" w:rsidRPr="00064437">
              <w:rPr>
                <w:rFonts w:hint="cs"/>
                <w:b/>
                <w:bCs/>
                <w:sz w:val="19"/>
                <w:szCs w:val="19"/>
                <w:rtl/>
              </w:rPr>
              <w:instrText xml:space="preserve">= </w:instrText>
            </w:r>
            <w:r w:rsidR="00135811" w:rsidRPr="00064437">
              <w:rPr>
                <w:rFonts w:hint="cs"/>
                <w:b/>
                <w:bCs/>
                <w:sz w:val="19"/>
                <w:szCs w:val="19"/>
              </w:rPr>
              <w:instrText>CY \* MERGEFORMAT</w:instrText>
            </w:r>
            <w:r w:rsidR="00135811" w:rsidRPr="00064437">
              <w:rPr>
                <w:b/>
                <w:bCs/>
                <w:sz w:val="19"/>
                <w:szCs w:val="19"/>
                <w:rtl/>
              </w:rPr>
              <w:instrText xml:space="preserve"> </w:instrText>
            </w:r>
            <w:r w:rsidR="00135811" w:rsidRPr="00064437">
              <w:rPr>
                <w:b/>
                <w:bCs/>
                <w:sz w:val="19"/>
                <w:szCs w:val="19"/>
                <w:rtl/>
              </w:rPr>
              <w:fldChar w:fldCharType="separate"/>
            </w:r>
            <w:r w:rsidR="003A584F">
              <w:rPr>
                <w:b/>
                <w:bCs/>
                <w:noProof/>
                <w:sz w:val="19"/>
                <w:szCs w:val="19"/>
                <w:rtl/>
              </w:rPr>
              <w:t>2024</w:t>
            </w:r>
            <w:r w:rsidR="00135811" w:rsidRPr="00064437">
              <w:rPr>
                <w:b/>
                <w:bCs/>
                <w:sz w:val="19"/>
                <w:szCs w:val="19"/>
                <w:rtl/>
              </w:rPr>
              <w:fldChar w:fldCharType="end"/>
            </w:r>
            <w:r w:rsidR="00135811" w:rsidRPr="00064437">
              <w:rPr>
                <w:rFonts w:hint="cs"/>
                <w:sz w:val="19"/>
                <w:szCs w:val="19"/>
                <w:rtl/>
              </w:rPr>
              <w:t xml:space="preserve">  </w:t>
            </w:r>
            <w:r w:rsidR="00135811" w:rsidRPr="001F0989">
              <w:rPr>
                <w:rFonts w:hint="cs"/>
                <w:sz w:val="19"/>
                <w:szCs w:val="19"/>
                <w:rtl/>
              </w:rPr>
              <w:t>(בלתי מבוקר)</w:t>
            </w:r>
          </w:p>
        </w:tc>
      </w:tr>
      <w:tr w:rsidR="00135811" w:rsidRPr="007C7A96" w14:paraId="3F72CE3C" w14:textId="77777777" w:rsidTr="00400DD1">
        <w:trPr>
          <w:trHeight w:val="259"/>
        </w:trPr>
        <w:tc>
          <w:tcPr>
            <w:tcW w:w="1852" w:type="dxa"/>
          </w:tcPr>
          <w:p w14:paraId="521B7FC8" w14:textId="77777777" w:rsidR="00135811" w:rsidRPr="007C7A96" w:rsidRDefault="00135811" w:rsidP="00400DD1">
            <w:pPr>
              <w:pStyle w:val="-0"/>
              <w:spacing w:line="240" w:lineRule="auto"/>
              <w:ind w:left="663" w:hanging="231"/>
              <w:rPr>
                <w:color w:val="auto"/>
                <w:sz w:val="18"/>
                <w:szCs w:val="18"/>
                <w:rtl/>
              </w:rPr>
            </w:pPr>
          </w:p>
        </w:tc>
        <w:tc>
          <w:tcPr>
            <w:tcW w:w="5573" w:type="dxa"/>
            <w:gridSpan w:val="5"/>
            <w:vAlign w:val="bottom"/>
          </w:tcPr>
          <w:p w14:paraId="0401FDF7" w14:textId="77777777" w:rsidR="00135811" w:rsidRPr="00064437" w:rsidRDefault="00135811" w:rsidP="00400DD1">
            <w:pPr>
              <w:pStyle w:val="-3"/>
              <w:pBdr>
                <w:bottom w:val="single" w:sz="4" w:space="1" w:color="auto"/>
              </w:pBdr>
              <w:spacing w:line="240" w:lineRule="auto"/>
              <w:ind w:left="-28"/>
              <w:jc w:val="center"/>
              <w:rPr>
                <w:b/>
                <w:bCs/>
                <w:sz w:val="18"/>
                <w:szCs w:val="18"/>
                <w:rtl/>
              </w:rPr>
            </w:pPr>
            <w:r w:rsidRPr="00064437">
              <w:rPr>
                <w:rFonts w:hint="cs"/>
                <w:b/>
                <w:bCs/>
                <w:sz w:val="18"/>
                <w:szCs w:val="18"/>
                <w:rtl/>
              </w:rPr>
              <w:t>סיכון אשראי לציבור שנמכר</w:t>
            </w:r>
          </w:p>
        </w:tc>
        <w:tc>
          <w:tcPr>
            <w:tcW w:w="2770" w:type="dxa"/>
            <w:gridSpan w:val="3"/>
            <w:vAlign w:val="bottom"/>
          </w:tcPr>
          <w:p w14:paraId="5B78AC32" w14:textId="77777777" w:rsidR="00135811" w:rsidRPr="00064437" w:rsidRDefault="00135811" w:rsidP="00400DD1">
            <w:pPr>
              <w:pStyle w:val="-3"/>
              <w:pBdr>
                <w:bottom w:val="single" w:sz="4" w:space="1" w:color="auto"/>
              </w:pBdr>
              <w:spacing w:line="240" w:lineRule="auto"/>
              <w:ind w:left="-28"/>
              <w:jc w:val="center"/>
              <w:rPr>
                <w:b/>
                <w:bCs/>
                <w:sz w:val="18"/>
                <w:szCs w:val="18"/>
                <w:rtl/>
              </w:rPr>
            </w:pPr>
            <w:r w:rsidRPr="00064437">
              <w:rPr>
                <w:rFonts w:hint="cs"/>
                <w:b/>
                <w:bCs/>
                <w:sz w:val="18"/>
                <w:szCs w:val="18"/>
                <w:rtl/>
              </w:rPr>
              <w:t xml:space="preserve">סיכון אשראי </w:t>
            </w:r>
            <w:r w:rsidRPr="00064437">
              <w:rPr>
                <w:b/>
                <w:bCs/>
                <w:sz w:val="18"/>
                <w:szCs w:val="18"/>
                <w:rtl/>
              </w:rPr>
              <w:br/>
            </w:r>
            <w:r w:rsidRPr="00064437">
              <w:rPr>
                <w:rFonts w:hint="cs"/>
                <w:b/>
                <w:bCs/>
                <w:sz w:val="18"/>
                <w:szCs w:val="18"/>
                <w:rtl/>
              </w:rPr>
              <w:t>לציבור שנרכש</w:t>
            </w:r>
          </w:p>
        </w:tc>
      </w:tr>
      <w:tr w:rsidR="00135811" w:rsidRPr="007C7A96" w14:paraId="4288728A" w14:textId="77777777" w:rsidTr="00400DD1">
        <w:trPr>
          <w:trHeight w:val="259"/>
        </w:trPr>
        <w:tc>
          <w:tcPr>
            <w:tcW w:w="1852" w:type="dxa"/>
          </w:tcPr>
          <w:p w14:paraId="325EA5FF" w14:textId="77777777" w:rsidR="00135811" w:rsidRPr="007C7A96" w:rsidRDefault="00135811" w:rsidP="00400DD1">
            <w:pPr>
              <w:pStyle w:val="-0"/>
              <w:spacing w:line="240" w:lineRule="auto"/>
              <w:ind w:left="663" w:hanging="231"/>
              <w:rPr>
                <w:color w:val="auto"/>
                <w:sz w:val="18"/>
                <w:szCs w:val="18"/>
                <w:rtl/>
              </w:rPr>
            </w:pPr>
          </w:p>
        </w:tc>
        <w:tc>
          <w:tcPr>
            <w:tcW w:w="1111" w:type="dxa"/>
            <w:vAlign w:val="bottom"/>
          </w:tcPr>
          <w:p w14:paraId="7412E513" w14:textId="77777777" w:rsidR="00135811" w:rsidRPr="00FC7F53" w:rsidRDefault="00135811" w:rsidP="000007A5">
            <w:pPr>
              <w:pStyle w:val="-3"/>
              <w:spacing w:line="240" w:lineRule="auto"/>
              <w:ind w:left="-28"/>
              <w:jc w:val="center"/>
              <w:rPr>
                <w:b/>
                <w:bCs/>
                <w:sz w:val="16"/>
                <w:szCs w:val="16"/>
                <w:rtl/>
              </w:rPr>
            </w:pPr>
            <w:r w:rsidRPr="00FC7F53">
              <w:rPr>
                <w:rFonts w:hint="cs"/>
                <w:b/>
                <w:bCs/>
                <w:sz w:val="16"/>
                <w:szCs w:val="16"/>
                <w:rtl/>
              </w:rPr>
              <w:t>אשראי לציבור שנמכר בתקופה</w:t>
            </w:r>
          </w:p>
        </w:tc>
        <w:tc>
          <w:tcPr>
            <w:tcW w:w="1134" w:type="dxa"/>
            <w:vAlign w:val="bottom"/>
          </w:tcPr>
          <w:p w14:paraId="13EB0802" w14:textId="77777777" w:rsidR="00135811" w:rsidRPr="00FC7F53" w:rsidRDefault="00135811" w:rsidP="000007A5">
            <w:pPr>
              <w:pStyle w:val="-3"/>
              <w:spacing w:line="240" w:lineRule="auto"/>
              <w:ind w:left="-28"/>
              <w:jc w:val="center"/>
              <w:rPr>
                <w:b/>
                <w:bCs/>
                <w:sz w:val="16"/>
                <w:szCs w:val="16"/>
                <w:rtl/>
              </w:rPr>
            </w:pPr>
            <w:r w:rsidRPr="00FC7F53">
              <w:rPr>
                <w:rFonts w:hint="cs"/>
                <w:b/>
                <w:bCs/>
                <w:sz w:val="16"/>
                <w:szCs w:val="16"/>
                <w:rtl/>
              </w:rPr>
              <w:t>סיכון אשראי חוץ מאזני** שנמכר בתקופה</w:t>
            </w:r>
          </w:p>
        </w:tc>
        <w:tc>
          <w:tcPr>
            <w:tcW w:w="712" w:type="dxa"/>
            <w:vAlign w:val="bottom"/>
          </w:tcPr>
          <w:p w14:paraId="3A9F032D" w14:textId="77777777" w:rsidR="00135811" w:rsidRPr="00FC7F53" w:rsidRDefault="00135811" w:rsidP="000007A5">
            <w:pPr>
              <w:pStyle w:val="-3"/>
              <w:spacing w:line="240" w:lineRule="auto"/>
              <w:ind w:left="-28"/>
              <w:jc w:val="center"/>
              <w:rPr>
                <w:b/>
                <w:bCs/>
                <w:sz w:val="16"/>
                <w:szCs w:val="16"/>
                <w:rtl/>
              </w:rPr>
            </w:pPr>
            <w:r w:rsidRPr="00FC7F53">
              <w:rPr>
                <w:rFonts w:hint="cs"/>
                <w:b/>
                <w:bCs/>
                <w:sz w:val="16"/>
                <w:szCs w:val="16"/>
                <w:u w:val="single"/>
                <w:rtl/>
              </w:rPr>
              <w:t>מזה</w:t>
            </w:r>
            <w:r w:rsidRPr="00FC7F53">
              <w:rPr>
                <w:rFonts w:hint="cs"/>
                <w:b/>
                <w:bCs/>
                <w:sz w:val="16"/>
                <w:szCs w:val="16"/>
                <w:rtl/>
              </w:rPr>
              <w:t>: אשראי בעייתי</w:t>
            </w:r>
          </w:p>
        </w:tc>
        <w:tc>
          <w:tcPr>
            <w:tcW w:w="992" w:type="dxa"/>
            <w:vAlign w:val="bottom"/>
          </w:tcPr>
          <w:p w14:paraId="0149B602" w14:textId="77777777" w:rsidR="00135811" w:rsidRPr="00FC7F53" w:rsidRDefault="00135811" w:rsidP="000007A5">
            <w:pPr>
              <w:pStyle w:val="-3"/>
              <w:spacing w:line="240" w:lineRule="auto"/>
              <w:ind w:left="-28"/>
              <w:jc w:val="center"/>
              <w:rPr>
                <w:b/>
                <w:bCs/>
                <w:sz w:val="16"/>
                <w:szCs w:val="16"/>
                <w:rtl/>
              </w:rPr>
            </w:pPr>
            <w:r w:rsidRPr="00FC7F53">
              <w:rPr>
                <w:rFonts w:hint="cs"/>
                <w:b/>
                <w:bCs/>
                <w:sz w:val="16"/>
                <w:szCs w:val="16"/>
                <w:rtl/>
              </w:rPr>
              <w:t>סך הכל רווח (הפסד) בגין אשראי שנמכר</w:t>
            </w:r>
          </w:p>
        </w:tc>
        <w:tc>
          <w:tcPr>
            <w:tcW w:w="1624" w:type="dxa"/>
            <w:vAlign w:val="bottom"/>
          </w:tcPr>
          <w:p w14:paraId="03D82A58" w14:textId="3E7ED95B" w:rsidR="00135811" w:rsidRPr="00FC7F53" w:rsidRDefault="00135811" w:rsidP="000007A5">
            <w:pPr>
              <w:pStyle w:val="-3"/>
              <w:spacing w:line="240" w:lineRule="auto"/>
              <w:ind w:left="-28"/>
              <w:jc w:val="center"/>
              <w:rPr>
                <w:b/>
                <w:bCs/>
                <w:sz w:val="16"/>
                <w:szCs w:val="16"/>
                <w:rtl/>
              </w:rPr>
            </w:pPr>
            <w:r w:rsidRPr="00FC7F53">
              <w:rPr>
                <w:rFonts w:hint="cs"/>
                <w:b/>
                <w:bCs/>
                <w:sz w:val="16"/>
                <w:szCs w:val="16"/>
                <w:rtl/>
              </w:rPr>
              <w:t xml:space="preserve">יתרה לסוף </w:t>
            </w:r>
            <w:r w:rsidR="00E55B85">
              <w:rPr>
                <w:rFonts w:hint="cs"/>
                <w:b/>
                <w:bCs/>
                <w:sz w:val="16"/>
                <w:szCs w:val="16"/>
                <w:rtl/>
              </w:rPr>
              <w:t>התקופה</w:t>
            </w:r>
            <w:r w:rsidR="00E55B85" w:rsidRPr="00FC7F53">
              <w:rPr>
                <w:rFonts w:hint="cs"/>
                <w:b/>
                <w:bCs/>
                <w:sz w:val="16"/>
                <w:szCs w:val="16"/>
                <w:rtl/>
              </w:rPr>
              <w:t xml:space="preserve"> </w:t>
            </w:r>
            <w:r w:rsidRPr="00FC7F53">
              <w:rPr>
                <w:rFonts w:hint="cs"/>
                <w:b/>
                <w:bCs/>
                <w:sz w:val="16"/>
                <w:szCs w:val="16"/>
                <w:rtl/>
              </w:rPr>
              <w:t>של האשראי שנמכר, אשר התאגיד הבנקאי נותן עבורו שירות</w:t>
            </w:r>
          </w:p>
        </w:tc>
        <w:tc>
          <w:tcPr>
            <w:tcW w:w="785" w:type="dxa"/>
            <w:vAlign w:val="bottom"/>
          </w:tcPr>
          <w:p w14:paraId="16DD2D9E" w14:textId="77777777" w:rsidR="00135811" w:rsidRPr="00FC7F53" w:rsidRDefault="00135811" w:rsidP="000007A5">
            <w:pPr>
              <w:pStyle w:val="-3"/>
              <w:spacing w:line="240" w:lineRule="auto"/>
              <w:ind w:left="-28"/>
              <w:jc w:val="center"/>
              <w:rPr>
                <w:b/>
                <w:bCs/>
                <w:sz w:val="16"/>
                <w:szCs w:val="16"/>
                <w:rtl/>
              </w:rPr>
            </w:pPr>
            <w:r w:rsidRPr="00FC7F53">
              <w:rPr>
                <w:rFonts w:hint="cs"/>
                <w:b/>
                <w:bCs/>
                <w:sz w:val="16"/>
                <w:szCs w:val="16"/>
                <w:rtl/>
              </w:rPr>
              <w:t>אשראי לציבור שנרכש בתקופה</w:t>
            </w:r>
          </w:p>
        </w:tc>
        <w:tc>
          <w:tcPr>
            <w:tcW w:w="1165" w:type="dxa"/>
            <w:vAlign w:val="bottom"/>
          </w:tcPr>
          <w:p w14:paraId="3E2BB57D" w14:textId="77777777" w:rsidR="00135811" w:rsidRPr="00FC7F53" w:rsidRDefault="00135811" w:rsidP="000007A5">
            <w:pPr>
              <w:pStyle w:val="-3"/>
              <w:spacing w:line="240" w:lineRule="auto"/>
              <w:ind w:left="-28"/>
              <w:jc w:val="center"/>
              <w:rPr>
                <w:b/>
                <w:bCs/>
                <w:sz w:val="16"/>
                <w:szCs w:val="16"/>
                <w:rtl/>
              </w:rPr>
            </w:pPr>
            <w:r w:rsidRPr="00FC7F53">
              <w:rPr>
                <w:rFonts w:hint="cs"/>
                <w:b/>
                <w:bCs/>
                <w:sz w:val="16"/>
                <w:szCs w:val="16"/>
                <w:rtl/>
              </w:rPr>
              <w:t>סיכון אשראי חוץ מאזני** שנרכש בתקופה</w:t>
            </w:r>
          </w:p>
        </w:tc>
        <w:tc>
          <w:tcPr>
            <w:tcW w:w="820" w:type="dxa"/>
            <w:vAlign w:val="bottom"/>
          </w:tcPr>
          <w:p w14:paraId="2DDE41A0" w14:textId="77777777" w:rsidR="00135811" w:rsidRPr="00FC7F53" w:rsidRDefault="00135811" w:rsidP="000007A5">
            <w:pPr>
              <w:pStyle w:val="-3"/>
              <w:spacing w:line="240" w:lineRule="auto"/>
              <w:ind w:left="-28"/>
              <w:jc w:val="center"/>
              <w:rPr>
                <w:b/>
                <w:bCs/>
                <w:sz w:val="16"/>
                <w:szCs w:val="16"/>
                <w:rtl/>
              </w:rPr>
            </w:pPr>
            <w:r w:rsidRPr="00FC7F53">
              <w:rPr>
                <w:rFonts w:hint="cs"/>
                <w:b/>
                <w:bCs/>
                <w:sz w:val="16"/>
                <w:szCs w:val="16"/>
                <w:u w:val="single"/>
                <w:rtl/>
              </w:rPr>
              <w:t>מזה</w:t>
            </w:r>
            <w:r w:rsidRPr="00FC7F53">
              <w:rPr>
                <w:rFonts w:hint="cs"/>
                <w:b/>
                <w:bCs/>
                <w:sz w:val="16"/>
                <w:szCs w:val="16"/>
                <w:rtl/>
              </w:rPr>
              <w:t>: אשראי בעייתי</w:t>
            </w:r>
          </w:p>
        </w:tc>
      </w:tr>
      <w:tr w:rsidR="00135811" w:rsidRPr="007C7A96" w14:paraId="7FC7226D" w14:textId="77777777" w:rsidTr="00400DD1">
        <w:trPr>
          <w:trHeight w:val="259"/>
        </w:trPr>
        <w:tc>
          <w:tcPr>
            <w:tcW w:w="1852" w:type="dxa"/>
          </w:tcPr>
          <w:p w14:paraId="079EE2B1" w14:textId="77777777" w:rsidR="00135811" w:rsidRPr="00FC7F53" w:rsidRDefault="00135811" w:rsidP="00400DD1">
            <w:pPr>
              <w:pStyle w:val="-0"/>
              <w:spacing w:line="240" w:lineRule="auto"/>
              <w:ind w:left="113" w:hanging="113"/>
              <w:rPr>
                <w:b/>
                <w:bCs/>
                <w:color w:val="auto"/>
                <w:sz w:val="17"/>
                <w:szCs w:val="17"/>
                <w:rtl/>
              </w:rPr>
            </w:pPr>
            <w:r w:rsidRPr="00FC7F53">
              <w:rPr>
                <w:rFonts w:hint="cs"/>
                <w:color w:val="auto"/>
                <w:sz w:val="17"/>
                <w:szCs w:val="17"/>
                <w:rtl/>
              </w:rPr>
              <w:t>סך הכל מסחרי*</w:t>
            </w:r>
          </w:p>
        </w:tc>
        <w:tc>
          <w:tcPr>
            <w:tcW w:w="1111" w:type="dxa"/>
            <w:tcBorders>
              <w:top w:val="single" w:sz="4" w:space="0" w:color="auto"/>
            </w:tcBorders>
            <w:vAlign w:val="bottom"/>
          </w:tcPr>
          <w:p w14:paraId="756B4982" w14:textId="77777777" w:rsidR="00135811" w:rsidRPr="005068E4" w:rsidRDefault="00135811" w:rsidP="00400DD1">
            <w:pPr>
              <w:pStyle w:val="-3"/>
              <w:rPr>
                <w:sz w:val="18"/>
                <w:szCs w:val="18"/>
                <w:rtl/>
              </w:rPr>
            </w:pPr>
            <w:r w:rsidRPr="005068E4">
              <w:rPr>
                <w:rFonts w:hint="cs"/>
                <w:sz w:val="18"/>
                <w:szCs w:val="18"/>
                <w:rtl/>
              </w:rPr>
              <w:t xml:space="preserve"> 0</w:t>
            </w:r>
          </w:p>
        </w:tc>
        <w:tc>
          <w:tcPr>
            <w:tcW w:w="1134" w:type="dxa"/>
            <w:tcBorders>
              <w:top w:val="single" w:sz="4" w:space="0" w:color="auto"/>
            </w:tcBorders>
            <w:vAlign w:val="bottom"/>
          </w:tcPr>
          <w:p w14:paraId="2FEFFCAF" w14:textId="77777777" w:rsidR="00135811" w:rsidRPr="005068E4" w:rsidRDefault="00135811" w:rsidP="00400DD1">
            <w:pPr>
              <w:pStyle w:val="-3"/>
              <w:rPr>
                <w:sz w:val="18"/>
                <w:szCs w:val="18"/>
                <w:rtl/>
              </w:rPr>
            </w:pPr>
            <w:r w:rsidRPr="005068E4">
              <w:rPr>
                <w:rFonts w:hint="cs"/>
                <w:sz w:val="18"/>
                <w:szCs w:val="18"/>
                <w:rtl/>
              </w:rPr>
              <w:t xml:space="preserve"> 0</w:t>
            </w:r>
          </w:p>
        </w:tc>
        <w:tc>
          <w:tcPr>
            <w:tcW w:w="712" w:type="dxa"/>
            <w:tcBorders>
              <w:top w:val="single" w:sz="4" w:space="0" w:color="auto"/>
            </w:tcBorders>
            <w:vAlign w:val="bottom"/>
          </w:tcPr>
          <w:p w14:paraId="24BD942D" w14:textId="77777777" w:rsidR="00135811" w:rsidRPr="005068E4" w:rsidRDefault="00135811" w:rsidP="00400DD1">
            <w:pPr>
              <w:pStyle w:val="-3"/>
              <w:rPr>
                <w:sz w:val="18"/>
                <w:szCs w:val="18"/>
                <w:rtl/>
              </w:rPr>
            </w:pPr>
            <w:r w:rsidRPr="005068E4">
              <w:rPr>
                <w:rFonts w:hint="cs"/>
                <w:sz w:val="18"/>
                <w:szCs w:val="18"/>
                <w:rtl/>
              </w:rPr>
              <w:t xml:space="preserve"> 0</w:t>
            </w:r>
          </w:p>
        </w:tc>
        <w:tc>
          <w:tcPr>
            <w:tcW w:w="992" w:type="dxa"/>
            <w:tcBorders>
              <w:top w:val="single" w:sz="4" w:space="0" w:color="auto"/>
            </w:tcBorders>
            <w:vAlign w:val="bottom"/>
          </w:tcPr>
          <w:p w14:paraId="17EA4A95" w14:textId="77777777" w:rsidR="00135811" w:rsidRPr="005068E4" w:rsidRDefault="00135811" w:rsidP="00400DD1">
            <w:pPr>
              <w:pStyle w:val="-3"/>
              <w:rPr>
                <w:b/>
                <w:bCs/>
                <w:sz w:val="18"/>
                <w:szCs w:val="18"/>
                <w:rtl/>
              </w:rPr>
            </w:pPr>
            <w:r w:rsidRPr="005068E4">
              <w:rPr>
                <w:rFonts w:hint="cs"/>
                <w:sz w:val="18"/>
                <w:szCs w:val="18"/>
                <w:rtl/>
              </w:rPr>
              <w:t xml:space="preserve"> 0</w:t>
            </w:r>
          </w:p>
        </w:tc>
        <w:tc>
          <w:tcPr>
            <w:tcW w:w="1624" w:type="dxa"/>
            <w:tcBorders>
              <w:top w:val="single" w:sz="4" w:space="0" w:color="auto"/>
            </w:tcBorders>
            <w:vAlign w:val="bottom"/>
          </w:tcPr>
          <w:p w14:paraId="123BED81" w14:textId="77777777" w:rsidR="00135811" w:rsidRPr="005068E4" w:rsidRDefault="00135811" w:rsidP="00400DD1">
            <w:pPr>
              <w:pStyle w:val="-3"/>
              <w:rPr>
                <w:sz w:val="18"/>
                <w:szCs w:val="18"/>
                <w:rtl/>
              </w:rPr>
            </w:pPr>
            <w:r w:rsidRPr="005068E4">
              <w:rPr>
                <w:rFonts w:hint="cs"/>
                <w:sz w:val="18"/>
                <w:szCs w:val="18"/>
                <w:rtl/>
              </w:rPr>
              <w:t xml:space="preserve"> 0</w:t>
            </w:r>
          </w:p>
        </w:tc>
        <w:tc>
          <w:tcPr>
            <w:tcW w:w="785" w:type="dxa"/>
            <w:tcBorders>
              <w:top w:val="single" w:sz="4" w:space="0" w:color="auto"/>
            </w:tcBorders>
            <w:vAlign w:val="bottom"/>
          </w:tcPr>
          <w:p w14:paraId="20132A42" w14:textId="77777777" w:rsidR="00135811" w:rsidRPr="005068E4" w:rsidRDefault="00135811" w:rsidP="00400DD1">
            <w:pPr>
              <w:pStyle w:val="-3"/>
              <w:rPr>
                <w:sz w:val="18"/>
                <w:szCs w:val="18"/>
                <w:rtl/>
              </w:rPr>
            </w:pPr>
            <w:r w:rsidRPr="005068E4">
              <w:rPr>
                <w:rFonts w:hint="cs"/>
                <w:sz w:val="18"/>
                <w:szCs w:val="18"/>
                <w:rtl/>
              </w:rPr>
              <w:t xml:space="preserve"> 0</w:t>
            </w:r>
          </w:p>
        </w:tc>
        <w:tc>
          <w:tcPr>
            <w:tcW w:w="1165" w:type="dxa"/>
            <w:tcBorders>
              <w:top w:val="single" w:sz="4" w:space="0" w:color="auto"/>
            </w:tcBorders>
            <w:vAlign w:val="bottom"/>
          </w:tcPr>
          <w:p w14:paraId="1A48E8E4" w14:textId="77777777" w:rsidR="00135811" w:rsidRPr="005068E4" w:rsidRDefault="00135811" w:rsidP="00400DD1">
            <w:pPr>
              <w:pStyle w:val="-3"/>
              <w:rPr>
                <w:sz w:val="18"/>
                <w:szCs w:val="18"/>
                <w:rtl/>
              </w:rPr>
            </w:pPr>
            <w:r w:rsidRPr="005068E4">
              <w:rPr>
                <w:rFonts w:hint="cs"/>
                <w:sz w:val="18"/>
                <w:szCs w:val="18"/>
                <w:rtl/>
              </w:rPr>
              <w:t xml:space="preserve"> 0</w:t>
            </w:r>
          </w:p>
        </w:tc>
        <w:tc>
          <w:tcPr>
            <w:tcW w:w="820" w:type="dxa"/>
            <w:tcBorders>
              <w:top w:val="single" w:sz="4" w:space="0" w:color="auto"/>
            </w:tcBorders>
            <w:vAlign w:val="bottom"/>
          </w:tcPr>
          <w:p w14:paraId="7A1B2E2B" w14:textId="77777777" w:rsidR="00135811" w:rsidRPr="005068E4" w:rsidRDefault="00135811" w:rsidP="00400DD1">
            <w:pPr>
              <w:pStyle w:val="-3"/>
              <w:rPr>
                <w:sz w:val="18"/>
                <w:szCs w:val="18"/>
                <w:rtl/>
              </w:rPr>
            </w:pPr>
            <w:r w:rsidRPr="005068E4">
              <w:rPr>
                <w:rFonts w:hint="cs"/>
                <w:sz w:val="18"/>
                <w:szCs w:val="18"/>
                <w:rtl/>
              </w:rPr>
              <w:t xml:space="preserve"> 0</w:t>
            </w:r>
          </w:p>
        </w:tc>
      </w:tr>
      <w:tr w:rsidR="00135811" w:rsidRPr="007C7A96" w14:paraId="41183961" w14:textId="77777777" w:rsidTr="00400DD1">
        <w:trPr>
          <w:trHeight w:val="259"/>
        </w:trPr>
        <w:tc>
          <w:tcPr>
            <w:tcW w:w="1852" w:type="dxa"/>
          </w:tcPr>
          <w:p w14:paraId="1580A4B7" w14:textId="77777777" w:rsidR="00135811" w:rsidRPr="00FC7F53" w:rsidRDefault="00135811" w:rsidP="00400DD1">
            <w:pPr>
              <w:pStyle w:val="-21"/>
              <w:ind w:left="113" w:hanging="113"/>
              <w:rPr>
                <w:b/>
                <w:bCs/>
                <w:color w:val="auto"/>
                <w:sz w:val="17"/>
                <w:szCs w:val="17"/>
                <w:rtl/>
              </w:rPr>
            </w:pPr>
            <w:r w:rsidRPr="00FC7F53">
              <w:rPr>
                <w:rFonts w:hint="cs"/>
                <w:color w:val="auto"/>
                <w:sz w:val="17"/>
                <w:szCs w:val="17"/>
                <w:rtl/>
              </w:rPr>
              <w:t xml:space="preserve">אנשים פרטיים - הלוואות </w:t>
            </w:r>
            <w:r>
              <w:rPr>
                <w:rFonts w:hint="cs"/>
                <w:color w:val="auto"/>
                <w:sz w:val="17"/>
                <w:szCs w:val="17"/>
                <w:rtl/>
              </w:rPr>
              <w:t>ל</w:t>
            </w:r>
            <w:r w:rsidRPr="00FC7F53">
              <w:rPr>
                <w:rFonts w:hint="cs"/>
                <w:color w:val="auto"/>
                <w:sz w:val="17"/>
                <w:szCs w:val="17"/>
                <w:rtl/>
              </w:rPr>
              <w:t>דיור</w:t>
            </w:r>
          </w:p>
        </w:tc>
        <w:tc>
          <w:tcPr>
            <w:tcW w:w="1111" w:type="dxa"/>
            <w:vAlign w:val="bottom"/>
          </w:tcPr>
          <w:p w14:paraId="033BB05D" w14:textId="77777777" w:rsidR="00135811" w:rsidRPr="005068E4" w:rsidRDefault="00135811" w:rsidP="00400DD1">
            <w:pPr>
              <w:pStyle w:val="-3"/>
              <w:rPr>
                <w:sz w:val="18"/>
                <w:szCs w:val="18"/>
                <w:rtl/>
              </w:rPr>
            </w:pPr>
            <w:r w:rsidRPr="005068E4">
              <w:rPr>
                <w:rFonts w:hint="cs"/>
                <w:sz w:val="18"/>
                <w:szCs w:val="18"/>
                <w:rtl/>
              </w:rPr>
              <w:t xml:space="preserve"> 0</w:t>
            </w:r>
          </w:p>
        </w:tc>
        <w:tc>
          <w:tcPr>
            <w:tcW w:w="1134" w:type="dxa"/>
            <w:vAlign w:val="bottom"/>
          </w:tcPr>
          <w:p w14:paraId="23E995E3" w14:textId="77777777" w:rsidR="00135811" w:rsidRPr="005068E4" w:rsidRDefault="00135811" w:rsidP="00400DD1">
            <w:pPr>
              <w:pStyle w:val="-3"/>
              <w:rPr>
                <w:sz w:val="18"/>
                <w:szCs w:val="18"/>
                <w:rtl/>
              </w:rPr>
            </w:pPr>
            <w:r w:rsidRPr="005068E4">
              <w:rPr>
                <w:rFonts w:hint="cs"/>
                <w:sz w:val="18"/>
                <w:szCs w:val="18"/>
                <w:rtl/>
              </w:rPr>
              <w:t xml:space="preserve"> 0</w:t>
            </w:r>
          </w:p>
        </w:tc>
        <w:tc>
          <w:tcPr>
            <w:tcW w:w="712" w:type="dxa"/>
            <w:vAlign w:val="bottom"/>
          </w:tcPr>
          <w:p w14:paraId="5327DE7D" w14:textId="77777777" w:rsidR="00135811" w:rsidRPr="005068E4" w:rsidRDefault="00135811" w:rsidP="00400DD1">
            <w:pPr>
              <w:pStyle w:val="-3"/>
              <w:rPr>
                <w:sz w:val="18"/>
                <w:szCs w:val="18"/>
                <w:rtl/>
              </w:rPr>
            </w:pPr>
            <w:r w:rsidRPr="005068E4">
              <w:rPr>
                <w:rFonts w:hint="cs"/>
                <w:sz w:val="18"/>
                <w:szCs w:val="18"/>
                <w:rtl/>
              </w:rPr>
              <w:t xml:space="preserve"> 0</w:t>
            </w:r>
          </w:p>
        </w:tc>
        <w:tc>
          <w:tcPr>
            <w:tcW w:w="992" w:type="dxa"/>
            <w:vAlign w:val="bottom"/>
          </w:tcPr>
          <w:p w14:paraId="3B8F34A8" w14:textId="77777777" w:rsidR="00135811" w:rsidRPr="005068E4" w:rsidRDefault="00135811" w:rsidP="00400DD1">
            <w:pPr>
              <w:pStyle w:val="-3"/>
              <w:rPr>
                <w:b/>
                <w:bCs/>
                <w:sz w:val="18"/>
                <w:szCs w:val="18"/>
                <w:rtl/>
              </w:rPr>
            </w:pPr>
            <w:r w:rsidRPr="005068E4">
              <w:rPr>
                <w:rFonts w:hint="cs"/>
                <w:sz w:val="18"/>
                <w:szCs w:val="18"/>
                <w:rtl/>
              </w:rPr>
              <w:t xml:space="preserve"> 0</w:t>
            </w:r>
          </w:p>
        </w:tc>
        <w:tc>
          <w:tcPr>
            <w:tcW w:w="1624" w:type="dxa"/>
            <w:vAlign w:val="bottom"/>
          </w:tcPr>
          <w:p w14:paraId="7FE3E34D" w14:textId="77777777" w:rsidR="00135811" w:rsidRPr="005068E4" w:rsidRDefault="00135811" w:rsidP="00400DD1">
            <w:pPr>
              <w:pStyle w:val="-3"/>
              <w:rPr>
                <w:sz w:val="18"/>
                <w:szCs w:val="18"/>
                <w:rtl/>
              </w:rPr>
            </w:pPr>
            <w:r w:rsidRPr="005068E4">
              <w:rPr>
                <w:rFonts w:hint="cs"/>
                <w:sz w:val="18"/>
                <w:szCs w:val="18"/>
                <w:rtl/>
              </w:rPr>
              <w:t xml:space="preserve"> 0</w:t>
            </w:r>
          </w:p>
        </w:tc>
        <w:tc>
          <w:tcPr>
            <w:tcW w:w="785" w:type="dxa"/>
            <w:vAlign w:val="bottom"/>
          </w:tcPr>
          <w:p w14:paraId="6493EBBE" w14:textId="77777777" w:rsidR="00135811" w:rsidRPr="005068E4" w:rsidRDefault="00135811" w:rsidP="00400DD1">
            <w:pPr>
              <w:pStyle w:val="-3"/>
              <w:rPr>
                <w:sz w:val="18"/>
                <w:szCs w:val="18"/>
                <w:rtl/>
              </w:rPr>
            </w:pPr>
            <w:r w:rsidRPr="005068E4">
              <w:rPr>
                <w:rFonts w:hint="cs"/>
                <w:sz w:val="18"/>
                <w:szCs w:val="18"/>
                <w:rtl/>
              </w:rPr>
              <w:t xml:space="preserve"> 0</w:t>
            </w:r>
          </w:p>
        </w:tc>
        <w:tc>
          <w:tcPr>
            <w:tcW w:w="1165" w:type="dxa"/>
            <w:vAlign w:val="bottom"/>
          </w:tcPr>
          <w:p w14:paraId="19C7D216" w14:textId="77777777" w:rsidR="00135811" w:rsidRPr="005068E4" w:rsidRDefault="00135811" w:rsidP="00400DD1">
            <w:pPr>
              <w:pStyle w:val="-3"/>
              <w:rPr>
                <w:sz w:val="18"/>
                <w:szCs w:val="18"/>
                <w:rtl/>
              </w:rPr>
            </w:pPr>
            <w:r w:rsidRPr="005068E4">
              <w:rPr>
                <w:rFonts w:hint="cs"/>
                <w:sz w:val="18"/>
                <w:szCs w:val="18"/>
                <w:rtl/>
              </w:rPr>
              <w:t xml:space="preserve"> 0</w:t>
            </w:r>
          </w:p>
        </w:tc>
        <w:tc>
          <w:tcPr>
            <w:tcW w:w="820" w:type="dxa"/>
            <w:vAlign w:val="bottom"/>
          </w:tcPr>
          <w:p w14:paraId="21D34559" w14:textId="77777777" w:rsidR="00135811" w:rsidRPr="005068E4" w:rsidRDefault="00135811" w:rsidP="00400DD1">
            <w:pPr>
              <w:pStyle w:val="-3"/>
              <w:rPr>
                <w:sz w:val="18"/>
                <w:szCs w:val="18"/>
                <w:rtl/>
              </w:rPr>
            </w:pPr>
            <w:r w:rsidRPr="005068E4">
              <w:rPr>
                <w:rFonts w:hint="cs"/>
                <w:sz w:val="18"/>
                <w:szCs w:val="18"/>
                <w:rtl/>
              </w:rPr>
              <w:t xml:space="preserve"> 0</w:t>
            </w:r>
          </w:p>
        </w:tc>
      </w:tr>
      <w:tr w:rsidR="00135811" w:rsidRPr="007C7A96" w14:paraId="1DB584A2" w14:textId="77777777" w:rsidTr="00400DD1">
        <w:trPr>
          <w:trHeight w:val="259"/>
        </w:trPr>
        <w:tc>
          <w:tcPr>
            <w:tcW w:w="1852" w:type="dxa"/>
          </w:tcPr>
          <w:p w14:paraId="595E141B" w14:textId="77777777" w:rsidR="00135811" w:rsidRPr="00FC7F53" w:rsidRDefault="00135811" w:rsidP="00400DD1">
            <w:pPr>
              <w:pStyle w:val="-0"/>
              <w:spacing w:line="240" w:lineRule="auto"/>
              <w:ind w:left="113" w:hanging="113"/>
              <w:rPr>
                <w:b/>
                <w:bCs/>
                <w:color w:val="auto"/>
                <w:sz w:val="17"/>
                <w:szCs w:val="17"/>
                <w:rtl/>
              </w:rPr>
            </w:pPr>
            <w:r w:rsidRPr="00FC7F53">
              <w:rPr>
                <w:rFonts w:hint="cs"/>
                <w:color w:val="auto"/>
                <w:sz w:val="17"/>
                <w:szCs w:val="17"/>
                <w:rtl/>
              </w:rPr>
              <w:t>אנשים פרטיים - אחר</w:t>
            </w:r>
          </w:p>
        </w:tc>
        <w:tc>
          <w:tcPr>
            <w:tcW w:w="1111" w:type="dxa"/>
            <w:vAlign w:val="bottom"/>
          </w:tcPr>
          <w:p w14:paraId="09362FCC" w14:textId="77777777" w:rsidR="00135811" w:rsidRPr="005068E4" w:rsidRDefault="00135811" w:rsidP="00400DD1">
            <w:pPr>
              <w:pStyle w:val="-3"/>
              <w:pBdr>
                <w:bottom w:val="single" w:sz="4" w:space="1" w:color="auto"/>
              </w:pBdr>
              <w:rPr>
                <w:sz w:val="18"/>
                <w:szCs w:val="18"/>
                <w:rtl/>
              </w:rPr>
            </w:pPr>
            <w:r w:rsidRPr="005068E4">
              <w:rPr>
                <w:rFonts w:hint="cs"/>
                <w:sz w:val="18"/>
                <w:szCs w:val="18"/>
                <w:rtl/>
              </w:rPr>
              <w:t xml:space="preserve"> 0</w:t>
            </w:r>
          </w:p>
        </w:tc>
        <w:tc>
          <w:tcPr>
            <w:tcW w:w="1134" w:type="dxa"/>
            <w:vAlign w:val="bottom"/>
          </w:tcPr>
          <w:p w14:paraId="7ED44C5E" w14:textId="77777777" w:rsidR="00135811" w:rsidRPr="005068E4" w:rsidRDefault="00135811" w:rsidP="00400DD1">
            <w:pPr>
              <w:pStyle w:val="-3"/>
              <w:pBdr>
                <w:bottom w:val="single" w:sz="4" w:space="1" w:color="auto"/>
              </w:pBdr>
              <w:rPr>
                <w:sz w:val="18"/>
                <w:szCs w:val="18"/>
                <w:rtl/>
              </w:rPr>
            </w:pPr>
            <w:r w:rsidRPr="005068E4">
              <w:rPr>
                <w:rFonts w:hint="cs"/>
                <w:sz w:val="18"/>
                <w:szCs w:val="18"/>
                <w:rtl/>
              </w:rPr>
              <w:t xml:space="preserve"> 0</w:t>
            </w:r>
          </w:p>
        </w:tc>
        <w:tc>
          <w:tcPr>
            <w:tcW w:w="712" w:type="dxa"/>
            <w:vAlign w:val="bottom"/>
          </w:tcPr>
          <w:p w14:paraId="3182B93F" w14:textId="77777777" w:rsidR="00135811" w:rsidRPr="005068E4" w:rsidRDefault="00135811" w:rsidP="00400DD1">
            <w:pPr>
              <w:pStyle w:val="-3"/>
              <w:pBdr>
                <w:bottom w:val="single" w:sz="4" w:space="1" w:color="auto"/>
              </w:pBdr>
              <w:rPr>
                <w:sz w:val="18"/>
                <w:szCs w:val="18"/>
                <w:rtl/>
              </w:rPr>
            </w:pPr>
            <w:r w:rsidRPr="005068E4">
              <w:rPr>
                <w:rFonts w:hint="cs"/>
                <w:sz w:val="18"/>
                <w:szCs w:val="18"/>
                <w:rtl/>
              </w:rPr>
              <w:t xml:space="preserve"> 0</w:t>
            </w:r>
          </w:p>
        </w:tc>
        <w:tc>
          <w:tcPr>
            <w:tcW w:w="992" w:type="dxa"/>
            <w:vAlign w:val="bottom"/>
          </w:tcPr>
          <w:p w14:paraId="7F096C8A" w14:textId="77777777" w:rsidR="00135811" w:rsidRPr="005068E4" w:rsidRDefault="00135811" w:rsidP="00400DD1">
            <w:pPr>
              <w:pStyle w:val="-3"/>
              <w:pBdr>
                <w:bottom w:val="single" w:sz="4" w:space="1" w:color="auto"/>
              </w:pBdr>
              <w:rPr>
                <w:b/>
                <w:bCs/>
                <w:sz w:val="18"/>
                <w:szCs w:val="18"/>
                <w:rtl/>
              </w:rPr>
            </w:pPr>
            <w:r w:rsidRPr="005068E4">
              <w:rPr>
                <w:rFonts w:hint="cs"/>
                <w:sz w:val="18"/>
                <w:szCs w:val="18"/>
                <w:rtl/>
              </w:rPr>
              <w:t xml:space="preserve"> 0</w:t>
            </w:r>
          </w:p>
        </w:tc>
        <w:tc>
          <w:tcPr>
            <w:tcW w:w="1624" w:type="dxa"/>
            <w:vAlign w:val="bottom"/>
          </w:tcPr>
          <w:p w14:paraId="2795F55A" w14:textId="77777777" w:rsidR="00135811" w:rsidRPr="005068E4" w:rsidRDefault="00135811" w:rsidP="00400DD1">
            <w:pPr>
              <w:pStyle w:val="-3"/>
              <w:pBdr>
                <w:bottom w:val="single" w:sz="4" w:space="1" w:color="auto"/>
              </w:pBdr>
              <w:rPr>
                <w:sz w:val="18"/>
                <w:szCs w:val="18"/>
                <w:rtl/>
              </w:rPr>
            </w:pPr>
            <w:r w:rsidRPr="005068E4">
              <w:rPr>
                <w:rFonts w:hint="cs"/>
                <w:sz w:val="18"/>
                <w:szCs w:val="18"/>
                <w:rtl/>
              </w:rPr>
              <w:t xml:space="preserve"> 0</w:t>
            </w:r>
          </w:p>
        </w:tc>
        <w:tc>
          <w:tcPr>
            <w:tcW w:w="785" w:type="dxa"/>
            <w:vAlign w:val="bottom"/>
          </w:tcPr>
          <w:p w14:paraId="3EF2440E" w14:textId="77777777" w:rsidR="00135811" w:rsidRPr="005068E4" w:rsidRDefault="00135811" w:rsidP="00400DD1">
            <w:pPr>
              <w:pStyle w:val="-3"/>
              <w:pBdr>
                <w:bottom w:val="single" w:sz="4" w:space="1" w:color="auto"/>
              </w:pBdr>
              <w:rPr>
                <w:sz w:val="18"/>
                <w:szCs w:val="18"/>
                <w:rtl/>
              </w:rPr>
            </w:pPr>
            <w:r w:rsidRPr="005068E4">
              <w:rPr>
                <w:rFonts w:hint="cs"/>
                <w:sz w:val="18"/>
                <w:szCs w:val="18"/>
                <w:rtl/>
              </w:rPr>
              <w:t xml:space="preserve"> 0</w:t>
            </w:r>
          </w:p>
        </w:tc>
        <w:tc>
          <w:tcPr>
            <w:tcW w:w="1165" w:type="dxa"/>
            <w:vAlign w:val="bottom"/>
          </w:tcPr>
          <w:p w14:paraId="6F299610" w14:textId="77777777" w:rsidR="00135811" w:rsidRPr="005068E4" w:rsidRDefault="00135811" w:rsidP="00400DD1">
            <w:pPr>
              <w:pStyle w:val="-3"/>
              <w:pBdr>
                <w:bottom w:val="single" w:sz="4" w:space="1" w:color="auto"/>
              </w:pBdr>
              <w:rPr>
                <w:sz w:val="18"/>
                <w:szCs w:val="18"/>
                <w:rtl/>
              </w:rPr>
            </w:pPr>
            <w:r w:rsidRPr="005068E4">
              <w:rPr>
                <w:rFonts w:hint="cs"/>
                <w:sz w:val="18"/>
                <w:szCs w:val="18"/>
                <w:rtl/>
              </w:rPr>
              <w:t xml:space="preserve"> 0</w:t>
            </w:r>
          </w:p>
        </w:tc>
        <w:tc>
          <w:tcPr>
            <w:tcW w:w="820" w:type="dxa"/>
            <w:vAlign w:val="bottom"/>
          </w:tcPr>
          <w:p w14:paraId="296EE0DF" w14:textId="77777777" w:rsidR="00135811" w:rsidRPr="005068E4" w:rsidRDefault="00135811" w:rsidP="00400DD1">
            <w:pPr>
              <w:pStyle w:val="-3"/>
              <w:pBdr>
                <w:bottom w:val="single" w:sz="4" w:space="1" w:color="auto"/>
              </w:pBdr>
              <w:rPr>
                <w:sz w:val="18"/>
                <w:szCs w:val="18"/>
                <w:rtl/>
              </w:rPr>
            </w:pPr>
            <w:r w:rsidRPr="005068E4">
              <w:rPr>
                <w:rFonts w:hint="cs"/>
                <w:sz w:val="18"/>
                <w:szCs w:val="18"/>
                <w:rtl/>
              </w:rPr>
              <w:t xml:space="preserve"> 0</w:t>
            </w:r>
          </w:p>
        </w:tc>
      </w:tr>
      <w:tr w:rsidR="00135811" w:rsidRPr="007C7A96" w14:paraId="56CF559C" w14:textId="77777777" w:rsidTr="00400DD1">
        <w:trPr>
          <w:trHeight w:val="66"/>
        </w:trPr>
        <w:tc>
          <w:tcPr>
            <w:tcW w:w="1852" w:type="dxa"/>
          </w:tcPr>
          <w:p w14:paraId="57AE087A" w14:textId="77777777" w:rsidR="00135811" w:rsidRPr="005068E4" w:rsidRDefault="00135811" w:rsidP="00400DD1">
            <w:pPr>
              <w:pStyle w:val="-b"/>
              <w:ind w:left="113" w:hanging="113"/>
              <w:rPr>
                <w:b w:val="0"/>
                <w:bCs w:val="0"/>
                <w:color w:val="auto"/>
                <w:sz w:val="17"/>
                <w:szCs w:val="17"/>
                <w:rtl/>
              </w:rPr>
            </w:pPr>
            <w:r w:rsidRPr="005068E4">
              <w:rPr>
                <w:rFonts w:hint="cs"/>
                <w:b w:val="0"/>
                <w:bCs w:val="0"/>
                <w:color w:val="auto"/>
                <w:sz w:val="17"/>
                <w:szCs w:val="17"/>
                <w:rtl/>
              </w:rPr>
              <w:t>סך הכל סיכון אשראי לציבור</w:t>
            </w:r>
          </w:p>
        </w:tc>
        <w:tc>
          <w:tcPr>
            <w:tcW w:w="1111" w:type="dxa"/>
            <w:vAlign w:val="bottom"/>
          </w:tcPr>
          <w:p w14:paraId="4A88110D" w14:textId="77777777" w:rsidR="00135811" w:rsidRPr="005068E4" w:rsidRDefault="00135811"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1134" w:type="dxa"/>
            <w:vAlign w:val="bottom"/>
          </w:tcPr>
          <w:p w14:paraId="61030CAB" w14:textId="77777777" w:rsidR="00135811" w:rsidRPr="005068E4" w:rsidRDefault="00135811"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712" w:type="dxa"/>
            <w:vAlign w:val="bottom"/>
          </w:tcPr>
          <w:p w14:paraId="4D09DA01" w14:textId="77777777" w:rsidR="00135811" w:rsidRPr="005068E4" w:rsidRDefault="00135811"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992" w:type="dxa"/>
            <w:vAlign w:val="bottom"/>
          </w:tcPr>
          <w:p w14:paraId="0DFD490F" w14:textId="77777777" w:rsidR="00135811" w:rsidRPr="005068E4" w:rsidRDefault="00135811"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1624" w:type="dxa"/>
            <w:vAlign w:val="bottom"/>
          </w:tcPr>
          <w:p w14:paraId="48E87F1E" w14:textId="77777777" w:rsidR="00135811" w:rsidRPr="005068E4" w:rsidRDefault="00135811"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785" w:type="dxa"/>
            <w:vAlign w:val="bottom"/>
          </w:tcPr>
          <w:p w14:paraId="1A61845B" w14:textId="77777777" w:rsidR="00135811" w:rsidRPr="005068E4" w:rsidRDefault="00135811"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1165" w:type="dxa"/>
            <w:vAlign w:val="bottom"/>
          </w:tcPr>
          <w:p w14:paraId="2A1F6476" w14:textId="77777777" w:rsidR="00135811" w:rsidRPr="005068E4" w:rsidRDefault="00135811"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820" w:type="dxa"/>
            <w:vAlign w:val="bottom"/>
          </w:tcPr>
          <w:p w14:paraId="115DCEB3" w14:textId="77777777" w:rsidR="00135811" w:rsidRPr="005068E4" w:rsidRDefault="00135811"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r>
    </w:tbl>
    <w:p w14:paraId="4D7546C4" w14:textId="77777777" w:rsidR="00135811" w:rsidRPr="007C7A96" w:rsidRDefault="00135811" w:rsidP="00480E52"/>
    <w:p w14:paraId="088D5B78" w14:textId="77777777" w:rsidR="00480E52" w:rsidRDefault="00480E52" w:rsidP="00480E52">
      <w:pPr>
        <w:bidi w:val="0"/>
      </w:pPr>
    </w:p>
    <w:p w14:paraId="303EB890" w14:textId="77777777" w:rsidR="00480E52" w:rsidRPr="007C7A96" w:rsidRDefault="00480E52" w:rsidP="00480E52"/>
    <w:tbl>
      <w:tblPr>
        <w:bidiVisual/>
        <w:tblW w:w="4948" w:type="pct"/>
        <w:tblLook w:val="01E0" w:firstRow="1" w:lastRow="1" w:firstColumn="1" w:lastColumn="1" w:noHBand="0" w:noVBand="0"/>
      </w:tblPr>
      <w:tblGrid>
        <w:gridCol w:w="1488"/>
        <w:gridCol w:w="8613"/>
      </w:tblGrid>
      <w:tr w:rsidR="00480E52" w:rsidRPr="007C7A96" w14:paraId="03318185" w14:textId="77777777" w:rsidTr="0007315B">
        <w:trPr>
          <w:trHeight w:val="259"/>
        </w:trPr>
        <w:tc>
          <w:tcPr>
            <w:tcW w:w="1518" w:type="dxa"/>
          </w:tcPr>
          <w:p w14:paraId="713B2F85" w14:textId="77777777" w:rsidR="00480E52" w:rsidRPr="007C7A96" w:rsidRDefault="00480E52" w:rsidP="0007315B">
            <w:pPr>
              <w:pStyle w:val="-7"/>
              <w:rPr>
                <w:sz w:val="14"/>
                <w:szCs w:val="14"/>
                <w:rtl/>
              </w:rPr>
            </w:pPr>
          </w:p>
        </w:tc>
        <w:tc>
          <w:tcPr>
            <w:tcW w:w="8795" w:type="dxa"/>
            <w:vAlign w:val="bottom"/>
          </w:tcPr>
          <w:p w14:paraId="069AFEE6" w14:textId="77777777" w:rsidR="00480E52" w:rsidRPr="007C7A96" w:rsidRDefault="00480E52" w:rsidP="0007315B">
            <w:pPr>
              <w:pStyle w:val="-3"/>
              <w:rPr>
                <w:sz w:val="18"/>
                <w:szCs w:val="18"/>
                <w:rtl/>
              </w:rPr>
            </w:pPr>
            <w:r w:rsidRPr="007C7A96">
              <w:rPr>
                <w:rFonts w:hint="cs"/>
                <w:sz w:val="18"/>
                <w:szCs w:val="18"/>
                <w:rtl/>
              </w:rPr>
              <w:t>*</w:t>
            </w:r>
            <w:r w:rsidRPr="007C7A96">
              <w:rPr>
                <w:sz w:val="18"/>
                <w:szCs w:val="18"/>
                <w:rtl/>
              </w:rPr>
              <w:tab/>
            </w:r>
            <w:r w:rsidRPr="007C7A96">
              <w:rPr>
                <w:rFonts w:hint="cs"/>
                <w:sz w:val="18"/>
                <w:szCs w:val="18"/>
                <w:rtl/>
              </w:rPr>
              <w:t>פרט את ענף המשק, אם מהותי</w:t>
            </w:r>
          </w:p>
        </w:tc>
      </w:tr>
      <w:tr w:rsidR="00480E52" w:rsidRPr="007C7A96" w14:paraId="659FB45E" w14:textId="77777777" w:rsidTr="0007315B">
        <w:trPr>
          <w:trHeight w:val="259"/>
        </w:trPr>
        <w:tc>
          <w:tcPr>
            <w:tcW w:w="1518" w:type="dxa"/>
          </w:tcPr>
          <w:p w14:paraId="1D427521" w14:textId="77777777" w:rsidR="00480E52" w:rsidRPr="007C7A96" w:rsidRDefault="00480E52" w:rsidP="0007315B">
            <w:pPr>
              <w:pStyle w:val="-7"/>
              <w:rPr>
                <w:sz w:val="14"/>
                <w:szCs w:val="14"/>
                <w:rtl/>
              </w:rPr>
            </w:pPr>
          </w:p>
        </w:tc>
        <w:tc>
          <w:tcPr>
            <w:tcW w:w="8795" w:type="dxa"/>
            <w:vAlign w:val="bottom"/>
          </w:tcPr>
          <w:p w14:paraId="1994341B" w14:textId="77777777" w:rsidR="00480E52" w:rsidRPr="007C7A96" w:rsidRDefault="00480E52" w:rsidP="0007315B">
            <w:pPr>
              <w:pStyle w:val="-3"/>
              <w:rPr>
                <w:sz w:val="18"/>
                <w:szCs w:val="18"/>
                <w:rtl/>
              </w:rPr>
            </w:pPr>
            <w:r w:rsidRPr="007C7A96">
              <w:rPr>
                <w:rFonts w:hint="cs"/>
                <w:sz w:val="18"/>
                <w:szCs w:val="18"/>
                <w:rtl/>
              </w:rPr>
              <w:t>**</w:t>
            </w:r>
            <w:r w:rsidRPr="007C7A96">
              <w:rPr>
                <w:sz w:val="18"/>
                <w:szCs w:val="18"/>
                <w:rtl/>
              </w:rPr>
              <w:tab/>
            </w:r>
            <w:r w:rsidRPr="007C7A96">
              <w:rPr>
                <w:rFonts w:hint="cs"/>
                <w:sz w:val="18"/>
                <w:szCs w:val="18"/>
                <w:rtl/>
              </w:rPr>
              <w:t>סיכון אשראי במכשירים פיננסיים חוץ מאזניים כפי שחושב לצורך מגבלת חבות של לווה, למעט בגין מכשירים נגזרים.</w:t>
            </w:r>
          </w:p>
        </w:tc>
      </w:tr>
      <w:tr w:rsidR="00480E52" w:rsidRPr="007C7A96" w14:paraId="7AFEE241" w14:textId="77777777" w:rsidTr="0007315B">
        <w:trPr>
          <w:trHeight w:val="259"/>
        </w:trPr>
        <w:tc>
          <w:tcPr>
            <w:tcW w:w="1518" w:type="dxa"/>
          </w:tcPr>
          <w:p w14:paraId="3AD75BB5" w14:textId="77777777" w:rsidR="00480E52" w:rsidRPr="007C7A96" w:rsidRDefault="00480E52" w:rsidP="0007315B">
            <w:pPr>
              <w:pStyle w:val="-7"/>
              <w:rPr>
                <w:sz w:val="14"/>
                <w:szCs w:val="14"/>
                <w:rtl/>
              </w:rPr>
            </w:pPr>
          </w:p>
        </w:tc>
        <w:tc>
          <w:tcPr>
            <w:tcW w:w="8795" w:type="dxa"/>
            <w:vAlign w:val="bottom"/>
          </w:tcPr>
          <w:p w14:paraId="72E5F542" w14:textId="77777777" w:rsidR="00480E52" w:rsidRPr="007C7A96" w:rsidRDefault="00480E52" w:rsidP="0007315B">
            <w:pPr>
              <w:pStyle w:val="-3"/>
              <w:rPr>
                <w:sz w:val="18"/>
                <w:szCs w:val="18"/>
                <w:rtl/>
              </w:rPr>
            </w:pPr>
            <w:r w:rsidRPr="007C7A96">
              <w:rPr>
                <w:rFonts w:hint="cs"/>
                <w:sz w:val="18"/>
                <w:szCs w:val="18"/>
                <w:rtl/>
              </w:rPr>
              <w:t>***</w:t>
            </w:r>
            <w:r w:rsidRPr="007C7A96">
              <w:rPr>
                <w:sz w:val="18"/>
                <w:szCs w:val="18"/>
                <w:rtl/>
              </w:rPr>
              <w:tab/>
            </w:r>
            <w:r w:rsidRPr="007C7A96">
              <w:rPr>
                <w:rFonts w:hint="cs"/>
                <w:sz w:val="18"/>
                <w:szCs w:val="18"/>
                <w:rtl/>
              </w:rPr>
              <w:t>יש לתאר בתמציתיות את המאפיינים והסוגים העיקריים של עסקאות מכירת האשראי.</w:t>
            </w:r>
          </w:p>
        </w:tc>
      </w:tr>
    </w:tbl>
    <w:p w14:paraId="1F3ACC6E" w14:textId="77777777" w:rsidR="00480E52" w:rsidRDefault="00480E52" w:rsidP="00480E52">
      <w:pPr>
        <w:bidi w:val="0"/>
      </w:pPr>
    </w:p>
    <w:p w14:paraId="2DC15255" w14:textId="77777777" w:rsidR="00480E52" w:rsidRPr="00480E52" w:rsidRDefault="00480E52" w:rsidP="00480E52">
      <w:pPr>
        <w:bidi w:val="0"/>
        <w:rPr>
          <w:sz w:val="2"/>
          <w:szCs w:val="2"/>
        </w:rPr>
      </w:pPr>
      <w:r>
        <w:br w:type="page"/>
      </w:r>
    </w:p>
    <w:tbl>
      <w:tblPr>
        <w:bidiVisual/>
        <w:tblW w:w="5000" w:type="pct"/>
        <w:tblLayout w:type="fixed"/>
        <w:tblLook w:val="0000" w:firstRow="0" w:lastRow="0" w:firstColumn="0" w:lastColumn="0" w:noHBand="0" w:noVBand="0"/>
      </w:tblPr>
      <w:tblGrid>
        <w:gridCol w:w="993"/>
        <w:gridCol w:w="567"/>
        <w:gridCol w:w="8628"/>
        <w:gridCol w:w="19"/>
      </w:tblGrid>
      <w:tr w:rsidR="00480E52" w:rsidRPr="007C7A96" w14:paraId="5AA00784" w14:textId="77777777" w:rsidTr="00E63B86">
        <w:trPr>
          <w:trHeight w:val="245"/>
        </w:trPr>
        <w:tc>
          <w:tcPr>
            <w:tcW w:w="993" w:type="dxa"/>
          </w:tcPr>
          <w:p w14:paraId="6C804D75" w14:textId="77777777" w:rsidR="00480E52" w:rsidRPr="007C7A96" w:rsidRDefault="00480E52" w:rsidP="0007315B">
            <w:pPr>
              <w:pStyle w:val="-7"/>
              <w:rPr>
                <w:rtl/>
              </w:rPr>
            </w:pPr>
          </w:p>
        </w:tc>
        <w:tc>
          <w:tcPr>
            <w:tcW w:w="9214" w:type="dxa"/>
            <w:gridSpan w:val="3"/>
          </w:tcPr>
          <w:p w14:paraId="112885C1" w14:textId="77777777" w:rsidR="00480E52" w:rsidRPr="007C7A96" w:rsidRDefault="00480E52" w:rsidP="00316579">
            <w:pPr>
              <w:pStyle w:val="-f4"/>
              <w:spacing w:before="0" w:line="240" w:lineRule="auto"/>
              <w:jc w:val="left"/>
              <w:rPr>
                <w:sz w:val="22"/>
                <w:szCs w:val="22"/>
                <w:rtl/>
              </w:rPr>
            </w:pPr>
            <w:r w:rsidRPr="007C7A96">
              <w:rPr>
                <w:sz w:val="22"/>
                <w:szCs w:val="22"/>
                <w:rtl/>
              </w:rPr>
              <w:t xml:space="preserve">ביאור </w:t>
            </w:r>
            <w:r w:rsidRPr="007C7A96">
              <w:rPr>
                <w:rFonts w:hint="cs"/>
                <w:sz w:val="22"/>
                <w:szCs w:val="22"/>
                <w:rtl/>
              </w:rPr>
              <w:t>1</w:t>
            </w:r>
            <w:r w:rsidR="00316579">
              <w:rPr>
                <w:rFonts w:hint="cs"/>
                <w:sz w:val="22"/>
                <w:szCs w:val="22"/>
                <w:rtl/>
              </w:rPr>
              <w:t>2</w:t>
            </w:r>
            <w:r w:rsidRPr="007C7A96">
              <w:rPr>
                <w:sz w:val="22"/>
                <w:szCs w:val="22"/>
                <w:rtl/>
              </w:rPr>
              <w:t xml:space="preserve"> </w:t>
            </w:r>
            <w:r w:rsidRPr="007C7A96">
              <w:rPr>
                <w:rFonts w:hint="cs"/>
                <w:sz w:val="22"/>
                <w:szCs w:val="22"/>
                <w:rtl/>
              </w:rPr>
              <w:t xml:space="preserve"> </w:t>
            </w:r>
            <w:r w:rsidRPr="007C7A96">
              <w:rPr>
                <w:sz w:val="22"/>
                <w:szCs w:val="22"/>
                <w:rtl/>
              </w:rPr>
              <w:t xml:space="preserve">- </w:t>
            </w:r>
            <w:r w:rsidRPr="007C7A96">
              <w:rPr>
                <w:rFonts w:hint="cs"/>
                <w:sz w:val="22"/>
                <w:szCs w:val="22"/>
                <w:rtl/>
              </w:rPr>
              <w:t xml:space="preserve"> מידע נוסף על סיכון אשראי, אשראי לציבור והפרשה להפסדי אשראי (המשך):</w:t>
            </w:r>
          </w:p>
        </w:tc>
      </w:tr>
      <w:tr w:rsidR="00480E52" w:rsidRPr="007C7A96" w14:paraId="6955E9E3" w14:textId="77777777" w:rsidTr="00E63B86">
        <w:trPr>
          <w:gridAfter w:val="1"/>
          <w:wAfter w:w="19" w:type="dxa"/>
          <w:trHeight w:val="245"/>
        </w:trPr>
        <w:tc>
          <w:tcPr>
            <w:tcW w:w="993" w:type="dxa"/>
            <w:vAlign w:val="center"/>
          </w:tcPr>
          <w:p w14:paraId="484D3AF4" w14:textId="77777777" w:rsidR="00480E52" w:rsidRPr="007C7A96" w:rsidRDefault="00480E52" w:rsidP="0007315B">
            <w:pPr>
              <w:pStyle w:val="-7"/>
              <w:jc w:val="left"/>
              <w:rPr>
                <w:sz w:val="14"/>
                <w:szCs w:val="14"/>
                <w:rtl/>
              </w:rPr>
            </w:pPr>
          </w:p>
        </w:tc>
        <w:tc>
          <w:tcPr>
            <w:tcW w:w="567" w:type="dxa"/>
          </w:tcPr>
          <w:p w14:paraId="55DB80F9" w14:textId="77777777" w:rsidR="00480E52" w:rsidRPr="007C7A96" w:rsidRDefault="00480E52" w:rsidP="0007315B">
            <w:pPr>
              <w:pStyle w:val="-f4"/>
              <w:spacing w:line="240" w:lineRule="auto"/>
              <w:jc w:val="left"/>
              <w:rPr>
                <w:rtl/>
              </w:rPr>
            </w:pPr>
            <w:r w:rsidRPr="007C7A96">
              <w:rPr>
                <w:rFonts w:hint="cs"/>
                <w:rtl/>
              </w:rPr>
              <w:t>ב1.</w:t>
            </w:r>
          </w:p>
        </w:tc>
        <w:tc>
          <w:tcPr>
            <w:tcW w:w="8628" w:type="dxa"/>
          </w:tcPr>
          <w:p w14:paraId="60EFC498" w14:textId="77777777" w:rsidR="00480E52" w:rsidRPr="007C7A96" w:rsidRDefault="00480E52" w:rsidP="00480E52">
            <w:pPr>
              <w:pStyle w:val="-f4"/>
              <w:spacing w:line="240" w:lineRule="auto"/>
              <w:jc w:val="left"/>
              <w:rPr>
                <w:rtl/>
              </w:rPr>
            </w:pPr>
            <w:r w:rsidRPr="007C7A96">
              <w:rPr>
                <w:rFonts w:hint="cs"/>
                <w:rtl/>
              </w:rPr>
              <w:t xml:space="preserve">מכירה, רכישה וסינדיקציה של סיכון אשראי במהלך </w:t>
            </w:r>
            <w:r>
              <w:rPr>
                <w:rFonts w:hint="cs"/>
                <w:rtl/>
              </w:rPr>
              <w:t>התקופה (המשך)</w:t>
            </w:r>
            <w:r w:rsidRPr="007C7A96">
              <w:rPr>
                <w:rFonts w:hint="cs"/>
                <w:rtl/>
              </w:rPr>
              <w:t>:</w:t>
            </w:r>
          </w:p>
        </w:tc>
      </w:tr>
      <w:tr w:rsidR="00480E52" w:rsidRPr="007C7A96" w14:paraId="6C2A2986" w14:textId="77777777" w:rsidTr="00E63B86">
        <w:trPr>
          <w:gridAfter w:val="1"/>
          <w:wAfter w:w="19" w:type="dxa"/>
          <w:trHeight w:val="245"/>
        </w:trPr>
        <w:tc>
          <w:tcPr>
            <w:tcW w:w="993" w:type="dxa"/>
          </w:tcPr>
          <w:p w14:paraId="1FFA8E2C" w14:textId="77777777" w:rsidR="00480E52" w:rsidRPr="007C7A96" w:rsidRDefault="00480E52" w:rsidP="0007315B">
            <w:pPr>
              <w:pStyle w:val="-7"/>
              <w:spacing w:before="60" w:line="240" w:lineRule="auto"/>
              <w:rPr>
                <w:sz w:val="14"/>
                <w:szCs w:val="14"/>
                <w:rtl/>
              </w:rPr>
            </w:pPr>
          </w:p>
        </w:tc>
        <w:tc>
          <w:tcPr>
            <w:tcW w:w="567" w:type="dxa"/>
          </w:tcPr>
          <w:p w14:paraId="6A2CE641" w14:textId="77777777" w:rsidR="00480E52" w:rsidRPr="007C7A96" w:rsidRDefault="00480E52" w:rsidP="0007315B">
            <w:pPr>
              <w:pStyle w:val="-f4"/>
              <w:spacing w:line="240" w:lineRule="auto"/>
              <w:jc w:val="left"/>
              <w:rPr>
                <w:rtl/>
              </w:rPr>
            </w:pPr>
          </w:p>
        </w:tc>
        <w:tc>
          <w:tcPr>
            <w:tcW w:w="8628" w:type="dxa"/>
          </w:tcPr>
          <w:p w14:paraId="578A3543" w14:textId="78354B03" w:rsidR="00480E52" w:rsidRPr="007C7A96" w:rsidRDefault="00480E52" w:rsidP="004D022A">
            <w:pPr>
              <w:pStyle w:val="-24"/>
              <w:tabs>
                <w:tab w:val="clear" w:pos="893"/>
              </w:tabs>
              <w:spacing w:line="240" w:lineRule="auto"/>
              <w:ind w:left="351" w:hanging="351"/>
              <w:rPr>
                <w:b/>
                <w:bCs/>
                <w:rtl/>
              </w:rPr>
            </w:pPr>
            <w:r w:rsidRPr="007C7A96">
              <w:rPr>
                <w:rFonts w:hint="cs"/>
                <w:b/>
                <w:bCs/>
                <w:rtl/>
              </w:rPr>
              <w:t>1.</w:t>
            </w:r>
            <w:r w:rsidRPr="007C7A96">
              <w:rPr>
                <w:rFonts w:hint="cs"/>
                <w:b/>
                <w:bCs/>
                <w:rtl/>
              </w:rPr>
              <w:tab/>
              <w:t>מכירה ורכישה של אשראי לציבור (בסיס מאוחד)</w:t>
            </w:r>
            <w:r>
              <w:rPr>
                <w:rFonts w:hint="cs"/>
                <w:b/>
                <w:bCs/>
                <w:rtl/>
              </w:rPr>
              <w:t xml:space="preserve"> (המשך): </w:t>
            </w:r>
            <w:r w:rsidR="00ED2CD3">
              <w:rPr>
                <w:rFonts w:hint="cs"/>
                <w:b/>
                <w:bCs/>
                <w:rtl/>
              </w:rPr>
              <w:t>***</w:t>
            </w:r>
          </w:p>
        </w:tc>
      </w:tr>
    </w:tbl>
    <w:p w14:paraId="2887DFE2" w14:textId="77777777" w:rsidR="00480E52" w:rsidRDefault="00480E52" w:rsidP="00480E52">
      <w:pPr>
        <w:bidi w:val="0"/>
      </w:pPr>
    </w:p>
    <w:tbl>
      <w:tblPr>
        <w:bidiVisual/>
        <w:tblW w:w="4994" w:type="pct"/>
        <w:tblLook w:val="01E0" w:firstRow="1" w:lastRow="1" w:firstColumn="1" w:lastColumn="1" w:noHBand="0" w:noVBand="0"/>
      </w:tblPr>
      <w:tblGrid>
        <w:gridCol w:w="1852"/>
        <w:gridCol w:w="1111"/>
        <w:gridCol w:w="1134"/>
        <w:gridCol w:w="712"/>
        <w:gridCol w:w="992"/>
        <w:gridCol w:w="1624"/>
        <w:gridCol w:w="785"/>
        <w:gridCol w:w="1165"/>
        <w:gridCol w:w="820"/>
      </w:tblGrid>
      <w:tr w:rsidR="00064437" w:rsidRPr="007C7A96" w14:paraId="27DE2A42" w14:textId="77777777" w:rsidTr="00064437">
        <w:trPr>
          <w:trHeight w:val="259"/>
        </w:trPr>
        <w:tc>
          <w:tcPr>
            <w:tcW w:w="1852" w:type="dxa"/>
          </w:tcPr>
          <w:p w14:paraId="14582CF1" w14:textId="77777777" w:rsidR="00064437" w:rsidRPr="007C7A96" w:rsidRDefault="00064437" w:rsidP="0007315B">
            <w:pPr>
              <w:pStyle w:val="-0"/>
              <w:spacing w:line="240" w:lineRule="auto"/>
              <w:ind w:left="663" w:hanging="231"/>
              <w:rPr>
                <w:color w:val="auto"/>
                <w:sz w:val="18"/>
                <w:szCs w:val="18"/>
                <w:rtl/>
              </w:rPr>
            </w:pPr>
            <w:bookmarkStart w:id="51" w:name="_Hlk132713652"/>
          </w:p>
        </w:tc>
        <w:tc>
          <w:tcPr>
            <w:tcW w:w="8343" w:type="dxa"/>
            <w:gridSpan w:val="8"/>
            <w:vAlign w:val="bottom"/>
          </w:tcPr>
          <w:p w14:paraId="1F1947A4" w14:textId="54975654" w:rsidR="00064437" w:rsidRPr="00064437" w:rsidRDefault="00064437" w:rsidP="0007315B">
            <w:pPr>
              <w:pStyle w:val="-3"/>
              <w:pBdr>
                <w:bottom w:val="single" w:sz="4" w:space="1" w:color="auto"/>
              </w:pBdr>
              <w:spacing w:line="240" w:lineRule="auto"/>
              <w:ind w:left="-28"/>
              <w:jc w:val="center"/>
              <w:rPr>
                <w:b/>
                <w:bCs/>
                <w:sz w:val="19"/>
                <w:szCs w:val="19"/>
                <w:rtl/>
              </w:rPr>
            </w:pPr>
            <w:r w:rsidRPr="00064437">
              <w:rPr>
                <w:rFonts w:hint="cs"/>
                <w:b/>
                <w:bCs/>
                <w:sz w:val="19"/>
                <w:szCs w:val="19"/>
                <w:rtl/>
              </w:rPr>
              <w:t xml:space="preserve">בשלושה חודשים שהסתיימו ביום 30 ביוני </w:t>
            </w:r>
            <w:r w:rsidRPr="00064437">
              <w:rPr>
                <w:b/>
                <w:bCs/>
                <w:sz w:val="19"/>
                <w:szCs w:val="19"/>
                <w:rtl/>
              </w:rPr>
              <w:fldChar w:fldCharType="begin"/>
            </w:r>
            <w:r w:rsidRPr="00064437">
              <w:rPr>
                <w:b/>
                <w:bCs/>
                <w:sz w:val="19"/>
                <w:szCs w:val="19"/>
                <w:rtl/>
              </w:rPr>
              <w:instrText xml:space="preserve"> </w:instrText>
            </w:r>
            <w:r w:rsidRPr="00064437">
              <w:rPr>
                <w:rFonts w:hint="cs"/>
                <w:b/>
                <w:bCs/>
                <w:sz w:val="19"/>
                <w:szCs w:val="19"/>
                <w:rtl/>
              </w:rPr>
              <w:instrText xml:space="preserve">= </w:instrText>
            </w:r>
            <w:r w:rsidRPr="00064437">
              <w:rPr>
                <w:rFonts w:hint="cs"/>
                <w:b/>
                <w:bCs/>
                <w:sz w:val="19"/>
                <w:szCs w:val="19"/>
              </w:rPr>
              <w:instrText>CY</w:instrText>
            </w:r>
            <w:r w:rsidRPr="00064437">
              <w:rPr>
                <w:b/>
                <w:bCs/>
                <w:sz w:val="19"/>
                <w:szCs w:val="19"/>
              </w:rPr>
              <w:instrText>-1</w:instrText>
            </w:r>
            <w:r w:rsidRPr="00064437">
              <w:rPr>
                <w:rFonts w:hint="cs"/>
                <w:b/>
                <w:bCs/>
                <w:sz w:val="19"/>
                <w:szCs w:val="19"/>
              </w:rPr>
              <w:instrText xml:space="preserve"> \* MERGEFORMAT</w:instrText>
            </w:r>
            <w:r w:rsidRPr="00064437">
              <w:rPr>
                <w:b/>
                <w:bCs/>
                <w:sz w:val="19"/>
                <w:szCs w:val="19"/>
                <w:rtl/>
              </w:rPr>
              <w:instrText xml:space="preserve"> </w:instrText>
            </w:r>
            <w:r w:rsidRPr="00064437">
              <w:rPr>
                <w:b/>
                <w:bCs/>
                <w:sz w:val="19"/>
                <w:szCs w:val="19"/>
                <w:rtl/>
              </w:rPr>
              <w:fldChar w:fldCharType="separate"/>
            </w:r>
            <w:r w:rsidR="003A584F">
              <w:rPr>
                <w:b/>
                <w:bCs/>
                <w:noProof/>
                <w:sz w:val="19"/>
                <w:szCs w:val="19"/>
                <w:rtl/>
              </w:rPr>
              <w:t>2023</w:t>
            </w:r>
            <w:r w:rsidRPr="00064437">
              <w:rPr>
                <w:b/>
                <w:bCs/>
                <w:sz w:val="19"/>
                <w:szCs w:val="19"/>
                <w:rtl/>
              </w:rPr>
              <w:fldChar w:fldCharType="end"/>
            </w:r>
            <w:r w:rsidRPr="00064437">
              <w:rPr>
                <w:rFonts w:hint="cs"/>
                <w:sz w:val="19"/>
                <w:szCs w:val="19"/>
                <w:rtl/>
              </w:rPr>
              <w:t xml:space="preserve">  </w:t>
            </w:r>
            <w:r w:rsidRPr="001F0989">
              <w:rPr>
                <w:rFonts w:hint="cs"/>
                <w:sz w:val="19"/>
                <w:szCs w:val="19"/>
                <w:rtl/>
              </w:rPr>
              <w:t>(בלתי מבוקר)</w:t>
            </w:r>
          </w:p>
        </w:tc>
      </w:tr>
      <w:tr w:rsidR="00064437" w:rsidRPr="007C7A96" w14:paraId="214EA105" w14:textId="77777777" w:rsidTr="00400DD1">
        <w:trPr>
          <w:trHeight w:val="259"/>
        </w:trPr>
        <w:tc>
          <w:tcPr>
            <w:tcW w:w="1852" w:type="dxa"/>
          </w:tcPr>
          <w:p w14:paraId="31CB0662" w14:textId="77777777" w:rsidR="00064437" w:rsidRPr="007C7A96" w:rsidRDefault="00064437" w:rsidP="0007315B">
            <w:pPr>
              <w:pStyle w:val="-0"/>
              <w:spacing w:line="240" w:lineRule="auto"/>
              <w:ind w:left="663" w:hanging="231"/>
              <w:rPr>
                <w:color w:val="auto"/>
                <w:sz w:val="18"/>
                <w:szCs w:val="18"/>
                <w:rtl/>
              </w:rPr>
            </w:pPr>
          </w:p>
        </w:tc>
        <w:tc>
          <w:tcPr>
            <w:tcW w:w="5573" w:type="dxa"/>
            <w:gridSpan w:val="5"/>
            <w:vAlign w:val="bottom"/>
          </w:tcPr>
          <w:p w14:paraId="54C0B677" w14:textId="135D7546" w:rsidR="00064437" w:rsidRPr="00064437" w:rsidRDefault="00064437" w:rsidP="0007315B">
            <w:pPr>
              <w:pStyle w:val="-3"/>
              <w:pBdr>
                <w:bottom w:val="single" w:sz="4" w:space="1" w:color="auto"/>
              </w:pBdr>
              <w:spacing w:line="240" w:lineRule="auto"/>
              <w:ind w:left="-28"/>
              <w:jc w:val="center"/>
              <w:rPr>
                <w:b/>
                <w:bCs/>
                <w:sz w:val="18"/>
                <w:szCs w:val="18"/>
                <w:rtl/>
              </w:rPr>
            </w:pPr>
            <w:r w:rsidRPr="00064437">
              <w:rPr>
                <w:rFonts w:hint="cs"/>
                <w:b/>
                <w:bCs/>
                <w:sz w:val="18"/>
                <w:szCs w:val="18"/>
                <w:rtl/>
              </w:rPr>
              <w:t>סיכון אשראי לציבור שנמכר</w:t>
            </w:r>
          </w:p>
        </w:tc>
        <w:tc>
          <w:tcPr>
            <w:tcW w:w="2770" w:type="dxa"/>
            <w:gridSpan w:val="3"/>
            <w:vAlign w:val="bottom"/>
          </w:tcPr>
          <w:p w14:paraId="0024DD68" w14:textId="77777777" w:rsidR="00064437" w:rsidRPr="00064437" w:rsidRDefault="00064437" w:rsidP="0007315B">
            <w:pPr>
              <w:pStyle w:val="-3"/>
              <w:pBdr>
                <w:bottom w:val="single" w:sz="4" w:space="1" w:color="auto"/>
              </w:pBdr>
              <w:spacing w:line="240" w:lineRule="auto"/>
              <w:ind w:left="-28"/>
              <w:jc w:val="center"/>
              <w:rPr>
                <w:b/>
                <w:bCs/>
                <w:sz w:val="18"/>
                <w:szCs w:val="18"/>
                <w:rtl/>
              </w:rPr>
            </w:pPr>
            <w:r w:rsidRPr="00064437">
              <w:rPr>
                <w:rFonts w:hint="cs"/>
                <w:b/>
                <w:bCs/>
                <w:sz w:val="18"/>
                <w:szCs w:val="18"/>
                <w:rtl/>
              </w:rPr>
              <w:t xml:space="preserve">סיכון אשראי </w:t>
            </w:r>
            <w:r w:rsidRPr="00064437">
              <w:rPr>
                <w:b/>
                <w:bCs/>
                <w:sz w:val="18"/>
                <w:szCs w:val="18"/>
                <w:rtl/>
              </w:rPr>
              <w:br/>
            </w:r>
            <w:r w:rsidRPr="00064437">
              <w:rPr>
                <w:rFonts w:hint="cs"/>
                <w:b/>
                <w:bCs/>
                <w:sz w:val="18"/>
                <w:szCs w:val="18"/>
                <w:rtl/>
              </w:rPr>
              <w:t>לציבור שנרכש</w:t>
            </w:r>
          </w:p>
        </w:tc>
      </w:tr>
      <w:tr w:rsidR="00064437" w:rsidRPr="007C7A96" w14:paraId="14CAEBAC" w14:textId="77777777" w:rsidTr="00400DD1">
        <w:trPr>
          <w:trHeight w:val="259"/>
        </w:trPr>
        <w:tc>
          <w:tcPr>
            <w:tcW w:w="1852" w:type="dxa"/>
          </w:tcPr>
          <w:p w14:paraId="43EDA78B" w14:textId="77777777" w:rsidR="00064437" w:rsidRPr="007C7A96" w:rsidRDefault="00064437" w:rsidP="0007315B">
            <w:pPr>
              <w:pStyle w:val="-0"/>
              <w:spacing w:line="240" w:lineRule="auto"/>
              <w:ind w:left="663" w:hanging="231"/>
              <w:rPr>
                <w:color w:val="auto"/>
                <w:sz w:val="18"/>
                <w:szCs w:val="18"/>
                <w:rtl/>
              </w:rPr>
            </w:pPr>
          </w:p>
        </w:tc>
        <w:tc>
          <w:tcPr>
            <w:tcW w:w="1111" w:type="dxa"/>
            <w:vAlign w:val="bottom"/>
          </w:tcPr>
          <w:p w14:paraId="0F414602" w14:textId="18C54B4D" w:rsidR="00064437" w:rsidRPr="00FC7F53" w:rsidRDefault="00064437" w:rsidP="000007A5">
            <w:pPr>
              <w:pStyle w:val="-3"/>
              <w:spacing w:line="240" w:lineRule="auto"/>
              <w:ind w:left="-28"/>
              <w:jc w:val="center"/>
              <w:rPr>
                <w:b/>
                <w:bCs/>
                <w:sz w:val="16"/>
                <w:szCs w:val="16"/>
                <w:rtl/>
              </w:rPr>
            </w:pPr>
            <w:r w:rsidRPr="00FC7F53">
              <w:rPr>
                <w:rFonts w:hint="cs"/>
                <w:b/>
                <w:bCs/>
                <w:sz w:val="16"/>
                <w:szCs w:val="16"/>
                <w:rtl/>
              </w:rPr>
              <w:t>אשראי לציבור שנמכר בתקופה</w:t>
            </w:r>
          </w:p>
        </w:tc>
        <w:tc>
          <w:tcPr>
            <w:tcW w:w="1134" w:type="dxa"/>
            <w:vAlign w:val="bottom"/>
          </w:tcPr>
          <w:p w14:paraId="56276B47" w14:textId="7E56AB5C" w:rsidR="00064437" w:rsidRPr="00FC7F53" w:rsidRDefault="00064437" w:rsidP="000007A5">
            <w:pPr>
              <w:pStyle w:val="-3"/>
              <w:spacing w:line="240" w:lineRule="auto"/>
              <w:ind w:left="-28"/>
              <w:jc w:val="center"/>
              <w:rPr>
                <w:b/>
                <w:bCs/>
                <w:sz w:val="16"/>
                <w:szCs w:val="16"/>
                <w:rtl/>
              </w:rPr>
            </w:pPr>
            <w:r w:rsidRPr="00FC7F53">
              <w:rPr>
                <w:rFonts w:hint="cs"/>
                <w:b/>
                <w:bCs/>
                <w:sz w:val="16"/>
                <w:szCs w:val="16"/>
                <w:rtl/>
              </w:rPr>
              <w:t>סיכון אשראי חוץ מאזני** שנמכר בתקופה</w:t>
            </w:r>
          </w:p>
        </w:tc>
        <w:tc>
          <w:tcPr>
            <w:tcW w:w="712" w:type="dxa"/>
            <w:vAlign w:val="bottom"/>
          </w:tcPr>
          <w:p w14:paraId="414B779B" w14:textId="77777777" w:rsidR="00064437" w:rsidRPr="00FC7F53" w:rsidRDefault="00064437" w:rsidP="000007A5">
            <w:pPr>
              <w:pStyle w:val="-3"/>
              <w:spacing w:line="240" w:lineRule="auto"/>
              <w:ind w:left="-28"/>
              <w:jc w:val="center"/>
              <w:rPr>
                <w:b/>
                <w:bCs/>
                <w:sz w:val="16"/>
                <w:szCs w:val="16"/>
                <w:rtl/>
              </w:rPr>
            </w:pPr>
            <w:r w:rsidRPr="00FC7F53">
              <w:rPr>
                <w:rFonts w:hint="cs"/>
                <w:b/>
                <w:bCs/>
                <w:sz w:val="16"/>
                <w:szCs w:val="16"/>
                <w:u w:val="single"/>
                <w:rtl/>
              </w:rPr>
              <w:t>מזה</w:t>
            </w:r>
            <w:r w:rsidRPr="00FC7F53">
              <w:rPr>
                <w:rFonts w:hint="cs"/>
                <w:b/>
                <w:bCs/>
                <w:sz w:val="16"/>
                <w:szCs w:val="16"/>
                <w:rtl/>
              </w:rPr>
              <w:t>: אשראי בעייתי</w:t>
            </w:r>
          </w:p>
        </w:tc>
        <w:tc>
          <w:tcPr>
            <w:tcW w:w="992" w:type="dxa"/>
            <w:vAlign w:val="bottom"/>
          </w:tcPr>
          <w:p w14:paraId="073855F8" w14:textId="77777777" w:rsidR="00064437" w:rsidRPr="00FC7F53" w:rsidRDefault="00064437" w:rsidP="000007A5">
            <w:pPr>
              <w:pStyle w:val="-3"/>
              <w:spacing w:line="240" w:lineRule="auto"/>
              <w:ind w:left="-28"/>
              <w:jc w:val="center"/>
              <w:rPr>
                <w:b/>
                <w:bCs/>
                <w:sz w:val="16"/>
                <w:szCs w:val="16"/>
                <w:rtl/>
              </w:rPr>
            </w:pPr>
            <w:r w:rsidRPr="00FC7F53">
              <w:rPr>
                <w:rFonts w:hint="cs"/>
                <w:b/>
                <w:bCs/>
                <w:sz w:val="16"/>
                <w:szCs w:val="16"/>
                <w:rtl/>
              </w:rPr>
              <w:t>סך הכל רווח (הפסד) בגין אשראי שנמכר</w:t>
            </w:r>
          </w:p>
        </w:tc>
        <w:tc>
          <w:tcPr>
            <w:tcW w:w="1624" w:type="dxa"/>
            <w:vAlign w:val="bottom"/>
          </w:tcPr>
          <w:p w14:paraId="1746CAB6" w14:textId="053C9175" w:rsidR="00064437" w:rsidRPr="00FC7F53" w:rsidRDefault="00064437" w:rsidP="000007A5">
            <w:pPr>
              <w:pStyle w:val="-3"/>
              <w:spacing w:line="240" w:lineRule="auto"/>
              <w:ind w:left="-28"/>
              <w:jc w:val="center"/>
              <w:rPr>
                <w:b/>
                <w:bCs/>
                <w:sz w:val="16"/>
                <w:szCs w:val="16"/>
                <w:rtl/>
              </w:rPr>
            </w:pPr>
            <w:r w:rsidRPr="00FC7F53">
              <w:rPr>
                <w:rFonts w:hint="cs"/>
                <w:b/>
                <w:bCs/>
                <w:sz w:val="16"/>
                <w:szCs w:val="16"/>
                <w:rtl/>
              </w:rPr>
              <w:t xml:space="preserve">יתרה לסוף </w:t>
            </w:r>
            <w:r w:rsidR="00E55B85">
              <w:rPr>
                <w:rFonts w:hint="cs"/>
                <w:b/>
                <w:bCs/>
                <w:sz w:val="16"/>
                <w:szCs w:val="16"/>
                <w:rtl/>
              </w:rPr>
              <w:t>התקופה</w:t>
            </w:r>
            <w:r w:rsidR="00E55B85" w:rsidRPr="00FC7F53">
              <w:rPr>
                <w:rFonts w:hint="cs"/>
                <w:b/>
                <w:bCs/>
                <w:sz w:val="16"/>
                <w:szCs w:val="16"/>
                <w:rtl/>
              </w:rPr>
              <w:t xml:space="preserve"> </w:t>
            </w:r>
            <w:r w:rsidRPr="00FC7F53">
              <w:rPr>
                <w:rFonts w:hint="cs"/>
                <w:b/>
                <w:bCs/>
                <w:sz w:val="16"/>
                <w:szCs w:val="16"/>
                <w:rtl/>
              </w:rPr>
              <w:t>של האשראי שנמכר, אשר התאגיד הבנקאי נותן עבורו שירות</w:t>
            </w:r>
          </w:p>
        </w:tc>
        <w:tc>
          <w:tcPr>
            <w:tcW w:w="785" w:type="dxa"/>
            <w:vAlign w:val="bottom"/>
          </w:tcPr>
          <w:p w14:paraId="11DB63C3" w14:textId="51F0244A" w:rsidR="00064437" w:rsidRPr="00FC7F53" w:rsidRDefault="00064437" w:rsidP="000007A5">
            <w:pPr>
              <w:pStyle w:val="-3"/>
              <w:spacing w:line="240" w:lineRule="auto"/>
              <w:ind w:left="-28"/>
              <w:jc w:val="center"/>
              <w:rPr>
                <w:b/>
                <w:bCs/>
                <w:sz w:val="16"/>
                <w:szCs w:val="16"/>
                <w:rtl/>
              </w:rPr>
            </w:pPr>
            <w:r w:rsidRPr="00FC7F53">
              <w:rPr>
                <w:rFonts w:hint="cs"/>
                <w:b/>
                <w:bCs/>
                <w:sz w:val="16"/>
                <w:szCs w:val="16"/>
                <w:rtl/>
              </w:rPr>
              <w:t>אשראי לציבור שנרכש בתקופה</w:t>
            </w:r>
          </w:p>
        </w:tc>
        <w:tc>
          <w:tcPr>
            <w:tcW w:w="1165" w:type="dxa"/>
            <w:vAlign w:val="bottom"/>
          </w:tcPr>
          <w:p w14:paraId="288EF9CC" w14:textId="00B44BC5" w:rsidR="00064437" w:rsidRPr="00FC7F53" w:rsidRDefault="00064437" w:rsidP="000007A5">
            <w:pPr>
              <w:pStyle w:val="-3"/>
              <w:spacing w:line="240" w:lineRule="auto"/>
              <w:ind w:left="-28"/>
              <w:jc w:val="center"/>
              <w:rPr>
                <w:b/>
                <w:bCs/>
                <w:sz w:val="16"/>
                <w:szCs w:val="16"/>
                <w:rtl/>
              </w:rPr>
            </w:pPr>
            <w:r w:rsidRPr="00FC7F53">
              <w:rPr>
                <w:rFonts w:hint="cs"/>
                <w:b/>
                <w:bCs/>
                <w:sz w:val="16"/>
                <w:szCs w:val="16"/>
                <w:rtl/>
              </w:rPr>
              <w:t>סיכון אשראי חוץ מאזני** שנרכש בתקופה</w:t>
            </w:r>
          </w:p>
        </w:tc>
        <w:tc>
          <w:tcPr>
            <w:tcW w:w="820" w:type="dxa"/>
            <w:vAlign w:val="bottom"/>
          </w:tcPr>
          <w:p w14:paraId="1011C54E" w14:textId="77777777" w:rsidR="00064437" w:rsidRPr="00FC7F53" w:rsidRDefault="00064437" w:rsidP="000007A5">
            <w:pPr>
              <w:pStyle w:val="-3"/>
              <w:spacing w:line="240" w:lineRule="auto"/>
              <w:ind w:left="-28"/>
              <w:jc w:val="center"/>
              <w:rPr>
                <w:b/>
                <w:bCs/>
                <w:sz w:val="16"/>
                <w:szCs w:val="16"/>
                <w:rtl/>
              </w:rPr>
            </w:pPr>
            <w:r w:rsidRPr="00FC7F53">
              <w:rPr>
                <w:rFonts w:hint="cs"/>
                <w:b/>
                <w:bCs/>
                <w:sz w:val="16"/>
                <w:szCs w:val="16"/>
                <w:u w:val="single"/>
                <w:rtl/>
              </w:rPr>
              <w:t>מזה</w:t>
            </w:r>
            <w:r w:rsidRPr="00FC7F53">
              <w:rPr>
                <w:rFonts w:hint="cs"/>
                <w:b/>
                <w:bCs/>
                <w:sz w:val="16"/>
                <w:szCs w:val="16"/>
                <w:rtl/>
              </w:rPr>
              <w:t>: אשראי בעייתי</w:t>
            </w:r>
          </w:p>
        </w:tc>
      </w:tr>
      <w:tr w:rsidR="00FC7F53" w:rsidRPr="007C7A96" w14:paraId="064BF4A1" w14:textId="77777777" w:rsidTr="00064437">
        <w:trPr>
          <w:trHeight w:val="259"/>
        </w:trPr>
        <w:tc>
          <w:tcPr>
            <w:tcW w:w="1852" w:type="dxa"/>
          </w:tcPr>
          <w:p w14:paraId="6F905BFA" w14:textId="77777777" w:rsidR="00FC7F53" w:rsidRPr="00FC7F53" w:rsidRDefault="00FC7F53" w:rsidP="0007315B">
            <w:pPr>
              <w:pStyle w:val="-0"/>
              <w:spacing w:line="240" w:lineRule="auto"/>
              <w:ind w:left="113" w:hanging="113"/>
              <w:rPr>
                <w:b/>
                <w:bCs/>
                <w:color w:val="auto"/>
                <w:sz w:val="17"/>
                <w:szCs w:val="17"/>
                <w:rtl/>
              </w:rPr>
            </w:pPr>
            <w:r w:rsidRPr="00FC7F53">
              <w:rPr>
                <w:rFonts w:hint="cs"/>
                <w:color w:val="auto"/>
                <w:sz w:val="17"/>
                <w:szCs w:val="17"/>
                <w:rtl/>
              </w:rPr>
              <w:t>סך הכל מסחרי*</w:t>
            </w:r>
          </w:p>
        </w:tc>
        <w:tc>
          <w:tcPr>
            <w:tcW w:w="1111" w:type="dxa"/>
            <w:tcBorders>
              <w:top w:val="single" w:sz="4" w:space="0" w:color="auto"/>
            </w:tcBorders>
            <w:vAlign w:val="bottom"/>
          </w:tcPr>
          <w:p w14:paraId="10256DC0" w14:textId="77777777" w:rsidR="00FC7F53" w:rsidRPr="005068E4" w:rsidRDefault="00FC7F53" w:rsidP="0007315B">
            <w:pPr>
              <w:pStyle w:val="-3"/>
              <w:rPr>
                <w:sz w:val="18"/>
                <w:szCs w:val="18"/>
                <w:rtl/>
              </w:rPr>
            </w:pPr>
            <w:r w:rsidRPr="005068E4">
              <w:rPr>
                <w:rFonts w:hint="cs"/>
                <w:sz w:val="18"/>
                <w:szCs w:val="18"/>
                <w:rtl/>
              </w:rPr>
              <w:t xml:space="preserve"> 0</w:t>
            </w:r>
          </w:p>
        </w:tc>
        <w:tc>
          <w:tcPr>
            <w:tcW w:w="1134" w:type="dxa"/>
            <w:tcBorders>
              <w:top w:val="single" w:sz="4" w:space="0" w:color="auto"/>
            </w:tcBorders>
            <w:vAlign w:val="bottom"/>
          </w:tcPr>
          <w:p w14:paraId="06F00FD5" w14:textId="77777777" w:rsidR="00FC7F53" w:rsidRPr="005068E4" w:rsidRDefault="00FC7F53" w:rsidP="0007315B">
            <w:pPr>
              <w:pStyle w:val="-3"/>
              <w:rPr>
                <w:sz w:val="18"/>
                <w:szCs w:val="18"/>
                <w:rtl/>
              </w:rPr>
            </w:pPr>
            <w:r w:rsidRPr="005068E4">
              <w:rPr>
                <w:rFonts w:hint="cs"/>
                <w:sz w:val="18"/>
                <w:szCs w:val="18"/>
                <w:rtl/>
              </w:rPr>
              <w:t xml:space="preserve"> 0</w:t>
            </w:r>
          </w:p>
        </w:tc>
        <w:tc>
          <w:tcPr>
            <w:tcW w:w="712" w:type="dxa"/>
            <w:tcBorders>
              <w:top w:val="single" w:sz="4" w:space="0" w:color="auto"/>
            </w:tcBorders>
            <w:vAlign w:val="bottom"/>
          </w:tcPr>
          <w:p w14:paraId="429C10E1" w14:textId="77777777" w:rsidR="00FC7F53" w:rsidRPr="005068E4" w:rsidRDefault="00FC7F53" w:rsidP="0007315B">
            <w:pPr>
              <w:pStyle w:val="-3"/>
              <w:rPr>
                <w:sz w:val="18"/>
                <w:szCs w:val="18"/>
                <w:rtl/>
              </w:rPr>
            </w:pPr>
            <w:r w:rsidRPr="005068E4">
              <w:rPr>
                <w:rFonts w:hint="cs"/>
                <w:sz w:val="18"/>
                <w:szCs w:val="18"/>
                <w:rtl/>
              </w:rPr>
              <w:t xml:space="preserve"> 0</w:t>
            </w:r>
          </w:p>
        </w:tc>
        <w:tc>
          <w:tcPr>
            <w:tcW w:w="992" w:type="dxa"/>
            <w:tcBorders>
              <w:top w:val="single" w:sz="4" w:space="0" w:color="auto"/>
            </w:tcBorders>
            <w:vAlign w:val="bottom"/>
          </w:tcPr>
          <w:p w14:paraId="784071E9" w14:textId="77777777" w:rsidR="00FC7F53" w:rsidRPr="005068E4" w:rsidRDefault="00FC7F53" w:rsidP="0007315B">
            <w:pPr>
              <w:pStyle w:val="-3"/>
              <w:rPr>
                <w:b/>
                <w:bCs/>
                <w:sz w:val="18"/>
                <w:szCs w:val="18"/>
                <w:rtl/>
              </w:rPr>
            </w:pPr>
            <w:r w:rsidRPr="005068E4">
              <w:rPr>
                <w:rFonts w:hint="cs"/>
                <w:sz w:val="18"/>
                <w:szCs w:val="18"/>
                <w:rtl/>
              </w:rPr>
              <w:t xml:space="preserve"> 0</w:t>
            </w:r>
          </w:p>
        </w:tc>
        <w:tc>
          <w:tcPr>
            <w:tcW w:w="1624" w:type="dxa"/>
            <w:tcBorders>
              <w:top w:val="single" w:sz="4" w:space="0" w:color="auto"/>
            </w:tcBorders>
            <w:vAlign w:val="bottom"/>
          </w:tcPr>
          <w:p w14:paraId="5B5EE03E" w14:textId="77777777" w:rsidR="00FC7F53" w:rsidRPr="005068E4" w:rsidRDefault="00FC7F53" w:rsidP="0007315B">
            <w:pPr>
              <w:pStyle w:val="-3"/>
              <w:rPr>
                <w:sz w:val="18"/>
                <w:szCs w:val="18"/>
                <w:rtl/>
              </w:rPr>
            </w:pPr>
            <w:r w:rsidRPr="005068E4">
              <w:rPr>
                <w:rFonts w:hint="cs"/>
                <w:sz w:val="18"/>
                <w:szCs w:val="18"/>
                <w:rtl/>
              </w:rPr>
              <w:t xml:space="preserve"> 0</w:t>
            </w:r>
          </w:p>
        </w:tc>
        <w:tc>
          <w:tcPr>
            <w:tcW w:w="785" w:type="dxa"/>
            <w:tcBorders>
              <w:top w:val="single" w:sz="4" w:space="0" w:color="auto"/>
            </w:tcBorders>
            <w:vAlign w:val="bottom"/>
          </w:tcPr>
          <w:p w14:paraId="61CD9A3D" w14:textId="77777777" w:rsidR="00FC7F53" w:rsidRPr="005068E4" w:rsidRDefault="00FC7F53" w:rsidP="0007315B">
            <w:pPr>
              <w:pStyle w:val="-3"/>
              <w:rPr>
                <w:sz w:val="18"/>
                <w:szCs w:val="18"/>
                <w:rtl/>
              </w:rPr>
            </w:pPr>
            <w:r w:rsidRPr="005068E4">
              <w:rPr>
                <w:rFonts w:hint="cs"/>
                <w:sz w:val="18"/>
                <w:szCs w:val="18"/>
                <w:rtl/>
              </w:rPr>
              <w:t xml:space="preserve"> 0</w:t>
            </w:r>
          </w:p>
        </w:tc>
        <w:tc>
          <w:tcPr>
            <w:tcW w:w="1165" w:type="dxa"/>
            <w:tcBorders>
              <w:top w:val="single" w:sz="4" w:space="0" w:color="auto"/>
            </w:tcBorders>
            <w:vAlign w:val="bottom"/>
          </w:tcPr>
          <w:p w14:paraId="27A30FB2" w14:textId="77777777" w:rsidR="00FC7F53" w:rsidRPr="005068E4" w:rsidRDefault="00FC7F53" w:rsidP="0007315B">
            <w:pPr>
              <w:pStyle w:val="-3"/>
              <w:rPr>
                <w:sz w:val="18"/>
                <w:szCs w:val="18"/>
                <w:rtl/>
              </w:rPr>
            </w:pPr>
            <w:r w:rsidRPr="005068E4">
              <w:rPr>
                <w:rFonts w:hint="cs"/>
                <w:sz w:val="18"/>
                <w:szCs w:val="18"/>
                <w:rtl/>
              </w:rPr>
              <w:t xml:space="preserve"> 0</w:t>
            </w:r>
          </w:p>
        </w:tc>
        <w:tc>
          <w:tcPr>
            <w:tcW w:w="820" w:type="dxa"/>
            <w:tcBorders>
              <w:top w:val="single" w:sz="4" w:space="0" w:color="auto"/>
            </w:tcBorders>
            <w:vAlign w:val="bottom"/>
          </w:tcPr>
          <w:p w14:paraId="359DEAF8" w14:textId="77777777" w:rsidR="00FC7F53" w:rsidRPr="005068E4" w:rsidRDefault="00FC7F53" w:rsidP="0007315B">
            <w:pPr>
              <w:pStyle w:val="-3"/>
              <w:rPr>
                <w:sz w:val="18"/>
                <w:szCs w:val="18"/>
                <w:rtl/>
              </w:rPr>
            </w:pPr>
            <w:r w:rsidRPr="005068E4">
              <w:rPr>
                <w:rFonts w:hint="cs"/>
                <w:sz w:val="18"/>
                <w:szCs w:val="18"/>
                <w:rtl/>
              </w:rPr>
              <w:t xml:space="preserve"> 0</w:t>
            </w:r>
          </w:p>
        </w:tc>
      </w:tr>
      <w:tr w:rsidR="00FC7F53" w:rsidRPr="007C7A96" w14:paraId="69540B96" w14:textId="77777777" w:rsidTr="00064437">
        <w:trPr>
          <w:trHeight w:val="259"/>
        </w:trPr>
        <w:tc>
          <w:tcPr>
            <w:tcW w:w="1852" w:type="dxa"/>
          </w:tcPr>
          <w:p w14:paraId="7EAE1BC8" w14:textId="20E6B4AA" w:rsidR="00FC7F53" w:rsidRPr="00FC7F53" w:rsidRDefault="00FC7F53" w:rsidP="0007315B">
            <w:pPr>
              <w:pStyle w:val="-21"/>
              <w:ind w:left="113" w:hanging="113"/>
              <w:rPr>
                <w:b/>
                <w:bCs/>
                <w:color w:val="auto"/>
                <w:sz w:val="17"/>
                <w:szCs w:val="17"/>
                <w:rtl/>
              </w:rPr>
            </w:pPr>
            <w:r w:rsidRPr="00FC7F53">
              <w:rPr>
                <w:rFonts w:hint="cs"/>
                <w:color w:val="auto"/>
                <w:sz w:val="17"/>
                <w:szCs w:val="17"/>
                <w:rtl/>
              </w:rPr>
              <w:t xml:space="preserve">אנשים פרטיים - הלוואות </w:t>
            </w:r>
            <w:r w:rsidR="005068E4">
              <w:rPr>
                <w:rFonts w:hint="cs"/>
                <w:color w:val="auto"/>
                <w:sz w:val="17"/>
                <w:szCs w:val="17"/>
                <w:rtl/>
              </w:rPr>
              <w:t>ל</w:t>
            </w:r>
            <w:r w:rsidRPr="00FC7F53">
              <w:rPr>
                <w:rFonts w:hint="cs"/>
                <w:color w:val="auto"/>
                <w:sz w:val="17"/>
                <w:szCs w:val="17"/>
                <w:rtl/>
              </w:rPr>
              <w:t>דיור</w:t>
            </w:r>
          </w:p>
        </w:tc>
        <w:tc>
          <w:tcPr>
            <w:tcW w:w="1111" w:type="dxa"/>
            <w:vAlign w:val="bottom"/>
          </w:tcPr>
          <w:p w14:paraId="786CB26D" w14:textId="77777777" w:rsidR="00FC7F53" w:rsidRPr="005068E4" w:rsidRDefault="00FC7F53" w:rsidP="0007315B">
            <w:pPr>
              <w:pStyle w:val="-3"/>
              <w:rPr>
                <w:sz w:val="18"/>
                <w:szCs w:val="18"/>
                <w:rtl/>
              </w:rPr>
            </w:pPr>
            <w:r w:rsidRPr="005068E4">
              <w:rPr>
                <w:rFonts w:hint="cs"/>
                <w:sz w:val="18"/>
                <w:szCs w:val="18"/>
                <w:rtl/>
              </w:rPr>
              <w:t xml:space="preserve"> 0</w:t>
            </w:r>
          </w:p>
        </w:tc>
        <w:tc>
          <w:tcPr>
            <w:tcW w:w="1134" w:type="dxa"/>
            <w:vAlign w:val="bottom"/>
          </w:tcPr>
          <w:p w14:paraId="7D05F9A7" w14:textId="77777777" w:rsidR="00FC7F53" w:rsidRPr="005068E4" w:rsidRDefault="00FC7F53" w:rsidP="0007315B">
            <w:pPr>
              <w:pStyle w:val="-3"/>
              <w:rPr>
                <w:sz w:val="18"/>
                <w:szCs w:val="18"/>
                <w:rtl/>
              </w:rPr>
            </w:pPr>
            <w:r w:rsidRPr="005068E4">
              <w:rPr>
                <w:rFonts w:hint="cs"/>
                <w:sz w:val="18"/>
                <w:szCs w:val="18"/>
                <w:rtl/>
              </w:rPr>
              <w:t xml:space="preserve"> 0</w:t>
            </w:r>
          </w:p>
        </w:tc>
        <w:tc>
          <w:tcPr>
            <w:tcW w:w="712" w:type="dxa"/>
            <w:vAlign w:val="bottom"/>
          </w:tcPr>
          <w:p w14:paraId="694777D2" w14:textId="77777777" w:rsidR="00FC7F53" w:rsidRPr="005068E4" w:rsidRDefault="00FC7F53" w:rsidP="0007315B">
            <w:pPr>
              <w:pStyle w:val="-3"/>
              <w:rPr>
                <w:sz w:val="18"/>
                <w:szCs w:val="18"/>
                <w:rtl/>
              </w:rPr>
            </w:pPr>
            <w:r w:rsidRPr="005068E4">
              <w:rPr>
                <w:rFonts w:hint="cs"/>
                <w:sz w:val="18"/>
                <w:szCs w:val="18"/>
                <w:rtl/>
              </w:rPr>
              <w:t xml:space="preserve"> 0</w:t>
            </w:r>
          </w:p>
        </w:tc>
        <w:tc>
          <w:tcPr>
            <w:tcW w:w="992" w:type="dxa"/>
            <w:vAlign w:val="bottom"/>
          </w:tcPr>
          <w:p w14:paraId="75CCB2BD" w14:textId="77777777" w:rsidR="00FC7F53" w:rsidRPr="005068E4" w:rsidRDefault="00FC7F53" w:rsidP="0007315B">
            <w:pPr>
              <w:pStyle w:val="-3"/>
              <w:rPr>
                <w:b/>
                <w:bCs/>
                <w:sz w:val="18"/>
                <w:szCs w:val="18"/>
                <w:rtl/>
              </w:rPr>
            </w:pPr>
            <w:r w:rsidRPr="005068E4">
              <w:rPr>
                <w:rFonts w:hint="cs"/>
                <w:sz w:val="18"/>
                <w:szCs w:val="18"/>
                <w:rtl/>
              </w:rPr>
              <w:t xml:space="preserve"> 0</w:t>
            </w:r>
          </w:p>
        </w:tc>
        <w:tc>
          <w:tcPr>
            <w:tcW w:w="1624" w:type="dxa"/>
            <w:vAlign w:val="bottom"/>
          </w:tcPr>
          <w:p w14:paraId="48F1FBBD" w14:textId="77777777" w:rsidR="00FC7F53" w:rsidRPr="005068E4" w:rsidRDefault="00FC7F53" w:rsidP="0007315B">
            <w:pPr>
              <w:pStyle w:val="-3"/>
              <w:rPr>
                <w:sz w:val="18"/>
                <w:szCs w:val="18"/>
                <w:rtl/>
              </w:rPr>
            </w:pPr>
            <w:r w:rsidRPr="005068E4">
              <w:rPr>
                <w:rFonts w:hint="cs"/>
                <w:sz w:val="18"/>
                <w:szCs w:val="18"/>
                <w:rtl/>
              </w:rPr>
              <w:t xml:space="preserve"> 0</w:t>
            </w:r>
          </w:p>
        </w:tc>
        <w:tc>
          <w:tcPr>
            <w:tcW w:w="785" w:type="dxa"/>
            <w:vAlign w:val="bottom"/>
          </w:tcPr>
          <w:p w14:paraId="06535DE7" w14:textId="77777777" w:rsidR="00FC7F53" w:rsidRPr="005068E4" w:rsidRDefault="00FC7F53" w:rsidP="0007315B">
            <w:pPr>
              <w:pStyle w:val="-3"/>
              <w:rPr>
                <w:sz w:val="18"/>
                <w:szCs w:val="18"/>
                <w:rtl/>
              </w:rPr>
            </w:pPr>
            <w:r w:rsidRPr="005068E4">
              <w:rPr>
                <w:rFonts w:hint="cs"/>
                <w:sz w:val="18"/>
                <w:szCs w:val="18"/>
                <w:rtl/>
              </w:rPr>
              <w:t xml:space="preserve"> 0</w:t>
            </w:r>
          </w:p>
        </w:tc>
        <w:tc>
          <w:tcPr>
            <w:tcW w:w="1165" w:type="dxa"/>
            <w:vAlign w:val="bottom"/>
          </w:tcPr>
          <w:p w14:paraId="47460B09" w14:textId="77777777" w:rsidR="00FC7F53" w:rsidRPr="005068E4" w:rsidRDefault="00FC7F53" w:rsidP="0007315B">
            <w:pPr>
              <w:pStyle w:val="-3"/>
              <w:rPr>
                <w:sz w:val="18"/>
                <w:szCs w:val="18"/>
                <w:rtl/>
              </w:rPr>
            </w:pPr>
            <w:r w:rsidRPr="005068E4">
              <w:rPr>
                <w:rFonts w:hint="cs"/>
                <w:sz w:val="18"/>
                <w:szCs w:val="18"/>
                <w:rtl/>
              </w:rPr>
              <w:t xml:space="preserve"> 0</w:t>
            </w:r>
          </w:p>
        </w:tc>
        <w:tc>
          <w:tcPr>
            <w:tcW w:w="820" w:type="dxa"/>
            <w:vAlign w:val="bottom"/>
          </w:tcPr>
          <w:p w14:paraId="652220E0" w14:textId="77777777" w:rsidR="00FC7F53" w:rsidRPr="005068E4" w:rsidRDefault="00FC7F53" w:rsidP="0007315B">
            <w:pPr>
              <w:pStyle w:val="-3"/>
              <w:rPr>
                <w:sz w:val="18"/>
                <w:szCs w:val="18"/>
                <w:rtl/>
              </w:rPr>
            </w:pPr>
            <w:r w:rsidRPr="005068E4">
              <w:rPr>
                <w:rFonts w:hint="cs"/>
                <w:sz w:val="18"/>
                <w:szCs w:val="18"/>
                <w:rtl/>
              </w:rPr>
              <w:t xml:space="preserve"> 0</w:t>
            </w:r>
          </w:p>
        </w:tc>
      </w:tr>
      <w:tr w:rsidR="00FC7F53" w:rsidRPr="007C7A96" w14:paraId="3B53EDE3" w14:textId="77777777" w:rsidTr="00064437">
        <w:trPr>
          <w:trHeight w:val="259"/>
        </w:trPr>
        <w:tc>
          <w:tcPr>
            <w:tcW w:w="1852" w:type="dxa"/>
          </w:tcPr>
          <w:p w14:paraId="2D820783" w14:textId="77777777" w:rsidR="00FC7F53" w:rsidRPr="00FC7F53" w:rsidRDefault="00FC7F53" w:rsidP="0007315B">
            <w:pPr>
              <w:pStyle w:val="-0"/>
              <w:spacing w:line="240" w:lineRule="auto"/>
              <w:ind w:left="113" w:hanging="113"/>
              <w:rPr>
                <w:b/>
                <w:bCs/>
                <w:color w:val="auto"/>
                <w:sz w:val="17"/>
                <w:szCs w:val="17"/>
                <w:rtl/>
              </w:rPr>
            </w:pPr>
            <w:r w:rsidRPr="00FC7F53">
              <w:rPr>
                <w:rFonts w:hint="cs"/>
                <w:color w:val="auto"/>
                <w:sz w:val="17"/>
                <w:szCs w:val="17"/>
                <w:rtl/>
              </w:rPr>
              <w:t>אנשים פרטיים - אחר</w:t>
            </w:r>
          </w:p>
        </w:tc>
        <w:tc>
          <w:tcPr>
            <w:tcW w:w="1111" w:type="dxa"/>
            <w:vAlign w:val="bottom"/>
          </w:tcPr>
          <w:p w14:paraId="7066FCB0" w14:textId="77777777" w:rsidR="00FC7F53" w:rsidRPr="005068E4" w:rsidRDefault="00FC7F53" w:rsidP="0007315B">
            <w:pPr>
              <w:pStyle w:val="-3"/>
              <w:pBdr>
                <w:bottom w:val="single" w:sz="4" w:space="1" w:color="auto"/>
              </w:pBdr>
              <w:rPr>
                <w:sz w:val="18"/>
                <w:szCs w:val="18"/>
                <w:rtl/>
              </w:rPr>
            </w:pPr>
            <w:r w:rsidRPr="005068E4">
              <w:rPr>
                <w:rFonts w:hint="cs"/>
                <w:sz w:val="18"/>
                <w:szCs w:val="18"/>
                <w:rtl/>
              </w:rPr>
              <w:t xml:space="preserve"> 0</w:t>
            </w:r>
          </w:p>
        </w:tc>
        <w:tc>
          <w:tcPr>
            <w:tcW w:w="1134" w:type="dxa"/>
            <w:vAlign w:val="bottom"/>
          </w:tcPr>
          <w:p w14:paraId="39F8CC72" w14:textId="77777777" w:rsidR="00FC7F53" w:rsidRPr="005068E4" w:rsidRDefault="00FC7F53" w:rsidP="0007315B">
            <w:pPr>
              <w:pStyle w:val="-3"/>
              <w:pBdr>
                <w:bottom w:val="single" w:sz="4" w:space="1" w:color="auto"/>
              </w:pBdr>
              <w:rPr>
                <w:sz w:val="18"/>
                <w:szCs w:val="18"/>
                <w:rtl/>
              </w:rPr>
            </w:pPr>
            <w:r w:rsidRPr="005068E4">
              <w:rPr>
                <w:rFonts w:hint="cs"/>
                <w:sz w:val="18"/>
                <w:szCs w:val="18"/>
                <w:rtl/>
              </w:rPr>
              <w:t xml:space="preserve"> 0</w:t>
            </w:r>
          </w:p>
        </w:tc>
        <w:tc>
          <w:tcPr>
            <w:tcW w:w="712" w:type="dxa"/>
            <w:vAlign w:val="bottom"/>
          </w:tcPr>
          <w:p w14:paraId="18C80975" w14:textId="77777777" w:rsidR="00FC7F53" w:rsidRPr="005068E4" w:rsidRDefault="00FC7F53" w:rsidP="0007315B">
            <w:pPr>
              <w:pStyle w:val="-3"/>
              <w:pBdr>
                <w:bottom w:val="single" w:sz="4" w:space="1" w:color="auto"/>
              </w:pBdr>
              <w:rPr>
                <w:sz w:val="18"/>
                <w:szCs w:val="18"/>
                <w:rtl/>
              </w:rPr>
            </w:pPr>
            <w:r w:rsidRPr="005068E4">
              <w:rPr>
                <w:rFonts w:hint="cs"/>
                <w:sz w:val="18"/>
                <w:szCs w:val="18"/>
                <w:rtl/>
              </w:rPr>
              <w:t xml:space="preserve"> 0</w:t>
            </w:r>
          </w:p>
        </w:tc>
        <w:tc>
          <w:tcPr>
            <w:tcW w:w="992" w:type="dxa"/>
            <w:vAlign w:val="bottom"/>
          </w:tcPr>
          <w:p w14:paraId="4D1F9163" w14:textId="77777777" w:rsidR="00FC7F53" w:rsidRPr="005068E4" w:rsidRDefault="00FC7F53" w:rsidP="0007315B">
            <w:pPr>
              <w:pStyle w:val="-3"/>
              <w:pBdr>
                <w:bottom w:val="single" w:sz="4" w:space="1" w:color="auto"/>
              </w:pBdr>
              <w:rPr>
                <w:b/>
                <w:bCs/>
                <w:sz w:val="18"/>
                <w:szCs w:val="18"/>
                <w:rtl/>
              </w:rPr>
            </w:pPr>
            <w:r w:rsidRPr="005068E4">
              <w:rPr>
                <w:rFonts w:hint="cs"/>
                <w:sz w:val="18"/>
                <w:szCs w:val="18"/>
                <w:rtl/>
              </w:rPr>
              <w:t xml:space="preserve"> 0</w:t>
            </w:r>
          </w:p>
        </w:tc>
        <w:tc>
          <w:tcPr>
            <w:tcW w:w="1624" w:type="dxa"/>
            <w:vAlign w:val="bottom"/>
          </w:tcPr>
          <w:p w14:paraId="4F197288" w14:textId="77777777" w:rsidR="00FC7F53" w:rsidRPr="005068E4" w:rsidRDefault="00FC7F53" w:rsidP="0007315B">
            <w:pPr>
              <w:pStyle w:val="-3"/>
              <w:pBdr>
                <w:bottom w:val="single" w:sz="4" w:space="1" w:color="auto"/>
              </w:pBdr>
              <w:rPr>
                <w:sz w:val="18"/>
                <w:szCs w:val="18"/>
                <w:rtl/>
              </w:rPr>
            </w:pPr>
            <w:r w:rsidRPr="005068E4">
              <w:rPr>
                <w:rFonts w:hint="cs"/>
                <w:sz w:val="18"/>
                <w:szCs w:val="18"/>
                <w:rtl/>
              </w:rPr>
              <w:t xml:space="preserve"> 0</w:t>
            </w:r>
          </w:p>
        </w:tc>
        <w:tc>
          <w:tcPr>
            <w:tcW w:w="785" w:type="dxa"/>
            <w:vAlign w:val="bottom"/>
          </w:tcPr>
          <w:p w14:paraId="1E4BB701" w14:textId="77777777" w:rsidR="00FC7F53" w:rsidRPr="005068E4" w:rsidRDefault="00FC7F53" w:rsidP="0007315B">
            <w:pPr>
              <w:pStyle w:val="-3"/>
              <w:pBdr>
                <w:bottom w:val="single" w:sz="4" w:space="1" w:color="auto"/>
              </w:pBdr>
              <w:rPr>
                <w:sz w:val="18"/>
                <w:szCs w:val="18"/>
                <w:rtl/>
              </w:rPr>
            </w:pPr>
            <w:r w:rsidRPr="005068E4">
              <w:rPr>
                <w:rFonts w:hint="cs"/>
                <w:sz w:val="18"/>
                <w:szCs w:val="18"/>
                <w:rtl/>
              </w:rPr>
              <w:t xml:space="preserve"> 0</w:t>
            </w:r>
          </w:p>
        </w:tc>
        <w:tc>
          <w:tcPr>
            <w:tcW w:w="1165" w:type="dxa"/>
            <w:vAlign w:val="bottom"/>
          </w:tcPr>
          <w:p w14:paraId="59B874E8" w14:textId="77777777" w:rsidR="00FC7F53" w:rsidRPr="005068E4" w:rsidRDefault="00FC7F53" w:rsidP="0007315B">
            <w:pPr>
              <w:pStyle w:val="-3"/>
              <w:pBdr>
                <w:bottom w:val="single" w:sz="4" w:space="1" w:color="auto"/>
              </w:pBdr>
              <w:rPr>
                <w:sz w:val="18"/>
                <w:szCs w:val="18"/>
                <w:rtl/>
              </w:rPr>
            </w:pPr>
            <w:r w:rsidRPr="005068E4">
              <w:rPr>
                <w:rFonts w:hint="cs"/>
                <w:sz w:val="18"/>
                <w:szCs w:val="18"/>
                <w:rtl/>
              </w:rPr>
              <w:t xml:space="preserve"> 0</w:t>
            </w:r>
          </w:p>
        </w:tc>
        <w:tc>
          <w:tcPr>
            <w:tcW w:w="820" w:type="dxa"/>
            <w:vAlign w:val="bottom"/>
          </w:tcPr>
          <w:p w14:paraId="1469D66E" w14:textId="77777777" w:rsidR="00FC7F53" w:rsidRPr="005068E4" w:rsidRDefault="00FC7F53" w:rsidP="0007315B">
            <w:pPr>
              <w:pStyle w:val="-3"/>
              <w:pBdr>
                <w:bottom w:val="single" w:sz="4" w:space="1" w:color="auto"/>
              </w:pBdr>
              <w:rPr>
                <w:sz w:val="18"/>
                <w:szCs w:val="18"/>
                <w:rtl/>
              </w:rPr>
            </w:pPr>
            <w:r w:rsidRPr="005068E4">
              <w:rPr>
                <w:rFonts w:hint="cs"/>
                <w:sz w:val="18"/>
                <w:szCs w:val="18"/>
                <w:rtl/>
              </w:rPr>
              <w:t xml:space="preserve"> 0</w:t>
            </w:r>
          </w:p>
        </w:tc>
      </w:tr>
      <w:tr w:rsidR="00FC7F53" w:rsidRPr="007C7A96" w14:paraId="7A16B3CF" w14:textId="77777777" w:rsidTr="00064437">
        <w:trPr>
          <w:trHeight w:val="66"/>
        </w:trPr>
        <w:tc>
          <w:tcPr>
            <w:tcW w:w="1852" w:type="dxa"/>
          </w:tcPr>
          <w:p w14:paraId="4D3C2528" w14:textId="77777777" w:rsidR="00FC7F53" w:rsidRPr="005068E4" w:rsidRDefault="00FC7F53" w:rsidP="0007315B">
            <w:pPr>
              <w:pStyle w:val="-b"/>
              <w:ind w:left="113" w:hanging="113"/>
              <w:rPr>
                <w:b w:val="0"/>
                <w:bCs w:val="0"/>
                <w:color w:val="auto"/>
                <w:sz w:val="17"/>
                <w:szCs w:val="17"/>
                <w:rtl/>
              </w:rPr>
            </w:pPr>
            <w:r w:rsidRPr="005068E4">
              <w:rPr>
                <w:rFonts w:hint="cs"/>
                <w:b w:val="0"/>
                <w:bCs w:val="0"/>
                <w:color w:val="auto"/>
                <w:sz w:val="17"/>
                <w:szCs w:val="17"/>
                <w:rtl/>
              </w:rPr>
              <w:t>סך הכל סיכון אשראי לציבור</w:t>
            </w:r>
          </w:p>
        </w:tc>
        <w:tc>
          <w:tcPr>
            <w:tcW w:w="1111" w:type="dxa"/>
            <w:vAlign w:val="bottom"/>
          </w:tcPr>
          <w:p w14:paraId="176A4002" w14:textId="77777777" w:rsidR="00FC7F53" w:rsidRPr="005068E4" w:rsidRDefault="00FC7F53" w:rsidP="0007315B">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1134" w:type="dxa"/>
            <w:vAlign w:val="bottom"/>
          </w:tcPr>
          <w:p w14:paraId="62264359" w14:textId="77777777" w:rsidR="00FC7F53" w:rsidRPr="005068E4" w:rsidRDefault="00FC7F53" w:rsidP="0007315B">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712" w:type="dxa"/>
            <w:vAlign w:val="bottom"/>
          </w:tcPr>
          <w:p w14:paraId="70F29721" w14:textId="77777777" w:rsidR="00FC7F53" w:rsidRPr="005068E4" w:rsidRDefault="00FC7F53" w:rsidP="0007315B">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992" w:type="dxa"/>
            <w:vAlign w:val="bottom"/>
          </w:tcPr>
          <w:p w14:paraId="259CB91D" w14:textId="77777777" w:rsidR="00FC7F53" w:rsidRPr="005068E4" w:rsidRDefault="00FC7F53" w:rsidP="0007315B">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1624" w:type="dxa"/>
            <w:vAlign w:val="bottom"/>
          </w:tcPr>
          <w:p w14:paraId="08764536" w14:textId="77777777" w:rsidR="00FC7F53" w:rsidRPr="005068E4" w:rsidRDefault="00FC7F53" w:rsidP="0007315B">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785" w:type="dxa"/>
            <w:vAlign w:val="bottom"/>
          </w:tcPr>
          <w:p w14:paraId="3C49DA85" w14:textId="77777777" w:rsidR="00FC7F53" w:rsidRPr="005068E4" w:rsidRDefault="00FC7F53" w:rsidP="0007315B">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1165" w:type="dxa"/>
            <w:vAlign w:val="bottom"/>
          </w:tcPr>
          <w:p w14:paraId="7850F91A" w14:textId="77777777" w:rsidR="00FC7F53" w:rsidRPr="005068E4" w:rsidRDefault="00FC7F53" w:rsidP="0007315B">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820" w:type="dxa"/>
            <w:vAlign w:val="bottom"/>
          </w:tcPr>
          <w:p w14:paraId="55716403" w14:textId="77777777" w:rsidR="00FC7F53" w:rsidRPr="005068E4" w:rsidRDefault="00FC7F53" w:rsidP="0007315B">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r>
      <w:bookmarkEnd w:id="51"/>
    </w:tbl>
    <w:p w14:paraId="452B5128" w14:textId="24A8D4E1" w:rsidR="00480E52" w:rsidRDefault="00480E52" w:rsidP="00480E52">
      <w:pPr>
        <w:rPr>
          <w:sz w:val="18"/>
          <w:szCs w:val="18"/>
          <w:rtl/>
        </w:rPr>
      </w:pPr>
    </w:p>
    <w:p w14:paraId="7BFB8098" w14:textId="77777777" w:rsidR="00666DC4" w:rsidRPr="00480F74" w:rsidRDefault="00666DC4" w:rsidP="00480E52">
      <w:pPr>
        <w:rPr>
          <w:sz w:val="18"/>
          <w:szCs w:val="18"/>
        </w:rPr>
      </w:pPr>
    </w:p>
    <w:tbl>
      <w:tblPr>
        <w:bidiVisual/>
        <w:tblW w:w="4994" w:type="pct"/>
        <w:tblLook w:val="01E0" w:firstRow="1" w:lastRow="1" w:firstColumn="1" w:lastColumn="1" w:noHBand="0" w:noVBand="0"/>
      </w:tblPr>
      <w:tblGrid>
        <w:gridCol w:w="1852"/>
        <w:gridCol w:w="1111"/>
        <w:gridCol w:w="1134"/>
        <w:gridCol w:w="712"/>
        <w:gridCol w:w="992"/>
        <w:gridCol w:w="1624"/>
        <w:gridCol w:w="785"/>
        <w:gridCol w:w="1165"/>
        <w:gridCol w:w="820"/>
      </w:tblGrid>
      <w:tr w:rsidR="005068E4" w:rsidRPr="007C7A96" w14:paraId="2B4ECDB0" w14:textId="77777777" w:rsidTr="00400DD1">
        <w:trPr>
          <w:trHeight w:val="259"/>
        </w:trPr>
        <w:tc>
          <w:tcPr>
            <w:tcW w:w="1852" w:type="dxa"/>
          </w:tcPr>
          <w:p w14:paraId="09B6D5C1" w14:textId="77777777" w:rsidR="005068E4" w:rsidRPr="007C7A96" w:rsidRDefault="005068E4" w:rsidP="00400DD1">
            <w:pPr>
              <w:pStyle w:val="-0"/>
              <w:spacing w:line="240" w:lineRule="auto"/>
              <w:ind w:left="663" w:hanging="231"/>
              <w:rPr>
                <w:color w:val="auto"/>
                <w:sz w:val="18"/>
                <w:szCs w:val="18"/>
                <w:rtl/>
              </w:rPr>
            </w:pPr>
          </w:p>
        </w:tc>
        <w:tc>
          <w:tcPr>
            <w:tcW w:w="8343" w:type="dxa"/>
            <w:gridSpan w:val="8"/>
            <w:vAlign w:val="bottom"/>
          </w:tcPr>
          <w:p w14:paraId="4632F0DB" w14:textId="59BB7BD9" w:rsidR="005068E4" w:rsidRPr="00064437" w:rsidRDefault="005068E4" w:rsidP="00400DD1">
            <w:pPr>
              <w:pStyle w:val="-3"/>
              <w:pBdr>
                <w:bottom w:val="single" w:sz="4" w:space="1" w:color="auto"/>
              </w:pBdr>
              <w:spacing w:line="240" w:lineRule="auto"/>
              <w:ind w:left="-28"/>
              <w:jc w:val="center"/>
              <w:rPr>
                <w:b/>
                <w:bCs/>
                <w:sz w:val="19"/>
                <w:szCs w:val="19"/>
                <w:rtl/>
              </w:rPr>
            </w:pPr>
            <w:r>
              <w:rPr>
                <w:rFonts w:hint="cs"/>
                <w:b/>
                <w:bCs/>
                <w:sz w:val="19"/>
                <w:szCs w:val="19"/>
                <w:rtl/>
              </w:rPr>
              <w:t>בשישה</w:t>
            </w:r>
            <w:r w:rsidRPr="00064437">
              <w:rPr>
                <w:rFonts w:hint="cs"/>
                <w:b/>
                <w:bCs/>
                <w:sz w:val="19"/>
                <w:szCs w:val="19"/>
                <w:rtl/>
              </w:rPr>
              <w:t xml:space="preserve"> חודשים שהסתיימו ביום 30 ביוני </w:t>
            </w:r>
            <w:r w:rsidRPr="00064437">
              <w:rPr>
                <w:b/>
                <w:bCs/>
                <w:sz w:val="19"/>
                <w:szCs w:val="19"/>
                <w:rtl/>
              </w:rPr>
              <w:fldChar w:fldCharType="begin"/>
            </w:r>
            <w:r w:rsidRPr="00064437">
              <w:rPr>
                <w:b/>
                <w:bCs/>
                <w:sz w:val="19"/>
                <w:szCs w:val="19"/>
                <w:rtl/>
              </w:rPr>
              <w:instrText xml:space="preserve"> </w:instrText>
            </w:r>
            <w:r w:rsidRPr="00064437">
              <w:rPr>
                <w:rFonts w:hint="cs"/>
                <w:b/>
                <w:bCs/>
                <w:sz w:val="19"/>
                <w:szCs w:val="19"/>
                <w:rtl/>
              </w:rPr>
              <w:instrText xml:space="preserve">= </w:instrText>
            </w:r>
            <w:r w:rsidRPr="00064437">
              <w:rPr>
                <w:rFonts w:hint="cs"/>
                <w:b/>
                <w:bCs/>
                <w:sz w:val="19"/>
                <w:szCs w:val="19"/>
              </w:rPr>
              <w:instrText>CY</w:instrText>
            </w:r>
            <w:r w:rsidRPr="00064437">
              <w:rPr>
                <w:b/>
                <w:bCs/>
                <w:sz w:val="19"/>
                <w:szCs w:val="19"/>
              </w:rPr>
              <w:instrText>-1</w:instrText>
            </w:r>
            <w:r w:rsidRPr="00064437">
              <w:rPr>
                <w:rFonts w:hint="cs"/>
                <w:b/>
                <w:bCs/>
                <w:sz w:val="19"/>
                <w:szCs w:val="19"/>
              </w:rPr>
              <w:instrText xml:space="preserve"> \* MERGEFORMAT</w:instrText>
            </w:r>
            <w:r w:rsidRPr="00064437">
              <w:rPr>
                <w:b/>
                <w:bCs/>
                <w:sz w:val="19"/>
                <w:szCs w:val="19"/>
                <w:rtl/>
              </w:rPr>
              <w:instrText xml:space="preserve"> </w:instrText>
            </w:r>
            <w:r w:rsidRPr="00064437">
              <w:rPr>
                <w:b/>
                <w:bCs/>
                <w:sz w:val="19"/>
                <w:szCs w:val="19"/>
                <w:rtl/>
              </w:rPr>
              <w:fldChar w:fldCharType="separate"/>
            </w:r>
            <w:r w:rsidR="003A584F">
              <w:rPr>
                <w:b/>
                <w:bCs/>
                <w:noProof/>
                <w:sz w:val="19"/>
                <w:szCs w:val="19"/>
                <w:rtl/>
              </w:rPr>
              <w:t>2023</w:t>
            </w:r>
            <w:r w:rsidRPr="00064437">
              <w:rPr>
                <w:b/>
                <w:bCs/>
                <w:sz w:val="19"/>
                <w:szCs w:val="19"/>
                <w:rtl/>
              </w:rPr>
              <w:fldChar w:fldCharType="end"/>
            </w:r>
            <w:r w:rsidRPr="00064437">
              <w:rPr>
                <w:rFonts w:hint="cs"/>
                <w:sz w:val="19"/>
                <w:szCs w:val="19"/>
                <w:rtl/>
              </w:rPr>
              <w:t xml:space="preserve">  </w:t>
            </w:r>
            <w:r w:rsidRPr="001F0989">
              <w:rPr>
                <w:rFonts w:hint="cs"/>
                <w:sz w:val="19"/>
                <w:szCs w:val="19"/>
                <w:rtl/>
              </w:rPr>
              <w:t>(בלתי מבוקר)</w:t>
            </w:r>
          </w:p>
        </w:tc>
      </w:tr>
      <w:tr w:rsidR="005068E4" w:rsidRPr="007C7A96" w14:paraId="28C18272" w14:textId="77777777" w:rsidTr="00400DD1">
        <w:trPr>
          <w:trHeight w:val="259"/>
        </w:trPr>
        <w:tc>
          <w:tcPr>
            <w:tcW w:w="1852" w:type="dxa"/>
          </w:tcPr>
          <w:p w14:paraId="0935A166" w14:textId="77777777" w:rsidR="005068E4" w:rsidRPr="007C7A96" w:rsidRDefault="005068E4" w:rsidP="00400DD1">
            <w:pPr>
              <w:pStyle w:val="-0"/>
              <w:spacing w:line="240" w:lineRule="auto"/>
              <w:ind w:left="663" w:hanging="231"/>
              <w:rPr>
                <w:color w:val="auto"/>
                <w:sz w:val="18"/>
                <w:szCs w:val="18"/>
                <w:rtl/>
              </w:rPr>
            </w:pPr>
          </w:p>
        </w:tc>
        <w:tc>
          <w:tcPr>
            <w:tcW w:w="5573" w:type="dxa"/>
            <w:gridSpan w:val="5"/>
            <w:vAlign w:val="bottom"/>
          </w:tcPr>
          <w:p w14:paraId="697D6BF7" w14:textId="77777777" w:rsidR="005068E4" w:rsidRPr="00064437" w:rsidRDefault="005068E4" w:rsidP="00400DD1">
            <w:pPr>
              <w:pStyle w:val="-3"/>
              <w:pBdr>
                <w:bottom w:val="single" w:sz="4" w:space="1" w:color="auto"/>
              </w:pBdr>
              <w:spacing w:line="240" w:lineRule="auto"/>
              <w:ind w:left="-28"/>
              <w:jc w:val="center"/>
              <w:rPr>
                <w:b/>
                <w:bCs/>
                <w:sz w:val="18"/>
                <w:szCs w:val="18"/>
                <w:rtl/>
              </w:rPr>
            </w:pPr>
            <w:r w:rsidRPr="00064437">
              <w:rPr>
                <w:rFonts w:hint="cs"/>
                <w:b/>
                <w:bCs/>
                <w:sz w:val="18"/>
                <w:szCs w:val="18"/>
                <w:rtl/>
              </w:rPr>
              <w:t>סיכון אשראי לציבור שנמכר</w:t>
            </w:r>
          </w:p>
        </w:tc>
        <w:tc>
          <w:tcPr>
            <w:tcW w:w="2770" w:type="dxa"/>
            <w:gridSpan w:val="3"/>
            <w:vAlign w:val="bottom"/>
          </w:tcPr>
          <w:p w14:paraId="0BA3DF7D" w14:textId="77777777" w:rsidR="005068E4" w:rsidRPr="00064437" w:rsidRDefault="005068E4" w:rsidP="00400DD1">
            <w:pPr>
              <w:pStyle w:val="-3"/>
              <w:pBdr>
                <w:bottom w:val="single" w:sz="4" w:space="1" w:color="auto"/>
              </w:pBdr>
              <w:spacing w:line="240" w:lineRule="auto"/>
              <w:ind w:left="-28"/>
              <w:jc w:val="center"/>
              <w:rPr>
                <w:b/>
                <w:bCs/>
                <w:sz w:val="18"/>
                <w:szCs w:val="18"/>
                <w:rtl/>
              </w:rPr>
            </w:pPr>
            <w:r w:rsidRPr="00064437">
              <w:rPr>
                <w:rFonts w:hint="cs"/>
                <w:b/>
                <w:bCs/>
                <w:sz w:val="18"/>
                <w:szCs w:val="18"/>
                <w:rtl/>
              </w:rPr>
              <w:t xml:space="preserve">סיכון אשראי </w:t>
            </w:r>
            <w:r w:rsidRPr="00064437">
              <w:rPr>
                <w:b/>
                <w:bCs/>
                <w:sz w:val="18"/>
                <w:szCs w:val="18"/>
                <w:rtl/>
              </w:rPr>
              <w:br/>
            </w:r>
            <w:r w:rsidRPr="00064437">
              <w:rPr>
                <w:rFonts w:hint="cs"/>
                <w:b/>
                <w:bCs/>
                <w:sz w:val="18"/>
                <w:szCs w:val="18"/>
                <w:rtl/>
              </w:rPr>
              <w:t>לציבור שנרכש</w:t>
            </w:r>
          </w:p>
        </w:tc>
      </w:tr>
      <w:tr w:rsidR="005068E4" w:rsidRPr="007C7A96" w14:paraId="6E31504C" w14:textId="77777777" w:rsidTr="00400DD1">
        <w:trPr>
          <w:trHeight w:val="259"/>
        </w:trPr>
        <w:tc>
          <w:tcPr>
            <w:tcW w:w="1852" w:type="dxa"/>
          </w:tcPr>
          <w:p w14:paraId="22B6268F" w14:textId="77777777" w:rsidR="005068E4" w:rsidRPr="007C7A96" w:rsidRDefault="005068E4" w:rsidP="00400DD1">
            <w:pPr>
              <w:pStyle w:val="-0"/>
              <w:spacing w:line="240" w:lineRule="auto"/>
              <w:ind w:left="663" w:hanging="231"/>
              <w:rPr>
                <w:color w:val="auto"/>
                <w:sz w:val="18"/>
                <w:szCs w:val="18"/>
                <w:rtl/>
              </w:rPr>
            </w:pPr>
          </w:p>
        </w:tc>
        <w:tc>
          <w:tcPr>
            <w:tcW w:w="1111" w:type="dxa"/>
            <w:vAlign w:val="bottom"/>
          </w:tcPr>
          <w:p w14:paraId="40F1F8F1" w14:textId="77777777" w:rsidR="005068E4" w:rsidRPr="00FC7F53" w:rsidRDefault="005068E4" w:rsidP="000007A5">
            <w:pPr>
              <w:pStyle w:val="-3"/>
              <w:spacing w:line="240" w:lineRule="auto"/>
              <w:ind w:left="-28"/>
              <w:jc w:val="center"/>
              <w:rPr>
                <w:b/>
                <w:bCs/>
                <w:sz w:val="16"/>
                <w:szCs w:val="16"/>
                <w:rtl/>
              </w:rPr>
            </w:pPr>
            <w:r w:rsidRPr="00FC7F53">
              <w:rPr>
                <w:rFonts w:hint="cs"/>
                <w:b/>
                <w:bCs/>
                <w:sz w:val="16"/>
                <w:szCs w:val="16"/>
                <w:rtl/>
              </w:rPr>
              <w:t>אשראי לציבור שנמכר בתקופה</w:t>
            </w:r>
          </w:p>
        </w:tc>
        <w:tc>
          <w:tcPr>
            <w:tcW w:w="1134" w:type="dxa"/>
            <w:vAlign w:val="bottom"/>
          </w:tcPr>
          <w:p w14:paraId="1DE809D9" w14:textId="77777777" w:rsidR="005068E4" w:rsidRPr="00FC7F53" w:rsidRDefault="005068E4" w:rsidP="000007A5">
            <w:pPr>
              <w:pStyle w:val="-3"/>
              <w:spacing w:line="240" w:lineRule="auto"/>
              <w:ind w:left="-28"/>
              <w:jc w:val="center"/>
              <w:rPr>
                <w:b/>
                <w:bCs/>
                <w:sz w:val="16"/>
                <w:szCs w:val="16"/>
                <w:rtl/>
              </w:rPr>
            </w:pPr>
            <w:r w:rsidRPr="00FC7F53">
              <w:rPr>
                <w:rFonts w:hint="cs"/>
                <w:b/>
                <w:bCs/>
                <w:sz w:val="16"/>
                <w:szCs w:val="16"/>
                <w:rtl/>
              </w:rPr>
              <w:t>סיכון אשראי חוץ מאזני** שנמכר בתקופה</w:t>
            </w:r>
          </w:p>
        </w:tc>
        <w:tc>
          <w:tcPr>
            <w:tcW w:w="712" w:type="dxa"/>
            <w:vAlign w:val="bottom"/>
          </w:tcPr>
          <w:p w14:paraId="69CE8A91" w14:textId="77777777" w:rsidR="005068E4" w:rsidRPr="00FC7F53" w:rsidRDefault="005068E4" w:rsidP="000007A5">
            <w:pPr>
              <w:pStyle w:val="-3"/>
              <w:spacing w:line="240" w:lineRule="auto"/>
              <w:ind w:left="-28"/>
              <w:jc w:val="center"/>
              <w:rPr>
                <w:b/>
                <w:bCs/>
                <w:sz w:val="16"/>
                <w:szCs w:val="16"/>
                <w:rtl/>
              </w:rPr>
            </w:pPr>
            <w:r w:rsidRPr="00FC7F53">
              <w:rPr>
                <w:rFonts w:hint="cs"/>
                <w:b/>
                <w:bCs/>
                <w:sz w:val="16"/>
                <w:szCs w:val="16"/>
                <w:u w:val="single"/>
                <w:rtl/>
              </w:rPr>
              <w:t>מזה</w:t>
            </w:r>
            <w:r w:rsidRPr="00FC7F53">
              <w:rPr>
                <w:rFonts w:hint="cs"/>
                <w:b/>
                <w:bCs/>
                <w:sz w:val="16"/>
                <w:szCs w:val="16"/>
                <w:rtl/>
              </w:rPr>
              <w:t>: אשראי בעייתי</w:t>
            </w:r>
          </w:p>
        </w:tc>
        <w:tc>
          <w:tcPr>
            <w:tcW w:w="992" w:type="dxa"/>
            <w:vAlign w:val="bottom"/>
          </w:tcPr>
          <w:p w14:paraId="33A6DA7B" w14:textId="77777777" w:rsidR="005068E4" w:rsidRPr="00FC7F53" w:rsidRDefault="005068E4" w:rsidP="000007A5">
            <w:pPr>
              <w:pStyle w:val="-3"/>
              <w:spacing w:line="240" w:lineRule="auto"/>
              <w:ind w:left="-28"/>
              <w:jc w:val="center"/>
              <w:rPr>
                <w:b/>
                <w:bCs/>
                <w:sz w:val="16"/>
                <w:szCs w:val="16"/>
                <w:rtl/>
              </w:rPr>
            </w:pPr>
            <w:r w:rsidRPr="00FC7F53">
              <w:rPr>
                <w:rFonts w:hint="cs"/>
                <w:b/>
                <w:bCs/>
                <w:sz w:val="16"/>
                <w:szCs w:val="16"/>
                <w:rtl/>
              </w:rPr>
              <w:t>סך הכל רווח (הפסד) בגין אשראי שנמכר</w:t>
            </w:r>
          </w:p>
        </w:tc>
        <w:tc>
          <w:tcPr>
            <w:tcW w:w="1624" w:type="dxa"/>
            <w:vAlign w:val="bottom"/>
          </w:tcPr>
          <w:p w14:paraId="2318798D" w14:textId="38324A88" w:rsidR="005068E4" w:rsidRPr="00FC7F53" w:rsidRDefault="005068E4" w:rsidP="000007A5">
            <w:pPr>
              <w:pStyle w:val="-3"/>
              <w:spacing w:line="240" w:lineRule="auto"/>
              <w:ind w:left="-28"/>
              <w:jc w:val="center"/>
              <w:rPr>
                <w:b/>
                <w:bCs/>
                <w:sz w:val="16"/>
                <w:szCs w:val="16"/>
                <w:rtl/>
              </w:rPr>
            </w:pPr>
            <w:r w:rsidRPr="00FC7F53">
              <w:rPr>
                <w:rFonts w:hint="cs"/>
                <w:b/>
                <w:bCs/>
                <w:sz w:val="16"/>
                <w:szCs w:val="16"/>
                <w:rtl/>
              </w:rPr>
              <w:t xml:space="preserve">יתרה לסוף </w:t>
            </w:r>
            <w:r w:rsidR="00E55B85">
              <w:rPr>
                <w:rFonts w:hint="cs"/>
                <w:b/>
                <w:bCs/>
                <w:sz w:val="16"/>
                <w:szCs w:val="16"/>
                <w:rtl/>
              </w:rPr>
              <w:t>התקופה</w:t>
            </w:r>
            <w:r w:rsidR="00E55B85" w:rsidRPr="00FC7F53">
              <w:rPr>
                <w:rFonts w:hint="cs"/>
                <w:b/>
                <w:bCs/>
                <w:sz w:val="16"/>
                <w:szCs w:val="16"/>
                <w:rtl/>
              </w:rPr>
              <w:t xml:space="preserve"> </w:t>
            </w:r>
            <w:r w:rsidRPr="00FC7F53">
              <w:rPr>
                <w:rFonts w:hint="cs"/>
                <w:b/>
                <w:bCs/>
                <w:sz w:val="16"/>
                <w:szCs w:val="16"/>
                <w:rtl/>
              </w:rPr>
              <w:t>של האשראי שנמכר, אשר התאגיד הבנקאי נותן עבורו שירות</w:t>
            </w:r>
          </w:p>
        </w:tc>
        <w:tc>
          <w:tcPr>
            <w:tcW w:w="785" w:type="dxa"/>
            <w:vAlign w:val="bottom"/>
          </w:tcPr>
          <w:p w14:paraId="7CFBDA08" w14:textId="77777777" w:rsidR="005068E4" w:rsidRPr="00FC7F53" w:rsidRDefault="005068E4" w:rsidP="000007A5">
            <w:pPr>
              <w:pStyle w:val="-3"/>
              <w:spacing w:line="240" w:lineRule="auto"/>
              <w:ind w:left="-28"/>
              <w:jc w:val="center"/>
              <w:rPr>
                <w:b/>
                <w:bCs/>
                <w:sz w:val="16"/>
                <w:szCs w:val="16"/>
                <w:rtl/>
              </w:rPr>
            </w:pPr>
            <w:r w:rsidRPr="00FC7F53">
              <w:rPr>
                <w:rFonts w:hint="cs"/>
                <w:b/>
                <w:bCs/>
                <w:sz w:val="16"/>
                <w:szCs w:val="16"/>
                <w:rtl/>
              </w:rPr>
              <w:t>אשראי לציבור שנרכש בתקופה</w:t>
            </w:r>
          </w:p>
        </w:tc>
        <w:tc>
          <w:tcPr>
            <w:tcW w:w="1165" w:type="dxa"/>
            <w:vAlign w:val="bottom"/>
          </w:tcPr>
          <w:p w14:paraId="64E84D81" w14:textId="77777777" w:rsidR="005068E4" w:rsidRPr="00FC7F53" w:rsidRDefault="005068E4" w:rsidP="000007A5">
            <w:pPr>
              <w:pStyle w:val="-3"/>
              <w:spacing w:line="240" w:lineRule="auto"/>
              <w:ind w:left="-28"/>
              <w:jc w:val="center"/>
              <w:rPr>
                <w:b/>
                <w:bCs/>
                <w:sz w:val="16"/>
                <w:szCs w:val="16"/>
                <w:rtl/>
              </w:rPr>
            </w:pPr>
            <w:r w:rsidRPr="00FC7F53">
              <w:rPr>
                <w:rFonts w:hint="cs"/>
                <w:b/>
                <w:bCs/>
                <w:sz w:val="16"/>
                <w:szCs w:val="16"/>
                <w:rtl/>
              </w:rPr>
              <w:t>סיכון אשראי חוץ מאזני** שנרכש בתקופה</w:t>
            </w:r>
          </w:p>
        </w:tc>
        <w:tc>
          <w:tcPr>
            <w:tcW w:w="820" w:type="dxa"/>
            <w:vAlign w:val="bottom"/>
          </w:tcPr>
          <w:p w14:paraId="3EF23D95" w14:textId="77777777" w:rsidR="005068E4" w:rsidRPr="00FC7F53" w:rsidRDefault="005068E4" w:rsidP="000007A5">
            <w:pPr>
              <w:pStyle w:val="-3"/>
              <w:spacing w:line="240" w:lineRule="auto"/>
              <w:ind w:left="-28"/>
              <w:jc w:val="center"/>
              <w:rPr>
                <w:b/>
                <w:bCs/>
                <w:sz w:val="16"/>
                <w:szCs w:val="16"/>
                <w:rtl/>
              </w:rPr>
            </w:pPr>
            <w:r w:rsidRPr="00FC7F53">
              <w:rPr>
                <w:rFonts w:hint="cs"/>
                <w:b/>
                <w:bCs/>
                <w:sz w:val="16"/>
                <w:szCs w:val="16"/>
                <w:u w:val="single"/>
                <w:rtl/>
              </w:rPr>
              <w:t>מזה</w:t>
            </w:r>
            <w:r w:rsidRPr="00FC7F53">
              <w:rPr>
                <w:rFonts w:hint="cs"/>
                <w:b/>
                <w:bCs/>
                <w:sz w:val="16"/>
                <w:szCs w:val="16"/>
                <w:rtl/>
              </w:rPr>
              <w:t>: אשראי בעייתי</w:t>
            </w:r>
          </w:p>
        </w:tc>
      </w:tr>
      <w:tr w:rsidR="005068E4" w:rsidRPr="007C7A96" w14:paraId="18D8A036" w14:textId="77777777" w:rsidTr="00400DD1">
        <w:trPr>
          <w:trHeight w:val="259"/>
        </w:trPr>
        <w:tc>
          <w:tcPr>
            <w:tcW w:w="1852" w:type="dxa"/>
          </w:tcPr>
          <w:p w14:paraId="74E26546" w14:textId="77777777" w:rsidR="005068E4" w:rsidRPr="00FC7F53" w:rsidRDefault="005068E4" w:rsidP="00400DD1">
            <w:pPr>
              <w:pStyle w:val="-0"/>
              <w:spacing w:line="240" w:lineRule="auto"/>
              <w:ind w:left="113" w:hanging="113"/>
              <w:rPr>
                <w:b/>
                <w:bCs/>
                <w:color w:val="auto"/>
                <w:sz w:val="17"/>
                <w:szCs w:val="17"/>
                <w:rtl/>
              </w:rPr>
            </w:pPr>
            <w:r w:rsidRPr="00FC7F53">
              <w:rPr>
                <w:rFonts w:hint="cs"/>
                <w:color w:val="auto"/>
                <w:sz w:val="17"/>
                <w:szCs w:val="17"/>
                <w:rtl/>
              </w:rPr>
              <w:t>סך הכל מסחרי*</w:t>
            </w:r>
          </w:p>
        </w:tc>
        <w:tc>
          <w:tcPr>
            <w:tcW w:w="1111" w:type="dxa"/>
            <w:tcBorders>
              <w:top w:val="single" w:sz="4" w:space="0" w:color="auto"/>
            </w:tcBorders>
            <w:vAlign w:val="bottom"/>
          </w:tcPr>
          <w:p w14:paraId="2C541D66" w14:textId="77777777" w:rsidR="005068E4" w:rsidRPr="005068E4" w:rsidRDefault="005068E4" w:rsidP="00400DD1">
            <w:pPr>
              <w:pStyle w:val="-3"/>
              <w:rPr>
                <w:sz w:val="18"/>
                <w:szCs w:val="18"/>
                <w:rtl/>
              </w:rPr>
            </w:pPr>
            <w:r w:rsidRPr="005068E4">
              <w:rPr>
                <w:rFonts w:hint="cs"/>
                <w:sz w:val="18"/>
                <w:szCs w:val="18"/>
                <w:rtl/>
              </w:rPr>
              <w:t xml:space="preserve"> 0</w:t>
            </w:r>
          </w:p>
        </w:tc>
        <w:tc>
          <w:tcPr>
            <w:tcW w:w="1134" w:type="dxa"/>
            <w:tcBorders>
              <w:top w:val="single" w:sz="4" w:space="0" w:color="auto"/>
            </w:tcBorders>
            <w:vAlign w:val="bottom"/>
          </w:tcPr>
          <w:p w14:paraId="31F8AC58" w14:textId="77777777" w:rsidR="005068E4" w:rsidRPr="005068E4" w:rsidRDefault="005068E4" w:rsidP="00400DD1">
            <w:pPr>
              <w:pStyle w:val="-3"/>
              <w:rPr>
                <w:sz w:val="18"/>
                <w:szCs w:val="18"/>
                <w:rtl/>
              </w:rPr>
            </w:pPr>
            <w:r w:rsidRPr="005068E4">
              <w:rPr>
                <w:rFonts w:hint="cs"/>
                <w:sz w:val="18"/>
                <w:szCs w:val="18"/>
                <w:rtl/>
              </w:rPr>
              <w:t xml:space="preserve"> 0</w:t>
            </w:r>
          </w:p>
        </w:tc>
        <w:tc>
          <w:tcPr>
            <w:tcW w:w="712" w:type="dxa"/>
            <w:tcBorders>
              <w:top w:val="single" w:sz="4" w:space="0" w:color="auto"/>
            </w:tcBorders>
            <w:vAlign w:val="bottom"/>
          </w:tcPr>
          <w:p w14:paraId="2BF88117" w14:textId="77777777" w:rsidR="005068E4" w:rsidRPr="005068E4" w:rsidRDefault="005068E4" w:rsidP="00400DD1">
            <w:pPr>
              <w:pStyle w:val="-3"/>
              <w:rPr>
                <w:sz w:val="18"/>
                <w:szCs w:val="18"/>
                <w:rtl/>
              </w:rPr>
            </w:pPr>
            <w:r w:rsidRPr="005068E4">
              <w:rPr>
                <w:rFonts w:hint="cs"/>
                <w:sz w:val="18"/>
                <w:szCs w:val="18"/>
                <w:rtl/>
              </w:rPr>
              <w:t xml:space="preserve"> 0</w:t>
            </w:r>
          </w:p>
        </w:tc>
        <w:tc>
          <w:tcPr>
            <w:tcW w:w="992" w:type="dxa"/>
            <w:tcBorders>
              <w:top w:val="single" w:sz="4" w:space="0" w:color="auto"/>
            </w:tcBorders>
            <w:vAlign w:val="bottom"/>
          </w:tcPr>
          <w:p w14:paraId="777D1004" w14:textId="77777777" w:rsidR="005068E4" w:rsidRPr="005068E4" w:rsidRDefault="005068E4" w:rsidP="00400DD1">
            <w:pPr>
              <w:pStyle w:val="-3"/>
              <w:rPr>
                <w:b/>
                <w:bCs/>
                <w:sz w:val="18"/>
                <w:szCs w:val="18"/>
                <w:rtl/>
              </w:rPr>
            </w:pPr>
            <w:r w:rsidRPr="005068E4">
              <w:rPr>
                <w:rFonts w:hint="cs"/>
                <w:sz w:val="18"/>
                <w:szCs w:val="18"/>
                <w:rtl/>
              </w:rPr>
              <w:t xml:space="preserve"> 0</w:t>
            </w:r>
          </w:p>
        </w:tc>
        <w:tc>
          <w:tcPr>
            <w:tcW w:w="1624" w:type="dxa"/>
            <w:tcBorders>
              <w:top w:val="single" w:sz="4" w:space="0" w:color="auto"/>
            </w:tcBorders>
            <w:vAlign w:val="bottom"/>
          </w:tcPr>
          <w:p w14:paraId="13DC604B" w14:textId="77777777" w:rsidR="005068E4" w:rsidRPr="005068E4" w:rsidRDefault="005068E4" w:rsidP="00400DD1">
            <w:pPr>
              <w:pStyle w:val="-3"/>
              <w:rPr>
                <w:sz w:val="18"/>
                <w:szCs w:val="18"/>
                <w:rtl/>
              </w:rPr>
            </w:pPr>
            <w:r w:rsidRPr="005068E4">
              <w:rPr>
                <w:rFonts w:hint="cs"/>
                <w:sz w:val="18"/>
                <w:szCs w:val="18"/>
                <w:rtl/>
              </w:rPr>
              <w:t xml:space="preserve"> 0</w:t>
            </w:r>
          </w:p>
        </w:tc>
        <w:tc>
          <w:tcPr>
            <w:tcW w:w="785" w:type="dxa"/>
            <w:tcBorders>
              <w:top w:val="single" w:sz="4" w:space="0" w:color="auto"/>
            </w:tcBorders>
            <w:vAlign w:val="bottom"/>
          </w:tcPr>
          <w:p w14:paraId="0866D406" w14:textId="77777777" w:rsidR="005068E4" w:rsidRPr="005068E4" w:rsidRDefault="005068E4" w:rsidP="00400DD1">
            <w:pPr>
              <w:pStyle w:val="-3"/>
              <w:rPr>
                <w:sz w:val="18"/>
                <w:szCs w:val="18"/>
                <w:rtl/>
              </w:rPr>
            </w:pPr>
            <w:r w:rsidRPr="005068E4">
              <w:rPr>
                <w:rFonts w:hint="cs"/>
                <w:sz w:val="18"/>
                <w:szCs w:val="18"/>
                <w:rtl/>
              </w:rPr>
              <w:t xml:space="preserve"> 0</w:t>
            </w:r>
          </w:p>
        </w:tc>
        <w:tc>
          <w:tcPr>
            <w:tcW w:w="1165" w:type="dxa"/>
            <w:tcBorders>
              <w:top w:val="single" w:sz="4" w:space="0" w:color="auto"/>
            </w:tcBorders>
            <w:vAlign w:val="bottom"/>
          </w:tcPr>
          <w:p w14:paraId="6BE09530" w14:textId="77777777" w:rsidR="005068E4" w:rsidRPr="005068E4" w:rsidRDefault="005068E4" w:rsidP="00400DD1">
            <w:pPr>
              <w:pStyle w:val="-3"/>
              <w:rPr>
                <w:sz w:val="18"/>
                <w:szCs w:val="18"/>
                <w:rtl/>
              </w:rPr>
            </w:pPr>
            <w:r w:rsidRPr="005068E4">
              <w:rPr>
                <w:rFonts w:hint="cs"/>
                <w:sz w:val="18"/>
                <w:szCs w:val="18"/>
                <w:rtl/>
              </w:rPr>
              <w:t xml:space="preserve"> 0</w:t>
            </w:r>
          </w:p>
        </w:tc>
        <w:tc>
          <w:tcPr>
            <w:tcW w:w="820" w:type="dxa"/>
            <w:tcBorders>
              <w:top w:val="single" w:sz="4" w:space="0" w:color="auto"/>
            </w:tcBorders>
            <w:vAlign w:val="bottom"/>
          </w:tcPr>
          <w:p w14:paraId="21C83652" w14:textId="77777777" w:rsidR="005068E4" w:rsidRPr="005068E4" w:rsidRDefault="005068E4" w:rsidP="00400DD1">
            <w:pPr>
              <w:pStyle w:val="-3"/>
              <w:rPr>
                <w:sz w:val="18"/>
                <w:szCs w:val="18"/>
                <w:rtl/>
              </w:rPr>
            </w:pPr>
            <w:r w:rsidRPr="005068E4">
              <w:rPr>
                <w:rFonts w:hint="cs"/>
                <w:sz w:val="18"/>
                <w:szCs w:val="18"/>
                <w:rtl/>
              </w:rPr>
              <w:t xml:space="preserve"> 0</w:t>
            </w:r>
          </w:p>
        </w:tc>
      </w:tr>
      <w:tr w:rsidR="005068E4" w:rsidRPr="007C7A96" w14:paraId="10797823" w14:textId="77777777" w:rsidTr="00400DD1">
        <w:trPr>
          <w:trHeight w:val="259"/>
        </w:trPr>
        <w:tc>
          <w:tcPr>
            <w:tcW w:w="1852" w:type="dxa"/>
          </w:tcPr>
          <w:p w14:paraId="498708D7" w14:textId="77777777" w:rsidR="005068E4" w:rsidRPr="00FC7F53" w:rsidRDefault="005068E4" w:rsidP="00400DD1">
            <w:pPr>
              <w:pStyle w:val="-21"/>
              <w:ind w:left="113" w:hanging="113"/>
              <w:rPr>
                <w:b/>
                <w:bCs/>
                <w:color w:val="auto"/>
                <w:sz w:val="17"/>
                <w:szCs w:val="17"/>
                <w:rtl/>
              </w:rPr>
            </w:pPr>
            <w:r w:rsidRPr="00FC7F53">
              <w:rPr>
                <w:rFonts w:hint="cs"/>
                <w:color w:val="auto"/>
                <w:sz w:val="17"/>
                <w:szCs w:val="17"/>
                <w:rtl/>
              </w:rPr>
              <w:t xml:space="preserve">אנשים פרטיים - הלוואות </w:t>
            </w:r>
            <w:r>
              <w:rPr>
                <w:rFonts w:hint="cs"/>
                <w:color w:val="auto"/>
                <w:sz w:val="17"/>
                <w:szCs w:val="17"/>
                <w:rtl/>
              </w:rPr>
              <w:t>ל</w:t>
            </w:r>
            <w:r w:rsidRPr="00FC7F53">
              <w:rPr>
                <w:rFonts w:hint="cs"/>
                <w:color w:val="auto"/>
                <w:sz w:val="17"/>
                <w:szCs w:val="17"/>
                <w:rtl/>
              </w:rPr>
              <w:t>דיור</w:t>
            </w:r>
          </w:p>
        </w:tc>
        <w:tc>
          <w:tcPr>
            <w:tcW w:w="1111" w:type="dxa"/>
            <w:vAlign w:val="bottom"/>
          </w:tcPr>
          <w:p w14:paraId="5C6AF60C" w14:textId="77777777" w:rsidR="005068E4" w:rsidRPr="005068E4" w:rsidRDefault="005068E4" w:rsidP="00400DD1">
            <w:pPr>
              <w:pStyle w:val="-3"/>
              <w:rPr>
                <w:sz w:val="18"/>
                <w:szCs w:val="18"/>
                <w:rtl/>
              </w:rPr>
            </w:pPr>
            <w:r w:rsidRPr="005068E4">
              <w:rPr>
                <w:rFonts w:hint="cs"/>
                <w:sz w:val="18"/>
                <w:szCs w:val="18"/>
                <w:rtl/>
              </w:rPr>
              <w:t xml:space="preserve"> 0</w:t>
            </w:r>
          </w:p>
        </w:tc>
        <w:tc>
          <w:tcPr>
            <w:tcW w:w="1134" w:type="dxa"/>
            <w:vAlign w:val="bottom"/>
          </w:tcPr>
          <w:p w14:paraId="0E6E1150" w14:textId="77777777" w:rsidR="005068E4" w:rsidRPr="005068E4" w:rsidRDefault="005068E4" w:rsidP="00400DD1">
            <w:pPr>
              <w:pStyle w:val="-3"/>
              <w:rPr>
                <w:sz w:val="18"/>
                <w:szCs w:val="18"/>
                <w:rtl/>
              </w:rPr>
            </w:pPr>
            <w:r w:rsidRPr="005068E4">
              <w:rPr>
                <w:rFonts w:hint="cs"/>
                <w:sz w:val="18"/>
                <w:szCs w:val="18"/>
                <w:rtl/>
              </w:rPr>
              <w:t xml:space="preserve"> 0</w:t>
            </w:r>
          </w:p>
        </w:tc>
        <w:tc>
          <w:tcPr>
            <w:tcW w:w="712" w:type="dxa"/>
            <w:vAlign w:val="bottom"/>
          </w:tcPr>
          <w:p w14:paraId="2F9AF392" w14:textId="77777777" w:rsidR="005068E4" w:rsidRPr="005068E4" w:rsidRDefault="005068E4" w:rsidP="00400DD1">
            <w:pPr>
              <w:pStyle w:val="-3"/>
              <w:rPr>
                <w:sz w:val="18"/>
                <w:szCs w:val="18"/>
                <w:rtl/>
              </w:rPr>
            </w:pPr>
            <w:r w:rsidRPr="005068E4">
              <w:rPr>
                <w:rFonts w:hint="cs"/>
                <w:sz w:val="18"/>
                <w:szCs w:val="18"/>
                <w:rtl/>
              </w:rPr>
              <w:t xml:space="preserve"> 0</w:t>
            </w:r>
          </w:p>
        </w:tc>
        <w:tc>
          <w:tcPr>
            <w:tcW w:w="992" w:type="dxa"/>
            <w:vAlign w:val="bottom"/>
          </w:tcPr>
          <w:p w14:paraId="667EE2C8" w14:textId="77777777" w:rsidR="005068E4" w:rsidRPr="005068E4" w:rsidRDefault="005068E4" w:rsidP="00400DD1">
            <w:pPr>
              <w:pStyle w:val="-3"/>
              <w:rPr>
                <w:b/>
                <w:bCs/>
                <w:sz w:val="18"/>
                <w:szCs w:val="18"/>
                <w:rtl/>
              </w:rPr>
            </w:pPr>
            <w:r w:rsidRPr="005068E4">
              <w:rPr>
                <w:rFonts w:hint="cs"/>
                <w:sz w:val="18"/>
                <w:szCs w:val="18"/>
                <w:rtl/>
              </w:rPr>
              <w:t xml:space="preserve"> 0</w:t>
            </w:r>
          </w:p>
        </w:tc>
        <w:tc>
          <w:tcPr>
            <w:tcW w:w="1624" w:type="dxa"/>
            <w:vAlign w:val="bottom"/>
          </w:tcPr>
          <w:p w14:paraId="2CCEFC15" w14:textId="77777777" w:rsidR="005068E4" w:rsidRPr="005068E4" w:rsidRDefault="005068E4" w:rsidP="00400DD1">
            <w:pPr>
              <w:pStyle w:val="-3"/>
              <w:rPr>
                <w:sz w:val="18"/>
                <w:szCs w:val="18"/>
                <w:rtl/>
              </w:rPr>
            </w:pPr>
            <w:r w:rsidRPr="005068E4">
              <w:rPr>
                <w:rFonts w:hint="cs"/>
                <w:sz w:val="18"/>
                <w:szCs w:val="18"/>
                <w:rtl/>
              </w:rPr>
              <w:t xml:space="preserve"> 0</w:t>
            </w:r>
          </w:p>
        </w:tc>
        <w:tc>
          <w:tcPr>
            <w:tcW w:w="785" w:type="dxa"/>
            <w:vAlign w:val="bottom"/>
          </w:tcPr>
          <w:p w14:paraId="1BA97AE9" w14:textId="77777777" w:rsidR="005068E4" w:rsidRPr="005068E4" w:rsidRDefault="005068E4" w:rsidP="00400DD1">
            <w:pPr>
              <w:pStyle w:val="-3"/>
              <w:rPr>
                <w:sz w:val="18"/>
                <w:szCs w:val="18"/>
                <w:rtl/>
              </w:rPr>
            </w:pPr>
            <w:r w:rsidRPr="005068E4">
              <w:rPr>
                <w:rFonts w:hint="cs"/>
                <w:sz w:val="18"/>
                <w:szCs w:val="18"/>
                <w:rtl/>
              </w:rPr>
              <w:t xml:space="preserve"> 0</w:t>
            </w:r>
          </w:p>
        </w:tc>
        <w:tc>
          <w:tcPr>
            <w:tcW w:w="1165" w:type="dxa"/>
            <w:vAlign w:val="bottom"/>
          </w:tcPr>
          <w:p w14:paraId="4FDD08D9" w14:textId="77777777" w:rsidR="005068E4" w:rsidRPr="005068E4" w:rsidRDefault="005068E4" w:rsidP="00400DD1">
            <w:pPr>
              <w:pStyle w:val="-3"/>
              <w:rPr>
                <w:sz w:val="18"/>
                <w:szCs w:val="18"/>
                <w:rtl/>
              </w:rPr>
            </w:pPr>
            <w:r w:rsidRPr="005068E4">
              <w:rPr>
                <w:rFonts w:hint="cs"/>
                <w:sz w:val="18"/>
                <w:szCs w:val="18"/>
                <w:rtl/>
              </w:rPr>
              <w:t xml:space="preserve"> 0</w:t>
            </w:r>
          </w:p>
        </w:tc>
        <w:tc>
          <w:tcPr>
            <w:tcW w:w="820" w:type="dxa"/>
            <w:vAlign w:val="bottom"/>
          </w:tcPr>
          <w:p w14:paraId="6DA93C41" w14:textId="77777777" w:rsidR="005068E4" w:rsidRPr="005068E4" w:rsidRDefault="005068E4" w:rsidP="00400DD1">
            <w:pPr>
              <w:pStyle w:val="-3"/>
              <w:rPr>
                <w:sz w:val="18"/>
                <w:szCs w:val="18"/>
                <w:rtl/>
              </w:rPr>
            </w:pPr>
            <w:r w:rsidRPr="005068E4">
              <w:rPr>
                <w:rFonts w:hint="cs"/>
                <w:sz w:val="18"/>
                <w:szCs w:val="18"/>
                <w:rtl/>
              </w:rPr>
              <w:t xml:space="preserve"> 0</w:t>
            </w:r>
          </w:p>
        </w:tc>
      </w:tr>
      <w:tr w:rsidR="005068E4" w:rsidRPr="007C7A96" w14:paraId="26325D7A" w14:textId="77777777" w:rsidTr="00400DD1">
        <w:trPr>
          <w:trHeight w:val="259"/>
        </w:trPr>
        <w:tc>
          <w:tcPr>
            <w:tcW w:w="1852" w:type="dxa"/>
          </w:tcPr>
          <w:p w14:paraId="1F028732" w14:textId="77777777" w:rsidR="005068E4" w:rsidRPr="00FC7F53" w:rsidRDefault="005068E4" w:rsidP="00400DD1">
            <w:pPr>
              <w:pStyle w:val="-0"/>
              <w:spacing w:line="240" w:lineRule="auto"/>
              <w:ind w:left="113" w:hanging="113"/>
              <w:rPr>
                <w:b/>
                <w:bCs/>
                <w:color w:val="auto"/>
                <w:sz w:val="17"/>
                <w:szCs w:val="17"/>
                <w:rtl/>
              </w:rPr>
            </w:pPr>
            <w:r w:rsidRPr="00FC7F53">
              <w:rPr>
                <w:rFonts w:hint="cs"/>
                <w:color w:val="auto"/>
                <w:sz w:val="17"/>
                <w:szCs w:val="17"/>
                <w:rtl/>
              </w:rPr>
              <w:t>אנשים פרטיים - אחר</w:t>
            </w:r>
          </w:p>
        </w:tc>
        <w:tc>
          <w:tcPr>
            <w:tcW w:w="1111" w:type="dxa"/>
            <w:vAlign w:val="bottom"/>
          </w:tcPr>
          <w:p w14:paraId="3F0950A5" w14:textId="77777777" w:rsidR="005068E4" w:rsidRPr="005068E4" w:rsidRDefault="005068E4" w:rsidP="00400DD1">
            <w:pPr>
              <w:pStyle w:val="-3"/>
              <w:pBdr>
                <w:bottom w:val="single" w:sz="4" w:space="1" w:color="auto"/>
              </w:pBdr>
              <w:rPr>
                <w:sz w:val="18"/>
                <w:szCs w:val="18"/>
                <w:rtl/>
              </w:rPr>
            </w:pPr>
            <w:r w:rsidRPr="005068E4">
              <w:rPr>
                <w:rFonts w:hint="cs"/>
                <w:sz w:val="18"/>
                <w:szCs w:val="18"/>
                <w:rtl/>
              </w:rPr>
              <w:t xml:space="preserve"> 0</w:t>
            </w:r>
          </w:p>
        </w:tc>
        <w:tc>
          <w:tcPr>
            <w:tcW w:w="1134" w:type="dxa"/>
            <w:vAlign w:val="bottom"/>
          </w:tcPr>
          <w:p w14:paraId="6367AEB8" w14:textId="77777777" w:rsidR="005068E4" w:rsidRPr="005068E4" w:rsidRDefault="005068E4" w:rsidP="00400DD1">
            <w:pPr>
              <w:pStyle w:val="-3"/>
              <w:pBdr>
                <w:bottom w:val="single" w:sz="4" w:space="1" w:color="auto"/>
              </w:pBdr>
              <w:rPr>
                <w:sz w:val="18"/>
                <w:szCs w:val="18"/>
                <w:rtl/>
              </w:rPr>
            </w:pPr>
            <w:r w:rsidRPr="005068E4">
              <w:rPr>
                <w:rFonts w:hint="cs"/>
                <w:sz w:val="18"/>
                <w:szCs w:val="18"/>
                <w:rtl/>
              </w:rPr>
              <w:t xml:space="preserve"> 0</w:t>
            </w:r>
          </w:p>
        </w:tc>
        <w:tc>
          <w:tcPr>
            <w:tcW w:w="712" w:type="dxa"/>
            <w:vAlign w:val="bottom"/>
          </w:tcPr>
          <w:p w14:paraId="1BA6AE73" w14:textId="77777777" w:rsidR="005068E4" w:rsidRPr="005068E4" w:rsidRDefault="005068E4" w:rsidP="00400DD1">
            <w:pPr>
              <w:pStyle w:val="-3"/>
              <w:pBdr>
                <w:bottom w:val="single" w:sz="4" w:space="1" w:color="auto"/>
              </w:pBdr>
              <w:rPr>
                <w:sz w:val="18"/>
                <w:szCs w:val="18"/>
                <w:rtl/>
              </w:rPr>
            </w:pPr>
            <w:r w:rsidRPr="005068E4">
              <w:rPr>
                <w:rFonts w:hint="cs"/>
                <w:sz w:val="18"/>
                <w:szCs w:val="18"/>
                <w:rtl/>
              </w:rPr>
              <w:t xml:space="preserve"> 0</w:t>
            </w:r>
          </w:p>
        </w:tc>
        <w:tc>
          <w:tcPr>
            <w:tcW w:w="992" w:type="dxa"/>
            <w:vAlign w:val="bottom"/>
          </w:tcPr>
          <w:p w14:paraId="647F30F1" w14:textId="77777777" w:rsidR="005068E4" w:rsidRPr="005068E4" w:rsidRDefault="005068E4" w:rsidP="00400DD1">
            <w:pPr>
              <w:pStyle w:val="-3"/>
              <w:pBdr>
                <w:bottom w:val="single" w:sz="4" w:space="1" w:color="auto"/>
              </w:pBdr>
              <w:rPr>
                <w:b/>
                <w:bCs/>
                <w:sz w:val="18"/>
                <w:szCs w:val="18"/>
                <w:rtl/>
              </w:rPr>
            </w:pPr>
            <w:r w:rsidRPr="005068E4">
              <w:rPr>
                <w:rFonts w:hint="cs"/>
                <w:sz w:val="18"/>
                <w:szCs w:val="18"/>
                <w:rtl/>
              </w:rPr>
              <w:t xml:space="preserve"> 0</w:t>
            </w:r>
          </w:p>
        </w:tc>
        <w:tc>
          <w:tcPr>
            <w:tcW w:w="1624" w:type="dxa"/>
            <w:vAlign w:val="bottom"/>
          </w:tcPr>
          <w:p w14:paraId="7E856C1B" w14:textId="77777777" w:rsidR="005068E4" w:rsidRPr="005068E4" w:rsidRDefault="005068E4" w:rsidP="00400DD1">
            <w:pPr>
              <w:pStyle w:val="-3"/>
              <w:pBdr>
                <w:bottom w:val="single" w:sz="4" w:space="1" w:color="auto"/>
              </w:pBdr>
              <w:rPr>
                <w:sz w:val="18"/>
                <w:szCs w:val="18"/>
                <w:rtl/>
              </w:rPr>
            </w:pPr>
            <w:r w:rsidRPr="005068E4">
              <w:rPr>
                <w:rFonts w:hint="cs"/>
                <w:sz w:val="18"/>
                <w:szCs w:val="18"/>
                <w:rtl/>
              </w:rPr>
              <w:t xml:space="preserve"> 0</w:t>
            </w:r>
          </w:p>
        </w:tc>
        <w:tc>
          <w:tcPr>
            <w:tcW w:w="785" w:type="dxa"/>
            <w:vAlign w:val="bottom"/>
          </w:tcPr>
          <w:p w14:paraId="5F9150DA" w14:textId="77777777" w:rsidR="005068E4" w:rsidRPr="005068E4" w:rsidRDefault="005068E4" w:rsidP="00400DD1">
            <w:pPr>
              <w:pStyle w:val="-3"/>
              <w:pBdr>
                <w:bottom w:val="single" w:sz="4" w:space="1" w:color="auto"/>
              </w:pBdr>
              <w:rPr>
                <w:sz w:val="18"/>
                <w:szCs w:val="18"/>
                <w:rtl/>
              </w:rPr>
            </w:pPr>
            <w:r w:rsidRPr="005068E4">
              <w:rPr>
                <w:rFonts w:hint="cs"/>
                <w:sz w:val="18"/>
                <w:szCs w:val="18"/>
                <w:rtl/>
              </w:rPr>
              <w:t xml:space="preserve"> 0</w:t>
            </w:r>
          </w:p>
        </w:tc>
        <w:tc>
          <w:tcPr>
            <w:tcW w:w="1165" w:type="dxa"/>
            <w:vAlign w:val="bottom"/>
          </w:tcPr>
          <w:p w14:paraId="64D79D93" w14:textId="77777777" w:rsidR="005068E4" w:rsidRPr="005068E4" w:rsidRDefault="005068E4" w:rsidP="00400DD1">
            <w:pPr>
              <w:pStyle w:val="-3"/>
              <w:pBdr>
                <w:bottom w:val="single" w:sz="4" w:space="1" w:color="auto"/>
              </w:pBdr>
              <w:rPr>
                <w:sz w:val="18"/>
                <w:szCs w:val="18"/>
                <w:rtl/>
              </w:rPr>
            </w:pPr>
            <w:r w:rsidRPr="005068E4">
              <w:rPr>
                <w:rFonts w:hint="cs"/>
                <w:sz w:val="18"/>
                <w:szCs w:val="18"/>
                <w:rtl/>
              </w:rPr>
              <w:t xml:space="preserve"> 0</w:t>
            </w:r>
          </w:p>
        </w:tc>
        <w:tc>
          <w:tcPr>
            <w:tcW w:w="820" w:type="dxa"/>
            <w:vAlign w:val="bottom"/>
          </w:tcPr>
          <w:p w14:paraId="3EC4FD33" w14:textId="77777777" w:rsidR="005068E4" w:rsidRPr="005068E4" w:rsidRDefault="005068E4" w:rsidP="00400DD1">
            <w:pPr>
              <w:pStyle w:val="-3"/>
              <w:pBdr>
                <w:bottom w:val="single" w:sz="4" w:space="1" w:color="auto"/>
              </w:pBdr>
              <w:rPr>
                <w:sz w:val="18"/>
                <w:szCs w:val="18"/>
                <w:rtl/>
              </w:rPr>
            </w:pPr>
            <w:r w:rsidRPr="005068E4">
              <w:rPr>
                <w:rFonts w:hint="cs"/>
                <w:sz w:val="18"/>
                <w:szCs w:val="18"/>
                <w:rtl/>
              </w:rPr>
              <w:t xml:space="preserve"> 0</w:t>
            </w:r>
          </w:p>
        </w:tc>
      </w:tr>
      <w:tr w:rsidR="005068E4" w:rsidRPr="007C7A96" w14:paraId="0FDECB36" w14:textId="77777777" w:rsidTr="00400DD1">
        <w:trPr>
          <w:trHeight w:val="66"/>
        </w:trPr>
        <w:tc>
          <w:tcPr>
            <w:tcW w:w="1852" w:type="dxa"/>
          </w:tcPr>
          <w:p w14:paraId="7538E3E3" w14:textId="77777777" w:rsidR="005068E4" w:rsidRPr="005068E4" w:rsidRDefault="005068E4" w:rsidP="00400DD1">
            <w:pPr>
              <w:pStyle w:val="-b"/>
              <w:ind w:left="113" w:hanging="113"/>
              <w:rPr>
                <w:b w:val="0"/>
                <w:bCs w:val="0"/>
                <w:color w:val="auto"/>
                <w:sz w:val="17"/>
                <w:szCs w:val="17"/>
                <w:rtl/>
              </w:rPr>
            </w:pPr>
            <w:r w:rsidRPr="005068E4">
              <w:rPr>
                <w:rFonts w:hint="cs"/>
                <w:b w:val="0"/>
                <w:bCs w:val="0"/>
                <w:color w:val="auto"/>
                <w:sz w:val="17"/>
                <w:szCs w:val="17"/>
                <w:rtl/>
              </w:rPr>
              <w:t>סך הכל סיכון אשראי לציבור</w:t>
            </w:r>
          </w:p>
        </w:tc>
        <w:tc>
          <w:tcPr>
            <w:tcW w:w="1111" w:type="dxa"/>
            <w:vAlign w:val="bottom"/>
          </w:tcPr>
          <w:p w14:paraId="228B821D" w14:textId="77777777" w:rsidR="005068E4" w:rsidRPr="005068E4" w:rsidRDefault="005068E4"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1134" w:type="dxa"/>
            <w:vAlign w:val="bottom"/>
          </w:tcPr>
          <w:p w14:paraId="5D0B55BF" w14:textId="77777777" w:rsidR="005068E4" w:rsidRPr="005068E4" w:rsidRDefault="005068E4"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712" w:type="dxa"/>
            <w:vAlign w:val="bottom"/>
          </w:tcPr>
          <w:p w14:paraId="16E5579B" w14:textId="77777777" w:rsidR="005068E4" w:rsidRPr="005068E4" w:rsidRDefault="005068E4"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992" w:type="dxa"/>
            <w:vAlign w:val="bottom"/>
          </w:tcPr>
          <w:p w14:paraId="775E9944" w14:textId="77777777" w:rsidR="005068E4" w:rsidRPr="005068E4" w:rsidRDefault="005068E4"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1624" w:type="dxa"/>
            <w:vAlign w:val="bottom"/>
          </w:tcPr>
          <w:p w14:paraId="032ABC3E" w14:textId="77777777" w:rsidR="005068E4" w:rsidRPr="005068E4" w:rsidRDefault="005068E4"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785" w:type="dxa"/>
            <w:vAlign w:val="bottom"/>
          </w:tcPr>
          <w:p w14:paraId="198457CA" w14:textId="77777777" w:rsidR="005068E4" w:rsidRPr="005068E4" w:rsidRDefault="005068E4"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1165" w:type="dxa"/>
            <w:vAlign w:val="bottom"/>
          </w:tcPr>
          <w:p w14:paraId="05289BE2" w14:textId="77777777" w:rsidR="005068E4" w:rsidRPr="005068E4" w:rsidRDefault="005068E4"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820" w:type="dxa"/>
            <w:vAlign w:val="bottom"/>
          </w:tcPr>
          <w:p w14:paraId="01F0D9C3" w14:textId="77777777" w:rsidR="005068E4" w:rsidRPr="005068E4" w:rsidRDefault="005068E4"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r>
    </w:tbl>
    <w:p w14:paraId="138E318D" w14:textId="34B4A64D" w:rsidR="00480E52" w:rsidRDefault="00480E52" w:rsidP="00480E52">
      <w:pPr>
        <w:rPr>
          <w:sz w:val="18"/>
          <w:szCs w:val="18"/>
          <w:rtl/>
        </w:rPr>
      </w:pPr>
    </w:p>
    <w:p w14:paraId="29D93CC9" w14:textId="77777777" w:rsidR="00666DC4" w:rsidRDefault="00666DC4" w:rsidP="00480E52">
      <w:pPr>
        <w:rPr>
          <w:sz w:val="18"/>
          <w:szCs w:val="18"/>
          <w:rtl/>
        </w:rPr>
      </w:pPr>
    </w:p>
    <w:tbl>
      <w:tblPr>
        <w:bidiVisual/>
        <w:tblW w:w="4994" w:type="pct"/>
        <w:tblLook w:val="01E0" w:firstRow="1" w:lastRow="1" w:firstColumn="1" w:lastColumn="1" w:noHBand="0" w:noVBand="0"/>
      </w:tblPr>
      <w:tblGrid>
        <w:gridCol w:w="1852"/>
        <w:gridCol w:w="1111"/>
        <w:gridCol w:w="1134"/>
        <w:gridCol w:w="712"/>
        <w:gridCol w:w="992"/>
        <w:gridCol w:w="1624"/>
        <w:gridCol w:w="785"/>
        <w:gridCol w:w="1165"/>
        <w:gridCol w:w="820"/>
      </w:tblGrid>
      <w:tr w:rsidR="005068E4" w:rsidRPr="007C7A96" w14:paraId="6D6DDD6E" w14:textId="77777777" w:rsidTr="00400DD1">
        <w:trPr>
          <w:trHeight w:val="259"/>
        </w:trPr>
        <w:tc>
          <w:tcPr>
            <w:tcW w:w="1852" w:type="dxa"/>
          </w:tcPr>
          <w:p w14:paraId="6132C645" w14:textId="77777777" w:rsidR="005068E4" w:rsidRPr="007C7A96" w:rsidRDefault="005068E4" w:rsidP="00400DD1">
            <w:pPr>
              <w:pStyle w:val="-0"/>
              <w:spacing w:line="240" w:lineRule="auto"/>
              <w:ind w:left="663" w:hanging="231"/>
              <w:rPr>
                <w:color w:val="auto"/>
                <w:sz w:val="18"/>
                <w:szCs w:val="18"/>
                <w:rtl/>
              </w:rPr>
            </w:pPr>
          </w:p>
        </w:tc>
        <w:tc>
          <w:tcPr>
            <w:tcW w:w="8343" w:type="dxa"/>
            <w:gridSpan w:val="8"/>
            <w:vAlign w:val="bottom"/>
          </w:tcPr>
          <w:p w14:paraId="73ED3096" w14:textId="597B9273" w:rsidR="005068E4" w:rsidRPr="00064437" w:rsidRDefault="005068E4" w:rsidP="00400DD1">
            <w:pPr>
              <w:pStyle w:val="-3"/>
              <w:pBdr>
                <w:bottom w:val="single" w:sz="4" w:space="1" w:color="auto"/>
              </w:pBdr>
              <w:spacing w:line="240" w:lineRule="auto"/>
              <w:ind w:left="-28"/>
              <w:jc w:val="center"/>
              <w:rPr>
                <w:b/>
                <w:bCs/>
                <w:sz w:val="19"/>
                <w:szCs w:val="19"/>
                <w:rtl/>
              </w:rPr>
            </w:pPr>
            <w:r>
              <w:rPr>
                <w:rFonts w:hint="cs"/>
                <w:b/>
                <w:bCs/>
                <w:sz w:val="19"/>
                <w:szCs w:val="19"/>
                <w:rtl/>
              </w:rPr>
              <w:t>בשנה</w:t>
            </w:r>
            <w:r w:rsidRPr="00064437">
              <w:rPr>
                <w:rFonts w:hint="cs"/>
                <w:b/>
                <w:bCs/>
                <w:sz w:val="19"/>
                <w:szCs w:val="19"/>
                <w:rtl/>
              </w:rPr>
              <w:t xml:space="preserve"> שהסתיימ</w:t>
            </w:r>
            <w:r>
              <w:rPr>
                <w:rFonts w:hint="cs"/>
                <w:b/>
                <w:bCs/>
                <w:sz w:val="19"/>
                <w:szCs w:val="19"/>
                <w:rtl/>
              </w:rPr>
              <w:t>ה</w:t>
            </w:r>
            <w:r w:rsidRPr="00064437">
              <w:rPr>
                <w:rFonts w:hint="cs"/>
                <w:b/>
                <w:bCs/>
                <w:sz w:val="19"/>
                <w:szCs w:val="19"/>
                <w:rtl/>
              </w:rPr>
              <w:t xml:space="preserve"> ביום </w:t>
            </w:r>
            <w:r>
              <w:rPr>
                <w:rFonts w:hint="cs"/>
                <w:b/>
                <w:bCs/>
                <w:sz w:val="19"/>
                <w:szCs w:val="19"/>
                <w:rtl/>
              </w:rPr>
              <w:t>31</w:t>
            </w:r>
            <w:r w:rsidRPr="00064437">
              <w:rPr>
                <w:rFonts w:hint="cs"/>
                <w:b/>
                <w:bCs/>
                <w:sz w:val="19"/>
                <w:szCs w:val="19"/>
                <w:rtl/>
              </w:rPr>
              <w:t xml:space="preserve"> </w:t>
            </w:r>
            <w:r>
              <w:rPr>
                <w:rFonts w:hint="cs"/>
                <w:b/>
                <w:bCs/>
                <w:sz w:val="19"/>
                <w:szCs w:val="19"/>
                <w:rtl/>
              </w:rPr>
              <w:t>בדצמבר</w:t>
            </w:r>
            <w:r w:rsidRPr="00064437">
              <w:rPr>
                <w:rFonts w:hint="cs"/>
                <w:b/>
                <w:bCs/>
                <w:sz w:val="19"/>
                <w:szCs w:val="19"/>
                <w:rtl/>
              </w:rPr>
              <w:t xml:space="preserve"> </w:t>
            </w:r>
            <w:r w:rsidRPr="00064437">
              <w:rPr>
                <w:b/>
                <w:bCs/>
                <w:sz w:val="19"/>
                <w:szCs w:val="19"/>
                <w:rtl/>
              </w:rPr>
              <w:fldChar w:fldCharType="begin"/>
            </w:r>
            <w:r w:rsidRPr="00064437">
              <w:rPr>
                <w:b/>
                <w:bCs/>
                <w:sz w:val="19"/>
                <w:szCs w:val="19"/>
                <w:rtl/>
              </w:rPr>
              <w:instrText xml:space="preserve"> </w:instrText>
            </w:r>
            <w:r w:rsidRPr="00064437">
              <w:rPr>
                <w:rFonts w:hint="cs"/>
                <w:b/>
                <w:bCs/>
                <w:sz w:val="19"/>
                <w:szCs w:val="19"/>
                <w:rtl/>
              </w:rPr>
              <w:instrText xml:space="preserve">= </w:instrText>
            </w:r>
            <w:r w:rsidRPr="00064437">
              <w:rPr>
                <w:rFonts w:hint="cs"/>
                <w:b/>
                <w:bCs/>
                <w:sz w:val="19"/>
                <w:szCs w:val="19"/>
              </w:rPr>
              <w:instrText>CY</w:instrText>
            </w:r>
            <w:r w:rsidRPr="00064437">
              <w:rPr>
                <w:b/>
                <w:bCs/>
                <w:sz w:val="19"/>
                <w:szCs w:val="19"/>
              </w:rPr>
              <w:instrText>-1</w:instrText>
            </w:r>
            <w:r w:rsidRPr="00064437">
              <w:rPr>
                <w:rFonts w:hint="cs"/>
                <w:b/>
                <w:bCs/>
                <w:sz w:val="19"/>
                <w:szCs w:val="19"/>
              </w:rPr>
              <w:instrText xml:space="preserve"> \* MERGEFORMAT</w:instrText>
            </w:r>
            <w:r w:rsidRPr="00064437">
              <w:rPr>
                <w:b/>
                <w:bCs/>
                <w:sz w:val="19"/>
                <w:szCs w:val="19"/>
                <w:rtl/>
              </w:rPr>
              <w:instrText xml:space="preserve"> </w:instrText>
            </w:r>
            <w:r w:rsidRPr="00064437">
              <w:rPr>
                <w:b/>
                <w:bCs/>
                <w:sz w:val="19"/>
                <w:szCs w:val="19"/>
                <w:rtl/>
              </w:rPr>
              <w:fldChar w:fldCharType="separate"/>
            </w:r>
            <w:r w:rsidR="003A584F">
              <w:rPr>
                <w:b/>
                <w:bCs/>
                <w:noProof/>
                <w:sz w:val="19"/>
                <w:szCs w:val="19"/>
                <w:rtl/>
              </w:rPr>
              <w:t>2023</w:t>
            </w:r>
            <w:r w:rsidRPr="00064437">
              <w:rPr>
                <w:b/>
                <w:bCs/>
                <w:sz w:val="19"/>
                <w:szCs w:val="19"/>
                <w:rtl/>
              </w:rPr>
              <w:fldChar w:fldCharType="end"/>
            </w:r>
            <w:r w:rsidRPr="00064437">
              <w:rPr>
                <w:rFonts w:hint="cs"/>
                <w:sz w:val="19"/>
                <w:szCs w:val="19"/>
                <w:rtl/>
              </w:rPr>
              <w:t xml:space="preserve">  </w:t>
            </w:r>
            <w:r w:rsidRPr="001F0989">
              <w:rPr>
                <w:rFonts w:hint="cs"/>
                <w:sz w:val="19"/>
                <w:szCs w:val="19"/>
                <w:rtl/>
              </w:rPr>
              <w:t>(מבוקר)</w:t>
            </w:r>
          </w:p>
        </w:tc>
      </w:tr>
      <w:tr w:rsidR="005068E4" w:rsidRPr="007C7A96" w14:paraId="6F68AA00" w14:textId="77777777" w:rsidTr="000007A5">
        <w:trPr>
          <w:trHeight w:val="259"/>
        </w:trPr>
        <w:tc>
          <w:tcPr>
            <w:tcW w:w="1852" w:type="dxa"/>
          </w:tcPr>
          <w:p w14:paraId="2AD4B761" w14:textId="77777777" w:rsidR="005068E4" w:rsidRPr="007C7A96" w:rsidRDefault="005068E4" w:rsidP="00400DD1">
            <w:pPr>
              <w:pStyle w:val="-0"/>
              <w:spacing w:line="240" w:lineRule="auto"/>
              <w:ind w:left="663" w:hanging="231"/>
              <w:rPr>
                <w:color w:val="auto"/>
                <w:sz w:val="18"/>
                <w:szCs w:val="18"/>
                <w:rtl/>
              </w:rPr>
            </w:pPr>
          </w:p>
        </w:tc>
        <w:tc>
          <w:tcPr>
            <w:tcW w:w="5573" w:type="dxa"/>
            <w:gridSpan w:val="5"/>
            <w:vAlign w:val="bottom"/>
          </w:tcPr>
          <w:p w14:paraId="3D8BC5CD" w14:textId="77777777" w:rsidR="005068E4" w:rsidRPr="00064437" w:rsidRDefault="005068E4" w:rsidP="00400DD1">
            <w:pPr>
              <w:pStyle w:val="-3"/>
              <w:pBdr>
                <w:bottom w:val="single" w:sz="4" w:space="1" w:color="auto"/>
              </w:pBdr>
              <w:spacing w:line="240" w:lineRule="auto"/>
              <w:ind w:left="-28"/>
              <w:jc w:val="center"/>
              <w:rPr>
                <w:b/>
                <w:bCs/>
                <w:sz w:val="18"/>
                <w:szCs w:val="18"/>
                <w:rtl/>
              </w:rPr>
            </w:pPr>
            <w:r w:rsidRPr="00064437">
              <w:rPr>
                <w:rFonts w:hint="cs"/>
                <w:b/>
                <w:bCs/>
                <w:sz w:val="18"/>
                <w:szCs w:val="18"/>
                <w:rtl/>
              </w:rPr>
              <w:t>סיכון אשראי לציבור שנמכר</w:t>
            </w:r>
          </w:p>
        </w:tc>
        <w:tc>
          <w:tcPr>
            <w:tcW w:w="2770" w:type="dxa"/>
            <w:gridSpan w:val="3"/>
            <w:vAlign w:val="bottom"/>
          </w:tcPr>
          <w:p w14:paraId="363020D7" w14:textId="77777777" w:rsidR="005068E4" w:rsidRPr="00064437" w:rsidRDefault="005068E4" w:rsidP="00400DD1">
            <w:pPr>
              <w:pStyle w:val="-3"/>
              <w:pBdr>
                <w:bottom w:val="single" w:sz="4" w:space="1" w:color="auto"/>
              </w:pBdr>
              <w:spacing w:line="240" w:lineRule="auto"/>
              <w:ind w:left="-28"/>
              <w:jc w:val="center"/>
              <w:rPr>
                <w:b/>
                <w:bCs/>
                <w:sz w:val="18"/>
                <w:szCs w:val="18"/>
                <w:rtl/>
              </w:rPr>
            </w:pPr>
            <w:r w:rsidRPr="00064437">
              <w:rPr>
                <w:rFonts w:hint="cs"/>
                <w:b/>
                <w:bCs/>
                <w:sz w:val="18"/>
                <w:szCs w:val="18"/>
                <w:rtl/>
              </w:rPr>
              <w:t xml:space="preserve">סיכון אשראי </w:t>
            </w:r>
            <w:r w:rsidRPr="00064437">
              <w:rPr>
                <w:b/>
                <w:bCs/>
                <w:sz w:val="18"/>
                <w:szCs w:val="18"/>
                <w:rtl/>
              </w:rPr>
              <w:br/>
            </w:r>
            <w:r w:rsidRPr="00064437">
              <w:rPr>
                <w:rFonts w:hint="cs"/>
                <w:b/>
                <w:bCs/>
                <w:sz w:val="18"/>
                <w:szCs w:val="18"/>
                <w:rtl/>
              </w:rPr>
              <w:t>לציבור שנרכש</w:t>
            </w:r>
          </w:p>
        </w:tc>
      </w:tr>
      <w:tr w:rsidR="005068E4" w:rsidRPr="007C7A96" w14:paraId="1879E5BD" w14:textId="77777777" w:rsidTr="00400DD1">
        <w:trPr>
          <w:trHeight w:val="259"/>
        </w:trPr>
        <w:tc>
          <w:tcPr>
            <w:tcW w:w="1852" w:type="dxa"/>
          </w:tcPr>
          <w:p w14:paraId="1D4EB04C" w14:textId="77777777" w:rsidR="005068E4" w:rsidRPr="007C7A96" w:rsidRDefault="005068E4" w:rsidP="00400DD1">
            <w:pPr>
              <w:pStyle w:val="-0"/>
              <w:spacing w:line="240" w:lineRule="auto"/>
              <w:ind w:left="663" w:hanging="231"/>
              <w:rPr>
                <w:color w:val="auto"/>
                <w:sz w:val="18"/>
                <w:szCs w:val="18"/>
                <w:rtl/>
              </w:rPr>
            </w:pPr>
          </w:p>
        </w:tc>
        <w:tc>
          <w:tcPr>
            <w:tcW w:w="1111" w:type="dxa"/>
            <w:vAlign w:val="bottom"/>
          </w:tcPr>
          <w:p w14:paraId="6ECE1578" w14:textId="77777777" w:rsidR="005068E4" w:rsidRPr="00FC7F53" w:rsidRDefault="005068E4" w:rsidP="000007A5">
            <w:pPr>
              <w:pStyle w:val="-3"/>
              <w:spacing w:line="240" w:lineRule="auto"/>
              <w:ind w:left="-28"/>
              <w:jc w:val="center"/>
              <w:rPr>
                <w:b/>
                <w:bCs/>
                <w:sz w:val="16"/>
                <w:szCs w:val="16"/>
                <w:rtl/>
              </w:rPr>
            </w:pPr>
            <w:r w:rsidRPr="00FC7F53">
              <w:rPr>
                <w:rFonts w:hint="cs"/>
                <w:b/>
                <w:bCs/>
                <w:sz w:val="16"/>
                <w:szCs w:val="16"/>
                <w:rtl/>
              </w:rPr>
              <w:t>אשראי לציבור שנמכר בתקופה</w:t>
            </w:r>
          </w:p>
        </w:tc>
        <w:tc>
          <w:tcPr>
            <w:tcW w:w="1134" w:type="dxa"/>
            <w:vAlign w:val="bottom"/>
          </w:tcPr>
          <w:p w14:paraId="731A8FD5" w14:textId="77777777" w:rsidR="005068E4" w:rsidRPr="00FC7F53" w:rsidRDefault="005068E4" w:rsidP="000007A5">
            <w:pPr>
              <w:pStyle w:val="-3"/>
              <w:spacing w:line="240" w:lineRule="auto"/>
              <w:ind w:left="-28"/>
              <w:jc w:val="center"/>
              <w:rPr>
                <w:b/>
                <w:bCs/>
                <w:sz w:val="16"/>
                <w:szCs w:val="16"/>
                <w:rtl/>
              </w:rPr>
            </w:pPr>
            <w:r w:rsidRPr="00FC7F53">
              <w:rPr>
                <w:rFonts w:hint="cs"/>
                <w:b/>
                <w:bCs/>
                <w:sz w:val="16"/>
                <w:szCs w:val="16"/>
                <w:rtl/>
              </w:rPr>
              <w:t>סיכון אשראי חוץ מאזני** שנמכר בתקופה</w:t>
            </w:r>
          </w:p>
        </w:tc>
        <w:tc>
          <w:tcPr>
            <w:tcW w:w="712" w:type="dxa"/>
            <w:vAlign w:val="bottom"/>
          </w:tcPr>
          <w:p w14:paraId="5D0CC64E" w14:textId="77777777" w:rsidR="005068E4" w:rsidRPr="00FC7F53" w:rsidRDefault="005068E4" w:rsidP="000007A5">
            <w:pPr>
              <w:pStyle w:val="-3"/>
              <w:spacing w:line="240" w:lineRule="auto"/>
              <w:ind w:left="-28"/>
              <w:jc w:val="center"/>
              <w:rPr>
                <w:b/>
                <w:bCs/>
                <w:sz w:val="16"/>
                <w:szCs w:val="16"/>
                <w:rtl/>
              </w:rPr>
            </w:pPr>
            <w:r w:rsidRPr="00FC7F53">
              <w:rPr>
                <w:rFonts w:hint="cs"/>
                <w:b/>
                <w:bCs/>
                <w:sz w:val="16"/>
                <w:szCs w:val="16"/>
                <w:u w:val="single"/>
                <w:rtl/>
              </w:rPr>
              <w:t>מזה</w:t>
            </w:r>
            <w:r w:rsidRPr="00FC7F53">
              <w:rPr>
                <w:rFonts w:hint="cs"/>
                <w:b/>
                <w:bCs/>
                <w:sz w:val="16"/>
                <w:szCs w:val="16"/>
                <w:rtl/>
              </w:rPr>
              <w:t>: אשראי בעייתי</w:t>
            </w:r>
          </w:p>
        </w:tc>
        <w:tc>
          <w:tcPr>
            <w:tcW w:w="992" w:type="dxa"/>
            <w:vAlign w:val="bottom"/>
          </w:tcPr>
          <w:p w14:paraId="4E2075C7" w14:textId="77777777" w:rsidR="005068E4" w:rsidRPr="00FC7F53" w:rsidRDefault="005068E4" w:rsidP="000007A5">
            <w:pPr>
              <w:pStyle w:val="-3"/>
              <w:spacing w:line="240" w:lineRule="auto"/>
              <w:ind w:left="-28"/>
              <w:jc w:val="center"/>
              <w:rPr>
                <w:b/>
                <w:bCs/>
                <w:sz w:val="16"/>
                <w:szCs w:val="16"/>
                <w:rtl/>
              </w:rPr>
            </w:pPr>
            <w:r w:rsidRPr="00FC7F53">
              <w:rPr>
                <w:rFonts w:hint="cs"/>
                <w:b/>
                <w:bCs/>
                <w:sz w:val="16"/>
                <w:szCs w:val="16"/>
                <w:rtl/>
              </w:rPr>
              <w:t>סך הכל רווח (הפסד) בגין אשראי שנמכר</w:t>
            </w:r>
          </w:p>
        </w:tc>
        <w:tc>
          <w:tcPr>
            <w:tcW w:w="1624" w:type="dxa"/>
            <w:vAlign w:val="bottom"/>
          </w:tcPr>
          <w:p w14:paraId="4E532C28" w14:textId="77777777" w:rsidR="005068E4" w:rsidRPr="00FC7F53" w:rsidRDefault="005068E4" w:rsidP="000007A5">
            <w:pPr>
              <w:pStyle w:val="-3"/>
              <w:spacing w:line="240" w:lineRule="auto"/>
              <w:ind w:left="-28"/>
              <w:jc w:val="center"/>
              <w:rPr>
                <w:b/>
                <w:bCs/>
                <w:sz w:val="16"/>
                <w:szCs w:val="16"/>
                <w:rtl/>
              </w:rPr>
            </w:pPr>
            <w:r w:rsidRPr="00FC7F53">
              <w:rPr>
                <w:rFonts w:hint="cs"/>
                <w:b/>
                <w:bCs/>
                <w:sz w:val="16"/>
                <w:szCs w:val="16"/>
                <w:rtl/>
              </w:rPr>
              <w:t>יתרה לסוף שנה של האשראי שנמכר, אשר התאגיד הבנקאי נותן עבורו שירות</w:t>
            </w:r>
          </w:p>
        </w:tc>
        <w:tc>
          <w:tcPr>
            <w:tcW w:w="785" w:type="dxa"/>
            <w:vAlign w:val="bottom"/>
          </w:tcPr>
          <w:p w14:paraId="67D1E4B4" w14:textId="77777777" w:rsidR="005068E4" w:rsidRPr="00FC7F53" w:rsidRDefault="005068E4" w:rsidP="000007A5">
            <w:pPr>
              <w:pStyle w:val="-3"/>
              <w:spacing w:line="240" w:lineRule="auto"/>
              <w:ind w:left="-28"/>
              <w:jc w:val="center"/>
              <w:rPr>
                <w:b/>
                <w:bCs/>
                <w:sz w:val="16"/>
                <w:szCs w:val="16"/>
                <w:rtl/>
              </w:rPr>
            </w:pPr>
            <w:r w:rsidRPr="00FC7F53">
              <w:rPr>
                <w:rFonts w:hint="cs"/>
                <w:b/>
                <w:bCs/>
                <w:sz w:val="16"/>
                <w:szCs w:val="16"/>
                <w:rtl/>
              </w:rPr>
              <w:t>אשראי לציבור שנרכש בתקופה</w:t>
            </w:r>
          </w:p>
        </w:tc>
        <w:tc>
          <w:tcPr>
            <w:tcW w:w="1165" w:type="dxa"/>
            <w:vAlign w:val="bottom"/>
          </w:tcPr>
          <w:p w14:paraId="7A3FB5FD" w14:textId="77777777" w:rsidR="005068E4" w:rsidRPr="00FC7F53" w:rsidRDefault="005068E4" w:rsidP="000007A5">
            <w:pPr>
              <w:pStyle w:val="-3"/>
              <w:spacing w:line="240" w:lineRule="auto"/>
              <w:ind w:left="-28"/>
              <w:jc w:val="center"/>
              <w:rPr>
                <w:b/>
                <w:bCs/>
                <w:sz w:val="16"/>
                <w:szCs w:val="16"/>
                <w:rtl/>
              </w:rPr>
            </w:pPr>
            <w:r w:rsidRPr="00FC7F53">
              <w:rPr>
                <w:rFonts w:hint="cs"/>
                <w:b/>
                <w:bCs/>
                <w:sz w:val="16"/>
                <w:szCs w:val="16"/>
                <w:rtl/>
              </w:rPr>
              <w:t>סיכון אשראי חוץ מאזני** שנרכש בתקופה</w:t>
            </w:r>
          </w:p>
        </w:tc>
        <w:tc>
          <w:tcPr>
            <w:tcW w:w="820" w:type="dxa"/>
            <w:vAlign w:val="bottom"/>
          </w:tcPr>
          <w:p w14:paraId="79359AA0" w14:textId="77777777" w:rsidR="005068E4" w:rsidRPr="00FC7F53" w:rsidRDefault="005068E4" w:rsidP="000007A5">
            <w:pPr>
              <w:pStyle w:val="-3"/>
              <w:spacing w:line="240" w:lineRule="auto"/>
              <w:ind w:left="-28"/>
              <w:jc w:val="center"/>
              <w:rPr>
                <w:b/>
                <w:bCs/>
                <w:sz w:val="16"/>
                <w:szCs w:val="16"/>
                <w:rtl/>
              </w:rPr>
            </w:pPr>
            <w:r w:rsidRPr="00FC7F53">
              <w:rPr>
                <w:rFonts w:hint="cs"/>
                <w:b/>
                <w:bCs/>
                <w:sz w:val="16"/>
                <w:szCs w:val="16"/>
                <w:u w:val="single"/>
                <w:rtl/>
              </w:rPr>
              <w:t>מזה</w:t>
            </w:r>
            <w:r w:rsidRPr="00FC7F53">
              <w:rPr>
                <w:rFonts w:hint="cs"/>
                <w:b/>
                <w:bCs/>
                <w:sz w:val="16"/>
                <w:szCs w:val="16"/>
                <w:rtl/>
              </w:rPr>
              <w:t>: אשראי בעייתי</w:t>
            </w:r>
          </w:p>
        </w:tc>
      </w:tr>
      <w:tr w:rsidR="005068E4" w:rsidRPr="007C7A96" w14:paraId="30AF0098" w14:textId="77777777" w:rsidTr="00400DD1">
        <w:trPr>
          <w:trHeight w:val="259"/>
        </w:trPr>
        <w:tc>
          <w:tcPr>
            <w:tcW w:w="1852" w:type="dxa"/>
          </w:tcPr>
          <w:p w14:paraId="176F2FA5" w14:textId="77777777" w:rsidR="005068E4" w:rsidRPr="00FC7F53" w:rsidRDefault="005068E4" w:rsidP="00400DD1">
            <w:pPr>
              <w:pStyle w:val="-0"/>
              <w:spacing w:line="240" w:lineRule="auto"/>
              <w:ind w:left="113" w:hanging="113"/>
              <w:rPr>
                <w:b/>
                <w:bCs/>
                <w:color w:val="auto"/>
                <w:sz w:val="17"/>
                <w:szCs w:val="17"/>
                <w:rtl/>
              </w:rPr>
            </w:pPr>
            <w:r w:rsidRPr="00FC7F53">
              <w:rPr>
                <w:rFonts w:hint="cs"/>
                <w:color w:val="auto"/>
                <w:sz w:val="17"/>
                <w:szCs w:val="17"/>
                <w:rtl/>
              </w:rPr>
              <w:t>סך הכל מסחרי*</w:t>
            </w:r>
          </w:p>
        </w:tc>
        <w:tc>
          <w:tcPr>
            <w:tcW w:w="1111" w:type="dxa"/>
            <w:tcBorders>
              <w:top w:val="single" w:sz="4" w:space="0" w:color="auto"/>
            </w:tcBorders>
            <w:vAlign w:val="bottom"/>
          </w:tcPr>
          <w:p w14:paraId="1F839852" w14:textId="77777777" w:rsidR="005068E4" w:rsidRPr="005068E4" w:rsidRDefault="005068E4" w:rsidP="00400DD1">
            <w:pPr>
              <w:pStyle w:val="-3"/>
              <w:rPr>
                <w:sz w:val="18"/>
                <w:szCs w:val="18"/>
                <w:rtl/>
              </w:rPr>
            </w:pPr>
            <w:r w:rsidRPr="005068E4">
              <w:rPr>
                <w:rFonts w:hint="cs"/>
                <w:sz w:val="18"/>
                <w:szCs w:val="18"/>
                <w:rtl/>
              </w:rPr>
              <w:t xml:space="preserve"> 0</w:t>
            </w:r>
          </w:p>
        </w:tc>
        <w:tc>
          <w:tcPr>
            <w:tcW w:w="1134" w:type="dxa"/>
            <w:tcBorders>
              <w:top w:val="single" w:sz="4" w:space="0" w:color="auto"/>
            </w:tcBorders>
            <w:vAlign w:val="bottom"/>
          </w:tcPr>
          <w:p w14:paraId="1677514A" w14:textId="77777777" w:rsidR="005068E4" w:rsidRPr="005068E4" w:rsidRDefault="005068E4" w:rsidP="00400DD1">
            <w:pPr>
              <w:pStyle w:val="-3"/>
              <w:rPr>
                <w:sz w:val="18"/>
                <w:szCs w:val="18"/>
                <w:rtl/>
              </w:rPr>
            </w:pPr>
            <w:r w:rsidRPr="005068E4">
              <w:rPr>
                <w:rFonts w:hint="cs"/>
                <w:sz w:val="18"/>
                <w:szCs w:val="18"/>
                <w:rtl/>
              </w:rPr>
              <w:t xml:space="preserve"> 0</w:t>
            </w:r>
          </w:p>
        </w:tc>
        <w:tc>
          <w:tcPr>
            <w:tcW w:w="712" w:type="dxa"/>
            <w:tcBorders>
              <w:top w:val="single" w:sz="4" w:space="0" w:color="auto"/>
            </w:tcBorders>
            <w:vAlign w:val="bottom"/>
          </w:tcPr>
          <w:p w14:paraId="7A765301" w14:textId="77777777" w:rsidR="005068E4" w:rsidRPr="005068E4" w:rsidRDefault="005068E4" w:rsidP="00400DD1">
            <w:pPr>
              <w:pStyle w:val="-3"/>
              <w:rPr>
                <w:sz w:val="18"/>
                <w:szCs w:val="18"/>
                <w:rtl/>
              </w:rPr>
            </w:pPr>
            <w:r w:rsidRPr="005068E4">
              <w:rPr>
                <w:rFonts w:hint="cs"/>
                <w:sz w:val="18"/>
                <w:szCs w:val="18"/>
                <w:rtl/>
              </w:rPr>
              <w:t xml:space="preserve"> 0</w:t>
            </w:r>
          </w:p>
        </w:tc>
        <w:tc>
          <w:tcPr>
            <w:tcW w:w="992" w:type="dxa"/>
            <w:tcBorders>
              <w:top w:val="single" w:sz="4" w:space="0" w:color="auto"/>
            </w:tcBorders>
            <w:vAlign w:val="bottom"/>
          </w:tcPr>
          <w:p w14:paraId="285B4660" w14:textId="77777777" w:rsidR="005068E4" w:rsidRPr="005068E4" w:rsidRDefault="005068E4" w:rsidP="00400DD1">
            <w:pPr>
              <w:pStyle w:val="-3"/>
              <w:rPr>
                <w:b/>
                <w:bCs/>
                <w:sz w:val="18"/>
                <w:szCs w:val="18"/>
                <w:rtl/>
              </w:rPr>
            </w:pPr>
            <w:r w:rsidRPr="005068E4">
              <w:rPr>
                <w:rFonts w:hint="cs"/>
                <w:sz w:val="18"/>
                <w:szCs w:val="18"/>
                <w:rtl/>
              </w:rPr>
              <w:t xml:space="preserve"> 0</w:t>
            </w:r>
          </w:p>
        </w:tc>
        <w:tc>
          <w:tcPr>
            <w:tcW w:w="1624" w:type="dxa"/>
            <w:tcBorders>
              <w:top w:val="single" w:sz="4" w:space="0" w:color="auto"/>
            </w:tcBorders>
            <w:vAlign w:val="bottom"/>
          </w:tcPr>
          <w:p w14:paraId="50A791D6" w14:textId="77777777" w:rsidR="005068E4" w:rsidRPr="005068E4" w:rsidRDefault="005068E4" w:rsidP="00400DD1">
            <w:pPr>
              <w:pStyle w:val="-3"/>
              <w:rPr>
                <w:sz w:val="18"/>
                <w:szCs w:val="18"/>
                <w:rtl/>
              </w:rPr>
            </w:pPr>
            <w:r w:rsidRPr="005068E4">
              <w:rPr>
                <w:rFonts w:hint="cs"/>
                <w:sz w:val="18"/>
                <w:szCs w:val="18"/>
                <w:rtl/>
              </w:rPr>
              <w:t xml:space="preserve"> 0</w:t>
            </w:r>
          </w:p>
        </w:tc>
        <w:tc>
          <w:tcPr>
            <w:tcW w:w="785" w:type="dxa"/>
            <w:tcBorders>
              <w:top w:val="single" w:sz="4" w:space="0" w:color="auto"/>
            </w:tcBorders>
            <w:vAlign w:val="bottom"/>
          </w:tcPr>
          <w:p w14:paraId="4792AB17" w14:textId="77777777" w:rsidR="005068E4" w:rsidRPr="005068E4" w:rsidRDefault="005068E4" w:rsidP="00400DD1">
            <w:pPr>
              <w:pStyle w:val="-3"/>
              <w:rPr>
                <w:sz w:val="18"/>
                <w:szCs w:val="18"/>
                <w:rtl/>
              </w:rPr>
            </w:pPr>
            <w:r w:rsidRPr="005068E4">
              <w:rPr>
                <w:rFonts w:hint="cs"/>
                <w:sz w:val="18"/>
                <w:szCs w:val="18"/>
                <w:rtl/>
              </w:rPr>
              <w:t xml:space="preserve"> 0</w:t>
            </w:r>
          </w:p>
        </w:tc>
        <w:tc>
          <w:tcPr>
            <w:tcW w:w="1165" w:type="dxa"/>
            <w:tcBorders>
              <w:top w:val="single" w:sz="4" w:space="0" w:color="auto"/>
            </w:tcBorders>
            <w:vAlign w:val="bottom"/>
          </w:tcPr>
          <w:p w14:paraId="60BA5DDB" w14:textId="77777777" w:rsidR="005068E4" w:rsidRPr="005068E4" w:rsidRDefault="005068E4" w:rsidP="00400DD1">
            <w:pPr>
              <w:pStyle w:val="-3"/>
              <w:rPr>
                <w:sz w:val="18"/>
                <w:szCs w:val="18"/>
                <w:rtl/>
              </w:rPr>
            </w:pPr>
            <w:r w:rsidRPr="005068E4">
              <w:rPr>
                <w:rFonts w:hint="cs"/>
                <w:sz w:val="18"/>
                <w:szCs w:val="18"/>
                <w:rtl/>
              </w:rPr>
              <w:t xml:space="preserve"> 0</w:t>
            </w:r>
          </w:p>
        </w:tc>
        <w:tc>
          <w:tcPr>
            <w:tcW w:w="820" w:type="dxa"/>
            <w:tcBorders>
              <w:top w:val="single" w:sz="4" w:space="0" w:color="auto"/>
            </w:tcBorders>
            <w:vAlign w:val="bottom"/>
          </w:tcPr>
          <w:p w14:paraId="68AF85DB" w14:textId="77777777" w:rsidR="005068E4" w:rsidRPr="005068E4" w:rsidRDefault="005068E4" w:rsidP="00400DD1">
            <w:pPr>
              <w:pStyle w:val="-3"/>
              <w:rPr>
                <w:sz w:val="18"/>
                <w:szCs w:val="18"/>
                <w:rtl/>
              </w:rPr>
            </w:pPr>
            <w:r w:rsidRPr="005068E4">
              <w:rPr>
                <w:rFonts w:hint="cs"/>
                <w:sz w:val="18"/>
                <w:szCs w:val="18"/>
                <w:rtl/>
              </w:rPr>
              <w:t xml:space="preserve"> 0</w:t>
            </w:r>
          </w:p>
        </w:tc>
      </w:tr>
      <w:tr w:rsidR="005068E4" w:rsidRPr="007C7A96" w14:paraId="47C91B04" w14:textId="77777777" w:rsidTr="00400DD1">
        <w:trPr>
          <w:trHeight w:val="259"/>
        </w:trPr>
        <w:tc>
          <w:tcPr>
            <w:tcW w:w="1852" w:type="dxa"/>
          </w:tcPr>
          <w:p w14:paraId="44B69F7C" w14:textId="77777777" w:rsidR="005068E4" w:rsidRPr="00FC7F53" w:rsidRDefault="005068E4" w:rsidP="00400DD1">
            <w:pPr>
              <w:pStyle w:val="-21"/>
              <w:ind w:left="113" w:hanging="113"/>
              <w:rPr>
                <w:b/>
                <w:bCs/>
                <w:color w:val="auto"/>
                <w:sz w:val="17"/>
                <w:szCs w:val="17"/>
                <w:rtl/>
              </w:rPr>
            </w:pPr>
            <w:r w:rsidRPr="00FC7F53">
              <w:rPr>
                <w:rFonts w:hint="cs"/>
                <w:color w:val="auto"/>
                <w:sz w:val="17"/>
                <w:szCs w:val="17"/>
                <w:rtl/>
              </w:rPr>
              <w:t xml:space="preserve">אנשים פרטיים - הלוואות </w:t>
            </w:r>
            <w:r>
              <w:rPr>
                <w:rFonts w:hint="cs"/>
                <w:color w:val="auto"/>
                <w:sz w:val="17"/>
                <w:szCs w:val="17"/>
                <w:rtl/>
              </w:rPr>
              <w:t>ל</w:t>
            </w:r>
            <w:r w:rsidRPr="00FC7F53">
              <w:rPr>
                <w:rFonts w:hint="cs"/>
                <w:color w:val="auto"/>
                <w:sz w:val="17"/>
                <w:szCs w:val="17"/>
                <w:rtl/>
              </w:rPr>
              <w:t>דיור</w:t>
            </w:r>
          </w:p>
        </w:tc>
        <w:tc>
          <w:tcPr>
            <w:tcW w:w="1111" w:type="dxa"/>
            <w:vAlign w:val="bottom"/>
          </w:tcPr>
          <w:p w14:paraId="2D1130D7" w14:textId="77777777" w:rsidR="005068E4" w:rsidRPr="005068E4" w:rsidRDefault="005068E4" w:rsidP="00400DD1">
            <w:pPr>
              <w:pStyle w:val="-3"/>
              <w:rPr>
                <w:sz w:val="18"/>
                <w:szCs w:val="18"/>
                <w:rtl/>
              </w:rPr>
            </w:pPr>
            <w:r w:rsidRPr="005068E4">
              <w:rPr>
                <w:rFonts w:hint="cs"/>
                <w:sz w:val="18"/>
                <w:szCs w:val="18"/>
                <w:rtl/>
              </w:rPr>
              <w:t xml:space="preserve"> 0</w:t>
            </w:r>
          </w:p>
        </w:tc>
        <w:tc>
          <w:tcPr>
            <w:tcW w:w="1134" w:type="dxa"/>
            <w:vAlign w:val="bottom"/>
          </w:tcPr>
          <w:p w14:paraId="078B64F3" w14:textId="77777777" w:rsidR="005068E4" w:rsidRPr="005068E4" w:rsidRDefault="005068E4" w:rsidP="00400DD1">
            <w:pPr>
              <w:pStyle w:val="-3"/>
              <w:rPr>
                <w:sz w:val="18"/>
                <w:szCs w:val="18"/>
                <w:rtl/>
              </w:rPr>
            </w:pPr>
            <w:r w:rsidRPr="005068E4">
              <w:rPr>
                <w:rFonts w:hint="cs"/>
                <w:sz w:val="18"/>
                <w:szCs w:val="18"/>
                <w:rtl/>
              </w:rPr>
              <w:t xml:space="preserve"> 0</w:t>
            </w:r>
          </w:p>
        </w:tc>
        <w:tc>
          <w:tcPr>
            <w:tcW w:w="712" w:type="dxa"/>
            <w:vAlign w:val="bottom"/>
          </w:tcPr>
          <w:p w14:paraId="09AC84A3" w14:textId="77777777" w:rsidR="005068E4" w:rsidRPr="005068E4" w:rsidRDefault="005068E4" w:rsidP="00400DD1">
            <w:pPr>
              <w:pStyle w:val="-3"/>
              <w:rPr>
                <w:sz w:val="18"/>
                <w:szCs w:val="18"/>
                <w:rtl/>
              </w:rPr>
            </w:pPr>
            <w:r w:rsidRPr="005068E4">
              <w:rPr>
                <w:rFonts w:hint="cs"/>
                <w:sz w:val="18"/>
                <w:szCs w:val="18"/>
                <w:rtl/>
              </w:rPr>
              <w:t xml:space="preserve"> 0</w:t>
            </w:r>
          </w:p>
        </w:tc>
        <w:tc>
          <w:tcPr>
            <w:tcW w:w="992" w:type="dxa"/>
            <w:vAlign w:val="bottom"/>
          </w:tcPr>
          <w:p w14:paraId="3A692A32" w14:textId="77777777" w:rsidR="005068E4" w:rsidRPr="005068E4" w:rsidRDefault="005068E4" w:rsidP="00400DD1">
            <w:pPr>
              <w:pStyle w:val="-3"/>
              <w:rPr>
                <w:b/>
                <w:bCs/>
                <w:sz w:val="18"/>
                <w:szCs w:val="18"/>
                <w:rtl/>
              </w:rPr>
            </w:pPr>
            <w:r w:rsidRPr="005068E4">
              <w:rPr>
                <w:rFonts w:hint="cs"/>
                <w:sz w:val="18"/>
                <w:szCs w:val="18"/>
                <w:rtl/>
              </w:rPr>
              <w:t xml:space="preserve"> 0</w:t>
            </w:r>
          </w:p>
        </w:tc>
        <w:tc>
          <w:tcPr>
            <w:tcW w:w="1624" w:type="dxa"/>
            <w:vAlign w:val="bottom"/>
          </w:tcPr>
          <w:p w14:paraId="6F8496DB" w14:textId="77777777" w:rsidR="005068E4" w:rsidRPr="005068E4" w:rsidRDefault="005068E4" w:rsidP="00400DD1">
            <w:pPr>
              <w:pStyle w:val="-3"/>
              <w:rPr>
                <w:sz w:val="18"/>
                <w:szCs w:val="18"/>
                <w:rtl/>
              </w:rPr>
            </w:pPr>
            <w:r w:rsidRPr="005068E4">
              <w:rPr>
                <w:rFonts w:hint="cs"/>
                <w:sz w:val="18"/>
                <w:szCs w:val="18"/>
                <w:rtl/>
              </w:rPr>
              <w:t xml:space="preserve"> 0</w:t>
            </w:r>
          </w:p>
        </w:tc>
        <w:tc>
          <w:tcPr>
            <w:tcW w:w="785" w:type="dxa"/>
            <w:vAlign w:val="bottom"/>
          </w:tcPr>
          <w:p w14:paraId="4C9C2F77" w14:textId="77777777" w:rsidR="005068E4" w:rsidRPr="005068E4" w:rsidRDefault="005068E4" w:rsidP="00400DD1">
            <w:pPr>
              <w:pStyle w:val="-3"/>
              <w:rPr>
                <w:sz w:val="18"/>
                <w:szCs w:val="18"/>
                <w:rtl/>
              </w:rPr>
            </w:pPr>
            <w:r w:rsidRPr="005068E4">
              <w:rPr>
                <w:rFonts w:hint="cs"/>
                <w:sz w:val="18"/>
                <w:szCs w:val="18"/>
                <w:rtl/>
              </w:rPr>
              <w:t xml:space="preserve"> 0</w:t>
            </w:r>
          </w:p>
        </w:tc>
        <w:tc>
          <w:tcPr>
            <w:tcW w:w="1165" w:type="dxa"/>
            <w:vAlign w:val="bottom"/>
          </w:tcPr>
          <w:p w14:paraId="1ED5D541" w14:textId="77777777" w:rsidR="005068E4" w:rsidRPr="005068E4" w:rsidRDefault="005068E4" w:rsidP="00400DD1">
            <w:pPr>
              <w:pStyle w:val="-3"/>
              <w:rPr>
                <w:sz w:val="18"/>
                <w:szCs w:val="18"/>
                <w:rtl/>
              </w:rPr>
            </w:pPr>
            <w:r w:rsidRPr="005068E4">
              <w:rPr>
                <w:rFonts w:hint="cs"/>
                <w:sz w:val="18"/>
                <w:szCs w:val="18"/>
                <w:rtl/>
              </w:rPr>
              <w:t xml:space="preserve"> 0</w:t>
            </w:r>
          </w:p>
        </w:tc>
        <w:tc>
          <w:tcPr>
            <w:tcW w:w="820" w:type="dxa"/>
            <w:vAlign w:val="bottom"/>
          </w:tcPr>
          <w:p w14:paraId="0C62DD1B" w14:textId="77777777" w:rsidR="005068E4" w:rsidRPr="005068E4" w:rsidRDefault="005068E4" w:rsidP="00400DD1">
            <w:pPr>
              <w:pStyle w:val="-3"/>
              <w:rPr>
                <w:sz w:val="18"/>
                <w:szCs w:val="18"/>
                <w:rtl/>
              </w:rPr>
            </w:pPr>
            <w:r w:rsidRPr="005068E4">
              <w:rPr>
                <w:rFonts w:hint="cs"/>
                <w:sz w:val="18"/>
                <w:szCs w:val="18"/>
                <w:rtl/>
              </w:rPr>
              <w:t xml:space="preserve"> 0</w:t>
            </w:r>
          </w:p>
        </w:tc>
      </w:tr>
      <w:tr w:rsidR="005068E4" w:rsidRPr="007C7A96" w14:paraId="0371E751" w14:textId="77777777" w:rsidTr="00400DD1">
        <w:trPr>
          <w:trHeight w:val="259"/>
        </w:trPr>
        <w:tc>
          <w:tcPr>
            <w:tcW w:w="1852" w:type="dxa"/>
          </w:tcPr>
          <w:p w14:paraId="091E49DD" w14:textId="77777777" w:rsidR="005068E4" w:rsidRPr="00FC7F53" w:rsidRDefault="005068E4" w:rsidP="00400DD1">
            <w:pPr>
              <w:pStyle w:val="-0"/>
              <w:spacing w:line="240" w:lineRule="auto"/>
              <w:ind w:left="113" w:hanging="113"/>
              <w:rPr>
                <w:b/>
                <w:bCs/>
                <w:color w:val="auto"/>
                <w:sz w:val="17"/>
                <w:szCs w:val="17"/>
                <w:rtl/>
              </w:rPr>
            </w:pPr>
            <w:r w:rsidRPr="00FC7F53">
              <w:rPr>
                <w:rFonts w:hint="cs"/>
                <w:color w:val="auto"/>
                <w:sz w:val="17"/>
                <w:szCs w:val="17"/>
                <w:rtl/>
              </w:rPr>
              <w:t>אנשים פרטיים - אחר</w:t>
            </w:r>
          </w:p>
        </w:tc>
        <w:tc>
          <w:tcPr>
            <w:tcW w:w="1111" w:type="dxa"/>
            <w:vAlign w:val="bottom"/>
          </w:tcPr>
          <w:p w14:paraId="6A045BDB" w14:textId="77777777" w:rsidR="005068E4" w:rsidRPr="005068E4" w:rsidRDefault="005068E4" w:rsidP="00400DD1">
            <w:pPr>
              <w:pStyle w:val="-3"/>
              <w:pBdr>
                <w:bottom w:val="single" w:sz="4" w:space="1" w:color="auto"/>
              </w:pBdr>
              <w:rPr>
                <w:sz w:val="18"/>
                <w:szCs w:val="18"/>
                <w:rtl/>
              </w:rPr>
            </w:pPr>
            <w:r w:rsidRPr="005068E4">
              <w:rPr>
                <w:rFonts w:hint="cs"/>
                <w:sz w:val="18"/>
                <w:szCs w:val="18"/>
                <w:rtl/>
              </w:rPr>
              <w:t xml:space="preserve"> 0</w:t>
            </w:r>
          </w:p>
        </w:tc>
        <w:tc>
          <w:tcPr>
            <w:tcW w:w="1134" w:type="dxa"/>
            <w:vAlign w:val="bottom"/>
          </w:tcPr>
          <w:p w14:paraId="4444BFB8" w14:textId="77777777" w:rsidR="005068E4" w:rsidRPr="005068E4" w:rsidRDefault="005068E4" w:rsidP="00400DD1">
            <w:pPr>
              <w:pStyle w:val="-3"/>
              <w:pBdr>
                <w:bottom w:val="single" w:sz="4" w:space="1" w:color="auto"/>
              </w:pBdr>
              <w:rPr>
                <w:sz w:val="18"/>
                <w:szCs w:val="18"/>
                <w:rtl/>
              </w:rPr>
            </w:pPr>
            <w:r w:rsidRPr="005068E4">
              <w:rPr>
                <w:rFonts w:hint="cs"/>
                <w:sz w:val="18"/>
                <w:szCs w:val="18"/>
                <w:rtl/>
              </w:rPr>
              <w:t xml:space="preserve"> 0</w:t>
            </w:r>
          </w:p>
        </w:tc>
        <w:tc>
          <w:tcPr>
            <w:tcW w:w="712" w:type="dxa"/>
            <w:vAlign w:val="bottom"/>
          </w:tcPr>
          <w:p w14:paraId="1C7BC38C" w14:textId="77777777" w:rsidR="005068E4" w:rsidRPr="005068E4" w:rsidRDefault="005068E4" w:rsidP="00400DD1">
            <w:pPr>
              <w:pStyle w:val="-3"/>
              <w:pBdr>
                <w:bottom w:val="single" w:sz="4" w:space="1" w:color="auto"/>
              </w:pBdr>
              <w:rPr>
                <w:sz w:val="18"/>
                <w:szCs w:val="18"/>
                <w:rtl/>
              </w:rPr>
            </w:pPr>
            <w:r w:rsidRPr="005068E4">
              <w:rPr>
                <w:rFonts w:hint="cs"/>
                <w:sz w:val="18"/>
                <w:szCs w:val="18"/>
                <w:rtl/>
              </w:rPr>
              <w:t xml:space="preserve"> 0</w:t>
            </w:r>
          </w:p>
        </w:tc>
        <w:tc>
          <w:tcPr>
            <w:tcW w:w="992" w:type="dxa"/>
            <w:vAlign w:val="bottom"/>
          </w:tcPr>
          <w:p w14:paraId="53099332" w14:textId="77777777" w:rsidR="005068E4" w:rsidRPr="005068E4" w:rsidRDefault="005068E4" w:rsidP="00400DD1">
            <w:pPr>
              <w:pStyle w:val="-3"/>
              <w:pBdr>
                <w:bottom w:val="single" w:sz="4" w:space="1" w:color="auto"/>
              </w:pBdr>
              <w:rPr>
                <w:b/>
                <w:bCs/>
                <w:sz w:val="18"/>
                <w:szCs w:val="18"/>
                <w:rtl/>
              </w:rPr>
            </w:pPr>
            <w:r w:rsidRPr="005068E4">
              <w:rPr>
                <w:rFonts w:hint="cs"/>
                <w:sz w:val="18"/>
                <w:szCs w:val="18"/>
                <w:rtl/>
              </w:rPr>
              <w:t xml:space="preserve"> 0</w:t>
            </w:r>
          </w:p>
        </w:tc>
        <w:tc>
          <w:tcPr>
            <w:tcW w:w="1624" w:type="dxa"/>
            <w:vAlign w:val="bottom"/>
          </w:tcPr>
          <w:p w14:paraId="3160CDFD" w14:textId="77777777" w:rsidR="005068E4" w:rsidRPr="005068E4" w:rsidRDefault="005068E4" w:rsidP="00400DD1">
            <w:pPr>
              <w:pStyle w:val="-3"/>
              <w:pBdr>
                <w:bottom w:val="single" w:sz="4" w:space="1" w:color="auto"/>
              </w:pBdr>
              <w:rPr>
                <w:sz w:val="18"/>
                <w:szCs w:val="18"/>
                <w:rtl/>
              </w:rPr>
            </w:pPr>
            <w:r w:rsidRPr="005068E4">
              <w:rPr>
                <w:rFonts w:hint="cs"/>
                <w:sz w:val="18"/>
                <w:szCs w:val="18"/>
                <w:rtl/>
              </w:rPr>
              <w:t xml:space="preserve"> 0</w:t>
            </w:r>
          </w:p>
        </w:tc>
        <w:tc>
          <w:tcPr>
            <w:tcW w:w="785" w:type="dxa"/>
            <w:vAlign w:val="bottom"/>
          </w:tcPr>
          <w:p w14:paraId="69CB412B" w14:textId="77777777" w:rsidR="005068E4" w:rsidRPr="005068E4" w:rsidRDefault="005068E4" w:rsidP="00400DD1">
            <w:pPr>
              <w:pStyle w:val="-3"/>
              <w:pBdr>
                <w:bottom w:val="single" w:sz="4" w:space="1" w:color="auto"/>
              </w:pBdr>
              <w:rPr>
                <w:sz w:val="18"/>
                <w:szCs w:val="18"/>
                <w:rtl/>
              </w:rPr>
            </w:pPr>
            <w:r w:rsidRPr="005068E4">
              <w:rPr>
                <w:rFonts w:hint="cs"/>
                <w:sz w:val="18"/>
                <w:szCs w:val="18"/>
                <w:rtl/>
              </w:rPr>
              <w:t xml:space="preserve"> 0</w:t>
            </w:r>
          </w:p>
        </w:tc>
        <w:tc>
          <w:tcPr>
            <w:tcW w:w="1165" w:type="dxa"/>
            <w:vAlign w:val="bottom"/>
          </w:tcPr>
          <w:p w14:paraId="358FFBCB" w14:textId="77777777" w:rsidR="005068E4" w:rsidRPr="005068E4" w:rsidRDefault="005068E4" w:rsidP="00400DD1">
            <w:pPr>
              <w:pStyle w:val="-3"/>
              <w:pBdr>
                <w:bottom w:val="single" w:sz="4" w:space="1" w:color="auto"/>
              </w:pBdr>
              <w:rPr>
                <w:sz w:val="18"/>
                <w:szCs w:val="18"/>
                <w:rtl/>
              </w:rPr>
            </w:pPr>
            <w:r w:rsidRPr="005068E4">
              <w:rPr>
                <w:rFonts w:hint="cs"/>
                <w:sz w:val="18"/>
                <w:szCs w:val="18"/>
                <w:rtl/>
              </w:rPr>
              <w:t xml:space="preserve"> 0</w:t>
            </w:r>
          </w:p>
        </w:tc>
        <w:tc>
          <w:tcPr>
            <w:tcW w:w="820" w:type="dxa"/>
            <w:vAlign w:val="bottom"/>
          </w:tcPr>
          <w:p w14:paraId="6FBB672C" w14:textId="77777777" w:rsidR="005068E4" w:rsidRPr="005068E4" w:rsidRDefault="005068E4" w:rsidP="00400DD1">
            <w:pPr>
              <w:pStyle w:val="-3"/>
              <w:pBdr>
                <w:bottom w:val="single" w:sz="4" w:space="1" w:color="auto"/>
              </w:pBdr>
              <w:rPr>
                <w:sz w:val="18"/>
                <w:szCs w:val="18"/>
                <w:rtl/>
              </w:rPr>
            </w:pPr>
            <w:r w:rsidRPr="005068E4">
              <w:rPr>
                <w:rFonts w:hint="cs"/>
                <w:sz w:val="18"/>
                <w:szCs w:val="18"/>
                <w:rtl/>
              </w:rPr>
              <w:t xml:space="preserve"> 0</w:t>
            </w:r>
          </w:p>
        </w:tc>
      </w:tr>
      <w:tr w:rsidR="005068E4" w:rsidRPr="007C7A96" w14:paraId="560AB583" w14:textId="77777777" w:rsidTr="00400DD1">
        <w:trPr>
          <w:trHeight w:val="66"/>
        </w:trPr>
        <w:tc>
          <w:tcPr>
            <w:tcW w:w="1852" w:type="dxa"/>
          </w:tcPr>
          <w:p w14:paraId="43C3CA4B" w14:textId="77777777" w:rsidR="005068E4" w:rsidRPr="005068E4" w:rsidRDefault="005068E4" w:rsidP="00400DD1">
            <w:pPr>
              <w:pStyle w:val="-b"/>
              <w:ind w:left="113" w:hanging="113"/>
              <w:rPr>
                <w:b w:val="0"/>
                <w:bCs w:val="0"/>
                <w:color w:val="auto"/>
                <w:sz w:val="17"/>
                <w:szCs w:val="17"/>
                <w:rtl/>
              </w:rPr>
            </w:pPr>
            <w:r w:rsidRPr="005068E4">
              <w:rPr>
                <w:rFonts w:hint="cs"/>
                <w:b w:val="0"/>
                <w:bCs w:val="0"/>
                <w:color w:val="auto"/>
                <w:sz w:val="17"/>
                <w:szCs w:val="17"/>
                <w:rtl/>
              </w:rPr>
              <w:t>סך הכל סיכון אשראי לציבור</w:t>
            </w:r>
          </w:p>
        </w:tc>
        <w:tc>
          <w:tcPr>
            <w:tcW w:w="1111" w:type="dxa"/>
            <w:vAlign w:val="bottom"/>
          </w:tcPr>
          <w:p w14:paraId="49347E1B" w14:textId="77777777" w:rsidR="005068E4" w:rsidRPr="005068E4" w:rsidRDefault="005068E4"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1134" w:type="dxa"/>
            <w:vAlign w:val="bottom"/>
          </w:tcPr>
          <w:p w14:paraId="7DD6A9FF" w14:textId="77777777" w:rsidR="005068E4" w:rsidRPr="005068E4" w:rsidRDefault="005068E4"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712" w:type="dxa"/>
            <w:vAlign w:val="bottom"/>
          </w:tcPr>
          <w:p w14:paraId="2F4493D3" w14:textId="77777777" w:rsidR="005068E4" w:rsidRPr="005068E4" w:rsidRDefault="005068E4"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992" w:type="dxa"/>
            <w:vAlign w:val="bottom"/>
          </w:tcPr>
          <w:p w14:paraId="74E7C69D" w14:textId="77777777" w:rsidR="005068E4" w:rsidRPr="005068E4" w:rsidRDefault="005068E4"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1624" w:type="dxa"/>
            <w:vAlign w:val="bottom"/>
          </w:tcPr>
          <w:p w14:paraId="7ABB6161" w14:textId="77777777" w:rsidR="005068E4" w:rsidRPr="005068E4" w:rsidRDefault="005068E4"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785" w:type="dxa"/>
            <w:vAlign w:val="bottom"/>
          </w:tcPr>
          <w:p w14:paraId="0193B942" w14:textId="77777777" w:rsidR="005068E4" w:rsidRPr="005068E4" w:rsidRDefault="005068E4"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1165" w:type="dxa"/>
            <w:vAlign w:val="bottom"/>
          </w:tcPr>
          <w:p w14:paraId="1B36C590" w14:textId="77777777" w:rsidR="005068E4" w:rsidRPr="005068E4" w:rsidRDefault="005068E4"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c>
          <w:tcPr>
            <w:tcW w:w="820" w:type="dxa"/>
            <w:vAlign w:val="bottom"/>
          </w:tcPr>
          <w:p w14:paraId="1F45DBB7" w14:textId="77777777" w:rsidR="005068E4" w:rsidRPr="005068E4" w:rsidRDefault="005068E4" w:rsidP="00400DD1">
            <w:pPr>
              <w:pStyle w:val="-f1"/>
              <w:pBdr>
                <w:top w:val="none" w:sz="0" w:space="0" w:color="auto"/>
                <w:bottom w:val="single" w:sz="4" w:space="1" w:color="auto"/>
              </w:pBdr>
              <w:rPr>
                <w:b w:val="0"/>
                <w:bCs w:val="0"/>
                <w:color w:val="auto"/>
                <w:sz w:val="18"/>
                <w:szCs w:val="18"/>
                <w:rtl/>
              </w:rPr>
            </w:pPr>
            <w:r w:rsidRPr="005068E4">
              <w:rPr>
                <w:rFonts w:hint="cs"/>
                <w:b w:val="0"/>
                <w:bCs w:val="0"/>
                <w:color w:val="auto"/>
                <w:sz w:val="18"/>
                <w:szCs w:val="18"/>
                <w:rtl/>
              </w:rPr>
              <w:t xml:space="preserve"> 0</w:t>
            </w:r>
          </w:p>
        </w:tc>
      </w:tr>
    </w:tbl>
    <w:p w14:paraId="4CC1C7DB" w14:textId="0966AB01" w:rsidR="00FC7F53" w:rsidRDefault="00FC7F53" w:rsidP="00480E52">
      <w:pPr>
        <w:rPr>
          <w:rtl/>
        </w:rPr>
      </w:pPr>
    </w:p>
    <w:p w14:paraId="42BAF5FE" w14:textId="77777777" w:rsidR="00FC7F53" w:rsidRDefault="00FC7F53" w:rsidP="00480E52">
      <w:pPr>
        <w:rPr>
          <w:rtl/>
        </w:rPr>
      </w:pPr>
    </w:p>
    <w:p w14:paraId="394D12F2" w14:textId="4A9B9DF5" w:rsidR="00FC7F53" w:rsidRDefault="00FC7F53" w:rsidP="00480E52">
      <w:pPr>
        <w:rPr>
          <w:rtl/>
        </w:rPr>
      </w:pPr>
    </w:p>
    <w:p w14:paraId="567E1DAF" w14:textId="77777777" w:rsidR="00FC7F53" w:rsidRPr="007C7A96" w:rsidRDefault="00FC7F53" w:rsidP="00480E52"/>
    <w:tbl>
      <w:tblPr>
        <w:bidiVisual/>
        <w:tblW w:w="4948" w:type="pct"/>
        <w:tblLook w:val="01E0" w:firstRow="1" w:lastRow="1" w:firstColumn="1" w:lastColumn="1" w:noHBand="0" w:noVBand="0"/>
      </w:tblPr>
      <w:tblGrid>
        <w:gridCol w:w="1488"/>
        <w:gridCol w:w="8613"/>
      </w:tblGrid>
      <w:tr w:rsidR="00480E52" w:rsidRPr="007C7A96" w14:paraId="5FDE1598" w14:textId="77777777" w:rsidTr="0007315B">
        <w:trPr>
          <w:trHeight w:val="259"/>
        </w:trPr>
        <w:tc>
          <w:tcPr>
            <w:tcW w:w="1518" w:type="dxa"/>
          </w:tcPr>
          <w:p w14:paraId="510FADE9" w14:textId="77777777" w:rsidR="00480E52" w:rsidRPr="007C7A96" w:rsidRDefault="00480E52" w:rsidP="0007315B">
            <w:pPr>
              <w:pStyle w:val="-7"/>
              <w:rPr>
                <w:sz w:val="14"/>
                <w:szCs w:val="14"/>
                <w:rtl/>
              </w:rPr>
            </w:pPr>
          </w:p>
        </w:tc>
        <w:tc>
          <w:tcPr>
            <w:tcW w:w="8795" w:type="dxa"/>
            <w:vAlign w:val="bottom"/>
          </w:tcPr>
          <w:p w14:paraId="618FAC9E" w14:textId="77777777" w:rsidR="00480E52" w:rsidRPr="007C7A96" w:rsidRDefault="00480E52" w:rsidP="0007315B">
            <w:pPr>
              <w:pStyle w:val="-3"/>
              <w:rPr>
                <w:sz w:val="18"/>
                <w:szCs w:val="18"/>
                <w:rtl/>
              </w:rPr>
            </w:pPr>
            <w:r w:rsidRPr="007C7A96">
              <w:rPr>
                <w:rFonts w:hint="cs"/>
                <w:sz w:val="18"/>
                <w:szCs w:val="18"/>
                <w:rtl/>
              </w:rPr>
              <w:t>*</w:t>
            </w:r>
            <w:r w:rsidRPr="007C7A96">
              <w:rPr>
                <w:sz w:val="18"/>
                <w:szCs w:val="18"/>
                <w:rtl/>
              </w:rPr>
              <w:tab/>
            </w:r>
            <w:r w:rsidRPr="007C7A96">
              <w:rPr>
                <w:rFonts w:hint="cs"/>
                <w:sz w:val="18"/>
                <w:szCs w:val="18"/>
                <w:rtl/>
              </w:rPr>
              <w:t>פרט את ענף המשק, אם מהותי</w:t>
            </w:r>
          </w:p>
        </w:tc>
      </w:tr>
      <w:tr w:rsidR="00480E52" w:rsidRPr="007C7A96" w14:paraId="575AB578" w14:textId="77777777" w:rsidTr="0007315B">
        <w:trPr>
          <w:trHeight w:val="259"/>
        </w:trPr>
        <w:tc>
          <w:tcPr>
            <w:tcW w:w="1518" w:type="dxa"/>
          </w:tcPr>
          <w:p w14:paraId="65EF4D25" w14:textId="77777777" w:rsidR="00480E52" w:rsidRPr="007C7A96" w:rsidRDefault="00480E52" w:rsidP="0007315B">
            <w:pPr>
              <w:pStyle w:val="-7"/>
              <w:rPr>
                <w:sz w:val="14"/>
                <w:szCs w:val="14"/>
                <w:rtl/>
              </w:rPr>
            </w:pPr>
          </w:p>
        </w:tc>
        <w:tc>
          <w:tcPr>
            <w:tcW w:w="8795" w:type="dxa"/>
            <w:vAlign w:val="bottom"/>
          </w:tcPr>
          <w:p w14:paraId="286F77FC" w14:textId="77777777" w:rsidR="00480E52" w:rsidRPr="007C7A96" w:rsidRDefault="00480E52" w:rsidP="0007315B">
            <w:pPr>
              <w:pStyle w:val="-3"/>
              <w:rPr>
                <w:sz w:val="18"/>
                <w:szCs w:val="18"/>
                <w:rtl/>
              </w:rPr>
            </w:pPr>
            <w:r w:rsidRPr="007C7A96">
              <w:rPr>
                <w:rFonts w:hint="cs"/>
                <w:sz w:val="18"/>
                <w:szCs w:val="18"/>
                <w:rtl/>
              </w:rPr>
              <w:t>**</w:t>
            </w:r>
            <w:r w:rsidRPr="007C7A96">
              <w:rPr>
                <w:sz w:val="18"/>
                <w:szCs w:val="18"/>
                <w:rtl/>
              </w:rPr>
              <w:tab/>
            </w:r>
            <w:r w:rsidRPr="007C7A96">
              <w:rPr>
                <w:rFonts w:hint="cs"/>
                <w:sz w:val="18"/>
                <w:szCs w:val="18"/>
                <w:rtl/>
              </w:rPr>
              <w:t>סיכון אשראי במכשירים פיננסיים חוץ מאזניים כפי שחושב לצורך מגבלת חבות של לווה, למעט בגין מכשירים נגזרים.</w:t>
            </w:r>
          </w:p>
        </w:tc>
      </w:tr>
      <w:tr w:rsidR="00480E52" w:rsidRPr="007C7A96" w14:paraId="00AFCF0C" w14:textId="77777777" w:rsidTr="0007315B">
        <w:trPr>
          <w:trHeight w:val="259"/>
        </w:trPr>
        <w:tc>
          <w:tcPr>
            <w:tcW w:w="1518" w:type="dxa"/>
          </w:tcPr>
          <w:p w14:paraId="4DF09BE7" w14:textId="77777777" w:rsidR="00480E52" w:rsidRPr="007C7A96" w:rsidRDefault="00480E52" w:rsidP="0007315B">
            <w:pPr>
              <w:pStyle w:val="-7"/>
              <w:rPr>
                <w:sz w:val="14"/>
                <w:szCs w:val="14"/>
                <w:rtl/>
              </w:rPr>
            </w:pPr>
          </w:p>
        </w:tc>
        <w:tc>
          <w:tcPr>
            <w:tcW w:w="8795" w:type="dxa"/>
            <w:vAlign w:val="bottom"/>
          </w:tcPr>
          <w:p w14:paraId="2299C88F" w14:textId="77777777" w:rsidR="00480E52" w:rsidRPr="007C7A96" w:rsidRDefault="00480E52" w:rsidP="0007315B">
            <w:pPr>
              <w:pStyle w:val="-3"/>
              <w:rPr>
                <w:sz w:val="18"/>
                <w:szCs w:val="18"/>
                <w:rtl/>
              </w:rPr>
            </w:pPr>
            <w:r w:rsidRPr="007C7A96">
              <w:rPr>
                <w:rFonts w:hint="cs"/>
                <w:sz w:val="18"/>
                <w:szCs w:val="18"/>
                <w:rtl/>
              </w:rPr>
              <w:t>***</w:t>
            </w:r>
            <w:r w:rsidRPr="007C7A96">
              <w:rPr>
                <w:sz w:val="18"/>
                <w:szCs w:val="18"/>
                <w:rtl/>
              </w:rPr>
              <w:tab/>
            </w:r>
            <w:r w:rsidRPr="007C7A96">
              <w:rPr>
                <w:rFonts w:hint="cs"/>
                <w:sz w:val="18"/>
                <w:szCs w:val="18"/>
                <w:rtl/>
              </w:rPr>
              <w:t>יש לתאר בתמציתיות את המאפיינים והסוגים העיקריים של עסקאות מכירת האשראי.</w:t>
            </w:r>
          </w:p>
        </w:tc>
      </w:tr>
    </w:tbl>
    <w:p w14:paraId="73A6C291" w14:textId="77777777" w:rsidR="00480E52" w:rsidRDefault="00480E52" w:rsidP="00480E52">
      <w:pPr>
        <w:bidi w:val="0"/>
        <w:rPr>
          <w:rtl/>
        </w:rPr>
      </w:pPr>
    </w:p>
    <w:p w14:paraId="5F833241" w14:textId="77777777" w:rsidR="00480E52" w:rsidRDefault="00480E52" w:rsidP="00480E52">
      <w:pPr>
        <w:bidi w:val="0"/>
      </w:pPr>
    </w:p>
    <w:p w14:paraId="396CC810" w14:textId="77777777" w:rsidR="00480E52" w:rsidRDefault="00480E52" w:rsidP="00480E52">
      <w:pPr>
        <w:bidi w:val="0"/>
      </w:pPr>
    </w:p>
    <w:p w14:paraId="1D43CEC7" w14:textId="77777777" w:rsidR="00480E52" w:rsidRDefault="00480E52" w:rsidP="00480E52">
      <w:pPr>
        <w:bidi w:val="0"/>
      </w:pPr>
    </w:p>
    <w:p w14:paraId="4D606E47" w14:textId="77777777" w:rsidR="00480E52" w:rsidRDefault="00480E52" w:rsidP="00480E52">
      <w:pPr>
        <w:bidi w:val="0"/>
      </w:pPr>
    </w:p>
    <w:p w14:paraId="0773664C" w14:textId="77777777" w:rsidR="00480E52" w:rsidRDefault="00480E52" w:rsidP="00480E52">
      <w:pPr>
        <w:bidi w:val="0"/>
      </w:pPr>
    </w:p>
    <w:p w14:paraId="7128368A" w14:textId="77777777" w:rsidR="00480E52" w:rsidRPr="00480E52" w:rsidRDefault="00480E52" w:rsidP="00480E52">
      <w:pPr>
        <w:bidi w:val="0"/>
        <w:rPr>
          <w:sz w:val="2"/>
          <w:szCs w:val="2"/>
        </w:rPr>
      </w:pPr>
      <w:r>
        <w:br w:type="page"/>
      </w:r>
    </w:p>
    <w:tbl>
      <w:tblPr>
        <w:bidiVisual/>
        <w:tblW w:w="5000" w:type="pct"/>
        <w:tblLayout w:type="fixed"/>
        <w:tblLook w:val="0000" w:firstRow="0" w:lastRow="0" w:firstColumn="0" w:lastColumn="0" w:noHBand="0" w:noVBand="0"/>
      </w:tblPr>
      <w:tblGrid>
        <w:gridCol w:w="993"/>
        <w:gridCol w:w="567"/>
        <w:gridCol w:w="8628"/>
        <w:gridCol w:w="19"/>
      </w:tblGrid>
      <w:tr w:rsidR="00DF3A15" w:rsidRPr="007C7A96" w14:paraId="15BB97DF" w14:textId="77777777" w:rsidTr="00E63B86">
        <w:trPr>
          <w:trHeight w:val="245"/>
        </w:trPr>
        <w:tc>
          <w:tcPr>
            <w:tcW w:w="993" w:type="dxa"/>
          </w:tcPr>
          <w:p w14:paraId="2704A5E2" w14:textId="77777777" w:rsidR="00DF3A15" w:rsidRPr="007C7A96" w:rsidRDefault="00DF3A15" w:rsidP="0007315B">
            <w:pPr>
              <w:pStyle w:val="-7"/>
              <w:rPr>
                <w:rtl/>
              </w:rPr>
            </w:pPr>
          </w:p>
        </w:tc>
        <w:tc>
          <w:tcPr>
            <w:tcW w:w="9214" w:type="dxa"/>
            <w:gridSpan w:val="3"/>
          </w:tcPr>
          <w:p w14:paraId="785CA890" w14:textId="77777777" w:rsidR="00DF3A15" w:rsidRPr="007C7A96" w:rsidRDefault="00DF3A15" w:rsidP="00316579">
            <w:pPr>
              <w:pStyle w:val="-f4"/>
              <w:spacing w:before="0" w:line="240" w:lineRule="auto"/>
              <w:jc w:val="left"/>
              <w:rPr>
                <w:sz w:val="22"/>
                <w:szCs w:val="22"/>
                <w:rtl/>
              </w:rPr>
            </w:pPr>
            <w:r w:rsidRPr="007C7A96">
              <w:rPr>
                <w:sz w:val="22"/>
                <w:szCs w:val="22"/>
                <w:rtl/>
              </w:rPr>
              <w:t xml:space="preserve">ביאור </w:t>
            </w:r>
            <w:r w:rsidRPr="007C7A96">
              <w:rPr>
                <w:rFonts w:hint="cs"/>
                <w:sz w:val="22"/>
                <w:szCs w:val="22"/>
                <w:rtl/>
              </w:rPr>
              <w:t>1</w:t>
            </w:r>
            <w:r w:rsidR="00316579">
              <w:rPr>
                <w:rFonts w:hint="cs"/>
                <w:sz w:val="22"/>
                <w:szCs w:val="22"/>
                <w:rtl/>
              </w:rPr>
              <w:t>2</w:t>
            </w:r>
            <w:r w:rsidRPr="007C7A96">
              <w:rPr>
                <w:sz w:val="22"/>
                <w:szCs w:val="22"/>
                <w:rtl/>
              </w:rPr>
              <w:t xml:space="preserve"> </w:t>
            </w:r>
            <w:r w:rsidRPr="007C7A96">
              <w:rPr>
                <w:rFonts w:hint="cs"/>
                <w:sz w:val="22"/>
                <w:szCs w:val="22"/>
                <w:rtl/>
              </w:rPr>
              <w:t xml:space="preserve"> </w:t>
            </w:r>
            <w:r w:rsidRPr="007C7A96">
              <w:rPr>
                <w:sz w:val="22"/>
                <w:szCs w:val="22"/>
                <w:rtl/>
              </w:rPr>
              <w:t xml:space="preserve">- </w:t>
            </w:r>
            <w:r w:rsidRPr="007C7A96">
              <w:rPr>
                <w:rFonts w:hint="cs"/>
                <w:sz w:val="22"/>
                <w:szCs w:val="22"/>
                <w:rtl/>
              </w:rPr>
              <w:t xml:space="preserve"> מידע נוסף על סיכון אשראי, אשראי לציבור והפרשה להפסדי אשראי (המשך):</w:t>
            </w:r>
          </w:p>
        </w:tc>
      </w:tr>
      <w:tr w:rsidR="00DF3A15" w:rsidRPr="007C7A96" w14:paraId="755059C9" w14:textId="77777777" w:rsidTr="00E63B86">
        <w:trPr>
          <w:gridAfter w:val="1"/>
          <w:wAfter w:w="19" w:type="dxa"/>
          <w:trHeight w:val="245"/>
        </w:trPr>
        <w:tc>
          <w:tcPr>
            <w:tcW w:w="993" w:type="dxa"/>
            <w:vAlign w:val="center"/>
          </w:tcPr>
          <w:p w14:paraId="58BE0DB8" w14:textId="77777777" w:rsidR="00DF3A15" w:rsidRPr="007C7A96" w:rsidRDefault="00DF3A15" w:rsidP="0007315B">
            <w:pPr>
              <w:pStyle w:val="-7"/>
              <w:jc w:val="left"/>
              <w:rPr>
                <w:sz w:val="14"/>
                <w:szCs w:val="14"/>
                <w:rtl/>
              </w:rPr>
            </w:pPr>
          </w:p>
        </w:tc>
        <w:tc>
          <w:tcPr>
            <w:tcW w:w="567" w:type="dxa"/>
          </w:tcPr>
          <w:p w14:paraId="0E211F2B" w14:textId="77777777" w:rsidR="00DF3A15" w:rsidRPr="007C7A96" w:rsidRDefault="00DF3A15" w:rsidP="0007315B">
            <w:pPr>
              <w:pStyle w:val="-f4"/>
              <w:spacing w:line="240" w:lineRule="auto"/>
              <w:jc w:val="left"/>
              <w:rPr>
                <w:rtl/>
              </w:rPr>
            </w:pPr>
            <w:r w:rsidRPr="007C7A96">
              <w:rPr>
                <w:rFonts w:hint="cs"/>
                <w:rtl/>
              </w:rPr>
              <w:t>ב1.</w:t>
            </w:r>
          </w:p>
        </w:tc>
        <w:tc>
          <w:tcPr>
            <w:tcW w:w="8628" w:type="dxa"/>
          </w:tcPr>
          <w:p w14:paraId="27B56780" w14:textId="77777777" w:rsidR="00DF3A15" w:rsidRPr="007C7A96" w:rsidRDefault="00DF3A15" w:rsidP="0007315B">
            <w:pPr>
              <w:pStyle w:val="-f4"/>
              <w:spacing w:line="240" w:lineRule="auto"/>
              <w:jc w:val="left"/>
              <w:rPr>
                <w:rtl/>
              </w:rPr>
            </w:pPr>
            <w:r w:rsidRPr="007C7A96">
              <w:rPr>
                <w:rFonts w:hint="cs"/>
                <w:rtl/>
              </w:rPr>
              <w:t xml:space="preserve">מכירה, רכישה וסינדיקציה של סיכון אשראי במהלך </w:t>
            </w:r>
            <w:r>
              <w:rPr>
                <w:rFonts w:hint="cs"/>
                <w:rtl/>
              </w:rPr>
              <w:t>התקופה (המשך)</w:t>
            </w:r>
            <w:r w:rsidRPr="007C7A96">
              <w:rPr>
                <w:rFonts w:hint="cs"/>
                <w:rtl/>
              </w:rPr>
              <w:t>:</w:t>
            </w:r>
          </w:p>
        </w:tc>
      </w:tr>
      <w:tr w:rsidR="00DF3A15" w:rsidRPr="007C7A96" w14:paraId="1DD202CA" w14:textId="77777777" w:rsidTr="00E63B86">
        <w:trPr>
          <w:gridAfter w:val="1"/>
          <w:wAfter w:w="19" w:type="dxa"/>
          <w:trHeight w:val="245"/>
        </w:trPr>
        <w:tc>
          <w:tcPr>
            <w:tcW w:w="993" w:type="dxa"/>
          </w:tcPr>
          <w:p w14:paraId="26916E61" w14:textId="77777777" w:rsidR="00DF3A15" w:rsidRPr="007C7A96" w:rsidRDefault="00DF3A15" w:rsidP="0007315B">
            <w:pPr>
              <w:pStyle w:val="-7"/>
              <w:spacing w:before="60" w:line="240" w:lineRule="auto"/>
              <w:rPr>
                <w:sz w:val="14"/>
                <w:szCs w:val="14"/>
                <w:rtl/>
              </w:rPr>
            </w:pPr>
          </w:p>
        </w:tc>
        <w:tc>
          <w:tcPr>
            <w:tcW w:w="567" w:type="dxa"/>
          </w:tcPr>
          <w:p w14:paraId="34444A8B" w14:textId="77777777" w:rsidR="00DF3A15" w:rsidRPr="007C7A96" w:rsidRDefault="00DF3A15" w:rsidP="0007315B">
            <w:pPr>
              <w:pStyle w:val="-f4"/>
              <w:spacing w:line="240" w:lineRule="auto"/>
              <w:jc w:val="left"/>
              <w:rPr>
                <w:rtl/>
              </w:rPr>
            </w:pPr>
          </w:p>
        </w:tc>
        <w:tc>
          <w:tcPr>
            <w:tcW w:w="8628" w:type="dxa"/>
          </w:tcPr>
          <w:p w14:paraId="3AEC7F07" w14:textId="77777777" w:rsidR="00DF3A15" w:rsidRPr="007C7A96" w:rsidRDefault="00DF3A15" w:rsidP="004D022A">
            <w:pPr>
              <w:pStyle w:val="-24"/>
              <w:tabs>
                <w:tab w:val="clear" w:pos="893"/>
              </w:tabs>
              <w:spacing w:line="240" w:lineRule="auto"/>
              <w:ind w:left="351" w:hanging="351"/>
              <w:rPr>
                <w:b/>
                <w:bCs/>
                <w:rtl/>
              </w:rPr>
            </w:pPr>
            <w:r w:rsidRPr="007C7A96">
              <w:rPr>
                <w:rFonts w:hint="cs"/>
                <w:b/>
                <w:bCs/>
                <w:rtl/>
              </w:rPr>
              <w:t>2</w:t>
            </w:r>
            <w:r w:rsidRPr="00DF3A15">
              <w:rPr>
                <w:rFonts w:hint="cs"/>
                <w:b/>
                <w:bCs/>
                <w:rtl/>
              </w:rPr>
              <w:t>.</w:t>
            </w:r>
            <w:r w:rsidRPr="00DF3A15">
              <w:rPr>
                <w:b/>
                <w:bCs/>
                <w:rtl/>
              </w:rPr>
              <w:tab/>
            </w:r>
            <w:r w:rsidRPr="00DF3A15">
              <w:rPr>
                <w:rFonts w:hint="cs"/>
                <w:b/>
                <w:bCs/>
                <w:rtl/>
              </w:rPr>
              <w:t>סינדיקציות והשתתפות בסינדיקציות של הלוואות:</w:t>
            </w:r>
          </w:p>
        </w:tc>
      </w:tr>
    </w:tbl>
    <w:p w14:paraId="1CC1D1A8" w14:textId="77777777" w:rsidR="008F784F" w:rsidRPr="007C7A96" w:rsidRDefault="008F784F" w:rsidP="008F784F">
      <w:pPr>
        <w:bidi w:val="0"/>
        <w:spacing w:line="60" w:lineRule="exact"/>
      </w:pPr>
    </w:p>
    <w:tbl>
      <w:tblPr>
        <w:bidiVisual/>
        <w:tblW w:w="5000" w:type="pct"/>
        <w:tblLayout w:type="fixed"/>
        <w:tblLook w:val="01E0" w:firstRow="1" w:lastRow="1" w:firstColumn="1" w:lastColumn="1" w:noHBand="0" w:noVBand="0"/>
      </w:tblPr>
      <w:tblGrid>
        <w:gridCol w:w="1560"/>
        <w:gridCol w:w="2942"/>
        <w:gridCol w:w="904"/>
        <w:gridCol w:w="1018"/>
        <w:gridCol w:w="855"/>
        <w:gridCol w:w="1009"/>
        <w:gridCol w:w="949"/>
        <w:gridCol w:w="970"/>
      </w:tblGrid>
      <w:tr w:rsidR="00DF3A15" w:rsidRPr="004D022A" w14:paraId="17279CF8" w14:textId="77777777" w:rsidTr="00E63B86">
        <w:trPr>
          <w:trHeight w:val="259"/>
        </w:trPr>
        <w:tc>
          <w:tcPr>
            <w:tcW w:w="1560" w:type="dxa"/>
          </w:tcPr>
          <w:p w14:paraId="5294DE71" w14:textId="77777777" w:rsidR="00DF3A15" w:rsidRPr="004D022A" w:rsidRDefault="00DF3A15" w:rsidP="0007315B">
            <w:pPr>
              <w:pStyle w:val="-7"/>
              <w:rPr>
                <w:sz w:val="18"/>
                <w:szCs w:val="18"/>
                <w:rtl/>
              </w:rPr>
            </w:pPr>
          </w:p>
        </w:tc>
        <w:tc>
          <w:tcPr>
            <w:tcW w:w="2942" w:type="dxa"/>
            <w:vAlign w:val="bottom"/>
          </w:tcPr>
          <w:p w14:paraId="342668AC" w14:textId="77777777" w:rsidR="00DF3A15" w:rsidRPr="004D022A" w:rsidRDefault="00DF3A15" w:rsidP="0007315B">
            <w:pPr>
              <w:pStyle w:val="-0"/>
              <w:spacing w:line="240" w:lineRule="auto"/>
              <w:ind w:left="663" w:hanging="231"/>
              <w:rPr>
                <w:color w:val="auto"/>
                <w:sz w:val="18"/>
                <w:szCs w:val="18"/>
                <w:rtl/>
              </w:rPr>
            </w:pPr>
          </w:p>
        </w:tc>
        <w:tc>
          <w:tcPr>
            <w:tcW w:w="5705" w:type="dxa"/>
            <w:gridSpan w:val="6"/>
            <w:vAlign w:val="bottom"/>
          </w:tcPr>
          <w:p w14:paraId="408A5D3C" w14:textId="575BBDEE" w:rsidR="00DF3A15" w:rsidRPr="004D022A" w:rsidRDefault="00DF3A15" w:rsidP="0007315B">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ליום 30 ביוני </w:t>
            </w:r>
            <w:r w:rsidR="000100A4" w:rsidRPr="004D022A">
              <w:rPr>
                <w:b/>
                <w:bCs/>
                <w:sz w:val="18"/>
                <w:szCs w:val="18"/>
                <w:rtl/>
              </w:rPr>
              <w:fldChar w:fldCharType="begin"/>
            </w:r>
            <w:r w:rsidR="000100A4" w:rsidRPr="004D022A">
              <w:rPr>
                <w:b/>
                <w:bCs/>
                <w:sz w:val="18"/>
                <w:szCs w:val="18"/>
                <w:rtl/>
              </w:rPr>
              <w:instrText xml:space="preserve"> </w:instrText>
            </w:r>
            <w:r w:rsidR="000100A4" w:rsidRPr="004D022A">
              <w:rPr>
                <w:rFonts w:hint="cs"/>
                <w:b/>
                <w:bCs/>
                <w:sz w:val="18"/>
                <w:szCs w:val="18"/>
                <w:rtl/>
              </w:rPr>
              <w:instrText xml:space="preserve">= </w:instrText>
            </w:r>
            <w:r w:rsidR="000100A4" w:rsidRPr="004D022A">
              <w:rPr>
                <w:rFonts w:hint="cs"/>
                <w:b/>
                <w:bCs/>
                <w:sz w:val="18"/>
                <w:szCs w:val="18"/>
              </w:rPr>
              <w:instrText>CY \* MERGEFORMAT</w:instrText>
            </w:r>
            <w:r w:rsidR="000100A4" w:rsidRPr="004D022A">
              <w:rPr>
                <w:b/>
                <w:bCs/>
                <w:sz w:val="18"/>
                <w:szCs w:val="18"/>
                <w:rtl/>
              </w:rPr>
              <w:instrText xml:space="preserve"> </w:instrText>
            </w:r>
            <w:r w:rsidR="000100A4" w:rsidRPr="004D022A">
              <w:rPr>
                <w:b/>
                <w:bCs/>
                <w:sz w:val="18"/>
                <w:szCs w:val="18"/>
                <w:rtl/>
              </w:rPr>
              <w:fldChar w:fldCharType="separate"/>
            </w:r>
            <w:r w:rsidR="003A584F">
              <w:rPr>
                <w:b/>
                <w:bCs/>
                <w:noProof/>
                <w:sz w:val="18"/>
                <w:szCs w:val="18"/>
                <w:rtl/>
              </w:rPr>
              <w:t>2024</w:t>
            </w:r>
            <w:r w:rsidR="000100A4" w:rsidRPr="004D022A">
              <w:rPr>
                <w:b/>
                <w:bCs/>
                <w:sz w:val="18"/>
                <w:szCs w:val="18"/>
                <w:rtl/>
              </w:rPr>
              <w:fldChar w:fldCharType="end"/>
            </w:r>
            <w:r w:rsidR="005445C5" w:rsidRPr="004D022A">
              <w:rPr>
                <w:rFonts w:hint="cs"/>
                <w:b/>
                <w:bCs/>
                <w:sz w:val="18"/>
                <w:szCs w:val="18"/>
                <w:rtl/>
              </w:rPr>
              <w:t xml:space="preserve"> </w:t>
            </w:r>
            <w:r w:rsidR="005445C5">
              <w:rPr>
                <w:rFonts w:hint="cs"/>
                <w:b/>
                <w:bCs/>
                <w:sz w:val="18"/>
                <w:szCs w:val="18"/>
                <w:rtl/>
              </w:rPr>
              <w:t xml:space="preserve"> </w:t>
            </w:r>
            <w:r w:rsidR="005445C5" w:rsidRPr="001F0989">
              <w:rPr>
                <w:rFonts w:hint="cs"/>
                <w:sz w:val="18"/>
                <w:szCs w:val="18"/>
                <w:rtl/>
              </w:rPr>
              <w:t>(בלתי מבוקר)</w:t>
            </w:r>
          </w:p>
        </w:tc>
      </w:tr>
      <w:tr w:rsidR="00DF3A15" w:rsidRPr="004D022A" w14:paraId="530A48D7" w14:textId="77777777" w:rsidTr="00E63B86">
        <w:trPr>
          <w:trHeight w:val="259"/>
        </w:trPr>
        <w:tc>
          <w:tcPr>
            <w:tcW w:w="1560" w:type="dxa"/>
          </w:tcPr>
          <w:p w14:paraId="1D3A917E" w14:textId="77777777" w:rsidR="00DF3A15" w:rsidRPr="004D022A" w:rsidRDefault="00DF3A15" w:rsidP="0007315B">
            <w:pPr>
              <w:pStyle w:val="-7"/>
              <w:rPr>
                <w:sz w:val="18"/>
                <w:szCs w:val="18"/>
                <w:rtl/>
              </w:rPr>
            </w:pPr>
          </w:p>
        </w:tc>
        <w:tc>
          <w:tcPr>
            <w:tcW w:w="2942" w:type="dxa"/>
            <w:vAlign w:val="bottom"/>
          </w:tcPr>
          <w:p w14:paraId="6AEC6098" w14:textId="77777777" w:rsidR="00DF3A15" w:rsidRPr="004D022A" w:rsidRDefault="00DF3A15" w:rsidP="0007315B">
            <w:pPr>
              <w:pStyle w:val="-0"/>
              <w:spacing w:line="240" w:lineRule="auto"/>
              <w:ind w:left="663" w:hanging="231"/>
              <w:rPr>
                <w:color w:val="auto"/>
                <w:sz w:val="18"/>
                <w:szCs w:val="18"/>
                <w:rtl/>
              </w:rPr>
            </w:pPr>
          </w:p>
        </w:tc>
        <w:tc>
          <w:tcPr>
            <w:tcW w:w="3786" w:type="dxa"/>
            <w:gridSpan w:val="4"/>
            <w:vAlign w:val="bottom"/>
          </w:tcPr>
          <w:p w14:paraId="09428E8C" w14:textId="77777777" w:rsidR="00DF3A15" w:rsidRPr="004D022A" w:rsidRDefault="00DF3A15" w:rsidP="0007315B">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עסקאות סינדיקציה </w:t>
            </w:r>
            <w:r w:rsidRPr="004D022A">
              <w:rPr>
                <w:b/>
                <w:bCs/>
                <w:sz w:val="18"/>
                <w:szCs w:val="18"/>
                <w:rtl/>
              </w:rPr>
              <w:br/>
            </w:r>
            <w:r w:rsidRPr="004D022A">
              <w:rPr>
                <w:rFonts w:hint="cs"/>
                <w:b/>
                <w:bCs/>
                <w:sz w:val="18"/>
                <w:szCs w:val="18"/>
                <w:rtl/>
              </w:rPr>
              <w:t>שהתאגיד הבנקאי יזם**</w:t>
            </w:r>
          </w:p>
        </w:tc>
        <w:tc>
          <w:tcPr>
            <w:tcW w:w="1919" w:type="dxa"/>
            <w:gridSpan w:val="2"/>
            <w:vAlign w:val="bottom"/>
          </w:tcPr>
          <w:p w14:paraId="596356EB" w14:textId="77777777" w:rsidR="00DF3A15" w:rsidRPr="004D022A" w:rsidRDefault="00DF3A15" w:rsidP="0007315B">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עסקאות סינדיקציה </w:t>
            </w:r>
            <w:r w:rsidRPr="004D022A">
              <w:rPr>
                <w:b/>
                <w:bCs/>
                <w:sz w:val="18"/>
                <w:szCs w:val="18"/>
                <w:rtl/>
              </w:rPr>
              <w:br/>
            </w:r>
            <w:r w:rsidRPr="004D022A">
              <w:rPr>
                <w:rFonts w:hint="cs"/>
                <w:b/>
                <w:bCs/>
                <w:sz w:val="18"/>
                <w:szCs w:val="18"/>
                <w:rtl/>
              </w:rPr>
              <w:t>שיזמו אחרים</w:t>
            </w:r>
          </w:p>
        </w:tc>
      </w:tr>
      <w:tr w:rsidR="00DF3A15" w:rsidRPr="004D022A" w14:paraId="795AD776" w14:textId="77777777" w:rsidTr="00E63B86">
        <w:trPr>
          <w:trHeight w:val="259"/>
        </w:trPr>
        <w:tc>
          <w:tcPr>
            <w:tcW w:w="1560" w:type="dxa"/>
          </w:tcPr>
          <w:p w14:paraId="4C994748" w14:textId="77777777" w:rsidR="00DF3A15" w:rsidRPr="004D022A" w:rsidRDefault="00DF3A15" w:rsidP="0007315B">
            <w:pPr>
              <w:pStyle w:val="-7"/>
              <w:rPr>
                <w:sz w:val="18"/>
                <w:szCs w:val="18"/>
                <w:rtl/>
              </w:rPr>
            </w:pPr>
          </w:p>
        </w:tc>
        <w:tc>
          <w:tcPr>
            <w:tcW w:w="2942" w:type="dxa"/>
            <w:vAlign w:val="bottom"/>
          </w:tcPr>
          <w:p w14:paraId="2F507391" w14:textId="77777777" w:rsidR="00DF3A15" w:rsidRPr="004D022A" w:rsidRDefault="00DF3A15" w:rsidP="0007315B">
            <w:pPr>
              <w:pStyle w:val="-0"/>
              <w:spacing w:line="240" w:lineRule="auto"/>
              <w:ind w:left="663" w:hanging="231"/>
              <w:rPr>
                <w:color w:val="auto"/>
                <w:sz w:val="18"/>
                <w:szCs w:val="18"/>
                <w:rtl/>
              </w:rPr>
            </w:pPr>
          </w:p>
        </w:tc>
        <w:tc>
          <w:tcPr>
            <w:tcW w:w="1922" w:type="dxa"/>
            <w:gridSpan w:val="2"/>
            <w:vAlign w:val="bottom"/>
          </w:tcPr>
          <w:p w14:paraId="3C6E566C" w14:textId="77777777" w:rsidR="00DF3A15" w:rsidRPr="004D022A" w:rsidRDefault="00DF3A15" w:rsidP="0007315B">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חלקו של </w:t>
            </w:r>
            <w:r w:rsidRPr="004D022A">
              <w:rPr>
                <w:b/>
                <w:bCs/>
                <w:sz w:val="18"/>
                <w:szCs w:val="18"/>
                <w:rtl/>
              </w:rPr>
              <w:br/>
            </w:r>
            <w:r w:rsidRPr="004D022A">
              <w:rPr>
                <w:rFonts w:hint="cs"/>
                <w:b/>
                <w:bCs/>
                <w:sz w:val="18"/>
                <w:szCs w:val="18"/>
                <w:rtl/>
              </w:rPr>
              <w:t>התאגיד הבנקאי</w:t>
            </w:r>
          </w:p>
        </w:tc>
        <w:tc>
          <w:tcPr>
            <w:tcW w:w="1864" w:type="dxa"/>
            <w:gridSpan w:val="2"/>
            <w:vAlign w:val="bottom"/>
          </w:tcPr>
          <w:p w14:paraId="6FF6316B" w14:textId="77777777" w:rsidR="00DF3A15" w:rsidRPr="004D022A" w:rsidRDefault="00DF3A15" w:rsidP="0007315B">
            <w:pPr>
              <w:pStyle w:val="-3"/>
              <w:pBdr>
                <w:bottom w:val="single" w:sz="4" w:space="1" w:color="auto"/>
              </w:pBdr>
              <w:spacing w:line="240" w:lineRule="auto"/>
              <w:ind w:left="-28"/>
              <w:jc w:val="center"/>
              <w:rPr>
                <w:b/>
                <w:bCs/>
                <w:sz w:val="18"/>
                <w:szCs w:val="18"/>
                <w:rtl/>
              </w:rPr>
            </w:pPr>
            <w:r w:rsidRPr="004D022A">
              <w:rPr>
                <w:rFonts w:hint="cs"/>
                <w:b/>
                <w:bCs/>
                <w:sz w:val="18"/>
                <w:szCs w:val="18"/>
                <w:rtl/>
              </w:rPr>
              <w:t>חלקם של אחרים</w:t>
            </w:r>
          </w:p>
        </w:tc>
        <w:tc>
          <w:tcPr>
            <w:tcW w:w="1919" w:type="dxa"/>
            <w:gridSpan w:val="2"/>
            <w:vAlign w:val="bottom"/>
          </w:tcPr>
          <w:p w14:paraId="52D2BAF3" w14:textId="77777777" w:rsidR="00DF3A15" w:rsidRPr="004D022A" w:rsidRDefault="00DF3A15" w:rsidP="0007315B">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חלקו של </w:t>
            </w:r>
            <w:r w:rsidRPr="004D022A">
              <w:rPr>
                <w:b/>
                <w:bCs/>
                <w:sz w:val="18"/>
                <w:szCs w:val="18"/>
                <w:rtl/>
              </w:rPr>
              <w:br/>
            </w:r>
            <w:r w:rsidRPr="004D022A">
              <w:rPr>
                <w:rFonts w:hint="cs"/>
                <w:b/>
                <w:bCs/>
                <w:sz w:val="18"/>
                <w:szCs w:val="18"/>
                <w:rtl/>
              </w:rPr>
              <w:t>התאגיד הבנקאי</w:t>
            </w:r>
          </w:p>
        </w:tc>
      </w:tr>
      <w:tr w:rsidR="00DF3A15" w:rsidRPr="004D022A" w14:paraId="5BD911F5" w14:textId="77777777" w:rsidTr="00E63B86">
        <w:trPr>
          <w:trHeight w:val="259"/>
        </w:trPr>
        <w:tc>
          <w:tcPr>
            <w:tcW w:w="1560" w:type="dxa"/>
          </w:tcPr>
          <w:p w14:paraId="2D08CC3E" w14:textId="77777777" w:rsidR="00DF3A15" w:rsidRPr="004D022A" w:rsidRDefault="00DF3A15" w:rsidP="0007315B">
            <w:pPr>
              <w:pStyle w:val="-7"/>
              <w:rPr>
                <w:sz w:val="18"/>
                <w:szCs w:val="18"/>
                <w:rtl/>
              </w:rPr>
            </w:pPr>
          </w:p>
        </w:tc>
        <w:tc>
          <w:tcPr>
            <w:tcW w:w="2942" w:type="dxa"/>
            <w:vAlign w:val="bottom"/>
          </w:tcPr>
          <w:p w14:paraId="45904276" w14:textId="77777777" w:rsidR="00DF3A15" w:rsidRPr="004D022A" w:rsidRDefault="00DF3A15" w:rsidP="0007315B">
            <w:pPr>
              <w:pStyle w:val="-0"/>
              <w:spacing w:line="240" w:lineRule="auto"/>
              <w:ind w:left="663" w:hanging="231"/>
              <w:rPr>
                <w:color w:val="auto"/>
                <w:sz w:val="18"/>
                <w:szCs w:val="18"/>
                <w:rtl/>
              </w:rPr>
            </w:pPr>
          </w:p>
        </w:tc>
        <w:tc>
          <w:tcPr>
            <w:tcW w:w="904" w:type="dxa"/>
            <w:vAlign w:val="bottom"/>
          </w:tcPr>
          <w:p w14:paraId="4A527DD6" w14:textId="77777777" w:rsidR="00DF3A15" w:rsidRPr="004D022A" w:rsidRDefault="00DF3A15" w:rsidP="0007315B">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אשראי לציבור </w:t>
            </w:r>
          </w:p>
        </w:tc>
        <w:tc>
          <w:tcPr>
            <w:tcW w:w="1018" w:type="dxa"/>
            <w:vAlign w:val="bottom"/>
          </w:tcPr>
          <w:p w14:paraId="59B253D5" w14:textId="77777777" w:rsidR="00DF3A15" w:rsidRPr="004D022A" w:rsidRDefault="00DF3A15" w:rsidP="0007315B">
            <w:pPr>
              <w:pStyle w:val="-3"/>
              <w:pBdr>
                <w:bottom w:val="single" w:sz="4" w:space="1" w:color="auto"/>
              </w:pBdr>
              <w:spacing w:line="240" w:lineRule="auto"/>
              <w:ind w:left="-28"/>
              <w:jc w:val="center"/>
              <w:rPr>
                <w:b/>
                <w:bCs/>
                <w:sz w:val="18"/>
                <w:szCs w:val="18"/>
                <w:rtl/>
              </w:rPr>
            </w:pPr>
            <w:r w:rsidRPr="004D022A">
              <w:rPr>
                <w:rFonts w:hint="cs"/>
                <w:b/>
                <w:bCs/>
                <w:sz w:val="18"/>
                <w:szCs w:val="18"/>
                <w:rtl/>
              </w:rPr>
              <w:t>סיכון אשראי חוץ מאזני***</w:t>
            </w:r>
          </w:p>
        </w:tc>
        <w:tc>
          <w:tcPr>
            <w:tcW w:w="855" w:type="dxa"/>
            <w:vAlign w:val="bottom"/>
          </w:tcPr>
          <w:p w14:paraId="2946EB19" w14:textId="77777777" w:rsidR="00DF3A15" w:rsidRPr="004D022A" w:rsidRDefault="00DF3A15" w:rsidP="0007315B">
            <w:pPr>
              <w:pStyle w:val="-3"/>
              <w:pBdr>
                <w:bottom w:val="single" w:sz="4" w:space="1" w:color="auto"/>
              </w:pBdr>
              <w:spacing w:line="240" w:lineRule="auto"/>
              <w:ind w:left="-28"/>
              <w:jc w:val="center"/>
              <w:rPr>
                <w:b/>
                <w:bCs/>
                <w:sz w:val="18"/>
                <w:szCs w:val="18"/>
                <w:rtl/>
              </w:rPr>
            </w:pPr>
            <w:r w:rsidRPr="004D022A">
              <w:rPr>
                <w:rFonts w:hint="cs"/>
                <w:b/>
                <w:bCs/>
                <w:sz w:val="18"/>
                <w:szCs w:val="18"/>
                <w:rtl/>
              </w:rPr>
              <w:t>אשראי לציבור</w:t>
            </w:r>
          </w:p>
        </w:tc>
        <w:tc>
          <w:tcPr>
            <w:tcW w:w="1009" w:type="dxa"/>
            <w:vAlign w:val="bottom"/>
          </w:tcPr>
          <w:p w14:paraId="20B5D3F5" w14:textId="77777777" w:rsidR="00DF3A15" w:rsidRPr="004D022A" w:rsidRDefault="00DF3A15" w:rsidP="0007315B">
            <w:pPr>
              <w:pStyle w:val="-3"/>
              <w:pBdr>
                <w:bottom w:val="single" w:sz="4" w:space="1" w:color="auto"/>
              </w:pBdr>
              <w:spacing w:line="240" w:lineRule="auto"/>
              <w:ind w:left="-28"/>
              <w:jc w:val="center"/>
              <w:rPr>
                <w:b/>
                <w:bCs/>
                <w:sz w:val="18"/>
                <w:szCs w:val="18"/>
                <w:rtl/>
              </w:rPr>
            </w:pPr>
            <w:r w:rsidRPr="004D022A">
              <w:rPr>
                <w:rFonts w:hint="cs"/>
                <w:b/>
                <w:bCs/>
                <w:sz w:val="18"/>
                <w:szCs w:val="18"/>
                <w:rtl/>
              </w:rPr>
              <w:t>סיכון אשראי חוץ מאזני***</w:t>
            </w:r>
          </w:p>
        </w:tc>
        <w:tc>
          <w:tcPr>
            <w:tcW w:w="949" w:type="dxa"/>
            <w:vAlign w:val="bottom"/>
          </w:tcPr>
          <w:p w14:paraId="7A91287B" w14:textId="77777777" w:rsidR="00DF3A15" w:rsidRPr="004D022A" w:rsidRDefault="00DF3A15" w:rsidP="0007315B">
            <w:pPr>
              <w:pStyle w:val="-3"/>
              <w:pBdr>
                <w:bottom w:val="single" w:sz="4" w:space="1" w:color="auto"/>
              </w:pBdr>
              <w:spacing w:line="240" w:lineRule="auto"/>
              <w:ind w:left="-28"/>
              <w:jc w:val="center"/>
              <w:rPr>
                <w:b/>
                <w:bCs/>
                <w:sz w:val="18"/>
                <w:szCs w:val="18"/>
                <w:rtl/>
              </w:rPr>
            </w:pPr>
            <w:r w:rsidRPr="004D022A">
              <w:rPr>
                <w:rFonts w:hint="cs"/>
                <w:b/>
                <w:bCs/>
                <w:sz w:val="18"/>
                <w:szCs w:val="18"/>
                <w:rtl/>
              </w:rPr>
              <w:t>אשראי לציבור</w:t>
            </w:r>
          </w:p>
        </w:tc>
        <w:tc>
          <w:tcPr>
            <w:tcW w:w="970" w:type="dxa"/>
            <w:vAlign w:val="bottom"/>
          </w:tcPr>
          <w:p w14:paraId="2DCAE5A7" w14:textId="77777777" w:rsidR="00DF3A15" w:rsidRPr="004D022A" w:rsidRDefault="00DF3A15" w:rsidP="0007315B">
            <w:pPr>
              <w:pStyle w:val="-3"/>
              <w:pBdr>
                <w:bottom w:val="single" w:sz="4" w:space="1" w:color="auto"/>
              </w:pBdr>
              <w:spacing w:line="240" w:lineRule="auto"/>
              <w:ind w:left="-28"/>
              <w:jc w:val="center"/>
              <w:rPr>
                <w:b/>
                <w:bCs/>
                <w:sz w:val="18"/>
                <w:szCs w:val="18"/>
                <w:rtl/>
              </w:rPr>
            </w:pPr>
            <w:r w:rsidRPr="004D022A">
              <w:rPr>
                <w:rFonts w:hint="cs"/>
                <w:b/>
                <w:bCs/>
                <w:sz w:val="18"/>
                <w:szCs w:val="18"/>
                <w:rtl/>
              </w:rPr>
              <w:t>סיכון אשראי חוץ מאזני***</w:t>
            </w:r>
          </w:p>
        </w:tc>
      </w:tr>
      <w:tr w:rsidR="00DF3A15" w:rsidRPr="004D022A" w14:paraId="4ABE2BC6" w14:textId="77777777" w:rsidTr="00E63B86">
        <w:trPr>
          <w:trHeight w:val="259"/>
        </w:trPr>
        <w:tc>
          <w:tcPr>
            <w:tcW w:w="1560" w:type="dxa"/>
          </w:tcPr>
          <w:p w14:paraId="52ADF531" w14:textId="77777777" w:rsidR="00DF3A15" w:rsidRPr="004D022A" w:rsidRDefault="00DF3A15" w:rsidP="0007315B">
            <w:pPr>
              <w:pStyle w:val="-7"/>
              <w:rPr>
                <w:sz w:val="18"/>
                <w:szCs w:val="18"/>
                <w:rtl/>
              </w:rPr>
            </w:pPr>
          </w:p>
        </w:tc>
        <w:tc>
          <w:tcPr>
            <w:tcW w:w="2942" w:type="dxa"/>
            <w:vAlign w:val="bottom"/>
          </w:tcPr>
          <w:p w14:paraId="76A4490A" w14:textId="77777777" w:rsidR="00DF3A15" w:rsidRPr="004D022A" w:rsidRDefault="00DF3A15" w:rsidP="0007315B">
            <w:pPr>
              <w:pStyle w:val="-0"/>
              <w:spacing w:line="240" w:lineRule="auto"/>
              <w:ind w:left="113" w:hanging="113"/>
              <w:rPr>
                <w:b/>
                <w:bCs/>
                <w:color w:val="auto"/>
                <w:sz w:val="18"/>
                <w:szCs w:val="18"/>
                <w:rtl/>
              </w:rPr>
            </w:pPr>
            <w:r w:rsidRPr="004D022A">
              <w:rPr>
                <w:rFonts w:hint="cs"/>
                <w:color w:val="auto"/>
                <w:sz w:val="18"/>
                <w:szCs w:val="18"/>
                <w:rtl/>
              </w:rPr>
              <w:t>סך הכל מסחרי*</w:t>
            </w:r>
          </w:p>
        </w:tc>
        <w:tc>
          <w:tcPr>
            <w:tcW w:w="904" w:type="dxa"/>
            <w:vAlign w:val="bottom"/>
          </w:tcPr>
          <w:p w14:paraId="17930896" w14:textId="77777777" w:rsidR="00DF3A15" w:rsidRPr="004D022A" w:rsidRDefault="00DF3A15" w:rsidP="0007315B">
            <w:pPr>
              <w:pStyle w:val="-3"/>
              <w:rPr>
                <w:sz w:val="18"/>
                <w:szCs w:val="18"/>
                <w:rtl/>
              </w:rPr>
            </w:pPr>
            <w:r w:rsidRPr="004D022A">
              <w:rPr>
                <w:rFonts w:hint="cs"/>
                <w:sz w:val="18"/>
                <w:szCs w:val="18"/>
                <w:rtl/>
              </w:rPr>
              <w:t xml:space="preserve"> 0</w:t>
            </w:r>
          </w:p>
        </w:tc>
        <w:tc>
          <w:tcPr>
            <w:tcW w:w="1018" w:type="dxa"/>
            <w:vAlign w:val="bottom"/>
          </w:tcPr>
          <w:p w14:paraId="7EBD1105" w14:textId="77777777" w:rsidR="00DF3A15" w:rsidRPr="004D022A" w:rsidRDefault="00DF3A15" w:rsidP="0007315B">
            <w:pPr>
              <w:pStyle w:val="-3"/>
              <w:rPr>
                <w:sz w:val="18"/>
                <w:szCs w:val="18"/>
                <w:rtl/>
              </w:rPr>
            </w:pPr>
            <w:r w:rsidRPr="004D022A">
              <w:rPr>
                <w:rFonts w:hint="cs"/>
                <w:sz w:val="18"/>
                <w:szCs w:val="18"/>
                <w:rtl/>
              </w:rPr>
              <w:t xml:space="preserve"> 0</w:t>
            </w:r>
          </w:p>
        </w:tc>
        <w:tc>
          <w:tcPr>
            <w:tcW w:w="855" w:type="dxa"/>
            <w:vAlign w:val="bottom"/>
          </w:tcPr>
          <w:p w14:paraId="3642E54D" w14:textId="77777777" w:rsidR="00DF3A15" w:rsidRPr="004D022A" w:rsidRDefault="00DF3A15" w:rsidP="0007315B">
            <w:pPr>
              <w:pStyle w:val="-3"/>
              <w:rPr>
                <w:b/>
                <w:bCs/>
                <w:sz w:val="18"/>
                <w:szCs w:val="18"/>
                <w:rtl/>
              </w:rPr>
            </w:pPr>
            <w:r w:rsidRPr="004D022A">
              <w:rPr>
                <w:rFonts w:hint="cs"/>
                <w:sz w:val="18"/>
                <w:szCs w:val="18"/>
                <w:rtl/>
              </w:rPr>
              <w:t xml:space="preserve"> 0</w:t>
            </w:r>
          </w:p>
        </w:tc>
        <w:tc>
          <w:tcPr>
            <w:tcW w:w="1009" w:type="dxa"/>
            <w:vAlign w:val="bottom"/>
          </w:tcPr>
          <w:p w14:paraId="3F6397CF" w14:textId="77777777" w:rsidR="00DF3A15" w:rsidRPr="004D022A" w:rsidRDefault="00DF3A15" w:rsidP="0007315B">
            <w:pPr>
              <w:pStyle w:val="-3"/>
              <w:rPr>
                <w:sz w:val="18"/>
                <w:szCs w:val="18"/>
                <w:rtl/>
              </w:rPr>
            </w:pPr>
            <w:r w:rsidRPr="004D022A">
              <w:rPr>
                <w:rFonts w:hint="cs"/>
                <w:sz w:val="18"/>
                <w:szCs w:val="18"/>
                <w:rtl/>
              </w:rPr>
              <w:t xml:space="preserve"> 0</w:t>
            </w:r>
          </w:p>
        </w:tc>
        <w:tc>
          <w:tcPr>
            <w:tcW w:w="949" w:type="dxa"/>
            <w:vAlign w:val="bottom"/>
          </w:tcPr>
          <w:p w14:paraId="6AC3BC0F" w14:textId="77777777" w:rsidR="00DF3A15" w:rsidRPr="004D022A" w:rsidRDefault="00DF3A15" w:rsidP="0007315B">
            <w:pPr>
              <w:pStyle w:val="-3"/>
              <w:rPr>
                <w:sz w:val="18"/>
                <w:szCs w:val="18"/>
                <w:rtl/>
              </w:rPr>
            </w:pPr>
            <w:r w:rsidRPr="004D022A">
              <w:rPr>
                <w:rFonts w:hint="cs"/>
                <w:sz w:val="18"/>
                <w:szCs w:val="18"/>
                <w:rtl/>
              </w:rPr>
              <w:t xml:space="preserve"> 0</w:t>
            </w:r>
          </w:p>
        </w:tc>
        <w:tc>
          <w:tcPr>
            <w:tcW w:w="970" w:type="dxa"/>
            <w:vAlign w:val="bottom"/>
          </w:tcPr>
          <w:p w14:paraId="72127FCF" w14:textId="77777777" w:rsidR="00DF3A15" w:rsidRPr="004D022A" w:rsidRDefault="00DF3A15" w:rsidP="0007315B">
            <w:pPr>
              <w:pStyle w:val="-3"/>
              <w:rPr>
                <w:sz w:val="18"/>
                <w:szCs w:val="18"/>
                <w:rtl/>
              </w:rPr>
            </w:pPr>
            <w:r w:rsidRPr="004D022A">
              <w:rPr>
                <w:rFonts w:hint="cs"/>
                <w:sz w:val="18"/>
                <w:szCs w:val="18"/>
                <w:rtl/>
              </w:rPr>
              <w:t xml:space="preserve"> 0</w:t>
            </w:r>
          </w:p>
        </w:tc>
      </w:tr>
      <w:tr w:rsidR="00DF3A15" w:rsidRPr="004D022A" w14:paraId="19D4EB95" w14:textId="77777777" w:rsidTr="00E63B86">
        <w:trPr>
          <w:trHeight w:val="259"/>
        </w:trPr>
        <w:tc>
          <w:tcPr>
            <w:tcW w:w="1560" w:type="dxa"/>
          </w:tcPr>
          <w:p w14:paraId="7CA22344" w14:textId="77777777" w:rsidR="00DF3A15" w:rsidRPr="004D022A" w:rsidRDefault="00DF3A15" w:rsidP="0007315B">
            <w:pPr>
              <w:pStyle w:val="-7"/>
              <w:rPr>
                <w:sz w:val="18"/>
                <w:szCs w:val="18"/>
                <w:rtl/>
              </w:rPr>
            </w:pPr>
          </w:p>
        </w:tc>
        <w:tc>
          <w:tcPr>
            <w:tcW w:w="2942" w:type="dxa"/>
            <w:vAlign w:val="bottom"/>
          </w:tcPr>
          <w:p w14:paraId="732FEDD2" w14:textId="619B4B36" w:rsidR="00DF3A15" w:rsidRPr="004D022A" w:rsidRDefault="00DF3A15" w:rsidP="0007315B">
            <w:pPr>
              <w:pStyle w:val="-21"/>
              <w:ind w:left="113" w:hanging="113"/>
              <w:rPr>
                <w:b/>
                <w:bCs/>
                <w:color w:val="auto"/>
                <w:sz w:val="18"/>
                <w:szCs w:val="18"/>
                <w:rtl/>
              </w:rPr>
            </w:pPr>
            <w:r w:rsidRPr="004D022A">
              <w:rPr>
                <w:rFonts w:hint="cs"/>
                <w:color w:val="auto"/>
                <w:sz w:val="18"/>
                <w:szCs w:val="18"/>
                <w:rtl/>
              </w:rPr>
              <w:t xml:space="preserve">אנשים פרטיים - הלוואות </w:t>
            </w:r>
            <w:r w:rsidR="005445C5">
              <w:rPr>
                <w:rFonts w:hint="cs"/>
                <w:color w:val="auto"/>
                <w:sz w:val="18"/>
                <w:szCs w:val="18"/>
                <w:rtl/>
              </w:rPr>
              <w:t>ל</w:t>
            </w:r>
            <w:r w:rsidRPr="004D022A">
              <w:rPr>
                <w:rFonts w:hint="cs"/>
                <w:color w:val="auto"/>
                <w:sz w:val="18"/>
                <w:szCs w:val="18"/>
                <w:rtl/>
              </w:rPr>
              <w:t>דיור</w:t>
            </w:r>
          </w:p>
        </w:tc>
        <w:tc>
          <w:tcPr>
            <w:tcW w:w="904" w:type="dxa"/>
            <w:vAlign w:val="bottom"/>
          </w:tcPr>
          <w:p w14:paraId="10C396E4" w14:textId="77777777" w:rsidR="00DF3A15" w:rsidRPr="004D022A" w:rsidRDefault="00DF3A15" w:rsidP="0007315B">
            <w:pPr>
              <w:pStyle w:val="-3"/>
              <w:rPr>
                <w:sz w:val="18"/>
                <w:szCs w:val="18"/>
                <w:rtl/>
              </w:rPr>
            </w:pPr>
            <w:r w:rsidRPr="004D022A">
              <w:rPr>
                <w:rFonts w:hint="cs"/>
                <w:sz w:val="18"/>
                <w:szCs w:val="18"/>
                <w:rtl/>
              </w:rPr>
              <w:t xml:space="preserve"> 0</w:t>
            </w:r>
          </w:p>
        </w:tc>
        <w:tc>
          <w:tcPr>
            <w:tcW w:w="1018" w:type="dxa"/>
            <w:vAlign w:val="bottom"/>
          </w:tcPr>
          <w:p w14:paraId="3A805736" w14:textId="77777777" w:rsidR="00DF3A15" w:rsidRPr="004D022A" w:rsidRDefault="00DF3A15" w:rsidP="0007315B">
            <w:pPr>
              <w:pStyle w:val="-3"/>
              <w:rPr>
                <w:sz w:val="18"/>
                <w:szCs w:val="18"/>
                <w:rtl/>
              </w:rPr>
            </w:pPr>
            <w:r w:rsidRPr="004D022A">
              <w:rPr>
                <w:rFonts w:hint="cs"/>
                <w:sz w:val="18"/>
                <w:szCs w:val="18"/>
                <w:rtl/>
              </w:rPr>
              <w:t xml:space="preserve"> 0</w:t>
            </w:r>
          </w:p>
        </w:tc>
        <w:tc>
          <w:tcPr>
            <w:tcW w:w="855" w:type="dxa"/>
            <w:vAlign w:val="bottom"/>
          </w:tcPr>
          <w:p w14:paraId="689E76CD" w14:textId="77777777" w:rsidR="00DF3A15" w:rsidRPr="004D022A" w:rsidRDefault="00DF3A15" w:rsidP="0007315B">
            <w:pPr>
              <w:pStyle w:val="-3"/>
              <w:rPr>
                <w:b/>
                <w:bCs/>
                <w:sz w:val="18"/>
                <w:szCs w:val="18"/>
                <w:rtl/>
              </w:rPr>
            </w:pPr>
            <w:r w:rsidRPr="004D022A">
              <w:rPr>
                <w:rFonts w:hint="cs"/>
                <w:sz w:val="18"/>
                <w:szCs w:val="18"/>
                <w:rtl/>
              </w:rPr>
              <w:t xml:space="preserve"> 0</w:t>
            </w:r>
          </w:p>
        </w:tc>
        <w:tc>
          <w:tcPr>
            <w:tcW w:w="1009" w:type="dxa"/>
            <w:vAlign w:val="bottom"/>
          </w:tcPr>
          <w:p w14:paraId="22407B8E" w14:textId="77777777" w:rsidR="00DF3A15" w:rsidRPr="004D022A" w:rsidRDefault="00DF3A15" w:rsidP="0007315B">
            <w:pPr>
              <w:pStyle w:val="-3"/>
              <w:rPr>
                <w:sz w:val="18"/>
                <w:szCs w:val="18"/>
                <w:rtl/>
              </w:rPr>
            </w:pPr>
            <w:r w:rsidRPr="004D022A">
              <w:rPr>
                <w:rFonts w:hint="cs"/>
                <w:sz w:val="18"/>
                <w:szCs w:val="18"/>
                <w:rtl/>
              </w:rPr>
              <w:t xml:space="preserve"> 0</w:t>
            </w:r>
          </w:p>
        </w:tc>
        <w:tc>
          <w:tcPr>
            <w:tcW w:w="949" w:type="dxa"/>
            <w:vAlign w:val="bottom"/>
          </w:tcPr>
          <w:p w14:paraId="1ED0AB56" w14:textId="77777777" w:rsidR="00DF3A15" w:rsidRPr="004D022A" w:rsidRDefault="00DF3A15" w:rsidP="0007315B">
            <w:pPr>
              <w:pStyle w:val="-3"/>
              <w:rPr>
                <w:sz w:val="18"/>
                <w:szCs w:val="18"/>
                <w:rtl/>
              </w:rPr>
            </w:pPr>
            <w:r w:rsidRPr="004D022A">
              <w:rPr>
                <w:rFonts w:hint="cs"/>
                <w:sz w:val="18"/>
                <w:szCs w:val="18"/>
                <w:rtl/>
              </w:rPr>
              <w:t xml:space="preserve"> 0</w:t>
            </w:r>
          </w:p>
        </w:tc>
        <w:tc>
          <w:tcPr>
            <w:tcW w:w="970" w:type="dxa"/>
            <w:vAlign w:val="bottom"/>
          </w:tcPr>
          <w:p w14:paraId="4649D749" w14:textId="77777777" w:rsidR="00DF3A15" w:rsidRPr="004D022A" w:rsidRDefault="00DF3A15" w:rsidP="0007315B">
            <w:pPr>
              <w:pStyle w:val="-3"/>
              <w:rPr>
                <w:sz w:val="18"/>
                <w:szCs w:val="18"/>
                <w:rtl/>
              </w:rPr>
            </w:pPr>
            <w:r w:rsidRPr="004D022A">
              <w:rPr>
                <w:rFonts w:hint="cs"/>
                <w:sz w:val="18"/>
                <w:szCs w:val="18"/>
                <w:rtl/>
              </w:rPr>
              <w:t xml:space="preserve"> 0</w:t>
            </w:r>
          </w:p>
        </w:tc>
      </w:tr>
      <w:tr w:rsidR="00DF3A15" w:rsidRPr="004D022A" w14:paraId="7E7CE12E" w14:textId="77777777" w:rsidTr="00E63B86">
        <w:trPr>
          <w:trHeight w:val="259"/>
        </w:trPr>
        <w:tc>
          <w:tcPr>
            <w:tcW w:w="1560" w:type="dxa"/>
          </w:tcPr>
          <w:p w14:paraId="185E615D" w14:textId="77777777" w:rsidR="00DF3A15" w:rsidRPr="004D022A" w:rsidRDefault="00DF3A15" w:rsidP="0007315B">
            <w:pPr>
              <w:pStyle w:val="-7"/>
              <w:rPr>
                <w:sz w:val="18"/>
                <w:szCs w:val="18"/>
                <w:rtl/>
              </w:rPr>
            </w:pPr>
          </w:p>
        </w:tc>
        <w:tc>
          <w:tcPr>
            <w:tcW w:w="2942" w:type="dxa"/>
            <w:vAlign w:val="bottom"/>
          </w:tcPr>
          <w:p w14:paraId="77C9E308" w14:textId="77777777" w:rsidR="00DF3A15" w:rsidRPr="004D022A" w:rsidRDefault="00DF3A15" w:rsidP="0007315B">
            <w:pPr>
              <w:pStyle w:val="-0"/>
              <w:spacing w:line="240" w:lineRule="auto"/>
              <w:ind w:left="113" w:hanging="113"/>
              <w:rPr>
                <w:b/>
                <w:bCs/>
                <w:color w:val="auto"/>
                <w:sz w:val="18"/>
                <w:szCs w:val="18"/>
                <w:rtl/>
              </w:rPr>
            </w:pPr>
            <w:r w:rsidRPr="004D022A">
              <w:rPr>
                <w:rFonts w:hint="cs"/>
                <w:color w:val="auto"/>
                <w:sz w:val="18"/>
                <w:szCs w:val="18"/>
                <w:rtl/>
              </w:rPr>
              <w:t>אנשים פרטיים - אחר</w:t>
            </w:r>
          </w:p>
        </w:tc>
        <w:tc>
          <w:tcPr>
            <w:tcW w:w="904" w:type="dxa"/>
            <w:vAlign w:val="bottom"/>
          </w:tcPr>
          <w:p w14:paraId="1717973B" w14:textId="77777777" w:rsidR="00DF3A15" w:rsidRPr="004D022A" w:rsidRDefault="00DF3A15" w:rsidP="0007315B">
            <w:pPr>
              <w:pStyle w:val="-3"/>
              <w:pBdr>
                <w:bottom w:val="single" w:sz="4" w:space="1" w:color="auto"/>
              </w:pBdr>
              <w:rPr>
                <w:b/>
                <w:bCs/>
                <w:sz w:val="18"/>
                <w:szCs w:val="18"/>
                <w:rtl/>
              </w:rPr>
            </w:pPr>
            <w:r w:rsidRPr="004D022A">
              <w:rPr>
                <w:rFonts w:hint="cs"/>
                <w:sz w:val="18"/>
                <w:szCs w:val="18"/>
                <w:rtl/>
              </w:rPr>
              <w:t xml:space="preserve"> 0</w:t>
            </w:r>
          </w:p>
        </w:tc>
        <w:tc>
          <w:tcPr>
            <w:tcW w:w="1018" w:type="dxa"/>
            <w:vAlign w:val="bottom"/>
          </w:tcPr>
          <w:p w14:paraId="7F116681" w14:textId="77777777" w:rsidR="00DF3A15" w:rsidRPr="004D022A" w:rsidRDefault="00DF3A15" w:rsidP="0007315B">
            <w:pPr>
              <w:pStyle w:val="-3"/>
              <w:pBdr>
                <w:bottom w:val="single" w:sz="4" w:space="1" w:color="auto"/>
              </w:pBdr>
              <w:rPr>
                <w:b/>
                <w:bCs/>
                <w:sz w:val="18"/>
                <w:szCs w:val="18"/>
                <w:rtl/>
              </w:rPr>
            </w:pPr>
            <w:r w:rsidRPr="004D022A">
              <w:rPr>
                <w:rFonts w:hint="cs"/>
                <w:sz w:val="18"/>
                <w:szCs w:val="18"/>
                <w:rtl/>
              </w:rPr>
              <w:t xml:space="preserve"> 0</w:t>
            </w:r>
          </w:p>
        </w:tc>
        <w:tc>
          <w:tcPr>
            <w:tcW w:w="855" w:type="dxa"/>
            <w:vAlign w:val="bottom"/>
          </w:tcPr>
          <w:p w14:paraId="59966C48" w14:textId="77777777" w:rsidR="00DF3A15" w:rsidRPr="004D022A" w:rsidRDefault="00DF3A15" w:rsidP="0007315B">
            <w:pPr>
              <w:pStyle w:val="-3"/>
              <w:pBdr>
                <w:bottom w:val="single" w:sz="4" w:space="1" w:color="auto"/>
              </w:pBdr>
              <w:rPr>
                <w:b/>
                <w:bCs/>
                <w:sz w:val="18"/>
                <w:szCs w:val="18"/>
                <w:rtl/>
              </w:rPr>
            </w:pPr>
            <w:r w:rsidRPr="004D022A">
              <w:rPr>
                <w:rFonts w:hint="cs"/>
                <w:sz w:val="18"/>
                <w:szCs w:val="18"/>
                <w:rtl/>
              </w:rPr>
              <w:t xml:space="preserve"> 0</w:t>
            </w:r>
          </w:p>
        </w:tc>
        <w:tc>
          <w:tcPr>
            <w:tcW w:w="1009" w:type="dxa"/>
            <w:vAlign w:val="bottom"/>
          </w:tcPr>
          <w:p w14:paraId="7AC4E516" w14:textId="77777777" w:rsidR="00DF3A15" w:rsidRPr="004D022A" w:rsidRDefault="00DF3A15" w:rsidP="0007315B">
            <w:pPr>
              <w:pStyle w:val="-3"/>
              <w:pBdr>
                <w:bottom w:val="single" w:sz="4" w:space="1" w:color="auto"/>
              </w:pBdr>
              <w:rPr>
                <w:sz w:val="18"/>
                <w:szCs w:val="18"/>
                <w:rtl/>
              </w:rPr>
            </w:pPr>
            <w:r w:rsidRPr="004D022A">
              <w:rPr>
                <w:rFonts w:hint="cs"/>
                <w:sz w:val="18"/>
                <w:szCs w:val="18"/>
                <w:rtl/>
              </w:rPr>
              <w:t xml:space="preserve"> 0</w:t>
            </w:r>
          </w:p>
        </w:tc>
        <w:tc>
          <w:tcPr>
            <w:tcW w:w="949" w:type="dxa"/>
            <w:vAlign w:val="bottom"/>
          </w:tcPr>
          <w:p w14:paraId="6E958283" w14:textId="77777777" w:rsidR="00DF3A15" w:rsidRPr="004D022A" w:rsidRDefault="00DF3A15" w:rsidP="0007315B">
            <w:pPr>
              <w:pStyle w:val="-3"/>
              <w:pBdr>
                <w:bottom w:val="single" w:sz="4" w:space="1" w:color="auto"/>
              </w:pBdr>
              <w:rPr>
                <w:sz w:val="18"/>
                <w:szCs w:val="18"/>
                <w:rtl/>
              </w:rPr>
            </w:pPr>
            <w:r w:rsidRPr="004D022A">
              <w:rPr>
                <w:rFonts w:hint="cs"/>
                <w:sz w:val="18"/>
                <w:szCs w:val="18"/>
                <w:rtl/>
              </w:rPr>
              <w:t xml:space="preserve"> 0</w:t>
            </w:r>
          </w:p>
        </w:tc>
        <w:tc>
          <w:tcPr>
            <w:tcW w:w="970" w:type="dxa"/>
            <w:vAlign w:val="bottom"/>
          </w:tcPr>
          <w:p w14:paraId="78BCCFCD" w14:textId="77777777" w:rsidR="00DF3A15" w:rsidRPr="004D022A" w:rsidRDefault="00DF3A15" w:rsidP="0007315B">
            <w:pPr>
              <w:pStyle w:val="-3"/>
              <w:pBdr>
                <w:bottom w:val="single" w:sz="4" w:space="1" w:color="auto"/>
              </w:pBdr>
              <w:rPr>
                <w:sz w:val="18"/>
                <w:szCs w:val="18"/>
                <w:rtl/>
              </w:rPr>
            </w:pPr>
            <w:r w:rsidRPr="004D022A">
              <w:rPr>
                <w:rFonts w:hint="cs"/>
                <w:sz w:val="18"/>
                <w:szCs w:val="18"/>
                <w:rtl/>
              </w:rPr>
              <w:t xml:space="preserve"> 0</w:t>
            </w:r>
          </w:p>
        </w:tc>
      </w:tr>
      <w:tr w:rsidR="00DF3A15" w:rsidRPr="004D022A" w14:paraId="4B73E050" w14:textId="77777777" w:rsidTr="00E63B86">
        <w:trPr>
          <w:trHeight w:val="259"/>
        </w:trPr>
        <w:tc>
          <w:tcPr>
            <w:tcW w:w="1560" w:type="dxa"/>
          </w:tcPr>
          <w:p w14:paraId="17D7AFB4" w14:textId="77777777" w:rsidR="00DF3A15" w:rsidRPr="004D022A" w:rsidRDefault="00DF3A15" w:rsidP="0007315B">
            <w:pPr>
              <w:pStyle w:val="-7"/>
              <w:rPr>
                <w:sz w:val="18"/>
                <w:szCs w:val="18"/>
                <w:rtl/>
              </w:rPr>
            </w:pPr>
          </w:p>
        </w:tc>
        <w:tc>
          <w:tcPr>
            <w:tcW w:w="2942" w:type="dxa"/>
            <w:vAlign w:val="bottom"/>
          </w:tcPr>
          <w:p w14:paraId="487C47F5" w14:textId="77777777" w:rsidR="00DF3A15" w:rsidRPr="00AD40A8" w:rsidRDefault="00DF3A15" w:rsidP="0007315B">
            <w:pPr>
              <w:pStyle w:val="-b"/>
              <w:ind w:left="113" w:hanging="113"/>
              <w:rPr>
                <w:b w:val="0"/>
                <w:bCs w:val="0"/>
                <w:color w:val="auto"/>
                <w:sz w:val="18"/>
                <w:szCs w:val="18"/>
                <w:rtl/>
              </w:rPr>
            </w:pPr>
            <w:r w:rsidRPr="00AD40A8">
              <w:rPr>
                <w:rFonts w:hint="cs"/>
                <w:b w:val="0"/>
                <w:bCs w:val="0"/>
                <w:color w:val="auto"/>
                <w:sz w:val="18"/>
                <w:szCs w:val="18"/>
                <w:rtl/>
              </w:rPr>
              <w:t>סך הכל אשראי לציבור</w:t>
            </w:r>
          </w:p>
        </w:tc>
        <w:tc>
          <w:tcPr>
            <w:tcW w:w="904" w:type="dxa"/>
            <w:vAlign w:val="bottom"/>
          </w:tcPr>
          <w:p w14:paraId="62E16B5A" w14:textId="77777777" w:rsidR="00DF3A15" w:rsidRPr="00AD40A8" w:rsidRDefault="00DF3A15" w:rsidP="0007315B">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c>
          <w:tcPr>
            <w:tcW w:w="1018" w:type="dxa"/>
            <w:vAlign w:val="bottom"/>
          </w:tcPr>
          <w:p w14:paraId="7CE0445E" w14:textId="77777777" w:rsidR="00DF3A15" w:rsidRPr="00AD40A8" w:rsidRDefault="00DF3A15" w:rsidP="0007315B">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c>
          <w:tcPr>
            <w:tcW w:w="855" w:type="dxa"/>
            <w:vAlign w:val="bottom"/>
          </w:tcPr>
          <w:p w14:paraId="42ABC0D6" w14:textId="77777777" w:rsidR="00DF3A15" w:rsidRPr="00AD40A8" w:rsidRDefault="00DF3A15" w:rsidP="0007315B">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c>
          <w:tcPr>
            <w:tcW w:w="1009" w:type="dxa"/>
            <w:vAlign w:val="bottom"/>
          </w:tcPr>
          <w:p w14:paraId="5211A0CA" w14:textId="77777777" w:rsidR="00DF3A15" w:rsidRPr="00AD40A8" w:rsidRDefault="00DF3A15" w:rsidP="0007315B">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c>
          <w:tcPr>
            <w:tcW w:w="949" w:type="dxa"/>
            <w:vAlign w:val="bottom"/>
          </w:tcPr>
          <w:p w14:paraId="0952576D" w14:textId="77777777" w:rsidR="00DF3A15" w:rsidRPr="00AD40A8" w:rsidRDefault="00DF3A15" w:rsidP="0007315B">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c>
          <w:tcPr>
            <w:tcW w:w="970" w:type="dxa"/>
            <w:vAlign w:val="bottom"/>
          </w:tcPr>
          <w:p w14:paraId="36F0B59C" w14:textId="77777777" w:rsidR="00DF3A15" w:rsidRPr="00AD40A8" w:rsidRDefault="00DF3A15" w:rsidP="0007315B">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r>
    </w:tbl>
    <w:p w14:paraId="55D8BEFC" w14:textId="77777777" w:rsidR="00DF3A15" w:rsidRPr="004D022A" w:rsidRDefault="00DF3A15" w:rsidP="00DF3A15">
      <w:pPr>
        <w:rPr>
          <w:sz w:val="18"/>
          <w:szCs w:val="18"/>
          <w:rtl/>
        </w:rPr>
      </w:pPr>
    </w:p>
    <w:p w14:paraId="7723A242" w14:textId="358B0200" w:rsidR="00DF3A15" w:rsidRDefault="00DF3A15" w:rsidP="00DF3A15">
      <w:pPr>
        <w:rPr>
          <w:sz w:val="18"/>
          <w:szCs w:val="18"/>
          <w:rtl/>
        </w:rPr>
      </w:pPr>
    </w:p>
    <w:p w14:paraId="30D889A6" w14:textId="77777777" w:rsidR="00657C4C" w:rsidRPr="004D022A" w:rsidRDefault="00657C4C" w:rsidP="00DF3A15">
      <w:pPr>
        <w:rPr>
          <w:sz w:val="18"/>
          <w:szCs w:val="18"/>
          <w:rtl/>
        </w:rPr>
      </w:pPr>
    </w:p>
    <w:tbl>
      <w:tblPr>
        <w:bidiVisual/>
        <w:tblW w:w="5000" w:type="pct"/>
        <w:tblLayout w:type="fixed"/>
        <w:tblLook w:val="01E0" w:firstRow="1" w:lastRow="1" w:firstColumn="1" w:lastColumn="1" w:noHBand="0" w:noVBand="0"/>
      </w:tblPr>
      <w:tblGrid>
        <w:gridCol w:w="1560"/>
        <w:gridCol w:w="2942"/>
        <w:gridCol w:w="904"/>
        <w:gridCol w:w="1018"/>
        <w:gridCol w:w="855"/>
        <w:gridCol w:w="1009"/>
        <w:gridCol w:w="949"/>
        <w:gridCol w:w="970"/>
      </w:tblGrid>
      <w:tr w:rsidR="005445C5" w:rsidRPr="004D022A" w14:paraId="1FDF4EDF" w14:textId="77777777" w:rsidTr="00E63B86">
        <w:trPr>
          <w:trHeight w:val="259"/>
        </w:trPr>
        <w:tc>
          <w:tcPr>
            <w:tcW w:w="1560" w:type="dxa"/>
          </w:tcPr>
          <w:p w14:paraId="10C0D66F" w14:textId="77777777" w:rsidR="005445C5" w:rsidRPr="004D022A" w:rsidRDefault="005445C5" w:rsidP="00400DD1">
            <w:pPr>
              <w:pStyle w:val="-7"/>
              <w:rPr>
                <w:sz w:val="18"/>
                <w:szCs w:val="18"/>
                <w:rtl/>
              </w:rPr>
            </w:pPr>
          </w:p>
        </w:tc>
        <w:tc>
          <w:tcPr>
            <w:tcW w:w="2942" w:type="dxa"/>
            <w:vAlign w:val="bottom"/>
          </w:tcPr>
          <w:p w14:paraId="50EF2389" w14:textId="77777777" w:rsidR="005445C5" w:rsidRPr="004D022A" w:rsidRDefault="005445C5" w:rsidP="00400DD1">
            <w:pPr>
              <w:pStyle w:val="-0"/>
              <w:spacing w:line="240" w:lineRule="auto"/>
              <w:ind w:left="663" w:hanging="231"/>
              <w:rPr>
                <w:color w:val="auto"/>
                <w:sz w:val="18"/>
                <w:szCs w:val="18"/>
                <w:rtl/>
              </w:rPr>
            </w:pPr>
          </w:p>
        </w:tc>
        <w:tc>
          <w:tcPr>
            <w:tcW w:w="5705" w:type="dxa"/>
            <w:gridSpan w:val="6"/>
            <w:vAlign w:val="bottom"/>
          </w:tcPr>
          <w:p w14:paraId="013315FD" w14:textId="07110FEB"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ליום 30 ביוני </w:t>
            </w:r>
            <w:r w:rsidRPr="004D022A">
              <w:rPr>
                <w:b/>
                <w:bCs/>
                <w:sz w:val="18"/>
                <w:szCs w:val="18"/>
                <w:rtl/>
              </w:rPr>
              <w:fldChar w:fldCharType="begin"/>
            </w:r>
            <w:r w:rsidRPr="004D022A">
              <w:rPr>
                <w:b/>
                <w:bCs/>
                <w:sz w:val="18"/>
                <w:szCs w:val="18"/>
                <w:rtl/>
              </w:rPr>
              <w:instrText xml:space="preserve"> </w:instrText>
            </w:r>
            <w:r w:rsidRPr="004D022A">
              <w:rPr>
                <w:rFonts w:hint="cs"/>
                <w:b/>
                <w:bCs/>
                <w:sz w:val="18"/>
                <w:szCs w:val="18"/>
                <w:rtl/>
              </w:rPr>
              <w:instrText xml:space="preserve">= </w:instrText>
            </w:r>
            <w:r w:rsidRPr="004D022A">
              <w:rPr>
                <w:rFonts w:hint="cs"/>
                <w:b/>
                <w:bCs/>
                <w:sz w:val="18"/>
                <w:szCs w:val="18"/>
              </w:rPr>
              <w:instrText>CY</w:instrText>
            </w:r>
            <w:r>
              <w:rPr>
                <w:b/>
                <w:bCs/>
                <w:sz w:val="18"/>
                <w:szCs w:val="18"/>
              </w:rPr>
              <w:instrText>-1</w:instrText>
            </w:r>
            <w:r w:rsidRPr="004D022A">
              <w:rPr>
                <w:rFonts w:hint="cs"/>
                <w:b/>
                <w:bCs/>
                <w:sz w:val="18"/>
                <w:szCs w:val="18"/>
              </w:rPr>
              <w:instrText xml:space="preserve"> \* MERGEFORMAT</w:instrText>
            </w:r>
            <w:r w:rsidRPr="004D022A">
              <w:rPr>
                <w:b/>
                <w:bCs/>
                <w:sz w:val="18"/>
                <w:szCs w:val="18"/>
                <w:rtl/>
              </w:rPr>
              <w:instrText xml:space="preserve"> </w:instrText>
            </w:r>
            <w:r w:rsidRPr="004D022A">
              <w:rPr>
                <w:b/>
                <w:bCs/>
                <w:sz w:val="18"/>
                <w:szCs w:val="18"/>
                <w:rtl/>
              </w:rPr>
              <w:fldChar w:fldCharType="separate"/>
            </w:r>
            <w:r w:rsidR="003A584F">
              <w:rPr>
                <w:b/>
                <w:bCs/>
                <w:noProof/>
                <w:sz w:val="18"/>
                <w:szCs w:val="18"/>
                <w:rtl/>
              </w:rPr>
              <w:t>2023</w:t>
            </w:r>
            <w:r w:rsidRPr="004D022A">
              <w:rPr>
                <w:b/>
                <w:bCs/>
                <w:sz w:val="18"/>
                <w:szCs w:val="18"/>
                <w:rtl/>
              </w:rPr>
              <w:fldChar w:fldCharType="end"/>
            </w:r>
            <w:r w:rsidRPr="004D022A">
              <w:rPr>
                <w:rFonts w:hint="cs"/>
                <w:b/>
                <w:bCs/>
                <w:sz w:val="18"/>
                <w:szCs w:val="18"/>
                <w:rtl/>
              </w:rPr>
              <w:t xml:space="preserve"> </w:t>
            </w:r>
            <w:r>
              <w:rPr>
                <w:rFonts w:hint="cs"/>
                <w:b/>
                <w:bCs/>
                <w:sz w:val="18"/>
                <w:szCs w:val="18"/>
                <w:rtl/>
              </w:rPr>
              <w:t xml:space="preserve"> </w:t>
            </w:r>
            <w:r w:rsidRPr="001F0989">
              <w:rPr>
                <w:rFonts w:hint="cs"/>
                <w:sz w:val="18"/>
                <w:szCs w:val="18"/>
                <w:rtl/>
              </w:rPr>
              <w:t>(בלתי מבוקר)</w:t>
            </w:r>
          </w:p>
        </w:tc>
      </w:tr>
      <w:tr w:rsidR="005445C5" w:rsidRPr="004D022A" w14:paraId="046A3626" w14:textId="77777777" w:rsidTr="00E63B86">
        <w:trPr>
          <w:trHeight w:val="259"/>
        </w:trPr>
        <w:tc>
          <w:tcPr>
            <w:tcW w:w="1560" w:type="dxa"/>
          </w:tcPr>
          <w:p w14:paraId="54E1912F" w14:textId="77777777" w:rsidR="005445C5" w:rsidRPr="004D022A" w:rsidRDefault="005445C5" w:rsidP="00400DD1">
            <w:pPr>
              <w:pStyle w:val="-7"/>
              <w:rPr>
                <w:sz w:val="18"/>
                <w:szCs w:val="18"/>
                <w:rtl/>
              </w:rPr>
            </w:pPr>
          </w:p>
        </w:tc>
        <w:tc>
          <w:tcPr>
            <w:tcW w:w="2942" w:type="dxa"/>
            <w:vAlign w:val="bottom"/>
          </w:tcPr>
          <w:p w14:paraId="6C8BAB0D" w14:textId="77777777" w:rsidR="005445C5" w:rsidRPr="004D022A" w:rsidRDefault="005445C5" w:rsidP="00400DD1">
            <w:pPr>
              <w:pStyle w:val="-0"/>
              <w:spacing w:line="240" w:lineRule="auto"/>
              <w:ind w:left="663" w:hanging="231"/>
              <w:rPr>
                <w:color w:val="auto"/>
                <w:sz w:val="18"/>
                <w:szCs w:val="18"/>
                <w:rtl/>
              </w:rPr>
            </w:pPr>
          </w:p>
        </w:tc>
        <w:tc>
          <w:tcPr>
            <w:tcW w:w="3786" w:type="dxa"/>
            <w:gridSpan w:val="4"/>
            <w:vAlign w:val="bottom"/>
          </w:tcPr>
          <w:p w14:paraId="452DF454"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עסקאות סינדיקציה </w:t>
            </w:r>
            <w:r w:rsidRPr="004D022A">
              <w:rPr>
                <w:b/>
                <w:bCs/>
                <w:sz w:val="18"/>
                <w:szCs w:val="18"/>
                <w:rtl/>
              </w:rPr>
              <w:br/>
            </w:r>
            <w:r w:rsidRPr="004D022A">
              <w:rPr>
                <w:rFonts w:hint="cs"/>
                <w:b/>
                <w:bCs/>
                <w:sz w:val="18"/>
                <w:szCs w:val="18"/>
                <w:rtl/>
              </w:rPr>
              <w:t>שהתאגיד הבנקאי יזם**</w:t>
            </w:r>
          </w:p>
        </w:tc>
        <w:tc>
          <w:tcPr>
            <w:tcW w:w="1919" w:type="dxa"/>
            <w:gridSpan w:val="2"/>
            <w:vAlign w:val="bottom"/>
          </w:tcPr>
          <w:p w14:paraId="0F0315DB"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עסקאות סינדיקציה </w:t>
            </w:r>
            <w:r w:rsidRPr="004D022A">
              <w:rPr>
                <w:b/>
                <w:bCs/>
                <w:sz w:val="18"/>
                <w:szCs w:val="18"/>
                <w:rtl/>
              </w:rPr>
              <w:br/>
            </w:r>
            <w:r w:rsidRPr="004D022A">
              <w:rPr>
                <w:rFonts w:hint="cs"/>
                <w:b/>
                <w:bCs/>
                <w:sz w:val="18"/>
                <w:szCs w:val="18"/>
                <w:rtl/>
              </w:rPr>
              <w:t>שיזמו אחרים</w:t>
            </w:r>
          </w:p>
        </w:tc>
      </w:tr>
      <w:tr w:rsidR="005445C5" w:rsidRPr="004D022A" w14:paraId="26327056" w14:textId="77777777" w:rsidTr="00E63B86">
        <w:trPr>
          <w:trHeight w:val="259"/>
        </w:trPr>
        <w:tc>
          <w:tcPr>
            <w:tcW w:w="1560" w:type="dxa"/>
          </w:tcPr>
          <w:p w14:paraId="79ABFD22" w14:textId="77777777" w:rsidR="005445C5" w:rsidRPr="004D022A" w:rsidRDefault="005445C5" w:rsidP="00400DD1">
            <w:pPr>
              <w:pStyle w:val="-7"/>
              <w:rPr>
                <w:sz w:val="18"/>
                <w:szCs w:val="18"/>
                <w:rtl/>
              </w:rPr>
            </w:pPr>
          </w:p>
        </w:tc>
        <w:tc>
          <w:tcPr>
            <w:tcW w:w="2942" w:type="dxa"/>
            <w:vAlign w:val="bottom"/>
          </w:tcPr>
          <w:p w14:paraId="561AFD6F" w14:textId="77777777" w:rsidR="005445C5" w:rsidRPr="004D022A" w:rsidRDefault="005445C5" w:rsidP="00400DD1">
            <w:pPr>
              <w:pStyle w:val="-0"/>
              <w:spacing w:line="240" w:lineRule="auto"/>
              <w:ind w:left="663" w:hanging="231"/>
              <w:rPr>
                <w:color w:val="auto"/>
                <w:sz w:val="18"/>
                <w:szCs w:val="18"/>
                <w:rtl/>
              </w:rPr>
            </w:pPr>
          </w:p>
        </w:tc>
        <w:tc>
          <w:tcPr>
            <w:tcW w:w="1922" w:type="dxa"/>
            <w:gridSpan w:val="2"/>
            <w:vAlign w:val="bottom"/>
          </w:tcPr>
          <w:p w14:paraId="64795D5E"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חלקו של </w:t>
            </w:r>
            <w:r w:rsidRPr="004D022A">
              <w:rPr>
                <w:b/>
                <w:bCs/>
                <w:sz w:val="18"/>
                <w:szCs w:val="18"/>
                <w:rtl/>
              </w:rPr>
              <w:br/>
            </w:r>
            <w:r w:rsidRPr="004D022A">
              <w:rPr>
                <w:rFonts w:hint="cs"/>
                <w:b/>
                <w:bCs/>
                <w:sz w:val="18"/>
                <w:szCs w:val="18"/>
                <w:rtl/>
              </w:rPr>
              <w:t>התאגיד הבנקאי</w:t>
            </w:r>
          </w:p>
        </w:tc>
        <w:tc>
          <w:tcPr>
            <w:tcW w:w="1864" w:type="dxa"/>
            <w:gridSpan w:val="2"/>
            <w:vAlign w:val="bottom"/>
          </w:tcPr>
          <w:p w14:paraId="1EFFDB62"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חלקם של אחרים</w:t>
            </w:r>
          </w:p>
        </w:tc>
        <w:tc>
          <w:tcPr>
            <w:tcW w:w="1919" w:type="dxa"/>
            <w:gridSpan w:val="2"/>
            <w:vAlign w:val="bottom"/>
          </w:tcPr>
          <w:p w14:paraId="588FF838"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חלקו של </w:t>
            </w:r>
            <w:r w:rsidRPr="004D022A">
              <w:rPr>
                <w:b/>
                <w:bCs/>
                <w:sz w:val="18"/>
                <w:szCs w:val="18"/>
                <w:rtl/>
              </w:rPr>
              <w:br/>
            </w:r>
            <w:r w:rsidRPr="004D022A">
              <w:rPr>
                <w:rFonts w:hint="cs"/>
                <w:b/>
                <w:bCs/>
                <w:sz w:val="18"/>
                <w:szCs w:val="18"/>
                <w:rtl/>
              </w:rPr>
              <w:t>התאגיד הבנקאי</w:t>
            </w:r>
          </w:p>
        </w:tc>
      </w:tr>
      <w:tr w:rsidR="005445C5" w:rsidRPr="004D022A" w14:paraId="5EF293DA" w14:textId="77777777" w:rsidTr="00E63B86">
        <w:trPr>
          <w:trHeight w:val="259"/>
        </w:trPr>
        <w:tc>
          <w:tcPr>
            <w:tcW w:w="1560" w:type="dxa"/>
          </w:tcPr>
          <w:p w14:paraId="780C4D9C" w14:textId="77777777" w:rsidR="005445C5" w:rsidRPr="004D022A" w:rsidRDefault="005445C5" w:rsidP="00400DD1">
            <w:pPr>
              <w:pStyle w:val="-7"/>
              <w:rPr>
                <w:sz w:val="18"/>
                <w:szCs w:val="18"/>
                <w:rtl/>
              </w:rPr>
            </w:pPr>
          </w:p>
        </w:tc>
        <w:tc>
          <w:tcPr>
            <w:tcW w:w="2942" w:type="dxa"/>
            <w:vAlign w:val="bottom"/>
          </w:tcPr>
          <w:p w14:paraId="0B0A469F" w14:textId="77777777" w:rsidR="005445C5" w:rsidRPr="004D022A" w:rsidRDefault="005445C5" w:rsidP="00400DD1">
            <w:pPr>
              <w:pStyle w:val="-0"/>
              <w:spacing w:line="240" w:lineRule="auto"/>
              <w:ind w:left="663" w:hanging="231"/>
              <w:rPr>
                <w:color w:val="auto"/>
                <w:sz w:val="18"/>
                <w:szCs w:val="18"/>
                <w:rtl/>
              </w:rPr>
            </w:pPr>
          </w:p>
        </w:tc>
        <w:tc>
          <w:tcPr>
            <w:tcW w:w="904" w:type="dxa"/>
            <w:vAlign w:val="bottom"/>
          </w:tcPr>
          <w:p w14:paraId="2443F96F"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אשראי לציבור </w:t>
            </w:r>
          </w:p>
        </w:tc>
        <w:tc>
          <w:tcPr>
            <w:tcW w:w="1018" w:type="dxa"/>
            <w:vAlign w:val="bottom"/>
          </w:tcPr>
          <w:p w14:paraId="5EC4EF97"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סיכון אשראי חוץ מאזני***</w:t>
            </w:r>
          </w:p>
        </w:tc>
        <w:tc>
          <w:tcPr>
            <w:tcW w:w="855" w:type="dxa"/>
            <w:vAlign w:val="bottom"/>
          </w:tcPr>
          <w:p w14:paraId="44284CA5"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אשראי לציבור</w:t>
            </w:r>
          </w:p>
        </w:tc>
        <w:tc>
          <w:tcPr>
            <w:tcW w:w="1009" w:type="dxa"/>
            <w:vAlign w:val="bottom"/>
          </w:tcPr>
          <w:p w14:paraId="59113925"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סיכון אשראי חוץ מאזני***</w:t>
            </w:r>
          </w:p>
        </w:tc>
        <w:tc>
          <w:tcPr>
            <w:tcW w:w="949" w:type="dxa"/>
            <w:vAlign w:val="bottom"/>
          </w:tcPr>
          <w:p w14:paraId="04CA2D2B"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אשראי לציבור</w:t>
            </w:r>
          </w:p>
        </w:tc>
        <w:tc>
          <w:tcPr>
            <w:tcW w:w="970" w:type="dxa"/>
            <w:vAlign w:val="bottom"/>
          </w:tcPr>
          <w:p w14:paraId="5B336D3D"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סיכון אשראי חוץ מאזני***</w:t>
            </w:r>
          </w:p>
        </w:tc>
      </w:tr>
      <w:tr w:rsidR="005445C5" w:rsidRPr="004D022A" w14:paraId="13129267" w14:textId="77777777" w:rsidTr="00E63B86">
        <w:trPr>
          <w:trHeight w:val="259"/>
        </w:trPr>
        <w:tc>
          <w:tcPr>
            <w:tcW w:w="1560" w:type="dxa"/>
          </w:tcPr>
          <w:p w14:paraId="4D0B9F94" w14:textId="77777777" w:rsidR="005445C5" w:rsidRPr="004D022A" w:rsidRDefault="005445C5" w:rsidP="00400DD1">
            <w:pPr>
              <w:pStyle w:val="-7"/>
              <w:rPr>
                <w:sz w:val="18"/>
                <w:szCs w:val="18"/>
                <w:rtl/>
              </w:rPr>
            </w:pPr>
          </w:p>
        </w:tc>
        <w:tc>
          <w:tcPr>
            <w:tcW w:w="2942" w:type="dxa"/>
            <w:vAlign w:val="bottom"/>
          </w:tcPr>
          <w:p w14:paraId="51F5CF19" w14:textId="77777777" w:rsidR="005445C5" w:rsidRPr="004D022A" w:rsidRDefault="005445C5" w:rsidP="00400DD1">
            <w:pPr>
              <w:pStyle w:val="-0"/>
              <w:spacing w:line="240" w:lineRule="auto"/>
              <w:ind w:left="113" w:hanging="113"/>
              <w:rPr>
                <w:b/>
                <w:bCs/>
                <w:color w:val="auto"/>
                <w:sz w:val="18"/>
                <w:szCs w:val="18"/>
                <w:rtl/>
              </w:rPr>
            </w:pPr>
            <w:r w:rsidRPr="004D022A">
              <w:rPr>
                <w:rFonts w:hint="cs"/>
                <w:color w:val="auto"/>
                <w:sz w:val="18"/>
                <w:szCs w:val="18"/>
                <w:rtl/>
              </w:rPr>
              <w:t>סך הכל מסחרי*</w:t>
            </w:r>
          </w:p>
        </w:tc>
        <w:tc>
          <w:tcPr>
            <w:tcW w:w="904" w:type="dxa"/>
            <w:vAlign w:val="bottom"/>
          </w:tcPr>
          <w:p w14:paraId="5E16E638" w14:textId="77777777" w:rsidR="005445C5" w:rsidRPr="004D022A" w:rsidRDefault="005445C5" w:rsidP="00400DD1">
            <w:pPr>
              <w:pStyle w:val="-3"/>
              <w:rPr>
                <w:sz w:val="18"/>
                <w:szCs w:val="18"/>
                <w:rtl/>
              </w:rPr>
            </w:pPr>
            <w:r w:rsidRPr="004D022A">
              <w:rPr>
                <w:rFonts w:hint="cs"/>
                <w:sz w:val="18"/>
                <w:szCs w:val="18"/>
                <w:rtl/>
              </w:rPr>
              <w:t xml:space="preserve"> 0</w:t>
            </w:r>
          </w:p>
        </w:tc>
        <w:tc>
          <w:tcPr>
            <w:tcW w:w="1018" w:type="dxa"/>
            <w:vAlign w:val="bottom"/>
          </w:tcPr>
          <w:p w14:paraId="2F8AE104" w14:textId="77777777" w:rsidR="005445C5" w:rsidRPr="004D022A" w:rsidRDefault="005445C5" w:rsidP="00400DD1">
            <w:pPr>
              <w:pStyle w:val="-3"/>
              <w:rPr>
                <w:sz w:val="18"/>
                <w:szCs w:val="18"/>
                <w:rtl/>
              </w:rPr>
            </w:pPr>
            <w:r w:rsidRPr="004D022A">
              <w:rPr>
                <w:rFonts w:hint="cs"/>
                <w:sz w:val="18"/>
                <w:szCs w:val="18"/>
                <w:rtl/>
              </w:rPr>
              <w:t xml:space="preserve"> 0</w:t>
            </w:r>
          </w:p>
        </w:tc>
        <w:tc>
          <w:tcPr>
            <w:tcW w:w="855" w:type="dxa"/>
            <w:vAlign w:val="bottom"/>
          </w:tcPr>
          <w:p w14:paraId="7DE714CA" w14:textId="77777777" w:rsidR="005445C5" w:rsidRPr="004D022A" w:rsidRDefault="005445C5" w:rsidP="00400DD1">
            <w:pPr>
              <w:pStyle w:val="-3"/>
              <w:rPr>
                <w:b/>
                <w:bCs/>
                <w:sz w:val="18"/>
                <w:szCs w:val="18"/>
                <w:rtl/>
              </w:rPr>
            </w:pPr>
            <w:r w:rsidRPr="004D022A">
              <w:rPr>
                <w:rFonts w:hint="cs"/>
                <w:sz w:val="18"/>
                <w:szCs w:val="18"/>
                <w:rtl/>
              </w:rPr>
              <w:t xml:space="preserve"> 0</w:t>
            </w:r>
          </w:p>
        </w:tc>
        <w:tc>
          <w:tcPr>
            <w:tcW w:w="1009" w:type="dxa"/>
            <w:vAlign w:val="bottom"/>
          </w:tcPr>
          <w:p w14:paraId="25158E62" w14:textId="77777777" w:rsidR="005445C5" w:rsidRPr="004D022A" w:rsidRDefault="005445C5" w:rsidP="00400DD1">
            <w:pPr>
              <w:pStyle w:val="-3"/>
              <w:rPr>
                <w:sz w:val="18"/>
                <w:szCs w:val="18"/>
                <w:rtl/>
              </w:rPr>
            </w:pPr>
            <w:r w:rsidRPr="004D022A">
              <w:rPr>
                <w:rFonts w:hint="cs"/>
                <w:sz w:val="18"/>
                <w:szCs w:val="18"/>
                <w:rtl/>
              </w:rPr>
              <w:t xml:space="preserve"> 0</w:t>
            </w:r>
          </w:p>
        </w:tc>
        <w:tc>
          <w:tcPr>
            <w:tcW w:w="949" w:type="dxa"/>
            <w:vAlign w:val="bottom"/>
          </w:tcPr>
          <w:p w14:paraId="470408F6" w14:textId="77777777" w:rsidR="005445C5" w:rsidRPr="004D022A" w:rsidRDefault="005445C5" w:rsidP="00400DD1">
            <w:pPr>
              <w:pStyle w:val="-3"/>
              <w:rPr>
                <w:sz w:val="18"/>
                <w:szCs w:val="18"/>
                <w:rtl/>
              </w:rPr>
            </w:pPr>
            <w:r w:rsidRPr="004D022A">
              <w:rPr>
                <w:rFonts w:hint="cs"/>
                <w:sz w:val="18"/>
                <w:szCs w:val="18"/>
                <w:rtl/>
              </w:rPr>
              <w:t xml:space="preserve"> 0</w:t>
            </w:r>
          </w:p>
        </w:tc>
        <w:tc>
          <w:tcPr>
            <w:tcW w:w="970" w:type="dxa"/>
            <w:vAlign w:val="bottom"/>
          </w:tcPr>
          <w:p w14:paraId="00D8AA86" w14:textId="77777777" w:rsidR="005445C5" w:rsidRPr="004D022A" w:rsidRDefault="005445C5" w:rsidP="00400DD1">
            <w:pPr>
              <w:pStyle w:val="-3"/>
              <w:rPr>
                <w:sz w:val="18"/>
                <w:szCs w:val="18"/>
                <w:rtl/>
              </w:rPr>
            </w:pPr>
            <w:r w:rsidRPr="004D022A">
              <w:rPr>
                <w:rFonts w:hint="cs"/>
                <w:sz w:val="18"/>
                <w:szCs w:val="18"/>
                <w:rtl/>
              </w:rPr>
              <w:t xml:space="preserve"> 0</w:t>
            </w:r>
          </w:p>
        </w:tc>
      </w:tr>
      <w:tr w:rsidR="005445C5" w:rsidRPr="004D022A" w14:paraId="5DCDF646" w14:textId="77777777" w:rsidTr="00E63B86">
        <w:trPr>
          <w:trHeight w:val="259"/>
        </w:trPr>
        <w:tc>
          <w:tcPr>
            <w:tcW w:w="1560" w:type="dxa"/>
          </w:tcPr>
          <w:p w14:paraId="4A8723FA" w14:textId="77777777" w:rsidR="005445C5" w:rsidRPr="004D022A" w:rsidRDefault="005445C5" w:rsidP="00400DD1">
            <w:pPr>
              <w:pStyle w:val="-7"/>
              <w:rPr>
                <w:sz w:val="18"/>
                <w:szCs w:val="18"/>
                <w:rtl/>
              </w:rPr>
            </w:pPr>
          </w:p>
        </w:tc>
        <w:tc>
          <w:tcPr>
            <w:tcW w:w="2942" w:type="dxa"/>
            <w:vAlign w:val="bottom"/>
          </w:tcPr>
          <w:p w14:paraId="3D7C19C1" w14:textId="77777777" w:rsidR="005445C5" w:rsidRPr="004D022A" w:rsidRDefault="005445C5" w:rsidP="00400DD1">
            <w:pPr>
              <w:pStyle w:val="-21"/>
              <w:ind w:left="113" w:hanging="113"/>
              <w:rPr>
                <w:b/>
                <w:bCs/>
                <w:color w:val="auto"/>
                <w:sz w:val="18"/>
                <w:szCs w:val="18"/>
                <w:rtl/>
              </w:rPr>
            </w:pPr>
            <w:r w:rsidRPr="004D022A">
              <w:rPr>
                <w:rFonts w:hint="cs"/>
                <w:color w:val="auto"/>
                <w:sz w:val="18"/>
                <w:szCs w:val="18"/>
                <w:rtl/>
              </w:rPr>
              <w:t xml:space="preserve">אנשים פרטיים - הלוואות </w:t>
            </w:r>
            <w:r>
              <w:rPr>
                <w:rFonts w:hint="cs"/>
                <w:color w:val="auto"/>
                <w:sz w:val="18"/>
                <w:szCs w:val="18"/>
                <w:rtl/>
              </w:rPr>
              <w:t>ל</w:t>
            </w:r>
            <w:r w:rsidRPr="004D022A">
              <w:rPr>
                <w:rFonts w:hint="cs"/>
                <w:color w:val="auto"/>
                <w:sz w:val="18"/>
                <w:szCs w:val="18"/>
                <w:rtl/>
              </w:rPr>
              <w:t>דיור</w:t>
            </w:r>
          </w:p>
        </w:tc>
        <w:tc>
          <w:tcPr>
            <w:tcW w:w="904" w:type="dxa"/>
            <w:vAlign w:val="bottom"/>
          </w:tcPr>
          <w:p w14:paraId="5CF4E0DF" w14:textId="77777777" w:rsidR="005445C5" w:rsidRPr="004D022A" w:rsidRDefault="005445C5" w:rsidP="00400DD1">
            <w:pPr>
              <w:pStyle w:val="-3"/>
              <w:rPr>
                <w:sz w:val="18"/>
                <w:szCs w:val="18"/>
                <w:rtl/>
              </w:rPr>
            </w:pPr>
            <w:r w:rsidRPr="004D022A">
              <w:rPr>
                <w:rFonts w:hint="cs"/>
                <w:sz w:val="18"/>
                <w:szCs w:val="18"/>
                <w:rtl/>
              </w:rPr>
              <w:t xml:space="preserve"> 0</w:t>
            </w:r>
          </w:p>
        </w:tc>
        <w:tc>
          <w:tcPr>
            <w:tcW w:w="1018" w:type="dxa"/>
            <w:vAlign w:val="bottom"/>
          </w:tcPr>
          <w:p w14:paraId="3963AA19" w14:textId="77777777" w:rsidR="005445C5" w:rsidRPr="004D022A" w:rsidRDefault="005445C5" w:rsidP="00400DD1">
            <w:pPr>
              <w:pStyle w:val="-3"/>
              <w:rPr>
                <w:sz w:val="18"/>
                <w:szCs w:val="18"/>
                <w:rtl/>
              </w:rPr>
            </w:pPr>
            <w:r w:rsidRPr="004D022A">
              <w:rPr>
                <w:rFonts w:hint="cs"/>
                <w:sz w:val="18"/>
                <w:szCs w:val="18"/>
                <w:rtl/>
              </w:rPr>
              <w:t xml:space="preserve"> 0</w:t>
            </w:r>
          </w:p>
        </w:tc>
        <w:tc>
          <w:tcPr>
            <w:tcW w:w="855" w:type="dxa"/>
            <w:vAlign w:val="bottom"/>
          </w:tcPr>
          <w:p w14:paraId="3F8147D1" w14:textId="77777777" w:rsidR="005445C5" w:rsidRPr="004D022A" w:rsidRDefault="005445C5" w:rsidP="00400DD1">
            <w:pPr>
              <w:pStyle w:val="-3"/>
              <w:rPr>
                <w:b/>
                <w:bCs/>
                <w:sz w:val="18"/>
                <w:szCs w:val="18"/>
                <w:rtl/>
              </w:rPr>
            </w:pPr>
            <w:r w:rsidRPr="004D022A">
              <w:rPr>
                <w:rFonts w:hint="cs"/>
                <w:sz w:val="18"/>
                <w:szCs w:val="18"/>
                <w:rtl/>
              </w:rPr>
              <w:t xml:space="preserve"> 0</w:t>
            </w:r>
          </w:p>
        </w:tc>
        <w:tc>
          <w:tcPr>
            <w:tcW w:w="1009" w:type="dxa"/>
            <w:vAlign w:val="bottom"/>
          </w:tcPr>
          <w:p w14:paraId="5DACE262" w14:textId="77777777" w:rsidR="005445C5" w:rsidRPr="004D022A" w:rsidRDefault="005445C5" w:rsidP="00400DD1">
            <w:pPr>
              <w:pStyle w:val="-3"/>
              <w:rPr>
                <w:sz w:val="18"/>
                <w:szCs w:val="18"/>
                <w:rtl/>
              </w:rPr>
            </w:pPr>
            <w:r w:rsidRPr="004D022A">
              <w:rPr>
                <w:rFonts w:hint="cs"/>
                <w:sz w:val="18"/>
                <w:szCs w:val="18"/>
                <w:rtl/>
              </w:rPr>
              <w:t xml:space="preserve"> 0</w:t>
            </w:r>
          </w:p>
        </w:tc>
        <w:tc>
          <w:tcPr>
            <w:tcW w:w="949" w:type="dxa"/>
            <w:vAlign w:val="bottom"/>
          </w:tcPr>
          <w:p w14:paraId="4C75B20D" w14:textId="77777777" w:rsidR="005445C5" w:rsidRPr="004D022A" w:rsidRDefault="005445C5" w:rsidP="00400DD1">
            <w:pPr>
              <w:pStyle w:val="-3"/>
              <w:rPr>
                <w:sz w:val="18"/>
                <w:szCs w:val="18"/>
                <w:rtl/>
              </w:rPr>
            </w:pPr>
            <w:r w:rsidRPr="004D022A">
              <w:rPr>
                <w:rFonts w:hint="cs"/>
                <w:sz w:val="18"/>
                <w:szCs w:val="18"/>
                <w:rtl/>
              </w:rPr>
              <w:t xml:space="preserve"> 0</w:t>
            </w:r>
          </w:p>
        </w:tc>
        <w:tc>
          <w:tcPr>
            <w:tcW w:w="970" w:type="dxa"/>
            <w:vAlign w:val="bottom"/>
          </w:tcPr>
          <w:p w14:paraId="5A3C7E81" w14:textId="77777777" w:rsidR="005445C5" w:rsidRPr="004D022A" w:rsidRDefault="005445C5" w:rsidP="00400DD1">
            <w:pPr>
              <w:pStyle w:val="-3"/>
              <w:rPr>
                <w:sz w:val="18"/>
                <w:szCs w:val="18"/>
                <w:rtl/>
              </w:rPr>
            </w:pPr>
            <w:r w:rsidRPr="004D022A">
              <w:rPr>
                <w:rFonts w:hint="cs"/>
                <w:sz w:val="18"/>
                <w:szCs w:val="18"/>
                <w:rtl/>
              </w:rPr>
              <w:t xml:space="preserve"> 0</w:t>
            </w:r>
          </w:p>
        </w:tc>
      </w:tr>
      <w:tr w:rsidR="005445C5" w:rsidRPr="004D022A" w14:paraId="465030CB" w14:textId="77777777" w:rsidTr="00E63B86">
        <w:trPr>
          <w:trHeight w:val="259"/>
        </w:trPr>
        <w:tc>
          <w:tcPr>
            <w:tcW w:w="1560" w:type="dxa"/>
          </w:tcPr>
          <w:p w14:paraId="416DCC59" w14:textId="77777777" w:rsidR="005445C5" w:rsidRPr="004D022A" w:rsidRDefault="005445C5" w:rsidP="00400DD1">
            <w:pPr>
              <w:pStyle w:val="-7"/>
              <w:rPr>
                <w:sz w:val="18"/>
                <w:szCs w:val="18"/>
                <w:rtl/>
              </w:rPr>
            </w:pPr>
          </w:p>
        </w:tc>
        <w:tc>
          <w:tcPr>
            <w:tcW w:w="2942" w:type="dxa"/>
            <w:vAlign w:val="bottom"/>
          </w:tcPr>
          <w:p w14:paraId="2C4541E8" w14:textId="77777777" w:rsidR="005445C5" w:rsidRPr="004D022A" w:rsidRDefault="005445C5" w:rsidP="00400DD1">
            <w:pPr>
              <w:pStyle w:val="-0"/>
              <w:spacing w:line="240" w:lineRule="auto"/>
              <w:ind w:left="113" w:hanging="113"/>
              <w:rPr>
                <w:b/>
                <w:bCs/>
                <w:color w:val="auto"/>
                <w:sz w:val="18"/>
                <w:szCs w:val="18"/>
                <w:rtl/>
              </w:rPr>
            </w:pPr>
            <w:r w:rsidRPr="004D022A">
              <w:rPr>
                <w:rFonts w:hint="cs"/>
                <w:color w:val="auto"/>
                <w:sz w:val="18"/>
                <w:szCs w:val="18"/>
                <w:rtl/>
              </w:rPr>
              <w:t>אנשים פרטיים - אחר</w:t>
            </w:r>
          </w:p>
        </w:tc>
        <w:tc>
          <w:tcPr>
            <w:tcW w:w="904" w:type="dxa"/>
            <w:vAlign w:val="bottom"/>
          </w:tcPr>
          <w:p w14:paraId="77FE375F" w14:textId="77777777" w:rsidR="005445C5" w:rsidRPr="004D022A" w:rsidRDefault="005445C5" w:rsidP="00400DD1">
            <w:pPr>
              <w:pStyle w:val="-3"/>
              <w:pBdr>
                <w:bottom w:val="single" w:sz="4" w:space="1" w:color="auto"/>
              </w:pBdr>
              <w:rPr>
                <w:b/>
                <w:bCs/>
                <w:sz w:val="18"/>
                <w:szCs w:val="18"/>
                <w:rtl/>
              </w:rPr>
            </w:pPr>
            <w:r w:rsidRPr="004D022A">
              <w:rPr>
                <w:rFonts w:hint="cs"/>
                <w:sz w:val="18"/>
                <w:szCs w:val="18"/>
                <w:rtl/>
              </w:rPr>
              <w:t xml:space="preserve"> 0</w:t>
            </w:r>
          </w:p>
        </w:tc>
        <w:tc>
          <w:tcPr>
            <w:tcW w:w="1018" w:type="dxa"/>
            <w:vAlign w:val="bottom"/>
          </w:tcPr>
          <w:p w14:paraId="6E9F2C66" w14:textId="77777777" w:rsidR="005445C5" w:rsidRPr="004D022A" w:rsidRDefault="005445C5" w:rsidP="00400DD1">
            <w:pPr>
              <w:pStyle w:val="-3"/>
              <w:pBdr>
                <w:bottom w:val="single" w:sz="4" w:space="1" w:color="auto"/>
              </w:pBdr>
              <w:rPr>
                <w:b/>
                <w:bCs/>
                <w:sz w:val="18"/>
                <w:szCs w:val="18"/>
                <w:rtl/>
              </w:rPr>
            </w:pPr>
            <w:r w:rsidRPr="004D022A">
              <w:rPr>
                <w:rFonts w:hint="cs"/>
                <w:sz w:val="18"/>
                <w:szCs w:val="18"/>
                <w:rtl/>
              </w:rPr>
              <w:t xml:space="preserve"> 0</w:t>
            </w:r>
          </w:p>
        </w:tc>
        <w:tc>
          <w:tcPr>
            <w:tcW w:w="855" w:type="dxa"/>
            <w:vAlign w:val="bottom"/>
          </w:tcPr>
          <w:p w14:paraId="6B772CAE" w14:textId="77777777" w:rsidR="005445C5" w:rsidRPr="004D022A" w:rsidRDefault="005445C5" w:rsidP="00400DD1">
            <w:pPr>
              <w:pStyle w:val="-3"/>
              <w:pBdr>
                <w:bottom w:val="single" w:sz="4" w:space="1" w:color="auto"/>
              </w:pBdr>
              <w:rPr>
                <w:b/>
                <w:bCs/>
                <w:sz w:val="18"/>
                <w:szCs w:val="18"/>
                <w:rtl/>
              </w:rPr>
            </w:pPr>
            <w:r w:rsidRPr="004D022A">
              <w:rPr>
                <w:rFonts w:hint="cs"/>
                <w:sz w:val="18"/>
                <w:szCs w:val="18"/>
                <w:rtl/>
              </w:rPr>
              <w:t xml:space="preserve"> 0</w:t>
            </w:r>
          </w:p>
        </w:tc>
        <w:tc>
          <w:tcPr>
            <w:tcW w:w="1009" w:type="dxa"/>
            <w:vAlign w:val="bottom"/>
          </w:tcPr>
          <w:p w14:paraId="55F9F124" w14:textId="77777777" w:rsidR="005445C5" w:rsidRPr="004D022A" w:rsidRDefault="005445C5" w:rsidP="00400DD1">
            <w:pPr>
              <w:pStyle w:val="-3"/>
              <w:pBdr>
                <w:bottom w:val="single" w:sz="4" w:space="1" w:color="auto"/>
              </w:pBdr>
              <w:rPr>
                <w:sz w:val="18"/>
                <w:szCs w:val="18"/>
                <w:rtl/>
              </w:rPr>
            </w:pPr>
            <w:r w:rsidRPr="004D022A">
              <w:rPr>
                <w:rFonts w:hint="cs"/>
                <w:sz w:val="18"/>
                <w:szCs w:val="18"/>
                <w:rtl/>
              </w:rPr>
              <w:t xml:space="preserve"> 0</w:t>
            </w:r>
          </w:p>
        </w:tc>
        <w:tc>
          <w:tcPr>
            <w:tcW w:w="949" w:type="dxa"/>
            <w:vAlign w:val="bottom"/>
          </w:tcPr>
          <w:p w14:paraId="70A4DB80" w14:textId="77777777" w:rsidR="005445C5" w:rsidRPr="004D022A" w:rsidRDefault="005445C5" w:rsidP="00400DD1">
            <w:pPr>
              <w:pStyle w:val="-3"/>
              <w:pBdr>
                <w:bottom w:val="single" w:sz="4" w:space="1" w:color="auto"/>
              </w:pBdr>
              <w:rPr>
                <w:sz w:val="18"/>
                <w:szCs w:val="18"/>
                <w:rtl/>
              </w:rPr>
            </w:pPr>
            <w:r w:rsidRPr="004D022A">
              <w:rPr>
                <w:rFonts w:hint="cs"/>
                <w:sz w:val="18"/>
                <w:szCs w:val="18"/>
                <w:rtl/>
              </w:rPr>
              <w:t xml:space="preserve"> 0</w:t>
            </w:r>
          </w:p>
        </w:tc>
        <w:tc>
          <w:tcPr>
            <w:tcW w:w="970" w:type="dxa"/>
            <w:vAlign w:val="bottom"/>
          </w:tcPr>
          <w:p w14:paraId="7F85AD24" w14:textId="77777777" w:rsidR="005445C5" w:rsidRPr="004D022A" w:rsidRDefault="005445C5" w:rsidP="00400DD1">
            <w:pPr>
              <w:pStyle w:val="-3"/>
              <w:pBdr>
                <w:bottom w:val="single" w:sz="4" w:space="1" w:color="auto"/>
              </w:pBdr>
              <w:rPr>
                <w:sz w:val="18"/>
                <w:szCs w:val="18"/>
                <w:rtl/>
              </w:rPr>
            </w:pPr>
            <w:r w:rsidRPr="004D022A">
              <w:rPr>
                <w:rFonts w:hint="cs"/>
                <w:sz w:val="18"/>
                <w:szCs w:val="18"/>
                <w:rtl/>
              </w:rPr>
              <w:t xml:space="preserve"> 0</w:t>
            </w:r>
          </w:p>
        </w:tc>
      </w:tr>
      <w:tr w:rsidR="005445C5" w:rsidRPr="004D022A" w14:paraId="75309E0E" w14:textId="77777777" w:rsidTr="00E63B86">
        <w:trPr>
          <w:trHeight w:val="259"/>
        </w:trPr>
        <w:tc>
          <w:tcPr>
            <w:tcW w:w="1560" w:type="dxa"/>
          </w:tcPr>
          <w:p w14:paraId="0D6CB92F" w14:textId="77777777" w:rsidR="005445C5" w:rsidRPr="004D022A" w:rsidRDefault="005445C5" w:rsidP="00400DD1">
            <w:pPr>
              <w:pStyle w:val="-7"/>
              <w:rPr>
                <w:sz w:val="18"/>
                <w:szCs w:val="18"/>
                <w:rtl/>
              </w:rPr>
            </w:pPr>
          </w:p>
        </w:tc>
        <w:tc>
          <w:tcPr>
            <w:tcW w:w="2942" w:type="dxa"/>
            <w:vAlign w:val="bottom"/>
          </w:tcPr>
          <w:p w14:paraId="1F0906F5" w14:textId="77777777" w:rsidR="005445C5" w:rsidRPr="00AD40A8" w:rsidRDefault="005445C5" w:rsidP="00400DD1">
            <w:pPr>
              <w:pStyle w:val="-b"/>
              <w:ind w:left="113" w:hanging="113"/>
              <w:rPr>
                <w:b w:val="0"/>
                <w:bCs w:val="0"/>
                <w:color w:val="auto"/>
                <w:sz w:val="18"/>
                <w:szCs w:val="18"/>
                <w:rtl/>
              </w:rPr>
            </w:pPr>
            <w:r w:rsidRPr="00AD40A8">
              <w:rPr>
                <w:rFonts w:hint="cs"/>
                <w:b w:val="0"/>
                <w:bCs w:val="0"/>
                <w:color w:val="auto"/>
                <w:sz w:val="18"/>
                <w:szCs w:val="18"/>
                <w:rtl/>
              </w:rPr>
              <w:t>סך הכל אשראי לציבור</w:t>
            </w:r>
          </w:p>
        </w:tc>
        <w:tc>
          <w:tcPr>
            <w:tcW w:w="904" w:type="dxa"/>
            <w:vAlign w:val="bottom"/>
          </w:tcPr>
          <w:p w14:paraId="385CB866" w14:textId="77777777" w:rsidR="005445C5" w:rsidRPr="00AD40A8" w:rsidRDefault="005445C5" w:rsidP="00400DD1">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c>
          <w:tcPr>
            <w:tcW w:w="1018" w:type="dxa"/>
            <w:vAlign w:val="bottom"/>
          </w:tcPr>
          <w:p w14:paraId="581B0143" w14:textId="77777777" w:rsidR="005445C5" w:rsidRPr="00AD40A8" w:rsidRDefault="005445C5" w:rsidP="00400DD1">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c>
          <w:tcPr>
            <w:tcW w:w="855" w:type="dxa"/>
            <w:vAlign w:val="bottom"/>
          </w:tcPr>
          <w:p w14:paraId="1F0C49DF" w14:textId="77777777" w:rsidR="005445C5" w:rsidRPr="00AD40A8" w:rsidRDefault="005445C5" w:rsidP="00400DD1">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c>
          <w:tcPr>
            <w:tcW w:w="1009" w:type="dxa"/>
            <w:vAlign w:val="bottom"/>
          </w:tcPr>
          <w:p w14:paraId="357AC462" w14:textId="77777777" w:rsidR="005445C5" w:rsidRPr="00AD40A8" w:rsidRDefault="005445C5" w:rsidP="00400DD1">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c>
          <w:tcPr>
            <w:tcW w:w="949" w:type="dxa"/>
            <w:vAlign w:val="bottom"/>
          </w:tcPr>
          <w:p w14:paraId="41CCAB4F" w14:textId="77777777" w:rsidR="005445C5" w:rsidRPr="00AD40A8" w:rsidRDefault="005445C5" w:rsidP="00400DD1">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c>
          <w:tcPr>
            <w:tcW w:w="970" w:type="dxa"/>
            <w:vAlign w:val="bottom"/>
          </w:tcPr>
          <w:p w14:paraId="63D4C905" w14:textId="77777777" w:rsidR="005445C5" w:rsidRPr="00AD40A8" w:rsidRDefault="005445C5" w:rsidP="00400DD1">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r>
    </w:tbl>
    <w:p w14:paraId="3DBE59C2" w14:textId="1D9F97A9" w:rsidR="00DF3A15" w:rsidRDefault="00DF3A15" w:rsidP="00DF3A15">
      <w:pPr>
        <w:rPr>
          <w:sz w:val="18"/>
          <w:szCs w:val="18"/>
          <w:rtl/>
        </w:rPr>
      </w:pPr>
    </w:p>
    <w:p w14:paraId="0E8A00F8" w14:textId="77777777" w:rsidR="00657C4C" w:rsidRPr="004D022A" w:rsidRDefault="00657C4C" w:rsidP="00DF3A15">
      <w:pPr>
        <w:rPr>
          <w:sz w:val="18"/>
          <w:szCs w:val="18"/>
          <w:rtl/>
        </w:rPr>
      </w:pPr>
    </w:p>
    <w:p w14:paraId="4A8643CA" w14:textId="77777777" w:rsidR="00DF3A15" w:rsidRPr="004D022A" w:rsidRDefault="00DF3A15" w:rsidP="00DF3A15">
      <w:pPr>
        <w:rPr>
          <w:sz w:val="18"/>
          <w:szCs w:val="18"/>
          <w:rtl/>
        </w:rPr>
      </w:pPr>
    </w:p>
    <w:tbl>
      <w:tblPr>
        <w:bidiVisual/>
        <w:tblW w:w="5000" w:type="pct"/>
        <w:tblLayout w:type="fixed"/>
        <w:tblLook w:val="01E0" w:firstRow="1" w:lastRow="1" w:firstColumn="1" w:lastColumn="1" w:noHBand="0" w:noVBand="0"/>
      </w:tblPr>
      <w:tblGrid>
        <w:gridCol w:w="1560"/>
        <w:gridCol w:w="2942"/>
        <w:gridCol w:w="904"/>
        <w:gridCol w:w="1018"/>
        <w:gridCol w:w="855"/>
        <w:gridCol w:w="1009"/>
        <w:gridCol w:w="949"/>
        <w:gridCol w:w="970"/>
      </w:tblGrid>
      <w:tr w:rsidR="005445C5" w:rsidRPr="004D022A" w14:paraId="1C35F393" w14:textId="77777777" w:rsidTr="00E63B86">
        <w:trPr>
          <w:trHeight w:val="259"/>
        </w:trPr>
        <w:tc>
          <w:tcPr>
            <w:tcW w:w="1560" w:type="dxa"/>
          </w:tcPr>
          <w:p w14:paraId="01E9A339" w14:textId="77777777" w:rsidR="005445C5" w:rsidRPr="004D022A" w:rsidRDefault="005445C5" w:rsidP="00400DD1">
            <w:pPr>
              <w:pStyle w:val="-7"/>
              <w:rPr>
                <w:sz w:val="18"/>
                <w:szCs w:val="18"/>
                <w:rtl/>
              </w:rPr>
            </w:pPr>
          </w:p>
        </w:tc>
        <w:tc>
          <w:tcPr>
            <w:tcW w:w="2942" w:type="dxa"/>
            <w:vAlign w:val="bottom"/>
          </w:tcPr>
          <w:p w14:paraId="7B276C6A" w14:textId="77777777" w:rsidR="005445C5" w:rsidRPr="004D022A" w:rsidRDefault="005445C5" w:rsidP="00400DD1">
            <w:pPr>
              <w:pStyle w:val="-0"/>
              <w:spacing w:line="240" w:lineRule="auto"/>
              <w:ind w:left="663" w:hanging="231"/>
              <w:rPr>
                <w:color w:val="auto"/>
                <w:sz w:val="18"/>
                <w:szCs w:val="18"/>
                <w:rtl/>
              </w:rPr>
            </w:pPr>
          </w:p>
        </w:tc>
        <w:tc>
          <w:tcPr>
            <w:tcW w:w="5705" w:type="dxa"/>
            <w:gridSpan w:val="6"/>
            <w:vAlign w:val="bottom"/>
          </w:tcPr>
          <w:p w14:paraId="32770CE1" w14:textId="7091FF6E"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ליום </w:t>
            </w:r>
            <w:r>
              <w:rPr>
                <w:rFonts w:hint="cs"/>
                <w:b/>
                <w:bCs/>
                <w:sz w:val="18"/>
                <w:szCs w:val="18"/>
                <w:rtl/>
              </w:rPr>
              <w:t>31</w:t>
            </w:r>
            <w:r w:rsidRPr="004D022A">
              <w:rPr>
                <w:rFonts w:hint="cs"/>
                <w:b/>
                <w:bCs/>
                <w:sz w:val="18"/>
                <w:szCs w:val="18"/>
                <w:rtl/>
              </w:rPr>
              <w:t xml:space="preserve"> </w:t>
            </w:r>
            <w:r>
              <w:rPr>
                <w:rFonts w:hint="cs"/>
                <w:b/>
                <w:bCs/>
                <w:sz w:val="18"/>
                <w:szCs w:val="18"/>
                <w:rtl/>
              </w:rPr>
              <w:t>בדצמבר</w:t>
            </w:r>
            <w:r w:rsidRPr="004D022A">
              <w:rPr>
                <w:rFonts w:hint="cs"/>
                <w:b/>
                <w:bCs/>
                <w:sz w:val="18"/>
                <w:szCs w:val="18"/>
                <w:rtl/>
              </w:rPr>
              <w:t xml:space="preserve"> </w:t>
            </w:r>
            <w:r w:rsidRPr="004D022A">
              <w:rPr>
                <w:b/>
                <w:bCs/>
                <w:sz w:val="18"/>
                <w:szCs w:val="18"/>
                <w:rtl/>
              </w:rPr>
              <w:fldChar w:fldCharType="begin"/>
            </w:r>
            <w:r w:rsidRPr="004D022A">
              <w:rPr>
                <w:b/>
                <w:bCs/>
                <w:sz w:val="18"/>
                <w:szCs w:val="18"/>
                <w:rtl/>
              </w:rPr>
              <w:instrText xml:space="preserve"> </w:instrText>
            </w:r>
            <w:r w:rsidRPr="004D022A">
              <w:rPr>
                <w:rFonts w:hint="cs"/>
                <w:b/>
                <w:bCs/>
                <w:sz w:val="18"/>
                <w:szCs w:val="18"/>
                <w:rtl/>
              </w:rPr>
              <w:instrText xml:space="preserve">= </w:instrText>
            </w:r>
            <w:r w:rsidRPr="004D022A">
              <w:rPr>
                <w:rFonts w:hint="cs"/>
                <w:b/>
                <w:bCs/>
                <w:sz w:val="18"/>
                <w:szCs w:val="18"/>
              </w:rPr>
              <w:instrText>CY</w:instrText>
            </w:r>
            <w:r>
              <w:rPr>
                <w:b/>
                <w:bCs/>
                <w:sz w:val="18"/>
                <w:szCs w:val="18"/>
              </w:rPr>
              <w:instrText>-1</w:instrText>
            </w:r>
            <w:r w:rsidRPr="004D022A">
              <w:rPr>
                <w:rFonts w:hint="cs"/>
                <w:b/>
                <w:bCs/>
                <w:sz w:val="18"/>
                <w:szCs w:val="18"/>
              </w:rPr>
              <w:instrText xml:space="preserve"> \* MERGEFORMAT</w:instrText>
            </w:r>
            <w:r w:rsidRPr="004D022A">
              <w:rPr>
                <w:b/>
                <w:bCs/>
                <w:sz w:val="18"/>
                <w:szCs w:val="18"/>
                <w:rtl/>
              </w:rPr>
              <w:instrText xml:space="preserve"> </w:instrText>
            </w:r>
            <w:r w:rsidRPr="004D022A">
              <w:rPr>
                <w:b/>
                <w:bCs/>
                <w:sz w:val="18"/>
                <w:szCs w:val="18"/>
                <w:rtl/>
              </w:rPr>
              <w:fldChar w:fldCharType="separate"/>
            </w:r>
            <w:r w:rsidR="003A584F">
              <w:rPr>
                <w:b/>
                <w:bCs/>
                <w:noProof/>
                <w:sz w:val="18"/>
                <w:szCs w:val="18"/>
                <w:rtl/>
              </w:rPr>
              <w:t>2023</w:t>
            </w:r>
            <w:r w:rsidRPr="004D022A">
              <w:rPr>
                <w:b/>
                <w:bCs/>
                <w:sz w:val="18"/>
                <w:szCs w:val="18"/>
                <w:rtl/>
              </w:rPr>
              <w:fldChar w:fldCharType="end"/>
            </w:r>
            <w:r w:rsidRPr="004D022A">
              <w:rPr>
                <w:rFonts w:hint="cs"/>
                <w:b/>
                <w:bCs/>
                <w:sz w:val="18"/>
                <w:szCs w:val="18"/>
                <w:rtl/>
              </w:rPr>
              <w:t xml:space="preserve"> </w:t>
            </w:r>
            <w:r>
              <w:rPr>
                <w:rFonts w:hint="cs"/>
                <w:b/>
                <w:bCs/>
                <w:sz w:val="18"/>
                <w:szCs w:val="18"/>
                <w:rtl/>
              </w:rPr>
              <w:t xml:space="preserve"> </w:t>
            </w:r>
            <w:r w:rsidRPr="001F0989">
              <w:rPr>
                <w:rFonts w:hint="cs"/>
                <w:sz w:val="18"/>
                <w:szCs w:val="18"/>
                <w:rtl/>
              </w:rPr>
              <w:t>(מבוקר)</w:t>
            </w:r>
          </w:p>
        </w:tc>
      </w:tr>
      <w:tr w:rsidR="005445C5" w:rsidRPr="004D022A" w14:paraId="444E7F89" w14:textId="77777777" w:rsidTr="00E63B86">
        <w:trPr>
          <w:trHeight w:val="259"/>
        </w:trPr>
        <w:tc>
          <w:tcPr>
            <w:tcW w:w="1560" w:type="dxa"/>
          </w:tcPr>
          <w:p w14:paraId="5CCE0E17" w14:textId="77777777" w:rsidR="005445C5" w:rsidRPr="004D022A" w:rsidRDefault="005445C5" w:rsidP="00400DD1">
            <w:pPr>
              <w:pStyle w:val="-7"/>
              <w:rPr>
                <w:sz w:val="18"/>
                <w:szCs w:val="18"/>
                <w:rtl/>
              </w:rPr>
            </w:pPr>
          </w:p>
        </w:tc>
        <w:tc>
          <w:tcPr>
            <w:tcW w:w="2942" w:type="dxa"/>
            <w:vAlign w:val="bottom"/>
          </w:tcPr>
          <w:p w14:paraId="67FF7154" w14:textId="77777777" w:rsidR="005445C5" w:rsidRPr="004D022A" w:rsidRDefault="005445C5" w:rsidP="00400DD1">
            <w:pPr>
              <w:pStyle w:val="-0"/>
              <w:spacing w:line="240" w:lineRule="auto"/>
              <w:ind w:left="663" w:hanging="231"/>
              <w:rPr>
                <w:color w:val="auto"/>
                <w:sz w:val="18"/>
                <w:szCs w:val="18"/>
                <w:rtl/>
              </w:rPr>
            </w:pPr>
          </w:p>
        </w:tc>
        <w:tc>
          <w:tcPr>
            <w:tcW w:w="3786" w:type="dxa"/>
            <w:gridSpan w:val="4"/>
            <w:vAlign w:val="bottom"/>
          </w:tcPr>
          <w:p w14:paraId="4DAB8FB6"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עסקאות סינדיקציה </w:t>
            </w:r>
            <w:r w:rsidRPr="004D022A">
              <w:rPr>
                <w:b/>
                <w:bCs/>
                <w:sz w:val="18"/>
                <w:szCs w:val="18"/>
                <w:rtl/>
              </w:rPr>
              <w:br/>
            </w:r>
            <w:r w:rsidRPr="004D022A">
              <w:rPr>
                <w:rFonts w:hint="cs"/>
                <w:b/>
                <w:bCs/>
                <w:sz w:val="18"/>
                <w:szCs w:val="18"/>
                <w:rtl/>
              </w:rPr>
              <w:t>שהתאגיד הבנקאי יזם**</w:t>
            </w:r>
          </w:p>
        </w:tc>
        <w:tc>
          <w:tcPr>
            <w:tcW w:w="1919" w:type="dxa"/>
            <w:gridSpan w:val="2"/>
            <w:vAlign w:val="bottom"/>
          </w:tcPr>
          <w:p w14:paraId="49B51E0C"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עסקאות סינדיקציה </w:t>
            </w:r>
            <w:r w:rsidRPr="004D022A">
              <w:rPr>
                <w:b/>
                <w:bCs/>
                <w:sz w:val="18"/>
                <w:szCs w:val="18"/>
                <w:rtl/>
              </w:rPr>
              <w:br/>
            </w:r>
            <w:r w:rsidRPr="004D022A">
              <w:rPr>
                <w:rFonts w:hint="cs"/>
                <w:b/>
                <w:bCs/>
                <w:sz w:val="18"/>
                <w:szCs w:val="18"/>
                <w:rtl/>
              </w:rPr>
              <w:t>שיזמו אחרים</w:t>
            </w:r>
          </w:p>
        </w:tc>
      </w:tr>
      <w:tr w:rsidR="005445C5" w:rsidRPr="004D022A" w14:paraId="63344F1F" w14:textId="77777777" w:rsidTr="00E63B86">
        <w:trPr>
          <w:trHeight w:val="259"/>
        </w:trPr>
        <w:tc>
          <w:tcPr>
            <w:tcW w:w="1560" w:type="dxa"/>
          </w:tcPr>
          <w:p w14:paraId="127F880F" w14:textId="77777777" w:rsidR="005445C5" w:rsidRPr="004D022A" w:rsidRDefault="005445C5" w:rsidP="00400DD1">
            <w:pPr>
              <w:pStyle w:val="-7"/>
              <w:rPr>
                <w:sz w:val="18"/>
                <w:szCs w:val="18"/>
                <w:rtl/>
              </w:rPr>
            </w:pPr>
          </w:p>
        </w:tc>
        <w:tc>
          <w:tcPr>
            <w:tcW w:w="2942" w:type="dxa"/>
            <w:vAlign w:val="bottom"/>
          </w:tcPr>
          <w:p w14:paraId="41936065" w14:textId="77777777" w:rsidR="005445C5" w:rsidRPr="004D022A" w:rsidRDefault="005445C5" w:rsidP="00400DD1">
            <w:pPr>
              <w:pStyle w:val="-0"/>
              <w:spacing w:line="240" w:lineRule="auto"/>
              <w:ind w:left="663" w:hanging="231"/>
              <w:rPr>
                <w:color w:val="auto"/>
                <w:sz w:val="18"/>
                <w:szCs w:val="18"/>
                <w:rtl/>
              </w:rPr>
            </w:pPr>
          </w:p>
        </w:tc>
        <w:tc>
          <w:tcPr>
            <w:tcW w:w="1922" w:type="dxa"/>
            <w:gridSpan w:val="2"/>
            <w:vAlign w:val="bottom"/>
          </w:tcPr>
          <w:p w14:paraId="4DE5DE54"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חלקו של </w:t>
            </w:r>
            <w:r w:rsidRPr="004D022A">
              <w:rPr>
                <w:b/>
                <w:bCs/>
                <w:sz w:val="18"/>
                <w:szCs w:val="18"/>
                <w:rtl/>
              </w:rPr>
              <w:br/>
            </w:r>
            <w:r w:rsidRPr="004D022A">
              <w:rPr>
                <w:rFonts w:hint="cs"/>
                <w:b/>
                <w:bCs/>
                <w:sz w:val="18"/>
                <w:szCs w:val="18"/>
                <w:rtl/>
              </w:rPr>
              <w:t>התאגיד הבנקאי</w:t>
            </w:r>
          </w:p>
        </w:tc>
        <w:tc>
          <w:tcPr>
            <w:tcW w:w="1864" w:type="dxa"/>
            <w:gridSpan w:val="2"/>
            <w:vAlign w:val="bottom"/>
          </w:tcPr>
          <w:p w14:paraId="068F1BFA"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חלקם של אחרים</w:t>
            </w:r>
          </w:p>
        </w:tc>
        <w:tc>
          <w:tcPr>
            <w:tcW w:w="1919" w:type="dxa"/>
            <w:gridSpan w:val="2"/>
            <w:vAlign w:val="bottom"/>
          </w:tcPr>
          <w:p w14:paraId="3B310908"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חלקו של </w:t>
            </w:r>
            <w:r w:rsidRPr="004D022A">
              <w:rPr>
                <w:b/>
                <w:bCs/>
                <w:sz w:val="18"/>
                <w:szCs w:val="18"/>
                <w:rtl/>
              </w:rPr>
              <w:br/>
            </w:r>
            <w:r w:rsidRPr="004D022A">
              <w:rPr>
                <w:rFonts w:hint="cs"/>
                <w:b/>
                <w:bCs/>
                <w:sz w:val="18"/>
                <w:szCs w:val="18"/>
                <w:rtl/>
              </w:rPr>
              <w:t>התאגיד הבנקאי</w:t>
            </w:r>
          </w:p>
        </w:tc>
      </w:tr>
      <w:tr w:rsidR="005445C5" w:rsidRPr="004D022A" w14:paraId="6A01F534" w14:textId="77777777" w:rsidTr="00E63B86">
        <w:trPr>
          <w:trHeight w:val="259"/>
        </w:trPr>
        <w:tc>
          <w:tcPr>
            <w:tcW w:w="1560" w:type="dxa"/>
          </w:tcPr>
          <w:p w14:paraId="68CC4295" w14:textId="77777777" w:rsidR="005445C5" w:rsidRPr="004D022A" w:rsidRDefault="005445C5" w:rsidP="00400DD1">
            <w:pPr>
              <w:pStyle w:val="-7"/>
              <w:rPr>
                <w:sz w:val="18"/>
                <w:szCs w:val="18"/>
                <w:rtl/>
              </w:rPr>
            </w:pPr>
          </w:p>
        </w:tc>
        <w:tc>
          <w:tcPr>
            <w:tcW w:w="2942" w:type="dxa"/>
            <w:vAlign w:val="bottom"/>
          </w:tcPr>
          <w:p w14:paraId="7F2344A9" w14:textId="77777777" w:rsidR="005445C5" w:rsidRPr="004D022A" w:rsidRDefault="005445C5" w:rsidP="00400DD1">
            <w:pPr>
              <w:pStyle w:val="-0"/>
              <w:spacing w:line="240" w:lineRule="auto"/>
              <w:ind w:left="663" w:hanging="231"/>
              <w:rPr>
                <w:color w:val="auto"/>
                <w:sz w:val="18"/>
                <w:szCs w:val="18"/>
                <w:rtl/>
              </w:rPr>
            </w:pPr>
          </w:p>
        </w:tc>
        <w:tc>
          <w:tcPr>
            <w:tcW w:w="904" w:type="dxa"/>
            <w:vAlign w:val="bottom"/>
          </w:tcPr>
          <w:p w14:paraId="070E153D"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 xml:space="preserve">אשראי לציבור </w:t>
            </w:r>
          </w:p>
        </w:tc>
        <w:tc>
          <w:tcPr>
            <w:tcW w:w="1018" w:type="dxa"/>
            <w:vAlign w:val="bottom"/>
          </w:tcPr>
          <w:p w14:paraId="425172CB"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סיכון אשראי חוץ מאזני***</w:t>
            </w:r>
          </w:p>
        </w:tc>
        <w:tc>
          <w:tcPr>
            <w:tcW w:w="855" w:type="dxa"/>
            <w:vAlign w:val="bottom"/>
          </w:tcPr>
          <w:p w14:paraId="49ADA0F9"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אשראי לציבור</w:t>
            </w:r>
          </w:p>
        </w:tc>
        <w:tc>
          <w:tcPr>
            <w:tcW w:w="1009" w:type="dxa"/>
            <w:vAlign w:val="bottom"/>
          </w:tcPr>
          <w:p w14:paraId="25055862"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סיכון אשראי חוץ מאזני***</w:t>
            </w:r>
          </w:p>
        </w:tc>
        <w:tc>
          <w:tcPr>
            <w:tcW w:w="949" w:type="dxa"/>
            <w:vAlign w:val="bottom"/>
          </w:tcPr>
          <w:p w14:paraId="591C7EF7"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אשראי לציבור</w:t>
            </w:r>
          </w:p>
        </w:tc>
        <w:tc>
          <w:tcPr>
            <w:tcW w:w="970" w:type="dxa"/>
            <w:vAlign w:val="bottom"/>
          </w:tcPr>
          <w:p w14:paraId="353FC1FE" w14:textId="77777777" w:rsidR="005445C5" w:rsidRPr="004D022A" w:rsidRDefault="005445C5" w:rsidP="00400DD1">
            <w:pPr>
              <w:pStyle w:val="-3"/>
              <w:pBdr>
                <w:bottom w:val="single" w:sz="4" w:space="1" w:color="auto"/>
              </w:pBdr>
              <w:spacing w:line="240" w:lineRule="auto"/>
              <w:ind w:left="-28"/>
              <w:jc w:val="center"/>
              <w:rPr>
                <w:b/>
                <w:bCs/>
                <w:sz w:val="18"/>
                <w:szCs w:val="18"/>
                <w:rtl/>
              </w:rPr>
            </w:pPr>
            <w:r w:rsidRPr="004D022A">
              <w:rPr>
                <w:rFonts w:hint="cs"/>
                <w:b/>
                <w:bCs/>
                <w:sz w:val="18"/>
                <w:szCs w:val="18"/>
                <w:rtl/>
              </w:rPr>
              <w:t>סיכון אשראי חוץ מאזני***</w:t>
            </w:r>
          </w:p>
        </w:tc>
      </w:tr>
      <w:tr w:rsidR="005445C5" w:rsidRPr="004D022A" w14:paraId="17E31769" w14:textId="77777777" w:rsidTr="00E63B86">
        <w:trPr>
          <w:trHeight w:val="259"/>
        </w:trPr>
        <w:tc>
          <w:tcPr>
            <w:tcW w:w="1560" w:type="dxa"/>
          </w:tcPr>
          <w:p w14:paraId="77223832" w14:textId="77777777" w:rsidR="005445C5" w:rsidRPr="004D022A" w:rsidRDefault="005445C5" w:rsidP="00400DD1">
            <w:pPr>
              <w:pStyle w:val="-7"/>
              <w:rPr>
                <w:sz w:val="18"/>
                <w:szCs w:val="18"/>
                <w:rtl/>
              </w:rPr>
            </w:pPr>
          </w:p>
        </w:tc>
        <w:tc>
          <w:tcPr>
            <w:tcW w:w="2942" w:type="dxa"/>
            <w:vAlign w:val="bottom"/>
          </w:tcPr>
          <w:p w14:paraId="76D2D40A" w14:textId="77777777" w:rsidR="005445C5" w:rsidRPr="004D022A" w:rsidRDefault="005445C5" w:rsidP="00400DD1">
            <w:pPr>
              <w:pStyle w:val="-0"/>
              <w:spacing w:line="240" w:lineRule="auto"/>
              <w:ind w:left="113" w:hanging="113"/>
              <w:rPr>
                <w:b/>
                <w:bCs/>
                <w:color w:val="auto"/>
                <w:sz w:val="18"/>
                <w:szCs w:val="18"/>
                <w:rtl/>
              </w:rPr>
            </w:pPr>
            <w:r w:rsidRPr="004D022A">
              <w:rPr>
                <w:rFonts w:hint="cs"/>
                <w:color w:val="auto"/>
                <w:sz w:val="18"/>
                <w:szCs w:val="18"/>
                <w:rtl/>
              </w:rPr>
              <w:t>סך הכל מסחרי*</w:t>
            </w:r>
          </w:p>
        </w:tc>
        <w:tc>
          <w:tcPr>
            <w:tcW w:w="904" w:type="dxa"/>
            <w:vAlign w:val="bottom"/>
          </w:tcPr>
          <w:p w14:paraId="111D89D5" w14:textId="77777777" w:rsidR="005445C5" w:rsidRPr="004D022A" w:rsidRDefault="005445C5" w:rsidP="00400DD1">
            <w:pPr>
              <w:pStyle w:val="-3"/>
              <w:rPr>
                <w:sz w:val="18"/>
                <w:szCs w:val="18"/>
                <w:rtl/>
              </w:rPr>
            </w:pPr>
            <w:r w:rsidRPr="004D022A">
              <w:rPr>
                <w:rFonts w:hint="cs"/>
                <w:sz w:val="18"/>
                <w:szCs w:val="18"/>
                <w:rtl/>
              </w:rPr>
              <w:t xml:space="preserve"> 0</w:t>
            </w:r>
          </w:p>
        </w:tc>
        <w:tc>
          <w:tcPr>
            <w:tcW w:w="1018" w:type="dxa"/>
            <w:vAlign w:val="bottom"/>
          </w:tcPr>
          <w:p w14:paraId="353D7025" w14:textId="77777777" w:rsidR="005445C5" w:rsidRPr="004D022A" w:rsidRDefault="005445C5" w:rsidP="00400DD1">
            <w:pPr>
              <w:pStyle w:val="-3"/>
              <w:rPr>
                <w:sz w:val="18"/>
                <w:szCs w:val="18"/>
                <w:rtl/>
              </w:rPr>
            </w:pPr>
            <w:r w:rsidRPr="004D022A">
              <w:rPr>
                <w:rFonts w:hint="cs"/>
                <w:sz w:val="18"/>
                <w:szCs w:val="18"/>
                <w:rtl/>
              </w:rPr>
              <w:t xml:space="preserve"> 0</w:t>
            </w:r>
          </w:p>
        </w:tc>
        <w:tc>
          <w:tcPr>
            <w:tcW w:w="855" w:type="dxa"/>
            <w:vAlign w:val="bottom"/>
          </w:tcPr>
          <w:p w14:paraId="11040506" w14:textId="77777777" w:rsidR="005445C5" w:rsidRPr="004D022A" w:rsidRDefault="005445C5" w:rsidP="00400DD1">
            <w:pPr>
              <w:pStyle w:val="-3"/>
              <w:rPr>
                <w:b/>
                <w:bCs/>
                <w:sz w:val="18"/>
                <w:szCs w:val="18"/>
                <w:rtl/>
              </w:rPr>
            </w:pPr>
            <w:r w:rsidRPr="004D022A">
              <w:rPr>
                <w:rFonts w:hint="cs"/>
                <w:sz w:val="18"/>
                <w:szCs w:val="18"/>
                <w:rtl/>
              </w:rPr>
              <w:t xml:space="preserve"> 0</w:t>
            </w:r>
          </w:p>
        </w:tc>
        <w:tc>
          <w:tcPr>
            <w:tcW w:w="1009" w:type="dxa"/>
            <w:vAlign w:val="bottom"/>
          </w:tcPr>
          <w:p w14:paraId="624178E4" w14:textId="77777777" w:rsidR="005445C5" w:rsidRPr="004D022A" w:rsidRDefault="005445C5" w:rsidP="00400DD1">
            <w:pPr>
              <w:pStyle w:val="-3"/>
              <w:rPr>
                <w:sz w:val="18"/>
                <w:szCs w:val="18"/>
                <w:rtl/>
              </w:rPr>
            </w:pPr>
            <w:r w:rsidRPr="004D022A">
              <w:rPr>
                <w:rFonts w:hint="cs"/>
                <w:sz w:val="18"/>
                <w:szCs w:val="18"/>
                <w:rtl/>
              </w:rPr>
              <w:t xml:space="preserve"> 0</w:t>
            </w:r>
          </w:p>
        </w:tc>
        <w:tc>
          <w:tcPr>
            <w:tcW w:w="949" w:type="dxa"/>
            <w:vAlign w:val="bottom"/>
          </w:tcPr>
          <w:p w14:paraId="04C7A823" w14:textId="77777777" w:rsidR="005445C5" w:rsidRPr="004D022A" w:rsidRDefault="005445C5" w:rsidP="00400DD1">
            <w:pPr>
              <w:pStyle w:val="-3"/>
              <w:rPr>
                <w:sz w:val="18"/>
                <w:szCs w:val="18"/>
                <w:rtl/>
              </w:rPr>
            </w:pPr>
            <w:r w:rsidRPr="004D022A">
              <w:rPr>
                <w:rFonts w:hint="cs"/>
                <w:sz w:val="18"/>
                <w:szCs w:val="18"/>
                <w:rtl/>
              </w:rPr>
              <w:t xml:space="preserve"> 0</w:t>
            </w:r>
          </w:p>
        </w:tc>
        <w:tc>
          <w:tcPr>
            <w:tcW w:w="970" w:type="dxa"/>
            <w:vAlign w:val="bottom"/>
          </w:tcPr>
          <w:p w14:paraId="7A89EA01" w14:textId="77777777" w:rsidR="005445C5" w:rsidRPr="004D022A" w:rsidRDefault="005445C5" w:rsidP="00400DD1">
            <w:pPr>
              <w:pStyle w:val="-3"/>
              <w:rPr>
                <w:sz w:val="18"/>
                <w:szCs w:val="18"/>
                <w:rtl/>
              </w:rPr>
            </w:pPr>
            <w:r w:rsidRPr="004D022A">
              <w:rPr>
                <w:rFonts w:hint="cs"/>
                <w:sz w:val="18"/>
                <w:szCs w:val="18"/>
                <w:rtl/>
              </w:rPr>
              <w:t xml:space="preserve"> 0</w:t>
            </w:r>
          </w:p>
        </w:tc>
      </w:tr>
      <w:tr w:rsidR="005445C5" w:rsidRPr="004D022A" w14:paraId="3F5F9E83" w14:textId="77777777" w:rsidTr="00E63B86">
        <w:trPr>
          <w:trHeight w:val="259"/>
        </w:trPr>
        <w:tc>
          <w:tcPr>
            <w:tcW w:w="1560" w:type="dxa"/>
          </w:tcPr>
          <w:p w14:paraId="7E05D21C" w14:textId="77777777" w:rsidR="005445C5" w:rsidRPr="004D022A" w:rsidRDefault="005445C5" w:rsidP="00400DD1">
            <w:pPr>
              <w:pStyle w:val="-7"/>
              <w:rPr>
                <w:sz w:val="18"/>
                <w:szCs w:val="18"/>
                <w:rtl/>
              </w:rPr>
            </w:pPr>
          </w:p>
        </w:tc>
        <w:tc>
          <w:tcPr>
            <w:tcW w:w="2942" w:type="dxa"/>
            <w:vAlign w:val="bottom"/>
          </w:tcPr>
          <w:p w14:paraId="405A7A80" w14:textId="77777777" w:rsidR="005445C5" w:rsidRPr="004D022A" w:rsidRDefault="005445C5" w:rsidP="00400DD1">
            <w:pPr>
              <w:pStyle w:val="-21"/>
              <w:ind w:left="113" w:hanging="113"/>
              <w:rPr>
                <w:b/>
                <w:bCs/>
                <w:color w:val="auto"/>
                <w:sz w:val="18"/>
                <w:szCs w:val="18"/>
                <w:rtl/>
              </w:rPr>
            </w:pPr>
            <w:r w:rsidRPr="004D022A">
              <w:rPr>
                <w:rFonts w:hint="cs"/>
                <w:color w:val="auto"/>
                <w:sz w:val="18"/>
                <w:szCs w:val="18"/>
                <w:rtl/>
              </w:rPr>
              <w:t xml:space="preserve">אנשים פרטיים - הלוואות </w:t>
            </w:r>
            <w:r>
              <w:rPr>
                <w:rFonts w:hint="cs"/>
                <w:color w:val="auto"/>
                <w:sz w:val="18"/>
                <w:szCs w:val="18"/>
                <w:rtl/>
              </w:rPr>
              <w:t>ל</w:t>
            </w:r>
            <w:r w:rsidRPr="004D022A">
              <w:rPr>
                <w:rFonts w:hint="cs"/>
                <w:color w:val="auto"/>
                <w:sz w:val="18"/>
                <w:szCs w:val="18"/>
                <w:rtl/>
              </w:rPr>
              <w:t>דיור</w:t>
            </w:r>
          </w:p>
        </w:tc>
        <w:tc>
          <w:tcPr>
            <w:tcW w:w="904" w:type="dxa"/>
            <w:vAlign w:val="bottom"/>
          </w:tcPr>
          <w:p w14:paraId="6A1A63ED" w14:textId="77777777" w:rsidR="005445C5" w:rsidRPr="004D022A" w:rsidRDefault="005445C5" w:rsidP="00400DD1">
            <w:pPr>
              <w:pStyle w:val="-3"/>
              <w:rPr>
                <w:sz w:val="18"/>
                <w:szCs w:val="18"/>
                <w:rtl/>
              </w:rPr>
            </w:pPr>
            <w:r w:rsidRPr="004D022A">
              <w:rPr>
                <w:rFonts w:hint="cs"/>
                <w:sz w:val="18"/>
                <w:szCs w:val="18"/>
                <w:rtl/>
              </w:rPr>
              <w:t xml:space="preserve"> 0</w:t>
            </w:r>
          </w:p>
        </w:tc>
        <w:tc>
          <w:tcPr>
            <w:tcW w:w="1018" w:type="dxa"/>
            <w:vAlign w:val="bottom"/>
          </w:tcPr>
          <w:p w14:paraId="11787CBA" w14:textId="77777777" w:rsidR="005445C5" w:rsidRPr="004D022A" w:rsidRDefault="005445C5" w:rsidP="00400DD1">
            <w:pPr>
              <w:pStyle w:val="-3"/>
              <w:rPr>
                <w:sz w:val="18"/>
                <w:szCs w:val="18"/>
                <w:rtl/>
              </w:rPr>
            </w:pPr>
            <w:r w:rsidRPr="004D022A">
              <w:rPr>
                <w:rFonts w:hint="cs"/>
                <w:sz w:val="18"/>
                <w:szCs w:val="18"/>
                <w:rtl/>
              </w:rPr>
              <w:t xml:space="preserve"> 0</w:t>
            </w:r>
          </w:p>
        </w:tc>
        <w:tc>
          <w:tcPr>
            <w:tcW w:w="855" w:type="dxa"/>
            <w:vAlign w:val="bottom"/>
          </w:tcPr>
          <w:p w14:paraId="5655A830" w14:textId="77777777" w:rsidR="005445C5" w:rsidRPr="004D022A" w:rsidRDefault="005445C5" w:rsidP="00400DD1">
            <w:pPr>
              <w:pStyle w:val="-3"/>
              <w:rPr>
                <w:b/>
                <w:bCs/>
                <w:sz w:val="18"/>
                <w:szCs w:val="18"/>
                <w:rtl/>
              </w:rPr>
            </w:pPr>
            <w:r w:rsidRPr="004D022A">
              <w:rPr>
                <w:rFonts w:hint="cs"/>
                <w:sz w:val="18"/>
                <w:szCs w:val="18"/>
                <w:rtl/>
              </w:rPr>
              <w:t xml:space="preserve"> 0</w:t>
            </w:r>
          </w:p>
        </w:tc>
        <w:tc>
          <w:tcPr>
            <w:tcW w:w="1009" w:type="dxa"/>
            <w:vAlign w:val="bottom"/>
          </w:tcPr>
          <w:p w14:paraId="2F221141" w14:textId="77777777" w:rsidR="005445C5" w:rsidRPr="004D022A" w:rsidRDefault="005445C5" w:rsidP="00400DD1">
            <w:pPr>
              <w:pStyle w:val="-3"/>
              <w:rPr>
                <w:sz w:val="18"/>
                <w:szCs w:val="18"/>
                <w:rtl/>
              </w:rPr>
            </w:pPr>
            <w:r w:rsidRPr="004D022A">
              <w:rPr>
                <w:rFonts w:hint="cs"/>
                <w:sz w:val="18"/>
                <w:szCs w:val="18"/>
                <w:rtl/>
              </w:rPr>
              <w:t xml:space="preserve"> 0</w:t>
            </w:r>
          </w:p>
        </w:tc>
        <w:tc>
          <w:tcPr>
            <w:tcW w:w="949" w:type="dxa"/>
            <w:vAlign w:val="bottom"/>
          </w:tcPr>
          <w:p w14:paraId="48FCBFF5" w14:textId="77777777" w:rsidR="005445C5" w:rsidRPr="004D022A" w:rsidRDefault="005445C5" w:rsidP="00400DD1">
            <w:pPr>
              <w:pStyle w:val="-3"/>
              <w:rPr>
                <w:sz w:val="18"/>
                <w:szCs w:val="18"/>
                <w:rtl/>
              </w:rPr>
            </w:pPr>
            <w:r w:rsidRPr="004D022A">
              <w:rPr>
                <w:rFonts w:hint="cs"/>
                <w:sz w:val="18"/>
                <w:szCs w:val="18"/>
                <w:rtl/>
              </w:rPr>
              <w:t xml:space="preserve"> 0</w:t>
            </w:r>
          </w:p>
        </w:tc>
        <w:tc>
          <w:tcPr>
            <w:tcW w:w="970" w:type="dxa"/>
            <w:vAlign w:val="bottom"/>
          </w:tcPr>
          <w:p w14:paraId="235CEF93" w14:textId="77777777" w:rsidR="005445C5" w:rsidRPr="004D022A" w:rsidRDefault="005445C5" w:rsidP="00400DD1">
            <w:pPr>
              <w:pStyle w:val="-3"/>
              <w:rPr>
                <w:sz w:val="18"/>
                <w:szCs w:val="18"/>
                <w:rtl/>
              </w:rPr>
            </w:pPr>
            <w:r w:rsidRPr="004D022A">
              <w:rPr>
                <w:rFonts w:hint="cs"/>
                <w:sz w:val="18"/>
                <w:szCs w:val="18"/>
                <w:rtl/>
              </w:rPr>
              <w:t xml:space="preserve"> 0</w:t>
            </w:r>
          </w:p>
        </w:tc>
      </w:tr>
      <w:tr w:rsidR="005445C5" w:rsidRPr="004D022A" w14:paraId="0F0A8515" w14:textId="77777777" w:rsidTr="00E63B86">
        <w:trPr>
          <w:trHeight w:val="259"/>
        </w:trPr>
        <w:tc>
          <w:tcPr>
            <w:tcW w:w="1560" w:type="dxa"/>
          </w:tcPr>
          <w:p w14:paraId="5250E5B3" w14:textId="77777777" w:rsidR="005445C5" w:rsidRPr="004D022A" w:rsidRDefault="005445C5" w:rsidP="00400DD1">
            <w:pPr>
              <w:pStyle w:val="-7"/>
              <w:rPr>
                <w:sz w:val="18"/>
                <w:szCs w:val="18"/>
                <w:rtl/>
              </w:rPr>
            </w:pPr>
          </w:p>
        </w:tc>
        <w:tc>
          <w:tcPr>
            <w:tcW w:w="2942" w:type="dxa"/>
            <w:vAlign w:val="bottom"/>
          </w:tcPr>
          <w:p w14:paraId="0488E344" w14:textId="77777777" w:rsidR="005445C5" w:rsidRPr="004D022A" w:rsidRDefault="005445C5" w:rsidP="00400DD1">
            <w:pPr>
              <w:pStyle w:val="-0"/>
              <w:spacing w:line="240" w:lineRule="auto"/>
              <w:ind w:left="113" w:hanging="113"/>
              <w:rPr>
                <w:b/>
                <w:bCs/>
                <w:color w:val="auto"/>
                <w:sz w:val="18"/>
                <w:szCs w:val="18"/>
                <w:rtl/>
              </w:rPr>
            </w:pPr>
            <w:r w:rsidRPr="004D022A">
              <w:rPr>
                <w:rFonts w:hint="cs"/>
                <w:color w:val="auto"/>
                <w:sz w:val="18"/>
                <w:szCs w:val="18"/>
                <w:rtl/>
              </w:rPr>
              <w:t>אנשים פרטיים - אחר</w:t>
            </w:r>
          </w:p>
        </w:tc>
        <w:tc>
          <w:tcPr>
            <w:tcW w:w="904" w:type="dxa"/>
            <w:vAlign w:val="bottom"/>
          </w:tcPr>
          <w:p w14:paraId="12835603" w14:textId="77777777" w:rsidR="005445C5" w:rsidRPr="004D022A" w:rsidRDefault="005445C5" w:rsidP="00400DD1">
            <w:pPr>
              <w:pStyle w:val="-3"/>
              <w:pBdr>
                <w:bottom w:val="single" w:sz="4" w:space="1" w:color="auto"/>
              </w:pBdr>
              <w:rPr>
                <w:b/>
                <w:bCs/>
                <w:sz w:val="18"/>
                <w:szCs w:val="18"/>
                <w:rtl/>
              </w:rPr>
            </w:pPr>
            <w:r w:rsidRPr="004D022A">
              <w:rPr>
                <w:rFonts w:hint="cs"/>
                <w:sz w:val="18"/>
                <w:szCs w:val="18"/>
                <w:rtl/>
              </w:rPr>
              <w:t xml:space="preserve"> 0</w:t>
            </w:r>
          </w:p>
        </w:tc>
        <w:tc>
          <w:tcPr>
            <w:tcW w:w="1018" w:type="dxa"/>
            <w:vAlign w:val="bottom"/>
          </w:tcPr>
          <w:p w14:paraId="53876E4E" w14:textId="77777777" w:rsidR="005445C5" w:rsidRPr="004D022A" w:rsidRDefault="005445C5" w:rsidP="00400DD1">
            <w:pPr>
              <w:pStyle w:val="-3"/>
              <w:pBdr>
                <w:bottom w:val="single" w:sz="4" w:space="1" w:color="auto"/>
              </w:pBdr>
              <w:rPr>
                <w:b/>
                <w:bCs/>
                <w:sz w:val="18"/>
                <w:szCs w:val="18"/>
                <w:rtl/>
              </w:rPr>
            </w:pPr>
            <w:r w:rsidRPr="004D022A">
              <w:rPr>
                <w:rFonts w:hint="cs"/>
                <w:sz w:val="18"/>
                <w:szCs w:val="18"/>
                <w:rtl/>
              </w:rPr>
              <w:t xml:space="preserve"> 0</w:t>
            </w:r>
          </w:p>
        </w:tc>
        <w:tc>
          <w:tcPr>
            <w:tcW w:w="855" w:type="dxa"/>
            <w:vAlign w:val="bottom"/>
          </w:tcPr>
          <w:p w14:paraId="0D9F8F8A" w14:textId="77777777" w:rsidR="005445C5" w:rsidRPr="004D022A" w:rsidRDefault="005445C5" w:rsidP="00400DD1">
            <w:pPr>
              <w:pStyle w:val="-3"/>
              <w:pBdr>
                <w:bottom w:val="single" w:sz="4" w:space="1" w:color="auto"/>
              </w:pBdr>
              <w:rPr>
                <w:b/>
                <w:bCs/>
                <w:sz w:val="18"/>
                <w:szCs w:val="18"/>
                <w:rtl/>
              </w:rPr>
            </w:pPr>
            <w:r w:rsidRPr="004D022A">
              <w:rPr>
                <w:rFonts w:hint="cs"/>
                <w:sz w:val="18"/>
                <w:szCs w:val="18"/>
                <w:rtl/>
              </w:rPr>
              <w:t xml:space="preserve"> 0</w:t>
            </w:r>
          </w:p>
        </w:tc>
        <w:tc>
          <w:tcPr>
            <w:tcW w:w="1009" w:type="dxa"/>
            <w:vAlign w:val="bottom"/>
          </w:tcPr>
          <w:p w14:paraId="3D525582" w14:textId="77777777" w:rsidR="005445C5" w:rsidRPr="004D022A" w:rsidRDefault="005445C5" w:rsidP="00400DD1">
            <w:pPr>
              <w:pStyle w:val="-3"/>
              <w:pBdr>
                <w:bottom w:val="single" w:sz="4" w:space="1" w:color="auto"/>
              </w:pBdr>
              <w:rPr>
                <w:sz w:val="18"/>
                <w:szCs w:val="18"/>
                <w:rtl/>
              </w:rPr>
            </w:pPr>
            <w:r w:rsidRPr="004D022A">
              <w:rPr>
                <w:rFonts w:hint="cs"/>
                <w:sz w:val="18"/>
                <w:szCs w:val="18"/>
                <w:rtl/>
              </w:rPr>
              <w:t xml:space="preserve"> 0</w:t>
            </w:r>
          </w:p>
        </w:tc>
        <w:tc>
          <w:tcPr>
            <w:tcW w:w="949" w:type="dxa"/>
            <w:vAlign w:val="bottom"/>
          </w:tcPr>
          <w:p w14:paraId="1AA734CB" w14:textId="77777777" w:rsidR="005445C5" w:rsidRPr="004D022A" w:rsidRDefault="005445C5" w:rsidP="00400DD1">
            <w:pPr>
              <w:pStyle w:val="-3"/>
              <w:pBdr>
                <w:bottom w:val="single" w:sz="4" w:space="1" w:color="auto"/>
              </w:pBdr>
              <w:rPr>
                <w:sz w:val="18"/>
                <w:szCs w:val="18"/>
                <w:rtl/>
              </w:rPr>
            </w:pPr>
            <w:r w:rsidRPr="004D022A">
              <w:rPr>
                <w:rFonts w:hint="cs"/>
                <w:sz w:val="18"/>
                <w:szCs w:val="18"/>
                <w:rtl/>
              </w:rPr>
              <w:t xml:space="preserve"> 0</w:t>
            </w:r>
          </w:p>
        </w:tc>
        <w:tc>
          <w:tcPr>
            <w:tcW w:w="970" w:type="dxa"/>
            <w:vAlign w:val="bottom"/>
          </w:tcPr>
          <w:p w14:paraId="1BA11E0C" w14:textId="77777777" w:rsidR="005445C5" w:rsidRPr="004D022A" w:rsidRDefault="005445C5" w:rsidP="00400DD1">
            <w:pPr>
              <w:pStyle w:val="-3"/>
              <w:pBdr>
                <w:bottom w:val="single" w:sz="4" w:space="1" w:color="auto"/>
              </w:pBdr>
              <w:rPr>
                <w:sz w:val="18"/>
                <w:szCs w:val="18"/>
                <w:rtl/>
              </w:rPr>
            </w:pPr>
            <w:r w:rsidRPr="004D022A">
              <w:rPr>
                <w:rFonts w:hint="cs"/>
                <w:sz w:val="18"/>
                <w:szCs w:val="18"/>
                <w:rtl/>
              </w:rPr>
              <w:t xml:space="preserve"> 0</w:t>
            </w:r>
          </w:p>
        </w:tc>
      </w:tr>
      <w:tr w:rsidR="005445C5" w:rsidRPr="004D022A" w14:paraId="0263306B" w14:textId="77777777" w:rsidTr="00E63B86">
        <w:trPr>
          <w:trHeight w:val="259"/>
        </w:trPr>
        <w:tc>
          <w:tcPr>
            <w:tcW w:w="1560" w:type="dxa"/>
          </w:tcPr>
          <w:p w14:paraId="21A03E7D" w14:textId="77777777" w:rsidR="005445C5" w:rsidRPr="004D022A" w:rsidRDefault="005445C5" w:rsidP="00400DD1">
            <w:pPr>
              <w:pStyle w:val="-7"/>
              <w:rPr>
                <w:sz w:val="18"/>
                <w:szCs w:val="18"/>
                <w:rtl/>
              </w:rPr>
            </w:pPr>
          </w:p>
        </w:tc>
        <w:tc>
          <w:tcPr>
            <w:tcW w:w="2942" w:type="dxa"/>
            <w:vAlign w:val="bottom"/>
          </w:tcPr>
          <w:p w14:paraId="1B89FC4E" w14:textId="77777777" w:rsidR="005445C5" w:rsidRPr="00AD40A8" w:rsidRDefault="005445C5" w:rsidP="00400DD1">
            <w:pPr>
              <w:pStyle w:val="-b"/>
              <w:ind w:left="113" w:hanging="113"/>
              <w:rPr>
                <w:b w:val="0"/>
                <w:bCs w:val="0"/>
                <w:color w:val="auto"/>
                <w:sz w:val="18"/>
                <w:szCs w:val="18"/>
                <w:rtl/>
              </w:rPr>
            </w:pPr>
            <w:r w:rsidRPr="00AD40A8">
              <w:rPr>
                <w:rFonts w:hint="cs"/>
                <w:b w:val="0"/>
                <w:bCs w:val="0"/>
                <w:color w:val="auto"/>
                <w:sz w:val="18"/>
                <w:szCs w:val="18"/>
                <w:rtl/>
              </w:rPr>
              <w:t>סך הכל אשראי לציבור</w:t>
            </w:r>
          </w:p>
        </w:tc>
        <w:tc>
          <w:tcPr>
            <w:tcW w:w="904" w:type="dxa"/>
            <w:vAlign w:val="bottom"/>
          </w:tcPr>
          <w:p w14:paraId="17A10D56" w14:textId="77777777" w:rsidR="005445C5" w:rsidRPr="00AD40A8" w:rsidRDefault="005445C5" w:rsidP="00400DD1">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c>
          <w:tcPr>
            <w:tcW w:w="1018" w:type="dxa"/>
            <w:vAlign w:val="bottom"/>
          </w:tcPr>
          <w:p w14:paraId="18895D48" w14:textId="77777777" w:rsidR="005445C5" w:rsidRPr="00AD40A8" w:rsidRDefault="005445C5" w:rsidP="00400DD1">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c>
          <w:tcPr>
            <w:tcW w:w="855" w:type="dxa"/>
            <w:vAlign w:val="bottom"/>
          </w:tcPr>
          <w:p w14:paraId="68CC601B" w14:textId="77777777" w:rsidR="005445C5" w:rsidRPr="00AD40A8" w:rsidRDefault="005445C5" w:rsidP="00400DD1">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c>
          <w:tcPr>
            <w:tcW w:w="1009" w:type="dxa"/>
            <w:vAlign w:val="bottom"/>
          </w:tcPr>
          <w:p w14:paraId="038FDA8E" w14:textId="77777777" w:rsidR="005445C5" w:rsidRPr="00AD40A8" w:rsidRDefault="005445C5" w:rsidP="00400DD1">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c>
          <w:tcPr>
            <w:tcW w:w="949" w:type="dxa"/>
            <w:vAlign w:val="bottom"/>
          </w:tcPr>
          <w:p w14:paraId="40C03EE5" w14:textId="77777777" w:rsidR="005445C5" w:rsidRPr="00AD40A8" w:rsidRDefault="005445C5" w:rsidP="00400DD1">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c>
          <w:tcPr>
            <w:tcW w:w="970" w:type="dxa"/>
            <w:vAlign w:val="bottom"/>
          </w:tcPr>
          <w:p w14:paraId="2A39B1B5" w14:textId="77777777" w:rsidR="005445C5" w:rsidRPr="00AD40A8" w:rsidRDefault="005445C5" w:rsidP="00400DD1">
            <w:pPr>
              <w:pStyle w:val="-f1"/>
              <w:pBdr>
                <w:top w:val="none" w:sz="0" w:space="0" w:color="auto"/>
                <w:bottom w:val="single" w:sz="4" w:space="1" w:color="auto"/>
              </w:pBdr>
              <w:rPr>
                <w:b w:val="0"/>
                <w:bCs w:val="0"/>
                <w:color w:val="auto"/>
                <w:sz w:val="18"/>
                <w:szCs w:val="18"/>
                <w:rtl/>
              </w:rPr>
            </w:pPr>
            <w:r w:rsidRPr="00AD40A8">
              <w:rPr>
                <w:rFonts w:hint="cs"/>
                <w:b w:val="0"/>
                <w:bCs w:val="0"/>
                <w:color w:val="auto"/>
                <w:sz w:val="18"/>
                <w:szCs w:val="18"/>
                <w:rtl/>
              </w:rPr>
              <w:t xml:space="preserve"> 0</w:t>
            </w:r>
          </w:p>
        </w:tc>
      </w:tr>
    </w:tbl>
    <w:p w14:paraId="78D04052" w14:textId="77777777" w:rsidR="008F784F" w:rsidRPr="004D022A" w:rsidRDefault="008F784F" w:rsidP="00636D34">
      <w:pPr>
        <w:spacing w:line="48" w:lineRule="auto"/>
        <w:rPr>
          <w:sz w:val="18"/>
          <w:szCs w:val="18"/>
          <w:rtl/>
        </w:rPr>
      </w:pPr>
    </w:p>
    <w:p w14:paraId="7E4406AC" w14:textId="5BD8E943" w:rsidR="005445C5" w:rsidRDefault="005445C5">
      <w:pPr>
        <w:rPr>
          <w:rtl/>
        </w:rPr>
      </w:pPr>
    </w:p>
    <w:p w14:paraId="2B79976B" w14:textId="77777777" w:rsidR="005445C5" w:rsidRDefault="005445C5"/>
    <w:tbl>
      <w:tblPr>
        <w:bidiVisual/>
        <w:tblW w:w="4948" w:type="pct"/>
        <w:tblLook w:val="01E0" w:firstRow="1" w:lastRow="1" w:firstColumn="1" w:lastColumn="1" w:noHBand="0" w:noVBand="0"/>
      </w:tblPr>
      <w:tblGrid>
        <w:gridCol w:w="1488"/>
        <w:gridCol w:w="8613"/>
      </w:tblGrid>
      <w:tr w:rsidR="008F784F" w:rsidRPr="004D022A" w14:paraId="41248563" w14:textId="77777777" w:rsidTr="005445C5">
        <w:trPr>
          <w:trHeight w:val="259"/>
        </w:trPr>
        <w:tc>
          <w:tcPr>
            <w:tcW w:w="1488" w:type="dxa"/>
          </w:tcPr>
          <w:p w14:paraId="68408040" w14:textId="77777777" w:rsidR="008F784F" w:rsidRPr="004D022A" w:rsidRDefault="008F784F" w:rsidP="0096199F">
            <w:pPr>
              <w:pStyle w:val="-7"/>
              <w:rPr>
                <w:sz w:val="18"/>
                <w:szCs w:val="18"/>
                <w:rtl/>
              </w:rPr>
            </w:pPr>
          </w:p>
        </w:tc>
        <w:tc>
          <w:tcPr>
            <w:tcW w:w="8613" w:type="dxa"/>
            <w:vAlign w:val="bottom"/>
          </w:tcPr>
          <w:p w14:paraId="0D84F7D6" w14:textId="77777777" w:rsidR="008F784F" w:rsidRPr="004D022A" w:rsidRDefault="008F784F" w:rsidP="0096199F">
            <w:pPr>
              <w:pStyle w:val="-3"/>
              <w:rPr>
                <w:sz w:val="18"/>
                <w:szCs w:val="18"/>
                <w:rtl/>
              </w:rPr>
            </w:pPr>
            <w:r w:rsidRPr="004D022A">
              <w:rPr>
                <w:rFonts w:hint="cs"/>
                <w:sz w:val="18"/>
                <w:szCs w:val="18"/>
                <w:rtl/>
              </w:rPr>
              <w:t>*</w:t>
            </w:r>
            <w:r w:rsidRPr="004D022A">
              <w:rPr>
                <w:sz w:val="18"/>
                <w:szCs w:val="18"/>
                <w:rtl/>
              </w:rPr>
              <w:tab/>
            </w:r>
            <w:r w:rsidRPr="004D022A">
              <w:rPr>
                <w:rFonts w:hint="cs"/>
                <w:sz w:val="18"/>
                <w:szCs w:val="18"/>
                <w:rtl/>
              </w:rPr>
              <w:t>פרט את ענף המשק, אם מהותי</w:t>
            </w:r>
          </w:p>
        </w:tc>
      </w:tr>
      <w:tr w:rsidR="008F784F" w:rsidRPr="004D022A" w14:paraId="51C91AAF" w14:textId="77777777" w:rsidTr="005445C5">
        <w:trPr>
          <w:trHeight w:val="259"/>
        </w:trPr>
        <w:tc>
          <w:tcPr>
            <w:tcW w:w="1488" w:type="dxa"/>
          </w:tcPr>
          <w:p w14:paraId="311E0D18" w14:textId="77777777" w:rsidR="008F784F" w:rsidRPr="004D022A" w:rsidRDefault="008F784F" w:rsidP="0096199F">
            <w:pPr>
              <w:pStyle w:val="-7"/>
              <w:rPr>
                <w:sz w:val="18"/>
                <w:szCs w:val="18"/>
                <w:rtl/>
              </w:rPr>
            </w:pPr>
          </w:p>
        </w:tc>
        <w:tc>
          <w:tcPr>
            <w:tcW w:w="8613" w:type="dxa"/>
            <w:vAlign w:val="bottom"/>
          </w:tcPr>
          <w:p w14:paraId="68E91B4C" w14:textId="77777777" w:rsidR="008F784F" w:rsidRPr="004D022A" w:rsidRDefault="008F784F" w:rsidP="0096199F">
            <w:pPr>
              <w:pStyle w:val="-3"/>
              <w:rPr>
                <w:sz w:val="18"/>
                <w:szCs w:val="18"/>
                <w:rtl/>
              </w:rPr>
            </w:pPr>
            <w:r w:rsidRPr="004D022A">
              <w:rPr>
                <w:rFonts w:hint="cs"/>
                <w:sz w:val="18"/>
                <w:szCs w:val="18"/>
                <w:rtl/>
              </w:rPr>
              <w:t>**</w:t>
            </w:r>
            <w:r w:rsidRPr="004D022A">
              <w:rPr>
                <w:sz w:val="18"/>
                <w:szCs w:val="18"/>
                <w:rtl/>
              </w:rPr>
              <w:tab/>
            </w:r>
            <w:r w:rsidRPr="004D022A">
              <w:rPr>
                <w:rFonts w:hint="cs"/>
                <w:sz w:val="18"/>
                <w:szCs w:val="18"/>
                <w:rtl/>
              </w:rPr>
              <w:t>לרבות אם התאגיד הבקנאי נותן שירות מהותי בעסקת הסינדיקציה.</w:t>
            </w:r>
          </w:p>
        </w:tc>
      </w:tr>
      <w:tr w:rsidR="008F784F" w:rsidRPr="004D022A" w14:paraId="1A40D860" w14:textId="77777777" w:rsidTr="005445C5">
        <w:trPr>
          <w:trHeight w:val="259"/>
        </w:trPr>
        <w:tc>
          <w:tcPr>
            <w:tcW w:w="1488" w:type="dxa"/>
          </w:tcPr>
          <w:p w14:paraId="2B1190E1" w14:textId="77777777" w:rsidR="008F784F" w:rsidRPr="004D022A" w:rsidRDefault="008F784F" w:rsidP="0096199F">
            <w:pPr>
              <w:pStyle w:val="-7"/>
              <w:rPr>
                <w:sz w:val="18"/>
                <w:szCs w:val="18"/>
                <w:rtl/>
              </w:rPr>
            </w:pPr>
          </w:p>
        </w:tc>
        <w:tc>
          <w:tcPr>
            <w:tcW w:w="8613" w:type="dxa"/>
            <w:vAlign w:val="bottom"/>
          </w:tcPr>
          <w:p w14:paraId="5BEFD164" w14:textId="77777777" w:rsidR="008F784F" w:rsidRPr="004D022A" w:rsidRDefault="008F784F" w:rsidP="0096199F">
            <w:pPr>
              <w:pStyle w:val="-3"/>
              <w:rPr>
                <w:sz w:val="18"/>
                <w:szCs w:val="18"/>
                <w:rtl/>
              </w:rPr>
            </w:pPr>
            <w:r w:rsidRPr="004D022A">
              <w:rPr>
                <w:rFonts w:hint="cs"/>
                <w:sz w:val="18"/>
                <w:szCs w:val="18"/>
                <w:rtl/>
              </w:rPr>
              <w:t>***</w:t>
            </w:r>
            <w:r w:rsidRPr="004D022A">
              <w:rPr>
                <w:sz w:val="18"/>
                <w:szCs w:val="18"/>
                <w:rtl/>
              </w:rPr>
              <w:tab/>
            </w:r>
            <w:r w:rsidRPr="004D022A">
              <w:rPr>
                <w:rFonts w:hint="cs"/>
                <w:sz w:val="18"/>
                <w:szCs w:val="18"/>
                <w:rtl/>
              </w:rPr>
              <w:t>סיכון אשראי במכשירים פינסיים חוץ מאזניים כפי שחושב לצורך מגבלת חבות של לווה, למעט בגין מכשירים נגזרים.</w:t>
            </w:r>
          </w:p>
        </w:tc>
      </w:tr>
    </w:tbl>
    <w:p w14:paraId="44B995B2" w14:textId="77777777" w:rsidR="008F784F" w:rsidRPr="008F784F" w:rsidRDefault="008F784F" w:rsidP="008F784F">
      <w:pPr>
        <w:rPr>
          <w:color w:val="FF0000"/>
          <w:rtl/>
        </w:rPr>
      </w:pPr>
    </w:p>
    <w:p w14:paraId="1EB097B2" w14:textId="77777777" w:rsidR="008F784F" w:rsidRPr="008F784F" w:rsidRDefault="008F784F" w:rsidP="008F784F">
      <w:pPr>
        <w:bidi w:val="0"/>
        <w:spacing w:line="60" w:lineRule="exact"/>
        <w:rPr>
          <w:color w:val="FF0000"/>
        </w:rPr>
      </w:pPr>
    </w:p>
    <w:p w14:paraId="77B84CD2" w14:textId="77777777" w:rsidR="007A65A1" w:rsidRDefault="007A65A1" w:rsidP="00613CCE">
      <w:pPr>
        <w:pStyle w:val="-2"/>
        <w:ind w:left="1599"/>
        <w:sectPr w:rsidR="007A65A1" w:rsidSect="00587121">
          <w:footnotePr>
            <w:numRestart w:val="eachPage"/>
          </w:footnotePr>
          <w:pgSz w:w="11909" w:h="16834" w:code="9"/>
          <w:pgMar w:top="851" w:right="851" w:bottom="851" w:left="851" w:header="720" w:footer="720" w:gutter="0"/>
          <w:cols w:space="720"/>
          <w:bidi/>
          <w:rtlGutter/>
          <w:docGrid w:linePitch="360"/>
        </w:sectPr>
      </w:pPr>
    </w:p>
    <w:tbl>
      <w:tblPr>
        <w:bidiVisual/>
        <w:tblW w:w="5013" w:type="pct"/>
        <w:tblLayout w:type="fixed"/>
        <w:tblLook w:val="04A0" w:firstRow="1" w:lastRow="0" w:firstColumn="1" w:lastColumn="0" w:noHBand="0" w:noVBand="1"/>
      </w:tblPr>
      <w:tblGrid>
        <w:gridCol w:w="1020"/>
        <w:gridCol w:w="425"/>
        <w:gridCol w:w="8789"/>
      </w:tblGrid>
      <w:tr w:rsidR="008F784F" w:rsidRPr="00543C25" w14:paraId="140632FA" w14:textId="77777777" w:rsidTr="00E63B86">
        <w:trPr>
          <w:trHeight w:val="259"/>
        </w:trPr>
        <w:tc>
          <w:tcPr>
            <w:tcW w:w="1020" w:type="dxa"/>
          </w:tcPr>
          <w:p w14:paraId="7468073A" w14:textId="77777777" w:rsidR="008F784F" w:rsidRPr="008F784F" w:rsidRDefault="008F784F" w:rsidP="0096199F">
            <w:pPr>
              <w:pStyle w:val="-fa"/>
              <w:spacing w:before="0" w:after="60"/>
              <w:rPr>
                <w:rtl/>
              </w:rPr>
            </w:pPr>
            <w:bookmarkStart w:id="52" w:name="_Hlk131415810"/>
          </w:p>
        </w:tc>
        <w:tc>
          <w:tcPr>
            <w:tcW w:w="9214" w:type="dxa"/>
            <w:gridSpan w:val="2"/>
          </w:tcPr>
          <w:p w14:paraId="55EA2E7C" w14:textId="77777777" w:rsidR="008F784F" w:rsidRDefault="008F784F" w:rsidP="00316579">
            <w:pPr>
              <w:pStyle w:val="-8"/>
              <w:rPr>
                <w:rtl/>
              </w:rPr>
            </w:pPr>
            <w:r w:rsidRPr="00CF2A74">
              <w:rPr>
                <w:rtl/>
              </w:rPr>
              <w:t xml:space="preserve">ביאור </w:t>
            </w:r>
            <w:r>
              <w:rPr>
                <w:rFonts w:hint="cs"/>
                <w:rtl/>
              </w:rPr>
              <w:t>1</w:t>
            </w:r>
            <w:r w:rsidR="00316579">
              <w:rPr>
                <w:rFonts w:hint="cs"/>
                <w:rtl/>
              </w:rPr>
              <w:t>2</w:t>
            </w:r>
            <w:r w:rsidRPr="00CF2A74">
              <w:rPr>
                <w:rtl/>
              </w:rPr>
              <w:t xml:space="preserve">  -  </w:t>
            </w:r>
            <w:r>
              <w:rPr>
                <w:rFonts w:hint="cs"/>
                <w:rtl/>
              </w:rPr>
              <w:t xml:space="preserve">מידע נוסף על </w:t>
            </w:r>
            <w:r w:rsidRPr="00CF2A74">
              <w:rPr>
                <w:rtl/>
              </w:rPr>
              <w:t>סיכון אשראי, אשראי לציבור והפרשה להפסדי אשראי</w:t>
            </w:r>
            <w:r>
              <w:rPr>
                <w:rFonts w:hint="cs"/>
                <w:rtl/>
              </w:rPr>
              <w:t xml:space="preserve"> (המשך):</w:t>
            </w:r>
          </w:p>
        </w:tc>
      </w:tr>
      <w:tr w:rsidR="008F784F" w:rsidRPr="007363C7" w14:paraId="262DEA65" w14:textId="77777777" w:rsidTr="00E63B86">
        <w:tblPrEx>
          <w:jc w:val="right"/>
          <w:tblLook w:val="0000" w:firstRow="0" w:lastRow="0" w:firstColumn="0" w:lastColumn="0" w:noHBand="0" w:noVBand="0"/>
        </w:tblPrEx>
        <w:trPr>
          <w:trHeight w:val="245"/>
          <w:jc w:val="right"/>
        </w:trPr>
        <w:tc>
          <w:tcPr>
            <w:tcW w:w="1020" w:type="dxa"/>
          </w:tcPr>
          <w:p w14:paraId="4CDE51D3" w14:textId="06E72707" w:rsidR="008F784F" w:rsidRPr="00543C25" w:rsidRDefault="008F784F" w:rsidP="0096199F">
            <w:pPr>
              <w:pStyle w:val="-fa"/>
              <w:spacing w:after="60"/>
              <w:rPr>
                <w:rtl/>
              </w:rPr>
            </w:pPr>
          </w:p>
        </w:tc>
        <w:tc>
          <w:tcPr>
            <w:tcW w:w="425" w:type="dxa"/>
          </w:tcPr>
          <w:p w14:paraId="07F5DD8D" w14:textId="77777777" w:rsidR="008F784F" w:rsidRPr="00543C25" w:rsidRDefault="008F784F" w:rsidP="0096199F">
            <w:pPr>
              <w:pStyle w:val="-f4"/>
              <w:spacing w:line="240" w:lineRule="auto"/>
              <w:jc w:val="left"/>
              <w:rPr>
                <w:rtl/>
              </w:rPr>
            </w:pPr>
            <w:r>
              <w:rPr>
                <w:rFonts w:hint="cs"/>
                <w:rtl/>
              </w:rPr>
              <w:t xml:space="preserve">ג. </w:t>
            </w:r>
          </w:p>
        </w:tc>
        <w:tc>
          <w:tcPr>
            <w:tcW w:w="8789" w:type="dxa"/>
          </w:tcPr>
          <w:p w14:paraId="7E413226" w14:textId="77777777" w:rsidR="008F784F" w:rsidRPr="00897732" w:rsidRDefault="008F784F" w:rsidP="0096199F">
            <w:pPr>
              <w:pStyle w:val="-f4"/>
              <w:spacing w:line="240" w:lineRule="auto"/>
              <w:jc w:val="left"/>
              <w:rPr>
                <w:rtl/>
              </w:rPr>
            </w:pPr>
            <w:r w:rsidRPr="00EC76DC">
              <w:rPr>
                <w:rtl/>
              </w:rPr>
              <w:t>מכשירים פיננסיים חוץ</w:t>
            </w:r>
            <w:r>
              <w:rPr>
                <w:rFonts w:hint="cs"/>
                <w:rtl/>
              </w:rPr>
              <w:t xml:space="preserve"> </w:t>
            </w:r>
            <w:r w:rsidRPr="00EC76DC">
              <w:rPr>
                <w:rtl/>
              </w:rPr>
              <w:t>מאזניים</w:t>
            </w:r>
            <w:r>
              <w:rPr>
                <w:rFonts w:hint="cs"/>
                <w:rtl/>
              </w:rPr>
              <w:t>:</w:t>
            </w:r>
          </w:p>
        </w:tc>
      </w:tr>
      <w:tr w:rsidR="008F784F" w:rsidRPr="007363C7" w14:paraId="6C779161" w14:textId="77777777" w:rsidTr="00E63B86">
        <w:tblPrEx>
          <w:jc w:val="right"/>
          <w:tblLook w:val="0000" w:firstRow="0" w:lastRow="0" w:firstColumn="0" w:lastColumn="0" w:noHBand="0" w:noVBand="0"/>
        </w:tblPrEx>
        <w:trPr>
          <w:trHeight w:val="245"/>
          <w:jc w:val="right"/>
        </w:trPr>
        <w:tc>
          <w:tcPr>
            <w:tcW w:w="1020" w:type="dxa"/>
          </w:tcPr>
          <w:p w14:paraId="6B5AA3BB" w14:textId="77777777" w:rsidR="00E63B86" w:rsidRDefault="008F784F" w:rsidP="00E63B86">
            <w:pPr>
              <w:pStyle w:val="-7"/>
              <w:spacing w:line="240" w:lineRule="auto"/>
              <w:rPr>
                <w:spacing w:val="-4"/>
                <w:sz w:val="14"/>
                <w:szCs w:val="14"/>
                <w:rtl/>
              </w:rPr>
            </w:pPr>
            <w:r w:rsidRPr="0065100E">
              <w:rPr>
                <w:rFonts w:hint="eastAsia"/>
                <w:spacing w:val="-4"/>
                <w:sz w:val="14"/>
                <w:szCs w:val="14"/>
                <w:rtl/>
              </w:rPr>
              <w:t>מתכונת</w:t>
            </w:r>
            <w:r w:rsidRPr="0065100E">
              <w:rPr>
                <w:spacing w:val="-4"/>
                <w:sz w:val="14"/>
                <w:szCs w:val="14"/>
                <w:rtl/>
              </w:rPr>
              <w:t xml:space="preserve"> ביאור</w:t>
            </w:r>
          </w:p>
          <w:p w14:paraId="4A85F1A4" w14:textId="0D21F903" w:rsidR="008F784F" w:rsidRDefault="008F784F" w:rsidP="00E63B86">
            <w:pPr>
              <w:pStyle w:val="-7"/>
              <w:spacing w:line="240" w:lineRule="auto"/>
              <w:rPr>
                <w:rtl/>
              </w:rPr>
            </w:pPr>
            <w:r w:rsidRPr="0065100E">
              <w:rPr>
                <w:spacing w:val="-4"/>
                <w:sz w:val="14"/>
                <w:szCs w:val="14"/>
                <w:rtl/>
              </w:rPr>
              <w:t xml:space="preserve"> </w:t>
            </w:r>
            <w:r w:rsidRPr="0065100E">
              <w:rPr>
                <w:rFonts w:hint="eastAsia"/>
                <w:spacing w:val="-4"/>
                <w:sz w:val="14"/>
                <w:szCs w:val="14"/>
                <w:rtl/>
              </w:rPr>
              <w:t>עמ</w:t>
            </w:r>
            <w:r w:rsidRPr="0065100E">
              <w:rPr>
                <w:spacing w:val="-4"/>
                <w:sz w:val="14"/>
                <w:szCs w:val="14"/>
                <w:rtl/>
              </w:rPr>
              <w:t xml:space="preserve">' </w:t>
            </w:r>
            <w:r w:rsidRPr="0065100E">
              <w:rPr>
                <w:rFonts w:hint="cs"/>
                <w:spacing w:val="-4"/>
                <w:sz w:val="14"/>
                <w:szCs w:val="14"/>
                <w:rtl/>
              </w:rPr>
              <w:t>663-</w:t>
            </w:r>
            <w:r>
              <w:rPr>
                <w:rFonts w:hint="cs"/>
                <w:spacing w:val="-4"/>
                <w:sz w:val="14"/>
                <w:szCs w:val="14"/>
                <w:rtl/>
              </w:rPr>
              <w:t>53</w:t>
            </w:r>
          </w:p>
        </w:tc>
        <w:tc>
          <w:tcPr>
            <w:tcW w:w="425" w:type="dxa"/>
          </w:tcPr>
          <w:p w14:paraId="0F940F53" w14:textId="77777777" w:rsidR="008F784F" w:rsidRPr="00543C25" w:rsidRDefault="008F784F" w:rsidP="0096199F">
            <w:pPr>
              <w:pStyle w:val="-f4"/>
              <w:spacing w:after="0" w:line="240" w:lineRule="auto"/>
              <w:jc w:val="left"/>
              <w:rPr>
                <w:rtl/>
              </w:rPr>
            </w:pPr>
          </w:p>
        </w:tc>
        <w:tc>
          <w:tcPr>
            <w:tcW w:w="8789" w:type="dxa"/>
          </w:tcPr>
          <w:p w14:paraId="3E1CA876" w14:textId="77777777" w:rsidR="008F784F" w:rsidRPr="001C3154" w:rsidRDefault="008F784F" w:rsidP="0096199F">
            <w:pPr>
              <w:pStyle w:val="-10"/>
              <w:spacing w:after="0" w:line="240" w:lineRule="auto"/>
              <w:rPr>
                <w:rtl/>
              </w:rPr>
            </w:pPr>
            <w:r>
              <w:rPr>
                <w:rFonts w:hint="cs"/>
                <w:rtl/>
              </w:rPr>
              <w:t>עסקאות בהן היתרה מייצגת סיכון אשראי:</w:t>
            </w:r>
          </w:p>
        </w:tc>
      </w:tr>
      <w:bookmarkEnd w:id="52"/>
    </w:tbl>
    <w:p w14:paraId="42112043" w14:textId="77777777" w:rsidR="008F784F" w:rsidRPr="008812A1" w:rsidRDefault="008F784F" w:rsidP="008F784F">
      <w:pPr>
        <w:rPr>
          <w:sz w:val="2"/>
          <w:szCs w:val="2"/>
          <w:rtl/>
        </w:rPr>
      </w:pPr>
    </w:p>
    <w:tbl>
      <w:tblPr>
        <w:bidiVisual/>
        <w:tblW w:w="5013" w:type="pct"/>
        <w:tblLayout w:type="fixed"/>
        <w:tblLook w:val="01E0" w:firstRow="1" w:lastRow="1" w:firstColumn="1" w:lastColumn="1" w:noHBand="0" w:noVBand="0"/>
      </w:tblPr>
      <w:tblGrid>
        <w:gridCol w:w="1020"/>
        <w:gridCol w:w="398"/>
        <w:gridCol w:w="3479"/>
        <w:gridCol w:w="828"/>
        <w:gridCol w:w="829"/>
        <w:gridCol w:w="818"/>
        <w:gridCol w:w="283"/>
        <w:gridCol w:w="806"/>
        <w:gridCol w:w="813"/>
        <w:gridCol w:w="17"/>
        <w:gridCol w:w="943"/>
      </w:tblGrid>
      <w:tr w:rsidR="008F784F" w:rsidRPr="00B023B0" w14:paraId="22F8CB22" w14:textId="77777777" w:rsidTr="00E63B86">
        <w:trPr>
          <w:trHeight w:val="245"/>
        </w:trPr>
        <w:tc>
          <w:tcPr>
            <w:tcW w:w="1020" w:type="dxa"/>
            <w:shd w:val="clear" w:color="auto" w:fill="auto"/>
          </w:tcPr>
          <w:p w14:paraId="260F8514" w14:textId="77777777" w:rsidR="008F784F" w:rsidRDefault="008F784F" w:rsidP="0096199F">
            <w:pPr>
              <w:pStyle w:val="-7"/>
              <w:rPr>
                <w:rtl/>
              </w:rPr>
            </w:pPr>
          </w:p>
        </w:tc>
        <w:tc>
          <w:tcPr>
            <w:tcW w:w="398" w:type="dxa"/>
            <w:shd w:val="clear" w:color="auto" w:fill="auto"/>
          </w:tcPr>
          <w:p w14:paraId="3C7128D5" w14:textId="77777777" w:rsidR="008F784F" w:rsidRDefault="008F784F" w:rsidP="0096199F">
            <w:pPr>
              <w:pStyle w:val="-7"/>
              <w:rPr>
                <w:rtl/>
              </w:rPr>
            </w:pPr>
          </w:p>
        </w:tc>
        <w:tc>
          <w:tcPr>
            <w:tcW w:w="3479" w:type="dxa"/>
            <w:shd w:val="clear" w:color="auto" w:fill="auto"/>
          </w:tcPr>
          <w:p w14:paraId="5C3841AD" w14:textId="77777777" w:rsidR="008F784F" w:rsidRDefault="008F784F" w:rsidP="0096199F">
            <w:pPr>
              <w:pStyle w:val="-0"/>
              <w:rPr>
                <w:rtl/>
              </w:rPr>
            </w:pPr>
          </w:p>
        </w:tc>
        <w:tc>
          <w:tcPr>
            <w:tcW w:w="1657" w:type="dxa"/>
            <w:gridSpan w:val="2"/>
            <w:shd w:val="clear" w:color="auto" w:fill="auto"/>
            <w:vAlign w:val="bottom"/>
          </w:tcPr>
          <w:p w14:paraId="753C82EE" w14:textId="77777777" w:rsidR="008F784F" w:rsidRPr="004D022A" w:rsidRDefault="008F784F" w:rsidP="0096199F">
            <w:pPr>
              <w:pStyle w:val="-4"/>
              <w:ind w:left="-28" w:right="-28"/>
              <w:rPr>
                <w:sz w:val="18"/>
                <w:szCs w:val="18"/>
                <w:rtl/>
              </w:rPr>
            </w:pPr>
            <w:r w:rsidRPr="004D022A">
              <w:rPr>
                <w:rFonts w:hint="cs"/>
                <w:sz w:val="18"/>
                <w:szCs w:val="18"/>
                <w:rtl/>
              </w:rPr>
              <w:t>ליום 30 ביוני</w:t>
            </w:r>
          </w:p>
        </w:tc>
        <w:tc>
          <w:tcPr>
            <w:tcW w:w="818" w:type="dxa"/>
            <w:shd w:val="clear" w:color="auto" w:fill="auto"/>
            <w:tcMar>
              <w:left w:w="58" w:type="dxa"/>
              <w:right w:w="58" w:type="dxa"/>
            </w:tcMar>
            <w:vAlign w:val="bottom"/>
          </w:tcPr>
          <w:p w14:paraId="2D77D2AF" w14:textId="77777777" w:rsidR="008F784F" w:rsidRPr="004D022A" w:rsidRDefault="008F784F" w:rsidP="0096199F">
            <w:pPr>
              <w:pStyle w:val="-7"/>
              <w:pBdr>
                <w:bottom w:val="single" w:sz="4" w:space="1" w:color="auto"/>
              </w:pBdr>
              <w:ind w:left="-28" w:right="-28"/>
              <w:jc w:val="center"/>
              <w:rPr>
                <w:b/>
                <w:bCs/>
                <w:sz w:val="18"/>
                <w:szCs w:val="18"/>
                <w:rtl/>
              </w:rPr>
            </w:pPr>
            <w:r w:rsidRPr="004D022A">
              <w:rPr>
                <w:rFonts w:hint="cs"/>
                <w:b/>
                <w:bCs/>
                <w:sz w:val="18"/>
                <w:szCs w:val="18"/>
                <w:rtl/>
              </w:rPr>
              <w:t>ליום 31 בדצמבר</w:t>
            </w:r>
          </w:p>
        </w:tc>
        <w:tc>
          <w:tcPr>
            <w:tcW w:w="283" w:type="dxa"/>
            <w:shd w:val="clear" w:color="auto" w:fill="auto"/>
            <w:vAlign w:val="bottom"/>
          </w:tcPr>
          <w:p w14:paraId="68DA3E8A" w14:textId="77777777" w:rsidR="008F784F" w:rsidRPr="004D022A" w:rsidRDefault="008F784F" w:rsidP="0096199F">
            <w:pPr>
              <w:pStyle w:val="-7"/>
              <w:ind w:left="-28" w:right="-28"/>
              <w:rPr>
                <w:sz w:val="18"/>
                <w:szCs w:val="18"/>
                <w:rtl/>
              </w:rPr>
            </w:pPr>
          </w:p>
        </w:tc>
        <w:tc>
          <w:tcPr>
            <w:tcW w:w="1619" w:type="dxa"/>
            <w:gridSpan w:val="2"/>
            <w:shd w:val="clear" w:color="auto" w:fill="auto"/>
            <w:vAlign w:val="bottom"/>
          </w:tcPr>
          <w:p w14:paraId="179E3277" w14:textId="77777777" w:rsidR="008F784F" w:rsidRPr="004D022A" w:rsidRDefault="008F784F" w:rsidP="0096199F">
            <w:pPr>
              <w:pStyle w:val="-4"/>
              <w:ind w:left="-28" w:right="-28"/>
              <w:rPr>
                <w:sz w:val="18"/>
                <w:szCs w:val="18"/>
                <w:rtl/>
              </w:rPr>
            </w:pPr>
            <w:r w:rsidRPr="004D022A">
              <w:rPr>
                <w:rFonts w:hint="cs"/>
                <w:sz w:val="18"/>
                <w:szCs w:val="18"/>
                <w:rtl/>
              </w:rPr>
              <w:t>ליום 30 ביוני</w:t>
            </w:r>
          </w:p>
        </w:tc>
        <w:tc>
          <w:tcPr>
            <w:tcW w:w="960" w:type="dxa"/>
            <w:gridSpan w:val="2"/>
            <w:shd w:val="clear" w:color="auto" w:fill="auto"/>
            <w:vAlign w:val="bottom"/>
          </w:tcPr>
          <w:p w14:paraId="2B02BC26" w14:textId="77777777" w:rsidR="008F784F" w:rsidRPr="004D022A" w:rsidRDefault="008F784F" w:rsidP="0096199F">
            <w:pPr>
              <w:pStyle w:val="-7"/>
              <w:pBdr>
                <w:bottom w:val="single" w:sz="6" w:space="1" w:color="auto"/>
              </w:pBdr>
              <w:ind w:left="-28" w:right="-28"/>
              <w:jc w:val="center"/>
              <w:rPr>
                <w:b/>
                <w:bCs/>
                <w:sz w:val="18"/>
                <w:szCs w:val="18"/>
                <w:rtl/>
              </w:rPr>
            </w:pPr>
            <w:r w:rsidRPr="004D022A">
              <w:rPr>
                <w:rFonts w:hint="cs"/>
                <w:b/>
                <w:bCs/>
                <w:sz w:val="18"/>
                <w:szCs w:val="18"/>
                <w:rtl/>
              </w:rPr>
              <w:t>ליום 31 בדצמבר</w:t>
            </w:r>
          </w:p>
        </w:tc>
      </w:tr>
      <w:tr w:rsidR="008F784F" w14:paraId="1575716C" w14:textId="77777777" w:rsidTr="00E63B86">
        <w:trPr>
          <w:trHeight w:val="245"/>
        </w:trPr>
        <w:tc>
          <w:tcPr>
            <w:tcW w:w="1020" w:type="dxa"/>
            <w:shd w:val="clear" w:color="auto" w:fill="auto"/>
          </w:tcPr>
          <w:p w14:paraId="3D959C36" w14:textId="77777777" w:rsidR="008F784F" w:rsidRDefault="008F784F" w:rsidP="0096199F">
            <w:pPr>
              <w:pStyle w:val="-7"/>
              <w:rPr>
                <w:rtl/>
              </w:rPr>
            </w:pPr>
          </w:p>
        </w:tc>
        <w:tc>
          <w:tcPr>
            <w:tcW w:w="398" w:type="dxa"/>
            <w:shd w:val="clear" w:color="auto" w:fill="auto"/>
          </w:tcPr>
          <w:p w14:paraId="2F969AAF" w14:textId="77777777" w:rsidR="008F784F" w:rsidRDefault="008F784F" w:rsidP="0096199F">
            <w:pPr>
              <w:pStyle w:val="-7"/>
              <w:rPr>
                <w:rtl/>
              </w:rPr>
            </w:pPr>
          </w:p>
        </w:tc>
        <w:tc>
          <w:tcPr>
            <w:tcW w:w="3479" w:type="dxa"/>
            <w:shd w:val="clear" w:color="auto" w:fill="auto"/>
          </w:tcPr>
          <w:p w14:paraId="3FB907F6" w14:textId="77777777" w:rsidR="008F784F" w:rsidRDefault="008F784F" w:rsidP="0096199F">
            <w:pPr>
              <w:pStyle w:val="-0"/>
              <w:rPr>
                <w:rtl/>
              </w:rPr>
            </w:pPr>
          </w:p>
        </w:tc>
        <w:tc>
          <w:tcPr>
            <w:tcW w:w="828" w:type="dxa"/>
            <w:shd w:val="clear" w:color="auto" w:fill="auto"/>
            <w:vAlign w:val="bottom"/>
          </w:tcPr>
          <w:p w14:paraId="387340C9" w14:textId="3E554B33" w:rsidR="008F784F" w:rsidRPr="004D022A" w:rsidRDefault="000100A4" w:rsidP="001977FC">
            <w:pPr>
              <w:pStyle w:val="-4"/>
              <w:ind w:left="-28" w:right="-28"/>
              <w:rPr>
                <w:sz w:val="18"/>
                <w:szCs w:val="18"/>
                <w:rtl/>
              </w:rPr>
            </w:pPr>
            <w:r w:rsidRPr="004D022A">
              <w:rPr>
                <w:sz w:val="18"/>
                <w:szCs w:val="18"/>
                <w:rtl/>
              </w:rPr>
              <w:fldChar w:fldCharType="begin"/>
            </w:r>
            <w:r w:rsidRPr="004D022A">
              <w:rPr>
                <w:sz w:val="18"/>
                <w:szCs w:val="18"/>
                <w:rtl/>
              </w:rPr>
              <w:instrText xml:space="preserve"> </w:instrText>
            </w:r>
            <w:r w:rsidRPr="004D022A">
              <w:rPr>
                <w:rFonts w:hint="cs"/>
                <w:sz w:val="18"/>
                <w:szCs w:val="18"/>
                <w:rtl/>
              </w:rPr>
              <w:instrText xml:space="preserve">= </w:instrText>
            </w:r>
            <w:r w:rsidRPr="004D022A">
              <w:rPr>
                <w:rFonts w:hint="cs"/>
                <w:sz w:val="18"/>
                <w:szCs w:val="18"/>
              </w:rPr>
              <w:instrText>CY \* MERGEFORMAT</w:instrText>
            </w:r>
            <w:r w:rsidRPr="004D022A">
              <w:rPr>
                <w:sz w:val="18"/>
                <w:szCs w:val="18"/>
                <w:rtl/>
              </w:rPr>
              <w:instrText xml:space="preserve"> </w:instrText>
            </w:r>
            <w:r w:rsidRPr="004D022A">
              <w:rPr>
                <w:sz w:val="18"/>
                <w:szCs w:val="18"/>
                <w:rtl/>
              </w:rPr>
              <w:fldChar w:fldCharType="separate"/>
            </w:r>
            <w:r w:rsidR="003A584F">
              <w:rPr>
                <w:noProof/>
                <w:sz w:val="18"/>
                <w:szCs w:val="18"/>
                <w:rtl/>
              </w:rPr>
              <w:t>2024</w:t>
            </w:r>
            <w:r w:rsidRPr="004D022A">
              <w:rPr>
                <w:sz w:val="18"/>
                <w:szCs w:val="18"/>
                <w:rtl/>
              </w:rPr>
              <w:fldChar w:fldCharType="end"/>
            </w:r>
          </w:p>
        </w:tc>
        <w:tc>
          <w:tcPr>
            <w:tcW w:w="829" w:type="dxa"/>
            <w:shd w:val="clear" w:color="auto" w:fill="auto"/>
            <w:vAlign w:val="bottom"/>
          </w:tcPr>
          <w:p w14:paraId="38891F62" w14:textId="5ADF6D96" w:rsidR="008F784F" w:rsidRPr="004D022A" w:rsidRDefault="000100A4" w:rsidP="006A0255">
            <w:pPr>
              <w:pStyle w:val="-4"/>
              <w:ind w:left="-28" w:right="-28"/>
              <w:rPr>
                <w:sz w:val="18"/>
                <w:szCs w:val="18"/>
                <w:rtl/>
              </w:rPr>
            </w:pPr>
            <w:r w:rsidRPr="004D022A">
              <w:rPr>
                <w:sz w:val="18"/>
                <w:szCs w:val="18"/>
                <w:rtl/>
              </w:rPr>
              <w:fldChar w:fldCharType="begin"/>
            </w:r>
            <w:r w:rsidRPr="004D022A">
              <w:rPr>
                <w:sz w:val="18"/>
                <w:szCs w:val="18"/>
                <w:rtl/>
              </w:rPr>
              <w:instrText xml:space="preserve"> </w:instrText>
            </w:r>
            <w:r w:rsidRPr="004D022A">
              <w:rPr>
                <w:rFonts w:hint="cs"/>
                <w:sz w:val="18"/>
                <w:szCs w:val="18"/>
                <w:rtl/>
              </w:rPr>
              <w:instrText xml:space="preserve">= </w:instrText>
            </w:r>
            <w:r w:rsidRPr="004D022A">
              <w:rPr>
                <w:rFonts w:hint="cs"/>
                <w:sz w:val="18"/>
                <w:szCs w:val="18"/>
              </w:rPr>
              <w:instrText>CY</w:instrText>
            </w:r>
            <w:r w:rsidRPr="004D022A">
              <w:rPr>
                <w:sz w:val="18"/>
                <w:szCs w:val="18"/>
              </w:rPr>
              <w:instrText>-1</w:instrText>
            </w:r>
            <w:r w:rsidRPr="004D022A">
              <w:rPr>
                <w:rFonts w:hint="cs"/>
                <w:sz w:val="18"/>
                <w:szCs w:val="18"/>
              </w:rPr>
              <w:instrText xml:space="preserve"> \* MERGEFORMAT</w:instrText>
            </w:r>
            <w:r w:rsidRPr="004D022A">
              <w:rPr>
                <w:sz w:val="18"/>
                <w:szCs w:val="18"/>
                <w:rtl/>
              </w:rPr>
              <w:instrText xml:space="preserve"> </w:instrText>
            </w:r>
            <w:r w:rsidRPr="004D022A">
              <w:rPr>
                <w:sz w:val="18"/>
                <w:szCs w:val="18"/>
                <w:rtl/>
              </w:rPr>
              <w:fldChar w:fldCharType="separate"/>
            </w:r>
            <w:r w:rsidR="003A584F">
              <w:rPr>
                <w:noProof/>
                <w:sz w:val="18"/>
                <w:szCs w:val="18"/>
                <w:rtl/>
              </w:rPr>
              <w:t>2023</w:t>
            </w:r>
            <w:r w:rsidRPr="004D022A">
              <w:rPr>
                <w:sz w:val="18"/>
                <w:szCs w:val="18"/>
                <w:rtl/>
              </w:rPr>
              <w:fldChar w:fldCharType="end"/>
            </w:r>
          </w:p>
        </w:tc>
        <w:tc>
          <w:tcPr>
            <w:tcW w:w="818" w:type="dxa"/>
            <w:shd w:val="clear" w:color="auto" w:fill="auto"/>
            <w:tcMar>
              <w:left w:w="58" w:type="dxa"/>
              <w:right w:w="58" w:type="dxa"/>
            </w:tcMar>
            <w:vAlign w:val="bottom"/>
          </w:tcPr>
          <w:p w14:paraId="7F85CD90" w14:textId="570A3381" w:rsidR="008F784F" w:rsidRPr="004D022A" w:rsidRDefault="000100A4" w:rsidP="006A0255">
            <w:pPr>
              <w:pStyle w:val="-7"/>
              <w:pBdr>
                <w:bottom w:val="single" w:sz="4" w:space="1" w:color="auto"/>
              </w:pBdr>
              <w:ind w:left="-28" w:right="-28"/>
              <w:jc w:val="center"/>
              <w:rPr>
                <w:b/>
                <w:bCs/>
                <w:sz w:val="18"/>
                <w:szCs w:val="18"/>
                <w:rtl/>
              </w:rPr>
            </w:pPr>
            <w:r w:rsidRPr="004D022A">
              <w:rPr>
                <w:b/>
                <w:bCs/>
                <w:sz w:val="18"/>
                <w:szCs w:val="18"/>
                <w:rtl/>
              </w:rPr>
              <w:fldChar w:fldCharType="begin"/>
            </w:r>
            <w:r w:rsidRPr="004D022A">
              <w:rPr>
                <w:b/>
                <w:bCs/>
                <w:sz w:val="18"/>
                <w:szCs w:val="18"/>
                <w:rtl/>
              </w:rPr>
              <w:instrText xml:space="preserve"> </w:instrText>
            </w:r>
            <w:r w:rsidRPr="004D022A">
              <w:rPr>
                <w:rFonts w:hint="cs"/>
                <w:b/>
                <w:bCs/>
                <w:sz w:val="18"/>
                <w:szCs w:val="18"/>
                <w:rtl/>
              </w:rPr>
              <w:instrText xml:space="preserve">= </w:instrText>
            </w:r>
            <w:r w:rsidRPr="004D022A">
              <w:rPr>
                <w:rFonts w:hint="cs"/>
                <w:b/>
                <w:bCs/>
                <w:sz w:val="18"/>
                <w:szCs w:val="18"/>
              </w:rPr>
              <w:instrText>CY</w:instrText>
            </w:r>
            <w:r w:rsidRPr="004D022A">
              <w:rPr>
                <w:b/>
                <w:bCs/>
                <w:sz w:val="18"/>
                <w:szCs w:val="18"/>
              </w:rPr>
              <w:instrText>-1</w:instrText>
            </w:r>
            <w:r w:rsidRPr="004D022A">
              <w:rPr>
                <w:rFonts w:hint="cs"/>
                <w:b/>
                <w:bCs/>
                <w:sz w:val="18"/>
                <w:szCs w:val="18"/>
              </w:rPr>
              <w:instrText xml:space="preserve"> \* MERGEFORMAT</w:instrText>
            </w:r>
            <w:r w:rsidRPr="004D022A">
              <w:rPr>
                <w:b/>
                <w:bCs/>
                <w:sz w:val="18"/>
                <w:szCs w:val="18"/>
                <w:rtl/>
              </w:rPr>
              <w:instrText xml:space="preserve"> </w:instrText>
            </w:r>
            <w:r w:rsidRPr="004D022A">
              <w:rPr>
                <w:b/>
                <w:bCs/>
                <w:sz w:val="18"/>
                <w:szCs w:val="18"/>
                <w:rtl/>
              </w:rPr>
              <w:fldChar w:fldCharType="separate"/>
            </w:r>
            <w:r w:rsidR="003A584F">
              <w:rPr>
                <w:b/>
                <w:bCs/>
                <w:noProof/>
                <w:sz w:val="18"/>
                <w:szCs w:val="18"/>
                <w:rtl/>
              </w:rPr>
              <w:t>2023</w:t>
            </w:r>
            <w:r w:rsidRPr="004D022A">
              <w:rPr>
                <w:b/>
                <w:bCs/>
                <w:sz w:val="18"/>
                <w:szCs w:val="18"/>
                <w:rtl/>
              </w:rPr>
              <w:fldChar w:fldCharType="end"/>
            </w:r>
          </w:p>
        </w:tc>
        <w:tc>
          <w:tcPr>
            <w:tcW w:w="283" w:type="dxa"/>
            <w:shd w:val="clear" w:color="auto" w:fill="auto"/>
            <w:vAlign w:val="bottom"/>
          </w:tcPr>
          <w:p w14:paraId="4B2BFAC8" w14:textId="77777777" w:rsidR="008F784F" w:rsidRPr="004D022A" w:rsidRDefault="008F784F" w:rsidP="0096199F">
            <w:pPr>
              <w:pStyle w:val="-7"/>
              <w:ind w:left="-28" w:right="-28"/>
              <w:rPr>
                <w:sz w:val="18"/>
                <w:szCs w:val="18"/>
                <w:rtl/>
              </w:rPr>
            </w:pPr>
          </w:p>
        </w:tc>
        <w:tc>
          <w:tcPr>
            <w:tcW w:w="806" w:type="dxa"/>
            <w:shd w:val="clear" w:color="auto" w:fill="auto"/>
            <w:vAlign w:val="bottom"/>
          </w:tcPr>
          <w:p w14:paraId="7140B307" w14:textId="2A46D5B1" w:rsidR="008F784F" w:rsidRPr="004D022A" w:rsidRDefault="000100A4" w:rsidP="001977FC">
            <w:pPr>
              <w:pStyle w:val="-4"/>
              <w:ind w:left="-28" w:right="-28"/>
              <w:rPr>
                <w:sz w:val="18"/>
                <w:szCs w:val="18"/>
                <w:rtl/>
              </w:rPr>
            </w:pPr>
            <w:r w:rsidRPr="004D022A">
              <w:rPr>
                <w:sz w:val="18"/>
                <w:szCs w:val="18"/>
                <w:rtl/>
              </w:rPr>
              <w:fldChar w:fldCharType="begin"/>
            </w:r>
            <w:r w:rsidRPr="004D022A">
              <w:rPr>
                <w:sz w:val="18"/>
                <w:szCs w:val="18"/>
                <w:rtl/>
              </w:rPr>
              <w:instrText xml:space="preserve"> </w:instrText>
            </w:r>
            <w:r w:rsidRPr="004D022A">
              <w:rPr>
                <w:rFonts w:hint="cs"/>
                <w:sz w:val="18"/>
                <w:szCs w:val="18"/>
                <w:rtl/>
              </w:rPr>
              <w:instrText xml:space="preserve">= </w:instrText>
            </w:r>
            <w:r w:rsidRPr="004D022A">
              <w:rPr>
                <w:rFonts w:hint="cs"/>
                <w:sz w:val="18"/>
                <w:szCs w:val="18"/>
              </w:rPr>
              <w:instrText>CY \* MERGEFORMAT</w:instrText>
            </w:r>
            <w:r w:rsidRPr="004D022A">
              <w:rPr>
                <w:sz w:val="18"/>
                <w:szCs w:val="18"/>
                <w:rtl/>
              </w:rPr>
              <w:instrText xml:space="preserve"> </w:instrText>
            </w:r>
            <w:r w:rsidRPr="004D022A">
              <w:rPr>
                <w:sz w:val="18"/>
                <w:szCs w:val="18"/>
                <w:rtl/>
              </w:rPr>
              <w:fldChar w:fldCharType="separate"/>
            </w:r>
            <w:r w:rsidR="003A584F">
              <w:rPr>
                <w:noProof/>
                <w:sz w:val="18"/>
                <w:szCs w:val="18"/>
                <w:rtl/>
              </w:rPr>
              <w:t>2024</w:t>
            </w:r>
            <w:r w:rsidRPr="004D022A">
              <w:rPr>
                <w:sz w:val="18"/>
                <w:szCs w:val="18"/>
                <w:rtl/>
              </w:rPr>
              <w:fldChar w:fldCharType="end"/>
            </w:r>
          </w:p>
        </w:tc>
        <w:tc>
          <w:tcPr>
            <w:tcW w:w="830" w:type="dxa"/>
            <w:gridSpan w:val="2"/>
            <w:shd w:val="clear" w:color="auto" w:fill="auto"/>
            <w:vAlign w:val="bottom"/>
          </w:tcPr>
          <w:p w14:paraId="5A2114B8" w14:textId="35119B32" w:rsidR="008F784F" w:rsidRPr="004D022A" w:rsidRDefault="000100A4" w:rsidP="006A0255">
            <w:pPr>
              <w:pStyle w:val="-4"/>
              <w:ind w:left="-28" w:right="-28"/>
              <w:rPr>
                <w:sz w:val="18"/>
                <w:szCs w:val="18"/>
                <w:rtl/>
              </w:rPr>
            </w:pPr>
            <w:r w:rsidRPr="004D022A">
              <w:rPr>
                <w:sz w:val="18"/>
                <w:szCs w:val="18"/>
                <w:rtl/>
              </w:rPr>
              <w:fldChar w:fldCharType="begin"/>
            </w:r>
            <w:r w:rsidRPr="004D022A">
              <w:rPr>
                <w:sz w:val="18"/>
                <w:szCs w:val="18"/>
                <w:rtl/>
              </w:rPr>
              <w:instrText xml:space="preserve"> </w:instrText>
            </w:r>
            <w:r w:rsidRPr="004D022A">
              <w:rPr>
                <w:rFonts w:hint="cs"/>
                <w:sz w:val="18"/>
                <w:szCs w:val="18"/>
                <w:rtl/>
              </w:rPr>
              <w:instrText xml:space="preserve">= </w:instrText>
            </w:r>
            <w:r w:rsidRPr="004D022A">
              <w:rPr>
                <w:rFonts w:hint="cs"/>
                <w:sz w:val="18"/>
                <w:szCs w:val="18"/>
              </w:rPr>
              <w:instrText>CY</w:instrText>
            </w:r>
            <w:r w:rsidRPr="004D022A">
              <w:rPr>
                <w:sz w:val="18"/>
                <w:szCs w:val="18"/>
              </w:rPr>
              <w:instrText>-1</w:instrText>
            </w:r>
            <w:r w:rsidRPr="004D022A">
              <w:rPr>
                <w:rFonts w:hint="cs"/>
                <w:sz w:val="18"/>
                <w:szCs w:val="18"/>
              </w:rPr>
              <w:instrText xml:space="preserve"> \* MERGEFORMAT</w:instrText>
            </w:r>
            <w:r w:rsidRPr="004D022A">
              <w:rPr>
                <w:sz w:val="18"/>
                <w:szCs w:val="18"/>
                <w:rtl/>
              </w:rPr>
              <w:instrText xml:space="preserve"> </w:instrText>
            </w:r>
            <w:r w:rsidRPr="004D022A">
              <w:rPr>
                <w:sz w:val="18"/>
                <w:szCs w:val="18"/>
                <w:rtl/>
              </w:rPr>
              <w:fldChar w:fldCharType="separate"/>
            </w:r>
            <w:r w:rsidR="003A584F">
              <w:rPr>
                <w:noProof/>
                <w:sz w:val="18"/>
                <w:szCs w:val="18"/>
                <w:rtl/>
              </w:rPr>
              <w:t>2023</w:t>
            </w:r>
            <w:r w:rsidRPr="004D022A">
              <w:rPr>
                <w:sz w:val="18"/>
                <w:szCs w:val="18"/>
                <w:rtl/>
              </w:rPr>
              <w:fldChar w:fldCharType="end"/>
            </w:r>
          </w:p>
        </w:tc>
        <w:tc>
          <w:tcPr>
            <w:tcW w:w="943" w:type="dxa"/>
            <w:shd w:val="clear" w:color="auto" w:fill="auto"/>
            <w:vAlign w:val="bottom"/>
          </w:tcPr>
          <w:p w14:paraId="4224B661" w14:textId="44587355" w:rsidR="008F784F" w:rsidRPr="004D022A" w:rsidRDefault="000100A4" w:rsidP="006A0255">
            <w:pPr>
              <w:pStyle w:val="-7"/>
              <w:pBdr>
                <w:bottom w:val="single" w:sz="4" w:space="1" w:color="auto"/>
              </w:pBdr>
              <w:ind w:left="-28" w:right="-28"/>
              <w:jc w:val="center"/>
              <w:rPr>
                <w:b/>
                <w:bCs/>
                <w:sz w:val="18"/>
                <w:szCs w:val="18"/>
                <w:rtl/>
              </w:rPr>
            </w:pPr>
            <w:r w:rsidRPr="004D022A">
              <w:rPr>
                <w:b/>
                <w:bCs/>
                <w:sz w:val="18"/>
                <w:szCs w:val="18"/>
                <w:rtl/>
              </w:rPr>
              <w:fldChar w:fldCharType="begin"/>
            </w:r>
            <w:r w:rsidRPr="004D022A">
              <w:rPr>
                <w:b/>
                <w:bCs/>
                <w:sz w:val="18"/>
                <w:szCs w:val="18"/>
                <w:rtl/>
              </w:rPr>
              <w:instrText xml:space="preserve"> </w:instrText>
            </w:r>
            <w:r w:rsidRPr="004D022A">
              <w:rPr>
                <w:rFonts w:hint="cs"/>
                <w:b/>
                <w:bCs/>
                <w:sz w:val="18"/>
                <w:szCs w:val="18"/>
                <w:rtl/>
              </w:rPr>
              <w:instrText xml:space="preserve">= </w:instrText>
            </w:r>
            <w:r w:rsidRPr="004D022A">
              <w:rPr>
                <w:rFonts w:hint="cs"/>
                <w:b/>
                <w:bCs/>
                <w:sz w:val="18"/>
                <w:szCs w:val="18"/>
              </w:rPr>
              <w:instrText>CY</w:instrText>
            </w:r>
            <w:r w:rsidRPr="004D022A">
              <w:rPr>
                <w:b/>
                <w:bCs/>
                <w:sz w:val="18"/>
                <w:szCs w:val="18"/>
              </w:rPr>
              <w:instrText>-1</w:instrText>
            </w:r>
            <w:r w:rsidRPr="004D022A">
              <w:rPr>
                <w:rFonts w:hint="cs"/>
                <w:b/>
                <w:bCs/>
                <w:sz w:val="18"/>
                <w:szCs w:val="18"/>
              </w:rPr>
              <w:instrText xml:space="preserve"> \* MERGEFORMAT</w:instrText>
            </w:r>
            <w:r w:rsidRPr="004D022A">
              <w:rPr>
                <w:b/>
                <w:bCs/>
                <w:sz w:val="18"/>
                <w:szCs w:val="18"/>
                <w:rtl/>
              </w:rPr>
              <w:instrText xml:space="preserve"> </w:instrText>
            </w:r>
            <w:r w:rsidRPr="004D022A">
              <w:rPr>
                <w:b/>
                <w:bCs/>
                <w:sz w:val="18"/>
                <w:szCs w:val="18"/>
                <w:rtl/>
              </w:rPr>
              <w:fldChar w:fldCharType="separate"/>
            </w:r>
            <w:r w:rsidR="003A584F">
              <w:rPr>
                <w:b/>
                <w:bCs/>
                <w:noProof/>
                <w:sz w:val="18"/>
                <w:szCs w:val="18"/>
                <w:rtl/>
              </w:rPr>
              <w:t>2023</w:t>
            </w:r>
            <w:r w:rsidRPr="004D022A">
              <w:rPr>
                <w:b/>
                <w:bCs/>
                <w:sz w:val="18"/>
                <w:szCs w:val="18"/>
                <w:rtl/>
              </w:rPr>
              <w:fldChar w:fldCharType="end"/>
            </w:r>
          </w:p>
        </w:tc>
      </w:tr>
      <w:tr w:rsidR="008F784F" w14:paraId="758C4C14" w14:textId="77777777" w:rsidTr="00E63B86">
        <w:trPr>
          <w:trHeight w:val="245"/>
        </w:trPr>
        <w:tc>
          <w:tcPr>
            <w:tcW w:w="1020" w:type="dxa"/>
            <w:shd w:val="clear" w:color="auto" w:fill="auto"/>
          </w:tcPr>
          <w:p w14:paraId="558CE8F7" w14:textId="77777777" w:rsidR="008F784F" w:rsidRDefault="008F784F" w:rsidP="0096199F">
            <w:pPr>
              <w:pStyle w:val="-7"/>
              <w:rPr>
                <w:rtl/>
              </w:rPr>
            </w:pPr>
          </w:p>
        </w:tc>
        <w:tc>
          <w:tcPr>
            <w:tcW w:w="398" w:type="dxa"/>
            <w:shd w:val="clear" w:color="auto" w:fill="auto"/>
          </w:tcPr>
          <w:p w14:paraId="19D2366E" w14:textId="77777777" w:rsidR="008F784F" w:rsidRDefault="008F784F" w:rsidP="0096199F">
            <w:pPr>
              <w:pStyle w:val="-7"/>
              <w:rPr>
                <w:rtl/>
              </w:rPr>
            </w:pPr>
          </w:p>
        </w:tc>
        <w:tc>
          <w:tcPr>
            <w:tcW w:w="3479" w:type="dxa"/>
            <w:shd w:val="clear" w:color="auto" w:fill="auto"/>
          </w:tcPr>
          <w:p w14:paraId="307EE69D" w14:textId="77777777" w:rsidR="008F784F" w:rsidRDefault="008F784F" w:rsidP="0096199F">
            <w:pPr>
              <w:pStyle w:val="-0"/>
              <w:rPr>
                <w:rtl/>
              </w:rPr>
            </w:pPr>
          </w:p>
        </w:tc>
        <w:tc>
          <w:tcPr>
            <w:tcW w:w="1657" w:type="dxa"/>
            <w:gridSpan w:val="2"/>
            <w:shd w:val="clear" w:color="auto" w:fill="auto"/>
            <w:vAlign w:val="bottom"/>
          </w:tcPr>
          <w:p w14:paraId="0F61E7E9" w14:textId="77777777" w:rsidR="008F784F" w:rsidRPr="004D022A" w:rsidRDefault="008F784F" w:rsidP="0096199F">
            <w:pPr>
              <w:pStyle w:val="-4"/>
              <w:ind w:left="-28" w:right="-28"/>
              <w:rPr>
                <w:sz w:val="18"/>
                <w:szCs w:val="18"/>
                <w:rtl/>
              </w:rPr>
            </w:pPr>
            <w:r w:rsidRPr="004D022A">
              <w:rPr>
                <w:rFonts w:hint="eastAsia"/>
                <w:sz w:val="18"/>
                <w:szCs w:val="18"/>
                <w:rtl/>
              </w:rPr>
              <w:t>בלתי</w:t>
            </w:r>
            <w:r w:rsidRPr="004D022A">
              <w:rPr>
                <w:sz w:val="18"/>
                <w:szCs w:val="18"/>
                <w:rtl/>
              </w:rPr>
              <w:t xml:space="preserve"> </w:t>
            </w:r>
            <w:r w:rsidRPr="004D022A">
              <w:rPr>
                <w:rFonts w:hint="eastAsia"/>
                <w:sz w:val="18"/>
                <w:szCs w:val="18"/>
                <w:rtl/>
              </w:rPr>
              <w:t>מבוקר</w:t>
            </w:r>
          </w:p>
        </w:tc>
        <w:tc>
          <w:tcPr>
            <w:tcW w:w="818" w:type="dxa"/>
            <w:shd w:val="clear" w:color="auto" w:fill="auto"/>
            <w:tcMar>
              <w:left w:w="58" w:type="dxa"/>
              <w:right w:w="58" w:type="dxa"/>
            </w:tcMar>
            <w:vAlign w:val="bottom"/>
          </w:tcPr>
          <w:p w14:paraId="3A0A8513" w14:textId="77777777" w:rsidR="008F784F" w:rsidRPr="004D022A" w:rsidRDefault="008F784F" w:rsidP="0096199F">
            <w:pPr>
              <w:pStyle w:val="-7"/>
              <w:pBdr>
                <w:bottom w:val="single" w:sz="4" w:space="1" w:color="auto"/>
              </w:pBdr>
              <w:ind w:left="-28" w:right="-28"/>
              <w:jc w:val="center"/>
              <w:rPr>
                <w:b/>
                <w:bCs/>
                <w:sz w:val="18"/>
                <w:szCs w:val="18"/>
                <w:rtl/>
              </w:rPr>
            </w:pPr>
            <w:r w:rsidRPr="004D022A">
              <w:rPr>
                <w:rFonts w:hint="eastAsia"/>
                <w:b/>
                <w:bCs/>
                <w:sz w:val="18"/>
                <w:szCs w:val="18"/>
                <w:rtl/>
              </w:rPr>
              <w:t>מבוקר</w:t>
            </w:r>
          </w:p>
        </w:tc>
        <w:tc>
          <w:tcPr>
            <w:tcW w:w="283" w:type="dxa"/>
            <w:shd w:val="clear" w:color="auto" w:fill="auto"/>
            <w:vAlign w:val="bottom"/>
          </w:tcPr>
          <w:p w14:paraId="40A002EB" w14:textId="77777777" w:rsidR="008F784F" w:rsidRPr="004D022A" w:rsidRDefault="008F784F" w:rsidP="0096199F">
            <w:pPr>
              <w:pStyle w:val="-7"/>
              <w:ind w:left="-28" w:right="-28"/>
              <w:rPr>
                <w:sz w:val="18"/>
                <w:szCs w:val="18"/>
                <w:rtl/>
              </w:rPr>
            </w:pPr>
          </w:p>
        </w:tc>
        <w:tc>
          <w:tcPr>
            <w:tcW w:w="1636" w:type="dxa"/>
            <w:gridSpan w:val="3"/>
            <w:shd w:val="clear" w:color="auto" w:fill="auto"/>
            <w:vAlign w:val="bottom"/>
          </w:tcPr>
          <w:p w14:paraId="559CC31E" w14:textId="77777777" w:rsidR="008F784F" w:rsidRPr="004D022A" w:rsidRDefault="008F784F" w:rsidP="0096199F">
            <w:pPr>
              <w:pStyle w:val="-4"/>
              <w:ind w:left="-28" w:right="-28"/>
              <w:rPr>
                <w:sz w:val="18"/>
                <w:szCs w:val="18"/>
                <w:rtl/>
              </w:rPr>
            </w:pPr>
            <w:r w:rsidRPr="004D022A">
              <w:rPr>
                <w:rFonts w:hint="eastAsia"/>
                <w:sz w:val="18"/>
                <w:szCs w:val="18"/>
                <w:rtl/>
              </w:rPr>
              <w:t>בלתי</w:t>
            </w:r>
            <w:r w:rsidRPr="004D022A">
              <w:rPr>
                <w:sz w:val="18"/>
                <w:szCs w:val="18"/>
                <w:rtl/>
              </w:rPr>
              <w:t xml:space="preserve"> </w:t>
            </w:r>
            <w:r w:rsidRPr="004D022A">
              <w:rPr>
                <w:rFonts w:hint="eastAsia"/>
                <w:sz w:val="18"/>
                <w:szCs w:val="18"/>
                <w:rtl/>
              </w:rPr>
              <w:t>מבוקר</w:t>
            </w:r>
          </w:p>
        </w:tc>
        <w:tc>
          <w:tcPr>
            <w:tcW w:w="943" w:type="dxa"/>
            <w:shd w:val="clear" w:color="auto" w:fill="auto"/>
            <w:vAlign w:val="bottom"/>
          </w:tcPr>
          <w:p w14:paraId="79F63641" w14:textId="77777777" w:rsidR="008F784F" w:rsidRPr="004D022A" w:rsidRDefault="008F784F" w:rsidP="0096199F">
            <w:pPr>
              <w:pStyle w:val="-4"/>
              <w:ind w:left="-28" w:right="-28"/>
              <w:rPr>
                <w:sz w:val="18"/>
                <w:szCs w:val="18"/>
                <w:rtl/>
              </w:rPr>
            </w:pPr>
            <w:r w:rsidRPr="004D022A">
              <w:rPr>
                <w:rFonts w:hint="eastAsia"/>
                <w:sz w:val="18"/>
                <w:szCs w:val="18"/>
                <w:rtl/>
              </w:rPr>
              <w:t>מבוקר</w:t>
            </w:r>
          </w:p>
        </w:tc>
      </w:tr>
      <w:tr w:rsidR="008F784F" w14:paraId="41A5EFFB" w14:textId="77777777" w:rsidTr="00E63B86">
        <w:trPr>
          <w:trHeight w:val="245"/>
        </w:trPr>
        <w:tc>
          <w:tcPr>
            <w:tcW w:w="1020" w:type="dxa"/>
            <w:shd w:val="clear" w:color="auto" w:fill="auto"/>
          </w:tcPr>
          <w:p w14:paraId="224F8DD5" w14:textId="77777777" w:rsidR="008F784F" w:rsidRPr="00543C25" w:rsidRDefault="008F784F" w:rsidP="0096199F">
            <w:pPr>
              <w:pStyle w:val="-fa"/>
              <w:rPr>
                <w:rtl/>
              </w:rPr>
            </w:pPr>
          </w:p>
        </w:tc>
        <w:tc>
          <w:tcPr>
            <w:tcW w:w="398" w:type="dxa"/>
            <w:shd w:val="clear" w:color="auto" w:fill="auto"/>
          </w:tcPr>
          <w:p w14:paraId="6100F3E0" w14:textId="77777777" w:rsidR="008F784F" w:rsidRDefault="008F784F" w:rsidP="0096199F">
            <w:pPr>
              <w:pStyle w:val="-7"/>
              <w:rPr>
                <w:rtl/>
              </w:rPr>
            </w:pPr>
          </w:p>
        </w:tc>
        <w:tc>
          <w:tcPr>
            <w:tcW w:w="3479" w:type="dxa"/>
            <w:shd w:val="clear" w:color="auto" w:fill="auto"/>
            <w:vAlign w:val="center"/>
          </w:tcPr>
          <w:p w14:paraId="7C98CDDC" w14:textId="77777777" w:rsidR="008F784F" w:rsidRDefault="008F784F" w:rsidP="00E249E7">
            <w:pPr>
              <w:pStyle w:val="-0"/>
              <w:jc w:val="center"/>
              <w:rPr>
                <w:rtl/>
              </w:rPr>
            </w:pPr>
          </w:p>
        </w:tc>
        <w:tc>
          <w:tcPr>
            <w:tcW w:w="2475" w:type="dxa"/>
            <w:gridSpan w:val="3"/>
            <w:shd w:val="clear" w:color="auto" w:fill="auto"/>
            <w:vAlign w:val="center"/>
          </w:tcPr>
          <w:p w14:paraId="0D1E69EF" w14:textId="77777777" w:rsidR="008F784F" w:rsidRPr="004D022A" w:rsidRDefault="008F784F" w:rsidP="00E249E7">
            <w:pPr>
              <w:pBdr>
                <w:bottom w:val="single" w:sz="4" w:space="1" w:color="auto"/>
              </w:pBdr>
              <w:spacing w:line="240" w:lineRule="exact"/>
              <w:ind w:left="-28" w:right="-28"/>
              <w:jc w:val="center"/>
              <w:rPr>
                <w:b/>
                <w:bCs/>
                <w:sz w:val="18"/>
                <w:szCs w:val="18"/>
                <w:rtl/>
              </w:rPr>
            </w:pPr>
          </w:p>
          <w:p w14:paraId="62D2B6C9" w14:textId="77777777" w:rsidR="008F784F" w:rsidRPr="004D022A" w:rsidRDefault="008F784F" w:rsidP="00E249E7">
            <w:pPr>
              <w:pBdr>
                <w:bottom w:val="single" w:sz="4" w:space="1" w:color="auto"/>
              </w:pBdr>
              <w:spacing w:line="240" w:lineRule="exact"/>
              <w:ind w:left="-28" w:right="-28"/>
              <w:jc w:val="center"/>
              <w:rPr>
                <w:b/>
                <w:bCs/>
                <w:sz w:val="18"/>
                <w:szCs w:val="18"/>
                <w:rtl/>
              </w:rPr>
            </w:pPr>
            <w:r w:rsidRPr="004D022A">
              <w:rPr>
                <w:b/>
                <w:bCs/>
                <w:sz w:val="18"/>
                <w:szCs w:val="18"/>
                <w:rtl/>
              </w:rPr>
              <w:t>יתרות החוזים</w:t>
            </w:r>
            <w:r w:rsidRPr="004D022A">
              <w:rPr>
                <w:b/>
                <w:bCs/>
                <w:sz w:val="18"/>
                <w:szCs w:val="18"/>
                <w:vertAlign w:val="superscript"/>
                <w:rtl/>
              </w:rPr>
              <w:t>(ב)</w:t>
            </w:r>
          </w:p>
        </w:tc>
        <w:tc>
          <w:tcPr>
            <w:tcW w:w="283" w:type="dxa"/>
            <w:shd w:val="clear" w:color="auto" w:fill="auto"/>
            <w:vAlign w:val="center"/>
          </w:tcPr>
          <w:p w14:paraId="48BB295E" w14:textId="77777777" w:rsidR="008F784F" w:rsidRPr="004D022A" w:rsidRDefault="008F784F" w:rsidP="00E249E7">
            <w:pPr>
              <w:pStyle w:val="-7"/>
              <w:ind w:left="-28" w:right="-28"/>
              <w:jc w:val="center"/>
              <w:rPr>
                <w:sz w:val="18"/>
                <w:szCs w:val="18"/>
                <w:rtl/>
              </w:rPr>
            </w:pPr>
          </w:p>
        </w:tc>
        <w:tc>
          <w:tcPr>
            <w:tcW w:w="2579" w:type="dxa"/>
            <w:gridSpan w:val="4"/>
            <w:shd w:val="clear" w:color="auto" w:fill="auto"/>
            <w:vAlign w:val="center"/>
          </w:tcPr>
          <w:p w14:paraId="4F2EC7A6" w14:textId="77777777" w:rsidR="008F784F" w:rsidRPr="004D022A" w:rsidRDefault="008F784F" w:rsidP="00E249E7">
            <w:pPr>
              <w:pBdr>
                <w:bottom w:val="single" w:sz="4" w:space="1" w:color="auto"/>
              </w:pBdr>
              <w:spacing w:line="200" w:lineRule="exact"/>
              <w:ind w:left="-28" w:right="-28"/>
              <w:jc w:val="center"/>
              <w:rPr>
                <w:b/>
                <w:bCs/>
                <w:sz w:val="18"/>
                <w:szCs w:val="18"/>
                <w:rtl/>
              </w:rPr>
            </w:pPr>
            <w:r w:rsidRPr="004D022A">
              <w:rPr>
                <w:rFonts w:hint="cs"/>
                <w:b/>
                <w:bCs/>
                <w:sz w:val="18"/>
                <w:szCs w:val="18"/>
                <w:rtl/>
              </w:rPr>
              <w:t>יתרת ההפרשה</w:t>
            </w:r>
          </w:p>
          <w:p w14:paraId="50AE169A" w14:textId="77777777" w:rsidR="008F784F" w:rsidRPr="004D022A" w:rsidRDefault="008F784F" w:rsidP="00E249E7">
            <w:pPr>
              <w:pBdr>
                <w:bottom w:val="single" w:sz="4" w:space="1" w:color="auto"/>
              </w:pBdr>
              <w:spacing w:line="200" w:lineRule="exact"/>
              <w:ind w:left="-28" w:right="-28"/>
              <w:jc w:val="center"/>
              <w:rPr>
                <w:b/>
                <w:bCs/>
                <w:sz w:val="18"/>
                <w:szCs w:val="18"/>
                <w:rtl/>
              </w:rPr>
            </w:pPr>
            <w:r w:rsidRPr="004D022A">
              <w:rPr>
                <w:rFonts w:hint="cs"/>
                <w:b/>
                <w:bCs/>
                <w:sz w:val="18"/>
                <w:szCs w:val="18"/>
                <w:rtl/>
              </w:rPr>
              <w:t>להפסדי אשראי</w:t>
            </w:r>
          </w:p>
        </w:tc>
      </w:tr>
      <w:tr w:rsidR="008F784F" w14:paraId="399A57A3" w14:textId="77777777" w:rsidTr="00E63B86">
        <w:trPr>
          <w:trHeight w:val="245"/>
        </w:trPr>
        <w:tc>
          <w:tcPr>
            <w:tcW w:w="1020" w:type="dxa"/>
            <w:shd w:val="clear" w:color="auto" w:fill="auto"/>
          </w:tcPr>
          <w:p w14:paraId="49F2FCC2" w14:textId="530BA988" w:rsidR="008F784F" w:rsidRDefault="008F784F" w:rsidP="0096199F">
            <w:pPr>
              <w:pStyle w:val="-fa"/>
              <w:spacing w:after="20"/>
              <w:rPr>
                <w:rtl/>
              </w:rPr>
            </w:pPr>
          </w:p>
        </w:tc>
        <w:tc>
          <w:tcPr>
            <w:tcW w:w="398" w:type="dxa"/>
            <w:shd w:val="clear" w:color="auto" w:fill="auto"/>
          </w:tcPr>
          <w:p w14:paraId="09D77A1E" w14:textId="77777777" w:rsidR="008F784F" w:rsidRDefault="008F784F" w:rsidP="0096199F">
            <w:pPr>
              <w:pStyle w:val="-7"/>
              <w:spacing w:after="20"/>
              <w:rPr>
                <w:rtl/>
              </w:rPr>
            </w:pPr>
          </w:p>
        </w:tc>
        <w:tc>
          <w:tcPr>
            <w:tcW w:w="3479" w:type="dxa"/>
            <w:shd w:val="clear" w:color="auto" w:fill="auto"/>
            <w:vAlign w:val="bottom"/>
          </w:tcPr>
          <w:p w14:paraId="2A7489FF" w14:textId="77777777" w:rsidR="008F784F" w:rsidRPr="004D022A" w:rsidRDefault="008F784F" w:rsidP="0096199F">
            <w:pPr>
              <w:pStyle w:val="-0"/>
              <w:spacing w:after="20"/>
              <w:rPr>
                <w:sz w:val="18"/>
                <w:szCs w:val="18"/>
                <w:rtl/>
              </w:rPr>
            </w:pPr>
            <w:r w:rsidRPr="004D022A">
              <w:rPr>
                <w:sz w:val="18"/>
                <w:szCs w:val="18"/>
                <w:rtl/>
              </w:rPr>
              <w:t>אשראי תעודות</w:t>
            </w:r>
          </w:p>
        </w:tc>
        <w:tc>
          <w:tcPr>
            <w:tcW w:w="828" w:type="dxa"/>
            <w:shd w:val="clear" w:color="auto" w:fill="auto"/>
            <w:vAlign w:val="bottom"/>
          </w:tcPr>
          <w:p w14:paraId="53DEBED9" w14:textId="77777777" w:rsidR="008F784F" w:rsidRDefault="008F784F" w:rsidP="0096199F">
            <w:pPr>
              <w:pStyle w:val="-3"/>
              <w:spacing w:after="20"/>
              <w:rPr>
                <w:rtl/>
              </w:rPr>
            </w:pPr>
            <w:r>
              <w:rPr>
                <w:rFonts w:hint="cs"/>
                <w:rtl/>
              </w:rPr>
              <w:t xml:space="preserve"> </w:t>
            </w:r>
            <w:r>
              <w:rPr>
                <w:rtl/>
              </w:rPr>
              <w:t>0</w:t>
            </w:r>
          </w:p>
        </w:tc>
        <w:tc>
          <w:tcPr>
            <w:tcW w:w="829" w:type="dxa"/>
            <w:shd w:val="clear" w:color="auto" w:fill="auto"/>
            <w:vAlign w:val="bottom"/>
          </w:tcPr>
          <w:p w14:paraId="234C620D" w14:textId="77777777" w:rsidR="008F784F" w:rsidRDefault="008F784F" w:rsidP="0096199F">
            <w:pPr>
              <w:pStyle w:val="-3"/>
              <w:spacing w:after="20"/>
              <w:rPr>
                <w:rtl/>
              </w:rPr>
            </w:pPr>
            <w:r>
              <w:rPr>
                <w:rFonts w:hint="cs"/>
                <w:rtl/>
              </w:rPr>
              <w:t xml:space="preserve"> </w:t>
            </w:r>
            <w:r>
              <w:rPr>
                <w:rtl/>
              </w:rPr>
              <w:t>0</w:t>
            </w:r>
          </w:p>
        </w:tc>
        <w:tc>
          <w:tcPr>
            <w:tcW w:w="818" w:type="dxa"/>
            <w:shd w:val="clear" w:color="auto" w:fill="auto"/>
            <w:tcMar>
              <w:left w:w="58" w:type="dxa"/>
              <w:right w:w="58" w:type="dxa"/>
            </w:tcMar>
            <w:vAlign w:val="bottom"/>
          </w:tcPr>
          <w:p w14:paraId="445A50AF" w14:textId="77777777" w:rsidR="008F784F" w:rsidRDefault="008F784F" w:rsidP="0096199F">
            <w:pPr>
              <w:pStyle w:val="-3"/>
              <w:spacing w:after="20"/>
              <w:rPr>
                <w:rtl/>
              </w:rPr>
            </w:pPr>
            <w:r>
              <w:rPr>
                <w:rFonts w:hint="cs"/>
                <w:rtl/>
              </w:rPr>
              <w:t xml:space="preserve"> </w:t>
            </w:r>
            <w:r>
              <w:rPr>
                <w:rtl/>
              </w:rPr>
              <w:t>0</w:t>
            </w:r>
          </w:p>
        </w:tc>
        <w:tc>
          <w:tcPr>
            <w:tcW w:w="283" w:type="dxa"/>
            <w:shd w:val="clear" w:color="auto" w:fill="auto"/>
            <w:vAlign w:val="bottom"/>
          </w:tcPr>
          <w:p w14:paraId="57D619BF" w14:textId="77777777" w:rsidR="008F784F" w:rsidRDefault="008F784F" w:rsidP="0096199F">
            <w:pPr>
              <w:pStyle w:val="-3"/>
              <w:spacing w:after="20"/>
              <w:rPr>
                <w:rtl/>
              </w:rPr>
            </w:pPr>
          </w:p>
        </w:tc>
        <w:tc>
          <w:tcPr>
            <w:tcW w:w="806" w:type="dxa"/>
            <w:shd w:val="clear" w:color="auto" w:fill="auto"/>
            <w:vAlign w:val="bottom"/>
          </w:tcPr>
          <w:p w14:paraId="4BA69BDD" w14:textId="77777777" w:rsidR="008F784F" w:rsidRDefault="008F784F" w:rsidP="0096199F">
            <w:pPr>
              <w:pStyle w:val="-3"/>
              <w:spacing w:after="20"/>
              <w:rPr>
                <w:rtl/>
              </w:rPr>
            </w:pPr>
            <w:r>
              <w:rPr>
                <w:rFonts w:hint="cs"/>
                <w:rtl/>
              </w:rPr>
              <w:t xml:space="preserve"> </w:t>
            </w:r>
            <w:r>
              <w:rPr>
                <w:rtl/>
              </w:rPr>
              <w:t>0</w:t>
            </w:r>
          </w:p>
        </w:tc>
        <w:tc>
          <w:tcPr>
            <w:tcW w:w="830" w:type="dxa"/>
            <w:gridSpan w:val="2"/>
            <w:shd w:val="clear" w:color="auto" w:fill="auto"/>
            <w:vAlign w:val="bottom"/>
          </w:tcPr>
          <w:p w14:paraId="51B64134" w14:textId="77777777" w:rsidR="008F784F" w:rsidRDefault="008F784F" w:rsidP="0096199F">
            <w:pPr>
              <w:pStyle w:val="-3"/>
              <w:spacing w:after="20"/>
              <w:rPr>
                <w:rtl/>
              </w:rPr>
            </w:pPr>
            <w:r>
              <w:rPr>
                <w:rFonts w:hint="cs"/>
                <w:rtl/>
              </w:rPr>
              <w:t xml:space="preserve"> </w:t>
            </w:r>
            <w:r>
              <w:rPr>
                <w:rtl/>
              </w:rPr>
              <w:t>0</w:t>
            </w:r>
          </w:p>
        </w:tc>
        <w:tc>
          <w:tcPr>
            <w:tcW w:w="943" w:type="dxa"/>
            <w:shd w:val="clear" w:color="auto" w:fill="auto"/>
            <w:vAlign w:val="bottom"/>
          </w:tcPr>
          <w:p w14:paraId="57F05283" w14:textId="77777777" w:rsidR="008F784F" w:rsidRDefault="008F784F" w:rsidP="0096199F">
            <w:pPr>
              <w:pStyle w:val="-3"/>
              <w:spacing w:after="20"/>
              <w:rPr>
                <w:rtl/>
              </w:rPr>
            </w:pPr>
            <w:r>
              <w:rPr>
                <w:rFonts w:hint="cs"/>
                <w:rtl/>
              </w:rPr>
              <w:t xml:space="preserve"> </w:t>
            </w:r>
            <w:r>
              <w:rPr>
                <w:rtl/>
              </w:rPr>
              <w:t>0</w:t>
            </w:r>
          </w:p>
        </w:tc>
      </w:tr>
      <w:tr w:rsidR="008F784F" w14:paraId="58907686" w14:textId="77777777" w:rsidTr="00E63B86">
        <w:trPr>
          <w:trHeight w:val="245"/>
        </w:trPr>
        <w:tc>
          <w:tcPr>
            <w:tcW w:w="1020" w:type="dxa"/>
            <w:shd w:val="clear" w:color="auto" w:fill="auto"/>
          </w:tcPr>
          <w:p w14:paraId="7120DF34" w14:textId="01739C47" w:rsidR="008F784F" w:rsidRDefault="008F784F" w:rsidP="0096199F">
            <w:pPr>
              <w:pStyle w:val="-fa"/>
              <w:spacing w:after="20"/>
              <w:rPr>
                <w:rtl/>
              </w:rPr>
            </w:pPr>
          </w:p>
        </w:tc>
        <w:tc>
          <w:tcPr>
            <w:tcW w:w="398" w:type="dxa"/>
            <w:shd w:val="clear" w:color="auto" w:fill="auto"/>
          </w:tcPr>
          <w:p w14:paraId="151FC9AD" w14:textId="77777777" w:rsidR="008F784F" w:rsidRDefault="008F784F" w:rsidP="0096199F">
            <w:pPr>
              <w:pStyle w:val="-7"/>
              <w:spacing w:after="20"/>
              <w:rPr>
                <w:rtl/>
              </w:rPr>
            </w:pPr>
          </w:p>
        </w:tc>
        <w:tc>
          <w:tcPr>
            <w:tcW w:w="3479" w:type="dxa"/>
            <w:shd w:val="clear" w:color="auto" w:fill="auto"/>
            <w:vAlign w:val="bottom"/>
          </w:tcPr>
          <w:p w14:paraId="7F88A804" w14:textId="77777777" w:rsidR="008F784F" w:rsidRPr="004D022A" w:rsidRDefault="008F784F" w:rsidP="0096199F">
            <w:pPr>
              <w:pStyle w:val="-0"/>
              <w:spacing w:after="20"/>
              <w:rPr>
                <w:sz w:val="18"/>
                <w:szCs w:val="18"/>
                <w:rtl/>
              </w:rPr>
            </w:pPr>
            <w:r w:rsidRPr="004D022A">
              <w:rPr>
                <w:sz w:val="18"/>
                <w:szCs w:val="18"/>
                <w:rtl/>
              </w:rPr>
              <w:t>ערבויות ל</w:t>
            </w:r>
            <w:r w:rsidRPr="004D022A">
              <w:rPr>
                <w:rFonts w:hint="cs"/>
                <w:sz w:val="18"/>
                <w:szCs w:val="18"/>
                <w:rtl/>
              </w:rPr>
              <w:t>ה</w:t>
            </w:r>
            <w:r w:rsidRPr="004D022A">
              <w:rPr>
                <w:sz w:val="18"/>
                <w:szCs w:val="18"/>
                <w:rtl/>
              </w:rPr>
              <w:t>בטחת אשרא</w:t>
            </w:r>
            <w:r w:rsidRPr="004D022A">
              <w:rPr>
                <w:rFonts w:hint="cs"/>
                <w:sz w:val="18"/>
                <w:szCs w:val="18"/>
                <w:rtl/>
              </w:rPr>
              <w:t>י</w:t>
            </w:r>
            <w:r w:rsidRPr="004D022A">
              <w:rPr>
                <w:rFonts w:hint="cs"/>
                <w:sz w:val="18"/>
                <w:szCs w:val="18"/>
                <w:vertAlign w:val="superscript"/>
                <w:rtl/>
              </w:rPr>
              <w:t>(א)</w:t>
            </w:r>
          </w:p>
        </w:tc>
        <w:tc>
          <w:tcPr>
            <w:tcW w:w="828" w:type="dxa"/>
            <w:shd w:val="clear" w:color="auto" w:fill="auto"/>
            <w:vAlign w:val="bottom"/>
          </w:tcPr>
          <w:p w14:paraId="38A2AE2B" w14:textId="77777777" w:rsidR="008F784F" w:rsidRDefault="008F784F" w:rsidP="0096199F">
            <w:pPr>
              <w:pStyle w:val="-3"/>
              <w:spacing w:after="20"/>
              <w:rPr>
                <w:rtl/>
              </w:rPr>
            </w:pPr>
            <w:r>
              <w:rPr>
                <w:rFonts w:hint="cs"/>
                <w:rtl/>
              </w:rPr>
              <w:t xml:space="preserve"> </w:t>
            </w:r>
            <w:r>
              <w:rPr>
                <w:rtl/>
              </w:rPr>
              <w:t>0</w:t>
            </w:r>
          </w:p>
        </w:tc>
        <w:tc>
          <w:tcPr>
            <w:tcW w:w="829" w:type="dxa"/>
            <w:shd w:val="clear" w:color="auto" w:fill="auto"/>
            <w:vAlign w:val="bottom"/>
          </w:tcPr>
          <w:p w14:paraId="54008641" w14:textId="77777777" w:rsidR="008F784F" w:rsidRDefault="008F784F" w:rsidP="0096199F">
            <w:pPr>
              <w:pStyle w:val="-3"/>
              <w:spacing w:after="20"/>
              <w:rPr>
                <w:rtl/>
              </w:rPr>
            </w:pPr>
            <w:r>
              <w:rPr>
                <w:rFonts w:hint="cs"/>
                <w:rtl/>
              </w:rPr>
              <w:t xml:space="preserve"> </w:t>
            </w:r>
            <w:r>
              <w:rPr>
                <w:rtl/>
              </w:rPr>
              <w:t>0</w:t>
            </w:r>
          </w:p>
        </w:tc>
        <w:tc>
          <w:tcPr>
            <w:tcW w:w="818" w:type="dxa"/>
            <w:shd w:val="clear" w:color="auto" w:fill="auto"/>
            <w:tcMar>
              <w:left w:w="58" w:type="dxa"/>
              <w:right w:w="58" w:type="dxa"/>
            </w:tcMar>
            <w:vAlign w:val="bottom"/>
          </w:tcPr>
          <w:p w14:paraId="332B5543" w14:textId="77777777" w:rsidR="008F784F" w:rsidRDefault="008F784F" w:rsidP="0096199F">
            <w:pPr>
              <w:pStyle w:val="-3"/>
              <w:spacing w:after="20"/>
              <w:rPr>
                <w:rtl/>
              </w:rPr>
            </w:pPr>
            <w:r>
              <w:rPr>
                <w:rFonts w:hint="cs"/>
                <w:rtl/>
              </w:rPr>
              <w:t xml:space="preserve"> </w:t>
            </w:r>
            <w:r>
              <w:rPr>
                <w:rtl/>
              </w:rPr>
              <w:t>0</w:t>
            </w:r>
          </w:p>
        </w:tc>
        <w:tc>
          <w:tcPr>
            <w:tcW w:w="283" w:type="dxa"/>
            <w:shd w:val="clear" w:color="auto" w:fill="auto"/>
            <w:vAlign w:val="bottom"/>
          </w:tcPr>
          <w:p w14:paraId="2072C987" w14:textId="77777777" w:rsidR="008F784F" w:rsidRDefault="008F784F" w:rsidP="0096199F">
            <w:pPr>
              <w:pStyle w:val="-3"/>
              <w:spacing w:after="20"/>
              <w:rPr>
                <w:rtl/>
              </w:rPr>
            </w:pPr>
          </w:p>
        </w:tc>
        <w:tc>
          <w:tcPr>
            <w:tcW w:w="806" w:type="dxa"/>
            <w:shd w:val="clear" w:color="auto" w:fill="auto"/>
            <w:vAlign w:val="bottom"/>
          </w:tcPr>
          <w:p w14:paraId="6EA9FFE1" w14:textId="77777777" w:rsidR="008F784F" w:rsidRDefault="008F784F" w:rsidP="0096199F">
            <w:pPr>
              <w:pStyle w:val="-3"/>
              <w:spacing w:after="20"/>
              <w:rPr>
                <w:rtl/>
              </w:rPr>
            </w:pPr>
            <w:r>
              <w:rPr>
                <w:rFonts w:hint="cs"/>
                <w:rtl/>
              </w:rPr>
              <w:t xml:space="preserve"> </w:t>
            </w:r>
            <w:r>
              <w:rPr>
                <w:rtl/>
              </w:rPr>
              <w:t>0</w:t>
            </w:r>
          </w:p>
        </w:tc>
        <w:tc>
          <w:tcPr>
            <w:tcW w:w="830" w:type="dxa"/>
            <w:gridSpan w:val="2"/>
            <w:shd w:val="clear" w:color="auto" w:fill="auto"/>
            <w:vAlign w:val="bottom"/>
          </w:tcPr>
          <w:p w14:paraId="0ACA51A7" w14:textId="77777777" w:rsidR="008F784F" w:rsidRDefault="008F784F" w:rsidP="0096199F">
            <w:pPr>
              <w:pStyle w:val="-3"/>
              <w:spacing w:after="20"/>
              <w:rPr>
                <w:rtl/>
              </w:rPr>
            </w:pPr>
            <w:r>
              <w:rPr>
                <w:rFonts w:hint="cs"/>
                <w:rtl/>
              </w:rPr>
              <w:t xml:space="preserve"> </w:t>
            </w:r>
            <w:r>
              <w:rPr>
                <w:rtl/>
              </w:rPr>
              <w:t>0</w:t>
            </w:r>
          </w:p>
        </w:tc>
        <w:tc>
          <w:tcPr>
            <w:tcW w:w="943" w:type="dxa"/>
            <w:shd w:val="clear" w:color="auto" w:fill="auto"/>
            <w:vAlign w:val="bottom"/>
          </w:tcPr>
          <w:p w14:paraId="0EAB3156" w14:textId="77777777" w:rsidR="008F784F" w:rsidRDefault="008F784F" w:rsidP="0096199F">
            <w:pPr>
              <w:pStyle w:val="-3"/>
              <w:spacing w:after="20"/>
              <w:rPr>
                <w:rtl/>
              </w:rPr>
            </w:pPr>
            <w:r>
              <w:rPr>
                <w:rFonts w:hint="cs"/>
                <w:rtl/>
              </w:rPr>
              <w:t xml:space="preserve"> </w:t>
            </w:r>
            <w:r>
              <w:rPr>
                <w:rtl/>
              </w:rPr>
              <w:t>0</w:t>
            </w:r>
          </w:p>
        </w:tc>
      </w:tr>
      <w:tr w:rsidR="008F784F" w14:paraId="26DB5FE4" w14:textId="77777777" w:rsidTr="00E63B86">
        <w:trPr>
          <w:trHeight w:val="245"/>
        </w:trPr>
        <w:tc>
          <w:tcPr>
            <w:tcW w:w="1020" w:type="dxa"/>
            <w:shd w:val="clear" w:color="auto" w:fill="auto"/>
          </w:tcPr>
          <w:p w14:paraId="391FDB0E" w14:textId="4B3F096A" w:rsidR="008F784F" w:rsidRDefault="008F784F" w:rsidP="0096199F">
            <w:pPr>
              <w:pStyle w:val="-fa"/>
              <w:spacing w:after="20"/>
              <w:rPr>
                <w:rtl/>
              </w:rPr>
            </w:pPr>
          </w:p>
        </w:tc>
        <w:tc>
          <w:tcPr>
            <w:tcW w:w="398" w:type="dxa"/>
            <w:shd w:val="clear" w:color="auto" w:fill="auto"/>
          </w:tcPr>
          <w:p w14:paraId="162382E7" w14:textId="77777777" w:rsidR="008F784F" w:rsidRDefault="008F784F" w:rsidP="0096199F">
            <w:pPr>
              <w:pStyle w:val="-7"/>
              <w:spacing w:after="20"/>
              <w:rPr>
                <w:rtl/>
              </w:rPr>
            </w:pPr>
          </w:p>
        </w:tc>
        <w:tc>
          <w:tcPr>
            <w:tcW w:w="3479" w:type="dxa"/>
            <w:shd w:val="clear" w:color="auto" w:fill="auto"/>
            <w:vAlign w:val="bottom"/>
          </w:tcPr>
          <w:p w14:paraId="6B619116" w14:textId="77777777" w:rsidR="008F784F" w:rsidRPr="004D022A" w:rsidRDefault="008F784F" w:rsidP="0096199F">
            <w:pPr>
              <w:pStyle w:val="-0"/>
              <w:spacing w:after="20"/>
              <w:rPr>
                <w:sz w:val="18"/>
                <w:szCs w:val="18"/>
                <w:rtl/>
              </w:rPr>
            </w:pPr>
            <w:r w:rsidRPr="004D022A">
              <w:rPr>
                <w:sz w:val="18"/>
                <w:szCs w:val="18"/>
                <w:rtl/>
              </w:rPr>
              <w:t>ערבויות לרוכשי דירות</w:t>
            </w:r>
          </w:p>
        </w:tc>
        <w:tc>
          <w:tcPr>
            <w:tcW w:w="828" w:type="dxa"/>
            <w:shd w:val="clear" w:color="auto" w:fill="auto"/>
            <w:vAlign w:val="bottom"/>
          </w:tcPr>
          <w:p w14:paraId="1907E98A" w14:textId="77777777" w:rsidR="008F784F" w:rsidRDefault="008F784F" w:rsidP="0096199F">
            <w:pPr>
              <w:pStyle w:val="-3"/>
              <w:spacing w:after="20"/>
              <w:rPr>
                <w:rtl/>
              </w:rPr>
            </w:pPr>
            <w:r>
              <w:rPr>
                <w:rFonts w:hint="cs"/>
                <w:rtl/>
              </w:rPr>
              <w:t xml:space="preserve"> </w:t>
            </w:r>
            <w:r>
              <w:rPr>
                <w:rtl/>
              </w:rPr>
              <w:t>0</w:t>
            </w:r>
          </w:p>
        </w:tc>
        <w:tc>
          <w:tcPr>
            <w:tcW w:w="829" w:type="dxa"/>
            <w:shd w:val="clear" w:color="auto" w:fill="auto"/>
            <w:vAlign w:val="bottom"/>
          </w:tcPr>
          <w:p w14:paraId="5F970003" w14:textId="77777777" w:rsidR="008F784F" w:rsidRDefault="008F784F" w:rsidP="0096199F">
            <w:pPr>
              <w:pStyle w:val="-3"/>
              <w:spacing w:after="20"/>
              <w:rPr>
                <w:rtl/>
              </w:rPr>
            </w:pPr>
            <w:r>
              <w:rPr>
                <w:rFonts w:hint="cs"/>
                <w:rtl/>
              </w:rPr>
              <w:t xml:space="preserve"> </w:t>
            </w:r>
            <w:r>
              <w:rPr>
                <w:rtl/>
              </w:rPr>
              <w:t>0</w:t>
            </w:r>
          </w:p>
        </w:tc>
        <w:tc>
          <w:tcPr>
            <w:tcW w:w="818" w:type="dxa"/>
            <w:shd w:val="clear" w:color="auto" w:fill="auto"/>
            <w:tcMar>
              <w:left w:w="58" w:type="dxa"/>
              <w:right w:w="58" w:type="dxa"/>
            </w:tcMar>
            <w:vAlign w:val="bottom"/>
          </w:tcPr>
          <w:p w14:paraId="3EE86BBA" w14:textId="77777777" w:rsidR="008F784F" w:rsidRDefault="008F784F" w:rsidP="0096199F">
            <w:pPr>
              <w:pStyle w:val="-3"/>
              <w:spacing w:after="20"/>
              <w:rPr>
                <w:rtl/>
              </w:rPr>
            </w:pPr>
            <w:r>
              <w:rPr>
                <w:rFonts w:hint="cs"/>
                <w:rtl/>
              </w:rPr>
              <w:t xml:space="preserve"> </w:t>
            </w:r>
            <w:r>
              <w:rPr>
                <w:rtl/>
              </w:rPr>
              <w:t>0</w:t>
            </w:r>
          </w:p>
        </w:tc>
        <w:tc>
          <w:tcPr>
            <w:tcW w:w="283" w:type="dxa"/>
            <w:shd w:val="clear" w:color="auto" w:fill="auto"/>
            <w:vAlign w:val="bottom"/>
          </w:tcPr>
          <w:p w14:paraId="757982FA" w14:textId="77777777" w:rsidR="008F784F" w:rsidRDefault="008F784F" w:rsidP="0096199F">
            <w:pPr>
              <w:pStyle w:val="-3"/>
              <w:spacing w:after="20"/>
              <w:rPr>
                <w:rtl/>
              </w:rPr>
            </w:pPr>
          </w:p>
        </w:tc>
        <w:tc>
          <w:tcPr>
            <w:tcW w:w="806" w:type="dxa"/>
            <w:shd w:val="clear" w:color="auto" w:fill="auto"/>
            <w:vAlign w:val="bottom"/>
          </w:tcPr>
          <w:p w14:paraId="51A2AACE" w14:textId="77777777" w:rsidR="008F784F" w:rsidRDefault="008F784F" w:rsidP="0096199F">
            <w:pPr>
              <w:pStyle w:val="-3"/>
              <w:spacing w:after="20"/>
              <w:rPr>
                <w:rtl/>
              </w:rPr>
            </w:pPr>
            <w:r>
              <w:rPr>
                <w:rFonts w:hint="cs"/>
                <w:rtl/>
              </w:rPr>
              <w:t xml:space="preserve"> </w:t>
            </w:r>
            <w:r>
              <w:rPr>
                <w:rtl/>
              </w:rPr>
              <w:t>0</w:t>
            </w:r>
          </w:p>
        </w:tc>
        <w:tc>
          <w:tcPr>
            <w:tcW w:w="830" w:type="dxa"/>
            <w:gridSpan w:val="2"/>
            <w:shd w:val="clear" w:color="auto" w:fill="auto"/>
            <w:vAlign w:val="bottom"/>
          </w:tcPr>
          <w:p w14:paraId="687F6F95" w14:textId="77777777" w:rsidR="008F784F" w:rsidRDefault="008F784F" w:rsidP="0096199F">
            <w:pPr>
              <w:pStyle w:val="-3"/>
              <w:spacing w:after="20"/>
              <w:rPr>
                <w:rtl/>
              </w:rPr>
            </w:pPr>
            <w:r>
              <w:rPr>
                <w:rFonts w:hint="cs"/>
                <w:rtl/>
              </w:rPr>
              <w:t xml:space="preserve"> </w:t>
            </w:r>
            <w:r>
              <w:rPr>
                <w:rtl/>
              </w:rPr>
              <w:t>0</w:t>
            </w:r>
          </w:p>
        </w:tc>
        <w:tc>
          <w:tcPr>
            <w:tcW w:w="943" w:type="dxa"/>
            <w:shd w:val="clear" w:color="auto" w:fill="auto"/>
            <w:vAlign w:val="bottom"/>
          </w:tcPr>
          <w:p w14:paraId="7BE8A3A8" w14:textId="77777777" w:rsidR="008F784F" w:rsidRDefault="008F784F" w:rsidP="0096199F">
            <w:pPr>
              <w:pStyle w:val="-3"/>
              <w:spacing w:after="20"/>
              <w:rPr>
                <w:rtl/>
              </w:rPr>
            </w:pPr>
            <w:r>
              <w:rPr>
                <w:rFonts w:hint="cs"/>
                <w:rtl/>
              </w:rPr>
              <w:t xml:space="preserve"> </w:t>
            </w:r>
            <w:r>
              <w:rPr>
                <w:rtl/>
              </w:rPr>
              <w:t>0</w:t>
            </w:r>
          </w:p>
        </w:tc>
      </w:tr>
      <w:tr w:rsidR="008F784F" w14:paraId="3C7123CA" w14:textId="77777777" w:rsidTr="00E63B86">
        <w:trPr>
          <w:trHeight w:val="245"/>
        </w:trPr>
        <w:tc>
          <w:tcPr>
            <w:tcW w:w="1020" w:type="dxa"/>
            <w:shd w:val="clear" w:color="auto" w:fill="auto"/>
          </w:tcPr>
          <w:p w14:paraId="48FA6B0B" w14:textId="4C58F522" w:rsidR="008F784F" w:rsidRDefault="008F784F" w:rsidP="0096199F">
            <w:pPr>
              <w:pStyle w:val="-fa"/>
              <w:spacing w:after="20"/>
              <w:rPr>
                <w:rtl/>
              </w:rPr>
            </w:pPr>
          </w:p>
        </w:tc>
        <w:tc>
          <w:tcPr>
            <w:tcW w:w="398" w:type="dxa"/>
            <w:shd w:val="clear" w:color="auto" w:fill="auto"/>
          </w:tcPr>
          <w:p w14:paraId="49E96E32" w14:textId="77777777" w:rsidR="008F784F" w:rsidRDefault="008F784F" w:rsidP="0096199F">
            <w:pPr>
              <w:pStyle w:val="-7"/>
              <w:spacing w:after="20"/>
              <w:rPr>
                <w:rtl/>
              </w:rPr>
            </w:pPr>
          </w:p>
        </w:tc>
        <w:tc>
          <w:tcPr>
            <w:tcW w:w="3479" w:type="dxa"/>
            <w:shd w:val="clear" w:color="auto" w:fill="auto"/>
            <w:vAlign w:val="bottom"/>
          </w:tcPr>
          <w:p w14:paraId="1B354EE8" w14:textId="77777777" w:rsidR="008F784F" w:rsidRPr="004D022A" w:rsidRDefault="008F784F" w:rsidP="0096199F">
            <w:pPr>
              <w:pStyle w:val="-0"/>
              <w:spacing w:after="20"/>
              <w:rPr>
                <w:sz w:val="18"/>
                <w:szCs w:val="18"/>
                <w:rtl/>
              </w:rPr>
            </w:pPr>
            <w:r w:rsidRPr="004D022A">
              <w:rPr>
                <w:sz w:val="18"/>
                <w:szCs w:val="18"/>
                <w:rtl/>
              </w:rPr>
              <w:t>ערבויות והתחייבויות אחרות</w:t>
            </w:r>
          </w:p>
        </w:tc>
        <w:tc>
          <w:tcPr>
            <w:tcW w:w="828" w:type="dxa"/>
            <w:shd w:val="clear" w:color="auto" w:fill="auto"/>
            <w:vAlign w:val="bottom"/>
          </w:tcPr>
          <w:p w14:paraId="6720CC7B" w14:textId="77777777" w:rsidR="008F784F" w:rsidRDefault="008F784F" w:rsidP="0096199F">
            <w:pPr>
              <w:pStyle w:val="-3"/>
              <w:spacing w:after="20"/>
              <w:rPr>
                <w:rtl/>
              </w:rPr>
            </w:pPr>
            <w:r>
              <w:rPr>
                <w:rFonts w:hint="cs"/>
                <w:rtl/>
              </w:rPr>
              <w:t xml:space="preserve"> </w:t>
            </w:r>
            <w:r>
              <w:rPr>
                <w:rtl/>
              </w:rPr>
              <w:t>0</w:t>
            </w:r>
          </w:p>
        </w:tc>
        <w:tc>
          <w:tcPr>
            <w:tcW w:w="829" w:type="dxa"/>
            <w:shd w:val="clear" w:color="auto" w:fill="auto"/>
            <w:vAlign w:val="bottom"/>
          </w:tcPr>
          <w:p w14:paraId="70517F58" w14:textId="77777777" w:rsidR="008F784F" w:rsidRDefault="008F784F" w:rsidP="0096199F">
            <w:pPr>
              <w:pStyle w:val="-3"/>
              <w:spacing w:after="20"/>
              <w:rPr>
                <w:rtl/>
              </w:rPr>
            </w:pPr>
            <w:r>
              <w:rPr>
                <w:rFonts w:hint="cs"/>
                <w:rtl/>
              </w:rPr>
              <w:t xml:space="preserve"> </w:t>
            </w:r>
            <w:r>
              <w:rPr>
                <w:rtl/>
              </w:rPr>
              <w:t>0</w:t>
            </w:r>
          </w:p>
        </w:tc>
        <w:tc>
          <w:tcPr>
            <w:tcW w:w="818" w:type="dxa"/>
            <w:shd w:val="clear" w:color="auto" w:fill="auto"/>
            <w:tcMar>
              <w:left w:w="58" w:type="dxa"/>
              <w:right w:w="58" w:type="dxa"/>
            </w:tcMar>
            <w:vAlign w:val="bottom"/>
          </w:tcPr>
          <w:p w14:paraId="018F4C0F" w14:textId="77777777" w:rsidR="008F784F" w:rsidRDefault="008F784F" w:rsidP="0096199F">
            <w:pPr>
              <w:pStyle w:val="-3"/>
              <w:spacing w:after="20"/>
              <w:rPr>
                <w:rtl/>
              </w:rPr>
            </w:pPr>
            <w:r>
              <w:rPr>
                <w:rFonts w:hint="cs"/>
                <w:rtl/>
              </w:rPr>
              <w:t xml:space="preserve"> </w:t>
            </w:r>
            <w:r>
              <w:rPr>
                <w:rtl/>
              </w:rPr>
              <w:t>0</w:t>
            </w:r>
          </w:p>
        </w:tc>
        <w:tc>
          <w:tcPr>
            <w:tcW w:w="283" w:type="dxa"/>
            <w:shd w:val="clear" w:color="auto" w:fill="auto"/>
            <w:vAlign w:val="bottom"/>
          </w:tcPr>
          <w:p w14:paraId="71657CF1" w14:textId="77777777" w:rsidR="008F784F" w:rsidRDefault="008F784F" w:rsidP="0096199F">
            <w:pPr>
              <w:pStyle w:val="-3"/>
              <w:spacing w:after="20"/>
              <w:rPr>
                <w:rtl/>
              </w:rPr>
            </w:pPr>
          </w:p>
        </w:tc>
        <w:tc>
          <w:tcPr>
            <w:tcW w:w="806" w:type="dxa"/>
            <w:shd w:val="clear" w:color="auto" w:fill="auto"/>
            <w:vAlign w:val="bottom"/>
          </w:tcPr>
          <w:p w14:paraId="5D770ACF" w14:textId="77777777" w:rsidR="008F784F" w:rsidRDefault="008F784F" w:rsidP="0096199F">
            <w:pPr>
              <w:pStyle w:val="-3"/>
              <w:spacing w:after="20"/>
              <w:rPr>
                <w:rtl/>
              </w:rPr>
            </w:pPr>
            <w:r>
              <w:rPr>
                <w:rFonts w:hint="cs"/>
                <w:rtl/>
              </w:rPr>
              <w:t xml:space="preserve"> </w:t>
            </w:r>
            <w:r>
              <w:rPr>
                <w:rtl/>
              </w:rPr>
              <w:t>0</w:t>
            </w:r>
          </w:p>
        </w:tc>
        <w:tc>
          <w:tcPr>
            <w:tcW w:w="830" w:type="dxa"/>
            <w:gridSpan w:val="2"/>
            <w:shd w:val="clear" w:color="auto" w:fill="auto"/>
            <w:vAlign w:val="bottom"/>
          </w:tcPr>
          <w:p w14:paraId="3AE683BC" w14:textId="77777777" w:rsidR="008F784F" w:rsidRDefault="008F784F" w:rsidP="0096199F">
            <w:pPr>
              <w:pStyle w:val="-3"/>
              <w:spacing w:after="20"/>
              <w:rPr>
                <w:rtl/>
              </w:rPr>
            </w:pPr>
            <w:r>
              <w:rPr>
                <w:rFonts w:hint="cs"/>
                <w:rtl/>
              </w:rPr>
              <w:t xml:space="preserve"> </w:t>
            </w:r>
            <w:r>
              <w:rPr>
                <w:rtl/>
              </w:rPr>
              <w:t>0</w:t>
            </w:r>
          </w:p>
        </w:tc>
        <w:tc>
          <w:tcPr>
            <w:tcW w:w="943" w:type="dxa"/>
            <w:shd w:val="clear" w:color="auto" w:fill="auto"/>
            <w:vAlign w:val="bottom"/>
          </w:tcPr>
          <w:p w14:paraId="3858A9A6" w14:textId="77777777" w:rsidR="008F784F" w:rsidRDefault="008F784F" w:rsidP="0096199F">
            <w:pPr>
              <w:pStyle w:val="-3"/>
              <w:spacing w:after="20"/>
              <w:rPr>
                <w:rtl/>
              </w:rPr>
            </w:pPr>
            <w:r>
              <w:rPr>
                <w:rFonts w:hint="cs"/>
                <w:rtl/>
              </w:rPr>
              <w:t xml:space="preserve"> </w:t>
            </w:r>
            <w:r>
              <w:rPr>
                <w:rtl/>
              </w:rPr>
              <w:t>0</w:t>
            </w:r>
          </w:p>
        </w:tc>
      </w:tr>
      <w:tr w:rsidR="008F784F" w14:paraId="0F5525BD" w14:textId="77777777" w:rsidTr="00E63B86">
        <w:trPr>
          <w:trHeight w:val="245"/>
        </w:trPr>
        <w:tc>
          <w:tcPr>
            <w:tcW w:w="1020" w:type="dxa"/>
            <w:shd w:val="clear" w:color="auto" w:fill="auto"/>
          </w:tcPr>
          <w:p w14:paraId="5B76D818" w14:textId="0BC1058D" w:rsidR="008F784F" w:rsidRDefault="008F784F" w:rsidP="0096199F">
            <w:pPr>
              <w:pStyle w:val="-fa"/>
              <w:spacing w:after="20"/>
              <w:rPr>
                <w:rtl/>
              </w:rPr>
            </w:pPr>
          </w:p>
        </w:tc>
        <w:tc>
          <w:tcPr>
            <w:tcW w:w="398" w:type="dxa"/>
            <w:shd w:val="clear" w:color="auto" w:fill="auto"/>
          </w:tcPr>
          <w:p w14:paraId="794CF724" w14:textId="77777777" w:rsidR="008F784F" w:rsidRDefault="008F784F" w:rsidP="0096199F">
            <w:pPr>
              <w:pStyle w:val="-7"/>
              <w:spacing w:after="20"/>
              <w:rPr>
                <w:rtl/>
              </w:rPr>
            </w:pPr>
          </w:p>
        </w:tc>
        <w:tc>
          <w:tcPr>
            <w:tcW w:w="3479" w:type="dxa"/>
            <w:shd w:val="clear" w:color="auto" w:fill="auto"/>
            <w:vAlign w:val="bottom"/>
          </w:tcPr>
          <w:p w14:paraId="18B22BE6" w14:textId="77777777" w:rsidR="008F784F" w:rsidRPr="004D022A" w:rsidRDefault="008F784F" w:rsidP="0096199F">
            <w:pPr>
              <w:pStyle w:val="-0"/>
              <w:spacing w:after="20"/>
              <w:rPr>
                <w:sz w:val="18"/>
                <w:szCs w:val="18"/>
                <w:rtl/>
              </w:rPr>
            </w:pPr>
            <w:r w:rsidRPr="004D022A">
              <w:rPr>
                <w:sz w:val="18"/>
                <w:szCs w:val="18"/>
                <w:rtl/>
              </w:rPr>
              <w:t>מסגרות אשראי של כרטיסי אשראי שלא נוצלו</w:t>
            </w:r>
            <w:r w:rsidRPr="004D022A">
              <w:rPr>
                <w:color w:val="auto"/>
                <w:sz w:val="18"/>
                <w:szCs w:val="18"/>
                <w:vertAlign w:val="superscript"/>
                <w:rtl/>
                <w:lang w:eastAsia="en-US"/>
              </w:rPr>
              <w:t>[</w:t>
            </w:r>
            <w:r w:rsidRPr="004D022A">
              <w:rPr>
                <w:color w:val="auto"/>
                <w:sz w:val="18"/>
                <w:szCs w:val="18"/>
                <w:vertAlign w:val="superscript"/>
                <w:rtl/>
                <w:lang w:eastAsia="en-US"/>
              </w:rPr>
              <w:footnoteReference w:id="108"/>
            </w:r>
            <w:r w:rsidRPr="004D022A">
              <w:rPr>
                <w:color w:val="auto"/>
                <w:sz w:val="18"/>
                <w:szCs w:val="18"/>
                <w:vertAlign w:val="superscript"/>
                <w:rtl/>
                <w:lang w:eastAsia="en-US"/>
              </w:rPr>
              <w:t>]</w:t>
            </w:r>
          </w:p>
        </w:tc>
        <w:tc>
          <w:tcPr>
            <w:tcW w:w="828" w:type="dxa"/>
            <w:shd w:val="clear" w:color="auto" w:fill="auto"/>
            <w:vAlign w:val="bottom"/>
          </w:tcPr>
          <w:p w14:paraId="064AC7F0" w14:textId="77777777" w:rsidR="008F784F" w:rsidRDefault="008F784F" w:rsidP="0096199F">
            <w:pPr>
              <w:pStyle w:val="-3"/>
              <w:spacing w:after="20"/>
              <w:jc w:val="left"/>
              <w:rPr>
                <w:rtl/>
              </w:rPr>
            </w:pPr>
            <w:r>
              <w:rPr>
                <w:rFonts w:hint="cs"/>
                <w:rtl/>
              </w:rPr>
              <w:t xml:space="preserve"> </w:t>
            </w:r>
            <w:r>
              <w:rPr>
                <w:rtl/>
              </w:rPr>
              <w:t>0</w:t>
            </w:r>
          </w:p>
        </w:tc>
        <w:tc>
          <w:tcPr>
            <w:tcW w:w="829" w:type="dxa"/>
            <w:shd w:val="clear" w:color="auto" w:fill="auto"/>
            <w:vAlign w:val="bottom"/>
          </w:tcPr>
          <w:p w14:paraId="7DE4EA32" w14:textId="77777777" w:rsidR="008F784F" w:rsidRDefault="008F784F" w:rsidP="0096199F">
            <w:pPr>
              <w:pStyle w:val="-3"/>
              <w:spacing w:after="20"/>
              <w:jc w:val="left"/>
              <w:rPr>
                <w:rtl/>
              </w:rPr>
            </w:pPr>
            <w:r>
              <w:rPr>
                <w:rFonts w:hint="cs"/>
                <w:rtl/>
              </w:rPr>
              <w:t xml:space="preserve"> </w:t>
            </w:r>
            <w:r>
              <w:rPr>
                <w:rtl/>
              </w:rPr>
              <w:t>0</w:t>
            </w:r>
          </w:p>
        </w:tc>
        <w:tc>
          <w:tcPr>
            <w:tcW w:w="818" w:type="dxa"/>
            <w:shd w:val="clear" w:color="auto" w:fill="auto"/>
            <w:tcMar>
              <w:left w:w="58" w:type="dxa"/>
              <w:right w:w="58" w:type="dxa"/>
            </w:tcMar>
            <w:vAlign w:val="bottom"/>
          </w:tcPr>
          <w:p w14:paraId="51F98037" w14:textId="77777777" w:rsidR="008F784F" w:rsidRDefault="008F784F" w:rsidP="0096199F">
            <w:pPr>
              <w:pStyle w:val="-3"/>
              <w:spacing w:after="20"/>
              <w:jc w:val="left"/>
              <w:rPr>
                <w:rtl/>
              </w:rPr>
            </w:pPr>
            <w:r>
              <w:rPr>
                <w:rFonts w:hint="cs"/>
                <w:rtl/>
              </w:rPr>
              <w:t xml:space="preserve"> </w:t>
            </w:r>
            <w:r>
              <w:rPr>
                <w:rtl/>
              </w:rPr>
              <w:t>0</w:t>
            </w:r>
          </w:p>
        </w:tc>
        <w:tc>
          <w:tcPr>
            <w:tcW w:w="283" w:type="dxa"/>
            <w:shd w:val="clear" w:color="auto" w:fill="auto"/>
            <w:vAlign w:val="bottom"/>
          </w:tcPr>
          <w:p w14:paraId="6BB8A827" w14:textId="77777777" w:rsidR="008F784F" w:rsidRDefault="008F784F" w:rsidP="0096199F">
            <w:pPr>
              <w:pStyle w:val="-3"/>
              <w:spacing w:after="20"/>
              <w:jc w:val="left"/>
              <w:rPr>
                <w:rtl/>
              </w:rPr>
            </w:pPr>
          </w:p>
        </w:tc>
        <w:tc>
          <w:tcPr>
            <w:tcW w:w="806" w:type="dxa"/>
            <w:shd w:val="clear" w:color="auto" w:fill="auto"/>
            <w:vAlign w:val="bottom"/>
          </w:tcPr>
          <w:p w14:paraId="2617C8C5" w14:textId="77777777" w:rsidR="008F784F" w:rsidRDefault="008F784F" w:rsidP="0096199F">
            <w:pPr>
              <w:pStyle w:val="-3"/>
              <w:spacing w:after="20"/>
              <w:jc w:val="left"/>
              <w:rPr>
                <w:rtl/>
              </w:rPr>
            </w:pPr>
            <w:r>
              <w:rPr>
                <w:rFonts w:hint="cs"/>
                <w:rtl/>
              </w:rPr>
              <w:t xml:space="preserve"> </w:t>
            </w:r>
            <w:r>
              <w:rPr>
                <w:rtl/>
              </w:rPr>
              <w:t>0</w:t>
            </w:r>
          </w:p>
        </w:tc>
        <w:tc>
          <w:tcPr>
            <w:tcW w:w="830" w:type="dxa"/>
            <w:gridSpan w:val="2"/>
            <w:shd w:val="clear" w:color="auto" w:fill="auto"/>
            <w:vAlign w:val="bottom"/>
          </w:tcPr>
          <w:p w14:paraId="797DF6EB" w14:textId="77777777" w:rsidR="008F784F" w:rsidRDefault="008F784F" w:rsidP="0096199F">
            <w:pPr>
              <w:pStyle w:val="-3"/>
              <w:spacing w:after="20"/>
              <w:jc w:val="left"/>
              <w:rPr>
                <w:rtl/>
              </w:rPr>
            </w:pPr>
            <w:r>
              <w:rPr>
                <w:rFonts w:hint="cs"/>
                <w:rtl/>
              </w:rPr>
              <w:t xml:space="preserve"> </w:t>
            </w:r>
            <w:r>
              <w:rPr>
                <w:rtl/>
              </w:rPr>
              <w:t>0</w:t>
            </w:r>
          </w:p>
        </w:tc>
        <w:tc>
          <w:tcPr>
            <w:tcW w:w="943" w:type="dxa"/>
            <w:shd w:val="clear" w:color="auto" w:fill="auto"/>
            <w:vAlign w:val="bottom"/>
          </w:tcPr>
          <w:p w14:paraId="70768EE7" w14:textId="77777777" w:rsidR="008F784F" w:rsidRDefault="008F784F" w:rsidP="0096199F">
            <w:pPr>
              <w:pStyle w:val="-3"/>
              <w:spacing w:after="20"/>
              <w:jc w:val="left"/>
              <w:rPr>
                <w:rtl/>
              </w:rPr>
            </w:pPr>
            <w:r>
              <w:rPr>
                <w:rFonts w:hint="cs"/>
                <w:rtl/>
              </w:rPr>
              <w:t xml:space="preserve"> </w:t>
            </w:r>
            <w:r>
              <w:rPr>
                <w:rtl/>
              </w:rPr>
              <w:t>0</w:t>
            </w:r>
          </w:p>
        </w:tc>
      </w:tr>
      <w:tr w:rsidR="008F784F" w14:paraId="176257D5" w14:textId="77777777" w:rsidTr="00E63B86">
        <w:trPr>
          <w:trHeight w:val="245"/>
        </w:trPr>
        <w:tc>
          <w:tcPr>
            <w:tcW w:w="1020" w:type="dxa"/>
            <w:shd w:val="clear" w:color="auto" w:fill="auto"/>
          </w:tcPr>
          <w:p w14:paraId="509573D7" w14:textId="06FEB0CB" w:rsidR="008F784F" w:rsidRDefault="008F784F" w:rsidP="0096199F">
            <w:pPr>
              <w:pStyle w:val="-fa"/>
              <w:spacing w:after="20" w:line="360" w:lineRule="auto"/>
              <w:rPr>
                <w:rtl/>
              </w:rPr>
            </w:pPr>
          </w:p>
        </w:tc>
        <w:tc>
          <w:tcPr>
            <w:tcW w:w="398" w:type="dxa"/>
            <w:shd w:val="clear" w:color="auto" w:fill="auto"/>
            <w:vAlign w:val="bottom"/>
          </w:tcPr>
          <w:p w14:paraId="1089D115" w14:textId="77777777" w:rsidR="008F784F" w:rsidRDefault="008F784F" w:rsidP="0096199F">
            <w:pPr>
              <w:pStyle w:val="-7"/>
              <w:spacing w:after="20"/>
              <w:rPr>
                <w:rtl/>
              </w:rPr>
            </w:pPr>
          </w:p>
        </w:tc>
        <w:tc>
          <w:tcPr>
            <w:tcW w:w="3479" w:type="dxa"/>
            <w:shd w:val="clear" w:color="auto" w:fill="auto"/>
            <w:vAlign w:val="bottom"/>
          </w:tcPr>
          <w:p w14:paraId="1226BB2B" w14:textId="77777777" w:rsidR="008F784F" w:rsidRPr="004D022A" w:rsidRDefault="008F784F" w:rsidP="0096199F">
            <w:pPr>
              <w:pStyle w:val="-21"/>
              <w:spacing w:after="20"/>
              <w:rPr>
                <w:sz w:val="18"/>
                <w:szCs w:val="18"/>
                <w:rtl/>
              </w:rPr>
            </w:pPr>
            <w:r w:rsidRPr="004D022A">
              <w:rPr>
                <w:sz w:val="18"/>
                <w:szCs w:val="18"/>
                <w:rtl/>
              </w:rPr>
              <w:t>מסגרות חח"ד ומסגרות אשראי אחרות בחשבונות</w:t>
            </w:r>
            <w:r w:rsidRPr="004D022A">
              <w:rPr>
                <w:rFonts w:hint="cs"/>
                <w:sz w:val="18"/>
                <w:szCs w:val="18"/>
                <w:rtl/>
              </w:rPr>
              <w:t xml:space="preserve"> </w:t>
            </w:r>
            <w:r w:rsidRPr="004D022A">
              <w:rPr>
                <w:sz w:val="18"/>
                <w:szCs w:val="18"/>
                <w:rtl/>
              </w:rPr>
              <w:t>לפי דרישה שלא נוצלו</w:t>
            </w:r>
            <w:r w:rsidRPr="004D022A">
              <w:rPr>
                <w:sz w:val="18"/>
                <w:szCs w:val="18"/>
                <w:vertAlign w:val="superscript"/>
                <w:rtl/>
              </w:rPr>
              <w:t>[</w:t>
            </w:r>
            <w:r w:rsidRPr="004D022A">
              <w:rPr>
                <w:rFonts w:hint="cs"/>
                <w:sz w:val="18"/>
                <w:szCs w:val="18"/>
                <w:vertAlign w:val="superscript"/>
                <w:rtl/>
              </w:rPr>
              <w:t>1</w:t>
            </w:r>
            <w:r w:rsidRPr="004D022A">
              <w:rPr>
                <w:sz w:val="18"/>
                <w:szCs w:val="18"/>
                <w:vertAlign w:val="superscript"/>
                <w:rtl/>
              </w:rPr>
              <w:t>]</w:t>
            </w:r>
          </w:p>
        </w:tc>
        <w:tc>
          <w:tcPr>
            <w:tcW w:w="828" w:type="dxa"/>
            <w:shd w:val="clear" w:color="auto" w:fill="auto"/>
            <w:vAlign w:val="bottom"/>
          </w:tcPr>
          <w:p w14:paraId="72E71E5C" w14:textId="77777777" w:rsidR="008F784F" w:rsidRDefault="008F784F" w:rsidP="0096199F">
            <w:pPr>
              <w:pStyle w:val="-3"/>
              <w:spacing w:after="20"/>
              <w:jc w:val="left"/>
              <w:rPr>
                <w:rtl/>
              </w:rPr>
            </w:pPr>
            <w:r>
              <w:rPr>
                <w:rFonts w:hint="cs"/>
                <w:rtl/>
              </w:rPr>
              <w:t xml:space="preserve"> </w:t>
            </w:r>
            <w:r>
              <w:rPr>
                <w:rtl/>
              </w:rPr>
              <w:t>0</w:t>
            </w:r>
          </w:p>
        </w:tc>
        <w:tc>
          <w:tcPr>
            <w:tcW w:w="829" w:type="dxa"/>
            <w:shd w:val="clear" w:color="auto" w:fill="auto"/>
            <w:vAlign w:val="bottom"/>
          </w:tcPr>
          <w:p w14:paraId="2784A30A" w14:textId="77777777" w:rsidR="008F784F" w:rsidRDefault="008F784F" w:rsidP="0096199F">
            <w:pPr>
              <w:pStyle w:val="-3"/>
              <w:spacing w:after="20"/>
              <w:jc w:val="left"/>
              <w:rPr>
                <w:rtl/>
              </w:rPr>
            </w:pPr>
            <w:r>
              <w:rPr>
                <w:rFonts w:hint="cs"/>
                <w:rtl/>
              </w:rPr>
              <w:t xml:space="preserve"> </w:t>
            </w:r>
            <w:r>
              <w:rPr>
                <w:rtl/>
              </w:rPr>
              <w:t>0</w:t>
            </w:r>
          </w:p>
        </w:tc>
        <w:tc>
          <w:tcPr>
            <w:tcW w:w="818" w:type="dxa"/>
            <w:shd w:val="clear" w:color="auto" w:fill="auto"/>
            <w:tcMar>
              <w:left w:w="58" w:type="dxa"/>
              <w:right w:w="58" w:type="dxa"/>
            </w:tcMar>
            <w:vAlign w:val="bottom"/>
          </w:tcPr>
          <w:p w14:paraId="266F749A" w14:textId="77777777" w:rsidR="008F784F" w:rsidRDefault="008F784F" w:rsidP="0096199F">
            <w:pPr>
              <w:pStyle w:val="-3"/>
              <w:spacing w:after="20"/>
              <w:jc w:val="left"/>
              <w:rPr>
                <w:rtl/>
              </w:rPr>
            </w:pPr>
            <w:r>
              <w:rPr>
                <w:rFonts w:hint="cs"/>
                <w:rtl/>
              </w:rPr>
              <w:t xml:space="preserve"> </w:t>
            </w:r>
            <w:r>
              <w:rPr>
                <w:rtl/>
              </w:rPr>
              <w:t>0</w:t>
            </w:r>
          </w:p>
        </w:tc>
        <w:tc>
          <w:tcPr>
            <w:tcW w:w="283" w:type="dxa"/>
            <w:shd w:val="clear" w:color="auto" w:fill="auto"/>
            <w:vAlign w:val="bottom"/>
          </w:tcPr>
          <w:p w14:paraId="1CD8F3BE" w14:textId="77777777" w:rsidR="008F784F" w:rsidRDefault="008F784F" w:rsidP="0096199F">
            <w:pPr>
              <w:pStyle w:val="-3"/>
              <w:spacing w:after="20"/>
              <w:jc w:val="left"/>
              <w:rPr>
                <w:rtl/>
              </w:rPr>
            </w:pPr>
          </w:p>
        </w:tc>
        <w:tc>
          <w:tcPr>
            <w:tcW w:w="806" w:type="dxa"/>
            <w:shd w:val="clear" w:color="auto" w:fill="auto"/>
            <w:vAlign w:val="bottom"/>
          </w:tcPr>
          <w:p w14:paraId="4A0B718D" w14:textId="77777777" w:rsidR="008F784F" w:rsidRDefault="008F784F" w:rsidP="0096199F">
            <w:pPr>
              <w:pStyle w:val="-3"/>
              <w:spacing w:after="20"/>
              <w:jc w:val="left"/>
              <w:rPr>
                <w:rtl/>
              </w:rPr>
            </w:pPr>
            <w:r>
              <w:rPr>
                <w:rFonts w:hint="cs"/>
                <w:rtl/>
              </w:rPr>
              <w:t xml:space="preserve"> </w:t>
            </w:r>
            <w:r>
              <w:rPr>
                <w:rtl/>
              </w:rPr>
              <w:t>0</w:t>
            </w:r>
          </w:p>
        </w:tc>
        <w:tc>
          <w:tcPr>
            <w:tcW w:w="830" w:type="dxa"/>
            <w:gridSpan w:val="2"/>
            <w:shd w:val="clear" w:color="auto" w:fill="auto"/>
            <w:vAlign w:val="bottom"/>
          </w:tcPr>
          <w:p w14:paraId="34100A89" w14:textId="77777777" w:rsidR="008F784F" w:rsidRDefault="008F784F" w:rsidP="0096199F">
            <w:pPr>
              <w:pStyle w:val="-3"/>
              <w:spacing w:after="20"/>
              <w:jc w:val="left"/>
              <w:rPr>
                <w:rtl/>
              </w:rPr>
            </w:pPr>
            <w:r>
              <w:rPr>
                <w:rFonts w:hint="cs"/>
                <w:rtl/>
              </w:rPr>
              <w:t xml:space="preserve"> </w:t>
            </w:r>
            <w:r>
              <w:rPr>
                <w:rtl/>
              </w:rPr>
              <w:t>0</w:t>
            </w:r>
          </w:p>
        </w:tc>
        <w:tc>
          <w:tcPr>
            <w:tcW w:w="943" w:type="dxa"/>
            <w:shd w:val="clear" w:color="auto" w:fill="auto"/>
            <w:vAlign w:val="bottom"/>
          </w:tcPr>
          <w:p w14:paraId="6670FB37" w14:textId="77777777" w:rsidR="008F784F" w:rsidRDefault="008F784F" w:rsidP="0096199F">
            <w:pPr>
              <w:pStyle w:val="-3"/>
              <w:spacing w:after="20"/>
              <w:jc w:val="left"/>
              <w:rPr>
                <w:rtl/>
              </w:rPr>
            </w:pPr>
            <w:r>
              <w:rPr>
                <w:rFonts w:hint="cs"/>
                <w:rtl/>
              </w:rPr>
              <w:t xml:space="preserve"> </w:t>
            </w:r>
            <w:r>
              <w:rPr>
                <w:rtl/>
              </w:rPr>
              <w:t>0</w:t>
            </w:r>
          </w:p>
        </w:tc>
      </w:tr>
      <w:tr w:rsidR="008F784F" w14:paraId="53800A14" w14:textId="77777777" w:rsidTr="00E63B86">
        <w:trPr>
          <w:trHeight w:val="245"/>
        </w:trPr>
        <w:tc>
          <w:tcPr>
            <w:tcW w:w="1020" w:type="dxa"/>
            <w:shd w:val="clear" w:color="auto" w:fill="auto"/>
          </w:tcPr>
          <w:p w14:paraId="32D03A9B" w14:textId="73D1028E" w:rsidR="008F784F" w:rsidRDefault="008F784F" w:rsidP="0096199F">
            <w:pPr>
              <w:pStyle w:val="-fa"/>
              <w:spacing w:after="20" w:line="360" w:lineRule="auto"/>
              <w:rPr>
                <w:rtl/>
              </w:rPr>
            </w:pPr>
          </w:p>
        </w:tc>
        <w:tc>
          <w:tcPr>
            <w:tcW w:w="398" w:type="dxa"/>
            <w:shd w:val="clear" w:color="auto" w:fill="auto"/>
            <w:vAlign w:val="bottom"/>
          </w:tcPr>
          <w:p w14:paraId="796516EF" w14:textId="77777777" w:rsidR="008F784F" w:rsidRDefault="008F784F" w:rsidP="0096199F">
            <w:pPr>
              <w:pStyle w:val="-7"/>
              <w:spacing w:after="20"/>
              <w:rPr>
                <w:rtl/>
              </w:rPr>
            </w:pPr>
          </w:p>
        </w:tc>
        <w:tc>
          <w:tcPr>
            <w:tcW w:w="3479" w:type="dxa"/>
            <w:shd w:val="clear" w:color="auto" w:fill="auto"/>
            <w:vAlign w:val="bottom"/>
          </w:tcPr>
          <w:p w14:paraId="362DCBBB" w14:textId="77777777" w:rsidR="008F784F" w:rsidRPr="004D022A" w:rsidRDefault="008F784F" w:rsidP="0096199F">
            <w:pPr>
              <w:pStyle w:val="-21"/>
              <w:spacing w:after="20"/>
              <w:rPr>
                <w:sz w:val="18"/>
                <w:szCs w:val="18"/>
                <w:rtl/>
              </w:rPr>
            </w:pPr>
            <w:r w:rsidRPr="004D022A">
              <w:rPr>
                <w:sz w:val="18"/>
                <w:szCs w:val="18"/>
                <w:rtl/>
              </w:rPr>
              <w:t>התחייבויות בלתי חוזרות לתת אשראי שאושר ועדיין לא ניתן</w:t>
            </w:r>
            <w:r w:rsidRPr="004D022A">
              <w:rPr>
                <w:rFonts w:hint="cs"/>
                <w:sz w:val="18"/>
                <w:szCs w:val="18"/>
                <w:vertAlign w:val="superscript"/>
                <w:rtl/>
              </w:rPr>
              <w:t>[1]</w:t>
            </w:r>
          </w:p>
        </w:tc>
        <w:tc>
          <w:tcPr>
            <w:tcW w:w="828" w:type="dxa"/>
            <w:shd w:val="clear" w:color="auto" w:fill="auto"/>
            <w:vAlign w:val="bottom"/>
          </w:tcPr>
          <w:p w14:paraId="15ED96FC" w14:textId="77777777" w:rsidR="008F784F" w:rsidRDefault="008F784F" w:rsidP="0096199F">
            <w:pPr>
              <w:pStyle w:val="-3"/>
              <w:spacing w:after="20"/>
              <w:jc w:val="left"/>
              <w:rPr>
                <w:rtl/>
              </w:rPr>
            </w:pPr>
            <w:r>
              <w:rPr>
                <w:rFonts w:hint="cs"/>
                <w:rtl/>
              </w:rPr>
              <w:t xml:space="preserve"> </w:t>
            </w:r>
            <w:r>
              <w:rPr>
                <w:rtl/>
              </w:rPr>
              <w:t>0</w:t>
            </w:r>
          </w:p>
        </w:tc>
        <w:tc>
          <w:tcPr>
            <w:tcW w:w="829" w:type="dxa"/>
            <w:shd w:val="clear" w:color="auto" w:fill="auto"/>
            <w:vAlign w:val="bottom"/>
          </w:tcPr>
          <w:p w14:paraId="56C5F10D" w14:textId="77777777" w:rsidR="008F784F" w:rsidRDefault="008F784F" w:rsidP="0096199F">
            <w:pPr>
              <w:pStyle w:val="-3"/>
              <w:spacing w:after="20"/>
              <w:jc w:val="left"/>
              <w:rPr>
                <w:rtl/>
              </w:rPr>
            </w:pPr>
            <w:r>
              <w:rPr>
                <w:rFonts w:hint="cs"/>
                <w:rtl/>
              </w:rPr>
              <w:t xml:space="preserve"> </w:t>
            </w:r>
            <w:r>
              <w:rPr>
                <w:rtl/>
              </w:rPr>
              <w:t>0</w:t>
            </w:r>
          </w:p>
        </w:tc>
        <w:tc>
          <w:tcPr>
            <w:tcW w:w="818" w:type="dxa"/>
            <w:shd w:val="clear" w:color="auto" w:fill="auto"/>
            <w:tcMar>
              <w:left w:w="58" w:type="dxa"/>
              <w:right w:w="58" w:type="dxa"/>
            </w:tcMar>
            <w:vAlign w:val="bottom"/>
          </w:tcPr>
          <w:p w14:paraId="02BD5FB6" w14:textId="77777777" w:rsidR="008F784F" w:rsidRDefault="008F784F" w:rsidP="0096199F">
            <w:pPr>
              <w:pStyle w:val="-3"/>
              <w:spacing w:after="20"/>
              <w:jc w:val="left"/>
              <w:rPr>
                <w:rtl/>
              </w:rPr>
            </w:pPr>
            <w:r>
              <w:rPr>
                <w:rFonts w:hint="cs"/>
                <w:rtl/>
              </w:rPr>
              <w:t xml:space="preserve"> </w:t>
            </w:r>
            <w:r>
              <w:rPr>
                <w:rtl/>
              </w:rPr>
              <w:t>0</w:t>
            </w:r>
          </w:p>
        </w:tc>
        <w:tc>
          <w:tcPr>
            <w:tcW w:w="283" w:type="dxa"/>
            <w:shd w:val="clear" w:color="auto" w:fill="auto"/>
            <w:vAlign w:val="bottom"/>
          </w:tcPr>
          <w:p w14:paraId="360D7061" w14:textId="77777777" w:rsidR="008F784F" w:rsidRDefault="008F784F" w:rsidP="0096199F">
            <w:pPr>
              <w:pStyle w:val="-3"/>
              <w:spacing w:after="20"/>
              <w:jc w:val="left"/>
              <w:rPr>
                <w:rtl/>
              </w:rPr>
            </w:pPr>
          </w:p>
        </w:tc>
        <w:tc>
          <w:tcPr>
            <w:tcW w:w="806" w:type="dxa"/>
            <w:shd w:val="clear" w:color="auto" w:fill="auto"/>
            <w:vAlign w:val="bottom"/>
          </w:tcPr>
          <w:p w14:paraId="3C9D19F9" w14:textId="77777777" w:rsidR="008F784F" w:rsidRDefault="008F784F" w:rsidP="0096199F">
            <w:pPr>
              <w:pStyle w:val="-3"/>
              <w:spacing w:after="20"/>
              <w:jc w:val="left"/>
              <w:rPr>
                <w:rtl/>
              </w:rPr>
            </w:pPr>
            <w:r>
              <w:rPr>
                <w:rFonts w:hint="cs"/>
                <w:rtl/>
              </w:rPr>
              <w:t xml:space="preserve"> </w:t>
            </w:r>
            <w:r>
              <w:rPr>
                <w:rtl/>
              </w:rPr>
              <w:t>0</w:t>
            </w:r>
          </w:p>
        </w:tc>
        <w:tc>
          <w:tcPr>
            <w:tcW w:w="830" w:type="dxa"/>
            <w:gridSpan w:val="2"/>
            <w:shd w:val="clear" w:color="auto" w:fill="auto"/>
            <w:vAlign w:val="bottom"/>
          </w:tcPr>
          <w:p w14:paraId="71FA430A" w14:textId="77777777" w:rsidR="008F784F" w:rsidRDefault="008F784F" w:rsidP="0096199F">
            <w:pPr>
              <w:pStyle w:val="-3"/>
              <w:spacing w:after="20"/>
              <w:jc w:val="left"/>
              <w:rPr>
                <w:rtl/>
              </w:rPr>
            </w:pPr>
            <w:r>
              <w:rPr>
                <w:rFonts w:hint="cs"/>
                <w:rtl/>
              </w:rPr>
              <w:t xml:space="preserve"> </w:t>
            </w:r>
            <w:r>
              <w:rPr>
                <w:rtl/>
              </w:rPr>
              <w:t>0</w:t>
            </w:r>
          </w:p>
        </w:tc>
        <w:tc>
          <w:tcPr>
            <w:tcW w:w="943" w:type="dxa"/>
            <w:shd w:val="clear" w:color="auto" w:fill="auto"/>
            <w:vAlign w:val="bottom"/>
          </w:tcPr>
          <w:p w14:paraId="28EAD1D1" w14:textId="77777777" w:rsidR="008F784F" w:rsidRDefault="008F784F" w:rsidP="0096199F">
            <w:pPr>
              <w:pStyle w:val="-3"/>
              <w:spacing w:after="20"/>
              <w:jc w:val="left"/>
              <w:rPr>
                <w:rtl/>
              </w:rPr>
            </w:pPr>
            <w:r>
              <w:rPr>
                <w:rFonts w:hint="cs"/>
                <w:rtl/>
              </w:rPr>
              <w:t xml:space="preserve"> </w:t>
            </w:r>
            <w:r>
              <w:rPr>
                <w:rtl/>
              </w:rPr>
              <w:t>0</w:t>
            </w:r>
          </w:p>
        </w:tc>
      </w:tr>
      <w:tr w:rsidR="008F784F" w14:paraId="604D3729" w14:textId="77777777" w:rsidTr="00E63B86">
        <w:trPr>
          <w:trHeight w:val="245"/>
        </w:trPr>
        <w:tc>
          <w:tcPr>
            <w:tcW w:w="1020" w:type="dxa"/>
            <w:shd w:val="clear" w:color="auto" w:fill="auto"/>
          </w:tcPr>
          <w:p w14:paraId="720F8238" w14:textId="345C053C" w:rsidR="008F784F" w:rsidRDefault="008F784F" w:rsidP="0096199F">
            <w:pPr>
              <w:pStyle w:val="-fa"/>
              <w:spacing w:after="20"/>
              <w:rPr>
                <w:rtl/>
              </w:rPr>
            </w:pPr>
          </w:p>
        </w:tc>
        <w:tc>
          <w:tcPr>
            <w:tcW w:w="398" w:type="dxa"/>
            <w:shd w:val="clear" w:color="auto" w:fill="auto"/>
          </w:tcPr>
          <w:p w14:paraId="5803A031" w14:textId="77777777" w:rsidR="008F784F" w:rsidRDefault="008F784F" w:rsidP="0096199F">
            <w:pPr>
              <w:pStyle w:val="-7"/>
              <w:spacing w:after="20"/>
              <w:rPr>
                <w:rtl/>
              </w:rPr>
            </w:pPr>
          </w:p>
        </w:tc>
        <w:tc>
          <w:tcPr>
            <w:tcW w:w="3479" w:type="dxa"/>
            <w:shd w:val="clear" w:color="auto" w:fill="auto"/>
            <w:vAlign w:val="bottom"/>
          </w:tcPr>
          <w:p w14:paraId="1E256FC3" w14:textId="77777777" w:rsidR="008F784F" w:rsidRPr="004D022A" w:rsidRDefault="008F784F" w:rsidP="0096199F">
            <w:pPr>
              <w:pStyle w:val="-0"/>
              <w:spacing w:after="20"/>
              <w:rPr>
                <w:sz w:val="18"/>
                <w:szCs w:val="18"/>
                <w:rtl/>
              </w:rPr>
            </w:pPr>
            <w:r w:rsidRPr="004D022A">
              <w:rPr>
                <w:sz w:val="18"/>
                <w:szCs w:val="18"/>
                <w:rtl/>
              </w:rPr>
              <w:t>התחייבויות להוצאת ערבויות</w:t>
            </w:r>
            <w:r w:rsidRPr="004D022A">
              <w:rPr>
                <w:rFonts w:hint="cs"/>
                <w:sz w:val="18"/>
                <w:szCs w:val="18"/>
                <w:vertAlign w:val="superscript"/>
                <w:rtl/>
              </w:rPr>
              <w:t>[1]</w:t>
            </w:r>
          </w:p>
        </w:tc>
        <w:tc>
          <w:tcPr>
            <w:tcW w:w="828" w:type="dxa"/>
            <w:shd w:val="clear" w:color="auto" w:fill="auto"/>
            <w:vAlign w:val="center"/>
          </w:tcPr>
          <w:p w14:paraId="1D3D5E43" w14:textId="77777777" w:rsidR="008F784F" w:rsidRDefault="008F784F" w:rsidP="0096199F">
            <w:pPr>
              <w:pStyle w:val="-3"/>
              <w:spacing w:after="20"/>
              <w:rPr>
                <w:rtl/>
              </w:rPr>
            </w:pPr>
            <w:r>
              <w:rPr>
                <w:rFonts w:hint="cs"/>
                <w:rtl/>
              </w:rPr>
              <w:t xml:space="preserve"> </w:t>
            </w:r>
            <w:r>
              <w:rPr>
                <w:rtl/>
              </w:rPr>
              <w:t>0</w:t>
            </w:r>
          </w:p>
        </w:tc>
        <w:tc>
          <w:tcPr>
            <w:tcW w:w="829" w:type="dxa"/>
            <w:shd w:val="clear" w:color="auto" w:fill="auto"/>
            <w:vAlign w:val="center"/>
          </w:tcPr>
          <w:p w14:paraId="565602AF" w14:textId="77777777" w:rsidR="008F784F" w:rsidRDefault="008F784F" w:rsidP="0096199F">
            <w:pPr>
              <w:pStyle w:val="-3"/>
              <w:spacing w:after="20"/>
              <w:rPr>
                <w:rtl/>
              </w:rPr>
            </w:pPr>
            <w:r>
              <w:rPr>
                <w:rFonts w:hint="cs"/>
                <w:rtl/>
              </w:rPr>
              <w:t xml:space="preserve"> </w:t>
            </w:r>
            <w:r>
              <w:rPr>
                <w:rtl/>
              </w:rPr>
              <w:t>0</w:t>
            </w:r>
          </w:p>
        </w:tc>
        <w:tc>
          <w:tcPr>
            <w:tcW w:w="818" w:type="dxa"/>
            <w:shd w:val="clear" w:color="auto" w:fill="auto"/>
            <w:tcMar>
              <w:left w:w="58" w:type="dxa"/>
              <w:right w:w="58" w:type="dxa"/>
            </w:tcMar>
            <w:vAlign w:val="center"/>
          </w:tcPr>
          <w:p w14:paraId="3CB1E551" w14:textId="77777777" w:rsidR="008F784F" w:rsidRDefault="008F784F" w:rsidP="0096199F">
            <w:pPr>
              <w:pStyle w:val="-3"/>
              <w:spacing w:after="20"/>
              <w:rPr>
                <w:rtl/>
              </w:rPr>
            </w:pPr>
            <w:r>
              <w:rPr>
                <w:rFonts w:hint="cs"/>
                <w:rtl/>
              </w:rPr>
              <w:t xml:space="preserve"> </w:t>
            </w:r>
            <w:r>
              <w:rPr>
                <w:rtl/>
              </w:rPr>
              <w:t>0</w:t>
            </w:r>
          </w:p>
        </w:tc>
        <w:tc>
          <w:tcPr>
            <w:tcW w:w="283" w:type="dxa"/>
            <w:shd w:val="clear" w:color="auto" w:fill="auto"/>
            <w:vAlign w:val="center"/>
          </w:tcPr>
          <w:p w14:paraId="0FB723EE" w14:textId="77777777" w:rsidR="008F784F" w:rsidRDefault="008F784F" w:rsidP="0096199F">
            <w:pPr>
              <w:pStyle w:val="-3"/>
              <w:spacing w:after="20"/>
              <w:rPr>
                <w:rtl/>
              </w:rPr>
            </w:pPr>
          </w:p>
        </w:tc>
        <w:tc>
          <w:tcPr>
            <w:tcW w:w="806" w:type="dxa"/>
            <w:shd w:val="clear" w:color="auto" w:fill="auto"/>
            <w:vAlign w:val="center"/>
          </w:tcPr>
          <w:p w14:paraId="7FEA0A38" w14:textId="77777777" w:rsidR="008F784F" w:rsidRDefault="008F784F" w:rsidP="0096199F">
            <w:pPr>
              <w:pStyle w:val="-3"/>
              <w:spacing w:after="20"/>
              <w:rPr>
                <w:rtl/>
              </w:rPr>
            </w:pPr>
            <w:r>
              <w:rPr>
                <w:rFonts w:hint="cs"/>
                <w:rtl/>
              </w:rPr>
              <w:t xml:space="preserve"> </w:t>
            </w:r>
            <w:r>
              <w:rPr>
                <w:rtl/>
              </w:rPr>
              <w:t>0</w:t>
            </w:r>
          </w:p>
        </w:tc>
        <w:tc>
          <w:tcPr>
            <w:tcW w:w="830" w:type="dxa"/>
            <w:gridSpan w:val="2"/>
            <w:shd w:val="clear" w:color="auto" w:fill="auto"/>
            <w:vAlign w:val="center"/>
          </w:tcPr>
          <w:p w14:paraId="5096FF5A" w14:textId="77777777" w:rsidR="008F784F" w:rsidRDefault="008F784F" w:rsidP="0096199F">
            <w:pPr>
              <w:pStyle w:val="-3"/>
              <w:spacing w:after="20"/>
              <w:rPr>
                <w:rtl/>
              </w:rPr>
            </w:pPr>
            <w:r>
              <w:rPr>
                <w:rFonts w:hint="cs"/>
                <w:rtl/>
              </w:rPr>
              <w:t xml:space="preserve"> </w:t>
            </w:r>
            <w:r>
              <w:rPr>
                <w:rtl/>
              </w:rPr>
              <w:t>0</w:t>
            </w:r>
          </w:p>
        </w:tc>
        <w:tc>
          <w:tcPr>
            <w:tcW w:w="943" w:type="dxa"/>
            <w:shd w:val="clear" w:color="auto" w:fill="auto"/>
            <w:vAlign w:val="center"/>
          </w:tcPr>
          <w:p w14:paraId="4BCF0705" w14:textId="77777777" w:rsidR="008F784F" w:rsidRDefault="008F784F" w:rsidP="0096199F">
            <w:pPr>
              <w:pStyle w:val="-3"/>
              <w:spacing w:after="20"/>
              <w:rPr>
                <w:rtl/>
              </w:rPr>
            </w:pPr>
            <w:r>
              <w:rPr>
                <w:rFonts w:hint="cs"/>
                <w:rtl/>
              </w:rPr>
              <w:t xml:space="preserve"> </w:t>
            </w:r>
            <w:r>
              <w:rPr>
                <w:rtl/>
              </w:rPr>
              <w:t>0</w:t>
            </w:r>
          </w:p>
        </w:tc>
      </w:tr>
      <w:tr w:rsidR="008F784F" w14:paraId="23B5F9EC" w14:textId="77777777" w:rsidTr="00E63B86">
        <w:trPr>
          <w:trHeight w:hRule="exact" w:val="144"/>
        </w:trPr>
        <w:tc>
          <w:tcPr>
            <w:tcW w:w="1020" w:type="dxa"/>
            <w:shd w:val="clear" w:color="auto" w:fill="auto"/>
          </w:tcPr>
          <w:p w14:paraId="0D4A12C3" w14:textId="77777777" w:rsidR="008F784F" w:rsidRDefault="008F784F" w:rsidP="0096199F">
            <w:pPr>
              <w:pStyle w:val="-7"/>
              <w:rPr>
                <w:rtl/>
              </w:rPr>
            </w:pPr>
          </w:p>
        </w:tc>
        <w:tc>
          <w:tcPr>
            <w:tcW w:w="398" w:type="dxa"/>
            <w:shd w:val="clear" w:color="auto" w:fill="auto"/>
          </w:tcPr>
          <w:p w14:paraId="6DBE87C5" w14:textId="77777777" w:rsidR="008F784F" w:rsidRDefault="008F784F" w:rsidP="0096199F">
            <w:pPr>
              <w:pStyle w:val="-7"/>
              <w:rPr>
                <w:rtl/>
              </w:rPr>
            </w:pPr>
          </w:p>
        </w:tc>
        <w:tc>
          <w:tcPr>
            <w:tcW w:w="3479" w:type="dxa"/>
            <w:shd w:val="clear" w:color="auto" w:fill="auto"/>
            <w:vAlign w:val="bottom"/>
          </w:tcPr>
          <w:p w14:paraId="416B94F7" w14:textId="77777777" w:rsidR="008F784F" w:rsidRPr="00EC76DC" w:rsidRDefault="008F784F" w:rsidP="0096199F">
            <w:pPr>
              <w:pStyle w:val="-0"/>
              <w:spacing w:line="240" w:lineRule="auto"/>
              <w:ind w:right="288"/>
              <w:rPr>
                <w:rtl/>
              </w:rPr>
            </w:pPr>
          </w:p>
        </w:tc>
        <w:tc>
          <w:tcPr>
            <w:tcW w:w="828" w:type="dxa"/>
            <w:shd w:val="clear" w:color="auto" w:fill="auto"/>
            <w:vAlign w:val="bottom"/>
          </w:tcPr>
          <w:p w14:paraId="573EA012" w14:textId="77777777" w:rsidR="008F784F" w:rsidRDefault="008F784F" w:rsidP="0096199F">
            <w:pPr>
              <w:pStyle w:val="-3"/>
              <w:rPr>
                <w:rtl/>
              </w:rPr>
            </w:pPr>
          </w:p>
        </w:tc>
        <w:tc>
          <w:tcPr>
            <w:tcW w:w="829" w:type="dxa"/>
            <w:shd w:val="clear" w:color="auto" w:fill="auto"/>
            <w:vAlign w:val="bottom"/>
          </w:tcPr>
          <w:p w14:paraId="188FB24D" w14:textId="77777777" w:rsidR="008F784F" w:rsidRDefault="008F784F" w:rsidP="0096199F">
            <w:pPr>
              <w:pStyle w:val="-3"/>
              <w:rPr>
                <w:rtl/>
              </w:rPr>
            </w:pPr>
          </w:p>
        </w:tc>
        <w:tc>
          <w:tcPr>
            <w:tcW w:w="818" w:type="dxa"/>
            <w:shd w:val="clear" w:color="auto" w:fill="auto"/>
            <w:tcMar>
              <w:left w:w="58" w:type="dxa"/>
              <w:right w:w="58" w:type="dxa"/>
            </w:tcMar>
            <w:vAlign w:val="bottom"/>
          </w:tcPr>
          <w:p w14:paraId="5BB7ECB1" w14:textId="77777777" w:rsidR="008F784F" w:rsidRDefault="008F784F" w:rsidP="0096199F">
            <w:pPr>
              <w:pStyle w:val="-3"/>
              <w:rPr>
                <w:rtl/>
              </w:rPr>
            </w:pPr>
          </w:p>
        </w:tc>
        <w:tc>
          <w:tcPr>
            <w:tcW w:w="283" w:type="dxa"/>
            <w:shd w:val="clear" w:color="auto" w:fill="auto"/>
            <w:vAlign w:val="bottom"/>
          </w:tcPr>
          <w:p w14:paraId="3A002F66" w14:textId="77777777" w:rsidR="008F784F" w:rsidRDefault="008F784F" w:rsidP="0096199F">
            <w:pPr>
              <w:pStyle w:val="-3"/>
              <w:rPr>
                <w:rtl/>
              </w:rPr>
            </w:pPr>
          </w:p>
        </w:tc>
        <w:tc>
          <w:tcPr>
            <w:tcW w:w="806" w:type="dxa"/>
            <w:shd w:val="clear" w:color="auto" w:fill="auto"/>
            <w:vAlign w:val="bottom"/>
          </w:tcPr>
          <w:p w14:paraId="34272184" w14:textId="77777777" w:rsidR="008F784F" w:rsidRDefault="008F784F" w:rsidP="0096199F">
            <w:pPr>
              <w:pStyle w:val="-3"/>
              <w:rPr>
                <w:rtl/>
              </w:rPr>
            </w:pPr>
          </w:p>
        </w:tc>
        <w:tc>
          <w:tcPr>
            <w:tcW w:w="830" w:type="dxa"/>
            <w:gridSpan w:val="2"/>
            <w:shd w:val="clear" w:color="auto" w:fill="auto"/>
            <w:vAlign w:val="bottom"/>
          </w:tcPr>
          <w:p w14:paraId="5C3D870A" w14:textId="77777777" w:rsidR="008F784F" w:rsidRDefault="008F784F" w:rsidP="0096199F">
            <w:pPr>
              <w:pStyle w:val="-3"/>
              <w:rPr>
                <w:rtl/>
              </w:rPr>
            </w:pPr>
          </w:p>
        </w:tc>
        <w:tc>
          <w:tcPr>
            <w:tcW w:w="943" w:type="dxa"/>
            <w:shd w:val="clear" w:color="auto" w:fill="auto"/>
            <w:vAlign w:val="bottom"/>
          </w:tcPr>
          <w:p w14:paraId="3F726C6A" w14:textId="77777777" w:rsidR="008F784F" w:rsidRPr="00B023B0" w:rsidRDefault="008F784F" w:rsidP="0096199F">
            <w:pPr>
              <w:pStyle w:val="-3"/>
              <w:rPr>
                <w:noProof/>
                <w:sz w:val="16"/>
              </w:rPr>
            </w:pPr>
          </w:p>
        </w:tc>
      </w:tr>
      <w:tr w:rsidR="008F784F" w:rsidRPr="00D825A0" w14:paraId="0CBFAEE1" w14:textId="77777777" w:rsidTr="00E63B86">
        <w:trPr>
          <w:trHeight w:val="245"/>
        </w:trPr>
        <w:tc>
          <w:tcPr>
            <w:tcW w:w="1020" w:type="dxa"/>
            <w:shd w:val="clear" w:color="auto" w:fill="auto"/>
          </w:tcPr>
          <w:p w14:paraId="17419D4A" w14:textId="77777777" w:rsidR="008F784F" w:rsidRPr="00D825A0" w:rsidRDefault="008F784F" w:rsidP="0096199F">
            <w:pPr>
              <w:pStyle w:val="-7"/>
              <w:rPr>
                <w:sz w:val="18"/>
                <w:szCs w:val="18"/>
                <w:rtl/>
              </w:rPr>
            </w:pPr>
          </w:p>
        </w:tc>
        <w:tc>
          <w:tcPr>
            <w:tcW w:w="398" w:type="dxa"/>
            <w:shd w:val="clear" w:color="auto" w:fill="auto"/>
          </w:tcPr>
          <w:p w14:paraId="4B3BEF75" w14:textId="77777777" w:rsidR="008F784F" w:rsidRPr="00D825A0" w:rsidRDefault="008F784F" w:rsidP="0096199F">
            <w:pPr>
              <w:pStyle w:val="-7"/>
              <w:rPr>
                <w:sz w:val="18"/>
                <w:szCs w:val="18"/>
                <w:rtl/>
              </w:rPr>
            </w:pPr>
          </w:p>
        </w:tc>
        <w:tc>
          <w:tcPr>
            <w:tcW w:w="3479" w:type="dxa"/>
            <w:shd w:val="clear" w:color="auto" w:fill="auto"/>
            <w:vAlign w:val="bottom"/>
          </w:tcPr>
          <w:p w14:paraId="555E3198" w14:textId="7C21F810" w:rsidR="008F784F" w:rsidRPr="00E249E7" w:rsidRDefault="008F784F" w:rsidP="00E249E7">
            <w:pPr>
              <w:pStyle w:val="-21"/>
              <w:tabs>
                <w:tab w:val="left" w:pos="324"/>
                <w:tab w:val="left" w:pos="446"/>
              </w:tabs>
              <w:ind w:left="324" w:hanging="324"/>
              <w:rPr>
                <w:sz w:val="16"/>
                <w:szCs w:val="16"/>
                <w:rtl/>
              </w:rPr>
            </w:pPr>
            <w:r w:rsidRPr="00E249E7">
              <w:rPr>
                <w:sz w:val="16"/>
                <w:szCs w:val="16"/>
                <w:rtl/>
              </w:rPr>
              <w:t>(א)</w:t>
            </w:r>
            <w:r w:rsidRPr="00E249E7">
              <w:rPr>
                <w:sz w:val="16"/>
                <w:szCs w:val="16"/>
                <w:rtl/>
              </w:rPr>
              <w:tab/>
            </w:r>
            <w:r w:rsidRPr="00E249E7">
              <w:rPr>
                <w:rFonts w:hint="eastAsia"/>
                <w:sz w:val="16"/>
                <w:szCs w:val="16"/>
                <w:rtl/>
              </w:rPr>
              <w:t>מזה</w:t>
            </w:r>
            <w:r w:rsidRPr="00E249E7">
              <w:rPr>
                <w:sz w:val="16"/>
                <w:szCs w:val="16"/>
                <w:rtl/>
              </w:rPr>
              <w:t xml:space="preserve">: </w:t>
            </w:r>
            <w:r w:rsidRPr="00E249E7">
              <w:rPr>
                <w:rFonts w:hint="eastAsia"/>
                <w:sz w:val="16"/>
                <w:szCs w:val="16"/>
                <w:rtl/>
              </w:rPr>
              <w:t>ערבויות</w:t>
            </w:r>
            <w:r w:rsidRPr="00E249E7">
              <w:rPr>
                <w:sz w:val="16"/>
                <w:szCs w:val="16"/>
                <w:rtl/>
              </w:rPr>
              <w:t xml:space="preserve"> </w:t>
            </w:r>
            <w:r w:rsidRPr="00E249E7">
              <w:rPr>
                <w:rFonts w:hint="eastAsia"/>
                <w:sz w:val="16"/>
                <w:szCs w:val="16"/>
                <w:rtl/>
              </w:rPr>
              <w:t>ליתרות</w:t>
            </w:r>
            <w:r w:rsidRPr="00E249E7">
              <w:rPr>
                <w:sz w:val="16"/>
                <w:szCs w:val="16"/>
                <w:rtl/>
              </w:rPr>
              <w:t xml:space="preserve"> </w:t>
            </w:r>
            <w:r w:rsidRPr="00E249E7">
              <w:rPr>
                <w:rFonts w:hint="eastAsia"/>
                <w:sz w:val="16"/>
                <w:szCs w:val="16"/>
                <w:rtl/>
              </w:rPr>
              <w:t>חוב</w:t>
            </w:r>
            <w:r w:rsidRPr="00E249E7">
              <w:rPr>
                <w:sz w:val="16"/>
                <w:szCs w:val="16"/>
                <w:rtl/>
              </w:rPr>
              <w:t xml:space="preserve"> </w:t>
            </w:r>
            <w:r w:rsidRPr="00E249E7">
              <w:rPr>
                <w:rFonts w:hint="eastAsia"/>
                <w:sz w:val="16"/>
                <w:szCs w:val="16"/>
                <w:rtl/>
              </w:rPr>
              <w:t>הנובעות</w:t>
            </w:r>
            <w:r w:rsidRPr="00E249E7">
              <w:rPr>
                <w:sz w:val="16"/>
                <w:szCs w:val="16"/>
                <w:rtl/>
              </w:rPr>
              <w:t xml:space="preserve"> </w:t>
            </w:r>
            <w:r w:rsidRPr="00E249E7">
              <w:rPr>
                <w:rFonts w:hint="eastAsia"/>
                <w:sz w:val="16"/>
                <w:szCs w:val="16"/>
                <w:rtl/>
              </w:rPr>
              <w:t>מעסקאות</w:t>
            </w:r>
            <w:r w:rsidRPr="00E249E7">
              <w:rPr>
                <w:sz w:val="16"/>
                <w:szCs w:val="16"/>
                <w:rtl/>
              </w:rPr>
              <w:t xml:space="preserve"> </w:t>
            </w:r>
            <w:r w:rsidRPr="00E249E7">
              <w:rPr>
                <w:rFonts w:hint="eastAsia"/>
                <w:sz w:val="16"/>
                <w:szCs w:val="16"/>
                <w:rtl/>
              </w:rPr>
              <w:t>בכרטיסי</w:t>
            </w:r>
            <w:r w:rsidRPr="00E249E7">
              <w:rPr>
                <w:sz w:val="16"/>
                <w:szCs w:val="16"/>
                <w:rtl/>
              </w:rPr>
              <w:t xml:space="preserve"> </w:t>
            </w:r>
            <w:r w:rsidRPr="00E249E7">
              <w:rPr>
                <w:rFonts w:hint="eastAsia"/>
                <w:sz w:val="16"/>
                <w:szCs w:val="16"/>
                <w:rtl/>
              </w:rPr>
              <w:t>אשראי</w:t>
            </w:r>
          </w:p>
        </w:tc>
        <w:tc>
          <w:tcPr>
            <w:tcW w:w="828" w:type="dxa"/>
            <w:shd w:val="clear" w:color="auto" w:fill="auto"/>
            <w:vAlign w:val="bottom"/>
          </w:tcPr>
          <w:p w14:paraId="19A1891C" w14:textId="77777777" w:rsidR="008F784F" w:rsidRPr="00D825A0" w:rsidRDefault="008F784F" w:rsidP="0096199F">
            <w:pPr>
              <w:pStyle w:val="-3"/>
              <w:rPr>
                <w:sz w:val="18"/>
                <w:szCs w:val="18"/>
                <w:rtl/>
              </w:rPr>
            </w:pPr>
            <w:r w:rsidRPr="00CF2A74">
              <w:rPr>
                <w:sz w:val="18"/>
                <w:szCs w:val="18"/>
                <w:rtl/>
              </w:rPr>
              <w:t xml:space="preserve"> 0</w:t>
            </w:r>
          </w:p>
        </w:tc>
        <w:tc>
          <w:tcPr>
            <w:tcW w:w="829" w:type="dxa"/>
            <w:shd w:val="clear" w:color="auto" w:fill="auto"/>
            <w:vAlign w:val="bottom"/>
          </w:tcPr>
          <w:p w14:paraId="6515B86F" w14:textId="77777777" w:rsidR="008F784F" w:rsidRPr="00D825A0" w:rsidRDefault="008F784F" w:rsidP="0096199F">
            <w:pPr>
              <w:pStyle w:val="-3"/>
              <w:rPr>
                <w:sz w:val="18"/>
                <w:szCs w:val="18"/>
                <w:rtl/>
              </w:rPr>
            </w:pPr>
            <w:r w:rsidRPr="00CF2A74">
              <w:rPr>
                <w:sz w:val="18"/>
                <w:szCs w:val="18"/>
                <w:rtl/>
              </w:rPr>
              <w:t xml:space="preserve"> 0</w:t>
            </w:r>
          </w:p>
        </w:tc>
        <w:tc>
          <w:tcPr>
            <w:tcW w:w="818" w:type="dxa"/>
            <w:shd w:val="clear" w:color="auto" w:fill="auto"/>
            <w:tcMar>
              <w:left w:w="58" w:type="dxa"/>
              <w:right w:w="58" w:type="dxa"/>
            </w:tcMar>
            <w:vAlign w:val="bottom"/>
          </w:tcPr>
          <w:p w14:paraId="0D515C2F" w14:textId="77777777" w:rsidR="008F784F" w:rsidRPr="00D825A0" w:rsidRDefault="008F784F" w:rsidP="0096199F">
            <w:pPr>
              <w:pStyle w:val="-3"/>
              <w:rPr>
                <w:sz w:val="18"/>
                <w:szCs w:val="18"/>
                <w:rtl/>
              </w:rPr>
            </w:pPr>
            <w:r w:rsidRPr="00CF2A74">
              <w:rPr>
                <w:sz w:val="18"/>
                <w:szCs w:val="18"/>
                <w:rtl/>
              </w:rPr>
              <w:t xml:space="preserve"> 0</w:t>
            </w:r>
          </w:p>
        </w:tc>
        <w:tc>
          <w:tcPr>
            <w:tcW w:w="283" w:type="dxa"/>
            <w:shd w:val="clear" w:color="auto" w:fill="auto"/>
            <w:vAlign w:val="bottom"/>
          </w:tcPr>
          <w:p w14:paraId="054A3318" w14:textId="77777777" w:rsidR="008F784F" w:rsidRPr="00D825A0" w:rsidRDefault="008F784F" w:rsidP="0096199F">
            <w:pPr>
              <w:pStyle w:val="-7"/>
              <w:rPr>
                <w:sz w:val="18"/>
                <w:szCs w:val="18"/>
                <w:rtl/>
              </w:rPr>
            </w:pPr>
          </w:p>
        </w:tc>
        <w:tc>
          <w:tcPr>
            <w:tcW w:w="806" w:type="dxa"/>
            <w:shd w:val="clear" w:color="auto" w:fill="auto"/>
            <w:vAlign w:val="bottom"/>
          </w:tcPr>
          <w:p w14:paraId="0A96E628" w14:textId="77777777" w:rsidR="008F784F" w:rsidRPr="00D825A0" w:rsidRDefault="008F784F" w:rsidP="0096199F">
            <w:pPr>
              <w:pStyle w:val="-3"/>
              <w:rPr>
                <w:sz w:val="18"/>
                <w:szCs w:val="18"/>
                <w:rtl/>
              </w:rPr>
            </w:pPr>
            <w:r w:rsidRPr="00CF2A74">
              <w:rPr>
                <w:sz w:val="18"/>
                <w:szCs w:val="18"/>
                <w:rtl/>
              </w:rPr>
              <w:t xml:space="preserve"> 0</w:t>
            </w:r>
          </w:p>
        </w:tc>
        <w:tc>
          <w:tcPr>
            <w:tcW w:w="830" w:type="dxa"/>
            <w:gridSpan w:val="2"/>
            <w:shd w:val="clear" w:color="auto" w:fill="auto"/>
            <w:vAlign w:val="bottom"/>
          </w:tcPr>
          <w:p w14:paraId="5A08361D" w14:textId="77777777" w:rsidR="008F784F" w:rsidRPr="00D825A0" w:rsidRDefault="008F784F" w:rsidP="0096199F">
            <w:pPr>
              <w:pStyle w:val="-3"/>
              <w:rPr>
                <w:sz w:val="18"/>
                <w:szCs w:val="18"/>
                <w:rtl/>
              </w:rPr>
            </w:pPr>
            <w:r w:rsidRPr="00CF2A74">
              <w:rPr>
                <w:sz w:val="18"/>
                <w:szCs w:val="18"/>
                <w:rtl/>
              </w:rPr>
              <w:t xml:space="preserve"> 0</w:t>
            </w:r>
          </w:p>
        </w:tc>
        <w:tc>
          <w:tcPr>
            <w:tcW w:w="943" w:type="dxa"/>
            <w:shd w:val="clear" w:color="auto" w:fill="auto"/>
            <w:vAlign w:val="bottom"/>
          </w:tcPr>
          <w:p w14:paraId="0810EF79" w14:textId="77777777" w:rsidR="008F784F" w:rsidRPr="00D825A0" w:rsidRDefault="008F784F" w:rsidP="0096199F">
            <w:pPr>
              <w:pStyle w:val="-3"/>
              <w:rPr>
                <w:sz w:val="18"/>
                <w:szCs w:val="18"/>
                <w:rtl/>
              </w:rPr>
            </w:pPr>
            <w:r w:rsidRPr="00CF2A74">
              <w:rPr>
                <w:sz w:val="18"/>
                <w:szCs w:val="18"/>
                <w:rtl/>
              </w:rPr>
              <w:t xml:space="preserve"> 0</w:t>
            </w:r>
          </w:p>
        </w:tc>
      </w:tr>
    </w:tbl>
    <w:p w14:paraId="30A4B0E0" w14:textId="77777777" w:rsidR="008F784F" w:rsidRPr="00D825A0" w:rsidRDefault="008F784F" w:rsidP="008F784F">
      <w:pPr>
        <w:rPr>
          <w:sz w:val="18"/>
          <w:szCs w:val="18"/>
          <w:rtl/>
        </w:rPr>
      </w:pPr>
    </w:p>
    <w:tbl>
      <w:tblPr>
        <w:bidiVisual/>
        <w:tblW w:w="5000" w:type="pct"/>
        <w:tblLayout w:type="fixed"/>
        <w:tblLook w:val="0000" w:firstRow="0" w:lastRow="0" w:firstColumn="0" w:lastColumn="0" w:noHBand="0" w:noVBand="0"/>
      </w:tblPr>
      <w:tblGrid>
        <w:gridCol w:w="993"/>
        <w:gridCol w:w="425"/>
        <w:gridCol w:w="8789"/>
      </w:tblGrid>
      <w:tr w:rsidR="00E249E7" w:rsidRPr="00D825A0" w14:paraId="5AC9DD1F" w14:textId="77777777" w:rsidTr="00E63B86">
        <w:trPr>
          <w:trHeight w:val="245"/>
        </w:trPr>
        <w:tc>
          <w:tcPr>
            <w:tcW w:w="993" w:type="dxa"/>
          </w:tcPr>
          <w:p w14:paraId="392251A0" w14:textId="77777777" w:rsidR="00E249E7" w:rsidRPr="00D825A0" w:rsidRDefault="00E249E7" w:rsidP="0096199F">
            <w:pPr>
              <w:pStyle w:val="-7"/>
              <w:jc w:val="left"/>
              <w:rPr>
                <w:sz w:val="18"/>
                <w:szCs w:val="18"/>
                <w:rtl/>
              </w:rPr>
            </w:pPr>
          </w:p>
        </w:tc>
        <w:tc>
          <w:tcPr>
            <w:tcW w:w="425" w:type="dxa"/>
          </w:tcPr>
          <w:p w14:paraId="74A22F34" w14:textId="77777777" w:rsidR="00E249E7" w:rsidRPr="00D825A0" w:rsidRDefault="00E249E7" w:rsidP="0096199F">
            <w:pPr>
              <w:pStyle w:val="-7"/>
              <w:jc w:val="left"/>
              <w:rPr>
                <w:sz w:val="18"/>
                <w:szCs w:val="18"/>
                <w:rtl/>
              </w:rPr>
            </w:pPr>
          </w:p>
        </w:tc>
        <w:tc>
          <w:tcPr>
            <w:tcW w:w="8789" w:type="dxa"/>
          </w:tcPr>
          <w:p w14:paraId="720B183D" w14:textId="7B2161D4" w:rsidR="00E249E7" w:rsidRPr="00E249E7" w:rsidRDefault="00E249E7" w:rsidP="00E249E7">
            <w:pPr>
              <w:pStyle w:val="-21"/>
              <w:tabs>
                <w:tab w:val="left" w:pos="324"/>
                <w:tab w:val="left" w:pos="446"/>
              </w:tabs>
              <w:ind w:left="324" w:hanging="324"/>
              <w:rPr>
                <w:sz w:val="16"/>
                <w:szCs w:val="16"/>
                <w:rtl/>
              </w:rPr>
            </w:pPr>
            <w:r>
              <w:rPr>
                <w:rFonts w:hint="cs"/>
                <w:sz w:val="16"/>
                <w:szCs w:val="16"/>
                <w:rtl/>
              </w:rPr>
              <w:t xml:space="preserve">(ב)  </w:t>
            </w:r>
            <w:r w:rsidRPr="00E249E7">
              <w:rPr>
                <w:rFonts w:hint="eastAsia"/>
                <w:sz w:val="16"/>
                <w:szCs w:val="16"/>
                <w:rtl/>
              </w:rPr>
              <w:t>יתרות</w:t>
            </w:r>
            <w:r w:rsidRPr="00E249E7">
              <w:rPr>
                <w:sz w:val="16"/>
                <w:szCs w:val="16"/>
                <w:rtl/>
              </w:rPr>
              <w:t xml:space="preserve"> החוזים או הסכומים הנקובים שלהם לסוף </w:t>
            </w:r>
            <w:r w:rsidRPr="00E249E7">
              <w:rPr>
                <w:rFonts w:hint="eastAsia"/>
                <w:sz w:val="16"/>
                <w:szCs w:val="16"/>
                <w:rtl/>
              </w:rPr>
              <w:t>התקופה</w:t>
            </w:r>
            <w:r w:rsidRPr="00E249E7">
              <w:rPr>
                <w:sz w:val="16"/>
                <w:szCs w:val="16"/>
                <w:rtl/>
              </w:rPr>
              <w:t xml:space="preserve">, </w:t>
            </w:r>
            <w:r w:rsidRPr="00E249E7">
              <w:rPr>
                <w:rFonts w:hint="eastAsia"/>
                <w:sz w:val="16"/>
                <w:szCs w:val="16"/>
                <w:rtl/>
              </w:rPr>
              <w:t>לפני</w:t>
            </w:r>
            <w:r w:rsidRPr="00E249E7">
              <w:rPr>
                <w:sz w:val="16"/>
                <w:szCs w:val="16"/>
                <w:rtl/>
              </w:rPr>
              <w:t xml:space="preserve"> </w:t>
            </w:r>
            <w:r w:rsidRPr="00E249E7">
              <w:rPr>
                <w:rFonts w:hint="eastAsia"/>
                <w:sz w:val="16"/>
                <w:szCs w:val="16"/>
                <w:rtl/>
              </w:rPr>
              <w:t>השפעת</w:t>
            </w:r>
            <w:r w:rsidRPr="00E249E7">
              <w:rPr>
                <w:sz w:val="16"/>
                <w:szCs w:val="16"/>
                <w:rtl/>
              </w:rPr>
              <w:t xml:space="preserve"> </w:t>
            </w:r>
            <w:r w:rsidRPr="00E249E7">
              <w:rPr>
                <w:rFonts w:hint="eastAsia"/>
                <w:sz w:val="16"/>
                <w:szCs w:val="16"/>
                <w:rtl/>
              </w:rPr>
              <w:t>הפרשה</w:t>
            </w:r>
            <w:r w:rsidRPr="00E249E7">
              <w:rPr>
                <w:sz w:val="16"/>
                <w:szCs w:val="16"/>
                <w:rtl/>
              </w:rPr>
              <w:t xml:space="preserve"> </w:t>
            </w:r>
            <w:r w:rsidRPr="00E249E7">
              <w:rPr>
                <w:rFonts w:hint="eastAsia"/>
                <w:sz w:val="16"/>
                <w:szCs w:val="16"/>
                <w:rtl/>
              </w:rPr>
              <w:t>להפסדי</w:t>
            </w:r>
            <w:r w:rsidRPr="00E249E7">
              <w:rPr>
                <w:sz w:val="16"/>
                <w:szCs w:val="16"/>
                <w:rtl/>
              </w:rPr>
              <w:t xml:space="preserve"> </w:t>
            </w:r>
            <w:r w:rsidRPr="00E249E7">
              <w:rPr>
                <w:rFonts w:hint="eastAsia"/>
                <w:sz w:val="16"/>
                <w:szCs w:val="16"/>
                <w:rtl/>
              </w:rPr>
              <w:t>אשראי</w:t>
            </w:r>
            <w:r w:rsidRPr="00E249E7">
              <w:rPr>
                <w:sz w:val="16"/>
                <w:szCs w:val="16"/>
                <w:rtl/>
              </w:rPr>
              <w:t>.</w:t>
            </w:r>
          </w:p>
          <w:p w14:paraId="2EADC0CA" w14:textId="77777777" w:rsidR="00E249E7" w:rsidRPr="00E249E7" w:rsidRDefault="00E249E7" w:rsidP="0096199F">
            <w:pPr>
              <w:pStyle w:val="-a"/>
              <w:rPr>
                <w:sz w:val="16"/>
                <w:szCs w:val="16"/>
                <w:rtl/>
              </w:rPr>
            </w:pPr>
          </w:p>
        </w:tc>
      </w:tr>
    </w:tbl>
    <w:p w14:paraId="7AD0A3F7" w14:textId="316D267E" w:rsidR="00E249E7" w:rsidRDefault="00E249E7">
      <w:pPr>
        <w:rPr>
          <w:rtl/>
        </w:rPr>
      </w:pPr>
    </w:p>
    <w:p w14:paraId="436A803F" w14:textId="4E649A4F" w:rsidR="00C72691" w:rsidRDefault="00C72691">
      <w:pPr>
        <w:rPr>
          <w:rtl/>
        </w:rPr>
      </w:pPr>
    </w:p>
    <w:p w14:paraId="0480961B" w14:textId="77777777" w:rsidR="00C72691" w:rsidRDefault="00C72691"/>
    <w:tbl>
      <w:tblPr>
        <w:bidiVisual/>
        <w:tblW w:w="5063" w:type="pct"/>
        <w:jc w:val="right"/>
        <w:tblLayout w:type="fixed"/>
        <w:tblLook w:val="0000" w:firstRow="0" w:lastRow="0" w:firstColumn="0" w:lastColumn="0" w:noHBand="0" w:noVBand="0"/>
      </w:tblPr>
      <w:tblGrid>
        <w:gridCol w:w="108"/>
        <w:gridCol w:w="1016"/>
        <w:gridCol w:w="9190"/>
        <w:gridCol w:w="22"/>
      </w:tblGrid>
      <w:tr w:rsidR="00ED3D33" w:rsidRPr="007363C7" w14:paraId="658C89A7" w14:textId="77777777" w:rsidTr="00E63B86">
        <w:trPr>
          <w:gridBefore w:val="1"/>
          <w:gridAfter w:val="1"/>
          <w:wBefore w:w="108" w:type="dxa"/>
          <w:wAfter w:w="22" w:type="dxa"/>
          <w:trHeight w:val="245"/>
          <w:jc w:val="right"/>
        </w:trPr>
        <w:tc>
          <w:tcPr>
            <w:tcW w:w="1016" w:type="dxa"/>
          </w:tcPr>
          <w:p w14:paraId="01BAAA97" w14:textId="1BB27CA1" w:rsidR="00ED3D33" w:rsidRPr="00543C25" w:rsidRDefault="00ED3D33" w:rsidP="00400DD1">
            <w:pPr>
              <w:pStyle w:val="-fa"/>
              <w:spacing w:after="60"/>
              <w:rPr>
                <w:rtl/>
              </w:rPr>
            </w:pPr>
            <w:r>
              <w:rPr>
                <w:rFonts w:hint="cs"/>
                <w:rtl/>
              </w:rPr>
              <w:t>.</w:t>
            </w:r>
          </w:p>
        </w:tc>
        <w:tc>
          <w:tcPr>
            <w:tcW w:w="9190" w:type="dxa"/>
          </w:tcPr>
          <w:p w14:paraId="34D4DF70" w14:textId="678B8AEC" w:rsidR="00ED3D33" w:rsidRPr="00897732" w:rsidRDefault="00ED3D33" w:rsidP="00ED3D33">
            <w:pPr>
              <w:pStyle w:val="-f4"/>
              <w:spacing w:line="240" w:lineRule="auto"/>
              <w:jc w:val="left"/>
              <w:rPr>
                <w:rtl/>
              </w:rPr>
            </w:pPr>
            <w:r>
              <w:rPr>
                <w:rFonts w:hint="cs"/>
                <w:rtl/>
              </w:rPr>
              <w:t>ד.  ערבויות</w:t>
            </w:r>
          </w:p>
        </w:tc>
      </w:tr>
      <w:tr w:rsidR="00E249E7" w:rsidRPr="009F7CFD" w14:paraId="02A963BF" w14:textId="77777777" w:rsidTr="00E63B86">
        <w:tblPrEx>
          <w:jc w:val="left"/>
        </w:tblPrEx>
        <w:trPr>
          <w:trHeight w:val="245"/>
        </w:trPr>
        <w:tc>
          <w:tcPr>
            <w:tcW w:w="1124" w:type="dxa"/>
            <w:gridSpan w:val="2"/>
          </w:tcPr>
          <w:p w14:paraId="7AC8E249" w14:textId="77777777" w:rsidR="00E249E7" w:rsidRPr="00A23AE8" w:rsidRDefault="00E249E7" w:rsidP="00400DD1">
            <w:pPr>
              <w:pStyle w:val="-7"/>
              <w:keepLines/>
              <w:spacing w:before="60" w:after="60" w:line="240" w:lineRule="auto"/>
              <w:ind w:hanging="54"/>
              <w:jc w:val="left"/>
              <w:outlineLvl w:val="1"/>
              <w:rPr>
                <w:spacing w:val="-4"/>
                <w:sz w:val="14"/>
                <w:szCs w:val="14"/>
                <w:rtl/>
              </w:rPr>
            </w:pPr>
          </w:p>
        </w:tc>
        <w:tc>
          <w:tcPr>
            <w:tcW w:w="9212" w:type="dxa"/>
            <w:gridSpan w:val="2"/>
          </w:tcPr>
          <w:p w14:paraId="52B847DA" w14:textId="476D6561" w:rsidR="00E249E7" w:rsidRPr="009E1034" w:rsidRDefault="00E249E7" w:rsidP="00C72691">
            <w:pPr>
              <w:pStyle w:val="-10"/>
              <w:spacing w:line="240" w:lineRule="auto"/>
              <w:ind w:left="314"/>
              <w:rPr>
                <w:rtl/>
              </w:rPr>
            </w:pPr>
            <w:r>
              <w:rPr>
                <w:rtl/>
              </w:rPr>
              <w:t xml:space="preserve">הבנק מספק </w:t>
            </w:r>
            <w:r>
              <w:rPr>
                <w:rFonts w:hint="cs"/>
                <w:rtl/>
              </w:rPr>
              <w:t>סוגים</w:t>
            </w:r>
            <w:r>
              <w:rPr>
                <w:rtl/>
              </w:rPr>
              <w:t xml:space="preserve"> של ערבויות ושיפויים עבור לקוחותיו </w:t>
            </w:r>
            <w:r>
              <w:rPr>
                <w:rFonts w:hint="cs"/>
                <w:rtl/>
              </w:rPr>
              <w:t xml:space="preserve">במסגרת </w:t>
            </w:r>
            <w:r>
              <w:rPr>
                <w:rtl/>
              </w:rPr>
              <w:t>עסקות</w:t>
            </w:r>
            <w:r>
              <w:rPr>
                <w:rFonts w:hint="cs"/>
                <w:rtl/>
              </w:rPr>
              <w:t xml:space="preserve"> שונות</w:t>
            </w:r>
            <w:r>
              <w:rPr>
                <w:rtl/>
              </w:rPr>
              <w:t>. הסכום המקסימלי של התשלומים העתידיים הפוטנציאליים נקבע בהתאם לסכום הנקוב של הערבויות, מבלי לקחת בחשבון החזרים אפשריים או בטוחות מוחזקות או משועבדות</w:t>
            </w:r>
            <w:r>
              <w:rPr>
                <w:rFonts w:hint="cs"/>
                <w:rtl/>
              </w:rPr>
              <w:t>.</w:t>
            </w:r>
            <w:r>
              <w:t xml:space="preserve"> </w:t>
            </w:r>
          </w:p>
        </w:tc>
      </w:tr>
      <w:tr w:rsidR="00C72691" w:rsidRPr="009F7CFD" w14:paraId="69CF8DBE" w14:textId="77777777" w:rsidTr="00E63B86">
        <w:tblPrEx>
          <w:jc w:val="left"/>
        </w:tblPrEx>
        <w:trPr>
          <w:trHeight w:val="245"/>
        </w:trPr>
        <w:tc>
          <w:tcPr>
            <w:tcW w:w="1124" w:type="dxa"/>
            <w:gridSpan w:val="2"/>
          </w:tcPr>
          <w:p w14:paraId="5CA5E52C" w14:textId="77777777" w:rsidR="00C72691" w:rsidRPr="00A23AE8" w:rsidRDefault="00C72691" w:rsidP="00C72691">
            <w:pPr>
              <w:pStyle w:val="-7"/>
              <w:keepLines/>
              <w:spacing w:before="60" w:after="60" w:line="240" w:lineRule="auto"/>
              <w:ind w:hanging="54"/>
              <w:jc w:val="left"/>
              <w:outlineLvl w:val="1"/>
              <w:rPr>
                <w:spacing w:val="-4"/>
                <w:sz w:val="14"/>
                <w:szCs w:val="14"/>
                <w:rtl/>
              </w:rPr>
            </w:pPr>
          </w:p>
        </w:tc>
        <w:tc>
          <w:tcPr>
            <w:tcW w:w="9212" w:type="dxa"/>
            <w:gridSpan w:val="2"/>
          </w:tcPr>
          <w:p w14:paraId="6355B361" w14:textId="70CBB472" w:rsidR="00C72691" w:rsidRDefault="00C72691" w:rsidP="00C72691">
            <w:pPr>
              <w:pStyle w:val="-10"/>
              <w:spacing w:line="240" w:lineRule="auto"/>
              <w:ind w:left="314"/>
              <w:rPr>
                <w:rtl/>
              </w:rPr>
            </w:pPr>
            <w:r w:rsidRPr="0068359B">
              <w:rPr>
                <w:rFonts w:hint="cs"/>
                <w:sz w:val="18"/>
                <w:szCs w:val="18"/>
                <w:rtl/>
              </w:rPr>
              <w:t>[הסדרי חזרה ו</w:t>
            </w:r>
            <w:r w:rsidRPr="0068359B">
              <w:rPr>
                <w:sz w:val="18"/>
                <w:szCs w:val="18"/>
                <w:rtl/>
              </w:rPr>
              <w:t>בטו</w:t>
            </w:r>
            <w:r w:rsidRPr="0068359B">
              <w:rPr>
                <w:rFonts w:hint="cs"/>
                <w:sz w:val="18"/>
                <w:szCs w:val="18"/>
                <w:rtl/>
              </w:rPr>
              <w:t>חו</w:t>
            </w:r>
            <w:r w:rsidRPr="0068359B">
              <w:rPr>
                <w:sz w:val="18"/>
                <w:szCs w:val="18"/>
                <w:rtl/>
              </w:rPr>
              <w:t>ת</w:t>
            </w:r>
            <w:r w:rsidRPr="0068359B">
              <w:rPr>
                <w:rFonts w:hint="cs"/>
                <w:sz w:val="18"/>
                <w:szCs w:val="18"/>
                <w:rtl/>
              </w:rPr>
              <w:t>:</w:t>
            </w:r>
            <w:r w:rsidRPr="0068359B">
              <w:rPr>
                <w:sz w:val="18"/>
                <w:szCs w:val="18"/>
                <w:vertAlign w:val="superscript"/>
                <w:rtl/>
              </w:rPr>
              <w:t>[</w:t>
            </w:r>
            <w:r w:rsidRPr="0068359B">
              <w:rPr>
                <w:sz w:val="18"/>
                <w:szCs w:val="18"/>
                <w:vertAlign w:val="superscript"/>
                <w:rtl/>
              </w:rPr>
              <w:footnoteReference w:id="109"/>
            </w:r>
            <w:r w:rsidRPr="0068359B">
              <w:rPr>
                <w:sz w:val="18"/>
                <w:szCs w:val="18"/>
                <w:vertAlign w:val="superscript"/>
                <w:rtl/>
              </w:rPr>
              <w:t>][</w:t>
            </w:r>
            <w:r w:rsidRPr="0068359B">
              <w:rPr>
                <w:sz w:val="18"/>
                <w:szCs w:val="18"/>
                <w:vertAlign w:val="superscript"/>
                <w:rtl/>
              </w:rPr>
              <w:footnoteReference w:id="110"/>
            </w:r>
            <w:r w:rsidRPr="0068359B">
              <w:rPr>
                <w:sz w:val="18"/>
                <w:szCs w:val="18"/>
                <w:vertAlign w:val="superscript"/>
                <w:rtl/>
              </w:rPr>
              <w:t>]</w:t>
            </w:r>
            <w:r w:rsidRPr="0068359B">
              <w:rPr>
                <w:rFonts w:hint="cs"/>
                <w:sz w:val="18"/>
                <w:szCs w:val="18"/>
                <w:rtl/>
              </w:rPr>
              <w:t xml:space="preserve"> ככל שרלוונטי יינתן גילוי</w:t>
            </w:r>
            <w:r w:rsidRPr="0068359B">
              <w:rPr>
                <w:rFonts w:hint="cs"/>
                <w:color w:val="000000"/>
                <w:sz w:val="18"/>
                <w:szCs w:val="18"/>
                <w:rtl/>
                <w:lang w:eastAsia="he-IL"/>
              </w:rPr>
              <w:t>]</w:t>
            </w:r>
          </w:p>
        </w:tc>
      </w:tr>
    </w:tbl>
    <w:p w14:paraId="08BDCB1C" w14:textId="77777777" w:rsidR="00C72691" w:rsidRDefault="00C72691"/>
    <w:p w14:paraId="74974110" w14:textId="77777777" w:rsidR="00ED3D33" w:rsidRDefault="00ED3D33"/>
    <w:p w14:paraId="480B2D16" w14:textId="77777777" w:rsidR="00E249E7" w:rsidRPr="00E249E7" w:rsidRDefault="00E249E7"/>
    <w:p w14:paraId="44FF6AE3" w14:textId="77777777" w:rsidR="00E249E7" w:rsidRDefault="00E249E7">
      <w:pPr>
        <w:bidi w:val="0"/>
        <w:jc w:val="left"/>
      </w:pPr>
      <w:r>
        <w:rPr>
          <w:rtl/>
        </w:rPr>
        <w:br w:type="page"/>
      </w:r>
    </w:p>
    <w:tbl>
      <w:tblPr>
        <w:bidiVisual/>
        <w:tblW w:w="5035" w:type="pct"/>
        <w:tblLayout w:type="fixed"/>
        <w:tblLook w:val="04A0" w:firstRow="1" w:lastRow="0" w:firstColumn="1" w:lastColumn="0" w:noHBand="0" w:noVBand="1"/>
      </w:tblPr>
      <w:tblGrid>
        <w:gridCol w:w="10"/>
        <w:gridCol w:w="1052"/>
        <w:gridCol w:w="498"/>
        <w:gridCol w:w="67"/>
        <w:gridCol w:w="2696"/>
        <w:gridCol w:w="992"/>
        <w:gridCol w:w="1134"/>
        <w:gridCol w:w="1134"/>
        <w:gridCol w:w="993"/>
        <w:gridCol w:w="679"/>
        <w:gridCol w:w="29"/>
        <w:gridCol w:w="903"/>
        <w:gridCol w:w="20"/>
        <w:gridCol w:w="71"/>
      </w:tblGrid>
      <w:tr w:rsidR="00ED3D33" w:rsidRPr="00543C25" w14:paraId="37955F45" w14:textId="77777777" w:rsidTr="00664B1B">
        <w:trPr>
          <w:gridAfter w:val="1"/>
          <w:wAfter w:w="71" w:type="dxa"/>
          <w:trHeight w:val="259"/>
        </w:trPr>
        <w:tc>
          <w:tcPr>
            <w:tcW w:w="1062" w:type="dxa"/>
            <w:gridSpan w:val="2"/>
          </w:tcPr>
          <w:p w14:paraId="4FA2460E" w14:textId="77777777" w:rsidR="00ED3D33" w:rsidRPr="008F784F" w:rsidRDefault="00ED3D33" w:rsidP="00400DD1">
            <w:pPr>
              <w:pStyle w:val="-fa"/>
              <w:spacing w:before="0" w:after="60"/>
              <w:rPr>
                <w:rtl/>
              </w:rPr>
            </w:pPr>
          </w:p>
        </w:tc>
        <w:tc>
          <w:tcPr>
            <w:tcW w:w="9145" w:type="dxa"/>
            <w:gridSpan w:val="11"/>
          </w:tcPr>
          <w:p w14:paraId="1F666DF7" w14:textId="77777777" w:rsidR="00ED3D33" w:rsidRDefault="00ED3D33" w:rsidP="00400DD1">
            <w:pPr>
              <w:pStyle w:val="-8"/>
              <w:rPr>
                <w:rtl/>
              </w:rPr>
            </w:pPr>
            <w:r w:rsidRPr="00CF2A74">
              <w:rPr>
                <w:rtl/>
              </w:rPr>
              <w:t xml:space="preserve">ביאור </w:t>
            </w:r>
            <w:r>
              <w:rPr>
                <w:rFonts w:hint="cs"/>
                <w:rtl/>
              </w:rPr>
              <w:t>12</w:t>
            </w:r>
            <w:r w:rsidRPr="00CF2A74">
              <w:rPr>
                <w:rtl/>
              </w:rPr>
              <w:t xml:space="preserve">  -  </w:t>
            </w:r>
            <w:r>
              <w:rPr>
                <w:rFonts w:hint="cs"/>
                <w:rtl/>
              </w:rPr>
              <w:t xml:space="preserve">מידע נוסף על </w:t>
            </w:r>
            <w:r w:rsidRPr="00CF2A74">
              <w:rPr>
                <w:rtl/>
              </w:rPr>
              <w:t>סיכון אשראי, אשראי לציבור והפרשה להפסדי אשראי</w:t>
            </w:r>
            <w:r>
              <w:rPr>
                <w:rFonts w:hint="cs"/>
                <w:rtl/>
              </w:rPr>
              <w:t xml:space="preserve"> (המשך):</w:t>
            </w:r>
          </w:p>
        </w:tc>
      </w:tr>
      <w:tr w:rsidR="00ED3D33" w:rsidRPr="007363C7" w14:paraId="61EEF5E0" w14:textId="77777777" w:rsidTr="00664B1B">
        <w:tblPrEx>
          <w:jc w:val="right"/>
          <w:tblLook w:val="0000" w:firstRow="0" w:lastRow="0" w:firstColumn="0" w:lastColumn="0" w:noHBand="0" w:noVBand="0"/>
        </w:tblPrEx>
        <w:trPr>
          <w:gridAfter w:val="1"/>
          <w:wAfter w:w="71" w:type="dxa"/>
          <w:trHeight w:val="245"/>
          <w:jc w:val="right"/>
        </w:trPr>
        <w:tc>
          <w:tcPr>
            <w:tcW w:w="1062" w:type="dxa"/>
            <w:gridSpan w:val="2"/>
          </w:tcPr>
          <w:p w14:paraId="787498EE" w14:textId="3737CB73" w:rsidR="00ED3D33" w:rsidRPr="00543C25" w:rsidRDefault="00ED3D33" w:rsidP="00400DD1">
            <w:pPr>
              <w:pStyle w:val="-fa"/>
              <w:spacing w:after="60"/>
              <w:rPr>
                <w:rtl/>
              </w:rPr>
            </w:pPr>
          </w:p>
        </w:tc>
        <w:tc>
          <w:tcPr>
            <w:tcW w:w="498" w:type="dxa"/>
          </w:tcPr>
          <w:p w14:paraId="2C1BCB83" w14:textId="2E341347" w:rsidR="00ED3D33" w:rsidRPr="00543C25" w:rsidRDefault="00ED3D33" w:rsidP="00400DD1">
            <w:pPr>
              <w:pStyle w:val="-f4"/>
              <w:spacing w:line="240" w:lineRule="auto"/>
              <w:jc w:val="left"/>
              <w:rPr>
                <w:rtl/>
              </w:rPr>
            </w:pPr>
            <w:r>
              <w:rPr>
                <w:rFonts w:hint="cs"/>
                <w:rtl/>
              </w:rPr>
              <w:t xml:space="preserve">ד. </w:t>
            </w:r>
          </w:p>
        </w:tc>
        <w:tc>
          <w:tcPr>
            <w:tcW w:w="8647" w:type="dxa"/>
            <w:gridSpan w:val="10"/>
          </w:tcPr>
          <w:p w14:paraId="415B2D8B" w14:textId="50B4801F" w:rsidR="00ED3D33" w:rsidRPr="00897732" w:rsidRDefault="00ED3D33" w:rsidP="00400DD1">
            <w:pPr>
              <w:pStyle w:val="-f4"/>
              <w:spacing w:line="240" w:lineRule="auto"/>
              <w:jc w:val="left"/>
              <w:rPr>
                <w:rtl/>
              </w:rPr>
            </w:pPr>
            <w:r>
              <w:rPr>
                <w:rFonts w:hint="cs"/>
                <w:rtl/>
              </w:rPr>
              <w:t>ערבויות (המשך):</w:t>
            </w:r>
          </w:p>
        </w:tc>
      </w:tr>
      <w:tr w:rsidR="00C72691" w:rsidRPr="009F7CFD" w14:paraId="4709A7A4" w14:textId="77777777" w:rsidTr="00664B1B">
        <w:tblPrEx>
          <w:tblLook w:val="0000" w:firstRow="0" w:lastRow="0" w:firstColumn="0" w:lastColumn="0" w:noHBand="0" w:noVBand="0"/>
        </w:tblPrEx>
        <w:trPr>
          <w:gridAfter w:val="2"/>
          <w:wAfter w:w="91" w:type="dxa"/>
          <w:trHeight w:val="245"/>
        </w:trPr>
        <w:tc>
          <w:tcPr>
            <w:tcW w:w="1062" w:type="dxa"/>
            <w:gridSpan w:val="2"/>
          </w:tcPr>
          <w:p w14:paraId="4A6630D4" w14:textId="77777777" w:rsidR="00C72691" w:rsidRPr="00A23AE8" w:rsidRDefault="00C72691" w:rsidP="00400DD1">
            <w:pPr>
              <w:pStyle w:val="-7"/>
              <w:keepLines/>
              <w:spacing w:before="60" w:after="60" w:line="240" w:lineRule="auto"/>
              <w:ind w:hanging="54"/>
              <w:jc w:val="left"/>
              <w:outlineLvl w:val="1"/>
              <w:rPr>
                <w:spacing w:val="-4"/>
                <w:sz w:val="14"/>
                <w:szCs w:val="14"/>
                <w:rtl/>
              </w:rPr>
            </w:pPr>
          </w:p>
        </w:tc>
        <w:tc>
          <w:tcPr>
            <w:tcW w:w="9125" w:type="dxa"/>
            <w:gridSpan w:val="10"/>
          </w:tcPr>
          <w:p w14:paraId="4D6C190B" w14:textId="77777777" w:rsidR="00C72691" w:rsidRPr="00F45DAC" w:rsidRDefault="00C72691" w:rsidP="00C72691">
            <w:pPr>
              <w:pStyle w:val="-10"/>
              <w:spacing w:line="240" w:lineRule="auto"/>
              <w:ind w:left="606"/>
              <w:rPr>
                <w:b/>
                <w:bCs/>
                <w:rtl/>
              </w:rPr>
            </w:pPr>
            <w:r w:rsidRPr="00F45DAC">
              <w:rPr>
                <w:rFonts w:hint="cs"/>
                <w:rtl/>
              </w:rPr>
              <w:t>להלן פרטים</w:t>
            </w:r>
            <w:r w:rsidRPr="00F45DAC">
              <w:rPr>
                <w:rtl/>
              </w:rPr>
              <w:t xml:space="preserve"> </w:t>
            </w:r>
            <w:r w:rsidRPr="00F45DAC">
              <w:rPr>
                <w:rFonts w:hint="cs"/>
                <w:rtl/>
              </w:rPr>
              <w:t>בדבר</w:t>
            </w:r>
            <w:r w:rsidRPr="00F45DAC">
              <w:rPr>
                <w:rtl/>
              </w:rPr>
              <w:t xml:space="preserve"> </w:t>
            </w:r>
            <w:r w:rsidRPr="00F45DAC">
              <w:rPr>
                <w:rFonts w:hint="cs"/>
                <w:rtl/>
              </w:rPr>
              <w:t>סכום החשיפה המקסימלית להפסד</w:t>
            </w:r>
            <w:r w:rsidRPr="00F735CB">
              <w:rPr>
                <w:rFonts w:hint="cs"/>
                <w:vertAlign w:val="superscript"/>
                <w:rtl/>
              </w:rPr>
              <w:t>[</w:t>
            </w:r>
            <w:r w:rsidRPr="00F735CB">
              <w:rPr>
                <w:rStyle w:val="a7"/>
                <w:rtl/>
              </w:rPr>
              <w:footnoteReference w:id="111"/>
            </w:r>
            <w:r w:rsidRPr="00F735CB">
              <w:rPr>
                <w:rFonts w:hint="cs"/>
                <w:vertAlign w:val="superscript"/>
                <w:rtl/>
              </w:rPr>
              <w:t>]</w:t>
            </w:r>
            <w:r w:rsidRPr="00F45DAC">
              <w:rPr>
                <w:rFonts w:hint="cs"/>
                <w:rtl/>
              </w:rPr>
              <w:t xml:space="preserve"> </w:t>
            </w:r>
            <w:r>
              <w:rPr>
                <w:rFonts w:hint="cs"/>
                <w:rtl/>
              </w:rPr>
              <w:t>וסכום ההתחייבות</w:t>
            </w:r>
            <w:r w:rsidRPr="00F735CB">
              <w:rPr>
                <w:rFonts w:hint="cs"/>
                <w:vertAlign w:val="superscript"/>
                <w:rtl/>
              </w:rPr>
              <w:t>[</w:t>
            </w:r>
            <w:r w:rsidRPr="00F735CB">
              <w:rPr>
                <w:rStyle w:val="a7"/>
                <w:rtl/>
              </w:rPr>
              <w:footnoteReference w:id="112"/>
            </w:r>
            <w:r w:rsidRPr="00F735CB">
              <w:rPr>
                <w:rFonts w:hint="cs"/>
                <w:vertAlign w:val="superscript"/>
                <w:rtl/>
              </w:rPr>
              <w:t>]</w:t>
            </w:r>
            <w:r>
              <w:rPr>
                <w:rFonts w:hint="cs"/>
                <w:rtl/>
              </w:rPr>
              <w:t xml:space="preserve"> בספרים </w:t>
            </w:r>
            <w:r w:rsidRPr="005F087E">
              <w:rPr>
                <w:rFonts w:hint="cs"/>
                <w:i/>
                <w:iCs/>
                <w:sz w:val="16"/>
                <w:szCs w:val="16"/>
                <w:rtl/>
              </w:rPr>
              <w:t xml:space="preserve">(אם קיימת) </w:t>
            </w:r>
            <w:r w:rsidRPr="00F45DAC">
              <w:rPr>
                <w:rFonts w:hint="cs"/>
                <w:rtl/>
              </w:rPr>
              <w:t xml:space="preserve">בגין </w:t>
            </w:r>
            <w:r>
              <w:rPr>
                <w:rFonts w:hint="cs"/>
                <w:rtl/>
              </w:rPr>
              <w:t xml:space="preserve">מחויבויות התאגיד הבנקאי במסגרת </w:t>
            </w:r>
            <w:r w:rsidRPr="00F45DAC">
              <w:rPr>
                <w:rFonts w:hint="cs"/>
                <w:rtl/>
              </w:rPr>
              <w:t>ערבויות:</w:t>
            </w:r>
          </w:p>
        </w:tc>
      </w:tr>
      <w:tr w:rsidR="00ED3D33" w:rsidRPr="00F45DAC" w14:paraId="6CEC0EFA" w14:textId="77777777" w:rsidTr="00664B1B">
        <w:tblPrEx>
          <w:tblLook w:val="01E0" w:firstRow="1" w:lastRow="1" w:firstColumn="1" w:lastColumn="1" w:noHBand="0" w:noVBand="0"/>
        </w:tblPrEx>
        <w:trPr>
          <w:gridBefore w:val="1"/>
          <w:wBefore w:w="10" w:type="dxa"/>
        </w:trPr>
        <w:tc>
          <w:tcPr>
            <w:tcW w:w="1617" w:type="dxa"/>
            <w:gridSpan w:val="3"/>
          </w:tcPr>
          <w:p w14:paraId="7334BD35" w14:textId="77777777" w:rsidR="00ED3D33" w:rsidRPr="00BB7ED1" w:rsidRDefault="00ED3D33" w:rsidP="00400DD1">
            <w:pPr>
              <w:widowControl w:val="0"/>
              <w:overflowPunct w:val="0"/>
              <w:autoSpaceDE w:val="0"/>
              <w:autoSpaceDN w:val="0"/>
              <w:adjustRightInd w:val="0"/>
              <w:jc w:val="center"/>
              <w:textAlignment w:val="baseline"/>
              <w:rPr>
                <w:rFonts w:eastAsia="Calibri"/>
                <w:rtl/>
              </w:rPr>
            </w:pPr>
          </w:p>
        </w:tc>
        <w:tc>
          <w:tcPr>
            <w:tcW w:w="2696" w:type="dxa"/>
          </w:tcPr>
          <w:p w14:paraId="494B92AA" w14:textId="77777777" w:rsidR="00ED3D33" w:rsidRPr="00BB7ED1" w:rsidRDefault="00ED3D33" w:rsidP="00400DD1">
            <w:pPr>
              <w:widowControl w:val="0"/>
              <w:overflowPunct w:val="0"/>
              <w:autoSpaceDE w:val="0"/>
              <w:autoSpaceDN w:val="0"/>
              <w:adjustRightInd w:val="0"/>
              <w:jc w:val="center"/>
              <w:textAlignment w:val="baseline"/>
              <w:rPr>
                <w:rFonts w:eastAsia="Calibri"/>
                <w:rtl/>
              </w:rPr>
            </w:pPr>
          </w:p>
        </w:tc>
        <w:tc>
          <w:tcPr>
            <w:tcW w:w="5955" w:type="dxa"/>
            <w:gridSpan w:val="9"/>
            <w:vAlign w:val="bottom"/>
          </w:tcPr>
          <w:p w14:paraId="734659B3" w14:textId="0053CD13"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sz w:val="18"/>
                <w:szCs w:val="18"/>
                <w:rtl/>
              </w:rPr>
            </w:pPr>
            <w:r w:rsidRPr="003B3192">
              <w:rPr>
                <w:rFonts w:eastAsia="Calibri" w:hint="cs"/>
                <w:b/>
                <w:bCs/>
                <w:sz w:val="18"/>
                <w:szCs w:val="18"/>
                <w:rtl/>
              </w:rPr>
              <w:t xml:space="preserve">ליום 30 ביוני </w:t>
            </w:r>
            <w:r w:rsidRPr="003B3192">
              <w:rPr>
                <w:b/>
                <w:bCs/>
                <w:sz w:val="18"/>
                <w:szCs w:val="18"/>
                <w:rtl/>
              </w:rPr>
              <w:fldChar w:fldCharType="begin"/>
            </w:r>
            <w:r w:rsidRPr="003B3192">
              <w:rPr>
                <w:b/>
                <w:bCs/>
                <w:sz w:val="18"/>
                <w:szCs w:val="18"/>
                <w:rtl/>
              </w:rPr>
              <w:instrText xml:space="preserve"> </w:instrText>
            </w:r>
            <w:r w:rsidRPr="003B3192">
              <w:rPr>
                <w:rFonts w:hint="cs"/>
                <w:b/>
                <w:bCs/>
                <w:sz w:val="18"/>
                <w:szCs w:val="18"/>
                <w:rtl/>
              </w:rPr>
              <w:instrText xml:space="preserve">= </w:instrText>
            </w:r>
            <w:r w:rsidRPr="003B3192">
              <w:rPr>
                <w:rFonts w:hint="cs"/>
                <w:b/>
                <w:bCs/>
                <w:sz w:val="18"/>
                <w:szCs w:val="18"/>
              </w:rPr>
              <w:instrText>CY \* MERGEFORMAT</w:instrText>
            </w:r>
            <w:r w:rsidRPr="003B3192">
              <w:rPr>
                <w:b/>
                <w:bCs/>
                <w:sz w:val="18"/>
                <w:szCs w:val="18"/>
                <w:rtl/>
              </w:rPr>
              <w:instrText xml:space="preserve"> </w:instrText>
            </w:r>
            <w:r w:rsidRPr="003B3192">
              <w:rPr>
                <w:b/>
                <w:bCs/>
                <w:sz w:val="18"/>
                <w:szCs w:val="18"/>
                <w:rtl/>
              </w:rPr>
              <w:fldChar w:fldCharType="separate"/>
            </w:r>
            <w:r w:rsidR="003A584F">
              <w:rPr>
                <w:b/>
                <w:bCs/>
                <w:noProof/>
                <w:sz w:val="18"/>
                <w:szCs w:val="18"/>
                <w:rtl/>
              </w:rPr>
              <w:t>2024</w:t>
            </w:r>
            <w:r w:rsidRPr="003B3192">
              <w:rPr>
                <w:b/>
                <w:bCs/>
                <w:sz w:val="18"/>
                <w:szCs w:val="18"/>
                <w:rtl/>
              </w:rPr>
              <w:fldChar w:fldCharType="end"/>
            </w:r>
            <w:r w:rsidRPr="003B3192">
              <w:rPr>
                <w:rFonts w:hint="cs"/>
                <w:sz w:val="18"/>
                <w:szCs w:val="18"/>
                <w:rtl/>
              </w:rPr>
              <w:t xml:space="preserve"> </w:t>
            </w:r>
            <w:r w:rsidRPr="001F0989">
              <w:rPr>
                <w:rFonts w:eastAsia="Calibri" w:hint="cs"/>
                <w:sz w:val="18"/>
                <w:szCs w:val="18"/>
                <w:rtl/>
              </w:rPr>
              <w:t>(בלתי מבוקר)</w:t>
            </w:r>
          </w:p>
        </w:tc>
      </w:tr>
      <w:tr w:rsidR="00ED3D33" w:rsidRPr="00F45DAC" w14:paraId="36927319" w14:textId="77777777" w:rsidTr="00664B1B">
        <w:tblPrEx>
          <w:tblLook w:val="01E0" w:firstRow="1" w:lastRow="1" w:firstColumn="1" w:lastColumn="1" w:noHBand="0" w:noVBand="0"/>
        </w:tblPrEx>
        <w:trPr>
          <w:gridBefore w:val="1"/>
          <w:wBefore w:w="10" w:type="dxa"/>
        </w:trPr>
        <w:tc>
          <w:tcPr>
            <w:tcW w:w="1617" w:type="dxa"/>
            <w:gridSpan w:val="3"/>
          </w:tcPr>
          <w:p w14:paraId="37077CD7" w14:textId="77777777" w:rsidR="00ED3D33" w:rsidRPr="00BB7ED1" w:rsidRDefault="00ED3D33" w:rsidP="00400DD1">
            <w:pPr>
              <w:widowControl w:val="0"/>
              <w:overflowPunct w:val="0"/>
              <w:autoSpaceDE w:val="0"/>
              <w:autoSpaceDN w:val="0"/>
              <w:adjustRightInd w:val="0"/>
              <w:jc w:val="center"/>
              <w:textAlignment w:val="baseline"/>
              <w:rPr>
                <w:rFonts w:eastAsia="Calibri"/>
                <w:rtl/>
              </w:rPr>
            </w:pPr>
          </w:p>
        </w:tc>
        <w:tc>
          <w:tcPr>
            <w:tcW w:w="2696" w:type="dxa"/>
          </w:tcPr>
          <w:p w14:paraId="354D0CDD" w14:textId="77777777" w:rsidR="00ED3D33" w:rsidRPr="00BB7ED1" w:rsidRDefault="00ED3D33" w:rsidP="00400DD1">
            <w:pPr>
              <w:widowControl w:val="0"/>
              <w:overflowPunct w:val="0"/>
              <w:autoSpaceDE w:val="0"/>
              <w:autoSpaceDN w:val="0"/>
              <w:adjustRightInd w:val="0"/>
              <w:jc w:val="center"/>
              <w:textAlignment w:val="baseline"/>
              <w:rPr>
                <w:rFonts w:eastAsia="Calibri"/>
                <w:rtl/>
              </w:rPr>
            </w:pPr>
          </w:p>
        </w:tc>
        <w:tc>
          <w:tcPr>
            <w:tcW w:w="4961" w:type="dxa"/>
            <w:gridSpan w:val="6"/>
            <w:vAlign w:val="bottom"/>
          </w:tcPr>
          <w:p w14:paraId="67F33C12" w14:textId="77777777"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sz w:val="18"/>
                <w:szCs w:val="18"/>
                <w:rtl/>
              </w:rPr>
            </w:pPr>
            <w:r w:rsidRPr="003B3192">
              <w:rPr>
                <w:rFonts w:eastAsia="Calibri" w:hint="cs"/>
                <w:b/>
                <w:bCs/>
                <w:sz w:val="18"/>
                <w:szCs w:val="18"/>
                <w:rtl/>
              </w:rPr>
              <w:t>הסכום המקסימלי של תשלומים עתידיים פוטנציאליים</w:t>
            </w:r>
          </w:p>
        </w:tc>
        <w:tc>
          <w:tcPr>
            <w:tcW w:w="994" w:type="dxa"/>
            <w:gridSpan w:val="3"/>
            <w:vAlign w:val="bottom"/>
          </w:tcPr>
          <w:p w14:paraId="79546ACF" w14:textId="77777777" w:rsidR="00ED3D33" w:rsidRPr="003B3192" w:rsidRDefault="00ED3D33" w:rsidP="00400DD1">
            <w:pPr>
              <w:widowControl w:val="0"/>
              <w:overflowPunct w:val="0"/>
              <w:autoSpaceDE w:val="0"/>
              <w:autoSpaceDN w:val="0"/>
              <w:adjustRightInd w:val="0"/>
              <w:ind w:left="57" w:right="57"/>
              <w:jc w:val="center"/>
              <w:textAlignment w:val="baseline"/>
              <w:rPr>
                <w:rFonts w:eastAsia="Calibri"/>
                <w:sz w:val="18"/>
                <w:szCs w:val="18"/>
                <w:rtl/>
              </w:rPr>
            </w:pPr>
          </w:p>
        </w:tc>
      </w:tr>
      <w:tr w:rsidR="00ED3D33" w:rsidRPr="00F45DAC" w14:paraId="2C0F2522" w14:textId="77777777" w:rsidTr="00664B1B">
        <w:tblPrEx>
          <w:tblLook w:val="01E0" w:firstRow="1" w:lastRow="1" w:firstColumn="1" w:lastColumn="1" w:noHBand="0" w:noVBand="0"/>
        </w:tblPrEx>
        <w:trPr>
          <w:gridBefore w:val="1"/>
          <w:wBefore w:w="10" w:type="dxa"/>
        </w:trPr>
        <w:tc>
          <w:tcPr>
            <w:tcW w:w="1617" w:type="dxa"/>
            <w:gridSpan w:val="3"/>
          </w:tcPr>
          <w:p w14:paraId="2B564F24" w14:textId="77777777" w:rsidR="00ED3D33" w:rsidRPr="00BB7ED1" w:rsidRDefault="00ED3D33" w:rsidP="00400DD1">
            <w:pPr>
              <w:widowControl w:val="0"/>
              <w:overflowPunct w:val="0"/>
              <w:autoSpaceDE w:val="0"/>
              <w:autoSpaceDN w:val="0"/>
              <w:adjustRightInd w:val="0"/>
              <w:jc w:val="center"/>
              <w:textAlignment w:val="baseline"/>
              <w:rPr>
                <w:rFonts w:eastAsia="Calibri"/>
                <w:rtl/>
              </w:rPr>
            </w:pPr>
          </w:p>
        </w:tc>
        <w:tc>
          <w:tcPr>
            <w:tcW w:w="2696" w:type="dxa"/>
          </w:tcPr>
          <w:p w14:paraId="2926CF60" w14:textId="77777777" w:rsidR="00ED3D33" w:rsidRPr="00BB7ED1" w:rsidRDefault="00ED3D33" w:rsidP="00400DD1">
            <w:pPr>
              <w:widowControl w:val="0"/>
              <w:overflowPunct w:val="0"/>
              <w:autoSpaceDE w:val="0"/>
              <w:autoSpaceDN w:val="0"/>
              <w:adjustRightInd w:val="0"/>
              <w:jc w:val="center"/>
              <w:textAlignment w:val="baseline"/>
              <w:rPr>
                <w:rFonts w:eastAsia="Calibri"/>
                <w:rtl/>
              </w:rPr>
            </w:pPr>
          </w:p>
        </w:tc>
        <w:tc>
          <w:tcPr>
            <w:tcW w:w="992" w:type="dxa"/>
            <w:vAlign w:val="bottom"/>
          </w:tcPr>
          <w:p w14:paraId="50EE71A9" w14:textId="77777777"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pacing w:val="-8"/>
                <w:sz w:val="18"/>
                <w:szCs w:val="18"/>
                <w:rtl/>
              </w:rPr>
              <w:t>פקיעה שנה או פחות</w:t>
            </w:r>
          </w:p>
        </w:tc>
        <w:tc>
          <w:tcPr>
            <w:tcW w:w="1134" w:type="dxa"/>
            <w:vAlign w:val="bottom"/>
          </w:tcPr>
          <w:p w14:paraId="668B4DCA" w14:textId="77777777"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פקיעה לאחר שנה ועד 3 שנים</w:t>
            </w:r>
          </w:p>
        </w:tc>
        <w:tc>
          <w:tcPr>
            <w:tcW w:w="1134" w:type="dxa"/>
            <w:vAlign w:val="bottom"/>
          </w:tcPr>
          <w:p w14:paraId="09341FB8" w14:textId="77777777"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פקיעה לאחר 3 עד 5 שנים</w:t>
            </w:r>
          </w:p>
        </w:tc>
        <w:tc>
          <w:tcPr>
            <w:tcW w:w="993" w:type="dxa"/>
            <w:vAlign w:val="bottom"/>
          </w:tcPr>
          <w:p w14:paraId="2FB18773" w14:textId="77777777"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פקיעה לאחר 5 שנים</w:t>
            </w:r>
          </w:p>
        </w:tc>
        <w:tc>
          <w:tcPr>
            <w:tcW w:w="708" w:type="dxa"/>
            <w:gridSpan w:val="2"/>
            <w:vAlign w:val="bottom"/>
          </w:tcPr>
          <w:p w14:paraId="48A603B2" w14:textId="77777777"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סך הכל</w:t>
            </w:r>
          </w:p>
        </w:tc>
        <w:tc>
          <w:tcPr>
            <w:tcW w:w="994" w:type="dxa"/>
            <w:gridSpan w:val="3"/>
            <w:vAlign w:val="bottom"/>
          </w:tcPr>
          <w:p w14:paraId="23E890FE" w14:textId="77777777"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הערך בספרים</w:t>
            </w:r>
          </w:p>
        </w:tc>
      </w:tr>
      <w:tr w:rsidR="00ED3D33" w:rsidRPr="00F45DAC" w14:paraId="0358DC0F" w14:textId="77777777" w:rsidTr="00664B1B">
        <w:tblPrEx>
          <w:tblLook w:val="01E0" w:firstRow="1" w:lastRow="1" w:firstColumn="1" w:lastColumn="1" w:noHBand="0" w:noVBand="0"/>
        </w:tblPrEx>
        <w:trPr>
          <w:gridBefore w:val="1"/>
          <w:wBefore w:w="10" w:type="dxa"/>
        </w:trPr>
        <w:tc>
          <w:tcPr>
            <w:tcW w:w="1617" w:type="dxa"/>
            <w:gridSpan w:val="3"/>
          </w:tcPr>
          <w:p w14:paraId="5C10606B" w14:textId="77777777" w:rsidR="00ED3D33" w:rsidRPr="00BB7ED1" w:rsidRDefault="00ED3D33" w:rsidP="00400DD1">
            <w:pPr>
              <w:widowControl w:val="0"/>
              <w:overflowPunct w:val="0"/>
              <w:autoSpaceDE w:val="0"/>
              <w:autoSpaceDN w:val="0"/>
              <w:adjustRightInd w:val="0"/>
              <w:jc w:val="center"/>
              <w:textAlignment w:val="baseline"/>
              <w:rPr>
                <w:rFonts w:eastAsia="Calibri"/>
                <w:rtl/>
              </w:rPr>
            </w:pPr>
          </w:p>
        </w:tc>
        <w:tc>
          <w:tcPr>
            <w:tcW w:w="2696" w:type="dxa"/>
          </w:tcPr>
          <w:p w14:paraId="7B4FC541" w14:textId="77777777" w:rsidR="00ED3D33" w:rsidRPr="00BB7ED1" w:rsidRDefault="00ED3D33" w:rsidP="00400DD1">
            <w:pPr>
              <w:widowControl w:val="0"/>
              <w:overflowPunct w:val="0"/>
              <w:autoSpaceDE w:val="0"/>
              <w:autoSpaceDN w:val="0"/>
              <w:adjustRightInd w:val="0"/>
              <w:jc w:val="center"/>
              <w:textAlignment w:val="baseline"/>
              <w:rPr>
                <w:rFonts w:eastAsia="Calibri"/>
                <w:rtl/>
              </w:rPr>
            </w:pPr>
          </w:p>
        </w:tc>
        <w:tc>
          <w:tcPr>
            <w:tcW w:w="5955" w:type="dxa"/>
            <w:gridSpan w:val="9"/>
            <w:vAlign w:val="bottom"/>
          </w:tcPr>
          <w:p w14:paraId="3E4F4D64" w14:textId="77777777"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במיליוני ש"ח</w:t>
            </w:r>
          </w:p>
        </w:tc>
      </w:tr>
      <w:tr w:rsidR="00ED3D33" w:rsidRPr="00F45DAC" w14:paraId="045F6978" w14:textId="77777777" w:rsidTr="00664B1B">
        <w:tblPrEx>
          <w:tblLook w:val="01E0" w:firstRow="1" w:lastRow="1" w:firstColumn="1" w:lastColumn="1" w:noHBand="0" w:noVBand="0"/>
        </w:tblPrEx>
        <w:trPr>
          <w:gridBefore w:val="1"/>
          <w:wBefore w:w="10" w:type="dxa"/>
          <w:trHeight w:val="113"/>
        </w:trPr>
        <w:tc>
          <w:tcPr>
            <w:tcW w:w="1617" w:type="dxa"/>
            <w:gridSpan w:val="3"/>
          </w:tcPr>
          <w:p w14:paraId="02FEE00E"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p>
        </w:tc>
        <w:tc>
          <w:tcPr>
            <w:tcW w:w="2696" w:type="dxa"/>
          </w:tcPr>
          <w:p w14:paraId="06E619D5" w14:textId="77777777" w:rsidR="00ED3D33" w:rsidRPr="004D022A"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z w:val="18"/>
                <w:szCs w:val="18"/>
                <w:rtl/>
              </w:rPr>
              <w:t>ערבויות להבטחת אשראי*</w:t>
            </w:r>
          </w:p>
        </w:tc>
        <w:tc>
          <w:tcPr>
            <w:tcW w:w="992" w:type="dxa"/>
            <w:vAlign w:val="bottom"/>
          </w:tcPr>
          <w:p w14:paraId="4479C251"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0E208844"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11186402"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6FC16941"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69EFDC38"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4"/>
            <w:vAlign w:val="bottom"/>
          </w:tcPr>
          <w:p w14:paraId="31E0490E"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D3D33" w:rsidRPr="00F45DAC" w14:paraId="626C2261" w14:textId="77777777" w:rsidTr="00664B1B">
        <w:tblPrEx>
          <w:tblLook w:val="01E0" w:firstRow="1" w:lastRow="1" w:firstColumn="1" w:lastColumn="1" w:noHBand="0" w:noVBand="0"/>
        </w:tblPrEx>
        <w:trPr>
          <w:gridBefore w:val="1"/>
          <w:wBefore w:w="10" w:type="dxa"/>
          <w:trHeight w:val="170"/>
        </w:trPr>
        <w:tc>
          <w:tcPr>
            <w:tcW w:w="1617" w:type="dxa"/>
            <w:gridSpan w:val="3"/>
          </w:tcPr>
          <w:p w14:paraId="5B5DC9BA"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p>
        </w:tc>
        <w:tc>
          <w:tcPr>
            <w:tcW w:w="2696" w:type="dxa"/>
          </w:tcPr>
          <w:p w14:paraId="3810DA0F" w14:textId="77777777" w:rsidR="00ED3D33" w:rsidRPr="004D022A"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z w:val="18"/>
                <w:szCs w:val="18"/>
                <w:rtl/>
              </w:rPr>
              <w:t>ערבויות לרוכשי דירות</w:t>
            </w:r>
          </w:p>
        </w:tc>
        <w:tc>
          <w:tcPr>
            <w:tcW w:w="992" w:type="dxa"/>
            <w:vAlign w:val="bottom"/>
          </w:tcPr>
          <w:p w14:paraId="798A4418"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486333F8"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20CD96A0"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0A183053"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5D029C78"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4"/>
            <w:vAlign w:val="bottom"/>
          </w:tcPr>
          <w:p w14:paraId="483989E6"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D3D33" w:rsidRPr="00F45DAC" w14:paraId="75D5B35B" w14:textId="77777777" w:rsidTr="00664B1B">
        <w:tblPrEx>
          <w:tblLook w:val="01E0" w:firstRow="1" w:lastRow="1" w:firstColumn="1" w:lastColumn="1" w:noHBand="0" w:noVBand="0"/>
        </w:tblPrEx>
        <w:trPr>
          <w:gridBefore w:val="1"/>
          <w:wBefore w:w="10" w:type="dxa"/>
          <w:trHeight w:val="170"/>
        </w:trPr>
        <w:tc>
          <w:tcPr>
            <w:tcW w:w="1617" w:type="dxa"/>
            <w:gridSpan w:val="3"/>
          </w:tcPr>
          <w:p w14:paraId="696FDDAB"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spacing w:val="-8"/>
                <w:rtl/>
              </w:rPr>
            </w:pPr>
          </w:p>
        </w:tc>
        <w:tc>
          <w:tcPr>
            <w:tcW w:w="2696" w:type="dxa"/>
          </w:tcPr>
          <w:p w14:paraId="0397E1AF" w14:textId="77777777" w:rsidR="00ED3D33" w:rsidRPr="004D022A"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pacing w:val="-8"/>
                <w:sz w:val="18"/>
                <w:szCs w:val="18"/>
                <w:rtl/>
              </w:rPr>
              <w:t>הסכמי שיפוי</w:t>
            </w:r>
          </w:p>
        </w:tc>
        <w:tc>
          <w:tcPr>
            <w:tcW w:w="992" w:type="dxa"/>
            <w:vAlign w:val="bottom"/>
          </w:tcPr>
          <w:p w14:paraId="74B9B403"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133BD532"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796EAD9C"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260740B2"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7F49AC6D"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4"/>
            <w:vAlign w:val="bottom"/>
          </w:tcPr>
          <w:p w14:paraId="4868C18A"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D3D33" w:rsidRPr="00F45DAC" w14:paraId="4ECF6F62" w14:textId="77777777" w:rsidTr="00664B1B">
        <w:tblPrEx>
          <w:tblLook w:val="01E0" w:firstRow="1" w:lastRow="1" w:firstColumn="1" w:lastColumn="1" w:noHBand="0" w:noVBand="0"/>
        </w:tblPrEx>
        <w:trPr>
          <w:gridBefore w:val="1"/>
          <w:wBefore w:w="10" w:type="dxa"/>
          <w:trHeight w:val="170"/>
        </w:trPr>
        <w:tc>
          <w:tcPr>
            <w:tcW w:w="1617" w:type="dxa"/>
            <w:gridSpan w:val="3"/>
          </w:tcPr>
          <w:p w14:paraId="224E9D4D"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p>
        </w:tc>
        <w:tc>
          <w:tcPr>
            <w:tcW w:w="2696" w:type="dxa"/>
          </w:tcPr>
          <w:p w14:paraId="3CF55489" w14:textId="77777777" w:rsidR="00ED3D33" w:rsidRPr="004D022A"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z w:val="18"/>
                <w:szCs w:val="18"/>
                <w:rtl/>
              </w:rPr>
              <w:t>התחייבויות להוצאת ערבויות</w:t>
            </w:r>
          </w:p>
        </w:tc>
        <w:tc>
          <w:tcPr>
            <w:tcW w:w="992" w:type="dxa"/>
            <w:vAlign w:val="bottom"/>
          </w:tcPr>
          <w:p w14:paraId="2AB8E323"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11EE879D"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06D559F8"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41E940F5"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2C6DC3E2"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4"/>
            <w:vAlign w:val="bottom"/>
          </w:tcPr>
          <w:p w14:paraId="0A007685"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D3D33" w:rsidRPr="00F45DAC" w14:paraId="2DC584EF" w14:textId="77777777" w:rsidTr="00664B1B">
        <w:tblPrEx>
          <w:tblLook w:val="01E0" w:firstRow="1" w:lastRow="1" w:firstColumn="1" w:lastColumn="1" w:noHBand="0" w:noVBand="0"/>
        </w:tblPrEx>
        <w:trPr>
          <w:gridBefore w:val="1"/>
          <w:wBefore w:w="10" w:type="dxa"/>
          <w:trHeight w:val="170"/>
        </w:trPr>
        <w:tc>
          <w:tcPr>
            <w:tcW w:w="1617" w:type="dxa"/>
            <w:gridSpan w:val="3"/>
          </w:tcPr>
          <w:p w14:paraId="06F0DCBE"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p>
        </w:tc>
        <w:tc>
          <w:tcPr>
            <w:tcW w:w="2696" w:type="dxa"/>
          </w:tcPr>
          <w:p w14:paraId="61512C34" w14:textId="77777777" w:rsidR="00ED3D33" w:rsidRPr="004D022A"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z w:val="18"/>
                <w:szCs w:val="18"/>
                <w:rtl/>
              </w:rPr>
              <w:t>מכתבי אשראי/אשראי תעודות</w:t>
            </w:r>
          </w:p>
        </w:tc>
        <w:tc>
          <w:tcPr>
            <w:tcW w:w="992" w:type="dxa"/>
            <w:vAlign w:val="bottom"/>
          </w:tcPr>
          <w:p w14:paraId="0219B62A"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2F6E129F"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2CCD1B6E"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53A2283F"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0EEED833"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4"/>
            <w:vAlign w:val="bottom"/>
          </w:tcPr>
          <w:p w14:paraId="7BE8D1CC"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D3D33" w:rsidRPr="00F45DAC" w14:paraId="0A19F4FA" w14:textId="77777777" w:rsidTr="00664B1B">
        <w:tblPrEx>
          <w:tblLook w:val="01E0" w:firstRow="1" w:lastRow="1" w:firstColumn="1" w:lastColumn="1" w:noHBand="0" w:noVBand="0"/>
        </w:tblPrEx>
        <w:trPr>
          <w:gridBefore w:val="1"/>
          <w:wBefore w:w="10" w:type="dxa"/>
          <w:trHeight w:val="170"/>
        </w:trPr>
        <w:tc>
          <w:tcPr>
            <w:tcW w:w="1617" w:type="dxa"/>
            <w:gridSpan w:val="3"/>
          </w:tcPr>
          <w:p w14:paraId="0D898830"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p>
        </w:tc>
        <w:tc>
          <w:tcPr>
            <w:tcW w:w="2696" w:type="dxa"/>
          </w:tcPr>
          <w:p w14:paraId="703A583A" w14:textId="77777777" w:rsidR="00ED3D33" w:rsidRPr="004D022A"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z w:val="18"/>
                <w:szCs w:val="18"/>
                <w:rtl/>
              </w:rPr>
              <w:t>אחר</w:t>
            </w:r>
          </w:p>
        </w:tc>
        <w:tc>
          <w:tcPr>
            <w:tcW w:w="992" w:type="dxa"/>
            <w:vAlign w:val="bottom"/>
          </w:tcPr>
          <w:p w14:paraId="09578B28" w14:textId="77777777" w:rsidR="00ED3D33" w:rsidRPr="00BB7ED1" w:rsidRDefault="00ED3D33" w:rsidP="00400DD1">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7E822829" w14:textId="77777777" w:rsidR="00ED3D33" w:rsidRPr="00BB7ED1" w:rsidRDefault="00ED3D33" w:rsidP="00400DD1">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624BBAA8" w14:textId="77777777" w:rsidR="00ED3D33" w:rsidRPr="00BB7ED1" w:rsidRDefault="00ED3D33" w:rsidP="00400DD1">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0E44B259" w14:textId="77777777" w:rsidR="00ED3D33" w:rsidRPr="00BB7ED1" w:rsidRDefault="00ED3D33" w:rsidP="00400DD1">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7C7AC8B6" w14:textId="77777777" w:rsidR="00ED3D33" w:rsidRPr="00BB7ED1" w:rsidRDefault="00ED3D33" w:rsidP="00400DD1">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4"/>
            <w:vAlign w:val="bottom"/>
          </w:tcPr>
          <w:p w14:paraId="0D72D9CB" w14:textId="77777777" w:rsidR="00ED3D33" w:rsidRPr="00BB7ED1" w:rsidRDefault="00ED3D33" w:rsidP="00400DD1">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D3D33" w:rsidRPr="00F45DAC" w14:paraId="46956943" w14:textId="77777777" w:rsidTr="00664B1B">
        <w:tblPrEx>
          <w:tblLook w:val="01E0" w:firstRow="1" w:lastRow="1" w:firstColumn="1" w:lastColumn="1" w:noHBand="0" w:noVBand="0"/>
        </w:tblPrEx>
        <w:trPr>
          <w:gridBefore w:val="1"/>
          <w:wBefore w:w="10" w:type="dxa"/>
        </w:trPr>
        <w:tc>
          <w:tcPr>
            <w:tcW w:w="1617" w:type="dxa"/>
            <w:gridSpan w:val="3"/>
          </w:tcPr>
          <w:p w14:paraId="20D7BF16"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p>
        </w:tc>
        <w:tc>
          <w:tcPr>
            <w:tcW w:w="2696" w:type="dxa"/>
          </w:tcPr>
          <w:p w14:paraId="0FCA858A" w14:textId="77777777" w:rsidR="00ED3D33" w:rsidRPr="004D022A" w:rsidRDefault="00ED3D33" w:rsidP="00400DD1">
            <w:pPr>
              <w:widowControl w:val="0"/>
              <w:overflowPunct w:val="0"/>
              <w:autoSpaceDE w:val="0"/>
              <w:autoSpaceDN w:val="0"/>
              <w:adjustRightInd w:val="0"/>
              <w:spacing w:line="259" w:lineRule="auto"/>
              <w:jc w:val="left"/>
              <w:textAlignment w:val="baseline"/>
              <w:rPr>
                <w:rFonts w:eastAsia="Calibri"/>
                <w:b/>
                <w:bCs/>
                <w:sz w:val="18"/>
                <w:szCs w:val="18"/>
                <w:rtl/>
              </w:rPr>
            </w:pPr>
            <w:r w:rsidRPr="004D022A">
              <w:rPr>
                <w:rFonts w:eastAsia="Calibri"/>
                <w:b/>
                <w:bCs/>
                <w:sz w:val="18"/>
                <w:szCs w:val="18"/>
                <w:rtl/>
              </w:rPr>
              <w:t>סך הכל ערבויות*</w:t>
            </w:r>
          </w:p>
        </w:tc>
        <w:tc>
          <w:tcPr>
            <w:tcW w:w="992" w:type="dxa"/>
            <w:vAlign w:val="bottom"/>
          </w:tcPr>
          <w:p w14:paraId="6771AABD" w14:textId="77777777" w:rsidR="00ED3D33" w:rsidRPr="00BB7ED1" w:rsidRDefault="00ED3D33" w:rsidP="00400DD1">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0EB009ED" w14:textId="77777777" w:rsidR="00ED3D33" w:rsidRPr="00BB7ED1" w:rsidRDefault="00ED3D33" w:rsidP="00400DD1">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127986D7" w14:textId="77777777" w:rsidR="00ED3D33" w:rsidRPr="00BB7ED1" w:rsidRDefault="00ED3D33" w:rsidP="00400DD1">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5B36B35B" w14:textId="77777777" w:rsidR="00ED3D33" w:rsidRPr="00BB7ED1" w:rsidRDefault="00ED3D33" w:rsidP="00400DD1">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5C8B8E50" w14:textId="77777777" w:rsidR="00ED3D33" w:rsidRPr="00BB7ED1" w:rsidRDefault="00ED3D33" w:rsidP="00400DD1">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4"/>
            <w:vAlign w:val="bottom"/>
          </w:tcPr>
          <w:p w14:paraId="70DF6E3F" w14:textId="77777777" w:rsidR="00ED3D33" w:rsidRPr="00BB7ED1" w:rsidRDefault="00ED3D33" w:rsidP="00400DD1">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D3D33" w:rsidRPr="00F45DAC" w14:paraId="3E93FD01" w14:textId="77777777" w:rsidTr="00664B1B">
        <w:tblPrEx>
          <w:tblLook w:val="01E0" w:firstRow="1" w:lastRow="1" w:firstColumn="1" w:lastColumn="1" w:noHBand="0" w:noVBand="0"/>
        </w:tblPrEx>
        <w:trPr>
          <w:gridBefore w:val="1"/>
          <w:wBefore w:w="10" w:type="dxa"/>
        </w:trPr>
        <w:tc>
          <w:tcPr>
            <w:tcW w:w="1617" w:type="dxa"/>
            <w:gridSpan w:val="3"/>
          </w:tcPr>
          <w:p w14:paraId="6CF40B46"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p>
        </w:tc>
        <w:tc>
          <w:tcPr>
            <w:tcW w:w="2696" w:type="dxa"/>
          </w:tcPr>
          <w:p w14:paraId="696177C2" w14:textId="77777777" w:rsidR="00ED3D33" w:rsidRPr="004D022A" w:rsidRDefault="00ED3D33" w:rsidP="00400DD1">
            <w:pPr>
              <w:widowControl w:val="0"/>
              <w:overflowPunct w:val="0"/>
              <w:autoSpaceDE w:val="0"/>
              <w:autoSpaceDN w:val="0"/>
              <w:adjustRightInd w:val="0"/>
              <w:spacing w:line="259" w:lineRule="auto"/>
              <w:ind w:left="96" w:hanging="96"/>
              <w:jc w:val="left"/>
              <w:textAlignment w:val="baseline"/>
              <w:rPr>
                <w:rFonts w:eastAsia="Calibri"/>
                <w:sz w:val="18"/>
                <w:szCs w:val="18"/>
                <w:rtl/>
              </w:rPr>
            </w:pPr>
            <w:r w:rsidRPr="004D022A">
              <w:rPr>
                <w:rFonts w:eastAsia="Calibri"/>
                <w:sz w:val="18"/>
                <w:szCs w:val="18"/>
                <w:rtl/>
              </w:rPr>
              <w:t>*</w:t>
            </w:r>
            <w:r w:rsidRPr="004D022A">
              <w:rPr>
                <w:rFonts w:eastAsia="Calibri"/>
                <w:sz w:val="18"/>
                <w:szCs w:val="18"/>
                <w:rtl/>
              </w:rPr>
              <w:tab/>
              <w:t>מזה: ערבויות ליתרות חוב הנובעות מעסקאות בכרטיסי אשראי</w:t>
            </w:r>
          </w:p>
        </w:tc>
        <w:tc>
          <w:tcPr>
            <w:tcW w:w="992" w:type="dxa"/>
            <w:vAlign w:val="bottom"/>
          </w:tcPr>
          <w:p w14:paraId="5B3C4D14"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 xml:space="preserve">0   </w:t>
            </w:r>
          </w:p>
        </w:tc>
        <w:tc>
          <w:tcPr>
            <w:tcW w:w="1134" w:type="dxa"/>
            <w:vAlign w:val="bottom"/>
          </w:tcPr>
          <w:p w14:paraId="3365DEEB"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0</w:t>
            </w:r>
          </w:p>
        </w:tc>
        <w:tc>
          <w:tcPr>
            <w:tcW w:w="1134" w:type="dxa"/>
            <w:vAlign w:val="bottom"/>
          </w:tcPr>
          <w:p w14:paraId="6625B15D"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0</w:t>
            </w:r>
          </w:p>
        </w:tc>
        <w:tc>
          <w:tcPr>
            <w:tcW w:w="993" w:type="dxa"/>
            <w:vAlign w:val="bottom"/>
          </w:tcPr>
          <w:p w14:paraId="4F122E60"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0</w:t>
            </w:r>
          </w:p>
        </w:tc>
        <w:tc>
          <w:tcPr>
            <w:tcW w:w="679" w:type="dxa"/>
            <w:vAlign w:val="bottom"/>
          </w:tcPr>
          <w:p w14:paraId="078A00CE"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0</w:t>
            </w:r>
          </w:p>
        </w:tc>
        <w:tc>
          <w:tcPr>
            <w:tcW w:w="1023" w:type="dxa"/>
            <w:gridSpan w:val="4"/>
            <w:vAlign w:val="bottom"/>
          </w:tcPr>
          <w:p w14:paraId="544D8FD7"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0</w:t>
            </w:r>
          </w:p>
        </w:tc>
      </w:tr>
    </w:tbl>
    <w:p w14:paraId="1E255A0A" w14:textId="3E00BD9B" w:rsidR="00497419" w:rsidRDefault="00497419" w:rsidP="00C72691">
      <w:pPr>
        <w:spacing w:line="160" w:lineRule="exact"/>
        <w:ind w:left="1814"/>
        <w:rPr>
          <w:rtl/>
        </w:rPr>
      </w:pPr>
    </w:p>
    <w:p w14:paraId="3D76B8E1" w14:textId="77777777" w:rsidR="003B3192" w:rsidRPr="005E6AA4" w:rsidRDefault="003B3192" w:rsidP="00C72691">
      <w:pPr>
        <w:spacing w:line="160" w:lineRule="exact"/>
        <w:ind w:left="1814"/>
        <w:rPr>
          <w:rtl/>
        </w:rPr>
      </w:pPr>
    </w:p>
    <w:tbl>
      <w:tblPr>
        <w:bidiVisual/>
        <w:tblW w:w="10269" w:type="dxa"/>
        <w:tblInd w:w="10" w:type="dxa"/>
        <w:tblLayout w:type="fixed"/>
        <w:tblLook w:val="01E0" w:firstRow="1" w:lastRow="1" w:firstColumn="1" w:lastColumn="1" w:noHBand="0" w:noVBand="0"/>
      </w:tblPr>
      <w:tblGrid>
        <w:gridCol w:w="1617"/>
        <w:gridCol w:w="2697"/>
        <w:gridCol w:w="992"/>
        <w:gridCol w:w="1134"/>
        <w:gridCol w:w="1134"/>
        <w:gridCol w:w="993"/>
        <w:gridCol w:w="679"/>
        <w:gridCol w:w="29"/>
        <w:gridCol w:w="994"/>
      </w:tblGrid>
      <w:tr w:rsidR="00E249E7" w:rsidRPr="00F45DAC" w14:paraId="7E298D69" w14:textId="77777777" w:rsidTr="003D5632">
        <w:tc>
          <w:tcPr>
            <w:tcW w:w="1617" w:type="dxa"/>
          </w:tcPr>
          <w:p w14:paraId="11C2DF8B" w14:textId="77777777" w:rsidR="00E249E7" w:rsidRPr="00BB7ED1" w:rsidRDefault="00E249E7" w:rsidP="00400DD1">
            <w:pPr>
              <w:widowControl w:val="0"/>
              <w:overflowPunct w:val="0"/>
              <w:autoSpaceDE w:val="0"/>
              <w:autoSpaceDN w:val="0"/>
              <w:adjustRightInd w:val="0"/>
              <w:jc w:val="center"/>
              <w:textAlignment w:val="baseline"/>
              <w:rPr>
                <w:rFonts w:eastAsia="Calibri"/>
                <w:rtl/>
              </w:rPr>
            </w:pPr>
          </w:p>
        </w:tc>
        <w:tc>
          <w:tcPr>
            <w:tcW w:w="2697" w:type="dxa"/>
          </w:tcPr>
          <w:p w14:paraId="7C06A259" w14:textId="77777777" w:rsidR="00E249E7" w:rsidRPr="00BB7ED1" w:rsidRDefault="00E249E7" w:rsidP="00400DD1">
            <w:pPr>
              <w:widowControl w:val="0"/>
              <w:overflowPunct w:val="0"/>
              <w:autoSpaceDE w:val="0"/>
              <w:autoSpaceDN w:val="0"/>
              <w:adjustRightInd w:val="0"/>
              <w:jc w:val="center"/>
              <w:textAlignment w:val="baseline"/>
              <w:rPr>
                <w:rFonts w:eastAsia="Calibri"/>
                <w:rtl/>
              </w:rPr>
            </w:pPr>
          </w:p>
        </w:tc>
        <w:tc>
          <w:tcPr>
            <w:tcW w:w="5955" w:type="dxa"/>
            <w:gridSpan w:val="7"/>
            <w:vAlign w:val="bottom"/>
          </w:tcPr>
          <w:p w14:paraId="258F1BC8" w14:textId="52D35EB8" w:rsidR="00E249E7" w:rsidRPr="003B3192" w:rsidRDefault="00E249E7" w:rsidP="00400DD1">
            <w:pPr>
              <w:widowControl w:val="0"/>
              <w:pBdr>
                <w:bottom w:val="single" w:sz="4" w:space="1" w:color="auto"/>
              </w:pBdr>
              <w:overflowPunct w:val="0"/>
              <w:autoSpaceDE w:val="0"/>
              <w:autoSpaceDN w:val="0"/>
              <w:adjustRightInd w:val="0"/>
              <w:ind w:left="57" w:right="57"/>
              <w:jc w:val="center"/>
              <w:textAlignment w:val="baseline"/>
              <w:rPr>
                <w:rFonts w:eastAsia="Calibri"/>
                <w:sz w:val="18"/>
                <w:szCs w:val="18"/>
                <w:rtl/>
              </w:rPr>
            </w:pPr>
            <w:r w:rsidRPr="003B3192">
              <w:rPr>
                <w:rFonts w:eastAsia="Calibri" w:hint="cs"/>
                <w:b/>
                <w:bCs/>
                <w:sz w:val="18"/>
                <w:szCs w:val="18"/>
                <w:rtl/>
              </w:rPr>
              <w:t xml:space="preserve">ליום 30 ביוני </w:t>
            </w:r>
            <w:r w:rsidRPr="003B3192">
              <w:rPr>
                <w:b/>
                <w:bCs/>
                <w:sz w:val="18"/>
                <w:szCs w:val="18"/>
                <w:rtl/>
              </w:rPr>
              <w:fldChar w:fldCharType="begin"/>
            </w:r>
            <w:r w:rsidRPr="003B3192">
              <w:rPr>
                <w:b/>
                <w:bCs/>
                <w:sz w:val="18"/>
                <w:szCs w:val="18"/>
                <w:rtl/>
              </w:rPr>
              <w:instrText xml:space="preserve"> </w:instrText>
            </w:r>
            <w:r w:rsidRPr="003B3192">
              <w:rPr>
                <w:rFonts w:hint="cs"/>
                <w:b/>
                <w:bCs/>
                <w:sz w:val="18"/>
                <w:szCs w:val="18"/>
                <w:rtl/>
              </w:rPr>
              <w:instrText xml:space="preserve">= </w:instrText>
            </w:r>
            <w:r w:rsidRPr="003B3192">
              <w:rPr>
                <w:rFonts w:hint="cs"/>
                <w:b/>
                <w:bCs/>
                <w:sz w:val="18"/>
                <w:szCs w:val="18"/>
              </w:rPr>
              <w:instrText>CY</w:instrText>
            </w:r>
            <w:r w:rsidRPr="003B3192">
              <w:rPr>
                <w:b/>
                <w:bCs/>
                <w:sz w:val="18"/>
                <w:szCs w:val="18"/>
              </w:rPr>
              <w:instrText>-1</w:instrText>
            </w:r>
            <w:r w:rsidRPr="003B3192">
              <w:rPr>
                <w:rFonts w:hint="cs"/>
                <w:b/>
                <w:bCs/>
                <w:sz w:val="18"/>
                <w:szCs w:val="18"/>
              </w:rPr>
              <w:instrText xml:space="preserve"> \* MERGEFORMAT</w:instrText>
            </w:r>
            <w:r w:rsidRPr="003B3192">
              <w:rPr>
                <w:b/>
                <w:bCs/>
                <w:sz w:val="18"/>
                <w:szCs w:val="18"/>
                <w:rtl/>
              </w:rPr>
              <w:instrText xml:space="preserve"> </w:instrText>
            </w:r>
            <w:r w:rsidRPr="003B3192">
              <w:rPr>
                <w:b/>
                <w:bCs/>
                <w:sz w:val="18"/>
                <w:szCs w:val="18"/>
                <w:rtl/>
              </w:rPr>
              <w:fldChar w:fldCharType="separate"/>
            </w:r>
            <w:r w:rsidR="003A584F">
              <w:rPr>
                <w:b/>
                <w:bCs/>
                <w:noProof/>
                <w:sz w:val="18"/>
                <w:szCs w:val="18"/>
                <w:rtl/>
              </w:rPr>
              <w:t>2023</w:t>
            </w:r>
            <w:r w:rsidRPr="003B3192">
              <w:rPr>
                <w:b/>
                <w:bCs/>
                <w:sz w:val="18"/>
                <w:szCs w:val="18"/>
                <w:rtl/>
              </w:rPr>
              <w:fldChar w:fldCharType="end"/>
            </w:r>
            <w:r w:rsidRPr="003B3192">
              <w:rPr>
                <w:rFonts w:hint="cs"/>
                <w:sz w:val="18"/>
                <w:szCs w:val="18"/>
                <w:rtl/>
              </w:rPr>
              <w:t xml:space="preserve"> </w:t>
            </w:r>
            <w:r w:rsidRPr="001F0989">
              <w:rPr>
                <w:rFonts w:eastAsia="Calibri" w:hint="cs"/>
                <w:sz w:val="18"/>
                <w:szCs w:val="18"/>
                <w:rtl/>
              </w:rPr>
              <w:t>(בלתי מבוקר)</w:t>
            </w:r>
          </w:p>
        </w:tc>
      </w:tr>
      <w:tr w:rsidR="00E249E7" w:rsidRPr="00F45DAC" w14:paraId="7B5C5121" w14:textId="77777777" w:rsidTr="003D5632">
        <w:tc>
          <w:tcPr>
            <w:tcW w:w="1617" w:type="dxa"/>
          </w:tcPr>
          <w:p w14:paraId="1B22F978" w14:textId="77777777" w:rsidR="00E249E7" w:rsidRPr="00BB7ED1" w:rsidRDefault="00E249E7" w:rsidP="00400DD1">
            <w:pPr>
              <w:widowControl w:val="0"/>
              <w:overflowPunct w:val="0"/>
              <w:autoSpaceDE w:val="0"/>
              <w:autoSpaceDN w:val="0"/>
              <w:adjustRightInd w:val="0"/>
              <w:jc w:val="center"/>
              <w:textAlignment w:val="baseline"/>
              <w:rPr>
                <w:rFonts w:eastAsia="Calibri"/>
                <w:rtl/>
              </w:rPr>
            </w:pPr>
          </w:p>
        </w:tc>
        <w:tc>
          <w:tcPr>
            <w:tcW w:w="2697" w:type="dxa"/>
          </w:tcPr>
          <w:p w14:paraId="27C9420B" w14:textId="77777777" w:rsidR="00E249E7" w:rsidRPr="00BB7ED1" w:rsidRDefault="00E249E7" w:rsidP="00400DD1">
            <w:pPr>
              <w:widowControl w:val="0"/>
              <w:overflowPunct w:val="0"/>
              <w:autoSpaceDE w:val="0"/>
              <w:autoSpaceDN w:val="0"/>
              <w:adjustRightInd w:val="0"/>
              <w:jc w:val="center"/>
              <w:textAlignment w:val="baseline"/>
              <w:rPr>
                <w:rFonts w:eastAsia="Calibri"/>
                <w:rtl/>
              </w:rPr>
            </w:pPr>
          </w:p>
        </w:tc>
        <w:tc>
          <w:tcPr>
            <w:tcW w:w="4961" w:type="dxa"/>
            <w:gridSpan w:val="6"/>
            <w:vAlign w:val="bottom"/>
          </w:tcPr>
          <w:p w14:paraId="6EF7647A" w14:textId="77777777" w:rsidR="00E249E7" w:rsidRPr="003B3192" w:rsidRDefault="00E249E7" w:rsidP="00400DD1">
            <w:pPr>
              <w:widowControl w:val="0"/>
              <w:pBdr>
                <w:bottom w:val="single" w:sz="4" w:space="1" w:color="auto"/>
              </w:pBdr>
              <w:overflowPunct w:val="0"/>
              <w:autoSpaceDE w:val="0"/>
              <w:autoSpaceDN w:val="0"/>
              <w:adjustRightInd w:val="0"/>
              <w:ind w:left="57" w:right="57"/>
              <w:jc w:val="center"/>
              <w:textAlignment w:val="baseline"/>
              <w:rPr>
                <w:rFonts w:eastAsia="Calibri"/>
                <w:sz w:val="18"/>
                <w:szCs w:val="18"/>
                <w:rtl/>
              </w:rPr>
            </w:pPr>
            <w:r w:rsidRPr="003B3192">
              <w:rPr>
                <w:rFonts w:eastAsia="Calibri" w:hint="cs"/>
                <w:b/>
                <w:bCs/>
                <w:sz w:val="18"/>
                <w:szCs w:val="18"/>
                <w:rtl/>
              </w:rPr>
              <w:t>הסכום המקסימלי של תשלומים עתידיים פוטנציאליים</w:t>
            </w:r>
          </w:p>
        </w:tc>
        <w:tc>
          <w:tcPr>
            <w:tcW w:w="994" w:type="dxa"/>
            <w:vAlign w:val="bottom"/>
          </w:tcPr>
          <w:p w14:paraId="23D69D46" w14:textId="77777777" w:rsidR="00E249E7" w:rsidRPr="003B3192" w:rsidRDefault="00E249E7" w:rsidP="00400DD1">
            <w:pPr>
              <w:widowControl w:val="0"/>
              <w:overflowPunct w:val="0"/>
              <w:autoSpaceDE w:val="0"/>
              <w:autoSpaceDN w:val="0"/>
              <w:adjustRightInd w:val="0"/>
              <w:ind w:left="57" w:right="57"/>
              <w:jc w:val="center"/>
              <w:textAlignment w:val="baseline"/>
              <w:rPr>
                <w:rFonts w:eastAsia="Calibri"/>
                <w:sz w:val="18"/>
                <w:szCs w:val="18"/>
                <w:rtl/>
              </w:rPr>
            </w:pPr>
          </w:p>
        </w:tc>
      </w:tr>
      <w:tr w:rsidR="00E249E7" w:rsidRPr="00F45DAC" w14:paraId="2BA9F669" w14:textId="77777777" w:rsidTr="003D5632">
        <w:tc>
          <w:tcPr>
            <w:tcW w:w="1617" w:type="dxa"/>
          </w:tcPr>
          <w:p w14:paraId="1FA162DD" w14:textId="77777777" w:rsidR="00E249E7" w:rsidRPr="00BB7ED1" w:rsidRDefault="00E249E7" w:rsidP="00400DD1">
            <w:pPr>
              <w:widowControl w:val="0"/>
              <w:overflowPunct w:val="0"/>
              <w:autoSpaceDE w:val="0"/>
              <w:autoSpaceDN w:val="0"/>
              <w:adjustRightInd w:val="0"/>
              <w:jc w:val="center"/>
              <w:textAlignment w:val="baseline"/>
              <w:rPr>
                <w:rFonts w:eastAsia="Calibri"/>
                <w:rtl/>
              </w:rPr>
            </w:pPr>
          </w:p>
        </w:tc>
        <w:tc>
          <w:tcPr>
            <w:tcW w:w="2697" w:type="dxa"/>
          </w:tcPr>
          <w:p w14:paraId="0D5A8624" w14:textId="77777777" w:rsidR="00E249E7" w:rsidRPr="00BB7ED1" w:rsidRDefault="00E249E7" w:rsidP="00400DD1">
            <w:pPr>
              <w:widowControl w:val="0"/>
              <w:overflowPunct w:val="0"/>
              <w:autoSpaceDE w:val="0"/>
              <w:autoSpaceDN w:val="0"/>
              <w:adjustRightInd w:val="0"/>
              <w:jc w:val="center"/>
              <w:textAlignment w:val="baseline"/>
              <w:rPr>
                <w:rFonts w:eastAsia="Calibri"/>
                <w:rtl/>
              </w:rPr>
            </w:pPr>
          </w:p>
        </w:tc>
        <w:tc>
          <w:tcPr>
            <w:tcW w:w="992" w:type="dxa"/>
            <w:vAlign w:val="bottom"/>
          </w:tcPr>
          <w:p w14:paraId="64D8BBFD" w14:textId="77777777" w:rsidR="00E249E7" w:rsidRPr="003B3192" w:rsidRDefault="00E249E7"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pacing w:val="-8"/>
                <w:sz w:val="18"/>
                <w:szCs w:val="18"/>
                <w:rtl/>
              </w:rPr>
              <w:t>פקיעה שנה או פחות</w:t>
            </w:r>
          </w:p>
        </w:tc>
        <w:tc>
          <w:tcPr>
            <w:tcW w:w="1134" w:type="dxa"/>
            <w:vAlign w:val="bottom"/>
          </w:tcPr>
          <w:p w14:paraId="69B0B97E" w14:textId="77777777" w:rsidR="00E249E7" w:rsidRPr="003B3192" w:rsidRDefault="00E249E7"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פקיעה לאחר שנה ועד 3 שנים</w:t>
            </w:r>
          </w:p>
        </w:tc>
        <w:tc>
          <w:tcPr>
            <w:tcW w:w="1134" w:type="dxa"/>
            <w:vAlign w:val="bottom"/>
          </w:tcPr>
          <w:p w14:paraId="3BC8F5C8" w14:textId="77777777" w:rsidR="00E249E7" w:rsidRPr="003B3192" w:rsidRDefault="00E249E7"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פקיעה לאחר 3 עד 5 שנים</w:t>
            </w:r>
          </w:p>
        </w:tc>
        <w:tc>
          <w:tcPr>
            <w:tcW w:w="993" w:type="dxa"/>
            <w:vAlign w:val="bottom"/>
          </w:tcPr>
          <w:p w14:paraId="2789DFC9" w14:textId="77777777" w:rsidR="00E249E7" w:rsidRPr="003B3192" w:rsidRDefault="00E249E7"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פקיעה לאחר 5 שנים</w:t>
            </w:r>
          </w:p>
        </w:tc>
        <w:tc>
          <w:tcPr>
            <w:tcW w:w="708" w:type="dxa"/>
            <w:gridSpan w:val="2"/>
            <w:vAlign w:val="bottom"/>
          </w:tcPr>
          <w:p w14:paraId="6F5AEB99" w14:textId="77777777" w:rsidR="00E249E7" w:rsidRPr="003B3192" w:rsidRDefault="00E249E7"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סך הכל</w:t>
            </w:r>
          </w:p>
        </w:tc>
        <w:tc>
          <w:tcPr>
            <w:tcW w:w="994" w:type="dxa"/>
            <w:vAlign w:val="bottom"/>
          </w:tcPr>
          <w:p w14:paraId="0E0D34A9" w14:textId="77777777" w:rsidR="00E249E7" w:rsidRPr="003B3192" w:rsidRDefault="00E249E7"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הערך בספרים</w:t>
            </w:r>
          </w:p>
        </w:tc>
      </w:tr>
      <w:tr w:rsidR="00E249E7" w:rsidRPr="00F45DAC" w14:paraId="53AE56BB" w14:textId="77777777" w:rsidTr="003D5632">
        <w:tc>
          <w:tcPr>
            <w:tcW w:w="1617" w:type="dxa"/>
          </w:tcPr>
          <w:p w14:paraId="325EEAC5" w14:textId="77777777" w:rsidR="00E249E7" w:rsidRPr="00BB7ED1" w:rsidRDefault="00E249E7" w:rsidP="00400DD1">
            <w:pPr>
              <w:widowControl w:val="0"/>
              <w:overflowPunct w:val="0"/>
              <w:autoSpaceDE w:val="0"/>
              <w:autoSpaceDN w:val="0"/>
              <w:adjustRightInd w:val="0"/>
              <w:jc w:val="center"/>
              <w:textAlignment w:val="baseline"/>
              <w:rPr>
                <w:rFonts w:eastAsia="Calibri"/>
                <w:rtl/>
              </w:rPr>
            </w:pPr>
          </w:p>
        </w:tc>
        <w:tc>
          <w:tcPr>
            <w:tcW w:w="2697" w:type="dxa"/>
          </w:tcPr>
          <w:p w14:paraId="7E614C1F" w14:textId="77777777" w:rsidR="00E249E7" w:rsidRPr="00BB7ED1" w:rsidRDefault="00E249E7" w:rsidP="00400DD1">
            <w:pPr>
              <w:widowControl w:val="0"/>
              <w:overflowPunct w:val="0"/>
              <w:autoSpaceDE w:val="0"/>
              <w:autoSpaceDN w:val="0"/>
              <w:adjustRightInd w:val="0"/>
              <w:jc w:val="center"/>
              <w:textAlignment w:val="baseline"/>
              <w:rPr>
                <w:rFonts w:eastAsia="Calibri"/>
                <w:rtl/>
              </w:rPr>
            </w:pPr>
          </w:p>
        </w:tc>
        <w:tc>
          <w:tcPr>
            <w:tcW w:w="5955" w:type="dxa"/>
            <w:gridSpan w:val="7"/>
            <w:vAlign w:val="bottom"/>
          </w:tcPr>
          <w:p w14:paraId="75B2492E" w14:textId="77777777" w:rsidR="00E249E7" w:rsidRPr="003B3192" w:rsidRDefault="00E249E7"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במיליוני ש"ח</w:t>
            </w:r>
          </w:p>
        </w:tc>
      </w:tr>
      <w:tr w:rsidR="00E249E7" w:rsidRPr="00F45DAC" w14:paraId="48D63BCF" w14:textId="77777777" w:rsidTr="003D5632">
        <w:trPr>
          <w:trHeight w:val="113"/>
        </w:trPr>
        <w:tc>
          <w:tcPr>
            <w:tcW w:w="1617" w:type="dxa"/>
          </w:tcPr>
          <w:p w14:paraId="624228DC"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p>
        </w:tc>
        <w:tc>
          <w:tcPr>
            <w:tcW w:w="2697" w:type="dxa"/>
          </w:tcPr>
          <w:p w14:paraId="1F267377" w14:textId="77777777" w:rsidR="00E249E7" w:rsidRPr="004D022A" w:rsidRDefault="00E249E7" w:rsidP="00ED3D33">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z w:val="18"/>
                <w:szCs w:val="18"/>
                <w:rtl/>
              </w:rPr>
              <w:t>ערבויות להבטחת אשראי*</w:t>
            </w:r>
          </w:p>
        </w:tc>
        <w:tc>
          <w:tcPr>
            <w:tcW w:w="992" w:type="dxa"/>
            <w:vAlign w:val="bottom"/>
          </w:tcPr>
          <w:p w14:paraId="21285328"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230ADE7B"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7305C9F4"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40219B76"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6455E797"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2"/>
            <w:vAlign w:val="bottom"/>
          </w:tcPr>
          <w:p w14:paraId="4EA27102"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249E7" w:rsidRPr="00F45DAC" w14:paraId="02C076C7" w14:textId="77777777" w:rsidTr="003D5632">
        <w:trPr>
          <w:trHeight w:val="170"/>
        </w:trPr>
        <w:tc>
          <w:tcPr>
            <w:tcW w:w="1617" w:type="dxa"/>
          </w:tcPr>
          <w:p w14:paraId="5DC1451F"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p>
        </w:tc>
        <w:tc>
          <w:tcPr>
            <w:tcW w:w="2697" w:type="dxa"/>
          </w:tcPr>
          <w:p w14:paraId="5A8596B1" w14:textId="77777777" w:rsidR="00E249E7" w:rsidRPr="004D022A" w:rsidRDefault="00E249E7" w:rsidP="00ED3D33">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z w:val="18"/>
                <w:szCs w:val="18"/>
                <w:rtl/>
              </w:rPr>
              <w:t>ערבויות לרוכשי דירות</w:t>
            </w:r>
          </w:p>
        </w:tc>
        <w:tc>
          <w:tcPr>
            <w:tcW w:w="992" w:type="dxa"/>
            <w:vAlign w:val="bottom"/>
          </w:tcPr>
          <w:p w14:paraId="51F2FBBC"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71B049AA"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1306EDF4"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0BE37266"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2FA874D8"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2"/>
            <w:vAlign w:val="bottom"/>
          </w:tcPr>
          <w:p w14:paraId="6C974860"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249E7" w:rsidRPr="00F45DAC" w14:paraId="39C71806" w14:textId="77777777" w:rsidTr="003D5632">
        <w:trPr>
          <w:trHeight w:val="170"/>
        </w:trPr>
        <w:tc>
          <w:tcPr>
            <w:tcW w:w="1617" w:type="dxa"/>
          </w:tcPr>
          <w:p w14:paraId="2C9952FC"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spacing w:val="-8"/>
                <w:rtl/>
              </w:rPr>
            </w:pPr>
          </w:p>
        </w:tc>
        <w:tc>
          <w:tcPr>
            <w:tcW w:w="2697" w:type="dxa"/>
          </w:tcPr>
          <w:p w14:paraId="11116B36" w14:textId="77777777" w:rsidR="00E249E7" w:rsidRPr="004D022A" w:rsidRDefault="00E249E7" w:rsidP="00ED3D33">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pacing w:val="-8"/>
                <w:sz w:val="18"/>
                <w:szCs w:val="18"/>
                <w:rtl/>
              </w:rPr>
              <w:t>הסכמי שיפוי</w:t>
            </w:r>
          </w:p>
        </w:tc>
        <w:tc>
          <w:tcPr>
            <w:tcW w:w="992" w:type="dxa"/>
            <w:vAlign w:val="bottom"/>
          </w:tcPr>
          <w:p w14:paraId="644AC30B"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23296154"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05878F50"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3C91A197"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39F0FA2B"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2"/>
            <w:vAlign w:val="bottom"/>
          </w:tcPr>
          <w:p w14:paraId="6CBA1511"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249E7" w:rsidRPr="00F45DAC" w14:paraId="01433D26" w14:textId="77777777" w:rsidTr="003D5632">
        <w:trPr>
          <w:trHeight w:val="170"/>
        </w:trPr>
        <w:tc>
          <w:tcPr>
            <w:tcW w:w="1617" w:type="dxa"/>
          </w:tcPr>
          <w:p w14:paraId="25F178EB"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p>
        </w:tc>
        <w:tc>
          <w:tcPr>
            <w:tcW w:w="2697" w:type="dxa"/>
          </w:tcPr>
          <w:p w14:paraId="3BB8A7F0" w14:textId="77777777" w:rsidR="00E249E7" w:rsidRPr="004D022A" w:rsidRDefault="00E249E7" w:rsidP="00ED3D33">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z w:val="18"/>
                <w:szCs w:val="18"/>
                <w:rtl/>
              </w:rPr>
              <w:t>התחייבויות להוצאת ערבויות</w:t>
            </w:r>
          </w:p>
        </w:tc>
        <w:tc>
          <w:tcPr>
            <w:tcW w:w="992" w:type="dxa"/>
            <w:vAlign w:val="bottom"/>
          </w:tcPr>
          <w:p w14:paraId="360F707D"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095B3E22"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0C6B6636"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0F3CE084"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2D7DD297"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2"/>
            <w:vAlign w:val="bottom"/>
          </w:tcPr>
          <w:p w14:paraId="4F04ABE5"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249E7" w:rsidRPr="00F45DAC" w14:paraId="4D56EF11" w14:textId="77777777" w:rsidTr="003D5632">
        <w:trPr>
          <w:trHeight w:val="170"/>
        </w:trPr>
        <w:tc>
          <w:tcPr>
            <w:tcW w:w="1617" w:type="dxa"/>
          </w:tcPr>
          <w:p w14:paraId="0B8D7CD3"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p>
        </w:tc>
        <w:tc>
          <w:tcPr>
            <w:tcW w:w="2697" w:type="dxa"/>
          </w:tcPr>
          <w:p w14:paraId="4DFA6FF6" w14:textId="77777777" w:rsidR="00E249E7" w:rsidRPr="004D022A" w:rsidRDefault="00E249E7" w:rsidP="00ED3D33">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z w:val="18"/>
                <w:szCs w:val="18"/>
                <w:rtl/>
              </w:rPr>
              <w:t>מכתבי אשראי/אשראי תעודות</w:t>
            </w:r>
          </w:p>
        </w:tc>
        <w:tc>
          <w:tcPr>
            <w:tcW w:w="992" w:type="dxa"/>
            <w:vAlign w:val="bottom"/>
          </w:tcPr>
          <w:p w14:paraId="1BA61662"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4DB57FDF"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46F778C9"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1EE18AA4"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4D908454"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2"/>
            <w:vAlign w:val="bottom"/>
          </w:tcPr>
          <w:p w14:paraId="3C3160AF"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249E7" w:rsidRPr="00F45DAC" w14:paraId="222851AD" w14:textId="77777777" w:rsidTr="003D5632">
        <w:trPr>
          <w:trHeight w:val="170"/>
        </w:trPr>
        <w:tc>
          <w:tcPr>
            <w:tcW w:w="1617" w:type="dxa"/>
          </w:tcPr>
          <w:p w14:paraId="1B1E42AF"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p>
        </w:tc>
        <w:tc>
          <w:tcPr>
            <w:tcW w:w="2697" w:type="dxa"/>
          </w:tcPr>
          <w:p w14:paraId="72F0EF70" w14:textId="77777777" w:rsidR="00E249E7" w:rsidRPr="004D022A" w:rsidRDefault="00E249E7" w:rsidP="00ED3D33">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z w:val="18"/>
                <w:szCs w:val="18"/>
                <w:rtl/>
              </w:rPr>
              <w:t>אחר</w:t>
            </w:r>
          </w:p>
        </w:tc>
        <w:tc>
          <w:tcPr>
            <w:tcW w:w="992" w:type="dxa"/>
            <w:vAlign w:val="bottom"/>
          </w:tcPr>
          <w:p w14:paraId="201EA0EA" w14:textId="77777777" w:rsidR="00E249E7" w:rsidRPr="00BB7ED1" w:rsidRDefault="00E249E7" w:rsidP="00ED3D33">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520FE2FC" w14:textId="77777777" w:rsidR="00E249E7" w:rsidRPr="00BB7ED1" w:rsidRDefault="00E249E7" w:rsidP="00ED3D33">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4683BD4E" w14:textId="77777777" w:rsidR="00E249E7" w:rsidRPr="00BB7ED1" w:rsidRDefault="00E249E7" w:rsidP="00ED3D33">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4702386B" w14:textId="77777777" w:rsidR="00E249E7" w:rsidRPr="00BB7ED1" w:rsidRDefault="00E249E7" w:rsidP="00ED3D33">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3B3B4DF8" w14:textId="77777777" w:rsidR="00E249E7" w:rsidRPr="00BB7ED1" w:rsidRDefault="00E249E7" w:rsidP="00ED3D33">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2"/>
            <w:vAlign w:val="bottom"/>
          </w:tcPr>
          <w:p w14:paraId="6D2AE88D" w14:textId="77777777" w:rsidR="00E249E7" w:rsidRPr="00BB7ED1" w:rsidRDefault="00E249E7" w:rsidP="00ED3D33">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249E7" w:rsidRPr="00F45DAC" w14:paraId="7898A018" w14:textId="77777777" w:rsidTr="003D5632">
        <w:tc>
          <w:tcPr>
            <w:tcW w:w="1617" w:type="dxa"/>
          </w:tcPr>
          <w:p w14:paraId="7FD21569"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p>
        </w:tc>
        <w:tc>
          <w:tcPr>
            <w:tcW w:w="2697" w:type="dxa"/>
          </w:tcPr>
          <w:p w14:paraId="398C6CDC" w14:textId="77777777" w:rsidR="00E249E7" w:rsidRPr="004D022A" w:rsidRDefault="00E249E7" w:rsidP="00ED3D33">
            <w:pPr>
              <w:widowControl w:val="0"/>
              <w:overflowPunct w:val="0"/>
              <w:autoSpaceDE w:val="0"/>
              <w:autoSpaceDN w:val="0"/>
              <w:adjustRightInd w:val="0"/>
              <w:spacing w:line="259" w:lineRule="auto"/>
              <w:jc w:val="left"/>
              <w:textAlignment w:val="baseline"/>
              <w:rPr>
                <w:rFonts w:eastAsia="Calibri"/>
                <w:b/>
                <w:bCs/>
                <w:sz w:val="18"/>
                <w:szCs w:val="18"/>
                <w:rtl/>
              </w:rPr>
            </w:pPr>
            <w:r w:rsidRPr="004D022A">
              <w:rPr>
                <w:rFonts w:eastAsia="Calibri"/>
                <w:b/>
                <w:bCs/>
                <w:sz w:val="18"/>
                <w:szCs w:val="18"/>
                <w:rtl/>
              </w:rPr>
              <w:t>סך הכל ערבויות*</w:t>
            </w:r>
          </w:p>
        </w:tc>
        <w:tc>
          <w:tcPr>
            <w:tcW w:w="992" w:type="dxa"/>
            <w:vAlign w:val="bottom"/>
          </w:tcPr>
          <w:p w14:paraId="5B38F662" w14:textId="77777777" w:rsidR="00E249E7" w:rsidRPr="00BB7ED1" w:rsidRDefault="00E249E7" w:rsidP="00ED3D33">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3350EBDD" w14:textId="77777777" w:rsidR="00E249E7" w:rsidRPr="00BB7ED1" w:rsidRDefault="00E249E7" w:rsidP="00ED3D33">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42754418" w14:textId="77777777" w:rsidR="00E249E7" w:rsidRPr="00BB7ED1" w:rsidRDefault="00E249E7" w:rsidP="00ED3D33">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27C21926" w14:textId="77777777" w:rsidR="00E249E7" w:rsidRPr="00BB7ED1" w:rsidRDefault="00E249E7" w:rsidP="00ED3D33">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5C4B84C5" w14:textId="77777777" w:rsidR="00E249E7" w:rsidRPr="00BB7ED1" w:rsidRDefault="00E249E7" w:rsidP="00ED3D33">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2"/>
            <w:vAlign w:val="bottom"/>
          </w:tcPr>
          <w:p w14:paraId="58315BB9" w14:textId="77777777" w:rsidR="00E249E7" w:rsidRPr="00BB7ED1" w:rsidRDefault="00E249E7" w:rsidP="00ED3D33">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249E7" w:rsidRPr="00F45DAC" w14:paraId="26543A11" w14:textId="77777777" w:rsidTr="003D5632">
        <w:tc>
          <w:tcPr>
            <w:tcW w:w="1617" w:type="dxa"/>
          </w:tcPr>
          <w:p w14:paraId="1242BB66"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rtl/>
              </w:rPr>
            </w:pPr>
          </w:p>
        </w:tc>
        <w:tc>
          <w:tcPr>
            <w:tcW w:w="2697" w:type="dxa"/>
          </w:tcPr>
          <w:p w14:paraId="251BE324" w14:textId="77777777" w:rsidR="00E249E7" w:rsidRPr="004D022A" w:rsidRDefault="00E249E7" w:rsidP="00ED3D33">
            <w:pPr>
              <w:widowControl w:val="0"/>
              <w:overflowPunct w:val="0"/>
              <w:autoSpaceDE w:val="0"/>
              <w:autoSpaceDN w:val="0"/>
              <w:adjustRightInd w:val="0"/>
              <w:spacing w:line="259" w:lineRule="auto"/>
              <w:ind w:left="96" w:hanging="96"/>
              <w:jc w:val="left"/>
              <w:textAlignment w:val="baseline"/>
              <w:rPr>
                <w:rFonts w:eastAsia="Calibri"/>
                <w:sz w:val="18"/>
                <w:szCs w:val="18"/>
                <w:rtl/>
              </w:rPr>
            </w:pPr>
            <w:r w:rsidRPr="004D022A">
              <w:rPr>
                <w:rFonts w:eastAsia="Calibri"/>
                <w:sz w:val="18"/>
                <w:szCs w:val="18"/>
                <w:rtl/>
              </w:rPr>
              <w:t>*</w:t>
            </w:r>
            <w:r w:rsidRPr="004D022A">
              <w:rPr>
                <w:rFonts w:eastAsia="Calibri"/>
                <w:sz w:val="18"/>
                <w:szCs w:val="18"/>
                <w:rtl/>
              </w:rPr>
              <w:tab/>
              <w:t>מזה: ערבויות ליתרות חוב הנובעות מעסקאות בכרטיסי אשראי</w:t>
            </w:r>
          </w:p>
        </w:tc>
        <w:tc>
          <w:tcPr>
            <w:tcW w:w="992" w:type="dxa"/>
            <w:vAlign w:val="bottom"/>
          </w:tcPr>
          <w:p w14:paraId="39E5A090"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 xml:space="preserve">0   </w:t>
            </w:r>
          </w:p>
        </w:tc>
        <w:tc>
          <w:tcPr>
            <w:tcW w:w="1134" w:type="dxa"/>
            <w:vAlign w:val="bottom"/>
          </w:tcPr>
          <w:p w14:paraId="394D8EE7"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0</w:t>
            </w:r>
          </w:p>
        </w:tc>
        <w:tc>
          <w:tcPr>
            <w:tcW w:w="1134" w:type="dxa"/>
            <w:vAlign w:val="bottom"/>
          </w:tcPr>
          <w:p w14:paraId="6F6FFE8B"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0</w:t>
            </w:r>
          </w:p>
        </w:tc>
        <w:tc>
          <w:tcPr>
            <w:tcW w:w="993" w:type="dxa"/>
            <w:vAlign w:val="bottom"/>
          </w:tcPr>
          <w:p w14:paraId="36851767"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0</w:t>
            </w:r>
          </w:p>
        </w:tc>
        <w:tc>
          <w:tcPr>
            <w:tcW w:w="679" w:type="dxa"/>
            <w:vAlign w:val="bottom"/>
          </w:tcPr>
          <w:p w14:paraId="2ADF9C77"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0</w:t>
            </w:r>
          </w:p>
        </w:tc>
        <w:tc>
          <w:tcPr>
            <w:tcW w:w="1023" w:type="dxa"/>
            <w:gridSpan w:val="2"/>
            <w:vAlign w:val="bottom"/>
          </w:tcPr>
          <w:p w14:paraId="5F825719" w14:textId="77777777" w:rsidR="00E249E7" w:rsidRPr="00BB7ED1" w:rsidRDefault="00E249E7" w:rsidP="00ED3D33">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0</w:t>
            </w:r>
          </w:p>
        </w:tc>
      </w:tr>
    </w:tbl>
    <w:p w14:paraId="7390B6E8" w14:textId="30287763" w:rsidR="00ED3D33" w:rsidRDefault="00ED3D33" w:rsidP="00C72691">
      <w:pPr>
        <w:pStyle w:val="-2"/>
        <w:spacing w:line="120" w:lineRule="exact"/>
        <w:ind w:left="1599"/>
        <w:jc w:val="left"/>
        <w:rPr>
          <w:rtl/>
        </w:rPr>
      </w:pPr>
    </w:p>
    <w:p w14:paraId="1B78D0BB" w14:textId="77777777" w:rsidR="003B3192" w:rsidRDefault="003B3192" w:rsidP="00C72691">
      <w:pPr>
        <w:pStyle w:val="-2"/>
        <w:spacing w:line="120" w:lineRule="exact"/>
        <w:ind w:left="1599"/>
        <w:jc w:val="left"/>
        <w:rPr>
          <w:rtl/>
        </w:rPr>
      </w:pPr>
    </w:p>
    <w:tbl>
      <w:tblPr>
        <w:bidiVisual/>
        <w:tblW w:w="10269" w:type="dxa"/>
        <w:tblInd w:w="10" w:type="dxa"/>
        <w:tblLayout w:type="fixed"/>
        <w:tblLook w:val="01E0" w:firstRow="1" w:lastRow="1" w:firstColumn="1" w:lastColumn="1" w:noHBand="0" w:noVBand="0"/>
      </w:tblPr>
      <w:tblGrid>
        <w:gridCol w:w="1617"/>
        <w:gridCol w:w="2697"/>
        <w:gridCol w:w="992"/>
        <w:gridCol w:w="1134"/>
        <w:gridCol w:w="1134"/>
        <w:gridCol w:w="993"/>
        <w:gridCol w:w="679"/>
        <w:gridCol w:w="29"/>
        <w:gridCol w:w="994"/>
      </w:tblGrid>
      <w:tr w:rsidR="00ED3D33" w:rsidRPr="00F45DAC" w14:paraId="4C2B81BA" w14:textId="77777777" w:rsidTr="003D5632">
        <w:tc>
          <w:tcPr>
            <w:tcW w:w="1617" w:type="dxa"/>
          </w:tcPr>
          <w:p w14:paraId="52D266C9" w14:textId="77777777" w:rsidR="00ED3D33" w:rsidRPr="00BB7ED1" w:rsidRDefault="00ED3D33" w:rsidP="00400DD1">
            <w:pPr>
              <w:widowControl w:val="0"/>
              <w:overflowPunct w:val="0"/>
              <w:autoSpaceDE w:val="0"/>
              <w:autoSpaceDN w:val="0"/>
              <w:adjustRightInd w:val="0"/>
              <w:jc w:val="center"/>
              <w:textAlignment w:val="baseline"/>
              <w:rPr>
                <w:rFonts w:eastAsia="Calibri"/>
                <w:rtl/>
              </w:rPr>
            </w:pPr>
          </w:p>
        </w:tc>
        <w:tc>
          <w:tcPr>
            <w:tcW w:w="2697" w:type="dxa"/>
          </w:tcPr>
          <w:p w14:paraId="6CBE1D72" w14:textId="77777777" w:rsidR="00ED3D33" w:rsidRPr="00BB7ED1" w:rsidRDefault="00ED3D33" w:rsidP="00400DD1">
            <w:pPr>
              <w:widowControl w:val="0"/>
              <w:overflowPunct w:val="0"/>
              <w:autoSpaceDE w:val="0"/>
              <w:autoSpaceDN w:val="0"/>
              <w:adjustRightInd w:val="0"/>
              <w:jc w:val="center"/>
              <w:textAlignment w:val="baseline"/>
              <w:rPr>
                <w:rFonts w:eastAsia="Calibri"/>
                <w:rtl/>
              </w:rPr>
            </w:pPr>
          </w:p>
        </w:tc>
        <w:tc>
          <w:tcPr>
            <w:tcW w:w="5955" w:type="dxa"/>
            <w:gridSpan w:val="7"/>
            <w:vAlign w:val="bottom"/>
          </w:tcPr>
          <w:p w14:paraId="547CA0A3" w14:textId="318EFA59"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sz w:val="18"/>
                <w:szCs w:val="18"/>
                <w:rtl/>
              </w:rPr>
            </w:pPr>
            <w:r w:rsidRPr="003B3192">
              <w:rPr>
                <w:rFonts w:eastAsia="Calibri" w:hint="cs"/>
                <w:b/>
                <w:bCs/>
                <w:sz w:val="18"/>
                <w:szCs w:val="18"/>
                <w:rtl/>
              </w:rPr>
              <w:t xml:space="preserve">ליום 31 בדצמבר </w:t>
            </w:r>
            <w:r w:rsidRPr="003B3192">
              <w:rPr>
                <w:b/>
                <w:bCs/>
                <w:sz w:val="18"/>
                <w:szCs w:val="18"/>
                <w:rtl/>
              </w:rPr>
              <w:fldChar w:fldCharType="begin"/>
            </w:r>
            <w:r w:rsidRPr="003B3192">
              <w:rPr>
                <w:b/>
                <w:bCs/>
                <w:sz w:val="18"/>
                <w:szCs w:val="18"/>
                <w:rtl/>
              </w:rPr>
              <w:instrText xml:space="preserve"> </w:instrText>
            </w:r>
            <w:r w:rsidRPr="003B3192">
              <w:rPr>
                <w:rFonts w:hint="cs"/>
                <w:b/>
                <w:bCs/>
                <w:sz w:val="18"/>
                <w:szCs w:val="18"/>
                <w:rtl/>
              </w:rPr>
              <w:instrText xml:space="preserve">= </w:instrText>
            </w:r>
            <w:r w:rsidRPr="003B3192">
              <w:rPr>
                <w:rFonts w:hint="cs"/>
                <w:b/>
                <w:bCs/>
                <w:sz w:val="18"/>
                <w:szCs w:val="18"/>
              </w:rPr>
              <w:instrText>CY</w:instrText>
            </w:r>
            <w:r w:rsidRPr="003B3192">
              <w:rPr>
                <w:b/>
                <w:bCs/>
                <w:sz w:val="18"/>
                <w:szCs w:val="18"/>
              </w:rPr>
              <w:instrText>-1</w:instrText>
            </w:r>
            <w:r w:rsidRPr="003B3192">
              <w:rPr>
                <w:rFonts w:hint="cs"/>
                <w:b/>
                <w:bCs/>
                <w:sz w:val="18"/>
                <w:szCs w:val="18"/>
              </w:rPr>
              <w:instrText xml:space="preserve"> \* MERGEFORMAT</w:instrText>
            </w:r>
            <w:r w:rsidRPr="003B3192">
              <w:rPr>
                <w:b/>
                <w:bCs/>
                <w:sz w:val="18"/>
                <w:szCs w:val="18"/>
                <w:rtl/>
              </w:rPr>
              <w:instrText xml:space="preserve"> </w:instrText>
            </w:r>
            <w:r w:rsidRPr="003B3192">
              <w:rPr>
                <w:b/>
                <w:bCs/>
                <w:sz w:val="18"/>
                <w:szCs w:val="18"/>
                <w:rtl/>
              </w:rPr>
              <w:fldChar w:fldCharType="separate"/>
            </w:r>
            <w:r w:rsidR="003A584F">
              <w:rPr>
                <w:b/>
                <w:bCs/>
                <w:noProof/>
                <w:sz w:val="18"/>
                <w:szCs w:val="18"/>
                <w:rtl/>
              </w:rPr>
              <w:t>2023</w:t>
            </w:r>
            <w:r w:rsidRPr="003B3192">
              <w:rPr>
                <w:b/>
                <w:bCs/>
                <w:sz w:val="18"/>
                <w:szCs w:val="18"/>
                <w:rtl/>
              </w:rPr>
              <w:fldChar w:fldCharType="end"/>
            </w:r>
            <w:r w:rsidRPr="003B3192">
              <w:rPr>
                <w:rFonts w:hint="cs"/>
                <w:sz w:val="18"/>
                <w:szCs w:val="18"/>
                <w:rtl/>
              </w:rPr>
              <w:t xml:space="preserve"> </w:t>
            </w:r>
            <w:r w:rsidRPr="001F0989">
              <w:rPr>
                <w:rFonts w:eastAsia="Calibri" w:hint="cs"/>
                <w:sz w:val="18"/>
                <w:szCs w:val="18"/>
                <w:rtl/>
              </w:rPr>
              <w:t>(מבוקר)</w:t>
            </w:r>
          </w:p>
        </w:tc>
      </w:tr>
      <w:tr w:rsidR="00ED3D33" w:rsidRPr="00F45DAC" w14:paraId="08F1AFAA" w14:textId="77777777" w:rsidTr="003D5632">
        <w:tc>
          <w:tcPr>
            <w:tcW w:w="1617" w:type="dxa"/>
          </w:tcPr>
          <w:p w14:paraId="3C1CA7B8" w14:textId="77777777" w:rsidR="00ED3D33" w:rsidRPr="00BB7ED1" w:rsidRDefault="00ED3D33" w:rsidP="00400DD1">
            <w:pPr>
              <w:widowControl w:val="0"/>
              <w:overflowPunct w:val="0"/>
              <w:autoSpaceDE w:val="0"/>
              <w:autoSpaceDN w:val="0"/>
              <w:adjustRightInd w:val="0"/>
              <w:jc w:val="center"/>
              <w:textAlignment w:val="baseline"/>
              <w:rPr>
                <w:rFonts w:eastAsia="Calibri"/>
                <w:rtl/>
              </w:rPr>
            </w:pPr>
          </w:p>
        </w:tc>
        <w:tc>
          <w:tcPr>
            <w:tcW w:w="2697" w:type="dxa"/>
          </w:tcPr>
          <w:p w14:paraId="325B0DF1" w14:textId="77777777" w:rsidR="00ED3D33" w:rsidRPr="00BB7ED1" w:rsidRDefault="00ED3D33" w:rsidP="00400DD1">
            <w:pPr>
              <w:widowControl w:val="0"/>
              <w:overflowPunct w:val="0"/>
              <w:autoSpaceDE w:val="0"/>
              <w:autoSpaceDN w:val="0"/>
              <w:adjustRightInd w:val="0"/>
              <w:jc w:val="center"/>
              <w:textAlignment w:val="baseline"/>
              <w:rPr>
                <w:rFonts w:eastAsia="Calibri"/>
                <w:rtl/>
              </w:rPr>
            </w:pPr>
          </w:p>
        </w:tc>
        <w:tc>
          <w:tcPr>
            <w:tcW w:w="4961" w:type="dxa"/>
            <w:gridSpan w:val="6"/>
            <w:vAlign w:val="bottom"/>
          </w:tcPr>
          <w:p w14:paraId="6A32B70E" w14:textId="77777777"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sz w:val="18"/>
                <w:szCs w:val="18"/>
                <w:rtl/>
              </w:rPr>
            </w:pPr>
            <w:r w:rsidRPr="003B3192">
              <w:rPr>
                <w:rFonts w:eastAsia="Calibri" w:hint="cs"/>
                <w:b/>
                <w:bCs/>
                <w:sz w:val="18"/>
                <w:szCs w:val="18"/>
                <w:rtl/>
              </w:rPr>
              <w:t>הסכום המקסימלי של תשלומים עתידיים פוטנציאליים</w:t>
            </w:r>
          </w:p>
        </w:tc>
        <w:tc>
          <w:tcPr>
            <w:tcW w:w="994" w:type="dxa"/>
            <w:vAlign w:val="bottom"/>
          </w:tcPr>
          <w:p w14:paraId="36A5927E" w14:textId="77777777" w:rsidR="00ED3D33" w:rsidRPr="003B3192" w:rsidRDefault="00ED3D33" w:rsidP="00400DD1">
            <w:pPr>
              <w:widowControl w:val="0"/>
              <w:overflowPunct w:val="0"/>
              <w:autoSpaceDE w:val="0"/>
              <w:autoSpaceDN w:val="0"/>
              <w:adjustRightInd w:val="0"/>
              <w:ind w:left="57" w:right="57"/>
              <w:jc w:val="center"/>
              <w:textAlignment w:val="baseline"/>
              <w:rPr>
                <w:rFonts w:eastAsia="Calibri"/>
                <w:sz w:val="18"/>
                <w:szCs w:val="18"/>
                <w:rtl/>
              </w:rPr>
            </w:pPr>
          </w:p>
        </w:tc>
      </w:tr>
      <w:tr w:rsidR="00ED3D33" w:rsidRPr="00F45DAC" w14:paraId="3AE17B57" w14:textId="77777777" w:rsidTr="003D5632">
        <w:tc>
          <w:tcPr>
            <w:tcW w:w="1617" w:type="dxa"/>
          </w:tcPr>
          <w:p w14:paraId="3AECAF9A" w14:textId="77777777" w:rsidR="00ED3D33" w:rsidRPr="00BB7ED1" w:rsidRDefault="00ED3D33" w:rsidP="00400DD1">
            <w:pPr>
              <w:widowControl w:val="0"/>
              <w:overflowPunct w:val="0"/>
              <w:autoSpaceDE w:val="0"/>
              <w:autoSpaceDN w:val="0"/>
              <w:adjustRightInd w:val="0"/>
              <w:jc w:val="center"/>
              <w:textAlignment w:val="baseline"/>
              <w:rPr>
                <w:rFonts w:eastAsia="Calibri"/>
                <w:rtl/>
              </w:rPr>
            </w:pPr>
          </w:p>
        </w:tc>
        <w:tc>
          <w:tcPr>
            <w:tcW w:w="2697" w:type="dxa"/>
          </w:tcPr>
          <w:p w14:paraId="25196C2E" w14:textId="77777777" w:rsidR="00ED3D33" w:rsidRPr="00BB7ED1" w:rsidRDefault="00ED3D33" w:rsidP="00400DD1">
            <w:pPr>
              <w:widowControl w:val="0"/>
              <w:overflowPunct w:val="0"/>
              <w:autoSpaceDE w:val="0"/>
              <w:autoSpaceDN w:val="0"/>
              <w:adjustRightInd w:val="0"/>
              <w:jc w:val="center"/>
              <w:textAlignment w:val="baseline"/>
              <w:rPr>
                <w:rFonts w:eastAsia="Calibri"/>
                <w:rtl/>
              </w:rPr>
            </w:pPr>
          </w:p>
        </w:tc>
        <w:tc>
          <w:tcPr>
            <w:tcW w:w="992" w:type="dxa"/>
            <w:vAlign w:val="bottom"/>
          </w:tcPr>
          <w:p w14:paraId="5B57F441" w14:textId="77777777"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pacing w:val="-8"/>
                <w:sz w:val="18"/>
                <w:szCs w:val="18"/>
                <w:rtl/>
              </w:rPr>
              <w:t>פקיעה שנה או פחות</w:t>
            </w:r>
          </w:p>
        </w:tc>
        <w:tc>
          <w:tcPr>
            <w:tcW w:w="1134" w:type="dxa"/>
            <w:vAlign w:val="bottom"/>
          </w:tcPr>
          <w:p w14:paraId="58424FC2" w14:textId="77777777"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פקיעה לאחר שנה ועד 3 שנים</w:t>
            </w:r>
          </w:p>
        </w:tc>
        <w:tc>
          <w:tcPr>
            <w:tcW w:w="1134" w:type="dxa"/>
            <w:vAlign w:val="bottom"/>
          </w:tcPr>
          <w:p w14:paraId="02FA9FC5" w14:textId="77777777"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פקיעה לאחר 3 עד 5 שנים</w:t>
            </w:r>
          </w:p>
        </w:tc>
        <w:tc>
          <w:tcPr>
            <w:tcW w:w="993" w:type="dxa"/>
            <w:vAlign w:val="bottom"/>
          </w:tcPr>
          <w:p w14:paraId="63CFF752" w14:textId="77777777"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פקיעה לאחר 5 שנים</w:t>
            </w:r>
          </w:p>
        </w:tc>
        <w:tc>
          <w:tcPr>
            <w:tcW w:w="708" w:type="dxa"/>
            <w:gridSpan w:val="2"/>
            <w:vAlign w:val="bottom"/>
          </w:tcPr>
          <w:p w14:paraId="3C4FEBD1" w14:textId="77777777"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סך הכל</w:t>
            </w:r>
          </w:p>
        </w:tc>
        <w:tc>
          <w:tcPr>
            <w:tcW w:w="994" w:type="dxa"/>
            <w:vAlign w:val="bottom"/>
          </w:tcPr>
          <w:p w14:paraId="61169866" w14:textId="77777777"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הערך בספרים</w:t>
            </w:r>
          </w:p>
        </w:tc>
      </w:tr>
      <w:tr w:rsidR="00ED3D33" w:rsidRPr="00F45DAC" w14:paraId="5B13AD2C" w14:textId="77777777" w:rsidTr="003D5632">
        <w:tc>
          <w:tcPr>
            <w:tcW w:w="1617" w:type="dxa"/>
          </w:tcPr>
          <w:p w14:paraId="77457CDD" w14:textId="77777777" w:rsidR="00ED3D33" w:rsidRPr="00BB7ED1" w:rsidRDefault="00ED3D33" w:rsidP="00400DD1">
            <w:pPr>
              <w:widowControl w:val="0"/>
              <w:overflowPunct w:val="0"/>
              <w:autoSpaceDE w:val="0"/>
              <w:autoSpaceDN w:val="0"/>
              <w:adjustRightInd w:val="0"/>
              <w:jc w:val="center"/>
              <w:textAlignment w:val="baseline"/>
              <w:rPr>
                <w:rFonts w:eastAsia="Calibri"/>
                <w:rtl/>
              </w:rPr>
            </w:pPr>
          </w:p>
        </w:tc>
        <w:tc>
          <w:tcPr>
            <w:tcW w:w="2697" w:type="dxa"/>
          </w:tcPr>
          <w:p w14:paraId="3FD41655" w14:textId="77777777" w:rsidR="00ED3D33" w:rsidRPr="00BB7ED1" w:rsidRDefault="00ED3D33" w:rsidP="00400DD1">
            <w:pPr>
              <w:widowControl w:val="0"/>
              <w:overflowPunct w:val="0"/>
              <w:autoSpaceDE w:val="0"/>
              <w:autoSpaceDN w:val="0"/>
              <w:adjustRightInd w:val="0"/>
              <w:jc w:val="center"/>
              <w:textAlignment w:val="baseline"/>
              <w:rPr>
                <w:rFonts w:eastAsia="Calibri"/>
                <w:rtl/>
              </w:rPr>
            </w:pPr>
          </w:p>
        </w:tc>
        <w:tc>
          <w:tcPr>
            <w:tcW w:w="5955" w:type="dxa"/>
            <w:gridSpan w:val="7"/>
            <w:vAlign w:val="bottom"/>
          </w:tcPr>
          <w:p w14:paraId="46699205" w14:textId="77777777" w:rsidR="00ED3D33" w:rsidRPr="003B3192" w:rsidRDefault="00ED3D33" w:rsidP="00400DD1">
            <w:pPr>
              <w:widowControl w:val="0"/>
              <w:pBdr>
                <w:bottom w:val="single" w:sz="4" w:space="1" w:color="auto"/>
              </w:pBdr>
              <w:overflowPunct w:val="0"/>
              <w:autoSpaceDE w:val="0"/>
              <w:autoSpaceDN w:val="0"/>
              <w:adjustRightInd w:val="0"/>
              <w:ind w:left="57" w:right="57"/>
              <w:jc w:val="center"/>
              <w:textAlignment w:val="baseline"/>
              <w:rPr>
                <w:rFonts w:eastAsia="Calibri"/>
                <w:b/>
                <w:bCs/>
                <w:sz w:val="18"/>
                <w:szCs w:val="18"/>
                <w:rtl/>
              </w:rPr>
            </w:pPr>
            <w:r w:rsidRPr="003B3192">
              <w:rPr>
                <w:rFonts w:eastAsia="Calibri" w:hint="cs"/>
                <w:b/>
                <w:bCs/>
                <w:sz w:val="18"/>
                <w:szCs w:val="18"/>
                <w:rtl/>
              </w:rPr>
              <w:t>במיליוני ש"ח</w:t>
            </w:r>
          </w:p>
        </w:tc>
      </w:tr>
      <w:tr w:rsidR="00ED3D33" w:rsidRPr="00F45DAC" w14:paraId="1089B0FE" w14:textId="77777777" w:rsidTr="003D5632">
        <w:trPr>
          <w:trHeight w:val="113"/>
        </w:trPr>
        <w:tc>
          <w:tcPr>
            <w:tcW w:w="1617" w:type="dxa"/>
          </w:tcPr>
          <w:p w14:paraId="1CE74548"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p>
        </w:tc>
        <w:tc>
          <w:tcPr>
            <w:tcW w:w="2697" w:type="dxa"/>
          </w:tcPr>
          <w:p w14:paraId="6F599BE4" w14:textId="77777777" w:rsidR="00ED3D33" w:rsidRPr="004D022A"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z w:val="18"/>
                <w:szCs w:val="18"/>
                <w:rtl/>
              </w:rPr>
              <w:t>ערבויות להבטחת אשראי*</w:t>
            </w:r>
          </w:p>
        </w:tc>
        <w:tc>
          <w:tcPr>
            <w:tcW w:w="992" w:type="dxa"/>
            <w:vAlign w:val="bottom"/>
          </w:tcPr>
          <w:p w14:paraId="5BBE77A2"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35005ACB"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69A7E886"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69904128"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5E208B9F"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2"/>
            <w:vAlign w:val="bottom"/>
          </w:tcPr>
          <w:p w14:paraId="219948C7"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D3D33" w:rsidRPr="00F45DAC" w14:paraId="770DC137" w14:textId="77777777" w:rsidTr="003D5632">
        <w:trPr>
          <w:trHeight w:val="170"/>
        </w:trPr>
        <w:tc>
          <w:tcPr>
            <w:tcW w:w="1617" w:type="dxa"/>
          </w:tcPr>
          <w:p w14:paraId="0D57CAAE"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p>
        </w:tc>
        <w:tc>
          <w:tcPr>
            <w:tcW w:w="2697" w:type="dxa"/>
          </w:tcPr>
          <w:p w14:paraId="7C0736D8" w14:textId="77777777" w:rsidR="00ED3D33" w:rsidRPr="004D022A"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z w:val="18"/>
                <w:szCs w:val="18"/>
                <w:rtl/>
              </w:rPr>
              <w:t>ערבויות לרוכשי דירות</w:t>
            </w:r>
          </w:p>
        </w:tc>
        <w:tc>
          <w:tcPr>
            <w:tcW w:w="992" w:type="dxa"/>
            <w:vAlign w:val="bottom"/>
          </w:tcPr>
          <w:p w14:paraId="3BD0012B"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35C99C79"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12849D3C"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0490C105"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40499576"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2"/>
            <w:vAlign w:val="bottom"/>
          </w:tcPr>
          <w:p w14:paraId="61F7B5FE"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D3D33" w:rsidRPr="00F45DAC" w14:paraId="2FBB6702" w14:textId="77777777" w:rsidTr="003D5632">
        <w:trPr>
          <w:trHeight w:val="170"/>
        </w:trPr>
        <w:tc>
          <w:tcPr>
            <w:tcW w:w="1617" w:type="dxa"/>
          </w:tcPr>
          <w:p w14:paraId="65BA430E"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spacing w:val="-8"/>
                <w:rtl/>
              </w:rPr>
            </w:pPr>
          </w:p>
        </w:tc>
        <w:tc>
          <w:tcPr>
            <w:tcW w:w="2697" w:type="dxa"/>
          </w:tcPr>
          <w:p w14:paraId="35AB5577" w14:textId="77777777" w:rsidR="00ED3D33" w:rsidRPr="004D022A"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pacing w:val="-8"/>
                <w:sz w:val="18"/>
                <w:szCs w:val="18"/>
                <w:rtl/>
              </w:rPr>
              <w:t>הסכמי שיפוי</w:t>
            </w:r>
          </w:p>
        </w:tc>
        <w:tc>
          <w:tcPr>
            <w:tcW w:w="992" w:type="dxa"/>
            <w:vAlign w:val="bottom"/>
          </w:tcPr>
          <w:p w14:paraId="08FA86DB"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0E14441F"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3A861475"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44CB9303"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50D3B102"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2"/>
            <w:vAlign w:val="bottom"/>
          </w:tcPr>
          <w:p w14:paraId="643A682D"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D3D33" w:rsidRPr="00F45DAC" w14:paraId="647D3578" w14:textId="77777777" w:rsidTr="003D5632">
        <w:trPr>
          <w:trHeight w:val="170"/>
        </w:trPr>
        <w:tc>
          <w:tcPr>
            <w:tcW w:w="1617" w:type="dxa"/>
          </w:tcPr>
          <w:p w14:paraId="436B7757"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p>
        </w:tc>
        <w:tc>
          <w:tcPr>
            <w:tcW w:w="2697" w:type="dxa"/>
          </w:tcPr>
          <w:p w14:paraId="0CCE269D" w14:textId="77777777" w:rsidR="00ED3D33" w:rsidRPr="004D022A"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z w:val="18"/>
                <w:szCs w:val="18"/>
                <w:rtl/>
              </w:rPr>
              <w:t>התחייבויות להוצאת ערבויות</w:t>
            </w:r>
          </w:p>
        </w:tc>
        <w:tc>
          <w:tcPr>
            <w:tcW w:w="992" w:type="dxa"/>
            <w:vAlign w:val="bottom"/>
          </w:tcPr>
          <w:p w14:paraId="5BAC1EFD"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752DB476"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757109ED"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0C96BB11"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0D93394B"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2"/>
            <w:vAlign w:val="bottom"/>
          </w:tcPr>
          <w:p w14:paraId="6409BBF9"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D3D33" w:rsidRPr="00F45DAC" w14:paraId="2C51218B" w14:textId="77777777" w:rsidTr="003D5632">
        <w:trPr>
          <w:trHeight w:val="170"/>
        </w:trPr>
        <w:tc>
          <w:tcPr>
            <w:tcW w:w="1617" w:type="dxa"/>
          </w:tcPr>
          <w:p w14:paraId="327919A8"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p>
        </w:tc>
        <w:tc>
          <w:tcPr>
            <w:tcW w:w="2697" w:type="dxa"/>
          </w:tcPr>
          <w:p w14:paraId="6ADA0C6F" w14:textId="77777777" w:rsidR="00ED3D33" w:rsidRPr="004D022A"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z w:val="18"/>
                <w:szCs w:val="18"/>
                <w:rtl/>
              </w:rPr>
              <w:t>מכתבי אשראי/אשראי תעודות</w:t>
            </w:r>
          </w:p>
        </w:tc>
        <w:tc>
          <w:tcPr>
            <w:tcW w:w="992" w:type="dxa"/>
            <w:vAlign w:val="bottom"/>
          </w:tcPr>
          <w:p w14:paraId="4A1BE653"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2B5FDC7D"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179A7530"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1B8E7ABF"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4407AFBA"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2"/>
            <w:vAlign w:val="bottom"/>
          </w:tcPr>
          <w:p w14:paraId="75ED5134"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D3D33" w:rsidRPr="00F45DAC" w14:paraId="656758E4" w14:textId="77777777" w:rsidTr="003D5632">
        <w:trPr>
          <w:trHeight w:val="170"/>
        </w:trPr>
        <w:tc>
          <w:tcPr>
            <w:tcW w:w="1617" w:type="dxa"/>
          </w:tcPr>
          <w:p w14:paraId="3F808978"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p>
        </w:tc>
        <w:tc>
          <w:tcPr>
            <w:tcW w:w="2697" w:type="dxa"/>
          </w:tcPr>
          <w:p w14:paraId="41268E5F" w14:textId="77777777" w:rsidR="00ED3D33" w:rsidRPr="004D022A"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4D022A">
              <w:rPr>
                <w:rFonts w:eastAsia="Calibri"/>
                <w:sz w:val="18"/>
                <w:szCs w:val="18"/>
                <w:rtl/>
              </w:rPr>
              <w:t>אחר</w:t>
            </w:r>
          </w:p>
        </w:tc>
        <w:tc>
          <w:tcPr>
            <w:tcW w:w="992" w:type="dxa"/>
            <w:vAlign w:val="bottom"/>
          </w:tcPr>
          <w:p w14:paraId="7F309AD0" w14:textId="77777777" w:rsidR="00ED3D33" w:rsidRPr="00BB7ED1" w:rsidRDefault="00ED3D33" w:rsidP="00400DD1">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06B028A2" w14:textId="77777777" w:rsidR="00ED3D33" w:rsidRPr="00BB7ED1" w:rsidRDefault="00ED3D33" w:rsidP="00400DD1">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2F138720" w14:textId="77777777" w:rsidR="00ED3D33" w:rsidRPr="00BB7ED1" w:rsidRDefault="00ED3D33" w:rsidP="00400DD1">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1B3399EA" w14:textId="77777777" w:rsidR="00ED3D33" w:rsidRPr="00BB7ED1" w:rsidRDefault="00ED3D33" w:rsidP="00400DD1">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25A45DD5" w14:textId="77777777" w:rsidR="00ED3D33" w:rsidRPr="00BB7ED1" w:rsidRDefault="00ED3D33" w:rsidP="00400DD1">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2"/>
            <w:vAlign w:val="bottom"/>
          </w:tcPr>
          <w:p w14:paraId="2DB07438" w14:textId="77777777" w:rsidR="00ED3D33" w:rsidRPr="00BB7ED1" w:rsidRDefault="00ED3D33" w:rsidP="00400DD1">
            <w:pPr>
              <w:widowControl w:val="0"/>
              <w:pBdr>
                <w:bottom w:val="sing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D3D33" w:rsidRPr="00F45DAC" w14:paraId="07B322AE" w14:textId="77777777" w:rsidTr="003D5632">
        <w:tc>
          <w:tcPr>
            <w:tcW w:w="1617" w:type="dxa"/>
          </w:tcPr>
          <w:p w14:paraId="48CA06C8"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p>
        </w:tc>
        <w:tc>
          <w:tcPr>
            <w:tcW w:w="2697" w:type="dxa"/>
          </w:tcPr>
          <w:p w14:paraId="09730C56" w14:textId="77777777" w:rsidR="00ED3D33" w:rsidRPr="004D022A" w:rsidRDefault="00ED3D33" w:rsidP="00400DD1">
            <w:pPr>
              <w:widowControl w:val="0"/>
              <w:overflowPunct w:val="0"/>
              <w:autoSpaceDE w:val="0"/>
              <w:autoSpaceDN w:val="0"/>
              <w:adjustRightInd w:val="0"/>
              <w:spacing w:line="259" w:lineRule="auto"/>
              <w:jc w:val="left"/>
              <w:textAlignment w:val="baseline"/>
              <w:rPr>
                <w:rFonts w:eastAsia="Calibri"/>
                <w:b/>
                <w:bCs/>
                <w:sz w:val="18"/>
                <w:szCs w:val="18"/>
                <w:rtl/>
              </w:rPr>
            </w:pPr>
            <w:r w:rsidRPr="004D022A">
              <w:rPr>
                <w:rFonts w:eastAsia="Calibri"/>
                <w:b/>
                <w:bCs/>
                <w:sz w:val="18"/>
                <w:szCs w:val="18"/>
                <w:rtl/>
              </w:rPr>
              <w:t>סך הכל ערבויות*</w:t>
            </w:r>
          </w:p>
        </w:tc>
        <w:tc>
          <w:tcPr>
            <w:tcW w:w="992" w:type="dxa"/>
            <w:vAlign w:val="bottom"/>
          </w:tcPr>
          <w:p w14:paraId="1DAD0561" w14:textId="77777777" w:rsidR="00ED3D33" w:rsidRPr="00BB7ED1" w:rsidRDefault="00ED3D33" w:rsidP="00400DD1">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11B40E51" w14:textId="77777777" w:rsidR="00ED3D33" w:rsidRPr="00BB7ED1" w:rsidRDefault="00ED3D33" w:rsidP="00400DD1">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134" w:type="dxa"/>
            <w:vAlign w:val="bottom"/>
          </w:tcPr>
          <w:p w14:paraId="4395F61E" w14:textId="77777777" w:rsidR="00ED3D33" w:rsidRPr="00BB7ED1" w:rsidRDefault="00ED3D33" w:rsidP="00400DD1">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993" w:type="dxa"/>
            <w:vAlign w:val="bottom"/>
          </w:tcPr>
          <w:p w14:paraId="6B0FBBAE" w14:textId="77777777" w:rsidR="00ED3D33" w:rsidRPr="00BB7ED1" w:rsidRDefault="00ED3D33" w:rsidP="00400DD1">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679" w:type="dxa"/>
            <w:vAlign w:val="bottom"/>
          </w:tcPr>
          <w:p w14:paraId="559FF9CC" w14:textId="77777777" w:rsidR="00ED3D33" w:rsidRPr="00BB7ED1" w:rsidRDefault="00ED3D33" w:rsidP="00400DD1">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c>
          <w:tcPr>
            <w:tcW w:w="1023" w:type="dxa"/>
            <w:gridSpan w:val="2"/>
            <w:vAlign w:val="bottom"/>
          </w:tcPr>
          <w:p w14:paraId="753EDD0D" w14:textId="77777777" w:rsidR="00ED3D33" w:rsidRPr="00BB7ED1" w:rsidRDefault="00ED3D33" w:rsidP="00400DD1">
            <w:pPr>
              <w:widowControl w:val="0"/>
              <w:pBdr>
                <w:bottom w:val="double" w:sz="4" w:space="1" w:color="auto"/>
              </w:pBdr>
              <w:overflowPunct w:val="0"/>
              <w:autoSpaceDE w:val="0"/>
              <w:autoSpaceDN w:val="0"/>
              <w:adjustRightInd w:val="0"/>
              <w:spacing w:line="259" w:lineRule="auto"/>
              <w:jc w:val="left"/>
              <w:textAlignment w:val="baseline"/>
              <w:rPr>
                <w:rFonts w:eastAsia="Calibri"/>
                <w:rtl/>
              </w:rPr>
            </w:pPr>
            <w:r w:rsidRPr="00BB7ED1">
              <w:rPr>
                <w:rFonts w:eastAsia="Calibri"/>
                <w:rtl/>
              </w:rPr>
              <w:t>0</w:t>
            </w:r>
          </w:p>
        </w:tc>
      </w:tr>
      <w:tr w:rsidR="00ED3D33" w:rsidRPr="00F45DAC" w14:paraId="1BFDBF4C" w14:textId="77777777" w:rsidTr="003D5632">
        <w:trPr>
          <w:trHeight w:val="66"/>
        </w:trPr>
        <w:tc>
          <w:tcPr>
            <w:tcW w:w="1617" w:type="dxa"/>
          </w:tcPr>
          <w:p w14:paraId="7E461080"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rtl/>
              </w:rPr>
            </w:pPr>
          </w:p>
        </w:tc>
        <w:tc>
          <w:tcPr>
            <w:tcW w:w="2697" w:type="dxa"/>
          </w:tcPr>
          <w:p w14:paraId="60F3ED8B" w14:textId="77777777" w:rsidR="00ED3D33" w:rsidRPr="004D022A" w:rsidRDefault="00ED3D33" w:rsidP="00400DD1">
            <w:pPr>
              <w:widowControl w:val="0"/>
              <w:overflowPunct w:val="0"/>
              <w:autoSpaceDE w:val="0"/>
              <w:autoSpaceDN w:val="0"/>
              <w:adjustRightInd w:val="0"/>
              <w:spacing w:line="259" w:lineRule="auto"/>
              <w:ind w:left="96" w:hanging="96"/>
              <w:jc w:val="left"/>
              <w:textAlignment w:val="baseline"/>
              <w:rPr>
                <w:rFonts w:eastAsia="Calibri"/>
                <w:sz w:val="18"/>
                <w:szCs w:val="18"/>
                <w:rtl/>
              </w:rPr>
            </w:pPr>
            <w:r w:rsidRPr="004D022A">
              <w:rPr>
                <w:rFonts w:eastAsia="Calibri"/>
                <w:sz w:val="18"/>
                <w:szCs w:val="18"/>
                <w:rtl/>
              </w:rPr>
              <w:t>*</w:t>
            </w:r>
            <w:r w:rsidRPr="004D022A">
              <w:rPr>
                <w:rFonts w:eastAsia="Calibri"/>
                <w:sz w:val="18"/>
                <w:szCs w:val="18"/>
                <w:rtl/>
              </w:rPr>
              <w:tab/>
              <w:t>מזה: ערבויות ליתרות חוב הנובעות מעסקאות בכרטיסי אשראי</w:t>
            </w:r>
          </w:p>
        </w:tc>
        <w:tc>
          <w:tcPr>
            <w:tcW w:w="992" w:type="dxa"/>
            <w:vAlign w:val="bottom"/>
          </w:tcPr>
          <w:p w14:paraId="08ECCED5"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 xml:space="preserve">0   </w:t>
            </w:r>
          </w:p>
        </w:tc>
        <w:tc>
          <w:tcPr>
            <w:tcW w:w="1134" w:type="dxa"/>
            <w:vAlign w:val="bottom"/>
          </w:tcPr>
          <w:p w14:paraId="7FC772FA"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0</w:t>
            </w:r>
          </w:p>
        </w:tc>
        <w:tc>
          <w:tcPr>
            <w:tcW w:w="1134" w:type="dxa"/>
            <w:vAlign w:val="bottom"/>
          </w:tcPr>
          <w:p w14:paraId="2192EA77"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0</w:t>
            </w:r>
          </w:p>
        </w:tc>
        <w:tc>
          <w:tcPr>
            <w:tcW w:w="993" w:type="dxa"/>
            <w:vAlign w:val="bottom"/>
          </w:tcPr>
          <w:p w14:paraId="1C39A4A2"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0</w:t>
            </w:r>
          </w:p>
        </w:tc>
        <w:tc>
          <w:tcPr>
            <w:tcW w:w="679" w:type="dxa"/>
            <w:vAlign w:val="bottom"/>
          </w:tcPr>
          <w:p w14:paraId="6A6DA6AD"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0</w:t>
            </w:r>
          </w:p>
        </w:tc>
        <w:tc>
          <w:tcPr>
            <w:tcW w:w="1023" w:type="dxa"/>
            <w:gridSpan w:val="2"/>
            <w:vAlign w:val="bottom"/>
          </w:tcPr>
          <w:p w14:paraId="0BA03429" w14:textId="77777777" w:rsidR="00ED3D33" w:rsidRPr="00BB7ED1" w:rsidRDefault="00ED3D33" w:rsidP="00400DD1">
            <w:pPr>
              <w:widowControl w:val="0"/>
              <w:overflowPunct w:val="0"/>
              <w:autoSpaceDE w:val="0"/>
              <w:autoSpaceDN w:val="0"/>
              <w:adjustRightInd w:val="0"/>
              <w:spacing w:line="259" w:lineRule="auto"/>
              <w:jc w:val="left"/>
              <w:textAlignment w:val="baseline"/>
              <w:rPr>
                <w:rFonts w:eastAsia="Calibri"/>
                <w:sz w:val="18"/>
                <w:szCs w:val="18"/>
                <w:rtl/>
              </w:rPr>
            </w:pPr>
            <w:r w:rsidRPr="00BB7ED1">
              <w:rPr>
                <w:rFonts w:eastAsia="Calibri"/>
                <w:sz w:val="18"/>
                <w:szCs w:val="18"/>
                <w:rtl/>
              </w:rPr>
              <w:t>0</w:t>
            </w:r>
          </w:p>
        </w:tc>
      </w:tr>
    </w:tbl>
    <w:p w14:paraId="1723D515" w14:textId="77777777" w:rsidR="006D22E3" w:rsidRPr="00F46DF4" w:rsidRDefault="006D22E3">
      <w:pPr>
        <w:pStyle w:val="-0"/>
        <w:spacing w:before="60" w:line="360" w:lineRule="auto"/>
        <w:ind w:left="0" w:firstLine="0"/>
        <w:rPr>
          <w:color w:val="FF0000"/>
          <w:sz w:val="24"/>
          <w:szCs w:val="24"/>
          <w:rtl/>
        </w:rPr>
        <w:sectPr w:rsidR="006D22E3" w:rsidRPr="00F46DF4" w:rsidSect="00587121">
          <w:footnotePr>
            <w:numRestart w:val="eachPage"/>
          </w:footnotePr>
          <w:pgSz w:w="11909" w:h="16834" w:code="9"/>
          <w:pgMar w:top="851" w:right="851" w:bottom="851" w:left="851" w:header="720" w:footer="720" w:gutter="0"/>
          <w:cols w:space="720"/>
          <w:bidi/>
          <w:rtlGutter/>
          <w:docGrid w:linePitch="360"/>
        </w:sectPr>
      </w:pPr>
    </w:p>
    <w:tbl>
      <w:tblPr>
        <w:bidiVisual/>
        <w:tblW w:w="759" w:type="pct"/>
        <w:tblLook w:val="04A0" w:firstRow="1" w:lastRow="0" w:firstColumn="1" w:lastColumn="0" w:noHBand="0" w:noVBand="1"/>
      </w:tblPr>
      <w:tblGrid>
        <w:gridCol w:w="1549"/>
      </w:tblGrid>
      <w:tr w:rsidR="004B7B7F" w:rsidRPr="00535CC5" w14:paraId="55BF2038" w14:textId="77777777" w:rsidTr="004B7B7F">
        <w:trPr>
          <w:trHeight w:val="259"/>
        </w:trPr>
        <w:tc>
          <w:tcPr>
            <w:tcW w:w="1582" w:type="dxa"/>
          </w:tcPr>
          <w:p w14:paraId="54B242F2" w14:textId="77777777" w:rsidR="004B7B7F" w:rsidRPr="00B44059" w:rsidRDefault="004B7B7F" w:rsidP="00467018">
            <w:pPr>
              <w:pStyle w:val="-0"/>
              <w:spacing w:before="60" w:line="360" w:lineRule="auto"/>
              <w:ind w:left="0" w:firstLine="0"/>
              <w:rPr>
                <w:sz w:val="14"/>
                <w:szCs w:val="14"/>
                <w:rtl/>
              </w:rPr>
            </w:pPr>
            <w:r w:rsidRPr="00B44059">
              <w:rPr>
                <w:rFonts w:hint="eastAsia"/>
                <w:sz w:val="14"/>
                <w:szCs w:val="14"/>
                <w:rtl/>
              </w:rPr>
              <w:lastRenderedPageBreak/>
              <w:t>ה</w:t>
            </w:r>
            <w:r w:rsidRPr="00B44059">
              <w:rPr>
                <w:sz w:val="14"/>
                <w:szCs w:val="14"/>
                <w:rtl/>
              </w:rPr>
              <w:t xml:space="preserve">. </w:t>
            </w:r>
            <w:r w:rsidRPr="00B44059">
              <w:rPr>
                <w:rFonts w:hint="eastAsia"/>
                <w:sz w:val="14"/>
                <w:szCs w:val="14"/>
                <w:rtl/>
              </w:rPr>
              <w:t>המפקח</w:t>
            </w:r>
            <w:r w:rsidRPr="00B44059">
              <w:rPr>
                <w:sz w:val="14"/>
                <w:szCs w:val="14"/>
                <w:rtl/>
              </w:rPr>
              <w:t xml:space="preserve"> </w:t>
            </w:r>
            <w:r w:rsidRPr="00B44059">
              <w:rPr>
                <w:rFonts w:hint="eastAsia"/>
                <w:sz w:val="14"/>
                <w:szCs w:val="14"/>
                <w:rtl/>
              </w:rPr>
              <w:t>ס</w:t>
            </w:r>
            <w:r w:rsidRPr="00B44059">
              <w:rPr>
                <w:sz w:val="14"/>
                <w:szCs w:val="14"/>
                <w:rtl/>
              </w:rPr>
              <w:t>' 50</w:t>
            </w:r>
          </w:p>
        </w:tc>
      </w:tr>
    </w:tbl>
    <w:p w14:paraId="2043EA2C" w14:textId="77777777" w:rsidR="004B7B7F" w:rsidRDefault="0098104B" w:rsidP="003D5632">
      <w:pPr>
        <w:pStyle w:val="5"/>
        <w:ind w:firstLine="1135"/>
      </w:pPr>
      <w:bookmarkStart w:id="53" w:name="_Toc160529233"/>
      <w:r>
        <w:rPr>
          <w:rFonts w:eastAsia="Arial Unicode MS"/>
          <w:rtl/>
        </w:rPr>
        <w:t>ביאור 1</w:t>
      </w:r>
      <w:r w:rsidR="00316579">
        <w:rPr>
          <w:rFonts w:eastAsia="Arial Unicode MS" w:hint="cs"/>
          <w:rtl/>
        </w:rPr>
        <w:t>3</w:t>
      </w:r>
      <w:r>
        <w:rPr>
          <w:rFonts w:eastAsia="Arial Unicode MS" w:hint="cs"/>
          <w:rtl/>
        </w:rPr>
        <w:t xml:space="preserve"> </w:t>
      </w:r>
      <w:r w:rsidR="00C660B2">
        <w:rPr>
          <w:rFonts w:eastAsia="Arial Unicode MS"/>
          <w:rtl/>
        </w:rPr>
        <w:t xml:space="preserve">- </w:t>
      </w:r>
      <w:r w:rsidR="004B7B7F" w:rsidRPr="00B44059">
        <w:rPr>
          <w:rFonts w:hint="eastAsia"/>
          <w:rtl/>
        </w:rPr>
        <w:t>דוח</w:t>
      </w:r>
      <w:r w:rsidR="004B7B7F" w:rsidRPr="00B44059">
        <w:rPr>
          <w:rtl/>
        </w:rPr>
        <w:t xml:space="preserve"> מאוחד על נכסים והתחייבויות לפי בסיסי הצמדה</w:t>
      </w:r>
      <w:r w:rsidR="004B7B7F">
        <w:rPr>
          <w:rFonts w:eastAsia="Arial Unicode MS" w:hint="cs"/>
          <w:rtl/>
        </w:rPr>
        <w:t xml:space="preserve"> </w:t>
      </w:r>
      <w:r w:rsidR="004B7B7F" w:rsidRPr="0066376A">
        <w:rPr>
          <w:rStyle w:val="a7"/>
          <w:rFonts w:eastAsia="Arial Unicode MS"/>
          <w:rtl/>
        </w:rPr>
        <w:footnoteReference w:id="113"/>
      </w:r>
      <w:r w:rsidR="00FF2B1C">
        <w:rPr>
          <w:rFonts w:eastAsia="Arial Unicode MS" w:hint="cs"/>
          <w:sz w:val="20"/>
          <w:szCs w:val="20"/>
          <w:vertAlign w:val="superscript"/>
        </w:rPr>
        <w:t xml:space="preserve"> </w:t>
      </w:r>
      <w:r w:rsidR="004B7B7F" w:rsidRPr="0066376A">
        <w:rPr>
          <w:rStyle w:val="a7"/>
          <w:rFonts w:eastAsia="Arial Unicode MS"/>
          <w:rtl/>
        </w:rPr>
        <w:footnoteReference w:id="114"/>
      </w:r>
      <w:r w:rsidR="00FF2B1C">
        <w:rPr>
          <w:rFonts w:eastAsia="Arial Unicode MS" w:hint="cs"/>
          <w:sz w:val="20"/>
          <w:szCs w:val="20"/>
          <w:vertAlign w:val="superscript"/>
        </w:rPr>
        <w:t xml:space="preserve"> </w:t>
      </w:r>
      <w:r w:rsidR="004B7B7F" w:rsidRPr="0066376A">
        <w:rPr>
          <w:rStyle w:val="a7"/>
          <w:rFonts w:eastAsia="Arial Unicode MS"/>
          <w:rtl/>
        </w:rPr>
        <w:footnoteReference w:id="115"/>
      </w:r>
      <w:r w:rsidR="00FF2B1C">
        <w:rPr>
          <w:rFonts w:eastAsia="Arial Unicode MS" w:hint="cs"/>
          <w:sz w:val="20"/>
          <w:szCs w:val="20"/>
          <w:vertAlign w:val="superscript"/>
        </w:rPr>
        <w:t xml:space="preserve"> </w:t>
      </w:r>
      <w:r w:rsidR="004B7B7F" w:rsidRPr="0066376A">
        <w:rPr>
          <w:rStyle w:val="a7"/>
          <w:rFonts w:eastAsia="Arial Unicode MS"/>
          <w:rtl/>
        </w:rPr>
        <w:footnoteReference w:id="116"/>
      </w:r>
      <w:bookmarkEnd w:id="53"/>
    </w:p>
    <w:tbl>
      <w:tblPr>
        <w:bidiVisual/>
        <w:tblW w:w="5002" w:type="pct"/>
        <w:tblLook w:val="04A0" w:firstRow="1" w:lastRow="0" w:firstColumn="1" w:lastColumn="0" w:noHBand="0" w:noVBand="1"/>
      </w:tblPr>
      <w:tblGrid>
        <w:gridCol w:w="993"/>
        <w:gridCol w:w="4237"/>
        <w:gridCol w:w="747"/>
        <w:gridCol w:w="920"/>
        <w:gridCol w:w="945"/>
        <w:gridCol w:w="945"/>
        <w:gridCol w:w="747"/>
        <w:gridCol w:w="677"/>
      </w:tblGrid>
      <w:tr w:rsidR="00F143F0" w:rsidRPr="00535CC5" w14:paraId="3008371C" w14:textId="77777777" w:rsidTr="003D5632">
        <w:trPr>
          <w:trHeight w:val="259"/>
        </w:trPr>
        <w:tc>
          <w:tcPr>
            <w:tcW w:w="993" w:type="dxa"/>
          </w:tcPr>
          <w:p w14:paraId="687B6E0D" w14:textId="77777777" w:rsidR="00F32A2A" w:rsidRDefault="00B44059">
            <w:pPr>
              <w:pStyle w:val="-0"/>
              <w:spacing w:line="200" w:lineRule="exact"/>
              <w:ind w:left="0" w:firstLine="0"/>
              <w:rPr>
                <w:spacing w:val="-4"/>
                <w:sz w:val="14"/>
                <w:szCs w:val="14"/>
                <w:rtl/>
              </w:rPr>
            </w:pPr>
            <w:r w:rsidRPr="00B44059">
              <w:rPr>
                <w:rFonts w:hint="eastAsia"/>
                <w:spacing w:val="-4"/>
                <w:sz w:val="14"/>
                <w:szCs w:val="14"/>
                <w:rtl/>
              </w:rPr>
              <w:t>מתכונת</w:t>
            </w:r>
            <w:r w:rsidRPr="00B44059">
              <w:rPr>
                <w:spacing w:val="-4"/>
                <w:sz w:val="14"/>
                <w:szCs w:val="14"/>
                <w:rtl/>
              </w:rPr>
              <w:t xml:space="preserve"> ביאור </w:t>
            </w:r>
            <w:r w:rsidRPr="00B44059">
              <w:rPr>
                <w:rFonts w:hint="eastAsia"/>
                <w:spacing w:val="-4"/>
                <w:sz w:val="14"/>
                <w:szCs w:val="14"/>
                <w:rtl/>
              </w:rPr>
              <w:t>עמ</w:t>
            </w:r>
            <w:r w:rsidRPr="00B44059">
              <w:rPr>
                <w:spacing w:val="-4"/>
                <w:sz w:val="14"/>
                <w:szCs w:val="14"/>
                <w:rtl/>
              </w:rPr>
              <w:t>' 663-54</w:t>
            </w:r>
          </w:p>
        </w:tc>
        <w:tc>
          <w:tcPr>
            <w:tcW w:w="4237" w:type="dxa"/>
            <w:vAlign w:val="bottom"/>
          </w:tcPr>
          <w:p w14:paraId="6239E148" w14:textId="77777777" w:rsidR="00CF2A74" w:rsidRDefault="00CF2A74" w:rsidP="00CF2A74">
            <w:pPr>
              <w:pStyle w:val="-0"/>
              <w:spacing w:line="200" w:lineRule="exact"/>
              <w:rPr>
                <w:sz w:val="18"/>
                <w:szCs w:val="18"/>
                <w:rtl/>
              </w:rPr>
            </w:pPr>
          </w:p>
        </w:tc>
        <w:tc>
          <w:tcPr>
            <w:tcW w:w="4981" w:type="dxa"/>
            <w:gridSpan w:val="6"/>
            <w:vAlign w:val="bottom"/>
          </w:tcPr>
          <w:p w14:paraId="61846AF6" w14:textId="527FFB31" w:rsidR="00CF2A74" w:rsidRPr="001F0989" w:rsidRDefault="00D35220" w:rsidP="001977FC">
            <w:pPr>
              <w:pStyle w:val="-4"/>
              <w:spacing w:line="200" w:lineRule="exact"/>
              <w:rPr>
                <w:sz w:val="18"/>
                <w:szCs w:val="18"/>
                <w:rtl/>
              </w:rPr>
            </w:pPr>
            <w:r w:rsidRPr="001F0989">
              <w:rPr>
                <w:rFonts w:hint="eastAsia"/>
                <w:sz w:val="18"/>
                <w:szCs w:val="18"/>
                <w:rtl/>
              </w:rPr>
              <w:t>ליום</w:t>
            </w:r>
            <w:r w:rsidRPr="001F0989">
              <w:rPr>
                <w:sz w:val="18"/>
                <w:szCs w:val="18"/>
                <w:rtl/>
              </w:rPr>
              <w:t xml:space="preserve"> 30 </w:t>
            </w:r>
            <w:r w:rsidRPr="001F0989">
              <w:rPr>
                <w:rFonts w:hint="eastAsia"/>
                <w:sz w:val="18"/>
                <w:szCs w:val="18"/>
                <w:rtl/>
              </w:rPr>
              <w:t>ביוני</w:t>
            </w:r>
            <w:r w:rsidRPr="001F0989">
              <w:rPr>
                <w:sz w:val="18"/>
                <w:szCs w:val="18"/>
                <w:rtl/>
              </w:rPr>
              <w:t xml:space="preserve"> </w:t>
            </w:r>
            <w:r w:rsidR="000100A4" w:rsidRPr="001F0989">
              <w:rPr>
                <w:sz w:val="18"/>
                <w:szCs w:val="18"/>
                <w:rtl/>
              </w:rPr>
              <w:fldChar w:fldCharType="begin"/>
            </w:r>
            <w:r w:rsidR="000100A4" w:rsidRPr="001F0989">
              <w:rPr>
                <w:sz w:val="18"/>
                <w:szCs w:val="18"/>
                <w:rtl/>
              </w:rPr>
              <w:instrText xml:space="preserve"> </w:instrText>
            </w:r>
            <w:r w:rsidR="000100A4" w:rsidRPr="001F0989">
              <w:rPr>
                <w:rFonts w:hint="cs"/>
                <w:sz w:val="18"/>
                <w:szCs w:val="18"/>
                <w:rtl/>
              </w:rPr>
              <w:instrText xml:space="preserve">= </w:instrText>
            </w:r>
            <w:r w:rsidR="000100A4" w:rsidRPr="001F0989">
              <w:rPr>
                <w:rFonts w:hint="cs"/>
                <w:sz w:val="18"/>
                <w:szCs w:val="18"/>
              </w:rPr>
              <w:instrText>CY \* MERGEFORMAT</w:instrText>
            </w:r>
            <w:r w:rsidR="000100A4" w:rsidRPr="001F0989">
              <w:rPr>
                <w:sz w:val="18"/>
                <w:szCs w:val="18"/>
                <w:rtl/>
              </w:rPr>
              <w:instrText xml:space="preserve"> </w:instrText>
            </w:r>
            <w:r w:rsidR="000100A4" w:rsidRPr="001F0989">
              <w:rPr>
                <w:sz w:val="18"/>
                <w:szCs w:val="18"/>
                <w:rtl/>
              </w:rPr>
              <w:fldChar w:fldCharType="separate"/>
            </w:r>
            <w:r w:rsidR="003A584F">
              <w:rPr>
                <w:noProof/>
                <w:sz w:val="18"/>
                <w:szCs w:val="18"/>
                <w:rtl/>
              </w:rPr>
              <w:t>2024</w:t>
            </w:r>
            <w:r w:rsidR="000100A4" w:rsidRPr="001F0989">
              <w:rPr>
                <w:sz w:val="18"/>
                <w:szCs w:val="18"/>
                <w:rtl/>
              </w:rPr>
              <w:fldChar w:fldCharType="end"/>
            </w:r>
            <w:r w:rsidR="000100A4" w:rsidRPr="001F0989">
              <w:rPr>
                <w:sz w:val="18"/>
                <w:szCs w:val="18"/>
                <w:rtl/>
              </w:rPr>
              <w:t xml:space="preserve"> </w:t>
            </w:r>
            <w:r w:rsidR="00B44059" w:rsidRPr="001F0989">
              <w:rPr>
                <w:b w:val="0"/>
                <w:bCs w:val="0"/>
                <w:sz w:val="18"/>
                <w:szCs w:val="18"/>
                <w:rtl/>
              </w:rPr>
              <w:t xml:space="preserve">(בלתי </w:t>
            </w:r>
            <w:r w:rsidR="00B44059" w:rsidRPr="001F0989">
              <w:rPr>
                <w:rFonts w:hint="eastAsia"/>
                <w:b w:val="0"/>
                <w:bCs w:val="0"/>
                <w:sz w:val="18"/>
                <w:szCs w:val="18"/>
                <w:rtl/>
              </w:rPr>
              <w:t>מבוקר</w:t>
            </w:r>
            <w:r w:rsidR="00B44059" w:rsidRPr="001F0989">
              <w:rPr>
                <w:b w:val="0"/>
                <w:bCs w:val="0"/>
                <w:sz w:val="18"/>
                <w:szCs w:val="18"/>
                <w:rtl/>
              </w:rPr>
              <w:t>)</w:t>
            </w:r>
          </w:p>
        </w:tc>
      </w:tr>
      <w:tr w:rsidR="00F143F0" w:rsidRPr="00535CC5" w14:paraId="3B0BA49F" w14:textId="77777777" w:rsidTr="003D5632">
        <w:trPr>
          <w:trHeight w:val="259"/>
        </w:trPr>
        <w:tc>
          <w:tcPr>
            <w:tcW w:w="993" w:type="dxa"/>
          </w:tcPr>
          <w:p w14:paraId="4636FB8C" w14:textId="77777777" w:rsidR="004D3E7A" w:rsidRDefault="004D3E7A" w:rsidP="00CF2A74">
            <w:pPr>
              <w:pStyle w:val="-0"/>
              <w:spacing w:line="200" w:lineRule="exact"/>
              <w:rPr>
                <w:sz w:val="18"/>
                <w:szCs w:val="18"/>
                <w:rtl/>
              </w:rPr>
            </w:pPr>
          </w:p>
        </w:tc>
        <w:tc>
          <w:tcPr>
            <w:tcW w:w="4237" w:type="dxa"/>
            <w:vAlign w:val="bottom"/>
          </w:tcPr>
          <w:p w14:paraId="465D038C" w14:textId="77777777" w:rsidR="004D3E7A" w:rsidRDefault="004D3E7A" w:rsidP="00CF2A74">
            <w:pPr>
              <w:pStyle w:val="-0"/>
              <w:spacing w:line="200" w:lineRule="exact"/>
              <w:rPr>
                <w:sz w:val="18"/>
                <w:szCs w:val="18"/>
                <w:rtl/>
              </w:rPr>
            </w:pPr>
          </w:p>
        </w:tc>
        <w:tc>
          <w:tcPr>
            <w:tcW w:w="1667" w:type="dxa"/>
            <w:gridSpan w:val="2"/>
            <w:vAlign w:val="bottom"/>
          </w:tcPr>
          <w:p w14:paraId="795DFBF4" w14:textId="77777777" w:rsidR="004D3E7A" w:rsidRPr="001F0989" w:rsidRDefault="004D3E7A" w:rsidP="00CF2A74">
            <w:pPr>
              <w:pStyle w:val="-4"/>
              <w:spacing w:line="200" w:lineRule="exact"/>
              <w:rPr>
                <w:sz w:val="18"/>
                <w:szCs w:val="18"/>
                <w:rtl/>
              </w:rPr>
            </w:pPr>
            <w:r w:rsidRPr="001F0989">
              <w:rPr>
                <w:rFonts w:hint="eastAsia"/>
                <w:sz w:val="18"/>
                <w:szCs w:val="18"/>
                <w:rtl/>
              </w:rPr>
              <w:t>מטבע</w:t>
            </w:r>
            <w:r w:rsidRPr="001F0989">
              <w:rPr>
                <w:sz w:val="18"/>
                <w:szCs w:val="18"/>
                <w:rtl/>
              </w:rPr>
              <w:t xml:space="preserve"> </w:t>
            </w:r>
            <w:r w:rsidRPr="001F0989">
              <w:rPr>
                <w:rFonts w:hint="eastAsia"/>
                <w:sz w:val="18"/>
                <w:szCs w:val="18"/>
                <w:rtl/>
              </w:rPr>
              <w:t>ישראלי</w:t>
            </w:r>
          </w:p>
        </w:tc>
        <w:tc>
          <w:tcPr>
            <w:tcW w:w="1890" w:type="dxa"/>
            <w:gridSpan w:val="2"/>
            <w:vAlign w:val="bottom"/>
          </w:tcPr>
          <w:p w14:paraId="2597C7A3" w14:textId="77777777" w:rsidR="004D3E7A" w:rsidRPr="001F0989" w:rsidRDefault="004D3E7A" w:rsidP="00CF2A74">
            <w:pPr>
              <w:pStyle w:val="-4"/>
              <w:spacing w:line="200" w:lineRule="exact"/>
              <w:rPr>
                <w:sz w:val="18"/>
                <w:szCs w:val="18"/>
                <w:rtl/>
              </w:rPr>
            </w:pPr>
            <w:r w:rsidRPr="001F0989">
              <w:rPr>
                <w:rFonts w:hint="eastAsia"/>
                <w:sz w:val="18"/>
                <w:szCs w:val="18"/>
                <w:rtl/>
              </w:rPr>
              <w:t>מטבע</w:t>
            </w:r>
            <w:r w:rsidRPr="001F0989">
              <w:rPr>
                <w:sz w:val="18"/>
                <w:szCs w:val="18"/>
                <w:rtl/>
              </w:rPr>
              <w:t xml:space="preserve"> </w:t>
            </w:r>
            <w:r w:rsidRPr="001F0989">
              <w:rPr>
                <w:rFonts w:hint="eastAsia"/>
                <w:sz w:val="18"/>
                <w:szCs w:val="18"/>
                <w:rtl/>
              </w:rPr>
              <w:t>חוץ</w:t>
            </w:r>
          </w:p>
          <w:p w14:paraId="4AD285C4" w14:textId="77777777" w:rsidR="004D3E7A" w:rsidRPr="001F0989" w:rsidRDefault="004D3E7A" w:rsidP="00CF2A74">
            <w:pPr>
              <w:pStyle w:val="-4"/>
              <w:spacing w:line="200" w:lineRule="exact"/>
              <w:rPr>
                <w:sz w:val="18"/>
                <w:szCs w:val="18"/>
                <w:rtl/>
              </w:rPr>
            </w:pPr>
            <w:r w:rsidRPr="001F0989">
              <w:rPr>
                <w:sz w:val="18"/>
                <w:szCs w:val="18"/>
                <w:rtl/>
              </w:rPr>
              <w:t xml:space="preserve">(כולל </w:t>
            </w:r>
            <w:r w:rsidRPr="001F0989">
              <w:rPr>
                <w:rFonts w:hint="eastAsia"/>
                <w:sz w:val="18"/>
                <w:szCs w:val="18"/>
                <w:rtl/>
              </w:rPr>
              <w:t>צמוד</w:t>
            </w:r>
            <w:r w:rsidRPr="001F0989">
              <w:rPr>
                <w:rFonts w:hint="cs"/>
                <w:sz w:val="18"/>
                <w:szCs w:val="18"/>
                <w:rtl/>
              </w:rPr>
              <w:t>י</w:t>
            </w:r>
            <w:r w:rsidRPr="001F0989">
              <w:rPr>
                <w:sz w:val="18"/>
                <w:szCs w:val="18"/>
                <w:rtl/>
              </w:rPr>
              <w:t xml:space="preserve"> </w:t>
            </w:r>
            <w:r w:rsidRPr="001F0989">
              <w:rPr>
                <w:rFonts w:hint="eastAsia"/>
                <w:sz w:val="18"/>
                <w:szCs w:val="18"/>
                <w:rtl/>
              </w:rPr>
              <w:t>מטבע</w:t>
            </w:r>
            <w:r w:rsidRPr="001F0989">
              <w:rPr>
                <w:sz w:val="18"/>
                <w:szCs w:val="18"/>
                <w:rtl/>
              </w:rPr>
              <w:t xml:space="preserve"> </w:t>
            </w:r>
            <w:r w:rsidRPr="001F0989">
              <w:rPr>
                <w:rFonts w:hint="eastAsia"/>
                <w:sz w:val="18"/>
                <w:szCs w:val="18"/>
                <w:rtl/>
              </w:rPr>
              <w:t>חוץ</w:t>
            </w:r>
            <w:r w:rsidRPr="001F0989">
              <w:rPr>
                <w:sz w:val="18"/>
                <w:szCs w:val="18"/>
                <w:rtl/>
              </w:rPr>
              <w:t>)</w:t>
            </w:r>
          </w:p>
        </w:tc>
        <w:tc>
          <w:tcPr>
            <w:tcW w:w="747" w:type="dxa"/>
            <w:vAlign w:val="bottom"/>
          </w:tcPr>
          <w:p w14:paraId="096289F9" w14:textId="77777777" w:rsidR="004D3E7A" w:rsidRPr="001F0989" w:rsidRDefault="004D3E7A" w:rsidP="00CF2A74">
            <w:pPr>
              <w:spacing w:line="200" w:lineRule="exact"/>
              <w:ind w:left="-144" w:right="-144"/>
              <w:jc w:val="center"/>
              <w:rPr>
                <w:b/>
                <w:bCs/>
                <w:sz w:val="18"/>
                <w:szCs w:val="18"/>
                <w:rtl/>
              </w:rPr>
            </w:pPr>
          </w:p>
        </w:tc>
        <w:tc>
          <w:tcPr>
            <w:tcW w:w="677" w:type="dxa"/>
            <w:vAlign w:val="bottom"/>
          </w:tcPr>
          <w:p w14:paraId="2453B9CD" w14:textId="77777777" w:rsidR="004D3E7A" w:rsidRPr="001F0989" w:rsidRDefault="004D3E7A" w:rsidP="00CF2A74">
            <w:pPr>
              <w:spacing w:line="200" w:lineRule="exact"/>
              <w:jc w:val="center"/>
              <w:rPr>
                <w:b/>
                <w:bCs/>
                <w:sz w:val="18"/>
                <w:szCs w:val="18"/>
                <w:rtl/>
              </w:rPr>
            </w:pPr>
          </w:p>
        </w:tc>
      </w:tr>
      <w:tr w:rsidR="00F143F0" w:rsidRPr="00535CC5" w14:paraId="2C6D9FE4" w14:textId="77777777" w:rsidTr="003D5632">
        <w:trPr>
          <w:trHeight w:val="259"/>
        </w:trPr>
        <w:tc>
          <w:tcPr>
            <w:tcW w:w="993" w:type="dxa"/>
          </w:tcPr>
          <w:p w14:paraId="48B7359D" w14:textId="77777777" w:rsidR="004D3E7A" w:rsidRDefault="004D3E7A" w:rsidP="00CF2A74">
            <w:pPr>
              <w:pStyle w:val="-0"/>
              <w:spacing w:line="200" w:lineRule="exact"/>
              <w:rPr>
                <w:sz w:val="18"/>
                <w:szCs w:val="18"/>
                <w:rtl/>
              </w:rPr>
            </w:pPr>
          </w:p>
        </w:tc>
        <w:tc>
          <w:tcPr>
            <w:tcW w:w="4237" w:type="dxa"/>
            <w:vAlign w:val="bottom"/>
          </w:tcPr>
          <w:p w14:paraId="3790974F" w14:textId="77777777" w:rsidR="004D3E7A" w:rsidRDefault="004D3E7A" w:rsidP="00CF2A74">
            <w:pPr>
              <w:pStyle w:val="-0"/>
              <w:spacing w:line="200" w:lineRule="exact"/>
              <w:rPr>
                <w:sz w:val="18"/>
                <w:szCs w:val="18"/>
                <w:rtl/>
              </w:rPr>
            </w:pPr>
          </w:p>
        </w:tc>
        <w:tc>
          <w:tcPr>
            <w:tcW w:w="747" w:type="dxa"/>
            <w:vAlign w:val="bottom"/>
          </w:tcPr>
          <w:p w14:paraId="41099248" w14:textId="77777777" w:rsidR="004D3E7A" w:rsidRPr="001F0989" w:rsidRDefault="004D3E7A" w:rsidP="00CF2A74">
            <w:pPr>
              <w:pBdr>
                <w:bottom w:val="single" w:sz="4" w:space="1" w:color="auto"/>
              </w:pBdr>
              <w:spacing w:line="200" w:lineRule="exact"/>
              <w:jc w:val="center"/>
              <w:rPr>
                <w:b/>
                <w:bCs/>
                <w:sz w:val="18"/>
                <w:szCs w:val="18"/>
                <w:rtl/>
              </w:rPr>
            </w:pPr>
            <w:r w:rsidRPr="001F0989">
              <w:rPr>
                <w:rFonts w:hint="eastAsia"/>
                <w:b/>
                <w:bCs/>
                <w:sz w:val="18"/>
                <w:szCs w:val="18"/>
                <w:rtl/>
              </w:rPr>
              <w:t>לא</w:t>
            </w:r>
          </w:p>
          <w:p w14:paraId="273DB32B" w14:textId="77777777" w:rsidR="004D3E7A" w:rsidRPr="001F0989" w:rsidRDefault="004D3E7A" w:rsidP="00CF2A74">
            <w:pPr>
              <w:pBdr>
                <w:bottom w:val="single" w:sz="4" w:space="1" w:color="auto"/>
              </w:pBdr>
              <w:spacing w:line="200" w:lineRule="exact"/>
              <w:jc w:val="center"/>
              <w:rPr>
                <w:b/>
                <w:bCs/>
                <w:sz w:val="18"/>
                <w:szCs w:val="18"/>
                <w:rtl/>
              </w:rPr>
            </w:pPr>
            <w:r w:rsidRPr="001F0989">
              <w:rPr>
                <w:rFonts w:hint="eastAsia"/>
                <w:b/>
                <w:bCs/>
                <w:sz w:val="18"/>
                <w:szCs w:val="18"/>
                <w:rtl/>
              </w:rPr>
              <w:t>צמוד</w:t>
            </w:r>
          </w:p>
        </w:tc>
        <w:tc>
          <w:tcPr>
            <w:tcW w:w="920" w:type="dxa"/>
            <w:vAlign w:val="bottom"/>
          </w:tcPr>
          <w:p w14:paraId="050F3864" w14:textId="77777777" w:rsidR="004D3E7A" w:rsidRPr="001F0989" w:rsidRDefault="004D3E7A" w:rsidP="00CF2A74">
            <w:pPr>
              <w:pBdr>
                <w:bottom w:val="single" w:sz="4" w:space="1" w:color="auto"/>
              </w:pBdr>
              <w:spacing w:line="200" w:lineRule="exact"/>
              <w:jc w:val="center"/>
              <w:rPr>
                <w:b/>
                <w:bCs/>
                <w:sz w:val="18"/>
                <w:szCs w:val="18"/>
                <w:rtl/>
              </w:rPr>
            </w:pPr>
            <w:r w:rsidRPr="001F0989">
              <w:rPr>
                <w:rFonts w:hint="eastAsia"/>
                <w:b/>
                <w:bCs/>
                <w:sz w:val="18"/>
                <w:szCs w:val="18"/>
                <w:rtl/>
              </w:rPr>
              <w:t>צמוד</w:t>
            </w:r>
            <w:r w:rsidRPr="001F0989">
              <w:rPr>
                <w:b/>
                <w:bCs/>
                <w:sz w:val="18"/>
                <w:szCs w:val="18"/>
                <w:rtl/>
              </w:rPr>
              <w:t xml:space="preserve"> </w:t>
            </w:r>
            <w:r w:rsidRPr="001F0989">
              <w:rPr>
                <w:rFonts w:hint="eastAsia"/>
                <w:b/>
                <w:bCs/>
                <w:sz w:val="18"/>
                <w:szCs w:val="18"/>
                <w:rtl/>
              </w:rPr>
              <w:t>למדד</w:t>
            </w:r>
            <w:r w:rsidRPr="001F0989">
              <w:rPr>
                <w:rFonts w:hint="cs"/>
                <w:b/>
                <w:bCs/>
                <w:sz w:val="18"/>
                <w:szCs w:val="18"/>
                <w:rtl/>
              </w:rPr>
              <w:t xml:space="preserve"> המחירים</w:t>
            </w:r>
          </w:p>
        </w:tc>
        <w:tc>
          <w:tcPr>
            <w:tcW w:w="945" w:type="dxa"/>
            <w:vAlign w:val="bottom"/>
          </w:tcPr>
          <w:p w14:paraId="33F2F78C" w14:textId="77777777" w:rsidR="004D3E7A" w:rsidRPr="001F0989" w:rsidRDefault="004D3E7A" w:rsidP="00CF2A74">
            <w:pPr>
              <w:pBdr>
                <w:bottom w:val="single" w:sz="4" w:space="1" w:color="auto"/>
              </w:pBdr>
              <w:spacing w:line="200" w:lineRule="exact"/>
              <w:jc w:val="center"/>
              <w:rPr>
                <w:b/>
                <w:bCs/>
                <w:sz w:val="18"/>
                <w:szCs w:val="18"/>
                <w:rtl/>
              </w:rPr>
            </w:pPr>
            <w:r w:rsidRPr="001F0989">
              <w:rPr>
                <w:rFonts w:hint="eastAsia"/>
                <w:b/>
                <w:bCs/>
                <w:sz w:val="18"/>
                <w:szCs w:val="18"/>
                <w:rtl/>
              </w:rPr>
              <w:t>דולר</w:t>
            </w:r>
          </w:p>
        </w:tc>
        <w:tc>
          <w:tcPr>
            <w:tcW w:w="945" w:type="dxa"/>
            <w:vAlign w:val="bottom"/>
          </w:tcPr>
          <w:p w14:paraId="0B0F7793" w14:textId="77777777" w:rsidR="004D3E7A" w:rsidRPr="001F0989" w:rsidRDefault="004D3E7A" w:rsidP="00CF2A74">
            <w:pPr>
              <w:pBdr>
                <w:bottom w:val="single" w:sz="4" w:space="1" w:color="auto"/>
              </w:pBdr>
              <w:spacing w:line="200" w:lineRule="exact"/>
              <w:jc w:val="center"/>
              <w:rPr>
                <w:b/>
                <w:bCs/>
                <w:sz w:val="18"/>
                <w:szCs w:val="18"/>
                <w:rtl/>
              </w:rPr>
            </w:pPr>
            <w:r w:rsidRPr="001F0989">
              <w:rPr>
                <w:rFonts w:hint="eastAsia"/>
                <w:b/>
                <w:bCs/>
                <w:sz w:val="18"/>
                <w:szCs w:val="18"/>
                <w:rtl/>
              </w:rPr>
              <w:t>אחר</w:t>
            </w:r>
            <w:r w:rsidRPr="001F0989">
              <w:rPr>
                <w:rFonts w:eastAsia="Arial Unicode MS" w:hint="cs"/>
                <w:b/>
                <w:bCs/>
                <w:sz w:val="18"/>
                <w:szCs w:val="18"/>
                <w:vertAlign w:val="superscript"/>
                <w:rtl/>
              </w:rPr>
              <w:t>[</w:t>
            </w:r>
            <w:r w:rsidRPr="001F0989">
              <w:rPr>
                <w:rStyle w:val="a7"/>
                <w:rFonts w:eastAsia="Arial Unicode MS"/>
                <w:b/>
                <w:bCs/>
                <w:sz w:val="18"/>
                <w:szCs w:val="18"/>
                <w:rtl/>
              </w:rPr>
              <w:footnoteReference w:id="117"/>
            </w:r>
            <w:r w:rsidRPr="001F0989">
              <w:rPr>
                <w:rFonts w:eastAsia="Arial Unicode MS" w:hint="cs"/>
                <w:b/>
                <w:bCs/>
                <w:sz w:val="18"/>
                <w:szCs w:val="18"/>
                <w:vertAlign w:val="superscript"/>
                <w:rtl/>
              </w:rPr>
              <w:t>]</w:t>
            </w:r>
          </w:p>
        </w:tc>
        <w:tc>
          <w:tcPr>
            <w:tcW w:w="747" w:type="dxa"/>
            <w:vAlign w:val="bottom"/>
          </w:tcPr>
          <w:p w14:paraId="6B6B0157" w14:textId="77777777" w:rsidR="004D3E7A" w:rsidRPr="001F0989" w:rsidRDefault="00740556" w:rsidP="00CF2A74">
            <w:pPr>
              <w:pBdr>
                <w:bottom w:val="single" w:sz="4" w:space="1" w:color="auto"/>
              </w:pBdr>
              <w:spacing w:line="200" w:lineRule="exact"/>
              <w:ind w:left="-144" w:right="-144"/>
              <w:jc w:val="center"/>
              <w:rPr>
                <w:b/>
                <w:bCs/>
                <w:sz w:val="18"/>
                <w:szCs w:val="18"/>
                <w:rtl/>
              </w:rPr>
            </w:pPr>
            <w:r w:rsidRPr="001F0989">
              <w:rPr>
                <w:rFonts w:hint="eastAsia"/>
                <w:b/>
                <w:bCs/>
                <w:sz w:val="18"/>
                <w:szCs w:val="18"/>
                <w:rtl/>
              </w:rPr>
              <w:t xml:space="preserve">פריטים </w:t>
            </w:r>
            <w:r w:rsidR="004D3E7A" w:rsidRPr="001F0989">
              <w:rPr>
                <w:rFonts w:hint="eastAsia"/>
                <w:b/>
                <w:bCs/>
                <w:sz w:val="18"/>
                <w:szCs w:val="18"/>
                <w:rtl/>
              </w:rPr>
              <w:t>שאינם</w:t>
            </w:r>
            <w:r w:rsidR="004D3E7A" w:rsidRPr="001F0989">
              <w:rPr>
                <w:b/>
                <w:bCs/>
                <w:sz w:val="18"/>
                <w:szCs w:val="18"/>
                <w:rtl/>
              </w:rPr>
              <w:t xml:space="preserve"> </w:t>
            </w:r>
            <w:r w:rsidR="004D3E7A" w:rsidRPr="001F0989">
              <w:rPr>
                <w:rFonts w:hint="eastAsia"/>
                <w:b/>
                <w:bCs/>
                <w:sz w:val="18"/>
                <w:szCs w:val="18"/>
                <w:rtl/>
              </w:rPr>
              <w:t>כספיים</w:t>
            </w:r>
            <w:r w:rsidR="004D3E7A" w:rsidRPr="001F0989">
              <w:rPr>
                <w:b/>
                <w:bCs/>
                <w:sz w:val="18"/>
                <w:szCs w:val="18"/>
                <w:vertAlign w:val="superscript"/>
                <w:rtl/>
              </w:rPr>
              <w:t>(א)</w:t>
            </w:r>
          </w:p>
        </w:tc>
        <w:tc>
          <w:tcPr>
            <w:tcW w:w="677" w:type="dxa"/>
            <w:vAlign w:val="bottom"/>
          </w:tcPr>
          <w:p w14:paraId="031F56A1" w14:textId="77777777" w:rsidR="004D3E7A" w:rsidRPr="001F0989" w:rsidRDefault="004D3E7A" w:rsidP="00CF2A74">
            <w:pPr>
              <w:pBdr>
                <w:bottom w:val="single" w:sz="4" w:space="1" w:color="auto"/>
              </w:pBdr>
              <w:spacing w:line="200" w:lineRule="exact"/>
              <w:jc w:val="center"/>
              <w:rPr>
                <w:b/>
                <w:bCs/>
                <w:sz w:val="18"/>
                <w:szCs w:val="18"/>
                <w:rtl/>
              </w:rPr>
            </w:pPr>
            <w:r w:rsidRPr="001F0989">
              <w:rPr>
                <w:rFonts w:hint="eastAsia"/>
                <w:b/>
                <w:bCs/>
                <w:sz w:val="18"/>
                <w:szCs w:val="18"/>
                <w:rtl/>
              </w:rPr>
              <w:t>סך</w:t>
            </w:r>
          </w:p>
          <w:p w14:paraId="644B00E1" w14:textId="77777777" w:rsidR="004D3E7A" w:rsidRPr="001F0989" w:rsidRDefault="004D3E7A" w:rsidP="00CF2A74">
            <w:pPr>
              <w:pBdr>
                <w:bottom w:val="single" w:sz="4" w:space="1" w:color="auto"/>
              </w:pBdr>
              <w:spacing w:line="200" w:lineRule="exact"/>
              <w:jc w:val="center"/>
              <w:rPr>
                <w:b/>
                <w:bCs/>
                <w:sz w:val="18"/>
                <w:szCs w:val="18"/>
                <w:rtl/>
              </w:rPr>
            </w:pPr>
            <w:r w:rsidRPr="001F0989">
              <w:rPr>
                <w:rFonts w:hint="eastAsia"/>
                <w:b/>
                <w:bCs/>
                <w:sz w:val="18"/>
                <w:szCs w:val="18"/>
                <w:rtl/>
              </w:rPr>
              <w:t>הכל</w:t>
            </w:r>
          </w:p>
        </w:tc>
      </w:tr>
      <w:tr w:rsidR="00F143F0" w:rsidRPr="00543C25" w14:paraId="5170440C" w14:textId="77777777" w:rsidTr="003D5632">
        <w:trPr>
          <w:trHeight w:val="259"/>
        </w:trPr>
        <w:tc>
          <w:tcPr>
            <w:tcW w:w="993" w:type="dxa"/>
          </w:tcPr>
          <w:p w14:paraId="049BCABE" w14:textId="77777777" w:rsidR="004D3E7A" w:rsidRPr="001831A9" w:rsidRDefault="004D3E7A" w:rsidP="007C54B1">
            <w:pPr>
              <w:pStyle w:val="-0"/>
              <w:rPr>
                <w:b/>
                <w:bCs/>
                <w:sz w:val="17"/>
                <w:szCs w:val="17"/>
                <w:u w:val="single"/>
                <w:rtl/>
              </w:rPr>
            </w:pPr>
          </w:p>
        </w:tc>
        <w:tc>
          <w:tcPr>
            <w:tcW w:w="4237" w:type="dxa"/>
            <w:vAlign w:val="bottom"/>
          </w:tcPr>
          <w:p w14:paraId="67BD977D" w14:textId="77777777" w:rsidR="004D3E7A" w:rsidRPr="001831A9" w:rsidRDefault="00B44059" w:rsidP="007C54B1">
            <w:pPr>
              <w:pStyle w:val="-0"/>
              <w:rPr>
                <w:b/>
                <w:bCs/>
                <w:sz w:val="17"/>
                <w:szCs w:val="17"/>
                <w:u w:val="single"/>
                <w:rtl/>
              </w:rPr>
            </w:pPr>
            <w:r w:rsidRPr="00B44059">
              <w:rPr>
                <w:b/>
                <w:bCs/>
                <w:sz w:val="17"/>
                <w:szCs w:val="17"/>
                <w:u w:val="single"/>
                <w:rtl/>
              </w:rPr>
              <w:t>נכסים</w:t>
            </w:r>
          </w:p>
        </w:tc>
        <w:tc>
          <w:tcPr>
            <w:tcW w:w="747" w:type="dxa"/>
            <w:vAlign w:val="bottom"/>
          </w:tcPr>
          <w:p w14:paraId="6F6986A6" w14:textId="77777777" w:rsidR="004D3E7A" w:rsidRPr="001831A9" w:rsidRDefault="004D3E7A" w:rsidP="007C54B1">
            <w:pPr>
              <w:pStyle w:val="-0"/>
              <w:rPr>
                <w:sz w:val="17"/>
                <w:szCs w:val="17"/>
                <w:rtl/>
              </w:rPr>
            </w:pPr>
          </w:p>
        </w:tc>
        <w:tc>
          <w:tcPr>
            <w:tcW w:w="920" w:type="dxa"/>
            <w:vAlign w:val="bottom"/>
          </w:tcPr>
          <w:p w14:paraId="3E5F9241" w14:textId="77777777" w:rsidR="004D3E7A" w:rsidRPr="001831A9" w:rsidRDefault="004D3E7A" w:rsidP="007C54B1">
            <w:pPr>
              <w:pStyle w:val="-0"/>
              <w:rPr>
                <w:sz w:val="17"/>
                <w:szCs w:val="17"/>
                <w:rtl/>
              </w:rPr>
            </w:pPr>
          </w:p>
        </w:tc>
        <w:tc>
          <w:tcPr>
            <w:tcW w:w="945" w:type="dxa"/>
            <w:vAlign w:val="bottom"/>
          </w:tcPr>
          <w:p w14:paraId="737A9C81" w14:textId="77777777" w:rsidR="004D3E7A" w:rsidRPr="001831A9" w:rsidRDefault="004D3E7A" w:rsidP="007C54B1">
            <w:pPr>
              <w:pStyle w:val="-0"/>
              <w:rPr>
                <w:sz w:val="17"/>
                <w:szCs w:val="17"/>
                <w:rtl/>
              </w:rPr>
            </w:pPr>
          </w:p>
        </w:tc>
        <w:tc>
          <w:tcPr>
            <w:tcW w:w="945" w:type="dxa"/>
            <w:vAlign w:val="bottom"/>
          </w:tcPr>
          <w:p w14:paraId="41D2F959" w14:textId="77777777" w:rsidR="004D3E7A" w:rsidRPr="001831A9" w:rsidRDefault="004D3E7A" w:rsidP="007C54B1">
            <w:pPr>
              <w:pStyle w:val="-0"/>
              <w:rPr>
                <w:sz w:val="17"/>
                <w:szCs w:val="17"/>
                <w:rtl/>
              </w:rPr>
            </w:pPr>
          </w:p>
        </w:tc>
        <w:tc>
          <w:tcPr>
            <w:tcW w:w="747" w:type="dxa"/>
            <w:vAlign w:val="bottom"/>
          </w:tcPr>
          <w:p w14:paraId="55B4A82B" w14:textId="77777777" w:rsidR="004D3E7A" w:rsidRPr="001831A9" w:rsidRDefault="004D3E7A" w:rsidP="007C54B1">
            <w:pPr>
              <w:pStyle w:val="-0"/>
              <w:rPr>
                <w:sz w:val="17"/>
                <w:szCs w:val="17"/>
                <w:rtl/>
              </w:rPr>
            </w:pPr>
          </w:p>
        </w:tc>
        <w:tc>
          <w:tcPr>
            <w:tcW w:w="677" w:type="dxa"/>
            <w:vAlign w:val="bottom"/>
          </w:tcPr>
          <w:p w14:paraId="0EA4557D" w14:textId="77777777" w:rsidR="004D3E7A" w:rsidRPr="001831A9" w:rsidRDefault="004D3E7A" w:rsidP="007C54B1">
            <w:pPr>
              <w:pStyle w:val="-0"/>
              <w:rPr>
                <w:sz w:val="17"/>
                <w:szCs w:val="17"/>
                <w:rtl/>
              </w:rPr>
            </w:pPr>
          </w:p>
        </w:tc>
      </w:tr>
      <w:tr w:rsidR="00F143F0" w:rsidRPr="00543C25" w14:paraId="5203554A" w14:textId="77777777" w:rsidTr="003D5632">
        <w:tc>
          <w:tcPr>
            <w:tcW w:w="993" w:type="dxa"/>
          </w:tcPr>
          <w:p w14:paraId="5AEF5D92" w14:textId="77777777" w:rsidR="004D3E7A" w:rsidRPr="001831A9" w:rsidRDefault="004D3E7A" w:rsidP="007C54B1">
            <w:pPr>
              <w:pStyle w:val="-0"/>
              <w:rPr>
                <w:sz w:val="17"/>
                <w:szCs w:val="17"/>
                <w:rtl/>
              </w:rPr>
            </w:pPr>
          </w:p>
        </w:tc>
        <w:tc>
          <w:tcPr>
            <w:tcW w:w="4237" w:type="dxa"/>
            <w:vAlign w:val="bottom"/>
          </w:tcPr>
          <w:p w14:paraId="2BE58262" w14:textId="77777777" w:rsidR="004D3E7A" w:rsidRPr="001831A9" w:rsidRDefault="00B44059" w:rsidP="007C54B1">
            <w:pPr>
              <w:pStyle w:val="-0"/>
              <w:rPr>
                <w:sz w:val="17"/>
                <w:szCs w:val="17"/>
                <w:rtl/>
              </w:rPr>
            </w:pPr>
            <w:r w:rsidRPr="00B44059">
              <w:rPr>
                <w:sz w:val="17"/>
                <w:szCs w:val="17"/>
                <w:rtl/>
              </w:rPr>
              <w:t>מזומנים ופ</w:t>
            </w:r>
            <w:r w:rsidRPr="00B44059">
              <w:rPr>
                <w:rFonts w:hint="eastAsia"/>
                <w:sz w:val="17"/>
                <w:szCs w:val="17"/>
                <w:rtl/>
              </w:rPr>
              <w:t>י</w:t>
            </w:r>
            <w:r w:rsidRPr="00B44059">
              <w:rPr>
                <w:sz w:val="17"/>
                <w:szCs w:val="17"/>
                <w:rtl/>
              </w:rPr>
              <w:t>קדונות בבנקים</w:t>
            </w:r>
          </w:p>
        </w:tc>
        <w:tc>
          <w:tcPr>
            <w:tcW w:w="747" w:type="dxa"/>
            <w:vAlign w:val="bottom"/>
          </w:tcPr>
          <w:p w14:paraId="1EC7A300" w14:textId="77777777" w:rsidR="004D3E7A" w:rsidRPr="001831A9" w:rsidRDefault="00B44059" w:rsidP="007C54B1">
            <w:pPr>
              <w:pStyle w:val="-3"/>
              <w:rPr>
                <w:sz w:val="17"/>
                <w:szCs w:val="17"/>
                <w:rtl/>
              </w:rPr>
            </w:pPr>
            <w:r w:rsidRPr="00B44059">
              <w:rPr>
                <w:sz w:val="17"/>
                <w:szCs w:val="17"/>
                <w:rtl/>
              </w:rPr>
              <w:t xml:space="preserve"> 0</w:t>
            </w:r>
          </w:p>
        </w:tc>
        <w:tc>
          <w:tcPr>
            <w:tcW w:w="920" w:type="dxa"/>
            <w:vAlign w:val="bottom"/>
          </w:tcPr>
          <w:p w14:paraId="6BC4EFB8" w14:textId="77777777" w:rsidR="004D3E7A" w:rsidRPr="001831A9" w:rsidRDefault="00B44059" w:rsidP="007C54B1">
            <w:pPr>
              <w:pStyle w:val="-3"/>
              <w:rPr>
                <w:sz w:val="17"/>
                <w:szCs w:val="17"/>
                <w:rtl/>
              </w:rPr>
            </w:pPr>
            <w:r w:rsidRPr="00B44059">
              <w:rPr>
                <w:sz w:val="17"/>
                <w:szCs w:val="17"/>
                <w:rtl/>
              </w:rPr>
              <w:t xml:space="preserve"> 0</w:t>
            </w:r>
          </w:p>
        </w:tc>
        <w:tc>
          <w:tcPr>
            <w:tcW w:w="945" w:type="dxa"/>
            <w:vAlign w:val="bottom"/>
          </w:tcPr>
          <w:p w14:paraId="7D2D52F0" w14:textId="77777777" w:rsidR="004D3E7A" w:rsidRPr="001831A9" w:rsidRDefault="00B44059" w:rsidP="007C54B1">
            <w:pPr>
              <w:pStyle w:val="-3"/>
              <w:rPr>
                <w:sz w:val="17"/>
                <w:szCs w:val="17"/>
                <w:rtl/>
              </w:rPr>
            </w:pPr>
            <w:r w:rsidRPr="00B44059">
              <w:rPr>
                <w:sz w:val="17"/>
                <w:szCs w:val="17"/>
                <w:rtl/>
              </w:rPr>
              <w:t xml:space="preserve"> 0</w:t>
            </w:r>
          </w:p>
        </w:tc>
        <w:tc>
          <w:tcPr>
            <w:tcW w:w="945" w:type="dxa"/>
            <w:vAlign w:val="bottom"/>
          </w:tcPr>
          <w:p w14:paraId="4ED3AD02" w14:textId="77777777" w:rsidR="004D3E7A" w:rsidRPr="001831A9" w:rsidRDefault="00B44059" w:rsidP="007C54B1">
            <w:pPr>
              <w:pStyle w:val="-3"/>
              <w:rPr>
                <w:sz w:val="17"/>
                <w:szCs w:val="17"/>
                <w:rtl/>
              </w:rPr>
            </w:pPr>
            <w:r w:rsidRPr="00B44059">
              <w:rPr>
                <w:sz w:val="17"/>
                <w:szCs w:val="17"/>
                <w:rtl/>
              </w:rPr>
              <w:t xml:space="preserve"> 0</w:t>
            </w:r>
          </w:p>
        </w:tc>
        <w:tc>
          <w:tcPr>
            <w:tcW w:w="747" w:type="dxa"/>
            <w:vAlign w:val="bottom"/>
          </w:tcPr>
          <w:p w14:paraId="29A10E41" w14:textId="77777777" w:rsidR="004D3E7A" w:rsidRPr="001831A9" w:rsidRDefault="00B44059" w:rsidP="007C54B1">
            <w:pPr>
              <w:pStyle w:val="-3"/>
              <w:rPr>
                <w:sz w:val="17"/>
                <w:szCs w:val="17"/>
                <w:rtl/>
              </w:rPr>
            </w:pPr>
            <w:r w:rsidRPr="00B44059">
              <w:rPr>
                <w:sz w:val="17"/>
                <w:szCs w:val="17"/>
                <w:rtl/>
              </w:rPr>
              <w:t xml:space="preserve"> 0</w:t>
            </w:r>
          </w:p>
        </w:tc>
        <w:tc>
          <w:tcPr>
            <w:tcW w:w="677" w:type="dxa"/>
            <w:vAlign w:val="bottom"/>
          </w:tcPr>
          <w:p w14:paraId="22AC9600" w14:textId="77777777" w:rsidR="004D3E7A" w:rsidRPr="001831A9" w:rsidRDefault="00B44059" w:rsidP="007C54B1">
            <w:pPr>
              <w:pStyle w:val="-3"/>
              <w:rPr>
                <w:sz w:val="17"/>
                <w:szCs w:val="17"/>
                <w:rtl/>
              </w:rPr>
            </w:pPr>
            <w:r w:rsidRPr="00B44059">
              <w:rPr>
                <w:sz w:val="17"/>
                <w:szCs w:val="17"/>
                <w:rtl/>
              </w:rPr>
              <w:t xml:space="preserve"> 0</w:t>
            </w:r>
          </w:p>
        </w:tc>
      </w:tr>
      <w:tr w:rsidR="00F143F0" w:rsidRPr="00543C25" w14:paraId="677A2288" w14:textId="77777777" w:rsidTr="003D5632">
        <w:tc>
          <w:tcPr>
            <w:tcW w:w="993" w:type="dxa"/>
          </w:tcPr>
          <w:p w14:paraId="64EBE92C" w14:textId="77777777" w:rsidR="004D3E7A" w:rsidRPr="001831A9" w:rsidRDefault="004D3E7A" w:rsidP="007C54B1">
            <w:pPr>
              <w:pStyle w:val="-0"/>
              <w:rPr>
                <w:sz w:val="17"/>
                <w:szCs w:val="17"/>
                <w:rtl/>
              </w:rPr>
            </w:pPr>
          </w:p>
        </w:tc>
        <w:tc>
          <w:tcPr>
            <w:tcW w:w="4237" w:type="dxa"/>
            <w:vAlign w:val="bottom"/>
          </w:tcPr>
          <w:p w14:paraId="495D2F66" w14:textId="77777777" w:rsidR="004D3E7A" w:rsidRPr="001831A9" w:rsidRDefault="00B44059" w:rsidP="007C54B1">
            <w:pPr>
              <w:pStyle w:val="-0"/>
              <w:rPr>
                <w:sz w:val="17"/>
                <w:szCs w:val="17"/>
                <w:rtl/>
              </w:rPr>
            </w:pPr>
            <w:r w:rsidRPr="00B44059">
              <w:rPr>
                <w:sz w:val="17"/>
                <w:szCs w:val="17"/>
                <w:rtl/>
              </w:rPr>
              <w:t>ניירות ערך</w:t>
            </w:r>
            <w:r w:rsidRPr="00B44059">
              <w:rPr>
                <w:rFonts w:eastAsia="Arial Unicode MS"/>
                <w:b/>
                <w:sz w:val="17"/>
                <w:szCs w:val="17"/>
                <w:vertAlign w:val="superscript"/>
                <w:rtl/>
              </w:rPr>
              <w:t>[</w:t>
            </w:r>
            <w:r w:rsidRPr="00B44059">
              <w:rPr>
                <w:rStyle w:val="a7"/>
                <w:rFonts w:eastAsia="Arial Unicode MS"/>
                <w:b/>
                <w:sz w:val="17"/>
                <w:szCs w:val="17"/>
                <w:rtl/>
              </w:rPr>
              <w:footnoteReference w:id="118"/>
            </w:r>
            <w:r w:rsidRPr="00B44059">
              <w:rPr>
                <w:rFonts w:eastAsia="Arial Unicode MS"/>
                <w:b/>
                <w:sz w:val="17"/>
                <w:szCs w:val="17"/>
                <w:vertAlign w:val="superscript"/>
                <w:rtl/>
              </w:rPr>
              <w:t>]</w:t>
            </w:r>
          </w:p>
        </w:tc>
        <w:tc>
          <w:tcPr>
            <w:tcW w:w="747" w:type="dxa"/>
            <w:vAlign w:val="bottom"/>
          </w:tcPr>
          <w:p w14:paraId="16F043E8" w14:textId="77777777" w:rsidR="004D3E7A" w:rsidRPr="001831A9" w:rsidRDefault="00B44059" w:rsidP="007C54B1">
            <w:pPr>
              <w:pStyle w:val="-3"/>
              <w:rPr>
                <w:sz w:val="17"/>
                <w:szCs w:val="17"/>
                <w:rtl/>
              </w:rPr>
            </w:pPr>
            <w:r w:rsidRPr="00B44059">
              <w:rPr>
                <w:sz w:val="17"/>
                <w:szCs w:val="17"/>
                <w:rtl/>
              </w:rPr>
              <w:t xml:space="preserve"> 0</w:t>
            </w:r>
          </w:p>
        </w:tc>
        <w:tc>
          <w:tcPr>
            <w:tcW w:w="920" w:type="dxa"/>
            <w:vAlign w:val="bottom"/>
          </w:tcPr>
          <w:p w14:paraId="1A69EBAF" w14:textId="77777777" w:rsidR="004D3E7A" w:rsidRPr="001831A9" w:rsidRDefault="00B44059" w:rsidP="007C54B1">
            <w:pPr>
              <w:pStyle w:val="-3"/>
              <w:rPr>
                <w:sz w:val="17"/>
                <w:szCs w:val="17"/>
                <w:rtl/>
              </w:rPr>
            </w:pPr>
            <w:r w:rsidRPr="00B44059">
              <w:rPr>
                <w:sz w:val="17"/>
                <w:szCs w:val="17"/>
                <w:rtl/>
              </w:rPr>
              <w:t xml:space="preserve"> 0</w:t>
            </w:r>
          </w:p>
        </w:tc>
        <w:tc>
          <w:tcPr>
            <w:tcW w:w="945" w:type="dxa"/>
            <w:vAlign w:val="bottom"/>
          </w:tcPr>
          <w:p w14:paraId="6C83483A" w14:textId="77777777" w:rsidR="004D3E7A" w:rsidRPr="001831A9" w:rsidRDefault="00B44059" w:rsidP="007C54B1">
            <w:pPr>
              <w:pStyle w:val="-3"/>
              <w:rPr>
                <w:sz w:val="17"/>
                <w:szCs w:val="17"/>
                <w:rtl/>
              </w:rPr>
            </w:pPr>
            <w:r w:rsidRPr="00B44059">
              <w:rPr>
                <w:sz w:val="17"/>
                <w:szCs w:val="17"/>
                <w:rtl/>
              </w:rPr>
              <w:t xml:space="preserve"> 0</w:t>
            </w:r>
          </w:p>
        </w:tc>
        <w:tc>
          <w:tcPr>
            <w:tcW w:w="945" w:type="dxa"/>
            <w:vAlign w:val="bottom"/>
          </w:tcPr>
          <w:p w14:paraId="0376C6FF" w14:textId="77777777" w:rsidR="004D3E7A" w:rsidRPr="001831A9" w:rsidRDefault="00B44059" w:rsidP="007C54B1">
            <w:pPr>
              <w:pStyle w:val="-3"/>
              <w:rPr>
                <w:sz w:val="17"/>
                <w:szCs w:val="17"/>
                <w:rtl/>
              </w:rPr>
            </w:pPr>
            <w:r w:rsidRPr="00B44059">
              <w:rPr>
                <w:sz w:val="17"/>
                <w:szCs w:val="17"/>
                <w:rtl/>
              </w:rPr>
              <w:t xml:space="preserve"> 0</w:t>
            </w:r>
          </w:p>
        </w:tc>
        <w:tc>
          <w:tcPr>
            <w:tcW w:w="747" w:type="dxa"/>
            <w:vAlign w:val="bottom"/>
          </w:tcPr>
          <w:p w14:paraId="7EBCC3BA" w14:textId="77777777" w:rsidR="004D3E7A" w:rsidRPr="001831A9" w:rsidRDefault="00B44059" w:rsidP="007C54B1">
            <w:pPr>
              <w:pStyle w:val="-3"/>
              <w:rPr>
                <w:sz w:val="17"/>
                <w:szCs w:val="17"/>
                <w:rtl/>
              </w:rPr>
            </w:pPr>
            <w:r w:rsidRPr="00B44059">
              <w:rPr>
                <w:sz w:val="17"/>
                <w:szCs w:val="17"/>
                <w:rtl/>
              </w:rPr>
              <w:t xml:space="preserve"> 0</w:t>
            </w:r>
          </w:p>
        </w:tc>
        <w:tc>
          <w:tcPr>
            <w:tcW w:w="677" w:type="dxa"/>
            <w:vAlign w:val="bottom"/>
          </w:tcPr>
          <w:p w14:paraId="2AADC563" w14:textId="77777777" w:rsidR="004D3E7A" w:rsidRPr="001831A9" w:rsidRDefault="00B44059" w:rsidP="007C54B1">
            <w:pPr>
              <w:pStyle w:val="-3"/>
              <w:rPr>
                <w:sz w:val="17"/>
                <w:szCs w:val="17"/>
                <w:rtl/>
              </w:rPr>
            </w:pPr>
            <w:r w:rsidRPr="00B44059">
              <w:rPr>
                <w:sz w:val="17"/>
                <w:szCs w:val="17"/>
                <w:rtl/>
              </w:rPr>
              <w:t xml:space="preserve"> 0</w:t>
            </w:r>
          </w:p>
        </w:tc>
      </w:tr>
      <w:tr w:rsidR="00F143F0" w:rsidRPr="00543C25" w14:paraId="75C59932" w14:textId="77777777" w:rsidTr="003D5632">
        <w:tc>
          <w:tcPr>
            <w:tcW w:w="993" w:type="dxa"/>
          </w:tcPr>
          <w:p w14:paraId="538BA4C1" w14:textId="77777777" w:rsidR="004D3E7A" w:rsidRPr="001831A9" w:rsidRDefault="004D3E7A" w:rsidP="007C54B1">
            <w:pPr>
              <w:pStyle w:val="-0"/>
              <w:rPr>
                <w:sz w:val="17"/>
                <w:szCs w:val="17"/>
                <w:rtl/>
              </w:rPr>
            </w:pPr>
          </w:p>
        </w:tc>
        <w:tc>
          <w:tcPr>
            <w:tcW w:w="4237" w:type="dxa"/>
            <w:vAlign w:val="bottom"/>
          </w:tcPr>
          <w:p w14:paraId="2F3C68CA" w14:textId="77777777" w:rsidR="004D3E7A" w:rsidRPr="001831A9" w:rsidRDefault="00B44059" w:rsidP="00322F61">
            <w:pPr>
              <w:pStyle w:val="-21"/>
              <w:spacing w:before="0"/>
              <w:ind w:left="142" w:hanging="142"/>
              <w:rPr>
                <w:sz w:val="17"/>
                <w:szCs w:val="17"/>
                <w:rtl/>
              </w:rPr>
            </w:pPr>
            <w:r w:rsidRPr="00B44059">
              <w:rPr>
                <w:rFonts w:hint="eastAsia"/>
                <w:sz w:val="17"/>
                <w:szCs w:val="17"/>
                <w:rtl/>
              </w:rPr>
              <w:t>ניירות</w:t>
            </w:r>
            <w:r w:rsidRPr="00B44059">
              <w:rPr>
                <w:sz w:val="17"/>
                <w:szCs w:val="17"/>
                <w:rtl/>
              </w:rPr>
              <w:t xml:space="preserve"> </w:t>
            </w:r>
            <w:r w:rsidRPr="00B44059">
              <w:rPr>
                <w:rFonts w:hint="eastAsia"/>
                <w:sz w:val="17"/>
                <w:szCs w:val="17"/>
                <w:rtl/>
              </w:rPr>
              <w:t>ערך</w:t>
            </w:r>
            <w:r w:rsidRPr="00B44059">
              <w:rPr>
                <w:sz w:val="17"/>
                <w:szCs w:val="17"/>
                <w:rtl/>
              </w:rPr>
              <w:t xml:space="preserve"> </w:t>
            </w:r>
            <w:r w:rsidRPr="00B44059">
              <w:rPr>
                <w:rFonts w:hint="eastAsia"/>
                <w:sz w:val="17"/>
                <w:szCs w:val="17"/>
                <w:rtl/>
              </w:rPr>
              <w:t>שנשאלו</w:t>
            </w:r>
            <w:r w:rsidRPr="00B44059">
              <w:rPr>
                <w:sz w:val="17"/>
                <w:szCs w:val="17"/>
                <w:rtl/>
              </w:rPr>
              <w:t xml:space="preserve"> </w:t>
            </w:r>
            <w:r w:rsidRPr="00B44059">
              <w:rPr>
                <w:rFonts w:hint="eastAsia"/>
                <w:sz w:val="17"/>
                <w:szCs w:val="17"/>
                <w:rtl/>
              </w:rPr>
              <w:t>או</w:t>
            </w:r>
            <w:r w:rsidRPr="00B44059">
              <w:rPr>
                <w:sz w:val="17"/>
                <w:szCs w:val="17"/>
                <w:rtl/>
              </w:rPr>
              <w:t xml:space="preserve"> </w:t>
            </w:r>
            <w:r w:rsidRPr="00B44059">
              <w:rPr>
                <w:rFonts w:hint="eastAsia"/>
                <w:sz w:val="17"/>
                <w:szCs w:val="17"/>
                <w:rtl/>
              </w:rPr>
              <w:t>נרכשו</w:t>
            </w:r>
            <w:r w:rsidRPr="00B44059">
              <w:rPr>
                <w:sz w:val="17"/>
                <w:szCs w:val="17"/>
                <w:rtl/>
              </w:rPr>
              <w:t xml:space="preserve"> </w:t>
            </w:r>
            <w:r w:rsidRPr="00B44059">
              <w:rPr>
                <w:rFonts w:hint="eastAsia"/>
                <w:sz w:val="17"/>
                <w:szCs w:val="17"/>
                <w:rtl/>
              </w:rPr>
              <w:t>במסגרת</w:t>
            </w:r>
            <w:r w:rsidRPr="00B44059">
              <w:rPr>
                <w:sz w:val="17"/>
                <w:szCs w:val="17"/>
                <w:rtl/>
              </w:rPr>
              <w:t xml:space="preserve"> </w:t>
            </w:r>
            <w:r w:rsidRPr="00B44059">
              <w:rPr>
                <w:rFonts w:hint="eastAsia"/>
                <w:sz w:val="17"/>
                <w:szCs w:val="17"/>
                <w:rtl/>
              </w:rPr>
              <w:t>הסכמי</w:t>
            </w:r>
            <w:r w:rsidRPr="00B44059">
              <w:rPr>
                <w:sz w:val="17"/>
                <w:szCs w:val="17"/>
                <w:rtl/>
              </w:rPr>
              <w:t xml:space="preserve"> </w:t>
            </w:r>
            <w:r w:rsidRPr="00B44059">
              <w:rPr>
                <w:rFonts w:hint="eastAsia"/>
                <w:sz w:val="17"/>
                <w:szCs w:val="17"/>
                <w:rtl/>
              </w:rPr>
              <w:t>מכר</w:t>
            </w:r>
            <w:r w:rsidRPr="00B44059">
              <w:rPr>
                <w:sz w:val="17"/>
                <w:szCs w:val="17"/>
                <w:rtl/>
              </w:rPr>
              <w:t xml:space="preserve"> </w:t>
            </w:r>
            <w:r w:rsidRPr="00B44059">
              <w:rPr>
                <w:rFonts w:hint="eastAsia"/>
                <w:sz w:val="17"/>
                <w:szCs w:val="17"/>
                <w:rtl/>
              </w:rPr>
              <w:t>חוזר</w:t>
            </w:r>
          </w:p>
        </w:tc>
        <w:tc>
          <w:tcPr>
            <w:tcW w:w="747" w:type="dxa"/>
            <w:vAlign w:val="bottom"/>
          </w:tcPr>
          <w:p w14:paraId="3B8CDDB5" w14:textId="77777777" w:rsidR="004D3E7A" w:rsidRPr="001831A9" w:rsidRDefault="00B44059" w:rsidP="007C54B1">
            <w:pPr>
              <w:pStyle w:val="-3"/>
              <w:rPr>
                <w:sz w:val="17"/>
                <w:szCs w:val="17"/>
                <w:rtl/>
              </w:rPr>
            </w:pPr>
            <w:r w:rsidRPr="00B44059">
              <w:rPr>
                <w:sz w:val="17"/>
                <w:szCs w:val="17"/>
                <w:rtl/>
              </w:rPr>
              <w:t xml:space="preserve"> 0</w:t>
            </w:r>
          </w:p>
        </w:tc>
        <w:tc>
          <w:tcPr>
            <w:tcW w:w="920" w:type="dxa"/>
            <w:vAlign w:val="bottom"/>
          </w:tcPr>
          <w:p w14:paraId="262237CE" w14:textId="77777777" w:rsidR="004D3E7A" w:rsidRPr="001831A9" w:rsidRDefault="00B44059" w:rsidP="007C54B1">
            <w:pPr>
              <w:pStyle w:val="-3"/>
              <w:rPr>
                <w:sz w:val="17"/>
                <w:szCs w:val="17"/>
                <w:rtl/>
              </w:rPr>
            </w:pPr>
            <w:r w:rsidRPr="00B44059">
              <w:rPr>
                <w:sz w:val="17"/>
                <w:szCs w:val="17"/>
                <w:rtl/>
              </w:rPr>
              <w:t xml:space="preserve"> 0</w:t>
            </w:r>
          </w:p>
        </w:tc>
        <w:tc>
          <w:tcPr>
            <w:tcW w:w="945" w:type="dxa"/>
            <w:vAlign w:val="bottom"/>
          </w:tcPr>
          <w:p w14:paraId="09C3A584" w14:textId="77777777" w:rsidR="004D3E7A" w:rsidRPr="001831A9" w:rsidRDefault="00B44059" w:rsidP="007C54B1">
            <w:pPr>
              <w:pStyle w:val="-3"/>
              <w:rPr>
                <w:sz w:val="17"/>
                <w:szCs w:val="17"/>
                <w:rtl/>
              </w:rPr>
            </w:pPr>
            <w:r w:rsidRPr="00B44059">
              <w:rPr>
                <w:sz w:val="17"/>
                <w:szCs w:val="17"/>
                <w:rtl/>
              </w:rPr>
              <w:t xml:space="preserve"> 0</w:t>
            </w:r>
          </w:p>
        </w:tc>
        <w:tc>
          <w:tcPr>
            <w:tcW w:w="945" w:type="dxa"/>
            <w:vAlign w:val="bottom"/>
          </w:tcPr>
          <w:p w14:paraId="31B17DF7" w14:textId="77777777" w:rsidR="004D3E7A" w:rsidRPr="001831A9" w:rsidRDefault="00B44059" w:rsidP="007C54B1">
            <w:pPr>
              <w:pStyle w:val="-3"/>
              <w:rPr>
                <w:sz w:val="17"/>
                <w:szCs w:val="17"/>
                <w:rtl/>
              </w:rPr>
            </w:pPr>
            <w:r w:rsidRPr="00B44059">
              <w:rPr>
                <w:sz w:val="17"/>
                <w:szCs w:val="17"/>
                <w:rtl/>
              </w:rPr>
              <w:t xml:space="preserve"> 0</w:t>
            </w:r>
          </w:p>
        </w:tc>
        <w:tc>
          <w:tcPr>
            <w:tcW w:w="747" w:type="dxa"/>
            <w:vAlign w:val="bottom"/>
          </w:tcPr>
          <w:p w14:paraId="013A2B60" w14:textId="77777777" w:rsidR="004D3E7A" w:rsidRPr="001831A9" w:rsidRDefault="00B44059" w:rsidP="007C54B1">
            <w:pPr>
              <w:pStyle w:val="-3"/>
              <w:rPr>
                <w:sz w:val="17"/>
                <w:szCs w:val="17"/>
                <w:rtl/>
              </w:rPr>
            </w:pPr>
            <w:r w:rsidRPr="00B44059">
              <w:rPr>
                <w:sz w:val="17"/>
                <w:szCs w:val="17"/>
                <w:rtl/>
              </w:rPr>
              <w:t xml:space="preserve"> 0</w:t>
            </w:r>
          </w:p>
        </w:tc>
        <w:tc>
          <w:tcPr>
            <w:tcW w:w="677" w:type="dxa"/>
            <w:vAlign w:val="bottom"/>
          </w:tcPr>
          <w:p w14:paraId="2F9EAFA8" w14:textId="77777777" w:rsidR="004D3E7A" w:rsidRPr="001831A9" w:rsidRDefault="00B44059" w:rsidP="007C54B1">
            <w:pPr>
              <w:pStyle w:val="-3"/>
              <w:rPr>
                <w:sz w:val="17"/>
                <w:szCs w:val="17"/>
                <w:rtl/>
              </w:rPr>
            </w:pPr>
            <w:r w:rsidRPr="00B44059">
              <w:rPr>
                <w:sz w:val="17"/>
                <w:szCs w:val="17"/>
                <w:rtl/>
              </w:rPr>
              <w:t xml:space="preserve"> 0</w:t>
            </w:r>
          </w:p>
        </w:tc>
      </w:tr>
      <w:tr w:rsidR="00F143F0" w:rsidRPr="00543C25" w14:paraId="3DFB5BC8" w14:textId="77777777" w:rsidTr="003D5632">
        <w:tc>
          <w:tcPr>
            <w:tcW w:w="993" w:type="dxa"/>
          </w:tcPr>
          <w:p w14:paraId="3892FE5A" w14:textId="77777777" w:rsidR="004D3E7A" w:rsidRPr="001831A9" w:rsidRDefault="004D3E7A" w:rsidP="007C54B1">
            <w:pPr>
              <w:pStyle w:val="-0"/>
              <w:rPr>
                <w:sz w:val="17"/>
                <w:szCs w:val="17"/>
                <w:rtl/>
              </w:rPr>
            </w:pPr>
          </w:p>
        </w:tc>
        <w:tc>
          <w:tcPr>
            <w:tcW w:w="4237" w:type="dxa"/>
            <w:vAlign w:val="bottom"/>
          </w:tcPr>
          <w:p w14:paraId="7A348335" w14:textId="77777777" w:rsidR="004D3E7A" w:rsidRPr="001831A9" w:rsidRDefault="00B44059" w:rsidP="007C54B1">
            <w:pPr>
              <w:pStyle w:val="-0"/>
              <w:rPr>
                <w:sz w:val="17"/>
                <w:szCs w:val="17"/>
                <w:rtl/>
              </w:rPr>
            </w:pPr>
            <w:r w:rsidRPr="00B44059">
              <w:rPr>
                <w:sz w:val="17"/>
                <w:szCs w:val="17"/>
                <w:rtl/>
              </w:rPr>
              <w:t xml:space="preserve">אשראי לציבור, </w:t>
            </w:r>
            <w:r w:rsidRPr="00B44059">
              <w:rPr>
                <w:rFonts w:hint="eastAsia"/>
                <w:sz w:val="17"/>
                <w:szCs w:val="17"/>
                <w:rtl/>
              </w:rPr>
              <w:t>נטו</w:t>
            </w:r>
          </w:p>
        </w:tc>
        <w:tc>
          <w:tcPr>
            <w:tcW w:w="747" w:type="dxa"/>
            <w:vAlign w:val="bottom"/>
          </w:tcPr>
          <w:p w14:paraId="4B9A7127" w14:textId="77777777" w:rsidR="004D3E7A" w:rsidRPr="001831A9" w:rsidRDefault="00B44059" w:rsidP="007C54B1">
            <w:pPr>
              <w:pStyle w:val="-3"/>
              <w:rPr>
                <w:sz w:val="17"/>
                <w:szCs w:val="17"/>
                <w:rtl/>
              </w:rPr>
            </w:pPr>
            <w:r w:rsidRPr="00B44059">
              <w:rPr>
                <w:sz w:val="17"/>
                <w:szCs w:val="17"/>
                <w:rtl/>
              </w:rPr>
              <w:t xml:space="preserve"> 0</w:t>
            </w:r>
          </w:p>
        </w:tc>
        <w:tc>
          <w:tcPr>
            <w:tcW w:w="920" w:type="dxa"/>
            <w:vAlign w:val="bottom"/>
          </w:tcPr>
          <w:p w14:paraId="7EF3CA64" w14:textId="77777777" w:rsidR="004D3E7A" w:rsidRPr="001831A9" w:rsidRDefault="00B44059" w:rsidP="007C54B1">
            <w:pPr>
              <w:pStyle w:val="-3"/>
              <w:rPr>
                <w:sz w:val="17"/>
                <w:szCs w:val="17"/>
                <w:rtl/>
              </w:rPr>
            </w:pPr>
            <w:r w:rsidRPr="00B44059">
              <w:rPr>
                <w:sz w:val="17"/>
                <w:szCs w:val="17"/>
                <w:rtl/>
              </w:rPr>
              <w:t xml:space="preserve"> 0</w:t>
            </w:r>
          </w:p>
        </w:tc>
        <w:tc>
          <w:tcPr>
            <w:tcW w:w="945" w:type="dxa"/>
            <w:vAlign w:val="bottom"/>
          </w:tcPr>
          <w:p w14:paraId="69A86DBD" w14:textId="77777777" w:rsidR="004D3E7A" w:rsidRPr="001831A9" w:rsidRDefault="00B44059" w:rsidP="007C54B1">
            <w:pPr>
              <w:pStyle w:val="-3"/>
              <w:rPr>
                <w:sz w:val="17"/>
                <w:szCs w:val="17"/>
                <w:rtl/>
              </w:rPr>
            </w:pPr>
            <w:r w:rsidRPr="00B44059">
              <w:rPr>
                <w:sz w:val="17"/>
                <w:szCs w:val="17"/>
                <w:rtl/>
              </w:rPr>
              <w:t xml:space="preserve"> 0</w:t>
            </w:r>
          </w:p>
        </w:tc>
        <w:tc>
          <w:tcPr>
            <w:tcW w:w="945" w:type="dxa"/>
            <w:vAlign w:val="bottom"/>
          </w:tcPr>
          <w:p w14:paraId="7D86DEF9" w14:textId="77777777" w:rsidR="004D3E7A" w:rsidRPr="001831A9" w:rsidRDefault="00B44059" w:rsidP="007C54B1">
            <w:pPr>
              <w:pStyle w:val="-3"/>
              <w:rPr>
                <w:sz w:val="17"/>
                <w:szCs w:val="17"/>
                <w:rtl/>
              </w:rPr>
            </w:pPr>
            <w:r w:rsidRPr="00B44059">
              <w:rPr>
                <w:sz w:val="17"/>
                <w:szCs w:val="17"/>
                <w:rtl/>
              </w:rPr>
              <w:t xml:space="preserve"> 0</w:t>
            </w:r>
          </w:p>
        </w:tc>
        <w:tc>
          <w:tcPr>
            <w:tcW w:w="747" w:type="dxa"/>
            <w:vAlign w:val="bottom"/>
          </w:tcPr>
          <w:p w14:paraId="3A24E534" w14:textId="77777777" w:rsidR="004D3E7A" w:rsidRPr="001831A9" w:rsidRDefault="00B44059" w:rsidP="007C54B1">
            <w:pPr>
              <w:pStyle w:val="-3"/>
              <w:rPr>
                <w:sz w:val="17"/>
                <w:szCs w:val="17"/>
                <w:rtl/>
              </w:rPr>
            </w:pPr>
            <w:r w:rsidRPr="00B44059">
              <w:rPr>
                <w:sz w:val="17"/>
                <w:szCs w:val="17"/>
                <w:rtl/>
              </w:rPr>
              <w:t xml:space="preserve"> 0</w:t>
            </w:r>
          </w:p>
        </w:tc>
        <w:tc>
          <w:tcPr>
            <w:tcW w:w="677" w:type="dxa"/>
            <w:vAlign w:val="bottom"/>
          </w:tcPr>
          <w:p w14:paraId="3479C15A" w14:textId="77777777" w:rsidR="004D3E7A" w:rsidRPr="001831A9" w:rsidRDefault="00B44059" w:rsidP="007C54B1">
            <w:pPr>
              <w:pStyle w:val="-3"/>
              <w:rPr>
                <w:sz w:val="17"/>
                <w:szCs w:val="17"/>
                <w:rtl/>
              </w:rPr>
            </w:pPr>
            <w:r w:rsidRPr="00B44059">
              <w:rPr>
                <w:sz w:val="17"/>
                <w:szCs w:val="17"/>
                <w:rtl/>
              </w:rPr>
              <w:t xml:space="preserve"> 0</w:t>
            </w:r>
          </w:p>
        </w:tc>
      </w:tr>
      <w:tr w:rsidR="00F143F0" w:rsidRPr="00543C25" w14:paraId="3E5C26C6" w14:textId="77777777" w:rsidTr="003D5632">
        <w:tc>
          <w:tcPr>
            <w:tcW w:w="993" w:type="dxa"/>
          </w:tcPr>
          <w:p w14:paraId="6EFCE96F" w14:textId="77777777" w:rsidR="004D3E7A" w:rsidRPr="001831A9" w:rsidRDefault="004D3E7A" w:rsidP="007C54B1">
            <w:pPr>
              <w:pStyle w:val="-0"/>
              <w:rPr>
                <w:sz w:val="17"/>
                <w:szCs w:val="17"/>
                <w:rtl/>
              </w:rPr>
            </w:pPr>
          </w:p>
        </w:tc>
        <w:tc>
          <w:tcPr>
            <w:tcW w:w="4237" w:type="dxa"/>
            <w:vAlign w:val="bottom"/>
          </w:tcPr>
          <w:p w14:paraId="77944919" w14:textId="77777777" w:rsidR="004D3E7A" w:rsidRPr="001831A9" w:rsidRDefault="00B44059" w:rsidP="007C54B1">
            <w:pPr>
              <w:pStyle w:val="-0"/>
              <w:rPr>
                <w:sz w:val="17"/>
                <w:szCs w:val="17"/>
                <w:rtl/>
              </w:rPr>
            </w:pPr>
            <w:r w:rsidRPr="00B44059">
              <w:rPr>
                <w:sz w:val="17"/>
                <w:szCs w:val="17"/>
                <w:rtl/>
              </w:rPr>
              <w:t>אשראי לממשלה</w:t>
            </w:r>
          </w:p>
        </w:tc>
        <w:tc>
          <w:tcPr>
            <w:tcW w:w="747" w:type="dxa"/>
            <w:vAlign w:val="bottom"/>
          </w:tcPr>
          <w:p w14:paraId="0EC53501" w14:textId="77777777" w:rsidR="004D3E7A" w:rsidRPr="001831A9" w:rsidRDefault="00B44059" w:rsidP="007C54B1">
            <w:pPr>
              <w:pStyle w:val="-3"/>
              <w:rPr>
                <w:sz w:val="17"/>
                <w:szCs w:val="17"/>
                <w:rtl/>
              </w:rPr>
            </w:pPr>
            <w:r w:rsidRPr="00B44059">
              <w:rPr>
                <w:sz w:val="17"/>
                <w:szCs w:val="17"/>
                <w:rtl/>
              </w:rPr>
              <w:t xml:space="preserve"> 0</w:t>
            </w:r>
          </w:p>
        </w:tc>
        <w:tc>
          <w:tcPr>
            <w:tcW w:w="920" w:type="dxa"/>
            <w:vAlign w:val="bottom"/>
          </w:tcPr>
          <w:p w14:paraId="3E8F10A6" w14:textId="77777777" w:rsidR="004D3E7A" w:rsidRPr="001831A9" w:rsidRDefault="00B44059" w:rsidP="007C54B1">
            <w:pPr>
              <w:pStyle w:val="-3"/>
              <w:rPr>
                <w:sz w:val="17"/>
                <w:szCs w:val="17"/>
                <w:rtl/>
              </w:rPr>
            </w:pPr>
            <w:r w:rsidRPr="00B44059">
              <w:rPr>
                <w:sz w:val="17"/>
                <w:szCs w:val="17"/>
                <w:rtl/>
              </w:rPr>
              <w:t xml:space="preserve"> 0</w:t>
            </w:r>
          </w:p>
        </w:tc>
        <w:tc>
          <w:tcPr>
            <w:tcW w:w="945" w:type="dxa"/>
            <w:vAlign w:val="bottom"/>
          </w:tcPr>
          <w:p w14:paraId="117E8D5E" w14:textId="77777777" w:rsidR="004D3E7A" w:rsidRPr="001831A9" w:rsidRDefault="00B44059" w:rsidP="007C54B1">
            <w:pPr>
              <w:pStyle w:val="-3"/>
              <w:rPr>
                <w:sz w:val="17"/>
                <w:szCs w:val="17"/>
                <w:rtl/>
              </w:rPr>
            </w:pPr>
            <w:r w:rsidRPr="00B44059">
              <w:rPr>
                <w:sz w:val="17"/>
                <w:szCs w:val="17"/>
                <w:rtl/>
              </w:rPr>
              <w:t xml:space="preserve"> 0</w:t>
            </w:r>
          </w:p>
        </w:tc>
        <w:tc>
          <w:tcPr>
            <w:tcW w:w="945" w:type="dxa"/>
            <w:vAlign w:val="bottom"/>
          </w:tcPr>
          <w:p w14:paraId="3F02198D" w14:textId="77777777" w:rsidR="004D3E7A" w:rsidRPr="001831A9" w:rsidRDefault="00B44059" w:rsidP="007C54B1">
            <w:pPr>
              <w:pStyle w:val="-3"/>
              <w:rPr>
                <w:sz w:val="17"/>
                <w:szCs w:val="17"/>
                <w:rtl/>
              </w:rPr>
            </w:pPr>
            <w:r w:rsidRPr="00B44059">
              <w:rPr>
                <w:sz w:val="17"/>
                <w:szCs w:val="17"/>
                <w:rtl/>
              </w:rPr>
              <w:t xml:space="preserve"> 0</w:t>
            </w:r>
          </w:p>
        </w:tc>
        <w:tc>
          <w:tcPr>
            <w:tcW w:w="747" w:type="dxa"/>
            <w:vAlign w:val="bottom"/>
          </w:tcPr>
          <w:p w14:paraId="4E9B1E39" w14:textId="77777777" w:rsidR="004D3E7A" w:rsidRPr="001831A9" w:rsidRDefault="00B44059" w:rsidP="007C54B1">
            <w:pPr>
              <w:pStyle w:val="-3"/>
              <w:rPr>
                <w:sz w:val="17"/>
                <w:szCs w:val="17"/>
                <w:rtl/>
              </w:rPr>
            </w:pPr>
            <w:r w:rsidRPr="00B44059">
              <w:rPr>
                <w:sz w:val="17"/>
                <w:szCs w:val="17"/>
                <w:rtl/>
              </w:rPr>
              <w:t xml:space="preserve"> 0</w:t>
            </w:r>
          </w:p>
        </w:tc>
        <w:tc>
          <w:tcPr>
            <w:tcW w:w="677" w:type="dxa"/>
            <w:vAlign w:val="bottom"/>
          </w:tcPr>
          <w:p w14:paraId="2FE34F0B" w14:textId="77777777" w:rsidR="004D3E7A" w:rsidRPr="001831A9" w:rsidRDefault="00B44059" w:rsidP="007C54B1">
            <w:pPr>
              <w:pStyle w:val="-3"/>
              <w:rPr>
                <w:sz w:val="17"/>
                <w:szCs w:val="17"/>
                <w:rtl/>
              </w:rPr>
            </w:pPr>
            <w:r w:rsidRPr="00B44059">
              <w:rPr>
                <w:sz w:val="17"/>
                <w:szCs w:val="17"/>
                <w:rtl/>
              </w:rPr>
              <w:t xml:space="preserve"> 0</w:t>
            </w:r>
          </w:p>
        </w:tc>
      </w:tr>
      <w:tr w:rsidR="00F143F0" w:rsidRPr="00543C25" w14:paraId="550A4D5D" w14:textId="77777777" w:rsidTr="003D5632">
        <w:tc>
          <w:tcPr>
            <w:tcW w:w="993" w:type="dxa"/>
          </w:tcPr>
          <w:p w14:paraId="7048423C" w14:textId="77777777" w:rsidR="004D3E7A" w:rsidRPr="001831A9" w:rsidRDefault="004D3E7A" w:rsidP="007C54B1">
            <w:pPr>
              <w:pStyle w:val="-0"/>
              <w:rPr>
                <w:sz w:val="17"/>
                <w:szCs w:val="17"/>
                <w:rtl/>
              </w:rPr>
            </w:pPr>
          </w:p>
        </w:tc>
        <w:tc>
          <w:tcPr>
            <w:tcW w:w="4237" w:type="dxa"/>
            <w:vAlign w:val="bottom"/>
          </w:tcPr>
          <w:p w14:paraId="1F21DC81" w14:textId="77777777" w:rsidR="004D3E7A" w:rsidRPr="001831A9" w:rsidRDefault="00B44059" w:rsidP="007C54B1">
            <w:pPr>
              <w:pStyle w:val="-0"/>
              <w:rPr>
                <w:sz w:val="17"/>
                <w:szCs w:val="17"/>
                <w:rtl/>
              </w:rPr>
            </w:pPr>
            <w:r w:rsidRPr="00B44059">
              <w:rPr>
                <w:sz w:val="17"/>
                <w:szCs w:val="17"/>
                <w:rtl/>
              </w:rPr>
              <w:t>השקעות בחברות כלולות</w:t>
            </w:r>
            <w:r w:rsidRPr="00B44059">
              <w:rPr>
                <w:b/>
                <w:sz w:val="17"/>
                <w:szCs w:val="17"/>
                <w:vertAlign w:val="superscript"/>
                <w:rtl/>
              </w:rPr>
              <w:t>[6]</w:t>
            </w:r>
          </w:p>
        </w:tc>
        <w:tc>
          <w:tcPr>
            <w:tcW w:w="747" w:type="dxa"/>
            <w:vAlign w:val="bottom"/>
          </w:tcPr>
          <w:p w14:paraId="7114F922" w14:textId="77777777" w:rsidR="004D3E7A" w:rsidRPr="001831A9" w:rsidRDefault="00B44059" w:rsidP="007C54B1">
            <w:pPr>
              <w:pStyle w:val="-3"/>
              <w:rPr>
                <w:sz w:val="17"/>
                <w:szCs w:val="17"/>
                <w:rtl/>
              </w:rPr>
            </w:pPr>
            <w:r w:rsidRPr="00B44059">
              <w:rPr>
                <w:sz w:val="17"/>
                <w:szCs w:val="17"/>
                <w:rtl/>
              </w:rPr>
              <w:t xml:space="preserve"> 0</w:t>
            </w:r>
          </w:p>
        </w:tc>
        <w:tc>
          <w:tcPr>
            <w:tcW w:w="920" w:type="dxa"/>
            <w:vAlign w:val="bottom"/>
          </w:tcPr>
          <w:p w14:paraId="4CA67700" w14:textId="77777777" w:rsidR="004D3E7A" w:rsidRPr="001831A9" w:rsidRDefault="00B44059" w:rsidP="007C54B1">
            <w:pPr>
              <w:pStyle w:val="-3"/>
              <w:rPr>
                <w:sz w:val="17"/>
                <w:szCs w:val="17"/>
                <w:rtl/>
              </w:rPr>
            </w:pPr>
            <w:r w:rsidRPr="00B44059">
              <w:rPr>
                <w:sz w:val="17"/>
                <w:szCs w:val="17"/>
                <w:rtl/>
              </w:rPr>
              <w:t xml:space="preserve"> 0</w:t>
            </w:r>
          </w:p>
        </w:tc>
        <w:tc>
          <w:tcPr>
            <w:tcW w:w="945" w:type="dxa"/>
            <w:vAlign w:val="bottom"/>
          </w:tcPr>
          <w:p w14:paraId="29301956" w14:textId="77777777" w:rsidR="004D3E7A" w:rsidRPr="001831A9" w:rsidRDefault="00B44059" w:rsidP="007C54B1">
            <w:pPr>
              <w:pStyle w:val="-3"/>
              <w:rPr>
                <w:sz w:val="17"/>
                <w:szCs w:val="17"/>
                <w:rtl/>
              </w:rPr>
            </w:pPr>
            <w:r w:rsidRPr="00B44059">
              <w:rPr>
                <w:sz w:val="17"/>
                <w:szCs w:val="17"/>
                <w:rtl/>
              </w:rPr>
              <w:t xml:space="preserve"> 0</w:t>
            </w:r>
          </w:p>
        </w:tc>
        <w:tc>
          <w:tcPr>
            <w:tcW w:w="945" w:type="dxa"/>
            <w:vAlign w:val="bottom"/>
          </w:tcPr>
          <w:p w14:paraId="3548C605" w14:textId="77777777" w:rsidR="004D3E7A" w:rsidRPr="001831A9" w:rsidRDefault="00B44059" w:rsidP="007C54B1">
            <w:pPr>
              <w:pStyle w:val="-3"/>
              <w:rPr>
                <w:sz w:val="17"/>
                <w:szCs w:val="17"/>
                <w:rtl/>
              </w:rPr>
            </w:pPr>
            <w:r w:rsidRPr="00B44059">
              <w:rPr>
                <w:sz w:val="17"/>
                <w:szCs w:val="17"/>
                <w:rtl/>
              </w:rPr>
              <w:t xml:space="preserve"> 0</w:t>
            </w:r>
          </w:p>
        </w:tc>
        <w:tc>
          <w:tcPr>
            <w:tcW w:w="747" w:type="dxa"/>
            <w:vAlign w:val="bottom"/>
          </w:tcPr>
          <w:p w14:paraId="43E1761F" w14:textId="77777777" w:rsidR="004D3E7A" w:rsidRPr="001831A9" w:rsidRDefault="00B44059" w:rsidP="007C54B1">
            <w:pPr>
              <w:pStyle w:val="-3"/>
              <w:rPr>
                <w:sz w:val="17"/>
                <w:szCs w:val="17"/>
                <w:rtl/>
              </w:rPr>
            </w:pPr>
            <w:r w:rsidRPr="00B44059">
              <w:rPr>
                <w:sz w:val="17"/>
                <w:szCs w:val="17"/>
                <w:rtl/>
              </w:rPr>
              <w:t xml:space="preserve"> 0</w:t>
            </w:r>
          </w:p>
        </w:tc>
        <w:tc>
          <w:tcPr>
            <w:tcW w:w="677" w:type="dxa"/>
            <w:vAlign w:val="bottom"/>
          </w:tcPr>
          <w:p w14:paraId="3B7D67F7" w14:textId="77777777" w:rsidR="004D3E7A" w:rsidRPr="001831A9" w:rsidRDefault="00B44059" w:rsidP="007C54B1">
            <w:pPr>
              <w:pStyle w:val="-3"/>
              <w:rPr>
                <w:sz w:val="17"/>
                <w:szCs w:val="17"/>
                <w:rtl/>
              </w:rPr>
            </w:pPr>
            <w:r w:rsidRPr="00B44059">
              <w:rPr>
                <w:sz w:val="17"/>
                <w:szCs w:val="17"/>
                <w:rtl/>
              </w:rPr>
              <w:t xml:space="preserve"> 0</w:t>
            </w:r>
          </w:p>
        </w:tc>
      </w:tr>
      <w:tr w:rsidR="00F143F0" w:rsidRPr="00543C25" w14:paraId="53F39277" w14:textId="77777777" w:rsidTr="003D5632">
        <w:tc>
          <w:tcPr>
            <w:tcW w:w="993" w:type="dxa"/>
          </w:tcPr>
          <w:p w14:paraId="0746D270" w14:textId="77777777" w:rsidR="004D3E7A" w:rsidRPr="001831A9" w:rsidRDefault="004D3E7A" w:rsidP="007C54B1">
            <w:pPr>
              <w:pStyle w:val="-0"/>
              <w:rPr>
                <w:sz w:val="17"/>
                <w:szCs w:val="17"/>
                <w:rtl/>
              </w:rPr>
            </w:pPr>
          </w:p>
        </w:tc>
        <w:tc>
          <w:tcPr>
            <w:tcW w:w="4237" w:type="dxa"/>
            <w:vAlign w:val="bottom"/>
          </w:tcPr>
          <w:p w14:paraId="4303CA82" w14:textId="77777777" w:rsidR="004D3E7A" w:rsidRPr="001831A9" w:rsidRDefault="00B44059" w:rsidP="007C54B1">
            <w:pPr>
              <w:pStyle w:val="-0"/>
              <w:rPr>
                <w:sz w:val="17"/>
                <w:szCs w:val="17"/>
                <w:rtl/>
              </w:rPr>
            </w:pPr>
            <w:r w:rsidRPr="00B44059">
              <w:rPr>
                <w:sz w:val="17"/>
                <w:szCs w:val="17"/>
                <w:rtl/>
              </w:rPr>
              <w:t>בניינים וציוד</w:t>
            </w:r>
          </w:p>
        </w:tc>
        <w:tc>
          <w:tcPr>
            <w:tcW w:w="747" w:type="dxa"/>
            <w:vAlign w:val="bottom"/>
          </w:tcPr>
          <w:p w14:paraId="037CC36F" w14:textId="77777777" w:rsidR="004D3E7A" w:rsidRPr="001831A9" w:rsidRDefault="00B44059" w:rsidP="007C54B1">
            <w:pPr>
              <w:pStyle w:val="-3"/>
              <w:rPr>
                <w:sz w:val="17"/>
                <w:szCs w:val="17"/>
                <w:rtl/>
              </w:rPr>
            </w:pPr>
            <w:r w:rsidRPr="00B44059">
              <w:rPr>
                <w:sz w:val="17"/>
                <w:szCs w:val="17"/>
                <w:rtl/>
              </w:rPr>
              <w:t xml:space="preserve"> -</w:t>
            </w:r>
          </w:p>
        </w:tc>
        <w:tc>
          <w:tcPr>
            <w:tcW w:w="920" w:type="dxa"/>
            <w:vAlign w:val="bottom"/>
          </w:tcPr>
          <w:p w14:paraId="64622382" w14:textId="77777777" w:rsidR="004D3E7A" w:rsidRPr="001831A9" w:rsidRDefault="00B44059" w:rsidP="007C54B1">
            <w:pPr>
              <w:pStyle w:val="-3"/>
              <w:rPr>
                <w:sz w:val="17"/>
                <w:szCs w:val="17"/>
                <w:rtl/>
              </w:rPr>
            </w:pPr>
            <w:r w:rsidRPr="00B44059">
              <w:rPr>
                <w:sz w:val="17"/>
                <w:szCs w:val="17"/>
                <w:rtl/>
              </w:rPr>
              <w:t xml:space="preserve"> -</w:t>
            </w:r>
          </w:p>
        </w:tc>
        <w:tc>
          <w:tcPr>
            <w:tcW w:w="945" w:type="dxa"/>
            <w:vAlign w:val="bottom"/>
          </w:tcPr>
          <w:p w14:paraId="23F9162F" w14:textId="77777777" w:rsidR="004D3E7A" w:rsidRPr="001831A9" w:rsidRDefault="00B44059" w:rsidP="007C54B1">
            <w:pPr>
              <w:pStyle w:val="-3"/>
              <w:rPr>
                <w:sz w:val="17"/>
                <w:szCs w:val="17"/>
                <w:rtl/>
              </w:rPr>
            </w:pPr>
            <w:r w:rsidRPr="00B44059">
              <w:rPr>
                <w:sz w:val="17"/>
                <w:szCs w:val="17"/>
                <w:rtl/>
              </w:rPr>
              <w:t xml:space="preserve"> -</w:t>
            </w:r>
          </w:p>
        </w:tc>
        <w:tc>
          <w:tcPr>
            <w:tcW w:w="945" w:type="dxa"/>
            <w:vAlign w:val="bottom"/>
          </w:tcPr>
          <w:p w14:paraId="25D4C864" w14:textId="77777777" w:rsidR="004D3E7A" w:rsidRPr="001831A9" w:rsidRDefault="00B44059" w:rsidP="007C54B1">
            <w:pPr>
              <w:pStyle w:val="-3"/>
              <w:rPr>
                <w:sz w:val="17"/>
                <w:szCs w:val="17"/>
                <w:rtl/>
              </w:rPr>
            </w:pPr>
            <w:r w:rsidRPr="00B44059">
              <w:rPr>
                <w:sz w:val="17"/>
                <w:szCs w:val="17"/>
                <w:rtl/>
              </w:rPr>
              <w:t xml:space="preserve"> -</w:t>
            </w:r>
          </w:p>
        </w:tc>
        <w:tc>
          <w:tcPr>
            <w:tcW w:w="747" w:type="dxa"/>
            <w:vAlign w:val="bottom"/>
          </w:tcPr>
          <w:p w14:paraId="6F186A75" w14:textId="77777777" w:rsidR="004D3E7A" w:rsidRPr="001831A9" w:rsidRDefault="00B44059" w:rsidP="007C54B1">
            <w:pPr>
              <w:pStyle w:val="-3"/>
              <w:rPr>
                <w:sz w:val="17"/>
                <w:szCs w:val="17"/>
                <w:rtl/>
              </w:rPr>
            </w:pPr>
            <w:r w:rsidRPr="00B44059">
              <w:rPr>
                <w:sz w:val="17"/>
                <w:szCs w:val="17"/>
                <w:rtl/>
              </w:rPr>
              <w:t xml:space="preserve"> 0</w:t>
            </w:r>
          </w:p>
        </w:tc>
        <w:tc>
          <w:tcPr>
            <w:tcW w:w="677" w:type="dxa"/>
            <w:vAlign w:val="bottom"/>
          </w:tcPr>
          <w:p w14:paraId="16B90B4F" w14:textId="77777777" w:rsidR="004D3E7A" w:rsidRPr="001831A9" w:rsidRDefault="00B44059" w:rsidP="007C54B1">
            <w:pPr>
              <w:pStyle w:val="-3"/>
              <w:rPr>
                <w:sz w:val="17"/>
                <w:szCs w:val="17"/>
                <w:rtl/>
              </w:rPr>
            </w:pPr>
            <w:r w:rsidRPr="00B44059">
              <w:rPr>
                <w:sz w:val="17"/>
                <w:szCs w:val="17"/>
                <w:rtl/>
              </w:rPr>
              <w:t xml:space="preserve"> 0</w:t>
            </w:r>
          </w:p>
        </w:tc>
      </w:tr>
      <w:tr w:rsidR="00F143F0" w:rsidRPr="00543C25" w14:paraId="642820B8" w14:textId="77777777" w:rsidTr="003D5632">
        <w:tc>
          <w:tcPr>
            <w:tcW w:w="993" w:type="dxa"/>
          </w:tcPr>
          <w:p w14:paraId="4246C4FC" w14:textId="77777777" w:rsidR="004D3E7A" w:rsidRPr="001831A9" w:rsidRDefault="004D3E7A" w:rsidP="007C54B1">
            <w:pPr>
              <w:pStyle w:val="-0"/>
              <w:rPr>
                <w:sz w:val="17"/>
                <w:szCs w:val="17"/>
                <w:rtl/>
              </w:rPr>
            </w:pPr>
          </w:p>
        </w:tc>
        <w:tc>
          <w:tcPr>
            <w:tcW w:w="4237" w:type="dxa"/>
            <w:vAlign w:val="bottom"/>
          </w:tcPr>
          <w:p w14:paraId="2FFFC4A6" w14:textId="77777777" w:rsidR="004D3E7A" w:rsidRPr="001831A9" w:rsidRDefault="00B44059" w:rsidP="007C54B1">
            <w:pPr>
              <w:pStyle w:val="-0"/>
              <w:rPr>
                <w:sz w:val="17"/>
                <w:szCs w:val="17"/>
                <w:rtl/>
              </w:rPr>
            </w:pPr>
            <w:r w:rsidRPr="00B44059">
              <w:rPr>
                <w:rFonts w:hint="eastAsia"/>
                <w:sz w:val="17"/>
                <w:szCs w:val="17"/>
                <w:rtl/>
              </w:rPr>
              <w:t>נכסים</w:t>
            </w:r>
            <w:r w:rsidRPr="00B44059">
              <w:rPr>
                <w:sz w:val="17"/>
                <w:szCs w:val="17"/>
                <w:rtl/>
              </w:rPr>
              <w:t xml:space="preserve"> </w:t>
            </w:r>
            <w:r w:rsidRPr="00B44059">
              <w:rPr>
                <w:rFonts w:hint="eastAsia"/>
                <w:sz w:val="17"/>
                <w:szCs w:val="17"/>
                <w:rtl/>
              </w:rPr>
              <w:t>בלתי</w:t>
            </w:r>
            <w:r w:rsidRPr="00B44059">
              <w:rPr>
                <w:sz w:val="17"/>
                <w:szCs w:val="17"/>
                <w:rtl/>
              </w:rPr>
              <w:t xml:space="preserve"> </w:t>
            </w:r>
            <w:r w:rsidRPr="00B44059">
              <w:rPr>
                <w:rFonts w:hint="eastAsia"/>
                <w:sz w:val="17"/>
                <w:szCs w:val="17"/>
                <w:rtl/>
              </w:rPr>
              <w:t>מוחשיים</w:t>
            </w:r>
            <w:r w:rsidRPr="00B44059">
              <w:rPr>
                <w:sz w:val="17"/>
                <w:szCs w:val="17"/>
                <w:rtl/>
              </w:rPr>
              <w:t xml:space="preserve"> </w:t>
            </w:r>
            <w:r w:rsidRPr="00B44059">
              <w:rPr>
                <w:rFonts w:hint="eastAsia"/>
                <w:sz w:val="17"/>
                <w:szCs w:val="17"/>
                <w:rtl/>
              </w:rPr>
              <w:t>ומוניטין</w:t>
            </w:r>
          </w:p>
        </w:tc>
        <w:tc>
          <w:tcPr>
            <w:tcW w:w="747" w:type="dxa"/>
            <w:vAlign w:val="bottom"/>
          </w:tcPr>
          <w:p w14:paraId="0227EAA0" w14:textId="77777777" w:rsidR="004D3E7A" w:rsidRPr="001831A9" w:rsidRDefault="00B44059" w:rsidP="007C54B1">
            <w:pPr>
              <w:pStyle w:val="-3"/>
              <w:rPr>
                <w:sz w:val="17"/>
                <w:szCs w:val="17"/>
                <w:rtl/>
              </w:rPr>
            </w:pPr>
            <w:r w:rsidRPr="00B44059">
              <w:rPr>
                <w:sz w:val="17"/>
                <w:szCs w:val="17"/>
                <w:rtl/>
              </w:rPr>
              <w:t xml:space="preserve"> -</w:t>
            </w:r>
          </w:p>
        </w:tc>
        <w:tc>
          <w:tcPr>
            <w:tcW w:w="920" w:type="dxa"/>
            <w:vAlign w:val="bottom"/>
          </w:tcPr>
          <w:p w14:paraId="5060B931" w14:textId="77777777" w:rsidR="004D3E7A" w:rsidRPr="001831A9" w:rsidRDefault="00B44059" w:rsidP="007C54B1">
            <w:pPr>
              <w:pStyle w:val="-3"/>
              <w:rPr>
                <w:sz w:val="17"/>
                <w:szCs w:val="17"/>
                <w:rtl/>
              </w:rPr>
            </w:pPr>
            <w:r w:rsidRPr="00B44059">
              <w:rPr>
                <w:sz w:val="17"/>
                <w:szCs w:val="17"/>
                <w:rtl/>
              </w:rPr>
              <w:t xml:space="preserve"> -</w:t>
            </w:r>
          </w:p>
        </w:tc>
        <w:tc>
          <w:tcPr>
            <w:tcW w:w="945" w:type="dxa"/>
            <w:vAlign w:val="bottom"/>
          </w:tcPr>
          <w:p w14:paraId="29AD6811" w14:textId="77777777" w:rsidR="004D3E7A" w:rsidRPr="001831A9" w:rsidRDefault="00B44059" w:rsidP="007C54B1">
            <w:pPr>
              <w:pStyle w:val="-3"/>
              <w:rPr>
                <w:sz w:val="17"/>
                <w:szCs w:val="17"/>
                <w:rtl/>
              </w:rPr>
            </w:pPr>
            <w:r w:rsidRPr="00B44059">
              <w:rPr>
                <w:sz w:val="17"/>
                <w:szCs w:val="17"/>
                <w:rtl/>
              </w:rPr>
              <w:t xml:space="preserve"> -</w:t>
            </w:r>
          </w:p>
        </w:tc>
        <w:tc>
          <w:tcPr>
            <w:tcW w:w="945" w:type="dxa"/>
            <w:vAlign w:val="bottom"/>
          </w:tcPr>
          <w:p w14:paraId="7C7E27CB" w14:textId="77777777" w:rsidR="004D3E7A" w:rsidRPr="001831A9" w:rsidRDefault="00B44059" w:rsidP="007C54B1">
            <w:pPr>
              <w:pStyle w:val="-3"/>
              <w:rPr>
                <w:sz w:val="17"/>
                <w:szCs w:val="17"/>
                <w:rtl/>
              </w:rPr>
            </w:pPr>
            <w:r w:rsidRPr="00B44059">
              <w:rPr>
                <w:sz w:val="17"/>
                <w:szCs w:val="17"/>
                <w:rtl/>
              </w:rPr>
              <w:t xml:space="preserve"> -</w:t>
            </w:r>
          </w:p>
        </w:tc>
        <w:tc>
          <w:tcPr>
            <w:tcW w:w="747" w:type="dxa"/>
            <w:vAlign w:val="bottom"/>
          </w:tcPr>
          <w:p w14:paraId="0EC98BDD" w14:textId="77777777" w:rsidR="004D3E7A" w:rsidRPr="001831A9" w:rsidRDefault="00B44059" w:rsidP="007C54B1">
            <w:pPr>
              <w:pStyle w:val="-3"/>
              <w:rPr>
                <w:sz w:val="17"/>
                <w:szCs w:val="17"/>
                <w:rtl/>
              </w:rPr>
            </w:pPr>
            <w:r w:rsidRPr="00B44059">
              <w:rPr>
                <w:sz w:val="17"/>
                <w:szCs w:val="17"/>
                <w:rtl/>
              </w:rPr>
              <w:t xml:space="preserve"> 0</w:t>
            </w:r>
          </w:p>
        </w:tc>
        <w:tc>
          <w:tcPr>
            <w:tcW w:w="677" w:type="dxa"/>
            <w:vAlign w:val="bottom"/>
          </w:tcPr>
          <w:p w14:paraId="65074D2A" w14:textId="77777777" w:rsidR="004D3E7A" w:rsidRPr="001831A9" w:rsidRDefault="00B44059" w:rsidP="007C54B1">
            <w:pPr>
              <w:pStyle w:val="-3"/>
              <w:rPr>
                <w:sz w:val="17"/>
                <w:szCs w:val="17"/>
                <w:rtl/>
              </w:rPr>
            </w:pPr>
            <w:r w:rsidRPr="00B44059">
              <w:rPr>
                <w:sz w:val="17"/>
                <w:szCs w:val="17"/>
                <w:rtl/>
              </w:rPr>
              <w:t xml:space="preserve"> 0</w:t>
            </w:r>
          </w:p>
        </w:tc>
      </w:tr>
      <w:tr w:rsidR="00F143F0" w:rsidRPr="00543C25" w14:paraId="3D76B365" w14:textId="77777777" w:rsidTr="003D5632">
        <w:tc>
          <w:tcPr>
            <w:tcW w:w="993" w:type="dxa"/>
          </w:tcPr>
          <w:p w14:paraId="727C123A" w14:textId="77777777" w:rsidR="004D3E7A" w:rsidRPr="001831A9" w:rsidRDefault="004D3E7A" w:rsidP="007C54B1">
            <w:pPr>
              <w:pStyle w:val="-0"/>
              <w:rPr>
                <w:sz w:val="17"/>
                <w:szCs w:val="17"/>
                <w:rtl/>
              </w:rPr>
            </w:pPr>
          </w:p>
        </w:tc>
        <w:tc>
          <w:tcPr>
            <w:tcW w:w="4237" w:type="dxa"/>
            <w:vAlign w:val="bottom"/>
          </w:tcPr>
          <w:p w14:paraId="1CD41DAE" w14:textId="77777777" w:rsidR="004D3E7A" w:rsidRPr="001831A9" w:rsidRDefault="00B44059" w:rsidP="007C54B1">
            <w:pPr>
              <w:pStyle w:val="-0"/>
              <w:rPr>
                <w:sz w:val="17"/>
                <w:szCs w:val="17"/>
                <w:rtl/>
              </w:rPr>
            </w:pPr>
            <w:r w:rsidRPr="00B44059">
              <w:rPr>
                <w:rFonts w:hint="eastAsia"/>
                <w:sz w:val="17"/>
                <w:szCs w:val="17"/>
                <w:rtl/>
              </w:rPr>
              <w:t>נכסים</w:t>
            </w:r>
            <w:r w:rsidRPr="00B44059">
              <w:rPr>
                <w:sz w:val="17"/>
                <w:szCs w:val="17"/>
                <w:rtl/>
              </w:rPr>
              <w:t xml:space="preserve"> </w:t>
            </w:r>
            <w:r w:rsidRPr="00B44059">
              <w:rPr>
                <w:rFonts w:hint="eastAsia"/>
                <w:sz w:val="17"/>
                <w:szCs w:val="17"/>
                <w:rtl/>
              </w:rPr>
              <w:t>בגין</w:t>
            </w:r>
            <w:r w:rsidRPr="00B44059">
              <w:rPr>
                <w:sz w:val="17"/>
                <w:szCs w:val="17"/>
                <w:rtl/>
              </w:rPr>
              <w:t xml:space="preserve"> </w:t>
            </w:r>
            <w:r w:rsidRPr="00B44059">
              <w:rPr>
                <w:rFonts w:hint="eastAsia"/>
                <w:sz w:val="17"/>
                <w:szCs w:val="17"/>
                <w:rtl/>
              </w:rPr>
              <w:t>מכשירים</w:t>
            </w:r>
            <w:r w:rsidRPr="00B44059">
              <w:rPr>
                <w:sz w:val="17"/>
                <w:szCs w:val="17"/>
                <w:rtl/>
              </w:rPr>
              <w:t xml:space="preserve"> </w:t>
            </w:r>
            <w:r w:rsidRPr="00B44059">
              <w:rPr>
                <w:rFonts w:hint="eastAsia"/>
                <w:sz w:val="17"/>
                <w:szCs w:val="17"/>
                <w:rtl/>
              </w:rPr>
              <w:t>נגזרים</w:t>
            </w:r>
          </w:p>
        </w:tc>
        <w:tc>
          <w:tcPr>
            <w:tcW w:w="747" w:type="dxa"/>
            <w:vAlign w:val="bottom"/>
          </w:tcPr>
          <w:p w14:paraId="10835130" w14:textId="77777777" w:rsidR="004D3E7A" w:rsidRPr="001831A9" w:rsidRDefault="00B44059" w:rsidP="007C54B1">
            <w:pPr>
              <w:pStyle w:val="-3"/>
              <w:rPr>
                <w:sz w:val="17"/>
                <w:szCs w:val="17"/>
                <w:rtl/>
              </w:rPr>
            </w:pPr>
            <w:r w:rsidRPr="00B44059">
              <w:rPr>
                <w:sz w:val="17"/>
                <w:szCs w:val="17"/>
                <w:rtl/>
              </w:rPr>
              <w:t xml:space="preserve"> 0</w:t>
            </w:r>
          </w:p>
        </w:tc>
        <w:tc>
          <w:tcPr>
            <w:tcW w:w="920" w:type="dxa"/>
            <w:vAlign w:val="bottom"/>
          </w:tcPr>
          <w:p w14:paraId="18CE6207" w14:textId="77777777" w:rsidR="004D3E7A" w:rsidRPr="001831A9" w:rsidRDefault="00B44059" w:rsidP="007C54B1">
            <w:pPr>
              <w:pStyle w:val="-3"/>
              <w:rPr>
                <w:sz w:val="17"/>
                <w:szCs w:val="17"/>
                <w:rtl/>
              </w:rPr>
            </w:pPr>
            <w:r w:rsidRPr="00B44059">
              <w:rPr>
                <w:sz w:val="17"/>
                <w:szCs w:val="17"/>
                <w:rtl/>
              </w:rPr>
              <w:t xml:space="preserve"> 0</w:t>
            </w:r>
          </w:p>
        </w:tc>
        <w:tc>
          <w:tcPr>
            <w:tcW w:w="945" w:type="dxa"/>
            <w:vAlign w:val="bottom"/>
          </w:tcPr>
          <w:p w14:paraId="409353E0" w14:textId="77777777" w:rsidR="004D3E7A" w:rsidRPr="001831A9" w:rsidRDefault="00B44059" w:rsidP="007C54B1">
            <w:pPr>
              <w:pStyle w:val="-3"/>
              <w:rPr>
                <w:sz w:val="17"/>
                <w:szCs w:val="17"/>
                <w:rtl/>
              </w:rPr>
            </w:pPr>
            <w:r w:rsidRPr="00B44059">
              <w:rPr>
                <w:sz w:val="17"/>
                <w:szCs w:val="17"/>
                <w:rtl/>
              </w:rPr>
              <w:t xml:space="preserve"> 0</w:t>
            </w:r>
          </w:p>
        </w:tc>
        <w:tc>
          <w:tcPr>
            <w:tcW w:w="945" w:type="dxa"/>
            <w:vAlign w:val="bottom"/>
          </w:tcPr>
          <w:p w14:paraId="6F058E17" w14:textId="77777777" w:rsidR="004D3E7A" w:rsidRPr="001831A9" w:rsidRDefault="00B44059" w:rsidP="007C54B1">
            <w:pPr>
              <w:pStyle w:val="-3"/>
              <w:rPr>
                <w:sz w:val="17"/>
                <w:szCs w:val="17"/>
                <w:rtl/>
              </w:rPr>
            </w:pPr>
            <w:r w:rsidRPr="00B44059">
              <w:rPr>
                <w:sz w:val="17"/>
                <w:szCs w:val="17"/>
                <w:rtl/>
              </w:rPr>
              <w:t xml:space="preserve"> 0</w:t>
            </w:r>
          </w:p>
        </w:tc>
        <w:tc>
          <w:tcPr>
            <w:tcW w:w="747" w:type="dxa"/>
            <w:vAlign w:val="bottom"/>
          </w:tcPr>
          <w:p w14:paraId="432900C4" w14:textId="77777777" w:rsidR="004D3E7A" w:rsidRPr="001831A9" w:rsidRDefault="00B44059" w:rsidP="007C54B1">
            <w:pPr>
              <w:pStyle w:val="-3"/>
              <w:rPr>
                <w:sz w:val="17"/>
                <w:szCs w:val="17"/>
                <w:rtl/>
              </w:rPr>
            </w:pPr>
            <w:r w:rsidRPr="00B44059">
              <w:rPr>
                <w:sz w:val="17"/>
                <w:szCs w:val="17"/>
                <w:rtl/>
              </w:rPr>
              <w:t xml:space="preserve"> 0</w:t>
            </w:r>
          </w:p>
        </w:tc>
        <w:tc>
          <w:tcPr>
            <w:tcW w:w="677" w:type="dxa"/>
            <w:vAlign w:val="bottom"/>
          </w:tcPr>
          <w:p w14:paraId="170F3526" w14:textId="77777777" w:rsidR="004D3E7A" w:rsidRPr="001831A9" w:rsidRDefault="00B44059" w:rsidP="007C54B1">
            <w:pPr>
              <w:pStyle w:val="-3"/>
              <w:rPr>
                <w:sz w:val="17"/>
                <w:szCs w:val="17"/>
                <w:rtl/>
              </w:rPr>
            </w:pPr>
            <w:r w:rsidRPr="00B44059">
              <w:rPr>
                <w:sz w:val="17"/>
                <w:szCs w:val="17"/>
                <w:rtl/>
              </w:rPr>
              <w:t xml:space="preserve"> 0</w:t>
            </w:r>
          </w:p>
        </w:tc>
      </w:tr>
      <w:tr w:rsidR="00F143F0" w:rsidRPr="00543C25" w14:paraId="0A23ECFA" w14:textId="77777777" w:rsidTr="003D5632">
        <w:tc>
          <w:tcPr>
            <w:tcW w:w="993" w:type="dxa"/>
          </w:tcPr>
          <w:p w14:paraId="0DCCF333" w14:textId="77777777" w:rsidR="004D3E7A" w:rsidRPr="001831A9" w:rsidRDefault="004D3E7A" w:rsidP="007C54B1">
            <w:pPr>
              <w:pStyle w:val="-0"/>
              <w:rPr>
                <w:sz w:val="17"/>
                <w:szCs w:val="17"/>
                <w:rtl/>
              </w:rPr>
            </w:pPr>
          </w:p>
        </w:tc>
        <w:tc>
          <w:tcPr>
            <w:tcW w:w="4237" w:type="dxa"/>
            <w:vAlign w:val="bottom"/>
          </w:tcPr>
          <w:p w14:paraId="0A9AA646" w14:textId="77777777" w:rsidR="004D3E7A" w:rsidRPr="001831A9" w:rsidRDefault="00B44059" w:rsidP="007C54B1">
            <w:pPr>
              <w:pStyle w:val="-0"/>
              <w:rPr>
                <w:sz w:val="17"/>
                <w:szCs w:val="17"/>
                <w:rtl/>
              </w:rPr>
            </w:pPr>
            <w:r w:rsidRPr="00B44059">
              <w:rPr>
                <w:sz w:val="17"/>
                <w:szCs w:val="17"/>
                <w:rtl/>
              </w:rPr>
              <w:t>נכסים אחרים</w:t>
            </w:r>
            <w:r w:rsidRPr="00B44059">
              <w:rPr>
                <w:rFonts w:eastAsia="Arial Unicode MS"/>
                <w:sz w:val="17"/>
                <w:szCs w:val="17"/>
                <w:vertAlign w:val="superscript"/>
                <w:rtl/>
              </w:rPr>
              <w:t>[</w:t>
            </w:r>
            <w:r w:rsidRPr="00B44059">
              <w:rPr>
                <w:rStyle w:val="a7"/>
                <w:rFonts w:eastAsia="Arial Unicode MS"/>
                <w:sz w:val="17"/>
                <w:szCs w:val="17"/>
                <w:rtl/>
              </w:rPr>
              <w:footnoteReference w:id="119"/>
            </w:r>
            <w:r w:rsidRPr="00B44059">
              <w:rPr>
                <w:rFonts w:eastAsia="Arial Unicode MS"/>
                <w:sz w:val="17"/>
                <w:szCs w:val="17"/>
                <w:vertAlign w:val="superscript"/>
                <w:rtl/>
              </w:rPr>
              <w:t>]</w:t>
            </w:r>
          </w:p>
        </w:tc>
        <w:tc>
          <w:tcPr>
            <w:tcW w:w="747" w:type="dxa"/>
            <w:vAlign w:val="bottom"/>
          </w:tcPr>
          <w:p w14:paraId="69E98E7D" w14:textId="77777777" w:rsidR="004D3E7A" w:rsidRPr="001831A9" w:rsidRDefault="00B44059" w:rsidP="007C54B1">
            <w:pPr>
              <w:pStyle w:val="-3"/>
              <w:rPr>
                <w:sz w:val="17"/>
                <w:szCs w:val="17"/>
                <w:rtl/>
              </w:rPr>
            </w:pPr>
            <w:r w:rsidRPr="00B44059">
              <w:rPr>
                <w:sz w:val="17"/>
                <w:szCs w:val="17"/>
                <w:rtl/>
              </w:rPr>
              <w:t xml:space="preserve"> 0</w:t>
            </w:r>
          </w:p>
        </w:tc>
        <w:tc>
          <w:tcPr>
            <w:tcW w:w="920" w:type="dxa"/>
            <w:vAlign w:val="bottom"/>
          </w:tcPr>
          <w:p w14:paraId="400C410E" w14:textId="77777777" w:rsidR="004D3E7A" w:rsidRPr="001831A9" w:rsidRDefault="00B44059" w:rsidP="007C54B1">
            <w:pPr>
              <w:pStyle w:val="-3"/>
              <w:rPr>
                <w:sz w:val="17"/>
                <w:szCs w:val="17"/>
                <w:rtl/>
              </w:rPr>
            </w:pPr>
            <w:r w:rsidRPr="00B44059">
              <w:rPr>
                <w:sz w:val="17"/>
                <w:szCs w:val="17"/>
                <w:rtl/>
              </w:rPr>
              <w:t xml:space="preserve"> 0</w:t>
            </w:r>
          </w:p>
        </w:tc>
        <w:tc>
          <w:tcPr>
            <w:tcW w:w="945" w:type="dxa"/>
            <w:vAlign w:val="bottom"/>
          </w:tcPr>
          <w:p w14:paraId="3128824A" w14:textId="77777777" w:rsidR="004D3E7A" w:rsidRPr="001831A9" w:rsidRDefault="00B44059" w:rsidP="007C54B1">
            <w:pPr>
              <w:pStyle w:val="-3"/>
              <w:rPr>
                <w:sz w:val="17"/>
                <w:szCs w:val="17"/>
                <w:rtl/>
              </w:rPr>
            </w:pPr>
            <w:r w:rsidRPr="00B44059">
              <w:rPr>
                <w:sz w:val="17"/>
                <w:szCs w:val="17"/>
                <w:rtl/>
              </w:rPr>
              <w:t xml:space="preserve"> 0</w:t>
            </w:r>
          </w:p>
        </w:tc>
        <w:tc>
          <w:tcPr>
            <w:tcW w:w="945" w:type="dxa"/>
            <w:vAlign w:val="bottom"/>
          </w:tcPr>
          <w:p w14:paraId="7A1B204E" w14:textId="77777777" w:rsidR="004D3E7A" w:rsidRPr="001831A9" w:rsidRDefault="00B44059" w:rsidP="007C54B1">
            <w:pPr>
              <w:pStyle w:val="-3"/>
              <w:rPr>
                <w:sz w:val="17"/>
                <w:szCs w:val="17"/>
                <w:rtl/>
              </w:rPr>
            </w:pPr>
            <w:r w:rsidRPr="00B44059">
              <w:rPr>
                <w:sz w:val="17"/>
                <w:szCs w:val="17"/>
                <w:rtl/>
              </w:rPr>
              <w:t xml:space="preserve"> 0</w:t>
            </w:r>
          </w:p>
        </w:tc>
        <w:tc>
          <w:tcPr>
            <w:tcW w:w="747" w:type="dxa"/>
            <w:vAlign w:val="bottom"/>
          </w:tcPr>
          <w:p w14:paraId="7DB33EDA" w14:textId="77777777" w:rsidR="004D3E7A" w:rsidRPr="001831A9" w:rsidRDefault="00B44059" w:rsidP="007C54B1">
            <w:pPr>
              <w:pStyle w:val="-3"/>
              <w:rPr>
                <w:sz w:val="17"/>
                <w:szCs w:val="17"/>
                <w:rtl/>
              </w:rPr>
            </w:pPr>
            <w:r w:rsidRPr="00B44059">
              <w:rPr>
                <w:sz w:val="17"/>
                <w:szCs w:val="17"/>
                <w:rtl/>
              </w:rPr>
              <w:t xml:space="preserve"> 0</w:t>
            </w:r>
          </w:p>
        </w:tc>
        <w:tc>
          <w:tcPr>
            <w:tcW w:w="677" w:type="dxa"/>
            <w:vAlign w:val="bottom"/>
          </w:tcPr>
          <w:p w14:paraId="607F2E66" w14:textId="77777777" w:rsidR="004D3E7A" w:rsidRPr="001831A9" w:rsidRDefault="00B44059" w:rsidP="007C54B1">
            <w:pPr>
              <w:pStyle w:val="-3"/>
              <w:rPr>
                <w:sz w:val="17"/>
                <w:szCs w:val="17"/>
                <w:rtl/>
              </w:rPr>
            </w:pPr>
            <w:r w:rsidRPr="00B44059">
              <w:rPr>
                <w:sz w:val="17"/>
                <w:szCs w:val="17"/>
                <w:rtl/>
              </w:rPr>
              <w:t xml:space="preserve"> 0</w:t>
            </w:r>
          </w:p>
        </w:tc>
      </w:tr>
      <w:tr w:rsidR="00F143F0" w:rsidRPr="00543C25" w14:paraId="727AAA18" w14:textId="77777777" w:rsidTr="003D5632">
        <w:tc>
          <w:tcPr>
            <w:tcW w:w="993" w:type="dxa"/>
          </w:tcPr>
          <w:p w14:paraId="1F46F835" w14:textId="77777777" w:rsidR="004D3E7A" w:rsidRPr="001831A9" w:rsidRDefault="004D3E7A" w:rsidP="007C54B1">
            <w:pPr>
              <w:pStyle w:val="-0"/>
              <w:rPr>
                <w:sz w:val="17"/>
                <w:szCs w:val="17"/>
                <w:rtl/>
              </w:rPr>
            </w:pPr>
          </w:p>
        </w:tc>
        <w:tc>
          <w:tcPr>
            <w:tcW w:w="4237" w:type="dxa"/>
            <w:vAlign w:val="bottom"/>
          </w:tcPr>
          <w:p w14:paraId="00ACC460" w14:textId="77777777" w:rsidR="004D3E7A" w:rsidRPr="001831A9" w:rsidRDefault="00B44059" w:rsidP="002B4AB0">
            <w:pPr>
              <w:pStyle w:val="-21"/>
              <w:spacing w:before="0"/>
              <w:ind w:left="26" w:hanging="26"/>
              <w:rPr>
                <w:sz w:val="17"/>
                <w:szCs w:val="17"/>
                <w:rtl/>
              </w:rPr>
            </w:pPr>
            <w:r w:rsidRPr="00B44059">
              <w:rPr>
                <w:rFonts w:hint="eastAsia"/>
                <w:sz w:val="17"/>
                <w:szCs w:val="17"/>
                <w:rtl/>
              </w:rPr>
              <w:t>נכסים</w:t>
            </w:r>
            <w:r w:rsidRPr="00B44059">
              <w:rPr>
                <w:sz w:val="17"/>
                <w:szCs w:val="17"/>
                <w:rtl/>
              </w:rPr>
              <w:t xml:space="preserve"> </w:t>
            </w:r>
            <w:r w:rsidRPr="00B44059">
              <w:rPr>
                <w:rFonts w:hint="eastAsia"/>
                <w:sz w:val="17"/>
                <w:szCs w:val="17"/>
                <w:rtl/>
              </w:rPr>
              <w:t>המיוחסים</w:t>
            </w:r>
            <w:r w:rsidRPr="00B44059">
              <w:rPr>
                <w:sz w:val="17"/>
                <w:szCs w:val="17"/>
                <w:rtl/>
              </w:rPr>
              <w:t xml:space="preserve"> </w:t>
            </w:r>
            <w:r w:rsidRPr="00B44059">
              <w:rPr>
                <w:rFonts w:hint="eastAsia"/>
                <w:sz w:val="17"/>
                <w:szCs w:val="17"/>
                <w:rtl/>
              </w:rPr>
              <w:t>לפעילויות</w:t>
            </w:r>
            <w:r w:rsidRPr="00B44059">
              <w:rPr>
                <w:sz w:val="17"/>
                <w:szCs w:val="17"/>
                <w:rtl/>
              </w:rPr>
              <w:t xml:space="preserve"> </w:t>
            </w:r>
            <w:r w:rsidRPr="00B44059">
              <w:rPr>
                <w:rFonts w:hint="eastAsia"/>
                <w:sz w:val="17"/>
                <w:szCs w:val="17"/>
                <w:rtl/>
              </w:rPr>
              <w:t>שהופסקו</w:t>
            </w:r>
            <w:r w:rsidRPr="00B44059">
              <w:rPr>
                <w:sz w:val="17"/>
                <w:szCs w:val="17"/>
                <w:rtl/>
              </w:rPr>
              <w:t xml:space="preserve">/ </w:t>
            </w:r>
            <w:r w:rsidRPr="00B44059">
              <w:rPr>
                <w:rFonts w:hint="eastAsia"/>
                <w:sz w:val="17"/>
                <w:szCs w:val="17"/>
                <w:rtl/>
              </w:rPr>
              <w:t>נכסים</w:t>
            </w:r>
            <w:r w:rsidRPr="00B44059">
              <w:rPr>
                <w:sz w:val="17"/>
                <w:szCs w:val="17"/>
                <w:rtl/>
              </w:rPr>
              <w:t xml:space="preserve"> (</w:t>
            </w:r>
            <w:r w:rsidR="004654EF">
              <w:rPr>
                <w:rFonts w:hint="cs"/>
                <w:sz w:val="17"/>
                <w:szCs w:val="17"/>
                <w:rtl/>
              </w:rPr>
              <w:t xml:space="preserve">בגין </w:t>
            </w:r>
            <w:r w:rsidRPr="00B44059">
              <w:rPr>
                <w:sz w:val="17"/>
                <w:szCs w:val="17"/>
                <w:rtl/>
              </w:rPr>
              <w:t xml:space="preserve">קבוצת </w:t>
            </w:r>
            <w:r w:rsidRPr="00B44059">
              <w:rPr>
                <w:rFonts w:hint="eastAsia"/>
                <w:sz w:val="17"/>
                <w:szCs w:val="17"/>
                <w:rtl/>
              </w:rPr>
              <w:t>מימוש</w:t>
            </w:r>
            <w:r w:rsidRPr="00B44059">
              <w:rPr>
                <w:sz w:val="17"/>
                <w:szCs w:val="17"/>
                <w:rtl/>
              </w:rPr>
              <w:t xml:space="preserve">) </w:t>
            </w:r>
            <w:r w:rsidRPr="00B44059">
              <w:rPr>
                <w:rFonts w:hint="eastAsia"/>
                <w:sz w:val="17"/>
                <w:szCs w:val="17"/>
                <w:rtl/>
              </w:rPr>
              <w:t>המסווגים</w:t>
            </w:r>
            <w:r w:rsidRPr="00B44059">
              <w:rPr>
                <w:sz w:val="17"/>
                <w:szCs w:val="17"/>
                <w:rtl/>
              </w:rPr>
              <w:t xml:space="preserve"> </w:t>
            </w:r>
            <w:r w:rsidRPr="00B44059">
              <w:rPr>
                <w:rFonts w:hint="eastAsia"/>
                <w:sz w:val="17"/>
                <w:szCs w:val="17"/>
                <w:rtl/>
              </w:rPr>
              <w:t>כמוחזקים</w:t>
            </w:r>
            <w:r w:rsidRPr="00B44059">
              <w:rPr>
                <w:sz w:val="17"/>
                <w:szCs w:val="17"/>
                <w:rtl/>
              </w:rPr>
              <w:t xml:space="preserve"> </w:t>
            </w:r>
            <w:r w:rsidRPr="00B44059">
              <w:rPr>
                <w:rFonts w:hint="eastAsia"/>
                <w:sz w:val="17"/>
                <w:szCs w:val="17"/>
                <w:rtl/>
              </w:rPr>
              <w:t>למכירה</w:t>
            </w:r>
          </w:p>
        </w:tc>
        <w:tc>
          <w:tcPr>
            <w:tcW w:w="747" w:type="dxa"/>
            <w:vAlign w:val="bottom"/>
          </w:tcPr>
          <w:p w14:paraId="7EF65669" w14:textId="77777777" w:rsidR="00F32A2A" w:rsidRDefault="00B44059">
            <w:pPr>
              <w:pStyle w:val="-3"/>
              <w:pBdr>
                <w:bottom w:val="single" w:sz="4" w:space="1" w:color="auto"/>
              </w:pBdr>
              <w:rPr>
                <w:sz w:val="17"/>
                <w:szCs w:val="17"/>
                <w:rtl/>
              </w:rPr>
            </w:pPr>
            <w:r w:rsidRPr="00B44059">
              <w:rPr>
                <w:sz w:val="17"/>
                <w:szCs w:val="17"/>
                <w:rtl/>
              </w:rPr>
              <w:t xml:space="preserve"> 0</w:t>
            </w:r>
          </w:p>
        </w:tc>
        <w:tc>
          <w:tcPr>
            <w:tcW w:w="920" w:type="dxa"/>
            <w:vAlign w:val="bottom"/>
          </w:tcPr>
          <w:p w14:paraId="4B5DFB8C" w14:textId="77777777" w:rsidR="00F32A2A" w:rsidRDefault="00B44059">
            <w:pPr>
              <w:pStyle w:val="-3"/>
              <w:pBdr>
                <w:bottom w:val="single" w:sz="4" w:space="1" w:color="auto"/>
              </w:pBdr>
              <w:rPr>
                <w:sz w:val="17"/>
                <w:szCs w:val="17"/>
                <w:rtl/>
              </w:rPr>
            </w:pPr>
            <w:r w:rsidRPr="00B44059">
              <w:rPr>
                <w:sz w:val="17"/>
                <w:szCs w:val="17"/>
                <w:rtl/>
              </w:rPr>
              <w:t xml:space="preserve"> 0</w:t>
            </w:r>
          </w:p>
        </w:tc>
        <w:tc>
          <w:tcPr>
            <w:tcW w:w="945" w:type="dxa"/>
            <w:vAlign w:val="bottom"/>
          </w:tcPr>
          <w:p w14:paraId="6F88038C" w14:textId="77777777" w:rsidR="00F32A2A" w:rsidRDefault="00B44059">
            <w:pPr>
              <w:pStyle w:val="-3"/>
              <w:pBdr>
                <w:bottom w:val="single" w:sz="4" w:space="1" w:color="auto"/>
              </w:pBdr>
              <w:rPr>
                <w:sz w:val="17"/>
                <w:szCs w:val="17"/>
                <w:rtl/>
              </w:rPr>
            </w:pPr>
            <w:r w:rsidRPr="00B44059">
              <w:rPr>
                <w:sz w:val="17"/>
                <w:szCs w:val="17"/>
                <w:rtl/>
              </w:rPr>
              <w:t xml:space="preserve"> 0</w:t>
            </w:r>
          </w:p>
        </w:tc>
        <w:tc>
          <w:tcPr>
            <w:tcW w:w="945" w:type="dxa"/>
            <w:vAlign w:val="bottom"/>
          </w:tcPr>
          <w:p w14:paraId="4FFCFBF5" w14:textId="77777777" w:rsidR="00F32A2A" w:rsidRDefault="00B44059">
            <w:pPr>
              <w:pStyle w:val="-3"/>
              <w:pBdr>
                <w:bottom w:val="single" w:sz="4" w:space="1" w:color="auto"/>
              </w:pBdr>
              <w:rPr>
                <w:sz w:val="17"/>
                <w:szCs w:val="17"/>
                <w:rtl/>
              </w:rPr>
            </w:pPr>
            <w:r w:rsidRPr="00B44059">
              <w:rPr>
                <w:sz w:val="17"/>
                <w:szCs w:val="17"/>
                <w:rtl/>
              </w:rPr>
              <w:t xml:space="preserve"> 0</w:t>
            </w:r>
          </w:p>
        </w:tc>
        <w:tc>
          <w:tcPr>
            <w:tcW w:w="747" w:type="dxa"/>
            <w:vAlign w:val="bottom"/>
          </w:tcPr>
          <w:p w14:paraId="375AC7A3" w14:textId="77777777" w:rsidR="00F32A2A" w:rsidRDefault="00B44059">
            <w:pPr>
              <w:pStyle w:val="-3"/>
              <w:pBdr>
                <w:bottom w:val="single" w:sz="4" w:space="1" w:color="auto"/>
              </w:pBdr>
              <w:rPr>
                <w:sz w:val="17"/>
                <w:szCs w:val="17"/>
                <w:rtl/>
              </w:rPr>
            </w:pPr>
            <w:r w:rsidRPr="00B44059">
              <w:rPr>
                <w:sz w:val="17"/>
                <w:szCs w:val="17"/>
                <w:rtl/>
              </w:rPr>
              <w:t xml:space="preserve"> 0</w:t>
            </w:r>
          </w:p>
        </w:tc>
        <w:tc>
          <w:tcPr>
            <w:tcW w:w="677" w:type="dxa"/>
            <w:vAlign w:val="bottom"/>
          </w:tcPr>
          <w:p w14:paraId="30A985B1" w14:textId="77777777" w:rsidR="00F32A2A" w:rsidRDefault="00B44059">
            <w:pPr>
              <w:pStyle w:val="-3"/>
              <w:pBdr>
                <w:bottom w:val="single" w:sz="4" w:space="1" w:color="auto"/>
              </w:pBdr>
              <w:rPr>
                <w:sz w:val="17"/>
                <w:szCs w:val="17"/>
                <w:rtl/>
              </w:rPr>
            </w:pPr>
            <w:r w:rsidRPr="00B44059">
              <w:rPr>
                <w:sz w:val="17"/>
                <w:szCs w:val="17"/>
                <w:rtl/>
              </w:rPr>
              <w:t xml:space="preserve"> 0</w:t>
            </w:r>
          </w:p>
        </w:tc>
      </w:tr>
      <w:tr w:rsidR="00F143F0" w:rsidRPr="00543C25" w14:paraId="3E0B1E91" w14:textId="77777777" w:rsidTr="003D5632">
        <w:tc>
          <w:tcPr>
            <w:tcW w:w="993" w:type="dxa"/>
          </w:tcPr>
          <w:p w14:paraId="66DC4FE8" w14:textId="77777777" w:rsidR="004D3E7A" w:rsidRPr="001831A9" w:rsidRDefault="004D3E7A" w:rsidP="007C54B1">
            <w:pPr>
              <w:pStyle w:val="-b"/>
              <w:rPr>
                <w:sz w:val="17"/>
                <w:szCs w:val="17"/>
                <w:rtl/>
              </w:rPr>
            </w:pPr>
          </w:p>
        </w:tc>
        <w:tc>
          <w:tcPr>
            <w:tcW w:w="4237" w:type="dxa"/>
            <w:vAlign w:val="bottom"/>
          </w:tcPr>
          <w:p w14:paraId="2CF2546B" w14:textId="77777777" w:rsidR="004D3E7A" w:rsidRPr="001831A9" w:rsidRDefault="00B44059" w:rsidP="007C54B1">
            <w:pPr>
              <w:pStyle w:val="-b"/>
              <w:rPr>
                <w:sz w:val="17"/>
                <w:szCs w:val="17"/>
                <w:rtl/>
              </w:rPr>
            </w:pPr>
            <w:r w:rsidRPr="00B44059">
              <w:rPr>
                <w:sz w:val="17"/>
                <w:szCs w:val="17"/>
                <w:rtl/>
              </w:rPr>
              <w:t>סך כל הנכסים</w:t>
            </w:r>
          </w:p>
        </w:tc>
        <w:tc>
          <w:tcPr>
            <w:tcW w:w="747" w:type="dxa"/>
            <w:vAlign w:val="bottom"/>
          </w:tcPr>
          <w:p w14:paraId="679D5E3E" w14:textId="77777777" w:rsidR="00F32A2A" w:rsidRDefault="00B44059">
            <w:pPr>
              <w:pStyle w:val="-0"/>
              <w:pBdr>
                <w:bottom w:val="single" w:sz="4" w:space="1" w:color="auto"/>
              </w:pBdr>
              <w:rPr>
                <w:b/>
                <w:bCs/>
                <w:sz w:val="17"/>
                <w:szCs w:val="17"/>
                <w:rtl/>
              </w:rPr>
            </w:pPr>
            <w:r w:rsidRPr="00B44059">
              <w:rPr>
                <w:b/>
                <w:bCs/>
                <w:sz w:val="17"/>
                <w:szCs w:val="17"/>
                <w:rtl/>
              </w:rPr>
              <w:t xml:space="preserve"> 0</w:t>
            </w:r>
          </w:p>
        </w:tc>
        <w:tc>
          <w:tcPr>
            <w:tcW w:w="920" w:type="dxa"/>
            <w:vAlign w:val="bottom"/>
          </w:tcPr>
          <w:p w14:paraId="1B355468" w14:textId="77777777" w:rsidR="00F32A2A" w:rsidRDefault="00B44059">
            <w:pPr>
              <w:pStyle w:val="-0"/>
              <w:pBdr>
                <w:bottom w:val="single" w:sz="4" w:space="1" w:color="auto"/>
              </w:pBdr>
              <w:rPr>
                <w:b/>
                <w:bCs/>
                <w:sz w:val="17"/>
                <w:szCs w:val="17"/>
                <w:rtl/>
              </w:rPr>
            </w:pPr>
            <w:r w:rsidRPr="00B44059">
              <w:rPr>
                <w:b/>
                <w:bCs/>
                <w:sz w:val="17"/>
                <w:szCs w:val="17"/>
                <w:rtl/>
              </w:rPr>
              <w:t xml:space="preserve"> 0</w:t>
            </w:r>
          </w:p>
        </w:tc>
        <w:tc>
          <w:tcPr>
            <w:tcW w:w="945" w:type="dxa"/>
            <w:vAlign w:val="bottom"/>
          </w:tcPr>
          <w:p w14:paraId="67F3D220" w14:textId="77777777" w:rsidR="00F32A2A" w:rsidRDefault="00B44059">
            <w:pPr>
              <w:pStyle w:val="-0"/>
              <w:pBdr>
                <w:bottom w:val="single" w:sz="4" w:space="1" w:color="auto"/>
              </w:pBdr>
              <w:rPr>
                <w:b/>
                <w:bCs/>
                <w:sz w:val="17"/>
                <w:szCs w:val="17"/>
                <w:rtl/>
              </w:rPr>
            </w:pPr>
            <w:r w:rsidRPr="00B44059">
              <w:rPr>
                <w:b/>
                <w:bCs/>
                <w:sz w:val="17"/>
                <w:szCs w:val="17"/>
                <w:rtl/>
              </w:rPr>
              <w:t xml:space="preserve"> 0</w:t>
            </w:r>
          </w:p>
        </w:tc>
        <w:tc>
          <w:tcPr>
            <w:tcW w:w="945" w:type="dxa"/>
            <w:vAlign w:val="bottom"/>
          </w:tcPr>
          <w:p w14:paraId="0FD1063F" w14:textId="77777777" w:rsidR="00F32A2A" w:rsidRDefault="00B44059">
            <w:pPr>
              <w:pStyle w:val="-0"/>
              <w:pBdr>
                <w:bottom w:val="single" w:sz="4" w:space="1" w:color="auto"/>
              </w:pBdr>
              <w:rPr>
                <w:b/>
                <w:bCs/>
                <w:sz w:val="17"/>
                <w:szCs w:val="17"/>
                <w:rtl/>
              </w:rPr>
            </w:pPr>
            <w:r w:rsidRPr="00B44059">
              <w:rPr>
                <w:b/>
                <w:bCs/>
                <w:sz w:val="17"/>
                <w:szCs w:val="17"/>
                <w:rtl/>
              </w:rPr>
              <w:t xml:space="preserve"> 0</w:t>
            </w:r>
          </w:p>
        </w:tc>
        <w:tc>
          <w:tcPr>
            <w:tcW w:w="747" w:type="dxa"/>
            <w:vAlign w:val="bottom"/>
          </w:tcPr>
          <w:p w14:paraId="60E95296" w14:textId="77777777" w:rsidR="00F32A2A" w:rsidRDefault="00B44059">
            <w:pPr>
              <w:pStyle w:val="-0"/>
              <w:pBdr>
                <w:bottom w:val="single" w:sz="4" w:space="1" w:color="auto"/>
              </w:pBdr>
              <w:rPr>
                <w:b/>
                <w:bCs/>
                <w:sz w:val="17"/>
                <w:szCs w:val="17"/>
                <w:rtl/>
              </w:rPr>
            </w:pPr>
            <w:r w:rsidRPr="00B44059">
              <w:rPr>
                <w:b/>
                <w:bCs/>
                <w:sz w:val="17"/>
                <w:szCs w:val="17"/>
                <w:rtl/>
              </w:rPr>
              <w:t xml:space="preserve"> 0</w:t>
            </w:r>
          </w:p>
        </w:tc>
        <w:tc>
          <w:tcPr>
            <w:tcW w:w="677" w:type="dxa"/>
            <w:vAlign w:val="bottom"/>
          </w:tcPr>
          <w:p w14:paraId="72122B11" w14:textId="77777777" w:rsidR="00F32A2A" w:rsidRDefault="00B44059">
            <w:pPr>
              <w:pStyle w:val="-0"/>
              <w:pBdr>
                <w:bottom w:val="single" w:sz="4" w:space="1" w:color="auto"/>
              </w:pBdr>
              <w:rPr>
                <w:b/>
                <w:bCs/>
                <w:sz w:val="17"/>
                <w:szCs w:val="17"/>
                <w:rtl/>
              </w:rPr>
            </w:pPr>
            <w:r w:rsidRPr="00B44059">
              <w:rPr>
                <w:b/>
                <w:bCs/>
                <w:sz w:val="17"/>
                <w:szCs w:val="17"/>
                <w:rtl/>
              </w:rPr>
              <w:t xml:space="preserve"> 0</w:t>
            </w:r>
          </w:p>
        </w:tc>
      </w:tr>
      <w:tr w:rsidR="00F143F0" w:rsidRPr="004A2E0A" w14:paraId="267065B1" w14:textId="77777777" w:rsidTr="003D5632">
        <w:trPr>
          <w:trHeight w:val="20"/>
        </w:trPr>
        <w:tc>
          <w:tcPr>
            <w:tcW w:w="993" w:type="dxa"/>
          </w:tcPr>
          <w:p w14:paraId="4BA07006" w14:textId="77777777" w:rsidR="00F32A2A" w:rsidRDefault="00F32A2A">
            <w:pPr>
              <w:pStyle w:val="-0"/>
              <w:bidi w:val="0"/>
              <w:spacing w:line="60" w:lineRule="exact"/>
              <w:ind w:left="142" w:hanging="142"/>
              <w:jc w:val="both"/>
              <w:rPr>
                <w:sz w:val="17"/>
                <w:szCs w:val="17"/>
                <w:rtl/>
              </w:rPr>
            </w:pPr>
          </w:p>
        </w:tc>
        <w:tc>
          <w:tcPr>
            <w:tcW w:w="4237" w:type="dxa"/>
            <w:vAlign w:val="bottom"/>
          </w:tcPr>
          <w:p w14:paraId="64F67DBB" w14:textId="77777777" w:rsidR="00F32A2A" w:rsidRDefault="00F32A2A">
            <w:pPr>
              <w:pStyle w:val="-0"/>
              <w:bidi w:val="0"/>
              <w:spacing w:line="60" w:lineRule="exact"/>
              <w:ind w:left="142" w:hanging="142"/>
              <w:jc w:val="both"/>
              <w:rPr>
                <w:sz w:val="17"/>
                <w:szCs w:val="17"/>
                <w:rtl/>
              </w:rPr>
            </w:pPr>
          </w:p>
        </w:tc>
        <w:tc>
          <w:tcPr>
            <w:tcW w:w="747" w:type="dxa"/>
          </w:tcPr>
          <w:p w14:paraId="5F4249D2" w14:textId="77777777" w:rsidR="00F32A2A" w:rsidRDefault="00F32A2A">
            <w:pPr>
              <w:pStyle w:val="-0"/>
              <w:bidi w:val="0"/>
              <w:spacing w:line="60" w:lineRule="exact"/>
              <w:ind w:left="142" w:hanging="142"/>
              <w:jc w:val="both"/>
              <w:rPr>
                <w:sz w:val="17"/>
                <w:szCs w:val="17"/>
                <w:rtl/>
              </w:rPr>
            </w:pPr>
          </w:p>
        </w:tc>
        <w:tc>
          <w:tcPr>
            <w:tcW w:w="920" w:type="dxa"/>
          </w:tcPr>
          <w:p w14:paraId="0D16E3CB" w14:textId="77777777" w:rsidR="00F32A2A" w:rsidRDefault="00F32A2A">
            <w:pPr>
              <w:pStyle w:val="-0"/>
              <w:bidi w:val="0"/>
              <w:spacing w:line="60" w:lineRule="exact"/>
              <w:ind w:left="142" w:hanging="142"/>
              <w:jc w:val="both"/>
              <w:rPr>
                <w:sz w:val="17"/>
                <w:szCs w:val="17"/>
                <w:rtl/>
              </w:rPr>
            </w:pPr>
          </w:p>
        </w:tc>
        <w:tc>
          <w:tcPr>
            <w:tcW w:w="945" w:type="dxa"/>
          </w:tcPr>
          <w:p w14:paraId="422DA8CE" w14:textId="77777777" w:rsidR="00F32A2A" w:rsidRDefault="00F32A2A">
            <w:pPr>
              <w:pStyle w:val="-0"/>
              <w:bidi w:val="0"/>
              <w:spacing w:line="60" w:lineRule="exact"/>
              <w:ind w:left="142" w:hanging="142"/>
              <w:jc w:val="both"/>
              <w:rPr>
                <w:sz w:val="17"/>
                <w:szCs w:val="17"/>
                <w:rtl/>
              </w:rPr>
            </w:pPr>
          </w:p>
        </w:tc>
        <w:tc>
          <w:tcPr>
            <w:tcW w:w="945" w:type="dxa"/>
          </w:tcPr>
          <w:p w14:paraId="6CB1BA4E" w14:textId="77777777" w:rsidR="00F32A2A" w:rsidRDefault="00F32A2A">
            <w:pPr>
              <w:pStyle w:val="-0"/>
              <w:bidi w:val="0"/>
              <w:spacing w:line="60" w:lineRule="exact"/>
              <w:ind w:left="142" w:hanging="142"/>
              <w:jc w:val="both"/>
              <w:rPr>
                <w:sz w:val="17"/>
                <w:szCs w:val="17"/>
                <w:rtl/>
              </w:rPr>
            </w:pPr>
          </w:p>
        </w:tc>
        <w:tc>
          <w:tcPr>
            <w:tcW w:w="747" w:type="dxa"/>
          </w:tcPr>
          <w:p w14:paraId="79452982" w14:textId="77777777" w:rsidR="00F32A2A" w:rsidRDefault="00F32A2A">
            <w:pPr>
              <w:pStyle w:val="-0"/>
              <w:bidi w:val="0"/>
              <w:spacing w:line="60" w:lineRule="exact"/>
              <w:ind w:left="142" w:hanging="142"/>
              <w:jc w:val="both"/>
              <w:rPr>
                <w:sz w:val="17"/>
                <w:szCs w:val="17"/>
                <w:rtl/>
              </w:rPr>
            </w:pPr>
          </w:p>
        </w:tc>
        <w:tc>
          <w:tcPr>
            <w:tcW w:w="677" w:type="dxa"/>
          </w:tcPr>
          <w:p w14:paraId="6D566512" w14:textId="77777777" w:rsidR="00F32A2A" w:rsidRDefault="00F32A2A">
            <w:pPr>
              <w:pStyle w:val="-0"/>
              <w:bidi w:val="0"/>
              <w:spacing w:line="60" w:lineRule="exact"/>
              <w:ind w:left="142" w:hanging="142"/>
              <w:jc w:val="both"/>
              <w:rPr>
                <w:sz w:val="17"/>
                <w:szCs w:val="17"/>
                <w:rtl/>
              </w:rPr>
            </w:pPr>
          </w:p>
        </w:tc>
      </w:tr>
      <w:tr w:rsidR="00F143F0" w:rsidRPr="00543C25" w14:paraId="5091829B" w14:textId="77777777" w:rsidTr="003D5632">
        <w:tc>
          <w:tcPr>
            <w:tcW w:w="993" w:type="dxa"/>
          </w:tcPr>
          <w:p w14:paraId="40F9FE68" w14:textId="77777777" w:rsidR="004D3E7A" w:rsidRPr="001831A9" w:rsidRDefault="004D3E7A" w:rsidP="007C54B1">
            <w:pPr>
              <w:pStyle w:val="-0"/>
              <w:rPr>
                <w:b/>
                <w:bCs/>
                <w:sz w:val="17"/>
                <w:szCs w:val="17"/>
                <w:u w:val="single"/>
                <w:rtl/>
              </w:rPr>
            </w:pPr>
          </w:p>
        </w:tc>
        <w:tc>
          <w:tcPr>
            <w:tcW w:w="4237" w:type="dxa"/>
            <w:vAlign w:val="bottom"/>
          </w:tcPr>
          <w:p w14:paraId="51A1C415" w14:textId="77777777" w:rsidR="004D3E7A" w:rsidRPr="001831A9" w:rsidRDefault="00B44059" w:rsidP="007C54B1">
            <w:pPr>
              <w:pStyle w:val="-0"/>
              <w:rPr>
                <w:b/>
                <w:bCs/>
                <w:sz w:val="17"/>
                <w:szCs w:val="17"/>
                <w:u w:val="single"/>
                <w:rtl/>
              </w:rPr>
            </w:pPr>
            <w:r w:rsidRPr="00B44059">
              <w:rPr>
                <w:b/>
                <w:bCs/>
                <w:sz w:val="17"/>
                <w:szCs w:val="17"/>
                <w:u w:val="single"/>
                <w:rtl/>
              </w:rPr>
              <w:t>התחייבויות</w:t>
            </w:r>
          </w:p>
        </w:tc>
        <w:tc>
          <w:tcPr>
            <w:tcW w:w="747" w:type="dxa"/>
            <w:vAlign w:val="bottom"/>
          </w:tcPr>
          <w:p w14:paraId="45EC2D79" w14:textId="77777777" w:rsidR="004D3E7A" w:rsidRPr="001831A9" w:rsidRDefault="004D3E7A" w:rsidP="007C54B1">
            <w:pPr>
              <w:pStyle w:val="-0"/>
              <w:rPr>
                <w:sz w:val="17"/>
                <w:szCs w:val="17"/>
                <w:rtl/>
              </w:rPr>
            </w:pPr>
          </w:p>
        </w:tc>
        <w:tc>
          <w:tcPr>
            <w:tcW w:w="920" w:type="dxa"/>
            <w:vAlign w:val="bottom"/>
          </w:tcPr>
          <w:p w14:paraId="10995E9D" w14:textId="77777777" w:rsidR="004D3E7A" w:rsidRPr="001831A9" w:rsidRDefault="004D3E7A" w:rsidP="007C54B1">
            <w:pPr>
              <w:pStyle w:val="-0"/>
              <w:rPr>
                <w:sz w:val="17"/>
                <w:szCs w:val="17"/>
                <w:rtl/>
              </w:rPr>
            </w:pPr>
          </w:p>
        </w:tc>
        <w:tc>
          <w:tcPr>
            <w:tcW w:w="945" w:type="dxa"/>
            <w:vAlign w:val="bottom"/>
          </w:tcPr>
          <w:p w14:paraId="66CF76D6" w14:textId="77777777" w:rsidR="004D3E7A" w:rsidRPr="001831A9" w:rsidRDefault="004D3E7A" w:rsidP="007C54B1">
            <w:pPr>
              <w:pStyle w:val="-0"/>
              <w:rPr>
                <w:sz w:val="17"/>
                <w:szCs w:val="17"/>
                <w:rtl/>
              </w:rPr>
            </w:pPr>
          </w:p>
        </w:tc>
        <w:tc>
          <w:tcPr>
            <w:tcW w:w="945" w:type="dxa"/>
            <w:vAlign w:val="bottom"/>
          </w:tcPr>
          <w:p w14:paraId="400EECB9" w14:textId="77777777" w:rsidR="004D3E7A" w:rsidRPr="001831A9" w:rsidRDefault="004D3E7A" w:rsidP="007C54B1">
            <w:pPr>
              <w:pStyle w:val="-0"/>
              <w:rPr>
                <w:sz w:val="17"/>
                <w:szCs w:val="17"/>
                <w:rtl/>
              </w:rPr>
            </w:pPr>
          </w:p>
        </w:tc>
        <w:tc>
          <w:tcPr>
            <w:tcW w:w="747" w:type="dxa"/>
            <w:vAlign w:val="bottom"/>
          </w:tcPr>
          <w:p w14:paraId="179C4E26" w14:textId="77777777" w:rsidR="004D3E7A" w:rsidRPr="001831A9" w:rsidRDefault="004D3E7A" w:rsidP="007C54B1">
            <w:pPr>
              <w:pStyle w:val="-0"/>
              <w:rPr>
                <w:sz w:val="17"/>
                <w:szCs w:val="17"/>
                <w:rtl/>
              </w:rPr>
            </w:pPr>
          </w:p>
        </w:tc>
        <w:tc>
          <w:tcPr>
            <w:tcW w:w="677" w:type="dxa"/>
            <w:vAlign w:val="bottom"/>
          </w:tcPr>
          <w:p w14:paraId="626ED295" w14:textId="77777777" w:rsidR="004D3E7A" w:rsidRPr="001831A9" w:rsidRDefault="004D3E7A" w:rsidP="007C54B1">
            <w:pPr>
              <w:pStyle w:val="-0"/>
              <w:rPr>
                <w:sz w:val="17"/>
                <w:szCs w:val="17"/>
                <w:rtl/>
              </w:rPr>
            </w:pPr>
          </w:p>
        </w:tc>
      </w:tr>
      <w:tr w:rsidR="00F143F0" w:rsidRPr="00543C25" w14:paraId="0FF15A89" w14:textId="77777777" w:rsidTr="003D5632">
        <w:tc>
          <w:tcPr>
            <w:tcW w:w="993" w:type="dxa"/>
          </w:tcPr>
          <w:p w14:paraId="794C6466" w14:textId="77777777" w:rsidR="004D3E7A" w:rsidRPr="001831A9" w:rsidRDefault="004D3E7A" w:rsidP="007C54B1">
            <w:pPr>
              <w:pStyle w:val="-0"/>
              <w:rPr>
                <w:sz w:val="17"/>
                <w:szCs w:val="17"/>
                <w:rtl/>
              </w:rPr>
            </w:pPr>
          </w:p>
        </w:tc>
        <w:tc>
          <w:tcPr>
            <w:tcW w:w="4237" w:type="dxa"/>
            <w:vAlign w:val="bottom"/>
          </w:tcPr>
          <w:p w14:paraId="02B49312" w14:textId="77777777" w:rsidR="004D3E7A" w:rsidRPr="001831A9" w:rsidRDefault="00B44059" w:rsidP="007C54B1">
            <w:pPr>
              <w:pStyle w:val="-0"/>
              <w:rPr>
                <w:sz w:val="17"/>
                <w:szCs w:val="17"/>
                <w:rtl/>
              </w:rPr>
            </w:pPr>
            <w:r w:rsidRPr="00B44059">
              <w:rPr>
                <w:sz w:val="17"/>
                <w:szCs w:val="17"/>
                <w:rtl/>
              </w:rPr>
              <w:t>פ</w:t>
            </w:r>
            <w:r w:rsidRPr="00B44059">
              <w:rPr>
                <w:rFonts w:hint="eastAsia"/>
                <w:sz w:val="17"/>
                <w:szCs w:val="17"/>
                <w:rtl/>
              </w:rPr>
              <w:t>י</w:t>
            </w:r>
            <w:r w:rsidRPr="00B44059">
              <w:rPr>
                <w:sz w:val="17"/>
                <w:szCs w:val="17"/>
                <w:rtl/>
              </w:rPr>
              <w:t>קדונות הציבור</w:t>
            </w:r>
          </w:p>
        </w:tc>
        <w:tc>
          <w:tcPr>
            <w:tcW w:w="747" w:type="dxa"/>
            <w:vAlign w:val="bottom"/>
          </w:tcPr>
          <w:p w14:paraId="647AD04F" w14:textId="77777777" w:rsidR="004D3E7A" w:rsidRPr="001831A9" w:rsidRDefault="00B44059" w:rsidP="007C54B1">
            <w:pPr>
              <w:pStyle w:val="-0"/>
              <w:rPr>
                <w:sz w:val="17"/>
                <w:szCs w:val="17"/>
                <w:rtl/>
              </w:rPr>
            </w:pPr>
            <w:r w:rsidRPr="00B44059">
              <w:rPr>
                <w:sz w:val="17"/>
                <w:szCs w:val="17"/>
                <w:rtl/>
              </w:rPr>
              <w:t xml:space="preserve"> 0</w:t>
            </w:r>
          </w:p>
        </w:tc>
        <w:tc>
          <w:tcPr>
            <w:tcW w:w="920" w:type="dxa"/>
            <w:vAlign w:val="bottom"/>
          </w:tcPr>
          <w:p w14:paraId="56965E70"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61B1C334"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7B9A9DE5" w14:textId="77777777" w:rsidR="004D3E7A" w:rsidRPr="001831A9" w:rsidRDefault="00B44059" w:rsidP="007C54B1">
            <w:pPr>
              <w:pStyle w:val="-0"/>
              <w:rPr>
                <w:sz w:val="17"/>
                <w:szCs w:val="17"/>
                <w:rtl/>
              </w:rPr>
            </w:pPr>
            <w:r w:rsidRPr="00B44059">
              <w:rPr>
                <w:sz w:val="17"/>
                <w:szCs w:val="17"/>
                <w:rtl/>
              </w:rPr>
              <w:t xml:space="preserve"> 0</w:t>
            </w:r>
          </w:p>
        </w:tc>
        <w:tc>
          <w:tcPr>
            <w:tcW w:w="747" w:type="dxa"/>
            <w:vAlign w:val="bottom"/>
          </w:tcPr>
          <w:p w14:paraId="75A84BA1" w14:textId="77777777" w:rsidR="004D3E7A" w:rsidRPr="001831A9" w:rsidRDefault="00B44059" w:rsidP="007C54B1">
            <w:pPr>
              <w:pStyle w:val="-0"/>
              <w:rPr>
                <w:sz w:val="17"/>
                <w:szCs w:val="17"/>
                <w:rtl/>
              </w:rPr>
            </w:pPr>
            <w:r w:rsidRPr="00B44059">
              <w:rPr>
                <w:sz w:val="17"/>
                <w:szCs w:val="17"/>
                <w:rtl/>
              </w:rPr>
              <w:t xml:space="preserve"> 0</w:t>
            </w:r>
          </w:p>
        </w:tc>
        <w:tc>
          <w:tcPr>
            <w:tcW w:w="677" w:type="dxa"/>
            <w:vAlign w:val="bottom"/>
          </w:tcPr>
          <w:p w14:paraId="546A5FFD" w14:textId="77777777" w:rsidR="004D3E7A" w:rsidRPr="001831A9" w:rsidRDefault="00B44059" w:rsidP="007C54B1">
            <w:pPr>
              <w:pStyle w:val="-0"/>
              <w:rPr>
                <w:sz w:val="17"/>
                <w:szCs w:val="17"/>
                <w:rtl/>
              </w:rPr>
            </w:pPr>
            <w:r w:rsidRPr="00B44059">
              <w:rPr>
                <w:sz w:val="17"/>
                <w:szCs w:val="17"/>
                <w:rtl/>
              </w:rPr>
              <w:t xml:space="preserve"> 0</w:t>
            </w:r>
          </w:p>
        </w:tc>
      </w:tr>
      <w:tr w:rsidR="00F143F0" w:rsidRPr="00543C25" w14:paraId="0DDABDF0" w14:textId="77777777" w:rsidTr="003D5632">
        <w:tc>
          <w:tcPr>
            <w:tcW w:w="993" w:type="dxa"/>
          </w:tcPr>
          <w:p w14:paraId="392AE348" w14:textId="77777777" w:rsidR="004D3E7A" w:rsidRPr="001831A9" w:rsidRDefault="004D3E7A" w:rsidP="007C54B1">
            <w:pPr>
              <w:pStyle w:val="-0"/>
              <w:rPr>
                <w:sz w:val="17"/>
                <w:szCs w:val="17"/>
                <w:rtl/>
              </w:rPr>
            </w:pPr>
          </w:p>
        </w:tc>
        <w:tc>
          <w:tcPr>
            <w:tcW w:w="4237" w:type="dxa"/>
            <w:vAlign w:val="bottom"/>
          </w:tcPr>
          <w:p w14:paraId="3D5E0CC2" w14:textId="77777777" w:rsidR="004D3E7A" w:rsidRPr="001831A9" w:rsidRDefault="00B44059" w:rsidP="007C54B1">
            <w:pPr>
              <w:pStyle w:val="-0"/>
              <w:rPr>
                <w:sz w:val="17"/>
                <w:szCs w:val="17"/>
                <w:rtl/>
              </w:rPr>
            </w:pPr>
            <w:r w:rsidRPr="00B44059">
              <w:rPr>
                <w:sz w:val="17"/>
                <w:szCs w:val="17"/>
                <w:rtl/>
              </w:rPr>
              <w:t>פ</w:t>
            </w:r>
            <w:r w:rsidRPr="00B44059">
              <w:rPr>
                <w:rFonts w:hint="eastAsia"/>
                <w:sz w:val="17"/>
                <w:szCs w:val="17"/>
                <w:rtl/>
              </w:rPr>
              <w:t>י</w:t>
            </w:r>
            <w:r w:rsidRPr="00B44059">
              <w:rPr>
                <w:sz w:val="17"/>
                <w:szCs w:val="17"/>
                <w:rtl/>
              </w:rPr>
              <w:t>קדונות מבנקים</w:t>
            </w:r>
          </w:p>
        </w:tc>
        <w:tc>
          <w:tcPr>
            <w:tcW w:w="747" w:type="dxa"/>
            <w:vAlign w:val="bottom"/>
          </w:tcPr>
          <w:p w14:paraId="5C1C52E1" w14:textId="77777777" w:rsidR="004D3E7A" w:rsidRPr="001831A9" w:rsidRDefault="00B44059" w:rsidP="007C54B1">
            <w:pPr>
              <w:pStyle w:val="-0"/>
              <w:rPr>
                <w:sz w:val="17"/>
                <w:szCs w:val="17"/>
                <w:rtl/>
              </w:rPr>
            </w:pPr>
            <w:r w:rsidRPr="00B44059">
              <w:rPr>
                <w:sz w:val="17"/>
                <w:szCs w:val="17"/>
                <w:rtl/>
              </w:rPr>
              <w:t xml:space="preserve"> 0</w:t>
            </w:r>
          </w:p>
        </w:tc>
        <w:tc>
          <w:tcPr>
            <w:tcW w:w="920" w:type="dxa"/>
            <w:vAlign w:val="bottom"/>
          </w:tcPr>
          <w:p w14:paraId="45A46ADD"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4FA4740E"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730519C5" w14:textId="77777777" w:rsidR="004D3E7A" w:rsidRPr="001831A9" w:rsidRDefault="00B44059" w:rsidP="007C54B1">
            <w:pPr>
              <w:pStyle w:val="-0"/>
              <w:rPr>
                <w:sz w:val="17"/>
                <w:szCs w:val="17"/>
                <w:rtl/>
              </w:rPr>
            </w:pPr>
            <w:r w:rsidRPr="00B44059">
              <w:rPr>
                <w:sz w:val="17"/>
                <w:szCs w:val="17"/>
                <w:rtl/>
              </w:rPr>
              <w:t xml:space="preserve"> 0</w:t>
            </w:r>
          </w:p>
        </w:tc>
        <w:tc>
          <w:tcPr>
            <w:tcW w:w="747" w:type="dxa"/>
            <w:vAlign w:val="bottom"/>
          </w:tcPr>
          <w:p w14:paraId="25BA8EDB" w14:textId="77777777" w:rsidR="004D3E7A" w:rsidRPr="001831A9" w:rsidRDefault="00B44059" w:rsidP="007C54B1">
            <w:pPr>
              <w:pStyle w:val="-0"/>
              <w:rPr>
                <w:sz w:val="17"/>
                <w:szCs w:val="17"/>
                <w:rtl/>
              </w:rPr>
            </w:pPr>
            <w:r w:rsidRPr="00B44059">
              <w:rPr>
                <w:sz w:val="17"/>
                <w:szCs w:val="17"/>
                <w:rtl/>
              </w:rPr>
              <w:t xml:space="preserve"> 0</w:t>
            </w:r>
          </w:p>
        </w:tc>
        <w:tc>
          <w:tcPr>
            <w:tcW w:w="677" w:type="dxa"/>
            <w:vAlign w:val="bottom"/>
          </w:tcPr>
          <w:p w14:paraId="01073DCE" w14:textId="77777777" w:rsidR="004D3E7A" w:rsidRPr="001831A9" w:rsidRDefault="00B44059" w:rsidP="007C54B1">
            <w:pPr>
              <w:pStyle w:val="-0"/>
              <w:rPr>
                <w:sz w:val="17"/>
                <w:szCs w:val="17"/>
                <w:rtl/>
              </w:rPr>
            </w:pPr>
            <w:r w:rsidRPr="00B44059">
              <w:rPr>
                <w:sz w:val="17"/>
                <w:szCs w:val="17"/>
                <w:rtl/>
              </w:rPr>
              <w:t xml:space="preserve"> 0</w:t>
            </w:r>
          </w:p>
        </w:tc>
      </w:tr>
      <w:tr w:rsidR="00F143F0" w:rsidRPr="00543C25" w14:paraId="52866F13" w14:textId="77777777" w:rsidTr="003D5632">
        <w:tc>
          <w:tcPr>
            <w:tcW w:w="993" w:type="dxa"/>
          </w:tcPr>
          <w:p w14:paraId="1BB55936" w14:textId="77777777" w:rsidR="004D3E7A" w:rsidRPr="001831A9" w:rsidRDefault="004D3E7A" w:rsidP="007C54B1">
            <w:pPr>
              <w:pStyle w:val="-0"/>
              <w:rPr>
                <w:sz w:val="17"/>
                <w:szCs w:val="17"/>
                <w:rtl/>
              </w:rPr>
            </w:pPr>
          </w:p>
        </w:tc>
        <w:tc>
          <w:tcPr>
            <w:tcW w:w="4237" w:type="dxa"/>
            <w:vAlign w:val="bottom"/>
          </w:tcPr>
          <w:p w14:paraId="172C345D" w14:textId="77777777" w:rsidR="004D3E7A" w:rsidRPr="001831A9" w:rsidRDefault="00B44059" w:rsidP="007C54B1">
            <w:pPr>
              <w:pStyle w:val="-0"/>
              <w:rPr>
                <w:sz w:val="17"/>
                <w:szCs w:val="17"/>
                <w:rtl/>
              </w:rPr>
            </w:pPr>
            <w:r w:rsidRPr="00B44059">
              <w:rPr>
                <w:sz w:val="17"/>
                <w:szCs w:val="17"/>
                <w:rtl/>
              </w:rPr>
              <w:t>פ</w:t>
            </w:r>
            <w:r w:rsidRPr="00B44059">
              <w:rPr>
                <w:rFonts w:hint="eastAsia"/>
                <w:sz w:val="17"/>
                <w:szCs w:val="17"/>
                <w:rtl/>
              </w:rPr>
              <w:t>י</w:t>
            </w:r>
            <w:r w:rsidRPr="00B44059">
              <w:rPr>
                <w:sz w:val="17"/>
                <w:szCs w:val="17"/>
                <w:rtl/>
              </w:rPr>
              <w:t>קדונות הממשלה</w:t>
            </w:r>
          </w:p>
        </w:tc>
        <w:tc>
          <w:tcPr>
            <w:tcW w:w="747" w:type="dxa"/>
            <w:vAlign w:val="bottom"/>
          </w:tcPr>
          <w:p w14:paraId="15E19769" w14:textId="77777777" w:rsidR="004D3E7A" w:rsidRPr="001831A9" w:rsidRDefault="00B44059" w:rsidP="007C54B1">
            <w:pPr>
              <w:pStyle w:val="-0"/>
              <w:rPr>
                <w:sz w:val="17"/>
                <w:szCs w:val="17"/>
                <w:rtl/>
              </w:rPr>
            </w:pPr>
            <w:r w:rsidRPr="00B44059">
              <w:rPr>
                <w:sz w:val="17"/>
                <w:szCs w:val="17"/>
                <w:rtl/>
              </w:rPr>
              <w:t xml:space="preserve"> 0</w:t>
            </w:r>
          </w:p>
        </w:tc>
        <w:tc>
          <w:tcPr>
            <w:tcW w:w="920" w:type="dxa"/>
            <w:vAlign w:val="bottom"/>
          </w:tcPr>
          <w:p w14:paraId="0A7A5B25"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13075AEC"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1C37BB9B" w14:textId="77777777" w:rsidR="004D3E7A" w:rsidRPr="001831A9" w:rsidRDefault="00B44059" w:rsidP="007C54B1">
            <w:pPr>
              <w:pStyle w:val="-0"/>
              <w:rPr>
                <w:sz w:val="17"/>
                <w:szCs w:val="17"/>
                <w:rtl/>
              </w:rPr>
            </w:pPr>
            <w:r w:rsidRPr="00B44059">
              <w:rPr>
                <w:sz w:val="17"/>
                <w:szCs w:val="17"/>
                <w:rtl/>
              </w:rPr>
              <w:t xml:space="preserve"> 0</w:t>
            </w:r>
          </w:p>
        </w:tc>
        <w:tc>
          <w:tcPr>
            <w:tcW w:w="747" w:type="dxa"/>
            <w:vAlign w:val="bottom"/>
          </w:tcPr>
          <w:p w14:paraId="2124FD6B" w14:textId="77777777" w:rsidR="004D3E7A" w:rsidRPr="001831A9" w:rsidRDefault="00B44059" w:rsidP="007C54B1">
            <w:pPr>
              <w:pStyle w:val="-0"/>
              <w:rPr>
                <w:sz w:val="17"/>
                <w:szCs w:val="17"/>
                <w:rtl/>
              </w:rPr>
            </w:pPr>
            <w:r w:rsidRPr="00B44059">
              <w:rPr>
                <w:sz w:val="17"/>
                <w:szCs w:val="17"/>
                <w:rtl/>
              </w:rPr>
              <w:t xml:space="preserve"> 0</w:t>
            </w:r>
          </w:p>
        </w:tc>
        <w:tc>
          <w:tcPr>
            <w:tcW w:w="677" w:type="dxa"/>
            <w:vAlign w:val="bottom"/>
          </w:tcPr>
          <w:p w14:paraId="231AB45F" w14:textId="77777777" w:rsidR="004D3E7A" w:rsidRPr="001831A9" w:rsidRDefault="00B44059" w:rsidP="007C54B1">
            <w:pPr>
              <w:pStyle w:val="-0"/>
              <w:rPr>
                <w:sz w:val="17"/>
                <w:szCs w:val="17"/>
                <w:rtl/>
              </w:rPr>
            </w:pPr>
            <w:r w:rsidRPr="00B44059">
              <w:rPr>
                <w:sz w:val="17"/>
                <w:szCs w:val="17"/>
                <w:rtl/>
              </w:rPr>
              <w:t xml:space="preserve"> 0</w:t>
            </w:r>
          </w:p>
        </w:tc>
      </w:tr>
      <w:tr w:rsidR="00F143F0" w:rsidRPr="00543C25" w14:paraId="278BF69D" w14:textId="77777777" w:rsidTr="003D5632">
        <w:tc>
          <w:tcPr>
            <w:tcW w:w="993" w:type="dxa"/>
          </w:tcPr>
          <w:p w14:paraId="0A6003D6" w14:textId="77777777" w:rsidR="004D3E7A" w:rsidRPr="001831A9" w:rsidRDefault="004D3E7A" w:rsidP="007C54B1">
            <w:pPr>
              <w:pStyle w:val="-0"/>
              <w:rPr>
                <w:sz w:val="17"/>
                <w:szCs w:val="17"/>
                <w:rtl/>
              </w:rPr>
            </w:pPr>
          </w:p>
        </w:tc>
        <w:tc>
          <w:tcPr>
            <w:tcW w:w="4237" w:type="dxa"/>
            <w:vAlign w:val="bottom"/>
          </w:tcPr>
          <w:p w14:paraId="207FCEF5" w14:textId="77777777" w:rsidR="004D3E7A" w:rsidRPr="001831A9" w:rsidRDefault="00B44059" w:rsidP="007C54B1">
            <w:pPr>
              <w:pStyle w:val="-0"/>
              <w:rPr>
                <w:sz w:val="17"/>
                <w:szCs w:val="17"/>
                <w:rtl/>
              </w:rPr>
            </w:pPr>
            <w:r w:rsidRPr="00B44059">
              <w:rPr>
                <w:rFonts w:hint="eastAsia"/>
                <w:sz w:val="17"/>
                <w:szCs w:val="17"/>
                <w:rtl/>
              </w:rPr>
              <w:t>ניירות</w:t>
            </w:r>
            <w:r w:rsidRPr="00B44059">
              <w:rPr>
                <w:sz w:val="17"/>
                <w:szCs w:val="17"/>
                <w:rtl/>
              </w:rPr>
              <w:t xml:space="preserve"> </w:t>
            </w:r>
            <w:r w:rsidRPr="00B44059">
              <w:rPr>
                <w:rFonts w:hint="eastAsia"/>
                <w:sz w:val="17"/>
                <w:szCs w:val="17"/>
                <w:rtl/>
              </w:rPr>
              <w:t>ערך</w:t>
            </w:r>
            <w:r w:rsidRPr="00B44059">
              <w:rPr>
                <w:sz w:val="17"/>
                <w:szCs w:val="17"/>
                <w:rtl/>
              </w:rPr>
              <w:t xml:space="preserve"> </w:t>
            </w:r>
            <w:r w:rsidRPr="00B44059">
              <w:rPr>
                <w:rFonts w:hint="eastAsia"/>
                <w:sz w:val="17"/>
                <w:szCs w:val="17"/>
                <w:rtl/>
              </w:rPr>
              <w:t>שהושאלו</w:t>
            </w:r>
            <w:r w:rsidRPr="00B44059">
              <w:rPr>
                <w:sz w:val="17"/>
                <w:szCs w:val="17"/>
                <w:rtl/>
              </w:rPr>
              <w:t xml:space="preserve"> </w:t>
            </w:r>
            <w:r w:rsidRPr="00B44059">
              <w:rPr>
                <w:rFonts w:hint="eastAsia"/>
                <w:sz w:val="17"/>
                <w:szCs w:val="17"/>
                <w:rtl/>
              </w:rPr>
              <w:t>או</w:t>
            </w:r>
            <w:r w:rsidRPr="00B44059">
              <w:rPr>
                <w:sz w:val="17"/>
                <w:szCs w:val="17"/>
                <w:rtl/>
              </w:rPr>
              <w:t xml:space="preserve"> </w:t>
            </w:r>
            <w:r w:rsidRPr="00B44059">
              <w:rPr>
                <w:rFonts w:hint="eastAsia"/>
                <w:sz w:val="17"/>
                <w:szCs w:val="17"/>
                <w:rtl/>
              </w:rPr>
              <w:t>נמכרו</w:t>
            </w:r>
            <w:r w:rsidRPr="00B44059">
              <w:rPr>
                <w:sz w:val="17"/>
                <w:szCs w:val="17"/>
                <w:rtl/>
              </w:rPr>
              <w:t xml:space="preserve"> </w:t>
            </w:r>
            <w:r w:rsidRPr="00B44059">
              <w:rPr>
                <w:rFonts w:hint="eastAsia"/>
                <w:sz w:val="17"/>
                <w:szCs w:val="17"/>
                <w:rtl/>
              </w:rPr>
              <w:t>במסגרת</w:t>
            </w:r>
            <w:r w:rsidRPr="00B44059">
              <w:rPr>
                <w:sz w:val="17"/>
                <w:szCs w:val="17"/>
                <w:rtl/>
              </w:rPr>
              <w:t xml:space="preserve"> </w:t>
            </w:r>
            <w:r w:rsidRPr="00B44059">
              <w:rPr>
                <w:rFonts w:hint="eastAsia"/>
                <w:sz w:val="17"/>
                <w:szCs w:val="17"/>
                <w:rtl/>
              </w:rPr>
              <w:t>הסכמי</w:t>
            </w:r>
            <w:r w:rsidRPr="00B44059">
              <w:rPr>
                <w:sz w:val="17"/>
                <w:szCs w:val="17"/>
                <w:rtl/>
              </w:rPr>
              <w:t xml:space="preserve"> </w:t>
            </w:r>
            <w:r w:rsidRPr="00B44059">
              <w:rPr>
                <w:rFonts w:hint="eastAsia"/>
                <w:sz w:val="17"/>
                <w:szCs w:val="17"/>
                <w:rtl/>
              </w:rPr>
              <w:t>רכש</w:t>
            </w:r>
            <w:r w:rsidRPr="00B44059">
              <w:rPr>
                <w:sz w:val="17"/>
                <w:szCs w:val="17"/>
                <w:rtl/>
              </w:rPr>
              <w:t xml:space="preserve"> </w:t>
            </w:r>
            <w:r w:rsidRPr="00B44059">
              <w:rPr>
                <w:rFonts w:hint="eastAsia"/>
                <w:sz w:val="17"/>
                <w:szCs w:val="17"/>
                <w:rtl/>
              </w:rPr>
              <w:t>חוזר</w:t>
            </w:r>
          </w:p>
        </w:tc>
        <w:tc>
          <w:tcPr>
            <w:tcW w:w="747" w:type="dxa"/>
            <w:vAlign w:val="bottom"/>
          </w:tcPr>
          <w:p w14:paraId="623358E8" w14:textId="77777777" w:rsidR="004D3E7A" w:rsidRPr="001831A9" w:rsidRDefault="00B44059" w:rsidP="007C54B1">
            <w:pPr>
              <w:pStyle w:val="-0"/>
              <w:rPr>
                <w:sz w:val="17"/>
                <w:szCs w:val="17"/>
                <w:rtl/>
              </w:rPr>
            </w:pPr>
            <w:r w:rsidRPr="00B44059">
              <w:rPr>
                <w:sz w:val="17"/>
                <w:szCs w:val="17"/>
                <w:rtl/>
              </w:rPr>
              <w:t xml:space="preserve"> 0</w:t>
            </w:r>
          </w:p>
        </w:tc>
        <w:tc>
          <w:tcPr>
            <w:tcW w:w="920" w:type="dxa"/>
            <w:vAlign w:val="bottom"/>
          </w:tcPr>
          <w:p w14:paraId="66E69631"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371CD4CE"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681CB81A" w14:textId="77777777" w:rsidR="004D3E7A" w:rsidRPr="001831A9" w:rsidRDefault="00B44059" w:rsidP="007C54B1">
            <w:pPr>
              <w:pStyle w:val="-0"/>
              <w:rPr>
                <w:sz w:val="17"/>
                <w:szCs w:val="17"/>
                <w:rtl/>
              </w:rPr>
            </w:pPr>
            <w:r w:rsidRPr="00B44059">
              <w:rPr>
                <w:sz w:val="17"/>
                <w:szCs w:val="17"/>
                <w:rtl/>
              </w:rPr>
              <w:t xml:space="preserve"> 0</w:t>
            </w:r>
          </w:p>
        </w:tc>
        <w:tc>
          <w:tcPr>
            <w:tcW w:w="747" w:type="dxa"/>
            <w:vAlign w:val="bottom"/>
          </w:tcPr>
          <w:p w14:paraId="30CFB269" w14:textId="77777777" w:rsidR="004D3E7A" w:rsidRPr="001831A9" w:rsidRDefault="00B44059" w:rsidP="007C54B1">
            <w:pPr>
              <w:pStyle w:val="-0"/>
              <w:rPr>
                <w:sz w:val="17"/>
                <w:szCs w:val="17"/>
                <w:rtl/>
              </w:rPr>
            </w:pPr>
            <w:r w:rsidRPr="00B44059">
              <w:rPr>
                <w:sz w:val="17"/>
                <w:szCs w:val="17"/>
                <w:rtl/>
              </w:rPr>
              <w:t xml:space="preserve"> 0</w:t>
            </w:r>
          </w:p>
        </w:tc>
        <w:tc>
          <w:tcPr>
            <w:tcW w:w="677" w:type="dxa"/>
            <w:vAlign w:val="bottom"/>
          </w:tcPr>
          <w:p w14:paraId="2AFC2E61" w14:textId="77777777" w:rsidR="004D3E7A" w:rsidRPr="001831A9" w:rsidRDefault="00B44059" w:rsidP="007C54B1">
            <w:pPr>
              <w:pStyle w:val="-0"/>
              <w:rPr>
                <w:sz w:val="17"/>
                <w:szCs w:val="17"/>
                <w:rtl/>
              </w:rPr>
            </w:pPr>
            <w:r w:rsidRPr="00B44059">
              <w:rPr>
                <w:sz w:val="17"/>
                <w:szCs w:val="17"/>
                <w:rtl/>
              </w:rPr>
              <w:t xml:space="preserve"> 0</w:t>
            </w:r>
          </w:p>
        </w:tc>
      </w:tr>
      <w:tr w:rsidR="00F143F0" w:rsidRPr="00543C25" w14:paraId="1AEBA929" w14:textId="77777777" w:rsidTr="003D5632">
        <w:tc>
          <w:tcPr>
            <w:tcW w:w="993" w:type="dxa"/>
          </w:tcPr>
          <w:p w14:paraId="3F80A16D" w14:textId="77777777" w:rsidR="004D3E7A" w:rsidRPr="001831A9" w:rsidRDefault="004D3E7A" w:rsidP="007C54B1">
            <w:pPr>
              <w:pStyle w:val="-0"/>
              <w:rPr>
                <w:sz w:val="17"/>
                <w:szCs w:val="17"/>
                <w:rtl/>
              </w:rPr>
            </w:pPr>
          </w:p>
        </w:tc>
        <w:tc>
          <w:tcPr>
            <w:tcW w:w="4237" w:type="dxa"/>
            <w:vAlign w:val="bottom"/>
          </w:tcPr>
          <w:p w14:paraId="44BDBBDF" w14:textId="77777777" w:rsidR="004D3E7A" w:rsidRPr="001831A9" w:rsidRDefault="00B44059" w:rsidP="007C54B1">
            <w:pPr>
              <w:pStyle w:val="-0"/>
              <w:rPr>
                <w:sz w:val="17"/>
                <w:szCs w:val="17"/>
                <w:rtl/>
              </w:rPr>
            </w:pPr>
            <w:r w:rsidRPr="00B44059">
              <w:rPr>
                <w:sz w:val="17"/>
                <w:szCs w:val="17"/>
                <w:rtl/>
              </w:rPr>
              <w:t>אג"ח וכתבי התחייבות נדחים</w:t>
            </w:r>
          </w:p>
        </w:tc>
        <w:tc>
          <w:tcPr>
            <w:tcW w:w="747" w:type="dxa"/>
            <w:vAlign w:val="bottom"/>
          </w:tcPr>
          <w:p w14:paraId="3DDD3BB8" w14:textId="77777777" w:rsidR="004D3E7A" w:rsidRPr="001831A9" w:rsidRDefault="00B44059" w:rsidP="007C54B1">
            <w:pPr>
              <w:pStyle w:val="-0"/>
              <w:rPr>
                <w:sz w:val="17"/>
                <w:szCs w:val="17"/>
                <w:rtl/>
              </w:rPr>
            </w:pPr>
            <w:r w:rsidRPr="00B44059">
              <w:rPr>
                <w:sz w:val="17"/>
                <w:szCs w:val="17"/>
                <w:rtl/>
              </w:rPr>
              <w:t xml:space="preserve"> 0</w:t>
            </w:r>
          </w:p>
        </w:tc>
        <w:tc>
          <w:tcPr>
            <w:tcW w:w="920" w:type="dxa"/>
            <w:vAlign w:val="bottom"/>
          </w:tcPr>
          <w:p w14:paraId="6B48D649"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6451A38E"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2AFC744D" w14:textId="77777777" w:rsidR="004D3E7A" w:rsidRPr="001831A9" w:rsidRDefault="00B44059" w:rsidP="007C54B1">
            <w:pPr>
              <w:pStyle w:val="-0"/>
              <w:rPr>
                <w:sz w:val="17"/>
                <w:szCs w:val="17"/>
                <w:rtl/>
              </w:rPr>
            </w:pPr>
            <w:r w:rsidRPr="00B44059">
              <w:rPr>
                <w:sz w:val="17"/>
                <w:szCs w:val="17"/>
                <w:rtl/>
              </w:rPr>
              <w:t xml:space="preserve"> 0</w:t>
            </w:r>
          </w:p>
        </w:tc>
        <w:tc>
          <w:tcPr>
            <w:tcW w:w="747" w:type="dxa"/>
            <w:vAlign w:val="bottom"/>
          </w:tcPr>
          <w:p w14:paraId="32066F29" w14:textId="77777777" w:rsidR="004D3E7A" w:rsidRPr="001831A9" w:rsidRDefault="00B44059" w:rsidP="007C54B1">
            <w:pPr>
              <w:pStyle w:val="-0"/>
              <w:rPr>
                <w:sz w:val="17"/>
                <w:szCs w:val="17"/>
                <w:rtl/>
              </w:rPr>
            </w:pPr>
            <w:r w:rsidRPr="00B44059">
              <w:rPr>
                <w:sz w:val="17"/>
                <w:szCs w:val="17"/>
                <w:rtl/>
              </w:rPr>
              <w:t xml:space="preserve"> 0</w:t>
            </w:r>
          </w:p>
        </w:tc>
        <w:tc>
          <w:tcPr>
            <w:tcW w:w="677" w:type="dxa"/>
            <w:vAlign w:val="bottom"/>
          </w:tcPr>
          <w:p w14:paraId="3BE352C8" w14:textId="77777777" w:rsidR="004D3E7A" w:rsidRPr="001831A9" w:rsidRDefault="00B44059" w:rsidP="007C54B1">
            <w:pPr>
              <w:pStyle w:val="-0"/>
              <w:rPr>
                <w:sz w:val="17"/>
                <w:szCs w:val="17"/>
                <w:rtl/>
              </w:rPr>
            </w:pPr>
            <w:r w:rsidRPr="00B44059">
              <w:rPr>
                <w:sz w:val="17"/>
                <w:szCs w:val="17"/>
                <w:rtl/>
              </w:rPr>
              <w:t xml:space="preserve"> 0</w:t>
            </w:r>
          </w:p>
        </w:tc>
      </w:tr>
      <w:tr w:rsidR="00F143F0" w:rsidRPr="00543C25" w14:paraId="0C5025C2" w14:textId="77777777" w:rsidTr="003D5632">
        <w:tc>
          <w:tcPr>
            <w:tcW w:w="993" w:type="dxa"/>
          </w:tcPr>
          <w:p w14:paraId="5DC54FF3" w14:textId="77777777" w:rsidR="004D3E7A" w:rsidRPr="001831A9" w:rsidRDefault="004D3E7A" w:rsidP="007C54B1">
            <w:pPr>
              <w:pStyle w:val="-0"/>
              <w:rPr>
                <w:sz w:val="17"/>
                <w:szCs w:val="17"/>
                <w:rtl/>
              </w:rPr>
            </w:pPr>
          </w:p>
        </w:tc>
        <w:tc>
          <w:tcPr>
            <w:tcW w:w="4237" w:type="dxa"/>
            <w:vAlign w:val="bottom"/>
          </w:tcPr>
          <w:p w14:paraId="7599171C" w14:textId="77777777" w:rsidR="004D3E7A" w:rsidRPr="001831A9" w:rsidRDefault="00B44059" w:rsidP="007C54B1">
            <w:pPr>
              <w:pStyle w:val="-0"/>
              <w:rPr>
                <w:sz w:val="17"/>
                <w:szCs w:val="17"/>
                <w:rtl/>
              </w:rPr>
            </w:pPr>
            <w:r w:rsidRPr="00B44059">
              <w:rPr>
                <w:rFonts w:hint="eastAsia"/>
                <w:sz w:val="17"/>
                <w:szCs w:val="17"/>
                <w:rtl/>
              </w:rPr>
              <w:t>התחייבויות</w:t>
            </w:r>
            <w:r w:rsidRPr="00B44059">
              <w:rPr>
                <w:sz w:val="17"/>
                <w:szCs w:val="17"/>
                <w:rtl/>
              </w:rPr>
              <w:t xml:space="preserve"> </w:t>
            </w:r>
            <w:r w:rsidRPr="00B44059">
              <w:rPr>
                <w:rFonts w:hint="eastAsia"/>
                <w:sz w:val="17"/>
                <w:szCs w:val="17"/>
                <w:rtl/>
              </w:rPr>
              <w:t>בגין</w:t>
            </w:r>
            <w:r w:rsidRPr="00B44059">
              <w:rPr>
                <w:sz w:val="17"/>
                <w:szCs w:val="17"/>
                <w:rtl/>
              </w:rPr>
              <w:t xml:space="preserve"> </w:t>
            </w:r>
            <w:r w:rsidRPr="00B44059">
              <w:rPr>
                <w:rFonts w:hint="eastAsia"/>
                <w:sz w:val="17"/>
                <w:szCs w:val="17"/>
                <w:rtl/>
              </w:rPr>
              <w:t>מכשירים</w:t>
            </w:r>
            <w:r w:rsidRPr="00B44059">
              <w:rPr>
                <w:sz w:val="17"/>
                <w:szCs w:val="17"/>
                <w:rtl/>
              </w:rPr>
              <w:t xml:space="preserve"> </w:t>
            </w:r>
            <w:r w:rsidRPr="00B44059">
              <w:rPr>
                <w:rFonts w:hint="eastAsia"/>
                <w:sz w:val="17"/>
                <w:szCs w:val="17"/>
                <w:rtl/>
              </w:rPr>
              <w:t>נגזרים</w:t>
            </w:r>
          </w:p>
        </w:tc>
        <w:tc>
          <w:tcPr>
            <w:tcW w:w="747" w:type="dxa"/>
            <w:vAlign w:val="bottom"/>
          </w:tcPr>
          <w:p w14:paraId="0D18745A" w14:textId="77777777" w:rsidR="004D3E7A" w:rsidRPr="001831A9" w:rsidRDefault="00B44059" w:rsidP="007C54B1">
            <w:pPr>
              <w:pStyle w:val="-0"/>
              <w:rPr>
                <w:sz w:val="17"/>
                <w:szCs w:val="17"/>
                <w:rtl/>
              </w:rPr>
            </w:pPr>
            <w:r w:rsidRPr="00B44059">
              <w:rPr>
                <w:sz w:val="17"/>
                <w:szCs w:val="17"/>
                <w:rtl/>
              </w:rPr>
              <w:t xml:space="preserve"> 0</w:t>
            </w:r>
          </w:p>
        </w:tc>
        <w:tc>
          <w:tcPr>
            <w:tcW w:w="920" w:type="dxa"/>
            <w:vAlign w:val="bottom"/>
          </w:tcPr>
          <w:p w14:paraId="7E3458D0"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394025A4"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6CF0C4A4" w14:textId="77777777" w:rsidR="004D3E7A" w:rsidRPr="001831A9" w:rsidRDefault="00B44059" w:rsidP="007C54B1">
            <w:pPr>
              <w:pStyle w:val="-0"/>
              <w:rPr>
                <w:sz w:val="17"/>
                <w:szCs w:val="17"/>
                <w:rtl/>
              </w:rPr>
            </w:pPr>
            <w:r w:rsidRPr="00B44059">
              <w:rPr>
                <w:sz w:val="17"/>
                <w:szCs w:val="17"/>
                <w:rtl/>
              </w:rPr>
              <w:t xml:space="preserve"> 0</w:t>
            </w:r>
          </w:p>
        </w:tc>
        <w:tc>
          <w:tcPr>
            <w:tcW w:w="747" w:type="dxa"/>
            <w:vAlign w:val="bottom"/>
          </w:tcPr>
          <w:p w14:paraId="6BB4AD07" w14:textId="77777777" w:rsidR="004D3E7A" w:rsidRPr="001831A9" w:rsidRDefault="00B44059" w:rsidP="007C54B1">
            <w:pPr>
              <w:pStyle w:val="-0"/>
              <w:rPr>
                <w:sz w:val="17"/>
                <w:szCs w:val="17"/>
                <w:rtl/>
              </w:rPr>
            </w:pPr>
            <w:r w:rsidRPr="00B44059">
              <w:rPr>
                <w:sz w:val="17"/>
                <w:szCs w:val="17"/>
                <w:rtl/>
              </w:rPr>
              <w:t xml:space="preserve"> 0</w:t>
            </w:r>
          </w:p>
        </w:tc>
        <w:tc>
          <w:tcPr>
            <w:tcW w:w="677" w:type="dxa"/>
            <w:vAlign w:val="bottom"/>
          </w:tcPr>
          <w:p w14:paraId="0D5EE3A7" w14:textId="77777777" w:rsidR="004D3E7A" w:rsidRPr="001831A9" w:rsidRDefault="00B44059" w:rsidP="007C54B1">
            <w:pPr>
              <w:pStyle w:val="-0"/>
              <w:rPr>
                <w:sz w:val="17"/>
                <w:szCs w:val="17"/>
                <w:rtl/>
              </w:rPr>
            </w:pPr>
            <w:r w:rsidRPr="00B44059">
              <w:rPr>
                <w:sz w:val="17"/>
                <w:szCs w:val="17"/>
                <w:rtl/>
              </w:rPr>
              <w:t xml:space="preserve"> 0</w:t>
            </w:r>
          </w:p>
        </w:tc>
      </w:tr>
      <w:tr w:rsidR="00F143F0" w:rsidRPr="00543C25" w14:paraId="28E2D1E3" w14:textId="77777777" w:rsidTr="003D5632">
        <w:tc>
          <w:tcPr>
            <w:tcW w:w="993" w:type="dxa"/>
          </w:tcPr>
          <w:p w14:paraId="79C53DC4" w14:textId="77777777" w:rsidR="004D3E7A" w:rsidRPr="001831A9" w:rsidRDefault="004D3E7A" w:rsidP="007C54B1">
            <w:pPr>
              <w:pStyle w:val="-0"/>
              <w:rPr>
                <w:sz w:val="17"/>
                <w:szCs w:val="17"/>
                <w:rtl/>
              </w:rPr>
            </w:pPr>
          </w:p>
        </w:tc>
        <w:tc>
          <w:tcPr>
            <w:tcW w:w="4237" w:type="dxa"/>
            <w:vAlign w:val="bottom"/>
          </w:tcPr>
          <w:p w14:paraId="1EDF948C" w14:textId="77777777" w:rsidR="004D3E7A" w:rsidRPr="001831A9" w:rsidRDefault="00B44059" w:rsidP="007C54B1">
            <w:pPr>
              <w:pStyle w:val="-0"/>
              <w:rPr>
                <w:sz w:val="17"/>
                <w:szCs w:val="17"/>
                <w:rtl/>
              </w:rPr>
            </w:pPr>
            <w:r w:rsidRPr="00B44059">
              <w:rPr>
                <w:sz w:val="17"/>
                <w:szCs w:val="17"/>
                <w:rtl/>
              </w:rPr>
              <w:t>התחייבויות אחרות</w:t>
            </w:r>
            <w:r w:rsidRPr="00B44059">
              <w:rPr>
                <w:sz w:val="17"/>
                <w:szCs w:val="17"/>
                <w:vertAlign w:val="superscript"/>
                <w:rtl/>
              </w:rPr>
              <w:t>[7]</w:t>
            </w:r>
          </w:p>
        </w:tc>
        <w:tc>
          <w:tcPr>
            <w:tcW w:w="747" w:type="dxa"/>
            <w:vAlign w:val="bottom"/>
          </w:tcPr>
          <w:p w14:paraId="02527A95" w14:textId="77777777" w:rsidR="004D3E7A" w:rsidRPr="001831A9" w:rsidRDefault="00B44059" w:rsidP="007C54B1">
            <w:pPr>
              <w:pStyle w:val="-0"/>
              <w:rPr>
                <w:sz w:val="17"/>
                <w:szCs w:val="17"/>
                <w:rtl/>
              </w:rPr>
            </w:pPr>
            <w:r w:rsidRPr="00B44059">
              <w:rPr>
                <w:sz w:val="17"/>
                <w:szCs w:val="17"/>
                <w:rtl/>
              </w:rPr>
              <w:t xml:space="preserve"> 0</w:t>
            </w:r>
          </w:p>
        </w:tc>
        <w:tc>
          <w:tcPr>
            <w:tcW w:w="920" w:type="dxa"/>
            <w:vAlign w:val="bottom"/>
          </w:tcPr>
          <w:p w14:paraId="313550B0"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6565505F"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7AC93495" w14:textId="77777777" w:rsidR="004D3E7A" w:rsidRPr="001831A9" w:rsidRDefault="00B44059" w:rsidP="007C54B1">
            <w:pPr>
              <w:pStyle w:val="-0"/>
              <w:rPr>
                <w:sz w:val="17"/>
                <w:szCs w:val="17"/>
                <w:rtl/>
              </w:rPr>
            </w:pPr>
            <w:r w:rsidRPr="00B44059">
              <w:rPr>
                <w:sz w:val="17"/>
                <w:szCs w:val="17"/>
                <w:rtl/>
              </w:rPr>
              <w:t xml:space="preserve"> 0</w:t>
            </w:r>
          </w:p>
        </w:tc>
        <w:tc>
          <w:tcPr>
            <w:tcW w:w="747" w:type="dxa"/>
            <w:vAlign w:val="bottom"/>
          </w:tcPr>
          <w:p w14:paraId="13F343CC" w14:textId="77777777" w:rsidR="004D3E7A" w:rsidRPr="001831A9" w:rsidRDefault="00B44059" w:rsidP="007C54B1">
            <w:pPr>
              <w:pStyle w:val="-0"/>
              <w:rPr>
                <w:sz w:val="17"/>
                <w:szCs w:val="17"/>
                <w:rtl/>
              </w:rPr>
            </w:pPr>
            <w:r w:rsidRPr="00B44059">
              <w:rPr>
                <w:sz w:val="17"/>
                <w:szCs w:val="17"/>
                <w:rtl/>
              </w:rPr>
              <w:t xml:space="preserve"> 0</w:t>
            </w:r>
          </w:p>
        </w:tc>
        <w:tc>
          <w:tcPr>
            <w:tcW w:w="677" w:type="dxa"/>
            <w:vAlign w:val="bottom"/>
          </w:tcPr>
          <w:p w14:paraId="767CB2C3" w14:textId="77777777" w:rsidR="004D3E7A" w:rsidRPr="001831A9" w:rsidRDefault="00B44059" w:rsidP="007C54B1">
            <w:pPr>
              <w:pStyle w:val="-0"/>
              <w:rPr>
                <w:sz w:val="17"/>
                <w:szCs w:val="17"/>
                <w:rtl/>
              </w:rPr>
            </w:pPr>
            <w:r w:rsidRPr="00B44059">
              <w:rPr>
                <w:sz w:val="17"/>
                <w:szCs w:val="17"/>
                <w:rtl/>
              </w:rPr>
              <w:t xml:space="preserve"> 0</w:t>
            </w:r>
          </w:p>
        </w:tc>
      </w:tr>
      <w:tr w:rsidR="00F143F0" w:rsidRPr="00543C25" w14:paraId="758A9BC5" w14:textId="77777777" w:rsidTr="003D5632">
        <w:tc>
          <w:tcPr>
            <w:tcW w:w="993" w:type="dxa"/>
          </w:tcPr>
          <w:p w14:paraId="209AAC70" w14:textId="77777777" w:rsidR="004D3E7A" w:rsidRPr="001831A9" w:rsidRDefault="004D3E7A" w:rsidP="007C54B1">
            <w:pPr>
              <w:pStyle w:val="-0"/>
              <w:rPr>
                <w:sz w:val="17"/>
                <w:szCs w:val="17"/>
                <w:rtl/>
              </w:rPr>
            </w:pPr>
          </w:p>
        </w:tc>
        <w:tc>
          <w:tcPr>
            <w:tcW w:w="4237" w:type="dxa"/>
            <w:vAlign w:val="bottom"/>
          </w:tcPr>
          <w:p w14:paraId="68D5F64A" w14:textId="77777777" w:rsidR="004D3E7A" w:rsidRPr="001831A9" w:rsidRDefault="00B44059" w:rsidP="0001523C">
            <w:pPr>
              <w:pStyle w:val="-21"/>
              <w:spacing w:before="0"/>
              <w:ind w:left="26" w:hanging="26"/>
              <w:rPr>
                <w:sz w:val="17"/>
                <w:szCs w:val="17"/>
                <w:rtl/>
              </w:rPr>
            </w:pPr>
            <w:r w:rsidRPr="00B44059">
              <w:rPr>
                <w:sz w:val="17"/>
                <w:szCs w:val="17"/>
                <w:rtl/>
              </w:rPr>
              <w:t xml:space="preserve">התחייבויות </w:t>
            </w:r>
            <w:r w:rsidRPr="00B44059">
              <w:rPr>
                <w:rFonts w:hint="eastAsia"/>
                <w:sz w:val="17"/>
                <w:szCs w:val="17"/>
                <w:rtl/>
              </w:rPr>
              <w:t>המיוחסות</w:t>
            </w:r>
            <w:r w:rsidRPr="00B44059">
              <w:rPr>
                <w:sz w:val="17"/>
                <w:szCs w:val="17"/>
                <w:rtl/>
              </w:rPr>
              <w:t xml:space="preserve"> </w:t>
            </w:r>
            <w:r w:rsidRPr="00B44059">
              <w:rPr>
                <w:rFonts w:hint="eastAsia"/>
                <w:sz w:val="17"/>
                <w:szCs w:val="17"/>
                <w:rtl/>
              </w:rPr>
              <w:t>לפעילויות</w:t>
            </w:r>
            <w:r w:rsidRPr="00B44059">
              <w:rPr>
                <w:sz w:val="17"/>
                <w:szCs w:val="17"/>
                <w:rtl/>
              </w:rPr>
              <w:t xml:space="preserve"> </w:t>
            </w:r>
            <w:r w:rsidRPr="00B44059">
              <w:rPr>
                <w:rFonts w:hint="eastAsia"/>
                <w:sz w:val="17"/>
                <w:szCs w:val="17"/>
                <w:rtl/>
              </w:rPr>
              <w:t>שהופסקו</w:t>
            </w:r>
            <w:r w:rsidRPr="00B44059">
              <w:rPr>
                <w:sz w:val="17"/>
                <w:szCs w:val="17"/>
                <w:rtl/>
              </w:rPr>
              <w:t xml:space="preserve"> </w:t>
            </w:r>
            <w:r w:rsidRPr="00B44059">
              <w:rPr>
                <w:rFonts w:hint="eastAsia"/>
                <w:sz w:val="17"/>
                <w:szCs w:val="17"/>
                <w:rtl/>
              </w:rPr>
              <w:t>ובגין</w:t>
            </w:r>
            <w:r w:rsidRPr="00B44059">
              <w:rPr>
                <w:sz w:val="17"/>
                <w:szCs w:val="17"/>
                <w:rtl/>
              </w:rPr>
              <w:t xml:space="preserve"> </w:t>
            </w:r>
            <w:r w:rsidRPr="00B44059">
              <w:rPr>
                <w:rFonts w:hint="eastAsia"/>
                <w:sz w:val="17"/>
                <w:szCs w:val="17"/>
                <w:rtl/>
              </w:rPr>
              <w:t>קבוצת</w:t>
            </w:r>
            <w:r w:rsidRPr="00B44059">
              <w:rPr>
                <w:sz w:val="17"/>
                <w:szCs w:val="17"/>
                <w:rtl/>
              </w:rPr>
              <w:t xml:space="preserve"> </w:t>
            </w:r>
            <w:r w:rsidRPr="00B44059">
              <w:rPr>
                <w:rFonts w:hint="eastAsia"/>
                <w:sz w:val="17"/>
                <w:szCs w:val="17"/>
                <w:rtl/>
              </w:rPr>
              <w:t>מימוש</w:t>
            </w:r>
            <w:r w:rsidRPr="00B44059">
              <w:rPr>
                <w:sz w:val="17"/>
                <w:szCs w:val="17"/>
                <w:rtl/>
              </w:rPr>
              <w:t xml:space="preserve"> </w:t>
            </w:r>
            <w:r w:rsidRPr="00B44059">
              <w:rPr>
                <w:rFonts w:hint="eastAsia"/>
                <w:sz w:val="17"/>
                <w:szCs w:val="17"/>
                <w:rtl/>
              </w:rPr>
              <w:t>המסווגת</w:t>
            </w:r>
            <w:r w:rsidRPr="00B44059">
              <w:rPr>
                <w:sz w:val="17"/>
                <w:szCs w:val="17"/>
                <w:rtl/>
              </w:rPr>
              <w:t xml:space="preserve"> </w:t>
            </w:r>
            <w:r w:rsidRPr="00B44059">
              <w:rPr>
                <w:rFonts w:hint="eastAsia"/>
                <w:sz w:val="17"/>
                <w:szCs w:val="17"/>
                <w:rtl/>
              </w:rPr>
              <w:t>כמוחזקת</w:t>
            </w:r>
            <w:r w:rsidRPr="00B44059">
              <w:rPr>
                <w:sz w:val="17"/>
                <w:szCs w:val="17"/>
                <w:rtl/>
              </w:rPr>
              <w:t xml:space="preserve"> </w:t>
            </w:r>
            <w:r w:rsidRPr="00B44059">
              <w:rPr>
                <w:rFonts w:hint="eastAsia"/>
                <w:sz w:val="17"/>
                <w:szCs w:val="17"/>
                <w:rtl/>
              </w:rPr>
              <w:t>למכירה</w:t>
            </w:r>
          </w:p>
        </w:tc>
        <w:tc>
          <w:tcPr>
            <w:tcW w:w="747" w:type="dxa"/>
            <w:vAlign w:val="bottom"/>
          </w:tcPr>
          <w:p w14:paraId="73565829" w14:textId="77777777" w:rsidR="004D3E7A" w:rsidRPr="001831A9" w:rsidRDefault="00B44059" w:rsidP="00CF2A74">
            <w:pPr>
              <w:pStyle w:val="-0"/>
              <w:pBdr>
                <w:bottom w:val="single" w:sz="4" w:space="1" w:color="auto"/>
              </w:pBdr>
              <w:rPr>
                <w:sz w:val="17"/>
                <w:szCs w:val="17"/>
                <w:rtl/>
              </w:rPr>
            </w:pPr>
            <w:r w:rsidRPr="00B44059">
              <w:rPr>
                <w:sz w:val="17"/>
                <w:szCs w:val="17"/>
                <w:rtl/>
              </w:rPr>
              <w:t xml:space="preserve"> 0</w:t>
            </w:r>
          </w:p>
        </w:tc>
        <w:tc>
          <w:tcPr>
            <w:tcW w:w="920" w:type="dxa"/>
            <w:vAlign w:val="bottom"/>
          </w:tcPr>
          <w:p w14:paraId="52811095" w14:textId="77777777" w:rsidR="004D3E7A" w:rsidRPr="001831A9" w:rsidRDefault="00B44059" w:rsidP="00CF2A74">
            <w:pPr>
              <w:pStyle w:val="-0"/>
              <w:pBdr>
                <w:bottom w:val="single" w:sz="4" w:space="1" w:color="auto"/>
              </w:pBdr>
              <w:rPr>
                <w:sz w:val="17"/>
                <w:szCs w:val="17"/>
                <w:rtl/>
              </w:rPr>
            </w:pPr>
            <w:r w:rsidRPr="00B44059">
              <w:rPr>
                <w:sz w:val="17"/>
                <w:szCs w:val="17"/>
                <w:rtl/>
              </w:rPr>
              <w:t xml:space="preserve"> 0</w:t>
            </w:r>
          </w:p>
        </w:tc>
        <w:tc>
          <w:tcPr>
            <w:tcW w:w="945" w:type="dxa"/>
            <w:vAlign w:val="bottom"/>
          </w:tcPr>
          <w:p w14:paraId="3C660F5A" w14:textId="77777777" w:rsidR="004D3E7A" w:rsidRPr="001831A9" w:rsidRDefault="00B44059" w:rsidP="00CF2A74">
            <w:pPr>
              <w:pStyle w:val="-0"/>
              <w:pBdr>
                <w:bottom w:val="single" w:sz="4" w:space="1" w:color="auto"/>
              </w:pBdr>
              <w:rPr>
                <w:sz w:val="17"/>
                <w:szCs w:val="17"/>
                <w:rtl/>
              </w:rPr>
            </w:pPr>
            <w:r w:rsidRPr="00B44059">
              <w:rPr>
                <w:sz w:val="17"/>
                <w:szCs w:val="17"/>
                <w:rtl/>
              </w:rPr>
              <w:t xml:space="preserve"> 0</w:t>
            </w:r>
          </w:p>
        </w:tc>
        <w:tc>
          <w:tcPr>
            <w:tcW w:w="945" w:type="dxa"/>
            <w:vAlign w:val="bottom"/>
          </w:tcPr>
          <w:p w14:paraId="3267C6C3" w14:textId="77777777" w:rsidR="004D3E7A" w:rsidRPr="001831A9" w:rsidRDefault="00B44059" w:rsidP="00CF2A74">
            <w:pPr>
              <w:pStyle w:val="-0"/>
              <w:pBdr>
                <w:bottom w:val="single" w:sz="4" w:space="1" w:color="auto"/>
              </w:pBdr>
              <w:rPr>
                <w:sz w:val="17"/>
                <w:szCs w:val="17"/>
                <w:rtl/>
              </w:rPr>
            </w:pPr>
            <w:r w:rsidRPr="00B44059">
              <w:rPr>
                <w:sz w:val="17"/>
                <w:szCs w:val="17"/>
                <w:rtl/>
              </w:rPr>
              <w:t xml:space="preserve"> 0</w:t>
            </w:r>
          </w:p>
        </w:tc>
        <w:tc>
          <w:tcPr>
            <w:tcW w:w="747" w:type="dxa"/>
            <w:vAlign w:val="bottom"/>
          </w:tcPr>
          <w:p w14:paraId="5241033A" w14:textId="77777777" w:rsidR="004D3E7A" w:rsidRPr="001831A9" w:rsidRDefault="00B44059" w:rsidP="00CF2A74">
            <w:pPr>
              <w:pStyle w:val="-0"/>
              <w:pBdr>
                <w:bottom w:val="single" w:sz="4" w:space="1" w:color="auto"/>
              </w:pBdr>
              <w:rPr>
                <w:sz w:val="17"/>
                <w:szCs w:val="17"/>
                <w:rtl/>
              </w:rPr>
            </w:pPr>
            <w:r w:rsidRPr="00B44059">
              <w:rPr>
                <w:sz w:val="17"/>
                <w:szCs w:val="17"/>
                <w:rtl/>
              </w:rPr>
              <w:t xml:space="preserve"> 0</w:t>
            </w:r>
          </w:p>
        </w:tc>
        <w:tc>
          <w:tcPr>
            <w:tcW w:w="677" w:type="dxa"/>
            <w:vAlign w:val="bottom"/>
          </w:tcPr>
          <w:p w14:paraId="2325A07D" w14:textId="77777777" w:rsidR="004D3E7A" w:rsidRPr="001831A9" w:rsidRDefault="00B44059" w:rsidP="00CF2A74">
            <w:pPr>
              <w:pStyle w:val="-0"/>
              <w:pBdr>
                <w:bottom w:val="single" w:sz="4" w:space="1" w:color="auto"/>
              </w:pBdr>
              <w:rPr>
                <w:sz w:val="17"/>
                <w:szCs w:val="17"/>
                <w:rtl/>
              </w:rPr>
            </w:pPr>
            <w:r w:rsidRPr="00B44059">
              <w:rPr>
                <w:sz w:val="17"/>
                <w:szCs w:val="17"/>
                <w:rtl/>
              </w:rPr>
              <w:t xml:space="preserve"> 0</w:t>
            </w:r>
          </w:p>
        </w:tc>
      </w:tr>
      <w:tr w:rsidR="00F143F0" w:rsidRPr="00543C25" w14:paraId="52EECB62" w14:textId="77777777" w:rsidTr="003D5632">
        <w:tc>
          <w:tcPr>
            <w:tcW w:w="993" w:type="dxa"/>
          </w:tcPr>
          <w:p w14:paraId="6186D5E4" w14:textId="77777777" w:rsidR="004D3E7A" w:rsidRPr="001831A9" w:rsidRDefault="004D3E7A" w:rsidP="007C54B1">
            <w:pPr>
              <w:pStyle w:val="-b"/>
              <w:rPr>
                <w:sz w:val="17"/>
                <w:szCs w:val="17"/>
                <w:rtl/>
              </w:rPr>
            </w:pPr>
          </w:p>
        </w:tc>
        <w:tc>
          <w:tcPr>
            <w:tcW w:w="4237" w:type="dxa"/>
            <w:vAlign w:val="bottom"/>
          </w:tcPr>
          <w:p w14:paraId="0CC87974" w14:textId="77777777" w:rsidR="004D3E7A" w:rsidRPr="001831A9" w:rsidRDefault="00B44059" w:rsidP="007C54B1">
            <w:pPr>
              <w:pStyle w:val="-b"/>
              <w:rPr>
                <w:sz w:val="17"/>
                <w:szCs w:val="17"/>
                <w:rtl/>
              </w:rPr>
            </w:pPr>
            <w:r w:rsidRPr="00B44059">
              <w:rPr>
                <w:sz w:val="17"/>
                <w:szCs w:val="17"/>
                <w:rtl/>
              </w:rPr>
              <w:t>סך כל ההתחייבויות</w:t>
            </w:r>
          </w:p>
        </w:tc>
        <w:tc>
          <w:tcPr>
            <w:tcW w:w="747" w:type="dxa"/>
            <w:vAlign w:val="bottom"/>
          </w:tcPr>
          <w:p w14:paraId="01E800A8" w14:textId="77777777" w:rsidR="004D3E7A" w:rsidRPr="001831A9" w:rsidRDefault="00B44059" w:rsidP="00CF2A74">
            <w:pPr>
              <w:pStyle w:val="-f1"/>
              <w:pBdr>
                <w:top w:val="none" w:sz="0" w:space="0" w:color="auto"/>
                <w:bottom w:val="single" w:sz="4" w:space="1" w:color="auto"/>
              </w:pBdr>
              <w:rPr>
                <w:sz w:val="17"/>
                <w:szCs w:val="17"/>
                <w:rtl/>
              </w:rPr>
            </w:pPr>
            <w:r w:rsidRPr="00B44059">
              <w:rPr>
                <w:sz w:val="17"/>
                <w:szCs w:val="17"/>
                <w:rtl/>
              </w:rPr>
              <w:t xml:space="preserve"> 0</w:t>
            </w:r>
          </w:p>
        </w:tc>
        <w:tc>
          <w:tcPr>
            <w:tcW w:w="920" w:type="dxa"/>
            <w:vAlign w:val="bottom"/>
          </w:tcPr>
          <w:p w14:paraId="3C6DD245" w14:textId="77777777" w:rsidR="004D3E7A" w:rsidRPr="001831A9" w:rsidRDefault="00B44059" w:rsidP="00CF2A74">
            <w:pPr>
              <w:pStyle w:val="-f1"/>
              <w:pBdr>
                <w:top w:val="none" w:sz="0" w:space="0" w:color="auto"/>
                <w:bottom w:val="single" w:sz="4" w:space="1" w:color="auto"/>
              </w:pBdr>
              <w:rPr>
                <w:sz w:val="17"/>
                <w:szCs w:val="17"/>
                <w:rtl/>
              </w:rPr>
            </w:pPr>
            <w:r w:rsidRPr="00B44059">
              <w:rPr>
                <w:sz w:val="17"/>
                <w:szCs w:val="17"/>
                <w:rtl/>
              </w:rPr>
              <w:t xml:space="preserve"> 0</w:t>
            </w:r>
          </w:p>
        </w:tc>
        <w:tc>
          <w:tcPr>
            <w:tcW w:w="945" w:type="dxa"/>
            <w:vAlign w:val="bottom"/>
          </w:tcPr>
          <w:p w14:paraId="5C288579" w14:textId="77777777" w:rsidR="004D3E7A" w:rsidRPr="001831A9" w:rsidRDefault="00B44059" w:rsidP="00CF2A74">
            <w:pPr>
              <w:pStyle w:val="-f1"/>
              <w:pBdr>
                <w:top w:val="none" w:sz="0" w:space="0" w:color="auto"/>
                <w:bottom w:val="single" w:sz="4" w:space="1" w:color="auto"/>
              </w:pBdr>
              <w:rPr>
                <w:sz w:val="17"/>
                <w:szCs w:val="17"/>
                <w:rtl/>
              </w:rPr>
            </w:pPr>
            <w:r w:rsidRPr="00B44059">
              <w:rPr>
                <w:sz w:val="17"/>
                <w:szCs w:val="17"/>
                <w:rtl/>
              </w:rPr>
              <w:t xml:space="preserve"> 0</w:t>
            </w:r>
          </w:p>
        </w:tc>
        <w:tc>
          <w:tcPr>
            <w:tcW w:w="945" w:type="dxa"/>
            <w:vAlign w:val="bottom"/>
          </w:tcPr>
          <w:p w14:paraId="19954CB9" w14:textId="77777777" w:rsidR="004D3E7A" w:rsidRPr="001831A9" w:rsidRDefault="00B44059" w:rsidP="00CF2A74">
            <w:pPr>
              <w:pStyle w:val="-f1"/>
              <w:pBdr>
                <w:top w:val="none" w:sz="0" w:space="0" w:color="auto"/>
                <w:bottom w:val="single" w:sz="4" w:space="1" w:color="auto"/>
              </w:pBdr>
              <w:rPr>
                <w:sz w:val="17"/>
                <w:szCs w:val="17"/>
                <w:rtl/>
              </w:rPr>
            </w:pPr>
            <w:r w:rsidRPr="00B44059">
              <w:rPr>
                <w:sz w:val="17"/>
                <w:szCs w:val="17"/>
                <w:rtl/>
              </w:rPr>
              <w:t xml:space="preserve"> 0</w:t>
            </w:r>
          </w:p>
        </w:tc>
        <w:tc>
          <w:tcPr>
            <w:tcW w:w="747" w:type="dxa"/>
            <w:vAlign w:val="bottom"/>
          </w:tcPr>
          <w:p w14:paraId="0FAD1FEA" w14:textId="77777777" w:rsidR="004D3E7A" w:rsidRPr="001831A9" w:rsidRDefault="00B44059" w:rsidP="00CF2A74">
            <w:pPr>
              <w:pStyle w:val="-f1"/>
              <w:pBdr>
                <w:top w:val="none" w:sz="0" w:space="0" w:color="auto"/>
                <w:bottom w:val="single" w:sz="4" w:space="1" w:color="auto"/>
              </w:pBdr>
              <w:rPr>
                <w:sz w:val="17"/>
                <w:szCs w:val="17"/>
                <w:rtl/>
              </w:rPr>
            </w:pPr>
            <w:r w:rsidRPr="00B44059">
              <w:rPr>
                <w:sz w:val="17"/>
                <w:szCs w:val="17"/>
                <w:rtl/>
              </w:rPr>
              <w:t xml:space="preserve"> 0</w:t>
            </w:r>
          </w:p>
        </w:tc>
        <w:tc>
          <w:tcPr>
            <w:tcW w:w="677" w:type="dxa"/>
            <w:vAlign w:val="bottom"/>
          </w:tcPr>
          <w:p w14:paraId="7FAE0B27" w14:textId="77777777" w:rsidR="004D3E7A" w:rsidRPr="001831A9" w:rsidRDefault="00B44059" w:rsidP="00CF2A74">
            <w:pPr>
              <w:pStyle w:val="-f1"/>
              <w:pBdr>
                <w:top w:val="none" w:sz="0" w:space="0" w:color="auto"/>
                <w:bottom w:val="single" w:sz="4" w:space="1" w:color="auto"/>
              </w:pBdr>
              <w:rPr>
                <w:sz w:val="17"/>
                <w:szCs w:val="17"/>
                <w:rtl/>
              </w:rPr>
            </w:pPr>
            <w:r w:rsidRPr="00B44059">
              <w:rPr>
                <w:sz w:val="17"/>
                <w:szCs w:val="17"/>
                <w:rtl/>
              </w:rPr>
              <w:t xml:space="preserve"> 0</w:t>
            </w:r>
          </w:p>
        </w:tc>
      </w:tr>
      <w:tr w:rsidR="00F143F0" w:rsidRPr="00543C25" w14:paraId="1AEFFFCC" w14:textId="77777777" w:rsidTr="003D5632">
        <w:tc>
          <w:tcPr>
            <w:tcW w:w="993" w:type="dxa"/>
          </w:tcPr>
          <w:p w14:paraId="2DFD3DF4" w14:textId="77777777" w:rsidR="004D3E7A" w:rsidRPr="001831A9" w:rsidRDefault="004D3E7A" w:rsidP="007C54B1">
            <w:pPr>
              <w:pStyle w:val="-0"/>
              <w:rPr>
                <w:sz w:val="17"/>
                <w:szCs w:val="17"/>
                <w:rtl/>
              </w:rPr>
            </w:pPr>
          </w:p>
        </w:tc>
        <w:tc>
          <w:tcPr>
            <w:tcW w:w="4237" w:type="dxa"/>
            <w:vAlign w:val="bottom"/>
          </w:tcPr>
          <w:p w14:paraId="673E7AD4" w14:textId="77777777" w:rsidR="004D3E7A" w:rsidRPr="001831A9" w:rsidRDefault="00B44059" w:rsidP="007C54B1">
            <w:pPr>
              <w:pStyle w:val="-0"/>
              <w:rPr>
                <w:sz w:val="17"/>
                <w:szCs w:val="17"/>
                <w:rtl/>
              </w:rPr>
            </w:pPr>
            <w:r w:rsidRPr="00B44059">
              <w:rPr>
                <w:sz w:val="17"/>
                <w:szCs w:val="17"/>
                <w:rtl/>
              </w:rPr>
              <w:t>הפרש</w:t>
            </w:r>
          </w:p>
        </w:tc>
        <w:tc>
          <w:tcPr>
            <w:tcW w:w="747" w:type="dxa"/>
            <w:vAlign w:val="bottom"/>
          </w:tcPr>
          <w:p w14:paraId="62FAF1E7" w14:textId="77777777" w:rsidR="004D3E7A" w:rsidRPr="001831A9" w:rsidRDefault="00B44059" w:rsidP="00CF2A74">
            <w:pPr>
              <w:pStyle w:val="-0"/>
              <w:pBdr>
                <w:bottom w:val="single" w:sz="4" w:space="1" w:color="auto"/>
              </w:pBdr>
              <w:rPr>
                <w:sz w:val="17"/>
                <w:szCs w:val="17"/>
                <w:rtl/>
              </w:rPr>
            </w:pPr>
            <w:r w:rsidRPr="00B44059">
              <w:rPr>
                <w:sz w:val="17"/>
                <w:szCs w:val="17"/>
                <w:rtl/>
              </w:rPr>
              <w:t xml:space="preserve"> 0</w:t>
            </w:r>
          </w:p>
        </w:tc>
        <w:tc>
          <w:tcPr>
            <w:tcW w:w="920" w:type="dxa"/>
            <w:vAlign w:val="bottom"/>
          </w:tcPr>
          <w:p w14:paraId="501F116B" w14:textId="77777777" w:rsidR="004D3E7A" w:rsidRPr="001831A9" w:rsidRDefault="00B44059" w:rsidP="00CF2A74">
            <w:pPr>
              <w:pStyle w:val="-0"/>
              <w:pBdr>
                <w:bottom w:val="single" w:sz="4" w:space="1" w:color="auto"/>
              </w:pBdr>
              <w:rPr>
                <w:sz w:val="17"/>
                <w:szCs w:val="17"/>
                <w:rtl/>
              </w:rPr>
            </w:pPr>
            <w:r w:rsidRPr="00B44059">
              <w:rPr>
                <w:sz w:val="17"/>
                <w:szCs w:val="17"/>
                <w:rtl/>
              </w:rPr>
              <w:t xml:space="preserve"> 0</w:t>
            </w:r>
          </w:p>
        </w:tc>
        <w:tc>
          <w:tcPr>
            <w:tcW w:w="945" w:type="dxa"/>
            <w:vAlign w:val="bottom"/>
          </w:tcPr>
          <w:p w14:paraId="52EC224B" w14:textId="77777777" w:rsidR="004D3E7A" w:rsidRPr="001831A9" w:rsidRDefault="00B44059" w:rsidP="00CF2A74">
            <w:pPr>
              <w:pStyle w:val="-0"/>
              <w:pBdr>
                <w:bottom w:val="single" w:sz="4" w:space="1" w:color="auto"/>
              </w:pBdr>
              <w:rPr>
                <w:sz w:val="17"/>
                <w:szCs w:val="17"/>
                <w:rtl/>
              </w:rPr>
            </w:pPr>
            <w:r w:rsidRPr="00B44059">
              <w:rPr>
                <w:sz w:val="17"/>
                <w:szCs w:val="17"/>
                <w:rtl/>
              </w:rPr>
              <w:t xml:space="preserve"> 0</w:t>
            </w:r>
          </w:p>
        </w:tc>
        <w:tc>
          <w:tcPr>
            <w:tcW w:w="945" w:type="dxa"/>
            <w:vAlign w:val="bottom"/>
          </w:tcPr>
          <w:p w14:paraId="47EC6AB7" w14:textId="77777777" w:rsidR="004D3E7A" w:rsidRPr="001831A9" w:rsidRDefault="00B44059" w:rsidP="00CF2A74">
            <w:pPr>
              <w:pStyle w:val="-0"/>
              <w:pBdr>
                <w:bottom w:val="single" w:sz="4" w:space="1" w:color="auto"/>
              </w:pBdr>
              <w:rPr>
                <w:sz w:val="17"/>
                <w:szCs w:val="17"/>
                <w:rtl/>
              </w:rPr>
            </w:pPr>
            <w:r w:rsidRPr="00B44059">
              <w:rPr>
                <w:sz w:val="17"/>
                <w:szCs w:val="17"/>
                <w:rtl/>
              </w:rPr>
              <w:t xml:space="preserve"> 0</w:t>
            </w:r>
          </w:p>
        </w:tc>
        <w:tc>
          <w:tcPr>
            <w:tcW w:w="747" w:type="dxa"/>
            <w:vAlign w:val="bottom"/>
          </w:tcPr>
          <w:p w14:paraId="53C6D5A8" w14:textId="77777777" w:rsidR="004D3E7A" w:rsidRPr="001831A9" w:rsidRDefault="00B44059" w:rsidP="00CF2A74">
            <w:pPr>
              <w:pStyle w:val="-0"/>
              <w:pBdr>
                <w:bottom w:val="single" w:sz="4" w:space="1" w:color="auto"/>
              </w:pBdr>
              <w:rPr>
                <w:sz w:val="17"/>
                <w:szCs w:val="17"/>
                <w:rtl/>
              </w:rPr>
            </w:pPr>
            <w:r w:rsidRPr="00B44059">
              <w:rPr>
                <w:sz w:val="17"/>
                <w:szCs w:val="17"/>
                <w:rtl/>
              </w:rPr>
              <w:t xml:space="preserve"> 0</w:t>
            </w:r>
          </w:p>
        </w:tc>
        <w:tc>
          <w:tcPr>
            <w:tcW w:w="677" w:type="dxa"/>
            <w:vAlign w:val="bottom"/>
          </w:tcPr>
          <w:p w14:paraId="0DFF6C72" w14:textId="77777777" w:rsidR="004D3E7A" w:rsidRPr="001831A9" w:rsidRDefault="00B44059" w:rsidP="00CF2A74">
            <w:pPr>
              <w:pStyle w:val="-0"/>
              <w:pBdr>
                <w:bottom w:val="single" w:sz="4" w:space="1" w:color="auto"/>
              </w:pBdr>
              <w:rPr>
                <w:sz w:val="17"/>
                <w:szCs w:val="17"/>
                <w:rtl/>
              </w:rPr>
            </w:pPr>
            <w:r w:rsidRPr="00B44059">
              <w:rPr>
                <w:sz w:val="17"/>
                <w:szCs w:val="17"/>
                <w:rtl/>
              </w:rPr>
              <w:t xml:space="preserve"> 0</w:t>
            </w:r>
          </w:p>
        </w:tc>
      </w:tr>
      <w:tr w:rsidR="00F143F0" w:rsidRPr="00543C25" w14:paraId="76A1C7AC" w14:textId="77777777" w:rsidTr="003D5632">
        <w:tc>
          <w:tcPr>
            <w:tcW w:w="993" w:type="dxa"/>
          </w:tcPr>
          <w:p w14:paraId="0434F94C" w14:textId="77777777" w:rsidR="00F32A2A" w:rsidRDefault="00F32A2A">
            <w:pPr>
              <w:pStyle w:val="-b"/>
              <w:bidi w:val="0"/>
              <w:spacing w:line="60" w:lineRule="exact"/>
              <w:ind w:left="142" w:hanging="142"/>
              <w:jc w:val="both"/>
              <w:rPr>
                <w:sz w:val="17"/>
                <w:szCs w:val="17"/>
                <w:rtl/>
              </w:rPr>
            </w:pPr>
          </w:p>
        </w:tc>
        <w:tc>
          <w:tcPr>
            <w:tcW w:w="4237" w:type="dxa"/>
            <w:vAlign w:val="bottom"/>
          </w:tcPr>
          <w:p w14:paraId="7F4C9752" w14:textId="77777777" w:rsidR="00F32A2A" w:rsidRDefault="00F32A2A">
            <w:pPr>
              <w:pStyle w:val="-b"/>
              <w:bidi w:val="0"/>
              <w:spacing w:line="60" w:lineRule="exact"/>
              <w:ind w:left="142" w:hanging="142"/>
              <w:jc w:val="both"/>
              <w:rPr>
                <w:sz w:val="17"/>
                <w:szCs w:val="17"/>
                <w:rtl/>
              </w:rPr>
            </w:pPr>
          </w:p>
        </w:tc>
        <w:tc>
          <w:tcPr>
            <w:tcW w:w="747" w:type="dxa"/>
            <w:vAlign w:val="bottom"/>
          </w:tcPr>
          <w:p w14:paraId="38562644" w14:textId="77777777" w:rsidR="00F32A2A" w:rsidRDefault="00F32A2A">
            <w:pPr>
              <w:pStyle w:val="-0"/>
              <w:bidi w:val="0"/>
              <w:spacing w:line="60" w:lineRule="exact"/>
              <w:ind w:left="142" w:hanging="142"/>
              <w:jc w:val="both"/>
              <w:rPr>
                <w:sz w:val="17"/>
                <w:szCs w:val="17"/>
                <w:rtl/>
              </w:rPr>
            </w:pPr>
          </w:p>
        </w:tc>
        <w:tc>
          <w:tcPr>
            <w:tcW w:w="920" w:type="dxa"/>
            <w:vAlign w:val="bottom"/>
          </w:tcPr>
          <w:p w14:paraId="5C06D3BF" w14:textId="77777777" w:rsidR="00F32A2A" w:rsidRDefault="00F32A2A">
            <w:pPr>
              <w:pStyle w:val="-0"/>
              <w:bidi w:val="0"/>
              <w:spacing w:line="60" w:lineRule="exact"/>
              <w:ind w:left="142" w:hanging="142"/>
              <w:jc w:val="both"/>
              <w:rPr>
                <w:sz w:val="17"/>
                <w:szCs w:val="17"/>
                <w:rtl/>
              </w:rPr>
            </w:pPr>
          </w:p>
        </w:tc>
        <w:tc>
          <w:tcPr>
            <w:tcW w:w="945" w:type="dxa"/>
            <w:vAlign w:val="bottom"/>
          </w:tcPr>
          <w:p w14:paraId="0CF62673" w14:textId="77777777" w:rsidR="00F32A2A" w:rsidRDefault="00F32A2A">
            <w:pPr>
              <w:pStyle w:val="-0"/>
              <w:bidi w:val="0"/>
              <w:spacing w:line="60" w:lineRule="exact"/>
              <w:ind w:left="142" w:hanging="142"/>
              <w:jc w:val="both"/>
              <w:rPr>
                <w:sz w:val="17"/>
                <w:szCs w:val="17"/>
                <w:rtl/>
              </w:rPr>
            </w:pPr>
          </w:p>
        </w:tc>
        <w:tc>
          <w:tcPr>
            <w:tcW w:w="945" w:type="dxa"/>
            <w:vAlign w:val="bottom"/>
          </w:tcPr>
          <w:p w14:paraId="5A2DB802" w14:textId="77777777" w:rsidR="00F32A2A" w:rsidRDefault="00F32A2A">
            <w:pPr>
              <w:pStyle w:val="-0"/>
              <w:bidi w:val="0"/>
              <w:spacing w:line="60" w:lineRule="exact"/>
              <w:ind w:left="142" w:hanging="142"/>
              <w:jc w:val="both"/>
              <w:rPr>
                <w:sz w:val="17"/>
                <w:szCs w:val="17"/>
                <w:rtl/>
              </w:rPr>
            </w:pPr>
          </w:p>
        </w:tc>
        <w:tc>
          <w:tcPr>
            <w:tcW w:w="747" w:type="dxa"/>
            <w:vAlign w:val="bottom"/>
          </w:tcPr>
          <w:p w14:paraId="26F90157" w14:textId="77777777" w:rsidR="00F32A2A" w:rsidRDefault="00F32A2A">
            <w:pPr>
              <w:pStyle w:val="-0"/>
              <w:bidi w:val="0"/>
              <w:spacing w:line="60" w:lineRule="exact"/>
              <w:ind w:left="142" w:hanging="142"/>
              <w:jc w:val="both"/>
              <w:rPr>
                <w:sz w:val="17"/>
                <w:szCs w:val="17"/>
                <w:rtl/>
              </w:rPr>
            </w:pPr>
          </w:p>
        </w:tc>
        <w:tc>
          <w:tcPr>
            <w:tcW w:w="677" w:type="dxa"/>
            <w:vAlign w:val="bottom"/>
          </w:tcPr>
          <w:p w14:paraId="39B52D90" w14:textId="77777777" w:rsidR="00F32A2A" w:rsidRDefault="00F32A2A">
            <w:pPr>
              <w:pStyle w:val="-0"/>
              <w:bidi w:val="0"/>
              <w:spacing w:line="60" w:lineRule="exact"/>
              <w:ind w:left="142" w:hanging="142"/>
              <w:jc w:val="both"/>
              <w:rPr>
                <w:sz w:val="17"/>
                <w:szCs w:val="17"/>
                <w:rtl/>
              </w:rPr>
            </w:pPr>
          </w:p>
        </w:tc>
      </w:tr>
      <w:tr w:rsidR="00F143F0" w:rsidRPr="00543C25" w14:paraId="0A5AFEF9" w14:textId="77777777" w:rsidTr="003D5632">
        <w:tc>
          <w:tcPr>
            <w:tcW w:w="993" w:type="dxa"/>
          </w:tcPr>
          <w:p w14:paraId="377613EF" w14:textId="77777777" w:rsidR="004D3E7A" w:rsidRPr="001831A9" w:rsidRDefault="004D3E7A" w:rsidP="007C54B1">
            <w:pPr>
              <w:pStyle w:val="-b"/>
              <w:rPr>
                <w:sz w:val="17"/>
                <w:szCs w:val="17"/>
                <w:rtl/>
              </w:rPr>
            </w:pPr>
          </w:p>
        </w:tc>
        <w:tc>
          <w:tcPr>
            <w:tcW w:w="4237" w:type="dxa"/>
            <w:vAlign w:val="bottom"/>
          </w:tcPr>
          <w:p w14:paraId="47E79ACE" w14:textId="77777777" w:rsidR="004D3E7A" w:rsidRPr="001831A9" w:rsidRDefault="00B44059" w:rsidP="007C54B1">
            <w:pPr>
              <w:pStyle w:val="-b"/>
              <w:rPr>
                <w:sz w:val="17"/>
                <w:szCs w:val="17"/>
                <w:rtl/>
              </w:rPr>
            </w:pPr>
            <w:r w:rsidRPr="00B44059">
              <w:rPr>
                <w:sz w:val="17"/>
                <w:szCs w:val="17"/>
                <w:rtl/>
              </w:rPr>
              <w:t>השפעת מכשירים נגזרים מגדרים:</w:t>
            </w:r>
            <w:r w:rsidRPr="00B44059">
              <w:rPr>
                <w:rFonts w:eastAsia="Arial Unicode MS"/>
                <w:b w:val="0"/>
                <w:sz w:val="17"/>
                <w:szCs w:val="17"/>
                <w:vertAlign w:val="superscript"/>
                <w:rtl/>
              </w:rPr>
              <w:t>[</w:t>
            </w:r>
            <w:r w:rsidRPr="00B44059">
              <w:rPr>
                <w:rStyle w:val="a7"/>
                <w:rFonts w:eastAsia="Arial Unicode MS"/>
                <w:b w:val="0"/>
                <w:sz w:val="17"/>
                <w:szCs w:val="17"/>
                <w:rtl/>
              </w:rPr>
              <w:footnoteReference w:id="120"/>
            </w:r>
            <w:r w:rsidRPr="00B44059">
              <w:rPr>
                <w:rFonts w:eastAsia="Arial Unicode MS"/>
                <w:b w:val="0"/>
                <w:sz w:val="17"/>
                <w:szCs w:val="17"/>
                <w:vertAlign w:val="superscript"/>
                <w:rtl/>
              </w:rPr>
              <w:t>][</w:t>
            </w:r>
            <w:r w:rsidRPr="00B44059">
              <w:rPr>
                <w:rStyle w:val="a7"/>
                <w:rFonts w:eastAsia="Arial Unicode MS"/>
                <w:b w:val="0"/>
                <w:sz w:val="17"/>
                <w:szCs w:val="17"/>
                <w:rtl/>
              </w:rPr>
              <w:footnoteReference w:id="121"/>
            </w:r>
            <w:r w:rsidRPr="00B44059">
              <w:rPr>
                <w:rFonts w:eastAsia="Arial Unicode MS"/>
                <w:b w:val="0"/>
                <w:sz w:val="17"/>
                <w:szCs w:val="17"/>
                <w:vertAlign w:val="superscript"/>
                <w:rtl/>
              </w:rPr>
              <w:t>]</w:t>
            </w:r>
          </w:p>
        </w:tc>
        <w:tc>
          <w:tcPr>
            <w:tcW w:w="747" w:type="dxa"/>
            <w:vAlign w:val="bottom"/>
          </w:tcPr>
          <w:p w14:paraId="1B2AA8A8" w14:textId="77777777" w:rsidR="004D3E7A" w:rsidRPr="001831A9" w:rsidRDefault="004D3E7A" w:rsidP="007C54B1">
            <w:pPr>
              <w:pStyle w:val="-0"/>
              <w:rPr>
                <w:sz w:val="17"/>
                <w:szCs w:val="17"/>
                <w:rtl/>
              </w:rPr>
            </w:pPr>
          </w:p>
        </w:tc>
        <w:tc>
          <w:tcPr>
            <w:tcW w:w="920" w:type="dxa"/>
            <w:vAlign w:val="bottom"/>
          </w:tcPr>
          <w:p w14:paraId="4E94E403" w14:textId="77777777" w:rsidR="004D3E7A" w:rsidRPr="001831A9" w:rsidRDefault="004D3E7A" w:rsidP="007C54B1">
            <w:pPr>
              <w:pStyle w:val="-0"/>
              <w:rPr>
                <w:sz w:val="17"/>
                <w:szCs w:val="17"/>
                <w:rtl/>
              </w:rPr>
            </w:pPr>
          </w:p>
        </w:tc>
        <w:tc>
          <w:tcPr>
            <w:tcW w:w="945" w:type="dxa"/>
            <w:vAlign w:val="bottom"/>
          </w:tcPr>
          <w:p w14:paraId="40FC1CA9" w14:textId="77777777" w:rsidR="004D3E7A" w:rsidRPr="001831A9" w:rsidRDefault="004D3E7A" w:rsidP="007C54B1">
            <w:pPr>
              <w:pStyle w:val="-0"/>
              <w:rPr>
                <w:sz w:val="17"/>
                <w:szCs w:val="17"/>
                <w:rtl/>
              </w:rPr>
            </w:pPr>
          </w:p>
        </w:tc>
        <w:tc>
          <w:tcPr>
            <w:tcW w:w="945" w:type="dxa"/>
            <w:vAlign w:val="bottom"/>
          </w:tcPr>
          <w:p w14:paraId="22E44382" w14:textId="77777777" w:rsidR="004D3E7A" w:rsidRPr="001831A9" w:rsidRDefault="004D3E7A" w:rsidP="007C54B1">
            <w:pPr>
              <w:pStyle w:val="-0"/>
              <w:rPr>
                <w:sz w:val="17"/>
                <w:szCs w:val="17"/>
                <w:rtl/>
              </w:rPr>
            </w:pPr>
          </w:p>
        </w:tc>
        <w:tc>
          <w:tcPr>
            <w:tcW w:w="747" w:type="dxa"/>
            <w:vAlign w:val="bottom"/>
          </w:tcPr>
          <w:p w14:paraId="29FE89FA" w14:textId="77777777" w:rsidR="004D3E7A" w:rsidRPr="001831A9" w:rsidRDefault="004D3E7A" w:rsidP="007C54B1">
            <w:pPr>
              <w:pStyle w:val="-0"/>
              <w:rPr>
                <w:sz w:val="17"/>
                <w:szCs w:val="17"/>
                <w:rtl/>
              </w:rPr>
            </w:pPr>
          </w:p>
        </w:tc>
        <w:tc>
          <w:tcPr>
            <w:tcW w:w="677" w:type="dxa"/>
            <w:vAlign w:val="bottom"/>
          </w:tcPr>
          <w:p w14:paraId="24FFF4B1" w14:textId="77777777" w:rsidR="004D3E7A" w:rsidRPr="001831A9" w:rsidRDefault="004D3E7A" w:rsidP="007C54B1">
            <w:pPr>
              <w:pStyle w:val="-0"/>
              <w:rPr>
                <w:sz w:val="17"/>
                <w:szCs w:val="17"/>
                <w:rtl/>
              </w:rPr>
            </w:pPr>
          </w:p>
        </w:tc>
      </w:tr>
      <w:tr w:rsidR="00F143F0" w:rsidRPr="00543C25" w14:paraId="69529D73" w14:textId="77777777" w:rsidTr="003D5632">
        <w:tc>
          <w:tcPr>
            <w:tcW w:w="993" w:type="dxa"/>
          </w:tcPr>
          <w:p w14:paraId="5FF453AC" w14:textId="77777777" w:rsidR="004D3E7A" w:rsidRPr="001831A9" w:rsidRDefault="004D3E7A" w:rsidP="007C54B1">
            <w:pPr>
              <w:pStyle w:val="-0"/>
              <w:rPr>
                <w:sz w:val="17"/>
                <w:szCs w:val="17"/>
                <w:rtl/>
              </w:rPr>
            </w:pPr>
          </w:p>
        </w:tc>
        <w:tc>
          <w:tcPr>
            <w:tcW w:w="4237" w:type="dxa"/>
            <w:vAlign w:val="bottom"/>
          </w:tcPr>
          <w:p w14:paraId="3B3AD6AF" w14:textId="77777777" w:rsidR="004D3E7A" w:rsidRPr="001831A9" w:rsidRDefault="00B44059" w:rsidP="007C54B1">
            <w:pPr>
              <w:pStyle w:val="-0"/>
              <w:rPr>
                <w:sz w:val="17"/>
                <w:szCs w:val="17"/>
                <w:rtl/>
              </w:rPr>
            </w:pPr>
            <w:r w:rsidRPr="00B44059">
              <w:rPr>
                <w:sz w:val="17"/>
                <w:szCs w:val="17"/>
                <w:rtl/>
              </w:rPr>
              <w:t>מכשירים נגזרים (למעט אופציות)</w:t>
            </w:r>
          </w:p>
        </w:tc>
        <w:tc>
          <w:tcPr>
            <w:tcW w:w="747" w:type="dxa"/>
            <w:vAlign w:val="bottom"/>
          </w:tcPr>
          <w:p w14:paraId="5B4AD250" w14:textId="77777777" w:rsidR="004D3E7A" w:rsidRPr="001831A9" w:rsidRDefault="00B44059" w:rsidP="007C54B1">
            <w:pPr>
              <w:pStyle w:val="-0"/>
              <w:rPr>
                <w:sz w:val="17"/>
                <w:szCs w:val="17"/>
                <w:rtl/>
              </w:rPr>
            </w:pPr>
            <w:r w:rsidRPr="00B44059">
              <w:rPr>
                <w:sz w:val="17"/>
                <w:szCs w:val="17"/>
                <w:rtl/>
              </w:rPr>
              <w:t xml:space="preserve"> 0</w:t>
            </w:r>
          </w:p>
        </w:tc>
        <w:tc>
          <w:tcPr>
            <w:tcW w:w="920" w:type="dxa"/>
            <w:vAlign w:val="bottom"/>
          </w:tcPr>
          <w:p w14:paraId="60731FA0"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3B9131CA"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4C2FE51A" w14:textId="77777777" w:rsidR="004D3E7A" w:rsidRPr="001831A9" w:rsidRDefault="00B44059" w:rsidP="007C54B1">
            <w:pPr>
              <w:pStyle w:val="-0"/>
              <w:rPr>
                <w:sz w:val="17"/>
                <w:szCs w:val="17"/>
                <w:rtl/>
              </w:rPr>
            </w:pPr>
            <w:r w:rsidRPr="00B44059">
              <w:rPr>
                <w:sz w:val="17"/>
                <w:szCs w:val="17"/>
                <w:rtl/>
              </w:rPr>
              <w:t xml:space="preserve"> 0</w:t>
            </w:r>
          </w:p>
        </w:tc>
        <w:tc>
          <w:tcPr>
            <w:tcW w:w="747" w:type="dxa"/>
            <w:vAlign w:val="bottom"/>
          </w:tcPr>
          <w:p w14:paraId="647504AA" w14:textId="77777777" w:rsidR="004D3E7A" w:rsidRPr="001831A9" w:rsidRDefault="00B44059" w:rsidP="007C54B1">
            <w:pPr>
              <w:pStyle w:val="-0"/>
              <w:rPr>
                <w:sz w:val="17"/>
                <w:szCs w:val="17"/>
                <w:rtl/>
              </w:rPr>
            </w:pPr>
            <w:r w:rsidRPr="00B44059">
              <w:rPr>
                <w:sz w:val="17"/>
                <w:szCs w:val="17"/>
                <w:rtl/>
              </w:rPr>
              <w:t xml:space="preserve"> 0</w:t>
            </w:r>
          </w:p>
        </w:tc>
        <w:tc>
          <w:tcPr>
            <w:tcW w:w="677" w:type="dxa"/>
            <w:vAlign w:val="bottom"/>
          </w:tcPr>
          <w:p w14:paraId="7840CF03" w14:textId="77777777" w:rsidR="004D3E7A" w:rsidRPr="001831A9" w:rsidRDefault="00B44059" w:rsidP="007C54B1">
            <w:pPr>
              <w:pStyle w:val="-0"/>
              <w:rPr>
                <w:sz w:val="17"/>
                <w:szCs w:val="17"/>
                <w:rtl/>
              </w:rPr>
            </w:pPr>
            <w:r w:rsidRPr="00B44059">
              <w:rPr>
                <w:sz w:val="17"/>
                <w:szCs w:val="17"/>
                <w:rtl/>
              </w:rPr>
              <w:t xml:space="preserve"> 0</w:t>
            </w:r>
          </w:p>
        </w:tc>
      </w:tr>
      <w:tr w:rsidR="00F143F0" w:rsidRPr="00543C25" w14:paraId="5CFD63BC" w14:textId="77777777" w:rsidTr="003D5632">
        <w:tc>
          <w:tcPr>
            <w:tcW w:w="993" w:type="dxa"/>
          </w:tcPr>
          <w:p w14:paraId="216F2C41" w14:textId="77777777" w:rsidR="004D3E7A" w:rsidRPr="001831A9" w:rsidRDefault="004D3E7A" w:rsidP="007C54B1">
            <w:pPr>
              <w:pStyle w:val="-0"/>
              <w:rPr>
                <w:sz w:val="17"/>
                <w:szCs w:val="17"/>
                <w:rtl/>
              </w:rPr>
            </w:pPr>
          </w:p>
        </w:tc>
        <w:tc>
          <w:tcPr>
            <w:tcW w:w="4237" w:type="dxa"/>
            <w:vAlign w:val="bottom"/>
          </w:tcPr>
          <w:p w14:paraId="41018D89" w14:textId="77777777" w:rsidR="004D3E7A" w:rsidRPr="001831A9" w:rsidRDefault="00B44059">
            <w:pPr>
              <w:pStyle w:val="-0"/>
              <w:rPr>
                <w:sz w:val="17"/>
                <w:szCs w:val="17"/>
                <w:rtl/>
              </w:rPr>
            </w:pPr>
            <w:r w:rsidRPr="00B44059">
              <w:rPr>
                <w:sz w:val="17"/>
                <w:szCs w:val="17"/>
                <w:rtl/>
              </w:rPr>
              <w:t>אופציות בכסף נטו (במונחי נכס בסיס)</w:t>
            </w:r>
            <w:r w:rsidRPr="00B44059">
              <w:rPr>
                <w:rFonts w:eastAsia="Arial Unicode MS"/>
                <w:b/>
                <w:sz w:val="17"/>
                <w:szCs w:val="17"/>
                <w:vertAlign w:val="superscript"/>
                <w:rtl/>
              </w:rPr>
              <w:t>[</w:t>
            </w:r>
            <w:r w:rsidRPr="00B44059">
              <w:rPr>
                <w:rStyle w:val="a7"/>
                <w:rFonts w:eastAsia="Arial Unicode MS"/>
                <w:b/>
                <w:sz w:val="17"/>
                <w:szCs w:val="17"/>
                <w:rtl/>
              </w:rPr>
              <w:footnoteReference w:id="122"/>
            </w:r>
            <w:r w:rsidRPr="00B44059">
              <w:rPr>
                <w:rFonts w:eastAsia="Arial Unicode MS"/>
                <w:b/>
                <w:sz w:val="17"/>
                <w:szCs w:val="17"/>
                <w:vertAlign w:val="superscript"/>
                <w:rtl/>
              </w:rPr>
              <w:t>]</w:t>
            </w:r>
          </w:p>
        </w:tc>
        <w:tc>
          <w:tcPr>
            <w:tcW w:w="747" w:type="dxa"/>
            <w:vAlign w:val="bottom"/>
          </w:tcPr>
          <w:p w14:paraId="739F8507" w14:textId="77777777" w:rsidR="004D3E7A" w:rsidRPr="001831A9" w:rsidRDefault="00B44059" w:rsidP="007C54B1">
            <w:pPr>
              <w:pStyle w:val="-0"/>
              <w:rPr>
                <w:sz w:val="17"/>
                <w:szCs w:val="17"/>
                <w:rtl/>
              </w:rPr>
            </w:pPr>
            <w:r w:rsidRPr="00B44059">
              <w:rPr>
                <w:sz w:val="17"/>
                <w:szCs w:val="17"/>
                <w:rtl/>
              </w:rPr>
              <w:t xml:space="preserve"> 0</w:t>
            </w:r>
          </w:p>
        </w:tc>
        <w:tc>
          <w:tcPr>
            <w:tcW w:w="920" w:type="dxa"/>
            <w:vAlign w:val="bottom"/>
          </w:tcPr>
          <w:p w14:paraId="49BF4997"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4A76FCFF"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51D4A5FE" w14:textId="77777777" w:rsidR="004D3E7A" w:rsidRPr="001831A9" w:rsidRDefault="00B44059" w:rsidP="007C54B1">
            <w:pPr>
              <w:pStyle w:val="-0"/>
              <w:rPr>
                <w:sz w:val="17"/>
                <w:szCs w:val="17"/>
                <w:rtl/>
              </w:rPr>
            </w:pPr>
            <w:r w:rsidRPr="00B44059">
              <w:rPr>
                <w:sz w:val="17"/>
                <w:szCs w:val="17"/>
                <w:rtl/>
              </w:rPr>
              <w:t xml:space="preserve"> 0</w:t>
            </w:r>
          </w:p>
        </w:tc>
        <w:tc>
          <w:tcPr>
            <w:tcW w:w="747" w:type="dxa"/>
            <w:vAlign w:val="bottom"/>
          </w:tcPr>
          <w:p w14:paraId="65F0D591" w14:textId="77777777" w:rsidR="004D3E7A" w:rsidRPr="001831A9" w:rsidRDefault="00B44059" w:rsidP="007C54B1">
            <w:pPr>
              <w:pStyle w:val="-0"/>
              <w:rPr>
                <w:sz w:val="17"/>
                <w:szCs w:val="17"/>
                <w:rtl/>
              </w:rPr>
            </w:pPr>
            <w:r w:rsidRPr="00B44059">
              <w:rPr>
                <w:sz w:val="17"/>
                <w:szCs w:val="17"/>
                <w:rtl/>
              </w:rPr>
              <w:t xml:space="preserve"> 0</w:t>
            </w:r>
          </w:p>
        </w:tc>
        <w:tc>
          <w:tcPr>
            <w:tcW w:w="677" w:type="dxa"/>
            <w:vAlign w:val="bottom"/>
          </w:tcPr>
          <w:p w14:paraId="633E02C6" w14:textId="77777777" w:rsidR="004D3E7A" w:rsidRPr="001831A9" w:rsidRDefault="00B44059" w:rsidP="007C54B1">
            <w:pPr>
              <w:pStyle w:val="-0"/>
              <w:rPr>
                <w:sz w:val="17"/>
                <w:szCs w:val="17"/>
                <w:rtl/>
              </w:rPr>
            </w:pPr>
            <w:r w:rsidRPr="00B44059">
              <w:rPr>
                <w:sz w:val="17"/>
                <w:szCs w:val="17"/>
                <w:rtl/>
              </w:rPr>
              <w:t xml:space="preserve"> 0</w:t>
            </w:r>
          </w:p>
        </w:tc>
      </w:tr>
      <w:tr w:rsidR="00F143F0" w:rsidRPr="00543C25" w14:paraId="6F216585" w14:textId="77777777" w:rsidTr="003D5632">
        <w:tc>
          <w:tcPr>
            <w:tcW w:w="993" w:type="dxa"/>
          </w:tcPr>
          <w:p w14:paraId="7FE7FC29" w14:textId="77777777" w:rsidR="004D3E7A" w:rsidRPr="001831A9" w:rsidRDefault="004D3E7A" w:rsidP="007C54B1">
            <w:pPr>
              <w:pStyle w:val="-0"/>
              <w:rPr>
                <w:sz w:val="17"/>
                <w:szCs w:val="17"/>
                <w:rtl/>
              </w:rPr>
            </w:pPr>
          </w:p>
        </w:tc>
        <w:tc>
          <w:tcPr>
            <w:tcW w:w="4237" w:type="dxa"/>
            <w:vAlign w:val="bottom"/>
          </w:tcPr>
          <w:p w14:paraId="01C19B12" w14:textId="77777777" w:rsidR="004D3E7A" w:rsidRPr="001831A9" w:rsidRDefault="00B44059" w:rsidP="007C54B1">
            <w:pPr>
              <w:pStyle w:val="-0"/>
              <w:rPr>
                <w:sz w:val="17"/>
                <w:szCs w:val="17"/>
                <w:rtl/>
              </w:rPr>
            </w:pPr>
            <w:r w:rsidRPr="00B44059">
              <w:rPr>
                <w:sz w:val="17"/>
                <w:szCs w:val="17"/>
                <w:rtl/>
              </w:rPr>
              <w:t>אופציות מחוץ לכסף נטו (במונחי נכס בסיס)</w:t>
            </w:r>
            <w:r w:rsidRPr="00B44059">
              <w:rPr>
                <w:b/>
                <w:sz w:val="17"/>
                <w:szCs w:val="17"/>
                <w:vertAlign w:val="superscript"/>
                <w:rtl/>
              </w:rPr>
              <w:t>[10]</w:t>
            </w:r>
            <w:r w:rsidRPr="00B44059">
              <w:rPr>
                <w:sz w:val="17"/>
                <w:szCs w:val="17"/>
                <w:rtl/>
              </w:rPr>
              <w:t xml:space="preserve"> </w:t>
            </w:r>
          </w:p>
        </w:tc>
        <w:tc>
          <w:tcPr>
            <w:tcW w:w="747" w:type="dxa"/>
            <w:vAlign w:val="bottom"/>
          </w:tcPr>
          <w:p w14:paraId="7B66C3D9" w14:textId="77777777" w:rsidR="004D3E7A" w:rsidRPr="001831A9" w:rsidRDefault="00B44059" w:rsidP="007C54B1">
            <w:pPr>
              <w:pStyle w:val="-0"/>
              <w:rPr>
                <w:sz w:val="17"/>
                <w:szCs w:val="17"/>
                <w:rtl/>
              </w:rPr>
            </w:pPr>
            <w:r w:rsidRPr="00B44059">
              <w:rPr>
                <w:sz w:val="17"/>
                <w:szCs w:val="17"/>
                <w:rtl/>
              </w:rPr>
              <w:t xml:space="preserve"> 0</w:t>
            </w:r>
          </w:p>
        </w:tc>
        <w:tc>
          <w:tcPr>
            <w:tcW w:w="920" w:type="dxa"/>
            <w:vAlign w:val="bottom"/>
          </w:tcPr>
          <w:p w14:paraId="30745286"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798E9E71"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6F6144FE" w14:textId="77777777" w:rsidR="004D3E7A" w:rsidRPr="001831A9" w:rsidRDefault="00B44059" w:rsidP="007C54B1">
            <w:pPr>
              <w:pStyle w:val="-0"/>
              <w:rPr>
                <w:sz w:val="17"/>
                <w:szCs w:val="17"/>
                <w:rtl/>
              </w:rPr>
            </w:pPr>
            <w:r w:rsidRPr="00B44059">
              <w:rPr>
                <w:sz w:val="17"/>
                <w:szCs w:val="17"/>
                <w:rtl/>
              </w:rPr>
              <w:t xml:space="preserve"> 0</w:t>
            </w:r>
          </w:p>
        </w:tc>
        <w:tc>
          <w:tcPr>
            <w:tcW w:w="747" w:type="dxa"/>
            <w:vAlign w:val="bottom"/>
          </w:tcPr>
          <w:p w14:paraId="01A0AC81" w14:textId="77777777" w:rsidR="004D3E7A" w:rsidRPr="001831A9" w:rsidRDefault="00B44059" w:rsidP="007C54B1">
            <w:pPr>
              <w:pStyle w:val="-0"/>
              <w:rPr>
                <w:sz w:val="17"/>
                <w:szCs w:val="17"/>
                <w:rtl/>
              </w:rPr>
            </w:pPr>
            <w:r w:rsidRPr="00B44059">
              <w:rPr>
                <w:sz w:val="17"/>
                <w:szCs w:val="17"/>
                <w:rtl/>
              </w:rPr>
              <w:t xml:space="preserve"> 0</w:t>
            </w:r>
          </w:p>
        </w:tc>
        <w:tc>
          <w:tcPr>
            <w:tcW w:w="677" w:type="dxa"/>
            <w:vAlign w:val="bottom"/>
          </w:tcPr>
          <w:p w14:paraId="0C067774" w14:textId="77777777" w:rsidR="004D3E7A" w:rsidRPr="001831A9" w:rsidRDefault="00B44059" w:rsidP="007C54B1">
            <w:pPr>
              <w:pStyle w:val="-0"/>
              <w:rPr>
                <w:sz w:val="17"/>
                <w:szCs w:val="17"/>
                <w:rtl/>
              </w:rPr>
            </w:pPr>
            <w:r w:rsidRPr="00B44059">
              <w:rPr>
                <w:sz w:val="17"/>
                <w:szCs w:val="17"/>
                <w:rtl/>
              </w:rPr>
              <w:t xml:space="preserve"> 0</w:t>
            </w:r>
          </w:p>
        </w:tc>
      </w:tr>
      <w:tr w:rsidR="00F143F0" w:rsidRPr="00543C25" w14:paraId="307947EB" w14:textId="77777777" w:rsidTr="003D5632">
        <w:trPr>
          <w:trHeight w:hRule="exact" w:val="72"/>
        </w:trPr>
        <w:tc>
          <w:tcPr>
            <w:tcW w:w="993" w:type="dxa"/>
          </w:tcPr>
          <w:p w14:paraId="6F40967D" w14:textId="77777777" w:rsidR="004D3E7A" w:rsidRPr="001831A9" w:rsidRDefault="004D3E7A" w:rsidP="007C54B1">
            <w:pPr>
              <w:pStyle w:val="-0"/>
              <w:rPr>
                <w:sz w:val="17"/>
                <w:szCs w:val="17"/>
                <w:rtl/>
              </w:rPr>
            </w:pPr>
          </w:p>
        </w:tc>
        <w:tc>
          <w:tcPr>
            <w:tcW w:w="4237" w:type="dxa"/>
            <w:vAlign w:val="bottom"/>
          </w:tcPr>
          <w:p w14:paraId="1BDA22B0" w14:textId="77777777" w:rsidR="004D3E7A" w:rsidRPr="001831A9" w:rsidRDefault="004D3E7A" w:rsidP="007C54B1">
            <w:pPr>
              <w:pStyle w:val="-0"/>
              <w:rPr>
                <w:sz w:val="17"/>
                <w:szCs w:val="17"/>
                <w:rtl/>
              </w:rPr>
            </w:pPr>
          </w:p>
        </w:tc>
        <w:tc>
          <w:tcPr>
            <w:tcW w:w="747" w:type="dxa"/>
            <w:vAlign w:val="bottom"/>
          </w:tcPr>
          <w:p w14:paraId="1A71755C" w14:textId="77777777" w:rsidR="004D3E7A" w:rsidRPr="001831A9" w:rsidRDefault="004D3E7A" w:rsidP="007C54B1">
            <w:pPr>
              <w:pStyle w:val="-0"/>
              <w:rPr>
                <w:sz w:val="17"/>
                <w:szCs w:val="17"/>
                <w:rtl/>
              </w:rPr>
            </w:pPr>
          </w:p>
        </w:tc>
        <w:tc>
          <w:tcPr>
            <w:tcW w:w="920" w:type="dxa"/>
            <w:vAlign w:val="bottom"/>
          </w:tcPr>
          <w:p w14:paraId="0DAFFF79" w14:textId="77777777" w:rsidR="004D3E7A" w:rsidRPr="001831A9" w:rsidRDefault="004D3E7A" w:rsidP="007C54B1">
            <w:pPr>
              <w:pStyle w:val="-0"/>
              <w:rPr>
                <w:sz w:val="17"/>
                <w:szCs w:val="17"/>
                <w:rtl/>
              </w:rPr>
            </w:pPr>
          </w:p>
        </w:tc>
        <w:tc>
          <w:tcPr>
            <w:tcW w:w="945" w:type="dxa"/>
            <w:vAlign w:val="bottom"/>
          </w:tcPr>
          <w:p w14:paraId="33E88F83" w14:textId="77777777" w:rsidR="004D3E7A" w:rsidRPr="001831A9" w:rsidRDefault="004D3E7A" w:rsidP="007C54B1">
            <w:pPr>
              <w:pStyle w:val="-0"/>
              <w:rPr>
                <w:sz w:val="17"/>
                <w:szCs w:val="17"/>
                <w:rtl/>
              </w:rPr>
            </w:pPr>
          </w:p>
        </w:tc>
        <w:tc>
          <w:tcPr>
            <w:tcW w:w="945" w:type="dxa"/>
            <w:vAlign w:val="bottom"/>
          </w:tcPr>
          <w:p w14:paraId="7BD66429" w14:textId="77777777" w:rsidR="004D3E7A" w:rsidRPr="001831A9" w:rsidRDefault="004D3E7A" w:rsidP="007C54B1">
            <w:pPr>
              <w:pStyle w:val="-0"/>
              <w:rPr>
                <w:sz w:val="17"/>
                <w:szCs w:val="17"/>
                <w:rtl/>
              </w:rPr>
            </w:pPr>
          </w:p>
        </w:tc>
        <w:tc>
          <w:tcPr>
            <w:tcW w:w="747" w:type="dxa"/>
            <w:vAlign w:val="bottom"/>
          </w:tcPr>
          <w:p w14:paraId="6ACD7559" w14:textId="77777777" w:rsidR="004D3E7A" w:rsidRPr="001831A9" w:rsidRDefault="004D3E7A" w:rsidP="007C54B1">
            <w:pPr>
              <w:pStyle w:val="-0"/>
              <w:rPr>
                <w:sz w:val="17"/>
                <w:szCs w:val="17"/>
                <w:rtl/>
              </w:rPr>
            </w:pPr>
          </w:p>
        </w:tc>
        <w:tc>
          <w:tcPr>
            <w:tcW w:w="677" w:type="dxa"/>
            <w:vAlign w:val="bottom"/>
          </w:tcPr>
          <w:p w14:paraId="671BCC4B" w14:textId="77777777" w:rsidR="004D3E7A" w:rsidRPr="001831A9" w:rsidRDefault="004D3E7A" w:rsidP="007C54B1">
            <w:pPr>
              <w:pStyle w:val="-0"/>
              <w:rPr>
                <w:sz w:val="17"/>
                <w:szCs w:val="17"/>
                <w:rtl/>
              </w:rPr>
            </w:pPr>
          </w:p>
        </w:tc>
      </w:tr>
      <w:tr w:rsidR="00F143F0" w:rsidRPr="00543C25" w14:paraId="28C36295" w14:textId="77777777" w:rsidTr="003D5632">
        <w:tc>
          <w:tcPr>
            <w:tcW w:w="993" w:type="dxa"/>
          </w:tcPr>
          <w:p w14:paraId="37C8C0B6" w14:textId="77777777" w:rsidR="004D3E7A" w:rsidRPr="001831A9" w:rsidRDefault="004D3E7A" w:rsidP="007C54B1">
            <w:pPr>
              <w:pStyle w:val="-b"/>
              <w:rPr>
                <w:sz w:val="17"/>
                <w:szCs w:val="17"/>
                <w:rtl/>
              </w:rPr>
            </w:pPr>
          </w:p>
        </w:tc>
        <w:tc>
          <w:tcPr>
            <w:tcW w:w="4237" w:type="dxa"/>
            <w:vAlign w:val="bottom"/>
          </w:tcPr>
          <w:p w14:paraId="2B95E4C1" w14:textId="77777777" w:rsidR="004D3E7A" w:rsidRPr="001831A9" w:rsidRDefault="00B44059" w:rsidP="00030C7C">
            <w:pPr>
              <w:pStyle w:val="-b"/>
              <w:rPr>
                <w:b w:val="0"/>
                <w:bCs w:val="0"/>
                <w:sz w:val="17"/>
                <w:szCs w:val="17"/>
                <w:rtl/>
              </w:rPr>
            </w:pPr>
            <w:r w:rsidRPr="00B44059">
              <w:rPr>
                <w:sz w:val="17"/>
                <w:szCs w:val="17"/>
                <w:rtl/>
              </w:rPr>
              <w:t>מכשירים נגזרים שאינם מגדרים:</w:t>
            </w:r>
            <w:r w:rsidR="004654EF" w:rsidRPr="00B44059">
              <w:rPr>
                <w:rFonts w:eastAsia="Arial Unicode MS"/>
                <w:b w:val="0"/>
                <w:sz w:val="17"/>
                <w:szCs w:val="17"/>
                <w:vertAlign w:val="superscript"/>
                <w:rtl/>
              </w:rPr>
              <w:t>[</w:t>
            </w:r>
            <w:r w:rsidR="004654EF">
              <w:rPr>
                <w:rFonts w:eastAsia="Arial Unicode MS" w:hint="cs"/>
                <w:b w:val="0"/>
                <w:sz w:val="17"/>
                <w:szCs w:val="17"/>
                <w:vertAlign w:val="superscript"/>
                <w:rtl/>
              </w:rPr>
              <w:t>8</w:t>
            </w:r>
            <w:r w:rsidR="004654EF" w:rsidRPr="00B44059">
              <w:rPr>
                <w:rFonts w:eastAsia="Arial Unicode MS"/>
                <w:b w:val="0"/>
                <w:sz w:val="17"/>
                <w:szCs w:val="17"/>
                <w:vertAlign w:val="superscript"/>
                <w:rtl/>
              </w:rPr>
              <w:t>][</w:t>
            </w:r>
            <w:r w:rsidR="004654EF">
              <w:rPr>
                <w:rFonts w:eastAsia="Arial Unicode MS" w:hint="cs"/>
                <w:b w:val="0"/>
                <w:sz w:val="17"/>
                <w:szCs w:val="17"/>
                <w:vertAlign w:val="superscript"/>
                <w:rtl/>
              </w:rPr>
              <w:t>9</w:t>
            </w:r>
            <w:r w:rsidR="004654EF" w:rsidRPr="00B44059">
              <w:rPr>
                <w:rFonts w:eastAsia="Arial Unicode MS"/>
                <w:b w:val="0"/>
                <w:sz w:val="17"/>
                <w:szCs w:val="17"/>
                <w:vertAlign w:val="superscript"/>
                <w:rtl/>
              </w:rPr>
              <w:t>]</w:t>
            </w:r>
          </w:p>
        </w:tc>
        <w:tc>
          <w:tcPr>
            <w:tcW w:w="747" w:type="dxa"/>
            <w:vAlign w:val="bottom"/>
          </w:tcPr>
          <w:p w14:paraId="30758366" w14:textId="77777777" w:rsidR="004D3E7A" w:rsidRPr="001831A9" w:rsidRDefault="004D3E7A" w:rsidP="007C54B1">
            <w:pPr>
              <w:pStyle w:val="-0"/>
              <w:rPr>
                <w:sz w:val="17"/>
                <w:szCs w:val="17"/>
                <w:rtl/>
              </w:rPr>
            </w:pPr>
          </w:p>
        </w:tc>
        <w:tc>
          <w:tcPr>
            <w:tcW w:w="920" w:type="dxa"/>
            <w:vAlign w:val="bottom"/>
          </w:tcPr>
          <w:p w14:paraId="273EBE3E" w14:textId="77777777" w:rsidR="004D3E7A" w:rsidRPr="001831A9" w:rsidRDefault="004D3E7A" w:rsidP="007C54B1">
            <w:pPr>
              <w:pStyle w:val="-0"/>
              <w:rPr>
                <w:sz w:val="17"/>
                <w:szCs w:val="17"/>
                <w:rtl/>
              </w:rPr>
            </w:pPr>
          </w:p>
        </w:tc>
        <w:tc>
          <w:tcPr>
            <w:tcW w:w="945" w:type="dxa"/>
            <w:vAlign w:val="bottom"/>
          </w:tcPr>
          <w:p w14:paraId="2D15105D" w14:textId="77777777" w:rsidR="004D3E7A" w:rsidRPr="001831A9" w:rsidRDefault="004D3E7A" w:rsidP="007C54B1">
            <w:pPr>
              <w:pStyle w:val="-0"/>
              <w:rPr>
                <w:sz w:val="17"/>
                <w:szCs w:val="17"/>
                <w:rtl/>
              </w:rPr>
            </w:pPr>
          </w:p>
        </w:tc>
        <w:tc>
          <w:tcPr>
            <w:tcW w:w="945" w:type="dxa"/>
            <w:vAlign w:val="bottom"/>
          </w:tcPr>
          <w:p w14:paraId="1C219056" w14:textId="77777777" w:rsidR="004D3E7A" w:rsidRPr="001831A9" w:rsidRDefault="004D3E7A" w:rsidP="007C54B1">
            <w:pPr>
              <w:pStyle w:val="-0"/>
              <w:rPr>
                <w:sz w:val="17"/>
                <w:szCs w:val="17"/>
                <w:rtl/>
              </w:rPr>
            </w:pPr>
          </w:p>
        </w:tc>
        <w:tc>
          <w:tcPr>
            <w:tcW w:w="747" w:type="dxa"/>
            <w:vAlign w:val="bottom"/>
          </w:tcPr>
          <w:p w14:paraId="4EAAF0D5" w14:textId="77777777" w:rsidR="004D3E7A" w:rsidRPr="001831A9" w:rsidRDefault="004D3E7A" w:rsidP="007C54B1">
            <w:pPr>
              <w:pStyle w:val="-0"/>
              <w:rPr>
                <w:sz w:val="17"/>
                <w:szCs w:val="17"/>
                <w:rtl/>
              </w:rPr>
            </w:pPr>
          </w:p>
        </w:tc>
        <w:tc>
          <w:tcPr>
            <w:tcW w:w="677" w:type="dxa"/>
            <w:vAlign w:val="bottom"/>
          </w:tcPr>
          <w:p w14:paraId="0EE6010F" w14:textId="77777777" w:rsidR="004D3E7A" w:rsidRPr="001831A9" w:rsidRDefault="004D3E7A" w:rsidP="007C54B1">
            <w:pPr>
              <w:pStyle w:val="-0"/>
              <w:rPr>
                <w:sz w:val="17"/>
                <w:szCs w:val="17"/>
                <w:rtl/>
              </w:rPr>
            </w:pPr>
          </w:p>
        </w:tc>
      </w:tr>
      <w:tr w:rsidR="00F143F0" w:rsidRPr="00543C25" w14:paraId="7039A96D" w14:textId="77777777" w:rsidTr="003D5632">
        <w:tc>
          <w:tcPr>
            <w:tcW w:w="993" w:type="dxa"/>
          </w:tcPr>
          <w:p w14:paraId="6AA9C891" w14:textId="77777777" w:rsidR="004D3E7A" w:rsidRPr="001831A9" w:rsidRDefault="004D3E7A" w:rsidP="007C54B1">
            <w:pPr>
              <w:pStyle w:val="-0"/>
              <w:rPr>
                <w:sz w:val="17"/>
                <w:szCs w:val="17"/>
                <w:rtl/>
              </w:rPr>
            </w:pPr>
          </w:p>
        </w:tc>
        <w:tc>
          <w:tcPr>
            <w:tcW w:w="4237" w:type="dxa"/>
            <w:vAlign w:val="bottom"/>
          </w:tcPr>
          <w:p w14:paraId="0E8045BC" w14:textId="77777777" w:rsidR="004D3E7A" w:rsidRPr="001831A9" w:rsidRDefault="00B44059" w:rsidP="007C54B1">
            <w:pPr>
              <w:pStyle w:val="-0"/>
              <w:rPr>
                <w:sz w:val="17"/>
                <w:szCs w:val="17"/>
                <w:rtl/>
              </w:rPr>
            </w:pPr>
            <w:r w:rsidRPr="00B44059">
              <w:rPr>
                <w:sz w:val="17"/>
                <w:szCs w:val="17"/>
                <w:rtl/>
              </w:rPr>
              <w:t>מכשירים נגזרים (למעט אופציות)</w:t>
            </w:r>
          </w:p>
        </w:tc>
        <w:tc>
          <w:tcPr>
            <w:tcW w:w="747" w:type="dxa"/>
            <w:vAlign w:val="bottom"/>
          </w:tcPr>
          <w:p w14:paraId="69FFF5B7" w14:textId="77777777" w:rsidR="004D3E7A" w:rsidRPr="001831A9" w:rsidRDefault="00B44059" w:rsidP="007C54B1">
            <w:pPr>
              <w:pStyle w:val="-0"/>
              <w:rPr>
                <w:sz w:val="17"/>
                <w:szCs w:val="17"/>
                <w:rtl/>
              </w:rPr>
            </w:pPr>
            <w:r w:rsidRPr="00B44059">
              <w:rPr>
                <w:sz w:val="17"/>
                <w:szCs w:val="17"/>
                <w:rtl/>
              </w:rPr>
              <w:t xml:space="preserve"> 0</w:t>
            </w:r>
          </w:p>
        </w:tc>
        <w:tc>
          <w:tcPr>
            <w:tcW w:w="920" w:type="dxa"/>
            <w:vAlign w:val="bottom"/>
          </w:tcPr>
          <w:p w14:paraId="1B826512"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746C131E"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71264CD9" w14:textId="77777777" w:rsidR="004D3E7A" w:rsidRPr="001831A9" w:rsidRDefault="00B44059" w:rsidP="007C54B1">
            <w:pPr>
              <w:pStyle w:val="-0"/>
              <w:rPr>
                <w:sz w:val="17"/>
                <w:szCs w:val="17"/>
                <w:rtl/>
              </w:rPr>
            </w:pPr>
            <w:r w:rsidRPr="00B44059">
              <w:rPr>
                <w:sz w:val="17"/>
                <w:szCs w:val="17"/>
                <w:rtl/>
              </w:rPr>
              <w:t xml:space="preserve"> 0</w:t>
            </w:r>
          </w:p>
        </w:tc>
        <w:tc>
          <w:tcPr>
            <w:tcW w:w="747" w:type="dxa"/>
            <w:vAlign w:val="bottom"/>
          </w:tcPr>
          <w:p w14:paraId="655F10D9" w14:textId="77777777" w:rsidR="004D3E7A" w:rsidRPr="001831A9" w:rsidRDefault="00B44059" w:rsidP="007C54B1">
            <w:pPr>
              <w:pStyle w:val="-0"/>
              <w:rPr>
                <w:sz w:val="17"/>
                <w:szCs w:val="17"/>
                <w:rtl/>
              </w:rPr>
            </w:pPr>
            <w:r w:rsidRPr="00B44059">
              <w:rPr>
                <w:sz w:val="17"/>
                <w:szCs w:val="17"/>
                <w:rtl/>
              </w:rPr>
              <w:t xml:space="preserve"> 0</w:t>
            </w:r>
          </w:p>
        </w:tc>
        <w:tc>
          <w:tcPr>
            <w:tcW w:w="677" w:type="dxa"/>
            <w:vAlign w:val="bottom"/>
          </w:tcPr>
          <w:p w14:paraId="0B1643F4" w14:textId="77777777" w:rsidR="004D3E7A" w:rsidRPr="001831A9" w:rsidRDefault="00B44059" w:rsidP="007C54B1">
            <w:pPr>
              <w:pStyle w:val="-0"/>
              <w:rPr>
                <w:sz w:val="17"/>
                <w:szCs w:val="17"/>
                <w:rtl/>
              </w:rPr>
            </w:pPr>
            <w:r w:rsidRPr="00B44059">
              <w:rPr>
                <w:sz w:val="17"/>
                <w:szCs w:val="17"/>
                <w:rtl/>
              </w:rPr>
              <w:t xml:space="preserve"> 0</w:t>
            </w:r>
          </w:p>
        </w:tc>
      </w:tr>
      <w:tr w:rsidR="00F143F0" w:rsidRPr="00543C25" w14:paraId="6444DE35" w14:textId="77777777" w:rsidTr="003D5632">
        <w:tc>
          <w:tcPr>
            <w:tcW w:w="993" w:type="dxa"/>
          </w:tcPr>
          <w:p w14:paraId="6F25A6DE" w14:textId="77777777" w:rsidR="004D3E7A" w:rsidRPr="001831A9" w:rsidRDefault="004D3E7A" w:rsidP="007C54B1">
            <w:pPr>
              <w:pStyle w:val="-0"/>
              <w:rPr>
                <w:sz w:val="17"/>
                <w:szCs w:val="17"/>
                <w:rtl/>
              </w:rPr>
            </w:pPr>
          </w:p>
        </w:tc>
        <w:tc>
          <w:tcPr>
            <w:tcW w:w="4237" w:type="dxa"/>
            <w:vAlign w:val="bottom"/>
          </w:tcPr>
          <w:p w14:paraId="127F7EA0" w14:textId="77777777" w:rsidR="004D3E7A" w:rsidRPr="001831A9" w:rsidRDefault="00B44059" w:rsidP="007C54B1">
            <w:pPr>
              <w:pStyle w:val="-0"/>
              <w:rPr>
                <w:sz w:val="17"/>
                <w:szCs w:val="17"/>
                <w:rtl/>
              </w:rPr>
            </w:pPr>
            <w:r w:rsidRPr="00B44059">
              <w:rPr>
                <w:sz w:val="17"/>
                <w:szCs w:val="17"/>
                <w:rtl/>
              </w:rPr>
              <w:t>אופציות בכסף נטו (במונחי נכס בסיס)</w:t>
            </w:r>
            <w:r w:rsidRPr="00B44059">
              <w:rPr>
                <w:b/>
                <w:sz w:val="17"/>
                <w:szCs w:val="17"/>
                <w:vertAlign w:val="superscript"/>
                <w:rtl/>
              </w:rPr>
              <w:t>[10]</w:t>
            </w:r>
          </w:p>
        </w:tc>
        <w:tc>
          <w:tcPr>
            <w:tcW w:w="747" w:type="dxa"/>
            <w:vAlign w:val="bottom"/>
          </w:tcPr>
          <w:p w14:paraId="402969DC" w14:textId="77777777" w:rsidR="004D3E7A" w:rsidRPr="001831A9" w:rsidRDefault="00B44059" w:rsidP="007C54B1">
            <w:pPr>
              <w:pStyle w:val="-0"/>
              <w:rPr>
                <w:sz w:val="17"/>
                <w:szCs w:val="17"/>
                <w:rtl/>
              </w:rPr>
            </w:pPr>
            <w:r w:rsidRPr="00B44059">
              <w:rPr>
                <w:sz w:val="17"/>
                <w:szCs w:val="17"/>
                <w:rtl/>
              </w:rPr>
              <w:t xml:space="preserve"> 0</w:t>
            </w:r>
          </w:p>
        </w:tc>
        <w:tc>
          <w:tcPr>
            <w:tcW w:w="920" w:type="dxa"/>
            <w:vAlign w:val="bottom"/>
          </w:tcPr>
          <w:p w14:paraId="0FCEFD6F"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12DD3D01" w14:textId="77777777" w:rsidR="004D3E7A" w:rsidRPr="001831A9" w:rsidRDefault="00B44059" w:rsidP="007C54B1">
            <w:pPr>
              <w:pStyle w:val="-0"/>
              <w:rPr>
                <w:sz w:val="17"/>
                <w:szCs w:val="17"/>
                <w:rtl/>
              </w:rPr>
            </w:pPr>
            <w:r w:rsidRPr="00B44059">
              <w:rPr>
                <w:sz w:val="17"/>
                <w:szCs w:val="17"/>
                <w:rtl/>
              </w:rPr>
              <w:t xml:space="preserve"> 0</w:t>
            </w:r>
          </w:p>
        </w:tc>
        <w:tc>
          <w:tcPr>
            <w:tcW w:w="945" w:type="dxa"/>
            <w:vAlign w:val="bottom"/>
          </w:tcPr>
          <w:p w14:paraId="4C7A133F" w14:textId="77777777" w:rsidR="004D3E7A" w:rsidRPr="001831A9" w:rsidRDefault="00B44059" w:rsidP="007C54B1">
            <w:pPr>
              <w:pStyle w:val="-0"/>
              <w:rPr>
                <w:sz w:val="17"/>
                <w:szCs w:val="17"/>
                <w:rtl/>
              </w:rPr>
            </w:pPr>
            <w:r w:rsidRPr="00B44059">
              <w:rPr>
                <w:sz w:val="17"/>
                <w:szCs w:val="17"/>
                <w:rtl/>
              </w:rPr>
              <w:t xml:space="preserve"> 0</w:t>
            </w:r>
          </w:p>
        </w:tc>
        <w:tc>
          <w:tcPr>
            <w:tcW w:w="747" w:type="dxa"/>
            <w:vAlign w:val="bottom"/>
          </w:tcPr>
          <w:p w14:paraId="02414776" w14:textId="77777777" w:rsidR="004D3E7A" w:rsidRPr="001831A9" w:rsidRDefault="00B44059" w:rsidP="007C54B1">
            <w:pPr>
              <w:pStyle w:val="-0"/>
              <w:rPr>
                <w:sz w:val="17"/>
                <w:szCs w:val="17"/>
                <w:rtl/>
              </w:rPr>
            </w:pPr>
            <w:r w:rsidRPr="00B44059">
              <w:rPr>
                <w:sz w:val="17"/>
                <w:szCs w:val="17"/>
                <w:rtl/>
              </w:rPr>
              <w:t xml:space="preserve"> 0</w:t>
            </w:r>
          </w:p>
        </w:tc>
        <w:tc>
          <w:tcPr>
            <w:tcW w:w="677" w:type="dxa"/>
            <w:vAlign w:val="bottom"/>
          </w:tcPr>
          <w:p w14:paraId="1D5F18BD" w14:textId="77777777" w:rsidR="004D3E7A" w:rsidRPr="001831A9" w:rsidRDefault="00B44059" w:rsidP="007C54B1">
            <w:pPr>
              <w:pStyle w:val="-0"/>
              <w:rPr>
                <w:sz w:val="17"/>
                <w:szCs w:val="17"/>
                <w:rtl/>
              </w:rPr>
            </w:pPr>
            <w:r w:rsidRPr="00B44059">
              <w:rPr>
                <w:sz w:val="17"/>
                <w:szCs w:val="17"/>
                <w:rtl/>
              </w:rPr>
              <w:t xml:space="preserve"> 0</w:t>
            </w:r>
          </w:p>
        </w:tc>
      </w:tr>
      <w:tr w:rsidR="00F143F0" w:rsidRPr="00543C25" w14:paraId="3036632D" w14:textId="77777777" w:rsidTr="003D5632">
        <w:tc>
          <w:tcPr>
            <w:tcW w:w="993" w:type="dxa"/>
          </w:tcPr>
          <w:p w14:paraId="410D760A" w14:textId="77777777" w:rsidR="004D3E7A" w:rsidRPr="001831A9" w:rsidRDefault="004D3E7A" w:rsidP="007C54B1">
            <w:pPr>
              <w:pStyle w:val="-0"/>
              <w:rPr>
                <w:sz w:val="17"/>
                <w:szCs w:val="17"/>
                <w:rtl/>
              </w:rPr>
            </w:pPr>
          </w:p>
        </w:tc>
        <w:tc>
          <w:tcPr>
            <w:tcW w:w="4237" w:type="dxa"/>
            <w:vAlign w:val="bottom"/>
          </w:tcPr>
          <w:p w14:paraId="3C762EDB" w14:textId="77777777" w:rsidR="004D3E7A" w:rsidRPr="001831A9" w:rsidRDefault="00B44059" w:rsidP="007C54B1">
            <w:pPr>
              <w:pStyle w:val="-0"/>
              <w:rPr>
                <w:sz w:val="17"/>
                <w:szCs w:val="17"/>
                <w:rtl/>
              </w:rPr>
            </w:pPr>
            <w:r w:rsidRPr="00B44059">
              <w:rPr>
                <w:sz w:val="17"/>
                <w:szCs w:val="17"/>
                <w:rtl/>
              </w:rPr>
              <w:t>אופציות מחוץ לכסף נטו (במונחי נכס בסיס)</w:t>
            </w:r>
            <w:r w:rsidRPr="00B44059">
              <w:rPr>
                <w:b/>
                <w:sz w:val="17"/>
                <w:szCs w:val="17"/>
                <w:vertAlign w:val="superscript"/>
                <w:rtl/>
              </w:rPr>
              <w:t>[10]</w:t>
            </w:r>
          </w:p>
        </w:tc>
        <w:tc>
          <w:tcPr>
            <w:tcW w:w="747" w:type="dxa"/>
            <w:vAlign w:val="bottom"/>
          </w:tcPr>
          <w:p w14:paraId="1CF05D81" w14:textId="77777777" w:rsidR="00F32A2A" w:rsidRDefault="00B44059">
            <w:pPr>
              <w:pStyle w:val="-0"/>
              <w:pBdr>
                <w:bottom w:val="single" w:sz="4" w:space="1" w:color="auto"/>
              </w:pBdr>
              <w:rPr>
                <w:sz w:val="17"/>
                <w:szCs w:val="17"/>
                <w:rtl/>
              </w:rPr>
            </w:pPr>
            <w:r w:rsidRPr="00B44059">
              <w:rPr>
                <w:sz w:val="17"/>
                <w:szCs w:val="17"/>
                <w:rtl/>
              </w:rPr>
              <w:t xml:space="preserve"> 0</w:t>
            </w:r>
          </w:p>
        </w:tc>
        <w:tc>
          <w:tcPr>
            <w:tcW w:w="920" w:type="dxa"/>
            <w:vAlign w:val="bottom"/>
          </w:tcPr>
          <w:p w14:paraId="4C3FDE73" w14:textId="77777777" w:rsidR="00F32A2A" w:rsidRDefault="00B44059">
            <w:pPr>
              <w:pStyle w:val="-0"/>
              <w:pBdr>
                <w:bottom w:val="single" w:sz="4" w:space="1" w:color="auto"/>
              </w:pBdr>
              <w:rPr>
                <w:sz w:val="17"/>
                <w:szCs w:val="17"/>
                <w:rtl/>
              </w:rPr>
            </w:pPr>
            <w:r w:rsidRPr="00B44059">
              <w:rPr>
                <w:sz w:val="17"/>
                <w:szCs w:val="17"/>
                <w:rtl/>
              </w:rPr>
              <w:t xml:space="preserve"> 0</w:t>
            </w:r>
          </w:p>
        </w:tc>
        <w:tc>
          <w:tcPr>
            <w:tcW w:w="945" w:type="dxa"/>
            <w:vAlign w:val="bottom"/>
          </w:tcPr>
          <w:p w14:paraId="4945D1A5" w14:textId="77777777" w:rsidR="00F32A2A" w:rsidRDefault="00B44059">
            <w:pPr>
              <w:pStyle w:val="-0"/>
              <w:pBdr>
                <w:bottom w:val="single" w:sz="4" w:space="1" w:color="auto"/>
              </w:pBdr>
              <w:rPr>
                <w:sz w:val="17"/>
                <w:szCs w:val="17"/>
                <w:rtl/>
              </w:rPr>
            </w:pPr>
            <w:r w:rsidRPr="00B44059">
              <w:rPr>
                <w:sz w:val="17"/>
                <w:szCs w:val="17"/>
                <w:rtl/>
              </w:rPr>
              <w:t xml:space="preserve"> 0</w:t>
            </w:r>
          </w:p>
        </w:tc>
        <w:tc>
          <w:tcPr>
            <w:tcW w:w="945" w:type="dxa"/>
            <w:vAlign w:val="bottom"/>
          </w:tcPr>
          <w:p w14:paraId="1688880D" w14:textId="77777777" w:rsidR="00F32A2A" w:rsidRDefault="00B44059">
            <w:pPr>
              <w:pStyle w:val="-0"/>
              <w:pBdr>
                <w:bottom w:val="single" w:sz="4" w:space="1" w:color="auto"/>
              </w:pBdr>
              <w:rPr>
                <w:sz w:val="17"/>
                <w:szCs w:val="17"/>
                <w:rtl/>
              </w:rPr>
            </w:pPr>
            <w:r w:rsidRPr="00B44059">
              <w:rPr>
                <w:sz w:val="17"/>
                <w:szCs w:val="17"/>
                <w:rtl/>
              </w:rPr>
              <w:t xml:space="preserve"> 0</w:t>
            </w:r>
          </w:p>
        </w:tc>
        <w:tc>
          <w:tcPr>
            <w:tcW w:w="747" w:type="dxa"/>
            <w:vAlign w:val="bottom"/>
          </w:tcPr>
          <w:p w14:paraId="0ED81DC9" w14:textId="77777777" w:rsidR="00F32A2A" w:rsidRDefault="00B44059">
            <w:pPr>
              <w:pStyle w:val="-0"/>
              <w:pBdr>
                <w:bottom w:val="single" w:sz="4" w:space="1" w:color="auto"/>
              </w:pBdr>
              <w:rPr>
                <w:sz w:val="17"/>
                <w:szCs w:val="17"/>
                <w:rtl/>
              </w:rPr>
            </w:pPr>
            <w:r w:rsidRPr="00B44059">
              <w:rPr>
                <w:sz w:val="17"/>
                <w:szCs w:val="17"/>
                <w:rtl/>
              </w:rPr>
              <w:t xml:space="preserve"> 0</w:t>
            </w:r>
          </w:p>
        </w:tc>
        <w:tc>
          <w:tcPr>
            <w:tcW w:w="677" w:type="dxa"/>
            <w:vAlign w:val="bottom"/>
          </w:tcPr>
          <w:p w14:paraId="13FB714D" w14:textId="77777777" w:rsidR="00F32A2A" w:rsidRDefault="00B44059">
            <w:pPr>
              <w:pStyle w:val="-0"/>
              <w:pBdr>
                <w:bottom w:val="single" w:sz="4" w:space="1" w:color="auto"/>
              </w:pBdr>
              <w:rPr>
                <w:sz w:val="17"/>
                <w:szCs w:val="17"/>
                <w:rtl/>
              </w:rPr>
            </w:pPr>
            <w:r w:rsidRPr="00B44059">
              <w:rPr>
                <w:sz w:val="17"/>
                <w:szCs w:val="17"/>
                <w:rtl/>
              </w:rPr>
              <w:t xml:space="preserve"> 0</w:t>
            </w:r>
          </w:p>
        </w:tc>
      </w:tr>
      <w:tr w:rsidR="00F143F0" w:rsidRPr="00543C25" w14:paraId="40A4D58D" w14:textId="77777777" w:rsidTr="003D5632">
        <w:tc>
          <w:tcPr>
            <w:tcW w:w="993" w:type="dxa"/>
          </w:tcPr>
          <w:p w14:paraId="318784C6" w14:textId="77777777" w:rsidR="004D3E7A" w:rsidRPr="001831A9" w:rsidRDefault="004D3E7A" w:rsidP="007C54B1">
            <w:pPr>
              <w:pStyle w:val="-b"/>
              <w:rPr>
                <w:sz w:val="17"/>
                <w:szCs w:val="17"/>
                <w:rtl/>
              </w:rPr>
            </w:pPr>
          </w:p>
        </w:tc>
        <w:tc>
          <w:tcPr>
            <w:tcW w:w="4237" w:type="dxa"/>
            <w:vAlign w:val="bottom"/>
          </w:tcPr>
          <w:p w14:paraId="36FD6816" w14:textId="77777777" w:rsidR="004D3E7A" w:rsidRPr="001831A9" w:rsidRDefault="00B44059" w:rsidP="007C54B1">
            <w:pPr>
              <w:pStyle w:val="-b"/>
              <w:rPr>
                <w:sz w:val="17"/>
                <w:szCs w:val="17"/>
              </w:rPr>
            </w:pPr>
            <w:r w:rsidRPr="00B44059">
              <w:rPr>
                <w:rFonts w:hint="eastAsia"/>
                <w:sz w:val="17"/>
                <w:szCs w:val="17"/>
                <w:rtl/>
              </w:rPr>
              <w:t>סך</w:t>
            </w:r>
            <w:r w:rsidRPr="00B44059">
              <w:rPr>
                <w:sz w:val="17"/>
                <w:szCs w:val="17"/>
                <w:rtl/>
              </w:rPr>
              <w:t xml:space="preserve"> </w:t>
            </w:r>
            <w:r w:rsidRPr="00B44059">
              <w:rPr>
                <w:rFonts w:hint="eastAsia"/>
                <w:sz w:val="17"/>
                <w:szCs w:val="17"/>
                <w:rtl/>
              </w:rPr>
              <w:t>הכל</w:t>
            </w:r>
            <w:r w:rsidRPr="00B44059">
              <w:rPr>
                <w:sz w:val="17"/>
                <w:szCs w:val="17"/>
                <w:rtl/>
              </w:rPr>
              <w:t xml:space="preserve"> כללי</w:t>
            </w:r>
          </w:p>
        </w:tc>
        <w:tc>
          <w:tcPr>
            <w:tcW w:w="747" w:type="dxa"/>
            <w:vAlign w:val="bottom"/>
          </w:tcPr>
          <w:p w14:paraId="328EEAC3" w14:textId="77777777" w:rsidR="00F32A2A" w:rsidRDefault="00B44059">
            <w:pPr>
              <w:pStyle w:val="-0"/>
              <w:pBdr>
                <w:bottom w:val="double" w:sz="4" w:space="1" w:color="auto"/>
              </w:pBdr>
              <w:rPr>
                <w:b/>
                <w:bCs/>
                <w:sz w:val="17"/>
                <w:szCs w:val="17"/>
                <w:rtl/>
              </w:rPr>
            </w:pPr>
            <w:r w:rsidRPr="00B44059">
              <w:rPr>
                <w:b/>
                <w:bCs/>
                <w:sz w:val="17"/>
                <w:szCs w:val="17"/>
                <w:rtl/>
              </w:rPr>
              <w:t xml:space="preserve"> 0</w:t>
            </w:r>
          </w:p>
        </w:tc>
        <w:tc>
          <w:tcPr>
            <w:tcW w:w="920" w:type="dxa"/>
            <w:vAlign w:val="bottom"/>
          </w:tcPr>
          <w:p w14:paraId="2FD0FB5B" w14:textId="77777777" w:rsidR="00F32A2A" w:rsidRDefault="00B44059">
            <w:pPr>
              <w:pStyle w:val="-0"/>
              <w:pBdr>
                <w:bottom w:val="double" w:sz="4" w:space="1" w:color="auto"/>
              </w:pBdr>
              <w:rPr>
                <w:b/>
                <w:bCs/>
                <w:sz w:val="17"/>
                <w:szCs w:val="17"/>
                <w:rtl/>
              </w:rPr>
            </w:pPr>
            <w:r w:rsidRPr="00B44059">
              <w:rPr>
                <w:b/>
                <w:bCs/>
                <w:sz w:val="17"/>
                <w:szCs w:val="17"/>
                <w:rtl/>
              </w:rPr>
              <w:t xml:space="preserve"> 0</w:t>
            </w:r>
          </w:p>
        </w:tc>
        <w:tc>
          <w:tcPr>
            <w:tcW w:w="945" w:type="dxa"/>
            <w:vAlign w:val="bottom"/>
          </w:tcPr>
          <w:p w14:paraId="7F479497" w14:textId="77777777" w:rsidR="00F32A2A" w:rsidRDefault="00B44059">
            <w:pPr>
              <w:pStyle w:val="-0"/>
              <w:pBdr>
                <w:bottom w:val="double" w:sz="4" w:space="1" w:color="auto"/>
              </w:pBdr>
              <w:rPr>
                <w:b/>
                <w:bCs/>
                <w:sz w:val="17"/>
                <w:szCs w:val="17"/>
                <w:rtl/>
              </w:rPr>
            </w:pPr>
            <w:r w:rsidRPr="00B44059">
              <w:rPr>
                <w:b/>
                <w:bCs/>
                <w:sz w:val="17"/>
                <w:szCs w:val="17"/>
                <w:rtl/>
              </w:rPr>
              <w:t xml:space="preserve"> 0</w:t>
            </w:r>
          </w:p>
        </w:tc>
        <w:tc>
          <w:tcPr>
            <w:tcW w:w="945" w:type="dxa"/>
            <w:vAlign w:val="bottom"/>
          </w:tcPr>
          <w:p w14:paraId="781C7072" w14:textId="77777777" w:rsidR="00F32A2A" w:rsidRDefault="00B44059">
            <w:pPr>
              <w:pStyle w:val="-0"/>
              <w:pBdr>
                <w:bottom w:val="double" w:sz="4" w:space="1" w:color="auto"/>
              </w:pBdr>
              <w:rPr>
                <w:b/>
                <w:bCs/>
                <w:sz w:val="17"/>
                <w:szCs w:val="17"/>
                <w:rtl/>
              </w:rPr>
            </w:pPr>
            <w:r w:rsidRPr="00B44059">
              <w:rPr>
                <w:b/>
                <w:bCs/>
                <w:sz w:val="17"/>
                <w:szCs w:val="17"/>
                <w:rtl/>
              </w:rPr>
              <w:t xml:space="preserve"> 0</w:t>
            </w:r>
          </w:p>
        </w:tc>
        <w:tc>
          <w:tcPr>
            <w:tcW w:w="747" w:type="dxa"/>
            <w:vAlign w:val="bottom"/>
          </w:tcPr>
          <w:p w14:paraId="7612AE89" w14:textId="77777777" w:rsidR="00F32A2A" w:rsidRDefault="00B44059">
            <w:pPr>
              <w:pStyle w:val="-0"/>
              <w:pBdr>
                <w:bottom w:val="double" w:sz="4" w:space="1" w:color="auto"/>
              </w:pBdr>
              <w:rPr>
                <w:b/>
                <w:bCs/>
                <w:sz w:val="17"/>
                <w:szCs w:val="17"/>
                <w:rtl/>
              </w:rPr>
            </w:pPr>
            <w:r w:rsidRPr="00B44059">
              <w:rPr>
                <w:b/>
                <w:bCs/>
                <w:sz w:val="17"/>
                <w:szCs w:val="17"/>
                <w:rtl/>
              </w:rPr>
              <w:t xml:space="preserve"> 0</w:t>
            </w:r>
          </w:p>
        </w:tc>
        <w:tc>
          <w:tcPr>
            <w:tcW w:w="677" w:type="dxa"/>
            <w:vAlign w:val="bottom"/>
          </w:tcPr>
          <w:p w14:paraId="45BEB7FA" w14:textId="77777777" w:rsidR="00F32A2A" w:rsidRDefault="00B44059">
            <w:pPr>
              <w:pStyle w:val="-0"/>
              <w:pBdr>
                <w:bottom w:val="double" w:sz="4" w:space="1" w:color="auto"/>
              </w:pBdr>
              <w:rPr>
                <w:b/>
                <w:bCs/>
                <w:sz w:val="17"/>
                <w:szCs w:val="17"/>
                <w:rtl/>
              </w:rPr>
            </w:pPr>
            <w:r w:rsidRPr="00B44059">
              <w:rPr>
                <w:b/>
                <w:bCs/>
                <w:sz w:val="17"/>
                <w:szCs w:val="17"/>
                <w:rtl/>
              </w:rPr>
              <w:t xml:space="preserve"> 0</w:t>
            </w:r>
          </w:p>
        </w:tc>
      </w:tr>
      <w:tr w:rsidR="00F143F0" w:rsidRPr="004A2E0A" w14:paraId="34DA8CF3" w14:textId="77777777" w:rsidTr="003D5632">
        <w:trPr>
          <w:trHeight w:val="63"/>
        </w:trPr>
        <w:tc>
          <w:tcPr>
            <w:tcW w:w="993" w:type="dxa"/>
          </w:tcPr>
          <w:p w14:paraId="0EA15300" w14:textId="77777777" w:rsidR="00080038" w:rsidRDefault="00080038">
            <w:pPr>
              <w:pStyle w:val="-0"/>
              <w:bidi w:val="0"/>
              <w:spacing w:line="20" w:lineRule="exact"/>
              <w:ind w:left="142" w:hanging="142"/>
              <w:jc w:val="both"/>
              <w:rPr>
                <w:sz w:val="17"/>
                <w:szCs w:val="17"/>
                <w:rtl/>
              </w:rPr>
            </w:pPr>
          </w:p>
        </w:tc>
        <w:tc>
          <w:tcPr>
            <w:tcW w:w="4237" w:type="dxa"/>
            <w:vAlign w:val="bottom"/>
          </w:tcPr>
          <w:p w14:paraId="5DF9D322" w14:textId="77777777" w:rsidR="00080038" w:rsidRDefault="00080038">
            <w:pPr>
              <w:pStyle w:val="-0"/>
              <w:bidi w:val="0"/>
              <w:spacing w:line="20" w:lineRule="exact"/>
              <w:ind w:left="142" w:hanging="142"/>
              <w:jc w:val="both"/>
              <w:rPr>
                <w:sz w:val="17"/>
                <w:szCs w:val="17"/>
                <w:rtl/>
              </w:rPr>
            </w:pPr>
          </w:p>
        </w:tc>
        <w:tc>
          <w:tcPr>
            <w:tcW w:w="747" w:type="dxa"/>
            <w:vAlign w:val="bottom"/>
          </w:tcPr>
          <w:p w14:paraId="542598AA" w14:textId="77777777" w:rsidR="00F32A2A" w:rsidRDefault="00F32A2A">
            <w:pPr>
              <w:pStyle w:val="-0"/>
              <w:bidi w:val="0"/>
              <w:spacing w:line="20" w:lineRule="exact"/>
              <w:ind w:left="142" w:hanging="142"/>
              <w:jc w:val="both"/>
              <w:rPr>
                <w:sz w:val="17"/>
                <w:szCs w:val="17"/>
                <w:rtl/>
              </w:rPr>
            </w:pPr>
          </w:p>
        </w:tc>
        <w:tc>
          <w:tcPr>
            <w:tcW w:w="920" w:type="dxa"/>
            <w:vAlign w:val="bottom"/>
          </w:tcPr>
          <w:p w14:paraId="415E9F61" w14:textId="77777777" w:rsidR="00F32A2A" w:rsidRDefault="00F32A2A">
            <w:pPr>
              <w:pStyle w:val="-0"/>
              <w:bidi w:val="0"/>
              <w:spacing w:line="20" w:lineRule="exact"/>
              <w:ind w:left="142" w:hanging="142"/>
              <w:jc w:val="both"/>
              <w:rPr>
                <w:sz w:val="17"/>
                <w:szCs w:val="17"/>
                <w:rtl/>
              </w:rPr>
            </w:pPr>
          </w:p>
        </w:tc>
        <w:tc>
          <w:tcPr>
            <w:tcW w:w="945" w:type="dxa"/>
            <w:vAlign w:val="bottom"/>
          </w:tcPr>
          <w:p w14:paraId="66151C1C" w14:textId="77777777" w:rsidR="00F32A2A" w:rsidRDefault="00F32A2A">
            <w:pPr>
              <w:pStyle w:val="-0"/>
              <w:bidi w:val="0"/>
              <w:spacing w:line="20" w:lineRule="exact"/>
              <w:ind w:left="142" w:hanging="142"/>
              <w:jc w:val="both"/>
              <w:rPr>
                <w:sz w:val="17"/>
                <w:szCs w:val="17"/>
                <w:rtl/>
              </w:rPr>
            </w:pPr>
          </w:p>
        </w:tc>
        <w:tc>
          <w:tcPr>
            <w:tcW w:w="945" w:type="dxa"/>
            <w:vAlign w:val="bottom"/>
          </w:tcPr>
          <w:p w14:paraId="52E45023" w14:textId="77777777" w:rsidR="00F32A2A" w:rsidRDefault="00F32A2A">
            <w:pPr>
              <w:pStyle w:val="-0"/>
              <w:bidi w:val="0"/>
              <w:spacing w:line="20" w:lineRule="exact"/>
              <w:ind w:left="142" w:hanging="142"/>
              <w:jc w:val="both"/>
              <w:rPr>
                <w:sz w:val="17"/>
                <w:szCs w:val="17"/>
                <w:rtl/>
              </w:rPr>
            </w:pPr>
          </w:p>
        </w:tc>
        <w:tc>
          <w:tcPr>
            <w:tcW w:w="747" w:type="dxa"/>
            <w:vAlign w:val="bottom"/>
          </w:tcPr>
          <w:p w14:paraId="1BE3331F" w14:textId="77777777" w:rsidR="00F32A2A" w:rsidRDefault="00F32A2A">
            <w:pPr>
              <w:pStyle w:val="-0"/>
              <w:bidi w:val="0"/>
              <w:spacing w:line="20" w:lineRule="exact"/>
              <w:ind w:left="142" w:hanging="142"/>
              <w:jc w:val="both"/>
              <w:rPr>
                <w:sz w:val="17"/>
                <w:szCs w:val="17"/>
                <w:rtl/>
              </w:rPr>
            </w:pPr>
          </w:p>
        </w:tc>
        <w:tc>
          <w:tcPr>
            <w:tcW w:w="677" w:type="dxa"/>
            <w:vAlign w:val="bottom"/>
          </w:tcPr>
          <w:p w14:paraId="762CEF05" w14:textId="77777777" w:rsidR="00F32A2A" w:rsidRDefault="00F32A2A">
            <w:pPr>
              <w:pStyle w:val="-0"/>
              <w:bidi w:val="0"/>
              <w:spacing w:line="20" w:lineRule="exact"/>
              <w:ind w:left="142" w:hanging="142"/>
              <w:jc w:val="both"/>
              <w:rPr>
                <w:sz w:val="17"/>
                <w:szCs w:val="17"/>
                <w:rtl/>
              </w:rPr>
            </w:pPr>
          </w:p>
        </w:tc>
      </w:tr>
      <w:tr w:rsidR="00F143F0" w:rsidRPr="00543C25" w14:paraId="6D821D5B" w14:textId="77777777" w:rsidTr="003D5632">
        <w:tc>
          <w:tcPr>
            <w:tcW w:w="993" w:type="dxa"/>
          </w:tcPr>
          <w:p w14:paraId="3F5E231D" w14:textId="77777777" w:rsidR="004D3E7A" w:rsidRPr="001831A9" w:rsidRDefault="004D3E7A" w:rsidP="007C54B1">
            <w:pPr>
              <w:jc w:val="left"/>
              <w:rPr>
                <w:sz w:val="17"/>
                <w:szCs w:val="17"/>
                <w:rtl/>
              </w:rPr>
            </w:pPr>
          </w:p>
        </w:tc>
        <w:tc>
          <w:tcPr>
            <w:tcW w:w="4237" w:type="dxa"/>
            <w:vAlign w:val="bottom"/>
          </w:tcPr>
          <w:p w14:paraId="1975EB66" w14:textId="77777777" w:rsidR="004D3E7A" w:rsidRPr="001831A9" w:rsidRDefault="00B44059" w:rsidP="007C54B1">
            <w:pPr>
              <w:jc w:val="left"/>
              <w:rPr>
                <w:sz w:val="17"/>
                <w:szCs w:val="17"/>
                <w:rtl/>
              </w:rPr>
            </w:pPr>
            <w:r w:rsidRPr="00B44059">
              <w:rPr>
                <w:sz w:val="17"/>
                <w:szCs w:val="17"/>
                <w:rtl/>
              </w:rPr>
              <w:t>אופציות בכסף נטו (סכום נקוב מהוון)</w:t>
            </w:r>
          </w:p>
        </w:tc>
        <w:tc>
          <w:tcPr>
            <w:tcW w:w="747" w:type="dxa"/>
            <w:vAlign w:val="bottom"/>
          </w:tcPr>
          <w:p w14:paraId="5BD4760E" w14:textId="77777777" w:rsidR="00F32A2A" w:rsidRDefault="00B44059">
            <w:pPr>
              <w:pStyle w:val="-0"/>
              <w:rPr>
                <w:sz w:val="17"/>
                <w:szCs w:val="17"/>
                <w:rtl/>
              </w:rPr>
            </w:pPr>
            <w:r w:rsidRPr="00B44059">
              <w:rPr>
                <w:sz w:val="17"/>
                <w:szCs w:val="17"/>
                <w:rtl/>
              </w:rPr>
              <w:t xml:space="preserve"> 0</w:t>
            </w:r>
          </w:p>
        </w:tc>
        <w:tc>
          <w:tcPr>
            <w:tcW w:w="920" w:type="dxa"/>
            <w:vAlign w:val="bottom"/>
          </w:tcPr>
          <w:p w14:paraId="00C1D44D" w14:textId="77777777" w:rsidR="00F32A2A" w:rsidRDefault="00B44059">
            <w:pPr>
              <w:pStyle w:val="-0"/>
              <w:rPr>
                <w:sz w:val="17"/>
                <w:szCs w:val="17"/>
                <w:rtl/>
              </w:rPr>
            </w:pPr>
            <w:r w:rsidRPr="00B44059">
              <w:rPr>
                <w:sz w:val="17"/>
                <w:szCs w:val="17"/>
                <w:rtl/>
              </w:rPr>
              <w:t xml:space="preserve"> 0</w:t>
            </w:r>
          </w:p>
        </w:tc>
        <w:tc>
          <w:tcPr>
            <w:tcW w:w="945" w:type="dxa"/>
            <w:vAlign w:val="bottom"/>
          </w:tcPr>
          <w:p w14:paraId="26FA3FF4" w14:textId="77777777" w:rsidR="00F32A2A" w:rsidRDefault="00B44059">
            <w:pPr>
              <w:pStyle w:val="-0"/>
              <w:rPr>
                <w:sz w:val="17"/>
                <w:szCs w:val="17"/>
                <w:rtl/>
              </w:rPr>
            </w:pPr>
            <w:r w:rsidRPr="00B44059">
              <w:rPr>
                <w:sz w:val="17"/>
                <w:szCs w:val="17"/>
                <w:rtl/>
              </w:rPr>
              <w:t xml:space="preserve"> 0</w:t>
            </w:r>
          </w:p>
        </w:tc>
        <w:tc>
          <w:tcPr>
            <w:tcW w:w="945" w:type="dxa"/>
            <w:vAlign w:val="bottom"/>
          </w:tcPr>
          <w:p w14:paraId="69742D09" w14:textId="77777777" w:rsidR="00F32A2A" w:rsidRDefault="00B44059">
            <w:pPr>
              <w:pStyle w:val="-0"/>
              <w:rPr>
                <w:sz w:val="17"/>
                <w:szCs w:val="17"/>
                <w:rtl/>
              </w:rPr>
            </w:pPr>
            <w:r w:rsidRPr="00B44059">
              <w:rPr>
                <w:sz w:val="17"/>
                <w:szCs w:val="17"/>
                <w:rtl/>
              </w:rPr>
              <w:t xml:space="preserve"> 0</w:t>
            </w:r>
          </w:p>
        </w:tc>
        <w:tc>
          <w:tcPr>
            <w:tcW w:w="747" w:type="dxa"/>
            <w:vAlign w:val="bottom"/>
          </w:tcPr>
          <w:p w14:paraId="28F09CDB" w14:textId="77777777" w:rsidR="00F32A2A" w:rsidRDefault="00B44059">
            <w:pPr>
              <w:pStyle w:val="-0"/>
              <w:rPr>
                <w:sz w:val="17"/>
                <w:szCs w:val="17"/>
                <w:rtl/>
              </w:rPr>
            </w:pPr>
            <w:r w:rsidRPr="00B44059">
              <w:rPr>
                <w:sz w:val="17"/>
                <w:szCs w:val="17"/>
                <w:rtl/>
              </w:rPr>
              <w:t xml:space="preserve"> 0</w:t>
            </w:r>
          </w:p>
        </w:tc>
        <w:tc>
          <w:tcPr>
            <w:tcW w:w="677" w:type="dxa"/>
            <w:vAlign w:val="bottom"/>
          </w:tcPr>
          <w:p w14:paraId="31BE52FA" w14:textId="77777777" w:rsidR="00F32A2A" w:rsidRDefault="00B44059">
            <w:pPr>
              <w:pStyle w:val="-0"/>
              <w:rPr>
                <w:sz w:val="17"/>
                <w:szCs w:val="17"/>
                <w:rtl/>
              </w:rPr>
            </w:pPr>
            <w:r w:rsidRPr="00B44059">
              <w:rPr>
                <w:sz w:val="17"/>
                <w:szCs w:val="17"/>
                <w:rtl/>
              </w:rPr>
              <w:t xml:space="preserve"> 0</w:t>
            </w:r>
          </w:p>
        </w:tc>
      </w:tr>
      <w:tr w:rsidR="00F143F0" w:rsidRPr="00543C25" w14:paraId="53288378" w14:textId="77777777" w:rsidTr="003D5632">
        <w:tc>
          <w:tcPr>
            <w:tcW w:w="993" w:type="dxa"/>
          </w:tcPr>
          <w:p w14:paraId="33AD1269" w14:textId="77777777" w:rsidR="004D3E7A" w:rsidRPr="001831A9" w:rsidRDefault="004D3E7A" w:rsidP="007C54B1">
            <w:pPr>
              <w:jc w:val="left"/>
              <w:rPr>
                <w:sz w:val="17"/>
                <w:szCs w:val="17"/>
                <w:rtl/>
              </w:rPr>
            </w:pPr>
          </w:p>
        </w:tc>
        <w:tc>
          <w:tcPr>
            <w:tcW w:w="4237" w:type="dxa"/>
            <w:vAlign w:val="bottom"/>
          </w:tcPr>
          <w:p w14:paraId="11A824C8" w14:textId="77777777" w:rsidR="004D3E7A" w:rsidRPr="001831A9" w:rsidRDefault="00B44059" w:rsidP="007C54B1">
            <w:pPr>
              <w:widowControl w:val="0"/>
              <w:jc w:val="left"/>
              <w:rPr>
                <w:sz w:val="17"/>
                <w:szCs w:val="17"/>
                <w:rtl/>
              </w:rPr>
            </w:pPr>
            <w:r w:rsidRPr="00B44059">
              <w:rPr>
                <w:sz w:val="17"/>
                <w:szCs w:val="17"/>
                <w:rtl/>
              </w:rPr>
              <w:t>אופציות מחוץ לכסף נטו (סכום נקוב מהוון)</w:t>
            </w:r>
          </w:p>
        </w:tc>
        <w:tc>
          <w:tcPr>
            <w:tcW w:w="747" w:type="dxa"/>
            <w:vAlign w:val="bottom"/>
          </w:tcPr>
          <w:p w14:paraId="7A97CFF0" w14:textId="77777777" w:rsidR="00F32A2A" w:rsidRDefault="00B44059">
            <w:pPr>
              <w:pStyle w:val="-12"/>
              <w:pBdr>
                <w:top w:val="none" w:sz="0" w:space="0" w:color="auto"/>
              </w:pBdr>
              <w:rPr>
                <w:sz w:val="17"/>
                <w:szCs w:val="17"/>
                <w:rtl/>
              </w:rPr>
            </w:pPr>
            <w:r w:rsidRPr="00B44059">
              <w:rPr>
                <w:sz w:val="17"/>
                <w:szCs w:val="17"/>
                <w:rtl/>
              </w:rPr>
              <w:t xml:space="preserve"> 0</w:t>
            </w:r>
          </w:p>
        </w:tc>
        <w:tc>
          <w:tcPr>
            <w:tcW w:w="920" w:type="dxa"/>
            <w:vAlign w:val="bottom"/>
          </w:tcPr>
          <w:p w14:paraId="2D112EBD" w14:textId="77777777" w:rsidR="00F32A2A" w:rsidRDefault="00B44059">
            <w:pPr>
              <w:pStyle w:val="-12"/>
              <w:pBdr>
                <w:top w:val="none" w:sz="0" w:space="0" w:color="auto"/>
              </w:pBdr>
              <w:rPr>
                <w:sz w:val="17"/>
                <w:szCs w:val="17"/>
                <w:rtl/>
              </w:rPr>
            </w:pPr>
            <w:r w:rsidRPr="00B44059">
              <w:rPr>
                <w:sz w:val="17"/>
                <w:szCs w:val="17"/>
                <w:rtl/>
              </w:rPr>
              <w:t xml:space="preserve"> 0</w:t>
            </w:r>
          </w:p>
        </w:tc>
        <w:tc>
          <w:tcPr>
            <w:tcW w:w="945" w:type="dxa"/>
            <w:vAlign w:val="bottom"/>
          </w:tcPr>
          <w:p w14:paraId="073AC894" w14:textId="77777777" w:rsidR="00F32A2A" w:rsidRDefault="00B44059">
            <w:pPr>
              <w:pStyle w:val="-12"/>
              <w:pBdr>
                <w:top w:val="none" w:sz="0" w:space="0" w:color="auto"/>
              </w:pBdr>
              <w:rPr>
                <w:sz w:val="17"/>
                <w:szCs w:val="17"/>
                <w:rtl/>
              </w:rPr>
            </w:pPr>
            <w:r w:rsidRPr="00B44059">
              <w:rPr>
                <w:sz w:val="17"/>
                <w:szCs w:val="17"/>
                <w:rtl/>
              </w:rPr>
              <w:t xml:space="preserve"> 0</w:t>
            </w:r>
          </w:p>
        </w:tc>
        <w:tc>
          <w:tcPr>
            <w:tcW w:w="945" w:type="dxa"/>
            <w:vAlign w:val="bottom"/>
          </w:tcPr>
          <w:p w14:paraId="752D86EA" w14:textId="77777777" w:rsidR="00F32A2A" w:rsidRDefault="00B44059">
            <w:pPr>
              <w:pStyle w:val="-12"/>
              <w:pBdr>
                <w:top w:val="none" w:sz="0" w:space="0" w:color="auto"/>
              </w:pBdr>
              <w:rPr>
                <w:sz w:val="17"/>
                <w:szCs w:val="17"/>
                <w:rtl/>
              </w:rPr>
            </w:pPr>
            <w:r w:rsidRPr="00B44059">
              <w:rPr>
                <w:sz w:val="17"/>
                <w:szCs w:val="17"/>
                <w:rtl/>
              </w:rPr>
              <w:t xml:space="preserve"> 0</w:t>
            </w:r>
          </w:p>
        </w:tc>
        <w:tc>
          <w:tcPr>
            <w:tcW w:w="747" w:type="dxa"/>
            <w:vAlign w:val="bottom"/>
          </w:tcPr>
          <w:p w14:paraId="6E9DC534" w14:textId="77777777" w:rsidR="00F32A2A" w:rsidRDefault="00B44059">
            <w:pPr>
              <w:pStyle w:val="-12"/>
              <w:pBdr>
                <w:top w:val="none" w:sz="0" w:space="0" w:color="auto"/>
              </w:pBdr>
              <w:rPr>
                <w:sz w:val="17"/>
                <w:szCs w:val="17"/>
                <w:rtl/>
              </w:rPr>
            </w:pPr>
            <w:r w:rsidRPr="00B44059">
              <w:rPr>
                <w:sz w:val="17"/>
                <w:szCs w:val="17"/>
                <w:rtl/>
              </w:rPr>
              <w:t xml:space="preserve"> 0</w:t>
            </w:r>
          </w:p>
        </w:tc>
        <w:tc>
          <w:tcPr>
            <w:tcW w:w="677" w:type="dxa"/>
            <w:vAlign w:val="bottom"/>
          </w:tcPr>
          <w:p w14:paraId="35A34205" w14:textId="77777777" w:rsidR="00F32A2A" w:rsidRDefault="00B44059">
            <w:pPr>
              <w:pStyle w:val="-12"/>
              <w:pBdr>
                <w:top w:val="none" w:sz="0" w:space="0" w:color="auto"/>
              </w:pBdr>
              <w:rPr>
                <w:sz w:val="17"/>
                <w:szCs w:val="17"/>
                <w:rtl/>
              </w:rPr>
            </w:pPr>
            <w:r w:rsidRPr="00B44059">
              <w:rPr>
                <w:sz w:val="17"/>
                <w:szCs w:val="17"/>
                <w:rtl/>
              </w:rPr>
              <w:t xml:space="preserve"> 0</w:t>
            </w:r>
          </w:p>
        </w:tc>
      </w:tr>
    </w:tbl>
    <w:p w14:paraId="544881A3" w14:textId="77777777" w:rsidR="00F32A2A" w:rsidRDefault="00F32A2A">
      <w:pPr>
        <w:bidi w:val="0"/>
        <w:spacing w:line="60" w:lineRule="exact"/>
        <w:rPr>
          <w:rtl/>
        </w:rPr>
      </w:pPr>
    </w:p>
    <w:tbl>
      <w:tblPr>
        <w:bidiVisual/>
        <w:tblW w:w="10427" w:type="dxa"/>
        <w:tblLayout w:type="fixed"/>
        <w:tblLook w:val="04A0" w:firstRow="1" w:lastRow="0" w:firstColumn="1" w:lastColumn="0" w:noHBand="0" w:noVBand="1"/>
      </w:tblPr>
      <w:tblGrid>
        <w:gridCol w:w="1212"/>
        <w:gridCol w:w="9215"/>
      </w:tblGrid>
      <w:tr w:rsidR="00F143F0" w:rsidRPr="00543C25" w14:paraId="4927BB27" w14:textId="77777777" w:rsidTr="003D5632">
        <w:tc>
          <w:tcPr>
            <w:tcW w:w="1212" w:type="dxa"/>
          </w:tcPr>
          <w:p w14:paraId="7CA22B65" w14:textId="77777777" w:rsidR="00F143F0" w:rsidRPr="001831A9" w:rsidRDefault="00F143F0" w:rsidP="00F143F0">
            <w:pPr>
              <w:jc w:val="left"/>
              <w:rPr>
                <w:sz w:val="17"/>
                <w:szCs w:val="17"/>
                <w:rtl/>
              </w:rPr>
            </w:pPr>
          </w:p>
        </w:tc>
        <w:tc>
          <w:tcPr>
            <w:tcW w:w="9215" w:type="dxa"/>
            <w:vAlign w:val="bottom"/>
          </w:tcPr>
          <w:p w14:paraId="7467B215" w14:textId="77777777" w:rsidR="00F32A2A" w:rsidRDefault="00B44059">
            <w:pPr>
              <w:rPr>
                <w:sz w:val="17"/>
                <w:szCs w:val="17"/>
                <w:rtl/>
              </w:rPr>
            </w:pPr>
            <w:r w:rsidRPr="00CE02F7">
              <w:rPr>
                <w:sz w:val="16"/>
                <w:szCs w:val="16"/>
                <w:rtl/>
              </w:rPr>
              <w:t>(א)</w:t>
            </w:r>
            <w:r w:rsidR="00CD747C">
              <w:rPr>
                <w:rFonts w:hint="cs"/>
                <w:b/>
                <w:bCs/>
                <w:sz w:val="16"/>
                <w:szCs w:val="16"/>
                <w:rtl/>
              </w:rPr>
              <w:t xml:space="preserve"> </w:t>
            </w:r>
            <w:r w:rsidRPr="00B44059">
              <w:rPr>
                <w:sz w:val="16"/>
                <w:szCs w:val="16"/>
                <w:rtl/>
              </w:rPr>
              <w:t>לרבות מכשירים נגזרים שהבסיס שלהם מתייחס לפריט לא כספי.</w:t>
            </w:r>
            <w:r w:rsidRPr="00B44059">
              <w:rPr>
                <w:b/>
                <w:bCs/>
                <w:sz w:val="17"/>
                <w:szCs w:val="17"/>
                <w:rtl/>
              </w:rPr>
              <w:t xml:space="preserve"> </w:t>
            </w:r>
          </w:p>
        </w:tc>
      </w:tr>
    </w:tbl>
    <w:p w14:paraId="144393D3" w14:textId="77777777" w:rsidR="00F32A2A" w:rsidRDefault="00F32A2A">
      <w:pPr>
        <w:bidi w:val="0"/>
        <w:spacing w:line="60" w:lineRule="exact"/>
        <w:rPr>
          <w:rtl/>
        </w:rPr>
      </w:pPr>
    </w:p>
    <w:tbl>
      <w:tblPr>
        <w:bidiVisual/>
        <w:tblW w:w="5000" w:type="pct"/>
        <w:tblLook w:val="04A0" w:firstRow="1" w:lastRow="0" w:firstColumn="1" w:lastColumn="0" w:noHBand="0" w:noVBand="1"/>
      </w:tblPr>
      <w:tblGrid>
        <w:gridCol w:w="993"/>
        <w:gridCol w:w="9214"/>
      </w:tblGrid>
      <w:tr w:rsidR="00600720" w:rsidRPr="00535CC5" w14:paraId="1977CD08" w14:textId="77777777" w:rsidTr="00912661">
        <w:trPr>
          <w:trHeight w:val="259"/>
        </w:trPr>
        <w:tc>
          <w:tcPr>
            <w:tcW w:w="993" w:type="dxa"/>
          </w:tcPr>
          <w:p w14:paraId="7F8AB228" w14:textId="77777777" w:rsidR="00600720" w:rsidRPr="00535CC5" w:rsidRDefault="00600720" w:rsidP="00467018">
            <w:pPr>
              <w:pStyle w:val="-fa"/>
              <w:spacing w:before="0" w:line="360" w:lineRule="auto"/>
              <w:rPr>
                <w:spacing w:val="0"/>
                <w:rtl/>
              </w:rPr>
            </w:pPr>
          </w:p>
        </w:tc>
        <w:tc>
          <w:tcPr>
            <w:tcW w:w="9214" w:type="dxa"/>
          </w:tcPr>
          <w:p w14:paraId="06E1A4B1" w14:textId="77777777" w:rsidR="00F32A2A" w:rsidRDefault="00600720" w:rsidP="00316579">
            <w:pPr>
              <w:pStyle w:val="-8"/>
              <w:spacing w:line="360" w:lineRule="auto"/>
              <w:rPr>
                <w:rtl/>
              </w:rPr>
            </w:pPr>
            <w:r w:rsidRPr="00D9572E">
              <w:rPr>
                <w:rFonts w:eastAsia="Arial Unicode MS"/>
                <w:rtl/>
              </w:rPr>
              <w:t xml:space="preserve">ביאור </w:t>
            </w:r>
            <w:r w:rsidR="00740556">
              <w:rPr>
                <w:rFonts w:eastAsia="Arial Unicode MS" w:hint="cs"/>
                <w:rtl/>
              </w:rPr>
              <w:t>1</w:t>
            </w:r>
            <w:r w:rsidR="00316579">
              <w:rPr>
                <w:rFonts w:eastAsia="Arial Unicode MS" w:hint="cs"/>
                <w:rtl/>
              </w:rPr>
              <w:t>3</w:t>
            </w:r>
            <w:r w:rsidR="00740556" w:rsidRPr="00D9572E">
              <w:rPr>
                <w:rFonts w:eastAsia="Arial Unicode MS"/>
                <w:rtl/>
              </w:rPr>
              <w:t xml:space="preserve">  </w:t>
            </w:r>
            <w:r w:rsidRPr="00D9572E">
              <w:rPr>
                <w:rFonts w:eastAsia="Arial Unicode MS"/>
                <w:rtl/>
              </w:rPr>
              <w:t xml:space="preserve">-  </w:t>
            </w:r>
            <w:r w:rsidR="00740556">
              <w:rPr>
                <w:rFonts w:hint="cs"/>
                <w:rtl/>
              </w:rPr>
              <w:t xml:space="preserve">דוח מאוחד על </w:t>
            </w:r>
            <w:r w:rsidRPr="00D9572E">
              <w:rPr>
                <w:rtl/>
              </w:rPr>
              <w:t>נכסים והתחייבויות לפי בסיסי הצמדה (המשך)</w:t>
            </w:r>
            <w:r w:rsidR="00587112">
              <w:rPr>
                <w:rFonts w:hint="cs"/>
                <w:rtl/>
              </w:rPr>
              <w:t>:</w:t>
            </w:r>
          </w:p>
        </w:tc>
      </w:tr>
    </w:tbl>
    <w:p w14:paraId="24015E43" w14:textId="77777777" w:rsidR="00600720" w:rsidRPr="00535CC5" w:rsidRDefault="00600720" w:rsidP="00600720">
      <w:pPr>
        <w:rPr>
          <w:sz w:val="2"/>
          <w:szCs w:val="2"/>
          <w:rtl/>
        </w:rPr>
      </w:pPr>
    </w:p>
    <w:tbl>
      <w:tblPr>
        <w:bidiVisual/>
        <w:tblW w:w="5000" w:type="pct"/>
        <w:tblLayout w:type="fixed"/>
        <w:tblLook w:val="04A0" w:firstRow="1" w:lastRow="0" w:firstColumn="1" w:lastColumn="0" w:noHBand="0" w:noVBand="1"/>
      </w:tblPr>
      <w:tblGrid>
        <w:gridCol w:w="993"/>
        <w:gridCol w:w="567"/>
        <w:gridCol w:w="3470"/>
        <w:gridCol w:w="661"/>
        <w:gridCol w:w="970"/>
        <w:gridCol w:w="816"/>
        <w:gridCol w:w="1170"/>
        <w:gridCol w:w="851"/>
        <w:gridCol w:w="709"/>
      </w:tblGrid>
      <w:tr w:rsidR="00600720" w:rsidRPr="00535CC5" w14:paraId="7CA6FD2B" w14:textId="77777777" w:rsidTr="00912661">
        <w:trPr>
          <w:trHeight w:val="259"/>
        </w:trPr>
        <w:tc>
          <w:tcPr>
            <w:tcW w:w="993" w:type="dxa"/>
          </w:tcPr>
          <w:p w14:paraId="6389E636" w14:textId="77777777" w:rsidR="00600720" w:rsidRPr="00535CC5" w:rsidRDefault="00600720" w:rsidP="00613CCE">
            <w:pPr>
              <w:pStyle w:val="-0"/>
              <w:spacing w:line="200" w:lineRule="exact"/>
              <w:rPr>
                <w:sz w:val="18"/>
                <w:szCs w:val="18"/>
                <w:rtl/>
              </w:rPr>
            </w:pPr>
          </w:p>
        </w:tc>
        <w:tc>
          <w:tcPr>
            <w:tcW w:w="4037" w:type="dxa"/>
            <w:gridSpan w:val="2"/>
            <w:vAlign w:val="bottom"/>
          </w:tcPr>
          <w:p w14:paraId="3C519676" w14:textId="77777777" w:rsidR="00600720" w:rsidRPr="00535CC5" w:rsidRDefault="00600720" w:rsidP="00613CCE">
            <w:pPr>
              <w:pStyle w:val="-0"/>
              <w:spacing w:line="200" w:lineRule="exact"/>
              <w:rPr>
                <w:sz w:val="18"/>
                <w:szCs w:val="18"/>
                <w:rtl/>
              </w:rPr>
            </w:pPr>
          </w:p>
        </w:tc>
        <w:tc>
          <w:tcPr>
            <w:tcW w:w="5177" w:type="dxa"/>
            <w:gridSpan w:val="6"/>
            <w:vAlign w:val="bottom"/>
          </w:tcPr>
          <w:p w14:paraId="2105F57A" w14:textId="7BA5A18D" w:rsidR="00CF2A74" w:rsidRPr="001F0989" w:rsidRDefault="00600720" w:rsidP="001977FC">
            <w:pPr>
              <w:pStyle w:val="-4"/>
              <w:spacing w:line="200" w:lineRule="exact"/>
              <w:rPr>
                <w:sz w:val="18"/>
                <w:szCs w:val="18"/>
                <w:rtl/>
              </w:rPr>
            </w:pPr>
            <w:r w:rsidRPr="001F0989">
              <w:rPr>
                <w:rFonts w:hint="eastAsia"/>
                <w:sz w:val="18"/>
                <w:szCs w:val="18"/>
                <w:rtl/>
              </w:rPr>
              <w:t>ליום</w:t>
            </w:r>
            <w:r w:rsidRPr="001F0989">
              <w:rPr>
                <w:sz w:val="18"/>
                <w:szCs w:val="18"/>
                <w:rtl/>
              </w:rPr>
              <w:t xml:space="preserve"> 30 ביוני </w:t>
            </w:r>
            <w:r w:rsidR="000506EC" w:rsidRPr="001F0989">
              <w:rPr>
                <w:sz w:val="18"/>
                <w:szCs w:val="18"/>
                <w:rtl/>
              </w:rPr>
              <w:fldChar w:fldCharType="begin"/>
            </w:r>
            <w:r w:rsidR="000506EC" w:rsidRPr="001F0989">
              <w:rPr>
                <w:sz w:val="18"/>
                <w:szCs w:val="18"/>
                <w:rtl/>
              </w:rPr>
              <w:instrText xml:space="preserve"> </w:instrText>
            </w:r>
            <w:r w:rsidR="000506EC" w:rsidRPr="001F0989">
              <w:rPr>
                <w:rFonts w:hint="cs"/>
                <w:sz w:val="18"/>
                <w:szCs w:val="18"/>
                <w:rtl/>
              </w:rPr>
              <w:instrText xml:space="preserve">= </w:instrText>
            </w:r>
            <w:r w:rsidR="000506EC" w:rsidRPr="001F0989">
              <w:rPr>
                <w:rFonts w:hint="cs"/>
                <w:sz w:val="18"/>
                <w:szCs w:val="18"/>
              </w:rPr>
              <w:instrText>CY</w:instrText>
            </w:r>
            <w:r w:rsidR="000506EC" w:rsidRPr="001F0989">
              <w:rPr>
                <w:sz w:val="18"/>
                <w:szCs w:val="18"/>
              </w:rPr>
              <w:instrText>-1</w:instrText>
            </w:r>
            <w:r w:rsidR="000506EC" w:rsidRPr="001F0989">
              <w:rPr>
                <w:rFonts w:hint="cs"/>
                <w:sz w:val="18"/>
                <w:szCs w:val="18"/>
              </w:rPr>
              <w:instrText xml:space="preserve"> \* MERGEFORMAT</w:instrText>
            </w:r>
            <w:r w:rsidR="000506EC" w:rsidRPr="001F0989">
              <w:rPr>
                <w:sz w:val="18"/>
                <w:szCs w:val="18"/>
                <w:rtl/>
              </w:rPr>
              <w:instrText xml:space="preserve"> </w:instrText>
            </w:r>
            <w:r w:rsidR="000506EC" w:rsidRPr="001F0989">
              <w:rPr>
                <w:sz w:val="18"/>
                <w:szCs w:val="18"/>
                <w:rtl/>
              </w:rPr>
              <w:fldChar w:fldCharType="separate"/>
            </w:r>
            <w:r w:rsidR="003A584F">
              <w:rPr>
                <w:noProof/>
                <w:sz w:val="18"/>
                <w:szCs w:val="18"/>
                <w:rtl/>
              </w:rPr>
              <w:t>2023</w:t>
            </w:r>
            <w:r w:rsidR="000506EC" w:rsidRPr="001F0989">
              <w:rPr>
                <w:sz w:val="18"/>
                <w:szCs w:val="18"/>
                <w:rtl/>
              </w:rPr>
              <w:fldChar w:fldCharType="end"/>
            </w:r>
            <w:r w:rsidR="000506EC" w:rsidRPr="001F0989">
              <w:rPr>
                <w:sz w:val="18"/>
                <w:szCs w:val="18"/>
                <w:rtl/>
              </w:rPr>
              <w:t xml:space="preserve"> </w:t>
            </w:r>
            <w:r w:rsidR="00B44059" w:rsidRPr="001F0989">
              <w:rPr>
                <w:b w:val="0"/>
                <w:bCs w:val="0"/>
                <w:sz w:val="18"/>
                <w:szCs w:val="18"/>
                <w:rtl/>
              </w:rPr>
              <w:t xml:space="preserve">(בלתי </w:t>
            </w:r>
            <w:r w:rsidR="00B44059" w:rsidRPr="001F0989">
              <w:rPr>
                <w:rFonts w:hint="eastAsia"/>
                <w:b w:val="0"/>
                <w:bCs w:val="0"/>
                <w:sz w:val="18"/>
                <w:szCs w:val="18"/>
                <w:rtl/>
              </w:rPr>
              <w:t>מבוקר</w:t>
            </w:r>
            <w:r w:rsidR="00B44059" w:rsidRPr="001F0989">
              <w:rPr>
                <w:b w:val="0"/>
                <w:bCs w:val="0"/>
                <w:sz w:val="18"/>
                <w:szCs w:val="18"/>
                <w:rtl/>
              </w:rPr>
              <w:t>)</w:t>
            </w:r>
          </w:p>
        </w:tc>
      </w:tr>
      <w:tr w:rsidR="00600720" w:rsidRPr="00535CC5" w14:paraId="442FFDBC" w14:textId="77777777" w:rsidTr="00912661">
        <w:trPr>
          <w:trHeight w:val="259"/>
        </w:trPr>
        <w:tc>
          <w:tcPr>
            <w:tcW w:w="993" w:type="dxa"/>
          </w:tcPr>
          <w:p w14:paraId="2D4B4F23" w14:textId="77777777" w:rsidR="00600720" w:rsidRPr="00535CC5" w:rsidRDefault="00600720" w:rsidP="00613CCE">
            <w:pPr>
              <w:pStyle w:val="-0"/>
              <w:spacing w:line="200" w:lineRule="exact"/>
              <w:rPr>
                <w:sz w:val="18"/>
                <w:szCs w:val="18"/>
                <w:rtl/>
              </w:rPr>
            </w:pPr>
          </w:p>
        </w:tc>
        <w:tc>
          <w:tcPr>
            <w:tcW w:w="4037" w:type="dxa"/>
            <w:gridSpan w:val="2"/>
            <w:vAlign w:val="bottom"/>
          </w:tcPr>
          <w:p w14:paraId="3D27B693" w14:textId="77777777" w:rsidR="00600720" w:rsidRPr="00535CC5" w:rsidRDefault="00600720" w:rsidP="00613CCE">
            <w:pPr>
              <w:pStyle w:val="-0"/>
              <w:spacing w:line="200" w:lineRule="exact"/>
              <w:rPr>
                <w:sz w:val="18"/>
                <w:szCs w:val="18"/>
                <w:rtl/>
              </w:rPr>
            </w:pPr>
          </w:p>
        </w:tc>
        <w:tc>
          <w:tcPr>
            <w:tcW w:w="1631" w:type="dxa"/>
            <w:gridSpan w:val="2"/>
            <w:vAlign w:val="bottom"/>
          </w:tcPr>
          <w:p w14:paraId="3793FC78" w14:textId="77777777" w:rsidR="00600720" w:rsidRPr="001F0989" w:rsidRDefault="00600720" w:rsidP="00613CCE">
            <w:pPr>
              <w:pStyle w:val="-4"/>
              <w:spacing w:line="200" w:lineRule="exact"/>
              <w:rPr>
                <w:sz w:val="18"/>
                <w:szCs w:val="18"/>
                <w:rtl/>
              </w:rPr>
            </w:pPr>
            <w:r w:rsidRPr="001F0989">
              <w:rPr>
                <w:rFonts w:hint="eastAsia"/>
                <w:sz w:val="18"/>
                <w:szCs w:val="18"/>
                <w:rtl/>
              </w:rPr>
              <w:t>מטבע</w:t>
            </w:r>
            <w:r w:rsidRPr="001F0989">
              <w:rPr>
                <w:sz w:val="18"/>
                <w:szCs w:val="18"/>
                <w:rtl/>
              </w:rPr>
              <w:t xml:space="preserve"> </w:t>
            </w:r>
            <w:r w:rsidRPr="001F0989">
              <w:rPr>
                <w:rFonts w:hint="eastAsia"/>
                <w:sz w:val="18"/>
                <w:szCs w:val="18"/>
                <w:rtl/>
              </w:rPr>
              <w:t>ישראלי</w:t>
            </w:r>
          </w:p>
        </w:tc>
        <w:tc>
          <w:tcPr>
            <w:tcW w:w="1986" w:type="dxa"/>
            <w:gridSpan w:val="2"/>
            <w:vAlign w:val="bottom"/>
          </w:tcPr>
          <w:p w14:paraId="434963FB" w14:textId="77777777" w:rsidR="00600720" w:rsidRPr="001F0989" w:rsidRDefault="00600720" w:rsidP="00613CCE">
            <w:pPr>
              <w:pStyle w:val="-4"/>
              <w:spacing w:line="200" w:lineRule="exact"/>
              <w:rPr>
                <w:sz w:val="18"/>
                <w:szCs w:val="18"/>
                <w:rtl/>
              </w:rPr>
            </w:pPr>
            <w:r w:rsidRPr="001F0989">
              <w:rPr>
                <w:rFonts w:hint="eastAsia"/>
                <w:sz w:val="18"/>
                <w:szCs w:val="18"/>
                <w:rtl/>
              </w:rPr>
              <w:t>מטבע</w:t>
            </w:r>
            <w:r w:rsidRPr="001F0989">
              <w:rPr>
                <w:sz w:val="18"/>
                <w:szCs w:val="18"/>
                <w:rtl/>
              </w:rPr>
              <w:t xml:space="preserve"> </w:t>
            </w:r>
            <w:r w:rsidRPr="001F0989">
              <w:rPr>
                <w:rFonts w:hint="eastAsia"/>
                <w:sz w:val="18"/>
                <w:szCs w:val="18"/>
                <w:rtl/>
              </w:rPr>
              <w:t>חוץ</w:t>
            </w:r>
          </w:p>
          <w:p w14:paraId="718D6C99" w14:textId="77777777" w:rsidR="00600720" w:rsidRPr="001F0989" w:rsidRDefault="00600720" w:rsidP="00613CCE">
            <w:pPr>
              <w:pStyle w:val="-4"/>
              <w:spacing w:line="200" w:lineRule="exact"/>
              <w:rPr>
                <w:sz w:val="18"/>
                <w:szCs w:val="18"/>
                <w:rtl/>
              </w:rPr>
            </w:pPr>
            <w:r w:rsidRPr="001F0989">
              <w:rPr>
                <w:sz w:val="18"/>
                <w:szCs w:val="18"/>
                <w:rtl/>
              </w:rPr>
              <w:t xml:space="preserve">(כולל </w:t>
            </w:r>
            <w:r w:rsidRPr="001F0989">
              <w:rPr>
                <w:rFonts w:hint="eastAsia"/>
                <w:sz w:val="18"/>
                <w:szCs w:val="18"/>
                <w:rtl/>
              </w:rPr>
              <w:t>צמוד</w:t>
            </w:r>
            <w:r w:rsidR="00740556" w:rsidRPr="001F0989">
              <w:rPr>
                <w:rFonts w:hint="cs"/>
                <w:sz w:val="18"/>
                <w:szCs w:val="18"/>
                <w:rtl/>
              </w:rPr>
              <w:t>י</w:t>
            </w:r>
            <w:r w:rsidRPr="001F0989">
              <w:rPr>
                <w:sz w:val="18"/>
                <w:szCs w:val="18"/>
                <w:rtl/>
              </w:rPr>
              <w:t xml:space="preserve"> </w:t>
            </w:r>
            <w:r w:rsidRPr="001F0989">
              <w:rPr>
                <w:rFonts w:hint="eastAsia"/>
                <w:sz w:val="18"/>
                <w:szCs w:val="18"/>
                <w:rtl/>
              </w:rPr>
              <w:t>מטבע</w:t>
            </w:r>
            <w:r w:rsidRPr="001F0989">
              <w:rPr>
                <w:sz w:val="18"/>
                <w:szCs w:val="18"/>
                <w:rtl/>
              </w:rPr>
              <w:t xml:space="preserve"> </w:t>
            </w:r>
            <w:r w:rsidRPr="001F0989">
              <w:rPr>
                <w:rFonts w:hint="eastAsia"/>
                <w:sz w:val="18"/>
                <w:szCs w:val="18"/>
                <w:rtl/>
              </w:rPr>
              <w:t>חוץ</w:t>
            </w:r>
            <w:r w:rsidRPr="001F0989">
              <w:rPr>
                <w:sz w:val="18"/>
                <w:szCs w:val="18"/>
                <w:rtl/>
              </w:rPr>
              <w:t>)</w:t>
            </w:r>
          </w:p>
        </w:tc>
        <w:tc>
          <w:tcPr>
            <w:tcW w:w="851" w:type="dxa"/>
            <w:vAlign w:val="bottom"/>
          </w:tcPr>
          <w:p w14:paraId="598C104F" w14:textId="77777777" w:rsidR="00600720" w:rsidRPr="001F0989" w:rsidRDefault="00600720" w:rsidP="00613CCE">
            <w:pPr>
              <w:spacing w:line="200" w:lineRule="exact"/>
              <w:ind w:left="-144" w:right="-144"/>
              <w:jc w:val="center"/>
              <w:rPr>
                <w:b/>
                <w:bCs/>
                <w:sz w:val="18"/>
                <w:szCs w:val="18"/>
                <w:rtl/>
              </w:rPr>
            </w:pPr>
          </w:p>
        </w:tc>
        <w:tc>
          <w:tcPr>
            <w:tcW w:w="709" w:type="dxa"/>
            <w:vAlign w:val="bottom"/>
          </w:tcPr>
          <w:p w14:paraId="6D5A81BC" w14:textId="77777777" w:rsidR="00600720" w:rsidRPr="001F0989" w:rsidRDefault="00600720" w:rsidP="00613CCE">
            <w:pPr>
              <w:spacing w:line="200" w:lineRule="exact"/>
              <w:jc w:val="center"/>
              <w:rPr>
                <w:b/>
                <w:bCs/>
                <w:sz w:val="18"/>
                <w:szCs w:val="18"/>
                <w:rtl/>
              </w:rPr>
            </w:pPr>
          </w:p>
        </w:tc>
      </w:tr>
      <w:tr w:rsidR="00600720" w:rsidRPr="00535CC5" w14:paraId="2BCEF74A" w14:textId="77777777" w:rsidTr="00912661">
        <w:trPr>
          <w:trHeight w:val="259"/>
        </w:trPr>
        <w:tc>
          <w:tcPr>
            <w:tcW w:w="993" w:type="dxa"/>
          </w:tcPr>
          <w:p w14:paraId="0025F9A1" w14:textId="77777777" w:rsidR="00600720" w:rsidRPr="00535CC5" w:rsidRDefault="00600720" w:rsidP="00613CCE">
            <w:pPr>
              <w:pStyle w:val="-0"/>
              <w:spacing w:line="200" w:lineRule="exact"/>
              <w:rPr>
                <w:sz w:val="18"/>
                <w:szCs w:val="18"/>
                <w:rtl/>
              </w:rPr>
            </w:pPr>
          </w:p>
        </w:tc>
        <w:tc>
          <w:tcPr>
            <w:tcW w:w="4037" w:type="dxa"/>
            <w:gridSpan w:val="2"/>
            <w:vAlign w:val="bottom"/>
          </w:tcPr>
          <w:p w14:paraId="4BE65148" w14:textId="77777777" w:rsidR="00600720" w:rsidRPr="00535CC5" w:rsidRDefault="00600720" w:rsidP="00613CCE">
            <w:pPr>
              <w:pStyle w:val="-0"/>
              <w:spacing w:line="200" w:lineRule="exact"/>
              <w:rPr>
                <w:sz w:val="18"/>
                <w:szCs w:val="18"/>
                <w:rtl/>
              </w:rPr>
            </w:pPr>
          </w:p>
        </w:tc>
        <w:tc>
          <w:tcPr>
            <w:tcW w:w="661" w:type="dxa"/>
            <w:vAlign w:val="bottom"/>
          </w:tcPr>
          <w:p w14:paraId="5DC90F0C" w14:textId="77777777" w:rsidR="00600720" w:rsidRPr="001F0989" w:rsidRDefault="00600720" w:rsidP="00613CCE">
            <w:pPr>
              <w:pBdr>
                <w:bottom w:val="single" w:sz="4" w:space="1" w:color="auto"/>
              </w:pBdr>
              <w:spacing w:line="200" w:lineRule="exact"/>
              <w:jc w:val="center"/>
              <w:rPr>
                <w:b/>
                <w:bCs/>
                <w:sz w:val="18"/>
                <w:szCs w:val="18"/>
                <w:rtl/>
              </w:rPr>
            </w:pPr>
            <w:r w:rsidRPr="001F0989">
              <w:rPr>
                <w:rFonts w:hint="eastAsia"/>
                <w:b/>
                <w:bCs/>
                <w:sz w:val="18"/>
                <w:szCs w:val="18"/>
                <w:rtl/>
              </w:rPr>
              <w:t>לא</w:t>
            </w:r>
          </w:p>
          <w:p w14:paraId="05532A10" w14:textId="77777777" w:rsidR="00600720" w:rsidRPr="001F0989" w:rsidRDefault="00600720" w:rsidP="00613CCE">
            <w:pPr>
              <w:pBdr>
                <w:bottom w:val="single" w:sz="4" w:space="1" w:color="auto"/>
              </w:pBdr>
              <w:spacing w:line="200" w:lineRule="exact"/>
              <w:jc w:val="center"/>
              <w:rPr>
                <w:b/>
                <w:bCs/>
                <w:sz w:val="18"/>
                <w:szCs w:val="18"/>
                <w:rtl/>
              </w:rPr>
            </w:pPr>
            <w:r w:rsidRPr="001F0989">
              <w:rPr>
                <w:rFonts w:hint="eastAsia"/>
                <w:b/>
                <w:bCs/>
                <w:sz w:val="18"/>
                <w:szCs w:val="18"/>
                <w:rtl/>
              </w:rPr>
              <w:t>צמוד</w:t>
            </w:r>
          </w:p>
        </w:tc>
        <w:tc>
          <w:tcPr>
            <w:tcW w:w="970" w:type="dxa"/>
            <w:vAlign w:val="bottom"/>
          </w:tcPr>
          <w:p w14:paraId="62814E19" w14:textId="77777777" w:rsidR="00600720" w:rsidRPr="001F0989" w:rsidRDefault="00600720" w:rsidP="00613CCE">
            <w:pPr>
              <w:pBdr>
                <w:bottom w:val="single" w:sz="4" w:space="1" w:color="auto"/>
              </w:pBdr>
              <w:spacing w:line="200" w:lineRule="exact"/>
              <w:jc w:val="center"/>
              <w:rPr>
                <w:b/>
                <w:bCs/>
                <w:sz w:val="18"/>
                <w:szCs w:val="18"/>
                <w:rtl/>
              </w:rPr>
            </w:pPr>
            <w:r w:rsidRPr="001F0989">
              <w:rPr>
                <w:rFonts w:hint="eastAsia"/>
                <w:b/>
                <w:bCs/>
                <w:sz w:val="18"/>
                <w:szCs w:val="18"/>
                <w:rtl/>
              </w:rPr>
              <w:t>צמוד</w:t>
            </w:r>
            <w:r w:rsidRPr="001F0989">
              <w:rPr>
                <w:b/>
                <w:bCs/>
                <w:sz w:val="18"/>
                <w:szCs w:val="18"/>
                <w:rtl/>
              </w:rPr>
              <w:t xml:space="preserve"> </w:t>
            </w:r>
            <w:r w:rsidRPr="001F0989">
              <w:rPr>
                <w:rFonts w:hint="eastAsia"/>
                <w:b/>
                <w:bCs/>
                <w:sz w:val="18"/>
                <w:szCs w:val="18"/>
                <w:rtl/>
              </w:rPr>
              <w:t>למדד</w:t>
            </w:r>
            <w:r w:rsidR="00740556" w:rsidRPr="001F0989">
              <w:rPr>
                <w:rFonts w:hint="cs"/>
                <w:b/>
                <w:bCs/>
                <w:sz w:val="18"/>
                <w:szCs w:val="18"/>
                <w:rtl/>
              </w:rPr>
              <w:t xml:space="preserve"> המחירים</w:t>
            </w:r>
          </w:p>
        </w:tc>
        <w:tc>
          <w:tcPr>
            <w:tcW w:w="816" w:type="dxa"/>
            <w:vAlign w:val="bottom"/>
          </w:tcPr>
          <w:p w14:paraId="159E0E52" w14:textId="77777777" w:rsidR="00600720" w:rsidRPr="001F0989" w:rsidRDefault="00600720" w:rsidP="00613CCE">
            <w:pPr>
              <w:pBdr>
                <w:bottom w:val="single" w:sz="4" w:space="1" w:color="auto"/>
              </w:pBdr>
              <w:spacing w:line="200" w:lineRule="exact"/>
              <w:jc w:val="center"/>
              <w:rPr>
                <w:b/>
                <w:bCs/>
                <w:sz w:val="18"/>
                <w:szCs w:val="18"/>
                <w:rtl/>
              </w:rPr>
            </w:pPr>
            <w:r w:rsidRPr="001F0989">
              <w:rPr>
                <w:rFonts w:hint="eastAsia"/>
                <w:b/>
                <w:bCs/>
                <w:sz w:val="18"/>
                <w:szCs w:val="18"/>
                <w:rtl/>
              </w:rPr>
              <w:t>דולר</w:t>
            </w:r>
          </w:p>
        </w:tc>
        <w:tc>
          <w:tcPr>
            <w:tcW w:w="1170" w:type="dxa"/>
            <w:vAlign w:val="bottom"/>
          </w:tcPr>
          <w:p w14:paraId="6B980F37" w14:textId="77777777" w:rsidR="00F32A2A" w:rsidRPr="001F0989" w:rsidRDefault="00CF2A74">
            <w:pPr>
              <w:pBdr>
                <w:bottom w:val="single" w:sz="4" w:space="1" w:color="auto"/>
              </w:pBdr>
              <w:spacing w:line="200" w:lineRule="exact"/>
              <w:jc w:val="center"/>
              <w:rPr>
                <w:b/>
                <w:bCs/>
                <w:sz w:val="18"/>
                <w:szCs w:val="18"/>
                <w:rtl/>
              </w:rPr>
            </w:pPr>
            <w:r w:rsidRPr="001F0989">
              <w:rPr>
                <w:rFonts w:hint="eastAsia"/>
                <w:b/>
                <w:bCs/>
                <w:sz w:val="18"/>
                <w:szCs w:val="18"/>
                <w:rtl/>
              </w:rPr>
              <w:t>אחר</w:t>
            </w:r>
          </w:p>
        </w:tc>
        <w:tc>
          <w:tcPr>
            <w:tcW w:w="851" w:type="dxa"/>
            <w:vAlign w:val="bottom"/>
          </w:tcPr>
          <w:p w14:paraId="438CB05C" w14:textId="77777777" w:rsidR="00600720" w:rsidRPr="001F0989" w:rsidRDefault="00740556" w:rsidP="00613CCE">
            <w:pPr>
              <w:pBdr>
                <w:bottom w:val="single" w:sz="4" w:space="1" w:color="auto"/>
              </w:pBdr>
              <w:spacing w:line="200" w:lineRule="exact"/>
              <w:ind w:left="-144" w:right="-144"/>
              <w:jc w:val="center"/>
              <w:rPr>
                <w:b/>
                <w:bCs/>
                <w:sz w:val="18"/>
                <w:szCs w:val="18"/>
                <w:rtl/>
              </w:rPr>
            </w:pPr>
            <w:r w:rsidRPr="001F0989">
              <w:rPr>
                <w:rFonts w:hint="eastAsia"/>
                <w:b/>
                <w:bCs/>
                <w:sz w:val="18"/>
                <w:szCs w:val="18"/>
                <w:rtl/>
              </w:rPr>
              <w:t xml:space="preserve">פריטים </w:t>
            </w:r>
            <w:r w:rsidR="00CF2A74" w:rsidRPr="001F0989">
              <w:rPr>
                <w:rFonts w:hint="eastAsia"/>
                <w:b/>
                <w:bCs/>
                <w:sz w:val="18"/>
                <w:szCs w:val="18"/>
                <w:rtl/>
              </w:rPr>
              <w:t>שאינם</w:t>
            </w:r>
            <w:r w:rsidR="00CF2A74" w:rsidRPr="001F0989">
              <w:rPr>
                <w:b/>
                <w:bCs/>
                <w:sz w:val="18"/>
                <w:szCs w:val="18"/>
                <w:rtl/>
              </w:rPr>
              <w:t xml:space="preserve"> </w:t>
            </w:r>
            <w:r w:rsidR="00CF2A74" w:rsidRPr="001F0989">
              <w:rPr>
                <w:rFonts w:hint="eastAsia"/>
                <w:b/>
                <w:bCs/>
                <w:sz w:val="18"/>
                <w:szCs w:val="18"/>
                <w:rtl/>
              </w:rPr>
              <w:t>כספיים</w:t>
            </w:r>
            <w:r w:rsidR="00CF2A74" w:rsidRPr="001F0989">
              <w:rPr>
                <w:b/>
                <w:bCs/>
                <w:sz w:val="18"/>
                <w:szCs w:val="18"/>
                <w:vertAlign w:val="superscript"/>
                <w:rtl/>
              </w:rPr>
              <w:t>(א)</w:t>
            </w:r>
          </w:p>
        </w:tc>
        <w:tc>
          <w:tcPr>
            <w:tcW w:w="709" w:type="dxa"/>
            <w:vAlign w:val="bottom"/>
          </w:tcPr>
          <w:p w14:paraId="07568B2C" w14:textId="77777777" w:rsidR="00600720" w:rsidRPr="001F0989" w:rsidRDefault="00600720" w:rsidP="00613CCE">
            <w:pPr>
              <w:pBdr>
                <w:bottom w:val="single" w:sz="4" w:space="1" w:color="auto"/>
              </w:pBdr>
              <w:spacing w:line="200" w:lineRule="exact"/>
              <w:jc w:val="center"/>
              <w:rPr>
                <w:b/>
                <w:bCs/>
                <w:sz w:val="18"/>
                <w:szCs w:val="18"/>
                <w:rtl/>
              </w:rPr>
            </w:pPr>
            <w:r w:rsidRPr="001F0989">
              <w:rPr>
                <w:rFonts w:hint="eastAsia"/>
                <w:b/>
                <w:bCs/>
                <w:sz w:val="18"/>
                <w:szCs w:val="18"/>
                <w:rtl/>
              </w:rPr>
              <w:t>סך</w:t>
            </w:r>
          </w:p>
          <w:p w14:paraId="1E25D0FB" w14:textId="77777777" w:rsidR="00600720" w:rsidRPr="001F0989" w:rsidRDefault="00600720" w:rsidP="00613CCE">
            <w:pPr>
              <w:pBdr>
                <w:bottom w:val="single" w:sz="4" w:space="1" w:color="auto"/>
              </w:pBdr>
              <w:spacing w:line="200" w:lineRule="exact"/>
              <w:jc w:val="center"/>
              <w:rPr>
                <w:b/>
                <w:bCs/>
                <w:sz w:val="18"/>
                <w:szCs w:val="18"/>
                <w:rtl/>
              </w:rPr>
            </w:pPr>
            <w:r w:rsidRPr="001F0989">
              <w:rPr>
                <w:rFonts w:hint="eastAsia"/>
                <w:b/>
                <w:bCs/>
                <w:sz w:val="18"/>
                <w:szCs w:val="18"/>
                <w:rtl/>
              </w:rPr>
              <w:t>הכל</w:t>
            </w:r>
          </w:p>
        </w:tc>
      </w:tr>
      <w:tr w:rsidR="00600720" w:rsidRPr="00543C25" w14:paraId="0CA11C96" w14:textId="77777777" w:rsidTr="00912661">
        <w:trPr>
          <w:trHeight w:val="259"/>
        </w:trPr>
        <w:tc>
          <w:tcPr>
            <w:tcW w:w="993" w:type="dxa"/>
          </w:tcPr>
          <w:p w14:paraId="3DF19E03" w14:textId="77777777" w:rsidR="00600720" w:rsidRPr="007B5573" w:rsidRDefault="00600720" w:rsidP="008A0C00">
            <w:pPr>
              <w:pStyle w:val="-0"/>
              <w:rPr>
                <w:b/>
                <w:bCs/>
                <w:sz w:val="18"/>
                <w:szCs w:val="18"/>
                <w:u w:val="single"/>
                <w:rtl/>
              </w:rPr>
            </w:pPr>
          </w:p>
        </w:tc>
        <w:tc>
          <w:tcPr>
            <w:tcW w:w="4037" w:type="dxa"/>
            <w:gridSpan w:val="2"/>
            <w:vAlign w:val="bottom"/>
          </w:tcPr>
          <w:p w14:paraId="7947A18B" w14:textId="77777777" w:rsidR="00600720" w:rsidRPr="005F47BE" w:rsidRDefault="00600720" w:rsidP="008A0C00">
            <w:pPr>
              <w:pStyle w:val="-0"/>
              <w:rPr>
                <w:b/>
                <w:bCs/>
                <w:sz w:val="18"/>
                <w:szCs w:val="18"/>
                <w:u w:val="single"/>
                <w:rtl/>
              </w:rPr>
            </w:pPr>
            <w:r w:rsidRPr="005F47BE">
              <w:rPr>
                <w:b/>
                <w:bCs/>
                <w:sz w:val="18"/>
                <w:szCs w:val="18"/>
                <w:u w:val="single"/>
                <w:rtl/>
              </w:rPr>
              <w:t>נכסים</w:t>
            </w:r>
          </w:p>
        </w:tc>
        <w:tc>
          <w:tcPr>
            <w:tcW w:w="661" w:type="dxa"/>
            <w:vAlign w:val="bottom"/>
          </w:tcPr>
          <w:p w14:paraId="4C0D4423" w14:textId="77777777" w:rsidR="00600720" w:rsidRDefault="00600720" w:rsidP="008A0C00">
            <w:pPr>
              <w:pStyle w:val="-0"/>
              <w:rPr>
                <w:sz w:val="18"/>
                <w:szCs w:val="18"/>
                <w:rtl/>
              </w:rPr>
            </w:pPr>
          </w:p>
        </w:tc>
        <w:tc>
          <w:tcPr>
            <w:tcW w:w="970" w:type="dxa"/>
            <w:vAlign w:val="bottom"/>
          </w:tcPr>
          <w:p w14:paraId="33FBC942" w14:textId="77777777" w:rsidR="00600720" w:rsidRDefault="00600720" w:rsidP="008A0C00">
            <w:pPr>
              <w:pStyle w:val="-0"/>
              <w:rPr>
                <w:sz w:val="18"/>
                <w:szCs w:val="18"/>
                <w:rtl/>
              </w:rPr>
            </w:pPr>
          </w:p>
        </w:tc>
        <w:tc>
          <w:tcPr>
            <w:tcW w:w="816" w:type="dxa"/>
            <w:vAlign w:val="bottom"/>
          </w:tcPr>
          <w:p w14:paraId="5D64BAF2" w14:textId="77777777" w:rsidR="00600720" w:rsidRDefault="00600720" w:rsidP="008A0C00">
            <w:pPr>
              <w:pStyle w:val="-0"/>
              <w:rPr>
                <w:sz w:val="18"/>
                <w:szCs w:val="18"/>
                <w:rtl/>
              </w:rPr>
            </w:pPr>
          </w:p>
        </w:tc>
        <w:tc>
          <w:tcPr>
            <w:tcW w:w="1170" w:type="dxa"/>
            <w:vAlign w:val="bottom"/>
          </w:tcPr>
          <w:p w14:paraId="7C64CB2C" w14:textId="77777777" w:rsidR="00600720" w:rsidRDefault="00600720" w:rsidP="008A0C00">
            <w:pPr>
              <w:pStyle w:val="-0"/>
              <w:rPr>
                <w:sz w:val="18"/>
                <w:szCs w:val="18"/>
                <w:rtl/>
              </w:rPr>
            </w:pPr>
          </w:p>
        </w:tc>
        <w:tc>
          <w:tcPr>
            <w:tcW w:w="851" w:type="dxa"/>
            <w:vAlign w:val="bottom"/>
          </w:tcPr>
          <w:p w14:paraId="41D36174" w14:textId="77777777" w:rsidR="00600720" w:rsidRDefault="00600720" w:rsidP="008A0C00">
            <w:pPr>
              <w:pStyle w:val="-0"/>
              <w:rPr>
                <w:sz w:val="18"/>
                <w:szCs w:val="18"/>
                <w:rtl/>
              </w:rPr>
            </w:pPr>
          </w:p>
        </w:tc>
        <w:tc>
          <w:tcPr>
            <w:tcW w:w="709" w:type="dxa"/>
            <w:vAlign w:val="bottom"/>
          </w:tcPr>
          <w:p w14:paraId="654E6C64" w14:textId="77777777" w:rsidR="00600720" w:rsidRDefault="00600720" w:rsidP="008A0C00">
            <w:pPr>
              <w:pStyle w:val="-0"/>
              <w:rPr>
                <w:sz w:val="18"/>
                <w:szCs w:val="18"/>
                <w:rtl/>
              </w:rPr>
            </w:pPr>
          </w:p>
        </w:tc>
      </w:tr>
      <w:tr w:rsidR="00600720" w:rsidRPr="00543C25" w14:paraId="25AB6E8E" w14:textId="77777777" w:rsidTr="00912661">
        <w:tc>
          <w:tcPr>
            <w:tcW w:w="993" w:type="dxa"/>
          </w:tcPr>
          <w:p w14:paraId="1BD25B52" w14:textId="77777777" w:rsidR="00600720" w:rsidRPr="007B5573" w:rsidRDefault="00600720" w:rsidP="008A0C00">
            <w:pPr>
              <w:pStyle w:val="-0"/>
              <w:rPr>
                <w:sz w:val="18"/>
                <w:szCs w:val="18"/>
                <w:rtl/>
              </w:rPr>
            </w:pPr>
          </w:p>
        </w:tc>
        <w:tc>
          <w:tcPr>
            <w:tcW w:w="4037" w:type="dxa"/>
            <w:gridSpan w:val="2"/>
            <w:vAlign w:val="bottom"/>
          </w:tcPr>
          <w:p w14:paraId="70060E6F" w14:textId="77777777" w:rsidR="00600720" w:rsidRPr="005F47BE" w:rsidRDefault="00600720" w:rsidP="008A0C00">
            <w:pPr>
              <w:pStyle w:val="-0"/>
              <w:rPr>
                <w:sz w:val="18"/>
                <w:szCs w:val="18"/>
                <w:rtl/>
              </w:rPr>
            </w:pPr>
            <w:r w:rsidRPr="005F47BE">
              <w:rPr>
                <w:sz w:val="18"/>
                <w:szCs w:val="18"/>
                <w:rtl/>
              </w:rPr>
              <w:t>מזומנים ופ</w:t>
            </w:r>
            <w:r w:rsidRPr="005F47BE">
              <w:rPr>
                <w:rFonts w:hint="cs"/>
                <w:sz w:val="18"/>
                <w:szCs w:val="18"/>
                <w:rtl/>
              </w:rPr>
              <w:t>י</w:t>
            </w:r>
            <w:r w:rsidRPr="005F47BE">
              <w:rPr>
                <w:sz w:val="18"/>
                <w:szCs w:val="18"/>
                <w:rtl/>
              </w:rPr>
              <w:t>קדונות בבנקים</w:t>
            </w:r>
          </w:p>
        </w:tc>
        <w:tc>
          <w:tcPr>
            <w:tcW w:w="661" w:type="dxa"/>
            <w:vAlign w:val="bottom"/>
          </w:tcPr>
          <w:p w14:paraId="3364BAA0" w14:textId="77777777" w:rsidR="00600720" w:rsidRPr="007B5573" w:rsidRDefault="00600720" w:rsidP="008A0C00">
            <w:pPr>
              <w:pStyle w:val="-3"/>
              <w:rPr>
                <w:sz w:val="18"/>
                <w:szCs w:val="18"/>
                <w:rtl/>
              </w:rPr>
            </w:pPr>
            <w:r w:rsidRPr="007B5573">
              <w:rPr>
                <w:rFonts w:hint="cs"/>
                <w:sz w:val="18"/>
                <w:szCs w:val="18"/>
                <w:rtl/>
              </w:rPr>
              <w:t xml:space="preserve"> 0</w:t>
            </w:r>
          </w:p>
        </w:tc>
        <w:tc>
          <w:tcPr>
            <w:tcW w:w="970" w:type="dxa"/>
            <w:vAlign w:val="bottom"/>
          </w:tcPr>
          <w:p w14:paraId="3A58612B" w14:textId="77777777" w:rsidR="00600720" w:rsidRPr="007B5573" w:rsidRDefault="00600720" w:rsidP="008A0C00">
            <w:pPr>
              <w:pStyle w:val="-3"/>
              <w:rPr>
                <w:sz w:val="18"/>
                <w:szCs w:val="18"/>
                <w:rtl/>
              </w:rPr>
            </w:pPr>
            <w:r w:rsidRPr="007B5573">
              <w:rPr>
                <w:rFonts w:hint="cs"/>
                <w:sz w:val="18"/>
                <w:szCs w:val="18"/>
                <w:rtl/>
              </w:rPr>
              <w:t xml:space="preserve"> 0</w:t>
            </w:r>
          </w:p>
        </w:tc>
        <w:tc>
          <w:tcPr>
            <w:tcW w:w="816" w:type="dxa"/>
            <w:vAlign w:val="bottom"/>
          </w:tcPr>
          <w:p w14:paraId="6B948EAD" w14:textId="77777777" w:rsidR="00600720" w:rsidRPr="007B5573" w:rsidRDefault="00600720" w:rsidP="008A0C00">
            <w:pPr>
              <w:pStyle w:val="-3"/>
              <w:rPr>
                <w:sz w:val="18"/>
                <w:szCs w:val="18"/>
                <w:rtl/>
              </w:rPr>
            </w:pPr>
            <w:r w:rsidRPr="007B5573">
              <w:rPr>
                <w:rFonts w:hint="cs"/>
                <w:sz w:val="18"/>
                <w:szCs w:val="18"/>
                <w:rtl/>
              </w:rPr>
              <w:t xml:space="preserve"> 0</w:t>
            </w:r>
          </w:p>
        </w:tc>
        <w:tc>
          <w:tcPr>
            <w:tcW w:w="1170" w:type="dxa"/>
            <w:vAlign w:val="bottom"/>
          </w:tcPr>
          <w:p w14:paraId="3D327DCE" w14:textId="77777777" w:rsidR="00600720" w:rsidRPr="007B5573" w:rsidRDefault="00600720" w:rsidP="008A0C00">
            <w:pPr>
              <w:pStyle w:val="-3"/>
              <w:rPr>
                <w:sz w:val="18"/>
                <w:szCs w:val="18"/>
                <w:rtl/>
              </w:rPr>
            </w:pPr>
            <w:r w:rsidRPr="007B5573">
              <w:rPr>
                <w:rFonts w:hint="cs"/>
                <w:sz w:val="18"/>
                <w:szCs w:val="18"/>
                <w:rtl/>
              </w:rPr>
              <w:t xml:space="preserve"> 0</w:t>
            </w:r>
          </w:p>
        </w:tc>
        <w:tc>
          <w:tcPr>
            <w:tcW w:w="851" w:type="dxa"/>
            <w:vAlign w:val="bottom"/>
          </w:tcPr>
          <w:p w14:paraId="55112485" w14:textId="77777777" w:rsidR="00600720" w:rsidRPr="007B5573" w:rsidRDefault="00600720" w:rsidP="008A0C00">
            <w:pPr>
              <w:pStyle w:val="-3"/>
              <w:rPr>
                <w:sz w:val="18"/>
                <w:szCs w:val="18"/>
                <w:rtl/>
              </w:rPr>
            </w:pPr>
            <w:r w:rsidRPr="007B5573">
              <w:rPr>
                <w:rFonts w:hint="cs"/>
                <w:sz w:val="18"/>
                <w:szCs w:val="18"/>
                <w:rtl/>
              </w:rPr>
              <w:t xml:space="preserve"> 0</w:t>
            </w:r>
          </w:p>
        </w:tc>
        <w:tc>
          <w:tcPr>
            <w:tcW w:w="709" w:type="dxa"/>
            <w:vAlign w:val="bottom"/>
          </w:tcPr>
          <w:p w14:paraId="0DB2F69C" w14:textId="77777777" w:rsidR="00600720" w:rsidRPr="007B5573" w:rsidRDefault="00600720" w:rsidP="008A0C00">
            <w:pPr>
              <w:pStyle w:val="-3"/>
              <w:rPr>
                <w:sz w:val="18"/>
                <w:szCs w:val="18"/>
                <w:rtl/>
              </w:rPr>
            </w:pPr>
            <w:r w:rsidRPr="007B5573">
              <w:rPr>
                <w:rFonts w:hint="cs"/>
                <w:sz w:val="18"/>
                <w:szCs w:val="18"/>
                <w:rtl/>
              </w:rPr>
              <w:t xml:space="preserve"> 0</w:t>
            </w:r>
          </w:p>
        </w:tc>
      </w:tr>
      <w:tr w:rsidR="00600720" w:rsidRPr="00543C25" w14:paraId="1F874A7D" w14:textId="77777777" w:rsidTr="00912661">
        <w:tc>
          <w:tcPr>
            <w:tcW w:w="993" w:type="dxa"/>
          </w:tcPr>
          <w:p w14:paraId="3CBCF3AF" w14:textId="77777777" w:rsidR="00600720" w:rsidRPr="007B5573" w:rsidRDefault="00600720" w:rsidP="008A0C00">
            <w:pPr>
              <w:pStyle w:val="-0"/>
              <w:rPr>
                <w:sz w:val="18"/>
                <w:szCs w:val="18"/>
                <w:rtl/>
              </w:rPr>
            </w:pPr>
          </w:p>
        </w:tc>
        <w:tc>
          <w:tcPr>
            <w:tcW w:w="4037" w:type="dxa"/>
            <w:gridSpan w:val="2"/>
            <w:vAlign w:val="bottom"/>
          </w:tcPr>
          <w:p w14:paraId="37DD5FF5" w14:textId="77777777" w:rsidR="00F32A2A" w:rsidRDefault="00600720">
            <w:pPr>
              <w:pStyle w:val="-0"/>
              <w:rPr>
                <w:sz w:val="18"/>
                <w:szCs w:val="18"/>
                <w:rtl/>
              </w:rPr>
            </w:pPr>
            <w:r w:rsidRPr="005F47BE">
              <w:rPr>
                <w:sz w:val="18"/>
                <w:szCs w:val="18"/>
                <w:rtl/>
              </w:rPr>
              <w:t>ניירות ערך</w:t>
            </w:r>
          </w:p>
        </w:tc>
        <w:tc>
          <w:tcPr>
            <w:tcW w:w="661" w:type="dxa"/>
            <w:vAlign w:val="bottom"/>
          </w:tcPr>
          <w:p w14:paraId="42B71C9C" w14:textId="77777777" w:rsidR="00600720" w:rsidRPr="007B5573" w:rsidRDefault="00600720" w:rsidP="008A0C00">
            <w:pPr>
              <w:pStyle w:val="-3"/>
              <w:rPr>
                <w:sz w:val="18"/>
                <w:szCs w:val="18"/>
                <w:rtl/>
              </w:rPr>
            </w:pPr>
            <w:r w:rsidRPr="007B5573">
              <w:rPr>
                <w:rFonts w:hint="cs"/>
                <w:sz w:val="18"/>
                <w:szCs w:val="18"/>
                <w:rtl/>
              </w:rPr>
              <w:t xml:space="preserve"> 0</w:t>
            </w:r>
          </w:p>
        </w:tc>
        <w:tc>
          <w:tcPr>
            <w:tcW w:w="970" w:type="dxa"/>
            <w:vAlign w:val="bottom"/>
          </w:tcPr>
          <w:p w14:paraId="05D16803" w14:textId="77777777" w:rsidR="00600720" w:rsidRPr="007B5573" w:rsidRDefault="00600720" w:rsidP="008A0C00">
            <w:pPr>
              <w:pStyle w:val="-3"/>
              <w:rPr>
                <w:sz w:val="18"/>
                <w:szCs w:val="18"/>
                <w:rtl/>
              </w:rPr>
            </w:pPr>
            <w:r w:rsidRPr="007B5573">
              <w:rPr>
                <w:rFonts w:hint="cs"/>
                <w:sz w:val="18"/>
                <w:szCs w:val="18"/>
                <w:rtl/>
              </w:rPr>
              <w:t xml:space="preserve"> 0</w:t>
            </w:r>
          </w:p>
        </w:tc>
        <w:tc>
          <w:tcPr>
            <w:tcW w:w="816" w:type="dxa"/>
            <w:vAlign w:val="bottom"/>
          </w:tcPr>
          <w:p w14:paraId="4D8FFEAD" w14:textId="77777777" w:rsidR="00600720" w:rsidRPr="007B5573" w:rsidRDefault="00600720" w:rsidP="008A0C00">
            <w:pPr>
              <w:pStyle w:val="-3"/>
              <w:rPr>
                <w:sz w:val="18"/>
                <w:szCs w:val="18"/>
                <w:rtl/>
              </w:rPr>
            </w:pPr>
            <w:r w:rsidRPr="007B5573">
              <w:rPr>
                <w:rFonts w:hint="cs"/>
                <w:sz w:val="18"/>
                <w:szCs w:val="18"/>
                <w:rtl/>
              </w:rPr>
              <w:t xml:space="preserve"> 0</w:t>
            </w:r>
          </w:p>
        </w:tc>
        <w:tc>
          <w:tcPr>
            <w:tcW w:w="1170" w:type="dxa"/>
            <w:vAlign w:val="bottom"/>
          </w:tcPr>
          <w:p w14:paraId="282A068B" w14:textId="77777777" w:rsidR="00600720" w:rsidRPr="007B5573" w:rsidRDefault="00600720" w:rsidP="008A0C00">
            <w:pPr>
              <w:pStyle w:val="-3"/>
              <w:rPr>
                <w:sz w:val="18"/>
                <w:szCs w:val="18"/>
                <w:rtl/>
              </w:rPr>
            </w:pPr>
            <w:r w:rsidRPr="007B5573">
              <w:rPr>
                <w:rFonts w:hint="cs"/>
                <w:sz w:val="18"/>
                <w:szCs w:val="18"/>
                <w:rtl/>
              </w:rPr>
              <w:t xml:space="preserve"> 0</w:t>
            </w:r>
          </w:p>
        </w:tc>
        <w:tc>
          <w:tcPr>
            <w:tcW w:w="851" w:type="dxa"/>
            <w:vAlign w:val="bottom"/>
          </w:tcPr>
          <w:p w14:paraId="6F49D836" w14:textId="77777777" w:rsidR="00600720" w:rsidRPr="007B5573" w:rsidRDefault="00600720" w:rsidP="008A0C00">
            <w:pPr>
              <w:pStyle w:val="-3"/>
              <w:rPr>
                <w:sz w:val="18"/>
                <w:szCs w:val="18"/>
                <w:rtl/>
              </w:rPr>
            </w:pPr>
            <w:r w:rsidRPr="007B5573">
              <w:rPr>
                <w:rFonts w:hint="cs"/>
                <w:sz w:val="18"/>
                <w:szCs w:val="18"/>
                <w:rtl/>
              </w:rPr>
              <w:t xml:space="preserve"> 0</w:t>
            </w:r>
          </w:p>
        </w:tc>
        <w:tc>
          <w:tcPr>
            <w:tcW w:w="709" w:type="dxa"/>
            <w:vAlign w:val="bottom"/>
          </w:tcPr>
          <w:p w14:paraId="7EF88806" w14:textId="77777777" w:rsidR="00600720" w:rsidRPr="007B5573" w:rsidRDefault="00600720" w:rsidP="008A0C00">
            <w:pPr>
              <w:pStyle w:val="-3"/>
              <w:rPr>
                <w:sz w:val="18"/>
                <w:szCs w:val="18"/>
                <w:rtl/>
              </w:rPr>
            </w:pPr>
            <w:r w:rsidRPr="007B5573">
              <w:rPr>
                <w:rFonts w:hint="cs"/>
                <w:sz w:val="18"/>
                <w:szCs w:val="18"/>
                <w:rtl/>
              </w:rPr>
              <w:t xml:space="preserve"> 0</w:t>
            </w:r>
          </w:p>
        </w:tc>
      </w:tr>
      <w:tr w:rsidR="00600720" w:rsidRPr="00543C25" w14:paraId="7B8D6A82" w14:textId="77777777" w:rsidTr="00912661">
        <w:tc>
          <w:tcPr>
            <w:tcW w:w="993" w:type="dxa"/>
          </w:tcPr>
          <w:p w14:paraId="24415E13" w14:textId="77777777" w:rsidR="00600720" w:rsidRPr="007B5573" w:rsidRDefault="00600720" w:rsidP="008A0C00">
            <w:pPr>
              <w:pStyle w:val="-0"/>
              <w:rPr>
                <w:sz w:val="18"/>
                <w:szCs w:val="18"/>
                <w:rtl/>
              </w:rPr>
            </w:pPr>
          </w:p>
        </w:tc>
        <w:tc>
          <w:tcPr>
            <w:tcW w:w="4037" w:type="dxa"/>
            <w:gridSpan w:val="2"/>
            <w:vAlign w:val="bottom"/>
          </w:tcPr>
          <w:p w14:paraId="7AC2CF5F" w14:textId="77777777" w:rsidR="00600720" w:rsidRPr="005F47BE" w:rsidRDefault="00600720" w:rsidP="008A0C00">
            <w:pPr>
              <w:pStyle w:val="-21"/>
              <w:rPr>
                <w:sz w:val="18"/>
                <w:szCs w:val="18"/>
                <w:rtl/>
              </w:rPr>
            </w:pPr>
            <w:r w:rsidRPr="005F47BE">
              <w:rPr>
                <w:rFonts w:hint="cs"/>
                <w:sz w:val="18"/>
                <w:szCs w:val="18"/>
                <w:rtl/>
              </w:rPr>
              <w:t>ניירות ערך שנשאלו או נרכשו במסגרת הסכמי מכר חוזר</w:t>
            </w:r>
          </w:p>
        </w:tc>
        <w:tc>
          <w:tcPr>
            <w:tcW w:w="661" w:type="dxa"/>
            <w:vAlign w:val="bottom"/>
          </w:tcPr>
          <w:p w14:paraId="1E9A72DD" w14:textId="77777777" w:rsidR="00600720" w:rsidRPr="007B5573" w:rsidRDefault="00600720" w:rsidP="008A0C00">
            <w:pPr>
              <w:pStyle w:val="-3"/>
              <w:rPr>
                <w:sz w:val="18"/>
                <w:szCs w:val="18"/>
                <w:rtl/>
              </w:rPr>
            </w:pPr>
            <w:r w:rsidRPr="007B5573">
              <w:rPr>
                <w:rFonts w:hint="cs"/>
                <w:sz w:val="18"/>
                <w:szCs w:val="18"/>
                <w:rtl/>
              </w:rPr>
              <w:t xml:space="preserve"> 0</w:t>
            </w:r>
          </w:p>
        </w:tc>
        <w:tc>
          <w:tcPr>
            <w:tcW w:w="970" w:type="dxa"/>
            <w:vAlign w:val="bottom"/>
          </w:tcPr>
          <w:p w14:paraId="26354BCC" w14:textId="77777777" w:rsidR="00600720" w:rsidRPr="007B5573" w:rsidRDefault="00600720" w:rsidP="008A0C00">
            <w:pPr>
              <w:pStyle w:val="-3"/>
              <w:rPr>
                <w:sz w:val="18"/>
                <w:szCs w:val="18"/>
                <w:rtl/>
              </w:rPr>
            </w:pPr>
            <w:r w:rsidRPr="007B5573">
              <w:rPr>
                <w:rFonts w:hint="cs"/>
                <w:sz w:val="18"/>
                <w:szCs w:val="18"/>
                <w:rtl/>
              </w:rPr>
              <w:t xml:space="preserve"> 0</w:t>
            </w:r>
          </w:p>
        </w:tc>
        <w:tc>
          <w:tcPr>
            <w:tcW w:w="816" w:type="dxa"/>
            <w:vAlign w:val="bottom"/>
          </w:tcPr>
          <w:p w14:paraId="65A99DD5" w14:textId="77777777" w:rsidR="00600720" w:rsidRPr="007B5573" w:rsidRDefault="00600720" w:rsidP="008A0C00">
            <w:pPr>
              <w:pStyle w:val="-3"/>
              <w:rPr>
                <w:sz w:val="18"/>
                <w:szCs w:val="18"/>
                <w:rtl/>
              </w:rPr>
            </w:pPr>
            <w:r w:rsidRPr="007B5573">
              <w:rPr>
                <w:rFonts w:hint="cs"/>
                <w:sz w:val="18"/>
                <w:szCs w:val="18"/>
                <w:rtl/>
              </w:rPr>
              <w:t xml:space="preserve"> 0</w:t>
            </w:r>
          </w:p>
        </w:tc>
        <w:tc>
          <w:tcPr>
            <w:tcW w:w="1170" w:type="dxa"/>
            <w:vAlign w:val="bottom"/>
          </w:tcPr>
          <w:p w14:paraId="3718F495" w14:textId="77777777" w:rsidR="00600720" w:rsidRPr="007B5573" w:rsidRDefault="00600720" w:rsidP="008A0C00">
            <w:pPr>
              <w:pStyle w:val="-3"/>
              <w:rPr>
                <w:sz w:val="18"/>
                <w:szCs w:val="18"/>
                <w:rtl/>
              </w:rPr>
            </w:pPr>
            <w:r w:rsidRPr="007B5573">
              <w:rPr>
                <w:rFonts w:hint="cs"/>
                <w:sz w:val="18"/>
                <w:szCs w:val="18"/>
                <w:rtl/>
              </w:rPr>
              <w:t xml:space="preserve"> 0</w:t>
            </w:r>
          </w:p>
        </w:tc>
        <w:tc>
          <w:tcPr>
            <w:tcW w:w="851" w:type="dxa"/>
            <w:vAlign w:val="bottom"/>
          </w:tcPr>
          <w:p w14:paraId="536BC9CD" w14:textId="77777777" w:rsidR="00600720" w:rsidRPr="007B5573" w:rsidRDefault="00600720" w:rsidP="008A0C00">
            <w:pPr>
              <w:pStyle w:val="-3"/>
              <w:rPr>
                <w:sz w:val="18"/>
                <w:szCs w:val="18"/>
                <w:rtl/>
              </w:rPr>
            </w:pPr>
            <w:r w:rsidRPr="007B5573">
              <w:rPr>
                <w:rFonts w:hint="cs"/>
                <w:sz w:val="18"/>
                <w:szCs w:val="18"/>
                <w:rtl/>
              </w:rPr>
              <w:t xml:space="preserve"> 0</w:t>
            </w:r>
          </w:p>
        </w:tc>
        <w:tc>
          <w:tcPr>
            <w:tcW w:w="709" w:type="dxa"/>
            <w:vAlign w:val="bottom"/>
          </w:tcPr>
          <w:p w14:paraId="692996DC" w14:textId="77777777" w:rsidR="00600720" w:rsidRPr="007B5573" w:rsidRDefault="00600720" w:rsidP="008A0C00">
            <w:pPr>
              <w:pStyle w:val="-3"/>
              <w:rPr>
                <w:sz w:val="18"/>
                <w:szCs w:val="18"/>
                <w:rtl/>
              </w:rPr>
            </w:pPr>
            <w:r w:rsidRPr="007B5573">
              <w:rPr>
                <w:rFonts w:hint="cs"/>
                <w:sz w:val="18"/>
                <w:szCs w:val="18"/>
                <w:rtl/>
              </w:rPr>
              <w:t xml:space="preserve"> 0</w:t>
            </w:r>
          </w:p>
        </w:tc>
      </w:tr>
      <w:tr w:rsidR="00600720" w:rsidRPr="00543C25" w14:paraId="5BC3A1B0" w14:textId="77777777" w:rsidTr="00912661">
        <w:tc>
          <w:tcPr>
            <w:tcW w:w="993" w:type="dxa"/>
          </w:tcPr>
          <w:p w14:paraId="7B3BEF57" w14:textId="77777777" w:rsidR="00600720" w:rsidRPr="007B5573" w:rsidRDefault="00600720" w:rsidP="008A0C00">
            <w:pPr>
              <w:pStyle w:val="-0"/>
              <w:rPr>
                <w:sz w:val="18"/>
                <w:szCs w:val="18"/>
                <w:rtl/>
              </w:rPr>
            </w:pPr>
          </w:p>
        </w:tc>
        <w:tc>
          <w:tcPr>
            <w:tcW w:w="4037" w:type="dxa"/>
            <w:gridSpan w:val="2"/>
            <w:vAlign w:val="bottom"/>
          </w:tcPr>
          <w:p w14:paraId="4559CF05" w14:textId="77777777" w:rsidR="00600720" w:rsidRPr="005F47BE" w:rsidRDefault="00600720" w:rsidP="008A0C00">
            <w:pPr>
              <w:pStyle w:val="-0"/>
              <w:rPr>
                <w:sz w:val="18"/>
                <w:szCs w:val="18"/>
                <w:rtl/>
              </w:rPr>
            </w:pPr>
            <w:r w:rsidRPr="005F47BE">
              <w:rPr>
                <w:sz w:val="18"/>
                <w:szCs w:val="18"/>
                <w:rtl/>
              </w:rPr>
              <w:t>אשראי לציבור</w:t>
            </w:r>
            <w:r w:rsidRPr="005F47BE">
              <w:rPr>
                <w:rFonts w:hint="cs"/>
                <w:sz w:val="18"/>
                <w:szCs w:val="18"/>
                <w:rtl/>
              </w:rPr>
              <w:t>, נטו</w:t>
            </w:r>
          </w:p>
        </w:tc>
        <w:tc>
          <w:tcPr>
            <w:tcW w:w="661" w:type="dxa"/>
            <w:vAlign w:val="bottom"/>
          </w:tcPr>
          <w:p w14:paraId="2167DABE" w14:textId="77777777" w:rsidR="00600720" w:rsidRPr="007B5573" w:rsidRDefault="00600720" w:rsidP="008A0C00">
            <w:pPr>
              <w:pStyle w:val="-3"/>
              <w:rPr>
                <w:sz w:val="18"/>
                <w:szCs w:val="18"/>
                <w:rtl/>
              </w:rPr>
            </w:pPr>
            <w:r w:rsidRPr="007B5573">
              <w:rPr>
                <w:rFonts w:hint="cs"/>
                <w:sz w:val="18"/>
                <w:szCs w:val="18"/>
                <w:rtl/>
              </w:rPr>
              <w:t xml:space="preserve"> 0</w:t>
            </w:r>
          </w:p>
        </w:tc>
        <w:tc>
          <w:tcPr>
            <w:tcW w:w="970" w:type="dxa"/>
            <w:vAlign w:val="bottom"/>
          </w:tcPr>
          <w:p w14:paraId="283F8264" w14:textId="77777777" w:rsidR="00600720" w:rsidRPr="007B5573" w:rsidRDefault="00600720" w:rsidP="008A0C00">
            <w:pPr>
              <w:pStyle w:val="-3"/>
              <w:rPr>
                <w:sz w:val="18"/>
                <w:szCs w:val="18"/>
                <w:rtl/>
              </w:rPr>
            </w:pPr>
            <w:r w:rsidRPr="007B5573">
              <w:rPr>
                <w:rFonts w:hint="cs"/>
                <w:sz w:val="18"/>
                <w:szCs w:val="18"/>
                <w:rtl/>
              </w:rPr>
              <w:t xml:space="preserve"> 0</w:t>
            </w:r>
          </w:p>
        </w:tc>
        <w:tc>
          <w:tcPr>
            <w:tcW w:w="816" w:type="dxa"/>
            <w:vAlign w:val="bottom"/>
          </w:tcPr>
          <w:p w14:paraId="277A083A" w14:textId="77777777" w:rsidR="00600720" w:rsidRPr="007B5573" w:rsidRDefault="00600720" w:rsidP="008A0C00">
            <w:pPr>
              <w:pStyle w:val="-3"/>
              <w:rPr>
                <w:sz w:val="18"/>
                <w:szCs w:val="18"/>
                <w:rtl/>
              </w:rPr>
            </w:pPr>
            <w:r w:rsidRPr="007B5573">
              <w:rPr>
                <w:rFonts w:hint="cs"/>
                <w:sz w:val="18"/>
                <w:szCs w:val="18"/>
                <w:rtl/>
              </w:rPr>
              <w:t xml:space="preserve"> 0</w:t>
            </w:r>
          </w:p>
        </w:tc>
        <w:tc>
          <w:tcPr>
            <w:tcW w:w="1170" w:type="dxa"/>
            <w:vAlign w:val="bottom"/>
          </w:tcPr>
          <w:p w14:paraId="0F9A6101" w14:textId="77777777" w:rsidR="00600720" w:rsidRPr="007B5573" w:rsidRDefault="00600720" w:rsidP="008A0C00">
            <w:pPr>
              <w:pStyle w:val="-3"/>
              <w:rPr>
                <w:sz w:val="18"/>
                <w:szCs w:val="18"/>
                <w:rtl/>
              </w:rPr>
            </w:pPr>
            <w:r w:rsidRPr="007B5573">
              <w:rPr>
                <w:rFonts w:hint="cs"/>
                <w:sz w:val="18"/>
                <w:szCs w:val="18"/>
                <w:rtl/>
              </w:rPr>
              <w:t xml:space="preserve"> 0</w:t>
            </w:r>
          </w:p>
        </w:tc>
        <w:tc>
          <w:tcPr>
            <w:tcW w:w="851" w:type="dxa"/>
            <w:vAlign w:val="bottom"/>
          </w:tcPr>
          <w:p w14:paraId="3088253A" w14:textId="77777777" w:rsidR="00600720" w:rsidRPr="007B5573" w:rsidRDefault="00600720" w:rsidP="008A0C00">
            <w:pPr>
              <w:pStyle w:val="-3"/>
              <w:rPr>
                <w:sz w:val="18"/>
                <w:szCs w:val="18"/>
                <w:rtl/>
              </w:rPr>
            </w:pPr>
            <w:r w:rsidRPr="007B5573">
              <w:rPr>
                <w:rFonts w:hint="cs"/>
                <w:sz w:val="18"/>
                <w:szCs w:val="18"/>
                <w:rtl/>
              </w:rPr>
              <w:t xml:space="preserve"> 0</w:t>
            </w:r>
          </w:p>
        </w:tc>
        <w:tc>
          <w:tcPr>
            <w:tcW w:w="709" w:type="dxa"/>
            <w:vAlign w:val="bottom"/>
          </w:tcPr>
          <w:p w14:paraId="7208EEF2" w14:textId="77777777" w:rsidR="00600720" w:rsidRPr="007B5573" w:rsidRDefault="00600720" w:rsidP="008A0C00">
            <w:pPr>
              <w:pStyle w:val="-3"/>
              <w:rPr>
                <w:sz w:val="18"/>
                <w:szCs w:val="18"/>
                <w:rtl/>
              </w:rPr>
            </w:pPr>
            <w:r w:rsidRPr="007B5573">
              <w:rPr>
                <w:rFonts w:hint="cs"/>
                <w:sz w:val="18"/>
                <w:szCs w:val="18"/>
                <w:rtl/>
              </w:rPr>
              <w:t xml:space="preserve"> 0</w:t>
            </w:r>
          </w:p>
        </w:tc>
      </w:tr>
      <w:tr w:rsidR="00600720" w:rsidRPr="00543C25" w14:paraId="074DCD74" w14:textId="77777777" w:rsidTr="00912661">
        <w:tc>
          <w:tcPr>
            <w:tcW w:w="993" w:type="dxa"/>
          </w:tcPr>
          <w:p w14:paraId="7B1ECCCD" w14:textId="77777777" w:rsidR="00600720" w:rsidRPr="007B5573" w:rsidRDefault="00600720" w:rsidP="008A0C00">
            <w:pPr>
              <w:pStyle w:val="-0"/>
              <w:rPr>
                <w:sz w:val="18"/>
                <w:szCs w:val="18"/>
                <w:rtl/>
              </w:rPr>
            </w:pPr>
          </w:p>
        </w:tc>
        <w:tc>
          <w:tcPr>
            <w:tcW w:w="4037" w:type="dxa"/>
            <w:gridSpan w:val="2"/>
            <w:vAlign w:val="bottom"/>
          </w:tcPr>
          <w:p w14:paraId="67A3DBF1" w14:textId="77777777" w:rsidR="00600720" w:rsidRPr="005F47BE" w:rsidRDefault="00600720" w:rsidP="008A0C00">
            <w:pPr>
              <w:pStyle w:val="-0"/>
              <w:rPr>
                <w:sz w:val="18"/>
                <w:szCs w:val="18"/>
                <w:rtl/>
              </w:rPr>
            </w:pPr>
            <w:r w:rsidRPr="005F47BE">
              <w:rPr>
                <w:sz w:val="18"/>
                <w:szCs w:val="18"/>
                <w:rtl/>
              </w:rPr>
              <w:t>אשראי לממשלה</w:t>
            </w:r>
          </w:p>
        </w:tc>
        <w:tc>
          <w:tcPr>
            <w:tcW w:w="661" w:type="dxa"/>
            <w:vAlign w:val="bottom"/>
          </w:tcPr>
          <w:p w14:paraId="143995FA" w14:textId="77777777" w:rsidR="00600720" w:rsidRPr="007B5573" w:rsidRDefault="00600720" w:rsidP="008A0C00">
            <w:pPr>
              <w:pStyle w:val="-3"/>
              <w:rPr>
                <w:sz w:val="18"/>
                <w:szCs w:val="18"/>
                <w:rtl/>
              </w:rPr>
            </w:pPr>
            <w:r w:rsidRPr="007B5573">
              <w:rPr>
                <w:rFonts w:hint="cs"/>
                <w:sz w:val="18"/>
                <w:szCs w:val="18"/>
                <w:rtl/>
              </w:rPr>
              <w:t xml:space="preserve"> 0</w:t>
            </w:r>
          </w:p>
        </w:tc>
        <w:tc>
          <w:tcPr>
            <w:tcW w:w="970" w:type="dxa"/>
            <w:vAlign w:val="bottom"/>
          </w:tcPr>
          <w:p w14:paraId="003B611B" w14:textId="77777777" w:rsidR="00600720" w:rsidRPr="007B5573" w:rsidRDefault="00600720" w:rsidP="008A0C00">
            <w:pPr>
              <w:pStyle w:val="-3"/>
              <w:rPr>
                <w:sz w:val="18"/>
                <w:szCs w:val="18"/>
                <w:rtl/>
              </w:rPr>
            </w:pPr>
            <w:r w:rsidRPr="007B5573">
              <w:rPr>
                <w:rFonts w:hint="cs"/>
                <w:sz w:val="18"/>
                <w:szCs w:val="18"/>
                <w:rtl/>
              </w:rPr>
              <w:t xml:space="preserve"> 0</w:t>
            </w:r>
          </w:p>
        </w:tc>
        <w:tc>
          <w:tcPr>
            <w:tcW w:w="816" w:type="dxa"/>
            <w:vAlign w:val="bottom"/>
          </w:tcPr>
          <w:p w14:paraId="0108EEA7" w14:textId="77777777" w:rsidR="00600720" w:rsidRPr="007B5573" w:rsidRDefault="00600720" w:rsidP="008A0C00">
            <w:pPr>
              <w:pStyle w:val="-3"/>
              <w:rPr>
                <w:sz w:val="18"/>
                <w:szCs w:val="18"/>
                <w:rtl/>
              </w:rPr>
            </w:pPr>
            <w:r w:rsidRPr="007B5573">
              <w:rPr>
                <w:rFonts w:hint="cs"/>
                <w:sz w:val="18"/>
                <w:szCs w:val="18"/>
                <w:rtl/>
              </w:rPr>
              <w:t xml:space="preserve"> 0</w:t>
            </w:r>
          </w:p>
        </w:tc>
        <w:tc>
          <w:tcPr>
            <w:tcW w:w="1170" w:type="dxa"/>
            <w:vAlign w:val="bottom"/>
          </w:tcPr>
          <w:p w14:paraId="4EB825BB" w14:textId="77777777" w:rsidR="00600720" w:rsidRPr="007B5573" w:rsidRDefault="00600720" w:rsidP="008A0C00">
            <w:pPr>
              <w:pStyle w:val="-3"/>
              <w:rPr>
                <w:sz w:val="18"/>
                <w:szCs w:val="18"/>
                <w:rtl/>
              </w:rPr>
            </w:pPr>
            <w:r w:rsidRPr="007B5573">
              <w:rPr>
                <w:rFonts w:hint="cs"/>
                <w:sz w:val="18"/>
                <w:szCs w:val="18"/>
                <w:rtl/>
              </w:rPr>
              <w:t xml:space="preserve"> 0</w:t>
            </w:r>
          </w:p>
        </w:tc>
        <w:tc>
          <w:tcPr>
            <w:tcW w:w="851" w:type="dxa"/>
            <w:vAlign w:val="bottom"/>
          </w:tcPr>
          <w:p w14:paraId="098C4D77" w14:textId="77777777" w:rsidR="00600720" w:rsidRPr="007B5573" w:rsidRDefault="00600720" w:rsidP="008A0C00">
            <w:pPr>
              <w:pStyle w:val="-3"/>
              <w:rPr>
                <w:sz w:val="18"/>
                <w:szCs w:val="18"/>
                <w:rtl/>
              </w:rPr>
            </w:pPr>
            <w:r w:rsidRPr="007B5573">
              <w:rPr>
                <w:rFonts w:hint="cs"/>
                <w:sz w:val="18"/>
                <w:szCs w:val="18"/>
                <w:rtl/>
              </w:rPr>
              <w:t xml:space="preserve"> 0</w:t>
            </w:r>
          </w:p>
        </w:tc>
        <w:tc>
          <w:tcPr>
            <w:tcW w:w="709" w:type="dxa"/>
            <w:vAlign w:val="bottom"/>
          </w:tcPr>
          <w:p w14:paraId="668494D0" w14:textId="77777777" w:rsidR="00600720" w:rsidRPr="007B5573" w:rsidRDefault="00600720" w:rsidP="008A0C00">
            <w:pPr>
              <w:pStyle w:val="-3"/>
              <w:rPr>
                <w:sz w:val="18"/>
                <w:szCs w:val="18"/>
                <w:rtl/>
              </w:rPr>
            </w:pPr>
            <w:r w:rsidRPr="007B5573">
              <w:rPr>
                <w:rFonts w:hint="cs"/>
                <w:sz w:val="18"/>
                <w:szCs w:val="18"/>
                <w:rtl/>
              </w:rPr>
              <w:t xml:space="preserve"> 0</w:t>
            </w:r>
          </w:p>
        </w:tc>
      </w:tr>
      <w:tr w:rsidR="00600720" w:rsidRPr="00543C25" w14:paraId="22B8F5B8" w14:textId="77777777" w:rsidTr="00912661">
        <w:tc>
          <w:tcPr>
            <w:tcW w:w="993" w:type="dxa"/>
          </w:tcPr>
          <w:p w14:paraId="4ECF7F1B" w14:textId="77777777" w:rsidR="00600720" w:rsidRPr="007B5573" w:rsidRDefault="00600720" w:rsidP="008A0C00">
            <w:pPr>
              <w:pStyle w:val="-0"/>
              <w:rPr>
                <w:sz w:val="18"/>
                <w:szCs w:val="18"/>
                <w:rtl/>
              </w:rPr>
            </w:pPr>
          </w:p>
        </w:tc>
        <w:tc>
          <w:tcPr>
            <w:tcW w:w="4037" w:type="dxa"/>
            <w:gridSpan w:val="2"/>
            <w:vAlign w:val="bottom"/>
          </w:tcPr>
          <w:p w14:paraId="094C0FD8" w14:textId="77777777" w:rsidR="00F32A2A" w:rsidRDefault="00600720">
            <w:pPr>
              <w:pStyle w:val="-0"/>
              <w:rPr>
                <w:sz w:val="18"/>
                <w:szCs w:val="18"/>
                <w:rtl/>
              </w:rPr>
            </w:pPr>
            <w:r w:rsidRPr="005F47BE">
              <w:rPr>
                <w:sz w:val="18"/>
                <w:szCs w:val="18"/>
                <w:rtl/>
              </w:rPr>
              <w:t>השקעות בחברות כלולות</w:t>
            </w:r>
          </w:p>
        </w:tc>
        <w:tc>
          <w:tcPr>
            <w:tcW w:w="661" w:type="dxa"/>
            <w:vAlign w:val="bottom"/>
          </w:tcPr>
          <w:p w14:paraId="46088D90" w14:textId="77777777" w:rsidR="00600720" w:rsidRPr="007B5573" w:rsidRDefault="00600720" w:rsidP="008A0C00">
            <w:pPr>
              <w:pStyle w:val="-3"/>
              <w:rPr>
                <w:sz w:val="18"/>
                <w:szCs w:val="18"/>
                <w:rtl/>
              </w:rPr>
            </w:pPr>
            <w:r w:rsidRPr="007B5573">
              <w:rPr>
                <w:rFonts w:hint="cs"/>
                <w:sz w:val="18"/>
                <w:szCs w:val="18"/>
                <w:rtl/>
              </w:rPr>
              <w:t xml:space="preserve"> 0</w:t>
            </w:r>
          </w:p>
        </w:tc>
        <w:tc>
          <w:tcPr>
            <w:tcW w:w="970" w:type="dxa"/>
            <w:vAlign w:val="bottom"/>
          </w:tcPr>
          <w:p w14:paraId="512B9AB6" w14:textId="77777777" w:rsidR="00600720" w:rsidRPr="007B5573" w:rsidRDefault="00600720" w:rsidP="008A0C00">
            <w:pPr>
              <w:pStyle w:val="-3"/>
              <w:rPr>
                <w:sz w:val="18"/>
                <w:szCs w:val="18"/>
                <w:rtl/>
              </w:rPr>
            </w:pPr>
            <w:r w:rsidRPr="007B5573">
              <w:rPr>
                <w:rFonts w:hint="cs"/>
                <w:sz w:val="18"/>
                <w:szCs w:val="18"/>
                <w:rtl/>
              </w:rPr>
              <w:t xml:space="preserve"> 0</w:t>
            </w:r>
          </w:p>
        </w:tc>
        <w:tc>
          <w:tcPr>
            <w:tcW w:w="816" w:type="dxa"/>
            <w:vAlign w:val="bottom"/>
          </w:tcPr>
          <w:p w14:paraId="10DB2A50" w14:textId="77777777" w:rsidR="00600720" w:rsidRPr="007B5573" w:rsidRDefault="00600720" w:rsidP="008A0C00">
            <w:pPr>
              <w:pStyle w:val="-3"/>
              <w:rPr>
                <w:sz w:val="18"/>
                <w:szCs w:val="18"/>
                <w:rtl/>
              </w:rPr>
            </w:pPr>
            <w:r w:rsidRPr="007B5573">
              <w:rPr>
                <w:rFonts w:hint="cs"/>
                <w:sz w:val="18"/>
                <w:szCs w:val="18"/>
                <w:rtl/>
              </w:rPr>
              <w:t xml:space="preserve"> 0</w:t>
            </w:r>
          </w:p>
        </w:tc>
        <w:tc>
          <w:tcPr>
            <w:tcW w:w="1170" w:type="dxa"/>
            <w:vAlign w:val="bottom"/>
          </w:tcPr>
          <w:p w14:paraId="42F2EBA5" w14:textId="77777777" w:rsidR="00600720" w:rsidRPr="007B5573" w:rsidRDefault="00600720" w:rsidP="008A0C00">
            <w:pPr>
              <w:pStyle w:val="-3"/>
              <w:rPr>
                <w:sz w:val="18"/>
                <w:szCs w:val="18"/>
                <w:rtl/>
              </w:rPr>
            </w:pPr>
            <w:r w:rsidRPr="007B5573">
              <w:rPr>
                <w:rFonts w:hint="cs"/>
                <w:sz w:val="18"/>
                <w:szCs w:val="18"/>
                <w:rtl/>
              </w:rPr>
              <w:t xml:space="preserve"> 0</w:t>
            </w:r>
          </w:p>
        </w:tc>
        <w:tc>
          <w:tcPr>
            <w:tcW w:w="851" w:type="dxa"/>
            <w:vAlign w:val="bottom"/>
          </w:tcPr>
          <w:p w14:paraId="7C46F5B3" w14:textId="77777777" w:rsidR="00600720" w:rsidRPr="007B5573" w:rsidRDefault="00600720" w:rsidP="008A0C00">
            <w:pPr>
              <w:pStyle w:val="-3"/>
              <w:rPr>
                <w:sz w:val="18"/>
                <w:szCs w:val="18"/>
                <w:rtl/>
              </w:rPr>
            </w:pPr>
            <w:r w:rsidRPr="007B5573">
              <w:rPr>
                <w:rFonts w:hint="cs"/>
                <w:sz w:val="18"/>
                <w:szCs w:val="18"/>
                <w:rtl/>
              </w:rPr>
              <w:t xml:space="preserve"> 0</w:t>
            </w:r>
          </w:p>
        </w:tc>
        <w:tc>
          <w:tcPr>
            <w:tcW w:w="709" w:type="dxa"/>
            <w:vAlign w:val="bottom"/>
          </w:tcPr>
          <w:p w14:paraId="494CCF49" w14:textId="77777777" w:rsidR="00600720" w:rsidRPr="007B5573" w:rsidRDefault="00600720" w:rsidP="008A0C00">
            <w:pPr>
              <w:pStyle w:val="-3"/>
              <w:rPr>
                <w:sz w:val="18"/>
                <w:szCs w:val="18"/>
                <w:rtl/>
              </w:rPr>
            </w:pPr>
            <w:r w:rsidRPr="007B5573">
              <w:rPr>
                <w:rFonts w:hint="cs"/>
                <w:sz w:val="18"/>
                <w:szCs w:val="18"/>
                <w:rtl/>
              </w:rPr>
              <w:t xml:space="preserve"> 0</w:t>
            </w:r>
          </w:p>
        </w:tc>
      </w:tr>
      <w:tr w:rsidR="00600720" w:rsidRPr="00543C25" w14:paraId="1341321C" w14:textId="77777777" w:rsidTr="00912661">
        <w:tc>
          <w:tcPr>
            <w:tcW w:w="993" w:type="dxa"/>
          </w:tcPr>
          <w:p w14:paraId="2CB75149" w14:textId="77777777" w:rsidR="00600720" w:rsidRPr="007B5573" w:rsidRDefault="00600720" w:rsidP="008A0C00">
            <w:pPr>
              <w:pStyle w:val="-0"/>
              <w:rPr>
                <w:sz w:val="18"/>
                <w:szCs w:val="18"/>
                <w:rtl/>
              </w:rPr>
            </w:pPr>
          </w:p>
        </w:tc>
        <w:tc>
          <w:tcPr>
            <w:tcW w:w="4037" w:type="dxa"/>
            <w:gridSpan w:val="2"/>
            <w:vAlign w:val="bottom"/>
          </w:tcPr>
          <w:p w14:paraId="0FB63544" w14:textId="77777777" w:rsidR="00600720" w:rsidRPr="005F47BE" w:rsidRDefault="00600720" w:rsidP="008A0C00">
            <w:pPr>
              <w:pStyle w:val="-0"/>
              <w:rPr>
                <w:sz w:val="18"/>
                <w:szCs w:val="18"/>
                <w:rtl/>
              </w:rPr>
            </w:pPr>
            <w:r w:rsidRPr="005F47BE">
              <w:rPr>
                <w:sz w:val="18"/>
                <w:szCs w:val="18"/>
                <w:rtl/>
              </w:rPr>
              <w:t>בניינים וציוד</w:t>
            </w:r>
          </w:p>
        </w:tc>
        <w:tc>
          <w:tcPr>
            <w:tcW w:w="661" w:type="dxa"/>
            <w:vAlign w:val="bottom"/>
          </w:tcPr>
          <w:p w14:paraId="5C2619B7" w14:textId="77777777" w:rsidR="00600720" w:rsidRPr="007B5573" w:rsidRDefault="00600720" w:rsidP="008A0C00">
            <w:pPr>
              <w:pStyle w:val="-3"/>
              <w:rPr>
                <w:sz w:val="18"/>
                <w:szCs w:val="18"/>
                <w:rtl/>
              </w:rPr>
            </w:pPr>
            <w:r w:rsidRPr="007B5573">
              <w:rPr>
                <w:rFonts w:hint="cs"/>
                <w:sz w:val="18"/>
                <w:szCs w:val="18"/>
                <w:rtl/>
              </w:rPr>
              <w:t xml:space="preserve"> -</w:t>
            </w:r>
          </w:p>
        </w:tc>
        <w:tc>
          <w:tcPr>
            <w:tcW w:w="970" w:type="dxa"/>
            <w:vAlign w:val="bottom"/>
          </w:tcPr>
          <w:p w14:paraId="3CB55B2C" w14:textId="77777777" w:rsidR="00600720" w:rsidRPr="007B5573" w:rsidRDefault="00600720" w:rsidP="008A0C00">
            <w:pPr>
              <w:pStyle w:val="-3"/>
              <w:rPr>
                <w:sz w:val="18"/>
                <w:szCs w:val="18"/>
                <w:rtl/>
              </w:rPr>
            </w:pPr>
            <w:r w:rsidRPr="007B5573">
              <w:rPr>
                <w:rFonts w:hint="cs"/>
                <w:sz w:val="18"/>
                <w:szCs w:val="18"/>
                <w:rtl/>
              </w:rPr>
              <w:t xml:space="preserve"> -</w:t>
            </w:r>
          </w:p>
        </w:tc>
        <w:tc>
          <w:tcPr>
            <w:tcW w:w="816" w:type="dxa"/>
            <w:vAlign w:val="bottom"/>
          </w:tcPr>
          <w:p w14:paraId="14776AB9" w14:textId="77777777" w:rsidR="00600720" w:rsidRPr="007B5573" w:rsidRDefault="00600720" w:rsidP="008A0C00">
            <w:pPr>
              <w:pStyle w:val="-3"/>
              <w:rPr>
                <w:sz w:val="18"/>
                <w:szCs w:val="18"/>
                <w:rtl/>
              </w:rPr>
            </w:pPr>
            <w:r w:rsidRPr="007B5573">
              <w:rPr>
                <w:rFonts w:hint="cs"/>
                <w:sz w:val="18"/>
                <w:szCs w:val="18"/>
                <w:rtl/>
              </w:rPr>
              <w:t xml:space="preserve"> -</w:t>
            </w:r>
          </w:p>
        </w:tc>
        <w:tc>
          <w:tcPr>
            <w:tcW w:w="1170" w:type="dxa"/>
            <w:vAlign w:val="bottom"/>
          </w:tcPr>
          <w:p w14:paraId="4445F67A" w14:textId="77777777" w:rsidR="00600720" w:rsidRPr="007B5573" w:rsidRDefault="00600720" w:rsidP="008A0C00">
            <w:pPr>
              <w:pStyle w:val="-3"/>
              <w:rPr>
                <w:sz w:val="18"/>
                <w:szCs w:val="18"/>
                <w:rtl/>
              </w:rPr>
            </w:pPr>
            <w:r w:rsidRPr="007B5573">
              <w:rPr>
                <w:rFonts w:hint="cs"/>
                <w:sz w:val="18"/>
                <w:szCs w:val="18"/>
                <w:rtl/>
              </w:rPr>
              <w:t xml:space="preserve"> -</w:t>
            </w:r>
          </w:p>
        </w:tc>
        <w:tc>
          <w:tcPr>
            <w:tcW w:w="851" w:type="dxa"/>
            <w:vAlign w:val="bottom"/>
          </w:tcPr>
          <w:p w14:paraId="4B0D73CC" w14:textId="77777777" w:rsidR="00600720" w:rsidRPr="007B5573" w:rsidRDefault="00600720" w:rsidP="008A0C00">
            <w:pPr>
              <w:pStyle w:val="-3"/>
              <w:rPr>
                <w:sz w:val="18"/>
                <w:szCs w:val="18"/>
                <w:rtl/>
              </w:rPr>
            </w:pPr>
            <w:r w:rsidRPr="007B5573">
              <w:rPr>
                <w:rFonts w:hint="cs"/>
                <w:sz w:val="18"/>
                <w:szCs w:val="18"/>
                <w:rtl/>
              </w:rPr>
              <w:t xml:space="preserve"> 0</w:t>
            </w:r>
          </w:p>
        </w:tc>
        <w:tc>
          <w:tcPr>
            <w:tcW w:w="709" w:type="dxa"/>
            <w:vAlign w:val="bottom"/>
          </w:tcPr>
          <w:p w14:paraId="5E202BE7" w14:textId="77777777" w:rsidR="00600720" w:rsidRPr="007B5573" w:rsidRDefault="00600720" w:rsidP="008A0C00">
            <w:pPr>
              <w:pStyle w:val="-3"/>
              <w:rPr>
                <w:sz w:val="18"/>
                <w:szCs w:val="18"/>
                <w:rtl/>
              </w:rPr>
            </w:pPr>
            <w:r w:rsidRPr="007B5573">
              <w:rPr>
                <w:rFonts w:hint="cs"/>
                <w:sz w:val="18"/>
                <w:szCs w:val="18"/>
                <w:rtl/>
              </w:rPr>
              <w:t xml:space="preserve"> 0</w:t>
            </w:r>
          </w:p>
        </w:tc>
      </w:tr>
      <w:tr w:rsidR="00600720" w:rsidRPr="00543C25" w14:paraId="304649F4" w14:textId="77777777" w:rsidTr="00912661">
        <w:tc>
          <w:tcPr>
            <w:tcW w:w="993" w:type="dxa"/>
          </w:tcPr>
          <w:p w14:paraId="472C12F2" w14:textId="77777777" w:rsidR="00600720" w:rsidRPr="007B5573" w:rsidRDefault="00600720" w:rsidP="008A0C00">
            <w:pPr>
              <w:pStyle w:val="-0"/>
              <w:rPr>
                <w:sz w:val="18"/>
                <w:szCs w:val="18"/>
                <w:rtl/>
              </w:rPr>
            </w:pPr>
          </w:p>
        </w:tc>
        <w:tc>
          <w:tcPr>
            <w:tcW w:w="4037" w:type="dxa"/>
            <w:gridSpan w:val="2"/>
            <w:vAlign w:val="bottom"/>
          </w:tcPr>
          <w:p w14:paraId="00DF9F4A" w14:textId="77777777" w:rsidR="00600720" w:rsidRPr="005F47BE" w:rsidRDefault="00600720" w:rsidP="008A0C00">
            <w:pPr>
              <w:pStyle w:val="-0"/>
              <w:rPr>
                <w:sz w:val="18"/>
                <w:szCs w:val="18"/>
                <w:rtl/>
              </w:rPr>
            </w:pPr>
            <w:r w:rsidRPr="005F47BE">
              <w:rPr>
                <w:rFonts w:hint="cs"/>
                <w:sz w:val="18"/>
                <w:szCs w:val="18"/>
                <w:rtl/>
              </w:rPr>
              <w:t>נכסים בלתי מוחשיים ומוניטין</w:t>
            </w:r>
          </w:p>
        </w:tc>
        <w:tc>
          <w:tcPr>
            <w:tcW w:w="661" w:type="dxa"/>
            <w:vAlign w:val="bottom"/>
          </w:tcPr>
          <w:p w14:paraId="1DEE9767" w14:textId="77777777" w:rsidR="00600720" w:rsidRPr="007B5573" w:rsidRDefault="00600720" w:rsidP="008A0C00">
            <w:pPr>
              <w:pStyle w:val="-3"/>
              <w:rPr>
                <w:sz w:val="18"/>
                <w:szCs w:val="18"/>
                <w:rtl/>
              </w:rPr>
            </w:pPr>
            <w:r w:rsidRPr="007B5573">
              <w:rPr>
                <w:rFonts w:hint="cs"/>
                <w:sz w:val="18"/>
                <w:szCs w:val="18"/>
                <w:rtl/>
              </w:rPr>
              <w:t xml:space="preserve"> -</w:t>
            </w:r>
          </w:p>
        </w:tc>
        <w:tc>
          <w:tcPr>
            <w:tcW w:w="970" w:type="dxa"/>
            <w:vAlign w:val="bottom"/>
          </w:tcPr>
          <w:p w14:paraId="653302C3" w14:textId="77777777" w:rsidR="00600720" w:rsidRPr="007B5573" w:rsidRDefault="00600720" w:rsidP="008A0C00">
            <w:pPr>
              <w:pStyle w:val="-3"/>
              <w:rPr>
                <w:sz w:val="18"/>
                <w:szCs w:val="18"/>
                <w:rtl/>
              </w:rPr>
            </w:pPr>
            <w:r w:rsidRPr="007B5573">
              <w:rPr>
                <w:rFonts w:hint="cs"/>
                <w:sz w:val="18"/>
                <w:szCs w:val="18"/>
                <w:rtl/>
              </w:rPr>
              <w:t xml:space="preserve"> -</w:t>
            </w:r>
          </w:p>
        </w:tc>
        <w:tc>
          <w:tcPr>
            <w:tcW w:w="816" w:type="dxa"/>
            <w:vAlign w:val="bottom"/>
          </w:tcPr>
          <w:p w14:paraId="70FDEEF5" w14:textId="77777777" w:rsidR="00600720" w:rsidRPr="007B5573" w:rsidRDefault="00600720" w:rsidP="008A0C00">
            <w:pPr>
              <w:pStyle w:val="-3"/>
              <w:rPr>
                <w:sz w:val="18"/>
                <w:szCs w:val="18"/>
                <w:rtl/>
              </w:rPr>
            </w:pPr>
            <w:r w:rsidRPr="007B5573">
              <w:rPr>
                <w:rFonts w:hint="cs"/>
                <w:sz w:val="18"/>
                <w:szCs w:val="18"/>
                <w:rtl/>
              </w:rPr>
              <w:t xml:space="preserve"> -</w:t>
            </w:r>
          </w:p>
        </w:tc>
        <w:tc>
          <w:tcPr>
            <w:tcW w:w="1170" w:type="dxa"/>
            <w:vAlign w:val="bottom"/>
          </w:tcPr>
          <w:p w14:paraId="58C515C1" w14:textId="77777777" w:rsidR="00600720" w:rsidRPr="007B5573" w:rsidRDefault="00600720" w:rsidP="008A0C00">
            <w:pPr>
              <w:pStyle w:val="-3"/>
              <w:rPr>
                <w:sz w:val="18"/>
                <w:szCs w:val="18"/>
                <w:rtl/>
              </w:rPr>
            </w:pPr>
            <w:r w:rsidRPr="007B5573">
              <w:rPr>
                <w:rFonts w:hint="cs"/>
                <w:sz w:val="18"/>
                <w:szCs w:val="18"/>
                <w:rtl/>
              </w:rPr>
              <w:t xml:space="preserve"> -</w:t>
            </w:r>
          </w:p>
        </w:tc>
        <w:tc>
          <w:tcPr>
            <w:tcW w:w="851" w:type="dxa"/>
            <w:vAlign w:val="bottom"/>
          </w:tcPr>
          <w:p w14:paraId="1BE0648F" w14:textId="77777777" w:rsidR="00600720" w:rsidRPr="007B5573" w:rsidRDefault="00600720" w:rsidP="008A0C00">
            <w:pPr>
              <w:pStyle w:val="-3"/>
              <w:rPr>
                <w:sz w:val="18"/>
                <w:szCs w:val="18"/>
                <w:rtl/>
              </w:rPr>
            </w:pPr>
            <w:r w:rsidRPr="007B5573">
              <w:rPr>
                <w:rFonts w:hint="cs"/>
                <w:sz w:val="18"/>
                <w:szCs w:val="18"/>
                <w:rtl/>
              </w:rPr>
              <w:t xml:space="preserve"> 0</w:t>
            </w:r>
          </w:p>
        </w:tc>
        <w:tc>
          <w:tcPr>
            <w:tcW w:w="709" w:type="dxa"/>
            <w:vAlign w:val="bottom"/>
          </w:tcPr>
          <w:p w14:paraId="0A7E7474" w14:textId="77777777" w:rsidR="00600720" w:rsidRPr="007B5573" w:rsidRDefault="00600720" w:rsidP="008A0C00">
            <w:pPr>
              <w:pStyle w:val="-3"/>
              <w:rPr>
                <w:sz w:val="18"/>
                <w:szCs w:val="18"/>
                <w:rtl/>
              </w:rPr>
            </w:pPr>
            <w:r w:rsidRPr="007B5573">
              <w:rPr>
                <w:rFonts w:hint="cs"/>
                <w:sz w:val="18"/>
                <w:szCs w:val="18"/>
                <w:rtl/>
              </w:rPr>
              <w:t xml:space="preserve"> 0</w:t>
            </w:r>
          </w:p>
        </w:tc>
      </w:tr>
      <w:tr w:rsidR="00600720" w:rsidRPr="00543C25" w14:paraId="5A146676" w14:textId="77777777" w:rsidTr="00912661">
        <w:tc>
          <w:tcPr>
            <w:tcW w:w="993" w:type="dxa"/>
          </w:tcPr>
          <w:p w14:paraId="138FD7E1" w14:textId="77777777" w:rsidR="00600720" w:rsidRPr="007B5573" w:rsidRDefault="00600720" w:rsidP="008A0C00">
            <w:pPr>
              <w:pStyle w:val="-0"/>
              <w:rPr>
                <w:sz w:val="18"/>
                <w:szCs w:val="18"/>
                <w:rtl/>
              </w:rPr>
            </w:pPr>
          </w:p>
        </w:tc>
        <w:tc>
          <w:tcPr>
            <w:tcW w:w="4037" w:type="dxa"/>
            <w:gridSpan w:val="2"/>
            <w:vAlign w:val="bottom"/>
          </w:tcPr>
          <w:p w14:paraId="10599C19" w14:textId="77777777" w:rsidR="00600720" w:rsidRPr="005F47BE" w:rsidRDefault="00600720" w:rsidP="008A0C00">
            <w:pPr>
              <w:pStyle w:val="-0"/>
              <w:rPr>
                <w:sz w:val="18"/>
                <w:szCs w:val="18"/>
                <w:rtl/>
              </w:rPr>
            </w:pPr>
            <w:r w:rsidRPr="005F47BE">
              <w:rPr>
                <w:rFonts w:hint="cs"/>
                <w:sz w:val="18"/>
                <w:szCs w:val="18"/>
                <w:rtl/>
              </w:rPr>
              <w:t>נכסים בגין מכשירים נגזרים</w:t>
            </w:r>
          </w:p>
        </w:tc>
        <w:tc>
          <w:tcPr>
            <w:tcW w:w="661" w:type="dxa"/>
            <w:vAlign w:val="bottom"/>
          </w:tcPr>
          <w:p w14:paraId="58C617E3" w14:textId="77777777" w:rsidR="00600720" w:rsidRPr="007B5573" w:rsidRDefault="00600720" w:rsidP="008A0C00">
            <w:pPr>
              <w:pStyle w:val="-3"/>
              <w:rPr>
                <w:sz w:val="18"/>
                <w:szCs w:val="18"/>
                <w:rtl/>
              </w:rPr>
            </w:pPr>
            <w:r w:rsidRPr="007B5573">
              <w:rPr>
                <w:rFonts w:hint="cs"/>
                <w:sz w:val="18"/>
                <w:szCs w:val="18"/>
                <w:rtl/>
              </w:rPr>
              <w:t xml:space="preserve"> 0</w:t>
            </w:r>
          </w:p>
        </w:tc>
        <w:tc>
          <w:tcPr>
            <w:tcW w:w="970" w:type="dxa"/>
            <w:vAlign w:val="bottom"/>
          </w:tcPr>
          <w:p w14:paraId="428F5122" w14:textId="77777777" w:rsidR="00600720" w:rsidRPr="007B5573" w:rsidRDefault="00600720" w:rsidP="008A0C00">
            <w:pPr>
              <w:pStyle w:val="-3"/>
              <w:rPr>
                <w:sz w:val="18"/>
                <w:szCs w:val="18"/>
                <w:rtl/>
              </w:rPr>
            </w:pPr>
            <w:r w:rsidRPr="007B5573">
              <w:rPr>
                <w:rFonts w:hint="cs"/>
                <w:sz w:val="18"/>
                <w:szCs w:val="18"/>
                <w:rtl/>
              </w:rPr>
              <w:t xml:space="preserve"> 0</w:t>
            </w:r>
          </w:p>
        </w:tc>
        <w:tc>
          <w:tcPr>
            <w:tcW w:w="816" w:type="dxa"/>
            <w:vAlign w:val="bottom"/>
          </w:tcPr>
          <w:p w14:paraId="0F284DE3" w14:textId="77777777" w:rsidR="00600720" w:rsidRPr="007B5573" w:rsidRDefault="00600720" w:rsidP="008A0C00">
            <w:pPr>
              <w:pStyle w:val="-3"/>
              <w:rPr>
                <w:sz w:val="18"/>
                <w:szCs w:val="18"/>
                <w:rtl/>
              </w:rPr>
            </w:pPr>
            <w:r w:rsidRPr="007B5573">
              <w:rPr>
                <w:rFonts w:hint="cs"/>
                <w:sz w:val="18"/>
                <w:szCs w:val="18"/>
                <w:rtl/>
              </w:rPr>
              <w:t xml:space="preserve"> 0</w:t>
            </w:r>
          </w:p>
        </w:tc>
        <w:tc>
          <w:tcPr>
            <w:tcW w:w="1170" w:type="dxa"/>
            <w:vAlign w:val="bottom"/>
          </w:tcPr>
          <w:p w14:paraId="1840AA5A" w14:textId="77777777" w:rsidR="00600720" w:rsidRPr="007B5573" w:rsidRDefault="00600720" w:rsidP="008A0C00">
            <w:pPr>
              <w:pStyle w:val="-3"/>
              <w:rPr>
                <w:sz w:val="18"/>
                <w:szCs w:val="18"/>
                <w:rtl/>
              </w:rPr>
            </w:pPr>
            <w:r w:rsidRPr="007B5573">
              <w:rPr>
                <w:rFonts w:hint="cs"/>
                <w:sz w:val="18"/>
                <w:szCs w:val="18"/>
                <w:rtl/>
              </w:rPr>
              <w:t xml:space="preserve"> 0</w:t>
            </w:r>
          </w:p>
        </w:tc>
        <w:tc>
          <w:tcPr>
            <w:tcW w:w="851" w:type="dxa"/>
            <w:vAlign w:val="bottom"/>
          </w:tcPr>
          <w:p w14:paraId="03D3EA9B" w14:textId="77777777" w:rsidR="00600720" w:rsidRPr="007B5573" w:rsidRDefault="00600720" w:rsidP="008A0C00">
            <w:pPr>
              <w:pStyle w:val="-3"/>
              <w:rPr>
                <w:sz w:val="18"/>
                <w:szCs w:val="18"/>
                <w:rtl/>
              </w:rPr>
            </w:pPr>
            <w:r w:rsidRPr="007B5573">
              <w:rPr>
                <w:rFonts w:hint="cs"/>
                <w:sz w:val="18"/>
                <w:szCs w:val="18"/>
                <w:rtl/>
              </w:rPr>
              <w:t xml:space="preserve"> 0</w:t>
            </w:r>
          </w:p>
        </w:tc>
        <w:tc>
          <w:tcPr>
            <w:tcW w:w="709" w:type="dxa"/>
            <w:vAlign w:val="bottom"/>
          </w:tcPr>
          <w:p w14:paraId="73DC00B7" w14:textId="77777777" w:rsidR="00600720" w:rsidRPr="007B5573" w:rsidRDefault="00600720" w:rsidP="008A0C00">
            <w:pPr>
              <w:pStyle w:val="-3"/>
              <w:rPr>
                <w:sz w:val="18"/>
                <w:szCs w:val="18"/>
                <w:rtl/>
              </w:rPr>
            </w:pPr>
            <w:r w:rsidRPr="007B5573">
              <w:rPr>
                <w:rFonts w:hint="cs"/>
                <w:sz w:val="18"/>
                <w:szCs w:val="18"/>
                <w:rtl/>
              </w:rPr>
              <w:t xml:space="preserve"> 0</w:t>
            </w:r>
          </w:p>
        </w:tc>
      </w:tr>
      <w:tr w:rsidR="00600720" w:rsidRPr="00543C25" w14:paraId="502102AA" w14:textId="77777777" w:rsidTr="00912661">
        <w:tc>
          <w:tcPr>
            <w:tcW w:w="993" w:type="dxa"/>
          </w:tcPr>
          <w:p w14:paraId="5BABB1FB" w14:textId="77777777" w:rsidR="00600720" w:rsidRPr="007B5573" w:rsidRDefault="00600720" w:rsidP="008A0C00">
            <w:pPr>
              <w:pStyle w:val="-0"/>
              <w:rPr>
                <w:sz w:val="18"/>
                <w:szCs w:val="18"/>
                <w:rtl/>
              </w:rPr>
            </w:pPr>
          </w:p>
        </w:tc>
        <w:tc>
          <w:tcPr>
            <w:tcW w:w="4037" w:type="dxa"/>
            <w:gridSpan w:val="2"/>
            <w:vAlign w:val="bottom"/>
          </w:tcPr>
          <w:p w14:paraId="64D7C059" w14:textId="77777777" w:rsidR="00F32A2A" w:rsidRDefault="00600720">
            <w:pPr>
              <w:pStyle w:val="-0"/>
              <w:rPr>
                <w:sz w:val="18"/>
                <w:szCs w:val="18"/>
                <w:rtl/>
              </w:rPr>
            </w:pPr>
            <w:r w:rsidRPr="005F47BE">
              <w:rPr>
                <w:sz w:val="18"/>
                <w:szCs w:val="18"/>
                <w:rtl/>
              </w:rPr>
              <w:t>נכסים אחרים</w:t>
            </w:r>
          </w:p>
        </w:tc>
        <w:tc>
          <w:tcPr>
            <w:tcW w:w="661" w:type="dxa"/>
            <w:vAlign w:val="bottom"/>
          </w:tcPr>
          <w:p w14:paraId="43FB1230" w14:textId="77777777" w:rsidR="00600720" w:rsidRPr="007B5573" w:rsidRDefault="00600720" w:rsidP="008A0C00">
            <w:pPr>
              <w:pStyle w:val="-3"/>
              <w:rPr>
                <w:sz w:val="18"/>
                <w:szCs w:val="18"/>
                <w:rtl/>
              </w:rPr>
            </w:pPr>
            <w:r w:rsidRPr="007B5573">
              <w:rPr>
                <w:rFonts w:hint="cs"/>
                <w:sz w:val="18"/>
                <w:szCs w:val="18"/>
                <w:rtl/>
              </w:rPr>
              <w:t xml:space="preserve"> 0</w:t>
            </w:r>
          </w:p>
        </w:tc>
        <w:tc>
          <w:tcPr>
            <w:tcW w:w="970" w:type="dxa"/>
            <w:vAlign w:val="bottom"/>
          </w:tcPr>
          <w:p w14:paraId="11F59EF2" w14:textId="77777777" w:rsidR="00600720" w:rsidRPr="007B5573" w:rsidRDefault="00600720" w:rsidP="008A0C00">
            <w:pPr>
              <w:pStyle w:val="-3"/>
              <w:rPr>
                <w:sz w:val="18"/>
                <w:szCs w:val="18"/>
                <w:rtl/>
              </w:rPr>
            </w:pPr>
            <w:r w:rsidRPr="007B5573">
              <w:rPr>
                <w:rFonts w:hint="cs"/>
                <w:sz w:val="18"/>
                <w:szCs w:val="18"/>
                <w:rtl/>
              </w:rPr>
              <w:t xml:space="preserve"> 0</w:t>
            </w:r>
          </w:p>
        </w:tc>
        <w:tc>
          <w:tcPr>
            <w:tcW w:w="816" w:type="dxa"/>
            <w:vAlign w:val="bottom"/>
          </w:tcPr>
          <w:p w14:paraId="16DF65C9" w14:textId="77777777" w:rsidR="00600720" w:rsidRPr="007B5573" w:rsidRDefault="00600720" w:rsidP="008A0C00">
            <w:pPr>
              <w:pStyle w:val="-3"/>
              <w:rPr>
                <w:sz w:val="18"/>
                <w:szCs w:val="18"/>
                <w:rtl/>
              </w:rPr>
            </w:pPr>
            <w:r w:rsidRPr="007B5573">
              <w:rPr>
                <w:rFonts w:hint="cs"/>
                <w:sz w:val="18"/>
                <w:szCs w:val="18"/>
                <w:rtl/>
              </w:rPr>
              <w:t xml:space="preserve"> 0</w:t>
            </w:r>
          </w:p>
        </w:tc>
        <w:tc>
          <w:tcPr>
            <w:tcW w:w="1170" w:type="dxa"/>
            <w:vAlign w:val="bottom"/>
          </w:tcPr>
          <w:p w14:paraId="13508885" w14:textId="77777777" w:rsidR="00600720" w:rsidRPr="007B5573" w:rsidRDefault="00600720" w:rsidP="008A0C00">
            <w:pPr>
              <w:pStyle w:val="-3"/>
              <w:rPr>
                <w:sz w:val="18"/>
                <w:szCs w:val="18"/>
                <w:rtl/>
              </w:rPr>
            </w:pPr>
            <w:r w:rsidRPr="007B5573">
              <w:rPr>
                <w:rFonts w:hint="cs"/>
                <w:sz w:val="18"/>
                <w:szCs w:val="18"/>
                <w:rtl/>
              </w:rPr>
              <w:t xml:space="preserve"> 0</w:t>
            </w:r>
          </w:p>
        </w:tc>
        <w:tc>
          <w:tcPr>
            <w:tcW w:w="851" w:type="dxa"/>
            <w:vAlign w:val="bottom"/>
          </w:tcPr>
          <w:p w14:paraId="13920826" w14:textId="77777777" w:rsidR="00600720" w:rsidRPr="007B5573" w:rsidRDefault="00600720" w:rsidP="008A0C00">
            <w:pPr>
              <w:pStyle w:val="-3"/>
              <w:rPr>
                <w:sz w:val="18"/>
                <w:szCs w:val="18"/>
                <w:rtl/>
              </w:rPr>
            </w:pPr>
            <w:r w:rsidRPr="007B5573">
              <w:rPr>
                <w:rFonts w:hint="cs"/>
                <w:sz w:val="18"/>
                <w:szCs w:val="18"/>
                <w:rtl/>
              </w:rPr>
              <w:t xml:space="preserve"> 0</w:t>
            </w:r>
          </w:p>
        </w:tc>
        <w:tc>
          <w:tcPr>
            <w:tcW w:w="709" w:type="dxa"/>
            <w:vAlign w:val="bottom"/>
          </w:tcPr>
          <w:p w14:paraId="644F4543" w14:textId="77777777" w:rsidR="00600720" w:rsidRPr="007B5573" w:rsidRDefault="00600720" w:rsidP="008A0C00">
            <w:pPr>
              <w:pStyle w:val="-3"/>
              <w:rPr>
                <w:sz w:val="18"/>
                <w:szCs w:val="18"/>
                <w:rtl/>
              </w:rPr>
            </w:pPr>
            <w:r w:rsidRPr="007B5573">
              <w:rPr>
                <w:rFonts w:hint="cs"/>
                <w:sz w:val="18"/>
                <w:szCs w:val="18"/>
                <w:rtl/>
              </w:rPr>
              <w:t xml:space="preserve"> 0</w:t>
            </w:r>
          </w:p>
        </w:tc>
      </w:tr>
      <w:tr w:rsidR="00600720" w:rsidRPr="00543C25" w14:paraId="2E158B9A" w14:textId="77777777" w:rsidTr="00912661">
        <w:tc>
          <w:tcPr>
            <w:tcW w:w="993" w:type="dxa"/>
          </w:tcPr>
          <w:p w14:paraId="1D70201B" w14:textId="77777777" w:rsidR="00600720" w:rsidRPr="007B5573" w:rsidRDefault="00600720" w:rsidP="008A0C00">
            <w:pPr>
              <w:pStyle w:val="-0"/>
              <w:rPr>
                <w:sz w:val="18"/>
                <w:szCs w:val="18"/>
                <w:rtl/>
              </w:rPr>
            </w:pPr>
          </w:p>
        </w:tc>
        <w:tc>
          <w:tcPr>
            <w:tcW w:w="4037" w:type="dxa"/>
            <w:gridSpan w:val="2"/>
            <w:vAlign w:val="bottom"/>
          </w:tcPr>
          <w:p w14:paraId="718C784F" w14:textId="77777777" w:rsidR="00CF2A74" w:rsidRPr="00030C7C" w:rsidRDefault="00600720" w:rsidP="00F20CEF">
            <w:pPr>
              <w:pStyle w:val="-21"/>
              <w:ind w:left="0" w:right="-284" w:firstLine="0"/>
              <w:rPr>
                <w:sz w:val="18"/>
                <w:szCs w:val="18"/>
                <w:rtl/>
              </w:rPr>
            </w:pPr>
            <w:r w:rsidRPr="00030C7C">
              <w:rPr>
                <w:rFonts w:hint="eastAsia"/>
                <w:sz w:val="18"/>
                <w:szCs w:val="18"/>
                <w:rtl/>
              </w:rPr>
              <w:t>נכסים</w:t>
            </w:r>
            <w:r w:rsidRPr="00030C7C">
              <w:rPr>
                <w:sz w:val="18"/>
                <w:szCs w:val="18"/>
                <w:rtl/>
              </w:rPr>
              <w:t xml:space="preserve"> </w:t>
            </w:r>
            <w:r w:rsidRPr="00030C7C">
              <w:rPr>
                <w:rFonts w:hint="eastAsia"/>
                <w:sz w:val="18"/>
                <w:szCs w:val="18"/>
                <w:rtl/>
              </w:rPr>
              <w:t>המיוחסים</w:t>
            </w:r>
            <w:r w:rsidRPr="00030C7C">
              <w:rPr>
                <w:sz w:val="18"/>
                <w:szCs w:val="18"/>
                <w:rtl/>
              </w:rPr>
              <w:t xml:space="preserve"> </w:t>
            </w:r>
            <w:r w:rsidRPr="00030C7C">
              <w:rPr>
                <w:rFonts w:hint="eastAsia"/>
                <w:sz w:val="18"/>
                <w:szCs w:val="18"/>
                <w:rtl/>
              </w:rPr>
              <w:t>לפעילו</w:t>
            </w:r>
            <w:r w:rsidR="00AC69BF" w:rsidRPr="00030C7C">
              <w:rPr>
                <w:rFonts w:hint="eastAsia"/>
                <w:sz w:val="18"/>
                <w:szCs w:val="18"/>
                <w:rtl/>
              </w:rPr>
              <w:t>יו</w:t>
            </w:r>
            <w:r w:rsidRPr="00030C7C">
              <w:rPr>
                <w:rFonts w:hint="eastAsia"/>
                <w:sz w:val="18"/>
                <w:szCs w:val="18"/>
                <w:rtl/>
              </w:rPr>
              <w:t>ת</w:t>
            </w:r>
            <w:r w:rsidRPr="00030C7C">
              <w:rPr>
                <w:sz w:val="18"/>
                <w:szCs w:val="18"/>
                <w:rtl/>
              </w:rPr>
              <w:t xml:space="preserve"> </w:t>
            </w:r>
            <w:r w:rsidRPr="00030C7C">
              <w:rPr>
                <w:rFonts w:hint="eastAsia"/>
                <w:sz w:val="18"/>
                <w:szCs w:val="18"/>
                <w:rtl/>
              </w:rPr>
              <w:t>שהופסק</w:t>
            </w:r>
            <w:r w:rsidR="00AC69BF" w:rsidRPr="00030C7C">
              <w:rPr>
                <w:rFonts w:hint="eastAsia"/>
                <w:sz w:val="18"/>
                <w:szCs w:val="18"/>
                <w:rtl/>
              </w:rPr>
              <w:t>ו</w:t>
            </w:r>
            <w:r w:rsidRPr="00030C7C">
              <w:rPr>
                <w:sz w:val="18"/>
                <w:szCs w:val="18"/>
                <w:rtl/>
              </w:rPr>
              <w:t>/</w:t>
            </w:r>
            <w:r w:rsidR="007E66EC" w:rsidRPr="00030C7C">
              <w:rPr>
                <w:sz w:val="18"/>
                <w:szCs w:val="18"/>
                <w:rtl/>
              </w:rPr>
              <w:t xml:space="preserve"> </w:t>
            </w:r>
            <w:r w:rsidRPr="00030C7C">
              <w:rPr>
                <w:rFonts w:hint="eastAsia"/>
                <w:sz w:val="18"/>
                <w:szCs w:val="18"/>
                <w:rtl/>
              </w:rPr>
              <w:t>נכסים</w:t>
            </w:r>
            <w:r w:rsidRPr="00030C7C">
              <w:rPr>
                <w:sz w:val="18"/>
                <w:szCs w:val="18"/>
                <w:rtl/>
              </w:rPr>
              <w:t xml:space="preserve"> (</w:t>
            </w:r>
            <w:r w:rsidR="0061548D" w:rsidRPr="00030C7C">
              <w:rPr>
                <w:rFonts w:hint="eastAsia"/>
                <w:sz w:val="18"/>
                <w:szCs w:val="18"/>
                <w:rtl/>
              </w:rPr>
              <w:t>בגין</w:t>
            </w:r>
            <w:r w:rsidR="0061548D" w:rsidRPr="00030C7C">
              <w:rPr>
                <w:sz w:val="18"/>
                <w:szCs w:val="18"/>
                <w:rtl/>
              </w:rPr>
              <w:t xml:space="preserve"> </w:t>
            </w:r>
            <w:r w:rsidRPr="00030C7C">
              <w:rPr>
                <w:rFonts w:hint="eastAsia"/>
                <w:sz w:val="18"/>
                <w:szCs w:val="18"/>
                <w:rtl/>
              </w:rPr>
              <w:t>קבוצת</w:t>
            </w:r>
            <w:r w:rsidRPr="00030C7C">
              <w:rPr>
                <w:sz w:val="18"/>
                <w:szCs w:val="18"/>
                <w:rtl/>
              </w:rPr>
              <w:t xml:space="preserve"> </w:t>
            </w:r>
            <w:r w:rsidRPr="00030C7C">
              <w:rPr>
                <w:rFonts w:hint="eastAsia"/>
                <w:sz w:val="18"/>
                <w:szCs w:val="18"/>
                <w:rtl/>
              </w:rPr>
              <w:t>מימוש</w:t>
            </w:r>
            <w:r w:rsidRPr="00030C7C">
              <w:rPr>
                <w:sz w:val="18"/>
                <w:szCs w:val="18"/>
                <w:rtl/>
              </w:rPr>
              <w:t xml:space="preserve">) </w:t>
            </w:r>
            <w:r w:rsidRPr="00030C7C">
              <w:rPr>
                <w:rFonts w:hint="eastAsia"/>
                <w:sz w:val="18"/>
                <w:szCs w:val="18"/>
                <w:rtl/>
              </w:rPr>
              <w:t>המסווגים</w:t>
            </w:r>
            <w:r w:rsidRPr="00030C7C">
              <w:rPr>
                <w:sz w:val="18"/>
                <w:szCs w:val="18"/>
                <w:rtl/>
              </w:rPr>
              <w:t xml:space="preserve"> </w:t>
            </w:r>
            <w:r w:rsidRPr="00030C7C">
              <w:rPr>
                <w:rFonts w:hint="eastAsia"/>
                <w:sz w:val="18"/>
                <w:szCs w:val="18"/>
                <w:rtl/>
              </w:rPr>
              <w:t>כמוחזקים</w:t>
            </w:r>
            <w:r w:rsidRPr="00030C7C">
              <w:rPr>
                <w:sz w:val="18"/>
                <w:szCs w:val="18"/>
                <w:rtl/>
              </w:rPr>
              <w:t xml:space="preserve"> </w:t>
            </w:r>
            <w:r w:rsidRPr="00030C7C">
              <w:rPr>
                <w:rFonts w:hint="eastAsia"/>
                <w:sz w:val="18"/>
                <w:szCs w:val="18"/>
                <w:rtl/>
              </w:rPr>
              <w:t>למכירה</w:t>
            </w:r>
          </w:p>
        </w:tc>
        <w:tc>
          <w:tcPr>
            <w:tcW w:w="661" w:type="dxa"/>
            <w:vAlign w:val="bottom"/>
          </w:tcPr>
          <w:p w14:paraId="34F059FF" w14:textId="77777777" w:rsidR="00CF2A74" w:rsidRDefault="00600720" w:rsidP="00CF2A74">
            <w:pPr>
              <w:pStyle w:val="-3"/>
              <w:pBdr>
                <w:bottom w:val="single" w:sz="4" w:space="1" w:color="auto"/>
              </w:pBdr>
              <w:rPr>
                <w:sz w:val="18"/>
                <w:szCs w:val="18"/>
                <w:rtl/>
              </w:rPr>
            </w:pPr>
            <w:r w:rsidRPr="007B5573">
              <w:rPr>
                <w:rFonts w:hint="cs"/>
                <w:sz w:val="18"/>
                <w:szCs w:val="18"/>
                <w:rtl/>
              </w:rPr>
              <w:t xml:space="preserve"> 0</w:t>
            </w:r>
          </w:p>
        </w:tc>
        <w:tc>
          <w:tcPr>
            <w:tcW w:w="970" w:type="dxa"/>
            <w:vAlign w:val="bottom"/>
          </w:tcPr>
          <w:p w14:paraId="03B969AD" w14:textId="77777777" w:rsidR="00CF2A74" w:rsidRDefault="00600720" w:rsidP="00CF2A74">
            <w:pPr>
              <w:pStyle w:val="-3"/>
              <w:pBdr>
                <w:bottom w:val="single" w:sz="4" w:space="1" w:color="auto"/>
              </w:pBdr>
              <w:rPr>
                <w:sz w:val="18"/>
                <w:szCs w:val="18"/>
                <w:rtl/>
              </w:rPr>
            </w:pPr>
            <w:r w:rsidRPr="007B5573">
              <w:rPr>
                <w:rFonts w:hint="cs"/>
                <w:sz w:val="18"/>
                <w:szCs w:val="18"/>
                <w:rtl/>
              </w:rPr>
              <w:t xml:space="preserve"> 0</w:t>
            </w:r>
          </w:p>
        </w:tc>
        <w:tc>
          <w:tcPr>
            <w:tcW w:w="816" w:type="dxa"/>
            <w:vAlign w:val="bottom"/>
          </w:tcPr>
          <w:p w14:paraId="7B17C3BF" w14:textId="77777777" w:rsidR="00CF2A74" w:rsidRDefault="00600720" w:rsidP="00CF2A74">
            <w:pPr>
              <w:pStyle w:val="-3"/>
              <w:pBdr>
                <w:bottom w:val="single" w:sz="4" w:space="1" w:color="auto"/>
              </w:pBdr>
              <w:rPr>
                <w:sz w:val="18"/>
                <w:szCs w:val="18"/>
                <w:rtl/>
              </w:rPr>
            </w:pPr>
            <w:r w:rsidRPr="007B5573">
              <w:rPr>
                <w:rFonts w:hint="cs"/>
                <w:sz w:val="18"/>
                <w:szCs w:val="18"/>
                <w:rtl/>
              </w:rPr>
              <w:t xml:space="preserve"> 0</w:t>
            </w:r>
          </w:p>
        </w:tc>
        <w:tc>
          <w:tcPr>
            <w:tcW w:w="1170" w:type="dxa"/>
            <w:vAlign w:val="bottom"/>
          </w:tcPr>
          <w:p w14:paraId="59BD758A" w14:textId="77777777" w:rsidR="00CF2A74" w:rsidRDefault="00600720" w:rsidP="00CF2A74">
            <w:pPr>
              <w:pStyle w:val="-3"/>
              <w:pBdr>
                <w:bottom w:val="single" w:sz="4" w:space="1" w:color="auto"/>
              </w:pBdr>
              <w:rPr>
                <w:sz w:val="18"/>
                <w:szCs w:val="18"/>
                <w:rtl/>
              </w:rPr>
            </w:pPr>
            <w:r w:rsidRPr="007B5573">
              <w:rPr>
                <w:rFonts w:hint="cs"/>
                <w:sz w:val="18"/>
                <w:szCs w:val="18"/>
                <w:rtl/>
              </w:rPr>
              <w:t xml:space="preserve"> 0</w:t>
            </w:r>
          </w:p>
        </w:tc>
        <w:tc>
          <w:tcPr>
            <w:tcW w:w="851" w:type="dxa"/>
            <w:vAlign w:val="bottom"/>
          </w:tcPr>
          <w:p w14:paraId="54531269" w14:textId="77777777" w:rsidR="00CF2A74" w:rsidRDefault="00600720" w:rsidP="00CF2A74">
            <w:pPr>
              <w:pStyle w:val="-3"/>
              <w:pBdr>
                <w:bottom w:val="single" w:sz="4" w:space="1" w:color="auto"/>
              </w:pBdr>
              <w:rPr>
                <w:sz w:val="18"/>
                <w:szCs w:val="18"/>
                <w:rtl/>
              </w:rPr>
            </w:pPr>
            <w:r w:rsidRPr="007B5573">
              <w:rPr>
                <w:rFonts w:hint="cs"/>
                <w:sz w:val="18"/>
                <w:szCs w:val="18"/>
                <w:rtl/>
              </w:rPr>
              <w:t xml:space="preserve"> 0</w:t>
            </w:r>
          </w:p>
        </w:tc>
        <w:tc>
          <w:tcPr>
            <w:tcW w:w="709" w:type="dxa"/>
            <w:vAlign w:val="bottom"/>
          </w:tcPr>
          <w:p w14:paraId="11F639D6" w14:textId="77777777" w:rsidR="00CF2A74" w:rsidRDefault="00600720" w:rsidP="00CF2A74">
            <w:pPr>
              <w:pStyle w:val="-3"/>
              <w:pBdr>
                <w:bottom w:val="single" w:sz="4" w:space="1" w:color="auto"/>
              </w:pBdr>
              <w:rPr>
                <w:sz w:val="18"/>
                <w:szCs w:val="18"/>
                <w:rtl/>
              </w:rPr>
            </w:pPr>
            <w:r w:rsidRPr="007B5573">
              <w:rPr>
                <w:rFonts w:hint="cs"/>
                <w:sz w:val="18"/>
                <w:szCs w:val="18"/>
                <w:rtl/>
              </w:rPr>
              <w:t xml:space="preserve"> 0</w:t>
            </w:r>
          </w:p>
        </w:tc>
      </w:tr>
      <w:tr w:rsidR="00600720" w:rsidRPr="00543C25" w14:paraId="50C59050" w14:textId="77777777" w:rsidTr="00912661">
        <w:tc>
          <w:tcPr>
            <w:tcW w:w="993" w:type="dxa"/>
          </w:tcPr>
          <w:p w14:paraId="0B996A04" w14:textId="77777777" w:rsidR="00600720" w:rsidRPr="007B5573" w:rsidRDefault="00600720" w:rsidP="008A0C00">
            <w:pPr>
              <w:pStyle w:val="-b"/>
              <w:rPr>
                <w:sz w:val="18"/>
                <w:szCs w:val="18"/>
                <w:rtl/>
              </w:rPr>
            </w:pPr>
          </w:p>
        </w:tc>
        <w:tc>
          <w:tcPr>
            <w:tcW w:w="4037" w:type="dxa"/>
            <w:gridSpan w:val="2"/>
            <w:vAlign w:val="bottom"/>
          </w:tcPr>
          <w:p w14:paraId="1784D17B" w14:textId="77777777" w:rsidR="00600720" w:rsidRPr="005F47BE" w:rsidRDefault="00600720" w:rsidP="008A0C00">
            <w:pPr>
              <w:pStyle w:val="-b"/>
              <w:rPr>
                <w:sz w:val="18"/>
                <w:szCs w:val="18"/>
                <w:rtl/>
              </w:rPr>
            </w:pPr>
            <w:r w:rsidRPr="005F47BE">
              <w:rPr>
                <w:sz w:val="18"/>
                <w:szCs w:val="18"/>
                <w:rtl/>
              </w:rPr>
              <w:t>סך כל הנכסים</w:t>
            </w:r>
          </w:p>
        </w:tc>
        <w:tc>
          <w:tcPr>
            <w:tcW w:w="661" w:type="dxa"/>
            <w:vAlign w:val="bottom"/>
          </w:tcPr>
          <w:p w14:paraId="5D650DBC" w14:textId="77777777" w:rsidR="00CF2A74" w:rsidRDefault="00600720" w:rsidP="00CF2A74">
            <w:pPr>
              <w:pStyle w:val="-0"/>
              <w:pBdr>
                <w:bottom w:val="single" w:sz="4" w:space="1" w:color="auto"/>
              </w:pBdr>
              <w:rPr>
                <w:b/>
                <w:bCs/>
                <w:sz w:val="18"/>
                <w:szCs w:val="18"/>
                <w:rtl/>
              </w:rPr>
            </w:pPr>
            <w:r w:rsidRPr="007B5573">
              <w:rPr>
                <w:rFonts w:hint="cs"/>
                <w:b/>
                <w:bCs/>
                <w:sz w:val="18"/>
                <w:szCs w:val="18"/>
                <w:rtl/>
              </w:rPr>
              <w:t xml:space="preserve"> 0</w:t>
            </w:r>
          </w:p>
        </w:tc>
        <w:tc>
          <w:tcPr>
            <w:tcW w:w="970" w:type="dxa"/>
            <w:vAlign w:val="bottom"/>
          </w:tcPr>
          <w:p w14:paraId="08CCCC07" w14:textId="77777777" w:rsidR="00CF2A74" w:rsidRDefault="00600720" w:rsidP="00CF2A74">
            <w:pPr>
              <w:pStyle w:val="-0"/>
              <w:pBdr>
                <w:bottom w:val="single" w:sz="4" w:space="1" w:color="auto"/>
              </w:pBdr>
              <w:rPr>
                <w:b/>
                <w:bCs/>
                <w:sz w:val="18"/>
                <w:szCs w:val="18"/>
                <w:rtl/>
              </w:rPr>
            </w:pPr>
            <w:r w:rsidRPr="007B5573">
              <w:rPr>
                <w:rFonts w:hint="cs"/>
                <w:b/>
                <w:bCs/>
                <w:sz w:val="18"/>
                <w:szCs w:val="18"/>
                <w:rtl/>
              </w:rPr>
              <w:t xml:space="preserve"> 0</w:t>
            </w:r>
          </w:p>
        </w:tc>
        <w:tc>
          <w:tcPr>
            <w:tcW w:w="816" w:type="dxa"/>
            <w:vAlign w:val="bottom"/>
          </w:tcPr>
          <w:p w14:paraId="33BBDD25" w14:textId="77777777" w:rsidR="00CF2A74" w:rsidRDefault="00600720" w:rsidP="00CF2A74">
            <w:pPr>
              <w:pStyle w:val="-0"/>
              <w:pBdr>
                <w:bottom w:val="single" w:sz="4" w:space="1" w:color="auto"/>
              </w:pBdr>
              <w:rPr>
                <w:b/>
                <w:bCs/>
                <w:sz w:val="18"/>
                <w:szCs w:val="18"/>
                <w:rtl/>
              </w:rPr>
            </w:pPr>
            <w:r w:rsidRPr="007B5573">
              <w:rPr>
                <w:rFonts w:hint="cs"/>
                <w:b/>
                <w:bCs/>
                <w:sz w:val="18"/>
                <w:szCs w:val="18"/>
                <w:rtl/>
              </w:rPr>
              <w:t xml:space="preserve"> 0</w:t>
            </w:r>
          </w:p>
        </w:tc>
        <w:tc>
          <w:tcPr>
            <w:tcW w:w="1170" w:type="dxa"/>
            <w:vAlign w:val="bottom"/>
          </w:tcPr>
          <w:p w14:paraId="491F9B8C" w14:textId="77777777" w:rsidR="00CF2A74" w:rsidRDefault="00600720" w:rsidP="00CF2A74">
            <w:pPr>
              <w:pStyle w:val="-0"/>
              <w:pBdr>
                <w:bottom w:val="single" w:sz="4" w:space="1" w:color="auto"/>
              </w:pBdr>
              <w:rPr>
                <w:b/>
                <w:bCs/>
                <w:sz w:val="18"/>
                <w:szCs w:val="18"/>
                <w:rtl/>
              </w:rPr>
            </w:pPr>
            <w:r w:rsidRPr="007B5573">
              <w:rPr>
                <w:rFonts w:hint="cs"/>
                <w:b/>
                <w:bCs/>
                <w:sz w:val="18"/>
                <w:szCs w:val="18"/>
                <w:rtl/>
              </w:rPr>
              <w:t xml:space="preserve"> 0</w:t>
            </w:r>
          </w:p>
        </w:tc>
        <w:tc>
          <w:tcPr>
            <w:tcW w:w="851" w:type="dxa"/>
            <w:vAlign w:val="bottom"/>
          </w:tcPr>
          <w:p w14:paraId="5C9F3228" w14:textId="77777777" w:rsidR="00CF2A74" w:rsidRDefault="00600720" w:rsidP="00CF2A74">
            <w:pPr>
              <w:pStyle w:val="-0"/>
              <w:pBdr>
                <w:bottom w:val="single" w:sz="4" w:space="1" w:color="auto"/>
              </w:pBdr>
              <w:rPr>
                <w:b/>
                <w:bCs/>
                <w:sz w:val="18"/>
                <w:szCs w:val="18"/>
                <w:rtl/>
              </w:rPr>
            </w:pPr>
            <w:r w:rsidRPr="007B5573">
              <w:rPr>
                <w:rFonts w:hint="cs"/>
                <w:b/>
                <w:bCs/>
                <w:sz w:val="18"/>
                <w:szCs w:val="18"/>
                <w:rtl/>
              </w:rPr>
              <w:t xml:space="preserve"> 0</w:t>
            </w:r>
          </w:p>
        </w:tc>
        <w:tc>
          <w:tcPr>
            <w:tcW w:w="709" w:type="dxa"/>
            <w:vAlign w:val="bottom"/>
          </w:tcPr>
          <w:p w14:paraId="625422BD" w14:textId="77777777" w:rsidR="00CF2A74" w:rsidRDefault="00600720" w:rsidP="00CF2A74">
            <w:pPr>
              <w:pStyle w:val="-0"/>
              <w:pBdr>
                <w:bottom w:val="single" w:sz="4" w:space="1" w:color="auto"/>
              </w:pBdr>
              <w:rPr>
                <w:b/>
                <w:bCs/>
                <w:sz w:val="18"/>
                <w:szCs w:val="18"/>
                <w:rtl/>
              </w:rPr>
            </w:pPr>
            <w:r w:rsidRPr="007B5573">
              <w:rPr>
                <w:rFonts w:hint="cs"/>
                <w:b/>
                <w:bCs/>
                <w:sz w:val="18"/>
                <w:szCs w:val="18"/>
                <w:rtl/>
              </w:rPr>
              <w:t xml:space="preserve"> 0</w:t>
            </w:r>
          </w:p>
        </w:tc>
      </w:tr>
      <w:tr w:rsidR="00600720" w:rsidRPr="007D1EEE" w14:paraId="6AB2F3A8" w14:textId="77777777" w:rsidTr="00912661">
        <w:tc>
          <w:tcPr>
            <w:tcW w:w="993" w:type="dxa"/>
          </w:tcPr>
          <w:p w14:paraId="463E3D3B" w14:textId="77777777" w:rsidR="003139A7" w:rsidRDefault="003139A7">
            <w:pPr>
              <w:pStyle w:val="-0"/>
              <w:bidi w:val="0"/>
              <w:spacing w:line="60" w:lineRule="exact"/>
              <w:ind w:left="142" w:hanging="142"/>
              <w:jc w:val="both"/>
              <w:rPr>
                <w:sz w:val="14"/>
                <w:szCs w:val="14"/>
                <w:rtl/>
              </w:rPr>
            </w:pPr>
          </w:p>
        </w:tc>
        <w:tc>
          <w:tcPr>
            <w:tcW w:w="4037" w:type="dxa"/>
            <w:gridSpan w:val="2"/>
            <w:vAlign w:val="bottom"/>
          </w:tcPr>
          <w:p w14:paraId="5CBFD70D" w14:textId="77777777" w:rsidR="003139A7" w:rsidRPr="005F47BE" w:rsidRDefault="003139A7">
            <w:pPr>
              <w:pStyle w:val="-0"/>
              <w:bidi w:val="0"/>
              <w:spacing w:line="60" w:lineRule="exact"/>
              <w:ind w:left="142" w:hanging="142"/>
              <w:jc w:val="both"/>
              <w:rPr>
                <w:sz w:val="18"/>
                <w:szCs w:val="18"/>
                <w:rtl/>
              </w:rPr>
            </w:pPr>
          </w:p>
        </w:tc>
        <w:tc>
          <w:tcPr>
            <w:tcW w:w="661" w:type="dxa"/>
          </w:tcPr>
          <w:p w14:paraId="46A9E6AA" w14:textId="77777777" w:rsidR="00CF2A74" w:rsidRDefault="00CF2A74" w:rsidP="00CF2A74">
            <w:pPr>
              <w:pStyle w:val="-0"/>
              <w:bidi w:val="0"/>
              <w:spacing w:line="60" w:lineRule="exact"/>
              <w:ind w:left="142" w:hanging="142"/>
              <w:jc w:val="both"/>
              <w:rPr>
                <w:sz w:val="14"/>
                <w:szCs w:val="14"/>
                <w:rtl/>
              </w:rPr>
            </w:pPr>
          </w:p>
        </w:tc>
        <w:tc>
          <w:tcPr>
            <w:tcW w:w="970" w:type="dxa"/>
          </w:tcPr>
          <w:p w14:paraId="7F02D288" w14:textId="77777777" w:rsidR="00CF2A74" w:rsidRDefault="00CF2A74" w:rsidP="00CF2A74">
            <w:pPr>
              <w:pStyle w:val="-0"/>
              <w:bidi w:val="0"/>
              <w:spacing w:line="60" w:lineRule="exact"/>
              <w:ind w:left="142" w:hanging="142"/>
              <w:jc w:val="both"/>
              <w:rPr>
                <w:sz w:val="14"/>
                <w:szCs w:val="14"/>
                <w:rtl/>
              </w:rPr>
            </w:pPr>
          </w:p>
        </w:tc>
        <w:tc>
          <w:tcPr>
            <w:tcW w:w="816" w:type="dxa"/>
          </w:tcPr>
          <w:p w14:paraId="2A53B640" w14:textId="77777777" w:rsidR="00CF2A74" w:rsidRDefault="00CF2A74" w:rsidP="00CF2A74">
            <w:pPr>
              <w:pStyle w:val="-0"/>
              <w:bidi w:val="0"/>
              <w:spacing w:line="60" w:lineRule="exact"/>
              <w:ind w:left="142" w:hanging="142"/>
              <w:jc w:val="both"/>
              <w:rPr>
                <w:sz w:val="14"/>
                <w:szCs w:val="14"/>
                <w:rtl/>
              </w:rPr>
            </w:pPr>
          </w:p>
        </w:tc>
        <w:tc>
          <w:tcPr>
            <w:tcW w:w="1170" w:type="dxa"/>
          </w:tcPr>
          <w:p w14:paraId="68837F0D" w14:textId="77777777" w:rsidR="00CF2A74" w:rsidRDefault="00CF2A74" w:rsidP="00CF2A74">
            <w:pPr>
              <w:pStyle w:val="-0"/>
              <w:bidi w:val="0"/>
              <w:spacing w:line="60" w:lineRule="exact"/>
              <w:ind w:left="142" w:hanging="142"/>
              <w:jc w:val="both"/>
              <w:rPr>
                <w:sz w:val="14"/>
                <w:szCs w:val="14"/>
                <w:rtl/>
              </w:rPr>
            </w:pPr>
          </w:p>
        </w:tc>
        <w:tc>
          <w:tcPr>
            <w:tcW w:w="851" w:type="dxa"/>
          </w:tcPr>
          <w:p w14:paraId="17AE12B5" w14:textId="77777777" w:rsidR="00CF2A74" w:rsidRDefault="00CF2A74" w:rsidP="00CF2A74">
            <w:pPr>
              <w:pStyle w:val="-0"/>
              <w:bidi w:val="0"/>
              <w:spacing w:line="60" w:lineRule="exact"/>
              <w:ind w:left="142" w:hanging="142"/>
              <w:jc w:val="both"/>
              <w:rPr>
                <w:sz w:val="14"/>
                <w:szCs w:val="14"/>
                <w:rtl/>
              </w:rPr>
            </w:pPr>
          </w:p>
        </w:tc>
        <w:tc>
          <w:tcPr>
            <w:tcW w:w="709" w:type="dxa"/>
          </w:tcPr>
          <w:p w14:paraId="0C105C56" w14:textId="77777777" w:rsidR="00CF2A74" w:rsidRDefault="00CF2A74" w:rsidP="00CF2A74">
            <w:pPr>
              <w:pStyle w:val="-0"/>
              <w:bidi w:val="0"/>
              <w:spacing w:line="60" w:lineRule="exact"/>
              <w:ind w:left="142" w:hanging="142"/>
              <w:jc w:val="both"/>
              <w:rPr>
                <w:sz w:val="14"/>
                <w:szCs w:val="14"/>
                <w:rtl/>
              </w:rPr>
            </w:pPr>
          </w:p>
        </w:tc>
      </w:tr>
      <w:tr w:rsidR="00600720" w:rsidRPr="00543C25" w14:paraId="718DA63B" w14:textId="77777777" w:rsidTr="00912661">
        <w:tc>
          <w:tcPr>
            <w:tcW w:w="993" w:type="dxa"/>
          </w:tcPr>
          <w:p w14:paraId="6E3A5882" w14:textId="77777777" w:rsidR="00600720" w:rsidRPr="007B5573" w:rsidRDefault="00600720" w:rsidP="008A0C00">
            <w:pPr>
              <w:pStyle w:val="-0"/>
              <w:rPr>
                <w:b/>
                <w:bCs/>
                <w:sz w:val="18"/>
                <w:szCs w:val="18"/>
                <w:u w:val="single"/>
                <w:rtl/>
              </w:rPr>
            </w:pPr>
          </w:p>
        </w:tc>
        <w:tc>
          <w:tcPr>
            <w:tcW w:w="4037" w:type="dxa"/>
            <w:gridSpan w:val="2"/>
            <w:vAlign w:val="bottom"/>
          </w:tcPr>
          <w:p w14:paraId="4F626352" w14:textId="77777777" w:rsidR="00600720" w:rsidRPr="005F47BE" w:rsidRDefault="00600720" w:rsidP="008A0C00">
            <w:pPr>
              <w:pStyle w:val="-0"/>
              <w:rPr>
                <w:b/>
                <w:bCs/>
                <w:sz w:val="18"/>
                <w:szCs w:val="18"/>
                <w:u w:val="single"/>
                <w:rtl/>
              </w:rPr>
            </w:pPr>
            <w:r w:rsidRPr="005F47BE">
              <w:rPr>
                <w:b/>
                <w:bCs/>
                <w:sz w:val="18"/>
                <w:szCs w:val="18"/>
                <w:u w:val="single"/>
                <w:rtl/>
              </w:rPr>
              <w:t>התחייבויות</w:t>
            </w:r>
          </w:p>
        </w:tc>
        <w:tc>
          <w:tcPr>
            <w:tcW w:w="661" w:type="dxa"/>
            <w:vAlign w:val="bottom"/>
          </w:tcPr>
          <w:p w14:paraId="0C891071" w14:textId="77777777" w:rsidR="00600720" w:rsidRPr="007B5573" w:rsidRDefault="00600720" w:rsidP="008A0C00">
            <w:pPr>
              <w:pStyle w:val="-0"/>
              <w:rPr>
                <w:sz w:val="18"/>
                <w:szCs w:val="18"/>
                <w:rtl/>
              </w:rPr>
            </w:pPr>
          </w:p>
        </w:tc>
        <w:tc>
          <w:tcPr>
            <w:tcW w:w="970" w:type="dxa"/>
            <w:vAlign w:val="bottom"/>
          </w:tcPr>
          <w:p w14:paraId="014875C1" w14:textId="77777777" w:rsidR="00600720" w:rsidRPr="007B5573" w:rsidRDefault="00600720" w:rsidP="008A0C00">
            <w:pPr>
              <w:pStyle w:val="-0"/>
              <w:rPr>
                <w:sz w:val="18"/>
                <w:szCs w:val="18"/>
                <w:rtl/>
              </w:rPr>
            </w:pPr>
          </w:p>
        </w:tc>
        <w:tc>
          <w:tcPr>
            <w:tcW w:w="816" w:type="dxa"/>
            <w:vAlign w:val="bottom"/>
          </w:tcPr>
          <w:p w14:paraId="53DA1127" w14:textId="77777777" w:rsidR="00600720" w:rsidRPr="007B5573" w:rsidRDefault="00600720" w:rsidP="008A0C00">
            <w:pPr>
              <w:pStyle w:val="-0"/>
              <w:rPr>
                <w:sz w:val="18"/>
                <w:szCs w:val="18"/>
                <w:rtl/>
              </w:rPr>
            </w:pPr>
          </w:p>
        </w:tc>
        <w:tc>
          <w:tcPr>
            <w:tcW w:w="1170" w:type="dxa"/>
            <w:vAlign w:val="bottom"/>
          </w:tcPr>
          <w:p w14:paraId="6FD0ED2B" w14:textId="77777777" w:rsidR="00600720" w:rsidRPr="007B5573" w:rsidRDefault="00600720" w:rsidP="008A0C00">
            <w:pPr>
              <w:pStyle w:val="-0"/>
              <w:rPr>
                <w:sz w:val="18"/>
                <w:szCs w:val="18"/>
                <w:rtl/>
              </w:rPr>
            </w:pPr>
          </w:p>
        </w:tc>
        <w:tc>
          <w:tcPr>
            <w:tcW w:w="851" w:type="dxa"/>
            <w:vAlign w:val="bottom"/>
          </w:tcPr>
          <w:p w14:paraId="3D27746C" w14:textId="77777777" w:rsidR="00600720" w:rsidRPr="007B5573" w:rsidRDefault="00600720" w:rsidP="008A0C00">
            <w:pPr>
              <w:pStyle w:val="-0"/>
              <w:rPr>
                <w:sz w:val="18"/>
                <w:szCs w:val="18"/>
                <w:rtl/>
              </w:rPr>
            </w:pPr>
          </w:p>
        </w:tc>
        <w:tc>
          <w:tcPr>
            <w:tcW w:w="709" w:type="dxa"/>
            <w:vAlign w:val="bottom"/>
          </w:tcPr>
          <w:p w14:paraId="2DAA18FE" w14:textId="77777777" w:rsidR="00600720" w:rsidRPr="007B5573" w:rsidRDefault="00600720" w:rsidP="008A0C00">
            <w:pPr>
              <w:pStyle w:val="-0"/>
              <w:rPr>
                <w:sz w:val="18"/>
                <w:szCs w:val="18"/>
                <w:rtl/>
              </w:rPr>
            </w:pPr>
          </w:p>
        </w:tc>
      </w:tr>
      <w:tr w:rsidR="00600720" w:rsidRPr="00543C25" w14:paraId="39CF4FFB" w14:textId="77777777" w:rsidTr="00912661">
        <w:tc>
          <w:tcPr>
            <w:tcW w:w="993" w:type="dxa"/>
          </w:tcPr>
          <w:p w14:paraId="622F1D18" w14:textId="77777777" w:rsidR="00600720" w:rsidRPr="007B5573" w:rsidRDefault="00600720" w:rsidP="008A0C00">
            <w:pPr>
              <w:pStyle w:val="-0"/>
              <w:rPr>
                <w:sz w:val="18"/>
                <w:szCs w:val="18"/>
                <w:rtl/>
              </w:rPr>
            </w:pPr>
          </w:p>
        </w:tc>
        <w:tc>
          <w:tcPr>
            <w:tcW w:w="4037" w:type="dxa"/>
            <w:gridSpan w:val="2"/>
            <w:vAlign w:val="bottom"/>
          </w:tcPr>
          <w:p w14:paraId="447BFEB4" w14:textId="77777777" w:rsidR="00600720" w:rsidRPr="005F47BE" w:rsidRDefault="00600720" w:rsidP="008A0C00">
            <w:pPr>
              <w:pStyle w:val="-0"/>
              <w:rPr>
                <w:sz w:val="18"/>
                <w:szCs w:val="18"/>
                <w:rtl/>
              </w:rPr>
            </w:pPr>
            <w:r w:rsidRPr="005F47BE">
              <w:rPr>
                <w:sz w:val="18"/>
                <w:szCs w:val="18"/>
                <w:rtl/>
              </w:rPr>
              <w:t>פ</w:t>
            </w:r>
            <w:r w:rsidRPr="005F47BE">
              <w:rPr>
                <w:rFonts w:hint="cs"/>
                <w:sz w:val="18"/>
                <w:szCs w:val="18"/>
                <w:rtl/>
              </w:rPr>
              <w:t>י</w:t>
            </w:r>
            <w:r w:rsidRPr="005F47BE">
              <w:rPr>
                <w:sz w:val="18"/>
                <w:szCs w:val="18"/>
                <w:rtl/>
              </w:rPr>
              <w:t>קדונות הציבור</w:t>
            </w:r>
          </w:p>
        </w:tc>
        <w:tc>
          <w:tcPr>
            <w:tcW w:w="661" w:type="dxa"/>
            <w:vAlign w:val="bottom"/>
          </w:tcPr>
          <w:p w14:paraId="63E72930" w14:textId="77777777" w:rsidR="00600720" w:rsidRPr="007B5573" w:rsidRDefault="00600720" w:rsidP="008A0C00">
            <w:pPr>
              <w:pStyle w:val="-0"/>
              <w:rPr>
                <w:sz w:val="18"/>
                <w:szCs w:val="18"/>
                <w:rtl/>
              </w:rPr>
            </w:pPr>
            <w:r w:rsidRPr="007B5573">
              <w:rPr>
                <w:rFonts w:hint="cs"/>
                <w:sz w:val="18"/>
                <w:szCs w:val="18"/>
                <w:rtl/>
              </w:rPr>
              <w:t xml:space="preserve"> 0</w:t>
            </w:r>
          </w:p>
        </w:tc>
        <w:tc>
          <w:tcPr>
            <w:tcW w:w="970" w:type="dxa"/>
            <w:vAlign w:val="bottom"/>
          </w:tcPr>
          <w:p w14:paraId="3624028F" w14:textId="77777777" w:rsidR="00600720" w:rsidRPr="007B5573" w:rsidRDefault="00600720" w:rsidP="008A0C00">
            <w:pPr>
              <w:pStyle w:val="-0"/>
              <w:rPr>
                <w:sz w:val="18"/>
                <w:szCs w:val="18"/>
                <w:rtl/>
              </w:rPr>
            </w:pPr>
            <w:r w:rsidRPr="007B5573">
              <w:rPr>
                <w:rFonts w:hint="cs"/>
                <w:sz w:val="18"/>
                <w:szCs w:val="18"/>
                <w:rtl/>
              </w:rPr>
              <w:t xml:space="preserve"> 0</w:t>
            </w:r>
          </w:p>
        </w:tc>
        <w:tc>
          <w:tcPr>
            <w:tcW w:w="816" w:type="dxa"/>
            <w:vAlign w:val="bottom"/>
          </w:tcPr>
          <w:p w14:paraId="1E8305E9" w14:textId="77777777" w:rsidR="00600720" w:rsidRPr="007B5573" w:rsidRDefault="00600720" w:rsidP="008A0C00">
            <w:pPr>
              <w:pStyle w:val="-0"/>
              <w:rPr>
                <w:sz w:val="18"/>
                <w:szCs w:val="18"/>
                <w:rtl/>
              </w:rPr>
            </w:pPr>
            <w:r w:rsidRPr="007B5573">
              <w:rPr>
                <w:rFonts w:hint="cs"/>
                <w:sz w:val="18"/>
                <w:szCs w:val="18"/>
                <w:rtl/>
              </w:rPr>
              <w:t xml:space="preserve"> 0</w:t>
            </w:r>
          </w:p>
        </w:tc>
        <w:tc>
          <w:tcPr>
            <w:tcW w:w="1170" w:type="dxa"/>
            <w:vAlign w:val="bottom"/>
          </w:tcPr>
          <w:p w14:paraId="23868CF2" w14:textId="77777777" w:rsidR="00600720" w:rsidRPr="007B5573" w:rsidRDefault="00600720" w:rsidP="008A0C00">
            <w:pPr>
              <w:pStyle w:val="-0"/>
              <w:rPr>
                <w:sz w:val="18"/>
                <w:szCs w:val="18"/>
                <w:rtl/>
              </w:rPr>
            </w:pPr>
            <w:r w:rsidRPr="007B5573">
              <w:rPr>
                <w:rFonts w:hint="cs"/>
                <w:sz w:val="18"/>
                <w:szCs w:val="18"/>
                <w:rtl/>
              </w:rPr>
              <w:t xml:space="preserve"> 0</w:t>
            </w:r>
          </w:p>
        </w:tc>
        <w:tc>
          <w:tcPr>
            <w:tcW w:w="851" w:type="dxa"/>
            <w:vAlign w:val="bottom"/>
          </w:tcPr>
          <w:p w14:paraId="7BD9D675" w14:textId="77777777" w:rsidR="00600720" w:rsidRPr="007B5573" w:rsidRDefault="00600720" w:rsidP="008A0C00">
            <w:pPr>
              <w:pStyle w:val="-0"/>
              <w:rPr>
                <w:sz w:val="18"/>
                <w:szCs w:val="18"/>
                <w:rtl/>
              </w:rPr>
            </w:pPr>
            <w:r w:rsidRPr="007B5573">
              <w:rPr>
                <w:rFonts w:hint="cs"/>
                <w:sz w:val="18"/>
                <w:szCs w:val="18"/>
                <w:rtl/>
              </w:rPr>
              <w:t xml:space="preserve"> 0</w:t>
            </w:r>
          </w:p>
        </w:tc>
        <w:tc>
          <w:tcPr>
            <w:tcW w:w="709" w:type="dxa"/>
            <w:vAlign w:val="bottom"/>
          </w:tcPr>
          <w:p w14:paraId="6F054FB2" w14:textId="77777777" w:rsidR="00600720" w:rsidRPr="007B5573" w:rsidRDefault="00600720" w:rsidP="008A0C00">
            <w:pPr>
              <w:pStyle w:val="-0"/>
              <w:rPr>
                <w:sz w:val="18"/>
                <w:szCs w:val="18"/>
                <w:rtl/>
              </w:rPr>
            </w:pPr>
            <w:r w:rsidRPr="007B5573">
              <w:rPr>
                <w:rFonts w:hint="cs"/>
                <w:sz w:val="18"/>
                <w:szCs w:val="18"/>
                <w:rtl/>
              </w:rPr>
              <w:t xml:space="preserve"> 0</w:t>
            </w:r>
          </w:p>
        </w:tc>
      </w:tr>
      <w:tr w:rsidR="00600720" w:rsidRPr="00543C25" w14:paraId="211E8185" w14:textId="77777777" w:rsidTr="00912661">
        <w:tc>
          <w:tcPr>
            <w:tcW w:w="993" w:type="dxa"/>
          </w:tcPr>
          <w:p w14:paraId="613C34D0" w14:textId="77777777" w:rsidR="00600720" w:rsidRPr="007B5573" w:rsidRDefault="00600720" w:rsidP="008A0C00">
            <w:pPr>
              <w:pStyle w:val="-0"/>
              <w:rPr>
                <w:sz w:val="18"/>
                <w:szCs w:val="18"/>
                <w:rtl/>
              </w:rPr>
            </w:pPr>
          </w:p>
        </w:tc>
        <w:tc>
          <w:tcPr>
            <w:tcW w:w="4037" w:type="dxa"/>
            <w:gridSpan w:val="2"/>
            <w:vAlign w:val="bottom"/>
          </w:tcPr>
          <w:p w14:paraId="5DC2E73A" w14:textId="77777777" w:rsidR="00600720" w:rsidRPr="005F47BE" w:rsidRDefault="00600720" w:rsidP="008A0C00">
            <w:pPr>
              <w:pStyle w:val="-0"/>
              <w:rPr>
                <w:sz w:val="18"/>
                <w:szCs w:val="18"/>
                <w:rtl/>
              </w:rPr>
            </w:pPr>
            <w:r w:rsidRPr="005F47BE">
              <w:rPr>
                <w:sz w:val="18"/>
                <w:szCs w:val="18"/>
                <w:rtl/>
              </w:rPr>
              <w:t>פ</w:t>
            </w:r>
            <w:r w:rsidRPr="005F47BE">
              <w:rPr>
                <w:rFonts w:hint="cs"/>
                <w:sz w:val="18"/>
                <w:szCs w:val="18"/>
                <w:rtl/>
              </w:rPr>
              <w:t>י</w:t>
            </w:r>
            <w:r w:rsidRPr="005F47BE">
              <w:rPr>
                <w:sz w:val="18"/>
                <w:szCs w:val="18"/>
                <w:rtl/>
              </w:rPr>
              <w:t>קדונות מבנקים</w:t>
            </w:r>
          </w:p>
        </w:tc>
        <w:tc>
          <w:tcPr>
            <w:tcW w:w="661" w:type="dxa"/>
            <w:vAlign w:val="bottom"/>
          </w:tcPr>
          <w:p w14:paraId="192D89D8" w14:textId="77777777" w:rsidR="00600720" w:rsidRPr="007B5573" w:rsidRDefault="00600720" w:rsidP="008A0C00">
            <w:pPr>
              <w:pStyle w:val="-0"/>
              <w:rPr>
                <w:sz w:val="18"/>
                <w:szCs w:val="18"/>
                <w:rtl/>
              </w:rPr>
            </w:pPr>
            <w:r w:rsidRPr="007B5573">
              <w:rPr>
                <w:rFonts w:hint="cs"/>
                <w:sz w:val="18"/>
                <w:szCs w:val="18"/>
                <w:rtl/>
              </w:rPr>
              <w:t xml:space="preserve"> 0</w:t>
            </w:r>
          </w:p>
        </w:tc>
        <w:tc>
          <w:tcPr>
            <w:tcW w:w="970" w:type="dxa"/>
            <w:vAlign w:val="bottom"/>
          </w:tcPr>
          <w:p w14:paraId="030DDAEB" w14:textId="77777777" w:rsidR="00600720" w:rsidRPr="007B5573" w:rsidRDefault="00600720" w:rsidP="008A0C00">
            <w:pPr>
              <w:pStyle w:val="-0"/>
              <w:rPr>
                <w:sz w:val="18"/>
                <w:szCs w:val="18"/>
                <w:rtl/>
              </w:rPr>
            </w:pPr>
            <w:r w:rsidRPr="007B5573">
              <w:rPr>
                <w:rFonts w:hint="cs"/>
                <w:sz w:val="18"/>
                <w:szCs w:val="18"/>
                <w:rtl/>
              </w:rPr>
              <w:t xml:space="preserve"> 0</w:t>
            </w:r>
          </w:p>
        </w:tc>
        <w:tc>
          <w:tcPr>
            <w:tcW w:w="816" w:type="dxa"/>
            <w:vAlign w:val="bottom"/>
          </w:tcPr>
          <w:p w14:paraId="45942CBB" w14:textId="77777777" w:rsidR="00600720" w:rsidRPr="007B5573" w:rsidRDefault="00600720" w:rsidP="008A0C00">
            <w:pPr>
              <w:pStyle w:val="-0"/>
              <w:rPr>
                <w:sz w:val="18"/>
                <w:szCs w:val="18"/>
                <w:rtl/>
              </w:rPr>
            </w:pPr>
            <w:r w:rsidRPr="007B5573">
              <w:rPr>
                <w:rFonts w:hint="cs"/>
                <w:sz w:val="18"/>
                <w:szCs w:val="18"/>
                <w:rtl/>
              </w:rPr>
              <w:t xml:space="preserve"> 0</w:t>
            </w:r>
          </w:p>
        </w:tc>
        <w:tc>
          <w:tcPr>
            <w:tcW w:w="1170" w:type="dxa"/>
            <w:vAlign w:val="bottom"/>
          </w:tcPr>
          <w:p w14:paraId="6084E716" w14:textId="77777777" w:rsidR="00600720" w:rsidRPr="007B5573" w:rsidRDefault="00600720" w:rsidP="008A0C00">
            <w:pPr>
              <w:pStyle w:val="-0"/>
              <w:rPr>
                <w:sz w:val="18"/>
                <w:szCs w:val="18"/>
                <w:rtl/>
              </w:rPr>
            </w:pPr>
            <w:r w:rsidRPr="007B5573">
              <w:rPr>
                <w:rFonts w:hint="cs"/>
                <w:sz w:val="18"/>
                <w:szCs w:val="18"/>
                <w:rtl/>
              </w:rPr>
              <w:t xml:space="preserve"> 0</w:t>
            </w:r>
          </w:p>
        </w:tc>
        <w:tc>
          <w:tcPr>
            <w:tcW w:w="851" w:type="dxa"/>
            <w:vAlign w:val="bottom"/>
          </w:tcPr>
          <w:p w14:paraId="65A23013" w14:textId="77777777" w:rsidR="00600720" w:rsidRPr="007B5573" w:rsidRDefault="00600720" w:rsidP="008A0C00">
            <w:pPr>
              <w:pStyle w:val="-0"/>
              <w:rPr>
                <w:sz w:val="18"/>
                <w:szCs w:val="18"/>
                <w:rtl/>
              </w:rPr>
            </w:pPr>
            <w:r w:rsidRPr="007B5573">
              <w:rPr>
                <w:rFonts w:hint="cs"/>
                <w:sz w:val="18"/>
                <w:szCs w:val="18"/>
                <w:rtl/>
              </w:rPr>
              <w:t xml:space="preserve"> 0</w:t>
            </w:r>
          </w:p>
        </w:tc>
        <w:tc>
          <w:tcPr>
            <w:tcW w:w="709" w:type="dxa"/>
            <w:vAlign w:val="bottom"/>
          </w:tcPr>
          <w:p w14:paraId="1A1B3720" w14:textId="77777777" w:rsidR="00600720" w:rsidRPr="007B5573" w:rsidRDefault="00600720" w:rsidP="008A0C00">
            <w:pPr>
              <w:pStyle w:val="-0"/>
              <w:rPr>
                <w:sz w:val="18"/>
                <w:szCs w:val="18"/>
                <w:rtl/>
              </w:rPr>
            </w:pPr>
            <w:r w:rsidRPr="007B5573">
              <w:rPr>
                <w:rFonts w:hint="cs"/>
                <w:sz w:val="18"/>
                <w:szCs w:val="18"/>
                <w:rtl/>
              </w:rPr>
              <w:t xml:space="preserve"> 0</w:t>
            </w:r>
          </w:p>
        </w:tc>
      </w:tr>
      <w:tr w:rsidR="00600720" w:rsidRPr="00543C25" w14:paraId="56EED8D3" w14:textId="77777777" w:rsidTr="00912661">
        <w:tc>
          <w:tcPr>
            <w:tcW w:w="993" w:type="dxa"/>
          </w:tcPr>
          <w:p w14:paraId="2A5B9C51" w14:textId="77777777" w:rsidR="00600720" w:rsidRPr="007B5573" w:rsidRDefault="00600720" w:rsidP="008A0C00">
            <w:pPr>
              <w:pStyle w:val="-0"/>
              <w:rPr>
                <w:sz w:val="18"/>
                <w:szCs w:val="18"/>
                <w:rtl/>
              </w:rPr>
            </w:pPr>
          </w:p>
        </w:tc>
        <w:tc>
          <w:tcPr>
            <w:tcW w:w="4037" w:type="dxa"/>
            <w:gridSpan w:val="2"/>
            <w:vAlign w:val="bottom"/>
          </w:tcPr>
          <w:p w14:paraId="17889077" w14:textId="77777777" w:rsidR="00600720" w:rsidRPr="005F47BE" w:rsidRDefault="00600720" w:rsidP="008A0C00">
            <w:pPr>
              <w:pStyle w:val="-0"/>
              <w:rPr>
                <w:sz w:val="18"/>
                <w:szCs w:val="18"/>
                <w:rtl/>
              </w:rPr>
            </w:pPr>
            <w:r w:rsidRPr="005F47BE">
              <w:rPr>
                <w:sz w:val="18"/>
                <w:szCs w:val="18"/>
                <w:rtl/>
              </w:rPr>
              <w:t>פ</w:t>
            </w:r>
            <w:r w:rsidRPr="005F47BE">
              <w:rPr>
                <w:rFonts w:hint="cs"/>
                <w:sz w:val="18"/>
                <w:szCs w:val="18"/>
                <w:rtl/>
              </w:rPr>
              <w:t>י</w:t>
            </w:r>
            <w:r w:rsidRPr="005F47BE">
              <w:rPr>
                <w:sz w:val="18"/>
                <w:szCs w:val="18"/>
                <w:rtl/>
              </w:rPr>
              <w:t>קדונות הממשלה</w:t>
            </w:r>
          </w:p>
        </w:tc>
        <w:tc>
          <w:tcPr>
            <w:tcW w:w="661" w:type="dxa"/>
            <w:vAlign w:val="bottom"/>
          </w:tcPr>
          <w:p w14:paraId="6D1AF22E" w14:textId="77777777" w:rsidR="00600720" w:rsidRPr="007B5573" w:rsidRDefault="00600720" w:rsidP="008A0C00">
            <w:pPr>
              <w:pStyle w:val="-0"/>
              <w:rPr>
                <w:sz w:val="18"/>
                <w:szCs w:val="18"/>
                <w:rtl/>
              </w:rPr>
            </w:pPr>
            <w:r w:rsidRPr="007B5573">
              <w:rPr>
                <w:rFonts w:hint="cs"/>
                <w:sz w:val="18"/>
                <w:szCs w:val="18"/>
                <w:rtl/>
              </w:rPr>
              <w:t xml:space="preserve"> 0</w:t>
            </w:r>
          </w:p>
        </w:tc>
        <w:tc>
          <w:tcPr>
            <w:tcW w:w="970" w:type="dxa"/>
            <w:vAlign w:val="bottom"/>
          </w:tcPr>
          <w:p w14:paraId="3DC9BD75" w14:textId="77777777" w:rsidR="00600720" w:rsidRPr="007B5573" w:rsidRDefault="00600720" w:rsidP="008A0C00">
            <w:pPr>
              <w:pStyle w:val="-0"/>
              <w:rPr>
                <w:sz w:val="18"/>
                <w:szCs w:val="18"/>
                <w:rtl/>
              </w:rPr>
            </w:pPr>
            <w:r w:rsidRPr="007B5573">
              <w:rPr>
                <w:rFonts w:hint="cs"/>
                <w:sz w:val="18"/>
                <w:szCs w:val="18"/>
                <w:rtl/>
              </w:rPr>
              <w:t xml:space="preserve"> 0</w:t>
            </w:r>
          </w:p>
        </w:tc>
        <w:tc>
          <w:tcPr>
            <w:tcW w:w="816" w:type="dxa"/>
            <w:vAlign w:val="bottom"/>
          </w:tcPr>
          <w:p w14:paraId="7F75F6F5" w14:textId="77777777" w:rsidR="00600720" w:rsidRPr="007B5573" w:rsidRDefault="00600720" w:rsidP="008A0C00">
            <w:pPr>
              <w:pStyle w:val="-0"/>
              <w:rPr>
                <w:sz w:val="18"/>
                <w:szCs w:val="18"/>
                <w:rtl/>
              </w:rPr>
            </w:pPr>
            <w:r w:rsidRPr="007B5573">
              <w:rPr>
                <w:rFonts w:hint="cs"/>
                <w:sz w:val="18"/>
                <w:szCs w:val="18"/>
                <w:rtl/>
              </w:rPr>
              <w:t xml:space="preserve"> 0</w:t>
            </w:r>
          </w:p>
        </w:tc>
        <w:tc>
          <w:tcPr>
            <w:tcW w:w="1170" w:type="dxa"/>
            <w:vAlign w:val="bottom"/>
          </w:tcPr>
          <w:p w14:paraId="6B9023D1" w14:textId="77777777" w:rsidR="00600720" w:rsidRPr="007B5573" w:rsidRDefault="00600720" w:rsidP="008A0C00">
            <w:pPr>
              <w:pStyle w:val="-0"/>
              <w:rPr>
                <w:sz w:val="18"/>
                <w:szCs w:val="18"/>
                <w:rtl/>
              </w:rPr>
            </w:pPr>
            <w:r w:rsidRPr="007B5573">
              <w:rPr>
                <w:rFonts w:hint="cs"/>
                <w:sz w:val="18"/>
                <w:szCs w:val="18"/>
                <w:rtl/>
              </w:rPr>
              <w:t xml:space="preserve"> 0</w:t>
            </w:r>
          </w:p>
        </w:tc>
        <w:tc>
          <w:tcPr>
            <w:tcW w:w="851" w:type="dxa"/>
            <w:vAlign w:val="bottom"/>
          </w:tcPr>
          <w:p w14:paraId="13BAEADC" w14:textId="77777777" w:rsidR="00600720" w:rsidRPr="007B5573" w:rsidRDefault="00600720" w:rsidP="008A0C00">
            <w:pPr>
              <w:pStyle w:val="-0"/>
              <w:rPr>
                <w:sz w:val="18"/>
                <w:szCs w:val="18"/>
                <w:rtl/>
              </w:rPr>
            </w:pPr>
            <w:r w:rsidRPr="007B5573">
              <w:rPr>
                <w:rFonts w:hint="cs"/>
                <w:sz w:val="18"/>
                <w:szCs w:val="18"/>
                <w:rtl/>
              </w:rPr>
              <w:t xml:space="preserve"> 0</w:t>
            </w:r>
          </w:p>
        </w:tc>
        <w:tc>
          <w:tcPr>
            <w:tcW w:w="709" w:type="dxa"/>
            <w:vAlign w:val="bottom"/>
          </w:tcPr>
          <w:p w14:paraId="04D0BCFD" w14:textId="77777777" w:rsidR="00600720" w:rsidRPr="007B5573" w:rsidRDefault="00600720" w:rsidP="008A0C00">
            <w:pPr>
              <w:pStyle w:val="-0"/>
              <w:rPr>
                <w:sz w:val="18"/>
                <w:szCs w:val="18"/>
                <w:rtl/>
              </w:rPr>
            </w:pPr>
            <w:r w:rsidRPr="007B5573">
              <w:rPr>
                <w:rFonts w:hint="cs"/>
                <w:sz w:val="18"/>
                <w:szCs w:val="18"/>
                <w:rtl/>
              </w:rPr>
              <w:t xml:space="preserve"> 0</w:t>
            </w:r>
          </w:p>
        </w:tc>
      </w:tr>
      <w:tr w:rsidR="00600720" w:rsidRPr="00543C25" w14:paraId="231A8D1A" w14:textId="77777777" w:rsidTr="00912661">
        <w:tc>
          <w:tcPr>
            <w:tcW w:w="993" w:type="dxa"/>
          </w:tcPr>
          <w:p w14:paraId="24010938" w14:textId="77777777" w:rsidR="00600720" w:rsidRPr="007B5573" w:rsidRDefault="00600720" w:rsidP="008A0C00">
            <w:pPr>
              <w:pStyle w:val="-0"/>
              <w:rPr>
                <w:sz w:val="18"/>
                <w:szCs w:val="18"/>
                <w:rtl/>
              </w:rPr>
            </w:pPr>
          </w:p>
        </w:tc>
        <w:tc>
          <w:tcPr>
            <w:tcW w:w="4037" w:type="dxa"/>
            <w:gridSpan w:val="2"/>
            <w:vAlign w:val="bottom"/>
          </w:tcPr>
          <w:p w14:paraId="56CB78C4" w14:textId="77777777" w:rsidR="00600720" w:rsidRPr="005F47BE" w:rsidRDefault="00600720" w:rsidP="008A0C00">
            <w:pPr>
              <w:pStyle w:val="-0"/>
              <w:rPr>
                <w:sz w:val="18"/>
                <w:szCs w:val="18"/>
                <w:rtl/>
              </w:rPr>
            </w:pPr>
            <w:r w:rsidRPr="005F47BE">
              <w:rPr>
                <w:rFonts w:hint="cs"/>
                <w:sz w:val="18"/>
                <w:szCs w:val="18"/>
                <w:rtl/>
              </w:rPr>
              <w:t>ניירות ערך שהושאלו או נמכרו במסגרת הסכמי רכש חוזר</w:t>
            </w:r>
          </w:p>
        </w:tc>
        <w:tc>
          <w:tcPr>
            <w:tcW w:w="661" w:type="dxa"/>
            <w:vAlign w:val="bottom"/>
          </w:tcPr>
          <w:p w14:paraId="56E4E5B9" w14:textId="77777777" w:rsidR="00600720" w:rsidRPr="007B5573" w:rsidRDefault="00600720" w:rsidP="008A0C00">
            <w:pPr>
              <w:pStyle w:val="-0"/>
              <w:rPr>
                <w:sz w:val="18"/>
                <w:szCs w:val="18"/>
                <w:rtl/>
              </w:rPr>
            </w:pPr>
            <w:r w:rsidRPr="007B5573">
              <w:rPr>
                <w:rFonts w:hint="cs"/>
                <w:sz w:val="18"/>
                <w:szCs w:val="18"/>
                <w:rtl/>
              </w:rPr>
              <w:t xml:space="preserve"> 0</w:t>
            </w:r>
          </w:p>
        </w:tc>
        <w:tc>
          <w:tcPr>
            <w:tcW w:w="970" w:type="dxa"/>
            <w:vAlign w:val="bottom"/>
          </w:tcPr>
          <w:p w14:paraId="264DC0FA" w14:textId="77777777" w:rsidR="00600720" w:rsidRPr="007B5573" w:rsidRDefault="00600720" w:rsidP="008A0C00">
            <w:pPr>
              <w:pStyle w:val="-0"/>
              <w:rPr>
                <w:sz w:val="18"/>
                <w:szCs w:val="18"/>
                <w:rtl/>
              </w:rPr>
            </w:pPr>
            <w:r w:rsidRPr="007B5573">
              <w:rPr>
                <w:rFonts w:hint="cs"/>
                <w:sz w:val="18"/>
                <w:szCs w:val="18"/>
                <w:rtl/>
              </w:rPr>
              <w:t xml:space="preserve"> 0</w:t>
            </w:r>
          </w:p>
        </w:tc>
        <w:tc>
          <w:tcPr>
            <w:tcW w:w="816" w:type="dxa"/>
            <w:vAlign w:val="bottom"/>
          </w:tcPr>
          <w:p w14:paraId="0FF0F756" w14:textId="77777777" w:rsidR="00600720" w:rsidRPr="007B5573" w:rsidRDefault="00600720" w:rsidP="008A0C00">
            <w:pPr>
              <w:pStyle w:val="-0"/>
              <w:rPr>
                <w:sz w:val="18"/>
                <w:szCs w:val="18"/>
                <w:rtl/>
              </w:rPr>
            </w:pPr>
            <w:r w:rsidRPr="007B5573">
              <w:rPr>
                <w:rFonts w:hint="cs"/>
                <w:sz w:val="18"/>
                <w:szCs w:val="18"/>
                <w:rtl/>
              </w:rPr>
              <w:t xml:space="preserve"> 0</w:t>
            </w:r>
          </w:p>
        </w:tc>
        <w:tc>
          <w:tcPr>
            <w:tcW w:w="1170" w:type="dxa"/>
            <w:vAlign w:val="bottom"/>
          </w:tcPr>
          <w:p w14:paraId="2A4D60C8" w14:textId="77777777" w:rsidR="00600720" w:rsidRPr="007B5573" w:rsidRDefault="00600720" w:rsidP="008A0C00">
            <w:pPr>
              <w:pStyle w:val="-0"/>
              <w:rPr>
                <w:sz w:val="18"/>
                <w:szCs w:val="18"/>
                <w:rtl/>
              </w:rPr>
            </w:pPr>
            <w:r w:rsidRPr="007B5573">
              <w:rPr>
                <w:rFonts w:hint="cs"/>
                <w:sz w:val="18"/>
                <w:szCs w:val="18"/>
                <w:rtl/>
              </w:rPr>
              <w:t xml:space="preserve"> 0</w:t>
            </w:r>
          </w:p>
        </w:tc>
        <w:tc>
          <w:tcPr>
            <w:tcW w:w="851" w:type="dxa"/>
            <w:vAlign w:val="bottom"/>
          </w:tcPr>
          <w:p w14:paraId="75869785" w14:textId="77777777" w:rsidR="00600720" w:rsidRPr="007B5573" w:rsidRDefault="00600720" w:rsidP="008A0C00">
            <w:pPr>
              <w:pStyle w:val="-0"/>
              <w:rPr>
                <w:sz w:val="18"/>
                <w:szCs w:val="18"/>
                <w:rtl/>
              </w:rPr>
            </w:pPr>
            <w:r w:rsidRPr="007B5573">
              <w:rPr>
                <w:rFonts w:hint="cs"/>
                <w:sz w:val="18"/>
                <w:szCs w:val="18"/>
                <w:rtl/>
              </w:rPr>
              <w:t xml:space="preserve"> 0</w:t>
            </w:r>
          </w:p>
        </w:tc>
        <w:tc>
          <w:tcPr>
            <w:tcW w:w="709" w:type="dxa"/>
            <w:vAlign w:val="bottom"/>
          </w:tcPr>
          <w:p w14:paraId="476FB25E" w14:textId="77777777" w:rsidR="00600720" w:rsidRPr="007B5573" w:rsidRDefault="00600720" w:rsidP="008A0C00">
            <w:pPr>
              <w:pStyle w:val="-0"/>
              <w:rPr>
                <w:sz w:val="18"/>
                <w:szCs w:val="18"/>
                <w:rtl/>
              </w:rPr>
            </w:pPr>
            <w:r w:rsidRPr="007B5573">
              <w:rPr>
                <w:rFonts w:hint="cs"/>
                <w:sz w:val="18"/>
                <w:szCs w:val="18"/>
                <w:rtl/>
              </w:rPr>
              <w:t xml:space="preserve"> 0</w:t>
            </w:r>
          </w:p>
        </w:tc>
      </w:tr>
      <w:tr w:rsidR="00600720" w:rsidRPr="00543C25" w14:paraId="7D13FBD8" w14:textId="77777777" w:rsidTr="00912661">
        <w:tc>
          <w:tcPr>
            <w:tcW w:w="993" w:type="dxa"/>
          </w:tcPr>
          <w:p w14:paraId="4CA3E6D3" w14:textId="77777777" w:rsidR="00600720" w:rsidRPr="007B5573" w:rsidRDefault="00600720" w:rsidP="008A0C00">
            <w:pPr>
              <w:pStyle w:val="-0"/>
              <w:rPr>
                <w:sz w:val="18"/>
                <w:szCs w:val="18"/>
                <w:rtl/>
              </w:rPr>
            </w:pPr>
          </w:p>
        </w:tc>
        <w:tc>
          <w:tcPr>
            <w:tcW w:w="4037" w:type="dxa"/>
            <w:gridSpan w:val="2"/>
            <w:vAlign w:val="bottom"/>
          </w:tcPr>
          <w:p w14:paraId="46DB1853" w14:textId="77777777" w:rsidR="00600720" w:rsidRPr="005F47BE" w:rsidRDefault="00600720" w:rsidP="008A0C00">
            <w:pPr>
              <w:pStyle w:val="-0"/>
              <w:rPr>
                <w:sz w:val="18"/>
                <w:szCs w:val="18"/>
                <w:rtl/>
              </w:rPr>
            </w:pPr>
            <w:r w:rsidRPr="005F47BE">
              <w:rPr>
                <w:sz w:val="18"/>
                <w:szCs w:val="18"/>
                <w:rtl/>
              </w:rPr>
              <w:t>אג"ח וכתבי התחייבות נדחים</w:t>
            </w:r>
          </w:p>
        </w:tc>
        <w:tc>
          <w:tcPr>
            <w:tcW w:w="661" w:type="dxa"/>
            <w:vAlign w:val="bottom"/>
          </w:tcPr>
          <w:p w14:paraId="5E4102AA" w14:textId="77777777" w:rsidR="00600720" w:rsidRPr="007B5573" w:rsidRDefault="00600720" w:rsidP="008A0C00">
            <w:pPr>
              <w:pStyle w:val="-0"/>
              <w:rPr>
                <w:sz w:val="18"/>
                <w:szCs w:val="18"/>
                <w:rtl/>
              </w:rPr>
            </w:pPr>
            <w:r w:rsidRPr="007B5573">
              <w:rPr>
                <w:rFonts w:hint="cs"/>
                <w:sz w:val="18"/>
                <w:szCs w:val="18"/>
                <w:rtl/>
              </w:rPr>
              <w:t xml:space="preserve"> 0</w:t>
            </w:r>
          </w:p>
        </w:tc>
        <w:tc>
          <w:tcPr>
            <w:tcW w:w="970" w:type="dxa"/>
            <w:vAlign w:val="bottom"/>
          </w:tcPr>
          <w:p w14:paraId="7F101DC7" w14:textId="77777777" w:rsidR="00600720" w:rsidRPr="007B5573" w:rsidRDefault="00600720" w:rsidP="008A0C00">
            <w:pPr>
              <w:pStyle w:val="-0"/>
              <w:rPr>
                <w:sz w:val="18"/>
                <w:szCs w:val="18"/>
                <w:rtl/>
              </w:rPr>
            </w:pPr>
            <w:r w:rsidRPr="007B5573">
              <w:rPr>
                <w:rFonts w:hint="cs"/>
                <w:sz w:val="18"/>
                <w:szCs w:val="18"/>
                <w:rtl/>
              </w:rPr>
              <w:t xml:space="preserve"> 0</w:t>
            </w:r>
          </w:p>
        </w:tc>
        <w:tc>
          <w:tcPr>
            <w:tcW w:w="816" w:type="dxa"/>
            <w:vAlign w:val="bottom"/>
          </w:tcPr>
          <w:p w14:paraId="28535C52" w14:textId="77777777" w:rsidR="00600720" w:rsidRPr="007B5573" w:rsidRDefault="00600720" w:rsidP="008A0C00">
            <w:pPr>
              <w:pStyle w:val="-0"/>
              <w:rPr>
                <w:sz w:val="18"/>
                <w:szCs w:val="18"/>
                <w:rtl/>
              </w:rPr>
            </w:pPr>
            <w:r w:rsidRPr="007B5573">
              <w:rPr>
                <w:rFonts w:hint="cs"/>
                <w:sz w:val="18"/>
                <w:szCs w:val="18"/>
                <w:rtl/>
              </w:rPr>
              <w:t xml:space="preserve"> 0</w:t>
            </w:r>
          </w:p>
        </w:tc>
        <w:tc>
          <w:tcPr>
            <w:tcW w:w="1170" w:type="dxa"/>
            <w:vAlign w:val="bottom"/>
          </w:tcPr>
          <w:p w14:paraId="2109878A" w14:textId="77777777" w:rsidR="00600720" w:rsidRPr="007B5573" w:rsidRDefault="00600720" w:rsidP="008A0C00">
            <w:pPr>
              <w:pStyle w:val="-0"/>
              <w:rPr>
                <w:sz w:val="18"/>
                <w:szCs w:val="18"/>
                <w:rtl/>
              </w:rPr>
            </w:pPr>
            <w:r w:rsidRPr="007B5573">
              <w:rPr>
                <w:rFonts w:hint="cs"/>
                <w:sz w:val="18"/>
                <w:szCs w:val="18"/>
                <w:rtl/>
              </w:rPr>
              <w:t xml:space="preserve"> 0</w:t>
            </w:r>
          </w:p>
        </w:tc>
        <w:tc>
          <w:tcPr>
            <w:tcW w:w="851" w:type="dxa"/>
            <w:vAlign w:val="bottom"/>
          </w:tcPr>
          <w:p w14:paraId="05A17322" w14:textId="77777777" w:rsidR="00600720" w:rsidRPr="007B5573" w:rsidRDefault="00600720" w:rsidP="008A0C00">
            <w:pPr>
              <w:pStyle w:val="-0"/>
              <w:rPr>
                <w:sz w:val="18"/>
                <w:szCs w:val="18"/>
                <w:rtl/>
              </w:rPr>
            </w:pPr>
            <w:r w:rsidRPr="007B5573">
              <w:rPr>
                <w:rFonts w:hint="cs"/>
                <w:sz w:val="18"/>
                <w:szCs w:val="18"/>
                <w:rtl/>
              </w:rPr>
              <w:t xml:space="preserve"> 0</w:t>
            </w:r>
          </w:p>
        </w:tc>
        <w:tc>
          <w:tcPr>
            <w:tcW w:w="709" w:type="dxa"/>
            <w:vAlign w:val="bottom"/>
          </w:tcPr>
          <w:p w14:paraId="1DCA8318" w14:textId="77777777" w:rsidR="00600720" w:rsidRPr="007B5573" w:rsidRDefault="00600720" w:rsidP="008A0C00">
            <w:pPr>
              <w:pStyle w:val="-0"/>
              <w:rPr>
                <w:sz w:val="18"/>
                <w:szCs w:val="18"/>
                <w:rtl/>
              </w:rPr>
            </w:pPr>
            <w:r w:rsidRPr="007B5573">
              <w:rPr>
                <w:rFonts w:hint="cs"/>
                <w:sz w:val="18"/>
                <w:szCs w:val="18"/>
                <w:rtl/>
              </w:rPr>
              <w:t xml:space="preserve"> 0</w:t>
            </w:r>
          </w:p>
        </w:tc>
      </w:tr>
      <w:tr w:rsidR="00600720" w:rsidRPr="00543C25" w14:paraId="4438527F" w14:textId="77777777" w:rsidTr="00912661">
        <w:tc>
          <w:tcPr>
            <w:tcW w:w="993" w:type="dxa"/>
          </w:tcPr>
          <w:p w14:paraId="02B17C4B" w14:textId="77777777" w:rsidR="00600720" w:rsidRPr="007B5573" w:rsidRDefault="00600720" w:rsidP="008A0C00">
            <w:pPr>
              <w:pStyle w:val="-0"/>
              <w:rPr>
                <w:sz w:val="18"/>
                <w:szCs w:val="18"/>
                <w:rtl/>
              </w:rPr>
            </w:pPr>
          </w:p>
        </w:tc>
        <w:tc>
          <w:tcPr>
            <w:tcW w:w="4037" w:type="dxa"/>
            <w:gridSpan w:val="2"/>
            <w:vAlign w:val="bottom"/>
          </w:tcPr>
          <w:p w14:paraId="6DF9EF3B" w14:textId="77777777" w:rsidR="00600720" w:rsidRPr="005F47BE" w:rsidRDefault="00600720" w:rsidP="008A0C00">
            <w:pPr>
              <w:pStyle w:val="-0"/>
              <w:rPr>
                <w:sz w:val="18"/>
                <w:szCs w:val="18"/>
                <w:rtl/>
              </w:rPr>
            </w:pPr>
            <w:r w:rsidRPr="005F47BE">
              <w:rPr>
                <w:rFonts w:hint="cs"/>
                <w:sz w:val="18"/>
                <w:szCs w:val="18"/>
                <w:rtl/>
              </w:rPr>
              <w:t>התחייבויות בגין מכשירים נגזרים</w:t>
            </w:r>
          </w:p>
        </w:tc>
        <w:tc>
          <w:tcPr>
            <w:tcW w:w="661" w:type="dxa"/>
            <w:vAlign w:val="bottom"/>
          </w:tcPr>
          <w:p w14:paraId="285BAE29" w14:textId="77777777" w:rsidR="00600720" w:rsidRPr="007B5573" w:rsidRDefault="00600720" w:rsidP="008A0C00">
            <w:pPr>
              <w:pStyle w:val="-0"/>
              <w:rPr>
                <w:sz w:val="18"/>
                <w:szCs w:val="18"/>
                <w:rtl/>
              </w:rPr>
            </w:pPr>
            <w:r w:rsidRPr="007B5573">
              <w:rPr>
                <w:rFonts w:hint="cs"/>
                <w:sz w:val="18"/>
                <w:szCs w:val="18"/>
                <w:rtl/>
              </w:rPr>
              <w:t xml:space="preserve"> 0</w:t>
            </w:r>
          </w:p>
        </w:tc>
        <w:tc>
          <w:tcPr>
            <w:tcW w:w="970" w:type="dxa"/>
            <w:vAlign w:val="bottom"/>
          </w:tcPr>
          <w:p w14:paraId="603531E2" w14:textId="77777777" w:rsidR="00600720" w:rsidRPr="007B5573" w:rsidRDefault="00600720" w:rsidP="008A0C00">
            <w:pPr>
              <w:pStyle w:val="-0"/>
              <w:rPr>
                <w:sz w:val="18"/>
                <w:szCs w:val="18"/>
                <w:rtl/>
              </w:rPr>
            </w:pPr>
            <w:r w:rsidRPr="007B5573">
              <w:rPr>
                <w:rFonts w:hint="cs"/>
                <w:sz w:val="18"/>
                <w:szCs w:val="18"/>
                <w:rtl/>
              </w:rPr>
              <w:t xml:space="preserve"> 0</w:t>
            </w:r>
          </w:p>
        </w:tc>
        <w:tc>
          <w:tcPr>
            <w:tcW w:w="816" w:type="dxa"/>
            <w:vAlign w:val="bottom"/>
          </w:tcPr>
          <w:p w14:paraId="73C7A6E1" w14:textId="77777777" w:rsidR="00600720" w:rsidRPr="007B5573" w:rsidRDefault="00600720" w:rsidP="008A0C00">
            <w:pPr>
              <w:pStyle w:val="-0"/>
              <w:rPr>
                <w:sz w:val="18"/>
                <w:szCs w:val="18"/>
                <w:rtl/>
              </w:rPr>
            </w:pPr>
            <w:r w:rsidRPr="007B5573">
              <w:rPr>
                <w:rFonts w:hint="cs"/>
                <w:sz w:val="18"/>
                <w:szCs w:val="18"/>
                <w:rtl/>
              </w:rPr>
              <w:t xml:space="preserve"> 0</w:t>
            </w:r>
          </w:p>
        </w:tc>
        <w:tc>
          <w:tcPr>
            <w:tcW w:w="1170" w:type="dxa"/>
            <w:vAlign w:val="bottom"/>
          </w:tcPr>
          <w:p w14:paraId="4D5A08A3" w14:textId="77777777" w:rsidR="00600720" w:rsidRPr="007B5573" w:rsidRDefault="00600720" w:rsidP="008A0C00">
            <w:pPr>
              <w:pStyle w:val="-0"/>
              <w:rPr>
                <w:sz w:val="18"/>
                <w:szCs w:val="18"/>
                <w:rtl/>
              </w:rPr>
            </w:pPr>
            <w:r w:rsidRPr="007B5573">
              <w:rPr>
                <w:rFonts w:hint="cs"/>
                <w:sz w:val="18"/>
                <w:szCs w:val="18"/>
                <w:rtl/>
              </w:rPr>
              <w:t xml:space="preserve"> 0</w:t>
            </w:r>
          </w:p>
        </w:tc>
        <w:tc>
          <w:tcPr>
            <w:tcW w:w="851" w:type="dxa"/>
            <w:vAlign w:val="bottom"/>
          </w:tcPr>
          <w:p w14:paraId="120A3BA5" w14:textId="77777777" w:rsidR="00600720" w:rsidRPr="007B5573" w:rsidRDefault="00600720" w:rsidP="008A0C00">
            <w:pPr>
              <w:pStyle w:val="-0"/>
              <w:rPr>
                <w:sz w:val="18"/>
                <w:szCs w:val="18"/>
                <w:rtl/>
              </w:rPr>
            </w:pPr>
            <w:r w:rsidRPr="007B5573">
              <w:rPr>
                <w:rFonts w:hint="cs"/>
                <w:sz w:val="18"/>
                <w:szCs w:val="18"/>
                <w:rtl/>
              </w:rPr>
              <w:t xml:space="preserve"> 0</w:t>
            </w:r>
          </w:p>
        </w:tc>
        <w:tc>
          <w:tcPr>
            <w:tcW w:w="709" w:type="dxa"/>
            <w:vAlign w:val="bottom"/>
          </w:tcPr>
          <w:p w14:paraId="2D9EE808" w14:textId="77777777" w:rsidR="00600720" w:rsidRPr="007B5573" w:rsidRDefault="00600720" w:rsidP="008A0C00">
            <w:pPr>
              <w:pStyle w:val="-0"/>
              <w:rPr>
                <w:sz w:val="18"/>
                <w:szCs w:val="18"/>
                <w:rtl/>
              </w:rPr>
            </w:pPr>
            <w:r w:rsidRPr="007B5573">
              <w:rPr>
                <w:rFonts w:hint="cs"/>
                <w:sz w:val="18"/>
                <w:szCs w:val="18"/>
                <w:rtl/>
              </w:rPr>
              <w:t xml:space="preserve"> 0</w:t>
            </w:r>
          </w:p>
        </w:tc>
      </w:tr>
      <w:tr w:rsidR="00AC69BF" w:rsidRPr="00543C25" w14:paraId="785BF409" w14:textId="77777777" w:rsidTr="00912661">
        <w:tc>
          <w:tcPr>
            <w:tcW w:w="993" w:type="dxa"/>
          </w:tcPr>
          <w:p w14:paraId="3FC1B8F0" w14:textId="77777777" w:rsidR="00AC69BF" w:rsidRPr="007B5573" w:rsidRDefault="00AC69BF" w:rsidP="007C54B1">
            <w:pPr>
              <w:pStyle w:val="-0"/>
              <w:rPr>
                <w:sz w:val="18"/>
                <w:szCs w:val="18"/>
                <w:rtl/>
              </w:rPr>
            </w:pPr>
          </w:p>
        </w:tc>
        <w:tc>
          <w:tcPr>
            <w:tcW w:w="4037" w:type="dxa"/>
            <w:gridSpan w:val="2"/>
            <w:vAlign w:val="bottom"/>
          </w:tcPr>
          <w:p w14:paraId="05E0B11F" w14:textId="77777777" w:rsidR="00F32A2A" w:rsidRDefault="00AC69BF">
            <w:pPr>
              <w:pStyle w:val="-0"/>
              <w:spacing w:before="10" w:line="240" w:lineRule="auto"/>
              <w:ind w:left="142" w:hanging="142"/>
              <w:rPr>
                <w:sz w:val="18"/>
                <w:szCs w:val="18"/>
                <w:rtl/>
              </w:rPr>
            </w:pPr>
            <w:r w:rsidRPr="005F47BE">
              <w:rPr>
                <w:sz w:val="18"/>
                <w:szCs w:val="18"/>
                <w:rtl/>
              </w:rPr>
              <w:t>התחייבויות אחרו</w:t>
            </w:r>
            <w:r w:rsidRPr="005F47BE">
              <w:rPr>
                <w:rFonts w:hint="cs"/>
                <w:sz w:val="18"/>
                <w:szCs w:val="18"/>
                <w:rtl/>
              </w:rPr>
              <w:t>ת</w:t>
            </w:r>
          </w:p>
        </w:tc>
        <w:tc>
          <w:tcPr>
            <w:tcW w:w="661" w:type="dxa"/>
            <w:vAlign w:val="bottom"/>
          </w:tcPr>
          <w:p w14:paraId="17F7B540" w14:textId="77777777" w:rsidR="00AC69BF" w:rsidRPr="007B5573" w:rsidRDefault="00AC69BF" w:rsidP="007C54B1">
            <w:pPr>
              <w:pStyle w:val="-0"/>
              <w:rPr>
                <w:sz w:val="18"/>
                <w:szCs w:val="18"/>
                <w:rtl/>
              </w:rPr>
            </w:pPr>
            <w:r w:rsidRPr="007B5573">
              <w:rPr>
                <w:rFonts w:hint="cs"/>
                <w:sz w:val="18"/>
                <w:szCs w:val="18"/>
                <w:rtl/>
              </w:rPr>
              <w:t xml:space="preserve"> 0</w:t>
            </w:r>
          </w:p>
        </w:tc>
        <w:tc>
          <w:tcPr>
            <w:tcW w:w="970" w:type="dxa"/>
            <w:vAlign w:val="bottom"/>
          </w:tcPr>
          <w:p w14:paraId="14F11A91" w14:textId="77777777" w:rsidR="00AC69BF" w:rsidRPr="007B5573" w:rsidRDefault="00AC69BF" w:rsidP="007C54B1">
            <w:pPr>
              <w:pStyle w:val="-0"/>
              <w:rPr>
                <w:sz w:val="18"/>
                <w:szCs w:val="18"/>
                <w:rtl/>
              </w:rPr>
            </w:pPr>
            <w:r w:rsidRPr="007B5573">
              <w:rPr>
                <w:rFonts w:hint="cs"/>
                <w:sz w:val="18"/>
                <w:szCs w:val="18"/>
                <w:rtl/>
              </w:rPr>
              <w:t xml:space="preserve"> 0</w:t>
            </w:r>
          </w:p>
        </w:tc>
        <w:tc>
          <w:tcPr>
            <w:tcW w:w="816" w:type="dxa"/>
            <w:vAlign w:val="bottom"/>
          </w:tcPr>
          <w:p w14:paraId="0094D6A4" w14:textId="77777777" w:rsidR="00AC69BF" w:rsidRPr="007B5573" w:rsidRDefault="00AC69BF" w:rsidP="007C54B1">
            <w:pPr>
              <w:pStyle w:val="-0"/>
              <w:rPr>
                <w:sz w:val="18"/>
                <w:szCs w:val="18"/>
                <w:rtl/>
              </w:rPr>
            </w:pPr>
            <w:r w:rsidRPr="007B5573">
              <w:rPr>
                <w:rFonts w:hint="cs"/>
                <w:sz w:val="18"/>
                <w:szCs w:val="18"/>
                <w:rtl/>
              </w:rPr>
              <w:t xml:space="preserve"> 0</w:t>
            </w:r>
          </w:p>
        </w:tc>
        <w:tc>
          <w:tcPr>
            <w:tcW w:w="1170" w:type="dxa"/>
            <w:vAlign w:val="bottom"/>
          </w:tcPr>
          <w:p w14:paraId="68FAFA43" w14:textId="77777777" w:rsidR="00AC69BF" w:rsidRPr="007B5573" w:rsidRDefault="00AC69BF" w:rsidP="007C54B1">
            <w:pPr>
              <w:pStyle w:val="-0"/>
              <w:rPr>
                <w:sz w:val="18"/>
                <w:szCs w:val="18"/>
                <w:rtl/>
              </w:rPr>
            </w:pPr>
            <w:r w:rsidRPr="007B5573">
              <w:rPr>
                <w:rFonts w:hint="cs"/>
                <w:sz w:val="18"/>
                <w:szCs w:val="18"/>
                <w:rtl/>
              </w:rPr>
              <w:t xml:space="preserve"> 0</w:t>
            </w:r>
          </w:p>
        </w:tc>
        <w:tc>
          <w:tcPr>
            <w:tcW w:w="851" w:type="dxa"/>
            <w:vAlign w:val="bottom"/>
          </w:tcPr>
          <w:p w14:paraId="7F5FCE61" w14:textId="77777777" w:rsidR="00AC69BF" w:rsidRPr="007B5573" w:rsidRDefault="00AC69BF" w:rsidP="007C54B1">
            <w:pPr>
              <w:pStyle w:val="-0"/>
              <w:rPr>
                <w:sz w:val="18"/>
                <w:szCs w:val="18"/>
                <w:rtl/>
              </w:rPr>
            </w:pPr>
            <w:r w:rsidRPr="007B5573">
              <w:rPr>
                <w:rFonts w:hint="cs"/>
                <w:sz w:val="18"/>
                <w:szCs w:val="18"/>
                <w:rtl/>
              </w:rPr>
              <w:t xml:space="preserve"> 0</w:t>
            </w:r>
          </w:p>
        </w:tc>
        <w:tc>
          <w:tcPr>
            <w:tcW w:w="709" w:type="dxa"/>
            <w:vAlign w:val="bottom"/>
          </w:tcPr>
          <w:p w14:paraId="197D5614" w14:textId="77777777" w:rsidR="00AC69BF" w:rsidRPr="007B5573" w:rsidRDefault="00AC69BF" w:rsidP="007C54B1">
            <w:pPr>
              <w:pStyle w:val="-0"/>
              <w:rPr>
                <w:sz w:val="18"/>
                <w:szCs w:val="18"/>
                <w:rtl/>
              </w:rPr>
            </w:pPr>
            <w:r w:rsidRPr="007B5573">
              <w:rPr>
                <w:rFonts w:hint="cs"/>
                <w:sz w:val="18"/>
                <w:szCs w:val="18"/>
                <w:rtl/>
              </w:rPr>
              <w:t xml:space="preserve"> 0</w:t>
            </w:r>
          </w:p>
        </w:tc>
      </w:tr>
      <w:tr w:rsidR="00AC69BF" w:rsidRPr="00543C25" w14:paraId="41FF3346" w14:textId="77777777" w:rsidTr="00912661">
        <w:tc>
          <w:tcPr>
            <w:tcW w:w="993" w:type="dxa"/>
          </w:tcPr>
          <w:p w14:paraId="7AADF500" w14:textId="77777777" w:rsidR="00CF2A74" w:rsidRDefault="00CF2A74">
            <w:pPr>
              <w:pStyle w:val="-0"/>
              <w:rPr>
                <w:sz w:val="18"/>
                <w:szCs w:val="18"/>
                <w:rtl/>
              </w:rPr>
            </w:pPr>
          </w:p>
        </w:tc>
        <w:tc>
          <w:tcPr>
            <w:tcW w:w="4037" w:type="dxa"/>
            <w:gridSpan w:val="2"/>
            <w:vAlign w:val="bottom"/>
          </w:tcPr>
          <w:p w14:paraId="7E9D0B64" w14:textId="77777777" w:rsidR="00CF2A74" w:rsidRPr="005F47BE" w:rsidRDefault="00AC69BF" w:rsidP="00F20CEF">
            <w:pPr>
              <w:pStyle w:val="-21"/>
              <w:spacing w:before="0"/>
              <w:ind w:left="0" w:firstLine="0"/>
              <w:rPr>
                <w:sz w:val="18"/>
                <w:szCs w:val="18"/>
                <w:rtl/>
              </w:rPr>
            </w:pPr>
            <w:r w:rsidRPr="005F47BE">
              <w:rPr>
                <w:sz w:val="18"/>
                <w:szCs w:val="18"/>
                <w:rtl/>
              </w:rPr>
              <w:t xml:space="preserve">התחייבויות </w:t>
            </w:r>
            <w:r w:rsidRPr="005F47BE">
              <w:rPr>
                <w:rFonts w:hint="cs"/>
                <w:sz w:val="18"/>
                <w:szCs w:val="18"/>
                <w:rtl/>
              </w:rPr>
              <w:t>המיוחסות לפעילויות שהופסקו ובגין קבוצת מימוש המסווגת כמוחזקת למכירה</w:t>
            </w:r>
          </w:p>
        </w:tc>
        <w:tc>
          <w:tcPr>
            <w:tcW w:w="661" w:type="dxa"/>
            <w:vAlign w:val="bottom"/>
          </w:tcPr>
          <w:p w14:paraId="69CAE80C" w14:textId="77777777" w:rsidR="00CF2A74" w:rsidRDefault="00AC69BF" w:rsidP="00CF2A74">
            <w:pPr>
              <w:pStyle w:val="-0"/>
              <w:pBdr>
                <w:bottom w:val="single" w:sz="4" w:space="1" w:color="auto"/>
              </w:pBdr>
              <w:rPr>
                <w:sz w:val="18"/>
                <w:szCs w:val="18"/>
                <w:rtl/>
              </w:rPr>
            </w:pPr>
            <w:r w:rsidRPr="007B5573">
              <w:rPr>
                <w:rFonts w:hint="cs"/>
                <w:sz w:val="18"/>
                <w:szCs w:val="18"/>
                <w:rtl/>
              </w:rPr>
              <w:t xml:space="preserve"> 0</w:t>
            </w:r>
          </w:p>
        </w:tc>
        <w:tc>
          <w:tcPr>
            <w:tcW w:w="970" w:type="dxa"/>
            <w:vAlign w:val="bottom"/>
          </w:tcPr>
          <w:p w14:paraId="283503C8" w14:textId="77777777" w:rsidR="00CF2A74" w:rsidRDefault="00AC69BF" w:rsidP="00CF2A74">
            <w:pPr>
              <w:pStyle w:val="-0"/>
              <w:pBdr>
                <w:bottom w:val="single" w:sz="4" w:space="1" w:color="auto"/>
              </w:pBdr>
              <w:rPr>
                <w:sz w:val="18"/>
                <w:szCs w:val="18"/>
                <w:rtl/>
              </w:rPr>
            </w:pPr>
            <w:r w:rsidRPr="007B5573">
              <w:rPr>
                <w:rFonts w:hint="cs"/>
                <w:sz w:val="18"/>
                <w:szCs w:val="18"/>
                <w:rtl/>
              </w:rPr>
              <w:t xml:space="preserve"> 0</w:t>
            </w:r>
          </w:p>
        </w:tc>
        <w:tc>
          <w:tcPr>
            <w:tcW w:w="816" w:type="dxa"/>
            <w:vAlign w:val="bottom"/>
          </w:tcPr>
          <w:p w14:paraId="14DEC6F5" w14:textId="77777777" w:rsidR="00CF2A74" w:rsidRDefault="00AC69BF" w:rsidP="00CF2A74">
            <w:pPr>
              <w:pStyle w:val="-0"/>
              <w:pBdr>
                <w:bottom w:val="single" w:sz="4" w:space="1" w:color="auto"/>
              </w:pBdr>
              <w:rPr>
                <w:sz w:val="18"/>
                <w:szCs w:val="18"/>
                <w:rtl/>
              </w:rPr>
            </w:pPr>
            <w:r w:rsidRPr="007B5573">
              <w:rPr>
                <w:rFonts w:hint="cs"/>
                <w:sz w:val="18"/>
                <w:szCs w:val="18"/>
                <w:rtl/>
              </w:rPr>
              <w:t xml:space="preserve"> 0</w:t>
            </w:r>
          </w:p>
        </w:tc>
        <w:tc>
          <w:tcPr>
            <w:tcW w:w="1170" w:type="dxa"/>
            <w:vAlign w:val="bottom"/>
          </w:tcPr>
          <w:p w14:paraId="41835A6E" w14:textId="77777777" w:rsidR="00CF2A74" w:rsidRDefault="00AC69BF" w:rsidP="00CF2A74">
            <w:pPr>
              <w:pStyle w:val="-0"/>
              <w:pBdr>
                <w:bottom w:val="single" w:sz="4" w:space="1" w:color="auto"/>
              </w:pBdr>
              <w:rPr>
                <w:sz w:val="18"/>
                <w:szCs w:val="18"/>
                <w:rtl/>
              </w:rPr>
            </w:pPr>
            <w:r w:rsidRPr="007B5573">
              <w:rPr>
                <w:rFonts w:hint="cs"/>
                <w:sz w:val="18"/>
                <w:szCs w:val="18"/>
                <w:rtl/>
              </w:rPr>
              <w:t xml:space="preserve"> 0</w:t>
            </w:r>
          </w:p>
        </w:tc>
        <w:tc>
          <w:tcPr>
            <w:tcW w:w="851" w:type="dxa"/>
            <w:vAlign w:val="bottom"/>
          </w:tcPr>
          <w:p w14:paraId="6730F4FE" w14:textId="77777777" w:rsidR="00CF2A74" w:rsidRDefault="00AC69BF" w:rsidP="00CF2A74">
            <w:pPr>
              <w:pStyle w:val="-0"/>
              <w:pBdr>
                <w:bottom w:val="single" w:sz="4" w:space="1" w:color="auto"/>
              </w:pBdr>
              <w:rPr>
                <w:sz w:val="18"/>
                <w:szCs w:val="18"/>
                <w:rtl/>
              </w:rPr>
            </w:pPr>
            <w:r w:rsidRPr="007B5573">
              <w:rPr>
                <w:rFonts w:hint="cs"/>
                <w:sz w:val="18"/>
                <w:szCs w:val="18"/>
                <w:rtl/>
              </w:rPr>
              <w:t xml:space="preserve"> 0</w:t>
            </w:r>
          </w:p>
        </w:tc>
        <w:tc>
          <w:tcPr>
            <w:tcW w:w="709" w:type="dxa"/>
            <w:vAlign w:val="bottom"/>
          </w:tcPr>
          <w:p w14:paraId="5C33959B" w14:textId="77777777" w:rsidR="00CF2A74" w:rsidRDefault="00AC69BF" w:rsidP="00CF2A74">
            <w:pPr>
              <w:pStyle w:val="-0"/>
              <w:pBdr>
                <w:bottom w:val="single" w:sz="4" w:space="1" w:color="auto"/>
              </w:pBdr>
              <w:rPr>
                <w:sz w:val="18"/>
                <w:szCs w:val="18"/>
                <w:rtl/>
              </w:rPr>
            </w:pPr>
            <w:r w:rsidRPr="007B5573">
              <w:rPr>
                <w:rFonts w:hint="cs"/>
                <w:sz w:val="18"/>
                <w:szCs w:val="18"/>
                <w:rtl/>
              </w:rPr>
              <w:t xml:space="preserve"> 0</w:t>
            </w:r>
          </w:p>
        </w:tc>
      </w:tr>
      <w:tr w:rsidR="00AC69BF" w:rsidRPr="00543C25" w14:paraId="09F4E059" w14:textId="77777777" w:rsidTr="00912661">
        <w:tc>
          <w:tcPr>
            <w:tcW w:w="993" w:type="dxa"/>
          </w:tcPr>
          <w:p w14:paraId="765EE7B5" w14:textId="77777777" w:rsidR="00AC69BF" w:rsidRPr="007B5573" w:rsidRDefault="00AC69BF" w:rsidP="007C54B1">
            <w:pPr>
              <w:pStyle w:val="-b"/>
              <w:rPr>
                <w:sz w:val="18"/>
                <w:szCs w:val="18"/>
                <w:rtl/>
              </w:rPr>
            </w:pPr>
          </w:p>
        </w:tc>
        <w:tc>
          <w:tcPr>
            <w:tcW w:w="4037" w:type="dxa"/>
            <w:gridSpan w:val="2"/>
            <w:vAlign w:val="bottom"/>
          </w:tcPr>
          <w:p w14:paraId="31EBFE72" w14:textId="77777777" w:rsidR="00AC69BF" w:rsidRPr="005F47BE" w:rsidRDefault="00AC69BF" w:rsidP="007C54B1">
            <w:pPr>
              <w:pStyle w:val="-b"/>
              <w:rPr>
                <w:sz w:val="18"/>
                <w:szCs w:val="18"/>
                <w:rtl/>
              </w:rPr>
            </w:pPr>
            <w:r w:rsidRPr="005F47BE">
              <w:rPr>
                <w:sz w:val="18"/>
                <w:szCs w:val="18"/>
                <w:rtl/>
              </w:rPr>
              <w:t>סך כל ההתחייבויות</w:t>
            </w:r>
          </w:p>
        </w:tc>
        <w:tc>
          <w:tcPr>
            <w:tcW w:w="661" w:type="dxa"/>
            <w:vAlign w:val="bottom"/>
          </w:tcPr>
          <w:p w14:paraId="458D2046" w14:textId="77777777" w:rsidR="00CF2A74" w:rsidRDefault="00AC69BF" w:rsidP="00CF2A74">
            <w:pPr>
              <w:pStyle w:val="-f1"/>
              <w:pBdr>
                <w:top w:val="none" w:sz="0" w:space="0" w:color="auto"/>
                <w:bottom w:val="single" w:sz="4" w:space="1" w:color="auto"/>
              </w:pBdr>
              <w:rPr>
                <w:sz w:val="18"/>
                <w:szCs w:val="18"/>
                <w:rtl/>
              </w:rPr>
            </w:pPr>
            <w:r w:rsidRPr="007B5573">
              <w:rPr>
                <w:rFonts w:hint="cs"/>
                <w:sz w:val="18"/>
                <w:szCs w:val="18"/>
                <w:rtl/>
              </w:rPr>
              <w:t xml:space="preserve"> 0</w:t>
            </w:r>
          </w:p>
        </w:tc>
        <w:tc>
          <w:tcPr>
            <w:tcW w:w="970" w:type="dxa"/>
            <w:vAlign w:val="bottom"/>
          </w:tcPr>
          <w:p w14:paraId="521BF47F" w14:textId="77777777" w:rsidR="00CF2A74" w:rsidRDefault="00AC69BF" w:rsidP="00CF2A74">
            <w:pPr>
              <w:pStyle w:val="-f1"/>
              <w:pBdr>
                <w:top w:val="none" w:sz="0" w:space="0" w:color="auto"/>
                <w:bottom w:val="single" w:sz="4" w:space="1" w:color="auto"/>
              </w:pBdr>
              <w:rPr>
                <w:sz w:val="18"/>
                <w:szCs w:val="18"/>
                <w:rtl/>
              </w:rPr>
            </w:pPr>
            <w:r w:rsidRPr="007B5573">
              <w:rPr>
                <w:rFonts w:hint="cs"/>
                <w:sz w:val="18"/>
                <w:szCs w:val="18"/>
                <w:rtl/>
              </w:rPr>
              <w:t xml:space="preserve"> 0</w:t>
            </w:r>
          </w:p>
        </w:tc>
        <w:tc>
          <w:tcPr>
            <w:tcW w:w="816" w:type="dxa"/>
            <w:vAlign w:val="bottom"/>
          </w:tcPr>
          <w:p w14:paraId="157F8887" w14:textId="77777777" w:rsidR="00CF2A74" w:rsidRDefault="00AC69BF" w:rsidP="00CF2A74">
            <w:pPr>
              <w:pStyle w:val="-f1"/>
              <w:pBdr>
                <w:top w:val="none" w:sz="0" w:space="0" w:color="auto"/>
                <w:bottom w:val="single" w:sz="4" w:space="1" w:color="auto"/>
              </w:pBdr>
              <w:rPr>
                <w:sz w:val="18"/>
                <w:szCs w:val="18"/>
                <w:rtl/>
              </w:rPr>
            </w:pPr>
            <w:r w:rsidRPr="007B5573">
              <w:rPr>
                <w:rFonts w:hint="cs"/>
                <w:sz w:val="18"/>
                <w:szCs w:val="18"/>
                <w:rtl/>
              </w:rPr>
              <w:t xml:space="preserve"> 0</w:t>
            </w:r>
          </w:p>
        </w:tc>
        <w:tc>
          <w:tcPr>
            <w:tcW w:w="1170" w:type="dxa"/>
            <w:vAlign w:val="bottom"/>
          </w:tcPr>
          <w:p w14:paraId="58A55518" w14:textId="77777777" w:rsidR="00CF2A74" w:rsidRDefault="00AC69BF" w:rsidP="00CF2A74">
            <w:pPr>
              <w:pStyle w:val="-f1"/>
              <w:pBdr>
                <w:top w:val="none" w:sz="0" w:space="0" w:color="auto"/>
                <w:bottom w:val="single" w:sz="4" w:space="1" w:color="auto"/>
              </w:pBdr>
              <w:rPr>
                <w:sz w:val="18"/>
                <w:szCs w:val="18"/>
                <w:rtl/>
              </w:rPr>
            </w:pPr>
            <w:r w:rsidRPr="007B5573">
              <w:rPr>
                <w:rFonts w:hint="cs"/>
                <w:sz w:val="18"/>
                <w:szCs w:val="18"/>
                <w:rtl/>
              </w:rPr>
              <w:t xml:space="preserve"> 0</w:t>
            </w:r>
          </w:p>
        </w:tc>
        <w:tc>
          <w:tcPr>
            <w:tcW w:w="851" w:type="dxa"/>
            <w:vAlign w:val="bottom"/>
          </w:tcPr>
          <w:p w14:paraId="59BE6072" w14:textId="77777777" w:rsidR="00CF2A74" w:rsidRDefault="00AC69BF" w:rsidP="00CF2A74">
            <w:pPr>
              <w:pStyle w:val="-f1"/>
              <w:pBdr>
                <w:top w:val="none" w:sz="0" w:space="0" w:color="auto"/>
                <w:bottom w:val="single" w:sz="4" w:space="1" w:color="auto"/>
              </w:pBdr>
              <w:rPr>
                <w:sz w:val="18"/>
                <w:szCs w:val="18"/>
                <w:rtl/>
              </w:rPr>
            </w:pPr>
            <w:r w:rsidRPr="007B5573">
              <w:rPr>
                <w:rFonts w:hint="cs"/>
                <w:sz w:val="18"/>
                <w:szCs w:val="18"/>
                <w:rtl/>
              </w:rPr>
              <w:t xml:space="preserve"> 0</w:t>
            </w:r>
          </w:p>
        </w:tc>
        <w:tc>
          <w:tcPr>
            <w:tcW w:w="709" w:type="dxa"/>
            <w:vAlign w:val="bottom"/>
          </w:tcPr>
          <w:p w14:paraId="7786D060" w14:textId="77777777" w:rsidR="00CF2A74" w:rsidRDefault="00AC69BF" w:rsidP="00CF2A74">
            <w:pPr>
              <w:pStyle w:val="-f1"/>
              <w:pBdr>
                <w:top w:val="none" w:sz="0" w:space="0" w:color="auto"/>
                <w:bottom w:val="single" w:sz="4" w:space="1" w:color="auto"/>
              </w:pBdr>
              <w:rPr>
                <w:sz w:val="18"/>
                <w:szCs w:val="18"/>
                <w:rtl/>
              </w:rPr>
            </w:pPr>
            <w:r w:rsidRPr="007B5573">
              <w:rPr>
                <w:rFonts w:hint="cs"/>
                <w:sz w:val="18"/>
                <w:szCs w:val="18"/>
                <w:rtl/>
              </w:rPr>
              <w:t xml:space="preserve"> 0</w:t>
            </w:r>
          </w:p>
        </w:tc>
      </w:tr>
      <w:tr w:rsidR="00AC69BF" w:rsidRPr="00543C25" w14:paraId="43A2FC42" w14:textId="77777777" w:rsidTr="00912661">
        <w:tc>
          <w:tcPr>
            <w:tcW w:w="993" w:type="dxa"/>
          </w:tcPr>
          <w:p w14:paraId="124F7859" w14:textId="77777777" w:rsidR="00AC69BF" w:rsidRDefault="00AC69BF" w:rsidP="007C54B1">
            <w:pPr>
              <w:pStyle w:val="-0"/>
              <w:spacing w:line="20" w:lineRule="exact"/>
              <w:ind w:left="142" w:hanging="142"/>
              <w:rPr>
                <w:sz w:val="18"/>
                <w:szCs w:val="18"/>
                <w:rtl/>
              </w:rPr>
            </w:pPr>
          </w:p>
        </w:tc>
        <w:tc>
          <w:tcPr>
            <w:tcW w:w="4037" w:type="dxa"/>
            <w:gridSpan w:val="2"/>
            <w:vAlign w:val="bottom"/>
          </w:tcPr>
          <w:p w14:paraId="0DC8A2C9" w14:textId="77777777" w:rsidR="00AC69BF" w:rsidRPr="005F47BE" w:rsidRDefault="00AC69BF" w:rsidP="007C54B1">
            <w:pPr>
              <w:pStyle w:val="-0"/>
              <w:spacing w:line="20" w:lineRule="exact"/>
              <w:ind w:left="142" w:hanging="142"/>
              <w:rPr>
                <w:sz w:val="18"/>
                <w:szCs w:val="18"/>
                <w:rtl/>
              </w:rPr>
            </w:pPr>
          </w:p>
        </w:tc>
        <w:tc>
          <w:tcPr>
            <w:tcW w:w="661" w:type="dxa"/>
          </w:tcPr>
          <w:p w14:paraId="6519B230" w14:textId="77777777" w:rsidR="00CF2A74" w:rsidRDefault="00CF2A74" w:rsidP="00CF2A74">
            <w:pPr>
              <w:pStyle w:val="-0"/>
              <w:spacing w:line="20" w:lineRule="exact"/>
              <w:ind w:left="142" w:hanging="142"/>
              <w:rPr>
                <w:sz w:val="18"/>
                <w:szCs w:val="18"/>
                <w:rtl/>
              </w:rPr>
            </w:pPr>
          </w:p>
        </w:tc>
        <w:tc>
          <w:tcPr>
            <w:tcW w:w="970" w:type="dxa"/>
          </w:tcPr>
          <w:p w14:paraId="25D5CBFB" w14:textId="77777777" w:rsidR="00CF2A74" w:rsidRDefault="00CF2A74" w:rsidP="00CF2A74">
            <w:pPr>
              <w:pStyle w:val="-0"/>
              <w:spacing w:line="20" w:lineRule="exact"/>
              <w:ind w:left="142" w:hanging="142"/>
              <w:rPr>
                <w:sz w:val="18"/>
                <w:szCs w:val="18"/>
                <w:rtl/>
              </w:rPr>
            </w:pPr>
          </w:p>
        </w:tc>
        <w:tc>
          <w:tcPr>
            <w:tcW w:w="816" w:type="dxa"/>
          </w:tcPr>
          <w:p w14:paraId="15FF2F48" w14:textId="77777777" w:rsidR="00CF2A74" w:rsidRDefault="00CF2A74" w:rsidP="00CF2A74">
            <w:pPr>
              <w:pStyle w:val="-0"/>
              <w:spacing w:line="20" w:lineRule="exact"/>
              <w:ind w:left="142" w:hanging="142"/>
              <w:rPr>
                <w:sz w:val="18"/>
                <w:szCs w:val="18"/>
                <w:rtl/>
              </w:rPr>
            </w:pPr>
          </w:p>
        </w:tc>
        <w:tc>
          <w:tcPr>
            <w:tcW w:w="1170" w:type="dxa"/>
          </w:tcPr>
          <w:p w14:paraId="79C5A17D" w14:textId="77777777" w:rsidR="00CF2A74" w:rsidRDefault="00CF2A74" w:rsidP="00CF2A74">
            <w:pPr>
              <w:pStyle w:val="-0"/>
              <w:spacing w:line="20" w:lineRule="exact"/>
              <w:ind w:left="142" w:hanging="142"/>
              <w:rPr>
                <w:sz w:val="18"/>
                <w:szCs w:val="18"/>
                <w:rtl/>
              </w:rPr>
            </w:pPr>
          </w:p>
        </w:tc>
        <w:tc>
          <w:tcPr>
            <w:tcW w:w="851" w:type="dxa"/>
          </w:tcPr>
          <w:p w14:paraId="2DD12B6D" w14:textId="77777777" w:rsidR="00CF2A74" w:rsidRDefault="00CF2A74" w:rsidP="00CF2A74">
            <w:pPr>
              <w:pStyle w:val="-0"/>
              <w:spacing w:line="20" w:lineRule="exact"/>
              <w:ind w:left="142" w:hanging="142"/>
              <w:rPr>
                <w:sz w:val="18"/>
                <w:szCs w:val="18"/>
                <w:rtl/>
              </w:rPr>
            </w:pPr>
          </w:p>
        </w:tc>
        <w:tc>
          <w:tcPr>
            <w:tcW w:w="709" w:type="dxa"/>
          </w:tcPr>
          <w:p w14:paraId="4C7BC78B" w14:textId="77777777" w:rsidR="00CF2A74" w:rsidRDefault="00CF2A74" w:rsidP="00CF2A74">
            <w:pPr>
              <w:pStyle w:val="-0"/>
              <w:spacing w:line="20" w:lineRule="exact"/>
              <w:ind w:left="142" w:hanging="142"/>
              <w:rPr>
                <w:sz w:val="18"/>
                <w:szCs w:val="18"/>
                <w:rtl/>
              </w:rPr>
            </w:pPr>
          </w:p>
        </w:tc>
      </w:tr>
      <w:tr w:rsidR="00AC69BF" w:rsidRPr="00543C25" w14:paraId="4E92BE67" w14:textId="77777777" w:rsidTr="00912661">
        <w:tc>
          <w:tcPr>
            <w:tcW w:w="993" w:type="dxa"/>
          </w:tcPr>
          <w:p w14:paraId="5EB444DE" w14:textId="77777777" w:rsidR="00AC69BF" w:rsidRPr="007B5573" w:rsidRDefault="00AC69BF" w:rsidP="007C54B1">
            <w:pPr>
              <w:pStyle w:val="-0"/>
              <w:rPr>
                <w:sz w:val="18"/>
                <w:szCs w:val="18"/>
                <w:rtl/>
              </w:rPr>
            </w:pPr>
          </w:p>
        </w:tc>
        <w:tc>
          <w:tcPr>
            <w:tcW w:w="4037" w:type="dxa"/>
            <w:gridSpan w:val="2"/>
            <w:vAlign w:val="bottom"/>
          </w:tcPr>
          <w:p w14:paraId="44C2F122" w14:textId="77777777" w:rsidR="00AC69BF" w:rsidRPr="005F47BE" w:rsidRDefault="00AC69BF" w:rsidP="007C54B1">
            <w:pPr>
              <w:pStyle w:val="-0"/>
              <w:rPr>
                <w:sz w:val="18"/>
                <w:szCs w:val="18"/>
                <w:rtl/>
              </w:rPr>
            </w:pPr>
            <w:r w:rsidRPr="005F47BE">
              <w:rPr>
                <w:sz w:val="18"/>
                <w:szCs w:val="18"/>
                <w:rtl/>
              </w:rPr>
              <w:t>הפרש</w:t>
            </w:r>
          </w:p>
        </w:tc>
        <w:tc>
          <w:tcPr>
            <w:tcW w:w="661" w:type="dxa"/>
            <w:vAlign w:val="bottom"/>
          </w:tcPr>
          <w:p w14:paraId="05A98231" w14:textId="77777777" w:rsidR="00CF2A74" w:rsidRDefault="00AC69BF" w:rsidP="00CF2A74">
            <w:pPr>
              <w:pStyle w:val="-0"/>
              <w:pBdr>
                <w:bottom w:val="single" w:sz="4" w:space="1" w:color="auto"/>
              </w:pBdr>
              <w:rPr>
                <w:sz w:val="18"/>
                <w:szCs w:val="18"/>
                <w:rtl/>
              </w:rPr>
            </w:pPr>
            <w:r w:rsidRPr="007B5573">
              <w:rPr>
                <w:rFonts w:hint="cs"/>
                <w:sz w:val="18"/>
                <w:szCs w:val="18"/>
                <w:rtl/>
              </w:rPr>
              <w:t xml:space="preserve"> 0</w:t>
            </w:r>
          </w:p>
        </w:tc>
        <w:tc>
          <w:tcPr>
            <w:tcW w:w="970" w:type="dxa"/>
            <w:vAlign w:val="bottom"/>
          </w:tcPr>
          <w:p w14:paraId="52F4474C" w14:textId="77777777" w:rsidR="00CF2A74" w:rsidRDefault="00AC69BF" w:rsidP="00CF2A74">
            <w:pPr>
              <w:pStyle w:val="-0"/>
              <w:pBdr>
                <w:bottom w:val="single" w:sz="4" w:space="1" w:color="auto"/>
              </w:pBdr>
              <w:rPr>
                <w:sz w:val="18"/>
                <w:szCs w:val="18"/>
                <w:rtl/>
              </w:rPr>
            </w:pPr>
            <w:r w:rsidRPr="007B5573">
              <w:rPr>
                <w:rFonts w:hint="cs"/>
                <w:sz w:val="18"/>
                <w:szCs w:val="18"/>
                <w:rtl/>
              </w:rPr>
              <w:t xml:space="preserve"> 0</w:t>
            </w:r>
          </w:p>
        </w:tc>
        <w:tc>
          <w:tcPr>
            <w:tcW w:w="816" w:type="dxa"/>
            <w:vAlign w:val="bottom"/>
          </w:tcPr>
          <w:p w14:paraId="006022FA" w14:textId="77777777" w:rsidR="00CF2A74" w:rsidRDefault="00AC69BF" w:rsidP="00CF2A74">
            <w:pPr>
              <w:pStyle w:val="-0"/>
              <w:pBdr>
                <w:bottom w:val="single" w:sz="4" w:space="1" w:color="auto"/>
              </w:pBdr>
              <w:rPr>
                <w:sz w:val="18"/>
                <w:szCs w:val="18"/>
                <w:rtl/>
              </w:rPr>
            </w:pPr>
            <w:r w:rsidRPr="007B5573">
              <w:rPr>
                <w:rFonts w:hint="cs"/>
                <w:sz w:val="18"/>
                <w:szCs w:val="18"/>
                <w:rtl/>
              </w:rPr>
              <w:t xml:space="preserve"> 0</w:t>
            </w:r>
          </w:p>
        </w:tc>
        <w:tc>
          <w:tcPr>
            <w:tcW w:w="1170" w:type="dxa"/>
            <w:vAlign w:val="bottom"/>
          </w:tcPr>
          <w:p w14:paraId="032A87AC" w14:textId="77777777" w:rsidR="00CF2A74" w:rsidRDefault="00AC69BF" w:rsidP="00CF2A74">
            <w:pPr>
              <w:pStyle w:val="-0"/>
              <w:pBdr>
                <w:bottom w:val="single" w:sz="4" w:space="1" w:color="auto"/>
              </w:pBdr>
              <w:rPr>
                <w:sz w:val="18"/>
                <w:szCs w:val="18"/>
                <w:rtl/>
              </w:rPr>
            </w:pPr>
            <w:r w:rsidRPr="007B5573">
              <w:rPr>
                <w:rFonts w:hint="cs"/>
                <w:sz w:val="18"/>
                <w:szCs w:val="18"/>
                <w:rtl/>
              </w:rPr>
              <w:t xml:space="preserve"> 0</w:t>
            </w:r>
          </w:p>
        </w:tc>
        <w:tc>
          <w:tcPr>
            <w:tcW w:w="851" w:type="dxa"/>
            <w:vAlign w:val="bottom"/>
          </w:tcPr>
          <w:p w14:paraId="11A38377" w14:textId="77777777" w:rsidR="00CF2A74" w:rsidRDefault="00AC69BF" w:rsidP="00CF2A74">
            <w:pPr>
              <w:pStyle w:val="-0"/>
              <w:pBdr>
                <w:bottom w:val="single" w:sz="4" w:space="1" w:color="auto"/>
              </w:pBdr>
              <w:rPr>
                <w:sz w:val="18"/>
                <w:szCs w:val="18"/>
                <w:rtl/>
              </w:rPr>
            </w:pPr>
            <w:r w:rsidRPr="007B5573">
              <w:rPr>
                <w:rFonts w:hint="cs"/>
                <w:sz w:val="18"/>
                <w:szCs w:val="18"/>
                <w:rtl/>
              </w:rPr>
              <w:t xml:space="preserve"> 0</w:t>
            </w:r>
          </w:p>
        </w:tc>
        <w:tc>
          <w:tcPr>
            <w:tcW w:w="709" w:type="dxa"/>
            <w:vAlign w:val="bottom"/>
          </w:tcPr>
          <w:p w14:paraId="48F73400" w14:textId="77777777" w:rsidR="00CF2A74" w:rsidRDefault="00AC69BF" w:rsidP="00CF2A74">
            <w:pPr>
              <w:pStyle w:val="-0"/>
              <w:pBdr>
                <w:bottom w:val="single" w:sz="4" w:space="1" w:color="auto"/>
              </w:pBdr>
              <w:rPr>
                <w:sz w:val="18"/>
                <w:szCs w:val="18"/>
                <w:rtl/>
              </w:rPr>
            </w:pPr>
            <w:r w:rsidRPr="007B5573">
              <w:rPr>
                <w:rFonts w:hint="cs"/>
                <w:sz w:val="18"/>
                <w:szCs w:val="18"/>
                <w:rtl/>
              </w:rPr>
              <w:t xml:space="preserve"> 0</w:t>
            </w:r>
          </w:p>
        </w:tc>
      </w:tr>
      <w:tr w:rsidR="00AC69BF" w:rsidRPr="00543C25" w14:paraId="3193A22F" w14:textId="77777777" w:rsidTr="00912661">
        <w:tc>
          <w:tcPr>
            <w:tcW w:w="993" w:type="dxa"/>
          </w:tcPr>
          <w:p w14:paraId="6E9F41D8" w14:textId="77777777" w:rsidR="00AC69BF" w:rsidRPr="007B5573" w:rsidRDefault="00AC69BF" w:rsidP="007C54B1">
            <w:pPr>
              <w:pStyle w:val="-0"/>
              <w:spacing w:line="60" w:lineRule="exact"/>
              <w:rPr>
                <w:sz w:val="18"/>
                <w:szCs w:val="18"/>
                <w:rtl/>
              </w:rPr>
            </w:pPr>
          </w:p>
        </w:tc>
        <w:tc>
          <w:tcPr>
            <w:tcW w:w="4037" w:type="dxa"/>
            <w:gridSpan w:val="2"/>
            <w:vAlign w:val="bottom"/>
          </w:tcPr>
          <w:p w14:paraId="6EADDFCC" w14:textId="77777777" w:rsidR="00AC69BF" w:rsidRPr="005F47BE" w:rsidRDefault="00AC69BF" w:rsidP="007C54B1">
            <w:pPr>
              <w:pStyle w:val="-0"/>
              <w:spacing w:line="60" w:lineRule="exact"/>
              <w:rPr>
                <w:sz w:val="18"/>
                <w:szCs w:val="18"/>
                <w:rtl/>
              </w:rPr>
            </w:pPr>
          </w:p>
        </w:tc>
        <w:tc>
          <w:tcPr>
            <w:tcW w:w="661" w:type="dxa"/>
            <w:vAlign w:val="bottom"/>
          </w:tcPr>
          <w:p w14:paraId="1F6F7758" w14:textId="77777777" w:rsidR="00CF2A74" w:rsidRDefault="00CF2A74" w:rsidP="00CF2A74">
            <w:pPr>
              <w:pStyle w:val="-12"/>
              <w:pBdr>
                <w:top w:val="none" w:sz="0" w:space="0" w:color="auto"/>
              </w:pBdr>
              <w:spacing w:line="60" w:lineRule="exact"/>
              <w:rPr>
                <w:sz w:val="18"/>
                <w:szCs w:val="18"/>
                <w:rtl/>
              </w:rPr>
            </w:pPr>
          </w:p>
        </w:tc>
        <w:tc>
          <w:tcPr>
            <w:tcW w:w="970" w:type="dxa"/>
            <w:vAlign w:val="bottom"/>
          </w:tcPr>
          <w:p w14:paraId="1242238B" w14:textId="77777777" w:rsidR="00CF2A74" w:rsidRDefault="00CF2A74" w:rsidP="00CF2A74">
            <w:pPr>
              <w:pStyle w:val="-12"/>
              <w:pBdr>
                <w:top w:val="none" w:sz="0" w:space="0" w:color="auto"/>
              </w:pBdr>
              <w:spacing w:line="60" w:lineRule="exact"/>
              <w:rPr>
                <w:sz w:val="18"/>
                <w:szCs w:val="18"/>
                <w:rtl/>
              </w:rPr>
            </w:pPr>
          </w:p>
        </w:tc>
        <w:tc>
          <w:tcPr>
            <w:tcW w:w="816" w:type="dxa"/>
            <w:vAlign w:val="bottom"/>
          </w:tcPr>
          <w:p w14:paraId="0E5A444C" w14:textId="77777777" w:rsidR="00CF2A74" w:rsidRDefault="00CF2A74" w:rsidP="00CF2A74">
            <w:pPr>
              <w:pStyle w:val="-12"/>
              <w:pBdr>
                <w:top w:val="none" w:sz="0" w:space="0" w:color="auto"/>
              </w:pBdr>
              <w:spacing w:line="60" w:lineRule="exact"/>
              <w:rPr>
                <w:sz w:val="18"/>
                <w:szCs w:val="18"/>
                <w:rtl/>
              </w:rPr>
            </w:pPr>
          </w:p>
        </w:tc>
        <w:tc>
          <w:tcPr>
            <w:tcW w:w="1170" w:type="dxa"/>
            <w:vAlign w:val="bottom"/>
          </w:tcPr>
          <w:p w14:paraId="37FABEF3" w14:textId="77777777" w:rsidR="00CF2A74" w:rsidRDefault="00CF2A74" w:rsidP="00CF2A74">
            <w:pPr>
              <w:pStyle w:val="-12"/>
              <w:pBdr>
                <w:top w:val="none" w:sz="0" w:space="0" w:color="auto"/>
              </w:pBdr>
              <w:spacing w:line="60" w:lineRule="exact"/>
              <w:rPr>
                <w:sz w:val="18"/>
                <w:szCs w:val="18"/>
                <w:rtl/>
              </w:rPr>
            </w:pPr>
          </w:p>
        </w:tc>
        <w:tc>
          <w:tcPr>
            <w:tcW w:w="851" w:type="dxa"/>
            <w:vAlign w:val="bottom"/>
          </w:tcPr>
          <w:p w14:paraId="297C319E" w14:textId="77777777" w:rsidR="00CF2A74" w:rsidRDefault="00CF2A74" w:rsidP="00CF2A74">
            <w:pPr>
              <w:pStyle w:val="-12"/>
              <w:pBdr>
                <w:top w:val="none" w:sz="0" w:space="0" w:color="auto"/>
              </w:pBdr>
              <w:spacing w:line="60" w:lineRule="exact"/>
              <w:rPr>
                <w:sz w:val="18"/>
                <w:szCs w:val="18"/>
                <w:rtl/>
              </w:rPr>
            </w:pPr>
          </w:p>
        </w:tc>
        <w:tc>
          <w:tcPr>
            <w:tcW w:w="709" w:type="dxa"/>
            <w:vAlign w:val="bottom"/>
          </w:tcPr>
          <w:p w14:paraId="1C883CDD" w14:textId="77777777" w:rsidR="00CF2A74" w:rsidRDefault="00CF2A74" w:rsidP="00CF2A74">
            <w:pPr>
              <w:pStyle w:val="-12"/>
              <w:pBdr>
                <w:top w:val="none" w:sz="0" w:space="0" w:color="auto"/>
              </w:pBdr>
              <w:spacing w:line="60" w:lineRule="exact"/>
              <w:rPr>
                <w:sz w:val="18"/>
                <w:szCs w:val="18"/>
                <w:rtl/>
              </w:rPr>
            </w:pPr>
          </w:p>
        </w:tc>
      </w:tr>
      <w:tr w:rsidR="00AC69BF" w:rsidRPr="00543C25" w14:paraId="512744F0" w14:textId="77777777" w:rsidTr="00912661">
        <w:tc>
          <w:tcPr>
            <w:tcW w:w="993" w:type="dxa"/>
          </w:tcPr>
          <w:p w14:paraId="07C1ABE3" w14:textId="77777777" w:rsidR="00AC69BF" w:rsidRPr="007B5573" w:rsidRDefault="00AC69BF" w:rsidP="007C54B1">
            <w:pPr>
              <w:pStyle w:val="-b"/>
              <w:rPr>
                <w:sz w:val="18"/>
                <w:szCs w:val="18"/>
                <w:rtl/>
              </w:rPr>
            </w:pPr>
          </w:p>
        </w:tc>
        <w:tc>
          <w:tcPr>
            <w:tcW w:w="4037" w:type="dxa"/>
            <w:gridSpan w:val="2"/>
            <w:vAlign w:val="bottom"/>
          </w:tcPr>
          <w:p w14:paraId="2BEBC988" w14:textId="77777777" w:rsidR="00F32A2A" w:rsidRDefault="00AC69BF">
            <w:pPr>
              <w:pStyle w:val="-b"/>
              <w:rPr>
                <w:sz w:val="18"/>
                <w:szCs w:val="18"/>
                <w:rtl/>
              </w:rPr>
            </w:pPr>
            <w:r w:rsidRPr="005F47BE">
              <w:rPr>
                <w:sz w:val="18"/>
                <w:szCs w:val="18"/>
                <w:rtl/>
              </w:rPr>
              <w:t>השפעת מכשירים נגזרים מגדרים:</w:t>
            </w:r>
          </w:p>
        </w:tc>
        <w:tc>
          <w:tcPr>
            <w:tcW w:w="661" w:type="dxa"/>
            <w:vAlign w:val="bottom"/>
          </w:tcPr>
          <w:p w14:paraId="0F9F2460" w14:textId="77777777" w:rsidR="00AC69BF" w:rsidRPr="007B5573" w:rsidRDefault="00AC69BF" w:rsidP="007C54B1">
            <w:pPr>
              <w:pStyle w:val="-0"/>
              <w:rPr>
                <w:sz w:val="18"/>
                <w:szCs w:val="18"/>
                <w:rtl/>
              </w:rPr>
            </w:pPr>
          </w:p>
        </w:tc>
        <w:tc>
          <w:tcPr>
            <w:tcW w:w="970" w:type="dxa"/>
            <w:vAlign w:val="bottom"/>
          </w:tcPr>
          <w:p w14:paraId="674332AA" w14:textId="77777777" w:rsidR="00AC69BF" w:rsidRPr="007B5573" w:rsidRDefault="00AC69BF" w:rsidP="007C54B1">
            <w:pPr>
              <w:pStyle w:val="-0"/>
              <w:rPr>
                <w:sz w:val="18"/>
                <w:szCs w:val="18"/>
                <w:rtl/>
              </w:rPr>
            </w:pPr>
          </w:p>
        </w:tc>
        <w:tc>
          <w:tcPr>
            <w:tcW w:w="816" w:type="dxa"/>
            <w:vAlign w:val="bottom"/>
          </w:tcPr>
          <w:p w14:paraId="17FBA204" w14:textId="77777777" w:rsidR="00AC69BF" w:rsidRPr="007B5573" w:rsidRDefault="00AC69BF" w:rsidP="007C54B1">
            <w:pPr>
              <w:pStyle w:val="-0"/>
              <w:rPr>
                <w:sz w:val="18"/>
                <w:szCs w:val="18"/>
                <w:rtl/>
              </w:rPr>
            </w:pPr>
          </w:p>
        </w:tc>
        <w:tc>
          <w:tcPr>
            <w:tcW w:w="1170" w:type="dxa"/>
            <w:vAlign w:val="bottom"/>
          </w:tcPr>
          <w:p w14:paraId="2B832967" w14:textId="77777777" w:rsidR="00AC69BF" w:rsidRPr="007B5573" w:rsidRDefault="00AC69BF" w:rsidP="007C54B1">
            <w:pPr>
              <w:pStyle w:val="-0"/>
              <w:rPr>
                <w:sz w:val="18"/>
                <w:szCs w:val="18"/>
                <w:rtl/>
              </w:rPr>
            </w:pPr>
          </w:p>
        </w:tc>
        <w:tc>
          <w:tcPr>
            <w:tcW w:w="851" w:type="dxa"/>
            <w:vAlign w:val="bottom"/>
          </w:tcPr>
          <w:p w14:paraId="61D825DD" w14:textId="77777777" w:rsidR="00AC69BF" w:rsidRPr="007B5573" w:rsidRDefault="00AC69BF" w:rsidP="007C54B1">
            <w:pPr>
              <w:pStyle w:val="-0"/>
              <w:rPr>
                <w:sz w:val="18"/>
                <w:szCs w:val="18"/>
                <w:rtl/>
              </w:rPr>
            </w:pPr>
          </w:p>
        </w:tc>
        <w:tc>
          <w:tcPr>
            <w:tcW w:w="709" w:type="dxa"/>
            <w:vAlign w:val="bottom"/>
          </w:tcPr>
          <w:p w14:paraId="3C317A22" w14:textId="77777777" w:rsidR="00AC69BF" w:rsidRPr="007B5573" w:rsidRDefault="00AC69BF" w:rsidP="007C54B1">
            <w:pPr>
              <w:pStyle w:val="-0"/>
              <w:rPr>
                <w:sz w:val="18"/>
                <w:szCs w:val="18"/>
                <w:rtl/>
              </w:rPr>
            </w:pPr>
          </w:p>
        </w:tc>
      </w:tr>
      <w:tr w:rsidR="00AC69BF" w:rsidRPr="00543C25" w14:paraId="6F7F1F3F" w14:textId="77777777" w:rsidTr="00912661">
        <w:tc>
          <w:tcPr>
            <w:tcW w:w="993" w:type="dxa"/>
          </w:tcPr>
          <w:p w14:paraId="6A8C9C2D" w14:textId="77777777" w:rsidR="00AC69BF" w:rsidRPr="007B5573" w:rsidRDefault="00AC69BF" w:rsidP="007C54B1">
            <w:pPr>
              <w:pStyle w:val="-0"/>
              <w:rPr>
                <w:sz w:val="18"/>
                <w:szCs w:val="18"/>
                <w:rtl/>
              </w:rPr>
            </w:pPr>
          </w:p>
        </w:tc>
        <w:tc>
          <w:tcPr>
            <w:tcW w:w="4037" w:type="dxa"/>
            <w:gridSpan w:val="2"/>
            <w:vAlign w:val="bottom"/>
          </w:tcPr>
          <w:p w14:paraId="2F506741" w14:textId="77777777" w:rsidR="00AC69BF" w:rsidRPr="005F47BE" w:rsidRDefault="00AC69BF" w:rsidP="007C54B1">
            <w:pPr>
              <w:pStyle w:val="-0"/>
              <w:rPr>
                <w:sz w:val="18"/>
                <w:szCs w:val="18"/>
                <w:rtl/>
              </w:rPr>
            </w:pPr>
            <w:r w:rsidRPr="005F47BE">
              <w:rPr>
                <w:sz w:val="18"/>
                <w:szCs w:val="18"/>
                <w:rtl/>
              </w:rPr>
              <w:t>מכשירים נגזרים (למעט אופציות)</w:t>
            </w:r>
          </w:p>
        </w:tc>
        <w:tc>
          <w:tcPr>
            <w:tcW w:w="661" w:type="dxa"/>
            <w:vAlign w:val="bottom"/>
          </w:tcPr>
          <w:p w14:paraId="3A95FA96" w14:textId="77777777" w:rsidR="00AC69BF" w:rsidRPr="007B5573" w:rsidRDefault="00AC69BF" w:rsidP="007C54B1">
            <w:pPr>
              <w:pStyle w:val="-0"/>
              <w:rPr>
                <w:sz w:val="18"/>
                <w:szCs w:val="18"/>
                <w:rtl/>
              </w:rPr>
            </w:pPr>
            <w:r w:rsidRPr="007B5573">
              <w:rPr>
                <w:rFonts w:hint="cs"/>
                <w:sz w:val="18"/>
                <w:szCs w:val="18"/>
                <w:rtl/>
              </w:rPr>
              <w:t xml:space="preserve"> 0</w:t>
            </w:r>
          </w:p>
        </w:tc>
        <w:tc>
          <w:tcPr>
            <w:tcW w:w="970" w:type="dxa"/>
            <w:vAlign w:val="bottom"/>
          </w:tcPr>
          <w:p w14:paraId="26BB1B65" w14:textId="77777777" w:rsidR="00AC69BF" w:rsidRPr="007B5573" w:rsidRDefault="00AC69BF" w:rsidP="007C54B1">
            <w:pPr>
              <w:pStyle w:val="-0"/>
              <w:rPr>
                <w:sz w:val="18"/>
                <w:szCs w:val="18"/>
                <w:rtl/>
              </w:rPr>
            </w:pPr>
            <w:r w:rsidRPr="007B5573">
              <w:rPr>
                <w:rFonts w:hint="cs"/>
                <w:sz w:val="18"/>
                <w:szCs w:val="18"/>
                <w:rtl/>
              </w:rPr>
              <w:t xml:space="preserve"> 0</w:t>
            </w:r>
          </w:p>
        </w:tc>
        <w:tc>
          <w:tcPr>
            <w:tcW w:w="816" w:type="dxa"/>
            <w:vAlign w:val="bottom"/>
          </w:tcPr>
          <w:p w14:paraId="7316AF6E" w14:textId="77777777" w:rsidR="00AC69BF" w:rsidRPr="007B5573" w:rsidRDefault="00AC69BF" w:rsidP="007C54B1">
            <w:pPr>
              <w:pStyle w:val="-0"/>
              <w:rPr>
                <w:sz w:val="18"/>
                <w:szCs w:val="18"/>
                <w:rtl/>
              </w:rPr>
            </w:pPr>
            <w:r w:rsidRPr="007B5573">
              <w:rPr>
                <w:rFonts w:hint="cs"/>
                <w:sz w:val="18"/>
                <w:szCs w:val="18"/>
                <w:rtl/>
              </w:rPr>
              <w:t xml:space="preserve"> 0</w:t>
            </w:r>
          </w:p>
        </w:tc>
        <w:tc>
          <w:tcPr>
            <w:tcW w:w="1170" w:type="dxa"/>
            <w:vAlign w:val="bottom"/>
          </w:tcPr>
          <w:p w14:paraId="48550293" w14:textId="77777777" w:rsidR="00AC69BF" w:rsidRPr="007B5573" w:rsidRDefault="00AC69BF" w:rsidP="007C54B1">
            <w:pPr>
              <w:pStyle w:val="-0"/>
              <w:rPr>
                <w:sz w:val="18"/>
                <w:szCs w:val="18"/>
                <w:rtl/>
              </w:rPr>
            </w:pPr>
            <w:r w:rsidRPr="007B5573">
              <w:rPr>
                <w:rFonts w:hint="cs"/>
                <w:sz w:val="18"/>
                <w:szCs w:val="18"/>
                <w:rtl/>
              </w:rPr>
              <w:t xml:space="preserve"> 0</w:t>
            </w:r>
          </w:p>
        </w:tc>
        <w:tc>
          <w:tcPr>
            <w:tcW w:w="851" w:type="dxa"/>
            <w:vAlign w:val="bottom"/>
          </w:tcPr>
          <w:p w14:paraId="0050A5BC" w14:textId="77777777" w:rsidR="00AC69BF" w:rsidRPr="007B5573" w:rsidRDefault="00AC69BF" w:rsidP="007C54B1">
            <w:pPr>
              <w:pStyle w:val="-0"/>
              <w:rPr>
                <w:sz w:val="18"/>
                <w:szCs w:val="18"/>
                <w:rtl/>
              </w:rPr>
            </w:pPr>
            <w:r w:rsidRPr="007B5573">
              <w:rPr>
                <w:rFonts w:hint="cs"/>
                <w:sz w:val="18"/>
                <w:szCs w:val="18"/>
                <w:rtl/>
              </w:rPr>
              <w:t xml:space="preserve"> 0</w:t>
            </w:r>
          </w:p>
        </w:tc>
        <w:tc>
          <w:tcPr>
            <w:tcW w:w="709" w:type="dxa"/>
            <w:vAlign w:val="bottom"/>
          </w:tcPr>
          <w:p w14:paraId="30F2D917" w14:textId="77777777" w:rsidR="00AC69BF" w:rsidRPr="007B5573" w:rsidRDefault="00AC69BF" w:rsidP="007C54B1">
            <w:pPr>
              <w:pStyle w:val="-0"/>
              <w:rPr>
                <w:sz w:val="18"/>
                <w:szCs w:val="18"/>
                <w:rtl/>
              </w:rPr>
            </w:pPr>
            <w:r w:rsidRPr="007B5573">
              <w:rPr>
                <w:rFonts w:hint="cs"/>
                <w:sz w:val="18"/>
                <w:szCs w:val="18"/>
                <w:rtl/>
              </w:rPr>
              <w:t xml:space="preserve"> 0</w:t>
            </w:r>
          </w:p>
        </w:tc>
      </w:tr>
      <w:tr w:rsidR="00AC69BF" w:rsidRPr="00543C25" w14:paraId="2BFB8F11" w14:textId="77777777" w:rsidTr="00912661">
        <w:tc>
          <w:tcPr>
            <w:tcW w:w="993" w:type="dxa"/>
          </w:tcPr>
          <w:p w14:paraId="7ADE9E95" w14:textId="77777777" w:rsidR="00AC69BF" w:rsidRPr="007B5573" w:rsidRDefault="00AC69BF" w:rsidP="007C54B1">
            <w:pPr>
              <w:pStyle w:val="-0"/>
              <w:rPr>
                <w:sz w:val="18"/>
                <w:szCs w:val="18"/>
                <w:rtl/>
              </w:rPr>
            </w:pPr>
          </w:p>
        </w:tc>
        <w:tc>
          <w:tcPr>
            <w:tcW w:w="4037" w:type="dxa"/>
            <w:gridSpan w:val="2"/>
            <w:vAlign w:val="bottom"/>
          </w:tcPr>
          <w:p w14:paraId="4976AD25" w14:textId="77777777" w:rsidR="00F32A2A" w:rsidRDefault="00AC69BF">
            <w:pPr>
              <w:pStyle w:val="-0"/>
              <w:rPr>
                <w:sz w:val="18"/>
                <w:szCs w:val="18"/>
                <w:rtl/>
              </w:rPr>
            </w:pPr>
            <w:r w:rsidRPr="005F47BE">
              <w:rPr>
                <w:sz w:val="18"/>
                <w:szCs w:val="18"/>
                <w:rtl/>
              </w:rPr>
              <w:t>אופציות בכסף נטו (במונחי נכס בסיס)</w:t>
            </w:r>
          </w:p>
        </w:tc>
        <w:tc>
          <w:tcPr>
            <w:tcW w:w="661" w:type="dxa"/>
            <w:vAlign w:val="bottom"/>
          </w:tcPr>
          <w:p w14:paraId="68DD3763" w14:textId="77777777" w:rsidR="00AC69BF" w:rsidRPr="007B5573" w:rsidRDefault="00AC69BF" w:rsidP="007C54B1">
            <w:pPr>
              <w:pStyle w:val="-0"/>
              <w:rPr>
                <w:sz w:val="18"/>
                <w:szCs w:val="18"/>
                <w:rtl/>
              </w:rPr>
            </w:pPr>
            <w:r w:rsidRPr="007B5573">
              <w:rPr>
                <w:rFonts w:hint="cs"/>
                <w:sz w:val="18"/>
                <w:szCs w:val="18"/>
                <w:rtl/>
              </w:rPr>
              <w:t xml:space="preserve"> 0</w:t>
            </w:r>
          </w:p>
        </w:tc>
        <w:tc>
          <w:tcPr>
            <w:tcW w:w="970" w:type="dxa"/>
            <w:vAlign w:val="bottom"/>
          </w:tcPr>
          <w:p w14:paraId="09A2ADBB" w14:textId="77777777" w:rsidR="00AC69BF" w:rsidRPr="007B5573" w:rsidRDefault="00AC69BF" w:rsidP="007C54B1">
            <w:pPr>
              <w:pStyle w:val="-0"/>
              <w:rPr>
                <w:sz w:val="18"/>
                <w:szCs w:val="18"/>
                <w:rtl/>
              </w:rPr>
            </w:pPr>
            <w:r w:rsidRPr="007B5573">
              <w:rPr>
                <w:rFonts w:hint="cs"/>
                <w:sz w:val="18"/>
                <w:szCs w:val="18"/>
                <w:rtl/>
              </w:rPr>
              <w:t xml:space="preserve"> 0</w:t>
            </w:r>
          </w:p>
        </w:tc>
        <w:tc>
          <w:tcPr>
            <w:tcW w:w="816" w:type="dxa"/>
            <w:vAlign w:val="bottom"/>
          </w:tcPr>
          <w:p w14:paraId="40EF8D77" w14:textId="77777777" w:rsidR="00AC69BF" w:rsidRPr="007B5573" w:rsidRDefault="00AC69BF" w:rsidP="007C54B1">
            <w:pPr>
              <w:pStyle w:val="-0"/>
              <w:rPr>
                <w:sz w:val="18"/>
                <w:szCs w:val="18"/>
                <w:rtl/>
              </w:rPr>
            </w:pPr>
            <w:r w:rsidRPr="007B5573">
              <w:rPr>
                <w:rFonts w:hint="cs"/>
                <w:sz w:val="18"/>
                <w:szCs w:val="18"/>
                <w:rtl/>
              </w:rPr>
              <w:t xml:space="preserve"> 0</w:t>
            </w:r>
          </w:p>
        </w:tc>
        <w:tc>
          <w:tcPr>
            <w:tcW w:w="1170" w:type="dxa"/>
            <w:vAlign w:val="bottom"/>
          </w:tcPr>
          <w:p w14:paraId="4112E05A" w14:textId="77777777" w:rsidR="00AC69BF" w:rsidRPr="007B5573" w:rsidRDefault="00AC69BF" w:rsidP="007C54B1">
            <w:pPr>
              <w:pStyle w:val="-0"/>
              <w:rPr>
                <w:sz w:val="18"/>
                <w:szCs w:val="18"/>
                <w:rtl/>
              </w:rPr>
            </w:pPr>
            <w:r w:rsidRPr="007B5573">
              <w:rPr>
                <w:rFonts w:hint="cs"/>
                <w:sz w:val="18"/>
                <w:szCs w:val="18"/>
                <w:rtl/>
              </w:rPr>
              <w:t xml:space="preserve"> 0</w:t>
            </w:r>
          </w:p>
        </w:tc>
        <w:tc>
          <w:tcPr>
            <w:tcW w:w="851" w:type="dxa"/>
            <w:vAlign w:val="bottom"/>
          </w:tcPr>
          <w:p w14:paraId="0C35B989" w14:textId="77777777" w:rsidR="00AC69BF" w:rsidRPr="007B5573" w:rsidRDefault="00AC69BF" w:rsidP="007C54B1">
            <w:pPr>
              <w:pStyle w:val="-0"/>
              <w:rPr>
                <w:sz w:val="18"/>
                <w:szCs w:val="18"/>
                <w:rtl/>
              </w:rPr>
            </w:pPr>
            <w:r w:rsidRPr="007B5573">
              <w:rPr>
                <w:rFonts w:hint="cs"/>
                <w:sz w:val="18"/>
                <w:szCs w:val="18"/>
                <w:rtl/>
              </w:rPr>
              <w:t xml:space="preserve"> 0</w:t>
            </w:r>
          </w:p>
        </w:tc>
        <w:tc>
          <w:tcPr>
            <w:tcW w:w="709" w:type="dxa"/>
            <w:vAlign w:val="bottom"/>
          </w:tcPr>
          <w:p w14:paraId="041B7246" w14:textId="77777777" w:rsidR="00AC69BF" w:rsidRPr="007B5573" w:rsidRDefault="00AC69BF" w:rsidP="007C54B1">
            <w:pPr>
              <w:pStyle w:val="-0"/>
              <w:rPr>
                <w:sz w:val="18"/>
                <w:szCs w:val="18"/>
                <w:rtl/>
              </w:rPr>
            </w:pPr>
            <w:r w:rsidRPr="007B5573">
              <w:rPr>
                <w:rFonts w:hint="cs"/>
                <w:sz w:val="18"/>
                <w:szCs w:val="18"/>
                <w:rtl/>
              </w:rPr>
              <w:t xml:space="preserve"> 0</w:t>
            </w:r>
          </w:p>
        </w:tc>
      </w:tr>
      <w:tr w:rsidR="00AC69BF" w:rsidRPr="00543C25" w14:paraId="635744FF" w14:textId="77777777" w:rsidTr="00912661">
        <w:tc>
          <w:tcPr>
            <w:tcW w:w="993" w:type="dxa"/>
          </w:tcPr>
          <w:p w14:paraId="6CAC5C62" w14:textId="77777777" w:rsidR="00AC69BF" w:rsidRPr="007B5573" w:rsidRDefault="00AC69BF" w:rsidP="007C54B1">
            <w:pPr>
              <w:pStyle w:val="-0"/>
              <w:rPr>
                <w:sz w:val="18"/>
                <w:szCs w:val="18"/>
                <w:rtl/>
              </w:rPr>
            </w:pPr>
          </w:p>
        </w:tc>
        <w:tc>
          <w:tcPr>
            <w:tcW w:w="4037" w:type="dxa"/>
            <w:gridSpan w:val="2"/>
            <w:vAlign w:val="bottom"/>
          </w:tcPr>
          <w:p w14:paraId="2B611A4F" w14:textId="77777777" w:rsidR="00F32A2A" w:rsidRDefault="00AC69BF">
            <w:pPr>
              <w:pStyle w:val="-0"/>
              <w:rPr>
                <w:sz w:val="18"/>
                <w:szCs w:val="18"/>
                <w:rtl/>
              </w:rPr>
            </w:pPr>
            <w:r w:rsidRPr="005F47BE">
              <w:rPr>
                <w:sz w:val="18"/>
                <w:szCs w:val="18"/>
                <w:rtl/>
              </w:rPr>
              <w:t xml:space="preserve">אופציות מחוץ לכסף נטו (במונחי נכס בסיס) </w:t>
            </w:r>
          </w:p>
        </w:tc>
        <w:tc>
          <w:tcPr>
            <w:tcW w:w="661" w:type="dxa"/>
            <w:vAlign w:val="bottom"/>
          </w:tcPr>
          <w:p w14:paraId="473B022B" w14:textId="77777777" w:rsidR="00AC69BF" w:rsidRPr="007B5573" w:rsidRDefault="00AC69BF" w:rsidP="007C54B1">
            <w:pPr>
              <w:pStyle w:val="-0"/>
              <w:rPr>
                <w:sz w:val="18"/>
                <w:szCs w:val="18"/>
                <w:rtl/>
              </w:rPr>
            </w:pPr>
            <w:r w:rsidRPr="007B5573">
              <w:rPr>
                <w:rFonts w:hint="cs"/>
                <w:sz w:val="18"/>
                <w:szCs w:val="18"/>
                <w:rtl/>
              </w:rPr>
              <w:t xml:space="preserve"> 0</w:t>
            </w:r>
          </w:p>
        </w:tc>
        <w:tc>
          <w:tcPr>
            <w:tcW w:w="970" w:type="dxa"/>
            <w:vAlign w:val="bottom"/>
          </w:tcPr>
          <w:p w14:paraId="3DCF11AD" w14:textId="77777777" w:rsidR="00AC69BF" w:rsidRPr="007B5573" w:rsidRDefault="00AC69BF" w:rsidP="007C54B1">
            <w:pPr>
              <w:pStyle w:val="-0"/>
              <w:rPr>
                <w:sz w:val="18"/>
                <w:szCs w:val="18"/>
                <w:rtl/>
              </w:rPr>
            </w:pPr>
            <w:r w:rsidRPr="007B5573">
              <w:rPr>
                <w:rFonts w:hint="cs"/>
                <w:sz w:val="18"/>
                <w:szCs w:val="18"/>
                <w:rtl/>
              </w:rPr>
              <w:t xml:space="preserve"> 0</w:t>
            </w:r>
          </w:p>
        </w:tc>
        <w:tc>
          <w:tcPr>
            <w:tcW w:w="816" w:type="dxa"/>
            <w:vAlign w:val="bottom"/>
          </w:tcPr>
          <w:p w14:paraId="4BE5DC75" w14:textId="77777777" w:rsidR="00AC69BF" w:rsidRPr="007B5573" w:rsidRDefault="00AC69BF" w:rsidP="007C54B1">
            <w:pPr>
              <w:pStyle w:val="-0"/>
              <w:rPr>
                <w:sz w:val="18"/>
                <w:szCs w:val="18"/>
                <w:rtl/>
              </w:rPr>
            </w:pPr>
            <w:r w:rsidRPr="007B5573">
              <w:rPr>
                <w:rFonts w:hint="cs"/>
                <w:sz w:val="18"/>
                <w:szCs w:val="18"/>
                <w:rtl/>
              </w:rPr>
              <w:t xml:space="preserve"> 0</w:t>
            </w:r>
          </w:p>
        </w:tc>
        <w:tc>
          <w:tcPr>
            <w:tcW w:w="1170" w:type="dxa"/>
            <w:vAlign w:val="bottom"/>
          </w:tcPr>
          <w:p w14:paraId="4C4760B3" w14:textId="77777777" w:rsidR="00AC69BF" w:rsidRPr="007B5573" w:rsidRDefault="00AC69BF" w:rsidP="007C54B1">
            <w:pPr>
              <w:pStyle w:val="-0"/>
              <w:rPr>
                <w:sz w:val="18"/>
                <w:szCs w:val="18"/>
                <w:rtl/>
              </w:rPr>
            </w:pPr>
            <w:r w:rsidRPr="007B5573">
              <w:rPr>
                <w:rFonts w:hint="cs"/>
                <w:sz w:val="18"/>
                <w:szCs w:val="18"/>
                <w:rtl/>
              </w:rPr>
              <w:t xml:space="preserve"> 0</w:t>
            </w:r>
          </w:p>
        </w:tc>
        <w:tc>
          <w:tcPr>
            <w:tcW w:w="851" w:type="dxa"/>
            <w:vAlign w:val="bottom"/>
          </w:tcPr>
          <w:p w14:paraId="695597F4" w14:textId="77777777" w:rsidR="00AC69BF" w:rsidRPr="007B5573" w:rsidRDefault="00AC69BF" w:rsidP="007C54B1">
            <w:pPr>
              <w:pStyle w:val="-0"/>
              <w:rPr>
                <w:sz w:val="18"/>
                <w:szCs w:val="18"/>
                <w:rtl/>
              </w:rPr>
            </w:pPr>
            <w:r w:rsidRPr="007B5573">
              <w:rPr>
                <w:rFonts w:hint="cs"/>
                <w:sz w:val="18"/>
                <w:szCs w:val="18"/>
                <w:rtl/>
              </w:rPr>
              <w:t xml:space="preserve"> 0</w:t>
            </w:r>
          </w:p>
        </w:tc>
        <w:tc>
          <w:tcPr>
            <w:tcW w:w="709" w:type="dxa"/>
            <w:vAlign w:val="bottom"/>
          </w:tcPr>
          <w:p w14:paraId="13B35F2F" w14:textId="77777777" w:rsidR="00AC69BF" w:rsidRPr="007B5573" w:rsidRDefault="00AC69BF" w:rsidP="007C54B1">
            <w:pPr>
              <w:pStyle w:val="-0"/>
              <w:rPr>
                <w:sz w:val="18"/>
                <w:szCs w:val="18"/>
                <w:rtl/>
              </w:rPr>
            </w:pPr>
            <w:r w:rsidRPr="007B5573">
              <w:rPr>
                <w:rFonts w:hint="cs"/>
                <w:sz w:val="18"/>
                <w:szCs w:val="18"/>
                <w:rtl/>
              </w:rPr>
              <w:t xml:space="preserve"> 0</w:t>
            </w:r>
          </w:p>
        </w:tc>
      </w:tr>
      <w:tr w:rsidR="00AC69BF" w:rsidRPr="00543C25" w14:paraId="4FF2CC64" w14:textId="77777777" w:rsidTr="00912661">
        <w:trPr>
          <w:trHeight w:hRule="exact" w:val="72"/>
        </w:trPr>
        <w:tc>
          <w:tcPr>
            <w:tcW w:w="993" w:type="dxa"/>
          </w:tcPr>
          <w:p w14:paraId="25FEC9F3" w14:textId="77777777" w:rsidR="00AC69BF" w:rsidRPr="007B5573" w:rsidRDefault="00AC69BF" w:rsidP="007C54B1">
            <w:pPr>
              <w:pStyle w:val="-0"/>
              <w:rPr>
                <w:sz w:val="18"/>
                <w:szCs w:val="18"/>
                <w:rtl/>
              </w:rPr>
            </w:pPr>
          </w:p>
        </w:tc>
        <w:tc>
          <w:tcPr>
            <w:tcW w:w="4037" w:type="dxa"/>
            <w:gridSpan w:val="2"/>
            <w:vAlign w:val="bottom"/>
          </w:tcPr>
          <w:p w14:paraId="3A96248D" w14:textId="77777777" w:rsidR="00AC69BF" w:rsidRPr="005F47BE" w:rsidRDefault="00AC69BF" w:rsidP="007C54B1">
            <w:pPr>
              <w:pStyle w:val="-0"/>
              <w:rPr>
                <w:sz w:val="18"/>
                <w:szCs w:val="18"/>
                <w:rtl/>
              </w:rPr>
            </w:pPr>
          </w:p>
        </w:tc>
        <w:tc>
          <w:tcPr>
            <w:tcW w:w="661" w:type="dxa"/>
            <w:vAlign w:val="bottom"/>
          </w:tcPr>
          <w:p w14:paraId="2D0514AF" w14:textId="77777777" w:rsidR="00AC69BF" w:rsidRPr="007B5573" w:rsidRDefault="00AC69BF" w:rsidP="007C54B1">
            <w:pPr>
              <w:pStyle w:val="-0"/>
              <w:rPr>
                <w:sz w:val="18"/>
                <w:szCs w:val="18"/>
                <w:rtl/>
              </w:rPr>
            </w:pPr>
          </w:p>
        </w:tc>
        <w:tc>
          <w:tcPr>
            <w:tcW w:w="970" w:type="dxa"/>
            <w:vAlign w:val="bottom"/>
          </w:tcPr>
          <w:p w14:paraId="36F740C9" w14:textId="77777777" w:rsidR="00AC69BF" w:rsidRPr="007B5573" w:rsidRDefault="00AC69BF" w:rsidP="007C54B1">
            <w:pPr>
              <w:pStyle w:val="-0"/>
              <w:rPr>
                <w:sz w:val="18"/>
                <w:szCs w:val="18"/>
                <w:rtl/>
              </w:rPr>
            </w:pPr>
          </w:p>
        </w:tc>
        <w:tc>
          <w:tcPr>
            <w:tcW w:w="816" w:type="dxa"/>
            <w:vAlign w:val="bottom"/>
          </w:tcPr>
          <w:p w14:paraId="467D363C" w14:textId="77777777" w:rsidR="00AC69BF" w:rsidRPr="007B5573" w:rsidRDefault="00AC69BF" w:rsidP="007C54B1">
            <w:pPr>
              <w:pStyle w:val="-0"/>
              <w:rPr>
                <w:sz w:val="18"/>
                <w:szCs w:val="18"/>
                <w:rtl/>
              </w:rPr>
            </w:pPr>
          </w:p>
        </w:tc>
        <w:tc>
          <w:tcPr>
            <w:tcW w:w="1170" w:type="dxa"/>
            <w:vAlign w:val="bottom"/>
          </w:tcPr>
          <w:p w14:paraId="4C96861F" w14:textId="77777777" w:rsidR="00AC69BF" w:rsidRPr="007B5573" w:rsidRDefault="00AC69BF" w:rsidP="007C54B1">
            <w:pPr>
              <w:pStyle w:val="-0"/>
              <w:rPr>
                <w:sz w:val="18"/>
                <w:szCs w:val="18"/>
                <w:rtl/>
              </w:rPr>
            </w:pPr>
          </w:p>
        </w:tc>
        <w:tc>
          <w:tcPr>
            <w:tcW w:w="851" w:type="dxa"/>
            <w:vAlign w:val="bottom"/>
          </w:tcPr>
          <w:p w14:paraId="45A4236F" w14:textId="77777777" w:rsidR="00AC69BF" w:rsidRPr="007B5573" w:rsidRDefault="00AC69BF" w:rsidP="007C54B1">
            <w:pPr>
              <w:pStyle w:val="-0"/>
              <w:rPr>
                <w:sz w:val="18"/>
                <w:szCs w:val="18"/>
                <w:rtl/>
              </w:rPr>
            </w:pPr>
          </w:p>
        </w:tc>
        <w:tc>
          <w:tcPr>
            <w:tcW w:w="709" w:type="dxa"/>
            <w:vAlign w:val="bottom"/>
          </w:tcPr>
          <w:p w14:paraId="44F040CD" w14:textId="77777777" w:rsidR="00AC69BF" w:rsidRPr="007B5573" w:rsidRDefault="00AC69BF" w:rsidP="007C54B1">
            <w:pPr>
              <w:pStyle w:val="-0"/>
              <w:rPr>
                <w:sz w:val="18"/>
                <w:szCs w:val="18"/>
                <w:rtl/>
              </w:rPr>
            </w:pPr>
          </w:p>
        </w:tc>
      </w:tr>
      <w:tr w:rsidR="00AC69BF" w:rsidRPr="00543C25" w14:paraId="6C76BC62" w14:textId="77777777" w:rsidTr="00912661">
        <w:tc>
          <w:tcPr>
            <w:tcW w:w="993" w:type="dxa"/>
          </w:tcPr>
          <w:p w14:paraId="309802F4" w14:textId="77777777" w:rsidR="00AC69BF" w:rsidRPr="007B5573" w:rsidRDefault="00AC69BF" w:rsidP="007C54B1">
            <w:pPr>
              <w:pStyle w:val="-b"/>
              <w:rPr>
                <w:sz w:val="18"/>
                <w:szCs w:val="18"/>
                <w:rtl/>
              </w:rPr>
            </w:pPr>
          </w:p>
        </w:tc>
        <w:tc>
          <w:tcPr>
            <w:tcW w:w="4037" w:type="dxa"/>
            <w:gridSpan w:val="2"/>
            <w:vAlign w:val="bottom"/>
          </w:tcPr>
          <w:p w14:paraId="52B61053" w14:textId="77777777" w:rsidR="00AC69BF" w:rsidRPr="005F47BE" w:rsidRDefault="00AC69BF" w:rsidP="007C54B1">
            <w:pPr>
              <w:pStyle w:val="-b"/>
              <w:rPr>
                <w:sz w:val="18"/>
                <w:szCs w:val="18"/>
                <w:rtl/>
              </w:rPr>
            </w:pPr>
            <w:r w:rsidRPr="005F47BE">
              <w:rPr>
                <w:sz w:val="18"/>
                <w:szCs w:val="18"/>
                <w:rtl/>
              </w:rPr>
              <w:t>מכשירים נגזרים שאינם מגדרים:</w:t>
            </w:r>
          </w:p>
        </w:tc>
        <w:tc>
          <w:tcPr>
            <w:tcW w:w="661" w:type="dxa"/>
            <w:vAlign w:val="bottom"/>
          </w:tcPr>
          <w:p w14:paraId="2D9D1725" w14:textId="77777777" w:rsidR="00AC69BF" w:rsidRPr="007B5573" w:rsidRDefault="00AC69BF" w:rsidP="007C54B1">
            <w:pPr>
              <w:pStyle w:val="-0"/>
              <w:rPr>
                <w:sz w:val="18"/>
                <w:szCs w:val="18"/>
                <w:rtl/>
              </w:rPr>
            </w:pPr>
          </w:p>
        </w:tc>
        <w:tc>
          <w:tcPr>
            <w:tcW w:w="970" w:type="dxa"/>
            <w:vAlign w:val="bottom"/>
          </w:tcPr>
          <w:p w14:paraId="7E8DBBDB" w14:textId="77777777" w:rsidR="00AC69BF" w:rsidRPr="007B5573" w:rsidRDefault="00AC69BF" w:rsidP="007C54B1">
            <w:pPr>
              <w:pStyle w:val="-0"/>
              <w:rPr>
                <w:sz w:val="18"/>
                <w:szCs w:val="18"/>
                <w:rtl/>
              </w:rPr>
            </w:pPr>
          </w:p>
        </w:tc>
        <w:tc>
          <w:tcPr>
            <w:tcW w:w="816" w:type="dxa"/>
            <w:vAlign w:val="bottom"/>
          </w:tcPr>
          <w:p w14:paraId="1E6CC376" w14:textId="77777777" w:rsidR="00AC69BF" w:rsidRPr="007B5573" w:rsidRDefault="00AC69BF" w:rsidP="007C54B1">
            <w:pPr>
              <w:pStyle w:val="-0"/>
              <w:rPr>
                <w:sz w:val="18"/>
                <w:szCs w:val="18"/>
                <w:rtl/>
              </w:rPr>
            </w:pPr>
          </w:p>
        </w:tc>
        <w:tc>
          <w:tcPr>
            <w:tcW w:w="1170" w:type="dxa"/>
            <w:vAlign w:val="bottom"/>
          </w:tcPr>
          <w:p w14:paraId="4D9345EE" w14:textId="77777777" w:rsidR="00AC69BF" w:rsidRPr="007B5573" w:rsidRDefault="00AC69BF" w:rsidP="007C54B1">
            <w:pPr>
              <w:pStyle w:val="-0"/>
              <w:rPr>
                <w:sz w:val="18"/>
                <w:szCs w:val="18"/>
                <w:rtl/>
              </w:rPr>
            </w:pPr>
          </w:p>
        </w:tc>
        <w:tc>
          <w:tcPr>
            <w:tcW w:w="851" w:type="dxa"/>
            <w:vAlign w:val="bottom"/>
          </w:tcPr>
          <w:p w14:paraId="25EEA0EA" w14:textId="77777777" w:rsidR="00AC69BF" w:rsidRPr="007B5573" w:rsidRDefault="00AC69BF" w:rsidP="007C54B1">
            <w:pPr>
              <w:pStyle w:val="-0"/>
              <w:rPr>
                <w:sz w:val="18"/>
                <w:szCs w:val="18"/>
                <w:rtl/>
              </w:rPr>
            </w:pPr>
          </w:p>
        </w:tc>
        <w:tc>
          <w:tcPr>
            <w:tcW w:w="709" w:type="dxa"/>
            <w:vAlign w:val="bottom"/>
          </w:tcPr>
          <w:p w14:paraId="4EA00899" w14:textId="77777777" w:rsidR="00AC69BF" w:rsidRPr="007B5573" w:rsidRDefault="00AC69BF" w:rsidP="007C54B1">
            <w:pPr>
              <w:pStyle w:val="-0"/>
              <w:rPr>
                <w:sz w:val="18"/>
                <w:szCs w:val="18"/>
                <w:rtl/>
              </w:rPr>
            </w:pPr>
          </w:p>
        </w:tc>
      </w:tr>
      <w:tr w:rsidR="00AC69BF" w:rsidRPr="00543C25" w14:paraId="4976F794" w14:textId="77777777" w:rsidTr="00912661">
        <w:tc>
          <w:tcPr>
            <w:tcW w:w="993" w:type="dxa"/>
          </w:tcPr>
          <w:p w14:paraId="2225DD89" w14:textId="77777777" w:rsidR="00AC69BF" w:rsidRPr="007B5573" w:rsidRDefault="00AC69BF" w:rsidP="007C54B1">
            <w:pPr>
              <w:pStyle w:val="-0"/>
              <w:rPr>
                <w:sz w:val="18"/>
                <w:szCs w:val="18"/>
                <w:rtl/>
              </w:rPr>
            </w:pPr>
          </w:p>
        </w:tc>
        <w:tc>
          <w:tcPr>
            <w:tcW w:w="4037" w:type="dxa"/>
            <w:gridSpan w:val="2"/>
            <w:vAlign w:val="bottom"/>
          </w:tcPr>
          <w:p w14:paraId="21B093D5" w14:textId="77777777" w:rsidR="00AC69BF" w:rsidRPr="005F47BE" w:rsidRDefault="00AC69BF" w:rsidP="007C54B1">
            <w:pPr>
              <w:pStyle w:val="-0"/>
              <w:rPr>
                <w:sz w:val="18"/>
                <w:szCs w:val="18"/>
                <w:rtl/>
              </w:rPr>
            </w:pPr>
            <w:r w:rsidRPr="005F47BE">
              <w:rPr>
                <w:sz w:val="18"/>
                <w:szCs w:val="18"/>
                <w:rtl/>
              </w:rPr>
              <w:t>מכשירים נגזרים (למעט אופציות)</w:t>
            </w:r>
          </w:p>
        </w:tc>
        <w:tc>
          <w:tcPr>
            <w:tcW w:w="661" w:type="dxa"/>
            <w:vAlign w:val="bottom"/>
          </w:tcPr>
          <w:p w14:paraId="0E241BAA" w14:textId="77777777" w:rsidR="00AC69BF" w:rsidRPr="007B5573" w:rsidRDefault="00AC69BF" w:rsidP="007C54B1">
            <w:pPr>
              <w:pStyle w:val="-0"/>
              <w:rPr>
                <w:sz w:val="18"/>
                <w:szCs w:val="18"/>
                <w:rtl/>
              </w:rPr>
            </w:pPr>
            <w:r w:rsidRPr="007B5573">
              <w:rPr>
                <w:rFonts w:hint="cs"/>
                <w:sz w:val="18"/>
                <w:szCs w:val="18"/>
                <w:rtl/>
              </w:rPr>
              <w:t xml:space="preserve"> 0</w:t>
            </w:r>
          </w:p>
        </w:tc>
        <w:tc>
          <w:tcPr>
            <w:tcW w:w="970" w:type="dxa"/>
            <w:vAlign w:val="bottom"/>
          </w:tcPr>
          <w:p w14:paraId="1A45EE99" w14:textId="77777777" w:rsidR="00AC69BF" w:rsidRPr="007B5573" w:rsidRDefault="00AC69BF" w:rsidP="007C54B1">
            <w:pPr>
              <w:pStyle w:val="-0"/>
              <w:rPr>
                <w:sz w:val="18"/>
                <w:szCs w:val="18"/>
                <w:rtl/>
              </w:rPr>
            </w:pPr>
            <w:r w:rsidRPr="007B5573">
              <w:rPr>
                <w:rFonts w:hint="cs"/>
                <w:sz w:val="18"/>
                <w:szCs w:val="18"/>
                <w:rtl/>
              </w:rPr>
              <w:t xml:space="preserve"> 0</w:t>
            </w:r>
          </w:p>
        </w:tc>
        <w:tc>
          <w:tcPr>
            <w:tcW w:w="816" w:type="dxa"/>
            <w:vAlign w:val="bottom"/>
          </w:tcPr>
          <w:p w14:paraId="07DF3303" w14:textId="77777777" w:rsidR="00AC69BF" w:rsidRPr="007B5573" w:rsidRDefault="00AC69BF" w:rsidP="007C54B1">
            <w:pPr>
              <w:pStyle w:val="-0"/>
              <w:rPr>
                <w:sz w:val="18"/>
                <w:szCs w:val="18"/>
                <w:rtl/>
              </w:rPr>
            </w:pPr>
            <w:r w:rsidRPr="007B5573">
              <w:rPr>
                <w:rFonts w:hint="cs"/>
                <w:sz w:val="18"/>
                <w:szCs w:val="18"/>
                <w:rtl/>
              </w:rPr>
              <w:t xml:space="preserve"> 0</w:t>
            </w:r>
          </w:p>
        </w:tc>
        <w:tc>
          <w:tcPr>
            <w:tcW w:w="1170" w:type="dxa"/>
            <w:vAlign w:val="bottom"/>
          </w:tcPr>
          <w:p w14:paraId="18B49BE3" w14:textId="77777777" w:rsidR="00AC69BF" w:rsidRPr="007B5573" w:rsidRDefault="00AC69BF" w:rsidP="007C54B1">
            <w:pPr>
              <w:pStyle w:val="-0"/>
              <w:rPr>
                <w:sz w:val="18"/>
                <w:szCs w:val="18"/>
                <w:rtl/>
              </w:rPr>
            </w:pPr>
            <w:r w:rsidRPr="007B5573">
              <w:rPr>
                <w:rFonts w:hint="cs"/>
                <w:sz w:val="18"/>
                <w:szCs w:val="18"/>
                <w:rtl/>
              </w:rPr>
              <w:t xml:space="preserve"> 0</w:t>
            </w:r>
          </w:p>
        </w:tc>
        <w:tc>
          <w:tcPr>
            <w:tcW w:w="851" w:type="dxa"/>
            <w:vAlign w:val="bottom"/>
          </w:tcPr>
          <w:p w14:paraId="63CD03DE" w14:textId="77777777" w:rsidR="00AC69BF" w:rsidRPr="007B5573" w:rsidRDefault="00AC69BF" w:rsidP="007C54B1">
            <w:pPr>
              <w:pStyle w:val="-0"/>
              <w:rPr>
                <w:sz w:val="18"/>
                <w:szCs w:val="18"/>
                <w:rtl/>
              </w:rPr>
            </w:pPr>
            <w:r w:rsidRPr="007B5573">
              <w:rPr>
                <w:rFonts w:hint="cs"/>
                <w:sz w:val="18"/>
                <w:szCs w:val="18"/>
                <w:rtl/>
              </w:rPr>
              <w:t xml:space="preserve"> 0</w:t>
            </w:r>
          </w:p>
        </w:tc>
        <w:tc>
          <w:tcPr>
            <w:tcW w:w="709" w:type="dxa"/>
            <w:vAlign w:val="bottom"/>
          </w:tcPr>
          <w:p w14:paraId="4B1A4286" w14:textId="77777777" w:rsidR="00AC69BF" w:rsidRPr="007B5573" w:rsidRDefault="00AC69BF" w:rsidP="007C54B1">
            <w:pPr>
              <w:pStyle w:val="-0"/>
              <w:rPr>
                <w:sz w:val="18"/>
                <w:szCs w:val="18"/>
                <w:rtl/>
              </w:rPr>
            </w:pPr>
            <w:r w:rsidRPr="007B5573">
              <w:rPr>
                <w:rFonts w:hint="cs"/>
                <w:sz w:val="18"/>
                <w:szCs w:val="18"/>
                <w:rtl/>
              </w:rPr>
              <w:t xml:space="preserve"> 0</w:t>
            </w:r>
          </w:p>
        </w:tc>
      </w:tr>
      <w:tr w:rsidR="00AC69BF" w:rsidRPr="00543C25" w14:paraId="126FC4CC" w14:textId="77777777" w:rsidTr="00912661">
        <w:tc>
          <w:tcPr>
            <w:tcW w:w="993" w:type="dxa"/>
          </w:tcPr>
          <w:p w14:paraId="7404CDFE" w14:textId="77777777" w:rsidR="00AC69BF" w:rsidRPr="007B5573" w:rsidRDefault="00AC69BF" w:rsidP="007C54B1">
            <w:pPr>
              <w:pStyle w:val="-0"/>
              <w:rPr>
                <w:sz w:val="18"/>
                <w:szCs w:val="18"/>
                <w:rtl/>
              </w:rPr>
            </w:pPr>
          </w:p>
        </w:tc>
        <w:tc>
          <w:tcPr>
            <w:tcW w:w="4037" w:type="dxa"/>
            <w:gridSpan w:val="2"/>
            <w:vAlign w:val="bottom"/>
          </w:tcPr>
          <w:p w14:paraId="775F7252" w14:textId="77777777" w:rsidR="00F32A2A" w:rsidRDefault="00AC69BF">
            <w:pPr>
              <w:pStyle w:val="-0"/>
              <w:rPr>
                <w:sz w:val="18"/>
                <w:szCs w:val="18"/>
                <w:rtl/>
              </w:rPr>
            </w:pPr>
            <w:r w:rsidRPr="005F47BE">
              <w:rPr>
                <w:sz w:val="18"/>
                <w:szCs w:val="18"/>
                <w:rtl/>
              </w:rPr>
              <w:t>אופציות בכסף נטו</w:t>
            </w:r>
            <w:r w:rsidRPr="005F47BE">
              <w:rPr>
                <w:rFonts w:hint="cs"/>
                <w:sz w:val="18"/>
                <w:szCs w:val="18"/>
                <w:rtl/>
              </w:rPr>
              <w:t xml:space="preserve"> </w:t>
            </w:r>
            <w:r w:rsidRPr="005F47BE">
              <w:rPr>
                <w:sz w:val="18"/>
                <w:szCs w:val="18"/>
                <w:rtl/>
              </w:rPr>
              <w:t>(במונחי נכס בסיס)</w:t>
            </w:r>
          </w:p>
        </w:tc>
        <w:tc>
          <w:tcPr>
            <w:tcW w:w="661" w:type="dxa"/>
            <w:vAlign w:val="bottom"/>
          </w:tcPr>
          <w:p w14:paraId="23B1A71B" w14:textId="77777777" w:rsidR="00AC69BF" w:rsidRPr="007B5573" w:rsidRDefault="00AC69BF" w:rsidP="007C54B1">
            <w:pPr>
              <w:pStyle w:val="-0"/>
              <w:rPr>
                <w:sz w:val="18"/>
                <w:szCs w:val="18"/>
                <w:rtl/>
              </w:rPr>
            </w:pPr>
            <w:r w:rsidRPr="007B5573">
              <w:rPr>
                <w:rFonts w:hint="cs"/>
                <w:sz w:val="18"/>
                <w:szCs w:val="18"/>
                <w:rtl/>
              </w:rPr>
              <w:t xml:space="preserve"> 0</w:t>
            </w:r>
          </w:p>
        </w:tc>
        <w:tc>
          <w:tcPr>
            <w:tcW w:w="970" w:type="dxa"/>
            <w:vAlign w:val="bottom"/>
          </w:tcPr>
          <w:p w14:paraId="71647F43" w14:textId="77777777" w:rsidR="00AC69BF" w:rsidRPr="007B5573" w:rsidRDefault="00AC69BF" w:rsidP="007C54B1">
            <w:pPr>
              <w:pStyle w:val="-0"/>
              <w:rPr>
                <w:sz w:val="18"/>
                <w:szCs w:val="18"/>
                <w:rtl/>
              </w:rPr>
            </w:pPr>
            <w:r w:rsidRPr="007B5573">
              <w:rPr>
                <w:rFonts w:hint="cs"/>
                <w:sz w:val="18"/>
                <w:szCs w:val="18"/>
                <w:rtl/>
              </w:rPr>
              <w:t xml:space="preserve"> 0</w:t>
            </w:r>
          </w:p>
        </w:tc>
        <w:tc>
          <w:tcPr>
            <w:tcW w:w="816" w:type="dxa"/>
            <w:vAlign w:val="bottom"/>
          </w:tcPr>
          <w:p w14:paraId="37731FFB" w14:textId="77777777" w:rsidR="00AC69BF" w:rsidRPr="007B5573" w:rsidRDefault="00AC69BF" w:rsidP="007C54B1">
            <w:pPr>
              <w:pStyle w:val="-0"/>
              <w:rPr>
                <w:sz w:val="18"/>
                <w:szCs w:val="18"/>
                <w:rtl/>
              </w:rPr>
            </w:pPr>
            <w:r w:rsidRPr="007B5573">
              <w:rPr>
                <w:rFonts w:hint="cs"/>
                <w:sz w:val="18"/>
                <w:szCs w:val="18"/>
                <w:rtl/>
              </w:rPr>
              <w:t xml:space="preserve"> 0</w:t>
            </w:r>
          </w:p>
        </w:tc>
        <w:tc>
          <w:tcPr>
            <w:tcW w:w="1170" w:type="dxa"/>
            <w:vAlign w:val="bottom"/>
          </w:tcPr>
          <w:p w14:paraId="569EB6BA" w14:textId="77777777" w:rsidR="00AC69BF" w:rsidRPr="007B5573" w:rsidRDefault="00AC69BF" w:rsidP="007C54B1">
            <w:pPr>
              <w:pStyle w:val="-0"/>
              <w:rPr>
                <w:sz w:val="18"/>
                <w:szCs w:val="18"/>
                <w:rtl/>
              </w:rPr>
            </w:pPr>
            <w:r w:rsidRPr="007B5573">
              <w:rPr>
                <w:rFonts w:hint="cs"/>
                <w:sz w:val="18"/>
                <w:szCs w:val="18"/>
                <w:rtl/>
              </w:rPr>
              <w:t xml:space="preserve"> 0</w:t>
            </w:r>
          </w:p>
        </w:tc>
        <w:tc>
          <w:tcPr>
            <w:tcW w:w="851" w:type="dxa"/>
            <w:vAlign w:val="bottom"/>
          </w:tcPr>
          <w:p w14:paraId="21D4CF8B" w14:textId="77777777" w:rsidR="00AC69BF" w:rsidRPr="007B5573" w:rsidRDefault="00AC69BF" w:rsidP="007C54B1">
            <w:pPr>
              <w:pStyle w:val="-0"/>
              <w:rPr>
                <w:sz w:val="18"/>
                <w:szCs w:val="18"/>
                <w:rtl/>
              </w:rPr>
            </w:pPr>
            <w:r w:rsidRPr="007B5573">
              <w:rPr>
                <w:rFonts w:hint="cs"/>
                <w:sz w:val="18"/>
                <w:szCs w:val="18"/>
                <w:rtl/>
              </w:rPr>
              <w:t xml:space="preserve"> 0</w:t>
            </w:r>
          </w:p>
        </w:tc>
        <w:tc>
          <w:tcPr>
            <w:tcW w:w="709" w:type="dxa"/>
            <w:vAlign w:val="bottom"/>
          </w:tcPr>
          <w:p w14:paraId="7C2AD664" w14:textId="77777777" w:rsidR="00AC69BF" w:rsidRPr="007B5573" w:rsidRDefault="00AC69BF" w:rsidP="007C54B1">
            <w:pPr>
              <w:pStyle w:val="-0"/>
              <w:rPr>
                <w:sz w:val="18"/>
                <w:szCs w:val="18"/>
                <w:rtl/>
              </w:rPr>
            </w:pPr>
            <w:r w:rsidRPr="007B5573">
              <w:rPr>
                <w:rFonts w:hint="cs"/>
                <w:sz w:val="18"/>
                <w:szCs w:val="18"/>
                <w:rtl/>
              </w:rPr>
              <w:t xml:space="preserve"> 0</w:t>
            </w:r>
          </w:p>
        </w:tc>
      </w:tr>
      <w:tr w:rsidR="00AC69BF" w:rsidRPr="00543C25" w14:paraId="188CB176" w14:textId="77777777" w:rsidTr="00912661">
        <w:tc>
          <w:tcPr>
            <w:tcW w:w="993" w:type="dxa"/>
          </w:tcPr>
          <w:p w14:paraId="64DD935C" w14:textId="77777777" w:rsidR="00AC69BF" w:rsidRPr="007B5573" w:rsidRDefault="00AC69BF" w:rsidP="007C54B1">
            <w:pPr>
              <w:pStyle w:val="-0"/>
              <w:rPr>
                <w:sz w:val="18"/>
                <w:szCs w:val="18"/>
                <w:rtl/>
              </w:rPr>
            </w:pPr>
          </w:p>
        </w:tc>
        <w:tc>
          <w:tcPr>
            <w:tcW w:w="4037" w:type="dxa"/>
            <w:gridSpan w:val="2"/>
            <w:vAlign w:val="bottom"/>
          </w:tcPr>
          <w:p w14:paraId="236B14AE" w14:textId="77777777" w:rsidR="00F32A2A" w:rsidRDefault="00AC69BF">
            <w:pPr>
              <w:pStyle w:val="-0"/>
              <w:rPr>
                <w:sz w:val="18"/>
                <w:szCs w:val="18"/>
                <w:rtl/>
              </w:rPr>
            </w:pPr>
            <w:r w:rsidRPr="005F47BE">
              <w:rPr>
                <w:sz w:val="18"/>
                <w:szCs w:val="18"/>
                <w:rtl/>
              </w:rPr>
              <w:t xml:space="preserve">אופציות מחוץ לכסף נטו (במונחי נכס בסיס) </w:t>
            </w:r>
          </w:p>
        </w:tc>
        <w:tc>
          <w:tcPr>
            <w:tcW w:w="661" w:type="dxa"/>
            <w:vAlign w:val="bottom"/>
          </w:tcPr>
          <w:p w14:paraId="5E050C09" w14:textId="77777777" w:rsidR="00AC69BF" w:rsidRPr="007B5573" w:rsidRDefault="00AC69BF" w:rsidP="005B51CC">
            <w:pPr>
              <w:pStyle w:val="-0"/>
              <w:pBdr>
                <w:bottom w:val="single" w:sz="4" w:space="1" w:color="auto"/>
              </w:pBdr>
              <w:rPr>
                <w:sz w:val="18"/>
                <w:szCs w:val="18"/>
                <w:rtl/>
              </w:rPr>
            </w:pPr>
            <w:r w:rsidRPr="007B5573">
              <w:rPr>
                <w:rFonts w:hint="cs"/>
                <w:sz w:val="18"/>
                <w:szCs w:val="18"/>
                <w:rtl/>
              </w:rPr>
              <w:t xml:space="preserve"> 0</w:t>
            </w:r>
          </w:p>
        </w:tc>
        <w:tc>
          <w:tcPr>
            <w:tcW w:w="970" w:type="dxa"/>
            <w:vAlign w:val="bottom"/>
          </w:tcPr>
          <w:p w14:paraId="02AB9149" w14:textId="77777777" w:rsidR="00AC69BF" w:rsidRPr="007B5573" w:rsidRDefault="00AC69BF" w:rsidP="005B51CC">
            <w:pPr>
              <w:pStyle w:val="-0"/>
              <w:pBdr>
                <w:bottom w:val="single" w:sz="4" w:space="1" w:color="auto"/>
              </w:pBdr>
              <w:rPr>
                <w:sz w:val="18"/>
                <w:szCs w:val="18"/>
                <w:rtl/>
              </w:rPr>
            </w:pPr>
            <w:r w:rsidRPr="007B5573">
              <w:rPr>
                <w:rFonts w:hint="cs"/>
                <w:sz w:val="18"/>
                <w:szCs w:val="18"/>
                <w:rtl/>
              </w:rPr>
              <w:t xml:space="preserve"> 0</w:t>
            </w:r>
          </w:p>
        </w:tc>
        <w:tc>
          <w:tcPr>
            <w:tcW w:w="816" w:type="dxa"/>
            <w:vAlign w:val="bottom"/>
          </w:tcPr>
          <w:p w14:paraId="0AF15319" w14:textId="77777777" w:rsidR="00AC69BF" w:rsidRPr="007B5573" w:rsidRDefault="00AC69BF" w:rsidP="005B51CC">
            <w:pPr>
              <w:pStyle w:val="-0"/>
              <w:pBdr>
                <w:bottom w:val="single" w:sz="4" w:space="1" w:color="auto"/>
              </w:pBdr>
              <w:rPr>
                <w:sz w:val="18"/>
                <w:szCs w:val="18"/>
                <w:rtl/>
              </w:rPr>
            </w:pPr>
            <w:r w:rsidRPr="007B5573">
              <w:rPr>
                <w:rFonts w:hint="cs"/>
                <w:sz w:val="18"/>
                <w:szCs w:val="18"/>
                <w:rtl/>
              </w:rPr>
              <w:t xml:space="preserve"> 0</w:t>
            </w:r>
          </w:p>
        </w:tc>
        <w:tc>
          <w:tcPr>
            <w:tcW w:w="1170" w:type="dxa"/>
            <w:vAlign w:val="bottom"/>
          </w:tcPr>
          <w:p w14:paraId="670D94B0" w14:textId="77777777" w:rsidR="00AC69BF" w:rsidRPr="007B5573" w:rsidRDefault="00AC69BF" w:rsidP="005B51CC">
            <w:pPr>
              <w:pStyle w:val="-0"/>
              <w:pBdr>
                <w:bottom w:val="single" w:sz="4" w:space="1" w:color="auto"/>
              </w:pBdr>
              <w:rPr>
                <w:sz w:val="18"/>
                <w:szCs w:val="18"/>
                <w:rtl/>
              </w:rPr>
            </w:pPr>
            <w:r w:rsidRPr="007B5573">
              <w:rPr>
                <w:rFonts w:hint="cs"/>
                <w:sz w:val="18"/>
                <w:szCs w:val="18"/>
                <w:rtl/>
              </w:rPr>
              <w:t xml:space="preserve"> 0</w:t>
            </w:r>
          </w:p>
        </w:tc>
        <w:tc>
          <w:tcPr>
            <w:tcW w:w="851" w:type="dxa"/>
            <w:vAlign w:val="bottom"/>
          </w:tcPr>
          <w:p w14:paraId="0F0E1406" w14:textId="77777777" w:rsidR="00AC69BF" w:rsidRPr="007B5573" w:rsidRDefault="00AC69BF" w:rsidP="005B51CC">
            <w:pPr>
              <w:pStyle w:val="-0"/>
              <w:pBdr>
                <w:bottom w:val="single" w:sz="4" w:space="1" w:color="auto"/>
              </w:pBdr>
              <w:rPr>
                <w:sz w:val="18"/>
                <w:szCs w:val="18"/>
                <w:rtl/>
              </w:rPr>
            </w:pPr>
            <w:r w:rsidRPr="007B5573">
              <w:rPr>
                <w:rFonts w:hint="cs"/>
                <w:sz w:val="18"/>
                <w:szCs w:val="18"/>
                <w:rtl/>
              </w:rPr>
              <w:t xml:space="preserve"> 0</w:t>
            </w:r>
          </w:p>
        </w:tc>
        <w:tc>
          <w:tcPr>
            <w:tcW w:w="709" w:type="dxa"/>
            <w:vAlign w:val="bottom"/>
          </w:tcPr>
          <w:p w14:paraId="2A22EA8B" w14:textId="77777777" w:rsidR="00AC69BF" w:rsidRPr="007B5573" w:rsidRDefault="00AC69BF" w:rsidP="005B51CC">
            <w:pPr>
              <w:pStyle w:val="-0"/>
              <w:pBdr>
                <w:bottom w:val="single" w:sz="4" w:space="1" w:color="auto"/>
              </w:pBdr>
              <w:rPr>
                <w:sz w:val="18"/>
                <w:szCs w:val="18"/>
                <w:rtl/>
              </w:rPr>
            </w:pPr>
            <w:r w:rsidRPr="007B5573">
              <w:rPr>
                <w:rFonts w:hint="cs"/>
                <w:sz w:val="18"/>
                <w:szCs w:val="18"/>
                <w:rtl/>
              </w:rPr>
              <w:t xml:space="preserve"> 0</w:t>
            </w:r>
          </w:p>
        </w:tc>
      </w:tr>
      <w:tr w:rsidR="00AC69BF" w:rsidRPr="00543C25" w14:paraId="4AE2CA00" w14:textId="77777777" w:rsidTr="00912661">
        <w:tc>
          <w:tcPr>
            <w:tcW w:w="993" w:type="dxa"/>
          </w:tcPr>
          <w:p w14:paraId="6880C2F9" w14:textId="77777777" w:rsidR="00AC69BF" w:rsidRPr="007B5573" w:rsidRDefault="00AC69BF" w:rsidP="007C54B1">
            <w:pPr>
              <w:pStyle w:val="-b"/>
              <w:rPr>
                <w:sz w:val="18"/>
                <w:szCs w:val="18"/>
                <w:rtl/>
              </w:rPr>
            </w:pPr>
          </w:p>
        </w:tc>
        <w:tc>
          <w:tcPr>
            <w:tcW w:w="4037" w:type="dxa"/>
            <w:gridSpan w:val="2"/>
            <w:vAlign w:val="bottom"/>
          </w:tcPr>
          <w:p w14:paraId="2EC4B2C2" w14:textId="77777777" w:rsidR="00AC69BF" w:rsidRPr="005F47BE" w:rsidRDefault="00AC69BF" w:rsidP="007C54B1">
            <w:pPr>
              <w:pStyle w:val="-b"/>
              <w:rPr>
                <w:sz w:val="18"/>
                <w:szCs w:val="18"/>
                <w:rtl/>
              </w:rPr>
            </w:pPr>
            <w:r w:rsidRPr="005F47BE">
              <w:rPr>
                <w:rFonts w:hint="cs"/>
                <w:sz w:val="18"/>
                <w:szCs w:val="18"/>
                <w:rtl/>
              </w:rPr>
              <w:t>סך הכל כללי</w:t>
            </w:r>
          </w:p>
        </w:tc>
        <w:tc>
          <w:tcPr>
            <w:tcW w:w="661" w:type="dxa"/>
            <w:vAlign w:val="bottom"/>
          </w:tcPr>
          <w:p w14:paraId="4B0A9052" w14:textId="77777777" w:rsidR="00AC69BF" w:rsidRPr="007B5573" w:rsidRDefault="00AC69BF" w:rsidP="001424E8">
            <w:pPr>
              <w:pStyle w:val="-0"/>
              <w:pBdr>
                <w:bottom w:val="double" w:sz="4" w:space="1" w:color="auto"/>
              </w:pBdr>
              <w:rPr>
                <w:b/>
                <w:bCs/>
                <w:sz w:val="18"/>
                <w:szCs w:val="18"/>
                <w:rtl/>
              </w:rPr>
            </w:pPr>
            <w:r w:rsidRPr="007B5573">
              <w:rPr>
                <w:rFonts w:hint="cs"/>
                <w:b/>
                <w:bCs/>
                <w:sz w:val="18"/>
                <w:szCs w:val="18"/>
                <w:rtl/>
              </w:rPr>
              <w:t xml:space="preserve"> 0</w:t>
            </w:r>
          </w:p>
        </w:tc>
        <w:tc>
          <w:tcPr>
            <w:tcW w:w="970" w:type="dxa"/>
            <w:vAlign w:val="bottom"/>
          </w:tcPr>
          <w:p w14:paraId="6F4F7D71" w14:textId="77777777" w:rsidR="00AC69BF" w:rsidRPr="007B5573" w:rsidRDefault="00AC69BF" w:rsidP="001424E8">
            <w:pPr>
              <w:pStyle w:val="-0"/>
              <w:pBdr>
                <w:bottom w:val="double" w:sz="4" w:space="1" w:color="auto"/>
              </w:pBdr>
              <w:rPr>
                <w:b/>
                <w:bCs/>
                <w:sz w:val="18"/>
                <w:szCs w:val="18"/>
                <w:rtl/>
              </w:rPr>
            </w:pPr>
            <w:r w:rsidRPr="007B5573">
              <w:rPr>
                <w:rFonts w:hint="cs"/>
                <w:b/>
                <w:bCs/>
                <w:sz w:val="18"/>
                <w:szCs w:val="18"/>
                <w:rtl/>
              </w:rPr>
              <w:t xml:space="preserve"> 0</w:t>
            </w:r>
          </w:p>
        </w:tc>
        <w:tc>
          <w:tcPr>
            <w:tcW w:w="816" w:type="dxa"/>
            <w:vAlign w:val="bottom"/>
          </w:tcPr>
          <w:p w14:paraId="578C4838" w14:textId="77777777" w:rsidR="00AC69BF" w:rsidRPr="007B5573" w:rsidRDefault="00AC69BF" w:rsidP="001424E8">
            <w:pPr>
              <w:pStyle w:val="-0"/>
              <w:pBdr>
                <w:bottom w:val="double" w:sz="4" w:space="1" w:color="auto"/>
              </w:pBdr>
              <w:rPr>
                <w:b/>
                <w:bCs/>
                <w:sz w:val="18"/>
                <w:szCs w:val="18"/>
                <w:rtl/>
              </w:rPr>
            </w:pPr>
            <w:r w:rsidRPr="007B5573">
              <w:rPr>
                <w:rFonts w:hint="cs"/>
                <w:b/>
                <w:bCs/>
                <w:sz w:val="18"/>
                <w:szCs w:val="18"/>
                <w:rtl/>
              </w:rPr>
              <w:t xml:space="preserve"> 0</w:t>
            </w:r>
          </w:p>
        </w:tc>
        <w:tc>
          <w:tcPr>
            <w:tcW w:w="1170" w:type="dxa"/>
            <w:vAlign w:val="bottom"/>
          </w:tcPr>
          <w:p w14:paraId="3BBB6309" w14:textId="77777777" w:rsidR="00AC69BF" w:rsidRPr="007B5573" w:rsidRDefault="00AC69BF" w:rsidP="001424E8">
            <w:pPr>
              <w:pStyle w:val="-0"/>
              <w:pBdr>
                <w:bottom w:val="double" w:sz="4" w:space="1" w:color="auto"/>
              </w:pBdr>
              <w:rPr>
                <w:b/>
                <w:bCs/>
                <w:sz w:val="18"/>
                <w:szCs w:val="18"/>
                <w:rtl/>
              </w:rPr>
            </w:pPr>
            <w:r w:rsidRPr="007B5573">
              <w:rPr>
                <w:rFonts w:hint="cs"/>
                <w:b/>
                <w:bCs/>
                <w:sz w:val="18"/>
                <w:szCs w:val="18"/>
                <w:rtl/>
              </w:rPr>
              <w:t xml:space="preserve"> 0</w:t>
            </w:r>
          </w:p>
        </w:tc>
        <w:tc>
          <w:tcPr>
            <w:tcW w:w="851" w:type="dxa"/>
            <w:vAlign w:val="bottom"/>
          </w:tcPr>
          <w:p w14:paraId="1ED3302E" w14:textId="77777777" w:rsidR="00AC69BF" w:rsidRPr="007B5573" w:rsidRDefault="00AC69BF" w:rsidP="001424E8">
            <w:pPr>
              <w:pStyle w:val="-0"/>
              <w:pBdr>
                <w:bottom w:val="double" w:sz="4" w:space="1" w:color="auto"/>
              </w:pBdr>
              <w:rPr>
                <w:b/>
                <w:bCs/>
                <w:sz w:val="18"/>
                <w:szCs w:val="18"/>
                <w:rtl/>
              </w:rPr>
            </w:pPr>
            <w:r w:rsidRPr="007B5573">
              <w:rPr>
                <w:rFonts w:hint="cs"/>
                <w:b/>
                <w:bCs/>
                <w:sz w:val="18"/>
                <w:szCs w:val="18"/>
                <w:rtl/>
              </w:rPr>
              <w:t xml:space="preserve"> 0</w:t>
            </w:r>
          </w:p>
        </w:tc>
        <w:tc>
          <w:tcPr>
            <w:tcW w:w="709" w:type="dxa"/>
            <w:vAlign w:val="bottom"/>
          </w:tcPr>
          <w:p w14:paraId="26EC1B5F" w14:textId="77777777" w:rsidR="00AC69BF" w:rsidRPr="007B5573" w:rsidRDefault="00AC69BF" w:rsidP="001424E8">
            <w:pPr>
              <w:pStyle w:val="-0"/>
              <w:pBdr>
                <w:bottom w:val="double" w:sz="4" w:space="1" w:color="auto"/>
              </w:pBdr>
              <w:rPr>
                <w:b/>
                <w:bCs/>
                <w:sz w:val="18"/>
                <w:szCs w:val="18"/>
                <w:rtl/>
              </w:rPr>
            </w:pPr>
            <w:r w:rsidRPr="007B5573">
              <w:rPr>
                <w:rFonts w:hint="cs"/>
                <w:b/>
                <w:bCs/>
                <w:sz w:val="18"/>
                <w:szCs w:val="18"/>
                <w:rtl/>
              </w:rPr>
              <w:t xml:space="preserve"> 0</w:t>
            </w:r>
          </w:p>
        </w:tc>
      </w:tr>
      <w:tr w:rsidR="00AC69BF" w:rsidRPr="00543C25" w14:paraId="3F113819" w14:textId="77777777" w:rsidTr="00912661">
        <w:tc>
          <w:tcPr>
            <w:tcW w:w="993" w:type="dxa"/>
          </w:tcPr>
          <w:p w14:paraId="796C4E91" w14:textId="77777777" w:rsidR="00AC69BF" w:rsidRDefault="00AC69BF" w:rsidP="007C54B1">
            <w:pPr>
              <w:pStyle w:val="-0"/>
              <w:bidi w:val="0"/>
              <w:spacing w:line="20" w:lineRule="exact"/>
              <w:ind w:left="142" w:hanging="142"/>
              <w:jc w:val="both"/>
              <w:rPr>
                <w:sz w:val="18"/>
                <w:szCs w:val="18"/>
                <w:rtl/>
              </w:rPr>
            </w:pPr>
          </w:p>
        </w:tc>
        <w:tc>
          <w:tcPr>
            <w:tcW w:w="4037" w:type="dxa"/>
            <w:gridSpan w:val="2"/>
            <w:vAlign w:val="bottom"/>
          </w:tcPr>
          <w:p w14:paraId="4B0F1872" w14:textId="77777777" w:rsidR="00AC69BF" w:rsidRPr="005F47BE" w:rsidRDefault="00AC69BF" w:rsidP="007C54B1">
            <w:pPr>
              <w:pStyle w:val="-0"/>
              <w:bidi w:val="0"/>
              <w:spacing w:line="20" w:lineRule="exact"/>
              <w:ind w:left="142" w:hanging="142"/>
              <w:jc w:val="both"/>
              <w:rPr>
                <w:sz w:val="18"/>
                <w:szCs w:val="18"/>
                <w:rtl/>
              </w:rPr>
            </w:pPr>
          </w:p>
        </w:tc>
        <w:tc>
          <w:tcPr>
            <w:tcW w:w="661" w:type="dxa"/>
            <w:vAlign w:val="bottom"/>
          </w:tcPr>
          <w:p w14:paraId="1D29AC5A" w14:textId="77777777" w:rsidR="00AC69BF" w:rsidRDefault="00AC69BF" w:rsidP="005B51CC">
            <w:pPr>
              <w:pStyle w:val="-0"/>
              <w:bidi w:val="0"/>
              <w:spacing w:line="20" w:lineRule="exact"/>
              <w:ind w:left="142" w:hanging="142"/>
              <w:jc w:val="both"/>
              <w:rPr>
                <w:sz w:val="18"/>
                <w:szCs w:val="18"/>
                <w:rtl/>
              </w:rPr>
            </w:pPr>
          </w:p>
        </w:tc>
        <w:tc>
          <w:tcPr>
            <w:tcW w:w="970" w:type="dxa"/>
            <w:vAlign w:val="bottom"/>
          </w:tcPr>
          <w:p w14:paraId="62C5B17D" w14:textId="77777777" w:rsidR="00AC69BF" w:rsidRDefault="00AC69BF" w:rsidP="005B51CC">
            <w:pPr>
              <w:pStyle w:val="-0"/>
              <w:bidi w:val="0"/>
              <w:spacing w:line="20" w:lineRule="exact"/>
              <w:ind w:left="142" w:hanging="142"/>
              <w:jc w:val="both"/>
              <w:rPr>
                <w:sz w:val="18"/>
                <w:szCs w:val="18"/>
                <w:rtl/>
              </w:rPr>
            </w:pPr>
          </w:p>
        </w:tc>
        <w:tc>
          <w:tcPr>
            <w:tcW w:w="816" w:type="dxa"/>
            <w:vAlign w:val="bottom"/>
          </w:tcPr>
          <w:p w14:paraId="5536FC79" w14:textId="77777777" w:rsidR="00AC69BF" w:rsidRDefault="00AC69BF" w:rsidP="005B51CC">
            <w:pPr>
              <w:pStyle w:val="-0"/>
              <w:bidi w:val="0"/>
              <w:spacing w:line="20" w:lineRule="exact"/>
              <w:ind w:left="142" w:hanging="142"/>
              <w:jc w:val="both"/>
              <w:rPr>
                <w:sz w:val="18"/>
                <w:szCs w:val="18"/>
                <w:rtl/>
              </w:rPr>
            </w:pPr>
          </w:p>
        </w:tc>
        <w:tc>
          <w:tcPr>
            <w:tcW w:w="1170" w:type="dxa"/>
            <w:vAlign w:val="bottom"/>
          </w:tcPr>
          <w:p w14:paraId="398095A9" w14:textId="77777777" w:rsidR="00AC69BF" w:rsidRDefault="00AC69BF" w:rsidP="005B51CC">
            <w:pPr>
              <w:pStyle w:val="-0"/>
              <w:bidi w:val="0"/>
              <w:spacing w:line="20" w:lineRule="exact"/>
              <w:ind w:left="142" w:hanging="142"/>
              <w:jc w:val="both"/>
              <w:rPr>
                <w:sz w:val="18"/>
                <w:szCs w:val="18"/>
                <w:rtl/>
              </w:rPr>
            </w:pPr>
          </w:p>
        </w:tc>
        <w:tc>
          <w:tcPr>
            <w:tcW w:w="851" w:type="dxa"/>
            <w:vAlign w:val="bottom"/>
          </w:tcPr>
          <w:p w14:paraId="14FA36DC" w14:textId="77777777" w:rsidR="00AC69BF" w:rsidRDefault="00AC69BF" w:rsidP="005B51CC">
            <w:pPr>
              <w:pStyle w:val="-0"/>
              <w:bidi w:val="0"/>
              <w:spacing w:line="20" w:lineRule="exact"/>
              <w:ind w:left="142" w:hanging="142"/>
              <w:jc w:val="both"/>
              <w:rPr>
                <w:sz w:val="18"/>
                <w:szCs w:val="18"/>
                <w:rtl/>
              </w:rPr>
            </w:pPr>
          </w:p>
        </w:tc>
        <w:tc>
          <w:tcPr>
            <w:tcW w:w="709" w:type="dxa"/>
            <w:vAlign w:val="bottom"/>
          </w:tcPr>
          <w:p w14:paraId="5E174DD1" w14:textId="77777777" w:rsidR="00AC69BF" w:rsidRDefault="00AC69BF" w:rsidP="005B51CC">
            <w:pPr>
              <w:pStyle w:val="-0"/>
              <w:bidi w:val="0"/>
              <w:spacing w:line="20" w:lineRule="exact"/>
              <w:ind w:left="142" w:hanging="142"/>
              <w:jc w:val="both"/>
              <w:rPr>
                <w:sz w:val="18"/>
                <w:szCs w:val="18"/>
                <w:rtl/>
              </w:rPr>
            </w:pPr>
          </w:p>
        </w:tc>
      </w:tr>
      <w:tr w:rsidR="00AC69BF" w:rsidRPr="00543C25" w14:paraId="1641BB0A" w14:textId="77777777" w:rsidTr="00912661">
        <w:tc>
          <w:tcPr>
            <w:tcW w:w="993" w:type="dxa"/>
          </w:tcPr>
          <w:p w14:paraId="12A1E383" w14:textId="77777777" w:rsidR="00AC69BF" w:rsidRPr="007B5573" w:rsidRDefault="00AC69BF" w:rsidP="007C54B1">
            <w:pPr>
              <w:jc w:val="left"/>
              <w:rPr>
                <w:sz w:val="18"/>
                <w:szCs w:val="18"/>
                <w:rtl/>
              </w:rPr>
            </w:pPr>
          </w:p>
        </w:tc>
        <w:tc>
          <w:tcPr>
            <w:tcW w:w="4037" w:type="dxa"/>
            <w:gridSpan w:val="2"/>
            <w:vAlign w:val="bottom"/>
          </w:tcPr>
          <w:p w14:paraId="67A1D68E" w14:textId="77777777" w:rsidR="00AC69BF" w:rsidRPr="005F47BE" w:rsidRDefault="00AC69BF" w:rsidP="007C54B1">
            <w:pPr>
              <w:jc w:val="left"/>
              <w:rPr>
                <w:sz w:val="18"/>
                <w:szCs w:val="18"/>
                <w:rtl/>
              </w:rPr>
            </w:pPr>
            <w:r w:rsidRPr="005F47BE">
              <w:rPr>
                <w:sz w:val="18"/>
                <w:szCs w:val="18"/>
                <w:rtl/>
              </w:rPr>
              <w:t>אופציות בכסף נטו (סכום נקוב מהוון)</w:t>
            </w:r>
          </w:p>
        </w:tc>
        <w:tc>
          <w:tcPr>
            <w:tcW w:w="661" w:type="dxa"/>
            <w:vAlign w:val="bottom"/>
          </w:tcPr>
          <w:p w14:paraId="46B0E7BE" w14:textId="77777777" w:rsidR="00F32A2A" w:rsidRDefault="00AC69BF">
            <w:pPr>
              <w:pStyle w:val="-0"/>
              <w:rPr>
                <w:sz w:val="18"/>
                <w:szCs w:val="18"/>
                <w:rtl/>
              </w:rPr>
            </w:pPr>
            <w:r w:rsidRPr="007B5573">
              <w:rPr>
                <w:rFonts w:hint="cs"/>
                <w:sz w:val="18"/>
                <w:szCs w:val="18"/>
                <w:rtl/>
              </w:rPr>
              <w:t xml:space="preserve"> 0</w:t>
            </w:r>
          </w:p>
        </w:tc>
        <w:tc>
          <w:tcPr>
            <w:tcW w:w="970" w:type="dxa"/>
            <w:vAlign w:val="bottom"/>
          </w:tcPr>
          <w:p w14:paraId="0BB73BEB" w14:textId="77777777" w:rsidR="00F32A2A" w:rsidRDefault="00AC69BF">
            <w:pPr>
              <w:pStyle w:val="-0"/>
              <w:rPr>
                <w:sz w:val="18"/>
                <w:szCs w:val="18"/>
                <w:rtl/>
              </w:rPr>
            </w:pPr>
            <w:r w:rsidRPr="007B5573">
              <w:rPr>
                <w:rFonts w:hint="cs"/>
                <w:sz w:val="18"/>
                <w:szCs w:val="18"/>
                <w:rtl/>
              </w:rPr>
              <w:t xml:space="preserve"> 0</w:t>
            </w:r>
          </w:p>
        </w:tc>
        <w:tc>
          <w:tcPr>
            <w:tcW w:w="816" w:type="dxa"/>
            <w:vAlign w:val="bottom"/>
          </w:tcPr>
          <w:p w14:paraId="0F825C53" w14:textId="77777777" w:rsidR="00F32A2A" w:rsidRDefault="00AC69BF">
            <w:pPr>
              <w:pStyle w:val="-0"/>
              <w:rPr>
                <w:sz w:val="18"/>
                <w:szCs w:val="18"/>
                <w:rtl/>
              </w:rPr>
            </w:pPr>
            <w:r w:rsidRPr="007B5573">
              <w:rPr>
                <w:rFonts w:hint="cs"/>
                <w:sz w:val="18"/>
                <w:szCs w:val="18"/>
                <w:rtl/>
              </w:rPr>
              <w:t xml:space="preserve"> 0</w:t>
            </w:r>
          </w:p>
        </w:tc>
        <w:tc>
          <w:tcPr>
            <w:tcW w:w="1170" w:type="dxa"/>
            <w:vAlign w:val="bottom"/>
          </w:tcPr>
          <w:p w14:paraId="171C873D" w14:textId="77777777" w:rsidR="00F32A2A" w:rsidRDefault="00AC69BF">
            <w:pPr>
              <w:pStyle w:val="-0"/>
              <w:rPr>
                <w:sz w:val="18"/>
                <w:szCs w:val="18"/>
                <w:rtl/>
              </w:rPr>
            </w:pPr>
            <w:r w:rsidRPr="007B5573">
              <w:rPr>
                <w:rFonts w:hint="cs"/>
                <w:sz w:val="18"/>
                <w:szCs w:val="18"/>
                <w:rtl/>
              </w:rPr>
              <w:t xml:space="preserve"> 0</w:t>
            </w:r>
          </w:p>
        </w:tc>
        <w:tc>
          <w:tcPr>
            <w:tcW w:w="851" w:type="dxa"/>
            <w:vAlign w:val="bottom"/>
          </w:tcPr>
          <w:p w14:paraId="3C7CF3A5" w14:textId="77777777" w:rsidR="00F32A2A" w:rsidRDefault="00AC69BF">
            <w:pPr>
              <w:pStyle w:val="-0"/>
              <w:rPr>
                <w:sz w:val="18"/>
                <w:szCs w:val="18"/>
                <w:rtl/>
              </w:rPr>
            </w:pPr>
            <w:r w:rsidRPr="007B5573">
              <w:rPr>
                <w:rFonts w:hint="cs"/>
                <w:sz w:val="18"/>
                <w:szCs w:val="18"/>
                <w:rtl/>
              </w:rPr>
              <w:t xml:space="preserve"> 0</w:t>
            </w:r>
          </w:p>
        </w:tc>
        <w:tc>
          <w:tcPr>
            <w:tcW w:w="709" w:type="dxa"/>
            <w:vAlign w:val="bottom"/>
          </w:tcPr>
          <w:p w14:paraId="209BDB88" w14:textId="77777777" w:rsidR="00F32A2A" w:rsidRDefault="00AC69BF">
            <w:pPr>
              <w:pStyle w:val="-0"/>
              <w:rPr>
                <w:sz w:val="18"/>
                <w:szCs w:val="18"/>
                <w:rtl/>
              </w:rPr>
            </w:pPr>
            <w:r w:rsidRPr="007B5573">
              <w:rPr>
                <w:rFonts w:hint="cs"/>
                <w:sz w:val="18"/>
                <w:szCs w:val="18"/>
                <w:rtl/>
              </w:rPr>
              <w:t xml:space="preserve"> 0</w:t>
            </w:r>
          </w:p>
        </w:tc>
      </w:tr>
      <w:tr w:rsidR="00AC69BF" w:rsidRPr="00543C25" w14:paraId="0A26E4B5" w14:textId="77777777" w:rsidTr="00912661">
        <w:tc>
          <w:tcPr>
            <w:tcW w:w="993" w:type="dxa"/>
          </w:tcPr>
          <w:p w14:paraId="72B11ECF" w14:textId="77777777" w:rsidR="00AC69BF" w:rsidRPr="007B5573" w:rsidRDefault="00AC69BF" w:rsidP="007C54B1">
            <w:pPr>
              <w:jc w:val="left"/>
              <w:rPr>
                <w:sz w:val="18"/>
                <w:szCs w:val="18"/>
                <w:rtl/>
              </w:rPr>
            </w:pPr>
          </w:p>
        </w:tc>
        <w:tc>
          <w:tcPr>
            <w:tcW w:w="4037" w:type="dxa"/>
            <w:gridSpan w:val="2"/>
            <w:vAlign w:val="bottom"/>
          </w:tcPr>
          <w:p w14:paraId="0FF7E38A" w14:textId="77777777" w:rsidR="00AC69BF" w:rsidRPr="007B5573" w:rsidRDefault="00AC69BF" w:rsidP="007C54B1">
            <w:pPr>
              <w:widowControl w:val="0"/>
              <w:jc w:val="left"/>
              <w:rPr>
                <w:sz w:val="18"/>
                <w:szCs w:val="18"/>
                <w:rtl/>
              </w:rPr>
            </w:pPr>
            <w:r w:rsidRPr="007B5573">
              <w:rPr>
                <w:sz w:val="18"/>
                <w:szCs w:val="18"/>
                <w:rtl/>
              </w:rPr>
              <w:t>אופציות מחוץ לכסף נטו</w:t>
            </w:r>
            <w:r w:rsidRPr="007B5573">
              <w:rPr>
                <w:rFonts w:hint="cs"/>
                <w:sz w:val="18"/>
                <w:szCs w:val="18"/>
                <w:rtl/>
              </w:rPr>
              <w:t xml:space="preserve"> </w:t>
            </w:r>
            <w:r w:rsidRPr="007B5573">
              <w:rPr>
                <w:sz w:val="18"/>
                <w:szCs w:val="18"/>
                <w:rtl/>
              </w:rPr>
              <w:t>(סכום נקוב מהוון)</w:t>
            </w:r>
          </w:p>
        </w:tc>
        <w:tc>
          <w:tcPr>
            <w:tcW w:w="661" w:type="dxa"/>
            <w:vAlign w:val="bottom"/>
          </w:tcPr>
          <w:p w14:paraId="33E0CDD2" w14:textId="77777777" w:rsidR="00F32A2A" w:rsidRDefault="00AC69BF">
            <w:pPr>
              <w:pStyle w:val="-12"/>
              <w:pBdr>
                <w:top w:val="none" w:sz="0" w:space="0" w:color="auto"/>
              </w:pBdr>
              <w:rPr>
                <w:sz w:val="18"/>
                <w:szCs w:val="18"/>
                <w:rtl/>
              </w:rPr>
            </w:pPr>
            <w:r w:rsidRPr="007B5573">
              <w:rPr>
                <w:rFonts w:hint="cs"/>
                <w:sz w:val="18"/>
                <w:szCs w:val="18"/>
                <w:rtl/>
              </w:rPr>
              <w:t xml:space="preserve"> 0</w:t>
            </w:r>
          </w:p>
        </w:tc>
        <w:tc>
          <w:tcPr>
            <w:tcW w:w="970" w:type="dxa"/>
            <w:vAlign w:val="bottom"/>
          </w:tcPr>
          <w:p w14:paraId="5244BCF7" w14:textId="77777777" w:rsidR="00F32A2A" w:rsidRDefault="00AC69BF">
            <w:pPr>
              <w:pStyle w:val="-12"/>
              <w:pBdr>
                <w:top w:val="none" w:sz="0" w:space="0" w:color="auto"/>
              </w:pBdr>
              <w:rPr>
                <w:sz w:val="18"/>
                <w:szCs w:val="18"/>
                <w:rtl/>
              </w:rPr>
            </w:pPr>
            <w:r w:rsidRPr="007B5573">
              <w:rPr>
                <w:rFonts w:hint="cs"/>
                <w:sz w:val="18"/>
                <w:szCs w:val="18"/>
                <w:rtl/>
              </w:rPr>
              <w:t xml:space="preserve"> 0</w:t>
            </w:r>
          </w:p>
        </w:tc>
        <w:tc>
          <w:tcPr>
            <w:tcW w:w="816" w:type="dxa"/>
            <w:vAlign w:val="bottom"/>
          </w:tcPr>
          <w:p w14:paraId="32123B1B" w14:textId="77777777" w:rsidR="00F32A2A" w:rsidRDefault="00AC69BF">
            <w:pPr>
              <w:pStyle w:val="-12"/>
              <w:pBdr>
                <w:top w:val="none" w:sz="0" w:space="0" w:color="auto"/>
              </w:pBdr>
              <w:rPr>
                <w:sz w:val="18"/>
                <w:szCs w:val="18"/>
                <w:rtl/>
              </w:rPr>
            </w:pPr>
            <w:r w:rsidRPr="007B5573">
              <w:rPr>
                <w:rFonts w:hint="cs"/>
                <w:sz w:val="18"/>
                <w:szCs w:val="18"/>
                <w:rtl/>
              </w:rPr>
              <w:t xml:space="preserve"> 0</w:t>
            </w:r>
          </w:p>
        </w:tc>
        <w:tc>
          <w:tcPr>
            <w:tcW w:w="1170" w:type="dxa"/>
            <w:vAlign w:val="bottom"/>
          </w:tcPr>
          <w:p w14:paraId="00723974" w14:textId="77777777" w:rsidR="00F32A2A" w:rsidRDefault="00AC69BF">
            <w:pPr>
              <w:pStyle w:val="-12"/>
              <w:pBdr>
                <w:top w:val="none" w:sz="0" w:space="0" w:color="auto"/>
              </w:pBdr>
              <w:rPr>
                <w:sz w:val="18"/>
                <w:szCs w:val="18"/>
                <w:rtl/>
              </w:rPr>
            </w:pPr>
            <w:r w:rsidRPr="007B5573">
              <w:rPr>
                <w:rFonts w:hint="cs"/>
                <w:sz w:val="18"/>
                <w:szCs w:val="18"/>
                <w:rtl/>
              </w:rPr>
              <w:t xml:space="preserve"> 0</w:t>
            </w:r>
          </w:p>
        </w:tc>
        <w:tc>
          <w:tcPr>
            <w:tcW w:w="851" w:type="dxa"/>
            <w:vAlign w:val="bottom"/>
          </w:tcPr>
          <w:p w14:paraId="3912C4EC" w14:textId="77777777" w:rsidR="00F32A2A" w:rsidRDefault="00AC69BF">
            <w:pPr>
              <w:pStyle w:val="-12"/>
              <w:pBdr>
                <w:top w:val="none" w:sz="0" w:space="0" w:color="auto"/>
              </w:pBdr>
              <w:rPr>
                <w:sz w:val="18"/>
                <w:szCs w:val="18"/>
                <w:rtl/>
              </w:rPr>
            </w:pPr>
            <w:r w:rsidRPr="007B5573">
              <w:rPr>
                <w:rFonts w:hint="cs"/>
                <w:sz w:val="18"/>
                <w:szCs w:val="18"/>
                <w:rtl/>
              </w:rPr>
              <w:t xml:space="preserve"> 0</w:t>
            </w:r>
          </w:p>
        </w:tc>
        <w:tc>
          <w:tcPr>
            <w:tcW w:w="709" w:type="dxa"/>
            <w:vAlign w:val="bottom"/>
          </w:tcPr>
          <w:p w14:paraId="20196AE7" w14:textId="77777777" w:rsidR="00F32A2A" w:rsidRDefault="00AC69BF">
            <w:pPr>
              <w:pStyle w:val="-12"/>
              <w:pBdr>
                <w:top w:val="none" w:sz="0" w:space="0" w:color="auto"/>
              </w:pBdr>
              <w:rPr>
                <w:sz w:val="18"/>
                <w:szCs w:val="18"/>
                <w:rtl/>
              </w:rPr>
            </w:pPr>
            <w:r w:rsidRPr="007B5573">
              <w:rPr>
                <w:rFonts w:hint="cs"/>
                <w:sz w:val="18"/>
                <w:szCs w:val="18"/>
                <w:rtl/>
              </w:rPr>
              <w:t xml:space="preserve"> 0</w:t>
            </w:r>
          </w:p>
        </w:tc>
      </w:tr>
      <w:tr w:rsidR="00AC69BF" w:rsidRPr="00543C25" w14:paraId="2A0406D0" w14:textId="77777777" w:rsidTr="00912661">
        <w:tc>
          <w:tcPr>
            <w:tcW w:w="993" w:type="dxa"/>
          </w:tcPr>
          <w:p w14:paraId="11209D7E" w14:textId="77777777" w:rsidR="003139A7" w:rsidRDefault="003139A7">
            <w:pPr>
              <w:pStyle w:val="-0"/>
              <w:bidi w:val="0"/>
              <w:spacing w:line="20" w:lineRule="exact"/>
              <w:ind w:left="432"/>
              <w:jc w:val="both"/>
              <w:rPr>
                <w:sz w:val="18"/>
                <w:szCs w:val="18"/>
              </w:rPr>
            </w:pPr>
          </w:p>
        </w:tc>
        <w:tc>
          <w:tcPr>
            <w:tcW w:w="4037" w:type="dxa"/>
            <w:gridSpan w:val="2"/>
            <w:vAlign w:val="bottom"/>
          </w:tcPr>
          <w:p w14:paraId="2B46A4EB" w14:textId="77777777" w:rsidR="003139A7" w:rsidRDefault="003139A7">
            <w:pPr>
              <w:pStyle w:val="-0"/>
              <w:bidi w:val="0"/>
              <w:spacing w:line="20" w:lineRule="exact"/>
              <w:ind w:left="432"/>
              <w:jc w:val="both"/>
              <w:rPr>
                <w:sz w:val="18"/>
                <w:szCs w:val="18"/>
              </w:rPr>
            </w:pPr>
          </w:p>
        </w:tc>
        <w:tc>
          <w:tcPr>
            <w:tcW w:w="661" w:type="dxa"/>
            <w:vAlign w:val="bottom"/>
          </w:tcPr>
          <w:p w14:paraId="5031A369" w14:textId="77777777" w:rsidR="00CF2A74" w:rsidRDefault="00CF2A74" w:rsidP="00CF2A74">
            <w:pPr>
              <w:pStyle w:val="-12"/>
              <w:pBdr>
                <w:top w:val="none" w:sz="0" w:space="0" w:color="auto"/>
              </w:pBdr>
              <w:bidi w:val="0"/>
              <w:spacing w:line="20" w:lineRule="exact"/>
              <w:jc w:val="both"/>
              <w:rPr>
                <w:sz w:val="18"/>
                <w:szCs w:val="18"/>
                <w:rtl/>
              </w:rPr>
            </w:pPr>
          </w:p>
        </w:tc>
        <w:tc>
          <w:tcPr>
            <w:tcW w:w="970" w:type="dxa"/>
            <w:vAlign w:val="bottom"/>
          </w:tcPr>
          <w:p w14:paraId="1B56DD65" w14:textId="77777777" w:rsidR="00CF2A74" w:rsidRDefault="00CF2A74" w:rsidP="00CF2A74">
            <w:pPr>
              <w:pStyle w:val="-12"/>
              <w:pBdr>
                <w:top w:val="none" w:sz="0" w:space="0" w:color="auto"/>
              </w:pBdr>
              <w:bidi w:val="0"/>
              <w:spacing w:line="20" w:lineRule="exact"/>
              <w:jc w:val="both"/>
              <w:rPr>
                <w:sz w:val="18"/>
                <w:szCs w:val="18"/>
                <w:rtl/>
              </w:rPr>
            </w:pPr>
          </w:p>
        </w:tc>
        <w:tc>
          <w:tcPr>
            <w:tcW w:w="816" w:type="dxa"/>
            <w:vAlign w:val="bottom"/>
          </w:tcPr>
          <w:p w14:paraId="6E7834E5" w14:textId="77777777" w:rsidR="00CF2A74" w:rsidRDefault="00CF2A74" w:rsidP="00CF2A74">
            <w:pPr>
              <w:pStyle w:val="-12"/>
              <w:pBdr>
                <w:top w:val="none" w:sz="0" w:space="0" w:color="auto"/>
              </w:pBdr>
              <w:bidi w:val="0"/>
              <w:spacing w:line="20" w:lineRule="exact"/>
              <w:jc w:val="both"/>
              <w:rPr>
                <w:sz w:val="18"/>
                <w:szCs w:val="18"/>
                <w:rtl/>
              </w:rPr>
            </w:pPr>
          </w:p>
        </w:tc>
        <w:tc>
          <w:tcPr>
            <w:tcW w:w="1170" w:type="dxa"/>
            <w:vAlign w:val="bottom"/>
          </w:tcPr>
          <w:p w14:paraId="149220CB" w14:textId="77777777" w:rsidR="00CF2A74" w:rsidRDefault="00CF2A74" w:rsidP="00CF2A74">
            <w:pPr>
              <w:pStyle w:val="-12"/>
              <w:pBdr>
                <w:top w:val="none" w:sz="0" w:space="0" w:color="auto"/>
              </w:pBdr>
              <w:bidi w:val="0"/>
              <w:spacing w:line="20" w:lineRule="exact"/>
              <w:jc w:val="both"/>
              <w:rPr>
                <w:sz w:val="18"/>
                <w:szCs w:val="18"/>
                <w:rtl/>
              </w:rPr>
            </w:pPr>
          </w:p>
        </w:tc>
        <w:tc>
          <w:tcPr>
            <w:tcW w:w="851" w:type="dxa"/>
            <w:vAlign w:val="bottom"/>
          </w:tcPr>
          <w:p w14:paraId="4500B8EE" w14:textId="77777777" w:rsidR="00CF2A74" w:rsidRDefault="00CF2A74" w:rsidP="00CF2A74">
            <w:pPr>
              <w:pStyle w:val="-12"/>
              <w:pBdr>
                <w:top w:val="none" w:sz="0" w:space="0" w:color="auto"/>
              </w:pBdr>
              <w:bidi w:val="0"/>
              <w:spacing w:line="20" w:lineRule="exact"/>
              <w:jc w:val="both"/>
              <w:rPr>
                <w:sz w:val="18"/>
                <w:szCs w:val="18"/>
                <w:rtl/>
              </w:rPr>
            </w:pPr>
          </w:p>
        </w:tc>
        <w:tc>
          <w:tcPr>
            <w:tcW w:w="709" w:type="dxa"/>
            <w:vAlign w:val="bottom"/>
          </w:tcPr>
          <w:p w14:paraId="47C34A3E" w14:textId="77777777" w:rsidR="00CF2A74" w:rsidRDefault="00CF2A74" w:rsidP="00CF2A74">
            <w:pPr>
              <w:pStyle w:val="-12"/>
              <w:pBdr>
                <w:top w:val="none" w:sz="0" w:space="0" w:color="auto"/>
              </w:pBdr>
              <w:bidi w:val="0"/>
              <w:spacing w:line="20" w:lineRule="exact"/>
              <w:jc w:val="both"/>
              <w:rPr>
                <w:sz w:val="18"/>
                <w:szCs w:val="18"/>
                <w:rtl/>
              </w:rPr>
            </w:pPr>
          </w:p>
        </w:tc>
      </w:tr>
      <w:tr w:rsidR="00DE2D99" w:rsidRPr="00543C25" w14:paraId="6614D7C8" w14:textId="77777777" w:rsidTr="00912661">
        <w:tblPrEx>
          <w:tblLook w:val="01E0" w:firstRow="1" w:lastRow="1" w:firstColumn="1" w:lastColumn="1" w:noHBand="0" w:noVBand="0"/>
        </w:tblPrEx>
        <w:trPr>
          <w:trHeight w:val="245"/>
        </w:trPr>
        <w:tc>
          <w:tcPr>
            <w:tcW w:w="993" w:type="dxa"/>
          </w:tcPr>
          <w:p w14:paraId="77862EAE" w14:textId="77777777" w:rsidR="00DE2D99" w:rsidRPr="007C3674" w:rsidRDefault="00DE2D99" w:rsidP="007C54B1">
            <w:pPr>
              <w:pStyle w:val="-a"/>
              <w:rPr>
                <w:b/>
                <w:bCs/>
                <w:rtl/>
              </w:rPr>
            </w:pPr>
          </w:p>
        </w:tc>
        <w:tc>
          <w:tcPr>
            <w:tcW w:w="567" w:type="dxa"/>
          </w:tcPr>
          <w:p w14:paraId="71B9B03C" w14:textId="77777777" w:rsidR="00DE2D99" w:rsidRPr="007C3674" w:rsidRDefault="00DE2D99" w:rsidP="007C54B1">
            <w:pPr>
              <w:pStyle w:val="-a"/>
              <w:rPr>
                <w:b/>
                <w:bCs/>
                <w:rtl/>
              </w:rPr>
            </w:pPr>
          </w:p>
        </w:tc>
        <w:tc>
          <w:tcPr>
            <w:tcW w:w="8647" w:type="dxa"/>
            <w:gridSpan w:val="7"/>
          </w:tcPr>
          <w:p w14:paraId="7BAAE4B4" w14:textId="77777777" w:rsidR="00DE2D99" w:rsidRPr="00865960" w:rsidRDefault="00DE2D99" w:rsidP="007C54B1">
            <w:pPr>
              <w:pStyle w:val="-a"/>
              <w:rPr>
                <w:rtl/>
              </w:rPr>
            </w:pPr>
          </w:p>
        </w:tc>
      </w:tr>
      <w:tr w:rsidR="00AC69BF" w:rsidRPr="00543C25" w14:paraId="1DC70A2E" w14:textId="77777777" w:rsidTr="00912661">
        <w:tblPrEx>
          <w:tblLook w:val="01E0" w:firstRow="1" w:lastRow="1" w:firstColumn="1" w:lastColumn="1" w:noHBand="0" w:noVBand="0"/>
        </w:tblPrEx>
        <w:trPr>
          <w:trHeight w:val="245"/>
        </w:trPr>
        <w:tc>
          <w:tcPr>
            <w:tcW w:w="993" w:type="dxa"/>
          </w:tcPr>
          <w:p w14:paraId="48A70061" w14:textId="77777777" w:rsidR="00AC69BF" w:rsidRPr="007C3674" w:rsidRDefault="00AC69BF" w:rsidP="007C54B1">
            <w:pPr>
              <w:pStyle w:val="-a"/>
              <w:rPr>
                <w:b/>
                <w:bCs/>
                <w:rtl/>
              </w:rPr>
            </w:pPr>
          </w:p>
        </w:tc>
        <w:tc>
          <w:tcPr>
            <w:tcW w:w="567" w:type="dxa"/>
          </w:tcPr>
          <w:p w14:paraId="49C65238" w14:textId="77777777" w:rsidR="00AC69BF" w:rsidRPr="00CE02F7" w:rsidRDefault="00AC69BF" w:rsidP="007C54B1">
            <w:pPr>
              <w:pStyle w:val="-a"/>
              <w:rPr>
                <w:rtl/>
              </w:rPr>
            </w:pPr>
            <w:r w:rsidRPr="00CE02F7">
              <w:rPr>
                <w:rFonts w:hint="cs"/>
                <w:rtl/>
              </w:rPr>
              <w:t>(א)</w:t>
            </w:r>
          </w:p>
        </w:tc>
        <w:tc>
          <w:tcPr>
            <w:tcW w:w="8647" w:type="dxa"/>
            <w:gridSpan w:val="7"/>
          </w:tcPr>
          <w:p w14:paraId="584D0509" w14:textId="77777777" w:rsidR="00AC69BF" w:rsidRPr="00865960" w:rsidRDefault="00AC69BF" w:rsidP="007C54B1">
            <w:pPr>
              <w:pStyle w:val="-a"/>
              <w:rPr>
                <w:rtl/>
              </w:rPr>
            </w:pPr>
            <w:r w:rsidRPr="00865960">
              <w:rPr>
                <w:rtl/>
              </w:rPr>
              <w:t>לרבות מכשירים נגזרים שהבסיס שלהם מתייחס לפריט לא כספי.</w:t>
            </w:r>
          </w:p>
        </w:tc>
      </w:tr>
    </w:tbl>
    <w:p w14:paraId="77DE4D5E" w14:textId="77777777" w:rsidR="00B44E8E" w:rsidRDefault="00B44E8E" w:rsidP="00613CCE">
      <w:pPr>
        <w:pStyle w:val="-2"/>
        <w:ind w:left="1599"/>
        <w:rPr>
          <w:rtl/>
        </w:rPr>
      </w:pPr>
    </w:p>
    <w:p w14:paraId="264AF401" w14:textId="77777777" w:rsidR="00B44E8E" w:rsidRDefault="00B44E8E" w:rsidP="00613CCE">
      <w:pPr>
        <w:pStyle w:val="-2"/>
        <w:ind w:left="1599"/>
        <w:rPr>
          <w:rtl/>
        </w:rPr>
      </w:pPr>
    </w:p>
    <w:p w14:paraId="247F90B9" w14:textId="77777777" w:rsidR="00332186" w:rsidRPr="00332186" w:rsidRDefault="00332186" w:rsidP="00332186">
      <w:pPr>
        <w:rPr>
          <w:rtl/>
        </w:rPr>
      </w:pPr>
    </w:p>
    <w:p w14:paraId="4CDFD230" w14:textId="77777777" w:rsidR="00332186" w:rsidRPr="00332186" w:rsidRDefault="00332186" w:rsidP="00332186">
      <w:pPr>
        <w:rPr>
          <w:rtl/>
        </w:rPr>
      </w:pPr>
    </w:p>
    <w:p w14:paraId="418F5221" w14:textId="77777777" w:rsidR="00332186" w:rsidRPr="00332186" w:rsidRDefault="00332186" w:rsidP="00332186">
      <w:pPr>
        <w:rPr>
          <w:rtl/>
        </w:rPr>
      </w:pPr>
    </w:p>
    <w:p w14:paraId="324E9BE6" w14:textId="77777777" w:rsidR="00332186" w:rsidRPr="00332186" w:rsidRDefault="00332186" w:rsidP="00332186">
      <w:pPr>
        <w:rPr>
          <w:rtl/>
        </w:rPr>
      </w:pPr>
    </w:p>
    <w:p w14:paraId="0CBF8D37" w14:textId="77777777" w:rsidR="00332186" w:rsidRPr="00332186" w:rsidRDefault="00332186" w:rsidP="00332186">
      <w:pPr>
        <w:rPr>
          <w:rtl/>
        </w:rPr>
      </w:pPr>
    </w:p>
    <w:p w14:paraId="2B993579" w14:textId="77777777" w:rsidR="00533C58" w:rsidRPr="00332186" w:rsidRDefault="00332186" w:rsidP="00332186">
      <w:pPr>
        <w:tabs>
          <w:tab w:val="left" w:pos="6602"/>
        </w:tabs>
        <w:rPr>
          <w:rtl/>
        </w:rPr>
        <w:sectPr w:rsidR="00533C58" w:rsidRPr="00332186" w:rsidSect="00587121">
          <w:footerReference w:type="even" r:id="rId57"/>
          <w:footerReference w:type="default" r:id="rId58"/>
          <w:headerReference w:type="first" r:id="rId59"/>
          <w:footerReference w:type="first" r:id="rId60"/>
          <w:footnotePr>
            <w:numRestart w:val="eachPage"/>
          </w:footnotePr>
          <w:type w:val="nextColumn"/>
          <w:pgSz w:w="11909" w:h="16834" w:code="9"/>
          <w:pgMar w:top="851" w:right="851" w:bottom="851" w:left="851" w:header="720" w:footer="720" w:gutter="0"/>
          <w:cols w:space="720"/>
          <w:bidi/>
          <w:rtlGutter/>
          <w:docGrid w:linePitch="360"/>
        </w:sectPr>
      </w:pPr>
      <w:r>
        <w:rPr>
          <w:rtl/>
        </w:rPr>
        <w:tab/>
      </w:r>
      <w:r>
        <w:rPr>
          <w:rtl/>
        </w:rPr>
        <w:tab/>
      </w:r>
    </w:p>
    <w:tbl>
      <w:tblPr>
        <w:bidiVisual/>
        <w:tblW w:w="5041" w:type="pct"/>
        <w:tblInd w:w="-84" w:type="dxa"/>
        <w:tblLayout w:type="fixed"/>
        <w:tblLook w:val="04A0" w:firstRow="1" w:lastRow="0" w:firstColumn="1" w:lastColumn="0" w:noHBand="0" w:noVBand="1"/>
      </w:tblPr>
      <w:tblGrid>
        <w:gridCol w:w="1073"/>
        <w:gridCol w:w="567"/>
        <w:gridCol w:w="3475"/>
        <w:gridCol w:w="636"/>
        <w:gridCol w:w="992"/>
        <w:gridCol w:w="818"/>
        <w:gridCol w:w="1166"/>
        <w:gridCol w:w="851"/>
        <w:gridCol w:w="713"/>
      </w:tblGrid>
      <w:tr w:rsidR="00600720" w:rsidRPr="00AD318D" w14:paraId="389785B1" w14:textId="77777777" w:rsidTr="00912661">
        <w:trPr>
          <w:trHeight w:val="259"/>
        </w:trPr>
        <w:tc>
          <w:tcPr>
            <w:tcW w:w="1073" w:type="dxa"/>
          </w:tcPr>
          <w:p w14:paraId="2FA5292B" w14:textId="77777777" w:rsidR="00600720" w:rsidRPr="00AD318D" w:rsidRDefault="00600720" w:rsidP="00467018">
            <w:pPr>
              <w:pStyle w:val="-fa"/>
              <w:spacing w:before="100" w:line="360" w:lineRule="auto"/>
              <w:ind w:right="-142"/>
              <w:rPr>
                <w:rtl/>
              </w:rPr>
            </w:pPr>
          </w:p>
        </w:tc>
        <w:tc>
          <w:tcPr>
            <w:tcW w:w="9218" w:type="dxa"/>
            <w:gridSpan w:val="8"/>
          </w:tcPr>
          <w:p w14:paraId="6E2911A9" w14:textId="77777777" w:rsidR="00F32A2A" w:rsidRDefault="00CF2A74" w:rsidP="00316579">
            <w:pPr>
              <w:pStyle w:val="-8"/>
              <w:spacing w:line="360" w:lineRule="auto"/>
              <w:rPr>
                <w:rtl/>
              </w:rPr>
            </w:pPr>
            <w:r w:rsidRPr="00CF2A74">
              <w:rPr>
                <w:rFonts w:eastAsia="Arial Unicode MS"/>
                <w:rtl/>
              </w:rPr>
              <w:t xml:space="preserve">ביאור </w:t>
            </w:r>
            <w:r w:rsidR="00B44E8E">
              <w:rPr>
                <w:rFonts w:eastAsia="Arial Unicode MS" w:hint="cs"/>
                <w:rtl/>
              </w:rPr>
              <w:t>1</w:t>
            </w:r>
            <w:r w:rsidR="00316579">
              <w:rPr>
                <w:rFonts w:eastAsia="Arial Unicode MS" w:hint="cs"/>
                <w:rtl/>
              </w:rPr>
              <w:t>3</w:t>
            </w:r>
            <w:r w:rsidR="00B44E8E" w:rsidRPr="00CF2A74">
              <w:rPr>
                <w:rFonts w:eastAsia="Arial Unicode MS"/>
                <w:rtl/>
              </w:rPr>
              <w:t xml:space="preserve">  </w:t>
            </w:r>
            <w:r w:rsidRPr="00CF2A74">
              <w:rPr>
                <w:rFonts w:eastAsia="Arial Unicode MS"/>
                <w:rtl/>
              </w:rPr>
              <w:t xml:space="preserve">-  </w:t>
            </w:r>
            <w:r w:rsidR="00B44E8E">
              <w:rPr>
                <w:rFonts w:eastAsia="Arial Unicode MS" w:hint="cs"/>
                <w:rtl/>
              </w:rPr>
              <w:t xml:space="preserve">דוח מאוחד על </w:t>
            </w:r>
            <w:r w:rsidRPr="00CF2A74">
              <w:rPr>
                <w:rtl/>
              </w:rPr>
              <w:t>נכסים והתחייבויות לפי בסיסי הצמד</w:t>
            </w:r>
            <w:r w:rsidRPr="00CF2A74">
              <w:rPr>
                <w:rFonts w:hint="eastAsia"/>
                <w:rtl/>
              </w:rPr>
              <w:t>ה</w:t>
            </w:r>
            <w:r w:rsidRPr="00CF2A74">
              <w:rPr>
                <w:rtl/>
              </w:rPr>
              <w:t xml:space="preserve"> (המשך):</w:t>
            </w:r>
          </w:p>
        </w:tc>
      </w:tr>
      <w:tr w:rsidR="006E7796" w:rsidRPr="00AD318D" w14:paraId="46675FE7" w14:textId="77777777" w:rsidTr="00912661">
        <w:trPr>
          <w:trHeight w:val="259"/>
        </w:trPr>
        <w:tc>
          <w:tcPr>
            <w:tcW w:w="1073" w:type="dxa"/>
          </w:tcPr>
          <w:p w14:paraId="27F0B689" w14:textId="77777777" w:rsidR="006E7796" w:rsidRPr="00030C7C" w:rsidRDefault="006E7796" w:rsidP="008A09EE">
            <w:pPr>
              <w:pStyle w:val="-0"/>
              <w:spacing w:line="200" w:lineRule="exact"/>
              <w:ind w:left="0" w:firstLine="0"/>
              <w:rPr>
                <w:spacing w:val="-6"/>
                <w:sz w:val="14"/>
                <w:szCs w:val="14"/>
                <w:rtl/>
              </w:rPr>
            </w:pPr>
            <w:r w:rsidRPr="00030C7C">
              <w:rPr>
                <w:rFonts w:hint="eastAsia"/>
                <w:spacing w:val="-6"/>
                <w:sz w:val="14"/>
                <w:szCs w:val="14"/>
                <w:rtl/>
              </w:rPr>
              <w:t>מתכונת</w:t>
            </w:r>
            <w:r w:rsidRPr="00030C7C">
              <w:rPr>
                <w:spacing w:val="-6"/>
                <w:sz w:val="14"/>
                <w:szCs w:val="14"/>
                <w:rtl/>
              </w:rPr>
              <w:t xml:space="preserve"> ביאור </w:t>
            </w:r>
            <w:r w:rsidRPr="00030C7C">
              <w:rPr>
                <w:rFonts w:hint="eastAsia"/>
                <w:spacing w:val="-6"/>
                <w:sz w:val="14"/>
                <w:szCs w:val="14"/>
                <w:rtl/>
              </w:rPr>
              <w:t>עמ</w:t>
            </w:r>
            <w:r w:rsidRPr="00030C7C">
              <w:rPr>
                <w:spacing w:val="-6"/>
                <w:sz w:val="14"/>
                <w:szCs w:val="14"/>
                <w:rtl/>
              </w:rPr>
              <w:t>' 663-55</w:t>
            </w:r>
          </w:p>
        </w:tc>
        <w:tc>
          <w:tcPr>
            <w:tcW w:w="4042" w:type="dxa"/>
            <w:gridSpan w:val="2"/>
            <w:vAlign w:val="bottom"/>
          </w:tcPr>
          <w:p w14:paraId="58977A70" w14:textId="77777777" w:rsidR="006E7796" w:rsidRPr="00AD318D" w:rsidRDefault="006E7796" w:rsidP="00C636B7">
            <w:pPr>
              <w:pStyle w:val="-0"/>
              <w:spacing w:line="200" w:lineRule="exact"/>
              <w:rPr>
                <w:sz w:val="18"/>
                <w:szCs w:val="18"/>
                <w:rtl/>
              </w:rPr>
            </w:pPr>
          </w:p>
        </w:tc>
        <w:tc>
          <w:tcPr>
            <w:tcW w:w="5176" w:type="dxa"/>
            <w:gridSpan w:val="6"/>
            <w:vAlign w:val="bottom"/>
          </w:tcPr>
          <w:p w14:paraId="4640FE44" w14:textId="0545B6D8" w:rsidR="006E7796" w:rsidRPr="001F0989" w:rsidRDefault="006E7796" w:rsidP="001977FC">
            <w:pPr>
              <w:pStyle w:val="-4"/>
              <w:spacing w:line="200" w:lineRule="exact"/>
              <w:rPr>
                <w:sz w:val="18"/>
                <w:szCs w:val="18"/>
                <w:rtl/>
              </w:rPr>
            </w:pPr>
            <w:r w:rsidRPr="001F0989">
              <w:rPr>
                <w:rFonts w:hint="eastAsia"/>
                <w:sz w:val="18"/>
                <w:szCs w:val="18"/>
                <w:rtl/>
              </w:rPr>
              <w:t>ליום</w:t>
            </w:r>
            <w:r w:rsidRPr="001F0989">
              <w:rPr>
                <w:sz w:val="18"/>
                <w:szCs w:val="18"/>
                <w:rtl/>
              </w:rPr>
              <w:t xml:space="preserve"> 31 בדצמבר </w:t>
            </w:r>
            <w:r w:rsidR="002F5158" w:rsidRPr="001F0989">
              <w:rPr>
                <w:sz w:val="18"/>
                <w:szCs w:val="18"/>
                <w:rtl/>
              </w:rPr>
              <w:fldChar w:fldCharType="begin"/>
            </w:r>
            <w:r w:rsidR="002F5158" w:rsidRPr="001F0989">
              <w:rPr>
                <w:sz w:val="18"/>
                <w:szCs w:val="18"/>
                <w:rtl/>
              </w:rPr>
              <w:instrText xml:space="preserve"> </w:instrText>
            </w:r>
            <w:r w:rsidR="002F5158" w:rsidRPr="001F0989">
              <w:rPr>
                <w:rFonts w:hint="cs"/>
                <w:sz w:val="18"/>
                <w:szCs w:val="18"/>
                <w:rtl/>
              </w:rPr>
              <w:instrText xml:space="preserve">= </w:instrText>
            </w:r>
            <w:r w:rsidR="002F5158" w:rsidRPr="001F0989">
              <w:rPr>
                <w:rFonts w:hint="cs"/>
                <w:sz w:val="18"/>
                <w:szCs w:val="18"/>
              </w:rPr>
              <w:instrText>CY</w:instrText>
            </w:r>
            <w:r w:rsidR="002F5158" w:rsidRPr="001F0989">
              <w:rPr>
                <w:sz w:val="18"/>
                <w:szCs w:val="18"/>
              </w:rPr>
              <w:instrText>-1</w:instrText>
            </w:r>
            <w:r w:rsidR="002F5158" w:rsidRPr="001F0989">
              <w:rPr>
                <w:rFonts w:hint="cs"/>
                <w:sz w:val="18"/>
                <w:szCs w:val="18"/>
              </w:rPr>
              <w:instrText xml:space="preserve"> \* MERGEFORMAT</w:instrText>
            </w:r>
            <w:r w:rsidR="002F5158" w:rsidRPr="001F0989">
              <w:rPr>
                <w:sz w:val="18"/>
                <w:szCs w:val="18"/>
                <w:rtl/>
              </w:rPr>
              <w:instrText xml:space="preserve"> </w:instrText>
            </w:r>
            <w:r w:rsidR="002F5158" w:rsidRPr="001F0989">
              <w:rPr>
                <w:sz w:val="18"/>
                <w:szCs w:val="18"/>
                <w:rtl/>
              </w:rPr>
              <w:fldChar w:fldCharType="separate"/>
            </w:r>
            <w:r w:rsidR="003A584F">
              <w:rPr>
                <w:noProof/>
                <w:sz w:val="18"/>
                <w:szCs w:val="18"/>
                <w:rtl/>
              </w:rPr>
              <w:t>2023</w:t>
            </w:r>
            <w:r w:rsidR="002F5158" w:rsidRPr="001F0989">
              <w:rPr>
                <w:sz w:val="18"/>
                <w:szCs w:val="18"/>
                <w:rtl/>
              </w:rPr>
              <w:fldChar w:fldCharType="end"/>
            </w:r>
            <w:r w:rsidR="002F5158" w:rsidRPr="001F0989">
              <w:rPr>
                <w:sz w:val="18"/>
                <w:szCs w:val="18"/>
                <w:rtl/>
              </w:rPr>
              <w:t xml:space="preserve"> </w:t>
            </w:r>
            <w:r w:rsidRPr="001F0989">
              <w:rPr>
                <w:b w:val="0"/>
                <w:bCs w:val="0"/>
                <w:sz w:val="18"/>
                <w:szCs w:val="18"/>
                <w:rtl/>
              </w:rPr>
              <w:t>(מבוקר)</w:t>
            </w:r>
          </w:p>
        </w:tc>
      </w:tr>
      <w:tr w:rsidR="006E7796" w:rsidRPr="00AD318D" w14:paraId="3498F7A0" w14:textId="77777777" w:rsidTr="00912661">
        <w:trPr>
          <w:trHeight w:val="259"/>
        </w:trPr>
        <w:tc>
          <w:tcPr>
            <w:tcW w:w="1073" w:type="dxa"/>
          </w:tcPr>
          <w:p w14:paraId="06D6FBA9" w14:textId="77777777" w:rsidR="006E7796" w:rsidRPr="00AD318D" w:rsidRDefault="006E7796" w:rsidP="00C636B7">
            <w:pPr>
              <w:pStyle w:val="-0"/>
              <w:spacing w:line="200" w:lineRule="exact"/>
              <w:rPr>
                <w:sz w:val="18"/>
                <w:szCs w:val="18"/>
                <w:rtl/>
              </w:rPr>
            </w:pPr>
          </w:p>
        </w:tc>
        <w:tc>
          <w:tcPr>
            <w:tcW w:w="4042" w:type="dxa"/>
            <w:gridSpan w:val="2"/>
            <w:vAlign w:val="bottom"/>
          </w:tcPr>
          <w:p w14:paraId="0081349A" w14:textId="77777777" w:rsidR="006E7796" w:rsidRPr="00AD318D" w:rsidRDefault="006E7796" w:rsidP="00C636B7">
            <w:pPr>
              <w:pStyle w:val="-0"/>
              <w:spacing w:line="200" w:lineRule="exact"/>
              <w:rPr>
                <w:sz w:val="18"/>
                <w:szCs w:val="18"/>
                <w:rtl/>
              </w:rPr>
            </w:pPr>
          </w:p>
        </w:tc>
        <w:tc>
          <w:tcPr>
            <w:tcW w:w="1628" w:type="dxa"/>
            <w:gridSpan w:val="2"/>
            <w:vAlign w:val="bottom"/>
          </w:tcPr>
          <w:p w14:paraId="77CB9FE1" w14:textId="77777777" w:rsidR="006E7796" w:rsidRPr="001F0989" w:rsidRDefault="006E7796" w:rsidP="00C636B7">
            <w:pPr>
              <w:pStyle w:val="-4"/>
              <w:spacing w:line="200" w:lineRule="exact"/>
              <w:rPr>
                <w:sz w:val="18"/>
                <w:szCs w:val="18"/>
                <w:rtl/>
              </w:rPr>
            </w:pPr>
            <w:r w:rsidRPr="001F0989">
              <w:rPr>
                <w:rFonts w:hint="eastAsia"/>
                <w:sz w:val="18"/>
                <w:szCs w:val="18"/>
                <w:rtl/>
              </w:rPr>
              <w:t>מטבע</w:t>
            </w:r>
            <w:r w:rsidRPr="001F0989">
              <w:rPr>
                <w:sz w:val="18"/>
                <w:szCs w:val="18"/>
                <w:rtl/>
              </w:rPr>
              <w:t xml:space="preserve"> </w:t>
            </w:r>
            <w:r w:rsidRPr="001F0989">
              <w:rPr>
                <w:rFonts w:hint="eastAsia"/>
                <w:sz w:val="18"/>
                <w:szCs w:val="18"/>
                <w:rtl/>
              </w:rPr>
              <w:t>ישראלי</w:t>
            </w:r>
          </w:p>
        </w:tc>
        <w:tc>
          <w:tcPr>
            <w:tcW w:w="1984" w:type="dxa"/>
            <w:gridSpan w:val="2"/>
            <w:vAlign w:val="bottom"/>
          </w:tcPr>
          <w:p w14:paraId="59C173D3" w14:textId="77777777" w:rsidR="006E7796" w:rsidRPr="001F0989" w:rsidRDefault="006E7796" w:rsidP="00C636B7">
            <w:pPr>
              <w:pStyle w:val="-4"/>
              <w:spacing w:line="200" w:lineRule="exact"/>
              <w:rPr>
                <w:sz w:val="18"/>
                <w:szCs w:val="18"/>
                <w:rtl/>
              </w:rPr>
            </w:pPr>
            <w:r w:rsidRPr="001F0989">
              <w:rPr>
                <w:rFonts w:hint="eastAsia"/>
                <w:sz w:val="18"/>
                <w:szCs w:val="18"/>
                <w:rtl/>
              </w:rPr>
              <w:t>מטבע</w:t>
            </w:r>
            <w:r w:rsidRPr="001F0989">
              <w:rPr>
                <w:sz w:val="18"/>
                <w:szCs w:val="18"/>
                <w:rtl/>
              </w:rPr>
              <w:t xml:space="preserve"> </w:t>
            </w:r>
            <w:r w:rsidRPr="001F0989">
              <w:rPr>
                <w:rFonts w:hint="eastAsia"/>
                <w:sz w:val="18"/>
                <w:szCs w:val="18"/>
                <w:rtl/>
              </w:rPr>
              <w:t>חוץ</w:t>
            </w:r>
          </w:p>
          <w:p w14:paraId="6D85390C" w14:textId="77777777" w:rsidR="006E7796" w:rsidRPr="001F0989" w:rsidRDefault="006E7796" w:rsidP="00C636B7">
            <w:pPr>
              <w:pStyle w:val="-4"/>
              <w:spacing w:line="200" w:lineRule="exact"/>
              <w:rPr>
                <w:sz w:val="18"/>
                <w:szCs w:val="18"/>
                <w:rtl/>
              </w:rPr>
            </w:pPr>
            <w:r w:rsidRPr="001F0989">
              <w:rPr>
                <w:sz w:val="18"/>
                <w:szCs w:val="18"/>
                <w:rtl/>
              </w:rPr>
              <w:t xml:space="preserve">(כולל </w:t>
            </w:r>
            <w:r w:rsidRPr="001F0989">
              <w:rPr>
                <w:rFonts w:hint="eastAsia"/>
                <w:sz w:val="18"/>
                <w:szCs w:val="18"/>
                <w:rtl/>
              </w:rPr>
              <w:t>צמוד</w:t>
            </w:r>
            <w:r w:rsidRPr="001F0989">
              <w:rPr>
                <w:rFonts w:hint="cs"/>
                <w:sz w:val="18"/>
                <w:szCs w:val="18"/>
                <w:rtl/>
              </w:rPr>
              <w:t>י</w:t>
            </w:r>
            <w:r w:rsidRPr="001F0989">
              <w:rPr>
                <w:sz w:val="18"/>
                <w:szCs w:val="18"/>
                <w:rtl/>
              </w:rPr>
              <w:t xml:space="preserve"> </w:t>
            </w:r>
            <w:r w:rsidRPr="001F0989">
              <w:rPr>
                <w:rFonts w:hint="eastAsia"/>
                <w:sz w:val="18"/>
                <w:szCs w:val="18"/>
                <w:rtl/>
              </w:rPr>
              <w:t>מטבע</w:t>
            </w:r>
            <w:r w:rsidRPr="001F0989">
              <w:rPr>
                <w:sz w:val="18"/>
                <w:szCs w:val="18"/>
                <w:rtl/>
              </w:rPr>
              <w:t xml:space="preserve"> </w:t>
            </w:r>
            <w:r w:rsidRPr="001F0989">
              <w:rPr>
                <w:rFonts w:hint="eastAsia"/>
                <w:sz w:val="18"/>
                <w:szCs w:val="18"/>
                <w:rtl/>
              </w:rPr>
              <w:t>חוץ</w:t>
            </w:r>
            <w:r w:rsidRPr="001F0989">
              <w:rPr>
                <w:sz w:val="18"/>
                <w:szCs w:val="18"/>
                <w:rtl/>
              </w:rPr>
              <w:t>)</w:t>
            </w:r>
          </w:p>
        </w:tc>
        <w:tc>
          <w:tcPr>
            <w:tcW w:w="851" w:type="dxa"/>
            <w:vAlign w:val="bottom"/>
          </w:tcPr>
          <w:p w14:paraId="2AEA6192" w14:textId="77777777" w:rsidR="006E7796" w:rsidRPr="001F0989" w:rsidRDefault="006E7796" w:rsidP="00C636B7">
            <w:pPr>
              <w:spacing w:line="200" w:lineRule="exact"/>
              <w:ind w:left="-144" w:right="-144"/>
              <w:jc w:val="center"/>
              <w:rPr>
                <w:b/>
                <w:bCs/>
                <w:sz w:val="18"/>
                <w:szCs w:val="18"/>
                <w:rtl/>
              </w:rPr>
            </w:pPr>
          </w:p>
        </w:tc>
        <w:tc>
          <w:tcPr>
            <w:tcW w:w="713" w:type="dxa"/>
            <w:vAlign w:val="bottom"/>
          </w:tcPr>
          <w:p w14:paraId="7CADDA34" w14:textId="77777777" w:rsidR="006E7796" w:rsidRPr="001F0989" w:rsidRDefault="006E7796" w:rsidP="00C636B7">
            <w:pPr>
              <w:spacing w:line="200" w:lineRule="exact"/>
              <w:jc w:val="center"/>
              <w:rPr>
                <w:b/>
                <w:bCs/>
                <w:sz w:val="18"/>
                <w:szCs w:val="18"/>
                <w:rtl/>
              </w:rPr>
            </w:pPr>
          </w:p>
        </w:tc>
      </w:tr>
      <w:tr w:rsidR="006E7796" w:rsidRPr="00AD318D" w14:paraId="3E406A44" w14:textId="77777777" w:rsidTr="00912661">
        <w:trPr>
          <w:trHeight w:val="259"/>
        </w:trPr>
        <w:tc>
          <w:tcPr>
            <w:tcW w:w="1073" w:type="dxa"/>
          </w:tcPr>
          <w:p w14:paraId="6B607CFB" w14:textId="77777777" w:rsidR="006E7796" w:rsidRPr="00AD318D" w:rsidRDefault="006E7796" w:rsidP="00C636B7">
            <w:pPr>
              <w:pStyle w:val="-0"/>
              <w:spacing w:line="200" w:lineRule="exact"/>
              <w:rPr>
                <w:sz w:val="18"/>
                <w:szCs w:val="18"/>
                <w:rtl/>
              </w:rPr>
            </w:pPr>
          </w:p>
        </w:tc>
        <w:tc>
          <w:tcPr>
            <w:tcW w:w="4042" w:type="dxa"/>
            <w:gridSpan w:val="2"/>
            <w:vAlign w:val="bottom"/>
          </w:tcPr>
          <w:p w14:paraId="6FA78A70" w14:textId="77777777" w:rsidR="006E7796" w:rsidRPr="00AD318D" w:rsidRDefault="006E7796" w:rsidP="00C636B7">
            <w:pPr>
              <w:pStyle w:val="-0"/>
              <w:spacing w:line="200" w:lineRule="exact"/>
              <w:rPr>
                <w:sz w:val="18"/>
                <w:szCs w:val="18"/>
                <w:rtl/>
              </w:rPr>
            </w:pPr>
          </w:p>
        </w:tc>
        <w:tc>
          <w:tcPr>
            <w:tcW w:w="636" w:type="dxa"/>
            <w:vAlign w:val="bottom"/>
          </w:tcPr>
          <w:p w14:paraId="0976E234" w14:textId="77777777" w:rsidR="006E7796" w:rsidRPr="001F0989" w:rsidRDefault="006E7796" w:rsidP="00C636B7">
            <w:pPr>
              <w:pBdr>
                <w:bottom w:val="single" w:sz="4" w:space="1" w:color="auto"/>
              </w:pBdr>
              <w:spacing w:line="200" w:lineRule="exact"/>
              <w:jc w:val="center"/>
              <w:rPr>
                <w:b/>
                <w:bCs/>
                <w:sz w:val="18"/>
                <w:szCs w:val="18"/>
                <w:rtl/>
              </w:rPr>
            </w:pPr>
            <w:r w:rsidRPr="001F0989">
              <w:rPr>
                <w:rFonts w:hint="eastAsia"/>
                <w:b/>
                <w:bCs/>
                <w:sz w:val="18"/>
                <w:szCs w:val="18"/>
                <w:rtl/>
              </w:rPr>
              <w:t>לא</w:t>
            </w:r>
          </w:p>
          <w:p w14:paraId="30D08D94" w14:textId="77777777" w:rsidR="006E7796" w:rsidRPr="001F0989" w:rsidRDefault="006E7796" w:rsidP="00C636B7">
            <w:pPr>
              <w:pBdr>
                <w:bottom w:val="single" w:sz="4" w:space="1" w:color="auto"/>
              </w:pBdr>
              <w:spacing w:line="200" w:lineRule="exact"/>
              <w:jc w:val="center"/>
              <w:rPr>
                <w:b/>
                <w:bCs/>
                <w:sz w:val="18"/>
                <w:szCs w:val="18"/>
                <w:rtl/>
              </w:rPr>
            </w:pPr>
            <w:r w:rsidRPr="001F0989">
              <w:rPr>
                <w:rFonts w:hint="eastAsia"/>
                <w:b/>
                <w:bCs/>
                <w:sz w:val="18"/>
                <w:szCs w:val="18"/>
                <w:rtl/>
              </w:rPr>
              <w:t>צמוד</w:t>
            </w:r>
          </w:p>
        </w:tc>
        <w:tc>
          <w:tcPr>
            <w:tcW w:w="992" w:type="dxa"/>
            <w:vAlign w:val="bottom"/>
          </w:tcPr>
          <w:p w14:paraId="4BD43271" w14:textId="77777777" w:rsidR="006E7796" w:rsidRPr="001F0989" w:rsidRDefault="006E7796" w:rsidP="00C636B7">
            <w:pPr>
              <w:pBdr>
                <w:bottom w:val="single" w:sz="4" w:space="1" w:color="auto"/>
              </w:pBdr>
              <w:spacing w:line="200" w:lineRule="exact"/>
              <w:jc w:val="center"/>
              <w:rPr>
                <w:b/>
                <w:bCs/>
                <w:sz w:val="18"/>
                <w:szCs w:val="18"/>
                <w:rtl/>
              </w:rPr>
            </w:pPr>
            <w:r w:rsidRPr="001F0989">
              <w:rPr>
                <w:rFonts w:hint="eastAsia"/>
                <w:b/>
                <w:bCs/>
                <w:sz w:val="18"/>
                <w:szCs w:val="18"/>
                <w:rtl/>
              </w:rPr>
              <w:t>צמוד</w:t>
            </w:r>
            <w:r w:rsidRPr="001F0989">
              <w:rPr>
                <w:b/>
                <w:bCs/>
                <w:sz w:val="18"/>
                <w:szCs w:val="18"/>
                <w:rtl/>
              </w:rPr>
              <w:t xml:space="preserve"> </w:t>
            </w:r>
            <w:r w:rsidRPr="001F0989">
              <w:rPr>
                <w:rFonts w:hint="eastAsia"/>
                <w:b/>
                <w:bCs/>
                <w:sz w:val="18"/>
                <w:szCs w:val="18"/>
                <w:rtl/>
              </w:rPr>
              <w:t>למדד</w:t>
            </w:r>
            <w:r w:rsidRPr="001F0989">
              <w:rPr>
                <w:rFonts w:hint="cs"/>
                <w:b/>
                <w:bCs/>
                <w:sz w:val="18"/>
                <w:szCs w:val="18"/>
                <w:rtl/>
              </w:rPr>
              <w:t xml:space="preserve"> המחירים</w:t>
            </w:r>
          </w:p>
        </w:tc>
        <w:tc>
          <w:tcPr>
            <w:tcW w:w="818" w:type="dxa"/>
            <w:vAlign w:val="bottom"/>
          </w:tcPr>
          <w:p w14:paraId="26A0046D" w14:textId="77777777" w:rsidR="006E7796" w:rsidRPr="001F0989" w:rsidRDefault="006E7796" w:rsidP="00C636B7">
            <w:pPr>
              <w:pBdr>
                <w:bottom w:val="single" w:sz="4" w:space="1" w:color="auto"/>
              </w:pBdr>
              <w:spacing w:line="200" w:lineRule="exact"/>
              <w:jc w:val="center"/>
              <w:rPr>
                <w:b/>
                <w:bCs/>
                <w:sz w:val="18"/>
                <w:szCs w:val="18"/>
                <w:rtl/>
              </w:rPr>
            </w:pPr>
            <w:r w:rsidRPr="001F0989">
              <w:rPr>
                <w:rFonts w:hint="eastAsia"/>
                <w:b/>
                <w:bCs/>
                <w:sz w:val="18"/>
                <w:szCs w:val="18"/>
                <w:rtl/>
              </w:rPr>
              <w:t>דולר</w:t>
            </w:r>
          </w:p>
        </w:tc>
        <w:tc>
          <w:tcPr>
            <w:tcW w:w="1166" w:type="dxa"/>
            <w:vAlign w:val="bottom"/>
          </w:tcPr>
          <w:p w14:paraId="63D6883C" w14:textId="77777777" w:rsidR="006E7796" w:rsidRPr="001F0989" w:rsidRDefault="006E7796">
            <w:pPr>
              <w:pBdr>
                <w:bottom w:val="single" w:sz="4" w:space="1" w:color="auto"/>
              </w:pBdr>
              <w:spacing w:line="200" w:lineRule="exact"/>
              <w:jc w:val="center"/>
              <w:rPr>
                <w:b/>
                <w:bCs/>
                <w:sz w:val="18"/>
                <w:szCs w:val="18"/>
                <w:rtl/>
              </w:rPr>
            </w:pPr>
            <w:r w:rsidRPr="001F0989">
              <w:rPr>
                <w:rFonts w:hint="eastAsia"/>
                <w:b/>
                <w:bCs/>
                <w:sz w:val="18"/>
                <w:szCs w:val="18"/>
                <w:rtl/>
              </w:rPr>
              <w:t>אחר</w:t>
            </w:r>
          </w:p>
        </w:tc>
        <w:tc>
          <w:tcPr>
            <w:tcW w:w="851" w:type="dxa"/>
            <w:vAlign w:val="bottom"/>
          </w:tcPr>
          <w:p w14:paraId="3835604E" w14:textId="77777777" w:rsidR="006E7796" w:rsidRPr="001F0989" w:rsidRDefault="006E7796" w:rsidP="00C636B7">
            <w:pPr>
              <w:pBdr>
                <w:bottom w:val="single" w:sz="4" w:space="1" w:color="auto"/>
              </w:pBdr>
              <w:spacing w:line="200" w:lineRule="exact"/>
              <w:ind w:left="-144" w:right="-144"/>
              <w:jc w:val="center"/>
              <w:rPr>
                <w:b/>
                <w:bCs/>
                <w:sz w:val="18"/>
                <w:szCs w:val="18"/>
                <w:rtl/>
              </w:rPr>
            </w:pPr>
            <w:r w:rsidRPr="001F0989">
              <w:rPr>
                <w:rFonts w:hint="eastAsia"/>
                <w:b/>
                <w:bCs/>
                <w:sz w:val="18"/>
                <w:szCs w:val="18"/>
                <w:rtl/>
              </w:rPr>
              <w:t>פריטים שאינם</w:t>
            </w:r>
            <w:r w:rsidRPr="001F0989">
              <w:rPr>
                <w:b/>
                <w:bCs/>
                <w:sz w:val="18"/>
                <w:szCs w:val="18"/>
                <w:rtl/>
              </w:rPr>
              <w:t xml:space="preserve"> </w:t>
            </w:r>
            <w:r w:rsidRPr="001F0989">
              <w:rPr>
                <w:rFonts w:hint="eastAsia"/>
                <w:b/>
                <w:bCs/>
                <w:sz w:val="18"/>
                <w:szCs w:val="18"/>
                <w:rtl/>
              </w:rPr>
              <w:t>כספיים</w:t>
            </w:r>
            <w:r w:rsidRPr="001F0989">
              <w:rPr>
                <w:b/>
                <w:bCs/>
                <w:sz w:val="18"/>
                <w:szCs w:val="18"/>
                <w:vertAlign w:val="superscript"/>
                <w:rtl/>
              </w:rPr>
              <w:t>(א)</w:t>
            </w:r>
          </w:p>
        </w:tc>
        <w:tc>
          <w:tcPr>
            <w:tcW w:w="713" w:type="dxa"/>
            <w:vAlign w:val="bottom"/>
          </w:tcPr>
          <w:p w14:paraId="72BC697F" w14:textId="77777777" w:rsidR="006E7796" w:rsidRPr="001F0989" w:rsidRDefault="006E7796" w:rsidP="00C636B7">
            <w:pPr>
              <w:pBdr>
                <w:bottom w:val="single" w:sz="4" w:space="1" w:color="auto"/>
              </w:pBdr>
              <w:spacing w:line="200" w:lineRule="exact"/>
              <w:jc w:val="center"/>
              <w:rPr>
                <w:b/>
                <w:bCs/>
                <w:sz w:val="18"/>
                <w:szCs w:val="18"/>
                <w:rtl/>
              </w:rPr>
            </w:pPr>
            <w:r w:rsidRPr="001F0989">
              <w:rPr>
                <w:rFonts w:hint="eastAsia"/>
                <w:b/>
                <w:bCs/>
                <w:sz w:val="18"/>
                <w:szCs w:val="18"/>
                <w:rtl/>
              </w:rPr>
              <w:t>סך</w:t>
            </w:r>
          </w:p>
          <w:p w14:paraId="4128332F" w14:textId="77777777" w:rsidR="006E7796" w:rsidRPr="001F0989" w:rsidRDefault="006E7796" w:rsidP="00C636B7">
            <w:pPr>
              <w:pBdr>
                <w:bottom w:val="single" w:sz="4" w:space="1" w:color="auto"/>
              </w:pBdr>
              <w:spacing w:line="200" w:lineRule="exact"/>
              <w:jc w:val="center"/>
              <w:rPr>
                <w:b/>
                <w:bCs/>
                <w:sz w:val="18"/>
                <w:szCs w:val="18"/>
                <w:rtl/>
              </w:rPr>
            </w:pPr>
            <w:r w:rsidRPr="001F0989">
              <w:rPr>
                <w:rFonts w:hint="eastAsia"/>
                <w:b/>
                <w:bCs/>
                <w:sz w:val="18"/>
                <w:szCs w:val="18"/>
                <w:rtl/>
              </w:rPr>
              <w:t>הכל</w:t>
            </w:r>
          </w:p>
        </w:tc>
      </w:tr>
      <w:tr w:rsidR="006E7796" w:rsidRPr="00AD318D" w14:paraId="5FD491B9" w14:textId="77777777" w:rsidTr="00912661">
        <w:tc>
          <w:tcPr>
            <w:tcW w:w="1073" w:type="dxa"/>
          </w:tcPr>
          <w:p w14:paraId="48398486" w14:textId="77777777" w:rsidR="006E7796" w:rsidRPr="00AD318D" w:rsidRDefault="006E7796" w:rsidP="008A0C00">
            <w:pPr>
              <w:pStyle w:val="-0"/>
              <w:rPr>
                <w:b/>
                <w:bCs/>
                <w:sz w:val="18"/>
                <w:szCs w:val="18"/>
                <w:u w:val="single"/>
                <w:rtl/>
              </w:rPr>
            </w:pPr>
          </w:p>
        </w:tc>
        <w:tc>
          <w:tcPr>
            <w:tcW w:w="4042" w:type="dxa"/>
            <w:gridSpan w:val="2"/>
            <w:vAlign w:val="bottom"/>
          </w:tcPr>
          <w:p w14:paraId="619DF001" w14:textId="77777777" w:rsidR="006E7796" w:rsidRPr="005F47BE" w:rsidRDefault="006E7796" w:rsidP="008A0C00">
            <w:pPr>
              <w:pStyle w:val="-0"/>
              <w:rPr>
                <w:b/>
                <w:bCs/>
                <w:sz w:val="18"/>
                <w:szCs w:val="18"/>
                <w:u w:val="single"/>
                <w:rtl/>
              </w:rPr>
            </w:pPr>
            <w:r w:rsidRPr="005F47BE">
              <w:rPr>
                <w:b/>
                <w:bCs/>
                <w:sz w:val="18"/>
                <w:szCs w:val="18"/>
                <w:u w:val="single"/>
                <w:rtl/>
              </w:rPr>
              <w:t>נכסים</w:t>
            </w:r>
          </w:p>
        </w:tc>
        <w:tc>
          <w:tcPr>
            <w:tcW w:w="636" w:type="dxa"/>
            <w:vAlign w:val="bottom"/>
          </w:tcPr>
          <w:p w14:paraId="030D42B7" w14:textId="77777777" w:rsidR="006E7796" w:rsidRPr="00AD318D" w:rsidRDefault="006E7796" w:rsidP="008A0C00">
            <w:pPr>
              <w:pStyle w:val="-0"/>
              <w:rPr>
                <w:sz w:val="18"/>
                <w:szCs w:val="18"/>
                <w:rtl/>
              </w:rPr>
            </w:pPr>
          </w:p>
        </w:tc>
        <w:tc>
          <w:tcPr>
            <w:tcW w:w="992" w:type="dxa"/>
            <w:vAlign w:val="bottom"/>
          </w:tcPr>
          <w:p w14:paraId="2EC50C9F" w14:textId="77777777" w:rsidR="006E7796" w:rsidRPr="00AD318D" w:rsidRDefault="006E7796" w:rsidP="008A0C00">
            <w:pPr>
              <w:pStyle w:val="-0"/>
              <w:rPr>
                <w:sz w:val="18"/>
                <w:szCs w:val="18"/>
                <w:rtl/>
              </w:rPr>
            </w:pPr>
          </w:p>
        </w:tc>
        <w:tc>
          <w:tcPr>
            <w:tcW w:w="818" w:type="dxa"/>
            <w:vAlign w:val="bottom"/>
          </w:tcPr>
          <w:p w14:paraId="5881F4B2" w14:textId="77777777" w:rsidR="006E7796" w:rsidRPr="00AD318D" w:rsidRDefault="006E7796" w:rsidP="008A0C00">
            <w:pPr>
              <w:pStyle w:val="-0"/>
              <w:rPr>
                <w:sz w:val="18"/>
                <w:szCs w:val="18"/>
                <w:rtl/>
              </w:rPr>
            </w:pPr>
          </w:p>
        </w:tc>
        <w:tc>
          <w:tcPr>
            <w:tcW w:w="1166" w:type="dxa"/>
            <w:vAlign w:val="bottom"/>
          </w:tcPr>
          <w:p w14:paraId="0C9545B5" w14:textId="77777777" w:rsidR="006E7796" w:rsidRPr="00AD318D" w:rsidRDefault="006E7796" w:rsidP="008A0C00">
            <w:pPr>
              <w:pStyle w:val="-0"/>
              <w:rPr>
                <w:sz w:val="18"/>
                <w:szCs w:val="18"/>
                <w:rtl/>
              </w:rPr>
            </w:pPr>
          </w:p>
        </w:tc>
        <w:tc>
          <w:tcPr>
            <w:tcW w:w="851" w:type="dxa"/>
            <w:vAlign w:val="bottom"/>
          </w:tcPr>
          <w:p w14:paraId="559FD997" w14:textId="77777777" w:rsidR="006E7796" w:rsidRPr="00AD318D" w:rsidRDefault="006E7796" w:rsidP="008A0C00">
            <w:pPr>
              <w:pStyle w:val="-0"/>
              <w:rPr>
                <w:sz w:val="18"/>
                <w:szCs w:val="18"/>
                <w:rtl/>
              </w:rPr>
            </w:pPr>
          </w:p>
        </w:tc>
        <w:tc>
          <w:tcPr>
            <w:tcW w:w="713" w:type="dxa"/>
            <w:vAlign w:val="bottom"/>
          </w:tcPr>
          <w:p w14:paraId="706B4F78" w14:textId="77777777" w:rsidR="006E7796" w:rsidRPr="00AD318D" w:rsidRDefault="006E7796" w:rsidP="008A0C00">
            <w:pPr>
              <w:pStyle w:val="-0"/>
              <w:rPr>
                <w:sz w:val="18"/>
                <w:szCs w:val="18"/>
                <w:rtl/>
              </w:rPr>
            </w:pPr>
          </w:p>
        </w:tc>
      </w:tr>
      <w:tr w:rsidR="006E7796" w:rsidRPr="00AD318D" w14:paraId="0B2DDA8B" w14:textId="77777777" w:rsidTr="00912661">
        <w:tc>
          <w:tcPr>
            <w:tcW w:w="1073" w:type="dxa"/>
          </w:tcPr>
          <w:p w14:paraId="78E74C08" w14:textId="77777777" w:rsidR="006E7796" w:rsidRPr="00AD318D" w:rsidRDefault="006E7796" w:rsidP="008A0C00">
            <w:pPr>
              <w:pStyle w:val="-0"/>
              <w:rPr>
                <w:sz w:val="18"/>
                <w:szCs w:val="18"/>
                <w:rtl/>
              </w:rPr>
            </w:pPr>
          </w:p>
        </w:tc>
        <w:tc>
          <w:tcPr>
            <w:tcW w:w="4042" w:type="dxa"/>
            <w:gridSpan w:val="2"/>
            <w:vAlign w:val="bottom"/>
          </w:tcPr>
          <w:p w14:paraId="5C5CC956" w14:textId="77777777" w:rsidR="006E7796" w:rsidRPr="005F47BE" w:rsidRDefault="006E7796" w:rsidP="008A0C00">
            <w:pPr>
              <w:pStyle w:val="-0"/>
              <w:rPr>
                <w:sz w:val="18"/>
                <w:szCs w:val="18"/>
                <w:rtl/>
              </w:rPr>
            </w:pPr>
            <w:r w:rsidRPr="005F47BE">
              <w:rPr>
                <w:sz w:val="18"/>
                <w:szCs w:val="18"/>
                <w:rtl/>
              </w:rPr>
              <w:t>מזומנים ופ</w:t>
            </w:r>
            <w:r w:rsidRPr="005F47BE">
              <w:rPr>
                <w:rFonts w:hint="eastAsia"/>
                <w:sz w:val="18"/>
                <w:szCs w:val="18"/>
                <w:rtl/>
              </w:rPr>
              <w:t>י</w:t>
            </w:r>
            <w:r w:rsidRPr="005F47BE">
              <w:rPr>
                <w:sz w:val="18"/>
                <w:szCs w:val="18"/>
                <w:rtl/>
              </w:rPr>
              <w:t>קדונות בבנקים</w:t>
            </w:r>
          </w:p>
        </w:tc>
        <w:tc>
          <w:tcPr>
            <w:tcW w:w="636" w:type="dxa"/>
            <w:vAlign w:val="bottom"/>
          </w:tcPr>
          <w:p w14:paraId="6EA4E0F3" w14:textId="77777777" w:rsidR="006E7796" w:rsidRPr="00AD318D" w:rsidRDefault="006E7796" w:rsidP="008A0C00">
            <w:pPr>
              <w:pStyle w:val="-3"/>
              <w:rPr>
                <w:sz w:val="18"/>
                <w:szCs w:val="18"/>
                <w:rtl/>
              </w:rPr>
            </w:pPr>
            <w:r w:rsidRPr="00CF2A74">
              <w:rPr>
                <w:sz w:val="18"/>
                <w:szCs w:val="18"/>
                <w:rtl/>
              </w:rPr>
              <w:t xml:space="preserve"> 0</w:t>
            </w:r>
          </w:p>
        </w:tc>
        <w:tc>
          <w:tcPr>
            <w:tcW w:w="992" w:type="dxa"/>
            <w:vAlign w:val="bottom"/>
          </w:tcPr>
          <w:p w14:paraId="4656BC05" w14:textId="77777777" w:rsidR="006E7796" w:rsidRPr="00AD318D" w:rsidRDefault="006E7796" w:rsidP="008A0C00">
            <w:pPr>
              <w:pStyle w:val="-3"/>
              <w:rPr>
                <w:sz w:val="18"/>
                <w:szCs w:val="18"/>
                <w:rtl/>
              </w:rPr>
            </w:pPr>
            <w:r w:rsidRPr="00CF2A74">
              <w:rPr>
                <w:sz w:val="18"/>
                <w:szCs w:val="18"/>
                <w:rtl/>
              </w:rPr>
              <w:t xml:space="preserve"> 0</w:t>
            </w:r>
          </w:p>
        </w:tc>
        <w:tc>
          <w:tcPr>
            <w:tcW w:w="818" w:type="dxa"/>
            <w:vAlign w:val="bottom"/>
          </w:tcPr>
          <w:p w14:paraId="0877DB78" w14:textId="77777777" w:rsidR="006E7796" w:rsidRPr="00AD318D" w:rsidRDefault="006E7796" w:rsidP="008A0C00">
            <w:pPr>
              <w:pStyle w:val="-3"/>
              <w:rPr>
                <w:sz w:val="18"/>
                <w:szCs w:val="18"/>
                <w:rtl/>
              </w:rPr>
            </w:pPr>
            <w:r w:rsidRPr="00CF2A74">
              <w:rPr>
                <w:sz w:val="18"/>
                <w:szCs w:val="18"/>
                <w:rtl/>
              </w:rPr>
              <w:t xml:space="preserve"> 0</w:t>
            </w:r>
          </w:p>
        </w:tc>
        <w:tc>
          <w:tcPr>
            <w:tcW w:w="1166" w:type="dxa"/>
            <w:vAlign w:val="bottom"/>
          </w:tcPr>
          <w:p w14:paraId="792B414A" w14:textId="77777777" w:rsidR="006E7796" w:rsidRPr="00AD318D" w:rsidRDefault="006E7796" w:rsidP="008A0C00">
            <w:pPr>
              <w:pStyle w:val="-3"/>
              <w:rPr>
                <w:sz w:val="18"/>
                <w:szCs w:val="18"/>
                <w:rtl/>
              </w:rPr>
            </w:pPr>
            <w:r w:rsidRPr="00CF2A74">
              <w:rPr>
                <w:sz w:val="18"/>
                <w:szCs w:val="18"/>
                <w:rtl/>
              </w:rPr>
              <w:t xml:space="preserve"> 0</w:t>
            </w:r>
          </w:p>
        </w:tc>
        <w:tc>
          <w:tcPr>
            <w:tcW w:w="851" w:type="dxa"/>
            <w:vAlign w:val="bottom"/>
          </w:tcPr>
          <w:p w14:paraId="0B74A4A7" w14:textId="77777777" w:rsidR="006E7796" w:rsidRPr="00AD318D" w:rsidRDefault="006E7796" w:rsidP="008A0C00">
            <w:pPr>
              <w:pStyle w:val="-3"/>
              <w:rPr>
                <w:sz w:val="18"/>
                <w:szCs w:val="18"/>
                <w:rtl/>
              </w:rPr>
            </w:pPr>
            <w:r w:rsidRPr="00CF2A74">
              <w:rPr>
                <w:sz w:val="18"/>
                <w:szCs w:val="18"/>
                <w:rtl/>
              </w:rPr>
              <w:t xml:space="preserve"> 0</w:t>
            </w:r>
          </w:p>
        </w:tc>
        <w:tc>
          <w:tcPr>
            <w:tcW w:w="713" w:type="dxa"/>
            <w:vAlign w:val="bottom"/>
          </w:tcPr>
          <w:p w14:paraId="14DD5C62" w14:textId="77777777" w:rsidR="006E7796" w:rsidRPr="00AD318D" w:rsidRDefault="006E7796" w:rsidP="008A0C00">
            <w:pPr>
              <w:pStyle w:val="-3"/>
              <w:rPr>
                <w:sz w:val="18"/>
                <w:szCs w:val="18"/>
                <w:rtl/>
              </w:rPr>
            </w:pPr>
            <w:r w:rsidRPr="00CF2A74">
              <w:rPr>
                <w:sz w:val="18"/>
                <w:szCs w:val="18"/>
                <w:rtl/>
              </w:rPr>
              <w:t xml:space="preserve"> 0</w:t>
            </w:r>
          </w:p>
        </w:tc>
      </w:tr>
      <w:tr w:rsidR="006E7796" w:rsidRPr="00AD318D" w14:paraId="74610580" w14:textId="77777777" w:rsidTr="00912661">
        <w:tc>
          <w:tcPr>
            <w:tcW w:w="1073" w:type="dxa"/>
          </w:tcPr>
          <w:p w14:paraId="7925D026" w14:textId="77777777" w:rsidR="006E7796" w:rsidRPr="00AD318D" w:rsidRDefault="006E7796" w:rsidP="008A0C00">
            <w:pPr>
              <w:pStyle w:val="-0"/>
              <w:rPr>
                <w:sz w:val="18"/>
                <w:szCs w:val="18"/>
                <w:rtl/>
              </w:rPr>
            </w:pPr>
          </w:p>
        </w:tc>
        <w:tc>
          <w:tcPr>
            <w:tcW w:w="4042" w:type="dxa"/>
            <w:gridSpan w:val="2"/>
            <w:vAlign w:val="bottom"/>
          </w:tcPr>
          <w:p w14:paraId="3AAF30D9" w14:textId="77777777" w:rsidR="006E7796" w:rsidRDefault="006E7796">
            <w:pPr>
              <w:pStyle w:val="-0"/>
              <w:rPr>
                <w:sz w:val="18"/>
                <w:szCs w:val="18"/>
                <w:rtl/>
              </w:rPr>
            </w:pPr>
            <w:r w:rsidRPr="005F47BE">
              <w:rPr>
                <w:sz w:val="18"/>
                <w:szCs w:val="18"/>
                <w:rtl/>
              </w:rPr>
              <w:t>ניירות ערך</w:t>
            </w:r>
          </w:p>
        </w:tc>
        <w:tc>
          <w:tcPr>
            <w:tcW w:w="636" w:type="dxa"/>
            <w:vAlign w:val="bottom"/>
          </w:tcPr>
          <w:p w14:paraId="6DF1D629" w14:textId="77777777" w:rsidR="006E7796" w:rsidRPr="00AD318D" w:rsidRDefault="006E7796" w:rsidP="008A0C00">
            <w:pPr>
              <w:pStyle w:val="-3"/>
              <w:rPr>
                <w:sz w:val="18"/>
                <w:szCs w:val="18"/>
                <w:rtl/>
              </w:rPr>
            </w:pPr>
            <w:r w:rsidRPr="00CF2A74">
              <w:rPr>
                <w:sz w:val="18"/>
                <w:szCs w:val="18"/>
                <w:rtl/>
              </w:rPr>
              <w:t xml:space="preserve"> 0</w:t>
            </w:r>
          </w:p>
        </w:tc>
        <w:tc>
          <w:tcPr>
            <w:tcW w:w="992" w:type="dxa"/>
            <w:vAlign w:val="bottom"/>
          </w:tcPr>
          <w:p w14:paraId="71B1E139" w14:textId="77777777" w:rsidR="006E7796" w:rsidRPr="00AD318D" w:rsidRDefault="006E7796" w:rsidP="008A0C00">
            <w:pPr>
              <w:pStyle w:val="-3"/>
              <w:rPr>
                <w:sz w:val="18"/>
                <w:szCs w:val="18"/>
                <w:rtl/>
              </w:rPr>
            </w:pPr>
            <w:r w:rsidRPr="00CF2A74">
              <w:rPr>
                <w:sz w:val="18"/>
                <w:szCs w:val="18"/>
                <w:rtl/>
              </w:rPr>
              <w:t xml:space="preserve"> 0</w:t>
            </w:r>
          </w:p>
        </w:tc>
        <w:tc>
          <w:tcPr>
            <w:tcW w:w="818" w:type="dxa"/>
            <w:vAlign w:val="bottom"/>
          </w:tcPr>
          <w:p w14:paraId="501A2B23" w14:textId="77777777" w:rsidR="006E7796" w:rsidRPr="00AD318D" w:rsidRDefault="006E7796" w:rsidP="008A0C00">
            <w:pPr>
              <w:pStyle w:val="-3"/>
              <w:rPr>
                <w:sz w:val="18"/>
                <w:szCs w:val="18"/>
                <w:rtl/>
              </w:rPr>
            </w:pPr>
            <w:r w:rsidRPr="00CF2A74">
              <w:rPr>
                <w:sz w:val="18"/>
                <w:szCs w:val="18"/>
                <w:rtl/>
              </w:rPr>
              <w:t xml:space="preserve"> 0</w:t>
            </w:r>
          </w:p>
        </w:tc>
        <w:tc>
          <w:tcPr>
            <w:tcW w:w="1166" w:type="dxa"/>
            <w:vAlign w:val="bottom"/>
          </w:tcPr>
          <w:p w14:paraId="16F5B90E" w14:textId="77777777" w:rsidR="006E7796" w:rsidRPr="00AD318D" w:rsidRDefault="006E7796" w:rsidP="008A0C00">
            <w:pPr>
              <w:pStyle w:val="-3"/>
              <w:rPr>
                <w:sz w:val="18"/>
                <w:szCs w:val="18"/>
                <w:rtl/>
              </w:rPr>
            </w:pPr>
            <w:r w:rsidRPr="00CF2A74">
              <w:rPr>
                <w:sz w:val="18"/>
                <w:szCs w:val="18"/>
                <w:rtl/>
              </w:rPr>
              <w:t xml:space="preserve"> 0</w:t>
            </w:r>
          </w:p>
        </w:tc>
        <w:tc>
          <w:tcPr>
            <w:tcW w:w="851" w:type="dxa"/>
            <w:vAlign w:val="bottom"/>
          </w:tcPr>
          <w:p w14:paraId="6BC911AB" w14:textId="77777777" w:rsidR="006E7796" w:rsidRPr="00AD318D" w:rsidRDefault="006E7796" w:rsidP="008A0C00">
            <w:pPr>
              <w:pStyle w:val="-3"/>
              <w:rPr>
                <w:sz w:val="18"/>
                <w:szCs w:val="18"/>
                <w:rtl/>
              </w:rPr>
            </w:pPr>
            <w:r w:rsidRPr="00CF2A74">
              <w:rPr>
                <w:sz w:val="18"/>
                <w:szCs w:val="18"/>
                <w:rtl/>
              </w:rPr>
              <w:t xml:space="preserve"> 0</w:t>
            </w:r>
          </w:p>
        </w:tc>
        <w:tc>
          <w:tcPr>
            <w:tcW w:w="713" w:type="dxa"/>
            <w:vAlign w:val="bottom"/>
          </w:tcPr>
          <w:p w14:paraId="1BB7C72F" w14:textId="77777777" w:rsidR="006E7796" w:rsidRPr="00AD318D" w:rsidRDefault="006E7796" w:rsidP="008A0C00">
            <w:pPr>
              <w:pStyle w:val="-3"/>
              <w:rPr>
                <w:sz w:val="18"/>
                <w:szCs w:val="18"/>
                <w:rtl/>
              </w:rPr>
            </w:pPr>
            <w:r w:rsidRPr="00CF2A74">
              <w:rPr>
                <w:sz w:val="18"/>
                <w:szCs w:val="18"/>
                <w:rtl/>
              </w:rPr>
              <w:t xml:space="preserve"> 0</w:t>
            </w:r>
          </w:p>
        </w:tc>
      </w:tr>
      <w:tr w:rsidR="006E7796" w:rsidRPr="00AD318D" w14:paraId="1E02BB12" w14:textId="77777777" w:rsidTr="00912661">
        <w:tc>
          <w:tcPr>
            <w:tcW w:w="1073" w:type="dxa"/>
          </w:tcPr>
          <w:p w14:paraId="491CFEE1" w14:textId="77777777" w:rsidR="006E7796" w:rsidRPr="00AD318D" w:rsidRDefault="006E7796" w:rsidP="008A0C00">
            <w:pPr>
              <w:pStyle w:val="-0"/>
              <w:rPr>
                <w:sz w:val="18"/>
                <w:szCs w:val="18"/>
                <w:rtl/>
              </w:rPr>
            </w:pPr>
          </w:p>
        </w:tc>
        <w:tc>
          <w:tcPr>
            <w:tcW w:w="4042" w:type="dxa"/>
            <w:gridSpan w:val="2"/>
            <w:vAlign w:val="bottom"/>
          </w:tcPr>
          <w:p w14:paraId="786ACF7B" w14:textId="77777777" w:rsidR="006E7796" w:rsidRPr="005F47BE" w:rsidRDefault="006E7796" w:rsidP="00040289">
            <w:pPr>
              <w:pStyle w:val="-21"/>
              <w:spacing w:before="0"/>
              <w:rPr>
                <w:sz w:val="18"/>
                <w:szCs w:val="18"/>
                <w:rtl/>
              </w:rPr>
            </w:pPr>
            <w:r w:rsidRPr="005F47BE">
              <w:rPr>
                <w:rFonts w:hint="eastAsia"/>
                <w:sz w:val="18"/>
                <w:szCs w:val="18"/>
                <w:rtl/>
              </w:rPr>
              <w:t>ניירות</w:t>
            </w:r>
            <w:r w:rsidRPr="005F47BE">
              <w:rPr>
                <w:sz w:val="18"/>
                <w:szCs w:val="18"/>
                <w:rtl/>
              </w:rPr>
              <w:t xml:space="preserve"> </w:t>
            </w:r>
            <w:r w:rsidRPr="005F47BE">
              <w:rPr>
                <w:rFonts w:hint="eastAsia"/>
                <w:sz w:val="18"/>
                <w:szCs w:val="18"/>
                <w:rtl/>
              </w:rPr>
              <w:t>ערך</w:t>
            </w:r>
            <w:r w:rsidRPr="005F47BE">
              <w:rPr>
                <w:sz w:val="18"/>
                <w:szCs w:val="18"/>
                <w:rtl/>
              </w:rPr>
              <w:t xml:space="preserve"> </w:t>
            </w:r>
            <w:r w:rsidRPr="005F47BE">
              <w:rPr>
                <w:rFonts w:hint="eastAsia"/>
                <w:sz w:val="18"/>
                <w:szCs w:val="18"/>
                <w:rtl/>
              </w:rPr>
              <w:t>שנשאלו</w:t>
            </w:r>
            <w:r w:rsidRPr="005F47BE">
              <w:rPr>
                <w:sz w:val="18"/>
                <w:szCs w:val="18"/>
                <w:rtl/>
              </w:rPr>
              <w:t xml:space="preserve"> </w:t>
            </w:r>
            <w:r w:rsidRPr="005F47BE">
              <w:rPr>
                <w:rFonts w:hint="eastAsia"/>
                <w:sz w:val="18"/>
                <w:szCs w:val="18"/>
                <w:rtl/>
              </w:rPr>
              <w:t>או</w:t>
            </w:r>
            <w:r w:rsidRPr="005F47BE">
              <w:rPr>
                <w:sz w:val="18"/>
                <w:szCs w:val="18"/>
                <w:rtl/>
              </w:rPr>
              <w:t xml:space="preserve"> </w:t>
            </w:r>
            <w:r w:rsidRPr="005F47BE">
              <w:rPr>
                <w:rFonts w:hint="eastAsia"/>
                <w:sz w:val="18"/>
                <w:szCs w:val="18"/>
                <w:rtl/>
              </w:rPr>
              <w:t>נרכשו</w:t>
            </w:r>
            <w:r w:rsidRPr="005F47BE">
              <w:rPr>
                <w:sz w:val="18"/>
                <w:szCs w:val="18"/>
                <w:rtl/>
              </w:rPr>
              <w:t xml:space="preserve"> </w:t>
            </w:r>
            <w:r w:rsidRPr="005F47BE">
              <w:rPr>
                <w:rFonts w:hint="eastAsia"/>
                <w:sz w:val="18"/>
                <w:szCs w:val="18"/>
                <w:rtl/>
              </w:rPr>
              <w:t>במסגרת</w:t>
            </w:r>
            <w:r w:rsidRPr="005F47BE">
              <w:rPr>
                <w:sz w:val="18"/>
                <w:szCs w:val="18"/>
                <w:rtl/>
              </w:rPr>
              <w:t xml:space="preserve"> </w:t>
            </w:r>
            <w:r w:rsidRPr="005F47BE">
              <w:rPr>
                <w:rFonts w:hint="eastAsia"/>
                <w:sz w:val="18"/>
                <w:szCs w:val="18"/>
                <w:rtl/>
              </w:rPr>
              <w:t>הסכמי</w:t>
            </w:r>
            <w:r w:rsidRPr="005F47BE">
              <w:rPr>
                <w:sz w:val="18"/>
                <w:szCs w:val="18"/>
                <w:rtl/>
              </w:rPr>
              <w:t xml:space="preserve"> </w:t>
            </w:r>
            <w:r w:rsidRPr="005F47BE">
              <w:rPr>
                <w:rFonts w:hint="eastAsia"/>
                <w:sz w:val="18"/>
                <w:szCs w:val="18"/>
                <w:rtl/>
              </w:rPr>
              <w:t>מכר</w:t>
            </w:r>
            <w:r w:rsidRPr="005F47BE">
              <w:rPr>
                <w:sz w:val="18"/>
                <w:szCs w:val="18"/>
                <w:rtl/>
              </w:rPr>
              <w:t xml:space="preserve"> </w:t>
            </w:r>
            <w:r w:rsidRPr="005F47BE">
              <w:rPr>
                <w:rFonts w:hint="eastAsia"/>
                <w:sz w:val="18"/>
                <w:szCs w:val="18"/>
                <w:rtl/>
              </w:rPr>
              <w:t>חוזר</w:t>
            </w:r>
          </w:p>
        </w:tc>
        <w:tc>
          <w:tcPr>
            <w:tcW w:w="636" w:type="dxa"/>
            <w:vAlign w:val="bottom"/>
          </w:tcPr>
          <w:p w14:paraId="34A6A868" w14:textId="77777777" w:rsidR="006E7796" w:rsidRPr="00AD318D" w:rsidRDefault="006E7796" w:rsidP="008A0C00">
            <w:pPr>
              <w:pStyle w:val="-3"/>
              <w:rPr>
                <w:sz w:val="18"/>
                <w:szCs w:val="18"/>
                <w:rtl/>
              </w:rPr>
            </w:pPr>
            <w:r w:rsidRPr="00CF2A74">
              <w:rPr>
                <w:sz w:val="18"/>
                <w:szCs w:val="18"/>
                <w:rtl/>
              </w:rPr>
              <w:t xml:space="preserve"> 0</w:t>
            </w:r>
          </w:p>
        </w:tc>
        <w:tc>
          <w:tcPr>
            <w:tcW w:w="992" w:type="dxa"/>
            <w:vAlign w:val="bottom"/>
          </w:tcPr>
          <w:p w14:paraId="78976808" w14:textId="77777777" w:rsidR="006E7796" w:rsidRPr="00AD318D" w:rsidRDefault="006E7796" w:rsidP="008A0C00">
            <w:pPr>
              <w:pStyle w:val="-3"/>
              <w:rPr>
                <w:sz w:val="18"/>
                <w:szCs w:val="18"/>
                <w:rtl/>
              </w:rPr>
            </w:pPr>
            <w:r w:rsidRPr="00CF2A74">
              <w:rPr>
                <w:sz w:val="18"/>
                <w:szCs w:val="18"/>
                <w:rtl/>
              </w:rPr>
              <w:t xml:space="preserve"> 0</w:t>
            </w:r>
          </w:p>
        </w:tc>
        <w:tc>
          <w:tcPr>
            <w:tcW w:w="818" w:type="dxa"/>
            <w:vAlign w:val="bottom"/>
          </w:tcPr>
          <w:p w14:paraId="637EFB55" w14:textId="77777777" w:rsidR="006E7796" w:rsidRPr="00AD318D" w:rsidRDefault="006E7796" w:rsidP="008A0C00">
            <w:pPr>
              <w:pStyle w:val="-3"/>
              <w:rPr>
                <w:sz w:val="18"/>
                <w:szCs w:val="18"/>
                <w:rtl/>
              </w:rPr>
            </w:pPr>
            <w:r w:rsidRPr="00CF2A74">
              <w:rPr>
                <w:sz w:val="18"/>
                <w:szCs w:val="18"/>
                <w:rtl/>
              </w:rPr>
              <w:t xml:space="preserve"> 0</w:t>
            </w:r>
          </w:p>
        </w:tc>
        <w:tc>
          <w:tcPr>
            <w:tcW w:w="1166" w:type="dxa"/>
            <w:vAlign w:val="bottom"/>
          </w:tcPr>
          <w:p w14:paraId="197CD29C" w14:textId="77777777" w:rsidR="006E7796" w:rsidRPr="00AD318D" w:rsidRDefault="006E7796" w:rsidP="008A0C00">
            <w:pPr>
              <w:pStyle w:val="-3"/>
              <w:rPr>
                <w:sz w:val="18"/>
                <w:szCs w:val="18"/>
                <w:rtl/>
              </w:rPr>
            </w:pPr>
            <w:r w:rsidRPr="00CF2A74">
              <w:rPr>
                <w:sz w:val="18"/>
                <w:szCs w:val="18"/>
                <w:rtl/>
              </w:rPr>
              <w:t xml:space="preserve"> 0</w:t>
            </w:r>
          </w:p>
        </w:tc>
        <w:tc>
          <w:tcPr>
            <w:tcW w:w="851" w:type="dxa"/>
            <w:vAlign w:val="bottom"/>
          </w:tcPr>
          <w:p w14:paraId="64A85F45" w14:textId="77777777" w:rsidR="006E7796" w:rsidRPr="00AD318D" w:rsidRDefault="006E7796" w:rsidP="008A0C00">
            <w:pPr>
              <w:pStyle w:val="-3"/>
              <w:rPr>
                <w:sz w:val="18"/>
                <w:szCs w:val="18"/>
                <w:rtl/>
              </w:rPr>
            </w:pPr>
            <w:r w:rsidRPr="00CF2A74">
              <w:rPr>
                <w:sz w:val="18"/>
                <w:szCs w:val="18"/>
                <w:rtl/>
              </w:rPr>
              <w:t xml:space="preserve"> 0</w:t>
            </w:r>
          </w:p>
        </w:tc>
        <w:tc>
          <w:tcPr>
            <w:tcW w:w="713" w:type="dxa"/>
            <w:vAlign w:val="bottom"/>
          </w:tcPr>
          <w:p w14:paraId="2A5BC78A" w14:textId="77777777" w:rsidR="006E7796" w:rsidRPr="00AD318D" w:rsidRDefault="006E7796" w:rsidP="008A0C00">
            <w:pPr>
              <w:pStyle w:val="-3"/>
              <w:rPr>
                <w:sz w:val="18"/>
                <w:szCs w:val="18"/>
                <w:rtl/>
              </w:rPr>
            </w:pPr>
            <w:r w:rsidRPr="00CF2A74">
              <w:rPr>
                <w:sz w:val="18"/>
                <w:szCs w:val="18"/>
                <w:rtl/>
              </w:rPr>
              <w:t xml:space="preserve"> 0</w:t>
            </w:r>
          </w:p>
        </w:tc>
      </w:tr>
      <w:tr w:rsidR="006E7796" w:rsidRPr="00AD318D" w14:paraId="1052649B" w14:textId="77777777" w:rsidTr="00912661">
        <w:tc>
          <w:tcPr>
            <w:tcW w:w="1073" w:type="dxa"/>
          </w:tcPr>
          <w:p w14:paraId="69CF7562" w14:textId="77777777" w:rsidR="006E7796" w:rsidRPr="00AD318D" w:rsidRDefault="006E7796" w:rsidP="008A0C00">
            <w:pPr>
              <w:pStyle w:val="-0"/>
              <w:rPr>
                <w:sz w:val="18"/>
                <w:szCs w:val="18"/>
                <w:rtl/>
              </w:rPr>
            </w:pPr>
          </w:p>
        </w:tc>
        <w:tc>
          <w:tcPr>
            <w:tcW w:w="4042" w:type="dxa"/>
            <w:gridSpan w:val="2"/>
            <w:vAlign w:val="bottom"/>
          </w:tcPr>
          <w:p w14:paraId="56D71441" w14:textId="77777777" w:rsidR="006E7796" w:rsidRPr="005F47BE" w:rsidRDefault="006E7796" w:rsidP="008A0C00">
            <w:pPr>
              <w:pStyle w:val="-0"/>
              <w:rPr>
                <w:sz w:val="18"/>
                <w:szCs w:val="18"/>
                <w:rtl/>
              </w:rPr>
            </w:pPr>
            <w:r w:rsidRPr="005F47BE">
              <w:rPr>
                <w:sz w:val="18"/>
                <w:szCs w:val="18"/>
                <w:rtl/>
              </w:rPr>
              <w:t xml:space="preserve">אשראי לציבור, </w:t>
            </w:r>
            <w:r w:rsidRPr="005F47BE">
              <w:rPr>
                <w:rFonts w:hint="eastAsia"/>
                <w:sz w:val="18"/>
                <w:szCs w:val="18"/>
                <w:rtl/>
              </w:rPr>
              <w:t>נטו</w:t>
            </w:r>
          </w:p>
        </w:tc>
        <w:tc>
          <w:tcPr>
            <w:tcW w:w="636" w:type="dxa"/>
            <w:vAlign w:val="bottom"/>
          </w:tcPr>
          <w:p w14:paraId="1430F1C9" w14:textId="77777777" w:rsidR="006E7796" w:rsidRPr="00AD318D" w:rsidRDefault="006E7796" w:rsidP="008A0C00">
            <w:pPr>
              <w:pStyle w:val="-3"/>
              <w:rPr>
                <w:sz w:val="18"/>
                <w:szCs w:val="18"/>
                <w:rtl/>
              </w:rPr>
            </w:pPr>
            <w:r w:rsidRPr="00CF2A74">
              <w:rPr>
                <w:sz w:val="18"/>
                <w:szCs w:val="18"/>
                <w:rtl/>
              </w:rPr>
              <w:t xml:space="preserve"> 0</w:t>
            </w:r>
          </w:p>
        </w:tc>
        <w:tc>
          <w:tcPr>
            <w:tcW w:w="992" w:type="dxa"/>
            <w:vAlign w:val="bottom"/>
          </w:tcPr>
          <w:p w14:paraId="34B85C46" w14:textId="77777777" w:rsidR="006E7796" w:rsidRPr="00AD318D" w:rsidRDefault="006E7796" w:rsidP="008A0C00">
            <w:pPr>
              <w:pStyle w:val="-3"/>
              <w:rPr>
                <w:sz w:val="18"/>
                <w:szCs w:val="18"/>
                <w:rtl/>
              </w:rPr>
            </w:pPr>
            <w:r w:rsidRPr="00CF2A74">
              <w:rPr>
                <w:sz w:val="18"/>
                <w:szCs w:val="18"/>
                <w:rtl/>
              </w:rPr>
              <w:t xml:space="preserve"> 0</w:t>
            </w:r>
          </w:p>
        </w:tc>
        <w:tc>
          <w:tcPr>
            <w:tcW w:w="818" w:type="dxa"/>
            <w:vAlign w:val="bottom"/>
          </w:tcPr>
          <w:p w14:paraId="1FB8C25F" w14:textId="77777777" w:rsidR="006E7796" w:rsidRPr="00AD318D" w:rsidRDefault="006E7796" w:rsidP="008A0C00">
            <w:pPr>
              <w:pStyle w:val="-3"/>
              <w:rPr>
                <w:sz w:val="18"/>
                <w:szCs w:val="18"/>
                <w:rtl/>
              </w:rPr>
            </w:pPr>
            <w:r w:rsidRPr="00CF2A74">
              <w:rPr>
                <w:sz w:val="18"/>
                <w:szCs w:val="18"/>
                <w:rtl/>
              </w:rPr>
              <w:t xml:space="preserve"> 0</w:t>
            </w:r>
          </w:p>
        </w:tc>
        <w:tc>
          <w:tcPr>
            <w:tcW w:w="1166" w:type="dxa"/>
            <w:vAlign w:val="bottom"/>
          </w:tcPr>
          <w:p w14:paraId="0E05814B" w14:textId="77777777" w:rsidR="006E7796" w:rsidRPr="00AD318D" w:rsidRDefault="006E7796" w:rsidP="008A0C00">
            <w:pPr>
              <w:pStyle w:val="-3"/>
              <w:rPr>
                <w:sz w:val="18"/>
                <w:szCs w:val="18"/>
                <w:rtl/>
              </w:rPr>
            </w:pPr>
            <w:r w:rsidRPr="00CF2A74">
              <w:rPr>
                <w:sz w:val="18"/>
                <w:szCs w:val="18"/>
                <w:rtl/>
              </w:rPr>
              <w:t xml:space="preserve"> 0</w:t>
            </w:r>
          </w:p>
        </w:tc>
        <w:tc>
          <w:tcPr>
            <w:tcW w:w="851" w:type="dxa"/>
            <w:vAlign w:val="bottom"/>
          </w:tcPr>
          <w:p w14:paraId="043DD85E" w14:textId="77777777" w:rsidR="006E7796" w:rsidRPr="00AD318D" w:rsidRDefault="006E7796" w:rsidP="008A0C00">
            <w:pPr>
              <w:pStyle w:val="-3"/>
              <w:rPr>
                <w:sz w:val="18"/>
                <w:szCs w:val="18"/>
                <w:rtl/>
              </w:rPr>
            </w:pPr>
            <w:r w:rsidRPr="00CF2A74">
              <w:rPr>
                <w:sz w:val="18"/>
                <w:szCs w:val="18"/>
                <w:rtl/>
              </w:rPr>
              <w:t xml:space="preserve"> 0</w:t>
            </w:r>
          </w:p>
        </w:tc>
        <w:tc>
          <w:tcPr>
            <w:tcW w:w="713" w:type="dxa"/>
            <w:vAlign w:val="bottom"/>
          </w:tcPr>
          <w:p w14:paraId="53A23184" w14:textId="77777777" w:rsidR="006E7796" w:rsidRPr="00AD318D" w:rsidRDefault="006E7796" w:rsidP="008A0C00">
            <w:pPr>
              <w:pStyle w:val="-3"/>
              <w:rPr>
                <w:sz w:val="18"/>
                <w:szCs w:val="18"/>
                <w:rtl/>
              </w:rPr>
            </w:pPr>
            <w:r w:rsidRPr="00CF2A74">
              <w:rPr>
                <w:sz w:val="18"/>
                <w:szCs w:val="18"/>
                <w:rtl/>
              </w:rPr>
              <w:t xml:space="preserve"> 0</w:t>
            </w:r>
          </w:p>
        </w:tc>
      </w:tr>
      <w:tr w:rsidR="006E7796" w:rsidRPr="00AD318D" w14:paraId="195B5525" w14:textId="77777777" w:rsidTr="00912661">
        <w:tc>
          <w:tcPr>
            <w:tcW w:w="1073" w:type="dxa"/>
          </w:tcPr>
          <w:p w14:paraId="43EA4502" w14:textId="77777777" w:rsidR="006E7796" w:rsidRPr="00AD318D" w:rsidRDefault="006E7796" w:rsidP="008A0C00">
            <w:pPr>
              <w:pStyle w:val="-0"/>
              <w:rPr>
                <w:sz w:val="18"/>
                <w:szCs w:val="18"/>
                <w:rtl/>
              </w:rPr>
            </w:pPr>
          </w:p>
        </w:tc>
        <w:tc>
          <w:tcPr>
            <w:tcW w:w="4042" w:type="dxa"/>
            <w:gridSpan w:val="2"/>
            <w:vAlign w:val="bottom"/>
          </w:tcPr>
          <w:p w14:paraId="0D662822" w14:textId="77777777" w:rsidR="006E7796" w:rsidRPr="005F47BE" w:rsidRDefault="006E7796" w:rsidP="008A0C00">
            <w:pPr>
              <w:pStyle w:val="-0"/>
              <w:rPr>
                <w:sz w:val="18"/>
                <w:szCs w:val="18"/>
                <w:rtl/>
              </w:rPr>
            </w:pPr>
            <w:r w:rsidRPr="005F47BE">
              <w:rPr>
                <w:sz w:val="18"/>
                <w:szCs w:val="18"/>
                <w:rtl/>
              </w:rPr>
              <w:t>אשראי לממשלה</w:t>
            </w:r>
          </w:p>
        </w:tc>
        <w:tc>
          <w:tcPr>
            <w:tcW w:w="636" w:type="dxa"/>
            <w:vAlign w:val="bottom"/>
          </w:tcPr>
          <w:p w14:paraId="231E61FE" w14:textId="77777777" w:rsidR="006E7796" w:rsidRPr="00AD318D" w:rsidRDefault="006E7796" w:rsidP="008A0C00">
            <w:pPr>
              <w:pStyle w:val="-3"/>
              <w:rPr>
                <w:sz w:val="18"/>
                <w:szCs w:val="18"/>
                <w:rtl/>
              </w:rPr>
            </w:pPr>
            <w:r w:rsidRPr="00CF2A74">
              <w:rPr>
                <w:sz w:val="18"/>
                <w:szCs w:val="18"/>
                <w:rtl/>
              </w:rPr>
              <w:t xml:space="preserve"> 0</w:t>
            </w:r>
          </w:p>
        </w:tc>
        <w:tc>
          <w:tcPr>
            <w:tcW w:w="992" w:type="dxa"/>
            <w:vAlign w:val="bottom"/>
          </w:tcPr>
          <w:p w14:paraId="5FA2053E" w14:textId="77777777" w:rsidR="006E7796" w:rsidRPr="00AD318D" w:rsidRDefault="006E7796" w:rsidP="008A0C00">
            <w:pPr>
              <w:pStyle w:val="-3"/>
              <w:rPr>
                <w:sz w:val="18"/>
                <w:szCs w:val="18"/>
                <w:rtl/>
              </w:rPr>
            </w:pPr>
            <w:r w:rsidRPr="00CF2A74">
              <w:rPr>
                <w:sz w:val="18"/>
                <w:szCs w:val="18"/>
                <w:rtl/>
              </w:rPr>
              <w:t xml:space="preserve"> 0</w:t>
            </w:r>
          </w:p>
        </w:tc>
        <w:tc>
          <w:tcPr>
            <w:tcW w:w="818" w:type="dxa"/>
            <w:vAlign w:val="bottom"/>
          </w:tcPr>
          <w:p w14:paraId="65B00FA9" w14:textId="77777777" w:rsidR="006E7796" w:rsidRPr="00AD318D" w:rsidRDefault="006E7796" w:rsidP="008A0C00">
            <w:pPr>
              <w:pStyle w:val="-3"/>
              <w:rPr>
                <w:sz w:val="18"/>
                <w:szCs w:val="18"/>
                <w:rtl/>
              </w:rPr>
            </w:pPr>
            <w:r w:rsidRPr="00CF2A74">
              <w:rPr>
                <w:sz w:val="18"/>
                <w:szCs w:val="18"/>
                <w:rtl/>
              </w:rPr>
              <w:t xml:space="preserve"> 0</w:t>
            </w:r>
          </w:p>
        </w:tc>
        <w:tc>
          <w:tcPr>
            <w:tcW w:w="1166" w:type="dxa"/>
            <w:vAlign w:val="bottom"/>
          </w:tcPr>
          <w:p w14:paraId="2E55B511" w14:textId="77777777" w:rsidR="006E7796" w:rsidRPr="00AD318D" w:rsidRDefault="006E7796" w:rsidP="008A0C00">
            <w:pPr>
              <w:pStyle w:val="-3"/>
              <w:rPr>
                <w:sz w:val="18"/>
                <w:szCs w:val="18"/>
                <w:rtl/>
              </w:rPr>
            </w:pPr>
            <w:r w:rsidRPr="00CF2A74">
              <w:rPr>
                <w:sz w:val="18"/>
                <w:szCs w:val="18"/>
                <w:rtl/>
              </w:rPr>
              <w:t xml:space="preserve"> 0</w:t>
            </w:r>
          </w:p>
        </w:tc>
        <w:tc>
          <w:tcPr>
            <w:tcW w:w="851" w:type="dxa"/>
            <w:vAlign w:val="bottom"/>
          </w:tcPr>
          <w:p w14:paraId="29100B85" w14:textId="77777777" w:rsidR="006E7796" w:rsidRPr="00AD318D" w:rsidRDefault="006E7796" w:rsidP="008A0C00">
            <w:pPr>
              <w:pStyle w:val="-3"/>
              <w:rPr>
                <w:sz w:val="18"/>
                <w:szCs w:val="18"/>
                <w:rtl/>
              </w:rPr>
            </w:pPr>
            <w:r w:rsidRPr="00CF2A74">
              <w:rPr>
                <w:sz w:val="18"/>
                <w:szCs w:val="18"/>
                <w:rtl/>
              </w:rPr>
              <w:t xml:space="preserve"> 0</w:t>
            </w:r>
          </w:p>
        </w:tc>
        <w:tc>
          <w:tcPr>
            <w:tcW w:w="713" w:type="dxa"/>
            <w:vAlign w:val="bottom"/>
          </w:tcPr>
          <w:p w14:paraId="6796A596" w14:textId="77777777" w:rsidR="006E7796" w:rsidRPr="00AD318D" w:rsidRDefault="006E7796" w:rsidP="008A0C00">
            <w:pPr>
              <w:pStyle w:val="-3"/>
              <w:rPr>
                <w:sz w:val="18"/>
                <w:szCs w:val="18"/>
                <w:rtl/>
              </w:rPr>
            </w:pPr>
            <w:r w:rsidRPr="00CF2A74">
              <w:rPr>
                <w:sz w:val="18"/>
                <w:szCs w:val="18"/>
                <w:rtl/>
              </w:rPr>
              <w:t xml:space="preserve"> 0</w:t>
            </w:r>
          </w:p>
        </w:tc>
      </w:tr>
      <w:tr w:rsidR="006E7796" w:rsidRPr="00AD318D" w14:paraId="43ABE9BB" w14:textId="77777777" w:rsidTr="00912661">
        <w:tc>
          <w:tcPr>
            <w:tcW w:w="1073" w:type="dxa"/>
          </w:tcPr>
          <w:p w14:paraId="5FDE2443" w14:textId="77777777" w:rsidR="006E7796" w:rsidRPr="00AD318D" w:rsidRDefault="006E7796" w:rsidP="008A0C00">
            <w:pPr>
              <w:pStyle w:val="-0"/>
              <w:rPr>
                <w:sz w:val="18"/>
                <w:szCs w:val="18"/>
                <w:rtl/>
              </w:rPr>
            </w:pPr>
          </w:p>
        </w:tc>
        <w:tc>
          <w:tcPr>
            <w:tcW w:w="4042" w:type="dxa"/>
            <w:gridSpan w:val="2"/>
            <w:vAlign w:val="bottom"/>
          </w:tcPr>
          <w:p w14:paraId="6822048A" w14:textId="77777777" w:rsidR="006E7796" w:rsidRDefault="006E7796">
            <w:pPr>
              <w:pStyle w:val="-0"/>
              <w:rPr>
                <w:sz w:val="18"/>
                <w:szCs w:val="18"/>
                <w:rtl/>
              </w:rPr>
            </w:pPr>
            <w:r w:rsidRPr="005F47BE">
              <w:rPr>
                <w:sz w:val="18"/>
                <w:szCs w:val="18"/>
                <w:rtl/>
              </w:rPr>
              <w:t>השקעות בחברות כלולות</w:t>
            </w:r>
          </w:p>
        </w:tc>
        <w:tc>
          <w:tcPr>
            <w:tcW w:w="636" w:type="dxa"/>
            <w:vAlign w:val="bottom"/>
          </w:tcPr>
          <w:p w14:paraId="7C15190A" w14:textId="77777777" w:rsidR="006E7796" w:rsidRPr="00AD318D" w:rsidRDefault="006E7796" w:rsidP="008A0C00">
            <w:pPr>
              <w:pStyle w:val="-3"/>
              <w:rPr>
                <w:sz w:val="18"/>
                <w:szCs w:val="18"/>
                <w:rtl/>
              </w:rPr>
            </w:pPr>
            <w:r w:rsidRPr="00CF2A74">
              <w:rPr>
                <w:sz w:val="18"/>
                <w:szCs w:val="18"/>
                <w:rtl/>
              </w:rPr>
              <w:t xml:space="preserve"> 0</w:t>
            </w:r>
          </w:p>
        </w:tc>
        <w:tc>
          <w:tcPr>
            <w:tcW w:w="992" w:type="dxa"/>
            <w:vAlign w:val="bottom"/>
          </w:tcPr>
          <w:p w14:paraId="506E9EF3" w14:textId="77777777" w:rsidR="006E7796" w:rsidRPr="00AD318D" w:rsidRDefault="006E7796" w:rsidP="008A0C00">
            <w:pPr>
              <w:pStyle w:val="-3"/>
              <w:rPr>
                <w:sz w:val="18"/>
                <w:szCs w:val="18"/>
                <w:rtl/>
              </w:rPr>
            </w:pPr>
            <w:r w:rsidRPr="00CF2A74">
              <w:rPr>
                <w:sz w:val="18"/>
                <w:szCs w:val="18"/>
                <w:rtl/>
              </w:rPr>
              <w:t xml:space="preserve"> 0</w:t>
            </w:r>
          </w:p>
        </w:tc>
        <w:tc>
          <w:tcPr>
            <w:tcW w:w="818" w:type="dxa"/>
            <w:vAlign w:val="bottom"/>
          </w:tcPr>
          <w:p w14:paraId="3ED4B61B" w14:textId="77777777" w:rsidR="006E7796" w:rsidRPr="00AD318D" w:rsidRDefault="006E7796" w:rsidP="008A0C00">
            <w:pPr>
              <w:pStyle w:val="-3"/>
              <w:rPr>
                <w:sz w:val="18"/>
                <w:szCs w:val="18"/>
                <w:rtl/>
              </w:rPr>
            </w:pPr>
            <w:r w:rsidRPr="00CF2A74">
              <w:rPr>
                <w:sz w:val="18"/>
                <w:szCs w:val="18"/>
                <w:rtl/>
              </w:rPr>
              <w:t xml:space="preserve"> 0</w:t>
            </w:r>
          </w:p>
        </w:tc>
        <w:tc>
          <w:tcPr>
            <w:tcW w:w="1166" w:type="dxa"/>
            <w:vAlign w:val="bottom"/>
          </w:tcPr>
          <w:p w14:paraId="015AFDE2" w14:textId="77777777" w:rsidR="006E7796" w:rsidRPr="00AD318D" w:rsidRDefault="006E7796" w:rsidP="008A0C00">
            <w:pPr>
              <w:pStyle w:val="-3"/>
              <w:rPr>
                <w:sz w:val="18"/>
                <w:szCs w:val="18"/>
                <w:rtl/>
              </w:rPr>
            </w:pPr>
            <w:r w:rsidRPr="00CF2A74">
              <w:rPr>
                <w:sz w:val="18"/>
                <w:szCs w:val="18"/>
                <w:rtl/>
              </w:rPr>
              <w:t xml:space="preserve"> 0</w:t>
            </w:r>
          </w:p>
        </w:tc>
        <w:tc>
          <w:tcPr>
            <w:tcW w:w="851" w:type="dxa"/>
            <w:vAlign w:val="bottom"/>
          </w:tcPr>
          <w:p w14:paraId="1ACA72F0" w14:textId="77777777" w:rsidR="006E7796" w:rsidRPr="00AD318D" w:rsidRDefault="006E7796" w:rsidP="008A0C00">
            <w:pPr>
              <w:pStyle w:val="-3"/>
              <w:rPr>
                <w:sz w:val="18"/>
                <w:szCs w:val="18"/>
                <w:rtl/>
              </w:rPr>
            </w:pPr>
            <w:r w:rsidRPr="00CF2A74">
              <w:rPr>
                <w:sz w:val="18"/>
                <w:szCs w:val="18"/>
                <w:rtl/>
              </w:rPr>
              <w:t xml:space="preserve"> 0</w:t>
            </w:r>
          </w:p>
        </w:tc>
        <w:tc>
          <w:tcPr>
            <w:tcW w:w="713" w:type="dxa"/>
            <w:vAlign w:val="bottom"/>
          </w:tcPr>
          <w:p w14:paraId="63A81EA1" w14:textId="77777777" w:rsidR="006E7796" w:rsidRPr="00AD318D" w:rsidRDefault="006E7796" w:rsidP="008A0C00">
            <w:pPr>
              <w:pStyle w:val="-3"/>
              <w:rPr>
                <w:sz w:val="18"/>
                <w:szCs w:val="18"/>
                <w:rtl/>
              </w:rPr>
            </w:pPr>
            <w:r w:rsidRPr="00CF2A74">
              <w:rPr>
                <w:sz w:val="18"/>
                <w:szCs w:val="18"/>
                <w:rtl/>
              </w:rPr>
              <w:t xml:space="preserve"> 0</w:t>
            </w:r>
          </w:p>
        </w:tc>
      </w:tr>
      <w:tr w:rsidR="006E7796" w:rsidRPr="00AD318D" w14:paraId="3D47EE41" w14:textId="77777777" w:rsidTr="00912661">
        <w:tc>
          <w:tcPr>
            <w:tcW w:w="1073" w:type="dxa"/>
          </w:tcPr>
          <w:p w14:paraId="353287FF" w14:textId="77777777" w:rsidR="006E7796" w:rsidRPr="00AD318D" w:rsidRDefault="006E7796" w:rsidP="008A0C00">
            <w:pPr>
              <w:pStyle w:val="-0"/>
              <w:rPr>
                <w:sz w:val="18"/>
                <w:szCs w:val="18"/>
                <w:rtl/>
              </w:rPr>
            </w:pPr>
          </w:p>
        </w:tc>
        <w:tc>
          <w:tcPr>
            <w:tcW w:w="4042" w:type="dxa"/>
            <w:gridSpan w:val="2"/>
            <w:vAlign w:val="bottom"/>
          </w:tcPr>
          <w:p w14:paraId="6E980C0A" w14:textId="77777777" w:rsidR="006E7796" w:rsidRPr="005F47BE" w:rsidRDefault="006E7796" w:rsidP="008A0C00">
            <w:pPr>
              <w:pStyle w:val="-0"/>
              <w:rPr>
                <w:sz w:val="18"/>
                <w:szCs w:val="18"/>
                <w:rtl/>
              </w:rPr>
            </w:pPr>
            <w:r w:rsidRPr="005F47BE">
              <w:rPr>
                <w:sz w:val="18"/>
                <w:szCs w:val="18"/>
                <w:rtl/>
              </w:rPr>
              <w:t>בניינים וציוד</w:t>
            </w:r>
          </w:p>
        </w:tc>
        <w:tc>
          <w:tcPr>
            <w:tcW w:w="636" w:type="dxa"/>
            <w:vAlign w:val="bottom"/>
          </w:tcPr>
          <w:p w14:paraId="5A12C3A2" w14:textId="77777777" w:rsidR="006E7796" w:rsidRPr="00AD318D" w:rsidRDefault="006E7796" w:rsidP="008A0C00">
            <w:pPr>
              <w:pStyle w:val="-3"/>
              <w:rPr>
                <w:sz w:val="18"/>
                <w:szCs w:val="18"/>
                <w:rtl/>
              </w:rPr>
            </w:pPr>
            <w:r w:rsidRPr="00CF2A74">
              <w:rPr>
                <w:sz w:val="18"/>
                <w:szCs w:val="18"/>
                <w:rtl/>
              </w:rPr>
              <w:t xml:space="preserve"> -</w:t>
            </w:r>
          </w:p>
        </w:tc>
        <w:tc>
          <w:tcPr>
            <w:tcW w:w="992" w:type="dxa"/>
            <w:vAlign w:val="bottom"/>
          </w:tcPr>
          <w:p w14:paraId="1CE7FC30" w14:textId="77777777" w:rsidR="006E7796" w:rsidRPr="00AD318D" w:rsidRDefault="006E7796" w:rsidP="008A0C00">
            <w:pPr>
              <w:pStyle w:val="-3"/>
              <w:rPr>
                <w:sz w:val="18"/>
                <w:szCs w:val="18"/>
                <w:rtl/>
              </w:rPr>
            </w:pPr>
            <w:r w:rsidRPr="00CF2A74">
              <w:rPr>
                <w:sz w:val="18"/>
                <w:szCs w:val="18"/>
                <w:rtl/>
              </w:rPr>
              <w:t xml:space="preserve"> -</w:t>
            </w:r>
          </w:p>
        </w:tc>
        <w:tc>
          <w:tcPr>
            <w:tcW w:w="818" w:type="dxa"/>
            <w:vAlign w:val="bottom"/>
          </w:tcPr>
          <w:p w14:paraId="0AC28B37" w14:textId="77777777" w:rsidR="006E7796" w:rsidRPr="00AD318D" w:rsidRDefault="006E7796" w:rsidP="008A0C00">
            <w:pPr>
              <w:pStyle w:val="-3"/>
              <w:rPr>
                <w:sz w:val="18"/>
                <w:szCs w:val="18"/>
                <w:rtl/>
              </w:rPr>
            </w:pPr>
            <w:r w:rsidRPr="00CF2A74">
              <w:rPr>
                <w:sz w:val="18"/>
                <w:szCs w:val="18"/>
                <w:rtl/>
              </w:rPr>
              <w:t xml:space="preserve"> -</w:t>
            </w:r>
          </w:p>
        </w:tc>
        <w:tc>
          <w:tcPr>
            <w:tcW w:w="1166" w:type="dxa"/>
            <w:vAlign w:val="bottom"/>
          </w:tcPr>
          <w:p w14:paraId="64638549" w14:textId="77777777" w:rsidR="006E7796" w:rsidRPr="00AD318D" w:rsidRDefault="006E7796" w:rsidP="008A0C00">
            <w:pPr>
              <w:pStyle w:val="-3"/>
              <w:rPr>
                <w:sz w:val="18"/>
                <w:szCs w:val="18"/>
                <w:rtl/>
              </w:rPr>
            </w:pPr>
            <w:r w:rsidRPr="00CF2A74">
              <w:rPr>
                <w:sz w:val="18"/>
                <w:szCs w:val="18"/>
                <w:rtl/>
              </w:rPr>
              <w:t xml:space="preserve"> -</w:t>
            </w:r>
          </w:p>
        </w:tc>
        <w:tc>
          <w:tcPr>
            <w:tcW w:w="851" w:type="dxa"/>
            <w:vAlign w:val="bottom"/>
          </w:tcPr>
          <w:p w14:paraId="58FD2639" w14:textId="77777777" w:rsidR="006E7796" w:rsidRPr="00AD318D" w:rsidRDefault="006E7796" w:rsidP="008A0C00">
            <w:pPr>
              <w:pStyle w:val="-3"/>
              <w:rPr>
                <w:sz w:val="18"/>
                <w:szCs w:val="18"/>
                <w:rtl/>
              </w:rPr>
            </w:pPr>
            <w:r w:rsidRPr="00CF2A74">
              <w:rPr>
                <w:sz w:val="18"/>
                <w:szCs w:val="18"/>
                <w:rtl/>
              </w:rPr>
              <w:t xml:space="preserve"> 0</w:t>
            </w:r>
          </w:p>
        </w:tc>
        <w:tc>
          <w:tcPr>
            <w:tcW w:w="713" w:type="dxa"/>
            <w:vAlign w:val="bottom"/>
          </w:tcPr>
          <w:p w14:paraId="02B03758" w14:textId="77777777" w:rsidR="006E7796" w:rsidRPr="00AD318D" w:rsidRDefault="006E7796" w:rsidP="008A0C00">
            <w:pPr>
              <w:pStyle w:val="-3"/>
              <w:rPr>
                <w:sz w:val="18"/>
                <w:szCs w:val="18"/>
                <w:rtl/>
              </w:rPr>
            </w:pPr>
            <w:r w:rsidRPr="00CF2A74">
              <w:rPr>
                <w:sz w:val="18"/>
                <w:szCs w:val="18"/>
                <w:rtl/>
              </w:rPr>
              <w:t xml:space="preserve"> 0</w:t>
            </w:r>
          </w:p>
        </w:tc>
      </w:tr>
      <w:tr w:rsidR="006E7796" w:rsidRPr="00AD318D" w14:paraId="1EA58A0C" w14:textId="77777777" w:rsidTr="00912661">
        <w:tc>
          <w:tcPr>
            <w:tcW w:w="1073" w:type="dxa"/>
          </w:tcPr>
          <w:p w14:paraId="0B8C11CE" w14:textId="77777777" w:rsidR="006E7796" w:rsidRPr="00AD318D" w:rsidRDefault="006E7796" w:rsidP="008A0C00">
            <w:pPr>
              <w:pStyle w:val="-0"/>
              <w:rPr>
                <w:sz w:val="18"/>
                <w:szCs w:val="18"/>
                <w:rtl/>
              </w:rPr>
            </w:pPr>
          </w:p>
        </w:tc>
        <w:tc>
          <w:tcPr>
            <w:tcW w:w="4042" w:type="dxa"/>
            <w:gridSpan w:val="2"/>
            <w:vAlign w:val="bottom"/>
          </w:tcPr>
          <w:p w14:paraId="1793BC51" w14:textId="77777777" w:rsidR="006E7796" w:rsidRPr="005F47BE" w:rsidRDefault="006E7796" w:rsidP="008A0C00">
            <w:pPr>
              <w:pStyle w:val="-0"/>
              <w:rPr>
                <w:sz w:val="18"/>
                <w:szCs w:val="18"/>
                <w:rtl/>
              </w:rPr>
            </w:pPr>
            <w:r w:rsidRPr="005F47BE">
              <w:rPr>
                <w:rFonts w:hint="eastAsia"/>
                <w:sz w:val="18"/>
                <w:szCs w:val="18"/>
                <w:rtl/>
              </w:rPr>
              <w:t>נכסים</w:t>
            </w:r>
            <w:r w:rsidRPr="005F47BE">
              <w:rPr>
                <w:sz w:val="18"/>
                <w:szCs w:val="18"/>
                <w:rtl/>
              </w:rPr>
              <w:t xml:space="preserve"> </w:t>
            </w:r>
            <w:r w:rsidRPr="005F47BE">
              <w:rPr>
                <w:rFonts w:hint="eastAsia"/>
                <w:sz w:val="18"/>
                <w:szCs w:val="18"/>
                <w:rtl/>
              </w:rPr>
              <w:t>בלתי</w:t>
            </w:r>
            <w:r w:rsidRPr="005F47BE">
              <w:rPr>
                <w:sz w:val="18"/>
                <w:szCs w:val="18"/>
                <w:rtl/>
              </w:rPr>
              <w:t xml:space="preserve"> </w:t>
            </w:r>
            <w:r w:rsidRPr="005F47BE">
              <w:rPr>
                <w:rFonts w:hint="eastAsia"/>
                <w:sz w:val="18"/>
                <w:szCs w:val="18"/>
                <w:rtl/>
              </w:rPr>
              <w:t>מוחשיים</w:t>
            </w:r>
            <w:r w:rsidRPr="005F47BE">
              <w:rPr>
                <w:sz w:val="18"/>
                <w:szCs w:val="18"/>
                <w:rtl/>
              </w:rPr>
              <w:t xml:space="preserve"> </w:t>
            </w:r>
            <w:r w:rsidRPr="005F47BE">
              <w:rPr>
                <w:rFonts w:hint="eastAsia"/>
                <w:sz w:val="18"/>
                <w:szCs w:val="18"/>
                <w:rtl/>
              </w:rPr>
              <w:t>ומוניטין</w:t>
            </w:r>
          </w:p>
        </w:tc>
        <w:tc>
          <w:tcPr>
            <w:tcW w:w="636" w:type="dxa"/>
            <w:vAlign w:val="bottom"/>
          </w:tcPr>
          <w:p w14:paraId="19AC36E9" w14:textId="77777777" w:rsidR="006E7796" w:rsidRPr="00AD318D" w:rsidRDefault="006E7796" w:rsidP="008A0C00">
            <w:pPr>
              <w:pStyle w:val="-3"/>
              <w:rPr>
                <w:sz w:val="18"/>
                <w:szCs w:val="18"/>
                <w:rtl/>
              </w:rPr>
            </w:pPr>
            <w:r w:rsidRPr="00CF2A74">
              <w:rPr>
                <w:sz w:val="18"/>
                <w:szCs w:val="18"/>
                <w:rtl/>
              </w:rPr>
              <w:t xml:space="preserve"> -</w:t>
            </w:r>
          </w:p>
        </w:tc>
        <w:tc>
          <w:tcPr>
            <w:tcW w:w="992" w:type="dxa"/>
            <w:vAlign w:val="bottom"/>
          </w:tcPr>
          <w:p w14:paraId="7EC3470E" w14:textId="77777777" w:rsidR="006E7796" w:rsidRPr="00AD318D" w:rsidRDefault="006E7796" w:rsidP="008A0C00">
            <w:pPr>
              <w:pStyle w:val="-3"/>
              <w:rPr>
                <w:sz w:val="18"/>
                <w:szCs w:val="18"/>
                <w:rtl/>
              </w:rPr>
            </w:pPr>
            <w:r w:rsidRPr="00CF2A74">
              <w:rPr>
                <w:sz w:val="18"/>
                <w:szCs w:val="18"/>
                <w:rtl/>
              </w:rPr>
              <w:t xml:space="preserve"> -</w:t>
            </w:r>
          </w:p>
        </w:tc>
        <w:tc>
          <w:tcPr>
            <w:tcW w:w="818" w:type="dxa"/>
            <w:vAlign w:val="bottom"/>
          </w:tcPr>
          <w:p w14:paraId="2489F00E" w14:textId="77777777" w:rsidR="006E7796" w:rsidRPr="00AD318D" w:rsidRDefault="006E7796" w:rsidP="008A0C00">
            <w:pPr>
              <w:pStyle w:val="-3"/>
              <w:rPr>
                <w:sz w:val="18"/>
                <w:szCs w:val="18"/>
                <w:rtl/>
              </w:rPr>
            </w:pPr>
            <w:r w:rsidRPr="00CF2A74">
              <w:rPr>
                <w:sz w:val="18"/>
                <w:szCs w:val="18"/>
                <w:rtl/>
              </w:rPr>
              <w:t xml:space="preserve"> -</w:t>
            </w:r>
          </w:p>
        </w:tc>
        <w:tc>
          <w:tcPr>
            <w:tcW w:w="1166" w:type="dxa"/>
            <w:vAlign w:val="bottom"/>
          </w:tcPr>
          <w:p w14:paraId="5ACB0840" w14:textId="77777777" w:rsidR="006E7796" w:rsidRPr="00AD318D" w:rsidRDefault="006E7796" w:rsidP="008A0C00">
            <w:pPr>
              <w:pStyle w:val="-3"/>
              <w:rPr>
                <w:sz w:val="18"/>
                <w:szCs w:val="18"/>
                <w:rtl/>
              </w:rPr>
            </w:pPr>
            <w:r w:rsidRPr="00CF2A74">
              <w:rPr>
                <w:sz w:val="18"/>
                <w:szCs w:val="18"/>
                <w:rtl/>
              </w:rPr>
              <w:t xml:space="preserve"> -</w:t>
            </w:r>
          </w:p>
        </w:tc>
        <w:tc>
          <w:tcPr>
            <w:tcW w:w="851" w:type="dxa"/>
            <w:vAlign w:val="bottom"/>
          </w:tcPr>
          <w:p w14:paraId="3A085DCF" w14:textId="77777777" w:rsidR="006E7796" w:rsidRPr="00AD318D" w:rsidRDefault="006E7796" w:rsidP="008A0C00">
            <w:pPr>
              <w:pStyle w:val="-3"/>
              <w:rPr>
                <w:sz w:val="18"/>
                <w:szCs w:val="18"/>
                <w:rtl/>
              </w:rPr>
            </w:pPr>
            <w:r w:rsidRPr="00CF2A74">
              <w:rPr>
                <w:sz w:val="18"/>
                <w:szCs w:val="18"/>
                <w:rtl/>
              </w:rPr>
              <w:t xml:space="preserve"> 0</w:t>
            </w:r>
          </w:p>
        </w:tc>
        <w:tc>
          <w:tcPr>
            <w:tcW w:w="713" w:type="dxa"/>
            <w:vAlign w:val="bottom"/>
          </w:tcPr>
          <w:p w14:paraId="6E03B0E1" w14:textId="77777777" w:rsidR="006E7796" w:rsidRPr="00AD318D" w:rsidRDefault="006E7796" w:rsidP="008A0C00">
            <w:pPr>
              <w:pStyle w:val="-3"/>
              <w:rPr>
                <w:sz w:val="18"/>
                <w:szCs w:val="18"/>
                <w:rtl/>
              </w:rPr>
            </w:pPr>
            <w:r w:rsidRPr="00CF2A74">
              <w:rPr>
                <w:sz w:val="18"/>
                <w:szCs w:val="18"/>
                <w:rtl/>
              </w:rPr>
              <w:t xml:space="preserve"> 0</w:t>
            </w:r>
          </w:p>
        </w:tc>
      </w:tr>
      <w:tr w:rsidR="006E7796" w:rsidRPr="00AD318D" w14:paraId="723FBBA9" w14:textId="77777777" w:rsidTr="00912661">
        <w:tc>
          <w:tcPr>
            <w:tcW w:w="1073" w:type="dxa"/>
          </w:tcPr>
          <w:p w14:paraId="4FADADD3" w14:textId="77777777" w:rsidR="006E7796" w:rsidRPr="00AD318D" w:rsidRDefault="006E7796" w:rsidP="008A0C00">
            <w:pPr>
              <w:pStyle w:val="-0"/>
              <w:rPr>
                <w:sz w:val="18"/>
                <w:szCs w:val="18"/>
                <w:rtl/>
              </w:rPr>
            </w:pPr>
          </w:p>
        </w:tc>
        <w:tc>
          <w:tcPr>
            <w:tcW w:w="4042" w:type="dxa"/>
            <w:gridSpan w:val="2"/>
            <w:vAlign w:val="bottom"/>
          </w:tcPr>
          <w:p w14:paraId="54F24BB9" w14:textId="77777777" w:rsidR="006E7796" w:rsidRPr="005F47BE" w:rsidRDefault="006E7796" w:rsidP="008A0C00">
            <w:pPr>
              <w:pStyle w:val="-0"/>
              <w:rPr>
                <w:sz w:val="18"/>
                <w:szCs w:val="18"/>
                <w:rtl/>
              </w:rPr>
            </w:pPr>
            <w:r w:rsidRPr="005F47BE">
              <w:rPr>
                <w:rFonts w:hint="eastAsia"/>
                <w:sz w:val="18"/>
                <w:szCs w:val="18"/>
                <w:rtl/>
              </w:rPr>
              <w:t>נכסים</w:t>
            </w:r>
            <w:r w:rsidRPr="005F47BE">
              <w:rPr>
                <w:sz w:val="18"/>
                <w:szCs w:val="18"/>
                <w:rtl/>
              </w:rPr>
              <w:t xml:space="preserve"> </w:t>
            </w:r>
            <w:r w:rsidRPr="005F47BE">
              <w:rPr>
                <w:rFonts w:hint="eastAsia"/>
                <w:sz w:val="18"/>
                <w:szCs w:val="18"/>
                <w:rtl/>
              </w:rPr>
              <w:t>בגין</w:t>
            </w:r>
            <w:r w:rsidRPr="005F47BE">
              <w:rPr>
                <w:sz w:val="18"/>
                <w:szCs w:val="18"/>
                <w:rtl/>
              </w:rPr>
              <w:t xml:space="preserve"> </w:t>
            </w:r>
            <w:r w:rsidRPr="005F47BE">
              <w:rPr>
                <w:rFonts w:hint="eastAsia"/>
                <w:sz w:val="18"/>
                <w:szCs w:val="18"/>
                <w:rtl/>
              </w:rPr>
              <w:t>מכשירים</w:t>
            </w:r>
            <w:r w:rsidRPr="005F47BE">
              <w:rPr>
                <w:sz w:val="18"/>
                <w:szCs w:val="18"/>
                <w:rtl/>
              </w:rPr>
              <w:t xml:space="preserve"> </w:t>
            </w:r>
            <w:r w:rsidRPr="005F47BE">
              <w:rPr>
                <w:rFonts w:hint="eastAsia"/>
                <w:sz w:val="18"/>
                <w:szCs w:val="18"/>
                <w:rtl/>
              </w:rPr>
              <w:t>נגזרים</w:t>
            </w:r>
          </w:p>
        </w:tc>
        <w:tc>
          <w:tcPr>
            <w:tcW w:w="636" w:type="dxa"/>
            <w:vAlign w:val="bottom"/>
          </w:tcPr>
          <w:p w14:paraId="6E4FCA67" w14:textId="77777777" w:rsidR="006E7796" w:rsidRPr="00AD318D" w:rsidRDefault="006E7796" w:rsidP="008A0C00">
            <w:pPr>
              <w:pStyle w:val="-3"/>
              <w:rPr>
                <w:sz w:val="18"/>
                <w:szCs w:val="18"/>
                <w:rtl/>
              </w:rPr>
            </w:pPr>
            <w:r w:rsidRPr="00CF2A74">
              <w:rPr>
                <w:sz w:val="18"/>
                <w:szCs w:val="18"/>
                <w:rtl/>
              </w:rPr>
              <w:t xml:space="preserve"> 0</w:t>
            </w:r>
          </w:p>
        </w:tc>
        <w:tc>
          <w:tcPr>
            <w:tcW w:w="992" w:type="dxa"/>
            <w:vAlign w:val="bottom"/>
          </w:tcPr>
          <w:p w14:paraId="0614B53A" w14:textId="77777777" w:rsidR="006E7796" w:rsidRPr="00AD318D" w:rsidRDefault="006E7796" w:rsidP="008A0C00">
            <w:pPr>
              <w:pStyle w:val="-3"/>
              <w:rPr>
                <w:sz w:val="18"/>
                <w:szCs w:val="18"/>
                <w:rtl/>
              </w:rPr>
            </w:pPr>
            <w:r w:rsidRPr="00CF2A74">
              <w:rPr>
                <w:sz w:val="18"/>
                <w:szCs w:val="18"/>
                <w:rtl/>
              </w:rPr>
              <w:t xml:space="preserve"> 0</w:t>
            </w:r>
          </w:p>
        </w:tc>
        <w:tc>
          <w:tcPr>
            <w:tcW w:w="818" w:type="dxa"/>
            <w:vAlign w:val="bottom"/>
          </w:tcPr>
          <w:p w14:paraId="63792372" w14:textId="77777777" w:rsidR="006E7796" w:rsidRPr="00AD318D" w:rsidRDefault="006E7796" w:rsidP="008A0C00">
            <w:pPr>
              <w:pStyle w:val="-3"/>
              <w:rPr>
                <w:sz w:val="18"/>
                <w:szCs w:val="18"/>
                <w:rtl/>
              </w:rPr>
            </w:pPr>
            <w:r w:rsidRPr="00CF2A74">
              <w:rPr>
                <w:sz w:val="18"/>
                <w:szCs w:val="18"/>
                <w:rtl/>
              </w:rPr>
              <w:t xml:space="preserve"> 0</w:t>
            </w:r>
          </w:p>
        </w:tc>
        <w:tc>
          <w:tcPr>
            <w:tcW w:w="1166" w:type="dxa"/>
            <w:vAlign w:val="bottom"/>
          </w:tcPr>
          <w:p w14:paraId="3951C127" w14:textId="77777777" w:rsidR="006E7796" w:rsidRPr="00AD318D" w:rsidRDefault="006E7796" w:rsidP="008A0C00">
            <w:pPr>
              <w:pStyle w:val="-3"/>
              <w:rPr>
                <w:sz w:val="18"/>
                <w:szCs w:val="18"/>
                <w:rtl/>
              </w:rPr>
            </w:pPr>
            <w:r w:rsidRPr="00CF2A74">
              <w:rPr>
                <w:sz w:val="18"/>
                <w:szCs w:val="18"/>
                <w:rtl/>
              </w:rPr>
              <w:t xml:space="preserve"> 0</w:t>
            </w:r>
          </w:p>
        </w:tc>
        <w:tc>
          <w:tcPr>
            <w:tcW w:w="851" w:type="dxa"/>
            <w:vAlign w:val="bottom"/>
          </w:tcPr>
          <w:p w14:paraId="106BCEDC" w14:textId="77777777" w:rsidR="006E7796" w:rsidRPr="00AD318D" w:rsidRDefault="006E7796" w:rsidP="008A0C00">
            <w:pPr>
              <w:pStyle w:val="-3"/>
              <w:rPr>
                <w:sz w:val="18"/>
                <w:szCs w:val="18"/>
                <w:rtl/>
              </w:rPr>
            </w:pPr>
            <w:r w:rsidRPr="00CF2A74">
              <w:rPr>
                <w:sz w:val="18"/>
                <w:szCs w:val="18"/>
                <w:rtl/>
              </w:rPr>
              <w:t xml:space="preserve"> 0</w:t>
            </w:r>
          </w:p>
        </w:tc>
        <w:tc>
          <w:tcPr>
            <w:tcW w:w="713" w:type="dxa"/>
            <w:vAlign w:val="bottom"/>
          </w:tcPr>
          <w:p w14:paraId="12EB91A9" w14:textId="77777777" w:rsidR="006E7796" w:rsidRPr="00AD318D" w:rsidRDefault="006E7796" w:rsidP="008A0C00">
            <w:pPr>
              <w:pStyle w:val="-3"/>
              <w:rPr>
                <w:sz w:val="18"/>
                <w:szCs w:val="18"/>
                <w:rtl/>
              </w:rPr>
            </w:pPr>
            <w:r w:rsidRPr="00CF2A74">
              <w:rPr>
                <w:sz w:val="18"/>
                <w:szCs w:val="18"/>
                <w:rtl/>
              </w:rPr>
              <w:t xml:space="preserve"> 0</w:t>
            </w:r>
          </w:p>
        </w:tc>
      </w:tr>
      <w:tr w:rsidR="006E7796" w:rsidRPr="00AD318D" w14:paraId="4B1181AA" w14:textId="77777777" w:rsidTr="00912661">
        <w:tc>
          <w:tcPr>
            <w:tcW w:w="1073" w:type="dxa"/>
          </w:tcPr>
          <w:p w14:paraId="120F363D" w14:textId="77777777" w:rsidR="006E7796" w:rsidRPr="00AD318D" w:rsidRDefault="006E7796" w:rsidP="007C54B1">
            <w:pPr>
              <w:pStyle w:val="-0"/>
              <w:rPr>
                <w:sz w:val="18"/>
                <w:szCs w:val="18"/>
                <w:rtl/>
              </w:rPr>
            </w:pPr>
          </w:p>
        </w:tc>
        <w:tc>
          <w:tcPr>
            <w:tcW w:w="4042" w:type="dxa"/>
            <w:gridSpan w:val="2"/>
            <w:vAlign w:val="bottom"/>
          </w:tcPr>
          <w:p w14:paraId="6CA06EBD" w14:textId="77777777" w:rsidR="006E7796" w:rsidRDefault="006E7796">
            <w:pPr>
              <w:pStyle w:val="-0"/>
              <w:rPr>
                <w:sz w:val="18"/>
                <w:szCs w:val="18"/>
                <w:rtl/>
              </w:rPr>
            </w:pPr>
            <w:r w:rsidRPr="005F47BE">
              <w:rPr>
                <w:sz w:val="18"/>
                <w:szCs w:val="18"/>
                <w:rtl/>
              </w:rPr>
              <w:t>נכסים אחרים</w:t>
            </w:r>
          </w:p>
        </w:tc>
        <w:tc>
          <w:tcPr>
            <w:tcW w:w="636" w:type="dxa"/>
            <w:vAlign w:val="bottom"/>
          </w:tcPr>
          <w:p w14:paraId="61C54BC8" w14:textId="77777777" w:rsidR="006E7796" w:rsidRPr="00AD318D" w:rsidRDefault="006E7796" w:rsidP="007C54B1">
            <w:pPr>
              <w:pStyle w:val="-3"/>
              <w:rPr>
                <w:sz w:val="18"/>
                <w:szCs w:val="18"/>
                <w:rtl/>
              </w:rPr>
            </w:pPr>
            <w:r w:rsidRPr="00AD318D">
              <w:rPr>
                <w:rFonts w:hint="cs"/>
                <w:sz w:val="18"/>
                <w:szCs w:val="18"/>
                <w:rtl/>
              </w:rPr>
              <w:t xml:space="preserve"> 0</w:t>
            </w:r>
          </w:p>
        </w:tc>
        <w:tc>
          <w:tcPr>
            <w:tcW w:w="992" w:type="dxa"/>
            <w:vAlign w:val="bottom"/>
          </w:tcPr>
          <w:p w14:paraId="68F93310" w14:textId="77777777" w:rsidR="006E7796" w:rsidRPr="00AD318D" w:rsidRDefault="006E7796" w:rsidP="007C54B1">
            <w:pPr>
              <w:pStyle w:val="-3"/>
              <w:rPr>
                <w:sz w:val="18"/>
                <w:szCs w:val="18"/>
                <w:rtl/>
              </w:rPr>
            </w:pPr>
            <w:r w:rsidRPr="00AD318D">
              <w:rPr>
                <w:rFonts w:hint="cs"/>
                <w:sz w:val="18"/>
                <w:szCs w:val="18"/>
                <w:rtl/>
              </w:rPr>
              <w:t xml:space="preserve"> 0</w:t>
            </w:r>
          </w:p>
        </w:tc>
        <w:tc>
          <w:tcPr>
            <w:tcW w:w="818" w:type="dxa"/>
            <w:vAlign w:val="bottom"/>
          </w:tcPr>
          <w:p w14:paraId="3B28CCDF" w14:textId="77777777" w:rsidR="006E7796" w:rsidRPr="00AD318D" w:rsidRDefault="006E7796" w:rsidP="007C54B1">
            <w:pPr>
              <w:pStyle w:val="-3"/>
              <w:rPr>
                <w:sz w:val="18"/>
                <w:szCs w:val="18"/>
                <w:rtl/>
              </w:rPr>
            </w:pPr>
            <w:r w:rsidRPr="00AD318D">
              <w:rPr>
                <w:rFonts w:hint="cs"/>
                <w:sz w:val="18"/>
                <w:szCs w:val="18"/>
                <w:rtl/>
              </w:rPr>
              <w:t xml:space="preserve"> 0</w:t>
            </w:r>
          </w:p>
        </w:tc>
        <w:tc>
          <w:tcPr>
            <w:tcW w:w="1166" w:type="dxa"/>
            <w:vAlign w:val="bottom"/>
          </w:tcPr>
          <w:p w14:paraId="27485B9C" w14:textId="77777777" w:rsidR="006E7796" w:rsidRPr="00AD318D" w:rsidRDefault="006E7796" w:rsidP="007C54B1">
            <w:pPr>
              <w:pStyle w:val="-3"/>
              <w:rPr>
                <w:sz w:val="18"/>
                <w:szCs w:val="18"/>
                <w:rtl/>
              </w:rPr>
            </w:pPr>
            <w:r w:rsidRPr="00AD318D">
              <w:rPr>
                <w:rFonts w:hint="cs"/>
                <w:sz w:val="18"/>
                <w:szCs w:val="18"/>
                <w:rtl/>
              </w:rPr>
              <w:t xml:space="preserve"> 0</w:t>
            </w:r>
          </w:p>
        </w:tc>
        <w:tc>
          <w:tcPr>
            <w:tcW w:w="851" w:type="dxa"/>
            <w:vAlign w:val="bottom"/>
          </w:tcPr>
          <w:p w14:paraId="1DEF25EC" w14:textId="77777777" w:rsidR="006E7796" w:rsidRPr="00AD318D" w:rsidRDefault="006E7796" w:rsidP="007C54B1">
            <w:pPr>
              <w:pStyle w:val="-3"/>
              <w:rPr>
                <w:sz w:val="18"/>
                <w:szCs w:val="18"/>
                <w:rtl/>
              </w:rPr>
            </w:pPr>
            <w:r w:rsidRPr="00AD318D">
              <w:rPr>
                <w:rFonts w:hint="cs"/>
                <w:sz w:val="18"/>
                <w:szCs w:val="18"/>
                <w:rtl/>
              </w:rPr>
              <w:t xml:space="preserve"> 0</w:t>
            </w:r>
          </w:p>
        </w:tc>
        <w:tc>
          <w:tcPr>
            <w:tcW w:w="713" w:type="dxa"/>
            <w:vAlign w:val="bottom"/>
          </w:tcPr>
          <w:p w14:paraId="7A8E95B0" w14:textId="77777777" w:rsidR="006E7796" w:rsidRPr="00AD318D" w:rsidRDefault="006E7796" w:rsidP="007C54B1">
            <w:pPr>
              <w:pStyle w:val="-3"/>
              <w:rPr>
                <w:sz w:val="18"/>
                <w:szCs w:val="18"/>
                <w:rtl/>
              </w:rPr>
            </w:pPr>
            <w:r w:rsidRPr="00AD318D">
              <w:rPr>
                <w:rFonts w:hint="cs"/>
                <w:sz w:val="18"/>
                <w:szCs w:val="18"/>
                <w:rtl/>
              </w:rPr>
              <w:t xml:space="preserve"> 0</w:t>
            </w:r>
          </w:p>
        </w:tc>
      </w:tr>
      <w:tr w:rsidR="006E7796" w:rsidRPr="00AD318D" w14:paraId="47CC865B" w14:textId="77777777" w:rsidTr="00912661">
        <w:tc>
          <w:tcPr>
            <w:tcW w:w="1073" w:type="dxa"/>
          </w:tcPr>
          <w:p w14:paraId="79A832FE" w14:textId="77777777" w:rsidR="006E7796" w:rsidRPr="00AD318D" w:rsidRDefault="006E7796" w:rsidP="007C54B1">
            <w:pPr>
              <w:pStyle w:val="-0"/>
              <w:rPr>
                <w:sz w:val="18"/>
                <w:szCs w:val="18"/>
                <w:rtl/>
              </w:rPr>
            </w:pPr>
          </w:p>
        </w:tc>
        <w:tc>
          <w:tcPr>
            <w:tcW w:w="4042" w:type="dxa"/>
            <w:gridSpan w:val="2"/>
            <w:vAlign w:val="bottom"/>
          </w:tcPr>
          <w:p w14:paraId="44B92B1E" w14:textId="77777777" w:rsidR="006E7796" w:rsidRPr="00030C7C" w:rsidRDefault="006E7796" w:rsidP="00030C7C">
            <w:pPr>
              <w:pStyle w:val="-21"/>
              <w:ind w:left="142" w:right="-284" w:hanging="142"/>
              <w:rPr>
                <w:sz w:val="18"/>
                <w:szCs w:val="18"/>
                <w:rtl/>
              </w:rPr>
            </w:pPr>
            <w:r w:rsidRPr="00030C7C">
              <w:rPr>
                <w:rFonts w:hint="eastAsia"/>
                <w:sz w:val="18"/>
                <w:szCs w:val="18"/>
                <w:rtl/>
              </w:rPr>
              <w:t>נכסים</w:t>
            </w:r>
            <w:r w:rsidRPr="00030C7C">
              <w:rPr>
                <w:sz w:val="18"/>
                <w:szCs w:val="18"/>
                <w:rtl/>
              </w:rPr>
              <w:t xml:space="preserve"> </w:t>
            </w:r>
            <w:r w:rsidRPr="00030C7C">
              <w:rPr>
                <w:rFonts w:hint="eastAsia"/>
                <w:sz w:val="18"/>
                <w:szCs w:val="18"/>
                <w:rtl/>
              </w:rPr>
              <w:t>המיוחסים</w:t>
            </w:r>
            <w:r w:rsidRPr="00030C7C">
              <w:rPr>
                <w:sz w:val="18"/>
                <w:szCs w:val="18"/>
                <w:rtl/>
              </w:rPr>
              <w:t xml:space="preserve"> </w:t>
            </w:r>
            <w:r w:rsidRPr="00030C7C">
              <w:rPr>
                <w:rFonts w:hint="eastAsia"/>
                <w:sz w:val="18"/>
                <w:szCs w:val="18"/>
                <w:rtl/>
              </w:rPr>
              <w:t>לפעילויות</w:t>
            </w:r>
            <w:r w:rsidRPr="00030C7C">
              <w:rPr>
                <w:sz w:val="18"/>
                <w:szCs w:val="18"/>
                <w:rtl/>
              </w:rPr>
              <w:t xml:space="preserve"> </w:t>
            </w:r>
            <w:r w:rsidRPr="00030C7C">
              <w:rPr>
                <w:rFonts w:hint="eastAsia"/>
                <w:sz w:val="18"/>
                <w:szCs w:val="18"/>
                <w:rtl/>
              </w:rPr>
              <w:t>שהופסקו</w:t>
            </w:r>
            <w:r w:rsidRPr="00030C7C">
              <w:rPr>
                <w:sz w:val="18"/>
                <w:szCs w:val="18"/>
                <w:rtl/>
              </w:rPr>
              <w:t>/ נכסים (</w:t>
            </w:r>
            <w:r w:rsidRPr="00030C7C">
              <w:rPr>
                <w:rFonts w:hint="eastAsia"/>
                <w:sz w:val="18"/>
                <w:szCs w:val="18"/>
                <w:rtl/>
              </w:rPr>
              <w:t>בגין</w:t>
            </w:r>
            <w:r w:rsidRPr="00030C7C">
              <w:rPr>
                <w:sz w:val="18"/>
                <w:szCs w:val="18"/>
                <w:rtl/>
              </w:rPr>
              <w:t xml:space="preserve"> </w:t>
            </w:r>
            <w:r w:rsidRPr="00030C7C">
              <w:rPr>
                <w:rFonts w:hint="eastAsia"/>
                <w:sz w:val="18"/>
                <w:szCs w:val="18"/>
                <w:rtl/>
              </w:rPr>
              <w:t>קבוצת</w:t>
            </w:r>
            <w:r w:rsidRPr="00030C7C">
              <w:rPr>
                <w:sz w:val="18"/>
                <w:szCs w:val="18"/>
                <w:rtl/>
              </w:rPr>
              <w:t xml:space="preserve"> מימוש) </w:t>
            </w:r>
            <w:r w:rsidRPr="00030C7C">
              <w:rPr>
                <w:rFonts w:hint="eastAsia"/>
                <w:sz w:val="18"/>
                <w:szCs w:val="18"/>
                <w:rtl/>
              </w:rPr>
              <w:t>המסווגים</w:t>
            </w:r>
            <w:r w:rsidRPr="00030C7C">
              <w:rPr>
                <w:sz w:val="18"/>
                <w:szCs w:val="18"/>
                <w:rtl/>
              </w:rPr>
              <w:t xml:space="preserve"> </w:t>
            </w:r>
            <w:r w:rsidRPr="00030C7C">
              <w:rPr>
                <w:rFonts w:hint="eastAsia"/>
                <w:sz w:val="18"/>
                <w:szCs w:val="18"/>
                <w:rtl/>
              </w:rPr>
              <w:t>כמוחזקים</w:t>
            </w:r>
            <w:r w:rsidRPr="00030C7C">
              <w:rPr>
                <w:sz w:val="18"/>
                <w:szCs w:val="18"/>
                <w:rtl/>
              </w:rPr>
              <w:t xml:space="preserve"> </w:t>
            </w:r>
            <w:r w:rsidRPr="00030C7C">
              <w:rPr>
                <w:rFonts w:hint="eastAsia"/>
                <w:sz w:val="18"/>
                <w:szCs w:val="18"/>
                <w:rtl/>
              </w:rPr>
              <w:t>למכירה</w:t>
            </w:r>
          </w:p>
        </w:tc>
        <w:tc>
          <w:tcPr>
            <w:tcW w:w="636" w:type="dxa"/>
            <w:vAlign w:val="bottom"/>
          </w:tcPr>
          <w:p w14:paraId="0EB7E6A8" w14:textId="77777777" w:rsidR="006E7796" w:rsidRDefault="006E7796" w:rsidP="00CF2A74">
            <w:pPr>
              <w:pStyle w:val="-3"/>
              <w:pBdr>
                <w:bottom w:val="single" w:sz="4" w:space="1" w:color="auto"/>
              </w:pBdr>
              <w:rPr>
                <w:sz w:val="18"/>
                <w:szCs w:val="18"/>
                <w:rtl/>
              </w:rPr>
            </w:pPr>
            <w:r w:rsidRPr="00AD318D">
              <w:rPr>
                <w:rFonts w:hint="cs"/>
                <w:sz w:val="18"/>
                <w:szCs w:val="18"/>
                <w:rtl/>
              </w:rPr>
              <w:t xml:space="preserve"> 0</w:t>
            </w:r>
          </w:p>
        </w:tc>
        <w:tc>
          <w:tcPr>
            <w:tcW w:w="992" w:type="dxa"/>
            <w:vAlign w:val="bottom"/>
          </w:tcPr>
          <w:p w14:paraId="40187CD2" w14:textId="77777777" w:rsidR="006E7796" w:rsidRDefault="006E7796" w:rsidP="00CF2A74">
            <w:pPr>
              <w:pStyle w:val="-3"/>
              <w:pBdr>
                <w:bottom w:val="single" w:sz="4" w:space="1" w:color="auto"/>
              </w:pBdr>
              <w:rPr>
                <w:sz w:val="18"/>
                <w:szCs w:val="18"/>
                <w:rtl/>
              </w:rPr>
            </w:pPr>
            <w:r w:rsidRPr="00AD318D">
              <w:rPr>
                <w:rFonts w:hint="cs"/>
                <w:sz w:val="18"/>
                <w:szCs w:val="18"/>
                <w:rtl/>
              </w:rPr>
              <w:t xml:space="preserve"> 0</w:t>
            </w:r>
          </w:p>
        </w:tc>
        <w:tc>
          <w:tcPr>
            <w:tcW w:w="818" w:type="dxa"/>
            <w:vAlign w:val="bottom"/>
          </w:tcPr>
          <w:p w14:paraId="06794A33" w14:textId="77777777" w:rsidR="006E7796" w:rsidRDefault="006E7796" w:rsidP="00CF2A74">
            <w:pPr>
              <w:pStyle w:val="-3"/>
              <w:pBdr>
                <w:bottom w:val="single" w:sz="4" w:space="1" w:color="auto"/>
              </w:pBdr>
              <w:rPr>
                <w:sz w:val="18"/>
                <w:szCs w:val="18"/>
                <w:rtl/>
              </w:rPr>
            </w:pPr>
            <w:r w:rsidRPr="00AD318D">
              <w:rPr>
                <w:rFonts w:hint="cs"/>
                <w:sz w:val="18"/>
                <w:szCs w:val="18"/>
                <w:rtl/>
              </w:rPr>
              <w:t xml:space="preserve"> 0</w:t>
            </w:r>
          </w:p>
        </w:tc>
        <w:tc>
          <w:tcPr>
            <w:tcW w:w="1166" w:type="dxa"/>
            <w:vAlign w:val="bottom"/>
          </w:tcPr>
          <w:p w14:paraId="76204C0F" w14:textId="77777777" w:rsidR="006E7796" w:rsidRDefault="006E7796" w:rsidP="00CF2A74">
            <w:pPr>
              <w:pStyle w:val="-3"/>
              <w:pBdr>
                <w:bottom w:val="single" w:sz="4" w:space="1" w:color="auto"/>
              </w:pBdr>
              <w:rPr>
                <w:sz w:val="18"/>
                <w:szCs w:val="18"/>
                <w:rtl/>
              </w:rPr>
            </w:pPr>
            <w:r w:rsidRPr="00AD318D">
              <w:rPr>
                <w:rFonts w:hint="cs"/>
                <w:sz w:val="18"/>
                <w:szCs w:val="18"/>
                <w:rtl/>
              </w:rPr>
              <w:t xml:space="preserve"> 0</w:t>
            </w:r>
          </w:p>
        </w:tc>
        <w:tc>
          <w:tcPr>
            <w:tcW w:w="851" w:type="dxa"/>
            <w:vAlign w:val="bottom"/>
          </w:tcPr>
          <w:p w14:paraId="5012CADE" w14:textId="77777777" w:rsidR="006E7796" w:rsidRDefault="006E7796" w:rsidP="00CF2A74">
            <w:pPr>
              <w:pStyle w:val="-3"/>
              <w:pBdr>
                <w:bottom w:val="single" w:sz="4" w:space="1" w:color="auto"/>
              </w:pBdr>
              <w:rPr>
                <w:sz w:val="18"/>
                <w:szCs w:val="18"/>
                <w:rtl/>
              </w:rPr>
            </w:pPr>
            <w:r w:rsidRPr="00AD318D">
              <w:rPr>
                <w:rFonts w:hint="cs"/>
                <w:sz w:val="18"/>
                <w:szCs w:val="18"/>
                <w:rtl/>
              </w:rPr>
              <w:t xml:space="preserve"> 0</w:t>
            </w:r>
          </w:p>
        </w:tc>
        <w:tc>
          <w:tcPr>
            <w:tcW w:w="713" w:type="dxa"/>
            <w:vAlign w:val="bottom"/>
          </w:tcPr>
          <w:p w14:paraId="7BFD8461" w14:textId="77777777" w:rsidR="006E7796" w:rsidRDefault="006E7796" w:rsidP="00CF2A74">
            <w:pPr>
              <w:pStyle w:val="-3"/>
              <w:pBdr>
                <w:bottom w:val="single" w:sz="4" w:space="1" w:color="auto"/>
              </w:pBdr>
              <w:rPr>
                <w:sz w:val="18"/>
                <w:szCs w:val="18"/>
                <w:rtl/>
              </w:rPr>
            </w:pPr>
            <w:r w:rsidRPr="00AD318D">
              <w:rPr>
                <w:rFonts w:hint="cs"/>
                <w:sz w:val="18"/>
                <w:szCs w:val="18"/>
                <w:rtl/>
              </w:rPr>
              <w:t xml:space="preserve"> 0</w:t>
            </w:r>
          </w:p>
        </w:tc>
      </w:tr>
      <w:tr w:rsidR="006E7796" w:rsidRPr="00AD318D" w14:paraId="24F38506" w14:textId="77777777" w:rsidTr="00912661">
        <w:tc>
          <w:tcPr>
            <w:tcW w:w="1073" w:type="dxa"/>
          </w:tcPr>
          <w:p w14:paraId="0C4B3A7C" w14:textId="77777777" w:rsidR="006E7796" w:rsidRPr="00AD318D" w:rsidRDefault="006E7796" w:rsidP="007C54B1">
            <w:pPr>
              <w:pStyle w:val="-b"/>
              <w:rPr>
                <w:sz w:val="18"/>
                <w:szCs w:val="18"/>
                <w:rtl/>
              </w:rPr>
            </w:pPr>
          </w:p>
        </w:tc>
        <w:tc>
          <w:tcPr>
            <w:tcW w:w="4042" w:type="dxa"/>
            <w:gridSpan w:val="2"/>
            <w:vAlign w:val="bottom"/>
          </w:tcPr>
          <w:p w14:paraId="3D0F7054" w14:textId="77777777" w:rsidR="006E7796" w:rsidRPr="005F47BE" w:rsidRDefault="006E7796" w:rsidP="007C54B1">
            <w:pPr>
              <w:pStyle w:val="-b"/>
              <w:rPr>
                <w:sz w:val="18"/>
                <w:szCs w:val="18"/>
                <w:rtl/>
              </w:rPr>
            </w:pPr>
            <w:r w:rsidRPr="005F47BE">
              <w:rPr>
                <w:sz w:val="18"/>
                <w:szCs w:val="18"/>
                <w:rtl/>
              </w:rPr>
              <w:t>סך כל הנכסים</w:t>
            </w:r>
          </w:p>
        </w:tc>
        <w:tc>
          <w:tcPr>
            <w:tcW w:w="636" w:type="dxa"/>
            <w:vAlign w:val="bottom"/>
          </w:tcPr>
          <w:p w14:paraId="145512B8" w14:textId="77777777" w:rsidR="006E7796" w:rsidRDefault="006E7796" w:rsidP="00CF2A74">
            <w:pPr>
              <w:pStyle w:val="-0"/>
              <w:pBdr>
                <w:bottom w:val="single" w:sz="4" w:space="1" w:color="auto"/>
              </w:pBdr>
              <w:rPr>
                <w:b/>
                <w:bCs/>
                <w:sz w:val="18"/>
                <w:szCs w:val="18"/>
                <w:rtl/>
              </w:rPr>
            </w:pPr>
            <w:r w:rsidRPr="00AD318D">
              <w:rPr>
                <w:rFonts w:hint="cs"/>
                <w:b/>
                <w:bCs/>
                <w:sz w:val="18"/>
                <w:szCs w:val="18"/>
                <w:rtl/>
              </w:rPr>
              <w:t xml:space="preserve"> 0</w:t>
            </w:r>
          </w:p>
        </w:tc>
        <w:tc>
          <w:tcPr>
            <w:tcW w:w="992" w:type="dxa"/>
            <w:vAlign w:val="bottom"/>
          </w:tcPr>
          <w:p w14:paraId="1EBBEC45" w14:textId="77777777" w:rsidR="006E7796" w:rsidRDefault="006E7796" w:rsidP="00CF2A74">
            <w:pPr>
              <w:pStyle w:val="-0"/>
              <w:pBdr>
                <w:bottom w:val="single" w:sz="4" w:space="1" w:color="auto"/>
              </w:pBdr>
              <w:rPr>
                <w:b/>
                <w:bCs/>
                <w:sz w:val="18"/>
                <w:szCs w:val="18"/>
                <w:rtl/>
              </w:rPr>
            </w:pPr>
            <w:r w:rsidRPr="00AD318D">
              <w:rPr>
                <w:rFonts w:hint="cs"/>
                <w:b/>
                <w:bCs/>
                <w:sz w:val="18"/>
                <w:szCs w:val="18"/>
                <w:rtl/>
              </w:rPr>
              <w:t xml:space="preserve"> 0</w:t>
            </w:r>
          </w:p>
        </w:tc>
        <w:tc>
          <w:tcPr>
            <w:tcW w:w="818" w:type="dxa"/>
            <w:vAlign w:val="bottom"/>
          </w:tcPr>
          <w:p w14:paraId="2A63DB39" w14:textId="77777777" w:rsidR="006E7796" w:rsidRDefault="006E7796" w:rsidP="00CF2A74">
            <w:pPr>
              <w:pStyle w:val="-0"/>
              <w:pBdr>
                <w:bottom w:val="single" w:sz="4" w:space="1" w:color="auto"/>
              </w:pBdr>
              <w:rPr>
                <w:b/>
                <w:bCs/>
                <w:sz w:val="18"/>
                <w:szCs w:val="18"/>
                <w:rtl/>
              </w:rPr>
            </w:pPr>
            <w:r w:rsidRPr="00AD318D">
              <w:rPr>
                <w:rFonts w:hint="cs"/>
                <w:b/>
                <w:bCs/>
                <w:sz w:val="18"/>
                <w:szCs w:val="18"/>
                <w:rtl/>
              </w:rPr>
              <w:t xml:space="preserve"> 0</w:t>
            </w:r>
          </w:p>
        </w:tc>
        <w:tc>
          <w:tcPr>
            <w:tcW w:w="1166" w:type="dxa"/>
            <w:vAlign w:val="bottom"/>
          </w:tcPr>
          <w:p w14:paraId="53DDF079" w14:textId="77777777" w:rsidR="006E7796" w:rsidRDefault="006E7796" w:rsidP="00CF2A74">
            <w:pPr>
              <w:pStyle w:val="-0"/>
              <w:pBdr>
                <w:bottom w:val="single" w:sz="4" w:space="1" w:color="auto"/>
              </w:pBdr>
              <w:rPr>
                <w:b/>
                <w:bCs/>
                <w:sz w:val="18"/>
                <w:szCs w:val="18"/>
                <w:rtl/>
              </w:rPr>
            </w:pPr>
            <w:r w:rsidRPr="00AD318D">
              <w:rPr>
                <w:rFonts w:hint="cs"/>
                <w:b/>
                <w:bCs/>
                <w:sz w:val="18"/>
                <w:szCs w:val="18"/>
                <w:rtl/>
              </w:rPr>
              <w:t xml:space="preserve"> 0</w:t>
            </w:r>
          </w:p>
        </w:tc>
        <w:tc>
          <w:tcPr>
            <w:tcW w:w="851" w:type="dxa"/>
            <w:vAlign w:val="bottom"/>
          </w:tcPr>
          <w:p w14:paraId="045F38D6" w14:textId="77777777" w:rsidR="006E7796" w:rsidRDefault="006E7796" w:rsidP="00CF2A74">
            <w:pPr>
              <w:pStyle w:val="-0"/>
              <w:pBdr>
                <w:bottom w:val="single" w:sz="4" w:space="1" w:color="auto"/>
              </w:pBdr>
              <w:rPr>
                <w:b/>
                <w:bCs/>
                <w:sz w:val="18"/>
                <w:szCs w:val="18"/>
                <w:rtl/>
              </w:rPr>
            </w:pPr>
            <w:r w:rsidRPr="00AD318D">
              <w:rPr>
                <w:rFonts w:hint="cs"/>
                <w:b/>
                <w:bCs/>
                <w:sz w:val="18"/>
                <w:szCs w:val="18"/>
                <w:rtl/>
              </w:rPr>
              <w:t xml:space="preserve"> 0</w:t>
            </w:r>
          </w:p>
        </w:tc>
        <w:tc>
          <w:tcPr>
            <w:tcW w:w="713" w:type="dxa"/>
            <w:vAlign w:val="bottom"/>
          </w:tcPr>
          <w:p w14:paraId="54142C47" w14:textId="77777777" w:rsidR="006E7796" w:rsidRDefault="006E7796" w:rsidP="00CF2A74">
            <w:pPr>
              <w:pStyle w:val="-0"/>
              <w:pBdr>
                <w:bottom w:val="single" w:sz="4" w:space="1" w:color="auto"/>
              </w:pBdr>
              <w:rPr>
                <w:b/>
                <w:bCs/>
                <w:sz w:val="18"/>
                <w:szCs w:val="18"/>
                <w:rtl/>
              </w:rPr>
            </w:pPr>
            <w:r w:rsidRPr="00AD318D">
              <w:rPr>
                <w:rFonts w:hint="cs"/>
                <w:b/>
                <w:bCs/>
                <w:sz w:val="18"/>
                <w:szCs w:val="18"/>
                <w:rtl/>
              </w:rPr>
              <w:t xml:space="preserve"> 0</w:t>
            </w:r>
          </w:p>
        </w:tc>
      </w:tr>
      <w:tr w:rsidR="006E7796" w:rsidRPr="00AD318D" w14:paraId="1930510B" w14:textId="77777777" w:rsidTr="00912661">
        <w:tc>
          <w:tcPr>
            <w:tcW w:w="1073" w:type="dxa"/>
          </w:tcPr>
          <w:p w14:paraId="2D42F9DE" w14:textId="77777777" w:rsidR="006E7796" w:rsidRDefault="006E7796" w:rsidP="00C636B7">
            <w:pPr>
              <w:pStyle w:val="-0"/>
              <w:spacing w:line="120" w:lineRule="auto"/>
              <w:ind w:left="142" w:hanging="142"/>
              <w:rPr>
                <w:sz w:val="18"/>
                <w:szCs w:val="18"/>
                <w:rtl/>
              </w:rPr>
            </w:pPr>
          </w:p>
        </w:tc>
        <w:tc>
          <w:tcPr>
            <w:tcW w:w="4042" w:type="dxa"/>
            <w:gridSpan w:val="2"/>
            <w:vAlign w:val="bottom"/>
          </w:tcPr>
          <w:p w14:paraId="7D788672" w14:textId="77777777" w:rsidR="006E7796" w:rsidRPr="005F47BE" w:rsidRDefault="006E7796" w:rsidP="00C636B7">
            <w:pPr>
              <w:pStyle w:val="-0"/>
              <w:spacing w:line="120" w:lineRule="auto"/>
              <w:ind w:left="142" w:hanging="142"/>
              <w:rPr>
                <w:sz w:val="18"/>
                <w:szCs w:val="18"/>
                <w:rtl/>
              </w:rPr>
            </w:pPr>
          </w:p>
        </w:tc>
        <w:tc>
          <w:tcPr>
            <w:tcW w:w="636" w:type="dxa"/>
          </w:tcPr>
          <w:p w14:paraId="13CACA96" w14:textId="77777777" w:rsidR="006E7796" w:rsidRDefault="006E7796" w:rsidP="00C636B7">
            <w:pPr>
              <w:pStyle w:val="-0"/>
              <w:spacing w:line="120" w:lineRule="auto"/>
              <w:ind w:left="142" w:hanging="142"/>
              <w:rPr>
                <w:sz w:val="18"/>
                <w:szCs w:val="18"/>
                <w:rtl/>
              </w:rPr>
            </w:pPr>
          </w:p>
        </w:tc>
        <w:tc>
          <w:tcPr>
            <w:tcW w:w="992" w:type="dxa"/>
          </w:tcPr>
          <w:p w14:paraId="65CAAA0A" w14:textId="77777777" w:rsidR="006E7796" w:rsidRDefault="006E7796" w:rsidP="00C636B7">
            <w:pPr>
              <w:pStyle w:val="-0"/>
              <w:spacing w:line="120" w:lineRule="auto"/>
              <w:ind w:left="142" w:hanging="142"/>
              <w:rPr>
                <w:sz w:val="18"/>
                <w:szCs w:val="18"/>
                <w:rtl/>
              </w:rPr>
            </w:pPr>
          </w:p>
        </w:tc>
        <w:tc>
          <w:tcPr>
            <w:tcW w:w="818" w:type="dxa"/>
          </w:tcPr>
          <w:p w14:paraId="2AEA41C3" w14:textId="77777777" w:rsidR="006E7796" w:rsidRDefault="006E7796" w:rsidP="00C636B7">
            <w:pPr>
              <w:pStyle w:val="-0"/>
              <w:spacing w:line="120" w:lineRule="auto"/>
              <w:ind w:left="142" w:hanging="142"/>
              <w:rPr>
                <w:sz w:val="18"/>
                <w:szCs w:val="18"/>
                <w:rtl/>
              </w:rPr>
            </w:pPr>
          </w:p>
        </w:tc>
        <w:tc>
          <w:tcPr>
            <w:tcW w:w="1166" w:type="dxa"/>
          </w:tcPr>
          <w:p w14:paraId="77E9A08A" w14:textId="77777777" w:rsidR="006E7796" w:rsidRDefault="006E7796" w:rsidP="00C636B7">
            <w:pPr>
              <w:pStyle w:val="-0"/>
              <w:spacing w:line="120" w:lineRule="auto"/>
              <w:ind w:left="142" w:hanging="142"/>
              <w:rPr>
                <w:sz w:val="18"/>
                <w:szCs w:val="18"/>
                <w:rtl/>
              </w:rPr>
            </w:pPr>
          </w:p>
        </w:tc>
        <w:tc>
          <w:tcPr>
            <w:tcW w:w="851" w:type="dxa"/>
          </w:tcPr>
          <w:p w14:paraId="58C0D201" w14:textId="77777777" w:rsidR="006E7796" w:rsidRDefault="006E7796" w:rsidP="00C636B7">
            <w:pPr>
              <w:pStyle w:val="-0"/>
              <w:spacing w:line="120" w:lineRule="auto"/>
              <w:ind w:left="142" w:hanging="142"/>
              <w:rPr>
                <w:sz w:val="18"/>
                <w:szCs w:val="18"/>
                <w:rtl/>
              </w:rPr>
            </w:pPr>
          </w:p>
        </w:tc>
        <w:tc>
          <w:tcPr>
            <w:tcW w:w="713" w:type="dxa"/>
          </w:tcPr>
          <w:p w14:paraId="78456493" w14:textId="77777777" w:rsidR="006E7796" w:rsidRDefault="006E7796" w:rsidP="00C636B7">
            <w:pPr>
              <w:pStyle w:val="-0"/>
              <w:spacing w:line="120" w:lineRule="auto"/>
              <w:ind w:left="142" w:hanging="142"/>
              <w:rPr>
                <w:sz w:val="18"/>
                <w:szCs w:val="18"/>
                <w:rtl/>
              </w:rPr>
            </w:pPr>
          </w:p>
        </w:tc>
      </w:tr>
      <w:tr w:rsidR="006E7796" w:rsidRPr="00AD318D" w14:paraId="0DE2DE83" w14:textId="77777777" w:rsidTr="00912661">
        <w:tc>
          <w:tcPr>
            <w:tcW w:w="1073" w:type="dxa"/>
          </w:tcPr>
          <w:p w14:paraId="6DA1CD5D" w14:textId="77777777" w:rsidR="006E7796" w:rsidRPr="00AD318D" w:rsidRDefault="006E7796" w:rsidP="007C54B1">
            <w:pPr>
              <w:pStyle w:val="-0"/>
              <w:rPr>
                <w:b/>
                <w:bCs/>
                <w:sz w:val="18"/>
                <w:szCs w:val="18"/>
                <w:u w:val="single"/>
                <w:rtl/>
              </w:rPr>
            </w:pPr>
          </w:p>
        </w:tc>
        <w:tc>
          <w:tcPr>
            <w:tcW w:w="4042" w:type="dxa"/>
            <w:gridSpan w:val="2"/>
            <w:vAlign w:val="bottom"/>
          </w:tcPr>
          <w:p w14:paraId="735055BA" w14:textId="77777777" w:rsidR="006E7796" w:rsidRPr="005F47BE" w:rsidRDefault="006E7796" w:rsidP="007C54B1">
            <w:pPr>
              <w:pStyle w:val="-0"/>
              <w:rPr>
                <w:b/>
                <w:bCs/>
                <w:sz w:val="18"/>
                <w:szCs w:val="18"/>
                <w:u w:val="single"/>
                <w:rtl/>
              </w:rPr>
            </w:pPr>
            <w:r w:rsidRPr="005F47BE">
              <w:rPr>
                <w:b/>
                <w:bCs/>
                <w:sz w:val="18"/>
                <w:szCs w:val="18"/>
                <w:u w:val="single"/>
                <w:rtl/>
              </w:rPr>
              <w:t>התחייבויות</w:t>
            </w:r>
          </w:p>
        </w:tc>
        <w:tc>
          <w:tcPr>
            <w:tcW w:w="636" w:type="dxa"/>
            <w:vAlign w:val="bottom"/>
          </w:tcPr>
          <w:p w14:paraId="6BF5C4F7" w14:textId="77777777" w:rsidR="006E7796" w:rsidRPr="00AD318D" w:rsidRDefault="006E7796" w:rsidP="007C54B1">
            <w:pPr>
              <w:pStyle w:val="-0"/>
              <w:rPr>
                <w:sz w:val="18"/>
                <w:szCs w:val="18"/>
                <w:rtl/>
              </w:rPr>
            </w:pPr>
          </w:p>
        </w:tc>
        <w:tc>
          <w:tcPr>
            <w:tcW w:w="992" w:type="dxa"/>
            <w:vAlign w:val="bottom"/>
          </w:tcPr>
          <w:p w14:paraId="4E92366F" w14:textId="77777777" w:rsidR="006E7796" w:rsidRPr="00AD318D" w:rsidRDefault="006E7796" w:rsidP="007C54B1">
            <w:pPr>
              <w:pStyle w:val="-0"/>
              <w:rPr>
                <w:sz w:val="18"/>
                <w:szCs w:val="18"/>
                <w:rtl/>
              </w:rPr>
            </w:pPr>
          </w:p>
        </w:tc>
        <w:tc>
          <w:tcPr>
            <w:tcW w:w="818" w:type="dxa"/>
            <w:vAlign w:val="bottom"/>
          </w:tcPr>
          <w:p w14:paraId="5A3F2028" w14:textId="77777777" w:rsidR="006E7796" w:rsidRPr="00AD318D" w:rsidRDefault="006E7796" w:rsidP="007C54B1">
            <w:pPr>
              <w:pStyle w:val="-0"/>
              <w:rPr>
                <w:sz w:val="18"/>
                <w:szCs w:val="18"/>
                <w:rtl/>
              </w:rPr>
            </w:pPr>
          </w:p>
        </w:tc>
        <w:tc>
          <w:tcPr>
            <w:tcW w:w="1166" w:type="dxa"/>
            <w:vAlign w:val="bottom"/>
          </w:tcPr>
          <w:p w14:paraId="42C18495" w14:textId="77777777" w:rsidR="006E7796" w:rsidRPr="00AD318D" w:rsidRDefault="006E7796" w:rsidP="007C54B1">
            <w:pPr>
              <w:pStyle w:val="-0"/>
              <w:rPr>
                <w:sz w:val="18"/>
                <w:szCs w:val="18"/>
                <w:rtl/>
              </w:rPr>
            </w:pPr>
          </w:p>
        </w:tc>
        <w:tc>
          <w:tcPr>
            <w:tcW w:w="851" w:type="dxa"/>
            <w:vAlign w:val="bottom"/>
          </w:tcPr>
          <w:p w14:paraId="1508311B" w14:textId="77777777" w:rsidR="006E7796" w:rsidRPr="00AD318D" w:rsidRDefault="006E7796" w:rsidP="007C54B1">
            <w:pPr>
              <w:pStyle w:val="-0"/>
              <w:rPr>
                <w:sz w:val="18"/>
                <w:szCs w:val="18"/>
                <w:rtl/>
              </w:rPr>
            </w:pPr>
          </w:p>
        </w:tc>
        <w:tc>
          <w:tcPr>
            <w:tcW w:w="713" w:type="dxa"/>
            <w:vAlign w:val="bottom"/>
          </w:tcPr>
          <w:p w14:paraId="76509EA4" w14:textId="77777777" w:rsidR="006E7796" w:rsidRPr="00AD318D" w:rsidRDefault="006E7796" w:rsidP="007C54B1">
            <w:pPr>
              <w:pStyle w:val="-0"/>
              <w:rPr>
                <w:sz w:val="18"/>
                <w:szCs w:val="18"/>
                <w:rtl/>
              </w:rPr>
            </w:pPr>
          </w:p>
        </w:tc>
      </w:tr>
      <w:tr w:rsidR="006E7796" w:rsidRPr="00AD318D" w14:paraId="6FAF3414" w14:textId="77777777" w:rsidTr="00912661">
        <w:tc>
          <w:tcPr>
            <w:tcW w:w="1073" w:type="dxa"/>
          </w:tcPr>
          <w:p w14:paraId="537EEE7A" w14:textId="77777777" w:rsidR="006E7796" w:rsidRPr="00AD318D" w:rsidRDefault="006E7796" w:rsidP="007C54B1">
            <w:pPr>
              <w:pStyle w:val="-0"/>
              <w:rPr>
                <w:sz w:val="18"/>
                <w:szCs w:val="18"/>
                <w:rtl/>
              </w:rPr>
            </w:pPr>
          </w:p>
        </w:tc>
        <w:tc>
          <w:tcPr>
            <w:tcW w:w="4042" w:type="dxa"/>
            <w:gridSpan w:val="2"/>
            <w:vAlign w:val="bottom"/>
          </w:tcPr>
          <w:p w14:paraId="478FA293" w14:textId="77777777" w:rsidR="006E7796" w:rsidRPr="005F47BE" w:rsidRDefault="006E7796" w:rsidP="007C54B1">
            <w:pPr>
              <w:pStyle w:val="-0"/>
              <w:rPr>
                <w:sz w:val="18"/>
                <w:szCs w:val="18"/>
                <w:rtl/>
              </w:rPr>
            </w:pPr>
            <w:r w:rsidRPr="005F47BE">
              <w:rPr>
                <w:sz w:val="18"/>
                <w:szCs w:val="18"/>
                <w:rtl/>
              </w:rPr>
              <w:t>פ</w:t>
            </w:r>
            <w:r w:rsidRPr="005F47BE">
              <w:rPr>
                <w:rFonts w:hint="cs"/>
                <w:sz w:val="18"/>
                <w:szCs w:val="18"/>
                <w:rtl/>
              </w:rPr>
              <w:t>י</w:t>
            </w:r>
            <w:r w:rsidRPr="005F47BE">
              <w:rPr>
                <w:sz w:val="18"/>
                <w:szCs w:val="18"/>
                <w:rtl/>
              </w:rPr>
              <w:t>קדונות הציבור</w:t>
            </w:r>
          </w:p>
        </w:tc>
        <w:tc>
          <w:tcPr>
            <w:tcW w:w="636" w:type="dxa"/>
            <w:vAlign w:val="bottom"/>
          </w:tcPr>
          <w:p w14:paraId="6C5CBC96" w14:textId="77777777" w:rsidR="006E7796" w:rsidRPr="00AD318D" w:rsidRDefault="006E7796" w:rsidP="007C54B1">
            <w:pPr>
              <w:pStyle w:val="-0"/>
              <w:rPr>
                <w:sz w:val="18"/>
                <w:szCs w:val="18"/>
                <w:rtl/>
              </w:rPr>
            </w:pPr>
            <w:r w:rsidRPr="00AD318D">
              <w:rPr>
                <w:rFonts w:hint="cs"/>
                <w:sz w:val="18"/>
                <w:szCs w:val="18"/>
                <w:rtl/>
              </w:rPr>
              <w:t xml:space="preserve"> 0</w:t>
            </w:r>
          </w:p>
        </w:tc>
        <w:tc>
          <w:tcPr>
            <w:tcW w:w="992" w:type="dxa"/>
            <w:vAlign w:val="bottom"/>
          </w:tcPr>
          <w:p w14:paraId="3CBBC8DE" w14:textId="77777777" w:rsidR="006E7796" w:rsidRPr="00AD318D" w:rsidRDefault="006E7796" w:rsidP="007C54B1">
            <w:pPr>
              <w:pStyle w:val="-0"/>
              <w:rPr>
                <w:sz w:val="18"/>
                <w:szCs w:val="18"/>
                <w:rtl/>
              </w:rPr>
            </w:pPr>
            <w:r w:rsidRPr="00AD318D">
              <w:rPr>
                <w:rFonts w:hint="cs"/>
                <w:sz w:val="18"/>
                <w:szCs w:val="18"/>
                <w:rtl/>
              </w:rPr>
              <w:t xml:space="preserve"> 0</w:t>
            </w:r>
          </w:p>
        </w:tc>
        <w:tc>
          <w:tcPr>
            <w:tcW w:w="818" w:type="dxa"/>
            <w:vAlign w:val="bottom"/>
          </w:tcPr>
          <w:p w14:paraId="0B15C897" w14:textId="77777777" w:rsidR="006E7796" w:rsidRPr="00AD318D" w:rsidRDefault="006E7796" w:rsidP="007C54B1">
            <w:pPr>
              <w:pStyle w:val="-0"/>
              <w:rPr>
                <w:sz w:val="18"/>
                <w:szCs w:val="18"/>
                <w:rtl/>
              </w:rPr>
            </w:pPr>
            <w:r w:rsidRPr="00AD318D">
              <w:rPr>
                <w:rFonts w:hint="cs"/>
                <w:sz w:val="18"/>
                <w:szCs w:val="18"/>
                <w:rtl/>
              </w:rPr>
              <w:t xml:space="preserve"> 0</w:t>
            </w:r>
          </w:p>
        </w:tc>
        <w:tc>
          <w:tcPr>
            <w:tcW w:w="1166" w:type="dxa"/>
            <w:vAlign w:val="bottom"/>
          </w:tcPr>
          <w:p w14:paraId="5DBCF776" w14:textId="77777777" w:rsidR="006E7796" w:rsidRPr="00AD318D" w:rsidRDefault="006E7796" w:rsidP="007C54B1">
            <w:pPr>
              <w:pStyle w:val="-0"/>
              <w:rPr>
                <w:sz w:val="18"/>
                <w:szCs w:val="18"/>
                <w:rtl/>
              </w:rPr>
            </w:pPr>
            <w:r w:rsidRPr="00AD318D">
              <w:rPr>
                <w:rFonts w:hint="cs"/>
                <w:sz w:val="18"/>
                <w:szCs w:val="18"/>
                <w:rtl/>
              </w:rPr>
              <w:t xml:space="preserve"> 0</w:t>
            </w:r>
          </w:p>
        </w:tc>
        <w:tc>
          <w:tcPr>
            <w:tcW w:w="851" w:type="dxa"/>
            <w:vAlign w:val="bottom"/>
          </w:tcPr>
          <w:p w14:paraId="356E42F5" w14:textId="77777777" w:rsidR="006E7796" w:rsidRPr="00AD318D" w:rsidRDefault="006E7796" w:rsidP="007C54B1">
            <w:pPr>
              <w:pStyle w:val="-0"/>
              <w:rPr>
                <w:sz w:val="18"/>
                <w:szCs w:val="18"/>
                <w:rtl/>
              </w:rPr>
            </w:pPr>
            <w:r w:rsidRPr="00AD318D">
              <w:rPr>
                <w:rFonts w:hint="cs"/>
                <w:sz w:val="18"/>
                <w:szCs w:val="18"/>
                <w:rtl/>
              </w:rPr>
              <w:t xml:space="preserve"> 0</w:t>
            </w:r>
          </w:p>
        </w:tc>
        <w:tc>
          <w:tcPr>
            <w:tcW w:w="713" w:type="dxa"/>
            <w:vAlign w:val="bottom"/>
          </w:tcPr>
          <w:p w14:paraId="620B89B8" w14:textId="77777777" w:rsidR="006E7796" w:rsidRPr="00AD318D" w:rsidRDefault="006E7796" w:rsidP="007C54B1">
            <w:pPr>
              <w:pStyle w:val="-0"/>
              <w:rPr>
                <w:sz w:val="18"/>
                <w:szCs w:val="18"/>
                <w:rtl/>
              </w:rPr>
            </w:pPr>
            <w:r w:rsidRPr="00AD318D">
              <w:rPr>
                <w:rFonts w:hint="cs"/>
                <w:sz w:val="18"/>
                <w:szCs w:val="18"/>
                <w:rtl/>
              </w:rPr>
              <w:t xml:space="preserve"> 0</w:t>
            </w:r>
          </w:p>
        </w:tc>
      </w:tr>
      <w:tr w:rsidR="006E7796" w:rsidRPr="00AD318D" w14:paraId="34748FC2" w14:textId="77777777" w:rsidTr="00912661">
        <w:tc>
          <w:tcPr>
            <w:tcW w:w="1073" w:type="dxa"/>
          </w:tcPr>
          <w:p w14:paraId="2F6DD41C" w14:textId="77777777" w:rsidR="006E7796" w:rsidRPr="00AD318D" w:rsidRDefault="006E7796" w:rsidP="007C54B1">
            <w:pPr>
              <w:pStyle w:val="-0"/>
              <w:rPr>
                <w:sz w:val="18"/>
                <w:szCs w:val="18"/>
                <w:rtl/>
              </w:rPr>
            </w:pPr>
          </w:p>
        </w:tc>
        <w:tc>
          <w:tcPr>
            <w:tcW w:w="4042" w:type="dxa"/>
            <w:gridSpan w:val="2"/>
            <w:vAlign w:val="bottom"/>
          </w:tcPr>
          <w:p w14:paraId="236EFEEE" w14:textId="77777777" w:rsidR="006E7796" w:rsidRPr="005F47BE" w:rsidRDefault="006E7796" w:rsidP="007C54B1">
            <w:pPr>
              <w:pStyle w:val="-0"/>
              <w:rPr>
                <w:sz w:val="18"/>
                <w:szCs w:val="18"/>
                <w:rtl/>
              </w:rPr>
            </w:pPr>
            <w:r w:rsidRPr="005F47BE">
              <w:rPr>
                <w:sz w:val="18"/>
                <w:szCs w:val="18"/>
                <w:rtl/>
              </w:rPr>
              <w:t>פ</w:t>
            </w:r>
            <w:r w:rsidRPr="005F47BE">
              <w:rPr>
                <w:rFonts w:hint="cs"/>
                <w:sz w:val="18"/>
                <w:szCs w:val="18"/>
                <w:rtl/>
              </w:rPr>
              <w:t>י</w:t>
            </w:r>
            <w:r w:rsidRPr="005F47BE">
              <w:rPr>
                <w:sz w:val="18"/>
                <w:szCs w:val="18"/>
                <w:rtl/>
              </w:rPr>
              <w:t>קדונות מבנקים</w:t>
            </w:r>
          </w:p>
        </w:tc>
        <w:tc>
          <w:tcPr>
            <w:tcW w:w="636" w:type="dxa"/>
            <w:vAlign w:val="bottom"/>
          </w:tcPr>
          <w:p w14:paraId="7436B23F" w14:textId="77777777" w:rsidR="006E7796" w:rsidRPr="00AD318D" w:rsidRDefault="006E7796" w:rsidP="007C54B1">
            <w:pPr>
              <w:pStyle w:val="-0"/>
              <w:rPr>
                <w:sz w:val="18"/>
                <w:szCs w:val="18"/>
                <w:rtl/>
              </w:rPr>
            </w:pPr>
            <w:r w:rsidRPr="00AD318D">
              <w:rPr>
                <w:rFonts w:hint="cs"/>
                <w:sz w:val="18"/>
                <w:szCs w:val="18"/>
                <w:rtl/>
              </w:rPr>
              <w:t xml:space="preserve"> 0</w:t>
            </w:r>
          </w:p>
        </w:tc>
        <w:tc>
          <w:tcPr>
            <w:tcW w:w="992" w:type="dxa"/>
            <w:vAlign w:val="bottom"/>
          </w:tcPr>
          <w:p w14:paraId="71610728" w14:textId="77777777" w:rsidR="006E7796" w:rsidRPr="00AD318D" w:rsidRDefault="006E7796" w:rsidP="007C54B1">
            <w:pPr>
              <w:pStyle w:val="-0"/>
              <w:rPr>
                <w:sz w:val="18"/>
                <w:szCs w:val="18"/>
                <w:rtl/>
              </w:rPr>
            </w:pPr>
            <w:r w:rsidRPr="00AD318D">
              <w:rPr>
                <w:rFonts w:hint="cs"/>
                <w:sz w:val="18"/>
                <w:szCs w:val="18"/>
                <w:rtl/>
              </w:rPr>
              <w:t xml:space="preserve"> 0</w:t>
            </w:r>
          </w:p>
        </w:tc>
        <w:tc>
          <w:tcPr>
            <w:tcW w:w="818" w:type="dxa"/>
            <w:vAlign w:val="bottom"/>
          </w:tcPr>
          <w:p w14:paraId="325C7581" w14:textId="77777777" w:rsidR="006E7796" w:rsidRPr="00AD318D" w:rsidRDefault="006E7796" w:rsidP="007C54B1">
            <w:pPr>
              <w:pStyle w:val="-0"/>
              <w:rPr>
                <w:sz w:val="18"/>
                <w:szCs w:val="18"/>
                <w:rtl/>
              </w:rPr>
            </w:pPr>
            <w:r w:rsidRPr="00AD318D">
              <w:rPr>
                <w:rFonts w:hint="cs"/>
                <w:sz w:val="18"/>
                <w:szCs w:val="18"/>
                <w:rtl/>
              </w:rPr>
              <w:t xml:space="preserve"> 0</w:t>
            </w:r>
          </w:p>
        </w:tc>
        <w:tc>
          <w:tcPr>
            <w:tcW w:w="1166" w:type="dxa"/>
            <w:vAlign w:val="bottom"/>
          </w:tcPr>
          <w:p w14:paraId="2014A5F7" w14:textId="77777777" w:rsidR="006E7796" w:rsidRPr="00AD318D" w:rsidRDefault="006E7796" w:rsidP="007C54B1">
            <w:pPr>
              <w:pStyle w:val="-0"/>
              <w:rPr>
                <w:sz w:val="18"/>
                <w:szCs w:val="18"/>
                <w:rtl/>
              </w:rPr>
            </w:pPr>
            <w:r w:rsidRPr="00AD318D">
              <w:rPr>
                <w:rFonts w:hint="cs"/>
                <w:sz w:val="18"/>
                <w:szCs w:val="18"/>
                <w:rtl/>
              </w:rPr>
              <w:t xml:space="preserve"> 0</w:t>
            </w:r>
          </w:p>
        </w:tc>
        <w:tc>
          <w:tcPr>
            <w:tcW w:w="851" w:type="dxa"/>
            <w:vAlign w:val="bottom"/>
          </w:tcPr>
          <w:p w14:paraId="532FAEE0" w14:textId="77777777" w:rsidR="006E7796" w:rsidRPr="00AD318D" w:rsidRDefault="006E7796" w:rsidP="007C54B1">
            <w:pPr>
              <w:pStyle w:val="-0"/>
              <w:rPr>
                <w:sz w:val="18"/>
                <w:szCs w:val="18"/>
                <w:rtl/>
              </w:rPr>
            </w:pPr>
            <w:r w:rsidRPr="00AD318D">
              <w:rPr>
                <w:rFonts w:hint="cs"/>
                <w:sz w:val="18"/>
                <w:szCs w:val="18"/>
                <w:rtl/>
              </w:rPr>
              <w:t xml:space="preserve"> 0</w:t>
            </w:r>
          </w:p>
        </w:tc>
        <w:tc>
          <w:tcPr>
            <w:tcW w:w="713" w:type="dxa"/>
            <w:vAlign w:val="bottom"/>
          </w:tcPr>
          <w:p w14:paraId="67549F6A" w14:textId="77777777" w:rsidR="006E7796" w:rsidRPr="00AD318D" w:rsidRDefault="006E7796" w:rsidP="007C54B1">
            <w:pPr>
              <w:pStyle w:val="-0"/>
              <w:rPr>
                <w:sz w:val="18"/>
                <w:szCs w:val="18"/>
                <w:rtl/>
              </w:rPr>
            </w:pPr>
            <w:r w:rsidRPr="00AD318D">
              <w:rPr>
                <w:rFonts w:hint="cs"/>
                <w:sz w:val="18"/>
                <w:szCs w:val="18"/>
                <w:rtl/>
              </w:rPr>
              <w:t xml:space="preserve"> 0</w:t>
            </w:r>
          </w:p>
        </w:tc>
      </w:tr>
      <w:tr w:rsidR="006E7796" w:rsidRPr="00AD318D" w14:paraId="73849773" w14:textId="77777777" w:rsidTr="00912661">
        <w:tc>
          <w:tcPr>
            <w:tcW w:w="1073" w:type="dxa"/>
          </w:tcPr>
          <w:p w14:paraId="76BBCEAE" w14:textId="77777777" w:rsidR="006E7796" w:rsidRPr="00AD318D" w:rsidRDefault="006E7796" w:rsidP="007C54B1">
            <w:pPr>
              <w:pStyle w:val="-0"/>
              <w:rPr>
                <w:sz w:val="18"/>
                <w:szCs w:val="18"/>
                <w:rtl/>
              </w:rPr>
            </w:pPr>
          </w:p>
        </w:tc>
        <w:tc>
          <w:tcPr>
            <w:tcW w:w="4042" w:type="dxa"/>
            <w:gridSpan w:val="2"/>
            <w:vAlign w:val="bottom"/>
          </w:tcPr>
          <w:p w14:paraId="1DF4D4CF" w14:textId="77777777" w:rsidR="006E7796" w:rsidRPr="005F47BE" w:rsidRDefault="006E7796" w:rsidP="007C54B1">
            <w:pPr>
              <w:pStyle w:val="-0"/>
              <w:rPr>
                <w:sz w:val="18"/>
                <w:szCs w:val="18"/>
                <w:rtl/>
              </w:rPr>
            </w:pPr>
            <w:r w:rsidRPr="005F47BE">
              <w:rPr>
                <w:sz w:val="18"/>
                <w:szCs w:val="18"/>
                <w:rtl/>
              </w:rPr>
              <w:t>פ</w:t>
            </w:r>
            <w:r w:rsidRPr="005F47BE">
              <w:rPr>
                <w:rFonts w:hint="cs"/>
                <w:sz w:val="18"/>
                <w:szCs w:val="18"/>
                <w:rtl/>
              </w:rPr>
              <w:t>י</w:t>
            </w:r>
            <w:r w:rsidRPr="005F47BE">
              <w:rPr>
                <w:sz w:val="18"/>
                <w:szCs w:val="18"/>
                <w:rtl/>
              </w:rPr>
              <w:t>קדונות הממשלה</w:t>
            </w:r>
          </w:p>
        </w:tc>
        <w:tc>
          <w:tcPr>
            <w:tcW w:w="636" w:type="dxa"/>
            <w:vAlign w:val="bottom"/>
          </w:tcPr>
          <w:p w14:paraId="5494DCBE" w14:textId="77777777" w:rsidR="006E7796" w:rsidRPr="00AD318D" w:rsidRDefault="006E7796" w:rsidP="007C54B1">
            <w:pPr>
              <w:pStyle w:val="-0"/>
              <w:rPr>
                <w:sz w:val="18"/>
                <w:szCs w:val="18"/>
                <w:rtl/>
              </w:rPr>
            </w:pPr>
            <w:r w:rsidRPr="00AD318D">
              <w:rPr>
                <w:rFonts w:hint="cs"/>
                <w:sz w:val="18"/>
                <w:szCs w:val="18"/>
                <w:rtl/>
              </w:rPr>
              <w:t xml:space="preserve"> 0</w:t>
            </w:r>
          </w:p>
        </w:tc>
        <w:tc>
          <w:tcPr>
            <w:tcW w:w="992" w:type="dxa"/>
            <w:vAlign w:val="bottom"/>
          </w:tcPr>
          <w:p w14:paraId="6DE5532A" w14:textId="77777777" w:rsidR="006E7796" w:rsidRPr="00AD318D" w:rsidRDefault="006E7796" w:rsidP="007C54B1">
            <w:pPr>
              <w:pStyle w:val="-0"/>
              <w:rPr>
                <w:sz w:val="18"/>
                <w:szCs w:val="18"/>
                <w:rtl/>
              </w:rPr>
            </w:pPr>
            <w:r w:rsidRPr="00AD318D">
              <w:rPr>
                <w:rFonts w:hint="cs"/>
                <w:sz w:val="18"/>
                <w:szCs w:val="18"/>
                <w:rtl/>
              </w:rPr>
              <w:t xml:space="preserve"> 0</w:t>
            </w:r>
          </w:p>
        </w:tc>
        <w:tc>
          <w:tcPr>
            <w:tcW w:w="818" w:type="dxa"/>
            <w:vAlign w:val="bottom"/>
          </w:tcPr>
          <w:p w14:paraId="11B472EA" w14:textId="77777777" w:rsidR="006E7796" w:rsidRPr="00AD318D" w:rsidRDefault="006E7796" w:rsidP="007C54B1">
            <w:pPr>
              <w:pStyle w:val="-0"/>
              <w:rPr>
                <w:sz w:val="18"/>
                <w:szCs w:val="18"/>
                <w:rtl/>
              </w:rPr>
            </w:pPr>
            <w:r w:rsidRPr="00AD318D">
              <w:rPr>
                <w:rFonts w:hint="cs"/>
                <w:sz w:val="18"/>
                <w:szCs w:val="18"/>
                <w:rtl/>
              </w:rPr>
              <w:t xml:space="preserve"> 0</w:t>
            </w:r>
          </w:p>
        </w:tc>
        <w:tc>
          <w:tcPr>
            <w:tcW w:w="1166" w:type="dxa"/>
            <w:vAlign w:val="bottom"/>
          </w:tcPr>
          <w:p w14:paraId="52A929D6" w14:textId="77777777" w:rsidR="006E7796" w:rsidRPr="00AD318D" w:rsidRDefault="006E7796" w:rsidP="007C54B1">
            <w:pPr>
              <w:pStyle w:val="-0"/>
              <w:rPr>
                <w:sz w:val="18"/>
                <w:szCs w:val="18"/>
                <w:rtl/>
              </w:rPr>
            </w:pPr>
            <w:r w:rsidRPr="00AD318D">
              <w:rPr>
                <w:rFonts w:hint="cs"/>
                <w:sz w:val="18"/>
                <w:szCs w:val="18"/>
                <w:rtl/>
              </w:rPr>
              <w:t xml:space="preserve"> 0</w:t>
            </w:r>
          </w:p>
        </w:tc>
        <w:tc>
          <w:tcPr>
            <w:tcW w:w="851" w:type="dxa"/>
            <w:vAlign w:val="bottom"/>
          </w:tcPr>
          <w:p w14:paraId="3EB6E4BD" w14:textId="77777777" w:rsidR="006E7796" w:rsidRPr="00AD318D" w:rsidRDefault="006E7796" w:rsidP="007C54B1">
            <w:pPr>
              <w:pStyle w:val="-0"/>
              <w:rPr>
                <w:sz w:val="18"/>
                <w:szCs w:val="18"/>
                <w:rtl/>
              </w:rPr>
            </w:pPr>
            <w:r w:rsidRPr="00AD318D">
              <w:rPr>
                <w:rFonts w:hint="cs"/>
                <w:sz w:val="18"/>
                <w:szCs w:val="18"/>
                <w:rtl/>
              </w:rPr>
              <w:t xml:space="preserve"> 0</w:t>
            </w:r>
          </w:p>
        </w:tc>
        <w:tc>
          <w:tcPr>
            <w:tcW w:w="713" w:type="dxa"/>
            <w:vAlign w:val="bottom"/>
          </w:tcPr>
          <w:p w14:paraId="0971F304" w14:textId="77777777" w:rsidR="006E7796" w:rsidRPr="00AD318D" w:rsidRDefault="006E7796" w:rsidP="007C54B1">
            <w:pPr>
              <w:pStyle w:val="-0"/>
              <w:rPr>
                <w:sz w:val="18"/>
                <w:szCs w:val="18"/>
                <w:rtl/>
              </w:rPr>
            </w:pPr>
            <w:r w:rsidRPr="00AD318D">
              <w:rPr>
                <w:rFonts w:hint="cs"/>
                <w:sz w:val="18"/>
                <w:szCs w:val="18"/>
                <w:rtl/>
              </w:rPr>
              <w:t xml:space="preserve"> 0</w:t>
            </w:r>
          </w:p>
        </w:tc>
      </w:tr>
      <w:tr w:rsidR="006E7796" w:rsidRPr="00AD318D" w14:paraId="681A810B" w14:textId="77777777" w:rsidTr="00912661">
        <w:tc>
          <w:tcPr>
            <w:tcW w:w="1073" w:type="dxa"/>
          </w:tcPr>
          <w:p w14:paraId="40B2FD0E" w14:textId="77777777" w:rsidR="006E7796" w:rsidRPr="00AD318D" w:rsidRDefault="006E7796" w:rsidP="007C54B1">
            <w:pPr>
              <w:pStyle w:val="-0"/>
              <w:rPr>
                <w:sz w:val="18"/>
                <w:szCs w:val="18"/>
                <w:rtl/>
              </w:rPr>
            </w:pPr>
          </w:p>
        </w:tc>
        <w:tc>
          <w:tcPr>
            <w:tcW w:w="4042" w:type="dxa"/>
            <w:gridSpan w:val="2"/>
            <w:vAlign w:val="bottom"/>
          </w:tcPr>
          <w:p w14:paraId="2DA2D9AE" w14:textId="77777777" w:rsidR="006E7796" w:rsidRPr="005F47BE" w:rsidRDefault="006E7796" w:rsidP="007C54B1">
            <w:pPr>
              <w:pStyle w:val="-0"/>
              <w:rPr>
                <w:sz w:val="18"/>
                <w:szCs w:val="18"/>
                <w:rtl/>
              </w:rPr>
            </w:pPr>
            <w:r w:rsidRPr="005F47BE">
              <w:rPr>
                <w:rFonts w:hint="cs"/>
                <w:sz w:val="18"/>
                <w:szCs w:val="18"/>
                <w:rtl/>
              </w:rPr>
              <w:t>ניירות ערך שהושאלו או נמכרו במסגרת הסכמי רכש חוזר</w:t>
            </w:r>
          </w:p>
        </w:tc>
        <w:tc>
          <w:tcPr>
            <w:tcW w:w="636" w:type="dxa"/>
            <w:vAlign w:val="bottom"/>
          </w:tcPr>
          <w:p w14:paraId="5B85A8A6" w14:textId="77777777" w:rsidR="006E7796" w:rsidRPr="00AD318D" w:rsidRDefault="006E7796" w:rsidP="007C54B1">
            <w:pPr>
              <w:pStyle w:val="-0"/>
              <w:rPr>
                <w:sz w:val="18"/>
                <w:szCs w:val="18"/>
                <w:rtl/>
              </w:rPr>
            </w:pPr>
            <w:r w:rsidRPr="00AD318D">
              <w:rPr>
                <w:rFonts w:hint="cs"/>
                <w:sz w:val="18"/>
                <w:szCs w:val="18"/>
                <w:rtl/>
              </w:rPr>
              <w:t xml:space="preserve"> 0</w:t>
            </w:r>
          </w:p>
        </w:tc>
        <w:tc>
          <w:tcPr>
            <w:tcW w:w="992" w:type="dxa"/>
            <w:vAlign w:val="bottom"/>
          </w:tcPr>
          <w:p w14:paraId="31A3CA3D" w14:textId="77777777" w:rsidR="006E7796" w:rsidRPr="00AD318D" w:rsidRDefault="006E7796" w:rsidP="007C54B1">
            <w:pPr>
              <w:pStyle w:val="-0"/>
              <w:rPr>
                <w:sz w:val="18"/>
                <w:szCs w:val="18"/>
                <w:rtl/>
              </w:rPr>
            </w:pPr>
            <w:r w:rsidRPr="00AD318D">
              <w:rPr>
                <w:rFonts w:hint="cs"/>
                <w:sz w:val="18"/>
                <w:szCs w:val="18"/>
                <w:rtl/>
              </w:rPr>
              <w:t xml:space="preserve"> 0</w:t>
            </w:r>
          </w:p>
        </w:tc>
        <w:tc>
          <w:tcPr>
            <w:tcW w:w="818" w:type="dxa"/>
            <w:vAlign w:val="bottom"/>
          </w:tcPr>
          <w:p w14:paraId="73924925" w14:textId="77777777" w:rsidR="006E7796" w:rsidRPr="00AD318D" w:rsidRDefault="006E7796" w:rsidP="007C54B1">
            <w:pPr>
              <w:pStyle w:val="-0"/>
              <w:rPr>
                <w:sz w:val="18"/>
                <w:szCs w:val="18"/>
                <w:rtl/>
              </w:rPr>
            </w:pPr>
            <w:r w:rsidRPr="00AD318D">
              <w:rPr>
                <w:rFonts w:hint="cs"/>
                <w:sz w:val="18"/>
                <w:szCs w:val="18"/>
                <w:rtl/>
              </w:rPr>
              <w:t xml:space="preserve"> 0</w:t>
            </w:r>
          </w:p>
        </w:tc>
        <w:tc>
          <w:tcPr>
            <w:tcW w:w="1166" w:type="dxa"/>
            <w:vAlign w:val="bottom"/>
          </w:tcPr>
          <w:p w14:paraId="4E0CF91E" w14:textId="77777777" w:rsidR="006E7796" w:rsidRPr="00AD318D" w:rsidRDefault="006E7796" w:rsidP="007C54B1">
            <w:pPr>
              <w:pStyle w:val="-0"/>
              <w:rPr>
                <w:sz w:val="18"/>
                <w:szCs w:val="18"/>
                <w:rtl/>
              </w:rPr>
            </w:pPr>
            <w:r w:rsidRPr="00AD318D">
              <w:rPr>
                <w:rFonts w:hint="cs"/>
                <w:sz w:val="18"/>
                <w:szCs w:val="18"/>
                <w:rtl/>
              </w:rPr>
              <w:t xml:space="preserve"> 0</w:t>
            </w:r>
          </w:p>
        </w:tc>
        <w:tc>
          <w:tcPr>
            <w:tcW w:w="851" w:type="dxa"/>
            <w:vAlign w:val="bottom"/>
          </w:tcPr>
          <w:p w14:paraId="62BDC44B" w14:textId="77777777" w:rsidR="006E7796" w:rsidRPr="00AD318D" w:rsidRDefault="006E7796" w:rsidP="007C54B1">
            <w:pPr>
              <w:pStyle w:val="-0"/>
              <w:rPr>
                <w:sz w:val="18"/>
                <w:szCs w:val="18"/>
                <w:rtl/>
              </w:rPr>
            </w:pPr>
            <w:r w:rsidRPr="00AD318D">
              <w:rPr>
                <w:rFonts w:hint="cs"/>
                <w:sz w:val="18"/>
                <w:szCs w:val="18"/>
                <w:rtl/>
              </w:rPr>
              <w:t xml:space="preserve"> 0</w:t>
            </w:r>
          </w:p>
        </w:tc>
        <w:tc>
          <w:tcPr>
            <w:tcW w:w="713" w:type="dxa"/>
            <w:vAlign w:val="bottom"/>
          </w:tcPr>
          <w:p w14:paraId="25206DA1" w14:textId="77777777" w:rsidR="006E7796" w:rsidRPr="00AD318D" w:rsidRDefault="006E7796" w:rsidP="007C54B1">
            <w:pPr>
              <w:pStyle w:val="-0"/>
              <w:rPr>
                <w:sz w:val="18"/>
                <w:szCs w:val="18"/>
                <w:rtl/>
              </w:rPr>
            </w:pPr>
            <w:r w:rsidRPr="00AD318D">
              <w:rPr>
                <w:rFonts w:hint="cs"/>
                <w:sz w:val="18"/>
                <w:szCs w:val="18"/>
                <w:rtl/>
              </w:rPr>
              <w:t xml:space="preserve"> 0</w:t>
            </w:r>
          </w:p>
        </w:tc>
      </w:tr>
      <w:tr w:rsidR="006E7796" w:rsidRPr="00AD318D" w14:paraId="2B47E119" w14:textId="77777777" w:rsidTr="00912661">
        <w:tc>
          <w:tcPr>
            <w:tcW w:w="1073" w:type="dxa"/>
          </w:tcPr>
          <w:p w14:paraId="5BD56EBE" w14:textId="77777777" w:rsidR="006E7796" w:rsidRPr="00AD318D" w:rsidRDefault="006E7796" w:rsidP="007C54B1">
            <w:pPr>
              <w:pStyle w:val="-0"/>
              <w:rPr>
                <w:sz w:val="18"/>
                <w:szCs w:val="18"/>
                <w:rtl/>
              </w:rPr>
            </w:pPr>
          </w:p>
        </w:tc>
        <w:tc>
          <w:tcPr>
            <w:tcW w:w="4042" w:type="dxa"/>
            <w:gridSpan w:val="2"/>
            <w:vAlign w:val="bottom"/>
          </w:tcPr>
          <w:p w14:paraId="26065082" w14:textId="77777777" w:rsidR="006E7796" w:rsidRPr="005F47BE" w:rsidRDefault="006E7796" w:rsidP="007C54B1">
            <w:pPr>
              <w:pStyle w:val="-0"/>
              <w:rPr>
                <w:sz w:val="18"/>
                <w:szCs w:val="18"/>
                <w:rtl/>
              </w:rPr>
            </w:pPr>
            <w:r w:rsidRPr="005F47BE">
              <w:rPr>
                <w:sz w:val="18"/>
                <w:szCs w:val="18"/>
                <w:rtl/>
              </w:rPr>
              <w:t>אג"ח וכתבי התחייבות נדחים</w:t>
            </w:r>
          </w:p>
        </w:tc>
        <w:tc>
          <w:tcPr>
            <w:tcW w:w="636" w:type="dxa"/>
            <w:vAlign w:val="bottom"/>
          </w:tcPr>
          <w:p w14:paraId="5B4B4AC4" w14:textId="77777777" w:rsidR="006E7796" w:rsidRPr="00AD318D" w:rsidRDefault="006E7796" w:rsidP="007C54B1">
            <w:pPr>
              <w:pStyle w:val="-0"/>
              <w:rPr>
                <w:sz w:val="18"/>
                <w:szCs w:val="18"/>
                <w:rtl/>
              </w:rPr>
            </w:pPr>
            <w:r w:rsidRPr="00AD318D">
              <w:rPr>
                <w:rFonts w:hint="cs"/>
                <w:sz w:val="18"/>
                <w:szCs w:val="18"/>
                <w:rtl/>
              </w:rPr>
              <w:t xml:space="preserve"> 0</w:t>
            </w:r>
          </w:p>
        </w:tc>
        <w:tc>
          <w:tcPr>
            <w:tcW w:w="992" w:type="dxa"/>
            <w:vAlign w:val="bottom"/>
          </w:tcPr>
          <w:p w14:paraId="72801C3D" w14:textId="77777777" w:rsidR="006E7796" w:rsidRPr="00AD318D" w:rsidRDefault="006E7796" w:rsidP="007C54B1">
            <w:pPr>
              <w:pStyle w:val="-0"/>
              <w:rPr>
                <w:sz w:val="18"/>
                <w:szCs w:val="18"/>
                <w:rtl/>
              </w:rPr>
            </w:pPr>
            <w:r w:rsidRPr="00AD318D">
              <w:rPr>
                <w:rFonts w:hint="cs"/>
                <w:sz w:val="18"/>
                <w:szCs w:val="18"/>
                <w:rtl/>
              </w:rPr>
              <w:t xml:space="preserve"> 0</w:t>
            </w:r>
          </w:p>
        </w:tc>
        <w:tc>
          <w:tcPr>
            <w:tcW w:w="818" w:type="dxa"/>
            <w:vAlign w:val="bottom"/>
          </w:tcPr>
          <w:p w14:paraId="37C84499" w14:textId="77777777" w:rsidR="006E7796" w:rsidRPr="00AD318D" w:rsidRDefault="006E7796" w:rsidP="007C54B1">
            <w:pPr>
              <w:pStyle w:val="-0"/>
              <w:rPr>
                <w:sz w:val="18"/>
                <w:szCs w:val="18"/>
                <w:rtl/>
              </w:rPr>
            </w:pPr>
            <w:r w:rsidRPr="00AD318D">
              <w:rPr>
                <w:rFonts w:hint="cs"/>
                <w:sz w:val="18"/>
                <w:szCs w:val="18"/>
                <w:rtl/>
              </w:rPr>
              <w:t xml:space="preserve"> 0</w:t>
            </w:r>
          </w:p>
        </w:tc>
        <w:tc>
          <w:tcPr>
            <w:tcW w:w="1166" w:type="dxa"/>
            <w:vAlign w:val="bottom"/>
          </w:tcPr>
          <w:p w14:paraId="18FC85EA" w14:textId="77777777" w:rsidR="006E7796" w:rsidRPr="00AD318D" w:rsidRDefault="006E7796" w:rsidP="007C54B1">
            <w:pPr>
              <w:pStyle w:val="-0"/>
              <w:rPr>
                <w:sz w:val="18"/>
                <w:szCs w:val="18"/>
                <w:rtl/>
              </w:rPr>
            </w:pPr>
            <w:r w:rsidRPr="00AD318D">
              <w:rPr>
                <w:rFonts w:hint="cs"/>
                <w:sz w:val="18"/>
                <w:szCs w:val="18"/>
                <w:rtl/>
              </w:rPr>
              <w:t xml:space="preserve"> 0</w:t>
            </w:r>
          </w:p>
        </w:tc>
        <w:tc>
          <w:tcPr>
            <w:tcW w:w="851" w:type="dxa"/>
            <w:vAlign w:val="bottom"/>
          </w:tcPr>
          <w:p w14:paraId="2AAA1DCD" w14:textId="77777777" w:rsidR="006E7796" w:rsidRPr="00AD318D" w:rsidRDefault="006E7796" w:rsidP="007C54B1">
            <w:pPr>
              <w:pStyle w:val="-0"/>
              <w:rPr>
                <w:sz w:val="18"/>
                <w:szCs w:val="18"/>
                <w:rtl/>
              </w:rPr>
            </w:pPr>
            <w:r w:rsidRPr="00AD318D">
              <w:rPr>
                <w:rFonts w:hint="cs"/>
                <w:sz w:val="18"/>
                <w:szCs w:val="18"/>
                <w:rtl/>
              </w:rPr>
              <w:t xml:space="preserve"> 0</w:t>
            </w:r>
          </w:p>
        </w:tc>
        <w:tc>
          <w:tcPr>
            <w:tcW w:w="713" w:type="dxa"/>
            <w:vAlign w:val="bottom"/>
          </w:tcPr>
          <w:p w14:paraId="5B46195D" w14:textId="77777777" w:rsidR="006E7796" w:rsidRPr="00AD318D" w:rsidRDefault="006E7796" w:rsidP="007C54B1">
            <w:pPr>
              <w:pStyle w:val="-0"/>
              <w:rPr>
                <w:sz w:val="18"/>
                <w:szCs w:val="18"/>
                <w:rtl/>
              </w:rPr>
            </w:pPr>
            <w:r w:rsidRPr="00AD318D">
              <w:rPr>
                <w:rFonts w:hint="cs"/>
                <w:sz w:val="18"/>
                <w:szCs w:val="18"/>
                <w:rtl/>
              </w:rPr>
              <w:t xml:space="preserve"> 0</w:t>
            </w:r>
          </w:p>
        </w:tc>
      </w:tr>
      <w:tr w:rsidR="006E7796" w:rsidRPr="00AD318D" w14:paraId="3AC3E4CD" w14:textId="77777777" w:rsidTr="00912661">
        <w:tc>
          <w:tcPr>
            <w:tcW w:w="1073" w:type="dxa"/>
          </w:tcPr>
          <w:p w14:paraId="7F934D87" w14:textId="77777777" w:rsidR="006E7796" w:rsidRPr="00AD318D" w:rsidRDefault="006E7796" w:rsidP="007C54B1">
            <w:pPr>
              <w:pStyle w:val="-0"/>
              <w:rPr>
                <w:sz w:val="18"/>
                <w:szCs w:val="18"/>
                <w:rtl/>
              </w:rPr>
            </w:pPr>
          </w:p>
        </w:tc>
        <w:tc>
          <w:tcPr>
            <w:tcW w:w="4042" w:type="dxa"/>
            <w:gridSpan w:val="2"/>
            <w:vAlign w:val="bottom"/>
          </w:tcPr>
          <w:p w14:paraId="51121EE4" w14:textId="77777777" w:rsidR="006E7796" w:rsidRPr="005F47BE" w:rsidRDefault="006E7796" w:rsidP="007C54B1">
            <w:pPr>
              <w:pStyle w:val="-0"/>
              <w:rPr>
                <w:sz w:val="18"/>
                <w:szCs w:val="18"/>
                <w:rtl/>
              </w:rPr>
            </w:pPr>
            <w:r w:rsidRPr="005F47BE">
              <w:rPr>
                <w:rFonts w:hint="cs"/>
                <w:sz w:val="18"/>
                <w:szCs w:val="18"/>
                <w:rtl/>
              </w:rPr>
              <w:t>התחייבויות בגין מכשירים נגזרים</w:t>
            </w:r>
          </w:p>
        </w:tc>
        <w:tc>
          <w:tcPr>
            <w:tcW w:w="636" w:type="dxa"/>
            <w:vAlign w:val="bottom"/>
          </w:tcPr>
          <w:p w14:paraId="3F37EB91" w14:textId="77777777" w:rsidR="006E7796" w:rsidRPr="00AD318D" w:rsidRDefault="006E7796" w:rsidP="007C54B1">
            <w:pPr>
              <w:pStyle w:val="-0"/>
              <w:rPr>
                <w:sz w:val="18"/>
                <w:szCs w:val="18"/>
                <w:rtl/>
              </w:rPr>
            </w:pPr>
            <w:r w:rsidRPr="00AD318D">
              <w:rPr>
                <w:rFonts w:hint="cs"/>
                <w:sz w:val="18"/>
                <w:szCs w:val="18"/>
                <w:rtl/>
              </w:rPr>
              <w:t xml:space="preserve"> 0</w:t>
            </w:r>
          </w:p>
        </w:tc>
        <w:tc>
          <w:tcPr>
            <w:tcW w:w="992" w:type="dxa"/>
            <w:vAlign w:val="bottom"/>
          </w:tcPr>
          <w:p w14:paraId="5F54F23D" w14:textId="77777777" w:rsidR="006E7796" w:rsidRPr="00AD318D" w:rsidRDefault="006E7796" w:rsidP="007C54B1">
            <w:pPr>
              <w:pStyle w:val="-0"/>
              <w:rPr>
                <w:sz w:val="18"/>
                <w:szCs w:val="18"/>
                <w:rtl/>
              </w:rPr>
            </w:pPr>
            <w:r w:rsidRPr="00AD318D">
              <w:rPr>
                <w:rFonts w:hint="cs"/>
                <w:sz w:val="18"/>
                <w:szCs w:val="18"/>
                <w:rtl/>
              </w:rPr>
              <w:t xml:space="preserve"> 0</w:t>
            </w:r>
          </w:p>
        </w:tc>
        <w:tc>
          <w:tcPr>
            <w:tcW w:w="818" w:type="dxa"/>
            <w:vAlign w:val="bottom"/>
          </w:tcPr>
          <w:p w14:paraId="58DE02D3" w14:textId="77777777" w:rsidR="006E7796" w:rsidRPr="00AD318D" w:rsidRDefault="006E7796" w:rsidP="007C54B1">
            <w:pPr>
              <w:pStyle w:val="-0"/>
              <w:rPr>
                <w:sz w:val="18"/>
                <w:szCs w:val="18"/>
                <w:rtl/>
              </w:rPr>
            </w:pPr>
            <w:r w:rsidRPr="00AD318D">
              <w:rPr>
                <w:rFonts w:hint="cs"/>
                <w:sz w:val="18"/>
                <w:szCs w:val="18"/>
                <w:rtl/>
              </w:rPr>
              <w:t xml:space="preserve"> 0</w:t>
            </w:r>
          </w:p>
        </w:tc>
        <w:tc>
          <w:tcPr>
            <w:tcW w:w="1166" w:type="dxa"/>
            <w:vAlign w:val="bottom"/>
          </w:tcPr>
          <w:p w14:paraId="581F2B5F" w14:textId="77777777" w:rsidR="006E7796" w:rsidRPr="00AD318D" w:rsidRDefault="006E7796" w:rsidP="007C54B1">
            <w:pPr>
              <w:pStyle w:val="-0"/>
              <w:rPr>
                <w:sz w:val="18"/>
                <w:szCs w:val="18"/>
                <w:rtl/>
              </w:rPr>
            </w:pPr>
            <w:r w:rsidRPr="00AD318D">
              <w:rPr>
                <w:rFonts w:hint="cs"/>
                <w:sz w:val="18"/>
                <w:szCs w:val="18"/>
                <w:rtl/>
              </w:rPr>
              <w:t xml:space="preserve"> 0</w:t>
            </w:r>
          </w:p>
        </w:tc>
        <w:tc>
          <w:tcPr>
            <w:tcW w:w="851" w:type="dxa"/>
            <w:vAlign w:val="bottom"/>
          </w:tcPr>
          <w:p w14:paraId="3ECFC9BB" w14:textId="77777777" w:rsidR="006E7796" w:rsidRPr="00AD318D" w:rsidRDefault="006E7796" w:rsidP="007C54B1">
            <w:pPr>
              <w:pStyle w:val="-0"/>
              <w:rPr>
                <w:sz w:val="18"/>
                <w:szCs w:val="18"/>
                <w:rtl/>
              </w:rPr>
            </w:pPr>
            <w:r w:rsidRPr="00AD318D">
              <w:rPr>
                <w:rFonts w:hint="cs"/>
                <w:sz w:val="18"/>
                <w:szCs w:val="18"/>
                <w:rtl/>
              </w:rPr>
              <w:t xml:space="preserve"> 0</w:t>
            </w:r>
          </w:p>
        </w:tc>
        <w:tc>
          <w:tcPr>
            <w:tcW w:w="713" w:type="dxa"/>
            <w:vAlign w:val="bottom"/>
          </w:tcPr>
          <w:p w14:paraId="447AEC31" w14:textId="77777777" w:rsidR="006E7796" w:rsidRPr="00AD318D" w:rsidRDefault="006E7796" w:rsidP="007C54B1">
            <w:pPr>
              <w:pStyle w:val="-0"/>
              <w:rPr>
                <w:sz w:val="18"/>
                <w:szCs w:val="18"/>
                <w:rtl/>
              </w:rPr>
            </w:pPr>
            <w:r w:rsidRPr="00AD318D">
              <w:rPr>
                <w:rFonts w:hint="cs"/>
                <w:sz w:val="18"/>
                <w:szCs w:val="18"/>
                <w:rtl/>
              </w:rPr>
              <w:t xml:space="preserve"> 0</w:t>
            </w:r>
          </w:p>
        </w:tc>
      </w:tr>
      <w:tr w:rsidR="006E7796" w:rsidRPr="00AD318D" w14:paraId="10E4E78D" w14:textId="77777777" w:rsidTr="00912661">
        <w:tc>
          <w:tcPr>
            <w:tcW w:w="1073" w:type="dxa"/>
          </w:tcPr>
          <w:p w14:paraId="082D4D84" w14:textId="77777777" w:rsidR="006E7796" w:rsidRDefault="006E7796" w:rsidP="00CF2A74">
            <w:pPr>
              <w:pStyle w:val="-0"/>
              <w:spacing w:before="20" w:line="240" w:lineRule="auto"/>
              <w:ind w:left="142" w:hanging="142"/>
              <w:rPr>
                <w:sz w:val="18"/>
                <w:szCs w:val="18"/>
                <w:rtl/>
              </w:rPr>
            </w:pPr>
          </w:p>
        </w:tc>
        <w:tc>
          <w:tcPr>
            <w:tcW w:w="4042" w:type="dxa"/>
            <w:gridSpan w:val="2"/>
            <w:vAlign w:val="bottom"/>
          </w:tcPr>
          <w:p w14:paraId="4D03678A" w14:textId="77777777" w:rsidR="006E7796" w:rsidRDefault="006E7796">
            <w:pPr>
              <w:pStyle w:val="-0"/>
              <w:spacing w:before="20" w:line="240" w:lineRule="auto"/>
              <w:ind w:left="142" w:hanging="142"/>
              <w:rPr>
                <w:sz w:val="18"/>
                <w:szCs w:val="18"/>
                <w:rtl/>
              </w:rPr>
            </w:pPr>
            <w:r w:rsidRPr="005F47BE">
              <w:rPr>
                <w:sz w:val="18"/>
                <w:szCs w:val="18"/>
                <w:rtl/>
              </w:rPr>
              <w:t>התחייבויות אחרות</w:t>
            </w:r>
          </w:p>
        </w:tc>
        <w:tc>
          <w:tcPr>
            <w:tcW w:w="636" w:type="dxa"/>
            <w:vAlign w:val="bottom"/>
          </w:tcPr>
          <w:p w14:paraId="16A807E1" w14:textId="77777777" w:rsidR="006E7796" w:rsidRDefault="006E7796" w:rsidP="00CF2A74">
            <w:pPr>
              <w:pStyle w:val="-0"/>
              <w:spacing w:before="20" w:line="240" w:lineRule="auto"/>
              <w:ind w:left="142" w:hanging="142"/>
              <w:rPr>
                <w:sz w:val="18"/>
                <w:szCs w:val="18"/>
                <w:rtl/>
              </w:rPr>
            </w:pPr>
            <w:r w:rsidRPr="00AD318D">
              <w:rPr>
                <w:rFonts w:hint="cs"/>
                <w:sz w:val="18"/>
                <w:szCs w:val="18"/>
                <w:rtl/>
              </w:rPr>
              <w:t xml:space="preserve"> 0</w:t>
            </w:r>
          </w:p>
        </w:tc>
        <w:tc>
          <w:tcPr>
            <w:tcW w:w="992" w:type="dxa"/>
            <w:vAlign w:val="bottom"/>
          </w:tcPr>
          <w:p w14:paraId="4743080C" w14:textId="77777777" w:rsidR="006E7796" w:rsidRDefault="006E7796" w:rsidP="00CF2A74">
            <w:pPr>
              <w:pStyle w:val="-0"/>
              <w:spacing w:before="20" w:line="240" w:lineRule="auto"/>
              <w:ind w:left="142" w:hanging="142"/>
              <w:rPr>
                <w:sz w:val="18"/>
                <w:szCs w:val="18"/>
                <w:rtl/>
              </w:rPr>
            </w:pPr>
            <w:r w:rsidRPr="00AD318D">
              <w:rPr>
                <w:rFonts w:hint="cs"/>
                <w:sz w:val="18"/>
                <w:szCs w:val="18"/>
                <w:rtl/>
              </w:rPr>
              <w:t xml:space="preserve"> 0</w:t>
            </w:r>
          </w:p>
        </w:tc>
        <w:tc>
          <w:tcPr>
            <w:tcW w:w="818" w:type="dxa"/>
            <w:vAlign w:val="bottom"/>
          </w:tcPr>
          <w:p w14:paraId="71988EDF" w14:textId="77777777" w:rsidR="006E7796" w:rsidRDefault="006E7796" w:rsidP="00CF2A74">
            <w:pPr>
              <w:pStyle w:val="-0"/>
              <w:spacing w:before="20" w:line="240" w:lineRule="auto"/>
              <w:ind w:left="142" w:hanging="142"/>
              <w:rPr>
                <w:sz w:val="18"/>
                <w:szCs w:val="18"/>
                <w:rtl/>
              </w:rPr>
            </w:pPr>
            <w:r w:rsidRPr="00AD318D">
              <w:rPr>
                <w:rFonts w:hint="cs"/>
                <w:sz w:val="18"/>
                <w:szCs w:val="18"/>
                <w:rtl/>
              </w:rPr>
              <w:t xml:space="preserve"> 0</w:t>
            </w:r>
          </w:p>
        </w:tc>
        <w:tc>
          <w:tcPr>
            <w:tcW w:w="1166" w:type="dxa"/>
            <w:vAlign w:val="bottom"/>
          </w:tcPr>
          <w:p w14:paraId="04ADEB0A" w14:textId="77777777" w:rsidR="006E7796" w:rsidRDefault="006E7796" w:rsidP="00CF2A74">
            <w:pPr>
              <w:pStyle w:val="-0"/>
              <w:spacing w:before="20" w:line="240" w:lineRule="auto"/>
              <w:ind w:left="142" w:hanging="142"/>
              <w:rPr>
                <w:sz w:val="18"/>
                <w:szCs w:val="18"/>
                <w:rtl/>
              </w:rPr>
            </w:pPr>
            <w:r w:rsidRPr="00AD318D">
              <w:rPr>
                <w:rFonts w:hint="cs"/>
                <w:sz w:val="18"/>
                <w:szCs w:val="18"/>
                <w:rtl/>
              </w:rPr>
              <w:t xml:space="preserve"> 0</w:t>
            </w:r>
          </w:p>
        </w:tc>
        <w:tc>
          <w:tcPr>
            <w:tcW w:w="851" w:type="dxa"/>
            <w:vAlign w:val="bottom"/>
          </w:tcPr>
          <w:p w14:paraId="1F1E9303" w14:textId="77777777" w:rsidR="006E7796" w:rsidRDefault="006E7796" w:rsidP="00CF2A74">
            <w:pPr>
              <w:pStyle w:val="-0"/>
              <w:spacing w:before="20" w:line="240" w:lineRule="auto"/>
              <w:ind w:left="142" w:hanging="142"/>
              <w:rPr>
                <w:sz w:val="18"/>
                <w:szCs w:val="18"/>
                <w:rtl/>
              </w:rPr>
            </w:pPr>
            <w:r w:rsidRPr="00AD318D">
              <w:rPr>
                <w:rFonts w:hint="cs"/>
                <w:sz w:val="18"/>
                <w:szCs w:val="18"/>
                <w:rtl/>
              </w:rPr>
              <w:t xml:space="preserve"> 0</w:t>
            </w:r>
          </w:p>
        </w:tc>
        <w:tc>
          <w:tcPr>
            <w:tcW w:w="713" w:type="dxa"/>
            <w:vAlign w:val="bottom"/>
          </w:tcPr>
          <w:p w14:paraId="72FA8C4A" w14:textId="77777777" w:rsidR="006E7796" w:rsidRDefault="006E7796" w:rsidP="00CF2A74">
            <w:pPr>
              <w:pStyle w:val="-0"/>
              <w:spacing w:before="20" w:line="240" w:lineRule="auto"/>
              <w:ind w:left="142" w:hanging="142"/>
              <w:rPr>
                <w:sz w:val="18"/>
                <w:szCs w:val="18"/>
                <w:rtl/>
              </w:rPr>
            </w:pPr>
            <w:r w:rsidRPr="00AD318D">
              <w:rPr>
                <w:rFonts w:hint="cs"/>
                <w:sz w:val="18"/>
                <w:szCs w:val="18"/>
                <w:rtl/>
              </w:rPr>
              <w:t xml:space="preserve"> 0</w:t>
            </w:r>
          </w:p>
        </w:tc>
      </w:tr>
      <w:tr w:rsidR="006E7796" w:rsidRPr="00AD318D" w14:paraId="0CD3FB02" w14:textId="77777777" w:rsidTr="00912661">
        <w:tc>
          <w:tcPr>
            <w:tcW w:w="1073" w:type="dxa"/>
          </w:tcPr>
          <w:p w14:paraId="3893B8A8" w14:textId="77777777" w:rsidR="006E7796" w:rsidRDefault="006E7796">
            <w:pPr>
              <w:pStyle w:val="-0"/>
              <w:rPr>
                <w:sz w:val="18"/>
                <w:szCs w:val="18"/>
                <w:rtl/>
              </w:rPr>
            </w:pPr>
          </w:p>
        </w:tc>
        <w:tc>
          <w:tcPr>
            <w:tcW w:w="4042" w:type="dxa"/>
            <w:gridSpan w:val="2"/>
            <w:vAlign w:val="bottom"/>
          </w:tcPr>
          <w:p w14:paraId="161FD3DC" w14:textId="77777777" w:rsidR="006E7796" w:rsidRPr="005F47BE" w:rsidRDefault="006E7796" w:rsidP="00CF2A74">
            <w:pPr>
              <w:pStyle w:val="-21"/>
              <w:spacing w:before="0"/>
              <w:rPr>
                <w:sz w:val="18"/>
                <w:szCs w:val="18"/>
                <w:rtl/>
              </w:rPr>
            </w:pPr>
            <w:r w:rsidRPr="005F47BE">
              <w:rPr>
                <w:sz w:val="18"/>
                <w:szCs w:val="18"/>
                <w:rtl/>
              </w:rPr>
              <w:t xml:space="preserve">התחייבויות </w:t>
            </w:r>
            <w:r w:rsidRPr="005F47BE">
              <w:rPr>
                <w:rFonts w:hint="cs"/>
                <w:sz w:val="18"/>
                <w:szCs w:val="18"/>
                <w:rtl/>
              </w:rPr>
              <w:t>המיוחסות לפעילויות שהופסקו ובגין קבוצת מימוש המסווגת כמוחזקת למכירה</w:t>
            </w:r>
          </w:p>
        </w:tc>
        <w:tc>
          <w:tcPr>
            <w:tcW w:w="636" w:type="dxa"/>
            <w:vAlign w:val="bottom"/>
          </w:tcPr>
          <w:p w14:paraId="5E0F55B1" w14:textId="77777777" w:rsidR="006E7796" w:rsidRDefault="006E7796" w:rsidP="00CF2A74">
            <w:pPr>
              <w:pStyle w:val="-0"/>
              <w:pBdr>
                <w:bottom w:val="single" w:sz="4" w:space="1" w:color="auto"/>
              </w:pBdr>
              <w:rPr>
                <w:sz w:val="18"/>
                <w:szCs w:val="18"/>
                <w:rtl/>
              </w:rPr>
            </w:pPr>
            <w:r w:rsidRPr="00AD318D">
              <w:rPr>
                <w:rFonts w:hint="cs"/>
                <w:sz w:val="18"/>
                <w:szCs w:val="18"/>
                <w:rtl/>
              </w:rPr>
              <w:t xml:space="preserve"> 0</w:t>
            </w:r>
          </w:p>
        </w:tc>
        <w:tc>
          <w:tcPr>
            <w:tcW w:w="992" w:type="dxa"/>
            <w:vAlign w:val="bottom"/>
          </w:tcPr>
          <w:p w14:paraId="0D575F0A" w14:textId="77777777" w:rsidR="006E7796" w:rsidRDefault="006E7796" w:rsidP="00CF2A74">
            <w:pPr>
              <w:pStyle w:val="-0"/>
              <w:pBdr>
                <w:bottom w:val="single" w:sz="4" w:space="1" w:color="auto"/>
              </w:pBdr>
              <w:rPr>
                <w:sz w:val="18"/>
                <w:szCs w:val="18"/>
                <w:rtl/>
              </w:rPr>
            </w:pPr>
            <w:r w:rsidRPr="00AD318D">
              <w:rPr>
                <w:rFonts w:hint="cs"/>
                <w:sz w:val="18"/>
                <w:szCs w:val="18"/>
                <w:rtl/>
              </w:rPr>
              <w:t xml:space="preserve"> 0</w:t>
            </w:r>
          </w:p>
        </w:tc>
        <w:tc>
          <w:tcPr>
            <w:tcW w:w="818" w:type="dxa"/>
            <w:vAlign w:val="bottom"/>
          </w:tcPr>
          <w:p w14:paraId="6BE5C026" w14:textId="77777777" w:rsidR="006E7796" w:rsidRDefault="006E7796" w:rsidP="00CF2A74">
            <w:pPr>
              <w:pStyle w:val="-0"/>
              <w:pBdr>
                <w:bottom w:val="single" w:sz="4" w:space="1" w:color="auto"/>
              </w:pBdr>
              <w:rPr>
                <w:sz w:val="18"/>
                <w:szCs w:val="18"/>
                <w:rtl/>
              </w:rPr>
            </w:pPr>
            <w:r w:rsidRPr="00AD318D">
              <w:rPr>
                <w:rFonts w:hint="cs"/>
                <w:sz w:val="18"/>
                <w:szCs w:val="18"/>
                <w:rtl/>
              </w:rPr>
              <w:t xml:space="preserve"> 0</w:t>
            </w:r>
          </w:p>
        </w:tc>
        <w:tc>
          <w:tcPr>
            <w:tcW w:w="1166" w:type="dxa"/>
            <w:vAlign w:val="bottom"/>
          </w:tcPr>
          <w:p w14:paraId="68095083" w14:textId="77777777" w:rsidR="006E7796" w:rsidRDefault="006E7796" w:rsidP="00CF2A74">
            <w:pPr>
              <w:pStyle w:val="-0"/>
              <w:pBdr>
                <w:bottom w:val="single" w:sz="4" w:space="1" w:color="auto"/>
              </w:pBdr>
              <w:rPr>
                <w:sz w:val="18"/>
                <w:szCs w:val="18"/>
                <w:rtl/>
              </w:rPr>
            </w:pPr>
            <w:r w:rsidRPr="00AD318D">
              <w:rPr>
                <w:rFonts w:hint="cs"/>
                <w:sz w:val="18"/>
                <w:szCs w:val="18"/>
                <w:rtl/>
              </w:rPr>
              <w:t xml:space="preserve"> 0</w:t>
            </w:r>
          </w:p>
        </w:tc>
        <w:tc>
          <w:tcPr>
            <w:tcW w:w="851" w:type="dxa"/>
            <w:vAlign w:val="bottom"/>
          </w:tcPr>
          <w:p w14:paraId="4862A235" w14:textId="77777777" w:rsidR="006E7796" w:rsidRDefault="006E7796" w:rsidP="00CF2A74">
            <w:pPr>
              <w:pStyle w:val="-0"/>
              <w:pBdr>
                <w:bottom w:val="single" w:sz="4" w:space="1" w:color="auto"/>
              </w:pBdr>
              <w:rPr>
                <w:sz w:val="18"/>
                <w:szCs w:val="18"/>
                <w:rtl/>
              </w:rPr>
            </w:pPr>
            <w:r w:rsidRPr="00AD318D">
              <w:rPr>
                <w:rFonts w:hint="cs"/>
                <w:sz w:val="18"/>
                <w:szCs w:val="18"/>
                <w:rtl/>
              </w:rPr>
              <w:t xml:space="preserve"> 0</w:t>
            </w:r>
          </w:p>
        </w:tc>
        <w:tc>
          <w:tcPr>
            <w:tcW w:w="713" w:type="dxa"/>
            <w:vAlign w:val="bottom"/>
          </w:tcPr>
          <w:p w14:paraId="0AF5A552" w14:textId="77777777" w:rsidR="006E7796" w:rsidRDefault="006E7796" w:rsidP="00CF2A74">
            <w:pPr>
              <w:pStyle w:val="-0"/>
              <w:pBdr>
                <w:bottom w:val="single" w:sz="4" w:space="1" w:color="auto"/>
              </w:pBdr>
              <w:rPr>
                <w:sz w:val="18"/>
                <w:szCs w:val="18"/>
                <w:rtl/>
              </w:rPr>
            </w:pPr>
            <w:r w:rsidRPr="00AD318D">
              <w:rPr>
                <w:rFonts w:hint="cs"/>
                <w:sz w:val="18"/>
                <w:szCs w:val="18"/>
                <w:rtl/>
              </w:rPr>
              <w:t xml:space="preserve"> 0</w:t>
            </w:r>
          </w:p>
        </w:tc>
      </w:tr>
      <w:tr w:rsidR="006E7796" w:rsidRPr="00AD318D" w14:paraId="3194AC12" w14:textId="77777777" w:rsidTr="00912661">
        <w:tc>
          <w:tcPr>
            <w:tcW w:w="1073" w:type="dxa"/>
          </w:tcPr>
          <w:p w14:paraId="3B512264" w14:textId="77777777" w:rsidR="006E7796" w:rsidRPr="00AD318D" w:rsidRDefault="006E7796" w:rsidP="007C54B1">
            <w:pPr>
              <w:pStyle w:val="-b"/>
              <w:rPr>
                <w:sz w:val="18"/>
                <w:szCs w:val="18"/>
                <w:rtl/>
              </w:rPr>
            </w:pPr>
          </w:p>
        </w:tc>
        <w:tc>
          <w:tcPr>
            <w:tcW w:w="4042" w:type="dxa"/>
            <w:gridSpan w:val="2"/>
            <w:vAlign w:val="bottom"/>
          </w:tcPr>
          <w:p w14:paraId="32A125AE" w14:textId="77777777" w:rsidR="006E7796" w:rsidRPr="005F47BE" w:rsidRDefault="006E7796" w:rsidP="007C54B1">
            <w:pPr>
              <w:pStyle w:val="-b"/>
              <w:rPr>
                <w:sz w:val="18"/>
                <w:szCs w:val="18"/>
                <w:rtl/>
              </w:rPr>
            </w:pPr>
            <w:r w:rsidRPr="005F47BE">
              <w:rPr>
                <w:sz w:val="18"/>
                <w:szCs w:val="18"/>
                <w:rtl/>
              </w:rPr>
              <w:t>סך כל ההתחייבויות</w:t>
            </w:r>
          </w:p>
        </w:tc>
        <w:tc>
          <w:tcPr>
            <w:tcW w:w="636" w:type="dxa"/>
            <w:vAlign w:val="bottom"/>
          </w:tcPr>
          <w:p w14:paraId="6B2F4565" w14:textId="77777777" w:rsidR="006E7796" w:rsidRDefault="006E7796" w:rsidP="00CF2A74">
            <w:pPr>
              <w:pStyle w:val="-f1"/>
              <w:pBdr>
                <w:top w:val="none" w:sz="0" w:space="0" w:color="auto"/>
                <w:bottom w:val="single" w:sz="4" w:space="1" w:color="auto"/>
              </w:pBdr>
              <w:rPr>
                <w:sz w:val="18"/>
                <w:szCs w:val="18"/>
                <w:rtl/>
              </w:rPr>
            </w:pPr>
            <w:r w:rsidRPr="00AD318D">
              <w:rPr>
                <w:rFonts w:hint="cs"/>
                <w:sz w:val="18"/>
                <w:szCs w:val="18"/>
                <w:rtl/>
              </w:rPr>
              <w:t xml:space="preserve"> 0</w:t>
            </w:r>
          </w:p>
        </w:tc>
        <w:tc>
          <w:tcPr>
            <w:tcW w:w="992" w:type="dxa"/>
            <w:vAlign w:val="bottom"/>
          </w:tcPr>
          <w:p w14:paraId="0F8634F2" w14:textId="77777777" w:rsidR="006E7796" w:rsidRDefault="006E7796" w:rsidP="00CF2A74">
            <w:pPr>
              <w:pStyle w:val="-f1"/>
              <w:pBdr>
                <w:top w:val="none" w:sz="0" w:space="0" w:color="auto"/>
                <w:bottom w:val="single" w:sz="4" w:space="1" w:color="auto"/>
              </w:pBdr>
              <w:rPr>
                <w:sz w:val="18"/>
                <w:szCs w:val="18"/>
                <w:rtl/>
              </w:rPr>
            </w:pPr>
            <w:r w:rsidRPr="00AD318D">
              <w:rPr>
                <w:rFonts w:hint="cs"/>
                <w:sz w:val="18"/>
                <w:szCs w:val="18"/>
                <w:rtl/>
              </w:rPr>
              <w:t xml:space="preserve"> 0</w:t>
            </w:r>
          </w:p>
        </w:tc>
        <w:tc>
          <w:tcPr>
            <w:tcW w:w="818" w:type="dxa"/>
            <w:vAlign w:val="bottom"/>
          </w:tcPr>
          <w:p w14:paraId="2AA9E821" w14:textId="77777777" w:rsidR="006E7796" w:rsidRDefault="006E7796" w:rsidP="00CF2A74">
            <w:pPr>
              <w:pStyle w:val="-f1"/>
              <w:pBdr>
                <w:top w:val="none" w:sz="0" w:space="0" w:color="auto"/>
                <w:bottom w:val="single" w:sz="4" w:space="1" w:color="auto"/>
              </w:pBdr>
              <w:rPr>
                <w:sz w:val="18"/>
                <w:szCs w:val="18"/>
                <w:rtl/>
              </w:rPr>
            </w:pPr>
            <w:r w:rsidRPr="00AD318D">
              <w:rPr>
                <w:rFonts w:hint="cs"/>
                <w:sz w:val="18"/>
                <w:szCs w:val="18"/>
                <w:rtl/>
              </w:rPr>
              <w:t xml:space="preserve"> 0</w:t>
            </w:r>
          </w:p>
        </w:tc>
        <w:tc>
          <w:tcPr>
            <w:tcW w:w="1166" w:type="dxa"/>
            <w:vAlign w:val="bottom"/>
          </w:tcPr>
          <w:p w14:paraId="533B0704" w14:textId="77777777" w:rsidR="006E7796" w:rsidRDefault="006E7796" w:rsidP="00CF2A74">
            <w:pPr>
              <w:pStyle w:val="-f1"/>
              <w:pBdr>
                <w:top w:val="none" w:sz="0" w:space="0" w:color="auto"/>
                <w:bottom w:val="single" w:sz="4" w:space="1" w:color="auto"/>
              </w:pBdr>
              <w:rPr>
                <w:sz w:val="18"/>
                <w:szCs w:val="18"/>
                <w:rtl/>
              </w:rPr>
            </w:pPr>
            <w:r w:rsidRPr="00AD318D">
              <w:rPr>
                <w:rFonts w:hint="cs"/>
                <w:sz w:val="18"/>
                <w:szCs w:val="18"/>
                <w:rtl/>
              </w:rPr>
              <w:t xml:space="preserve"> 0</w:t>
            </w:r>
          </w:p>
        </w:tc>
        <w:tc>
          <w:tcPr>
            <w:tcW w:w="851" w:type="dxa"/>
            <w:vAlign w:val="bottom"/>
          </w:tcPr>
          <w:p w14:paraId="1A88F3CE" w14:textId="77777777" w:rsidR="006E7796" w:rsidRDefault="006E7796" w:rsidP="00CF2A74">
            <w:pPr>
              <w:pStyle w:val="-f1"/>
              <w:pBdr>
                <w:top w:val="none" w:sz="0" w:space="0" w:color="auto"/>
                <w:bottom w:val="single" w:sz="4" w:space="1" w:color="auto"/>
              </w:pBdr>
              <w:rPr>
                <w:sz w:val="18"/>
                <w:szCs w:val="18"/>
                <w:rtl/>
              </w:rPr>
            </w:pPr>
            <w:r w:rsidRPr="00AD318D">
              <w:rPr>
                <w:rFonts w:hint="cs"/>
                <w:sz w:val="18"/>
                <w:szCs w:val="18"/>
                <w:rtl/>
              </w:rPr>
              <w:t xml:space="preserve"> 0</w:t>
            </w:r>
          </w:p>
        </w:tc>
        <w:tc>
          <w:tcPr>
            <w:tcW w:w="713" w:type="dxa"/>
            <w:vAlign w:val="bottom"/>
          </w:tcPr>
          <w:p w14:paraId="12FDE707" w14:textId="77777777" w:rsidR="006E7796" w:rsidRDefault="006E7796" w:rsidP="00CF2A74">
            <w:pPr>
              <w:pStyle w:val="-f1"/>
              <w:pBdr>
                <w:top w:val="none" w:sz="0" w:space="0" w:color="auto"/>
                <w:bottom w:val="single" w:sz="4" w:space="1" w:color="auto"/>
              </w:pBdr>
              <w:rPr>
                <w:sz w:val="18"/>
                <w:szCs w:val="18"/>
                <w:rtl/>
              </w:rPr>
            </w:pPr>
            <w:r w:rsidRPr="00AD318D">
              <w:rPr>
                <w:rFonts w:hint="cs"/>
                <w:sz w:val="18"/>
                <w:szCs w:val="18"/>
                <w:rtl/>
              </w:rPr>
              <w:t xml:space="preserve"> 0</w:t>
            </w:r>
          </w:p>
        </w:tc>
      </w:tr>
      <w:tr w:rsidR="006E7796" w:rsidRPr="00AD318D" w14:paraId="593CFCC6" w14:textId="77777777" w:rsidTr="00912661">
        <w:tc>
          <w:tcPr>
            <w:tcW w:w="1073" w:type="dxa"/>
          </w:tcPr>
          <w:p w14:paraId="2F99EEAE" w14:textId="77777777" w:rsidR="006E7796" w:rsidRPr="00AD318D" w:rsidRDefault="006E7796" w:rsidP="007C54B1">
            <w:pPr>
              <w:pStyle w:val="-0"/>
              <w:rPr>
                <w:sz w:val="18"/>
                <w:szCs w:val="18"/>
                <w:rtl/>
              </w:rPr>
            </w:pPr>
          </w:p>
        </w:tc>
        <w:tc>
          <w:tcPr>
            <w:tcW w:w="4042" w:type="dxa"/>
            <w:gridSpan w:val="2"/>
            <w:vAlign w:val="bottom"/>
          </w:tcPr>
          <w:p w14:paraId="3F664F45" w14:textId="77777777" w:rsidR="006E7796" w:rsidRPr="005F47BE" w:rsidRDefault="006E7796" w:rsidP="007C54B1">
            <w:pPr>
              <w:pStyle w:val="-0"/>
              <w:rPr>
                <w:sz w:val="18"/>
                <w:szCs w:val="18"/>
                <w:rtl/>
              </w:rPr>
            </w:pPr>
            <w:r w:rsidRPr="005F47BE">
              <w:rPr>
                <w:sz w:val="18"/>
                <w:szCs w:val="18"/>
                <w:rtl/>
              </w:rPr>
              <w:t>הפרש</w:t>
            </w:r>
          </w:p>
        </w:tc>
        <w:tc>
          <w:tcPr>
            <w:tcW w:w="636" w:type="dxa"/>
            <w:vAlign w:val="bottom"/>
          </w:tcPr>
          <w:p w14:paraId="52FBDD89" w14:textId="77777777" w:rsidR="006E7796" w:rsidRDefault="006E7796" w:rsidP="00CF2A74">
            <w:pPr>
              <w:pStyle w:val="-0"/>
              <w:pBdr>
                <w:bottom w:val="single" w:sz="4" w:space="1" w:color="auto"/>
              </w:pBdr>
              <w:rPr>
                <w:sz w:val="18"/>
                <w:szCs w:val="18"/>
                <w:rtl/>
              </w:rPr>
            </w:pPr>
            <w:r w:rsidRPr="00AD318D">
              <w:rPr>
                <w:rFonts w:hint="cs"/>
                <w:sz w:val="18"/>
                <w:szCs w:val="18"/>
                <w:rtl/>
              </w:rPr>
              <w:t xml:space="preserve"> 0</w:t>
            </w:r>
          </w:p>
        </w:tc>
        <w:tc>
          <w:tcPr>
            <w:tcW w:w="992" w:type="dxa"/>
            <w:vAlign w:val="bottom"/>
          </w:tcPr>
          <w:p w14:paraId="236EB7F3" w14:textId="77777777" w:rsidR="006E7796" w:rsidRDefault="006E7796" w:rsidP="00CF2A74">
            <w:pPr>
              <w:pStyle w:val="-0"/>
              <w:pBdr>
                <w:bottom w:val="single" w:sz="4" w:space="1" w:color="auto"/>
              </w:pBdr>
              <w:rPr>
                <w:sz w:val="18"/>
                <w:szCs w:val="18"/>
                <w:rtl/>
              </w:rPr>
            </w:pPr>
            <w:r w:rsidRPr="00AD318D">
              <w:rPr>
                <w:rFonts w:hint="cs"/>
                <w:sz w:val="18"/>
                <w:szCs w:val="18"/>
                <w:rtl/>
              </w:rPr>
              <w:t xml:space="preserve"> 0</w:t>
            </w:r>
          </w:p>
        </w:tc>
        <w:tc>
          <w:tcPr>
            <w:tcW w:w="818" w:type="dxa"/>
            <w:vAlign w:val="bottom"/>
          </w:tcPr>
          <w:p w14:paraId="69939D52" w14:textId="77777777" w:rsidR="006E7796" w:rsidRDefault="006E7796" w:rsidP="00CF2A74">
            <w:pPr>
              <w:pStyle w:val="-0"/>
              <w:pBdr>
                <w:bottom w:val="single" w:sz="4" w:space="1" w:color="auto"/>
              </w:pBdr>
              <w:rPr>
                <w:sz w:val="18"/>
                <w:szCs w:val="18"/>
                <w:rtl/>
              </w:rPr>
            </w:pPr>
            <w:r w:rsidRPr="00AD318D">
              <w:rPr>
                <w:rFonts w:hint="cs"/>
                <w:sz w:val="18"/>
                <w:szCs w:val="18"/>
                <w:rtl/>
              </w:rPr>
              <w:t xml:space="preserve"> 0</w:t>
            </w:r>
          </w:p>
        </w:tc>
        <w:tc>
          <w:tcPr>
            <w:tcW w:w="1166" w:type="dxa"/>
            <w:vAlign w:val="bottom"/>
          </w:tcPr>
          <w:p w14:paraId="5F074DE5" w14:textId="77777777" w:rsidR="006E7796" w:rsidRDefault="006E7796" w:rsidP="00CF2A74">
            <w:pPr>
              <w:pStyle w:val="-0"/>
              <w:pBdr>
                <w:bottom w:val="single" w:sz="4" w:space="1" w:color="auto"/>
              </w:pBdr>
              <w:rPr>
                <w:sz w:val="18"/>
                <w:szCs w:val="18"/>
                <w:rtl/>
              </w:rPr>
            </w:pPr>
            <w:r w:rsidRPr="00AD318D">
              <w:rPr>
                <w:rFonts w:hint="cs"/>
                <w:sz w:val="18"/>
                <w:szCs w:val="18"/>
                <w:rtl/>
              </w:rPr>
              <w:t xml:space="preserve"> 0</w:t>
            </w:r>
          </w:p>
        </w:tc>
        <w:tc>
          <w:tcPr>
            <w:tcW w:w="851" w:type="dxa"/>
            <w:vAlign w:val="bottom"/>
          </w:tcPr>
          <w:p w14:paraId="364434BE" w14:textId="77777777" w:rsidR="006E7796" w:rsidRDefault="006E7796" w:rsidP="00CF2A74">
            <w:pPr>
              <w:pStyle w:val="-0"/>
              <w:pBdr>
                <w:bottom w:val="single" w:sz="4" w:space="1" w:color="auto"/>
              </w:pBdr>
              <w:rPr>
                <w:sz w:val="18"/>
                <w:szCs w:val="18"/>
                <w:rtl/>
              </w:rPr>
            </w:pPr>
            <w:r w:rsidRPr="00AD318D">
              <w:rPr>
                <w:rFonts w:hint="cs"/>
                <w:sz w:val="18"/>
                <w:szCs w:val="18"/>
                <w:rtl/>
              </w:rPr>
              <w:t xml:space="preserve"> 0</w:t>
            </w:r>
          </w:p>
        </w:tc>
        <w:tc>
          <w:tcPr>
            <w:tcW w:w="713" w:type="dxa"/>
            <w:vAlign w:val="bottom"/>
          </w:tcPr>
          <w:p w14:paraId="71A81BBC" w14:textId="77777777" w:rsidR="006E7796" w:rsidRDefault="006E7796" w:rsidP="00CF2A74">
            <w:pPr>
              <w:pStyle w:val="-0"/>
              <w:pBdr>
                <w:bottom w:val="single" w:sz="4" w:space="1" w:color="auto"/>
              </w:pBdr>
              <w:rPr>
                <w:sz w:val="18"/>
                <w:szCs w:val="18"/>
                <w:rtl/>
              </w:rPr>
            </w:pPr>
            <w:r w:rsidRPr="00AD318D">
              <w:rPr>
                <w:rFonts w:hint="cs"/>
                <w:sz w:val="18"/>
                <w:szCs w:val="18"/>
                <w:rtl/>
              </w:rPr>
              <w:t xml:space="preserve"> 0</w:t>
            </w:r>
          </w:p>
        </w:tc>
      </w:tr>
      <w:tr w:rsidR="006E7796" w:rsidRPr="00AD318D" w14:paraId="49C42E8E" w14:textId="77777777" w:rsidTr="00912661">
        <w:tc>
          <w:tcPr>
            <w:tcW w:w="1073" w:type="dxa"/>
          </w:tcPr>
          <w:p w14:paraId="13BA0CFA" w14:textId="77777777" w:rsidR="006E7796" w:rsidRDefault="006E7796" w:rsidP="00CF2A74">
            <w:pPr>
              <w:pStyle w:val="-0"/>
              <w:bidi w:val="0"/>
              <w:spacing w:line="60" w:lineRule="exact"/>
              <w:jc w:val="both"/>
              <w:rPr>
                <w:sz w:val="18"/>
                <w:szCs w:val="18"/>
                <w:rtl/>
              </w:rPr>
            </w:pPr>
          </w:p>
        </w:tc>
        <w:tc>
          <w:tcPr>
            <w:tcW w:w="4042" w:type="dxa"/>
            <w:gridSpan w:val="2"/>
            <w:vAlign w:val="bottom"/>
          </w:tcPr>
          <w:p w14:paraId="63908C83" w14:textId="77777777" w:rsidR="006E7796" w:rsidRPr="005F47BE" w:rsidRDefault="006E7796" w:rsidP="00CF2A74">
            <w:pPr>
              <w:pStyle w:val="-0"/>
              <w:bidi w:val="0"/>
              <w:spacing w:line="60" w:lineRule="exact"/>
              <w:jc w:val="both"/>
              <w:rPr>
                <w:sz w:val="18"/>
                <w:szCs w:val="18"/>
                <w:rtl/>
              </w:rPr>
            </w:pPr>
          </w:p>
        </w:tc>
        <w:tc>
          <w:tcPr>
            <w:tcW w:w="636" w:type="dxa"/>
            <w:vAlign w:val="bottom"/>
          </w:tcPr>
          <w:p w14:paraId="3B6B788C" w14:textId="77777777" w:rsidR="006E7796" w:rsidRDefault="006E7796" w:rsidP="00CF2A74">
            <w:pPr>
              <w:pStyle w:val="-12"/>
              <w:pBdr>
                <w:top w:val="none" w:sz="0" w:space="0" w:color="auto"/>
              </w:pBdr>
              <w:bidi w:val="0"/>
              <w:spacing w:line="60" w:lineRule="exact"/>
              <w:jc w:val="both"/>
              <w:rPr>
                <w:sz w:val="18"/>
                <w:szCs w:val="18"/>
                <w:rtl/>
              </w:rPr>
            </w:pPr>
          </w:p>
        </w:tc>
        <w:tc>
          <w:tcPr>
            <w:tcW w:w="992" w:type="dxa"/>
            <w:vAlign w:val="bottom"/>
          </w:tcPr>
          <w:p w14:paraId="24FC6F79" w14:textId="77777777" w:rsidR="006E7796" w:rsidRDefault="006E7796" w:rsidP="00CF2A74">
            <w:pPr>
              <w:pStyle w:val="-12"/>
              <w:pBdr>
                <w:top w:val="none" w:sz="0" w:space="0" w:color="auto"/>
              </w:pBdr>
              <w:bidi w:val="0"/>
              <w:spacing w:line="60" w:lineRule="exact"/>
              <w:jc w:val="both"/>
              <w:rPr>
                <w:sz w:val="18"/>
                <w:szCs w:val="18"/>
                <w:rtl/>
              </w:rPr>
            </w:pPr>
          </w:p>
        </w:tc>
        <w:tc>
          <w:tcPr>
            <w:tcW w:w="818" w:type="dxa"/>
            <w:vAlign w:val="bottom"/>
          </w:tcPr>
          <w:p w14:paraId="034D3BEB" w14:textId="77777777" w:rsidR="006E7796" w:rsidRDefault="006E7796" w:rsidP="00CF2A74">
            <w:pPr>
              <w:pStyle w:val="-12"/>
              <w:pBdr>
                <w:top w:val="none" w:sz="0" w:space="0" w:color="auto"/>
              </w:pBdr>
              <w:bidi w:val="0"/>
              <w:spacing w:line="60" w:lineRule="exact"/>
              <w:jc w:val="both"/>
              <w:rPr>
                <w:sz w:val="18"/>
                <w:szCs w:val="18"/>
                <w:rtl/>
              </w:rPr>
            </w:pPr>
          </w:p>
        </w:tc>
        <w:tc>
          <w:tcPr>
            <w:tcW w:w="1166" w:type="dxa"/>
            <w:vAlign w:val="bottom"/>
          </w:tcPr>
          <w:p w14:paraId="45005A5F" w14:textId="77777777" w:rsidR="006E7796" w:rsidRDefault="006E7796" w:rsidP="00CF2A74">
            <w:pPr>
              <w:pStyle w:val="-12"/>
              <w:pBdr>
                <w:top w:val="none" w:sz="0" w:space="0" w:color="auto"/>
              </w:pBdr>
              <w:bidi w:val="0"/>
              <w:spacing w:line="60" w:lineRule="exact"/>
              <w:jc w:val="both"/>
              <w:rPr>
                <w:sz w:val="18"/>
                <w:szCs w:val="18"/>
                <w:rtl/>
              </w:rPr>
            </w:pPr>
          </w:p>
        </w:tc>
        <w:tc>
          <w:tcPr>
            <w:tcW w:w="851" w:type="dxa"/>
            <w:vAlign w:val="bottom"/>
          </w:tcPr>
          <w:p w14:paraId="3997CA9A" w14:textId="77777777" w:rsidR="006E7796" w:rsidRDefault="006E7796" w:rsidP="00CF2A74">
            <w:pPr>
              <w:pStyle w:val="-12"/>
              <w:pBdr>
                <w:top w:val="none" w:sz="0" w:space="0" w:color="auto"/>
              </w:pBdr>
              <w:bidi w:val="0"/>
              <w:spacing w:line="60" w:lineRule="exact"/>
              <w:jc w:val="both"/>
              <w:rPr>
                <w:sz w:val="18"/>
                <w:szCs w:val="18"/>
                <w:rtl/>
              </w:rPr>
            </w:pPr>
          </w:p>
        </w:tc>
        <w:tc>
          <w:tcPr>
            <w:tcW w:w="713" w:type="dxa"/>
            <w:vAlign w:val="bottom"/>
          </w:tcPr>
          <w:p w14:paraId="0F44497E" w14:textId="77777777" w:rsidR="006E7796" w:rsidRDefault="006E7796" w:rsidP="00CF2A74">
            <w:pPr>
              <w:pStyle w:val="-12"/>
              <w:pBdr>
                <w:top w:val="none" w:sz="0" w:space="0" w:color="auto"/>
              </w:pBdr>
              <w:bidi w:val="0"/>
              <w:spacing w:line="60" w:lineRule="exact"/>
              <w:jc w:val="both"/>
              <w:rPr>
                <w:sz w:val="18"/>
                <w:szCs w:val="18"/>
                <w:rtl/>
              </w:rPr>
            </w:pPr>
          </w:p>
        </w:tc>
      </w:tr>
      <w:tr w:rsidR="006E7796" w:rsidRPr="00AD318D" w14:paraId="28E29AC4" w14:textId="77777777" w:rsidTr="00912661">
        <w:tc>
          <w:tcPr>
            <w:tcW w:w="1073" w:type="dxa"/>
          </w:tcPr>
          <w:p w14:paraId="063AD7E1" w14:textId="77777777" w:rsidR="006E7796" w:rsidRDefault="006E7796" w:rsidP="00CF2A74">
            <w:pPr>
              <w:pStyle w:val="-b"/>
              <w:spacing w:before="10"/>
              <w:rPr>
                <w:sz w:val="18"/>
                <w:szCs w:val="18"/>
                <w:rtl/>
              </w:rPr>
            </w:pPr>
          </w:p>
        </w:tc>
        <w:tc>
          <w:tcPr>
            <w:tcW w:w="4042" w:type="dxa"/>
            <w:gridSpan w:val="2"/>
            <w:vAlign w:val="bottom"/>
          </w:tcPr>
          <w:p w14:paraId="1A78817F" w14:textId="77777777" w:rsidR="006E7796" w:rsidRDefault="006E7796">
            <w:pPr>
              <w:pStyle w:val="-b"/>
              <w:spacing w:before="10"/>
              <w:rPr>
                <w:sz w:val="18"/>
                <w:szCs w:val="18"/>
                <w:rtl/>
              </w:rPr>
            </w:pPr>
            <w:r w:rsidRPr="005F47BE">
              <w:rPr>
                <w:sz w:val="18"/>
                <w:szCs w:val="18"/>
                <w:rtl/>
              </w:rPr>
              <w:t>השפעת מכשירים נגזרים מגדרים:</w:t>
            </w:r>
          </w:p>
        </w:tc>
        <w:tc>
          <w:tcPr>
            <w:tcW w:w="636" w:type="dxa"/>
            <w:vAlign w:val="bottom"/>
          </w:tcPr>
          <w:p w14:paraId="1C0CA5CD" w14:textId="77777777" w:rsidR="006E7796" w:rsidRDefault="006E7796" w:rsidP="00CF2A74">
            <w:pPr>
              <w:pStyle w:val="-0"/>
              <w:spacing w:before="10"/>
              <w:rPr>
                <w:sz w:val="18"/>
                <w:szCs w:val="18"/>
                <w:rtl/>
              </w:rPr>
            </w:pPr>
          </w:p>
        </w:tc>
        <w:tc>
          <w:tcPr>
            <w:tcW w:w="992" w:type="dxa"/>
            <w:vAlign w:val="bottom"/>
          </w:tcPr>
          <w:p w14:paraId="2C4179F2" w14:textId="77777777" w:rsidR="006E7796" w:rsidRDefault="006E7796" w:rsidP="00CF2A74">
            <w:pPr>
              <w:pStyle w:val="-0"/>
              <w:spacing w:before="10"/>
              <w:rPr>
                <w:sz w:val="18"/>
                <w:szCs w:val="18"/>
                <w:rtl/>
              </w:rPr>
            </w:pPr>
          </w:p>
        </w:tc>
        <w:tc>
          <w:tcPr>
            <w:tcW w:w="818" w:type="dxa"/>
            <w:vAlign w:val="bottom"/>
          </w:tcPr>
          <w:p w14:paraId="66F015E6" w14:textId="77777777" w:rsidR="006E7796" w:rsidRDefault="006E7796" w:rsidP="00CF2A74">
            <w:pPr>
              <w:pStyle w:val="-0"/>
              <w:spacing w:before="10"/>
              <w:rPr>
                <w:sz w:val="18"/>
                <w:szCs w:val="18"/>
                <w:rtl/>
              </w:rPr>
            </w:pPr>
          </w:p>
        </w:tc>
        <w:tc>
          <w:tcPr>
            <w:tcW w:w="1166" w:type="dxa"/>
            <w:vAlign w:val="bottom"/>
          </w:tcPr>
          <w:p w14:paraId="2385025B" w14:textId="77777777" w:rsidR="006E7796" w:rsidRDefault="006E7796" w:rsidP="00CF2A74">
            <w:pPr>
              <w:pStyle w:val="-0"/>
              <w:spacing w:before="10"/>
              <w:rPr>
                <w:sz w:val="18"/>
                <w:szCs w:val="18"/>
                <w:rtl/>
              </w:rPr>
            </w:pPr>
          </w:p>
        </w:tc>
        <w:tc>
          <w:tcPr>
            <w:tcW w:w="851" w:type="dxa"/>
            <w:vAlign w:val="bottom"/>
          </w:tcPr>
          <w:p w14:paraId="40B822D1" w14:textId="77777777" w:rsidR="006E7796" w:rsidRDefault="006E7796" w:rsidP="00CF2A74">
            <w:pPr>
              <w:pStyle w:val="-0"/>
              <w:spacing w:before="10"/>
              <w:rPr>
                <w:sz w:val="18"/>
                <w:szCs w:val="18"/>
                <w:rtl/>
              </w:rPr>
            </w:pPr>
          </w:p>
        </w:tc>
        <w:tc>
          <w:tcPr>
            <w:tcW w:w="713" w:type="dxa"/>
            <w:vAlign w:val="bottom"/>
          </w:tcPr>
          <w:p w14:paraId="731C89E2" w14:textId="77777777" w:rsidR="006E7796" w:rsidRDefault="006E7796" w:rsidP="00CF2A74">
            <w:pPr>
              <w:pStyle w:val="-0"/>
              <w:spacing w:before="10"/>
              <w:rPr>
                <w:sz w:val="18"/>
                <w:szCs w:val="18"/>
                <w:rtl/>
              </w:rPr>
            </w:pPr>
          </w:p>
        </w:tc>
      </w:tr>
      <w:tr w:rsidR="006E7796" w:rsidRPr="00AD318D" w14:paraId="3314395D" w14:textId="77777777" w:rsidTr="00912661">
        <w:tc>
          <w:tcPr>
            <w:tcW w:w="1073" w:type="dxa"/>
          </w:tcPr>
          <w:p w14:paraId="185807D4" w14:textId="77777777" w:rsidR="006E7796" w:rsidRDefault="006E7796" w:rsidP="00CF2A74">
            <w:pPr>
              <w:pStyle w:val="-0"/>
              <w:spacing w:before="10"/>
              <w:rPr>
                <w:sz w:val="18"/>
                <w:szCs w:val="18"/>
                <w:rtl/>
              </w:rPr>
            </w:pPr>
          </w:p>
        </w:tc>
        <w:tc>
          <w:tcPr>
            <w:tcW w:w="4042" w:type="dxa"/>
            <w:gridSpan w:val="2"/>
            <w:vAlign w:val="bottom"/>
          </w:tcPr>
          <w:p w14:paraId="04311374" w14:textId="77777777" w:rsidR="006E7796" w:rsidRPr="005F47BE" w:rsidRDefault="006E7796" w:rsidP="00CF2A74">
            <w:pPr>
              <w:pStyle w:val="-0"/>
              <w:spacing w:before="10"/>
              <w:rPr>
                <w:sz w:val="18"/>
                <w:szCs w:val="18"/>
                <w:rtl/>
              </w:rPr>
            </w:pPr>
            <w:r w:rsidRPr="005F47BE">
              <w:rPr>
                <w:sz w:val="18"/>
                <w:szCs w:val="18"/>
                <w:rtl/>
              </w:rPr>
              <w:t>מכשירים נגזרים (למעט אופציות)</w:t>
            </w:r>
          </w:p>
        </w:tc>
        <w:tc>
          <w:tcPr>
            <w:tcW w:w="636" w:type="dxa"/>
            <w:vAlign w:val="bottom"/>
          </w:tcPr>
          <w:p w14:paraId="69C40EE6" w14:textId="77777777" w:rsidR="006E7796" w:rsidRDefault="006E7796" w:rsidP="00CF2A74">
            <w:pPr>
              <w:pStyle w:val="-0"/>
              <w:spacing w:before="10"/>
              <w:rPr>
                <w:sz w:val="18"/>
                <w:szCs w:val="18"/>
                <w:rtl/>
              </w:rPr>
            </w:pPr>
            <w:r w:rsidRPr="00AD318D">
              <w:rPr>
                <w:rFonts w:hint="cs"/>
                <w:sz w:val="18"/>
                <w:szCs w:val="18"/>
                <w:rtl/>
              </w:rPr>
              <w:t xml:space="preserve"> 0</w:t>
            </w:r>
          </w:p>
        </w:tc>
        <w:tc>
          <w:tcPr>
            <w:tcW w:w="992" w:type="dxa"/>
            <w:vAlign w:val="bottom"/>
          </w:tcPr>
          <w:p w14:paraId="217C6B84" w14:textId="77777777" w:rsidR="006E7796" w:rsidRDefault="006E7796" w:rsidP="00CF2A74">
            <w:pPr>
              <w:pStyle w:val="-0"/>
              <w:spacing w:before="10"/>
              <w:rPr>
                <w:sz w:val="18"/>
                <w:szCs w:val="18"/>
                <w:rtl/>
              </w:rPr>
            </w:pPr>
            <w:r w:rsidRPr="00AD318D">
              <w:rPr>
                <w:rFonts w:hint="cs"/>
                <w:sz w:val="18"/>
                <w:szCs w:val="18"/>
                <w:rtl/>
              </w:rPr>
              <w:t xml:space="preserve"> 0</w:t>
            </w:r>
          </w:p>
        </w:tc>
        <w:tc>
          <w:tcPr>
            <w:tcW w:w="818" w:type="dxa"/>
            <w:vAlign w:val="bottom"/>
          </w:tcPr>
          <w:p w14:paraId="3D357840" w14:textId="77777777" w:rsidR="006E7796" w:rsidRDefault="006E7796" w:rsidP="00CF2A74">
            <w:pPr>
              <w:pStyle w:val="-0"/>
              <w:spacing w:before="10"/>
              <w:rPr>
                <w:sz w:val="18"/>
                <w:szCs w:val="18"/>
                <w:rtl/>
              </w:rPr>
            </w:pPr>
            <w:r w:rsidRPr="00AD318D">
              <w:rPr>
                <w:rFonts w:hint="cs"/>
                <w:sz w:val="18"/>
                <w:szCs w:val="18"/>
                <w:rtl/>
              </w:rPr>
              <w:t xml:space="preserve"> 0</w:t>
            </w:r>
          </w:p>
        </w:tc>
        <w:tc>
          <w:tcPr>
            <w:tcW w:w="1166" w:type="dxa"/>
            <w:vAlign w:val="bottom"/>
          </w:tcPr>
          <w:p w14:paraId="47530C29" w14:textId="77777777" w:rsidR="006E7796" w:rsidRDefault="006E7796" w:rsidP="00CF2A74">
            <w:pPr>
              <w:pStyle w:val="-0"/>
              <w:spacing w:before="10"/>
              <w:rPr>
                <w:sz w:val="18"/>
                <w:szCs w:val="18"/>
                <w:rtl/>
              </w:rPr>
            </w:pPr>
            <w:r w:rsidRPr="00AD318D">
              <w:rPr>
                <w:rFonts w:hint="cs"/>
                <w:sz w:val="18"/>
                <w:szCs w:val="18"/>
                <w:rtl/>
              </w:rPr>
              <w:t xml:space="preserve"> 0</w:t>
            </w:r>
          </w:p>
        </w:tc>
        <w:tc>
          <w:tcPr>
            <w:tcW w:w="851" w:type="dxa"/>
            <w:vAlign w:val="bottom"/>
          </w:tcPr>
          <w:p w14:paraId="580663B9" w14:textId="77777777" w:rsidR="006E7796" w:rsidRDefault="006E7796" w:rsidP="00CF2A74">
            <w:pPr>
              <w:pStyle w:val="-0"/>
              <w:spacing w:before="10"/>
              <w:rPr>
                <w:sz w:val="18"/>
                <w:szCs w:val="18"/>
                <w:rtl/>
              </w:rPr>
            </w:pPr>
            <w:r w:rsidRPr="00AD318D">
              <w:rPr>
                <w:rFonts w:hint="cs"/>
                <w:sz w:val="18"/>
                <w:szCs w:val="18"/>
                <w:rtl/>
              </w:rPr>
              <w:t xml:space="preserve"> 0</w:t>
            </w:r>
          </w:p>
        </w:tc>
        <w:tc>
          <w:tcPr>
            <w:tcW w:w="713" w:type="dxa"/>
            <w:vAlign w:val="bottom"/>
          </w:tcPr>
          <w:p w14:paraId="082CA074" w14:textId="77777777" w:rsidR="006E7796" w:rsidRDefault="006E7796" w:rsidP="00CF2A74">
            <w:pPr>
              <w:pStyle w:val="-0"/>
              <w:spacing w:before="10"/>
              <w:rPr>
                <w:sz w:val="18"/>
                <w:szCs w:val="18"/>
                <w:rtl/>
              </w:rPr>
            </w:pPr>
            <w:r w:rsidRPr="00AD318D">
              <w:rPr>
                <w:rFonts w:hint="cs"/>
                <w:sz w:val="18"/>
                <w:szCs w:val="18"/>
                <w:rtl/>
              </w:rPr>
              <w:t xml:space="preserve"> 0</w:t>
            </w:r>
          </w:p>
        </w:tc>
      </w:tr>
      <w:tr w:rsidR="006E7796" w:rsidRPr="00AD318D" w14:paraId="62D6C868" w14:textId="77777777" w:rsidTr="00912661">
        <w:tc>
          <w:tcPr>
            <w:tcW w:w="1073" w:type="dxa"/>
          </w:tcPr>
          <w:p w14:paraId="29E9799B" w14:textId="77777777" w:rsidR="006E7796" w:rsidRDefault="006E7796" w:rsidP="00CF2A74">
            <w:pPr>
              <w:pStyle w:val="-0"/>
              <w:spacing w:before="10"/>
              <w:rPr>
                <w:sz w:val="18"/>
                <w:szCs w:val="18"/>
                <w:rtl/>
              </w:rPr>
            </w:pPr>
          </w:p>
        </w:tc>
        <w:tc>
          <w:tcPr>
            <w:tcW w:w="4042" w:type="dxa"/>
            <w:gridSpan w:val="2"/>
            <w:vAlign w:val="bottom"/>
          </w:tcPr>
          <w:p w14:paraId="7CEAFA75" w14:textId="77777777" w:rsidR="006E7796" w:rsidRDefault="006E7796">
            <w:pPr>
              <w:pStyle w:val="-0"/>
              <w:spacing w:before="10"/>
              <w:rPr>
                <w:sz w:val="18"/>
                <w:szCs w:val="18"/>
                <w:rtl/>
              </w:rPr>
            </w:pPr>
            <w:r w:rsidRPr="005F47BE">
              <w:rPr>
                <w:sz w:val="18"/>
                <w:szCs w:val="18"/>
                <w:rtl/>
              </w:rPr>
              <w:t>אופציות בכסף נטו (במונחי נכס בסיס)</w:t>
            </w:r>
          </w:p>
        </w:tc>
        <w:tc>
          <w:tcPr>
            <w:tcW w:w="636" w:type="dxa"/>
            <w:vAlign w:val="bottom"/>
          </w:tcPr>
          <w:p w14:paraId="5D9761D3" w14:textId="77777777" w:rsidR="006E7796" w:rsidRDefault="006E7796" w:rsidP="00CF2A74">
            <w:pPr>
              <w:pStyle w:val="-0"/>
              <w:spacing w:before="10"/>
              <w:rPr>
                <w:sz w:val="18"/>
                <w:szCs w:val="18"/>
                <w:rtl/>
              </w:rPr>
            </w:pPr>
            <w:r w:rsidRPr="00AD318D">
              <w:rPr>
                <w:rFonts w:hint="cs"/>
                <w:sz w:val="18"/>
                <w:szCs w:val="18"/>
                <w:rtl/>
              </w:rPr>
              <w:t xml:space="preserve"> 0</w:t>
            </w:r>
          </w:p>
        </w:tc>
        <w:tc>
          <w:tcPr>
            <w:tcW w:w="992" w:type="dxa"/>
            <w:vAlign w:val="bottom"/>
          </w:tcPr>
          <w:p w14:paraId="1390B74B" w14:textId="77777777" w:rsidR="006E7796" w:rsidRDefault="006E7796" w:rsidP="00CF2A74">
            <w:pPr>
              <w:pStyle w:val="-0"/>
              <w:spacing w:before="10"/>
              <w:rPr>
                <w:sz w:val="18"/>
                <w:szCs w:val="18"/>
                <w:rtl/>
              </w:rPr>
            </w:pPr>
            <w:r w:rsidRPr="00AD318D">
              <w:rPr>
                <w:rFonts w:hint="cs"/>
                <w:sz w:val="18"/>
                <w:szCs w:val="18"/>
                <w:rtl/>
              </w:rPr>
              <w:t xml:space="preserve"> 0</w:t>
            </w:r>
          </w:p>
        </w:tc>
        <w:tc>
          <w:tcPr>
            <w:tcW w:w="818" w:type="dxa"/>
            <w:vAlign w:val="bottom"/>
          </w:tcPr>
          <w:p w14:paraId="31D47158" w14:textId="77777777" w:rsidR="006E7796" w:rsidRDefault="006E7796" w:rsidP="00CF2A74">
            <w:pPr>
              <w:pStyle w:val="-0"/>
              <w:spacing w:before="10"/>
              <w:rPr>
                <w:sz w:val="18"/>
                <w:szCs w:val="18"/>
                <w:rtl/>
              </w:rPr>
            </w:pPr>
            <w:r w:rsidRPr="00AD318D">
              <w:rPr>
                <w:rFonts w:hint="cs"/>
                <w:sz w:val="18"/>
                <w:szCs w:val="18"/>
                <w:rtl/>
              </w:rPr>
              <w:t xml:space="preserve"> 0</w:t>
            </w:r>
          </w:p>
        </w:tc>
        <w:tc>
          <w:tcPr>
            <w:tcW w:w="1166" w:type="dxa"/>
            <w:vAlign w:val="bottom"/>
          </w:tcPr>
          <w:p w14:paraId="3E0D002E" w14:textId="77777777" w:rsidR="006E7796" w:rsidRDefault="006E7796" w:rsidP="00CF2A74">
            <w:pPr>
              <w:pStyle w:val="-0"/>
              <w:spacing w:before="10"/>
              <w:rPr>
                <w:sz w:val="18"/>
                <w:szCs w:val="18"/>
                <w:rtl/>
              </w:rPr>
            </w:pPr>
            <w:r w:rsidRPr="00AD318D">
              <w:rPr>
                <w:rFonts w:hint="cs"/>
                <w:sz w:val="18"/>
                <w:szCs w:val="18"/>
                <w:rtl/>
              </w:rPr>
              <w:t xml:space="preserve"> 0</w:t>
            </w:r>
          </w:p>
        </w:tc>
        <w:tc>
          <w:tcPr>
            <w:tcW w:w="851" w:type="dxa"/>
            <w:vAlign w:val="bottom"/>
          </w:tcPr>
          <w:p w14:paraId="13CCBBEE" w14:textId="77777777" w:rsidR="006E7796" w:rsidRDefault="006E7796" w:rsidP="00CF2A74">
            <w:pPr>
              <w:pStyle w:val="-0"/>
              <w:spacing w:before="10"/>
              <w:rPr>
                <w:sz w:val="18"/>
                <w:szCs w:val="18"/>
                <w:rtl/>
              </w:rPr>
            </w:pPr>
            <w:r w:rsidRPr="00AD318D">
              <w:rPr>
                <w:rFonts w:hint="cs"/>
                <w:sz w:val="18"/>
                <w:szCs w:val="18"/>
                <w:rtl/>
              </w:rPr>
              <w:t xml:space="preserve"> 0</w:t>
            </w:r>
          </w:p>
        </w:tc>
        <w:tc>
          <w:tcPr>
            <w:tcW w:w="713" w:type="dxa"/>
            <w:vAlign w:val="bottom"/>
          </w:tcPr>
          <w:p w14:paraId="30525D6C" w14:textId="77777777" w:rsidR="006E7796" w:rsidRDefault="006E7796" w:rsidP="00CF2A74">
            <w:pPr>
              <w:pStyle w:val="-0"/>
              <w:spacing w:before="10"/>
              <w:rPr>
                <w:sz w:val="18"/>
                <w:szCs w:val="18"/>
                <w:rtl/>
              </w:rPr>
            </w:pPr>
            <w:r w:rsidRPr="00AD318D">
              <w:rPr>
                <w:rFonts w:hint="cs"/>
                <w:sz w:val="18"/>
                <w:szCs w:val="18"/>
                <w:rtl/>
              </w:rPr>
              <w:t xml:space="preserve"> 0</w:t>
            </w:r>
          </w:p>
        </w:tc>
      </w:tr>
      <w:tr w:rsidR="006E7796" w:rsidRPr="00AD318D" w14:paraId="4C9B2591" w14:textId="77777777" w:rsidTr="00912661">
        <w:tc>
          <w:tcPr>
            <w:tcW w:w="1073" w:type="dxa"/>
          </w:tcPr>
          <w:p w14:paraId="64D32541" w14:textId="77777777" w:rsidR="006E7796" w:rsidRDefault="006E7796" w:rsidP="00CF2A74">
            <w:pPr>
              <w:pStyle w:val="-0"/>
              <w:spacing w:before="10"/>
              <w:rPr>
                <w:sz w:val="18"/>
                <w:szCs w:val="18"/>
                <w:rtl/>
              </w:rPr>
            </w:pPr>
          </w:p>
        </w:tc>
        <w:tc>
          <w:tcPr>
            <w:tcW w:w="4042" w:type="dxa"/>
            <w:gridSpan w:val="2"/>
            <w:vAlign w:val="bottom"/>
          </w:tcPr>
          <w:p w14:paraId="134928E6" w14:textId="77777777" w:rsidR="006E7796" w:rsidRDefault="006E7796">
            <w:pPr>
              <w:pStyle w:val="-0"/>
              <w:spacing w:before="10"/>
              <w:rPr>
                <w:sz w:val="18"/>
                <w:szCs w:val="18"/>
                <w:rtl/>
              </w:rPr>
            </w:pPr>
            <w:r w:rsidRPr="005F47BE">
              <w:rPr>
                <w:sz w:val="18"/>
                <w:szCs w:val="18"/>
                <w:rtl/>
              </w:rPr>
              <w:t xml:space="preserve">אופציות מחוץ לכסף נטו (במונחי נכס בסיס) </w:t>
            </w:r>
          </w:p>
        </w:tc>
        <w:tc>
          <w:tcPr>
            <w:tcW w:w="636" w:type="dxa"/>
            <w:vAlign w:val="bottom"/>
          </w:tcPr>
          <w:p w14:paraId="78B2C3D0" w14:textId="77777777" w:rsidR="006E7796" w:rsidRDefault="006E7796" w:rsidP="00CF2A74">
            <w:pPr>
              <w:pStyle w:val="-0"/>
              <w:spacing w:before="10"/>
              <w:rPr>
                <w:sz w:val="18"/>
                <w:szCs w:val="18"/>
                <w:rtl/>
              </w:rPr>
            </w:pPr>
            <w:r w:rsidRPr="00AD318D">
              <w:rPr>
                <w:rFonts w:hint="cs"/>
                <w:sz w:val="18"/>
                <w:szCs w:val="18"/>
                <w:rtl/>
              </w:rPr>
              <w:t xml:space="preserve"> 0</w:t>
            </w:r>
          </w:p>
        </w:tc>
        <w:tc>
          <w:tcPr>
            <w:tcW w:w="992" w:type="dxa"/>
            <w:vAlign w:val="bottom"/>
          </w:tcPr>
          <w:p w14:paraId="7D0EEE9B" w14:textId="77777777" w:rsidR="006E7796" w:rsidRDefault="006E7796" w:rsidP="00CF2A74">
            <w:pPr>
              <w:pStyle w:val="-0"/>
              <w:spacing w:before="10"/>
              <w:rPr>
                <w:sz w:val="18"/>
                <w:szCs w:val="18"/>
                <w:rtl/>
              </w:rPr>
            </w:pPr>
            <w:r w:rsidRPr="00AD318D">
              <w:rPr>
                <w:rFonts w:hint="cs"/>
                <w:sz w:val="18"/>
                <w:szCs w:val="18"/>
                <w:rtl/>
              </w:rPr>
              <w:t xml:space="preserve"> 0</w:t>
            </w:r>
          </w:p>
        </w:tc>
        <w:tc>
          <w:tcPr>
            <w:tcW w:w="818" w:type="dxa"/>
            <w:vAlign w:val="bottom"/>
          </w:tcPr>
          <w:p w14:paraId="40E4ADD0" w14:textId="77777777" w:rsidR="006E7796" w:rsidRDefault="006E7796" w:rsidP="00CF2A74">
            <w:pPr>
              <w:pStyle w:val="-0"/>
              <w:spacing w:before="10"/>
              <w:rPr>
                <w:sz w:val="18"/>
                <w:szCs w:val="18"/>
                <w:rtl/>
              </w:rPr>
            </w:pPr>
            <w:r w:rsidRPr="00AD318D">
              <w:rPr>
                <w:rFonts w:hint="cs"/>
                <w:sz w:val="18"/>
                <w:szCs w:val="18"/>
                <w:rtl/>
              </w:rPr>
              <w:t xml:space="preserve"> 0</w:t>
            </w:r>
          </w:p>
        </w:tc>
        <w:tc>
          <w:tcPr>
            <w:tcW w:w="1166" w:type="dxa"/>
            <w:vAlign w:val="bottom"/>
          </w:tcPr>
          <w:p w14:paraId="1FECE7FF" w14:textId="77777777" w:rsidR="006E7796" w:rsidRDefault="006E7796" w:rsidP="00CF2A74">
            <w:pPr>
              <w:pStyle w:val="-0"/>
              <w:spacing w:before="10"/>
              <w:rPr>
                <w:sz w:val="18"/>
                <w:szCs w:val="18"/>
                <w:rtl/>
              </w:rPr>
            </w:pPr>
            <w:r w:rsidRPr="00AD318D">
              <w:rPr>
                <w:rFonts w:hint="cs"/>
                <w:sz w:val="18"/>
                <w:szCs w:val="18"/>
                <w:rtl/>
              </w:rPr>
              <w:t xml:space="preserve"> 0</w:t>
            </w:r>
          </w:p>
        </w:tc>
        <w:tc>
          <w:tcPr>
            <w:tcW w:w="851" w:type="dxa"/>
            <w:vAlign w:val="bottom"/>
          </w:tcPr>
          <w:p w14:paraId="5E8CD689" w14:textId="77777777" w:rsidR="006E7796" w:rsidRDefault="006E7796" w:rsidP="00CF2A74">
            <w:pPr>
              <w:pStyle w:val="-0"/>
              <w:spacing w:before="10"/>
              <w:rPr>
                <w:sz w:val="18"/>
                <w:szCs w:val="18"/>
                <w:rtl/>
              </w:rPr>
            </w:pPr>
            <w:r w:rsidRPr="00AD318D">
              <w:rPr>
                <w:rFonts w:hint="cs"/>
                <w:sz w:val="18"/>
                <w:szCs w:val="18"/>
                <w:rtl/>
              </w:rPr>
              <w:t xml:space="preserve"> 0</w:t>
            </w:r>
          </w:p>
        </w:tc>
        <w:tc>
          <w:tcPr>
            <w:tcW w:w="713" w:type="dxa"/>
            <w:vAlign w:val="bottom"/>
          </w:tcPr>
          <w:p w14:paraId="5C0F28C0" w14:textId="77777777" w:rsidR="006E7796" w:rsidRDefault="006E7796" w:rsidP="00CF2A74">
            <w:pPr>
              <w:pStyle w:val="-0"/>
              <w:spacing w:before="10"/>
              <w:rPr>
                <w:sz w:val="18"/>
                <w:szCs w:val="18"/>
                <w:rtl/>
              </w:rPr>
            </w:pPr>
            <w:r w:rsidRPr="00AD318D">
              <w:rPr>
                <w:rFonts w:hint="cs"/>
                <w:sz w:val="18"/>
                <w:szCs w:val="18"/>
                <w:rtl/>
              </w:rPr>
              <w:t xml:space="preserve"> 0</w:t>
            </w:r>
          </w:p>
        </w:tc>
      </w:tr>
      <w:tr w:rsidR="006E7796" w:rsidRPr="00AD318D" w14:paraId="671A40E1" w14:textId="77777777" w:rsidTr="00912661">
        <w:trPr>
          <w:trHeight w:hRule="exact" w:val="72"/>
        </w:trPr>
        <w:tc>
          <w:tcPr>
            <w:tcW w:w="1073" w:type="dxa"/>
          </w:tcPr>
          <w:p w14:paraId="76FD0104" w14:textId="77777777" w:rsidR="006E7796" w:rsidRDefault="006E7796" w:rsidP="00CF2A74">
            <w:pPr>
              <w:pStyle w:val="-0"/>
              <w:spacing w:before="10"/>
              <w:rPr>
                <w:sz w:val="18"/>
                <w:szCs w:val="18"/>
                <w:rtl/>
              </w:rPr>
            </w:pPr>
          </w:p>
        </w:tc>
        <w:tc>
          <w:tcPr>
            <w:tcW w:w="4042" w:type="dxa"/>
            <w:gridSpan w:val="2"/>
            <w:vAlign w:val="bottom"/>
          </w:tcPr>
          <w:p w14:paraId="631CF262" w14:textId="77777777" w:rsidR="006E7796" w:rsidRPr="005F47BE" w:rsidRDefault="006E7796" w:rsidP="00CF2A74">
            <w:pPr>
              <w:pStyle w:val="-0"/>
              <w:spacing w:before="10"/>
              <w:rPr>
                <w:sz w:val="18"/>
                <w:szCs w:val="18"/>
                <w:rtl/>
              </w:rPr>
            </w:pPr>
          </w:p>
        </w:tc>
        <w:tc>
          <w:tcPr>
            <w:tcW w:w="636" w:type="dxa"/>
            <w:vAlign w:val="bottom"/>
          </w:tcPr>
          <w:p w14:paraId="688B8439" w14:textId="77777777" w:rsidR="006E7796" w:rsidRDefault="006E7796" w:rsidP="00CF2A74">
            <w:pPr>
              <w:pStyle w:val="-0"/>
              <w:spacing w:before="10"/>
              <w:rPr>
                <w:sz w:val="18"/>
                <w:szCs w:val="18"/>
                <w:rtl/>
              </w:rPr>
            </w:pPr>
          </w:p>
        </w:tc>
        <w:tc>
          <w:tcPr>
            <w:tcW w:w="992" w:type="dxa"/>
            <w:vAlign w:val="bottom"/>
          </w:tcPr>
          <w:p w14:paraId="4B5C6AC1" w14:textId="77777777" w:rsidR="006E7796" w:rsidRDefault="006E7796" w:rsidP="00CF2A74">
            <w:pPr>
              <w:pStyle w:val="-0"/>
              <w:spacing w:before="10"/>
              <w:rPr>
                <w:sz w:val="18"/>
                <w:szCs w:val="18"/>
                <w:rtl/>
              </w:rPr>
            </w:pPr>
          </w:p>
        </w:tc>
        <w:tc>
          <w:tcPr>
            <w:tcW w:w="818" w:type="dxa"/>
            <w:vAlign w:val="bottom"/>
          </w:tcPr>
          <w:p w14:paraId="3378451B" w14:textId="77777777" w:rsidR="006E7796" w:rsidRDefault="006E7796" w:rsidP="00CF2A74">
            <w:pPr>
              <w:pStyle w:val="-0"/>
              <w:spacing w:before="10"/>
              <w:rPr>
                <w:sz w:val="18"/>
                <w:szCs w:val="18"/>
                <w:rtl/>
              </w:rPr>
            </w:pPr>
          </w:p>
        </w:tc>
        <w:tc>
          <w:tcPr>
            <w:tcW w:w="1166" w:type="dxa"/>
            <w:vAlign w:val="bottom"/>
          </w:tcPr>
          <w:p w14:paraId="27FFF23B" w14:textId="77777777" w:rsidR="006E7796" w:rsidRDefault="006E7796" w:rsidP="00CF2A74">
            <w:pPr>
              <w:pStyle w:val="-0"/>
              <w:spacing w:before="10"/>
              <w:rPr>
                <w:sz w:val="18"/>
                <w:szCs w:val="18"/>
                <w:rtl/>
              </w:rPr>
            </w:pPr>
          </w:p>
        </w:tc>
        <w:tc>
          <w:tcPr>
            <w:tcW w:w="851" w:type="dxa"/>
            <w:vAlign w:val="bottom"/>
          </w:tcPr>
          <w:p w14:paraId="20FC779C" w14:textId="77777777" w:rsidR="006E7796" w:rsidRDefault="006E7796" w:rsidP="00CF2A74">
            <w:pPr>
              <w:pStyle w:val="-0"/>
              <w:spacing w:before="10"/>
              <w:rPr>
                <w:sz w:val="18"/>
                <w:szCs w:val="18"/>
                <w:rtl/>
              </w:rPr>
            </w:pPr>
          </w:p>
        </w:tc>
        <w:tc>
          <w:tcPr>
            <w:tcW w:w="713" w:type="dxa"/>
            <w:vAlign w:val="bottom"/>
          </w:tcPr>
          <w:p w14:paraId="10855BAA" w14:textId="77777777" w:rsidR="006E7796" w:rsidRDefault="006E7796" w:rsidP="00CF2A74">
            <w:pPr>
              <w:pStyle w:val="-0"/>
              <w:spacing w:before="10"/>
              <w:rPr>
                <w:sz w:val="18"/>
                <w:szCs w:val="18"/>
                <w:rtl/>
              </w:rPr>
            </w:pPr>
          </w:p>
        </w:tc>
      </w:tr>
      <w:tr w:rsidR="006E7796" w:rsidRPr="00AD318D" w14:paraId="2BFBE683" w14:textId="77777777" w:rsidTr="00912661">
        <w:tc>
          <w:tcPr>
            <w:tcW w:w="1073" w:type="dxa"/>
          </w:tcPr>
          <w:p w14:paraId="7537D373" w14:textId="77777777" w:rsidR="006E7796" w:rsidRDefault="006E7796" w:rsidP="00CF2A74">
            <w:pPr>
              <w:pStyle w:val="-b"/>
              <w:spacing w:before="10"/>
              <w:rPr>
                <w:sz w:val="18"/>
                <w:szCs w:val="18"/>
                <w:rtl/>
              </w:rPr>
            </w:pPr>
          </w:p>
        </w:tc>
        <w:tc>
          <w:tcPr>
            <w:tcW w:w="4042" w:type="dxa"/>
            <w:gridSpan w:val="2"/>
            <w:vAlign w:val="bottom"/>
          </w:tcPr>
          <w:p w14:paraId="79B7C933" w14:textId="77777777" w:rsidR="006E7796" w:rsidRPr="005F47BE" w:rsidRDefault="006E7796" w:rsidP="00CF2A74">
            <w:pPr>
              <w:pStyle w:val="-b"/>
              <w:spacing w:before="10"/>
              <w:rPr>
                <w:sz w:val="18"/>
                <w:szCs w:val="18"/>
                <w:rtl/>
              </w:rPr>
            </w:pPr>
            <w:r w:rsidRPr="005F47BE">
              <w:rPr>
                <w:sz w:val="18"/>
                <w:szCs w:val="18"/>
                <w:rtl/>
              </w:rPr>
              <w:t>מכשירים נגזרים שאינם מגדרים:</w:t>
            </w:r>
          </w:p>
        </w:tc>
        <w:tc>
          <w:tcPr>
            <w:tcW w:w="636" w:type="dxa"/>
            <w:vAlign w:val="bottom"/>
          </w:tcPr>
          <w:p w14:paraId="1AAEB56C" w14:textId="77777777" w:rsidR="006E7796" w:rsidRDefault="006E7796" w:rsidP="00CF2A74">
            <w:pPr>
              <w:pStyle w:val="-0"/>
              <w:spacing w:before="10"/>
              <w:rPr>
                <w:sz w:val="18"/>
                <w:szCs w:val="18"/>
                <w:rtl/>
              </w:rPr>
            </w:pPr>
          </w:p>
        </w:tc>
        <w:tc>
          <w:tcPr>
            <w:tcW w:w="992" w:type="dxa"/>
            <w:vAlign w:val="bottom"/>
          </w:tcPr>
          <w:p w14:paraId="3B72A882" w14:textId="77777777" w:rsidR="006E7796" w:rsidRDefault="006E7796" w:rsidP="00CF2A74">
            <w:pPr>
              <w:pStyle w:val="-0"/>
              <w:spacing w:before="10"/>
              <w:rPr>
                <w:sz w:val="18"/>
                <w:szCs w:val="18"/>
                <w:rtl/>
              </w:rPr>
            </w:pPr>
          </w:p>
        </w:tc>
        <w:tc>
          <w:tcPr>
            <w:tcW w:w="818" w:type="dxa"/>
            <w:vAlign w:val="bottom"/>
          </w:tcPr>
          <w:p w14:paraId="38B74683" w14:textId="77777777" w:rsidR="006E7796" w:rsidRDefault="006E7796" w:rsidP="00CF2A74">
            <w:pPr>
              <w:pStyle w:val="-0"/>
              <w:spacing w:before="10"/>
              <w:rPr>
                <w:sz w:val="18"/>
                <w:szCs w:val="18"/>
                <w:rtl/>
              </w:rPr>
            </w:pPr>
          </w:p>
        </w:tc>
        <w:tc>
          <w:tcPr>
            <w:tcW w:w="1166" w:type="dxa"/>
            <w:vAlign w:val="bottom"/>
          </w:tcPr>
          <w:p w14:paraId="6A18EDC6" w14:textId="77777777" w:rsidR="006E7796" w:rsidRDefault="006E7796" w:rsidP="00CF2A74">
            <w:pPr>
              <w:pStyle w:val="-0"/>
              <w:spacing w:before="10"/>
              <w:rPr>
                <w:sz w:val="18"/>
                <w:szCs w:val="18"/>
                <w:rtl/>
              </w:rPr>
            </w:pPr>
          </w:p>
        </w:tc>
        <w:tc>
          <w:tcPr>
            <w:tcW w:w="851" w:type="dxa"/>
            <w:vAlign w:val="bottom"/>
          </w:tcPr>
          <w:p w14:paraId="5966AB21" w14:textId="77777777" w:rsidR="006E7796" w:rsidRDefault="006E7796" w:rsidP="00CF2A74">
            <w:pPr>
              <w:pStyle w:val="-0"/>
              <w:spacing w:before="10"/>
              <w:rPr>
                <w:sz w:val="18"/>
                <w:szCs w:val="18"/>
                <w:rtl/>
              </w:rPr>
            </w:pPr>
          </w:p>
        </w:tc>
        <w:tc>
          <w:tcPr>
            <w:tcW w:w="713" w:type="dxa"/>
            <w:vAlign w:val="bottom"/>
          </w:tcPr>
          <w:p w14:paraId="52C007E6" w14:textId="77777777" w:rsidR="006E7796" w:rsidRDefault="006E7796" w:rsidP="00CF2A74">
            <w:pPr>
              <w:pStyle w:val="-0"/>
              <w:spacing w:before="10"/>
              <w:rPr>
                <w:sz w:val="18"/>
                <w:szCs w:val="18"/>
                <w:rtl/>
              </w:rPr>
            </w:pPr>
          </w:p>
        </w:tc>
      </w:tr>
      <w:tr w:rsidR="006E7796" w:rsidRPr="00AD318D" w14:paraId="5CF79E0B" w14:textId="77777777" w:rsidTr="00912661">
        <w:tc>
          <w:tcPr>
            <w:tcW w:w="1073" w:type="dxa"/>
          </w:tcPr>
          <w:p w14:paraId="79C6EEE7" w14:textId="77777777" w:rsidR="006E7796" w:rsidRDefault="006E7796" w:rsidP="00CF2A74">
            <w:pPr>
              <w:pStyle w:val="-0"/>
              <w:spacing w:before="10"/>
              <w:rPr>
                <w:sz w:val="18"/>
                <w:szCs w:val="18"/>
                <w:rtl/>
              </w:rPr>
            </w:pPr>
          </w:p>
        </w:tc>
        <w:tc>
          <w:tcPr>
            <w:tcW w:w="4042" w:type="dxa"/>
            <w:gridSpan w:val="2"/>
            <w:vAlign w:val="bottom"/>
          </w:tcPr>
          <w:p w14:paraId="5FC8006A" w14:textId="77777777" w:rsidR="006E7796" w:rsidRPr="005F47BE" w:rsidRDefault="006E7796" w:rsidP="00CF2A74">
            <w:pPr>
              <w:pStyle w:val="-0"/>
              <w:spacing w:before="10"/>
              <w:rPr>
                <w:sz w:val="18"/>
                <w:szCs w:val="18"/>
                <w:rtl/>
              </w:rPr>
            </w:pPr>
            <w:r w:rsidRPr="005F47BE">
              <w:rPr>
                <w:sz w:val="18"/>
                <w:szCs w:val="18"/>
                <w:rtl/>
              </w:rPr>
              <w:t>מכשירים נגזרים (למעט אופציות)</w:t>
            </w:r>
          </w:p>
        </w:tc>
        <w:tc>
          <w:tcPr>
            <w:tcW w:w="636" w:type="dxa"/>
            <w:vAlign w:val="bottom"/>
          </w:tcPr>
          <w:p w14:paraId="16C4BCF3" w14:textId="77777777" w:rsidR="006E7796" w:rsidRDefault="006E7796" w:rsidP="00CF2A74">
            <w:pPr>
              <w:pStyle w:val="-0"/>
              <w:spacing w:before="10"/>
              <w:rPr>
                <w:sz w:val="18"/>
                <w:szCs w:val="18"/>
                <w:rtl/>
              </w:rPr>
            </w:pPr>
            <w:r w:rsidRPr="00AD318D">
              <w:rPr>
                <w:rFonts w:hint="cs"/>
                <w:sz w:val="18"/>
                <w:szCs w:val="18"/>
                <w:rtl/>
              </w:rPr>
              <w:t xml:space="preserve"> 0</w:t>
            </w:r>
          </w:p>
        </w:tc>
        <w:tc>
          <w:tcPr>
            <w:tcW w:w="992" w:type="dxa"/>
            <w:vAlign w:val="bottom"/>
          </w:tcPr>
          <w:p w14:paraId="149172F9" w14:textId="77777777" w:rsidR="006E7796" w:rsidRDefault="006E7796" w:rsidP="00CF2A74">
            <w:pPr>
              <w:pStyle w:val="-0"/>
              <w:spacing w:before="10"/>
              <w:rPr>
                <w:sz w:val="18"/>
                <w:szCs w:val="18"/>
                <w:rtl/>
              </w:rPr>
            </w:pPr>
            <w:r w:rsidRPr="00AD318D">
              <w:rPr>
                <w:rFonts w:hint="cs"/>
                <w:sz w:val="18"/>
                <w:szCs w:val="18"/>
                <w:rtl/>
              </w:rPr>
              <w:t xml:space="preserve"> 0</w:t>
            </w:r>
          </w:p>
        </w:tc>
        <w:tc>
          <w:tcPr>
            <w:tcW w:w="818" w:type="dxa"/>
            <w:vAlign w:val="bottom"/>
          </w:tcPr>
          <w:p w14:paraId="2AF472E1" w14:textId="77777777" w:rsidR="006E7796" w:rsidRDefault="006E7796" w:rsidP="00CF2A74">
            <w:pPr>
              <w:pStyle w:val="-0"/>
              <w:spacing w:before="10"/>
              <w:rPr>
                <w:sz w:val="18"/>
                <w:szCs w:val="18"/>
                <w:rtl/>
              </w:rPr>
            </w:pPr>
            <w:r w:rsidRPr="00AD318D">
              <w:rPr>
                <w:rFonts w:hint="cs"/>
                <w:sz w:val="18"/>
                <w:szCs w:val="18"/>
                <w:rtl/>
              </w:rPr>
              <w:t xml:space="preserve"> 0</w:t>
            </w:r>
          </w:p>
        </w:tc>
        <w:tc>
          <w:tcPr>
            <w:tcW w:w="1166" w:type="dxa"/>
            <w:vAlign w:val="bottom"/>
          </w:tcPr>
          <w:p w14:paraId="7EE7F2F5" w14:textId="77777777" w:rsidR="006E7796" w:rsidRDefault="006E7796" w:rsidP="00CF2A74">
            <w:pPr>
              <w:pStyle w:val="-0"/>
              <w:spacing w:before="10"/>
              <w:rPr>
                <w:sz w:val="18"/>
                <w:szCs w:val="18"/>
                <w:rtl/>
              </w:rPr>
            </w:pPr>
            <w:r w:rsidRPr="00AD318D">
              <w:rPr>
                <w:rFonts w:hint="cs"/>
                <w:sz w:val="18"/>
                <w:szCs w:val="18"/>
                <w:rtl/>
              </w:rPr>
              <w:t xml:space="preserve"> 0</w:t>
            </w:r>
          </w:p>
        </w:tc>
        <w:tc>
          <w:tcPr>
            <w:tcW w:w="851" w:type="dxa"/>
            <w:vAlign w:val="bottom"/>
          </w:tcPr>
          <w:p w14:paraId="23609D50" w14:textId="77777777" w:rsidR="006E7796" w:rsidRDefault="006E7796" w:rsidP="00CF2A74">
            <w:pPr>
              <w:pStyle w:val="-0"/>
              <w:spacing w:before="10"/>
              <w:rPr>
                <w:sz w:val="18"/>
                <w:szCs w:val="18"/>
                <w:rtl/>
              </w:rPr>
            </w:pPr>
            <w:r w:rsidRPr="00AD318D">
              <w:rPr>
                <w:rFonts w:hint="cs"/>
                <w:sz w:val="18"/>
                <w:szCs w:val="18"/>
                <w:rtl/>
              </w:rPr>
              <w:t xml:space="preserve"> 0</w:t>
            </w:r>
          </w:p>
        </w:tc>
        <w:tc>
          <w:tcPr>
            <w:tcW w:w="713" w:type="dxa"/>
            <w:vAlign w:val="bottom"/>
          </w:tcPr>
          <w:p w14:paraId="4C7FC6BA" w14:textId="77777777" w:rsidR="006E7796" w:rsidRDefault="006E7796" w:rsidP="00CF2A74">
            <w:pPr>
              <w:pStyle w:val="-0"/>
              <w:spacing w:before="10"/>
              <w:rPr>
                <w:sz w:val="18"/>
                <w:szCs w:val="18"/>
                <w:rtl/>
              </w:rPr>
            </w:pPr>
            <w:r w:rsidRPr="00AD318D">
              <w:rPr>
                <w:rFonts w:hint="cs"/>
                <w:sz w:val="18"/>
                <w:szCs w:val="18"/>
                <w:rtl/>
              </w:rPr>
              <w:t xml:space="preserve"> 0</w:t>
            </w:r>
          </w:p>
        </w:tc>
      </w:tr>
      <w:tr w:rsidR="006E7796" w:rsidRPr="00AD318D" w14:paraId="4AA34242" w14:textId="77777777" w:rsidTr="00912661">
        <w:tc>
          <w:tcPr>
            <w:tcW w:w="1073" w:type="dxa"/>
          </w:tcPr>
          <w:p w14:paraId="2276E8FC" w14:textId="77777777" w:rsidR="006E7796" w:rsidRDefault="006E7796" w:rsidP="00CF2A74">
            <w:pPr>
              <w:pStyle w:val="-0"/>
              <w:spacing w:before="10"/>
              <w:rPr>
                <w:sz w:val="18"/>
                <w:szCs w:val="18"/>
                <w:rtl/>
              </w:rPr>
            </w:pPr>
          </w:p>
        </w:tc>
        <w:tc>
          <w:tcPr>
            <w:tcW w:w="4042" w:type="dxa"/>
            <w:gridSpan w:val="2"/>
            <w:vAlign w:val="bottom"/>
          </w:tcPr>
          <w:p w14:paraId="46D4CEFB" w14:textId="77777777" w:rsidR="006E7796" w:rsidRDefault="006E7796">
            <w:pPr>
              <w:pStyle w:val="-0"/>
              <w:spacing w:before="10"/>
              <w:rPr>
                <w:sz w:val="18"/>
                <w:szCs w:val="18"/>
                <w:rtl/>
              </w:rPr>
            </w:pPr>
            <w:r w:rsidRPr="005F47BE">
              <w:rPr>
                <w:sz w:val="18"/>
                <w:szCs w:val="18"/>
                <w:rtl/>
              </w:rPr>
              <w:t>אופציות בכסף נטו</w:t>
            </w:r>
            <w:r w:rsidRPr="005F47BE">
              <w:rPr>
                <w:rFonts w:hint="cs"/>
                <w:sz w:val="18"/>
                <w:szCs w:val="18"/>
                <w:rtl/>
              </w:rPr>
              <w:t xml:space="preserve"> </w:t>
            </w:r>
            <w:r w:rsidRPr="005F47BE">
              <w:rPr>
                <w:sz w:val="18"/>
                <w:szCs w:val="18"/>
                <w:rtl/>
              </w:rPr>
              <w:t>(במונחי נכס בסיס)</w:t>
            </w:r>
          </w:p>
        </w:tc>
        <w:tc>
          <w:tcPr>
            <w:tcW w:w="636" w:type="dxa"/>
            <w:vAlign w:val="bottom"/>
          </w:tcPr>
          <w:p w14:paraId="6D155F4D" w14:textId="77777777" w:rsidR="006E7796" w:rsidRDefault="006E7796" w:rsidP="00CF2A74">
            <w:pPr>
              <w:pStyle w:val="-0"/>
              <w:spacing w:before="10"/>
              <w:rPr>
                <w:sz w:val="18"/>
                <w:szCs w:val="18"/>
                <w:rtl/>
              </w:rPr>
            </w:pPr>
            <w:r w:rsidRPr="00AD318D">
              <w:rPr>
                <w:rFonts w:hint="cs"/>
                <w:sz w:val="18"/>
                <w:szCs w:val="18"/>
                <w:rtl/>
              </w:rPr>
              <w:t xml:space="preserve"> 0</w:t>
            </w:r>
          </w:p>
        </w:tc>
        <w:tc>
          <w:tcPr>
            <w:tcW w:w="992" w:type="dxa"/>
            <w:vAlign w:val="bottom"/>
          </w:tcPr>
          <w:p w14:paraId="67F6114B" w14:textId="77777777" w:rsidR="006E7796" w:rsidRDefault="006E7796" w:rsidP="00CF2A74">
            <w:pPr>
              <w:pStyle w:val="-0"/>
              <w:spacing w:before="10"/>
              <w:rPr>
                <w:sz w:val="18"/>
                <w:szCs w:val="18"/>
                <w:rtl/>
              </w:rPr>
            </w:pPr>
            <w:r w:rsidRPr="00AD318D">
              <w:rPr>
                <w:rFonts w:hint="cs"/>
                <w:sz w:val="18"/>
                <w:szCs w:val="18"/>
                <w:rtl/>
              </w:rPr>
              <w:t xml:space="preserve"> 0</w:t>
            </w:r>
          </w:p>
        </w:tc>
        <w:tc>
          <w:tcPr>
            <w:tcW w:w="818" w:type="dxa"/>
            <w:vAlign w:val="bottom"/>
          </w:tcPr>
          <w:p w14:paraId="6602620E" w14:textId="77777777" w:rsidR="006E7796" w:rsidRDefault="006E7796" w:rsidP="00CF2A74">
            <w:pPr>
              <w:pStyle w:val="-0"/>
              <w:spacing w:before="10"/>
              <w:rPr>
                <w:sz w:val="18"/>
                <w:szCs w:val="18"/>
                <w:rtl/>
              </w:rPr>
            </w:pPr>
            <w:r w:rsidRPr="00AD318D">
              <w:rPr>
                <w:rFonts w:hint="cs"/>
                <w:sz w:val="18"/>
                <w:szCs w:val="18"/>
                <w:rtl/>
              </w:rPr>
              <w:t xml:space="preserve"> 0</w:t>
            </w:r>
          </w:p>
        </w:tc>
        <w:tc>
          <w:tcPr>
            <w:tcW w:w="1166" w:type="dxa"/>
            <w:vAlign w:val="bottom"/>
          </w:tcPr>
          <w:p w14:paraId="04789DF0" w14:textId="77777777" w:rsidR="006E7796" w:rsidRDefault="006E7796" w:rsidP="00CF2A74">
            <w:pPr>
              <w:pStyle w:val="-0"/>
              <w:spacing w:before="10"/>
              <w:rPr>
                <w:sz w:val="18"/>
                <w:szCs w:val="18"/>
                <w:rtl/>
              </w:rPr>
            </w:pPr>
            <w:r w:rsidRPr="00AD318D">
              <w:rPr>
                <w:rFonts w:hint="cs"/>
                <w:sz w:val="18"/>
                <w:szCs w:val="18"/>
                <w:rtl/>
              </w:rPr>
              <w:t xml:space="preserve"> 0</w:t>
            </w:r>
          </w:p>
        </w:tc>
        <w:tc>
          <w:tcPr>
            <w:tcW w:w="851" w:type="dxa"/>
            <w:vAlign w:val="bottom"/>
          </w:tcPr>
          <w:p w14:paraId="224FB46A" w14:textId="77777777" w:rsidR="006E7796" w:rsidRDefault="006E7796" w:rsidP="00CF2A74">
            <w:pPr>
              <w:pStyle w:val="-0"/>
              <w:spacing w:before="10"/>
              <w:rPr>
                <w:sz w:val="18"/>
                <w:szCs w:val="18"/>
                <w:rtl/>
              </w:rPr>
            </w:pPr>
            <w:r w:rsidRPr="00AD318D">
              <w:rPr>
                <w:rFonts w:hint="cs"/>
                <w:sz w:val="18"/>
                <w:szCs w:val="18"/>
                <w:rtl/>
              </w:rPr>
              <w:t xml:space="preserve"> 0</w:t>
            </w:r>
          </w:p>
        </w:tc>
        <w:tc>
          <w:tcPr>
            <w:tcW w:w="713" w:type="dxa"/>
            <w:vAlign w:val="bottom"/>
          </w:tcPr>
          <w:p w14:paraId="66C91122" w14:textId="77777777" w:rsidR="006E7796" w:rsidRDefault="006E7796" w:rsidP="00CF2A74">
            <w:pPr>
              <w:pStyle w:val="-0"/>
              <w:spacing w:before="10"/>
              <w:rPr>
                <w:sz w:val="18"/>
                <w:szCs w:val="18"/>
                <w:rtl/>
              </w:rPr>
            </w:pPr>
            <w:r w:rsidRPr="00AD318D">
              <w:rPr>
                <w:rFonts w:hint="cs"/>
                <w:sz w:val="18"/>
                <w:szCs w:val="18"/>
                <w:rtl/>
              </w:rPr>
              <w:t xml:space="preserve"> 0</w:t>
            </w:r>
          </w:p>
        </w:tc>
      </w:tr>
      <w:tr w:rsidR="006E7796" w:rsidRPr="00AD318D" w14:paraId="280B3640" w14:textId="77777777" w:rsidTr="00912661">
        <w:tc>
          <w:tcPr>
            <w:tcW w:w="1073" w:type="dxa"/>
          </w:tcPr>
          <w:p w14:paraId="7431AFF2" w14:textId="77777777" w:rsidR="006E7796" w:rsidRDefault="006E7796" w:rsidP="00CF2A74">
            <w:pPr>
              <w:pStyle w:val="-0"/>
              <w:spacing w:before="10"/>
              <w:rPr>
                <w:sz w:val="18"/>
                <w:szCs w:val="18"/>
                <w:rtl/>
              </w:rPr>
            </w:pPr>
          </w:p>
        </w:tc>
        <w:tc>
          <w:tcPr>
            <w:tcW w:w="4042" w:type="dxa"/>
            <w:gridSpan w:val="2"/>
            <w:vAlign w:val="bottom"/>
          </w:tcPr>
          <w:p w14:paraId="3137CC2E" w14:textId="77777777" w:rsidR="006E7796" w:rsidRDefault="006E7796">
            <w:pPr>
              <w:pStyle w:val="-0"/>
              <w:spacing w:before="10"/>
              <w:rPr>
                <w:sz w:val="18"/>
                <w:szCs w:val="18"/>
                <w:rtl/>
              </w:rPr>
            </w:pPr>
            <w:r w:rsidRPr="005F47BE">
              <w:rPr>
                <w:sz w:val="18"/>
                <w:szCs w:val="18"/>
                <w:rtl/>
              </w:rPr>
              <w:t xml:space="preserve">אופציות מחוץ לכסף נטו (במונחי נכס בסיס) </w:t>
            </w:r>
          </w:p>
        </w:tc>
        <w:tc>
          <w:tcPr>
            <w:tcW w:w="636" w:type="dxa"/>
            <w:vAlign w:val="bottom"/>
          </w:tcPr>
          <w:p w14:paraId="44A0BE87" w14:textId="77777777" w:rsidR="006E7796" w:rsidRDefault="006E7796" w:rsidP="005B51CC">
            <w:pPr>
              <w:pStyle w:val="-0"/>
              <w:pBdr>
                <w:bottom w:val="single" w:sz="4" w:space="1" w:color="auto"/>
              </w:pBdr>
              <w:spacing w:before="10"/>
              <w:rPr>
                <w:sz w:val="18"/>
                <w:szCs w:val="18"/>
                <w:rtl/>
              </w:rPr>
            </w:pPr>
            <w:r w:rsidRPr="00AD318D">
              <w:rPr>
                <w:rFonts w:hint="cs"/>
                <w:sz w:val="18"/>
                <w:szCs w:val="18"/>
                <w:rtl/>
              </w:rPr>
              <w:t xml:space="preserve"> 0</w:t>
            </w:r>
          </w:p>
        </w:tc>
        <w:tc>
          <w:tcPr>
            <w:tcW w:w="992" w:type="dxa"/>
            <w:vAlign w:val="bottom"/>
          </w:tcPr>
          <w:p w14:paraId="65BA1543" w14:textId="77777777" w:rsidR="006E7796" w:rsidRDefault="006E7796" w:rsidP="005B51CC">
            <w:pPr>
              <w:pStyle w:val="-0"/>
              <w:pBdr>
                <w:bottom w:val="single" w:sz="4" w:space="1" w:color="auto"/>
              </w:pBdr>
              <w:spacing w:before="10"/>
              <w:rPr>
                <w:sz w:val="18"/>
                <w:szCs w:val="18"/>
                <w:rtl/>
              </w:rPr>
            </w:pPr>
            <w:r w:rsidRPr="00AD318D">
              <w:rPr>
                <w:rFonts w:hint="cs"/>
                <w:sz w:val="18"/>
                <w:szCs w:val="18"/>
                <w:rtl/>
              </w:rPr>
              <w:t xml:space="preserve"> 0</w:t>
            </w:r>
          </w:p>
        </w:tc>
        <w:tc>
          <w:tcPr>
            <w:tcW w:w="818" w:type="dxa"/>
            <w:vAlign w:val="bottom"/>
          </w:tcPr>
          <w:p w14:paraId="2ECE8B79" w14:textId="77777777" w:rsidR="006E7796" w:rsidRDefault="006E7796" w:rsidP="005B51CC">
            <w:pPr>
              <w:pStyle w:val="-0"/>
              <w:pBdr>
                <w:bottom w:val="single" w:sz="4" w:space="1" w:color="auto"/>
              </w:pBdr>
              <w:spacing w:before="10"/>
              <w:rPr>
                <w:sz w:val="18"/>
                <w:szCs w:val="18"/>
                <w:rtl/>
              </w:rPr>
            </w:pPr>
            <w:r w:rsidRPr="00AD318D">
              <w:rPr>
                <w:rFonts w:hint="cs"/>
                <w:sz w:val="18"/>
                <w:szCs w:val="18"/>
                <w:rtl/>
              </w:rPr>
              <w:t xml:space="preserve"> 0</w:t>
            </w:r>
          </w:p>
        </w:tc>
        <w:tc>
          <w:tcPr>
            <w:tcW w:w="1166" w:type="dxa"/>
            <w:vAlign w:val="bottom"/>
          </w:tcPr>
          <w:p w14:paraId="44C97C85" w14:textId="77777777" w:rsidR="006E7796" w:rsidRDefault="006E7796" w:rsidP="005B51CC">
            <w:pPr>
              <w:pStyle w:val="-0"/>
              <w:pBdr>
                <w:bottom w:val="single" w:sz="4" w:space="1" w:color="auto"/>
              </w:pBdr>
              <w:spacing w:before="10"/>
              <w:rPr>
                <w:sz w:val="18"/>
                <w:szCs w:val="18"/>
                <w:rtl/>
              </w:rPr>
            </w:pPr>
            <w:r w:rsidRPr="00AD318D">
              <w:rPr>
                <w:rFonts w:hint="cs"/>
                <w:sz w:val="18"/>
                <w:szCs w:val="18"/>
                <w:rtl/>
              </w:rPr>
              <w:t xml:space="preserve"> 0</w:t>
            </w:r>
          </w:p>
        </w:tc>
        <w:tc>
          <w:tcPr>
            <w:tcW w:w="851" w:type="dxa"/>
            <w:vAlign w:val="bottom"/>
          </w:tcPr>
          <w:p w14:paraId="00BAD2D0" w14:textId="77777777" w:rsidR="006E7796" w:rsidRDefault="006E7796" w:rsidP="005B51CC">
            <w:pPr>
              <w:pStyle w:val="-0"/>
              <w:pBdr>
                <w:bottom w:val="single" w:sz="4" w:space="1" w:color="auto"/>
              </w:pBdr>
              <w:spacing w:before="10"/>
              <w:rPr>
                <w:sz w:val="18"/>
                <w:szCs w:val="18"/>
                <w:rtl/>
              </w:rPr>
            </w:pPr>
            <w:r w:rsidRPr="00AD318D">
              <w:rPr>
                <w:rFonts w:hint="cs"/>
                <w:sz w:val="18"/>
                <w:szCs w:val="18"/>
                <w:rtl/>
              </w:rPr>
              <w:t xml:space="preserve"> 0</w:t>
            </w:r>
          </w:p>
        </w:tc>
        <w:tc>
          <w:tcPr>
            <w:tcW w:w="713" w:type="dxa"/>
            <w:vAlign w:val="bottom"/>
          </w:tcPr>
          <w:p w14:paraId="1A361689" w14:textId="77777777" w:rsidR="006E7796" w:rsidRDefault="006E7796" w:rsidP="005B51CC">
            <w:pPr>
              <w:pStyle w:val="-0"/>
              <w:pBdr>
                <w:bottom w:val="single" w:sz="4" w:space="1" w:color="auto"/>
              </w:pBdr>
              <w:spacing w:before="10"/>
              <w:rPr>
                <w:sz w:val="18"/>
                <w:szCs w:val="18"/>
                <w:rtl/>
              </w:rPr>
            </w:pPr>
            <w:r w:rsidRPr="00AD318D">
              <w:rPr>
                <w:rFonts w:hint="cs"/>
                <w:sz w:val="18"/>
                <w:szCs w:val="18"/>
                <w:rtl/>
              </w:rPr>
              <w:t xml:space="preserve"> 0</w:t>
            </w:r>
          </w:p>
        </w:tc>
      </w:tr>
      <w:tr w:rsidR="006E7796" w:rsidRPr="00AD318D" w14:paraId="7EB8515A" w14:textId="77777777" w:rsidTr="00912661">
        <w:tc>
          <w:tcPr>
            <w:tcW w:w="1073" w:type="dxa"/>
          </w:tcPr>
          <w:p w14:paraId="512D083B" w14:textId="77777777" w:rsidR="006E7796" w:rsidRPr="00AD318D" w:rsidRDefault="006E7796" w:rsidP="007C54B1">
            <w:pPr>
              <w:pStyle w:val="-b"/>
              <w:rPr>
                <w:sz w:val="18"/>
                <w:szCs w:val="18"/>
                <w:rtl/>
              </w:rPr>
            </w:pPr>
          </w:p>
        </w:tc>
        <w:tc>
          <w:tcPr>
            <w:tcW w:w="4042" w:type="dxa"/>
            <w:gridSpan w:val="2"/>
            <w:vAlign w:val="bottom"/>
          </w:tcPr>
          <w:p w14:paraId="47A1B2DC" w14:textId="77777777" w:rsidR="006E7796" w:rsidRPr="005F47BE" w:rsidRDefault="006E7796" w:rsidP="007C54B1">
            <w:pPr>
              <w:pStyle w:val="-b"/>
              <w:rPr>
                <w:sz w:val="18"/>
                <w:szCs w:val="18"/>
              </w:rPr>
            </w:pPr>
            <w:r w:rsidRPr="005F47BE">
              <w:rPr>
                <w:rFonts w:hint="cs"/>
                <w:sz w:val="18"/>
                <w:szCs w:val="18"/>
                <w:rtl/>
              </w:rPr>
              <w:t>סך הכל כללי</w:t>
            </w:r>
          </w:p>
        </w:tc>
        <w:tc>
          <w:tcPr>
            <w:tcW w:w="636" w:type="dxa"/>
            <w:vAlign w:val="bottom"/>
          </w:tcPr>
          <w:p w14:paraId="215787FA" w14:textId="77777777" w:rsidR="006E7796" w:rsidRPr="00AD318D" w:rsidRDefault="006E7796" w:rsidP="001424E8">
            <w:pPr>
              <w:pStyle w:val="-0"/>
              <w:pBdr>
                <w:bottom w:val="double" w:sz="4" w:space="1" w:color="auto"/>
              </w:pBdr>
              <w:rPr>
                <w:b/>
                <w:bCs/>
                <w:sz w:val="18"/>
                <w:szCs w:val="18"/>
                <w:rtl/>
              </w:rPr>
            </w:pPr>
            <w:r w:rsidRPr="00AD318D">
              <w:rPr>
                <w:rFonts w:hint="cs"/>
                <w:b/>
                <w:bCs/>
                <w:sz w:val="18"/>
                <w:szCs w:val="18"/>
                <w:rtl/>
              </w:rPr>
              <w:t xml:space="preserve"> 0</w:t>
            </w:r>
          </w:p>
        </w:tc>
        <w:tc>
          <w:tcPr>
            <w:tcW w:w="992" w:type="dxa"/>
            <w:vAlign w:val="bottom"/>
          </w:tcPr>
          <w:p w14:paraId="3608446F" w14:textId="77777777" w:rsidR="006E7796" w:rsidRPr="00AD318D" w:rsidRDefault="006E7796" w:rsidP="001424E8">
            <w:pPr>
              <w:pStyle w:val="-0"/>
              <w:pBdr>
                <w:bottom w:val="double" w:sz="4" w:space="1" w:color="auto"/>
              </w:pBdr>
              <w:rPr>
                <w:b/>
                <w:bCs/>
                <w:sz w:val="18"/>
                <w:szCs w:val="18"/>
                <w:rtl/>
              </w:rPr>
            </w:pPr>
            <w:r w:rsidRPr="00AD318D">
              <w:rPr>
                <w:rFonts w:hint="cs"/>
                <w:b/>
                <w:bCs/>
                <w:sz w:val="18"/>
                <w:szCs w:val="18"/>
                <w:rtl/>
              </w:rPr>
              <w:t xml:space="preserve"> 0</w:t>
            </w:r>
          </w:p>
        </w:tc>
        <w:tc>
          <w:tcPr>
            <w:tcW w:w="818" w:type="dxa"/>
            <w:vAlign w:val="bottom"/>
          </w:tcPr>
          <w:p w14:paraId="76361C28" w14:textId="77777777" w:rsidR="006E7796" w:rsidRPr="00AD318D" w:rsidRDefault="006E7796" w:rsidP="001424E8">
            <w:pPr>
              <w:pStyle w:val="-0"/>
              <w:pBdr>
                <w:bottom w:val="double" w:sz="4" w:space="1" w:color="auto"/>
              </w:pBdr>
              <w:rPr>
                <w:b/>
                <w:bCs/>
                <w:sz w:val="18"/>
                <w:szCs w:val="18"/>
                <w:rtl/>
              </w:rPr>
            </w:pPr>
            <w:r w:rsidRPr="00AD318D">
              <w:rPr>
                <w:rFonts w:hint="cs"/>
                <w:b/>
                <w:bCs/>
                <w:sz w:val="18"/>
                <w:szCs w:val="18"/>
                <w:rtl/>
              </w:rPr>
              <w:t xml:space="preserve"> 0</w:t>
            </w:r>
          </w:p>
        </w:tc>
        <w:tc>
          <w:tcPr>
            <w:tcW w:w="1166" w:type="dxa"/>
            <w:vAlign w:val="bottom"/>
          </w:tcPr>
          <w:p w14:paraId="14E30F76" w14:textId="77777777" w:rsidR="006E7796" w:rsidRPr="00AD318D" w:rsidRDefault="006E7796" w:rsidP="001424E8">
            <w:pPr>
              <w:pStyle w:val="-0"/>
              <w:pBdr>
                <w:bottom w:val="double" w:sz="4" w:space="1" w:color="auto"/>
              </w:pBdr>
              <w:rPr>
                <w:b/>
                <w:bCs/>
                <w:sz w:val="18"/>
                <w:szCs w:val="18"/>
                <w:rtl/>
              </w:rPr>
            </w:pPr>
            <w:r w:rsidRPr="00AD318D">
              <w:rPr>
                <w:rFonts w:hint="cs"/>
                <w:b/>
                <w:bCs/>
                <w:sz w:val="18"/>
                <w:szCs w:val="18"/>
                <w:rtl/>
              </w:rPr>
              <w:t xml:space="preserve"> 0</w:t>
            </w:r>
          </w:p>
        </w:tc>
        <w:tc>
          <w:tcPr>
            <w:tcW w:w="851" w:type="dxa"/>
            <w:vAlign w:val="bottom"/>
          </w:tcPr>
          <w:p w14:paraId="65D4EF1E" w14:textId="77777777" w:rsidR="006E7796" w:rsidRPr="00AD318D" w:rsidRDefault="006E7796" w:rsidP="001424E8">
            <w:pPr>
              <w:pStyle w:val="-0"/>
              <w:pBdr>
                <w:bottom w:val="double" w:sz="4" w:space="1" w:color="auto"/>
              </w:pBdr>
              <w:rPr>
                <w:b/>
                <w:bCs/>
                <w:sz w:val="18"/>
                <w:szCs w:val="18"/>
                <w:rtl/>
              </w:rPr>
            </w:pPr>
            <w:r w:rsidRPr="00AD318D">
              <w:rPr>
                <w:rFonts w:hint="cs"/>
                <w:b/>
                <w:bCs/>
                <w:sz w:val="18"/>
                <w:szCs w:val="18"/>
                <w:rtl/>
              </w:rPr>
              <w:t xml:space="preserve"> 0</w:t>
            </w:r>
          </w:p>
        </w:tc>
        <w:tc>
          <w:tcPr>
            <w:tcW w:w="713" w:type="dxa"/>
            <w:vAlign w:val="bottom"/>
          </w:tcPr>
          <w:p w14:paraId="34E63627" w14:textId="77777777" w:rsidR="006E7796" w:rsidRPr="00AD318D" w:rsidRDefault="006E7796" w:rsidP="001424E8">
            <w:pPr>
              <w:pStyle w:val="-0"/>
              <w:pBdr>
                <w:bottom w:val="double" w:sz="4" w:space="1" w:color="auto"/>
              </w:pBdr>
              <w:rPr>
                <w:b/>
                <w:bCs/>
                <w:sz w:val="18"/>
                <w:szCs w:val="18"/>
                <w:rtl/>
              </w:rPr>
            </w:pPr>
            <w:r w:rsidRPr="00AD318D">
              <w:rPr>
                <w:rFonts w:hint="cs"/>
                <w:b/>
                <w:bCs/>
                <w:sz w:val="18"/>
                <w:szCs w:val="18"/>
                <w:rtl/>
              </w:rPr>
              <w:t xml:space="preserve"> 0</w:t>
            </w:r>
          </w:p>
        </w:tc>
      </w:tr>
      <w:tr w:rsidR="006E7796" w:rsidRPr="00AD318D" w14:paraId="5F5C872E" w14:textId="77777777" w:rsidTr="00912661">
        <w:tc>
          <w:tcPr>
            <w:tcW w:w="1073" w:type="dxa"/>
          </w:tcPr>
          <w:p w14:paraId="0015EC13" w14:textId="77777777" w:rsidR="006E7796" w:rsidRDefault="006E7796" w:rsidP="00CF2A74">
            <w:pPr>
              <w:pStyle w:val="-0"/>
              <w:bidi w:val="0"/>
              <w:spacing w:line="60" w:lineRule="exact"/>
              <w:jc w:val="both"/>
              <w:rPr>
                <w:sz w:val="18"/>
                <w:szCs w:val="18"/>
                <w:rtl/>
              </w:rPr>
            </w:pPr>
          </w:p>
        </w:tc>
        <w:tc>
          <w:tcPr>
            <w:tcW w:w="4042" w:type="dxa"/>
            <w:gridSpan w:val="2"/>
            <w:vAlign w:val="bottom"/>
          </w:tcPr>
          <w:p w14:paraId="640E4A79" w14:textId="77777777" w:rsidR="006E7796" w:rsidRPr="005F47BE" w:rsidRDefault="006E7796" w:rsidP="00CF2A74">
            <w:pPr>
              <w:pStyle w:val="-0"/>
              <w:bidi w:val="0"/>
              <w:spacing w:line="60" w:lineRule="exact"/>
              <w:jc w:val="both"/>
              <w:rPr>
                <w:sz w:val="18"/>
                <w:szCs w:val="18"/>
                <w:rtl/>
              </w:rPr>
            </w:pPr>
          </w:p>
        </w:tc>
        <w:tc>
          <w:tcPr>
            <w:tcW w:w="636" w:type="dxa"/>
            <w:vAlign w:val="bottom"/>
          </w:tcPr>
          <w:p w14:paraId="134BFF4B" w14:textId="77777777" w:rsidR="006E7796" w:rsidRDefault="006E7796" w:rsidP="005B51CC">
            <w:pPr>
              <w:pStyle w:val="-0"/>
              <w:bidi w:val="0"/>
              <w:spacing w:line="60" w:lineRule="exact"/>
              <w:jc w:val="both"/>
              <w:rPr>
                <w:sz w:val="18"/>
                <w:szCs w:val="18"/>
                <w:rtl/>
              </w:rPr>
            </w:pPr>
          </w:p>
        </w:tc>
        <w:tc>
          <w:tcPr>
            <w:tcW w:w="992" w:type="dxa"/>
            <w:vAlign w:val="bottom"/>
          </w:tcPr>
          <w:p w14:paraId="658DA09C" w14:textId="77777777" w:rsidR="006E7796" w:rsidRDefault="006E7796" w:rsidP="005B51CC">
            <w:pPr>
              <w:pStyle w:val="-0"/>
              <w:bidi w:val="0"/>
              <w:spacing w:line="60" w:lineRule="exact"/>
              <w:jc w:val="both"/>
              <w:rPr>
                <w:sz w:val="18"/>
                <w:szCs w:val="18"/>
                <w:rtl/>
              </w:rPr>
            </w:pPr>
          </w:p>
        </w:tc>
        <w:tc>
          <w:tcPr>
            <w:tcW w:w="818" w:type="dxa"/>
            <w:vAlign w:val="bottom"/>
          </w:tcPr>
          <w:p w14:paraId="05575BA4" w14:textId="77777777" w:rsidR="006E7796" w:rsidRDefault="006E7796" w:rsidP="005B51CC">
            <w:pPr>
              <w:pStyle w:val="-0"/>
              <w:bidi w:val="0"/>
              <w:spacing w:line="60" w:lineRule="exact"/>
              <w:jc w:val="both"/>
              <w:rPr>
                <w:sz w:val="18"/>
                <w:szCs w:val="18"/>
                <w:rtl/>
              </w:rPr>
            </w:pPr>
          </w:p>
        </w:tc>
        <w:tc>
          <w:tcPr>
            <w:tcW w:w="1166" w:type="dxa"/>
            <w:vAlign w:val="bottom"/>
          </w:tcPr>
          <w:p w14:paraId="03634353" w14:textId="77777777" w:rsidR="006E7796" w:rsidRDefault="006E7796" w:rsidP="005B51CC">
            <w:pPr>
              <w:pStyle w:val="-0"/>
              <w:bidi w:val="0"/>
              <w:spacing w:line="60" w:lineRule="exact"/>
              <w:jc w:val="both"/>
              <w:rPr>
                <w:sz w:val="18"/>
                <w:szCs w:val="18"/>
                <w:rtl/>
              </w:rPr>
            </w:pPr>
          </w:p>
        </w:tc>
        <w:tc>
          <w:tcPr>
            <w:tcW w:w="851" w:type="dxa"/>
            <w:vAlign w:val="bottom"/>
          </w:tcPr>
          <w:p w14:paraId="121A8918" w14:textId="77777777" w:rsidR="006E7796" w:rsidRDefault="006E7796" w:rsidP="005B51CC">
            <w:pPr>
              <w:pStyle w:val="-0"/>
              <w:bidi w:val="0"/>
              <w:spacing w:line="60" w:lineRule="exact"/>
              <w:jc w:val="both"/>
              <w:rPr>
                <w:sz w:val="18"/>
                <w:szCs w:val="18"/>
                <w:rtl/>
              </w:rPr>
            </w:pPr>
          </w:p>
        </w:tc>
        <w:tc>
          <w:tcPr>
            <w:tcW w:w="713" w:type="dxa"/>
            <w:vAlign w:val="bottom"/>
          </w:tcPr>
          <w:p w14:paraId="1F0A0B34" w14:textId="77777777" w:rsidR="006E7796" w:rsidRDefault="006E7796" w:rsidP="005B51CC">
            <w:pPr>
              <w:pStyle w:val="-0"/>
              <w:bidi w:val="0"/>
              <w:spacing w:line="60" w:lineRule="exact"/>
              <w:jc w:val="both"/>
              <w:rPr>
                <w:sz w:val="18"/>
                <w:szCs w:val="18"/>
                <w:rtl/>
              </w:rPr>
            </w:pPr>
          </w:p>
        </w:tc>
      </w:tr>
      <w:tr w:rsidR="006E7796" w:rsidRPr="00AD318D" w14:paraId="59BAFDDA" w14:textId="77777777" w:rsidTr="00912661">
        <w:tc>
          <w:tcPr>
            <w:tcW w:w="1073" w:type="dxa"/>
          </w:tcPr>
          <w:p w14:paraId="7BBADFE0" w14:textId="77777777" w:rsidR="006E7796" w:rsidRDefault="006E7796">
            <w:pPr>
              <w:jc w:val="left"/>
              <w:rPr>
                <w:sz w:val="18"/>
                <w:szCs w:val="18"/>
                <w:rtl/>
              </w:rPr>
            </w:pPr>
          </w:p>
        </w:tc>
        <w:tc>
          <w:tcPr>
            <w:tcW w:w="4042" w:type="dxa"/>
            <w:gridSpan w:val="2"/>
            <w:vAlign w:val="bottom"/>
          </w:tcPr>
          <w:p w14:paraId="4B2B915B" w14:textId="77777777" w:rsidR="006E7796" w:rsidRPr="005F47BE" w:rsidRDefault="006E7796">
            <w:pPr>
              <w:jc w:val="left"/>
              <w:rPr>
                <w:sz w:val="18"/>
                <w:szCs w:val="18"/>
                <w:rtl/>
              </w:rPr>
            </w:pPr>
            <w:r w:rsidRPr="005F47BE">
              <w:rPr>
                <w:sz w:val="18"/>
                <w:szCs w:val="18"/>
                <w:rtl/>
              </w:rPr>
              <w:t>אופציות בכסף נטו (סכום נקוב מהוון)</w:t>
            </w:r>
          </w:p>
        </w:tc>
        <w:tc>
          <w:tcPr>
            <w:tcW w:w="636" w:type="dxa"/>
            <w:vAlign w:val="bottom"/>
          </w:tcPr>
          <w:p w14:paraId="617428FF" w14:textId="77777777" w:rsidR="006E7796" w:rsidRDefault="006E7796">
            <w:pPr>
              <w:pStyle w:val="-0"/>
              <w:rPr>
                <w:sz w:val="18"/>
                <w:szCs w:val="18"/>
                <w:rtl/>
              </w:rPr>
            </w:pPr>
            <w:r w:rsidRPr="00AD318D">
              <w:rPr>
                <w:rFonts w:hint="cs"/>
                <w:sz w:val="18"/>
                <w:szCs w:val="18"/>
                <w:rtl/>
              </w:rPr>
              <w:t xml:space="preserve"> 0</w:t>
            </w:r>
          </w:p>
        </w:tc>
        <w:tc>
          <w:tcPr>
            <w:tcW w:w="992" w:type="dxa"/>
            <w:vAlign w:val="bottom"/>
          </w:tcPr>
          <w:p w14:paraId="4055AFC7" w14:textId="77777777" w:rsidR="006E7796" w:rsidRDefault="006E7796">
            <w:pPr>
              <w:pStyle w:val="-0"/>
              <w:rPr>
                <w:sz w:val="18"/>
                <w:szCs w:val="18"/>
                <w:rtl/>
              </w:rPr>
            </w:pPr>
            <w:r w:rsidRPr="00AD318D">
              <w:rPr>
                <w:rFonts w:hint="cs"/>
                <w:sz w:val="18"/>
                <w:szCs w:val="18"/>
                <w:rtl/>
              </w:rPr>
              <w:t xml:space="preserve"> 0</w:t>
            </w:r>
          </w:p>
        </w:tc>
        <w:tc>
          <w:tcPr>
            <w:tcW w:w="818" w:type="dxa"/>
            <w:vAlign w:val="bottom"/>
          </w:tcPr>
          <w:p w14:paraId="324549C6" w14:textId="77777777" w:rsidR="006E7796" w:rsidRDefault="006E7796">
            <w:pPr>
              <w:pStyle w:val="-0"/>
              <w:rPr>
                <w:sz w:val="18"/>
                <w:szCs w:val="18"/>
                <w:rtl/>
              </w:rPr>
            </w:pPr>
            <w:r w:rsidRPr="00AD318D">
              <w:rPr>
                <w:rFonts w:hint="cs"/>
                <w:sz w:val="18"/>
                <w:szCs w:val="18"/>
                <w:rtl/>
              </w:rPr>
              <w:t xml:space="preserve"> 0</w:t>
            </w:r>
          </w:p>
        </w:tc>
        <w:tc>
          <w:tcPr>
            <w:tcW w:w="1166" w:type="dxa"/>
            <w:vAlign w:val="bottom"/>
          </w:tcPr>
          <w:p w14:paraId="272BFAA9" w14:textId="77777777" w:rsidR="006E7796" w:rsidRDefault="006E7796">
            <w:pPr>
              <w:pStyle w:val="-0"/>
              <w:rPr>
                <w:sz w:val="18"/>
                <w:szCs w:val="18"/>
                <w:rtl/>
              </w:rPr>
            </w:pPr>
            <w:r w:rsidRPr="00AD318D">
              <w:rPr>
                <w:rFonts w:hint="cs"/>
                <w:sz w:val="18"/>
                <w:szCs w:val="18"/>
                <w:rtl/>
              </w:rPr>
              <w:t xml:space="preserve"> 0</w:t>
            </w:r>
          </w:p>
        </w:tc>
        <w:tc>
          <w:tcPr>
            <w:tcW w:w="851" w:type="dxa"/>
            <w:vAlign w:val="bottom"/>
          </w:tcPr>
          <w:p w14:paraId="5D3BF50B" w14:textId="77777777" w:rsidR="006E7796" w:rsidRDefault="006E7796">
            <w:pPr>
              <w:pStyle w:val="-0"/>
              <w:rPr>
                <w:sz w:val="18"/>
                <w:szCs w:val="18"/>
                <w:rtl/>
              </w:rPr>
            </w:pPr>
            <w:r w:rsidRPr="00AD318D">
              <w:rPr>
                <w:rFonts w:hint="cs"/>
                <w:sz w:val="18"/>
                <w:szCs w:val="18"/>
                <w:rtl/>
              </w:rPr>
              <w:t xml:space="preserve"> 0</w:t>
            </w:r>
          </w:p>
        </w:tc>
        <w:tc>
          <w:tcPr>
            <w:tcW w:w="713" w:type="dxa"/>
            <w:vAlign w:val="bottom"/>
          </w:tcPr>
          <w:p w14:paraId="6034840E" w14:textId="77777777" w:rsidR="006E7796" w:rsidRDefault="006E7796">
            <w:pPr>
              <w:pStyle w:val="-0"/>
              <w:rPr>
                <w:sz w:val="18"/>
                <w:szCs w:val="18"/>
                <w:rtl/>
              </w:rPr>
            </w:pPr>
            <w:r w:rsidRPr="00AD318D">
              <w:rPr>
                <w:rFonts w:hint="cs"/>
                <w:sz w:val="18"/>
                <w:szCs w:val="18"/>
                <w:rtl/>
              </w:rPr>
              <w:t xml:space="preserve"> 0</w:t>
            </w:r>
          </w:p>
        </w:tc>
      </w:tr>
      <w:tr w:rsidR="006E7796" w:rsidRPr="00AD318D" w14:paraId="2BBF15AE" w14:textId="77777777" w:rsidTr="00912661">
        <w:tc>
          <w:tcPr>
            <w:tcW w:w="1073" w:type="dxa"/>
          </w:tcPr>
          <w:p w14:paraId="75A97C31" w14:textId="77777777" w:rsidR="006E7796" w:rsidRDefault="006E7796">
            <w:pPr>
              <w:jc w:val="left"/>
              <w:rPr>
                <w:sz w:val="18"/>
                <w:szCs w:val="18"/>
                <w:rtl/>
              </w:rPr>
            </w:pPr>
          </w:p>
        </w:tc>
        <w:tc>
          <w:tcPr>
            <w:tcW w:w="4042" w:type="dxa"/>
            <w:gridSpan w:val="2"/>
            <w:vAlign w:val="bottom"/>
          </w:tcPr>
          <w:p w14:paraId="020E6881" w14:textId="77777777" w:rsidR="006E7796" w:rsidRPr="005F47BE" w:rsidRDefault="006E7796">
            <w:pPr>
              <w:jc w:val="left"/>
              <w:rPr>
                <w:sz w:val="18"/>
                <w:szCs w:val="18"/>
                <w:rtl/>
              </w:rPr>
            </w:pPr>
            <w:r w:rsidRPr="005F47BE">
              <w:rPr>
                <w:sz w:val="18"/>
                <w:szCs w:val="18"/>
                <w:rtl/>
              </w:rPr>
              <w:t>אופציות מחוץ לכסף נטו</w:t>
            </w:r>
            <w:r w:rsidRPr="005F47BE">
              <w:rPr>
                <w:rFonts w:hint="cs"/>
                <w:sz w:val="18"/>
                <w:szCs w:val="18"/>
                <w:rtl/>
              </w:rPr>
              <w:t xml:space="preserve"> </w:t>
            </w:r>
            <w:r w:rsidRPr="005F47BE">
              <w:rPr>
                <w:sz w:val="18"/>
                <w:szCs w:val="18"/>
                <w:rtl/>
              </w:rPr>
              <w:t>(סכום נקוב מהוון)</w:t>
            </w:r>
          </w:p>
        </w:tc>
        <w:tc>
          <w:tcPr>
            <w:tcW w:w="636" w:type="dxa"/>
            <w:vAlign w:val="bottom"/>
          </w:tcPr>
          <w:p w14:paraId="7DCBC459" w14:textId="77777777" w:rsidR="006E7796" w:rsidRDefault="006E7796">
            <w:pPr>
              <w:pStyle w:val="-12"/>
              <w:pBdr>
                <w:top w:val="none" w:sz="0" w:space="0" w:color="auto"/>
              </w:pBdr>
              <w:rPr>
                <w:sz w:val="18"/>
                <w:szCs w:val="18"/>
                <w:rtl/>
              </w:rPr>
            </w:pPr>
            <w:r w:rsidRPr="00AD318D">
              <w:rPr>
                <w:rFonts w:hint="cs"/>
                <w:sz w:val="18"/>
                <w:szCs w:val="18"/>
                <w:rtl/>
              </w:rPr>
              <w:t xml:space="preserve"> 0</w:t>
            </w:r>
          </w:p>
        </w:tc>
        <w:tc>
          <w:tcPr>
            <w:tcW w:w="992" w:type="dxa"/>
            <w:vAlign w:val="bottom"/>
          </w:tcPr>
          <w:p w14:paraId="0D387FFA" w14:textId="77777777" w:rsidR="006E7796" w:rsidRDefault="006E7796">
            <w:pPr>
              <w:pStyle w:val="-12"/>
              <w:pBdr>
                <w:top w:val="none" w:sz="0" w:space="0" w:color="auto"/>
              </w:pBdr>
              <w:rPr>
                <w:sz w:val="18"/>
                <w:szCs w:val="18"/>
                <w:rtl/>
              </w:rPr>
            </w:pPr>
            <w:r w:rsidRPr="00AD318D">
              <w:rPr>
                <w:rFonts w:hint="cs"/>
                <w:sz w:val="18"/>
                <w:szCs w:val="18"/>
                <w:rtl/>
              </w:rPr>
              <w:t xml:space="preserve"> 0</w:t>
            </w:r>
          </w:p>
        </w:tc>
        <w:tc>
          <w:tcPr>
            <w:tcW w:w="818" w:type="dxa"/>
            <w:vAlign w:val="bottom"/>
          </w:tcPr>
          <w:p w14:paraId="4B9244C1" w14:textId="77777777" w:rsidR="006E7796" w:rsidRDefault="006E7796">
            <w:pPr>
              <w:pStyle w:val="-12"/>
              <w:pBdr>
                <w:top w:val="none" w:sz="0" w:space="0" w:color="auto"/>
              </w:pBdr>
              <w:rPr>
                <w:sz w:val="18"/>
                <w:szCs w:val="18"/>
                <w:rtl/>
              </w:rPr>
            </w:pPr>
            <w:r w:rsidRPr="00AD318D">
              <w:rPr>
                <w:rFonts w:hint="cs"/>
                <w:sz w:val="18"/>
                <w:szCs w:val="18"/>
                <w:rtl/>
              </w:rPr>
              <w:t xml:space="preserve"> 0</w:t>
            </w:r>
          </w:p>
        </w:tc>
        <w:tc>
          <w:tcPr>
            <w:tcW w:w="1166" w:type="dxa"/>
            <w:vAlign w:val="bottom"/>
          </w:tcPr>
          <w:p w14:paraId="45647D06" w14:textId="77777777" w:rsidR="006E7796" w:rsidRDefault="006E7796">
            <w:pPr>
              <w:pStyle w:val="-12"/>
              <w:pBdr>
                <w:top w:val="none" w:sz="0" w:space="0" w:color="auto"/>
              </w:pBdr>
              <w:rPr>
                <w:sz w:val="18"/>
                <w:szCs w:val="18"/>
                <w:rtl/>
              </w:rPr>
            </w:pPr>
            <w:r w:rsidRPr="00AD318D">
              <w:rPr>
                <w:rFonts w:hint="cs"/>
                <w:sz w:val="18"/>
                <w:szCs w:val="18"/>
                <w:rtl/>
              </w:rPr>
              <w:t xml:space="preserve"> 0</w:t>
            </w:r>
          </w:p>
        </w:tc>
        <w:tc>
          <w:tcPr>
            <w:tcW w:w="851" w:type="dxa"/>
            <w:vAlign w:val="bottom"/>
          </w:tcPr>
          <w:p w14:paraId="3B1D3203" w14:textId="77777777" w:rsidR="006E7796" w:rsidRDefault="006E7796">
            <w:pPr>
              <w:pStyle w:val="-12"/>
              <w:pBdr>
                <w:top w:val="none" w:sz="0" w:space="0" w:color="auto"/>
              </w:pBdr>
              <w:rPr>
                <w:sz w:val="18"/>
                <w:szCs w:val="18"/>
                <w:rtl/>
              </w:rPr>
            </w:pPr>
            <w:r w:rsidRPr="00AD318D">
              <w:rPr>
                <w:rFonts w:hint="cs"/>
                <w:sz w:val="18"/>
                <w:szCs w:val="18"/>
                <w:rtl/>
              </w:rPr>
              <w:t xml:space="preserve"> 0</w:t>
            </w:r>
          </w:p>
        </w:tc>
        <w:tc>
          <w:tcPr>
            <w:tcW w:w="713" w:type="dxa"/>
            <w:vAlign w:val="bottom"/>
          </w:tcPr>
          <w:p w14:paraId="6A1466F8" w14:textId="77777777" w:rsidR="006E7796" w:rsidRDefault="006E7796">
            <w:pPr>
              <w:pStyle w:val="-12"/>
              <w:pBdr>
                <w:top w:val="none" w:sz="0" w:space="0" w:color="auto"/>
              </w:pBdr>
              <w:rPr>
                <w:sz w:val="18"/>
                <w:szCs w:val="18"/>
                <w:rtl/>
              </w:rPr>
            </w:pPr>
            <w:r w:rsidRPr="00AD318D">
              <w:rPr>
                <w:rFonts w:hint="cs"/>
                <w:sz w:val="18"/>
                <w:szCs w:val="18"/>
                <w:rtl/>
              </w:rPr>
              <w:t xml:space="preserve"> 0</w:t>
            </w:r>
          </w:p>
        </w:tc>
      </w:tr>
      <w:tr w:rsidR="006E7796" w:rsidRPr="00AD318D" w14:paraId="6D88ADE2" w14:textId="77777777" w:rsidTr="00912661">
        <w:tc>
          <w:tcPr>
            <w:tcW w:w="1073" w:type="dxa"/>
          </w:tcPr>
          <w:p w14:paraId="5CAF8907" w14:textId="77777777" w:rsidR="006E7796" w:rsidRDefault="006E7796" w:rsidP="00CF2A74">
            <w:pPr>
              <w:pStyle w:val="-0"/>
              <w:bidi w:val="0"/>
              <w:spacing w:line="60" w:lineRule="exact"/>
              <w:ind w:left="432"/>
              <w:jc w:val="both"/>
              <w:rPr>
                <w:sz w:val="18"/>
                <w:szCs w:val="18"/>
              </w:rPr>
            </w:pPr>
          </w:p>
        </w:tc>
        <w:tc>
          <w:tcPr>
            <w:tcW w:w="4042" w:type="dxa"/>
            <w:gridSpan w:val="2"/>
            <w:vAlign w:val="bottom"/>
          </w:tcPr>
          <w:p w14:paraId="5528C30F" w14:textId="77777777" w:rsidR="006E7796" w:rsidRDefault="006E7796" w:rsidP="00CF2A74">
            <w:pPr>
              <w:pStyle w:val="-0"/>
              <w:bidi w:val="0"/>
              <w:spacing w:line="60" w:lineRule="exact"/>
              <w:ind w:left="432"/>
              <w:jc w:val="both"/>
              <w:rPr>
                <w:sz w:val="18"/>
                <w:szCs w:val="18"/>
              </w:rPr>
            </w:pPr>
          </w:p>
        </w:tc>
        <w:tc>
          <w:tcPr>
            <w:tcW w:w="636" w:type="dxa"/>
            <w:vAlign w:val="bottom"/>
          </w:tcPr>
          <w:p w14:paraId="17CFF769" w14:textId="77777777" w:rsidR="006E7796" w:rsidRDefault="006E7796" w:rsidP="00CF2A74">
            <w:pPr>
              <w:pStyle w:val="-12"/>
              <w:pBdr>
                <w:top w:val="none" w:sz="0" w:space="0" w:color="auto"/>
              </w:pBdr>
              <w:bidi w:val="0"/>
              <w:spacing w:line="60" w:lineRule="exact"/>
              <w:jc w:val="both"/>
              <w:rPr>
                <w:sz w:val="18"/>
                <w:szCs w:val="18"/>
                <w:rtl/>
              </w:rPr>
            </w:pPr>
          </w:p>
        </w:tc>
        <w:tc>
          <w:tcPr>
            <w:tcW w:w="992" w:type="dxa"/>
            <w:vAlign w:val="bottom"/>
          </w:tcPr>
          <w:p w14:paraId="20532C45" w14:textId="77777777" w:rsidR="006E7796" w:rsidRDefault="006E7796" w:rsidP="00CF2A74">
            <w:pPr>
              <w:pStyle w:val="-12"/>
              <w:pBdr>
                <w:top w:val="none" w:sz="0" w:space="0" w:color="auto"/>
              </w:pBdr>
              <w:bidi w:val="0"/>
              <w:spacing w:line="60" w:lineRule="exact"/>
              <w:jc w:val="both"/>
              <w:rPr>
                <w:sz w:val="18"/>
                <w:szCs w:val="18"/>
                <w:rtl/>
              </w:rPr>
            </w:pPr>
          </w:p>
        </w:tc>
        <w:tc>
          <w:tcPr>
            <w:tcW w:w="818" w:type="dxa"/>
            <w:vAlign w:val="bottom"/>
          </w:tcPr>
          <w:p w14:paraId="31D62497" w14:textId="77777777" w:rsidR="006E7796" w:rsidRDefault="006E7796" w:rsidP="00CF2A74">
            <w:pPr>
              <w:pStyle w:val="-12"/>
              <w:pBdr>
                <w:top w:val="none" w:sz="0" w:space="0" w:color="auto"/>
              </w:pBdr>
              <w:bidi w:val="0"/>
              <w:spacing w:line="60" w:lineRule="exact"/>
              <w:jc w:val="both"/>
              <w:rPr>
                <w:sz w:val="18"/>
                <w:szCs w:val="18"/>
                <w:rtl/>
              </w:rPr>
            </w:pPr>
          </w:p>
        </w:tc>
        <w:tc>
          <w:tcPr>
            <w:tcW w:w="1166" w:type="dxa"/>
            <w:vAlign w:val="bottom"/>
          </w:tcPr>
          <w:p w14:paraId="7F46804E" w14:textId="77777777" w:rsidR="006E7796" w:rsidRDefault="006E7796" w:rsidP="00CF2A74">
            <w:pPr>
              <w:pStyle w:val="-12"/>
              <w:pBdr>
                <w:top w:val="none" w:sz="0" w:space="0" w:color="auto"/>
              </w:pBdr>
              <w:bidi w:val="0"/>
              <w:spacing w:line="60" w:lineRule="exact"/>
              <w:jc w:val="both"/>
              <w:rPr>
                <w:sz w:val="18"/>
                <w:szCs w:val="18"/>
                <w:rtl/>
              </w:rPr>
            </w:pPr>
          </w:p>
        </w:tc>
        <w:tc>
          <w:tcPr>
            <w:tcW w:w="851" w:type="dxa"/>
            <w:vAlign w:val="bottom"/>
          </w:tcPr>
          <w:p w14:paraId="4EB52D2A" w14:textId="77777777" w:rsidR="006E7796" w:rsidRDefault="006E7796" w:rsidP="00CF2A74">
            <w:pPr>
              <w:pStyle w:val="-12"/>
              <w:pBdr>
                <w:top w:val="none" w:sz="0" w:space="0" w:color="auto"/>
              </w:pBdr>
              <w:bidi w:val="0"/>
              <w:spacing w:line="60" w:lineRule="exact"/>
              <w:jc w:val="both"/>
              <w:rPr>
                <w:sz w:val="18"/>
                <w:szCs w:val="18"/>
                <w:rtl/>
              </w:rPr>
            </w:pPr>
          </w:p>
        </w:tc>
        <w:tc>
          <w:tcPr>
            <w:tcW w:w="713" w:type="dxa"/>
            <w:vAlign w:val="bottom"/>
          </w:tcPr>
          <w:p w14:paraId="179295C7" w14:textId="77777777" w:rsidR="006E7796" w:rsidRDefault="006E7796" w:rsidP="00CF2A74">
            <w:pPr>
              <w:pStyle w:val="-12"/>
              <w:pBdr>
                <w:top w:val="none" w:sz="0" w:space="0" w:color="auto"/>
              </w:pBdr>
              <w:bidi w:val="0"/>
              <w:spacing w:line="60" w:lineRule="exact"/>
              <w:jc w:val="both"/>
              <w:rPr>
                <w:sz w:val="18"/>
                <w:szCs w:val="18"/>
                <w:rtl/>
              </w:rPr>
            </w:pPr>
          </w:p>
        </w:tc>
      </w:tr>
      <w:tr w:rsidR="006E7796" w:rsidRPr="00543C25" w14:paraId="1F140E7A" w14:textId="77777777" w:rsidTr="00912661">
        <w:tblPrEx>
          <w:tblLook w:val="01E0" w:firstRow="1" w:lastRow="1" w:firstColumn="1" w:lastColumn="1" w:noHBand="0" w:noVBand="0"/>
        </w:tblPrEx>
        <w:tc>
          <w:tcPr>
            <w:tcW w:w="1073" w:type="dxa"/>
          </w:tcPr>
          <w:p w14:paraId="2F83B8F4" w14:textId="77777777" w:rsidR="006E7796" w:rsidRDefault="006E7796" w:rsidP="00C636B7">
            <w:pPr>
              <w:pStyle w:val="-a"/>
              <w:spacing w:after="0" w:line="120" w:lineRule="exact"/>
              <w:rPr>
                <w:b/>
                <w:bCs/>
                <w:rtl/>
              </w:rPr>
            </w:pPr>
          </w:p>
        </w:tc>
        <w:tc>
          <w:tcPr>
            <w:tcW w:w="567" w:type="dxa"/>
          </w:tcPr>
          <w:p w14:paraId="6B5B3A3C" w14:textId="77777777" w:rsidR="006E7796" w:rsidRDefault="006E7796" w:rsidP="00C636B7">
            <w:pPr>
              <w:pStyle w:val="-a"/>
              <w:spacing w:after="0" w:line="120" w:lineRule="exact"/>
              <w:rPr>
                <w:b/>
                <w:bCs/>
                <w:rtl/>
              </w:rPr>
            </w:pPr>
          </w:p>
        </w:tc>
        <w:tc>
          <w:tcPr>
            <w:tcW w:w="8651" w:type="dxa"/>
            <w:gridSpan w:val="7"/>
          </w:tcPr>
          <w:p w14:paraId="25D60895" w14:textId="77777777" w:rsidR="006E7796" w:rsidRDefault="006E7796" w:rsidP="00C636B7">
            <w:pPr>
              <w:pStyle w:val="-a"/>
              <w:spacing w:after="0" w:line="120" w:lineRule="exact"/>
              <w:rPr>
                <w:rtl/>
              </w:rPr>
            </w:pPr>
          </w:p>
        </w:tc>
      </w:tr>
      <w:tr w:rsidR="006E7796" w:rsidRPr="00543C25" w14:paraId="78BCE544" w14:textId="77777777" w:rsidTr="00912661">
        <w:tblPrEx>
          <w:tblLook w:val="01E0" w:firstRow="1" w:lastRow="1" w:firstColumn="1" w:lastColumn="1" w:noHBand="0" w:noVBand="0"/>
        </w:tblPrEx>
        <w:trPr>
          <w:trHeight w:val="245"/>
        </w:trPr>
        <w:tc>
          <w:tcPr>
            <w:tcW w:w="1073" w:type="dxa"/>
          </w:tcPr>
          <w:p w14:paraId="5F7C29B2" w14:textId="77777777" w:rsidR="006E7796" w:rsidRPr="00AD318D" w:rsidRDefault="006E7796" w:rsidP="007C54B1">
            <w:pPr>
              <w:pStyle w:val="-a"/>
              <w:rPr>
                <w:b/>
                <w:bCs/>
                <w:rtl/>
              </w:rPr>
            </w:pPr>
          </w:p>
        </w:tc>
        <w:tc>
          <w:tcPr>
            <w:tcW w:w="567" w:type="dxa"/>
          </w:tcPr>
          <w:p w14:paraId="39588787" w14:textId="77777777" w:rsidR="006E7796" w:rsidRPr="00CE02F7" w:rsidRDefault="006E7796" w:rsidP="007C54B1">
            <w:pPr>
              <w:pStyle w:val="-a"/>
              <w:rPr>
                <w:rtl/>
              </w:rPr>
            </w:pPr>
            <w:r w:rsidRPr="00CE02F7">
              <w:rPr>
                <w:rFonts w:hint="cs"/>
                <w:rtl/>
              </w:rPr>
              <w:t>(א)</w:t>
            </w:r>
          </w:p>
        </w:tc>
        <w:tc>
          <w:tcPr>
            <w:tcW w:w="8651" w:type="dxa"/>
            <w:gridSpan w:val="7"/>
          </w:tcPr>
          <w:p w14:paraId="1454152C" w14:textId="77777777" w:rsidR="006E7796" w:rsidRPr="00865960" w:rsidRDefault="006E7796" w:rsidP="007C54B1">
            <w:pPr>
              <w:pStyle w:val="-a"/>
              <w:rPr>
                <w:rtl/>
              </w:rPr>
            </w:pPr>
            <w:r w:rsidRPr="00AD318D">
              <w:rPr>
                <w:rtl/>
              </w:rPr>
              <w:t>לרבות מכשירים נגזרים שהבסיס שלהם מתייחס לפריט לא כספי.</w:t>
            </w:r>
          </w:p>
        </w:tc>
      </w:tr>
    </w:tbl>
    <w:p w14:paraId="01B448F5" w14:textId="77777777" w:rsidR="00E8287E" w:rsidRDefault="00E8287E">
      <w:pPr>
        <w:rPr>
          <w:rtl/>
        </w:rPr>
        <w:sectPr w:rsidR="00E8287E" w:rsidSect="00587121">
          <w:headerReference w:type="default" r:id="rId61"/>
          <w:footnotePr>
            <w:numRestart w:val="eachPage"/>
          </w:footnotePr>
          <w:pgSz w:w="11909" w:h="16834" w:code="9"/>
          <w:pgMar w:top="851" w:right="851" w:bottom="851" w:left="851" w:header="720" w:footer="720" w:gutter="0"/>
          <w:cols w:space="720"/>
          <w:bidi/>
          <w:rtlGutter/>
          <w:docGrid w:linePitch="360"/>
        </w:sectPr>
      </w:pPr>
    </w:p>
    <w:p w14:paraId="7C5F9E2A" w14:textId="77777777" w:rsidR="004B7B7F" w:rsidRDefault="004B7B7F" w:rsidP="00912661">
      <w:pPr>
        <w:pStyle w:val="5"/>
        <w:spacing w:after="40"/>
        <w:ind w:firstLine="1135"/>
      </w:pPr>
      <w:bookmarkStart w:id="54" w:name="_Toc160529234"/>
      <w:r w:rsidRPr="00443687">
        <w:rPr>
          <w:rtl/>
        </w:rPr>
        <w:lastRenderedPageBreak/>
        <w:t xml:space="preserve">ביאור </w:t>
      </w:r>
      <w:r>
        <w:rPr>
          <w:rFonts w:hint="cs"/>
          <w:rtl/>
        </w:rPr>
        <w:t>1</w:t>
      </w:r>
      <w:r w:rsidR="005B7C3D">
        <w:rPr>
          <w:rFonts w:hint="cs"/>
          <w:rtl/>
        </w:rPr>
        <w:t>4</w:t>
      </w:r>
      <w:r>
        <w:rPr>
          <w:rFonts w:hint="cs"/>
          <w:rtl/>
        </w:rPr>
        <w:t>א</w:t>
      </w:r>
      <w:r w:rsidR="0098104B">
        <w:rPr>
          <w:rFonts w:hint="cs"/>
          <w:rtl/>
        </w:rPr>
        <w:t xml:space="preserve"> </w:t>
      </w:r>
      <w:r w:rsidR="00C660B2">
        <w:rPr>
          <w:rtl/>
        </w:rPr>
        <w:t>-</w:t>
      </w:r>
      <w:r>
        <w:rPr>
          <w:rFonts w:hint="cs"/>
          <w:rtl/>
        </w:rPr>
        <w:t xml:space="preserve"> יתרות </w:t>
      </w:r>
      <w:r w:rsidRPr="00E264F0">
        <w:rPr>
          <w:rtl/>
        </w:rPr>
        <w:t>ואומדני</w:t>
      </w:r>
      <w:r>
        <w:rPr>
          <w:rtl/>
        </w:rPr>
        <w:t xml:space="preserve"> שווי הוגן של מכשירים פיננסיים</w:t>
      </w:r>
      <w:r>
        <w:rPr>
          <w:rFonts w:hint="cs"/>
          <w:rtl/>
        </w:rPr>
        <w:t xml:space="preserve"> (במאוחד)</w:t>
      </w:r>
      <w:r>
        <w:rPr>
          <w:rFonts w:hint="cs"/>
          <w:vertAlign w:val="superscript"/>
          <w:rtl/>
        </w:rPr>
        <w:t xml:space="preserve"> </w:t>
      </w:r>
      <w:bookmarkStart w:id="55" w:name="_Hlk102295639"/>
      <w:r w:rsidRPr="0066376A">
        <w:rPr>
          <w:rStyle w:val="a7"/>
          <w:rtl/>
        </w:rPr>
        <w:footnoteReference w:id="123"/>
      </w:r>
      <w:bookmarkEnd w:id="54"/>
      <w:bookmarkEnd w:id="55"/>
    </w:p>
    <w:tbl>
      <w:tblPr>
        <w:bidiVisual/>
        <w:tblW w:w="5000" w:type="pct"/>
        <w:jc w:val="right"/>
        <w:tblLook w:val="0000" w:firstRow="0" w:lastRow="0" w:firstColumn="0" w:lastColumn="0" w:noHBand="0" w:noVBand="0"/>
      </w:tblPr>
      <w:tblGrid>
        <w:gridCol w:w="1135"/>
        <w:gridCol w:w="425"/>
        <w:gridCol w:w="8647"/>
      </w:tblGrid>
      <w:tr w:rsidR="001D2EDE" w:rsidRPr="007363C7" w14:paraId="006D7293" w14:textId="77777777" w:rsidTr="00912661">
        <w:trPr>
          <w:trHeight w:val="245"/>
          <w:jc w:val="right"/>
        </w:trPr>
        <w:tc>
          <w:tcPr>
            <w:tcW w:w="1135" w:type="dxa"/>
          </w:tcPr>
          <w:p w14:paraId="7B43B62E" w14:textId="77777777" w:rsidR="00CF2A74" w:rsidRDefault="001D2EDE" w:rsidP="009348F8">
            <w:pPr>
              <w:pStyle w:val="-7"/>
              <w:spacing w:before="60" w:line="240" w:lineRule="auto"/>
              <w:jc w:val="left"/>
              <w:rPr>
                <w:sz w:val="14"/>
                <w:szCs w:val="14"/>
                <w:rtl/>
              </w:rPr>
            </w:pPr>
            <w:r w:rsidRPr="00F15C23">
              <w:rPr>
                <w:rFonts w:hint="cs"/>
                <w:sz w:val="14"/>
                <w:szCs w:val="14"/>
                <w:rtl/>
              </w:rPr>
              <w:t xml:space="preserve">מתכונת ביאור </w:t>
            </w:r>
          </w:p>
          <w:p w14:paraId="6FB0FC78" w14:textId="77777777" w:rsidR="00F32A2A" w:rsidRDefault="001D2EDE">
            <w:pPr>
              <w:pStyle w:val="-7"/>
              <w:spacing w:line="240" w:lineRule="auto"/>
              <w:rPr>
                <w:sz w:val="14"/>
                <w:szCs w:val="14"/>
                <w:highlight w:val="yellow"/>
                <w:rtl/>
              </w:rPr>
            </w:pPr>
            <w:r w:rsidRPr="00F15C23">
              <w:rPr>
                <w:rFonts w:hint="cs"/>
                <w:sz w:val="14"/>
                <w:szCs w:val="14"/>
                <w:rtl/>
              </w:rPr>
              <w:t xml:space="preserve">עמ' </w:t>
            </w:r>
            <w:r w:rsidR="00833E49">
              <w:rPr>
                <w:rFonts w:hint="cs"/>
                <w:sz w:val="14"/>
                <w:szCs w:val="14"/>
                <w:rtl/>
              </w:rPr>
              <w:t>663-56</w:t>
            </w:r>
          </w:p>
        </w:tc>
        <w:tc>
          <w:tcPr>
            <w:tcW w:w="425" w:type="dxa"/>
          </w:tcPr>
          <w:p w14:paraId="73D267E0" w14:textId="77777777" w:rsidR="001D2EDE" w:rsidRPr="00543C25" w:rsidRDefault="001D2EDE" w:rsidP="009348F8">
            <w:pPr>
              <w:pStyle w:val="-f4"/>
              <w:spacing w:line="240" w:lineRule="auto"/>
              <w:jc w:val="left"/>
              <w:rPr>
                <w:rtl/>
              </w:rPr>
            </w:pPr>
            <w:r>
              <w:rPr>
                <w:rFonts w:hint="cs"/>
                <w:rtl/>
              </w:rPr>
              <w:t xml:space="preserve">א. </w:t>
            </w:r>
          </w:p>
        </w:tc>
        <w:tc>
          <w:tcPr>
            <w:tcW w:w="8647" w:type="dxa"/>
          </w:tcPr>
          <w:p w14:paraId="69E7E5F2" w14:textId="23C62A5C" w:rsidR="001D2EDE" w:rsidRPr="00897732" w:rsidRDefault="001D2EDE" w:rsidP="009348F8">
            <w:pPr>
              <w:pStyle w:val="-f4"/>
              <w:spacing w:line="240" w:lineRule="auto"/>
              <w:jc w:val="left"/>
              <w:rPr>
                <w:rtl/>
              </w:rPr>
            </w:pPr>
            <w:r>
              <w:rPr>
                <w:rFonts w:hint="cs"/>
                <w:rtl/>
              </w:rPr>
              <w:t>הרכב</w:t>
            </w:r>
            <w:r w:rsidR="005D04BF">
              <w:rPr>
                <w:rFonts w:hint="cs"/>
                <w:rtl/>
              </w:rPr>
              <w:t xml:space="preserve"> </w:t>
            </w:r>
            <w:r w:rsidR="005D04BF" w:rsidRPr="005D04BF">
              <w:rPr>
                <w:rFonts w:hint="cs"/>
                <w:b w:val="0"/>
                <w:bCs w:val="0"/>
                <w:vertAlign w:val="superscript"/>
                <w:rtl/>
              </w:rPr>
              <w:t>(ג)</w:t>
            </w:r>
            <w:r>
              <w:rPr>
                <w:rFonts w:hint="cs"/>
                <w:rtl/>
              </w:rPr>
              <w:t>:</w:t>
            </w:r>
          </w:p>
        </w:tc>
      </w:tr>
    </w:tbl>
    <w:p w14:paraId="01D115F9" w14:textId="77777777" w:rsidR="00600720" w:rsidRDefault="00600720" w:rsidP="00600720">
      <w:pPr>
        <w:rPr>
          <w:sz w:val="2"/>
          <w:szCs w:val="2"/>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25"/>
        <w:gridCol w:w="3557"/>
        <w:gridCol w:w="1018"/>
        <w:gridCol w:w="1018"/>
        <w:gridCol w:w="1018"/>
        <w:gridCol w:w="1018"/>
        <w:gridCol w:w="1018"/>
      </w:tblGrid>
      <w:tr w:rsidR="00600720" w:rsidRPr="00543C25" w14:paraId="4074A28F" w14:textId="77777777" w:rsidTr="00912661">
        <w:trPr>
          <w:trHeight w:val="259"/>
        </w:trPr>
        <w:tc>
          <w:tcPr>
            <w:tcW w:w="1135" w:type="dxa"/>
            <w:vMerge w:val="restart"/>
            <w:tcBorders>
              <w:top w:val="nil"/>
              <w:left w:val="nil"/>
              <w:right w:val="nil"/>
            </w:tcBorders>
          </w:tcPr>
          <w:p w14:paraId="4D449726" w14:textId="0A5F319D" w:rsidR="00600720" w:rsidRPr="00030C7C" w:rsidRDefault="00600720" w:rsidP="00030C7C">
            <w:pPr>
              <w:pStyle w:val="-7"/>
              <w:jc w:val="left"/>
              <w:rPr>
                <w:sz w:val="14"/>
                <w:szCs w:val="14"/>
                <w:rtl/>
              </w:rPr>
            </w:pPr>
          </w:p>
        </w:tc>
        <w:tc>
          <w:tcPr>
            <w:tcW w:w="425" w:type="dxa"/>
            <w:tcBorders>
              <w:top w:val="nil"/>
              <w:left w:val="nil"/>
              <w:bottom w:val="nil"/>
              <w:right w:val="nil"/>
            </w:tcBorders>
            <w:shd w:val="clear" w:color="auto" w:fill="auto"/>
            <w:vAlign w:val="bottom"/>
          </w:tcPr>
          <w:p w14:paraId="5B6759CA" w14:textId="77777777" w:rsidR="00600720" w:rsidRPr="00543C25" w:rsidRDefault="00600720" w:rsidP="008A0C00">
            <w:pPr>
              <w:pStyle w:val="-7"/>
              <w:rPr>
                <w:rtl/>
              </w:rPr>
            </w:pPr>
          </w:p>
        </w:tc>
        <w:tc>
          <w:tcPr>
            <w:tcW w:w="3557" w:type="dxa"/>
            <w:tcBorders>
              <w:top w:val="nil"/>
              <w:left w:val="nil"/>
              <w:bottom w:val="nil"/>
              <w:right w:val="nil"/>
            </w:tcBorders>
            <w:shd w:val="clear" w:color="auto" w:fill="auto"/>
            <w:vAlign w:val="bottom"/>
          </w:tcPr>
          <w:p w14:paraId="26EC88D4" w14:textId="77777777" w:rsidR="00600720" w:rsidRPr="00511159" w:rsidRDefault="00600720" w:rsidP="008A0C00">
            <w:pPr>
              <w:pStyle w:val="-7"/>
              <w:rPr>
                <w:sz w:val="18"/>
                <w:szCs w:val="18"/>
                <w:rtl/>
              </w:rPr>
            </w:pPr>
          </w:p>
        </w:tc>
        <w:tc>
          <w:tcPr>
            <w:tcW w:w="5090" w:type="dxa"/>
            <w:gridSpan w:val="5"/>
            <w:tcBorders>
              <w:top w:val="nil"/>
              <w:left w:val="nil"/>
              <w:bottom w:val="nil"/>
              <w:right w:val="nil"/>
            </w:tcBorders>
            <w:vAlign w:val="bottom"/>
          </w:tcPr>
          <w:p w14:paraId="5B49FCD0" w14:textId="35BFD6D6" w:rsidR="00CF2A74" w:rsidRPr="00511159" w:rsidRDefault="00600720" w:rsidP="001977FC">
            <w:pPr>
              <w:pStyle w:val="-4"/>
              <w:rPr>
                <w:sz w:val="18"/>
                <w:szCs w:val="18"/>
                <w:rtl/>
              </w:rPr>
            </w:pPr>
            <w:r w:rsidRPr="00511159">
              <w:rPr>
                <w:rFonts w:hint="cs"/>
                <w:sz w:val="18"/>
                <w:szCs w:val="18"/>
                <w:rtl/>
              </w:rPr>
              <w:t xml:space="preserve">ליום 30 ביוני </w:t>
            </w:r>
            <w:r w:rsidR="000506EC" w:rsidRPr="00511159">
              <w:rPr>
                <w:sz w:val="18"/>
                <w:szCs w:val="18"/>
                <w:rtl/>
              </w:rPr>
              <w:fldChar w:fldCharType="begin"/>
            </w:r>
            <w:r w:rsidR="000506EC" w:rsidRPr="00511159">
              <w:rPr>
                <w:sz w:val="18"/>
                <w:szCs w:val="18"/>
                <w:rtl/>
              </w:rPr>
              <w:instrText xml:space="preserve"> </w:instrText>
            </w:r>
            <w:r w:rsidR="000506EC" w:rsidRPr="00511159">
              <w:rPr>
                <w:rFonts w:hint="cs"/>
                <w:sz w:val="18"/>
                <w:szCs w:val="18"/>
                <w:rtl/>
              </w:rPr>
              <w:instrText xml:space="preserve">= </w:instrText>
            </w:r>
            <w:r w:rsidR="000506EC" w:rsidRPr="00511159">
              <w:rPr>
                <w:rFonts w:hint="cs"/>
                <w:sz w:val="18"/>
                <w:szCs w:val="18"/>
              </w:rPr>
              <w:instrText>CY \* MERGEFORMAT</w:instrText>
            </w:r>
            <w:r w:rsidR="000506EC" w:rsidRPr="00511159">
              <w:rPr>
                <w:sz w:val="18"/>
                <w:szCs w:val="18"/>
                <w:rtl/>
              </w:rPr>
              <w:instrText xml:space="preserve"> </w:instrText>
            </w:r>
            <w:r w:rsidR="000506EC" w:rsidRPr="00511159">
              <w:rPr>
                <w:sz w:val="18"/>
                <w:szCs w:val="18"/>
                <w:rtl/>
              </w:rPr>
              <w:fldChar w:fldCharType="separate"/>
            </w:r>
            <w:r w:rsidR="00683FB8">
              <w:rPr>
                <w:noProof/>
                <w:sz w:val="18"/>
                <w:szCs w:val="18"/>
                <w:rtl/>
              </w:rPr>
              <w:t>2024</w:t>
            </w:r>
            <w:r w:rsidR="000506EC" w:rsidRPr="00511159">
              <w:rPr>
                <w:sz w:val="18"/>
                <w:szCs w:val="18"/>
                <w:rtl/>
              </w:rPr>
              <w:fldChar w:fldCharType="end"/>
            </w:r>
            <w:r w:rsidR="00666DC4">
              <w:rPr>
                <w:rFonts w:hint="cs"/>
                <w:sz w:val="18"/>
                <w:szCs w:val="18"/>
                <w:rtl/>
              </w:rPr>
              <w:t xml:space="preserve">  </w:t>
            </w:r>
            <w:r w:rsidR="00666DC4" w:rsidRPr="00666DC4">
              <w:rPr>
                <w:rFonts w:hint="cs"/>
                <w:b w:val="0"/>
                <w:bCs w:val="0"/>
                <w:sz w:val="18"/>
                <w:szCs w:val="18"/>
                <w:rtl/>
              </w:rPr>
              <w:t>(בלתי מבוקר)</w:t>
            </w:r>
          </w:p>
        </w:tc>
      </w:tr>
      <w:tr w:rsidR="00600720" w:rsidRPr="00543C25" w14:paraId="63D909E4" w14:textId="77777777" w:rsidTr="00912661">
        <w:trPr>
          <w:trHeight w:val="259"/>
        </w:trPr>
        <w:tc>
          <w:tcPr>
            <w:tcW w:w="1135" w:type="dxa"/>
            <w:vMerge/>
            <w:tcBorders>
              <w:left w:val="nil"/>
              <w:bottom w:val="nil"/>
              <w:right w:val="nil"/>
            </w:tcBorders>
          </w:tcPr>
          <w:p w14:paraId="656BCEAC" w14:textId="77777777" w:rsidR="00600720" w:rsidRPr="00543C25" w:rsidRDefault="00600720" w:rsidP="008A0C00">
            <w:pPr>
              <w:pStyle w:val="-7"/>
              <w:rPr>
                <w:rtl/>
              </w:rPr>
            </w:pPr>
          </w:p>
        </w:tc>
        <w:tc>
          <w:tcPr>
            <w:tcW w:w="425" w:type="dxa"/>
            <w:tcBorders>
              <w:top w:val="nil"/>
              <w:left w:val="nil"/>
              <w:bottom w:val="nil"/>
              <w:right w:val="nil"/>
            </w:tcBorders>
            <w:shd w:val="clear" w:color="auto" w:fill="auto"/>
            <w:vAlign w:val="bottom"/>
          </w:tcPr>
          <w:p w14:paraId="73E4933E" w14:textId="77777777" w:rsidR="00600720" w:rsidRPr="00543C25" w:rsidRDefault="00600720" w:rsidP="008A0C00">
            <w:pPr>
              <w:pStyle w:val="-7"/>
              <w:rPr>
                <w:rtl/>
              </w:rPr>
            </w:pPr>
          </w:p>
        </w:tc>
        <w:tc>
          <w:tcPr>
            <w:tcW w:w="3557" w:type="dxa"/>
            <w:tcBorders>
              <w:top w:val="nil"/>
              <w:left w:val="nil"/>
              <w:bottom w:val="nil"/>
              <w:right w:val="nil"/>
            </w:tcBorders>
            <w:shd w:val="clear" w:color="auto" w:fill="auto"/>
            <w:vAlign w:val="bottom"/>
          </w:tcPr>
          <w:p w14:paraId="22F1ADE8" w14:textId="77777777" w:rsidR="00600720" w:rsidRPr="00511159" w:rsidRDefault="00600720" w:rsidP="008A0C00">
            <w:pPr>
              <w:pStyle w:val="-7"/>
              <w:rPr>
                <w:sz w:val="18"/>
                <w:szCs w:val="18"/>
                <w:rtl/>
              </w:rPr>
            </w:pPr>
          </w:p>
        </w:tc>
        <w:tc>
          <w:tcPr>
            <w:tcW w:w="1018" w:type="dxa"/>
            <w:tcBorders>
              <w:top w:val="nil"/>
              <w:left w:val="nil"/>
              <w:bottom w:val="nil"/>
              <w:right w:val="nil"/>
            </w:tcBorders>
            <w:vAlign w:val="bottom"/>
          </w:tcPr>
          <w:p w14:paraId="2CA964D7" w14:textId="77777777" w:rsidR="00600720" w:rsidRPr="00511159" w:rsidRDefault="00600720" w:rsidP="008A0C00">
            <w:pPr>
              <w:pStyle w:val="-7"/>
              <w:rPr>
                <w:sz w:val="18"/>
                <w:szCs w:val="18"/>
                <w:rtl/>
              </w:rPr>
            </w:pPr>
          </w:p>
        </w:tc>
        <w:tc>
          <w:tcPr>
            <w:tcW w:w="4072" w:type="dxa"/>
            <w:gridSpan w:val="4"/>
            <w:tcBorders>
              <w:top w:val="nil"/>
              <w:left w:val="nil"/>
              <w:bottom w:val="nil"/>
              <w:right w:val="nil"/>
            </w:tcBorders>
            <w:vAlign w:val="bottom"/>
          </w:tcPr>
          <w:p w14:paraId="798E517C" w14:textId="51095BC0" w:rsidR="00600720" w:rsidRPr="00511159" w:rsidRDefault="00600720" w:rsidP="008A0C00">
            <w:pPr>
              <w:pStyle w:val="-4"/>
              <w:rPr>
                <w:sz w:val="18"/>
                <w:szCs w:val="18"/>
                <w:rtl/>
              </w:rPr>
            </w:pPr>
            <w:r w:rsidRPr="00511159">
              <w:rPr>
                <w:rFonts w:hint="cs"/>
                <w:sz w:val="18"/>
                <w:szCs w:val="18"/>
                <w:rtl/>
              </w:rPr>
              <w:t>שווי הוגן</w:t>
            </w:r>
            <w:r w:rsidR="00CE02F7" w:rsidRPr="00511159">
              <w:rPr>
                <w:rFonts w:hint="cs"/>
                <w:b w:val="0"/>
                <w:bCs w:val="0"/>
                <w:sz w:val="18"/>
                <w:szCs w:val="18"/>
                <w:vertAlign w:val="superscript"/>
                <w:rtl/>
              </w:rPr>
              <w:t xml:space="preserve"> [</w:t>
            </w:r>
            <w:r w:rsidR="00CE02F7" w:rsidRPr="00511159">
              <w:rPr>
                <w:rStyle w:val="a7"/>
                <w:b w:val="0"/>
                <w:bCs w:val="0"/>
                <w:sz w:val="18"/>
                <w:szCs w:val="18"/>
                <w:rtl/>
              </w:rPr>
              <w:footnoteReference w:id="124"/>
            </w:r>
            <w:r w:rsidR="00CE02F7" w:rsidRPr="00511159">
              <w:rPr>
                <w:rFonts w:hint="cs"/>
                <w:b w:val="0"/>
                <w:bCs w:val="0"/>
                <w:sz w:val="18"/>
                <w:szCs w:val="18"/>
                <w:vertAlign w:val="superscript"/>
                <w:rtl/>
              </w:rPr>
              <w:t>]</w:t>
            </w:r>
          </w:p>
        </w:tc>
      </w:tr>
      <w:tr w:rsidR="00600720" w:rsidRPr="00543C25" w14:paraId="0558DF74" w14:textId="77777777" w:rsidTr="00912661">
        <w:trPr>
          <w:trHeight w:val="259"/>
        </w:trPr>
        <w:tc>
          <w:tcPr>
            <w:tcW w:w="1135" w:type="dxa"/>
            <w:tcBorders>
              <w:top w:val="nil"/>
              <w:left w:val="nil"/>
              <w:bottom w:val="nil"/>
              <w:right w:val="nil"/>
            </w:tcBorders>
          </w:tcPr>
          <w:p w14:paraId="62570B61" w14:textId="77777777" w:rsidR="00600720" w:rsidRPr="00543C25" w:rsidRDefault="00600720" w:rsidP="008A0C00">
            <w:pPr>
              <w:pStyle w:val="-7"/>
              <w:rPr>
                <w:rtl/>
              </w:rPr>
            </w:pPr>
          </w:p>
        </w:tc>
        <w:tc>
          <w:tcPr>
            <w:tcW w:w="425" w:type="dxa"/>
            <w:tcBorders>
              <w:top w:val="nil"/>
              <w:left w:val="nil"/>
              <w:bottom w:val="nil"/>
              <w:right w:val="nil"/>
            </w:tcBorders>
            <w:shd w:val="clear" w:color="auto" w:fill="auto"/>
            <w:vAlign w:val="bottom"/>
          </w:tcPr>
          <w:p w14:paraId="405C7AF4" w14:textId="77777777" w:rsidR="00600720" w:rsidRPr="00543C25" w:rsidRDefault="00600720" w:rsidP="008A0C00">
            <w:pPr>
              <w:pStyle w:val="-7"/>
              <w:rPr>
                <w:rtl/>
              </w:rPr>
            </w:pPr>
          </w:p>
        </w:tc>
        <w:tc>
          <w:tcPr>
            <w:tcW w:w="3557" w:type="dxa"/>
            <w:tcBorders>
              <w:top w:val="nil"/>
              <w:left w:val="nil"/>
              <w:bottom w:val="nil"/>
              <w:right w:val="nil"/>
            </w:tcBorders>
            <w:shd w:val="clear" w:color="auto" w:fill="auto"/>
            <w:vAlign w:val="bottom"/>
          </w:tcPr>
          <w:p w14:paraId="36E5C001" w14:textId="77777777" w:rsidR="00600720" w:rsidRPr="00511159" w:rsidRDefault="00600720" w:rsidP="008A0C00">
            <w:pPr>
              <w:pStyle w:val="af5"/>
              <w:rPr>
                <w:sz w:val="18"/>
                <w:szCs w:val="18"/>
                <w:rtl/>
              </w:rPr>
            </w:pPr>
          </w:p>
        </w:tc>
        <w:tc>
          <w:tcPr>
            <w:tcW w:w="1018" w:type="dxa"/>
            <w:tcBorders>
              <w:top w:val="nil"/>
              <w:left w:val="nil"/>
              <w:bottom w:val="nil"/>
              <w:right w:val="nil"/>
            </w:tcBorders>
            <w:vAlign w:val="bottom"/>
          </w:tcPr>
          <w:p w14:paraId="2703A647" w14:textId="77777777" w:rsidR="00600720" w:rsidRPr="00511159" w:rsidRDefault="00600720" w:rsidP="008A0C00">
            <w:pPr>
              <w:pStyle w:val="-4"/>
              <w:pBdr>
                <w:bottom w:val="single" w:sz="4" w:space="1" w:color="auto"/>
              </w:pBdr>
              <w:spacing w:line="240" w:lineRule="auto"/>
              <w:rPr>
                <w:sz w:val="18"/>
                <w:szCs w:val="18"/>
                <w:rtl/>
              </w:rPr>
            </w:pPr>
            <w:r w:rsidRPr="00511159">
              <w:rPr>
                <w:rFonts w:hint="cs"/>
                <w:sz w:val="18"/>
                <w:szCs w:val="18"/>
                <w:rtl/>
              </w:rPr>
              <w:t>יתרה במאזן</w:t>
            </w:r>
          </w:p>
        </w:tc>
        <w:tc>
          <w:tcPr>
            <w:tcW w:w="1018" w:type="dxa"/>
            <w:tcBorders>
              <w:top w:val="nil"/>
              <w:left w:val="nil"/>
              <w:bottom w:val="nil"/>
              <w:right w:val="nil"/>
            </w:tcBorders>
            <w:vAlign w:val="bottom"/>
          </w:tcPr>
          <w:p w14:paraId="1C4DBB89" w14:textId="5B122115" w:rsidR="00600720" w:rsidRPr="00511159" w:rsidRDefault="00600720" w:rsidP="008A0C00">
            <w:pPr>
              <w:pStyle w:val="-4"/>
              <w:pBdr>
                <w:bottom w:val="single" w:sz="4" w:space="1" w:color="auto"/>
              </w:pBdr>
              <w:spacing w:line="240" w:lineRule="auto"/>
              <w:rPr>
                <w:sz w:val="18"/>
                <w:szCs w:val="18"/>
                <w:rtl/>
              </w:rPr>
            </w:pPr>
            <w:r w:rsidRPr="00511159">
              <w:rPr>
                <w:rFonts w:hint="cs"/>
                <w:sz w:val="18"/>
                <w:szCs w:val="18"/>
                <w:rtl/>
              </w:rPr>
              <w:t>רמה 1</w:t>
            </w:r>
          </w:p>
        </w:tc>
        <w:tc>
          <w:tcPr>
            <w:tcW w:w="1018" w:type="dxa"/>
            <w:tcBorders>
              <w:top w:val="nil"/>
              <w:left w:val="nil"/>
              <w:bottom w:val="nil"/>
              <w:right w:val="nil"/>
            </w:tcBorders>
            <w:vAlign w:val="bottom"/>
          </w:tcPr>
          <w:p w14:paraId="3A1CA798" w14:textId="5C382215" w:rsidR="00CF2A74" w:rsidRPr="00511159" w:rsidRDefault="00600720">
            <w:pPr>
              <w:pStyle w:val="-4"/>
              <w:pBdr>
                <w:bottom w:val="single" w:sz="4" w:space="1" w:color="auto"/>
              </w:pBdr>
              <w:spacing w:line="240" w:lineRule="auto"/>
              <w:ind w:left="-72" w:right="-72"/>
              <w:rPr>
                <w:sz w:val="18"/>
                <w:szCs w:val="18"/>
                <w:rtl/>
              </w:rPr>
            </w:pPr>
            <w:r w:rsidRPr="00511159">
              <w:rPr>
                <w:rFonts w:hint="cs"/>
                <w:sz w:val="18"/>
                <w:szCs w:val="18"/>
                <w:rtl/>
              </w:rPr>
              <w:t>רמה 2</w:t>
            </w:r>
          </w:p>
        </w:tc>
        <w:tc>
          <w:tcPr>
            <w:tcW w:w="1018" w:type="dxa"/>
            <w:tcBorders>
              <w:top w:val="nil"/>
              <w:left w:val="nil"/>
              <w:bottom w:val="nil"/>
              <w:right w:val="nil"/>
            </w:tcBorders>
            <w:vAlign w:val="bottom"/>
          </w:tcPr>
          <w:p w14:paraId="55643F5B" w14:textId="6ADEBF9C" w:rsidR="00CF2A74" w:rsidRPr="00511159" w:rsidRDefault="00600720">
            <w:pPr>
              <w:pStyle w:val="-4"/>
              <w:pBdr>
                <w:bottom w:val="single" w:sz="4" w:space="1" w:color="auto"/>
              </w:pBdr>
              <w:spacing w:line="240" w:lineRule="auto"/>
              <w:ind w:left="-72" w:right="-72"/>
              <w:rPr>
                <w:sz w:val="18"/>
                <w:szCs w:val="18"/>
                <w:rtl/>
              </w:rPr>
            </w:pPr>
            <w:r w:rsidRPr="00511159">
              <w:rPr>
                <w:rFonts w:hint="cs"/>
                <w:sz w:val="18"/>
                <w:szCs w:val="18"/>
                <w:rtl/>
              </w:rPr>
              <w:t>רמה 3</w:t>
            </w:r>
          </w:p>
        </w:tc>
        <w:tc>
          <w:tcPr>
            <w:tcW w:w="1018" w:type="dxa"/>
            <w:tcBorders>
              <w:top w:val="nil"/>
              <w:left w:val="nil"/>
              <w:bottom w:val="nil"/>
              <w:right w:val="nil"/>
            </w:tcBorders>
            <w:vAlign w:val="bottom"/>
          </w:tcPr>
          <w:p w14:paraId="01DF68D1" w14:textId="77777777" w:rsidR="00600720" w:rsidRPr="00511159" w:rsidRDefault="00600720" w:rsidP="008A0C00">
            <w:pPr>
              <w:pStyle w:val="-4"/>
              <w:pBdr>
                <w:bottom w:val="single" w:sz="4" w:space="1" w:color="auto"/>
              </w:pBdr>
              <w:spacing w:line="240" w:lineRule="auto"/>
              <w:rPr>
                <w:sz w:val="18"/>
                <w:szCs w:val="18"/>
                <w:rtl/>
              </w:rPr>
            </w:pPr>
            <w:r w:rsidRPr="00511159">
              <w:rPr>
                <w:rFonts w:hint="cs"/>
                <w:sz w:val="18"/>
                <w:szCs w:val="18"/>
                <w:rtl/>
              </w:rPr>
              <w:t>סך</w:t>
            </w:r>
          </w:p>
          <w:p w14:paraId="72C4DCD5" w14:textId="77777777" w:rsidR="00600720" w:rsidRPr="00511159" w:rsidRDefault="00600720" w:rsidP="008A0C00">
            <w:pPr>
              <w:pStyle w:val="-4"/>
              <w:pBdr>
                <w:bottom w:val="single" w:sz="4" w:space="1" w:color="auto"/>
              </w:pBdr>
              <w:spacing w:line="240" w:lineRule="auto"/>
              <w:rPr>
                <w:sz w:val="18"/>
                <w:szCs w:val="18"/>
                <w:rtl/>
              </w:rPr>
            </w:pPr>
            <w:r w:rsidRPr="00511159">
              <w:rPr>
                <w:rFonts w:hint="cs"/>
                <w:sz w:val="18"/>
                <w:szCs w:val="18"/>
                <w:rtl/>
              </w:rPr>
              <w:t>הכל</w:t>
            </w:r>
          </w:p>
        </w:tc>
      </w:tr>
      <w:tr w:rsidR="00600720" w:rsidRPr="00543C25" w14:paraId="2F926815" w14:textId="77777777" w:rsidTr="00912661">
        <w:trPr>
          <w:trHeight w:val="259"/>
        </w:trPr>
        <w:tc>
          <w:tcPr>
            <w:tcW w:w="1135" w:type="dxa"/>
            <w:tcBorders>
              <w:top w:val="nil"/>
              <w:left w:val="nil"/>
              <w:bottom w:val="nil"/>
              <w:right w:val="nil"/>
            </w:tcBorders>
          </w:tcPr>
          <w:p w14:paraId="3D812A4D" w14:textId="77777777" w:rsidR="00CF2A74" w:rsidRDefault="00CF2A74">
            <w:pPr>
              <w:pStyle w:val="-0"/>
              <w:rPr>
                <w:rtl/>
              </w:rPr>
            </w:pPr>
          </w:p>
        </w:tc>
        <w:tc>
          <w:tcPr>
            <w:tcW w:w="425" w:type="dxa"/>
            <w:tcBorders>
              <w:top w:val="nil"/>
              <w:left w:val="nil"/>
              <w:bottom w:val="nil"/>
              <w:right w:val="nil"/>
            </w:tcBorders>
            <w:shd w:val="clear" w:color="auto" w:fill="auto"/>
            <w:vAlign w:val="bottom"/>
          </w:tcPr>
          <w:p w14:paraId="1F40988D" w14:textId="77777777" w:rsidR="00CF2A74" w:rsidRDefault="00CF2A74">
            <w:pPr>
              <w:pStyle w:val="-0"/>
              <w:rPr>
                <w:rtl/>
              </w:rPr>
            </w:pPr>
          </w:p>
        </w:tc>
        <w:tc>
          <w:tcPr>
            <w:tcW w:w="3557" w:type="dxa"/>
            <w:tcBorders>
              <w:top w:val="nil"/>
              <w:left w:val="nil"/>
              <w:bottom w:val="nil"/>
              <w:right w:val="nil"/>
            </w:tcBorders>
            <w:shd w:val="clear" w:color="auto" w:fill="auto"/>
            <w:vAlign w:val="bottom"/>
          </w:tcPr>
          <w:p w14:paraId="0C292521" w14:textId="77777777" w:rsidR="00CF2A74" w:rsidRPr="00511159" w:rsidRDefault="00600720">
            <w:pPr>
              <w:pStyle w:val="-f"/>
              <w:rPr>
                <w:sz w:val="18"/>
                <w:szCs w:val="18"/>
                <w:rtl/>
              </w:rPr>
            </w:pPr>
            <w:r w:rsidRPr="00511159">
              <w:rPr>
                <w:rFonts w:hint="cs"/>
                <w:sz w:val="18"/>
                <w:szCs w:val="18"/>
                <w:rtl/>
              </w:rPr>
              <w:t>נכסים פיננסיים</w:t>
            </w:r>
          </w:p>
        </w:tc>
        <w:tc>
          <w:tcPr>
            <w:tcW w:w="1018" w:type="dxa"/>
            <w:tcBorders>
              <w:top w:val="nil"/>
              <w:left w:val="nil"/>
              <w:bottom w:val="nil"/>
              <w:right w:val="nil"/>
            </w:tcBorders>
            <w:vAlign w:val="bottom"/>
          </w:tcPr>
          <w:p w14:paraId="2182168B" w14:textId="77777777" w:rsidR="00CF2A74" w:rsidRPr="00511159" w:rsidRDefault="00CF2A74">
            <w:pPr>
              <w:pStyle w:val="-7"/>
              <w:rPr>
                <w:sz w:val="18"/>
                <w:szCs w:val="18"/>
                <w:rtl/>
              </w:rPr>
            </w:pPr>
          </w:p>
        </w:tc>
        <w:tc>
          <w:tcPr>
            <w:tcW w:w="1018" w:type="dxa"/>
            <w:tcBorders>
              <w:top w:val="nil"/>
              <w:left w:val="nil"/>
              <w:bottom w:val="nil"/>
              <w:right w:val="nil"/>
            </w:tcBorders>
            <w:vAlign w:val="bottom"/>
          </w:tcPr>
          <w:p w14:paraId="16A784C7" w14:textId="77777777" w:rsidR="00CF2A74" w:rsidRPr="00511159" w:rsidRDefault="00CF2A74">
            <w:pPr>
              <w:pStyle w:val="-7"/>
              <w:rPr>
                <w:sz w:val="18"/>
                <w:szCs w:val="18"/>
                <w:rtl/>
              </w:rPr>
            </w:pPr>
          </w:p>
        </w:tc>
        <w:tc>
          <w:tcPr>
            <w:tcW w:w="1018" w:type="dxa"/>
            <w:tcBorders>
              <w:top w:val="nil"/>
              <w:left w:val="nil"/>
              <w:bottom w:val="nil"/>
              <w:right w:val="nil"/>
            </w:tcBorders>
            <w:vAlign w:val="bottom"/>
          </w:tcPr>
          <w:p w14:paraId="339D7533" w14:textId="77777777" w:rsidR="00CF2A74" w:rsidRPr="00511159" w:rsidRDefault="00CF2A74">
            <w:pPr>
              <w:pStyle w:val="-7"/>
              <w:rPr>
                <w:sz w:val="18"/>
                <w:szCs w:val="18"/>
                <w:rtl/>
              </w:rPr>
            </w:pPr>
          </w:p>
        </w:tc>
        <w:tc>
          <w:tcPr>
            <w:tcW w:w="1018" w:type="dxa"/>
            <w:tcBorders>
              <w:top w:val="nil"/>
              <w:left w:val="nil"/>
              <w:bottom w:val="nil"/>
              <w:right w:val="nil"/>
            </w:tcBorders>
            <w:vAlign w:val="bottom"/>
          </w:tcPr>
          <w:p w14:paraId="3AA5F421" w14:textId="77777777" w:rsidR="00CF2A74" w:rsidRPr="00511159" w:rsidRDefault="00CF2A74">
            <w:pPr>
              <w:pStyle w:val="-7"/>
              <w:rPr>
                <w:sz w:val="18"/>
                <w:szCs w:val="18"/>
                <w:rtl/>
              </w:rPr>
            </w:pPr>
          </w:p>
        </w:tc>
        <w:tc>
          <w:tcPr>
            <w:tcW w:w="1018" w:type="dxa"/>
            <w:tcBorders>
              <w:top w:val="nil"/>
              <w:left w:val="nil"/>
              <w:bottom w:val="nil"/>
              <w:right w:val="nil"/>
            </w:tcBorders>
            <w:vAlign w:val="bottom"/>
          </w:tcPr>
          <w:p w14:paraId="0B935E39" w14:textId="77777777" w:rsidR="00CF2A74" w:rsidRPr="00511159" w:rsidRDefault="00CF2A74">
            <w:pPr>
              <w:pStyle w:val="-7"/>
              <w:rPr>
                <w:sz w:val="18"/>
                <w:szCs w:val="18"/>
                <w:rtl/>
              </w:rPr>
            </w:pPr>
          </w:p>
        </w:tc>
      </w:tr>
      <w:tr w:rsidR="00600720" w:rsidRPr="00543C25" w14:paraId="04FFB05A" w14:textId="77777777" w:rsidTr="00912661">
        <w:trPr>
          <w:trHeight w:val="259"/>
        </w:trPr>
        <w:tc>
          <w:tcPr>
            <w:tcW w:w="1135" w:type="dxa"/>
            <w:tcBorders>
              <w:top w:val="nil"/>
              <w:left w:val="nil"/>
              <w:bottom w:val="nil"/>
              <w:right w:val="nil"/>
            </w:tcBorders>
          </w:tcPr>
          <w:p w14:paraId="1EAFAA06"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541A6B17"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148B3311" w14:textId="77777777" w:rsidR="00600720" w:rsidRPr="00511159" w:rsidRDefault="00600720" w:rsidP="008A0C00">
            <w:pPr>
              <w:pStyle w:val="-0"/>
              <w:rPr>
                <w:sz w:val="18"/>
                <w:szCs w:val="18"/>
                <w:rtl/>
              </w:rPr>
            </w:pPr>
            <w:r w:rsidRPr="00511159">
              <w:rPr>
                <w:sz w:val="18"/>
                <w:szCs w:val="18"/>
                <w:rtl/>
              </w:rPr>
              <w:t>מזומנים ופ</w:t>
            </w:r>
            <w:r w:rsidRPr="00511159">
              <w:rPr>
                <w:rFonts w:hint="cs"/>
                <w:sz w:val="18"/>
                <w:szCs w:val="18"/>
                <w:rtl/>
              </w:rPr>
              <w:t>י</w:t>
            </w:r>
            <w:r w:rsidRPr="00511159">
              <w:rPr>
                <w:sz w:val="18"/>
                <w:szCs w:val="18"/>
                <w:rtl/>
              </w:rPr>
              <w:t>קדונות בבנקים</w:t>
            </w:r>
          </w:p>
        </w:tc>
        <w:tc>
          <w:tcPr>
            <w:tcW w:w="1018" w:type="dxa"/>
            <w:tcBorders>
              <w:top w:val="nil"/>
              <w:left w:val="nil"/>
              <w:bottom w:val="nil"/>
              <w:right w:val="nil"/>
            </w:tcBorders>
            <w:vAlign w:val="bottom"/>
          </w:tcPr>
          <w:p w14:paraId="3B32C142"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252CCFA7"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432708DE"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4B8C0643"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55D91B78"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r>
      <w:tr w:rsidR="00600720" w:rsidRPr="00543C25" w14:paraId="565E3534" w14:textId="77777777" w:rsidTr="00912661">
        <w:trPr>
          <w:trHeight w:val="259"/>
        </w:trPr>
        <w:tc>
          <w:tcPr>
            <w:tcW w:w="1135" w:type="dxa"/>
            <w:tcBorders>
              <w:top w:val="nil"/>
              <w:left w:val="nil"/>
              <w:bottom w:val="nil"/>
              <w:right w:val="nil"/>
            </w:tcBorders>
          </w:tcPr>
          <w:p w14:paraId="601D136E"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567F5FA4"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6F84FA01" w14:textId="20492F5F" w:rsidR="00CF2A74" w:rsidRPr="00511159" w:rsidRDefault="00600720" w:rsidP="00E81C55">
            <w:pPr>
              <w:pStyle w:val="-0"/>
              <w:rPr>
                <w:sz w:val="18"/>
                <w:szCs w:val="18"/>
                <w:rtl/>
              </w:rPr>
            </w:pPr>
            <w:r w:rsidRPr="00511159">
              <w:rPr>
                <w:sz w:val="18"/>
                <w:szCs w:val="18"/>
                <w:rtl/>
              </w:rPr>
              <w:t>ניירות ערך</w:t>
            </w:r>
            <w:r w:rsidRPr="00511159">
              <w:rPr>
                <w:rFonts w:hint="cs"/>
                <w:sz w:val="18"/>
                <w:szCs w:val="18"/>
                <w:vertAlign w:val="superscript"/>
                <w:rtl/>
              </w:rPr>
              <w:t>(</w:t>
            </w:r>
            <w:r w:rsidR="005D04BF">
              <w:rPr>
                <w:rFonts w:hint="cs"/>
                <w:sz w:val="18"/>
                <w:szCs w:val="18"/>
                <w:vertAlign w:val="superscript"/>
                <w:rtl/>
              </w:rPr>
              <w:t>ב</w:t>
            </w:r>
            <w:r w:rsidRPr="00511159">
              <w:rPr>
                <w:rFonts w:hint="cs"/>
                <w:sz w:val="18"/>
                <w:szCs w:val="18"/>
                <w:vertAlign w:val="superscript"/>
                <w:rtl/>
              </w:rPr>
              <w:t>)</w:t>
            </w:r>
          </w:p>
        </w:tc>
        <w:tc>
          <w:tcPr>
            <w:tcW w:w="1018" w:type="dxa"/>
            <w:tcBorders>
              <w:top w:val="nil"/>
              <w:left w:val="nil"/>
              <w:bottom w:val="nil"/>
              <w:right w:val="nil"/>
            </w:tcBorders>
            <w:vAlign w:val="bottom"/>
          </w:tcPr>
          <w:p w14:paraId="5B77F9FD"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24BE420B"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31F85F63"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20702611"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0971307F"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r>
      <w:tr w:rsidR="00600720" w:rsidRPr="00543C25" w14:paraId="377BB537" w14:textId="77777777" w:rsidTr="00912661">
        <w:trPr>
          <w:trHeight w:val="259"/>
        </w:trPr>
        <w:tc>
          <w:tcPr>
            <w:tcW w:w="1135" w:type="dxa"/>
            <w:tcBorders>
              <w:top w:val="nil"/>
              <w:left w:val="nil"/>
              <w:bottom w:val="nil"/>
              <w:right w:val="nil"/>
            </w:tcBorders>
          </w:tcPr>
          <w:p w14:paraId="772BE726"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6A4FA625"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0CA5D7B3" w14:textId="77777777" w:rsidR="00600720" w:rsidRPr="00511159" w:rsidRDefault="00600720" w:rsidP="008A0C00">
            <w:pPr>
              <w:pStyle w:val="-21"/>
              <w:rPr>
                <w:sz w:val="18"/>
                <w:szCs w:val="18"/>
                <w:rtl/>
              </w:rPr>
            </w:pPr>
            <w:r w:rsidRPr="00511159">
              <w:rPr>
                <w:rFonts w:hint="cs"/>
                <w:sz w:val="18"/>
                <w:szCs w:val="18"/>
                <w:rtl/>
              </w:rPr>
              <w:t>ניירות ערך שנשאלו או נרכשו במסגרת הסכמי מכר חוזר</w:t>
            </w:r>
          </w:p>
        </w:tc>
        <w:tc>
          <w:tcPr>
            <w:tcW w:w="1018" w:type="dxa"/>
            <w:tcBorders>
              <w:top w:val="nil"/>
              <w:left w:val="nil"/>
              <w:bottom w:val="nil"/>
              <w:right w:val="nil"/>
            </w:tcBorders>
            <w:vAlign w:val="bottom"/>
          </w:tcPr>
          <w:p w14:paraId="5150A3FA"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1DAF7F45"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70B23E8C"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011681D1"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577ED344"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r>
      <w:tr w:rsidR="00600720" w:rsidRPr="00543C25" w14:paraId="55F35E22" w14:textId="77777777" w:rsidTr="00912661">
        <w:trPr>
          <w:trHeight w:val="259"/>
        </w:trPr>
        <w:tc>
          <w:tcPr>
            <w:tcW w:w="1135" w:type="dxa"/>
            <w:tcBorders>
              <w:top w:val="nil"/>
              <w:left w:val="nil"/>
              <w:bottom w:val="nil"/>
              <w:right w:val="nil"/>
            </w:tcBorders>
          </w:tcPr>
          <w:p w14:paraId="1FE3D84C"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02EDA2DF"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718DEE85" w14:textId="77777777" w:rsidR="00600720" w:rsidRPr="00511159" w:rsidRDefault="00600720" w:rsidP="008A0C00">
            <w:pPr>
              <w:pStyle w:val="-0"/>
              <w:rPr>
                <w:sz w:val="18"/>
                <w:szCs w:val="18"/>
                <w:rtl/>
              </w:rPr>
            </w:pPr>
            <w:r w:rsidRPr="00511159">
              <w:rPr>
                <w:sz w:val="18"/>
                <w:szCs w:val="18"/>
                <w:rtl/>
              </w:rPr>
              <w:t>אשראי לציבור</w:t>
            </w:r>
            <w:r w:rsidRPr="00511159">
              <w:rPr>
                <w:rFonts w:hint="cs"/>
                <w:sz w:val="18"/>
                <w:szCs w:val="18"/>
                <w:rtl/>
              </w:rPr>
              <w:t>, נטו</w:t>
            </w:r>
          </w:p>
        </w:tc>
        <w:tc>
          <w:tcPr>
            <w:tcW w:w="1018" w:type="dxa"/>
            <w:tcBorders>
              <w:top w:val="nil"/>
              <w:left w:val="nil"/>
              <w:bottom w:val="nil"/>
              <w:right w:val="nil"/>
            </w:tcBorders>
            <w:vAlign w:val="bottom"/>
          </w:tcPr>
          <w:p w14:paraId="6D045648"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5A6F0390"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6FE88B71"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473A6FFA"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27E6A276"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r>
      <w:tr w:rsidR="00600720" w:rsidRPr="00543C25" w14:paraId="2FB85198" w14:textId="77777777" w:rsidTr="00912661">
        <w:trPr>
          <w:trHeight w:val="259"/>
        </w:trPr>
        <w:tc>
          <w:tcPr>
            <w:tcW w:w="1135" w:type="dxa"/>
            <w:tcBorders>
              <w:top w:val="nil"/>
              <w:left w:val="nil"/>
              <w:bottom w:val="nil"/>
              <w:right w:val="nil"/>
            </w:tcBorders>
          </w:tcPr>
          <w:p w14:paraId="746F3350"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691072A8"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370B74C4" w14:textId="77777777" w:rsidR="00600720" w:rsidRPr="00511159" w:rsidRDefault="00600720" w:rsidP="008A0C00">
            <w:pPr>
              <w:pStyle w:val="-0"/>
              <w:rPr>
                <w:sz w:val="18"/>
                <w:szCs w:val="18"/>
                <w:rtl/>
              </w:rPr>
            </w:pPr>
            <w:r w:rsidRPr="00511159">
              <w:rPr>
                <w:sz w:val="18"/>
                <w:szCs w:val="18"/>
                <w:rtl/>
              </w:rPr>
              <w:t>אשראי לממשלה</w:t>
            </w:r>
          </w:p>
        </w:tc>
        <w:tc>
          <w:tcPr>
            <w:tcW w:w="1018" w:type="dxa"/>
            <w:tcBorders>
              <w:top w:val="nil"/>
              <w:left w:val="nil"/>
              <w:bottom w:val="nil"/>
              <w:right w:val="nil"/>
            </w:tcBorders>
            <w:vAlign w:val="bottom"/>
          </w:tcPr>
          <w:p w14:paraId="4D8B65F5"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77D35146"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00E1F281"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7720ECF1"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452ECE97"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r>
      <w:tr w:rsidR="00600720" w:rsidRPr="00543C25" w14:paraId="387B014C" w14:textId="77777777" w:rsidTr="00912661">
        <w:trPr>
          <w:trHeight w:val="259"/>
        </w:trPr>
        <w:tc>
          <w:tcPr>
            <w:tcW w:w="1135" w:type="dxa"/>
            <w:tcBorders>
              <w:top w:val="nil"/>
              <w:left w:val="nil"/>
              <w:bottom w:val="nil"/>
              <w:right w:val="nil"/>
            </w:tcBorders>
          </w:tcPr>
          <w:p w14:paraId="4D1F0CC9"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3B3A4952"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461BA183" w14:textId="77777777" w:rsidR="00600720" w:rsidRPr="00511159" w:rsidRDefault="00600720" w:rsidP="008A0C00">
            <w:pPr>
              <w:pStyle w:val="-0"/>
              <w:rPr>
                <w:sz w:val="18"/>
                <w:szCs w:val="18"/>
                <w:rtl/>
              </w:rPr>
            </w:pPr>
            <w:r w:rsidRPr="00511159">
              <w:rPr>
                <w:rFonts w:hint="cs"/>
                <w:sz w:val="18"/>
                <w:szCs w:val="18"/>
                <w:rtl/>
              </w:rPr>
              <w:t>נכסים בגין מכשירים נגזרים</w:t>
            </w:r>
          </w:p>
        </w:tc>
        <w:tc>
          <w:tcPr>
            <w:tcW w:w="1018" w:type="dxa"/>
            <w:tcBorders>
              <w:top w:val="nil"/>
              <w:left w:val="nil"/>
              <w:bottom w:val="nil"/>
              <w:right w:val="nil"/>
            </w:tcBorders>
            <w:vAlign w:val="bottom"/>
          </w:tcPr>
          <w:p w14:paraId="2D0FE673"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560884AC"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1FD68B7C"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04B1D517"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354879F2"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r>
      <w:tr w:rsidR="00600720" w:rsidRPr="00543C25" w14:paraId="52BD3D20" w14:textId="77777777" w:rsidTr="00912661">
        <w:trPr>
          <w:trHeight w:val="259"/>
        </w:trPr>
        <w:tc>
          <w:tcPr>
            <w:tcW w:w="1135" w:type="dxa"/>
            <w:tcBorders>
              <w:top w:val="nil"/>
              <w:left w:val="nil"/>
              <w:bottom w:val="nil"/>
              <w:right w:val="nil"/>
            </w:tcBorders>
          </w:tcPr>
          <w:p w14:paraId="61ED85EB"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703762E2"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17D96221" w14:textId="26444179" w:rsidR="00600720" w:rsidRPr="00511159" w:rsidRDefault="00600720" w:rsidP="008A0C00">
            <w:pPr>
              <w:pStyle w:val="-0"/>
              <w:rPr>
                <w:sz w:val="18"/>
                <w:szCs w:val="18"/>
                <w:rtl/>
              </w:rPr>
            </w:pPr>
            <w:r w:rsidRPr="00511159">
              <w:rPr>
                <w:sz w:val="18"/>
                <w:szCs w:val="18"/>
                <w:rtl/>
              </w:rPr>
              <w:t>נכסים פיננסיים אחרים</w:t>
            </w:r>
          </w:p>
        </w:tc>
        <w:tc>
          <w:tcPr>
            <w:tcW w:w="1018" w:type="dxa"/>
            <w:tcBorders>
              <w:top w:val="nil"/>
              <w:left w:val="nil"/>
              <w:bottom w:val="nil"/>
              <w:right w:val="nil"/>
            </w:tcBorders>
            <w:vAlign w:val="bottom"/>
          </w:tcPr>
          <w:p w14:paraId="0996405E" w14:textId="77777777" w:rsidR="00F32A2A" w:rsidRPr="00511159" w:rsidRDefault="00600720">
            <w:pPr>
              <w:pStyle w:val="-3"/>
              <w:pBdr>
                <w:bottom w:val="single" w:sz="4" w:space="1" w:color="auto"/>
              </w:pBdr>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64300859" w14:textId="77777777" w:rsidR="00F32A2A" w:rsidRPr="00511159" w:rsidRDefault="00600720">
            <w:pPr>
              <w:pStyle w:val="-3"/>
              <w:pBdr>
                <w:bottom w:val="single" w:sz="4" w:space="1" w:color="auto"/>
              </w:pBdr>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21BD32FF" w14:textId="77777777" w:rsidR="00F32A2A" w:rsidRPr="00511159" w:rsidRDefault="00600720">
            <w:pPr>
              <w:pStyle w:val="-3"/>
              <w:pBdr>
                <w:bottom w:val="single" w:sz="4" w:space="1" w:color="auto"/>
              </w:pBdr>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725A335B" w14:textId="77777777" w:rsidR="00F32A2A" w:rsidRPr="00511159" w:rsidRDefault="00600720">
            <w:pPr>
              <w:pStyle w:val="-3"/>
              <w:pBdr>
                <w:bottom w:val="single" w:sz="4" w:space="1" w:color="auto"/>
              </w:pBdr>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09711848" w14:textId="77777777" w:rsidR="00F32A2A" w:rsidRPr="00511159" w:rsidRDefault="00600720">
            <w:pPr>
              <w:pStyle w:val="-3"/>
              <w:pBdr>
                <w:bottom w:val="single" w:sz="4" w:space="1" w:color="auto"/>
              </w:pBdr>
              <w:rPr>
                <w:sz w:val="18"/>
                <w:szCs w:val="18"/>
                <w:rtl/>
              </w:rPr>
            </w:pPr>
            <w:r w:rsidRPr="00511159">
              <w:rPr>
                <w:rFonts w:hint="cs"/>
                <w:sz w:val="18"/>
                <w:szCs w:val="18"/>
                <w:rtl/>
              </w:rPr>
              <w:t xml:space="preserve"> </w:t>
            </w:r>
            <w:r w:rsidRPr="00511159">
              <w:rPr>
                <w:sz w:val="18"/>
                <w:szCs w:val="18"/>
                <w:rtl/>
              </w:rPr>
              <w:t>0</w:t>
            </w:r>
          </w:p>
        </w:tc>
      </w:tr>
      <w:tr w:rsidR="00600720" w:rsidRPr="00543C25" w14:paraId="07AB9452" w14:textId="77777777" w:rsidTr="00912661">
        <w:trPr>
          <w:trHeight w:val="259"/>
        </w:trPr>
        <w:tc>
          <w:tcPr>
            <w:tcW w:w="1135" w:type="dxa"/>
            <w:tcBorders>
              <w:top w:val="nil"/>
              <w:left w:val="nil"/>
              <w:bottom w:val="nil"/>
              <w:right w:val="nil"/>
            </w:tcBorders>
          </w:tcPr>
          <w:p w14:paraId="40DECC97"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3E5BA023"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5C1B2C0A" w14:textId="77777777" w:rsidR="00600720" w:rsidRPr="00511159" w:rsidRDefault="00600720" w:rsidP="008A0C00">
            <w:pPr>
              <w:pStyle w:val="-0"/>
              <w:rPr>
                <w:sz w:val="18"/>
                <w:szCs w:val="18"/>
                <w:rtl/>
              </w:rPr>
            </w:pPr>
            <w:r w:rsidRPr="00511159">
              <w:rPr>
                <w:rFonts w:hint="cs"/>
                <w:sz w:val="18"/>
                <w:szCs w:val="18"/>
                <w:rtl/>
              </w:rPr>
              <w:t>השפעת הסכמי קיזוז</w:t>
            </w:r>
          </w:p>
        </w:tc>
        <w:tc>
          <w:tcPr>
            <w:tcW w:w="1018" w:type="dxa"/>
            <w:tcBorders>
              <w:top w:val="nil"/>
              <w:left w:val="nil"/>
              <w:bottom w:val="nil"/>
              <w:right w:val="nil"/>
            </w:tcBorders>
            <w:vAlign w:val="bottom"/>
          </w:tcPr>
          <w:p w14:paraId="197566DC" w14:textId="77777777" w:rsidR="00F32A2A" w:rsidRPr="00511159" w:rsidRDefault="00600720">
            <w:pPr>
              <w:pStyle w:val="-120"/>
              <w:pBdr>
                <w:top w:val="none" w:sz="0" w:space="0" w:color="auto"/>
                <w:bottom w:val="single" w:sz="4" w:space="1" w:color="auto"/>
              </w:pBdr>
              <w:jc w:val="left"/>
              <w:rPr>
                <w:color w:val="000000"/>
                <w:szCs w:val="18"/>
                <w:rtl/>
                <w:lang w:eastAsia="he-IL"/>
              </w:rPr>
            </w:pPr>
            <w:r w:rsidRPr="00511159">
              <w:rPr>
                <w:rFonts w:hint="cs"/>
                <w:szCs w:val="18"/>
                <w:rtl/>
              </w:rPr>
              <w:t>(</w:t>
            </w:r>
            <w:r w:rsidRPr="00511159">
              <w:rPr>
                <w:szCs w:val="18"/>
                <w:rtl/>
              </w:rPr>
              <w:t>0</w:t>
            </w:r>
            <w:r w:rsidRPr="00511159">
              <w:rPr>
                <w:rFonts w:hint="cs"/>
                <w:szCs w:val="18"/>
                <w:rtl/>
              </w:rPr>
              <w:t>)</w:t>
            </w:r>
          </w:p>
        </w:tc>
        <w:tc>
          <w:tcPr>
            <w:tcW w:w="1018" w:type="dxa"/>
            <w:tcBorders>
              <w:top w:val="nil"/>
              <w:left w:val="nil"/>
              <w:bottom w:val="nil"/>
              <w:right w:val="nil"/>
            </w:tcBorders>
            <w:vAlign w:val="bottom"/>
          </w:tcPr>
          <w:p w14:paraId="47F7B6A0" w14:textId="77777777" w:rsidR="00F32A2A" w:rsidRPr="00511159" w:rsidRDefault="00600720">
            <w:pPr>
              <w:pStyle w:val="-120"/>
              <w:pBdr>
                <w:top w:val="none" w:sz="0" w:space="0" w:color="auto"/>
                <w:bottom w:val="single" w:sz="4" w:space="1" w:color="auto"/>
              </w:pBdr>
              <w:jc w:val="left"/>
              <w:rPr>
                <w:color w:val="000000"/>
                <w:szCs w:val="18"/>
                <w:rtl/>
                <w:lang w:eastAsia="he-IL"/>
              </w:rPr>
            </w:pPr>
            <w:r w:rsidRPr="00511159">
              <w:rPr>
                <w:rFonts w:hint="cs"/>
                <w:szCs w:val="18"/>
                <w:rtl/>
              </w:rPr>
              <w:t xml:space="preserve"> -</w:t>
            </w:r>
          </w:p>
        </w:tc>
        <w:tc>
          <w:tcPr>
            <w:tcW w:w="1018" w:type="dxa"/>
            <w:tcBorders>
              <w:top w:val="nil"/>
              <w:left w:val="nil"/>
              <w:bottom w:val="nil"/>
              <w:right w:val="nil"/>
            </w:tcBorders>
            <w:vAlign w:val="bottom"/>
          </w:tcPr>
          <w:p w14:paraId="0525F484" w14:textId="77777777" w:rsidR="00F32A2A" w:rsidRPr="00511159" w:rsidRDefault="00600720">
            <w:pPr>
              <w:pStyle w:val="-120"/>
              <w:pBdr>
                <w:top w:val="none" w:sz="0" w:space="0" w:color="auto"/>
                <w:bottom w:val="single" w:sz="4" w:space="1" w:color="auto"/>
              </w:pBdr>
              <w:jc w:val="left"/>
              <w:rPr>
                <w:color w:val="000000"/>
                <w:szCs w:val="18"/>
                <w:rtl/>
                <w:lang w:eastAsia="he-IL"/>
              </w:rPr>
            </w:pPr>
            <w:r w:rsidRPr="00511159">
              <w:rPr>
                <w:rFonts w:hint="cs"/>
                <w:szCs w:val="18"/>
                <w:rtl/>
              </w:rPr>
              <w:t xml:space="preserve"> -</w:t>
            </w:r>
          </w:p>
        </w:tc>
        <w:tc>
          <w:tcPr>
            <w:tcW w:w="1018" w:type="dxa"/>
            <w:tcBorders>
              <w:top w:val="nil"/>
              <w:left w:val="nil"/>
              <w:bottom w:val="nil"/>
              <w:right w:val="nil"/>
            </w:tcBorders>
            <w:vAlign w:val="bottom"/>
          </w:tcPr>
          <w:p w14:paraId="1C221E02" w14:textId="77777777" w:rsidR="00F32A2A" w:rsidRPr="00511159" w:rsidRDefault="00600720">
            <w:pPr>
              <w:pStyle w:val="-120"/>
              <w:pBdr>
                <w:top w:val="none" w:sz="0" w:space="0" w:color="auto"/>
                <w:bottom w:val="single" w:sz="4" w:space="1" w:color="auto"/>
              </w:pBdr>
              <w:jc w:val="left"/>
              <w:rPr>
                <w:color w:val="000000"/>
                <w:szCs w:val="18"/>
                <w:rtl/>
                <w:lang w:eastAsia="he-IL"/>
              </w:rPr>
            </w:pPr>
            <w:r w:rsidRPr="00511159">
              <w:rPr>
                <w:rFonts w:hint="cs"/>
                <w:szCs w:val="18"/>
                <w:rtl/>
              </w:rPr>
              <w:t xml:space="preserve"> -</w:t>
            </w:r>
          </w:p>
        </w:tc>
        <w:tc>
          <w:tcPr>
            <w:tcW w:w="1018" w:type="dxa"/>
            <w:tcBorders>
              <w:top w:val="nil"/>
              <w:left w:val="nil"/>
              <w:bottom w:val="nil"/>
              <w:right w:val="nil"/>
            </w:tcBorders>
            <w:vAlign w:val="bottom"/>
          </w:tcPr>
          <w:p w14:paraId="63E5F317" w14:textId="77777777" w:rsidR="00F32A2A" w:rsidRPr="00511159" w:rsidRDefault="00600720">
            <w:pPr>
              <w:pStyle w:val="-120"/>
              <w:pBdr>
                <w:top w:val="none" w:sz="0" w:space="0" w:color="auto"/>
                <w:bottom w:val="single" w:sz="4" w:space="1" w:color="auto"/>
              </w:pBdr>
              <w:jc w:val="left"/>
              <w:rPr>
                <w:color w:val="000000"/>
                <w:szCs w:val="18"/>
                <w:rtl/>
                <w:lang w:eastAsia="he-IL"/>
              </w:rPr>
            </w:pPr>
            <w:r w:rsidRPr="00511159">
              <w:rPr>
                <w:rFonts w:hint="cs"/>
                <w:szCs w:val="18"/>
                <w:rtl/>
              </w:rPr>
              <w:t>(</w:t>
            </w:r>
            <w:r w:rsidRPr="00511159">
              <w:rPr>
                <w:szCs w:val="18"/>
                <w:rtl/>
              </w:rPr>
              <w:t>0</w:t>
            </w:r>
            <w:r w:rsidRPr="00511159">
              <w:rPr>
                <w:rFonts w:hint="cs"/>
                <w:szCs w:val="18"/>
                <w:rtl/>
              </w:rPr>
              <w:t>)</w:t>
            </w:r>
          </w:p>
        </w:tc>
      </w:tr>
      <w:tr w:rsidR="00600720" w:rsidRPr="00543C25" w14:paraId="32649951" w14:textId="77777777" w:rsidTr="00912661">
        <w:trPr>
          <w:trHeight w:val="259"/>
        </w:trPr>
        <w:tc>
          <w:tcPr>
            <w:tcW w:w="1135" w:type="dxa"/>
            <w:tcBorders>
              <w:top w:val="nil"/>
              <w:left w:val="nil"/>
              <w:bottom w:val="nil"/>
              <w:right w:val="nil"/>
            </w:tcBorders>
          </w:tcPr>
          <w:p w14:paraId="5C65D4E5"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49A53D7E"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6334DE9E" w14:textId="77777777" w:rsidR="00600720" w:rsidRPr="00511159" w:rsidRDefault="00600720" w:rsidP="008A0C00">
            <w:pPr>
              <w:pStyle w:val="-b"/>
              <w:rPr>
                <w:sz w:val="18"/>
                <w:szCs w:val="18"/>
                <w:rtl/>
              </w:rPr>
            </w:pPr>
            <w:r w:rsidRPr="00511159">
              <w:rPr>
                <w:rFonts w:hint="cs"/>
                <w:sz w:val="18"/>
                <w:szCs w:val="18"/>
                <w:rtl/>
              </w:rPr>
              <w:t>סך כל הנכסים הפיננסיים</w:t>
            </w:r>
          </w:p>
        </w:tc>
        <w:tc>
          <w:tcPr>
            <w:tcW w:w="1018" w:type="dxa"/>
            <w:tcBorders>
              <w:top w:val="nil"/>
              <w:left w:val="nil"/>
              <w:bottom w:val="nil"/>
              <w:right w:val="nil"/>
            </w:tcBorders>
            <w:vAlign w:val="bottom"/>
          </w:tcPr>
          <w:p w14:paraId="7E4D370D" w14:textId="2DE7E034" w:rsidR="00F32A2A" w:rsidRPr="00511159" w:rsidRDefault="00600720">
            <w:pPr>
              <w:pStyle w:val="-f1"/>
              <w:pBdr>
                <w:top w:val="none" w:sz="0" w:space="0" w:color="auto"/>
              </w:pBdr>
              <w:rPr>
                <w:sz w:val="18"/>
                <w:szCs w:val="18"/>
                <w:rtl/>
              </w:rPr>
            </w:pPr>
            <w:r w:rsidRPr="00511159">
              <w:rPr>
                <w:rFonts w:hint="cs"/>
                <w:sz w:val="18"/>
                <w:szCs w:val="18"/>
                <w:rtl/>
              </w:rPr>
              <w:t xml:space="preserve"> </w:t>
            </w:r>
            <w:r w:rsidR="005D04BF">
              <w:rPr>
                <w:rFonts w:hint="cs"/>
                <w:sz w:val="18"/>
                <w:szCs w:val="18"/>
                <w:rtl/>
              </w:rPr>
              <w:t xml:space="preserve"> </w:t>
            </w:r>
            <w:r w:rsidRPr="00511159">
              <w:rPr>
                <w:sz w:val="18"/>
                <w:szCs w:val="18"/>
                <w:rtl/>
              </w:rPr>
              <w:t>0</w:t>
            </w:r>
            <w:r w:rsidR="005D04BF">
              <w:rPr>
                <w:rFonts w:hint="cs"/>
                <w:b w:val="0"/>
                <w:bCs w:val="0"/>
                <w:sz w:val="18"/>
                <w:szCs w:val="18"/>
                <w:vertAlign w:val="superscript"/>
                <w:rtl/>
              </w:rPr>
              <w:t xml:space="preserve"> </w:t>
            </w:r>
            <w:r w:rsidR="00CF2A74" w:rsidRPr="005D04BF">
              <w:rPr>
                <w:b w:val="0"/>
                <w:bCs w:val="0"/>
                <w:sz w:val="18"/>
                <w:szCs w:val="18"/>
                <w:vertAlign w:val="superscript"/>
                <w:rtl/>
              </w:rPr>
              <w:t>(</w:t>
            </w:r>
            <w:r w:rsidR="005D04BF" w:rsidRPr="005D04BF">
              <w:rPr>
                <w:rFonts w:hint="cs"/>
                <w:b w:val="0"/>
                <w:bCs w:val="0"/>
                <w:sz w:val="18"/>
                <w:szCs w:val="18"/>
                <w:vertAlign w:val="superscript"/>
                <w:rtl/>
              </w:rPr>
              <w:t>א</w:t>
            </w:r>
            <w:r w:rsidR="00CF2A74" w:rsidRPr="005D04BF">
              <w:rPr>
                <w:b w:val="0"/>
                <w:bCs w:val="0"/>
                <w:sz w:val="18"/>
                <w:szCs w:val="18"/>
                <w:vertAlign w:val="superscript"/>
                <w:rtl/>
              </w:rPr>
              <w:t>)</w:t>
            </w:r>
          </w:p>
        </w:tc>
        <w:tc>
          <w:tcPr>
            <w:tcW w:w="1018" w:type="dxa"/>
            <w:tcBorders>
              <w:top w:val="nil"/>
              <w:left w:val="nil"/>
              <w:bottom w:val="nil"/>
              <w:right w:val="nil"/>
            </w:tcBorders>
            <w:vAlign w:val="bottom"/>
          </w:tcPr>
          <w:p w14:paraId="7345DDE3" w14:textId="77777777" w:rsidR="00F32A2A" w:rsidRPr="00511159" w:rsidRDefault="00600720">
            <w:pPr>
              <w:pStyle w:val="-f1"/>
              <w:pBdr>
                <w:top w:val="none" w:sz="0" w:space="0" w:color="auto"/>
              </w:pBdr>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5A5E4A85" w14:textId="77777777" w:rsidR="00F32A2A" w:rsidRPr="00511159" w:rsidRDefault="00600720">
            <w:pPr>
              <w:pStyle w:val="-f1"/>
              <w:pBdr>
                <w:top w:val="none" w:sz="0" w:space="0" w:color="auto"/>
              </w:pBdr>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6E5DB04C" w14:textId="77777777" w:rsidR="00F32A2A" w:rsidRPr="00511159" w:rsidRDefault="00600720">
            <w:pPr>
              <w:pStyle w:val="-f1"/>
              <w:pBdr>
                <w:top w:val="none" w:sz="0" w:space="0" w:color="auto"/>
              </w:pBdr>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1B41479A" w14:textId="77777777" w:rsidR="00F32A2A" w:rsidRPr="00511159" w:rsidRDefault="00600720">
            <w:pPr>
              <w:pStyle w:val="-f1"/>
              <w:pBdr>
                <w:top w:val="none" w:sz="0" w:space="0" w:color="auto"/>
              </w:pBdr>
              <w:rPr>
                <w:sz w:val="18"/>
                <w:szCs w:val="18"/>
                <w:rtl/>
              </w:rPr>
            </w:pPr>
            <w:r w:rsidRPr="00511159">
              <w:rPr>
                <w:rFonts w:hint="cs"/>
                <w:sz w:val="18"/>
                <w:szCs w:val="18"/>
                <w:rtl/>
              </w:rPr>
              <w:t xml:space="preserve"> </w:t>
            </w:r>
            <w:r w:rsidRPr="00511159">
              <w:rPr>
                <w:sz w:val="18"/>
                <w:szCs w:val="18"/>
                <w:rtl/>
              </w:rPr>
              <w:t>0</w:t>
            </w:r>
          </w:p>
        </w:tc>
      </w:tr>
      <w:tr w:rsidR="00600720" w:rsidRPr="00543C25" w14:paraId="0ACB6F27" w14:textId="77777777" w:rsidTr="00912661">
        <w:trPr>
          <w:trHeight w:hRule="exact" w:val="144"/>
        </w:trPr>
        <w:tc>
          <w:tcPr>
            <w:tcW w:w="1135" w:type="dxa"/>
            <w:tcBorders>
              <w:top w:val="nil"/>
              <w:left w:val="nil"/>
              <w:bottom w:val="nil"/>
              <w:right w:val="nil"/>
            </w:tcBorders>
          </w:tcPr>
          <w:p w14:paraId="585A7F02"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22C74D9D"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52F94A5D" w14:textId="77777777" w:rsidR="00600720" w:rsidRPr="00511159" w:rsidRDefault="00600720" w:rsidP="008A0C00">
            <w:pPr>
              <w:pStyle w:val="-0"/>
              <w:rPr>
                <w:sz w:val="18"/>
                <w:szCs w:val="18"/>
                <w:rtl/>
              </w:rPr>
            </w:pPr>
          </w:p>
        </w:tc>
        <w:tc>
          <w:tcPr>
            <w:tcW w:w="1018" w:type="dxa"/>
            <w:tcBorders>
              <w:top w:val="nil"/>
              <w:left w:val="nil"/>
              <w:bottom w:val="nil"/>
              <w:right w:val="nil"/>
            </w:tcBorders>
          </w:tcPr>
          <w:p w14:paraId="40A6B2D1" w14:textId="77777777" w:rsidR="00F32A2A" w:rsidRPr="00511159" w:rsidRDefault="00F32A2A">
            <w:pPr>
              <w:pStyle w:val="-12"/>
              <w:pBdr>
                <w:top w:val="none" w:sz="0" w:space="0" w:color="auto"/>
              </w:pBdr>
              <w:rPr>
                <w:sz w:val="18"/>
                <w:szCs w:val="18"/>
                <w:rtl/>
              </w:rPr>
            </w:pPr>
          </w:p>
        </w:tc>
        <w:tc>
          <w:tcPr>
            <w:tcW w:w="1018" w:type="dxa"/>
            <w:tcBorders>
              <w:top w:val="nil"/>
              <w:left w:val="nil"/>
              <w:bottom w:val="nil"/>
              <w:right w:val="nil"/>
            </w:tcBorders>
          </w:tcPr>
          <w:p w14:paraId="5626DE61" w14:textId="77777777" w:rsidR="00F32A2A" w:rsidRPr="00511159" w:rsidRDefault="00F32A2A">
            <w:pPr>
              <w:pStyle w:val="-12"/>
              <w:pBdr>
                <w:top w:val="none" w:sz="0" w:space="0" w:color="auto"/>
              </w:pBdr>
              <w:rPr>
                <w:sz w:val="18"/>
                <w:szCs w:val="18"/>
                <w:rtl/>
              </w:rPr>
            </w:pPr>
          </w:p>
        </w:tc>
        <w:tc>
          <w:tcPr>
            <w:tcW w:w="1018" w:type="dxa"/>
            <w:tcBorders>
              <w:top w:val="nil"/>
              <w:left w:val="nil"/>
              <w:bottom w:val="nil"/>
              <w:right w:val="nil"/>
            </w:tcBorders>
          </w:tcPr>
          <w:p w14:paraId="2C2E2301" w14:textId="77777777" w:rsidR="00F32A2A" w:rsidRPr="00511159" w:rsidRDefault="00F32A2A">
            <w:pPr>
              <w:pStyle w:val="-12"/>
              <w:pBdr>
                <w:top w:val="none" w:sz="0" w:space="0" w:color="auto"/>
              </w:pBdr>
              <w:rPr>
                <w:sz w:val="18"/>
                <w:szCs w:val="18"/>
                <w:rtl/>
              </w:rPr>
            </w:pPr>
          </w:p>
        </w:tc>
        <w:tc>
          <w:tcPr>
            <w:tcW w:w="1018" w:type="dxa"/>
            <w:tcBorders>
              <w:top w:val="nil"/>
              <w:left w:val="nil"/>
              <w:bottom w:val="nil"/>
              <w:right w:val="nil"/>
            </w:tcBorders>
          </w:tcPr>
          <w:p w14:paraId="0101A932" w14:textId="77777777" w:rsidR="00F32A2A" w:rsidRPr="00511159" w:rsidRDefault="00F32A2A">
            <w:pPr>
              <w:pStyle w:val="-12"/>
              <w:pBdr>
                <w:top w:val="none" w:sz="0" w:space="0" w:color="auto"/>
              </w:pBdr>
              <w:rPr>
                <w:sz w:val="18"/>
                <w:szCs w:val="18"/>
                <w:rtl/>
              </w:rPr>
            </w:pPr>
          </w:p>
        </w:tc>
        <w:tc>
          <w:tcPr>
            <w:tcW w:w="1018" w:type="dxa"/>
            <w:tcBorders>
              <w:top w:val="nil"/>
              <w:left w:val="nil"/>
              <w:bottom w:val="nil"/>
              <w:right w:val="nil"/>
            </w:tcBorders>
          </w:tcPr>
          <w:p w14:paraId="37C48FBF" w14:textId="77777777" w:rsidR="00F32A2A" w:rsidRPr="00511159" w:rsidRDefault="00F32A2A">
            <w:pPr>
              <w:pStyle w:val="-12"/>
              <w:pBdr>
                <w:top w:val="none" w:sz="0" w:space="0" w:color="auto"/>
              </w:pBdr>
              <w:rPr>
                <w:sz w:val="18"/>
                <w:szCs w:val="18"/>
                <w:rtl/>
              </w:rPr>
            </w:pPr>
          </w:p>
        </w:tc>
      </w:tr>
      <w:tr w:rsidR="00600720" w:rsidRPr="00543C25" w14:paraId="7DB41A9A" w14:textId="77777777" w:rsidTr="00912661">
        <w:trPr>
          <w:trHeight w:val="259"/>
        </w:trPr>
        <w:tc>
          <w:tcPr>
            <w:tcW w:w="1135" w:type="dxa"/>
            <w:tcBorders>
              <w:top w:val="nil"/>
              <w:left w:val="nil"/>
              <w:bottom w:val="nil"/>
              <w:right w:val="nil"/>
            </w:tcBorders>
          </w:tcPr>
          <w:p w14:paraId="3973E52A"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2E2B465D"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center"/>
          </w:tcPr>
          <w:p w14:paraId="4D3729E9" w14:textId="77777777" w:rsidR="00600720" w:rsidRPr="00511159" w:rsidRDefault="00600720" w:rsidP="008A0C00">
            <w:pPr>
              <w:pStyle w:val="-0"/>
              <w:rPr>
                <w:b/>
                <w:bCs/>
                <w:sz w:val="18"/>
                <w:szCs w:val="18"/>
                <w:u w:val="single"/>
                <w:rtl/>
              </w:rPr>
            </w:pPr>
            <w:r w:rsidRPr="00511159">
              <w:rPr>
                <w:b/>
                <w:bCs/>
                <w:sz w:val="18"/>
                <w:szCs w:val="18"/>
                <w:u w:val="single"/>
                <w:rtl/>
              </w:rPr>
              <w:t>התחייבויות פיננסיות</w:t>
            </w:r>
          </w:p>
        </w:tc>
        <w:tc>
          <w:tcPr>
            <w:tcW w:w="1018" w:type="dxa"/>
            <w:tcBorders>
              <w:top w:val="nil"/>
              <w:left w:val="nil"/>
              <w:bottom w:val="nil"/>
              <w:right w:val="nil"/>
            </w:tcBorders>
            <w:vAlign w:val="bottom"/>
          </w:tcPr>
          <w:p w14:paraId="584FBE76" w14:textId="77777777" w:rsidR="00F32A2A" w:rsidRPr="00511159" w:rsidRDefault="00F32A2A">
            <w:pPr>
              <w:pStyle w:val="-7"/>
              <w:rPr>
                <w:sz w:val="18"/>
                <w:szCs w:val="18"/>
                <w:rtl/>
              </w:rPr>
            </w:pPr>
          </w:p>
        </w:tc>
        <w:tc>
          <w:tcPr>
            <w:tcW w:w="1018" w:type="dxa"/>
            <w:tcBorders>
              <w:top w:val="nil"/>
              <w:left w:val="nil"/>
              <w:bottom w:val="nil"/>
              <w:right w:val="nil"/>
            </w:tcBorders>
            <w:vAlign w:val="bottom"/>
          </w:tcPr>
          <w:p w14:paraId="064AA783" w14:textId="77777777" w:rsidR="00F32A2A" w:rsidRPr="00511159" w:rsidRDefault="00F32A2A">
            <w:pPr>
              <w:pStyle w:val="-7"/>
              <w:rPr>
                <w:sz w:val="18"/>
                <w:szCs w:val="18"/>
                <w:rtl/>
              </w:rPr>
            </w:pPr>
          </w:p>
        </w:tc>
        <w:tc>
          <w:tcPr>
            <w:tcW w:w="1018" w:type="dxa"/>
            <w:tcBorders>
              <w:top w:val="nil"/>
              <w:left w:val="nil"/>
              <w:bottom w:val="nil"/>
              <w:right w:val="nil"/>
            </w:tcBorders>
            <w:vAlign w:val="bottom"/>
          </w:tcPr>
          <w:p w14:paraId="7908FC9E" w14:textId="77777777" w:rsidR="00F32A2A" w:rsidRPr="00511159" w:rsidRDefault="00F32A2A">
            <w:pPr>
              <w:pStyle w:val="-7"/>
              <w:rPr>
                <w:sz w:val="18"/>
                <w:szCs w:val="18"/>
                <w:rtl/>
              </w:rPr>
            </w:pPr>
          </w:p>
        </w:tc>
        <w:tc>
          <w:tcPr>
            <w:tcW w:w="1018" w:type="dxa"/>
            <w:tcBorders>
              <w:top w:val="nil"/>
              <w:left w:val="nil"/>
              <w:bottom w:val="nil"/>
              <w:right w:val="nil"/>
            </w:tcBorders>
            <w:vAlign w:val="bottom"/>
          </w:tcPr>
          <w:p w14:paraId="68D023CB" w14:textId="77777777" w:rsidR="00F32A2A" w:rsidRPr="00511159" w:rsidRDefault="00F32A2A">
            <w:pPr>
              <w:pStyle w:val="-7"/>
              <w:rPr>
                <w:sz w:val="18"/>
                <w:szCs w:val="18"/>
                <w:rtl/>
              </w:rPr>
            </w:pPr>
          </w:p>
        </w:tc>
        <w:tc>
          <w:tcPr>
            <w:tcW w:w="1018" w:type="dxa"/>
            <w:tcBorders>
              <w:top w:val="nil"/>
              <w:left w:val="nil"/>
              <w:bottom w:val="nil"/>
              <w:right w:val="nil"/>
            </w:tcBorders>
            <w:vAlign w:val="bottom"/>
          </w:tcPr>
          <w:p w14:paraId="13FA2041" w14:textId="77777777" w:rsidR="00F32A2A" w:rsidRPr="00511159" w:rsidRDefault="00F32A2A">
            <w:pPr>
              <w:pStyle w:val="-7"/>
              <w:rPr>
                <w:sz w:val="18"/>
                <w:szCs w:val="18"/>
                <w:rtl/>
              </w:rPr>
            </w:pPr>
          </w:p>
        </w:tc>
      </w:tr>
      <w:tr w:rsidR="00600720" w:rsidRPr="00543C25" w14:paraId="7FA84ED5" w14:textId="77777777" w:rsidTr="00912661">
        <w:trPr>
          <w:trHeight w:val="259"/>
        </w:trPr>
        <w:tc>
          <w:tcPr>
            <w:tcW w:w="1135" w:type="dxa"/>
            <w:tcBorders>
              <w:top w:val="nil"/>
              <w:left w:val="nil"/>
              <w:bottom w:val="nil"/>
              <w:right w:val="nil"/>
            </w:tcBorders>
          </w:tcPr>
          <w:p w14:paraId="016D809B"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60EB7B1F"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44DF32AC" w14:textId="77777777" w:rsidR="00600720" w:rsidRPr="00511159" w:rsidRDefault="00600720" w:rsidP="008A0C00">
            <w:pPr>
              <w:pStyle w:val="-0"/>
              <w:rPr>
                <w:sz w:val="18"/>
                <w:szCs w:val="18"/>
                <w:rtl/>
              </w:rPr>
            </w:pPr>
            <w:r w:rsidRPr="00511159">
              <w:rPr>
                <w:sz w:val="18"/>
                <w:szCs w:val="18"/>
                <w:rtl/>
              </w:rPr>
              <w:t>פ</w:t>
            </w:r>
            <w:r w:rsidRPr="00511159">
              <w:rPr>
                <w:rFonts w:hint="cs"/>
                <w:sz w:val="18"/>
                <w:szCs w:val="18"/>
                <w:rtl/>
              </w:rPr>
              <w:t>י</w:t>
            </w:r>
            <w:r w:rsidRPr="00511159">
              <w:rPr>
                <w:sz w:val="18"/>
                <w:szCs w:val="18"/>
                <w:rtl/>
              </w:rPr>
              <w:t>קדונות הציבור</w:t>
            </w:r>
          </w:p>
        </w:tc>
        <w:tc>
          <w:tcPr>
            <w:tcW w:w="1018" w:type="dxa"/>
            <w:tcBorders>
              <w:top w:val="nil"/>
              <w:left w:val="nil"/>
              <w:bottom w:val="nil"/>
              <w:right w:val="nil"/>
            </w:tcBorders>
            <w:vAlign w:val="bottom"/>
          </w:tcPr>
          <w:p w14:paraId="41A7D0B1"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5DFDF8D4"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733FD7BF"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7344A874"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2BFF63E7"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r>
      <w:tr w:rsidR="00600720" w:rsidRPr="00543C25" w14:paraId="5D94673C" w14:textId="77777777" w:rsidTr="00912661">
        <w:trPr>
          <w:trHeight w:val="259"/>
        </w:trPr>
        <w:tc>
          <w:tcPr>
            <w:tcW w:w="1135" w:type="dxa"/>
            <w:tcBorders>
              <w:top w:val="nil"/>
              <w:left w:val="nil"/>
              <w:bottom w:val="nil"/>
              <w:right w:val="nil"/>
            </w:tcBorders>
          </w:tcPr>
          <w:p w14:paraId="76E5513D"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566A87C5"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4FE77F16" w14:textId="77777777" w:rsidR="00600720" w:rsidRPr="00511159" w:rsidRDefault="00600720" w:rsidP="008A0C00">
            <w:pPr>
              <w:pStyle w:val="-0"/>
              <w:rPr>
                <w:sz w:val="18"/>
                <w:szCs w:val="18"/>
                <w:rtl/>
              </w:rPr>
            </w:pPr>
            <w:r w:rsidRPr="00511159">
              <w:rPr>
                <w:sz w:val="18"/>
                <w:szCs w:val="18"/>
                <w:rtl/>
              </w:rPr>
              <w:t>פ</w:t>
            </w:r>
            <w:r w:rsidRPr="00511159">
              <w:rPr>
                <w:rFonts w:hint="cs"/>
                <w:sz w:val="18"/>
                <w:szCs w:val="18"/>
                <w:rtl/>
              </w:rPr>
              <w:t>י</w:t>
            </w:r>
            <w:r w:rsidRPr="00511159">
              <w:rPr>
                <w:sz w:val="18"/>
                <w:szCs w:val="18"/>
                <w:rtl/>
              </w:rPr>
              <w:t>קדונות מבנקים</w:t>
            </w:r>
          </w:p>
        </w:tc>
        <w:tc>
          <w:tcPr>
            <w:tcW w:w="1018" w:type="dxa"/>
            <w:tcBorders>
              <w:top w:val="nil"/>
              <w:left w:val="nil"/>
              <w:bottom w:val="nil"/>
              <w:right w:val="nil"/>
            </w:tcBorders>
            <w:vAlign w:val="bottom"/>
          </w:tcPr>
          <w:p w14:paraId="7F0345C1"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3B980A5B"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52D207AB"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5E7D1751"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7FF4635A"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r>
      <w:tr w:rsidR="00600720" w:rsidRPr="00543C25" w14:paraId="02FA1F04" w14:textId="77777777" w:rsidTr="00912661">
        <w:trPr>
          <w:trHeight w:val="259"/>
        </w:trPr>
        <w:tc>
          <w:tcPr>
            <w:tcW w:w="1135" w:type="dxa"/>
            <w:tcBorders>
              <w:top w:val="nil"/>
              <w:left w:val="nil"/>
              <w:bottom w:val="nil"/>
              <w:right w:val="nil"/>
            </w:tcBorders>
          </w:tcPr>
          <w:p w14:paraId="2149463C"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131832AF"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225D109C" w14:textId="77777777" w:rsidR="00600720" w:rsidRPr="00511159" w:rsidRDefault="00600720" w:rsidP="008A0C00">
            <w:pPr>
              <w:pStyle w:val="-0"/>
              <w:rPr>
                <w:sz w:val="18"/>
                <w:szCs w:val="18"/>
                <w:rtl/>
              </w:rPr>
            </w:pPr>
            <w:r w:rsidRPr="00511159">
              <w:rPr>
                <w:sz w:val="18"/>
                <w:szCs w:val="18"/>
                <w:rtl/>
              </w:rPr>
              <w:t>פ</w:t>
            </w:r>
            <w:r w:rsidRPr="00511159">
              <w:rPr>
                <w:rFonts w:hint="cs"/>
                <w:sz w:val="18"/>
                <w:szCs w:val="18"/>
                <w:rtl/>
              </w:rPr>
              <w:t>י</w:t>
            </w:r>
            <w:r w:rsidRPr="00511159">
              <w:rPr>
                <w:sz w:val="18"/>
                <w:szCs w:val="18"/>
                <w:rtl/>
              </w:rPr>
              <w:t>קדונות הממשלה</w:t>
            </w:r>
          </w:p>
        </w:tc>
        <w:tc>
          <w:tcPr>
            <w:tcW w:w="1018" w:type="dxa"/>
            <w:tcBorders>
              <w:top w:val="nil"/>
              <w:left w:val="nil"/>
              <w:bottom w:val="nil"/>
              <w:right w:val="nil"/>
            </w:tcBorders>
            <w:vAlign w:val="bottom"/>
          </w:tcPr>
          <w:p w14:paraId="6752EA84"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72FBAC7B"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3C14E56B"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08B201BB"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2FF91DD4"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r>
      <w:tr w:rsidR="00600720" w:rsidRPr="00543C25" w14:paraId="1A2901EF" w14:textId="77777777" w:rsidTr="00912661">
        <w:trPr>
          <w:trHeight w:val="259"/>
        </w:trPr>
        <w:tc>
          <w:tcPr>
            <w:tcW w:w="1135" w:type="dxa"/>
            <w:tcBorders>
              <w:top w:val="nil"/>
              <w:left w:val="nil"/>
              <w:bottom w:val="nil"/>
              <w:right w:val="nil"/>
            </w:tcBorders>
          </w:tcPr>
          <w:p w14:paraId="50849D7D"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0A9AB7BB"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6C8739F4" w14:textId="77777777" w:rsidR="00600720" w:rsidRPr="00511159" w:rsidRDefault="00600720" w:rsidP="008A0C00">
            <w:pPr>
              <w:pStyle w:val="-21"/>
              <w:rPr>
                <w:sz w:val="18"/>
                <w:szCs w:val="18"/>
                <w:rtl/>
              </w:rPr>
            </w:pPr>
            <w:r w:rsidRPr="00511159">
              <w:rPr>
                <w:rFonts w:hint="cs"/>
                <w:sz w:val="18"/>
                <w:szCs w:val="18"/>
                <w:rtl/>
              </w:rPr>
              <w:t>ניירות ערך שהושאלו או נמכרו במסגרת הסכמי רכש חוזר</w:t>
            </w:r>
          </w:p>
        </w:tc>
        <w:tc>
          <w:tcPr>
            <w:tcW w:w="1018" w:type="dxa"/>
            <w:tcBorders>
              <w:top w:val="nil"/>
              <w:left w:val="nil"/>
              <w:bottom w:val="nil"/>
              <w:right w:val="nil"/>
            </w:tcBorders>
            <w:vAlign w:val="bottom"/>
          </w:tcPr>
          <w:p w14:paraId="1AC72840"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655FD439"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285D78A8"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24EA98BA"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56F1ED4A"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r>
      <w:tr w:rsidR="00600720" w:rsidRPr="00543C25" w14:paraId="2755DA91" w14:textId="77777777" w:rsidTr="00912661">
        <w:trPr>
          <w:trHeight w:val="259"/>
        </w:trPr>
        <w:tc>
          <w:tcPr>
            <w:tcW w:w="1135" w:type="dxa"/>
            <w:tcBorders>
              <w:top w:val="nil"/>
              <w:left w:val="nil"/>
              <w:bottom w:val="nil"/>
              <w:right w:val="nil"/>
            </w:tcBorders>
          </w:tcPr>
          <w:p w14:paraId="323BDD54"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3DA6BF80"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410D5F20" w14:textId="77777777" w:rsidR="00600720" w:rsidRPr="00511159" w:rsidRDefault="00A674A4" w:rsidP="008A0C00">
            <w:pPr>
              <w:pStyle w:val="-0"/>
              <w:rPr>
                <w:sz w:val="18"/>
                <w:szCs w:val="18"/>
                <w:rtl/>
              </w:rPr>
            </w:pPr>
            <w:r w:rsidRPr="00511159">
              <w:rPr>
                <w:sz w:val="18"/>
                <w:szCs w:val="18"/>
                <w:rtl/>
              </w:rPr>
              <w:t>אגרות</w:t>
            </w:r>
            <w:r w:rsidR="00600720" w:rsidRPr="00511159">
              <w:rPr>
                <w:sz w:val="18"/>
                <w:szCs w:val="18"/>
                <w:rtl/>
              </w:rPr>
              <w:t xml:space="preserve"> חוב וכתבי התחייבות נדחים</w:t>
            </w:r>
          </w:p>
        </w:tc>
        <w:tc>
          <w:tcPr>
            <w:tcW w:w="1018" w:type="dxa"/>
            <w:tcBorders>
              <w:top w:val="nil"/>
              <w:left w:val="nil"/>
              <w:bottom w:val="nil"/>
              <w:right w:val="nil"/>
            </w:tcBorders>
            <w:vAlign w:val="bottom"/>
          </w:tcPr>
          <w:p w14:paraId="39072F5C"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63B0A301"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0A6A3B41"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286FD095"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64A19ECC"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r>
      <w:tr w:rsidR="00600720" w:rsidRPr="00543C25" w14:paraId="4533463E" w14:textId="77777777" w:rsidTr="00912661">
        <w:trPr>
          <w:trHeight w:val="259"/>
        </w:trPr>
        <w:tc>
          <w:tcPr>
            <w:tcW w:w="1135" w:type="dxa"/>
            <w:tcBorders>
              <w:top w:val="nil"/>
              <w:left w:val="nil"/>
              <w:bottom w:val="nil"/>
              <w:right w:val="nil"/>
            </w:tcBorders>
          </w:tcPr>
          <w:p w14:paraId="23AEBA14"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01255D19"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117134AB" w14:textId="77777777" w:rsidR="00600720" w:rsidRPr="00511159" w:rsidRDefault="00600720" w:rsidP="008A0C00">
            <w:pPr>
              <w:pStyle w:val="-0"/>
              <w:rPr>
                <w:sz w:val="18"/>
                <w:szCs w:val="18"/>
                <w:rtl/>
              </w:rPr>
            </w:pPr>
            <w:r w:rsidRPr="00511159">
              <w:rPr>
                <w:rFonts w:hint="cs"/>
                <w:sz w:val="18"/>
                <w:szCs w:val="18"/>
                <w:rtl/>
              </w:rPr>
              <w:t>התחייבויות בגין מכשירים נגזרים</w:t>
            </w:r>
          </w:p>
        </w:tc>
        <w:tc>
          <w:tcPr>
            <w:tcW w:w="1018" w:type="dxa"/>
            <w:tcBorders>
              <w:top w:val="nil"/>
              <w:left w:val="nil"/>
              <w:bottom w:val="nil"/>
              <w:right w:val="nil"/>
            </w:tcBorders>
            <w:vAlign w:val="bottom"/>
          </w:tcPr>
          <w:p w14:paraId="3EFE3A85"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3A17E0B6"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411486ED"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4B88FFA6"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61C45D11" w14:textId="77777777" w:rsidR="00F32A2A" w:rsidRPr="00511159" w:rsidRDefault="00600720">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r>
      <w:tr w:rsidR="00600720" w:rsidRPr="00543C25" w14:paraId="292BB004" w14:textId="77777777" w:rsidTr="00912661">
        <w:trPr>
          <w:trHeight w:val="259"/>
        </w:trPr>
        <w:tc>
          <w:tcPr>
            <w:tcW w:w="1135" w:type="dxa"/>
            <w:tcBorders>
              <w:top w:val="nil"/>
              <w:left w:val="nil"/>
              <w:bottom w:val="nil"/>
              <w:right w:val="nil"/>
            </w:tcBorders>
          </w:tcPr>
          <w:p w14:paraId="5B1A9608"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25FAA51F"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1B9D658A" w14:textId="01C7AA9A" w:rsidR="00600720" w:rsidRPr="00511159" w:rsidRDefault="00600720" w:rsidP="008A0C00">
            <w:pPr>
              <w:pStyle w:val="-0"/>
              <w:rPr>
                <w:sz w:val="18"/>
                <w:szCs w:val="18"/>
                <w:rtl/>
              </w:rPr>
            </w:pPr>
            <w:r w:rsidRPr="00511159">
              <w:rPr>
                <w:sz w:val="18"/>
                <w:szCs w:val="18"/>
                <w:rtl/>
              </w:rPr>
              <w:t>התחייבויות פיננסיות אחרות</w:t>
            </w:r>
          </w:p>
        </w:tc>
        <w:tc>
          <w:tcPr>
            <w:tcW w:w="1018" w:type="dxa"/>
            <w:tcBorders>
              <w:top w:val="nil"/>
              <w:left w:val="nil"/>
              <w:bottom w:val="nil"/>
              <w:right w:val="nil"/>
            </w:tcBorders>
            <w:vAlign w:val="bottom"/>
          </w:tcPr>
          <w:p w14:paraId="004D195B" w14:textId="77777777" w:rsidR="00F32A2A" w:rsidRPr="00511159" w:rsidRDefault="00600720">
            <w:pPr>
              <w:pStyle w:val="-3"/>
              <w:pBdr>
                <w:bottom w:val="single" w:sz="4" w:space="1" w:color="auto"/>
              </w:pBdr>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28D270B5" w14:textId="77777777" w:rsidR="00F32A2A" w:rsidRPr="00511159" w:rsidRDefault="00600720">
            <w:pPr>
              <w:pStyle w:val="-3"/>
              <w:pBdr>
                <w:bottom w:val="single" w:sz="4" w:space="1" w:color="auto"/>
              </w:pBdr>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2C3A8F85" w14:textId="77777777" w:rsidR="00F32A2A" w:rsidRPr="00511159" w:rsidRDefault="00600720">
            <w:pPr>
              <w:pStyle w:val="-3"/>
              <w:pBdr>
                <w:bottom w:val="single" w:sz="4" w:space="1" w:color="auto"/>
              </w:pBdr>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5DA0B948" w14:textId="77777777" w:rsidR="00F32A2A" w:rsidRPr="00511159" w:rsidRDefault="00600720">
            <w:pPr>
              <w:pStyle w:val="-3"/>
              <w:pBdr>
                <w:bottom w:val="single" w:sz="4" w:space="1" w:color="auto"/>
              </w:pBdr>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79F0E26F" w14:textId="77777777" w:rsidR="00F32A2A" w:rsidRPr="00511159" w:rsidRDefault="00600720">
            <w:pPr>
              <w:pStyle w:val="-3"/>
              <w:pBdr>
                <w:bottom w:val="single" w:sz="4" w:space="1" w:color="auto"/>
              </w:pBdr>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r>
      <w:tr w:rsidR="00600720" w:rsidRPr="00543C25" w14:paraId="6D663724" w14:textId="77777777" w:rsidTr="00912661">
        <w:trPr>
          <w:trHeight w:val="259"/>
        </w:trPr>
        <w:tc>
          <w:tcPr>
            <w:tcW w:w="1135" w:type="dxa"/>
            <w:tcBorders>
              <w:top w:val="nil"/>
              <w:left w:val="nil"/>
              <w:bottom w:val="nil"/>
              <w:right w:val="nil"/>
            </w:tcBorders>
          </w:tcPr>
          <w:p w14:paraId="0C0C4E51"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4F252A21"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5FCE1060" w14:textId="77777777" w:rsidR="00600720" w:rsidRPr="00511159" w:rsidRDefault="00600720" w:rsidP="008A0C00">
            <w:pPr>
              <w:pStyle w:val="-0"/>
              <w:rPr>
                <w:sz w:val="18"/>
                <w:szCs w:val="18"/>
                <w:rtl/>
              </w:rPr>
            </w:pPr>
            <w:r w:rsidRPr="00511159">
              <w:rPr>
                <w:rFonts w:hint="cs"/>
                <w:sz w:val="18"/>
                <w:szCs w:val="18"/>
                <w:rtl/>
              </w:rPr>
              <w:t>השפעת הסכמי קיזוז</w:t>
            </w:r>
          </w:p>
        </w:tc>
        <w:tc>
          <w:tcPr>
            <w:tcW w:w="1018" w:type="dxa"/>
            <w:tcBorders>
              <w:top w:val="nil"/>
              <w:left w:val="nil"/>
              <w:bottom w:val="nil"/>
              <w:right w:val="nil"/>
            </w:tcBorders>
            <w:vAlign w:val="bottom"/>
          </w:tcPr>
          <w:p w14:paraId="7F570B49" w14:textId="77777777" w:rsidR="00F32A2A" w:rsidRPr="00511159" w:rsidRDefault="00600720">
            <w:pPr>
              <w:pStyle w:val="-120"/>
              <w:pBdr>
                <w:top w:val="none" w:sz="0" w:space="0" w:color="auto"/>
                <w:bottom w:val="single" w:sz="4" w:space="1" w:color="auto"/>
              </w:pBdr>
              <w:jc w:val="left"/>
              <w:rPr>
                <w:szCs w:val="18"/>
                <w:rtl/>
              </w:rPr>
            </w:pPr>
            <w:r w:rsidRPr="00511159">
              <w:rPr>
                <w:rFonts w:hint="cs"/>
                <w:szCs w:val="18"/>
                <w:rtl/>
              </w:rPr>
              <w:t xml:space="preserve"> </w:t>
            </w:r>
            <w:r w:rsidRPr="00511159">
              <w:rPr>
                <w:szCs w:val="18"/>
                <w:rtl/>
              </w:rPr>
              <w:t>0</w:t>
            </w:r>
          </w:p>
        </w:tc>
        <w:tc>
          <w:tcPr>
            <w:tcW w:w="1018" w:type="dxa"/>
            <w:tcBorders>
              <w:top w:val="nil"/>
              <w:left w:val="nil"/>
              <w:bottom w:val="nil"/>
              <w:right w:val="nil"/>
            </w:tcBorders>
            <w:vAlign w:val="bottom"/>
          </w:tcPr>
          <w:p w14:paraId="4958FC9C" w14:textId="77777777" w:rsidR="00F32A2A" w:rsidRPr="00511159" w:rsidRDefault="00600720">
            <w:pPr>
              <w:pStyle w:val="-120"/>
              <w:pBdr>
                <w:top w:val="none" w:sz="0" w:space="0" w:color="auto"/>
                <w:bottom w:val="single" w:sz="4" w:space="1" w:color="auto"/>
              </w:pBdr>
              <w:jc w:val="left"/>
              <w:rPr>
                <w:szCs w:val="18"/>
                <w:rtl/>
              </w:rPr>
            </w:pPr>
            <w:r w:rsidRPr="00511159">
              <w:rPr>
                <w:rFonts w:hint="cs"/>
                <w:szCs w:val="18"/>
                <w:rtl/>
              </w:rPr>
              <w:t xml:space="preserve"> -</w:t>
            </w:r>
          </w:p>
        </w:tc>
        <w:tc>
          <w:tcPr>
            <w:tcW w:w="1018" w:type="dxa"/>
            <w:tcBorders>
              <w:top w:val="nil"/>
              <w:left w:val="nil"/>
              <w:bottom w:val="nil"/>
              <w:right w:val="nil"/>
            </w:tcBorders>
            <w:vAlign w:val="bottom"/>
          </w:tcPr>
          <w:p w14:paraId="75DFC7B5" w14:textId="77777777" w:rsidR="00F32A2A" w:rsidRPr="00511159" w:rsidRDefault="00600720">
            <w:pPr>
              <w:pStyle w:val="-120"/>
              <w:pBdr>
                <w:top w:val="none" w:sz="0" w:space="0" w:color="auto"/>
                <w:bottom w:val="single" w:sz="4" w:space="1" w:color="auto"/>
              </w:pBdr>
              <w:jc w:val="left"/>
              <w:rPr>
                <w:szCs w:val="18"/>
                <w:rtl/>
              </w:rPr>
            </w:pPr>
            <w:r w:rsidRPr="00511159">
              <w:rPr>
                <w:rFonts w:hint="cs"/>
                <w:szCs w:val="18"/>
                <w:rtl/>
              </w:rPr>
              <w:t xml:space="preserve"> -</w:t>
            </w:r>
          </w:p>
        </w:tc>
        <w:tc>
          <w:tcPr>
            <w:tcW w:w="1018" w:type="dxa"/>
            <w:tcBorders>
              <w:top w:val="nil"/>
              <w:left w:val="nil"/>
              <w:bottom w:val="nil"/>
              <w:right w:val="nil"/>
            </w:tcBorders>
            <w:vAlign w:val="bottom"/>
          </w:tcPr>
          <w:p w14:paraId="24FD5F32" w14:textId="77777777" w:rsidR="00F32A2A" w:rsidRPr="00511159" w:rsidRDefault="00600720">
            <w:pPr>
              <w:pStyle w:val="-120"/>
              <w:pBdr>
                <w:top w:val="none" w:sz="0" w:space="0" w:color="auto"/>
                <w:bottom w:val="single" w:sz="4" w:space="1" w:color="auto"/>
              </w:pBdr>
              <w:jc w:val="left"/>
              <w:rPr>
                <w:szCs w:val="18"/>
                <w:rtl/>
              </w:rPr>
            </w:pPr>
            <w:r w:rsidRPr="00511159">
              <w:rPr>
                <w:rFonts w:hint="cs"/>
                <w:szCs w:val="18"/>
                <w:rtl/>
              </w:rPr>
              <w:t xml:space="preserve"> -</w:t>
            </w:r>
          </w:p>
        </w:tc>
        <w:tc>
          <w:tcPr>
            <w:tcW w:w="1018" w:type="dxa"/>
            <w:tcBorders>
              <w:top w:val="nil"/>
              <w:left w:val="nil"/>
              <w:bottom w:val="nil"/>
              <w:right w:val="nil"/>
            </w:tcBorders>
            <w:vAlign w:val="bottom"/>
          </w:tcPr>
          <w:p w14:paraId="2739BF22" w14:textId="77777777" w:rsidR="00F32A2A" w:rsidRPr="00511159" w:rsidRDefault="00600720">
            <w:pPr>
              <w:pStyle w:val="-120"/>
              <w:pBdr>
                <w:top w:val="none" w:sz="0" w:space="0" w:color="auto"/>
                <w:bottom w:val="single" w:sz="4" w:space="1" w:color="auto"/>
              </w:pBdr>
              <w:jc w:val="left"/>
              <w:rPr>
                <w:szCs w:val="18"/>
                <w:rtl/>
              </w:rPr>
            </w:pPr>
            <w:r w:rsidRPr="00511159">
              <w:rPr>
                <w:rFonts w:hint="cs"/>
                <w:szCs w:val="18"/>
                <w:rtl/>
              </w:rPr>
              <w:t xml:space="preserve"> </w:t>
            </w:r>
            <w:r w:rsidRPr="00511159">
              <w:rPr>
                <w:szCs w:val="18"/>
                <w:rtl/>
              </w:rPr>
              <w:t>0</w:t>
            </w:r>
          </w:p>
        </w:tc>
      </w:tr>
      <w:tr w:rsidR="00600720" w:rsidRPr="00543C25" w14:paraId="2719D2E5" w14:textId="77777777" w:rsidTr="00912661">
        <w:trPr>
          <w:trHeight w:val="259"/>
        </w:trPr>
        <w:tc>
          <w:tcPr>
            <w:tcW w:w="1135" w:type="dxa"/>
            <w:tcBorders>
              <w:top w:val="nil"/>
              <w:left w:val="nil"/>
              <w:bottom w:val="nil"/>
              <w:right w:val="nil"/>
            </w:tcBorders>
          </w:tcPr>
          <w:p w14:paraId="055E5E56"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1055BF45"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44976C1E" w14:textId="77777777" w:rsidR="00600720" w:rsidRPr="00511159" w:rsidRDefault="00600720" w:rsidP="008A0C00">
            <w:pPr>
              <w:pStyle w:val="-b"/>
              <w:rPr>
                <w:sz w:val="18"/>
                <w:szCs w:val="18"/>
                <w:rtl/>
              </w:rPr>
            </w:pPr>
            <w:r w:rsidRPr="00511159">
              <w:rPr>
                <w:sz w:val="18"/>
                <w:szCs w:val="18"/>
                <w:rtl/>
              </w:rPr>
              <w:t>סך כל ההתחייבויות הפיננסיות</w:t>
            </w:r>
          </w:p>
        </w:tc>
        <w:tc>
          <w:tcPr>
            <w:tcW w:w="1018" w:type="dxa"/>
            <w:tcBorders>
              <w:top w:val="nil"/>
              <w:left w:val="nil"/>
              <w:bottom w:val="nil"/>
              <w:right w:val="nil"/>
            </w:tcBorders>
            <w:vAlign w:val="bottom"/>
          </w:tcPr>
          <w:p w14:paraId="001BA1A1" w14:textId="07BA6EC1" w:rsidR="00F32A2A" w:rsidRPr="00511159" w:rsidRDefault="00600720">
            <w:pPr>
              <w:pStyle w:val="-f1"/>
              <w:pBdr>
                <w:top w:val="none" w:sz="0" w:space="0" w:color="auto"/>
              </w:pBdr>
              <w:rPr>
                <w:sz w:val="18"/>
                <w:szCs w:val="18"/>
                <w:rtl/>
              </w:rPr>
            </w:pPr>
            <w:r w:rsidRPr="00511159">
              <w:rPr>
                <w:rFonts w:hint="cs"/>
                <w:sz w:val="18"/>
                <w:szCs w:val="18"/>
                <w:rtl/>
              </w:rPr>
              <w:t>(0)</w:t>
            </w:r>
            <w:r w:rsidR="005D04BF">
              <w:rPr>
                <w:rFonts w:hint="cs"/>
                <w:sz w:val="18"/>
                <w:szCs w:val="18"/>
                <w:vertAlign w:val="superscript"/>
                <w:rtl/>
              </w:rPr>
              <w:t xml:space="preserve"> </w:t>
            </w:r>
            <w:r w:rsidR="00CF2A74" w:rsidRPr="005D04BF">
              <w:rPr>
                <w:b w:val="0"/>
                <w:bCs w:val="0"/>
                <w:sz w:val="18"/>
                <w:szCs w:val="18"/>
                <w:vertAlign w:val="superscript"/>
                <w:rtl/>
              </w:rPr>
              <w:t>(</w:t>
            </w:r>
            <w:r w:rsidR="005D04BF" w:rsidRPr="005D04BF">
              <w:rPr>
                <w:rFonts w:hint="cs"/>
                <w:b w:val="0"/>
                <w:bCs w:val="0"/>
                <w:sz w:val="18"/>
                <w:szCs w:val="18"/>
                <w:vertAlign w:val="superscript"/>
                <w:rtl/>
              </w:rPr>
              <w:t>א</w:t>
            </w:r>
            <w:r w:rsidR="00CF2A74" w:rsidRPr="005D04BF">
              <w:rPr>
                <w:b w:val="0"/>
                <w:bCs w:val="0"/>
                <w:sz w:val="18"/>
                <w:szCs w:val="18"/>
                <w:vertAlign w:val="superscript"/>
                <w:rtl/>
              </w:rPr>
              <w:t>)</w:t>
            </w:r>
          </w:p>
        </w:tc>
        <w:tc>
          <w:tcPr>
            <w:tcW w:w="1018" w:type="dxa"/>
            <w:tcBorders>
              <w:top w:val="nil"/>
              <w:left w:val="nil"/>
              <w:bottom w:val="nil"/>
              <w:right w:val="nil"/>
            </w:tcBorders>
            <w:vAlign w:val="bottom"/>
          </w:tcPr>
          <w:p w14:paraId="3F145217" w14:textId="77777777" w:rsidR="00F32A2A" w:rsidRPr="00511159" w:rsidRDefault="00600720">
            <w:pPr>
              <w:pStyle w:val="-f1"/>
              <w:pBdr>
                <w:top w:val="none" w:sz="0" w:space="0" w:color="auto"/>
              </w:pBdr>
              <w:rPr>
                <w:sz w:val="18"/>
                <w:szCs w:val="18"/>
                <w:rtl/>
              </w:rPr>
            </w:pPr>
            <w:r w:rsidRPr="00511159">
              <w:rPr>
                <w:rFonts w:hint="cs"/>
                <w:sz w:val="18"/>
                <w:szCs w:val="18"/>
                <w:rtl/>
              </w:rPr>
              <w:t>(0)</w:t>
            </w:r>
          </w:p>
        </w:tc>
        <w:tc>
          <w:tcPr>
            <w:tcW w:w="1018" w:type="dxa"/>
            <w:tcBorders>
              <w:top w:val="nil"/>
              <w:left w:val="nil"/>
              <w:bottom w:val="nil"/>
              <w:right w:val="nil"/>
            </w:tcBorders>
            <w:vAlign w:val="bottom"/>
          </w:tcPr>
          <w:p w14:paraId="099E0378" w14:textId="77777777" w:rsidR="00F32A2A" w:rsidRPr="00511159" w:rsidRDefault="00600720">
            <w:pPr>
              <w:pStyle w:val="-f1"/>
              <w:pBdr>
                <w:top w:val="none" w:sz="0" w:space="0" w:color="auto"/>
              </w:pBdr>
              <w:rPr>
                <w:sz w:val="18"/>
                <w:szCs w:val="18"/>
                <w:rtl/>
              </w:rPr>
            </w:pPr>
            <w:r w:rsidRPr="00511159">
              <w:rPr>
                <w:rFonts w:hint="cs"/>
                <w:sz w:val="18"/>
                <w:szCs w:val="18"/>
                <w:rtl/>
              </w:rPr>
              <w:t>(0)</w:t>
            </w:r>
          </w:p>
        </w:tc>
        <w:tc>
          <w:tcPr>
            <w:tcW w:w="1018" w:type="dxa"/>
            <w:tcBorders>
              <w:top w:val="nil"/>
              <w:left w:val="nil"/>
              <w:bottom w:val="nil"/>
              <w:right w:val="nil"/>
            </w:tcBorders>
            <w:vAlign w:val="bottom"/>
          </w:tcPr>
          <w:p w14:paraId="0DF7BC8F" w14:textId="77777777" w:rsidR="00F32A2A" w:rsidRPr="00511159" w:rsidRDefault="00600720">
            <w:pPr>
              <w:pStyle w:val="-f1"/>
              <w:pBdr>
                <w:top w:val="none" w:sz="0" w:space="0" w:color="auto"/>
              </w:pBdr>
              <w:rPr>
                <w:sz w:val="18"/>
                <w:szCs w:val="18"/>
                <w:rtl/>
              </w:rPr>
            </w:pPr>
            <w:r w:rsidRPr="00511159">
              <w:rPr>
                <w:rFonts w:hint="cs"/>
                <w:sz w:val="18"/>
                <w:szCs w:val="18"/>
                <w:rtl/>
              </w:rPr>
              <w:t>(0)</w:t>
            </w:r>
          </w:p>
        </w:tc>
        <w:tc>
          <w:tcPr>
            <w:tcW w:w="1018" w:type="dxa"/>
            <w:tcBorders>
              <w:top w:val="nil"/>
              <w:left w:val="nil"/>
              <w:bottom w:val="nil"/>
              <w:right w:val="nil"/>
            </w:tcBorders>
            <w:vAlign w:val="bottom"/>
          </w:tcPr>
          <w:p w14:paraId="740962A2" w14:textId="77777777" w:rsidR="00F32A2A" w:rsidRPr="00511159" w:rsidRDefault="00600720">
            <w:pPr>
              <w:pStyle w:val="-f1"/>
              <w:pBdr>
                <w:top w:val="none" w:sz="0" w:space="0" w:color="auto"/>
              </w:pBdr>
              <w:rPr>
                <w:sz w:val="18"/>
                <w:szCs w:val="18"/>
                <w:rtl/>
              </w:rPr>
            </w:pPr>
            <w:r w:rsidRPr="00511159">
              <w:rPr>
                <w:rFonts w:hint="cs"/>
                <w:sz w:val="18"/>
                <w:szCs w:val="18"/>
                <w:rtl/>
              </w:rPr>
              <w:t>(0)</w:t>
            </w:r>
          </w:p>
        </w:tc>
      </w:tr>
      <w:tr w:rsidR="00600720" w:rsidRPr="00543C25" w14:paraId="6EEF5E41" w14:textId="77777777" w:rsidTr="00912661">
        <w:trPr>
          <w:trHeight w:hRule="exact" w:val="144"/>
        </w:trPr>
        <w:tc>
          <w:tcPr>
            <w:tcW w:w="1135" w:type="dxa"/>
            <w:tcBorders>
              <w:top w:val="nil"/>
              <w:left w:val="nil"/>
              <w:bottom w:val="nil"/>
              <w:right w:val="nil"/>
            </w:tcBorders>
          </w:tcPr>
          <w:p w14:paraId="24BC605A"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69C92945"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65412E55" w14:textId="77777777" w:rsidR="00600720" w:rsidRPr="00511159" w:rsidRDefault="00600720" w:rsidP="008A0C00">
            <w:pPr>
              <w:pStyle w:val="-0"/>
              <w:rPr>
                <w:sz w:val="18"/>
                <w:szCs w:val="18"/>
                <w:rtl/>
              </w:rPr>
            </w:pPr>
          </w:p>
        </w:tc>
        <w:tc>
          <w:tcPr>
            <w:tcW w:w="1018" w:type="dxa"/>
            <w:tcBorders>
              <w:top w:val="nil"/>
              <w:left w:val="nil"/>
              <w:bottom w:val="nil"/>
              <w:right w:val="nil"/>
            </w:tcBorders>
          </w:tcPr>
          <w:p w14:paraId="109B4CCC" w14:textId="77777777" w:rsidR="00F32A2A" w:rsidRPr="00511159" w:rsidRDefault="00F32A2A">
            <w:pPr>
              <w:pStyle w:val="-12"/>
              <w:pBdr>
                <w:top w:val="none" w:sz="0" w:space="0" w:color="auto"/>
              </w:pBdr>
              <w:rPr>
                <w:sz w:val="18"/>
                <w:szCs w:val="18"/>
                <w:rtl/>
              </w:rPr>
            </w:pPr>
          </w:p>
        </w:tc>
        <w:tc>
          <w:tcPr>
            <w:tcW w:w="1018" w:type="dxa"/>
            <w:tcBorders>
              <w:top w:val="nil"/>
              <w:left w:val="nil"/>
              <w:bottom w:val="nil"/>
              <w:right w:val="nil"/>
            </w:tcBorders>
          </w:tcPr>
          <w:p w14:paraId="30DDE063" w14:textId="77777777" w:rsidR="00F32A2A" w:rsidRPr="00511159" w:rsidRDefault="00F32A2A">
            <w:pPr>
              <w:pStyle w:val="-12"/>
              <w:pBdr>
                <w:top w:val="none" w:sz="0" w:space="0" w:color="auto"/>
              </w:pBdr>
              <w:rPr>
                <w:sz w:val="18"/>
                <w:szCs w:val="18"/>
                <w:rtl/>
              </w:rPr>
            </w:pPr>
          </w:p>
        </w:tc>
        <w:tc>
          <w:tcPr>
            <w:tcW w:w="1018" w:type="dxa"/>
            <w:tcBorders>
              <w:top w:val="nil"/>
              <w:left w:val="nil"/>
              <w:bottom w:val="nil"/>
              <w:right w:val="nil"/>
            </w:tcBorders>
          </w:tcPr>
          <w:p w14:paraId="4AF60B3C" w14:textId="77777777" w:rsidR="00F32A2A" w:rsidRPr="00511159" w:rsidRDefault="00F32A2A">
            <w:pPr>
              <w:pStyle w:val="-12"/>
              <w:pBdr>
                <w:top w:val="none" w:sz="0" w:space="0" w:color="auto"/>
              </w:pBdr>
              <w:rPr>
                <w:sz w:val="18"/>
                <w:szCs w:val="18"/>
                <w:rtl/>
              </w:rPr>
            </w:pPr>
          </w:p>
        </w:tc>
        <w:tc>
          <w:tcPr>
            <w:tcW w:w="1018" w:type="dxa"/>
            <w:tcBorders>
              <w:top w:val="nil"/>
              <w:left w:val="nil"/>
              <w:bottom w:val="nil"/>
              <w:right w:val="nil"/>
            </w:tcBorders>
          </w:tcPr>
          <w:p w14:paraId="5C19CB65" w14:textId="77777777" w:rsidR="00F32A2A" w:rsidRPr="00511159" w:rsidRDefault="00F32A2A">
            <w:pPr>
              <w:pStyle w:val="-12"/>
              <w:pBdr>
                <w:top w:val="none" w:sz="0" w:space="0" w:color="auto"/>
              </w:pBdr>
              <w:rPr>
                <w:sz w:val="18"/>
                <w:szCs w:val="18"/>
                <w:rtl/>
              </w:rPr>
            </w:pPr>
          </w:p>
        </w:tc>
        <w:tc>
          <w:tcPr>
            <w:tcW w:w="1018" w:type="dxa"/>
            <w:tcBorders>
              <w:top w:val="nil"/>
              <w:left w:val="nil"/>
              <w:bottom w:val="nil"/>
              <w:right w:val="nil"/>
            </w:tcBorders>
          </w:tcPr>
          <w:p w14:paraId="649CD049" w14:textId="77777777" w:rsidR="00F32A2A" w:rsidRPr="00511159" w:rsidRDefault="00F32A2A">
            <w:pPr>
              <w:pStyle w:val="-12"/>
              <w:pBdr>
                <w:top w:val="none" w:sz="0" w:space="0" w:color="auto"/>
              </w:pBdr>
              <w:rPr>
                <w:sz w:val="18"/>
                <w:szCs w:val="18"/>
                <w:rtl/>
              </w:rPr>
            </w:pPr>
          </w:p>
        </w:tc>
      </w:tr>
      <w:tr w:rsidR="00600720" w:rsidRPr="00543C25" w14:paraId="00B36510" w14:textId="77777777" w:rsidTr="00912661">
        <w:trPr>
          <w:trHeight w:val="259"/>
        </w:trPr>
        <w:tc>
          <w:tcPr>
            <w:tcW w:w="1135" w:type="dxa"/>
            <w:tcBorders>
              <w:top w:val="nil"/>
              <w:left w:val="nil"/>
              <w:bottom w:val="nil"/>
              <w:right w:val="nil"/>
            </w:tcBorders>
          </w:tcPr>
          <w:p w14:paraId="6FFFC65E"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4269ED93"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center"/>
          </w:tcPr>
          <w:p w14:paraId="74CBE9C1" w14:textId="77777777" w:rsidR="00600720" w:rsidRPr="00511159" w:rsidRDefault="00600720" w:rsidP="008A0C00">
            <w:pPr>
              <w:pStyle w:val="-f"/>
              <w:rPr>
                <w:sz w:val="18"/>
                <w:szCs w:val="18"/>
                <w:rtl/>
              </w:rPr>
            </w:pPr>
            <w:r w:rsidRPr="00511159">
              <w:rPr>
                <w:sz w:val="18"/>
                <w:szCs w:val="18"/>
                <w:rtl/>
              </w:rPr>
              <w:t>מכשירים פיננסיים חוץ מאזניים</w:t>
            </w:r>
          </w:p>
        </w:tc>
        <w:tc>
          <w:tcPr>
            <w:tcW w:w="1018" w:type="dxa"/>
            <w:tcBorders>
              <w:top w:val="nil"/>
              <w:left w:val="nil"/>
              <w:bottom w:val="nil"/>
              <w:right w:val="nil"/>
            </w:tcBorders>
            <w:vAlign w:val="bottom"/>
          </w:tcPr>
          <w:p w14:paraId="4DD38AA5" w14:textId="77777777" w:rsidR="00F32A2A" w:rsidRPr="00511159" w:rsidRDefault="00F32A2A">
            <w:pPr>
              <w:pStyle w:val="-0"/>
              <w:rPr>
                <w:sz w:val="18"/>
                <w:szCs w:val="18"/>
                <w:rtl/>
              </w:rPr>
            </w:pPr>
          </w:p>
        </w:tc>
        <w:tc>
          <w:tcPr>
            <w:tcW w:w="1018" w:type="dxa"/>
            <w:tcBorders>
              <w:top w:val="nil"/>
              <w:left w:val="nil"/>
              <w:bottom w:val="nil"/>
              <w:right w:val="nil"/>
            </w:tcBorders>
            <w:vAlign w:val="bottom"/>
          </w:tcPr>
          <w:p w14:paraId="477ACDC2" w14:textId="77777777" w:rsidR="00F32A2A" w:rsidRPr="00511159" w:rsidRDefault="00F32A2A">
            <w:pPr>
              <w:pStyle w:val="-0"/>
              <w:rPr>
                <w:sz w:val="18"/>
                <w:szCs w:val="18"/>
                <w:rtl/>
              </w:rPr>
            </w:pPr>
          </w:p>
        </w:tc>
        <w:tc>
          <w:tcPr>
            <w:tcW w:w="1018" w:type="dxa"/>
            <w:tcBorders>
              <w:top w:val="nil"/>
              <w:left w:val="nil"/>
              <w:bottom w:val="nil"/>
              <w:right w:val="nil"/>
            </w:tcBorders>
            <w:vAlign w:val="bottom"/>
          </w:tcPr>
          <w:p w14:paraId="4D3461F1" w14:textId="77777777" w:rsidR="00F32A2A" w:rsidRPr="00511159" w:rsidRDefault="00F32A2A">
            <w:pPr>
              <w:pStyle w:val="-0"/>
              <w:rPr>
                <w:sz w:val="18"/>
                <w:szCs w:val="18"/>
                <w:rtl/>
              </w:rPr>
            </w:pPr>
          </w:p>
        </w:tc>
        <w:tc>
          <w:tcPr>
            <w:tcW w:w="1018" w:type="dxa"/>
            <w:tcBorders>
              <w:top w:val="nil"/>
              <w:left w:val="nil"/>
              <w:bottom w:val="nil"/>
              <w:right w:val="nil"/>
            </w:tcBorders>
            <w:vAlign w:val="bottom"/>
          </w:tcPr>
          <w:p w14:paraId="6D9E4BEA" w14:textId="77777777" w:rsidR="00F32A2A" w:rsidRPr="00511159" w:rsidRDefault="00F32A2A">
            <w:pPr>
              <w:pStyle w:val="-0"/>
              <w:rPr>
                <w:sz w:val="18"/>
                <w:szCs w:val="18"/>
                <w:rtl/>
              </w:rPr>
            </w:pPr>
          </w:p>
        </w:tc>
        <w:tc>
          <w:tcPr>
            <w:tcW w:w="1018" w:type="dxa"/>
            <w:tcBorders>
              <w:top w:val="nil"/>
              <w:left w:val="nil"/>
              <w:bottom w:val="nil"/>
              <w:right w:val="nil"/>
            </w:tcBorders>
            <w:vAlign w:val="bottom"/>
          </w:tcPr>
          <w:p w14:paraId="6CD34964" w14:textId="77777777" w:rsidR="00F32A2A" w:rsidRPr="00511159" w:rsidRDefault="00F32A2A">
            <w:pPr>
              <w:pStyle w:val="-0"/>
              <w:rPr>
                <w:sz w:val="18"/>
                <w:szCs w:val="18"/>
                <w:rtl/>
              </w:rPr>
            </w:pPr>
          </w:p>
        </w:tc>
      </w:tr>
      <w:tr w:rsidR="00600720" w:rsidRPr="00543C25" w14:paraId="021A4D04" w14:textId="77777777" w:rsidTr="00912661">
        <w:trPr>
          <w:trHeight w:val="259"/>
        </w:trPr>
        <w:tc>
          <w:tcPr>
            <w:tcW w:w="1135" w:type="dxa"/>
            <w:tcBorders>
              <w:top w:val="nil"/>
              <w:left w:val="nil"/>
              <w:bottom w:val="nil"/>
              <w:right w:val="nil"/>
            </w:tcBorders>
          </w:tcPr>
          <w:p w14:paraId="7D38C14B"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055C5A14"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42F86BA3" w14:textId="77777777" w:rsidR="00600720" w:rsidRPr="00511159" w:rsidRDefault="00600720" w:rsidP="008A0C00">
            <w:pPr>
              <w:pStyle w:val="-0"/>
              <w:rPr>
                <w:sz w:val="18"/>
                <w:szCs w:val="18"/>
                <w:rtl/>
              </w:rPr>
            </w:pPr>
            <w:r w:rsidRPr="00511159">
              <w:rPr>
                <w:sz w:val="18"/>
                <w:szCs w:val="18"/>
                <w:rtl/>
              </w:rPr>
              <w:t>עסקאות בהן היתרה מייצגת סיכון אשראי</w:t>
            </w:r>
          </w:p>
        </w:tc>
        <w:tc>
          <w:tcPr>
            <w:tcW w:w="1018" w:type="dxa"/>
            <w:tcBorders>
              <w:top w:val="nil"/>
              <w:left w:val="nil"/>
              <w:bottom w:val="nil"/>
              <w:right w:val="nil"/>
            </w:tcBorders>
            <w:vAlign w:val="bottom"/>
          </w:tcPr>
          <w:p w14:paraId="4F4612CC"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4E4BF9FE"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53C275F7"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663465C3"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0330CC4D"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r>
      <w:tr w:rsidR="00600720" w:rsidRPr="00543C25" w14:paraId="000BE235" w14:textId="77777777" w:rsidTr="00912661">
        <w:trPr>
          <w:trHeight w:val="259"/>
        </w:trPr>
        <w:tc>
          <w:tcPr>
            <w:tcW w:w="1135" w:type="dxa"/>
            <w:tcBorders>
              <w:top w:val="nil"/>
              <w:left w:val="nil"/>
              <w:bottom w:val="nil"/>
              <w:right w:val="nil"/>
            </w:tcBorders>
          </w:tcPr>
          <w:p w14:paraId="460937EB" w14:textId="77777777" w:rsidR="00600720" w:rsidRPr="00377536" w:rsidRDefault="00600720" w:rsidP="008A0C00">
            <w:pPr>
              <w:pStyle w:val="-0"/>
              <w:rPr>
                <w:rtl/>
              </w:rPr>
            </w:pPr>
          </w:p>
        </w:tc>
        <w:tc>
          <w:tcPr>
            <w:tcW w:w="425" w:type="dxa"/>
            <w:tcBorders>
              <w:top w:val="nil"/>
              <w:left w:val="nil"/>
              <w:bottom w:val="nil"/>
              <w:right w:val="nil"/>
            </w:tcBorders>
            <w:shd w:val="clear" w:color="auto" w:fill="auto"/>
            <w:vAlign w:val="bottom"/>
          </w:tcPr>
          <w:p w14:paraId="6AB31C50" w14:textId="77777777" w:rsidR="00600720" w:rsidRPr="00377536" w:rsidRDefault="00600720" w:rsidP="008A0C00">
            <w:pPr>
              <w:pStyle w:val="-0"/>
              <w:rPr>
                <w:rtl/>
              </w:rPr>
            </w:pPr>
          </w:p>
        </w:tc>
        <w:tc>
          <w:tcPr>
            <w:tcW w:w="3557" w:type="dxa"/>
            <w:tcBorders>
              <w:top w:val="nil"/>
              <w:left w:val="nil"/>
              <w:bottom w:val="nil"/>
              <w:right w:val="nil"/>
            </w:tcBorders>
            <w:shd w:val="clear" w:color="auto" w:fill="auto"/>
            <w:vAlign w:val="bottom"/>
          </w:tcPr>
          <w:p w14:paraId="74521B7A" w14:textId="77777777" w:rsidR="00600720" w:rsidRPr="00511159" w:rsidRDefault="00600720" w:rsidP="008A0C00">
            <w:pPr>
              <w:pStyle w:val="-0"/>
              <w:rPr>
                <w:sz w:val="18"/>
                <w:szCs w:val="18"/>
                <w:rtl/>
              </w:rPr>
            </w:pPr>
            <w:r w:rsidRPr="00511159">
              <w:rPr>
                <w:sz w:val="18"/>
                <w:szCs w:val="18"/>
                <w:rtl/>
              </w:rPr>
              <w:t>התחייבויות תלויות והתקשרויות מיוחדות אחרות</w:t>
            </w:r>
          </w:p>
        </w:tc>
        <w:tc>
          <w:tcPr>
            <w:tcW w:w="1018" w:type="dxa"/>
            <w:tcBorders>
              <w:top w:val="nil"/>
              <w:left w:val="nil"/>
              <w:bottom w:val="nil"/>
              <w:right w:val="nil"/>
            </w:tcBorders>
            <w:vAlign w:val="bottom"/>
          </w:tcPr>
          <w:p w14:paraId="0CF4FF2D"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2DEE0B89"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203D445D"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69746319"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310AA294" w14:textId="77777777" w:rsidR="00F32A2A" w:rsidRPr="00511159" w:rsidRDefault="00600720">
            <w:pPr>
              <w:pStyle w:val="-3"/>
              <w:rPr>
                <w:sz w:val="18"/>
                <w:szCs w:val="18"/>
                <w:rtl/>
              </w:rPr>
            </w:pPr>
            <w:r w:rsidRPr="00511159">
              <w:rPr>
                <w:rFonts w:hint="cs"/>
                <w:sz w:val="18"/>
                <w:szCs w:val="18"/>
                <w:rtl/>
              </w:rPr>
              <w:t xml:space="preserve"> </w:t>
            </w:r>
            <w:r w:rsidRPr="00511159">
              <w:rPr>
                <w:sz w:val="18"/>
                <w:szCs w:val="18"/>
                <w:rtl/>
              </w:rPr>
              <w:t>0</w:t>
            </w:r>
          </w:p>
        </w:tc>
      </w:tr>
    </w:tbl>
    <w:p w14:paraId="62F1C7F2" w14:textId="0FE717B6" w:rsidR="00600720" w:rsidRDefault="00600720" w:rsidP="00600720">
      <w:pPr>
        <w:rPr>
          <w:rtl/>
        </w:rPr>
      </w:pPr>
    </w:p>
    <w:p w14:paraId="2F856DC5" w14:textId="77777777" w:rsidR="00666DC4" w:rsidRDefault="00666DC4" w:rsidP="00600720">
      <w:pPr>
        <w:rPr>
          <w:rtl/>
        </w:rPr>
      </w:pPr>
    </w:p>
    <w:tbl>
      <w:tblPr>
        <w:bidiVisual/>
        <w:tblW w:w="5000" w:type="pct"/>
        <w:tblLook w:val="01E0" w:firstRow="1" w:lastRow="1" w:firstColumn="1" w:lastColumn="1" w:noHBand="0" w:noVBand="0"/>
      </w:tblPr>
      <w:tblGrid>
        <w:gridCol w:w="1135"/>
        <w:gridCol w:w="425"/>
        <w:gridCol w:w="8647"/>
      </w:tblGrid>
      <w:tr w:rsidR="005D04BF" w:rsidRPr="00543C25" w14:paraId="3BAB6ABF" w14:textId="77777777" w:rsidTr="00912661">
        <w:trPr>
          <w:trHeight w:val="245"/>
        </w:trPr>
        <w:tc>
          <w:tcPr>
            <w:tcW w:w="1135" w:type="dxa"/>
          </w:tcPr>
          <w:p w14:paraId="6F1FFDD7" w14:textId="77777777" w:rsidR="005D04BF" w:rsidRPr="00864DF5" w:rsidRDefault="005D04BF" w:rsidP="00400DD1">
            <w:pPr>
              <w:spacing w:line="240" w:lineRule="exact"/>
              <w:ind w:right="-432"/>
              <w:rPr>
                <w:b/>
                <w:bCs/>
                <w:sz w:val="18"/>
                <w:szCs w:val="18"/>
                <w:rtl/>
              </w:rPr>
            </w:pPr>
          </w:p>
        </w:tc>
        <w:tc>
          <w:tcPr>
            <w:tcW w:w="425" w:type="dxa"/>
          </w:tcPr>
          <w:p w14:paraId="395A17A5" w14:textId="77777777" w:rsidR="005D04BF" w:rsidRPr="00864DF5" w:rsidRDefault="005D04BF" w:rsidP="00400DD1">
            <w:pPr>
              <w:spacing w:line="240" w:lineRule="exact"/>
              <w:rPr>
                <w:b/>
                <w:bCs/>
                <w:sz w:val="18"/>
                <w:szCs w:val="18"/>
                <w:rtl/>
              </w:rPr>
            </w:pPr>
          </w:p>
        </w:tc>
        <w:tc>
          <w:tcPr>
            <w:tcW w:w="8647" w:type="dxa"/>
          </w:tcPr>
          <w:p w14:paraId="5049D634" w14:textId="57853146" w:rsidR="005D04BF" w:rsidRPr="00DF0049" w:rsidRDefault="005D04BF" w:rsidP="005D04BF">
            <w:pPr>
              <w:pStyle w:val="-a"/>
              <w:tabs>
                <w:tab w:val="left" w:pos="446"/>
              </w:tabs>
              <w:spacing w:after="120" w:line="240" w:lineRule="exact"/>
              <w:ind w:left="267" w:hanging="267"/>
              <w:jc w:val="left"/>
              <w:rPr>
                <w:rtl/>
              </w:rPr>
            </w:pPr>
            <w:r w:rsidRPr="005D04BF">
              <w:rPr>
                <w:rFonts w:hint="cs"/>
                <w:rtl/>
              </w:rPr>
              <w:t>(א</w:t>
            </w:r>
            <w:r>
              <w:rPr>
                <w:rFonts w:hint="cs"/>
                <w:rtl/>
              </w:rPr>
              <w:t xml:space="preserve">) </w:t>
            </w:r>
            <w:r w:rsidRPr="00DF0049">
              <w:rPr>
                <w:rFonts w:hint="cs"/>
                <w:rtl/>
              </w:rPr>
              <w:t>מזה: נכסים פיננסיים והתחייבויות פיננסיות בסך ___ מיליוני ש"ח ובסך ___ מיליוני ש"ח, בהתאמה, אשר היתרה במאזן שלהם זהה לשווי הוגן (מכשירים המוצגים במאזן לפי שווי הוגן</w:t>
            </w:r>
            <w:r w:rsidRPr="00666DC4">
              <w:rPr>
                <w:rFonts w:hint="cs"/>
                <w:rtl/>
              </w:rPr>
              <w:t>) [אם רלוונטי:</w:t>
            </w:r>
            <w:r w:rsidRPr="00DF0049">
              <w:rPr>
                <w:rFonts w:hint="cs"/>
                <w:rtl/>
              </w:rPr>
              <w:t xml:space="preserve"> או מהווה קירוב לשווי הוגן (מכשירים לתקופה מקורית של עד 3 חודשים לגביהם נעשה שימוש ביתרה במאזן כקירוב לשווי הוגן)]</w:t>
            </w:r>
            <w:r w:rsidRPr="00DF0049">
              <w:rPr>
                <w:rtl/>
              </w:rPr>
              <w:t>.</w:t>
            </w:r>
            <w:r w:rsidRPr="00DF0049">
              <w:rPr>
                <w:rFonts w:hint="cs"/>
                <w:rtl/>
              </w:rPr>
              <w:t xml:space="preserve"> </w:t>
            </w:r>
          </w:p>
        </w:tc>
      </w:tr>
      <w:tr w:rsidR="005D04BF" w:rsidRPr="00543C25" w14:paraId="51774007" w14:textId="77777777" w:rsidTr="00912661">
        <w:trPr>
          <w:trHeight w:val="245"/>
        </w:trPr>
        <w:tc>
          <w:tcPr>
            <w:tcW w:w="1135" w:type="dxa"/>
          </w:tcPr>
          <w:p w14:paraId="15DF408D" w14:textId="77777777" w:rsidR="005D04BF" w:rsidRPr="00864DF5" w:rsidRDefault="005D04BF" w:rsidP="00400DD1">
            <w:pPr>
              <w:spacing w:line="240" w:lineRule="exact"/>
              <w:ind w:right="-432"/>
              <w:rPr>
                <w:b/>
                <w:bCs/>
                <w:sz w:val="18"/>
                <w:szCs w:val="18"/>
                <w:rtl/>
              </w:rPr>
            </w:pPr>
          </w:p>
        </w:tc>
        <w:tc>
          <w:tcPr>
            <w:tcW w:w="425" w:type="dxa"/>
          </w:tcPr>
          <w:p w14:paraId="30BC1BD1" w14:textId="77777777" w:rsidR="005D04BF" w:rsidRPr="00864DF5" w:rsidRDefault="005D04BF" w:rsidP="00400DD1">
            <w:pPr>
              <w:spacing w:line="240" w:lineRule="exact"/>
              <w:rPr>
                <w:b/>
                <w:bCs/>
                <w:sz w:val="18"/>
                <w:szCs w:val="18"/>
                <w:rtl/>
              </w:rPr>
            </w:pPr>
          </w:p>
        </w:tc>
        <w:tc>
          <w:tcPr>
            <w:tcW w:w="8647" w:type="dxa"/>
          </w:tcPr>
          <w:p w14:paraId="3B83FC6A" w14:textId="1C6936DA" w:rsidR="005D04BF" w:rsidRPr="00DF0049" w:rsidRDefault="005D04BF" w:rsidP="005D04BF">
            <w:pPr>
              <w:pStyle w:val="-a"/>
              <w:tabs>
                <w:tab w:val="left" w:pos="446"/>
              </w:tabs>
              <w:spacing w:after="120" w:line="240" w:lineRule="exact"/>
              <w:ind w:left="267" w:hanging="267"/>
              <w:jc w:val="left"/>
              <w:rPr>
                <w:rtl/>
              </w:rPr>
            </w:pPr>
            <w:r w:rsidRPr="00DF0049">
              <w:rPr>
                <w:rFonts w:hint="cs"/>
                <w:rtl/>
              </w:rPr>
              <w:t>(</w:t>
            </w:r>
            <w:r>
              <w:rPr>
                <w:rFonts w:hint="cs"/>
                <w:rtl/>
              </w:rPr>
              <w:t>ב</w:t>
            </w:r>
            <w:r w:rsidRPr="00DF0049">
              <w:rPr>
                <w:rFonts w:hint="cs"/>
                <w:rtl/>
              </w:rPr>
              <w:t>)</w:t>
            </w:r>
            <w:r w:rsidRPr="00DF0049">
              <w:rPr>
                <w:rtl/>
              </w:rPr>
              <w:tab/>
            </w:r>
            <w:r w:rsidRPr="00DF0049">
              <w:rPr>
                <w:rFonts w:hint="cs"/>
                <w:rtl/>
              </w:rPr>
              <w:t xml:space="preserve">לפירוט נוסף על יתרה במאזן ושווי הוגן של ניירות ערך ראה </w:t>
            </w:r>
            <w:r w:rsidRPr="00DF0049">
              <w:rPr>
                <w:rFonts w:hint="eastAsia"/>
                <w:rtl/>
              </w:rPr>
              <w:t>ביאור</w:t>
            </w:r>
            <w:r w:rsidRPr="00DF0049">
              <w:rPr>
                <w:rtl/>
              </w:rPr>
              <w:t xml:space="preserve"> </w:t>
            </w:r>
            <w:r w:rsidRPr="00DF0049">
              <w:rPr>
                <w:rFonts w:hint="cs"/>
                <w:rtl/>
              </w:rPr>
              <w:t>5</w:t>
            </w:r>
            <w:r w:rsidRPr="00DF0049">
              <w:rPr>
                <w:rtl/>
              </w:rPr>
              <w:t xml:space="preserve"> </w:t>
            </w:r>
            <w:r w:rsidRPr="00DF0049">
              <w:rPr>
                <w:rFonts w:hint="eastAsia"/>
                <w:i/>
                <w:iCs/>
                <w:rtl/>
              </w:rPr>
              <w:t>ניירות</w:t>
            </w:r>
            <w:r w:rsidRPr="00DF0049">
              <w:rPr>
                <w:i/>
                <w:iCs/>
                <w:rtl/>
              </w:rPr>
              <w:t xml:space="preserve"> </w:t>
            </w:r>
            <w:r w:rsidRPr="00DF0049">
              <w:rPr>
                <w:rFonts w:hint="eastAsia"/>
                <w:i/>
                <w:iCs/>
                <w:rtl/>
              </w:rPr>
              <w:t>ערך</w:t>
            </w:r>
            <w:r w:rsidRPr="00DF0049">
              <w:rPr>
                <w:rtl/>
              </w:rPr>
              <w:t>.</w:t>
            </w:r>
          </w:p>
        </w:tc>
      </w:tr>
      <w:tr w:rsidR="005D04BF" w:rsidRPr="00543C25" w14:paraId="431248C9" w14:textId="77777777" w:rsidTr="00912661">
        <w:trPr>
          <w:trHeight w:val="245"/>
        </w:trPr>
        <w:tc>
          <w:tcPr>
            <w:tcW w:w="1135" w:type="dxa"/>
          </w:tcPr>
          <w:p w14:paraId="66E03E5B" w14:textId="77777777" w:rsidR="005D04BF" w:rsidRPr="00864DF5" w:rsidRDefault="005D04BF" w:rsidP="00400DD1">
            <w:pPr>
              <w:spacing w:line="240" w:lineRule="exact"/>
              <w:ind w:right="-432"/>
              <w:rPr>
                <w:b/>
                <w:bCs/>
                <w:sz w:val="18"/>
                <w:szCs w:val="18"/>
                <w:rtl/>
              </w:rPr>
            </w:pPr>
          </w:p>
        </w:tc>
        <w:tc>
          <w:tcPr>
            <w:tcW w:w="425" w:type="dxa"/>
          </w:tcPr>
          <w:p w14:paraId="43C525E4" w14:textId="77777777" w:rsidR="005D04BF" w:rsidRPr="00864DF5" w:rsidRDefault="005D04BF" w:rsidP="00400DD1">
            <w:pPr>
              <w:spacing w:line="240" w:lineRule="exact"/>
              <w:rPr>
                <w:b/>
                <w:bCs/>
                <w:sz w:val="18"/>
                <w:szCs w:val="18"/>
                <w:rtl/>
              </w:rPr>
            </w:pPr>
          </w:p>
        </w:tc>
        <w:tc>
          <w:tcPr>
            <w:tcW w:w="8647" w:type="dxa"/>
          </w:tcPr>
          <w:p w14:paraId="50B4CC66" w14:textId="70D7F3C3" w:rsidR="005D04BF" w:rsidRPr="00DF0049" w:rsidRDefault="005D04BF" w:rsidP="005D04BF">
            <w:pPr>
              <w:pStyle w:val="-a"/>
              <w:tabs>
                <w:tab w:val="left" w:pos="446"/>
              </w:tabs>
              <w:spacing w:after="120" w:line="240" w:lineRule="exact"/>
              <w:ind w:left="267" w:hanging="267"/>
              <w:jc w:val="left"/>
              <w:rPr>
                <w:color w:val="000000"/>
                <w:rtl/>
                <w:lang w:eastAsia="he-IL"/>
              </w:rPr>
            </w:pPr>
            <w:r w:rsidRPr="005D04BF">
              <w:rPr>
                <w:rFonts w:hint="cs"/>
                <w:rtl/>
              </w:rPr>
              <w:t>(ג</w:t>
            </w:r>
            <w:r>
              <w:rPr>
                <w:rFonts w:hint="cs"/>
                <w:rtl/>
              </w:rPr>
              <w:t xml:space="preserve">) </w:t>
            </w:r>
            <w:r w:rsidRPr="00DF0049">
              <w:rPr>
                <w:rFonts w:hint="cs"/>
                <w:rtl/>
              </w:rPr>
              <w:t>למידע נוסף על מכשירים פיננסיים שנמדדו בשווי הוגן על בסיס חוזר ונשנה ועל בסיס שאינו חוזר ונשנה, ראה ביאורים 14ב-14ד.</w:t>
            </w:r>
          </w:p>
        </w:tc>
      </w:tr>
    </w:tbl>
    <w:p w14:paraId="70906DB2" w14:textId="77777777" w:rsidR="00600720" w:rsidRPr="005D04BF" w:rsidRDefault="00600720" w:rsidP="00600720">
      <w:pPr>
        <w:rPr>
          <w:rtl/>
        </w:rPr>
      </w:pPr>
    </w:p>
    <w:p w14:paraId="1C0DD21C" w14:textId="77777777" w:rsidR="00600720" w:rsidRPr="004705C2" w:rsidRDefault="00600720" w:rsidP="00600720">
      <w:pPr>
        <w:rPr>
          <w:rtl/>
        </w:rPr>
      </w:pPr>
    </w:p>
    <w:p w14:paraId="59422E26" w14:textId="77777777" w:rsidR="00600720" w:rsidRDefault="00600720" w:rsidP="00600720">
      <w:pPr>
        <w:rPr>
          <w:rtl/>
        </w:rPr>
      </w:pPr>
    </w:p>
    <w:p w14:paraId="5AF14790" w14:textId="77777777" w:rsidR="00ED5482" w:rsidRDefault="00ED5482" w:rsidP="00600720">
      <w:pPr>
        <w:bidi w:val="0"/>
        <w:jc w:val="left"/>
        <w:sectPr w:rsidR="00ED5482" w:rsidSect="00587121">
          <w:footnotePr>
            <w:numRestart w:val="eachPage"/>
          </w:footnotePr>
          <w:pgSz w:w="11909" w:h="16834" w:code="9"/>
          <w:pgMar w:top="851" w:right="851" w:bottom="851" w:left="851" w:header="720" w:footer="720" w:gutter="0"/>
          <w:cols w:space="720"/>
          <w:bidi/>
          <w:rtlGutter/>
          <w:docGrid w:linePitch="360"/>
        </w:sectPr>
      </w:pPr>
    </w:p>
    <w:tbl>
      <w:tblPr>
        <w:bidiVisual/>
        <w:tblW w:w="5000" w:type="pct"/>
        <w:tblLook w:val="04A0" w:firstRow="1" w:lastRow="0" w:firstColumn="1" w:lastColumn="0" w:noHBand="0" w:noVBand="1"/>
      </w:tblPr>
      <w:tblGrid>
        <w:gridCol w:w="993"/>
        <w:gridCol w:w="567"/>
        <w:gridCol w:w="8647"/>
      </w:tblGrid>
      <w:tr w:rsidR="00600720" w:rsidRPr="00A8205C" w14:paraId="73B82BD7" w14:textId="77777777" w:rsidTr="00912661">
        <w:trPr>
          <w:trHeight w:val="259"/>
        </w:trPr>
        <w:tc>
          <w:tcPr>
            <w:tcW w:w="993" w:type="dxa"/>
          </w:tcPr>
          <w:p w14:paraId="75533E65" w14:textId="77777777" w:rsidR="00600720" w:rsidRDefault="00600720" w:rsidP="009348F8">
            <w:pPr>
              <w:pStyle w:val="-fa"/>
              <w:spacing w:before="0" w:after="60"/>
              <w:rPr>
                <w:rtl/>
              </w:rPr>
            </w:pPr>
          </w:p>
        </w:tc>
        <w:tc>
          <w:tcPr>
            <w:tcW w:w="9214" w:type="dxa"/>
            <w:gridSpan w:val="2"/>
          </w:tcPr>
          <w:p w14:paraId="158D95CA" w14:textId="77777777" w:rsidR="00F32A2A" w:rsidRDefault="00600720" w:rsidP="00316579">
            <w:pPr>
              <w:pStyle w:val="-8"/>
              <w:ind w:right="567"/>
              <w:outlineLvl w:val="0"/>
              <w:rPr>
                <w:color w:val="000000"/>
                <w:rtl/>
                <w:lang w:eastAsia="he-IL"/>
              </w:rPr>
            </w:pPr>
            <w:r w:rsidRPr="00A8205C">
              <w:rPr>
                <w:rtl/>
              </w:rPr>
              <w:t xml:space="preserve">ביאור </w:t>
            </w:r>
            <w:r w:rsidR="00535C3E">
              <w:rPr>
                <w:rFonts w:hint="cs"/>
                <w:rtl/>
              </w:rPr>
              <w:t>1</w:t>
            </w:r>
            <w:r w:rsidR="00316579">
              <w:rPr>
                <w:rFonts w:hint="cs"/>
                <w:rtl/>
              </w:rPr>
              <w:t>4</w:t>
            </w:r>
            <w:r w:rsidR="00535C3E">
              <w:rPr>
                <w:rFonts w:hint="cs"/>
                <w:rtl/>
              </w:rPr>
              <w:t>א</w:t>
            </w:r>
            <w:r w:rsidR="00535C3E" w:rsidRPr="00A8205C">
              <w:rPr>
                <w:rtl/>
              </w:rPr>
              <w:t xml:space="preserve">  </w:t>
            </w:r>
            <w:r w:rsidRPr="00A8205C">
              <w:rPr>
                <w:rtl/>
              </w:rPr>
              <w:t>-  יתרות ואומדני שווי הוגן של מכשירים פיננסיים</w:t>
            </w:r>
            <w:r w:rsidR="00CB51B9">
              <w:rPr>
                <w:rFonts w:hint="cs"/>
                <w:rtl/>
              </w:rPr>
              <w:t xml:space="preserve"> (במאוחד)</w:t>
            </w:r>
            <w:r w:rsidRPr="00A8205C">
              <w:rPr>
                <w:rtl/>
              </w:rPr>
              <w:t xml:space="preserve"> (המשך)</w:t>
            </w:r>
            <w:r w:rsidRPr="00A8205C">
              <w:rPr>
                <w:rFonts w:eastAsia="Arial Unicode MS"/>
                <w:rtl/>
              </w:rPr>
              <w:t>:</w:t>
            </w:r>
            <w:r w:rsidRPr="00A8205C">
              <w:rPr>
                <w:rtl/>
              </w:rPr>
              <w:t xml:space="preserve"> </w:t>
            </w:r>
          </w:p>
        </w:tc>
      </w:tr>
      <w:tr w:rsidR="00A00B93" w:rsidRPr="00A8205C" w14:paraId="08E28B86" w14:textId="77777777" w:rsidTr="00912661">
        <w:tblPrEx>
          <w:jc w:val="right"/>
          <w:tblLook w:val="0000" w:firstRow="0" w:lastRow="0" w:firstColumn="0" w:lastColumn="0" w:noHBand="0" w:noVBand="0"/>
        </w:tblPrEx>
        <w:trPr>
          <w:trHeight w:val="245"/>
          <w:jc w:val="right"/>
        </w:trPr>
        <w:tc>
          <w:tcPr>
            <w:tcW w:w="993" w:type="dxa"/>
          </w:tcPr>
          <w:p w14:paraId="7B76BF8D" w14:textId="77777777" w:rsidR="00CF2A74" w:rsidRDefault="00CF2A74" w:rsidP="00CF2A74">
            <w:pPr>
              <w:pStyle w:val="-7"/>
              <w:spacing w:line="240" w:lineRule="auto"/>
              <w:rPr>
                <w:sz w:val="14"/>
                <w:szCs w:val="14"/>
                <w:rtl/>
              </w:rPr>
            </w:pPr>
          </w:p>
        </w:tc>
        <w:tc>
          <w:tcPr>
            <w:tcW w:w="567" w:type="dxa"/>
          </w:tcPr>
          <w:p w14:paraId="159F8C85" w14:textId="77777777" w:rsidR="00A00B93" w:rsidRPr="00A8205C" w:rsidRDefault="00A00B93" w:rsidP="008A0C00">
            <w:pPr>
              <w:pStyle w:val="-f4"/>
              <w:jc w:val="left"/>
              <w:rPr>
                <w:rtl/>
              </w:rPr>
            </w:pPr>
            <w:r w:rsidRPr="00A8205C">
              <w:rPr>
                <w:rFonts w:hint="eastAsia"/>
                <w:rtl/>
              </w:rPr>
              <w:t>א</w:t>
            </w:r>
            <w:r w:rsidRPr="00A8205C">
              <w:rPr>
                <w:rtl/>
              </w:rPr>
              <w:t xml:space="preserve">. </w:t>
            </w:r>
          </w:p>
        </w:tc>
        <w:tc>
          <w:tcPr>
            <w:tcW w:w="8647" w:type="dxa"/>
          </w:tcPr>
          <w:p w14:paraId="24DE8D61" w14:textId="77777777" w:rsidR="00A00B93" w:rsidRPr="00A8205C" w:rsidRDefault="00A00B93" w:rsidP="008A0C00">
            <w:pPr>
              <w:pStyle w:val="-f4"/>
              <w:jc w:val="left"/>
              <w:rPr>
                <w:rtl/>
              </w:rPr>
            </w:pPr>
            <w:r w:rsidRPr="00A8205C">
              <w:rPr>
                <w:rFonts w:hint="eastAsia"/>
                <w:rtl/>
              </w:rPr>
              <w:t>הרכב</w:t>
            </w:r>
            <w:r w:rsidRPr="00A8205C">
              <w:rPr>
                <w:rtl/>
              </w:rPr>
              <w:t xml:space="preserve"> (המשך):</w:t>
            </w:r>
          </w:p>
        </w:tc>
      </w:tr>
    </w:tbl>
    <w:p w14:paraId="760F3984" w14:textId="77777777" w:rsidR="00600720" w:rsidRPr="00A8205C" w:rsidRDefault="00600720" w:rsidP="00600720">
      <w:pPr>
        <w:rPr>
          <w:sz w:val="2"/>
          <w:szCs w:val="2"/>
          <w:rtl/>
        </w:rPr>
      </w:pPr>
    </w:p>
    <w:tbl>
      <w:tblPr>
        <w:bidiVisual/>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3134"/>
        <w:gridCol w:w="1018"/>
        <w:gridCol w:w="1018"/>
        <w:gridCol w:w="1018"/>
        <w:gridCol w:w="1018"/>
        <w:gridCol w:w="1018"/>
      </w:tblGrid>
      <w:tr w:rsidR="00912661" w:rsidRPr="00511159" w14:paraId="6E3EA410" w14:textId="77777777" w:rsidTr="00320C27">
        <w:trPr>
          <w:trHeight w:val="259"/>
        </w:trPr>
        <w:tc>
          <w:tcPr>
            <w:tcW w:w="1538" w:type="dxa"/>
            <w:vMerge w:val="restart"/>
            <w:tcBorders>
              <w:top w:val="nil"/>
              <w:left w:val="nil"/>
              <w:right w:val="nil"/>
            </w:tcBorders>
          </w:tcPr>
          <w:p w14:paraId="411E72BE" w14:textId="77777777" w:rsidR="00912661" w:rsidRPr="00F15C23" w:rsidRDefault="00912661" w:rsidP="00373879">
            <w:pPr>
              <w:pStyle w:val="-7"/>
              <w:rPr>
                <w:rtl/>
              </w:rPr>
            </w:pPr>
          </w:p>
        </w:tc>
        <w:tc>
          <w:tcPr>
            <w:tcW w:w="3134" w:type="dxa"/>
            <w:tcBorders>
              <w:top w:val="nil"/>
              <w:left w:val="nil"/>
              <w:bottom w:val="nil"/>
              <w:right w:val="nil"/>
            </w:tcBorders>
            <w:shd w:val="clear" w:color="auto" w:fill="auto"/>
            <w:vAlign w:val="bottom"/>
          </w:tcPr>
          <w:p w14:paraId="41C7DA7A" w14:textId="77777777" w:rsidR="00912661" w:rsidRPr="00511159" w:rsidRDefault="00912661">
            <w:pPr>
              <w:pStyle w:val="-7"/>
              <w:rPr>
                <w:sz w:val="18"/>
                <w:szCs w:val="18"/>
                <w:rtl/>
              </w:rPr>
            </w:pPr>
          </w:p>
        </w:tc>
        <w:tc>
          <w:tcPr>
            <w:tcW w:w="5090" w:type="dxa"/>
            <w:gridSpan w:val="5"/>
            <w:tcBorders>
              <w:top w:val="nil"/>
              <w:left w:val="nil"/>
              <w:bottom w:val="nil"/>
              <w:right w:val="nil"/>
            </w:tcBorders>
            <w:vAlign w:val="bottom"/>
          </w:tcPr>
          <w:p w14:paraId="2B156133" w14:textId="0494579D" w:rsidR="00912661" w:rsidRPr="00511159" w:rsidRDefault="00912661" w:rsidP="001977FC">
            <w:pPr>
              <w:pStyle w:val="-4"/>
              <w:rPr>
                <w:sz w:val="18"/>
                <w:szCs w:val="18"/>
                <w:rtl/>
              </w:rPr>
            </w:pPr>
            <w:r w:rsidRPr="00511159">
              <w:rPr>
                <w:rFonts w:hint="eastAsia"/>
                <w:sz w:val="18"/>
                <w:szCs w:val="18"/>
                <w:rtl/>
              </w:rPr>
              <w:t>ליום</w:t>
            </w:r>
            <w:r w:rsidRPr="00511159">
              <w:rPr>
                <w:sz w:val="18"/>
                <w:szCs w:val="18"/>
                <w:rtl/>
              </w:rPr>
              <w:t xml:space="preserve"> 30 </w:t>
            </w:r>
            <w:r w:rsidRPr="00511159">
              <w:rPr>
                <w:rFonts w:hint="eastAsia"/>
                <w:sz w:val="18"/>
                <w:szCs w:val="18"/>
                <w:rtl/>
              </w:rPr>
              <w:t>ביוני</w:t>
            </w:r>
            <w:r w:rsidRPr="00511159">
              <w:rPr>
                <w:sz w:val="18"/>
                <w:szCs w:val="18"/>
                <w:rtl/>
              </w:rPr>
              <w:t xml:space="preserve"> </w:t>
            </w:r>
            <w:r w:rsidRPr="00511159">
              <w:rPr>
                <w:sz w:val="18"/>
                <w:szCs w:val="18"/>
                <w:rtl/>
              </w:rPr>
              <w:fldChar w:fldCharType="begin"/>
            </w:r>
            <w:r w:rsidRPr="00511159">
              <w:rPr>
                <w:sz w:val="18"/>
                <w:szCs w:val="18"/>
                <w:rtl/>
              </w:rPr>
              <w:instrText xml:space="preserve"> </w:instrText>
            </w:r>
            <w:r w:rsidRPr="00511159">
              <w:rPr>
                <w:rFonts w:hint="cs"/>
                <w:sz w:val="18"/>
                <w:szCs w:val="18"/>
                <w:rtl/>
              </w:rPr>
              <w:instrText xml:space="preserve">= </w:instrText>
            </w:r>
            <w:r w:rsidRPr="00511159">
              <w:rPr>
                <w:rFonts w:hint="cs"/>
                <w:sz w:val="18"/>
                <w:szCs w:val="18"/>
              </w:rPr>
              <w:instrText>CY</w:instrText>
            </w:r>
            <w:r w:rsidRPr="00511159">
              <w:rPr>
                <w:sz w:val="18"/>
                <w:szCs w:val="18"/>
              </w:rPr>
              <w:instrText>-1</w:instrText>
            </w:r>
            <w:r w:rsidRPr="00511159">
              <w:rPr>
                <w:rFonts w:hint="cs"/>
                <w:sz w:val="18"/>
                <w:szCs w:val="18"/>
              </w:rPr>
              <w:instrText xml:space="preserve"> \* MERGEFORMAT</w:instrText>
            </w:r>
            <w:r w:rsidRPr="00511159">
              <w:rPr>
                <w:sz w:val="18"/>
                <w:szCs w:val="18"/>
                <w:rtl/>
              </w:rPr>
              <w:instrText xml:space="preserve"> </w:instrText>
            </w:r>
            <w:r w:rsidRPr="00511159">
              <w:rPr>
                <w:sz w:val="18"/>
                <w:szCs w:val="18"/>
                <w:rtl/>
              </w:rPr>
              <w:fldChar w:fldCharType="separate"/>
            </w:r>
            <w:r>
              <w:rPr>
                <w:noProof/>
                <w:sz w:val="18"/>
                <w:szCs w:val="18"/>
                <w:rtl/>
              </w:rPr>
              <w:t>2023</w:t>
            </w:r>
            <w:r w:rsidRPr="00511159">
              <w:rPr>
                <w:sz w:val="18"/>
                <w:szCs w:val="18"/>
                <w:rtl/>
              </w:rPr>
              <w:fldChar w:fldCharType="end"/>
            </w:r>
            <w:r>
              <w:rPr>
                <w:rFonts w:hint="cs"/>
                <w:sz w:val="18"/>
                <w:szCs w:val="18"/>
                <w:rtl/>
              </w:rPr>
              <w:t xml:space="preserve">  </w:t>
            </w:r>
            <w:r w:rsidRPr="00666DC4">
              <w:rPr>
                <w:rFonts w:hint="cs"/>
                <w:b w:val="0"/>
                <w:bCs w:val="0"/>
                <w:sz w:val="18"/>
                <w:szCs w:val="18"/>
                <w:rtl/>
              </w:rPr>
              <w:t>(בלתי מבוקר)</w:t>
            </w:r>
          </w:p>
        </w:tc>
      </w:tr>
      <w:tr w:rsidR="00912661" w:rsidRPr="00511159" w14:paraId="51272A8A" w14:textId="77777777" w:rsidTr="00320C27">
        <w:trPr>
          <w:trHeight w:val="259"/>
        </w:trPr>
        <w:tc>
          <w:tcPr>
            <w:tcW w:w="1538" w:type="dxa"/>
            <w:vMerge/>
            <w:tcBorders>
              <w:left w:val="nil"/>
              <w:right w:val="nil"/>
            </w:tcBorders>
          </w:tcPr>
          <w:p w14:paraId="2BBD6BF6" w14:textId="77777777" w:rsidR="00912661" w:rsidRPr="00A8205C" w:rsidRDefault="00912661" w:rsidP="00CE02F7">
            <w:pPr>
              <w:pStyle w:val="-7"/>
              <w:rPr>
                <w:rtl/>
              </w:rPr>
            </w:pPr>
          </w:p>
        </w:tc>
        <w:tc>
          <w:tcPr>
            <w:tcW w:w="3134" w:type="dxa"/>
            <w:tcBorders>
              <w:top w:val="nil"/>
              <w:left w:val="nil"/>
              <w:bottom w:val="nil"/>
              <w:right w:val="nil"/>
            </w:tcBorders>
            <w:shd w:val="clear" w:color="auto" w:fill="auto"/>
            <w:vAlign w:val="bottom"/>
          </w:tcPr>
          <w:p w14:paraId="61E3C27A" w14:textId="77777777" w:rsidR="00912661" w:rsidRPr="00511159" w:rsidRDefault="00912661" w:rsidP="00CE02F7">
            <w:pPr>
              <w:pStyle w:val="-7"/>
              <w:rPr>
                <w:sz w:val="18"/>
                <w:szCs w:val="18"/>
                <w:rtl/>
              </w:rPr>
            </w:pPr>
          </w:p>
        </w:tc>
        <w:tc>
          <w:tcPr>
            <w:tcW w:w="1018" w:type="dxa"/>
            <w:tcBorders>
              <w:top w:val="nil"/>
              <w:left w:val="nil"/>
              <w:bottom w:val="nil"/>
              <w:right w:val="nil"/>
            </w:tcBorders>
            <w:vAlign w:val="bottom"/>
          </w:tcPr>
          <w:p w14:paraId="79A8A6CC" w14:textId="77777777" w:rsidR="00912661" w:rsidRPr="00511159" w:rsidRDefault="00912661" w:rsidP="00CE02F7">
            <w:pPr>
              <w:pStyle w:val="-7"/>
              <w:rPr>
                <w:sz w:val="18"/>
                <w:szCs w:val="18"/>
                <w:rtl/>
              </w:rPr>
            </w:pPr>
          </w:p>
        </w:tc>
        <w:tc>
          <w:tcPr>
            <w:tcW w:w="4072" w:type="dxa"/>
            <w:gridSpan w:val="4"/>
            <w:tcBorders>
              <w:top w:val="nil"/>
              <w:left w:val="nil"/>
              <w:bottom w:val="nil"/>
              <w:right w:val="nil"/>
            </w:tcBorders>
            <w:vAlign w:val="bottom"/>
          </w:tcPr>
          <w:p w14:paraId="5613D033" w14:textId="471C55A7" w:rsidR="00912661" w:rsidRPr="00511159" w:rsidRDefault="00912661" w:rsidP="00CE02F7">
            <w:pPr>
              <w:pStyle w:val="-4"/>
              <w:rPr>
                <w:sz w:val="18"/>
                <w:szCs w:val="18"/>
                <w:rtl/>
              </w:rPr>
            </w:pPr>
            <w:r w:rsidRPr="00511159">
              <w:rPr>
                <w:rFonts w:hint="cs"/>
                <w:sz w:val="18"/>
                <w:szCs w:val="18"/>
                <w:rtl/>
              </w:rPr>
              <w:t>שווי הוגן</w:t>
            </w:r>
            <w:r w:rsidRPr="00511159">
              <w:rPr>
                <w:rFonts w:hint="cs"/>
                <w:b w:val="0"/>
                <w:bCs w:val="0"/>
                <w:sz w:val="18"/>
                <w:szCs w:val="18"/>
                <w:vertAlign w:val="superscript"/>
                <w:rtl/>
              </w:rPr>
              <w:t xml:space="preserve"> </w:t>
            </w:r>
          </w:p>
        </w:tc>
      </w:tr>
      <w:tr w:rsidR="00912661" w:rsidRPr="00511159" w14:paraId="7B7485B0" w14:textId="77777777" w:rsidTr="00320C27">
        <w:trPr>
          <w:trHeight w:val="259"/>
        </w:trPr>
        <w:tc>
          <w:tcPr>
            <w:tcW w:w="1538" w:type="dxa"/>
            <w:vMerge/>
            <w:tcBorders>
              <w:left w:val="nil"/>
              <w:bottom w:val="nil"/>
              <w:right w:val="nil"/>
            </w:tcBorders>
          </w:tcPr>
          <w:p w14:paraId="14D9A187" w14:textId="77777777" w:rsidR="00912661" w:rsidRPr="00A8205C" w:rsidRDefault="00912661" w:rsidP="00CE02F7">
            <w:pPr>
              <w:pStyle w:val="-7"/>
              <w:rPr>
                <w:rtl/>
              </w:rPr>
            </w:pPr>
          </w:p>
        </w:tc>
        <w:tc>
          <w:tcPr>
            <w:tcW w:w="3134" w:type="dxa"/>
            <w:tcBorders>
              <w:top w:val="nil"/>
              <w:left w:val="nil"/>
              <w:bottom w:val="nil"/>
              <w:right w:val="nil"/>
            </w:tcBorders>
            <w:shd w:val="clear" w:color="auto" w:fill="auto"/>
            <w:vAlign w:val="bottom"/>
          </w:tcPr>
          <w:p w14:paraId="058623B4" w14:textId="77777777" w:rsidR="00912661" w:rsidRPr="00511159" w:rsidRDefault="00912661" w:rsidP="00CE02F7">
            <w:pPr>
              <w:pStyle w:val="af5"/>
              <w:rPr>
                <w:sz w:val="18"/>
                <w:szCs w:val="18"/>
                <w:rtl/>
              </w:rPr>
            </w:pPr>
          </w:p>
        </w:tc>
        <w:tc>
          <w:tcPr>
            <w:tcW w:w="1018" w:type="dxa"/>
            <w:tcBorders>
              <w:top w:val="nil"/>
              <w:left w:val="nil"/>
              <w:bottom w:val="nil"/>
              <w:right w:val="nil"/>
            </w:tcBorders>
            <w:vAlign w:val="bottom"/>
          </w:tcPr>
          <w:p w14:paraId="0614704F" w14:textId="7B42C0F4" w:rsidR="00912661" w:rsidRPr="00511159" w:rsidRDefault="00912661" w:rsidP="00CE02F7">
            <w:pPr>
              <w:pStyle w:val="-4"/>
              <w:pBdr>
                <w:bottom w:val="single" w:sz="4" w:space="1" w:color="auto"/>
              </w:pBdr>
              <w:spacing w:line="240" w:lineRule="auto"/>
              <w:rPr>
                <w:sz w:val="18"/>
                <w:szCs w:val="18"/>
                <w:rtl/>
              </w:rPr>
            </w:pPr>
            <w:r w:rsidRPr="00511159">
              <w:rPr>
                <w:rFonts w:hint="cs"/>
                <w:sz w:val="18"/>
                <w:szCs w:val="18"/>
                <w:rtl/>
              </w:rPr>
              <w:t>יתרה במאזן</w:t>
            </w:r>
          </w:p>
        </w:tc>
        <w:tc>
          <w:tcPr>
            <w:tcW w:w="1018" w:type="dxa"/>
            <w:tcBorders>
              <w:top w:val="nil"/>
              <w:left w:val="nil"/>
              <w:bottom w:val="nil"/>
              <w:right w:val="nil"/>
            </w:tcBorders>
            <w:vAlign w:val="bottom"/>
          </w:tcPr>
          <w:p w14:paraId="03DC8608" w14:textId="23110A53" w:rsidR="00912661" w:rsidRPr="00511159" w:rsidRDefault="00912661" w:rsidP="00CE02F7">
            <w:pPr>
              <w:pStyle w:val="-4"/>
              <w:pBdr>
                <w:bottom w:val="single" w:sz="4" w:space="1" w:color="auto"/>
              </w:pBdr>
              <w:spacing w:line="240" w:lineRule="auto"/>
              <w:rPr>
                <w:sz w:val="18"/>
                <w:szCs w:val="18"/>
                <w:rtl/>
              </w:rPr>
            </w:pPr>
            <w:r w:rsidRPr="00511159">
              <w:rPr>
                <w:rFonts w:hint="cs"/>
                <w:sz w:val="18"/>
                <w:szCs w:val="18"/>
                <w:rtl/>
              </w:rPr>
              <w:t>רמה 1</w:t>
            </w:r>
          </w:p>
        </w:tc>
        <w:tc>
          <w:tcPr>
            <w:tcW w:w="1018" w:type="dxa"/>
            <w:tcBorders>
              <w:top w:val="nil"/>
              <w:left w:val="nil"/>
              <w:bottom w:val="nil"/>
              <w:right w:val="nil"/>
            </w:tcBorders>
            <w:vAlign w:val="bottom"/>
          </w:tcPr>
          <w:p w14:paraId="5233D031" w14:textId="18847733" w:rsidR="00912661" w:rsidRPr="00511159" w:rsidRDefault="00912661" w:rsidP="00CE02F7">
            <w:pPr>
              <w:pStyle w:val="-4"/>
              <w:pBdr>
                <w:bottom w:val="single" w:sz="4" w:space="1" w:color="auto"/>
              </w:pBdr>
              <w:spacing w:line="240" w:lineRule="auto"/>
              <w:ind w:right="51"/>
              <w:rPr>
                <w:sz w:val="18"/>
                <w:szCs w:val="18"/>
                <w:rtl/>
              </w:rPr>
            </w:pPr>
            <w:r w:rsidRPr="00511159">
              <w:rPr>
                <w:rFonts w:hint="cs"/>
                <w:sz w:val="18"/>
                <w:szCs w:val="18"/>
                <w:rtl/>
              </w:rPr>
              <w:t>רמה 2</w:t>
            </w:r>
          </w:p>
        </w:tc>
        <w:tc>
          <w:tcPr>
            <w:tcW w:w="1018" w:type="dxa"/>
            <w:tcBorders>
              <w:top w:val="nil"/>
              <w:left w:val="nil"/>
              <w:bottom w:val="nil"/>
              <w:right w:val="nil"/>
            </w:tcBorders>
            <w:vAlign w:val="bottom"/>
          </w:tcPr>
          <w:p w14:paraId="4D9801DA" w14:textId="78D01775" w:rsidR="00912661" w:rsidRPr="00511159" w:rsidRDefault="00912661" w:rsidP="00CE02F7">
            <w:pPr>
              <w:pStyle w:val="-4"/>
              <w:pBdr>
                <w:bottom w:val="single" w:sz="4" w:space="1" w:color="auto"/>
              </w:pBdr>
              <w:spacing w:line="240" w:lineRule="auto"/>
              <w:rPr>
                <w:sz w:val="18"/>
                <w:szCs w:val="18"/>
                <w:rtl/>
              </w:rPr>
            </w:pPr>
            <w:r w:rsidRPr="00511159">
              <w:rPr>
                <w:rFonts w:hint="cs"/>
                <w:sz w:val="18"/>
                <w:szCs w:val="18"/>
                <w:rtl/>
              </w:rPr>
              <w:t>רמה 3</w:t>
            </w:r>
          </w:p>
        </w:tc>
        <w:tc>
          <w:tcPr>
            <w:tcW w:w="1018" w:type="dxa"/>
            <w:tcBorders>
              <w:top w:val="nil"/>
              <w:left w:val="nil"/>
              <w:bottom w:val="nil"/>
              <w:right w:val="nil"/>
            </w:tcBorders>
            <w:vAlign w:val="bottom"/>
          </w:tcPr>
          <w:p w14:paraId="0945CD24" w14:textId="77777777" w:rsidR="00912661" w:rsidRPr="00511159" w:rsidRDefault="00912661" w:rsidP="00B0006E">
            <w:pPr>
              <w:pStyle w:val="-4"/>
              <w:pBdr>
                <w:bottom w:val="single" w:sz="4" w:space="1" w:color="auto"/>
              </w:pBdr>
              <w:spacing w:line="240" w:lineRule="auto"/>
              <w:rPr>
                <w:sz w:val="18"/>
                <w:szCs w:val="18"/>
                <w:rtl/>
              </w:rPr>
            </w:pPr>
            <w:r w:rsidRPr="00511159">
              <w:rPr>
                <w:rFonts w:hint="cs"/>
                <w:sz w:val="18"/>
                <w:szCs w:val="18"/>
                <w:rtl/>
              </w:rPr>
              <w:t>סך</w:t>
            </w:r>
          </w:p>
          <w:p w14:paraId="20F53EBC" w14:textId="55DB844A" w:rsidR="00912661" w:rsidRPr="00511159" w:rsidRDefault="00912661" w:rsidP="00B0006E">
            <w:pPr>
              <w:pStyle w:val="-4"/>
              <w:pBdr>
                <w:bottom w:val="single" w:sz="4" w:space="1" w:color="auto"/>
              </w:pBdr>
              <w:spacing w:line="240" w:lineRule="auto"/>
              <w:rPr>
                <w:sz w:val="18"/>
                <w:szCs w:val="18"/>
                <w:rtl/>
              </w:rPr>
            </w:pPr>
            <w:r w:rsidRPr="00511159">
              <w:rPr>
                <w:rFonts w:hint="cs"/>
                <w:sz w:val="18"/>
                <w:szCs w:val="18"/>
                <w:rtl/>
              </w:rPr>
              <w:t>הכל</w:t>
            </w:r>
          </w:p>
        </w:tc>
      </w:tr>
      <w:tr w:rsidR="00912661" w:rsidRPr="00511159" w14:paraId="0192E08B" w14:textId="77777777" w:rsidTr="00320C27">
        <w:trPr>
          <w:trHeight w:val="259"/>
        </w:trPr>
        <w:tc>
          <w:tcPr>
            <w:tcW w:w="1538" w:type="dxa"/>
            <w:tcBorders>
              <w:top w:val="nil"/>
              <w:left w:val="nil"/>
              <w:bottom w:val="nil"/>
              <w:right w:val="nil"/>
            </w:tcBorders>
          </w:tcPr>
          <w:p w14:paraId="4039B782" w14:textId="77777777" w:rsidR="00912661" w:rsidRDefault="00912661">
            <w:pPr>
              <w:pStyle w:val="-0"/>
              <w:rPr>
                <w:rtl/>
              </w:rPr>
            </w:pPr>
          </w:p>
        </w:tc>
        <w:tc>
          <w:tcPr>
            <w:tcW w:w="3134" w:type="dxa"/>
            <w:tcBorders>
              <w:top w:val="nil"/>
              <w:left w:val="nil"/>
              <w:bottom w:val="nil"/>
              <w:right w:val="nil"/>
            </w:tcBorders>
            <w:shd w:val="clear" w:color="auto" w:fill="auto"/>
            <w:vAlign w:val="bottom"/>
          </w:tcPr>
          <w:p w14:paraId="56255ED8" w14:textId="77777777" w:rsidR="00912661" w:rsidRPr="00511159" w:rsidRDefault="00912661">
            <w:pPr>
              <w:pStyle w:val="-f"/>
              <w:rPr>
                <w:sz w:val="18"/>
                <w:szCs w:val="18"/>
                <w:rtl/>
              </w:rPr>
            </w:pPr>
            <w:r w:rsidRPr="00511159">
              <w:rPr>
                <w:rFonts w:hint="eastAsia"/>
                <w:sz w:val="18"/>
                <w:szCs w:val="18"/>
                <w:rtl/>
              </w:rPr>
              <w:t>נכסים</w:t>
            </w:r>
            <w:r w:rsidRPr="00511159">
              <w:rPr>
                <w:sz w:val="18"/>
                <w:szCs w:val="18"/>
                <w:rtl/>
              </w:rPr>
              <w:t xml:space="preserve"> </w:t>
            </w:r>
            <w:r w:rsidRPr="00511159">
              <w:rPr>
                <w:rFonts w:hint="eastAsia"/>
                <w:sz w:val="18"/>
                <w:szCs w:val="18"/>
                <w:rtl/>
              </w:rPr>
              <w:t>פיננסיים</w:t>
            </w:r>
          </w:p>
        </w:tc>
        <w:tc>
          <w:tcPr>
            <w:tcW w:w="1018" w:type="dxa"/>
            <w:tcBorders>
              <w:top w:val="nil"/>
              <w:left w:val="nil"/>
              <w:bottom w:val="nil"/>
              <w:right w:val="nil"/>
            </w:tcBorders>
            <w:vAlign w:val="bottom"/>
          </w:tcPr>
          <w:p w14:paraId="72B47289" w14:textId="77777777" w:rsidR="00912661" w:rsidRPr="00511159" w:rsidRDefault="00912661" w:rsidP="00CF2A74">
            <w:pPr>
              <w:pStyle w:val="-7"/>
              <w:rPr>
                <w:sz w:val="18"/>
                <w:szCs w:val="18"/>
                <w:rtl/>
              </w:rPr>
            </w:pPr>
          </w:p>
        </w:tc>
        <w:tc>
          <w:tcPr>
            <w:tcW w:w="1018" w:type="dxa"/>
            <w:tcBorders>
              <w:top w:val="nil"/>
              <w:left w:val="nil"/>
              <w:bottom w:val="nil"/>
              <w:right w:val="nil"/>
            </w:tcBorders>
            <w:vAlign w:val="bottom"/>
          </w:tcPr>
          <w:p w14:paraId="0F9AF6EC" w14:textId="77777777" w:rsidR="00912661" w:rsidRPr="00511159" w:rsidRDefault="00912661" w:rsidP="00CF2A74">
            <w:pPr>
              <w:pStyle w:val="-7"/>
              <w:rPr>
                <w:sz w:val="18"/>
                <w:szCs w:val="18"/>
                <w:rtl/>
              </w:rPr>
            </w:pPr>
          </w:p>
        </w:tc>
        <w:tc>
          <w:tcPr>
            <w:tcW w:w="1018" w:type="dxa"/>
            <w:tcBorders>
              <w:top w:val="nil"/>
              <w:left w:val="nil"/>
              <w:bottom w:val="nil"/>
              <w:right w:val="nil"/>
            </w:tcBorders>
            <w:vAlign w:val="bottom"/>
          </w:tcPr>
          <w:p w14:paraId="46FF66AB" w14:textId="77777777" w:rsidR="00912661" w:rsidRPr="00511159" w:rsidRDefault="00912661" w:rsidP="00CF2A74">
            <w:pPr>
              <w:pStyle w:val="-7"/>
              <w:rPr>
                <w:sz w:val="18"/>
                <w:szCs w:val="18"/>
                <w:rtl/>
              </w:rPr>
            </w:pPr>
          </w:p>
        </w:tc>
        <w:tc>
          <w:tcPr>
            <w:tcW w:w="1018" w:type="dxa"/>
            <w:tcBorders>
              <w:top w:val="nil"/>
              <w:left w:val="nil"/>
              <w:bottom w:val="nil"/>
              <w:right w:val="nil"/>
            </w:tcBorders>
            <w:vAlign w:val="bottom"/>
          </w:tcPr>
          <w:p w14:paraId="4F128B08" w14:textId="77777777" w:rsidR="00912661" w:rsidRPr="00511159" w:rsidRDefault="00912661" w:rsidP="00CF2A74">
            <w:pPr>
              <w:pStyle w:val="-7"/>
              <w:rPr>
                <w:sz w:val="18"/>
                <w:szCs w:val="18"/>
                <w:rtl/>
              </w:rPr>
            </w:pPr>
          </w:p>
        </w:tc>
        <w:tc>
          <w:tcPr>
            <w:tcW w:w="1018" w:type="dxa"/>
            <w:tcBorders>
              <w:top w:val="nil"/>
              <w:left w:val="nil"/>
              <w:bottom w:val="nil"/>
              <w:right w:val="nil"/>
            </w:tcBorders>
            <w:vAlign w:val="bottom"/>
          </w:tcPr>
          <w:p w14:paraId="156C94BD" w14:textId="77777777" w:rsidR="00912661" w:rsidRPr="00511159" w:rsidRDefault="00912661" w:rsidP="00CF2A74">
            <w:pPr>
              <w:pStyle w:val="-7"/>
              <w:rPr>
                <w:sz w:val="18"/>
                <w:szCs w:val="18"/>
                <w:rtl/>
              </w:rPr>
            </w:pPr>
          </w:p>
        </w:tc>
      </w:tr>
      <w:tr w:rsidR="00912661" w:rsidRPr="00511159" w14:paraId="1BC439B4" w14:textId="77777777" w:rsidTr="00320C27">
        <w:trPr>
          <w:trHeight w:val="259"/>
        </w:trPr>
        <w:tc>
          <w:tcPr>
            <w:tcW w:w="1538" w:type="dxa"/>
            <w:tcBorders>
              <w:top w:val="nil"/>
              <w:left w:val="nil"/>
              <w:bottom w:val="nil"/>
              <w:right w:val="nil"/>
            </w:tcBorders>
          </w:tcPr>
          <w:p w14:paraId="7ABCEBB7"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24F13E74" w14:textId="77777777" w:rsidR="00912661" w:rsidRPr="00511159" w:rsidRDefault="00912661" w:rsidP="008A0C00">
            <w:pPr>
              <w:pStyle w:val="-0"/>
              <w:rPr>
                <w:sz w:val="18"/>
                <w:szCs w:val="18"/>
                <w:rtl/>
              </w:rPr>
            </w:pPr>
            <w:r w:rsidRPr="00511159">
              <w:rPr>
                <w:sz w:val="18"/>
                <w:szCs w:val="18"/>
                <w:rtl/>
              </w:rPr>
              <w:t>מזומנים ופ</w:t>
            </w:r>
            <w:r w:rsidRPr="00511159">
              <w:rPr>
                <w:rFonts w:hint="eastAsia"/>
                <w:sz w:val="18"/>
                <w:szCs w:val="18"/>
                <w:rtl/>
              </w:rPr>
              <w:t>י</w:t>
            </w:r>
            <w:r w:rsidRPr="00511159">
              <w:rPr>
                <w:sz w:val="18"/>
                <w:szCs w:val="18"/>
                <w:rtl/>
              </w:rPr>
              <w:t>קדונות בבנקים</w:t>
            </w:r>
          </w:p>
        </w:tc>
        <w:tc>
          <w:tcPr>
            <w:tcW w:w="1018" w:type="dxa"/>
            <w:tcBorders>
              <w:top w:val="nil"/>
              <w:left w:val="nil"/>
              <w:bottom w:val="nil"/>
              <w:right w:val="nil"/>
            </w:tcBorders>
            <w:vAlign w:val="bottom"/>
          </w:tcPr>
          <w:p w14:paraId="55F5A1AF"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4B48A398"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3CB8E313"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1BEC161D"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4B191194" w14:textId="77777777" w:rsidR="00912661" w:rsidRPr="00511159" w:rsidRDefault="00912661">
            <w:pPr>
              <w:pStyle w:val="-3"/>
              <w:rPr>
                <w:sz w:val="18"/>
                <w:szCs w:val="18"/>
                <w:rtl/>
              </w:rPr>
            </w:pPr>
            <w:r w:rsidRPr="00511159">
              <w:rPr>
                <w:sz w:val="18"/>
                <w:szCs w:val="18"/>
                <w:rtl/>
              </w:rPr>
              <w:t xml:space="preserve"> 0</w:t>
            </w:r>
          </w:p>
        </w:tc>
      </w:tr>
      <w:tr w:rsidR="00912661" w:rsidRPr="00511159" w14:paraId="7E9B43DA" w14:textId="77777777" w:rsidTr="00320C27">
        <w:trPr>
          <w:trHeight w:val="259"/>
        </w:trPr>
        <w:tc>
          <w:tcPr>
            <w:tcW w:w="1538" w:type="dxa"/>
            <w:tcBorders>
              <w:top w:val="nil"/>
              <w:left w:val="nil"/>
              <w:bottom w:val="nil"/>
              <w:right w:val="nil"/>
            </w:tcBorders>
          </w:tcPr>
          <w:p w14:paraId="51E6672F"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2A21A86B" w14:textId="29E087CC" w:rsidR="00912661" w:rsidRPr="00511159" w:rsidRDefault="00912661" w:rsidP="009055BB">
            <w:pPr>
              <w:pStyle w:val="-0"/>
              <w:rPr>
                <w:sz w:val="18"/>
                <w:szCs w:val="18"/>
                <w:rtl/>
              </w:rPr>
            </w:pPr>
            <w:r w:rsidRPr="00511159">
              <w:rPr>
                <w:sz w:val="18"/>
                <w:szCs w:val="18"/>
                <w:rtl/>
              </w:rPr>
              <w:t>ניירות ערך</w:t>
            </w:r>
          </w:p>
        </w:tc>
        <w:tc>
          <w:tcPr>
            <w:tcW w:w="1018" w:type="dxa"/>
            <w:tcBorders>
              <w:top w:val="nil"/>
              <w:left w:val="nil"/>
              <w:bottom w:val="nil"/>
              <w:right w:val="nil"/>
            </w:tcBorders>
            <w:vAlign w:val="bottom"/>
          </w:tcPr>
          <w:p w14:paraId="6846D355"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00264225"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56C425E2"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3DEE41E5"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7862BA8A" w14:textId="77777777" w:rsidR="00912661" w:rsidRPr="00511159" w:rsidRDefault="00912661">
            <w:pPr>
              <w:pStyle w:val="-3"/>
              <w:rPr>
                <w:sz w:val="18"/>
                <w:szCs w:val="18"/>
                <w:rtl/>
              </w:rPr>
            </w:pPr>
            <w:r w:rsidRPr="00511159">
              <w:rPr>
                <w:sz w:val="18"/>
                <w:szCs w:val="18"/>
                <w:rtl/>
              </w:rPr>
              <w:t xml:space="preserve"> 0</w:t>
            </w:r>
          </w:p>
        </w:tc>
      </w:tr>
      <w:tr w:rsidR="00912661" w:rsidRPr="00511159" w14:paraId="6CE849D3" w14:textId="77777777" w:rsidTr="00320C27">
        <w:trPr>
          <w:trHeight w:val="259"/>
        </w:trPr>
        <w:tc>
          <w:tcPr>
            <w:tcW w:w="1538" w:type="dxa"/>
            <w:tcBorders>
              <w:top w:val="nil"/>
              <w:left w:val="nil"/>
              <w:bottom w:val="nil"/>
              <w:right w:val="nil"/>
            </w:tcBorders>
          </w:tcPr>
          <w:p w14:paraId="25870EFD"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1FED1A77" w14:textId="77777777" w:rsidR="00912661" w:rsidRPr="00511159" w:rsidRDefault="00912661" w:rsidP="008A0C00">
            <w:pPr>
              <w:pStyle w:val="-21"/>
              <w:rPr>
                <w:sz w:val="18"/>
                <w:szCs w:val="18"/>
                <w:rtl/>
              </w:rPr>
            </w:pPr>
            <w:r w:rsidRPr="00511159">
              <w:rPr>
                <w:rFonts w:hint="eastAsia"/>
                <w:sz w:val="18"/>
                <w:szCs w:val="18"/>
                <w:rtl/>
              </w:rPr>
              <w:t>ניירות</w:t>
            </w:r>
            <w:r w:rsidRPr="00511159">
              <w:rPr>
                <w:sz w:val="18"/>
                <w:szCs w:val="18"/>
                <w:rtl/>
              </w:rPr>
              <w:t xml:space="preserve"> </w:t>
            </w:r>
            <w:r w:rsidRPr="00511159">
              <w:rPr>
                <w:rFonts w:hint="eastAsia"/>
                <w:sz w:val="18"/>
                <w:szCs w:val="18"/>
                <w:rtl/>
              </w:rPr>
              <w:t>ערך</w:t>
            </w:r>
            <w:r w:rsidRPr="00511159">
              <w:rPr>
                <w:sz w:val="18"/>
                <w:szCs w:val="18"/>
                <w:rtl/>
              </w:rPr>
              <w:t xml:space="preserve"> </w:t>
            </w:r>
            <w:r w:rsidRPr="00511159">
              <w:rPr>
                <w:rFonts w:hint="eastAsia"/>
                <w:sz w:val="18"/>
                <w:szCs w:val="18"/>
                <w:rtl/>
              </w:rPr>
              <w:t>שנשאלו</w:t>
            </w:r>
            <w:r w:rsidRPr="00511159">
              <w:rPr>
                <w:sz w:val="18"/>
                <w:szCs w:val="18"/>
                <w:rtl/>
              </w:rPr>
              <w:t xml:space="preserve"> </w:t>
            </w:r>
            <w:r w:rsidRPr="00511159">
              <w:rPr>
                <w:rFonts w:hint="eastAsia"/>
                <w:sz w:val="18"/>
                <w:szCs w:val="18"/>
                <w:rtl/>
              </w:rPr>
              <w:t>או</w:t>
            </w:r>
            <w:r w:rsidRPr="00511159">
              <w:rPr>
                <w:sz w:val="18"/>
                <w:szCs w:val="18"/>
                <w:rtl/>
              </w:rPr>
              <w:t xml:space="preserve"> </w:t>
            </w:r>
            <w:r w:rsidRPr="00511159">
              <w:rPr>
                <w:rFonts w:hint="eastAsia"/>
                <w:sz w:val="18"/>
                <w:szCs w:val="18"/>
                <w:rtl/>
              </w:rPr>
              <w:t>נרכשו</w:t>
            </w:r>
            <w:r w:rsidRPr="00511159">
              <w:rPr>
                <w:sz w:val="18"/>
                <w:szCs w:val="18"/>
                <w:rtl/>
              </w:rPr>
              <w:t xml:space="preserve"> </w:t>
            </w:r>
            <w:r w:rsidRPr="00511159">
              <w:rPr>
                <w:rFonts w:hint="eastAsia"/>
                <w:sz w:val="18"/>
                <w:szCs w:val="18"/>
                <w:rtl/>
              </w:rPr>
              <w:t>במסגרת</w:t>
            </w:r>
            <w:r w:rsidRPr="00511159">
              <w:rPr>
                <w:sz w:val="18"/>
                <w:szCs w:val="18"/>
                <w:rtl/>
              </w:rPr>
              <w:t xml:space="preserve"> </w:t>
            </w:r>
            <w:r w:rsidRPr="00511159">
              <w:rPr>
                <w:rFonts w:hint="eastAsia"/>
                <w:sz w:val="18"/>
                <w:szCs w:val="18"/>
                <w:rtl/>
              </w:rPr>
              <w:t>הסכמי</w:t>
            </w:r>
            <w:r w:rsidRPr="00511159">
              <w:rPr>
                <w:sz w:val="18"/>
                <w:szCs w:val="18"/>
                <w:rtl/>
              </w:rPr>
              <w:t xml:space="preserve"> </w:t>
            </w:r>
            <w:r w:rsidRPr="00511159">
              <w:rPr>
                <w:rFonts w:hint="eastAsia"/>
                <w:sz w:val="18"/>
                <w:szCs w:val="18"/>
                <w:rtl/>
              </w:rPr>
              <w:t>מכר</w:t>
            </w:r>
            <w:r w:rsidRPr="00511159">
              <w:rPr>
                <w:sz w:val="18"/>
                <w:szCs w:val="18"/>
                <w:rtl/>
              </w:rPr>
              <w:t xml:space="preserve"> </w:t>
            </w:r>
            <w:r w:rsidRPr="00511159">
              <w:rPr>
                <w:rFonts w:hint="eastAsia"/>
                <w:sz w:val="18"/>
                <w:szCs w:val="18"/>
                <w:rtl/>
              </w:rPr>
              <w:t>חוזר</w:t>
            </w:r>
          </w:p>
        </w:tc>
        <w:tc>
          <w:tcPr>
            <w:tcW w:w="1018" w:type="dxa"/>
            <w:tcBorders>
              <w:top w:val="nil"/>
              <w:left w:val="nil"/>
              <w:bottom w:val="nil"/>
              <w:right w:val="nil"/>
            </w:tcBorders>
            <w:vAlign w:val="bottom"/>
          </w:tcPr>
          <w:p w14:paraId="661D038C"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021DF42B"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522CD516"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1CF78111"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5E1F2C03" w14:textId="77777777" w:rsidR="00912661" w:rsidRPr="00511159" w:rsidRDefault="00912661">
            <w:pPr>
              <w:pStyle w:val="-3"/>
              <w:rPr>
                <w:sz w:val="18"/>
                <w:szCs w:val="18"/>
                <w:rtl/>
              </w:rPr>
            </w:pPr>
            <w:r w:rsidRPr="00511159">
              <w:rPr>
                <w:sz w:val="18"/>
                <w:szCs w:val="18"/>
                <w:rtl/>
              </w:rPr>
              <w:t xml:space="preserve"> 0</w:t>
            </w:r>
          </w:p>
        </w:tc>
      </w:tr>
      <w:tr w:rsidR="00912661" w:rsidRPr="00511159" w14:paraId="5DFE3070" w14:textId="77777777" w:rsidTr="00320C27">
        <w:trPr>
          <w:trHeight w:val="259"/>
        </w:trPr>
        <w:tc>
          <w:tcPr>
            <w:tcW w:w="1538" w:type="dxa"/>
            <w:tcBorders>
              <w:top w:val="nil"/>
              <w:left w:val="nil"/>
              <w:bottom w:val="nil"/>
              <w:right w:val="nil"/>
            </w:tcBorders>
          </w:tcPr>
          <w:p w14:paraId="26652295"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5B741A6C" w14:textId="77777777" w:rsidR="00912661" w:rsidRPr="00511159" w:rsidRDefault="00912661" w:rsidP="008A0C00">
            <w:pPr>
              <w:pStyle w:val="-0"/>
              <w:rPr>
                <w:sz w:val="18"/>
                <w:szCs w:val="18"/>
                <w:rtl/>
              </w:rPr>
            </w:pPr>
            <w:r w:rsidRPr="00511159">
              <w:rPr>
                <w:sz w:val="18"/>
                <w:szCs w:val="18"/>
                <w:rtl/>
              </w:rPr>
              <w:t xml:space="preserve">אשראי לציבור, </w:t>
            </w:r>
            <w:r w:rsidRPr="00511159">
              <w:rPr>
                <w:rFonts w:hint="eastAsia"/>
                <w:sz w:val="18"/>
                <w:szCs w:val="18"/>
                <w:rtl/>
              </w:rPr>
              <w:t>נטו</w:t>
            </w:r>
          </w:p>
        </w:tc>
        <w:tc>
          <w:tcPr>
            <w:tcW w:w="1018" w:type="dxa"/>
            <w:tcBorders>
              <w:top w:val="nil"/>
              <w:left w:val="nil"/>
              <w:bottom w:val="nil"/>
              <w:right w:val="nil"/>
            </w:tcBorders>
            <w:vAlign w:val="bottom"/>
          </w:tcPr>
          <w:p w14:paraId="10268737"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311E04A0"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67A43814"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22083BD2"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30EBB7FD" w14:textId="77777777" w:rsidR="00912661" w:rsidRPr="00511159" w:rsidRDefault="00912661">
            <w:pPr>
              <w:pStyle w:val="-3"/>
              <w:rPr>
                <w:sz w:val="18"/>
                <w:szCs w:val="18"/>
                <w:rtl/>
              </w:rPr>
            </w:pPr>
            <w:r w:rsidRPr="00511159">
              <w:rPr>
                <w:sz w:val="18"/>
                <w:szCs w:val="18"/>
                <w:rtl/>
              </w:rPr>
              <w:t xml:space="preserve"> 0</w:t>
            </w:r>
          </w:p>
        </w:tc>
      </w:tr>
      <w:tr w:rsidR="00912661" w:rsidRPr="00511159" w14:paraId="433D3A22" w14:textId="77777777" w:rsidTr="00320C27">
        <w:trPr>
          <w:trHeight w:val="259"/>
        </w:trPr>
        <w:tc>
          <w:tcPr>
            <w:tcW w:w="1538" w:type="dxa"/>
            <w:tcBorders>
              <w:top w:val="nil"/>
              <w:left w:val="nil"/>
              <w:bottom w:val="nil"/>
              <w:right w:val="nil"/>
            </w:tcBorders>
          </w:tcPr>
          <w:p w14:paraId="7B95161F"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0F7A9EC6" w14:textId="77777777" w:rsidR="00912661" w:rsidRPr="00511159" w:rsidRDefault="00912661" w:rsidP="008A0C00">
            <w:pPr>
              <w:pStyle w:val="-0"/>
              <w:rPr>
                <w:sz w:val="18"/>
                <w:szCs w:val="18"/>
                <w:rtl/>
              </w:rPr>
            </w:pPr>
            <w:r w:rsidRPr="00511159">
              <w:rPr>
                <w:sz w:val="18"/>
                <w:szCs w:val="18"/>
                <w:rtl/>
              </w:rPr>
              <w:t>אשראי לממשלה</w:t>
            </w:r>
          </w:p>
        </w:tc>
        <w:tc>
          <w:tcPr>
            <w:tcW w:w="1018" w:type="dxa"/>
            <w:tcBorders>
              <w:top w:val="nil"/>
              <w:left w:val="nil"/>
              <w:bottom w:val="nil"/>
              <w:right w:val="nil"/>
            </w:tcBorders>
            <w:vAlign w:val="bottom"/>
          </w:tcPr>
          <w:p w14:paraId="6E29D9B5"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5691F568"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38806BFA"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31BB1D74"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7265B77D" w14:textId="77777777" w:rsidR="00912661" w:rsidRPr="00511159" w:rsidRDefault="00912661">
            <w:pPr>
              <w:pStyle w:val="-3"/>
              <w:rPr>
                <w:sz w:val="18"/>
                <w:szCs w:val="18"/>
                <w:rtl/>
              </w:rPr>
            </w:pPr>
            <w:r w:rsidRPr="00511159">
              <w:rPr>
                <w:sz w:val="18"/>
                <w:szCs w:val="18"/>
                <w:rtl/>
              </w:rPr>
              <w:t xml:space="preserve"> 0</w:t>
            </w:r>
          </w:p>
        </w:tc>
      </w:tr>
      <w:tr w:rsidR="00912661" w:rsidRPr="00511159" w14:paraId="65028D46" w14:textId="77777777" w:rsidTr="00320C27">
        <w:trPr>
          <w:trHeight w:val="259"/>
        </w:trPr>
        <w:tc>
          <w:tcPr>
            <w:tcW w:w="1538" w:type="dxa"/>
            <w:tcBorders>
              <w:top w:val="nil"/>
              <w:left w:val="nil"/>
              <w:bottom w:val="nil"/>
              <w:right w:val="nil"/>
            </w:tcBorders>
          </w:tcPr>
          <w:p w14:paraId="1EEC10C8"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500081FA" w14:textId="77777777" w:rsidR="00912661" w:rsidRPr="00511159" w:rsidRDefault="00912661" w:rsidP="008A0C00">
            <w:pPr>
              <w:pStyle w:val="-0"/>
              <w:rPr>
                <w:sz w:val="18"/>
                <w:szCs w:val="18"/>
                <w:rtl/>
              </w:rPr>
            </w:pPr>
            <w:r w:rsidRPr="00511159">
              <w:rPr>
                <w:rFonts w:hint="eastAsia"/>
                <w:sz w:val="18"/>
                <w:szCs w:val="18"/>
                <w:rtl/>
              </w:rPr>
              <w:t>נכסים</w:t>
            </w:r>
            <w:r w:rsidRPr="00511159">
              <w:rPr>
                <w:sz w:val="18"/>
                <w:szCs w:val="18"/>
                <w:rtl/>
              </w:rPr>
              <w:t xml:space="preserve"> </w:t>
            </w:r>
            <w:r w:rsidRPr="00511159">
              <w:rPr>
                <w:rFonts w:hint="eastAsia"/>
                <w:sz w:val="18"/>
                <w:szCs w:val="18"/>
                <w:rtl/>
              </w:rPr>
              <w:t>בגין</w:t>
            </w:r>
            <w:r w:rsidRPr="00511159">
              <w:rPr>
                <w:sz w:val="18"/>
                <w:szCs w:val="18"/>
                <w:rtl/>
              </w:rPr>
              <w:t xml:space="preserve"> </w:t>
            </w:r>
            <w:r w:rsidRPr="00511159">
              <w:rPr>
                <w:rFonts w:hint="eastAsia"/>
                <w:sz w:val="18"/>
                <w:szCs w:val="18"/>
                <w:rtl/>
              </w:rPr>
              <w:t>מכשירים</w:t>
            </w:r>
            <w:r w:rsidRPr="00511159">
              <w:rPr>
                <w:sz w:val="18"/>
                <w:szCs w:val="18"/>
                <w:rtl/>
              </w:rPr>
              <w:t xml:space="preserve"> </w:t>
            </w:r>
            <w:r w:rsidRPr="00511159">
              <w:rPr>
                <w:rFonts w:hint="eastAsia"/>
                <w:sz w:val="18"/>
                <w:szCs w:val="18"/>
                <w:rtl/>
              </w:rPr>
              <w:t>נגזרים</w:t>
            </w:r>
          </w:p>
        </w:tc>
        <w:tc>
          <w:tcPr>
            <w:tcW w:w="1018" w:type="dxa"/>
            <w:tcBorders>
              <w:top w:val="nil"/>
              <w:left w:val="nil"/>
              <w:bottom w:val="nil"/>
              <w:right w:val="nil"/>
            </w:tcBorders>
            <w:vAlign w:val="bottom"/>
          </w:tcPr>
          <w:p w14:paraId="3E873A9F"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64E0C7B1"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1E59BAA7"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735A5AFA"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6C611F81" w14:textId="77777777" w:rsidR="00912661" w:rsidRPr="00511159" w:rsidRDefault="00912661">
            <w:pPr>
              <w:pStyle w:val="-3"/>
              <w:rPr>
                <w:sz w:val="18"/>
                <w:szCs w:val="18"/>
                <w:rtl/>
              </w:rPr>
            </w:pPr>
            <w:r w:rsidRPr="00511159">
              <w:rPr>
                <w:sz w:val="18"/>
                <w:szCs w:val="18"/>
                <w:rtl/>
              </w:rPr>
              <w:t xml:space="preserve"> 0</w:t>
            </w:r>
          </w:p>
        </w:tc>
      </w:tr>
      <w:tr w:rsidR="00912661" w:rsidRPr="00511159" w14:paraId="55E18E50" w14:textId="77777777" w:rsidTr="00320C27">
        <w:trPr>
          <w:trHeight w:val="259"/>
        </w:trPr>
        <w:tc>
          <w:tcPr>
            <w:tcW w:w="1538" w:type="dxa"/>
            <w:tcBorders>
              <w:top w:val="nil"/>
              <w:left w:val="nil"/>
              <w:bottom w:val="nil"/>
              <w:right w:val="nil"/>
            </w:tcBorders>
          </w:tcPr>
          <w:p w14:paraId="2DF2A88C"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0B63C8A1" w14:textId="77777777" w:rsidR="00912661" w:rsidRPr="00511159" w:rsidRDefault="00912661" w:rsidP="008A0C00">
            <w:pPr>
              <w:pStyle w:val="-0"/>
              <w:rPr>
                <w:sz w:val="18"/>
                <w:szCs w:val="18"/>
                <w:rtl/>
              </w:rPr>
            </w:pPr>
            <w:r w:rsidRPr="00511159">
              <w:rPr>
                <w:sz w:val="18"/>
                <w:szCs w:val="18"/>
                <w:rtl/>
              </w:rPr>
              <w:t xml:space="preserve">נכסים פיננסיים אחרים </w:t>
            </w:r>
          </w:p>
        </w:tc>
        <w:tc>
          <w:tcPr>
            <w:tcW w:w="1018" w:type="dxa"/>
            <w:tcBorders>
              <w:top w:val="nil"/>
              <w:left w:val="nil"/>
              <w:bottom w:val="nil"/>
              <w:right w:val="nil"/>
            </w:tcBorders>
            <w:vAlign w:val="bottom"/>
          </w:tcPr>
          <w:p w14:paraId="0E1476A6" w14:textId="77777777" w:rsidR="00912661" w:rsidRPr="00511159" w:rsidRDefault="00912661">
            <w:pPr>
              <w:pStyle w:val="-3"/>
              <w:pBdr>
                <w:bottom w:val="single" w:sz="4" w:space="1" w:color="auto"/>
              </w:pBdr>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42186D96" w14:textId="77777777" w:rsidR="00912661" w:rsidRPr="00511159" w:rsidRDefault="00912661">
            <w:pPr>
              <w:pStyle w:val="-3"/>
              <w:pBdr>
                <w:bottom w:val="single" w:sz="4" w:space="1" w:color="auto"/>
              </w:pBdr>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3E30DE92" w14:textId="77777777" w:rsidR="00912661" w:rsidRPr="00511159" w:rsidRDefault="00912661">
            <w:pPr>
              <w:pStyle w:val="-3"/>
              <w:pBdr>
                <w:bottom w:val="single" w:sz="4" w:space="1" w:color="auto"/>
              </w:pBdr>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73D76106" w14:textId="77777777" w:rsidR="00912661" w:rsidRPr="00511159" w:rsidRDefault="00912661">
            <w:pPr>
              <w:pStyle w:val="-3"/>
              <w:pBdr>
                <w:bottom w:val="single" w:sz="4" w:space="1" w:color="auto"/>
              </w:pBdr>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28B22927" w14:textId="77777777" w:rsidR="00912661" w:rsidRPr="00511159" w:rsidRDefault="00912661">
            <w:pPr>
              <w:pStyle w:val="-3"/>
              <w:pBdr>
                <w:bottom w:val="single" w:sz="4" w:space="1" w:color="auto"/>
              </w:pBdr>
              <w:rPr>
                <w:sz w:val="18"/>
                <w:szCs w:val="18"/>
                <w:rtl/>
              </w:rPr>
            </w:pPr>
            <w:r w:rsidRPr="00511159">
              <w:rPr>
                <w:sz w:val="18"/>
                <w:szCs w:val="18"/>
                <w:rtl/>
              </w:rPr>
              <w:t xml:space="preserve"> 0</w:t>
            </w:r>
          </w:p>
        </w:tc>
      </w:tr>
      <w:tr w:rsidR="00912661" w:rsidRPr="00511159" w14:paraId="7FEB9980" w14:textId="77777777" w:rsidTr="00320C27">
        <w:trPr>
          <w:trHeight w:val="259"/>
        </w:trPr>
        <w:tc>
          <w:tcPr>
            <w:tcW w:w="1538" w:type="dxa"/>
            <w:tcBorders>
              <w:top w:val="nil"/>
              <w:left w:val="nil"/>
              <w:bottom w:val="nil"/>
              <w:right w:val="nil"/>
            </w:tcBorders>
          </w:tcPr>
          <w:p w14:paraId="491D8866"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51A0671E" w14:textId="77777777" w:rsidR="00912661" w:rsidRPr="00511159" w:rsidRDefault="00912661" w:rsidP="008A0C00">
            <w:pPr>
              <w:pStyle w:val="-0"/>
              <w:rPr>
                <w:sz w:val="18"/>
                <w:szCs w:val="18"/>
                <w:rtl/>
              </w:rPr>
            </w:pPr>
            <w:r w:rsidRPr="00511159">
              <w:rPr>
                <w:rFonts w:hint="eastAsia"/>
                <w:sz w:val="18"/>
                <w:szCs w:val="18"/>
                <w:rtl/>
              </w:rPr>
              <w:t>השפעת</w:t>
            </w:r>
            <w:r w:rsidRPr="00511159">
              <w:rPr>
                <w:sz w:val="18"/>
                <w:szCs w:val="18"/>
                <w:rtl/>
              </w:rPr>
              <w:t xml:space="preserve"> </w:t>
            </w:r>
            <w:r w:rsidRPr="00511159">
              <w:rPr>
                <w:rFonts w:hint="eastAsia"/>
                <w:sz w:val="18"/>
                <w:szCs w:val="18"/>
                <w:rtl/>
              </w:rPr>
              <w:t>הסכמי</w:t>
            </w:r>
            <w:r w:rsidRPr="00511159">
              <w:rPr>
                <w:sz w:val="18"/>
                <w:szCs w:val="18"/>
                <w:rtl/>
              </w:rPr>
              <w:t xml:space="preserve"> </w:t>
            </w:r>
            <w:r w:rsidRPr="00511159">
              <w:rPr>
                <w:rFonts w:hint="eastAsia"/>
                <w:sz w:val="18"/>
                <w:szCs w:val="18"/>
                <w:rtl/>
              </w:rPr>
              <w:t>קיזוז</w:t>
            </w:r>
          </w:p>
        </w:tc>
        <w:tc>
          <w:tcPr>
            <w:tcW w:w="1018" w:type="dxa"/>
            <w:tcBorders>
              <w:top w:val="nil"/>
              <w:left w:val="nil"/>
              <w:bottom w:val="nil"/>
              <w:right w:val="nil"/>
            </w:tcBorders>
            <w:vAlign w:val="bottom"/>
          </w:tcPr>
          <w:p w14:paraId="11A0CE88" w14:textId="77777777" w:rsidR="00912661" w:rsidRPr="00511159" w:rsidRDefault="00912661">
            <w:pPr>
              <w:pStyle w:val="-120"/>
              <w:pBdr>
                <w:top w:val="none" w:sz="0" w:space="0" w:color="auto"/>
                <w:bottom w:val="single" w:sz="4" w:space="1" w:color="auto"/>
              </w:pBdr>
              <w:jc w:val="left"/>
              <w:rPr>
                <w:szCs w:val="18"/>
                <w:rtl/>
              </w:rPr>
            </w:pPr>
            <w:r w:rsidRPr="00511159">
              <w:rPr>
                <w:szCs w:val="18"/>
                <w:rtl/>
              </w:rPr>
              <w:t>(0)</w:t>
            </w:r>
          </w:p>
        </w:tc>
        <w:tc>
          <w:tcPr>
            <w:tcW w:w="1018" w:type="dxa"/>
            <w:tcBorders>
              <w:top w:val="nil"/>
              <w:left w:val="nil"/>
              <w:bottom w:val="nil"/>
              <w:right w:val="nil"/>
            </w:tcBorders>
            <w:vAlign w:val="bottom"/>
          </w:tcPr>
          <w:p w14:paraId="611FE8B5" w14:textId="77777777" w:rsidR="00912661" w:rsidRPr="00511159" w:rsidRDefault="00912661">
            <w:pPr>
              <w:pStyle w:val="-120"/>
              <w:pBdr>
                <w:top w:val="none" w:sz="0" w:space="0" w:color="auto"/>
                <w:bottom w:val="single" w:sz="4" w:space="1" w:color="auto"/>
              </w:pBdr>
              <w:jc w:val="left"/>
              <w:rPr>
                <w:szCs w:val="18"/>
                <w:rtl/>
              </w:rPr>
            </w:pPr>
            <w:r w:rsidRPr="00511159">
              <w:rPr>
                <w:szCs w:val="18"/>
                <w:rtl/>
              </w:rPr>
              <w:t xml:space="preserve"> -</w:t>
            </w:r>
          </w:p>
        </w:tc>
        <w:tc>
          <w:tcPr>
            <w:tcW w:w="1018" w:type="dxa"/>
            <w:tcBorders>
              <w:top w:val="nil"/>
              <w:left w:val="nil"/>
              <w:bottom w:val="nil"/>
              <w:right w:val="nil"/>
            </w:tcBorders>
            <w:vAlign w:val="bottom"/>
          </w:tcPr>
          <w:p w14:paraId="202F5587" w14:textId="77777777" w:rsidR="00912661" w:rsidRPr="00511159" w:rsidRDefault="00912661">
            <w:pPr>
              <w:pStyle w:val="-120"/>
              <w:pBdr>
                <w:top w:val="none" w:sz="0" w:space="0" w:color="auto"/>
                <w:bottom w:val="single" w:sz="4" w:space="1" w:color="auto"/>
              </w:pBdr>
              <w:jc w:val="left"/>
              <w:rPr>
                <w:szCs w:val="18"/>
                <w:rtl/>
              </w:rPr>
            </w:pPr>
            <w:r w:rsidRPr="00511159">
              <w:rPr>
                <w:szCs w:val="18"/>
                <w:rtl/>
              </w:rPr>
              <w:t xml:space="preserve"> -</w:t>
            </w:r>
          </w:p>
        </w:tc>
        <w:tc>
          <w:tcPr>
            <w:tcW w:w="1018" w:type="dxa"/>
            <w:tcBorders>
              <w:top w:val="nil"/>
              <w:left w:val="nil"/>
              <w:bottom w:val="nil"/>
              <w:right w:val="nil"/>
            </w:tcBorders>
            <w:vAlign w:val="bottom"/>
          </w:tcPr>
          <w:p w14:paraId="52F0D37D" w14:textId="77777777" w:rsidR="00912661" w:rsidRPr="00511159" w:rsidRDefault="00912661">
            <w:pPr>
              <w:pStyle w:val="-120"/>
              <w:pBdr>
                <w:top w:val="none" w:sz="0" w:space="0" w:color="auto"/>
                <w:bottom w:val="single" w:sz="4" w:space="1" w:color="auto"/>
              </w:pBdr>
              <w:jc w:val="left"/>
              <w:rPr>
                <w:szCs w:val="18"/>
                <w:rtl/>
              </w:rPr>
            </w:pPr>
            <w:r w:rsidRPr="00511159">
              <w:rPr>
                <w:szCs w:val="18"/>
                <w:rtl/>
              </w:rPr>
              <w:t xml:space="preserve"> -</w:t>
            </w:r>
          </w:p>
        </w:tc>
        <w:tc>
          <w:tcPr>
            <w:tcW w:w="1018" w:type="dxa"/>
            <w:tcBorders>
              <w:top w:val="nil"/>
              <w:left w:val="nil"/>
              <w:bottom w:val="nil"/>
              <w:right w:val="nil"/>
            </w:tcBorders>
            <w:vAlign w:val="bottom"/>
          </w:tcPr>
          <w:p w14:paraId="7BEE4C21" w14:textId="77777777" w:rsidR="00912661" w:rsidRPr="00511159" w:rsidRDefault="00912661">
            <w:pPr>
              <w:pStyle w:val="-120"/>
              <w:pBdr>
                <w:top w:val="none" w:sz="0" w:space="0" w:color="auto"/>
                <w:bottom w:val="single" w:sz="4" w:space="1" w:color="auto"/>
              </w:pBdr>
              <w:jc w:val="left"/>
              <w:rPr>
                <w:szCs w:val="18"/>
                <w:rtl/>
              </w:rPr>
            </w:pPr>
            <w:r w:rsidRPr="00511159">
              <w:rPr>
                <w:szCs w:val="18"/>
                <w:rtl/>
              </w:rPr>
              <w:t>(0)</w:t>
            </w:r>
          </w:p>
        </w:tc>
      </w:tr>
      <w:tr w:rsidR="00912661" w:rsidRPr="00511159" w14:paraId="4CD9EEFB" w14:textId="77777777" w:rsidTr="00320C27">
        <w:trPr>
          <w:trHeight w:val="259"/>
        </w:trPr>
        <w:tc>
          <w:tcPr>
            <w:tcW w:w="1538" w:type="dxa"/>
            <w:tcBorders>
              <w:top w:val="nil"/>
              <w:left w:val="nil"/>
              <w:bottom w:val="nil"/>
              <w:right w:val="nil"/>
            </w:tcBorders>
          </w:tcPr>
          <w:p w14:paraId="0C6CCC19"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29D34CD4" w14:textId="77777777" w:rsidR="00912661" w:rsidRPr="00511159" w:rsidRDefault="00912661" w:rsidP="008A0C00">
            <w:pPr>
              <w:pStyle w:val="-b"/>
              <w:rPr>
                <w:sz w:val="18"/>
                <w:szCs w:val="18"/>
                <w:rtl/>
              </w:rPr>
            </w:pPr>
            <w:r w:rsidRPr="00511159">
              <w:rPr>
                <w:rFonts w:hint="eastAsia"/>
                <w:sz w:val="18"/>
                <w:szCs w:val="18"/>
                <w:rtl/>
              </w:rPr>
              <w:t>סך</w:t>
            </w:r>
            <w:r w:rsidRPr="00511159">
              <w:rPr>
                <w:sz w:val="18"/>
                <w:szCs w:val="18"/>
                <w:rtl/>
              </w:rPr>
              <w:t xml:space="preserve"> </w:t>
            </w:r>
            <w:r w:rsidRPr="00511159">
              <w:rPr>
                <w:rFonts w:hint="eastAsia"/>
                <w:sz w:val="18"/>
                <w:szCs w:val="18"/>
                <w:rtl/>
              </w:rPr>
              <w:t>כל</w:t>
            </w:r>
            <w:r w:rsidRPr="00511159">
              <w:rPr>
                <w:sz w:val="18"/>
                <w:szCs w:val="18"/>
                <w:rtl/>
              </w:rPr>
              <w:t xml:space="preserve"> </w:t>
            </w:r>
            <w:r w:rsidRPr="00511159">
              <w:rPr>
                <w:rFonts w:hint="eastAsia"/>
                <w:sz w:val="18"/>
                <w:szCs w:val="18"/>
                <w:rtl/>
              </w:rPr>
              <w:t>הנכסים</w:t>
            </w:r>
            <w:r w:rsidRPr="00511159">
              <w:rPr>
                <w:sz w:val="18"/>
                <w:szCs w:val="18"/>
                <w:rtl/>
              </w:rPr>
              <w:t xml:space="preserve"> </w:t>
            </w:r>
            <w:r w:rsidRPr="00511159">
              <w:rPr>
                <w:rFonts w:hint="eastAsia"/>
                <w:sz w:val="18"/>
                <w:szCs w:val="18"/>
                <w:rtl/>
              </w:rPr>
              <w:t>הפיננסיים</w:t>
            </w:r>
          </w:p>
        </w:tc>
        <w:tc>
          <w:tcPr>
            <w:tcW w:w="1018" w:type="dxa"/>
            <w:tcBorders>
              <w:top w:val="nil"/>
              <w:left w:val="nil"/>
              <w:bottom w:val="nil"/>
              <w:right w:val="nil"/>
            </w:tcBorders>
            <w:vAlign w:val="bottom"/>
          </w:tcPr>
          <w:p w14:paraId="2A372EB8" w14:textId="58DD4EBE" w:rsidR="00912661" w:rsidRPr="00511159" w:rsidRDefault="00912661">
            <w:pPr>
              <w:pStyle w:val="-f1"/>
              <w:pBdr>
                <w:top w:val="none" w:sz="0" w:space="0" w:color="auto"/>
              </w:pBdr>
              <w:rPr>
                <w:sz w:val="18"/>
                <w:szCs w:val="18"/>
                <w:rtl/>
              </w:rPr>
            </w:pPr>
            <w:r w:rsidRPr="00511159">
              <w:rPr>
                <w:sz w:val="18"/>
                <w:szCs w:val="18"/>
                <w:rtl/>
              </w:rPr>
              <w:t xml:space="preserve"> 0</w:t>
            </w:r>
            <w:r>
              <w:rPr>
                <w:rFonts w:hint="cs"/>
                <w:b w:val="0"/>
                <w:bCs w:val="0"/>
                <w:sz w:val="18"/>
                <w:szCs w:val="18"/>
                <w:vertAlign w:val="superscript"/>
                <w:rtl/>
              </w:rPr>
              <w:t xml:space="preserve"> </w:t>
            </w:r>
            <w:r w:rsidRPr="005D04BF">
              <w:rPr>
                <w:b w:val="0"/>
                <w:bCs w:val="0"/>
                <w:sz w:val="18"/>
                <w:szCs w:val="18"/>
                <w:vertAlign w:val="superscript"/>
                <w:rtl/>
              </w:rPr>
              <w:t>(</w:t>
            </w:r>
            <w:r w:rsidRPr="005D04BF">
              <w:rPr>
                <w:rFonts w:hint="cs"/>
                <w:b w:val="0"/>
                <w:bCs w:val="0"/>
                <w:sz w:val="18"/>
                <w:szCs w:val="18"/>
                <w:vertAlign w:val="superscript"/>
                <w:rtl/>
              </w:rPr>
              <w:t>א</w:t>
            </w:r>
            <w:r w:rsidRPr="005D04BF">
              <w:rPr>
                <w:b w:val="0"/>
                <w:bCs w:val="0"/>
                <w:sz w:val="18"/>
                <w:szCs w:val="18"/>
                <w:vertAlign w:val="superscript"/>
                <w:rtl/>
              </w:rPr>
              <w:t>)</w:t>
            </w:r>
          </w:p>
        </w:tc>
        <w:tc>
          <w:tcPr>
            <w:tcW w:w="1018" w:type="dxa"/>
            <w:tcBorders>
              <w:top w:val="nil"/>
              <w:left w:val="nil"/>
              <w:bottom w:val="nil"/>
              <w:right w:val="nil"/>
            </w:tcBorders>
            <w:vAlign w:val="bottom"/>
          </w:tcPr>
          <w:p w14:paraId="22080A2F" w14:textId="77777777" w:rsidR="00912661" w:rsidRPr="00511159" w:rsidRDefault="00912661">
            <w:pPr>
              <w:pStyle w:val="-f1"/>
              <w:pBdr>
                <w:top w:val="none" w:sz="0" w:space="0" w:color="auto"/>
              </w:pBdr>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297B6F8A" w14:textId="77777777" w:rsidR="00912661" w:rsidRPr="00511159" w:rsidRDefault="00912661">
            <w:pPr>
              <w:pStyle w:val="-f1"/>
              <w:pBdr>
                <w:top w:val="none" w:sz="0" w:space="0" w:color="auto"/>
              </w:pBdr>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7F72B907" w14:textId="77777777" w:rsidR="00912661" w:rsidRPr="00511159" w:rsidRDefault="00912661">
            <w:pPr>
              <w:pStyle w:val="-f1"/>
              <w:pBdr>
                <w:top w:val="none" w:sz="0" w:space="0" w:color="auto"/>
              </w:pBdr>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6F312EB6" w14:textId="77777777" w:rsidR="00912661" w:rsidRPr="00511159" w:rsidRDefault="00912661">
            <w:pPr>
              <w:pStyle w:val="-f1"/>
              <w:pBdr>
                <w:top w:val="none" w:sz="0" w:space="0" w:color="auto"/>
              </w:pBdr>
              <w:rPr>
                <w:sz w:val="18"/>
                <w:szCs w:val="18"/>
                <w:rtl/>
              </w:rPr>
            </w:pPr>
            <w:r w:rsidRPr="00511159">
              <w:rPr>
                <w:sz w:val="18"/>
                <w:szCs w:val="18"/>
                <w:rtl/>
              </w:rPr>
              <w:t xml:space="preserve"> 0</w:t>
            </w:r>
          </w:p>
        </w:tc>
      </w:tr>
      <w:tr w:rsidR="00912661" w:rsidRPr="00511159" w14:paraId="22F0D1C4" w14:textId="77777777" w:rsidTr="00320C27">
        <w:trPr>
          <w:trHeight w:hRule="exact" w:val="144"/>
        </w:trPr>
        <w:tc>
          <w:tcPr>
            <w:tcW w:w="1538" w:type="dxa"/>
            <w:tcBorders>
              <w:top w:val="nil"/>
              <w:left w:val="nil"/>
              <w:bottom w:val="nil"/>
              <w:right w:val="nil"/>
            </w:tcBorders>
          </w:tcPr>
          <w:p w14:paraId="5FB1FE8E"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165BDF01" w14:textId="77777777" w:rsidR="00912661" w:rsidRPr="00511159" w:rsidRDefault="00912661" w:rsidP="008A0C00">
            <w:pPr>
              <w:pStyle w:val="-0"/>
              <w:rPr>
                <w:sz w:val="18"/>
                <w:szCs w:val="18"/>
                <w:rtl/>
              </w:rPr>
            </w:pPr>
          </w:p>
        </w:tc>
        <w:tc>
          <w:tcPr>
            <w:tcW w:w="1018" w:type="dxa"/>
            <w:tcBorders>
              <w:top w:val="nil"/>
              <w:left w:val="nil"/>
              <w:bottom w:val="nil"/>
              <w:right w:val="nil"/>
            </w:tcBorders>
          </w:tcPr>
          <w:p w14:paraId="5D86DC2A" w14:textId="77777777" w:rsidR="00912661" w:rsidRPr="00511159" w:rsidRDefault="00912661">
            <w:pPr>
              <w:pStyle w:val="-12"/>
              <w:pBdr>
                <w:top w:val="none" w:sz="0" w:space="0" w:color="auto"/>
              </w:pBdr>
              <w:rPr>
                <w:sz w:val="18"/>
                <w:szCs w:val="18"/>
                <w:rtl/>
              </w:rPr>
            </w:pPr>
          </w:p>
        </w:tc>
        <w:tc>
          <w:tcPr>
            <w:tcW w:w="1018" w:type="dxa"/>
            <w:tcBorders>
              <w:top w:val="nil"/>
              <w:left w:val="nil"/>
              <w:bottom w:val="nil"/>
              <w:right w:val="nil"/>
            </w:tcBorders>
          </w:tcPr>
          <w:p w14:paraId="19B916F2" w14:textId="77777777" w:rsidR="00912661" w:rsidRPr="00511159" w:rsidRDefault="00912661">
            <w:pPr>
              <w:pStyle w:val="-12"/>
              <w:pBdr>
                <w:top w:val="none" w:sz="0" w:space="0" w:color="auto"/>
              </w:pBdr>
              <w:rPr>
                <w:sz w:val="18"/>
                <w:szCs w:val="18"/>
                <w:rtl/>
              </w:rPr>
            </w:pPr>
          </w:p>
        </w:tc>
        <w:tc>
          <w:tcPr>
            <w:tcW w:w="1018" w:type="dxa"/>
            <w:tcBorders>
              <w:top w:val="nil"/>
              <w:left w:val="nil"/>
              <w:bottom w:val="nil"/>
              <w:right w:val="nil"/>
            </w:tcBorders>
          </w:tcPr>
          <w:p w14:paraId="6CB1F3AA" w14:textId="77777777" w:rsidR="00912661" w:rsidRPr="00511159" w:rsidRDefault="00912661">
            <w:pPr>
              <w:pStyle w:val="-12"/>
              <w:pBdr>
                <w:top w:val="none" w:sz="0" w:space="0" w:color="auto"/>
              </w:pBdr>
              <w:rPr>
                <w:sz w:val="18"/>
                <w:szCs w:val="18"/>
                <w:rtl/>
              </w:rPr>
            </w:pPr>
          </w:p>
        </w:tc>
        <w:tc>
          <w:tcPr>
            <w:tcW w:w="1018" w:type="dxa"/>
            <w:tcBorders>
              <w:top w:val="nil"/>
              <w:left w:val="nil"/>
              <w:bottom w:val="nil"/>
              <w:right w:val="nil"/>
            </w:tcBorders>
          </w:tcPr>
          <w:p w14:paraId="01DDB1FB" w14:textId="77777777" w:rsidR="00912661" w:rsidRPr="00511159" w:rsidRDefault="00912661">
            <w:pPr>
              <w:pStyle w:val="-12"/>
              <w:pBdr>
                <w:top w:val="none" w:sz="0" w:space="0" w:color="auto"/>
              </w:pBdr>
              <w:rPr>
                <w:sz w:val="18"/>
                <w:szCs w:val="18"/>
                <w:rtl/>
              </w:rPr>
            </w:pPr>
          </w:p>
        </w:tc>
        <w:tc>
          <w:tcPr>
            <w:tcW w:w="1018" w:type="dxa"/>
            <w:tcBorders>
              <w:top w:val="nil"/>
              <w:left w:val="nil"/>
              <w:bottom w:val="nil"/>
              <w:right w:val="nil"/>
            </w:tcBorders>
          </w:tcPr>
          <w:p w14:paraId="310188FB" w14:textId="77777777" w:rsidR="00912661" w:rsidRPr="00511159" w:rsidRDefault="00912661">
            <w:pPr>
              <w:pStyle w:val="-12"/>
              <w:pBdr>
                <w:top w:val="none" w:sz="0" w:space="0" w:color="auto"/>
              </w:pBdr>
              <w:rPr>
                <w:sz w:val="18"/>
                <w:szCs w:val="18"/>
                <w:rtl/>
              </w:rPr>
            </w:pPr>
          </w:p>
        </w:tc>
      </w:tr>
      <w:tr w:rsidR="00912661" w:rsidRPr="00511159" w14:paraId="5E57FE64" w14:textId="77777777" w:rsidTr="00320C27">
        <w:trPr>
          <w:trHeight w:val="259"/>
        </w:trPr>
        <w:tc>
          <w:tcPr>
            <w:tcW w:w="1538" w:type="dxa"/>
            <w:tcBorders>
              <w:top w:val="nil"/>
              <w:left w:val="nil"/>
              <w:bottom w:val="nil"/>
              <w:right w:val="nil"/>
            </w:tcBorders>
          </w:tcPr>
          <w:p w14:paraId="0BAC08C0"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center"/>
          </w:tcPr>
          <w:p w14:paraId="43BDCF43" w14:textId="77777777" w:rsidR="00912661" w:rsidRPr="00511159" w:rsidRDefault="00912661" w:rsidP="008A0C00">
            <w:pPr>
              <w:pStyle w:val="-0"/>
              <w:rPr>
                <w:b/>
                <w:bCs/>
                <w:sz w:val="18"/>
                <w:szCs w:val="18"/>
                <w:u w:val="single"/>
                <w:rtl/>
              </w:rPr>
            </w:pPr>
            <w:r w:rsidRPr="00511159">
              <w:rPr>
                <w:b/>
                <w:bCs/>
                <w:sz w:val="18"/>
                <w:szCs w:val="18"/>
                <w:u w:val="single"/>
                <w:rtl/>
              </w:rPr>
              <w:t>התחייבויות פיננסיות</w:t>
            </w:r>
          </w:p>
        </w:tc>
        <w:tc>
          <w:tcPr>
            <w:tcW w:w="1018" w:type="dxa"/>
            <w:tcBorders>
              <w:top w:val="nil"/>
              <w:left w:val="nil"/>
              <w:bottom w:val="nil"/>
              <w:right w:val="nil"/>
            </w:tcBorders>
            <w:vAlign w:val="bottom"/>
          </w:tcPr>
          <w:p w14:paraId="63C51288" w14:textId="77777777" w:rsidR="00912661" w:rsidRPr="00511159" w:rsidRDefault="00912661">
            <w:pPr>
              <w:pStyle w:val="-7"/>
              <w:rPr>
                <w:sz w:val="18"/>
                <w:szCs w:val="18"/>
                <w:rtl/>
              </w:rPr>
            </w:pPr>
          </w:p>
        </w:tc>
        <w:tc>
          <w:tcPr>
            <w:tcW w:w="1018" w:type="dxa"/>
            <w:tcBorders>
              <w:top w:val="nil"/>
              <w:left w:val="nil"/>
              <w:bottom w:val="nil"/>
              <w:right w:val="nil"/>
            </w:tcBorders>
            <w:vAlign w:val="bottom"/>
          </w:tcPr>
          <w:p w14:paraId="1A64D967" w14:textId="77777777" w:rsidR="00912661" w:rsidRPr="00511159" w:rsidRDefault="00912661">
            <w:pPr>
              <w:pStyle w:val="-7"/>
              <w:rPr>
                <w:sz w:val="18"/>
                <w:szCs w:val="18"/>
                <w:rtl/>
              </w:rPr>
            </w:pPr>
          </w:p>
        </w:tc>
        <w:tc>
          <w:tcPr>
            <w:tcW w:w="1018" w:type="dxa"/>
            <w:tcBorders>
              <w:top w:val="nil"/>
              <w:left w:val="nil"/>
              <w:bottom w:val="nil"/>
              <w:right w:val="nil"/>
            </w:tcBorders>
            <w:vAlign w:val="bottom"/>
          </w:tcPr>
          <w:p w14:paraId="29F510C6" w14:textId="77777777" w:rsidR="00912661" w:rsidRPr="00511159" w:rsidRDefault="00912661">
            <w:pPr>
              <w:pStyle w:val="-7"/>
              <w:rPr>
                <w:sz w:val="18"/>
                <w:szCs w:val="18"/>
                <w:rtl/>
              </w:rPr>
            </w:pPr>
          </w:p>
        </w:tc>
        <w:tc>
          <w:tcPr>
            <w:tcW w:w="1018" w:type="dxa"/>
            <w:tcBorders>
              <w:top w:val="nil"/>
              <w:left w:val="nil"/>
              <w:bottom w:val="nil"/>
              <w:right w:val="nil"/>
            </w:tcBorders>
            <w:vAlign w:val="bottom"/>
          </w:tcPr>
          <w:p w14:paraId="399132EE" w14:textId="77777777" w:rsidR="00912661" w:rsidRPr="00511159" w:rsidRDefault="00912661">
            <w:pPr>
              <w:pStyle w:val="-7"/>
              <w:rPr>
                <w:sz w:val="18"/>
                <w:szCs w:val="18"/>
                <w:rtl/>
              </w:rPr>
            </w:pPr>
          </w:p>
        </w:tc>
        <w:tc>
          <w:tcPr>
            <w:tcW w:w="1018" w:type="dxa"/>
            <w:tcBorders>
              <w:top w:val="nil"/>
              <w:left w:val="nil"/>
              <w:bottom w:val="nil"/>
              <w:right w:val="nil"/>
            </w:tcBorders>
            <w:vAlign w:val="bottom"/>
          </w:tcPr>
          <w:p w14:paraId="125B9461" w14:textId="77777777" w:rsidR="00912661" w:rsidRPr="00511159" w:rsidRDefault="00912661">
            <w:pPr>
              <w:pStyle w:val="-7"/>
              <w:rPr>
                <w:sz w:val="18"/>
                <w:szCs w:val="18"/>
                <w:rtl/>
              </w:rPr>
            </w:pPr>
          </w:p>
        </w:tc>
      </w:tr>
      <w:tr w:rsidR="00912661" w:rsidRPr="00511159" w14:paraId="6E2C139A" w14:textId="77777777" w:rsidTr="00320C27">
        <w:trPr>
          <w:trHeight w:val="259"/>
        </w:trPr>
        <w:tc>
          <w:tcPr>
            <w:tcW w:w="1538" w:type="dxa"/>
            <w:tcBorders>
              <w:top w:val="nil"/>
              <w:left w:val="nil"/>
              <w:bottom w:val="nil"/>
              <w:right w:val="nil"/>
            </w:tcBorders>
          </w:tcPr>
          <w:p w14:paraId="70C72229"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330B810A" w14:textId="77777777" w:rsidR="00912661" w:rsidRPr="00511159" w:rsidRDefault="00912661" w:rsidP="008A0C00">
            <w:pPr>
              <w:pStyle w:val="-0"/>
              <w:rPr>
                <w:sz w:val="18"/>
                <w:szCs w:val="18"/>
                <w:rtl/>
              </w:rPr>
            </w:pPr>
            <w:r w:rsidRPr="00511159">
              <w:rPr>
                <w:sz w:val="18"/>
                <w:szCs w:val="18"/>
                <w:rtl/>
              </w:rPr>
              <w:t>פ</w:t>
            </w:r>
            <w:r w:rsidRPr="00511159">
              <w:rPr>
                <w:rFonts w:hint="eastAsia"/>
                <w:sz w:val="18"/>
                <w:szCs w:val="18"/>
                <w:rtl/>
              </w:rPr>
              <w:t>י</w:t>
            </w:r>
            <w:r w:rsidRPr="00511159">
              <w:rPr>
                <w:sz w:val="18"/>
                <w:szCs w:val="18"/>
                <w:rtl/>
              </w:rPr>
              <w:t>קדונות הציבור</w:t>
            </w:r>
          </w:p>
        </w:tc>
        <w:tc>
          <w:tcPr>
            <w:tcW w:w="1018" w:type="dxa"/>
            <w:tcBorders>
              <w:top w:val="nil"/>
              <w:left w:val="nil"/>
              <w:bottom w:val="nil"/>
              <w:right w:val="nil"/>
            </w:tcBorders>
            <w:vAlign w:val="bottom"/>
          </w:tcPr>
          <w:p w14:paraId="5B623067"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60E7BC1A"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352825BC"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603C738A"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0A295199" w14:textId="77777777" w:rsidR="00912661" w:rsidRPr="00511159" w:rsidRDefault="00912661">
            <w:pPr>
              <w:pStyle w:val="-3"/>
              <w:rPr>
                <w:sz w:val="18"/>
                <w:szCs w:val="18"/>
                <w:rtl/>
              </w:rPr>
            </w:pPr>
            <w:r w:rsidRPr="00511159">
              <w:rPr>
                <w:sz w:val="18"/>
                <w:szCs w:val="18"/>
                <w:rtl/>
              </w:rPr>
              <w:t>(0)</w:t>
            </w:r>
          </w:p>
        </w:tc>
      </w:tr>
      <w:tr w:rsidR="00912661" w:rsidRPr="00511159" w14:paraId="7E217153" w14:textId="77777777" w:rsidTr="00320C27">
        <w:trPr>
          <w:trHeight w:val="259"/>
        </w:trPr>
        <w:tc>
          <w:tcPr>
            <w:tcW w:w="1538" w:type="dxa"/>
            <w:tcBorders>
              <w:top w:val="nil"/>
              <w:left w:val="nil"/>
              <w:bottom w:val="nil"/>
              <w:right w:val="nil"/>
            </w:tcBorders>
          </w:tcPr>
          <w:p w14:paraId="2BF8DD8D"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267168E6" w14:textId="77777777" w:rsidR="00912661" w:rsidRPr="00511159" w:rsidRDefault="00912661" w:rsidP="008A0C00">
            <w:pPr>
              <w:pStyle w:val="-0"/>
              <w:rPr>
                <w:sz w:val="18"/>
                <w:szCs w:val="18"/>
                <w:rtl/>
              </w:rPr>
            </w:pPr>
            <w:r w:rsidRPr="00511159">
              <w:rPr>
                <w:sz w:val="18"/>
                <w:szCs w:val="18"/>
                <w:rtl/>
              </w:rPr>
              <w:t>פ</w:t>
            </w:r>
            <w:r w:rsidRPr="00511159">
              <w:rPr>
                <w:rFonts w:hint="eastAsia"/>
                <w:sz w:val="18"/>
                <w:szCs w:val="18"/>
                <w:rtl/>
              </w:rPr>
              <w:t>י</w:t>
            </w:r>
            <w:r w:rsidRPr="00511159">
              <w:rPr>
                <w:sz w:val="18"/>
                <w:szCs w:val="18"/>
                <w:rtl/>
              </w:rPr>
              <w:t>קדונות מבנקים</w:t>
            </w:r>
          </w:p>
        </w:tc>
        <w:tc>
          <w:tcPr>
            <w:tcW w:w="1018" w:type="dxa"/>
            <w:tcBorders>
              <w:top w:val="nil"/>
              <w:left w:val="nil"/>
              <w:bottom w:val="nil"/>
              <w:right w:val="nil"/>
            </w:tcBorders>
            <w:vAlign w:val="bottom"/>
          </w:tcPr>
          <w:p w14:paraId="67D2133F"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013953F9"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0F572325"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1CEBF1F3"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22ADBC67" w14:textId="77777777" w:rsidR="00912661" w:rsidRPr="00511159" w:rsidRDefault="00912661">
            <w:pPr>
              <w:pStyle w:val="-3"/>
              <w:rPr>
                <w:sz w:val="18"/>
                <w:szCs w:val="18"/>
                <w:rtl/>
              </w:rPr>
            </w:pPr>
            <w:r w:rsidRPr="00511159">
              <w:rPr>
                <w:sz w:val="18"/>
                <w:szCs w:val="18"/>
                <w:rtl/>
              </w:rPr>
              <w:t>(0)</w:t>
            </w:r>
          </w:p>
        </w:tc>
      </w:tr>
      <w:tr w:rsidR="00912661" w:rsidRPr="00511159" w14:paraId="08DF6B55" w14:textId="77777777" w:rsidTr="00320C27">
        <w:trPr>
          <w:trHeight w:val="259"/>
        </w:trPr>
        <w:tc>
          <w:tcPr>
            <w:tcW w:w="1538" w:type="dxa"/>
            <w:tcBorders>
              <w:top w:val="nil"/>
              <w:left w:val="nil"/>
              <w:bottom w:val="nil"/>
              <w:right w:val="nil"/>
            </w:tcBorders>
          </w:tcPr>
          <w:p w14:paraId="640584A9"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396ACC78" w14:textId="77777777" w:rsidR="00912661" w:rsidRPr="00511159" w:rsidRDefault="00912661" w:rsidP="008A0C00">
            <w:pPr>
              <w:pStyle w:val="-0"/>
              <w:rPr>
                <w:sz w:val="18"/>
                <w:szCs w:val="18"/>
                <w:rtl/>
              </w:rPr>
            </w:pPr>
            <w:r w:rsidRPr="00511159">
              <w:rPr>
                <w:sz w:val="18"/>
                <w:szCs w:val="18"/>
                <w:rtl/>
              </w:rPr>
              <w:t>פ</w:t>
            </w:r>
            <w:r w:rsidRPr="00511159">
              <w:rPr>
                <w:rFonts w:hint="eastAsia"/>
                <w:sz w:val="18"/>
                <w:szCs w:val="18"/>
                <w:rtl/>
              </w:rPr>
              <w:t>י</w:t>
            </w:r>
            <w:r w:rsidRPr="00511159">
              <w:rPr>
                <w:sz w:val="18"/>
                <w:szCs w:val="18"/>
                <w:rtl/>
              </w:rPr>
              <w:t>קדונות הממשלה</w:t>
            </w:r>
          </w:p>
        </w:tc>
        <w:tc>
          <w:tcPr>
            <w:tcW w:w="1018" w:type="dxa"/>
            <w:tcBorders>
              <w:top w:val="nil"/>
              <w:left w:val="nil"/>
              <w:bottom w:val="nil"/>
              <w:right w:val="nil"/>
            </w:tcBorders>
            <w:vAlign w:val="bottom"/>
          </w:tcPr>
          <w:p w14:paraId="5132F0FC"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2A53C1C6"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6A3D94AE"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577DC98D"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0FAA071C" w14:textId="77777777" w:rsidR="00912661" w:rsidRPr="00511159" w:rsidRDefault="00912661">
            <w:pPr>
              <w:pStyle w:val="-3"/>
              <w:rPr>
                <w:sz w:val="18"/>
                <w:szCs w:val="18"/>
                <w:rtl/>
              </w:rPr>
            </w:pPr>
            <w:r w:rsidRPr="00511159">
              <w:rPr>
                <w:sz w:val="18"/>
                <w:szCs w:val="18"/>
                <w:rtl/>
              </w:rPr>
              <w:t>(0)</w:t>
            </w:r>
          </w:p>
        </w:tc>
      </w:tr>
      <w:tr w:rsidR="00912661" w:rsidRPr="00511159" w14:paraId="4456F331" w14:textId="77777777" w:rsidTr="00320C27">
        <w:trPr>
          <w:trHeight w:val="259"/>
        </w:trPr>
        <w:tc>
          <w:tcPr>
            <w:tcW w:w="1538" w:type="dxa"/>
            <w:tcBorders>
              <w:top w:val="nil"/>
              <w:left w:val="nil"/>
              <w:bottom w:val="nil"/>
              <w:right w:val="nil"/>
            </w:tcBorders>
          </w:tcPr>
          <w:p w14:paraId="7E254B28"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4933E098" w14:textId="77777777" w:rsidR="00912661" w:rsidRPr="00511159" w:rsidRDefault="00912661" w:rsidP="008A0C00">
            <w:pPr>
              <w:pStyle w:val="-21"/>
              <w:rPr>
                <w:sz w:val="18"/>
                <w:szCs w:val="18"/>
                <w:rtl/>
              </w:rPr>
            </w:pPr>
            <w:r w:rsidRPr="00511159">
              <w:rPr>
                <w:rFonts w:hint="eastAsia"/>
                <w:sz w:val="18"/>
                <w:szCs w:val="18"/>
                <w:rtl/>
              </w:rPr>
              <w:t>ניירות</w:t>
            </w:r>
            <w:r w:rsidRPr="00511159">
              <w:rPr>
                <w:sz w:val="18"/>
                <w:szCs w:val="18"/>
                <w:rtl/>
              </w:rPr>
              <w:t xml:space="preserve"> </w:t>
            </w:r>
            <w:r w:rsidRPr="00511159">
              <w:rPr>
                <w:rFonts w:hint="eastAsia"/>
                <w:sz w:val="18"/>
                <w:szCs w:val="18"/>
                <w:rtl/>
              </w:rPr>
              <w:t>ערך</w:t>
            </w:r>
            <w:r w:rsidRPr="00511159">
              <w:rPr>
                <w:sz w:val="18"/>
                <w:szCs w:val="18"/>
                <w:rtl/>
              </w:rPr>
              <w:t xml:space="preserve"> </w:t>
            </w:r>
            <w:r w:rsidRPr="00511159">
              <w:rPr>
                <w:rFonts w:hint="eastAsia"/>
                <w:sz w:val="18"/>
                <w:szCs w:val="18"/>
                <w:rtl/>
              </w:rPr>
              <w:t>שהושאלו</w:t>
            </w:r>
            <w:r w:rsidRPr="00511159">
              <w:rPr>
                <w:sz w:val="18"/>
                <w:szCs w:val="18"/>
                <w:rtl/>
              </w:rPr>
              <w:t xml:space="preserve"> </w:t>
            </w:r>
            <w:r w:rsidRPr="00511159">
              <w:rPr>
                <w:rFonts w:hint="eastAsia"/>
                <w:sz w:val="18"/>
                <w:szCs w:val="18"/>
                <w:rtl/>
              </w:rPr>
              <w:t>או</w:t>
            </w:r>
            <w:r w:rsidRPr="00511159">
              <w:rPr>
                <w:sz w:val="18"/>
                <w:szCs w:val="18"/>
                <w:rtl/>
              </w:rPr>
              <w:t xml:space="preserve"> </w:t>
            </w:r>
            <w:r w:rsidRPr="00511159">
              <w:rPr>
                <w:rFonts w:hint="eastAsia"/>
                <w:sz w:val="18"/>
                <w:szCs w:val="18"/>
                <w:rtl/>
              </w:rPr>
              <w:t>נמכרו</w:t>
            </w:r>
            <w:r w:rsidRPr="00511159">
              <w:rPr>
                <w:sz w:val="18"/>
                <w:szCs w:val="18"/>
                <w:rtl/>
              </w:rPr>
              <w:t xml:space="preserve"> </w:t>
            </w:r>
            <w:r w:rsidRPr="00511159">
              <w:rPr>
                <w:rFonts w:hint="eastAsia"/>
                <w:sz w:val="18"/>
                <w:szCs w:val="18"/>
                <w:rtl/>
              </w:rPr>
              <w:t>במסגרת</w:t>
            </w:r>
            <w:r w:rsidRPr="00511159">
              <w:rPr>
                <w:sz w:val="18"/>
                <w:szCs w:val="18"/>
                <w:rtl/>
              </w:rPr>
              <w:t xml:space="preserve"> </w:t>
            </w:r>
            <w:r w:rsidRPr="00511159">
              <w:rPr>
                <w:rFonts w:hint="eastAsia"/>
                <w:sz w:val="18"/>
                <w:szCs w:val="18"/>
                <w:rtl/>
              </w:rPr>
              <w:t>הסכמי</w:t>
            </w:r>
            <w:r w:rsidRPr="00511159">
              <w:rPr>
                <w:sz w:val="18"/>
                <w:szCs w:val="18"/>
                <w:rtl/>
              </w:rPr>
              <w:t xml:space="preserve"> </w:t>
            </w:r>
            <w:r w:rsidRPr="00511159">
              <w:rPr>
                <w:rFonts w:hint="eastAsia"/>
                <w:sz w:val="18"/>
                <w:szCs w:val="18"/>
                <w:rtl/>
              </w:rPr>
              <w:t>רכש</w:t>
            </w:r>
            <w:r w:rsidRPr="00511159">
              <w:rPr>
                <w:sz w:val="18"/>
                <w:szCs w:val="18"/>
                <w:rtl/>
              </w:rPr>
              <w:t xml:space="preserve"> </w:t>
            </w:r>
            <w:r w:rsidRPr="00511159">
              <w:rPr>
                <w:rFonts w:hint="eastAsia"/>
                <w:sz w:val="18"/>
                <w:szCs w:val="18"/>
                <w:rtl/>
              </w:rPr>
              <w:t>חוזר</w:t>
            </w:r>
          </w:p>
        </w:tc>
        <w:tc>
          <w:tcPr>
            <w:tcW w:w="1018" w:type="dxa"/>
            <w:tcBorders>
              <w:top w:val="nil"/>
              <w:left w:val="nil"/>
              <w:bottom w:val="nil"/>
              <w:right w:val="nil"/>
            </w:tcBorders>
            <w:vAlign w:val="bottom"/>
          </w:tcPr>
          <w:p w14:paraId="663C14D6"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29F84BFB"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3587A7CA"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303CAE6D"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22FC4E5C" w14:textId="77777777" w:rsidR="00912661" w:rsidRPr="00511159" w:rsidRDefault="00912661">
            <w:pPr>
              <w:pStyle w:val="-3"/>
              <w:rPr>
                <w:sz w:val="18"/>
                <w:szCs w:val="18"/>
                <w:rtl/>
              </w:rPr>
            </w:pPr>
            <w:r w:rsidRPr="00511159">
              <w:rPr>
                <w:sz w:val="18"/>
                <w:szCs w:val="18"/>
                <w:rtl/>
              </w:rPr>
              <w:t>(0)</w:t>
            </w:r>
          </w:p>
        </w:tc>
      </w:tr>
      <w:tr w:rsidR="00912661" w:rsidRPr="00511159" w14:paraId="6B2DFFC0" w14:textId="77777777" w:rsidTr="00320C27">
        <w:trPr>
          <w:trHeight w:val="259"/>
        </w:trPr>
        <w:tc>
          <w:tcPr>
            <w:tcW w:w="1538" w:type="dxa"/>
            <w:tcBorders>
              <w:top w:val="nil"/>
              <w:left w:val="nil"/>
              <w:bottom w:val="nil"/>
              <w:right w:val="nil"/>
            </w:tcBorders>
          </w:tcPr>
          <w:p w14:paraId="56BC7B7C"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29B0117D" w14:textId="77777777" w:rsidR="00912661" w:rsidRPr="00511159" w:rsidRDefault="00912661" w:rsidP="008A0C00">
            <w:pPr>
              <w:pStyle w:val="-0"/>
              <w:rPr>
                <w:sz w:val="18"/>
                <w:szCs w:val="18"/>
                <w:rtl/>
              </w:rPr>
            </w:pPr>
            <w:r w:rsidRPr="00511159">
              <w:rPr>
                <w:sz w:val="18"/>
                <w:szCs w:val="18"/>
                <w:rtl/>
              </w:rPr>
              <w:t>אגרות חוב וכתבי התחייבות נדחים</w:t>
            </w:r>
          </w:p>
        </w:tc>
        <w:tc>
          <w:tcPr>
            <w:tcW w:w="1018" w:type="dxa"/>
            <w:tcBorders>
              <w:top w:val="nil"/>
              <w:left w:val="nil"/>
              <w:bottom w:val="nil"/>
              <w:right w:val="nil"/>
            </w:tcBorders>
            <w:vAlign w:val="bottom"/>
          </w:tcPr>
          <w:p w14:paraId="629B9E82"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071CC09D"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75160346"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68889621"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5AF45A03" w14:textId="77777777" w:rsidR="00912661" w:rsidRPr="00511159" w:rsidRDefault="00912661">
            <w:pPr>
              <w:pStyle w:val="-3"/>
              <w:rPr>
                <w:sz w:val="18"/>
                <w:szCs w:val="18"/>
                <w:rtl/>
              </w:rPr>
            </w:pPr>
            <w:r w:rsidRPr="00511159">
              <w:rPr>
                <w:sz w:val="18"/>
                <w:szCs w:val="18"/>
                <w:rtl/>
              </w:rPr>
              <w:t>(0)</w:t>
            </w:r>
          </w:p>
        </w:tc>
      </w:tr>
      <w:tr w:rsidR="00912661" w:rsidRPr="00511159" w14:paraId="53CAF543" w14:textId="77777777" w:rsidTr="00320C27">
        <w:trPr>
          <w:trHeight w:val="259"/>
        </w:trPr>
        <w:tc>
          <w:tcPr>
            <w:tcW w:w="1538" w:type="dxa"/>
            <w:tcBorders>
              <w:top w:val="nil"/>
              <w:left w:val="nil"/>
              <w:bottom w:val="nil"/>
              <w:right w:val="nil"/>
            </w:tcBorders>
          </w:tcPr>
          <w:p w14:paraId="5EB960B5"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47B17859" w14:textId="77777777" w:rsidR="00912661" w:rsidRPr="00511159" w:rsidRDefault="00912661" w:rsidP="008A0C00">
            <w:pPr>
              <w:pStyle w:val="-0"/>
              <w:rPr>
                <w:sz w:val="18"/>
                <w:szCs w:val="18"/>
                <w:rtl/>
              </w:rPr>
            </w:pPr>
            <w:r w:rsidRPr="00511159">
              <w:rPr>
                <w:rFonts w:hint="eastAsia"/>
                <w:sz w:val="18"/>
                <w:szCs w:val="18"/>
                <w:rtl/>
              </w:rPr>
              <w:t>התחייבויות</w:t>
            </w:r>
            <w:r w:rsidRPr="00511159">
              <w:rPr>
                <w:sz w:val="18"/>
                <w:szCs w:val="18"/>
                <w:rtl/>
              </w:rPr>
              <w:t xml:space="preserve"> </w:t>
            </w:r>
            <w:r w:rsidRPr="00511159">
              <w:rPr>
                <w:rFonts w:hint="eastAsia"/>
                <w:sz w:val="18"/>
                <w:szCs w:val="18"/>
                <w:rtl/>
              </w:rPr>
              <w:t>בגין</w:t>
            </w:r>
            <w:r w:rsidRPr="00511159">
              <w:rPr>
                <w:sz w:val="18"/>
                <w:szCs w:val="18"/>
                <w:rtl/>
              </w:rPr>
              <w:t xml:space="preserve"> </w:t>
            </w:r>
            <w:r w:rsidRPr="00511159">
              <w:rPr>
                <w:rFonts w:hint="eastAsia"/>
                <w:sz w:val="18"/>
                <w:szCs w:val="18"/>
                <w:rtl/>
              </w:rPr>
              <w:t>מכשירים</w:t>
            </w:r>
            <w:r w:rsidRPr="00511159">
              <w:rPr>
                <w:sz w:val="18"/>
                <w:szCs w:val="18"/>
                <w:rtl/>
              </w:rPr>
              <w:t xml:space="preserve"> </w:t>
            </w:r>
            <w:r w:rsidRPr="00511159">
              <w:rPr>
                <w:rFonts w:hint="eastAsia"/>
                <w:sz w:val="18"/>
                <w:szCs w:val="18"/>
                <w:rtl/>
              </w:rPr>
              <w:t>נגזרים</w:t>
            </w:r>
          </w:p>
        </w:tc>
        <w:tc>
          <w:tcPr>
            <w:tcW w:w="1018" w:type="dxa"/>
            <w:tcBorders>
              <w:top w:val="nil"/>
              <w:left w:val="nil"/>
              <w:bottom w:val="nil"/>
              <w:right w:val="nil"/>
            </w:tcBorders>
            <w:vAlign w:val="bottom"/>
          </w:tcPr>
          <w:p w14:paraId="7E62DBF3"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319CEF84"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6C9D66B4"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6D79F9BB" w14:textId="77777777" w:rsidR="00912661" w:rsidRPr="00511159" w:rsidRDefault="00912661">
            <w:pPr>
              <w:pStyle w:val="-3"/>
              <w:rPr>
                <w:sz w:val="18"/>
                <w:szCs w:val="18"/>
                <w:rtl/>
              </w:rPr>
            </w:pPr>
            <w:r w:rsidRPr="00511159">
              <w:rPr>
                <w:sz w:val="18"/>
                <w:szCs w:val="18"/>
                <w:rtl/>
              </w:rPr>
              <w:t>(0)</w:t>
            </w:r>
          </w:p>
        </w:tc>
        <w:tc>
          <w:tcPr>
            <w:tcW w:w="1018" w:type="dxa"/>
            <w:tcBorders>
              <w:top w:val="nil"/>
              <w:left w:val="nil"/>
              <w:bottom w:val="nil"/>
              <w:right w:val="nil"/>
            </w:tcBorders>
            <w:vAlign w:val="bottom"/>
          </w:tcPr>
          <w:p w14:paraId="7B6E5BF6" w14:textId="77777777" w:rsidR="00912661" w:rsidRPr="00511159" w:rsidRDefault="00912661">
            <w:pPr>
              <w:pStyle w:val="-3"/>
              <w:rPr>
                <w:sz w:val="18"/>
                <w:szCs w:val="18"/>
                <w:rtl/>
              </w:rPr>
            </w:pPr>
            <w:r w:rsidRPr="00511159">
              <w:rPr>
                <w:sz w:val="18"/>
                <w:szCs w:val="18"/>
                <w:rtl/>
              </w:rPr>
              <w:t>(0)</w:t>
            </w:r>
          </w:p>
        </w:tc>
      </w:tr>
      <w:tr w:rsidR="00912661" w:rsidRPr="00511159" w14:paraId="066614EB" w14:textId="77777777" w:rsidTr="00320C27">
        <w:trPr>
          <w:trHeight w:val="259"/>
        </w:trPr>
        <w:tc>
          <w:tcPr>
            <w:tcW w:w="1538" w:type="dxa"/>
            <w:tcBorders>
              <w:top w:val="nil"/>
              <w:left w:val="nil"/>
              <w:bottom w:val="nil"/>
              <w:right w:val="nil"/>
            </w:tcBorders>
          </w:tcPr>
          <w:p w14:paraId="2C2FDFC9"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4326ABDD" w14:textId="77777777" w:rsidR="00912661" w:rsidRPr="00511159" w:rsidRDefault="00912661" w:rsidP="008A0C00">
            <w:pPr>
              <w:pStyle w:val="-0"/>
              <w:rPr>
                <w:sz w:val="18"/>
                <w:szCs w:val="18"/>
                <w:rtl/>
              </w:rPr>
            </w:pPr>
            <w:r w:rsidRPr="00511159">
              <w:rPr>
                <w:sz w:val="18"/>
                <w:szCs w:val="18"/>
                <w:rtl/>
              </w:rPr>
              <w:t xml:space="preserve">התחייבויות פיננסיות אחרות </w:t>
            </w:r>
          </w:p>
        </w:tc>
        <w:tc>
          <w:tcPr>
            <w:tcW w:w="1018" w:type="dxa"/>
            <w:tcBorders>
              <w:top w:val="nil"/>
              <w:left w:val="nil"/>
              <w:bottom w:val="nil"/>
              <w:right w:val="nil"/>
            </w:tcBorders>
            <w:vAlign w:val="bottom"/>
          </w:tcPr>
          <w:p w14:paraId="3D9C16E6" w14:textId="77777777" w:rsidR="00912661" w:rsidRPr="00511159" w:rsidRDefault="00912661">
            <w:pPr>
              <w:pStyle w:val="-3"/>
              <w:pBdr>
                <w:bottom w:val="single" w:sz="4" w:space="1" w:color="auto"/>
              </w:pBdr>
              <w:rPr>
                <w:sz w:val="18"/>
                <w:szCs w:val="18"/>
                <w:rtl/>
              </w:rPr>
            </w:pPr>
            <w:r w:rsidRPr="00511159">
              <w:rPr>
                <w:sz w:val="18"/>
                <w:szCs w:val="18"/>
                <w:rtl/>
              </w:rPr>
              <w:t>(0)</w:t>
            </w:r>
          </w:p>
        </w:tc>
        <w:tc>
          <w:tcPr>
            <w:tcW w:w="1018" w:type="dxa"/>
            <w:tcBorders>
              <w:top w:val="nil"/>
              <w:left w:val="nil"/>
              <w:bottom w:val="nil"/>
              <w:right w:val="nil"/>
            </w:tcBorders>
            <w:vAlign w:val="bottom"/>
          </w:tcPr>
          <w:p w14:paraId="282758B0" w14:textId="77777777" w:rsidR="00912661" w:rsidRPr="00511159" w:rsidRDefault="00912661">
            <w:pPr>
              <w:pStyle w:val="-3"/>
              <w:pBdr>
                <w:bottom w:val="single" w:sz="4" w:space="1" w:color="auto"/>
              </w:pBdr>
              <w:rPr>
                <w:sz w:val="18"/>
                <w:szCs w:val="18"/>
                <w:rtl/>
              </w:rPr>
            </w:pPr>
            <w:r w:rsidRPr="00511159">
              <w:rPr>
                <w:sz w:val="18"/>
                <w:szCs w:val="18"/>
                <w:rtl/>
              </w:rPr>
              <w:t>(0)</w:t>
            </w:r>
          </w:p>
        </w:tc>
        <w:tc>
          <w:tcPr>
            <w:tcW w:w="1018" w:type="dxa"/>
            <w:tcBorders>
              <w:top w:val="nil"/>
              <w:left w:val="nil"/>
              <w:bottom w:val="nil"/>
              <w:right w:val="nil"/>
            </w:tcBorders>
            <w:vAlign w:val="bottom"/>
          </w:tcPr>
          <w:p w14:paraId="08821755" w14:textId="77777777" w:rsidR="00912661" w:rsidRPr="00511159" w:rsidRDefault="00912661">
            <w:pPr>
              <w:pStyle w:val="-3"/>
              <w:pBdr>
                <w:bottom w:val="single" w:sz="4" w:space="1" w:color="auto"/>
              </w:pBdr>
              <w:rPr>
                <w:sz w:val="18"/>
                <w:szCs w:val="18"/>
                <w:rtl/>
              </w:rPr>
            </w:pPr>
            <w:r w:rsidRPr="00511159">
              <w:rPr>
                <w:sz w:val="18"/>
                <w:szCs w:val="18"/>
                <w:rtl/>
              </w:rPr>
              <w:t>(0)</w:t>
            </w:r>
          </w:p>
        </w:tc>
        <w:tc>
          <w:tcPr>
            <w:tcW w:w="1018" w:type="dxa"/>
            <w:tcBorders>
              <w:top w:val="nil"/>
              <w:left w:val="nil"/>
              <w:bottom w:val="nil"/>
              <w:right w:val="nil"/>
            </w:tcBorders>
            <w:vAlign w:val="bottom"/>
          </w:tcPr>
          <w:p w14:paraId="01C5BE9F" w14:textId="77777777" w:rsidR="00912661" w:rsidRPr="00511159" w:rsidRDefault="00912661">
            <w:pPr>
              <w:pStyle w:val="-3"/>
              <w:pBdr>
                <w:bottom w:val="single" w:sz="4" w:space="1" w:color="auto"/>
              </w:pBdr>
              <w:rPr>
                <w:sz w:val="18"/>
                <w:szCs w:val="18"/>
                <w:rtl/>
              </w:rPr>
            </w:pPr>
            <w:r w:rsidRPr="00511159">
              <w:rPr>
                <w:sz w:val="18"/>
                <w:szCs w:val="18"/>
                <w:rtl/>
              </w:rPr>
              <w:t>(0)</w:t>
            </w:r>
          </w:p>
        </w:tc>
        <w:tc>
          <w:tcPr>
            <w:tcW w:w="1018" w:type="dxa"/>
            <w:tcBorders>
              <w:top w:val="nil"/>
              <w:left w:val="nil"/>
              <w:bottom w:val="nil"/>
              <w:right w:val="nil"/>
            </w:tcBorders>
            <w:vAlign w:val="bottom"/>
          </w:tcPr>
          <w:p w14:paraId="1A2E89B8" w14:textId="77777777" w:rsidR="00912661" w:rsidRPr="00511159" w:rsidRDefault="00912661">
            <w:pPr>
              <w:pStyle w:val="-3"/>
              <w:pBdr>
                <w:bottom w:val="single" w:sz="4" w:space="1" w:color="auto"/>
              </w:pBdr>
              <w:rPr>
                <w:sz w:val="18"/>
                <w:szCs w:val="18"/>
                <w:rtl/>
              </w:rPr>
            </w:pPr>
            <w:r w:rsidRPr="00511159">
              <w:rPr>
                <w:sz w:val="18"/>
                <w:szCs w:val="18"/>
                <w:rtl/>
              </w:rPr>
              <w:t>(0)</w:t>
            </w:r>
          </w:p>
        </w:tc>
      </w:tr>
      <w:tr w:rsidR="00912661" w:rsidRPr="00511159" w14:paraId="494AACB4" w14:textId="77777777" w:rsidTr="00320C27">
        <w:trPr>
          <w:trHeight w:val="259"/>
        </w:trPr>
        <w:tc>
          <w:tcPr>
            <w:tcW w:w="1538" w:type="dxa"/>
            <w:tcBorders>
              <w:top w:val="nil"/>
              <w:left w:val="nil"/>
              <w:bottom w:val="nil"/>
              <w:right w:val="nil"/>
            </w:tcBorders>
          </w:tcPr>
          <w:p w14:paraId="153D20EA"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40329A97" w14:textId="77777777" w:rsidR="00912661" w:rsidRPr="00511159" w:rsidRDefault="00912661" w:rsidP="008A0C00">
            <w:pPr>
              <w:pStyle w:val="-0"/>
              <w:rPr>
                <w:sz w:val="18"/>
                <w:szCs w:val="18"/>
                <w:rtl/>
              </w:rPr>
            </w:pPr>
            <w:r w:rsidRPr="00511159">
              <w:rPr>
                <w:rFonts w:hint="eastAsia"/>
                <w:sz w:val="18"/>
                <w:szCs w:val="18"/>
                <w:rtl/>
              </w:rPr>
              <w:t>השפעת</w:t>
            </w:r>
            <w:r w:rsidRPr="00511159">
              <w:rPr>
                <w:sz w:val="18"/>
                <w:szCs w:val="18"/>
                <w:rtl/>
              </w:rPr>
              <w:t xml:space="preserve"> </w:t>
            </w:r>
            <w:r w:rsidRPr="00511159">
              <w:rPr>
                <w:rFonts w:hint="eastAsia"/>
                <w:sz w:val="18"/>
                <w:szCs w:val="18"/>
                <w:rtl/>
              </w:rPr>
              <w:t>הסכמי</w:t>
            </w:r>
            <w:r w:rsidRPr="00511159">
              <w:rPr>
                <w:sz w:val="18"/>
                <w:szCs w:val="18"/>
                <w:rtl/>
              </w:rPr>
              <w:t xml:space="preserve"> </w:t>
            </w:r>
            <w:r w:rsidRPr="00511159">
              <w:rPr>
                <w:rFonts w:hint="eastAsia"/>
                <w:sz w:val="18"/>
                <w:szCs w:val="18"/>
                <w:rtl/>
              </w:rPr>
              <w:t>קיזוז</w:t>
            </w:r>
          </w:p>
        </w:tc>
        <w:tc>
          <w:tcPr>
            <w:tcW w:w="1018" w:type="dxa"/>
            <w:tcBorders>
              <w:top w:val="nil"/>
              <w:left w:val="nil"/>
              <w:bottom w:val="nil"/>
              <w:right w:val="nil"/>
            </w:tcBorders>
            <w:vAlign w:val="bottom"/>
          </w:tcPr>
          <w:p w14:paraId="7061681F" w14:textId="77777777" w:rsidR="00912661" w:rsidRPr="00511159" w:rsidRDefault="00912661">
            <w:pPr>
              <w:pStyle w:val="-120"/>
              <w:pBdr>
                <w:top w:val="none" w:sz="0" w:space="0" w:color="auto"/>
                <w:bottom w:val="single" w:sz="4" w:space="1" w:color="auto"/>
              </w:pBdr>
              <w:jc w:val="left"/>
              <w:rPr>
                <w:szCs w:val="18"/>
                <w:rtl/>
              </w:rPr>
            </w:pPr>
            <w:r w:rsidRPr="00511159">
              <w:rPr>
                <w:szCs w:val="18"/>
                <w:rtl/>
              </w:rPr>
              <w:t xml:space="preserve"> 0</w:t>
            </w:r>
          </w:p>
        </w:tc>
        <w:tc>
          <w:tcPr>
            <w:tcW w:w="1018" w:type="dxa"/>
            <w:tcBorders>
              <w:top w:val="nil"/>
              <w:left w:val="nil"/>
              <w:bottom w:val="nil"/>
              <w:right w:val="nil"/>
            </w:tcBorders>
            <w:vAlign w:val="bottom"/>
          </w:tcPr>
          <w:p w14:paraId="63E46239" w14:textId="77777777" w:rsidR="00912661" w:rsidRPr="00511159" w:rsidRDefault="00912661">
            <w:pPr>
              <w:pStyle w:val="-120"/>
              <w:pBdr>
                <w:top w:val="none" w:sz="0" w:space="0" w:color="auto"/>
                <w:bottom w:val="single" w:sz="4" w:space="1" w:color="auto"/>
              </w:pBdr>
              <w:jc w:val="left"/>
              <w:rPr>
                <w:szCs w:val="18"/>
                <w:rtl/>
              </w:rPr>
            </w:pPr>
            <w:r w:rsidRPr="00511159">
              <w:rPr>
                <w:szCs w:val="18"/>
                <w:rtl/>
              </w:rPr>
              <w:t xml:space="preserve"> -</w:t>
            </w:r>
          </w:p>
        </w:tc>
        <w:tc>
          <w:tcPr>
            <w:tcW w:w="1018" w:type="dxa"/>
            <w:tcBorders>
              <w:top w:val="nil"/>
              <w:left w:val="nil"/>
              <w:bottom w:val="nil"/>
              <w:right w:val="nil"/>
            </w:tcBorders>
            <w:vAlign w:val="bottom"/>
          </w:tcPr>
          <w:p w14:paraId="4B991360" w14:textId="77777777" w:rsidR="00912661" w:rsidRPr="00511159" w:rsidRDefault="00912661">
            <w:pPr>
              <w:pStyle w:val="-120"/>
              <w:pBdr>
                <w:top w:val="none" w:sz="0" w:space="0" w:color="auto"/>
                <w:bottom w:val="single" w:sz="4" w:space="1" w:color="auto"/>
              </w:pBdr>
              <w:jc w:val="left"/>
              <w:rPr>
                <w:szCs w:val="18"/>
                <w:rtl/>
              </w:rPr>
            </w:pPr>
            <w:r w:rsidRPr="00511159">
              <w:rPr>
                <w:szCs w:val="18"/>
                <w:rtl/>
              </w:rPr>
              <w:t xml:space="preserve"> -</w:t>
            </w:r>
          </w:p>
        </w:tc>
        <w:tc>
          <w:tcPr>
            <w:tcW w:w="1018" w:type="dxa"/>
            <w:tcBorders>
              <w:top w:val="nil"/>
              <w:left w:val="nil"/>
              <w:bottom w:val="nil"/>
              <w:right w:val="nil"/>
            </w:tcBorders>
            <w:vAlign w:val="bottom"/>
          </w:tcPr>
          <w:p w14:paraId="4A892E94" w14:textId="77777777" w:rsidR="00912661" w:rsidRPr="00511159" w:rsidRDefault="00912661">
            <w:pPr>
              <w:pStyle w:val="-120"/>
              <w:pBdr>
                <w:top w:val="none" w:sz="0" w:space="0" w:color="auto"/>
                <w:bottom w:val="single" w:sz="4" w:space="1" w:color="auto"/>
              </w:pBdr>
              <w:jc w:val="left"/>
              <w:rPr>
                <w:szCs w:val="18"/>
                <w:rtl/>
              </w:rPr>
            </w:pPr>
            <w:r w:rsidRPr="00511159">
              <w:rPr>
                <w:szCs w:val="18"/>
                <w:rtl/>
              </w:rPr>
              <w:t xml:space="preserve"> -</w:t>
            </w:r>
          </w:p>
        </w:tc>
        <w:tc>
          <w:tcPr>
            <w:tcW w:w="1018" w:type="dxa"/>
            <w:tcBorders>
              <w:top w:val="nil"/>
              <w:left w:val="nil"/>
              <w:bottom w:val="nil"/>
              <w:right w:val="nil"/>
            </w:tcBorders>
            <w:vAlign w:val="bottom"/>
          </w:tcPr>
          <w:p w14:paraId="0BCCC267" w14:textId="77777777" w:rsidR="00912661" w:rsidRPr="00511159" w:rsidRDefault="00912661">
            <w:pPr>
              <w:pStyle w:val="-120"/>
              <w:pBdr>
                <w:top w:val="none" w:sz="0" w:space="0" w:color="auto"/>
                <w:bottom w:val="single" w:sz="4" w:space="1" w:color="auto"/>
              </w:pBdr>
              <w:jc w:val="left"/>
              <w:rPr>
                <w:szCs w:val="18"/>
                <w:rtl/>
              </w:rPr>
            </w:pPr>
            <w:r w:rsidRPr="00511159">
              <w:rPr>
                <w:szCs w:val="18"/>
                <w:rtl/>
              </w:rPr>
              <w:t xml:space="preserve"> 0</w:t>
            </w:r>
          </w:p>
        </w:tc>
      </w:tr>
      <w:tr w:rsidR="00912661" w:rsidRPr="00511159" w14:paraId="2B082AE6" w14:textId="77777777" w:rsidTr="00320C27">
        <w:trPr>
          <w:trHeight w:val="259"/>
        </w:trPr>
        <w:tc>
          <w:tcPr>
            <w:tcW w:w="1538" w:type="dxa"/>
            <w:tcBorders>
              <w:top w:val="nil"/>
              <w:left w:val="nil"/>
              <w:bottom w:val="nil"/>
              <w:right w:val="nil"/>
            </w:tcBorders>
          </w:tcPr>
          <w:p w14:paraId="50D05393"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53DA4EDB" w14:textId="77777777" w:rsidR="00912661" w:rsidRPr="00511159" w:rsidRDefault="00912661" w:rsidP="008A0C00">
            <w:pPr>
              <w:pStyle w:val="-b"/>
              <w:rPr>
                <w:sz w:val="18"/>
                <w:szCs w:val="18"/>
                <w:rtl/>
              </w:rPr>
            </w:pPr>
            <w:r w:rsidRPr="00511159">
              <w:rPr>
                <w:sz w:val="18"/>
                <w:szCs w:val="18"/>
                <w:rtl/>
              </w:rPr>
              <w:t>סך כל ההתחייבויות הפיננסיות</w:t>
            </w:r>
          </w:p>
        </w:tc>
        <w:tc>
          <w:tcPr>
            <w:tcW w:w="1018" w:type="dxa"/>
            <w:tcBorders>
              <w:top w:val="nil"/>
              <w:left w:val="nil"/>
              <w:bottom w:val="nil"/>
              <w:right w:val="nil"/>
            </w:tcBorders>
            <w:vAlign w:val="bottom"/>
          </w:tcPr>
          <w:p w14:paraId="79100B83" w14:textId="4E964080" w:rsidR="00912661" w:rsidRPr="00511159" w:rsidRDefault="00912661">
            <w:pPr>
              <w:pStyle w:val="-f1"/>
              <w:pBdr>
                <w:top w:val="none" w:sz="0" w:space="0" w:color="auto"/>
              </w:pBdr>
              <w:rPr>
                <w:b w:val="0"/>
                <w:bCs w:val="0"/>
                <w:sz w:val="18"/>
                <w:szCs w:val="18"/>
                <w:rtl/>
              </w:rPr>
            </w:pPr>
            <w:r w:rsidRPr="00511159">
              <w:rPr>
                <w:sz w:val="18"/>
                <w:szCs w:val="18"/>
                <w:rtl/>
              </w:rPr>
              <w:t>(0</w:t>
            </w:r>
            <w:r w:rsidRPr="005D04BF">
              <w:rPr>
                <w:sz w:val="18"/>
                <w:szCs w:val="18"/>
                <w:rtl/>
              </w:rPr>
              <w:t>)</w:t>
            </w:r>
            <w:r>
              <w:rPr>
                <w:rFonts w:hint="cs"/>
                <w:b w:val="0"/>
                <w:bCs w:val="0"/>
                <w:sz w:val="18"/>
                <w:szCs w:val="18"/>
                <w:rtl/>
              </w:rPr>
              <w:t xml:space="preserve"> </w:t>
            </w:r>
            <w:r w:rsidRPr="005D04BF">
              <w:rPr>
                <w:b w:val="0"/>
                <w:bCs w:val="0"/>
                <w:sz w:val="18"/>
                <w:szCs w:val="18"/>
                <w:vertAlign w:val="superscript"/>
                <w:rtl/>
              </w:rPr>
              <w:t>(</w:t>
            </w:r>
            <w:r w:rsidRPr="005D04BF">
              <w:rPr>
                <w:rFonts w:hint="cs"/>
                <w:b w:val="0"/>
                <w:bCs w:val="0"/>
                <w:sz w:val="18"/>
                <w:szCs w:val="18"/>
                <w:vertAlign w:val="superscript"/>
                <w:rtl/>
              </w:rPr>
              <w:t>א)</w:t>
            </w:r>
          </w:p>
        </w:tc>
        <w:tc>
          <w:tcPr>
            <w:tcW w:w="1018" w:type="dxa"/>
            <w:tcBorders>
              <w:top w:val="nil"/>
              <w:left w:val="nil"/>
              <w:bottom w:val="nil"/>
              <w:right w:val="nil"/>
            </w:tcBorders>
            <w:vAlign w:val="bottom"/>
          </w:tcPr>
          <w:p w14:paraId="77968644" w14:textId="77777777" w:rsidR="00912661" w:rsidRPr="00511159" w:rsidRDefault="00912661">
            <w:pPr>
              <w:pStyle w:val="-f1"/>
              <w:pBdr>
                <w:top w:val="none" w:sz="0" w:space="0" w:color="auto"/>
              </w:pBdr>
              <w:rPr>
                <w:sz w:val="18"/>
                <w:szCs w:val="18"/>
                <w:rtl/>
              </w:rPr>
            </w:pPr>
            <w:r w:rsidRPr="00511159">
              <w:rPr>
                <w:sz w:val="18"/>
                <w:szCs w:val="18"/>
                <w:rtl/>
              </w:rPr>
              <w:t>(0)</w:t>
            </w:r>
          </w:p>
        </w:tc>
        <w:tc>
          <w:tcPr>
            <w:tcW w:w="1018" w:type="dxa"/>
            <w:tcBorders>
              <w:top w:val="nil"/>
              <w:left w:val="nil"/>
              <w:bottom w:val="nil"/>
              <w:right w:val="nil"/>
            </w:tcBorders>
            <w:vAlign w:val="bottom"/>
          </w:tcPr>
          <w:p w14:paraId="64A9CB46" w14:textId="77777777" w:rsidR="00912661" w:rsidRPr="00511159" w:rsidRDefault="00912661">
            <w:pPr>
              <w:pStyle w:val="-f1"/>
              <w:pBdr>
                <w:top w:val="none" w:sz="0" w:space="0" w:color="auto"/>
              </w:pBdr>
              <w:rPr>
                <w:sz w:val="18"/>
                <w:szCs w:val="18"/>
                <w:rtl/>
              </w:rPr>
            </w:pPr>
            <w:r w:rsidRPr="00511159">
              <w:rPr>
                <w:sz w:val="18"/>
                <w:szCs w:val="18"/>
                <w:rtl/>
              </w:rPr>
              <w:t>(0)</w:t>
            </w:r>
          </w:p>
        </w:tc>
        <w:tc>
          <w:tcPr>
            <w:tcW w:w="1018" w:type="dxa"/>
            <w:tcBorders>
              <w:top w:val="nil"/>
              <w:left w:val="nil"/>
              <w:bottom w:val="nil"/>
              <w:right w:val="nil"/>
            </w:tcBorders>
            <w:vAlign w:val="bottom"/>
          </w:tcPr>
          <w:p w14:paraId="60E81DE9" w14:textId="77777777" w:rsidR="00912661" w:rsidRPr="00511159" w:rsidRDefault="00912661">
            <w:pPr>
              <w:pStyle w:val="-f1"/>
              <w:pBdr>
                <w:top w:val="none" w:sz="0" w:space="0" w:color="auto"/>
              </w:pBdr>
              <w:rPr>
                <w:sz w:val="18"/>
                <w:szCs w:val="18"/>
                <w:rtl/>
              </w:rPr>
            </w:pPr>
            <w:r w:rsidRPr="00511159">
              <w:rPr>
                <w:sz w:val="18"/>
                <w:szCs w:val="18"/>
                <w:rtl/>
              </w:rPr>
              <w:t>(0)</w:t>
            </w:r>
          </w:p>
        </w:tc>
        <w:tc>
          <w:tcPr>
            <w:tcW w:w="1018" w:type="dxa"/>
            <w:tcBorders>
              <w:top w:val="nil"/>
              <w:left w:val="nil"/>
              <w:bottom w:val="nil"/>
              <w:right w:val="nil"/>
            </w:tcBorders>
            <w:vAlign w:val="bottom"/>
          </w:tcPr>
          <w:p w14:paraId="43D0598C" w14:textId="77777777" w:rsidR="00912661" w:rsidRPr="00511159" w:rsidRDefault="00912661">
            <w:pPr>
              <w:pStyle w:val="-f1"/>
              <w:pBdr>
                <w:top w:val="none" w:sz="0" w:space="0" w:color="auto"/>
              </w:pBdr>
              <w:rPr>
                <w:sz w:val="18"/>
                <w:szCs w:val="18"/>
                <w:rtl/>
              </w:rPr>
            </w:pPr>
            <w:r w:rsidRPr="00511159">
              <w:rPr>
                <w:sz w:val="18"/>
                <w:szCs w:val="18"/>
                <w:rtl/>
              </w:rPr>
              <w:t>(0)</w:t>
            </w:r>
          </w:p>
        </w:tc>
      </w:tr>
      <w:tr w:rsidR="00912661" w:rsidRPr="00511159" w14:paraId="0B2C54A0" w14:textId="77777777" w:rsidTr="00320C27">
        <w:trPr>
          <w:trHeight w:hRule="exact" w:val="144"/>
        </w:trPr>
        <w:tc>
          <w:tcPr>
            <w:tcW w:w="1538" w:type="dxa"/>
            <w:tcBorders>
              <w:top w:val="nil"/>
              <w:left w:val="nil"/>
              <w:bottom w:val="nil"/>
              <w:right w:val="nil"/>
            </w:tcBorders>
          </w:tcPr>
          <w:p w14:paraId="736287A1"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0537E76B" w14:textId="77777777" w:rsidR="00912661" w:rsidRPr="00511159" w:rsidRDefault="00912661" w:rsidP="008A0C00">
            <w:pPr>
              <w:pStyle w:val="-0"/>
              <w:rPr>
                <w:sz w:val="18"/>
                <w:szCs w:val="18"/>
                <w:rtl/>
              </w:rPr>
            </w:pPr>
          </w:p>
        </w:tc>
        <w:tc>
          <w:tcPr>
            <w:tcW w:w="1018" w:type="dxa"/>
            <w:tcBorders>
              <w:top w:val="nil"/>
              <w:left w:val="nil"/>
              <w:bottom w:val="nil"/>
              <w:right w:val="nil"/>
            </w:tcBorders>
          </w:tcPr>
          <w:p w14:paraId="4CB5B49C" w14:textId="77777777" w:rsidR="00912661" w:rsidRPr="00511159" w:rsidRDefault="00912661">
            <w:pPr>
              <w:pStyle w:val="-12"/>
              <w:pBdr>
                <w:top w:val="none" w:sz="0" w:space="0" w:color="auto"/>
              </w:pBdr>
              <w:rPr>
                <w:sz w:val="18"/>
                <w:szCs w:val="18"/>
                <w:rtl/>
              </w:rPr>
            </w:pPr>
          </w:p>
        </w:tc>
        <w:tc>
          <w:tcPr>
            <w:tcW w:w="1018" w:type="dxa"/>
            <w:tcBorders>
              <w:top w:val="nil"/>
              <w:left w:val="nil"/>
              <w:bottom w:val="nil"/>
              <w:right w:val="nil"/>
            </w:tcBorders>
          </w:tcPr>
          <w:p w14:paraId="71DE9C1C" w14:textId="77777777" w:rsidR="00912661" w:rsidRPr="00511159" w:rsidRDefault="00912661">
            <w:pPr>
              <w:pStyle w:val="-12"/>
              <w:pBdr>
                <w:top w:val="none" w:sz="0" w:space="0" w:color="auto"/>
              </w:pBdr>
              <w:rPr>
                <w:sz w:val="18"/>
                <w:szCs w:val="18"/>
                <w:rtl/>
              </w:rPr>
            </w:pPr>
          </w:p>
        </w:tc>
        <w:tc>
          <w:tcPr>
            <w:tcW w:w="1018" w:type="dxa"/>
            <w:tcBorders>
              <w:top w:val="nil"/>
              <w:left w:val="nil"/>
              <w:bottom w:val="nil"/>
              <w:right w:val="nil"/>
            </w:tcBorders>
          </w:tcPr>
          <w:p w14:paraId="0417DD67" w14:textId="77777777" w:rsidR="00912661" w:rsidRPr="00511159" w:rsidRDefault="00912661">
            <w:pPr>
              <w:pStyle w:val="-12"/>
              <w:pBdr>
                <w:top w:val="none" w:sz="0" w:space="0" w:color="auto"/>
              </w:pBdr>
              <w:rPr>
                <w:sz w:val="18"/>
                <w:szCs w:val="18"/>
                <w:rtl/>
              </w:rPr>
            </w:pPr>
          </w:p>
        </w:tc>
        <w:tc>
          <w:tcPr>
            <w:tcW w:w="1018" w:type="dxa"/>
            <w:tcBorders>
              <w:top w:val="nil"/>
              <w:left w:val="nil"/>
              <w:bottom w:val="nil"/>
              <w:right w:val="nil"/>
            </w:tcBorders>
          </w:tcPr>
          <w:p w14:paraId="22957C61" w14:textId="77777777" w:rsidR="00912661" w:rsidRPr="00511159" w:rsidRDefault="00912661">
            <w:pPr>
              <w:pStyle w:val="-12"/>
              <w:pBdr>
                <w:top w:val="none" w:sz="0" w:space="0" w:color="auto"/>
              </w:pBdr>
              <w:rPr>
                <w:sz w:val="18"/>
                <w:szCs w:val="18"/>
                <w:rtl/>
              </w:rPr>
            </w:pPr>
          </w:p>
        </w:tc>
        <w:tc>
          <w:tcPr>
            <w:tcW w:w="1018" w:type="dxa"/>
            <w:tcBorders>
              <w:top w:val="nil"/>
              <w:left w:val="nil"/>
              <w:bottom w:val="nil"/>
              <w:right w:val="nil"/>
            </w:tcBorders>
          </w:tcPr>
          <w:p w14:paraId="5BD16569" w14:textId="77777777" w:rsidR="00912661" w:rsidRPr="00511159" w:rsidRDefault="00912661">
            <w:pPr>
              <w:pStyle w:val="-12"/>
              <w:pBdr>
                <w:top w:val="none" w:sz="0" w:space="0" w:color="auto"/>
              </w:pBdr>
              <w:rPr>
                <w:sz w:val="18"/>
                <w:szCs w:val="18"/>
                <w:rtl/>
              </w:rPr>
            </w:pPr>
          </w:p>
        </w:tc>
      </w:tr>
      <w:tr w:rsidR="00912661" w:rsidRPr="00511159" w14:paraId="3F434602" w14:textId="77777777" w:rsidTr="00320C27">
        <w:trPr>
          <w:trHeight w:val="259"/>
        </w:trPr>
        <w:tc>
          <w:tcPr>
            <w:tcW w:w="1538" w:type="dxa"/>
            <w:tcBorders>
              <w:top w:val="nil"/>
              <w:left w:val="nil"/>
              <w:bottom w:val="nil"/>
              <w:right w:val="nil"/>
            </w:tcBorders>
          </w:tcPr>
          <w:p w14:paraId="3EB72BAF"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center"/>
          </w:tcPr>
          <w:p w14:paraId="4F74836D" w14:textId="77777777" w:rsidR="00912661" w:rsidRPr="00511159" w:rsidRDefault="00912661" w:rsidP="008A0C00">
            <w:pPr>
              <w:pStyle w:val="-f"/>
              <w:rPr>
                <w:sz w:val="18"/>
                <w:szCs w:val="18"/>
                <w:rtl/>
              </w:rPr>
            </w:pPr>
            <w:r w:rsidRPr="00511159">
              <w:rPr>
                <w:sz w:val="18"/>
                <w:szCs w:val="18"/>
                <w:rtl/>
              </w:rPr>
              <w:t>מכשירים פיננסיים חוץ מאזניים</w:t>
            </w:r>
          </w:p>
        </w:tc>
        <w:tc>
          <w:tcPr>
            <w:tcW w:w="1018" w:type="dxa"/>
            <w:tcBorders>
              <w:top w:val="nil"/>
              <w:left w:val="nil"/>
              <w:bottom w:val="nil"/>
              <w:right w:val="nil"/>
            </w:tcBorders>
            <w:vAlign w:val="bottom"/>
          </w:tcPr>
          <w:p w14:paraId="43E2C397" w14:textId="77777777" w:rsidR="00912661" w:rsidRPr="00511159" w:rsidRDefault="00912661">
            <w:pPr>
              <w:pStyle w:val="-0"/>
              <w:rPr>
                <w:sz w:val="18"/>
                <w:szCs w:val="18"/>
                <w:rtl/>
              </w:rPr>
            </w:pPr>
          </w:p>
        </w:tc>
        <w:tc>
          <w:tcPr>
            <w:tcW w:w="1018" w:type="dxa"/>
            <w:tcBorders>
              <w:top w:val="nil"/>
              <w:left w:val="nil"/>
              <w:bottom w:val="nil"/>
              <w:right w:val="nil"/>
            </w:tcBorders>
            <w:vAlign w:val="bottom"/>
          </w:tcPr>
          <w:p w14:paraId="6D764D45" w14:textId="77777777" w:rsidR="00912661" w:rsidRPr="00511159" w:rsidRDefault="00912661">
            <w:pPr>
              <w:pStyle w:val="-0"/>
              <w:rPr>
                <w:sz w:val="18"/>
                <w:szCs w:val="18"/>
                <w:rtl/>
              </w:rPr>
            </w:pPr>
          </w:p>
        </w:tc>
        <w:tc>
          <w:tcPr>
            <w:tcW w:w="1018" w:type="dxa"/>
            <w:tcBorders>
              <w:top w:val="nil"/>
              <w:left w:val="nil"/>
              <w:bottom w:val="nil"/>
              <w:right w:val="nil"/>
            </w:tcBorders>
            <w:vAlign w:val="bottom"/>
          </w:tcPr>
          <w:p w14:paraId="6E7F52F7" w14:textId="77777777" w:rsidR="00912661" w:rsidRPr="00511159" w:rsidRDefault="00912661">
            <w:pPr>
              <w:pStyle w:val="-0"/>
              <w:rPr>
                <w:sz w:val="18"/>
                <w:szCs w:val="18"/>
                <w:rtl/>
              </w:rPr>
            </w:pPr>
          </w:p>
        </w:tc>
        <w:tc>
          <w:tcPr>
            <w:tcW w:w="1018" w:type="dxa"/>
            <w:tcBorders>
              <w:top w:val="nil"/>
              <w:left w:val="nil"/>
              <w:bottom w:val="nil"/>
              <w:right w:val="nil"/>
            </w:tcBorders>
            <w:vAlign w:val="bottom"/>
          </w:tcPr>
          <w:p w14:paraId="259EB429" w14:textId="77777777" w:rsidR="00912661" w:rsidRPr="00511159" w:rsidRDefault="00912661">
            <w:pPr>
              <w:pStyle w:val="-0"/>
              <w:rPr>
                <w:sz w:val="18"/>
                <w:szCs w:val="18"/>
                <w:rtl/>
              </w:rPr>
            </w:pPr>
          </w:p>
        </w:tc>
        <w:tc>
          <w:tcPr>
            <w:tcW w:w="1018" w:type="dxa"/>
            <w:tcBorders>
              <w:top w:val="nil"/>
              <w:left w:val="nil"/>
              <w:bottom w:val="nil"/>
              <w:right w:val="nil"/>
            </w:tcBorders>
            <w:vAlign w:val="bottom"/>
          </w:tcPr>
          <w:p w14:paraId="5472480F" w14:textId="77777777" w:rsidR="00912661" w:rsidRPr="00511159" w:rsidRDefault="00912661">
            <w:pPr>
              <w:pStyle w:val="-0"/>
              <w:rPr>
                <w:sz w:val="18"/>
                <w:szCs w:val="18"/>
                <w:rtl/>
              </w:rPr>
            </w:pPr>
          </w:p>
        </w:tc>
      </w:tr>
      <w:tr w:rsidR="00912661" w:rsidRPr="00511159" w14:paraId="5BE4BAAA" w14:textId="77777777" w:rsidTr="00320C27">
        <w:trPr>
          <w:trHeight w:val="259"/>
        </w:trPr>
        <w:tc>
          <w:tcPr>
            <w:tcW w:w="1538" w:type="dxa"/>
            <w:tcBorders>
              <w:top w:val="nil"/>
              <w:left w:val="nil"/>
              <w:bottom w:val="nil"/>
              <w:right w:val="nil"/>
            </w:tcBorders>
          </w:tcPr>
          <w:p w14:paraId="12E19D69"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35450ED2" w14:textId="77777777" w:rsidR="00912661" w:rsidRPr="00511159" w:rsidRDefault="00912661" w:rsidP="008A0C00">
            <w:pPr>
              <w:pStyle w:val="-0"/>
              <w:rPr>
                <w:sz w:val="18"/>
                <w:szCs w:val="18"/>
                <w:rtl/>
              </w:rPr>
            </w:pPr>
            <w:r w:rsidRPr="00511159">
              <w:rPr>
                <w:sz w:val="18"/>
                <w:szCs w:val="18"/>
                <w:rtl/>
              </w:rPr>
              <w:t>עסקאות בהן היתרה מייצגת סיכון אשראי</w:t>
            </w:r>
          </w:p>
        </w:tc>
        <w:tc>
          <w:tcPr>
            <w:tcW w:w="1018" w:type="dxa"/>
            <w:tcBorders>
              <w:top w:val="nil"/>
              <w:left w:val="nil"/>
              <w:bottom w:val="nil"/>
              <w:right w:val="nil"/>
            </w:tcBorders>
            <w:vAlign w:val="bottom"/>
          </w:tcPr>
          <w:p w14:paraId="3556626F"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4E0B157D"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1A443C19"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46C23CD6"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24A4A899" w14:textId="77777777" w:rsidR="00912661" w:rsidRPr="00511159" w:rsidRDefault="00912661">
            <w:pPr>
              <w:pStyle w:val="-3"/>
              <w:rPr>
                <w:sz w:val="18"/>
                <w:szCs w:val="18"/>
                <w:rtl/>
              </w:rPr>
            </w:pPr>
            <w:r w:rsidRPr="00511159">
              <w:rPr>
                <w:sz w:val="18"/>
                <w:szCs w:val="18"/>
                <w:rtl/>
              </w:rPr>
              <w:t xml:space="preserve"> 0</w:t>
            </w:r>
          </w:p>
        </w:tc>
      </w:tr>
      <w:tr w:rsidR="00912661" w:rsidRPr="00511159" w14:paraId="6A35BFA0" w14:textId="77777777" w:rsidTr="00320C27">
        <w:trPr>
          <w:trHeight w:val="259"/>
        </w:trPr>
        <w:tc>
          <w:tcPr>
            <w:tcW w:w="1538" w:type="dxa"/>
            <w:tcBorders>
              <w:top w:val="nil"/>
              <w:left w:val="nil"/>
              <w:bottom w:val="nil"/>
              <w:right w:val="nil"/>
            </w:tcBorders>
          </w:tcPr>
          <w:p w14:paraId="70D9F7BA" w14:textId="77777777" w:rsidR="00912661" w:rsidRPr="00A8205C" w:rsidRDefault="00912661" w:rsidP="008A0C00">
            <w:pPr>
              <w:pStyle w:val="-0"/>
              <w:rPr>
                <w:rtl/>
              </w:rPr>
            </w:pPr>
          </w:p>
        </w:tc>
        <w:tc>
          <w:tcPr>
            <w:tcW w:w="3134" w:type="dxa"/>
            <w:tcBorders>
              <w:top w:val="nil"/>
              <w:left w:val="nil"/>
              <w:bottom w:val="nil"/>
              <w:right w:val="nil"/>
            </w:tcBorders>
            <w:shd w:val="clear" w:color="auto" w:fill="auto"/>
            <w:vAlign w:val="bottom"/>
          </w:tcPr>
          <w:p w14:paraId="5822E08B" w14:textId="77777777" w:rsidR="00912661" w:rsidRPr="00511159" w:rsidRDefault="00912661" w:rsidP="008A0C00">
            <w:pPr>
              <w:pStyle w:val="-0"/>
              <w:rPr>
                <w:sz w:val="18"/>
                <w:szCs w:val="18"/>
                <w:rtl/>
              </w:rPr>
            </w:pPr>
            <w:r w:rsidRPr="00511159">
              <w:rPr>
                <w:sz w:val="18"/>
                <w:szCs w:val="18"/>
                <w:rtl/>
              </w:rPr>
              <w:t>התחייבויות תלויות והתקשרויות מיוחדות אחרות</w:t>
            </w:r>
          </w:p>
        </w:tc>
        <w:tc>
          <w:tcPr>
            <w:tcW w:w="1018" w:type="dxa"/>
            <w:tcBorders>
              <w:top w:val="nil"/>
              <w:left w:val="nil"/>
              <w:bottom w:val="nil"/>
              <w:right w:val="nil"/>
            </w:tcBorders>
            <w:vAlign w:val="bottom"/>
          </w:tcPr>
          <w:p w14:paraId="4D0D10BB"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0947C6C7"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21A188E7"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4D0DB9C5" w14:textId="77777777" w:rsidR="00912661" w:rsidRPr="00511159" w:rsidRDefault="00912661">
            <w:pPr>
              <w:pStyle w:val="-3"/>
              <w:rPr>
                <w:sz w:val="18"/>
                <w:szCs w:val="18"/>
                <w:rtl/>
              </w:rPr>
            </w:pPr>
            <w:r w:rsidRPr="00511159">
              <w:rPr>
                <w:sz w:val="18"/>
                <w:szCs w:val="18"/>
                <w:rtl/>
              </w:rPr>
              <w:t xml:space="preserve"> 0</w:t>
            </w:r>
          </w:p>
        </w:tc>
        <w:tc>
          <w:tcPr>
            <w:tcW w:w="1018" w:type="dxa"/>
            <w:tcBorders>
              <w:top w:val="nil"/>
              <w:left w:val="nil"/>
              <w:bottom w:val="nil"/>
              <w:right w:val="nil"/>
            </w:tcBorders>
            <w:vAlign w:val="bottom"/>
          </w:tcPr>
          <w:p w14:paraId="229C88B8" w14:textId="77777777" w:rsidR="00912661" w:rsidRPr="00511159" w:rsidRDefault="00912661">
            <w:pPr>
              <w:pStyle w:val="-3"/>
              <w:rPr>
                <w:sz w:val="18"/>
                <w:szCs w:val="18"/>
                <w:rtl/>
              </w:rPr>
            </w:pPr>
            <w:r w:rsidRPr="00511159">
              <w:rPr>
                <w:sz w:val="18"/>
                <w:szCs w:val="18"/>
                <w:rtl/>
              </w:rPr>
              <w:t xml:space="preserve"> 0</w:t>
            </w:r>
          </w:p>
        </w:tc>
      </w:tr>
    </w:tbl>
    <w:p w14:paraId="2B055397" w14:textId="77777777" w:rsidR="00600720" w:rsidRPr="00A8205C" w:rsidRDefault="00600720" w:rsidP="00600720">
      <w:pPr>
        <w:rPr>
          <w:rtl/>
        </w:rPr>
      </w:pPr>
    </w:p>
    <w:p w14:paraId="06648201" w14:textId="77777777" w:rsidR="00600720" w:rsidRPr="00A8205C" w:rsidRDefault="00600720" w:rsidP="00600720">
      <w:pPr>
        <w:rPr>
          <w:rtl/>
        </w:rPr>
      </w:pPr>
    </w:p>
    <w:tbl>
      <w:tblPr>
        <w:bidiVisual/>
        <w:tblW w:w="4782" w:type="pct"/>
        <w:tblLook w:val="01E0" w:firstRow="1" w:lastRow="1" w:firstColumn="1" w:lastColumn="1" w:noHBand="0" w:noVBand="0"/>
      </w:tblPr>
      <w:tblGrid>
        <w:gridCol w:w="1584"/>
        <w:gridCol w:w="8178"/>
      </w:tblGrid>
      <w:tr w:rsidR="00912661" w:rsidRPr="00543C25" w14:paraId="02CA709D" w14:textId="77777777" w:rsidTr="00912661">
        <w:trPr>
          <w:trHeight w:val="245"/>
        </w:trPr>
        <w:tc>
          <w:tcPr>
            <w:tcW w:w="1584" w:type="dxa"/>
          </w:tcPr>
          <w:p w14:paraId="39186B71" w14:textId="77777777" w:rsidR="00912661" w:rsidRPr="00864DF5" w:rsidRDefault="00912661" w:rsidP="00400DD1">
            <w:pPr>
              <w:spacing w:line="240" w:lineRule="exact"/>
              <w:ind w:right="-432"/>
              <w:rPr>
                <w:b/>
                <w:bCs/>
                <w:sz w:val="18"/>
                <w:szCs w:val="18"/>
                <w:rtl/>
              </w:rPr>
            </w:pPr>
          </w:p>
        </w:tc>
        <w:tc>
          <w:tcPr>
            <w:tcW w:w="0" w:type="auto"/>
          </w:tcPr>
          <w:p w14:paraId="122078E4" w14:textId="77777777" w:rsidR="00912661" w:rsidRPr="00DF0049" w:rsidRDefault="00912661" w:rsidP="00400DD1">
            <w:pPr>
              <w:pStyle w:val="-a"/>
              <w:tabs>
                <w:tab w:val="left" w:pos="446"/>
              </w:tabs>
              <w:spacing w:after="120" w:line="240" w:lineRule="exact"/>
              <w:ind w:left="267" w:hanging="267"/>
              <w:jc w:val="left"/>
              <w:rPr>
                <w:rtl/>
              </w:rPr>
            </w:pPr>
            <w:r w:rsidRPr="005D04BF">
              <w:rPr>
                <w:rFonts w:hint="cs"/>
                <w:rtl/>
              </w:rPr>
              <w:t>(א</w:t>
            </w:r>
            <w:r>
              <w:rPr>
                <w:rFonts w:hint="cs"/>
                <w:rtl/>
              </w:rPr>
              <w:t xml:space="preserve">) </w:t>
            </w:r>
            <w:r w:rsidRPr="00DF0049">
              <w:rPr>
                <w:rFonts w:hint="cs"/>
                <w:rtl/>
              </w:rPr>
              <w:t>מזה: נכסים פיננסיים והתחייבויות פיננסיות בסך ___ מיליוני ש"ח ובסך ___ מיליוני ש"ח, בהתאמה, אשר היתרה במאזן שלהם זהה לשווי הוגן (מכשירים המוצגים במאזן לפי שווי הוגן) [</w:t>
            </w:r>
            <w:r w:rsidRPr="00DF0049">
              <w:rPr>
                <w:rFonts w:hint="cs"/>
                <w:b/>
                <w:bCs/>
                <w:rtl/>
              </w:rPr>
              <w:t>אם רלוונטי</w:t>
            </w:r>
            <w:r w:rsidRPr="00DF0049">
              <w:rPr>
                <w:rFonts w:hint="cs"/>
                <w:rtl/>
              </w:rPr>
              <w:t>: או מהווה קירוב לשווי הוגן (מכשירים לתקופה מקורית של עד 3 חודשים לגביהם נעשה שימוש ביתרה במאזן כקירוב לשווי הוגן)]</w:t>
            </w:r>
            <w:r w:rsidRPr="00DF0049">
              <w:rPr>
                <w:rtl/>
              </w:rPr>
              <w:t>.</w:t>
            </w:r>
            <w:r w:rsidRPr="00DF0049">
              <w:rPr>
                <w:rFonts w:hint="cs"/>
                <w:rtl/>
              </w:rPr>
              <w:t xml:space="preserve"> </w:t>
            </w:r>
          </w:p>
        </w:tc>
      </w:tr>
    </w:tbl>
    <w:p w14:paraId="273A1B7E" w14:textId="77777777" w:rsidR="00600720" w:rsidRPr="005D04BF" w:rsidRDefault="00600720" w:rsidP="00600720">
      <w:pPr>
        <w:rPr>
          <w:rtl/>
        </w:rPr>
      </w:pPr>
    </w:p>
    <w:p w14:paraId="7B3D813E" w14:textId="77777777" w:rsidR="00600720" w:rsidRDefault="00600720" w:rsidP="00600720">
      <w:pPr>
        <w:rPr>
          <w:rtl/>
        </w:rPr>
      </w:pPr>
    </w:p>
    <w:p w14:paraId="01942AE0" w14:textId="77777777" w:rsidR="00ED5482" w:rsidRDefault="00ED5482" w:rsidP="00600720">
      <w:pPr>
        <w:bidi w:val="0"/>
        <w:jc w:val="left"/>
        <w:sectPr w:rsidR="00ED5482" w:rsidSect="00587121">
          <w:footnotePr>
            <w:numRestart w:val="eachPage"/>
          </w:footnotePr>
          <w:pgSz w:w="11909" w:h="16834" w:code="9"/>
          <w:pgMar w:top="851" w:right="851" w:bottom="851" w:left="851" w:header="720" w:footer="720" w:gutter="0"/>
          <w:cols w:space="720"/>
          <w:bidi/>
          <w:rtlGutter/>
          <w:docGrid w:linePitch="360"/>
        </w:sectPr>
      </w:pPr>
    </w:p>
    <w:tbl>
      <w:tblPr>
        <w:bidiVisual/>
        <w:tblW w:w="5000" w:type="pct"/>
        <w:tblLook w:val="04A0" w:firstRow="1" w:lastRow="0" w:firstColumn="1" w:lastColumn="0" w:noHBand="0" w:noVBand="1"/>
      </w:tblPr>
      <w:tblGrid>
        <w:gridCol w:w="993"/>
        <w:gridCol w:w="567"/>
        <w:gridCol w:w="8647"/>
      </w:tblGrid>
      <w:tr w:rsidR="00600720" w:rsidRPr="00543C25" w14:paraId="0C34F025" w14:textId="77777777" w:rsidTr="00912661">
        <w:trPr>
          <w:trHeight w:val="259"/>
        </w:trPr>
        <w:tc>
          <w:tcPr>
            <w:tcW w:w="993" w:type="dxa"/>
          </w:tcPr>
          <w:p w14:paraId="2C3D96E3" w14:textId="77777777" w:rsidR="00600720" w:rsidRPr="00543C25" w:rsidRDefault="00600720" w:rsidP="009348F8">
            <w:pPr>
              <w:pStyle w:val="-fa"/>
              <w:spacing w:before="0" w:after="60"/>
              <w:rPr>
                <w:rtl/>
              </w:rPr>
            </w:pPr>
          </w:p>
        </w:tc>
        <w:tc>
          <w:tcPr>
            <w:tcW w:w="9214" w:type="dxa"/>
            <w:gridSpan w:val="2"/>
          </w:tcPr>
          <w:p w14:paraId="51D24F31" w14:textId="77777777" w:rsidR="00F32A2A" w:rsidRDefault="00600720" w:rsidP="00316579">
            <w:pPr>
              <w:pStyle w:val="-8"/>
              <w:rPr>
                <w:color w:val="000000"/>
                <w:rtl/>
                <w:lang w:eastAsia="he-IL"/>
              </w:rPr>
            </w:pPr>
            <w:r w:rsidRPr="00443687">
              <w:rPr>
                <w:rtl/>
              </w:rPr>
              <w:t xml:space="preserve">ביאור </w:t>
            </w:r>
            <w:r w:rsidR="009D6D97">
              <w:rPr>
                <w:rFonts w:hint="cs"/>
                <w:rtl/>
              </w:rPr>
              <w:t>1</w:t>
            </w:r>
            <w:r w:rsidR="00316579">
              <w:rPr>
                <w:rFonts w:hint="cs"/>
                <w:rtl/>
              </w:rPr>
              <w:t>4</w:t>
            </w:r>
            <w:r w:rsidR="009D6D97">
              <w:rPr>
                <w:rFonts w:hint="cs"/>
                <w:rtl/>
              </w:rPr>
              <w:t>א</w:t>
            </w:r>
            <w:r w:rsidR="009D6D97" w:rsidRPr="00443687">
              <w:rPr>
                <w:rtl/>
              </w:rPr>
              <w:t xml:space="preserve"> </w:t>
            </w:r>
            <w:r w:rsidR="009D6D97">
              <w:rPr>
                <w:rFonts w:hint="cs"/>
                <w:rtl/>
              </w:rPr>
              <w:t xml:space="preserve"> </w:t>
            </w:r>
            <w:r w:rsidRPr="00443687">
              <w:rPr>
                <w:rtl/>
              </w:rPr>
              <w:t xml:space="preserve">- </w:t>
            </w:r>
            <w:r>
              <w:rPr>
                <w:rFonts w:hint="cs"/>
                <w:rtl/>
              </w:rPr>
              <w:t xml:space="preserve"> יתרות </w:t>
            </w:r>
            <w:r w:rsidRPr="00E264F0">
              <w:rPr>
                <w:rtl/>
              </w:rPr>
              <w:t>ואומדני</w:t>
            </w:r>
            <w:r>
              <w:rPr>
                <w:rtl/>
              </w:rPr>
              <w:t xml:space="preserve"> שווי הוגן של מכשירים פיננסיים</w:t>
            </w:r>
            <w:r w:rsidR="00306D0F">
              <w:rPr>
                <w:rFonts w:hint="cs"/>
                <w:rtl/>
              </w:rPr>
              <w:t xml:space="preserve"> (במאוחד)</w:t>
            </w:r>
            <w:r>
              <w:rPr>
                <w:rtl/>
              </w:rPr>
              <w:t xml:space="preserve"> </w:t>
            </w:r>
            <w:r>
              <w:rPr>
                <w:rFonts w:hint="cs"/>
                <w:rtl/>
              </w:rPr>
              <w:t>(המשך)</w:t>
            </w:r>
            <w:r w:rsidRPr="00BC7D2D">
              <w:rPr>
                <w:rFonts w:eastAsia="Arial Unicode MS" w:hint="cs"/>
                <w:rtl/>
              </w:rPr>
              <w:t>:</w:t>
            </w:r>
          </w:p>
        </w:tc>
      </w:tr>
      <w:tr w:rsidR="00600720" w:rsidRPr="007363C7" w14:paraId="7A559ABA" w14:textId="77777777" w:rsidTr="00912661">
        <w:tblPrEx>
          <w:jc w:val="right"/>
          <w:tblLook w:val="0000" w:firstRow="0" w:lastRow="0" w:firstColumn="0" w:lastColumn="0" w:noHBand="0" w:noVBand="0"/>
        </w:tblPrEx>
        <w:trPr>
          <w:trHeight w:val="245"/>
          <w:jc w:val="right"/>
        </w:trPr>
        <w:tc>
          <w:tcPr>
            <w:tcW w:w="993" w:type="dxa"/>
            <w:vAlign w:val="bottom"/>
          </w:tcPr>
          <w:p w14:paraId="65ED756F" w14:textId="77777777" w:rsidR="00CF2A74" w:rsidRDefault="001A2B1E" w:rsidP="009348F8">
            <w:pPr>
              <w:pStyle w:val="-7"/>
              <w:spacing w:before="60" w:line="240" w:lineRule="auto"/>
              <w:jc w:val="left"/>
              <w:rPr>
                <w:sz w:val="14"/>
                <w:szCs w:val="14"/>
                <w:rtl/>
              </w:rPr>
            </w:pPr>
            <w:r w:rsidRPr="00F15C23">
              <w:rPr>
                <w:rFonts w:hint="cs"/>
                <w:sz w:val="14"/>
                <w:szCs w:val="14"/>
                <w:rtl/>
              </w:rPr>
              <w:t xml:space="preserve">מתכונת ביאור </w:t>
            </w:r>
          </w:p>
          <w:p w14:paraId="61BF13CA" w14:textId="77777777" w:rsidR="00F32A2A" w:rsidRDefault="001A2B1E">
            <w:pPr>
              <w:pStyle w:val="-7"/>
              <w:spacing w:line="240" w:lineRule="auto"/>
              <w:rPr>
                <w:sz w:val="14"/>
                <w:szCs w:val="14"/>
                <w:rtl/>
              </w:rPr>
            </w:pPr>
            <w:r w:rsidRPr="00F15C23">
              <w:rPr>
                <w:rFonts w:hint="cs"/>
                <w:sz w:val="14"/>
                <w:szCs w:val="14"/>
                <w:rtl/>
              </w:rPr>
              <w:t xml:space="preserve">עמ' </w:t>
            </w:r>
            <w:r w:rsidR="009D6D97">
              <w:rPr>
                <w:rFonts w:hint="cs"/>
                <w:sz w:val="14"/>
                <w:szCs w:val="14"/>
                <w:rtl/>
              </w:rPr>
              <w:t>663</w:t>
            </w:r>
            <w:r w:rsidRPr="00F15C23">
              <w:rPr>
                <w:rFonts w:hint="cs"/>
                <w:sz w:val="14"/>
                <w:szCs w:val="14"/>
                <w:rtl/>
              </w:rPr>
              <w:t>-</w:t>
            </w:r>
            <w:r w:rsidR="009D6D97">
              <w:rPr>
                <w:rFonts w:hint="cs"/>
                <w:sz w:val="14"/>
                <w:szCs w:val="14"/>
                <w:rtl/>
              </w:rPr>
              <w:t>57</w:t>
            </w:r>
          </w:p>
        </w:tc>
        <w:tc>
          <w:tcPr>
            <w:tcW w:w="567" w:type="dxa"/>
          </w:tcPr>
          <w:p w14:paraId="7A671EDF" w14:textId="77777777" w:rsidR="00600720" w:rsidRPr="00543C25" w:rsidRDefault="00600720" w:rsidP="009348F8">
            <w:pPr>
              <w:pStyle w:val="-f4"/>
              <w:spacing w:line="240" w:lineRule="auto"/>
              <w:jc w:val="left"/>
              <w:rPr>
                <w:rtl/>
              </w:rPr>
            </w:pPr>
            <w:r>
              <w:rPr>
                <w:rFonts w:hint="cs"/>
                <w:rtl/>
              </w:rPr>
              <w:t xml:space="preserve">א. </w:t>
            </w:r>
          </w:p>
        </w:tc>
        <w:tc>
          <w:tcPr>
            <w:tcW w:w="8647" w:type="dxa"/>
          </w:tcPr>
          <w:p w14:paraId="61183FD4" w14:textId="77777777" w:rsidR="00600720" w:rsidRPr="00897732" w:rsidRDefault="00600720" w:rsidP="009348F8">
            <w:pPr>
              <w:pStyle w:val="-f4"/>
              <w:spacing w:line="240" w:lineRule="auto"/>
              <w:jc w:val="left"/>
              <w:rPr>
                <w:rtl/>
              </w:rPr>
            </w:pPr>
            <w:r>
              <w:rPr>
                <w:rFonts w:hint="cs"/>
                <w:rtl/>
              </w:rPr>
              <w:t>הרכב (המשך):</w:t>
            </w:r>
          </w:p>
        </w:tc>
      </w:tr>
    </w:tbl>
    <w:p w14:paraId="411DD54B" w14:textId="77777777" w:rsidR="00600720" w:rsidRDefault="00600720" w:rsidP="00600720">
      <w:pPr>
        <w:rPr>
          <w:sz w:val="2"/>
          <w:szCs w:val="2"/>
          <w:rtl/>
        </w:rPr>
      </w:pPr>
    </w:p>
    <w:tbl>
      <w:tblPr>
        <w:bidiVisual/>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3134"/>
        <w:gridCol w:w="1018"/>
        <w:gridCol w:w="1018"/>
        <w:gridCol w:w="1018"/>
        <w:gridCol w:w="1018"/>
        <w:gridCol w:w="1018"/>
      </w:tblGrid>
      <w:tr w:rsidR="00912661" w:rsidRPr="00543C25" w14:paraId="3EA088A7" w14:textId="77777777" w:rsidTr="00320C27">
        <w:trPr>
          <w:trHeight w:val="259"/>
        </w:trPr>
        <w:tc>
          <w:tcPr>
            <w:tcW w:w="1538" w:type="dxa"/>
            <w:vMerge w:val="restart"/>
            <w:tcBorders>
              <w:top w:val="nil"/>
              <w:left w:val="nil"/>
              <w:right w:val="nil"/>
            </w:tcBorders>
          </w:tcPr>
          <w:p w14:paraId="308C84AD" w14:textId="77777777" w:rsidR="00912661" w:rsidRPr="00F15C23" w:rsidRDefault="00912661" w:rsidP="008A0C00">
            <w:pPr>
              <w:pStyle w:val="-7"/>
              <w:rPr>
                <w:sz w:val="14"/>
                <w:szCs w:val="14"/>
                <w:rtl/>
              </w:rPr>
            </w:pPr>
          </w:p>
        </w:tc>
        <w:tc>
          <w:tcPr>
            <w:tcW w:w="3134" w:type="dxa"/>
            <w:tcBorders>
              <w:top w:val="nil"/>
              <w:left w:val="nil"/>
              <w:bottom w:val="nil"/>
              <w:right w:val="nil"/>
            </w:tcBorders>
            <w:shd w:val="clear" w:color="auto" w:fill="auto"/>
            <w:vAlign w:val="bottom"/>
          </w:tcPr>
          <w:p w14:paraId="0D6691C8" w14:textId="77777777" w:rsidR="00912661" w:rsidRPr="00511159" w:rsidRDefault="00912661" w:rsidP="008A0C00">
            <w:pPr>
              <w:pStyle w:val="-7"/>
              <w:rPr>
                <w:sz w:val="18"/>
                <w:szCs w:val="18"/>
                <w:rtl/>
              </w:rPr>
            </w:pPr>
          </w:p>
        </w:tc>
        <w:tc>
          <w:tcPr>
            <w:tcW w:w="5090" w:type="dxa"/>
            <w:gridSpan w:val="5"/>
            <w:tcBorders>
              <w:top w:val="nil"/>
              <w:left w:val="nil"/>
              <w:bottom w:val="nil"/>
              <w:right w:val="nil"/>
            </w:tcBorders>
            <w:vAlign w:val="bottom"/>
          </w:tcPr>
          <w:p w14:paraId="32F36619" w14:textId="434C181F" w:rsidR="00912661" w:rsidRPr="00511159" w:rsidRDefault="00912661" w:rsidP="001977FC">
            <w:pPr>
              <w:pStyle w:val="-4"/>
              <w:rPr>
                <w:sz w:val="18"/>
                <w:szCs w:val="18"/>
                <w:rtl/>
              </w:rPr>
            </w:pPr>
            <w:r w:rsidRPr="00511159">
              <w:rPr>
                <w:rFonts w:hint="cs"/>
                <w:sz w:val="18"/>
                <w:szCs w:val="18"/>
                <w:rtl/>
              </w:rPr>
              <w:t xml:space="preserve">ליום 31 בדצמבר </w:t>
            </w:r>
            <w:r w:rsidRPr="00511159">
              <w:rPr>
                <w:sz w:val="18"/>
                <w:szCs w:val="18"/>
                <w:rtl/>
              </w:rPr>
              <w:fldChar w:fldCharType="begin"/>
            </w:r>
            <w:r w:rsidRPr="00511159">
              <w:rPr>
                <w:sz w:val="18"/>
                <w:szCs w:val="18"/>
                <w:rtl/>
              </w:rPr>
              <w:instrText xml:space="preserve"> </w:instrText>
            </w:r>
            <w:r w:rsidRPr="00511159">
              <w:rPr>
                <w:rFonts w:hint="cs"/>
                <w:sz w:val="18"/>
                <w:szCs w:val="18"/>
                <w:rtl/>
              </w:rPr>
              <w:instrText xml:space="preserve">= </w:instrText>
            </w:r>
            <w:r w:rsidRPr="00511159">
              <w:rPr>
                <w:rFonts w:hint="cs"/>
                <w:sz w:val="18"/>
                <w:szCs w:val="18"/>
              </w:rPr>
              <w:instrText>CY</w:instrText>
            </w:r>
            <w:r w:rsidRPr="00511159">
              <w:rPr>
                <w:sz w:val="18"/>
                <w:szCs w:val="18"/>
              </w:rPr>
              <w:instrText>-1</w:instrText>
            </w:r>
            <w:r w:rsidRPr="00511159">
              <w:rPr>
                <w:rFonts w:hint="cs"/>
                <w:sz w:val="18"/>
                <w:szCs w:val="18"/>
              </w:rPr>
              <w:instrText xml:space="preserve"> \* MERGEFORMAT</w:instrText>
            </w:r>
            <w:r w:rsidRPr="00511159">
              <w:rPr>
                <w:sz w:val="18"/>
                <w:szCs w:val="18"/>
                <w:rtl/>
              </w:rPr>
              <w:instrText xml:space="preserve"> </w:instrText>
            </w:r>
            <w:r w:rsidRPr="00511159">
              <w:rPr>
                <w:sz w:val="18"/>
                <w:szCs w:val="18"/>
                <w:rtl/>
              </w:rPr>
              <w:fldChar w:fldCharType="separate"/>
            </w:r>
            <w:r>
              <w:rPr>
                <w:noProof/>
                <w:sz w:val="18"/>
                <w:szCs w:val="18"/>
                <w:rtl/>
              </w:rPr>
              <w:t>2023</w:t>
            </w:r>
            <w:r w:rsidRPr="00511159">
              <w:rPr>
                <w:sz w:val="18"/>
                <w:szCs w:val="18"/>
                <w:rtl/>
              </w:rPr>
              <w:fldChar w:fldCharType="end"/>
            </w:r>
            <w:r>
              <w:rPr>
                <w:rFonts w:hint="cs"/>
                <w:sz w:val="18"/>
                <w:szCs w:val="18"/>
                <w:rtl/>
              </w:rPr>
              <w:t xml:space="preserve">  </w:t>
            </w:r>
            <w:r w:rsidRPr="00666DC4">
              <w:rPr>
                <w:rFonts w:hint="cs"/>
                <w:b w:val="0"/>
                <w:bCs w:val="0"/>
                <w:sz w:val="18"/>
                <w:szCs w:val="18"/>
                <w:rtl/>
              </w:rPr>
              <w:t>(מבוקר)</w:t>
            </w:r>
          </w:p>
        </w:tc>
      </w:tr>
      <w:tr w:rsidR="00912661" w:rsidRPr="00543C25" w14:paraId="4BB89F90" w14:textId="77777777" w:rsidTr="00320C27">
        <w:trPr>
          <w:trHeight w:val="259"/>
        </w:trPr>
        <w:tc>
          <w:tcPr>
            <w:tcW w:w="1538" w:type="dxa"/>
            <w:vMerge/>
            <w:tcBorders>
              <w:left w:val="nil"/>
              <w:bottom w:val="nil"/>
              <w:right w:val="nil"/>
            </w:tcBorders>
          </w:tcPr>
          <w:p w14:paraId="5CFFEDE5" w14:textId="77777777" w:rsidR="00912661" w:rsidRPr="00543C25" w:rsidRDefault="00912661" w:rsidP="00864DF5">
            <w:pPr>
              <w:pStyle w:val="-7"/>
              <w:rPr>
                <w:rtl/>
              </w:rPr>
            </w:pPr>
          </w:p>
        </w:tc>
        <w:tc>
          <w:tcPr>
            <w:tcW w:w="3134" w:type="dxa"/>
            <w:tcBorders>
              <w:top w:val="nil"/>
              <w:left w:val="nil"/>
              <w:bottom w:val="nil"/>
              <w:right w:val="nil"/>
            </w:tcBorders>
            <w:shd w:val="clear" w:color="auto" w:fill="auto"/>
            <w:vAlign w:val="bottom"/>
          </w:tcPr>
          <w:p w14:paraId="45CD34F5" w14:textId="77777777" w:rsidR="00912661" w:rsidRPr="00511159" w:rsidRDefault="00912661" w:rsidP="00864DF5">
            <w:pPr>
              <w:pStyle w:val="-7"/>
              <w:rPr>
                <w:sz w:val="18"/>
                <w:szCs w:val="18"/>
                <w:rtl/>
              </w:rPr>
            </w:pPr>
          </w:p>
        </w:tc>
        <w:tc>
          <w:tcPr>
            <w:tcW w:w="1018" w:type="dxa"/>
            <w:tcBorders>
              <w:top w:val="nil"/>
              <w:left w:val="nil"/>
              <w:bottom w:val="nil"/>
              <w:right w:val="nil"/>
            </w:tcBorders>
            <w:vAlign w:val="bottom"/>
          </w:tcPr>
          <w:p w14:paraId="6C757417" w14:textId="77777777" w:rsidR="00912661" w:rsidRPr="00511159" w:rsidRDefault="00912661" w:rsidP="00864DF5">
            <w:pPr>
              <w:pStyle w:val="-7"/>
              <w:rPr>
                <w:sz w:val="18"/>
                <w:szCs w:val="18"/>
                <w:rtl/>
              </w:rPr>
            </w:pPr>
          </w:p>
        </w:tc>
        <w:tc>
          <w:tcPr>
            <w:tcW w:w="4072" w:type="dxa"/>
            <w:gridSpan w:val="4"/>
            <w:tcBorders>
              <w:top w:val="nil"/>
              <w:left w:val="nil"/>
              <w:bottom w:val="nil"/>
              <w:right w:val="nil"/>
            </w:tcBorders>
            <w:vAlign w:val="bottom"/>
          </w:tcPr>
          <w:p w14:paraId="70F3956E" w14:textId="36B0B1F9" w:rsidR="00912661" w:rsidRPr="00511159" w:rsidRDefault="00912661" w:rsidP="00864DF5">
            <w:pPr>
              <w:pStyle w:val="-4"/>
              <w:rPr>
                <w:sz w:val="18"/>
                <w:szCs w:val="18"/>
                <w:rtl/>
              </w:rPr>
            </w:pPr>
            <w:r w:rsidRPr="00511159">
              <w:rPr>
                <w:rFonts w:hint="cs"/>
                <w:sz w:val="18"/>
                <w:szCs w:val="18"/>
                <w:rtl/>
              </w:rPr>
              <w:t>שווי הוגן</w:t>
            </w:r>
            <w:r w:rsidRPr="00511159">
              <w:rPr>
                <w:rFonts w:hint="cs"/>
                <w:b w:val="0"/>
                <w:bCs w:val="0"/>
                <w:sz w:val="18"/>
                <w:szCs w:val="18"/>
                <w:vertAlign w:val="superscript"/>
                <w:rtl/>
              </w:rPr>
              <w:t xml:space="preserve"> </w:t>
            </w:r>
          </w:p>
        </w:tc>
      </w:tr>
      <w:tr w:rsidR="00912661" w:rsidRPr="00543C25" w14:paraId="0254E7AB" w14:textId="77777777" w:rsidTr="00320C27">
        <w:trPr>
          <w:trHeight w:val="259"/>
        </w:trPr>
        <w:tc>
          <w:tcPr>
            <w:tcW w:w="1538" w:type="dxa"/>
            <w:tcBorders>
              <w:top w:val="nil"/>
              <w:left w:val="nil"/>
              <w:bottom w:val="nil"/>
              <w:right w:val="nil"/>
            </w:tcBorders>
          </w:tcPr>
          <w:p w14:paraId="68A849A9" w14:textId="77777777" w:rsidR="00912661" w:rsidRPr="00543C25" w:rsidRDefault="00912661" w:rsidP="00864DF5">
            <w:pPr>
              <w:pStyle w:val="-7"/>
              <w:rPr>
                <w:rtl/>
              </w:rPr>
            </w:pPr>
          </w:p>
        </w:tc>
        <w:tc>
          <w:tcPr>
            <w:tcW w:w="3134" w:type="dxa"/>
            <w:tcBorders>
              <w:top w:val="nil"/>
              <w:left w:val="nil"/>
              <w:bottom w:val="nil"/>
              <w:right w:val="nil"/>
            </w:tcBorders>
            <w:shd w:val="clear" w:color="auto" w:fill="auto"/>
            <w:vAlign w:val="bottom"/>
          </w:tcPr>
          <w:p w14:paraId="04D64BE5" w14:textId="77777777" w:rsidR="00912661" w:rsidRPr="00511159" w:rsidRDefault="00912661" w:rsidP="00864DF5">
            <w:pPr>
              <w:pStyle w:val="af5"/>
              <w:rPr>
                <w:sz w:val="18"/>
                <w:szCs w:val="18"/>
                <w:rtl/>
              </w:rPr>
            </w:pPr>
          </w:p>
        </w:tc>
        <w:tc>
          <w:tcPr>
            <w:tcW w:w="1018" w:type="dxa"/>
            <w:tcBorders>
              <w:top w:val="nil"/>
              <w:left w:val="nil"/>
              <w:bottom w:val="nil"/>
              <w:right w:val="nil"/>
            </w:tcBorders>
            <w:vAlign w:val="bottom"/>
          </w:tcPr>
          <w:p w14:paraId="2C2A3881" w14:textId="23C2EFA7" w:rsidR="00912661" w:rsidRPr="00511159" w:rsidRDefault="00912661" w:rsidP="00864DF5">
            <w:pPr>
              <w:pStyle w:val="-4"/>
              <w:pBdr>
                <w:bottom w:val="single" w:sz="4" w:space="1" w:color="auto"/>
              </w:pBdr>
              <w:spacing w:line="240" w:lineRule="auto"/>
              <w:rPr>
                <w:sz w:val="18"/>
                <w:szCs w:val="18"/>
                <w:rtl/>
              </w:rPr>
            </w:pPr>
            <w:r w:rsidRPr="00511159">
              <w:rPr>
                <w:rFonts w:hint="cs"/>
                <w:sz w:val="18"/>
                <w:szCs w:val="18"/>
                <w:rtl/>
              </w:rPr>
              <w:t>יתרה במאזן</w:t>
            </w:r>
          </w:p>
        </w:tc>
        <w:tc>
          <w:tcPr>
            <w:tcW w:w="1018" w:type="dxa"/>
            <w:tcBorders>
              <w:top w:val="nil"/>
              <w:left w:val="nil"/>
              <w:bottom w:val="nil"/>
              <w:right w:val="nil"/>
            </w:tcBorders>
            <w:vAlign w:val="bottom"/>
          </w:tcPr>
          <w:p w14:paraId="5B924B6D" w14:textId="64788CDB" w:rsidR="00912661" w:rsidRPr="00511159" w:rsidRDefault="00912661" w:rsidP="00864DF5">
            <w:pPr>
              <w:pStyle w:val="-4"/>
              <w:pBdr>
                <w:bottom w:val="single" w:sz="4" w:space="1" w:color="auto"/>
              </w:pBdr>
              <w:spacing w:line="240" w:lineRule="auto"/>
              <w:rPr>
                <w:sz w:val="18"/>
                <w:szCs w:val="18"/>
                <w:rtl/>
              </w:rPr>
            </w:pPr>
            <w:r w:rsidRPr="00511159">
              <w:rPr>
                <w:rFonts w:hint="cs"/>
                <w:sz w:val="18"/>
                <w:szCs w:val="18"/>
                <w:rtl/>
              </w:rPr>
              <w:t>רמה 1</w:t>
            </w:r>
          </w:p>
        </w:tc>
        <w:tc>
          <w:tcPr>
            <w:tcW w:w="1018" w:type="dxa"/>
            <w:tcBorders>
              <w:top w:val="nil"/>
              <w:left w:val="nil"/>
              <w:bottom w:val="nil"/>
              <w:right w:val="nil"/>
            </w:tcBorders>
            <w:vAlign w:val="bottom"/>
          </w:tcPr>
          <w:p w14:paraId="0FE33D42" w14:textId="0C8680C9" w:rsidR="00912661" w:rsidRPr="00511159" w:rsidRDefault="00912661" w:rsidP="00864DF5">
            <w:pPr>
              <w:pStyle w:val="-4"/>
              <w:pBdr>
                <w:bottom w:val="single" w:sz="4" w:space="1" w:color="auto"/>
              </w:pBdr>
              <w:spacing w:line="240" w:lineRule="auto"/>
              <w:ind w:left="-57" w:right="51"/>
              <w:rPr>
                <w:sz w:val="18"/>
                <w:szCs w:val="18"/>
                <w:rtl/>
              </w:rPr>
            </w:pPr>
            <w:r w:rsidRPr="00511159">
              <w:rPr>
                <w:rFonts w:hint="cs"/>
                <w:sz w:val="18"/>
                <w:szCs w:val="18"/>
                <w:rtl/>
              </w:rPr>
              <w:t>רמה 2</w:t>
            </w:r>
          </w:p>
        </w:tc>
        <w:tc>
          <w:tcPr>
            <w:tcW w:w="1018" w:type="dxa"/>
            <w:tcBorders>
              <w:top w:val="nil"/>
              <w:left w:val="nil"/>
              <w:bottom w:val="nil"/>
              <w:right w:val="nil"/>
            </w:tcBorders>
            <w:vAlign w:val="bottom"/>
          </w:tcPr>
          <w:p w14:paraId="6B18DB17" w14:textId="69D8F60A" w:rsidR="00912661" w:rsidRPr="00511159" w:rsidRDefault="00912661" w:rsidP="00864DF5">
            <w:pPr>
              <w:pStyle w:val="-4"/>
              <w:pBdr>
                <w:bottom w:val="single" w:sz="4" w:space="1" w:color="auto"/>
              </w:pBdr>
              <w:spacing w:line="240" w:lineRule="auto"/>
              <w:ind w:left="-72" w:right="-72"/>
              <w:rPr>
                <w:sz w:val="18"/>
                <w:szCs w:val="18"/>
                <w:rtl/>
              </w:rPr>
            </w:pPr>
            <w:r w:rsidRPr="00511159">
              <w:rPr>
                <w:rFonts w:hint="cs"/>
                <w:sz w:val="18"/>
                <w:szCs w:val="18"/>
                <w:rtl/>
              </w:rPr>
              <w:t>רמה 3</w:t>
            </w:r>
          </w:p>
        </w:tc>
        <w:tc>
          <w:tcPr>
            <w:tcW w:w="1018" w:type="dxa"/>
            <w:tcBorders>
              <w:top w:val="nil"/>
              <w:left w:val="nil"/>
              <w:bottom w:val="nil"/>
              <w:right w:val="nil"/>
            </w:tcBorders>
            <w:vAlign w:val="bottom"/>
          </w:tcPr>
          <w:p w14:paraId="31D98F22" w14:textId="785A9ACB" w:rsidR="00912661" w:rsidRPr="00511159" w:rsidRDefault="00912661" w:rsidP="00864DF5">
            <w:pPr>
              <w:pStyle w:val="-4"/>
              <w:pBdr>
                <w:bottom w:val="single" w:sz="4" w:space="1" w:color="auto"/>
              </w:pBdr>
              <w:spacing w:line="240" w:lineRule="auto"/>
              <w:rPr>
                <w:sz w:val="18"/>
                <w:szCs w:val="18"/>
                <w:rtl/>
              </w:rPr>
            </w:pPr>
            <w:r w:rsidRPr="00511159">
              <w:rPr>
                <w:rFonts w:hint="cs"/>
                <w:sz w:val="18"/>
                <w:szCs w:val="18"/>
                <w:rtl/>
              </w:rPr>
              <w:t>סך הכל</w:t>
            </w:r>
          </w:p>
        </w:tc>
      </w:tr>
      <w:tr w:rsidR="00912661" w:rsidRPr="00543C25" w14:paraId="0C9C66FE" w14:textId="77777777" w:rsidTr="00320C27">
        <w:trPr>
          <w:trHeight w:val="259"/>
        </w:trPr>
        <w:tc>
          <w:tcPr>
            <w:tcW w:w="1538" w:type="dxa"/>
            <w:tcBorders>
              <w:top w:val="nil"/>
              <w:left w:val="nil"/>
              <w:bottom w:val="nil"/>
              <w:right w:val="nil"/>
            </w:tcBorders>
          </w:tcPr>
          <w:p w14:paraId="0E483635"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551D6B40" w14:textId="77777777" w:rsidR="00912661" w:rsidRPr="00511159" w:rsidRDefault="00912661" w:rsidP="008A0C00">
            <w:pPr>
              <w:pStyle w:val="-f"/>
              <w:rPr>
                <w:sz w:val="18"/>
                <w:szCs w:val="18"/>
                <w:rtl/>
              </w:rPr>
            </w:pPr>
            <w:r w:rsidRPr="00511159">
              <w:rPr>
                <w:rFonts w:hint="cs"/>
                <w:sz w:val="18"/>
                <w:szCs w:val="18"/>
                <w:rtl/>
              </w:rPr>
              <w:t>נכסים פיננסיים</w:t>
            </w:r>
          </w:p>
        </w:tc>
        <w:tc>
          <w:tcPr>
            <w:tcW w:w="1018" w:type="dxa"/>
            <w:tcBorders>
              <w:top w:val="nil"/>
              <w:left w:val="nil"/>
              <w:bottom w:val="nil"/>
              <w:right w:val="nil"/>
            </w:tcBorders>
            <w:vAlign w:val="bottom"/>
          </w:tcPr>
          <w:p w14:paraId="64A85E2D" w14:textId="77777777" w:rsidR="00912661" w:rsidRPr="00511159" w:rsidRDefault="00912661" w:rsidP="00E36B99">
            <w:pPr>
              <w:pStyle w:val="-7"/>
              <w:rPr>
                <w:sz w:val="18"/>
                <w:szCs w:val="18"/>
                <w:rtl/>
              </w:rPr>
            </w:pPr>
          </w:p>
        </w:tc>
        <w:tc>
          <w:tcPr>
            <w:tcW w:w="1018" w:type="dxa"/>
            <w:tcBorders>
              <w:top w:val="nil"/>
              <w:left w:val="nil"/>
              <w:bottom w:val="nil"/>
              <w:right w:val="nil"/>
            </w:tcBorders>
            <w:vAlign w:val="bottom"/>
          </w:tcPr>
          <w:p w14:paraId="2A31D2B8" w14:textId="77777777" w:rsidR="00912661" w:rsidRPr="00511159" w:rsidRDefault="00912661" w:rsidP="00E36B99">
            <w:pPr>
              <w:pStyle w:val="-7"/>
              <w:rPr>
                <w:sz w:val="18"/>
                <w:szCs w:val="18"/>
                <w:rtl/>
              </w:rPr>
            </w:pPr>
          </w:p>
        </w:tc>
        <w:tc>
          <w:tcPr>
            <w:tcW w:w="1018" w:type="dxa"/>
            <w:tcBorders>
              <w:top w:val="nil"/>
              <w:left w:val="nil"/>
              <w:bottom w:val="nil"/>
              <w:right w:val="nil"/>
            </w:tcBorders>
            <w:vAlign w:val="bottom"/>
          </w:tcPr>
          <w:p w14:paraId="546DA5AC" w14:textId="77777777" w:rsidR="00912661" w:rsidRPr="00511159" w:rsidRDefault="00912661" w:rsidP="00E36B99">
            <w:pPr>
              <w:pStyle w:val="-7"/>
              <w:rPr>
                <w:sz w:val="18"/>
                <w:szCs w:val="18"/>
                <w:rtl/>
              </w:rPr>
            </w:pPr>
          </w:p>
        </w:tc>
        <w:tc>
          <w:tcPr>
            <w:tcW w:w="1018" w:type="dxa"/>
            <w:tcBorders>
              <w:top w:val="nil"/>
              <w:left w:val="nil"/>
              <w:bottom w:val="nil"/>
              <w:right w:val="nil"/>
            </w:tcBorders>
            <w:vAlign w:val="bottom"/>
          </w:tcPr>
          <w:p w14:paraId="0D79A69B" w14:textId="77777777" w:rsidR="00912661" w:rsidRPr="00511159" w:rsidRDefault="00912661" w:rsidP="00E36B99">
            <w:pPr>
              <w:pStyle w:val="-7"/>
              <w:rPr>
                <w:sz w:val="18"/>
                <w:szCs w:val="18"/>
                <w:rtl/>
              </w:rPr>
            </w:pPr>
          </w:p>
        </w:tc>
        <w:tc>
          <w:tcPr>
            <w:tcW w:w="1018" w:type="dxa"/>
            <w:tcBorders>
              <w:top w:val="nil"/>
              <w:left w:val="nil"/>
              <w:bottom w:val="nil"/>
              <w:right w:val="nil"/>
            </w:tcBorders>
            <w:vAlign w:val="bottom"/>
          </w:tcPr>
          <w:p w14:paraId="0EF94A19" w14:textId="77777777" w:rsidR="00912661" w:rsidRPr="00511159" w:rsidRDefault="00912661" w:rsidP="00E36B99">
            <w:pPr>
              <w:pStyle w:val="-7"/>
              <w:rPr>
                <w:sz w:val="18"/>
                <w:szCs w:val="18"/>
                <w:rtl/>
              </w:rPr>
            </w:pPr>
          </w:p>
        </w:tc>
      </w:tr>
      <w:tr w:rsidR="00912661" w:rsidRPr="00543C25" w14:paraId="7AE58A4B" w14:textId="77777777" w:rsidTr="00320C27">
        <w:trPr>
          <w:trHeight w:val="259"/>
        </w:trPr>
        <w:tc>
          <w:tcPr>
            <w:tcW w:w="1538" w:type="dxa"/>
            <w:tcBorders>
              <w:top w:val="nil"/>
              <w:left w:val="nil"/>
              <w:bottom w:val="nil"/>
              <w:right w:val="nil"/>
            </w:tcBorders>
          </w:tcPr>
          <w:p w14:paraId="6727E3CE"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487CAC46" w14:textId="77777777" w:rsidR="00912661" w:rsidRPr="00511159" w:rsidRDefault="00912661" w:rsidP="008A0C00">
            <w:pPr>
              <w:pStyle w:val="-0"/>
              <w:rPr>
                <w:sz w:val="18"/>
                <w:szCs w:val="18"/>
                <w:rtl/>
              </w:rPr>
            </w:pPr>
            <w:r w:rsidRPr="00511159">
              <w:rPr>
                <w:sz w:val="18"/>
                <w:szCs w:val="18"/>
                <w:rtl/>
              </w:rPr>
              <w:t>מזומנים ופ</w:t>
            </w:r>
            <w:r w:rsidRPr="00511159">
              <w:rPr>
                <w:rFonts w:hint="cs"/>
                <w:sz w:val="18"/>
                <w:szCs w:val="18"/>
                <w:rtl/>
              </w:rPr>
              <w:t>י</w:t>
            </w:r>
            <w:r w:rsidRPr="00511159">
              <w:rPr>
                <w:sz w:val="18"/>
                <w:szCs w:val="18"/>
                <w:rtl/>
              </w:rPr>
              <w:t>קדונות בבנקים</w:t>
            </w:r>
          </w:p>
        </w:tc>
        <w:tc>
          <w:tcPr>
            <w:tcW w:w="1018" w:type="dxa"/>
            <w:tcBorders>
              <w:top w:val="nil"/>
              <w:left w:val="nil"/>
              <w:bottom w:val="nil"/>
              <w:right w:val="nil"/>
            </w:tcBorders>
            <w:vAlign w:val="bottom"/>
          </w:tcPr>
          <w:p w14:paraId="71E9D537"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32A59AC3"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162F0761"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253AD43B"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5CEC938E"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r>
      <w:tr w:rsidR="00912661" w:rsidRPr="00543C25" w14:paraId="4F95ABE4" w14:textId="77777777" w:rsidTr="00320C27">
        <w:trPr>
          <w:trHeight w:val="259"/>
        </w:trPr>
        <w:tc>
          <w:tcPr>
            <w:tcW w:w="1538" w:type="dxa"/>
            <w:tcBorders>
              <w:top w:val="nil"/>
              <w:left w:val="nil"/>
              <w:bottom w:val="nil"/>
              <w:right w:val="nil"/>
            </w:tcBorders>
          </w:tcPr>
          <w:p w14:paraId="52F76C09"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6F8BC2AB" w14:textId="40AE0149" w:rsidR="00912661" w:rsidRPr="00511159" w:rsidRDefault="00912661" w:rsidP="00AF769C">
            <w:pPr>
              <w:pStyle w:val="-0"/>
              <w:rPr>
                <w:sz w:val="18"/>
                <w:szCs w:val="18"/>
                <w:rtl/>
              </w:rPr>
            </w:pPr>
            <w:r w:rsidRPr="00511159">
              <w:rPr>
                <w:sz w:val="18"/>
                <w:szCs w:val="18"/>
                <w:rtl/>
              </w:rPr>
              <w:t>ניירות ערך</w:t>
            </w:r>
          </w:p>
        </w:tc>
        <w:tc>
          <w:tcPr>
            <w:tcW w:w="1018" w:type="dxa"/>
            <w:tcBorders>
              <w:top w:val="nil"/>
              <w:left w:val="nil"/>
              <w:bottom w:val="nil"/>
              <w:right w:val="nil"/>
            </w:tcBorders>
            <w:vAlign w:val="bottom"/>
          </w:tcPr>
          <w:p w14:paraId="5FB7FCF3"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306FE699"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4FEE39C6"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012B31A2"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711BB903"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r>
      <w:tr w:rsidR="00912661" w:rsidRPr="00543C25" w14:paraId="6FDB054C" w14:textId="77777777" w:rsidTr="00320C27">
        <w:trPr>
          <w:trHeight w:val="259"/>
        </w:trPr>
        <w:tc>
          <w:tcPr>
            <w:tcW w:w="1538" w:type="dxa"/>
            <w:tcBorders>
              <w:top w:val="nil"/>
              <w:left w:val="nil"/>
              <w:bottom w:val="nil"/>
              <w:right w:val="nil"/>
            </w:tcBorders>
          </w:tcPr>
          <w:p w14:paraId="3BF01C53"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6C5643D9" w14:textId="77777777" w:rsidR="00912661" w:rsidRPr="00511159" w:rsidRDefault="00912661" w:rsidP="008A0C00">
            <w:pPr>
              <w:pStyle w:val="-21"/>
              <w:rPr>
                <w:sz w:val="18"/>
                <w:szCs w:val="18"/>
                <w:rtl/>
              </w:rPr>
            </w:pPr>
            <w:r w:rsidRPr="00511159">
              <w:rPr>
                <w:rFonts w:hint="cs"/>
                <w:sz w:val="18"/>
                <w:szCs w:val="18"/>
                <w:rtl/>
              </w:rPr>
              <w:t>ניירות ערך שנשאלו או נרכשו במסגרת הסכמי מכר חוזר</w:t>
            </w:r>
          </w:p>
        </w:tc>
        <w:tc>
          <w:tcPr>
            <w:tcW w:w="1018" w:type="dxa"/>
            <w:tcBorders>
              <w:top w:val="nil"/>
              <w:left w:val="nil"/>
              <w:bottom w:val="nil"/>
              <w:right w:val="nil"/>
            </w:tcBorders>
            <w:vAlign w:val="bottom"/>
          </w:tcPr>
          <w:p w14:paraId="4475D212"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7708C84A"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26F8B13A"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2DB3B8BE"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62C30D1D"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r>
      <w:tr w:rsidR="00912661" w:rsidRPr="00543C25" w14:paraId="387ACD4B" w14:textId="77777777" w:rsidTr="00320C27">
        <w:trPr>
          <w:trHeight w:val="259"/>
        </w:trPr>
        <w:tc>
          <w:tcPr>
            <w:tcW w:w="1538" w:type="dxa"/>
            <w:tcBorders>
              <w:top w:val="nil"/>
              <w:left w:val="nil"/>
              <w:bottom w:val="nil"/>
              <w:right w:val="nil"/>
            </w:tcBorders>
          </w:tcPr>
          <w:p w14:paraId="406726CD"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029B3AA3" w14:textId="77777777" w:rsidR="00912661" w:rsidRPr="00511159" w:rsidRDefault="00912661" w:rsidP="008A0C00">
            <w:pPr>
              <w:pStyle w:val="-0"/>
              <w:rPr>
                <w:sz w:val="18"/>
                <w:szCs w:val="18"/>
                <w:rtl/>
              </w:rPr>
            </w:pPr>
            <w:r w:rsidRPr="00511159">
              <w:rPr>
                <w:sz w:val="18"/>
                <w:szCs w:val="18"/>
                <w:rtl/>
              </w:rPr>
              <w:t>אשראי לציבור</w:t>
            </w:r>
            <w:r w:rsidRPr="00511159">
              <w:rPr>
                <w:rFonts w:hint="cs"/>
                <w:sz w:val="18"/>
                <w:szCs w:val="18"/>
                <w:rtl/>
              </w:rPr>
              <w:t>, נטו</w:t>
            </w:r>
          </w:p>
        </w:tc>
        <w:tc>
          <w:tcPr>
            <w:tcW w:w="1018" w:type="dxa"/>
            <w:tcBorders>
              <w:top w:val="nil"/>
              <w:left w:val="nil"/>
              <w:bottom w:val="nil"/>
              <w:right w:val="nil"/>
            </w:tcBorders>
            <w:vAlign w:val="bottom"/>
          </w:tcPr>
          <w:p w14:paraId="18252DC0"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6558CA82"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1A5DD111"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1C2A4BF9"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1DB15E49"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r>
      <w:tr w:rsidR="00912661" w:rsidRPr="00543C25" w14:paraId="4E972383" w14:textId="77777777" w:rsidTr="00320C27">
        <w:trPr>
          <w:trHeight w:val="259"/>
        </w:trPr>
        <w:tc>
          <w:tcPr>
            <w:tcW w:w="1538" w:type="dxa"/>
            <w:tcBorders>
              <w:top w:val="nil"/>
              <w:left w:val="nil"/>
              <w:bottom w:val="nil"/>
              <w:right w:val="nil"/>
            </w:tcBorders>
          </w:tcPr>
          <w:p w14:paraId="5A22879E"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60AD2E80" w14:textId="77777777" w:rsidR="00912661" w:rsidRPr="00511159" w:rsidRDefault="00912661" w:rsidP="008A0C00">
            <w:pPr>
              <w:pStyle w:val="-0"/>
              <w:rPr>
                <w:sz w:val="18"/>
                <w:szCs w:val="18"/>
                <w:rtl/>
              </w:rPr>
            </w:pPr>
            <w:r w:rsidRPr="00511159">
              <w:rPr>
                <w:sz w:val="18"/>
                <w:szCs w:val="18"/>
                <w:rtl/>
              </w:rPr>
              <w:t>אשראי לממשלה</w:t>
            </w:r>
          </w:p>
        </w:tc>
        <w:tc>
          <w:tcPr>
            <w:tcW w:w="1018" w:type="dxa"/>
            <w:tcBorders>
              <w:top w:val="nil"/>
              <w:left w:val="nil"/>
              <w:bottom w:val="nil"/>
              <w:right w:val="nil"/>
            </w:tcBorders>
            <w:vAlign w:val="bottom"/>
          </w:tcPr>
          <w:p w14:paraId="6EDDD51D"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4F45B9F6"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40FBF918"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1D8FE8AF"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34DE48AF"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r>
      <w:tr w:rsidR="00912661" w:rsidRPr="00543C25" w14:paraId="64B3CBFB" w14:textId="77777777" w:rsidTr="00320C27">
        <w:trPr>
          <w:trHeight w:val="259"/>
        </w:trPr>
        <w:tc>
          <w:tcPr>
            <w:tcW w:w="1538" w:type="dxa"/>
            <w:tcBorders>
              <w:top w:val="nil"/>
              <w:left w:val="nil"/>
              <w:bottom w:val="nil"/>
              <w:right w:val="nil"/>
            </w:tcBorders>
          </w:tcPr>
          <w:p w14:paraId="173A2C70"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59D243FD" w14:textId="77777777" w:rsidR="00912661" w:rsidRPr="00511159" w:rsidRDefault="00912661" w:rsidP="008A0C00">
            <w:pPr>
              <w:pStyle w:val="-0"/>
              <w:rPr>
                <w:sz w:val="18"/>
                <w:szCs w:val="18"/>
                <w:rtl/>
              </w:rPr>
            </w:pPr>
            <w:r w:rsidRPr="00511159">
              <w:rPr>
                <w:rFonts w:hint="cs"/>
                <w:sz w:val="18"/>
                <w:szCs w:val="18"/>
                <w:rtl/>
              </w:rPr>
              <w:t>נכסים בגין מכשירים נגזרים</w:t>
            </w:r>
          </w:p>
        </w:tc>
        <w:tc>
          <w:tcPr>
            <w:tcW w:w="1018" w:type="dxa"/>
            <w:tcBorders>
              <w:top w:val="nil"/>
              <w:left w:val="nil"/>
              <w:bottom w:val="nil"/>
              <w:right w:val="nil"/>
            </w:tcBorders>
            <w:vAlign w:val="bottom"/>
          </w:tcPr>
          <w:p w14:paraId="72871786"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439E6EFC"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30148467"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1E282881"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05A6A27A"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r>
      <w:tr w:rsidR="00912661" w:rsidRPr="00543C25" w14:paraId="3C293702" w14:textId="77777777" w:rsidTr="00320C27">
        <w:trPr>
          <w:trHeight w:val="259"/>
        </w:trPr>
        <w:tc>
          <w:tcPr>
            <w:tcW w:w="1538" w:type="dxa"/>
            <w:tcBorders>
              <w:top w:val="nil"/>
              <w:left w:val="nil"/>
              <w:bottom w:val="nil"/>
              <w:right w:val="nil"/>
            </w:tcBorders>
          </w:tcPr>
          <w:p w14:paraId="60A535B9"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63CEBE05" w14:textId="77777777" w:rsidR="00912661" w:rsidRPr="00511159" w:rsidRDefault="00912661" w:rsidP="008A0C00">
            <w:pPr>
              <w:pStyle w:val="-0"/>
              <w:rPr>
                <w:sz w:val="18"/>
                <w:szCs w:val="18"/>
                <w:rtl/>
              </w:rPr>
            </w:pPr>
            <w:r w:rsidRPr="00511159">
              <w:rPr>
                <w:sz w:val="18"/>
                <w:szCs w:val="18"/>
                <w:rtl/>
              </w:rPr>
              <w:t xml:space="preserve">נכסים פיננסיים אחרים </w:t>
            </w:r>
          </w:p>
        </w:tc>
        <w:tc>
          <w:tcPr>
            <w:tcW w:w="1018" w:type="dxa"/>
            <w:tcBorders>
              <w:top w:val="nil"/>
              <w:left w:val="nil"/>
              <w:bottom w:val="nil"/>
              <w:right w:val="nil"/>
            </w:tcBorders>
            <w:vAlign w:val="bottom"/>
          </w:tcPr>
          <w:p w14:paraId="0D5CB8E9" w14:textId="77777777" w:rsidR="00912661" w:rsidRPr="00511159" w:rsidRDefault="00912661">
            <w:pPr>
              <w:pStyle w:val="-3"/>
              <w:pBdr>
                <w:bottom w:val="single" w:sz="4" w:space="1" w:color="auto"/>
              </w:pBdr>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392E761F" w14:textId="77777777" w:rsidR="00912661" w:rsidRPr="00511159" w:rsidRDefault="00912661">
            <w:pPr>
              <w:pStyle w:val="-3"/>
              <w:pBdr>
                <w:bottom w:val="single" w:sz="4" w:space="1" w:color="auto"/>
              </w:pBdr>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467654EF" w14:textId="77777777" w:rsidR="00912661" w:rsidRPr="00511159" w:rsidRDefault="00912661">
            <w:pPr>
              <w:pStyle w:val="-3"/>
              <w:pBdr>
                <w:bottom w:val="single" w:sz="4" w:space="1" w:color="auto"/>
              </w:pBdr>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44A52E37" w14:textId="77777777" w:rsidR="00912661" w:rsidRPr="00511159" w:rsidRDefault="00912661">
            <w:pPr>
              <w:pStyle w:val="-3"/>
              <w:pBdr>
                <w:bottom w:val="single" w:sz="4" w:space="1" w:color="auto"/>
              </w:pBdr>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0FEAC235" w14:textId="77777777" w:rsidR="00912661" w:rsidRPr="00511159" w:rsidRDefault="00912661">
            <w:pPr>
              <w:pStyle w:val="-3"/>
              <w:pBdr>
                <w:bottom w:val="single" w:sz="4" w:space="1" w:color="auto"/>
              </w:pBdr>
              <w:rPr>
                <w:sz w:val="18"/>
                <w:szCs w:val="18"/>
                <w:rtl/>
              </w:rPr>
            </w:pPr>
            <w:r w:rsidRPr="00511159">
              <w:rPr>
                <w:rFonts w:hint="cs"/>
                <w:sz w:val="18"/>
                <w:szCs w:val="18"/>
                <w:rtl/>
              </w:rPr>
              <w:t xml:space="preserve"> </w:t>
            </w:r>
            <w:r w:rsidRPr="00511159">
              <w:rPr>
                <w:sz w:val="18"/>
                <w:szCs w:val="18"/>
                <w:rtl/>
              </w:rPr>
              <w:t>0</w:t>
            </w:r>
          </w:p>
        </w:tc>
      </w:tr>
      <w:tr w:rsidR="00912661" w:rsidRPr="00543C25" w14:paraId="5BE92804" w14:textId="77777777" w:rsidTr="00320C27">
        <w:trPr>
          <w:trHeight w:val="259"/>
        </w:trPr>
        <w:tc>
          <w:tcPr>
            <w:tcW w:w="1538" w:type="dxa"/>
            <w:tcBorders>
              <w:top w:val="nil"/>
              <w:left w:val="nil"/>
              <w:bottom w:val="nil"/>
              <w:right w:val="nil"/>
            </w:tcBorders>
          </w:tcPr>
          <w:p w14:paraId="143013B5"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67B36EF2" w14:textId="77777777" w:rsidR="00912661" w:rsidRPr="00511159" w:rsidRDefault="00912661" w:rsidP="008A0C00">
            <w:pPr>
              <w:pStyle w:val="-0"/>
              <w:rPr>
                <w:sz w:val="18"/>
                <w:szCs w:val="18"/>
                <w:rtl/>
              </w:rPr>
            </w:pPr>
            <w:r w:rsidRPr="00511159">
              <w:rPr>
                <w:rFonts w:hint="cs"/>
                <w:sz w:val="18"/>
                <w:szCs w:val="18"/>
                <w:rtl/>
              </w:rPr>
              <w:t>השפעת הסכמי קיזוז</w:t>
            </w:r>
          </w:p>
        </w:tc>
        <w:tc>
          <w:tcPr>
            <w:tcW w:w="1018" w:type="dxa"/>
            <w:tcBorders>
              <w:top w:val="nil"/>
              <w:left w:val="nil"/>
              <w:bottom w:val="nil"/>
              <w:right w:val="nil"/>
            </w:tcBorders>
            <w:vAlign w:val="bottom"/>
          </w:tcPr>
          <w:p w14:paraId="69B435EB" w14:textId="77777777" w:rsidR="00912661" w:rsidRPr="00511159" w:rsidRDefault="00912661">
            <w:pPr>
              <w:pStyle w:val="-120"/>
              <w:pBdr>
                <w:top w:val="none" w:sz="0" w:space="0" w:color="auto"/>
                <w:bottom w:val="single" w:sz="4" w:space="1" w:color="auto"/>
              </w:pBdr>
              <w:jc w:val="left"/>
              <w:rPr>
                <w:color w:val="000000"/>
                <w:szCs w:val="18"/>
                <w:rtl/>
                <w:lang w:eastAsia="he-IL"/>
              </w:rPr>
            </w:pPr>
            <w:r w:rsidRPr="00511159">
              <w:rPr>
                <w:rFonts w:hint="cs"/>
                <w:szCs w:val="18"/>
                <w:rtl/>
              </w:rPr>
              <w:t>(</w:t>
            </w:r>
            <w:r w:rsidRPr="00511159">
              <w:rPr>
                <w:szCs w:val="18"/>
                <w:rtl/>
              </w:rPr>
              <w:t>0</w:t>
            </w:r>
            <w:r w:rsidRPr="00511159">
              <w:rPr>
                <w:rFonts w:hint="cs"/>
                <w:szCs w:val="18"/>
                <w:rtl/>
              </w:rPr>
              <w:t>)</w:t>
            </w:r>
          </w:p>
        </w:tc>
        <w:tc>
          <w:tcPr>
            <w:tcW w:w="1018" w:type="dxa"/>
            <w:tcBorders>
              <w:top w:val="nil"/>
              <w:left w:val="nil"/>
              <w:bottom w:val="nil"/>
              <w:right w:val="nil"/>
            </w:tcBorders>
            <w:vAlign w:val="bottom"/>
          </w:tcPr>
          <w:p w14:paraId="418569D0" w14:textId="77777777" w:rsidR="00912661" w:rsidRPr="00511159" w:rsidRDefault="00912661">
            <w:pPr>
              <w:pStyle w:val="-120"/>
              <w:pBdr>
                <w:top w:val="none" w:sz="0" w:space="0" w:color="auto"/>
                <w:bottom w:val="single" w:sz="4" w:space="1" w:color="auto"/>
              </w:pBdr>
              <w:jc w:val="left"/>
              <w:rPr>
                <w:color w:val="000000"/>
                <w:szCs w:val="18"/>
                <w:rtl/>
                <w:lang w:eastAsia="he-IL"/>
              </w:rPr>
            </w:pPr>
            <w:r w:rsidRPr="00511159">
              <w:rPr>
                <w:rFonts w:hint="cs"/>
                <w:szCs w:val="18"/>
                <w:rtl/>
              </w:rPr>
              <w:t xml:space="preserve"> -</w:t>
            </w:r>
          </w:p>
        </w:tc>
        <w:tc>
          <w:tcPr>
            <w:tcW w:w="1018" w:type="dxa"/>
            <w:tcBorders>
              <w:top w:val="nil"/>
              <w:left w:val="nil"/>
              <w:bottom w:val="nil"/>
              <w:right w:val="nil"/>
            </w:tcBorders>
            <w:vAlign w:val="bottom"/>
          </w:tcPr>
          <w:p w14:paraId="36392A8D" w14:textId="77777777" w:rsidR="00912661" w:rsidRPr="00511159" w:rsidRDefault="00912661">
            <w:pPr>
              <w:pStyle w:val="-120"/>
              <w:pBdr>
                <w:top w:val="none" w:sz="0" w:space="0" w:color="auto"/>
                <w:bottom w:val="single" w:sz="4" w:space="1" w:color="auto"/>
              </w:pBdr>
              <w:jc w:val="left"/>
              <w:rPr>
                <w:color w:val="000000"/>
                <w:szCs w:val="18"/>
                <w:rtl/>
                <w:lang w:eastAsia="he-IL"/>
              </w:rPr>
            </w:pPr>
            <w:r w:rsidRPr="00511159">
              <w:rPr>
                <w:rFonts w:hint="cs"/>
                <w:szCs w:val="18"/>
                <w:rtl/>
              </w:rPr>
              <w:t xml:space="preserve"> -</w:t>
            </w:r>
          </w:p>
        </w:tc>
        <w:tc>
          <w:tcPr>
            <w:tcW w:w="1018" w:type="dxa"/>
            <w:tcBorders>
              <w:top w:val="nil"/>
              <w:left w:val="nil"/>
              <w:bottom w:val="nil"/>
              <w:right w:val="nil"/>
            </w:tcBorders>
            <w:vAlign w:val="bottom"/>
          </w:tcPr>
          <w:p w14:paraId="4A2242D5" w14:textId="77777777" w:rsidR="00912661" w:rsidRPr="00511159" w:rsidRDefault="00912661">
            <w:pPr>
              <w:pStyle w:val="-120"/>
              <w:pBdr>
                <w:top w:val="none" w:sz="0" w:space="0" w:color="auto"/>
                <w:bottom w:val="single" w:sz="4" w:space="1" w:color="auto"/>
              </w:pBdr>
              <w:jc w:val="left"/>
              <w:rPr>
                <w:color w:val="000000"/>
                <w:szCs w:val="18"/>
                <w:rtl/>
                <w:lang w:eastAsia="he-IL"/>
              </w:rPr>
            </w:pPr>
            <w:r w:rsidRPr="00511159">
              <w:rPr>
                <w:rFonts w:hint="cs"/>
                <w:szCs w:val="18"/>
                <w:rtl/>
              </w:rPr>
              <w:t xml:space="preserve"> -</w:t>
            </w:r>
          </w:p>
        </w:tc>
        <w:tc>
          <w:tcPr>
            <w:tcW w:w="1018" w:type="dxa"/>
            <w:tcBorders>
              <w:top w:val="nil"/>
              <w:left w:val="nil"/>
              <w:bottom w:val="nil"/>
              <w:right w:val="nil"/>
            </w:tcBorders>
            <w:vAlign w:val="bottom"/>
          </w:tcPr>
          <w:p w14:paraId="1F6AB687" w14:textId="77777777" w:rsidR="00912661" w:rsidRPr="00511159" w:rsidRDefault="00912661">
            <w:pPr>
              <w:pStyle w:val="-120"/>
              <w:pBdr>
                <w:top w:val="none" w:sz="0" w:space="0" w:color="auto"/>
                <w:bottom w:val="single" w:sz="4" w:space="1" w:color="auto"/>
              </w:pBdr>
              <w:jc w:val="left"/>
              <w:rPr>
                <w:color w:val="000000"/>
                <w:szCs w:val="18"/>
                <w:rtl/>
                <w:lang w:eastAsia="he-IL"/>
              </w:rPr>
            </w:pPr>
            <w:r w:rsidRPr="00511159">
              <w:rPr>
                <w:rFonts w:hint="cs"/>
                <w:szCs w:val="18"/>
                <w:rtl/>
              </w:rPr>
              <w:t>(</w:t>
            </w:r>
            <w:r w:rsidRPr="00511159">
              <w:rPr>
                <w:szCs w:val="18"/>
                <w:rtl/>
              </w:rPr>
              <w:t>0</w:t>
            </w:r>
            <w:r w:rsidRPr="00511159">
              <w:rPr>
                <w:rFonts w:hint="cs"/>
                <w:szCs w:val="18"/>
                <w:rtl/>
              </w:rPr>
              <w:t>)</w:t>
            </w:r>
          </w:p>
        </w:tc>
      </w:tr>
      <w:tr w:rsidR="00912661" w:rsidRPr="00543C25" w14:paraId="6E2E1AB3" w14:textId="77777777" w:rsidTr="00320C27">
        <w:trPr>
          <w:trHeight w:val="259"/>
        </w:trPr>
        <w:tc>
          <w:tcPr>
            <w:tcW w:w="1538" w:type="dxa"/>
            <w:tcBorders>
              <w:top w:val="nil"/>
              <w:left w:val="nil"/>
              <w:bottom w:val="nil"/>
              <w:right w:val="nil"/>
            </w:tcBorders>
          </w:tcPr>
          <w:p w14:paraId="1AB10C87"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7B885C9C" w14:textId="77777777" w:rsidR="00912661" w:rsidRPr="00511159" w:rsidRDefault="00912661" w:rsidP="008A0C00">
            <w:pPr>
              <w:pStyle w:val="-b"/>
              <w:rPr>
                <w:sz w:val="18"/>
                <w:szCs w:val="18"/>
                <w:rtl/>
              </w:rPr>
            </w:pPr>
            <w:r w:rsidRPr="00511159">
              <w:rPr>
                <w:rFonts w:hint="cs"/>
                <w:sz w:val="18"/>
                <w:szCs w:val="18"/>
                <w:rtl/>
              </w:rPr>
              <w:t>סך כל הנכסים הפיננסיים</w:t>
            </w:r>
          </w:p>
        </w:tc>
        <w:tc>
          <w:tcPr>
            <w:tcW w:w="1018" w:type="dxa"/>
            <w:tcBorders>
              <w:top w:val="nil"/>
              <w:left w:val="nil"/>
              <w:bottom w:val="nil"/>
              <w:right w:val="nil"/>
            </w:tcBorders>
            <w:vAlign w:val="bottom"/>
          </w:tcPr>
          <w:p w14:paraId="3955CAB4" w14:textId="78C761AB" w:rsidR="00912661" w:rsidRPr="00511159" w:rsidRDefault="00912661">
            <w:pPr>
              <w:pStyle w:val="-f1"/>
              <w:pBdr>
                <w:top w:val="none" w:sz="0" w:space="0" w:color="auto"/>
              </w:pBdr>
              <w:rPr>
                <w:sz w:val="18"/>
                <w:szCs w:val="18"/>
                <w:rtl/>
              </w:rPr>
            </w:pPr>
            <w:r w:rsidRPr="00511159">
              <w:rPr>
                <w:sz w:val="18"/>
                <w:szCs w:val="18"/>
                <w:rtl/>
              </w:rPr>
              <w:t xml:space="preserve"> 0</w:t>
            </w:r>
            <w:r>
              <w:rPr>
                <w:rFonts w:hint="cs"/>
                <w:sz w:val="18"/>
                <w:szCs w:val="18"/>
                <w:vertAlign w:val="superscript"/>
                <w:rtl/>
              </w:rPr>
              <w:t xml:space="preserve"> </w:t>
            </w:r>
            <w:r w:rsidRPr="003A0D2D">
              <w:rPr>
                <w:b w:val="0"/>
                <w:bCs w:val="0"/>
                <w:sz w:val="18"/>
                <w:szCs w:val="18"/>
                <w:vertAlign w:val="superscript"/>
                <w:rtl/>
              </w:rPr>
              <w:t>(</w:t>
            </w:r>
            <w:r w:rsidRPr="003A0D2D">
              <w:rPr>
                <w:rFonts w:hint="cs"/>
                <w:b w:val="0"/>
                <w:bCs w:val="0"/>
                <w:sz w:val="18"/>
                <w:szCs w:val="18"/>
                <w:vertAlign w:val="superscript"/>
                <w:rtl/>
              </w:rPr>
              <w:t>א</w:t>
            </w:r>
            <w:r w:rsidRPr="003A0D2D">
              <w:rPr>
                <w:b w:val="0"/>
                <w:bCs w:val="0"/>
                <w:sz w:val="18"/>
                <w:szCs w:val="18"/>
                <w:vertAlign w:val="superscript"/>
                <w:rtl/>
              </w:rPr>
              <w:t>)</w:t>
            </w:r>
          </w:p>
        </w:tc>
        <w:tc>
          <w:tcPr>
            <w:tcW w:w="1018" w:type="dxa"/>
            <w:tcBorders>
              <w:top w:val="nil"/>
              <w:left w:val="nil"/>
              <w:bottom w:val="nil"/>
              <w:right w:val="nil"/>
            </w:tcBorders>
            <w:vAlign w:val="bottom"/>
          </w:tcPr>
          <w:p w14:paraId="2B4E22F3" w14:textId="77777777" w:rsidR="00912661" w:rsidRPr="00511159" w:rsidRDefault="00912661">
            <w:pPr>
              <w:pStyle w:val="-f1"/>
              <w:pBdr>
                <w:top w:val="none" w:sz="0" w:space="0" w:color="auto"/>
              </w:pBdr>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6F9F89A9" w14:textId="77777777" w:rsidR="00912661" w:rsidRPr="00511159" w:rsidRDefault="00912661">
            <w:pPr>
              <w:pStyle w:val="-f1"/>
              <w:pBdr>
                <w:top w:val="none" w:sz="0" w:space="0" w:color="auto"/>
              </w:pBdr>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5670F9E0" w14:textId="77777777" w:rsidR="00912661" w:rsidRPr="00511159" w:rsidRDefault="00912661">
            <w:pPr>
              <w:pStyle w:val="-f1"/>
              <w:pBdr>
                <w:top w:val="none" w:sz="0" w:space="0" w:color="auto"/>
              </w:pBdr>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472EEC5A" w14:textId="77777777" w:rsidR="00912661" w:rsidRPr="00511159" w:rsidRDefault="00912661">
            <w:pPr>
              <w:pStyle w:val="-f1"/>
              <w:pBdr>
                <w:top w:val="none" w:sz="0" w:space="0" w:color="auto"/>
              </w:pBdr>
              <w:rPr>
                <w:sz w:val="18"/>
                <w:szCs w:val="18"/>
                <w:rtl/>
              </w:rPr>
            </w:pPr>
            <w:r w:rsidRPr="00511159">
              <w:rPr>
                <w:rFonts w:hint="cs"/>
                <w:sz w:val="18"/>
                <w:szCs w:val="18"/>
                <w:rtl/>
              </w:rPr>
              <w:t xml:space="preserve"> </w:t>
            </w:r>
            <w:r w:rsidRPr="00511159">
              <w:rPr>
                <w:sz w:val="18"/>
                <w:szCs w:val="18"/>
                <w:rtl/>
              </w:rPr>
              <w:t>0</w:t>
            </w:r>
          </w:p>
        </w:tc>
      </w:tr>
      <w:tr w:rsidR="00912661" w:rsidRPr="00543C25" w14:paraId="13FC3678" w14:textId="77777777" w:rsidTr="00320C27">
        <w:trPr>
          <w:trHeight w:hRule="exact" w:val="144"/>
        </w:trPr>
        <w:tc>
          <w:tcPr>
            <w:tcW w:w="1538" w:type="dxa"/>
            <w:tcBorders>
              <w:top w:val="nil"/>
              <w:left w:val="nil"/>
              <w:bottom w:val="nil"/>
              <w:right w:val="nil"/>
            </w:tcBorders>
          </w:tcPr>
          <w:p w14:paraId="79C33557"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15FAA653" w14:textId="77777777" w:rsidR="00912661" w:rsidRPr="00511159" w:rsidRDefault="00912661" w:rsidP="008A0C00">
            <w:pPr>
              <w:pStyle w:val="-0"/>
              <w:rPr>
                <w:sz w:val="18"/>
                <w:szCs w:val="18"/>
                <w:rtl/>
              </w:rPr>
            </w:pPr>
          </w:p>
        </w:tc>
        <w:tc>
          <w:tcPr>
            <w:tcW w:w="1018" w:type="dxa"/>
            <w:tcBorders>
              <w:top w:val="nil"/>
              <w:left w:val="nil"/>
              <w:bottom w:val="nil"/>
              <w:right w:val="nil"/>
            </w:tcBorders>
          </w:tcPr>
          <w:p w14:paraId="4BCB8C87" w14:textId="77777777" w:rsidR="00912661" w:rsidRPr="00511159" w:rsidRDefault="00912661">
            <w:pPr>
              <w:pStyle w:val="-12"/>
              <w:pBdr>
                <w:top w:val="none" w:sz="0" w:space="0" w:color="auto"/>
              </w:pBdr>
              <w:rPr>
                <w:sz w:val="18"/>
                <w:szCs w:val="18"/>
                <w:rtl/>
              </w:rPr>
            </w:pPr>
          </w:p>
        </w:tc>
        <w:tc>
          <w:tcPr>
            <w:tcW w:w="1018" w:type="dxa"/>
            <w:tcBorders>
              <w:top w:val="nil"/>
              <w:left w:val="nil"/>
              <w:bottom w:val="nil"/>
              <w:right w:val="nil"/>
            </w:tcBorders>
          </w:tcPr>
          <w:p w14:paraId="5ADAF0BB" w14:textId="77777777" w:rsidR="00912661" w:rsidRPr="00511159" w:rsidRDefault="00912661">
            <w:pPr>
              <w:pStyle w:val="-12"/>
              <w:pBdr>
                <w:top w:val="none" w:sz="0" w:space="0" w:color="auto"/>
              </w:pBdr>
              <w:rPr>
                <w:sz w:val="18"/>
                <w:szCs w:val="18"/>
                <w:rtl/>
              </w:rPr>
            </w:pPr>
          </w:p>
        </w:tc>
        <w:tc>
          <w:tcPr>
            <w:tcW w:w="1018" w:type="dxa"/>
            <w:tcBorders>
              <w:top w:val="nil"/>
              <w:left w:val="nil"/>
              <w:bottom w:val="nil"/>
              <w:right w:val="nil"/>
            </w:tcBorders>
          </w:tcPr>
          <w:p w14:paraId="1C522009" w14:textId="77777777" w:rsidR="00912661" w:rsidRPr="00511159" w:rsidRDefault="00912661">
            <w:pPr>
              <w:pStyle w:val="-12"/>
              <w:pBdr>
                <w:top w:val="none" w:sz="0" w:space="0" w:color="auto"/>
              </w:pBdr>
              <w:rPr>
                <w:sz w:val="18"/>
                <w:szCs w:val="18"/>
                <w:rtl/>
              </w:rPr>
            </w:pPr>
          </w:p>
        </w:tc>
        <w:tc>
          <w:tcPr>
            <w:tcW w:w="1018" w:type="dxa"/>
            <w:tcBorders>
              <w:top w:val="nil"/>
              <w:left w:val="nil"/>
              <w:bottom w:val="nil"/>
              <w:right w:val="nil"/>
            </w:tcBorders>
          </w:tcPr>
          <w:p w14:paraId="15A3B48A" w14:textId="77777777" w:rsidR="00912661" w:rsidRPr="00511159" w:rsidRDefault="00912661">
            <w:pPr>
              <w:pStyle w:val="-12"/>
              <w:pBdr>
                <w:top w:val="none" w:sz="0" w:space="0" w:color="auto"/>
              </w:pBdr>
              <w:rPr>
                <w:sz w:val="18"/>
                <w:szCs w:val="18"/>
                <w:rtl/>
              </w:rPr>
            </w:pPr>
          </w:p>
        </w:tc>
        <w:tc>
          <w:tcPr>
            <w:tcW w:w="1018" w:type="dxa"/>
            <w:tcBorders>
              <w:top w:val="nil"/>
              <w:left w:val="nil"/>
              <w:bottom w:val="nil"/>
              <w:right w:val="nil"/>
            </w:tcBorders>
          </w:tcPr>
          <w:p w14:paraId="4451DF9C" w14:textId="77777777" w:rsidR="00912661" w:rsidRPr="00511159" w:rsidRDefault="00912661">
            <w:pPr>
              <w:pStyle w:val="-12"/>
              <w:pBdr>
                <w:top w:val="none" w:sz="0" w:space="0" w:color="auto"/>
              </w:pBdr>
              <w:rPr>
                <w:sz w:val="18"/>
                <w:szCs w:val="18"/>
                <w:rtl/>
              </w:rPr>
            </w:pPr>
          </w:p>
        </w:tc>
      </w:tr>
      <w:tr w:rsidR="00912661" w:rsidRPr="00543C25" w14:paraId="029AE87A" w14:textId="77777777" w:rsidTr="00320C27">
        <w:trPr>
          <w:trHeight w:val="259"/>
        </w:trPr>
        <w:tc>
          <w:tcPr>
            <w:tcW w:w="1538" w:type="dxa"/>
            <w:tcBorders>
              <w:top w:val="nil"/>
              <w:left w:val="nil"/>
              <w:bottom w:val="nil"/>
              <w:right w:val="nil"/>
            </w:tcBorders>
          </w:tcPr>
          <w:p w14:paraId="4DC2686B"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center"/>
          </w:tcPr>
          <w:p w14:paraId="6B1C5419" w14:textId="77777777" w:rsidR="00912661" w:rsidRPr="00511159" w:rsidRDefault="00912661" w:rsidP="008A0C00">
            <w:pPr>
              <w:pStyle w:val="-0"/>
              <w:rPr>
                <w:b/>
                <w:bCs/>
                <w:sz w:val="18"/>
                <w:szCs w:val="18"/>
                <w:u w:val="single"/>
                <w:rtl/>
              </w:rPr>
            </w:pPr>
            <w:r w:rsidRPr="00511159">
              <w:rPr>
                <w:b/>
                <w:bCs/>
                <w:sz w:val="18"/>
                <w:szCs w:val="18"/>
                <w:u w:val="single"/>
                <w:rtl/>
              </w:rPr>
              <w:t>התחייבויות פיננסיות</w:t>
            </w:r>
          </w:p>
        </w:tc>
        <w:tc>
          <w:tcPr>
            <w:tcW w:w="1018" w:type="dxa"/>
            <w:tcBorders>
              <w:top w:val="nil"/>
              <w:left w:val="nil"/>
              <w:bottom w:val="nil"/>
              <w:right w:val="nil"/>
            </w:tcBorders>
            <w:vAlign w:val="bottom"/>
          </w:tcPr>
          <w:p w14:paraId="38D326F6" w14:textId="77777777" w:rsidR="00912661" w:rsidRPr="00511159" w:rsidRDefault="00912661">
            <w:pPr>
              <w:pStyle w:val="-7"/>
              <w:rPr>
                <w:sz w:val="18"/>
                <w:szCs w:val="18"/>
                <w:rtl/>
              </w:rPr>
            </w:pPr>
          </w:p>
        </w:tc>
        <w:tc>
          <w:tcPr>
            <w:tcW w:w="1018" w:type="dxa"/>
            <w:tcBorders>
              <w:top w:val="nil"/>
              <w:left w:val="nil"/>
              <w:bottom w:val="nil"/>
              <w:right w:val="nil"/>
            </w:tcBorders>
            <w:vAlign w:val="bottom"/>
          </w:tcPr>
          <w:p w14:paraId="178A8A27" w14:textId="77777777" w:rsidR="00912661" w:rsidRPr="00511159" w:rsidRDefault="00912661">
            <w:pPr>
              <w:pStyle w:val="-7"/>
              <w:rPr>
                <w:sz w:val="18"/>
                <w:szCs w:val="18"/>
                <w:rtl/>
              </w:rPr>
            </w:pPr>
          </w:p>
        </w:tc>
        <w:tc>
          <w:tcPr>
            <w:tcW w:w="1018" w:type="dxa"/>
            <w:tcBorders>
              <w:top w:val="nil"/>
              <w:left w:val="nil"/>
              <w:bottom w:val="nil"/>
              <w:right w:val="nil"/>
            </w:tcBorders>
            <w:vAlign w:val="bottom"/>
          </w:tcPr>
          <w:p w14:paraId="38E2CB64" w14:textId="77777777" w:rsidR="00912661" w:rsidRPr="00511159" w:rsidRDefault="00912661">
            <w:pPr>
              <w:pStyle w:val="-7"/>
              <w:rPr>
                <w:sz w:val="18"/>
                <w:szCs w:val="18"/>
                <w:rtl/>
              </w:rPr>
            </w:pPr>
          </w:p>
        </w:tc>
        <w:tc>
          <w:tcPr>
            <w:tcW w:w="1018" w:type="dxa"/>
            <w:tcBorders>
              <w:top w:val="nil"/>
              <w:left w:val="nil"/>
              <w:bottom w:val="nil"/>
              <w:right w:val="nil"/>
            </w:tcBorders>
            <w:vAlign w:val="bottom"/>
          </w:tcPr>
          <w:p w14:paraId="6FA19145" w14:textId="77777777" w:rsidR="00912661" w:rsidRPr="00511159" w:rsidRDefault="00912661">
            <w:pPr>
              <w:pStyle w:val="-7"/>
              <w:rPr>
                <w:sz w:val="18"/>
                <w:szCs w:val="18"/>
                <w:rtl/>
              </w:rPr>
            </w:pPr>
          </w:p>
        </w:tc>
        <w:tc>
          <w:tcPr>
            <w:tcW w:w="1018" w:type="dxa"/>
            <w:tcBorders>
              <w:top w:val="nil"/>
              <w:left w:val="nil"/>
              <w:bottom w:val="nil"/>
              <w:right w:val="nil"/>
            </w:tcBorders>
            <w:vAlign w:val="bottom"/>
          </w:tcPr>
          <w:p w14:paraId="244EEB05" w14:textId="77777777" w:rsidR="00912661" w:rsidRPr="00511159" w:rsidRDefault="00912661">
            <w:pPr>
              <w:pStyle w:val="-7"/>
              <w:rPr>
                <w:sz w:val="18"/>
                <w:szCs w:val="18"/>
                <w:rtl/>
              </w:rPr>
            </w:pPr>
          </w:p>
        </w:tc>
      </w:tr>
      <w:tr w:rsidR="00912661" w:rsidRPr="00543C25" w14:paraId="7D25C1B4" w14:textId="77777777" w:rsidTr="00320C27">
        <w:trPr>
          <w:trHeight w:val="259"/>
        </w:trPr>
        <w:tc>
          <w:tcPr>
            <w:tcW w:w="1538" w:type="dxa"/>
            <w:tcBorders>
              <w:top w:val="nil"/>
              <w:left w:val="nil"/>
              <w:bottom w:val="nil"/>
              <w:right w:val="nil"/>
            </w:tcBorders>
          </w:tcPr>
          <w:p w14:paraId="0BD532A4"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7F8BC213" w14:textId="77777777" w:rsidR="00912661" w:rsidRPr="00511159" w:rsidRDefault="00912661" w:rsidP="008A0C00">
            <w:pPr>
              <w:pStyle w:val="-0"/>
              <w:rPr>
                <w:sz w:val="18"/>
                <w:szCs w:val="18"/>
                <w:rtl/>
              </w:rPr>
            </w:pPr>
            <w:r w:rsidRPr="00511159">
              <w:rPr>
                <w:sz w:val="18"/>
                <w:szCs w:val="18"/>
                <w:rtl/>
              </w:rPr>
              <w:t>פ</w:t>
            </w:r>
            <w:r w:rsidRPr="00511159">
              <w:rPr>
                <w:rFonts w:hint="cs"/>
                <w:sz w:val="18"/>
                <w:szCs w:val="18"/>
                <w:rtl/>
              </w:rPr>
              <w:t>י</w:t>
            </w:r>
            <w:r w:rsidRPr="00511159">
              <w:rPr>
                <w:sz w:val="18"/>
                <w:szCs w:val="18"/>
                <w:rtl/>
              </w:rPr>
              <w:t>קדונות הציבור</w:t>
            </w:r>
          </w:p>
        </w:tc>
        <w:tc>
          <w:tcPr>
            <w:tcW w:w="1018" w:type="dxa"/>
            <w:tcBorders>
              <w:top w:val="nil"/>
              <w:left w:val="nil"/>
              <w:bottom w:val="nil"/>
              <w:right w:val="nil"/>
            </w:tcBorders>
            <w:vAlign w:val="bottom"/>
          </w:tcPr>
          <w:p w14:paraId="2FA14C77"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59FF4406"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30E18F5E"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5845E648"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0CA04FE5"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r>
      <w:tr w:rsidR="00912661" w:rsidRPr="00543C25" w14:paraId="2B3C92E1" w14:textId="77777777" w:rsidTr="00320C27">
        <w:trPr>
          <w:trHeight w:val="259"/>
        </w:trPr>
        <w:tc>
          <w:tcPr>
            <w:tcW w:w="1538" w:type="dxa"/>
            <w:tcBorders>
              <w:top w:val="nil"/>
              <w:left w:val="nil"/>
              <w:bottom w:val="nil"/>
              <w:right w:val="nil"/>
            </w:tcBorders>
          </w:tcPr>
          <w:p w14:paraId="2C851B77"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5F4A651C" w14:textId="77777777" w:rsidR="00912661" w:rsidRPr="00511159" w:rsidRDefault="00912661" w:rsidP="008A0C00">
            <w:pPr>
              <w:pStyle w:val="-0"/>
              <w:rPr>
                <w:sz w:val="18"/>
                <w:szCs w:val="18"/>
                <w:rtl/>
              </w:rPr>
            </w:pPr>
            <w:r w:rsidRPr="00511159">
              <w:rPr>
                <w:sz w:val="18"/>
                <w:szCs w:val="18"/>
                <w:rtl/>
              </w:rPr>
              <w:t>פ</w:t>
            </w:r>
            <w:r w:rsidRPr="00511159">
              <w:rPr>
                <w:rFonts w:hint="cs"/>
                <w:sz w:val="18"/>
                <w:szCs w:val="18"/>
                <w:rtl/>
              </w:rPr>
              <w:t>י</w:t>
            </w:r>
            <w:r w:rsidRPr="00511159">
              <w:rPr>
                <w:sz w:val="18"/>
                <w:szCs w:val="18"/>
                <w:rtl/>
              </w:rPr>
              <w:t>קדונות מבנקים</w:t>
            </w:r>
          </w:p>
        </w:tc>
        <w:tc>
          <w:tcPr>
            <w:tcW w:w="1018" w:type="dxa"/>
            <w:tcBorders>
              <w:top w:val="nil"/>
              <w:left w:val="nil"/>
              <w:bottom w:val="nil"/>
              <w:right w:val="nil"/>
            </w:tcBorders>
            <w:vAlign w:val="bottom"/>
          </w:tcPr>
          <w:p w14:paraId="4415C9C0"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12E997C8"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26707CA5"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446A8721"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45CED7E0"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r>
      <w:tr w:rsidR="00912661" w:rsidRPr="00543C25" w14:paraId="5B79C4C8" w14:textId="77777777" w:rsidTr="00320C27">
        <w:trPr>
          <w:trHeight w:val="259"/>
        </w:trPr>
        <w:tc>
          <w:tcPr>
            <w:tcW w:w="1538" w:type="dxa"/>
            <w:tcBorders>
              <w:top w:val="nil"/>
              <w:left w:val="nil"/>
              <w:bottom w:val="nil"/>
              <w:right w:val="nil"/>
            </w:tcBorders>
          </w:tcPr>
          <w:p w14:paraId="4DDB87CC"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57ECC4F1" w14:textId="77777777" w:rsidR="00912661" w:rsidRPr="00511159" w:rsidRDefault="00912661" w:rsidP="008A0C00">
            <w:pPr>
              <w:pStyle w:val="-0"/>
              <w:rPr>
                <w:sz w:val="18"/>
                <w:szCs w:val="18"/>
                <w:rtl/>
              </w:rPr>
            </w:pPr>
            <w:r w:rsidRPr="00511159">
              <w:rPr>
                <w:sz w:val="18"/>
                <w:szCs w:val="18"/>
                <w:rtl/>
              </w:rPr>
              <w:t>פ</w:t>
            </w:r>
            <w:r w:rsidRPr="00511159">
              <w:rPr>
                <w:rFonts w:hint="cs"/>
                <w:sz w:val="18"/>
                <w:szCs w:val="18"/>
                <w:rtl/>
              </w:rPr>
              <w:t>י</w:t>
            </w:r>
            <w:r w:rsidRPr="00511159">
              <w:rPr>
                <w:sz w:val="18"/>
                <w:szCs w:val="18"/>
                <w:rtl/>
              </w:rPr>
              <w:t>קדונות הממשלה</w:t>
            </w:r>
          </w:p>
        </w:tc>
        <w:tc>
          <w:tcPr>
            <w:tcW w:w="1018" w:type="dxa"/>
            <w:tcBorders>
              <w:top w:val="nil"/>
              <w:left w:val="nil"/>
              <w:bottom w:val="nil"/>
              <w:right w:val="nil"/>
            </w:tcBorders>
            <w:vAlign w:val="bottom"/>
          </w:tcPr>
          <w:p w14:paraId="314C3009"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52DBA4FB"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4F55179C"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0E77A121"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1E6D2038"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r>
      <w:tr w:rsidR="00912661" w:rsidRPr="00543C25" w14:paraId="5EC0F476" w14:textId="77777777" w:rsidTr="00320C27">
        <w:trPr>
          <w:trHeight w:val="259"/>
        </w:trPr>
        <w:tc>
          <w:tcPr>
            <w:tcW w:w="1538" w:type="dxa"/>
            <w:tcBorders>
              <w:top w:val="nil"/>
              <w:left w:val="nil"/>
              <w:bottom w:val="nil"/>
              <w:right w:val="nil"/>
            </w:tcBorders>
          </w:tcPr>
          <w:p w14:paraId="697F0E96"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4BD215C8" w14:textId="77777777" w:rsidR="00912661" w:rsidRPr="00511159" w:rsidRDefault="00912661" w:rsidP="008A0C00">
            <w:pPr>
              <w:pStyle w:val="-21"/>
              <w:rPr>
                <w:sz w:val="18"/>
                <w:szCs w:val="18"/>
                <w:rtl/>
              </w:rPr>
            </w:pPr>
            <w:r w:rsidRPr="00511159">
              <w:rPr>
                <w:rFonts w:hint="cs"/>
                <w:sz w:val="18"/>
                <w:szCs w:val="18"/>
                <w:rtl/>
              </w:rPr>
              <w:t>ניירות ערך שהושאלו או נמכרו במסגרת הסכמי רכש חוזר</w:t>
            </w:r>
          </w:p>
        </w:tc>
        <w:tc>
          <w:tcPr>
            <w:tcW w:w="1018" w:type="dxa"/>
            <w:tcBorders>
              <w:top w:val="nil"/>
              <w:left w:val="nil"/>
              <w:bottom w:val="nil"/>
              <w:right w:val="nil"/>
            </w:tcBorders>
            <w:vAlign w:val="bottom"/>
          </w:tcPr>
          <w:p w14:paraId="559A69FA"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1FE0913C"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0530767A"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2F3DEB55"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7579DA84"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r>
      <w:tr w:rsidR="00912661" w:rsidRPr="00543C25" w14:paraId="3FB46BE0" w14:textId="77777777" w:rsidTr="00320C27">
        <w:trPr>
          <w:trHeight w:val="259"/>
        </w:trPr>
        <w:tc>
          <w:tcPr>
            <w:tcW w:w="1538" w:type="dxa"/>
            <w:tcBorders>
              <w:top w:val="nil"/>
              <w:left w:val="nil"/>
              <w:bottom w:val="nil"/>
              <w:right w:val="nil"/>
            </w:tcBorders>
          </w:tcPr>
          <w:p w14:paraId="2B6F2C1C"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75F7F8DC" w14:textId="77777777" w:rsidR="00912661" w:rsidRPr="00511159" w:rsidRDefault="00912661" w:rsidP="008A0C00">
            <w:pPr>
              <w:pStyle w:val="-0"/>
              <w:rPr>
                <w:sz w:val="18"/>
                <w:szCs w:val="18"/>
                <w:rtl/>
              </w:rPr>
            </w:pPr>
            <w:r w:rsidRPr="00511159">
              <w:rPr>
                <w:sz w:val="18"/>
                <w:szCs w:val="18"/>
                <w:rtl/>
              </w:rPr>
              <w:t>אגרות חוב וכתבי התחייבות נדחים</w:t>
            </w:r>
          </w:p>
        </w:tc>
        <w:tc>
          <w:tcPr>
            <w:tcW w:w="1018" w:type="dxa"/>
            <w:tcBorders>
              <w:top w:val="nil"/>
              <w:left w:val="nil"/>
              <w:bottom w:val="nil"/>
              <w:right w:val="nil"/>
            </w:tcBorders>
            <w:vAlign w:val="bottom"/>
          </w:tcPr>
          <w:p w14:paraId="45130183"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052DE685"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4CF12D52"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5B6474AF"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37DD4BDF"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r>
      <w:tr w:rsidR="00912661" w:rsidRPr="00543C25" w14:paraId="3CAA8DFE" w14:textId="77777777" w:rsidTr="00320C27">
        <w:trPr>
          <w:trHeight w:val="259"/>
        </w:trPr>
        <w:tc>
          <w:tcPr>
            <w:tcW w:w="1538" w:type="dxa"/>
            <w:tcBorders>
              <w:top w:val="nil"/>
              <w:left w:val="nil"/>
              <w:bottom w:val="nil"/>
              <w:right w:val="nil"/>
            </w:tcBorders>
          </w:tcPr>
          <w:p w14:paraId="079B3D41"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60FFDDF9" w14:textId="77777777" w:rsidR="00912661" w:rsidRPr="00511159" w:rsidRDefault="00912661" w:rsidP="008A0C00">
            <w:pPr>
              <w:pStyle w:val="-0"/>
              <w:rPr>
                <w:sz w:val="18"/>
                <w:szCs w:val="18"/>
                <w:rtl/>
              </w:rPr>
            </w:pPr>
            <w:r w:rsidRPr="00511159">
              <w:rPr>
                <w:rFonts w:hint="cs"/>
                <w:sz w:val="18"/>
                <w:szCs w:val="18"/>
                <w:rtl/>
              </w:rPr>
              <w:t>התחייבויות בגין מכשירים נגזרים</w:t>
            </w:r>
          </w:p>
        </w:tc>
        <w:tc>
          <w:tcPr>
            <w:tcW w:w="1018" w:type="dxa"/>
            <w:tcBorders>
              <w:top w:val="nil"/>
              <w:left w:val="nil"/>
              <w:bottom w:val="nil"/>
              <w:right w:val="nil"/>
            </w:tcBorders>
            <w:vAlign w:val="bottom"/>
          </w:tcPr>
          <w:p w14:paraId="52F37398"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60A67BC3"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6DE6D71B"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4BD71CE5"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167C6139" w14:textId="77777777" w:rsidR="00912661" w:rsidRPr="00511159" w:rsidRDefault="00912661">
            <w:pPr>
              <w:pStyle w:val="-3"/>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r>
      <w:tr w:rsidR="00912661" w:rsidRPr="00543C25" w14:paraId="5446DDF4" w14:textId="77777777" w:rsidTr="00320C27">
        <w:trPr>
          <w:trHeight w:val="259"/>
        </w:trPr>
        <w:tc>
          <w:tcPr>
            <w:tcW w:w="1538" w:type="dxa"/>
            <w:tcBorders>
              <w:top w:val="nil"/>
              <w:left w:val="nil"/>
              <w:bottom w:val="nil"/>
              <w:right w:val="nil"/>
            </w:tcBorders>
          </w:tcPr>
          <w:p w14:paraId="76160B48"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2D4DFE6A" w14:textId="77777777" w:rsidR="00912661" w:rsidRPr="00511159" w:rsidRDefault="00912661" w:rsidP="008A0C00">
            <w:pPr>
              <w:pStyle w:val="-0"/>
              <w:rPr>
                <w:sz w:val="18"/>
                <w:szCs w:val="18"/>
                <w:rtl/>
              </w:rPr>
            </w:pPr>
            <w:r w:rsidRPr="00511159">
              <w:rPr>
                <w:sz w:val="18"/>
                <w:szCs w:val="18"/>
                <w:rtl/>
              </w:rPr>
              <w:t xml:space="preserve">התחייבויות פיננסיות אחרות </w:t>
            </w:r>
          </w:p>
        </w:tc>
        <w:tc>
          <w:tcPr>
            <w:tcW w:w="1018" w:type="dxa"/>
            <w:tcBorders>
              <w:top w:val="nil"/>
              <w:left w:val="nil"/>
              <w:bottom w:val="nil"/>
              <w:right w:val="nil"/>
            </w:tcBorders>
            <w:vAlign w:val="bottom"/>
          </w:tcPr>
          <w:p w14:paraId="2425F2B0" w14:textId="77777777" w:rsidR="00912661" w:rsidRPr="00511159" w:rsidRDefault="00912661">
            <w:pPr>
              <w:pStyle w:val="-3"/>
              <w:pBdr>
                <w:bottom w:val="single" w:sz="4" w:space="1" w:color="auto"/>
              </w:pBdr>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5EDC1D08" w14:textId="77777777" w:rsidR="00912661" w:rsidRPr="00511159" w:rsidRDefault="00912661">
            <w:pPr>
              <w:pStyle w:val="-3"/>
              <w:pBdr>
                <w:bottom w:val="single" w:sz="4" w:space="1" w:color="auto"/>
              </w:pBdr>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3D52A69B" w14:textId="77777777" w:rsidR="00912661" w:rsidRPr="00511159" w:rsidRDefault="00912661">
            <w:pPr>
              <w:pStyle w:val="-3"/>
              <w:pBdr>
                <w:bottom w:val="single" w:sz="4" w:space="1" w:color="auto"/>
              </w:pBdr>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26CE54F6" w14:textId="77777777" w:rsidR="00912661" w:rsidRPr="00511159" w:rsidRDefault="00912661">
            <w:pPr>
              <w:pStyle w:val="-3"/>
              <w:pBdr>
                <w:bottom w:val="single" w:sz="4" w:space="1" w:color="auto"/>
              </w:pBdr>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c>
          <w:tcPr>
            <w:tcW w:w="1018" w:type="dxa"/>
            <w:tcBorders>
              <w:top w:val="nil"/>
              <w:left w:val="nil"/>
              <w:bottom w:val="nil"/>
              <w:right w:val="nil"/>
            </w:tcBorders>
            <w:vAlign w:val="bottom"/>
          </w:tcPr>
          <w:p w14:paraId="549E343D" w14:textId="77777777" w:rsidR="00912661" w:rsidRPr="00511159" w:rsidRDefault="00912661">
            <w:pPr>
              <w:pStyle w:val="-3"/>
              <w:pBdr>
                <w:bottom w:val="single" w:sz="4" w:space="1" w:color="auto"/>
              </w:pBdr>
              <w:rPr>
                <w:sz w:val="18"/>
                <w:szCs w:val="18"/>
                <w:rtl/>
              </w:rPr>
            </w:pPr>
            <w:r w:rsidRPr="00511159">
              <w:rPr>
                <w:rFonts w:hint="cs"/>
                <w:sz w:val="18"/>
                <w:szCs w:val="18"/>
                <w:rtl/>
              </w:rPr>
              <w:t>(</w:t>
            </w:r>
            <w:r w:rsidRPr="00511159">
              <w:rPr>
                <w:sz w:val="18"/>
                <w:szCs w:val="18"/>
                <w:rtl/>
              </w:rPr>
              <w:t>0</w:t>
            </w:r>
            <w:r w:rsidRPr="00511159">
              <w:rPr>
                <w:rFonts w:hint="cs"/>
                <w:sz w:val="18"/>
                <w:szCs w:val="18"/>
                <w:rtl/>
              </w:rPr>
              <w:t>)</w:t>
            </w:r>
          </w:p>
        </w:tc>
      </w:tr>
      <w:tr w:rsidR="00912661" w:rsidRPr="00543C25" w14:paraId="1731443F" w14:textId="77777777" w:rsidTr="00320C27">
        <w:trPr>
          <w:trHeight w:val="259"/>
        </w:trPr>
        <w:tc>
          <w:tcPr>
            <w:tcW w:w="1538" w:type="dxa"/>
            <w:tcBorders>
              <w:top w:val="nil"/>
              <w:left w:val="nil"/>
              <w:bottom w:val="nil"/>
              <w:right w:val="nil"/>
            </w:tcBorders>
          </w:tcPr>
          <w:p w14:paraId="3DBDB2A8"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7006BAA6" w14:textId="77777777" w:rsidR="00912661" w:rsidRPr="00511159" w:rsidRDefault="00912661" w:rsidP="008A0C00">
            <w:pPr>
              <w:pStyle w:val="-0"/>
              <w:rPr>
                <w:sz w:val="18"/>
                <w:szCs w:val="18"/>
                <w:rtl/>
              </w:rPr>
            </w:pPr>
            <w:r w:rsidRPr="00511159">
              <w:rPr>
                <w:rFonts w:hint="cs"/>
                <w:sz w:val="18"/>
                <w:szCs w:val="18"/>
                <w:rtl/>
              </w:rPr>
              <w:t>השפעת הסכמי קיזוז</w:t>
            </w:r>
          </w:p>
        </w:tc>
        <w:tc>
          <w:tcPr>
            <w:tcW w:w="1018" w:type="dxa"/>
            <w:tcBorders>
              <w:top w:val="nil"/>
              <w:left w:val="nil"/>
              <w:bottom w:val="nil"/>
              <w:right w:val="nil"/>
            </w:tcBorders>
            <w:vAlign w:val="bottom"/>
          </w:tcPr>
          <w:p w14:paraId="4D3362C6" w14:textId="77777777" w:rsidR="00912661" w:rsidRPr="00511159" w:rsidRDefault="00912661">
            <w:pPr>
              <w:pStyle w:val="-120"/>
              <w:pBdr>
                <w:top w:val="none" w:sz="0" w:space="0" w:color="auto"/>
                <w:bottom w:val="single" w:sz="4" w:space="1" w:color="auto"/>
              </w:pBdr>
              <w:jc w:val="left"/>
              <w:rPr>
                <w:szCs w:val="18"/>
                <w:rtl/>
              </w:rPr>
            </w:pPr>
            <w:r w:rsidRPr="00511159">
              <w:rPr>
                <w:rFonts w:hint="cs"/>
                <w:szCs w:val="18"/>
                <w:rtl/>
              </w:rPr>
              <w:t xml:space="preserve"> </w:t>
            </w:r>
            <w:r w:rsidRPr="00511159">
              <w:rPr>
                <w:szCs w:val="18"/>
                <w:rtl/>
              </w:rPr>
              <w:t>0</w:t>
            </w:r>
          </w:p>
        </w:tc>
        <w:tc>
          <w:tcPr>
            <w:tcW w:w="1018" w:type="dxa"/>
            <w:tcBorders>
              <w:top w:val="nil"/>
              <w:left w:val="nil"/>
              <w:bottom w:val="nil"/>
              <w:right w:val="nil"/>
            </w:tcBorders>
            <w:vAlign w:val="bottom"/>
          </w:tcPr>
          <w:p w14:paraId="47611222" w14:textId="77777777" w:rsidR="00912661" w:rsidRPr="00511159" w:rsidRDefault="00912661">
            <w:pPr>
              <w:pStyle w:val="-120"/>
              <w:pBdr>
                <w:top w:val="none" w:sz="0" w:space="0" w:color="auto"/>
                <w:bottom w:val="single" w:sz="4" w:space="1" w:color="auto"/>
              </w:pBdr>
              <w:jc w:val="left"/>
              <w:rPr>
                <w:szCs w:val="18"/>
                <w:rtl/>
              </w:rPr>
            </w:pPr>
            <w:r w:rsidRPr="00511159">
              <w:rPr>
                <w:rFonts w:hint="cs"/>
                <w:szCs w:val="18"/>
                <w:rtl/>
              </w:rPr>
              <w:t xml:space="preserve"> -</w:t>
            </w:r>
          </w:p>
        </w:tc>
        <w:tc>
          <w:tcPr>
            <w:tcW w:w="1018" w:type="dxa"/>
            <w:tcBorders>
              <w:top w:val="nil"/>
              <w:left w:val="nil"/>
              <w:bottom w:val="nil"/>
              <w:right w:val="nil"/>
            </w:tcBorders>
            <w:vAlign w:val="bottom"/>
          </w:tcPr>
          <w:p w14:paraId="720171C6" w14:textId="77777777" w:rsidR="00912661" w:rsidRPr="00511159" w:rsidRDefault="00912661">
            <w:pPr>
              <w:pStyle w:val="-120"/>
              <w:pBdr>
                <w:top w:val="none" w:sz="0" w:space="0" w:color="auto"/>
                <w:bottom w:val="single" w:sz="4" w:space="1" w:color="auto"/>
              </w:pBdr>
              <w:jc w:val="left"/>
              <w:rPr>
                <w:szCs w:val="18"/>
                <w:rtl/>
              </w:rPr>
            </w:pPr>
            <w:r w:rsidRPr="00511159">
              <w:rPr>
                <w:rFonts w:hint="cs"/>
                <w:szCs w:val="18"/>
                <w:rtl/>
              </w:rPr>
              <w:t xml:space="preserve"> -</w:t>
            </w:r>
          </w:p>
        </w:tc>
        <w:tc>
          <w:tcPr>
            <w:tcW w:w="1018" w:type="dxa"/>
            <w:tcBorders>
              <w:top w:val="nil"/>
              <w:left w:val="nil"/>
              <w:bottom w:val="nil"/>
              <w:right w:val="nil"/>
            </w:tcBorders>
            <w:vAlign w:val="bottom"/>
          </w:tcPr>
          <w:p w14:paraId="3C76A773" w14:textId="77777777" w:rsidR="00912661" w:rsidRPr="00511159" w:rsidRDefault="00912661">
            <w:pPr>
              <w:pStyle w:val="-120"/>
              <w:pBdr>
                <w:top w:val="none" w:sz="0" w:space="0" w:color="auto"/>
                <w:bottom w:val="single" w:sz="4" w:space="1" w:color="auto"/>
              </w:pBdr>
              <w:jc w:val="left"/>
              <w:rPr>
                <w:szCs w:val="18"/>
                <w:rtl/>
              </w:rPr>
            </w:pPr>
            <w:r w:rsidRPr="00511159">
              <w:rPr>
                <w:rFonts w:hint="cs"/>
                <w:szCs w:val="18"/>
                <w:rtl/>
              </w:rPr>
              <w:t xml:space="preserve"> -</w:t>
            </w:r>
          </w:p>
        </w:tc>
        <w:tc>
          <w:tcPr>
            <w:tcW w:w="1018" w:type="dxa"/>
            <w:tcBorders>
              <w:top w:val="nil"/>
              <w:left w:val="nil"/>
              <w:bottom w:val="nil"/>
              <w:right w:val="nil"/>
            </w:tcBorders>
            <w:vAlign w:val="bottom"/>
          </w:tcPr>
          <w:p w14:paraId="2F02BD9F" w14:textId="77777777" w:rsidR="00912661" w:rsidRPr="00511159" w:rsidRDefault="00912661">
            <w:pPr>
              <w:pStyle w:val="-120"/>
              <w:pBdr>
                <w:top w:val="none" w:sz="0" w:space="0" w:color="auto"/>
                <w:bottom w:val="single" w:sz="4" w:space="1" w:color="auto"/>
              </w:pBdr>
              <w:jc w:val="left"/>
              <w:rPr>
                <w:szCs w:val="18"/>
                <w:rtl/>
              </w:rPr>
            </w:pPr>
            <w:r w:rsidRPr="00511159">
              <w:rPr>
                <w:rFonts w:hint="cs"/>
                <w:szCs w:val="18"/>
                <w:rtl/>
              </w:rPr>
              <w:t xml:space="preserve"> </w:t>
            </w:r>
            <w:r w:rsidRPr="00511159">
              <w:rPr>
                <w:szCs w:val="18"/>
                <w:rtl/>
              </w:rPr>
              <w:t>0</w:t>
            </w:r>
          </w:p>
        </w:tc>
      </w:tr>
      <w:tr w:rsidR="00912661" w:rsidRPr="00543C25" w14:paraId="71673D43" w14:textId="77777777" w:rsidTr="00320C27">
        <w:trPr>
          <w:trHeight w:val="259"/>
        </w:trPr>
        <w:tc>
          <w:tcPr>
            <w:tcW w:w="1538" w:type="dxa"/>
            <w:tcBorders>
              <w:top w:val="nil"/>
              <w:left w:val="nil"/>
              <w:bottom w:val="nil"/>
              <w:right w:val="nil"/>
            </w:tcBorders>
          </w:tcPr>
          <w:p w14:paraId="5813E34D"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46B17AEE" w14:textId="77777777" w:rsidR="00912661" w:rsidRPr="00511159" w:rsidRDefault="00912661" w:rsidP="008A0C00">
            <w:pPr>
              <w:pStyle w:val="-b"/>
              <w:rPr>
                <w:sz w:val="18"/>
                <w:szCs w:val="18"/>
                <w:rtl/>
              </w:rPr>
            </w:pPr>
            <w:r w:rsidRPr="00511159">
              <w:rPr>
                <w:sz w:val="18"/>
                <w:szCs w:val="18"/>
                <w:rtl/>
              </w:rPr>
              <w:t>סך כל ההתחייבויות הפיננסיות</w:t>
            </w:r>
          </w:p>
        </w:tc>
        <w:tc>
          <w:tcPr>
            <w:tcW w:w="1018" w:type="dxa"/>
            <w:tcBorders>
              <w:top w:val="nil"/>
              <w:left w:val="nil"/>
              <w:bottom w:val="nil"/>
              <w:right w:val="nil"/>
            </w:tcBorders>
            <w:vAlign w:val="bottom"/>
          </w:tcPr>
          <w:p w14:paraId="21C5DB06" w14:textId="72EF0DFC" w:rsidR="00912661" w:rsidRPr="00511159" w:rsidRDefault="00912661">
            <w:pPr>
              <w:pStyle w:val="-f1"/>
              <w:pBdr>
                <w:top w:val="none" w:sz="0" w:space="0" w:color="auto"/>
              </w:pBdr>
              <w:rPr>
                <w:sz w:val="18"/>
                <w:szCs w:val="18"/>
                <w:rtl/>
              </w:rPr>
            </w:pPr>
            <w:r w:rsidRPr="00511159">
              <w:rPr>
                <w:sz w:val="18"/>
                <w:szCs w:val="18"/>
                <w:rtl/>
              </w:rPr>
              <w:t>(0)</w:t>
            </w:r>
            <w:r>
              <w:rPr>
                <w:rFonts w:hint="cs"/>
                <w:sz w:val="18"/>
                <w:szCs w:val="18"/>
                <w:vertAlign w:val="superscript"/>
                <w:rtl/>
              </w:rPr>
              <w:t xml:space="preserve"> </w:t>
            </w:r>
            <w:r w:rsidRPr="003A0D2D">
              <w:rPr>
                <w:b w:val="0"/>
                <w:bCs w:val="0"/>
                <w:sz w:val="18"/>
                <w:szCs w:val="18"/>
                <w:vertAlign w:val="superscript"/>
                <w:rtl/>
              </w:rPr>
              <w:t>(</w:t>
            </w:r>
            <w:r w:rsidRPr="003A0D2D">
              <w:rPr>
                <w:rFonts w:hint="cs"/>
                <w:b w:val="0"/>
                <w:bCs w:val="0"/>
                <w:sz w:val="18"/>
                <w:szCs w:val="18"/>
                <w:vertAlign w:val="superscript"/>
                <w:rtl/>
              </w:rPr>
              <w:t>א</w:t>
            </w:r>
            <w:r w:rsidRPr="003A0D2D">
              <w:rPr>
                <w:b w:val="0"/>
                <w:bCs w:val="0"/>
                <w:sz w:val="18"/>
                <w:szCs w:val="18"/>
                <w:vertAlign w:val="superscript"/>
                <w:rtl/>
              </w:rPr>
              <w:t>)</w:t>
            </w:r>
          </w:p>
        </w:tc>
        <w:tc>
          <w:tcPr>
            <w:tcW w:w="1018" w:type="dxa"/>
            <w:tcBorders>
              <w:top w:val="nil"/>
              <w:left w:val="nil"/>
              <w:bottom w:val="nil"/>
              <w:right w:val="nil"/>
            </w:tcBorders>
            <w:vAlign w:val="bottom"/>
          </w:tcPr>
          <w:p w14:paraId="3E70317F" w14:textId="77777777" w:rsidR="00912661" w:rsidRPr="00511159" w:rsidRDefault="00912661">
            <w:pPr>
              <w:pStyle w:val="-f1"/>
              <w:pBdr>
                <w:top w:val="none" w:sz="0" w:space="0" w:color="auto"/>
              </w:pBdr>
              <w:rPr>
                <w:sz w:val="18"/>
                <w:szCs w:val="18"/>
                <w:rtl/>
              </w:rPr>
            </w:pPr>
            <w:r w:rsidRPr="00511159">
              <w:rPr>
                <w:rFonts w:hint="cs"/>
                <w:sz w:val="18"/>
                <w:szCs w:val="18"/>
                <w:rtl/>
              </w:rPr>
              <w:t>(0)</w:t>
            </w:r>
          </w:p>
        </w:tc>
        <w:tc>
          <w:tcPr>
            <w:tcW w:w="1018" w:type="dxa"/>
            <w:tcBorders>
              <w:top w:val="nil"/>
              <w:left w:val="nil"/>
              <w:bottom w:val="nil"/>
              <w:right w:val="nil"/>
            </w:tcBorders>
            <w:vAlign w:val="bottom"/>
          </w:tcPr>
          <w:p w14:paraId="7127B771" w14:textId="77777777" w:rsidR="00912661" w:rsidRPr="00511159" w:rsidRDefault="00912661">
            <w:pPr>
              <w:pStyle w:val="-f1"/>
              <w:pBdr>
                <w:top w:val="none" w:sz="0" w:space="0" w:color="auto"/>
              </w:pBdr>
              <w:rPr>
                <w:sz w:val="18"/>
                <w:szCs w:val="18"/>
                <w:rtl/>
              </w:rPr>
            </w:pPr>
            <w:r w:rsidRPr="00511159">
              <w:rPr>
                <w:rFonts w:hint="cs"/>
                <w:sz w:val="18"/>
                <w:szCs w:val="18"/>
                <w:rtl/>
              </w:rPr>
              <w:t>(0)</w:t>
            </w:r>
          </w:p>
        </w:tc>
        <w:tc>
          <w:tcPr>
            <w:tcW w:w="1018" w:type="dxa"/>
            <w:tcBorders>
              <w:top w:val="nil"/>
              <w:left w:val="nil"/>
              <w:bottom w:val="nil"/>
              <w:right w:val="nil"/>
            </w:tcBorders>
            <w:vAlign w:val="bottom"/>
          </w:tcPr>
          <w:p w14:paraId="1BB54FE2" w14:textId="77777777" w:rsidR="00912661" w:rsidRPr="00511159" w:rsidRDefault="00912661">
            <w:pPr>
              <w:pStyle w:val="-f1"/>
              <w:pBdr>
                <w:top w:val="none" w:sz="0" w:space="0" w:color="auto"/>
              </w:pBdr>
              <w:rPr>
                <w:sz w:val="18"/>
                <w:szCs w:val="18"/>
                <w:rtl/>
              </w:rPr>
            </w:pPr>
            <w:r w:rsidRPr="00511159">
              <w:rPr>
                <w:rFonts w:hint="cs"/>
                <w:sz w:val="18"/>
                <w:szCs w:val="18"/>
                <w:rtl/>
              </w:rPr>
              <w:t>(0)</w:t>
            </w:r>
          </w:p>
        </w:tc>
        <w:tc>
          <w:tcPr>
            <w:tcW w:w="1018" w:type="dxa"/>
            <w:tcBorders>
              <w:top w:val="nil"/>
              <w:left w:val="nil"/>
              <w:bottom w:val="nil"/>
              <w:right w:val="nil"/>
            </w:tcBorders>
            <w:vAlign w:val="bottom"/>
          </w:tcPr>
          <w:p w14:paraId="15C63EE3" w14:textId="77777777" w:rsidR="00912661" w:rsidRPr="00511159" w:rsidRDefault="00912661">
            <w:pPr>
              <w:pStyle w:val="-f1"/>
              <w:pBdr>
                <w:top w:val="none" w:sz="0" w:space="0" w:color="auto"/>
              </w:pBdr>
              <w:rPr>
                <w:sz w:val="18"/>
                <w:szCs w:val="18"/>
                <w:rtl/>
              </w:rPr>
            </w:pPr>
            <w:r w:rsidRPr="00511159">
              <w:rPr>
                <w:rFonts w:hint="cs"/>
                <w:sz w:val="18"/>
                <w:szCs w:val="18"/>
                <w:rtl/>
              </w:rPr>
              <w:t>(0)</w:t>
            </w:r>
          </w:p>
        </w:tc>
      </w:tr>
      <w:tr w:rsidR="00912661" w:rsidRPr="00543C25" w14:paraId="0CECD326" w14:textId="77777777" w:rsidTr="00320C27">
        <w:trPr>
          <w:trHeight w:hRule="exact" w:val="144"/>
        </w:trPr>
        <w:tc>
          <w:tcPr>
            <w:tcW w:w="1538" w:type="dxa"/>
            <w:tcBorders>
              <w:top w:val="nil"/>
              <w:left w:val="nil"/>
              <w:bottom w:val="nil"/>
              <w:right w:val="nil"/>
            </w:tcBorders>
          </w:tcPr>
          <w:p w14:paraId="20A63964"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718CC75A" w14:textId="77777777" w:rsidR="00912661" w:rsidRPr="00511159" w:rsidRDefault="00912661" w:rsidP="008A0C00">
            <w:pPr>
              <w:pStyle w:val="-0"/>
              <w:rPr>
                <w:sz w:val="18"/>
                <w:szCs w:val="18"/>
                <w:rtl/>
              </w:rPr>
            </w:pPr>
          </w:p>
        </w:tc>
        <w:tc>
          <w:tcPr>
            <w:tcW w:w="1018" w:type="dxa"/>
            <w:tcBorders>
              <w:top w:val="nil"/>
              <w:left w:val="nil"/>
              <w:bottom w:val="nil"/>
              <w:right w:val="nil"/>
            </w:tcBorders>
          </w:tcPr>
          <w:p w14:paraId="40C8AF06" w14:textId="77777777" w:rsidR="00912661" w:rsidRPr="00511159" w:rsidRDefault="00912661">
            <w:pPr>
              <w:pStyle w:val="-12"/>
              <w:pBdr>
                <w:top w:val="none" w:sz="0" w:space="0" w:color="auto"/>
              </w:pBdr>
              <w:rPr>
                <w:sz w:val="18"/>
                <w:szCs w:val="18"/>
                <w:rtl/>
              </w:rPr>
            </w:pPr>
          </w:p>
        </w:tc>
        <w:tc>
          <w:tcPr>
            <w:tcW w:w="1018" w:type="dxa"/>
            <w:tcBorders>
              <w:top w:val="nil"/>
              <w:left w:val="nil"/>
              <w:bottom w:val="nil"/>
              <w:right w:val="nil"/>
            </w:tcBorders>
          </w:tcPr>
          <w:p w14:paraId="6DEF3F3C" w14:textId="77777777" w:rsidR="00912661" w:rsidRPr="00511159" w:rsidRDefault="00912661">
            <w:pPr>
              <w:pStyle w:val="-12"/>
              <w:pBdr>
                <w:top w:val="none" w:sz="0" w:space="0" w:color="auto"/>
              </w:pBdr>
              <w:rPr>
                <w:sz w:val="18"/>
                <w:szCs w:val="18"/>
                <w:rtl/>
              </w:rPr>
            </w:pPr>
          </w:p>
        </w:tc>
        <w:tc>
          <w:tcPr>
            <w:tcW w:w="1018" w:type="dxa"/>
            <w:tcBorders>
              <w:top w:val="nil"/>
              <w:left w:val="nil"/>
              <w:bottom w:val="nil"/>
              <w:right w:val="nil"/>
            </w:tcBorders>
          </w:tcPr>
          <w:p w14:paraId="0E59DAA2" w14:textId="77777777" w:rsidR="00912661" w:rsidRPr="00511159" w:rsidRDefault="00912661">
            <w:pPr>
              <w:pStyle w:val="-12"/>
              <w:pBdr>
                <w:top w:val="none" w:sz="0" w:space="0" w:color="auto"/>
              </w:pBdr>
              <w:rPr>
                <w:sz w:val="18"/>
                <w:szCs w:val="18"/>
                <w:rtl/>
              </w:rPr>
            </w:pPr>
          </w:p>
        </w:tc>
        <w:tc>
          <w:tcPr>
            <w:tcW w:w="1018" w:type="dxa"/>
            <w:tcBorders>
              <w:top w:val="nil"/>
              <w:left w:val="nil"/>
              <w:bottom w:val="nil"/>
              <w:right w:val="nil"/>
            </w:tcBorders>
          </w:tcPr>
          <w:p w14:paraId="282539D1" w14:textId="77777777" w:rsidR="00912661" w:rsidRPr="00511159" w:rsidRDefault="00912661">
            <w:pPr>
              <w:pStyle w:val="-12"/>
              <w:pBdr>
                <w:top w:val="none" w:sz="0" w:space="0" w:color="auto"/>
              </w:pBdr>
              <w:rPr>
                <w:sz w:val="18"/>
                <w:szCs w:val="18"/>
                <w:rtl/>
              </w:rPr>
            </w:pPr>
          </w:p>
        </w:tc>
        <w:tc>
          <w:tcPr>
            <w:tcW w:w="1018" w:type="dxa"/>
            <w:tcBorders>
              <w:top w:val="nil"/>
              <w:left w:val="nil"/>
              <w:bottom w:val="nil"/>
              <w:right w:val="nil"/>
            </w:tcBorders>
          </w:tcPr>
          <w:p w14:paraId="3727CCE9" w14:textId="77777777" w:rsidR="00912661" w:rsidRPr="00511159" w:rsidRDefault="00912661">
            <w:pPr>
              <w:pStyle w:val="-12"/>
              <w:pBdr>
                <w:top w:val="none" w:sz="0" w:space="0" w:color="auto"/>
              </w:pBdr>
              <w:rPr>
                <w:sz w:val="18"/>
                <w:szCs w:val="18"/>
                <w:rtl/>
              </w:rPr>
            </w:pPr>
          </w:p>
        </w:tc>
      </w:tr>
      <w:tr w:rsidR="00912661" w:rsidRPr="00543C25" w14:paraId="4DA624E7" w14:textId="77777777" w:rsidTr="00320C27">
        <w:trPr>
          <w:trHeight w:val="259"/>
        </w:trPr>
        <w:tc>
          <w:tcPr>
            <w:tcW w:w="1538" w:type="dxa"/>
            <w:tcBorders>
              <w:top w:val="nil"/>
              <w:left w:val="nil"/>
              <w:bottom w:val="nil"/>
              <w:right w:val="nil"/>
            </w:tcBorders>
          </w:tcPr>
          <w:p w14:paraId="746D1DBC"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center"/>
          </w:tcPr>
          <w:p w14:paraId="3152BA01" w14:textId="77777777" w:rsidR="00912661" w:rsidRPr="00511159" w:rsidRDefault="00912661" w:rsidP="008A0C00">
            <w:pPr>
              <w:pStyle w:val="-f"/>
              <w:rPr>
                <w:sz w:val="18"/>
                <w:szCs w:val="18"/>
                <w:rtl/>
              </w:rPr>
            </w:pPr>
            <w:r w:rsidRPr="00511159">
              <w:rPr>
                <w:sz w:val="18"/>
                <w:szCs w:val="18"/>
                <w:rtl/>
              </w:rPr>
              <w:t>מכשירים פיננסיים חוץ מאזניים</w:t>
            </w:r>
          </w:p>
        </w:tc>
        <w:tc>
          <w:tcPr>
            <w:tcW w:w="1018" w:type="dxa"/>
            <w:tcBorders>
              <w:top w:val="nil"/>
              <w:left w:val="nil"/>
              <w:bottom w:val="nil"/>
              <w:right w:val="nil"/>
            </w:tcBorders>
            <w:vAlign w:val="bottom"/>
          </w:tcPr>
          <w:p w14:paraId="4DB6981F" w14:textId="77777777" w:rsidR="00912661" w:rsidRPr="00511159" w:rsidRDefault="00912661">
            <w:pPr>
              <w:pStyle w:val="-0"/>
              <w:rPr>
                <w:sz w:val="18"/>
                <w:szCs w:val="18"/>
                <w:rtl/>
              </w:rPr>
            </w:pPr>
          </w:p>
        </w:tc>
        <w:tc>
          <w:tcPr>
            <w:tcW w:w="1018" w:type="dxa"/>
            <w:tcBorders>
              <w:top w:val="nil"/>
              <w:left w:val="nil"/>
              <w:bottom w:val="nil"/>
              <w:right w:val="nil"/>
            </w:tcBorders>
            <w:vAlign w:val="bottom"/>
          </w:tcPr>
          <w:p w14:paraId="70F6BC58" w14:textId="77777777" w:rsidR="00912661" w:rsidRPr="00511159" w:rsidRDefault="00912661">
            <w:pPr>
              <w:pStyle w:val="-0"/>
              <w:rPr>
                <w:sz w:val="18"/>
                <w:szCs w:val="18"/>
                <w:rtl/>
              </w:rPr>
            </w:pPr>
          </w:p>
        </w:tc>
        <w:tc>
          <w:tcPr>
            <w:tcW w:w="1018" w:type="dxa"/>
            <w:tcBorders>
              <w:top w:val="nil"/>
              <w:left w:val="nil"/>
              <w:bottom w:val="nil"/>
              <w:right w:val="nil"/>
            </w:tcBorders>
            <w:vAlign w:val="bottom"/>
          </w:tcPr>
          <w:p w14:paraId="44A46910" w14:textId="77777777" w:rsidR="00912661" w:rsidRPr="00511159" w:rsidRDefault="00912661">
            <w:pPr>
              <w:pStyle w:val="-0"/>
              <w:rPr>
                <w:sz w:val="18"/>
                <w:szCs w:val="18"/>
                <w:rtl/>
              </w:rPr>
            </w:pPr>
          </w:p>
        </w:tc>
        <w:tc>
          <w:tcPr>
            <w:tcW w:w="1018" w:type="dxa"/>
            <w:tcBorders>
              <w:top w:val="nil"/>
              <w:left w:val="nil"/>
              <w:bottom w:val="nil"/>
              <w:right w:val="nil"/>
            </w:tcBorders>
            <w:vAlign w:val="bottom"/>
          </w:tcPr>
          <w:p w14:paraId="725F76A2" w14:textId="77777777" w:rsidR="00912661" w:rsidRPr="00511159" w:rsidRDefault="00912661">
            <w:pPr>
              <w:pStyle w:val="-0"/>
              <w:rPr>
                <w:sz w:val="18"/>
                <w:szCs w:val="18"/>
                <w:rtl/>
              </w:rPr>
            </w:pPr>
          </w:p>
        </w:tc>
        <w:tc>
          <w:tcPr>
            <w:tcW w:w="1018" w:type="dxa"/>
            <w:tcBorders>
              <w:top w:val="nil"/>
              <w:left w:val="nil"/>
              <w:bottom w:val="nil"/>
              <w:right w:val="nil"/>
            </w:tcBorders>
            <w:vAlign w:val="bottom"/>
          </w:tcPr>
          <w:p w14:paraId="53570D4D" w14:textId="77777777" w:rsidR="00912661" w:rsidRPr="00511159" w:rsidRDefault="00912661">
            <w:pPr>
              <w:pStyle w:val="-0"/>
              <w:rPr>
                <w:sz w:val="18"/>
                <w:szCs w:val="18"/>
                <w:rtl/>
              </w:rPr>
            </w:pPr>
          </w:p>
        </w:tc>
      </w:tr>
      <w:tr w:rsidR="00912661" w:rsidRPr="00543C25" w14:paraId="7E14E9BC" w14:textId="77777777" w:rsidTr="00320C27">
        <w:trPr>
          <w:trHeight w:val="259"/>
        </w:trPr>
        <w:tc>
          <w:tcPr>
            <w:tcW w:w="1538" w:type="dxa"/>
            <w:tcBorders>
              <w:top w:val="nil"/>
              <w:left w:val="nil"/>
              <w:bottom w:val="nil"/>
              <w:right w:val="nil"/>
            </w:tcBorders>
          </w:tcPr>
          <w:p w14:paraId="79E29B44"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049021A4" w14:textId="77777777" w:rsidR="00912661" w:rsidRPr="00511159" w:rsidRDefault="00912661" w:rsidP="008A0C00">
            <w:pPr>
              <w:pStyle w:val="-0"/>
              <w:rPr>
                <w:sz w:val="18"/>
                <w:szCs w:val="18"/>
                <w:rtl/>
              </w:rPr>
            </w:pPr>
            <w:r w:rsidRPr="00511159">
              <w:rPr>
                <w:sz w:val="18"/>
                <w:szCs w:val="18"/>
                <w:rtl/>
              </w:rPr>
              <w:t>עסקאות בהן היתרה מייצגת סיכון אשראי</w:t>
            </w:r>
          </w:p>
        </w:tc>
        <w:tc>
          <w:tcPr>
            <w:tcW w:w="1018" w:type="dxa"/>
            <w:tcBorders>
              <w:top w:val="nil"/>
              <w:left w:val="nil"/>
              <w:bottom w:val="nil"/>
              <w:right w:val="nil"/>
            </w:tcBorders>
            <w:vAlign w:val="bottom"/>
          </w:tcPr>
          <w:p w14:paraId="2867403C"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1C18055B"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60923971"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64B28588"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2FB9984F"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r>
      <w:tr w:rsidR="00912661" w:rsidRPr="00543C25" w14:paraId="2253A8C1" w14:textId="77777777" w:rsidTr="00320C27">
        <w:trPr>
          <w:trHeight w:val="259"/>
        </w:trPr>
        <w:tc>
          <w:tcPr>
            <w:tcW w:w="1538" w:type="dxa"/>
            <w:tcBorders>
              <w:top w:val="nil"/>
              <w:left w:val="nil"/>
              <w:bottom w:val="nil"/>
              <w:right w:val="nil"/>
            </w:tcBorders>
          </w:tcPr>
          <w:p w14:paraId="0357C5BD" w14:textId="77777777" w:rsidR="00912661" w:rsidRPr="00377536" w:rsidRDefault="00912661" w:rsidP="008A0C00">
            <w:pPr>
              <w:pStyle w:val="-0"/>
              <w:rPr>
                <w:rtl/>
              </w:rPr>
            </w:pPr>
          </w:p>
        </w:tc>
        <w:tc>
          <w:tcPr>
            <w:tcW w:w="3134" w:type="dxa"/>
            <w:tcBorders>
              <w:top w:val="nil"/>
              <w:left w:val="nil"/>
              <w:bottom w:val="nil"/>
              <w:right w:val="nil"/>
            </w:tcBorders>
            <w:shd w:val="clear" w:color="auto" w:fill="auto"/>
            <w:vAlign w:val="bottom"/>
          </w:tcPr>
          <w:p w14:paraId="78CA5947" w14:textId="77777777" w:rsidR="00912661" w:rsidRPr="00511159" w:rsidRDefault="00912661" w:rsidP="008A0C00">
            <w:pPr>
              <w:pStyle w:val="-0"/>
              <w:rPr>
                <w:sz w:val="18"/>
                <w:szCs w:val="18"/>
                <w:rtl/>
              </w:rPr>
            </w:pPr>
            <w:r w:rsidRPr="00511159">
              <w:rPr>
                <w:sz w:val="18"/>
                <w:szCs w:val="18"/>
                <w:rtl/>
              </w:rPr>
              <w:t>התחייבויות תלויות והתקשרויות מיוחדות אחרות</w:t>
            </w:r>
          </w:p>
        </w:tc>
        <w:tc>
          <w:tcPr>
            <w:tcW w:w="1018" w:type="dxa"/>
            <w:tcBorders>
              <w:top w:val="nil"/>
              <w:left w:val="nil"/>
              <w:bottom w:val="nil"/>
              <w:right w:val="nil"/>
            </w:tcBorders>
            <w:vAlign w:val="bottom"/>
          </w:tcPr>
          <w:p w14:paraId="05CFF70D"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164563C0"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7F106ECC"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34779533"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c>
          <w:tcPr>
            <w:tcW w:w="1018" w:type="dxa"/>
            <w:tcBorders>
              <w:top w:val="nil"/>
              <w:left w:val="nil"/>
              <w:bottom w:val="nil"/>
              <w:right w:val="nil"/>
            </w:tcBorders>
            <w:vAlign w:val="bottom"/>
          </w:tcPr>
          <w:p w14:paraId="6AA3A090" w14:textId="77777777" w:rsidR="00912661" w:rsidRPr="00511159" w:rsidRDefault="00912661">
            <w:pPr>
              <w:pStyle w:val="-3"/>
              <w:rPr>
                <w:sz w:val="18"/>
                <w:szCs w:val="18"/>
                <w:rtl/>
              </w:rPr>
            </w:pPr>
            <w:r w:rsidRPr="00511159">
              <w:rPr>
                <w:rFonts w:hint="cs"/>
                <w:sz w:val="18"/>
                <w:szCs w:val="18"/>
                <w:rtl/>
              </w:rPr>
              <w:t xml:space="preserve"> </w:t>
            </w:r>
            <w:r w:rsidRPr="00511159">
              <w:rPr>
                <w:sz w:val="18"/>
                <w:szCs w:val="18"/>
                <w:rtl/>
              </w:rPr>
              <w:t>0</w:t>
            </w:r>
          </w:p>
        </w:tc>
      </w:tr>
    </w:tbl>
    <w:p w14:paraId="7E7DB1ED" w14:textId="77777777" w:rsidR="00600720" w:rsidRDefault="00600720" w:rsidP="00600720">
      <w:pPr>
        <w:rPr>
          <w:rtl/>
        </w:rPr>
      </w:pPr>
    </w:p>
    <w:p w14:paraId="371FCBAE" w14:textId="72AA4125" w:rsidR="00600720" w:rsidRDefault="00600720" w:rsidP="00600720">
      <w:pPr>
        <w:rPr>
          <w:rtl/>
        </w:rPr>
      </w:pPr>
    </w:p>
    <w:p w14:paraId="08921192" w14:textId="77777777" w:rsidR="00164005" w:rsidRDefault="00164005" w:rsidP="00600720">
      <w:pPr>
        <w:rPr>
          <w:rtl/>
        </w:rPr>
      </w:pPr>
    </w:p>
    <w:tbl>
      <w:tblPr>
        <w:bidiVisual/>
        <w:tblW w:w="4782" w:type="pct"/>
        <w:tblLook w:val="01E0" w:firstRow="1" w:lastRow="1" w:firstColumn="1" w:lastColumn="1" w:noHBand="0" w:noVBand="0"/>
      </w:tblPr>
      <w:tblGrid>
        <w:gridCol w:w="1584"/>
        <w:gridCol w:w="8178"/>
      </w:tblGrid>
      <w:tr w:rsidR="00912661" w:rsidRPr="00543C25" w14:paraId="51D019B2" w14:textId="77777777" w:rsidTr="00912661">
        <w:trPr>
          <w:trHeight w:val="245"/>
        </w:trPr>
        <w:tc>
          <w:tcPr>
            <w:tcW w:w="1584" w:type="dxa"/>
          </w:tcPr>
          <w:p w14:paraId="5938BB19" w14:textId="77777777" w:rsidR="00912661" w:rsidRPr="00864DF5" w:rsidRDefault="00912661" w:rsidP="00400DD1">
            <w:pPr>
              <w:spacing w:line="240" w:lineRule="exact"/>
              <w:ind w:right="-432"/>
              <w:rPr>
                <w:b/>
                <w:bCs/>
                <w:sz w:val="18"/>
                <w:szCs w:val="18"/>
                <w:rtl/>
              </w:rPr>
            </w:pPr>
          </w:p>
        </w:tc>
        <w:tc>
          <w:tcPr>
            <w:tcW w:w="0" w:type="auto"/>
          </w:tcPr>
          <w:p w14:paraId="5AB7A209" w14:textId="77777777" w:rsidR="00912661" w:rsidRPr="00DF0049" w:rsidRDefault="00912661" w:rsidP="00400DD1">
            <w:pPr>
              <w:pStyle w:val="-a"/>
              <w:tabs>
                <w:tab w:val="left" w:pos="446"/>
              </w:tabs>
              <w:spacing w:after="120" w:line="240" w:lineRule="exact"/>
              <w:ind w:left="267" w:hanging="267"/>
              <w:jc w:val="left"/>
              <w:rPr>
                <w:rtl/>
              </w:rPr>
            </w:pPr>
            <w:r w:rsidRPr="005D04BF">
              <w:rPr>
                <w:rFonts w:hint="cs"/>
                <w:rtl/>
              </w:rPr>
              <w:t>(א</w:t>
            </w:r>
            <w:r>
              <w:rPr>
                <w:rFonts w:hint="cs"/>
                <w:rtl/>
              </w:rPr>
              <w:t xml:space="preserve">) </w:t>
            </w:r>
            <w:r w:rsidRPr="00DF0049">
              <w:rPr>
                <w:rFonts w:hint="cs"/>
                <w:rtl/>
              </w:rPr>
              <w:t>מזה: נכסים פיננסיים והתחייבויות פיננסיות בסך ___ מיליוני ש"ח ובסך ___ מיליוני ש"ח, בהתאמה, אשר היתרה במאזן שלהם זהה לשווי הוגן (מכשירים המוצגים במאזן לפי שווי הוגן)</w:t>
            </w:r>
            <w:r w:rsidRPr="003B1E70">
              <w:rPr>
                <w:rFonts w:hint="cs"/>
                <w:rtl/>
              </w:rPr>
              <w:t xml:space="preserve"> [אם רלוונטי:</w:t>
            </w:r>
            <w:r w:rsidRPr="00DF0049">
              <w:rPr>
                <w:rFonts w:hint="cs"/>
                <w:rtl/>
              </w:rPr>
              <w:t xml:space="preserve"> או מהווה קירוב לשווי הוגן (מכשירים לתקופה מקורית של עד 3 חודשים לגביהם נעשה שימוש ביתרה במאזן כקירוב לשווי הוגן)]</w:t>
            </w:r>
            <w:r w:rsidRPr="00DF0049">
              <w:rPr>
                <w:rtl/>
              </w:rPr>
              <w:t>.</w:t>
            </w:r>
            <w:r w:rsidRPr="00DF0049">
              <w:rPr>
                <w:rFonts w:hint="cs"/>
                <w:rtl/>
              </w:rPr>
              <w:t xml:space="preserve"> </w:t>
            </w:r>
          </w:p>
        </w:tc>
      </w:tr>
    </w:tbl>
    <w:p w14:paraId="679E71E4" w14:textId="77777777" w:rsidR="00600720" w:rsidRPr="005D04BF" w:rsidRDefault="00600720" w:rsidP="00600720">
      <w:pPr>
        <w:rPr>
          <w:rtl/>
        </w:rPr>
      </w:pPr>
    </w:p>
    <w:p w14:paraId="44842A18" w14:textId="77777777" w:rsidR="00600720" w:rsidRDefault="00600720" w:rsidP="00600720">
      <w:pPr>
        <w:rPr>
          <w:rtl/>
        </w:rPr>
      </w:pPr>
    </w:p>
    <w:p w14:paraId="1D4FB4A3" w14:textId="77777777" w:rsidR="00ED5482" w:rsidRDefault="00ED5482">
      <w:pPr>
        <w:bidi w:val="0"/>
        <w:jc w:val="left"/>
        <w:sectPr w:rsidR="00ED5482" w:rsidSect="00587121">
          <w:footnotePr>
            <w:numRestart w:val="eachPage"/>
          </w:footnotePr>
          <w:pgSz w:w="11909" w:h="16834" w:code="9"/>
          <w:pgMar w:top="851" w:right="851" w:bottom="851" w:left="851" w:header="720" w:footer="720" w:gutter="0"/>
          <w:cols w:space="720"/>
          <w:bidi/>
          <w:rtlGutter/>
          <w:docGrid w:linePitch="360"/>
        </w:sectPr>
      </w:pPr>
    </w:p>
    <w:tbl>
      <w:tblPr>
        <w:bidiVisual/>
        <w:tblW w:w="5000" w:type="pct"/>
        <w:tblLook w:val="04A0" w:firstRow="1" w:lastRow="0" w:firstColumn="1" w:lastColumn="0" w:noHBand="0" w:noVBand="1"/>
      </w:tblPr>
      <w:tblGrid>
        <w:gridCol w:w="993"/>
        <w:gridCol w:w="425"/>
        <w:gridCol w:w="8789"/>
      </w:tblGrid>
      <w:tr w:rsidR="00703ADB" w:rsidRPr="00543C25" w14:paraId="36F4CA99" w14:textId="77777777" w:rsidTr="008601FB">
        <w:trPr>
          <w:trHeight w:val="259"/>
        </w:trPr>
        <w:tc>
          <w:tcPr>
            <w:tcW w:w="993" w:type="dxa"/>
          </w:tcPr>
          <w:p w14:paraId="15D1837F" w14:textId="77777777" w:rsidR="00703ADB" w:rsidRPr="00543C25" w:rsidRDefault="00703ADB" w:rsidP="00DD7B20">
            <w:pPr>
              <w:pStyle w:val="-fa"/>
              <w:spacing w:before="0" w:after="60"/>
              <w:rPr>
                <w:rtl/>
              </w:rPr>
            </w:pPr>
          </w:p>
        </w:tc>
        <w:tc>
          <w:tcPr>
            <w:tcW w:w="9214" w:type="dxa"/>
            <w:gridSpan w:val="2"/>
          </w:tcPr>
          <w:p w14:paraId="21AE4E0B" w14:textId="77777777" w:rsidR="00F32A2A" w:rsidRDefault="00703ADB" w:rsidP="00316579">
            <w:pPr>
              <w:pStyle w:val="-8"/>
              <w:rPr>
                <w:color w:val="000000"/>
                <w:rtl/>
                <w:lang w:eastAsia="he-IL"/>
              </w:rPr>
            </w:pPr>
            <w:r w:rsidRPr="00443687">
              <w:rPr>
                <w:rtl/>
              </w:rPr>
              <w:t xml:space="preserve">ביאור </w:t>
            </w:r>
            <w:r w:rsidR="00C37DEB">
              <w:rPr>
                <w:rFonts w:hint="cs"/>
                <w:rtl/>
              </w:rPr>
              <w:t>1</w:t>
            </w:r>
            <w:r w:rsidR="00316579">
              <w:rPr>
                <w:rFonts w:hint="cs"/>
                <w:rtl/>
              </w:rPr>
              <w:t>4</w:t>
            </w:r>
            <w:r w:rsidR="00C37DEB">
              <w:rPr>
                <w:rFonts w:hint="cs"/>
                <w:rtl/>
              </w:rPr>
              <w:t>א</w:t>
            </w:r>
            <w:r w:rsidR="00C37DEB" w:rsidRPr="00443687">
              <w:rPr>
                <w:rtl/>
              </w:rPr>
              <w:t xml:space="preserve"> </w:t>
            </w:r>
            <w:r w:rsidR="00C37DEB">
              <w:rPr>
                <w:rFonts w:hint="cs"/>
                <w:rtl/>
              </w:rPr>
              <w:t xml:space="preserve"> </w:t>
            </w:r>
            <w:r w:rsidRPr="00443687">
              <w:rPr>
                <w:rtl/>
              </w:rPr>
              <w:t xml:space="preserve">- </w:t>
            </w:r>
            <w:r>
              <w:rPr>
                <w:rFonts w:hint="cs"/>
                <w:rtl/>
              </w:rPr>
              <w:t xml:space="preserve"> יתרות </w:t>
            </w:r>
            <w:r w:rsidRPr="00E264F0">
              <w:rPr>
                <w:rtl/>
              </w:rPr>
              <w:t>ואומדני</w:t>
            </w:r>
            <w:r>
              <w:rPr>
                <w:rtl/>
              </w:rPr>
              <w:t xml:space="preserve"> שווי הוגן של מכשירים פיננסיים</w:t>
            </w:r>
            <w:r w:rsidR="005C7686">
              <w:rPr>
                <w:rFonts w:hint="cs"/>
                <w:rtl/>
              </w:rPr>
              <w:t xml:space="preserve"> (במאוחד)</w:t>
            </w:r>
            <w:r>
              <w:rPr>
                <w:rtl/>
              </w:rPr>
              <w:t xml:space="preserve"> </w:t>
            </w:r>
            <w:r>
              <w:rPr>
                <w:rFonts w:eastAsia="Arial Unicode MS" w:hint="cs"/>
                <w:rtl/>
              </w:rPr>
              <w:t>(המשך)</w:t>
            </w:r>
            <w:r w:rsidRPr="00BC7D2D">
              <w:rPr>
                <w:rFonts w:eastAsia="Arial Unicode MS" w:hint="cs"/>
                <w:rtl/>
              </w:rPr>
              <w:t>:</w:t>
            </w:r>
          </w:p>
        </w:tc>
      </w:tr>
      <w:tr w:rsidR="00703ADB" w:rsidRPr="007363C7" w14:paraId="53C1CB0F" w14:textId="77777777" w:rsidTr="008601FB">
        <w:tblPrEx>
          <w:jc w:val="right"/>
          <w:tblLook w:val="0000" w:firstRow="0" w:lastRow="0" w:firstColumn="0" w:lastColumn="0" w:noHBand="0" w:noVBand="0"/>
        </w:tblPrEx>
        <w:trPr>
          <w:trHeight w:val="245"/>
          <w:jc w:val="right"/>
        </w:trPr>
        <w:tc>
          <w:tcPr>
            <w:tcW w:w="993" w:type="dxa"/>
            <w:vMerge w:val="restart"/>
          </w:tcPr>
          <w:p w14:paraId="680D17D0" w14:textId="3FC2F2A2" w:rsidR="00703ADB" w:rsidRDefault="00F57210" w:rsidP="00DD7B20">
            <w:pPr>
              <w:pStyle w:val="-7"/>
              <w:spacing w:before="60" w:after="60" w:line="240" w:lineRule="auto"/>
              <w:jc w:val="left"/>
              <w:rPr>
                <w:rtl/>
              </w:rPr>
            </w:pPr>
            <w:r w:rsidRPr="00AC1A00">
              <w:rPr>
                <w:rFonts w:hint="cs"/>
                <w:sz w:val="14"/>
                <w:szCs w:val="14"/>
                <w:rtl/>
              </w:rPr>
              <w:t xml:space="preserve">מתכונת ביאור </w:t>
            </w:r>
            <w:r w:rsidRPr="00AC1A00">
              <w:rPr>
                <w:sz w:val="14"/>
                <w:szCs w:val="14"/>
                <w:rtl/>
              </w:rPr>
              <w:br/>
            </w:r>
            <w:r w:rsidRPr="00AC1A00">
              <w:rPr>
                <w:rFonts w:hint="cs"/>
                <w:sz w:val="14"/>
                <w:szCs w:val="14"/>
                <w:rtl/>
              </w:rPr>
              <w:t>עמ' 639-87</w:t>
            </w:r>
            <w:r>
              <w:rPr>
                <w:rFonts w:hint="cs"/>
                <w:rtl/>
              </w:rPr>
              <w:t xml:space="preserve"> </w:t>
            </w:r>
            <w:r w:rsidR="00713BF3">
              <w:rPr>
                <w:rFonts w:hint="cs"/>
                <w:rtl/>
              </w:rPr>
              <w:t>,</w:t>
            </w:r>
            <w:r w:rsidRPr="00AC1A00">
              <w:rPr>
                <w:rFonts w:hint="cs"/>
                <w:sz w:val="14"/>
                <w:szCs w:val="14"/>
                <w:rtl/>
              </w:rPr>
              <w:t xml:space="preserve"> 639-88</w:t>
            </w:r>
          </w:p>
        </w:tc>
        <w:tc>
          <w:tcPr>
            <w:tcW w:w="425" w:type="dxa"/>
          </w:tcPr>
          <w:p w14:paraId="5957644C" w14:textId="77777777" w:rsidR="00703ADB" w:rsidRPr="0027490E" w:rsidRDefault="00703ADB" w:rsidP="00DD7B20">
            <w:pPr>
              <w:pStyle w:val="-f4"/>
              <w:spacing w:line="240" w:lineRule="auto"/>
              <w:jc w:val="left"/>
              <w:rPr>
                <w:rtl/>
              </w:rPr>
            </w:pPr>
            <w:r w:rsidRPr="0027490E">
              <w:rPr>
                <w:rFonts w:hint="cs"/>
                <w:rtl/>
              </w:rPr>
              <w:t xml:space="preserve">ב. </w:t>
            </w:r>
          </w:p>
        </w:tc>
        <w:tc>
          <w:tcPr>
            <w:tcW w:w="8789" w:type="dxa"/>
          </w:tcPr>
          <w:p w14:paraId="08AF9A5E" w14:textId="566BC892" w:rsidR="00703ADB" w:rsidRPr="0027490E" w:rsidRDefault="00703ADB" w:rsidP="00F444E5">
            <w:pPr>
              <w:pStyle w:val="-f4"/>
              <w:spacing w:line="240" w:lineRule="auto"/>
              <w:jc w:val="left"/>
              <w:rPr>
                <w:rtl/>
              </w:rPr>
            </w:pPr>
            <w:r w:rsidRPr="0027490E">
              <w:rPr>
                <w:rFonts w:hint="cs"/>
                <w:rtl/>
              </w:rPr>
              <w:t>שווי הוגן של מכשירים פיננסיים:</w:t>
            </w:r>
          </w:p>
        </w:tc>
      </w:tr>
      <w:tr w:rsidR="00703ADB" w:rsidRPr="007363C7" w14:paraId="0D692A7D" w14:textId="77777777" w:rsidTr="008601FB">
        <w:tblPrEx>
          <w:jc w:val="right"/>
          <w:tblLook w:val="0000" w:firstRow="0" w:lastRow="0" w:firstColumn="0" w:lastColumn="0" w:noHBand="0" w:noVBand="0"/>
        </w:tblPrEx>
        <w:trPr>
          <w:trHeight w:val="245"/>
          <w:jc w:val="right"/>
        </w:trPr>
        <w:tc>
          <w:tcPr>
            <w:tcW w:w="993" w:type="dxa"/>
            <w:vMerge/>
          </w:tcPr>
          <w:p w14:paraId="4C97E028" w14:textId="77777777" w:rsidR="00703ADB" w:rsidRPr="007363C7" w:rsidRDefault="00703ADB" w:rsidP="003E1AB1">
            <w:pPr>
              <w:pStyle w:val="-7"/>
              <w:rPr>
                <w:rtl/>
              </w:rPr>
            </w:pPr>
          </w:p>
        </w:tc>
        <w:tc>
          <w:tcPr>
            <w:tcW w:w="425" w:type="dxa"/>
          </w:tcPr>
          <w:p w14:paraId="797F32F9" w14:textId="77777777" w:rsidR="00703ADB" w:rsidRDefault="00703ADB" w:rsidP="003E1AB1">
            <w:pPr>
              <w:pStyle w:val="-f4"/>
              <w:jc w:val="left"/>
              <w:rPr>
                <w:rtl/>
              </w:rPr>
            </w:pPr>
          </w:p>
        </w:tc>
        <w:tc>
          <w:tcPr>
            <w:tcW w:w="8789" w:type="dxa"/>
          </w:tcPr>
          <w:p w14:paraId="1FD36F7F" w14:textId="06BA891F" w:rsidR="00CF2A74" w:rsidRDefault="00703ADB" w:rsidP="009A667C">
            <w:pPr>
              <w:pStyle w:val="-10"/>
              <w:spacing w:line="240" w:lineRule="auto"/>
              <w:rPr>
                <w:rtl/>
              </w:rPr>
            </w:pPr>
            <w:r w:rsidRPr="009D4D68">
              <w:rPr>
                <w:rtl/>
              </w:rPr>
              <w:t>לרוב המכשירים הפיננסיים ב</w:t>
            </w:r>
            <w:r w:rsidRPr="009D4D68">
              <w:rPr>
                <w:rFonts w:hint="cs"/>
                <w:rtl/>
              </w:rPr>
              <w:t>תאגיד הבנקאי</w:t>
            </w:r>
            <w:r w:rsidRPr="009D4D68">
              <w:rPr>
                <w:rtl/>
              </w:rPr>
              <w:t xml:space="preserve"> לא ניתן לצטט "מחיר שוק" מכיוון שלא קיים שוק פעיל בו הם נסחרים. לפיכך, השווי ההוגן נאמד באמצעות מודלים מקובלים לתמחור, כגון ערך נוכחי של תזרי</w:t>
            </w:r>
            <w:r w:rsidRPr="009D4D68">
              <w:rPr>
                <w:rFonts w:hint="cs"/>
                <w:rtl/>
              </w:rPr>
              <w:t>מי</w:t>
            </w:r>
            <w:r w:rsidRPr="009D4D68">
              <w:rPr>
                <w:rtl/>
              </w:rPr>
              <w:t xml:space="preserve"> מזומ</w:t>
            </w:r>
            <w:r w:rsidRPr="009D4D68">
              <w:rPr>
                <w:rFonts w:hint="cs"/>
                <w:rtl/>
              </w:rPr>
              <w:t>נים</w:t>
            </w:r>
            <w:r w:rsidRPr="009D4D68">
              <w:rPr>
                <w:rtl/>
              </w:rPr>
              <w:t xml:space="preserve"> עתידי</w:t>
            </w:r>
            <w:r w:rsidRPr="009D4D68">
              <w:rPr>
                <w:rFonts w:hint="cs"/>
                <w:rtl/>
              </w:rPr>
              <w:t>ים</w:t>
            </w:r>
            <w:r w:rsidRPr="009D4D68">
              <w:rPr>
                <w:rtl/>
              </w:rPr>
              <w:t xml:space="preserve"> המהוו</w:t>
            </w:r>
            <w:r w:rsidRPr="009D4D68">
              <w:rPr>
                <w:rFonts w:hint="cs"/>
                <w:rtl/>
              </w:rPr>
              <w:t>נים</w:t>
            </w:r>
            <w:r w:rsidRPr="009D4D68">
              <w:rPr>
                <w:rtl/>
              </w:rPr>
              <w:t xml:space="preserve"> בריבית נ</w:t>
            </w:r>
            <w:r w:rsidRPr="009D4D68">
              <w:rPr>
                <w:rFonts w:hint="cs"/>
                <w:rtl/>
              </w:rPr>
              <w:t>י</w:t>
            </w:r>
            <w:r w:rsidRPr="009D4D68">
              <w:rPr>
                <w:rtl/>
              </w:rPr>
              <w:t>כיון בשיעור המשקף את רמת הסיכון הגלומה במכשיר הפיננסי. אומדן של השווי ההוגן באמצעות הערכת תזרי</w:t>
            </w:r>
            <w:r w:rsidRPr="009D4D68">
              <w:rPr>
                <w:rFonts w:hint="cs"/>
                <w:rtl/>
              </w:rPr>
              <w:t>מי</w:t>
            </w:r>
            <w:r w:rsidRPr="009D4D68">
              <w:rPr>
                <w:rtl/>
              </w:rPr>
              <w:t xml:space="preserve"> המזומ</w:t>
            </w:r>
            <w:r w:rsidRPr="009D4D68">
              <w:rPr>
                <w:rFonts w:hint="cs"/>
                <w:rtl/>
              </w:rPr>
              <w:t>נים</w:t>
            </w:r>
            <w:r w:rsidRPr="009D4D68">
              <w:rPr>
                <w:rtl/>
              </w:rPr>
              <w:t xml:space="preserve"> העתידי</w:t>
            </w:r>
            <w:r w:rsidRPr="009D4D68">
              <w:rPr>
                <w:rFonts w:hint="cs"/>
                <w:rtl/>
              </w:rPr>
              <w:t>ים</w:t>
            </w:r>
            <w:r w:rsidRPr="009D4D68">
              <w:rPr>
                <w:rtl/>
              </w:rPr>
              <w:t xml:space="preserve"> וקביעת שיעור ריבית הנ</w:t>
            </w:r>
            <w:r w:rsidRPr="009D4D68">
              <w:rPr>
                <w:rFonts w:hint="cs"/>
                <w:rtl/>
              </w:rPr>
              <w:t>י</w:t>
            </w:r>
            <w:r w:rsidRPr="009D4D68">
              <w:rPr>
                <w:rtl/>
              </w:rPr>
              <w:t>כיון הי</w:t>
            </w:r>
            <w:r w:rsidR="002F3BBB">
              <w:rPr>
                <w:rFonts w:hint="cs"/>
                <w:rtl/>
              </w:rPr>
              <w:t>נו</w:t>
            </w:r>
            <w:r w:rsidRPr="009D4D68">
              <w:rPr>
                <w:rtl/>
              </w:rPr>
              <w:t xml:space="preserve"> סובייקטיבי. לכן, עבור רוב המכשירים הפיננסיים, הערכת השווי ההוגן המצורפת אינה בהכרח אינדיקציה</w:t>
            </w:r>
            <w:r w:rsidRPr="009D4D68">
              <w:rPr>
                <w:rFonts w:hint="cs"/>
                <w:rtl/>
              </w:rPr>
              <w:t xml:space="preserve"> </w:t>
            </w:r>
            <w:r w:rsidRPr="009D4D68">
              <w:rPr>
                <w:rtl/>
              </w:rPr>
              <w:t xml:space="preserve">לשווי מימוש </w:t>
            </w:r>
            <w:r w:rsidR="005C7686">
              <w:rPr>
                <w:rFonts w:hint="cs"/>
                <w:rtl/>
              </w:rPr>
              <w:t xml:space="preserve">של </w:t>
            </w:r>
            <w:r w:rsidRPr="009D4D68">
              <w:rPr>
                <w:rtl/>
              </w:rPr>
              <w:t>המכשיר הפיננסי ביום הדיווח. הערכת השווי ההוגן נערכה לפי שיעורי הריבית התקפים למועד הדיווח ואינה לוקחת בחשבון את התנודתיות של שיעורי הריבית. תחת הנחת שיעורי ריבית אחרים יתקבלו ערכי שווי הוגן שיכול שיהיו שונים באופן</w:t>
            </w:r>
            <w:r w:rsidRPr="009D4D68">
              <w:rPr>
                <w:rFonts w:hint="cs"/>
                <w:rtl/>
              </w:rPr>
              <w:t xml:space="preserve"> </w:t>
            </w:r>
            <w:r w:rsidRPr="009D4D68">
              <w:rPr>
                <w:rtl/>
              </w:rPr>
              <w:t>מהותי. בעיקר הדברים אמורים לגבי המכשירים הפיננסיים בריבית קבועה או שאינם נושאים ריבית. בנוסף, בקביעת ערכי השווי</w:t>
            </w:r>
            <w:r w:rsidRPr="009D4D68">
              <w:rPr>
                <w:rFonts w:hint="cs"/>
                <w:rtl/>
              </w:rPr>
              <w:t xml:space="preserve"> </w:t>
            </w:r>
            <w:r w:rsidRPr="009D4D68">
              <w:rPr>
                <w:rtl/>
              </w:rPr>
              <w:t xml:space="preserve">ההוגן לא הובאו בחשבון העמלות </w:t>
            </w:r>
            <w:r w:rsidR="000252A5">
              <w:rPr>
                <w:rFonts w:hint="cs"/>
                <w:rtl/>
              </w:rPr>
              <w:t>שתתקבלנה או תשולמנה</w:t>
            </w:r>
            <w:r w:rsidR="005C7686" w:rsidRPr="009D4D68">
              <w:rPr>
                <w:rtl/>
              </w:rPr>
              <w:t xml:space="preserve"> </w:t>
            </w:r>
            <w:r w:rsidRPr="009D4D68">
              <w:rPr>
                <w:rtl/>
              </w:rPr>
              <w:t>אגב הפעילות העסקית וכן אינם כוללים את השפעת הזכויות שאינן מקנות שליטה ואת השפעת המס. יתר</w:t>
            </w:r>
            <w:r w:rsidRPr="009D4D68">
              <w:rPr>
                <w:rFonts w:hint="cs"/>
                <w:rtl/>
              </w:rPr>
              <w:t>ה</w:t>
            </w:r>
            <w:r w:rsidR="005406FD">
              <w:rPr>
                <w:rtl/>
              </w:rPr>
              <w:t xml:space="preserve"> מכך, הפער בין </w:t>
            </w:r>
            <w:r w:rsidR="005C7686">
              <w:rPr>
                <w:rFonts w:hint="cs"/>
                <w:rtl/>
              </w:rPr>
              <w:t>היתרה</w:t>
            </w:r>
            <w:r w:rsidR="005C7686" w:rsidRPr="009D4D68">
              <w:rPr>
                <w:rtl/>
              </w:rPr>
              <w:t xml:space="preserve"> </w:t>
            </w:r>
            <w:r w:rsidRPr="009D4D68">
              <w:rPr>
                <w:rtl/>
              </w:rPr>
              <w:t>במאזן לבין יתרות השווי ההוגן יתכן ולא ימומש</w:t>
            </w:r>
            <w:r w:rsidRPr="009D4D68">
              <w:rPr>
                <w:rFonts w:hint="cs"/>
                <w:rtl/>
              </w:rPr>
              <w:t>,</w:t>
            </w:r>
            <w:r w:rsidRPr="009D4D68">
              <w:rPr>
                <w:rtl/>
              </w:rPr>
              <w:t xml:space="preserve"> מכיוון שברוב המקרים </w:t>
            </w:r>
            <w:r w:rsidRPr="009D4D68">
              <w:rPr>
                <w:rFonts w:hint="cs"/>
                <w:rtl/>
              </w:rPr>
              <w:t>התאגיד הבנקאי</w:t>
            </w:r>
            <w:r w:rsidRPr="009D4D68">
              <w:rPr>
                <w:rtl/>
              </w:rPr>
              <w:t xml:space="preserve"> עשוי להחזיק את המכשיר הפיננסי עד לפ</w:t>
            </w:r>
            <w:r w:rsidRPr="009D4D68">
              <w:rPr>
                <w:rFonts w:hint="cs"/>
                <w:rtl/>
              </w:rPr>
              <w:t>י</w:t>
            </w:r>
            <w:r w:rsidRPr="009D4D68">
              <w:rPr>
                <w:rtl/>
              </w:rPr>
              <w:t>רעון. בשל כל אלו</w:t>
            </w:r>
            <w:r w:rsidRPr="009D4D68">
              <w:rPr>
                <w:rFonts w:hint="cs"/>
                <w:rtl/>
              </w:rPr>
              <w:t>,</w:t>
            </w:r>
            <w:r w:rsidRPr="009D4D68">
              <w:rPr>
                <w:rtl/>
              </w:rPr>
              <w:t xml:space="preserve"> יש להדגיש</w:t>
            </w:r>
            <w:r w:rsidRPr="009D4D68">
              <w:rPr>
                <w:rFonts w:hint="cs"/>
                <w:rtl/>
              </w:rPr>
              <w:t>,</w:t>
            </w:r>
            <w:r w:rsidRPr="009D4D68">
              <w:rPr>
                <w:rtl/>
              </w:rPr>
              <w:t xml:space="preserve"> כי אין בנתונים הכלולים בביאור זה כדי להצביע על שווי התאגיד הבנקאי כעסק חי. כמו כן, בשל הקשת הרחבה של טכניקות הערכה והאומדנים האפשריים ליישום במהלך ביצוע הערכת השווי ההוגן, יש להיזהר בעת עריכת השוואות</w:t>
            </w:r>
            <w:r w:rsidR="005406FD">
              <w:rPr>
                <w:rFonts w:hint="cs"/>
                <w:rtl/>
              </w:rPr>
              <w:t xml:space="preserve"> </w:t>
            </w:r>
            <w:r w:rsidRPr="009D4D68">
              <w:rPr>
                <w:rtl/>
              </w:rPr>
              <w:t xml:space="preserve">ערכי שווי הוגן בין </w:t>
            </w:r>
            <w:r w:rsidRPr="009D4D68">
              <w:rPr>
                <w:rFonts w:hint="cs"/>
                <w:rtl/>
              </w:rPr>
              <w:t>תאגידים בנקאיים</w:t>
            </w:r>
            <w:r w:rsidRPr="009D4D68">
              <w:rPr>
                <w:rtl/>
              </w:rPr>
              <w:t xml:space="preserve"> שונים</w:t>
            </w:r>
            <w:r w:rsidRPr="009D4D68">
              <w:rPr>
                <w:rFonts w:hint="cs"/>
                <w:rtl/>
              </w:rPr>
              <w:t>.</w:t>
            </w:r>
          </w:p>
        </w:tc>
      </w:tr>
      <w:tr w:rsidR="00703ADB" w:rsidRPr="007363C7" w14:paraId="53D35D24" w14:textId="77777777" w:rsidTr="008601FB">
        <w:tblPrEx>
          <w:jc w:val="right"/>
          <w:tblLook w:val="0000" w:firstRow="0" w:lastRow="0" w:firstColumn="0" w:lastColumn="0" w:noHBand="0" w:noVBand="0"/>
        </w:tblPrEx>
        <w:trPr>
          <w:trHeight w:val="245"/>
          <w:jc w:val="right"/>
        </w:trPr>
        <w:tc>
          <w:tcPr>
            <w:tcW w:w="993" w:type="dxa"/>
          </w:tcPr>
          <w:p w14:paraId="168FBE9A" w14:textId="77777777" w:rsidR="00703ADB" w:rsidRPr="005406FD" w:rsidRDefault="00703ADB" w:rsidP="005406FD">
            <w:pPr>
              <w:pStyle w:val="-7"/>
              <w:spacing w:line="240" w:lineRule="auto"/>
              <w:jc w:val="left"/>
              <w:rPr>
                <w:sz w:val="14"/>
                <w:szCs w:val="14"/>
                <w:rtl/>
              </w:rPr>
            </w:pPr>
          </w:p>
        </w:tc>
        <w:tc>
          <w:tcPr>
            <w:tcW w:w="425" w:type="dxa"/>
          </w:tcPr>
          <w:p w14:paraId="238FCE79" w14:textId="77777777" w:rsidR="00703ADB" w:rsidRPr="00543C25" w:rsidRDefault="00703ADB" w:rsidP="003E1AB1">
            <w:pPr>
              <w:pStyle w:val="-f4"/>
              <w:jc w:val="left"/>
              <w:rPr>
                <w:rtl/>
              </w:rPr>
            </w:pPr>
            <w:r>
              <w:rPr>
                <w:rFonts w:hint="cs"/>
                <w:rtl/>
              </w:rPr>
              <w:t xml:space="preserve">ג. </w:t>
            </w:r>
          </w:p>
        </w:tc>
        <w:tc>
          <w:tcPr>
            <w:tcW w:w="8789" w:type="dxa"/>
          </w:tcPr>
          <w:p w14:paraId="5EF0B818" w14:textId="7FAFF2DD" w:rsidR="00CF2A74" w:rsidRDefault="00703ADB">
            <w:pPr>
              <w:pStyle w:val="-f4"/>
              <w:jc w:val="left"/>
              <w:rPr>
                <w:rtl/>
              </w:rPr>
            </w:pPr>
            <w:r w:rsidRPr="00127430">
              <w:rPr>
                <w:rtl/>
              </w:rPr>
              <w:t>השיטות וההנחות העיקריות לצורך אומדן השווי ההוגן של מכשירים פיננסיים</w:t>
            </w:r>
            <w:r w:rsidR="009D5304">
              <w:rPr>
                <w:rFonts w:hint="cs"/>
                <w:rtl/>
              </w:rPr>
              <w:t xml:space="preserve"> עיקריים</w:t>
            </w:r>
            <w:r w:rsidRPr="00127430">
              <w:rPr>
                <w:rFonts w:hint="cs"/>
                <w:rtl/>
              </w:rPr>
              <w:t>:</w:t>
            </w:r>
            <w:r w:rsidR="00CF2A74" w:rsidRPr="003B3C2A">
              <w:rPr>
                <w:sz w:val="18"/>
                <w:szCs w:val="18"/>
                <w:vertAlign w:val="superscript"/>
                <w:rtl/>
              </w:rPr>
              <w:t>[</w:t>
            </w:r>
            <w:r w:rsidR="00CF2A74" w:rsidRPr="003B3C2A">
              <w:rPr>
                <w:sz w:val="18"/>
                <w:szCs w:val="18"/>
                <w:vertAlign w:val="superscript"/>
                <w:rtl/>
              </w:rPr>
              <w:footnoteReference w:id="125"/>
            </w:r>
            <w:r w:rsidR="00CF2A74" w:rsidRPr="003B3C2A">
              <w:rPr>
                <w:sz w:val="18"/>
                <w:szCs w:val="18"/>
                <w:vertAlign w:val="superscript"/>
                <w:rtl/>
              </w:rPr>
              <w:t>]</w:t>
            </w:r>
            <w:r w:rsidR="00C65690" w:rsidRPr="003B3C2A">
              <w:rPr>
                <w:rFonts w:hint="cs"/>
                <w:sz w:val="18"/>
                <w:szCs w:val="18"/>
                <w:vertAlign w:val="superscript"/>
                <w:rtl/>
              </w:rPr>
              <w:t>[</w:t>
            </w:r>
            <w:r w:rsidR="00C65690" w:rsidRPr="003B3C2A">
              <w:rPr>
                <w:sz w:val="18"/>
                <w:szCs w:val="18"/>
                <w:vertAlign w:val="superscript"/>
                <w:rtl/>
              </w:rPr>
              <w:footnoteReference w:id="126"/>
            </w:r>
            <w:r w:rsidR="00C65690" w:rsidRPr="003B3C2A">
              <w:rPr>
                <w:rFonts w:hint="cs"/>
                <w:sz w:val="18"/>
                <w:szCs w:val="18"/>
                <w:vertAlign w:val="superscript"/>
                <w:rtl/>
              </w:rPr>
              <w:t>]</w:t>
            </w:r>
            <w:r>
              <w:rPr>
                <w:rFonts w:hint="cs"/>
                <w:rtl/>
              </w:rPr>
              <w:t xml:space="preserve"> </w:t>
            </w:r>
          </w:p>
        </w:tc>
      </w:tr>
      <w:tr w:rsidR="00703ADB" w:rsidRPr="007363C7" w14:paraId="30423A15" w14:textId="77777777" w:rsidTr="008601FB">
        <w:tblPrEx>
          <w:jc w:val="right"/>
          <w:tblLook w:val="0000" w:firstRow="0" w:lastRow="0" w:firstColumn="0" w:lastColumn="0" w:noHBand="0" w:noVBand="0"/>
        </w:tblPrEx>
        <w:trPr>
          <w:trHeight w:val="245"/>
          <w:jc w:val="right"/>
        </w:trPr>
        <w:tc>
          <w:tcPr>
            <w:tcW w:w="993" w:type="dxa"/>
          </w:tcPr>
          <w:p w14:paraId="6EA9018C" w14:textId="77777777" w:rsidR="00703ADB" w:rsidRPr="00887F19" w:rsidRDefault="00703ADB" w:rsidP="00703ADB">
            <w:pPr>
              <w:pStyle w:val="-7"/>
              <w:spacing w:line="240" w:lineRule="auto"/>
              <w:rPr>
                <w:rtl/>
              </w:rPr>
            </w:pPr>
          </w:p>
        </w:tc>
        <w:tc>
          <w:tcPr>
            <w:tcW w:w="425" w:type="dxa"/>
          </w:tcPr>
          <w:p w14:paraId="64AD3F09" w14:textId="77777777" w:rsidR="00703ADB" w:rsidRPr="00887F19" w:rsidRDefault="00703ADB" w:rsidP="00703ADB">
            <w:pPr>
              <w:pStyle w:val="-f4"/>
              <w:spacing w:line="240" w:lineRule="auto"/>
              <w:jc w:val="left"/>
              <w:rPr>
                <w:rtl/>
              </w:rPr>
            </w:pPr>
          </w:p>
        </w:tc>
        <w:tc>
          <w:tcPr>
            <w:tcW w:w="8789" w:type="dxa"/>
          </w:tcPr>
          <w:p w14:paraId="000739D4" w14:textId="56B9945F" w:rsidR="00703ADB" w:rsidRPr="00182DB6" w:rsidRDefault="00703ADB" w:rsidP="009A667C">
            <w:pPr>
              <w:pStyle w:val="-10"/>
              <w:spacing w:after="0" w:line="240" w:lineRule="auto"/>
              <w:rPr>
                <w:sz w:val="19"/>
                <w:szCs w:val="19"/>
                <w:rtl/>
              </w:rPr>
            </w:pPr>
            <w:r w:rsidRPr="00182DB6">
              <w:rPr>
                <w:sz w:val="19"/>
                <w:szCs w:val="19"/>
                <w:u w:val="single"/>
                <w:rtl/>
              </w:rPr>
              <w:t>ניירות ערך</w:t>
            </w:r>
            <w:r w:rsidRPr="00182DB6">
              <w:rPr>
                <w:rFonts w:hint="cs"/>
                <w:sz w:val="19"/>
                <w:szCs w:val="19"/>
                <w:u w:val="single"/>
                <w:rtl/>
              </w:rPr>
              <w:t xml:space="preserve"> סחירים</w:t>
            </w:r>
            <w:r w:rsidRPr="00182DB6">
              <w:rPr>
                <w:rFonts w:hint="cs"/>
                <w:sz w:val="19"/>
                <w:szCs w:val="19"/>
                <w:rtl/>
              </w:rPr>
              <w:t xml:space="preserve"> - לפי שווי שוק</w:t>
            </w:r>
            <w:r w:rsidR="00F6743B" w:rsidRPr="00182DB6">
              <w:rPr>
                <w:rFonts w:hint="cs"/>
                <w:sz w:val="19"/>
                <w:szCs w:val="19"/>
                <w:rtl/>
              </w:rPr>
              <w:t xml:space="preserve"> בשוק העיקרי</w:t>
            </w:r>
            <w:r w:rsidRPr="00182DB6">
              <w:rPr>
                <w:rFonts w:hint="cs"/>
                <w:sz w:val="19"/>
                <w:szCs w:val="19"/>
                <w:rtl/>
              </w:rPr>
              <w:t>.</w:t>
            </w:r>
          </w:p>
        </w:tc>
      </w:tr>
      <w:tr w:rsidR="00703ADB" w:rsidRPr="007363C7" w14:paraId="30F960DC" w14:textId="77777777" w:rsidTr="008601FB">
        <w:tblPrEx>
          <w:jc w:val="right"/>
          <w:tblLook w:val="0000" w:firstRow="0" w:lastRow="0" w:firstColumn="0" w:lastColumn="0" w:noHBand="0" w:noVBand="0"/>
        </w:tblPrEx>
        <w:trPr>
          <w:trHeight w:val="245"/>
          <w:jc w:val="right"/>
        </w:trPr>
        <w:tc>
          <w:tcPr>
            <w:tcW w:w="993" w:type="dxa"/>
          </w:tcPr>
          <w:p w14:paraId="77BAF6B8" w14:textId="77777777" w:rsidR="00703ADB" w:rsidRPr="00887F19" w:rsidRDefault="00703ADB" w:rsidP="00703ADB">
            <w:pPr>
              <w:pStyle w:val="-7"/>
              <w:spacing w:line="240" w:lineRule="auto"/>
              <w:rPr>
                <w:rtl/>
              </w:rPr>
            </w:pPr>
          </w:p>
        </w:tc>
        <w:tc>
          <w:tcPr>
            <w:tcW w:w="425" w:type="dxa"/>
          </w:tcPr>
          <w:p w14:paraId="5A97D612" w14:textId="77777777" w:rsidR="00703ADB" w:rsidRPr="00887F19" w:rsidRDefault="00703ADB" w:rsidP="00703ADB">
            <w:pPr>
              <w:pStyle w:val="-f4"/>
              <w:spacing w:line="240" w:lineRule="auto"/>
              <w:jc w:val="left"/>
              <w:rPr>
                <w:rtl/>
              </w:rPr>
            </w:pPr>
          </w:p>
        </w:tc>
        <w:tc>
          <w:tcPr>
            <w:tcW w:w="8789" w:type="dxa"/>
          </w:tcPr>
          <w:p w14:paraId="0DFC59AB" w14:textId="77777777" w:rsidR="00703ADB" w:rsidRPr="00182DB6" w:rsidRDefault="00703ADB" w:rsidP="009A667C">
            <w:pPr>
              <w:pStyle w:val="-10"/>
              <w:spacing w:after="0" w:line="240" w:lineRule="auto"/>
              <w:rPr>
                <w:sz w:val="19"/>
                <w:szCs w:val="19"/>
                <w:rtl/>
              </w:rPr>
            </w:pPr>
            <w:r w:rsidRPr="00182DB6">
              <w:rPr>
                <w:sz w:val="19"/>
                <w:szCs w:val="19"/>
                <w:u w:val="single"/>
                <w:rtl/>
              </w:rPr>
              <w:t>אשראי לציבור</w:t>
            </w:r>
            <w:r w:rsidRPr="00182DB6">
              <w:rPr>
                <w:sz w:val="19"/>
                <w:szCs w:val="19"/>
                <w:rtl/>
              </w:rPr>
              <w:t xml:space="preserve"> </w:t>
            </w:r>
            <w:r w:rsidRPr="00182DB6">
              <w:rPr>
                <w:rFonts w:hint="cs"/>
                <w:sz w:val="19"/>
                <w:szCs w:val="19"/>
                <w:rtl/>
              </w:rPr>
              <w:t>-</w:t>
            </w:r>
          </w:p>
          <w:p w14:paraId="2508A288" w14:textId="77777777" w:rsidR="00703ADB" w:rsidRPr="00182DB6" w:rsidRDefault="00703ADB" w:rsidP="009A667C">
            <w:pPr>
              <w:pStyle w:val="-10"/>
              <w:spacing w:after="0" w:line="240" w:lineRule="auto"/>
              <w:rPr>
                <w:sz w:val="19"/>
                <w:szCs w:val="19"/>
                <w:rtl/>
              </w:rPr>
            </w:pPr>
            <w:r w:rsidRPr="00182DB6">
              <w:rPr>
                <w:sz w:val="19"/>
                <w:szCs w:val="19"/>
                <w:rtl/>
              </w:rPr>
              <w:t xml:space="preserve">השווי ההוגן של יתרת האשראי לציבור נאמד לפי שיטת הערך הנוכחי של תזרימי </w:t>
            </w:r>
            <w:r w:rsidRPr="00182DB6">
              <w:rPr>
                <w:rFonts w:hint="cs"/>
                <w:sz w:val="19"/>
                <w:szCs w:val="19"/>
                <w:rtl/>
              </w:rPr>
              <w:t>מזומנים</w:t>
            </w:r>
            <w:r w:rsidRPr="00182DB6">
              <w:rPr>
                <w:sz w:val="19"/>
                <w:szCs w:val="19"/>
                <w:rtl/>
              </w:rPr>
              <w:t xml:space="preserve"> עתידיים מנוכים בשיעור נ</w:t>
            </w:r>
            <w:r w:rsidRPr="00182DB6">
              <w:rPr>
                <w:rFonts w:hint="cs"/>
                <w:sz w:val="19"/>
                <w:szCs w:val="19"/>
                <w:rtl/>
              </w:rPr>
              <w:t>י</w:t>
            </w:r>
            <w:r w:rsidRPr="00182DB6">
              <w:rPr>
                <w:sz w:val="19"/>
                <w:szCs w:val="19"/>
                <w:rtl/>
              </w:rPr>
              <w:t>כיון מתאים. יתרת האשראי פולחה לקטגוריות הומוגניות. בכל קטגוריה חושב התזרים של התקבולים העתידיים (קרן וריבית). תקבולים אלה הוונו בשיעור ריבית המשקף את רמת הסיכון הגלומה באשראי באותה קטגוריה.</w:t>
            </w:r>
          </w:p>
          <w:p w14:paraId="150BE47D" w14:textId="7EFF9AC1" w:rsidR="005E6ED1" w:rsidRPr="00182DB6" w:rsidRDefault="005E6ED1" w:rsidP="009A667C">
            <w:pPr>
              <w:pStyle w:val="-10"/>
              <w:spacing w:after="0" w:line="240" w:lineRule="auto"/>
              <w:rPr>
                <w:sz w:val="19"/>
                <w:szCs w:val="19"/>
                <w:rtl/>
              </w:rPr>
            </w:pPr>
            <w:r w:rsidRPr="00182DB6">
              <w:rPr>
                <w:sz w:val="19"/>
                <w:szCs w:val="19"/>
                <w:rtl/>
              </w:rPr>
              <w:t xml:space="preserve">בדרך כלל שיעור ריבית זה </w:t>
            </w:r>
            <w:r w:rsidRPr="00182DB6">
              <w:rPr>
                <w:rFonts w:hint="cs"/>
                <w:sz w:val="19"/>
                <w:szCs w:val="19"/>
                <w:rtl/>
              </w:rPr>
              <w:t xml:space="preserve">נקבע לפי </w:t>
            </w:r>
            <w:r w:rsidRPr="00182DB6">
              <w:rPr>
                <w:sz w:val="19"/>
                <w:szCs w:val="19"/>
                <w:rtl/>
              </w:rPr>
              <w:t>שיעור הריבית לפיו נעשות ב</w:t>
            </w:r>
            <w:r w:rsidRPr="00182DB6">
              <w:rPr>
                <w:rFonts w:hint="cs"/>
                <w:sz w:val="19"/>
                <w:szCs w:val="19"/>
                <w:rtl/>
              </w:rPr>
              <w:t xml:space="preserve">בנק </w:t>
            </w:r>
            <w:r w:rsidRPr="00182DB6">
              <w:rPr>
                <w:sz w:val="19"/>
                <w:szCs w:val="19"/>
                <w:rtl/>
              </w:rPr>
              <w:t xml:space="preserve">עסקאות דומות במועד הדיווח. השווי ההוגן של חובות בעייתיים חושב תוך שימוש בשיעורי ריבית ניכיון המשקפים את סיכון האשראי הגבוה הגלום בהם. בקביעת שיעור ריבית זה התאגיד הבנקאי נעזר בין היתר גם משיעור הריבית הגבוה ביותר המשמש את התאגיד הבנקאי בעסקאותיו במועד הדיווח. </w:t>
            </w:r>
          </w:p>
          <w:p w14:paraId="574FF1BA" w14:textId="4CB9C362" w:rsidR="00515673" w:rsidRPr="00182DB6" w:rsidRDefault="005E6ED1" w:rsidP="009A667C">
            <w:pPr>
              <w:pStyle w:val="-10"/>
              <w:spacing w:after="0" w:line="240" w:lineRule="auto"/>
              <w:rPr>
                <w:sz w:val="19"/>
                <w:szCs w:val="19"/>
                <w:rtl/>
              </w:rPr>
            </w:pPr>
            <w:r w:rsidRPr="00182DB6">
              <w:rPr>
                <w:sz w:val="19"/>
                <w:szCs w:val="19"/>
                <w:rtl/>
              </w:rPr>
              <w:t>תזרימי המזומנים העתידיים עבור חובות בעייתיים וחובות אחרים חושבו לאחר ניכוי השפעות של מחיקות חשבונאיות ושל הפרשות להפסדי אשראי בגין החובות.</w:t>
            </w:r>
          </w:p>
        </w:tc>
      </w:tr>
      <w:tr w:rsidR="00703ADB" w:rsidRPr="007363C7" w14:paraId="05DFC1BF" w14:textId="77777777" w:rsidTr="008601FB">
        <w:tblPrEx>
          <w:jc w:val="right"/>
          <w:tblLook w:val="0000" w:firstRow="0" w:lastRow="0" w:firstColumn="0" w:lastColumn="0" w:noHBand="0" w:noVBand="0"/>
        </w:tblPrEx>
        <w:trPr>
          <w:trHeight w:val="245"/>
          <w:jc w:val="right"/>
        </w:trPr>
        <w:tc>
          <w:tcPr>
            <w:tcW w:w="993" w:type="dxa"/>
          </w:tcPr>
          <w:p w14:paraId="0EEBC5BE" w14:textId="77777777" w:rsidR="00703ADB" w:rsidRDefault="00703ADB" w:rsidP="003E1AB1">
            <w:pPr>
              <w:pStyle w:val="-7"/>
              <w:rPr>
                <w:rtl/>
              </w:rPr>
            </w:pPr>
          </w:p>
          <w:p w14:paraId="060DB94F" w14:textId="77777777" w:rsidR="00FF19D8" w:rsidRDefault="00FF19D8" w:rsidP="003E1AB1">
            <w:pPr>
              <w:pStyle w:val="-7"/>
              <w:rPr>
                <w:rtl/>
              </w:rPr>
            </w:pPr>
          </w:p>
          <w:p w14:paraId="578AB06A" w14:textId="3D08B19F" w:rsidR="00FF19D8" w:rsidRPr="00887F19" w:rsidRDefault="00FF19D8" w:rsidP="003E1AB1">
            <w:pPr>
              <w:pStyle w:val="-7"/>
              <w:rPr>
                <w:rtl/>
              </w:rPr>
            </w:pPr>
          </w:p>
        </w:tc>
        <w:tc>
          <w:tcPr>
            <w:tcW w:w="425" w:type="dxa"/>
          </w:tcPr>
          <w:p w14:paraId="7E9EAC7E" w14:textId="77777777" w:rsidR="00703ADB" w:rsidRPr="00887F19" w:rsidRDefault="00703ADB" w:rsidP="003E1AB1">
            <w:pPr>
              <w:pStyle w:val="-f4"/>
              <w:jc w:val="left"/>
              <w:rPr>
                <w:rtl/>
              </w:rPr>
            </w:pPr>
          </w:p>
        </w:tc>
        <w:tc>
          <w:tcPr>
            <w:tcW w:w="8789" w:type="dxa"/>
          </w:tcPr>
          <w:p w14:paraId="7EB1F6E6" w14:textId="2F449633" w:rsidR="009A667C" w:rsidRPr="00182DB6" w:rsidRDefault="009A667C" w:rsidP="009A667C">
            <w:pPr>
              <w:pStyle w:val="-10"/>
              <w:spacing w:before="120"/>
              <w:rPr>
                <w:sz w:val="19"/>
                <w:szCs w:val="19"/>
                <w:u w:val="single"/>
                <w:rtl/>
              </w:rPr>
            </w:pPr>
            <w:r w:rsidRPr="00182DB6">
              <w:rPr>
                <w:sz w:val="19"/>
                <w:szCs w:val="19"/>
                <w:u w:val="single"/>
                <w:rtl/>
              </w:rPr>
              <w:t xml:space="preserve">פיקדונות, איגרות חוב וכתבי התחייבות </w:t>
            </w:r>
            <w:r w:rsidRPr="00182DB6">
              <w:rPr>
                <w:rFonts w:hint="cs"/>
                <w:sz w:val="19"/>
                <w:szCs w:val="19"/>
                <w:rtl/>
              </w:rPr>
              <w:t>-</w:t>
            </w:r>
            <w:r w:rsidRPr="00182DB6">
              <w:rPr>
                <w:sz w:val="19"/>
                <w:szCs w:val="19"/>
                <w:u w:val="single"/>
                <w:rtl/>
              </w:rPr>
              <w:t xml:space="preserve"> </w:t>
            </w:r>
          </w:p>
          <w:p w14:paraId="159B6789" w14:textId="1254A5A6" w:rsidR="00703ADB" w:rsidRPr="00182DB6" w:rsidRDefault="009A667C" w:rsidP="003E1AB1">
            <w:pPr>
              <w:pStyle w:val="-10"/>
              <w:rPr>
                <w:sz w:val="19"/>
                <w:szCs w:val="19"/>
                <w:highlight w:val="yellow"/>
                <w:rtl/>
              </w:rPr>
            </w:pPr>
            <w:r w:rsidRPr="00182DB6">
              <w:rPr>
                <w:sz w:val="19"/>
                <w:szCs w:val="19"/>
                <w:rtl/>
              </w:rPr>
              <w:t xml:space="preserve">בשיטת היוון תזרימי מזומן עתידיים לפי שיעור ריבית מתאים. בדרך כלל, בקביעת שיעור הריבית המתאים, הבנק נעזר בין היתר גם בשיעור הריבית בו הבנק מגייס פיקדונות דומים, או בהנפקת איגרות חוב וכתבי התחייבות דומים </w:t>
            </w:r>
            <w:r w:rsidRPr="00182DB6">
              <w:rPr>
                <w:rFonts w:hint="cs"/>
                <w:sz w:val="19"/>
                <w:szCs w:val="19"/>
                <w:rtl/>
              </w:rPr>
              <w:t>(</w:t>
            </w:r>
            <w:r w:rsidRPr="00182DB6">
              <w:rPr>
                <w:sz w:val="19"/>
                <w:szCs w:val="19"/>
                <w:rtl/>
              </w:rPr>
              <w:t>אם מחיר מצוטט בשוק פעיל אינו זמין</w:t>
            </w:r>
            <w:r w:rsidRPr="00182DB6">
              <w:rPr>
                <w:rFonts w:hint="cs"/>
                <w:sz w:val="19"/>
                <w:szCs w:val="19"/>
                <w:rtl/>
              </w:rPr>
              <w:t>)</w:t>
            </w:r>
            <w:r w:rsidRPr="00182DB6">
              <w:rPr>
                <w:sz w:val="19"/>
                <w:szCs w:val="19"/>
                <w:rtl/>
              </w:rPr>
              <w:t>, על ידי הבנק, ביום הדיווח. לגבי איגרות חוב וכתבי התחייבות נדחים אשר נסחרים כנכס בשוק פעיל, השווי ההוגן מבוסס על מחירי שוק מצוטטים או על ציטוטי סוחרים עבור התחייבות זהה הנסחרת כנכס בשוק פעיל.</w:t>
            </w:r>
          </w:p>
        </w:tc>
      </w:tr>
      <w:tr w:rsidR="00703ADB" w:rsidRPr="007363C7" w14:paraId="164197D2" w14:textId="77777777" w:rsidTr="008601FB">
        <w:tblPrEx>
          <w:jc w:val="right"/>
          <w:tblLook w:val="0000" w:firstRow="0" w:lastRow="0" w:firstColumn="0" w:lastColumn="0" w:noHBand="0" w:noVBand="0"/>
        </w:tblPrEx>
        <w:trPr>
          <w:trHeight w:val="245"/>
          <w:jc w:val="right"/>
        </w:trPr>
        <w:tc>
          <w:tcPr>
            <w:tcW w:w="993" w:type="dxa"/>
          </w:tcPr>
          <w:p w14:paraId="697E56F9" w14:textId="77777777" w:rsidR="00703ADB" w:rsidRPr="00887F19" w:rsidRDefault="00703ADB" w:rsidP="003E1AB1">
            <w:pPr>
              <w:pStyle w:val="-7"/>
              <w:rPr>
                <w:rtl/>
              </w:rPr>
            </w:pPr>
          </w:p>
        </w:tc>
        <w:tc>
          <w:tcPr>
            <w:tcW w:w="425" w:type="dxa"/>
          </w:tcPr>
          <w:p w14:paraId="2EDB788F" w14:textId="77777777" w:rsidR="00703ADB" w:rsidRPr="00887F19" w:rsidRDefault="00703ADB" w:rsidP="003E1AB1">
            <w:pPr>
              <w:pStyle w:val="-f4"/>
              <w:jc w:val="left"/>
              <w:rPr>
                <w:rtl/>
              </w:rPr>
            </w:pPr>
          </w:p>
        </w:tc>
        <w:tc>
          <w:tcPr>
            <w:tcW w:w="8789" w:type="dxa"/>
            <w:vAlign w:val="bottom"/>
          </w:tcPr>
          <w:p w14:paraId="34ACC138" w14:textId="77777777" w:rsidR="00703ADB" w:rsidRPr="00182DB6" w:rsidRDefault="00703ADB" w:rsidP="00182DB6">
            <w:pPr>
              <w:pStyle w:val="-10"/>
              <w:spacing w:line="240" w:lineRule="auto"/>
              <w:rPr>
                <w:sz w:val="19"/>
                <w:szCs w:val="19"/>
                <w:u w:val="single"/>
                <w:rtl/>
              </w:rPr>
            </w:pPr>
            <w:r w:rsidRPr="00182DB6">
              <w:rPr>
                <w:sz w:val="19"/>
                <w:szCs w:val="19"/>
                <w:u w:val="single"/>
                <w:rtl/>
              </w:rPr>
              <w:t>מכשירים פיננסיים נגזרים</w:t>
            </w:r>
            <w:r w:rsidRPr="00182DB6">
              <w:rPr>
                <w:rFonts w:hint="cs"/>
                <w:sz w:val="19"/>
                <w:szCs w:val="19"/>
                <w:rtl/>
              </w:rPr>
              <w:t xml:space="preserve"> -</w:t>
            </w:r>
          </w:p>
          <w:p w14:paraId="627D4ED1" w14:textId="02C529A4" w:rsidR="00703ADB" w:rsidRPr="00182DB6" w:rsidRDefault="00703ADB" w:rsidP="00182DB6">
            <w:pPr>
              <w:pStyle w:val="-10"/>
              <w:spacing w:line="240" w:lineRule="auto"/>
              <w:rPr>
                <w:sz w:val="19"/>
                <w:szCs w:val="19"/>
                <w:rtl/>
              </w:rPr>
            </w:pPr>
            <w:r w:rsidRPr="00182DB6">
              <w:rPr>
                <w:sz w:val="19"/>
                <w:szCs w:val="19"/>
                <w:rtl/>
              </w:rPr>
              <w:t xml:space="preserve">מכשירים פיננסיים נגזרים שיש להם שוק פעיל </w:t>
            </w:r>
            <w:r w:rsidR="009A667C" w:rsidRPr="00182DB6">
              <w:rPr>
                <w:rFonts w:hint="cs"/>
                <w:sz w:val="19"/>
                <w:szCs w:val="19"/>
                <w:rtl/>
              </w:rPr>
              <w:t>הוערכו</w:t>
            </w:r>
            <w:r w:rsidRPr="00182DB6">
              <w:rPr>
                <w:sz w:val="19"/>
                <w:szCs w:val="19"/>
                <w:rtl/>
              </w:rPr>
              <w:t xml:space="preserve"> לפי שווי שוק</w:t>
            </w:r>
            <w:r w:rsidRPr="00182DB6">
              <w:rPr>
                <w:rFonts w:hint="cs"/>
                <w:sz w:val="19"/>
                <w:szCs w:val="19"/>
                <w:rtl/>
              </w:rPr>
              <w:t xml:space="preserve"> </w:t>
            </w:r>
            <w:r w:rsidRPr="00182DB6">
              <w:rPr>
                <w:sz w:val="19"/>
                <w:szCs w:val="19"/>
                <w:rtl/>
              </w:rPr>
              <w:t xml:space="preserve">וכאשר קיימים מספר שווקים בהם נסחר המכשיר, </w:t>
            </w:r>
            <w:r w:rsidRPr="00182DB6">
              <w:rPr>
                <w:rFonts w:hint="cs"/>
                <w:sz w:val="19"/>
                <w:szCs w:val="19"/>
                <w:rtl/>
              </w:rPr>
              <w:t>ה</w:t>
            </w:r>
            <w:r w:rsidR="009A667C" w:rsidRPr="00182DB6">
              <w:rPr>
                <w:rFonts w:hint="cs"/>
                <w:sz w:val="19"/>
                <w:szCs w:val="19"/>
                <w:rtl/>
              </w:rPr>
              <w:t>הערכה</w:t>
            </w:r>
            <w:r w:rsidRPr="00182DB6">
              <w:rPr>
                <w:sz w:val="19"/>
                <w:szCs w:val="19"/>
                <w:rtl/>
              </w:rPr>
              <w:t xml:space="preserve"> נעשתה לפי השוק הפעיל ביותר.</w:t>
            </w:r>
          </w:p>
          <w:p w14:paraId="7C45A115" w14:textId="77777777" w:rsidR="00703ADB" w:rsidRPr="00182DB6" w:rsidRDefault="00FF19D8" w:rsidP="00182DB6">
            <w:pPr>
              <w:pStyle w:val="-10"/>
              <w:spacing w:line="240" w:lineRule="auto"/>
              <w:rPr>
                <w:b/>
                <w:bCs/>
                <w:sz w:val="19"/>
                <w:szCs w:val="19"/>
                <w:highlight w:val="yellow"/>
                <w:rtl/>
              </w:rPr>
            </w:pPr>
            <w:r w:rsidRPr="00182DB6">
              <w:rPr>
                <w:rFonts w:hint="cs"/>
                <w:sz w:val="19"/>
                <w:szCs w:val="19"/>
                <w:rtl/>
              </w:rPr>
              <w:t>מכשירים</w:t>
            </w:r>
            <w:r w:rsidRPr="00182DB6">
              <w:rPr>
                <w:sz w:val="19"/>
                <w:szCs w:val="19"/>
                <w:rtl/>
              </w:rPr>
              <w:t xml:space="preserve"> </w:t>
            </w:r>
            <w:r w:rsidRPr="00182DB6">
              <w:rPr>
                <w:rFonts w:hint="cs"/>
                <w:sz w:val="19"/>
                <w:szCs w:val="19"/>
                <w:rtl/>
              </w:rPr>
              <w:t xml:space="preserve">פיננסיים נגזרים </w:t>
            </w:r>
            <w:r w:rsidR="00703ADB" w:rsidRPr="00182DB6">
              <w:rPr>
                <w:sz w:val="19"/>
                <w:szCs w:val="19"/>
                <w:rtl/>
              </w:rPr>
              <w:t xml:space="preserve">שאינם נסחרים בשוק פעיל </w:t>
            </w:r>
            <w:r w:rsidRPr="00182DB6">
              <w:rPr>
                <w:rFonts w:hint="cs"/>
                <w:sz w:val="19"/>
                <w:szCs w:val="19"/>
                <w:rtl/>
              </w:rPr>
              <w:t>הוערכו</w:t>
            </w:r>
            <w:r w:rsidR="00703ADB" w:rsidRPr="00182DB6">
              <w:rPr>
                <w:rFonts w:hint="cs"/>
                <w:sz w:val="19"/>
                <w:szCs w:val="19"/>
                <w:rtl/>
              </w:rPr>
              <w:t xml:space="preserve"> </w:t>
            </w:r>
            <w:r w:rsidR="00703ADB" w:rsidRPr="00182DB6">
              <w:rPr>
                <w:sz w:val="19"/>
                <w:szCs w:val="19"/>
                <w:rtl/>
              </w:rPr>
              <w:t xml:space="preserve">לפי מודלים המשמשים את </w:t>
            </w:r>
            <w:r w:rsidR="00703ADB" w:rsidRPr="00182DB6">
              <w:rPr>
                <w:rFonts w:hint="cs"/>
                <w:sz w:val="19"/>
                <w:szCs w:val="19"/>
                <w:rtl/>
              </w:rPr>
              <w:t>התאגיד הבנקאי</w:t>
            </w:r>
            <w:r w:rsidR="00703ADB" w:rsidRPr="00182DB6">
              <w:rPr>
                <w:sz w:val="19"/>
                <w:szCs w:val="19"/>
                <w:rtl/>
              </w:rPr>
              <w:t xml:space="preserve"> בפעילותו השוטפת והלוקחים בחשבון את הסיכונים הגלומים במכשיר הפיננסי</w:t>
            </w:r>
            <w:r w:rsidR="00703ADB" w:rsidRPr="00182DB6">
              <w:rPr>
                <w:rFonts w:hint="cs"/>
                <w:sz w:val="19"/>
                <w:szCs w:val="19"/>
                <w:rtl/>
              </w:rPr>
              <w:t xml:space="preserve"> (כגון </w:t>
            </w:r>
            <w:r w:rsidR="00703ADB" w:rsidRPr="00182DB6">
              <w:rPr>
                <w:sz w:val="19"/>
                <w:szCs w:val="19"/>
                <w:rtl/>
              </w:rPr>
              <w:t>סיכון שוק, סיכון אשראי וכיו</w:t>
            </w:r>
            <w:r w:rsidR="00703ADB" w:rsidRPr="00182DB6">
              <w:rPr>
                <w:rFonts w:hint="cs"/>
                <w:sz w:val="19"/>
                <w:szCs w:val="19"/>
                <w:rtl/>
              </w:rPr>
              <w:t>צא בזה</w:t>
            </w:r>
            <w:r w:rsidR="00703ADB" w:rsidRPr="00182DB6">
              <w:rPr>
                <w:sz w:val="19"/>
                <w:szCs w:val="19"/>
                <w:rtl/>
              </w:rPr>
              <w:t>).</w:t>
            </w:r>
            <w:r w:rsidR="00703ADB" w:rsidRPr="00182DB6">
              <w:rPr>
                <w:rFonts w:hint="cs"/>
                <w:sz w:val="19"/>
                <w:szCs w:val="19"/>
                <w:rtl/>
              </w:rPr>
              <w:t xml:space="preserve"> </w:t>
            </w:r>
          </w:p>
        </w:tc>
      </w:tr>
      <w:tr w:rsidR="00703ADB" w:rsidRPr="007363C7" w14:paraId="374E88BB" w14:textId="77777777" w:rsidTr="008601FB">
        <w:tblPrEx>
          <w:jc w:val="right"/>
          <w:tblLook w:val="0000" w:firstRow="0" w:lastRow="0" w:firstColumn="0" w:lastColumn="0" w:noHBand="0" w:noVBand="0"/>
        </w:tblPrEx>
        <w:trPr>
          <w:trHeight w:val="245"/>
          <w:jc w:val="right"/>
        </w:trPr>
        <w:tc>
          <w:tcPr>
            <w:tcW w:w="993" w:type="dxa"/>
          </w:tcPr>
          <w:p w14:paraId="6D6A0A0F" w14:textId="77777777" w:rsidR="00703ADB" w:rsidRPr="00C4135B" w:rsidRDefault="00703ADB" w:rsidP="003E1AB1">
            <w:pPr>
              <w:pStyle w:val="-7"/>
              <w:rPr>
                <w:rtl/>
              </w:rPr>
            </w:pPr>
          </w:p>
        </w:tc>
        <w:tc>
          <w:tcPr>
            <w:tcW w:w="425" w:type="dxa"/>
          </w:tcPr>
          <w:p w14:paraId="1810D930" w14:textId="77777777" w:rsidR="00703ADB" w:rsidRPr="00887F19" w:rsidRDefault="00703ADB" w:rsidP="003E1AB1">
            <w:pPr>
              <w:pStyle w:val="-f4"/>
              <w:jc w:val="left"/>
              <w:rPr>
                <w:rtl/>
              </w:rPr>
            </w:pPr>
          </w:p>
        </w:tc>
        <w:tc>
          <w:tcPr>
            <w:tcW w:w="8789" w:type="dxa"/>
          </w:tcPr>
          <w:p w14:paraId="5968C41A" w14:textId="77777777" w:rsidR="00703ADB" w:rsidRPr="00182DB6" w:rsidRDefault="00703ADB" w:rsidP="00182DB6">
            <w:pPr>
              <w:pStyle w:val="-10"/>
              <w:spacing w:line="240" w:lineRule="auto"/>
              <w:rPr>
                <w:sz w:val="19"/>
                <w:szCs w:val="19"/>
                <w:rtl/>
              </w:rPr>
            </w:pPr>
            <w:r w:rsidRPr="00182DB6">
              <w:rPr>
                <w:sz w:val="19"/>
                <w:szCs w:val="19"/>
                <w:u w:val="single"/>
                <w:rtl/>
              </w:rPr>
              <w:t>מכשירים פיננסיים חוץ מאזניים בהם היתרה מייצגת סיכון אשראי וכן התחייבויות תלויות והתקשרויות מיוחדות</w:t>
            </w:r>
            <w:r w:rsidRPr="00182DB6">
              <w:rPr>
                <w:rFonts w:hint="cs"/>
                <w:sz w:val="19"/>
                <w:szCs w:val="19"/>
                <w:rtl/>
              </w:rPr>
              <w:t xml:space="preserve"> -</w:t>
            </w:r>
          </w:p>
          <w:p w14:paraId="23380618" w14:textId="77777777" w:rsidR="00703ADB" w:rsidRPr="00182DB6" w:rsidRDefault="00703ADB" w:rsidP="00182DB6">
            <w:pPr>
              <w:pStyle w:val="-10"/>
              <w:spacing w:line="240" w:lineRule="auto"/>
              <w:rPr>
                <w:sz w:val="19"/>
                <w:szCs w:val="19"/>
                <w:highlight w:val="yellow"/>
                <w:rtl/>
              </w:rPr>
            </w:pPr>
            <w:r w:rsidRPr="00182DB6">
              <w:rPr>
                <w:sz w:val="19"/>
                <w:szCs w:val="19"/>
                <w:rtl/>
              </w:rPr>
              <w:t>השווי ההוגן הוערך בהתאם לעמלות בעסקאות דומות במועד הדיווח תוך התאמה ליתרת תקופת העסקה ולאיכות האשראי של הצד הנגדי.</w:t>
            </w:r>
            <w:r w:rsidRPr="00182DB6">
              <w:rPr>
                <w:rFonts w:hint="cs"/>
                <w:sz w:val="19"/>
                <w:szCs w:val="19"/>
                <w:rtl/>
              </w:rPr>
              <w:t xml:space="preserve"> </w:t>
            </w:r>
            <w:r w:rsidRPr="00182DB6">
              <w:rPr>
                <w:sz w:val="19"/>
                <w:szCs w:val="19"/>
                <w:rtl/>
              </w:rPr>
              <w:t>הערכת השווי ההוגן של "התחייבויות בלתי חוזרות לתת אשראי שאושר ועדיין לא ניתן" כללה התייחסות להפרש בין הריבית שנקבעה בהסכם לבין הריבית בעסקאות דומות במועד הדיווח.</w:t>
            </w:r>
          </w:p>
        </w:tc>
      </w:tr>
    </w:tbl>
    <w:p w14:paraId="631BB689" w14:textId="77777777" w:rsidR="00462028" w:rsidRDefault="00462028" w:rsidP="00703ADB">
      <w:pPr>
        <w:pStyle w:val="-2"/>
        <w:ind w:left="1584"/>
        <w:rPr>
          <w:rtl/>
        </w:rPr>
      </w:pPr>
    </w:p>
    <w:p w14:paraId="39369531" w14:textId="77777777" w:rsidR="00ED5482" w:rsidRDefault="00ED5482">
      <w:pPr>
        <w:bidi w:val="0"/>
        <w:jc w:val="left"/>
        <w:sectPr w:rsidR="00ED5482" w:rsidSect="00587121">
          <w:footnotePr>
            <w:numRestart w:val="eachPage"/>
          </w:footnotePr>
          <w:pgSz w:w="11909" w:h="16834" w:code="9"/>
          <w:pgMar w:top="851" w:right="851" w:bottom="851" w:left="851" w:header="720" w:footer="720" w:gutter="0"/>
          <w:cols w:space="720"/>
          <w:bidi/>
          <w:rtlGutter/>
          <w:docGrid w:linePitch="360"/>
        </w:sectPr>
      </w:pPr>
    </w:p>
    <w:p w14:paraId="0C1B7F37" w14:textId="77777777" w:rsidR="00520A07" w:rsidRPr="00AE5815" w:rsidRDefault="00520A07" w:rsidP="008601FB">
      <w:pPr>
        <w:pStyle w:val="5"/>
        <w:ind w:firstLine="1135"/>
        <w:rPr>
          <w:sz w:val="19"/>
          <w:szCs w:val="19"/>
        </w:rPr>
      </w:pPr>
      <w:bookmarkStart w:id="56" w:name="_Toc160529235"/>
      <w:r w:rsidRPr="00AE5815">
        <w:rPr>
          <w:rFonts w:eastAsia="Arial Unicode MS"/>
          <w:sz w:val="19"/>
          <w:szCs w:val="19"/>
          <w:rtl/>
        </w:rPr>
        <w:lastRenderedPageBreak/>
        <w:t xml:space="preserve">ביאור </w:t>
      </w:r>
      <w:r w:rsidRPr="00AE5815">
        <w:rPr>
          <w:rFonts w:eastAsia="Arial Unicode MS" w:hint="cs"/>
          <w:sz w:val="19"/>
          <w:szCs w:val="19"/>
          <w:rtl/>
        </w:rPr>
        <w:t>1</w:t>
      </w:r>
      <w:r w:rsidR="005B7C3D" w:rsidRPr="00AE5815">
        <w:rPr>
          <w:rFonts w:eastAsia="Arial Unicode MS" w:hint="cs"/>
          <w:sz w:val="19"/>
          <w:szCs w:val="19"/>
          <w:rtl/>
        </w:rPr>
        <w:t>4</w:t>
      </w:r>
      <w:r w:rsidRPr="00AE5815">
        <w:rPr>
          <w:rFonts w:eastAsia="Arial Unicode MS" w:hint="cs"/>
          <w:sz w:val="19"/>
          <w:szCs w:val="19"/>
          <w:rtl/>
        </w:rPr>
        <w:t>ב</w:t>
      </w:r>
      <w:r w:rsidR="0098104B" w:rsidRPr="00AE5815">
        <w:rPr>
          <w:rFonts w:eastAsia="Arial Unicode MS" w:hint="cs"/>
          <w:sz w:val="19"/>
          <w:szCs w:val="19"/>
          <w:rtl/>
        </w:rPr>
        <w:t xml:space="preserve"> </w:t>
      </w:r>
      <w:r w:rsidRPr="00AE5815">
        <w:rPr>
          <w:rFonts w:eastAsia="Arial Unicode MS"/>
          <w:sz w:val="19"/>
          <w:szCs w:val="19"/>
          <w:rtl/>
        </w:rPr>
        <w:t>-</w:t>
      </w:r>
      <w:r w:rsidRPr="00AE5815">
        <w:rPr>
          <w:rFonts w:eastAsia="Arial Unicode MS" w:hint="cs"/>
          <w:sz w:val="19"/>
          <w:szCs w:val="19"/>
          <w:rtl/>
        </w:rPr>
        <w:t xml:space="preserve"> </w:t>
      </w:r>
      <w:r w:rsidRPr="00AE5815">
        <w:rPr>
          <w:rFonts w:hint="cs"/>
          <w:sz w:val="19"/>
          <w:szCs w:val="19"/>
          <w:rtl/>
        </w:rPr>
        <w:t>פריטים הנמדדים בשווי הוגן (במאוחד)</w:t>
      </w:r>
      <w:bookmarkEnd w:id="56"/>
    </w:p>
    <w:tbl>
      <w:tblPr>
        <w:bidiVisual/>
        <w:tblW w:w="5000" w:type="pct"/>
        <w:jc w:val="right"/>
        <w:tblLook w:val="0000" w:firstRow="0" w:lastRow="0" w:firstColumn="0" w:lastColumn="0" w:noHBand="0" w:noVBand="0"/>
      </w:tblPr>
      <w:tblGrid>
        <w:gridCol w:w="1134"/>
        <w:gridCol w:w="425"/>
        <w:gridCol w:w="8648"/>
      </w:tblGrid>
      <w:tr w:rsidR="00AF7D83" w:rsidRPr="007363C7" w14:paraId="620F7AAB" w14:textId="77777777" w:rsidTr="00C810A5">
        <w:trPr>
          <w:trHeight w:val="245"/>
          <w:jc w:val="right"/>
        </w:trPr>
        <w:tc>
          <w:tcPr>
            <w:tcW w:w="1134" w:type="dxa"/>
          </w:tcPr>
          <w:p w14:paraId="15EC11E9" w14:textId="77777777" w:rsidR="00F32A2A" w:rsidRDefault="00E35C36">
            <w:pPr>
              <w:pStyle w:val="-7"/>
              <w:spacing w:before="60" w:line="240" w:lineRule="auto"/>
              <w:jc w:val="left"/>
              <w:rPr>
                <w:sz w:val="14"/>
                <w:szCs w:val="14"/>
                <w:rtl/>
              </w:rPr>
            </w:pPr>
            <w:r w:rsidRPr="00F15C23">
              <w:rPr>
                <w:rFonts w:hint="cs"/>
                <w:sz w:val="14"/>
                <w:szCs w:val="14"/>
                <w:rtl/>
              </w:rPr>
              <w:t xml:space="preserve">מתכונת ביאור </w:t>
            </w:r>
          </w:p>
          <w:p w14:paraId="1C77E293" w14:textId="77777777" w:rsidR="00F32A2A" w:rsidRDefault="00E35C36">
            <w:pPr>
              <w:pStyle w:val="-7"/>
              <w:spacing w:after="60" w:line="240" w:lineRule="auto"/>
              <w:rPr>
                <w:rtl/>
              </w:rPr>
            </w:pPr>
            <w:r w:rsidRPr="00F15C23">
              <w:rPr>
                <w:rFonts w:hint="cs"/>
                <w:sz w:val="14"/>
                <w:szCs w:val="14"/>
                <w:rtl/>
              </w:rPr>
              <w:t xml:space="preserve">עמ' </w:t>
            </w:r>
            <w:r>
              <w:rPr>
                <w:rFonts w:hint="cs"/>
                <w:sz w:val="14"/>
                <w:szCs w:val="14"/>
                <w:rtl/>
              </w:rPr>
              <w:t>663</w:t>
            </w:r>
            <w:r w:rsidRPr="00F15C23">
              <w:rPr>
                <w:rFonts w:hint="cs"/>
                <w:sz w:val="14"/>
                <w:szCs w:val="14"/>
                <w:rtl/>
              </w:rPr>
              <w:t>-</w:t>
            </w:r>
            <w:r>
              <w:rPr>
                <w:rFonts w:hint="cs"/>
                <w:sz w:val="14"/>
                <w:szCs w:val="14"/>
                <w:rtl/>
              </w:rPr>
              <w:t>58</w:t>
            </w:r>
          </w:p>
        </w:tc>
        <w:tc>
          <w:tcPr>
            <w:tcW w:w="425" w:type="dxa"/>
          </w:tcPr>
          <w:p w14:paraId="3E3BED74" w14:textId="77777777" w:rsidR="00AF7D83" w:rsidRPr="00AE5815" w:rsidRDefault="00AF7D83" w:rsidP="00663154">
            <w:pPr>
              <w:pStyle w:val="-f4"/>
              <w:spacing w:line="240" w:lineRule="auto"/>
              <w:jc w:val="left"/>
              <w:rPr>
                <w:sz w:val="19"/>
                <w:szCs w:val="19"/>
                <w:rtl/>
              </w:rPr>
            </w:pPr>
            <w:r w:rsidRPr="00AE5815">
              <w:rPr>
                <w:rFonts w:hint="cs"/>
                <w:sz w:val="19"/>
                <w:szCs w:val="19"/>
                <w:rtl/>
              </w:rPr>
              <w:t xml:space="preserve">א. </w:t>
            </w:r>
          </w:p>
        </w:tc>
        <w:tc>
          <w:tcPr>
            <w:tcW w:w="8650" w:type="dxa"/>
          </w:tcPr>
          <w:p w14:paraId="1C1162FE" w14:textId="5549F2FE" w:rsidR="00AF7D83" w:rsidRPr="00AE5815" w:rsidRDefault="00AF7D83" w:rsidP="00403DF7">
            <w:pPr>
              <w:pStyle w:val="-f4"/>
              <w:spacing w:line="240" w:lineRule="auto"/>
              <w:jc w:val="left"/>
              <w:rPr>
                <w:sz w:val="19"/>
                <w:szCs w:val="19"/>
                <w:rtl/>
              </w:rPr>
            </w:pPr>
            <w:r w:rsidRPr="00AE5815">
              <w:rPr>
                <w:rFonts w:hint="cs"/>
                <w:sz w:val="19"/>
                <w:szCs w:val="19"/>
                <w:rtl/>
              </w:rPr>
              <w:t>פריטים הנמדדים בשווי הוגן על בסיס חוזר ונשנה:</w:t>
            </w:r>
          </w:p>
        </w:tc>
      </w:tr>
    </w:tbl>
    <w:p w14:paraId="06E1EE82" w14:textId="77777777" w:rsidR="00AF7D83" w:rsidRPr="00613D36" w:rsidRDefault="00AF7D83" w:rsidP="00AF7D83">
      <w:pPr>
        <w:rPr>
          <w:sz w:val="2"/>
          <w:szCs w:val="2"/>
          <w:rtl/>
        </w:rPr>
      </w:pPr>
    </w:p>
    <w:tbl>
      <w:tblPr>
        <w:bidiVisual/>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3254"/>
        <w:gridCol w:w="851"/>
        <w:gridCol w:w="992"/>
        <w:gridCol w:w="992"/>
        <w:gridCol w:w="851"/>
        <w:gridCol w:w="850"/>
        <w:gridCol w:w="855"/>
      </w:tblGrid>
      <w:tr w:rsidR="00A25229" w:rsidRPr="00AE5815" w14:paraId="72D4C2AD" w14:textId="77777777" w:rsidTr="00320C27">
        <w:trPr>
          <w:trHeight w:val="259"/>
        </w:trPr>
        <w:tc>
          <w:tcPr>
            <w:tcW w:w="1713" w:type="dxa"/>
            <w:tcBorders>
              <w:top w:val="nil"/>
              <w:left w:val="nil"/>
              <w:bottom w:val="nil"/>
              <w:right w:val="nil"/>
            </w:tcBorders>
          </w:tcPr>
          <w:p w14:paraId="2487926C" w14:textId="152EA379" w:rsidR="00A25229" w:rsidRPr="00AE5815" w:rsidRDefault="00A25229" w:rsidP="00AF7D83">
            <w:pPr>
              <w:pStyle w:val="-fa"/>
              <w:rPr>
                <w:sz w:val="16"/>
                <w:szCs w:val="16"/>
                <w:rtl/>
              </w:rPr>
            </w:pPr>
          </w:p>
        </w:tc>
        <w:tc>
          <w:tcPr>
            <w:tcW w:w="3254" w:type="dxa"/>
            <w:tcBorders>
              <w:top w:val="nil"/>
              <w:left w:val="nil"/>
              <w:bottom w:val="nil"/>
              <w:right w:val="nil"/>
            </w:tcBorders>
            <w:shd w:val="clear" w:color="auto" w:fill="auto"/>
            <w:vAlign w:val="bottom"/>
          </w:tcPr>
          <w:p w14:paraId="741CD4E1" w14:textId="77777777" w:rsidR="00A25229" w:rsidRPr="00AE5815" w:rsidRDefault="00A25229" w:rsidP="00AF7D83">
            <w:pPr>
              <w:pStyle w:val="-7"/>
              <w:rPr>
                <w:sz w:val="16"/>
                <w:szCs w:val="16"/>
                <w:rtl/>
              </w:rPr>
            </w:pPr>
          </w:p>
        </w:tc>
        <w:tc>
          <w:tcPr>
            <w:tcW w:w="5391" w:type="dxa"/>
            <w:gridSpan w:val="6"/>
            <w:tcBorders>
              <w:top w:val="nil"/>
              <w:left w:val="nil"/>
              <w:bottom w:val="nil"/>
              <w:right w:val="nil"/>
            </w:tcBorders>
            <w:vAlign w:val="bottom"/>
          </w:tcPr>
          <w:p w14:paraId="0588F968" w14:textId="76972849" w:rsidR="00A25229" w:rsidRPr="00AE5815" w:rsidRDefault="00A25229" w:rsidP="001977FC">
            <w:pPr>
              <w:pStyle w:val="-4"/>
              <w:rPr>
                <w:sz w:val="16"/>
                <w:szCs w:val="16"/>
                <w:rtl/>
              </w:rPr>
            </w:pPr>
            <w:r w:rsidRPr="00AE5815">
              <w:rPr>
                <w:rFonts w:hint="cs"/>
                <w:sz w:val="16"/>
                <w:szCs w:val="16"/>
                <w:rtl/>
              </w:rPr>
              <w:t xml:space="preserve">ליום 30 ביוני </w:t>
            </w:r>
            <w:r w:rsidRPr="00AE5815">
              <w:rPr>
                <w:sz w:val="16"/>
                <w:szCs w:val="16"/>
                <w:rtl/>
              </w:rPr>
              <w:fldChar w:fldCharType="begin"/>
            </w:r>
            <w:r w:rsidRPr="00AE5815">
              <w:rPr>
                <w:sz w:val="16"/>
                <w:szCs w:val="16"/>
                <w:rtl/>
              </w:rPr>
              <w:instrText xml:space="preserve"> </w:instrText>
            </w:r>
            <w:r w:rsidRPr="00AE5815">
              <w:rPr>
                <w:rFonts w:hint="cs"/>
                <w:sz w:val="16"/>
                <w:szCs w:val="16"/>
                <w:rtl/>
              </w:rPr>
              <w:instrText xml:space="preserve">= </w:instrText>
            </w:r>
            <w:r w:rsidRPr="00AE5815">
              <w:rPr>
                <w:rFonts w:hint="cs"/>
                <w:sz w:val="16"/>
                <w:szCs w:val="16"/>
              </w:rPr>
              <w:instrText>CY \* MERGEFORMAT</w:instrText>
            </w:r>
            <w:r w:rsidRPr="00AE5815">
              <w:rPr>
                <w:sz w:val="16"/>
                <w:szCs w:val="16"/>
                <w:rtl/>
              </w:rPr>
              <w:instrText xml:space="preserve"> </w:instrText>
            </w:r>
            <w:r w:rsidRPr="00AE5815">
              <w:rPr>
                <w:sz w:val="16"/>
                <w:szCs w:val="16"/>
                <w:rtl/>
              </w:rPr>
              <w:fldChar w:fldCharType="separate"/>
            </w:r>
            <w:r w:rsidR="003A584F" w:rsidRPr="00AE5815">
              <w:rPr>
                <w:noProof/>
                <w:sz w:val="16"/>
                <w:szCs w:val="16"/>
                <w:rtl/>
              </w:rPr>
              <w:t>2024</w:t>
            </w:r>
            <w:r w:rsidRPr="00AE5815">
              <w:rPr>
                <w:sz w:val="16"/>
                <w:szCs w:val="16"/>
                <w:rtl/>
              </w:rPr>
              <w:fldChar w:fldCharType="end"/>
            </w:r>
            <w:r w:rsidRPr="00AE5815">
              <w:rPr>
                <w:rFonts w:hint="cs"/>
                <w:sz w:val="16"/>
                <w:szCs w:val="16"/>
                <w:rtl/>
              </w:rPr>
              <w:t xml:space="preserve"> (</w:t>
            </w:r>
            <w:r w:rsidRPr="00AE5815">
              <w:rPr>
                <w:rFonts w:hint="cs"/>
                <w:b w:val="0"/>
                <w:bCs w:val="0"/>
                <w:sz w:val="16"/>
                <w:szCs w:val="16"/>
                <w:rtl/>
              </w:rPr>
              <w:t>בלתי מבוקר)</w:t>
            </w:r>
          </w:p>
        </w:tc>
      </w:tr>
      <w:tr w:rsidR="00A25229" w:rsidRPr="00AE5815" w14:paraId="6E45A90F" w14:textId="77777777" w:rsidTr="00320C27">
        <w:trPr>
          <w:trHeight w:val="259"/>
        </w:trPr>
        <w:tc>
          <w:tcPr>
            <w:tcW w:w="1713" w:type="dxa"/>
            <w:tcBorders>
              <w:top w:val="nil"/>
              <w:left w:val="nil"/>
              <w:bottom w:val="nil"/>
              <w:right w:val="nil"/>
            </w:tcBorders>
          </w:tcPr>
          <w:p w14:paraId="2263AE15" w14:textId="77777777" w:rsidR="00A25229" w:rsidRPr="00AE5815" w:rsidRDefault="00A25229" w:rsidP="00AF7D83">
            <w:pPr>
              <w:pStyle w:val="-7"/>
              <w:rPr>
                <w:sz w:val="16"/>
                <w:szCs w:val="16"/>
                <w:rtl/>
              </w:rPr>
            </w:pPr>
          </w:p>
        </w:tc>
        <w:tc>
          <w:tcPr>
            <w:tcW w:w="3254" w:type="dxa"/>
            <w:tcBorders>
              <w:top w:val="nil"/>
              <w:left w:val="nil"/>
              <w:bottom w:val="nil"/>
              <w:right w:val="nil"/>
            </w:tcBorders>
            <w:shd w:val="clear" w:color="auto" w:fill="auto"/>
            <w:vAlign w:val="bottom"/>
          </w:tcPr>
          <w:p w14:paraId="36A50F3F" w14:textId="77777777" w:rsidR="00A25229" w:rsidRPr="00AE5815" w:rsidRDefault="00A25229" w:rsidP="00AF7D83">
            <w:pPr>
              <w:pStyle w:val="-7"/>
              <w:rPr>
                <w:sz w:val="16"/>
                <w:szCs w:val="16"/>
                <w:rtl/>
              </w:rPr>
            </w:pPr>
          </w:p>
        </w:tc>
        <w:tc>
          <w:tcPr>
            <w:tcW w:w="2835" w:type="dxa"/>
            <w:gridSpan w:val="3"/>
            <w:tcBorders>
              <w:top w:val="nil"/>
              <w:left w:val="nil"/>
              <w:bottom w:val="nil"/>
              <w:right w:val="nil"/>
            </w:tcBorders>
            <w:vAlign w:val="bottom"/>
          </w:tcPr>
          <w:p w14:paraId="325A233D" w14:textId="77777777" w:rsidR="00A25229" w:rsidRPr="00AE5815" w:rsidRDefault="00A25229" w:rsidP="00AF7D83">
            <w:pPr>
              <w:pStyle w:val="-4"/>
              <w:rPr>
                <w:sz w:val="16"/>
                <w:szCs w:val="16"/>
                <w:rtl/>
              </w:rPr>
            </w:pPr>
            <w:r w:rsidRPr="00AE5815">
              <w:rPr>
                <w:rFonts w:hint="cs"/>
                <w:sz w:val="16"/>
                <w:szCs w:val="16"/>
                <w:rtl/>
              </w:rPr>
              <w:t>מדידות שווי הוגן המשתמשות ב:</w:t>
            </w:r>
          </w:p>
        </w:tc>
        <w:tc>
          <w:tcPr>
            <w:tcW w:w="851" w:type="dxa"/>
            <w:tcBorders>
              <w:top w:val="nil"/>
              <w:left w:val="nil"/>
              <w:bottom w:val="nil"/>
              <w:right w:val="nil"/>
            </w:tcBorders>
            <w:vAlign w:val="bottom"/>
          </w:tcPr>
          <w:p w14:paraId="4706B6A6" w14:textId="77777777" w:rsidR="00A25229" w:rsidRPr="00AE5815" w:rsidRDefault="00A25229" w:rsidP="00AF7D83">
            <w:pPr>
              <w:pStyle w:val="-7"/>
              <w:rPr>
                <w:sz w:val="16"/>
                <w:szCs w:val="16"/>
                <w:rtl/>
              </w:rPr>
            </w:pPr>
          </w:p>
        </w:tc>
        <w:tc>
          <w:tcPr>
            <w:tcW w:w="850" w:type="dxa"/>
            <w:tcBorders>
              <w:top w:val="nil"/>
              <w:left w:val="nil"/>
              <w:bottom w:val="nil"/>
              <w:right w:val="nil"/>
            </w:tcBorders>
            <w:vAlign w:val="bottom"/>
          </w:tcPr>
          <w:p w14:paraId="6799CFD3" w14:textId="77777777" w:rsidR="00A25229" w:rsidRPr="00AE5815" w:rsidRDefault="00A25229" w:rsidP="00AF7D83">
            <w:pPr>
              <w:pStyle w:val="-7"/>
              <w:rPr>
                <w:sz w:val="16"/>
                <w:szCs w:val="16"/>
                <w:rtl/>
              </w:rPr>
            </w:pPr>
          </w:p>
        </w:tc>
        <w:tc>
          <w:tcPr>
            <w:tcW w:w="855" w:type="dxa"/>
            <w:tcBorders>
              <w:top w:val="nil"/>
              <w:left w:val="nil"/>
              <w:bottom w:val="nil"/>
              <w:right w:val="nil"/>
            </w:tcBorders>
            <w:vAlign w:val="bottom"/>
          </w:tcPr>
          <w:p w14:paraId="12C6C379" w14:textId="77777777" w:rsidR="00A25229" w:rsidRPr="00AE5815" w:rsidRDefault="00A25229" w:rsidP="00AF7D83">
            <w:pPr>
              <w:pStyle w:val="-7"/>
              <w:rPr>
                <w:sz w:val="16"/>
                <w:szCs w:val="16"/>
                <w:rtl/>
              </w:rPr>
            </w:pPr>
          </w:p>
        </w:tc>
      </w:tr>
      <w:tr w:rsidR="00A25229" w:rsidRPr="00AE5815" w14:paraId="1E31A354" w14:textId="77777777" w:rsidTr="00320C27">
        <w:trPr>
          <w:trHeight w:val="259"/>
        </w:trPr>
        <w:tc>
          <w:tcPr>
            <w:tcW w:w="1713" w:type="dxa"/>
            <w:tcBorders>
              <w:top w:val="nil"/>
              <w:left w:val="nil"/>
              <w:bottom w:val="nil"/>
              <w:right w:val="nil"/>
            </w:tcBorders>
          </w:tcPr>
          <w:p w14:paraId="017395D2" w14:textId="394206F7" w:rsidR="00A25229" w:rsidRPr="00AE5815" w:rsidRDefault="00A25229" w:rsidP="00AF7D83">
            <w:pPr>
              <w:pStyle w:val="-fa"/>
              <w:rPr>
                <w:sz w:val="16"/>
                <w:szCs w:val="16"/>
                <w:rtl/>
              </w:rPr>
            </w:pPr>
          </w:p>
        </w:tc>
        <w:tc>
          <w:tcPr>
            <w:tcW w:w="3254" w:type="dxa"/>
            <w:tcBorders>
              <w:top w:val="nil"/>
              <w:left w:val="nil"/>
              <w:bottom w:val="nil"/>
              <w:right w:val="nil"/>
            </w:tcBorders>
            <w:shd w:val="clear" w:color="auto" w:fill="auto"/>
            <w:vAlign w:val="bottom"/>
          </w:tcPr>
          <w:p w14:paraId="2B561884" w14:textId="77777777" w:rsidR="00A25229" w:rsidRPr="00AE5815" w:rsidRDefault="00A25229" w:rsidP="00AF7D83">
            <w:pPr>
              <w:pStyle w:val="af5"/>
              <w:rPr>
                <w:sz w:val="16"/>
                <w:szCs w:val="16"/>
                <w:rtl/>
              </w:rPr>
            </w:pPr>
          </w:p>
        </w:tc>
        <w:tc>
          <w:tcPr>
            <w:tcW w:w="851" w:type="dxa"/>
            <w:tcBorders>
              <w:top w:val="nil"/>
              <w:left w:val="nil"/>
              <w:bottom w:val="nil"/>
              <w:right w:val="nil"/>
            </w:tcBorders>
            <w:vAlign w:val="bottom"/>
          </w:tcPr>
          <w:p w14:paraId="4BFA7564" w14:textId="77777777" w:rsidR="00A25229" w:rsidRPr="00AE5815" w:rsidRDefault="00A25229" w:rsidP="000D0773">
            <w:pPr>
              <w:pStyle w:val="-4"/>
              <w:pBdr>
                <w:bottom w:val="none" w:sz="0" w:space="0" w:color="auto"/>
              </w:pBdr>
              <w:spacing w:line="240" w:lineRule="auto"/>
              <w:ind w:left="-72" w:right="-72"/>
              <w:rPr>
                <w:sz w:val="16"/>
                <w:szCs w:val="16"/>
                <w:rtl/>
              </w:rPr>
            </w:pPr>
            <w:r w:rsidRPr="00AE5815">
              <w:rPr>
                <w:rFonts w:hint="cs"/>
                <w:sz w:val="16"/>
                <w:szCs w:val="16"/>
                <w:rtl/>
              </w:rPr>
              <w:t>מחירים מצוטטים בשוק פעיל</w:t>
            </w:r>
          </w:p>
          <w:p w14:paraId="627668C6" w14:textId="77777777" w:rsidR="00A25229" w:rsidRPr="00AE5815" w:rsidRDefault="00A25229">
            <w:pPr>
              <w:pStyle w:val="-4"/>
              <w:pBdr>
                <w:bottom w:val="single" w:sz="4" w:space="1" w:color="auto"/>
              </w:pBdr>
              <w:spacing w:line="240" w:lineRule="auto"/>
              <w:rPr>
                <w:sz w:val="16"/>
                <w:szCs w:val="16"/>
                <w:rtl/>
              </w:rPr>
            </w:pPr>
            <w:r w:rsidRPr="00AE5815">
              <w:rPr>
                <w:rFonts w:hint="cs"/>
                <w:sz w:val="16"/>
                <w:szCs w:val="16"/>
                <w:rtl/>
              </w:rPr>
              <w:t>(רמה 1)</w:t>
            </w:r>
          </w:p>
        </w:tc>
        <w:tc>
          <w:tcPr>
            <w:tcW w:w="992" w:type="dxa"/>
            <w:tcBorders>
              <w:top w:val="nil"/>
              <w:left w:val="nil"/>
              <w:bottom w:val="nil"/>
              <w:right w:val="nil"/>
            </w:tcBorders>
            <w:vAlign w:val="bottom"/>
          </w:tcPr>
          <w:p w14:paraId="739E5FE6" w14:textId="77777777" w:rsidR="00A25229" w:rsidRPr="00AE5815" w:rsidRDefault="00A25229" w:rsidP="000D0773">
            <w:pPr>
              <w:pStyle w:val="-4"/>
              <w:pBdr>
                <w:bottom w:val="none" w:sz="0" w:space="0" w:color="auto"/>
              </w:pBdr>
              <w:spacing w:line="240" w:lineRule="auto"/>
              <w:ind w:left="-72" w:right="-72"/>
              <w:rPr>
                <w:sz w:val="16"/>
                <w:szCs w:val="16"/>
                <w:rtl/>
              </w:rPr>
            </w:pPr>
            <w:r w:rsidRPr="00AE5815">
              <w:rPr>
                <w:rFonts w:hint="cs"/>
                <w:sz w:val="16"/>
                <w:szCs w:val="16"/>
                <w:rtl/>
              </w:rPr>
              <w:t>נתונים נצפים משמעותיים אחרים</w:t>
            </w:r>
          </w:p>
          <w:p w14:paraId="1DD1F0F2" w14:textId="77777777" w:rsidR="00A25229" w:rsidRPr="00AE5815" w:rsidRDefault="00A25229">
            <w:pPr>
              <w:pStyle w:val="-4"/>
              <w:pBdr>
                <w:bottom w:val="single" w:sz="4" w:space="1" w:color="auto"/>
              </w:pBdr>
              <w:spacing w:line="240" w:lineRule="auto"/>
              <w:rPr>
                <w:sz w:val="16"/>
                <w:szCs w:val="16"/>
                <w:rtl/>
              </w:rPr>
            </w:pPr>
            <w:r w:rsidRPr="00AE5815">
              <w:rPr>
                <w:rFonts w:hint="cs"/>
                <w:sz w:val="16"/>
                <w:szCs w:val="16"/>
                <w:rtl/>
              </w:rPr>
              <w:t>(רמה 2)</w:t>
            </w:r>
          </w:p>
        </w:tc>
        <w:tc>
          <w:tcPr>
            <w:tcW w:w="992" w:type="dxa"/>
            <w:tcBorders>
              <w:top w:val="nil"/>
              <w:left w:val="nil"/>
              <w:bottom w:val="nil"/>
              <w:right w:val="nil"/>
            </w:tcBorders>
            <w:vAlign w:val="bottom"/>
          </w:tcPr>
          <w:p w14:paraId="1A152718" w14:textId="77777777" w:rsidR="00A25229" w:rsidRPr="00AE5815" w:rsidRDefault="00A25229" w:rsidP="000D0773">
            <w:pPr>
              <w:pStyle w:val="-4"/>
              <w:pBdr>
                <w:bottom w:val="none" w:sz="0" w:space="0" w:color="auto"/>
              </w:pBdr>
              <w:spacing w:line="240" w:lineRule="auto"/>
              <w:ind w:left="-72" w:right="-72"/>
              <w:rPr>
                <w:sz w:val="16"/>
                <w:szCs w:val="16"/>
                <w:rtl/>
              </w:rPr>
            </w:pPr>
            <w:r w:rsidRPr="00AE5815">
              <w:rPr>
                <w:rFonts w:hint="cs"/>
                <w:sz w:val="16"/>
                <w:szCs w:val="16"/>
                <w:rtl/>
              </w:rPr>
              <w:t>נתונים</w:t>
            </w:r>
          </w:p>
          <w:p w14:paraId="38897985" w14:textId="77777777" w:rsidR="00A25229" w:rsidRPr="00AE5815" w:rsidRDefault="00A25229" w:rsidP="000D0773">
            <w:pPr>
              <w:pStyle w:val="-4"/>
              <w:pBdr>
                <w:bottom w:val="none" w:sz="0" w:space="0" w:color="auto"/>
              </w:pBdr>
              <w:spacing w:line="240" w:lineRule="auto"/>
              <w:ind w:left="-113" w:right="-113"/>
              <w:rPr>
                <w:sz w:val="16"/>
                <w:szCs w:val="16"/>
                <w:rtl/>
              </w:rPr>
            </w:pPr>
            <w:r w:rsidRPr="00AE5815">
              <w:rPr>
                <w:rFonts w:hint="cs"/>
                <w:sz w:val="16"/>
                <w:szCs w:val="16"/>
                <w:rtl/>
              </w:rPr>
              <w:t>לא נצפים משמעותיים</w:t>
            </w:r>
          </w:p>
          <w:p w14:paraId="0D07A6D5" w14:textId="77777777" w:rsidR="00A25229" w:rsidRPr="00AE5815" w:rsidRDefault="00A25229">
            <w:pPr>
              <w:pStyle w:val="-4"/>
              <w:pBdr>
                <w:bottom w:val="single" w:sz="4" w:space="1" w:color="auto"/>
              </w:pBdr>
              <w:spacing w:line="240" w:lineRule="auto"/>
              <w:rPr>
                <w:sz w:val="16"/>
                <w:szCs w:val="16"/>
                <w:rtl/>
              </w:rPr>
            </w:pPr>
            <w:r w:rsidRPr="00AE5815">
              <w:rPr>
                <w:rFonts w:hint="cs"/>
                <w:sz w:val="16"/>
                <w:szCs w:val="16"/>
                <w:rtl/>
              </w:rPr>
              <w:t>(רמה 3)</w:t>
            </w:r>
          </w:p>
        </w:tc>
        <w:tc>
          <w:tcPr>
            <w:tcW w:w="851" w:type="dxa"/>
            <w:tcBorders>
              <w:top w:val="nil"/>
              <w:left w:val="nil"/>
              <w:bottom w:val="nil"/>
              <w:right w:val="nil"/>
            </w:tcBorders>
            <w:vAlign w:val="bottom"/>
          </w:tcPr>
          <w:p w14:paraId="7997DFBD" w14:textId="77777777" w:rsidR="00A25229" w:rsidRPr="00AE5815" w:rsidRDefault="00A25229">
            <w:pPr>
              <w:pStyle w:val="-4"/>
              <w:pBdr>
                <w:bottom w:val="single" w:sz="4" w:space="1" w:color="auto"/>
              </w:pBdr>
              <w:spacing w:line="240" w:lineRule="auto"/>
              <w:rPr>
                <w:sz w:val="16"/>
                <w:szCs w:val="16"/>
                <w:rtl/>
              </w:rPr>
            </w:pPr>
            <w:r w:rsidRPr="00AE5815">
              <w:rPr>
                <w:rFonts w:hint="cs"/>
                <w:sz w:val="16"/>
                <w:szCs w:val="16"/>
                <w:rtl/>
              </w:rPr>
              <w:t>סך הכל שווי הוגן</w:t>
            </w:r>
          </w:p>
        </w:tc>
        <w:tc>
          <w:tcPr>
            <w:tcW w:w="850" w:type="dxa"/>
            <w:tcBorders>
              <w:top w:val="nil"/>
              <w:left w:val="nil"/>
              <w:bottom w:val="nil"/>
              <w:right w:val="nil"/>
            </w:tcBorders>
            <w:vAlign w:val="bottom"/>
          </w:tcPr>
          <w:p w14:paraId="526F55DD" w14:textId="77777777" w:rsidR="00A25229" w:rsidRPr="00AE5815" w:rsidRDefault="00A25229" w:rsidP="000D0773">
            <w:pPr>
              <w:pStyle w:val="-4"/>
              <w:pBdr>
                <w:bottom w:val="single" w:sz="4" w:space="1" w:color="auto"/>
              </w:pBdr>
              <w:spacing w:line="240" w:lineRule="auto"/>
              <w:rPr>
                <w:sz w:val="16"/>
                <w:szCs w:val="16"/>
                <w:rtl/>
              </w:rPr>
            </w:pPr>
            <w:r w:rsidRPr="00AE5815">
              <w:rPr>
                <w:rFonts w:hint="cs"/>
                <w:sz w:val="16"/>
                <w:szCs w:val="16"/>
                <w:rtl/>
              </w:rPr>
              <w:t>השפעת הסכמי</w:t>
            </w:r>
          </w:p>
          <w:p w14:paraId="143DD109" w14:textId="77777777" w:rsidR="00A25229" w:rsidRPr="00AE5815" w:rsidRDefault="00A25229">
            <w:pPr>
              <w:pStyle w:val="-4"/>
              <w:pBdr>
                <w:bottom w:val="single" w:sz="4" w:space="1" w:color="auto"/>
              </w:pBdr>
              <w:spacing w:line="240" w:lineRule="auto"/>
              <w:rPr>
                <w:sz w:val="16"/>
                <w:szCs w:val="16"/>
                <w:rtl/>
              </w:rPr>
            </w:pPr>
            <w:r w:rsidRPr="00AE5815">
              <w:rPr>
                <w:rFonts w:hint="cs"/>
                <w:sz w:val="16"/>
                <w:szCs w:val="16"/>
                <w:rtl/>
              </w:rPr>
              <w:t>קיזוז</w:t>
            </w:r>
          </w:p>
        </w:tc>
        <w:tc>
          <w:tcPr>
            <w:tcW w:w="855" w:type="dxa"/>
            <w:tcBorders>
              <w:top w:val="nil"/>
              <w:left w:val="nil"/>
              <w:bottom w:val="nil"/>
              <w:right w:val="nil"/>
            </w:tcBorders>
            <w:vAlign w:val="bottom"/>
          </w:tcPr>
          <w:p w14:paraId="22890044" w14:textId="77777777" w:rsidR="00A25229" w:rsidRPr="00AE5815" w:rsidRDefault="00A25229" w:rsidP="000D0773">
            <w:pPr>
              <w:pStyle w:val="-4"/>
              <w:pBdr>
                <w:bottom w:val="single" w:sz="4" w:space="1" w:color="auto"/>
              </w:pBdr>
              <w:spacing w:line="240" w:lineRule="auto"/>
              <w:rPr>
                <w:sz w:val="16"/>
                <w:szCs w:val="16"/>
                <w:rtl/>
              </w:rPr>
            </w:pPr>
          </w:p>
          <w:p w14:paraId="7CDBFACE" w14:textId="77777777" w:rsidR="00A25229" w:rsidRPr="00AE5815" w:rsidRDefault="00A25229">
            <w:pPr>
              <w:pStyle w:val="-4"/>
              <w:pBdr>
                <w:bottom w:val="single" w:sz="4" w:space="1" w:color="auto"/>
              </w:pBdr>
              <w:spacing w:line="240" w:lineRule="auto"/>
              <w:rPr>
                <w:sz w:val="16"/>
                <w:szCs w:val="16"/>
                <w:rtl/>
              </w:rPr>
            </w:pPr>
            <w:r w:rsidRPr="00AE5815">
              <w:rPr>
                <w:rFonts w:hint="cs"/>
                <w:sz w:val="16"/>
                <w:szCs w:val="16"/>
                <w:rtl/>
              </w:rPr>
              <w:t>יתרה מאזנית</w:t>
            </w:r>
          </w:p>
        </w:tc>
      </w:tr>
      <w:tr w:rsidR="00A25229" w:rsidRPr="00AE5815" w14:paraId="5853C288" w14:textId="77777777" w:rsidTr="00320C27">
        <w:trPr>
          <w:trHeight w:val="259"/>
        </w:trPr>
        <w:tc>
          <w:tcPr>
            <w:tcW w:w="1713" w:type="dxa"/>
            <w:tcBorders>
              <w:top w:val="nil"/>
              <w:left w:val="nil"/>
              <w:bottom w:val="nil"/>
              <w:right w:val="nil"/>
            </w:tcBorders>
          </w:tcPr>
          <w:p w14:paraId="715395F8" w14:textId="77777777" w:rsidR="00A25229" w:rsidRPr="00AE5815" w:rsidRDefault="00A25229" w:rsidP="00A25229">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47262BD7" w14:textId="77777777" w:rsidR="00A25229" w:rsidRPr="00AE5815" w:rsidRDefault="00A25229" w:rsidP="00501071">
            <w:pPr>
              <w:pStyle w:val="-f"/>
              <w:rPr>
                <w:sz w:val="16"/>
                <w:szCs w:val="16"/>
                <w:rtl/>
              </w:rPr>
            </w:pPr>
            <w:r w:rsidRPr="00AE5815">
              <w:rPr>
                <w:rFonts w:hint="cs"/>
                <w:sz w:val="16"/>
                <w:szCs w:val="16"/>
                <w:rtl/>
              </w:rPr>
              <w:t>נכסים</w:t>
            </w:r>
          </w:p>
        </w:tc>
        <w:tc>
          <w:tcPr>
            <w:tcW w:w="851" w:type="dxa"/>
            <w:tcBorders>
              <w:top w:val="nil"/>
              <w:left w:val="nil"/>
              <w:bottom w:val="nil"/>
              <w:right w:val="nil"/>
            </w:tcBorders>
          </w:tcPr>
          <w:p w14:paraId="499F332A" w14:textId="77777777" w:rsidR="00A25229" w:rsidRPr="00AE5815" w:rsidRDefault="00A25229" w:rsidP="00501071">
            <w:pPr>
              <w:pStyle w:val="-7"/>
              <w:spacing w:beforeLines="20" w:before="48" w:line="216" w:lineRule="auto"/>
              <w:jc w:val="center"/>
              <w:rPr>
                <w:sz w:val="16"/>
                <w:szCs w:val="16"/>
                <w:rtl/>
              </w:rPr>
            </w:pPr>
          </w:p>
        </w:tc>
        <w:tc>
          <w:tcPr>
            <w:tcW w:w="992" w:type="dxa"/>
            <w:tcBorders>
              <w:top w:val="nil"/>
              <w:left w:val="nil"/>
              <w:bottom w:val="nil"/>
              <w:right w:val="nil"/>
            </w:tcBorders>
          </w:tcPr>
          <w:p w14:paraId="7B7AB65C" w14:textId="77777777" w:rsidR="00A25229" w:rsidRPr="00AE5815" w:rsidRDefault="00A25229" w:rsidP="00501071">
            <w:pPr>
              <w:pStyle w:val="-7"/>
              <w:spacing w:beforeLines="20" w:before="48" w:line="216" w:lineRule="auto"/>
              <w:jc w:val="center"/>
              <w:rPr>
                <w:sz w:val="16"/>
                <w:szCs w:val="16"/>
                <w:rtl/>
              </w:rPr>
            </w:pPr>
          </w:p>
        </w:tc>
        <w:tc>
          <w:tcPr>
            <w:tcW w:w="992" w:type="dxa"/>
            <w:tcBorders>
              <w:top w:val="nil"/>
              <w:left w:val="nil"/>
              <w:bottom w:val="nil"/>
              <w:right w:val="nil"/>
            </w:tcBorders>
          </w:tcPr>
          <w:p w14:paraId="2DB2DB0A" w14:textId="77777777" w:rsidR="00A25229" w:rsidRPr="00AE5815" w:rsidRDefault="00A25229" w:rsidP="00501071">
            <w:pPr>
              <w:pStyle w:val="-7"/>
              <w:spacing w:beforeLines="20" w:before="48" w:line="216" w:lineRule="auto"/>
              <w:jc w:val="center"/>
              <w:rPr>
                <w:sz w:val="16"/>
                <w:szCs w:val="16"/>
                <w:rtl/>
              </w:rPr>
            </w:pPr>
          </w:p>
        </w:tc>
        <w:tc>
          <w:tcPr>
            <w:tcW w:w="851" w:type="dxa"/>
            <w:tcBorders>
              <w:top w:val="nil"/>
              <w:left w:val="nil"/>
              <w:bottom w:val="nil"/>
              <w:right w:val="nil"/>
            </w:tcBorders>
          </w:tcPr>
          <w:p w14:paraId="4189CC99" w14:textId="77777777" w:rsidR="00A25229" w:rsidRPr="00AE5815" w:rsidRDefault="00A25229" w:rsidP="00501071">
            <w:pPr>
              <w:pStyle w:val="-7"/>
              <w:spacing w:beforeLines="20" w:before="48" w:line="216" w:lineRule="auto"/>
              <w:jc w:val="center"/>
              <w:rPr>
                <w:sz w:val="16"/>
                <w:szCs w:val="16"/>
                <w:rtl/>
              </w:rPr>
            </w:pPr>
          </w:p>
        </w:tc>
        <w:tc>
          <w:tcPr>
            <w:tcW w:w="850" w:type="dxa"/>
            <w:tcBorders>
              <w:top w:val="nil"/>
              <w:left w:val="nil"/>
              <w:bottom w:val="nil"/>
              <w:right w:val="nil"/>
            </w:tcBorders>
          </w:tcPr>
          <w:p w14:paraId="5E7AEBBD" w14:textId="77777777" w:rsidR="00A25229" w:rsidRPr="00AE5815" w:rsidRDefault="00A25229" w:rsidP="00501071">
            <w:pPr>
              <w:pStyle w:val="-7"/>
              <w:spacing w:beforeLines="20" w:before="48" w:line="216" w:lineRule="auto"/>
              <w:jc w:val="center"/>
              <w:rPr>
                <w:sz w:val="16"/>
                <w:szCs w:val="16"/>
                <w:rtl/>
              </w:rPr>
            </w:pPr>
          </w:p>
        </w:tc>
        <w:tc>
          <w:tcPr>
            <w:tcW w:w="855" w:type="dxa"/>
            <w:tcBorders>
              <w:top w:val="nil"/>
              <w:left w:val="nil"/>
              <w:bottom w:val="nil"/>
              <w:right w:val="nil"/>
            </w:tcBorders>
          </w:tcPr>
          <w:p w14:paraId="2CB2898D" w14:textId="77777777" w:rsidR="00A25229" w:rsidRPr="00AE5815" w:rsidRDefault="00A25229" w:rsidP="00501071">
            <w:pPr>
              <w:pStyle w:val="-7"/>
              <w:spacing w:beforeLines="20" w:before="48" w:line="216" w:lineRule="auto"/>
              <w:jc w:val="center"/>
              <w:rPr>
                <w:sz w:val="16"/>
                <w:szCs w:val="16"/>
                <w:rtl/>
              </w:rPr>
            </w:pPr>
          </w:p>
        </w:tc>
      </w:tr>
      <w:tr w:rsidR="00683FB8" w:rsidRPr="00AE5815" w14:paraId="22886101" w14:textId="77777777" w:rsidTr="00320C27">
        <w:trPr>
          <w:trHeight w:val="259"/>
        </w:trPr>
        <w:tc>
          <w:tcPr>
            <w:tcW w:w="1713" w:type="dxa"/>
            <w:tcBorders>
              <w:top w:val="nil"/>
              <w:left w:val="nil"/>
              <w:bottom w:val="nil"/>
              <w:right w:val="nil"/>
            </w:tcBorders>
          </w:tcPr>
          <w:p w14:paraId="205AD338" w14:textId="77777777" w:rsidR="00683FB8" w:rsidRPr="00AE5815" w:rsidRDefault="00683FB8" w:rsidP="00683FB8">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77E2D29A" w14:textId="0C4D3A1C" w:rsidR="00683FB8" w:rsidRPr="00AE5815" w:rsidRDefault="00683FB8" w:rsidP="00683FB8">
            <w:pPr>
              <w:pStyle w:val="-b"/>
              <w:spacing w:before="20" w:after="20" w:line="240" w:lineRule="auto"/>
              <w:ind w:left="142" w:hanging="142"/>
              <w:rPr>
                <w:b w:val="0"/>
                <w:bCs w:val="0"/>
                <w:sz w:val="16"/>
                <w:szCs w:val="16"/>
                <w:rtl/>
              </w:rPr>
            </w:pPr>
            <w:r w:rsidRPr="00AE5815">
              <w:rPr>
                <w:rFonts w:hint="cs"/>
                <w:b w:val="0"/>
                <w:bCs w:val="0"/>
                <w:sz w:val="16"/>
                <w:szCs w:val="16"/>
                <w:rtl/>
              </w:rPr>
              <w:t xml:space="preserve">אגרות חוב זמינות למכירה ומניות שאינן למסחר </w:t>
            </w:r>
            <w:r w:rsidRPr="00AE5815">
              <w:rPr>
                <w:rFonts w:hint="cs"/>
                <w:b w:val="0"/>
                <w:bCs w:val="0"/>
                <w:sz w:val="16"/>
                <w:szCs w:val="16"/>
                <w:vertAlign w:val="superscript"/>
                <w:rtl/>
              </w:rPr>
              <w:t>[</w:t>
            </w:r>
            <w:r w:rsidRPr="00AE5815">
              <w:rPr>
                <w:rStyle w:val="a7"/>
                <w:b w:val="0"/>
                <w:bCs w:val="0"/>
                <w:sz w:val="16"/>
                <w:szCs w:val="16"/>
                <w:rtl/>
              </w:rPr>
              <w:footnoteReference w:id="127"/>
            </w:r>
            <w:r w:rsidRPr="00AE5815">
              <w:rPr>
                <w:rFonts w:hint="cs"/>
                <w:b w:val="0"/>
                <w:bCs w:val="0"/>
                <w:sz w:val="16"/>
                <w:szCs w:val="16"/>
                <w:vertAlign w:val="superscript"/>
                <w:rtl/>
              </w:rPr>
              <w:t>]</w:t>
            </w:r>
          </w:p>
        </w:tc>
        <w:tc>
          <w:tcPr>
            <w:tcW w:w="851" w:type="dxa"/>
            <w:tcBorders>
              <w:top w:val="nil"/>
              <w:left w:val="nil"/>
              <w:bottom w:val="nil"/>
              <w:right w:val="nil"/>
            </w:tcBorders>
            <w:vAlign w:val="bottom"/>
          </w:tcPr>
          <w:p w14:paraId="13FF23BC" w14:textId="1B8AF3DE"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3E0A8EE8" w14:textId="3CBA560E"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3619292F" w14:textId="538418B9"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7E4DADD0" w14:textId="0DB54F8C"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0511F82E" w14:textId="61404D7C"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p>
        </w:tc>
        <w:tc>
          <w:tcPr>
            <w:tcW w:w="855" w:type="dxa"/>
            <w:tcBorders>
              <w:top w:val="nil"/>
              <w:left w:val="nil"/>
              <w:bottom w:val="nil"/>
              <w:right w:val="nil"/>
            </w:tcBorders>
            <w:vAlign w:val="bottom"/>
          </w:tcPr>
          <w:p w14:paraId="1D6ABAAE" w14:textId="040926BD"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r>
      <w:tr w:rsidR="00683FB8" w:rsidRPr="00AE5815" w14:paraId="7EFF877B" w14:textId="77777777" w:rsidTr="00320C27">
        <w:trPr>
          <w:trHeight w:val="259"/>
        </w:trPr>
        <w:tc>
          <w:tcPr>
            <w:tcW w:w="1713" w:type="dxa"/>
            <w:tcBorders>
              <w:top w:val="nil"/>
              <w:left w:val="nil"/>
              <w:bottom w:val="nil"/>
              <w:right w:val="nil"/>
            </w:tcBorders>
          </w:tcPr>
          <w:p w14:paraId="1E732E70" w14:textId="77777777" w:rsidR="00683FB8" w:rsidRPr="00AE5815" w:rsidRDefault="00683FB8" w:rsidP="00683FB8">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1BF78001" w14:textId="672B7DBF" w:rsidR="00683FB8" w:rsidRPr="00AE5815" w:rsidRDefault="00683FB8" w:rsidP="00683FB8">
            <w:pPr>
              <w:pStyle w:val="-b"/>
              <w:spacing w:before="20" w:after="20" w:line="240" w:lineRule="auto"/>
              <w:ind w:left="142" w:hanging="142"/>
              <w:rPr>
                <w:b w:val="0"/>
                <w:bCs w:val="0"/>
                <w:sz w:val="16"/>
                <w:szCs w:val="16"/>
                <w:rtl/>
              </w:rPr>
            </w:pPr>
            <w:r w:rsidRPr="00AE5815">
              <w:rPr>
                <w:rFonts w:hint="cs"/>
                <w:b w:val="0"/>
                <w:bCs w:val="0"/>
                <w:sz w:val="16"/>
                <w:szCs w:val="16"/>
                <w:rtl/>
              </w:rPr>
              <w:t xml:space="preserve">ניירות ערך למסחר </w:t>
            </w:r>
            <w:r w:rsidRPr="00AE5815">
              <w:rPr>
                <w:rFonts w:hint="cs"/>
                <w:b w:val="0"/>
                <w:bCs w:val="0"/>
                <w:sz w:val="16"/>
                <w:szCs w:val="16"/>
                <w:vertAlign w:val="superscript"/>
                <w:rtl/>
              </w:rPr>
              <w:t>[1]</w:t>
            </w:r>
          </w:p>
        </w:tc>
        <w:tc>
          <w:tcPr>
            <w:tcW w:w="851" w:type="dxa"/>
            <w:tcBorders>
              <w:top w:val="nil"/>
              <w:left w:val="nil"/>
              <w:bottom w:val="nil"/>
              <w:right w:val="nil"/>
            </w:tcBorders>
            <w:vAlign w:val="bottom"/>
          </w:tcPr>
          <w:p w14:paraId="09A45375" w14:textId="187CCD8A"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0022630F" w14:textId="06E5E913"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423EF43A" w14:textId="3D2B2B62"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042C38FE" w14:textId="3C2C3242"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2F931F46" w14:textId="0CB9EABA"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p>
        </w:tc>
        <w:tc>
          <w:tcPr>
            <w:tcW w:w="855" w:type="dxa"/>
            <w:tcBorders>
              <w:top w:val="nil"/>
              <w:left w:val="nil"/>
              <w:bottom w:val="nil"/>
              <w:right w:val="nil"/>
            </w:tcBorders>
            <w:vAlign w:val="bottom"/>
          </w:tcPr>
          <w:p w14:paraId="3A238058" w14:textId="7DB2EA45"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r>
      <w:tr w:rsidR="00683FB8" w:rsidRPr="00AE5815" w14:paraId="67EC5E45" w14:textId="77777777" w:rsidTr="00320C27">
        <w:trPr>
          <w:trHeight w:val="259"/>
        </w:trPr>
        <w:tc>
          <w:tcPr>
            <w:tcW w:w="1713" w:type="dxa"/>
            <w:tcBorders>
              <w:top w:val="nil"/>
              <w:left w:val="nil"/>
              <w:bottom w:val="nil"/>
              <w:right w:val="nil"/>
            </w:tcBorders>
          </w:tcPr>
          <w:p w14:paraId="3EC88EB9" w14:textId="77777777" w:rsidR="00683FB8" w:rsidRPr="00AE5815" w:rsidRDefault="00683FB8" w:rsidP="00683FB8">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4A873E94" w14:textId="39CA9F7D" w:rsidR="00683FB8" w:rsidRPr="00AE5815" w:rsidRDefault="00683FB8" w:rsidP="00683FB8">
            <w:pPr>
              <w:pStyle w:val="-b"/>
              <w:spacing w:before="20" w:after="20" w:line="240" w:lineRule="auto"/>
              <w:ind w:left="142" w:hanging="142"/>
              <w:rPr>
                <w:b w:val="0"/>
                <w:bCs w:val="0"/>
                <w:sz w:val="16"/>
                <w:szCs w:val="16"/>
                <w:rtl/>
              </w:rPr>
            </w:pPr>
            <w:r w:rsidRPr="00AE5815">
              <w:rPr>
                <w:rFonts w:hint="cs"/>
                <w:b w:val="0"/>
                <w:bCs w:val="0"/>
                <w:sz w:val="16"/>
                <w:szCs w:val="16"/>
                <w:rtl/>
              </w:rPr>
              <w:t>נכסים בגין מכשירים נגזרים</w:t>
            </w:r>
            <w:r w:rsidRPr="00AE5815">
              <w:rPr>
                <w:rFonts w:hint="cs"/>
                <w:b w:val="0"/>
                <w:bCs w:val="0"/>
                <w:sz w:val="16"/>
                <w:szCs w:val="16"/>
                <w:vertAlign w:val="superscript"/>
                <w:rtl/>
              </w:rPr>
              <w:t xml:space="preserve"> [</w:t>
            </w:r>
            <w:r w:rsidRPr="00AE5815">
              <w:rPr>
                <w:rStyle w:val="a7"/>
                <w:b w:val="0"/>
                <w:bCs w:val="0"/>
                <w:sz w:val="16"/>
                <w:szCs w:val="16"/>
                <w:rtl/>
              </w:rPr>
              <w:footnoteReference w:id="128"/>
            </w:r>
            <w:r w:rsidRPr="00AE5815">
              <w:rPr>
                <w:rFonts w:hint="cs"/>
                <w:b w:val="0"/>
                <w:bCs w:val="0"/>
                <w:sz w:val="16"/>
                <w:szCs w:val="16"/>
                <w:vertAlign w:val="superscript"/>
                <w:rtl/>
              </w:rPr>
              <w:t>]</w:t>
            </w:r>
          </w:p>
        </w:tc>
        <w:tc>
          <w:tcPr>
            <w:tcW w:w="851" w:type="dxa"/>
            <w:tcBorders>
              <w:top w:val="nil"/>
              <w:left w:val="nil"/>
              <w:bottom w:val="nil"/>
              <w:right w:val="nil"/>
            </w:tcBorders>
            <w:vAlign w:val="bottom"/>
          </w:tcPr>
          <w:p w14:paraId="481CADA5" w14:textId="28735898"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0F3E73E7" w14:textId="6C1A942F"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69F11A0A" w14:textId="52B3CE87"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6180E984" w14:textId="5706E9D5"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298B5EC5" w14:textId="2BAED22F"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(0)</w:t>
            </w:r>
          </w:p>
        </w:tc>
        <w:tc>
          <w:tcPr>
            <w:tcW w:w="855" w:type="dxa"/>
            <w:tcBorders>
              <w:top w:val="nil"/>
              <w:left w:val="nil"/>
              <w:bottom w:val="nil"/>
              <w:right w:val="nil"/>
            </w:tcBorders>
            <w:vAlign w:val="bottom"/>
          </w:tcPr>
          <w:p w14:paraId="62BF8208" w14:textId="667007D9" w:rsidR="00683FB8" w:rsidRPr="00AE5815" w:rsidRDefault="00683FB8" w:rsidP="00683FB8">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r>
      <w:tr w:rsidR="00683FB8" w:rsidRPr="00AE5815" w14:paraId="76D5967E" w14:textId="77777777" w:rsidTr="00320C27">
        <w:trPr>
          <w:trHeight w:val="259"/>
        </w:trPr>
        <w:tc>
          <w:tcPr>
            <w:tcW w:w="1713" w:type="dxa"/>
            <w:tcBorders>
              <w:top w:val="nil"/>
              <w:left w:val="nil"/>
              <w:bottom w:val="nil"/>
              <w:right w:val="nil"/>
            </w:tcBorders>
          </w:tcPr>
          <w:p w14:paraId="7DD387F9" w14:textId="77777777" w:rsidR="00683FB8" w:rsidRPr="00AE5815" w:rsidRDefault="00683FB8" w:rsidP="00683FB8">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232FB297" w14:textId="40E619F2" w:rsidR="00683FB8" w:rsidRPr="00AE5815" w:rsidRDefault="00683FB8" w:rsidP="00683FB8">
            <w:pPr>
              <w:pStyle w:val="-23"/>
              <w:spacing w:beforeLines="20" w:before="48" w:line="216" w:lineRule="auto"/>
              <w:ind w:left="142" w:hanging="142"/>
              <w:rPr>
                <w:b w:val="0"/>
                <w:bCs w:val="0"/>
                <w:sz w:val="16"/>
                <w:szCs w:val="16"/>
                <w:rtl/>
              </w:rPr>
            </w:pPr>
            <w:r w:rsidRPr="00AE5815">
              <w:rPr>
                <w:rFonts w:hint="eastAsia"/>
                <w:b w:val="0"/>
                <w:bCs w:val="0"/>
                <w:sz w:val="16"/>
                <w:szCs w:val="16"/>
                <w:rtl/>
              </w:rPr>
              <w:t>אחר</w:t>
            </w:r>
            <w:r w:rsidRPr="00AE5815">
              <w:rPr>
                <w:rFonts w:hint="cs"/>
                <w:b w:val="0"/>
                <w:bCs w:val="0"/>
                <w:sz w:val="16"/>
                <w:szCs w:val="16"/>
                <w:rtl/>
              </w:rPr>
              <w:t xml:space="preserve"> [פרט אם מהותי]</w:t>
            </w:r>
          </w:p>
        </w:tc>
        <w:tc>
          <w:tcPr>
            <w:tcW w:w="851" w:type="dxa"/>
            <w:tcBorders>
              <w:top w:val="nil"/>
              <w:left w:val="nil"/>
              <w:bottom w:val="nil"/>
              <w:right w:val="nil"/>
            </w:tcBorders>
            <w:vAlign w:val="bottom"/>
          </w:tcPr>
          <w:p w14:paraId="5F543A39" w14:textId="0AE8B2F5" w:rsidR="00683FB8" w:rsidRPr="00AE5815" w:rsidRDefault="00683FB8" w:rsidP="00683FB8">
            <w:pPr>
              <w:pStyle w:val="-3"/>
              <w:pBdr>
                <w:bottom w:val="single" w:sz="4" w:space="1" w:color="auto"/>
              </w:pBdr>
              <w:spacing w:beforeLines="20" w:before="48" w:line="216" w:lineRule="auto"/>
              <w:rPr>
                <w:b/>
                <w:bCs/>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3D4A8B60" w14:textId="7ECC633F" w:rsidR="00683FB8" w:rsidRPr="00AE5815" w:rsidRDefault="00683FB8" w:rsidP="00683FB8">
            <w:pPr>
              <w:pStyle w:val="-3"/>
              <w:pBdr>
                <w:bottom w:val="single" w:sz="4" w:space="1" w:color="auto"/>
              </w:pBdr>
              <w:spacing w:beforeLines="20" w:before="48" w:line="216" w:lineRule="auto"/>
              <w:rPr>
                <w:b/>
                <w:bCs/>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6FD1C693" w14:textId="149CEDFD" w:rsidR="00683FB8" w:rsidRPr="00AE5815" w:rsidRDefault="00683FB8" w:rsidP="00683FB8">
            <w:pPr>
              <w:pStyle w:val="-3"/>
              <w:pBdr>
                <w:bottom w:val="single" w:sz="4" w:space="1" w:color="auto"/>
              </w:pBdr>
              <w:spacing w:beforeLines="20" w:before="48" w:line="216" w:lineRule="auto"/>
              <w:rPr>
                <w:b/>
                <w:bCs/>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5DBBFA66" w14:textId="5ECAA7D1" w:rsidR="00683FB8" w:rsidRPr="00AE5815" w:rsidRDefault="00683FB8" w:rsidP="00683FB8">
            <w:pPr>
              <w:pStyle w:val="-3"/>
              <w:pBdr>
                <w:bottom w:val="single" w:sz="4" w:space="1" w:color="auto"/>
              </w:pBdr>
              <w:spacing w:beforeLines="20" w:before="48" w:line="216" w:lineRule="auto"/>
              <w:rPr>
                <w:b/>
                <w:bCs/>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0F8204C8" w14:textId="625CD30D" w:rsidR="00683FB8" w:rsidRPr="00AE5815" w:rsidRDefault="00683FB8" w:rsidP="00683FB8">
            <w:pPr>
              <w:pStyle w:val="-3"/>
              <w:pBdr>
                <w:bottom w:val="single" w:sz="4" w:space="1" w:color="auto"/>
              </w:pBdr>
              <w:spacing w:beforeLines="20" w:before="48" w:line="216" w:lineRule="auto"/>
              <w:rPr>
                <w:b/>
                <w:bCs/>
                <w:sz w:val="16"/>
                <w:szCs w:val="16"/>
                <w:rtl/>
              </w:rPr>
            </w:pPr>
            <w:r w:rsidRPr="00AE5815">
              <w:rPr>
                <w:rFonts w:hint="cs"/>
                <w:sz w:val="16"/>
                <w:szCs w:val="16"/>
                <w:rtl/>
              </w:rPr>
              <w:t xml:space="preserve"> (0)</w:t>
            </w:r>
          </w:p>
        </w:tc>
        <w:tc>
          <w:tcPr>
            <w:tcW w:w="855" w:type="dxa"/>
            <w:tcBorders>
              <w:top w:val="nil"/>
              <w:left w:val="nil"/>
              <w:bottom w:val="nil"/>
              <w:right w:val="nil"/>
            </w:tcBorders>
            <w:vAlign w:val="bottom"/>
          </w:tcPr>
          <w:p w14:paraId="09FE2B73" w14:textId="732BDCDF" w:rsidR="00683FB8" w:rsidRPr="00AE5815" w:rsidRDefault="00683FB8" w:rsidP="00683FB8">
            <w:pPr>
              <w:pStyle w:val="-3"/>
              <w:pBdr>
                <w:bottom w:val="single" w:sz="4" w:space="1" w:color="auto"/>
              </w:pBdr>
              <w:spacing w:beforeLines="20" w:before="48" w:line="216" w:lineRule="auto"/>
              <w:rPr>
                <w:b/>
                <w:bCs/>
                <w:sz w:val="16"/>
                <w:szCs w:val="16"/>
                <w:rtl/>
              </w:rPr>
            </w:pPr>
            <w:r w:rsidRPr="00AE5815">
              <w:rPr>
                <w:rFonts w:hint="cs"/>
                <w:sz w:val="16"/>
                <w:szCs w:val="16"/>
                <w:rtl/>
              </w:rPr>
              <w:t xml:space="preserve"> </w:t>
            </w:r>
            <w:r w:rsidRPr="00AE5815">
              <w:rPr>
                <w:sz w:val="16"/>
                <w:szCs w:val="16"/>
                <w:rtl/>
              </w:rPr>
              <w:t>0</w:t>
            </w:r>
          </w:p>
        </w:tc>
      </w:tr>
      <w:tr w:rsidR="00A25229" w:rsidRPr="00AE5815" w14:paraId="264DC065" w14:textId="77777777" w:rsidTr="00320C27">
        <w:trPr>
          <w:trHeight w:val="259"/>
        </w:trPr>
        <w:tc>
          <w:tcPr>
            <w:tcW w:w="1713" w:type="dxa"/>
            <w:tcBorders>
              <w:top w:val="nil"/>
              <w:left w:val="nil"/>
              <w:bottom w:val="nil"/>
              <w:right w:val="nil"/>
            </w:tcBorders>
          </w:tcPr>
          <w:p w14:paraId="76E74A17" w14:textId="77777777" w:rsidR="00A25229" w:rsidRPr="00AE5815" w:rsidRDefault="00A25229" w:rsidP="00A25229">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359034B2" w14:textId="77777777" w:rsidR="00A25229" w:rsidRPr="00AE5815" w:rsidRDefault="00A25229" w:rsidP="00501071">
            <w:pPr>
              <w:pStyle w:val="-23"/>
              <w:spacing w:before="20" w:after="60" w:line="240" w:lineRule="auto"/>
              <w:ind w:left="142" w:hanging="142"/>
              <w:rPr>
                <w:sz w:val="16"/>
                <w:szCs w:val="16"/>
                <w:rtl/>
              </w:rPr>
            </w:pPr>
            <w:r w:rsidRPr="00AE5815">
              <w:rPr>
                <w:sz w:val="16"/>
                <w:szCs w:val="16"/>
                <w:rtl/>
              </w:rPr>
              <w:t xml:space="preserve">סך </w:t>
            </w:r>
            <w:r w:rsidRPr="00AE5815">
              <w:rPr>
                <w:rFonts w:hint="cs"/>
                <w:sz w:val="16"/>
                <w:szCs w:val="16"/>
                <w:rtl/>
              </w:rPr>
              <w:t>כל הנכסים</w:t>
            </w:r>
          </w:p>
        </w:tc>
        <w:tc>
          <w:tcPr>
            <w:tcW w:w="851" w:type="dxa"/>
            <w:tcBorders>
              <w:top w:val="nil"/>
              <w:left w:val="nil"/>
              <w:bottom w:val="nil"/>
              <w:right w:val="nil"/>
            </w:tcBorders>
            <w:vAlign w:val="bottom"/>
          </w:tcPr>
          <w:p w14:paraId="25505BCE" w14:textId="77777777" w:rsidR="00A25229" w:rsidRPr="00AE5815" w:rsidRDefault="00A25229" w:rsidP="0050107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16DEC787" w14:textId="77777777" w:rsidR="00A25229" w:rsidRPr="00AE5815" w:rsidRDefault="00A25229" w:rsidP="0050107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7B9949C6" w14:textId="77777777" w:rsidR="00A25229" w:rsidRPr="00AE5815" w:rsidRDefault="00A25229" w:rsidP="0050107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42B038ED" w14:textId="77777777" w:rsidR="00A25229" w:rsidRPr="00AE5815" w:rsidRDefault="00A25229" w:rsidP="0050107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7D84A9A5" w14:textId="4A447343" w:rsidR="00A25229" w:rsidRPr="00AE5815" w:rsidRDefault="00683FB8" w:rsidP="0050107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00A25229" w:rsidRPr="00AE5815">
              <w:rPr>
                <w:rFonts w:hint="cs"/>
                <w:sz w:val="16"/>
                <w:szCs w:val="16"/>
                <w:rtl/>
              </w:rPr>
              <w:t>(</w:t>
            </w:r>
            <w:r w:rsidR="00A25229" w:rsidRPr="00AE5815">
              <w:rPr>
                <w:sz w:val="16"/>
                <w:szCs w:val="16"/>
                <w:rtl/>
              </w:rPr>
              <w:t>0</w:t>
            </w:r>
            <w:r w:rsidR="00A25229" w:rsidRPr="00AE5815">
              <w:rPr>
                <w:rFonts w:hint="cs"/>
                <w:sz w:val="16"/>
                <w:szCs w:val="16"/>
                <w:rtl/>
              </w:rPr>
              <w:t>)</w:t>
            </w:r>
          </w:p>
        </w:tc>
        <w:tc>
          <w:tcPr>
            <w:tcW w:w="855" w:type="dxa"/>
            <w:tcBorders>
              <w:top w:val="nil"/>
              <w:left w:val="nil"/>
              <w:bottom w:val="nil"/>
              <w:right w:val="nil"/>
            </w:tcBorders>
            <w:vAlign w:val="bottom"/>
          </w:tcPr>
          <w:p w14:paraId="656D1F11" w14:textId="77777777" w:rsidR="00A25229" w:rsidRPr="00AE5815" w:rsidRDefault="00A25229" w:rsidP="0050107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r>
      <w:tr w:rsidR="00A25229" w:rsidRPr="00AE5815" w14:paraId="04C2F520" w14:textId="77777777" w:rsidTr="00320C27">
        <w:trPr>
          <w:trHeight w:val="259"/>
        </w:trPr>
        <w:tc>
          <w:tcPr>
            <w:tcW w:w="1713" w:type="dxa"/>
            <w:tcBorders>
              <w:top w:val="nil"/>
              <w:left w:val="nil"/>
              <w:bottom w:val="nil"/>
              <w:right w:val="nil"/>
            </w:tcBorders>
          </w:tcPr>
          <w:p w14:paraId="12BC9874" w14:textId="77777777" w:rsidR="00A25229" w:rsidRPr="00AE5815" w:rsidRDefault="00A25229" w:rsidP="00A25229">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48C2FDD1" w14:textId="25C1B172" w:rsidR="00A25229" w:rsidRPr="00AE5815" w:rsidRDefault="00A25229" w:rsidP="00501071">
            <w:pPr>
              <w:pStyle w:val="-23"/>
              <w:spacing w:before="80" w:line="240" w:lineRule="auto"/>
              <w:ind w:left="142" w:hanging="142"/>
              <w:rPr>
                <w:sz w:val="16"/>
                <w:szCs w:val="16"/>
                <w:u w:val="single"/>
                <w:rtl/>
              </w:rPr>
            </w:pPr>
            <w:r w:rsidRPr="00AE5815">
              <w:rPr>
                <w:sz w:val="16"/>
                <w:szCs w:val="16"/>
                <w:u w:val="single"/>
                <w:rtl/>
              </w:rPr>
              <w:t xml:space="preserve">התחייבויות </w:t>
            </w:r>
          </w:p>
        </w:tc>
        <w:tc>
          <w:tcPr>
            <w:tcW w:w="851" w:type="dxa"/>
            <w:tcBorders>
              <w:top w:val="nil"/>
              <w:left w:val="nil"/>
              <w:bottom w:val="nil"/>
              <w:right w:val="nil"/>
            </w:tcBorders>
          </w:tcPr>
          <w:p w14:paraId="7B901BBB" w14:textId="77777777" w:rsidR="00A25229" w:rsidRPr="00AE5815" w:rsidRDefault="00A25229" w:rsidP="00501071">
            <w:pPr>
              <w:pStyle w:val="-f1"/>
              <w:pBdr>
                <w:top w:val="none" w:sz="0" w:space="0" w:color="auto"/>
              </w:pBdr>
              <w:spacing w:beforeLines="20" w:before="48" w:line="216" w:lineRule="auto"/>
              <w:rPr>
                <w:sz w:val="16"/>
                <w:szCs w:val="16"/>
                <w:rtl/>
              </w:rPr>
            </w:pPr>
          </w:p>
        </w:tc>
        <w:tc>
          <w:tcPr>
            <w:tcW w:w="992" w:type="dxa"/>
            <w:tcBorders>
              <w:top w:val="nil"/>
              <w:left w:val="nil"/>
              <w:bottom w:val="nil"/>
              <w:right w:val="nil"/>
            </w:tcBorders>
          </w:tcPr>
          <w:p w14:paraId="6284C8D9" w14:textId="77777777" w:rsidR="00A25229" w:rsidRPr="00AE5815" w:rsidRDefault="00A25229" w:rsidP="00501071">
            <w:pPr>
              <w:pStyle w:val="-f1"/>
              <w:pBdr>
                <w:top w:val="none" w:sz="0" w:space="0" w:color="auto"/>
              </w:pBdr>
              <w:spacing w:beforeLines="20" w:before="48" w:line="216" w:lineRule="auto"/>
              <w:rPr>
                <w:sz w:val="16"/>
                <w:szCs w:val="16"/>
                <w:rtl/>
              </w:rPr>
            </w:pPr>
          </w:p>
        </w:tc>
        <w:tc>
          <w:tcPr>
            <w:tcW w:w="992" w:type="dxa"/>
            <w:tcBorders>
              <w:top w:val="nil"/>
              <w:left w:val="nil"/>
              <w:bottom w:val="nil"/>
              <w:right w:val="nil"/>
            </w:tcBorders>
          </w:tcPr>
          <w:p w14:paraId="1B1A06AC" w14:textId="77777777" w:rsidR="00A25229" w:rsidRPr="00AE5815" w:rsidRDefault="00A25229" w:rsidP="00501071">
            <w:pPr>
              <w:pStyle w:val="-f1"/>
              <w:pBdr>
                <w:top w:val="none" w:sz="0" w:space="0" w:color="auto"/>
              </w:pBdr>
              <w:spacing w:beforeLines="20" w:before="48" w:line="216" w:lineRule="auto"/>
              <w:rPr>
                <w:sz w:val="16"/>
                <w:szCs w:val="16"/>
                <w:rtl/>
              </w:rPr>
            </w:pPr>
          </w:p>
        </w:tc>
        <w:tc>
          <w:tcPr>
            <w:tcW w:w="851" w:type="dxa"/>
            <w:tcBorders>
              <w:top w:val="nil"/>
              <w:left w:val="nil"/>
              <w:bottom w:val="nil"/>
              <w:right w:val="nil"/>
            </w:tcBorders>
          </w:tcPr>
          <w:p w14:paraId="507EC628" w14:textId="77777777" w:rsidR="00A25229" w:rsidRPr="00AE5815" w:rsidRDefault="00A25229" w:rsidP="00501071">
            <w:pPr>
              <w:pStyle w:val="-f1"/>
              <w:pBdr>
                <w:top w:val="none" w:sz="0" w:space="0" w:color="auto"/>
              </w:pBdr>
              <w:spacing w:beforeLines="20" w:before="48" w:line="216" w:lineRule="auto"/>
              <w:rPr>
                <w:sz w:val="16"/>
                <w:szCs w:val="16"/>
                <w:rtl/>
              </w:rPr>
            </w:pPr>
          </w:p>
        </w:tc>
        <w:tc>
          <w:tcPr>
            <w:tcW w:w="850" w:type="dxa"/>
            <w:tcBorders>
              <w:top w:val="nil"/>
              <w:left w:val="nil"/>
              <w:bottom w:val="nil"/>
              <w:right w:val="nil"/>
            </w:tcBorders>
          </w:tcPr>
          <w:p w14:paraId="2A84C5EC" w14:textId="77777777" w:rsidR="00A25229" w:rsidRPr="00AE5815" w:rsidRDefault="00A25229" w:rsidP="00501071">
            <w:pPr>
              <w:pStyle w:val="-f1"/>
              <w:pBdr>
                <w:top w:val="none" w:sz="0" w:space="0" w:color="auto"/>
              </w:pBdr>
              <w:spacing w:beforeLines="20" w:before="48" w:line="216" w:lineRule="auto"/>
              <w:rPr>
                <w:sz w:val="16"/>
                <w:szCs w:val="16"/>
                <w:rtl/>
              </w:rPr>
            </w:pPr>
          </w:p>
        </w:tc>
        <w:tc>
          <w:tcPr>
            <w:tcW w:w="855" w:type="dxa"/>
            <w:tcBorders>
              <w:top w:val="nil"/>
              <w:left w:val="nil"/>
              <w:bottom w:val="nil"/>
              <w:right w:val="nil"/>
            </w:tcBorders>
          </w:tcPr>
          <w:p w14:paraId="42A9BCF6" w14:textId="77777777" w:rsidR="00A25229" w:rsidRPr="00AE5815" w:rsidRDefault="00A25229" w:rsidP="00501071">
            <w:pPr>
              <w:pStyle w:val="-f1"/>
              <w:pBdr>
                <w:top w:val="none" w:sz="0" w:space="0" w:color="auto"/>
              </w:pBdr>
              <w:spacing w:beforeLines="20" w:before="48" w:line="216" w:lineRule="auto"/>
              <w:rPr>
                <w:sz w:val="16"/>
                <w:szCs w:val="16"/>
                <w:rtl/>
              </w:rPr>
            </w:pPr>
          </w:p>
        </w:tc>
      </w:tr>
      <w:tr w:rsidR="00683FB8" w:rsidRPr="00AE5815" w14:paraId="2299B7DA" w14:textId="77777777" w:rsidTr="00320C27">
        <w:trPr>
          <w:trHeight w:val="259"/>
        </w:trPr>
        <w:tc>
          <w:tcPr>
            <w:tcW w:w="1713" w:type="dxa"/>
            <w:tcBorders>
              <w:top w:val="nil"/>
              <w:left w:val="nil"/>
              <w:bottom w:val="nil"/>
              <w:right w:val="nil"/>
            </w:tcBorders>
          </w:tcPr>
          <w:p w14:paraId="75FC87DB" w14:textId="77777777" w:rsidR="00683FB8" w:rsidRPr="00AE5815" w:rsidRDefault="00683FB8" w:rsidP="00683FB8">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111F951C" w14:textId="6975C349" w:rsidR="00683FB8" w:rsidRPr="00AE5815" w:rsidRDefault="00683FB8" w:rsidP="00683FB8">
            <w:pPr>
              <w:pStyle w:val="-23"/>
              <w:spacing w:beforeLines="20" w:before="48" w:line="216" w:lineRule="auto"/>
              <w:ind w:left="0" w:firstLine="0"/>
              <w:rPr>
                <w:b w:val="0"/>
                <w:bCs w:val="0"/>
                <w:sz w:val="16"/>
                <w:szCs w:val="16"/>
                <w:rtl/>
              </w:rPr>
            </w:pPr>
            <w:r w:rsidRPr="00AE5815">
              <w:rPr>
                <w:rFonts w:hint="cs"/>
                <w:b w:val="0"/>
                <w:bCs w:val="0"/>
                <w:sz w:val="16"/>
                <w:szCs w:val="16"/>
                <w:rtl/>
              </w:rPr>
              <w:t xml:space="preserve">התחייבויות בגין מכשירים נגזרים </w:t>
            </w:r>
            <w:r w:rsidRPr="00AE5815">
              <w:rPr>
                <w:rFonts w:hint="cs"/>
                <w:b w:val="0"/>
                <w:bCs w:val="0"/>
                <w:sz w:val="16"/>
                <w:szCs w:val="16"/>
                <w:vertAlign w:val="superscript"/>
                <w:rtl/>
              </w:rPr>
              <w:t>[2]</w:t>
            </w:r>
          </w:p>
        </w:tc>
        <w:tc>
          <w:tcPr>
            <w:tcW w:w="851" w:type="dxa"/>
            <w:tcBorders>
              <w:top w:val="nil"/>
              <w:left w:val="nil"/>
              <w:bottom w:val="nil"/>
              <w:right w:val="nil"/>
            </w:tcBorders>
            <w:vAlign w:val="bottom"/>
          </w:tcPr>
          <w:p w14:paraId="03A81ABB" w14:textId="7CE7BB71" w:rsidR="00683FB8" w:rsidRPr="00AE5815" w:rsidRDefault="00683FB8" w:rsidP="00683FB8">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992" w:type="dxa"/>
            <w:tcBorders>
              <w:top w:val="nil"/>
              <w:left w:val="nil"/>
              <w:bottom w:val="nil"/>
              <w:right w:val="nil"/>
            </w:tcBorders>
            <w:vAlign w:val="bottom"/>
          </w:tcPr>
          <w:p w14:paraId="63163D51" w14:textId="610EEC0A" w:rsidR="00683FB8" w:rsidRPr="00AE5815" w:rsidRDefault="00683FB8" w:rsidP="00683FB8">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992" w:type="dxa"/>
            <w:tcBorders>
              <w:top w:val="nil"/>
              <w:left w:val="nil"/>
              <w:bottom w:val="nil"/>
              <w:right w:val="nil"/>
            </w:tcBorders>
            <w:vAlign w:val="bottom"/>
          </w:tcPr>
          <w:p w14:paraId="673B2DE8" w14:textId="14821D91" w:rsidR="00683FB8" w:rsidRPr="00AE5815" w:rsidRDefault="00683FB8" w:rsidP="00683FB8">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851" w:type="dxa"/>
            <w:tcBorders>
              <w:top w:val="nil"/>
              <w:left w:val="nil"/>
              <w:bottom w:val="nil"/>
              <w:right w:val="nil"/>
            </w:tcBorders>
            <w:vAlign w:val="bottom"/>
          </w:tcPr>
          <w:p w14:paraId="645D032F" w14:textId="5EB506A9" w:rsidR="00683FB8" w:rsidRPr="00AE5815" w:rsidRDefault="00683FB8" w:rsidP="00683FB8">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850" w:type="dxa"/>
            <w:tcBorders>
              <w:top w:val="nil"/>
              <w:left w:val="nil"/>
              <w:bottom w:val="nil"/>
              <w:right w:val="nil"/>
            </w:tcBorders>
            <w:vAlign w:val="bottom"/>
          </w:tcPr>
          <w:p w14:paraId="5F4FFD1C" w14:textId="61CD6A11" w:rsidR="00683FB8" w:rsidRPr="00AE5815" w:rsidRDefault="00683FB8" w:rsidP="00683FB8">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(0)</w:t>
            </w:r>
          </w:p>
        </w:tc>
        <w:tc>
          <w:tcPr>
            <w:tcW w:w="855" w:type="dxa"/>
            <w:tcBorders>
              <w:top w:val="nil"/>
              <w:left w:val="nil"/>
              <w:bottom w:val="nil"/>
              <w:right w:val="nil"/>
            </w:tcBorders>
            <w:vAlign w:val="bottom"/>
          </w:tcPr>
          <w:p w14:paraId="1AAE0F9D" w14:textId="206B04DD" w:rsidR="00683FB8" w:rsidRPr="00AE5815" w:rsidRDefault="00683FB8" w:rsidP="00683FB8">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r>
      <w:tr w:rsidR="00A25229" w:rsidRPr="00AE5815" w14:paraId="49F4C1DF" w14:textId="77777777" w:rsidTr="00320C27">
        <w:trPr>
          <w:trHeight w:val="259"/>
        </w:trPr>
        <w:tc>
          <w:tcPr>
            <w:tcW w:w="1713" w:type="dxa"/>
            <w:tcBorders>
              <w:top w:val="nil"/>
              <w:left w:val="nil"/>
              <w:bottom w:val="nil"/>
              <w:right w:val="nil"/>
            </w:tcBorders>
          </w:tcPr>
          <w:p w14:paraId="1973407B" w14:textId="77777777" w:rsidR="00A25229" w:rsidRPr="00AE5815" w:rsidRDefault="00A25229" w:rsidP="00A25229">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66A72B01" w14:textId="55C747EA" w:rsidR="00A25229" w:rsidRPr="00AE5815" w:rsidRDefault="00A25229" w:rsidP="00501071">
            <w:pPr>
              <w:pStyle w:val="-23"/>
              <w:spacing w:beforeLines="20" w:before="48" w:line="216" w:lineRule="auto"/>
              <w:ind w:left="0" w:firstLine="0"/>
              <w:rPr>
                <w:b w:val="0"/>
                <w:bCs w:val="0"/>
                <w:sz w:val="16"/>
                <w:szCs w:val="16"/>
                <w:rtl/>
              </w:rPr>
            </w:pPr>
            <w:r w:rsidRPr="00AE5815">
              <w:rPr>
                <w:rFonts w:hint="eastAsia"/>
                <w:b w:val="0"/>
                <w:bCs w:val="0"/>
                <w:sz w:val="16"/>
                <w:szCs w:val="16"/>
                <w:rtl/>
              </w:rPr>
              <w:t>אחר</w:t>
            </w:r>
            <w:r w:rsidRPr="00AE5815">
              <w:rPr>
                <w:rFonts w:hint="cs"/>
                <w:b w:val="0"/>
                <w:bCs w:val="0"/>
                <w:sz w:val="16"/>
                <w:szCs w:val="16"/>
                <w:rtl/>
              </w:rPr>
              <w:t xml:space="preserve"> [פרט אם מהותי]</w:t>
            </w:r>
          </w:p>
        </w:tc>
        <w:tc>
          <w:tcPr>
            <w:tcW w:w="851" w:type="dxa"/>
            <w:tcBorders>
              <w:top w:val="nil"/>
              <w:left w:val="nil"/>
              <w:bottom w:val="nil"/>
              <w:right w:val="nil"/>
            </w:tcBorders>
            <w:vAlign w:val="bottom"/>
          </w:tcPr>
          <w:p w14:paraId="3629AD71" w14:textId="3BF60993" w:rsidR="00A25229" w:rsidRPr="00AE5815" w:rsidRDefault="00A25229" w:rsidP="0050107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992" w:type="dxa"/>
            <w:tcBorders>
              <w:top w:val="nil"/>
              <w:left w:val="nil"/>
              <w:bottom w:val="nil"/>
              <w:right w:val="nil"/>
            </w:tcBorders>
            <w:vAlign w:val="bottom"/>
          </w:tcPr>
          <w:p w14:paraId="77EF86FD" w14:textId="68DA30A7" w:rsidR="00A25229" w:rsidRPr="00AE5815" w:rsidRDefault="00A25229" w:rsidP="0050107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992" w:type="dxa"/>
            <w:tcBorders>
              <w:top w:val="nil"/>
              <w:left w:val="nil"/>
              <w:bottom w:val="nil"/>
              <w:right w:val="nil"/>
            </w:tcBorders>
            <w:vAlign w:val="bottom"/>
          </w:tcPr>
          <w:p w14:paraId="3B1A87EE" w14:textId="15897839" w:rsidR="00A25229" w:rsidRPr="00AE5815" w:rsidRDefault="00A25229" w:rsidP="0050107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851" w:type="dxa"/>
            <w:tcBorders>
              <w:top w:val="nil"/>
              <w:left w:val="nil"/>
              <w:bottom w:val="nil"/>
              <w:right w:val="nil"/>
            </w:tcBorders>
            <w:vAlign w:val="bottom"/>
          </w:tcPr>
          <w:p w14:paraId="03DD7E38" w14:textId="55D5D85B" w:rsidR="00A25229" w:rsidRPr="00AE5815" w:rsidRDefault="00A25229" w:rsidP="0050107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850" w:type="dxa"/>
            <w:tcBorders>
              <w:top w:val="nil"/>
              <w:left w:val="nil"/>
              <w:bottom w:val="nil"/>
              <w:right w:val="nil"/>
            </w:tcBorders>
            <w:vAlign w:val="bottom"/>
          </w:tcPr>
          <w:p w14:paraId="633FEC21" w14:textId="3E0D4B3C" w:rsidR="00A25229" w:rsidRPr="00AE5815" w:rsidRDefault="00683FB8" w:rsidP="0050107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w:t>
            </w:r>
            <w:r w:rsidR="00A25229" w:rsidRPr="00AE5815">
              <w:rPr>
                <w:rFonts w:hint="cs"/>
                <w:b w:val="0"/>
                <w:bCs w:val="0"/>
                <w:sz w:val="16"/>
                <w:szCs w:val="16"/>
                <w:rtl/>
              </w:rPr>
              <w:t>(0)</w:t>
            </w:r>
          </w:p>
        </w:tc>
        <w:tc>
          <w:tcPr>
            <w:tcW w:w="855" w:type="dxa"/>
            <w:tcBorders>
              <w:top w:val="nil"/>
              <w:left w:val="nil"/>
              <w:bottom w:val="nil"/>
              <w:right w:val="nil"/>
            </w:tcBorders>
            <w:vAlign w:val="bottom"/>
          </w:tcPr>
          <w:p w14:paraId="26529A43" w14:textId="4FE5699B" w:rsidR="00A25229" w:rsidRPr="00AE5815" w:rsidRDefault="00A25229" w:rsidP="0050107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r>
      <w:tr w:rsidR="00A25229" w:rsidRPr="00AE5815" w14:paraId="3B633001" w14:textId="77777777" w:rsidTr="00320C27">
        <w:trPr>
          <w:trHeight w:val="259"/>
        </w:trPr>
        <w:tc>
          <w:tcPr>
            <w:tcW w:w="1713" w:type="dxa"/>
            <w:tcBorders>
              <w:top w:val="nil"/>
              <w:left w:val="nil"/>
              <w:bottom w:val="nil"/>
              <w:right w:val="nil"/>
            </w:tcBorders>
          </w:tcPr>
          <w:p w14:paraId="0F523A49" w14:textId="77777777" w:rsidR="00A25229" w:rsidRPr="00AE5815" w:rsidRDefault="00A25229" w:rsidP="00A25229">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6092BD7D" w14:textId="20EF07FC" w:rsidR="00A25229" w:rsidRPr="00AE5815" w:rsidRDefault="00A25229" w:rsidP="00501071">
            <w:pPr>
              <w:pStyle w:val="-23"/>
              <w:spacing w:beforeLines="20" w:before="48" w:line="216" w:lineRule="auto"/>
              <w:rPr>
                <w:sz w:val="16"/>
                <w:szCs w:val="16"/>
                <w:rtl/>
              </w:rPr>
            </w:pPr>
            <w:r w:rsidRPr="00AE5815">
              <w:rPr>
                <w:sz w:val="16"/>
                <w:szCs w:val="16"/>
                <w:rtl/>
              </w:rPr>
              <w:t xml:space="preserve">סך </w:t>
            </w:r>
            <w:r w:rsidRPr="00AE5815">
              <w:rPr>
                <w:rFonts w:hint="cs"/>
                <w:sz w:val="16"/>
                <w:szCs w:val="16"/>
                <w:rtl/>
              </w:rPr>
              <w:t>כל ההתחייבויות</w:t>
            </w:r>
          </w:p>
        </w:tc>
        <w:tc>
          <w:tcPr>
            <w:tcW w:w="851" w:type="dxa"/>
            <w:tcBorders>
              <w:top w:val="nil"/>
              <w:left w:val="nil"/>
              <w:bottom w:val="nil"/>
              <w:right w:val="nil"/>
            </w:tcBorders>
            <w:vAlign w:val="bottom"/>
          </w:tcPr>
          <w:p w14:paraId="787C3C5F" w14:textId="0D1216EE" w:rsidR="00A25229" w:rsidRPr="00AE5815" w:rsidRDefault="00A25229" w:rsidP="0050107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51251227" w14:textId="0A066DC6" w:rsidR="00A25229" w:rsidRPr="00AE5815" w:rsidRDefault="00A25229" w:rsidP="0050107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163655EF" w14:textId="33ADF915" w:rsidR="00A25229" w:rsidRPr="00AE5815" w:rsidRDefault="00A25229" w:rsidP="0050107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3D8B7DA7" w14:textId="34395E4A" w:rsidR="00A25229" w:rsidRPr="00AE5815" w:rsidRDefault="00A25229" w:rsidP="0050107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2B60429D" w14:textId="399AAB07" w:rsidR="00A25229" w:rsidRPr="00AE5815" w:rsidRDefault="00683FB8" w:rsidP="0050107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00A25229" w:rsidRPr="00AE5815">
              <w:rPr>
                <w:rFonts w:hint="cs"/>
                <w:sz w:val="16"/>
                <w:szCs w:val="16"/>
                <w:rtl/>
              </w:rPr>
              <w:t>(</w:t>
            </w:r>
            <w:r w:rsidR="00A25229" w:rsidRPr="00AE5815">
              <w:rPr>
                <w:sz w:val="16"/>
                <w:szCs w:val="16"/>
                <w:rtl/>
              </w:rPr>
              <w:t>0</w:t>
            </w:r>
            <w:r w:rsidR="00A25229" w:rsidRPr="00AE5815">
              <w:rPr>
                <w:rFonts w:hint="cs"/>
                <w:sz w:val="16"/>
                <w:szCs w:val="16"/>
                <w:rtl/>
              </w:rPr>
              <w:t>)</w:t>
            </w:r>
          </w:p>
        </w:tc>
        <w:tc>
          <w:tcPr>
            <w:tcW w:w="855" w:type="dxa"/>
            <w:tcBorders>
              <w:top w:val="nil"/>
              <w:left w:val="nil"/>
              <w:bottom w:val="nil"/>
              <w:right w:val="nil"/>
            </w:tcBorders>
            <w:vAlign w:val="bottom"/>
          </w:tcPr>
          <w:p w14:paraId="26E85DCC" w14:textId="7E0B2774" w:rsidR="00A25229" w:rsidRPr="00AE5815" w:rsidRDefault="00A25229" w:rsidP="0050107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r>
    </w:tbl>
    <w:p w14:paraId="63EB1FAE" w14:textId="77777777" w:rsidR="00AE5815" w:rsidRDefault="00AE5815" w:rsidP="00AE5815">
      <w:pPr>
        <w:pStyle w:val="-2"/>
        <w:rPr>
          <w:rtl/>
        </w:rPr>
      </w:pPr>
    </w:p>
    <w:tbl>
      <w:tblPr>
        <w:bidiVisual/>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3254"/>
        <w:gridCol w:w="851"/>
        <w:gridCol w:w="992"/>
        <w:gridCol w:w="992"/>
        <w:gridCol w:w="851"/>
        <w:gridCol w:w="850"/>
        <w:gridCol w:w="855"/>
      </w:tblGrid>
      <w:tr w:rsidR="00AE5815" w:rsidRPr="00AE5815" w14:paraId="6F376AD2" w14:textId="77777777" w:rsidTr="00320C27">
        <w:trPr>
          <w:trHeight w:val="259"/>
        </w:trPr>
        <w:tc>
          <w:tcPr>
            <w:tcW w:w="1713" w:type="dxa"/>
            <w:tcBorders>
              <w:top w:val="nil"/>
              <w:left w:val="nil"/>
              <w:bottom w:val="nil"/>
              <w:right w:val="nil"/>
            </w:tcBorders>
          </w:tcPr>
          <w:p w14:paraId="12341B3D" w14:textId="77777777" w:rsidR="00AE5815" w:rsidRPr="00AE5815" w:rsidRDefault="00AE5815" w:rsidP="00400DD1">
            <w:pPr>
              <w:pStyle w:val="-fa"/>
              <w:rPr>
                <w:sz w:val="16"/>
                <w:szCs w:val="16"/>
                <w:rtl/>
              </w:rPr>
            </w:pPr>
          </w:p>
        </w:tc>
        <w:tc>
          <w:tcPr>
            <w:tcW w:w="3254" w:type="dxa"/>
            <w:tcBorders>
              <w:top w:val="nil"/>
              <w:left w:val="nil"/>
              <w:bottom w:val="nil"/>
              <w:right w:val="nil"/>
            </w:tcBorders>
            <w:shd w:val="clear" w:color="auto" w:fill="auto"/>
            <w:vAlign w:val="bottom"/>
          </w:tcPr>
          <w:p w14:paraId="7405B685" w14:textId="77777777" w:rsidR="00AE5815" w:rsidRPr="00AE5815" w:rsidRDefault="00AE5815" w:rsidP="00400DD1">
            <w:pPr>
              <w:pStyle w:val="-7"/>
              <w:rPr>
                <w:sz w:val="16"/>
                <w:szCs w:val="16"/>
                <w:rtl/>
              </w:rPr>
            </w:pPr>
          </w:p>
        </w:tc>
        <w:tc>
          <w:tcPr>
            <w:tcW w:w="5391" w:type="dxa"/>
            <w:gridSpan w:val="6"/>
            <w:tcBorders>
              <w:top w:val="nil"/>
              <w:left w:val="nil"/>
              <w:bottom w:val="nil"/>
              <w:right w:val="nil"/>
            </w:tcBorders>
            <w:vAlign w:val="bottom"/>
          </w:tcPr>
          <w:p w14:paraId="1A37F179" w14:textId="6403E27C" w:rsidR="00AE5815" w:rsidRPr="00AE5815" w:rsidRDefault="00AE5815" w:rsidP="00400DD1">
            <w:pPr>
              <w:pStyle w:val="-4"/>
              <w:rPr>
                <w:sz w:val="16"/>
                <w:szCs w:val="16"/>
                <w:rtl/>
              </w:rPr>
            </w:pPr>
            <w:r w:rsidRPr="00AE5815">
              <w:rPr>
                <w:rFonts w:hint="cs"/>
                <w:sz w:val="16"/>
                <w:szCs w:val="16"/>
                <w:rtl/>
              </w:rPr>
              <w:t xml:space="preserve">ליום 30 ביוני </w:t>
            </w:r>
            <w:r w:rsidRPr="00AE5815">
              <w:rPr>
                <w:sz w:val="16"/>
                <w:szCs w:val="16"/>
                <w:rtl/>
              </w:rPr>
              <w:fldChar w:fldCharType="begin"/>
            </w:r>
            <w:r w:rsidRPr="00AE5815">
              <w:rPr>
                <w:sz w:val="16"/>
                <w:szCs w:val="16"/>
                <w:rtl/>
              </w:rPr>
              <w:instrText xml:space="preserve"> </w:instrText>
            </w:r>
            <w:r w:rsidRPr="00AE5815">
              <w:rPr>
                <w:rFonts w:hint="cs"/>
                <w:sz w:val="16"/>
                <w:szCs w:val="16"/>
                <w:rtl/>
              </w:rPr>
              <w:instrText xml:space="preserve">= </w:instrText>
            </w:r>
            <w:r w:rsidRPr="00AE5815">
              <w:rPr>
                <w:rFonts w:hint="cs"/>
                <w:sz w:val="16"/>
                <w:szCs w:val="16"/>
              </w:rPr>
              <w:instrText>CY</w:instrText>
            </w:r>
            <w:r w:rsidRPr="00AE5815">
              <w:rPr>
                <w:sz w:val="16"/>
                <w:szCs w:val="16"/>
              </w:rPr>
              <w:instrText>-1</w:instrText>
            </w:r>
            <w:r w:rsidRPr="00AE5815">
              <w:rPr>
                <w:rFonts w:hint="cs"/>
                <w:sz w:val="16"/>
                <w:szCs w:val="16"/>
              </w:rPr>
              <w:instrText xml:space="preserve"> \* MERGEFORMAT</w:instrText>
            </w:r>
            <w:r w:rsidRPr="00AE5815">
              <w:rPr>
                <w:sz w:val="16"/>
                <w:szCs w:val="16"/>
                <w:rtl/>
              </w:rPr>
              <w:instrText xml:space="preserve"> </w:instrText>
            </w:r>
            <w:r w:rsidRPr="00AE5815">
              <w:rPr>
                <w:sz w:val="16"/>
                <w:szCs w:val="16"/>
                <w:rtl/>
              </w:rPr>
              <w:fldChar w:fldCharType="separate"/>
            </w:r>
            <w:r w:rsidRPr="00AE5815">
              <w:rPr>
                <w:noProof/>
                <w:sz w:val="16"/>
                <w:szCs w:val="16"/>
                <w:rtl/>
              </w:rPr>
              <w:t>2023</w:t>
            </w:r>
            <w:r w:rsidRPr="00AE5815">
              <w:rPr>
                <w:sz w:val="16"/>
                <w:szCs w:val="16"/>
                <w:rtl/>
              </w:rPr>
              <w:fldChar w:fldCharType="end"/>
            </w:r>
            <w:r w:rsidRPr="00AE5815">
              <w:rPr>
                <w:rFonts w:hint="cs"/>
                <w:sz w:val="16"/>
                <w:szCs w:val="16"/>
                <w:rtl/>
              </w:rPr>
              <w:t xml:space="preserve"> (</w:t>
            </w:r>
            <w:r w:rsidRPr="00AE5815">
              <w:rPr>
                <w:rFonts w:hint="cs"/>
                <w:b w:val="0"/>
                <w:bCs w:val="0"/>
                <w:sz w:val="16"/>
                <w:szCs w:val="16"/>
                <w:rtl/>
              </w:rPr>
              <w:t>בלתי מבוקר)</w:t>
            </w:r>
          </w:p>
        </w:tc>
      </w:tr>
      <w:tr w:rsidR="00AE5815" w:rsidRPr="00AE5815" w14:paraId="7703AEB5" w14:textId="77777777" w:rsidTr="00320C27">
        <w:trPr>
          <w:trHeight w:val="259"/>
        </w:trPr>
        <w:tc>
          <w:tcPr>
            <w:tcW w:w="1713" w:type="dxa"/>
            <w:tcBorders>
              <w:top w:val="nil"/>
              <w:left w:val="nil"/>
              <w:bottom w:val="nil"/>
              <w:right w:val="nil"/>
            </w:tcBorders>
          </w:tcPr>
          <w:p w14:paraId="3C09FF83" w14:textId="77777777" w:rsidR="00AE5815" w:rsidRPr="00AE5815" w:rsidRDefault="00AE5815" w:rsidP="00400DD1">
            <w:pPr>
              <w:pStyle w:val="-7"/>
              <w:rPr>
                <w:sz w:val="16"/>
                <w:szCs w:val="16"/>
                <w:rtl/>
              </w:rPr>
            </w:pPr>
          </w:p>
        </w:tc>
        <w:tc>
          <w:tcPr>
            <w:tcW w:w="3254" w:type="dxa"/>
            <w:tcBorders>
              <w:top w:val="nil"/>
              <w:left w:val="nil"/>
              <w:bottom w:val="nil"/>
              <w:right w:val="nil"/>
            </w:tcBorders>
            <w:shd w:val="clear" w:color="auto" w:fill="auto"/>
            <w:vAlign w:val="bottom"/>
          </w:tcPr>
          <w:p w14:paraId="669C1CEE" w14:textId="77777777" w:rsidR="00AE5815" w:rsidRPr="00AE5815" w:rsidRDefault="00AE5815" w:rsidP="00400DD1">
            <w:pPr>
              <w:pStyle w:val="-7"/>
              <w:rPr>
                <w:sz w:val="16"/>
                <w:szCs w:val="16"/>
                <w:rtl/>
              </w:rPr>
            </w:pPr>
          </w:p>
        </w:tc>
        <w:tc>
          <w:tcPr>
            <w:tcW w:w="2835" w:type="dxa"/>
            <w:gridSpan w:val="3"/>
            <w:tcBorders>
              <w:top w:val="nil"/>
              <w:left w:val="nil"/>
              <w:bottom w:val="nil"/>
              <w:right w:val="nil"/>
            </w:tcBorders>
            <w:vAlign w:val="bottom"/>
          </w:tcPr>
          <w:p w14:paraId="0E0EB639" w14:textId="77777777" w:rsidR="00AE5815" w:rsidRPr="00AE5815" w:rsidRDefault="00AE5815" w:rsidP="00400DD1">
            <w:pPr>
              <w:pStyle w:val="-4"/>
              <w:rPr>
                <w:sz w:val="16"/>
                <w:szCs w:val="16"/>
                <w:rtl/>
              </w:rPr>
            </w:pPr>
            <w:r w:rsidRPr="00AE5815">
              <w:rPr>
                <w:rFonts w:hint="cs"/>
                <w:sz w:val="16"/>
                <w:szCs w:val="16"/>
                <w:rtl/>
              </w:rPr>
              <w:t>מדידות שווי הוגן המשתמשות ב:</w:t>
            </w:r>
          </w:p>
        </w:tc>
        <w:tc>
          <w:tcPr>
            <w:tcW w:w="851" w:type="dxa"/>
            <w:tcBorders>
              <w:top w:val="nil"/>
              <w:left w:val="nil"/>
              <w:bottom w:val="nil"/>
              <w:right w:val="nil"/>
            </w:tcBorders>
            <w:vAlign w:val="bottom"/>
          </w:tcPr>
          <w:p w14:paraId="6571616D" w14:textId="77777777" w:rsidR="00AE5815" w:rsidRPr="00AE5815" w:rsidRDefault="00AE5815" w:rsidP="00400DD1">
            <w:pPr>
              <w:pStyle w:val="-7"/>
              <w:rPr>
                <w:sz w:val="16"/>
                <w:szCs w:val="16"/>
                <w:rtl/>
              </w:rPr>
            </w:pPr>
          </w:p>
        </w:tc>
        <w:tc>
          <w:tcPr>
            <w:tcW w:w="850" w:type="dxa"/>
            <w:tcBorders>
              <w:top w:val="nil"/>
              <w:left w:val="nil"/>
              <w:bottom w:val="nil"/>
              <w:right w:val="nil"/>
            </w:tcBorders>
            <w:vAlign w:val="bottom"/>
          </w:tcPr>
          <w:p w14:paraId="49B37FB1" w14:textId="77777777" w:rsidR="00AE5815" w:rsidRPr="00AE5815" w:rsidRDefault="00AE5815" w:rsidP="00400DD1">
            <w:pPr>
              <w:pStyle w:val="-7"/>
              <w:rPr>
                <w:sz w:val="16"/>
                <w:szCs w:val="16"/>
                <w:rtl/>
              </w:rPr>
            </w:pPr>
          </w:p>
        </w:tc>
        <w:tc>
          <w:tcPr>
            <w:tcW w:w="855" w:type="dxa"/>
            <w:tcBorders>
              <w:top w:val="nil"/>
              <w:left w:val="nil"/>
              <w:bottom w:val="nil"/>
              <w:right w:val="nil"/>
            </w:tcBorders>
            <w:vAlign w:val="bottom"/>
          </w:tcPr>
          <w:p w14:paraId="06369520" w14:textId="77777777" w:rsidR="00AE5815" w:rsidRPr="00AE5815" w:rsidRDefault="00AE5815" w:rsidP="00400DD1">
            <w:pPr>
              <w:pStyle w:val="-7"/>
              <w:rPr>
                <w:sz w:val="16"/>
                <w:szCs w:val="16"/>
                <w:rtl/>
              </w:rPr>
            </w:pPr>
          </w:p>
        </w:tc>
      </w:tr>
      <w:tr w:rsidR="00AE5815" w:rsidRPr="00AE5815" w14:paraId="6DB62F37" w14:textId="77777777" w:rsidTr="00320C27">
        <w:trPr>
          <w:trHeight w:val="259"/>
        </w:trPr>
        <w:tc>
          <w:tcPr>
            <w:tcW w:w="1713" w:type="dxa"/>
            <w:tcBorders>
              <w:top w:val="nil"/>
              <w:left w:val="nil"/>
              <w:bottom w:val="nil"/>
              <w:right w:val="nil"/>
            </w:tcBorders>
          </w:tcPr>
          <w:p w14:paraId="63525DE6" w14:textId="77777777" w:rsidR="00AE5815" w:rsidRPr="00AE5815" w:rsidRDefault="00AE5815" w:rsidP="00400DD1">
            <w:pPr>
              <w:pStyle w:val="-fa"/>
              <w:rPr>
                <w:sz w:val="16"/>
                <w:szCs w:val="16"/>
                <w:rtl/>
              </w:rPr>
            </w:pPr>
          </w:p>
        </w:tc>
        <w:tc>
          <w:tcPr>
            <w:tcW w:w="3254" w:type="dxa"/>
            <w:tcBorders>
              <w:top w:val="nil"/>
              <w:left w:val="nil"/>
              <w:bottom w:val="nil"/>
              <w:right w:val="nil"/>
            </w:tcBorders>
            <w:shd w:val="clear" w:color="auto" w:fill="auto"/>
            <w:vAlign w:val="bottom"/>
          </w:tcPr>
          <w:p w14:paraId="69E91C0A" w14:textId="77777777" w:rsidR="00AE5815" w:rsidRPr="00AE5815" w:rsidRDefault="00AE5815" w:rsidP="00400DD1">
            <w:pPr>
              <w:pStyle w:val="af5"/>
              <w:rPr>
                <w:sz w:val="16"/>
                <w:szCs w:val="16"/>
                <w:rtl/>
              </w:rPr>
            </w:pPr>
          </w:p>
        </w:tc>
        <w:tc>
          <w:tcPr>
            <w:tcW w:w="851" w:type="dxa"/>
            <w:tcBorders>
              <w:top w:val="nil"/>
              <w:left w:val="nil"/>
              <w:bottom w:val="nil"/>
              <w:right w:val="nil"/>
            </w:tcBorders>
            <w:vAlign w:val="bottom"/>
          </w:tcPr>
          <w:p w14:paraId="2EE5A385" w14:textId="77777777" w:rsidR="00AE5815" w:rsidRPr="00AE5815" w:rsidRDefault="00AE5815" w:rsidP="00400DD1">
            <w:pPr>
              <w:pStyle w:val="-4"/>
              <w:pBdr>
                <w:bottom w:val="none" w:sz="0" w:space="0" w:color="auto"/>
              </w:pBdr>
              <w:spacing w:line="240" w:lineRule="auto"/>
              <w:ind w:left="-72" w:right="-72"/>
              <w:rPr>
                <w:sz w:val="16"/>
                <w:szCs w:val="16"/>
                <w:rtl/>
              </w:rPr>
            </w:pPr>
            <w:r w:rsidRPr="00AE5815">
              <w:rPr>
                <w:rFonts w:hint="cs"/>
                <w:sz w:val="16"/>
                <w:szCs w:val="16"/>
                <w:rtl/>
              </w:rPr>
              <w:t>מחירים מצוטטים בשוק פעיל</w:t>
            </w:r>
          </w:p>
          <w:p w14:paraId="3ABEF0C5" w14:textId="77777777" w:rsidR="00AE5815" w:rsidRPr="00AE5815" w:rsidRDefault="00AE5815" w:rsidP="00400DD1">
            <w:pPr>
              <w:pStyle w:val="-4"/>
              <w:pBdr>
                <w:bottom w:val="single" w:sz="4" w:space="1" w:color="auto"/>
              </w:pBdr>
              <w:spacing w:line="240" w:lineRule="auto"/>
              <w:rPr>
                <w:sz w:val="16"/>
                <w:szCs w:val="16"/>
                <w:rtl/>
              </w:rPr>
            </w:pPr>
            <w:r w:rsidRPr="00AE5815">
              <w:rPr>
                <w:rFonts w:hint="cs"/>
                <w:sz w:val="16"/>
                <w:szCs w:val="16"/>
                <w:rtl/>
              </w:rPr>
              <w:t>(רמה 1)</w:t>
            </w:r>
          </w:p>
        </w:tc>
        <w:tc>
          <w:tcPr>
            <w:tcW w:w="992" w:type="dxa"/>
            <w:tcBorders>
              <w:top w:val="nil"/>
              <w:left w:val="nil"/>
              <w:bottom w:val="nil"/>
              <w:right w:val="nil"/>
            </w:tcBorders>
            <w:vAlign w:val="bottom"/>
          </w:tcPr>
          <w:p w14:paraId="4A278C09" w14:textId="77777777" w:rsidR="00AE5815" w:rsidRPr="00AE5815" w:rsidRDefault="00AE5815" w:rsidP="00400DD1">
            <w:pPr>
              <w:pStyle w:val="-4"/>
              <w:pBdr>
                <w:bottom w:val="none" w:sz="0" w:space="0" w:color="auto"/>
              </w:pBdr>
              <w:spacing w:line="240" w:lineRule="auto"/>
              <w:ind w:left="-72" w:right="-72"/>
              <w:rPr>
                <w:sz w:val="16"/>
                <w:szCs w:val="16"/>
                <w:rtl/>
              </w:rPr>
            </w:pPr>
            <w:r w:rsidRPr="00AE5815">
              <w:rPr>
                <w:rFonts w:hint="cs"/>
                <w:sz w:val="16"/>
                <w:szCs w:val="16"/>
                <w:rtl/>
              </w:rPr>
              <w:t>נתונים נצפים משמעותיים אחרים</w:t>
            </w:r>
          </w:p>
          <w:p w14:paraId="6A340045" w14:textId="77777777" w:rsidR="00AE5815" w:rsidRPr="00AE5815" w:rsidRDefault="00AE5815" w:rsidP="00400DD1">
            <w:pPr>
              <w:pStyle w:val="-4"/>
              <w:pBdr>
                <w:bottom w:val="single" w:sz="4" w:space="1" w:color="auto"/>
              </w:pBdr>
              <w:spacing w:line="240" w:lineRule="auto"/>
              <w:rPr>
                <w:sz w:val="16"/>
                <w:szCs w:val="16"/>
                <w:rtl/>
              </w:rPr>
            </w:pPr>
            <w:r w:rsidRPr="00AE5815">
              <w:rPr>
                <w:rFonts w:hint="cs"/>
                <w:sz w:val="16"/>
                <w:szCs w:val="16"/>
                <w:rtl/>
              </w:rPr>
              <w:t>(רמה 2)</w:t>
            </w:r>
          </w:p>
        </w:tc>
        <w:tc>
          <w:tcPr>
            <w:tcW w:w="992" w:type="dxa"/>
            <w:tcBorders>
              <w:top w:val="nil"/>
              <w:left w:val="nil"/>
              <w:bottom w:val="nil"/>
              <w:right w:val="nil"/>
            </w:tcBorders>
            <w:vAlign w:val="bottom"/>
          </w:tcPr>
          <w:p w14:paraId="67FB5073" w14:textId="77777777" w:rsidR="00AE5815" w:rsidRPr="00AE5815" w:rsidRDefault="00AE5815" w:rsidP="00400DD1">
            <w:pPr>
              <w:pStyle w:val="-4"/>
              <w:pBdr>
                <w:bottom w:val="none" w:sz="0" w:space="0" w:color="auto"/>
              </w:pBdr>
              <w:spacing w:line="240" w:lineRule="auto"/>
              <w:ind w:left="-72" w:right="-72"/>
              <w:rPr>
                <w:sz w:val="16"/>
                <w:szCs w:val="16"/>
                <w:rtl/>
              </w:rPr>
            </w:pPr>
            <w:r w:rsidRPr="00AE5815">
              <w:rPr>
                <w:rFonts w:hint="cs"/>
                <w:sz w:val="16"/>
                <w:szCs w:val="16"/>
                <w:rtl/>
              </w:rPr>
              <w:t>נתונים</w:t>
            </w:r>
          </w:p>
          <w:p w14:paraId="2F4A2F82" w14:textId="77777777" w:rsidR="00AE5815" w:rsidRPr="00AE5815" w:rsidRDefault="00AE5815" w:rsidP="00400DD1">
            <w:pPr>
              <w:pStyle w:val="-4"/>
              <w:pBdr>
                <w:bottom w:val="none" w:sz="0" w:space="0" w:color="auto"/>
              </w:pBdr>
              <w:spacing w:line="240" w:lineRule="auto"/>
              <w:ind w:left="-113" w:right="-113"/>
              <w:rPr>
                <w:sz w:val="16"/>
                <w:szCs w:val="16"/>
                <w:rtl/>
              </w:rPr>
            </w:pPr>
            <w:r w:rsidRPr="00AE5815">
              <w:rPr>
                <w:rFonts w:hint="cs"/>
                <w:sz w:val="16"/>
                <w:szCs w:val="16"/>
                <w:rtl/>
              </w:rPr>
              <w:t>לא נצפים משמעותיים</w:t>
            </w:r>
          </w:p>
          <w:p w14:paraId="4C0D5F00" w14:textId="77777777" w:rsidR="00AE5815" w:rsidRPr="00AE5815" w:rsidRDefault="00AE5815" w:rsidP="00400DD1">
            <w:pPr>
              <w:pStyle w:val="-4"/>
              <w:pBdr>
                <w:bottom w:val="single" w:sz="4" w:space="1" w:color="auto"/>
              </w:pBdr>
              <w:spacing w:line="240" w:lineRule="auto"/>
              <w:rPr>
                <w:sz w:val="16"/>
                <w:szCs w:val="16"/>
                <w:rtl/>
              </w:rPr>
            </w:pPr>
            <w:r w:rsidRPr="00AE5815">
              <w:rPr>
                <w:rFonts w:hint="cs"/>
                <w:sz w:val="16"/>
                <w:szCs w:val="16"/>
                <w:rtl/>
              </w:rPr>
              <w:t>(רמה 3)</w:t>
            </w:r>
          </w:p>
        </w:tc>
        <w:tc>
          <w:tcPr>
            <w:tcW w:w="851" w:type="dxa"/>
            <w:tcBorders>
              <w:top w:val="nil"/>
              <w:left w:val="nil"/>
              <w:bottom w:val="nil"/>
              <w:right w:val="nil"/>
            </w:tcBorders>
            <w:vAlign w:val="bottom"/>
          </w:tcPr>
          <w:p w14:paraId="3802557F" w14:textId="77777777" w:rsidR="00AE5815" w:rsidRPr="00AE5815" w:rsidRDefault="00AE5815" w:rsidP="00400DD1">
            <w:pPr>
              <w:pStyle w:val="-4"/>
              <w:pBdr>
                <w:bottom w:val="single" w:sz="4" w:space="1" w:color="auto"/>
              </w:pBdr>
              <w:spacing w:line="240" w:lineRule="auto"/>
              <w:rPr>
                <w:sz w:val="16"/>
                <w:szCs w:val="16"/>
                <w:rtl/>
              </w:rPr>
            </w:pPr>
            <w:r w:rsidRPr="00AE5815">
              <w:rPr>
                <w:rFonts w:hint="cs"/>
                <w:sz w:val="16"/>
                <w:szCs w:val="16"/>
                <w:rtl/>
              </w:rPr>
              <w:t>סך הכל שווי הוגן</w:t>
            </w:r>
          </w:p>
        </w:tc>
        <w:tc>
          <w:tcPr>
            <w:tcW w:w="850" w:type="dxa"/>
            <w:tcBorders>
              <w:top w:val="nil"/>
              <w:left w:val="nil"/>
              <w:bottom w:val="nil"/>
              <w:right w:val="nil"/>
            </w:tcBorders>
            <w:vAlign w:val="bottom"/>
          </w:tcPr>
          <w:p w14:paraId="4C96C273" w14:textId="77777777" w:rsidR="00AE5815" w:rsidRPr="00AE5815" w:rsidRDefault="00AE5815" w:rsidP="00400DD1">
            <w:pPr>
              <w:pStyle w:val="-4"/>
              <w:pBdr>
                <w:bottom w:val="single" w:sz="4" w:space="1" w:color="auto"/>
              </w:pBdr>
              <w:spacing w:line="240" w:lineRule="auto"/>
              <w:rPr>
                <w:sz w:val="16"/>
                <w:szCs w:val="16"/>
                <w:rtl/>
              </w:rPr>
            </w:pPr>
            <w:r w:rsidRPr="00AE5815">
              <w:rPr>
                <w:rFonts w:hint="cs"/>
                <w:sz w:val="16"/>
                <w:szCs w:val="16"/>
                <w:rtl/>
              </w:rPr>
              <w:t>השפעת הסכמי</w:t>
            </w:r>
          </w:p>
          <w:p w14:paraId="4EAEA366" w14:textId="77777777" w:rsidR="00AE5815" w:rsidRPr="00AE5815" w:rsidRDefault="00AE5815" w:rsidP="00400DD1">
            <w:pPr>
              <w:pStyle w:val="-4"/>
              <w:pBdr>
                <w:bottom w:val="single" w:sz="4" w:space="1" w:color="auto"/>
              </w:pBdr>
              <w:spacing w:line="240" w:lineRule="auto"/>
              <w:rPr>
                <w:sz w:val="16"/>
                <w:szCs w:val="16"/>
                <w:rtl/>
              </w:rPr>
            </w:pPr>
            <w:r w:rsidRPr="00AE5815">
              <w:rPr>
                <w:rFonts w:hint="cs"/>
                <w:sz w:val="16"/>
                <w:szCs w:val="16"/>
                <w:rtl/>
              </w:rPr>
              <w:t>קיזוז</w:t>
            </w:r>
          </w:p>
        </w:tc>
        <w:tc>
          <w:tcPr>
            <w:tcW w:w="855" w:type="dxa"/>
            <w:tcBorders>
              <w:top w:val="nil"/>
              <w:left w:val="nil"/>
              <w:bottom w:val="nil"/>
              <w:right w:val="nil"/>
            </w:tcBorders>
            <w:vAlign w:val="bottom"/>
          </w:tcPr>
          <w:p w14:paraId="1CBF4FEE" w14:textId="77777777" w:rsidR="00AE5815" w:rsidRPr="00AE5815" w:rsidRDefault="00AE5815" w:rsidP="00400DD1">
            <w:pPr>
              <w:pStyle w:val="-4"/>
              <w:pBdr>
                <w:bottom w:val="single" w:sz="4" w:space="1" w:color="auto"/>
              </w:pBdr>
              <w:spacing w:line="240" w:lineRule="auto"/>
              <w:rPr>
                <w:sz w:val="16"/>
                <w:szCs w:val="16"/>
                <w:rtl/>
              </w:rPr>
            </w:pPr>
          </w:p>
          <w:p w14:paraId="726A2910" w14:textId="77777777" w:rsidR="00AE5815" w:rsidRPr="00AE5815" w:rsidRDefault="00AE5815" w:rsidP="00400DD1">
            <w:pPr>
              <w:pStyle w:val="-4"/>
              <w:pBdr>
                <w:bottom w:val="single" w:sz="4" w:space="1" w:color="auto"/>
              </w:pBdr>
              <w:spacing w:line="240" w:lineRule="auto"/>
              <w:rPr>
                <w:sz w:val="16"/>
                <w:szCs w:val="16"/>
                <w:rtl/>
              </w:rPr>
            </w:pPr>
            <w:r w:rsidRPr="00AE5815">
              <w:rPr>
                <w:rFonts w:hint="cs"/>
                <w:sz w:val="16"/>
                <w:szCs w:val="16"/>
                <w:rtl/>
              </w:rPr>
              <w:t>יתרה מאזנית</w:t>
            </w:r>
          </w:p>
        </w:tc>
      </w:tr>
      <w:tr w:rsidR="00AE5815" w:rsidRPr="00AE5815" w14:paraId="757BAADB" w14:textId="77777777" w:rsidTr="00320C27">
        <w:trPr>
          <w:trHeight w:val="259"/>
        </w:trPr>
        <w:tc>
          <w:tcPr>
            <w:tcW w:w="1713" w:type="dxa"/>
            <w:tcBorders>
              <w:top w:val="nil"/>
              <w:left w:val="nil"/>
              <w:bottom w:val="nil"/>
              <w:right w:val="nil"/>
            </w:tcBorders>
          </w:tcPr>
          <w:p w14:paraId="013E3A1C"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4B47F1A7" w14:textId="77777777" w:rsidR="00AE5815" w:rsidRPr="00AE5815" w:rsidRDefault="00AE5815" w:rsidP="00400DD1">
            <w:pPr>
              <w:pStyle w:val="-f"/>
              <w:rPr>
                <w:sz w:val="16"/>
                <w:szCs w:val="16"/>
                <w:rtl/>
              </w:rPr>
            </w:pPr>
            <w:r w:rsidRPr="00AE5815">
              <w:rPr>
                <w:rFonts w:hint="cs"/>
                <w:sz w:val="16"/>
                <w:szCs w:val="16"/>
                <w:rtl/>
              </w:rPr>
              <w:t>נכסים</w:t>
            </w:r>
          </w:p>
        </w:tc>
        <w:tc>
          <w:tcPr>
            <w:tcW w:w="851" w:type="dxa"/>
            <w:tcBorders>
              <w:top w:val="nil"/>
              <w:left w:val="nil"/>
              <w:bottom w:val="nil"/>
              <w:right w:val="nil"/>
            </w:tcBorders>
          </w:tcPr>
          <w:p w14:paraId="220E7753" w14:textId="77777777" w:rsidR="00AE5815" w:rsidRPr="00AE5815" w:rsidRDefault="00AE5815" w:rsidP="00400DD1">
            <w:pPr>
              <w:pStyle w:val="-7"/>
              <w:spacing w:beforeLines="20" w:before="48" w:line="216" w:lineRule="auto"/>
              <w:jc w:val="center"/>
              <w:rPr>
                <w:sz w:val="16"/>
                <w:szCs w:val="16"/>
                <w:rtl/>
              </w:rPr>
            </w:pPr>
          </w:p>
        </w:tc>
        <w:tc>
          <w:tcPr>
            <w:tcW w:w="992" w:type="dxa"/>
            <w:tcBorders>
              <w:top w:val="nil"/>
              <w:left w:val="nil"/>
              <w:bottom w:val="nil"/>
              <w:right w:val="nil"/>
            </w:tcBorders>
          </w:tcPr>
          <w:p w14:paraId="2004806C" w14:textId="77777777" w:rsidR="00AE5815" w:rsidRPr="00AE5815" w:rsidRDefault="00AE5815" w:rsidP="00400DD1">
            <w:pPr>
              <w:pStyle w:val="-7"/>
              <w:spacing w:beforeLines="20" w:before="48" w:line="216" w:lineRule="auto"/>
              <w:jc w:val="center"/>
              <w:rPr>
                <w:sz w:val="16"/>
                <w:szCs w:val="16"/>
                <w:rtl/>
              </w:rPr>
            </w:pPr>
          </w:p>
        </w:tc>
        <w:tc>
          <w:tcPr>
            <w:tcW w:w="992" w:type="dxa"/>
            <w:tcBorders>
              <w:top w:val="nil"/>
              <w:left w:val="nil"/>
              <w:bottom w:val="nil"/>
              <w:right w:val="nil"/>
            </w:tcBorders>
          </w:tcPr>
          <w:p w14:paraId="67BF7DD5" w14:textId="77777777" w:rsidR="00AE5815" w:rsidRPr="00AE5815" w:rsidRDefault="00AE5815" w:rsidP="00400DD1">
            <w:pPr>
              <w:pStyle w:val="-7"/>
              <w:spacing w:beforeLines="20" w:before="48" w:line="216" w:lineRule="auto"/>
              <w:jc w:val="center"/>
              <w:rPr>
                <w:sz w:val="16"/>
                <w:szCs w:val="16"/>
                <w:rtl/>
              </w:rPr>
            </w:pPr>
          </w:p>
        </w:tc>
        <w:tc>
          <w:tcPr>
            <w:tcW w:w="851" w:type="dxa"/>
            <w:tcBorders>
              <w:top w:val="nil"/>
              <w:left w:val="nil"/>
              <w:bottom w:val="nil"/>
              <w:right w:val="nil"/>
            </w:tcBorders>
          </w:tcPr>
          <w:p w14:paraId="384B42F9" w14:textId="77777777" w:rsidR="00AE5815" w:rsidRPr="00AE5815" w:rsidRDefault="00AE5815" w:rsidP="00400DD1">
            <w:pPr>
              <w:pStyle w:val="-7"/>
              <w:spacing w:beforeLines="20" w:before="48" w:line="216" w:lineRule="auto"/>
              <w:jc w:val="center"/>
              <w:rPr>
                <w:sz w:val="16"/>
                <w:szCs w:val="16"/>
                <w:rtl/>
              </w:rPr>
            </w:pPr>
          </w:p>
        </w:tc>
        <w:tc>
          <w:tcPr>
            <w:tcW w:w="850" w:type="dxa"/>
            <w:tcBorders>
              <w:top w:val="nil"/>
              <w:left w:val="nil"/>
              <w:bottom w:val="nil"/>
              <w:right w:val="nil"/>
            </w:tcBorders>
          </w:tcPr>
          <w:p w14:paraId="3A552831" w14:textId="77777777" w:rsidR="00AE5815" w:rsidRPr="00AE5815" w:rsidRDefault="00AE5815" w:rsidP="00400DD1">
            <w:pPr>
              <w:pStyle w:val="-7"/>
              <w:spacing w:beforeLines="20" w:before="48" w:line="216" w:lineRule="auto"/>
              <w:jc w:val="center"/>
              <w:rPr>
                <w:sz w:val="16"/>
                <w:szCs w:val="16"/>
                <w:rtl/>
              </w:rPr>
            </w:pPr>
          </w:p>
        </w:tc>
        <w:tc>
          <w:tcPr>
            <w:tcW w:w="855" w:type="dxa"/>
            <w:tcBorders>
              <w:top w:val="nil"/>
              <w:left w:val="nil"/>
              <w:bottom w:val="nil"/>
              <w:right w:val="nil"/>
            </w:tcBorders>
          </w:tcPr>
          <w:p w14:paraId="6FF3C28E" w14:textId="77777777" w:rsidR="00AE5815" w:rsidRPr="00AE5815" w:rsidRDefault="00AE5815" w:rsidP="00400DD1">
            <w:pPr>
              <w:pStyle w:val="-7"/>
              <w:spacing w:beforeLines="20" w:before="48" w:line="216" w:lineRule="auto"/>
              <w:jc w:val="center"/>
              <w:rPr>
                <w:sz w:val="16"/>
                <w:szCs w:val="16"/>
                <w:rtl/>
              </w:rPr>
            </w:pPr>
          </w:p>
        </w:tc>
      </w:tr>
      <w:tr w:rsidR="00AE5815" w:rsidRPr="00AE5815" w14:paraId="391CE4EC" w14:textId="77777777" w:rsidTr="00320C27">
        <w:trPr>
          <w:trHeight w:val="259"/>
        </w:trPr>
        <w:tc>
          <w:tcPr>
            <w:tcW w:w="1713" w:type="dxa"/>
            <w:tcBorders>
              <w:top w:val="nil"/>
              <w:left w:val="nil"/>
              <w:bottom w:val="nil"/>
              <w:right w:val="nil"/>
            </w:tcBorders>
          </w:tcPr>
          <w:p w14:paraId="24569BB5"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29A023E1" w14:textId="302C0BC9" w:rsidR="00AE5815" w:rsidRPr="00AE5815" w:rsidRDefault="00AE5815" w:rsidP="00400DD1">
            <w:pPr>
              <w:pStyle w:val="-b"/>
              <w:spacing w:before="20" w:after="20" w:line="240" w:lineRule="auto"/>
              <w:ind w:left="142" w:hanging="142"/>
              <w:rPr>
                <w:b w:val="0"/>
                <w:bCs w:val="0"/>
                <w:sz w:val="16"/>
                <w:szCs w:val="16"/>
                <w:rtl/>
              </w:rPr>
            </w:pPr>
            <w:r w:rsidRPr="00AE5815">
              <w:rPr>
                <w:rFonts w:hint="cs"/>
                <w:b w:val="0"/>
                <w:bCs w:val="0"/>
                <w:sz w:val="16"/>
                <w:szCs w:val="16"/>
                <w:rtl/>
              </w:rPr>
              <w:t xml:space="preserve">אגרות חוב זמינות למכירה ומניות שאינן למסחר </w:t>
            </w:r>
            <w:r w:rsidRPr="00AE5815">
              <w:rPr>
                <w:rFonts w:hint="cs"/>
                <w:b w:val="0"/>
                <w:bCs w:val="0"/>
                <w:sz w:val="16"/>
                <w:szCs w:val="16"/>
                <w:vertAlign w:val="superscript"/>
                <w:rtl/>
              </w:rPr>
              <w:t>[1]</w:t>
            </w:r>
          </w:p>
        </w:tc>
        <w:tc>
          <w:tcPr>
            <w:tcW w:w="851" w:type="dxa"/>
            <w:tcBorders>
              <w:top w:val="nil"/>
              <w:left w:val="nil"/>
              <w:bottom w:val="nil"/>
              <w:right w:val="nil"/>
            </w:tcBorders>
            <w:vAlign w:val="bottom"/>
          </w:tcPr>
          <w:p w14:paraId="7F8D4042"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68E715CA"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043BE34B"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088B5FDC"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65E92375"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p>
        </w:tc>
        <w:tc>
          <w:tcPr>
            <w:tcW w:w="855" w:type="dxa"/>
            <w:tcBorders>
              <w:top w:val="nil"/>
              <w:left w:val="nil"/>
              <w:bottom w:val="nil"/>
              <w:right w:val="nil"/>
            </w:tcBorders>
            <w:vAlign w:val="bottom"/>
          </w:tcPr>
          <w:p w14:paraId="3C02239C"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r>
      <w:tr w:rsidR="00AE5815" w:rsidRPr="00AE5815" w14:paraId="6648D9D8" w14:textId="77777777" w:rsidTr="00320C27">
        <w:trPr>
          <w:trHeight w:val="259"/>
        </w:trPr>
        <w:tc>
          <w:tcPr>
            <w:tcW w:w="1713" w:type="dxa"/>
            <w:tcBorders>
              <w:top w:val="nil"/>
              <w:left w:val="nil"/>
              <w:bottom w:val="nil"/>
              <w:right w:val="nil"/>
            </w:tcBorders>
          </w:tcPr>
          <w:p w14:paraId="248715FE"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6D636618" w14:textId="77777777" w:rsidR="00AE5815" w:rsidRPr="00AE5815" w:rsidRDefault="00AE5815" w:rsidP="00400DD1">
            <w:pPr>
              <w:pStyle w:val="-b"/>
              <w:spacing w:before="20" w:after="20" w:line="240" w:lineRule="auto"/>
              <w:ind w:left="142" w:hanging="142"/>
              <w:rPr>
                <w:b w:val="0"/>
                <w:bCs w:val="0"/>
                <w:sz w:val="16"/>
                <w:szCs w:val="16"/>
                <w:rtl/>
              </w:rPr>
            </w:pPr>
            <w:r w:rsidRPr="00AE5815">
              <w:rPr>
                <w:rFonts w:hint="cs"/>
                <w:b w:val="0"/>
                <w:bCs w:val="0"/>
                <w:sz w:val="16"/>
                <w:szCs w:val="16"/>
                <w:rtl/>
              </w:rPr>
              <w:t xml:space="preserve">ניירות ערך למסחר </w:t>
            </w:r>
            <w:r w:rsidRPr="00AE5815">
              <w:rPr>
                <w:rFonts w:hint="cs"/>
                <w:b w:val="0"/>
                <w:bCs w:val="0"/>
                <w:sz w:val="16"/>
                <w:szCs w:val="16"/>
                <w:vertAlign w:val="superscript"/>
                <w:rtl/>
              </w:rPr>
              <w:t>[1]</w:t>
            </w:r>
          </w:p>
        </w:tc>
        <w:tc>
          <w:tcPr>
            <w:tcW w:w="851" w:type="dxa"/>
            <w:tcBorders>
              <w:top w:val="nil"/>
              <w:left w:val="nil"/>
              <w:bottom w:val="nil"/>
              <w:right w:val="nil"/>
            </w:tcBorders>
            <w:vAlign w:val="bottom"/>
          </w:tcPr>
          <w:p w14:paraId="1950A919"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4673D9A8"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6571D6FF"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5B51F417"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720DEF11"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p>
        </w:tc>
        <w:tc>
          <w:tcPr>
            <w:tcW w:w="855" w:type="dxa"/>
            <w:tcBorders>
              <w:top w:val="nil"/>
              <w:left w:val="nil"/>
              <w:bottom w:val="nil"/>
              <w:right w:val="nil"/>
            </w:tcBorders>
            <w:vAlign w:val="bottom"/>
          </w:tcPr>
          <w:p w14:paraId="1B9961C7"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r>
      <w:tr w:rsidR="00AE5815" w:rsidRPr="00AE5815" w14:paraId="3539D32F" w14:textId="77777777" w:rsidTr="00320C27">
        <w:trPr>
          <w:trHeight w:val="259"/>
        </w:trPr>
        <w:tc>
          <w:tcPr>
            <w:tcW w:w="1713" w:type="dxa"/>
            <w:tcBorders>
              <w:top w:val="nil"/>
              <w:left w:val="nil"/>
              <w:bottom w:val="nil"/>
              <w:right w:val="nil"/>
            </w:tcBorders>
          </w:tcPr>
          <w:p w14:paraId="13DA2969"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337350E0" w14:textId="72C11F41" w:rsidR="00AE5815" w:rsidRPr="00AE5815" w:rsidRDefault="00AE5815" w:rsidP="00400DD1">
            <w:pPr>
              <w:pStyle w:val="-b"/>
              <w:spacing w:before="20" w:after="20" w:line="240" w:lineRule="auto"/>
              <w:ind w:left="142" w:hanging="142"/>
              <w:rPr>
                <w:b w:val="0"/>
                <w:bCs w:val="0"/>
                <w:sz w:val="16"/>
                <w:szCs w:val="16"/>
                <w:rtl/>
              </w:rPr>
            </w:pPr>
            <w:r w:rsidRPr="00AE5815">
              <w:rPr>
                <w:rFonts w:hint="cs"/>
                <w:b w:val="0"/>
                <w:bCs w:val="0"/>
                <w:sz w:val="16"/>
                <w:szCs w:val="16"/>
                <w:rtl/>
              </w:rPr>
              <w:t>נכסים בגין מכשירים נגזרים</w:t>
            </w:r>
            <w:r w:rsidRPr="00AE5815">
              <w:rPr>
                <w:rFonts w:hint="cs"/>
                <w:b w:val="0"/>
                <w:bCs w:val="0"/>
                <w:sz w:val="16"/>
                <w:szCs w:val="16"/>
                <w:vertAlign w:val="superscript"/>
                <w:rtl/>
              </w:rPr>
              <w:t xml:space="preserve"> [2]</w:t>
            </w:r>
          </w:p>
        </w:tc>
        <w:tc>
          <w:tcPr>
            <w:tcW w:w="851" w:type="dxa"/>
            <w:tcBorders>
              <w:top w:val="nil"/>
              <w:left w:val="nil"/>
              <w:bottom w:val="nil"/>
              <w:right w:val="nil"/>
            </w:tcBorders>
            <w:vAlign w:val="bottom"/>
          </w:tcPr>
          <w:p w14:paraId="69F26FE6"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14BBB22F"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7FAF7090"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087E4D0F"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705EFEF4"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(0)</w:t>
            </w:r>
          </w:p>
        </w:tc>
        <w:tc>
          <w:tcPr>
            <w:tcW w:w="855" w:type="dxa"/>
            <w:tcBorders>
              <w:top w:val="nil"/>
              <w:left w:val="nil"/>
              <w:bottom w:val="nil"/>
              <w:right w:val="nil"/>
            </w:tcBorders>
            <w:vAlign w:val="bottom"/>
          </w:tcPr>
          <w:p w14:paraId="0767D3ED"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r>
      <w:tr w:rsidR="00AE5815" w:rsidRPr="00AE5815" w14:paraId="7D37B98E" w14:textId="77777777" w:rsidTr="00320C27">
        <w:trPr>
          <w:trHeight w:val="259"/>
        </w:trPr>
        <w:tc>
          <w:tcPr>
            <w:tcW w:w="1713" w:type="dxa"/>
            <w:tcBorders>
              <w:top w:val="nil"/>
              <w:left w:val="nil"/>
              <w:bottom w:val="nil"/>
              <w:right w:val="nil"/>
            </w:tcBorders>
          </w:tcPr>
          <w:p w14:paraId="066792BC"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4E74F5E9" w14:textId="77777777" w:rsidR="00AE5815" w:rsidRPr="00AE5815" w:rsidRDefault="00AE5815" w:rsidP="00400DD1">
            <w:pPr>
              <w:pStyle w:val="-23"/>
              <w:spacing w:beforeLines="20" w:before="48" w:line="216" w:lineRule="auto"/>
              <w:ind w:left="142" w:hanging="142"/>
              <w:rPr>
                <w:b w:val="0"/>
                <w:bCs w:val="0"/>
                <w:sz w:val="16"/>
                <w:szCs w:val="16"/>
                <w:rtl/>
              </w:rPr>
            </w:pPr>
            <w:r w:rsidRPr="00AE5815">
              <w:rPr>
                <w:rFonts w:hint="eastAsia"/>
                <w:b w:val="0"/>
                <w:bCs w:val="0"/>
                <w:sz w:val="16"/>
                <w:szCs w:val="16"/>
                <w:rtl/>
              </w:rPr>
              <w:t>אחר</w:t>
            </w:r>
            <w:r w:rsidRPr="00AE5815">
              <w:rPr>
                <w:rFonts w:hint="cs"/>
                <w:b w:val="0"/>
                <w:bCs w:val="0"/>
                <w:sz w:val="16"/>
                <w:szCs w:val="16"/>
                <w:rtl/>
              </w:rPr>
              <w:t xml:space="preserve"> [פרט אם מהותי]</w:t>
            </w:r>
          </w:p>
        </w:tc>
        <w:tc>
          <w:tcPr>
            <w:tcW w:w="851" w:type="dxa"/>
            <w:tcBorders>
              <w:top w:val="nil"/>
              <w:left w:val="nil"/>
              <w:bottom w:val="nil"/>
              <w:right w:val="nil"/>
            </w:tcBorders>
            <w:vAlign w:val="bottom"/>
          </w:tcPr>
          <w:p w14:paraId="780ACDA6" w14:textId="77777777" w:rsidR="00AE5815" w:rsidRPr="00AE5815" w:rsidRDefault="00AE5815" w:rsidP="00400DD1">
            <w:pPr>
              <w:pStyle w:val="-3"/>
              <w:pBdr>
                <w:bottom w:val="single" w:sz="4" w:space="1" w:color="auto"/>
              </w:pBdr>
              <w:spacing w:beforeLines="20" w:before="48" w:line="216" w:lineRule="auto"/>
              <w:rPr>
                <w:b/>
                <w:bCs/>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5180499F" w14:textId="77777777" w:rsidR="00AE5815" w:rsidRPr="00AE5815" w:rsidRDefault="00AE5815" w:rsidP="00400DD1">
            <w:pPr>
              <w:pStyle w:val="-3"/>
              <w:pBdr>
                <w:bottom w:val="single" w:sz="4" w:space="1" w:color="auto"/>
              </w:pBdr>
              <w:spacing w:beforeLines="20" w:before="48" w:line="216" w:lineRule="auto"/>
              <w:rPr>
                <w:b/>
                <w:bCs/>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41953D64" w14:textId="77777777" w:rsidR="00AE5815" w:rsidRPr="00AE5815" w:rsidRDefault="00AE5815" w:rsidP="00400DD1">
            <w:pPr>
              <w:pStyle w:val="-3"/>
              <w:pBdr>
                <w:bottom w:val="single" w:sz="4" w:space="1" w:color="auto"/>
              </w:pBdr>
              <w:spacing w:beforeLines="20" w:before="48" w:line="216" w:lineRule="auto"/>
              <w:rPr>
                <w:b/>
                <w:bCs/>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1560FCFF" w14:textId="77777777" w:rsidR="00AE5815" w:rsidRPr="00AE5815" w:rsidRDefault="00AE5815" w:rsidP="00400DD1">
            <w:pPr>
              <w:pStyle w:val="-3"/>
              <w:pBdr>
                <w:bottom w:val="single" w:sz="4" w:space="1" w:color="auto"/>
              </w:pBdr>
              <w:spacing w:beforeLines="20" w:before="48" w:line="216" w:lineRule="auto"/>
              <w:rPr>
                <w:b/>
                <w:bCs/>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44D68A0B" w14:textId="77777777" w:rsidR="00AE5815" w:rsidRPr="00AE5815" w:rsidRDefault="00AE5815" w:rsidP="00400DD1">
            <w:pPr>
              <w:pStyle w:val="-3"/>
              <w:pBdr>
                <w:bottom w:val="single" w:sz="4" w:space="1" w:color="auto"/>
              </w:pBdr>
              <w:spacing w:beforeLines="20" w:before="48" w:line="216" w:lineRule="auto"/>
              <w:rPr>
                <w:b/>
                <w:bCs/>
                <w:sz w:val="16"/>
                <w:szCs w:val="16"/>
                <w:rtl/>
              </w:rPr>
            </w:pPr>
            <w:r w:rsidRPr="00AE5815">
              <w:rPr>
                <w:rFonts w:hint="cs"/>
                <w:sz w:val="16"/>
                <w:szCs w:val="16"/>
                <w:rtl/>
              </w:rPr>
              <w:t xml:space="preserve"> (0)</w:t>
            </w:r>
          </w:p>
        </w:tc>
        <w:tc>
          <w:tcPr>
            <w:tcW w:w="855" w:type="dxa"/>
            <w:tcBorders>
              <w:top w:val="nil"/>
              <w:left w:val="nil"/>
              <w:bottom w:val="nil"/>
              <w:right w:val="nil"/>
            </w:tcBorders>
            <w:vAlign w:val="bottom"/>
          </w:tcPr>
          <w:p w14:paraId="757AA5CE" w14:textId="77777777" w:rsidR="00AE5815" w:rsidRPr="00AE5815" w:rsidRDefault="00AE5815" w:rsidP="00400DD1">
            <w:pPr>
              <w:pStyle w:val="-3"/>
              <w:pBdr>
                <w:bottom w:val="single" w:sz="4" w:space="1" w:color="auto"/>
              </w:pBdr>
              <w:spacing w:beforeLines="20" w:before="48" w:line="216" w:lineRule="auto"/>
              <w:rPr>
                <w:b/>
                <w:bCs/>
                <w:sz w:val="16"/>
                <w:szCs w:val="16"/>
                <w:rtl/>
              </w:rPr>
            </w:pPr>
            <w:r w:rsidRPr="00AE5815">
              <w:rPr>
                <w:rFonts w:hint="cs"/>
                <w:sz w:val="16"/>
                <w:szCs w:val="16"/>
                <w:rtl/>
              </w:rPr>
              <w:t xml:space="preserve"> </w:t>
            </w:r>
            <w:r w:rsidRPr="00AE5815">
              <w:rPr>
                <w:sz w:val="16"/>
                <w:szCs w:val="16"/>
                <w:rtl/>
              </w:rPr>
              <w:t>0</w:t>
            </w:r>
          </w:p>
        </w:tc>
      </w:tr>
      <w:tr w:rsidR="00AE5815" w:rsidRPr="00AE5815" w14:paraId="05ABCDA9" w14:textId="77777777" w:rsidTr="00320C27">
        <w:trPr>
          <w:trHeight w:val="259"/>
        </w:trPr>
        <w:tc>
          <w:tcPr>
            <w:tcW w:w="1713" w:type="dxa"/>
            <w:tcBorders>
              <w:top w:val="nil"/>
              <w:left w:val="nil"/>
              <w:bottom w:val="nil"/>
              <w:right w:val="nil"/>
            </w:tcBorders>
          </w:tcPr>
          <w:p w14:paraId="5DD6882D"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0A330F7A" w14:textId="77777777" w:rsidR="00AE5815" w:rsidRPr="00AE5815" w:rsidRDefault="00AE5815" w:rsidP="00400DD1">
            <w:pPr>
              <w:pStyle w:val="-23"/>
              <w:spacing w:before="20" w:after="60" w:line="240" w:lineRule="auto"/>
              <w:ind w:left="142" w:hanging="142"/>
              <w:rPr>
                <w:sz w:val="16"/>
                <w:szCs w:val="16"/>
                <w:rtl/>
              </w:rPr>
            </w:pPr>
            <w:r w:rsidRPr="00AE5815">
              <w:rPr>
                <w:sz w:val="16"/>
                <w:szCs w:val="16"/>
                <w:rtl/>
              </w:rPr>
              <w:t xml:space="preserve">סך </w:t>
            </w:r>
            <w:r w:rsidRPr="00AE5815">
              <w:rPr>
                <w:rFonts w:hint="cs"/>
                <w:sz w:val="16"/>
                <w:szCs w:val="16"/>
                <w:rtl/>
              </w:rPr>
              <w:t>כל הנכסים</w:t>
            </w:r>
          </w:p>
        </w:tc>
        <w:tc>
          <w:tcPr>
            <w:tcW w:w="851" w:type="dxa"/>
            <w:tcBorders>
              <w:top w:val="nil"/>
              <w:left w:val="nil"/>
              <w:bottom w:val="nil"/>
              <w:right w:val="nil"/>
            </w:tcBorders>
            <w:vAlign w:val="bottom"/>
          </w:tcPr>
          <w:p w14:paraId="63E568BA"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72EF8441"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69B1A5E6"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5F366529"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44D3B25B"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r w:rsidRPr="00AE5815">
              <w:rPr>
                <w:rFonts w:hint="cs"/>
                <w:sz w:val="16"/>
                <w:szCs w:val="16"/>
                <w:rtl/>
              </w:rPr>
              <w:t>)</w:t>
            </w:r>
          </w:p>
        </w:tc>
        <w:tc>
          <w:tcPr>
            <w:tcW w:w="855" w:type="dxa"/>
            <w:tcBorders>
              <w:top w:val="nil"/>
              <w:left w:val="nil"/>
              <w:bottom w:val="nil"/>
              <w:right w:val="nil"/>
            </w:tcBorders>
            <w:vAlign w:val="bottom"/>
          </w:tcPr>
          <w:p w14:paraId="086E2C72"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r>
      <w:tr w:rsidR="00AE5815" w:rsidRPr="00AE5815" w14:paraId="38254BA1" w14:textId="77777777" w:rsidTr="00320C27">
        <w:trPr>
          <w:trHeight w:val="259"/>
        </w:trPr>
        <w:tc>
          <w:tcPr>
            <w:tcW w:w="1713" w:type="dxa"/>
            <w:tcBorders>
              <w:top w:val="nil"/>
              <w:left w:val="nil"/>
              <w:bottom w:val="nil"/>
              <w:right w:val="nil"/>
            </w:tcBorders>
          </w:tcPr>
          <w:p w14:paraId="2AFD815F"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5A58DD19" w14:textId="77777777" w:rsidR="00AE5815" w:rsidRPr="00AE5815" w:rsidRDefault="00AE5815" w:rsidP="00400DD1">
            <w:pPr>
              <w:pStyle w:val="-23"/>
              <w:spacing w:before="80" w:line="240" w:lineRule="auto"/>
              <w:ind w:left="142" w:hanging="142"/>
              <w:rPr>
                <w:sz w:val="16"/>
                <w:szCs w:val="16"/>
                <w:u w:val="single"/>
                <w:rtl/>
              </w:rPr>
            </w:pPr>
            <w:r w:rsidRPr="00AE5815">
              <w:rPr>
                <w:sz w:val="16"/>
                <w:szCs w:val="16"/>
                <w:u w:val="single"/>
                <w:rtl/>
              </w:rPr>
              <w:t xml:space="preserve">התחייבויות </w:t>
            </w:r>
          </w:p>
        </w:tc>
        <w:tc>
          <w:tcPr>
            <w:tcW w:w="851" w:type="dxa"/>
            <w:tcBorders>
              <w:top w:val="nil"/>
              <w:left w:val="nil"/>
              <w:bottom w:val="nil"/>
              <w:right w:val="nil"/>
            </w:tcBorders>
          </w:tcPr>
          <w:p w14:paraId="1E26DBC8" w14:textId="77777777" w:rsidR="00AE5815" w:rsidRPr="00AE5815" w:rsidRDefault="00AE5815" w:rsidP="00400DD1">
            <w:pPr>
              <w:pStyle w:val="-f1"/>
              <w:pBdr>
                <w:top w:val="none" w:sz="0" w:space="0" w:color="auto"/>
              </w:pBdr>
              <w:spacing w:beforeLines="20" w:before="48" w:line="216" w:lineRule="auto"/>
              <w:rPr>
                <w:sz w:val="16"/>
                <w:szCs w:val="16"/>
                <w:rtl/>
              </w:rPr>
            </w:pPr>
          </w:p>
        </w:tc>
        <w:tc>
          <w:tcPr>
            <w:tcW w:w="992" w:type="dxa"/>
            <w:tcBorders>
              <w:top w:val="nil"/>
              <w:left w:val="nil"/>
              <w:bottom w:val="nil"/>
              <w:right w:val="nil"/>
            </w:tcBorders>
          </w:tcPr>
          <w:p w14:paraId="53CA3703" w14:textId="77777777" w:rsidR="00AE5815" w:rsidRPr="00AE5815" w:rsidRDefault="00AE5815" w:rsidP="00400DD1">
            <w:pPr>
              <w:pStyle w:val="-f1"/>
              <w:pBdr>
                <w:top w:val="none" w:sz="0" w:space="0" w:color="auto"/>
              </w:pBdr>
              <w:spacing w:beforeLines="20" w:before="48" w:line="216" w:lineRule="auto"/>
              <w:rPr>
                <w:sz w:val="16"/>
                <w:szCs w:val="16"/>
                <w:rtl/>
              </w:rPr>
            </w:pPr>
          </w:p>
        </w:tc>
        <w:tc>
          <w:tcPr>
            <w:tcW w:w="992" w:type="dxa"/>
            <w:tcBorders>
              <w:top w:val="nil"/>
              <w:left w:val="nil"/>
              <w:bottom w:val="nil"/>
              <w:right w:val="nil"/>
            </w:tcBorders>
          </w:tcPr>
          <w:p w14:paraId="0FAD4024" w14:textId="77777777" w:rsidR="00AE5815" w:rsidRPr="00AE5815" w:rsidRDefault="00AE5815" w:rsidP="00400DD1">
            <w:pPr>
              <w:pStyle w:val="-f1"/>
              <w:pBdr>
                <w:top w:val="none" w:sz="0" w:space="0" w:color="auto"/>
              </w:pBdr>
              <w:spacing w:beforeLines="20" w:before="48" w:line="216" w:lineRule="auto"/>
              <w:rPr>
                <w:sz w:val="16"/>
                <w:szCs w:val="16"/>
                <w:rtl/>
              </w:rPr>
            </w:pPr>
          </w:p>
        </w:tc>
        <w:tc>
          <w:tcPr>
            <w:tcW w:w="851" w:type="dxa"/>
            <w:tcBorders>
              <w:top w:val="nil"/>
              <w:left w:val="nil"/>
              <w:bottom w:val="nil"/>
              <w:right w:val="nil"/>
            </w:tcBorders>
          </w:tcPr>
          <w:p w14:paraId="04825496" w14:textId="77777777" w:rsidR="00AE5815" w:rsidRPr="00AE5815" w:rsidRDefault="00AE5815" w:rsidP="00400DD1">
            <w:pPr>
              <w:pStyle w:val="-f1"/>
              <w:pBdr>
                <w:top w:val="none" w:sz="0" w:space="0" w:color="auto"/>
              </w:pBdr>
              <w:spacing w:beforeLines="20" w:before="48" w:line="216" w:lineRule="auto"/>
              <w:rPr>
                <w:sz w:val="16"/>
                <w:szCs w:val="16"/>
                <w:rtl/>
              </w:rPr>
            </w:pPr>
          </w:p>
        </w:tc>
        <w:tc>
          <w:tcPr>
            <w:tcW w:w="850" w:type="dxa"/>
            <w:tcBorders>
              <w:top w:val="nil"/>
              <w:left w:val="nil"/>
              <w:bottom w:val="nil"/>
              <w:right w:val="nil"/>
            </w:tcBorders>
          </w:tcPr>
          <w:p w14:paraId="16F3B81D" w14:textId="77777777" w:rsidR="00AE5815" w:rsidRPr="00AE5815" w:rsidRDefault="00AE5815" w:rsidP="00400DD1">
            <w:pPr>
              <w:pStyle w:val="-f1"/>
              <w:pBdr>
                <w:top w:val="none" w:sz="0" w:space="0" w:color="auto"/>
              </w:pBdr>
              <w:spacing w:beforeLines="20" w:before="48" w:line="216" w:lineRule="auto"/>
              <w:rPr>
                <w:sz w:val="16"/>
                <w:szCs w:val="16"/>
                <w:rtl/>
              </w:rPr>
            </w:pPr>
          </w:p>
        </w:tc>
        <w:tc>
          <w:tcPr>
            <w:tcW w:w="855" w:type="dxa"/>
            <w:tcBorders>
              <w:top w:val="nil"/>
              <w:left w:val="nil"/>
              <w:bottom w:val="nil"/>
              <w:right w:val="nil"/>
            </w:tcBorders>
          </w:tcPr>
          <w:p w14:paraId="1EEAFE2A" w14:textId="77777777" w:rsidR="00AE5815" w:rsidRPr="00AE5815" w:rsidRDefault="00AE5815" w:rsidP="00400DD1">
            <w:pPr>
              <w:pStyle w:val="-f1"/>
              <w:pBdr>
                <w:top w:val="none" w:sz="0" w:space="0" w:color="auto"/>
              </w:pBdr>
              <w:spacing w:beforeLines="20" w:before="48" w:line="216" w:lineRule="auto"/>
              <w:rPr>
                <w:sz w:val="16"/>
                <w:szCs w:val="16"/>
                <w:rtl/>
              </w:rPr>
            </w:pPr>
          </w:p>
        </w:tc>
      </w:tr>
      <w:tr w:rsidR="00AE5815" w:rsidRPr="00AE5815" w14:paraId="7FCAA09D" w14:textId="77777777" w:rsidTr="00320C27">
        <w:trPr>
          <w:trHeight w:val="259"/>
        </w:trPr>
        <w:tc>
          <w:tcPr>
            <w:tcW w:w="1713" w:type="dxa"/>
            <w:tcBorders>
              <w:top w:val="nil"/>
              <w:left w:val="nil"/>
              <w:bottom w:val="nil"/>
              <w:right w:val="nil"/>
            </w:tcBorders>
          </w:tcPr>
          <w:p w14:paraId="09D32613"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04685E6E" w14:textId="77777777" w:rsidR="00AE5815" w:rsidRPr="00AE5815" w:rsidRDefault="00AE5815" w:rsidP="00400DD1">
            <w:pPr>
              <w:pStyle w:val="-23"/>
              <w:spacing w:beforeLines="20" w:before="48" w:line="216" w:lineRule="auto"/>
              <w:ind w:left="0" w:firstLine="0"/>
              <w:rPr>
                <w:b w:val="0"/>
                <w:bCs w:val="0"/>
                <w:sz w:val="16"/>
                <w:szCs w:val="16"/>
                <w:rtl/>
              </w:rPr>
            </w:pPr>
            <w:r w:rsidRPr="00AE5815">
              <w:rPr>
                <w:rFonts w:hint="cs"/>
                <w:b w:val="0"/>
                <w:bCs w:val="0"/>
                <w:sz w:val="16"/>
                <w:szCs w:val="16"/>
                <w:rtl/>
              </w:rPr>
              <w:t xml:space="preserve">התחייבויות בגין מכשירים נגזרים </w:t>
            </w:r>
            <w:r w:rsidRPr="00AE5815">
              <w:rPr>
                <w:rFonts w:hint="cs"/>
                <w:b w:val="0"/>
                <w:bCs w:val="0"/>
                <w:sz w:val="16"/>
                <w:szCs w:val="16"/>
                <w:vertAlign w:val="superscript"/>
                <w:rtl/>
              </w:rPr>
              <w:t>[2]</w:t>
            </w:r>
          </w:p>
        </w:tc>
        <w:tc>
          <w:tcPr>
            <w:tcW w:w="851" w:type="dxa"/>
            <w:tcBorders>
              <w:top w:val="nil"/>
              <w:left w:val="nil"/>
              <w:bottom w:val="nil"/>
              <w:right w:val="nil"/>
            </w:tcBorders>
            <w:vAlign w:val="bottom"/>
          </w:tcPr>
          <w:p w14:paraId="32FB45ED" w14:textId="77777777" w:rsidR="00AE5815" w:rsidRPr="00AE5815" w:rsidRDefault="00AE5815" w:rsidP="00400DD1">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992" w:type="dxa"/>
            <w:tcBorders>
              <w:top w:val="nil"/>
              <w:left w:val="nil"/>
              <w:bottom w:val="nil"/>
              <w:right w:val="nil"/>
            </w:tcBorders>
            <w:vAlign w:val="bottom"/>
          </w:tcPr>
          <w:p w14:paraId="6CB67621" w14:textId="77777777" w:rsidR="00AE5815" w:rsidRPr="00AE5815" w:rsidRDefault="00AE5815" w:rsidP="00400DD1">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992" w:type="dxa"/>
            <w:tcBorders>
              <w:top w:val="nil"/>
              <w:left w:val="nil"/>
              <w:bottom w:val="nil"/>
              <w:right w:val="nil"/>
            </w:tcBorders>
            <w:vAlign w:val="bottom"/>
          </w:tcPr>
          <w:p w14:paraId="2EDEB272" w14:textId="77777777" w:rsidR="00AE5815" w:rsidRPr="00AE5815" w:rsidRDefault="00AE5815" w:rsidP="00400DD1">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851" w:type="dxa"/>
            <w:tcBorders>
              <w:top w:val="nil"/>
              <w:left w:val="nil"/>
              <w:bottom w:val="nil"/>
              <w:right w:val="nil"/>
            </w:tcBorders>
            <w:vAlign w:val="bottom"/>
          </w:tcPr>
          <w:p w14:paraId="30708CF7" w14:textId="77777777" w:rsidR="00AE5815" w:rsidRPr="00AE5815" w:rsidRDefault="00AE5815" w:rsidP="00400DD1">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850" w:type="dxa"/>
            <w:tcBorders>
              <w:top w:val="nil"/>
              <w:left w:val="nil"/>
              <w:bottom w:val="nil"/>
              <w:right w:val="nil"/>
            </w:tcBorders>
            <w:vAlign w:val="bottom"/>
          </w:tcPr>
          <w:p w14:paraId="68DCB97E" w14:textId="77777777" w:rsidR="00AE5815" w:rsidRPr="00AE5815" w:rsidRDefault="00AE5815" w:rsidP="00400DD1">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(0)</w:t>
            </w:r>
          </w:p>
        </w:tc>
        <w:tc>
          <w:tcPr>
            <w:tcW w:w="855" w:type="dxa"/>
            <w:tcBorders>
              <w:top w:val="nil"/>
              <w:left w:val="nil"/>
              <w:bottom w:val="nil"/>
              <w:right w:val="nil"/>
            </w:tcBorders>
            <w:vAlign w:val="bottom"/>
          </w:tcPr>
          <w:p w14:paraId="76C507D6" w14:textId="77777777" w:rsidR="00AE5815" w:rsidRPr="00AE5815" w:rsidRDefault="00AE5815" w:rsidP="00400DD1">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r>
      <w:tr w:rsidR="00AE5815" w:rsidRPr="00AE5815" w14:paraId="57780885" w14:textId="77777777" w:rsidTr="00320C27">
        <w:trPr>
          <w:trHeight w:val="259"/>
        </w:trPr>
        <w:tc>
          <w:tcPr>
            <w:tcW w:w="1713" w:type="dxa"/>
            <w:tcBorders>
              <w:top w:val="nil"/>
              <w:left w:val="nil"/>
              <w:bottom w:val="nil"/>
              <w:right w:val="nil"/>
            </w:tcBorders>
          </w:tcPr>
          <w:p w14:paraId="1B809B40"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2FD0B59A" w14:textId="77777777" w:rsidR="00AE5815" w:rsidRPr="00AE5815" w:rsidRDefault="00AE5815" w:rsidP="00400DD1">
            <w:pPr>
              <w:pStyle w:val="-23"/>
              <w:spacing w:beforeLines="20" w:before="48" w:line="216" w:lineRule="auto"/>
              <w:ind w:left="0" w:firstLine="0"/>
              <w:rPr>
                <w:b w:val="0"/>
                <w:bCs w:val="0"/>
                <w:sz w:val="16"/>
                <w:szCs w:val="16"/>
                <w:rtl/>
              </w:rPr>
            </w:pPr>
            <w:r w:rsidRPr="00AE5815">
              <w:rPr>
                <w:rFonts w:hint="eastAsia"/>
                <w:b w:val="0"/>
                <w:bCs w:val="0"/>
                <w:sz w:val="16"/>
                <w:szCs w:val="16"/>
                <w:rtl/>
              </w:rPr>
              <w:t>אחר</w:t>
            </w:r>
            <w:r w:rsidRPr="00AE5815">
              <w:rPr>
                <w:rFonts w:hint="cs"/>
                <w:b w:val="0"/>
                <w:bCs w:val="0"/>
                <w:sz w:val="16"/>
                <w:szCs w:val="16"/>
                <w:rtl/>
              </w:rPr>
              <w:t xml:space="preserve"> [פרט אם מהותי]</w:t>
            </w:r>
          </w:p>
        </w:tc>
        <w:tc>
          <w:tcPr>
            <w:tcW w:w="851" w:type="dxa"/>
            <w:tcBorders>
              <w:top w:val="nil"/>
              <w:left w:val="nil"/>
              <w:bottom w:val="nil"/>
              <w:right w:val="nil"/>
            </w:tcBorders>
            <w:vAlign w:val="bottom"/>
          </w:tcPr>
          <w:p w14:paraId="74D39621" w14:textId="77777777" w:rsidR="00AE5815" w:rsidRPr="00AE5815" w:rsidRDefault="00AE5815" w:rsidP="00400DD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992" w:type="dxa"/>
            <w:tcBorders>
              <w:top w:val="nil"/>
              <w:left w:val="nil"/>
              <w:bottom w:val="nil"/>
              <w:right w:val="nil"/>
            </w:tcBorders>
            <w:vAlign w:val="bottom"/>
          </w:tcPr>
          <w:p w14:paraId="7433713D" w14:textId="77777777" w:rsidR="00AE5815" w:rsidRPr="00AE5815" w:rsidRDefault="00AE5815" w:rsidP="00400DD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992" w:type="dxa"/>
            <w:tcBorders>
              <w:top w:val="nil"/>
              <w:left w:val="nil"/>
              <w:bottom w:val="nil"/>
              <w:right w:val="nil"/>
            </w:tcBorders>
            <w:vAlign w:val="bottom"/>
          </w:tcPr>
          <w:p w14:paraId="748C17BC" w14:textId="77777777" w:rsidR="00AE5815" w:rsidRPr="00AE5815" w:rsidRDefault="00AE5815" w:rsidP="00400DD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851" w:type="dxa"/>
            <w:tcBorders>
              <w:top w:val="nil"/>
              <w:left w:val="nil"/>
              <w:bottom w:val="nil"/>
              <w:right w:val="nil"/>
            </w:tcBorders>
            <w:vAlign w:val="bottom"/>
          </w:tcPr>
          <w:p w14:paraId="3D777AC3" w14:textId="77777777" w:rsidR="00AE5815" w:rsidRPr="00AE5815" w:rsidRDefault="00AE5815" w:rsidP="00400DD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850" w:type="dxa"/>
            <w:tcBorders>
              <w:top w:val="nil"/>
              <w:left w:val="nil"/>
              <w:bottom w:val="nil"/>
              <w:right w:val="nil"/>
            </w:tcBorders>
            <w:vAlign w:val="bottom"/>
          </w:tcPr>
          <w:p w14:paraId="2BAD613C" w14:textId="77777777" w:rsidR="00AE5815" w:rsidRPr="00AE5815" w:rsidRDefault="00AE5815" w:rsidP="00400DD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(0)</w:t>
            </w:r>
          </w:p>
        </w:tc>
        <w:tc>
          <w:tcPr>
            <w:tcW w:w="855" w:type="dxa"/>
            <w:tcBorders>
              <w:top w:val="nil"/>
              <w:left w:val="nil"/>
              <w:bottom w:val="nil"/>
              <w:right w:val="nil"/>
            </w:tcBorders>
            <w:vAlign w:val="bottom"/>
          </w:tcPr>
          <w:p w14:paraId="3577FED5" w14:textId="77777777" w:rsidR="00AE5815" w:rsidRPr="00AE5815" w:rsidRDefault="00AE5815" w:rsidP="00400DD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r>
      <w:tr w:rsidR="00AE5815" w:rsidRPr="00AE5815" w14:paraId="7CE44DE7" w14:textId="77777777" w:rsidTr="00320C27">
        <w:trPr>
          <w:trHeight w:val="259"/>
        </w:trPr>
        <w:tc>
          <w:tcPr>
            <w:tcW w:w="1713" w:type="dxa"/>
            <w:tcBorders>
              <w:top w:val="nil"/>
              <w:left w:val="nil"/>
              <w:bottom w:val="nil"/>
              <w:right w:val="nil"/>
            </w:tcBorders>
          </w:tcPr>
          <w:p w14:paraId="32EBB9AC"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183ECFC8" w14:textId="77777777" w:rsidR="00AE5815" w:rsidRPr="00AE5815" w:rsidRDefault="00AE5815" w:rsidP="00400DD1">
            <w:pPr>
              <w:pStyle w:val="-23"/>
              <w:spacing w:beforeLines="20" w:before="48" w:line="216" w:lineRule="auto"/>
              <w:rPr>
                <w:sz w:val="16"/>
                <w:szCs w:val="16"/>
                <w:rtl/>
              </w:rPr>
            </w:pPr>
            <w:r w:rsidRPr="00AE5815">
              <w:rPr>
                <w:sz w:val="16"/>
                <w:szCs w:val="16"/>
                <w:rtl/>
              </w:rPr>
              <w:t xml:space="preserve">סך </w:t>
            </w:r>
            <w:r w:rsidRPr="00AE5815">
              <w:rPr>
                <w:rFonts w:hint="cs"/>
                <w:sz w:val="16"/>
                <w:szCs w:val="16"/>
                <w:rtl/>
              </w:rPr>
              <w:t>כל ההתחייבויות</w:t>
            </w:r>
          </w:p>
        </w:tc>
        <w:tc>
          <w:tcPr>
            <w:tcW w:w="851" w:type="dxa"/>
            <w:tcBorders>
              <w:top w:val="nil"/>
              <w:left w:val="nil"/>
              <w:bottom w:val="nil"/>
              <w:right w:val="nil"/>
            </w:tcBorders>
            <w:vAlign w:val="bottom"/>
          </w:tcPr>
          <w:p w14:paraId="3CB5EC65"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2A3AB622"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296A0F38"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64D69B27"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180B0FC5"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r w:rsidRPr="00AE5815">
              <w:rPr>
                <w:rFonts w:hint="cs"/>
                <w:sz w:val="16"/>
                <w:szCs w:val="16"/>
                <w:rtl/>
              </w:rPr>
              <w:t>)</w:t>
            </w:r>
          </w:p>
        </w:tc>
        <w:tc>
          <w:tcPr>
            <w:tcW w:w="855" w:type="dxa"/>
            <w:tcBorders>
              <w:top w:val="nil"/>
              <w:left w:val="nil"/>
              <w:bottom w:val="nil"/>
              <w:right w:val="nil"/>
            </w:tcBorders>
            <w:vAlign w:val="bottom"/>
          </w:tcPr>
          <w:p w14:paraId="7B68C1EB"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r>
    </w:tbl>
    <w:p w14:paraId="656A81B8" w14:textId="77777777" w:rsidR="00AE5815" w:rsidRDefault="00AE5815" w:rsidP="00D277D0">
      <w:pPr>
        <w:pStyle w:val="-2"/>
        <w:ind w:left="1599"/>
        <w:rPr>
          <w:rtl/>
        </w:rPr>
      </w:pPr>
    </w:p>
    <w:tbl>
      <w:tblPr>
        <w:bidiVisual/>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3254"/>
        <w:gridCol w:w="851"/>
        <w:gridCol w:w="992"/>
        <w:gridCol w:w="992"/>
        <w:gridCol w:w="851"/>
        <w:gridCol w:w="850"/>
        <w:gridCol w:w="855"/>
      </w:tblGrid>
      <w:tr w:rsidR="00AE5815" w:rsidRPr="00AE5815" w14:paraId="1E54E120" w14:textId="77777777" w:rsidTr="00320C27">
        <w:trPr>
          <w:trHeight w:val="259"/>
        </w:trPr>
        <w:tc>
          <w:tcPr>
            <w:tcW w:w="1713" w:type="dxa"/>
            <w:tcBorders>
              <w:top w:val="nil"/>
              <w:left w:val="nil"/>
              <w:bottom w:val="nil"/>
              <w:right w:val="nil"/>
            </w:tcBorders>
          </w:tcPr>
          <w:p w14:paraId="55A3E289" w14:textId="77777777" w:rsidR="00AE5815" w:rsidRPr="00AE5815" w:rsidRDefault="00AE5815" w:rsidP="00400DD1">
            <w:pPr>
              <w:pStyle w:val="-fa"/>
              <w:rPr>
                <w:sz w:val="16"/>
                <w:szCs w:val="16"/>
                <w:rtl/>
              </w:rPr>
            </w:pPr>
          </w:p>
        </w:tc>
        <w:tc>
          <w:tcPr>
            <w:tcW w:w="3254" w:type="dxa"/>
            <w:tcBorders>
              <w:top w:val="nil"/>
              <w:left w:val="nil"/>
              <w:bottom w:val="nil"/>
              <w:right w:val="nil"/>
            </w:tcBorders>
            <w:shd w:val="clear" w:color="auto" w:fill="auto"/>
            <w:vAlign w:val="bottom"/>
          </w:tcPr>
          <w:p w14:paraId="0B367B16" w14:textId="77777777" w:rsidR="00AE5815" w:rsidRPr="00AE5815" w:rsidRDefault="00AE5815" w:rsidP="00400DD1">
            <w:pPr>
              <w:pStyle w:val="-7"/>
              <w:rPr>
                <w:sz w:val="16"/>
                <w:szCs w:val="16"/>
                <w:rtl/>
              </w:rPr>
            </w:pPr>
          </w:p>
        </w:tc>
        <w:tc>
          <w:tcPr>
            <w:tcW w:w="5391" w:type="dxa"/>
            <w:gridSpan w:val="6"/>
            <w:tcBorders>
              <w:top w:val="nil"/>
              <w:left w:val="nil"/>
              <w:bottom w:val="nil"/>
              <w:right w:val="nil"/>
            </w:tcBorders>
            <w:vAlign w:val="bottom"/>
          </w:tcPr>
          <w:p w14:paraId="441CC240" w14:textId="7583C77F" w:rsidR="00AE5815" w:rsidRPr="00AE5815" w:rsidRDefault="00AE5815" w:rsidP="00400DD1">
            <w:pPr>
              <w:pStyle w:val="-4"/>
              <w:rPr>
                <w:sz w:val="16"/>
                <w:szCs w:val="16"/>
                <w:rtl/>
              </w:rPr>
            </w:pPr>
            <w:r w:rsidRPr="00AE5815">
              <w:rPr>
                <w:rFonts w:hint="cs"/>
                <w:sz w:val="16"/>
                <w:szCs w:val="16"/>
                <w:rtl/>
              </w:rPr>
              <w:t xml:space="preserve">ליום </w:t>
            </w:r>
            <w:r w:rsidR="00BA4277">
              <w:rPr>
                <w:rFonts w:hint="cs"/>
                <w:sz w:val="16"/>
                <w:szCs w:val="16"/>
                <w:rtl/>
              </w:rPr>
              <w:t>31</w:t>
            </w:r>
            <w:r w:rsidRPr="00AE5815">
              <w:rPr>
                <w:rFonts w:hint="cs"/>
                <w:sz w:val="16"/>
                <w:szCs w:val="16"/>
                <w:rtl/>
              </w:rPr>
              <w:t xml:space="preserve"> </w:t>
            </w:r>
            <w:r w:rsidR="00BA4277">
              <w:rPr>
                <w:rFonts w:hint="cs"/>
                <w:sz w:val="16"/>
                <w:szCs w:val="16"/>
                <w:rtl/>
              </w:rPr>
              <w:t>בדצמבר</w:t>
            </w:r>
            <w:r w:rsidRPr="00AE5815">
              <w:rPr>
                <w:rFonts w:hint="cs"/>
                <w:sz w:val="16"/>
                <w:szCs w:val="16"/>
                <w:rtl/>
              </w:rPr>
              <w:t xml:space="preserve"> </w:t>
            </w:r>
            <w:r w:rsidRPr="00AE5815">
              <w:rPr>
                <w:sz w:val="16"/>
                <w:szCs w:val="16"/>
                <w:rtl/>
              </w:rPr>
              <w:fldChar w:fldCharType="begin"/>
            </w:r>
            <w:r w:rsidRPr="00AE5815">
              <w:rPr>
                <w:sz w:val="16"/>
                <w:szCs w:val="16"/>
                <w:rtl/>
              </w:rPr>
              <w:instrText xml:space="preserve"> </w:instrText>
            </w:r>
            <w:r w:rsidRPr="00AE5815">
              <w:rPr>
                <w:rFonts w:hint="cs"/>
                <w:sz w:val="16"/>
                <w:szCs w:val="16"/>
                <w:rtl/>
              </w:rPr>
              <w:instrText xml:space="preserve">= </w:instrText>
            </w:r>
            <w:r w:rsidRPr="00AE5815">
              <w:rPr>
                <w:rFonts w:hint="cs"/>
                <w:sz w:val="16"/>
                <w:szCs w:val="16"/>
              </w:rPr>
              <w:instrText>CY</w:instrText>
            </w:r>
            <w:r w:rsidRPr="00AE5815">
              <w:rPr>
                <w:sz w:val="16"/>
                <w:szCs w:val="16"/>
              </w:rPr>
              <w:instrText>-1</w:instrText>
            </w:r>
            <w:r w:rsidRPr="00AE5815">
              <w:rPr>
                <w:rFonts w:hint="cs"/>
                <w:sz w:val="16"/>
                <w:szCs w:val="16"/>
              </w:rPr>
              <w:instrText xml:space="preserve"> \* MERGEFORMAT</w:instrText>
            </w:r>
            <w:r w:rsidRPr="00AE5815">
              <w:rPr>
                <w:sz w:val="16"/>
                <w:szCs w:val="16"/>
                <w:rtl/>
              </w:rPr>
              <w:instrText xml:space="preserve"> </w:instrText>
            </w:r>
            <w:r w:rsidRPr="00AE5815">
              <w:rPr>
                <w:sz w:val="16"/>
                <w:szCs w:val="16"/>
                <w:rtl/>
              </w:rPr>
              <w:fldChar w:fldCharType="separate"/>
            </w:r>
            <w:r w:rsidRPr="00AE5815">
              <w:rPr>
                <w:noProof/>
                <w:sz w:val="16"/>
                <w:szCs w:val="16"/>
                <w:rtl/>
              </w:rPr>
              <w:t>2023</w:t>
            </w:r>
            <w:r w:rsidRPr="00AE5815">
              <w:rPr>
                <w:sz w:val="16"/>
                <w:szCs w:val="16"/>
                <w:rtl/>
              </w:rPr>
              <w:fldChar w:fldCharType="end"/>
            </w:r>
            <w:r w:rsidRPr="00AE5815">
              <w:rPr>
                <w:rFonts w:hint="cs"/>
                <w:sz w:val="16"/>
                <w:szCs w:val="16"/>
                <w:rtl/>
              </w:rPr>
              <w:t xml:space="preserve"> (</w:t>
            </w:r>
            <w:r w:rsidRPr="00AE5815">
              <w:rPr>
                <w:rFonts w:hint="cs"/>
                <w:b w:val="0"/>
                <w:bCs w:val="0"/>
                <w:sz w:val="16"/>
                <w:szCs w:val="16"/>
                <w:rtl/>
              </w:rPr>
              <w:t>מבוקר)</w:t>
            </w:r>
          </w:p>
        </w:tc>
      </w:tr>
      <w:tr w:rsidR="00AE5815" w:rsidRPr="00AE5815" w14:paraId="46CEB885" w14:textId="77777777" w:rsidTr="00320C27">
        <w:trPr>
          <w:trHeight w:val="259"/>
        </w:trPr>
        <w:tc>
          <w:tcPr>
            <w:tcW w:w="1713" w:type="dxa"/>
            <w:tcBorders>
              <w:top w:val="nil"/>
              <w:left w:val="nil"/>
              <w:bottom w:val="nil"/>
              <w:right w:val="nil"/>
            </w:tcBorders>
          </w:tcPr>
          <w:p w14:paraId="394D543A" w14:textId="77777777" w:rsidR="00AE5815" w:rsidRPr="00AE5815" w:rsidRDefault="00AE5815" w:rsidP="00400DD1">
            <w:pPr>
              <w:pStyle w:val="-7"/>
              <w:rPr>
                <w:sz w:val="16"/>
                <w:szCs w:val="16"/>
                <w:rtl/>
              </w:rPr>
            </w:pPr>
          </w:p>
        </w:tc>
        <w:tc>
          <w:tcPr>
            <w:tcW w:w="3254" w:type="dxa"/>
            <w:tcBorders>
              <w:top w:val="nil"/>
              <w:left w:val="nil"/>
              <w:bottom w:val="nil"/>
              <w:right w:val="nil"/>
            </w:tcBorders>
            <w:shd w:val="clear" w:color="auto" w:fill="auto"/>
            <w:vAlign w:val="bottom"/>
          </w:tcPr>
          <w:p w14:paraId="66A51979" w14:textId="77777777" w:rsidR="00AE5815" w:rsidRPr="00AE5815" w:rsidRDefault="00AE5815" w:rsidP="00400DD1">
            <w:pPr>
              <w:pStyle w:val="-7"/>
              <w:rPr>
                <w:sz w:val="16"/>
                <w:szCs w:val="16"/>
                <w:rtl/>
              </w:rPr>
            </w:pPr>
          </w:p>
        </w:tc>
        <w:tc>
          <w:tcPr>
            <w:tcW w:w="2835" w:type="dxa"/>
            <w:gridSpan w:val="3"/>
            <w:tcBorders>
              <w:top w:val="nil"/>
              <w:left w:val="nil"/>
              <w:bottom w:val="nil"/>
              <w:right w:val="nil"/>
            </w:tcBorders>
            <w:vAlign w:val="bottom"/>
          </w:tcPr>
          <w:p w14:paraId="66CF2014" w14:textId="77777777" w:rsidR="00AE5815" w:rsidRPr="00AE5815" w:rsidRDefault="00AE5815" w:rsidP="00400DD1">
            <w:pPr>
              <w:pStyle w:val="-4"/>
              <w:rPr>
                <w:sz w:val="16"/>
                <w:szCs w:val="16"/>
                <w:rtl/>
              </w:rPr>
            </w:pPr>
            <w:r w:rsidRPr="00AE5815">
              <w:rPr>
                <w:rFonts w:hint="cs"/>
                <w:sz w:val="16"/>
                <w:szCs w:val="16"/>
                <w:rtl/>
              </w:rPr>
              <w:t>מדידות שווי הוגן המשתמשות ב:</w:t>
            </w:r>
          </w:p>
        </w:tc>
        <w:tc>
          <w:tcPr>
            <w:tcW w:w="851" w:type="dxa"/>
            <w:tcBorders>
              <w:top w:val="nil"/>
              <w:left w:val="nil"/>
              <w:bottom w:val="nil"/>
              <w:right w:val="nil"/>
            </w:tcBorders>
            <w:vAlign w:val="bottom"/>
          </w:tcPr>
          <w:p w14:paraId="330E9966" w14:textId="77777777" w:rsidR="00AE5815" w:rsidRPr="00AE5815" w:rsidRDefault="00AE5815" w:rsidP="00400DD1">
            <w:pPr>
              <w:pStyle w:val="-7"/>
              <w:rPr>
                <w:sz w:val="16"/>
                <w:szCs w:val="16"/>
                <w:rtl/>
              </w:rPr>
            </w:pPr>
          </w:p>
        </w:tc>
        <w:tc>
          <w:tcPr>
            <w:tcW w:w="850" w:type="dxa"/>
            <w:tcBorders>
              <w:top w:val="nil"/>
              <w:left w:val="nil"/>
              <w:bottom w:val="nil"/>
              <w:right w:val="nil"/>
            </w:tcBorders>
            <w:vAlign w:val="bottom"/>
          </w:tcPr>
          <w:p w14:paraId="521FBABD" w14:textId="77777777" w:rsidR="00AE5815" w:rsidRPr="00AE5815" w:rsidRDefault="00AE5815" w:rsidP="00400DD1">
            <w:pPr>
              <w:pStyle w:val="-7"/>
              <w:rPr>
                <w:sz w:val="16"/>
                <w:szCs w:val="16"/>
                <w:rtl/>
              </w:rPr>
            </w:pPr>
          </w:p>
        </w:tc>
        <w:tc>
          <w:tcPr>
            <w:tcW w:w="855" w:type="dxa"/>
            <w:tcBorders>
              <w:top w:val="nil"/>
              <w:left w:val="nil"/>
              <w:bottom w:val="nil"/>
              <w:right w:val="nil"/>
            </w:tcBorders>
            <w:vAlign w:val="bottom"/>
          </w:tcPr>
          <w:p w14:paraId="264BD8F3" w14:textId="77777777" w:rsidR="00AE5815" w:rsidRPr="00AE5815" w:rsidRDefault="00AE5815" w:rsidP="00400DD1">
            <w:pPr>
              <w:pStyle w:val="-7"/>
              <w:rPr>
                <w:sz w:val="16"/>
                <w:szCs w:val="16"/>
                <w:rtl/>
              </w:rPr>
            </w:pPr>
          </w:p>
        </w:tc>
      </w:tr>
      <w:tr w:rsidR="00AE5815" w:rsidRPr="00AE5815" w14:paraId="4FB0A1DD" w14:textId="77777777" w:rsidTr="00320C27">
        <w:trPr>
          <w:trHeight w:val="259"/>
        </w:trPr>
        <w:tc>
          <w:tcPr>
            <w:tcW w:w="1713" w:type="dxa"/>
            <w:tcBorders>
              <w:top w:val="nil"/>
              <w:left w:val="nil"/>
              <w:bottom w:val="nil"/>
              <w:right w:val="nil"/>
            </w:tcBorders>
          </w:tcPr>
          <w:p w14:paraId="0389A2C8" w14:textId="77777777" w:rsidR="00AE5815" w:rsidRPr="00AE5815" w:rsidRDefault="00AE5815" w:rsidP="00400DD1">
            <w:pPr>
              <w:pStyle w:val="-fa"/>
              <w:rPr>
                <w:sz w:val="16"/>
                <w:szCs w:val="16"/>
                <w:rtl/>
              </w:rPr>
            </w:pPr>
          </w:p>
        </w:tc>
        <w:tc>
          <w:tcPr>
            <w:tcW w:w="3254" w:type="dxa"/>
            <w:tcBorders>
              <w:top w:val="nil"/>
              <w:left w:val="nil"/>
              <w:bottom w:val="nil"/>
              <w:right w:val="nil"/>
            </w:tcBorders>
            <w:shd w:val="clear" w:color="auto" w:fill="auto"/>
            <w:vAlign w:val="bottom"/>
          </w:tcPr>
          <w:p w14:paraId="52368BAD" w14:textId="77777777" w:rsidR="00AE5815" w:rsidRPr="00AE5815" w:rsidRDefault="00AE5815" w:rsidP="00400DD1">
            <w:pPr>
              <w:pStyle w:val="af5"/>
              <w:rPr>
                <w:sz w:val="16"/>
                <w:szCs w:val="16"/>
                <w:rtl/>
              </w:rPr>
            </w:pPr>
          </w:p>
        </w:tc>
        <w:tc>
          <w:tcPr>
            <w:tcW w:w="851" w:type="dxa"/>
            <w:tcBorders>
              <w:top w:val="nil"/>
              <w:left w:val="nil"/>
              <w:bottom w:val="nil"/>
              <w:right w:val="nil"/>
            </w:tcBorders>
            <w:vAlign w:val="bottom"/>
          </w:tcPr>
          <w:p w14:paraId="11994E75" w14:textId="77777777" w:rsidR="00AE5815" w:rsidRPr="00AE5815" w:rsidRDefault="00AE5815" w:rsidP="00400DD1">
            <w:pPr>
              <w:pStyle w:val="-4"/>
              <w:pBdr>
                <w:bottom w:val="none" w:sz="0" w:space="0" w:color="auto"/>
              </w:pBdr>
              <w:spacing w:line="240" w:lineRule="auto"/>
              <w:ind w:left="-72" w:right="-72"/>
              <w:rPr>
                <w:sz w:val="16"/>
                <w:szCs w:val="16"/>
                <w:rtl/>
              </w:rPr>
            </w:pPr>
            <w:r w:rsidRPr="00AE5815">
              <w:rPr>
                <w:rFonts w:hint="cs"/>
                <w:sz w:val="16"/>
                <w:szCs w:val="16"/>
                <w:rtl/>
              </w:rPr>
              <w:t>מחירים מצוטטים בשוק פעיל</w:t>
            </w:r>
          </w:p>
          <w:p w14:paraId="4163937A" w14:textId="77777777" w:rsidR="00AE5815" w:rsidRPr="00AE5815" w:rsidRDefault="00AE5815" w:rsidP="00400DD1">
            <w:pPr>
              <w:pStyle w:val="-4"/>
              <w:pBdr>
                <w:bottom w:val="single" w:sz="4" w:space="1" w:color="auto"/>
              </w:pBdr>
              <w:spacing w:line="240" w:lineRule="auto"/>
              <w:rPr>
                <w:sz w:val="16"/>
                <w:szCs w:val="16"/>
                <w:rtl/>
              </w:rPr>
            </w:pPr>
            <w:r w:rsidRPr="00AE5815">
              <w:rPr>
                <w:rFonts w:hint="cs"/>
                <w:sz w:val="16"/>
                <w:szCs w:val="16"/>
                <w:rtl/>
              </w:rPr>
              <w:t>(רמה 1)</w:t>
            </w:r>
          </w:p>
        </w:tc>
        <w:tc>
          <w:tcPr>
            <w:tcW w:w="992" w:type="dxa"/>
            <w:tcBorders>
              <w:top w:val="nil"/>
              <w:left w:val="nil"/>
              <w:bottom w:val="nil"/>
              <w:right w:val="nil"/>
            </w:tcBorders>
            <w:vAlign w:val="bottom"/>
          </w:tcPr>
          <w:p w14:paraId="241D9945" w14:textId="77777777" w:rsidR="00AE5815" w:rsidRPr="00AE5815" w:rsidRDefault="00AE5815" w:rsidP="00400DD1">
            <w:pPr>
              <w:pStyle w:val="-4"/>
              <w:pBdr>
                <w:bottom w:val="none" w:sz="0" w:space="0" w:color="auto"/>
              </w:pBdr>
              <w:spacing w:line="240" w:lineRule="auto"/>
              <w:ind w:left="-72" w:right="-72"/>
              <w:rPr>
                <w:sz w:val="16"/>
                <w:szCs w:val="16"/>
                <w:rtl/>
              </w:rPr>
            </w:pPr>
            <w:r w:rsidRPr="00AE5815">
              <w:rPr>
                <w:rFonts w:hint="cs"/>
                <w:sz w:val="16"/>
                <w:szCs w:val="16"/>
                <w:rtl/>
              </w:rPr>
              <w:t>נתונים נצפים משמעותיים אחרים</w:t>
            </w:r>
          </w:p>
          <w:p w14:paraId="1E8DBFC4" w14:textId="77777777" w:rsidR="00AE5815" w:rsidRPr="00AE5815" w:rsidRDefault="00AE5815" w:rsidP="00400DD1">
            <w:pPr>
              <w:pStyle w:val="-4"/>
              <w:pBdr>
                <w:bottom w:val="single" w:sz="4" w:space="1" w:color="auto"/>
              </w:pBdr>
              <w:spacing w:line="240" w:lineRule="auto"/>
              <w:rPr>
                <w:sz w:val="16"/>
                <w:szCs w:val="16"/>
                <w:rtl/>
              </w:rPr>
            </w:pPr>
            <w:r w:rsidRPr="00AE5815">
              <w:rPr>
                <w:rFonts w:hint="cs"/>
                <w:sz w:val="16"/>
                <w:szCs w:val="16"/>
                <w:rtl/>
              </w:rPr>
              <w:t>(רמה 2)</w:t>
            </w:r>
          </w:p>
        </w:tc>
        <w:tc>
          <w:tcPr>
            <w:tcW w:w="992" w:type="dxa"/>
            <w:tcBorders>
              <w:top w:val="nil"/>
              <w:left w:val="nil"/>
              <w:bottom w:val="nil"/>
              <w:right w:val="nil"/>
            </w:tcBorders>
            <w:vAlign w:val="bottom"/>
          </w:tcPr>
          <w:p w14:paraId="3F02718F" w14:textId="77777777" w:rsidR="00AE5815" w:rsidRPr="00AE5815" w:rsidRDefault="00AE5815" w:rsidP="00400DD1">
            <w:pPr>
              <w:pStyle w:val="-4"/>
              <w:pBdr>
                <w:bottom w:val="none" w:sz="0" w:space="0" w:color="auto"/>
              </w:pBdr>
              <w:spacing w:line="240" w:lineRule="auto"/>
              <w:ind w:left="-72" w:right="-72"/>
              <w:rPr>
                <w:sz w:val="16"/>
                <w:szCs w:val="16"/>
                <w:rtl/>
              </w:rPr>
            </w:pPr>
            <w:r w:rsidRPr="00AE5815">
              <w:rPr>
                <w:rFonts w:hint="cs"/>
                <w:sz w:val="16"/>
                <w:szCs w:val="16"/>
                <w:rtl/>
              </w:rPr>
              <w:t>נתונים</w:t>
            </w:r>
          </w:p>
          <w:p w14:paraId="5BCB4CFF" w14:textId="77777777" w:rsidR="00AE5815" w:rsidRPr="00AE5815" w:rsidRDefault="00AE5815" w:rsidP="00400DD1">
            <w:pPr>
              <w:pStyle w:val="-4"/>
              <w:pBdr>
                <w:bottom w:val="none" w:sz="0" w:space="0" w:color="auto"/>
              </w:pBdr>
              <w:spacing w:line="240" w:lineRule="auto"/>
              <w:ind w:left="-113" w:right="-113"/>
              <w:rPr>
                <w:sz w:val="16"/>
                <w:szCs w:val="16"/>
                <w:rtl/>
              </w:rPr>
            </w:pPr>
            <w:r w:rsidRPr="00AE5815">
              <w:rPr>
                <w:rFonts w:hint="cs"/>
                <w:sz w:val="16"/>
                <w:szCs w:val="16"/>
                <w:rtl/>
              </w:rPr>
              <w:t>לא נצפים משמעותיים</w:t>
            </w:r>
          </w:p>
          <w:p w14:paraId="2155A882" w14:textId="77777777" w:rsidR="00AE5815" w:rsidRPr="00AE5815" w:rsidRDefault="00AE5815" w:rsidP="00400DD1">
            <w:pPr>
              <w:pStyle w:val="-4"/>
              <w:pBdr>
                <w:bottom w:val="single" w:sz="4" w:space="1" w:color="auto"/>
              </w:pBdr>
              <w:spacing w:line="240" w:lineRule="auto"/>
              <w:rPr>
                <w:sz w:val="16"/>
                <w:szCs w:val="16"/>
                <w:rtl/>
              </w:rPr>
            </w:pPr>
            <w:r w:rsidRPr="00AE5815">
              <w:rPr>
                <w:rFonts w:hint="cs"/>
                <w:sz w:val="16"/>
                <w:szCs w:val="16"/>
                <w:rtl/>
              </w:rPr>
              <w:t>(רמה 3)</w:t>
            </w:r>
          </w:p>
        </w:tc>
        <w:tc>
          <w:tcPr>
            <w:tcW w:w="851" w:type="dxa"/>
            <w:tcBorders>
              <w:top w:val="nil"/>
              <w:left w:val="nil"/>
              <w:bottom w:val="nil"/>
              <w:right w:val="nil"/>
            </w:tcBorders>
            <w:vAlign w:val="bottom"/>
          </w:tcPr>
          <w:p w14:paraId="6E2E3CD8" w14:textId="77777777" w:rsidR="00AE5815" w:rsidRPr="00AE5815" w:rsidRDefault="00AE5815" w:rsidP="00400DD1">
            <w:pPr>
              <w:pStyle w:val="-4"/>
              <w:pBdr>
                <w:bottom w:val="single" w:sz="4" w:space="1" w:color="auto"/>
              </w:pBdr>
              <w:spacing w:line="240" w:lineRule="auto"/>
              <w:rPr>
                <w:sz w:val="16"/>
                <w:szCs w:val="16"/>
                <w:rtl/>
              </w:rPr>
            </w:pPr>
            <w:r w:rsidRPr="00AE5815">
              <w:rPr>
                <w:rFonts w:hint="cs"/>
                <w:sz w:val="16"/>
                <w:szCs w:val="16"/>
                <w:rtl/>
              </w:rPr>
              <w:t>סך הכל שווי הוגן</w:t>
            </w:r>
          </w:p>
        </w:tc>
        <w:tc>
          <w:tcPr>
            <w:tcW w:w="850" w:type="dxa"/>
            <w:tcBorders>
              <w:top w:val="nil"/>
              <w:left w:val="nil"/>
              <w:bottom w:val="nil"/>
              <w:right w:val="nil"/>
            </w:tcBorders>
            <w:vAlign w:val="bottom"/>
          </w:tcPr>
          <w:p w14:paraId="7EE11E74" w14:textId="77777777" w:rsidR="00AE5815" w:rsidRPr="00AE5815" w:rsidRDefault="00AE5815" w:rsidP="00400DD1">
            <w:pPr>
              <w:pStyle w:val="-4"/>
              <w:pBdr>
                <w:bottom w:val="single" w:sz="4" w:space="1" w:color="auto"/>
              </w:pBdr>
              <w:spacing w:line="240" w:lineRule="auto"/>
              <w:rPr>
                <w:sz w:val="16"/>
                <w:szCs w:val="16"/>
                <w:rtl/>
              </w:rPr>
            </w:pPr>
            <w:r w:rsidRPr="00AE5815">
              <w:rPr>
                <w:rFonts w:hint="cs"/>
                <w:sz w:val="16"/>
                <w:szCs w:val="16"/>
                <w:rtl/>
              </w:rPr>
              <w:t>השפעת הסכמי</w:t>
            </w:r>
          </w:p>
          <w:p w14:paraId="1D5A4F3D" w14:textId="77777777" w:rsidR="00AE5815" w:rsidRPr="00AE5815" w:rsidRDefault="00AE5815" w:rsidP="00400DD1">
            <w:pPr>
              <w:pStyle w:val="-4"/>
              <w:pBdr>
                <w:bottom w:val="single" w:sz="4" w:space="1" w:color="auto"/>
              </w:pBdr>
              <w:spacing w:line="240" w:lineRule="auto"/>
              <w:rPr>
                <w:sz w:val="16"/>
                <w:szCs w:val="16"/>
                <w:rtl/>
              </w:rPr>
            </w:pPr>
            <w:r w:rsidRPr="00AE5815">
              <w:rPr>
                <w:rFonts w:hint="cs"/>
                <w:sz w:val="16"/>
                <w:szCs w:val="16"/>
                <w:rtl/>
              </w:rPr>
              <w:t>קיזוז</w:t>
            </w:r>
          </w:p>
        </w:tc>
        <w:tc>
          <w:tcPr>
            <w:tcW w:w="855" w:type="dxa"/>
            <w:tcBorders>
              <w:top w:val="nil"/>
              <w:left w:val="nil"/>
              <w:bottom w:val="nil"/>
              <w:right w:val="nil"/>
            </w:tcBorders>
            <w:vAlign w:val="bottom"/>
          </w:tcPr>
          <w:p w14:paraId="2C9E9DD2" w14:textId="77777777" w:rsidR="00AE5815" w:rsidRPr="00AE5815" w:rsidRDefault="00AE5815" w:rsidP="00400DD1">
            <w:pPr>
              <w:pStyle w:val="-4"/>
              <w:pBdr>
                <w:bottom w:val="single" w:sz="4" w:space="1" w:color="auto"/>
              </w:pBdr>
              <w:spacing w:line="240" w:lineRule="auto"/>
              <w:rPr>
                <w:sz w:val="16"/>
                <w:szCs w:val="16"/>
                <w:rtl/>
              </w:rPr>
            </w:pPr>
          </w:p>
          <w:p w14:paraId="5C193FC7" w14:textId="77777777" w:rsidR="00AE5815" w:rsidRPr="00AE5815" w:rsidRDefault="00AE5815" w:rsidP="00400DD1">
            <w:pPr>
              <w:pStyle w:val="-4"/>
              <w:pBdr>
                <w:bottom w:val="single" w:sz="4" w:space="1" w:color="auto"/>
              </w:pBdr>
              <w:spacing w:line="240" w:lineRule="auto"/>
              <w:rPr>
                <w:sz w:val="16"/>
                <w:szCs w:val="16"/>
                <w:rtl/>
              </w:rPr>
            </w:pPr>
            <w:r w:rsidRPr="00AE5815">
              <w:rPr>
                <w:rFonts w:hint="cs"/>
                <w:sz w:val="16"/>
                <w:szCs w:val="16"/>
                <w:rtl/>
              </w:rPr>
              <w:t>יתרה מאזנית</w:t>
            </w:r>
          </w:p>
        </w:tc>
      </w:tr>
      <w:tr w:rsidR="00AE5815" w:rsidRPr="00AE5815" w14:paraId="71328105" w14:textId="77777777" w:rsidTr="00320C27">
        <w:trPr>
          <w:trHeight w:val="259"/>
        </w:trPr>
        <w:tc>
          <w:tcPr>
            <w:tcW w:w="1713" w:type="dxa"/>
            <w:tcBorders>
              <w:top w:val="nil"/>
              <w:left w:val="nil"/>
              <w:bottom w:val="nil"/>
              <w:right w:val="nil"/>
            </w:tcBorders>
          </w:tcPr>
          <w:p w14:paraId="463E7CB1"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6642713C" w14:textId="77777777" w:rsidR="00AE5815" w:rsidRPr="00AE5815" w:rsidRDefault="00AE5815" w:rsidP="00400DD1">
            <w:pPr>
              <w:pStyle w:val="-f"/>
              <w:rPr>
                <w:sz w:val="16"/>
                <w:szCs w:val="16"/>
                <w:rtl/>
              </w:rPr>
            </w:pPr>
            <w:r w:rsidRPr="00AE5815">
              <w:rPr>
                <w:rFonts w:hint="cs"/>
                <w:sz w:val="16"/>
                <w:szCs w:val="16"/>
                <w:rtl/>
              </w:rPr>
              <w:t>נכסים</w:t>
            </w:r>
          </w:p>
        </w:tc>
        <w:tc>
          <w:tcPr>
            <w:tcW w:w="851" w:type="dxa"/>
            <w:tcBorders>
              <w:top w:val="nil"/>
              <w:left w:val="nil"/>
              <w:bottom w:val="nil"/>
              <w:right w:val="nil"/>
            </w:tcBorders>
          </w:tcPr>
          <w:p w14:paraId="1DFEE9F5" w14:textId="77777777" w:rsidR="00AE5815" w:rsidRPr="00AE5815" w:rsidRDefault="00AE5815" w:rsidP="00400DD1">
            <w:pPr>
              <w:pStyle w:val="-7"/>
              <w:spacing w:beforeLines="20" w:before="48" w:line="216" w:lineRule="auto"/>
              <w:jc w:val="center"/>
              <w:rPr>
                <w:sz w:val="16"/>
                <w:szCs w:val="16"/>
                <w:rtl/>
              </w:rPr>
            </w:pPr>
          </w:p>
        </w:tc>
        <w:tc>
          <w:tcPr>
            <w:tcW w:w="992" w:type="dxa"/>
            <w:tcBorders>
              <w:top w:val="nil"/>
              <w:left w:val="nil"/>
              <w:bottom w:val="nil"/>
              <w:right w:val="nil"/>
            </w:tcBorders>
          </w:tcPr>
          <w:p w14:paraId="576229B4" w14:textId="77777777" w:rsidR="00AE5815" w:rsidRPr="00AE5815" w:rsidRDefault="00AE5815" w:rsidP="00400DD1">
            <w:pPr>
              <w:pStyle w:val="-7"/>
              <w:spacing w:beforeLines="20" w:before="48" w:line="216" w:lineRule="auto"/>
              <w:jc w:val="center"/>
              <w:rPr>
                <w:sz w:val="16"/>
                <w:szCs w:val="16"/>
                <w:rtl/>
              </w:rPr>
            </w:pPr>
          </w:p>
        </w:tc>
        <w:tc>
          <w:tcPr>
            <w:tcW w:w="992" w:type="dxa"/>
            <w:tcBorders>
              <w:top w:val="nil"/>
              <w:left w:val="nil"/>
              <w:bottom w:val="nil"/>
              <w:right w:val="nil"/>
            </w:tcBorders>
          </w:tcPr>
          <w:p w14:paraId="6BE6C617" w14:textId="77777777" w:rsidR="00AE5815" w:rsidRPr="00AE5815" w:rsidRDefault="00AE5815" w:rsidP="00400DD1">
            <w:pPr>
              <w:pStyle w:val="-7"/>
              <w:spacing w:beforeLines="20" w:before="48" w:line="216" w:lineRule="auto"/>
              <w:jc w:val="center"/>
              <w:rPr>
                <w:sz w:val="16"/>
                <w:szCs w:val="16"/>
                <w:rtl/>
              </w:rPr>
            </w:pPr>
          </w:p>
        </w:tc>
        <w:tc>
          <w:tcPr>
            <w:tcW w:w="851" w:type="dxa"/>
            <w:tcBorders>
              <w:top w:val="nil"/>
              <w:left w:val="nil"/>
              <w:bottom w:val="nil"/>
              <w:right w:val="nil"/>
            </w:tcBorders>
          </w:tcPr>
          <w:p w14:paraId="0F4A492F" w14:textId="77777777" w:rsidR="00AE5815" w:rsidRPr="00AE5815" w:rsidRDefault="00AE5815" w:rsidP="00400DD1">
            <w:pPr>
              <w:pStyle w:val="-7"/>
              <w:spacing w:beforeLines="20" w:before="48" w:line="216" w:lineRule="auto"/>
              <w:jc w:val="center"/>
              <w:rPr>
                <w:sz w:val="16"/>
                <w:szCs w:val="16"/>
                <w:rtl/>
              </w:rPr>
            </w:pPr>
          </w:p>
        </w:tc>
        <w:tc>
          <w:tcPr>
            <w:tcW w:w="850" w:type="dxa"/>
            <w:tcBorders>
              <w:top w:val="nil"/>
              <w:left w:val="nil"/>
              <w:bottom w:val="nil"/>
              <w:right w:val="nil"/>
            </w:tcBorders>
          </w:tcPr>
          <w:p w14:paraId="2FE6480C" w14:textId="77777777" w:rsidR="00AE5815" w:rsidRPr="00AE5815" w:rsidRDefault="00AE5815" w:rsidP="00400DD1">
            <w:pPr>
              <w:pStyle w:val="-7"/>
              <w:spacing w:beforeLines="20" w:before="48" w:line="216" w:lineRule="auto"/>
              <w:jc w:val="center"/>
              <w:rPr>
                <w:sz w:val="16"/>
                <w:szCs w:val="16"/>
                <w:rtl/>
              </w:rPr>
            </w:pPr>
          </w:p>
        </w:tc>
        <w:tc>
          <w:tcPr>
            <w:tcW w:w="855" w:type="dxa"/>
            <w:tcBorders>
              <w:top w:val="nil"/>
              <w:left w:val="nil"/>
              <w:bottom w:val="nil"/>
              <w:right w:val="nil"/>
            </w:tcBorders>
          </w:tcPr>
          <w:p w14:paraId="3066C223" w14:textId="77777777" w:rsidR="00AE5815" w:rsidRPr="00AE5815" w:rsidRDefault="00AE5815" w:rsidP="00400DD1">
            <w:pPr>
              <w:pStyle w:val="-7"/>
              <w:spacing w:beforeLines="20" w:before="48" w:line="216" w:lineRule="auto"/>
              <w:jc w:val="center"/>
              <w:rPr>
                <w:sz w:val="16"/>
                <w:szCs w:val="16"/>
                <w:rtl/>
              </w:rPr>
            </w:pPr>
          </w:p>
        </w:tc>
      </w:tr>
      <w:tr w:rsidR="00AE5815" w:rsidRPr="00AE5815" w14:paraId="0F262423" w14:textId="77777777" w:rsidTr="00320C27">
        <w:trPr>
          <w:trHeight w:val="259"/>
        </w:trPr>
        <w:tc>
          <w:tcPr>
            <w:tcW w:w="1713" w:type="dxa"/>
            <w:tcBorders>
              <w:top w:val="nil"/>
              <w:left w:val="nil"/>
              <w:bottom w:val="nil"/>
              <w:right w:val="nil"/>
            </w:tcBorders>
          </w:tcPr>
          <w:p w14:paraId="398C8185"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5E51A9F3" w14:textId="77777777" w:rsidR="00AE5815" w:rsidRPr="00AE5815" w:rsidRDefault="00AE5815" w:rsidP="00400DD1">
            <w:pPr>
              <w:pStyle w:val="-b"/>
              <w:spacing w:before="20" w:after="20" w:line="240" w:lineRule="auto"/>
              <w:ind w:left="142" w:hanging="142"/>
              <w:rPr>
                <w:b w:val="0"/>
                <w:bCs w:val="0"/>
                <w:sz w:val="16"/>
                <w:szCs w:val="16"/>
                <w:rtl/>
              </w:rPr>
            </w:pPr>
            <w:r w:rsidRPr="00AE5815">
              <w:rPr>
                <w:rFonts w:hint="cs"/>
                <w:b w:val="0"/>
                <w:bCs w:val="0"/>
                <w:sz w:val="16"/>
                <w:szCs w:val="16"/>
                <w:rtl/>
              </w:rPr>
              <w:t xml:space="preserve">אגרות חוב זמינות למכירה ומניות שאינן למסחר </w:t>
            </w:r>
            <w:r w:rsidRPr="00AE5815">
              <w:rPr>
                <w:rFonts w:hint="cs"/>
                <w:b w:val="0"/>
                <w:bCs w:val="0"/>
                <w:sz w:val="16"/>
                <w:szCs w:val="16"/>
                <w:vertAlign w:val="superscript"/>
                <w:rtl/>
              </w:rPr>
              <w:t>[1]</w:t>
            </w:r>
          </w:p>
        </w:tc>
        <w:tc>
          <w:tcPr>
            <w:tcW w:w="851" w:type="dxa"/>
            <w:tcBorders>
              <w:top w:val="nil"/>
              <w:left w:val="nil"/>
              <w:bottom w:val="nil"/>
              <w:right w:val="nil"/>
            </w:tcBorders>
            <w:vAlign w:val="bottom"/>
          </w:tcPr>
          <w:p w14:paraId="7DF1B8EC"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3D503A48"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49D8C26F"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1BA7F3D8"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15425EF1"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p>
        </w:tc>
        <w:tc>
          <w:tcPr>
            <w:tcW w:w="855" w:type="dxa"/>
            <w:tcBorders>
              <w:top w:val="nil"/>
              <w:left w:val="nil"/>
              <w:bottom w:val="nil"/>
              <w:right w:val="nil"/>
            </w:tcBorders>
            <w:vAlign w:val="bottom"/>
          </w:tcPr>
          <w:p w14:paraId="2E41033E"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r>
      <w:tr w:rsidR="00AE5815" w:rsidRPr="00AE5815" w14:paraId="229DEDB6" w14:textId="77777777" w:rsidTr="00320C27">
        <w:trPr>
          <w:trHeight w:val="259"/>
        </w:trPr>
        <w:tc>
          <w:tcPr>
            <w:tcW w:w="1713" w:type="dxa"/>
            <w:tcBorders>
              <w:top w:val="nil"/>
              <w:left w:val="nil"/>
              <w:bottom w:val="nil"/>
              <w:right w:val="nil"/>
            </w:tcBorders>
          </w:tcPr>
          <w:p w14:paraId="4545188C"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06CB97CB" w14:textId="77777777" w:rsidR="00AE5815" w:rsidRPr="00AE5815" w:rsidRDefault="00AE5815" w:rsidP="00400DD1">
            <w:pPr>
              <w:pStyle w:val="-b"/>
              <w:spacing w:before="20" w:after="20" w:line="240" w:lineRule="auto"/>
              <w:ind w:left="142" w:hanging="142"/>
              <w:rPr>
                <w:b w:val="0"/>
                <w:bCs w:val="0"/>
                <w:sz w:val="16"/>
                <w:szCs w:val="16"/>
                <w:rtl/>
              </w:rPr>
            </w:pPr>
            <w:r w:rsidRPr="00AE5815">
              <w:rPr>
                <w:rFonts w:hint="cs"/>
                <w:b w:val="0"/>
                <w:bCs w:val="0"/>
                <w:sz w:val="16"/>
                <w:szCs w:val="16"/>
                <w:rtl/>
              </w:rPr>
              <w:t xml:space="preserve">ניירות ערך למסחר </w:t>
            </w:r>
            <w:r w:rsidRPr="00AE5815">
              <w:rPr>
                <w:rFonts w:hint="cs"/>
                <w:b w:val="0"/>
                <w:bCs w:val="0"/>
                <w:sz w:val="16"/>
                <w:szCs w:val="16"/>
                <w:vertAlign w:val="superscript"/>
                <w:rtl/>
              </w:rPr>
              <w:t>[1]</w:t>
            </w:r>
          </w:p>
        </w:tc>
        <w:tc>
          <w:tcPr>
            <w:tcW w:w="851" w:type="dxa"/>
            <w:tcBorders>
              <w:top w:val="nil"/>
              <w:left w:val="nil"/>
              <w:bottom w:val="nil"/>
              <w:right w:val="nil"/>
            </w:tcBorders>
            <w:vAlign w:val="bottom"/>
          </w:tcPr>
          <w:p w14:paraId="4B8AED8F"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2BC8643D"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41BA311B"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1EFAB473"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12E958E0"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p>
        </w:tc>
        <w:tc>
          <w:tcPr>
            <w:tcW w:w="855" w:type="dxa"/>
            <w:tcBorders>
              <w:top w:val="nil"/>
              <w:left w:val="nil"/>
              <w:bottom w:val="nil"/>
              <w:right w:val="nil"/>
            </w:tcBorders>
            <w:vAlign w:val="bottom"/>
          </w:tcPr>
          <w:p w14:paraId="1D034C97"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r>
      <w:tr w:rsidR="00AE5815" w:rsidRPr="00AE5815" w14:paraId="0EE41BE0" w14:textId="77777777" w:rsidTr="00320C27">
        <w:trPr>
          <w:trHeight w:val="259"/>
        </w:trPr>
        <w:tc>
          <w:tcPr>
            <w:tcW w:w="1713" w:type="dxa"/>
            <w:tcBorders>
              <w:top w:val="nil"/>
              <w:left w:val="nil"/>
              <w:bottom w:val="nil"/>
              <w:right w:val="nil"/>
            </w:tcBorders>
          </w:tcPr>
          <w:p w14:paraId="1FB52314"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030F8671" w14:textId="77777777" w:rsidR="00AE5815" w:rsidRPr="00AE5815" w:rsidRDefault="00AE5815" w:rsidP="00400DD1">
            <w:pPr>
              <w:pStyle w:val="-b"/>
              <w:spacing w:before="20" w:after="20" w:line="240" w:lineRule="auto"/>
              <w:ind w:left="142" w:hanging="142"/>
              <w:rPr>
                <w:b w:val="0"/>
                <w:bCs w:val="0"/>
                <w:sz w:val="16"/>
                <w:szCs w:val="16"/>
                <w:rtl/>
              </w:rPr>
            </w:pPr>
            <w:r w:rsidRPr="00AE5815">
              <w:rPr>
                <w:rFonts w:hint="cs"/>
                <w:b w:val="0"/>
                <w:bCs w:val="0"/>
                <w:sz w:val="16"/>
                <w:szCs w:val="16"/>
                <w:rtl/>
              </w:rPr>
              <w:t>נכסים בגין מכשירים נגזרים</w:t>
            </w:r>
            <w:r w:rsidRPr="00AE5815">
              <w:rPr>
                <w:rFonts w:hint="cs"/>
                <w:b w:val="0"/>
                <w:bCs w:val="0"/>
                <w:sz w:val="16"/>
                <w:szCs w:val="16"/>
                <w:vertAlign w:val="superscript"/>
                <w:rtl/>
              </w:rPr>
              <w:t xml:space="preserve"> [2]</w:t>
            </w:r>
          </w:p>
        </w:tc>
        <w:tc>
          <w:tcPr>
            <w:tcW w:w="851" w:type="dxa"/>
            <w:tcBorders>
              <w:top w:val="nil"/>
              <w:left w:val="nil"/>
              <w:bottom w:val="nil"/>
              <w:right w:val="nil"/>
            </w:tcBorders>
            <w:vAlign w:val="bottom"/>
          </w:tcPr>
          <w:p w14:paraId="05A55E2B"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341A452E"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6EDCD0F6"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28496777"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2313064A"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(0)</w:t>
            </w:r>
          </w:p>
        </w:tc>
        <w:tc>
          <w:tcPr>
            <w:tcW w:w="855" w:type="dxa"/>
            <w:tcBorders>
              <w:top w:val="nil"/>
              <w:left w:val="nil"/>
              <w:bottom w:val="nil"/>
              <w:right w:val="nil"/>
            </w:tcBorders>
            <w:vAlign w:val="bottom"/>
          </w:tcPr>
          <w:p w14:paraId="2BE5185B" w14:textId="77777777" w:rsidR="00AE5815" w:rsidRPr="00AE5815" w:rsidRDefault="00AE5815" w:rsidP="00400DD1">
            <w:pPr>
              <w:pStyle w:val="-0"/>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r>
      <w:tr w:rsidR="00AE5815" w:rsidRPr="00AE5815" w14:paraId="5932C990" w14:textId="77777777" w:rsidTr="00320C27">
        <w:trPr>
          <w:trHeight w:val="259"/>
        </w:trPr>
        <w:tc>
          <w:tcPr>
            <w:tcW w:w="1713" w:type="dxa"/>
            <w:tcBorders>
              <w:top w:val="nil"/>
              <w:left w:val="nil"/>
              <w:bottom w:val="nil"/>
              <w:right w:val="nil"/>
            </w:tcBorders>
          </w:tcPr>
          <w:p w14:paraId="600E186B"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17CBBBFB" w14:textId="77777777" w:rsidR="00AE5815" w:rsidRPr="00AE5815" w:rsidRDefault="00AE5815" w:rsidP="00400DD1">
            <w:pPr>
              <w:pStyle w:val="-23"/>
              <w:spacing w:beforeLines="20" w:before="48" w:line="216" w:lineRule="auto"/>
              <w:ind w:left="142" w:hanging="142"/>
              <w:rPr>
                <w:b w:val="0"/>
                <w:bCs w:val="0"/>
                <w:sz w:val="16"/>
                <w:szCs w:val="16"/>
                <w:rtl/>
              </w:rPr>
            </w:pPr>
            <w:r w:rsidRPr="00AE5815">
              <w:rPr>
                <w:rFonts w:hint="eastAsia"/>
                <w:b w:val="0"/>
                <w:bCs w:val="0"/>
                <w:sz w:val="16"/>
                <w:szCs w:val="16"/>
                <w:rtl/>
              </w:rPr>
              <w:t>אחר</w:t>
            </w:r>
            <w:r w:rsidRPr="00AE5815">
              <w:rPr>
                <w:rFonts w:hint="cs"/>
                <w:b w:val="0"/>
                <w:bCs w:val="0"/>
                <w:sz w:val="16"/>
                <w:szCs w:val="16"/>
                <w:rtl/>
              </w:rPr>
              <w:t xml:space="preserve"> [פרט אם מהותי]</w:t>
            </w:r>
          </w:p>
        </w:tc>
        <w:tc>
          <w:tcPr>
            <w:tcW w:w="851" w:type="dxa"/>
            <w:tcBorders>
              <w:top w:val="nil"/>
              <w:left w:val="nil"/>
              <w:bottom w:val="nil"/>
              <w:right w:val="nil"/>
            </w:tcBorders>
            <w:vAlign w:val="bottom"/>
          </w:tcPr>
          <w:p w14:paraId="7DF7505D" w14:textId="77777777" w:rsidR="00AE5815" w:rsidRPr="00AE5815" w:rsidRDefault="00AE5815" w:rsidP="00400DD1">
            <w:pPr>
              <w:pStyle w:val="-3"/>
              <w:pBdr>
                <w:bottom w:val="single" w:sz="4" w:space="1" w:color="auto"/>
              </w:pBdr>
              <w:spacing w:beforeLines="20" w:before="48" w:line="216" w:lineRule="auto"/>
              <w:rPr>
                <w:b/>
                <w:bCs/>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13D30B3B" w14:textId="77777777" w:rsidR="00AE5815" w:rsidRPr="00AE5815" w:rsidRDefault="00AE5815" w:rsidP="00400DD1">
            <w:pPr>
              <w:pStyle w:val="-3"/>
              <w:pBdr>
                <w:bottom w:val="single" w:sz="4" w:space="1" w:color="auto"/>
              </w:pBdr>
              <w:spacing w:beforeLines="20" w:before="48" w:line="216" w:lineRule="auto"/>
              <w:rPr>
                <w:b/>
                <w:bCs/>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22628B43" w14:textId="77777777" w:rsidR="00AE5815" w:rsidRPr="00AE5815" w:rsidRDefault="00AE5815" w:rsidP="00400DD1">
            <w:pPr>
              <w:pStyle w:val="-3"/>
              <w:pBdr>
                <w:bottom w:val="single" w:sz="4" w:space="1" w:color="auto"/>
              </w:pBdr>
              <w:spacing w:beforeLines="20" w:before="48" w:line="216" w:lineRule="auto"/>
              <w:rPr>
                <w:b/>
                <w:bCs/>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39853EFD" w14:textId="77777777" w:rsidR="00AE5815" w:rsidRPr="00AE5815" w:rsidRDefault="00AE5815" w:rsidP="00400DD1">
            <w:pPr>
              <w:pStyle w:val="-3"/>
              <w:pBdr>
                <w:bottom w:val="single" w:sz="4" w:space="1" w:color="auto"/>
              </w:pBdr>
              <w:spacing w:beforeLines="20" w:before="48" w:line="216" w:lineRule="auto"/>
              <w:rPr>
                <w:b/>
                <w:bCs/>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47CE4BD9" w14:textId="77777777" w:rsidR="00AE5815" w:rsidRPr="00AE5815" w:rsidRDefault="00AE5815" w:rsidP="00400DD1">
            <w:pPr>
              <w:pStyle w:val="-3"/>
              <w:pBdr>
                <w:bottom w:val="single" w:sz="4" w:space="1" w:color="auto"/>
              </w:pBdr>
              <w:spacing w:beforeLines="20" w:before="48" w:line="216" w:lineRule="auto"/>
              <w:rPr>
                <w:b/>
                <w:bCs/>
                <w:sz w:val="16"/>
                <w:szCs w:val="16"/>
                <w:rtl/>
              </w:rPr>
            </w:pPr>
            <w:r w:rsidRPr="00AE5815">
              <w:rPr>
                <w:rFonts w:hint="cs"/>
                <w:sz w:val="16"/>
                <w:szCs w:val="16"/>
                <w:rtl/>
              </w:rPr>
              <w:t xml:space="preserve"> (0)</w:t>
            </w:r>
          </w:p>
        </w:tc>
        <w:tc>
          <w:tcPr>
            <w:tcW w:w="855" w:type="dxa"/>
            <w:tcBorders>
              <w:top w:val="nil"/>
              <w:left w:val="nil"/>
              <w:bottom w:val="nil"/>
              <w:right w:val="nil"/>
            </w:tcBorders>
            <w:vAlign w:val="bottom"/>
          </w:tcPr>
          <w:p w14:paraId="504098CD" w14:textId="77777777" w:rsidR="00AE5815" w:rsidRPr="00AE5815" w:rsidRDefault="00AE5815" w:rsidP="00400DD1">
            <w:pPr>
              <w:pStyle w:val="-3"/>
              <w:pBdr>
                <w:bottom w:val="single" w:sz="4" w:space="1" w:color="auto"/>
              </w:pBdr>
              <w:spacing w:beforeLines="20" w:before="48" w:line="216" w:lineRule="auto"/>
              <w:rPr>
                <w:b/>
                <w:bCs/>
                <w:sz w:val="16"/>
                <w:szCs w:val="16"/>
                <w:rtl/>
              </w:rPr>
            </w:pPr>
            <w:r w:rsidRPr="00AE5815">
              <w:rPr>
                <w:rFonts w:hint="cs"/>
                <w:sz w:val="16"/>
                <w:szCs w:val="16"/>
                <w:rtl/>
              </w:rPr>
              <w:t xml:space="preserve"> </w:t>
            </w:r>
            <w:r w:rsidRPr="00AE5815">
              <w:rPr>
                <w:sz w:val="16"/>
                <w:szCs w:val="16"/>
                <w:rtl/>
              </w:rPr>
              <w:t>0</w:t>
            </w:r>
          </w:p>
        </w:tc>
      </w:tr>
      <w:tr w:rsidR="00AE5815" w:rsidRPr="00AE5815" w14:paraId="3AE4A0FC" w14:textId="77777777" w:rsidTr="00320C27">
        <w:trPr>
          <w:trHeight w:val="259"/>
        </w:trPr>
        <w:tc>
          <w:tcPr>
            <w:tcW w:w="1713" w:type="dxa"/>
            <w:tcBorders>
              <w:top w:val="nil"/>
              <w:left w:val="nil"/>
              <w:bottom w:val="nil"/>
              <w:right w:val="nil"/>
            </w:tcBorders>
          </w:tcPr>
          <w:p w14:paraId="0C6B7208"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110252C8" w14:textId="77777777" w:rsidR="00AE5815" w:rsidRPr="00AE5815" w:rsidRDefault="00AE5815" w:rsidP="00400DD1">
            <w:pPr>
              <w:pStyle w:val="-23"/>
              <w:spacing w:before="20" w:after="60" w:line="240" w:lineRule="auto"/>
              <w:ind w:left="142" w:hanging="142"/>
              <w:rPr>
                <w:sz w:val="16"/>
                <w:szCs w:val="16"/>
                <w:rtl/>
              </w:rPr>
            </w:pPr>
            <w:r w:rsidRPr="00AE5815">
              <w:rPr>
                <w:sz w:val="16"/>
                <w:szCs w:val="16"/>
                <w:rtl/>
              </w:rPr>
              <w:t xml:space="preserve">סך </w:t>
            </w:r>
            <w:r w:rsidRPr="00AE5815">
              <w:rPr>
                <w:rFonts w:hint="cs"/>
                <w:sz w:val="16"/>
                <w:szCs w:val="16"/>
                <w:rtl/>
              </w:rPr>
              <w:t>כל הנכסים</w:t>
            </w:r>
          </w:p>
        </w:tc>
        <w:tc>
          <w:tcPr>
            <w:tcW w:w="851" w:type="dxa"/>
            <w:tcBorders>
              <w:top w:val="nil"/>
              <w:left w:val="nil"/>
              <w:bottom w:val="nil"/>
              <w:right w:val="nil"/>
            </w:tcBorders>
            <w:vAlign w:val="bottom"/>
          </w:tcPr>
          <w:p w14:paraId="212E8D23"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11E94053"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3C556401"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32EA4884"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60ECB4BC"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r w:rsidRPr="00AE5815">
              <w:rPr>
                <w:rFonts w:hint="cs"/>
                <w:sz w:val="16"/>
                <w:szCs w:val="16"/>
                <w:rtl/>
              </w:rPr>
              <w:t>)</w:t>
            </w:r>
          </w:p>
        </w:tc>
        <w:tc>
          <w:tcPr>
            <w:tcW w:w="855" w:type="dxa"/>
            <w:tcBorders>
              <w:top w:val="nil"/>
              <w:left w:val="nil"/>
              <w:bottom w:val="nil"/>
              <w:right w:val="nil"/>
            </w:tcBorders>
            <w:vAlign w:val="bottom"/>
          </w:tcPr>
          <w:p w14:paraId="73DE86C1"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r>
      <w:tr w:rsidR="00AE5815" w:rsidRPr="00AE5815" w14:paraId="002C5CDA" w14:textId="77777777" w:rsidTr="00320C27">
        <w:trPr>
          <w:trHeight w:val="259"/>
        </w:trPr>
        <w:tc>
          <w:tcPr>
            <w:tcW w:w="1713" w:type="dxa"/>
            <w:tcBorders>
              <w:top w:val="nil"/>
              <w:left w:val="nil"/>
              <w:bottom w:val="nil"/>
              <w:right w:val="nil"/>
            </w:tcBorders>
          </w:tcPr>
          <w:p w14:paraId="7000BB96"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672953BD" w14:textId="77777777" w:rsidR="00AE5815" w:rsidRPr="00AE5815" w:rsidRDefault="00AE5815" w:rsidP="00400DD1">
            <w:pPr>
              <w:pStyle w:val="-23"/>
              <w:spacing w:before="80" w:line="240" w:lineRule="auto"/>
              <w:ind w:left="142" w:hanging="142"/>
              <w:rPr>
                <w:sz w:val="16"/>
                <w:szCs w:val="16"/>
                <w:u w:val="single"/>
                <w:rtl/>
              </w:rPr>
            </w:pPr>
            <w:r w:rsidRPr="00AE5815">
              <w:rPr>
                <w:sz w:val="16"/>
                <w:szCs w:val="16"/>
                <w:u w:val="single"/>
                <w:rtl/>
              </w:rPr>
              <w:t xml:space="preserve">התחייבויות </w:t>
            </w:r>
          </w:p>
        </w:tc>
        <w:tc>
          <w:tcPr>
            <w:tcW w:w="851" w:type="dxa"/>
            <w:tcBorders>
              <w:top w:val="nil"/>
              <w:left w:val="nil"/>
              <w:bottom w:val="nil"/>
              <w:right w:val="nil"/>
            </w:tcBorders>
          </w:tcPr>
          <w:p w14:paraId="377E6961" w14:textId="77777777" w:rsidR="00AE5815" w:rsidRPr="00AE5815" w:rsidRDefault="00AE5815" w:rsidP="00400DD1">
            <w:pPr>
              <w:pStyle w:val="-f1"/>
              <w:pBdr>
                <w:top w:val="none" w:sz="0" w:space="0" w:color="auto"/>
              </w:pBdr>
              <w:spacing w:beforeLines="20" w:before="48" w:line="216" w:lineRule="auto"/>
              <w:rPr>
                <w:sz w:val="16"/>
                <w:szCs w:val="16"/>
                <w:rtl/>
              </w:rPr>
            </w:pPr>
          </w:p>
        </w:tc>
        <w:tc>
          <w:tcPr>
            <w:tcW w:w="992" w:type="dxa"/>
            <w:tcBorders>
              <w:top w:val="nil"/>
              <w:left w:val="nil"/>
              <w:bottom w:val="nil"/>
              <w:right w:val="nil"/>
            </w:tcBorders>
          </w:tcPr>
          <w:p w14:paraId="079D816A" w14:textId="77777777" w:rsidR="00AE5815" w:rsidRPr="00AE5815" w:rsidRDefault="00AE5815" w:rsidP="00400DD1">
            <w:pPr>
              <w:pStyle w:val="-f1"/>
              <w:pBdr>
                <w:top w:val="none" w:sz="0" w:space="0" w:color="auto"/>
              </w:pBdr>
              <w:spacing w:beforeLines="20" w:before="48" w:line="216" w:lineRule="auto"/>
              <w:rPr>
                <w:sz w:val="16"/>
                <w:szCs w:val="16"/>
                <w:rtl/>
              </w:rPr>
            </w:pPr>
          </w:p>
        </w:tc>
        <w:tc>
          <w:tcPr>
            <w:tcW w:w="992" w:type="dxa"/>
            <w:tcBorders>
              <w:top w:val="nil"/>
              <w:left w:val="nil"/>
              <w:bottom w:val="nil"/>
              <w:right w:val="nil"/>
            </w:tcBorders>
          </w:tcPr>
          <w:p w14:paraId="407A6473" w14:textId="77777777" w:rsidR="00AE5815" w:rsidRPr="00AE5815" w:rsidRDefault="00AE5815" w:rsidP="00400DD1">
            <w:pPr>
              <w:pStyle w:val="-f1"/>
              <w:pBdr>
                <w:top w:val="none" w:sz="0" w:space="0" w:color="auto"/>
              </w:pBdr>
              <w:spacing w:beforeLines="20" w:before="48" w:line="216" w:lineRule="auto"/>
              <w:rPr>
                <w:sz w:val="16"/>
                <w:szCs w:val="16"/>
                <w:rtl/>
              </w:rPr>
            </w:pPr>
          </w:p>
        </w:tc>
        <w:tc>
          <w:tcPr>
            <w:tcW w:w="851" w:type="dxa"/>
            <w:tcBorders>
              <w:top w:val="nil"/>
              <w:left w:val="nil"/>
              <w:bottom w:val="nil"/>
              <w:right w:val="nil"/>
            </w:tcBorders>
          </w:tcPr>
          <w:p w14:paraId="326C584F" w14:textId="77777777" w:rsidR="00AE5815" w:rsidRPr="00AE5815" w:rsidRDefault="00AE5815" w:rsidP="00400DD1">
            <w:pPr>
              <w:pStyle w:val="-f1"/>
              <w:pBdr>
                <w:top w:val="none" w:sz="0" w:space="0" w:color="auto"/>
              </w:pBdr>
              <w:spacing w:beforeLines="20" w:before="48" w:line="216" w:lineRule="auto"/>
              <w:rPr>
                <w:sz w:val="16"/>
                <w:szCs w:val="16"/>
                <w:rtl/>
              </w:rPr>
            </w:pPr>
          </w:p>
        </w:tc>
        <w:tc>
          <w:tcPr>
            <w:tcW w:w="850" w:type="dxa"/>
            <w:tcBorders>
              <w:top w:val="nil"/>
              <w:left w:val="nil"/>
              <w:bottom w:val="nil"/>
              <w:right w:val="nil"/>
            </w:tcBorders>
          </w:tcPr>
          <w:p w14:paraId="0184A1F3" w14:textId="77777777" w:rsidR="00AE5815" w:rsidRPr="00AE5815" w:rsidRDefault="00AE5815" w:rsidP="00400DD1">
            <w:pPr>
              <w:pStyle w:val="-f1"/>
              <w:pBdr>
                <w:top w:val="none" w:sz="0" w:space="0" w:color="auto"/>
              </w:pBdr>
              <w:spacing w:beforeLines="20" w:before="48" w:line="216" w:lineRule="auto"/>
              <w:rPr>
                <w:sz w:val="16"/>
                <w:szCs w:val="16"/>
                <w:rtl/>
              </w:rPr>
            </w:pPr>
          </w:p>
        </w:tc>
        <w:tc>
          <w:tcPr>
            <w:tcW w:w="855" w:type="dxa"/>
            <w:tcBorders>
              <w:top w:val="nil"/>
              <w:left w:val="nil"/>
              <w:bottom w:val="nil"/>
              <w:right w:val="nil"/>
            </w:tcBorders>
          </w:tcPr>
          <w:p w14:paraId="5845932F" w14:textId="77777777" w:rsidR="00AE5815" w:rsidRPr="00AE5815" w:rsidRDefault="00AE5815" w:rsidP="00400DD1">
            <w:pPr>
              <w:pStyle w:val="-f1"/>
              <w:pBdr>
                <w:top w:val="none" w:sz="0" w:space="0" w:color="auto"/>
              </w:pBdr>
              <w:spacing w:beforeLines="20" w:before="48" w:line="216" w:lineRule="auto"/>
              <w:rPr>
                <w:sz w:val="16"/>
                <w:szCs w:val="16"/>
                <w:rtl/>
              </w:rPr>
            </w:pPr>
          </w:p>
        </w:tc>
      </w:tr>
      <w:tr w:rsidR="00AE5815" w:rsidRPr="00AE5815" w14:paraId="64832DF8" w14:textId="77777777" w:rsidTr="00320C27">
        <w:trPr>
          <w:trHeight w:val="259"/>
        </w:trPr>
        <w:tc>
          <w:tcPr>
            <w:tcW w:w="1713" w:type="dxa"/>
            <w:tcBorders>
              <w:top w:val="nil"/>
              <w:left w:val="nil"/>
              <w:bottom w:val="nil"/>
              <w:right w:val="nil"/>
            </w:tcBorders>
          </w:tcPr>
          <w:p w14:paraId="40F2CFEB"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3E1F311B" w14:textId="77777777" w:rsidR="00AE5815" w:rsidRPr="00AE5815" w:rsidRDefault="00AE5815" w:rsidP="00400DD1">
            <w:pPr>
              <w:pStyle w:val="-23"/>
              <w:spacing w:beforeLines="20" w:before="48" w:line="216" w:lineRule="auto"/>
              <w:ind w:left="0" w:firstLine="0"/>
              <w:rPr>
                <w:b w:val="0"/>
                <w:bCs w:val="0"/>
                <w:sz w:val="16"/>
                <w:szCs w:val="16"/>
                <w:rtl/>
              </w:rPr>
            </w:pPr>
            <w:r w:rsidRPr="00AE5815">
              <w:rPr>
                <w:rFonts w:hint="cs"/>
                <w:b w:val="0"/>
                <w:bCs w:val="0"/>
                <w:sz w:val="16"/>
                <w:szCs w:val="16"/>
                <w:rtl/>
              </w:rPr>
              <w:t xml:space="preserve">התחייבויות בגין מכשירים נגזרים </w:t>
            </w:r>
            <w:r w:rsidRPr="00AE5815">
              <w:rPr>
                <w:rFonts w:hint="cs"/>
                <w:b w:val="0"/>
                <w:bCs w:val="0"/>
                <w:sz w:val="16"/>
                <w:szCs w:val="16"/>
                <w:vertAlign w:val="superscript"/>
                <w:rtl/>
              </w:rPr>
              <w:t>[2]</w:t>
            </w:r>
          </w:p>
        </w:tc>
        <w:tc>
          <w:tcPr>
            <w:tcW w:w="851" w:type="dxa"/>
            <w:tcBorders>
              <w:top w:val="nil"/>
              <w:left w:val="nil"/>
              <w:bottom w:val="nil"/>
              <w:right w:val="nil"/>
            </w:tcBorders>
            <w:vAlign w:val="bottom"/>
          </w:tcPr>
          <w:p w14:paraId="4DABACA7" w14:textId="77777777" w:rsidR="00AE5815" w:rsidRPr="00AE5815" w:rsidRDefault="00AE5815" w:rsidP="00400DD1">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992" w:type="dxa"/>
            <w:tcBorders>
              <w:top w:val="nil"/>
              <w:left w:val="nil"/>
              <w:bottom w:val="nil"/>
              <w:right w:val="nil"/>
            </w:tcBorders>
            <w:vAlign w:val="bottom"/>
          </w:tcPr>
          <w:p w14:paraId="4E0B6652" w14:textId="77777777" w:rsidR="00AE5815" w:rsidRPr="00AE5815" w:rsidRDefault="00AE5815" w:rsidP="00400DD1">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992" w:type="dxa"/>
            <w:tcBorders>
              <w:top w:val="nil"/>
              <w:left w:val="nil"/>
              <w:bottom w:val="nil"/>
              <w:right w:val="nil"/>
            </w:tcBorders>
            <w:vAlign w:val="bottom"/>
          </w:tcPr>
          <w:p w14:paraId="266147F5" w14:textId="77777777" w:rsidR="00AE5815" w:rsidRPr="00AE5815" w:rsidRDefault="00AE5815" w:rsidP="00400DD1">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851" w:type="dxa"/>
            <w:tcBorders>
              <w:top w:val="nil"/>
              <w:left w:val="nil"/>
              <w:bottom w:val="nil"/>
              <w:right w:val="nil"/>
            </w:tcBorders>
            <w:vAlign w:val="bottom"/>
          </w:tcPr>
          <w:p w14:paraId="7D12589E" w14:textId="77777777" w:rsidR="00AE5815" w:rsidRPr="00AE5815" w:rsidRDefault="00AE5815" w:rsidP="00400DD1">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850" w:type="dxa"/>
            <w:tcBorders>
              <w:top w:val="nil"/>
              <w:left w:val="nil"/>
              <w:bottom w:val="nil"/>
              <w:right w:val="nil"/>
            </w:tcBorders>
            <w:vAlign w:val="bottom"/>
          </w:tcPr>
          <w:p w14:paraId="43DEA4B4" w14:textId="77777777" w:rsidR="00AE5815" w:rsidRPr="00AE5815" w:rsidRDefault="00AE5815" w:rsidP="00400DD1">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(0)</w:t>
            </w:r>
          </w:p>
        </w:tc>
        <w:tc>
          <w:tcPr>
            <w:tcW w:w="855" w:type="dxa"/>
            <w:tcBorders>
              <w:top w:val="nil"/>
              <w:left w:val="nil"/>
              <w:bottom w:val="nil"/>
              <w:right w:val="nil"/>
            </w:tcBorders>
            <w:vAlign w:val="bottom"/>
          </w:tcPr>
          <w:p w14:paraId="4F61583E" w14:textId="77777777" w:rsidR="00AE5815" w:rsidRPr="00AE5815" w:rsidRDefault="00AE5815" w:rsidP="00400DD1">
            <w:pPr>
              <w:pStyle w:val="-f1"/>
              <w:pBdr>
                <w:top w:val="none" w:sz="0" w:space="0"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r>
      <w:tr w:rsidR="00AE5815" w:rsidRPr="00AE5815" w14:paraId="490C18BF" w14:textId="77777777" w:rsidTr="00320C27">
        <w:trPr>
          <w:trHeight w:val="259"/>
        </w:trPr>
        <w:tc>
          <w:tcPr>
            <w:tcW w:w="1713" w:type="dxa"/>
            <w:tcBorders>
              <w:top w:val="nil"/>
              <w:left w:val="nil"/>
              <w:bottom w:val="nil"/>
              <w:right w:val="nil"/>
            </w:tcBorders>
          </w:tcPr>
          <w:p w14:paraId="17876F11"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41BCAF33" w14:textId="77777777" w:rsidR="00AE5815" w:rsidRPr="00AE5815" w:rsidRDefault="00AE5815" w:rsidP="00400DD1">
            <w:pPr>
              <w:pStyle w:val="-23"/>
              <w:spacing w:beforeLines="20" w:before="48" w:line="216" w:lineRule="auto"/>
              <w:ind w:left="0" w:firstLine="0"/>
              <w:rPr>
                <w:b w:val="0"/>
                <w:bCs w:val="0"/>
                <w:sz w:val="16"/>
                <w:szCs w:val="16"/>
                <w:rtl/>
              </w:rPr>
            </w:pPr>
            <w:r w:rsidRPr="00AE5815">
              <w:rPr>
                <w:rFonts w:hint="eastAsia"/>
                <w:b w:val="0"/>
                <w:bCs w:val="0"/>
                <w:sz w:val="16"/>
                <w:szCs w:val="16"/>
                <w:rtl/>
              </w:rPr>
              <w:t>אחר</w:t>
            </w:r>
            <w:r w:rsidRPr="00AE5815">
              <w:rPr>
                <w:rFonts w:hint="cs"/>
                <w:b w:val="0"/>
                <w:bCs w:val="0"/>
                <w:sz w:val="16"/>
                <w:szCs w:val="16"/>
                <w:rtl/>
              </w:rPr>
              <w:t xml:space="preserve"> [פרט אם מהותי]</w:t>
            </w:r>
          </w:p>
        </w:tc>
        <w:tc>
          <w:tcPr>
            <w:tcW w:w="851" w:type="dxa"/>
            <w:tcBorders>
              <w:top w:val="nil"/>
              <w:left w:val="nil"/>
              <w:bottom w:val="nil"/>
              <w:right w:val="nil"/>
            </w:tcBorders>
            <w:vAlign w:val="bottom"/>
          </w:tcPr>
          <w:p w14:paraId="7E9A1110" w14:textId="77777777" w:rsidR="00AE5815" w:rsidRPr="00AE5815" w:rsidRDefault="00AE5815" w:rsidP="00400DD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992" w:type="dxa"/>
            <w:tcBorders>
              <w:top w:val="nil"/>
              <w:left w:val="nil"/>
              <w:bottom w:val="nil"/>
              <w:right w:val="nil"/>
            </w:tcBorders>
            <w:vAlign w:val="bottom"/>
          </w:tcPr>
          <w:p w14:paraId="778D9556" w14:textId="77777777" w:rsidR="00AE5815" w:rsidRPr="00AE5815" w:rsidRDefault="00AE5815" w:rsidP="00400DD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992" w:type="dxa"/>
            <w:tcBorders>
              <w:top w:val="nil"/>
              <w:left w:val="nil"/>
              <w:bottom w:val="nil"/>
              <w:right w:val="nil"/>
            </w:tcBorders>
            <w:vAlign w:val="bottom"/>
          </w:tcPr>
          <w:p w14:paraId="0DA6EE45" w14:textId="77777777" w:rsidR="00AE5815" w:rsidRPr="00AE5815" w:rsidRDefault="00AE5815" w:rsidP="00400DD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851" w:type="dxa"/>
            <w:tcBorders>
              <w:top w:val="nil"/>
              <w:left w:val="nil"/>
              <w:bottom w:val="nil"/>
              <w:right w:val="nil"/>
            </w:tcBorders>
            <w:vAlign w:val="bottom"/>
          </w:tcPr>
          <w:p w14:paraId="580F8171" w14:textId="77777777" w:rsidR="00AE5815" w:rsidRPr="00AE5815" w:rsidRDefault="00AE5815" w:rsidP="00400DD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c>
          <w:tcPr>
            <w:tcW w:w="850" w:type="dxa"/>
            <w:tcBorders>
              <w:top w:val="nil"/>
              <w:left w:val="nil"/>
              <w:bottom w:val="nil"/>
              <w:right w:val="nil"/>
            </w:tcBorders>
            <w:vAlign w:val="bottom"/>
          </w:tcPr>
          <w:p w14:paraId="65E5A49D" w14:textId="77777777" w:rsidR="00AE5815" w:rsidRPr="00AE5815" w:rsidRDefault="00AE5815" w:rsidP="00400DD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(0)</w:t>
            </w:r>
          </w:p>
        </w:tc>
        <w:tc>
          <w:tcPr>
            <w:tcW w:w="855" w:type="dxa"/>
            <w:tcBorders>
              <w:top w:val="nil"/>
              <w:left w:val="nil"/>
              <w:bottom w:val="nil"/>
              <w:right w:val="nil"/>
            </w:tcBorders>
            <w:vAlign w:val="bottom"/>
          </w:tcPr>
          <w:p w14:paraId="35E90FB3" w14:textId="77777777" w:rsidR="00AE5815" w:rsidRPr="00AE5815" w:rsidRDefault="00AE5815" w:rsidP="00400DD1">
            <w:pPr>
              <w:pStyle w:val="-f1"/>
              <w:pBdr>
                <w:top w:val="none" w:sz="0" w:space="0" w:color="auto"/>
                <w:bottom w:val="single" w:sz="4" w:space="1" w:color="auto"/>
              </w:pBdr>
              <w:spacing w:beforeLines="20" w:before="48" w:line="216" w:lineRule="auto"/>
              <w:rPr>
                <w:b w:val="0"/>
                <w:bCs w:val="0"/>
                <w:sz w:val="16"/>
                <w:szCs w:val="16"/>
                <w:rtl/>
              </w:rPr>
            </w:pPr>
            <w:r w:rsidRPr="00AE5815">
              <w:rPr>
                <w:rFonts w:hint="cs"/>
                <w:b w:val="0"/>
                <w:bCs w:val="0"/>
                <w:sz w:val="16"/>
                <w:szCs w:val="16"/>
                <w:rtl/>
              </w:rPr>
              <w:t xml:space="preserve"> </w:t>
            </w:r>
            <w:r w:rsidRPr="00AE5815">
              <w:rPr>
                <w:b w:val="0"/>
                <w:bCs w:val="0"/>
                <w:sz w:val="16"/>
                <w:szCs w:val="16"/>
                <w:rtl/>
              </w:rPr>
              <w:t>0</w:t>
            </w:r>
          </w:p>
        </w:tc>
      </w:tr>
      <w:tr w:rsidR="00AE5815" w:rsidRPr="00AE5815" w14:paraId="669B3316" w14:textId="77777777" w:rsidTr="00320C27">
        <w:trPr>
          <w:trHeight w:val="259"/>
        </w:trPr>
        <w:tc>
          <w:tcPr>
            <w:tcW w:w="1713" w:type="dxa"/>
            <w:tcBorders>
              <w:top w:val="nil"/>
              <w:left w:val="nil"/>
              <w:bottom w:val="nil"/>
              <w:right w:val="nil"/>
            </w:tcBorders>
          </w:tcPr>
          <w:p w14:paraId="701E459B" w14:textId="77777777" w:rsidR="00AE5815" w:rsidRPr="00AE5815" w:rsidRDefault="00AE5815" w:rsidP="00400DD1">
            <w:pPr>
              <w:pStyle w:val="-0"/>
              <w:spacing w:line="216" w:lineRule="auto"/>
              <w:rPr>
                <w:sz w:val="16"/>
                <w:szCs w:val="16"/>
                <w:rtl/>
              </w:rPr>
            </w:pPr>
          </w:p>
        </w:tc>
        <w:tc>
          <w:tcPr>
            <w:tcW w:w="3254" w:type="dxa"/>
            <w:tcBorders>
              <w:top w:val="nil"/>
              <w:left w:val="nil"/>
              <w:bottom w:val="nil"/>
              <w:right w:val="nil"/>
            </w:tcBorders>
            <w:shd w:val="clear" w:color="auto" w:fill="auto"/>
            <w:vAlign w:val="bottom"/>
          </w:tcPr>
          <w:p w14:paraId="54612C91" w14:textId="77777777" w:rsidR="00AE5815" w:rsidRPr="00AE5815" w:rsidRDefault="00AE5815" w:rsidP="00400DD1">
            <w:pPr>
              <w:pStyle w:val="-23"/>
              <w:spacing w:beforeLines="20" w:before="48" w:line="216" w:lineRule="auto"/>
              <w:rPr>
                <w:sz w:val="16"/>
                <w:szCs w:val="16"/>
                <w:rtl/>
              </w:rPr>
            </w:pPr>
            <w:r w:rsidRPr="00AE5815">
              <w:rPr>
                <w:sz w:val="16"/>
                <w:szCs w:val="16"/>
                <w:rtl/>
              </w:rPr>
              <w:t xml:space="preserve">סך </w:t>
            </w:r>
            <w:r w:rsidRPr="00AE5815">
              <w:rPr>
                <w:rFonts w:hint="cs"/>
                <w:sz w:val="16"/>
                <w:szCs w:val="16"/>
                <w:rtl/>
              </w:rPr>
              <w:t>כל ההתחייבויות</w:t>
            </w:r>
          </w:p>
        </w:tc>
        <w:tc>
          <w:tcPr>
            <w:tcW w:w="851" w:type="dxa"/>
            <w:tcBorders>
              <w:top w:val="nil"/>
              <w:left w:val="nil"/>
              <w:bottom w:val="nil"/>
              <w:right w:val="nil"/>
            </w:tcBorders>
            <w:vAlign w:val="bottom"/>
          </w:tcPr>
          <w:p w14:paraId="2EF787D3"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692278A0"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992" w:type="dxa"/>
            <w:tcBorders>
              <w:top w:val="nil"/>
              <w:left w:val="nil"/>
              <w:bottom w:val="nil"/>
              <w:right w:val="nil"/>
            </w:tcBorders>
            <w:vAlign w:val="bottom"/>
          </w:tcPr>
          <w:p w14:paraId="6A7A7D32"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1" w:type="dxa"/>
            <w:tcBorders>
              <w:top w:val="nil"/>
              <w:left w:val="nil"/>
              <w:bottom w:val="nil"/>
              <w:right w:val="nil"/>
            </w:tcBorders>
            <w:vAlign w:val="bottom"/>
          </w:tcPr>
          <w:p w14:paraId="7821D6A7"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c>
          <w:tcPr>
            <w:tcW w:w="850" w:type="dxa"/>
            <w:tcBorders>
              <w:top w:val="nil"/>
              <w:left w:val="nil"/>
              <w:bottom w:val="nil"/>
              <w:right w:val="nil"/>
            </w:tcBorders>
            <w:vAlign w:val="bottom"/>
          </w:tcPr>
          <w:p w14:paraId="4534CFA9"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r w:rsidRPr="00AE5815">
              <w:rPr>
                <w:rFonts w:hint="cs"/>
                <w:sz w:val="16"/>
                <w:szCs w:val="16"/>
                <w:rtl/>
              </w:rPr>
              <w:t>)</w:t>
            </w:r>
          </w:p>
        </w:tc>
        <w:tc>
          <w:tcPr>
            <w:tcW w:w="855" w:type="dxa"/>
            <w:tcBorders>
              <w:top w:val="nil"/>
              <w:left w:val="nil"/>
              <w:bottom w:val="nil"/>
              <w:right w:val="nil"/>
            </w:tcBorders>
            <w:vAlign w:val="bottom"/>
          </w:tcPr>
          <w:p w14:paraId="160F5E23" w14:textId="77777777" w:rsidR="00AE5815" w:rsidRPr="00AE5815" w:rsidRDefault="00AE5815" w:rsidP="00400DD1">
            <w:pPr>
              <w:pStyle w:val="-f1"/>
              <w:pBdr>
                <w:top w:val="none" w:sz="0" w:space="0" w:color="auto"/>
                <w:bottom w:val="double" w:sz="4" w:space="1" w:color="auto"/>
              </w:pBdr>
              <w:spacing w:beforeLines="20" w:before="48" w:line="216" w:lineRule="auto"/>
              <w:rPr>
                <w:sz w:val="16"/>
                <w:szCs w:val="16"/>
                <w:rtl/>
              </w:rPr>
            </w:pPr>
            <w:r w:rsidRPr="00AE5815">
              <w:rPr>
                <w:rFonts w:hint="cs"/>
                <w:sz w:val="16"/>
                <w:szCs w:val="16"/>
                <w:rtl/>
              </w:rPr>
              <w:t xml:space="preserve"> </w:t>
            </w:r>
            <w:r w:rsidRPr="00AE5815">
              <w:rPr>
                <w:sz w:val="16"/>
                <w:szCs w:val="16"/>
                <w:rtl/>
              </w:rPr>
              <w:t>0</w:t>
            </w:r>
          </w:p>
        </w:tc>
      </w:tr>
    </w:tbl>
    <w:p w14:paraId="3E96B310" w14:textId="77777777" w:rsidR="00AE5815" w:rsidRDefault="00AE5815" w:rsidP="00D277D0">
      <w:pPr>
        <w:pStyle w:val="-2"/>
        <w:ind w:left="1599"/>
        <w:rPr>
          <w:rtl/>
        </w:rPr>
        <w:sectPr w:rsidR="00AE5815" w:rsidSect="00587121">
          <w:footnotePr>
            <w:numRestart w:val="eachPage"/>
          </w:footnotePr>
          <w:pgSz w:w="11909" w:h="16834" w:code="9"/>
          <w:pgMar w:top="851" w:right="851" w:bottom="851" w:left="851" w:header="720" w:footer="720" w:gutter="0"/>
          <w:cols w:space="720"/>
          <w:bidi/>
          <w:rtlGutter/>
          <w:docGrid w:linePitch="360"/>
        </w:sectPr>
      </w:pPr>
    </w:p>
    <w:p w14:paraId="6C5C93F5" w14:textId="77777777" w:rsidR="00AF7D83" w:rsidRDefault="00AF7D83" w:rsidP="00AF7D83">
      <w:pPr>
        <w:rPr>
          <w:sz w:val="2"/>
          <w:szCs w:val="2"/>
          <w:rtl/>
        </w:rPr>
      </w:pPr>
    </w:p>
    <w:p w14:paraId="4E6ACCC2" w14:textId="77777777" w:rsidR="008B6716" w:rsidRDefault="008B6716" w:rsidP="008B6716">
      <w:pPr>
        <w:rPr>
          <w:sz w:val="2"/>
          <w:szCs w:val="2"/>
          <w:rtl/>
        </w:rPr>
      </w:pPr>
    </w:p>
    <w:p w14:paraId="62022F74" w14:textId="77777777" w:rsidR="008B6716" w:rsidRPr="00613D36" w:rsidRDefault="008B6716" w:rsidP="008B6716">
      <w:pPr>
        <w:rPr>
          <w:sz w:val="2"/>
          <w:szCs w:val="2"/>
          <w:rtl/>
        </w:rPr>
      </w:pPr>
    </w:p>
    <w:tbl>
      <w:tblPr>
        <w:bidiVisual/>
        <w:tblW w:w="5000" w:type="pct"/>
        <w:tblLayout w:type="fixed"/>
        <w:tblLook w:val="04A0" w:firstRow="1" w:lastRow="0" w:firstColumn="1" w:lastColumn="0" w:noHBand="0" w:noVBand="1"/>
      </w:tblPr>
      <w:tblGrid>
        <w:gridCol w:w="993"/>
        <w:gridCol w:w="425"/>
        <w:gridCol w:w="8789"/>
      </w:tblGrid>
      <w:tr w:rsidR="00AF7D83" w:rsidRPr="009C4432" w14:paraId="0EC71AF8" w14:textId="77777777" w:rsidTr="00C810A5">
        <w:trPr>
          <w:trHeight w:val="259"/>
        </w:trPr>
        <w:tc>
          <w:tcPr>
            <w:tcW w:w="993" w:type="dxa"/>
          </w:tcPr>
          <w:p w14:paraId="75EA77D3" w14:textId="77777777" w:rsidR="00AF7D83" w:rsidRPr="002B4417" w:rsidRDefault="00AF7D83" w:rsidP="00663154">
            <w:pPr>
              <w:pStyle w:val="-fa"/>
              <w:spacing w:before="0" w:after="60"/>
              <w:rPr>
                <w:rtl/>
              </w:rPr>
            </w:pPr>
          </w:p>
        </w:tc>
        <w:tc>
          <w:tcPr>
            <w:tcW w:w="9214" w:type="dxa"/>
            <w:gridSpan w:val="2"/>
          </w:tcPr>
          <w:p w14:paraId="3F03C5C6" w14:textId="77777777" w:rsidR="00F32A2A" w:rsidRDefault="00B44059" w:rsidP="00316579">
            <w:pPr>
              <w:pStyle w:val="-8"/>
              <w:rPr>
                <w:rtl/>
              </w:rPr>
            </w:pPr>
            <w:r w:rsidRPr="00B44059">
              <w:rPr>
                <w:rFonts w:eastAsia="Arial Unicode MS"/>
                <w:rtl/>
              </w:rPr>
              <w:t xml:space="preserve">ביאור </w:t>
            </w:r>
            <w:r w:rsidR="00092812">
              <w:rPr>
                <w:rFonts w:eastAsia="Arial Unicode MS" w:hint="cs"/>
                <w:rtl/>
              </w:rPr>
              <w:t>1</w:t>
            </w:r>
            <w:r w:rsidR="00316579">
              <w:rPr>
                <w:rFonts w:eastAsia="Arial Unicode MS" w:hint="cs"/>
                <w:rtl/>
              </w:rPr>
              <w:t>4</w:t>
            </w:r>
            <w:r w:rsidR="00092812">
              <w:rPr>
                <w:rFonts w:eastAsia="Arial Unicode MS" w:hint="cs"/>
                <w:rtl/>
              </w:rPr>
              <w:t>ב</w:t>
            </w:r>
            <w:r w:rsidRPr="00B44059">
              <w:rPr>
                <w:rFonts w:eastAsia="Arial Unicode MS"/>
                <w:rtl/>
              </w:rPr>
              <w:t xml:space="preserve">  -  </w:t>
            </w:r>
            <w:r w:rsidRPr="00B44059">
              <w:rPr>
                <w:rFonts w:hint="eastAsia"/>
                <w:rtl/>
              </w:rPr>
              <w:t>פריטים</w:t>
            </w:r>
            <w:r w:rsidRPr="00B44059">
              <w:rPr>
                <w:rtl/>
              </w:rPr>
              <w:t xml:space="preserve"> הנמדדים בשווי הוגן (במאוחד) (המשך):</w:t>
            </w:r>
          </w:p>
        </w:tc>
      </w:tr>
      <w:tr w:rsidR="00AF7D83" w:rsidRPr="009C4432" w14:paraId="71564531" w14:textId="77777777" w:rsidTr="00C810A5">
        <w:tblPrEx>
          <w:jc w:val="right"/>
          <w:tblLook w:val="0000" w:firstRow="0" w:lastRow="0" w:firstColumn="0" w:lastColumn="0" w:noHBand="0" w:noVBand="0"/>
        </w:tblPrEx>
        <w:trPr>
          <w:trHeight w:val="245"/>
          <w:jc w:val="right"/>
        </w:trPr>
        <w:tc>
          <w:tcPr>
            <w:tcW w:w="993" w:type="dxa"/>
          </w:tcPr>
          <w:p w14:paraId="07624E00" w14:textId="3BE10EE7" w:rsidR="00B81279" w:rsidRPr="009C4432" w:rsidRDefault="00B81279" w:rsidP="00663154">
            <w:pPr>
              <w:pStyle w:val="-fa"/>
              <w:spacing w:before="100" w:after="60"/>
              <w:ind w:right="-142"/>
              <w:rPr>
                <w:rtl/>
              </w:rPr>
            </w:pPr>
          </w:p>
        </w:tc>
        <w:tc>
          <w:tcPr>
            <w:tcW w:w="425" w:type="dxa"/>
          </w:tcPr>
          <w:p w14:paraId="6157086D" w14:textId="77777777" w:rsidR="00B81279" w:rsidRPr="009C4432" w:rsidRDefault="00AF7D83" w:rsidP="00663154">
            <w:pPr>
              <w:pStyle w:val="-f4"/>
              <w:spacing w:line="240" w:lineRule="auto"/>
              <w:jc w:val="left"/>
              <w:rPr>
                <w:rtl/>
              </w:rPr>
            </w:pPr>
            <w:r w:rsidRPr="009C4432">
              <w:rPr>
                <w:rFonts w:hint="cs"/>
                <w:rtl/>
              </w:rPr>
              <w:t xml:space="preserve">ב. </w:t>
            </w:r>
          </w:p>
        </w:tc>
        <w:tc>
          <w:tcPr>
            <w:tcW w:w="8789" w:type="dxa"/>
          </w:tcPr>
          <w:p w14:paraId="62EB20CD" w14:textId="4C88E200" w:rsidR="00CF2A74" w:rsidRDefault="00AF7D83" w:rsidP="00663154">
            <w:pPr>
              <w:pStyle w:val="-f4"/>
              <w:spacing w:line="240" w:lineRule="auto"/>
              <w:jc w:val="left"/>
              <w:rPr>
                <w:rtl/>
              </w:rPr>
            </w:pPr>
            <w:r w:rsidRPr="009C4432">
              <w:rPr>
                <w:rFonts w:hint="cs"/>
                <w:rtl/>
              </w:rPr>
              <w:t>פריטים הנמדדים בשווי הוגן על בסיס שאינו חוזר ונשנה</w:t>
            </w:r>
            <w:r w:rsidR="00A357D9">
              <w:rPr>
                <w:rFonts w:hint="cs"/>
                <w:rtl/>
              </w:rPr>
              <w:t>:</w:t>
            </w:r>
          </w:p>
        </w:tc>
      </w:tr>
    </w:tbl>
    <w:p w14:paraId="15A95826" w14:textId="77777777" w:rsidR="00AF7D83" w:rsidRPr="009C4432" w:rsidRDefault="00AF7D83" w:rsidP="00AF7D83">
      <w:pPr>
        <w:rPr>
          <w:sz w:val="2"/>
          <w:szCs w:val="2"/>
          <w:rtl/>
        </w:rPr>
      </w:pPr>
    </w:p>
    <w:tbl>
      <w:tblPr>
        <w:bidiVisual/>
        <w:tblW w:w="4710" w:type="pct"/>
        <w:tblLayout w:type="fixed"/>
        <w:tblLook w:val="04A0" w:firstRow="1" w:lastRow="0" w:firstColumn="1" w:lastColumn="0" w:noHBand="0" w:noVBand="1"/>
      </w:tblPr>
      <w:tblGrid>
        <w:gridCol w:w="1398"/>
        <w:gridCol w:w="2973"/>
        <w:gridCol w:w="993"/>
        <w:gridCol w:w="1134"/>
        <w:gridCol w:w="992"/>
        <w:gridCol w:w="850"/>
        <w:gridCol w:w="1275"/>
      </w:tblGrid>
      <w:tr w:rsidR="00C810A5" w:rsidRPr="00511159" w14:paraId="4F4A32D6" w14:textId="77777777" w:rsidTr="00320C27">
        <w:trPr>
          <w:trHeight w:val="259"/>
        </w:trPr>
        <w:tc>
          <w:tcPr>
            <w:tcW w:w="1398" w:type="dxa"/>
          </w:tcPr>
          <w:p w14:paraId="2697135D" w14:textId="77777777" w:rsidR="00C810A5" w:rsidRPr="00511159" w:rsidRDefault="00C810A5" w:rsidP="00400DD1">
            <w:pPr>
              <w:pStyle w:val="-7"/>
              <w:rPr>
                <w:sz w:val="18"/>
                <w:szCs w:val="18"/>
                <w:rtl/>
              </w:rPr>
            </w:pPr>
          </w:p>
        </w:tc>
        <w:tc>
          <w:tcPr>
            <w:tcW w:w="2973" w:type="dxa"/>
            <w:shd w:val="clear" w:color="auto" w:fill="auto"/>
            <w:vAlign w:val="bottom"/>
          </w:tcPr>
          <w:p w14:paraId="6C24CC4B" w14:textId="77777777" w:rsidR="00C810A5" w:rsidRPr="00511159" w:rsidRDefault="00C810A5" w:rsidP="00400DD1">
            <w:pPr>
              <w:pStyle w:val="-7"/>
              <w:rPr>
                <w:sz w:val="18"/>
                <w:szCs w:val="18"/>
                <w:rtl/>
              </w:rPr>
            </w:pPr>
          </w:p>
        </w:tc>
        <w:tc>
          <w:tcPr>
            <w:tcW w:w="5244" w:type="dxa"/>
            <w:gridSpan w:val="5"/>
            <w:vAlign w:val="bottom"/>
          </w:tcPr>
          <w:p w14:paraId="5ABE3D80" w14:textId="55261D3C" w:rsidR="00C810A5" w:rsidRPr="00511159" w:rsidRDefault="00C810A5" w:rsidP="00400DD1">
            <w:pPr>
              <w:pStyle w:val="-4"/>
              <w:rPr>
                <w:sz w:val="18"/>
                <w:szCs w:val="18"/>
                <w:rtl/>
              </w:rPr>
            </w:pPr>
            <w:r>
              <w:rPr>
                <w:rFonts w:hint="cs"/>
                <w:sz w:val="18"/>
                <w:szCs w:val="18"/>
                <w:rtl/>
              </w:rPr>
              <w:t xml:space="preserve">ליום </w:t>
            </w:r>
            <w:r w:rsidRPr="00511159">
              <w:rPr>
                <w:rFonts w:hint="cs"/>
                <w:sz w:val="18"/>
                <w:szCs w:val="18"/>
                <w:rtl/>
              </w:rPr>
              <w:t xml:space="preserve">30 ביוני </w:t>
            </w:r>
            <w:r w:rsidRPr="00511159">
              <w:rPr>
                <w:sz w:val="18"/>
                <w:szCs w:val="18"/>
                <w:rtl/>
              </w:rPr>
              <w:fldChar w:fldCharType="begin"/>
            </w:r>
            <w:r w:rsidRPr="00511159">
              <w:rPr>
                <w:sz w:val="18"/>
                <w:szCs w:val="18"/>
                <w:rtl/>
              </w:rPr>
              <w:instrText xml:space="preserve"> </w:instrText>
            </w:r>
            <w:r w:rsidRPr="00511159">
              <w:rPr>
                <w:rFonts w:hint="cs"/>
                <w:sz w:val="18"/>
                <w:szCs w:val="18"/>
                <w:rtl/>
              </w:rPr>
              <w:instrText xml:space="preserve">= </w:instrText>
            </w:r>
            <w:r w:rsidRPr="00511159">
              <w:rPr>
                <w:rFonts w:hint="cs"/>
                <w:sz w:val="18"/>
                <w:szCs w:val="18"/>
              </w:rPr>
              <w:instrText>CY \* MERGEFORMAT</w:instrText>
            </w:r>
            <w:r w:rsidRPr="00511159">
              <w:rPr>
                <w:sz w:val="18"/>
                <w:szCs w:val="18"/>
                <w:rtl/>
              </w:rPr>
              <w:instrText xml:space="preserve"> </w:instrText>
            </w:r>
            <w:r w:rsidRPr="00511159">
              <w:rPr>
                <w:sz w:val="18"/>
                <w:szCs w:val="18"/>
                <w:rtl/>
              </w:rPr>
              <w:fldChar w:fldCharType="separate"/>
            </w:r>
            <w:r>
              <w:rPr>
                <w:noProof/>
                <w:sz w:val="18"/>
                <w:szCs w:val="18"/>
                <w:rtl/>
              </w:rPr>
              <w:t>2024</w:t>
            </w:r>
            <w:r w:rsidRPr="00511159">
              <w:rPr>
                <w:sz w:val="18"/>
                <w:szCs w:val="18"/>
                <w:rtl/>
              </w:rPr>
              <w:fldChar w:fldCharType="end"/>
            </w:r>
            <w:r w:rsidRPr="00511159">
              <w:rPr>
                <w:rFonts w:hint="cs"/>
                <w:sz w:val="18"/>
                <w:szCs w:val="18"/>
                <w:rtl/>
              </w:rPr>
              <w:t xml:space="preserve"> </w:t>
            </w:r>
            <w:r w:rsidRPr="00A440BC">
              <w:rPr>
                <w:rFonts w:hint="cs"/>
                <w:b w:val="0"/>
                <w:bCs w:val="0"/>
                <w:sz w:val="18"/>
                <w:szCs w:val="18"/>
                <w:rtl/>
              </w:rPr>
              <w:t>(בלתי מבוקר)</w:t>
            </w:r>
          </w:p>
        </w:tc>
      </w:tr>
      <w:tr w:rsidR="00C810A5" w:rsidRPr="00511159" w14:paraId="396DB147" w14:textId="77777777" w:rsidTr="00320C27">
        <w:trPr>
          <w:trHeight w:val="259"/>
        </w:trPr>
        <w:tc>
          <w:tcPr>
            <w:tcW w:w="1398" w:type="dxa"/>
          </w:tcPr>
          <w:p w14:paraId="378D46ED" w14:textId="77777777" w:rsidR="00C810A5" w:rsidRPr="00511159" w:rsidRDefault="00C810A5" w:rsidP="00400DD1">
            <w:pPr>
              <w:pStyle w:val="-7"/>
              <w:rPr>
                <w:sz w:val="18"/>
                <w:szCs w:val="18"/>
                <w:rtl/>
              </w:rPr>
            </w:pPr>
          </w:p>
        </w:tc>
        <w:tc>
          <w:tcPr>
            <w:tcW w:w="2973" w:type="dxa"/>
            <w:shd w:val="clear" w:color="auto" w:fill="auto"/>
            <w:vAlign w:val="bottom"/>
          </w:tcPr>
          <w:p w14:paraId="4BE0223E" w14:textId="77777777" w:rsidR="00C810A5" w:rsidRPr="00511159" w:rsidRDefault="00C810A5" w:rsidP="00400DD1">
            <w:pPr>
              <w:pStyle w:val="-7"/>
              <w:rPr>
                <w:sz w:val="18"/>
                <w:szCs w:val="18"/>
                <w:rtl/>
              </w:rPr>
            </w:pPr>
          </w:p>
        </w:tc>
        <w:tc>
          <w:tcPr>
            <w:tcW w:w="3119" w:type="dxa"/>
            <w:gridSpan w:val="3"/>
            <w:vAlign w:val="bottom"/>
          </w:tcPr>
          <w:p w14:paraId="708E7A9D" w14:textId="77777777" w:rsidR="00C810A5" w:rsidRPr="00511159" w:rsidRDefault="00C810A5" w:rsidP="00400DD1">
            <w:pPr>
              <w:pStyle w:val="-4"/>
              <w:rPr>
                <w:sz w:val="18"/>
                <w:szCs w:val="18"/>
                <w:rtl/>
              </w:rPr>
            </w:pPr>
            <w:r w:rsidRPr="00511159">
              <w:rPr>
                <w:rFonts w:hint="cs"/>
                <w:sz w:val="18"/>
                <w:szCs w:val="18"/>
                <w:rtl/>
              </w:rPr>
              <w:t>מדידות שווי הוגן המשתמשות ב:</w:t>
            </w:r>
          </w:p>
        </w:tc>
        <w:tc>
          <w:tcPr>
            <w:tcW w:w="850" w:type="dxa"/>
            <w:vAlign w:val="bottom"/>
          </w:tcPr>
          <w:p w14:paraId="2502CDED" w14:textId="77777777" w:rsidR="00C810A5" w:rsidRPr="00511159" w:rsidRDefault="00C810A5" w:rsidP="00400DD1">
            <w:pPr>
              <w:pStyle w:val="-7"/>
              <w:rPr>
                <w:sz w:val="18"/>
                <w:szCs w:val="18"/>
                <w:rtl/>
              </w:rPr>
            </w:pPr>
          </w:p>
        </w:tc>
        <w:tc>
          <w:tcPr>
            <w:tcW w:w="1275" w:type="dxa"/>
            <w:vAlign w:val="bottom"/>
          </w:tcPr>
          <w:p w14:paraId="77A2BE5B" w14:textId="77777777" w:rsidR="00C810A5" w:rsidRPr="00511159" w:rsidRDefault="00C810A5" w:rsidP="00400DD1">
            <w:pPr>
              <w:pStyle w:val="-7"/>
              <w:rPr>
                <w:sz w:val="18"/>
                <w:szCs w:val="18"/>
                <w:rtl/>
              </w:rPr>
            </w:pPr>
          </w:p>
        </w:tc>
      </w:tr>
      <w:tr w:rsidR="00C810A5" w:rsidRPr="00511159" w14:paraId="374B9EFB" w14:textId="77777777" w:rsidTr="00320C27">
        <w:trPr>
          <w:trHeight w:val="259"/>
        </w:trPr>
        <w:tc>
          <w:tcPr>
            <w:tcW w:w="1398" w:type="dxa"/>
          </w:tcPr>
          <w:p w14:paraId="4036D353" w14:textId="77777777" w:rsidR="00C810A5" w:rsidRPr="00511159" w:rsidRDefault="00C810A5" w:rsidP="00400DD1">
            <w:pPr>
              <w:pStyle w:val="-fa"/>
              <w:rPr>
                <w:sz w:val="18"/>
                <w:szCs w:val="18"/>
                <w:rtl/>
              </w:rPr>
            </w:pPr>
          </w:p>
        </w:tc>
        <w:tc>
          <w:tcPr>
            <w:tcW w:w="2973" w:type="dxa"/>
            <w:shd w:val="clear" w:color="auto" w:fill="auto"/>
            <w:vAlign w:val="bottom"/>
          </w:tcPr>
          <w:p w14:paraId="05393B64" w14:textId="77777777" w:rsidR="00C810A5" w:rsidRPr="00511159" w:rsidRDefault="00C810A5" w:rsidP="00400DD1">
            <w:pPr>
              <w:pStyle w:val="af5"/>
              <w:rPr>
                <w:sz w:val="18"/>
                <w:szCs w:val="18"/>
                <w:rtl/>
              </w:rPr>
            </w:pPr>
          </w:p>
        </w:tc>
        <w:tc>
          <w:tcPr>
            <w:tcW w:w="993" w:type="dxa"/>
            <w:vAlign w:val="bottom"/>
          </w:tcPr>
          <w:p w14:paraId="7FA81848"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מחירים מצוטטים בשוק פעיל</w:t>
            </w:r>
          </w:p>
          <w:p w14:paraId="6EB881C2"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(רמה 1)</w:t>
            </w:r>
          </w:p>
        </w:tc>
        <w:tc>
          <w:tcPr>
            <w:tcW w:w="1134" w:type="dxa"/>
            <w:vAlign w:val="bottom"/>
          </w:tcPr>
          <w:p w14:paraId="3756D634" w14:textId="77777777" w:rsidR="00C810A5" w:rsidRPr="00511159" w:rsidRDefault="00C810A5" w:rsidP="00400DD1">
            <w:pPr>
              <w:pStyle w:val="-4"/>
              <w:pBdr>
                <w:bottom w:val="none" w:sz="0" w:space="0" w:color="auto"/>
              </w:pBdr>
              <w:spacing w:line="240" w:lineRule="auto"/>
              <w:ind w:left="-72" w:right="-72"/>
              <w:rPr>
                <w:sz w:val="18"/>
                <w:szCs w:val="18"/>
                <w:rtl/>
              </w:rPr>
            </w:pPr>
            <w:r w:rsidRPr="00511159">
              <w:rPr>
                <w:rFonts w:hint="cs"/>
                <w:sz w:val="18"/>
                <w:szCs w:val="18"/>
                <w:rtl/>
              </w:rPr>
              <w:t>נתונים נצפים משמעותיים אחרים</w:t>
            </w:r>
          </w:p>
          <w:p w14:paraId="196463EE"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(רמה 2)</w:t>
            </w:r>
          </w:p>
        </w:tc>
        <w:tc>
          <w:tcPr>
            <w:tcW w:w="992" w:type="dxa"/>
            <w:vAlign w:val="bottom"/>
          </w:tcPr>
          <w:p w14:paraId="3B5A6F89" w14:textId="77777777" w:rsidR="00C810A5" w:rsidRPr="00511159" w:rsidRDefault="00C810A5" w:rsidP="00400DD1">
            <w:pPr>
              <w:pStyle w:val="-4"/>
              <w:pBdr>
                <w:bottom w:val="none" w:sz="0" w:space="0" w:color="auto"/>
              </w:pBdr>
              <w:spacing w:line="240" w:lineRule="auto"/>
              <w:ind w:left="-72" w:right="-72"/>
              <w:rPr>
                <w:sz w:val="18"/>
                <w:szCs w:val="18"/>
                <w:rtl/>
              </w:rPr>
            </w:pPr>
            <w:r w:rsidRPr="00511159">
              <w:rPr>
                <w:rFonts w:hint="cs"/>
                <w:sz w:val="18"/>
                <w:szCs w:val="18"/>
                <w:rtl/>
              </w:rPr>
              <w:t>נתונים</w:t>
            </w:r>
          </w:p>
          <w:p w14:paraId="1775BEF4" w14:textId="77777777" w:rsidR="00C810A5" w:rsidRPr="00511159" w:rsidRDefault="00C810A5" w:rsidP="00400DD1">
            <w:pPr>
              <w:pStyle w:val="-4"/>
              <w:pBdr>
                <w:bottom w:val="none" w:sz="0" w:space="0" w:color="auto"/>
              </w:pBdr>
              <w:spacing w:line="240" w:lineRule="auto"/>
              <w:ind w:left="-72" w:right="-72"/>
              <w:rPr>
                <w:sz w:val="18"/>
                <w:szCs w:val="18"/>
                <w:rtl/>
              </w:rPr>
            </w:pPr>
            <w:r w:rsidRPr="00511159">
              <w:rPr>
                <w:rFonts w:hint="cs"/>
                <w:sz w:val="18"/>
                <w:szCs w:val="18"/>
                <w:rtl/>
              </w:rPr>
              <w:t>לא נצפים משמעותיים</w:t>
            </w:r>
          </w:p>
          <w:p w14:paraId="1B2B4480"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(רמה 3)</w:t>
            </w:r>
          </w:p>
        </w:tc>
        <w:tc>
          <w:tcPr>
            <w:tcW w:w="850" w:type="dxa"/>
            <w:vAlign w:val="bottom"/>
          </w:tcPr>
          <w:p w14:paraId="65EF9C45"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סך הכל שווי הוגן</w:t>
            </w:r>
          </w:p>
        </w:tc>
        <w:tc>
          <w:tcPr>
            <w:tcW w:w="1275" w:type="dxa"/>
            <w:vAlign w:val="bottom"/>
          </w:tcPr>
          <w:p w14:paraId="344ADEA1"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סך הכל רווחים (הפסדים) לתקופה</w:t>
            </w:r>
          </w:p>
        </w:tc>
      </w:tr>
      <w:tr w:rsidR="00C810A5" w:rsidRPr="00511159" w14:paraId="6179DD49" w14:textId="77777777" w:rsidTr="00320C27">
        <w:trPr>
          <w:trHeight w:val="56"/>
        </w:trPr>
        <w:tc>
          <w:tcPr>
            <w:tcW w:w="1398" w:type="dxa"/>
          </w:tcPr>
          <w:p w14:paraId="6B1ECA83" w14:textId="77777777" w:rsidR="00C810A5" w:rsidRPr="00511159" w:rsidRDefault="00C810A5" w:rsidP="00400DD1">
            <w:pPr>
              <w:pStyle w:val="-0"/>
              <w:rPr>
                <w:sz w:val="18"/>
                <w:szCs w:val="18"/>
                <w:rtl/>
              </w:rPr>
            </w:pPr>
          </w:p>
        </w:tc>
        <w:tc>
          <w:tcPr>
            <w:tcW w:w="2973" w:type="dxa"/>
            <w:shd w:val="clear" w:color="auto" w:fill="auto"/>
            <w:vAlign w:val="bottom"/>
          </w:tcPr>
          <w:p w14:paraId="59C759AA" w14:textId="77777777" w:rsidR="00C810A5" w:rsidRPr="00511159" w:rsidRDefault="00C810A5" w:rsidP="00400DD1">
            <w:pPr>
              <w:pStyle w:val="-f"/>
              <w:rPr>
                <w:sz w:val="18"/>
                <w:szCs w:val="18"/>
                <w:rtl/>
              </w:rPr>
            </w:pPr>
            <w:r w:rsidRPr="00511159">
              <w:rPr>
                <w:rFonts w:hint="cs"/>
                <w:sz w:val="18"/>
                <w:szCs w:val="18"/>
                <w:rtl/>
              </w:rPr>
              <w:t>נכסים</w:t>
            </w:r>
            <w:r w:rsidRPr="00511159">
              <w:rPr>
                <w:sz w:val="18"/>
                <w:szCs w:val="18"/>
                <w:rtl/>
              </w:rPr>
              <w:t xml:space="preserve"> </w:t>
            </w:r>
          </w:p>
        </w:tc>
        <w:tc>
          <w:tcPr>
            <w:tcW w:w="993" w:type="dxa"/>
            <w:vAlign w:val="bottom"/>
          </w:tcPr>
          <w:p w14:paraId="4FC7BA81" w14:textId="77777777" w:rsidR="00C810A5" w:rsidRPr="00511159" w:rsidRDefault="00C810A5" w:rsidP="00400DD1">
            <w:pPr>
              <w:pStyle w:val="-7"/>
              <w:rPr>
                <w:sz w:val="18"/>
                <w:szCs w:val="18"/>
                <w:rtl/>
              </w:rPr>
            </w:pPr>
          </w:p>
        </w:tc>
        <w:tc>
          <w:tcPr>
            <w:tcW w:w="1134" w:type="dxa"/>
            <w:vAlign w:val="bottom"/>
          </w:tcPr>
          <w:p w14:paraId="3C4AC858" w14:textId="77777777" w:rsidR="00C810A5" w:rsidRPr="00511159" w:rsidRDefault="00C810A5" w:rsidP="00400DD1">
            <w:pPr>
              <w:pStyle w:val="-7"/>
              <w:rPr>
                <w:sz w:val="18"/>
                <w:szCs w:val="18"/>
                <w:rtl/>
              </w:rPr>
            </w:pPr>
          </w:p>
        </w:tc>
        <w:tc>
          <w:tcPr>
            <w:tcW w:w="992" w:type="dxa"/>
            <w:vAlign w:val="bottom"/>
          </w:tcPr>
          <w:p w14:paraId="1BF4BDE0" w14:textId="77777777" w:rsidR="00C810A5" w:rsidRPr="00511159" w:rsidRDefault="00C810A5" w:rsidP="00400DD1">
            <w:pPr>
              <w:pStyle w:val="-7"/>
              <w:rPr>
                <w:sz w:val="18"/>
                <w:szCs w:val="18"/>
                <w:rtl/>
              </w:rPr>
            </w:pPr>
          </w:p>
        </w:tc>
        <w:tc>
          <w:tcPr>
            <w:tcW w:w="850" w:type="dxa"/>
            <w:vAlign w:val="bottom"/>
          </w:tcPr>
          <w:p w14:paraId="1724EF0D" w14:textId="77777777" w:rsidR="00C810A5" w:rsidRPr="00511159" w:rsidRDefault="00C810A5" w:rsidP="00400DD1">
            <w:pPr>
              <w:pStyle w:val="-7"/>
              <w:rPr>
                <w:sz w:val="18"/>
                <w:szCs w:val="18"/>
              </w:rPr>
            </w:pPr>
          </w:p>
        </w:tc>
        <w:tc>
          <w:tcPr>
            <w:tcW w:w="1275" w:type="dxa"/>
            <w:shd w:val="clear" w:color="auto" w:fill="FFFFFF"/>
            <w:vAlign w:val="bottom"/>
          </w:tcPr>
          <w:p w14:paraId="7EF393CB" w14:textId="77777777" w:rsidR="00C810A5" w:rsidRPr="00511159" w:rsidRDefault="00C810A5" w:rsidP="00400DD1">
            <w:pPr>
              <w:pStyle w:val="-7"/>
              <w:rPr>
                <w:sz w:val="18"/>
                <w:szCs w:val="18"/>
                <w:rtl/>
              </w:rPr>
            </w:pPr>
          </w:p>
        </w:tc>
      </w:tr>
      <w:tr w:rsidR="00C810A5" w:rsidRPr="00511159" w14:paraId="6DB10CEF" w14:textId="77777777" w:rsidTr="00320C27">
        <w:trPr>
          <w:trHeight w:val="259"/>
        </w:trPr>
        <w:tc>
          <w:tcPr>
            <w:tcW w:w="1398" w:type="dxa"/>
          </w:tcPr>
          <w:p w14:paraId="1B2B342E" w14:textId="77777777" w:rsidR="00C810A5" w:rsidRPr="00511159" w:rsidRDefault="00C810A5" w:rsidP="00400DD1">
            <w:pPr>
              <w:pStyle w:val="-0"/>
              <w:rPr>
                <w:sz w:val="18"/>
                <w:szCs w:val="18"/>
                <w:rtl/>
              </w:rPr>
            </w:pPr>
          </w:p>
        </w:tc>
        <w:tc>
          <w:tcPr>
            <w:tcW w:w="2973" w:type="dxa"/>
            <w:shd w:val="clear" w:color="auto" w:fill="auto"/>
            <w:vAlign w:val="bottom"/>
          </w:tcPr>
          <w:p w14:paraId="620ED838" w14:textId="77777777" w:rsidR="00C810A5" w:rsidRPr="00511159" w:rsidRDefault="00C810A5" w:rsidP="00400DD1">
            <w:pPr>
              <w:pStyle w:val="-f"/>
              <w:rPr>
                <w:sz w:val="18"/>
                <w:szCs w:val="18"/>
                <w:u w:val="none"/>
                <w:rtl/>
              </w:rPr>
            </w:pPr>
            <w:r w:rsidRPr="00511159">
              <w:rPr>
                <w:rFonts w:hint="cs"/>
                <w:b w:val="0"/>
                <w:bCs w:val="0"/>
                <w:sz w:val="18"/>
                <w:szCs w:val="18"/>
                <w:u w:val="none"/>
                <w:rtl/>
              </w:rPr>
              <w:t>אשראי בעייתי שגבייתו מותנית בביטחון</w:t>
            </w:r>
          </w:p>
        </w:tc>
        <w:tc>
          <w:tcPr>
            <w:tcW w:w="993" w:type="dxa"/>
            <w:vAlign w:val="bottom"/>
          </w:tcPr>
          <w:p w14:paraId="6E89B535" w14:textId="77777777" w:rsidR="00C810A5" w:rsidRPr="00511159" w:rsidRDefault="00C810A5" w:rsidP="00400DD1">
            <w:pPr>
              <w:pStyle w:val="-7"/>
              <w:rPr>
                <w:sz w:val="18"/>
                <w:szCs w:val="18"/>
                <w:rtl/>
              </w:rPr>
            </w:pPr>
            <w:r w:rsidRPr="00511159">
              <w:rPr>
                <w:rFonts w:hint="cs"/>
                <w:sz w:val="18"/>
                <w:szCs w:val="18"/>
                <w:rtl/>
              </w:rPr>
              <w:t xml:space="preserve"> -</w:t>
            </w:r>
          </w:p>
        </w:tc>
        <w:tc>
          <w:tcPr>
            <w:tcW w:w="1134" w:type="dxa"/>
            <w:vAlign w:val="bottom"/>
          </w:tcPr>
          <w:p w14:paraId="33F99C6E" w14:textId="77777777" w:rsidR="00C810A5" w:rsidRPr="00511159" w:rsidRDefault="00C810A5" w:rsidP="00400DD1">
            <w:pPr>
              <w:pStyle w:val="-7"/>
              <w:rPr>
                <w:sz w:val="18"/>
                <w:szCs w:val="18"/>
                <w:rtl/>
              </w:rPr>
            </w:pPr>
            <w:r w:rsidRPr="00511159">
              <w:rPr>
                <w:rFonts w:hint="cs"/>
                <w:sz w:val="18"/>
                <w:szCs w:val="18"/>
                <w:rtl/>
              </w:rPr>
              <w:t xml:space="preserve"> -</w:t>
            </w:r>
          </w:p>
        </w:tc>
        <w:tc>
          <w:tcPr>
            <w:tcW w:w="992" w:type="dxa"/>
            <w:vAlign w:val="bottom"/>
          </w:tcPr>
          <w:p w14:paraId="09F2EA47" w14:textId="77777777" w:rsidR="00C810A5" w:rsidRPr="00511159" w:rsidRDefault="00C810A5" w:rsidP="00400DD1">
            <w:pPr>
              <w:pStyle w:val="-7"/>
              <w:rPr>
                <w:sz w:val="18"/>
                <w:szCs w:val="18"/>
                <w:rtl/>
              </w:rPr>
            </w:pPr>
            <w:r w:rsidRPr="00511159">
              <w:rPr>
                <w:rFonts w:hint="cs"/>
                <w:sz w:val="18"/>
                <w:szCs w:val="18"/>
                <w:rtl/>
              </w:rPr>
              <w:t xml:space="preserve"> 0</w:t>
            </w:r>
          </w:p>
        </w:tc>
        <w:tc>
          <w:tcPr>
            <w:tcW w:w="850" w:type="dxa"/>
            <w:vAlign w:val="bottom"/>
          </w:tcPr>
          <w:p w14:paraId="47124FC1" w14:textId="77777777" w:rsidR="00C810A5" w:rsidRPr="00511159" w:rsidRDefault="00C810A5" w:rsidP="00400DD1">
            <w:pPr>
              <w:pStyle w:val="-7"/>
              <w:rPr>
                <w:sz w:val="18"/>
                <w:szCs w:val="18"/>
              </w:rPr>
            </w:pPr>
            <w:r w:rsidRPr="00511159">
              <w:rPr>
                <w:rFonts w:hint="cs"/>
                <w:b/>
                <w:bCs/>
                <w:sz w:val="18"/>
                <w:szCs w:val="18"/>
                <w:rtl/>
              </w:rPr>
              <w:t xml:space="preserve"> </w:t>
            </w:r>
            <w:r w:rsidRPr="00511159">
              <w:rPr>
                <w:rFonts w:hint="cs"/>
                <w:sz w:val="18"/>
                <w:szCs w:val="18"/>
                <w:rtl/>
              </w:rPr>
              <w:t>0</w:t>
            </w:r>
          </w:p>
        </w:tc>
        <w:tc>
          <w:tcPr>
            <w:tcW w:w="1275" w:type="dxa"/>
            <w:vAlign w:val="bottom"/>
          </w:tcPr>
          <w:p w14:paraId="248A6E2A" w14:textId="77777777" w:rsidR="00C810A5" w:rsidRPr="00511159" w:rsidRDefault="00C810A5" w:rsidP="00400DD1">
            <w:pPr>
              <w:pStyle w:val="-7"/>
              <w:rPr>
                <w:sz w:val="18"/>
                <w:szCs w:val="18"/>
                <w:rtl/>
              </w:rPr>
            </w:pPr>
            <w:r w:rsidRPr="00511159">
              <w:rPr>
                <w:rFonts w:hint="cs"/>
                <w:b/>
                <w:bCs/>
                <w:sz w:val="18"/>
                <w:szCs w:val="18"/>
                <w:rtl/>
              </w:rPr>
              <w:t xml:space="preserve"> </w:t>
            </w:r>
            <w:r w:rsidRPr="00511159">
              <w:rPr>
                <w:rFonts w:hint="cs"/>
                <w:sz w:val="18"/>
                <w:szCs w:val="18"/>
                <w:rtl/>
              </w:rPr>
              <w:t>0</w:t>
            </w:r>
          </w:p>
        </w:tc>
      </w:tr>
      <w:tr w:rsidR="00C810A5" w:rsidRPr="00511159" w14:paraId="3B6FB648" w14:textId="77777777" w:rsidTr="00320C27">
        <w:trPr>
          <w:trHeight w:val="259"/>
        </w:trPr>
        <w:tc>
          <w:tcPr>
            <w:tcW w:w="1398" w:type="dxa"/>
          </w:tcPr>
          <w:p w14:paraId="3C4A1832" w14:textId="77777777" w:rsidR="00C810A5" w:rsidRPr="00511159" w:rsidRDefault="00C810A5" w:rsidP="00400DD1">
            <w:pPr>
              <w:pStyle w:val="-0"/>
              <w:spacing w:before="100" w:line="240" w:lineRule="auto"/>
              <w:ind w:left="142" w:hanging="142"/>
              <w:rPr>
                <w:sz w:val="18"/>
                <w:szCs w:val="18"/>
                <w:rtl/>
              </w:rPr>
            </w:pPr>
          </w:p>
        </w:tc>
        <w:tc>
          <w:tcPr>
            <w:tcW w:w="2973" w:type="dxa"/>
            <w:shd w:val="clear" w:color="auto" w:fill="auto"/>
            <w:vAlign w:val="bottom"/>
          </w:tcPr>
          <w:p w14:paraId="6A14F4A2" w14:textId="338BBAE9" w:rsidR="00C810A5" w:rsidRPr="00511159" w:rsidRDefault="00C810A5" w:rsidP="00400DD1">
            <w:pPr>
              <w:pStyle w:val="-b"/>
              <w:spacing w:before="40" w:line="240" w:lineRule="exact"/>
              <w:ind w:left="142" w:hanging="142"/>
              <w:rPr>
                <w:b w:val="0"/>
                <w:bCs w:val="0"/>
                <w:sz w:val="18"/>
                <w:szCs w:val="18"/>
                <w:rtl/>
              </w:rPr>
            </w:pPr>
            <w:r>
              <w:rPr>
                <w:rFonts w:hint="cs"/>
                <w:b w:val="0"/>
                <w:bCs w:val="0"/>
                <w:sz w:val="18"/>
                <w:szCs w:val="18"/>
                <w:rtl/>
              </w:rPr>
              <w:t>מניות שאינן למסחר</w:t>
            </w:r>
          </w:p>
        </w:tc>
        <w:tc>
          <w:tcPr>
            <w:tcW w:w="993" w:type="dxa"/>
            <w:vAlign w:val="bottom"/>
          </w:tcPr>
          <w:p w14:paraId="40F9E643" w14:textId="77777777" w:rsidR="00C810A5" w:rsidRPr="00511159" w:rsidRDefault="00C810A5" w:rsidP="00400DD1">
            <w:pPr>
              <w:pStyle w:val="-3"/>
              <w:rPr>
                <w:sz w:val="18"/>
                <w:szCs w:val="18"/>
                <w:rtl/>
              </w:rPr>
            </w:pPr>
            <w:r w:rsidRPr="00511159">
              <w:rPr>
                <w:rFonts w:hint="cs"/>
                <w:sz w:val="18"/>
                <w:szCs w:val="18"/>
                <w:rtl/>
              </w:rPr>
              <w:t xml:space="preserve"> -</w:t>
            </w:r>
          </w:p>
        </w:tc>
        <w:tc>
          <w:tcPr>
            <w:tcW w:w="1134" w:type="dxa"/>
            <w:vAlign w:val="bottom"/>
          </w:tcPr>
          <w:p w14:paraId="4E035D80" w14:textId="77777777" w:rsidR="00C810A5" w:rsidRPr="00511159" w:rsidRDefault="00C810A5" w:rsidP="00400DD1">
            <w:pPr>
              <w:pStyle w:val="-3"/>
              <w:rPr>
                <w:sz w:val="18"/>
                <w:szCs w:val="18"/>
                <w:rtl/>
              </w:rPr>
            </w:pPr>
            <w:r w:rsidRPr="00511159">
              <w:rPr>
                <w:rFonts w:hint="cs"/>
                <w:sz w:val="18"/>
                <w:szCs w:val="18"/>
                <w:rtl/>
              </w:rPr>
              <w:t xml:space="preserve"> -</w:t>
            </w:r>
          </w:p>
        </w:tc>
        <w:tc>
          <w:tcPr>
            <w:tcW w:w="992" w:type="dxa"/>
            <w:vAlign w:val="bottom"/>
          </w:tcPr>
          <w:p w14:paraId="7226C413" w14:textId="77777777" w:rsidR="00C810A5" w:rsidRPr="00511159" w:rsidRDefault="00C810A5" w:rsidP="00400DD1">
            <w:pPr>
              <w:pStyle w:val="-3"/>
              <w:rPr>
                <w:sz w:val="18"/>
                <w:szCs w:val="18"/>
                <w:rtl/>
              </w:rPr>
            </w:pPr>
            <w:r w:rsidRPr="00511159">
              <w:rPr>
                <w:rFonts w:hint="cs"/>
                <w:sz w:val="18"/>
                <w:szCs w:val="18"/>
                <w:rtl/>
              </w:rPr>
              <w:t xml:space="preserve"> 0</w:t>
            </w:r>
          </w:p>
        </w:tc>
        <w:tc>
          <w:tcPr>
            <w:tcW w:w="850" w:type="dxa"/>
            <w:vAlign w:val="bottom"/>
          </w:tcPr>
          <w:p w14:paraId="543CFF2B" w14:textId="77777777" w:rsidR="00C810A5" w:rsidRPr="00511159" w:rsidRDefault="00C810A5" w:rsidP="00400DD1">
            <w:pPr>
              <w:pStyle w:val="-0"/>
              <w:rPr>
                <w:b/>
                <w:bCs/>
                <w:sz w:val="18"/>
                <w:szCs w:val="18"/>
                <w:rtl/>
              </w:rPr>
            </w:pPr>
            <w:r w:rsidRPr="00511159">
              <w:rPr>
                <w:rFonts w:hint="cs"/>
                <w:b/>
                <w:bCs/>
                <w:sz w:val="18"/>
                <w:szCs w:val="18"/>
                <w:rtl/>
              </w:rPr>
              <w:t xml:space="preserve"> </w:t>
            </w:r>
            <w:r w:rsidRPr="00511159">
              <w:rPr>
                <w:rFonts w:hint="cs"/>
                <w:sz w:val="18"/>
                <w:szCs w:val="18"/>
                <w:rtl/>
              </w:rPr>
              <w:t>0</w:t>
            </w:r>
          </w:p>
        </w:tc>
        <w:tc>
          <w:tcPr>
            <w:tcW w:w="1275" w:type="dxa"/>
            <w:vAlign w:val="bottom"/>
          </w:tcPr>
          <w:p w14:paraId="4315EE9C" w14:textId="77777777" w:rsidR="00C810A5" w:rsidRPr="00511159" w:rsidRDefault="00C810A5" w:rsidP="00400DD1">
            <w:pPr>
              <w:pStyle w:val="-3"/>
              <w:rPr>
                <w:sz w:val="18"/>
                <w:szCs w:val="18"/>
                <w:rtl/>
              </w:rPr>
            </w:pPr>
            <w:r w:rsidRPr="00511159">
              <w:rPr>
                <w:rFonts w:hint="cs"/>
                <w:b/>
                <w:bCs/>
                <w:sz w:val="18"/>
                <w:szCs w:val="18"/>
                <w:rtl/>
              </w:rPr>
              <w:t xml:space="preserve"> </w:t>
            </w:r>
            <w:r w:rsidRPr="00511159">
              <w:rPr>
                <w:rFonts w:hint="cs"/>
                <w:sz w:val="18"/>
                <w:szCs w:val="18"/>
                <w:rtl/>
              </w:rPr>
              <w:t>0</w:t>
            </w:r>
          </w:p>
        </w:tc>
      </w:tr>
      <w:tr w:rsidR="00C810A5" w:rsidRPr="00511159" w14:paraId="4CFFA108" w14:textId="77777777" w:rsidTr="00320C27">
        <w:trPr>
          <w:trHeight w:val="259"/>
        </w:trPr>
        <w:tc>
          <w:tcPr>
            <w:tcW w:w="1398" w:type="dxa"/>
          </w:tcPr>
          <w:p w14:paraId="47B0B94E" w14:textId="77777777" w:rsidR="00C810A5" w:rsidRPr="00511159" w:rsidRDefault="00C810A5" w:rsidP="00400DD1">
            <w:pPr>
              <w:pStyle w:val="-0"/>
              <w:spacing w:before="60" w:line="240" w:lineRule="auto"/>
              <w:ind w:left="142" w:hanging="142"/>
              <w:rPr>
                <w:sz w:val="18"/>
                <w:szCs w:val="18"/>
                <w:rtl/>
              </w:rPr>
            </w:pPr>
          </w:p>
        </w:tc>
        <w:tc>
          <w:tcPr>
            <w:tcW w:w="2973" w:type="dxa"/>
            <w:tcBorders>
              <w:left w:val="nil"/>
            </w:tcBorders>
            <w:shd w:val="clear" w:color="auto" w:fill="auto"/>
            <w:vAlign w:val="bottom"/>
          </w:tcPr>
          <w:p w14:paraId="5F2F25C5" w14:textId="77777777" w:rsidR="00C810A5" w:rsidRPr="00511159" w:rsidRDefault="00C810A5" w:rsidP="00400DD1">
            <w:pPr>
              <w:pStyle w:val="-b"/>
              <w:spacing w:before="40" w:line="240" w:lineRule="exact"/>
              <w:ind w:left="142" w:hanging="142"/>
              <w:rPr>
                <w:b w:val="0"/>
                <w:bCs w:val="0"/>
                <w:sz w:val="18"/>
                <w:szCs w:val="18"/>
                <w:rtl/>
              </w:rPr>
            </w:pPr>
            <w:r w:rsidRPr="00511159">
              <w:rPr>
                <w:rFonts w:hint="cs"/>
                <w:b w:val="0"/>
                <w:bCs w:val="0"/>
                <w:sz w:val="18"/>
                <w:szCs w:val="18"/>
                <w:rtl/>
              </w:rPr>
              <w:t>אחרים [פרט אם מהותי]</w:t>
            </w:r>
          </w:p>
        </w:tc>
        <w:tc>
          <w:tcPr>
            <w:tcW w:w="993" w:type="dxa"/>
            <w:vAlign w:val="bottom"/>
          </w:tcPr>
          <w:p w14:paraId="2EC8E610" w14:textId="77777777" w:rsidR="00C810A5" w:rsidRPr="00511159" w:rsidRDefault="00C810A5" w:rsidP="00400DD1">
            <w:pPr>
              <w:pStyle w:val="-3"/>
              <w:rPr>
                <w:sz w:val="18"/>
                <w:szCs w:val="18"/>
                <w:rtl/>
              </w:rPr>
            </w:pPr>
            <w:r w:rsidRPr="00511159">
              <w:rPr>
                <w:rFonts w:hint="cs"/>
                <w:sz w:val="18"/>
                <w:szCs w:val="18"/>
                <w:rtl/>
              </w:rPr>
              <w:t xml:space="preserve"> -</w:t>
            </w:r>
          </w:p>
        </w:tc>
        <w:tc>
          <w:tcPr>
            <w:tcW w:w="1134" w:type="dxa"/>
            <w:vAlign w:val="bottom"/>
          </w:tcPr>
          <w:p w14:paraId="6C2EB213" w14:textId="77777777" w:rsidR="00C810A5" w:rsidRPr="00511159" w:rsidRDefault="00C810A5" w:rsidP="00400DD1">
            <w:pPr>
              <w:pStyle w:val="-3"/>
              <w:rPr>
                <w:sz w:val="18"/>
                <w:szCs w:val="18"/>
                <w:rtl/>
              </w:rPr>
            </w:pPr>
            <w:r w:rsidRPr="00511159">
              <w:rPr>
                <w:rFonts w:hint="cs"/>
                <w:sz w:val="18"/>
                <w:szCs w:val="18"/>
                <w:rtl/>
              </w:rPr>
              <w:t xml:space="preserve"> -</w:t>
            </w:r>
          </w:p>
        </w:tc>
        <w:tc>
          <w:tcPr>
            <w:tcW w:w="992" w:type="dxa"/>
            <w:vAlign w:val="bottom"/>
          </w:tcPr>
          <w:p w14:paraId="567280EE" w14:textId="77777777" w:rsidR="00C810A5" w:rsidRPr="00511159" w:rsidRDefault="00C810A5" w:rsidP="00400DD1">
            <w:pPr>
              <w:pStyle w:val="-3"/>
              <w:rPr>
                <w:sz w:val="18"/>
                <w:szCs w:val="18"/>
                <w:rtl/>
              </w:rPr>
            </w:pPr>
            <w:r w:rsidRPr="00511159">
              <w:rPr>
                <w:rFonts w:hint="cs"/>
                <w:sz w:val="18"/>
                <w:szCs w:val="18"/>
                <w:rtl/>
              </w:rPr>
              <w:t xml:space="preserve"> 0</w:t>
            </w:r>
          </w:p>
        </w:tc>
        <w:tc>
          <w:tcPr>
            <w:tcW w:w="850" w:type="dxa"/>
            <w:vAlign w:val="bottom"/>
          </w:tcPr>
          <w:p w14:paraId="01C91863" w14:textId="77777777" w:rsidR="00C810A5" w:rsidRPr="00511159" w:rsidRDefault="00C810A5" w:rsidP="00400DD1">
            <w:pPr>
              <w:pStyle w:val="-0"/>
              <w:rPr>
                <w:b/>
                <w:bCs/>
                <w:sz w:val="18"/>
                <w:szCs w:val="18"/>
                <w:rtl/>
              </w:rPr>
            </w:pPr>
            <w:r w:rsidRPr="00511159">
              <w:rPr>
                <w:rFonts w:hint="cs"/>
                <w:b/>
                <w:bCs/>
                <w:sz w:val="18"/>
                <w:szCs w:val="18"/>
                <w:rtl/>
              </w:rPr>
              <w:t xml:space="preserve"> </w:t>
            </w:r>
            <w:r w:rsidRPr="00511159">
              <w:rPr>
                <w:rFonts w:hint="cs"/>
                <w:sz w:val="18"/>
                <w:szCs w:val="18"/>
                <w:rtl/>
              </w:rPr>
              <w:t>0</w:t>
            </w:r>
          </w:p>
        </w:tc>
        <w:tc>
          <w:tcPr>
            <w:tcW w:w="1275" w:type="dxa"/>
            <w:vAlign w:val="bottom"/>
          </w:tcPr>
          <w:p w14:paraId="1AB92CFD" w14:textId="77777777" w:rsidR="00C810A5" w:rsidRPr="00511159" w:rsidRDefault="00C810A5" w:rsidP="00400DD1">
            <w:pPr>
              <w:pStyle w:val="-3"/>
              <w:rPr>
                <w:sz w:val="18"/>
                <w:szCs w:val="18"/>
                <w:rtl/>
              </w:rPr>
            </w:pPr>
            <w:r w:rsidRPr="00511159">
              <w:rPr>
                <w:rFonts w:hint="cs"/>
                <w:b/>
                <w:bCs/>
                <w:sz w:val="18"/>
                <w:szCs w:val="18"/>
                <w:rtl/>
              </w:rPr>
              <w:t xml:space="preserve"> </w:t>
            </w:r>
            <w:r w:rsidRPr="00511159">
              <w:rPr>
                <w:rFonts w:hint="cs"/>
                <w:sz w:val="18"/>
                <w:szCs w:val="18"/>
                <w:rtl/>
              </w:rPr>
              <w:t>0</w:t>
            </w:r>
          </w:p>
        </w:tc>
      </w:tr>
    </w:tbl>
    <w:p w14:paraId="7A0B235E" w14:textId="279232CE" w:rsidR="00E50A18" w:rsidRPr="00511159" w:rsidRDefault="00E50A18">
      <w:pPr>
        <w:rPr>
          <w:sz w:val="18"/>
          <w:szCs w:val="18"/>
          <w:rtl/>
        </w:rPr>
      </w:pPr>
    </w:p>
    <w:p w14:paraId="2EB3BDBD" w14:textId="77777777" w:rsidR="00E50A18" w:rsidRDefault="00E50A18">
      <w:pPr>
        <w:rPr>
          <w:sz w:val="18"/>
          <w:szCs w:val="18"/>
          <w:rtl/>
        </w:rPr>
      </w:pPr>
    </w:p>
    <w:p w14:paraId="71082820" w14:textId="77777777" w:rsidR="00320C27" w:rsidRPr="00511159" w:rsidRDefault="00320C27">
      <w:pPr>
        <w:rPr>
          <w:sz w:val="18"/>
          <w:szCs w:val="18"/>
        </w:rPr>
      </w:pPr>
    </w:p>
    <w:tbl>
      <w:tblPr>
        <w:bidiVisual/>
        <w:tblW w:w="4721" w:type="pct"/>
        <w:tblLayout w:type="fixed"/>
        <w:tblLook w:val="04A0" w:firstRow="1" w:lastRow="0" w:firstColumn="1" w:lastColumn="0" w:noHBand="0" w:noVBand="1"/>
      </w:tblPr>
      <w:tblGrid>
        <w:gridCol w:w="1417"/>
        <w:gridCol w:w="2976"/>
        <w:gridCol w:w="993"/>
        <w:gridCol w:w="1134"/>
        <w:gridCol w:w="992"/>
        <w:gridCol w:w="850"/>
        <w:gridCol w:w="1275"/>
      </w:tblGrid>
      <w:tr w:rsidR="00C810A5" w:rsidRPr="00511159" w14:paraId="33BD3167" w14:textId="77777777" w:rsidTr="00320C27">
        <w:trPr>
          <w:trHeight w:val="259"/>
        </w:trPr>
        <w:tc>
          <w:tcPr>
            <w:tcW w:w="1417" w:type="dxa"/>
          </w:tcPr>
          <w:p w14:paraId="77894B76" w14:textId="77777777" w:rsidR="00C810A5" w:rsidRPr="00511159" w:rsidRDefault="00C810A5" w:rsidP="00400DD1">
            <w:pPr>
              <w:pStyle w:val="-7"/>
              <w:rPr>
                <w:sz w:val="18"/>
                <w:szCs w:val="18"/>
                <w:rtl/>
              </w:rPr>
            </w:pPr>
          </w:p>
        </w:tc>
        <w:tc>
          <w:tcPr>
            <w:tcW w:w="2976" w:type="dxa"/>
            <w:shd w:val="clear" w:color="auto" w:fill="auto"/>
            <w:vAlign w:val="bottom"/>
          </w:tcPr>
          <w:p w14:paraId="2B9145F2" w14:textId="77777777" w:rsidR="00C810A5" w:rsidRPr="00511159" w:rsidRDefault="00C810A5" w:rsidP="00400DD1">
            <w:pPr>
              <w:pStyle w:val="-7"/>
              <w:rPr>
                <w:sz w:val="18"/>
                <w:szCs w:val="18"/>
                <w:rtl/>
              </w:rPr>
            </w:pPr>
          </w:p>
        </w:tc>
        <w:tc>
          <w:tcPr>
            <w:tcW w:w="5244" w:type="dxa"/>
            <w:gridSpan w:val="5"/>
            <w:vAlign w:val="bottom"/>
          </w:tcPr>
          <w:p w14:paraId="7F351D97" w14:textId="38984EDD" w:rsidR="00C810A5" w:rsidRPr="00511159" w:rsidRDefault="00C810A5" w:rsidP="00400DD1">
            <w:pPr>
              <w:pStyle w:val="-4"/>
              <w:rPr>
                <w:sz w:val="18"/>
                <w:szCs w:val="18"/>
                <w:rtl/>
              </w:rPr>
            </w:pPr>
            <w:r>
              <w:rPr>
                <w:rFonts w:hint="cs"/>
                <w:sz w:val="18"/>
                <w:szCs w:val="18"/>
                <w:rtl/>
              </w:rPr>
              <w:t xml:space="preserve">ליום </w:t>
            </w:r>
            <w:r w:rsidRPr="00511159">
              <w:rPr>
                <w:rFonts w:hint="cs"/>
                <w:sz w:val="18"/>
                <w:szCs w:val="18"/>
                <w:rtl/>
              </w:rPr>
              <w:t xml:space="preserve">30 ביוני </w:t>
            </w:r>
            <w:r w:rsidRPr="00511159">
              <w:rPr>
                <w:sz w:val="18"/>
                <w:szCs w:val="18"/>
                <w:rtl/>
              </w:rPr>
              <w:fldChar w:fldCharType="begin"/>
            </w:r>
            <w:r w:rsidRPr="00511159">
              <w:rPr>
                <w:sz w:val="18"/>
                <w:szCs w:val="18"/>
                <w:rtl/>
              </w:rPr>
              <w:instrText xml:space="preserve"> </w:instrText>
            </w:r>
            <w:r w:rsidRPr="00511159">
              <w:rPr>
                <w:rFonts w:hint="cs"/>
                <w:sz w:val="18"/>
                <w:szCs w:val="18"/>
                <w:rtl/>
              </w:rPr>
              <w:instrText xml:space="preserve">= </w:instrText>
            </w:r>
            <w:r w:rsidRPr="00511159">
              <w:rPr>
                <w:rFonts w:hint="cs"/>
                <w:sz w:val="18"/>
                <w:szCs w:val="18"/>
              </w:rPr>
              <w:instrText>CY</w:instrText>
            </w:r>
            <w:r>
              <w:rPr>
                <w:sz w:val="18"/>
                <w:szCs w:val="18"/>
              </w:rPr>
              <w:instrText>-1</w:instrText>
            </w:r>
            <w:r w:rsidRPr="00511159">
              <w:rPr>
                <w:rFonts w:hint="cs"/>
                <w:sz w:val="18"/>
                <w:szCs w:val="18"/>
              </w:rPr>
              <w:instrText xml:space="preserve"> \* MERGEFORMAT</w:instrText>
            </w:r>
            <w:r w:rsidRPr="00511159">
              <w:rPr>
                <w:sz w:val="18"/>
                <w:szCs w:val="18"/>
                <w:rtl/>
              </w:rPr>
              <w:instrText xml:space="preserve"> </w:instrText>
            </w:r>
            <w:r w:rsidRPr="00511159">
              <w:rPr>
                <w:sz w:val="18"/>
                <w:szCs w:val="18"/>
                <w:rtl/>
              </w:rPr>
              <w:fldChar w:fldCharType="separate"/>
            </w:r>
            <w:r>
              <w:rPr>
                <w:noProof/>
                <w:sz w:val="18"/>
                <w:szCs w:val="18"/>
                <w:rtl/>
              </w:rPr>
              <w:t>2023</w:t>
            </w:r>
            <w:r w:rsidRPr="00511159">
              <w:rPr>
                <w:sz w:val="18"/>
                <w:szCs w:val="18"/>
                <w:rtl/>
              </w:rPr>
              <w:fldChar w:fldCharType="end"/>
            </w:r>
            <w:r w:rsidRPr="00511159">
              <w:rPr>
                <w:rFonts w:hint="cs"/>
                <w:sz w:val="18"/>
                <w:szCs w:val="18"/>
                <w:rtl/>
              </w:rPr>
              <w:t xml:space="preserve"> </w:t>
            </w:r>
            <w:r w:rsidRPr="00A440BC">
              <w:rPr>
                <w:rFonts w:hint="cs"/>
                <w:b w:val="0"/>
                <w:bCs w:val="0"/>
                <w:sz w:val="18"/>
                <w:szCs w:val="18"/>
                <w:rtl/>
              </w:rPr>
              <w:t>(בלתי מבוקר)</w:t>
            </w:r>
          </w:p>
        </w:tc>
      </w:tr>
      <w:tr w:rsidR="00C810A5" w:rsidRPr="00511159" w14:paraId="3D3E2268" w14:textId="77777777" w:rsidTr="00320C27">
        <w:trPr>
          <w:trHeight w:val="259"/>
        </w:trPr>
        <w:tc>
          <w:tcPr>
            <w:tcW w:w="1417" w:type="dxa"/>
          </w:tcPr>
          <w:p w14:paraId="7C1D0685" w14:textId="77777777" w:rsidR="00C810A5" w:rsidRPr="00511159" w:rsidRDefault="00C810A5" w:rsidP="00400DD1">
            <w:pPr>
              <w:pStyle w:val="-7"/>
              <w:rPr>
                <w:sz w:val="18"/>
                <w:szCs w:val="18"/>
                <w:rtl/>
              </w:rPr>
            </w:pPr>
          </w:p>
        </w:tc>
        <w:tc>
          <w:tcPr>
            <w:tcW w:w="2976" w:type="dxa"/>
            <w:shd w:val="clear" w:color="auto" w:fill="auto"/>
            <w:vAlign w:val="bottom"/>
          </w:tcPr>
          <w:p w14:paraId="3194E3A8" w14:textId="77777777" w:rsidR="00C810A5" w:rsidRPr="00511159" w:rsidRDefault="00C810A5" w:rsidP="00400DD1">
            <w:pPr>
              <w:pStyle w:val="-7"/>
              <w:rPr>
                <w:sz w:val="18"/>
                <w:szCs w:val="18"/>
                <w:rtl/>
              </w:rPr>
            </w:pPr>
          </w:p>
        </w:tc>
        <w:tc>
          <w:tcPr>
            <w:tcW w:w="3119" w:type="dxa"/>
            <w:gridSpan w:val="3"/>
            <w:vAlign w:val="bottom"/>
          </w:tcPr>
          <w:p w14:paraId="37EE704F" w14:textId="77777777" w:rsidR="00C810A5" w:rsidRPr="00511159" w:rsidRDefault="00C810A5" w:rsidP="00400DD1">
            <w:pPr>
              <w:pStyle w:val="-4"/>
              <w:rPr>
                <w:sz w:val="18"/>
                <w:szCs w:val="18"/>
                <w:rtl/>
              </w:rPr>
            </w:pPr>
            <w:r w:rsidRPr="00511159">
              <w:rPr>
                <w:rFonts w:hint="cs"/>
                <w:sz w:val="18"/>
                <w:szCs w:val="18"/>
                <w:rtl/>
              </w:rPr>
              <w:t>מדידות שווי הוגן המשתמשות ב:</w:t>
            </w:r>
          </w:p>
        </w:tc>
        <w:tc>
          <w:tcPr>
            <w:tcW w:w="850" w:type="dxa"/>
            <w:vAlign w:val="bottom"/>
          </w:tcPr>
          <w:p w14:paraId="51576898" w14:textId="77777777" w:rsidR="00C810A5" w:rsidRPr="00511159" w:rsidRDefault="00C810A5" w:rsidP="00400DD1">
            <w:pPr>
              <w:pStyle w:val="-7"/>
              <w:rPr>
                <w:sz w:val="18"/>
                <w:szCs w:val="18"/>
                <w:rtl/>
              </w:rPr>
            </w:pPr>
          </w:p>
        </w:tc>
        <w:tc>
          <w:tcPr>
            <w:tcW w:w="1275" w:type="dxa"/>
            <w:vAlign w:val="bottom"/>
          </w:tcPr>
          <w:p w14:paraId="215461F1" w14:textId="77777777" w:rsidR="00C810A5" w:rsidRPr="00511159" w:rsidRDefault="00C810A5" w:rsidP="00400DD1">
            <w:pPr>
              <w:pStyle w:val="-7"/>
              <w:rPr>
                <w:sz w:val="18"/>
                <w:szCs w:val="18"/>
                <w:rtl/>
              </w:rPr>
            </w:pPr>
          </w:p>
        </w:tc>
      </w:tr>
      <w:tr w:rsidR="00C810A5" w:rsidRPr="00511159" w14:paraId="70D8C977" w14:textId="77777777" w:rsidTr="00320C27">
        <w:trPr>
          <w:trHeight w:val="259"/>
        </w:trPr>
        <w:tc>
          <w:tcPr>
            <w:tcW w:w="1417" w:type="dxa"/>
          </w:tcPr>
          <w:p w14:paraId="13BAD10B" w14:textId="77777777" w:rsidR="00C810A5" w:rsidRPr="00511159" w:rsidRDefault="00C810A5" w:rsidP="00400DD1">
            <w:pPr>
              <w:pStyle w:val="-fa"/>
              <w:rPr>
                <w:sz w:val="18"/>
                <w:szCs w:val="18"/>
                <w:rtl/>
              </w:rPr>
            </w:pPr>
          </w:p>
        </w:tc>
        <w:tc>
          <w:tcPr>
            <w:tcW w:w="2976" w:type="dxa"/>
            <w:shd w:val="clear" w:color="auto" w:fill="auto"/>
            <w:vAlign w:val="bottom"/>
          </w:tcPr>
          <w:p w14:paraId="683330E3" w14:textId="77777777" w:rsidR="00C810A5" w:rsidRPr="00511159" w:rsidRDefault="00C810A5" w:rsidP="00400DD1">
            <w:pPr>
              <w:pStyle w:val="af5"/>
              <w:rPr>
                <w:sz w:val="18"/>
                <w:szCs w:val="18"/>
                <w:rtl/>
              </w:rPr>
            </w:pPr>
          </w:p>
        </w:tc>
        <w:tc>
          <w:tcPr>
            <w:tcW w:w="993" w:type="dxa"/>
            <w:vAlign w:val="bottom"/>
          </w:tcPr>
          <w:p w14:paraId="0EE767C9"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מחירים מצוטטים בשוק פעיל</w:t>
            </w:r>
          </w:p>
          <w:p w14:paraId="5E853780"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(רמה 1)</w:t>
            </w:r>
          </w:p>
        </w:tc>
        <w:tc>
          <w:tcPr>
            <w:tcW w:w="1134" w:type="dxa"/>
            <w:vAlign w:val="bottom"/>
          </w:tcPr>
          <w:p w14:paraId="37AF0D28" w14:textId="77777777" w:rsidR="00C810A5" w:rsidRPr="00511159" w:rsidRDefault="00C810A5" w:rsidP="00400DD1">
            <w:pPr>
              <w:pStyle w:val="-4"/>
              <w:pBdr>
                <w:bottom w:val="none" w:sz="0" w:space="0" w:color="auto"/>
              </w:pBdr>
              <w:spacing w:line="240" w:lineRule="auto"/>
              <w:ind w:left="-72" w:right="-72"/>
              <w:rPr>
                <w:sz w:val="18"/>
                <w:szCs w:val="18"/>
                <w:rtl/>
              </w:rPr>
            </w:pPr>
            <w:r w:rsidRPr="00511159">
              <w:rPr>
                <w:rFonts w:hint="cs"/>
                <w:sz w:val="18"/>
                <w:szCs w:val="18"/>
                <w:rtl/>
              </w:rPr>
              <w:t>נתונים נצפים משמעותיים אחרים</w:t>
            </w:r>
          </w:p>
          <w:p w14:paraId="51988156"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(רמה 2)</w:t>
            </w:r>
          </w:p>
        </w:tc>
        <w:tc>
          <w:tcPr>
            <w:tcW w:w="992" w:type="dxa"/>
            <w:vAlign w:val="bottom"/>
          </w:tcPr>
          <w:p w14:paraId="62A696DC" w14:textId="77777777" w:rsidR="00C810A5" w:rsidRPr="00511159" w:rsidRDefault="00C810A5" w:rsidP="00400DD1">
            <w:pPr>
              <w:pStyle w:val="-4"/>
              <w:pBdr>
                <w:bottom w:val="none" w:sz="0" w:space="0" w:color="auto"/>
              </w:pBdr>
              <w:spacing w:line="240" w:lineRule="auto"/>
              <w:ind w:left="-72" w:right="-72"/>
              <w:rPr>
                <w:sz w:val="18"/>
                <w:szCs w:val="18"/>
                <w:rtl/>
              </w:rPr>
            </w:pPr>
            <w:r w:rsidRPr="00511159">
              <w:rPr>
                <w:rFonts w:hint="cs"/>
                <w:sz w:val="18"/>
                <w:szCs w:val="18"/>
                <w:rtl/>
              </w:rPr>
              <w:t>נתונים</w:t>
            </w:r>
          </w:p>
          <w:p w14:paraId="2BF64EDD" w14:textId="77777777" w:rsidR="00C810A5" w:rsidRPr="00511159" w:rsidRDefault="00C810A5" w:rsidP="00400DD1">
            <w:pPr>
              <w:pStyle w:val="-4"/>
              <w:pBdr>
                <w:bottom w:val="none" w:sz="0" w:space="0" w:color="auto"/>
              </w:pBdr>
              <w:spacing w:line="240" w:lineRule="auto"/>
              <w:ind w:left="-72" w:right="-72"/>
              <w:rPr>
                <w:sz w:val="18"/>
                <w:szCs w:val="18"/>
                <w:rtl/>
              </w:rPr>
            </w:pPr>
            <w:r w:rsidRPr="00511159">
              <w:rPr>
                <w:rFonts w:hint="cs"/>
                <w:sz w:val="18"/>
                <w:szCs w:val="18"/>
                <w:rtl/>
              </w:rPr>
              <w:t>לא נצפים משמעותיים</w:t>
            </w:r>
          </w:p>
          <w:p w14:paraId="233C3F11"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(רמה 3)</w:t>
            </w:r>
          </w:p>
        </w:tc>
        <w:tc>
          <w:tcPr>
            <w:tcW w:w="850" w:type="dxa"/>
            <w:vAlign w:val="bottom"/>
          </w:tcPr>
          <w:p w14:paraId="594C2D4A"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סך הכל שווי הוגן</w:t>
            </w:r>
          </w:p>
        </w:tc>
        <w:tc>
          <w:tcPr>
            <w:tcW w:w="1275" w:type="dxa"/>
            <w:vAlign w:val="bottom"/>
          </w:tcPr>
          <w:p w14:paraId="5A725FF9"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סך הכל רווחים (הפסדים) לתקופה</w:t>
            </w:r>
          </w:p>
        </w:tc>
      </w:tr>
      <w:tr w:rsidR="00C810A5" w:rsidRPr="00511159" w14:paraId="0707BF64" w14:textId="77777777" w:rsidTr="00320C27">
        <w:trPr>
          <w:trHeight w:val="56"/>
        </w:trPr>
        <w:tc>
          <w:tcPr>
            <w:tcW w:w="1417" w:type="dxa"/>
          </w:tcPr>
          <w:p w14:paraId="47B5DDA8" w14:textId="77777777" w:rsidR="00C810A5" w:rsidRPr="00511159" w:rsidRDefault="00C810A5" w:rsidP="00400DD1">
            <w:pPr>
              <w:pStyle w:val="-0"/>
              <w:rPr>
                <w:sz w:val="18"/>
                <w:szCs w:val="18"/>
                <w:rtl/>
              </w:rPr>
            </w:pPr>
          </w:p>
        </w:tc>
        <w:tc>
          <w:tcPr>
            <w:tcW w:w="2976" w:type="dxa"/>
            <w:shd w:val="clear" w:color="auto" w:fill="auto"/>
            <w:vAlign w:val="bottom"/>
          </w:tcPr>
          <w:p w14:paraId="0F8B8A12" w14:textId="77777777" w:rsidR="00C810A5" w:rsidRPr="00511159" w:rsidRDefault="00C810A5" w:rsidP="00400DD1">
            <w:pPr>
              <w:pStyle w:val="-f"/>
              <w:rPr>
                <w:sz w:val="18"/>
                <w:szCs w:val="18"/>
                <w:rtl/>
              </w:rPr>
            </w:pPr>
            <w:r w:rsidRPr="00511159">
              <w:rPr>
                <w:rFonts w:hint="cs"/>
                <w:sz w:val="18"/>
                <w:szCs w:val="18"/>
                <w:rtl/>
              </w:rPr>
              <w:t>נכסים</w:t>
            </w:r>
            <w:r w:rsidRPr="00511159">
              <w:rPr>
                <w:sz w:val="18"/>
                <w:szCs w:val="18"/>
                <w:rtl/>
              </w:rPr>
              <w:t xml:space="preserve"> </w:t>
            </w:r>
          </w:p>
        </w:tc>
        <w:tc>
          <w:tcPr>
            <w:tcW w:w="993" w:type="dxa"/>
            <w:vAlign w:val="bottom"/>
          </w:tcPr>
          <w:p w14:paraId="773C8444" w14:textId="77777777" w:rsidR="00C810A5" w:rsidRPr="00511159" w:rsidRDefault="00C810A5" w:rsidP="00400DD1">
            <w:pPr>
              <w:pStyle w:val="-7"/>
              <w:rPr>
                <w:sz w:val="18"/>
                <w:szCs w:val="18"/>
                <w:rtl/>
              </w:rPr>
            </w:pPr>
          </w:p>
        </w:tc>
        <w:tc>
          <w:tcPr>
            <w:tcW w:w="1134" w:type="dxa"/>
            <w:vAlign w:val="bottom"/>
          </w:tcPr>
          <w:p w14:paraId="67AB1997" w14:textId="77777777" w:rsidR="00C810A5" w:rsidRPr="00511159" w:rsidRDefault="00C810A5" w:rsidP="00400DD1">
            <w:pPr>
              <w:pStyle w:val="-7"/>
              <w:rPr>
                <w:sz w:val="18"/>
                <w:szCs w:val="18"/>
                <w:rtl/>
              </w:rPr>
            </w:pPr>
          </w:p>
        </w:tc>
        <w:tc>
          <w:tcPr>
            <w:tcW w:w="992" w:type="dxa"/>
            <w:vAlign w:val="bottom"/>
          </w:tcPr>
          <w:p w14:paraId="2A019D7C" w14:textId="77777777" w:rsidR="00C810A5" w:rsidRPr="00511159" w:rsidRDefault="00C810A5" w:rsidP="00400DD1">
            <w:pPr>
              <w:pStyle w:val="-7"/>
              <w:rPr>
                <w:sz w:val="18"/>
                <w:szCs w:val="18"/>
                <w:rtl/>
              </w:rPr>
            </w:pPr>
          </w:p>
        </w:tc>
        <w:tc>
          <w:tcPr>
            <w:tcW w:w="850" w:type="dxa"/>
            <w:vAlign w:val="bottom"/>
          </w:tcPr>
          <w:p w14:paraId="1B03598B" w14:textId="77777777" w:rsidR="00C810A5" w:rsidRPr="00511159" w:rsidRDefault="00C810A5" w:rsidP="00400DD1">
            <w:pPr>
              <w:pStyle w:val="-7"/>
              <w:rPr>
                <w:sz w:val="18"/>
                <w:szCs w:val="18"/>
              </w:rPr>
            </w:pPr>
          </w:p>
        </w:tc>
        <w:tc>
          <w:tcPr>
            <w:tcW w:w="1275" w:type="dxa"/>
            <w:shd w:val="clear" w:color="auto" w:fill="FFFFFF"/>
            <w:vAlign w:val="bottom"/>
          </w:tcPr>
          <w:p w14:paraId="6A8EE583" w14:textId="77777777" w:rsidR="00C810A5" w:rsidRPr="00511159" w:rsidRDefault="00C810A5" w:rsidP="00400DD1">
            <w:pPr>
              <w:pStyle w:val="-7"/>
              <w:rPr>
                <w:sz w:val="18"/>
                <w:szCs w:val="18"/>
                <w:rtl/>
              </w:rPr>
            </w:pPr>
          </w:p>
        </w:tc>
      </w:tr>
      <w:tr w:rsidR="00C810A5" w:rsidRPr="00511159" w14:paraId="0EF85199" w14:textId="77777777" w:rsidTr="00320C27">
        <w:trPr>
          <w:trHeight w:val="259"/>
        </w:trPr>
        <w:tc>
          <w:tcPr>
            <w:tcW w:w="1417" w:type="dxa"/>
          </w:tcPr>
          <w:p w14:paraId="4F4608EA" w14:textId="77777777" w:rsidR="00C810A5" w:rsidRPr="00511159" w:rsidRDefault="00C810A5" w:rsidP="00400DD1">
            <w:pPr>
              <w:pStyle w:val="-0"/>
              <w:rPr>
                <w:sz w:val="18"/>
                <w:szCs w:val="18"/>
                <w:rtl/>
              </w:rPr>
            </w:pPr>
          </w:p>
        </w:tc>
        <w:tc>
          <w:tcPr>
            <w:tcW w:w="2976" w:type="dxa"/>
            <w:shd w:val="clear" w:color="auto" w:fill="auto"/>
            <w:vAlign w:val="bottom"/>
          </w:tcPr>
          <w:p w14:paraId="011ECD0D" w14:textId="77777777" w:rsidR="00C810A5" w:rsidRPr="00511159" w:rsidRDefault="00C810A5" w:rsidP="00400DD1">
            <w:pPr>
              <w:pStyle w:val="-f"/>
              <w:rPr>
                <w:sz w:val="18"/>
                <w:szCs w:val="18"/>
                <w:u w:val="none"/>
                <w:rtl/>
              </w:rPr>
            </w:pPr>
            <w:r w:rsidRPr="00511159">
              <w:rPr>
                <w:rFonts w:hint="cs"/>
                <w:b w:val="0"/>
                <w:bCs w:val="0"/>
                <w:sz w:val="18"/>
                <w:szCs w:val="18"/>
                <w:u w:val="none"/>
                <w:rtl/>
              </w:rPr>
              <w:t>אשראי בעייתי שגבייתו מותנית בביטחון</w:t>
            </w:r>
          </w:p>
        </w:tc>
        <w:tc>
          <w:tcPr>
            <w:tcW w:w="993" w:type="dxa"/>
            <w:vAlign w:val="bottom"/>
          </w:tcPr>
          <w:p w14:paraId="15AD2EDC" w14:textId="77777777" w:rsidR="00C810A5" w:rsidRPr="00511159" w:rsidRDefault="00C810A5" w:rsidP="00400DD1">
            <w:pPr>
              <w:pStyle w:val="-7"/>
              <w:rPr>
                <w:sz w:val="18"/>
                <w:szCs w:val="18"/>
                <w:rtl/>
              </w:rPr>
            </w:pPr>
            <w:r w:rsidRPr="00511159">
              <w:rPr>
                <w:rFonts w:hint="cs"/>
                <w:sz w:val="18"/>
                <w:szCs w:val="18"/>
                <w:rtl/>
              </w:rPr>
              <w:t xml:space="preserve"> -</w:t>
            </w:r>
          </w:p>
        </w:tc>
        <w:tc>
          <w:tcPr>
            <w:tcW w:w="1134" w:type="dxa"/>
            <w:vAlign w:val="bottom"/>
          </w:tcPr>
          <w:p w14:paraId="2FEB7E2C" w14:textId="77777777" w:rsidR="00C810A5" w:rsidRPr="00511159" w:rsidRDefault="00C810A5" w:rsidP="00400DD1">
            <w:pPr>
              <w:pStyle w:val="-7"/>
              <w:rPr>
                <w:sz w:val="18"/>
                <w:szCs w:val="18"/>
                <w:rtl/>
              </w:rPr>
            </w:pPr>
            <w:r w:rsidRPr="00511159">
              <w:rPr>
                <w:rFonts w:hint="cs"/>
                <w:sz w:val="18"/>
                <w:szCs w:val="18"/>
                <w:rtl/>
              </w:rPr>
              <w:t xml:space="preserve"> -</w:t>
            </w:r>
          </w:p>
        </w:tc>
        <w:tc>
          <w:tcPr>
            <w:tcW w:w="992" w:type="dxa"/>
            <w:vAlign w:val="bottom"/>
          </w:tcPr>
          <w:p w14:paraId="78543190" w14:textId="77777777" w:rsidR="00C810A5" w:rsidRPr="00511159" w:rsidRDefault="00C810A5" w:rsidP="00400DD1">
            <w:pPr>
              <w:pStyle w:val="-7"/>
              <w:rPr>
                <w:sz w:val="18"/>
                <w:szCs w:val="18"/>
                <w:rtl/>
              </w:rPr>
            </w:pPr>
            <w:r w:rsidRPr="00511159">
              <w:rPr>
                <w:rFonts w:hint="cs"/>
                <w:sz w:val="18"/>
                <w:szCs w:val="18"/>
                <w:rtl/>
              </w:rPr>
              <w:t xml:space="preserve"> 0</w:t>
            </w:r>
          </w:p>
        </w:tc>
        <w:tc>
          <w:tcPr>
            <w:tcW w:w="850" w:type="dxa"/>
            <w:vAlign w:val="bottom"/>
          </w:tcPr>
          <w:p w14:paraId="50FE661F" w14:textId="77777777" w:rsidR="00C810A5" w:rsidRPr="00511159" w:rsidRDefault="00C810A5" w:rsidP="00400DD1">
            <w:pPr>
              <w:pStyle w:val="-7"/>
              <w:rPr>
                <w:sz w:val="18"/>
                <w:szCs w:val="18"/>
              </w:rPr>
            </w:pPr>
            <w:r w:rsidRPr="00511159">
              <w:rPr>
                <w:rFonts w:hint="cs"/>
                <w:b/>
                <w:bCs/>
                <w:sz w:val="18"/>
                <w:szCs w:val="18"/>
                <w:rtl/>
              </w:rPr>
              <w:t xml:space="preserve"> </w:t>
            </w:r>
            <w:r w:rsidRPr="00511159">
              <w:rPr>
                <w:rFonts w:hint="cs"/>
                <w:sz w:val="18"/>
                <w:szCs w:val="18"/>
                <w:rtl/>
              </w:rPr>
              <w:t>0</w:t>
            </w:r>
          </w:p>
        </w:tc>
        <w:tc>
          <w:tcPr>
            <w:tcW w:w="1275" w:type="dxa"/>
            <w:vAlign w:val="bottom"/>
          </w:tcPr>
          <w:p w14:paraId="4AA09EC9" w14:textId="77777777" w:rsidR="00C810A5" w:rsidRPr="00511159" w:rsidRDefault="00C810A5" w:rsidP="00400DD1">
            <w:pPr>
              <w:pStyle w:val="-7"/>
              <w:rPr>
                <w:sz w:val="18"/>
                <w:szCs w:val="18"/>
                <w:rtl/>
              </w:rPr>
            </w:pPr>
            <w:r w:rsidRPr="00511159">
              <w:rPr>
                <w:rFonts w:hint="cs"/>
                <w:b/>
                <w:bCs/>
                <w:sz w:val="18"/>
                <w:szCs w:val="18"/>
                <w:rtl/>
              </w:rPr>
              <w:t xml:space="preserve"> </w:t>
            </w:r>
            <w:r w:rsidRPr="00511159">
              <w:rPr>
                <w:rFonts w:hint="cs"/>
                <w:sz w:val="18"/>
                <w:szCs w:val="18"/>
                <w:rtl/>
              </w:rPr>
              <w:t>0</w:t>
            </w:r>
          </w:p>
        </w:tc>
      </w:tr>
      <w:tr w:rsidR="00C810A5" w:rsidRPr="00511159" w14:paraId="5F35C5E5" w14:textId="77777777" w:rsidTr="00320C27">
        <w:trPr>
          <w:trHeight w:val="259"/>
        </w:trPr>
        <w:tc>
          <w:tcPr>
            <w:tcW w:w="1417" w:type="dxa"/>
          </w:tcPr>
          <w:p w14:paraId="675F267B" w14:textId="77777777" w:rsidR="00C810A5" w:rsidRPr="00511159" w:rsidRDefault="00C810A5" w:rsidP="00400DD1">
            <w:pPr>
              <w:pStyle w:val="-0"/>
              <w:spacing w:before="100" w:line="240" w:lineRule="auto"/>
              <w:ind w:left="142" w:hanging="142"/>
              <w:rPr>
                <w:sz w:val="18"/>
                <w:szCs w:val="18"/>
                <w:rtl/>
              </w:rPr>
            </w:pPr>
          </w:p>
        </w:tc>
        <w:tc>
          <w:tcPr>
            <w:tcW w:w="2976" w:type="dxa"/>
            <w:shd w:val="clear" w:color="auto" w:fill="auto"/>
            <w:vAlign w:val="bottom"/>
          </w:tcPr>
          <w:p w14:paraId="62B38201" w14:textId="6DBC9DEF" w:rsidR="00C810A5" w:rsidRPr="00511159" w:rsidRDefault="00C810A5" w:rsidP="00400DD1">
            <w:pPr>
              <w:pStyle w:val="-b"/>
              <w:spacing w:before="40" w:line="240" w:lineRule="exact"/>
              <w:ind w:left="142" w:hanging="142"/>
              <w:rPr>
                <w:b w:val="0"/>
                <w:bCs w:val="0"/>
                <w:sz w:val="18"/>
                <w:szCs w:val="18"/>
                <w:rtl/>
              </w:rPr>
            </w:pPr>
            <w:r>
              <w:rPr>
                <w:rFonts w:hint="cs"/>
                <w:b w:val="0"/>
                <w:bCs w:val="0"/>
                <w:sz w:val="18"/>
                <w:szCs w:val="18"/>
                <w:rtl/>
              </w:rPr>
              <w:t>מניות שאינן למסחר</w:t>
            </w:r>
          </w:p>
        </w:tc>
        <w:tc>
          <w:tcPr>
            <w:tcW w:w="993" w:type="dxa"/>
            <w:vAlign w:val="bottom"/>
          </w:tcPr>
          <w:p w14:paraId="1B8F5BFF" w14:textId="77777777" w:rsidR="00C810A5" w:rsidRPr="00511159" w:rsidRDefault="00C810A5" w:rsidP="00400DD1">
            <w:pPr>
              <w:pStyle w:val="-3"/>
              <w:rPr>
                <w:sz w:val="18"/>
                <w:szCs w:val="18"/>
                <w:rtl/>
              </w:rPr>
            </w:pPr>
            <w:r w:rsidRPr="00511159">
              <w:rPr>
                <w:rFonts w:hint="cs"/>
                <w:sz w:val="18"/>
                <w:szCs w:val="18"/>
                <w:rtl/>
              </w:rPr>
              <w:t xml:space="preserve"> -</w:t>
            </w:r>
          </w:p>
        </w:tc>
        <w:tc>
          <w:tcPr>
            <w:tcW w:w="1134" w:type="dxa"/>
            <w:vAlign w:val="bottom"/>
          </w:tcPr>
          <w:p w14:paraId="65C9143C" w14:textId="77777777" w:rsidR="00C810A5" w:rsidRPr="00511159" w:rsidRDefault="00C810A5" w:rsidP="00400DD1">
            <w:pPr>
              <w:pStyle w:val="-3"/>
              <w:rPr>
                <w:sz w:val="18"/>
                <w:szCs w:val="18"/>
                <w:rtl/>
              </w:rPr>
            </w:pPr>
            <w:r w:rsidRPr="00511159">
              <w:rPr>
                <w:rFonts w:hint="cs"/>
                <w:sz w:val="18"/>
                <w:szCs w:val="18"/>
                <w:rtl/>
              </w:rPr>
              <w:t xml:space="preserve"> -</w:t>
            </w:r>
          </w:p>
        </w:tc>
        <w:tc>
          <w:tcPr>
            <w:tcW w:w="992" w:type="dxa"/>
            <w:vAlign w:val="bottom"/>
          </w:tcPr>
          <w:p w14:paraId="6E1A3063" w14:textId="77777777" w:rsidR="00C810A5" w:rsidRPr="00511159" w:rsidRDefault="00C810A5" w:rsidP="00400DD1">
            <w:pPr>
              <w:pStyle w:val="-3"/>
              <w:rPr>
                <w:sz w:val="18"/>
                <w:szCs w:val="18"/>
                <w:rtl/>
              </w:rPr>
            </w:pPr>
            <w:r w:rsidRPr="00511159">
              <w:rPr>
                <w:rFonts w:hint="cs"/>
                <w:sz w:val="18"/>
                <w:szCs w:val="18"/>
                <w:rtl/>
              </w:rPr>
              <w:t xml:space="preserve"> 0</w:t>
            </w:r>
          </w:p>
        </w:tc>
        <w:tc>
          <w:tcPr>
            <w:tcW w:w="850" w:type="dxa"/>
            <w:vAlign w:val="bottom"/>
          </w:tcPr>
          <w:p w14:paraId="7DBF4A0F" w14:textId="77777777" w:rsidR="00C810A5" w:rsidRPr="00511159" w:rsidRDefault="00C810A5" w:rsidP="00400DD1">
            <w:pPr>
              <w:pStyle w:val="-0"/>
              <w:rPr>
                <w:b/>
                <w:bCs/>
                <w:sz w:val="18"/>
                <w:szCs w:val="18"/>
                <w:rtl/>
              </w:rPr>
            </w:pPr>
            <w:r w:rsidRPr="00511159">
              <w:rPr>
                <w:rFonts w:hint="cs"/>
                <w:b/>
                <w:bCs/>
                <w:sz w:val="18"/>
                <w:szCs w:val="18"/>
                <w:rtl/>
              </w:rPr>
              <w:t xml:space="preserve"> </w:t>
            </w:r>
            <w:r w:rsidRPr="00511159">
              <w:rPr>
                <w:rFonts w:hint="cs"/>
                <w:sz w:val="18"/>
                <w:szCs w:val="18"/>
                <w:rtl/>
              </w:rPr>
              <w:t>0</w:t>
            </w:r>
          </w:p>
        </w:tc>
        <w:tc>
          <w:tcPr>
            <w:tcW w:w="1275" w:type="dxa"/>
            <w:vAlign w:val="bottom"/>
          </w:tcPr>
          <w:p w14:paraId="2E892AA5" w14:textId="77777777" w:rsidR="00C810A5" w:rsidRPr="00511159" w:rsidRDefault="00C810A5" w:rsidP="00400DD1">
            <w:pPr>
              <w:pStyle w:val="-3"/>
              <w:rPr>
                <w:sz w:val="18"/>
                <w:szCs w:val="18"/>
                <w:rtl/>
              </w:rPr>
            </w:pPr>
            <w:r w:rsidRPr="00511159">
              <w:rPr>
                <w:rFonts w:hint="cs"/>
                <w:b/>
                <w:bCs/>
                <w:sz w:val="18"/>
                <w:szCs w:val="18"/>
                <w:rtl/>
              </w:rPr>
              <w:t xml:space="preserve"> </w:t>
            </w:r>
            <w:r w:rsidRPr="00511159">
              <w:rPr>
                <w:rFonts w:hint="cs"/>
                <w:sz w:val="18"/>
                <w:szCs w:val="18"/>
                <w:rtl/>
              </w:rPr>
              <w:t>0</w:t>
            </w:r>
          </w:p>
        </w:tc>
      </w:tr>
      <w:tr w:rsidR="00C810A5" w:rsidRPr="00511159" w14:paraId="7DE9228B" w14:textId="77777777" w:rsidTr="00320C27">
        <w:trPr>
          <w:trHeight w:val="259"/>
        </w:trPr>
        <w:tc>
          <w:tcPr>
            <w:tcW w:w="1417" w:type="dxa"/>
          </w:tcPr>
          <w:p w14:paraId="2CF5C6BF" w14:textId="77777777" w:rsidR="00C810A5" w:rsidRPr="00511159" w:rsidRDefault="00C810A5" w:rsidP="00400DD1">
            <w:pPr>
              <w:pStyle w:val="-0"/>
              <w:spacing w:before="60" w:line="240" w:lineRule="auto"/>
              <w:ind w:left="142" w:hanging="142"/>
              <w:rPr>
                <w:sz w:val="18"/>
                <w:szCs w:val="18"/>
                <w:rtl/>
              </w:rPr>
            </w:pPr>
          </w:p>
        </w:tc>
        <w:tc>
          <w:tcPr>
            <w:tcW w:w="2976" w:type="dxa"/>
            <w:tcBorders>
              <w:left w:val="nil"/>
            </w:tcBorders>
            <w:shd w:val="clear" w:color="auto" w:fill="auto"/>
            <w:vAlign w:val="bottom"/>
          </w:tcPr>
          <w:p w14:paraId="19E43D86" w14:textId="77777777" w:rsidR="00C810A5" w:rsidRPr="00511159" w:rsidRDefault="00C810A5" w:rsidP="00400DD1">
            <w:pPr>
              <w:pStyle w:val="-b"/>
              <w:spacing w:before="40" w:line="240" w:lineRule="exact"/>
              <w:ind w:left="142" w:hanging="142"/>
              <w:rPr>
                <w:b w:val="0"/>
                <w:bCs w:val="0"/>
                <w:sz w:val="18"/>
                <w:szCs w:val="18"/>
                <w:rtl/>
              </w:rPr>
            </w:pPr>
            <w:r w:rsidRPr="00511159">
              <w:rPr>
                <w:rFonts w:hint="cs"/>
                <w:b w:val="0"/>
                <w:bCs w:val="0"/>
                <w:sz w:val="18"/>
                <w:szCs w:val="18"/>
                <w:rtl/>
              </w:rPr>
              <w:t>אחרים [פרט אם מהותי]</w:t>
            </w:r>
          </w:p>
        </w:tc>
        <w:tc>
          <w:tcPr>
            <w:tcW w:w="993" w:type="dxa"/>
            <w:vAlign w:val="bottom"/>
          </w:tcPr>
          <w:p w14:paraId="6418F4C0" w14:textId="77777777" w:rsidR="00C810A5" w:rsidRPr="00511159" w:rsidRDefault="00C810A5" w:rsidP="00400DD1">
            <w:pPr>
              <w:pStyle w:val="-3"/>
              <w:rPr>
                <w:sz w:val="18"/>
                <w:szCs w:val="18"/>
                <w:rtl/>
              </w:rPr>
            </w:pPr>
            <w:r w:rsidRPr="00511159">
              <w:rPr>
                <w:rFonts w:hint="cs"/>
                <w:sz w:val="18"/>
                <w:szCs w:val="18"/>
                <w:rtl/>
              </w:rPr>
              <w:t xml:space="preserve"> -</w:t>
            </w:r>
          </w:p>
        </w:tc>
        <w:tc>
          <w:tcPr>
            <w:tcW w:w="1134" w:type="dxa"/>
            <w:vAlign w:val="bottom"/>
          </w:tcPr>
          <w:p w14:paraId="2C7256FF" w14:textId="77777777" w:rsidR="00C810A5" w:rsidRPr="00511159" w:rsidRDefault="00C810A5" w:rsidP="00400DD1">
            <w:pPr>
              <w:pStyle w:val="-3"/>
              <w:rPr>
                <w:sz w:val="18"/>
                <w:szCs w:val="18"/>
                <w:rtl/>
              </w:rPr>
            </w:pPr>
            <w:r w:rsidRPr="00511159">
              <w:rPr>
                <w:rFonts w:hint="cs"/>
                <w:sz w:val="18"/>
                <w:szCs w:val="18"/>
                <w:rtl/>
              </w:rPr>
              <w:t xml:space="preserve"> -</w:t>
            </w:r>
          </w:p>
        </w:tc>
        <w:tc>
          <w:tcPr>
            <w:tcW w:w="992" w:type="dxa"/>
            <w:vAlign w:val="bottom"/>
          </w:tcPr>
          <w:p w14:paraId="39804808" w14:textId="77777777" w:rsidR="00C810A5" w:rsidRPr="00511159" w:rsidRDefault="00C810A5" w:rsidP="00400DD1">
            <w:pPr>
              <w:pStyle w:val="-3"/>
              <w:rPr>
                <w:sz w:val="18"/>
                <w:szCs w:val="18"/>
                <w:rtl/>
              </w:rPr>
            </w:pPr>
            <w:r w:rsidRPr="00511159">
              <w:rPr>
                <w:rFonts w:hint="cs"/>
                <w:sz w:val="18"/>
                <w:szCs w:val="18"/>
                <w:rtl/>
              </w:rPr>
              <w:t xml:space="preserve"> 0</w:t>
            </w:r>
          </w:p>
        </w:tc>
        <w:tc>
          <w:tcPr>
            <w:tcW w:w="850" w:type="dxa"/>
            <w:vAlign w:val="bottom"/>
          </w:tcPr>
          <w:p w14:paraId="09583B1E" w14:textId="77777777" w:rsidR="00C810A5" w:rsidRPr="00511159" w:rsidRDefault="00C810A5" w:rsidP="00400DD1">
            <w:pPr>
              <w:pStyle w:val="-0"/>
              <w:rPr>
                <w:b/>
                <w:bCs/>
                <w:sz w:val="18"/>
                <w:szCs w:val="18"/>
                <w:rtl/>
              </w:rPr>
            </w:pPr>
            <w:r w:rsidRPr="00511159">
              <w:rPr>
                <w:rFonts w:hint="cs"/>
                <w:b/>
                <w:bCs/>
                <w:sz w:val="18"/>
                <w:szCs w:val="18"/>
                <w:rtl/>
              </w:rPr>
              <w:t xml:space="preserve"> </w:t>
            </w:r>
            <w:r w:rsidRPr="00511159">
              <w:rPr>
                <w:rFonts w:hint="cs"/>
                <w:sz w:val="18"/>
                <w:szCs w:val="18"/>
                <w:rtl/>
              </w:rPr>
              <w:t>0</w:t>
            </w:r>
          </w:p>
        </w:tc>
        <w:tc>
          <w:tcPr>
            <w:tcW w:w="1275" w:type="dxa"/>
            <w:vAlign w:val="bottom"/>
          </w:tcPr>
          <w:p w14:paraId="18E0AA12" w14:textId="77777777" w:rsidR="00C810A5" w:rsidRPr="00511159" w:rsidRDefault="00C810A5" w:rsidP="00400DD1">
            <w:pPr>
              <w:pStyle w:val="-3"/>
              <w:rPr>
                <w:sz w:val="18"/>
                <w:szCs w:val="18"/>
                <w:rtl/>
              </w:rPr>
            </w:pPr>
            <w:r w:rsidRPr="00511159">
              <w:rPr>
                <w:rFonts w:hint="cs"/>
                <w:b/>
                <w:bCs/>
                <w:sz w:val="18"/>
                <w:szCs w:val="18"/>
                <w:rtl/>
              </w:rPr>
              <w:t xml:space="preserve"> </w:t>
            </w:r>
            <w:r w:rsidRPr="00511159">
              <w:rPr>
                <w:rFonts w:hint="cs"/>
                <w:sz w:val="18"/>
                <w:szCs w:val="18"/>
                <w:rtl/>
              </w:rPr>
              <w:t>0</w:t>
            </w:r>
          </w:p>
        </w:tc>
      </w:tr>
    </w:tbl>
    <w:p w14:paraId="29E6310E" w14:textId="44660D36" w:rsidR="00047897" w:rsidRDefault="00047897">
      <w:pPr>
        <w:rPr>
          <w:sz w:val="18"/>
          <w:szCs w:val="18"/>
          <w:rtl/>
        </w:rPr>
      </w:pPr>
    </w:p>
    <w:p w14:paraId="3B8AC640" w14:textId="77777777" w:rsidR="00320C27" w:rsidRPr="00511159" w:rsidRDefault="00320C27">
      <w:pPr>
        <w:rPr>
          <w:sz w:val="18"/>
          <w:szCs w:val="18"/>
          <w:rtl/>
        </w:rPr>
      </w:pPr>
    </w:p>
    <w:p w14:paraId="067D27D4" w14:textId="77777777" w:rsidR="00E50A18" w:rsidRPr="00511159" w:rsidRDefault="00E50A18">
      <w:pPr>
        <w:rPr>
          <w:sz w:val="18"/>
          <w:szCs w:val="18"/>
        </w:rPr>
      </w:pPr>
    </w:p>
    <w:tbl>
      <w:tblPr>
        <w:bidiVisual/>
        <w:tblW w:w="4721" w:type="pct"/>
        <w:tblLayout w:type="fixed"/>
        <w:tblLook w:val="04A0" w:firstRow="1" w:lastRow="0" w:firstColumn="1" w:lastColumn="0" w:noHBand="0" w:noVBand="1"/>
      </w:tblPr>
      <w:tblGrid>
        <w:gridCol w:w="1417"/>
        <w:gridCol w:w="2976"/>
        <w:gridCol w:w="993"/>
        <w:gridCol w:w="1134"/>
        <w:gridCol w:w="992"/>
        <w:gridCol w:w="850"/>
        <w:gridCol w:w="1275"/>
      </w:tblGrid>
      <w:tr w:rsidR="00C810A5" w:rsidRPr="00511159" w14:paraId="31044BA4" w14:textId="77777777" w:rsidTr="00320C27">
        <w:trPr>
          <w:trHeight w:val="259"/>
        </w:trPr>
        <w:tc>
          <w:tcPr>
            <w:tcW w:w="1417" w:type="dxa"/>
          </w:tcPr>
          <w:p w14:paraId="22B4D9DC" w14:textId="77777777" w:rsidR="00C810A5" w:rsidRPr="00511159" w:rsidRDefault="00C810A5" w:rsidP="00400DD1">
            <w:pPr>
              <w:pStyle w:val="-7"/>
              <w:rPr>
                <w:sz w:val="18"/>
                <w:szCs w:val="18"/>
                <w:rtl/>
              </w:rPr>
            </w:pPr>
          </w:p>
        </w:tc>
        <w:tc>
          <w:tcPr>
            <w:tcW w:w="2976" w:type="dxa"/>
            <w:shd w:val="clear" w:color="auto" w:fill="auto"/>
            <w:vAlign w:val="bottom"/>
          </w:tcPr>
          <w:p w14:paraId="6D2BDC04" w14:textId="77777777" w:rsidR="00C810A5" w:rsidRPr="00511159" w:rsidRDefault="00C810A5" w:rsidP="00400DD1">
            <w:pPr>
              <w:pStyle w:val="-7"/>
              <w:rPr>
                <w:sz w:val="18"/>
                <w:szCs w:val="18"/>
                <w:rtl/>
              </w:rPr>
            </w:pPr>
          </w:p>
        </w:tc>
        <w:tc>
          <w:tcPr>
            <w:tcW w:w="5244" w:type="dxa"/>
            <w:gridSpan w:val="5"/>
            <w:vAlign w:val="bottom"/>
          </w:tcPr>
          <w:p w14:paraId="46A4880E" w14:textId="2B5237EA" w:rsidR="00C810A5" w:rsidRPr="00511159" w:rsidRDefault="00C810A5" w:rsidP="00400DD1">
            <w:pPr>
              <w:pStyle w:val="-4"/>
              <w:rPr>
                <w:sz w:val="18"/>
                <w:szCs w:val="18"/>
                <w:rtl/>
              </w:rPr>
            </w:pPr>
            <w:r>
              <w:rPr>
                <w:rFonts w:hint="cs"/>
                <w:sz w:val="18"/>
                <w:szCs w:val="18"/>
                <w:rtl/>
              </w:rPr>
              <w:t>ליום 31</w:t>
            </w:r>
            <w:r w:rsidRPr="00A25229">
              <w:rPr>
                <w:rFonts w:hint="cs"/>
                <w:sz w:val="18"/>
                <w:szCs w:val="18"/>
                <w:rtl/>
              </w:rPr>
              <w:t xml:space="preserve"> </w:t>
            </w:r>
            <w:r>
              <w:rPr>
                <w:rFonts w:hint="cs"/>
                <w:sz w:val="18"/>
                <w:szCs w:val="18"/>
                <w:rtl/>
              </w:rPr>
              <w:t>בדצמבר</w:t>
            </w:r>
            <w:r w:rsidRPr="00A25229">
              <w:rPr>
                <w:rFonts w:hint="cs"/>
                <w:sz w:val="18"/>
                <w:szCs w:val="18"/>
                <w:rtl/>
              </w:rPr>
              <w:t xml:space="preserve"> </w:t>
            </w:r>
            <w:r w:rsidRPr="00A25229">
              <w:rPr>
                <w:sz w:val="18"/>
                <w:szCs w:val="18"/>
                <w:rtl/>
              </w:rPr>
              <w:fldChar w:fldCharType="begin"/>
            </w:r>
            <w:r w:rsidRPr="00A25229">
              <w:rPr>
                <w:sz w:val="18"/>
                <w:szCs w:val="18"/>
                <w:rtl/>
              </w:rPr>
              <w:instrText xml:space="preserve"> </w:instrText>
            </w:r>
            <w:r w:rsidRPr="00A25229">
              <w:rPr>
                <w:rFonts w:hint="cs"/>
                <w:sz w:val="18"/>
                <w:szCs w:val="18"/>
                <w:rtl/>
              </w:rPr>
              <w:instrText xml:space="preserve">= </w:instrText>
            </w:r>
            <w:r w:rsidRPr="00A25229">
              <w:rPr>
                <w:rFonts w:hint="cs"/>
                <w:sz w:val="18"/>
                <w:szCs w:val="18"/>
              </w:rPr>
              <w:instrText>CY</w:instrText>
            </w:r>
            <w:r>
              <w:rPr>
                <w:sz w:val="18"/>
                <w:szCs w:val="18"/>
              </w:rPr>
              <w:instrText>-1</w:instrText>
            </w:r>
            <w:r w:rsidRPr="00A25229">
              <w:rPr>
                <w:rFonts w:hint="cs"/>
                <w:sz w:val="18"/>
                <w:szCs w:val="18"/>
              </w:rPr>
              <w:instrText xml:space="preserve"> \* MERGEFORMAT</w:instrText>
            </w:r>
            <w:r w:rsidRPr="00A25229">
              <w:rPr>
                <w:sz w:val="18"/>
                <w:szCs w:val="18"/>
                <w:rtl/>
              </w:rPr>
              <w:instrText xml:space="preserve"> </w:instrText>
            </w:r>
            <w:r w:rsidRPr="00A25229">
              <w:rPr>
                <w:sz w:val="18"/>
                <w:szCs w:val="18"/>
                <w:rtl/>
              </w:rPr>
              <w:fldChar w:fldCharType="separate"/>
            </w:r>
            <w:r>
              <w:rPr>
                <w:noProof/>
                <w:sz w:val="18"/>
                <w:szCs w:val="18"/>
                <w:rtl/>
              </w:rPr>
              <w:t>2023</w:t>
            </w:r>
            <w:r w:rsidRPr="00A25229">
              <w:rPr>
                <w:sz w:val="18"/>
                <w:szCs w:val="18"/>
                <w:rtl/>
              </w:rPr>
              <w:fldChar w:fldCharType="end"/>
            </w:r>
            <w:r w:rsidRPr="00A25229">
              <w:rPr>
                <w:rFonts w:hint="cs"/>
                <w:sz w:val="18"/>
                <w:szCs w:val="18"/>
                <w:rtl/>
              </w:rPr>
              <w:t xml:space="preserve"> </w:t>
            </w:r>
            <w:r w:rsidRPr="00A440BC">
              <w:rPr>
                <w:rFonts w:hint="cs"/>
                <w:b w:val="0"/>
                <w:bCs w:val="0"/>
                <w:sz w:val="18"/>
                <w:szCs w:val="18"/>
                <w:rtl/>
              </w:rPr>
              <w:t>(מבוקר)</w:t>
            </w:r>
          </w:p>
        </w:tc>
      </w:tr>
      <w:tr w:rsidR="00C810A5" w:rsidRPr="00511159" w14:paraId="525CF989" w14:textId="77777777" w:rsidTr="00320C27">
        <w:trPr>
          <w:trHeight w:val="259"/>
        </w:trPr>
        <w:tc>
          <w:tcPr>
            <w:tcW w:w="1417" w:type="dxa"/>
          </w:tcPr>
          <w:p w14:paraId="0CD6A228" w14:textId="77777777" w:rsidR="00C810A5" w:rsidRPr="00511159" w:rsidRDefault="00C810A5" w:rsidP="00400DD1">
            <w:pPr>
              <w:pStyle w:val="-7"/>
              <w:rPr>
                <w:sz w:val="18"/>
                <w:szCs w:val="18"/>
                <w:rtl/>
              </w:rPr>
            </w:pPr>
          </w:p>
        </w:tc>
        <w:tc>
          <w:tcPr>
            <w:tcW w:w="2976" w:type="dxa"/>
            <w:shd w:val="clear" w:color="auto" w:fill="auto"/>
            <w:vAlign w:val="bottom"/>
          </w:tcPr>
          <w:p w14:paraId="1ED340DE" w14:textId="77777777" w:rsidR="00C810A5" w:rsidRPr="00511159" w:rsidRDefault="00C810A5" w:rsidP="00400DD1">
            <w:pPr>
              <w:pStyle w:val="-7"/>
              <w:rPr>
                <w:sz w:val="18"/>
                <w:szCs w:val="18"/>
                <w:rtl/>
              </w:rPr>
            </w:pPr>
          </w:p>
        </w:tc>
        <w:tc>
          <w:tcPr>
            <w:tcW w:w="3119" w:type="dxa"/>
            <w:gridSpan w:val="3"/>
            <w:vAlign w:val="bottom"/>
          </w:tcPr>
          <w:p w14:paraId="296C45EA" w14:textId="77777777" w:rsidR="00C810A5" w:rsidRPr="00511159" w:rsidRDefault="00C810A5" w:rsidP="00400DD1">
            <w:pPr>
              <w:pStyle w:val="-4"/>
              <w:rPr>
                <w:sz w:val="18"/>
                <w:szCs w:val="18"/>
                <w:rtl/>
              </w:rPr>
            </w:pPr>
            <w:r w:rsidRPr="00511159">
              <w:rPr>
                <w:rFonts w:hint="cs"/>
                <w:sz w:val="18"/>
                <w:szCs w:val="18"/>
                <w:rtl/>
              </w:rPr>
              <w:t>מדידות שווי הוגן המשתמשות ב:</w:t>
            </w:r>
          </w:p>
        </w:tc>
        <w:tc>
          <w:tcPr>
            <w:tcW w:w="850" w:type="dxa"/>
            <w:vAlign w:val="bottom"/>
          </w:tcPr>
          <w:p w14:paraId="39C2DD80" w14:textId="77777777" w:rsidR="00C810A5" w:rsidRPr="00511159" w:rsidRDefault="00C810A5" w:rsidP="00400DD1">
            <w:pPr>
              <w:pStyle w:val="-7"/>
              <w:rPr>
                <w:sz w:val="18"/>
                <w:szCs w:val="18"/>
                <w:rtl/>
              </w:rPr>
            </w:pPr>
          </w:p>
        </w:tc>
        <w:tc>
          <w:tcPr>
            <w:tcW w:w="1275" w:type="dxa"/>
            <w:vAlign w:val="bottom"/>
          </w:tcPr>
          <w:p w14:paraId="03B859E3" w14:textId="77777777" w:rsidR="00C810A5" w:rsidRPr="00511159" w:rsidRDefault="00C810A5" w:rsidP="00400DD1">
            <w:pPr>
              <w:pStyle w:val="-7"/>
              <w:rPr>
                <w:sz w:val="18"/>
                <w:szCs w:val="18"/>
                <w:rtl/>
              </w:rPr>
            </w:pPr>
          </w:p>
        </w:tc>
      </w:tr>
      <w:tr w:rsidR="00C810A5" w:rsidRPr="00511159" w14:paraId="349ABB87" w14:textId="77777777" w:rsidTr="00320C27">
        <w:trPr>
          <w:trHeight w:val="259"/>
        </w:trPr>
        <w:tc>
          <w:tcPr>
            <w:tcW w:w="1417" w:type="dxa"/>
          </w:tcPr>
          <w:p w14:paraId="53DDCCB8" w14:textId="77777777" w:rsidR="00C810A5" w:rsidRPr="00511159" w:rsidRDefault="00C810A5" w:rsidP="00400DD1">
            <w:pPr>
              <w:pStyle w:val="-fa"/>
              <w:rPr>
                <w:sz w:val="18"/>
                <w:szCs w:val="18"/>
                <w:rtl/>
              </w:rPr>
            </w:pPr>
          </w:p>
        </w:tc>
        <w:tc>
          <w:tcPr>
            <w:tcW w:w="2976" w:type="dxa"/>
            <w:shd w:val="clear" w:color="auto" w:fill="auto"/>
            <w:vAlign w:val="bottom"/>
          </w:tcPr>
          <w:p w14:paraId="44889FCA" w14:textId="77777777" w:rsidR="00C810A5" w:rsidRPr="00511159" w:rsidRDefault="00C810A5" w:rsidP="00400DD1">
            <w:pPr>
              <w:pStyle w:val="af5"/>
              <w:rPr>
                <w:sz w:val="18"/>
                <w:szCs w:val="18"/>
                <w:rtl/>
              </w:rPr>
            </w:pPr>
          </w:p>
        </w:tc>
        <w:tc>
          <w:tcPr>
            <w:tcW w:w="993" w:type="dxa"/>
            <w:vAlign w:val="bottom"/>
          </w:tcPr>
          <w:p w14:paraId="4866F1F5"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מחירים מצוטטים בשוק פעיל</w:t>
            </w:r>
          </w:p>
          <w:p w14:paraId="305D1B39"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(רמה 1)</w:t>
            </w:r>
          </w:p>
        </w:tc>
        <w:tc>
          <w:tcPr>
            <w:tcW w:w="1134" w:type="dxa"/>
            <w:vAlign w:val="bottom"/>
          </w:tcPr>
          <w:p w14:paraId="7EEA1DAA" w14:textId="77777777" w:rsidR="00C810A5" w:rsidRPr="00511159" w:rsidRDefault="00C810A5" w:rsidP="00400DD1">
            <w:pPr>
              <w:pStyle w:val="-4"/>
              <w:pBdr>
                <w:bottom w:val="none" w:sz="0" w:space="0" w:color="auto"/>
              </w:pBdr>
              <w:spacing w:line="240" w:lineRule="auto"/>
              <w:ind w:left="-72" w:right="-72"/>
              <w:rPr>
                <w:sz w:val="18"/>
                <w:szCs w:val="18"/>
                <w:rtl/>
              </w:rPr>
            </w:pPr>
            <w:r w:rsidRPr="00511159">
              <w:rPr>
                <w:rFonts w:hint="cs"/>
                <w:sz w:val="18"/>
                <w:szCs w:val="18"/>
                <w:rtl/>
              </w:rPr>
              <w:t>נתונים נצפים משמעותיים אחרים</w:t>
            </w:r>
          </w:p>
          <w:p w14:paraId="7680F94B"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(רמה 2)</w:t>
            </w:r>
          </w:p>
        </w:tc>
        <w:tc>
          <w:tcPr>
            <w:tcW w:w="992" w:type="dxa"/>
            <w:vAlign w:val="bottom"/>
          </w:tcPr>
          <w:p w14:paraId="4CE899DF" w14:textId="77777777" w:rsidR="00C810A5" w:rsidRPr="00511159" w:rsidRDefault="00C810A5" w:rsidP="00400DD1">
            <w:pPr>
              <w:pStyle w:val="-4"/>
              <w:pBdr>
                <w:bottom w:val="none" w:sz="0" w:space="0" w:color="auto"/>
              </w:pBdr>
              <w:spacing w:line="240" w:lineRule="auto"/>
              <w:ind w:left="-72" w:right="-72"/>
              <w:rPr>
                <w:sz w:val="18"/>
                <w:szCs w:val="18"/>
                <w:rtl/>
              </w:rPr>
            </w:pPr>
            <w:r w:rsidRPr="00511159">
              <w:rPr>
                <w:rFonts w:hint="cs"/>
                <w:sz w:val="18"/>
                <w:szCs w:val="18"/>
                <w:rtl/>
              </w:rPr>
              <w:t>נתונים</w:t>
            </w:r>
          </w:p>
          <w:p w14:paraId="1263E1F2" w14:textId="77777777" w:rsidR="00C810A5" w:rsidRPr="00511159" w:rsidRDefault="00C810A5" w:rsidP="00400DD1">
            <w:pPr>
              <w:pStyle w:val="-4"/>
              <w:pBdr>
                <w:bottom w:val="none" w:sz="0" w:space="0" w:color="auto"/>
              </w:pBdr>
              <w:spacing w:line="240" w:lineRule="auto"/>
              <w:ind w:left="-72" w:right="-72"/>
              <w:rPr>
                <w:sz w:val="18"/>
                <w:szCs w:val="18"/>
                <w:rtl/>
              </w:rPr>
            </w:pPr>
            <w:r w:rsidRPr="00511159">
              <w:rPr>
                <w:rFonts w:hint="cs"/>
                <w:sz w:val="18"/>
                <w:szCs w:val="18"/>
                <w:rtl/>
              </w:rPr>
              <w:t>לא נצפים משמעותיים</w:t>
            </w:r>
          </w:p>
          <w:p w14:paraId="1CDFC3E7"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(רמה 3)</w:t>
            </w:r>
          </w:p>
        </w:tc>
        <w:tc>
          <w:tcPr>
            <w:tcW w:w="850" w:type="dxa"/>
            <w:vAlign w:val="bottom"/>
          </w:tcPr>
          <w:p w14:paraId="4F6B373B"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סך הכל שווי הוגן</w:t>
            </w:r>
          </w:p>
        </w:tc>
        <w:tc>
          <w:tcPr>
            <w:tcW w:w="1275" w:type="dxa"/>
            <w:vAlign w:val="bottom"/>
          </w:tcPr>
          <w:p w14:paraId="5F32A2C1" w14:textId="77777777" w:rsidR="00C810A5" w:rsidRPr="00511159" w:rsidRDefault="00C810A5" w:rsidP="00400DD1">
            <w:pPr>
              <w:pStyle w:val="-4"/>
              <w:pBdr>
                <w:bottom w:val="single" w:sz="4" w:space="1" w:color="auto"/>
              </w:pBdr>
              <w:spacing w:line="240" w:lineRule="auto"/>
              <w:rPr>
                <w:sz w:val="18"/>
                <w:szCs w:val="18"/>
                <w:rtl/>
              </w:rPr>
            </w:pPr>
            <w:r w:rsidRPr="00511159">
              <w:rPr>
                <w:rFonts w:hint="cs"/>
                <w:sz w:val="18"/>
                <w:szCs w:val="18"/>
                <w:rtl/>
              </w:rPr>
              <w:t>סך הכל רווחים (הפסדים) לתקופה</w:t>
            </w:r>
          </w:p>
        </w:tc>
      </w:tr>
      <w:tr w:rsidR="00C810A5" w:rsidRPr="00511159" w14:paraId="63093DC4" w14:textId="77777777" w:rsidTr="00320C27">
        <w:trPr>
          <w:trHeight w:val="56"/>
        </w:trPr>
        <w:tc>
          <w:tcPr>
            <w:tcW w:w="1417" w:type="dxa"/>
          </w:tcPr>
          <w:p w14:paraId="2F18F5B9" w14:textId="77777777" w:rsidR="00C810A5" w:rsidRPr="00511159" w:rsidRDefault="00C810A5" w:rsidP="00400DD1">
            <w:pPr>
              <w:pStyle w:val="-0"/>
              <w:rPr>
                <w:sz w:val="18"/>
                <w:szCs w:val="18"/>
                <w:rtl/>
              </w:rPr>
            </w:pPr>
          </w:p>
        </w:tc>
        <w:tc>
          <w:tcPr>
            <w:tcW w:w="2976" w:type="dxa"/>
            <w:shd w:val="clear" w:color="auto" w:fill="auto"/>
            <w:vAlign w:val="bottom"/>
          </w:tcPr>
          <w:p w14:paraId="2DF845FC" w14:textId="77777777" w:rsidR="00C810A5" w:rsidRPr="00511159" w:rsidRDefault="00C810A5" w:rsidP="00400DD1">
            <w:pPr>
              <w:pStyle w:val="-f"/>
              <w:rPr>
                <w:sz w:val="18"/>
                <w:szCs w:val="18"/>
                <w:rtl/>
              </w:rPr>
            </w:pPr>
            <w:r w:rsidRPr="00511159">
              <w:rPr>
                <w:rFonts w:hint="cs"/>
                <w:sz w:val="18"/>
                <w:szCs w:val="18"/>
                <w:rtl/>
              </w:rPr>
              <w:t>נכסים</w:t>
            </w:r>
            <w:r w:rsidRPr="00511159">
              <w:rPr>
                <w:sz w:val="18"/>
                <w:szCs w:val="18"/>
                <w:rtl/>
              </w:rPr>
              <w:t xml:space="preserve"> </w:t>
            </w:r>
          </w:p>
        </w:tc>
        <w:tc>
          <w:tcPr>
            <w:tcW w:w="993" w:type="dxa"/>
            <w:vAlign w:val="bottom"/>
          </w:tcPr>
          <w:p w14:paraId="28A1A8B1" w14:textId="77777777" w:rsidR="00C810A5" w:rsidRPr="00511159" w:rsidRDefault="00C810A5" w:rsidP="00400DD1">
            <w:pPr>
              <w:pStyle w:val="-7"/>
              <w:rPr>
                <w:sz w:val="18"/>
                <w:szCs w:val="18"/>
                <w:rtl/>
              </w:rPr>
            </w:pPr>
          </w:p>
        </w:tc>
        <w:tc>
          <w:tcPr>
            <w:tcW w:w="1134" w:type="dxa"/>
            <w:vAlign w:val="bottom"/>
          </w:tcPr>
          <w:p w14:paraId="5CD16777" w14:textId="77777777" w:rsidR="00C810A5" w:rsidRPr="00511159" w:rsidRDefault="00C810A5" w:rsidP="00400DD1">
            <w:pPr>
              <w:pStyle w:val="-7"/>
              <w:rPr>
                <w:sz w:val="18"/>
                <w:szCs w:val="18"/>
                <w:rtl/>
              </w:rPr>
            </w:pPr>
          </w:p>
        </w:tc>
        <w:tc>
          <w:tcPr>
            <w:tcW w:w="992" w:type="dxa"/>
            <w:vAlign w:val="bottom"/>
          </w:tcPr>
          <w:p w14:paraId="687B1FE9" w14:textId="77777777" w:rsidR="00C810A5" w:rsidRPr="00511159" w:rsidRDefault="00C810A5" w:rsidP="00400DD1">
            <w:pPr>
              <w:pStyle w:val="-7"/>
              <w:rPr>
                <w:sz w:val="18"/>
                <w:szCs w:val="18"/>
                <w:rtl/>
              </w:rPr>
            </w:pPr>
          </w:p>
        </w:tc>
        <w:tc>
          <w:tcPr>
            <w:tcW w:w="850" w:type="dxa"/>
            <w:vAlign w:val="bottom"/>
          </w:tcPr>
          <w:p w14:paraId="56842C1F" w14:textId="77777777" w:rsidR="00C810A5" w:rsidRPr="00511159" w:rsidRDefault="00C810A5" w:rsidP="00400DD1">
            <w:pPr>
              <w:pStyle w:val="-7"/>
              <w:rPr>
                <w:sz w:val="18"/>
                <w:szCs w:val="18"/>
              </w:rPr>
            </w:pPr>
          </w:p>
        </w:tc>
        <w:tc>
          <w:tcPr>
            <w:tcW w:w="1275" w:type="dxa"/>
            <w:shd w:val="clear" w:color="auto" w:fill="FFFFFF"/>
            <w:vAlign w:val="bottom"/>
          </w:tcPr>
          <w:p w14:paraId="279D927B" w14:textId="77777777" w:rsidR="00C810A5" w:rsidRPr="00511159" w:rsidRDefault="00C810A5" w:rsidP="00400DD1">
            <w:pPr>
              <w:pStyle w:val="-7"/>
              <w:rPr>
                <w:sz w:val="18"/>
                <w:szCs w:val="18"/>
                <w:rtl/>
              </w:rPr>
            </w:pPr>
          </w:p>
        </w:tc>
      </w:tr>
      <w:tr w:rsidR="00C810A5" w:rsidRPr="00511159" w14:paraId="0C18F06C" w14:textId="77777777" w:rsidTr="00320C27">
        <w:trPr>
          <w:trHeight w:val="259"/>
        </w:trPr>
        <w:tc>
          <w:tcPr>
            <w:tcW w:w="1417" w:type="dxa"/>
          </w:tcPr>
          <w:p w14:paraId="7493742C" w14:textId="77777777" w:rsidR="00C810A5" w:rsidRPr="00511159" w:rsidRDefault="00C810A5" w:rsidP="00400DD1">
            <w:pPr>
              <w:pStyle w:val="-0"/>
              <w:rPr>
                <w:sz w:val="18"/>
                <w:szCs w:val="18"/>
                <w:rtl/>
              </w:rPr>
            </w:pPr>
          </w:p>
        </w:tc>
        <w:tc>
          <w:tcPr>
            <w:tcW w:w="2976" w:type="dxa"/>
            <w:shd w:val="clear" w:color="auto" w:fill="auto"/>
            <w:vAlign w:val="bottom"/>
          </w:tcPr>
          <w:p w14:paraId="48B3C00D" w14:textId="77777777" w:rsidR="00C810A5" w:rsidRPr="00511159" w:rsidRDefault="00C810A5" w:rsidP="00400DD1">
            <w:pPr>
              <w:pStyle w:val="-f"/>
              <w:rPr>
                <w:sz w:val="18"/>
                <w:szCs w:val="18"/>
                <w:u w:val="none"/>
                <w:rtl/>
              </w:rPr>
            </w:pPr>
            <w:r w:rsidRPr="00511159">
              <w:rPr>
                <w:rFonts w:hint="cs"/>
                <w:b w:val="0"/>
                <w:bCs w:val="0"/>
                <w:sz w:val="18"/>
                <w:szCs w:val="18"/>
                <w:u w:val="none"/>
                <w:rtl/>
              </w:rPr>
              <w:t>אשראי בעייתי שגבייתו מותנית בביטחון</w:t>
            </w:r>
          </w:p>
        </w:tc>
        <w:tc>
          <w:tcPr>
            <w:tcW w:w="993" w:type="dxa"/>
            <w:vAlign w:val="bottom"/>
          </w:tcPr>
          <w:p w14:paraId="32DB8EE3" w14:textId="77777777" w:rsidR="00C810A5" w:rsidRPr="00511159" w:rsidRDefault="00C810A5" w:rsidP="00400DD1">
            <w:pPr>
              <w:pStyle w:val="-7"/>
              <w:rPr>
                <w:sz w:val="18"/>
                <w:szCs w:val="18"/>
                <w:rtl/>
              </w:rPr>
            </w:pPr>
            <w:r w:rsidRPr="00511159">
              <w:rPr>
                <w:rFonts w:hint="cs"/>
                <w:sz w:val="18"/>
                <w:szCs w:val="18"/>
                <w:rtl/>
              </w:rPr>
              <w:t xml:space="preserve"> -</w:t>
            </w:r>
          </w:p>
        </w:tc>
        <w:tc>
          <w:tcPr>
            <w:tcW w:w="1134" w:type="dxa"/>
            <w:vAlign w:val="bottom"/>
          </w:tcPr>
          <w:p w14:paraId="2C055DFA" w14:textId="77777777" w:rsidR="00C810A5" w:rsidRPr="00511159" w:rsidRDefault="00C810A5" w:rsidP="00400DD1">
            <w:pPr>
              <w:pStyle w:val="-7"/>
              <w:rPr>
                <w:sz w:val="18"/>
                <w:szCs w:val="18"/>
                <w:rtl/>
              </w:rPr>
            </w:pPr>
            <w:r w:rsidRPr="00511159">
              <w:rPr>
                <w:rFonts w:hint="cs"/>
                <w:sz w:val="18"/>
                <w:szCs w:val="18"/>
                <w:rtl/>
              </w:rPr>
              <w:t xml:space="preserve"> -</w:t>
            </w:r>
          </w:p>
        </w:tc>
        <w:tc>
          <w:tcPr>
            <w:tcW w:w="992" w:type="dxa"/>
            <w:vAlign w:val="bottom"/>
          </w:tcPr>
          <w:p w14:paraId="64F30C8C" w14:textId="77777777" w:rsidR="00C810A5" w:rsidRPr="00511159" w:rsidRDefault="00C810A5" w:rsidP="00400DD1">
            <w:pPr>
              <w:pStyle w:val="-7"/>
              <w:rPr>
                <w:sz w:val="18"/>
                <w:szCs w:val="18"/>
                <w:rtl/>
              </w:rPr>
            </w:pPr>
            <w:r w:rsidRPr="00511159">
              <w:rPr>
                <w:rFonts w:hint="cs"/>
                <w:sz w:val="18"/>
                <w:szCs w:val="18"/>
                <w:rtl/>
              </w:rPr>
              <w:t xml:space="preserve"> 0</w:t>
            </w:r>
          </w:p>
        </w:tc>
        <w:tc>
          <w:tcPr>
            <w:tcW w:w="850" w:type="dxa"/>
            <w:vAlign w:val="bottom"/>
          </w:tcPr>
          <w:p w14:paraId="5B3530B2" w14:textId="77777777" w:rsidR="00C810A5" w:rsidRPr="00511159" w:rsidRDefault="00C810A5" w:rsidP="00400DD1">
            <w:pPr>
              <w:pStyle w:val="-7"/>
              <w:rPr>
                <w:sz w:val="18"/>
                <w:szCs w:val="18"/>
              </w:rPr>
            </w:pPr>
            <w:r w:rsidRPr="00511159">
              <w:rPr>
                <w:rFonts w:hint="cs"/>
                <w:b/>
                <w:bCs/>
                <w:sz w:val="18"/>
                <w:szCs w:val="18"/>
                <w:rtl/>
              </w:rPr>
              <w:t xml:space="preserve"> </w:t>
            </w:r>
            <w:r w:rsidRPr="00511159">
              <w:rPr>
                <w:rFonts w:hint="cs"/>
                <w:sz w:val="18"/>
                <w:szCs w:val="18"/>
                <w:rtl/>
              </w:rPr>
              <w:t>0</w:t>
            </w:r>
          </w:p>
        </w:tc>
        <w:tc>
          <w:tcPr>
            <w:tcW w:w="1275" w:type="dxa"/>
            <w:vAlign w:val="bottom"/>
          </w:tcPr>
          <w:p w14:paraId="229A14B4" w14:textId="77777777" w:rsidR="00C810A5" w:rsidRPr="00511159" w:rsidRDefault="00C810A5" w:rsidP="00400DD1">
            <w:pPr>
              <w:pStyle w:val="-7"/>
              <w:rPr>
                <w:sz w:val="18"/>
                <w:szCs w:val="18"/>
                <w:rtl/>
              </w:rPr>
            </w:pPr>
            <w:r w:rsidRPr="00511159">
              <w:rPr>
                <w:rFonts w:hint="cs"/>
                <w:b/>
                <w:bCs/>
                <w:sz w:val="18"/>
                <w:szCs w:val="18"/>
                <w:rtl/>
              </w:rPr>
              <w:t xml:space="preserve"> </w:t>
            </w:r>
            <w:r w:rsidRPr="00511159">
              <w:rPr>
                <w:rFonts w:hint="cs"/>
                <w:sz w:val="18"/>
                <w:szCs w:val="18"/>
                <w:rtl/>
              </w:rPr>
              <w:t>0</w:t>
            </w:r>
          </w:p>
        </w:tc>
      </w:tr>
      <w:tr w:rsidR="00C810A5" w:rsidRPr="00511159" w14:paraId="7C32F638" w14:textId="77777777" w:rsidTr="00320C27">
        <w:trPr>
          <w:trHeight w:val="259"/>
        </w:trPr>
        <w:tc>
          <w:tcPr>
            <w:tcW w:w="1417" w:type="dxa"/>
          </w:tcPr>
          <w:p w14:paraId="33CC0719" w14:textId="77777777" w:rsidR="00C810A5" w:rsidRPr="00511159" w:rsidRDefault="00C810A5" w:rsidP="00400DD1">
            <w:pPr>
              <w:pStyle w:val="-0"/>
              <w:spacing w:before="100" w:line="240" w:lineRule="auto"/>
              <w:ind w:left="142" w:hanging="142"/>
              <w:rPr>
                <w:sz w:val="18"/>
                <w:szCs w:val="18"/>
                <w:rtl/>
              </w:rPr>
            </w:pPr>
          </w:p>
        </w:tc>
        <w:tc>
          <w:tcPr>
            <w:tcW w:w="2976" w:type="dxa"/>
            <w:shd w:val="clear" w:color="auto" w:fill="auto"/>
            <w:vAlign w:val="bottom"/>
          </w:tcPr>
          <w:p w14:paraId="6A077EB8" w14:textId="015F7624" w:rsidR="00C810A5" w:rsidRPr="00511159" w:rsidRDefault="00C810A5" w:rsidP="00400DD1">
            <w:pPr>
              <w:pStyle w:val="-b"/>
              <w:spacing w:before="40" w:line="240" w:lineRule="exact"/>
              <w:ind w:left="142" w:hanging="142"/>
              <w:rPr>
                <w:b w:val="0"/>
                <w:bCs w:val="0"/>
                <w:sz w:val="18"/>
                <w:szCs w:val="18"/>
                <w:rtl/>
              </w:rPr>
            </w:pPr>
            <w:r>
              <w:rPr>
                <w:rFonts w:hint="cs"/>
                <w:b w:val="0"/>
                <w:bCs w:val="0"/>
                <w:sz w:val="18"/>
                <w:szCs w:val="18"/>
                <w:rtl/>
              </w:rPr>
              <w:t>מניות שאינן למסחר</w:t>
            </w:r>
          </w:p>
        </w:tc>
        <w:tc>
          <w:tcPr>
            <w:tcW w:w="993" w:type="dxa"/>
            <w:vAlign w:val="bottom"/>
          </w:tcPr>
          <w:p w14:paraId="3C9539BA" w14:textId="77777777" w:rsidR="00C810A5" w:rsidRPr="00511159" w:rsidRDefault="00C810A5" w:rsidP="00400DD1">
            <w:pPr>
              <w:pStyle w:val="-3"/>
              <w:rPr>
                <w:sz w:val="18"/>
                <w:szCs w:val="18"/>
                <w:rtl/>
              </w:rPr>
            </w:pPr>
            <w:r w:rsidRPr="00511159">
              <w:rPr>
                <w:rFonts w:hint="cs"/>
                <w:sz w:val="18"/>
                <w:szCs w:val="18"/>
                <w:rtl/>
              </w:rPr>
              <w:t xml:space="preserve"> -</w:t>
            </w:r>
          </w:p>
        </w:tc>
        <w:tc>
          <w:tcPr>
            <w:tcW w:w="1134" w:type="dxa"/>
            <w:vAlign w:val="bottom"/>
          </w:tcPr>
          <w:p w14:paraId="43D46917" w14:textId="77777777" w:rsidR="00C810A5" w:rsidRPr="00511159" w:rsidRDefault="00C810A5" w:rsidP="00400DD1">
            <w:pPr>
              <w:pStyle w:val="-3"/>
              <w:rPr>
                <w:sz w:val="18"/>
                <w:szCs w:val="18"/>
                <w:rtl/>
              </w:rPr>
            </w:pPr>
            <w:r w:rsidRPr="00511159">
              <w:rPr>
                <w:rFonts w:hint="cs"/>
                <w:sz w:val="18"/>
                <w:szCs w:val="18"/>
                <w:rtl/>
              </w:rPr>
              <w:t xml:space="preserve"> -</w:t>
            </w:r>
          </w:p>
        </w:tc>
        <w:tc>
          <w:tcPr>
            <w:tcW w:w="992" w:type="dxa"/>
            <w:vAlign w:val="bottom"/>
          </w:tcPr>
          <w:p w14:paraId="46D06D00" w14:textId="77777777" w:rsidR="00C810A5" w:rsidRPr="00511159" w:rsidRDefault="00C810A5" w:rsidP="00400DD1">
            <w:pPr>
              <w:pStyle w:val="-3"/>
              <w:rPr>
                <w:sz w:val="18"/>
                <w:szCs w:val="18"/>
                <w:rtl/>
              </w:rPr>
            </w:pPr>
            <w:r w:rsidRPr="00511159">
              <w:rPr>
                <w:rFonts w:hint="cs"/>
                <w:sz w:val="18"/>
                <w:szCs w:val="18"/>
                <w:rtl/>
              </w:rPr>
              <w:t xml:space="preserve"> 0</w:t>
            </w:r>
          </w:p>
        </w:tc>
        <w:tc>
          <w:tcPr>
            <w:tcW w:w="850" w:type="dxa"/>
            <w:vAlign w:val="bottom"/>
          </w:tcPr>
          <w:p w14:paraId="44F26414" w14:textId="77777777" w:rsidR="00C810A5" w:rsidRPr="00511159" w:rsidRDefault="00C810A5" w:rsidP="00400DD1">
            <w:pPr>
              <w:pStyle w:val="-0"/>
              <w:rPr>
                <w:b/>
                <w:bCs/>
                <w:sz w:val="18"/>
                <w:szCs w:val="18"/>
                <w:rtl/>
              </w:rPr>
            </w:pPr>
            <w:r w:rsidRPr="00511159">
              <w:rPr>
                <w:rFonts w:hint="cs"/>
                <w:b/>
                <w:bCs/>
                <w:sz w:val="18"/>
                <w:szCs w:val="18"/>
                <w:rtl/>
              </w:rPr>
              <w:t xml:space="preserve"> </w:t>
            </w:r>
            <w:r w:rsidRPr="00511159">
              <w:rPr>
                <w:rFonts w:hint="cs"/>
                <w:sz w:val="18"/>
                <w:szCs w:val="18"/>
                <w:rtl/>
              </w:rPr>
              <w:t>0</w:t>
            </w:r>
          </w:p>
        </w:tc>
        <w:tc>
          <w:tcPr>
            <w:tcW w:w="1275" w:type="dxa"/>
            <w:vAlign w:val="bottom"/>
          </w:tcPr>
          <w:p w14:paraId="21F62D42" w14:textId="77777777" w:rsidR="00C810A5" w:rsidRPr="00511159" w:rsidRDefault="00C810A5" w:rsidP="00400DD1">
            <w:pPr>
              <w:pStyle w:val="-3"/>
              <w:rPr>
                <w:sz w:val="18"/>
                <w:szCs w:val="18"/>
                <w:rtl/>
              </w:rPr>
            </w:pPr>
            <w:r w:rsidRPr="00511159">
              <w:rPr>
                <w:rFonts w:hint="cs"/>
                <w:b/>
                <w:bCs/>
                <w:sz w:val="18"/>
                <w:szCs w:val="18"/>
                <w:rtl/>
              </w:rPr>
              <w:t xml:space="preserve"> </w:t>
            </w:r>
            <w:r w:rsidRPr="00511159">
              <w:rPr>
                <w:rFonts w:hint="cs"/>
                <w:sz w:val="18"/>
                <w:szCs w:val="18"/>
                <w:rtl/>
              </w:rPr>
              <w:t>0</w:t>
            </w:r>
          </w:p>
        </w:tc>
      </w:tr>
      <w:tr w:rsidR="00C810A5" w:rsidRPr="00511159" w14:paraId="143134E4" w14:textId="77777777" w:rsidTr="00320C27">
        <w:trPr>
          <w:trHeight w:val="259"/>
        </w:trPr>
        <w:tc>
          <w:tcPr>
            <w:tcW w:w="1417" w:type="dxa"/>
          </w:tcPr>
          <w:p w14:paraId="4A1CB9DB" w14:textId="77777777" w:rsidR="00C810A5" w:rsidRPr="00511159" w:rsidRDefault="00C810A5" w:rsidP="00400DD1">
            <w:pPr>
              <w:pStyle w:val="-0"/>
              <w:spacing w:before="60" w:line="240" w:lineRule="auto"/>
              <w:ind w:left="142" w:hanging="142"/>
              <w:rPr>
                <w:sz w:val="18"/>
                <w:szCs w:val="18"/>
                <w:rtl/>
              </w:rPr>
            </w:pPr>
          </w:p>
        </w:tc>
        <w:tc>
          <w:tcPr>
            <w:tcW w:w="2976" w:type="dxa"/>
            <w:tcBorders>
              <w:left w:val="nil"/>
            </w:tcBorders>
            <w:shd w:val="clear" w:color="auto" w:fill="auto"/>
            <w:vAlign w:val="bottom"/>
          </w:tcPr>
          <w:p w14:paraId="2C998D5A" w14:textId="77777777" w:rsidR="00C810A5" w:rsidRPr="00511159" w:rsidRDefault="00C810A5" w:rsidP="00400DD1">
            <w:pPr>
              <w:pStyle w:val="-b"/>
              <w:spacing w:before="40" w:line="240" w:lineRule="exact"/>
              <w:ind w:left="142" w:hanging="142"/>
              <w:rPr>
                <w:b w:val="0"/>
                <w:bCs w:val="0"/>
                <w:sz w:val="18"/>
                <w:szCs w:val="18"/>
                <w:rtl/>
              </w:rPr>
            </w:pPr>
            <w:r w:rsidRPr="00511159">
              <w:rPr>
                <w:rFonts w:hint="cs"/>
                <w:b w:val="0"/>
                <w:bCs w:val="0"/>
                <w:sz w:val="18"/>
                <w:szCs w:val="18"/>
                <w:rtl/>
              </w:rPr>
              <w:t>אחרים [פרט אם מהותי]</w:t>
            </w:r>
          </w:p>
        </w:tc>
        <w:tc>
          <w:tcPr>
            <w:tcW w:w="993" w:type="dxa"/>
            <w:vAlign w:val="bottom"/>
          </w:tcPr>
          <w:p w14:paraId="19D07AB5" w14:textId="77777777" w:rsidR="00C810A5" w:rsidRPr="00511159" w:rsidRDefault="00C810A5" w:rsidP="00400DD1">
            <w:pPr>
              <w:pStyle w:val="-3"/>
              <w:rPr>
                <w:sz w:val="18"/>
                <w:szCs w:val="18"/>
                <w:rtl/>
              </w:rPr>
            </w:pPr>
            <w:r w:rsidRPr="00511159">
              <w:rPr>
                <w:rFonts w:hint="cs"/>
                <w:sz w:val="18"/>
                <w:szCs w:val="18"/>
                <w:rtl/>
              </w:rPr>
              <w:t xml:space="preserve"> -</w:t>
            </w:r>
          </w:p>
        </w:tc>
        <w:tc>
          <w:tcPr>
            <w:tcW w:w="1134" w:type="dxa"/>
            <w:vAlign w:val="bottom"/>
          </w:tcPr>
          <w:p w14:paraId="6E003064" w14:textId="77777777" w:rsidR="00C810A5" w:rsidRPr="00511159" w:rsidRDefault="00C810A5" w:rsidP="00400DD1">
            <w:pPr>
              <w:pStyle w:val="-3"/>
              <w:rPr>
                <w:sz w:val="18"/>
                <w:szCs w:val="18"/>
                <w:rtl/>
              </w:rPr>
            </w:pPr>
            <w:r w:rsidRPr="00511159">
              <w:rPr>
                <w:rFonts w:hint="cs"/>
                <w:sz w:val="18"/>
                <w:szCs w:val="18"/>
                <w:rtl/>
              </w:rPr>
              <w:t xml:space="preserve"> -</w:t>
            </w:r>
          </w:p>
        </w:tc>
        <w:tc>
          <w:tcPr>
            <w:tcW w:w="992" w:type="dxa"/>
            <w:vAlign w:val="bottom"/>
          </w:tcPr>
          <w:p w14:paraId="184D66D7" w14:textId="77777777" w:rsidR="00C810A5" w:rsidRPr="00511159" w:rsidRDefault="00C810A5" w:rsidP="00400DD1">
            <w:pPr>
              <w:pStyle w:val="-3"/>
              <w:rPr>
                <w:sz w:val="18"/>
                <w:szCs w:val="18"/>
                <w:rtl/>
              </w:rPr>
            </w:pPr>
            <w:r w:rsidRPr="00511159">
              <w:rPr>
                <w:rFonts w:hint="cs"/>
                <w:sz w:val="18"/>
                <w:szCs w:val="18"/>
                <w:rtl/>
              </w:rPr>
              <w:t xml:space="preserve"> 0</w:t>
            </w:r>
          </w:p>
        </w:tc>
        <w:tc>
          <w:tcPr>
            <w:tcW w:w="850" w:type="dxa"/>
            <w:vAlign w:val="bottom"/>
          </w:tcPr>
          <w:p w14:paraId="6C6EF8FB" w14:textId="77777777" w:rsidR="00C810A5" w:rsidRPr="00511159" w:rsidRDefault="00C810A5" w:rsidP="00400DD1">
            <w:pPr>
              <w:pStyle w:val="-0"/>
              <w:rPr>
                <w:b/>
                <w:bCs/>
                <w:sz w:val="18"/>
                <w:szCs w:val="18"/>
                <w:rtl/>
              </w:rPr>
            </w:pPr>
            <w:r w:rsidRPr="00511159">
              <w:rPr>
                <w:rFonts w:hint="cs"/>
                <w:b/>
                <w:bCs/>
                <w:sz w:val="18"/>
                <w:szCs w:val="18"/>
                <w:rtl/>
              </w:rPr>
              <w:t xml:space="preserve"> </w:t>
            </w:r>
            <w:r w:rsidRPr="00511159">
              <w:rPr>
                <w:rFonts w:hint="cs"/>
                <w:sz w:val="18"/>
                <w:szCs w:val="18"/>
                <w:rtl/>
              </w:rPr>
              <w:t>0</w:t>
            </w:r>
          </w:p>
        </w:tc>
        <w:tc>
          <w:tcPr>
            <w:tcW w:w="1275" w:type="dxa"/>
            <w:vAlign w:val="bottom"/>
          </w:tcPr>
          <w:p w14:paraId="78529BD5" w14:textId="77777777" w:rsidR="00C810A5" w:rsidRPr="00511159" w:rsidRDefault="00C810A5" w:rsidP="00400DD1">
            <w:pPr>
              <w:pStyle w:val="-3"/>
              <w:rPr>
                <w:sz w:val="18"/>
                <w:szCs w:val="18"/>
                <w:rtl/>
              </w:rPr>
            </w:pPr>
            <w:r w:rsidRPr="00511159">
              <w:rPr>
                <w:rFonts w:hint="cs"/>
                <w:b/>
                <w:bCs/>
                <w:sz w:val="18"/>
                <w:szCs w:val="18"/>
                <w:rtl/>
              </w:rPr>
              <w:t xml:space="preserve"> </w:t>
            </w:r>
            <w:r w:rsidRPr="00511159">
              <w:rPr>
                <w:rFonts w:hint="cs"/>
                <w:sz w:val="18"/>
                <w:szCs w:val="18"/>
                <w:rtl/>
              </w:rPr>
              <w:t>0</w:t>
            </w:r>
          </w:p>
        </w:tc>
      </w:tr>
    </w:tbl>
    <w:p w14:paraId="7EF4A326" w14:textId="006C1FD6" w:rsidR="005C5B27" w:rsidRPr="00511159" w:rsidRDefault="005C5B27">
      <w:pPr>
        <w:rPr>
          <w:sz w:val="18"/>
          <w:szCs w:val="18"/>
          <w:rtl/>
        </w:rPr>
      </w:pPr>
    </w:p>
    <w:p w14:paraId="4F0DF81C" w14:textId="77777777" w:rsidR="005C5B27" w:rsidRDefault="005C5B27">
      <w:pPr>
        <w:bidi w:val="0"/>
        <w:jc w:val="left"/>
        <w:rPr>
          <w:rtl/>
        </w:rPr>
      </w:pPr>
      <w:r>
        <w:rPr>
          <w:rtl/>
        </w:rPr>
        <w:br w:type="page"/>
      </w:r>
    </w:p>
    <w:p w14:paraId="34249E0C" w14:textId="77777777" w:rsidR="003D79BF" w:rsidRDefault="003D79BF" w:rsidP="0003283F">
      <w:pPr>
        <w:pStyle w:val="-2"/>
        <w:bidi w:val="0"/>
        <w:spacing w:line="40" w:lineRule="exact"/>
        <w:rPr>
          <w:rtl/>
        </w:rPr>
        <w:sectPr w:rsidR="003D79BF" w:rsidSect="00587121">
          <w:footnotePr>
            <w:numRestart w:val="eachPage"/>
          </w:footnotePr>
          <w:pgSz w:w="11909" w:h="16834" w:code="9"/>
          <w:pgMar w:top="851" w:right="851" w:bottom="851" w:left="851" w:header="720" w:footer="720" w:gutter="0"/>
          <w:cols w:space="720"/>
          <w:bidi/>
          <w:rtlGutter/>
          <w:docGrid w:linePitch="360"/>
        </w:sectPr>
      </w:pPr>
    </w:p>
    <w:tbl>
      <w:tblPr>
        <w:bidiVisual/>
        <w:tblW w:w="641" w:type="pct"/>
        <w:tblInd w:w="-379" w:type="dxa"/>
        <w:tblLook w:val="04A0" w:firstRow="1" w:lastRow="0" w:firstColumn="1" w:lastColumn="0" w:noHBand="0" w:noVBand="1"/>
      </w:tblPr>
      <w:tblGrid>
        <w:gridCol w:w="1940"/>
      </w:tblGrid>
      <w:tr w:rsidR="00520A07" w:rsidRPr="00543C25" w14:paraId="7565A9BC" w14:textId="77777777" w:rsidTr="00D56E75">
        <w:trPr>
          <w:trHeight w:val="259"/>
        </w:trPr>
        <w:tc>
          <w:tcPr>
            <w:tcW w:w="1940" w:type="dxa"/>
          </w:tcPr>
          <w:p w14:paraId="7BCFFE8F" w14:textId="77777777" w:rsidR="00520A07" w:rsidRDefault="00520A07">
            <w:pPr>
              <w:pStyle w:val="-fa"/>
              <w:spacing w:after="40"/>
              <w:rPr>
                <w:rtl/>
              </w:rPr>
            </w:pPr>
            <w:r>
              <w:rPr>
                <w:rFonts w:hint="cs"/>
                <w:rtl/>
              </w:rPr>
              <w:lastRenderedPageBreak/>
              <w:t>ה. המפקח ס' 19(ו)(2)(ג),(ד)</w:t>
            </w:r>
          </w:p>
        </w:tc>
      </w:tr>
    </w:tbl>
    <w:p w14:paraId="648D4BC4" w14:textId="77777777" w:rsidR="00520A07" w:rsidRDefault="00520A07" w:rsidP="00BF2D3B">
      <w:pPr>
        <w:pStyle w:val="5"/>
        <w:ind w:firstLine="1382"/>
      </w:pPr>
      <w:bookmarkStart w:id="57" w:name="_Toc160529236"/>
      <w:r w:rsidRPr="00865418">
        <w:rPr>
          <w:rFonts w:eastAsia="Arial Unicode MS"/>
          <w:rtl/>
        </w:rPr>
        <w:t xml:space="preserve">ביאור </w:t>
      </w:r>
      <w:r>
        <w:rPr>
          <w:rFonts w:eastAsia="Arial Unicode MS" w:hint="cs"/>
          <w:rtl/>
        </w:rPr>
        <w:t>1</w:t>
      </w:r>
      <w:r w:rsidR="005B7C3D">
        <w:rPr>
          <w:rFonts w:eastAsia="Arial Unicode MS" w:hint="cs"/>
          <w:rtl/>
        </w:rPr>
        <w:t>4</w:t>
      </w:r>
      <w:r>
        <w:rPr>
          <w:rFonts w:eastAsia="Arial Unicode MS" w:hint="cs"/>
          <w:rtl/>
        </w:rPr>
        <w:t>ג</w:t>
      </w:r>
      <w:r w:rsidRPr="00865418">
        <w:rPr>
          <w:rFonts w:eastAsia="Arial Unicode MS"/>
          <w:rtl/>
        </w:rPr>
        <w:t xml:space="preserve">  -  </w:t>
      </w:r>
      <w:r w:rsidRPr="00865418">
        <w:rPr>
          <w:rFonts w:hint="eastAsia"/>
          <w:rtl/>
        </w:rPr>
        <w:t>שינויים</w:t>
      </w:r>
      <w:r w:rsidRPr="00865418">
        <w:rPr>
          <w:rtl/>
        </w:rPr>
        <w:t xml:space="preserve"> בפריטים הנמדדים בשווי הוגן על בסיס חוזר ונשנה שנכללו ברמה 3</w:t>
      </w:r>
      <w:r>
        <w:rPr>
          <w:rFonts w:hint="cs"/>
          <w:rtl/>
        </w:rPr>
        <w:t xml:space="preserve"> (במאוחד)</w:t>
      </w:r>
      <w:bookmarkEnd w:id="57"/>
    </w:p>
    <w:p w14:paraId="1BA08C0D" w14:textId="77777777" w:rsidR="00AF7D83" w:rsidRPr="00AD6281" w:rsidRDefault="00AF7D83" w:rsidP="00AF7D83">
      <w:pPr>
        <w:rPr>
          <w:sz w:val="2"/>
          <w:szCs w:val="2"/>
        </w:rPr>
      </w:pPr>
    </w:p>
    <w:tbl>
      <w:tblPr>
        <w:bidiVisual/>
        <w:tblW w:w="5000" w:type="pct"/>
        <w:tblLook w:val="0000" w:firstRow="0" w:lastRow="0" w:firstColumn="0" w:lastColumn="0" w:noHBand="0" w:noVBand="0"/>
      </w:tblPr>
      <w:tblGrid>
        <w:gridCol w:w="1238"/>
        <w:gridCol w:w="13404"/>
        <w:gridCol w:w="490"/>
      </w:tblGrid>
      <w:tr w:rsidR="009567D1" w:rsidRPr="007363C7" w14:paraId="37435C33" w14:textId="77777777" w:rsidTr="00BF2D3B">
        <w:trPr>
          <w:gridAfter w:val="1"/>
          <w:wAfter w:w="162" w:type="pct"/>
          <w:trHeight w:val="245"/>
        </w:trPr>
        <w:tc>
          <w:tcPr>
            <w:tcW w:w="409" w:type="pct"/>
            <w:vAlign w:val="bottom"/>
          </w:tcPr>
          <w:p w14:paraId="79298D22" w14:textId="3FF81463" w:rsidR="009567D1" w:rsidRDefault="009567D1" w:rsidP="009567D1">
            <w:pPr>
              <w:pStyle w:val="-7"/>
              <w:spacing w:line="240" w:lineRule="auto"/>
              <w:jc w:val="left"/>
              <w:rPr>
                <w:sz w:val="14"/>
                <w:szCs w:val="14"/>
                <w:rtl/>
              </w:rPr>
            </w:pPr>
            <w:r>
              <w:rPr>
                <w:rFonts w:hint="cs"/>
                <w:sz w:val="14"/>
                <w:szCs w:val="14"/>
                <w:rtl/>
              </w:rPr>
              <w:t xml:space="preserve">מתכונת ביאור </w:t>
            </w:r>
            <w:r>
              <w:rPr>
                <w:rFonts w:hint="cs"/>
                <w:sz w:val="14"/>
                <w:szCs w:val="14"/>
                <w:rtl/>
              </w:rPr>
              <w:br/>
              <w:t>עמ' 663-60</w:t>
            </w:r>
            <w:r w:rsidR="007B3A8F">
              <w:rPr>
                <w:rFonts w:hint="cs"/>
                <w:sz w:val="14"/>
                <w:szCs w:val="14"/>
                <w:rtl/>
              </w:rPr>
              <w:t>,62</w:t>
            </w:r>
          </w:p>
        </w:tc>
        <w:tc>
          <w:tcPr>
            <w:tcW w:w="4429" w:type="pct"/>
          </w:tcPr>
          <w:p w14:paraId="23C0D1F5" w14:textId="3041FECC" w:rsidR="009567D1" w:rsidRDefault="00BF2D3B" w:rsidP="00BF2D3B">
            <w:pPr>
              <w:pStyle w:val="-f4"/>
              <w:spacing w:line="240" w:lineRule="auto"/>
              <w:ind w:left="33"/>
              <w:jc w:val="left"/>
              <w:rPr>
                <w:rtl/>
              </w:rPr>
            </w:pPr>
            <w:r>
              <w:rPr>
                <w:rFonts w:hint="cs"/>
                <w:rtl/>
              </w:rPr>
              <w:t>א</w:t>
            </w:r>
            <w:r w:rsidRPr="00BF2D3B">
              <w:rPr>
                <w:rFonts w:hint="cs"/>
                <w:b w:val="0"/>
                <w:bCs w:val="0"/>
                <w:rtl/>
              </w:rPr>
              <w:t>.</w:t>
            </w:r>
            <w:r>
              <w:rPr>
                <w:rFonts w:hint="cs"/>
                <w:rtl/>
              </w:rPr>
              <w:t xml:space="preserve"> </w:t>
            </w:r>
            <w:r>
              <w:t xml:space="preserve"> </w:t>
            </w:r>
            <w:r w:rsidR="009567D1">
              <w:rPr>
                <w:rFonts w:hint="cs"/>
                <w:rtl/>
              </w:rPr>
              <w:t>הרכב (המשך):</w:t>
            </w:r>
          </w:p>
        </w:tc>
      </w:tr>
      <w:tr w:rsidR="00CB422A" w:rsidRPr="007363C7" w14:paraId="2CF6375D" w14:textId="77777777" w:rsidTr="00BF2D3B">
        <w:trPr>
          <w:trHeight w:val="245"/>
        </w:trPr>
        <w:tc>
          <w:tcPr>
            <w:tcW w:w="409" w:type="pct"/>
          </w:tcPr>
          <w:p w14:paraId="2E34F336" w14:textId="77777777" w:rsidR="00CB422A" w:rsidRPr="007363C7" w:rsidRDefault="00CB422A" w:rsidP="00AF7D83">
            <w:pPr>
              <w:pStyle w:val="-7"/>
              <w:rPr>
                <w:rtl/>
              </w:rPr>
            </w:pPr>
          </w:p>
        </w:tc>
        <w:tc>
          <w:tcPr>
            <w:tcW w:w="4591" w:type="pct"/>
            <w:gridSpan w:val="2"/>
          </w:tcPr>
          <w:p w14:paraId="34FEC5C7" w14:textId="2D8E8DAF" w:rsidR="00CB422A" w:rsidRPr="001F35BA" w:rsidRDefault="00CB422A" w:rsidP="001F35BA">
            <w:pPr>
              <w:pStyle w:val="-4"/>
              <w:pBdr>
                <w:bottom w:val="none" w:sz="0" w:space="0" w:color="auto"/>
              </w:pBdr>
              <w:spacing w:line="240" w:lineRule="auto"/>
              <w:ind w:left="316" w:right="-288" w:firstLine="1"/>
              <w:jc w:val="both"/>
              <w:rPr>
                <w:sz w:val="18"/>
                <w:szCs w:val="18"/>
                <w:u w:val="single"/>
                <w:rtl/>
              </w:rPr>
            </w:pPr>
            <w:r w:rsidRPr="001F35BA">
              <w:rPr>
                <w:rFonts w:hint="cs"/>
                <w:sz w:val="18"/>
                <w:szCs w:val="18"/>
                <w:u w:val="single"/>
                <w:rtl/>
              </w:rPr>
              <w:t xml:space="preserve">לשלושה </w:t>
            </w:r>
            <w:r w:rsidR="004F59A7" w:rsidRPr="001F35BA">
              <w:rPr>
                <w:rFonts w:hint="cs"/>
                <w:sz w:val="18"/>
                <w:szCs w:val="18"/>
                <w:u w:val="single"/>
                <w:rtl/>
              </w:rPr>
              <w:t xml:space="preserve">ושישה </w:t>
            </w:r>
            <w:r w:rsidRPr="001F35BA">
              <w:rPr>
                <w:rFonts w:hint="cs"/>
                <w:sz w:val="18"/>
                <w:szCs w:val="18"/>
                <w:u w:val="single"/>
                <w:rtl/>
              </w:rPr>
              <w:t xml:space="preserve">חודשים שהסתיימו ביום 30 ביוני </w:t>
            </w:r>
            <w:r w:rsidRPr="001F35BA">
              <w:rPr>
                <w:sz w:val="18"/>
                <w:szCs w:val="18"/>
                <w:u w:val="single"/>
                <w:rtl/>
              </w:rPr>
              <w:fldChar w:fldCharType="begin"/>
            </w:r>
            <w:r w:rsidRPr="001F35BA">
              <w:rPr>
                <w:sz w:val="18"/>
                <w:szCs w:val="18"/>
                <w:u w:val="single"/>
                <w:rtl/>
              </w:rPr>
              <w:instrText xml:space="preserve"> </w:instrText>
            </w:r>
            <w:r w:rsidRPr="001F35BA">
              <w:rPr>
                <w:rFonts w:hint="cs"/>
                <w:sz w:val="18"/>
                <w:szCs w:val="18"/>
                <w:u w:val="single"/>
                <w:rtl/>
              </w:rPr>
              <w:instrText xml:space="preserve">= </w:instrText>
            </w:r>
            <w:r w:rsidRPr="001F35BA">
              <w:rPr>
                <w:rFonts w:hint="cs"/>
                <w:sz w:val="18"/>
                <w:szCs w:val="18"/>
                <w:u w:val="single"/>
              </w:rPr>
              <w:instrText>CY \* MERGEFORMAT</w:instrText>
            </w:r>
            <w:r w:rsidRPr="001F35BA">
              <w:rPr>
                <w:sz w:val="18"/>
                <w:szCs w:val="18"/>
                <w:u w:val="single"/>
                <w:rtl/>
              </w:rPr>
              <w:instrText xml:space="preserve"> </w:instrText>
            </w:r>
            <w:r w:rsidRPr="001F35BA">
              <w:rPr>
                <w:sz w:val="18"/>
                <w:szCs w:val="18"/>
                <w:u w:val="single"/>
                <w:rtl/>
              </w:rPr>
              <w:fldChar w:fldCharType="separate"/>
            </w:r>
            <w:r w:rsidRPr="001F35BA">
              <w:rPr>
                <w:noProof/>
                <w:sz w:val="18"/>
                <w:szCs w:val="18"/>
                <w:u w:val="single"/>
                <w:rtl/>
              </w:rPr>
              <w:t>2024</w:t>
            </w:r>
            <w:r w:rsidRPr="001F35BA">
              <w:rPr>
                <w:sz w:val="18"/>
                <w:szCs w:val="18"/>
                <w:u w:val="single"/>
                <w:rtl/>
              </w:rPr>
              <w:fldChar w:fldCharType="end"/>
            </w:r>
            <w:r w:rsidRPr="001F35BA">
              <w:rPr>
                <w:rFonts w:hint="cs"/>
                <w:sz w:val="18"/>
                <w:szCs w:val="18"/>
                <w:u w:val="single"/>
                <w:rtl/>
              </w:rPr>
              <w:t xml:space="preserve"> </w:t>
            </w:r>
            <w:r w:rsidRPr="001F35BA">
              <w:rPr>
                <w:rFonts w:hint="cs"/>
                <w:b w:val="0"/>
                <w:bCs w:val="0"/>
                <w:sz w:val="18"/>
                <w:szCs w:val="18"/>
                <w:u w:val="single"/>
                <w:rtl/>
              </w:rPr>
              <w:t>(בלתי מבוקר)</w:t>
            </w:r>
          </w:p>
        </w:tc>
      </w:tr>
    </w:tbl>
    <w:p w14:paraId="7CB6BCFA" w14:textId="77777777" w:rsidR="00F32A2A" w:rsidRDefault="00F32A2A">
      <w:pPr>
        <w:bidi w:val="0"/>
        <w:spacing w:line="60" w:lineRule="exact"/>
      </w:pPr>
    </w:p>
    <w:tbl>
      <w:tblPr>
        <w:bidiVisual/>
        <w:tblW w:w="5108" w:type="pct"/>
        <w:tblBorders>
          <w:bottom w:val="single" w:sz="4" w:space="0" w:color="auto"/>
        </w:tblBorders>
        <w:tblLayout w:type="fixed"/>
        <w:tblLook w:val="04A0" w:firstRow="1" w:lastRow="0" w:firstColumn="1" w:lastColumn="0" w:noHBand="0" w:noVBand="1"/>
      </w:tblPr>
      <w:tblGrid>
        <w:gridCol w:w="1560"/>
        <w:gridCol w:w="3122"/>
        <w:gridCol w:w="850"/>
        <w:gridCol w:w="891"/>
        <w:gridCol w:w="939"/>
        <w:gridCol w:w="705"/>
        <w:gridCol w:w="829"/>
        <w:gridCol w:w="704"/>
        <w:gridCol w:w="747"/>
        <w:gridCol w:w="673"/>
        <w:gridCol w:w="752"/>
        <w:gridCol w:w="997"/>
        <w:gridCol w:w="988"/>
        <w:gridCol w:w="1702"/>
      </w:tblGrid>
      <w:tr w:rsidR="00E013B3" w:rsidRPr="00543C25" w14:paraId="672D7D71" w14:textId="77777777" w:rsidTr="004C17ED">
        <w:trPr>
          <w:trHeight w:val="259"/>
        </w:trPr>
        <w:tc>
          <w:tcPr>
            <w:tcW w:w="1560" w:type="dxa"/>
            <w:shd w:val="clear" w:color="auto" w:fill="auto"/>
          </w:tcPr>
          <w:p w14:paraId="097CCCFE" w14:textId="77777777" w:rsidR="00E013B3" w:rsidRDefault="00E013B3">
            <w:pPr>
              <w:pStyle w:val="-0"/>
              <w:ind w:left="0" w:firstLine="0"/>
              <w:rPr>
                <w:sz w:val="14"/>
                <w:szCs w:val="14"/>
                <w:rtl/>
              </w:rPr>
            </w:pPr>
          </w:p>
        </w:tc>
        <w:tc>
          <w:tcPr>
            <w:tcW w:w="3122" w:type="dxa"/>
            <w:tcBorders>
              <w:bottom w:val="nil"/>
            </w:tcBorders>
            <w:shd w:val="clear" w:color="auto" w:fill="auto"/>
            <w:vAlign w:val="bottom"/>
          </w:tcPr>
          <w:p w14:paraId="13D0DDA7" w14:textId="77777777" w:rsidR="00E013B3" w:rsidRPr="00046EFB" w:rsidRDefault="00E013B3" w:rsidP="004F59A7">
            <w:pPr>
              <w:pStyle w:val="-0"/>
              <w:spacing w:line="192" w:lineRule="auto"/>
              <w:rPr>
                <w:sz w:val="17"/>
                <w:szCs w:val="17"/>
                <w:rtl/>
              </w:rPr>
            </w:pPr>
          </w:p>
        </w:tc>
        <w:tc>
          <w:tcPr>
            <w:tcW w:w="850" w:type="dxa"/>
            <w:vMerge w:val="restart"/>
            <w:shd w:val="clear" w:color="auto" w:fill="auto"/>
            <w:tcMar>
              <w:left w:w="108" w:type="dxa"/>
              <w:right w:w="108" w:type="dxa"/>
            </w:tcMar>
            <w:vAlign w:val="bottom"/>
          </w:tcPr>
          <w:p w14:paraId="4ED41E0B" w14:textId="77777777" w:rsidR="00E013B3" w:rsidRPr="00BF2D3B" w:rsidRDefault="00E013B3" w:rsidP="004F59A7">
            <w:pPr>
              <w:spacing w:line="192" w:lineRule="auto"/>
              <w:jc w:val="center"/>
              <w:rPr>
                <w:b/>
                <w:bCs/>
                <w:sz w:val="16"/>
                <w:szCs w:val="16"/>
                <w:rtl/>
              </w:rPr>
            </w:pPr>
            <w:r w:rsidRPr="00BF2D3B">
              <w:rPr>
                <w:rFonts w:hint="eastAsia"/>
                <w:b/>
                <w:bCs/>
                <w:sz w:val="16"/>
                <w:szCs w:val="16"/>
                <w:rtl/>
              </w:rPr>
              <w:t>שווי</w:t>
            </w:r>
            <w:r w:rsidRPr="00BF2D3B">
              <w:rPr>
                <w:b/>
                <w:bCs/>
                <w:sz w:val="16"/>
                <w:szCs w:val="16"/>
                <w:rtl/>
              </w:rPr>
              <w:t xml:space="preserve"> </w:t>
            </w:r>
            <w:r w:rsidRPr="00BF2D3B">
              <w:rPr>
                <w:rFonts w:hint="eastAsia"/>
                <w:b/>
                <w:bCs/>
                <w:sz w:val="16"/>
                <w:szCs w:val="16"/>
                <w:rtl/>
              </w:rPr>
              <w:t>הוגן ליום</w:t>
            </w:r>
            <w:r w:rsidRPr="00BF2D3B">
              <w:rPr>
                <w:b/>
                <w:bCs/>
                <w:sz w:val="16"/>
                <w:szCs w:val="16"/>
                <w:rtl/>
              </w:rPr>
              <w:t xml:space="preserve"> </w:t>
            </w:r>
          </w:p>
          <w:p w14:paraId="3A9165B0" w14:textId="47B9980E" w:rsidR="00E013B3" w:rsidRPr="00BF2D3B" w:rsidRDefault="00E013B3" w:rsidP="004F59A7">
            <w:pPr>
              <w:pBdr>
                <w:bottom w:val="single" w:sz="4" w:space="1" w:color="auto"/>
              </w:pBdr>
              <w:spacing w:line="192" w:lineRule="auto"/>
              <w:ind w:left="57" w:right="57"/>
              <w:jc w:val="center"/>
              <w:rPr>
                <w:b/>
                <w:bCs/>
                <w:sz w:val="16"/>
                <w:szCs w:val="16"/>
                <w:rtl/>
              </w:rPr>
            </w:pPr>
            <w:r w:rsidRPr="00BF2D3B">
              <w:rPr>
                <w:b/>
                <w:bCs/>
                <w:sz w:val="16"/>
                <w:szCs w:val="16"/>
                <w:rtl/>
              </w:rPr>
              <w:t xml:space="preserve">31 </w:t>
            </w:r>
            <w:r w:rsidRPr="00BF2D3B">
              <w:rPr>
                <w:rFonts w:hint="eastAsia"/>
                <w:b/>
                <w:bCs/>
                <w:sz w:val="16"/>
                <w:szCs w:val="16"/>
                <w:rtl/>
              </w:rPr>
              <w:t>מרץ</w:t>
            </w:r>
            <w:r w:rsidRPr="00BF2D3B">
              <w:rPr>
                <w:b/>
                <w:bCs/>
                <w:sz w:val="16"/>
                <w:szCs w:val="16"/>
                <w:rtl/>
              </w:rPr>
              <w:t xml:space="preserve"> </w:t>
            </w:r>
            <w:r w:rsidRPr="00BF2D3B">
              <w:rPr>
                <w:b/>
                <w:bCs/>
                <w:sz w:val="16"/>
                <w:szCs w:val="16"/>
                <w:rtl/>
              </w:rPr>
              <w:fldChar w:fldCharType="begin"/>
            </w:r>
            <w:r w:rsidRPr="00BF2D3B">
              <w:rPr>
                <w:b/>
                <w:bCs/>
                <w:sz w:val="16"/>
                <w:szCs w:val="16"/>
                <w:rtl/>
              </w:rPr>
              <w:instrText xml:space="preserve"> = </w:instrText>
            </w:r>
            <w:r w:rsidRPr="00BF2D3B">
              <w:rPr>
                <w:b/>
                <w:bCs/>
                <w:sz w:val="16"/>
                <w:szCs w:val="16"/>
              </w:rPr>
              <w:instrText>CY \* MERGEFORMAT</w:instrText>
            </w:r>
            <w:r w:rsidRPr="00BF2D3B">
              <w:rPr>
                <w:b/>
                <w:bCs/>
                <w:sz w:val="16"/>
                <w:szCs w:val="16"/>
                <w:rtl/>
              </w:rPr>
              <w:instrText xml:space="preserve"> </w:instrText>
            </w:r>
            <w:r w:rsidRPr="00BF2D3B">
              <w:rPr>
                <w:b/>
                <w:bCs/>
                <w:sz w:val="16"/>
                <w:szCs w:val="16"/>
                <w:rtl/>
              </w:rPr>
              <w:fldChar w:fldCharType="separate"/>
            </w:r>
            <w:r w:rsidR="003A584F" w:rsidRPr="00BF2D3B">
              <w:rPr>
                <w:b/>
                <w:bCs/>
                <w:noProof/>
                <w:sz w:val="16"/>
                <w:szCs w:val="16"/>
                <w:rtl/>
              </w:rPr>
              <w:t>2024</w:t>
            </w:r>
            <w:r w:rsidRPr="00BF2D3B">
              <w:rPr>
                <w:b/>
                <w:bCs/>
                <w:sz w:val="16"/>
                <w:szCs w:val="16"/>
                <w:rtl/>
              </w:rPr>
              <w:fldChar w:fldCharType="end"/>
            </w:r>
          </w:p>
        </w:tc>
        <w:tc>
          <w:tcPr>
            <w:tcW w:w="1830" w:type="dxa"/>
            <w:gridSpan w:val="2"/>
            <w:shd w:val="clear" w:color="auto" w:fill="auto"/>
            <w:tcMar>
              <w:left w:w="108" w:type="dxa"/>
              <w:right w:w="108" w:type="dxa"/>
            </w:tcMar>
            <w:vAlign w:val="bottom"/>
          </w:tcPr>
          <w:p w14:paraId="76F6D4AB" w14:textId="77777777" w:rsidR="00E013B3" w:rsidRPr="00BF2D3B" w:rsidRDefault="00E013B3" w:rsidP="004F59A7">
            <w:pPr>
              <w:spacing w:line="192" w:lineRule="auto"/>
              <w:ind w:left="57" w:right="57"/>
              <w:jc w:val="center"/>
              <w:rPr>
                <w:b/>
                <w:bCs/>
                <w:sz w:val="16"/>
                <w:szCs w:val="16"/>
                <w:rtl/>
              </w:rPr>
            </w:pPr>
            <w:r w:rsidRPr="00BF2D3B">
              <w:rPr>
                <w:rFonts w:hint="eastAsia"/>
                <w:b/>
                <w:bCs/>
                <w:sz w:val="16"/>
                <w:szCs w:val="16"/>
                <w:rtl/>
              </w:rPr>
              <w:t>רווחים</w:t>
            </w:r>
            <w:r w:rsidRPr="00BF2D3B">
              <w:rPr>
                <w:b/>
                <w:bCs/>
                <w:sz w:val="16"/>
                <w:szCs w:val="16"/>
                <w:rtl/>
              </w:rPr>
              <w:t xml:space="preserve"> (הפסדים)</w:t>
            </w:r>
          </w:p>
          <w:p w14:paraId="7649AC1D" w14:textId="77777777" w:rsidR="00E013B3" w:rsidRPr="00BF2D3B" w:rsidRDefault="00E013B3" w:rsidP="004F59A7">
            <w:pPr>
              <w:pStyle w:val="-4"/>
              <w:spacing w:line="192" w:lineRule="auto"/>
              <w:rPr>
                <w:sz w:val="16"/>
                <w:szCs w:val="16"/>
                <w:rtl/>
              </w:rPr>
            </w:pPr>
            <w:r w:rsidRPr="00BF2D3B">
              <w:rPr>
                <w:rFonts w:hint="eastAsia"/>
                <w:sz w:val="16"/>
                <w:szCs w:val="16"/>
                <w:rtl/>
              </w:rPr>
              <w:t>לתקופה</w:t>
            </w:r>
            <w:r w:rsidRPr="00BF2D3B">
              <w:rPr>
                <w:sz w:val="16"/>
                <w:szCs w:val="16"/>
                <w:rtl/>
              </w:rPr>
              <w:t xml:space="preserve"> שנכללו </w:t>
            </w:r>
          </w:p>
        </w:tc>
        <w:tc>
          <w:tcPr>
            <w:tcW w:w="2985" w:type="dxa"/>
            <w:gridSpan w:val="4"/>
            <w:shd w:val="clear" w:color="auto" w:fill="auto"/>
            <w:tcMar>
              <w:left w:w="108" w:type="dxa"/>
              <w:right w:w="108" w:type="dxa"/>
            </w:tcMar>
            <w:vAlign w:val="bottom"/>
          </w:tcPr>
          <w:p w14:paraId="035CC874" w14:textId="77777777" w:rsidR="00E013B3" w:rsidRPr="00BF2D3B" w:rsidRDefault="00E013B3" w:rsidP="004F59A7">
            <w:pPr>
              <w:pStyle w:val="-4"/>
              <w:spacing w:line="192" w:lineRule="auto"/>
              <w:rPr>
                <w:sz w:val="16"/>
                <w:szCs w:val="16"/>
                <w:rtl/>
              </w:rPr>
            </w:pPr>
            <w:r w:rsidRPr="00BF2D3B">
              <w:rPr>
                <w:rFonts w:hint="eastAsia"/>
                <w:sz w:val="16"/>
                <w:szCs w:val="16"/>
                <w:rtl/>
              </w:rPr>
              <w:t>תנועות</w:t>
            </w:r>
            <w:r w:rsidRPr="00BF2D3B">
              <w:rPr>
                <w:sz w:val="16"/>
                <w:szCs w:val="16"/>
                <w:rtl/>
              </w:rPr>
              <w:t xml:space="preserve"> </w:t>
            </w:r>
            <w:r w:rsidRPr="00BF2D3B">
              <w:rPr>
                <w:rFonts w:hint="eastAsia"/>
                <w:sz w:val="16"/>
                <w:szCs w:val="16"/>
                <w:rtl/>
              </w:rPr>
              <w:t>בגין</w:t>
            </w:r>
          </w:p>
        </w:tc>
        <w:tc>
          <w:tcPr>
            <w:tcW w:w="1425" w:type="dxa"/>
            <w:gridSpan w:val="2"/>
            <w:shd w:val="clear" w:color="auto" w:fill="auto"/>
            <w:tcMar>
              <w:left w:w="108" w:type="dxa"/>
              <w:right w:w="108" w:type="dxa"/>
            </w:tcMar>
            <w:vAlign w:val="bottom"/>
          </w:tcPr>
          <w:p w14:paraId="1982BD9E" w14:textId="6F98141F" w:rsidR="00E013B3" w:rsidRPr="00BF2D3B" w:rsidRDefault="00E013B3" w:rsidP="004F59A7">
            <w:pPr>
              <w:pBdr>
                <w:bottom w:val="single" w:sz="4" w:space="1" w:color="auto"/>
              </w:pBdr>
              <w:spacing w:line="192" w:lineRule="auto"/>
              <w:jc w:val="center"/>
              <w:rPr>
                <w:sz w:val="16"/>
                <w:szCs w:val="16"/>
                <w:rtl/>
              </w:rPr>
            </w:pPr>
            <w:r w:rsidRPr="00BF2D3B">
              <w:rPr>
                <w:rFonts w:hint="eastAsia"/>
                <w:bCs/>
                <w:sz w:val="16"/>
                <w:szCs w:val="16"/>
                <w:rtl/>
              </w:rPr>
              <w:t>העברות</w:t>
            </w:r>
            <w:r w:rsidRPr="00BF2D3B">
              <w:rPr>
                <w:bCs/>
                <w:sz w:val="16"/>
                <w:szCs w:val="16"/>
                <w:rtl/>
              </w:rPr>
              <w:t xml:space="preserve"> </w:t>
            </w:r>
            <w:r w:rsidR="000968B1" w:rsidRPr="00BF2D3B">
              <w:rPr>
                <w:rFonts w:hint="cs"/>
                <w:sz w:val="16"/>
                <w:szCs w:val="16"/>
                <w:vertAlign w:val="superscript"/>
                <w:rtl/>
              </w:rPr>
              <w:t>[ד]</w:t>
            </w:r>
          </w:p>
        </w:tc>
        <w:tc>
          <w:tcPr>
            <w:tcW w:w="997" w:type="dxa"/>
            <w:vMerge w:val="restart"/>
            <w:shd w:val="clear" w:color="auto" w:fill="auto"/>
            <w:tcMar>
              <w:left w:w="108" w:type="dxa"/>
              <w:right w:w="108" w:type="dxa"/>
            </w:tcMar>
            <w:vAlign w:val="bottom"/>
          </w:tcPr>
          <w:p w14:paraId="725B13ED" w14:textId="087DFBD4" w:rsidR="00E013B3" w:rsidRPr="00BF2D3B" w:rsidRDefault="00CD4751" w:rsidP="004F59A7">
            <w:pPr>
              <w:pBdr>
                <w:bottom w:val="single" w:sz="4" w:space="1" w:color="auto"/>
              </w:pBdr>
              <w:spacing w:line="192" w:lineRule="auto"/>
              <w:ind w:left="57" w:right="57"/>
              <w:jc w:val="center"/>
              <w:rPr>
                <w:b/>
                <w:bCs/>
                <w:sz w:val="16"/>
                <w:szCs w:val="16"/>
                <w:rtl/>
              </w:rPr>
            </w:pPr>
            <w:r w:rsidRPr="00BF2D3B">
              <w:rPr>
                <w:b/>
                <w:bCs/>
                <w:sz w:val="16"/>
                <w:szCs w:val="16"/>
                <w:rtl/>
              </w:rPr>
              <w:t>התאמות</w:t>
            </w:r>
            <w:r w:rsidRPr="00BF2D3B">
              <w:rPr>
                <w:rFonts w:hint="cs"/>
                <w:b/>
                <w:bCs/>
                <w:sz w:val="16"/>
                <w:szCs w:val="16"/>
                <w:rtl/>
              </w:rPr>
              <w:t xml:space="preserve"> </w:t>
            </w:r>
            <w:r w:rsidRPr="00BF2D3B">
              <w:rPr>
                <w:b/>
                <w:bCs/>
                <w:sz w:val="16"/>
                <w:szCs w:val="16"/>
                <w:rtl/>
              </w:rPr>
              <w:t>מתרגום</w:t>
            </w:r>
            <w:r w:rsidRPr="00BF2D3B">
              <w:rPr>
                <w:rFonts w:hint="cs"/>
                <w:b/>
                <w:bCs/>
                <w:sz w:val="16"/>
                <w:szCs w:val="16"/>
                <w:rtl/>
              </w:rPr>
              <w:t xml:space="preserve"> </w:t>
            </w:r>
            <w:r w:rsidRPr="00BF2D3B">
              <w:rPr>
                <w:b/>
                <w:bCs/>
                <w:sz w:val="16"/>
                <w:szCs w:val="16"/>
                <w:rtl/>
              </w:rPr>
              <w:t>דוחות</w:t>
            </w:r>
            <w:r w:rsidRPr="00BF2D3B">
              <w:rPr>
                <w:rFonts w:hint="cs"/>
                <w:b/>
                <w:bCs/>
                <w:sz w:val="16"/>
                <w:szCs w:val="16"/>
                <w:rtl/>
              </w:rPr>
              <w:t xml:space="preserve"> </w:t>
            </w:r>
            <w:r w:rsidRPr="00BF2D3B">
              <w:rPr>
                <w:b/>
                <w:bCs/>
                <w:sz w:val="16"/>
                <w:szCs w:val="16"/>
                <w:rtl/>
              </w:rPr>
              <w:t>כספיים</w:t>
            </w:r>
          </w:p>
        </w:tc>
        <w:tc>
          <w:tcPr>
            <w:tcW w:w="988" w:type="dxa"/>
            <w:vMerge w:val="restart"/>
            <w:shd w:val="clear" w:color="auto" w:fill="auto"/>
            <w:tcMar>
              <w:left w:w="108" w:type="dxa"/>
              <w:right w:w="108" w:type="dxa"/>
            </w:tcMar>
            <w:vAlign w:val="bottom"/>
          </w:tcPr>
          <w:p w14:paraId="2B185FB0" w14:textId="77777777" w:rsidR="00E013B3" w:rsidRPr="00BF2D3B" w:rsidRDefault="00E013B3" w:rsidP="004F59A7">
            <w:pPr>
              <w:spacing w:line="192" w:lineRule="auto"/>
              <w:jc w:val="center"/>
              <w:rPr>
                <w:b/>
                <w:bCs/>
                <w:sz w:val="16"/>
                <w:szCs w:val="16"/>
                <w:rtl/>
              </w:rPr>
            </w:pPr>
            <w:r w:rsidRPr="00BF2D3B">
              <w:rPr>
                <w:rFonts w:hint="eastAsia"/>
                <w:b/>
                <w:bCs/>
                <w:sz w:val="16"/>
                <w:szCs w:val="16"/>
                <w:rtl/>
              </w:rPr>
              <w:t>שווי</w:t>
            </w:r>
            <w:r w:rsidRPr="00BF2D3B">
              <w:rPr>
                <w:b/>
                <w:bCs/>
                <w:sz w:val="16"/>
                <w:szCs w:val="16"/>
                <w:rtl/>
              </w:rPr>
              <w:t xml:space="preserve"> </w:t>
            </w:r>
            <w:r w:rsidRPr="00BF2D3B">
              <w:rPr>
                <w:rFonts w:hint="eastAsia"/>
                <w:b/>
                <w:bCs/>
                <w:sz w:val="16"/>
                <w:szCs w:val="16"/>
                <w:rtl/>
              </w:rPr>
              <w:t>הוגן</w:t>
            </w:r>
            <w:r w:rsidRPr="00BF2D3B">
              <w:rPr>
                <w:b/>
                <w:bCs/>
                <w:sz w:val="16"/>
                <w:szCs w:val="16"/>
                <w:rtl/>
              </w:rPr>
              <w:t xml:space="preserve"> </w:t>
            </w:r>
            <w:r w:rsidRPr="00BF2D3B">
              <w:rPr>
                <w:rFonts w:hint="eastAsia"/>
                <w:b/>
                <w:bCs/>
                <w:sz w:val="16"/>
                <w:szCs w:val="16"/>
                <w:rtl/>
              </w:rPr>
              <w:t>ליום</w:t>
            </w:r>
            <w:r w:rsidRPr="00BF2D3B">
              <w:rPr>
                <w:b/>
                <w:bCs/>
                <w:sz w:val="16"/>
                <w:szCs w:val="16"/>
                <w:rtl/>
              </w:rPr>
              <w:t xml:space="preserve"> </w:t>
            </w:r>
          </w:p>
          <w:p w14:paraId="611BAEB0" w14:textId="677A40BF" w:rsidR="00E013B3" w:rsidRPr="00BF2D3B" w:rsidRDefault="00E013B3" w:rsidP="004F59A7">
            <w:pPr>
              <w:pBdr>
                <w:bottom w:val="single" w:sz="4" w:space="1" w:color="auto"/>
              </w:pBdr>
              <w:spacing w:line="192" w:lineRule="auto"/>
              <w:ind w:left="57" w:right="57"/>
              <w:jc w:val="center"/>
              <w:rPr>
                <w:b/>
                <w:bCs/>
                <w:sz w:val="16"/>
                <w:szCs w:val="16"/>
                <w:rtl/>
              </w:rPr>
            </w:pPr>
            <w:r w:rsidRPr="00BF2D3B">
              <w:rPr>
                <w:b/>
                <w:bCs/>
                <w:sz w:val="16"/>
                <w:szCs w:val="16"/>
                <w:rtl/>
              </w:rPr>
              <w:t xml:space="preserve">30 </w:t>
            </w:r>
            <w:r w:rsidRPr="00BF2D3B">
              <w:rPr>
                <w:rFonts w:hint="eastAsia"/>
                <w:b/>
                <w:bCs/>
                <w:sz w:val="16"/>
                <w:szCs w:val="16"/>
                <w:rtl/>
              </w:rPr>
              <w:t>ביוני</w:t>
            </w:r>
            <w:r w:rsidRPr="00BF2D3B">
              <w:rPr>
                <w:b/>
                <w:bCs/>
                <w:sz w:val="16"/>
                <w:szCs w:val="16"/>
                <w:rtl/>
              </w:rPr>
              <w:t xml:space="preserve"> </w:t>
            </w:r>
            <w:r w:rsidRPr="00BF2D3B">
              <w:rPr>
                <w:b/>
                <w:bCs/>
                <w:sz w:val="16"/>
                <w:szCs w:val="16"/>
                <w:rtl/>
              </w:rPr>
              <w:fldChar w:fldCharType="begin"/>
            </w:r>
            <w:r w:rsidRPr="00BF2D3B">
              <w:rPr>
                <w:b/>
                <w:bCs/>
                <w:sz w:val="16"/>
                <w:szCs w:val="16"/>
                <w:rtl/>
              </w:rPr>
              <w:instrText xml:space="preserve"> = </w:instrText>
            </w:r>
            <w:r w:rsidRPr="00BF2D3B">
              <w:rPr>
                <w:b/>
                <w:bCs/>
                <w:sz w:val="16"/>
                <w:szCs w:val="16"/>
              </w:rPr>
              <w:instrText>CY \* MERGEFORMAT</w:instrText>
            </w:r>
            <w:r w:rsidRPr="00BF2D3B">
              <w:rPr>
                <w:b/>
                <w:bCs/>
                <w:sz w:val="16"/>
                <w:szCs w:val="16"/>
                <w:rtl/>
              </w:rPr>
              <w:instrText xml:space="preserve"> </w:instrText>
            </w:r>
            <w:r w:rsidRPr="00BF2D3B">
              <w:rPr>
                <w:b/>
                <w:bCs/>
                <w:sz w:val="16"/>
                <w:szCs w:val="16"/>
                <w:rtl/>
              </w:rPr>
              <w:fldChar w:fldCharType="separate"/>
            </w:r>
            <w:r w:rsidR="003A584F" w:rsidRPr="00BF2D3B">
              <w:rPr>
                <w:b/>
                <w:bCs/>
                <w:noProof/>
                <w:sz w:val="16"/>
                <w:szCs w:val="16"/>
                <w:rtl/>
              </w:rPr>
              <w:t>2024</w:t>
            </w:r>
            <w:r w:rsidRPr="00BF2D3B">
              <w:rPr>
                <w:b/>
                <w:bCs/>
                <w:sz w:val="16"/>
                <w:szCs w:val="16"/>
                <w:rtl/>
              </w:rPr>
              <w:fldChar w:fldCharType="end"/>
            </w:r>
          </w:p>
        </w:tc>
        <w:tc>
          <w:tcPr>
            <w:tcW w:w="1702" w:type="dxa"/>
            <w:vMerge w:val="restart"/>
            <w:shd w:val="clear" w:color="auto" w:fill="auto"/>
            <w:tcMar>
              <w:left w:w="108" w:type="dxa"/>
              <w:right w:w="108" w:type="dxa"/>
            </w:tcMar>
            <w:vAlign w:val="bottom"/>
          </w:tcPr>
          <w:p w14:paraId="4EBDECAD" w14:textId="6654FE52" w:rsidR="00E013B3" w:rsidRPr="00BF2D3B" w:rsidRDefault="00E013B3" w:rsidP="004F59A7">
            <w:pPr>
              <w:pBdr>
                <w:bottom w:val="single" w:sz="4" w:space="1" w:color="auto"/>
              </w:pBdr>
              <w:spacing w:line="192" w:lineRule="auto"/>
              <w:jc w:val="center"/>
              <w:rPr>
                <w:b/>
                <w:bCs/>
                <w:sz w:val="16"/>
                <w:szCs w:val="16"/>
                <w:rtl/>
              </w:rPr>
            </w:pPr>
            <w:r w:rsidRPr="00BF2D3B">
              <w:rPr>
                <w:rFonts w:hint="eastAsia"/>
                <w:b/>
                <w:bCs/>
                <w:sz w:val="16"/>
                <w:szCs w:val="16"/>
                <w:rtl/>
              </w:rPr>
              <w:t>רווחים</w:t>
            </w:r>
            <w:r w:rsidRPr="00BF2D3B">
              <w:rPr>
                <w:b/>
                <w:bCs/>
                <w:sz w:val="16"/>
                <w:szCs w:val="16"/>
                <w:rtl/>
              </w:rPr>
              <w:t xml:space="preserve"> (הפסדים) לתקופה שטרם </w:t>
            </w:r>
            <w:r w:rsidRPr="00BF2D3B">
              <w:rPr>
                <w:rFonts w:hint="cs"/>
                <w:b/>
                <w:bCs/>
                <w:sz w:val="16"/>
                <w:szCs w:val="16"/>
                <w:rtl/>
              </w:rPr>
              <w:t>מומשו בגין</w:t>
            </w:r>
            <w:r w:rsidRPr="00BF2D3B">
              <w:rPr>
                <w:b/>
                <w:bCs/>
                <w:sz w:val="16"/>
                <w:szCs w:val="16"/>
                <w:rtl/>
              </w:rPr>
              <w:t xml:space="preserve"> </w:t>
            </w:r>
            <w:r w:rsidRPr="00BF2D3B">
              <w:rPr>
                <w:rFonts w:hint="eastAsia"/>
                <w:b/>
                <w:bCs/>
                <w:sz w:val="16"/>
                <w:szCs w:val="16"/>
                <w:rtl/>
              </w:rPr>
              <w:t>מכשירים</w:t>
            </w:r>
            <w:r w:rsidRPr="00BF2D3B">
              <w:rPr>
                <w:b/>
                <w:bCs/>
                <w:sz w:val="16"/>
                <w:szCs w:val="16"/>
                <w:rtl/>
              </w:rPr>
              <w:t xml:space="preserve"> </w:t>
            </w:r>
            <w:r w:rsidRPr="00BF2D3B">
              <w:rPr>
                <w:rFonts w:hint="eastAsia"/>
                <w:b/>
                <w:bCs/>
                <w:sz w:val="16"/>
                <w:szCs w:val="16"/>
                <w:rtl/>
              </w:rPr>
              <w:t>המוחזקים</w:t>
            </w:r>
            <w:r w:rsidRPr="00BF2D3B">
              <w:rPr>
                <w:b/>
                <w:bCs/>
                <w:sz w:val="16"/>
                <w:szCs w:val="16"/>
                <w:rtl/>
              </w:rPr>
              <w:t xml:space="preserve"> </w:t>
            </w:r>
            <w:r w:rsidRPr="00BF2D3B">
              <w:rPr>
                <w:rFonts w:hint="eastAsia"/>
                <w:b/>
                <w:bCs/>
                <w:sz w:val="16"/>
                <w:szCs w:val="16"/>
                <w:rtl/>
              </w:rPr>
              <w:t>ליום</w:t>
            </w:r>
            <w:r w:rsidRPr="00BF2D3B">
              <w:rPr>
                <w:b/>
                <w:bCs/>
                <w:sz w:val="16"/>
                <w:szCs w:val="16"/>
                <w:rtl/>
              </w:rPr>
              <w:t xml:space="preserve"> 30 </w:t>
            </w:r>
            <w:r w:rsidRPr="00BF2D3B">
              <w:rPr>
                <w:rFonts w:hint="eastAsia"/>
                <w:b/>
                <w:bCs/>
                <w:sz w:val="16"/>
                <w:szCs w:val="16"/>
                <w:rtl/>
              </w:rPr>
              <w:t>ביוני</w:t>
            </w:r>
            <w:r w:rsidRPr="00BF2D3B">
              <w:rPr>
                <w:b/>
                <w:bCs/>
                <w:sz w:val="16"/>
                <w:szCs w:val="16"/>
                <w:rtl/>
              </w:rPr>
              <w:t xml:space="preserve"> </w:t>
            </w:r>
            <w:r w:rsidRPr="00BF2D3B">
              <w:rPr>
                <w:b/>
                <w:bCs/>
                <w:sz w:val="16"/>
                <w:szCs w:val="16"/>
                <w:rtl/>
              </w:rPr>
              <w:fldChar w:fldCharType="begin"/>
            </w:r>
            <w:r w:rsidRPr="00BF2D3B">
              <w:rPr>
                <w:b/>
                <w:bCs/>
                <w:sz w:val="16"/>
                <w:szCs w:val="16"/>
                <w:rtl/>
              </w:rPr>
              <w:instrText xml:space="preserve"> = </w:instrText>
            </w:r>
            <w:r w:rsidRPr="00BF2D3B">
              <w:rPr>
                <w:b/>
                <w:bCs/>
                <w:sz w:val="16"/>
                <w:szCs w:val="16"/>
              </w:rPr>
              <w:instrText>CY \* MERGEFORMAT</w:instrText>
            </w:r>
            <w:r w:rsidRPr="00BF2D3B">
              <w:rPr>
                <w:b/>
                <w:bCs/>
                <w:sz w:val="16"/>
                <w:szCs w:val="16"/>
                <w:rtl/>
              </w:rPr>
              <w:instrText xml:space="preserve"> </w:instrText>
            </w:r>
            <w:r w:rsidRPr="00BF2D3B">
              <w:rPr>
                <w:b/>
                <w:bCs/>
                <w:sz w:val="16"/>
                <w:szCs w:val="16"/>
                <w:rtl/>
              </w:rPr>
              <w:fldChar w:fldCharType="separate"/>
            </w:r>
            <w:r w:rsidR="003A584F" w:rsidRPr="00BF2D3B">
              <w:rPr>
                <w:b/>
                <w:bCs/>
                <w:noProof/>
                <w:sz w:val="16"/>
                <w:szCs w:val="16"/>
                <w:rtl/>
              </w:rPr>
              <w:t>2024</w:t>
            </w:r>
            <w:r w:rsidRPr="00BF2D3B">
              <w:rPr>
                <w:b/>
                <w:bCs/>
                <w:sz w:val="16"/>
                <w:szCs w:val="16"/>
                <w:rtl/>
              </w:rPr>
              <w:fldChar w:fldCharType="end"/>
            </w:r>
          </w:p>
        </w:tc>
      </w:tr>
      <w:tr w:rsidR="00E013B3" w:rsidRPr="00543C25" w14:paraId="247FDE2A" w14:textId="77777777" w:rsidTr="00BF19AA">
        <w:trPr>
          <w:trHeight w:val="440"/>
        </w:trPr>
        <w:tc>
          <w:tcPr>
            <w:tcW w:w="1560" w:type="dxa"/>
            <w:tcBorders>
              <w:right w:val="nil"/>
            </w:tcBorders>
            <w:shd w:val="clear" w:color="auto" w:fill="auto"/>
          </w:tcPr>
          <w:p w14:paraId="573234A9" w14:textId="77777777" w:rsidR="00E013B3" w:rsidRPr="003425A3" w:rsidRDefault="00E013B3" w:rsidP="00AF7D83">
            <w:pPr>
              <w:pStyle w:val="-0"/>
              <w:rPr>
                <w:sz w:val="16"/>
                <w:szCs w:val="16"/>
                <w:rtl/>
              </w:rPr>
            </w:pPr>
          </w:p>
        </w:tc>
        <w:tc>
          <w:tcPr>
            <w:tcW w:w="3122" w:type="dxa"/>
            <w:tcBorders>
              <w:left w:val="nil"/>
              <w:bottom w:val="nil"/>
            </w:tcBorders>
            <w:shd w:val="clear" w:color="auto" w:fill="auto"/>
            <w:vAlign w:val="bottom"/>
          </w:tcPr>
          <w:p w14:paraId="3C1B24B7" w14:textId="77777777" w:rsidR="00E013B3" w:rsidRPr="00046EFB" w:rsidRDefault="00E013B3" w:rsidP="004F59A7">
            <w:pPr>
              <w:pStyle w:val="-0"/>
              <w:spacing w:line="192" w:lineRule="auto"/>
              <w:rPr>
                <w:sz w:val="17"/>
                <w:szCs w:val="17"/>
                <w:rtl/>
              </w:rPr>
            </w:pPr>
          </w:p>
        </w:tc>
        <w:tc>
          <w:tcPr>
            <w:tcW w:w="850" w:type="dxa"/>
            <w:vMerge/>
            <w:shd w:val="clear" w:color="auto" w:fill="auto"/>
            <w:tcMar>
              <w:left w:w="43" w:type="dxa"/>
              <w:right w:w="43" w:type="dxa"/>
            </w:tcMar>
            <w:vAlign w:val="bottom"/>
          </w:tcPr>
          <w:p w14:paraId="785C5AD7" w14:textId="77777777" w:rsidR="00E013B3" w:rsidRDefault="00E013B3" w:rsidP="004F59A7">
            <w:pPr>
              <w:pBdr>
                <w:bottom w:val="single" w:sz="4" w:space="1" w:color="auto"/>
              </w:pBdr>
              <w:spacing w:line="192" w:lineRule="auto"/>
              <w:ind w:left="57" w:right="57"/>
              <w:jc w:val="center"/>
              <w:rPr>
                <w:b/>
                <w:bCs/>
                <w:sz w:val="17"/>
                <w:szCs w:val="17"/>
                <w:rtl/>
              </w:rPr>
            </w:pPr>
          </w:p>
        </w:tc>
        <w:tc>
          <w:tcPr>
            <w:tcW w:w="891" w:type="dxa"/>
            <w:shd w:val="clear" w:color="auto" w:fill="auto"/>
            <w:tcMar>
              <w:left w:w="43" w:type="dxa"/>
              <w:right w:w="43" w:type="dxa"/>
            </w:tcMar>
            <w:vAlign w:val="bottom"/>
          </w:tcPr>
          <w:p w14:paraId="0A15EC8F" w14:textId="77777777" w:rsidR="00E013B3" w:rsidRPr="00BF2D3B" w:rsidRDefault="00E013B3" w:rsidP="004F59A7">
            <w:pPr>
              <w:pBdr>
                <w:bottom w:val="single" w:sz="4" w:space="1" w:color="auto"/>
              </w:pBdr>
              <w:spacing w:line="192" w:lineRule="auto"/>
              <w:ind w:left="57" w:right="57"/>
              <w:jc w:val="center"/>
              <w:rPr>
                <w:b/>
                <w:bCs/>
                <w:sz w:val="16"/>
                <w:szCs w:val="16"/>
                <w:rtl/>
              </w:rPr>
            </w:pPr>
            <w:r w:rsidRPr="00BF2D3B">
              <w:rPr>
                <w:rFonts w:hint="eastAsia"/>
                <w:b/>
                <w:bCs/>
                <w:sz w:val="16"/>
                <w:szCs w:val="16"/>
                <w:rtl/>
              </w:rPr>
              <w:t>בדוח</w:t>
            </w:r>
            <w:r w:rsidRPr="00BF2D3B">
              <w:rPr>
                <w:b/>
                <w:bCs/>
                <w:sz w:val="16"/>
                <w:szCs w:val="16"/>
                <w:rtl/>
              </w:rPr>
              <w:t xml:space="preserve"> </w:t>
            </w:r>
            <w:r w:rsidRPr="00BF2D3B">
              <w:rPr>
                <w:rFonts w:hint="eastAsia"/>
                <w:b/>
                <w:bCs/>
                <w:sz w:val="16"/>
                <w:szCs w:val="16"/>
                <w:rtl/>
              </w:rPr>
              <w:t>רווח</w:t>
            </w:r>
            <w:r w:rsidRPr="00BF2D3B">
              <w:rPr>
                <w:b/>
                <w:bCs/>
                <w:sz w:val="16"/>
                <w:szCs w:val="16"/>
                <w:rtl/>
              </w:rPr>
              <w:t xml:space="preserve"> </w:t>
            </w:r>
            <w:r w:rsidRPr="00BF2D3B">
              <w:rPr>
                <w:rFonts w:hint="eastAsia"/>
                <w:b/>
                <w:bCs/>
                <w:sz w:val="16"/>
                <w:szCs w:val="16"/>
                <w:rtl/>
              </w:rPr>
              <w:t>והפסד</w:t>
            </w:r>
          </w:p>
        </w:tc>
        <w:tc>
          <w:tcPr>
            <w:tcW w:w="939" w:type="dxa"/>
            <w:shd w:val="clear" w:color="auto" w:fill="auto"/>
            <w:tcMar>
              <w:left w:w="43" w:type="dxa"/>
              <w:right w:w="43" w:type="dxa"/>
            </w:tcMar>
            <w:vAlign w:val="bottom"/>
          </w:tcPr>
          <w:p w14:paraId="0620E692" w14:textId="77777777" w:rsidR="00E013B3" w:rsidRPr="00BF2D3B" w:rsidRDefault="00E013B3" w:rsidP="004F59A7">
            <w:pPr>
              <w:pBdr>
                <w:bottom w:val="single" w:sz="4" w:space="1" w:color="auto"/>
              </w:pBdr>
              <w:spacing w:line="192" w:lineRule="auto"/>
              <w:ind w:left="57" w:right="57"/>
              <w:jc w:val="center"/>
              <w:rPr>
                <w:b/>
                <w:bCs/>
                <w:sz w:val="16"/>
                <w:szCs w:val="16"/>
                <w:rtl/>
              </w:rPr>
            </w:pPr>
            <w:r w:rsidRPr="00BF2D3B">
              <w:rPr>
                <w:rFonts w:hint="eastAsia"/>
                <w:b/>
                <w:bCs/>
                <w:sz w:val="16"/>
                <w:szCs w:val="16"/>
                <w:rtl/>
              </w:rPr>
              <w:t>ברווח</w:t>
            </w:r>
            <w:r w:rsidRPr="00BF2D3B">
              <w:rPr>
                <w:b/>
                <w:bCs/>
                <w:sz w:val="16"/>
                <w:szCs w:val="16"/>
                <w:rtl/>
              </w:rPr>
              <w:t xml:space="preserve"> </w:t>
            </w:r>
            <w:r w:rsidRPr="00BF2D3B">
              <w:rPr>
                <w:rFonts w:hint="eastAsia"/>
                <w:b/>
                <w:bCs/>
                <w:sz w:val="16"/>
                <w:szCs w:val="16"/>
                <w:rtl/>
              </w:rPr>
              <w:t>כולל</w:t>
            </w:r>
            <w:r w:rsidRPr="00BF2D3B">
              <w:rPr>
                <w:b/>
                <w:bCs/>
                <w:sz w:val="16"/>
                <w:szCs w:val="16"/>
                <w:rtl/>
              </w:rPr>
              <w:t xml:space="preserve"> </w:t>
            </w:r>
            <w:r w:rsidRPr="00BF2D3B">
              <w:rPr>
                <w:rFonts w:hint="eastAsia"/>
                <w:b/>
                <w:bCs/>
                <w:sz w:val="16"/>
                <w:szCs w:val="16"/>
                <w:rtl/>
              </w:rPr>
              <w:t>אחר</w:t>
            </w:r>
            <w:r w:rsidRPr="00BF2D3B">
              <w:rPr>
                <w:b/>
                <w:bCs/>
                <w:sz w:val="16"/>
                <w:szCs w:val="16"/>
                <w:rtl/>
              </w:rPr>
              <w:t xml:space="preserve"> (בהון)</w:t>
            </w:r>
          </w:p>
        </w:tc>
        <w:tc>
          <w:tcPr>
            <w:tcW w:w="705" w:type="dxa"/>
            <w:shd w:val="clear" w:color="auto" w:fill="auto"/>
            <w:tcMar>
              <w:left w:w="43" w:type="dxa"/>
              <w:right w:w="43" w:type="dxa"/>
            </w:tcMar>
            <w:vAlign w:val="bottom"/>
          </w:tcPr>
          <w:p w14:paraId="373A207E" w14:textId="77777777" w:rsidR="00E013B3" w:rsidRPr="00BF2D3B" w:rsidRDefault="00E013B3" w:rsidP="004F59A7">
            <w:pPr>
              <w:pBdr>
                <w:bottom w:val="single" w:sz="4" w:space="1" w:color="auto"/>
              </w:pBdr>
              <w:spacing w:line="192" w:lineRule="auto"/>
              <w:ind w:left="57" w:right="57"/>
              <w:jc w:val="center"/>
              <w:rPr>
                <w:b/>
                <w:bCs/>
                <w:sz w:val="16"/>
                <w:szCs w:val="16"/>
                <w:rtl/>
              </w:rPr>
            </w:pPr>
            <w:r w:rsidRPr="00BF2D3B">
              <w:rPr>
                <w:rFonts w:hint="eastAsia"/>
                <w:b/>
                <w:bCs/>
                <w:sz w:val="16"/>
                <w:szCs w:val="16"/>
                <w:rtl/>
              </w:rPr>
              <w:t>רכישות</w:t>
            </w:r>
          </w:p>
        </w:tc>
        <w:tc>
          <w:tcPr>
            <w:tcW w:w="829" w:type="dxa"/>
            <w:shd w:val="clear" w:color="auto" w:fill="auto"/>
            <w:tcMar>
              <w:left w:w="43" w:type="dxa"/>
              <w:right w:w="43" w:type="dxa"/>
            </w:tcMar>
            <w:vAlign w:val="bottom"/>
          </w:tcPr>
          <w:p w14:paraId="4BFD571E" w14:textId="77777777" w:rsidR="00E013B3" w:rsidRPr="00BF2D3B" w:rsidRDefault="00E013B3" w:rsidP="004F59A7">
            <w:pPr>
              <w:pBdr>
                <w:bottom w:val="single" w:sz="4" w:space="1" w:color="auto"/>
              </w:pBdr>
              <w:spacing w:line="192" w:lineRule="auto"/>
              <w:ind w:left="28" w:right="28"/>
              <w:jc w:val="center"/>
              <w:rPr>
                <w:b/>
                <w:bCs/>
                <w:sz w:val="16"/>
                <w:szCs w:val="16"/>
                <w:rtl/>
              </w:rPr>
            </w:pPr>
            <w:r w:rsidRPr="00BF2D3B">
              <w:rPr>
                <w:rFonts w:hint="eastAsia"/>
                <w:b/>
                <w:bCs/>
                <w:sz w:val="16"/>
                <w:szCs w:val="16"/>
                <w:rtl/>
              </w:rPr>
              <w:t>הנפקות</w:t>
            </w:r>
          </w:p>
        </w:tc>
        <w:tc>
          <w:tcPr>
            <w:tcW w:w="704" w:type="dxa"/>
            <w:shd w:val="clear" w:color="auto" w:fill="auto"/>
            <w:tcMar>
              <w:left w:w="43" w:type="dxa"/>
              <w:right w:w="43" w:type="dxa"/>
            </w:tcMar>
            <w:vAlign w:val="bottom"/>
          </w:tcPr>
          <w:p w14:paraId="5103EF77" w14:textId="77777777" w:rsidR="00E013B3" w:rsidRPr="00BF2D3B" w:rsidRDefault="00E013B3" w:rsidP="004F59A7">
            <w:pPr>
              <w:pBdr>
                <w:bottom w:val="single" w:sz="4" w:space="1" w:color="auto"/>
              </w:pBdr>
              <w:spacing w:line="192" w:lineRule="auto"/>
              <w:ind w:left="57" w:right="57"/>
              <w:jc w:val="center"/>
              <w:rPr>
                <w:b/>
                <w:bCs/>
                <w:sz w:val="16"/>
                <w:szCs w:val="16"/>
                <w:rtl/>
              </w:rPr>
            </w:pPr>
            <w:r w:rsidRPr="00BF2D3B">
              <w:rPr>
                <w:rFonts w:hint="eastAsia"/>
                <w:b/>
                <w:bCs/>
                <w:sz w:val="16"/>
                <w:szCs w:val="16"/>
                <w:rtl/>
              </w:rPr>
              <w:t>מכירות</w:t>
            </w:r>
          </w:p>
        </w:tc>
        <w:tc>
          <w:tcPr>
            <w:tcW w:w="747" w:type="dxa"/>
            <w:shd w:val="clear" w:color="auto" w:fill="auto"/>
            <w:tcMar>
              <w:left w:w="43" w:type="dxa"/>
              <w:right w:w="43" w:type="dxa"/>
            </w:tcMar>
            <w:vAlign w:val="bottom"/>
          </w:tcPr>
          <w:p w14:paraId="1F0692B5" w14:textId="77777777" w:rsidR="00E013B3" w:rsidRPr="00BF2D3B" w:rsidRDefault="00E013B3" w:rsidP="004F59A7">
            <w:pPr>
              <w:pBdr>
                <w:bottom w:val="single" w:sz="4" w:space="1" w:color="auto"/>
              </w:pBdr>
              <w:spacing w:line="192" w:lineRule="auto"/>
              <w:ind w:left="57" w:right="57"/>
              <w:jc w:val="center"/>
              <w:rPr>
                <w:b/>
                <w:bCs/>
                <w:sz w:val="16"/>
                <w:szCs w:val="16"/>
                <w:rtl/>
              </w:rPr>
            </w:pPr>
            <w:r w:rsidRPr="00BF2D3B">
              <w:rPr>
                <w:rFonts w:hint="eastAsia"/>
                <w:b/>
                <w:bCs/>
                <w:sz w:val="16"/>
                <w:szCs w:val="16"/>
                <w:rtl/>
              </w:rPr>
              <w:t>סילוקים</w:t>
            </w:r>
          </w:p>
        </w:tc>
        <w:tc>
          <w:tcPr>
            <w:tcW w:w="673" w:type="dxa"/>
            <w:shd w:val="clear" w:color="auto" w:fill="auto"/>
            <w:tcMar>
              <w:left w:w="43" w:type="dxa"/>
              <w:right w:w="43" w:type="dxa"/>
            </w:tcMar>
            <w:vAlign w:val="bottom"/>
          </w:tcPr>
          <w:p w14:paraId="5A36E180" w14:textId="77777777" w:rsidR="00E013B3" w:rsidRPr="00BF2D3B" w:rsidRDefault="00E013B3" w:rsidP="004F59A7">
            <w:pPr>
              <w:pBdr>
                <w:bottom w:val="single" w:sz="4" w:space="1" w:color="auto"/>
              </w:pBdr>
              <w:spacing w:line="192" w:lineRule="auto"/>
              <w:ind w:left="57" w:right="57"/>
              <w:jc w:val="center"/>
              <w:rPr>
                <w:b/>
                <w:bCs/>
                <w:sz w:val="16"/>
                <w:szCs w:val="16"/>
                <w:rtl/>
              </w:rPr>
            </w:pPr>
            <w:r w:rsidRPr="00BF2D3B">
              <w:rPr>
                <w:rFonts w:hint="cs"/>
                <w:b/>
                <w:bCs/>
                <w:sz w:val="16"/>
                <w:szCs w:val="16"/>
                <w:rtl/>
              </w:rPr>
              <w:t>אל</w:t>
            </w:r>
            <w:r w:rsidRPr="00BF2D3B">
              <w:rPr>
                <w:b/>
                <w:bCs/>
                <w:sz w:val="16"/>
                <w:szCs w:val="16"/>
                <w:rtl/>
              </w:rPr>
              <w:br/>
            </w:r>
            <w:r w:rsidRPr="00BF2D3B">
              <w:rPr>
                <w:rFonts w:hint="eastAsia"/>
                <w:b/>
                <w:bCs/>
                <w:sz w:val="16"/>
                <w:szCs w:val="16"/>
                <w:rtl/>
              </w:rPr>
              <w:t>רמה</w:t>
            </w:r>
            <w:r w:rsidRPr="00BF2D3B">
              <w:rPr>
                <w:b/>
                <w:bCs/>
                <w:sz w:val="16"/>
                <w:szCs w:val="16"/>
                <w:rtl/>
              </w:rPr>
              <w:t xml:space="preserve"> 3</w:t>
            </w:r>
          </w:p>
        </w:tc>
        <w:tc>
          <w:tcPr>
            <w:tcW w:w="752" w:type="dxa"/>
            <w:shd w:val="clear" w:color="auto" w:fill="auto"/>
            <w:tcMar>
              <w:left w:w="43" w:type="dxa"/>
              <w:right w:w="43" w:type="dxa"/>
            </w:tcMar>
            <w:vAlign w:val="bottom"/>
          </w:tcPr>
          <w:p w14:paraId="0675CABD" w14:textId="77777777" w:rsidR="00E013B3" w:rsidRPr="00BF2D3B" w:rsidRDefault="00E013B3" w:rsidP="004F59A7">
            <w:pPr>
              <w:pBdr>
                <w:bottom w:val="single" w:sz="4" w:space="1" w:color="auto"/>
              </w:pBdr>
              <w:spacing w:line="192" w:lineRule="auto"/>
              <w:ind w:left="57" w:right="57"/>
              <w:jc w:val="center"/>
              <w:rPr>
                <w:b/>
                <w:bCs/>
                <w:sz w:val="16"/>
                <w:szCs w:val="16"/>
                <w:rtl/>
              </w:rPr>
            </w:pPr>
            <w:r w:rsidRPr="00BF2D3B">
              <w:rPr>
                <w:rFonts w:hint="eastAsia"/>
                <w:b/>
                <w:bCs/>
                <w:sz w:val="16"/>
                <w:szCs w:val="16"/>
                <w:rtl/>
              </w:rPr>
              <w:t>מרמה</w:t>
            </w:r>
            <w:r w:rsidRPr="00BF2D3B">
              <w:rPr>
                <w:b/>
                <w:bCs/>
                <w:sz w:val="16"/>
                <w:szCs w:val="16"/>
                <w:rtl/>
              </w:rPr>
              <w:t xml:space="preserve"> 3</w:t>
            </w:r>
          </w:p>
        </w:tc>
        <w:tc>
          <w:tcPr>
            <w:tcW w:w="997" w:type="dxa"/>
            <w:vMerge/>
            <w:shd w:val="clear" w:color="auto" w:fill="auto"/>
            <w:vAlign w:val="bottom"/>
          </w:tcPr>
          <w:p w14:paraId="6FEF62F7" w14:textId="77777777" w:rsidR="00E013B3" w:rsidRPr="00BF2D3B" w:rsidRDefault="00E013B3" w:rsidP="004F59A7">
            <w:pPr>
              <w:pBdr>
                <w:bottom w:val="single" w:sz="4" w:space="1" w:color="auto"/>
              </w:pBdr>
              <w:spacing w:line="192" w:lineRule="auto"/>
              <w:ind w:left="57" w:right="57"/>
              <w:jc w:val="center"/>
              <w:rPr>
                <w:b/>
                <w:bCs/>
                <w:sz w:val="16"/>
                <w:szCs w:val="16"/>
                <w:rtl/>
              </w:rPr>
            </w:pPr>
          </w:p>
        </w:tc>
        <w:tc>
          <w:tcPr>
            <w:tcW w:w="988" w:type="dxa"/>
            <w:vMerge/>
            <w:shd w:val="clear" w:color="auto" w:fill="auto"/>
            <w:tcMar>
              <w:left w:w="43" w:type="dxa"/>
              <w:right w:w="43" w:type="dxa"/>
            </w:tcMar>
            <w:vAlign w:val="bottom"/>
          </w:tcPr>
          <w:p w14:paraId="4DB4814F" w14:textId="77777777" w:rsidR="00E013B3" w:rsidRPr="00BF2D3B" w:rsidRDefault="00E013B3" w:rsidP="004F59A7">
            <w:pPr>
              <w:pBdr>
                <w:bottom w:val="single" w:sz="4" w:space="1" w:color="auto"/>
              </w:pBdr>
              <w:spacing w:line="192" w:lineRule="auto"/>
              <w:ind w:left="57" w:right="57"/>
              <w:jc w:val="center"/>
              <w:rPr>
                <w:b/>
                <w:bCs/>
                <w:sz w:val="16"/>
                <w:szCs w:val="16"/>
                <w:rtl/>
              </w:rPr>
            </w:pPr>
          </w:p>
        </w:tc>
        <w:tc>
          <w:tcPr>
            <w:tcW w:w="1702" w:type="dxa"/>
            <w:vMerge/>
            <w:shd w:val="clear" w:color="auto" w:fill="auto"/>
            <w:tcMar>
              <w:left w:w="29" w:type="dxa"/>
              <w:right w:w="29" w:type="dxa"/>
            </w:tcMar>
            <w:vAlign w:val="bottom"/>
          </w:tcPr>
          <w:p w14:paraId="20D19CFA" w14:textId="77777777" w:rsidR="00E013B3" w:rsidRPr="00BF2D3B" w:rsidRDefault="00E013B3" w:rsidP="004F59A7">
            <w:pPr>
              <w:spacing w:line="192" w:lineRule="auto"/>
              <w:ind w:left="57" w:right="57"/>
              <w:jc w:val="center"/>
              <w:rPr>
                <w:b/>
                <w:bCs/>
                <w:sz w:val="16"/>
                <w:szCs w:val="16"/>
                <w:rtl/>
              </w:rPr>
            </w:pPr>
          </w:p>
        </w:tc>
      </w:tr>
      <w:tr w:rsidR="00FC6A6C" w:rsidRPr="00543C25" w14:paraId="49A64873" w14:textId="77777777" w:rsidTr="004F59A7">
        <w:trPr>
          <w:trHeight w:val="215"/>
        </w:trPr>
        <w:tc>
          <w:tcPr>
            <w:tcW w:w="1560" w:type="dxa"/>
            <w:tcBorders>
              <w:right w:val="nil"/>
            </w:tcBorders>
            <w:shd w:val="clear" w:color="auto" w:fill="auto"/>
          </w:tcPr>
          <w:p w14:paraId="3CE4B4F4" w14:textId="77777777" w:rsidR="00FC6A6C" w:rsidRPr="003425A3" w:rsidRDefault="00FC6A6C" w:rsidP="00FC6A6C">
            <w:pPr>
              <w:pStyle w:val="-f"/>
              <w:rPr>
                <w:sz w:val="16"/>
                <w:szCs w:val="16"/>
                <w:rtl/>
              </w:rPr>
            </w:pPr>
          </w:p>
        </w:tc>
        <w:tc>
          <w:tcPr>
            <w:tcW w:w="3122" w:type="dxa"/>
            <w:tcBorders>
              <w:top w:val="nil"/>
              <w:left w:val="nil"/>
              <w:bottom w:val="nil"/>
              <w:right w:val="nil"/>
            </w:tcBorders>
            <w:shd w:val="clear" w:color="auto" w:fill="auto"/>
            <w:vAlign w:val="bottom"/>
          </w:tcPr>
          <w:p w14:paraId="466F346A" w14:textId="2627601C" w:rsidR="00FC6A6C" w:rsidRDefault="00FC6A6C" w:rsidP="00BF2D3B">
            <w:pPr>
              <w:pStyle w:val="-f"/>
              <w:ind w:left="560" w:hanging="235"/>
              <w:rPr>
                <w:sz w:val="17"/>
                <w:szCs w:val="17"/>
                <w:rtl/>
              </w:rPr>
            </w:pPr>
            <w:r w:rsidRPr="00AE5815">
              <w:rPr>
                <w:rFonts w:hint="cs"/>
                <w:sz w:val="16"/>
                <w:szCs w:val="16"/>
                <w:rtl/>
              </w:rPr>
              <w:t>נכסים</w:t>
            </w:r>
          </w:p>
        </w:tc>
        <w:tc>
          <w:tcPr>
            <w:tcW w:w="850" w:type="dxa"/>
            <w:shd w:val="clear" w:color="auto" w:fill="auto"/>
            <w:vAlign w:val="bottom"/>
          </w:tcPr>
          <w:p w14:paraId="333AAECF" w14:textId="77777777" w:rsidR="00FC6A6C" w:rsidRPr="00046EFB" w:rsidRDefault="00FC6A6C" w:rsidP="00FC6A6C">
            <w:pPr>
              <w:pStyle w:val="-0"/>
              <w:ind w:left="0" w:firstLine="0"/>
              <w:rPr>
                <w:sz w:val="17"/>
                <w:szCs w:val="17"/>
                <w:rtl/>
              </w:rPr>
            </w:pPr>
          </w:p>
        </w:tc>
        <w:tc>
          <w:tcPr>
            <w:tcW w:w="891" w:type="dxa"/>
            <w:shd w:val="clear" w:color="auto" w:fill="auto"/>
            <w:vAlign w:val="bottom"/>
          </w:tcPr>
          <w:p w14:paraId="6D510F0B" w14:textId="77777777" w:rsidR="00FC6A6C" w:rsidRPr="00046EFB" w:rsidRDefault="00FC6A6C" w:rsidP="00FC6A6C">
            <w:pPr>
              <w:pStyle w:val="-3"/>
              <w:rPr>
                <w:sz w:val="17"/>
                <w:szCs w:val="17"/>
                <w:rtl/>
              </w:rPr>
            </w:pPr>
          </w:p>
        </w:tc>
        <w:tc>
          <w:tcPr>
            <w:tcW w:w="939" w:type="dxa"/>
            <w:shd w:val="clear" w:color="auto" w:fill="auto"/>
            <w:vAlign w:val="bottom"/>
          </w:tcPr>
          <w:p w14:paraId="59BAFCA6" w14:textId="77777777" w:rsidR="00FC6A6C" w:rsidRPr="00046EFB" w:rsidRDefault="00FC6A6C" w:rsidP="00FC6A6C">
            <w:pPr>
              <w:pStyle w:val="-3"/>
              <w:rPr>
                <w:sz w:val="17"/>
                <w:szCs w:val="17"/>
                <w:rtl/>
              </w:rPr>
            </w:pPr>
          </w:p>
        </w:tc>
        <w:tc>
          <w:tcPr>
            <w:tcW w:w="705" w:type="dxa"/>
            <w:shd w:val="clear" w:color="auto" w:fill="auto"/>
            <w:vAlign w:val="bottom"/>
          </w:tcPr>
          <w:p w14:paraId="757B5C9F" w14:textId="77777777" w:rsidR="00FC6A6C" w:rsidRPr="00046EFB" w:rsidRDefault="00FC6A6C" w:rsidP="00FC6A6C">
            <w:pPr>
              <w:pStyle w:val="-3"/>
              <w:rPr>
                <w:sz w:val="17"/>
                <w:szCs w:val="17"/>
                <w:rtl/>
              </w:rPr>
            </w:pPr>
          </w:p>
        </w:tc>
        <w:tc>
          <w:tcPr>
            <w:tcW w:w="829" w:type="dxa"/>
            <w:shd w:val="clear" w:color="auto" w:fill="auto"/>
            <w:vAlign w:val="bottom"/>
          </w:tcPr>
          <w:p w14:paraId="189D2451" w14:textId="77777777" w:rsidR="00FC6A6C" w:rsidRPr="00046EFB" w:rsidRDefault="00FC6A6C" w:rsidP="00FC6A6C">
            <w:pPr>
              <w:pStyle w:val="-3"/>
              <w:rPr>
                <w:sz w:val="17"/>
                <w:szCs w:val="17"/>
                <w:rtl/>
              </w:rPr>
            </w:pPr>
          </w:p>
        </w:tc>
        <w:tc>
          <w:tcPr>
            <w:tcW w:w="704" w:type="dxa"/>
            <w:shd w:val="clear" w:color="auto" w:fill="auto"/>
            <w:vAlign w:val="bottom"/>
          </w:tcPr>
          <w:p w14:paraId="5F870846" w14:textId="77777777" w:rsidR="00FC6A6C" w:rsidRPr="00046EFB" w:rsidRDefault="00FC6A6C" w:rsidP="00FC6A6C">
            <w:pPr>
              <w:pStyle w:val="-3"/>
              <w:rPr>
                <w:sz w:val="17"/>
                <w:szCs w:val="17"/>
                <w:rtl/>
              </w:rPr>
            </w:pPr>
          </w:p>
        </w:tc>
        <w:tc>
          <w:tcPr>
            <w:tcW w:w="747" w:type="dxa"/>
            <w:shd w:val="clear" w:color="auto" w:fill="auto"/>
            <w:vAlign w:val="bottom"/>
          </w:tcPr>
          <w:p w14:paraId="5A553EE5" w14:textId="77777777" w:rsidR="00FC6A6C" w:rsidRPr="00046EFB" w:rsidRDefault="00FC6A6C" w:rsidP="00FC6A6C">
            <w:pPr>
              <w:pStyle w:val="-3"/>
              <w:rPr>
                <w:sz w:val="17"/>
                <w:szCs w:val="17"/>
                <w:rtl/>
              </w:rPr>
            </w:pPr>
          </w:p>
        </w:tc>
        <w:tc>
          <w:tcPr>
            <w:tcW w:w="673" w:type="dxa"/>
            <w:shd w:val="clear" w:color="auto" w:fill="auto"/>
            <w:vAlign w:val="bottom"/>
          </w:tcPr>
          <w:p w14:paraId="135AAC63" w14:textId="77777777" w:rsidR="00FC6A6C" w:rsidRPr="00046EFB" w:rsidRDefault="00FC6A6C" w:rsidP="00FC6A6C">
            <w:pPr>
              <w:pStyle w:val="-3"/>
              <w:rPr>
                <w:sz w:val="17"/>
                <w:szCs w:val="17"/>
                <w:rtl/>
              </w:rPr>
            </w:pPr>
          </w:p>
        </w:tc>
        <w:tc>
          <w:tcPr>
            <w:tcW w:w="752" w:type="dxa"/>
            <w:shd w:val="clear" w:color="auto" w:fill="auto"/>
            <w:vAlign w:val="bottom"/>
          </w:tcPr>
          <w:p w14:paraId="18941999" w14:textId="77777777" w:rsidR="00FC6A6C" w:rsidRPr="00046EFB" w:rsidRDefault="00FC6A6C" w:rsidP="00FC6A6C">
            <w:pPr>
              <w:pStyle w:val="-3"/>
              <w:rPr>
                <w:sz w:val="17"/>
                <w:szCs w:val="17"/>
                <w:rtl/>
              </w:rPr>
            </w:pPr>
          </w:p>
        </w:tc>
        <w:tc>
          <w:tcPr>
            <w:tcW w:w="997" w:type="dxa"/>
            <w:shd w:val="clear" w:color="auto" w:fill="auto"/>
            <w:vAlign w:val="bottom"/>
          </w:tcPr>
          <w:p w14:paraId="04A6CEF0" w14:textId="77777777" w:rsidR="00FC6A6C" w:rsidRPr="00046EFB" w:rsidRDefault="00FC6A6C" w:rsidP="00FC6A6C">
            <w:pPr>
              <w:pStyle w:val="-3"/>
              <w:rPr>
                <w:sz w:val="17"/>
                <w:szCs w:val="17"/>
                <w:rtl/>
              </w:rPr>
            </w:pPr>
          </w:p>
        </w:tc>
        <w:tc>
          <w:tcPr>
            <w:tcW w:w="988" w:type="dxa"/>
            <w:shd w:val="clear" w:color="auto" w:fill="auto"/>
            <w:vAlign w:val="bottom"/>
          </w:tcPr>
          <w:p w14:paraId="0E5D8430" w14:textId="77777777" w:rsidR="00FC6A6C" w:rsidRPr="00046EFB" w:rsidRDefault="00FC6A6C" w:rsidP="00FC6A6C">
            <w:pPr>
              <w:pStyle w:val="-3"/>
              <w:rPr>
                <w:sz w:val="17"/>
                <w:szCs w:val="17"/>
                <w:rtl/>
              </w:rPr>
            </w:pPr>
          </w:p>
        </w:tc>
        <w:tc>
          <w:tcPr>
            <w:tcW w:w="1702" w:type="dxa"/>
            <w:shd w:val="clear" w:color="auto" w:fill="auto"/>
            <w:vAlign w:val="bottom"/>
          </w:tcPr>
          <w:p w14:paraId="34FF8536" w14:textId="311462F9" w:rsidR="00FC6A6C" w:rsidRPr="00F745FF" w:rsidRDefault="00FC6A6C" w:rsidP="00FC6A6C">
            <w:pPr>
              <w:jc w:val="center"/>
              <w:rPr>
                <w:rtl/>
              </w:rPr>
            </w:pPr>
          </w:p>
        </w:tc>
      </w:tr>
      <w:tr w:rsidR="00FC6A6C" w:rsidRPr="00543C25" w14:paraId="7C6764E7" w14:textId="77777777" w:rsidTr="00400DD1">
        <w:tc>
          <w:tcPr>
            <w:tcW w:w="1560" w:type="dxa"/>
            <w:shd w:val="clear" w:color="auto" w:fill="auto"/>
          </w:tcPr>
          <w:p w14:paraId="0B3649D5" w14:textId="77777777" w:rsidR="00FC6A6C" w:rsidRPr="003425A3" w:rsidRDefault="00FC6A6C" w:rsidP="00FC6A6C">
            <w:pPr>
              <w:pStyle w:val="-0"/>
              <w:ind w:left="720"/>
              <w:rPr>
                <w:sz w:val="16"/>
                <w:szCs w:val="16"/>
                <w:rtl/>
              </w:rPr>
            </w:pPr>
          </w:p>
        </w:tc>
        <w:tc>
          <w:tcPr>
            <w:tcW w:w="3122" w:type="dxa"/>
            <w:tcBorders>
              <w:top w:val="nil"/>
              <w:left w:val="nil"/>
              <w:bottom w:val="nil"/>
              <w:right w:val="nil"/>
            </w:tcBorders>
            <w:shd w:val="clear" w:color="auto" w:fill="auto"/>
            <w:vAlign w:val="bottom"/>
          </w:tcPr>
          <w:p w14:paraId="3CBB32FE" w14:textId="1B952603" w:rsidR="00FC6A6C" w:rsidRPr="00FC6A6C" w:rsidRDefault="00FC6A6C" w:rsidP="00BF2D3B">
            <w:pPr>
              <w:pStyle w:val="-0"/>
              <w:spacing w:line="240" w:lineRule="auto"/>
              <w:ind w:left="467" w:hanging="114"/>
              <w:rPr>
                <w:sz w:val="17"/>
                <w:szCs w:val="17"/>
                <w:rtl/>
              </w:rPr>
            </w:pPr>
            <w:r w:rsidRPr="00FC6A6C">
              <w:rPr>
                <w:rFonts w:hint="cs"/>
                <w:sz w:val="16"/>
                <w:szCs w:val="16"/>
                <w:rtl/>
              </w:rPr>
              <w:t xml:space="preserve">אגרות חוב זמינות למכירה ומניות שאינן למסחר </w:t>
            </w:r>
            <w:r w:rsidRPr="00FC6A6C">
              <w:rPr>
                <w:rFonts w:hint="cs"/>
                <w:sz w:val="16"/>
                <w:szCs w:val="16"/>
                <w:vertAlign w:val="superscript"/>
                <w:rtl/>
              </w:rPr>
              <w:t>[</w:t>
            </w:r>
            <w:r w:rsidRPr="00FC6A6C">
              <w:rPr>
                <w:rStyle w:val="a7"/>
                <w:sz w:val="16"/>
                <w:szCs w:val="16"/>
                <w:rtl/>
              </w:rPr>
              <w:footnoteReference w:id="129"/>
            </w:r>
            <w:r w:rsidRPr="00FC6A6C">
              <w:rPr>
                <w:rFonts w:hint="cs"/>
                <w:sz w:val="16"/>
                <w:szCs w:val="16"/>
                <w:vertAlign w:val="superscript"/>
                <w:rtl/>
              </w:rPr>
              <w:t>]</w:t>
            </w:r>
          </w:p>
        </w:tc>
        <w:tc>
          <w:tcPr>
            <w:tcW w:w="850" w:type="dxa"/>
            <w:vAlign w:val="bottom"/>
          </w:tcPr>
          <w:p w14:paraId="74A0001B" w14:textId="526AC269" w:rsidR="00FC6A6C" w:rsidRPr="00046EFB" w:rsidRDefault="00FC6A6C" w:rsidP="00FC6A6C">
            <w:pPr>
              <w:pStyle w:val="-3"/>
              <w:rPr>
                <w:sz w:val="17"/>
                <w:szCs w:val="17"/>
                <w:rtl/>
              </w:rPr>
            </w:pPr>
            <w:r w:rsidRPr="00532A1C">
              <w:rPr>
                <w:sz w:val="17"/>
                <w:szCs w:val="17"/>
                <w:rtl/>
              </w:rPr>
              <w:t xml:space="preserve"> 0</w:t>
            </w:r>
          </w:p>
        </w:tc>
        <w:tc>
          <w:tcPr>
            <w:tcW w:w="891" w:type="dxa"/>
            <w:vAlign w:val="bottom"/>
          </w:tcPr>
          <w:p w14:paraId="3930F0BD" w14:textId="7900F9BB" w:rsidR="00FC6A6C" w:rsidRPr="00046EFB" w:rsidRDefault="00FC6A6C" w:rsidP="00FC6A6C">
            <w:pPr>
              <w:pStyle w:val="-3"/>
              <w:rPr>
                <w:sz w:val="17"/>
                <w:szCs w:val="17"/>
                <w:rtl/>
              </w:rPr>
            </w:pPr>
            <w:r w:rsidRPr="00532A1C">
              <w:rPr>
                <w:sz w:val="17"/>
                <w:szCs w:val="17"/>
                <w:rtl/>
              </w:rPr>
              <w:t xml:space="preserve"> 0</w:t>
            </w:r>
            <w:r w:rsidRPr="00532A1C">
              <w:rPr>
                <w:sz w:val="17"/>
                <w:szCs w:val="17"/>
                <w:vertAlign w:val="superscript"/>
                <w:rtl/>
              </w:rPr>
              <w:t xml:space="preserve">(א) </w:t>
            </w:r>
          </w:p>
        </w:tc>
        <w:tc>
          <w:tcPr>
            <w:tcW w:w="939" w:type="dxa"/>
            <w:vAlign w:val="bottom"/>
          </w:tcPr>
          <w:p w14:paraId="25904FEA" w14:textId="1036824F" w:rsidR="00FC6A6C" w:rsidRPr="00046EFB" w:rsidRDefault="00FC6A6C" w:rsidP="00FC6A6C">
            <w:pPr>
              <w:pStyle w:val="-3"/>
              <w:rPr>
                <w:sz w:val="17"/>
                <w:szCs w:val="17"/>
                <w:rtl/>
              </w:rPr>
            </w:pPr>
            <w:r w:rsidRPr="00532A1C">
              <w:rPr>
                <w:sz w:val="17"/>
                <w:szCs w:val="17"/>
                <w:rtl/>
              </w:rPr>
              <w:t xml:space="preserve"> 0</w:t>
            </w:r>
            <w:r w:rsidRPr="00532A1C">
              <w:rPr>
                <w:sz w:val="17"/>
                <w:szCs w:val="17"/>
                <w:vertAlign w:val="superscript"/>
                <w:rtl/>
              </w:rPr>
              <w:t xml:space="preserve">(א) </w:t>
            </w:r>
          </w:p>
        </w:tc>
        <w:tc>
          <w:tcPr>
            <w:tcW w:w="705" w:type="dxa"/>
            <w:vAlign w:val="bottom"/>
          </w:tcPr>
          <w:p w14:paraId="2C5681E6" w14:textId="115080B7" w:rsidR="00FC6A6C" w:rsidRPr="00046EFB" w:rsidRDefault="00FC6A6C" w:rsidP="00FC6A6C">
            <w:pPr>
              <w:pStyle w:val="-3"/>
              <w:rPr>
                <w:sz w:val="17"/>
                <w:szCs w:val="17"/>
                <w:rtl/>
              </w:rPr>
            </w:pPr>
            <w:r w:rsidRPr="00532A1C">
              <w:rPr>
                <w:sz w:val="17"/>
                <w:szCs w:val="17"/>
                <w:rtl/>
              </w:rPr>
              <w:t xml:space="preserve"> 0</w:t>
            </w:r>
          </w:p>
        </w:tc>
        <w:tc>
          <w:tcPr>
            <w:tcW w:w="829" w:type="dxa"/>
            <w:vAlign w:val="bottom"/>
          </w:tcPr>
          <w:p w14:paraId="0DC22FBF" w14:textId="5866B95B" w:rsidR="00FC6A6C" w:rsidRPr="00046EFB" w:rsidRDefault="00FC6A6C" w:rsidP="00FC6A6C">
            <w:pPr>
              <w:pStyle w:val="-3"/>
              <w:rPr>
                <w:sz w:val="17"/>
                <w:szCs w:val="17"/>
                <w:rtl/>
              </w:rPr>
            </w:pPr>
            <w:r>
              <w:rPr>
                <w:rFonts w:hint="cs"/>
                <w:sz w:val="17"/>
                <w:szCs w:val="17"/>
                <w:rtl/>
              </w:rPr>
              <w:t xml:space="preserve"> 0</w:t>
            </w:r>
          </w:p>
        </w:tc>
        <w:tc>
          <w:tcPr>
            <w:tcW w:w="704" w:type="dxa"/>
            <w:vAlign w:val="bottom"/>
          </w:tcPr>
          <w:p w14:paraId="6DAE6808" w14:textId="2A893E2C" w:rsidR="00FC6A6C" w:rsidRPr="00046EFB" w:rsidRDefault="00FC6A6C" w:rsidP="00FC6A6C">
            <w:pPr>
              <w:pStyle w:val="-3"/>
              <w:rPr>
                <w:sz w:val="17"/>
                <w:szCs w:val="17"/>
                <w:rtl/>
              </w:rPr>
            </w:pPr>
            <w:r w:rsidRPr="00532A1C">
              <w:rPr>
                <w:sz w:val="17"/>
                <w:szCs w:val="17"/>
                <w:rtl/>
              </w:rPr>
              <w:t>(0)</w:t>
            </w:r>
          </w:p>
        </w:tc>
        <w:tc>
          <w:tcPr>
            <w:tcW w:w="747" w:type="dxa"/>
            <w:vAlign w:val="bottom"/>
          </w:tcPr>
          <w:p w14:paraId="56D9FD35" w14:textId="4E95AACE" w:rsidR="00FC6A6C" w:rsidRPr="00046EFB" w:rsidRDefault="00FC6A6C" w:rsidP="00FC6A6C">
            <w:pPr>
              <w:pStyle w:val="-3"/>
              <w:rPr>
                <w:sz w:val="17"/>
                <w:szCs w:val="17"/>
                <w:rtl/>
              </w:rPr>
            </w:pPr>
            <w:r w:rsidRPr="00532A1C">
              <w:rPr>
                <w:sz w:val="17"/>
                <w:szCs w:val="17"/>
                <w:rtl/>
              </w:rPr>
              <w:t>(0)</w:t>
            </w:r>
          </w:p>
        </w:tc>
        <w:tc>
          <w:tcPr>
            <w:tcW w:w="673" w:type="dxa"/>
            <w:vAlign w:val="bottom"/>
          </w:tcPr>
          <w:p w14:paraId="03D3AF4D" w14:textId="0298EB47" w:rsidR="00FC6A6C" w:rsidRPr="00046EFB" w:rsidRDefault="00FC6A6C" w:rsidP="00FC6A6C">
            <w:pPr>
              <w:pStyle w:val="-3"/>
              <w:rPr>
                <w:sz w:val="17"/>
                <w:szCs w:val="17"/>
                <w:rtl/>
              </w:rPr>
            </w:pPr>
            <w:r w:rsidRPr="00532A1C">
              <w:rPr>
                <w:sz w:val="17"/>
                <w:szCs w:val="17"/>
                <w:rtl/>
              </w:rPr>
              <w:t xml:space="preserve"> 0</w:t>
            </w:r>
          </w:p>
        </w:tc>
        <w:tc>
          <w:tcPr>
            <w:tcW w:w="752" w:type="dxa"/>
            <w:vAlign w:val="bottom"/>
          </w:tcPr>
          <w:p w14:paraId="6AF8D6AA" w14:textId="2E560361" w:rsidR="00FC6A6C" w:rsidRPr="00046EFB" w:rsidRDefault="00FC6A6C" w:rsidP="00FC6A6C">
            <w:pPr>
              <w:pStyle w:val="-3"/>
              <w:rPr>
                <w:sz w:val="17"/>
                <w:szCs w:val="17"/>
                <w:rtl/>
              </w:rPr>
            </w:pPr>
            <w:r w:rsidRPr="00532A1C">
              <w:rPr>
                <w:sz w:val="17"/>
                <w:szCs w:val="17"/>
                <w:rtl/>
              </w:rPr>
              <w:t>(0)</w:t>
            </w:r>
          </w:p>
        </w:tc>
        <w:tc>
          <w:tcPr>
            <w:tcW w:w="997" w:type="dxa"/>
            <w:vAlign w:val="bottom"/>
          </w:tcPr>
          <w:p w14:paraId="675032B7" w14:textId="22465085" w:rsidR="00FC6A6C" w:rsidRPr="00046EFB" w:rsidRDefault="00FC6A6C" w:rsidP="00FC6A6C">
            <w:pPr>
              <w:pStyle w:val="-3"/>
              <w:rPr>
                <w:sz w:val="17"/>
                <w:szCs w:val="17"/>
                <w:rtl/>
              </w:rPr>
            </w:pPr>
            <w:r w:rsidRPr="00532A1C">
              <w:rPr>
                <w:sz w:val="17"/>
                <w:szCs w:val="17"/>
                <w:rtl/>
              </w:rPr>
              <w:t xml:space="preserve"> 0</w:t>
            </w:r>
          </w:p>
        </w:tc>
        <w:tc>
          <w:tcPr>
            <w:tcW w:w="988" w:type="dxa"/>
            <w:vAlign w:val="bottom"/>
          </w:tcPr>
          <w:p w14:paraId="0AB6732C" w14:textId="51BA58B3" w:rsidR="00FC6A6C" w:rsidRPr="00046EFB" w:rsidRDefault="00FC6A6C" w:rsidP="00FC6A6C">
            <w:pPr>
              <w:pStyle w:val="-3"/>
              <w:rPr>
                <w:sz w:val="17"/>
                <w:szCs w:val="17"/>
                <w:rtl/>
              </w:rPr>
            </w:pPr>
            <w:r w:rsidRPr="00532A1C">
              <w:rPr>
                <w:sz w:val="17"/>
                <w:szCs w:val="17"/>
                <w:rtl/>
              </w:rPr>
              <w:t xml:space="preserve"> 0</w:t>
            </w:r>
          </w:p>
        </w:tc>
        <w:tc>
          <w:tcPr>
            <w:tcW w:w="1702" w:type="dxa"/>
            <w:vAlign w:val="bottom"/>
          </w:tcPr>
          <w:p w14:paraId="35A0FF1A" w14:textId="43F91837" w:rsidR="00FC6A6C" w:rsidRPr="00046EFB" w:rsidRDefault="00FC6A6C" w:rsidP="00FC6A6C">
            <w:pPr>
              <w:pStyle w:val="-3"/>
              <w:rPr>
                <w:sz w:val="17"/>
                <w:szCs w:val="17"/>
                <w:rtl/>
              </w:rPr>
            </w:pPr>
            <w:r w:rsidRPr="00532A1C">
              <w:rPr>
                <w:sz w:val="17"/>
                <w:szCs w:val="17"/>
                <w:rtl/>
              </w:rPr>
              <w:t xml:space="preserve">  0</w:t>
            </w:r>
            <w:r w:rsidRPr="00532A1C">
              <w:rPr>
                <w:sz w:val="17"/>
                <w:szCs w:val="17"/>
                <w:vertAlign w:val="superscript"/>
                <w:rtl/>
              </w:rPr>
              <w:t>(א)</w:t>
            </w:r>
          </w:p>
        </w:tc>
      </w:tr>
      <w:tr w:rsidR="00FC6A6C" w:rsidRPr="00543C25" w14:paraId="6E5DC5AC" w14:textId="77777777" w:rsidTr="00400DD1">
        <w:tc>
          <w:tcPr>
            <w:tcW w:w="1560" w:type="dxa"/>
            <w:shd w:val="clear" w:color="auto" w:fill="auto"/>
          </w:tcPr>
          <w:p w14:paraId="2596F7AB" w14:textId="77777777" w:rsidR="00FC6A6C" w:rsidRPr="003425A3" w:rsidRDefault="00FC6A6C" w:rsidP="00FC6A6C">
            <w:pPr>
              <w:pStyle w:val="-0"/>
              <w:ind w:left="720"/>
              <w:rPr>
                <w:sz w:val="16"/>
                <w:szCs w:val="16"/>
                <w:rtl/>
              </w:rPr>
            </w:pPr>
          </w:p>
        </w:tc>
        <w:tc>
          <w:tcPr>
            <w:tcW w:w="3122" w:type="dxa"/>
            <w:tcBorders>
              <w:top w:val="nil"/>
              <w:left w:val="nil"/>
              <w:bottom w:val="nil"/>
              <w:right w:val="nil"/>
            </w:tcBorders>
            <w:shd w:val="clear" w:color="auto" w:fill="auto"/>
            <w:vAlign w:val="bottom"/>
          </w:tcPr>
          <w:p w14:paraId="2BA81771" w14:textId="66F5E7E0" w:rsidR="00FC6A6C" w:rsidRPr="00FC6A6C" w:rsidRDefault="00FC6A6C" w:rsidP="00BF2D3B">
            <w:pPr>
              <w:pStyle w:val="-0"/>
              <w:spacing w:line="240" w:lineRule="auto"/>
              <w:ind w:left="467" w:hanging="114"/>
              <w:rPr>
                <w:sz w:val="17"/>
                <w:szCs w:val="17"/>
                <w:rtl/>
              </w:rPr>
            </w:pPr>
            <w:r w:rsidRPr="00FC6A6C">
              <w:rPr>
                <w:rFonts w:hint="cs"/>
                <w:sz w:val="16"/>
                <w:szCs w:val="16"/>
                <w:rtl/>
              </w:rPr>
              <w:t xml:space="preserve">ניירות ערך למסחר </w:t>
            </w:r>
            <w:r w:rsidRPr="00FC6A6C">
              <w:rPr>
                <w:rFonts w:hint="cs"/>
                <w:sz w:val="16"/>
                <w:szCs w:val="16"/>
                <w:vertAlign w:val="superscript"/>
                <w:rtl/>
              </w:rPr>
              <w:t>[1]</w:t>
            </w:r>
          </w:p>
        </w:tc>
        <w:tc>
          <w:tcPr>
            <w:tcW w:w="850" w:type="dxa"/>
            <w:vAlign w:val="bottom"/>
          </w:tcPr>
          <w:p w14:paraId="6A9805FE" w14:textId="40468011" w:rsidR="00FC6A6C" w:rsidRPr="00046EFB" w:rsidRDefault="00FC6A6C" w:rsidP="00FC6A6C">
            <w:pPr>
              <w:pStyle w:val="-3"/>
              <w:rPr>
                <w:sz w:val="17"/>
                <w:szCs w:val="17"/>
                <w:rtl/>
              </w:rPr>
            </w:pPr>
            <w:r w:rsidRPr="00532A1C">
              <w:rPr>
                <w:sz w:val="17"/>
                <w:szCs w:val="17"/>
                <w:rtl/>
              </w:rPr>
              <w:t xml:space="preserve"> 0</w:t>
            </w:r>
          </w:p>
        </w:tc>
        <w:tc>
          <w:tcPr>
            <w:tcW w:w="891" w:type="dxa"/>
            <w:vAlign w:val="bottom"/>
          </w:tcPr>
          <w:p w14:paraId="652AC719" w14:textId="3A25D5D6" w:rsidR="00FC6A6C" w:rsidRPr="00046EFB" w:rsidRDefault="00FC6A6C" w:rsidP="00FC6A6C">
            <w:pPr>
              <w:pStyle w:val="-3"/>
              <w:rPr>
                <w:sz w:val="17"/>
                <w:szCs w:val="17"/>
                <w:rtl/>
              </w:rPr>
            </w:pPr>
            <w:r w:rsidRPr="00532A1C">
              <w:rPr>
                <w:sz w:val="17"/>
                <w:szCs w:val="17"/>
                <w:rtl/>
              </w:rPr>
              <w:t xml:space="preserve"> 0</w:t>
            </w:r>
            <w:r w:rsidRPr="00532A1C">
              <w:rPr>
                <w:sz w:val="17"/>
                <w:szCs w:val="17"/>
                <w:vertAlign w:val="superscript"/>
                <w:rtl/>
              </w:rPr>
              <w:t xml:space="preserve">(ב) </w:t>
            </w:r>
          </w:p>
        </w:tc>
        <w:tc>
          <w:tcPr>
            <w:tcW w:w="939" w:type="dxa"/>
            <w:vAlign w:val="bottom"/>
          </w:tcPr>
          <w:p w14:paraId="35250484" w14:textId="255A4CAB" w:rsidR="00FC6A6C" w:rsidRPr="00046EFB" w:rsidRDefault="00FC6A6C" w:rsidP="00FC6A6C">
            <w:pPr>
              <w:pStyle w:val="-3"/>
              <w:rPr>
                <w:sz w:val="17"/>
                <w:szCs w:val="17"/>
                <w:rtl/>
              </w:rPr>
            </w:pPr>
            <w:r w:rsidRPr="00532A1C">
              <w:rPr>
                <w:sz w:val="17"/>
                <w:szCs w:val="17"/>
                <w:rtl/>
              </w:rPr>
              <w:t xml:space="preserve"> -</w:t>
            </w:r>
          </w:p>
        </w:tc>
        <w:tc>
          <w:tcPr>
            <w:tcW w:w="705" w:type="dxa"/>
            <w:vAlign w:val="bottom"/>
          </w:tcPr>
          <w:p w14:paraId="682B0E26" w14:textId="5A74D17A" w:rsidR="00FC6A6C" w:rsidRPr="00046EFB" w:rsidRDefault="00FC6A6C" w:rsidP="00FC6A6C">
            <w:pPr>
              <w:pStyle w:val="-3"/>
              <w:rPr>
                <w:sz w:val="17"/>
                <w:szCs w:val="17"/>
                <w:rtl/>
              </w:rPr>
            </w:pPr>
            <w:r w:rsidRPr="00532A1C">
              <w:rPr>
                <w:sz w:val="17"/>
                <w:szCs w:val="17"/>
                <w:rtl/>
              </w:rPr>
              <w:t xml:space="preserve"> 0</w:t>
            </w:r>
          </w:p>
        </w:tc>
        <w:tc>
          <w:tcPr>
            <w:tcW w:w="829" w:type="dxa"/>
            <w:vAlign w:val="bottom"/>
          </w:tcPr>
          <w:p w14:paraId="56CAAB9C" w14:textId="4E951C59" w:rsidR="00FC6A6C" w:rsidRPr="00046EFB" w:rsidRDefault="00FC6A6C" w:rsidP="00FC6A6C">
            <w:pPr>
              <w:pStyle w:val="-3"/>
              <w:rPr>
                <w:sz w:val="17"/>
                <w:szCs w:val="17"/>
                <w:rtl/>
              </w:rPr>
            </w:pPr>
            <w:r>
              <w:rPr>
                <w:rFonts w:hint="cs"/>
                <w:sz w:val="17"/>
                <w:szCs w:val="17"/>
                <w:rtl/>
              </w:rPr>
              <w:t xml:space="preserve"> 0</w:t>
            </w:r>
          </w:p>
        </w:tc>
        <w:tc>
          <w:tcPr>
            <w:tcW w:w="704" w:type="dxa"/>
            <w:vAlign w:val="bottom"/>
          </w:tcPr>
          <w:p w14:paraId="3826576A" w14:textId="020E85D3" w:rsidR="00FC6A6C" w:rsidRPr="00046EFB" w:rsidRDefault="00FC6A6C" w:rsidP="00FC6A6C">
            <w:pPr>
              <w:pStyle w:val="-3"/>
              <w:rPr>
                <w:sz w:val="17"/>
                <w:szCs w:val="17"/>
                <w:rtl/>
              </w:rPr>
            </w:pPr>
            <w:r w:rsidRPr="00532A1C">
              <w:rPr>
                <w:sz w:val="17"/>
                <w:szCs w:val="17"/>
                <w:rtl/>
              </w:rPr>
              <w:t>(0)</w:t>
            </w:r>
          </w:p>
        </w:tc>
        <w:tc>
          <w:tcPr>
            <w:tcW w:w="747" w:type="dxa"/>
            <w:vAlign w:val="bottom"/>
          </w:tcPr>
          <w:p w14:paraId="31F44BE2" w14:textId="21533F1E" w:rsidR="00FC6A6C" w:rsidRPr="00046EFB" w:rsidRDefault="00FC6A6C" w:rsidP="00FC6A6C">
            <w:pPr>
              <w:pStyle w:val="-3"/>
              <w:rPr>
                <w:sz w:val="17"/>
                <w:szCs w:val="17"/>
                <w:rtl/>
              </w:rPr>
            </w:pPr>
            <w:r w:rsidRPr="00532A1C">
              <w:rPr>
                <w:sz w:val="17"/>
                <w:szCs w:val="17"/>
                <w:rtl/>
              </w:rPr>
              <w:t>(0)</w:t>
            </w:r>
          </w:p>
        </w:tc>
        <w:tc>
          <w:tcPr>
            <w:tcW w:w="673" w:type="dxa"/>
            <w:vAlign w:val="bottom"/>
          </w:tcPr>
          <w:p w14:paraId="040FF6CB" w14:textId="22B638BA" w:rsidR="00FC6A6C" w:rsidRPr="00046EFB" w:rsidRDefault="00FC6A6C" w:rsidP="00FC6A6C">
            <w:pPr>
              <w:pStyle w:val="-3"/>
              <w:rPr>
                <w:sz w:val="17"/>
                <w:szCs w:val="17"/>
                <w:rtl/>
              </w:rPr>
            </w:pPr>
            <w:r w:rsidRPr="00532A1C">
              <w:rPr>
                <w:sz w:val="17"/>
                <w:szCs w:val="17"/>
                <w:rtl/>
              </w:rPr>
              <w:t xml:space="preserve"> 0</w:t>
            </w:r>
          </w:p>
        </w:tc>
        <w:tc>
          <w:tcPr>
            <w:tcW w:w="752" w:type="dxa"/>
            <w:vAlign w:val="bottom"/>
          </w:tcPr>
          <w:p w14:paraId="737B8D7A" w14:textId="12551703" w:rsidR="00FC6A6C" w:rsidRPr="00046EFB" w:rsidRDefault="00FC6A6C" w:rsidP="00FC6A6C">
            <w:pPr>
              <w:pStyle w:val="-3"/>
              <w:rPr>
                <w:sz w:val="17"/>
                <w:szCs w:val="17"/>
                <w:rtl/>
              </w:rPr>
            </w:pPr>
            <w:r w:rsidRPr="00532A1C">
              <w:rPr>
                <w:sz w:val="17"/>
                <w:szCs w:val="17"/>
                <w:rtl/>
              </w:rPr>
              <w:t>(0)</w:t>
            </w:r>
          </w:p>
        </w:tc>
        <w:tc>
          <w:tcPr>
            <w:tcW w:w="997" w:type="dxa"/>
            <w:vAlign w:val="bottom"/>
          </w:tcPr>
          <w:p w14:paraId="65EF8950" w14:textId="44AD4E73" w:rsidR="00FC6A6C" w:rsidRPr="00046EFB" w:rsidRDefault="00FC6A6C" w:rsidP="00FC6A6C">
            <w:pPr>
              <w:pStyle w:val="-3"/>
              <w:rPr>
                <w:sz w:val="17"/>
                <w:szCs w:val="17"/>
                <w:rtl/>
              </w:rPr>
            </w:pPr>
            <w:r w:rsidRPr="00532A1C">
              <w:rPr>
                <w:sz w:val="17"/>
                <w:szCs w:val="17"/>
                <w:rtl/>
              </w:rPr>
              <w:t xml:space="preserve"> 0</w:t>
            </w:r>
          </w:p>
        </w:tc>
        <w:tc>
          <w:tcPr>
            <w:tcW w:w="988" w:type="dxa"/>
            <w:vAlign w:val="bottom"/>
          </w:tcPr>
          <w:p w14:paraId="3173B5FA" w14:textId="7ACD359B" w:rsidR="00FC6A6C" w:rsidRPr="00046EFB" w:rsidRDefault="00FC6A6C" w:rsidP="00FC6A6C">
            <w:pPr>
              <w:pStyle w:val="-3"/>
              <w:rPr>
                <w:sz w:val="17"/>
                <w:szCs w:val="17"/>
                <w:rtl/>
              </w:rPr>
            </w:pPr>
            <w:r w:rsidRPr="00532A1C">
              <w:rPr>
                <w:sz w:val="17"/>
                <w:szCs w:val="17"/>
                <w:rtl/>
              </w:rPr>
              <w:t xml:space="preserve"> 0</w:t>
            </w:r>
          </w:p>
        </w:tc>
        <w:tc>
          <w:tcPr>
            <w:tcW w:w="1702" w:type="dxa"/>
            <w:vAlign w:val="bottom"/>
          </w:tcPr>
          <w:p w14:paraId="3FC47232" w14:textId="4B7EC0DB" w:rsidR="00FC6A6C" w:rsidRPr="00046EFB" w:rsidRDefault="00FC6A6C" w:rsidP="00FC6A6C">
            <w:pPr>
              <w:pStyle w:val="-3"/>
              <w:rPr>
                <w:sz w:val="17"/>
                <w:szCs w:val="17"/>
                <w:rtl/>
              </w:rPr>
            </w:pPr>
            <w:r w:rsidRPr="00532A1C">
              <w:rPr>
                <w:sz w:val="17"/>
                <w:szCs w:val="17"/>
                <w:rtl/>
              </w:rPr>
              <w:t xml:space="preserve">  0</w:t>
            </w:r>
            <w:r w:rsidRPr="00532A1C">
              <w:rPr>
                <w:sz w:val="17"/>
                <w:szCs w:val="17"/>
                <w:vertAlign w:val="superscript"/>
                <w:rtl/>
              </w:rPr>
              <w:t>(ב)</w:t>
            </w:r>
          </w:p>
        </w:tc>
      </w:tr>
      <w:tr w:rsidR="00FC6A6C" w:rsidRPr="00543C25" w14:paraId="550FA993" w14:textId="77777777" w:rsidTr="00400DD1">
        <w:tc>
          <w:tcPr>
            <w:tcW w:w="1560" w:type="dxa"/>
            <w:shd w:val="clear" w:color="auto" w:fill="auto"/>
          </w:tcPr>
          <w:p w14:paraId="1E754BB3" w14:textId="77777777" w:rsidR="00FC6A6C" w:rsidRPr="003425A3" w:rsidRDefault="00FC6A6C" w:rsidP="00FC6A6C">
            <w:pPr>
              <w:pStyle w:val="-0"/>
              <w:ind w:left="720"/>
              <w:rPr>
                <w:sz w:val="16"/>
                <w:szCs w:val="16"/>
                <w:rtl/>
              </w:rPr>
            </w:pPr>
          </w:p>
        </w:tc>
        <w:tc>
          <w:tcPr>
            <w:tcW w:w="3122" w:type="dxa"/>
            <w:tcBorders>
              <w:top w:val="nil"/>
              <w:left w:val="nil"/>
              <w:bottom w:val="nil"/>
              <w:right w:val="nil"/>
            </w:tcBorders>
            <w:shd w:val="clear" w:color="auto" w:fill="auto"/>
            <w:vAlign w:val="bottom"/>
          </w:tcPr>
          <w:p w14:paraId="14E5E161" w14:textId="1C516385" w:rsidR="00FC6A6C" w:rsidRPr="00FC6A6C" w:rsidRDefault="00FC6A6C" w:rsidP="00BF2D3B">
            <w:pPr>
              <w:pStyle w:val="-0"/>
              <w:spacing w:line="240" w:lineRule="auto"/>
              <w:ind w:left="467" w:hanging="114"/>
              <w:rPr>
                <w:sz w:val="17"/>
                <w:szCs w:val="17"/>
                <w:rtl/>
              </w:rPr>
            </w:pPr>
            <w:r w:rsidRPr="00FC6A6C">
              <w:rPr>
                <w:rFonts w:hint="cs"/>
                <w:sz w:val="16"/>
                <w:szCs w:val="16"/>
                <w:rtl/>
              </w:rPr>
              <w:t>נכסים בגין מכשירים נגזרים</w:t>
            </w:r>
            <w:r w:rsidRPr="00FC6A6C">
              <w:rPr>
                <w:rFonts w:hint="cs"/>
                <w:sz w:val="16"/>
                <w:szCs w:val="16"/>
                <w:vertAlign w:val="superscript"/>
                <w:rtl/>
              </w:rPr>
              <w:t xml:space="preserve"> [</w:t>
            </w:r>
            <w:r w:rsidRPr="00FC6A6C">
              <w:rPr>
                <w:rStyle w:val="a7"/>
                <w:sz w:val="16"/>
                <w:szCs w:val="16"/>
                <w:rtl/>
              </w:rPr>
              <w:footnoteReference w:id="130"/>
            </w:r>
            <w:r w:rsidRPr="00FC6A6C">
              <w:rPr>
                <w:rFonts w:hint="cs"/>
                <w:sz w:val="16"/>
                <w:szCs w:val="16"/>
                <w:vertAlign w:val="superscript"/>
                <w:rtl/>
              </w:rPr>
              <w:t>]</w:t>
            </w:r>
          </w:p>
        </w:tc>
        <w:tc>
          <w:tcPr>
            <w:tcW w:w="850" w:type="dxa"/>
            <w:vAlign w:val="bottom"/>
          </w:tcPr>
          <w:p w14:paraId="5204076D" w14:textId="5F597732" w:rsidR="00FC6A6C" w:rsidRDefault="00FC6A6C" w:rsidP="00FC6A6C">
            <w:pPr>
              <w:pStyle w:val="-3"/>
              <w:rPr>
                <w:sz w:val="17"/>
                <w:szCs w:val="17"/>
                <w:rtl/>
              </w:rPr>
            </w:pPr>
            <w:r w:rsidRPr="00532A1C">
              <w:rPr>
                <w:sz w:val="17"/>
                <w:szCs w:val="17"/>
                <w:rtl/>
              </w:rPr>
              <w:t xml:space="preserve"> 0</w:t>
            </w:r>
          </w:p>
        </w:tc>
        <w:tc>
          <w:tcPr>
            <w:tcW w:w="891" w:type="dxa"/>
            <w:vAlign w:val="bottom"/>
          </w:tcPr>
          <w:p w14:paraId="7F9DBB7B" w14:textId="2B5DAABC" w:rsidR="00FC6A6C" w:rsidRDefault="00FC6A6C" w:rsidP="00FC6A6C">
            <w:pPr>
              <w:pStyle w:val="-3"/>
              <w:rPr>
                <w:sz w:val="17"/>
                <w:szCs w:val="17"/>
                <w:rtl/>
              </w:rPr>
            </w:pPr>
            <w:r w:rsidRPr="00532A1C">
              <w:rPr>
                <w:sz w:val="17"/>
                <w:szCs w:val="17"/>
                <w:rtl/>
              </w:rPr>
              <w:t xml:space="preserve"> 0 </w:t>
            </w:r>
          </w:p>
        </w:tc>
        <w:tc>
          <w:tcPr>
            <w:tcW w:w="939" w:type="dxa"/>
            <w:vAlign w:val="bottom"/>
          </w:tcPr>
          <w:p w14:paraId="612E6A8C" w14:textId="13DF1275" w:rsidR="00FC6A6C" w:rsidRDefault="00FC6A6C" w:rsidP="00FC6A6C">
            <w:pPr>
              <w:pStyle w:val="-3"/>
              <w:rPr>
                <w:sz w:val="17"/>
                <w:szCs w:val="17"/>
                <w:rtl/>
              </w:rPr>
            </w:pPr>
            <w:r w:rsidRPr="00532A1C">
              <w:rPr>
                <w:sz w:val="17"/>
                <w:szCs w:val="17"/>
                <w:rtl/>
              </w:rPr>
              <w:t xml:space="preserve"> </w:t>
            </w:r>
            <w:r>
              <w:rPr>
                <w:rFonts w:hint="cs"/>
                <w:sz w:val="17"/>
                <w:szCs w:val="17"/>
                <w:rtl/>
              </w:rPr>
              <w:t>-</w:t>
            </w:r>
          </w:p>
        </w:tc>
        <w:tc>
          <w:tcPr>
            <w:tcW w:w="705" w:type="dxa"/>
            <w:vAlign w:val="bottom"/>
          </w:tcPr>
          <w:p w14:paraId="4CBA6948" w14:textId="2BA3D13E" w:rsidR="00FC6A6C" w:rsidRDefault="00FC6A6C" w:rsidP="00FC6A6C">
            <w:pPr>
              <w:pStyle w:val="-3"/>
              <w:rPr>
                <w:sz w:val="17"/>
                <w:szCs w:val="17"/>
                <w:rtl/>
              </w:rPr>
            </w:pPr>
            <w:r w:rsidRPr="00532A1C">
              <w:rPr>
                <w:sz w:val="17"/>
                <w:szCs w:val="17"/>
                <w:rtl/>
              </w:rPr>
              <w:t xml:space="preserve"> 0</w:t>
            </w:r>
          </w:p>
        </w:tc>
        <w:tc>
          <w:tcPr>
            <w:tcW w:w="829" w:type="dxa"/>
            <w:vAlign w:val="bottom"/>
          </w:tcPr>
          <w:p w14:paraId="2665C2A1" w14:textId="469F0BAB" w:rsidR="00FC6A6C" w:rsidRDefault="00FC6A6C" w:rsidP="00FC6A6C">
            <w:pPr>
              <w:pStyle w:val="-3"/>
              <w:rPr>
                <w:sz w:val="17"/>
                <w:szCs w:val="17"/>
                <w:rtl/>
              </w:rPr>
            </w:pPr>
            <w:r>
              <w:rPr>
                <w:rFonts w:hint="cs"/>
                <w:sz w:val="17"/>
                <w:szCs w:val="17"/>
                <w:rtl/>
              </w:rPr>
              <w:t xml:space="preserve"> 0</w:t>
            </w:r>
          </w:p>
        </w:tc>
        <w:tc>
          <w:tcPr>
            <w:tcW w:w="704" w:type="dxa"/>
            <w:vAlign w:val="bottom"/>
          </w:tcPr>
          <w:p w14:paraId="28E85B4E" w14:textId="41066834" w:rsidR="00FC6A6C" w:rsidRDefault="00FC6A6C" w:rsidP="00FC6A6C">
            <w:pPr>
              <w:pStyle w:val="-3"/>
              <w:rPr>
                <w:sz w:val="17"/>
                <w:szCs w:val="17"/>
                <w:rtl/>
              </w:rPr>
            </w:pPr>
            <w:r w:rsidRPr="00532A1C">
              <w:rPr>
                <w:sz w:val="17"/>
                <w:szCs w:val="17"/>
                <w:rtl/>
              </w:rPr>
              <w:t>(0)</w:t>
            </w:r>
          </w:p>
        </w:tc>
        <w:tc>
          <w:tcPr>
            <w:tcW w:w="747" w:type="dxa"/>
            <w:vAlign w:val="bottom"/>
          </w:tcPr>
          <w:p w14:paraId="75037761" w14:textId="628DF694" w:rsidR="00FC6A6C" w:rsidRDefault="00FC6A6C" w:rsidP="00FC6A6C">
            <w:pPr>
              <w:pStyle w:val="-3"/>
              <w:rPr>
                <w:sz w:val="17"/>
                <w:szCs w:val="17"/>
                <w:rtl/>
              </w:rPr>
            </w:pPr>
            <w:r w:rsidRPr="00532A1C">
              <w:rPr>
                <w:sz w:val="17"/>
                <w:szCs w:val="17"/>
                <w:rtl/>
              </w:rPr>
              <w:t>(0)</w:t>
            </w:r>
          </w:p>
        </w:tc>
        <w:tc>
          <w:tcPr>
            <w:tcW w:w="673" w:type="dxa"/>
            <w:vAlign w:val="bottom"/>
          </w:tcPr>
          <w:p w14:paraId="2107BF59" w14:textId="669F3E96" w:rsidR="00FC6A6C" w:rsidRDefault="00FC6A6C" w:rsidP="00FC6A6C">
            <w:pPr>
              <w:pStyle w:val="-3"/>
              <w:rPr>
                <w:sz w:val="17"/>
                <w:szCs w:val="17"/>
                <w:rtl/>
              </w:rPr>
            </w:pPr>
            <w:r w:rsidRPr="00532A1C">
              <w:rPr>
                <w:sz w:val="17"/>
                <w:szCs w:val="17"/>
                <w:rtl/>
              </w:rPr>
              <w:t xml:space="preserve"> 0</w:t>
            </w:r>
          </w:p>
        </w:tc>
        <w:tc>
          <w:tcPr>
            <w:tcW w:w="752" w:type="dxa"/>
            <w:vAlign w:val="bottom"/>
          </w:tcPr>
          <w:p w14:paraId="41447D98" w14:textId="1F7ECF27" w:rsidR="00FC6A6C" w:rsidRDefault="00FC6A6C" w:rsidP="00FC6A6C">
            <w:pPr>
              <w:pStyle w:val="-3"/>
              <w:rPr>
                <w:sz w:val="17"/>
                <w:szCs w:val="17"/>
                <w:rtl/>
              </w:rPr>
            </w:pPr>
            <w:r w:rsidRPr="00532A1C">
              <w:rPr>
                <w:sz w:val="17"/>
                <w:szCs w:val="17"/>
                <w:rtl/>
              </w:rPr>
              <w:t>(0)</w:t>
            </w:r>
          </w:p>
        </w:tc>
        <w:tc>
          <w:tcPr>
            <w:tcW w:w="997" w:type="dxa"/>
            <w:vAlign w:val="bottom"/>
          </w:tcPr>
          <w:p w14:paraId="7B92F5E6" w14:textId="7BA294B7" w:rsidR="00FC6A6C" w:rsidRDefault="00FC6A6C" w:rsidP="00FC6A6C">
            <w:pPr>
              <w:pStyle w:val="-3"/>
              <w:rPr>
                <w:sz w:val="17"/>
                <w:szCs w:val="17"/>
                <w:rtl/>
              </w:rPr>
            </w:pPr>
            <w:r w:rsidRPr="00532A1C">
              <w:rPr>
                <w:sz w:val="17"/>
                <w:szCs w:val="17"/>
                <w:rtl/>
              </w:rPr>
              <w:t xml:space="preserve"> 0</w:t>
            </w:r>
          </w:p>
        </w:tc>
        <w:tc>
          <w:tcPr>
            <w:tcW w:w="988" w:type="dxa"/>
            <w:vAlign w:val="bottom"/>
          </w:tcPr>
          <w:p w14:paraId="4FF075E9" w14:textId="7C4A5807" w:rsidR="00FC6A6C" w:rsidRDefault="00FC6A6C" w:rsidP="00FC6A6C">
            <w:pPr>
              <w:pStyle w:val="-3"/>
              <w:rPr>
                <w:sz w:val="17"/>
                <w:szCs w:val="17"/>
                <w:rtl/>
              </w:rPr>
            </w:pPr>
            <w:r w:rsidRPr="00532A1C">
              <w:rPr>
                <w:sz w:val="17"/>
                <w:szCs w:val="17"/>
                <w:rtl/>
              </w:rPr>
              <w:t xml:space="preserve"> 0</w:t>
            </w:r>
          </w:p>
        </w:tc>
        <w:tc>
          <w:tcPr>
            <w:tcW w:w="1702" w:type="dxa"/>
            <w:vAlign w:val="bottom"/>
          </w:tcPr>
          <w:p w14:paraId="2717BF39" w14:textId="267CC3E6" w:rsidR="00FC6A6C" w:rsidRDefault="00FC6A6C" w:rsidP="00FC6A6C">
            <w:pPr>
              <w:pStyle w:val="-3"/>
              <w:rPr>
                <w:sz w:val="17"/>
                <w:szCs w:val="17"/>
                <w:rtl/>
              </w:rPr>
            </w:pPr>
            <w:r w:rsidRPr="00532A1C">
              <w:rPr>
                <w:sz w:val="17"/>
                <w:szCs w:val="17"/>
                <w:rtl/>
              </w:rPr>
              <w:t xml:space="preserve">  0</w:t>
            </w:r>
          </w:p>
        </w:tc>
      </w:tr>
      <w:tr w:rsidR="00FC6A6C" w:rsidRPr="00543C25" w14:paraId="74B56B96" w14:textId="77777777" w:rsidTr="00400DD1">
        <w:tc>
          <w:tcPr>
            <w:tcW w:w="1560" w:type="dxa"/>
            <w:shd w:val="clear" w:color="auto" w:fill="auto"/>
          </w:tcPr>
          <w:p w14:paraId="54E94B43" w14:textId="77777777" w:rsidR="00FC6A6C" w:rsidRPr="003425A3" w:rsidRDefault="00FC6A6C" w:rsidP="00FC6A6C">
            <w:pPr>
              <w:pStyle w:val="-0"/>
              <w:ind w:left="720"/>
              <w:rPr>
                <w:sz w:val="16"/>
                <w:szCs w:val="16"/>
                <w:rtl/>
              </w:rPr>
            </w:pPr>
          </w:p>
        </w:tc>
        <w:tc>
          <w:tcPr>
            <w:tcW w:w="3122" w:type="dxa"/>
            <w:tcBorders>
              <w:top w:val="nil"/>
              <w:left w:val="nil"/>
              <w:bottom w:val="nil"/>
              <w:right w:val="nil"/>
            </w:tcBorders>
            <w:shd w:val="clear" w:color="auto" w:fill="auto"/>
            <w:vAlign w:val="bottom"/>
          </w:tcPr>
          <w:p w14:paraId="14F92189" w14:textId="6102B89E" w:rsidR="00FC6A6C" w:rsidRPr="00FC6A6C" w:rsidRDefault="00FC6A6C" w:rsidP="00BF2D3B">
            <w:pPr>
              <w:pStyle w:val="-0"/>
              <w:spacing w:line="240" w:lineRule="auto"/>
              <w:ind w:left="467" w:hanging="114"/>
              <w:rPr>
                <w:sz w:val="17"/>
                <w:szCs w:val="17"/>
                <w:rtl/>
              </w:rPr>
            </w:pPr>
            <w:r w:rsidRPr="00FC6A6C">
              <w:rPr>
                <w:rFonts w:hint="eastAsia"/>
                <w:sz w:val="16"/>
                <w:szCs w:val="16"/>
                <w:rtl/>
              </w:rPr>
              <w:t>אחר</w:t>
            </w:r>
            <w:r w:rsidRPr="00FC6A6C">
              <w:rPr>
                <w:rFonts w:hint="cs"/>
                <w:sz w:val="16"/>
                <w:szCs w:val="16"/>
                <w:rtl/>
              </w:rPr>
              <w:t xml:space="preserve"> [פרט אם מהותי]</w:t>
            </w:r>
          </w:p>
        </w:tc>
        <w:tc>
          <w:tcPr>
            <w:tcW w:w="850" w:type="dxa"/>
            <w:vAlign w:val="bottom"/>
          </w:tcPr>
          <w:p w14:paraId="3488303B" w14:textId="4C9E5D28" w:rsidR="00FC6A6C" w:rsidRDefault="00FC6A6C" w:rsidP="004F59A7">
            <w:pPr>
              <w:pStyle w:val="-3"/>
              <w:pBdr>
                <w:bottom w:val="single" w:sz="4" w:space="1" w:color="auto"/>
              </w:pBdr>
              <w:rPr>
                <w:sz w:val="17"/>
                <w:szCs w:val="17"/>
                <w:rtl/>
              </w:rPr>
            </w:pPr>
            <w:r w:rsidRPr="00532A1C">
              <w:rPr>
                <w:sz w:val="17"/>
                <w:szCs w:val="17"/>
                <w:rtl/>
              </w:rPr>
              <w:t xml:space="preserve"> 0</w:t>
            </w:r>
          </w:p>
        </w:tc>
        <w:tc>
          <w:tcPr>
            <w:tcW w:w="891" w:type="dxa"/>
            <w:vAlign w:val="bottom"/>
          </w:tcPr>
          <w:p w14:paraId="67AF0865" w14:textId="31E6F7FD" w:rsidR="00FC6A6C" w:rsidRDefault="00FC6A6C" w:rsidP="004F59A7">
            <w:pPr>
              <w:pStyle w:val="-3"/>
              <w:pBdr>
                <w:bottom w:val="single" w:sz="4" w:space="1" w:color="auto"/>
              </w:pBdr>
              <w:rPr>
                <w:sz w:val="17"/>
                <w:szCs w:val="17"/>
                <w:rtl/>
              </w:rPr>
            </w:pPr>
            <w:r w:rsidRPr="00532A1C">
              <w:rPr>
                <w:sz w:val="17"/>
                <w:szCs w:val="17"/>
                <w:rtl/>
              </w:rPr>
              <w:t xml:space="preserve"> 0</w:t>
            </w:r>
            <w:r w:rsidRPr="00532A1C">
              <w:rPr>
                <w:sz w:val="17"/>
                <w:szCs w:val="17"/>
                <w:vertAlign w:val="superscript"/>
                <w:rtl/>
              </w:rPr>
              <w:t xml:space="preserve">(ג) </w:t>
            </w:r>
          </w:p>
        </w:tc>
        <w:tc>
          <w:tcPr>
            <w:tcW w:w="939" w:type="dxa"/>
            <w:vAlign w:val="bottom"/>
          </w:tcPr>
          <w:p w14:paraId="40E1F70A" w14:textId="7F177640" w:rsidR="00FC6A6C" w:rsidRDefault="00FC6A6C" w:rsidP="004F59A7">
            <w:pPr>
              <w:pStyle w:val="-3"/>
              <w:pBdr>
                <w:bottom w:val="single" w:sz="4" w:space="1" w:color="auto"/>
              </w:pBdr>
              <w:rPr>
                <w:sz w:val="17"/>
                <w:szCs w:val="17"/>
                <w:rtl/>
              </w:rPr>
            </w:pPr>
            <w:r w:rsidRPr="00532A1C">
              <w:rPr>
                <w:sz w:val="17"/>
                <w:szCs w:val="17"/>
                <w:rtl/>
              </w:rPr>
              <w:t xml:space="preserve"> </w:t>
            </w:r>
            <w:r>
              <w:rPr>
                <w:rFonts w:hint="cs"/>
                <w:sz w:val="17"/>
                <w:szCs w:val="17"/>
                <w:rtl/>
              </w:rPr>
              <w:t>-</w:t>
            </w:r>
          </w:p>
        </w:tc>
        <w:tc>
          <w:tcPr>
            <w:tcW w:w="705" w:type="dxa"/>
            <w:vAlign w:val="bottom"/>
          </w:tcPr>
          <w:p w14:paraId="37CF0723" w14:textId="700D8E7E" w:rsidR="00FC6A6C" w:rsidRDefault="00FC6A6C" w:rsidP="004F59A7">
            <w:pPr>
              <w:pStyle w:val="-3"/>
              <w:pBdr>
                <w:bottom w:val="single" w:sz="4" w:space="1" w:color="auto"/>
              </w:pBdr>
              <w:rPr>
                <w:sz w:val="17"/>
                <w:szCs w:val="17"/>
                <w:rtl/>
              </w:rPr>
            </w:pPr>
            <w:r w:rsidRPr="00532A1C">
              <w:rPr>
                <w:sz w:val="17"/>
                <w:szCs w:val="17"/>
                <w:rtl/>
              </w:rPr>
              <w:t xml:space="preserve"> 0</w:t>
            </w:r>
          </w:p>
        </w:tc>
        <w:tc>
          <w:tcPr>
            <w:tcW w:w="829" w:type="dxa"/>
            <w:vAlign w:val="bottom"/>
          </w:tcPr>
          <w:p w14:paraId="1C518EA7" w14:textId="53206278" w:rsidR="00FC6A6C" w:rsidRDefault="00FC6A6C" w:rsidP="004F59A7">
            <w:pPr>
              <w:pStyle w:val="-3"/>
              <w:pBdr>
                <w:bottom w:val="single" w:sz="4" w:space="1" w:color="auto"/>
              </w:pBdr>
              <w:rPr>
                <w:sz w:val="17"/>
                <w:szCs w:val="17"/>
                <w:rtl/>
              </w:rPr>
            </w:pPr>
            <w:r w:rsidRPr="00532A1C">
              <w:rPr>
                <w:sz w:val="17"/>
                <w:szCs w:val="17"/>
                <w:rtl/>
              </w:rPr>
              <w:t xml:space="preserve"> 0</w:t>
            </w:r>
          </w:p>
        </w:tc>
        <w:tc>
          <w:tcPr>
            <w:tcW w:w="704" w:type="dxa"/>
            <w:vAlign w:val="bottom"/>
          </w:tcPr>
          <w:p w14:paraId="7FDA5456" w14:textId="577B9B8B" w:rsidR="00FC6A6C" w:rsidRDefault="00FC6A6C" w:rsidP="004F59A7">
            <w:pPr>
              <w:pStyle w:val="-3"/>
              <w:pBdr>
                <w:bottom w:val="single" w:sz="4" w:space="1" w:color="auto"/>
              </w:pBdr>
              <w:rPr>
                <w:sz w:val="17"/>
                <w:szCs w:val="17"/>
                <w:rtl/>
              </w:rPr>
            </w:pPr>
            <w:r w:rsidRPr="00532A1C">
              <w:rPr>
                <w:sz w:val="17"/>
                <w:szCs w:val="17"/>
                <w:rtl/>
              </w:rPr>
              <w:t>(0)</w:t>
            </w:r>
          </w:p>
        </w:tc>
        <w:tc>
          <w:tcPr>
            <w:tcW w:w="747" w:type="dxa"/>
            <w:vAlign w:val="bottom"/>
          </w:tcPr>
          <w:p w14:paraId="75E265DE" w14:textId="0C0A64E7" w:rsidR="00FC6A6C" w:rsidRDefault="00FC6A6C" w:rsidP="004F59A7">
            <w:pPr>
              <w:pStyle w:val="-3"/>
              <w:pBdr>
                <w:bottom w:val="single" w:sz="4" w:space="1" w:color="auto"/>
              </w:pBdr>
              <w:rPr>
                <w:sz w:val="17"/>
                <w:szCs w:val="17"/>
                <w:rtl/>
              </w:rPr>
            </w:pPr>
            <w:r w:rsidRPr="00532A1C">
              <w:rPr>
                <w:sz w:val="17"/>
                <w:szCs w:val="17"/>
                <w:rtl/>
              </w:rPr>
              <w:t>(0)</w:t>
            </w:r>
          </w:p>
        </w:tc>
        <w:tc>
          <w:tcPr>
            <w:tcW w:w="673" w:type="dxa"/>
            <w:vAlign w:val="bottom"/>
          </w:tcPr>
          <w:p w14:paraId="096AF4F5" w14:textId="3C187355" w:rsidR="00FC6A6C" w:rsidRDefault="00FC6A6C" w:rsidP="004F59A7">
            <w:pPr>
              <w:pStyle w:val="-3"/>
              <w:pBdr>
                <w:bottom w:val="single" w:sz="4" w:space="1" w:color="auto"/>
              </w:pBdr>
              <w:rPr>
                <w:sz w:val="17"/>
                <w:szCs w:val="17"/>
                <w:rtl/>
              </w:rPr>
            </w:pPr>
            <w:r w:rsidRPr="00532A1C">
              <w:rPr>
                <w:sz w:val="17"/>
                <w:szCs w:val="17"/>
                <w:rtl/>
              </w:rPr>
              <w:t xml:space="preserve"> 0</w:t>
            </w:r>
          </w:p>
        </w:tc>
        <w:tc>
          <w:tcPr>
            <w:tcW w:w="752" w:type="dxa"/>
            <w:vAlign w:val="bottom"/>
          </w:tcPr>
          <w:p w14:paraId="6743FF7E" w14:textId="467588AD" w:rsidR="00FC6A6C" w:rsidRDefault="00FC6A6C" w:rsidP="004F59A7">
            <w:pPr>
              <w:pStyle w:val="-3"/>
              <w:pBdr>
                <w:bottom w:val="single" w:sz="4" w:space="1" w:color="auto"/>
              </w:pBdr>
              <w:rPr>
                <w:sz w:val="17"/>
                <w:szCs w:val="17"/>
                <w:rtl/>
              </w:rPr>
            </w:pPr>
            <w:r w:rsidRPr="00532A1C">
              <w:rPr>
                <w:sz w:val="17"/>
                <w:szCs w:val="17"/>
                <w:rtl/>
              </w:rPr>
              <w:t>(0)</w:t>
            </w:r>
          </w:p>
        </w:tc>
        <w:tc>
          <w:tcPr>
            <w:tcW w:w="997" w:type="dxa"/>
            <w:vAlign w:val="bottom"/>
          </w:tcPr>
          <w:p w14:paraId="36AD7039" w14:textId="46B6059D" w:rsidR="00FC6A6C" w:rsidRDefault="00FC6A6C" w:rsidP="004F59A7">
            <w:pPr>
              <w:pStyle w:val="-3"/>
              <w:pBdr>
                <w:bottom w:val="single" w:sz="4" w:space="1" w:color="auto"/>
              </w:pBdr>
              <w:rPr>
                <w:sz w:val="17"/>
                <w:szCs w:val="17"/>
                <w:rtl/>
              </w:rPr>
            </w:pPr>
            <w:r w:rsidRPr="00532A1C">
              <w:rPr>
                <w:sz w:val="17"/>
                <w:szCs w:val="17"/>
                <w:rtl/>
              </w:rPr>
              <w:t xml:space="preserve"> 0</w:t>
            </w:r>
          </w:p>
        </w:tc>
        <w:tc>
          <w:tcPr>
            <w:tcW w:w="988" w:type="dxa"/>
            <w:vAlign w:val="bottom"/>
          </w:tcPr>
          <w:p w14:paraId="36B70051" w14:textId="7EBBF5FE" w:rsidR="00FC6A6C" w:rsidRDefault="00FC6A6C" w:rsidP="004F59A7">
            <w:pPr>
              <w:pStyle w:val="-3"/>
              <w:pBdr>
                <w:bottom w:val="single" w:sz="4" w:space="1" w:color="auto"/>
              </w:pBdr>
              <w:rPr>
                <w:sz w:val="17"/>
                <w:szCs w:val="17"/>
                <w:rtl/>
              </w:rPr>
            </w:pPr>
            <w:r w:rsidRPr="00532A1C">
              <w:rPr>
                <w:sz w:val="17"/>
                <w:szCs w:val="17"/>
                <w:rtl/>
              </w:rPr>
              <w:t xml:space="preserve"> 0</w:t>
            </w:r>
          </w:p>
        </w:tc>
        <w:tc>
          <w:tcPr>
            <w:tcW w:w="1702" w:type="dxa"/>
            <w:vAlign w:val="bottom"/>
          </w:tcPr>
          <w:p w14:paraId="37EF5C51" w14:textId="2118CBBA" w:rsidR="00FC6A6C" w:rsidRDefault="00FC6A6C" w:rsidP="004F59A7">
            <w:pPr>
              <w:pStyle w:val="-3"/>
              <w:pBdr>
                <w:bottom w:val="single" w:sz="4" w:space="1" w:color="auto"/>
              </w:pBdr>
              <w:rPr>
                <w:sz w:val="17"/>
                <w:szCs w:val="17"/>
                <w:rtl/>
              </w:rPr>
            </w:pPr>
            <w:r w:rsidRPr="00532A1C">
              <w:rPr>
                <w:sz w:val="17"/>
                <w:szCs w:val="17"/>
                <w:rtl/>
              </w:rPr>
              <w:t xml:space="preserve">  0</w:t>
            </w:r>
            <w:r w:rsidRPr="00532A1C">
              <w:rPr>
                <w:sz w:val="17"/>
                <w:szCs w:val="17"/>
                <w:vertAlign w:val="superscript"/>
                <w:rtl/>
              </w:rPr>
              <w:t>(ג)</w:t>
            </w:r>
          </w:p>
        </w:tc>
      </w:tr>
      <w:tr w:rsidR="00FC6A6C" w:rsidRPr="00FC6A6C" w14:paraId="30A4D679" w14:textId="77777777" w:rsidTr="00400DD1">
        <w:tc>
          <w:tcPr>
            <w:tcW w:w="1560" w:type="dxa"/>
            <w:shd w:val="clear" w:color="auto" w:fill="auto"/>
          </w:tcPr>
          <w:p w14:paraId="6EED435D" w14:textId="77777777" w:rsidR="00FC6A6C" w:rsidRPr="003425A3" w:rsidRDefault="00FC6A6C" w:rsidP="00FC6A6C">
            <w:pPr>
              <w:pStyle w:val="-0"/>
              <w:ind w:left="720"/>
              <w:rPr>
                <w:sz w:val="16"/>
                <w:szCs w:val="16"/>
                <w:rtl/>
              </w:rPr>
            </w:pPr>
          </w:p>
        </w:tc>
        <w:tc>
          <w:tcPr>
            <w:tcW w:w="3122" w:type="dxa"/>
            <w:tcBorders>
              <w:top w:val="nil"/>
              <w:left w:val="nil"/>
              <w:bottom w:val="nil"/>
              <w:right w:val="nil"/>
            </w:tcBorders>
            <w:shd w:val="clear" w:color="auto" w:fill="auto"/>
            <w:vAlign w:val="bottom"/>
          </w:tcPr>
          <w:p w14:paraId="1F3E39F4" w14:textId="58F2293D" w:rsidR="00FC6A6C" w:rsidRPr="00BF2D3B" w:rsidRDefault="00FC6A6C" w:rsidP="00BF2D3B">
            <w:pPr>
              <w:pStyle w:val="-f"/>
              <w:ind w:left="560" w:hanging="235"/>
              <w:rPr>
                <w:sz w:val="16"/>
                <w:szCs w:val="16"/>
                <w:u w:val="none"/>
                <w:rtl/>
              </w:rPr>
            </w:pPr>
            <w:r w:rsidRPr="00BF2D3B">
              <w:rPr>
                <w:sz w:val="16"/>
                <w:szCs w:val="16"/>
                <w:u w:val="none"/>
                <w:rtl/>
              </w:rPr>
              <w:t xml:space="preserve">סך </w:t>
            </w:r>
            <w:r w:rsidRPr="00BF2D3B">
              <w:rPr>
                <w:rFonts w:hint="cs"/>
                <w:sz w:val="16"/>
                <w:szCs w:val="16"/>
                <w:u w:val="none"/>
                <w:rtl/>
              </w:rPr>
              <w:t>כל הנכסים</w:t>
            </w:r>
          </w:p>
        </w:tc>
        <w:tc>
          <w:tcPr>
            <w:tcW w:w="850" w:type="dxa"/>
            <w:vAlign w:val="bottom"/>
          </w:tcPr>
          <w:p w14:paraId="31420029" w14:textId="3E2B0593" w:rsidR="00FC6A6C" w:rsidRPr="00FC6A6C" w:rsidRDefault="00FC6A6C" w:rsidP="00FC6A6C">
            <w:pPr>
              <w:pStyle w:val="-3"/>
              <w:rPr>
                <w:b/>
                <w:bCs/>
                <w:sz w:val="17"/>
                <w:szCs w:val="17"/>
                <w:rtl/>
              </w:rPr>
            </w:pPr>
            <w:r w:rsidRPr="00FC6A6C">
              <w:rPr>
                <w:b/>
                <w:bCs/>
                <w:sz w:val="17"/>
                <w:szCs w:val="17"/>
                <w:rtl/>
              </w:rPr>
              <w:t xml:space="preserve"> 0</w:t>
            </w:r>
          </w:p>
        </w:tc>
        <w:tc>
          <w:tcPr>
            <w:tcW w:w="891" w:type="dxa"/>
            <w:vAlign w:val="bottom"/>
          </w:tcPr>
          <w:p w14:paraId="4C0CF96A" w14:textId="715229AF" w:rsidR="00FC6A6C" w:rsidRPr="00FC6A6C" w:rsidRDefault="00FC6A6C" w:rsidP="00FC6A6C">
            <w:pPr>
              <w:pStyle w:val="-3"/>
              <w:rPr>
                <w:b/>
                <w:bCs/>
                <w:sz w:val="17"/>
                <w:szCs w:val="17"/>
                <w:rtl/>
              </w:rPr>
            </w:pPr>
            <w:r w:rsidRPr="00FC6A6C">
              <w:rPr>
                <w:b/>
                <w:bCs/>
                <w:sz w:val="17"/>
                <w:szCs w:val="17"/>
                <w:rtl/>
              </w:rPr>
              <w:t xml:space="preserve"> 0</w:t>
            </w:r>
          </w:p>
        </w:tc>
        <w:tc>
          <w:tcPr>
            <w:tcW w:w="939" w:type="dxa"/>
            <w:vAlign w:val="bottom"/>
          </w:tcPr>
          <w:p w14:paraId="28C92D27" w14:textId="0303B17E" w:rsidR="00FC6A6C" w:rsidRPr="00FC6A6C" w:rsidRDefault="00FC6A6C" w:rsidP="00FC6A6C">
            <w:pPr>
              <w:pStyle w:val="-3"/>
              <w:rPr>
                <w:b/>
                <w:bCs/>
                <w:sz w:val="17"/>
                <w:szCs w:val="17"/>
                <w:rtl/>
              </w:rPr>
            </w:pPr>
            <w:r w:rsidRPr="00FC6A6C">
              <w:rPr>
                <w:b/>
                <w:bCs/>
                <w:sz w:val="17"/>
                <w:szCs w:val="17"/>
                <w:rtl/>
              </w:rPr>
              <w:t xml:space="preserve"> 0</w:t>
            </w:r>
          </w:p>
        </w:tc>
        <w:tc>
          <w:tcPr>
            <w:tcW w:w="705" w:type="dxa"/>
            <w:vAlign w:val="bottom"/>
          </w:tcPr>
          <w:p w14:paraId="48D5FC3F" w14:textId="493E2595" w:rsidR="00FC6A6C" w:rsidRPr="00FC6A6C" w:rsidRDefault="00FC6A6C" w:rsidP="00FC6A6C">
            <w:pPr>
              <w:pStyle w:val="-3"/>
              <w:rPr>
                <w:b/>
                <w:bCs/>
                <w:sz w:val="17"/>
                <w:szCs w:val="17"/>
                <w:rtl/>
              </w:rPr>
            </w:pPr>
            <w:r w:rsidRPr="00FC6A6C">
              <w:rPr>
                <w:b/>
                <w:bCs/>
                <w:sz w:val="17"/>
                <w:szCs w:val="17"/>
                <w:rtl/>
              </w:rPr>
              <w:t xml:space="preserve"> 0</w:t>
            </w:r>
          </w:p>
        </w:tc>
        <w:tc>
          <w:tcPr>
            <w:tcW w:w="829" w:type="dxa"/>
            <w:vAlign w:val="bottom"/>
          </w:tcPr>
          <w:p w14:paraId="543AD6E0" w14:textId="7034AD6D" w:rsidR="00FC6A6C" w:rsidRPr="00FC6A6C" w:rsidRDefault="00FC6A6C" w:rsidP="00FC6A6C">
            <w:pPr>
              <w:pStyle w:val="-3"/>
              <w:rPr>
                <w:b/>
                <w:bCs/>
                <w:sz w:val="17"/>
                <w:szCs w:val="17"/>
                <w:rtl/>
              </w:rPr>
            </w:pPr>
            <w:r w:rsidRPr="00FC6A6C">
              <w:rPr>
                <w:b/>
                <w:bCs/>
                <w:sz w:val="17"/>
                <w:szCs w:val="17"/>
                <w:rtl/>
              </w:rPr>
              <w:t xml:space="preserve"> 0</w:t>
            </w:r>
          </w:p>
        </w:tc>
        <w:tc>
          <w:tcPr>
            <w:tcW w:w="704" w:type="dxa"/>
            <w:vAlign w:val="bottom"/>
          </w:tcPr>
          <w:p w14:paraId="70522EFB" w14:textId="5EA04A90" w:rsidR="00FC6A6C" w:rsidRPr="00FC6A6C" w:rsidRDefault="00FC6A6C" w:rsidP="00FC6A6C">
            <w:pPr>
              <w:pStyle w:val="-3"/>
              <w:rPr>
                <w:b/>
                <w:bCs/>
                <w:sz w:val="17"/>
                <w:szCs w:val="17"/>
                <w:rtl/>
              </w:rPr>
            </w:pPr>
            <w:r w:rsidRPr="00FC6A6C">
              <w:rPr>
                <w:b/>
                <w:bCs/>
                <w:sz w:val="17"/>
                <w:szCs w:val="17"/>
                <w:rtl/>
              </w:rPr>
              <w:t>(0)</w:t>
            </w:r>
          </w:p>
        </w:tc>
        <w:tc>
          <w:tcPr>
            <w:tcW w:w="747" w:type="dxa"/>
            <w:vAlign w:val="bottom"/>
          </w:tcPr>
          <w:p w14:paraId="1BE14AB2" w14:textId="6FC8A745" w:rsidR="00FC6A6C" w:rsidRPr="00FC6A6C" w:rsidRDefault="00FC6A6C" w:rsidP="00FC6A6C">
            <w:pPr>
              <w:pStyle w:val="-3"/>
              <w:rPr>
                <w:b/>
                <w:bCs/>
                <w:sz w:val="17"/>
                <w:szCs w:val="17"/>
                <w:rtl/>
              </w:rPr>
            </w:pPr>
            <w:r w:rsidRPr="00FC6A6C">
              <w:rPr>
                <w:b/>
                <w:bCs/>
                <w:sz w:val="17"/>
                <w:szCs w:val="17"/>
                <w:rtl/>
              </w:rPr>
              <w:t>(0)</w:t>
            </w:r>
          </w:p>
        </w:tc>
        <w:tc>
          <w:tcPr>
            <w:tcW w:w="673" w:type="dxa"/>
            <w:vAlign w:val="bottom"/>
          </w:tcPr>
          <w:p w14:paraId="2CFB5DB7" w14:textId="6A3DC3A4" w:rsidR="00FC6A6C" w:rsidRPr="00FC6A6C" w:rsidRDefault="00FC6A6C" w:rsidP="00FC6A6C">
            <w:pPr>
              <w:pStyle w:val="-3"/>
              <w:rPr>
                <w:b/>
                <w:bCs/>
                <w:sz w:val="17"/>
                <w:szCs w:val="17"/>
                <w:rtl/>
              </w:rPr>
            </w:pPr>
            <w:r w:rsidRPr="00FC6A6C">
              <w:rPr>
                <w:b/>
                <w:bCs/>
                <w:sz w:val="17"/>
                <w:szCs w:val="17"/>
                <w:rtl/>
              </w:rPr>
              <w:t xml:space="preserve"> 0</w:t>
            </w:r>
          </w:p>
        </w:tc>
        <w:tc>
          <w:tcPr>
            <w:tcW w:w="752" w:type="dxa"/>
            <w:vAlign w:val="bottom"/>
          </w:tcPr>
          <w:p w14:paraId="42470129" w14:textId="0A9CDD67" w:rsidR="00FC6A6C" w:rsidRPr="00FC6A6C" w:rsidRDefault="00FC6A6C" w:rsidP="00FC6A6C">
            <w:pPr>
              <w:pStyle w:val="-3"/>
              <w:rPr>
                <w:b/>
                <w:bCs/>
                <w:sz w:val="17"/>
                <w:szCs w:val="17"/>
                <w:rtl/>
              </w:rPr>
            </w:pPr>
            <w:r w:rsidRPr="00FC6A6C">
              <w:rPr>
                <w:b/>
                <w:bCs/>
                <w:sz w:val="17"/>
                <w:szCs w:val="17"/>
                <w:rtl/>
              </w:rPr>
              <w:t>(0)</w:t>
            </w:r>
          </w:p>
        </w:tc>
        <w:tc>
          <w:tcPr>
            <w:tcW w:w="997" w:type="dxa"/>
          </w:tcPr>
          <w:p w14:paraId="390446E7" w14:textId="29BD36BE" w:rsidR="00FC6A6C" w:rsidRPr="00FC6A6C" w:rsidRDefault="00FC6A6C" w:rsidP="00FC6A6C">
            <w:pPr>
              <w:pStyle w:val="-3"/>
              <w:rPr>
                <w:b/>
                <w:bCs/>
                <w:sz w:val="17"/>
                <w:szCs w:val="17"/>
                <w:rtl/>
              </w:rPr>
            </w:pPr>
            <w:r w:rsidRPr="00FC6A6C">
              <w:rPr>
                <w:b/>
                <w:bCs/>
                <w:sz w:val="17"/>
                <w:szCs w:val="17"/>
                <w:rtl/>
              </w:rPr>
              <w:t xml:space="preserve"> 0</w:t>
            </w:r>
          </w:p>
        </w:tc>
        <w:tc>
          <w:tcPr>
            <w:tcW w:w="988" w:type="dxa"/>
            <w:vAlign w:val="bottom"/>
          </w:tcPr>
          <w:p w14:paraId="7420F0EB" w14:textId="5A5A3082" w:rsidR="00FC6A6C" w:rsidRPr="00FC6A6C" w:rsidRDefault="00FC6A6C" w:rsidP="00FC6A6C">
            <w:pPr>
              <w:pStyle w:val="-3"/>
              <w:rPr>
                <w:b/>
                <w:bCs/>
                <w:sz w:val="17"/>
                <w:szCs w:val="17"/>
                <w:rtl/>
              </w:rPr>
            </w:pPr>
            <w:r w:rsidRPr="00FC6A6C">
              <w:rPr>
                <w:b/>
                <w:bCs/>
                <w:sz w:val="17"/>
                <w:szCs w:val="17"/>
                <w:rtl/>
              </w:rPr>
              <w:t xml:space="preserve"> 0</w:t>
            </w:r>
          </w:p>
        </w:tc>
        <w:tc>
          <w:tcPr>
            <w:tcW w:w="1702" w:type="dxa"/>
            <w:vAlign w:val="bottom"/>
          </w:tcPr>
          <w:p w14:paraId="3202CDFB" w14:textId="1CEA7DF7" w:rsidR="00FC6A6C" w:rsidRPr="00FC6A6C" w:rsidRDefault="00FC6A6C" w:rsidP="00FC6A6C">
            <w:pPr>
              <w:pStyle w:val="-3"/>
              <w:rPr>
                <w:b/>
                <w:bCs/>
                <w:sz w:val="17"/>
                <w:szCs w:val="17"/>
                <w:rtl/>
              </w:rPr>
            </w:pPr>
            <w:r w:rsidRPr="00FC6A6C">
              <w:rPr>
                <w:b/>
                <w:bCs/>
                <w:sz w:val="17"/>
                <w:szCs w:val="17"/>
                <w:rtl/>
              </w:rPr>
              <w:t xml:space="preserve">  0</w:t>
            </w:r>
          </w:p>
        </w:tc>
      </w:tr>
      <w:tr w:rsidR="00FC6A6C" w:rsidRPr="00543C25" w14:paraId="468F0EC2" w14:textId="77777777" w:rsidTr="004F59A7">
        <w:tc>
          <w:tcPr>
            <w:tcW w:w="1560" w:type="dxa"/>
            <w:shd w:val="clear" w:color="auto" w:fill="auto"/>
          </w:tcPr>
          <w:p w14:paraId="3EC4B3F4" w14:textId="77777777" w:rsidR="00FC6A6C" w:rsidRPr="003425A3" w:rsidRDefault="00FC6A6C" w:rsidP="00FC6A6C">
            <w:pPr>
              <w:pStyle w:val="-0"/>
              <w:ind w:left="720"/>
              <w:rPr>
                <w:sz w:val="16"/>
                <w:szCs w:val="16"/>
                <w:rtl/>
              </w:rPr>
            </w:pPr>
          </w:p>
        </w:tc>
        <w:tc>
          <w:tcPr>
            <w:tcW w:w="3122" w:type="dxa"/>
            <w:tcBorders>
              <w:top w:val="nil"/>
              <w:left w:val="nil"/>
              <w:bottom w:val="nil"/>
              <w:right w:val="nil"/>
            </w:tcBorders>
            <w:shd w:val="clear" w:color="auto" w:fill="auto"/>
            <w:vAlign w:val="bottom"/>
          </w:tcPr>
          <w:p w14:paraId="1B3862DF" w14:textId="6CB7B690" w:rsidR="00FC6A6C" w:rsidRPr="00FC6A6C" w:rsidRDefault="00FC6A6C" w:rsidP="004F59A7">
            <w:pPr>
              <w:pStyle w:val="-f"/>
              <w:spacing w:before="60"/>
              <w:ind w:left="555" w:hanging="232"/>
              <w:rPr>
                <w:b w:val="0"/>
                <w:bCs w:val="0"/>
                <w:sz w:val="17"/>
                <w:szCs w:val="17"/>
                <w:rtl/>
              </w:rPr>
            </w:pPr>
            <w:r w:rsidRPr="00FC6A6C">
              <w:rPr>
                <w:sz w:val="16"/>
                <w:szCs w:val="16"/>
                <w:rtl/>
              </w:rPr>
              <w:t xml:space="preserve">התחייבויות </w:t>
            </w:r>
          </w:p>
        </w:tc>
        <w:tc>
          <w:tcPr>
            <w:tcW w:w="850" w:type="dxa"/>
            <w:vAlign w:val="bottom"/>
          </w:tcPr>
          <w:p w14:paraId="5D35C693" w14:textId="6AEF2EE4" w:rsidR="00FC6A6C" w:rsidRDefault="00FC6A6C" w:rsidP="00FC6A6C">
            <w:pPr>
              <w:pStyle w:val="-3"/>
              <w:rPr>
                <w:sz w:val="17"/>
                <w:szCs w:val="17"/>
                <w:rtl/>
              </w:rPr>
            </w:pPr>
          </w:p>
        </w:tc>
        <w:tc>
          <w:tcPr>
            <w:tcW w:w="891" w:type="dxa"/>
            <w:tcBorders>
              <w:bottom w:val="nil"/>
            </w:tcBorders>
            <w:vAlign w:val="bottom"/>
          </w:tcPr>
          <w:p w14:paraId="730FCCC4" w14:textId="74E6C993" w:rsidR="00FC6A6C" w:rsidRDefault="00FC6A6C" w:rsidP="00FC6A6C">
            <w:pPr>
              <w:pStyle w:val="-3"/>
              <w:rPr>
                <w:sz w:val="17"/>
                <w:szCs w:val="17"/>
                <w:rtl/>
              </w:rPr>
            </w:pPr>
          </w:p>
        </w:tc>
        <w:tc>
          <w:tcPr>
            <w:tcW w:w="939" w:type="dxa"/>
            <w:tcBorders>
              <w:bottom w:val="nil"/>
            </w:tcBorders>
            <w:vAlign w:val="bottom"/>
          </w:tcPr>
          <w:p w14:paraId="402F7377" w14:textId="54D00A35" w:rsidR="00FC6A6C" w:rsidRDefault="00FC6A6C" w:rsidP="00FC6A6C">
            <w:pPr>
              <w:pStyle w:val="-3"/>
              <w:rPr>
                <w:sz w:val="17"/>
                <w:szCs w:val="17"/>
                <w:rtl/>
              </w:rPr>
            </w:pPr>
          </w:p>
        </w:tc>
        <w:tc>
          <w:tcPr>
            <w:tcW w:w="705" w:type="dxa"/>
            <w:tcBorders>
              <w:bottom w:val="nil"/>
            </w:tcBorders>
            <w:vAlign w:val="bottom"/>
          </w:tcPr>
          <w:p w14:paraId="776D643C" w14:textId="4C246C32" w:rsidR="00FC6A6C" w:rsidRDefault="00FC6A6C" w:rsidP="00FC6A6C">
            <w:pPr>
              <w:pStyle w:val="-3"/>
              <w:rPr>
                <w:sz w:val="17"/>
                <w:szCs w:val="17"/>
                <w:rtl/>
              </w:rPr>
            </w:pPr>
          </w:p>
        </w:tc>
        <w:tc>
          <w:tcPr>
            <w:tcW w:w="829" w:type="dxa"/>
            <w:tcBorders>
              <w:bottom w:val="nil"/>
            </w:tcBorders>
            <w:vAlign w:val="bottom"/>
          </w:tcPr>
          <w:p w14:paraId="3AAB40FE" w14:textId="77777777" w:rsidR="00FC6A6C" w:rsidRDefault="00FC6A6C" w:rsidP="00FC6A6C">
            <w:pPr>
              <w:pStyle w:val="-3"/>
              <w:rPr>
                <w:sz w:val="17"/>
                <w:szCs w:val="17"/>
                <w:rtl/>
              </w:rPr>
            </w:pPr>
          </w:p>
        </w:tc>
        <w:tc>
          <w:tcPr>
            <w:tcW w:w="704" w:type="dxa"/>
            <w:tcBorders>
              <w:bottom w:val="nil"/>
            </w:tcBorders>
            <w:vAlign w:val="bottom"/>
          </w:tcPr>
          <w:p w14:paraId="56E91907" w14:textId="2C5784F2" w:rsidR="00FC6A6C" w:rsidRDefault="00FC6A6C" w:rsidP="00FC6A6C">
            <w:pPr>
              <w:pStyle w:val="-3"/>
              <w:rPr>
                <w:sz w:val="17"/>
                <w:szCs w:val="17"/>
                <w:rtl/>
              </w:rPr>
            </w:pPr>
          </w:p>
        </w:tc>
        <w:tc>
          <w:tcPr>
            <w:tcW w:w="747" w:type="dxa"/>
            <w:tcBorders>
              <w:bottom w:val="nil"/>
            </w:tcBorders>
            <w:vAlign w:val="bottom"/>
          </w:tcPr>
          <w:p w14:paraId="477209B1" w14:textId="3493F608" w:rsidR="00FC6A6C" w:rsidRDefault="00FC6A6C" w:rsidP="00FC6A6C">
            <w:pPr>
              <w:pStyle w:val="-3"/>
              <w:rPr>
                <w:sz w:val="17"/>
                <w:szCs w:val="17"/>
                <w:rtl/>
              </w:rPr>
            </w:pPr>
          </w:p>
        </w:tc>
        <w:tc>
          <w:tcPr>
            <w:tcW w:w="673" w:type="dxa"/>
            <w:tcBorders>
              <w:bottom w:val="nil"/>
            </w:tcBorders>
            <w:vAlign w:val="bottom"/>
          </w:tcPr>
          <w:p w14:paraId="7CEAB792" w14:textId="2B525AA3" w:rsidR="00FC6A6C" w:rsidRDefault="00FC6A6C" w:rsidP="00FC6A6C">
            <w:pPr>
              <w:pStyle w:val="-3"/>
              <w:rPr>
                <w:sz w:val="17"/>
                <w:szCs w:val="17"/>
                <w:rtl/>
              </w:rPr>
            </w:pPr>
          </w:p>
        </w:tc>
        <w:tc>
          <w:tcPr>
            <w:tcW w:w="752" w:type="dxa"/>
            <w:tcBorders>
              <w:bottom w:val="nil"/>
            </w:tcBorders>
            <w:vAlign w:val="bottom"/>
          </w:tcPr>
          <w:p w14:paraId="539147EF" w14:textId="116BEEDE" w:rsidR="00FC6A6C" w:rsidRDefault="00FC6A6C" w:rsidP="00FC6A6C">
            <w:pPr>
              <w:pStyle w:val="-3"/>
              <w:rPr>
                <w:sz w:val="17"/>
                <w:szCs w:val="17"/>
                <w:rtl/>
              </w:rPr>
            </w:pPr>
          </w:p>
        </w:tc>
        <w:tc>
          <w:tcPr>
            <w:tcW w:w="997" w:type="dxa"/>
            <w:tcBorders>
              <w:bottom w:val="nil"/>
            </w:tcBorders>
            <w:vAlign w:val="bottom"/>
          </w:tcPr>
          <w:p w14:paraId="07818B3F" w14:textId="74B77158" w:rsidR="00FC6A6C" w:rsidRDefault="00FC6A6C" w:rsidP="00FC6A6C">
            <w:pPr>
              <w:pStyle w:val="-3"/>
              <w:rPr>
                <w:sz w:val="17"/>
                <w:szCs w:val="17"/>
                <w:rtl/>
              </w:rPr>
            </w:pPr>
          </w:p>
        </w:tc>
        <w:tc>
          <w:tcPr>
            <w:tcW w:w="988" w:type="dxa"/>
            <w:tcBorders>
              <w:bottom w:val="nil"/>
            </w:tcBorders>
            <w:vAlign w:val="bottom"/>
          </w:tcPr>
          <w:p w14:paraId="0FC7A730" w14:textId="3C842DBD" w:rsidR="00FC6A6C" w:rsidRDefault="00FC6A6C" w:rsidP="00FC6A6C">
            <w:pPr>
              <w:pStyle w:val="-3"/>
              <w:rPr>
                <w:sz w:val="17"/>
                <w:szCs w:val="17"/>
                <w:rtl/>
              </w:rPr>
            </w:pPr>
          </w:p>
        </w:tc>
        <w:tc>
          <w:tcPr>
            <w:tcW w:w="1702" w:type="dxa"/>
            <w:tcBorders>
              <w:bottom w:val="nil"/>
            </w:tcBorders>
            <w:vAlign w:val="bottom"/>
          </w:tcPr>
          <w:p w14:paraId="48999251" w14:textId="35DB6D60" w:rsidR="00FC6A6C" w:rsidRDefault="00FC6A6C" w:rsidP="00FC6A6C">
            <w:pPr>
              <w:pStyle w:val="-3"/>
              <w:rPr>
                <w:sz w:val="17"/>
                <w:szCs w:val="17"/>
                <w:rtl/>
              </w:rPr>
            </w:pPr>
          </w:p>
        </w:tc>
      </w:tr>
      <w:tr w:rsidR="00FC6A6C" w:rsidRPr="00543C25" w14:paraId="73579148" w14:textId="77777777" w:rsidTr="004F59A7">
        <w:tc>
          <w:tcPr>
            <w:tcW w:w="1560" w:type="dxa"/>
            <w:shd w:val="clear" w:color="auto" w:fill="auto"/>
          </w:tcPr>
          <w:p w14:paraId="79360070" w14:textId="77777777" w:rsidR="00FC6A6C" w:rsidRPr="003425A3" w:rsidRDefault="00FC6A6C" w:rsidP="00FC6A6C">
            <w:pPr>
              <w:pStyle w:val="-0"/>
              <w:spacing w:line="240" w:lineRule="auto"/>
              <w:ind w:left="720"/>
              <w:rPr>
                <w:sz w:val="16"/>
                <w:szCs w:val="16"/>
                <w:rtl/>
              </w:rPr>
            </w:pPr>
          </w:p>
        </w:tc>
        <w:tc>
          <w:tcPr>
            <w:tcW w:w="3122" w:type="dxa"/>
            <w:tcBorders>
              <w:top w:val="nil"/>
              <w:left w:val="nil"/>
              <w:bottom w:val="nil"/>
              <w:right w:val="nil"/>
            </w:tcBorders>
            <w:shd w:val="clear" w:color="auto" w:fill="auto"/>
            <w:vAlign w:val="bottom"/>
          </w:tcPr>
          <w:p w14:paraId="27BBD255" w14:textId="5FF98710" w:rsidR="00FC6A6C" w:rsidRPr="00FC6A6C" w:rsidRDefault="00FC6A6C" w:rsidP="00BF2D3B">
            <w:pPr>
              <w:pStyle w:val="-0"/>
              <w:spacing w:line="240" w:lineRule="auto"/>
              <w:ind w:left="467" w:hanging="114"/>
              <w:rPr>
                <w:sz w:val="17"/>
                <w:szCs w:val="17"/>
                <w:rtl/>
              </w:rPr>
            </w:pPr>
            <w:r w:rsidRPr="00FC6A6C">
              <w:rPr>
                <w:rFonts w:hint="cs"/>
                <w:sz w:val="16"/>
                <w:szCs w:val="16"/>
                <w:rtl/>
              </w:rPr>
              <w:t xml:space="preserve">התחייבויות בגין מכשירים נגזרים </w:t>
            </w:r>
            <w:r w:rsidRPr="00FC6A6C">
              <w:rPr>
                <w:rFonts w:hint="cs"/>
                <w:sz w:val="16"/>
                <w:szCs w:val="16"/>
                <w:vertAlign w:val="superscript"/>
                <w:rtl/>
              </w:rPr>
              <w:t>[2]</w:t>
            </w:r>
          </w:p>
        </w:tc>
        <w:tc>
          <w:tcPr>
            <w:tcW w:w="850" w:type="dxa"/>
            <w:vAlign w:val="bottom"/>
          </w:tcPr>
          <w:p w14:paraId="6B80D447" w14:textId="16AEAD95" w:rsidR="00FC6A6C" w:rsidRDefault="00FC6A6C" w:rsidP="004F59A7">
            <w:pPr>
              <w:pStyle w:val="-3"/>
              <w:spacing w:line="240" w:lineRule="auto"/>
              <w:rPr>
                <w:sz w:val="17"/>
                <w:szCs w:val="17"/>
                <w:rtl/>
              </w:rPr>
            </w:pPr>
            <w:r w:rsidRPr="00532A1C">
              <w:rPr>
                <w:sz w:val="17"/>
                <w:szCs w:val="17"/>
                <w:rtl/>
              </w:rPr>
              <w:t xml:space="preserve"> 0</w:t>
            </w:r>
          </w:p>
        </w:tc>
        <w:tc>
          <w:tcPr>
            <w:tcW w:w="891" w:type="dxa"/>
            <w:tcBorders>
              <w:bottom w:val="nil"/>
            </w:tcBorders>
            <w:vAlign w:val="bottom"/>
          </w:tcPr>
          <w:p w14:paraId="485C99FC" w14:textId="04F3E763" w:rsidR="00FC6A6C" w:rsidRDefault="00FC6A6C" w:rsidP="004F59A7">
            <w:pPr>
              <w:pStyle w:val="-3"/>
              <w:rPr>
                <w:sz w:val="17"/>
                <w:szCs w:val="17"/>
                <w:rtl/>
              </w:rPr>
            </w:pPr>
            <w:r w:rsidRPr="00532A1C">
              <w:rPr>
                <w:sz w:val="17"/>
                <w:szCs w:val="17"/>
                <w:rtl/>
              </w:rPr>
              <w:t xml:space="preserve"> 0 </w:t>
            </w:r>
          </w:p>
        </w:tc>
        <w:tc>
          <w:tcPr>
            <w:tcW w:w="939" w:type="dxa"/>
            <w:tcBorders>
              <w:bottom w:val="nil"/>
            </w:tcBorders>
            <w:vAlign w:val="bottom"/>
          </w:tcPr>
          <w:p w14:paraId="238C2B7F" w14:textId="56216002" w:rsidR="00FC6A6C" w:rsidRDefault="00FC6A6C" w:rsidP="004F59A7">
            <w:pPr>
              <w:pStyle w:val="-3"/>
              <w:spacing w:line="240" w:lineRule="auto"/>
              <w:rPr>
                <w:sz w:val="17"/>
                <w:szCs w:val="17"/>
                <w:rtl/>
              </w:rPr>
            </w:pPr>
            <w:r w:rsidRPr="00532A1C">
              <w:rPr>
                <w:sz w:val="17"/>
                <w:szCs w:val="17"/>
                <w:rtl/>
              </w:rPr>
              <w:t xml:space="preserve"> </w:t>
            </w:r>
            <w:r>
              <w:rPr>
                <w:rFonts w:hint="cs"/>
                <w:sz w:val="17"/>
                <w:szCs w:val="17"/>
                <w:rtl/>
              </w:rPr>
              <w:t>-</w:t>
            </w:r>
          </w:p>
        </w:tc>
        <w:tc>
          <w:tcPr>
            <w:tcW w:w="705" w:type="dxa"/>
            <w:tcBorders>
              <w:bottom w:val="nil"/>
            </w:tcBorders>
            <w:vAlign w:val="bottom"/>
          </w:tcPr>
          <w:p w14:paraId="536D5D89" w14:textId="4A64AF06" w:rsidR="00FC6A6C" w:rsidRDefault="00FC6A6C" w:rsidP="004F59A7">
            <w:pPr>
              <w:pStyle w:val="-3"/>
              <w:spacing w:line="240" w:lineRule="auto"/>
              <w:rPr>
                <w:sz w:val="17"/>
                <w:szCs w:val="17"/>
                <w:rtl/>
              </w:rPr>
            </w:pPr>
            <w:r w:rsidRPr="00532A1C">
              <w:rPr>
                <w:sz w:val="17"/>
                <w:szCs w:val="17"/>
                <w:rtl/>
              </w:rPr>
              <w:t xml:space="preserve"> 0</w:t>
            </w:r>
          </w:p>
        </w:tc>
        <w:tc>
          <w:tcPr>
            <w:tcW w:w="829" w:type="dxa"/>
            <w:tcBorders>
              <w:bottom w:val="nil"/>
            </w:tcBorders>
            <w:vAlign w:val="bottom"/>
          </w:tcPr>
          <w:p w14:paraId="25AA25AA" w14:textId="139B5319" w:rsidR="00FC6A6C" w:rsidRDefault="00FC6A6C" w:rsidP="004F59A7">
            <w:pPr>
              <w:pStyle w:val="-3"/>
              <w:spacing w:line="240" w:lineRule="auto"/>
              <w:rPr>
                <w:sz w:val="17"/>
                <w:szCs w:val="17"/>
                <w:rtl/>
              </w:rPr>
            </w:pPr>
            <w:r>
              <w:rPr>
                <w:rFonts w:hint="cs"/>
                <w:sz w:val="17"/>
                <w:szCs w:val="17"/>
                <w:rtl/>
              </w:rPr>
              <w:t xml:space="preserve"> 0</w:t>
            </w:r>
          </w:p>
        </w:tc>
        <w:tc>
          <w:tcPr>
            <w:tcW w:w="704" w:type="dxa"/>
            <w:tcBorders>
              <w:bottom w:val="nil"/>
            </w:tcBorders>
            <w:vAlign w:val="bottom"/>
          </w:tcPr>
          <w:p w14:paraId="0B73BCE2" w14:textId="5F14D6B0" w:rsidR="00FC6A6C" w:rsidRDefault="00FC6A6C" w:rsidP="004F59A7">
            <w:pPr>
              <w:pStyle w:val="-3"/>
              <w:spacing w:line="240" w:lineRule="auto"/>
              <w:rPr>
                <w:sz w:val="17"/>
                <w:szCs w:val="17"/>
                <w:rtl/>
              </w:rPr>
            </w:pPr>
            <w:r w:rsidRPr="00532A1C">
              <w:rPr>
                <w:sz w:val="17"/>
                <w:szCs w:val="17"/>
                <w:rtl/>
              </w:rPr>
              <w:t>(0)</w:t>
            </w:r>
          </w:p>
        </w:tc>
        <w:tc>
          <w:tcPr>
            <w:tcW w:w="747" w:type="dxa"/>
            <w:tcBorders>
              <w:bottom w:val="nil"/>
            </w:tcBorders>
            <w:vAlign w:val="bottom"/>
          </w:tcPr>
          <w:p w14:paraId="7221E092" w14:textId="024AF027" w:rsidR="00FC6A6C" w:rsidRDefault="00FC6A6C" w:rsidP="004F59A7">
            <w:pPr>
              <w:pStyle w:val="-3"/>
              <w:spacing w:line="240" w:lineRule="auto"/>
              <w:rPr>
                <w:sz w:val="17"/>
                <w:szCs w:val="17"/>
                <w:rtl/>
              </w:rPr>
            </w:pPr>
            <w:r w:rsidRPr="00532A1C">
              <w:rPr>
                <w:sz w:val="17"/>
                <w:szCs w:val="17"/>
                <w:rtl/>
              </w:rPr>
              <w:t>(0)</w:t>
            </w:r>
          </w:p>
        </w:tc>
        <w:tc>
          <w:tcPr>
            <w:tcW w:w="673" w:type="dxa"/>
            <w:tcBorders>
              <w:bottom w:val="nil"/>
            </w:tcBorders>
            <w:vAlign w:val="bottom"/>
          </w:tcPr>
          <w:p w14:paraId="18B14344" w14:textId="621FF3E4" w:rsidR="00FC6A6C" w:rsidRDefault="00FC6A6C" w:rsidP="004F59A7">
            <w:pPr>
              <w:pStyle w:val="-3"/>
              <w:spacing w:line="240" w:lineRule="auto"/>
              <w:rPr>
                <w:sz w:val="17"/>
                <w:szCs w:val="17"/>
                <w:rtl/>
              </w:rPr>
            </w:pPr>
            <w:r w:rsidRPr="00532A1C">
              <w:rPr>
                <w:sz w:val="17"/>
                <w:szCs w:val="17"/>
                <w:rtl/>
              </w:rPr>
              <w:t xml:space="preserve"> 0</w:t>
            </w:r>
          </w:p>
        </w:tc>
        <w:tc>
          <w:tcPr>
            <w:tcW w:w="752" w:type="dxa"/>
            <w:tcBorders>
              <w:bottom w:val="nil"/>
            </w:tcBorders>
            <w:vAlign w:val="bottom"/>
          </w:tcPr>
          <w:p w14:paraId="636E55DA" w14:textId="645290A9" w:rsidR="00FC6A6C" w:rsidRDefault="00FC6A6C" w:rsidP="004F59A7">
            <w:pPr>
              <w:pStyle w:val="-3"/>
              <w:spacing w:line="240" w:lineRule="auto"/>
              <w:rPr>
                <w:sz w:val="17"/>
                <w:szCs w:val="17"/>
                <w:rtl/>
              </w:rPr>
            </w:pPr>
            <w:r w:rsidRPr="00532A1C">
              <w:rPr>
                <w:sz w:val="17"/>
                <w:szCs w:val="17"/>
                <w:rtl/>
              </w:rPr>
              <w:t>(0)</w:t>
            </w:r>
          </w:p>
        </w:tc>
        <w:tc>
          <w:tcPr>
            <w:tcW w:w="997" w:type="dxa"/>
            <w:tcBorders>
              <w:bottom w:val="nil"/>
            </w:tcBorders>
            <w:vAlign w:val="bottom"/>
          </w:tcPr>
          <w:p w14:paraId="1AE07758" w14:textId="50D87E03" w:rsidR="00FC6A6C" w:rsidRDefault="00FC6A6C" w:rsidP="004F59A7">
            <w:pPr>
              <w:pStyle w:val="-3"/>
              <w:spacing w:line="240" w:lineRule="auto"/>
              <w:rPr>
                <w:sz w:val="17"/>
                <w:szCs w:val="17"/>
                <w:rtl/>
              </w:rPr>
            </w:pPr>
            <w:r w:rsidRPr="00532A1C">
              <w:rPr>
                <w:sz w:val="17"/>
                <w:szCs w:val="17"/>
                <w:rtl/>
              </w:rPr>
              <w:t xml:space="preserve"> 0</w:t>
            </w:r>
          </w:p>
        </w:tc>
        <w:tc>
          <w:tcPr>
            <w:tcW w:w="988" w:type="dxa"/>
            <w:tcBorders>
              <w:bottom w:val="nil"/>
            </w:tcBorders>
            <w:vAlign w:val="bottom"/>
          </w:tcPr>
          <w:p w14:paraId="304F3B12" w14:textId="3BCC296C" w:rsidR="00FC6A6C" w:rsidRDefault="00FC6A6C" w:rsidP="004F59A7">
            <w:pPr>
              <w:pStyle w:val="-3"/>
              <w:spacing w:line="240" w:lineRule="auto"/>
              <w:rPr>
                <w:sz w:val="17"/>
                <w:szCs w:val="17"/>
                <w:rtl/>
              </w:rPr>
            </w:pPr>
            <w:r w:rsidRPr="00532A1C">
              <w:rPr>
                <w:sz w:val="17"/>
                <w:szCs w:val="17"/>
                <w:rtl/>
              </w:rPr>
              <w:t xml:space="preserve"> 0</w:t>
            </w:r>
          </w:p>
        </w:tc>
        <w:tc>
          <w:tcPr>
            <w:tcW w:w="1702" w:type="dxa"/>
            <w:tcBorders>
              <w:bottom w:val="nil"/>
            </w:tcBorders>
            <w:vAlign w:val="bottom"/>
          </w:tcPr>
          <w:p w14:paraId="2B8DA09E" w14:textId="09521744" w:rsidR="00FC6A6C" w:rsidRPr="0010257C" w:rsidRDefault="00FC6A6C" w:rsidP="004F59A7">
            <w:pPr>
              <w:pStyle w:val="-3"/>
              <w:tabs>
                <w:tab w:val="left" w:pos="195"/>
              </w:tabs>
              <w:spacing w:line="240" w:lineRule="auto"/>
              <w:rPr>
                <w:rtl/>
              </w:rPr>
            </w:pPr>
            <w:r w:rsidRPr="00532A1C">
              <w:rPr>
                <w:sz w:val="17"/>
                <w:szCs w:val="17"/>
                <w:rtl/>
              </w:rPr>
              <w:t xml:space="preserve">  0</w:t>
            </w:r>
          </w:p>
        </w:tc>
      </w:tr>
      <w:tr w:rsidR="00FC6A6C" w:rsidRPr="00543C25" w14:paraId="13E11B65" w14:textId="77777777" w:rsidTr="004F59A7">
        <w:tc>
          <w:tcPr>
            <w:tcW w:w="1560" w:type="dxa"/>
            <w:tcBorders>
              <w:bottom w:val="nil"/>
            </w:tcBorders>
            <w:shd w:val="clear" w:color="auto" w:fill="auto"/>
          </w:tcPr>
          <w:p w14:paraId="016D66BB" w14:textId="77777777" w:rsidR="00FC6A6C" w:rsidRPr="003425A3" w:rsidRDefault="00FC6A6C" w:rsidP="00FC6A6C">
            <w:pPr>
              <w:pStyle w:val="-0"/>
              <w:spacing w:line="240" w:lineRule="auto"/>
              <w:ind w:left="432"/>
              <w:rPr>
                <w:sz w:val="16"/>
                <w:szCs w:val="16"/>
                <w:rtl/>
              </w:rPr>
            </w:pPr>
          </w:p>
        </w:tc>
        <w:tc>
          <w:tcPr>
            <w:tcW w:w="3122" w:type="dxa"/>
            <w:tcBorders>
              <w:top w:val="nil"/>
              <w:left w:val="nil"/>
              <w:bottom w:val="nil"/>
              <w:right w:val="nil"/>
            </w:tcBorders>
            <w:shd w:val="clear" w:color="auto" w:fill="auto"/>
            <w:vAlign w:val="bottom"/>
          </w:tcPr>
          <w:p w14:paraId="5D0AB2E1" w14:textId="02BF493B" w:rsidR="00FC6A6C" w:rsidRPr="00FC6A6C" w:rsidRDefault="00FC6A6C" w:rsidP="00BF2D3B">
            <w:pPr>
              <w:pStyle w:val="-0"/>
              <w:spacing w:line="240" w:lineRule="auto"/>
              <w:ind w:left="467" w:hanging="114"/>
              <w:rPr>
                <w:sz w:val="17"/>
                <w:szCs w:val="17"/>
                <w:rtl/>
              </w:rPr>
            </w:pPr>
            <w:r w:rsidRPr="00FC6A6C">
              <w:rPr>
                <w:rFonts w:hint="eastAsia"/>
                <w:sz w:val="16"/>
                <w:szCs w:val="16"/>
                <w:rtl/>
              </w:rPr>
              <w:t>אחר</w:t>
            </w:r>
            <w:r w:rsidRPr="00FC6A6C">
              <w:rPr>
                <w:rFonts w:hint="cs"/>
                <w:sz w:val="16"/>
                <w:szCs w:val="16"/>
                <w:rtl/>
              </w:rPr>
              <w:t xml:space="preserve"> [פרט אם מהותי]</w:t>
            </w:r>
          </w:p>
        </w:tc>
        <w:tc>
          <w:tcPr>
            <w:tcW w:w="850" w:type="dxa"/>
            <w:tcBorders>
              <w:bottom w:val="nil"/>
            </w:tcBorders>
            <w:vAlign w:val="bottom"/>
          </w:tcPr>
          <w:p w14:paraId="7E7D3C40" w14:textId="6F214891" w:rsidR="00FC6A6C" w:rsidRDefault="00FC6A6C" w:rsidP="004F59A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891" w:type="dxa"/>
            <w:tcBorders>
              <w:top w:val="nil"/>
              <w:bottom w:val="nil"/>
            </w:tcBorders>
            <w:vAlign w:val="bottom"/>
          </w:tcPr>
          <w:p w14:paraId="257D58BD" w14:textId="29D421EF" w:rsidR="00FC6A6C" w:rsidRDefault="00FC6A6C" w:rsidP="004F59A7">
            <w:pPr>
              <w:pStyle w:val="-3"/>
              <w:pBdr>
                <w:bottom w:val="single" w:sz="4" w:space="1" w:color="auto"/>
              </w:pBdr>
              <w:rPr>
                <w:sz w:val="17"/>
                <w:szCs w:val="17"/>
                <w:rtl/>
              </w:rPr>
            </w:pPr>
            <w:r w:rsidRPr="00532A1C">
              <w:rPr>
                <w:sz w:val="17"/>
                <w:szCs w:val="17"/>
                <w:rtl/>
              </w:rPr>
              <w:t xml:space="preserve"> 0</w:t>
            </w:r>
            <w:r w:rsidRPr="00532A1C">
              <w:rPr>
                <w:sz w:val="17"/>
                <w:szCs w:val="17"/>
                <w:vertAlign w:val="superscript"/>
                <w:rtl/>
              </w:rPr>
              <w:t xml:space="preserve">(ג) </w:t>
            </w:r>
          </w:p>
        </w:tc>
        <w:tc>
          <w:tcPr>
            <w:tcW w:w="939" w:type="dxa"/>
            <w:tcBorders>
              <w:top w:val="nil"/>
              <w:bottom w:val="nil"/>
            </w:tcBorders>
            <w:vAlign w:val="bottom"/>
          </w:tcPr>
          <w:p w14:paraId="54C21D4E" w14:textId="474E7E30" w:rsidR="00FC6A6C" w:rsidRDefault="00FC6A6C" w:rsidP="004F59A7">
            <w:pPr>
              <w:pStyle w:val="-3"/>
              <w:pBdr>
                <w:bottom w:val="single" w:sz="4" w:space="1" w:color="auto"/>
              </w:pBdr>
              <w:spacing w:line="240" w:lineRule="auto"/>
              <w:rPr>
                <w:sz w:val="17"/>
                <w:szCs w:val="17"/>
                <w:rtl/>
              </w:rPr>
            </w:pPr>
            <w:r>
              <w:rPr>
                <w:rFonts w:hint="cs"/>
                <w:sz w:val="17"/>
                <w:szCs w:val="17"/>
                <w:rtl/>
              </w:rPr>
              <w:t xml:space="preserve"> -</w:t>
            </w:r>
          </w:p>
        </w:tc>
        <w:tc>
          <w:tcPr>
            <w:tcW w:w="705" w:type="dxa"/>
            <w:tcBorders>
              <w:top w:val="nil"/>
              <w:bottom w:val="nil"/>
            </w:tcBorders>
            <w:vAlign w:val="bottom"/>
          </w:tcPr>
          <w:p w14:paraId="35EB2097" w14:textId="5F2685C1" w:rsidR="00FC6A6C" w:rsidRDefault="00FC6A6C" w:rsidP="004F59A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829" w:type="dxa"/>
            <w:tcBorders>
              <w:top w:val="nil"/>
              <w:bottom w:val="nil"/>
            </w:tcBorders>
            <w:vAlign w:val="bottom"/>
          </w:tcPr>
          <w:p w14:paraId="184DFFDF" w14:textId="63E61C58" w:rsidR="00FC6A6C" w:rsidRDefault="00FC6A6C" w:rsidP="004F59A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704" w:type="dxa"/>
            <w:tcBorders>
              <w:top w:val="nil"/>
              <w:bottom w:val="nil"/>
            </w:tcBorders>
            <w:vAlign w:val="bottom"/>
          </w:tcPr>
          <w:p w14:paraId="035DDEA3" w14:textId="0C487E95" w:rsidR="00FC6A6C" w:rsidRDefault="00FC6A6C" w:rsidP="004F59A7">
            <w:pPr>
              <w:pStyle w:val="-120"/>
              <w:pBdr>
                <w:top w:val="none" w:sz="0" w:space="0" w:color="auto"/>
                <w:bottom w:val="single" w:sz="4" w:space="1" w:color="auto"/>
              </w:pBdr>
              <w:spacing w:line="240" w:lineRule="auto"/>
              <w:jc w:val="left"/>
              <w:rPr>
                <w:sz w:val="17"/>
                <w:szCs w:val="17"/>
                <w:rtl/>
              </w:rPr>
            </w:pPr>
            <w:r w:rsidRPr="00532A1C">
              <w:rPr>
                <w:sz w:val="17"/>
                <w:szCs w:val="17"/>
                <w:rtl/>
              </w:rPr>
              <w:t>(0)</w:t>
            </w:r>
          </w:p>
        </w:tc>
        <w:tc>
          <w:tcPr>
            <w:tcW w:w="747" w:type="dxa"/>
            <w:tcBorders>
              <w:top w:val="nil"/>
              <w:bottom w:val="nil"/>
            </w:tcBorders>
            <w:vAlign w:val="bottom"/>
          </w:tcPr>
          <w:p w14:paraId="4332D7C6" w14:textId="5825CA78" w:rsidR="00FC6A6C" w:rsidRDefault="00FC6A6C" w:rsidP="004F59A7">
            <w:pPr>
              <w:pStyle w:val="-120"/>
              <w:pBdr>
                <w:top w:val="none" w:sz="0" w:space="0" w:color="auto"/>
                <w:bottom w:val="single" w:sz="4" w:space="1" w:color="auto"/>
              </w:pBdr>
              <w:spacing w:line="240" w:lineRule="auto"/>
              <w:jc w:val="left"/>
              <w:rPr>
                <w:sz w:val="17"/>
                <w:szCs w:val="17"/>
                <w:rtl/>
              </w:rPr>
            </w:pPr>
            <w:r w:rsidRPr="00532A1C">
              <w:rPr>
                <w:sz w:val="17"/>
                <w:szCs w:val="17"/>
                <w:rtl/>
              </w:rPr>
              <w:t>(0)</w:t>
            </w:r>
          </w:p>
        </w:tc>
        <w:tc>
          <w:tcPr>
            <w:tcW w:w="673" w:type="dxa"/>
            <w:tcBorders>
              <w:top w:val="nil"/>
              <w:bottom w:val="nil"/>
            </w:tcBorders>
            <w:vAlign w:val="bottom"/>
          </w:tcPr>
          <w:p w14:paraId="108CA87D" w14:textId="5A8B9131" w:rsidR="00FC6A6C" w:rsidRDefault="00FC6A6C" w:rsidP="004F59A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752" w:type="dxa"/>
            <w:tcBorders>
              <w:top w:val="nil"/>
              <w:bottom w:val="nil"/>
            </w:tcBorders>
            <w:vAlign w:val="bottom"/>
          </w:tcPr>
          <w:p w14:paraId="7F2889EA" w14:textId="4611B552" w:rsidR="00FC6A6C" w:rsidRDefault="00FC6A6C" w:rsidP="004F59A7">
            <w:pPr>
              <w:pStyle w:val="-120"/>
              <w:pBdr>
                <w:top w:val="none" w:sz="0" w:space="0" w:color="auto"/>
                <w:bottom w:val="single" w:sz="4" w:space="1" w:color="auto"/>
              </w:pBdr>
              <w:spacing w:line="240" w:lineRule="auto"/>
              <w:jc w:val="left"/>
              <w:rPr>
                <w:sz w:val="17"/>
                <w:szCs w:val="17"/>
                <w:rtl/>
              </w:rPr>
            </w:pPr>
            <w:r w:rsidRPr="00532A1C">
              <w:rPr>
                <w:sz w:val="17"/>
                <w:szCs w:val="17"/>
                <w:rtl/>
              </w:rPr>
              <w:t>(0)</w:t>
            </w:r>
          </w:p>
        </w:tc>
        <w:tc>
          <w:tcPr>
            <w:tcW w:w="997" w:type="dxa"/>
            <w:tcBorders>
              <w:top w:val="nil"/>
              <w:bottom w:val="nil"/>
            </w:tcBorders>
            <w:vAlign w:val="bottom"/>
          </w:tcPr>
          <w:p w14:paraId="513FD34A" w14:textId="511D595B" w:rsidR="00FC6A6C" w:rsidRDefault="00FC6A6C" w:rsidP="004F59A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988" w:type="dxa"/>
            <w:tcBorders>
              <w:top w:val="nil"/>
              <w:bottom w:val="nil"/>
            </w:tcBorders>
            <w:vAlign w:val="bottom"/>
          </w:tcPr>
          <w:p w14:paraId="18998C56" w14:textId="25FE7ED2" w:rsidR="00FC6A6C" w:rsidRDefault="00FC6A6C" w:rsidP="004F59A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1702" w:type="dxa"/>
            <w:tcBorders>
              <w:top w:val="nil"/>
              <w:bottom w:val="nil"/>
            </w:tcBorders>
            <w:vAlign w:val="bottom"/>
          </w:tcPr>
          <w:p w14:paraId="61A862BF" w14:textId="459399AA" w:rsidR="00FC6A6C" w:rsidRDefault="00FC6A6C" w:rsidP="004F59A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r w:rsidRPr="00532A1C">
              <w:rPr>
                <w:sz w:val="17"/>
                <w:szCs w:val="17"/>
                <w:vertAlign w:val="superscript"/>
                <w:rtl/>
              </w:rPr>
              <w:t>(ג)</w:t>
            </w:r>
          </w:p>
        </w:tc>
      </w:tr>
      <w:tr w:rsidR="00FC6A6C" w:rsidRPr="00543C25" w14:paraId="5053492C" w14:textId="77777777" w:rsidTr="004F59A7">
        <w:tc>
          <w:tcPr>
            <w:tcW w:w="1560" w:type="dxa"/>
            <w:tcBorders>
              <w:bottom w:val="nil"/>
            </w:tcBorders>
            <w:shd w:val="clear" w:color="auto" w:fill="auto"/>
          </w:tcPr>
          <w:p w14:paraId="3DE4BBA5" w14:textId="77777777" w:rsidR="00FC6A6C" w:rsidRDefault="00FC6A6C" w:rsidP="00FC6A6C">
            <w:pPr>
              <w:pStyle w:val="-0"/>
              <w:ind w:left="560" w:hanging="114"/>
              <w:rPr>
                <w:sz w:val="16"/>
                <w:szCs w:val="16"/>
                <w:rtl/>
              </w:rPr>
            </w:pPr>
          </w:p>
        </w:tc>
        <w:tc>
          <w:tcPr>
            <w:tcW w:w="3122" w:type="dxa"/>
            <w:tcBorders>
              <w:top w:val="nil"/>
              <w:left w:val="nil"/>
              <w:bottom w:val="nil"/>
              <w:right w:val="nil"/>
            </w:tcBorders>
            <w:shd w:val="clear" w:color="auto" w:fill="auto"/>
            <w:vAlign w:val="bottom"/>
          </w:tcPr>
          <w:p w14:paraId="0AFF8D80" w14:textId="7E829912" w:rsidR="00FC6A6C" w:rsidRPr="00BF2D3B" w:rsidRDefault="00FC6A6C" w:rsidP="00BF2D3B">
            <w:pPr>
              <w:pStyle w:val="-f"/>
              <w:ind w:left="560" w:hanging="235"/>
              <w:rPr>
                <w:b w:val="0"/>
                <w:bCs w:val="0"/>
                <w:sz w:val="17"/>
                <w:szCs w:val="17"/>
                <w:u w:val="none"/>
                <w:rtl/>
              </w:rPr>
            </w:pPr>
            <w:r w:rsidRPr="00BF2D3B">
              <w:rPr>
                <w:sz w:val="16"/>
                <w:szCs w:val="16"/>
                <w:u w:val="none"/>
                <w:rtl/>
              </w:rPr>
              <w:t xml:space="preserve">סך </w:t>
            </w:r>
            <w:r w:rsidRPr="00BF2D3B">
              <w:rPr>
                <w:rFonts w:hint="cs"/>
                <w:sz w:val="16"/>
                <w:szCs w:val="16"/>
                <w:u w:val="none"/>
                <w:rtl/>
              </w:rPr>
              <w:t>כל ההתחייבויות</w:t>
            </w:r>
          </w:p>
        </w:tc>
        <w:tc>
          <w:tcPr>
            <w:tcW w:w="850" w:type="dxa"/>
            <w:tcBorders>
              <w:bottom w:val="nil"/>
            </w:tcBorders>
            <w:vAlign w:val="bottom"/>
          </w:tcPr>
          <w:p w14:paraId="08E411D7" w14:textId="67B5CD33" w:rsidR="00FC6A6C" w:rsidRPr="00FC6A6C" w:rsidRDefault="00FC6A6C" w:rsidP="004F59A7">
            <w:pPr>
              <w:pStyle w:val="-3"/>
              <w:rPr>
                <w:b/>
                <w:bCs/>
                <w:sz w:val="17"/>
                <w:szCs w:val="17"/>
                <w:rtl/>
              </w:rPr>
            </w:pPr>
            <w:r w:rsidRPr="00FC6A6C">
              <w:rPr>
                <w:b/>
                <w:bCs/>
                <w:sz w:val="17"/>
                <w:szCs w:val="17"/>
                <w:rtl/>
              </w:rPr>
              <w:t xml:space="preserve"> 0</w:t>
            </w:r>
          </w:p>
        </w:tc>
        <w:tc>
          <w:tcPr>
            <w:tcW w:w="891" w:type="dxa"/>
            <w:tcBorders>
              <w:bottom w:val="nil"/>
            </w:tcBorders>
            <w:vAlign w:val="bottom"/>
          </w:tcPr>
          <w:p w14:paraId="308D0A45" w14:textId="1AAFE544" w:rsidR="00FC6A6C" w:rsidRPr="00FC6A6C" w:rsidRDefault="00FC6A6C" w:rsidP="004F59A7">
            <w:pPr>
              <w:pStyle w:val="-3"/>
              <w:rPr>
                <w:b/>
                <w:bCs/>
                <w:sz w:val="17"/>
                <w:szCs w:val="17"/>
                <w:rtl/>
              </w:rPr>
            </w:pPr>
            <w:r w:rsidRPr="00FC6A6C">
              <w:rPr>
                <w:b/>
                <w:bCs/>
                <w:sz w:val="17"/>
                <w:szCs w:val="17"/>
                <w:rtl/>
              </w:rPr>
              <w:t xml:space="preserve"> 0</w:t>
            </w:r>
          </w:p>
        </w:tc>
        <w:tc>
          <w:tcPr>
            <w:tcW w:w="939" w:type="dxa"/>
            <w:tcBorders>
              <w:bottom w:val="nil"/>
            </w:tcBorders>
            <w:vAlign w:val="bottom"/>
          </w:tcPr>
          <w:p w14:paraId="2DCFD681" w14:textId="0293A0F5" w:rsidR="00FC6A6C" w:rsidRPr="00FC6A6C" w:rsidRDefault="00FC6A6C" w:rsidP="004F59A7">
            <w:pPr>
              <w:pStyle w:val="-3"/>
              <w:rPr>
                <w:b/>
                <w:bCs/>
                <w:sz w:val="17"/>
                <w:szCs w:val="17"/>
                <w:rtl/>
              </w:rPr>
            </w:pPr>
            <w:r w:rsidRPr="00FC6A6C">
              <w:rPr>
                <w:b/>
                <w:bCs/>
                <w:sz w:val="17"/>
                <w:szCs w:val="17"/>
                <w:rtl/>
              </w:rPr>
              <w:t xml:space="preserve"> 0</w:t>
            </w:r>
          </w:p>
        </w:tc>
        <w:tc>
          <w:tcPr>
            <w:tcW w:w="705" w:type="dxa"/>
            <w:tcBorders>
              <w:bottom w:val="nil"/>
            </w:tcBorders>
            <w:vAlign w:val="bottom"/>
          </w:tcPr>
          <w:p w14:paraId="1964D9C0" w14:textId="347B667F" w:rsidR="00FC6A6C" w:rsidRPr="00FC6A6C" w:rsidRDefault="00FC6A6C" w:rsidP="004F59A7">
            <w:pPr>
              <w:pStyle w:val="-3"/>
              <w:rPr>
                <w:b/>
                <w:bCs/>
                <w:sz w:val="17"/>
                <w:szCs w:val="17"/>
                <w:rtl/>
              </w:rPr>
            </w:pPr>
            <w:r w:rsidRPr="00FC6A6C">
              <w:rPr>
                <w:b/>
                <w:bCs/>
                <w:sz w:val="17"/>
                <w:szCs w:val="17"/>
                <w:rtl/>
              </w:rPr>
              <w:t xml:space="preserve"> 0</w:t>
            </w:r>
          </w:p>
        </w:tc>
        <w:tc>
          <w:tcPr>
            <w:tcW w:w="829" w:type="dxa"/>
            <w:tcBorders>
              <w:bottom w:val="nil"/>
            </w:tcBorders>
            <w:vAlign w:val="bottom"/>
          </w:tcPr>
          <w:p w14:paraId="4D0247C8" w14:textId="7D17F105" w:rsidR="00FC6A6C" w:rsidRPr="00FC6A6C" w:rsidRDefault="00FC6A6C" w:rsidP="004F59A7">
            <w:pPr>
              <w:pStyle w:val="-3"/>
              <w:rPr>
                <w:b/>
                <w:bCs/>
                <w:sz w:val="17"/>
                <w:szCs w:val="17"/>
                <w:rtl/>
              </w:rPr>
            </w:pPr>
            <w:r w:rsidRPr="00FC6A6C">
              <w:rPr>
                <w:b/>
                <w:bCs/>
                <w:sz w:val="17"/>
                <w:szCs w:val="17"/>
                <w:rtl/>
              </w:rPr>
              <w:t xml:space="preserve"> 0</w:t>
            </w:r>
          </w:p>
        </w:tc>
        <w:tc>
          <w:tcPr>
            <w:tcW w:w="704" w:type="dxa"/>
            <w:tcBorders>
              <w:bottom w:val="nil"/>
            </w:tcBorders>
            <w:vAlign w:val="bottom"/>
          </w:tcPr>
          <w:p w14:paraId="6B88A3DD" w14:textId="2F2B54A2" w:rsidR="00FC6A6C" w:rsidRPr="00FC6A6C" w:rsidRDefault="00FC6A6C" w:rsidP="004F59A7">
            <w:pPr>
              <w:pStyle w:val="-3"/>
              <w:rPr>
                <w:b/>
                <w:bCs/>
                <w:sz w:val="17"/>
                <w:szCs w:val="17"/>
                <w:rtl/>
              </w:rPr>
            </w:pPr>
            <w:r w:rsidRPr="00FC6A6C">
              <w:rPr>
                <w:b/>
                <w:bCs/>
                <w:sz w:val="17"/>
                <w:szCs w:val="17"/>
                <w:rtl/>
              </w:rPr>
              <w:t>(0)</w:t>
            </w:r>
          </w:p>
        </w:tc>
        <w:tc>
          <w:tcPr>
            <w:tcW w:w="747" w:type="dxa"/>
            <w:tcBorders>
              <w:bottom w:val="nil"/>
            </w:tcBorders>
            <w:vAlign w:val="bottom"/>
          </w:tcPr>
          <w:p w14:paraId="740337D0" w14:textId="2B7896F8" w:rsidR="00FC6A6C" w:rsidRPr="00FC6A6C" w:rsidRDefault="00FC6A6C" w:rsidP="004F59A7">
            <w:pPr>
              <w:pStyle w:val="-3"/>
              <w:rPr>
                <w:b/>
                <w:bCs/>
                <w:sz w:val="17"/>
                <w:szCs w:val="17"/>
                <w:rtl/>
              </w:rPr>
            </w:pPr>
            <w:r w:rsidRPr="00FC6A6C">
              <w:rPr>
                <w:b/>
                <w:bCs/>
                <w:sz w:val="17"/>
                <w:szCs w:val="17"/>
                <w:rtl/>
              </w:rPr>
              <w:t>(0)</w:t>
            </w:r>
          </w:p>
        </w:tc>
        <w:tc>
          <w:tcPr>
            <w:tcW w:w="673" w:type="dxa"/>
            <w:tcBorders>
              <w:bottom w:val="nil"/>
            </w:tcBorders>
            <w:vAlign w:val="bottom"/>
          </w:tcPr>
          <w:p w14:paraId="3A81215F" w14:textId="762919D2" w:rsidR="00FC6A6C" w:rsidRPr="00FC6A6C" w:rsidRDefault="00FC6A6C" w:rsidP="004F59A7">
            <w:pPr>
              <w:pStyle w:val="-3"/>
              <w:rPr>
                <w:b/>
                <w:bCs/>
                <w:sz w:val="17"/>
                <w:szCs w:val="17"/>
                <w:rtl/>
              </w:rPr>
            </w:pPr>
            <w:r w:rsidRPr="00FC6A6C">
              <w:rPr>
                <w:b/>
                <w:bCs/>
                <w:sz w:val="17"/>
                <w:szCs w:val="17"/>
                <w:rtl/>
              </w:rPr>
              <w:t xml:space="preserve"> 0</w:t>
            </w:r>
          </w:p>
        </w:tc>
        <w:tc>
          <w:tcPr>
            <w:tcW w:w="752" w:type="dxa"/>
            <w:tcBorders>
              <w:bottom w:val="nil"/>
            </w:tcBorders>
            <w:vAlign w:val="bottom"/>
          </w:tcPr>
          <w:p w14:paraId="06EA0844" w14:textId="559231F8" w:rsidR="00FC6A6C" w:rsidRPr="00FC6A6C" w:rsidRDefault="00FC6A6C" w:rsidP="004F59A7">
            <w:pPr>
              <w:pStyle w:val="-3"/>
              <w:rPr>
                <w:b/>
                <w:bCs/>
                <w:sz w:val="17"/>
                <w:szCs w:val="17"/>
                <w:rtl/>
              </w:rPr>
            </w:pPr>
            <w:r w:rsidRPr="00FC6A6C">
              <w:rPr>
                <w:b/>
                <w:bCs/>
                <w:sz w:val="17"/>
                <w:szCs w:val="17"/>
                <w:rtl/>
              </w:rPr>
              <w:t>(0)</w:t>
            </w:r>
          </w:p>
        </w:tc>
        <w:tc>
          <w:tcPr>
            <w:tcW w:w="997" w:type="dxa"/>
            <w:tcBorders>
              <w:bottom w:val="nil"/>
            </w:tcBorders>
          </w:tcPr>
          <w:p w14:paraId="5B4BC882" w14:textId="180AB83F" w:rsidR="00FC6A6C" w:rsidRPr="00FC6A6C" w:rsidRDefault="00FC6A6C" w:rsidP="004F59A7">
            <w:pPr>
              <w:pStyle w:val="-3"/>
              <w:rPr>
                <w:b/>
                <w:bCs/>
                <w:sz w:val="17"/>
                <w:szCs w:val="17"/>
                <w:rtl/>
              </w:rPr>
            </w:pPr>
            <w:r w:rsidRPr="00FC6A6C">
              <w:rPr>
                <w:b/>
                <w:bCs/>
                <w:sz w:val="17"/>
                <w:szCs w:val="17"/>
                <w:rtl/>
              </w:rPr>
              <w:t xml:space="preserve"> 0</w:t>
            </w:r>
          </w:p>
        </w:tc>
        <w:tc>
          <w:tcPr>
            <w:tcW w:w="988" w:type="dxa"/>
            <w:tcBorders>
              <w:bottom w:val="nil"/>
            </w:tcBorders>
            <w:vAlign w:val="bottom"/>
          </w:tcPr>
          <w:p w14:paraId="0557F8B9" w14:textId="4ECBA16E" w:rsidR="00FC6A6C" w:rsidRPr="00FC6A6C" w:rsidRDefault="00FC6A6C" w:rsidP="004F59A7">
            <w:pPr>
              <w:pStyle w:val="-3"/>
              <w:rPr>
                <w:b/>
                <w:bCs/>
                <w:sz w:val="17"/>
                <w:szCs w:val="17"/>
                <w:rtl/>
              </w:rPr>
            </w:pPr>
            <w:r w:rsidRPr="00FC6A6C">
              <w:rPr>
                <w:b/>
                <w:bCs/>
                <w:sz w:val="17"/>
                <w:szCs w:val="17"/>
                <w:rtl/>
              </w:rPr>
              <w:t xml:space="preserve"> 0</w:t>
            </w:r>
          </w:p>
        </w:tc>
        <w:tc>
          <w:tcPr>
            <w:tcW w:w="1702" w:type="dxa"/>
            <w:tcBorders>
              <w:bottom w:val="nil"/>
            </w:tcBorders>
            <w:vAlign w:val="bottom"/>
          </w:tcPr>
          <w:p w14:paraId="267ACE91" w14:textId="222FD426" w:rsidR="00FC6A6C" w:rsidRPr="00FC6A6C" w:rsidRDefault="00FC6A6C" w:rsidP="004F59A7">
            <w:pPr>
              <w:pStyle w:val="-3"/>
              <w:rPr>
                <w:b/>
                <w:bCs/>
                <w:sz w:val="17"/>
                <w:szCs w:val="17"/>
                <w:rtl/>
              </w:rPr>
            </w:pPr>
            <w:r w:rsidRPr="00FC6A6C">
              <w:rPr>
                <w:b/>
                <w:bCs/>
                <w:sz w:val="17"/>
                <w:szCs w:val="17"/>
                <w:rtl/>
              </w:rPr>
              <w:t xml:space="preserve">  0</w:t>
            </w:r>
          </w:p>
        </w:tc>
      </w:tr>
    </w:tbl>
    <w:p w14:paraId="5D7938BC" w14:textId="77777777" w:rsidR="004F59A7" w:rsidRDefault="004F59A7"/>
    <w:p w14:paraId="43C0989F" w14:textId="77777777" w:rsidR="004F59A7" w:rsidRDefault="004F59A7"/>
    <w:tbl>
      <w:tblPr>
        <w:bidiVisual/>
        <w:tblW w:w="5108" w:type="pct"/>
        <w:tblBorders>
          <w:bottom w:val="single" w:sz="4" w:space="0" w:color="auto"/>
        </w:tblBorders>
        <w:tblLayout w:type="fixed"/>
        <w:tblLook w:val="04A0" w:firstRow="1" w:lastRow="0" w:firstColumn="1" w:lastColumn="0" w:noHBand="0" w:noVBand="1"/>
      </w:tblPr>
      <w:tblGrid>
        <w:gridCol w:w="1560"/>
        <w:gridCol w:w="3122"/>
        <w:gridCol w:w="850"/>
        <w:gridCol w:w="891"/>
        <w:gridCol w:w="939"/>
        <w:gridCol w:w="705"/>
        <w:gridCol w:w="829"/>
        <w:gridCol w:w="704"/>
        <w:gridCol w:w="747"/>
        <w:gridCol w:w="673"/>
        <w:gridCol w:w="752"/>
        <w:gridCol w:w="997"/>
        <w:gridCol w:w="988"/>
        <w:gridCol w:w="1702"/>
      </w:tblGrid>
      <w:tr w:rsidR="004F59A7" w:rsidRPr="00543C25" w14:paraId="64604A64" w14:textId="77777777" w:rsidTr="00F04877">
        <w:trPr>
          <w:trHeight w:val="259"/>
        </w:trPr>
        <w:tc>
          <w:tcPr>
            <w:tcW w:w="1560" w:type="dxa"/>
            <w:shd w:val="clear" w:color="auto" w:fill="auto"/>
          </w:tcPr>
          <w:p w14:paraId="06EC8703" w14:textId="77777777" w:rsidR="004F59A7" w:rsidRDefault="004F59A7" w:rsidP="00F04877">
            <w:pPr>
              <w:pStyle w:val="-0"/>
              <w:ind w:left="0" w:firstLine="0"/>
              <w:rPr>
                <w:sz w:val="14"/>
                <w:szCs w:val="14"/>
                <w:rtl/>
              </w:rPr>
            </w:pPr>
          </w:p>
        </w:tc>
        <w:tc>
          <w:tcPr>
            <w:tcW w:w="3122" w:type="dxa"/>
            <w:tcBorders>
              <w:bottom w:val="nil"/>
            </w:tcBorders>
            <w:shd w:val="clear" w:color="auto" w:fill="auto"/>
            <w:vAlign w:val="bottom"/>
          </w:tcPr>
          <w:p w14:paraId="3B0430AB" w14:textId="77777777" w:rsidR="004F59A7" w:rsidRPr="00046EFB" w:rsidRDefault="004F59A7" w:rsidP="00F04877">
            <w:pPr>
              <w:pStyle w:val="-0"/>
              <w:spacing w:line="192" w:lineRule="auto"/>
              <w:rPr>
                <w:sz w:val="17"/>
                <w:szCs w:val="17"/>
                <w:rtl/>
              </w:rPr>
            </w:pPr>
          </w:p>
        </w:tc>
        <w:tc>
          <w:tcPr>
            <w:tcW w:w="850" w:type="dxa"/>
            <w:vMerge w:val="restart"/>
            <w:shd w:val="clear" w:color="auto" w:fill="auto"/>
            <w:tcMar>
              <w:left w:w="108" w:type="dxa"/>
              <w:right w:w="108" w:type="dxa"/>
            </w:tcMar>
            <w:vAlign w:val="bottom"/>
          </w:tcPr>
          <w:p w14:paraId="1FC79C86" w14:textId="77777777" w:rsidR="004F59A7" w:rsidRPr="004F59A7" w:rsidRDefault="004F59A7" w:rsidP="004F59A7">
            <w:pPr>
              <w:spacing w:line="192" w:lineRule="auto"/>
              <w:rPr>
                <w:b/>
                <w:bCs/>
                <w:sz w:val="16"/>
                <w:szCs w:val="16"/>
                <w:rtl/>
              </w:rPr>
            </w:pPr>
            <w:r w:rsidRPr="004F59A7">
              <w:rPr>
                <w:b/>
                <w:bCs/>
                <w:sz w:val="16"/>
                <w:szCs w:val="16"/>
                <w:rtl/>
              </w:rPr>
              <w:t>שווי הוגן ליום 31  בדצמבר</w:t>
            </w:r>
          </w:p>
          <w:p w14:paraId="69998E08" w14:textId="47CC870A" w:rsidR="004F59A7" w:rsidRPr="00BF2D3B" w:rsidRDefault="004F59A7" w:rsidP="004F59A7">
            <w:pPr>
              <w:pBdr>
                <w:bottom w:val="single" w:sz="4" w:space="1" w:color="auto"/>
              </w:pBdr>
              <w:spacing w:line="192" w:lineRule="auto"/>
              <w:ind w:left="57" w:right="57"/>
              <w:jc w:val="center"/>
              <w:rPr>
                <w:b/>
                <w:bCs/>
                <w:sz w:val="16"/>
                <w:szCs w:val="16"/>
                <w:rtl/>
              </w:rPr>
            </w:pPr>
            <w:r w:rsidRPr="004F59A7">
              <w:rPr>
                <w:b/>
                <w:bCs/>
                <w:sz w:val="16"/>
                <w:szCs w:val="16"/>
                <w:rtl/>
              </w:rPr>
              <w:t>2023 (מבוקר)</w:t>
            </w:r>
          </w:p>
        </w:tc>
        <w:tc>
          <w:tcPr>
            <w:tcW w:w="1830" w:type="dxa"/>
            <w:gridSpan w:val="2"/>
            <w:shd w:val="clear" w:color="auto" w:fill="auto"/>
            <w:tcMar>
              <w:left w:w="108" w:type="dxa"/>
              <w:right w:w="108" w:type="dxa"/>
            </w:tcMar>
            <w:vAlign w:val="bottom"/>
          </w:tcPr>
          <w:p w14:paraId="42EAB900" w14:textId="77777777" w:rsidR="004F59A7" w:rsidRPr="00BF2D3B" w:rsidRDefault="004F59A7" w:rsidP="00F04877">
            <w:pPr>
              <w:spacing w:line="192" w:lineRule="auto"/>
              <w:ind w:left="57" w:right="57"/>
              <w:jc w:val="center"/>
              <w:rPr>
                <w:b/>
                <w:bCs/>
                <w:sz w:val="16"/>
                <w:szCs w:val="16"/>
                <w:rtl/>
              </w:rPr>
            </w:pPr>
            <w:r w:rsidRPr="00BF2D3B">
              <w:rPr>
                <w:rFonts w:hint="eastAsia"/>
                <w:b/>
                <w:bCs/>
                <w:sz w:val="16"/>
                <w:szCs w:val="16"/>
                <w:rtl/>
              </w:rPr>
              <w:t>רווחים</w:t>
            </w:r>
            <w:r w:rsidRPr="00BF2D3B">
              <w:rPr>
                <w:b/>
                <w:bCs/>
                <w:sz w:val="16"/>
                <w:szCs w:val="16"/>
                <w:rtl/>
              </w:rPr>
              <w:t xml:space="preserve"> (הפסדים)</w:t>
            </w:r>
          </w:p>
          <w:p w14:paraId="41C804A6" w14:textId="77777777" w:rsidR="004F59A7" w:rsidRPr="00BF2D3B" w:rsidRDefault="004F59A7" w:rsidP="00F04877">
            <w:pPr>
              <w:pStyle w:val="-4"/>
              <w:spacing w:line="192" w:lineRule="auto"/>
              <w:rPr>
                <w:sz w:val="16"/>
                <w:szCs w:val="16"/>
                <w:rtl/>
              </w:rPr>
            </w:pPr>
            <w:r w:rsidRPr="00BF2D3B">
              <w:rPr>
                <w:rFonts w:hint="eastAsia"/>
                <w:sz w:val="16"/>
                <w:szCs w:val="16"/>
                <w:rtl/>
              </w:rPr>
              <w:t>לתקופה</w:t>
            </w:r>
            <w:r w:rsidRPr="00BF2D3B">
              <w:rPr>
                <w:sz w:val="16"/>
                <w:szCs w:val="16"/>
                <w:rtl/>
              </w:rPr>
              <w:t xml:space="preserve"> שנכללו </w:t>
            </w:r>
          </w:p>
        </w:tc>
        <w:tc>
          <w:tcPr>
            <w:tcW w:w="2985" w:type="dxa"/>
            <w:gridSpan w:val="4"/>
            <w:shd w:val="clear" w:color="auto" w:fill="auto"/>
            <w:tcMar>
              <w:left w:w="108" w:type="dxa"/>
              <w:right w:w="108" w:type="dxa"/>
            </w:tcMar>
            <w:vAlign w:val="bottom"/>
          </w:tcPr>
          <w:p w14:paraId="3167315E" w14:textId="77777777" w:rsidR="004F59A7" w:rsidRPr="00BF2D3B" w:rsidRDefault="004F59A7" w:rsidP="00F04877">
            <w:pPr>
              <w:pStyle w:val="-4"/>
              <w:spacing w:line="192" w:lineRule="auto"/>
              <w:rPr>
                <w:sz w:val="16"/>
                <w:szCs w:val="16"/>
                <w:rtl/>
              </w:rPr>
            </w:pPr>
            <w:r w:rsidRPr="00BF2D3B">
              <w:rPr>
                <w:rFonts w:hint="eastAsia"/>
                <w:sz w:val="16"/>
                <w:szCs w:val="16"/>
                <w:rtl/>
              </w:rPr>
              <w:t>תנועות</w:t>
            </w:r>
            <w:r w:rsidRPr="00BF2D3B">
              <w:rPr>
                <w:sz w:val="16"/>
                <w:szCs w:val="16"/>
                <w:rtl/>
              </w:rPr>
              <w:t xml:space="preserve"> </w:t>
            </w:r>
            <w:r w:rsidRPr="00BF2D3B">
              <w:rPr>
                <w:rFonts w:hint="eastAsia"/>
                <w:sz w:val="16"/>
                <w:szCs w:val="16"/>
                <w:rtl/>
              </w:rPr>
              <w:t>בגין</w:t>
            </w:r>
          </w:p>
        </w:tc>
        <w:tc>
          <w:tcPr>
            <w:tcW w:w="1425" w:type="dxa"/>
            <w:gridSpan w:val="2"/>
            <w:shd w:val="clear" w:color="auto" w:fill="auto"/>
            <w:tcMar>
              <w:left w:w="108" w:type="dxa"/>
              <w:right w:w="108" w:type="dxa"/>
            </w:tcMar>
            <w:vAlign w:val="bottom"/>
          </w:tcPr>
          <w:p w14:paraId="5EDDAD8D" w14:textId="77777777" w:rsidR="004F59A7" w:rsidRPr="00BF2D3B" w:rsidRDefault="004F59A7" w:rsidP="00F04877">
            <w:pPr>
              <w:pBdr>
                <w:bottom w:val="single" w:sz="4" w:space="1" w:color="auto"/>
              </w:pBdr>
              <w:spacing w:line="192" w:lineRule="auto"/>
              <w:jc w:val="center"/>
              <w:rPr>
                <w:sz w:val="16"/>
                <w:szCs w:val="16"/>
                <w:rtl/>
              </w:rPr>
            </w:pPr>
            <w:r w:rsidRPr="00BF2D3B">
              <w:rPr>
                <w:rFonts w:hint="eastAsia"/>
                <w:bCs/>
                <w:sz w:val="16"/>
                <w:szCs w:val="16"/>
                <w:rtl/>
              </w:rPr>
              <w:t>העברות</w:t>
            </w:r>
            <w:r w:rsidRPr="00BF2D3B">
              <w:rPr>
                <w:bCs/>
                <w:sz w:val="16"/>
                <w:szCs w:val="16"/>
                <w:rtl/>
              </w:rPr>
              <w:t xml:space="preserve"> </w:t>
            </w:r>
            <w:r w:rsidRPr="00BF2D3B">
              <w:rPr>
                <w:rFonts w:hint="cs"/>
                <w:sz w:val="16"/>
                <w:szCs w:val="16"/>
                <w:vertAlign w:val="superscript"/>
                <w:rtl/>
              </w:rPr>
              <w:t>[ד]</w:t>
            </w:r>
          </w:p>
        </w:tc>
        <w:tc>
          <w:tcPr>
            <w:tcW w:w="997" w:type="dxa"/>
            <w:vMerge w:val="restart"/>
            <w:shd w:val="clear" w:color="auto" w:fill="auto"/>
            <w:tcMar>
              <w:left w:w="108" w:type="dxa"/>
              <w:right w:w="108" w:type="dxa"/>
            </w:tcMar>
            <w:vAlign w:val="bottom"/>
          </w:tcPr>
          <w:p w14:paraId="7957E238"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b/>
                <w:bCs/>
                <w:sz w:val="16"/>
                <w:szCs w:val="16"/>
                <w:rtl/>
              </w:rPr>
              <w:t>התאמות</w:t>
            </w:r>
            <w:r w:rsidRPr="00BF2D3B">
              <w:rPr>
                <w:rFonts w:hint="cs"/>
                <w:b/>
                <w:bCs/>
                <w:sz w:val="16"/>
                <w:szCs w:val="16"/>
                <w:rtl/>
              </w:rPr>
              <w:t xml:space="preserve"> </w:t>
            </w:r>
            <w:r w:rsidRPr="00BF2D3B">
              <w:rPr>
                <w:b/>
                <w:bCs/>
                <w:sz w:val="16"/>
                <w:szCs w:val="16"/>
                <w:rtl/>
              </w:rPr>
              <w:t>מתרגום</w:t>
            </w:r>
            <w:r w:rsidRPr="00BF2D3B">
              <w:rPr>
                <w:rFonts w:hint="cs"/>
                <w:b/>
                <w:bCs/>
                <w:sz w:val="16"/>
                <w:szCs w:val="16"/>
                <w:rtl/>
              </w:rPr>
              <w:t xml:space="preserve"> </w:t>
            </w:r>
            <w:r w:rsidRPr="00BF2D3B">
              <w:rPr>
                <w:b/>
                <w:bCs/>
                <w:sz w:val="16"/>
                <w:szCs w:val="16"/>
                <w:rtl/>
              </w:rPr>
              <w:t>דוחות</w:t>
            </w:r>
            <w:r w:rsidRPr="00BF2D3B">
              <w:rPr>
                <w:rFonts w:hint="cs"/>
                <w:b/>
                <w:bCs/>
                <w:sz w:val="16"/>
                <w:szCs w:val="16"/>
                <w:rtl/>
              </w:rPr>
              <w:t xml:space="preserve"> </w:t>
            </w:r>
            <w:r w:rsidRPr="00BF2D3B">
              <w:rPr>
                <w:b/>
                <w:bCs/>
                <w:sz w:val="16"/>
                <w:szCs w:val="16"/>
                <w:rtl/>
              </w:rPr>
              <w:t>כספיים</w:t>
            </w:r>
          </w:p>
        </w:tc>
        <w:tc>
          <w:tcPr>
            <w:tcW w:w="988" w:type="dxa"/>
            <w:vMerge w:val="restart"/>
            <w:shd w:val="clear" w:color="auto" w:fill="auto"/>
            <w:tcMar>
              <w:left w:w="108" w:type="dxa"/>
              <w:right w:w="108" w:type="dxa"/>
            </w:tcMar>
            <w:vAlign w:val="bottom"/>
          </w:tcPr>
          <w:p w14:paraId="3B8E830B" w14:textId="77777777" w:rsidR="004F59A7" w:rsidRPr="00BF2D3B" w:rsidRDefault="004F59A7" w:rsidP="00F04877">
            <w:pPr>
              <w:spacing w:line="192" w:lineRule="auto"/>
              <w:jc w:val="center"/>
              <w:rPr>
                <w:b/>
                <w:bCs/>
                <w:sz w:val="16"/>
                <w:szCs w:val="16"/>
                <w:rtl/>
              </w:rPr>
            </w:pPr>
            <w:r w:rsidRPr="00BF2D3B">
              <w:rPr>
                <w:rFonts w:hint="eastAsia"/>
                <w:b/>
                <w:bCs/>
                <w:sz w:val="16"/>
                <w:szCs w:val="16"/>
                <w:rtl/>
              </w:rPr>
              <w:t>שווי</w:t>
            </w:r>
            <w:r w:rsidRPr="00BF2D3B">
              <w:rPr>
                <w:b/>
                <w:bCs/>
                <w:sz w:val="16"/>
                <w:szCs w:val="16"/>
                <w:rtl/>
              </w:rPr>
              <w:t xml:space="preserve"> </w:t>
            </w:r>
            <w:r w:rsidRPr="00BF2D3B">
              <w:rPr>
                <w:rFonts w:hint="eastAsia"/>
                <w:b/>
                <w:bCs/>
                <w:sz w:val="16"/>
                <w:szCs w:val="16"/>
                <w:rtl/>
              </w:rPr>
              <w:t>הוגן</w:t>
            </w:r>
            <w:r w:rsidRPr="00BF2D3B">
              <w:rPr>
                <w:b/>
                <w:bCs/>
                <w:sz w:val="16"/>
                <w:szCs w:val="16"/>
                <w:rtl/>
              </w:rPr>
              <w:t xml:space="preserve"> </w:t>
            </w:r>
            <w:r w:rsidRPr="00BF2D3B">
              <w:rPr>
                <w:rFonts w:hint="eastAsia"/>
                <w:b/>
                <w:bCs/>
                <w:sz w:val="16"/>
                <w:szCs w:val="16"/>
                <w:rtl/>
              </w:rPr>
              <w:t>ליום</w:t>
            </w:r>
            <w:r w:rsidRPr="00BF2D3B">
              <w:rPr>
                <w:b/>
                <w:bCs/>
                <w:sz w:val="16"/>
                <w:szCs w:val="16"/>
                <w:rtl/>
              </w:rPr>
              <w:t xml:space="preserve"> </w:t>
            </w:r>
          </w:p>
          <w:p w14:paraId="65460AD8"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b/>
                <w:bCs/>
                <w:sz w:val="16"/>
                <w:szCs w:val="16"/>
                <w:rtl/>
              </w:rPr>
              <w:t xml:space="preserve">30 </w:t>
            </w:r>
            <w:r w:rsidRPr="00BF2D3B">
              <w:rPr>
                <w:rFonts w:hint="eastAsia"/>
                <w:b/>
                <w:bCs/>
                <w:sz w:val="16"/>
                <w:szCs w:val="16"/>
                <w:rtl/>
              </w:rPr>
              <w:t>ביוני</w:t>
            </w:r>
            <w:r w:rsidRPr="00BF2D3B">
              <w:rPr>
                <w:b/>
                <w:bCs/>
                <w:sz w:val="16"/>
                <w:szCs w:val="16"/>
                <w:rtl/>
              </w:rPr>
              <w:t xml:space="preserve"> </w:t>
            </w:r>
            <w:r w:rsidRPr="00BF2D3B">
              <w:rPr>
                <w:b/>
                <w:bCs/>
                <w:sz w:val="16"/>
                <w:szCs w:val="16"/>
                <w:rtl/>
              </w:rPr>
              <w:fldChar w:fldCharType="begin"/>
            </w:r>
            <w:r w:rsidRPr="00BF2D3B">
              <w:rPr>
                <w:b/>
                <w:bCs/>
                <w:sz w:val="16"/>
                <w:szCs w:val="16"/>
                <w:rtl/>
              </w:rPr>
              <w:instrText xml:space="preserve"> = </w:instrText>
            </w:r>
            <w:r w:rsidRPr="00BF2D3B">
              <w:rPr>
                <w:b/>
                <w:bCs/>
                <w:sz w:val="16"/>
                <w:szCs w:val="16"/>
              </w:rPr>
              <w:instrText>CY \* MERGEFORMAT</w:instrText>
            </w:r>
            <w:r w:rsidRPr="00BF2D3B">
              <w:rPr>
                <w:b/>
                <w:bCs/>
                <w:sz w:val="16"/>
                <w:szCs w:val="16"/>
                <w:rtl/>
              </w:rPr>
              <w:instrText xml:space="preserve"> </w:instrText>
            </w:r>
            <w:r w:rsidRPr="00BF2D3B">
              <w:rPr>
                <w:b/>
                <w:bCs/>
                <w:sz w:val="16"/>
                <w:szCs w:val="16"/>
                <w:rtl/>
              </w:rPr>
              <w:fldChar w:fldCharType="separate"/>
            </w:r>
            <w:r w:rsidRPr="00BF2D3B">
              <w:rPr>
                <w:b/>
                <w:bCs/>
                <w:noProof/>
                <w:sz w:val="16"/>
                <w:szCs w:val="16"/>
                <w:rtl/>
              </w:rPr>
              <w:t>2024</w:t>
            </w:r>
            <w:r w:rsidRPr="00BF2D3B">
              <w:rPr>
                <w:b/>
                <w:bCs/>
                <w:sz w:val="16"/>
                <w:szCs w:val="16"/>
                <w:rtl/>
              </w:rPr>
              <w:fldChar w:fldCharType="end"/>
            </w:r>
          </w:p>
        </w:tc>
        <w:tc>
          <w:tcPr>
            <w:tcW w:w="1702" w:type="dxa"/>
            <w:vMerge w:val="restart"/>
            <w:shd w:val="clear" w:color="auto" w:fill="auto"/>
            <w:tcMar>
              <w:left w:w="108" w:type="dxa"/>
              <w:right w:w="108" w:type="dxa"/>
            </w:tcMar>
            <w:vAlign w:val="bottom"/>
          </w:tcPr>
          <w:p w14:paraId="4B1AF61B" w14:textId="77777777" w:rsidR="004F59A7" w:rsidRPr="00BF2D3B" w:rsidRDefault="004F59A7" w:rsidP="00F04877">
            <w:pPr>
              <w:pBdr>
                <w:bottom w:val="single" w:sz="4" w:space="1" w:color="auto"/>
              </w:pBdr>
              <w:spacing w:line="192" w:lineRule="auto"/>
              <w:jc w:val="center"/>
              <w:rPr>
                <w:b/>
                <w:bCs/>
                <w:sz w:val="16"/>
                <w:szCs w:val="16"/>
                <w:rtl/>
              </w:rPr>
            </w:pPr>
            <w:r w:rsidRPr="00BF2D3B">
              <w:rPr>
                <w:rFonts w:hint="eastAsia"/>
                <w:b/>
                <w:bCs/>
                <w:sz w:val="16"/>
                <w:szCs w:val="16"/>
                <w:rtl/>
              </w:rPr>
              <w:t>רווחים</w:t>
            </w:r>
            <w:r w:rsidRPr="00BF2D3B">
              <w:rPr>
                <w:b/>
                <w:bCs/>
                <w:sz w:val="16"/>
                <w:szCs w:val="16"/>
                <w:rtl/>
              </w:rPr>
              <w:t xml:space="preserve"> (הפסדים) לתקופה שטרם </w:t>
            </w:r>
            <w:r w:rsidRPr="00BF2D3B">
              <w:rPr>
                <w:rFonts w:hint="cs"/>
                <w:b/>
                <w:bCs/>
                <w:sz w:val="16"/>
                <w:szCs w:val="16"/>
                <w:rtl/>
              </w:rPr>
              <w:t>מומשו בגין</w:t>
            </w:r>
            <w:r w:rsidRPr="00BF2D3B">
              <w:rPr>
                <w:b/>
                <w:bCs/>
                <w:sz w:val="16"/>
                <w:szCs w:val="16"/>
                <w:rtl/>
              </w:rPr>
              <w:t xml:space="preserve"> </w:t>
            </w:r>
            <w:r w:rsidRPr="00BF2D3B">
              <w:rPr>
                <w:rFonts w:hint="eastAsia"/>
                <w:b/>
                <w:bCs/>
                <w:sz w:val="16"/>
                <w:szCs w:val="16"/>
                <w:rtl/>
              </w:rPr>
              <w:t>מכשירים</w:t>
            </w:r>
            <w:r w:rsidRPr="00BF2D3B">
              <w:rPr>
                <w:b/>
                <w:bCs/>
                <w:sz w:val="16"/>
                <w:szCs w:val="16"/>
                <w:rtl/>
              </w:rPr>
              <w:t xml:space="preserve"> </w:t>
            </w:r>
            <w:r w:rsidRPr="00BF2D3B">
              <w:rPr>
                <w:rFonts w:hint="eastAsia"/>
                <w:b/>
                <w:bCs/>
                <w:sz w:val="16"/>
                <w:szCs w:val="16"/>
                <w:rtl/>
              </w:rPr>
              <w:t>המוחזקים</w:t>
            </w:r>
            <w:r w:rsidRPr="00BF2D3B">
              <w:rPr>
                <w:b/>
                <w:bCs/>
                <w:sz w:val="16"/>
                <w:szCs w:val="16"/>
                <w:rtl/>
              </w:rPr>
              <w:t xml:space="preserve"> </w:t>
            </w:r>
            <w:r w:rsidRPr="00BF2D3B">
              <w:rPr>
                <w:rFonts w:hint="eastAsia"/>
                <w:b/>
                <w:bCs/>
                <w:sz w:val="16"/>
                <w:szCs w:val="16"/>
                <w:rtl/>
              </w:rPr>
              <w:t>ליום</w:t>
            </w:r>
            <w:r w:rsidRPr="00BF2D3B">
              <w:rPr>
                <w:b/>
                <w:bCs/>
                <w:sz w:val="16"/>
                <w:szCs w:val="16"/>
                <w:rtl/>
              </w:rPr>
              <w:t xml:space="preserve"> 30 </w:t>
            </w:r>
            <w:r w:rsidRPr="00BF2D3B">
              <w:rPr>
                <w:rFonts w:hint="eastAsia"/>
                <w:b/>
                <w:bCs/>
                <w:sz w:val="16"/>
                <w:szCs w:val="16"/>
                <w:rtl/>
              </w:rPr>
              <w:t>ביוני</w:t>
            </w:r>
            <w:r w:rsidRPr="00BF2D3B">
              <w:rPr>
                <w:b/>
                <w:bCs/>
                <w:sz w:val="16"/>
                <w:szCs w:val="16"/>
                <w:rtl/>
              </w:rPr>
              <w:t xml:space="preserve"> </w:t>
            </w:r>
            <w:r w:rsidRPr="00BF2D3B">
              <w:rPr>
                <w:b/>
                <w:bCs/>
                <w:sz w:val="16"/>
                <w:szCs w:val="16"/>
                <w:rtl/>
              </w:rPr>
              <w:fldChar w:fldCharType="begin"/>
            </w:r>
            <w:r w:rsidRPr="00BF2D3B">
              <w:rPr>
                <w:b/>
                <w:bCs/>
                <w:sz w:val="16"/>
                <w:szCs w:val="16"/>
                <w:rtl/>
              </w:rPr>
              <w:instrText xml:space="preserve"> = </w:instrText>
            </w:r>
            <w:r w:rsidRPr="00BF2D3B">
              <w:rPr>
                <w:b/>
                <w:bCs/>
                <w:sz w:val="16"/>
                <w:szCs w:val="16"/>
              </w:rPr>
              <w:instrText>CY \* MERGEFORMAT</w:instrText>
            </w:r>
            <w:r w:rsidRPr="00BF2D3B">
              <w:rPr>
                <w:b/>
                <w:bCs/>
                <w:sz w:val="16"/>
                <w:szCs w:val="16"/>
                <w:rtl/>
              </w:rPr>
              <w:instrText xml:space="preserve"> </w:instrText>
            </w:r>
            <w:r w:rsidRPr="00BF2D3B">
              <w:rPr>
                <w:b/>
                <w:bCs/>
                <w:sz w:val="16"/>
                <w:szCs w:val="16"/>
                <w:rtl/>
              </w:rPr>
              <w:fldChar w:fldCharType="separate"/>
            </w:r>
            <w:r w:rsidRPr="00BF2D3B">
              <w:rPr>
                <w:b/>
                <w:bCs/>
                <w:noProof/>
                <w:sz w:val="16"/>
                <w:szCs w:val="16"/>
                <w:rtl/>
              </w:rPr>
              <w:t>2024</w:t>
            </w:r>
            <w:r w:rsidRPr="00BF2D3B">
              <w:rPr>
                <w:b/>
                <w:bCs/>
                <w:sz w:val="16"/>
                <w:szCs w:val="16"/>
                <w:rtl/>
              </w:rPr>
              <w:fldChar w:fldCharType="end"/>
            </w:r>
          </w:p>
        </w:tc>
      </w:tr>
      <w:tr w:rsidR="004F59A7" w:rsidRPr="00543C25" w14:paraId="1FF620C0" w14:textId="77777777" w:rsidTr="00F04877">
        <w:trPr>
          <w:trHeight w:val="440"/>
        </w:trPr>
        <w:tc>
          <w:tcPr>
            <w:tcW w:w="1560" w:type="dxa"/>
            <w:tcBorders>
              <w:right w:val="nil"/>
            </w:tcBorders>
            <w:shd w:val="clear" w:color="auto" w:fill="auto"/>
          </w:tcPr>
          <w:p w14:paraId="5D12BD56" w14:textId="77777777" w:rsidR="004F59A7" w:rsidRPr="003425A3" w:rsidRDefault="004F59A7" w:rsidP="00F04877">
            <w:pPr>
              <w:pStyle w:val="-0"/>
              <w:rPr>
                <w:sz w:val="16"/>
                <w:szCs w:val="16"/>
                <w:rtl/>
              </w:rPr>
            </w:pPr>
          </w:p>
        </w:tc>
        <w:tc>
          <w:tcPr>
            <w:tcW w:w="3122" w:type="dxa"/>
            <w:tcBorders>
              <w:left w:val="nil"/>
              <w:bottom w:val="nil"/>
            </w:tcBorders>
            <w:shd w:val="clear" w:color="auto" w:fill="auto"/>
            <w:vAlign w:val="bottom"/>
          </w:tcPr>
          <w:p w14:paraId="32F6725F" w14:textId="77777777" w:rsidR="004F59A7" w:rsidRPr="00046EFB" w:rsidRDefault="004F59A7" w:rsidP="00F04877">
            <w:pPr>
              <w:pStyle w:val="-0"/>
              <w:spacing w:line="192" w:lineRule="auto"/>
              <w:rPr>
                <w:sz w:val="17"/>
                <w:szCs w:val="17"/>
                <w:rtl/>
              </w:rPr>
            </w:pPr>
          </w:p>
        </w:tc>
        <w:tc>
          <w:tcPr>
            <w:tcW w:w="850" w:type="dxa"/>
            <w:vMerge/>
            <w:shd w:val="clear" w:color="auto" w:fill="auto"/>
            <w:tcMar>
              <w:left w:w="43" w:type="dxa"/>
              <w:right w:w="43" w:type="dxa"/>
            </w:tcMar>
            <w:vAlign w:val="bottom"/>
          </w:tcPr>
          <w:p w14:paraId="338E7018" w14:textId="77777777" w:rsidR="004F59A7" w:rsidRDefault="004F59A7" w:rsidP="00F04877">
            <w:pPr>
              <w:pBdr>
                <w:bottom w:val="single" w:sz="4" w:space="1" w:color="auto"/>
              </w:pBdr>
              <w:spacing w:line="192" w:lineRule="auto"/>
              <w:ind w:left="57" w:right="57"/>
              <w:jc w:val="center"/>
              <w:rPr>
                <w:b/>
                <w:bCs/>
                <w:sz w:val="17"/>
                <w:szCs w:val="17"/>
                <w:rtl/>
              </w:rPr>
            </w:pPr>
          </w:p>
        </w:tc>
        <w:tc>
          <w:tcPr>
            <w:tcW w:w="891" w:type="dxa"/>
            <w:shd w:val="clear" w:color="auto" w:fill="auto"/>
            <w:tcMar>
              <w:left w:w="43" w:type="dxa"/>
              <w:right w:w="43" w:type="dxa"/>
            </w:tcMar>
            <w:vAlign w:val="bottom"/>
          </w:tcPr>
          <w:p w14:paraId="7A6F0A6D"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בדוח</w:t>
            </w:r>
            <w:r w:rsidRPr="00BF2D3B">
              <w:rPr>
                <w:b/>
                <w:bCs/>
                <w:sz w:val="16"/>
                <w:szCs w:val="16"/>
                <w:rtl/>
              </w:rPr>
              <w:t xml:space="preserve"> </w:t>
            </w:r>
            <w:r w:rsidRPr="00BF2D3B">
              <w:rPr>
                <w:rFonts w:hint="eastAsia"/>
                <w:b/>
                <w:bCs/>
                <w:sz w:val="16"/>
                <w:szCs w:val="16"/>
                <w:rtl/>
              </w:rPr>
              <w:t>רווח</w:t>
            </w:r>
            <w:r w:rsidRPr="00BF2D3B">
              <w:rPr>
                <w:b/>
                <w:bCs/>
                <w:sz w:val="16"/>
                <w:szCs w:val="16"/>
                <w:rtl/>
              </w:rPr>
              <w:t xml:space="preserve"> </w:t>
            </w:r>
            <w:r w:rsidRPr="00BF2D3B">
              <w:rPr>
                <w:rFonts w:hint="eastAsia"/>
                <w:b/>
                <w:bCs/>
                <w:sz w:val="16"/>
                <w:szCs w:val="16"/>
                <w:rtl/>
              </w:rPr>
              <w:t>והפסד</w:t>
            </w:r>
          </w:p>
        </w:tc>
        <w:tc>
          <w:tcPr>
            <w:tcW w:w="939" w:type="dxa"/>
            <w:shd w:val="clear" w:color="auto" w:fill="auto"/>
            <w:tcMar>
              <w:left w:w="43" w:type="dxa"/>
              <w:right w:w="43" w:type="dxa"/>
            </w:tcMar>
            <w:vAlign w:val="bottom"/>
          </w:tcPr>
          <w:p w14:paraId="10F00344"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ברווח</w:t>
            </w:r>
            <w:r w:rsidRPr="00BF2D3B">
              <w:rPr>
                <w:b/>
                <w:bCs/>
                <w:sz w:val="16"/>
                <w:szCs w:val="16"/>
                <w:rtl/>
              </w:rPr>
              <w:t xml:space="preserve"> </w:t>
            </w:r>
            <w:r w:rsidRPr="00BF2D3B">
              <w:rPr>
                <w:rFonts w:hint="eastAsia"/>
                <w:b/>
                <w:bCs/>
                <w:sz w:val="16"/>
                <w:szCs w:val="16"/>
                <w:rtl/>
              </w:rPr>
              <w:t>כולל</w:t>
            </w:r>
            <w:r w:rsidRPr="00BF2D3B">
              <w:rPr>
                <w:b/>
                <w:bCs/>
                <w:sz w:val="16"/>
                <w:szCs w:val="16"/>
                <w:rtl/>
              </w:rPr>
              <w:t xml:space="preserve"> </w:t>
            </w:r>
            <w:r w:rsidRPr="00BF2D3B">
              <w:rPr>
                <w:rFonts w:hint="eastAsia"/>
                <w:b/>
                <w:bCs/>
                <w:sz w:val="16"/>
                <w:szCs w:val="16"/>
                <w:rtl/>
              </w:rPr>
              <w:t>אחר</w:t>
            </w:r>
            <w:r w:rsidRPr="00BF2D3B">
              <w:rPr>
                <w:b/>
                <w:bCs/>
                <w:sz w:val="16"/>
                <w:szCs w:val="16"/>
                <w:rtl/>
              </w:rPr>
              <w:t xml:space="preserve"> (בהון)</w:t>
            </w:r>
          </w:p>
        </w:tc>
        <w:tc>
          <w:tcPr>
            <w:tcW w:w="705" w:type="dxa"/>
            <w:shd w:val="clear" w:color="auto" w:fill="auto"/>
            <w:tcMar>
              <w:left w:w="43" w:type="dxa"/>
              <w:right w:w="43" w:type="dxa"/>
            </w:tcMar>
            <w:vAlign w:val="bottom"/>
          </w:tcPr>
          <w:p w14:paraId="62BA115B"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רכישות</w:t>
            </w:r>
          </w:p>
        </w:tc>
        <w:tc>
          <w:tcPr>
            <w:tcW w:w="829" w:type="dxa"/>
            <w:shd w:val="clear" w:color="auto" w:fill="auto"/>
            <w:tcMar>
              <w:left w:w="43" w:type="dxa"/>
              <w:right w:w="43" w:type="dxa"/>
            </w:tcMar>
            <w:vAlign w:val="bottom"/>
          </w:tcPr>
          <w:p w14:paraId="1738BF1B" w14:textId="77777777" w:rsidR="004F59A7" w:rsidRPr="00BF2D3B" w:rsidRDefault="004F59A7" w:rsidP="00F04877">
            <w:pPr>
              <w:pBdr>
                <w:bottom w:val="single" w:sz="4" w:space="1" w:color="auto"/>
              </w:pBdr>
              <w:spacing w:line="192" w:lineRule="auto"/>
              <w:ind w:left="28" w:right="28"/>
              <w:jc w:val="center"/>
              <w:rPr>
                <w:b/>
                <w:bCs/>
                <w:sz w:val="16"/>
                <w:szCs w:val="16"/>
                <w:rtl/>
              </w:rPr>
            </w:pPr>
            <w:r w:rsidRPr="00BF2D3B">
              <w:rPr>
                <w:rFonts w:hint="eastAsia"/>
                <w:b/>
                <w:bCs/>
                <w:sz w:val="16"/>
                <w:szCs w:val="16"/>
                <w:rtl/>
              </w:rPr>
              <w:t>הנפקות</w:t>
            </w:r>
          </w:p>
        </w:tc>
        <w:tc>
          <w:tcPr>
            <w:tcW w:w="704" w:type="dxa"/>
            <w:shd w:val="clear" w:color="auto" w:fill="auto"/>
            <w:tcMar>
              <w:left w:w="43" w:type="dxa"/>
              <w:right w:w="43" w:type="dxa"/>
            </w:tcMar>
            <w:vAlign w:val="bottom"/>
          </w:tcPr>
          <w:p w14:paraId="770829A0"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מכירות</w:t>
            </w:r>
          </w:p>
        </w:tc>
        <w:tc>
          <w:tcPr>
            <w:tcW w:w="747" w:type="dxa"/>
            <w:shd w:val="clear" w:color="auto" w:fill="auto"/>
            <w:tcMar>
              <w:left w:w="43" w:type="dxa"/>
              <w:right w:w="43" w:type="dxa"/>
            </w:tcMar>
            <w:vAlign w:val="bottom"/>
          </w:tcPr>
          <w:p w14:paraId="0F31CF85"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סילוקים</w:t>
            </w:r>
          </w:p>
        </w:tc>
        <w:tc>
          <w:tcPr>
            <w:tcW w:w="673" w:type="dxa"/>
            <w:shd w:val="clear" w:color="auto" w:fill="auto"/>
            <w:tcMar>
              <w:left w:w="43" w:type="dxa"/>
              <w:right w:w="43" w:type="dxa"/>
            </w:tcMar>
            <w:vAlign w:val="bottom"/>
          </w:tcPr>
          <w:p w14:paraId="04F2E67B"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cs"/>
                <w:b/>
                <w:bCs/>
                <w:sz w:val="16"/>
                <w:szCs w:val="16"/>
                <w:rtl/>
              </w:rPr>
              <w:t>אל</w:t>
            </w:r>
            <w:r w:rsidRPr="00BF2D3B">
              <w:rPr>
                <w:b/>
                <w:bCs/>
                <w:sz w:val="16"/>
                <w:szCs w:val="16"/>
                <w:rtl/>
              </w:rPr>
              <w:br/>
            </w:r>
            <w:r w:rsidRPr="00BF2D3B">
              <w:rPr>
                <w:rFonts w:hint="eastAsia"/>
                <w:b/>
                <w:bCs/>
                <w:sz w:val="16"/>
                <w:szCs w:val="16"/>
                <w:rtl/>
              </w:rPr>
              <w:t>רמה</w:t>
            </w:r>
            <w:r w:rsidRPr="00BF2D3B">
              <w:rPr>
                <w:b/>
                <w:bCs/>
                <w:sz w:val="16"/>
                <w:szCs w:val="16"/>
                <w:rtl/>
              </w:rPr>
              <w:t xml:space="preserve"> 3</w:t>
            </w:r>
          </w:p>
        </w:tc>
        <w:tc>
          <w:tcPr>
            <w:tcW w:w="752" w:type="dxa"/>
            <w:shd w:val="clear" w:color="auto" w:fill="auto"/>
            <w:tcMar>
              <w:left w:w="43" w:type="dxa"/>
              <w:right w:w="43" w:type="dxa"/>
            </w:tcMar>
            <w:vAlign w:val="bottom"/>
          </w:tcPr>
          <w:p w14:paraId="7580A2E5"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מרמה</w:t>
            </w:r>
            <w:r w:rsidRPr="00BF2D3B">
              <w:rPr>
                <w:b/>
                <w:bCs/>
                <w:sz w:val="16"/>
                <w:szCs w:val="16"/>
                <w:rtl/>
              </w:rPr>
              <w:t xml:space="preserve"> 3</w:t>
            </w:r>
          </w:p>
        </w:tc>
        <w:tc>
          <w:tcPr>
            <w:tcW w:w="997" w:type="dxa"/>
            <w:vMerge/>
            <w:shd w:val="clear" w:color="auto" w:fill="auto"/>
            <w:vAlign w:val="bottom"/>
          </w:tcPr>
          <w:p w14:paraId="62F61D75" w14:textId="77777777" w:rsidR="004F59A7" w:rsidRPr="00BF2D3B" w:rsidRDefault="004F59A7" w:rsidP="00F04877">
            <w:pPr>
              <w:pBdr>
                <w:bottom w:val="single" w:sz="4" w:space="1" w:color="auto"/>
              </w:pBdr>
              <w:spacing w:line="192" w:lineRule="auto"/>
              <w:ind w:left="57" w:right="57"/>
              <w:jc w:val="center"/>
              <w:rPr>
                <w:b/>
                <w:bCs/>
                <w:sz w:val="16"/>
                <w:szCs w:val="16"/>
                <w:rtl/>
              </w:rPr>
            </w:pPr>
          </w:p>
        </w:tc>
        <w:tc>
          <w:tcPr>
            <w:tcW w:w="988" w:type="dxa"/>
            <w:vMerge/>
            <w:shd w:val="clear" w:color="auto" w:fill="auto"/>
            <w:tcMar>
              <w:left w:w="43" w:type="dxa"/>
              <w:right w:w="43" w:type="dxa"/>
            </w:tcMar>
            <w:vAlign w:val="bottom"/>
          </w:tcPr>
          <w:p w14:paraId="16D4EB7F" w14:textId="77777777" w:rsidR="004F59A7" w:rsidRPr="00BF2D3B" w:rsidRDefault="004F59A7" w:rsidP="00F04877">
            <w:pPr>
              <w:pBdr>
                <w:bottom w:val="single" w:sz="4" w:space="1" w:color="auto"/>
              </w:pBdr>
              <w:spacing w:line="192" w:lineRule="auto"/>
              <w:ind w:left="57" w:right="57"/>
              <w:jc w:val="center"/>
              <w:rPr>
                <w:b/>
                <w:bCs/>
                <w:sz w:val="16"/>
                <w:szCs w:val="16"/>
                <w:rtl/>
              </w:rPr>
            </w:pPr>
          </w:p>
        </w:tc>
        <w:tc>
          <w:tcPr>
            <w:tcW w:w="1702" w:type="dxa"/>
            <w:vMerge/>
            <w:shd w:val="clear" w:color="auto" w:fill="auto"/>
            <w:tcMar>
              <w:left w:w="29" w:type="dxa"/>
              <w:right w:w="29" w:type="dxa"/>
            </w:tcMar>
            <w:vAlign w:val="bottom"/>
          </w:tcPr>
          <w:p w14:paraId="015B2063" w14:textId="77777777" w:rsidR="004F59A7" w:rsidRPr="00BF2D3B" w:rsidRDefault="004F59A7" w:rsidP="00F04877">
            <w:pPr>
              <w:spacing w:line="192" w:lineRule="auto"/>
              <w:ind w:left="57" w:right="57"/>
              <w:jc w:val="center"/>
              <w:rPr>
                <w:b/>
                <w:bCs/>
                <w:sz w:val="16"/>
                <w:szCs w:val="16"/>
                <w:rtl/>
              </w:rPr>
            </w:pPr>
          </w:p>
        </w:tc>
      </w:tr>
      <w:tr w:rsidR="004F59A7" w:rsidRPr="00543C25" w14:paraId="4E1CD3CC" w14:textId="77777777" w:rsidTr="00F04877">
        <w:trPr>
          <w:trHeight w:val="215"/>
        </w:trPr>
        <w:tc>
          <w:tcPr>
            <w:tcW w:w="1560" w:type="dxa"/>
            <w:tcBorders>
              <w:right w:val="nil"/>
            </w:tcBorders>
            <w:shd w:val="clear" w:color="auto" w:fill="auto"/>
          </w:tcPr>
          <w:p w14:paraId="405334BA" w14:textId="77777777" w:rsidR="004F59A7" w:rsidRPr="003425A3" w:rsidRDefault="004F59A7" w:rsidP="00F04877">
            <w:pPr>
              <w:pStyle w:val="-f"/>
              <w:rPr>
                <w:sz w:val="16"/>
                <w:szCs w:val="16"/>
                <w:rtl/>
              </w:rPr>
            </w:pPr>
          </w:p>
        </w:tc>
        <w:tc>
          <w:tcPr>
            <w:tcW w:w="3122" w:type="dxa"/>
            <w:tcBorders>
              <w:top w:val="nil"/>
              <w:left w:val="nil"/>
              <w:bottom w:val="nil"/>
              <w:right w:val="nil"/>
            </w:tcBorders>
            <w:shd w:val="clear" w:color="auto" w:fill="auto"/>
            <w:vAlign w:val="bottom"/>
          </w:tcPr>
          <w:p w14:paraId="531A93C8" w14:textId="77777777" w:rsidR="004F59A7" w:rsidRDefault="004F59A7" w:rsidP="00F04877">
            <w:pPr>
              <w:pStyle w:val="-f"/>
              <w:ind w:left="560" w:hanging="235"/>
              <w:rPr>
                <w:sz w:val="17"/>
                <w:szCs w:val="17"/>
                <w:rtl/>
              </w:rPr>
            </w:pPr>
            <w:r w:rsidRPr="00AE5815">
              <w:rPr>
                <w:rFonts w:hint="cs"/>
                <w:sz w:val="16"/>
                <w:szCs w:val="16"/>
                <w:rtl/>
              </w:rPr>
              <w:t>נכסים</w:t>
            </w:r>
          </w:p>
        </w:tc>
        <w:tc>
          <w:tcPr>
            <w:tcW w:w="850" w:type="dxa"/>
            <w:shd w:val="clear" w:color="auto" w:fill="auto"/>
            <w:vAlign w:val="bottom"/>
          </w:tcPr>
          <w:p w14:paraId="3DA43779" w14:textId="77777777" w:rsidR="004F59A7" w:rsidRPr="00046EFB" w:rsidRDefault="004F59A7" w:rsidP="00F04877">
            <w:pPr>
              <w:pStyle w:val="-0"/>
              <w:ind w:left="0" w:firstLine="0"/>
              <w:rPr>
                <w:sz w:val="17"/>
                <w:szCs w:val="17"/>
                <w:rtl/>
              </w:rPr>
            </w:pPr>
          </w:p>
        </w:tc>
        <w:tc>
          <w:tcPr>
            <w:tcW w:w="891" w:type="dxa"/>
            <w:shd w:val="clear" w:color="auto" w:fill="auto"/>
            <w:vAlign w:val="bottom"/>
          </w:tcPr>
          <w:p w14:paraId="5FF0F24C" w14:textId="77777777" w:rsidR="004F59A7" w:rsidRPr="00046EFB" w:rsidRDefault="004F59A7" w:rsidP="00F04877">
            <w:pPr>
              <w:pStyle w:val="-3"/>
              <w:rPr>
                <w:sz w:val="17"/>
                <w:szCs w:val="17"/>
                <w:rtl/>
              </w:rPr>
            </w:pPr>
          </w:p>
        </w:tc>
        <w:tc>
          <w:tcPr>
            <w:tcW w:w="939" w:type="dxa"/>
            <w:shd w:val="clear" w:color="auto" w:fill="auto"/>
            <w:vAlign w:val="bottom"/>
          </w:tcPr>
          <w:p w14:paraId="398C498B" w14:textId="77777777" w:rsidR="004F59A7" w:rsidRPr="00046EFB" w:rsidRDefault="004F59A7" w:rsidP="00F04877">
            <w:pPr>
              <w:pStyle w:val="-3"/>
              <w:rPr>
                <w:sz w:val="17"/>
                <w:szCs w:val="17"/>
                <w:rtl/>
              </w:rPr>
            </w:pPr>
          </w:p>
        </w:tc>
        <w:tc>
          <w:tcPr>
            <w:tcW w:w="705" w:type="dxa"/>
            <w:shd w:val="clear" w:color="auto" w:fill="auto"/>
            <w:vAlign w:val="bottom"/>
          </w:tcPr>
          <w:p w14:paraId="55EE1D9B" w14:textId="77777777" w:rsidR="004F59A7" w:rsidRPr="00046EFB" w:rsidRDefault="004F59A7" w:rsidP="00F04877">
            <w:pPr>
              <w:pStyle w:val="-3"/>
              <w:rPr>
                <w:sz w:val="17"/>
                <w:szCs w:val="17"/>
                <w:rtl/>
              </w:rPr>
            </w:pPr>
          </w:p>
        </w:tc>
        <w:tc>
          <w:tcPr>
            <w:tcW w:w="829" w:type="dxa"/>
            <w:shd w:val="clear" w:color="auto" w:fill="auto"/>
            <w:vAlign w:val="bottom"/>
          </w:tcPr>
          <w:p w14:paraId="2AF2A16C" w14:textId="77777777" w:rsidR="004F59A7" w:rsidRPr="00046EFB" w:rsidRDefault="004F59A7" w:rsidP="00F04877">
            <w:pPr>
              <w:pStyle w:val="-3"/>
              <w:rPr>
                <w:sz w:val="17"/>
                <w:szCs w:val="17"/>
                <w:rtl/>
              </w:rPr>
            </w:pPr>
          </w:p>
        </w:tc>
        <w:tc>
          <w:tcPr>
            <w:tcW w:w="704" w:type="dxa"/>
            <w:shd w:val="clear" w:color="auto" w:fill="auto"/>
            <w:vAlign w:val="bottom"/>
          </w:tcPr>
          <w:p w14:paraId="3927651B" w14:textId="77777777" w:rsidR="004F59A7" w:rsidRPr="00046EFB" w:rsidRDefault="004F59A7" w:rsidP="00F04877">
            <w:pPr>
              <w:pStyle w:val="-3"/>
              <w:rPr>
                <w:sz w:val="17"/>
                <w:szCs w:val="17"/>
                <w:rtl/>
              </w:rPr>
            </w:pPr>
          </w:p>
        </w:tc>
        <w:tc>
          <w:tcPr>
            <w:tcW w:w="747" w:type="dxa"/>
            <w:shd w:val="clear" w:color="auto" w:fill="auto"/>
            <w:vAlign w:val="bottom"/>
          </w:tcPr>
          <w:p w14:paraId="375E917A" w14:textId="77777777" w:rsidR="004F59A7" w:rsidRPr="00046EFB" w:rsidRDefault="004F59A7" w:rsidP="00F04877">
            <w:pPr>
              <w:pStyle w:val="-3"/>
              <w:rPr>
                <w:sz w:val="17"/>
                <w:szCs w:val="17"/>
                <w:rtl/>
              </w:rPr>
            </w:pPr>
          </w:p>
        </w:tc>
        <w:tc>
          <w:tcPr>
            <w:tcW w:w="673" w:type="dxa"/>
            <w:shd w:val="clear" w:color="auto" w:fill="auto"/>
            <w:vAlign w:val="bottom"/>
          </w:tcPr>
          <w:p w14:paraId="41FFD8E6" w14:textId="77777777" w:rsidR="004F59A7" w:rsidRPr="00046EFB" w:rsidRDefault="004F59A7" w:rsidP="00F04877">
            <w:pPr>
              <w:pStyle w:val="-3"/>
              <w:rPr>
                <w:sz w:val="17"/>
                <w:szCs w:val="17"/>
                <w:rtl/>
              </w:rPr>
            </w:pPr>
          </w:p>
        </w:tc>
        <w:tc>
          <w:tcPr>
            <w:tcW w:w="752" w:type="dxa"/>
            <w:shd w:val="clear" w:color="auto" w:fill="auto"/>
            <w:vAlign w:val="bottom"/>
          </w:tcPr>
          <w:p w14:paraId="0F30D8C2" w14:textId="77777777" w:rsidR="004F59A7" w:rsidRPr="00046EFB" w:rsidRDefault="004F59A7" w:rsidP="00F04877">
            <w:pPr>
              <w:pStyle w:val="-3"/>
              <w:rPr>
                <w:sz w:val="17"/>
                <w:szCs w:val="17"/>
                <w:rtl/>
              </w:rPr>
            </w:pPr>
          </w:p>
        </w:tc>
        <w:tc>
          <w:tcPr>
            <w:tcW w:w="997" w:type="dxa"/>
            <w:shd w:val="clear" w:color="auto" w:fill="auto"/>
            <w:vAlign w:val="bottom"/>
          </w:tcPr>
          <w:p w14:paraId="5FF83EDA" w14:textId="77777777" w:rsidR="004F59A7" w:rsidRPr="00046EFB" w:rsidRDefault="004F59A7" w:rsidP="00F04877">
            <w:pPr>
              <w:pStyle w:val="-3"/>
              <w:rPr>
                <w:sz w:val="17"/>
                <w:szCs w:val="17"/>
                <w:rtl/>
              </w:rPr>
            </w:pPr>
          </w:p>
        </w:tc>
        <w:tc>
          <w:tcPr>
            <w:tcW w:w="988" w:type="dxa"/>
            <w:shd w:val="clear" w:color="auto" w:fill="auto"/>
            <w:vAlign w:val="bottom"/>
          </w:tcPr>
          <w:p w14:paraId="519009C3" w14:textId="77777777" w:rsidR="004F59A7" w:rsidRPr="00046EFB" w:rsidRDefault="004F59A7" w:rsidP="00F04877">
            <w:pPr>
              <w:pStyle w:val="-3"/>
              <w:rPr>
                <w:sz w:val="17"/>
                <w:szCs w:val="17"/>
                <w:rtl/>
              </w:rPr>
            </w:pPr>
          </w:p>
        </w:tc>
        <w:tc>
          <w:tcPr>
            <w:tcW w:w="1702" w:type="dxa"/>
            <w:shd w:val="clear" w:color="auto" w:fill="auto"/>
            <w:vAlign w:val="bottom"/>
          </w:tcPr>
          <w:p w14:paraId="1DD34C24" w14:textId="77777777" w:rsidR="004F59A7" w:rsidRPr="00F745FF" w:rsidRDefault="004F59A7" w:rsidP="00F04877">
            <w:pPr>
              <w:jc w:val="center"/>
              <w:rPr>
                <w:rtl/>
              </w:rPr>
            </w:pPr>
          </w:p>
        </w:tc>
      </w:tr>
      <w:tr w:rsidR="004F59A7" w:rsidRPr="00543C25" w14:paraId="21C0DA25" w14:textId="77777777" w:rsidTr="00F04877">
        <w:tc>
          <w:tcPr>
            <w:tcW w:w="1560" w:type="dxa"/>
            <w:shd w:val="clear" w:color="auto" w:fill="auto"/>
          </w:tcPr>
          <w:p w14:paraId="42F62754"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784FA2C5" w14:textId="3D54C217" w:rsidR="004F59A7" w:rsidRPr="00FC6A6C" w:rsidRDefault="004F59A7" w:rsidP="00F04877">
            <w:pPr>
              <w:pStyle w:val="-0"/>
              <w:spacing w:line="240" w:lineRule="auto"/>
              <w:ind w:left="467" w:hanging="114"/>
              <w:rPr>
                <w:sz w:val="17"/>
                <w:szCs w:val="17"/>
                <w:rtl/>
              </w:rPr>
            </w:pPr>
            <w:r w:rsidRPr="00FC6A6C">
              <w:rPr>
                <w:rFonts w:hint="cs"/>
                <w:sz w:val="16"/>
                <w:szCs w:val="16"/>
                <w:rtl/>
              </w:rPr>
              <w:t xml:space="preserve">אגרות חוב זמינות למכירה ומניות שאינן למסחר </w:t>
            </w:r>
          </w:p>
        </w:tc>
        <w:tc>
          <w:tcPr>
            <w:tcW w:w="850" w:type="dxa"/>
            <w:vAlign w:val="bottom"/>
          </w:tcPr>
          <w:p w14:paraId="222456EE" w14:textId="77777777" w:rsidR="004F59A7" w:rsidRPr="00046EFB" w:rsidRDefault="004F59A7" w:rsidP="00F04877">
            <w:pPr>
              <w:pStyle w:val="-3"/>
              <w:rPr>
                <w:sz w:val="17"/>
                <w:szCs w:val="17"/>
                <w:rtl/>
              </w:rPr>
            </w:pPr>
            <w:r w:rsidRPr="00532A1C">
              <w:rPr>
                <w:sz w:val="17"/>
                <w:szCs w:val="17"/>
                <w:rtl/>
              </w:rPr>
              <w:t xml:space="preserve"> 0</w:t>
            </w:r>
          </w:p>
        </w:tc>
        <w:tc>
          <w:tcPr>
            <w:tcW w:w="891" w:type="dxa"/>
            <w:vAlign w:val="bottom"/>
          </w:tcPr>
          <w:p w14:paraId="6727A992" w14:textId="77777777" w:rsidR="004F59A7" w:rsidRPr="00046EFB" w:rsidRDefault="004F59A7" w:rsidP="00F04877">
            <w:pPr>
              <w:pStyle w:val="-3"/>
              <w:rPr>
                <w:sz w:val="17"/>
                <w:szCs w:val="17"/>
                <w:rtl/>
              </w:rPr>
            </w:pPr>
            <w:r w:rsidRPr="00532A1C">
              <w:rPr>
                <w:sz w:val="17"/>
                <w:szCs w:val="17"/>
                <w:rtl/>
              </w:rPr>
              <w:t xml:space="preserve"> 0</w:t>
            </w:r>
            <w:r w:rsidRPr="00532A1C">
              <w:rPr>
                <w:sz w:val="17"/>
                <w:szCs w:val="17"/>
                <w:vertAlign w:val="superscript"/>
                <w:rtl/>
              </w:rPr>
              <w:t xml:space="preserve">(א) </w:t>
            </w:r>
          </w:p>
        </w:tc>
        <w:tc>
          <w:tcPr>
            <w:tcW w:w="939" w:type="dxa"/>
            <w:vAlign w:val="bottom"/>
          </w:tcPr>
          <w:p w14:paraId="77A14052" w14:textId="77777777" w:rsidR="004F59A7" w:rsidRPr="00046EFB" w:rsidRDefault="004F59A7" w:rsidP="00F04877">
            <w:pPr>
              <w:pStyle w:val="-3"/>
              <w:rPr>
                <w:sz w:val="17"/>
                <w:szCs w:val="17"/>
                <w:rtl/>
              </w:rPr>
            </w:pPr>
            <w:r w:rsidRPr="00532A1C">
              <w:rPr>
                <w:sz w:val="17"/>
                <w:szCs w:val="17"/>
                <w:rtl/>
              </w:rPr>
              <w:t xml:space="preserve"> 0</w:t>
            </w:r>
            <w:r w:rsidRPr="00532A1C">
              <w:rPr>
                <w:sz w:val="17"/>
                <w:szCs w:val="17"/>
                <w:vertAlign w:val="superscript"/>
                <w:rtl/>
              </w:rPr>
              <w:t xml:space="preserve">(א) </w:t>
            </w:r>
          </w:p>
        </w:tc>
        <w:tc>
          <w:tcPr>
            <w:tcW w:w="705" w:type="dxa"/>
            <w:vAlign w:val="bottom"/>
          </w:tcPr>
          <w:p w14:paraId="002D746B" w14:textId="77777777" w:rsidR="004F59A7" w:rsidRPr="00046EFB" w:rsidRDefault="004F59A7" w:rsidP="00F04877">
            <w:pPr>
              <w:pStyle w:val="-3"/>
              <w:rPr>
                <w:sz w:val="17"/>
                <w:szCs w:val="17"/>
                <w:rtl/>
              </w:rPr>
            </w:pPr>
            <w:r w:rsidRPr="00532A1C">
              <w:rPr>
                <w:sz w:val="17"/>
                <w:szCs w:val="17"/>
                <w:rtl/>
              </w:rPr>
              <w:t xml:space="preserve"> 0</w:t>
            </w:r>
          </w:p>
        </w:tc>
        <w:tc>
          <w:tcPr>
            <w:tcW w:w="829" w:type="dxa"/>
            <w:vAlign w:val="bottom"/>
          </w:tcPr>
          <w:p w14:paraId="6AD7CC44" w14:textId="77777777" w:rsidR="004F59A7" w:rsidRPr="00046EFB" w:rsidRDefault="004F59A7" w:rsidP="00F04877">
            <w:pPr>
              <w:pStyle w:val="-3"/>
              <w:rPr>
                <w:sz w:val="17"/>
                <w:szCs w:val="17"/>
                <w:rtl/>
              </w:rPr>
            </w:pPr>
            <w:r>
              <w:rPr>
                <w:rFonts w:hint="cs"/>
                <w:sz w:val="17"/>
                <w:szCs w:val="17"/>
                <w:rtl/>
              </w:rPr>
              <w:t xml:space="preserve"> 0</w:t>
            </w:r>
          </w:p>
        </w:tc>
        <w:tc>
          <w:tcPr>
            <w:tcW w:w="704" w:type="dxa"/>
            <w:vAlign w:val="bottom"/>
          </w:tcPr>
          <w:p w14:paraId="73C42AA9" w14:textId="77777777" w:rsidR="004F59A7" w:rsidRPr="00046EFB" w:rsidRDefault="004F59A7" w:rsidP="00F04877">
            <w:pPr>
              <w:pStyle w:val="-3"/>
              <w:rPr>
                <w:sz w:val="17"/>
                <w:szCs w:val="17"/>
                <w:rtl/>
              </w:rPr>
            </w:pPr>
            <w:r w:rsidRPr="00532A1C">
              <w:rPr>
                <w:sz w:val="17"/>
                <w:szCs w:val="17"/>
                <w:rtl/>
              </w:rPr>
              <w:t>(0)</w:t>
            </w:r>
          </w:p>
        </w:tc>
        <w:tc>
          <w:tcPr>
            <w:tcW w:w="747" w:type="dxa"/>
            <w:vAlign w:val="bottom"/>
          </w:tcPr>
          <w:p w14:paraId="47A59B71" w14:textId="77777777" w:rsidR="004F59A7" w:rsidRPr="00046EFB" w:rsidRDefault="004F59A7" w:rsidP="00F04877">
            <w:pPr>
              <w:pStyle w:val="-3"/>
              <w:rPr>
                <w:sz w:val="17"/>
                <w:szCs w:val="17"/>
                <w:rtl/>
              </w:rPr>
            </w:pPr>
            <w:r w:rsidRPr="00532A1C">
              <w:rPr>
                <w:sz w:val="17"/>
                <w:szCs w:val="17"/>
                <w:rtl/>
              </w:rPr>
              <w:t>(0)</w:t>
            </w:r>
          </w:p>
        </w:tc>
        <w:tc>
          <w:tcPr>
            <w:tcW w:w="673" w:type="dxa"/>
            <w:vAlign w:val="bottom"/>
          </w:tcPr>
          <w:p w14:paraId="3749163E" w14:textId="77777777" w:rsidR="004F59A7" w:rsidRPr="00046EFB" w:rsidRDefault="004F59A7" w:rsidP="00F04877">
            <w:pPr>
              <w:pStyle w:val="-3"/>
              <w:rPr>
                <w:sz w:val="17"/>
                <w:szCs w:val="17"/>
                <w:rtl/>
              </w:rPr>
            </w:pPr>
            <w:r w:rsidRPr="00532A1C">
              <w:rPr>
                <w:sz w:val="17"/>
                <w:szCs w:val="17"/>
                <w:rtl/>
              </w:rPr>
              <w:t xml:space="preserve"> 0</w:t>
            </w:r>
          </w:p>
        </w:tc>
        <w:tc>
          <w:tcPr>
            <w:tcW w:w="752" w:type="dxa"/>
            <w:vAlign w:val="bottom"/>
          </w:tcPr>
          <w:p w14:paraId="09E71A59" w14:textId="77777777" w:rsidR="004F59A7" w:rsidRPr="00046EFB" w:rsidRDefault="004F59A7" w:rsidP="00F04877">
            <w:pPr>
              <w:pStyle w:val="-3"/>
              <w:rPr>
                <w:sz w:val="17"/>
                <w:szCs w:val="17"/>
                <w:rtl/>
              </w:rPr>
            </w:pPr>
            <w:r w:rsidRPr="00532A1C">
              <w:rPr>
                <w:sz w:val="17"/>
                <w:szCs w:val="17"/>
                <w:rtl/>
              </w:rPr>
              <w:t>(0)</w:t>
            </w:r>
          </w:p>
        </w:tc>
        <w:tc>
          <w:tcPr>
            <w:tcW w:w="997" w:type="dxa"/>
            <w:vAlign w:val="bottom"/>
          </w:tcPr>
          <w:p w14:paraId="01EA894D" w14:textId="77777777" w:rsidR="004F59A7" w:rsidRPr="00046EFB" w:rsidRDefault="004F59A7" w:rsidP="00F04877">
            <w:pPr>
              <w:pStyle w:val="-3"/>
              <w:rPr>
                <w:sz w:val="17"/>
                <w:szCs w:val="17"/>
                <w:rtl/>
              </w:rPr>
            </w:pPr>
            <w:r w:rsidRPr="00532A1C">
              <w:rPr>
                <w:sz w:val="17"/>
                <w:szCs w:val="17"/>
                <w:rtl/>
              </w:rPr>
              <w:t xml:space="preserve"> 0</w:t>
            </w:r>
          </w:p>
        </w:tc>
        <w:tc>
          <w:tcPr>
            <w:tcW w:w="988" w:type="dxa"/>
            <w:vAlign w:val="bottom"/>
          </w:tcPr>
          <w:p w14:paraId="1DA1EE98" w14:textId="77777777" w:rsidR="004F59A7" w:rsidRPr="00046EFB" w:rsidRDefault="004F59A7" w:rsidP="00F04877">
            <w:pPr>
              <w:pStyle w:val="-3"/>
              <w:rPr>
                <w:sz w:val="17"/>
                <w:szCs w:val="17"/>
                <w:rtl/>
              </w:rPr>
            </w:pPr>
            <w:r w:rsidRPr="00532A1C">
              <w:rPr>
                <w:sz w:val="17"/>
                <w:szCs w:val="17"/>
                <w:rtl/>
              </w:rPr>
              <w:t xml:space="preserve"> 0</w:t>
            </w:r>
          </w:p>
        </w:tc>
        <w:tc>
          <w:tcPr>
            <w:tcW w:w="1702" w:type="dxa"/>
            <w:vAlign w:val="bottom"/>
          </w:tcPr>
          <w:p w14:paraId="684B09B9" w14:textId="77777777" w:rsidR="004F59A7" w:rsidRPr="00046EFB" w:rsidRDefault="004F59A7" w:rsidP="00F04877">
            <w:pPr>
              <w:pStyle w:val="-3"/>
              <w:rPr>
                <w:sz w:val="17"/>
                <w:szCs w:val="17"/>
                <w:rtl/>
              </w:rPr>
            </w:pPr>
            <w:r w:rsidRPr="00532A1C">
              <w:rPr>
                <w:sz w:val="17"/>
                <w:szCs w:val="17"/>
                <w:rtl/>
              </w:rPr>
              <w:t xml:space="preserve">  0</w:t>
            </w:r>
            <w:r w:rsidRPr="00532A1C">
              <w:rPr>
                <w:sz w:val="17"/>
                <w:szCs w:val="17"/>
                <w:vertAlign w:val="superscript"/>
                <w:rtl/>
              </w:rPr>
              <w:t>(א)</w:t>
            </w:r>
          </w:p>
        </w:tc>
      </w:tr>
      <w:tr w:rsidR="004F59A7" w:rsidRPr="00543C25" w14:paraId="5C0962B4" w14:textId="77777777" w:rsidTr="00F04877">
        <w:tc>
          <w:tcPr>
            <w:tcW w:w="1560" w:type="dxa"/>
            <w:shd w:val="clear" w:color="auto" w:fill="auto"/>
          </w:tcPr>
          <w:p w14:paraId="7E7D9268"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32669F3C" w14:textId="4DB02042" w:rsidR="004F59A7" w:rsidRPr="00FC6A6C" w:rsidRDefault="004F59A7" w:rsidP="00F04877">
            <w:pPr>
              <w:pStyle w:val="-0"/>
              <w:spacing w:line="240" w:lineRule="auto"/>
              <w:ind w:left="467" w:hanging="114"/>
              <w:rPr>
                <w:sz w:val="17"/>
                <w:szCs w:val="17"/>
                <w:rtl/>
              </w:rPr>
            </w:pPr>
            <w:r w:rsidRPr="00FC6A6C">
              <w:rPr>
                <w:rFonts w:hint="cs"/>
                <w:sz w:val="16"/>
                <w:szCs w:val="16"/>
                <w:rtl/>
              </w:rPr>
              <w:t xml:space="preserve">ניירות ערך למסחר </w:t>
            </w:r>
          </w:p>
        </w:tc>
        <w:tc>
          <w:tcPr>
            <w:tcW w:w="850" w:type="dxa"/>
            <w:vAlign w:val="bottom"/>
          </w:tcPr>
          <w:p w14:paraId="25F79997" w14:textId="77777777" w:rsidR="004F59A7" w:rsidRPr="00046EFB" w:rsidRDefault="004F59A7" w:rsidP="00F04877">
            <w:pPr>
              <w:pStyle w:val="-3"/>
              <w:rPr>
                <w:sz w:val="17"/>
                <w:szCs w:val="17"/>
                <w:rtl/>
              </w:rPr>
            </w:pPr>
            <w:r w:rsidRPr="00532A1C">
              <w:rPr>
                <w:sz w:val="17"/>
                <w:szCs w:val="17"/>
                <w:rtl/>
              </w:rPr>
              <w:t xml:space="preserve"> 0</w:t>
            </w:r>
          </w:p>
        </w:tc>
        <w:tc>
          <w:tcPr>
            <w:tcW w:w="891" w:type="dxa"/>
            <w:vAlign w:val="bottom"/>
          </w:tcPr>
          <w:p w14:paraId="26CBF2B3" w14:textId="77777777" w:rsidR="004F59A7" w:rsidRPr="00046EFB" w:rsidRDefault="004F59A7" w:rsidP="00F04877">
            <w:pPr>
              <w:pStyle w:val="-3"/>
              <w:rPr>
                <w:sz w:val="17"/>
                <w:szCs w:val="17"/>
                <w:rtl/>
              </w:rPr>
            </w:pPr>
            <w:r w:rsidRPr="00532A1C">
              <w:rPr>
                <w:sz w:val="17"/>
                <w:szCs w:val="17"/>
                <w:rtl/>
              </w:rPr>
              <w:t xml:space="preserve"> 0</w:t>
            </w:r>
            <w:r w:rsidRPr="00532A1C">
              <w:rPr>
                <w:sz w:val="17"/>
                <w:szCs w:val="17"/>
                <w:vertAlign w:val="superscript"/>
                <w:rtl/>
              </w:rPr>
              <w:t xml:space="preserve">(ב) </w:t>
            </w:r>
          </w:p>
        </w:tc>
        <w:tc>
          <w:tcPr>
            <w:tcW w:w="939" w:type="dxa"/>
            <w:vAlign w:val="bottom"/>
          </w:tcPr>
          <w:p w14:paraId="792A8362" w14:textId="77777777" w:rsidR="004F59A7" w:rsidRPr="00046EFB" w:rsidRDefault="004F59A7" w:rsidP="00F04877">
            <w:pPr>
              <w:pStyle w:val="-3"/>
              <w:rPr>
                <w:sz w:val="17"/>
                <w:szCs w:val="17"/>
                <w:rtl/>
              </w:rPr>
            </w:pPr>
            <w:r w:rsidRPr="00532A1C">
              <w:rPr>
                <w:sz w:val="17"/>
                <w:szCs w:val="17"/>
                <w:rtl/>
              </w:rPr>
              <w:t xml:space="preserve"> -</w:t>
            </w:r>
          </w:p>
        </w:tc>
        <w:tc>
          <w:tcPr>
            <w:tcW w:w="705" w:type="dxa"/>
            <w:vAlign w:val="bottom"/>
          </w:tcPr>
          <w:p w14:paraId="6EFF35F1" w14:textId="77777777" w:rsidR="004F59A7" w:rsidRPr="00046EFB" w:rsidRDefault="004F59A7" w:rsidP="00F04877">
            <w:pPr>
              <w:pStyle w:val="-3"/>
              <w:rPr>
                <w:sz w:val="17"/>
                <w:szCs w:val="17"/>
                <w:rtl/>
              </w:rPr>
            </w:pPr>
            <w:r w:rsidRPr="00532A1C">
              <w:rPr>
                <w:sz w:val="17"/>
                <w:szCs w:val="17"/>
                <w:rtl/>
              </w:rPr>
              <w:t xml:space="preserve"> 0</w:t>
            </w:r>
          </w:p>
        </w:tc>
        <w:tc>
          <w:tcPr>
            <w:tcW w:w="829" w:type="dxa"/>
            <w:vAlign w:val="bottom"/>
          </w:tcPr>
          <w:p w14:paraId="4FC55BC1" w14:textId="77777777" w:rsidR="004F59A7" w:rsidRPr="00046EFB" w:rsidRDefault="004F59A7" w:rsidP="00F04877">
            <w:pPr>
              <w:pStyle w:val="-3"/>
              <w:rPr>
                <w:sz w:val="17"/>
                <w:szCs w:val="17"/>
                <w:rtl/>
              </w:rPr>
            </w:pPr>
            <w:r>
              <w:rPr>
                <w:rFonts w:hint="cs"/>
                <w:sz w:val="17"/>
                <w:szCs w:val="17"/>
                <w:rtl/>
              </w:rPr>
              <w:t xml:space="preserve"> 0</w:t>
            </w:r>
          </w:p>
        </w:tc>
        <w:tc>
          <w:tcPr>
            <w:tcW w:w="704" w:type="dxa"/>
            <w:vAlign w:val="bottom"/>
          </w:tcPr>
          <w:p w14:paraId="615DE908" w14:textId="77777777" w:rsidR="004F59A7" w:rsidRPr="00046EFB" w:rsidRDefault="004F59A7" w:rsidP="00F04877">
            <w:pPr>
              <w:pStyle w:val="-3"/>
              <w:rPr>
                <w:sz w:val="17"/>
                <w:szCs w:val="17"/>
                <w:rtl/>
              </w:rPr>
            </w:pPr>
            <w:r w:rsidRPr="00532A1C">
              <w:rPr>
                <w:sz w:val="17"/>
                <w:szCs w:val="17"/>
                <w:rtl/>
              </w:rPr>
              <w:t>(0)</w:t>
            </w:r>
          </w:p>
        </w:tc>
        <w:tc>
          <w:tcPr>
            <w:tcW w:w="747" w:type="dxa"/>
            <w:vAlign w:val="bottom"/>
          </w:tcPr>
          <w:p w14:paraId="6AC1C3A7" w14:textId="77777777" w:rsidR="004F59A7" w:rsidRPr="00046EFB" w:rsidRDefault="004F59A7" w:rsidP="00F04877">
            <w:pPr>
              <w:pStyle w:val="-3"/>
              <w:rPr>
                <w:sz w:val="17"/>
                <w:szCs w:val="17"/>
                <w:rtl/>
              </w:rPr>
            </w:pPr>
            <w:r w:rsidRPr="00532A1C">
              <w:rPr>
                <w:sz w:val="17"/>
                <w:szCs w:val="17"/>
                <w:rtl/>
              </w:rPr>
              <w:t>(0)</w:t>
            </w:r>
          </w:p>
        </w:tc>
        <w:tc>
          <w:tcPr>
            <w:tcW w:w="673" w:type="dxa"/>
            <w:vAlign w:val="bottom"/>
          </w:tcPr>
          <w:p w14:paraId="267BBF27" w14:textId="77777777" w:rsidR="004F59A7" w:rsidRPr="00046EFB" w:rsidRDefault="004F59A7" w:rsidP="00F04877">
            <w:pPr>
              <w:pStyle w:val="-3"/>
              <w:rPr>
                <w:sz w:val="17"/>
                <w:szCs w:val="17"/>
                <w:rtl/>
              </w:rPr>
            </w:pPr>
            <w:r w:rsidRPr="00532A1C">
              <w:rPr>
                <w:sz w:val="17"/>
                <w:szCs w:val="17"/>
                <w:rtl/>
              </w:rPr>
              <w:t xml:space="preserve"> 0</w:t>
            </w:r>
          </w:p>
        </w:tc>
        <w:tc>
          <w:tcPr>
            <w:tcW w:w="752" w:type="dxa"/>
            <w:vAlign w:val="bottom"/>
          </w:tcPr>
          <w:p w14:paraId="7460FAB4" w14:textId="77777777" w:rsidR="004F59A7" w:rsidRPr="00046EFB" w:rsidRDefault="004F59A7" w:rsidP="00F04877">
            <w:pPr>
              <w:pStyle w:val="-3"/>
              <w:rPr>
                <w:sz w:val="17"/>
                <w:szCs w:val="17"/>
                <w:rtl/>
              </w:rPr>
            </w:pPr>
            <w:r w:rsidRPr="00532A1C">
              <w:rPr>
                <w:sz w:val="17"/>
                <w:szCs w:val="17"/>
                <w:rtl/>
              </w:rPr>
              <w:t>(0)</w:t>
            </w:r>
          </w:p>
        </w:tc>
        <w:tc>
          <w:tcPr>
            <w:tcW w:w="997" w:type="dxa"/>
            <w:vAlign w:val="bottom"/>
          </w:tcPr>
          <w:p w14:paraId="477ECCCB" w14:textId="77777777" w:rsidR="004F59A7" w:rsidRPr="00046EFB" w:rsidRDefault="004F59A7" w:rsidP="00F04877">
            <w:pPr>
              <w:pStyle w:val="-3"/>
              <w:rPr>
                <w:sz w:val="17"/>
                <w:szCs w:val="17"/>
                <w:rtl/>
              </w:rPr>
            </w:pPr>
            <w:r w:rsidRPr="00532A1C">
              <w:rPr>
                <w:sz w:val="17"/>
                <w:szCs w:val="17"/>
                <w:rtl/>
              </w:rPr>
              <w:t xml:space="preserve"> 0</w:t>
            </w:r>
          </w:p>
        </w:tc>
        <w:tc>
          <w:tcPr>
            <w:tcW w:w="988" w:type="dxa"/>
            <w:vAlign w:val="bottom"/>
          </w:tcPr>
          <w:p w14:paraId="668355E5" w14:textId="77777777" w:rsidR="004F59A7" w:rsidRPr="00046EFB" w:rsidRDefault="004F59A7" w:rsidP="00F04877">
            <w:pPr>
              <w:pStyle w:val="-3"/>
              <w:rPr>
                <w:sz w:val="17"/>
                <w:szCs w:val="17"/>
                <w:rtl/>
              </w:rPr>
            </w:pPr>
            <w:r w:rsidRPr="00532A1C">
              <w:rPr>
                <w:sz w:val="17"/>
                <w:szCs w:val="17"/>
                <w:rtl/>
              </w:rPr>
              <w:t xml:space="preserve"> 0</w:t>
            </w:r>
          </w:p>
        </w:tc>
        <w:tc>
          <w:tcPr>
            <w:tcW w:w="1702" w:type="dxa"/>
            <w:vAlign w:val="bottom"/>
          </w:tcPr>
          <w:p w14:paraId="57831D56" w14:textId="77777777" w:rsidR="004F59A7" w:rsidRPr="00046EFB" w:rsidRDefault="004F59A7" w:rsidP="00F04877">
            <w:pPr>
              <w:pStyle w:val="-3"/>
              <w:rPr>
                <w:sz w:val="17"/>
                <w:szCs w:val="17"/>
                <w:rtl/>
              </w:rPr>
            </w:pPr>
            <w:r w:rsidRPr="00532A1C">
              <w:rPr>
                <w:sz w:val="17"/>
                <w:szCs w:val="17"/>
                <w:rtl/>
              </w:rPr>
              <w:t xml:space="preserve">  0</w:t>
            </w:r>
            <w:r w:rsidRPr="00532A1C">
              <w:rPr>
                <w:sz w:val="17"/>
                <w:szCs w:val="17"/>
                <w:vertAlign w:val="superscript"/>
                <w:rtl/>
              </w:rPr>
              <w:t>(ב)</w:t>
            </w:r>
          </w:p>
        </w:tc>
      </w:tr>
      <w:tr w:rsidR="004F59A7" w:rsidRPr="00543C25" w14:paraId="08217C46" w14:textId="77777777" w:rsidTr="00F04877">
        <w:tc>
          <w:tcPr>
            <w:tcW w:w="1560" w:type="dxa"/>
            <w:shd w:val="clear" w:color="auto" w:fill="auto"/>
          </w:tcPr>
          <w:p w14:paraId="6F1C73E5"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31971699" w14:textId="127F8B9F" w:rsidR="004F59A7" w:rsidRPr="00FC6A6C" w:rsidRDefault="004F59A7" w:rsidP="00F04877">
            <w:pPr>
              <w:pStyle w:val="-0"/>
              <w:spacing w:line="240" w:lineRule="auto"/>
              <w:ind w:left="467" w:hanging="114"/>
              <w:rPr>
                <w:sz w:val="17"/>
                <w:szCs w:val="17"/>
                <w:rtl/>
              </w:rPr>
            </w:pPr>
            <w:r w:rsidRPr="00FC6A6C">
              <w:rPr>
                <w:rFonts w:hint="cs"/>
                <w:sz w:val="16"/>
                <w:szCs w:val="16"/>
                <w:rtl/>
              </w:rPr>
              <w:t>נכסים בגין מכשירים נגזרים</w:t>
            </w:r>
            <w:r w:rsidRPr="00FC6A6C">
              <w:rPr>
                <w:rFonts w:hint="cs"/>
                <w:sz w:val="16"/>
                <w:szCs w:val="16"/>
                <w:vertAlign w:val="superscript"/>
                <w:rtl/>
              </w:rPr>
              <w:t xml:space="preserve"> </w:t>
            </w:r>
          </w:p>
        </w:tc>
        <w:tc>
          <w:tcPr>
            <w:tcW w:w="850" w:type="dxa"/>
            <w:vAlign w:val="bottom"/>
          </w:tcPr>
          <w:p w14:paraId="0C4AAF8C" w14:textId="77777777" w:rsidR="004F59A7" w:rsidRDefault="004F59A7" w:rsidP="00F04877">
            <w:pPr>
              <w:pStyle w:val="-3"/>
              <w:rPr>
                <w:sz w:val="17"/>
                <w:szCs w:val="17"/>
                <w:rtl/>
              </w:rPr>
            </w:pPr>
            <w:r w:rsidRPr="00532A1C">
              <w:rPr>
                <w:sz w:val="17"/>
                <w:szCs w:val="17"/>
                <w:rtl/>
              </w:rPr>
              <w:t xml:space="preserve"> 0</w:t>
            </w:r>
          </w:p>
        </w:tc>
        <w:tc>
          <w:tcPr>
            <w:tcW w:w="891" w:type="dxa"/>
            <w:vAlign w:val="bottom"/>
          </w:tcPr>
          <w:p w14:paraId="283D37AC" w14:textId="77777777" w:rsidR="004F59A7" w:rsidRDefault="004F59A7" w:rsidP="00F04877">
            <w:pPr>
              <w:pStyle w:val="-3"/>
              <w:rPr>
                <w:sz w:val="17"/>
                <w:szCs w:val="17"/>
                <w:rtl/>
              </w:rPr>
            </w:pPr>
            <w:r w:rsidRPr="00532A1C">
              <w:rPr>
                <w:sz w:val="17"/>
                <w:szCs w:val="17"/>
                <w:rtl/>
              </w:rPr>
              <w:t xml:space="preserve"> 0 </w:t>
            </w:r>
          </w:p>
        </w:tc>
        <w:tc>
          <w:tcPr>
            <w:tcW w:w="939" w:type="dxa"/>
            <w:vAlign w:val="bottom"/>
          </w:tcPr>
          <w:p w14:paraId="4F8D8299" w14:textId="77777777" w:rsidR="004F59A7" w:rsidRDefault="004F59A7" w:rsidP="00F04877">
            <w:pPr>
              <w:pStyle w:val="-3"/>
              <w:rPr>
                <w:sz w:val="17"/>
                <w:szCs w:val="17"/>
                <w:rtl/>
              </w:rPr>
            </w:pPr>
            <w:r w:rsidRPr="00532A1C">
              <w:rPr>
                <w:sz w:val="17"/>
                <w:szCs w:val="17"/>
                <w:rtl/>
              </w:rPr>
              <w:t xml:space="preserve"> </w:t>
            </w:r>
            <w:r>
              <w:rPr>
                <w:rFonts w:hint="cs"/>
                <w:sz w:val="17"/>
                <w:szCs w:val="17"/>
                <w:rtl/>
              </w:rPr>
              <w:t>-</w:t>
            </w:r>
          </w:p>
        </w:tc>
        <w:tc>
          <w:tcPr>
            <w:tcW w:w="705" w:type="dxa"/>
            <w:vAlign w:val="bottom"/>
          </w:tcPr>
          <w:p w14:paraId="02D7FB81" w14:textId="77777777" w:rsidR="004F59A7" w:rsidRDefault="004F59A7" w:rsidP="00F04877">
            <w:pPr>
              <w:pStyle w:val="-3"/>
              <w:rPr>
                <w:sz w:val="17"/>
                <w:szCs w:val="17"/>
                <w:rtl/>
              </w:rPr>
            </w:pPr>
            <w:r w:rsidRPr="00532A1C">
              <w:rPr>
                <w:sz w:val="17"/>
                <w:szCs w:val="17"/>
                <w:rtl/>
              </w:rPr>
              <w:t xml:space="preserve"> 0</w:t>
            </w:r>
          </w:p>
        </w:tc>
        <w:tc>
          <w:tcPr>
            <w:tcW w:w="829" w:type="dxa"/>
            <w:vAlign w:val="bottom"/>
          </w:tcPr>
          <w:p w14:paraId="32D84820" w14:textId="77777777" w:rsidR="004F59A7" w:rsidRDefault="004F59A7" w:rsidP="00F04877">
            <w:pPr>
              <w:pStyle w:val="-3"/>
              <w:rPr>
                <w:sz w:val="17"/>
                <w:szCs w:val="17"/>
                <w:rtl/>
              </w:rPr>
            </w:pPr>
            <w:r>
              <w:rPr>
                <w:rFonts w:hint="cs"/>
                <w:sz w:val="17"/>
                <w:szCs w:val="17"/>
                <w:rtl/>
              </w:rPr>
              <w:t xml:space="preserve"> 0</w:t>
            </w:r>
          </w:p>
        </w:tc>
        <w:tc>
          <w:tcPr>
            <w:tcW w:w="704" w:type="dxa"/>
            <w:vAlign w:val="bottom"/>
          </w:tcPr>
          <w:p w14:paraId="2E53B950" w14:textId="77777777" w:rsidR="004F59A7" w:rsidRDefault="004F59A7" w:rsidP="00F04877">
            <w:pPr>
              <w:pStyle w:val="-3"/>
              <w:rPr>
                <w:sz w:val="17"/>
                <w:szCs w:val="17"/>
                <w:rtl/>
              </w:rPr>
            </w:pPr>
            <w:r w:rsidRPr="00532A1C">
              <w:rPr>
                <w:sz w:val="17"/>
                <w:szCs w:val="17"/>
                <w:rtl/>
              </w:rPr>
              <w:t>(0)</w:t>
            </w:r>
          </w:p>
        </w:tc>
        <w:tc>
          <w:tcPr>
            <w:tcW w:w="747" w:type="dxa"/>
            <w:vAlign w:val="bottom"/>
          </w:tcPr>
          <w:p w14:paraId="5CF8F9B1" w14:textId="77777777" w:rsidR="004F59A7" w:rsidRDefault="004F59A7" w:rsidP="00F04877">
            <w:pPr>
              <w:pStyle w:val="-3"/>
              <w:rPr>
                <w:sz w:val="17"/>
                <w:szCs w:val="17"/>
                <w:rtl/>
              </w:rPr>
            </w:pPr>
            <w:r w:rsidRPr="00532A1C">
              <w:rPr>
                <w:sz w:val="17"/>
                <w:szCs w:val="17"/>
                <w:rtl/>
              </w:rPr>
              <w:t>(0)</w:t>
            </w:r>
          </w:p>
        </w:tc>
        <w:tc>
          <w:tcPr>
            <w:tcW w:w="673" w:type="dxa"/>
            <w:vAlign w:val="bottom"/>
          </w:tcPr>
          <w:p w14:paraId="568FEE04" w14:textId="77777777" w:rsidR="004F59A7" w:rsidRDefault="004F59A7" w:rsidP="00F04877">
            <w:pPr>
              <w:pStyle w:val="-3"/>
              <w:rPr>
                <w:sz w:val="17"/>
                <w:szCs w:val="17"/>
                <w:rtl/>
              </w:rPr>
            </w:pPr>
            <w:r w:rsidRPr="00532A1C">
              <w:rPr>
                <w:sz w:val="17"/>
                <w:szCs w:val="17"/>
                <w:rtl/>
              </w:rPr>
              <w:t xml:space="preserve"> 0</w:t>
            </w:r>
          </w:p>
        </w:tc>
        <w:tc>
          <w:tcPr>
            <w:tcW w:w="752" w:type="dxa"/>
            <w:vAlign w:val="bottom"/>
          </w:tcPr>
          <w:p w14:paraId="6AAAECD0" w14:textId="77777777" w:rsidR="004F59A7" w:rsidRDefault="004F59A7" w:rsidP="00F04877">
            <w:pPr>
              <w:pStyle w:val="-3"/>
              <w:rPr>
                <w:sz w:val="17"/>
                <w:szCs w:val="17"/>
                <w:rtl/>
              </w:rPr>
            </w:pPr>
            <w:r w:rsidRPr="00532A1C">
              <w:rPr>
                <w:sz w:val="17"/>
                <w:szCs w:val="17"/>
                <w:rtl/>
              </w:rPr>
              <w:t>(0)</w:t>
            </w:r>
          </w:p>
        </w:tc>
        <w:tc>
          <w:tcPr>
            <w:tcW w:w="997" w:type="dxa"/>
            <w:vAlign w:val="bottom"/>
          </w:tcPr>
          <w:p w14:paraId="3A4BCDD7" w14:textId="77777777" w:rsidR="004F59A7" w:rsidRDefault="004F59A7" w:rsidP="00F04877">
            <w:pPr>
              <w:pStyle w:val="-3"/>
              <w:rPr>
                <w:sz w:val="17"/>
                <w:szCs w:val="17"/>
                <w:rtl/>
              </w:rPr>
            </w:pPr>
            <w:r w:rsidRPr="00532A1C">
              <w:rPr>
                <w:sz w:val="17"/>
                <w:szCs w:val="17"/>
                <w:rtl/>
              </w:rPr>
              <w:t xml:space="preserve"> 0</w:t>
            </w:r>
          </w:p>
        </w:tc>
        <w:tc>
          <w:tcPr>
            <w:tcW w:w="988" w:type="dxa"/>
            <w:vAlign w:val="bottom"/>
          </w:tcPr>
          <w:p w14:paraId="092488A0" w14:textId="77777777" w:rsidR="004F59A7" w:rsidRDefault="004F59A7" w:rsidP="00F04877">
            <w:pPr>
              <w:pStyle w:val="-3"/>
              <w:rPr>
                <w:sz w:val="17"/>
                <w:szCs w:val="17"/>
                <w:rtl/>
              </w:rPr>
            </w:pPr>
            <w:r w:rsidRPr="00532A1C">
              <w:rPr>
                <w:sz w:val="17"/>
                <w:szCs w:val="17"/>
                <w:rtl/>
              </w:rPr>
              <w:t xml:space="preserve"> 0</w:t>
            </w:r>
          </w:p>
        </w:tc>
        <w:tc>
          <w:tcPr>
            <w:tcW w:w="1702" w:type="dxa"/>
            <w:vAlign w:val="bottom"/>
          </w:tcPr>
          <w:p w14:paraId="599A1B98" w14:textId="77777777" w:rsidR="004F59A7" w:rsidRDefault="004F59A7" w:rsidP="00F04877">
            <w:pPr>
              <w:pStyle w:val="-3"/>
              <w:rPr>
                <w:sz w:val="17"/>
                <w:szCs w:val="17"/>
                <w:rtl/>
              </w:rPr>
            </w:pPr>
            <w:r w:rsidRPr="00532A1C">
              <w:rPr>
                <w:sz w:val="17"/>
                <w:szCs w:val="17"/>
                <w:rtl/>
              </w:rPr>
              <w:t xml:space="preserve">  0</w:t>
            </w:r>
          </w:p>
        </w:tc>
      </w:tr>
      <w:tr w:rsidR="004F59A7" w:rsidRPr="00543C25" w14:paraId="66ED68A0" w14:textId="77777777" w:rsidTr="00F04877">
        <w:tc>
          <w:tcPr>
            <w:tcW w:w="1560" w:type="dxa"/>
            <w:shd w:val="clear" w:color="auto" w:fill="auto"/>
          </w:tcPr>
          <w:p w14:paraId="07A94C0B"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04D707D5" w14:textId="77777777" w:rsidR="004F59A7" w:rsidRPr="00FC6A6C" w:rsidRDefault="004F59A7" w:rsidP="00F04877">
            <w:pPr>
              <w:pStyle w:val="-0"/>
              <w:spacing w:line="240" w:lineRule="auto"/>
              <w:ind w:left="467" w:hanging="114"/>
              <w:rPr>
                <w:sz w:val="17"/>
                <w:szCs w:val="17"/>
                <w:rtl/>
              </w:rPr>
            </w:pPr>
            <w:r w:rsidRPr="00FC6A6C">
              <w:rPr>
                <w:rFonts w:hint="eastAsia"/>
                <w:sz w:val="16"/>
                <w:szCs w:val="16"/>
                <w:rtl/>
              </w:rPr>
              <w:t>אחר</w:t>
            </w:r>
            <w:r w:rsidRPr="00FC6A6C">
              <w:rPr>
                <w:rFonts w:hint="cs"/>
                <w:sz w:val="16"/>
                <w:szCs w:val="16"/>
                <w:rtl/>
              </w:rPr>
              <w:t xml:space="preserve"> [פרט אם מהותי]</w:t>
            </w:r>
          </w:p>
        </w:tc>
        <w:tc>
          <w:tcPr>
            <w:tcW w:w="850" w:type="dxa"/>
            <w:vAlign w:val="bottom"/>
          </w:tcPr>
          <w:p w14:paraId="485434F2"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891" w:type="dxa"/>
            <w:vAlign w:val="bottom"/>
          </w:tcPr>
          <w:p w14:paraId="617FF517" w14:textId="77777777" w:rsidR="004F59A7" w:rsidRDefault="004F59A7" w:rsidP="00F04877">
            <w:pPr>
              <w:pStyle w:val="-3"/>
              <w:pBdr>
                <w:bottom w:val="single" w:sz="4" w:space="1" w:color="auto"/>
              </w:pBdr>
              <w:rPr>
                <w:sz w:val="17"/>
                <w:szCs w:val="17"/>
                <w:rtl/>
              </w:rPr>
            </w:pPr>
            <w:r w:rsidRPr="00532A1C">
              <w:rPr>
                <w:sz w:val="17"/>
                <w:szCs w:val="17"/>
                <w:rtl/>
              </w:rPr>
              <w:t xml:space="preserve"> 0</w:t>
            </w:r>
            <w:r w:rsidRPr="00532A1C">
              <w:rPr>
                <w:sz w:val="17"/>
                <w:szCs w:val="17"/>
                <w:vertAlign w:val="superscript"/>
                <w:rtl/>
              </w:rPr>
              <w:t xml:space="preserve">(ג) </w:t>
            </w:r>
          </w:p>
        </w:tc>
        <w:tc>
          <w:tcPr>
            <w:tcW w:w="939" w:type="dxa"/>
            <w:vAlign w:val="bottom"/>
          </w:tcPr>
          <w:p w14:paraId="04EA50A5" w14:textId="77777777" w:rsidR="004F59A7" w:rsidRDefault="004F59A7" w:rsidP="00F04877">
            <w:pPr>
              <w:pStyle w:val="-3"/>
              <w:pBdr>
                <w:bottom w:val="single" w:sz="4" w:space="1" w:color="auto"/>
              </w:pBdr>
              <w:rPr>
                <w:sz w:val="17"/>
                <w:szCs w:val="17"/>
                <w:rtl/>
              </w:rPr>
            </w:pPr>
            <w:r w:rsidRPr="00532A1C">
              <w:rPr>
                <w:sz w:val="17"/>
                <w:szCs w:val="17"/>
                <w:rtl/>
              </w:rPr>
              <w:t xml:space="preserve"> </w:t>
            </w:r>
            <w:r>
              <w:rPr>
                <w:rFonts w:hint="cs"/>
                <w:sz w:val="17"/>
                <w:szCs w:val="17"/>
                <w:rtl/>
              </w:rPr>
              <w:t>-</w:t>
            </w:r>
          </w:p>
        </w:tc>
        <w:tc>
          <w:tcPr>
            <w:tcW w:w="705" w:type="dxa"/>
            <w:vAlign w:val="bottom"/>
          </w:tcPr>
          <w:p w14:paraId="2C2482E3"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829" w:type="dxa"/>
            <w:vAlign w:val="bottom"/>
          </w:tcPr>
          <w:p w14:paraId="0FBE1A1B"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704" w:type="dxa"/>
            <w:vAlign w:val="bottom"/>
          </w:tcPr>
          <w:p w14:paraId="0AFC36E8" w14:textId="77777777" w:rsidR="004F59A7" w:rsidRDefault="004F59A7" w:rsidP="00F04877">
            <w:pPr>
              <w:pStyle w:val="-3"/>
              <w:pBdr>
                <w:bottom w:val="single" w:sz="4" w:space="1" w:color="auto"/>
              </w:pBdr>
              <w:rPr>
                <w:sz w:val="17"/>
                <w:szCs w:val="17"/>
                <w:rtl/>
              </w:rPr>
            </w:pPr>
            <w:r w:rsidRPr="00532A1C">
              <w:rPr>
                <w:sz w:val="17"/>
                <w:szCs w:val="17"/>
                <w:rtl/>
              </w:rPr>
              <w:t>(0)</w:t>
            </w:r>
          </w:p>
        </w:tc>
        <w:tc>
          <w:tcPr>
            <w:tcW w:w="747" w:type="dxa"/>
            <w:vAlign w:val="bottom"/>
          </w:tcPr>
          <w:p w14:paraId="08D3257F" w14:textId="77777777" w:rsidR="004F59A7" w:rsidRDefault="004F59A7" w:rsidP="00F04877">
            <w:pPr>
              <w:pStyle w:val="-3"/>
              <w:pBdr>
                <w:bottom w:val="single" w:sz="4" w:space="1" w:color="auto"/>
              </w:pBdr>
              <w:rPr>
                <w:sz w:val="17"/>
                <w:szCs w:val="17"/>
                <w:rtl/>
              </w:rPr>
            </w:pPr>
            <w:r w:rsidRPr="00532A1C">
              <w:rPr>
                <w:sz w:val="17"/>
                <w:szCs w:val="17"/>
                <w:rtl/>
              </w:rPr>
              <w:t>(0)</w:t>
            </w:r>
          </w:p>
        </w:tc>
        <w:tc>
          <w:tcPr>
            <w:tcW w:w="673" w:type="dxa"/>
            <w:vAlign w:val="bottom"/>
          </w:tcPr>
          <w:p w14:paraId="275229FE"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752" w:type="dxa"/>
            <w:vAlign w:val="bottom"/>
          </w:tcPr>
          <w:p w14:paraId="1621B93C" w14:textId="77777777" w:rsidR="004F59A7" w:rsidRDefault="004F59A7" w:rsidP="00F04877">
            <w:pPr>
              <w:pStyle w:val="-3"/>
              <w:pBdr>
                <w:bottom w:val="single" w:sz="4" w:space="1" w:color="auto"/>
              </w:pBdr>
              <w:rPr>
                <w:sz w:val="17"/>
                <w:szCs w:val="17"/>
                <w:rtl/>
              </w:rPr>
            </w:pPr>
            <w:r w:rsidRPr="00532A1C">
              <w:rPr>
                <w:sz w:val="17"/>
                <w:szCs w:val="17"/>
                <w:rtl/>
              </w:rPr>
              <w:t>(0)</w:t>
            </w:r>
          </w:p>
        </w:tc>
        <w:tc>
          <w:tcPr>
            <w:tcW w:w="997" w:type="dxa"/>
            <w:vAlign w:val="bottom"/>
          </w:tcPr>
          <w:p w14:paraId="26CC02F9"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988" w:type="dxa"/>
            <w:vAlign w:val="bottom"/>
          </w:tcPr>
          <w:p w14:paraId="7B9ACB91"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1702" w:type="dxa"/>
            <w:vAlign w:val="bottom"/>
          </w:tcPr>
          <w:p w14:paraId="7C8073F5" w14:textId="77777777" w:rsidR="004F59A7" w:rsidRDefault="004F59A7" w:rsidP="00F04877">
            <w:pPr>
              <w:pStyle w:val="-3"/>
              <w:pBdr>
                <w:bottom w:val="single" w:sz="4" w:space="1" w:color="auto"/>
              </w:pBdr>
              <w:rPr>
                <w:sz w:val="17"/>
                <w:szCs w:val="17"/>
                <w:rtl/>
              </w:rPr>
            </w:pPr>
            <w:r w:rsidRPr="00532A1C">
              <w:rPr>
                <w:sz w:val="17"/>
                <w:szCs w:val="17"/>
                <w:rtl/>
              </w:rPr>
              <w:t xml:space="preserve">  0</w:t>
            </w:r>
            <w:r w:rsidRPr="00532A1C">
              <w:rPr>
                <w:sz w:val="17"/>
                <w:szCs w:val="17"/>
                <w:vertAlign w:val="superscript"/>
                <w:rtl/>
              </w:rPr>
              <w:t>(ג)</w:t>
            </w:r>
          </w:p>
        </w:tc>
      </w:tr>
      <w:tr w:rsidR="004F59A7" w:rsidRPr="00FC6A6C" w14:paraId="63FEB4FF" w14:textId="77777777" w:rsidTr="00F04877">
        <w:tc>
          <w:tcPr>
            <w:tcW w:w="1560" w:type="dxa"/>
            <w:shd w:val="clear" w:color="auto" w:fill="auto"/>
          </w:tcPr>
          <w:p w14:paraId="3CD3AE3F"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1FD084D9" w14:textId="77777777" w:rsidR="004F59A7" w:rsidRPr="00BF2D3B" w:rsidRDefault="004F59A7" w:rsidP="00F04877">
            <w:pPr>
              <w:pStyle w:val="-f"/>
              <w:ind w:left="560" w:hanging="235"/>
              <w:rPr>
                <w:sz w:val="16"/>
                <w:szCs w:val="16"/>
                <w:u w:val="none"/>
                <w:rtl/>
              </w:rPr>
            </w:pPr>
            <w:r w:rsidRPr="00BF2D3B">
              <w:rPr>
                <w:sz w:val="16"/>
                <w:szCs w:val="16"/>
                <w:u w:val="none"/>
                <w:rtl/>
              </w:rPr>
              <w:t xml:space="preserve">סך </w:t>
            </w:r>
            <w:r w:rsidRPr="00BF2D3B">
              <w:rPr>
                <w:rFonts w:hint="cs"/>
                <w:sz w:val="16"/>
                <w:szCs w:val="16"/>
                <w:u w:val="none"/>
                <w:rtl/>
              </w:rPr>
              <w:t>כל הנכסים</w:t>
            </w:r>
          </w:p>
        </w:tc>
        <w:tc>
          <w:tcPr>
            <w:tcW w:w="850" w:type="dxa"/>
            <w:vAlign w:val="bottom"/>
          </w:tcPr>
          <w:p w14:paraId="1D854A22" w14:textId="77777777" w:rsidR="004F59A7" w:rsidRPr="00FC6A6C" w:rsidRDefault="004F59A7" w:rsidP="00F04877">
            <w:pPr>
              <w:pStyle w:val="-3"/>
              <w:rPr>
                <w:b/>
                <w:bCs/>
                <w:sz w:val="17"/>
                <w:szCs w:val="17"/>
                <w:rtl/>
              </w:rPr>
            </w:pPr>
            <w:r w:rsidRPr="00FC6A6C">
              <w:rPr>
                <w:b/>
                <w:bCs/>
                <w:sz w:val="17"/>
                <w:szCs w:val="17"/>
                <w:rtl/>
              </w:rPr>
              <w:t xml:space="preserve"> 0</w:t>
            </w:r>
          </w:p>
        </w:tc>
        <w:tc>
          <w:tcPr>
            <w:tcW w:w="891" w:type="dxa"/>
            <w:vAlign w:val="bottom"/>
          </w:tcPr>
          <w:p w14:paraId="1D79B0E7" w14:textId="77777777" w:rsidR="004F59A7" w:rsidRPr="00FC6A6C" w:rsidRDefault="004F59A7" w:rsidP="00F04877">
            <w:pPr>
              <w:pStyle w:val="-3"/>
              <w:rPr>
                <w:b/>
                <w:bCs/>
                <w:sz w:val="17"/>
                <w:szCs w:val="17"/>
                <w:rtl/>
              </w:rPr>
            </w:pPr>
            <w:r w:rsidRPr="00FC6A6C">
              <w:rPr>
                <w:b/>
                <w:bCs/>
                <w:sz w:val="17"/>
                <w:szCs w:val="17"/>
                <w:rtl/>
              </w:rPr>
              <w:t xml:space="preserve"> 0</w:t>
            </w:r>
          </w:p>
        </w:tc>
        <w:tc>
          <w:tcPr>
            <w:tcW w:w="939" w:type="dxa"/>
            <w:vAlign w:val="bottom"/>
          </w:tcPr>
          <w:p w14:paraId="60844A62" w14:textId="77777777" w:rsidR="004F59A7" w:rsidRPr="00FC6A6C" w:rsidRDefault="004F59A7" w:rsidP="00F04877">
            <w:pPr>
              <w:pStyle w:val="-3"/>
              <w:rPr>
                <w:b/>
                <w:bCs/>
                <w:sz w:val="17"/>
                <w:szCs w:val="17"/>
                <w:rtl/>
              </w:rPr>
            </w:pPr>
            <w:r w:rsidRPr="00FC6A6C">
              <w:rPr>
                <w:b/>
                <w:bCs/>
                <w:sz w:val="17"/>
                <w:szCs w:val="17"/>
                <w:rtl/>
              </w:rPr>
              <w:t xml:space="preserve"> 0</w:t>
            </w:r>
          </w:p>
        </w:tc>
        <w:tc>
          <w:tcPr>
            <w:tcW w:w="705" w:type="dxa"/>
            <w:vAlign w:val="bottom"/>
          </w:tcPr>
          <w:p w14:paraId="4E2681D8" w14:textId="77777777" w:rsidR="004F59A7" w:rsidRPr="00FC6A6C" w:rsidRDefault="004F59A7" w:rsidP="00F04877">
            <w:pPr>
              <w:pStyle w:val="-3"/>
              <w:rPr>
                <w:b/>
                <w:bCs/>
                <w:sz w:val="17"/>
                <w:szCs w:val="17"/>
                <w:rtl/>
              </w:rPr>
            </w:pPr>
            <w:r w:rsidRPr="00FC6A6C">
              <w:rPr>
                <w:b/>
                <w:bCs/>
                <w:sz w:val="17"/>
                <w:szCs w:val="17"/>
                <w:rtl/>
              </w:rPr>
              <w:t xml:space="preserve"> 0</w:t>
            </w:r>
          </w:p>
        </w:tc>
        <w:tc>
          <w:tcPr>
            <w:tcW w:w="829" w:type="dxa"/>
            <w:vAlign w:val="bottom"/>
          </w:tcPr>
          <w:p w14:paraId="3650190E" w14:textId="77777777" w:rsidR="004F59A7" w:rsidRPr="00FC6A6C" w:rsidRDefault="004F59A7" w:rsidP="00F04877">
            <w:pPr>
              <w:pStyle w:val="-3"/>
              <w:rPr>
                <w:b/>
                <w:bCs/>
                <w:sz w:val="17"/>
                <w:szCs w:val="17"/>
                <w:rtl/>
              </w:rPr>
            </w:pPr>
            <w:r w:rsidRPr="00FC6A6C">
              <w:rPr>
                <w:b/>
                <w:bCs/>
                <w:sz w:val="17"/>
                <w:szCs w:val="17"/>
                <w:rtl/>
              </w:rPr>
              <w:t xml:space="preserve"> 0</w:t>
            </w:r>
          </w:p>
        </w:tc>
        <w:tc>
          <w:tcPr>
            <w:tcW w:w="704" w:type="dxa"/>
            <w:vAlign w:val="bottom"/>
          </w:tcPr>
          <w:p w14:paraId="39DE02E8" w14:textId="77777777" w:rsidR="004F59A7" w:rsidRPr="00FC6A6C" w:rsidRDefault="004F59A7" w:rsidP="00F04877">
            <w:pPr>
              <w:pStyle w:val="-3"/>
              <w:rPr>
                <w:b/>
                <w:bCs/>
                <w:sz w:val="17"/>
                <w:szCs w:val="17"/>
                <w:rtl/>
              </w:rPr>
            </w:pPr>
            <w:r w:rsidRPr="00FC6A6C">
              <w:rPr>
                <w:b/>
                <w:bCs/>
                <w:sz w:val="17"/>
                <w:szCs w:val="17"/>
                <w:rtl/>
              </w:rPr>
              <w:t>(0)</w:t>
            </w:r>
          </w:p>
        </w:tc>
        <w:tc>
          <w:tcPr>
            <w:tcW w:w="747" w:type="dxa"/>
            <w:vAlign w:val="bottom"/>
          </w:tcPr>
          <w:p w14:paraId="15224970" w14:textId="77777777" w:rsidR="004F59A7" w:rsidRPr="00FC6A6C" w:rsidRDefault="004F59A7" w:rsidP="00F04877">
            <w:pPr>
              <w:pStyle w:val="-3"/>
              <w:rPr>
                <w:b/>
                <w:bCs/>
                <w:sz w:val="17"/>
                <w:szCs w:val="17"/>
                <w:rtl/>
              </w:rPr>
            </w:pPr>
            <w:r w:rsidRPr="00FC6A6C">
              <w:rPr>
                <w:b/>
                <w:bCs/>
                <w:sz w:val="17"/>
                <w:szCs w:val="17"/>
                <w:rtl/>
              </w:rPr>
              <w:t>(0)</w:t>
            </w:r>
          </w:p>
        </w:tc>
        <w:tc>
          <w:tcPr>
            <w:tcW w:w="673" w:type="dxa"/>
            <w:vAlign w:val="bottom"/>
          </w:tcPr>
          <w:p w14:paraId="5F680848" w14:textId="77777777" w:rsidR="004F59A7" w:rsidRPr="00FC6A6C" w:rsidRDefault="004F59A7" w:rsidP="00F04877">
            <w:pPr>
              <w:pStyle w:val="-3"/>
              <w:rPr>
                <w:b/>
                <w:bCs/>
                <w:sz w:val="17"/>
                <w:szCs w:val="17"/>
                <w:rtl/>
              </w:rPr>
            </w:pPr>
            <w:r w:rsidRPr="00FC6A6C">
              <w:rPr>
                <w:b/>
                <w:bCs/>
                <w:sz w:val="17"/>
                <w:szCs w:val="17"/>
                <w:rtl/>
              </w:rPr>
              <w:t xml:space="preserve"> 0</w:t>
            </w:r>
          </w:p>
        </w:tc>
        <w:tc>
          <w:tcPr>
            <w:tcW w:w="752" w:type="dxa"/>
            <w:vAlign w:val="bottom"/>
          </w:tcPr>
          <w:p w14:paraId="35128DA5" w14:textId="77777777" w:rsidR="004F59A7" w:rsidRPr="00FC6A6C" w:rsidRDefault="004F59A7" w:rsidP="00F04877">
            <w:pPr>
              <w:pStyle w:val="-3"/>
              <w:rPr>
                <w:b/>
                <w:bCs/>
                <w:sz w:val="17"/>
                <w:szCs w:val="17"/>
                <w:rtl/>
              </w:rPr>
            </w:pPr>
            <w:r w:rsidRPr="00FC6A6C">
              <w:rPr>
                <w:b/>
                <w:bCs/>
                <w:sz w:val="17"/>
                <w:szCs w:val="17"/>
                <w:rtl/>
              </w:rPr>
              <w:t>(0)</w:t>
            </w:r>
          </w:p>
        </w:tc>
        <w:tc>
          <w:tcPr>
            <w:tcW w:w="997" w:type="dxa"/>
          </w:tcPr>
          <w:p w14:paraId="23D0C477" w14:textId="77777777" w:rsidR="004F59A7" w:rsidRPr="00FC6A6C" w:rsidRDefault="004F59A7" w:rsidP="00F04877">
            <w:pPr>
              <w:pStyle w:val="-3"/>
              <w:rPr>
                <w:b/>
                <w:bCs/>
                <w:sz w:val="17"/>
                <w:szCs w:val="17"/>
                <w:rtl/>
              </w:rPr>
            </w:pPr>
            <w:r w:rsidRPr="00FC6A6C">
              <w:rPr>
                <w:b/>
                <w:bCs/>
                <w:sz w:val="17"/>
                <w:szCs w:val="17"/>
                <w:rtl/>
              </w:rPr>
              <w:t xml:space="preserve"> 0</w:t>
            </w:r>
          </w:p>
        </w:tc>
        <w:tc>
          <w:tcPr>
            <w:tcW w:w="988" w:type="dxa"/>
            <w:vAlign w:val="bottom"/>
          </w:tcPr>
          <w:p w14:paraId="1B0DD4B0" w14:textId="77777777" w:rsidR="004F59A7" w:rsidRPr="00FC6A6C" w:rsidRDefault="004F59A7" w:rsidP="00F04877">
            <w:pPr>
              <w:pStyle w:val="-3"/>
              <w:rPr>
                <w:b/>
                <w:bCs/>
                <w:sz w:val="17"/>
                <w:szCs w:val="17"/>
                <w:rtl/>
              </w:rPr>
            </w:pPr>
            <w:r w:rsidRPr="00FC6A6C">
              <w:rPr>
                <w:b/>
                <w:bCs/>
                <w:sz w:val="17"/>
                <w:szCs w:val="17"/>
                <w:rtl/>
              </w:rPr>
              <w:t xml:space="preserve"> 0</w:t>
            </w:r>
          </w:p>
        </w:tc>
        <w:tc>
          <w:tcPr>
            <w:tcW w:w="1702" w:type="dxa"/>
            <w:vAlign w:val="bottom"/>
          </w:tcPr>
          <w:p w14:paraId="7CA5140A" w14:textId="77777777" w:rsidR="004F59A7" w:rsidRPr="00FC6A6C" w:rsidRDefault="004F59A7" w:rsidP="00F04877">
            <w:pPr>
              <w:pStyle w:val="-3"/>
              <w:rPr>
                <w:b/>
                <w:bCs/>
                <w:sz w:val="17"/>
                <w:szCs w:val="17"/>
                <w:rtl/>
              </w:rPr>
            </w:pPr>
            <w:r w:rsidRPr="00FC6A6C">
              <w:rPr>
                <w:b/>
                <w:bCs/>
                <w:sz w:val="17"/>
                <w:szCs w:val="17"/>
                <w:rtl/>
              </w:rPr>
              <w:t xml:space="preserve">  0</w:t>
            </w:r>
          </w:p>
        </w:tc>
      </w:tr>
      <w:tr w:rsidR="004F59A7" w:rsidRPr="00543C25" w14:paraId="04127B7E" w14:textId="77777777" w:rsidTr="00F04877">
        <w:tc>
          <w:tcPr>
            <w:tcW w:w="1560" w:type="dxa"/>
            <w:shd w:val="clear" w:color="auto" w:fill="auto"/>
          </w:tcPr>
          <w:p w14:paraId="3D729419"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6FA8476A" w14:textId="77777777" w:rsidR="004F59A7" w:rsidRPr="00FC6A6C" w:rsidRDefault="004F59A7" w:rsidP="00F04877">
            <w:pPr>
              <w:pStyle w:val="-f"/>
              <w:spacing w:before="60"/>
              <w:ind w:left="555" w:hanging="232"/>
              <w:rPr>
                <w:b w:val="0"/>
                <w:bCs w:val="0"/>
                <w:sz w:val="17"/>
                <w:szCs w:val="17"/>
                <w:rtl/>
              </w:rPr>
            </w:pPr>
            <w:r w:rsidRPr="00FC6A6C">
              <w:rPr>
                <w:sz w:val="16"/>
                <w:szCs w:val="16"/>
                <w:rtl/>
              </w:rPr>
              <w:t xml:space="preserve">התחייבויות </w:t>
            </w:r>
          </w:p>
        </w:tc>
        <w:tc>
          <w:tcPr>
            <w:tcW w:w="850" w:type="dxa"/>
            <w:vAlign w:val="bottom"/>
          </w:tcPr>
          <w:p w14:paraId="25C8A086" w14:textId="77777777" w:rsidR="004F59A7" w:rsidRDefault="004F59A7" w:rsidP="00F04877">
            <w:pPr>
              <w:pStyle w:val="-3"/>
              <w:rPr>
                <w:sz w:val="17"/>
                <w:szCs w:val="17"/>
                <w:rtl/>
              </w:rPr>
            </w:pPr>
          </w:p>
        </w:tc>
        <w:tc>
          <w:tcPr>
            <w:tcW w:w="891" w:type="dxa"/>
            <w:tcBorders>
              <w:bottom w:val="nil"/>
            </w:tcBorders>
            <w:vAlign w:val="bottom"/>
          </w:tcPr>
          <w:p w14:paraId="1CC307A1" w14:textId="77777777" w:rsidR="004F59A7" w:rsidRDefault="004F59A7" w:rsidP="00F04877">
            <w:pPr>
              <w:pStyle w:val="-3"/>
              <w:rPr>
                <w:sz w:val="17"/>
                <w:szCs w:val="17"/>
                <w:rtl/>
              </w:rPr>
            </w:pPr>
          </w:p>
        </w:tc>
        <w:tc>
          <w:tcPr>
            <w:tcW w:w="939" w:type="dxa"/>
            <w:tcBorders>
              <w:bottom w:val="nil"/>
            </w:tcBorders>
            <w:vAlign w:val="bottom"/>
          </w:tcPr>
          <w:p w14:paraId="010861E4" w14:textId="77777777" w:rsidR="004F59A7" w:rsidRDefault="004F59A7" w:rsidP="00F04877">
            <w:pPr>
              <w:pStyle w:val="-3"/>
              <w:rPr>
                <w:sz w:val="17"/>
                <w:szCs w:val="17"/>
                <w:rtl/>
              </w:rPr>
            </w:pPr>
          </w:p>
        </w:tc>
        <w:tc>
          <w:tcPr>
            <w:tcW w:w="705" w:type="dxa"/>
            <w:tcBorders>
              <w:bottom w:val="nil"/>
            </w:tcBorders>
            <w:vAlign w:val="bottom"/>
          </w:tcPr>
          <w:p w14:paraId="39A0165C" w14:textId="77777777" w:rsidR="004F59A7" w:rsidRDefault="004F59A7" w:rsidP="00F04877">
            <w:pPr>
              <w:pStyle w:val="-3"/>
              <w:rPr>
                <w:sz w:val="17"/>
                <w:szCs w:val="17"/>
                <w:rtl/>
              </w:rPr>
            </w:pPr>
          </w:p>
        </w:tc>
        <w:tc>
          <w:tcPr>
            <w:tcW w:w="829" w:type="dxa"/>
            <w:tcBorders>
              <w:bottom w:val="nil"/>
            </w:tcBorders>
            <w:vAlign w:val="bottom"/>
          </w:tcPr>
          <w:p w14:paraId="4D86998B" w14:textId="77777777" w:rsidR="004F59A7" w:rsidRDefault="004F59A7" w:rsidP="00F04877">
            <w:pPr>
              <w:pStyle w:val="-3"/>
              <w:rPr>
                <w:sz w:val="17"/>
                <w:szCs w:val="17"/>
                <w:rtl/>
              </w:rPr>
            </w:pPr>
          </w:p>
        </w:tc>
        <w:tc>
          <w:tcPr>
            <w:tcW w:w="704" w:type="dxa"/>
            <w:tcBorders>
              <w:bottom w:val="nil"/>
            </w:tcBorders>
            <w:vAlign w:val="bottom"/>
          </w:tcPr>
          <w:p w14:paraId="3FBD51CC" w14:textId="77777777" w:rsidR="004F59A7" w:rsidRDefault="004F59A7" w:rsidP="00F04877">
            <w:pPr>
              <w:pStyle w:val="-3"/>
              <w:rPr>
                <w:sz w:val="17"/>
                <w:szCs w:val="17"/>
                <w:rtl/>
              </w:rPr>
            </w:pPr>
          </w:p>
        </w:tc>
        <w:tc>
          <w:tcPr>
            <w:tcW w:w="747" w:type="dxa"/>
            <w:tcBorders>
              <w:bottom w:val="nil"/>
            </w:tcBorders>
            <w:vAlign w:val="bottom"/>
          </w:tcPr>
          <w:p w14:paraId="5CF7D2F4" w14:textId="77777777" w:rsidR="004F59A7" w:rsidRDefault="004F59A7" w:rsidP="00F04877">
            <w:pPr>
              <w:pStyle w:val="-3"/>
              <w:rPr>
                <w:sz w:val="17"/>
                <w:szCs w:val="17"/>
                <w:rtl/>
              </w:rPr>
            </w:pPr>
          </w:p>
        </w:tc>
        <w:tc>
          <w:tcPr>
            <w:tcW w:w="673" w:type="dxa"/>
            <w:tcBorders>
              <w:bottom w:val="nil"/>
            </w:tcBorders>
            <w:vAlign w:val="bottom"/>
          </w:tcPr>
          <w:p w14:paraId="2A64BE4C" w14:textId="77777777" w:rsidR="004F59A7" w:rsidRDefault="004F59A7" w:rsidP="00F04877">
            <w:pPr>
              <w:pStyle w:val="-3"/>
              <w:rPr>
                <w:sz w:val="17"/>
                <w:szCs w:val="17"/>
                <w:rtl/>
              </w:rPr>
            </w:pPr>
          </w:p>
        </w:tc>
        <w:tc>
          <w:tcPr>
            <w:tcW w:w="752" w:type="dxa"/>
            <w:tcBorders>
              <w:bottom w:val="nil"/>
            </w:tcBorders>
            <w:vAlign w:val="bottom"/>
          </w:tcPr>
          <w:p w14:paraId="75E53369" w14:textId="77777777" w:rsidR="004F59A7" w:rsidRDefault="004F59A7" w:rsidP="00F04877">
            <w:pPr>
              <w:pStyle w:val="-3"/>
              <w:rPr>
                <w:sz w:val="17"/>
                <w:szCs w:val="17"/>
                <w:rtl/>
              </w:rPr>
            </w:pPr>
          </w:p>
        </w:tc>
        <w:tc>
          <w:tcPr>
            <w:tcW w:w="997" w:type="dxa"/>
            <w:tcBorders>
              <w:bottom w:val="nil"/>
            </w:tcBorders>
            <w:vAlign w:val="bottom"/>
          </w:tcPr>
          <w:p w14:paraId="74F2401F" w14:textId="77777777" w:rsidR="004F59A7" w:rsidRDefault="004F59A7" w:rsidP="00F04877">
            <w:pPr>
              <w:pStyle w:val="-3"/>
              <w:rPr>
                <w:sz w:val="17"/>
                <w:szCs w:val="17"/>
                <w:rtl/>
              </w:rPr>
            </w:pPr>
          </w:p>
        </w:tc>
        <w:tc>
          <w:tcPr>
            <w:tcW w:w="988" w:type="dxa"/>
            <w:tcBorders>
              <w:bottom w:val="nil"/>
            </w:tcBorders>
            <w:vAlign w:val="bottom"/>
          </w:tcPr>
          <w:p w14:paraId="0C92E491" w14:textId="77777777" w:rsidR="004F59A7" w:rsidRDefault="004F59A7" w:rsidP="00F04877">
            <w:pPr>
              <w:pStyle w:val="-3"/>
              <w:rPr>
                <w:sz w:val="17"/>
                <w:szCs w:val="17"/>
                <w:rtl/>
              </w:rPr>
            </w:pPr>
          </w:p>
        </w:tc>
        <w:tc>
          <w:tcPr>
            <w:tcW w:w="1702" w:type="dxa"/>
            <w:tcBorders>
              <w:bottom w:val="nil"/>
            </w:tcBorders>
            <w:vAlign w:val="bottom"/>
          </w:tcPr>
          <w:p w14:paraId="7A575987" w14:textId="77777777" w:rsidR="004F59A7" w:rsidRDefault="004F59A7" w:rsidP="00F04877">
            <w:pPr>
              <w:pStyle w:val="-3"/>
              <w:rPr>
                <w:sz w:val="17"/>
                <w:szCs w:val="17"/>
                <w:rtl/>
              </w:rPr>
            </w:pPr>
          </w:p>
        </w:tc>
      </w:tr>
      <w:tr w:rsidR="004F59A7" w:rsidRPr="00543C25" w14:paraId="06516F7F" w14:textId="77777777" w:rsidTr="00F04877">
        <w:tc>
          <w:tcPr>
            <w:tcW w:w="1560" w:type="dxa"/>
            <w:shd w:val="clear" w:color="auto" w:fill="auto"/>
          </w:tcPr>
          <w:p w14:paraId="54185688" w14:textId="77777777" w:rsidR="004F59A7" w:rsidRPr="003425A3" w:rsidRDefault="004F59A7" w:rsidP="00F04877">
            <w:pPr>
              <w:pStyle w:val="-0"/>
              <w:spacing w:line="240" w:lineRule="auto"/>
              <w:ind w:left="720"/>
              <w:rPr>
                <w:sz w:val="16"/>
                <w:szCs w:val="16"/>
                <w:rtl/>
              </w:rPr>
            </w:pPr>
          </w:p>
        </w:tc>
        <w:tc>
          <w:tcPr>
            <w:tcW w:w="3122" w:type="dxa"/>
            <w:tcBorders>
              <w:top w:val="nil"/>
              <w:left w:val="nil"/>
              <w:bottom w:val="nil"/>
              <w:right w:val="nil"/>
            </w:tcBorders>
            <w:shd w:val="clear" w:color="auto" w:fill="auto"/>
            <w:vAlign w:val="bottom"/>
          </w:tcPr>
          <w:p w14:paraId="44BC7D5E" w14:textId="1F4353B1" w:rsidR="004F59A7" w:rsidRPr="00FC6A6C" w:rsidRDefault="004F59A7" w:rsidP="00F04877">
            <w:pPr>
              <w:pStyle w:val="-0"/>
              <w:spacing w:line="240" w:lineRule="auto"/>
              <w:ind w:left="467" w:hanging="114"/>
              <w:rPr>
                <w:sz w:val="17"/>
                <w:szCs w:val="17"/>
                <w:rtl/>
              </w:rPr>
            </w:pPr>
            <w:r w:rsidRPr="00FC6A6C">
              <w:rPr>
                <w:rFonts w:hint="cs"/>
                <w:sz w:val="16"/>
                <w:szCs w:val="16"/>
                <w:rtl/>
              </w:rPr>
              <w:t xml:space="preserve">התחייבויות בגין מכשירים נגזרים </w:t>
            </w:r>
          </w:p>
        </w:tc>
        <w:tc>
          <w:tcPr>
            <w:tcW w:w="850" w:type="dxa"/>
            <w:vAlign w:val="bottom"/>
          </w:tcPr>
          <w:p w14:paraId="0E225073" w14:textId="77777777" w:rsidR="004F59A7" w:rsidRDefault="004F59A7" w:rsidP="00F04877">
            <w:pPr>
              <w:pStyle w:val="-3"/>
              <w:spacing w:line="240" w:lineRule="auto"/>
              <w:rPr>
                <w:sz w:val="17"/>
                <w:szCs w:val="17"/>
                <w:rtl/>
              </w:rPr>
            </w:pPr>
            <w:r w:rsidRPr="00532A1C">
              <w:rPr>
                <w:sz w:val="17"/>
                <w:szCs w:val="17"/>
                <w:rtl/>
              </w:rPr>
              <w:t xml:space="preserve"> 0</w:t>
            </w:r>
          </w:p>
        </w:tc>
        <w:tc>
          <w:tcPr>
            <w:tcW w:w="891" w:type="dxa"/>
            <w:tcBorders>
              <w:bottom w:val="nil"/>
            </w:tcBorders>
            <w:vAlign w:val="bottom"/>
          </w:tcPr>
          <w:p w14:paraId="55750253" w14:textId="77777777" w:rsidR="004F59A7" w:rsidRDefault="004F59A7" w:rsidP="00F04877">
            <w:pPr>
              <w:pStyle w:val="-3"/>
              <w:rPr>
                <w:sz w:val="17"/>
                <w:szCs w:val="17"/>
                <w:rtl/>
              </w:rPr>
            </w:pPr>
            <w:r w:rsidRPr="00532A1C">
              <w:rPr>
                <w:sz w:val="17"/>
                <w:szCs w:val="17"/>
                <w:rtl/>
              </w:rPr>
              <w:t xml:space="preserve"> 0 </w:t>
            </w:r>
          </w:p>
        </w:tc>
        <w:tc>
          <w:tcPr>
            <w:tcW w:w="939" w:type="dxa"/>
            <w:tcBorders>
              <w:bottom w:val="nil"/>
            </w:tcBorders>
            <w:vAlign w:val="bottom"/>
          </w:tcPr>
          <w:p w14:paraId="04E70CFD" w14:textId="77777777" w:rsidR="004F59A7" w:rsidRDefault="004F59A7" w:rsidP="00F04877">
            <w:pPr>
              <w:pStyle w:val="-3"/>
              <w:spacing w:line="240" w:lineRule="auto"/>
              <w:rPr>
                <w:sz w:val="17"/>
                <w:szCs w:val="17"/>
                <w:rtl/>
              </w:rPr>
            </w:pPr>
            <w:r w:rsidRPr="00532A1C">
              <w:rPr>
                <w:sz w:val="17"/>
                <w:szCs w:val="17"/>
                <w:rtl/>
              </w:rPr>
              <w:t xml:space="preserve"> </w:t>
            </w:r>
            <w:r>
              <w:rPr>
                <w:rFonts w:hint="cs"/>
                <w:sz w:val="17"/>
                <w:szCs w:val="17"/>
                <w:rtl/>
              </w:rPr>
              <w:t>-</w:t>
            </w:r>
          </w:p>
        </w:tc>
        <w:tc>
          <w:tcPr>
            <w:tcW w:w="705" w:type="dxa"/>
            <w:tcBorders>
              <w:bottom w:val="nil"/>
            </w:tcBorders>
            <w:vAlign w:val="bottom"/>
          </w:tcPr>
          <w:p w14:paraId="2EE9E96D" w14:textId="77777777" w:rsidR="004F59A7" w:rsidRDefault="004F59A7" w:rsidP="00F04877">
            <w:pPr>
              <w:pStyle w:val="-3"/>
              <w:spacing w:line="240" w:lineRule="auto"/>
              <w:rPr>
                <w:sz w:val="17"/>
                <w:szCs w:val="17"/>
                <w:rtl/>
              </w:rPr>
            </w:pPr>
            <w:r w:rsidRPr="00532A1C">
              <w:rPr>
                <w:sz w:val="17"/>
                <w:szCs w:val="17"/>
                <w:rtl/>
              </w:rPr>
              <w:t xml:space="preserve"> 0</w:t>
            </w:r>
          </w:p>
        </w:tc>
        <w:tc>
          <w:tcPr>
            <w:tcW w:w="829" w:type="dxa"/>
            <w:tcBorders>
              <w:bottom w:val="nil"/>
            </w:tcBorders>
            <w:vAlign w:val="bottom"/>
          </w:tcPr>
          <w:p w14:paraId="5EACD82E" w14:textId="77777777" w:rsidR="004F59A7" w:rsidRDefault="004F59A7" w:rsidP="00F04877">
            <w:pPr>
              <w:pStyle w:val="-3"/>
              <w:spacing w:line="240" w:lineRule="auto"/>
              <w:rPr>
                <w:sz w:val="17"/>
                <w:szCs w:val="17"/>
                <w:rtl/>
              </w:rPr>
            </w:pPr>
            <w:r>
              <w:rPr>
                <w:rFonts w:hint="cs"/>
                <w:sz w:val="17"/>
                <w:szCs w:val="17"/>
                <w:rtl/>
              </w:rPr>
              <w:t xml:space="preserve"> 0</w:t>
            </w:r>
          </w:p>
        </w:tc>
        <w:tc>
          <w:tcPr>
            <w:tcW w:w="704" w:type="dxa"/>
            <w:tcBorders>
              <w:bottom w:val="nil"/>
            </w:tcBorders>
            <w:vAlign w:val="bottom"/>
          </w:tcPr>
          <w:p w14:paraId="27EE57E5" w14:textId="77777777" w:rsidR="004F59A7" w:rsidRDefault="004F59A7" w:rsidP="00F04877">
            <w:pPr>
              <w:pStyle w:val="-3"/>
              <w:spacing w:line="240" w:lineRule="auto"/>
              <w:rPr>
                <w:sz w:val="17"/>
                <w:szCs w:val="17"/>
                <w:rtl/>
              </w:rPr>
            </w:pPr>
            <w:r w:rsidRPr="00532A1C">
              <w:rPr>
                <w:sz w:val="17"/>
                <w:szCs w:val="17"/>
                <w:rtl/>
              </w:rPr>
              <w:t>(0)</w:t>
            </w:r>
          </w:p>
        </w:tc>
        <w:tc>
          <w:tcPr>
            <w:tcW w:w="747" w:type="dxa"/>
            <w:tcBorders>
              <w:bottom w:val="nil"/>
            </w:tcBorders>
            <w:vAlign w:val="bottom"/>
          </w:tcPr>
          <w:p w14:paraId="7DAEB757" w14:textId="77777777" w:rsidR="004F59A7" w:rsidRDefault="004F59A7" w:rsidP="00F04877">
            <w:pPr>
              <w:pStyle w:val="-3"/>
              <w:spacing w:line="240" w:lineRule="auto"/>
              <w:rPr>
                <w:sz w:val="17"/>
                <w:szCs w:val="17"/>
                <w:rtl/>
              </w:rPr>
            </w:pPr>
            <w:r w:rsidRPr="00532A1C">
              <w:rPr>
                <w:sz w:val="17"/>
                <w:szCs w:val="17"/>
                <w:rtl/>
              </w:rPr>
              <w:t>(0)</w:t>
            </w:r>
          </w:p>
        </w:tc>
        <w:tc>
          <w:tcPr>
            <w:tcW w:w="673" w:type="dxa"/>
            <w:tcBorders>
              <w:bottom w:val="nil"/>
            </w:tcBorders>
            <w:vAlign w:val="bottom"/>
          </w:tcPr>
          <w:p w14:paraId="32BC8BED" w14:textId="77777777" w:rsidR="004F59A7" w:rsidRDefault="004F59A7" w:rsidP="00F04877">
            <w:pPr>
              <w:pStyle w:val="-3"/>
              <w:spacing w:line="240" w:lineRule="auto"/>
              <w:rPr>
                <w:sz w:val="17"/>
                <w:szCs w:val="17"/>
                <w:rtl/>
              </w:rPr>
            </w:pPr>
            <w:r w:rsidRPr="00532A1C">
              <w:rPr>
                <w:sz w:val="17"/>
                <w:szCs w:val="17"/>
                <w:rtl/>
              </w:rPr>
              <w:t xml:space="preserve"> 0</w:t>
            </w:r>
          </w:p>
        </w:tc>
        <w:tc>
          <w:tcPr>
            <w:tcW w:w="752" w:type="dxa"/>
            <w:tcBorders>
              <w:bottom w:val="nil"/>
            </w:tcBorders>
            <w:vAlign w:val="bottom"/>
          </w:tcPr>
          <w:p w14:paraId="0650DEBD" w14:textId="77777777" w:rsidR="004F59A7" w:rsidRDefault="004F59A7" w:rsidP="00F04877">
            <w:pPr>
              <w:pStyle w:val="-3"/>
              <w:spacing w:line="240" w:lineRule="auto"/>
              <w:rPr>
                <w:sz w:val="17"/>
                <w:szCs w:val="17"/>
                <w:rtl/>
              </w:rPr>
            </w:pPr>
            <w:r w:rsidRPr="00532A1C">
              <w:rPr>
                <w:sz w:val="17"/>
                <w:szCs w:val="17"/>
                <w:rtl/>
              </w:rPr>
              <w:t>(0)</w:t>
            </w:r>
          </w:p>
        </w:tc>
        <w:tc>
          <w:tcPr>
            <w:tcW w:w="997" w:type="dxa"/>
            <w:tcBorders>
              <w:bottom w:val="nil"/>
            </w:tcBorders>
            <w:vAlign w:val="bottom"/>
          </w:tcPr>
          <w:p w14:paraId="677DB1C1" w14:textId="77777777" w:rsidR="004F59A7" w:rsidRDefault="004F59A7" w:rsidP="00F04877">
            <w:pPr>
              <w:pStyle w:val="-3"/>
              <w:spacing w:line="240" w:lineRule="auto"/>
              <w:rPr>
                <w:sz w:val="17"/>
                <w:szCs w:val="17"/>
                <w:rtl/>
              </w:rPr>
            </w:pPr>
            <w:r w:rsidRPr="00532A1C">
              <w:rPr>
                <w:sz w:val="17"/>
                <w:szCs w:val="17"/>
                <w:rtl/>
              </w:rPr>
              <w:t xml:space="preserve"> 0</w:t>
            </w:r>
          </w:p>
        </w:tc>
        <w:tc>
          <w:tcPr>
            <w:tcW w:w="988" w:type="dxa"/>
            <w:tcBorders>
              <w:bottom w:val="nil"/>
            </w:tcBorders>
            <w:vAlign w:val="bottom"/>
          </w:tcPr>
          <w:p w14:paraId="5C1922B0" w14:textId="77777777" w:rsidR="004F59A7" w:rsidRDefault="004F59A7" w:rsidP="00F04877">
            <w:pPr>
              <w:pStyle w:val="-3"/>
              <w:spacing w:line="240" w:lineRule="auto"/>
              <w:rPr>
                <w:sz w:val="17"/>
                <w:szCs w:val="17"/>
                <w:rtl/>
              </w:rPr>
            </w:pPr>
            <w:r w:rsidRPr="00532A1C">
              <w:rPr>
                <w:sz w:val="17"/>
                <w:szCs w:val="17"/>
                <w:rtl/>
              </w:rPr>
              <w:t xml:space="preserve"> 0</w:t>
            </w:r>
          </w:p>
        </w:tc>
        <w:tc>
          <w:tcPr>
            <w:tcW w:w="1702" w:type="dxa"/>
            <w:tcBorders>
              <w:bottom w:val="nil"/>
            </w:tcBorders>
            <w:vAlign w:val="bottom"/>
          </w:tcPr>
          <w:p w14:paraId="4B549127" w14:textId="77777777" w:rsidR="004F59A7" w:rsidRPr="0010257C" w:rsidRDefault="004F59A7" w:rsidP="00F04877">
            <w:pPr>
              <w:pStyle w:val="-3"/>
              <w:tabs>
                <w:tab w:val="left" w:pos="195"/>
              </w:tabs>
              <w:spacing w:line="240" w:lineRule="auto"/>
              <w:rPr>
                <w:rtl/>
              </w:rPr>
            </w:pPr>
            <w:r w:rsidRPr="00532A1C">
              <w:rPr>
                <w:sz w:val="17"/>
                <w:szCs w:val="17"/>
                <w:rtl/>
              </w:rPr>
              <w:t xml:space="preserve">  0</w:t>
            </w:r>
          </w:p>
        </w:tc>
      </w:tr>
      <w:tr w:rsidR="004F59A7" w:rsidRPr="00543C25" w14:paraId="0FD5B133" w14:textId="77777777" w:rsidTr="00F04877">
        <w:tc>
          <w:tcPr>
            <w:tcW w:w="1560" w:type="dxa"/>
            <w:tcBorders>
              <w:bottom w:val="nil"/>
            </w:tcBorders>
            <w:shd w:val="clear" w:color="auto" w:fill="auto"/>
          </w:tcPr>
          <w:p w14:paraId="7D2F04F1" w14:textId="77777777" w:rsidR="004F59A7" w:rsidRPr="003425A3" w:rsidRDefault="004F59A7" w:rsidP="00F04877">
            <w:pPr>
              <w:pStyle w:val="-0"/>
              <w:spacing w:line="240" w:lineRule="auto"/>
              <w:ind w:left="432"/>
              <w:rPr>
                <w:sz w:val="16"/>
                <w:szCs w:val="16"/>
                <w:rtl/>
              </w:rPr>
            </w:pPr>
          </w:p>
        </w:tc>
        <w:tc>
          <w:tcPr>
            <w:tcW w:w="3122" w:type="dxa"/>
            <w:tcBorders>
              <w:top w:val="nil"/>
              <w:left w:val="nil"/>
              <w:bottom w:val="nil"/>
              <w:right w:val="nil"/>
            </w:tcBorders>
            <w:shd w:val="clear" w:color="auto" w:fill="auto"/>
            <w:vAlign w:val="bottom"/>
          </w:tcPr>
          <w:p w14:paraId="0FDD9F65" w14:textId="77777777" w:rsidR="004F59A7" w:rsidRPr="00FC6A6C" w:rsidRDefault="004F59A7" w:rsidP="00F04877">
            <w:pPr>
              <w:pStyle w:val="-0"/>
              <w:spacing w:line="240" w:lineRule="auto"/>
              <w:ind w:left="467" w:hanging="114"/>
              <w:rPr>
                <w:sz w:val="17"/>
                <w:szCs w:val="17"/>
                <w:rtl/>
              </w:rPr>
            </w:pPr>
            <w:r w:rsidRPr="00FC6A6C">
              <w:rPr>
                <w:rFonts w:hint="eastAsia"/>
                <w:sz w:val="16"/>
                <w:szCs w:val="16"/>
                <w:rtl/>
              </w:rPr>
              <w:t>אחר</w:t>
            </w:r>
            <w:r w:rsidRPr="00FC6A6C">
              <w:rPr>
                <w:rFonts w:hint="cs"/>
                <w:sz w:val="16"/>
                <w:szCs w:val="16"/>
                <w:rtl/>
              </w:rPr>
              <w:t xml:space="preserve"> [פרט אם מהותי]</w:t>
            </w:r>
          </w:p>
        </w:tc>
        <w:tc>
          <w:tcPr>
            <w:tcW w:w="850" w:type="dxa"/>
            <w:tcBorders>
              <w:bottom w:val="nil"/>
            </w:tcBorders>
            <w:vAlign w:val="bottom"/>
          </w:tcPr>
          <w:p w14:paraId="44389353"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891" w:type="dxa"/>
            <w:tcBorders>
              <w:top w:val="nil"/>
              <w:bottom w:val="nil"/>
            </w:tcBorders>
            <w:vAlign w:val="bottom"/>
          </w:tcPr>
          <w:p w14:paraId="4978A261" w14:textId="77777777" w:rsidR="004F59A7" w:rsidRDefault="004F59A7" w:rsidP="00F04877">
            <w:pPr>
              <w:pStyle w:val="-3"/>
              <w:pBdr>
                <w:bottom w:val="single" w:sz="4" w:space="1" w:color="auto"/>
              </w:pBdr>
              <w:rPr>
                <w:sz w:val="17"/>
                <w:szCs w:val="17"/>
                <w:rtl/>
              </w:rPr>
            </w:pPr>
            <w:r w:rsidRPr="00532A1C">
              <w:rPr>
                <w:sz w:val="17"/>
                <w:szCs w:val="17"/>
                <w:rtl/>
              </w:rPr>
              <w:t xml:space="preserve"> 0</w:t>
            </w:r>
            <w:r w:rsidRPr="00532A1C">
              <w:rPr>
                <w:sz w:val="17"/>
                <w:szCs w:val="17"/>
                <w:vertAlign w:val="superscript"/>
                <w:rtl/>
              </w:rPr>
              <w:t xml:space="preserve">(ג) </w:t>
            </w:r>
          </w:p>
        </w:tc>
        <w:tc>
          <w:tcPr>
            <w:tcW w:w="939" w:type="dxa"/>
            <w:tcBorders>
              <w:top w:val="nil"/>
              <w:bottom w:val="nil"/>
            </w:tcBorders>
            <w:vAlign w:val="bottom"/>
          </w:tcPr>
          <w:p w14:paraId="33FA4B2A" w14:textId="77777777" w:rsidR="004F59A7" w:rsidRDefault="004F59A7" w:rsidP="00F04877">
            <w:pPr>
              <w:pStyle w:val="-3"/>
              <w:pBdr>
                <w:bottom w:val="single" w:sz="4" w:space="1" w:color="auto"/>
              </w:pBdr>
              <w:spacing w:line="240" w:lineRule="auto"/>
              <w:rPr>
                <w:sz w:val="17"/>
                <w:szCs w:val="17"/>
                <w:rtl/>
              </w:rPr>
            </w:pPr>
            <w:r>
              <w:rPr>
                <w:rFonts w:hint="cs"/>
                <w:sz w:val="17"/>
                <w:szCs w:val="17"/>
                <w:rtl/>
              </w:rPr>
              <w:t xml:space="preserve"> -</w:t>
            </w:r>
          </w:p>
        </w:tc>
        <w:tc>
          <w:tcPr>
            <w:tcW w:w="705" w:type="dxa"/>
            <w:tcBorders>
              <w:top w:val="nil"/>
              <w:bottom w:val="nil"/>
            </w:tcBorders>
            <w:vAlign w:val="bottom"/>
          </w:tcPr>
          <w:p w14:paraId="242261A0"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829" w:type="dxa"/>
            <w:tcBorders>
              <w:top w:val="nil"/>
              <w:bottom w:val="nil"/>
            </w:tcBorders>
            <w:vAlign w:val="bottom"/>
          </w:tcPr>
          <w:p w14:paraId="56080905"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704" w:type="dxa"/>
            <w:tcBorders>
              <w:top w:val="nil"/>
              <w:bottom w:val="nil"/>
            </w:tcBorders>
            <w:vAlign w:val="bottom"/>
          </w:tcPr>
          <w:p w14:paraId="0D4EF31D"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(0)</w:t>
            </w:r>
          </w:p>
        </w:tc>
        <w:tc>
          <w:tcPr>
            <w:tcW w:w="747" w:type="dxa"/>
            <w:tcBorders>
              <w:top w:val="nil"/>
              <w:bottom w:val="nil"/>
            </w:tcBorders>
            <w:vAlign w:val="bottom"/>
          </w:tcPr>
          <w:p w14:paraId="28D16166"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(0)</w:t>
            </w:r>
          </w:p>
        </w:tc>
        <w:tc>
          <w:tcPr>
            <w:tcW w:w="673" w:type="dxa"/>
            <w:tcBorders>
              <w:top w:val="nil"/>
              <w:bottom w:val="nil"/>
            </w:tcBorders>
            <w:vAlign w:val="bottom"/>
          </w:tcPr>
          <w:p w14:paraId="039252EF"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752" w:type="dxa"/>
            <w:tcBorders>
              <w:top w:val="nil"/>
              <w:bottom w:val="nil"/>
            </w:tcBorders>
            <w:vAlign w:val="bottom"/>
          </w:tcPr>
          <w:p w14:paraId="1F845C3D"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(0)</w:t>
            </w:r>
          </w:p>
        </w:tc>
        <w:tc>
          <w:tcPr>
            <w:tcW w:w="997" w:type="dxa"/>
            <w:tcBorders>
              <w:top w:val="nil"/>
              <w:bottom w:val="nil"/>
            </w:tcBorders>
            <w:vAlign w:val="bottom"/>
          </w:tcPr>
          <w:p w14:paraId="33D35997"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988" w:type="dxa"/>
            <w:tcBorders>
              <w:top w:val="nil"/>
              <w:bottom w:val="nil"/>
            </w:tcBorders>
            <w:vAlign w:val="bottom"/>
          </w:tcPr>
          <w:p w14:paraId="4E20CFFE"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1702" w:type="dxa"/>
            <w:tcBorders>
              <w:top w:val="nil"/>
              <w:bottom w:val="nil"/>
            </w:tcBorders>
            <w:vAlign w:val="bottom"/>
          </w:tcPr>
          <w:p w14:paraId="5BD830D1"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r w:rsidRPr="00532A1C">
              <w:rPr>
                <w:sz w:val="17"/>
                <w:szCs w:val="17"/>
                <w:vertAlign w:val="superscript"/>
                <w:rtl/>
              </w:rPr>
              <w:t>(ג)</w:t>
            </w:r>
          </w:p>
        </w:tc>
      </w:tr>
      <w:tr w:rsidR="004F59A7" w:rsidRPr="00543C25" w14:paraId="5276F6C5" w14:textId="77777777" w:rsidTr="00F04877">
        <w:tc>
          <w:tcPr>
            <w:tcW w:w="1560" w:type="dxa"/>
            <w:tcBorders>
              <w:bottom w:val="nil"/>
            </w:tcBorders>
            <w:shd w:val="clear" w:color="auto" w:fill="auto"/>
          </w:tcPr>
          <w:p w14:paraId="13FB9AE4" w14:textId="77777777" w:rsidR="004F59A7" w:rsidRDefault="004F59A7" w:rsidP="00F04877">
            <w:pPr>
              <w:pStyle w:val="-0"/>
              <w:ind w:left="560" w:hanging="114"/>
              <w:rPr>
                <w:sz w:val="16"/>
                <w:szCs w:val="16"/>
                <w:rtl/>
              </w:rPr>
            </w:pPr>
          </w:p>
        </w:tc>
        <w:tc>
          <w:tcPr>
            <w:tcW w:w="3122" w:type="dxa"/>
            <w:tcBorders>
              <w:top w:val="nil"/>
              <w:left w:val="nil"/>
              <w:bottom w:val="nil"/>
              <w:right w:val="nil"/>
            </w:tcBorders>
            <w:shd w:val="clear" w:color="auto" w:fill="auto"/>
            <w:vAlign w:val="bottom"/>
          </w:tcPr>
          <w:p w14:paraId="3671DA7F" w14:textId="77777777" w:rsidR="004F59A7" w:rsidRPr="00BF2D3B" w:rsidRDefault="004F59A7" w:rsidP="00F04877">
            <w:pPr>
              <w:pStyle w:val="-f"/>
              <w:ind w:left="560" w:hanging="235"/>
              <w:rPr>
                <w:b w:val="0"/>
                <w:bCs w:val="0"/>
                <w:sz w:val="17"/>
                <w:szCs w:val="17"/>
                <w:u w:val="none"/>
                <w:rtl/>
              </w:rPr>
            </w:pPr>
            <w:r w:rsidRPr="00BF2D3B">
              <w:rPr>
                <w:sz w:val="16"/>
                <w:szCs w:val="16"/>
                <w:u w:val="none"/>
                <w:rtl/>
              </w:rPr>
              <w:t xml:space="preserve">סך </w:t>
            </w:r>
            <w:r w:rsidRPr="00BF2D3B">
              <w:rPr>
                <w:rFonts w:hint="cs"/>
                <w:sz w:val="16"/>
                <w:szCs w:val="16"/>
                <w:u w:val="none"/>
                <w:rtl/>
              </w:rPr>
              <w:t>כל ההתחייבויות</w:t>
            </w:r>
          </w:p>
        </w:tc>
        <w:tc>
          <w:tcPr>
            <w:tcW w:w="850" w:type="dxa"/>
            <w:tcBorders>
              <w:bottom w:val="nil"/>
            </w:tcBorders>
            <w:vAlign w:val="bottom"/>
          </w:tcPr>
          <w:p w14:paraId="48D8006B" w14:textId="77777777" w:rsidR="004F59A7" w:rsidRPr="00FC6A6C" w:rsidRDefault="004F59A7" w:rsidP="00F04877">
            <w:pPr>
              <w:pStyle w:val="-3"/>
              <w:rPr>
                <w:b/>
                <w:bCs/>
                <w:sz w:val="17"/>
                <w:szCs w:val="17"/>
                <w:rtl/>
              </w:rPr>
            </w:pPr>
            <w:r w:rsidRPr="00FC6A6C">
              <w:rPr>
                <w:b/>
                <w:bCs/>
                <w:sz w:val="17"/>
                <w:szCs w:val="17"/>
                <w:rtl/>
              </w:rPr>
              <w:t xml:space="preserve"> 0</w:t>
            </w:r>
          </w:p>
        </w:tc>
        <w:tc>
          <w:tcPr>
            <w:tcW w:w="891" w:type="dxa"/>
            <w:tcBorders>
              <w:bottom w:val="nil"/>
            </w:tcBorders>
            <w:vAlign w:val="bottom"/>
          </w:tcPr>
          <w:p w14:paraId="2194F140" w14:textId="77777777" w:rsidR="004F59A7" w:rsidRPr="00FC6A6C" w:rsidRDefault="004F59A7" w:rsidP="00F04877">
            <w:pPr>
              <w:pStyle w:val="-3"/>
              <w:rPr>
                <w:b/>
                <w:bCs/>
                <w:sz w:val="17"/>
                <w:szCs w:val="17"/>
                <w:rtl/>
              </w:rPr>
            </w:pPr>
            <w:r w:rsidRPr="00FC6A6C">
              <w:rPr>
                <w:b/>
                <w:bCs/>
                <w:sz w:val="17"/>
                <w:szCs w:val="17"/>
                <w:rtl/>
              </w:rPr>
              <w:t xml:space="preserve"> 0</w:t>
            </w:r>
          </w:p>
        </w:tc>
        <w:tc>
          <w:tcPr>
            <w:tcW w:w="939" w:type="dxa"/>
            <w:tcBorders>
              <w:bottom w:val="nil"/>
            </w:tcBorders>
            <w:vAlign w:val="bottom"/>
          </w:tcPr>
          <w:p w14:paraId="69F7D8B3" w14:textId="77777777" w:rsidR="004F59A7" w:rsidRPr="00FC6A6C" w:rsidRDefault="004F59A7" w:rsidP="00F04877">
            <w:pPr>
              <w:pStyle w:val="-3"/>
              <w:rPr>
                <w:b/>
                <w:bCs/>
                <w:sz w:val="17"/>
                <w:szCs w:val="17"/>
                <w:rtl/>
              </w:rPr>
            </w:pPr>
            <w:r w:rsidRPr="00FC6A6C">
              <w:rPr>
                <w:b/>
                <w:bCs/>
                <w:sz w:val="17"/>
                <w:szCs w:val="17"/>
                <w:rtl/>
              </w:rPr>
              <w:t xml:space="preserve"> 0</w:t>
            </w:r>
          </w:p>
        </w:tc>
        <w:tc>
          <w:tcPr>
            <w:tcW w:w="705" w:type="dxa"/>
            <w:tcBorders>
              <w:bottom w:val="nil"/>
            </w:tcBorders>
            <w:vAlign w:val="bottom"/>
          </w:tcPr>
          <w:p w14:paraId="64412A8F" w14:textId="77777777" w:rsidR="004F59A7" w:rsidRPr="00FC6A6C" w:rsidRDefault="004F59A7" w:rsidP="00F04877">
            <w:pPr>
              <w:pStyle w:val="-3"/>
              <w:rPr>
                <w:b/>
                <w:bCs/>
                <w:sz w:val="17"/>
                <w:szCs w:val="17"/>
                <w:rtl/>
              </w:rPr>
            </w:pPr>
            <w:r w:rsidRPr="00FC6A6C">
              <w:rPr>
                <w:b/>
                <w:bCs/>
                <w:sz w:val="17"/>
                <w:szCs w:val="17"/>
                <w:rtl/>
              </w:rPr>
              <w:t xml:space="preserve"> 0</w:t>
            </w:r>
          </w:p>
        </w:tc>
        <w:tc>
          <w:tcPr>
            <w:tcW w:w="829" w:type="dxa"/>
            <w:tcBorders>
              <w:bottom w:val="nil"/>
            </w:tcBorders>
            <w:vAlign w:val="bottom"/>
          </w:tcPr>
          <w:p w14:paraId="330AA07E" w14:textId="77777777" w:rsidR="004F59A7" w:rsidRPr="00FC6A6C" w:rsidRDefault="004F59A7" w:rsidP="00F04877">
            <w:pPr>
              <w:pStyle w:val="-3"/>
              <w:rPr>
                <w:b/>
                <w:bCs/>
                <w:sz w:val="17"/>
                <w:szCs w:val="17"/>
                <w:rtl/>
              </w:rPr>
            </w:pPr>
            <w:r w:rsidRPr="00FC6A6C">
              <w:rPr>
                <w:b/>
                <w:bCs/>
                <w:sz w:val="17"/>
                <w:szCs w:val="17"/>
                <w:rtl/>
              </w:rPr>
              <w:t xml:space="preserve"> 0</w:t>
            </w:r>
          </w:p>
        </w:tc>
        <w:tc>
          <w:tcPr>
            <w:tcW w:w="704" w:type="dxa"/>
            <w:tcBorders>
              <w:bottom w:val="nil"/>
            </w:tcBorders>
            <w:vAlign w:val="bottom"/>
          </w:tcPr>
          <w:p w14:paraId="39BBD4DF" w14:textId="77777777" w:rsidR="004F59A7" w:rsidRPr="00FC6A6C" w:rsidRDefault="004F59A7" w:rsidP="00F04877">
            <w:pPr>
              <w:pStyle w:val="-3"/>
              <w:rPr>
                <w:b/>
                <w:bCs/>
                <w:sz w:val="17"/>
                <w:szCs w:val="17"/>
                <w:rtl/>
              </w:rPr>
            </w:pPr>
            <w:r w:rsidRPr="00FC6A6C">
              <w:rPr>
                <w:b/>
                <w:bCs/>
                <w:sz w:val="17"/>
                <w:szCs w:val="17"/>
                <w:rtl/>
              </w:rPr>
              <w:t>(0)</w:t>
            </w:r>
          </w:p>
        </w:tc>
        <w:tc>
          <w:tcPr>
            <w:tcW w:w="747" w:type="dxa"/>
            <w:tcBorders>
              <w:bottom w:val="nil"/>
            </w:tcBorders>
            <w:vAlign w:val="bottom"/>
          </w:tcPr>
          <w:p w14:paraId="75E23358" w14:textId="77777777" w:rsidR="004F59A7" w:rsidRPr="00FC6A6C" w:rsidRDefault="004F59A7" w:rsidP="00F04877">
            <w:pPr>
              <w:pStyle w:val="-3"/>
              <w:rPr>
                <w:b/>
                <w:bCs/>
                <w:sz w:val="17"/>
                <w:szCs w:val="17"/>
                <w:rtl/>
              </w:rPr>
            </w:pPr>
            <w:r w:rsidRPr="00FC6A6C">
              <w:rPr>
                <w:b/>
                <w:bCs/>
                <w:sz w:val="17"/>
                <w:szCs w:val="17"/>
                <w:rtl/>
              </w:rPr>
              <w:t>(0)</w:t>
            </w:r>
          </w:p>
        </w:tc>
        <w:tc>
          <w:tcPr>
            <w:tcW w:w="673" w:type="dxa"/>
            <w:tcBorders>
              <w:bottom w:val="nil"/>
            </w:tcBorders>
            <w:vAlign w:val="bottom"/>
          </w:tcPr>
          <w:p w14:paraId="01D8A9FD" w14:textId="77777777" w:rsidR="004F59A7" w:rsidRPr="00FC6A6C" w:rsidRDefault="004F59A7" w:rsidP="00F04877">
            <w:pPr>
              <w:pStyle w:val="-3"/>
              <w:rPr>
                <w:b/>
                <w:bCs/>
                <w:sz w:val="17"/>
                <w:szCs w:val="17"/>
                <w:rtl/>
              </w:rPr>
            </w:pPr>
            <w:r w:rsidRPr="00FC6A6C">
              <w:rPr>
                <w:b/>
                <w:bCs/>
                <w:sz w:val="17"/>
                <w:szCs w:val="17"/>
                <w:rtl/>
              </w:rPr>
              <w:t xml:space="preserve"> 0</w:t>
            </w:r>
          </w:p>
        </w:tc>
        <w:tc>
          <w:tcPr>
            <w:tcW w:w="752" w:type="dxa"/>
            <w:tcBorders>
              <w:bottom w:val="nil"/>
            </w:tcBorders>
            <w:vAlign w:val="bottom"/>
          </w:tcPr>
          <w:p w14:paraId="6FFDFB7D" w14:textId="77777777" w:rsidR="004F59A7" w:rsidRPr="00FC6A6C" w:rsidRDefault="004F59A7" w:rsidP="00F04877">
            <w:pPr>
              <w:pStyle w:val="-3"/>
              <w:rPr>
                <w:b/>
                <w:bCs/>
                <w:sz w:val="17"/>
                <w:szCs w:val="17"/>
                <w:rtl/>
              </w:rPr>
            </w:pPr>
            <w:r w:rsidRPr="00FC6A6C">
              <w:rPr>
                <w:b/>
                <w:bCs/>
                <w:sz w:val="17"/>
                <w:szCs w:val="17"/>
                <w:rtl/>
              </w:rPr>
              <w:t>(0)</w:t>
            </w:r>
          </w:p>
        </w:tc>
        <w:tc>
          <w:tcPr>
            <w:tcW w:w="997" w:type="dxa"/>
            <w:tcBorders>
              <w:bottom w:val="nil"/>
            </w:tcBorders>
          </w:tcPr>
          <w:p w14:paraId="7DA5ED89" w14:textId="77777777" w:rsidR="004F59A7" w:rsidRPr="00FC6A6C" w:rsidRDefault="004F59A7" w:rsidP="00F04877">
            <w:pPr>
              <w:pStyle w:val="-3"/>
              <w:rPr>
                <w:b/>
                <w:bCs/>
                <w:sz w:val="17"/>
                <w:szCs w:val="17"/>
                <w:rtl/>
              </w:rPr>
            </w:pPr>
            <w:r w:rsidRPr="00FC6A6C">
              <w:rPr>
                <w:b/>
                <w:bCs/>
                <w:sz w:val="17"/>
                <w:szCs w:val="17"/>
                <w:rtl/>
              </w:rPr>
              <w:t xml:space="preserve"> 0</w:t>
            </w:r>
          </w:p>
        </w:tc>
        <w:tc>
          <w:tcPr>
            <w:tcW w:w="988" w:type="dxa"/>
            <w:tcBorders>
              <w:bottom w:val="nil"/>
            </w:tcBorders>
            <w:vAlign w:val="bottom"/>
          </w:tcPr>
          <w:p w14:paraId="61968CBD" w14:textId="77777777" w:rsidR="004F59A7" w:rsidRPr="00FC6A6C" w:rsidRDefault="004F59A7" w:rsidP="00F04877">
            <w:pPr>
              <w:pStyle w:val="-3"/>
              <w:rPr>
                <w:b/>
                <w:bCs/>
                <w:sz w:val="17"/>
                <w:szCs w:val="17"/>
                <w:rtl/>
              </w:rPr>
            </w:pPr>
            <w:r w:rsidRPr="00FC6A6C">
              <w:rPr>
                <w:b/>
                <w:bCs/>
                <w:sz w:val="17"/>
                <w:szCs w:val="17"/>
                <w:rtl/>
              </w:rPr>
              <w:t xml:space="preserve"> 0</w:t>
            </w:r>
          </w:p>
        </w:tc>
        <w:tc>
          <w:tcPr>
            <w:tcW w:w="1702" w:type="dxa"/>
            <w:tcBorders>
              <w:bottom w:val="nil"/>
            </w:tcBorders>
            <w:vAlign w:val="bottom"/>
          </w:tcPr>
          <w:p w14:paraId="67A2251F" w14:textId="77777777" w:rsidR="004F59A7" w:rsidRPr="00FC6A6C" w:rsidRDefault="004F59A7" w:rsidP="00F04877">
            <w:pPr>
              <w:pStyle w:val="-3"/>
              <w:rPr>
                <w:b/>
                <w:bCs/>
                <w:sz w:val="17"/>
                <w:szCs w:val="17"/>
                <w:rtl/>
              </w:rPr>
            </w:pPr>
            <w:r w:rsidRPr="00FC6A6C">
              <w:rPr>
                <w:b/>
                <w:bCs/>
                <w:sz w:val="17"/>
                <w:szCs w:val="17"/>
                <w:rtl/>
              </w:rPr>
              <w:t xml:space="preserve">  0</w:t>
            </w:r>
          </w:p>
        </w:tc>
      </w:tr>
    </w:tbl>
    <w:p w14:paraId="10B90235" w14:textId="77777777" w:rsidR="00B0338B" w:rsidRDefault="00B0338B">
      <w:pPr>
        <w:rPr>
          <w:rtl/>
        </w:rPr>
      </w:pPr>
    </w:p>
    <w:p w14:paraId="3FAA5B6E" w14:textId="77777777" w:rsidR="0067643A" w:rsidRPr="00AD6281" w:rsidRDefault="0067643A" w:rsidP="0067643A">
      <w:pPr>
        <w:rPr>
          <w:sz w:val="2"/>
          <w:szCs w:val="2"/>
        </w:rPr>
      </w:pPr>
    </w:p>
    <w:p w14:paraId="16444136" w14:textId="77777777" w:rsidR="00F32A2A" w:rsidRDefault="00F32A2A">
      <w:pPr>
        <w:bidi w:val="0"/>
        <w:spacing w:line="60" w:lineRule="exact"/>
        <w:rPr>
          <w:rtl/>
        </w:rPr>
      </w:pPr>
    </w:p>
    <w:p w14:paraId="191E5180" w14:textId="6CB1B3F3" w:rsidR="00F32A2A" w:rsidRDefault="00F32A2A" w:rsidP="00B367BF">
      <w:pPr>
        <w:spacing w:line="100" w:lineRule="exact"/>
        <w:rPr>
          <w:rtl/>
        </w:rPr>
      </w:pPr>
    </w:p>
    <w:p w14:paraId="3CB2477B" w14:textId="77777777" w:rsidR="000D2F29" w:rsidRDefault="000D2F29">
      <w:pPr>
        <w:bidi w:val="0"/>
        <w:jc w:val="left"/>
        <w:sectPr w:rsidR="000D2F29" w:rsidSect="00587121">
          <w:headerReference w:type="even" r:id="rId62"/>
          <w:headerReference w:type="default" r:id="rId63"/>
          <w:footnotePr>
            <w:numRestart w:val="eachPage"/>
          </w:footnotePr>
          <w:pgSz w:w="16834" w:h="11909" w:orient="landscape" w:code="9"/>
          <w:pgMar w:top="851" w:right="851" w:bottom="851" w:left="851" w:header="720" w:footer="720" w:gutter="0"/>
          <w:cols w:space="720"/>
          <w:bidi/>
          <w:rtlGutter/>
          <w:docGrid w:linePitch="360"/>
        </w:sectPr>
      </w:pPr>
    </w:p>
    <w:tbl>
      <w:tblPr>
        <w:bidiVisual/>
        <w:tblW w:w="5058" w:type="pct"/>
        <w:tblLook w:val="04A0" w:firstRow="1" w:lastRow="0" w:firstColumn="1" w:lastColumn="0" w:noHBand="0" w:noVBand="1"/>
      </w:tblPr>
      <w:tblGrid>
        <w:gridCol w:w="1135"/>
        <w:gridCol w:w="14173"/>
      </w:tblGrid>
      <w:tr w:rsidR="00A43B26" w:rsidRPr="00543C25" w14:paraId="1961FED2" w14:textId="77777777" w:rsidTr="00575CE5">
        <w:trPr>
          <w:trHeight w:val="259"/>
        </w:trPr>
        <w:tc>
          <w:tcPr>
            <w:tcW w:w="1135" w:type="dxa"/>
          </w:tcPr>
          <w:p w14:paraId="1E6D0CDB" w14:textId="77777777" w:rsidR="00F32A2A" w:rsidRDefault="00F32A2A">
            <w:pPr>
              <w:pStyle w:val="-fa"/>
              <w:spacing w:after="40"/>
              <w:rPr>
                <w:rtl/>
              </w:rPr>
            </w:pPr>
          </w:p>
        </w:tc>
        <w:tc>
          <w:tcPr>
            <w:tcW w:w="14173" w:type="dxa"/>
          </w:tcPr>
          <w:p w14:paraId="5892F8DC" w14:textId="77777777" w:rsidR="00F32A2A" w:rsidRDefault="00A43B26" w:rsidP="00316579">
            <w:pPr>
              <w:pStyle w:val="-8"/>
              <w:spacing w:after="40"/>
              <w:rPr>
                <w:rtl/>
              </w:rPr>
            </w:pPr>
            <w:r w:rsidRPr="00865418">
              <w:rPr>
                <w:rFonts w:eastAsia="Arial Unicode MS"/>
                <w:rtl/>
              </w:rPr>
              <w:t xml:space="preserve">ביאור </w:t>
            </w:r>
            <w:r>
              <w:rPr>
                <w:rFonts w:eastAsia="Arial Unicode MS" w:hint="cs"/>
                <w:rtl/>
              </w:rPr>
              <w:t>1</w:t>
            </w:r>
            <w:r w:rsidR="00316579">
              <w:rPr>
                <w:rFonts w:eastAsia="Arial Unicode MS" w:hint="cs"/>
                <w:rtl/>
              </w:rPr>
              <w:t>4</w:t>
            </w:r>
            <w:r>
              <w:rPr>
                <w:rFonts w:eastAsia="Arial Unicode MS" w:hint="cs"/>
                <w:rtl/>
              </w:rPr>
              <w:t>ג</w:t>
            </w:r>
            <w:r w:rsidRPr="00865418">
              <w:rPr>
                <w:rFonts w:eastAsia="Arial Unicode MS"/>
                <w:rtl/>
              </w:rPr>
              <w:t xml:space="preserve">  -  </w:t>
            </w:r>
            <w:r w:rsidRPr="00865418">
              <w:rPr>
                <w:rFonts w:hint="eastAsia"/>
                <w:rtl/>
              </w:rPr>
              <w:t>שינויים</w:t>
            </w:r>
            <w:r w:rsidRPr="00865418">
              <w:rPr>
                <w:rtl/>
              </w:rPr>
              <w:t xml:space="preserve"> בפריטים הנמדדים בשווי הוגן על בסיס חוזר ונשנה שנכללו ברמה 3</w:t>
            </w:r>
            <w:r>
              <w:rPr>
                <w:rFonts w:hint="cs"/>
                <w:rtl/>
              </w:rPr>
              <w:t xml:space="preserve"> (במאוחד) (המשך)</w:t>
            </w:r>
            <w:r w:rsidRPr="00865418">
              <w:rPr>
                <w:rtl/>
              </w:rPr>
              <w:t>:</w:t>
            </w:r>
            <w:r w:rsidRPr="00865418">
              <w:rPr>
                <w:b w:val="0"/>
                <w:bCs w:val="0"/>
                <w:rtl/>
              </w:rPr>
              <w:t xml:space="preserve"> </w:t>
            </w:r>
          </w:p>
        </w:tc>
      </w:tr>
    </w:tbl>
    <w:p w14:paraId="5F796B2B" w14:textId="77777777" w:rsidR="00A43B26" w:rsidRPr="00AD6281" w:rsidRDefault="00A43B26" w:rsidP="00A43B26">
      <w:pPr>
        <w:rPr>
          <w:sz w:val="2"/>
          <w:szCs w:val="2"/>
        </w:rPr>
      </w:pPr>
    </w:p>
    <w:tbl>
      <w:tblPr>
        <w:bidiVisual/>
        <w:tblW w:w="15311" w:type="dxa"/>
        <w:tblInd w:w="209" w:type="dxa"/>
        <w:tblLayout w:type="fixed"/>
        <w:tblLook w:val="0000" w:firstRow="0" w:lastRow="0" w:firstColumn="0" w:lastColumn="0" w:noHBand="0" w:noVBand="0"/>
      </w:tblPr>
      <w:tblGrid>
        <w:gridCol w:w="1135"/>
        <w:gridCol w:w="14176"/>
      </w:tblGrid>
      <w:tr w:rsidR="009567D1" w:rsidRPr="007363C7" w14:paraId="2276033E" w14:textId="77777777" w:rsidTr="00575CE5">
        <w:trPr>
          <w:trHeight w:val="245"/>
        </w:trPr>
        <w:tc>
          <w:tcPr>
            <w:tcW w:w="1135" w:type="dxa"/>
            <w:vAlign w:val="bottom"/>
          </w:tcPr>
          <w:p w14:paraId="50114941" w14:textId="21079B6A" w:rsidR="009567D1" w:rsidRDefault="009567D1" w:rsidP="009567D1">
            <w:pPr>
              <w:pStyle w:val="-7"/>
              <w:spacing w:line="240" w:lineRule="auto"/>
              <w:jc w:val="left"/>
              <w:rPr>
                <w:color w:val="000000"/>
                <w:sz w:val="14"/>
                <w:szCs w:val="14"/>
                <w:rtl/>
                <w:lang w:eastAsia="he-IL"/>
              </w:rPr>
            </w:pPr>
            <w:r>
              <w:rPr>
                <w:rFonts w:hint="cs"/>
                <w:sz w:val="14"/>
                <w:szCs w:val="14"/>
                <w:rtl/>
              </w:rPr>
              <w:t xml:space="preserve">מתכונת ביאור </w:t>
            </w:r>
            <w:r>
              <w:rPr>
                <w:rFonts w:hint="cs"/>
                <w:sz w:val="14"/>
                <w:szCs w:val="14"/>
                <w:rtl/>
              </w:rPr>
              <w:br/>
              <w:t>עמ' 663-61</w:t>
            </w:r>
            <w:r w:rsidR="007B3A8F">
              <w:rPr>
                <w:rFonts w:hint="cs"/>
                <w:sz w:val="14"/>
                <w:szCs w:val="14"/>
                <w:rtl/>
              </w:rPr>
              <w:t>,63</w:t>
            </w:r>
          </w:p>
        </w:tc>
        <w:tc>
          <w:tcPr>
            <w:tcW w:w="14176" w:type="dxa"/>
          </w:tcPr>
          <w:p w14:paraId="66BE0295" w14:textId="601B210B" w:rsidR="009567D1" w:rsidRDefault="009567D1" w:rsidP="00CB422A">
            <w:pPr>
              <w:pStyle w:val="-f4"/>
              <w:spacing w:line="240" w:lineRule="auto"/>
              <w:ind w:left="178"/>
              <w:jc w:val="left"/>
              <w:rPr>
                <w:rtl/>
              </w:rPr>
            </w:pPr>
            <w:r w:rsidRPr="009567D1">
              <w:rPr>
                <w:rFonts w:hint="cs"/>
                <w:b w:val="0"/>
                <w:bCs w:val="0"/>
                <w:rtl/>
              </w:rPr>
              <w:t xml:space="preserve"> א</w:t>
            </w:r>
            <w:r>
              <w:rPr>
                <w:rFonts w:hint="cs"/>
                <w:rtl/>
              </w:rPr>
              <w:t>. הרכב (המשך):</w:t>
            </w:r>
          </w:p>
        </w:tc>
      </w:tr>
      <w:tr w:rsidR="00CB422A" w:rsidRPr="007363C7" w14:paraId="5A9DB27B" w14:textId="77777777" w:rsidTr="00840781">
        <w:trPr>
          <w:trHeight w:val="245"/>
        </w:trPr>
        <w:tc>
          <w:tcPr>
            <w:tcW w:w="1135" w:type="dxa"/>
          </w:tcPr>
          <w:p w14:paraId="246737B1" w14:textId="77777777" w:rsidR="00CB422A" w:rsidRPr="007363C7" w:rsidRDefault="00CB422A" w:rsidP="00A43B26">
            <w:pPr>
              <w:pStyle w:val="-7"/>
              <w:rPr>
                <w:rtl/>
              </w:rPr>
            </w:pPr>
          </w:p>
        </w:tc>
        <w:tc>
          <w:tcPr>
            <w:tcW w:w="14176" w:type="dxa"/>
          </w:tcPr>
          <w:p w14:paraId="219E8D41" w14:textId="376D0626" w:rsidR="00CB422A" w:rsidRPr="001F35BA" w:rsidRDefault="00CB422A" w:rsidP="001F35BA">
            <w:pPr>
              <w:pStyle w:val="-4"/>
              <w:pBdr>
                <w:bottom w:val="none" w:sz="0" w:space="0" w:color="auto"/>
              </w:pBdr>
              <w:spacing w:line="240" w:lineRule="auto"/>
              <w:ind w:left="320" w:right="-288" w:firstLine="142"/>
              <w:jc w:val="both"/>
              <w:rPr>
                <w:sz w:val="18"/>
                <w:szCs w:val="18"/>
                <w:u w:val="single"/>
                <w:rtl/>
              </w:rPr>
            </w:pPr>
            <w:r w:rsidRPr="001F35BA">
              <w:rPr>
                <w:rFonts w:hint="cs"/>
                <w:sz w:val="18"/>
                <w:szCs w:val="18"/>
                <w:u w:val="single"/>
                <w:rtl/>
              </w:rPr>
              <w:t xml:space="preserve">לשלושה </w:t>
            </w:r>
            <w:r w:rsidR="004F59A7" w:rsidRPr="001F35BA">
              <w:rPr>
                <w:rFonts w:hint="cs"/>
                <w:sz w:val="18"/>
                <w:szCs w:val="18"/>
                <w:u w:val="single"/>
                <w:rtl/>
              </w:rPr>
              <w:t xml:space="preserve">ושישה </w:t>
            </w:r>
            <w:r w:rsidRPr="001F35BA">
              <w:rPr>
                <w:rFonts w:hint="cs"/>
                <w:sz w:val="18"/>
                <w:szCs w:val="18"/>
                <w:u w:val="single"/>
                <w:rtl/>
              </w:rPr>
              <w:t xml:space="preserve">חודשים שהסתיימו ביום 30 ביוני </w:t>
            </w:r>
            <w:r w:rsidRPr="001F35BA">
              <w:rPr>
                <w:sz w:val="17"/>
                <w:szCs w:val="17"/>
                <w:u w:val="single"/>
                <w:rtl/>
              </w:rPr>
              <w:fldChar w:fldCharType="begin"/>
            </w:r>
            <w:r w:rsidRPr="001F35BA">
              <w:rPr>
                <w:sz w:val="17"/>
                <w:szCs w:val="17"/>
                <w:u w:val="single"/>
                <w:rtl/>
              </w:rPr>
              <w:instrText xml:space="preserve"> </w:instrText>
            </w:r>
            <w:r w:rsidRPr="001F35BA">
              <w:rPr>
                <w:rFonts w:hint="cs"/>
                <w:sz w:val="17"/>
                <w:szCs w:val="17"/>
                <w:u w:val="single"/>
                <w:rtl/>
              </w:rPr>
              <w:instrText xml:space="preserve">= </w:instrText>
            </w:r>
            <w:r w:rsidRPr="001F35BA">
              <w:rPr>
                <w:rFonts w:hint="cs"/>
                <w:sz w:val="17"/>
                <w:szCs w:val="17"/>
                <w:u w:val="single"/>
              </w:rPr>
              <w:instrText>CY</w:instrText>
            </w:r>
            <w:r w:rsidRPr="001F35BA">
              <w:rPr>
                <w:sz w:val="17"/>
                <w:szCs w:val="17"/>
                <w:u w:val="single"/>
              </w:rPr>
              <w:instrText>-1</w:instrText>
            </w:r>
            <w:r w:rsidRPr="001F35BA">
              <w:rPr>
                <w:rFonts w:hint="cs"/>
                <w:sz w:val="17"/>
                <w:szCs w:val="17"/>
                <w:u w:val="single"/>
              </w:rPr>
              <w:instrText xml:space="preserve"> \* MERGEFORMAT</w:instrText>
            </w:r>
            <w:r w:rsidRPr="001F35BA">
              <w:rPr>
                <w:sz w:val="17"/>
                <w:szCs w:val="17"/>
                <w:u w:val="single"/>
                <w:rtl/>
              </w:rPr>
              <w:instrText xml:space="preserve"> </w:instrText>
            </w:r>
            <w:r w:rsidRPr="001F35BA">
              <w:rPr>
                <w:sz w:val="17"/>
                <w:szCs w:val="17"/>
                <w:u w:val="single"/>
                <w:rtl/>
              </w:rPr>
              <w:fldChar w:fldCharType="separate"/>
            </w:r>
            <w:r w:rsidRPr="001F35BA">
              <w:rPr>
                <w:noProof/>
                <w:sz w:val="17"/>
                <w:szCs w:val="17"/>
                <w:u w:val="single"/>
                <w:rtl/>
              </w:rPr>
              <w:t>2023</w:t>
            </w:r>
            <w:r w:rsidRPr="001F35BA">
              <w:rPr>
                <w:sz w:val="17"/>
                <w:szCs w:val="17"/>
                <w:u w:val="single"/>
                <w:rtl/>
              </w:rPr>
              <w:fldChar w:fldCharType="end"/>
            </w:r>
            <w:r w:rsidRPr="001F35BA">
              <w:rPr>
                <w:rFonts w:hint="cs"/>
                <w:sz w:val="18"/>
                <w:szCs w:val="18"/>
                <w:u w:val="single"/>
                <w:rtl/>
              </w:rPr>
              <w:t xml:space="preserve"> </w:t>
            </w:r>
            <w:r w:rsidRPr="001F35BA">
              <w:rPr>
                <w:rFonts w:hint="cs"/>
                <w:b w:val="0"/>
                <w:bCs w:val="0"/>
                <w:sz w:val="18"/>
                <w:szCs w:val="18"/>
                <w:u w:val="single"/>
                <w:rtl/>
              </w:rPr>
              <w:t>(בלתי מבוקר)</w:t>
            </w:r>
          </w:p>
        </w:tc>
      </w:tr>
    </w:tbl>
    <w:p w14:paraId="6ED4F78A" w14:textId="77777777" w:rsidR="00F32A2A" w:rsidRDefault="00F32A2A">
      <w:pPr>
        <w:bidi w:val="0"/>
        <w:spacing w:line="60" w:lineRule="exact"/>
      </w:pPr>
    </w:p>
    <w:tbl>
      <w:tblPr>
        <w:bidiVisual/>
        <w:tblW w:w="5108" w:type="pct"/>
        <w:tblBorders>
          <w:bottom w:val="single" w:sz="4" w:space="0" w:color="auto"/>
        </w:tblBorders>
        <w:tblLayout w:type="fixed"/>
        <w:tblLook w:val="04A0" w:firstRow="1" w:lastRow="0" w:firstColumn="1" w:lastColumn="0" w:noHBand="0" w:noVBand="1"/>
      </w:tblPr>
      <w:tblGrid>
        <w:gridCol w:w="1560"/>
        <w:gridCol w:w="3122"/>
        <w:gridCol w:w="850"/>
        <w:gridCol w:w="891"/>
        <w:gridCol w:w="939"/>
        <w:gridCol w:w="705"/>
        <w:gridCol w:w="829"/>
        <w:gridCol w:w="704"/>
        <w:gridCol w:w="747"/>
        <w:gridCol w:w="673"/>
        <w:gridCol w:w="752"/>
        <w:gridCol w:w="997"/>
        <w:gridCol w:w="988"/>
        <w:gridCol w:w="1702"/>
      </w:tblGrid>
      <w:tr w:rsidR="004F59A7" w:rsidRPr="00543C25" w14:paraId="0D2558AE" w14:textId="77777777" w:rsidTr="00F04877">
        <w:trPr>
          <w:trHeight w:val="259"/>
        </w:trPr>
        <w:tc>
          <w:tcPr>
            <w:tcW w:w="1560" w:type="dxa"/>
            <w:shd w:val="clear" w:color="auto" w:fill="auto"/>
          </w:tcPr>
          <w:p w14:paraId="5CD40683" w14:textId="77777777" w:rsidR="004F59A7" w:rsidRDefault="004F59A7" w:rsidP="00F04877">
            <w:pPr>
              <w:pStyle w:val="-0"/>
              <w:ind w:left="0" w:firstLine="0"/>
              <w:rPr>
                <w:sz w:val="14"/>
                <w:szCs w:val="14"/>
                <w:rtl/>
              </w:rPr>
            </w:pPr>
          </w:p>
        </w:tc>
        <w:tc>
          <w:tcPr>
            <w:tcW w:w="3122" w:type="dxa"/>
            <w:tcBorders>
              <w:bottom w:val="nil"/>
            </w:tcBorders>
            <w:shd w:val="clear" w:color="auto" w:fill="auto"/>
            <w:vAlign w:val="bottom"/>
          </w:tcPr>
          <w:p w14:paraId="4D0AB6FE" w14:textId="77777777" w:rsidR="004F59A7" w:rsidRPr="00046EFB" w:rsidRDefault="004F59A7" w:rsidP="00F04877">
            <w:pPr>
              <w:pStyle w:val="-0"/>
              <w:spacing w:line="192" w:lineRule="auto"/>
              <w:rPr>
                <w:sz w:val="17"/>
                <w:szCs w:val="17"/>
                <w:rtl/>
              </w:rPr>
            </w:pPr>
          </w:p>
        </w:tc>
        <w:tc>
          <w:tcPr>
            <w:tcW w:w="850" w:type="dxa"/>
            <w:vMerge w:val="restart"/>
            <w:shd w:val="clear" w:color="auto" w:fill="auto"/>
            <w:tcMar>
              <w:left w:w="108" w:type="dxa"/>
              <w:right w:w="108" w:type="dxa"/>
            </w:tcMar>
            <w:vAlign w:val="bottom"/>
          </w:tcPr>
          <w:p w14:paraId="2F1AFB3A" w14:textId="77777777" w:rsidR="004F59A7" w:rsidRPr="00BF2D3B" w:rsidRDefault="004F59A7" w:rsidP="00F04877">
            <w:pPr>
              <w:spacing w:line="192" w:lineRule="auto"/>
              <w:jc w:val="center"/>
              <w:rPr>
                <w:b/>
                <w:bCs/>
                <w:sz w:val="16"/>
                <w:szCs w:val="16"/>
                <w:rtl/>
              </w:rPr>
            </w:pPr>
            <w:r w:rsidRPr="00BF2D3B">
              <w:rPr>
                <w:rFonts w:hint="eastAsia"/>
                <w:b/>
                <w:bCs/>
                <w:sz w:val="16"/>
                <w:szCs w:val="16"/>
                <w:rtl/>
              </w:rPr>
              <w:t>שווי</w:t>
            </w:r>
            <w:r w:rsidRPr="00BF2D3B">
              <w:rPr>
                <w:b/>
                <w:bCs/>
                <w:sz w:val="16"/>
                <w:szCs w:val="16"/>
                <w:rtl/>
              </w:rPr>
              <w:t xml:space="preserve"> </w:t>
            </w:r>
            <w:r w:rsidRPr="00BF2D3B">
              <w:rPr>
                <w:rFonts w:hint="eastAsia"/>
                <w:b/>
                <w:bCs/>
                <w:sz w:val="16"/>
                <w:szCs w:val="16"/>
                <w:rtl/>
              </w:rPr>
              <w:t>הוגן ליום</w:t>
            </w:r>
            <w:r w:rsidRPr="00BF2D3B">
              <w:rPr>
                <w:b/>
                <w:bCs/>
                <w:sz w:val="16"/>
                <w:szCs w:val="16"/>
                <w:rtl/>
              </w:rPr>
              <w:t xml:space="preserve"> </w:t>
            </w:r>
          </w:p>
          <w:p w14:paraId="3924A874" w14:textId="0F42A83B" w:rsidR="004F59A7" w:rsidRPr="00BF2D3B" w:rsidRDefault="004F59A7" w:rsidP="00F04877">
            <w:pPr>
              <w:pBdr>
                <w:bottom w:val="single" w:sz="4" w:space="1" w:color="auto"/>
              </w:pBdr>
              <w:spacing w:line="192" w:lineRule="auto"/>
              <w:ind w:left="57" w:right="57"/>
              <w:jc w:val="center"/>
              <w:rPr>
                <w:b/>
                <w:bCs/>
                <w:sz w:val="16"/>
                <w:szCs w:val="16"/>
                <w:rtl/>
              </w:rPr>
            </w:pPr>
            <w:r w:rsidRPr="00BF2D3B">
              <w:rPr>
                <w:b/>
                <w:bCs/>
                <w:sz w:val="16"/>
                <w:szCs w:val="16"/>
                <w:rtl/>
              </w:rPr>
              <w:t xml:space="preserve">31 </w:t>
            </w:r>
            <w:r w:rsidRPr="00BF2D3B">
              <w:rPr>
                <w:rFonts w:hint="eastAsia"/>
                <w:b/>
                <w:bCs/>
                <w:sz w:val="16"/>
                <w:szCs w:val="16"/>
                <w:rtl/>
              </w:rPr>
              <w:t>מרץ</w:t>
            </w:r>
            <w:r w:rsidRPr="00BF2D3B">
              <w:rPr>
                <w:b/>
                <w:bCs/>
                <w:sz w:val="16"/>
                <w:szCs w:val="16"/>
                <w:rtl/>
              </w:rPr>
              <w:t xml:space="preserve"> </w:t>
            </w:r>
            <w:r w:rsidRPr="00BF2D3B">
              <w:rPr>
                <w:b/>
                <w:bCs/>
                <w:sz w:val="16"/>
                <w:szCs w:val="16"/>
                <w:rtl/>
              </w:rPr>
              <w:fldChar w:fldCharType="begin"/>
            </w:r>
            <w:r w:rsidRPr="00BF2D3B">
              <w:rPr>
                <w:b/>
                <w:bCs/>
                <w:sz w:val="16"/>
                <w:szCs w:val="16"/>
                <w:rtl/>
              </w:rPr>
              <w:instrText xml:space="preserve"> = </w:instrText>
            </w:r>
            <w:r w:rsidRPr="00BF2D3B">
              <w:rPr>
                <w:b/>
                <w:bCs/>
                <w:sz w:val="16"/>
                <w:szCs w:val="16"/>
              </w:rPr>
              <w:instrText>CY</w:instrText>
            </w:r>
            <w:r>
              <w:rPr>
                <w:b/>
                <w:bCs/>
                <w:sz w:val="16"/>
                <w:szCs w:val="16"/>
              </w:rPr>
              <w:instrText>-1</w:instrText>
            </w:r>
            <w:r w:rsidRPr="00BF2D3B">
              <w:rPr>
                <w:b/>
                <w:bCs/>
                <w:sz w:val="16"/>
                <w:szCs w:val="16"/>
              </w:rPr>
              <w:instrText xml:space="preserve"> \* MERGEFORMAT</w:instrText>
            </w:r>
            <w:r w:rsidRPr="00BF2D3B">
              <w:rPr>
                <w:b/>
                <w:bCs/>
                <w:sz w:val="16"/>
                <w:szCs w:val="16"/>
                <w:rtl/>
              </w:rPr>
              <w:instrText xml:space="preserve"> </w:instrText>
            </w:r>
            <w:r w:rsidRPr="00BF2D3B">
              <w:rPr>
                <w:b/>
                <w:bCs/>
                <w:sz w:val="16"/>
                <w:szCs w:val="16"/>
                <w:rtl/>
              </w:rPr>
              <w:fldChar w:fldCharType="separate"/>
            </w:r>
            <w:r>
              <w:rPr>
                <w:b/>
                <w:bCs/>
                <w:noProof/>
                <w:sz w:val="16"/>
                <w:szCs w:val="16"/>
                <w:rtl/>
              </w:rPr>
              <w:t>2023</w:t>
            </w:r>
            <w:r w:rsidRPr="00BF2D3B">
              <w:rPr>
                <w:b/>
                <w:bCs/>
                <w:sz w:val="16"/>
                <w:szCs w:val="16"/>
                <w:rtl/>
              </w:rPr>
              <w:fldChar w:fldCharType="end"/>
            </w:r>
          </w:p>
        </w:tc>
        <w:tc>
          <w:tcPr>
            <w:tcW w:w="1830" w:type="dxa"/>
            <w:gridSpan w:val="2"/>
            <w:shd w:val="clear" w:color="auto" w:fill="auto"/>
            <w:tcMar>
              <w:left w:w="108" w:type="dxa"/>
              <w:right w:w="108" w:type="dxa"/>
            </w:tcMar>
            <w:vAlign w:val="bottom"/>
          </w:tcPr>
          <w:p w14:paraId="4E5F2F73" w14:textId="77777777" w:rsidR="004F59A7" w:rsidRPr="00BF2D3B" w:rsidRDefault="004F59A7" w:rsidP="00F04877">
            <w:pPr>
              <w:spacing w:line="192" w:lineRule="auto"/>
              <w:ind w:left="57" w:right="57"/>
              <w:jc w:val="center"/>
              <w:rPr>
                <w:b/>
                <w:bCs/>
                <w:sz w:val="16"/>
                <w:szCs w:val="16"/>
                <w:rtl/>
              </w:rPr>
            </w:pPr>
            <w:r w:rsidRPr="00BF2D3B">
              <w:rPr>
                <w:rFonts w:hint="eastAsia"/>
                <w:b/>
                <w:bCs/>
                <w:sz w:val="16"/>
                <w:szCs w:val="16"/>
                <w:rtl/>
              </w:rPr>
              <w:t>רווחים</w:t>
            </w:r>
            <w:r w:rsidRPr="00BF2D3B">
              <w:rPr>
                <w:b/>
                <w:bCs/>
                <w:sz w:val="16"/>
                <w:szCs w:val="16"/>
                <w:rtl/>
              </w:rPr>
              <w:t xml:space="preserve"> (הפסדים)</w:t>
            </w:r>
          </w:p>
          <w:p w14:paraId="34AC294B" w14:textId="77777777" w:rsidR="004F59A7" w:rsidRPr="00BF2D3B" w:rsidRDefault="004F59A7" w:rsidP="00F04877">
            <w:pPr>
              <w:pStyle w:val="-4"/>
              <w:spacing w:line="192" w:lineRule="auto"/>
              <w:rPr>
                <w:sz w:val="16"/>
                <w:szCs w:val="16"/>
                <w:rtl/>
              </w:rPr>
            </w:pPr>
            <w:r w:rsidRPr="00BF2D3B">
              <w:rPr>
                <w:rFonts w:hint="eastAsia"/>
                <w:sz w:val="16"/>
                <w:szCs w:val="16"/>
                <w:rtl/>
              </w:rPr>
              <w:t>לתקופה</w:t>
            </w:r>
            <w:r w:rsidRPr="00BF2D3B">
              <w:rPr>
                <w:sz w:val="16"/>
                <w:szCs w:val="16"/>
                <w:rtl/>
              </w:rPr>
              <w:t xml:space="preserve"> שנכללו </w:t>
            </w:r>
          </w:p>
        </w:tc>
        <w:tc>
          <w:tcPr>
            <w:tcW w:w="2985" w:type="dxa"/>
            <w:gridSpan w:val="4"/>
            <w:shd w:val="clear" w:color="auto" w:fill="auto"/>
            <w:tcMar>
              <w:left w:w="108" w:type="dxa"/>
              <w:right w:w="108" w:type="dxa"/>
            </w:tcMar>
            <w:vAlign w:val="bottom"/>
          </w:tcPr>
          <w:p w14:paraId="4BB8E5E8" w14:textId="77777777" w:rsidR="004F59A7" w:rsidRPr="00BF2D3B" w:rsidRDefault="004F59A7" w:rsidP="00F04877">
            <w:pPr>
              <w:pStyle w:val="-4"/>
              <w:spacing w:line="192" w:lineRule="auto"/>
              <w:rPr>
                <w:sz w:val="16"/>
                <w:szCs w:val="16"/>
                <w:rtl/>
              </w:rPr>
            </w:pPr>
            <w:r w:rsidRPr="00BF2D3B">
              <w:rPr>
                <w:rFonts w:hint="eastAsia"/>
                <w:sz w:val="16"/>
                <w:szCs w:val="16"/>
                <w:rtl/>
              </w:rPr>
              <w:t>תנועות</w:t>
            </w:r>
            <w:r w:rsidRPr="00BF2D3B">
              <w:rPr>
                <w:sz w:val="16"/>
                <w:szCs w:val="16"/>
                <w:rtl/>
              </w:rPr>
              <w:t xml:space="preserve"> </w:t>
            </w:r>
            <w:r w:rsidRPr="00BF2D3B">
              <w:rPr>
                <w:rFonts w:hint="eastAsia"/>
                <w:sz w:val="16"/>
                <w:szCs w:val="16"/>
                <w:rtl/>
              </w:rPr>
              <w:t>בגין</w:t>
            </w:r>
          </w:p>
        </w:tc>
        <w:tc>
          <w:tcPr>
            <w:tcW w:w="1425" w:type="dxa"/>
            <w:gridSpan w:val="2"/>
            <w:shd w:val="clear" w:color="auto" w:fill="auto"/>
            <w:tcMar>
              <w:left w:w="108" w:type="dxa"/>
              <w:right w:w="108" w:type="dxa"/>
            </w:tcMar>
            <w:vAlign w:val="bottom"/>
          </w:tcPr>
          <w:p w14:paraId="0F58CFF3" w14:textId="77777777" w:rsidR="004F59A7" w:rsidRPr="00BF2D3B" w:rsidRDefault="004F59A7" w:rsidP="00F04877">
            <w:pPr>
              <w:pBdr>
                <w:bottom w:val="single" w:sz="4" w:space="1" w:color="auto"/>
              </w:pBdr>
              <w:spacing w:line="192" w:lineRule="auto"/>
              <w:jc w:val="center"/>
              <w:rPr>
                <w:sz w:val="16"/>
                <w:szCs w:val="16"/>
                <w:rtl/>
              </w:rPr>
            </w:pPr>
            <w:r w:rsidRPr="00BF2D3B">
              <w:rPr>
                <w:rFonts w:hint="eastAsia"/>
                <w:bCs/>
                <w:sz w:val="16"/>
                <w:szCs w:val="16"/>
                <w:rtl/>
              </w:rPr>
              <w:t>העברות</w:t>
            </w:r>
            <w:r w:rsidRPr="00BF2D3B">
              <w:rPr>
                <w:bCs/>
                <w:sz w:val="16"/>
                <w:szCs w:val="16"/>
                <w:rtl/>
              </w:rPr>
              <w:t xml:space="preserve"> </w:t>
            </w:r>
            <w:r w:rsidRPr="00BF2D3B">
              <w:rPr>
                <w:rFonts w:hint="cs"/>
                <w:sz w:val="16"/>
                <w:szCs w:val="16"/>
                <w:vertAlign w:val="superscript"/>
                <w:rtl/>
              </w:rPr>
              <w:t>[ד]</w:t>
            </w:r>
          </w:p>
        </w:tc>
        <w:tc>
          <w:tcPr>
            <w:tcW w:w="997" w:type="dxa"/>
            <w:vMerge w:val="restart"/>
            <w:shd w:val="clear" w:color="auto" w:fill="auto"/>
            <w:tcMar>
              <w:left w:w="108" w:type="dxa"/>
              <w:right w:w="108" w:type="dxa"/>
            </w:tcMar>
            <w:vAlign w:val="bottom"/>
          </w:tcPr>
          <w:p w14:paraId="5D2E4882"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b/>
                <w:bCs/>
                <w:sz w:val="16"/>
                <w:szCs w:val="16"/>
                <w:rtl/>
              </w:rPr>
              <w:t>התאמות</w:t>
            </w:r>
            <w:r w:rsidRPr="00BF2D3B">
              <w:rPr>
                <w:rFonts w:hint="cs"/>
                <w:b/>
                <w:bCs/>
                <w:sz w:val="16"/>
                <w:szCs w:val="16"/>
                <w:rtl/>
              </w:rPr>
              <w:t xml:space="preserve"> </w:t>
            </w:r>
            <w:r w:rsidRPr="00BF2D3B">
              <w:rPr>
                <w:b/>
                <w:bCs/>
                <w:sz w:val="16"/>
                <w:szCs w:val="16"/>
                <w:rtl/>
              </w:rPr>
              <w:t>מתרגום</w:t>
            </w:r>
            <w:r w:rsidRPr="00BF2D3B">
              <w:rPr>
                <w:rFonts w:hint="cs"/>
                <w:b/>
                <w:bCs/>
                <w:sz w:val="16"/>
                <w:szCs w:val="16"/>
                <w:rtl/>
              </w:rPr>
              <w:t xml:space="preserve"> </w:t>
            </w:r>
            <w:r w:rsidRPr="00BF2D3B">
              <w:rPr>
                <w:b/>
                <w:bCs/>
                <w:sz w:val="16"/>
                <w:szCs w:val="16"/>
                <w:rtl/>
              </w:rPr>
              <w:t>דוחות</w:t>
            </w:r>
            <w:r w:rsidRPr="00BF2D3B">
              <w:rPr>
                <w:rFonts w:hint="cs"/>
                <w:b/>
                <w:bCs/>
                <w:sz w:val="16"/>
                <w:szCs w:val="16"/>
                <w:rtl/>
              </w:rPr>
              <w:t xml:space="preserve"> </w:t>
            </w:r>
            <w:r w:rsidRPr="00BF2D3B">
              <w:rPr>
                <w:b/>
                <w:bCs/>
                <w:sz w:val="16"/>
                <w:szCs w:val="16"/>
                <w:rtl/>
              </w:rPr>
              <w:t>כספיים</w:t>
            </w:r>
          </w:p>
        </w:tc>
        <w:tc>
          <w:tcPr>
            <w:tcW w:w="988" w:type="dxa"/>
            <w:vMerge w:val="restart"/>
            <w:shd w:val="clear" w:color="auto" w:fill="auto"/>
            <w:tcMar>
              <w:left w:w="108" w:type="dxa"/>
              <w:right w:w="108" w:type="dxa"/>
            </w:tcMar>
            <w:vAlign w:val="bottom"/>
          </w:tcPr>
          <w:p w14:paraId="53A09C03" w14:textId="77777777" w:rsidR="004F59A7" w:rsidRPr="00BF2D3B" w:rsidRDefault="004F59A7" w:rsidP="00F04877">
            <w:pPr>
              <w:spacing w:line="192" w:lineRule="auto"/>
              <w:jc w:val="center"/>
              <w:rPr>
                <w:b/>
                <w:bCs/>
                <w:sz w:val="16"/>
                <w:szCs w:val="16"/>
                <w:rtl/>
              </w:rPr>
            </w:pPr>
            <w:r w:rsidRPr="00BF2D3B">
              <w:rPr>
                <w:rFonts w:hint="eastAsia"/>
                <w:b/>
                <w:bCs/>
                <w:sz w:val="16"/>
                <w:szCs w:val="16"/>
                <w:rtl/>
              </w:rPr>
              <w:t>שווי</w:t>
            </w:r>
            <w:r w:rsidRPr="00BF2D3B">
              <w:rPr>
                <w:b/>
                <w:bCs/>
                <w:sz w:val="16"/>
                <w:szCs w:val="16"/>
                <w:rtl/>
              </w:rPr>
              <w:t xml:space="preserve"> </w:t>
            </w:r>
            <w:r w:rsidRPr="00BF2D3B">
              <w:rPr>
                <w:rFonts w:hint="eastAsia"/>
                <w:b/>
                <w:bCs/>
                <w:sz w:val="16"/>
                <w:szCs w:val="16"/>
                <w:rtl/>
              </w:rPr>
              <w:t>הוגן</w:t>
            </w:r>
            <w:r w:rsidRPr="00BF2D3B">
              <w:rPr>
                <w:b/>
                <w:bCs/>
                <w:sz w:val="16"/>
                <w:szCs w:val="16"/>
                <w:rtl/>
              </w:rPr>
              <w:t xml:space="preserve"> </w:t>
            </w:r>
            <w:r w:rsidRPr="00BF2D3B">
              <w:rPr>
                <w:rFonts w:hint="eastAsia"/>
                <w:b/>
                <w:bCs/>
                <w:sz w:val="16"/>
                <w:szCs w:val="16"/>
                <w:rtl/>
              </w:rPr>
              <w:t>ליום</w:t>
            </w:r>
            <w:r w:rsidRPr="00BF2D3B">
              <w:rPr>
                <w:b/>
                <w:bCs/>
                <w:sz w:val="16"/>
                <w:szCs w:val="16"/>
                <w:rtl/>
              </w:rPr>
              <w:t xml:space="preserve"> </w:t>
            </w:r>
          </w:p>
          <w:p w14:paraId="538DF16F" w14:textId="40DDF105" w:rsidR="004F59A7" w:rsidRPr="00BF2D3B" w:rsidRDefault="004F59A7" w:rsidP="00F04877">
            <w:pPr>
              <w:pBdr>
                <w:bottom w:val="single" w:sz="4" w:space="1" w:color="auto"/>
              </w:pBdr>
              <w:spacing w:line="192" w:lineRule="auto"/>
              <w:ind w:left="57" w:right="57"/>
              <w:jc w:val="center"/>
              <w:rPr>
                <w:b/>
                <w:bCs/>
                <w:sz w:val="16"/>
                <w:szCs w:val="16"/>
                <w:rtl/>
              </w:rPr>
            </w:pPr>
            <w:r w:rsidRPr="00BF2D3B">
              <w:rPr>
                <w:b/>
                <w:bCs/>
                <w:sz w:val="16"/>
                <w:szCs w:val="16"/>
                <w:rtl/>
              </w:rPr>
              <w:t xml:space="preserve">30 </w:t>
            </w:r>
            <w:r w:rsidRPr="00BF2D3B">
              <w:rPr>
                <w:rFonts w:hint="eastAsia"/>
                <w:b/>
                <w:bCs/>
                <w:sz w:val="16"/>
                <w:szCs w:val="16"/>
                <w:rtl/>
              </w:rPr>
              <w:t>ביוני</w:t>
            </w:r>
            <w:r w:rsidRPr="00BF2D3B">
              <w:rPr>
                <w:b/>
                <w:bCs/>
                <w:sz w:val="16"/>
                <w:szCs w:val="16"/>
                <w:rtl/>
              </w:rPr>
              <w:t xml:space="preserve"> </w:t>
            </w:r>
            <w:r w:rsidRPr="00BF2D3B">
              <w:rPr>
                <w:b/>
                <w:bCs/>
                <w:sz w:val="16"/>
                <w:szCs w:val="16"/>
                <w:rtl/>
              </w:rPr>
              <w:fldChar w:fldCharType="begin"/>
            </w:r>
            <w:r w:rsidRPr="00BF2D3B">
              <w:rPr>
                <w:b/>
                <w:bCs/>
                <w:sz w:val="16"/>
                <w:szCs w:val="16"/>
                <w:rtl/>
              </w:rPr>
              <w:instrText xml:space="preserve"> = </w:instrText>
            </w:r>
            <w:r w:rsidRPr="00BF2D3B">
              <w:rPr>
                <w:b/>
                <w:bCs/>
                <w:sz w:val="16"/>
                <w:szCs w:val="16"/>
              </w:rPr>
              <w:instrText>CY</w:instrText>
            </w:r>
            <w:r>
              <w:rPr>
                <w:b/>
                <w:bCs/>
                <w:sz w:val="16"/>
                <w:szCs w:val="16"/>
              </w:rPr>
              <w:instrText>-1</w:instrText>
            </w:r>
            <w:r w:rsidRPr="00BF2D3B">
              <w:rPr>
                <w:b/>
                <w:bCs/>
                <w:sz w:val="16"/>
                <w:szCs w:val="16"/>
              </w:rPr>
              <w:instrText xml:space="preserve"> \* MERGEFORMAT</w:instrText>
            </w:r>
            <w:r w:rsidRPr="00BF2D3B">
              <w:rPr>
                <w:b/>
                <w:bCs/>
                <w:sz w:val="16"/>
                <w:szCs w:val="16"/>
                <w:rtl/>
              </w:rPr>
              <w:instrText xml:space="preserve"> </w:instrText>
            </w:r>
            <w:r w:rsidRPr="00BF2D3B">
              <w:rPr>
                <w:b/>
                <w:bCs/>
                <w:sz w:val="16"/>
                <w:szCs w:val="16"/>
                <w:rtl/>
              </w:rPr>
              <w:fldChar w:fldCharType="separate"/>
            </w:r>
            <w:r>
              <w:rPr>
                <w:b/>
                <w:bCs/>
                <w:noProof/>
                <w:sz w:val="16"/>
                <w:szCs w:val="16"/>
                <w:rtl/>
              </w:rPr>
              <w:t>2023</w:t>
            </w:r>
            <w:r w:rsidRPr="00BF2D3B">
              <w:rPr>
                <w:b/>
                <w:bCs/>
                <w:sz w:val="16"/>
                <w:szCs w:val="16"/>
                <w:rtl/>
              </w:rPr>
              <w:fldChar w:fldCharType="end"/>
            </w:r>
          </w:p>
        </w:tc>
        <w:tc>
          <w:tcPr>
            <w:tcW w:w="1702" w:type="dxa"/>
            <w:vMerge w:val="restart"/>
            <w:shd w:val="clear" w:color="auto" w:fill="auto"/>
            <w:tcMar>
              <w:left w:w="108" w:type="dxa"/>
              <w:right w:w="108" w:type="dxa"/>
            </w:tcMar>
            <w:vAlign w:val="bottom"/>
          </w:tcPr>
          <w:p w14:paraId="07742112" w14:textId="1F55B1A8" w:rsidR="004F59A7" w:rsidRPr="00BF2D3B" w:rsidRDefault="004F59A7" w:rsidP="00F04877">
            <w:pPr>
              <w:pBdr>
                <w:bottom w:val="single" w:sz="4" w:space="1" w:color="auto"/>
              </w:pBdr>
              <w:spacing w:line="192" w:lineRule="auto"/>
              <w:jc w:val="center"/>
              <w:rPr>
                <w:b/>
                <w:bCs/>
                <w:sz w:val="16"/>
                <w:szCs w:val="16"/>
                <w:rtl/>
              </w:rPr>
            </w:pPr>
            <w:r w:rsidRPr="00BF2D3B">
              <w:rPr>
                <w:rFonts w:hint="eastAsia"/>
                <w:b/>
                <w:bCs/>
                <w:sz w:val="16"/>
                <w:szCs w:val="16"/>
                <w:rtl/>
              </w:rPr>
              <w:t>רווחים</w:t>
            </w:r>
            <w:r w:rsidRPr="00BF2D3B">
              <w:rPr>
                <w:b/>
                <w:bCs/>
                <w:sz w:val="16"/>
                <w:szCs w:val="16"/>
                <w:rtl/>
              </w:rPr>
              <w:t xml:space="preserve"> (הפסדים) לתקופה שטרם </w:t>
            </w:r>
            <w:r w:rsidRPr="00BF2D3B">
              <w:rPr>
                <w:rFonts w:hint="cs"/>
                <w:b/>
                <w:bCs/>
                <w:sz w:val="16"/>
                <w:szCs w:val="16"/>
                <w:rtl/>
              </w:rPr>
              <w:t>מומשו בגין</w:t>
            </w:r>
            <w:r w:rsidRPr="00BF2D3B">
              <w:rPr>
                <w:b/>
                <w:bCs/>
                <w:sz w:val="16"/>
                <w:szCs w:val="16"/>
                <w:rtl/>
              </w:rPr>
              <w:t xml:space="preserve"> </w:t>
            </w:r>
            <w:r w:rsidRPr="00BF2D3B">
              <w:rPr>
                <w:rFonts w:hint="eastAsia"/>
                <w:b/>
                <w:bCs/>
                <w:sz w:val="16"/>
                <w:szCs w:val="16"/>
                <w:rtl/>
              </w:rPr>
              <w:t>מכשירים</w:t>
            </w:r>
            <w:r w:rsidRPr="00BF2D3B">
              <w:rPr>
                <w:b/>
                <w:bCs/>
                <w:sz w:val="16"/>
                <w:szCs w:val="16"/>
                <w:rtl/>
              </w:rPr>
              <w:t xml:space="preserve"> </w:t>
            </w:r>
            <w:r w:rsidRPr="00BF2D3B">
              <w:rPr>
                <w:rFonts w:hint="eastAsia"/>
                <w:b/>
                <w:bCs/>
                <w:sz w:val="16"/>
                <w:szCs w:val="16"/>
                <w:rtl/>
              </w:rPr>
              <w:t>המוחזקים</w:t>
            </w:r>
            <w:r w:rsidRPr="00BF2D3B">
              <w:rPr>
                <w:b/>
                <w:bCs/>
                <w:sz w:val="16"/>
                <w:szCs w:val="16"/>
                <w:rtl/>
              </w:rPr>
              <w:t xml:space="preserve"> </w:t>
            </w:r>
            <w:r w:rsidRPr="00BF2D3B">
              <w:rPr>
                <w:rFonts w:hint="eastAsia"/>
                <w:b/>
                <w:bCs/>
                <w:sz w:val="16"/>
                <w:szCs w:val="16"/>
                <w:rtl/>
              </w:rPr>
              <w:t>ליום</w:t>
            </w:r>
            <w:r w:rsidRPr="00BF2D3B">
              <w:rPr>
                <w:b/>
                <w:bCs/>
                <w:sz w:val="16"/>
                <w:szCs w:val="16"/>
                <w:rtl/>
              </w:rPr>
              <w:t xml:space="preserve"> 30 </w:t>
            </w:r>
            <w:r w:rsidRPr="00BF2D3B">
              <w:rPr>
                <w:rFonts w:hint="eastAsia"/>
                <w:b/>
                <w:bCs/>
                <w:sz w:val="16"/>
                <w:szCs w:val="16"/>
                <w:rtl/>
              </w:rPr>
              <w:t>ביוני</w:t>
            </w:r>
            <w:r w:rsidRPr="00BF2D3B">
              <w:rPr>
                <w:b/>
                <w:bCs/>
                <w:sz w:val="16"/>
                <w:szCs w:val="16"/>
                <w:rtl/>
              </w:rPr>
              <w:t xml:space="preserve"> </w:t>
            </w:r>
            <w:r w:rsidRPr="00BF2D3B">
              <w:rPr>
                <w:b/>
                <w:bCs/>
                <w:sz w:val="16"/>
                <w:szCs w:val="16"/>
                <w:rtl/>
              </w:rPr>
              <w:fldChar w:fldCharType="begin"/>
            </w:r>
            <w:r w:rsidRPr="00BF2D3B">
              <w:rPr>
                <w:b/>
                <w:bCs/>
                <w:sz w:val="16"/>
                <w:szCs w:val="16"/>
                <w:rtl/>
              </w:rPr>
              <w:instrText xml:space="preserve"> = </w:instrText>
            </w:r>
            <w:r w:rsidRPr="00BF2D3B">
              <w:rPr>
                <w:b/>
                <w:bCs/>
                <w:sz w:val="16"/>
                <w:szCs w:val="16"/>
              </w:rPr>
              <w:instrText>CY</w:instrText>
            </w:r>
            <w:r>
              <w:rPr>
                <w:b/>
                <w:bCs/>
                <w:sz w:val="16"/>
                <w:szCs w:val="16"/>
              </w:rPr>
              <w:instrText>-1</w:instrText>
            </w:r>
            <w:r w:rsidRPr="00BF2D3B">
              <w:rPr>
                <w:b/>
                <w:bCs/>
                <w:sz w:val="16"/>
                <w:szCs w:val="16"/>
              </w:rPr>
              <w:instrText xml:space="preserve"> \* MERGEFORMAT</w:instrText>
            </w:r>
            <w:r w:rsidRPr="00BF2D3B">
              <w:rPr>
                <w:b/>
                <w:bCs/>
                <w:sz w:val="16"/>
                <w:szCs w:val="16"/>
                <w:rtl/>
              </w:rPr>
              <w:instrText xml:space="preserve"> </w:instrText>
            </w:r>
            <w:r w:rsidRPr="00BF2D3B">
              <w:rPr>
                <w:b/>
                <w:bCs/>
                <w:sz w:val="16"/>
                <w:szCs w:val="16"/>
                <w:rtl/>
              </w:rPr>
              <w:fldChar w:fldCharType="separate"/>
            </w:r>
            <w:r>
              <w:rPr>
                <w:b/>
                <w:bCs/>
                <w:noProof/>
                <w:sz w:val="16"/>
                <w:szCs w:val="16"/>
                <w:rtl/>
              </w:rPr>
              <w:t>2023</w:t>
            </w:r>
            <w:r w:rsidRPr="00BF2D3B">
              <w:rPr>
                <w:b/>
                <w:bCs/>
                <w:sz w:val="16"/>
                <w:szCs w:val="16"/>
                <w:rtl/>
              </w:rPr>
              <w:fldChar w:fldCharType="end"/>
            </w:r>
          </w:p>
        </w:tc>
      </w:tr>
      <w:tr w:rsidR="004F59A7" w:rsidRPr="00543C25" w14:paraId="6A5E38BF" w14:textId="77777777" w:rsidTr="00F04877">
        <w:trPr>
          <w:trHeight w:val="440"/>
        </w:trPr>
        <w:tc>
          <w:tcPr>
            <w:tcW w:w="1560" w:type="dxa"/>
            <w:tcBorders>
              <w:right w:val="nil"/>
            </w:tcBorders>
            <w:shd w:val="clear" w:color="auto" w:fill="auto"/>
          </w:tcPr>
          <w:p w14:paraId="6CC7B3F8" w14:textId="77777777" w:rsidR="004F59A7" w:rsidRPr="003425A3" w:rsidRDefault="004F59A7" w:rsidP="00F04877">
            <w:pPr>
              <w:pStyle w:val="-0"/>
              <w:rPr>
                <w:sz w:val="16"/>
                <w:szCs w:val="16"/>
                <w:rtl/>
              </w:rPr>
            </w:pPr>
          </w:p>
        </w:tc>
        <w:tc>
          <w:tcPr>
            <w:tcW w:w="3122" w:type="dxa"/>
            <w:tcBorders>
              <w:left w:val="nil"/>
              <w:bottom w:val="nil"/>
            </w:tcBorders>
            <w:shd w:val="clear" w:color="auto" w:fill="auto"/>
            <w:vAlign w:val="bottom"/>
          </w:tcPr>
          <w:p w14:paraId="44502A1A" w14:textId="77777777" w:rsidR="004F59A7" w:rsidRPr="00046EFB" w:rsidRDefault="004F59A7" w:rsidP="00F04877">
            <w:pPr>
              <w:pStyle w:val="-0"/>
              <w:spacing w:line="192" w:lineRule="auto"/>
              <w:rPr>
                <w:sz w:val="17"/>
                <w:szCs w:val="17"/>
                <w:rtl/>
              </w:rPr>
            </w:pPr>
          </w:p>
        </w:tc>
        <w:tc>
          <w:tcPr>
            <w:tcW w:w="850" w:type="dxa"/>
            <w:vMerge/>
            <w:shd w:val="clear" w:color="auto" w:fill="auto"/>
            <w:tcMar>
              <w:left w:w="43" w:type="dxa"/>
              <w:right w:w="43" w:type="dxa"/>
            </w:tcMar>
            <w:vAlign w:val="bottom"/>
          </w:tcPr>
          <w:p w14:paraId="526C0EC5" w14:textId="77777777" w:rsidR="004F59A7" w:rsidRDefault="004F59A7" w:rsidP="00F04877">
            <w:pPr>
              <w:pBdr>
                <w:bottom w:val="single" w:sz="4" w:space="1" w:color="auto"/>
              </w:pBdr>
              <w:spacing w:line="192" w:lineRule="auto"/>
              <w:ind w:left="57" w:right="57"/>
              <w:jc w:val="center"/>
              <w:rPr>
                <w:b/>
                <w:bCs/>
                <w:sz w:val="17"/>
                <w:szCs w:val="17"/>
                <w:rtl/>
              </w:rPr>
            </w:pPr>
          </w:p>
        </w:tc>
        <w:tc>
          <w:tcPr>
            <w:tcW w:w="891" w:type="dxa"/>
            <w:shd w:val="clear" w:color="auto" w:fill="auto"/>
            <w:tcMar>
              <w:left w:w="43" w:type="dxa"/>
              <w:right w:w="43" w:type="dxa"/>
            </w:tcMar>
            <w:vAlign w:val="bottom"/>
          </w:tcPr>
          <w:p w14:paraId="167F87EA"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בדוח</w:t>
            </w:r>
            <w:r w:rsidRPr="00BF2D3B">
              <w:rPr>
                <w:b/>
                <w:bCs/>
                <w:sz w:val="16"/>
                <w:szCs w:val="16"/>
                <w:rtl/>
              </w:rPr>
              <w:t xml:space="preserve"> </w:t>
            </w:r>
            <w:r w:rsidRPr="00BF2D3B">
              <w:rPr>
                <w:rFonts w:hint="eastAsia"/>
                <w:b/>
                <w:bCs/>
                <w:sz w:val="16"/>
                <w:szCs w:val="16"/>
                <w:rtl/>
              </w:rPr>
              <w:t>רווח</w:t>
            </w:r>
            <w:r w:rsidRPr="00BF2D3B">
              <w:rPr>
                <w:b/>
                <w:bCs/>
                <w:sz w:val="16"/>
                <w:szCs w:val="16"/>
                <w:rtl/>
              </w:rPr>
              <w:t xml:space="preserve"> </w:t>
            </w:r>
            <w:r w:rsidRPr="00BF2D3B">
              <w:rPr>
                <w:rFonts w:hint="eastAsia"/>
                <w:b/>
                <w:bCs/>
                <w:sz w:val="16"/>
                <w:szCs w:val="16"/>
                <w:rtl/>
              </w:rPr>
              <w:t>והפסד</w:t>
            </w:r>
          </w:p>
        </w:tc>
        <w:tc>
          <w:tcPr>
            <w:tcW w:w="939" w:type="dxa"/>
            <w:shd w:val="clear" w:color="auto" w:fill="auto"/>
            <w:tcMar>
              <w:left w:w="43" w:type="dxa"/>
              <w:right w:w="43" w:type="dxa"/>
            </w:tcMar>
            <w:vAlign w:val="bottom"/>
          </w:tcPr>
          <w:p w14:paraId="358DE883"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ברווח</w:t>
            </w:r>
            <w:r w:rsidRPr="00BF2D3B">
              <w:rPr>
                <w:b/>
                <w:bCs/>
                <w:sz w:val="16"/>
                <w:szCs w:val="16"/>
                <w:rtl/>
              </w:rPr>
              <w:t xml:space="preserve"> </w:t>
            </w:r>
            <w:r w:rsidRPr="00BF2D3B">
              <w:rPr>
                <w:rFonts w:hint="eastAsia"/>
                <w:b/>
                <w:bCs/>
                <w:sz w:val="16"/>
                <w:szCs w:val="16"/>
                <w:rtl/>
              </w:rPr>
              <w:t>כולל</w:t>
            </w:r>
            <w:r w:rsidRPr="00BF2D3B">
              <w:rPr>
                <w:b/>
                <w:bCs/>
                <w:sz w:val="16"/>
                <w:szCs w:val="16"/>
                <w:rtl/>
              </w:rPr>
              <w:t xml:space="preserve"> </w:t>
            </w:r>
            <w:r w:rsidRPr="00BF2D3B">
              <w:rPr>
                <w:rFonts w:hint="eastAsia"/>
                <w:b/>
                <w:bCs/>
                <w:sz w:val="16"/>
                <w:szCs w:val="16"/>
                <w:rtl/>
              </w:rPr>
              <w:t>אחר</w:t>
            </w:r>
            <w:r w:rsidRPr="00BF2D3B">
              <w:rPr>
                <w:b/>
                <w:bCs/>
                <w:sz w:val="16"/>
                <w:szCs w:val="16"/>
                <w:rtl/>
              </w:rPr>
              <w:t xml:space="preserve"> (בהון)</w:t>
            </w:r>
          </w:p>
        </w:tc>
        <w:tc>
          <w:tcPr>
            <w:tcW w:w="705" w:type="dxa"/>
            <w:shd w:val="clear" w:color="auto" w:fill="auto"/>
            <w:tcMar>
              <w:left w:w="43" w:type="dxa"/>
              <w:right w:w="43" w:type="dxa"/>
            </w:tcMar>
            <w:vAlign w:val="bottom"/>
          </w:tcPr>
          <w:p w14:paraId="201DAE87"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רכישות</w:t>
            </w:r>
          </w:p>
        </w:tc>
        <w:tc>
          <w:tcPr>
            <w:tcW w:w="829" w:type="dxa"/>
            <w:shd w:val="clear" w:color="auto" w:fill="auto"/>
            <w:tcMar>
              <w:left w:w="43" w:type="dxa"/>
              <w:right w:w="43" w:type="dxa"/>
            </w:tcMar>
            <w:vAlign w:val="bottom"/>
          </w:tcPr>
          <w:p w14:paraId="2DBD28B7" w14:textId="77777777" w:rsidR="004F59A7" w:rsidRPr="00BF2D3B" w:rsidRDefault="004F59A7" w:rsidP="00F04877">
            <w:pPr>
              <w:pBdr>
                <w:bottom w:val="single" w:sz="4" w:space="1" w:color="auto"/>
              </w:pBdr>
              <w:spacing w:line="192" w:lineRule="auto"/>
              <w:ind w:left="28" w:right="28"/>
              <w:jc w:val="center"/>
              <w:rPr>
                <w:b/>
                <w:bCs/>
                <w:sz w:val="16"/>
                <w:szCs w:val="16"/>
                <w:rtl/>
              </w:rPr>
            </w:pPr>
            <w:r w:rsidRPr="00BF2D3B">
              <w:rPr>
                <w:rFonts w:hint="eastAsia"/>
                <w:b/>
                <w:bCs/>
                <w:sz w:val="16"/>
                <w:szCs w:val="16"/>
                <w:rtl/>
              </w:rPr>
              <w:t>הנפקות</w:t>
            </w:r>
          </w:p>
        </w:tc>
        <w:tc>
          <w:tcPr>
            <w:tcW w:w="704" w:type="dxa"/>
            <w:shd w:val="clear" w:color="auto" w:fill="auto"/>
            <w:tcMar>
              <w:left w:w="43" w:type="dxa"/>
              <w:right w:w="43" w:type="dxa"/>
            </w:tcMar>
            <w:vAlign w:val="bottom"/>
          </w:tcPr>
          <w:p w14:paraId="4CCFCCBF"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מכירות</w:t>
            </w:r>
          </w:p>
        </w:tc>
        <w:tc>
          <w:tcPr>
            <w:tcW w:w="747" w:type="dxa"/>
            <w:shd w:val="clear" w:color="auto" w:fill="auto"/>
            <w:tcMar>
              <w:left w:w="43" w:type="dxa"/>
              <w:right w:w="43" w:type="dxa"/>
            </w:tcMar>
            <w:vAlign w:val="bottom"/>
          </w:tcPr>
          <w:p w14:paraId="5AEE942D"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סילוקים</w:t>
            </w:r>
          </w:p>
        </w:tc>
        <w:tc>
          <w:tcPr>
            <w:tcW w:w="673" w:type="dxa"/>
            <w:shd w:val="clear" w:color="auto" w:fill="auto"/>
            <w:tcMar>
              <w:left w:w="43" w:type="dxa"/>
              <w:right w:w="43" w:type="dxa"/>
            </w:tcMar>
            <w:vAlign w:val="bottom"/>
          </w:tcPr>
          <w:p w14:paraId="0DB7658E"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cs"/>
                <w:b/>
                <w:bCs/>
                <w:sz w:val="16"/>
                <w:szCs w:val="16"/>
                <w:rtl/>
              </w:rPr>
              <w:t>אל</w:t>
            </w:r>
            <w:r w:rsidRPr="00BF2D3B">
              <w:rPr>
                <w:b/>
                <w:bCs/>
                <w:sz w:val="16"/>
                <w:szCs w:val="16"/>
                <w:rtl/>
              </w:rPr>
              <w:br/>
            </w:r>
            <w:r w:rsidRPr="00BF2D3B">
              <w:rPr>
                <w:rFonts w:hint="eastAsia"/>
                <w:b/>
                <w:bCs/>
                <w:sz w:val="16"/>
                <w:szCs w:val="16"/>
                <w:rtl/>
              </w:rPr>
              <w:t>רמה</w:t>
            </w:r>
            <w:r w:rsidRPr="00BF2D3B">
              <w:rPr>
                <w:b/>
                <w:bCs/>
                <w:sz w:val="16"/>
                <w:szCs w:val="16"/>
                <w:rtl/>
              </w:rPr>
              <w:t xml:space="preserve"> 3</w:t>
            </w:r>
          </w:p>
        </w:tc>
        <w:tc>
          <w:tcPr>
            <w:tcW w:w="752" w:type="dxa"/>
            <w:shd w:val="clear" w:color="auto" w:fill="auto"/>
            <w:tcMar>
              <w:left w:w="43" w:type="dxa"/>
              <w:right w:w="43" w:type="dxa"/>
            </w:tcMar>
            <w:vAlign w:val="bottom"/>
          </w:tcPr>
          <w:p w14:paraId="4FBFBEF1"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מרמה</w:t>
            </w:r>
            <w:r w:rsidRPr="00BF2D3B">
              <w:rPr>
                <w:b/>
                <w:bCs/>
                <w:sz w:val="16"/>
                <w:szCs w:val="16"/>
                <w:rtl/>
              </w:rPr>
              <w:t xml:space="preserve"> 3</w:t>
            </w:r>
          </w:p>
        </w:tc>
        <w:tc>
          <w:tcPr>
            <w:tcW w:w="997" w:type="dxa"/>
            <w:vMerge/>
            <w:shd w:val="clear" w:color="auto" w:fill="auto"/>
            <w:vAlign w:val="bottom"/>
          </w:tcPr>
          <w:p w14:paraId="0A0D12E6" w14:textId="77777777" w:rsidR="004F59A7" w:rsidRPr="00BF2D3B" w:rsidRDefault="004F59A7" w:rsidP="00F04877">
            <w:pPr>
              <w:pBdr>
                <w:bottom w:val="single" w:sz="4" w:space="1" w:color="auto"/>
              </w:pBdr>
              <w:spacing w:line="192" w:lineRule="auto"/>
              <w:ind w:left="57" w:right="57"/>
              <w:jc w:val="center"/>
              <w:rPr>
                <w:b/>
                <w:bCs/>
                <w:sz w:val="16"/>
                <w:szCs w:val="16"/>
                <w:rtl/>
              </w:rPr>
            </w:pPr>
          </w:p>
        </w:tc>
        <w:tc>
          <w:tcPr>
            <w:tcW w:w="988" w:type="dxa"/>
            <w:vMerge/>
            <w:shd w:val="clear" w:color="auto" w:fill="auto"/>
            <w:tcMar>
              <w:left w:w="43" w:type="dxa"/>
              <w:right w:w="43" w:type="dxa"/>
            </w:tcMar>
            <w:vAlign w:val="bottom"/>
          </w:tcPr>
          <w:p w14:paraId="329AB1E2" w14:textId="77777777" w:rsidR="004F59A7" w:rsidRPr="00BF2D3B" w:rsidRDefault="004F59A7" w:rsidP="00F04877">
            <w:pPr>
              <w:pBdr>
                <w:bottom w:val="single" w:sz="4" w:space="1" w:color="auto"/>
              </w:pBdr>
              <w:spacing w:line="192" w:lineRule="auto"/>
              <w:ind w:left="57" w:right="57"/>
              <w:jc w:val="center"/>
              <w:rPr>
                <w:b/>
                <w:bCs/>
                <w:sz w:val="16"/>
                <w:szCs w:val="16"/>
                <w:rtl/>
              </w:rPr>
            </w:pPr>
          </w:p>
        </w:tc>
        <w:tc>
          <w:tcPr>
            <w:tcW w:w="1702" w:type="dxa"/>
            <w:vMerge/>
            <w:shd w:val="clear" w:color="auto" w:fill="auto"/>
            <w:tcMar>
              <w:left w:w="29" w:type="dxa"/>
              <w:right w:w="29" w:type="dxa"/>
            </w:tcMar>
            <w:vAlign w:val="bottom"/>
          </w:tcPr>
          <w:p w14:paraId="73A70B02" w14:textId="77777777" w:rsidR="004F59A7" w:rsidRPr="00BF2D3B" w:rsidRDefault="004F59A7" w:rsidP="00F04877">
            <w:pPr>
              <w:spacing w:line="192" w:lineRule="auto"/>
              <w:ind w:left="57" w:right="57"/>
              <w:jc w:val="center"/>
              <w:rPr>
                <w:b/>
                <w:bCs/>
                <w:sz w:val="16"/>
                <w:szCs w:val="16"/>
                <w:rtl/>
              </w:rPr>
            </w:pPr>
          </w:p>
        </w:tc>
      </w:tr>
      <w:tr w:rsidR="004F59A7" w:rsidRPr="00543C25" w14:paraId="4AEE2BF4" w14:textId="77777777" w:rsidTr="00F04877">
        <w:trPr>
          <w:trHeight w:val="215"/>
        </w:trPr>
        <w:tc>
          <w:tcPr>
            <w:tcW w:w="1560" w:type="dxa"/>
            <w:tcBorders>
              <w:right w:val="nil"/>
            </w:tcBorders>
            <w:shd w:val="clear" w:color="auto" w:fill="auto"/>
          </w:tcPr>
          <w:p w14:paraId="3BB3DC51" w14:textId="77777777" w:rsidR="004F59A7" w:rsidRPr="003425A3" w:rsidRDefault="004F59A7" w:rsidP="00F04877">
            <w:pPr>
              <w:pStyle w:val="-f"/>
              <w:rPr>
                <w:sz w:val="16"/>
                <w:szCs w:val="16"/>
                <w:rtl/>
              </w:rPr>
            </w:pPr>
          </w:p>
        </w:tc>
        <w:tc>
          <w:tcPr>
            <w:tcW w:w="3122" w:type="dxa"/>
            <w:tcBorders>
              <w:top w:val="nil"/>
              <w:left w:val="nil"/>
              <w:bottom w:val="nil"/>
              <w:right w:val="nil"/>
            </w:tcBorders>
            <w:shd w:val="clear" w:color="auto" w:fill="auto"/>
            <w:vAlign w:val="bottom"/>
          </w:tcPr>
          <w:p w14:paraId="7E17DC99" w14:textId="77777777" w:rsidR="004F59A7" w:rsidRDefault="004F59A7" w:rsidP="00F04877">
            <w:pPr>
              <w:pStyle w:val="-f"/>
              <w:ind w:left="560" w:hanging="235"/>
              <w:rPr>
                <w:sz w:val="17"/>
                <w:szCs w:val="17"/>
                <w:rtl/>
              </w:rPr>
            </w:pPr>
            <w:r w:rsidRPr="00AE5815">
              <w:rPr>
                <w:rFonts w:hint="cs"/>
                <w:sz w:val="16"/>
                <w:szCs w:val="16"/>
                <w:rtl/>
              </w:rPr>
              <w:t>נכסים</w:t>
            </w:r>
          </w:p>
        </w:tc>
        <w:tc>
          <w:tcPr>
            <w:tcW w:w="850" w:type="dxa"/>
            <w:shd w:val="clear" w:color="auto" w:fill="auto"/>
            <w:vAlign w:val="bottom"/>
          </w:tcPr>
          <w:p w14:paraId="7476DD3A" w14:textId="77777777" w:rsidR="004F59A7" w:rsidRPr="00046EFB" w:rsidRDefault="004F59A7" w:rsidP="00F04877">
            <w:pPr>
              <w:pStyle w:val="-0"/>
              <w:ind w:left="0" w:firstLine="0"/>
              <w:rPr>
                <w:sz w:val="17"/>
                <w:szCs w:val="17"/>
                <w:rtl/>
              </w:rPr>
            </w:pPr>
          </w:p>
        </w:tc>
        <w:tc>
          <w:tcPr>
            <w:tcW w:w="891" w:type="dxa"/>
            <w:shd w:val="clear" w:color="auto" w:fill="auto"/>
            <w:vAlign w:val="bottom"/>
          </w:tcPr>
          <w:p w14:paraId="0F11FFD2" w14:textId="77777777" w:rsidR="004F59A7" w:rsidRPr="00046EFB" w:rsidRDefault="004F59A7" w:rsidP="00F04877">
            <w:pPr>
              <w:pStyle w:val="-3"/>
              <w:rPr>
                <w:sz w:val="17"/>
                <w:szCs w:val="17"/>
                <w:rtl/>
              </w:rPr>
            </w:pPr>
          </w:p>
        </w:tc>
        <w:tc>
          <w:tcPr>
            <w:tcW w:w="939" w:type="dxa"/>
            <w:shd w:val="clear" w:color="auto" w:fill="auto"/>
            <w:vAlign w:val="bottom"/>
          </w:tcPr>
          <w:p w14:paraId="408FD79B" w14:textId="77777777" w:rsidR="004F59A7" w:rsidRPr="00046EFB" w:rsidRDefault="004F59A7" w:rsidP="00F04877">
            <w:pPr>
              <w:pStyle w:val="-3"/>
              <w:rPr>
                <w:sz w:val="17"/>
                <w:szCs w:val="17"/>
                <w:rtl/>
              </w:rPr>
            </w:pPr>
          </w:p>
        </w:tc>
        <w:tc>
          <w:tcPr>
            <w:tcW w:w="705" w:type="dxa"/>
            <w:shd w:val="clear" w:color="auto" w:fill="auto"/>
            <w:vAlign w:val="bottom"/>
          </w:tcPr>
          <w:p w14:paraId="694F379D" w14:textId="77777777" w:rsidR="004F59A7" w:rsidRPr="00046EFB" w:rsidRDefault="004F59A7" w:rsidP="00F04877">
            <w:pPr>
              <w:pStyle w:val="-3"/>
              <w:rPr>
                <w:sz w:val="17"/>
                <w:szCs w:val="17"/>
                <w:rtl/>
              </w:rPr>
            </w:pPr>
          </w:p>
        </w:tc>
        <w:tc>
          <w:tcPr>
            <w:tcW w:w="829" w:type="dxa"/>
            <w:shd w:val="clear" w:color="auto" w:fill="auto"/>
            <w:vAlign w:val="bottom"/>
          </w:tcPr>
          <w:p w14:paraId="1F1567DD" w14:textId="77777777" w:rsidR="004F59A7" w:rsidRPr="00046EFB" w:rsidRDefault="004F59A7" w:rsidP="00F04877">
            <w:pPr>
              <w:pStyle w:val="-3"/>
              <w:rPr>
                <w:sz w:val="17"/>
                <w:szCs w:val="17"/>
                <w:rtl/>
              </w:rPr>
            </w:pPr>
          </w:p>
        </w:tc>
        <w:tc>
          <w:tcPr>
            <w:tcW w:w="704" w:type="dxa"/>
            <w:shd w:val="clear" w:color="auto" w:fill="auto"/>
            <w:vAlign w:val="bottom"/>
          </w:tcPr>
          <w:p w14:paraId="133E5D5C" w14:textId="77777777" w:rsidR="004F59A7" w:rsidRPr="00046EFB" w:rsidRDefault="004F59A7" w:rsidP="00F04877">
            <w:pPr>
              <w:pStyle w:val="-3"/>
              <w:rPr>
                <w:sz w:val="17"/>
                <w:szCs w:val="17"/>
                <w:rtl/>
              </w:rPr>
            </w:pPr>
          </w:p>
        </w:tc>
        <w:tc>
          <w:tcPr>
            <w:tcW w:w="747" w:type="dxa"/>
            <w:shd w:val="clear" w:color="auto" w:fill="auto"/>
            <w:vAlign w:val="bottom"/>
          </w:tcPr>
          <w:p w14:paraId="5A903E41" w14:textId="77777777" w:rsidR="004F59A7" w:rsidRPr="00046EFB" w:rsidRDefault="004F59A7" w:rsidP="00F04877">
            <w:pPr>
              <w:pStyle w:val="-3"/>
              <w:rPr>
                <w:sz w:val="17"/>
                <w:szCs w:val="17"/>
                <w:rtl/>
              </w:rPr>
            </w:pPr>
          </w:p>
        </w:tc>
        <w:tc>
          <w:tcPr>
            <w:tcW w:w="673" w:type="dxa"/>
            <w:shd w:val="clear" w:color="auto" w:fill="auto"/>
            <w:vAlign w:val="bottom"/>
          </w:tcPr>
          <w:p w14:paraId="6AB1276A" w14:textId="77777777" w:rsidR="004F59A7" w:rsidRPr="00046EFB" w:rsidRDefault="004F59A7" w:rsidP="00F04877">
            <w:pPr>
              <w:pStyle w:val="-3"/>
              <w:rPr>
                <w:sz w:val="17"/>
                <w:szCs w:val="17"/>
                <w:rtl/>
              </w:rPr>
            </w:pPr>
          </w:p>
        </w:tc>
        <w:tc>
          <w:tcPr>
            <w:tcW w:w="752" w:type="dxa"/>
            <w:shd w:val="clear" w:color="auto" w:fill="auto"/>
            <w:vAlign w:val="bottom"/>
          </w:tcPr>
          <w:p w14:paraId="29420B9D" w14:textId="77777777" w:rsidR="004F59A7" w:rsidRPr="00046EFB" w:rsidRDefault="004F59A7" w:rsidP="00F04877">
            <w:pPr>
              <w:pStyle w:val="-3"/>
              <w:rPr>
                <w:sz w:val="17"/>
                <w:szCs w:val="17"/>
                <w:rtl/>
              </w:rPr>
            </w:pPr>
          </w:p>
        </w:tc>
        <w:tc>
          <w:tcPr>
            <w:tcW w:w="997" w:type="dxa"/>
            <w:shd w:val="clear" w:color="auto" w:fill="auto"/>
            <w:vAlign w:val="bottom"/>
          </w:tcPr>
          <w:p w14:paraId="65C45468" w14:textId="77777777" w:rsidR="004F59A7" w:rsidRPr="00046EFB" w:rsidRDefault="004F59A7" w:rsidP="00F04877">
            <w:pPr>
              <w:pStyle w:val="-3"/>
              <w:rPr>
                <w:sz w:val="17"/>
                <w:szCs w:val="17"/>
                <w:rtl/>
              </w:rPr>
            </w:pPr>
          </w:p>
        </w:tc>
        <w:tc>
          <w:tcPr>
            <w:tcW w:w="988" w:type="dxa"/>
            <w:shd w:val="clear" w:color="auto" w:fill="auto"/>
            <w:vAlign w:val="bottom"/>
          </w:tcPr>
          <w:p w14:paraId="37E719D6" w14:textId="77777777" w:rsidR="004F59A7" w:rsidRPr="00046EFB" w:rsidRDefault="004F59A7" w:rsidP="00F04877">
            <w:pPr>
              <w:pStyle w:val="-3"/>
              <w:rPr>
                <w:sz w:val="17"/>
                <w:szCs w:val="17"/>
                <w:rtl/>
              </w:rPr>
            </w:pPr>
          </w:p>
        </w:tc>
        <w:tc>
          <w:tcPr>
            <w:tcW w:w="1702" w:type="dxa"/>
            <w:shd w:val="clear" w:color="auto" w:fill="auto"/>
            <w:vAlign w:val="bottom"/>
          </w:tcPr>
          <w:p w14:paraId="37D6EA7A" w14:textId="77777777" w:rsidR="004F59A7" w:rsidRPr="00F745FF" w:rsidRDefault="004F59A7" w:rsidP="00F04877">
            <w:pPr>
              <w:jc w:val="center"/>
              <w:rPr>
                <w:rtl/>
              </w:rPr>
            </w:pPr>
          </w:p>
        </w:tc>
      </w:tr>
      <w:tr w:rsidR="004F59A7" w:rsidRPr="00543C25" w14:paraId="0413E261" w14:textId="77777777" w:rsidTr="00F04877">
        <w:tc>
          <w:tcPr>
            <w:tcW w:w="1560" w:type="dxa"/>
            <w:shd w:val="clear" w:color="auto" w:fill="auto"/>
          </w:tcPr>
          <w:p w14:paraId="2E18FD1E"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0FB33AB3" w14:textId="77777777" w:rsidR="004F59A7" w:rsidRPr="00FC6A6C" w:rsidRDefault="004F59A7" w:rsidP="00F04877">
            <w:pPr>
              <w:pStyle w:val="-0"/>
              <w:spacing w:line="240" w:lineRule="auto"/>
              <w:ind w:left="467" w:hanging="114"/>
              <w:rPr>
                <w:sz w:val="17"/>
                <w:szCs w:val="17"/>
                <w:rtl/>
              </w:rPr>
            </w:pPr>
            <w:r w:rsidRPr="00FC6A6C">
              <w:rPr>
                <w:rFonts w:hint="cs"/>
                <w:sz w:val="16"/>
                <w:szCs w:val="16"/>
                <w:rtl/>
              </w:rPr>
              <w:t xml:space="preserve">אגרות חוב זמינות למכירה ומניות שאינן למסחר </w:t>
            </w:r>
            <w:r w:rsidRPr="00FC6A6C">
              <w:rPr>
                <w:rFonts w:hint="cs"/>
                <w:sz w:val="16"/>
                <w:szCs w:val="16"/>
                <w:vertAlign w:val="superscript"/>
                <w:rtl/>
              </w:rPr>
              <w:t>[</w:t>
            </w:r>
            <w:r w:rsidRPr="00FC6A6C">
              <w:rPr>
                <w:rStyle w:val="a7"/>
                <w:sz w:val="16"/>
                <w:szCs w:val="16"/>
                <w:rtl/>
              </w:rPr>
              <w:footnoteReference w:id="131"/>
            </w:r>
            <w:r w:rsidRPr="00FC6A6C">
              <w:rPr>
                <w:rFonts w:hint="cs"/>
                <w:sz w:val="16"/>
                <w:szCs w:val="16"/>
                <w:vertAlign w:val="superscript"/>
                <w:rtl/>
              </w:rPr>
              <w:t>]</w:t>
            </w:r>
          </w:p>
        </w:tc>
        <w:tc>
          <w:tcPr>
            <w:tcW w:w="850" w:type="dxa"/>
            <w:vAlign w:val="bottom"/>
          </w:tcPr>
          <w:p w14:paraId="69DF8D7D" w14:textId="77777777" w:rsidR="004F59A7" w:rsidRPr="00046EFB" w:rsidRDefault="004F59A7" w:rsidP="00F04877">
            <w:pPr>
              <w:pStyle w:val="-3"/>
              <w:rPr>
                <w:sz w:val="17"/>
                <w:szCs w:val="17"/>
                <w:rtl/>
              </w:rPr>
            </w:pPr>
            <w:r w:rsidRPr="00532A1C">
              <w:rPr>
                <w:sz w:val="17"/>
                <w:szCs w:val="17"/>
                <w:rtl/>
              </w:rPr>
              <w:t xml:space="preserve"> 0</w:t>
            </w:r>
          </w:p>
        </w:tc>
        <w:tc>
          <w:tcPr>
            <w:tcW w:w="891" w:type="dxa"/>
            <w:vAlign w:val="bottom"/>
          </w:tcPr>
          <w:p w14:paraId="4043D18C" w14:textId="77777777" w:rsidR="004F59A7" w:rsidRPr="00046EFB" w:rsidRDefault="004F59A7" w:rsidP="00F04877">
            <w:pPr>
              <w:pStyle w:val="-3"/>
              <w:rPr>
                <w:sz w:val="17"/>
                <w:szCs w:val="17"/>
                <w:rtl/>
              </w:rPr>
            </w:pPr>
            <w:r w:rsidRPr="00532A1C">
              <w:rPr>
                <w:sz w:val="17"/>
                <w:szCs w:val="17"/>
                <w:rtl/>
              </w:rPr>
              <w:t xml:space="preserve"> 0</w:t>
            </w:r>
            <w:r w:rsidRPr="00532A1C">
              <w:rPr>
                <w:sz w:val="17"/>
                <w:szCs w:val="17"/>
                <w:vertAlign w:val="superscript"/>
                <w:rtl/>
              </w:rPr>
              <w:t xml:space="preserve">(א) </w:t>
            </w:r>
          </w:p>
        </w:tc>
        <w:tc>
          <w:tcPr>
            <w:tcW w:w="939" w:type="dxa"/>
            <w:vAlign w:val="bottom"/>
          </w:tcPr>
          <w:p w14:paraId="04CAB93C" w14:textId="77777777" w:rsidR="004F59A7" w:rsidRPr="00046EFB" w:rsidRDefault="004F59A7" w:rsidP="00F04877">
            <w:pPr>
              <w:pStyle w:val="-3"/>
              <w:rPr>
                <w:sz w:val="17"/>
                <w:szCs w:val="17"/>
                <w:rtl/>
              </w:rPr>
            </w:pPr>
            <w:r w:rsidRPr="00532A1C">
              <w:rPr>
                <w:sz w:val="17"/>
                <w:szCs w:val="17"/>
                <w:rtl/>
              </w:rPr>
              <w:t xml:space="preserve"> 0</w:t>
            </w:r>
            <w:r w:rsidRPr="00532A1C">
              <w:rPr>
                <w:sz w:val="17"/>
                <w:szCs w:val="17"/>
                <w:vertAlign w:val="superscript"/>
                <w:rtl/>
              </w:rPr>
              <w:t xml:space="preserve">(א) </w:t>
            </w:r>
          </w:p>
        </w:tc>
        <w:tc>
          <w:tcPr>
            <w:tcW w:w="705" w:type="dxa"/>
            <w:vAlign w:val="bottom"/>
          </w:tcPr>
          <w:p w14:paraId="7030F04F" w14:textId="77777777" w:rsidR="004F59A7" w:rsidRPr="00046EFB" w:rsidRDefault="004F59A7" w:rsidP="00F04877">
            <w:pPr>
              <w:pStyle w:val="-3"/>
              <w:rPr>
                <w:sz w:val="17"/>
                <w:szCs w:val="17"/>
                <w:rtl/>
              </w:rPr>
            </w:pPr>
            <w:r w:rsidRPr="00532A1C">
              <w:rPr>
                <w:sz w:val="17"/>
                <w:szCs w:val="17"/>
                <w:rtl/>
              </w:rPr>
              <w:t xml:space="preserve"> 0</w:t>
            </w:r>
          </w:p>
        </w:tc>
        <w:tc>
          <w:tcPr>
            <w:tcW w:w="829" w:type="dxa"/>
            <w:vAlign w:val="bottom"/>
          </w:tcPr>
          <w:p w14:paraId="20800BC6" w14:textId="77777777" w:rsidR="004F59A7" w:rsidRPr="00046EFB" w:rsidRDefault="004F59A7" w:rsidP="00F04877">
            <w:pPr>
              <w:pStyle w:val="-3"/>
              <w:rPr>
                <w:sz w:val="17"/>
                <w:szCs w:val="17"/>
                <w:rtl/>
              </w:rPr>
            </w:pPr>
            <w:r>
              <w:rPr>
                <w:rFonts w:hint="cs"/>
                <w:sz w:val="17"/>
                <w:szCs w:val="17"/>
                <w:rtl/>
              </w:rPr>
              <w:t xml:space="preserve"> 0</w:t>
            </w:r>
          </w:p>
        </w:tc>
        <w:tc>
          <w:tcPr>
            <w:tcW w:w="704" w:type="dxa"/>
            <w:vAlign w:val="bottom"/>
          </w:tcPr>
          <w:p w14:paraId="6B50752E" w14:textId="77777777" w:rsidR="004F59A7" w:rsidRPr="00046EFB" w:rsidRDefault="004F59A7" w:rsidP="00F04877">
            <w:pPr>
              <w:pStyle w:val="-3"/>
              <w:rPr>
                <w:sz w:val="17"/>
                <w:szCs w:val="17"/>
                <w:rtl/>
              </w:rPr>
            </w:pPr>
            <w:r w:rsidRPr="00532A1C">
              <w:rPr>
                <w:sz w:val="17"/>
                <w:szCs w:val="17"/>
                <w:rtl/>
              </w:rPr>
              <w:t>(0)</w:t>
            </w:r>
          </w:p>
        </w:tc>
        <w:tc>
          <w:tcPr>
            <w:tcW w:w="747" w:type="dxa"/>
            <w:vAlign w:val="bottom"/>
          </w:tcPr>
          <w:p w14:paraId="08AC6624" w14:textId="77777777" w:rsidR="004F59A7" w:rsidRPr="00046EFB" w:rsidRDefault="004F59A7" w:rsidP="00F04877">
            <w:pPr>
              <w:pStyle w:val="-3"/>
              <w:rPr>
                <w:sz w:val="17"/>
                <w:szCs w:val="17"/>
                <w:rtl/>
              </w:rPr>
            </w:pPr>
            <w:r w:rsidRPr="00532A1C">
              <w:rPr>
                <w:sz w:val="17"/>
                <w:szCs w:val="17"/>
                <w:rtl/>
              </w:rPr>
              <w:t>(0)</w:t>
            </w:r>
          </w:p>
        </w:tc>
        <w:tc>
          <w:tcPr>
            <w:tcW w:w="673" w:type="dxa"/>
            <w:vAlign w:val="bottom"/>
          </w:tcPr>
          <w:p w14:paraId="58D73371" w14:textId="77777777" w:rsidR="004F59A7" w:rsidRPr="00046EFB" w:rsidRDefault="004F59A7" w:rsidP="00F04877">
            <w:pPr>
              <w:pStyle w:val="-3"/>
              <w:rPr>
                <w:sz w:val="17"/>
                <w:szCs w:val="17"/>
                <w:rtl/>
              </w:rPr>
            </w:pPr>
            <w:r w:rsidRPr="00532A1C">
              <w:rPr>
                <w:sz w:val="17"/>
                <w:szCs w:val="17"/>
                <w:rtl/>
              </w:rPr>
              <w:t xml:space="preserve"> 0</w:t>
            </w:r>
          </w:p>
        </w:tc>
        <w:tc>
          <w:tcPr>
            <w:tcW w:w="752" w:type="dxa"/>
            <w:vAlign w:val="bottom"/>
          </w:tcPr>
          <w:p w14:paraId="52DD5103" w14:textId="77777777" w:rsidR="004F59A7" w:rsidRPr="00046EFB" w:rsidRDefault="004F59A7" w:rsidP="00F04877">
            <w:pPr>
              <w:pStyle w:val="-3"/>
              <w:rPr>
                <w:sz w:val="17"/>
                <w:szCs w:val="17"/>
                <w:rtl/>
              </w:rPr>
            </w:pPr>
            <w:r w:rsidRPr="00532A1C">
              <w:rPr>
                <w:sz w:val="17"/>
                <w:szCs w:val="17"/>
                <w:rtl/>
              </w:rPr>
              <w:t>(0)</w:t>
            </w:r>
          </w:p>
        </w:tc>
        <w:tc>
          <w:tcPr>
            <w:tcW w:w="997" w:type="dxa"/>
            <w:vAlign w:val="bottom"/>
          </w:tcPr>
          <w:p w14:paraId="0F79CD90" w14:textId="77777777" w:rsidR="004F59A7" w:rsidRPr="00046EFB" w:rsidRDefault="004F59A7" w:rsidP="00F04877">
            <w:pPr>
              <w:pStyle w:val="-3"/>
              <w:rPr>
                <w:sz w:val="17"/>
                <w:szCs w:val="17"/>
                <w:rtl/>
              </w:rPr>
            </w:pPr>
            <w:r w:rsidRPr="00532A1C">
              <w:rPr>
                <w:sz w:val="17"/>
                <w:szCs w:val="17"/>
                <w:rtl/>
              </w:rPr>
              <w:t xml:space="preserve"> 0</w:t>
            </w:r>
          </w:p>
        </w:tc>
        <w:tc>
          <w:tcPr>
            <w:tcW w:w="988" w:type="dxa"/>
            <w:vAlign w:val="bottom"/>
          </w:tcPr>
          <w:p w14:paraId="4ECFCF40" w14:textId="77777777" w:rsidR="004F59A7" w:rsidRPr="00046EFB" w:rsidRDefault="004F59A7" w:rsidP="00F04877">
            <w:pPr>
              <w:pStyle w:val="-3"/>
              <w:rPr>
                <w:sz w:val="17"/>
                <w:szCs w:val="17"/>
                <w:rtl/>
              </w:rPr>
            </w:pPr>
            <w:r w:rsidRPr="00532A1C">
              <w:rPr>
                <w:sz w:val="17"/>
                <w:szCs w:val="17"/>
                <w:rtl/>
              </w:rPr>
              <w:t xml:space="preserve"> 0</w:t>
            </w:r>
          </w:p>
        </w:tc>
        <w:tc>
          <w:tcPr>
            <w:tcW w:w="1702" w:type="dxa"/>
            <w:vAlign w:val="bottom"/>
          </w:tcPr>
          <w:p w14:paraId="154E9E19" w14:textId="77777777" w:rsidR="004F59A7" w:rsidRPr="00046EFB" w:rsidRDefault="004F59A7" w:rsidP="00F04877">
            <w:pPr>
              <w:pStyle w:val="-3"/>
              <w:rPr>
                <w:sz w:val="17"/>
                <w:szCs w:val="17"/>
                <w:rtl/>
              </w:rPr>
            </w:pPr>
            <w:r w:rsidRPr="00532A1C">
              <w:rPr>
                <w:sz w:val="17"/>
                <w:szCs w:val="17"/>
                <w:rtl/>
              </w:rPr>
              <w:t xml:space="preserve">  0</w:t>
            </w:r>
            <w:r w:rsidRPr="00532A1C">
              <w:rPr>
                <w:sz w:val="17"/>
                <w:szCs w:val="17"/>
                <w:vertAlign w:val="superscript"/>
                <w:rtl/>
              </w:rPr>
              <w:t>(א)</w:t>
            </w:r>
          </w:p>
        </w:tc>
      </w:tr>
      <w:tr w:rsidR="004F59A7" w:rsidRPr="00543C25" w14:paraId="2B007B1E" w14:textId="77777777" w:rsidTr="00F04877">
        <w:tc>
          <w:tcPr>
            <w:tcW w:w="1560" w:type="dxa"/>
            <w:shd w:val="clear" w:color="auto" w:fill="auto"/>
          </w:tcPr>
          <w:p w14:paraId="09E046AF"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7C0457D3" w14:textId="77777777" w:rsidR="004F59A7" w:rsidRPr="00FC6A6C" w:rsidRDefault="004F59A7" w:rsidP="00F04877">
            <w:pPr>
              <w:pStyle w:val="-0"/>
              <w:spacing w:line="240" w:lineRule="auto"/>
              <w:ind w:left="467" w:hanging="114"/>
              <w:rPr>
                <w:sz w:val="17"/>
                <w:szCs w:val="17"/>
                <w:rtl/>
              </w:rPr>
            </w:pPr>
            <w:r w:rsidRPr="00FC6A6C">
              <w:rPr>
                <w:rFonts w:hint="cs"/>
                <w:sz w:val="16"/>
                <w:szCs w:val="16"/>
                <w:rtl/>
              </w:rPr>
              <w:t xml:space="preserve">ניירות ערך למסחר </w:t>
            </w:r>
            <w:r w:rsidRPr="00FC6A6C">
              <w:rPr>
                <w:rFonts w:hint="cs"/>
                <w:sz w:val="16"/>
                <w:szCs w:val="16"/>
                <w:vertAlign w:val="superscript"/>
                <w:rtl/>
              </w:rPr>
              <w:t>[1]</w:t>
            </w:r>
          </w:p>
        </w:tc>
        <w:tc>
          <w:tcPr>
            <w:tcW w:w="850" w:type="dxa"/>
            <w:vAlign w:val="bottom"/>
          </w:tcPr>
          <w:p w14:paraId="4DAA38F4" w14:textId="77777777" w:rsidR="004F59A7" w:rsidRPr="00046EFB" w:rsidRDefault="004F59A7" w:rsidP="00F04877">
            <w:pPr>
              <w:pStyle w:val="-3"/>
              <w:rPr>
                <w:sz w:val="17"/>
                <w:szCs w:val="17"/>
                <w:rtl/>
              </w:rPr>
            </w:pPr>
            <w:r w:rsidRPr="00532A1C">
              <w:rPr>
                <w:sz w:val="17"/>
                <w:szCs w:val="17"/>
                <w:rtl/>
              </w:rPr>
              <w:t xml:space="preserve"> 0</w:t>
            </w:r>
          </w:p>
        </w:tc>
        <w:tc>
          <w:tcPr>
            <w:tcW w:w="891" w:type="dxa"/>
            <w:vAlign w:val="bottom"/>
          </w:tcPr>
          <w:p w14:paraId="1657D9DC" w14:textId="77777777" w:rsidR="004F59A7" w:rsidRPr="00046EFB" w:rsidRDefault="004F59A7" w:rsidP="00F04877">
            <w:pPr>
              <w:pStyle w:val="-3"/>
              <w:rPr>
                <w:sz w:val="17"/>
                <w:szCs w:val="17"/>
                <w:rtl/>
              </w:rPr>
            </w:pPr>
            <w:r w:rsidRPr="00532A1C">
              <w:rPr>
                <w:sz w:val="17"/>
                <w:szCs w:val="17"/>
                <w:rtl/>
              </w:rPr>
              <w:t xml:space="preserve"> 0</w:t>
            </w:r>
            <w:r w:rsidRPr="00532A1C">
              <w:rPr>
                <w:sz w:val="17"/>
                <w:szCs w:val="17"/>
                <w:vertAlign w:val="superscript"/>
                <w:rtl/>
              </w:rPr>
              <w:t xml:space="preserve">(ב) </w:t>
            </w:r>
          </w:p>
        </w:tc>
        <w:tc>
          <w:tcPr>
            <w:tcW w:w="939" w:type="dxa"/>
            <w:vAlign w:val="bottom"/>
          </w:tcPr>
          <w:p w14:paraId="434D9202" w14:textId="77777777" w:rsidR="004F59A7" w:rsidRPr="00046EFB" w:rsidRDefault="004F59A7" w:rsidP="00F04877">
            <w:pPr>
              <w:pStyle w:val="-3"/>
              <w:rPr>
                <w:sz w:val="17"/>
                <w:szCs w:val="17"/>
                <w:rtl/>
              </w:rPr>
            </w:pPr>
            <w:r w:rsidRPr="00532A1C">
              <w:rPr>
                <w:sz w:val="17"/>
                <w:szCs w:val="17"/>
                <w:rtl/>
              </w:rPr>
              <w:t xml:space="preserve"> -</w:t>
            </w:r>
          </w:p>
        </w:tc>
        <w:tc>
          <w:tcPr>
            <w:tcW w:w="705" w:type="dxa"/>
            <w:vAlign w:val="bottom"/>
          </w:tcPr>
          <w:p w14:paraId="11E71C57" w14:textId="77777777" w:rsidR="004F59A7" w:rsidRPr="00046EFB" w:rsidRDefault="004F59A7" w:rsidP="00F04877">
            <w:pPr>
              <w:pStyle w:val="-3"/>
              <w:rPr>
                <w:sz w:val="17"/>
                <w:szCs w:val="17"/>
                <w:rtl/>
              </w:rPr>
            </w:pPr>
            <w:r w:rsidRPr="00532A1C">
              <w:rPr>
                <w:sz w:val="17"/>
                <w:szCs w:val="17"/>
                <w:rtl/>
              </w:rPr>
              <w:t xml:space="preserve"> 0</w:t>
            </w:r>
          </w:p>
        </w:tc>
        <w:tc>
          <w:tcPr>
            <w:tcW w:w="829" w:type="dxa"/>
            <w:vAlign w:val="bottom"/>
          </w:tcPr>
          <w:p w14:paraId="6A36DF43" w14:textId="77777777" w:rsidR="004F59A7" w:rsidRPr="00046EFB" w:rsidRDefault="004F59A7" w:rsidP="00F04877">
            <w:pPr>
              <w:pStyle w:val="-3"/>
              <w:rPr>
                <w:sz w:val="17"/>
                <w:szCs w:val="17"/>
                <w:rtl/>
              </w:rPr>
            </w:pPr>
            <w:r>
              <w:rPr>
                <w:rFonts w:hint="cs"/>
                <w:sz w:val="17"/>
                <w:szCs w:val="17"/>
                <w:rtl/>
              </w:rPr>
              <w:t xml:space="preserve"> 0</w:t>
            </w:r>
          </w:p>
        </w:tc>
        <w:tc>
          <w:tcPr>
            <w:tcW w:w="704" w:type="dxa"/>
            <w:vAlign w:val="bottom"/>
          </w:tcPr>
          <w:p w14:paraId="56200D3E" w14:textId="77777777" w:rsidR="004F59A7" w:rsidRPr="00046EFB" w:rsidRDefault="004F59A7" w:rsidP="00F04877">
            <w:pPr>
              <w:pStyle w:val="-3"/>
              <w:rPr>
                <w:sz w:val="17"/>
                <w:szCs w:val="17"/>
                <w:rtl/>
              </w:rPr>
            </w:pPr>
            <w:r w:rsidRPr="00532A1C">
              <w:rPr>
                <w:sz w:val="17"/>
                <w:szCs w:val="17"/>
                <w:rtl/>
              </w:rPr>
              <w:t>(0)</w:t>
            </w:r>
          </w:p>
        </w:tc>
        <w:tc>
          <w:tcPr>
            <w:tcW w:w="747" w:type="dxa"/>
            <w:vAlign w:val="bottom"/>
          </w:tcPr>
          <w:p w14:paraId="26A8DFB0" w14:textId="77777777" w:rsidR="004F59A7" w:rsidRPr="00046EFB" w:rsidRDefault="004F59A7" w:rsidP="00F04877">
            <w:pPr>
              <w:pStyle w:val="-3"/>
              <w:rPr>
                <w:sz w:val="17"/>
                <w:szCs w:val="17"/>
                <w:rtl/>
              </w:rPr>
            </w:pPr>
            <w:r w:rsidRPr="00532A1C">
              <w:rPr>
                <w:sz w:val="17"/>
                <w:szCs w:val="17"/>
                <w:rtl/>
              </w:rPr>
              <w:t>(0)</w:t>
            </w:r>
          </w:p>
        </w:tc>
        <w:tc>
          <w:tcPr>
            <w:tcW w:w="673" w:type="dxa"/>
            <w:vAlign w:val="bottom"/>
          </w:tcPr>
          <w:p w14:paraId="379A2673" w14:textId="77777777" w:rsidR="004F59A7" w:rsidRPr="00046EFB" w:rsidRDefault="004F59A7" w:rsidP="00F04877">
            <w:pPr>
              <w:pStyle w:val="-3"/>
              <w:rPr>
                <w:sz w:val="17"/>
                <w:szCs w:val="17"/>
                <w:rtl/>
              </w:rPr>
            </w:pPr>
            <w:r w:rsidRPr="00532A1C">
              <w:rPr>
                <w:sz w:val="17"/>
                <w:szCs w:val="17"/>
                <w:rtl/>
              </w:rPr>
              <w:t xml:space="preserve"> 0</w:t>
            </w:r>
          </w:p>
        </w:tc>
        <w:tc>
          <w:tcPr>
            <w:tcW w:w="752" w:type="dxa"/>
            <w:vAlign w:val="bottom"/>
          </w:tcPr>
          <w:p w14:paraId="2FC1D681" w14:textId="77777777" w:rsidR="004F59A7" w:rsidRPr="00046EFB" w:rsidRDefault="004F59A7" w:rsidP="00F04877">
            <w:pPr>
              <w:pStyle w:val="-3"/>
              <w:rPr>
                <w:sz w:val="17"/>
                <w:szCs w:val="17"/>
                <w:rtl/>
              </w:rPr>
            </w:pPr>
            <w:r w:rsidRPr="00532A1C">
              <w:rPr>
                <w:sz w:val="17"/>
                <w:szCs w:val="17"/>
                <w:rtl/>
              </w:rPr>
              <w:t>(0)</w:t>
            </w:r>
          </w:p>
        </w:tc>
        <w:tc>
          <w:tcPr>
            <w:tcW w:w="997" w:type="dxa"/>
            <w:vAlign w:val="bottom"/>
          </w:tcPr>
          <w:p w14:paraId="3A4EECB4" w14:textId="77777777" w:rsidR="004F59A7" w:rsidRPr="00046EFB" w:rsidRDefault="004F59A7" w:rsidP="00F04877">
            <w:pPr>
              <w:pStyle w:val="-3"/>
              <w:rPr>
                <w:sz w:val="17"/>
                <w:szCs w:val="17"/>
                <w:rtl/>
              </w:rPr>
            </w:pPr>
            <w:r w:rsidRPr="00532A1C">
              <w:rPr>
                <w:sz w:val="17"/>
                <w:szCs w:val="17"/>
                <w:rtl/>
              </w:rPr>
              <w:t xml:space="preserve"> 0</w:t>
            </w:r>
          </w:p>
        </w:tc>
        <w:tc>
          <w:tcPr>
            <w:tcW w:w="988" w:type="dxa"/>
            <w:vAlign w:val="bottom"/>
          </w:tcPr>
          <w:p w14:paraId="00DB8711" w14:textId="77777777" w:rsidR="004F59A7" w:rsidRPr="00046EFB" w:rsidRDefault="004F59A7" w:rsidP="00F04877">
            <w:pPr>
              <w:pStyle w:val="-3"/>
              <w:rPr>
                <w:sz w:val="17"/>
                <w:szCs w:val="17"/>
                <w:rtl/>
              </w:rPr>
            </w:pPr>
            <w:r w:rsidRPr="00532A1C">
              <w:rPr>
                <w:sz w:val="17"/>
                <w:szCs w:val="17"/>
                <w:rtl/>
              </w:rPr>
              <w:t xml:space="preserve"> 0</w:t>
            </w:r>
          </w:p>
        </w:tc>
        <w:tc>
          <w:tcPr>
            <w:tcW w:w="1702" w:type="dxa"/>
            <w:vAlign w:val="bottom"/>
          </w:tcPr>
          <w:p w14:paraId="00D94A35" w14:textId="77777777" w:rsidR="004F59A7" w:rsidRPr="00046EFB" w:rsidRDefault="004F59A7" w:rsidP="00F04877">
            <w:pPr>
              <w:pStyle w:val="-3"/>
              <w:rPr>
                <w:sz w:val="17"/>
                <w:szCs w:val="17"/>
                <w:rtl/>
              </w:rPr>
            </w:pPr>
            <w:r w:rsidRPr="00532A1C">
              <w:rPr>
                <w:sz w:val="17"/>
                <w:szCs w:val="17"/>
                <w:rtl/>
              </w:rPr>
              <w:t xml:space="preserve">  0</w:t>
            </w:r>
            <w:r w:rsidRPr="00532A1C">
              <w:rPr>
                <w:sz w:val="17"/>
                <w:szCs w:val="17"/>
                <w:vertAlign w:val="superscript"/>
                <w:rtl/>
              </w:rPr>
              <w:t>(ב)</w:t>
            </w:r>
          </w:p>
        </w:tc>
      </w:tr>
      <w:tr w:rsidR="004F59A7" w:rsidRPr="00543C25" w14:paraId="138A2DA8" w14:textId="77777777" w:rsidTr="00F04877">
        <w:tc>
          <w:tcPr>
            <w:tcW w:w="1560" w:type="dxa"/>
            <w:shd w:val="clear" w:color="auto" w:fill="auto"/>
          </w:tcPr>
          <w:p w14:paraId="4C800526"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66526CCA" w14:textId="77777777" w:rsidR="004F59A7" w:rsidRPr="00FC6A6C" w:rsidRDefault="004F59A7" w:rsidP="00F04877">
            <w:pPr>
              <w:pStyle w:val="-0"/>
              <w:spacing w:line="240" w:lineRule="auto"/>
              <w:ind w:left="467" w:hanging="114"/>
              <w:rPr>
                <w:sz w:val="17"/>
                <w:szCs w:val="17"/>
                <w:rtl/>
              </w:rPr>
            </w:pPr>
            <w:r w:rsidRPr="00FC6A6C">
              <w:rPr>
                <w:rFonts w:hint="cs"/>
                <w:sz w:val="16"/>
                <w:szCs w:val="16"/>
                <w:rtl/>
              </w:rPr>
              <w:t>נכסים בגין מכשירים נגזרים</w:t>
            </w:r>
            <w:r w:rsidRPr="00FC6A6C">
              <w:rPr>
                <w:rFonts w:hint="cs"/>
                <w:sz w:val="16"/>
                <w:szCs w:val="16"/>
                <w:vertAlign w:val="superscript"/>
                <w:rtl/>
              </w:rPr>
              <w:t xml:space="preserve"> [</w:t>
            </w:r>
            <w:r w:rsidRPr="00FC6A6C">
              <w:rPr>
                <w:rStyle w:val="a7"/>
                <w:sz w:val="16"/>
                <w:szCs w:val="16"/>
                <w:rtl/>
              </w:rPr>
              <w:footnoteReference w:id="132"/>
            </w:r>
            <w:r w:rsidRPr="00FC6A6C">
              <w:rPr>
                <w:rFonts w:hint="cs"/>
                <w:sz w:val="16"/>
                <w:szCs w:val="16"/>
                <w:vertAlign w:val="superscript"/>
                <w:rtl/>
              </w:rPr>
              <w:t>]</w:t>
            </w:r>
          </w:p>
        </w:tc>
        <w:tc>
          <w:tcPr>
            <w:tcW w:w="850" w:type="dxa"/>
            <w:vAlign w:val="bottom"/>
          </w:tcPr>
          <w:p w14:paraId="03246BC9" w14:textId="77777777" w:rsidR="004F59A7" w:rsidRDefault="004F59A7" w:rsidP="00F04877">
            <w:pPr>
              <w:pStyle w:val="-3"/>
              <w:rPr>
                <w:sz w:val="17"/>
                <w:szCs w:val="17"/>
                <w:rtl/>
              </w:rPr>
            </w:pPr>
            <w:r w:rsidRPr="00532A1C">
              <w:rPr>
                <w:sz w:val="17"/>
                <w:szCs w:val="17"/>
                <w:rtl/>
              </w:rPr>
              <w:t xml:space="preserve"> 0</w:t>
            </w:r>
          </w:p>
        </w:tc>
        <w:tc>
          <w:tcPr>
            <w:tcW w:w="891" w:type="dxa"/>
            <w:vAlign w:val="bottom"/>
          </w:tcPr>
          <w:p w14:paraId="2747AECD" w14:textId="77777777" w:rsidR="004F59A7" w:rsidRDefault="004F59A7" w:rsidP="00F04877">
            <w:pPr>
              <w:pStyle w:val="-3"/>
              <w:rPr>
                <w:sz w:val="17"/>
                <w:szCs w:val="17"/>
                <w:rtl/>
              </w:rPr>
            </w:pPr>
            <w:r w:rsidRPr="00532A1C">
              <w:rPr>
                <w:sz w:val="17"/>
                <w:szCs w:val="17"/>
                <w:rtl/>
              </w:rPr>
              <w:t xml:space="preserve"> 0 </w:t>
            </w:r>
          </w:p>
        </w:tc>
        <w:tc>
          <w:tcPr>
            <w:tcW w:w="939" w:type="dxa"/>
            <w:vAlign w:val="bottom"/>
          </w:tcPr>
          <w:p w14:paraId="0409AB78" w14:textId="77777777" w:rsidR="004F59A7" w:rsidRDefault="004F59A7" w:rsidP="00F04877">
            <w:pPr>
              <w:pStyle w:val="-3"/>
              <w:rPr>
                <w:sz w:val="17"/>
                <w:szCs w:val="17"/>
                <w:rtl/>
              </w:rPr>
            </w:pPr>
            <w:r w:rsidRPr="00532A1C">
              <w:rPr>
                <w:sz w:val="17"/>
                <w:szCs w:val="17"/>
                <w:rtl/>
              </w:rPr>
              <w:t xml:space="preserve"> </w:t>
            </w:r>
            <w:r>
              <w:rPr>
                <w:rFonts w:hint="cs"/>
                <w:sz w:val="17"/>
                <w:szCs w:val="17"/>
                <w:rtl/>
              </w:rPr>
              <w:t>-</w:t>
            </w:r>
          </w:p>
        </w:tc>
        <w:tc>
          <w:tcPr>
            <w:tcW w:w="705" w:type="dxa"/>
            <w:vAlign w:val="bottom"/>
          </w:tcPr>
          <w:p w14:paraId="0203DF88" w14:textId="77777777" w:rsidR="004F59A7" w:rsidRDefault="004F59A7" w:rsidP="00F04877">
            <w:pPr>
              <w:pStyle w:val="-3"/>
              <w:rPr>
                <w:sz w:val="17"/>
                <w:szCs w:val="17"/>
                <w:rtl/>
              </w:rPr>
            </w:pPr>
            <w:r w:rsidRPr="00532A1C">
              <w:rPr>
                <w:sz w:val="17"/>
                <w:szCs w:val="17"/>
                <w:rtl/>
              </w:rPr>
              <w:t xml:space="preserve"> 0</w:t>
            </w:r>
          </w:p>
        </w:tc>
        <w:tc>
          <w:tcPr>
            <w:tcW w:w="829" w:type="dxa"/>
            <w:vAlign w:val="bottom"/>
          </w:tcPr>
          <w:p w14:paraId="69A31C13" w14:textId="77777777" w:rsidR="004F59A7" w:rsidRDefault="004F59A7" w:rsidP="00F04877">
            <w:pPr>
              <w:pStyle w:val="-3"/>
              <w:rPr>
                <w:sz w:val="17"/>
                <w:szCs w:val="17"/>
                <w:rtl/>
              </w:rPr>
            </w:pPr>
            <w:r>
              <w:rPr>
                <w:rFonts w:hint="cs"/>
                <w:sz w:val="17"/>
                <w:szCs w:val="17"/>
                <w:rtl/>
              </w:rPr>
              <w:t xml:space="preserve"> 0</w:t>
            </w:r>
          </w:p>
        </w:tc>
        <w:tc>
          <w:tcPr>
            <w:tcW w:w="704" w:type="dxa"/>
            <w:vAlign w:val="bottom"/>
          </w:tcPr>
          <w:p w14:paraId="31790389" w14:textId="77777777" w:rsidR="004F59A7" w:rsidRDefault="004F59A7" w:rsidP="00F04877">
            <w:pPr>
              <w:pStyle w:val="-3"/>
              <w:rPr>
                <w:sz w:val="17"/>
                <w:szCs w:val="17"/>
                <w:rtl/>
              </w:rPr>
            </w:pPr>
            <w:r w:rsidRPr="00532A1C">
              <w:rPr>
                <w:sz w:val="17"/>
                <w:szCs w:val="17"/>
                <w:rtl/>
              </w:rPr>
              <w:t>(0)</w:t>
            </w:r>
          </w:p>
        </w:tc>
        <w:tc>
          <w:tcPr>
            <w:tcW w:w="747" w:type="dxa"/>
            <w:vAlign w:val="bottom"/>
          </w:tcPr>
          <w:p w14:paraId="0A896834" w14:textId="77777777" w:rsidR="004F59A7" w:rsidRDefault="004F59A7" w:rsidP="00F04877">
            <w:pPr>
              <w:pStyle w:val="-3"/>
              <w:rPr>
                <w:sz w:val="17"/>
                <w:szCs w:val="17"/>
                <w:rtl/>
              </w:rPr>
            </w:pPr>
            <w:r w:rsidRPr="00532A1C">
              <w:rPr>
                <w:sz w:val="17"/>
                <w:szCs w:val="17"/>
                <w:rtl/>
              </w:rPr>
              <w:t>(0)</w:t>
            </w:r>
          </w:p>
        </w:tc>
        <w:tc>
          <w:tcPr>
            <w:tcW w:w="673" w:type="dxa"/>
            <w:vAlign w:val="bottom"/>
          </w:tcPr>
          <w:p w14:paraId="546F46AA" w14:textId="77777777" w:rsidR="004F59A7" w:rsidRDefault="004F59A7" w:rsidP="00F04877">
            <w:pPr>
              <w:pStyle w:val="-3"/>
              <w:rPr>
                <w:sz w:val="17"/>
                <w:szCs w:val="17"/>
                <w:rtl/>
              </w:rPr>
            </w:pPr>
            <w:r w:rsidRPr="00532A1C">
              <w:rPr>
                <w:sz w:val="17"/>
                <w:szCs w:val="17"/>
                <w:rtl/>
              </w:rPr>
              <w:t xml:space="preserve"> 0</w:t>
            </w:r>
          </w:p>
        </w:tc>
        <w:tc>
          <w:tcPr>
            <w:tcW w:w="752" w:type="dxa"/>
            <w:vAlign w:val="bottom"/>
          </w:tcPr>
          <w:p w14:paraId="4BF6D54D" w14:textId="77777777" w:rsidR="004F59A7" w:rsidRDefault="004F59A7" w:rsidP="00F04877">
            <w:pPr>
              <w:pStyle w:val="-3"/>
              <w:rPr>
                <w:sz w:val="17"/>
                <w:szCs w:val="17"/>
                <w:rtl/>
              </w:rPr>
            </w:pPr>
            <w:r w:rsidRPr="00532A1C">
              <w:rPr>
                <w:sz w:val="17"/>
                <w:szCs w:val="17"/>
                <w:rtl/>
              </w:rPr>
              <w:t>(0)</w:t>
            </w:r>
          </w:p>
        </w:tc>
        <w:tc>
          <w:tcPr>
            <w:tcW w:w="997" w:type="dxa"/>
            <w:vAlign w:val="bottom"/>
          </w:tcPr>
          <w:p w14:paraId="5761DA3D" w14:textId="77777777" w:rsidR="004F59A7" w:rsidRDefault="004F59A7" w:rsidP="00F04877">
            <w:pPr>
              <w:pStyle w:val="-3"/>
              <w:rPr>
                <w:sz w:val="17"/>
                <w:szCs w:val="17"/>
                <w:rtl/>
              </w:rPr>
            </w:pPr>
            <w:r w:rsidRPr="00532A1C">
              <w:rPr>
                <w:sz w:val="17"/>
                <w:szCs w:val="17"/>
                <w:rtl/>
              </w:rPr>
              <w:t xml:space="preserve"> 0</w:t>
            </w:r>
          </w:p>
        </w:tc>
        <w:tc>
          <w:tcPr>
            <w:tcW w:w="988" w:type="dxa"/>
            <w:vAlign w:val="bottom"/>
          </w:tcPr>
          <w:p w14:paraId="5FFE4C3F" w14:textId="77777777" w:rsidR="004F59A7" w:rsidRDefault="004F59A7" w:rsidP="00F04877">
            <w:pPr>
              <w:pStyle w:val="-3"/>
              <w:rPr>
                <w:sz w:val="17"/>
                <w:szCs w:val="17"/>
                <w:rtl/>
              </w:rPr>
            </w:pPr>
            <w:r w:rsidRPr="00532A1C">
              <w:rPr>
                <w:sz w:val="17"/>
                <w:szCs w:val="17"/>
                <w:rtl/>
              </w:rPr>
              <w:t xml:space="preserve"> 0</w:t>
            </w:r>
          </w:p>
        </w:tc>
        <w:tc>
          <w:tcPr>
            <w:tcW w:w="1702" w:type="dxa"/>
            <w:vAlign w:val="bottom"/>
          </w:tcPr>
          <w:p w14:paraId="39BFF0EB" w14:textId="77777777" w:rsidR="004F59A7" w:rsidRDefault="004F59A7" w:rsidP="00F04877">
            <w:pPr>
              <w:pStyle w:val="-3"/>
              <w:rPr>
                <w:sz w:val="17"/>
                <w:szCs w:val="17"/>
                <w:rtl/>
              </w:rPr>
            </w:pPr>
            <w:r w:rsidRPr="00532A1C">
              <w:rPr>
                <w:sz w:val="17"/>
                <w:szCs w:val="17"/>
                <w:rtl/>
              </w:rPr>
              <w:t xml:space="preserve">  0</w:t>
            </w:r>
          </w:p>
        </w:tc>
      </w:tr>
      <w:tr w:rsidR="004F59A7" w:rsidRPr="00543C25" w14:paraId="1A1FF84E" w14:textId="77777777" w:rsidTr="00F04877">
        <w:tc>
          <w:tcPr>
            <w:tcW w:w="1560" w:type="dxa"/>
            <w:shd w:val="clear" w:color="auto" w:fill="auto"/>
          </w:tcPr>
          <w:p w14:paraId="3706480B"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0706A8D0" w14:textId="77777777" w:rsidR="004F59A7" w:rsidRPr="00FC6A6C" w:rsidRDefault="004F59A7" w:rsidP="00F04877">
            <w:pPr>
              <w:pStyle w:val="-0"/>
              <w:spacing w:line="240" w:lineRule="auto"/>
              <w:ind w:left="467" w:hanging="114"/>
              <w:rPr>
                <w:sz w:val="17"/>
                <w:szCs w:val="17"/>
                <w:rtl/>
              </w:rPr>
            </w:pPr>
            <w:r w:rsidRPr="00FC6A6C">
              <w:rPr>
                <w:rFonts w:hint="eastAsia"/>
                <w:sz w:val="16"/>
                <w:szCs w:val="16"/>
                <w:rtl/>
              </w:rPr>
              <w:t>אחר</w:t>
            </w:r>
            <w:r w:rsidRPr="00FC6A6C">
              <w:rPr>
                <w:rFonts w:hint="cs"/>
                <w:sz w:val="16"/>
                <w:szCs w:val="16"/>
                <w:rtl/>
              </w:rPr>
              <w:t xml:space="preserve"> [פרט אם מהותי]</w:t>
            </w:r>
          </w:p>
        </w:tc>
        <w:tc>
          <w:tcPr>
            <w:tcW w:w="850" w:type="dxa"/>
            <w:vAlign w:val="bottom"/>
          </w:tcPr>
          <w:p w14:paraId="2586ECBC"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891" w:type="dxa"/>
            <w:vAlign w:val="bottom"/>
          </w:tcPr>
          <w:p w14:paraId="4434B27A" w14:textId="77777777" w:rsidR="004F59A7" w:rsidRDefault="004F59A7" w:rsidP="00F04877">
            <w:pPr>
              <w:pStyle w:val="-3"/>
              <w:pBdr>
                <w:bottom w:val="single" w:sz="4" w:space="1" w:color="auto"/>
              </w:pBdr>
              <w:rPr>
                <w:sz w:val="17"/>
                <w:szCs w:val="17"/>
                <w:rtl/>
              </w:rPr>
            </w:pPr>
            <w:r w:rsidRPr="00532A1C">
              <w:rPr>
                <w:sz w:val="17"/>
                <w:szCs w:val="17"/>
                <w:rtl/>
              </w:rPr>
              <w:t xml:space="preserve"> 0</w:t>
            </w:r>
            <w:r w:rsidRPr="00532A1C">
              <w:rPr>
                <w:sz w:val="17"/>
                <w:szCs w:val="17"/>
                <w:vertAlign w:val="superscript"/>
                <w:rtl/>
              </w:rPr>
              <w:t xml:space="preserve">(ג) </w:t>
            </w:r>
          </w:p>
        </w:tc>
        <w:tc>
          <w:tcPr>
            <w:tcW w:w="939" w:type="dxa"/>
            <w:vAlign w:val="bottom"/>
          </w:tcPr>
          <w:p w14:paraId="34AFC56B" w14:textId="77777777" w:rsidR="004F59A7" w:rsidRDefault="004F59A7" w:rsidP="00F04877">
            <w:pPr>
              <w:pStyle w:val="-3"/>
              <w:pBdr>
                <w:bottom w:val="single" w:sz="4" w:space="1" w:color="auto"/>
              </w:pBdr>
              <w:rPr>
                <w:sz w:val="17"/>
                <w:szCs w:val="17"/>
                <w:rtl/>
              </w:rPr>
            </w:pPr>
            <w:r w:rsidRPr="00532A1C">
              <w:rPr>
                <w:sz w:val="17"/>
                <w:szCs w:val="17"/>
                <w:rtl/>
              </w:rPr>
              <w:t xml:space="preserve"> </w:t>
            </w:r>
            <w:r>
              <w:rPr>
                <w:rFonts w:hint="cs"/>
                <w:sz w:val="17"/>
                <w:szCs w:val="17"/>
                <w:rtl/>
              </w:rPr>
              <w:t>-</w:t>
            </w:r>
          </w:p>
        </w:tc>
        <w:tc>
          <w:tcPr>
            <w:tcW w:w="705" w:type="dxa"/>
            <w:vAlign w:val="bottom"/>
          </w:tcPr>
          <w:p w14:paraId="56355E34"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829" w:type="dxa"/>
            <w:vAlign w:val="bottom"/>
          </w:tcPr>
          <w:p w14:paraId="586BE3E8"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704" w:type="dxa"/>
            <w:vAlign w:val="bottom"/>
          </w:tcPr>
          <w:p w14:paraId="3E130E27" w14:textId="77777777" w:rsidR="004F59A7" w:rsidRDefault="004F59A7" w:rsidP="00F04877">
            <w:pPr>
              <w:pStyle w:val="-3"/>
              <w:pBdr>
                <w:bottom w:val="single" w:sz="4" w:space="1" w:color="auto"/>
              </w:pBdr>
              <w:rPr>
                <w:sz w:val="17"/>
                <w:szCs w:val="17"/>
                <w:rtl/>
              </w:rPr>
            </w:pPr>
            <w:r w:rsidRPr="00532A1C">
              <w:rPr>
                <w:sz w:val="17"/>
                <w:szCs w:val="17"/>
                <w:rtl/>
              </w:rPr>
              <w:t>(0)</w:t>
            </w:r>
          </w:p>
        </w:tc>
        <w:tc>
          <w:tcPr>
            <w:tcW w:w="747" w:type="dxa"/>
            <w:vAlign w:val="bottom"/>
          </w:tcPr>
          <w:p w14:paraId="7C12C3F5" w14:textId="77777777" w:rsidR="004F59A7" w:rsidRDefault="004F59A7" w:rsidP="00F04877">
            <w:pPr>
              <w:pStyle w:val="-3"/>
              <w:pBdr>
                <w:bottom w:val="single" w:sz="4" w:space="1" w:color="auto"/>
              </w:pBdr>
              <w:rPr>
                <w:sz w:val="17"/>
                <w:szCs w:val="17"/>
                <w:rtl/>
              </w:rPr>
            </w:pPr>
            <w:r w:rsidRPr="00532A1C">
              <w:rPr>
                <w:sz w:val="17"/>
                <w:szCs w:val="17"/>
                <w:rtl/>
              </w:rPr>
              <w:t>(0)</w:t>
            </w:r>
          </w:p>
        </w:tc>
        <w:tc>
          <w:tcPr>
            <w:tcW w:w="673" w:type="dxa"/>
            <w:vAlign w:val="bottom"/>
          </w:tcPr>
          <w:p w14:paraId="76F48D61"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752" w:type="dxa"/>
            <w:vAlign w:val="bottom"/>
          </w:tcPr>
          <w:p w14:paraId="1EE0BA5A" w14:textId="77777777" w:rsidR="004F59A7" w:rsidRDefault="004F59A7" w:rsidP="00F04877">
            <w:pPr>
              <w:pStyle w:val="-3"/>
              <w:pBdr>
                <w:bottom w:val="single" w:sz="4" w:space="1" w:color="auto"/>
              </w:pBdr>
              <w:rPr>
                <w:sz w:val="17"/>
                <w:szCs w:val="17"/>
                <w:rtl/>
              </w:rPr>
            </w:pPr>
            <w:r w:rsidRPr="00532A1C">
              <w:rPr>
                <w:sz w:val="17"/>
                <w:szCs w:val="17"/>
                <w:rtl/>
              </w:rPr>
              <w:t>(0)</w:t>
            </w:r>
          </w:p>
        </w:tc>
        <w:tc>
          <w:tcPr>
            <w:tcW w:w="997" w:type="dxa"/>
            <w:vAlign w:val="bottom"/>
          </w:tcPr>
          <w:p w14:paraId="2E59C8C4"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988" w:type="dxa"/>
            <w:vAlign w:val="bottom"/>
          </w:tcPr>
          <w:p w14:paraId="4577D847"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1702" w:type="dxa"/>
            <w:vAlign w:val="bottom"/>
          </w:tcPr>
          <w:p w14:paraId="21B0E3CD" w14:textId="77777777" w:rsidR="004F59A7" w:rsidRDefault="004F59A7" w:rsidP="00F04877">
            <w:pPr>
              <w:pStyle w:val="-3"/>
              <w:pBdr>
                <w:bottom w:val="single" w:sz="4" w:space="1" w:color="auto"/>
              </w:pBdr>
              <w:rPr>
                <w:sz w:val="17"/>
                <w:szCs w:val="17"/>
                <w:rtl/>
              </w:rPr>
            </w:pPr>
            <w:r w:rsidRPr="00532A1C">
              <w:rPr>
                <w:sz w:val="17"/>
                <w:szCs w:val="17"/>
                <w:rtl/>
              </w:rPr>
              <w:t xml:space="preserve">  0</w:t>
            </w:r>
            <w:r w:rsidRPr="00532A1C">
              <w:rPr>
                <w:sz w:val="17"/>
                <w:szCs w:val="17"/>
                <w:vertAlign w:val="superscript"/>
                <w:rtl/>
              </w:rPr>
              <w:t>(ג)</w:t>
            </w:r>
          </w:p>
        </w:tc>
      </w:tr>
      <w:tr w:rsidR="004F59A7" w:rsidRPr="00FC6A6C" w14:paraId="4B279119" w14:textId="77777777" w:rsidTr="00F04877">
        <w:tc>
          <w:tcPr>
            <w:tcW w:w="1560" w:type="dxa"/>
            <w:shd w:val="clear" w:color="auto" w:fill="auto"/>
          </w:tcPr>
          <w:p w14:paraId="57859117"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3A1C0782" w14:textId="77777777" w:rsidR="004F59A7" w:rsidRPr="00BF2D3B" w:rsidRDefault="004F59A7" w:rsidP="00F04877">
            <w:pPr>
              <w:pStyle w:val="-f"/>
              <w:ind w:left="560" w:hanging="235"/>
              <w:rPr>
                <w:sz w:val="16"/>
                <w:szCs w:val="16"/>
                <w:u w:val="none"/>
                <w:rtl/>
              </w:rPr>
            </w:pPr>
            <w:r w:rsidRPr="00BF2D3B">
              <w:rPr>
                <w:sz w:val="16"/>
                <w:szCs w:val="16"/>
                <w:u w:val="none"/>
                <w:rtl/>
              </w:rPr>
              <w:t xml:space="preserve">סך </w:t>
            </w:r>
            <w:r w:rsidRPr="00BF2D3B">
              <w:rPr>
                <w:rFonts w:hint="cs"/>
                <w:sz w:val="16"/>
                <w:szCs w:val="16"/>
                <w:u w:val="none"/>
                <w:rtl/>
              </w:rPr>
              <w:t>כל הנכסים</w:t>
            </w:r>
          </w:p>
        </w:tc>
        <w:tc>
          <w:tcPr>
            <w:tcW w:w="850" w:type="dxa"/>
            <w:vAlign w:val="bottom"/>
          </w:tcPr>
          <w:p w14:paraId="6058CC22" w14:textId="77777777" w:rsidR="004F59A7" w:rsidRPr="00FC6A6C" w:rsidRDefault="004F59A7" w:rsidP="00F04877">
            <w:pPr>
              <w:pStyle w:val="-3"/>
              <w:rPr>
                <w:b/>
                <w:bCs/>
                <w:sz w:val="17"/>
                <w:szCs w:val="17"/>
                <w:rtl/>
              </w:rPr>
            </w:pPr>
            <w:r w:rsidRPr="00FC6A6C">
              <w:rPr>
                <w:b/>
                <w:bCs/>
                <w:sz w:val="17"/>
                <w:szCs w:val="17"/>
                <w:rtl/>
              </w:rPr>
              <w:t xml:space="preserve"> 0</w:t>
            </w:r>
          </w:p>
        </w:tc>
        <w:tc>
          <w:tcPr>
            <w:tcW w:w="891" w:type="dxa"/>
            <w:vAlign w:val="bottom"/>
          </w:tcPr>
          <w:p w14:paraId="499C203F" w14:textId="77777777" w:rsidR="004F59A7" w:rsidRPr="00FC6A6C" w:rsidRDefault="004F59A7" w:rsidP="00F04877">
            <w:pPr>
              <w:pStyle w:val="-3"/>
              <w:rPr>
                <w:b/>
                <w:bCs/>
                <w:sz w:val="17"/>
                <w:szCs w:val="17"/>
                <w:rtl/>
              </w:rPr>
            </w:pPr>
            <w:r w:rsidRPr="00FC6A6C">
              <w:rPr>
                <w:b/>
                <w:bCs/>
                <w:sz w:val="17"/>
                <w:szCs w:val="17"/>
                <w:rtl/>
              </w:rPr>
              <w:t xml:space="preserve"> 0</w:t>
            </w:r>
          </w:p>
        </w:tc>
        <w:tc>
          <w:tcPr>
            <w:tcW w:w="939" w:type="dxa"/>
            <w:vAlign w:val="bottom"/>
          </w:tcPr>
          <w:p w14:paraId="058E004F" w14:textId="77777777" w:rsidR="004F59A7" w:rsidRPr="00FC6A6C" w:rsidRDefault="004F59A7" w:rsidP="00F04877">
            <w:pPr>
              <w:pStyle w:val="-3"/>
              <w:rPr>
                <w:b/>
                <w:bCs/>
                <w:sz w:val="17"/>
                <w:szCs w:val="17"/>
                <w:rtl/>
              </w:rPr>
            </w:pPr>
            <w:r w:rsidRPr="00FC6A6C">
              <w:rPr>
                <w:b/>
                <w:bCs/>
                <w:sz w:val="17"/>
                <w:szCs w:val="17"/>
                <w:rtl/>
              </w:rPr>
              <w:t xml:space="preserve"> 0</w:t>
            </w:r>
          </w:p>
        </w:tc>
        <w:tc>
          <w:tcPr>
            <w:tcW w:w="705" w:type="dxa"/>
            <w:vAlign w:val="bottom"/>
          </w:tcPr>
          <w:p w14:paraId="33AE8DFF" w14:textId="77777777" w:rsidR="004F59A7" w:rsidRPr="00FC6A6C" w:rsidRDefault="004F59A7" w:rsidP="00F04877">
            <w:pPr>
              <w:pStyle w:val="-3"/>
              <w:rPr>
                <w:b/>
                <w:bCs/>
                <w:sz w:val="17"/>
                <w:szCs w:val="17"/>
                <w:rtl/>
              </w:rPr>
            </w:pPr>
            <w:r w:rsidRPr="00FC6A6C">
              <w:rPr>
                <w:b/>
                <w:bCs/>
                <w:sz w:val="17"/>
                <w:szCs w:val="17"/>
                <w:rtl/>
              </w:rPr>
              <w:t xml:space="preserve"> 0</w:t>
            </w:r>
          </w:p>
        </w:tc>
        <w:tc>
          <w:tcPr>
            <w:tcW w:w="829" w:type="dxa"/>
            <w:vAlign w:val="bottom"/>
          </w:tcPr>
          <w:p w14:paraId="4A8A4B6C" w14:textId="77777777" w:rsidR="004F59A7" w:rsidRPr="00FC6A6C" w:rsidRDefault="004F59A7" w:rsidP="00F04877">
            <w:pPr>
              <w:pStyle w:val="-3"/>
              <w:rPr>
                <w:b/>
                <w:bCs/>
                <w:sz w:val="17"/>
                <w:szCs w:val="17"/>
                <w:rtl/>
              </w:rPr>
            </w:pPr>
            <w:r w:rsidRPr="00FC6A6C">
              <w:rPr>
                <w:b/>
                <w:bCs/>
                <w:sz w:val="17"/>
                <w:szCs w:val="17"/>
                <w:rtl/>
              </w:rPr>
              <w:t xml:space="preserve"> 0</w:t>
            </w:r>
          </w:p>
        </w:tc>
        <w:tc>
          <w:tcPr>
            <w:tcW w:w="704" w:type="dxa"/>
            <w:vAlign w:val="bottom"/>
          </w:tcPr>
          <w:p w14:paraId="367C5BA1" w14:textId="77777777" w:rsidR="004F59A7" w:rsidRPr="00FC6A6C" w:rsidRDefault="004F59A7" w:rsidP="00F04877">
            <w:pPr>
              <w:pStyle w:val="-3"/>
              <w:rPr>
                <w:b/>
                <w:bCs/>
                <w:sz w:val="17"/>
                <w:szCs w:val="17"/>
                <w:rtl/>
              </w:rPr>
            </w:pPr>
            <w:r w:rsidRPr="00FC6A6C">
              <w:rPr>
                <w:b/>
                <w:bCs/>
                <w:sz w:val="17"/>
                <w:szCs w:val="17"/>
                <w:rtl/>
              </w:rPr>
              <w:t>(0)</w:t>
            </w:r>
          </w:p>
        </w:tc>
        <w:tc>
          <w:tcPr>
            <w:tcW w:w="747" w:type="dxa"/>
            <w:vAlign w:val="bottom"/>
          </w:tcPr>
          <w:p w14:paraId="5BD410D2" w14:textId="77777777" w:rsidR="004F59A7" w:rsidRPr="00FC6A6C" w:rsidRDefault="004F59A7" w:rsidP="00F04877">
            <w:pPr>
              <w:pStyle w:val="-3"/>
              <w:rPr>
                <w:b/>
                <w:bCs/>
                <w:sz w:val="17"/>
                <w:szCs w:val="17"/>
                <w:rtl/>
              </w:rPr>
            </w:pPr>
            <w:r w:rsidRPr="00FC6A6C">
              <w:rPr>
                <w:b/>
                <w:bCs/>
                <w:sz w:val="17"/>
                <w:szCs w:val="17"/>
                <w:rtl/>
              </w:rPr>
              <w:t>(0)</w:t>
            </w:r>
          </w:p>
        </w:tc>
        <w:tc>
          <w:tcPr>
            <w:tcW w:w="673" w:type="dxa"/>
            <w:vAlign w:val="bottom"/>
          </w:tcPr>
          <w:p w14:paraId="71962041" w14:textId="77777777" w:rsidR="004F59A7" w:rsidRPr="00FC6A6C" w:rsidRDefault="004F59A7" w:rsidP="00F04877">
            <w:pPr>
              <w:pStyle w:val="-3"/>
              <w:rPr>
                <w:b/>
                <w:bCs/>
                <w:sz w:val="17"/>
                <w:szCs w:val="17"/>
                <w:rtl/>
              </w:rPr>
            </w:pPr>
            <w:r w:rsidRPr="00FC6A6C">
              <w:rPr>
                <w:b/>
                <w:bCs/>
                <w:sz w:val="17"/>
                <w:szCs w:val="17"/>
                <w:rtl/>
              </w:rPr>
              <w:t xml:space="preserve"> 0</w:t>
            </w:r>
          </w:p>
        </w:tc>
        <w:tc>
          <w:tcPr>
            <w:tcW w:w="752" w:type="dxa"/>
            <w:vAlign w:val="bottom"/>
          </w:tcPr>
          <w:p w14:paraId="276040E5" w14:textId="77777777" w:rsidR="004F59A7" w:rsidRPr="00FC6A6C" w:rsidRDefault="004F59A7" w:rsidP="00F04877">
            <w:pPr>
              <w:pStyle w:val="-3"/>
              <w:rPr>
                <w:b/>
                <w:bCs/>
                <w:sz w:val="17"/>
                <w:szCs w:val="17"/>
                <w:rtl/>
              </w:rPr>
            </w:pPr>
            <w:r w:rsidRPr="00FC6A6C">
              <w:rPr>
                <w:b/>
                <w:bCs/>
                <w:sz w:val="17"/>
                <w:szCs w:val="17"/>
                <w:rtl/>
              </w:rPr>
              <w:t>(0)</w:t>
            </w:r>
          </w:p>
        </w:tc>
        <w:tc>
          <w:tcPr>
            <w:tcW w:w="997" w:type="dxa"/>
          </w:tcPr>
          <w:p w14:paraId="32A65E98" w14:textId="77777777" w:rsidR="004F59A7" w:rsidRPr="00FC6A6C" w:rsidRDefault="004F59A7" w:rsidP="00F04877">
            <w:pPr>
              <w:pStyle w:val="-3"/>
              <w:rPr>
                <w:b/>
                <w:bCs/>
                <w:sz w:val="17"/>
                <w:szCs w:val="17"/>
                <w:rtl/>
              </w:rPr>
            </w:pPr>
            <w:r w:rsidRPr="00FC6A6C">
              <w:rPr>
                <w:b/>
                <w:bCs/>
                <w:sz w:val="17"/>
                <w:szCs w:val="17"/>
                <w:rtl/>
              </w:rPr>
              <w:t xml:space="preserve"> 0</w:t>
            </w:r>
          </w:p>
        </w:tc>
        <w:tc>
          <w:tcPr>
            <w:tcW w:w="988" w:type="dxa"/>
            <w:vAlign w:val="bottom"/>
          </w:tcPr>
          <w:p w14:paraId="3387B90C" w14:textId="77777777" w:rsidR="004F59A7" w:rsidRPr="00FC6A6C" w:rsidRDefault="004F59A7" w:rsidP="00F04877">
            <w:pPr>
              <w:pStyle w:val="-3"/>
              <w:rPr>
                <w:b/>
                <w:bCs/>
                <w:sz w:val="17"/>
                <w:szCs w:val="17"/>
                <w:rtl/>
              </w:rPr>
            </w:pPr>
            <w:r w:rsidRPr="00FC6A6C">
              <w:rPr>
                <w:b/>
                <w:bCs/>
                <w:sz w:val="17"/>
                <w:szCs w:val="17"/>
                <w:rtl/>
              </w:rPr>
              <w:t xml:space="preserve"> 0</w:t>
            </w:r>
          </w:p>
        </w:tc>
        <w:tc>
          <w:tcPr>
            <w:tcW w:w="1702" w:type="dxa"/>
            <w:vAlign w:val="bottom"/>
          </w:tcPr>
          <w:p w14:paraId="78D2D44D" w14:textId="77777777" w:rsidR="004F59A7" w:rsidRPr="00FC6A6C" w:rsidRDefault="004F59A7" w:rsidP="00F04877">
            <w:pPr>
              <w:pStyle w:val="-3"/>
              <w:rPr>
                <w:b/>
                <w:bCs/>
                <w:sz w:val="17"/>
                <w:szCs w:val="17"/>
                <w:rtl/>
              </w:rPr>
            </w:pPr>
            <w:r w:rsidRPr="00FC6A6C">
              <w:rPr>
                <w:b/>
                <w:bCs/>
                <w:sz w:val="17"/>
                <w:szCs w:val="17"/>
                <w:rtl/>
              </w:rPr>
              <w:t xml:space="preserve">  0</w:t>
            </w:r>
          </w:p>
        </w:tc>
      </w:tr>
      <w:tr w:rsidR="004F59A7" w:rsidRPr="00543C25" w14:paraId="1600A465" w14:textId="77777777" w:rsidTr="00F04877">
        <w:tc>
          <w:tcPr>
            <w:tcW w:w="1560" w:type="dxa"/>
            <w:shd w:val="clear" w:color="auto" w:fill="auto"/>
          </w:tcPr>
          <w:p w14:paraId="47F64120"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4D2D48AF" w14:textId="77777777" w:rsidR="004F59A7" w:rsidRPr="00FC6A6C" w:rsidRDefault="004F59A7" w:rsidP="00F04877">
            <w:pPr>
              <w:pStyle w:val="-f"/>
              <w:spacing w:before="60"/>
              <w:ind w:left="555" w:hanging="232"/>
              <w:rPr>
                <w:b w:val="0"/>
                <w:bCs w:val="0"/>
                <w:sz w:val="17"/>
                <w:szCs w:val="17"/>
                <w:rtl/>
              </w:rPr>
            </w:pPr>
            <w:r w:rsidRPr="00FC6A6C">
              <w:rPr>
                <w:sz w:val="16"/>
                <w:szCs w:val="16"/>
                <w:rtl/>
              </w:rPr>
              <w:t xml:space="preserve">התחייבויות </w:t>
            </w:r>
          </w:p>
        </w:tc>
        <w:tc>
          <w:tcPr>
            <w:tcW w:w="850" w:type="dxa"/>
            <w:vAlign w:val="bottom"/>
          </w:tcPr>
          <w:p w14:paraId="5D4A362B" w14:textId="77777777" w:rsidR="004F59A7" w:rsidRDefault="004F59A7" w:rsidP="00F04877">
            <w:pPr>
              <w:pStyle w:val="-3"/>
              <w:rPr>
                <w:sz w:val="17"/>
                <w:szCs w:val="17"/>
                <w:rtl/>
              </w:rPr>
            </w:pPr>
          </w:p>
        </w:tc>
        <w:tc>
          <w:tcPr>
            <w:tcW w:w="891" w:type="dxa"/>
            <w:tcBorders>
              <w:bottom w:val="nil"/>
            </w:tcBorders>
            <w:vAlign w:val="bottom"/>
          </w:tcPr>
          <w:p w14:paraId="030CEC3D" w14:textId="77777777" w:rsidR="004F59A7" w:rsidRDefault="004F59A7" w:rsidP="00F04877">
            <w:pPr>
              <w:pStyle w:val="-3"/>
              <w:rPr>
                <w:sz w:val="17"/>
                <w:szCs w:val="17"/>
                <w:rtl/>
              </w:rPr>
            </w:pPr>
          </w:p>
        </w:tc>
        <w:tc>
          <w:tcPr>
            <w:tcW w:w="939" w:type="dxa"/>
            <w:tcBorders>
              <w:bottom w:val="nil"/>
            </w:tcBorders>
            <w:vAlign w:val="bottom"/>
          </w:tcPr>
          <w:p w14:paraId="21CF80C2" w14:textId="77777777" w:rsidR="004F59A7" w:rsidRDefault="004F59A7" w:rsidP="00F04877">
            <w:pPr>
              <w:pStyle w:val="-3"/>
              <w:rPr>
                <w:sz w:val="17"/>
                <w:szCs w:val="17"/>
                <w:rtl/>
              </w:rPr>
            </w:pPr>
          </w:p>
        </w:tc>
        <w:tc>
          <w:tcPr>
            <w:tcW w:w="705" w:type="dxa"/>
            <w:tcBorders>
              <w:bottom w:val="nil"/>
            </w:tcBorders>
            <w:vAlign w:val="bottom"/>
          </w:tcPr>
          <w:p w14:paraId="308B467B" w14:textId="77777777" w:rsidR="004F59A7" w:rsidRDefault="004F59A7" w:rsidP="00F04877">
            <w:pPr>
              <w:pStyle w:val="-3"/>
              <w:rPr>
                <w:sz w:val="17"/>
                <w:szCs w:val="17"/>
                <w:rtl/>
              </w:rPr>
            </w:pPr>
          </w:p>
        </w:tc>
        <w:tc>
          <w:tcPr>
            <w:tcW w:w="829" w:type="dxa"/>
            <w:tcBorders>
              <w:bottom w:val="nil"/>
            </w:tcBorders>
            <w:vAlign w:val="bottom"/>
          </w:tcPr>
          <w:p w14:paraId="6A1BA968" w14:textId="77777777" w:rsidR="004F59A7" w:rsidRDefault="004F59A7" w:rsidP="00F04877">
            <w:pPr>
              <w:pStyle w:val="-3"/>
              <w:rPr>
                <w:sz w:val="17"/>
                <w:szCs w:val="17"/>
                <w:rtl/>
              </w:rPr>
            </w:pPr>
          </w:p>
        </w:tc>
        <w:tc>
          <w:tcPr>
            <w:tcW w:w="704" w:type="dxa"/>
            <w:tcBorders>
              <w:bottom w:val="nil"/>
            </w:tcBorders>
            <w:vAlign w:val="bottom"/>
          </w:tcPr>
          <w:p w14:paraId="423EFAFC" w14:textId="77777777" w:rsidR="004F59A7" w:rsidRDefault="004F59A7" w:rsidP="00F04877">
            <w:pPr>
              <w:pStyle w:val="-3"/>
              <w:rPr>
                <w:sz w:val="17"/>
                <w:szCs w:val="17"/>
                <w:rtl/>
              </w:rPr>
            </w:pPr>
          </w:p>
        </w:tc>
        <w:tc>
          <w:tcPr>
            <w:tcW w:w="747" w:type="dxa"/>
            <w:tcBorders>
              <w:bottom w:val="nil"/>
            </w:tcBorders>
            <w:vAlign w:val="bottom"/>
          </w:tcPr>
          <w:p w14:paraId="052F6739" w14:textId="77777777" w:rsidR="004F59A7" w:rsidRDefault="004F59A7" w:rsidP="00F04877">
            <w:pPr>
              <w:pStyle w:val="-3"/>
              <w:rPr>
                <w:sz w:val="17"/>
                <w:szCs w:val="17"/>
                <w:rtl/>
              </w:rPr>
            </w:pPr>
          </w:p>
        </w:tc>
        <w:tc>
          <w:tcPr>
            <w:tcW w:w="673" w:type="dxa"/>
            <w:tcBorders>
              <w:bottom w:val="nil"/>
            </w:tcBorders>
            <w:vAlign w:val="bottom"/>
          </w:tcPr>
          <w:p w14:paraId="0697A8BD" w14:textId="77777777" w:rsidR="004F59A7" w:rsidRDefault="004F59A7" w:rsidP="00F04877">
            <w:pPr>
              <w:pStyle w:val="-3"/>
              <w:rPr>
                <w:sz w:val="17"/>
                <w:szCs w:val="17"/>
                <w:rtl/>
              </w:rPr>
            </w:pPr>
          </w:p>
        </w:tc>
        <w:tc>
          <w:tcPr>
            <w:tcW w:w="752" w:type="dxa"/>
            <w:tcBorders>
              <w:bottom w:val="nil"/>
            </w:tcBorders>
            <w:vAlign w:val="bottom"/>
          </w:tcPr>
          <w:p w14:paraId="03310287" w14:textId="77777777" w:rsidR="004F59A7" w:rsidRDefault="004F59A7" w:rsidP="00F04877">
            <w:pPr>
              <w:pStyle w:val="-3"/>
              <w:rPr>
                <w:sz w:val="17"/>
                <w:szCs w:val="17"/>
                <w:rtl/>
              </w:rPr>
            </w:pPr>
          </w:p>
        </w:tc>
        <w:tc>
          <w:tcPr>
            <w:tcW w:w="997" w:type="dxa"/>
            <w:tcBorders>
              <w:bottom w:val="nil"/>
            </w:tcBorders>
            <w:vAlign w:val="bottom"/>
          </w:tcPr>
          <w:p w14:paraId="0A3A9A70" w14:textId="77777777" w:rsidR="004F59A7" w:rsidRDefault="004F59A7" w:rsidP="00F04877">
            <w:pPr>
              <w:pStyle w:val="-3"/>
              <w:rPr>
                <w:sz w:val="17"/>
                <w:szCs w:val="17"/>
                <w:rtl/>
              </w:rPr>
            </w:pPr>
          </w:p>
        </w:tc>
        <w:tc>
          <w:tcPr>
            <w:tcW w:w="988" w:type="dxa"/>
            <w:tcBorders>
              <w:bottom w:val="nil"/>
            </w:tcBorders>
            <w:vAlign w:val="bottom"/>
          </w:tcPr>
          <w:p w14:paraId="0543604F" w14:textId="77777777" w:rsidR="004F59A7" w:rsidRDefault="004F59A7" w:rsidP="00F04877">
            <w:pPr>
              <w:pStyle w:val="-3"/>
              <w:rPr>
                <w:sz w:val="17"/>
                <w:szCs w:val="17"/>
                <w:rtl/>
              </w:rPr>
            </w:pPr>
          </w:p>
        </w:tc>
        <w:tc>
          <w:tcPr>
            <w:tcW w:w="1702" w:type="dxa"/>
            <w:tcBorders>
              <w:bottom w:val="nil"/>
            </w:tcBorders>
            <w:vAlign w:val="bottom"/>
          </w:tcPr>
          <w:p w14:paraId="04D261DA" w14:textId="77777777" w:rsidR="004F59A7" w:rsidRDefault="004F59A7" w:rsidP="00F04877">
            <w:pPr>
              <w:pStyle w:val="-3"/>
              <w:rPr>
                <w:sz w:val="17"/>
                <w:szCs w:val="17"/>
                <w:rtl/>
              </w:rPr>
            </w:pPr>
          </w:p>
        </w:tc>
      </w:tr>
      <w:tr w:rsidR="004F59A7" w:rsidRPr="00543C25" w14:paraId="75BBC692" w14:textId="77777777" w:rsidTr="00F04877">
        <w:tc>
          <w:tcPr>
            <w:tcW w:w="1560" w:type="dxa"/>
            <w:shd w:val="clear" w:color="auto" w:fill="auto"/>
          </w:tcPr>
          <w:p w14:paraId="31AF6C1B" w14:textId="77777777" w:rsidR="004F59A7" w:rsidRPr="003425A3" w:rsidRDefault="004F59A7" w:rsidP="00F04877">
            <w:pPr>
              <w:pStyle w:val="-0"/>
              <w:spacing w:line="240" w:lineRule="auto"/>
              <w:ind w:left="720"/>
              <w:rPr>
                <w:sz w:val="16"/>
                <w:szCs w:val="16"/>
                <w:rtl/>
              </w:rPr>
            </w:pPr>
          </w:p>
        </w:tc>
        <w:tc>
          <w:tcPr>
            <w:tcW w:w="3122" w:type="dxa"/>
            <w:tcBorders>
              <w:top w:val="nil"/>
              <w:left w:val="nil"/>
              <w:bottom w:val="nil"/>
              <w:right w:val="nil"/>
            </w:tcBorders>
            <w:shd w:val="clear" w:color="auto" w:fill="auto"/>
            <w:vAlign w:val="bottom"/>
          </w:tcPr>
          <w:p w14:paraId="31D325F5" w14:textId="77777777" w:rsidR="004F59A7" w:rsidRPr="00FC6A6C" w:rsidRDefault="004F59A7" w:rsidP="00F04877">
            <w:pPr>
              <w:pStyle w:val="-0"/>
              <w:spacing w:line="240" w:lineRule="auto"/>
              <w:ind w:left="467" w:hanging="114"/>
              <w:rPr>
                <w:sz w:val="17"/>
                <w:szCs w:val="17"/>
                <w:rtl/>
              </w:rPr>
            </w:pPr>
            <w:r w:rsidRPr="00FC6A6C">
              <w:rPr>
                <w:rFonts w:hint="cs"/>
                <w:sz w:val="16"/>
                <w:szCs w:val="16"/>
                <w:rtl/>
              </w:rPr>
              <w:t xml:space="preserve">התחייבויות בגין מכשירים נגזרים </w:t>
            </w:r>
            <w:r w:rsidRPr="00FC6A6C">
              <w:rPr>
                <w:rFonts w:hint="cs"/>
                <w:sz w:val="16"/>
                <w:szCs w:val="16"/>
                <w:vertAlign w:val="superscript"/>
                <w:rtl/>
              </w:rPr>
              <w:t>[2]</w:t>
            </w:r>
          </w:p>
        </w:tc>
        <w:tc>
          <w:tcPr>
            <w:tcW w:w="850" w:type="dxa"/>
            <w:vAlign w:val="bottom"/>
          </w:tcPr>
          <w:p w14:paraId="0C63F78B" w14:textId="77777777" w:rsidR="004F59A7" w:rsidRDefault="004F59A7" w:rsidP="00F04877">
            <w:pPr>
              <w:pStyle w:val="-3"/>
              <w:spacing w:line="240" w:lineRule="auto"/>
              <w:rPr>
                <w:sz w:val="17"/>
                <w:szCs w:val="17"/>
                <w:rtl/>
              </w:rPr>
            </w:pPr>
            <w:r w:rsidRPr="00532A1C">
              <w:rPr>
                <w:sz w:val="17"/>
                <w:szCs w:val="17"/>
                <w:rtl/>
              </w:rPr>
              <w:t xml:space="preserve"> 0</w:t>
            </w:r>
          </w:p>
        </w:tc>
        <w:tc>
          <w:tcPr>
            <w:tcW w:w="891" w:type="dxa"/>
            <w:tcBorders>
              <w:bottom w:val="nil"/>
            </w:tcBorders>
            <w:vAlign w:val="bottom"/>
          </w:tcPr>
          <w:p w14:paraId="721C4EEC" w14:textId="77777777" w:rsidR="004F59A7" w:rsidRDefault="004F59A7" w:rsidP="00F04877">
            <w:pPr>
              <w:pStyle w:val="-3"/>
              <w:rPr>
                <w:sz w:val="17"/>
                <w:szCs w:val="17"/>
                <w:rtl/>
              </w:rPr>
            </w:pPr>
            <w:r w:rsidRPr="00532A1C">
              <w:rPr>
                <w:sz w:val="17"/>
                <w:szCs w:val="17"/>
                <w:rtl/>
              </w:rPr>
              <w:t xml:space="preserve"> 0 </w:t>
            </w:r>
          </w:p>
        </w:tc>
        <w:tc>
          <w:tcPr>
            <w:tcW w:w="939" w:type="dxa"/>
            <w:tcBorders>
              <w:bottom w:val="nil"/>
            </w:tcBorders>
            <w:vAlign w:val="bottom"/>
          </w:tcPr>
          <w:p w14:paraId="430C9780" w14:textId="77777777" w:rsidR="004F59A7" w:rsidRDefault="004F59A7" w:rsidP="00F04877">
            <w:pPr>
              <w:pStyle w:val="-3"/>
              <w:spacing w:line="240" w:lineRule="auto"/>
              <w:rPr>
                <w:sz w:val="17"/>
                <w:szCs w:val="17"/>
                <w:rtl/>
              </w:rPr>
            </w:pPr>
            <w:r w:rsidRPr="00532A1C">
              <w:rPr>
                <w:sz w:val="17"/>
                <w:szCs w:val="17"/>
                <w:rtl/>
              </w:rPr>
              <w:t xml:space="preserve"> </w:t>
            </w:r>
            <w:r>
              <w:rPr>
                <w:rFonts w:hint="cs"/>
                <w:sz w:val="17"/>
                <w:szCs w:val="17"/>
                <w:rtl/>
              </w:rPr>
              <w:t>-</w:t>
            </w:r>
          </w:p>
        </w:tc>
        <w:tc>
          <w:tcPr>
            <w:tcW w:w="705" w:type="dxa"/>
            <w:tcBorders>
              <w:bottom w:val="nil"/>
            </w:tcBorders>
            <w:vAlign w:val="bottom"/>
          </w:tcPr>
          <w:p w14:paraId="551CF0FA" w14:textId="77777777" w:rsidR="004F59A7" w:rsidRDefault="004F59A7" w:rsidP="00F04877">
            <w:pPr>
              <w:pStyle w:val="-3"/>
              <w:spacing w:line="240" w:lineRule="auto"/>
              <w:rPr>
                <w:sz w:val="17"/>
                <w:szCs w:val="17"/>
                <w:rtl/>
              </w:rPr>
            </w:pPr>
            <w:r w:rsidRPr="00532A1C">
              <w:rPr>
                <w:sz w:val="17"/>
                <w:szCs w:val="17"/>
                <w:rtl/>
              </w:rPr>
              <w:t xml:space="preserve"> 0</w:t>
            </w:r>
          </w:p>
        </w:tc>
        <w:tc>
          <w:tcPr>
            <w:tcW w:w="829" w:type="dxa"/>
            <w:tcBorders>
              <w:bottom w:val="nil"/>
            </w:tcBorders>
            <w:vAlign w:val="bottom"/>
          </w:tcPr>
          <w:p w14:paraId="52557ABD" w14:textId="77777777" w:rsidR="004F59A7" w:rsidRDefault="004F59A7" w:rsidP="00F04877">
            <w:pPr>
              <w:pStyle w:val="-3"/>
              <w:spacing w:line="240" w:lineRule="auto"/>
              <w:rPr>
                <w:sz w:val="17"/>
                <w:szCs w:val="17"/>
                <w:rtl/>
              </w:rPr>
            </w:pPr>
            <w:r>
              <w:rPr>
                <w:rFonts w:hint="cs"/>
                <w:sz w:val="17"/>
                <w:szCs w:val="17"/>
                <w:rtl/>
              </w:rPr>
              <w:t xml:space="preserve"> 0</w:t>
            </w:r>
          </w:p>
        </w:tc>
        <w:tc>
          <w:tcPr>
            <w:tcW w:w="704" w:type="dxa"/>
            <w:tcBorders>
              <w:bottom w:val="nil"/>
            </w:tcBorders>
            <w:vAlign w:val="bottom"/>
          </w:tcPr>
          <w:p w14:paraId="34528F49" w14:textId="77777777" w:rsidR="004F59A7" w:rsidRDefault="004F59A7" w:rsidP="00F04877">
            <w:pPr>
              <w:pStyle w:val="-3"/>
              <w:spacing w:line="240" w:lineRule="auto"/>
              <w:rPr>
                <w:sz w:val="17"/>
                <w:szCs w:val="17"/>
                <w:rtl/>
              </w:rPr>
            </w:pPr>
            <w:r w:rsidRPr="00532A1C">
              <w:rPr>
                <w:sz w:val="17"/>
                <w:szCs w:val="17"/>
                <w:rtl/>
              </w:rPr>
              <w:t>(0)</w:t>
            </w:r>
          </w:p>
        </w:tc>
        <w:tc>
          <w:tcPr>
            <w:tcW w:w="747" w:type="dxa"/>
            <w:tcBorders>
              <w:bottom w:val="nil"/>
            </w:tcBorders>
            <w:vAlign w:val="bottom"/>
          </w:tcPr>
          <w:p w14:paraId="5E4FA934" w14:textId="77777777" w:rsidR="004F59A7" w:rsidRDefault="004F59A7" w:rsidP="00F04877">
            <w:pPr>
              <w:pStyle w:val="-3"/>
              <w:spacing w:line="240" w:lineRule="auto"/>
              <w:rPr>
                <w:sz w:val="17"/>
                <w:szCs w:val="17"/>
                <w:rtl/>
              </w:rPr>
            </w:pPr>
            <w:r w:rsidRPr="00532A1C">
              <w:rPr>
                <w:sz w:val="17"/>
                <w:szCs w:val="17"/>
                <w:rtl/>
              </w:rPr>
              <w:t>(0)</w:t>
            </w:r>
          </w:p>
        </w:tc>
        <w:tc>
          <w:tcPr>
            <w:tcW w:w="673" w:type="dxa"/>
            <w:tcBorders>
              <w:bottom w:val="nil"/>
            </w:tcBorders>
            <w:vAlign w:val="bottom"/>
          </w:tcPr>
          <w:p w14:paraId="311B06E2" w14:textId="77777777" w:rsidR="004F59A7" w:rsidRDefault="004F59A7" w:rsidP="00F04877">
            <w:pPr>
              <w:pStyle w:val="-3"/>
              <w:spacing w:line="240" w:lineRule="auto"/>
              <w:rPr>
                <w:sz w:val="17"/>
                <w:szCs w:val="17"/>
                <w:rtl/>
              </w:rPr>
            </w:pPr>
            <w:r w:rsidRPr="00532A1C">
              <w:rPr>
                <w:sz w:val="17"/>
                <w:szCs w:val="17"/>
                <w:rtl/>
              </w:rPr>
              <w:t xml:space="preserve"> 0</w:t>
            </w:r>
          </w:p>
        </w:tc>
        <w:tc>
          <w:tcPr>
            <w:tcW w:w="752" w:type="dxa"/>
            <w:tcBorders>
              <w:bottom w:val="nil"/>
            </w:tcBorders>
            <w:vAlign w:val="bottom"/>
          </w:tcPr>
          <w:p w14:paraId="74E3E184" w14:textId="77777777" w:rsidR="004F59A7" w:rsidRDefault="004F59A7" w:rsidP="00F04877">
            <w:pPr>
              <w:pStyle w:val="-3"/>
              <w:spacing w:line="240" w:lineRule="auto"/>
              <w:rPr>
                <w:sz w:val="17"/>
                <w:szCs w:val="17"/>
                <w:rtl/>
              </w:rPr>
            </w:pPr>
            <w:r w:rsidRPr="00532A1C">
              <w:rPr>
                <w:sz w:val="17"/>
                <w:szCs w:val="17"/>
                <w:rtl/>
              </w:rPr>
              <w:t>(0)</w:t>
            </w:r>
          </w:p>
        </w:tc>
        <w:tc>
          <w:tcPr>
            <w:tcW w:w="997" w:type="dxa"/>
            <w:tcBorders>
              <w:bottom w:val="nil"/>
            </w:tcBorders>
            <w:vAlign w:val="bottom"/>
          </w:tcPr>
          <w:p w14:paraId="654F87DA" w14:textId="77777777" w:rsidR="004F59A7" w:rsidRDefault="004F59A7" w:rsidP="00F04877">
            <w:pPr>
              <w:pStyle w:val="-3"/>
              <w:spacing w:line="240" w:lineRule="auto"/>
              <w:rPr>
                <w:sz w:val="17"/>
                <w:szCs w:val="17"/>
                <w:rtl/>
              </w:rPr>
            </w:pPr>
            <w:r w:rsidRPr="00532A1C">
              <w:rPr>
                <w:sz w:val="17"/>
                <w:szCs w:val="17"/>
                <w:rtl/>
              </w:rPr>
              <w:t xml:space="preserve"> 0</w:t>
            </w:r>
          </w:p>
        </w:tc>
        <w:tc>
          <w:tcPr>
            <w:tcW w:w="988" w:type="dxa"/>
            <w:tcBorders>
              <w:bottom w:val="nil"/>
            </w:tcBorders>
            <w:vAlign w:val="bottom"/>
          </w:tcPr>
          <w:p w14:paraId="371B9CA0" w14:textId="77777777" w:rsidR="004F59A7" w:rsidRDefault="004F59A7" w:rsidP="00F04877">
            <w:pPr>
              <w:pStyle w:val="-3"/>
              <w:spacing w:line="240" w:lineRule="auto"/>
              <w:rPr>
                <w:sz w:val="17"/>
                <w:szCs w:val="17"/>
                <w:rtl/>
              </w:rPr>
            </w:pPr>
            <w:r w:rsidRPr="00532A1C">
              <w:rPr>
                <w:sz w:val="17"/>
                <w:szCs w:val="17"/>
                <w:rtl/>
              </w:rPr>
              <w:t xml:space="preserve"> 0</w:t>
            </w:r>
          </w:p>
        </w:tc>
        <w:tc>
          <w:tcPr>
            <w:tcW w:w="1702" w:type="dxa"/>
            <w:tcBorders>
              <w:bottom w:val="nil"/>
            </w:tcBorders>
            <w:vAlign w:val="bottom"/>
          </w:tcPr>
          <w:p w14:paraId="39546537" w14:textId="77777777" w:rsidR="004F59A7" w:rsidRPr="0010257C" w:rsidRDefault="004F59A7" w:rsidP="00F04877">
            <w:pPr>
              <w:pStyle w:val="-3"/>
              <w:tabs>
                <w:tab w:val="left" w:pos="195"/>
              </w:tabs>
              <w:spacing w:line="240" w:lineRule="auto"/>
              <w:rPr>
                <w:rtl/>
              </w:rPr>
            </w:pPr>
            <w:r w:rsidRPr="00532A1C">
              <w:rPr>
                <w:sz w:val="17"/>
                <w:szCs w:val="17"/>
                <w:rtl/>
              </w:rPr>
              <w:t xml:space="preserve">  0</w:t>
            </w:r>
          </w:p>
        </w:tc>
      </w:tr>
      <w:tr w:rsidR="004F59A7" w:rsidRPr="00543C25" w14:paraId="675F9E5C" w14:textId="77777777" w:rsidTr="00F04877">
        <w:tc>
          <w:tcPr>
            <w:tcW w:w="1560" w:type="dxa"/>
            <w:tcBorders>
              <w:bottom w:val="nil"/>
            </w:tcBorders>
            <w:shd w:val="clear" w:color="auto" w:fill="auto"/>
          </w:tcPr>
          <w:p w14:paraId="3FBDB5D7" w14:textId="77777777" w:rsidR="004F59A7" w:rsidRPr="003425A3" w:rsidRDefault="004F59A7" w:rsidP="00F04877">
            <w:pPr>
              <w:pStyle w:val="-0"/>
              <w:spacing w:line="240" w:lineRule="auto"/>
              <w:ind w:left="432"/>
              <w:rPr>
                <w:sz w:val="16"/>
                <w:szCs w:val="16"/>
                <w:rtl/>
              </w:rPr>
            </w:pPr>
          </w:p>
        </w:tc>
        <w:tc>
          <w:tcPr>
            <w:tcW w:w="3122" w:type="dxa"/>
            <w:tcBorders>
              <w:top w:val="nil"/>
              <w:left w:val="nil"/>
              <w:bottom w:val="nil"/>
              <w:right w:val="nil"/>
            </w:tcBorders>
            <w:shd w:val="clear" w:color="auto" w:fill="auto"/>
            <w:vAlign w:val="bottom"/>
          </w:tcPr>
          <w:p w14:paraId="6BF5DB09" w14:textId="77777777" w:rsidR="004F59A7" w:rsidRPr="00FC6A6C" w:rsidRDefault="004F59A7" w:rsidP="00F04877">
            <w:pPr>
              <w:pStyle w:val="-0"/>
              <w:spacing w:line="240" w:lineRule="auto"/>
              <w:ind w:left="467" w:hanging="114"/>
              <w:rPr>
                <w:sz w:val="17"/>
                <w:szCs w:val="17"/>
                <w:rtl/>
              </w:rPr>
            </w:pPr>
            <w:r w:rsidRPr="00FC6A6C">
              <w:rPr>
                <w:rFonts w:hint="eastAsia"/>
                <w:sz w:val="16"/>
                <w:szCs w:val="16"/>
                <w:rtl/>
              </w:rPr>
              <w:t>אחר</w:t>
            </w:r>
            <w:r w:rsidRPr="00FC6A6C">
              <w:rPr>
                <w:rFonts w:hint="cs"/>
                <w:sz w:val="16"/>
                <w:szCs w:val="16"/>
                <w:rtl/>
              </w:rPr>
              <w:t xml:space="preserve"> [פרט אם מהותי]</w:t>
            </w:r>
          </w:p>
        </w:tc>
        <w:tc>
          <w:tcPr>
            <w:tcW w:w="850" w:type="dxa"/>
            <w:tcBorders>
              <w:bottom w:val="nil"/>
            </w:tcBorders>
            <w:vAlign w:val="bottom"/>
          </w:tcPr>
          <w:p w14:paraId="51E0D19E"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891" w:type="dxa"/>
            <w:tcBorders>
              <w:top w:val="nil"/>
              <w:bottom w:val="nil"/>
            </w:tcBorders>
            <w:vAlign w:val="bottom"/>
          </w:tcPr>
          <w:p w14:paraId="38D68339" w14:textId="77777777" w:rsidR="004F59A7" w:rsidRDefault="004F59A7" w:rsidP="00F04877">
            <w:pPr>
              <w:pStyle w:val="-3"/>
              <w:pBdr>
                <w:bottom w:val="single" w:sz="4" w:space="1" w:color="auto"/>
              </w:pBdr>
              <w:rPr>
                <w:sz w:val="17"/>
                <w:szCs w:val="17"/>
                <w:rtl/>
              </w:rPr>
            </w:pPr>
            <w:r w:rsidRPr="00532A1C">
              <w:rPr>
                <w:sz w:val="17"/>
                <w:szCs w:val="17"/>
                <w:rtl/>
              </w:rPr>
              <w:t xml:space="preserve"> 0</w:t>
            </w:r>
            <w:r w:rsidRPr="00532A1C">
              <w:rPr>
                <w:sz w:val="17"/>
                <w:szCs w:val="17"/>
                <w:vertAlign w:val="superscript"/>
                <w:rtl/>
              </w:rPr>
              <w:t xml:space="preserve">(ג) </w:t>
            </w:r>
          </w:p>
        </w:tc>
        <w:tc>
          <w:tcPr>
            <w:tcW w:w="939" w:type="dxa"/>
            <w:tcBorders>
              <w:top w:val="nil"/>
              <w:bottom w:val="nil"/>
            </w:tcBorders>
            <w:vAlign w:val="bottom"/>
          </w:tcPr>
          <w:p w14:paraId="1874FFF8" w14:textId="77777777" w:rsidR="004F59A7" w:rsidRDefault="004F59A7" w:rsidP="00F04877">
            <w:pPr>
              <w:pStyle w:val="-3"/>
              <w:pBdr>
                <w:bottom w:val="single" w:sz="4" w:space="1" w:color="auto"/>
              </w:pBdr>
              <w:spacing w:line="240" w:lineRule="auto"/>
              <w:rPr>
                <w:sz w:val="17"/>
                <w:szCs w:val="17"/>
                <w:rtl/>
              </w:rPr>
            </w:pPr>
            <w:r>
              <w:rPr>
                <w:rFonts w:hint="cs"/>
                <w:sz w:val="17"/>
                <w:szCs w:val="17"/>
                <w:rtl/>
              </w:rPr>
              <w:t xml:space="preserve"> -</w:t>
            </w:r>
          </w:p>
        </w:tc>
        <w:tc>
          <w:tcPr>
            <w:tcW w:w="705" w:type="dxa"/>
            <w:tcBorders>
              <w:top w:val="nil"/>
              <w:bottom w:val="nil"/>
            </w:tcBorders>
            <w:vAlign w:val="bottom"/>
          </w:tcPr>
          <w:p w14:paraId="5B8C93E6"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829" w:type="dxa"/>
            <w:tcBorders>
              <w:top w:val="nil"/>
              <w:bottom w:val="nil"/>
            </w:tcBorders>
            <w:vAlign w:val="bottom"/>
          </w:tcPr>
          <w:p w14:paraId="3B12D158"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704" w:type="dxa"/>
            <w:tcBorders>
              <w:top w:val="nil"/>
              <w:bottom w:val="nil"/>
            </w:tcBorders>
            <w:vAlign w:val="bottom"/>
          </w:tcPr>
          <w:p w14:paraId="5BF6014C"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(0)</w:t>
            </w:r>
          </w:p>
        </w:tc>
        <w:tc>
          <w:tcPr>
            <w:tcW w:w="747" w:type="dxa"/>
            <w:tcBorders>
              <w:top w:val="nil"/>
              <w:bottom w:val="nil"/>
            </w:tcBorders>
            <w:vAlign w:val="bottom"/>
          </w:tcPr>
          <w:p w14:paraId="079CA2C5"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(0)</w:t>
            </w:r>
          </w:p>
        </w:tc>
        <w:tc>
          <w:tcPr>
            <w:tcW w:w="673" w:type="dxa"/>
            <w:tcBorders>
              <w:top w:val="nil"/>
              <w:bottom w:val="nil"/>
            </w:tcBorders>
            <w:vAlign w:val="bottom"/>
          </w:tcPr>
          <w:p w14:paraId="1F1D1119"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752" w:type="dxa"/>
            <w:tcBorders>
              <w:top w:val="nil"/>
              <w:bottom w:val="nil"/>
            </w:tcBorders>
            <w:vAlign w:val="bottom"/>
          </w:tcPr>
          <w:p w14:paraId="3925A208"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(0)</w:t>
            </w:r>
          </w:p>
        </w:tc>
        <w:tc>
          <w:tcPr>
            <w:tcW w:w="997" w:type="dxa"/>
            <w:tcBorders>
              <w:top w:val="nil"/>
              <w:bottom w:val="nil"/>
            </w:tcBorders>
            <w:vAlign w:val="bottom"/>
          </w:tcPr>
          <w:p w14:paraId="73C5DE5A"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988" w:type="dxa"/>
            <w:tcBorders>
              <w:top w:val="nil"/>
              <w:bottom w:val="nil"/>
            </w:tcBorders>
            <w:vAlign w:val="bottom"/>
          </w:tcPr>
          <w:p w14:paraId="08F00D8C"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1702" w:type="dxa"/>
            <w:tcBorders>
              <w:top w:val="nil"/>
              <w:bottom w:val="nil"/>
            </w:tcBorders>
            <w:vAlign w:val="bottom"/>
          </w:tcPr>
          <w:p w14:paraId="7C44683B"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r w:rsidRPr="00532A1C">
              <w:rPr>
                <w:sz w:val="17"/>
                <w:szCs w:val="17"/>
                <w:vertAlign w:val="superscript"/>
                <w:rtl/>
              </w:rPr>
              <w:t>(ג)</w:t>
            </w:r>
          </w:p>
        </w:tc>
      </w:tr>
      <w:tr w:rsidR="004F59A7" w:rsidRPr="00543C25" w14:paraId="28E29AD9" w14:textId="77777777" w:rsidTr="00F04877">
        <w:tc>
          <w:tcPr>
            <w:tcW w:w="1560" w:type="dxa"/>
            <w:tcBorders>
              <w:bottom w:val="nil"/>
            </w:tcBorders>
            <w:shd w:val="clear" w:color="auto" w:fill="auto"/>
          </w:tcPr>
          <w:p w14:paraId="5A4B243C" w14:textId="77777777" w:rsidR="004F59A7" w:rsidRDefault="004F59A7" w:rsidP="00F04877">
            <w:pPr>
              <w:pStyle w:val="-0"/>
              <w:ind w:left="560" w:hanging="114"/>
              <w:rPr>
                <w:sz w:val="16"/>
                <w:szCs w:val="16"/>
                <w:rtl/>
              </w:rPr>
            </w:pPr>
          </w:p>
        </w:tc>
        <w:tc>
          <w:tcPr>
            <w:tcW w:w="3122" w:type="dxa"/>
            <w:tcBorders>
              <w:top w:val="nil"/>
              <w:left w:val="nil"/>
              <w:bottom w:val="nil"/>
              <w:right w:val="nil"/>
            </w:tcBorders>
            <w:shd w:val="clear" w:color="auto" w:fill="auto"/>
            <w:vAlign w:val="bottom"/>
          </w:tcPr>
          <w:p w14:paraId="0FB9F275" w14:textId="77777777" w:rsidR="004F59A7" w:rsidRPr="00BF2D3B" w:rsidRDefault="004F59A7" w:rsidP="00F04877">
            <w:pPr>
              <w:pStyle w:val="-f"/>
              <w:ind w:left="560" w:hanging="235"/>
              <w:rPr>
                <w:b w:val="0"/>
                <w:bCs w:val="0"/>
                <w:sz w:val="17"/>
                <w:szCs w:val="17"/>
                <w:u w:val="none"/>
                <w:rtl/>
              </w:rPr>
            </w:pPr>
            <w:r w:rsidRPr="00BF2D3B">
              <w:rPr>
                <w:sz w:val="16"/>
                <w:szCs w:val="16"/>
                <w:u w:val="none"/>
                <w:rtl/>
              </w:rPr>
              <w:t xml:space="preserve">סך </w:t>
            </w:r>
            <w:r w:rsidRPr="00BF2D3B">
              <w:rPr>
                <w:rFonts w:hint="cs"/>
                <w:sz w:val="16"/>
                <w:szCs w:val="16"/>
                <w:u w:val="none"/>
                <w:rtl/>
              </w:rPr>
              <w:t>כל ההתחייבויות</w:t>
            </w:r>
          </w:p>
        </w:tc>
        <w:tc>
          <w:tcPr>
            <w:tcW w:w="850" w:type="dxa"/>
            <w:tcBorders>
              <w:bottom w:val="nil"/>
            </w:tcBorders>
            <w:vAlign w:val="bottom"/>
          </w:tcPr>
          <w:p w14:paraId="6B97321E" w14:textId="77777777" w:rsidR="004F59A7" w:rsidRPr="00FC6A6C" w:rsidRDefault="004F59A7" w:rsidP="00F04877">
            <w:pPr>
              <w:pStyle w:val="-3"/>
              <w:rPr>
                <w:b/>
                <w:bCs/>
                <w:sz w:val="17"/>
                <w:szCs w:val="17"/>
                <w:rtl/>
              </w:rPr>
            </w:pPr>
            <w:r w:rsidRPr="00FC6A6C">
              <w:rPr>
                <w:b/>
                <w:bCs/>
                <w:sz w:val="17"/>
                <w:szCs w:val="17"/>
                <w:rtl/>
              </w:rPr>
              <w:t xml:space="preserve"> 0</w:t>
            </w:r>
          </w:p>
        </w:tc>
        <w:tc>
          <w:tcPr>
            <w:tcW w:w="891" w:type="dxa"/>
            <w:tcBorders>
              <w:bottom w:val="nil"/>
            </w:tcBorders>
            <w:vAlign w:val="bottom"/>
          </w:tcPr>
          <w:p w14:paraId="226A8AE8" w14:textId="77777777" w:rsidR="004F59A7" w:rsidRPr="00FC6A6C" w:rsidRDefault="004F59A7" w:rsidP="00F04877">
            <w:pPr>
              <w:pStyle w:val="-3"/>
              <w:rPr>
                <w:b/>
                <w:bCs/>
                <w:sz w:val="17"/>
                <w:szCs w:val="17"/>
                <w:rtl/>
              </w:rPr>
            </w:pPr>
            <w:r w:rsidRPr="00FC6A6C">
              <w:rPr>
                <w:b/>
                <w:bCs/>
                <w:sz w:val="17"/>
                <w:szCs w:val="17"/>
                <w:rtl/>
              </w:rPr>
              <w:t xml:space="preserve"> 0</w:t>
            </w:r>
          </w:p>
        </w:tc>
        <w:tc>
          <w:tcPr>
            <w:tcW w:w="939" w:type="dxa"/>
            <w:tcBorders>
              <w:bottom w:val="nil"/>
            </w:tcBorders>
            <w:vAlign w:val="bottom"/>
          </w:tcPr>
          <w:p w14:paraId="6C5FB03C" w14:textId="77777777" w:rsidR="004F59A7" w:rsidRPr="00FC6A6C" w:rsidRDefault="004F59A7" w:rsidP="00F04877">
            <w:pPr>
              <w:pStyle w:val="-3"/>
              <w:rPr>
                <w:b/>
                <w:bCs/>
                <w:sz w:val="17"/>
                <w:szCs w:val="17"/>
                <w:rtl/>
              </w:rPr>
            </w:pPr>
            <w:r w:rsidRPr="00FC6A6C">
              <w:rPr>
                <w:b/>
                <w:bCs/>
                <w:sz w:val="17"/>
                <w:szCs w:val="17"/>
                <w:rtl/>
              </w:rPr>
              <w:t xml:space="preserve"> 0</w:t>
            </w:r>
          </w:p>
        </w:tc>
        <w:tc>
          <w:tcPr>
            <w:tcW w:w="705" w:type="dxa"/>
            <w:tcBorders>
              <w:bottom w:val="nil"/>
            </w:tcBorders>
            <w:vAlign w:val="bottom"/>
          </w:tcPr>
          <w:p w14:paraId="2DF8D25A" w14:textId="77777777" w:rsidR="004F59A7" w:rsidRPr="00FC6A6C" w:rsidRDefault="004F59A7" w:rsidP="00F04877">
            <w:pPr>
              <w:pStyle w:val="-3"/>
              <w:rPr>
                <w:b/>
                <w:bCs/>
                <w:sz w:val="17"/>
                <w:szCs w:val="17"/>
                <w:rtl/>
              </w:rPr>
            </w:pPr>
            <w:r w:rsidRPr="00FC6A6C">
              <w:rPr>
                <w:b/>
                <w:bCs/>
                <w:sz w:val="17"/>
                <w:szCs w:val="17"/>
                <w:rtl/>
              </w:rPr>
              <w:t xml:space="preserve"> 0</w:t>
            </w:r>
          </w:p>
        </w:tc>
        <w:tc>
          <w:tcPr>
            <w:tcW w:w="829" w:type="dxa"/>
            <w:tcBorders>
              <w:bottom w:val="nil"/>
            </w:tcBorders>
            <w:vAlign w:val="bottom"/>
          </w:tcPr>
          <w:p w14:paraId="3DAA978B" w14:textId="77777777" w:rsidR="004F59A7" w:rsidRPr="00FC6A6C" w:rsidRDefault="004F59A7" w:rsidP="00F04877">
            <w:pPr>
              <w:pStyle w:val="-3"/>
              <w:rPr>
                <w:b/>
                <w:bCs/>
                <w:sz w:val="17"/>
                <w:szCs w:val="17"/>
                <w:rtl/>
              </w:rPr>
            </w:pPr>
            <w:r w:rsidRPr="00FC6A6C">
              <w:rPr>
                <w:b/>
                <w:bCs/>
                <w:sz w:val="17"/>
                <w:szCs w:val="17"/>
                <w:rtl/>
              </w:rPr>
              <w:t xml:space="preserve"> 0</w:t>
            </w:r>
          </w:p>
        </w:tc>
        <w:tc>
          <w:tcPr>
            <w:tcW w:w="704" w:type="dxa"/>
            <w:tcBorders>
              <w:bottom w:val="nil"/>
            </w:tcBorders>
            <w:vAlign w:val="bottom"/>
          </w:tcPr>
          <w:p w14:paraId="548488F6" w14:textId="77777777" w:rsidR="004F59A7" w:rsidRPr="00FC6A6C" w:rsidRDefault="004F59A7" w:rsidP="00F04877">
            <w:pPr>
              <w:pStyle w:val="-3"/>
              <w:rPr>
                <w:b/>
                <w:bCs/>
                <w:sz w:val="17"/>
                <w:szCs w:val="17"/>
                <w:rtl/>
              </w:rPr>
            </w:pPr>
            <w:r w:rsidRPr="00FC6A6C">
              <w:rPr>
                <w:b/>
                <w:bCs/>
                <w:sz w:val="17"/>
                <w:szCs w:val="17"/>
                <w:rtl/>
              </w:rPr>
              <w:t>(0)</w:t>
            </w:r>
          </w:p>
        </w:tc>
        <w:tc>
          <w:tcPr>
            <w:tcW w:w="747" w:type="dxa"/>
            <w:tcBorders>
              <w:bottom w:val="nil"/>
            </w:tcBorders>
            <w:vAlign w:val="bottom"/>
          </w:tcPr>
          <w:p w14:paraId="7B871A8F" w14:textId="77777777" w:rsidR="004F59A7" w:rsidRPr="00FC6A6C" w:rsidRDefault="004F59A7" w:rsidP="00F04877">
            <w:pPr>
              <w:pStyle w:val="-3"/>
              <w:rPr>
                <w:b/>
                <w:bCs/>
                <w:sz w:val="17"/>
                <w:szCs w:val="17"/>
                <w:rtl/>
              </w:rPr>
            </w:pPr>
            <w:r w:rsidRPr="00FC6A6C">
              <w:rPr>
                <w:b/>
                <w:bCs/>
                <w:sz w:val="17"/>
                <w:szCs w:val="17"/>
                <w:rtl/>
              </w:rPr>
              <w:t>(0)</w:t>
            </w:r>
          </w:p>
        </w:tc>
        <w:tc>
          <w:tcPr>
            <w:tcW w:w="673" w:type="dxa"/>
            <w:tcBorders>
              <w:bottom w:val="nil"/>
            </w:tcBorders>
            <w:vAlign w:val="bottom"/>
          </w:tcPr>
          <w:p w14:paraId="0912CDF3" w14:textId="77777777" w:rsidR="004F59A7" w:rsidRPr="00FC6A6C" w:rsidRDefault="004F59A7" w:rsidP="00F04877">
            <w:pPr>
              <w:pStyle w:val="-3"/>
              <w:rPr>
                <w:b/>
                <w:bCs/>
                <w:sz w:val="17"/>
                <w:szCs w:val="17"/>
                <w:rtl/>
              </w:rPr>
            </w:pPr>
            <w:r w:rsidRPr="00FC6A6C">
              <w:rPr>
                <w:b/>
                <w:bCs/>
                <w:sz w:val="17"/>
                <w:szCs w:val="17"/>
                <w:rtl/>
              </w:rPr>
              <w:t xml:space="preserve"> 0</w:t>
            </w:r>
          </w:p>
        </w:tc>
        <w:tc>
          <w:tcPr>
            <w:tcW w:w="752" w:type="dxa"/>
            <w:tcBorders>
              <w:bottom w:val="nil"/>
            </w:tcBorders>
            <w:vAlign w:val="bottom"/>
          </w:tcPr>
          <w:p w14:paraId="31738944" w14:textId="77777777" w:rsidR="004F59A7" w:rsidRPr="00FC6A6C" w:rsidRDefault="004F59A7" w:rsidP="00F04877">
            <w:pPr>
              <w:pStyle w:val="-3"/>
              <w:rPr>
                <w:b/>
                <w:bCs/>
                <w:sz w:val="17"/>
                <w:szCs w:val="17"/>
                <w:rtl/>
              </w:rPr>
            </w:pPr>
            <w:r w:rsidRPr="00FC6A6C">
              <w:rPr>
                <w:b/>
                <w:bCs/>
                <w:sz w:val="17"/>
                <w:szCs w:val="17"/>
                <w:rtl/>
              </w:rPr>
              <w:t>(0)</w:t>
            </w:r>
          </w:p>
        </w:tc>
        <w:tc>
          <w:tcPr>
            <w:tcW w:w="997" w:type="dxa"/>
            <w:tcBorders>
              <w:bottom w:val="nil"/>
            </w:tcBorders>
          </w:tcPr>
          <w:p w14:paraId="3865D311" w14:textId="77777777" w:rsidR="004F59A7" w:rsidRPr="00FC6A6C" w:rsidRDefault="004F59A7" w:rsidP="00F04877">
            <w:pPr>
              <w:pStyle w:val="-3"/>
              <w:rPr>
                <w:b/>
                <w:bCs/>
                <w:sz w:val="17"/>
                <w:szCs w:val="17"/>
                <w:rtl/>
              </w:rPr>
            </w:pPr>
            <w:r w:rsidRPr="00FC6A6C">
              <w:rPr>
                <w:b/>
                <w:bCs/>
                <w:sz w:val="17"/>
                <w:szCs w:val="17"/>
                <w:rtl/>
              </w:rPr>
              <w:t xml:space="preserve"> 0</w:t>
            </w:r>
          </w:p>
        </w:tc>
        <w:tc>
          <w:tcPr>
            <w:tcW w:w="988" w:type="dxa"/>
            <w:tcBorders>
              <w:bottom w:val="nil"/>
            </w:tcBorders>
            <w:vAlign w:val="bottom"/>
          </w:tcPr>
          <w:p w14:paraId="355EF317" w14:textId="77777777" w:rsidR="004F59A7" w:rsidRPr="00FC6A6C" w:rsidRDefault="004F59A7" w:rsidP="00F04877">
            <w:pPr>
              <w:pStyle w:val="-3"/>
              <w:rPr>
                <w:b/>
                <w:bCs/>
                <w:sz w:val="17"/>
                <w:szCs w:val="17"/>
                <w:rtl/>
              </w:rPr>
            </w:pPr>
            <w:r w:rsidRPr="00FC6A6C">
              <w:rPr>
                <w:b/>
                <w:bCs/>
                <w:sz w:val="17"/>
                <w:szCs w:val="17"/>
                <w:rtl/>
              </w:rPr>
              <w:t xml:space="preserve"> 0</w:t>
            </w:r>
          </w:p>
        </w:tc>
        <w:tc>
          <w:tcPr>
            <w:tcW w:w="1702" w:type="dxa"/>
            <w:tcBorders>
              <w:bottom w:val="nil"/>
            </w:tcBorders>
            <w:vAlign w:val="bottom"/>
          </w:tcPr>
          <w:p w14:paraId="16A090E0" w14:textId="77777777" w:rsidR="004F59A7" w:rsidRPr="00FC6A6C" w:rsidRDefault="004F59A7" w:rsidP="00F04877">
            <w:pPr>
              <w:pStyle w:val="-3"/>
              <w:rPr>
                <w:b/>
                <w:bCs/>
                <w:sz w:val="17"/>
                <w:szCs w:val="17"/>
                <w:rtl/>
              </w:rPr>
            </w:pPr>
            <w:r w:rsidRPr="00FC6A6C">
              <w:rPr>
                <w:b/>
                <w:bCs/>
                <w:sz w:val="17"/>
                <w:szCs w:val="17"/>
                <w:rtl/>
              </w:rPr>
              <w:t xml:space="preserve">  0</w:t>
            </w:r>
          </w:p>
        </w:tc>
      </w:tr>
    </w:tbl>
    <w:p w14:paraId="068BBC38" w14:textId="77777777" w:rsidR="00A43B26" w:rsidRDefault="00A43B26" w:rsidP="00A43B26">
      <w:pPr>
        <w:rPr>
          <w:rtl/>
        </w:rPr>
      </w:pPr>
    </w:p>
    <w:p w14:paraId="33458CCD" w14:textId="77777777" w:rsidR="004F59A7" w:rsidRDefault="004F59A7"/>
    <w:tbl>
      <w:tblPr>
        <w:bidiVisual/>
        <w:tblW w:w="5108" w:type="pct"/>
        <w:tblBorders>
          <w:bottom w:val="single" w:sz="4" w:space="0" w:color="auto"/>
        </w:tblBorders>
        <w:tblLayout w:type="fixed"/>
        <w:tblLook w:val="04A0" w:firstRow="1" w:lastRow="0" w:firstColumn="1" w:lastColumn="0" w:noHBand="0" w:noVBand="1"/>
      </w:tblPr>
      <w:tblGrid>
        <w:gridCol w:w="1560"/>
        <w:gridCol w:w="3122"/>
        <w:gridCol w:w="850"/>
        <w:gridCol w:w="891"/>
        <w:gridCol w:w="939"/>
        <w:gridCol w:w="705"/>
        <w:gridCol w:w="829"/>
        <w:gridCol w:w="704"/>
        <w:gridCol w:w="747"/>
        <w:gridCol w:w="673"/>
        <w:gridCol w:w="752"/>
        <w:gridCol w:w="997"/>
        <w:gridCol w:w="988"/>
        <w:gridCol w:w="1702"/>
      </w:tblGrid>
      <w:tr w:rsidR="004F59A7" w:rsidRPr="00543C25" w14:paraId="25B140FF" w14:textId="77777777" w:rsidTr="00F04877">
        <w:trPr>
          <w:trHeight w:val="259"/>
        </w:trPr>
        <w:tc>
          <w:tcPr>
            <w:tcW w:w="1560" w:type="dxa"/>
            <w:shd w:val="clear" w:color="auto" w:fill="auto"/>
          </w:tcPr>
          <w:p w14:paraId="30C7359A" w14:textId="77777777" w:rsidR="004F59A7" w:rsidRDefault="004F59A7" w:rsidP="00F04877">
            <w:pPr>
              <w:pStyle w:val="-0"/>
              <w:ind w:left="0" w:firstLine="0"/>
              <w:rPr>
                <w:sz w:val="14"/>
                <w:szCs w:val="14"/>
                <w:rtl/>
              </w:rPr>
            </w:pPr>
          </w:p>
        </w:tc>
        <w:tc>
          <w:tcPr>
            <w:tcW w:w="3122" w:type="dxa"/>
            <w:tcBorders>
              <w:bottom w:val="nil"/>
            </w:tcBorders>
            <w:shd w:val="clear" w:color="auto" w:fill="auto"/>
            <w:vAlign w:val="bottom"/>
          </w:tcPr>
          <w:p w14:paraId="65601289" w14:textId="77777777" w:rsidR="004F59A7" w:rsidRPr="00046EFB" w:rsidRDefault="004F59A7" w:rsidP="00F04877">
            <w:pPr>
              <w:pStyle w:val="-0"/>
              <w:spacing w:line="192" w:lineRule="auto"/>
              <w:rPr>
                <w:sz w:val="17"/>
                <w:szCs w:val="17"/>
                <w:rtl/>
              </w:rPr>
            </w:pPr>
          </w:p>
        </w:tc>
        <w:tc>
          <w:tcPr>
            <w:tcW w:w="850" w:type="dxa"/>
            <w:vMerge w:val="restart"/>
            <w:shd w:val="clear" w:color="auto" w:fill="auto"/>
            <w:tcMar>
              <w:left w:w="108" w:type="dxa"/>
              <w:right w:w="108" w:type="dxa"/>
            </w:tcMar>
            <w:vAlign w:val="bottom"/>
          </w:tcPr>
          <w:p w14:paraId="31B3F773" w14:textId="77777777" w:rsidR="004F59A7" w:rsidRPr="004F59A7" w:rsidRDefault="004F59A7" w:rsidP="00F04877">
            <w:pPr>
              <w:spacing w:line="192" w:lineRule="auto"/>
              <w:rPr>
                <w:b/>
                <w:bCs/>
                <w:sz w:val="16"/>
                <w:szCs w:val="16"/>
                <w:rtl/>
              </w:rPr>
            </w:pPr>
            <w:r w:rsidRPr="004F59A7">
              <w:rPr>
                <w:b/>
                <w:bCs/>
                <w:sz w:val="16"/>
                <w:szCs w:val="16"/>
                <w:rtl/>
              </w:rPr>
              <w:t>שווי הוגן ליום 31  בדצמבר</w:t>
            </w:r>
          </w:p>
          <w:p w14:paraId="6028BCE9" w14:textId="41A37042" w:rsidR="004F59A7" w:rsidRPr="00BF2D3B" w:rsidRDefault="004F59A7" w:rsidP="00F04877">
            <w:pPr>
              <w:pBdr>
                <w:bottom w:val="single" w:sz="4" w:space="1" w:color="auto"/>
              </w:pBdr>
              <w:spacing w:line="192" w:lineRule="auto"/>
              <w:ind w:left="57" w:right="57"/>
              <w:jc w:val="center"/>
              <w:rPr>
                <w:b/>
                <w:bCs/>
                <w:sz w:val="16"/>
                <w:szCs w:val="16"/>
                <w:rtl/>
              </w:rPr>
            </w:pPr>
            <w:r w:rsidRPr="00BF2D3B">
              <w:rPr>
                <w:b/>
                <w:bCs/>
                <w:sz w:val="16"/>
                <w:szCs w:val="16"/>
                <w:rtl/>
              </w:rPr>
              <w:fldChar w:fldCharType="begin"/>
            </w:r>
            <w:r w:rsidRPr="00BF2D3B">
              <w:rPr>
                <w:b/>
                <w:bCs/>
                <w:sz w:val="16"/>
                <w:szCs w:val="16"/>
                <w:rtl/>
              </w:rPr>
              <w:instrText xml:space="preserve"> = </w:instrText>
            </w:r>
            <w:r w:rsidRPr="00BF2D3B">
              <w:rPr>
                <w:b/>
                <w:bCs/>
                <w:sz w:val="16"/>
                <w:szCs w:val="16"/>
              </w:rPr>
              <w:instrText>CY</w:instrText>
            </w:r>
            <w:r>
              <w:rPr>
                <w:b/>
                <w:bCs/>
                <w:sz w:val="16"/>
                <w:szCs w:val="16"/>
              </w:rPr>
              <w:instrText>-2</w:instrText>
            </w:r>
            <w:r w:rsidRPr="00BF2D3B">
              <w:rPr>
                <w:b/>
                <w:bCs/>
                <w:sz w:val="16"/>
                <w:szCs w:val="16"/>
              </w:rPr>
              <w:instrText xml:space="preserve"> \* MERGEFORMAT</w:instrText>
            </w:r>
            <w:r w:rsidRPr="00BF2D3B">
              <w:rPr>
                <w:b/>
                <w:bCs/>
                <w:sz w:val="16"/>
                <w:szCs w:val="16"/>
                <w:rtl/>
              </w:rPr>
              <w:instrText xml:space="preserve"> </w:instrText>
            </w:r>
            <w:r w:rsidRPr="00BF2D3B">
              <w:rPr>
                <w:b/>
                <w:bCs/>
                <w:sz w:val="16"/>
                <w:szCs w:val="16"/>
                <w:rtl/>
              </w:rPr>
              <w:fldChar w:fldCharType="separate"/>
            </w:r>
            <w:r>
              <w:rPr>
                <w:b/>
                <w:bCs/>
                <w:noProof/>
                <w:sz w:val="16"/>
                <w:szCs w:val="16"/>
                <w:rtl/>
              </w:rPr>
              <w:t>2022</w:t>
            </w:r>
            <w:r w:rsidRPr="00BF2D3B">
              <w:rPr>
                <w:b/>
                <w:bCs/>
                <w:sz w:val="16"/>
                <w:szCs w:val="16"/>
                <w:rtl/>
              </w:rPr>
              <w:fldChar w:fldCharType="end"/>
            </w:r>
            <w:r w:rsidRPr="004F59A7">
              <w:rPr>
                <w:b/>
                <w:bCs/>
                <w:sz w:val="16"/>
                <w:szCs w:val="16"/>
                <w:rtl/>
              </w:rPr>
              <w:t xml:space="preserve"> (מבוקר)</w:t>
            </w:r>
          </w:p>
        </w:tc>
        <w:tc>
          <w:tcPr>
            <w:tcW w:w="1830" w:type="dxa"/>
            <w:gridSpan w:val="2"/>
            <w:shd w:val="clear" w:color="auto" w:fill="auto"/>
            <w:tcMar>
              <w:left w:w="108" w:type="dxa"/>
              <w:right w:w="108" w:type="dxa"/>
            </w:tcMar>
            <w:vAlign w:val="bottom"/>
          </w:tcPr>
          <w:p w14:paraId="15E41116" w14:textId="77777777" w:rsidR="004F59A7" w:rsidRPr="00BF2D3B" w:rsidRDefault="004F59A7" w:rsidP="00F04877">
            <w:pPr>
              <w:spacing w:line="192" w:lineRule="auto"/>
              <w:ind w:left="57" w:right="57"/>
              <w:jc w:val="center"/>
              <w:rPr>
                <w:b/>
                <w:bCs/>
                <w:sz w:val="16"/>
                <w:szCs w:val="16"/>
                <w:rtl/>
              </w:rPr>
            </w:pPr>
            <w:r w:rsidRPr="00BF2D3B">
              <w:rPr>
                <w:rFonts w:hint="eastAsia"/>
                <w:b/>
                <w:bCs/>
                <w:sz w:val="16"/>
                <w:szCs w:val="16"/>
                <w:rtl/>
              </w:rPr>
              <w:t>רווחים</w:t>
            </w:r>
            <w:r w:rsidRPr="00BF2D3B">
              <w:rPr>
                <w:b/>
                <w:bCs/>
                <w:sz w:val="16"/>
                <w:szCs w:val="16"/>
                <w:rtl/>
              </w:rPr>
              <w:t xml:space="preserve"> (הפסדים)</w:t>
            </w:r>
          </w:p>
          <w:p w14:paraId="697035AF" w14:textId="77777777" w:rsidR="004F59A7" w:rsidRPr="00BF2D3B" w:rsidRDefault="004F59A7" w:rsidP="00F04877">
            <w:pPr>
              <w:pStyle w:val="-4"/>
              <w:spacing w:line="192" w:lineRule="auto"/>
              <w:rPr>
                <w:sz w:val="16"/>
                <w:szCs w:val="16"/>
                <w:rtl/>
              </w:rPr>
            </w:pPr>
            <w:r w:rsidRPr="00BF2D3B">
              <w:rPr>
                <w:rFonts w:hint="eastAsia"/>
                <w:sz w:val="16"/>
                <w:szCs w:val="16"/>
                <w:rtl/>
              </w:rPr>
              <w:t>לתקופה</w:t>
            </w:r>
            <w:r w:rsidRPr="00BF2D3B">
              <w:rPr>
                <w:sz w:val="16"/>
                <w:szCs w:val="16"/>
                <w:rtl/>
              </w:rPr>
              <w:t xml:space="preserve"> שנכללו </w:t>
            </w:r>
          </w:p>
        </w:tc>
        <w:tc>
          <w:tcPr>
            <w:tcW w:w="2985" w:type="dxa"/>
            <w:gridSpan w:val="4"/>
            <w:shd w:val="clear" w:color="auto" w:fill="auto"/>
            <w:tcMar>
              <w:left w:w="108" w:type="dxa"/>
              <w:right w:w="108" w:type="dxa"/>
            </w:tcMar>
            <w:vAlign w:val="bottom"/>
          </w:tcPr>
          <w:p w14:paraId="10C8595D" w14:textId="77777777" w:rsidR="004F59A7" w:rsidRPr="00BF2D3B" w:rsidRDefault="004F59A7" w:rsidP="00F04877">
            <w:pPr>
              <w:pStyle w:val="-4"/>
              <w:spacing w:line="192" w:lineRule="auto"/>
              <w:rPr>
                <w:sz w:val="16"/>
                <w:szCs w:val="16"/>
                <w:rtl/>
              </w:rPr>
            </w:pPr>
            <w:r w:rsidRPr="00BF2D3B">
              <w:rPr>
                <w:rFonts w:hint="eastAsia"/>
                <w:sz w:val="16"/>
                <w:szCs w:val="16"/>
                <w:rtl/>
              </w:rPr>
              <w:t>תנועות</w:t>
            </w:r>
            <w:r w:rsidRPr="00BF2D3B">
              <w:rPr>
                <w:sz w:val="16"/>
                <w:szCs w:val="16"/>
                <w:rtl/>
              </w:rPr>
              <w:t xml:space="preserve"> </w:t>
            </w:r>
            <w:r w:rsidRPr="00BF2D3B">
              <w:rPr>
                <w:rFonts w:hint="eastAsia"/>
                <w:sz w:val="16"/>
                <w:szCs w:val="16"/>
                <w:rtl/>
              </w:rPr>
              <w:t>בגין</w:t>
            </w:r>
          </w:p>
        </w:tc>
        <w:tc>
          <w:tcPr>
            <w:tcW w:w="1425" w:type="dxa"/>
            <w:gridSpan w:val="2"/>
            <w:shd w:val="clear" w:color="auto" w:fill="auto"/>
            <w:tcMar>
              <w:left w:w="108" w:type="dxa"/>
              <w:right w:w="108" w:type="dxa"/>
            </w:tcMar>
            <w:vAlign w:val="bottom"/>
          </w:tcPr>
          <w:p w14:paraId="7118EFA4" w14:textId="77777777" w:rsidR="004F59A7" w:rsidRPr="00BF2D3B" w:rsidRDefault="004F59A7" w:rsidP="00F04877">
            <w:pPr>
              <w:pBdr>
                <w:bottom w:val="single" w:sz="4" w:space="1" w:color="auto"/>
              </w:pBdr>
              <w:spacing w:line="192" w:lineRule="auto"/>
              <w:jc w:val="center"/>
              <w:rPr>
                <w:sz w:val="16"/>
                <w:szCs w:val="16"/>
                <w:rtl/>
              </w:rPr>
            </w:pPr>
            <w:r w:rsidRPr="00BF2D3B">
              <w:rPr>
                <w:rFonts w:hint="eastAsia"/>
                <w:bCs/>
                <w:sz w:val="16"/>
                <w:szCs w:val="16"/>
                <w:rtl/>
              </w:rPr>
              <w:t>העברות</w:t>
            </w:r>
            <w:r w:rsidRPr="00BF2D3B">
              <w:rPr>
                <w:bCs/>
                <w:sz w:val="16"/>
                <w:szCs w:val="16"/>
                <w:rtl/>
              </w:rPr>
              <w:t xml:space="preserve"> </w:t>
            </w:r>
            <w:r w:rsidRPr="00BF2D3B">
              <w:rPr>
                <w:rFonts w:hint="cs"/>
                <w:sz w:val="16"/>
                <w:szCs w:val="16"/>
                <w:vertAlign w:val="superscript"/>
                <w:rtl/>
              </w:rPr>
              <w:t>[ד]</w:t>
            </w:r>
          </w:p>
        </w:tc>
        <w:tc>
          <w:tcPr>
            <w:tcW w:w="997" w:type="dxa"/>
            <w:vMerge w:val="restart"/>
            <w:shd w:val="clear" w:color="auto" w:fill="auto"/>
            <w:tcMar>
              <w:left w:w="108" w:type="dxa"/>
              <w:right w:w="108" w:type="dxa"/>
            </w:tcMar>
            <w:vAlign w:val="bottom"/>
          </w:tcPr>
          <w:p w14:paraId="64AE62E2"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b/>
                <w:bCs/>
                <w:sz w:val="16"/>
                <w:szCs w:val="16"/>
                <w:rtl/>
              </w:rPr>
              <w:t>התאמות</w:t>
            </w:r>
            <w:r w:rsidRPr="00BF2D3B">
              <w:rPr>
                <w:rFonts w:hint="cs"/>
                <w:b/>
                <w:bCs/>
                <w:sz w:val="16"/>
                <w:szCs w:val="16"/>
                <w:rtl/>
              </w:rPr>
              <w:t xml:space="preserve"> </w:t>
            </w:r>
            <w:r w:rsidRPr="00BF2D3B">
              <w:rPr>
                <w:b/>
                <w:bCs/>
                <w:sz w:val="16"/>
                <w:szCs w:val="16"/>
                <w:rtl/>
              </w:rPr>
              <w:t>מתרגום</w:t>
            </w:r>
            <w:r w:rsidRPr="00BF2D3B">
              <w:rPr>
                <w:rFonts w:hint="cs"/>
                <w:b/>
                <w:bCs/>
                <w:sz w:val="16"/>
                <w:szCs w:val="16"/>
                <w:rtl/>
              </w:rPr>
              <w:t xml:space="preserve"> </w:t>
            </w:r>
            <w:r w:rsidRPr="00BF2D3B">
              <w:rPr>
                <w:b/>
                <w:bCs/>
                <w:sz w:val="16"/>
                <w:szCs w:val="16"/>
                <w:rtl/>
              </w:rPr>
              <w:t>דוחות</w:t>
            </w:r>
            <w:r w:rsidRPr="00BF2D3B">
              <w:rPr>
                <w:rFonts w:hint="cs"/>
                <w:b/>
                <w:bCs/>
                <w:sz w:val="16"/>
                <w:szCs w:val="16"/>
                <w:rtl/>
              </w:rPr>
              <w:t xml:space="preserve"> </w:t>
            </w:r>
            <w:r w:rsidRPr="00BF2D3B">
              <w:rPr>
                <w:b/>
                <w:bCs/>
                <w:sz w:val="16"/>
                <w:szCs w:val="16"/>
                <w:rtl/>
              </w:rPr>
              <w:t>כספיים</w:t>
            </w:r>
          </w:p>
        </w:tc>
        <w:tc>
          <w:tcPr>
            <w:tcW w:w="988" w:type="dxa"/>
            <w:vMerge w:val="restart"/>
            <w:shd w:val="clear" w:color="auto" w:fill="auto"/>
            <w:tcMar>
              <w:left w:w="108" w:type="dxa"/>
              <w:right w:w="108" w:type="dxa"/>
            </w:tcMar>
            <w:vAlign w:val="bottom"/>
          </w:tcPr>
          <w:p w14:paraId="11145F22" w14:textId="77777777" w:rsidR="004F59A7" w:rsidRPr="00BF2D3B" w:rsidRDefault="004F59A7" w:rsidP="00F04877">
            <w:pPr>
              <w:spacing w:line="192" w:lineRule="auto"/>
              <w:jc w:val="center"/>
              <w:rPr>
                <w:b/>
                <w:bCs/>
                <w:sz w:val="16"/>
                <w:szCs w:val="16"/>
                <w:rtl/>
              </w:rPr>
            </w:pPr>
            <w:r w:rsidRPr="00BF2D3B">
              <w:rPr>
                <w:rFonts w:hint="eastAsia"/>
                <w:b/>
                <w:bCs/>
                <w:sz w:val="16"/>
                <w:szCs w:val="16"/>
                <w:rtl/>
              </w:rPr>
              <w:t>שווי</w:t>
            </w:r>
            <w:r w:rsidRPr="00BF2D3B">
              <w:rPr>
                <w:b/>
                <w:bCs/>
                <w:sz w:val="16"/>
                <w:szCs w:val="16"/>
                <w:rtl/>
              </w:rPr>
              <w:t xml:space="preserve"> </w:t>
            </w:r>
            <w:r w:rsidRPr="00BF2D3B">
              <w:rPr>
                <w:rFonts w:hint="eastAsia"/>
                <w:b/>
                <w:bCs/>
                <w:sz w:val="16"/>
                <w:szCs w:val="16"/>
                <w:rtl/>
              </w:rPr>
              <w:t>הוגן</w:t>
            </w:r>
            <w:r w:rsidRPr="00BF2D3B">
              <w:rPr>
                <w:b/>
                <w:bCs/>
                <w:sz w:val="16"/>
                <w:szCs w:val="16"/>
                <w:rtl/>
              </w:rPr>
              <w:t xml:space="preserve"> </w:t>
            </w:r>
            <w:r w:rsidRPr="00BF2D3B">
              <w:rPr>
                <w:rFonts w:hint="eastAsia"/>
                <w:b/>
                <w:bCs/>
                <w:sz w:val="16"/>
                <w:szCs w:val="16"/>
                <w:rtl/>
              </w:rPr>
              <w:t>ליום</w:t>
            </w:r>
            <w:r w:rsidRPr="00BF2D3B">
              <w:rPr>
                <w:b/>
                <w:bCs/>
                <w:sz w:val="16"/>
                <w:szCs w:val="16"/>
                <w:rtl/>
              </w:rPr>
              <w:t xml:space="preserve"> </w:t>
            </w:r>
          </w:p>
          <w:p w14:paraId="55924576" w14:textId="47D96634" w:rsidR="004F59A7" w:rsidRPr="00BF2D3B" w:rsidRDefault="004F59A7" w:rsidP="00F04877">
            <w:pPr>
              <w:pBdr>
                <w:bottom w:val="single" w:sz="4" w:space="1" w:color="auto"/>
              </w:pBdr>
              <w:spacing w:line="192" w:lineRule="auto"/>
              <w:ind w:left="57" w:right="57"/>
              <w:jc w:val="center"/>
              <w:rPr>
                <w:b/>
                <w:bCs/>
                <w:sz w:val="16"/>
                <w:szCs w:val="16"/>
                <w:rtl/>
              </w:rPr>
            </w:pPr>
            <w:r w:rsidRPr="00BF2D3B">
              <w:rPr>
                <w:b/>
                <w:bCs/>
                <w:sz w:val="16"/>
                <w:szCs w:val="16"/>
                <w:rtl/>
              </w:rPr>
              <w:t xml:space="preserve">30 </w:t>
            </w:r>
            <w:r w:rsidRPr="00BF2D3B">
              <w:rPr>
                <w:rFonts w:hint="eastAsia"/>
                <w:b/>
                <w:bCs/>
                <w:sz w:val="16"/>
                <w:szCs w:val="16"/>
                <w:rtl/>
              </w:rPr>
              <w:t>ביוני</w:t>
            </w:r>
            <w:r w:rsidRPr="00BF2D3B">
              <w:rPr>
                <w:b/>
                <w:bCs/>
                <w:sz w:val="16"/>
                <w:szCs w:val="16"/>
                <w:rtl/>
              </w:rPr>
              <w:t xml:space="preserve"> </w:t>
            </w:r>
            <w:r w:rsidRPr="00BF2D3B">
              <w:rPr>
                <w:b/>
                <w:bCs/>
                <w:sz w:val="16"/>
                <w:szCs w:val="16"/>
                <w:rtl/>
              </w:rPr>
              <w:fldChar w:fldCharType="begin"/>
            </w:r>
            <w:r w:rsidRPr="00BF2D3B">
              <w:rPr>
                <w:b/>
                <w:bCs/>
                <w:sz w:val="16"/>
                <w:szCs w:val="16"/>
                <w:rtl/>
              </w:rPr>
              <w:instrText xml:space="preserve"> = </w:instrText>
            </w:r>
            <w:r w:rsidRPr="00BF2D3B">
              <w:rPr>
                <w:b/>
                <w:bCs/>
                <w:sz w:val="16"/>
                <w:szCs w:val="16"/>
              </w:rPr>
              <w:instrText>CY</w:instrText>
            </w:r>
            <w:r>
              <w:rPr>
                <w:b/>
                <w:bCs/>
                <w:sz w:val="16"/>
                <w:szCs w:val="16"/>
              </w:rPr>
              <w:instrText>-1</w:instrText>
            </w:r>
            <w:r w:rsidRPr="00BF2D3B">
              <w:rPr>
                <w:b/>
                <w:bCs/>
                <w:sz w:val="16"/>
                <w:szCs w:val="16"/>
              </w:rPr>
              <w:instrText xml:space="preserve"> \* MERGEFORMAT</w:instrText>
            </w:r>
            <w:r w:rsidRPr="00BF2D3B">
              <w:rPr>
                <w:b/>
                <w:bCs/>
                <w:sz w:val="16"/>
                <w:szCs w:val="16"/>
                <w:rtl/>
              </w:rPr>
              <w:instrText xml:space="preserve"> </w:instrText>
            </w:r>
            <w:r w:rsidRPr="00BF2D3B">
              <w:rPr>
                <w:b/>
                <w:bCs/>
                <w:sz w:val="16"/>
                <w:szCs w:val="16"/>
                <w:rtl/>
              </w:rPr>
              <w:fldChar w:fldCharType="separate"/>
            </w:r>
            <w:r>
              <w:rPr>
                <w:b/>
                <w:bCs/>
                <w:noProof/>
                <w:sz w:val="16"/>
                <w:szCs w:val="16"/>
                <w:rtl/>
              </w:rPr>
              <w:t>2023</w:t>
            </w:r>
            <w:r w:rsidRPr="00BF2D3B">
              <w:rPr>
                <w:b/>
                <w:bCs/>
                <w:sz w:val="16"/>
                <w:szCs w:val="16"/>
                <w:rtl/>
              </w:rPr>
              <w:fldChar w:fldCharType="end"/>
            </w:r>
          </w:p>
        </w:tc>
        <w:tc>
          <w:tcPr>
            <w:tcW w:w="1702" w:type="dxa"/>
            <w:vMerge w:val="restart"/>
            <w:shd w:val="clear" w:color="auto" w:fill="auto"/>
            <w:tcMar>
              <w:left w:w="108" w:type="dxa"/>
              <w:right w:w="108" w:type="dxa"/>
            </w:tcMar>
            <w:vAlign w:val="bottom"/>
          </w:tcPr>
          <w:p w14:paraId="677F9CDA" w14:textId="290746F4" w:rsidR="004F59A7" w:rsidRPr="00BF2D3B" w:rsidRDefault="004F59A7" w:rsidP="00F04877">
            <w:pPr>
              <w:pBdr>
                <w:bottom w:val="single" w:sz="4" w:space="1" w:color="auto"/>
              </w:pBdr>
              <w:spacing w:line="192" w:lineRule="auto"/>
              <w:jc w:val="center"/>
              <w:rPr>
                <w:b/>
                <w:bCs/>
                <w:sz w:val="16"/>
                <w:szCs w:val="16"/>
                <w:rtl/>
              </w:rPr>
            </w:pPr>
            <w:r w:rsidRPr="00BF2D3B">
              <w:rPr>
                <w:rFonts w:hint="eastAsia"/>
                <w:b/>
                <w:bCs/>
                <w:sz w:val="16"/>
                <w:szCs w:val="16"/>
                <w:rtl/>
              </w:rPr>
              <w:t>רווחים</w:t>
            </w:r>
            <w:r w:rsidRPr="00BF2D3B">
              <w:rPr>
                <w:b/>
                <w:bCs/>
                <w:sz w:val="16"/>
                <w:szCs w:val="16"/>
                <w:rtl/>
              </w:rPr>
              <w:t xml:space="preserve"> (הפסדים) לתקופה שטרם </w:t>
            </w:r>
            <w:r w:rsidRPr="00BF2D3B">
              <w:rPr>
                <w:rFonts w:hint="cs"/>
                <w:b/>
                <w:bCs/>
                <w:sz w:val="16"/>
                <w:szCs w:val="16"/>
                <w:rtl/>
              </w:rPr>
              <w:t>מומשו בגין</w:t>
            </w:r>
            <w:r w:rsidRPr="00BF2D3B">
              <w:rPr>
                <w:b/>
                <w:bCs/>
                <w:sz w:val="16"/>
                <w:szCs w:val="16"/>
                <w:rtl/>
              </w:rPr>
              <w:t xml:space="preserve"> </w:t>
            </w:r>
            <w:r w:rsidRPr="00BF2D3B">
              <w:rPr>
                <w:rFonts w:hint="eastAsia"/>
                <w:b/>
                <w:bCs/>
                <w:sz w:val="16"/>
                <w:szCs w:val="16"/>
                <w:rtl/>
              </w:rPr>
              <w:t>מכשירים</w:t>
            </w:r>
            <w:r w:rsidRPr="00BF2D3B">
              <w:rPr>
                <w:b/>
                <w:bCs/>
                <w:sz w:val="16"/>
                <w:szCs w:val="16"/>
                <w:rtl/>
              </w:rPr>
              <w:t xml:space="preserve"> </w:t>
            </w:r>
            <w:r w:rsidRPr="00BF2D3B">
              <w:rPr>
                <w:rFonts w:hint="eastAsia"/>
                <w:b/>
                <w:bCs/>
                <w:sz w:val="16"/>
                <w:szCs w:val="16"/>
                <w:rtl/>
              </w:rPr>
              <w:t>המוחזקים</w:t>
            </w:r>
            <w:r w:rsidRPr="00BF2D3B">
              <w:rPr>
                <w:b/>
                <w:bCs/>
                <w:sz w:val="16"/>
                <w:szCs w:val="16"/>
                <w:rtl/>
              </w:rPr>
              <w:t xml:space="preserve"> </w:t>
            </w:r>
            <w:r w:rsidRPr="00BF2D3B">
              <w:rPr>
                <w:rFonts w:hint="eastAsia"/>
                <w:b/>
                <w:bCs/>
                <w:sz w:val="16"/>
                <w:szCs w:val="16"/>
                <w:rtl/>
              </w:rPr>
              <w:t>ליום</w:t>
            </w:r>
            <w:r w:rsidRPr="00BF2D3B">
              <w:rPr>
                <w:b/>
                <w:bCs/>
                <w:sz w:val="16"/>
                <w:szCs w:val="16"/>
                <w:rtl/>
              </w:rPr>
              <w:t xml:space="preserve"> 30 </w:t>
            </w:r>
            <w:r w:rsidRPr="00BF2D3B">
              <w:rPr>
                <w:rFonts w:hint="eastAsia"/>
                <w:b/>
                <w:bCs/>
                <w:sz w:val="16"/>
                <w:szCs w:val="16"/>
                <w:rtl/>
              </w:rPr>
              <w:t>ביוני</w:t>
            </w:r>
            <w:r w:rsidRPr="00BF2D3B">
              <w:rPr>
                <w:b/>
                <w:bCs/>
                <w:sz w:val="16"/>
                <w:szCs w:val="16"/>
                <w:rtl/>
              </w:rPr>
              <w:t xml:space="preserve"> </w:t>
            </w:r>
            <w:r w:rsidRPr="00BF2D3B">
              <w:rPr>
                <w:b/>
                <w:bCs/>
                <w:sz w:val="16"/>
                <w:szCs w:val="16"/>
                <w:rtl/>
              </w:rPr>
              <w:fldChar w:fldCharType="begin"/>
            </w:r>
            <w:r w:rsidRPr="00BF2D3B">
              <w:rPr>
                <w:b/>
                <w:bCs/>
                <w:sz w:val="16"/>
                <w:szCs w:val="16"/>
                <w:rtl/>
              </w:rPr>
              <w:instrText xml:space="preserve"> = </w:instrText>
            </w:r>
            <w:r w:rsidRPr="00BF2D3B">
              <w:rPr>
                <w:b/>
                <w:bCs/>
                <w:sz w:val="16"/>
                <w:szCs w:val="16"/>
              </w:rPr>
              <w:instrText>CY</w:instrText>
            </w:r>
            <w:r>
              <w:rPr>
                <w:b/>
                <w:bCs/>
                <w:sz w:val="16"/>
                <w:szCs w:val="16"/>
              </w:rPr>
              <w:instrText>-1</w:instrText>
            </w:r>
            <w:r w:rsidRPr="00BF2D3B">
              <w:rPr>
                <w:b/>
                <w:bCs/>
                <w:sz w:val="16"/>
                <w:szCs w:val="16"/>
              </w:rPr>
              <w:instrText xml:space="preserve"> \* MERGEFORMAT</w:instrText>
            </w:r>
            <w:r w:rsidRPr="00BF2D3B">
              <w:rPr>
                <w:b/>
                <w:bCs/>
                <w:sz w:val="16"/>
                <w:szCs w:val="16"/>
                <w:rtl/>
              </w:rPr>
              <w:instrText xml:space="preserve"> </w:instrText>
            </w:r>
            <w:r w:rsidRPr="00BF2D3B">
              <w:rPr>
                <w:b/>
                <w:bCs/>
                <w:sz w:val="16"/>
                <w:szCs w:val="16"/>
                <w:rtl/>
              </w:rPr>
              <w:fldChar w:fldCharType="separate"/>
            </w:r>
            <w:r>
              <w:rPr>
                <w:b/>
                <w:bCs/>
                <w:noProof/>
                <w:sz w:val="16"/>
                <w:szCs w:val="16"/>
                <w:rtl/>
              </w:rPr>
              <w:t>2023</w:t>
            </w:r>
            <w:r w:rsidRPr="00BF2D3B">
              <w:rPr>
                <w:b/>
                <w:bCs/>
                <w:sz w:val="16"/>
                <w:szCs w:val="16"/>
                <w:rtl/>
              </w:rPr>
              <w:fldChar w:fldCharType="end"/>
            </w:r>
          </w:p>
        </w:tc>
      </w:tr>
      <w:tr w:rsidR="004F59A7" w:rsidRPr="00543C25" w14:paraId="3A251876" w14:textId="77777777" w:rsidTr="00F04877">
        <w:trPr>
          <w:trHeight w:val="440"/>
        </w:trPr>
        <w:tc>
          <w:tcPr>
            <w:tcW w:w="1560" w:type="dxa"/>
            <w:tcBorders>
              <w:right w:val="nil"/>
            </w:tcBorders>
            <w:shd w:val="clear" w:color="auto" w:fill="auto"/>
          </w:tcPr>
          <w:p w14:paraId="1C173C66" w14:textId="77777777" w:rsidR="004F59A7" w:rsidRPr="003425A3" w:rsidRDefault="004F59A7" w:rsidP="00F04877">
            <w:pPr>
              <w:pStyle w:val="-0"/>
              <w:rPr>
                <w:sz w:val="16"/>
                <w:szCs w:val="16"/>
                <w:rtl/>
              </w:rPr>
            </w:pPr>
          </w:p>
        </w:tc>
        <w:tc>
          <w:tcPr>
            <w:tcW w:w="3122" w:type="dxa"/>
            <w:tcBorders>
              <w:left w:val="nil"/>
              <w:bottom w:val="nil"/>
            </w:tcBorders>
            <w:shd w:val="clear" w:color="auto" w:fill="auto"/>
            <w:vAlign w:val="bottom"/>
          </w:tcPr>
          <w:p w14:paraId="4274CCA7" w14:textId="77777777" w:rsidR="004F59A7" w:rsidRPr="00046EFB" w:rsidRDefault="004F59A7" w:rsidP="00F04877">
            <w:pPr>
              <w:pStyle w:val="-0"/>
              <w:spacing w:line="192" w:lineRule="auto"/>
              <w:rPr>
                <w:sz w:val="17"/>
                <w:szCs w:val="17"/>
                <w:rtl/>
              </w:rPr>
            </w:pPr>
          </w:p>
        </w:tc>
        <w:tc>
          <w:tcPr>
            <w:tcW w:w="850" w:type="dxa"/>
            <w:vMerge/>
            <w:shd w:val="clear" w:color="auto" w:fill="auto"/>
            <w:tcMar>
              <w:left w:w="43" w:type="dxa"/>
              <w:right w:w="43" w:type="dxa"/>
            </w:tcMar>
            <w:vAlign w:val="bottom"/>
          </w:tcPr>
          <w:p w14:paraId="15DBF3F8" w14:textId="77777777" w:rsidR="004F59A7" w:rsidRDefault="004F59A7" w:rsidP="00F04877">
            <w:pPr>
              <w:pBdr>
                <w:bottom w:val="single" w:sz="4" w:space="1" w:color="auto"/>
              </w:pBdr>
              <w:spacing w:line="192" w:lineRule="auto"/>
              <w:ind w:left="57" w:right="57"/>
              <w:jc w:val="center"/>
              <w:rPr>
                <w:b/>
                <w:bCs/>
                <w:sz w:val="17"/>
                <w:szCs w:val="17"/>
                <w:rtl/>
              </w:rPr>
            </w:pPr>
          </w:p>
        </w:tc>
        <w:tc>
          <w:tcPr>
            <w:tcW w:w="891" w:type="dxa"/>
            <w:shd w:val="clear" w:color="auto" w:fill="auto"/>
            <w:tcMar>
              <w:left w:w="43" w:type="dxa"/>
              <w:right w:w="43" w:type="dxa"/>
            </w:tcMar>
            <w:vAlign w:val="bottom"/>
          </w:tcPr>
          <w:p w14:paraId="322B27A5"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בדוח</w:t>
            </w:r>
            <w:r w:rsidRPr="00BF2D3B">
              <w:rPr>
                <w:b/>
                <w:bCs/>
                <w:sz w:val="16"/>
                <w:szCs w:val="16"/>
                <w:rtl/>
              </w:rPr>
              <w:t xml:space="preserve"> </w:t>
            </w:r>
            <w:r w:rsidRPr="00BF2D3B">
              <w:rPr>
                <w:rFonts w:hint="eastAsia"/>
                <w:b/>
                <w:bCs/>
                <w:sz w:val="16"/>
                <w:szCs w:val="16"/>
                <w:rtl/>
              </w:rPr>
              <w:t>רווח</w:t>
            </w:r>
            <w:r w:rsidRPr="00BF2D3B">
              <w:rPr>
                <w:b/>
                <w:bCs/>
                <w:sz w:val="16"/>
                <w:szCs w:val="16"/>
                <w:rtl/>
              </w:rPr>
              <w:t xml:space="preserve"> </w:t>
            </w:r>
            <w:r w:rsidRPr="00BF2D3B">
              <w:rPr>
                <w:rFonts w:hint="eastAsia"/>
                <w:b/>
                <w:bCs/>
                <w:sz w:val="16"/>
                <w:szCs w:val="16"/>
                <w:rtl/>
              </w:rPr>
              <w:t>והפסד</w:t>
            </w:r>
          </w:p>
        </w:tc>
        <w:tc>
          <w:tcPr>
            <w:tcW w:w="939" w:type="dxa"/>
            <w:shd w:val="clear" w:color="auto" w:fill="auto"/>
            <w:tcMar>
              <w:left w:w="43" w:type="dxa"/>
              <w:right w:w="43" w:type="dxa"/>
            </w:tcMar>
            <w:vAlign w:val="bottom"/>
          </w:tcPr>
          <w:p w14:paraId="3C9CA169"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ברווח</w:t>
            </w:r>
            <w:r w:rsidRPr="00BF2D3B">
              <w:rPr>
                <w:b/>
                <w:bCs/>
                <w:sz w:val="16"/>
                <w:szCs w:val="16"/>
                <w:rtl/>
              </w:rPr>
              <w:t xml:space="preserve"> </w:t>
            </w:r>
            <w:r w:rsidRPr="00BF2D3B">
              <w:rPr>
                <w:rFonts w:hint="eastAsia"/>
                <w:b/>
                <w:bCs/>
                <w:sz w:val="16"/>
                <w:szCs w:val="16"/>
                <w:rtl/>
              </w:rPr>
              <w:t>כולל</w:t>
            </w:r>
            <w:r w:rsidRPr="00BF2D3B">
              <w:rPr>
                <w:b/>
                <w:bCs/>
                <w:sz w:val="16"/>
                <w:szCs w:val="16"/>
                <w:rtl/>
              </w:rPr>
              <w:t xml:space="preserve"> </w:t>
            </w:r>
            <w:r w:rsidRPr="00BF2D3B">
              <w:rPr>
                <w:rFonts w:hint="eastAsia"/>
                <w:b/>
                <w:bCs/>
                <w:sz w:val="16"/>
                <w:szCs w:val="16"/>
                <w:rtl/>
              </w:rPr>
              <w:t>אחר</w:t>
            </w:r>
            <w:r w:rsidRPr="00BF2D3B">
              <w:rPr>
                <w:b/>
                <w:bCs/>
                <w:sz w:val="16"/>
                <w:szCs w:val="16"/>
                <w:rtl/>
              </w:rPr>
              <w:t xml:space="preserve"> (בהון)</w:t>
            </w:r>
          </w:p>
        </w:tc>
        <w:tc>
          <w:tcPr>
            <w:tcW w:w="705" w:type="dxa"/>
            <w:shd w:val="clear" w:color="auto" w:fill="auto"/>
            <w:tcMar>
              <w:left w:w="43" w:type="dxa"/>
              <w:right w:w="43" w:type="dxa"/>
            </w:tcMar>
            <w:vAlign w:val="bottom"/>
          </w:tcPr>
          <w:p w14:paraId="5FE90306"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רכישות</w:t>
            </w:r>
          </w:p>
        </w:tc>
        <w:tc>
          <w:tcPr>
            <w:tcW w:w="829" w:type="dxa"/>
            <w:shd w:val="clear" w:color="auto" w:fill="auto"/>
            <w:tcMar>
              <w:left w:w="43" w:type="dxa"/>
              <w:right w:w="43" w:type="dxa"/>
            </w:tcMar>
            <w:vAlign w:val="bottom"/>
          </w:tcPr>
          <w:p w14:paraId="0925DAC5" w14:textId="77777777" w:rsidR="004F59A7" w:rsidRPr="00BF2D3B" w:rsidRDefault="004F59A7" w:rsidP="00F04877">
            <w:pPr>
              <w:pBdr>
                <w:bottom w:val="single" w:sz="4" w:space="1" w:color="auto"/>
              </w:pBdr>
              <w:spacing w:line="192" w:lineRule="auto"/>
              <w:ind w:left="28" w:right="28"/>
              <w:jc w:val="center"/>
              <w:rPr>
                <w:b/>
                <w:bCs/>
                <w:sz w:val="16"/>
                <w:szCs w:val="16"/>
                <w:rtl/>
              </w:rPr>
            </w:pPr>
            <w:r w:rsidRPr="00BF2D3B">
              <w:rPr>
                <w:rFonts w:hint="eastAsia"/>
                <w:b/>
                <w:bCs/>
                <w:sz w:val="16"/>
                <w:szCs w:val="16"/>
                <w:rtl/>
              </w:rPr>
              <w:t>הנפקות</w:t>
            </w:r>
          </w:p>
        </w:tc>
        <w:tc>
          <w:tcPr>
            <w:tcW w:w="704" w:type="dxa"/>
            <w:shd w:val="clear" w:color="auto" w:fill="auto"/>
            <w:tcMar>
              <w:left w:w="43" w:type="dxa"/>
              <w:right w:w="43" w:type="dxa"/>
            </w:tcMar>
            <w:vAlign w:val="bottom"/>
          </w:tcPr>
          <w:p w14:paraId="0C466607"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מכירות</w:t>
            </w:r>
          </w:p>
        </w:tc>
        <w:tc>
          <w:tcPr>
            <w:tcW w:w="747" w:type="dxa"/>
            <w:shd w:val="clear" w:color="auto" w:fill="auto"/>
            <w:tcMar>
              <w:left w:w="43" w:type="dxa"/>
              <w:right w:w="43" w:type="dxa"/>
            </w:tcMar>
            <w:vAlign w:val="bottom"/>
          </w:tcPr>
          <w:p w14:paraId="03C4BF56"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סילוקים</w:t>
            </w:r>
          </w:p>
        </w:tc>
        <w:tc>
          <w:tcPr>
            <w:tcW w:w="673" w:type="dxa"/>
            <w:shd w:val="clear" w:color="auto" w:fill="auto"/>
            <w:tcMar>
              <w:left w:w="43" w:type="dxa"/>
              <w:right w:w="43" w:type="dxa"/>
            </w:tcMar>
            <w:vAlign w:val="bottom"/>
          </w:tcPr>
          <w:p w14:paraId="2DED00D6"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cs"/>
                <w:b/>
                <w:bCs/>
                <w:sz w:val="16"/>
                <w:szCs w:val="16"/>
                <w:rtl/>
              </w:rPr>
              <w:t>אל</w:t>
            </w:r>
            <w:r w:rsidRPr="00BF2D3B">
              <w:rPr>
                <w:b/>
                <w:bCs/>
                <w:sz w:val="16"/>
                <w:szCs w:val="16"/>
                <w:rtl/>
              </w:rPr>
              <w:br/>
            </w:r>
            <w:r w:rsidRPr="00BF2D3B">
              <w:rPr>
                <w:rFonts w:hint="eastAsia"/>
                <w:b/>
                <w:bCs/>
                <w:sz w:val="16"/>
                <w:szCs w:val="16"/>
                <w:rtl/>
              </w:rPr>
              <w:t>רמה</w:t>
            </w:r>
            <w:r w:rsidRPr="00BF2D3B">
              <w:rPr>
                <w:b/>
                <w:bCs/>
                <w:sz w:val="16"/>
                <w:szCs w:val="16"/>
                <w:rtl/>
              </w:rPr>
              <w:t xml:space="preserve"> 3</w:t>
            </w:r>
          </w:p>
        </w:tc>
        <w:tc>
          <w:tcPr>
            <w:tcW w:w="752" w:type="dxa"/>
            <w:shd w:val="clear" w:color="auto" w:fill="auto"/>
            <w:tcMar>
              <w:left w:w="43" w:type="dxa"/>
              <w:right w:w="43" w:type="dxa"/>
            </w:tcMar>
            <w:vAlign w:val="bottom"/>
          </w:tcPr>
          <w:p w14:paraId="7845ED3A" w14:textId="77777777" w:rsidR="004F59A7" w:rsidRPr="00BF2D3B" w:rsidRDefault="004F59A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מרמה</w:t>
            </w:r>
            <w:r w:rsidRPr="00BF2D3B">
              <w:rPr>
                <w:b/>
                <w:bCs/>
                <w:sz w:val="16"/>
                <w:szCs w:val="16"/>
                <w:rtl/>
              </w:rPr>
              <w:t xml:space="preserve"> 3</w:t>
            </w:r>
          </w:p>
        </w:tc>
        <w:tc>
          <w:tcPr>
            <w:tcW w:w="997" w:type="dxa"/>
            <w:vMerge/>
            <w:shd w:val="clear" w:color="auto" w:fill="auto"/>
            <w:vAlign w:val="bottom"/>
          </w:tcPr>
          <w:p w14:paraId="2DAAC1F5" w14:textId="77777777" w:rsidR="004F59A7" w:rsidRPr="00BF2D3B" w:rsidRDefault="004F59A7" w:rsidP="00F04877">
            <w:pPr>
              <w:pBdr>
                <w:bottom w:val="single" w:sz="4" w:space="1" w:color="auto"/>
              </w:pBdr>
              <w:spacing w:line="192" w:lineRule="auto"/>
              <w:ind w:left="57" w:right="57"/>
              <w:jc w:val="center"/>
              <w:rPr>
                <w:b/>
                <w:bCs/>
                <w:sz w:val="16"/>
                <w:szCs w:val="16"/>
                <w:rtl/>
              </w:rPr>
            </w:pPr>
          </w:p>
        </w:tc>
        <w:tc>
          <w:tcPr>
            <w:tcW w:w="988" w:type="dxa"/>
            <w:vMerge/>
            <w:shd w:val="clear" w:color="auto" w:fill="auto"/>
            <w:tcMar>
              <w:left w:w="43" w:type="dxa"/>
              <w:right w:w="43" w:type="dxa"/>
            </w:tcMar>
            <w:vAlign w:val="bottom"/>
          </w:tcPr>
          <w:p w14:paraId="0ADF9F76" w14:textId="77777777" w:rsidR="004F59A7" w:rsidRPr="00BF2D3B" w:rsidRDefault="004F59A7" w:rsidP="00F04877">
            <w:pPr>
              <w:pBdr>
                <w:bottom w:val="single" w:sz="4" w:space="1" w:color="auto"/>
              </w:pBdr>
              <w:spacing w:line="192" w:lineRule="auto"/>
              <w:ind w:left="57" w:right="57"/>
              <w:jc w:val="center"/>
              <w:rPr>
                <w:b/>
                <w:bCs/>
                <w:sz w:val="16"/>
                <w:szCs w:val="16"/>
                <w:rtl/>
              </w:rPr>
            </w:pPr>
          </w:p>
        </w:tc>
        <w:tc>
          <w:tcPr>
            <w:tcW w:w="1702" w:type="dxa"/>
            <w:vMerge/>
            <w:shd w:val="clear" w:color="auto" w:fill="auto"/>
            <w:tcMar>
              <w:left w:w="29" w:type="dxa"/>
              <w:right w:w="29" w:type="dxa"/>
            </w:tcMar>
            <w:vAlign w:val="bottom"/>
          </w:tcPr>
          <w:p w14:paraId="3FF521F9" w14:textId="77777777" w:rsidR="004F59A7" w:rsidRPr="00BF2D3B" w:rsidRDefault="004F59A7" w:rsidP="00F04877">
            <w:pPr>
              <w:spacing w:line="192" w:lineRule="auto"/>
              <w:ind w:left="57" w:right="57"/>
              <w:jc w:val="center"/>
              <w:rPr>
                <w:b/>
                <w:bCs/>
                <w:sz w:val="16"/>
                <w:szCs w:val="16"/>
                <w:rtl/>
              </w:rPr>
            </w:pPr>
          </w:p>
        </w:tc>
      </w:tr>
      <w:tr w:rsidR="004F59A7" w:rsidRPr="00543C25" w14:paraId="091406FB" w14:textId="77777777" w:rsidTr="00F04877">
        <w:trPr>
          <w:trHeight w:val="215"/>
        </w:trPr>
        <w:tc>
          <w:tcPr>
            <w:tcW w:w="1560" w:type="dxa"/>
            <w:tcBorders>
              <w:right w:val="nil"/>
            </w:tcBorders>
            <w:shd w:val="clear" w:color="auto" w:fill="auto"/>
          </w:tcPr>
          <w:p w14:paraId="3C2839E3" w14:textId="77777777" w:rsidR="004F59A7" w:rsidRPr="003425A3" w:rsidRDefault="004F59A7" w:rsidP="00F04877">
            <w:pPr>
              <w:pStyle w:val="-f"/>
              <w:rPr>
                <w:sz w:val="16"/>
                <w:szCs w:val="16"/>
                <w:rtl/>
              </w:rPr>
            </w:pPr>
          </w:p>
        </w:tc>
        <w:tc>
          <w:tcPr>
            <w:tcW w:w="3122" w:type="dxa"/>
            <w:tcBorders>
              <w:top w:val="nil"/>
              <w:left w:val="nil"/>
              <w:bottom w:val="nil"/>
              <w:right w:val="nil"/>
            </w:tcBorders>
            <w:shd w:val="clear" w:color="auto" w:fill="auto"/>
            <w:vAlign w:val="bottom"/>
          </w:tcPr>
          <w:p w14:paraId="6E419D31" w14:textId="77777777" w:rsidR="004F59A7" w:rsidRDefault="004F59A7" w:rsidP="00F04877">
            <w:pPr>
              <w:pStyle w:val="-f"/>
              <w:ind w:left="560" w:hanging="235"/>
              <w:rPr>
                <w:sz w:val="17"/>
                <w:szCs w:val="17"/>
                <w:rtl/>
              </w:rPr>
            </w:pPr>
            <w:r w:rsidRPr="00AE5815">
              <w:rPr>
                <w:rFonts w:hint="cs"/>
                <w:sz w:val="16"/>
                <w:szCs w:val="16"/>
                <w:rtl/>
              </w:rPr>
              <w:t>נכסים</w:t>
            </w:r>
          </w:p>
        </w:tc>
        <w:tc>
          <w:tcPr>
            <w:tcW w:w="850" w:type="dxa"/>
            <w:shd w:val="clear" w:color="auto" w:fill="auto"/>
            <w:vAlign w:val="bottom"/>
          </w:tcPr>
          <w:p w14:paraId="663857EF" w14:textId="77777777" w:rsidR="004F59A7" w:rsidRPr="00046EFB" w:rsidRDefault="004F59A7" w:rsidP="00F04877">
            <w:pPr>
              <w:pStyle w:val="-0"/>
              <w:ind w:left="0" w:firstLine="0"/>
              <w:rPr>
                <w:sz w:val="17"/>
                <w:szCs w:val="17"/>
                <w:rtl/>
              </w:rPr>
            </w:pPr>
          </w:p>
        </w:tc>
        <w:tc>
          <w:tcPr>
            <w:tcW w:w="891" w:type="dxa"/>
            <w:shd w:val="clear" w:color="auto" w:fill="auto"/>
            <w:vAlign w:val="bottom"/>
          </w:tcPr>
          <w:p w14:paraId="1A9264D6" w14:textId="77777777" w:rsidR="004F59A7" w:rsidRPr="00046EFB" w:rsidRDefault="004F59A7" w:rsidP="00F04877">
            <w:pPr>
              <w:pStyle w:val="-3"/>
              <w:rPr>
                <w:sz w:val="17"/>
                <w:szCs w:val="17"/>
                <w:rtl/>
              </w:rPr>
            </w:pPr>
          </w:p>
        </w:tc>
        <w:tc>
          <w:tcPr>
            <w:tcW w:w="939" w:type="dxa"/>
            <w:shd w:val="clear" w:color="auto" w:fill="auto"/>
            <w:vAlign w:val="bottom"/>
          </w:tcPr>
          <w:p w14:paraId="7D3326A0" w14:textId="77777777" w:rsidR="004F59A7" w:rsidRPr="00046EFB" w:rsidRDefault="004F59A7" w:rsidP="00F04877">
            <w:pPr>
              <w:pStyle w:val="-3"/>
              <w:rPr>
                <w:sz w:val="17"/>
                <w:szCs w:val="17"/>
                <w:rtl/>
              </w:rPr>
            </w:pPr>
          </w:p>
        </w:tc>
        <w:tc>
          <w:tcPr>
            <w:tcW w:w="705" w:type="dxa"/>
            <w:shd w:val="clear" w:color="auto" w:fill="auto"/>
            <w:vAlign w:val="bottom"/>
          </w:tcPr>
          <w:p w14:paraId="2E5DD3DE" w14:textId="77777777" w:rsidR="004F59A7" w:rsidRPr="00046EFB" w:rsidRDefault="004F59A7" w:rsidP="00F04877">
            <w:pPr>
              <w:pStyle w:val="-3"/>
              <w:rPr>
                <w:sz w:val="17"/>
                <w:szCs w:val="17"/>
                <w:rtl/>
              </w:rPr>
            </w:pPr>
          </w:p>
        </w:tc>
        <w:tc>
          <w:tcPr>
            <w:tcW w:w="829" w:type="dxa"/>
            <w:shd w:val="clear" w:color="auto" w:fill="auto"/>
            <w:vAlign w:val="bottom"/>
          </w:tcPr>
          <w:p w14:paraId="6095BC58" w14:textId="77777777" w:rsidR="004F59A7" w:rsidRPr="00046EFB" w:rsidRDefault="004F59A7" w:rsidP="00F04877">
            <w:pPr>
              <w:pStyle w:val="-3"/>
              <w:rPr>
                <w:sz w:val="17"/>
                <w:szCs w:val="17"/>
                <w:rtl/>
              </w:rPr>
            </w:pPr>
          </w:p>
        </w:tc>
        <w:tc>
          <w:tcPr>
            <w:tcW w:w="704" w:type="dxa"/>
            <w:shd w:val="clear" w:color="auto" w:fill="auto"/>
            <w:vAlign w:val="bottom"/>
          </w:tcPr>
          <w:p w14:paraId="6B676DDC" w14:textId="77777777" w:rsidR="004F59A7" w:rsidRPr="00046EFB" w:rsidRDefault="004F59A7" w:rsidP="00F04877">
            <w:pPr>
              <w:pStyle w:val="-3"/>
              <w:rPr>
                <w:sz w:val="17"/>
                <w:szCs w:val="17"/>
                <w:rtl/>
              </w:rPr>
            </w:pPr>
          </w:p>
        </w:tc>
        <w:tc>
          <w:tcPr>
            <w:tcW w:w="747" w:type="dxa"/>
            <w:shd w:val="clear" w:color="auto" w:fill="auto"/>
            <w:vAlign w:val="bottom"/>
          </w:tcPr>
          <w:p w14:paraId="79EE6E5B" w14:textId="77777777" w:rsidR="004F59A7" w:rsidRPr="00046EFB" w:rsidRDefault="004F59A7" w:rsidP="00F04877">
            <w:pPr>
              <w:pStyle w:val="-3"/>
              <w:rPr>
                <w:sz w:val="17"/>
                <w:szCs w:val="17"/>
                <w:rtl/>
              </w:rPr>
            </w:pPr>
          </w:p>
        </w:tc>
        <w:tc>
          <w:tcPr>
            <w:tcW w:w="673" w:type="dxa"/>
            <w:shd w:val="clear" w:color="auto" w:fill="auto"/>
            <w:vAlign w:val="bottom"/>
          </w:tcPr>
          <w:p w14:paraId="4B0C8661" w14:textId="77777777" w:rsidR="004F59A7" w:rsidRPr="00046EFB" w:rsidRDefault="004F59A7" w:rsidP="00F04877">
            <w:pPr>
              <w:pStyle w:val="-3"/>
              <w:rPr>
                <w:sz w:val="17"/>
                <w:szCs w:val="17"/>
                <w:rtl/>
              </w:rPr>
            </w:pPr>
          </w:p>
        </w:tc>
        <w:tc>
          <w:tcPr>
            <w:tcW w:w="752" w:type="dxa"/>
            <w:shd w:val="clear" w:color="auto" w:fill="auto"/>
            <w:vAlign w:val="bottom"/>
          </w:tcPr>
          <w:p w14:paraId="3A8C11AD" w14:textId="77777777" w:rsidR="004F59A7" w:rsidRPr="00046EFB" w:rsidRDefault="004F59A7" w:rsidP="00F04877">
            <w:pPr>
              <w:pStyle w:val="-3"/>
              <w:rPr>
                <w:sz w:val="17"/>
                <w:szCs w:val="17"/>
                <w:rtl/>
              </w:rPr>
            </w:pPr>
          </w:p>
        </w:tc>
        <w:tc>
          <w:tcPr>
            <w:tcW w:w="997" w:type="dxa"/>
            <w:shd w:val="clear" w:color="auto" w:fill="auto"/>
            <w:vAlign w:val="bottom"/>
          </w:tcPr>
          <w:p w14:paraId="2A8EFCE8" w14:textId="77777777" w:rsidR="004F59A7" w:rsidRPr="00046EFB" w:rsidRDefault="004F59A7" w:rsidP="00F04877">
            <w:pPr>
              <w:pStyle w:val="-3"/>
              <w:rPr>
                <w:sz w:val="17"/>
                <w:szCs w:val="17"/>
                <w:rtl/>
              </w:rPr>
            </w:pPr>
          </w:p>
        </w:tc>
        <w:tc>
          <w:tcPr>
            <w:tcW w:w="988" w:type="dxa"/>
            <w:shd w:val="clear" w:color="auto" w:fill="auto"/>
            <w:vAlign w:val="bottom"/>
          </w:tcPr>
          <w:p w14:paraId="4A8908B4" w14:textId="77777777" w:rsidR="004F59A7" w:rsidRPr="00046EFB" w:rsidRDefault="004F59A7" w:rsidP="00F04877">
            <w:pPr>
              <w:pStyle w:val="-3"/>
              <w:rPr>
                <w:sz w:val="17"/>
                <w:szCs w:val="17"/>
                <w:rtl/>
              </w:rPr>
            </w:pPr>
          </w:p>
        </w:tc>
        <w:tc>
          <w:tcPr>
            <w:tcW w:w="1702" w:type="dxa"/>
            <w:shd w:val="clear" w:color="auto" w:fill="auto"/>
            <w:vAlign w:val="bottom"/>
          </w:tcPr>
          <w:p w14:paraId="061FB29E" w14:textId="77777777" w:rsidR="004F59A7" w:rsidRPr="00F745FF" w:rsidRDefault="004F59A7" w:rsidP="00F04877">
            <w:pPr>
              <w:jc w:val="center"/>
              <w:rPr>
                <w:rtl/>
              </w:rPr>
            </w:pPr>
          </w:p>
        </w:tc>
      </w:tr>
      <w:tr w:rsidR="004F59A7" w:rsidRPr="00543C25" w14:paraId="375AFA33" w14:textId="77777777" w:rsidTr="00F04877">
        <w:tc>
          <w:tcPr>
            <w:tcW w:w="1560" w:type="dxa"/>
            <w:shd w:val="clear" w:color="auto" w:fill="auto"/>
          </w:tcPr>
          <w:p w14:paraId="605C8BC5"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596AF46F" w14:textId="77777777" w:rsidR="004F59A7" w:rsidRPr="00FC6A6C" w:rsidRDefault="004F59A7" w:rsidP="00F04877">
            <w:pPr>
              <w:pStyle w:val="-0"/>
              <w:spacing w:line="240" w:lineRule="auto"/>
              <w:ind w:left="467" w:hanging="114"/>
              <w:rPr>
                <w:sz w:val="17"/>
                <w:szCs w:val="17"/>
                <w:rtl/>
              </w:rPr>
            </w:pPr>
            <w:r w:rsidRPr="00FC6A6C">
              <w:rPr>
                <w:rFonts w:hint="cs"/>
                <w:sz w:val="16"/>
                <w:szCs w:val="16"/>
                <w:rtl/>
              </w:rPr>
              <w:t xml:space="preserve">אגרות חוב זמינות למכירה ומניות שאינן למסחר </w:t>
            </w:r>
          </w:p>
        </w:tc>
        <w:tc>
          <w:tcPr>
            <w:tcW w:w="850" w:type="dxa"/>
            <w:vAlign w:val="bottom"/>
          </w:tcPr>
          <w:p w14:paraId="7730276E" w14:textId="77777777" w:rsidR="004F59A7" w:rsidRPr="00046EFB" w:rsidRDefault="004F59A7" w:rsidP="00F04877">
            <w:pPr>
              <w:pStyle w:val="-3"/>
              <w:rPr>
                <w:sz w:val="17"/>
                <w:szCs w:val="17"/>
                <w:rtl/>
              </w:rPr>
            </w:pPr>
            <w:r w:rsidRPr="00532A1C">
              <w:rPr>
                <w:sz w:val="17"/>
                <w:szCs w:val="17"/>
                <w:rtl/>
              </w:rPr>
              <w:t xml:space="preserve"> 0</w:t>
            </w:r>
          </w:p>
        </w:tc>
        <w:tc>
          <w:tcPr>
            <w:tcW w:w="891" w:type="dxa"/>
            <w:vAlign w:val="bottom"/>
          </w:tcPr>
          <w:p w14:paraId="0D659063" w14:textId="77777777" w:rsidR="004F59A7" w:rsidRPr="00046EFB" w:rsidRDefault="004F59A7" w:rsidP="00F04877">
            <w:pPr>
              <w:pStyle w:val="-3"/>
              <w:rPr>
                <w:sz w:val="17"/>
                <w:szCs w:val="17"/>
                <w:rtl/>
              </w:rPr>
            </w:pPr>
            <w:r w:rsidRPr="00532A1C">
              <w:rPr>
                <w:sz w:val="17"/>
                <w:szCs w:val="17"/>
                <w:rtl/>
              </w:rPr>
              <w:t xml:space="preserve"> 0</w:t>
            </w:r>
            <w:r w:rsidRPr="00532A1C">
              <w:rPr>
                <w:sz w:val="17"/>
                <w:szCs w:val="17"/>
                <w:vertAlign w:val="superscript"/>
                <w:rtl/>
              </w:rPr>
              <w:t xml:space="preserve">(א) </w:t>
            </w:r>
          </w:p>
        </w:tc>
        <w:tc>
          <w:tcPr>
            <w:tcW w:w="939" w:type="dxa"/>
            <w:vAlign w:val="bottom"/>
          </w:tcPr>
          <w:p w14:paraId="0C60EF53" w14:textId="77777777" w:rsidR="004F59A7" w:rsidRPr="00046EFB" w:rsidRDefault="004F59A7" w:rsidP="00F04877">
            <w:pPr>
              <w:pStyle w:val="-3"/>
              <w:rPr>
                <w:sz w:val="17"/>
                <w:szCs w:val="17"/>
                <w:rtl/>
              </w:rPr>
            </w:pPr>
            <w:r w:rsidRPr="00532A1C">
              <w:rPr>
                <w:sz w:val="17"/>
                <w:szCs w:val="17"/>
                <w:rtl/>
              </w:rPr>
              <w:t xml:space="preserve"> 0</w:t>
            </w:r>
            <w:r w:rsidRPr="00532A1C">
              <w:rPr>
                <w:sz w:val="17"/>
                <w:szCs w:val="17"/>
                <w:vertAlign w:val="superscript"/>
                <w:rtl/>
              </w:rPr>
              <w:t xml:space="preserve">(א) </w:t>
            </w:r>
          </w:p>
        </w:tc>
        <w:tc>
          <w:tcPr>
            <w:tcW w:w="705" w:type="dxa"/>
            <w:vAlign w:val="bottom"/>
          </w:tcPr>
          <w:p w14:paraId="7DC9EFF5" w14:textId="77777777" w:rsidR="004F59A7" w:rsidRPr="00046EFB" w:rsidRDefault="004F59A7" w:rsidP="00F04877">
            <w:pPr>
              <w:pStyle w:val="-3"/>
              <w:rPr>
                <w:sz w:val="17"/>
                <w:szCs w:val="17"/>
                <w:rtl/>
              </w:rPr>
            </w:pPr>
            <w:r w:rsidRPr="00532A1C">
              <w:rPr>
                <w:sz w:val="17"/>
                <w:szCs w:val="17"/>
                <w:rtl/>
              </w:rPr>
              <w:t xml:space="preserve"> 0</w:t>
            </w:r>
          </w:p>
        </w:tc>
        <w:tc>
          <w:tcPr>
            <w:tcW w:w="829" w:type="dxa"/>
            <w:vAlign w:val="bottom"/>
          </w:tcPr>
          <w:p w14:paraId="47077BAC" w14:textId="77777777" w:rsidR="004F59A7" w:rsidRPr="00046EFB" w:rsidRDefault="004F59A7" w:rsidP="00F04877">
            <w:pPr>
              <w:pStyle w:val="-3"/>
              <w:rPr>
                <w:sz w:val="17"/>
                <w:szCs w:val="17"/>
                <w:rtl/>
              </w:rPr>
            </w:pPr>
            <w:r>
              <w:rPr>
                <w:rFonts w:hint="cs"/>
                <w:sz w:val="17"/>
                <w:szCs w:val="17"/>
                <w:rtl/>
              </w:rPr>
              <w:t xml:space="preserve"> 0</w:t>
            </w:r>
          </w:p>
        </w:tc>
        <w:tc>
          <w:tcPr>
            <w:tcW w:w="704" w:type="dxa"/>
            <w:vAlign w:val="bottom"/>
          </w:tcPr>
          <w:p w14:paraId="05203E18" w14:textId="77777777" w:rsidR="004F59A7" w:rsidRPr="00046EFB" w:rsidRDefault="004F59A7" w:rsidP="00F04877">
            <w:pPr>
              <w:pStyle w:val="-3"/>
              <w:rPr>
                <w:sz w:val="17"/>
                <w:szCs w:val="17"/>
                <w:rtl/>
              </w:rPr>
            </w:pPr>
            <w:r w:rsidRPr="00532A1C">
              <w:rPr>
                <w:sz w:val="17"/>
                <w:szCs w:val="17"/>
                <w:rtl/>
              </w:rPr>
              <w:t>(0)</w:t>
            </w:r>
          </w:p>
        </w:tc>
        <w:tc>
          <w:tcPr>
            <w:tcW w:w="747" w:type="dxa"/>
            <w:vAlign w:val="bottom"/>
          </w:tcPr>
          <w:p w14:paraId="40FAD292" w14:textId="77777777" w:rsidR="004F59A7" w:rsidRPr="00046EFB" w:rsidRDefault="004F59A7" w:rsidP="00F04877">
            <w:pPr>
              <w:pStyle w:val="-3"/>
              <w:rPr>
                <w:sz w:val="17"/>
                <w:szCs w:val="17"/>
                <w:rtl/>
              </w:rPr>
            </w:pPr>
            <w:r w:rsidRPr="00532A1C">
              <w:rPr>
                <w:sz w:val="17"/>
                <w:szCs w:val="17"/>
                <w:rtl/>
              </w:rPr>
              <w:t>(0)</w:t>
            </w:r>
          </w:p>
        </w:tc>
        <w:tc>
          <w:tcPr>
            <w:tcW w:w="673" w:type="dxa"/>
            <w:vAlign w:val="bottom"/>
          </w:tcPr>
          <w:p w14:paraId="716CF930" w14:textId="77777777" w:rsidR="004F59A7" w:rsidRPr="00046EFB" w:rsidRDefault="004F59A7" w:rsidP="00F04877">
            <w:pPr>
              <w:pStyle w:val="-3"/>
              <w:rPr>
                <w:sz w:val="17"/>
                <w:szCs w:val="17"/>
                <w:rtl/>
              </w:rPr>
            </w:pPr>
            <w:r w:rsidRPr="00532A1C">
              <w:rPr>
                <w:sz w:val="17"/>
                <w:szCs w:val="17"/>
                <w:rtl/>
              </w:rPr>
              <w:t xml:space="preserve"> 0</w:t>
            </w:r>
          </w:p>
        </w:tc>
        <w:tc>
          <w:tcPr>
            <w:tcW w:w="752" w:type="dxa"/>
            <w:vAlign w:val="bottom"/>
          </w:tcPr>
          <w:p w14:paraId="7CA09195" w14:textId="77777777" w:rsidR="004F59A7" w:rsidRPr="00046EFB" w:rsidRDefault="004F59A7" w:rsidP="00F04877">
            <w:pPr>
              <w:pStyle w:val="-3"/>
              <w:rPr>
                <w:sz w:val="17"/>
                <w:szCs w:val="17"/>
                <w:rtl/>
              </w:rPr>
            </w:pPr>
            <w:r w:rsidRPr="00532A1C">
              <w:rPr>
                <w:sz w:val="17"/>
                <w:szCs w:val="17"/>
                <w:rtl/>
              </w:rPr>
              <w:t>(0)</w:t>
            </w:r>
          </w:p>
        </w:tc>
        <w:tc>
          <w:tcPr>
            <w:tcW w:w="997" w:type="dxa"/>
            <w:vAlign w:val="bottom"/>
          </w:tcPr>
          <w:p w14:paraId="36FDF7BE" w14:textId="77777777" w:rsidR="004F59A7" w:rsidRPr="00046EFB" w:rsidRDefault="004F59A7" w:rsidP="00F04877">
            <w:pPr>
              <w:pStyle w:val="-3"/>
              <w:rPr>
                <w:sz w:val="17"/>
                <w:szCs w:val="17"/>
                <w:rtl/>
              </w:rPr>
            </w:pPr>
            <w:r w:rsidRPr="00532A1C">
              <w:rPr>
                <w:sz w:val="17"/>
                <w:szCs w:val="17"/>
                <w:rtl/>
              </w:rPr>
              <w:t xml:space="preserve"> 0</w:t>
            </w:r>
          </w:p>
        </w:tc>
        <w:tc>
          <w:tcPr>
            <w:tcW w:w="988" w:type="dxa"/>
            <w:vAlign w:val="bottom"/>
          </w:tcPr>
          <w:p w14:paraId="4815FC2E" w14:textId="77777777" w:rsidR="004F59A7" w:rsidRPr="00046EFB" w:rsidRDefault="004F59A7" w:rsidP="00F04877">
            <w:pPr>
              <w:pStyle w:val="-3"/>
              <w:rPr>
                <w:sz w:val="17"/>
                <w:szCs w:val="17"/>
                <w:rtl/>
              </w:rPr>
            </w:pPr>
            <w:r w:rsidRPr="00532A1C">
              <w:rPr>
                <w:sz w:val="17"/>
                <w:szCs w:val="17"/>
                <w:rtl/>
              </w:rPr>
              <w:t xml:space="preserve"> 0</w:t>
            </w:r>
          </w:p>
        </w:tc>
        <w:tc>
          <w:tcPr>
            <w:tcW w:w="1702" w:type="dxa"/>
            <w:vAlign w:val="bottom"/>
          </w:tcPr>
          <w:p w14:paraId="0E78477B" w14:textId="77777777" w:rsidR="004F59A7" w:rsidRPr="00046EFB" w:rsidRDefault="004F59A7" w:rsidP="00F04877">
            <w:pPr>
              <w:pStyle w:val="-3"/>
              <w:rPr>
                <w:sz w:val="17"/>
                <w:szCs w:val="17"/>
                <w:rtl/>
              </w:rPr>
            </w:pPr>
            <w:r w:rsidRPr="00532A1C">
              <w:rPr>
                <w:sz w:val="17"/>
                <w:szCs w:val="17"/>
                <w:rtl/>
              </w:rPr>
              <w:t xml:space="preserve">  0</w:t>
            </w:r>
            <w:r w:rsidRPr="00532A1C">
              <w:rPr>
                <w:sz w:val="17"/>
                <w:szCs w:val="17"/>
                <w:vertAlign w:val="superscript"/>
                <w:rtl/>
              </w:rPr>
              <w:t>(א)</w:t>
            </w:r>
          </w:p>
        </w:tc>
      </w:tr>
      <w:tr w:rsidR="004F59A7" w:rsidRPr="00543C25" w14:paraId="0116FF2F" w14:textId="77777777" w:rsidTr="00F04877">
        <w:tc>
          <w:tcPr>
            <w:tcW w:w="1560" w:type="dxa"/>
            <w:shd w:val="clear" w:color="auto" w:fill="auto"/>
          </w:tcPr>
          <w:p w14:paraId="383D3911"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1FC3000B" w14:textId="77777777" w:rsidR="004F59A7" w:rsidRPr="00FC6A6C" w:rsidRDefault="004F59A7" w:rsidP="00F04877">
            <w:pPr>
              <w:pStyle w:val="-0"/>
              <w:spacing w:line="240" w:lineRule="auto"/>
              <w:ind w:left="467" w:hanging="114"/>
              <w:rPr>
                <w:sz w:val="17"/>
                <w:szCs w:val="17"/>
                <w:rtl/>
              </w:rPr>
            </w:pPr>
            <w:r w:rsidRPr="00FC6A6C">
              <w:rPr>
                <w:rFonts w:hint="cs"/>
                <w:sz w:val="16"/>
                <w:szCs w:val="16"/>
                <w:rtl/>
              </w:rPr>
              <w:t xml:space="preserve">ניירות ערך למסחר </w:t>
            </w:r>
          </w:p>
        </w:tc>
        <w:tc>
          <w:tcPr>
            <w:tcW w:w="850" w:type="dxa"/>
            <w:vAlign w:val="bottom"/>
          </w:tcPr>
          <w:p w14:paraId="16E568AF" w14:textId="77777777" w:rsidR="004F59A7" w:rsidRPr="00046EFB" w:rsidRDefault="004F59A7" w:rsidP="00F04877">
            <w:pPr>
              <w:pStyle w:val="-3"/>
              <w:rPr>
                <w:sz w:val="17"/>
                <w:szCs w:val="17"/>
                <w:rtl/>
              </w:rPr>
            </w:pPr>
            <w:r w:rsidRPr="00532A1C">
              <w:rPr>
                <w:sz w:val="17"/>
                <w:szCs w:val="17"/>
                <w:rtl/>
              </w:rPr>
              <w:t xml:space="preserve"> 0</w:t>
            </w:r>
          </w:p>
        </w:tc>
        <w:tc>
          <w:tcPr>
            <w:tcW w:w="891" w:type="dxa"/>
            <w:vAlign w:val="bottom"/>
          </w:tcPr>
          <w:p w14:paraId="79EDCE5F" w14:textId="77777777" w:rsidR="004F59A7" w:rsidRPr="00046EFB" w:rsidRDefault="004F59A7" w:rsidP="00F04877">
            <w:pPr>
              <w:pStyle w:val="-3"/>
              <w:rPr>
                <w:sz w:val="17"/>
                <w:szCs w:val="17"/>
                <w:rtl/>
              </w:rPr>
            </w:pPr>
            <w:r w:rsidRPr="00532A1C">
              <w:rPr>
                <w:sz w:val="17"/>
                <w:szCs w:val="17"/>
                <w:rtl/>
              </w:rPr>
              <w:t xml:space="preserve"> 0</w:t>
            </w:r>
            <w:r w:rsidRPr="00532A1C">
              <w:rPr>
                <w:sz w:val="17"/>
                <w:szCs w:val="17"/>
                <w:vertAlign w:val="superscript"/>
                <w:rtl/>
              </w:rPr>
              <w:t xml:space="preserve">(ב) </w:t>
            </w:r>
          </w:p>
        </w:tc>
        <w:tc>
          <w:tcPr>
            <w:tcW w:w="939" w:type="dxa"/>
            <w:vAlign w:val="bottom"/>
          </w:tcPr>
          <w:p w14:paraId="331319AF" w14:textId="77777777" w:rsidR="004F59A7" w:rsidRPr="00046EFB" w:rsidRDefault="004F59A7" w:rsidP="00F04877">
            <w:pPr>
              <w:pStyle w:val="-3"/>
              <w:rPr>
                <w:sz w:val="17"/>
                <w:szCs w:val="17"/>
                <w:rtl/>
              </w:rPr>
            </w:pPr>
            <w:r w:rsidRPr="00532A1C">
              <w:rPr>
                <w:sz w:val="17"/>
                <w:szCs w:val="17"/>
                <w:rtl/>
              </w:rPr>
              <w:t xml:space="preserve"> -</w:t>
            </w:r>
          </w:p>
        </w:tc>
        <w:tc>
          <w:tcPr>
            <w:tcW w:w="705" w:type="dxa"/>
            <w:vAlign w:val="bottom"/>
          </w:tcPr>
          <w:p w14:paraId="7ECD1C1F" w14:textId="77777777" w:rsidR="004F59A7" w:rsidRPr="00046EFB" w:rsidRDefault="004F59A7" w:rsidP="00F04877">
            <w:pPr>
              <w:pStyle w:val="-3"/>
              <w:rPr>
                <w:sz w:val="17"/>
                <w:szCs w:val="17"/>
                <w:rtl/>
              </w:rPr>
            </w:pPr>
            <w:r w:rsidRPr="00532A1C">
              <w:rPr>
                <w:sz w:val="17"/>
                <w:szCs w:val="17"/>
                <w:rtl/>
              </w:rPr>
              <w:t xml:space="preserve"> 0</w:t>
            </w:r>
          </w:p>
        </w:tc>
        <w:tc>
          <w:tcPr>
            <w:tcW w:w="829" w:type="dxa"/>
            <w:vAlign w:val="bottom"/>
          </w:tcPr>
          <w:p w14:paraId="1DBCD164" w14:textId="77777777" w:rsidR="004F59A7" w:rsidRPr="00046EFB" w:rsidRDefault="004F59A7" w:rsidP="00F04877">
            <w:pPr>
              <w:pStyle w:val="-3"/>
              <w:rPr>
                <w:sz w:val="17"/>
                <w:szCs w:val="17"/>
                <w:rtl/>
              </w:rPr>
            </w:pPr>
            <w:r>
              <w:rPr>
                <w:rFonts w:hint="cs"/>
                <w:sz w:val="17"/>
                <w:szCs w:val="17"/>
                <w:rtl/>
              </w:rPr>
              <w:t xml:space="preserve"> 0</w:t>
            </w:r>
          </w:p>
        </w:tc>
        <w:tc>
          <w:tcPr>
            <w:tcW w:w="704" w:type="dxa"/>
            <w:vAlign w:val="bottom"/>
          </w:tcPr>
          <w:p w14:paraId="6FB9B42E" w14:textId="77777777" w:rsidR="004F59A7" w:rsidRPr="00046EFB" w:rsidRDefault="004F59A7" w:rsidP="00F04877">
            <w:pPr>
              <w:pStyle w:val="-3"/>
              <w:rPr>
                <w:sz w:val="17"/>
                <w:szCs w:val="17"/>
                <w:rtl/>
              </w:rPr>
            </w:pPr>
            <w:r w:rsidRPr="00532A1C">
              <w:rPr>
                <w:sz w:val="17"/>
                <w:szCs w:val="17"/>
                <w:rtl/>
              </w:rPr>
              <w:t>(0)</w:t>
            </w:r>
          </w:p>
        </w:tc>
        <w:tc>
          <w:tcPr>
            <w:tcW w:w="747" w:type="dxa"/>
            <w:vAlign w:val="bottom"/>
          </w:tcPr>
          <w:p w14:paraId="42423429" w14:textId="77777777" w:rsidR="004F59A7" w:rsidRPr="00046EFB" w:rsidRDefault="004F59A7" w:rsidP="00F04877">
            <w:pPr>
              <w:pStyle w:val="-3"/>
              <w:rPr>
                <w:sz w:val="17"/>
                <w:szCs w:val="17"/>
                <w:rtl/>
              </w:rPr>
            </w:pPr>
            <w:r w:rsidRPr="00532A1C">
              <w:rPr>
                <w:sz w:val="17"/>
                <w:szCs w:val="17"/>
                <w:rtl/>
              </w:rPr>
              <w:t>(0)</w:t>
            </w:r>
          </w:p>
        </w:tc>
        <w:tc>
          <w:tcPr>
            <w:tcW w:w="673" w:type="dxa"/>
            <w:vAlign w:val="bottom"/>
          </w:tcPr>
          <w:p w14:paraId="00D7CEA8" w14:textId="77777777" w:rsidR="004F59A7" w:rsidRPr="00046EFB" w:rsidRDefault="004F59A7" w:rsidP="00F04877">
            <w:pPr>
              <w:pStyle w:val="-3"/>
              <w:rPr>
                <w:sz w:val="17"/>
                <w:szCs w:val="17"/>
                <w:rtl/>
              </w:rPr>
            </w:pPr>
            <w:r w:rsidRPr="00532A1C">
              <w:rPr>
                <w:sz w:val="17"/>
                <w:szCs w:val="17"/>
                <w:rtl/>
              </w:rPr>
              <w:t xml:space="preserve"> 0</w:t>
            </w:r>
          </w:p>
        </w:tc>
        <w:tc>
          <w:tcPr>
            <w:tcW w:w="752" w:type="dxa"/>
            <w:vAlign w:val="bottom"/>
          </w:tcPr>
          <w:p w14:paraId="721FBAA0" w14:textId="77777777" w:rsidR="004F59A7" w:rsidRPr="00046EFB" w:rsidRDefault="004F59A7" w:rsidP="00F04877">
            <w:pPr>
              <w:pStyle w:val="-3"/>
              <w:rPr>
                <w:sz w:val="17"/>
                <w:szCs w:val="17"/>
                <w:rtl/>
              </w:rPr>
            </w:pPr>
            <w:r w:rsidRPr="00532A1C">
              <w:rPr>
                <w:sz w:val="17"/>
                <w:szCs w:val="17"/>
                <w:rtl/>
              </w:rPr>
              <w:t>(0)</w:t>
            </w:r>
          </w:p>
        </w:tc>
        <w:tc>
          <w:tcPr>
            <w:tcW w:w="997" w:type="dxa"/>
            <w:vAlign w:val="bottom"/>
          </w:tcPr>
          <w:p w14:paraId="464783C9" w14:textId="77777777" w:rsidR="004F59A7" w:rsidRPr="00046EFB" w:rsidRDefault="004F59A7" w:rsidP="00F04877">
            <w:pPr>
              <w:pStyle w:val="-3"/>
              <w:rPr>
                <w:sz w:val="17"/>
                <w:szCs w:val="17"/>
                <w:rtl/>
              </w:rPr>
            </w:pPr>
            <w:r w:rsidRPr="00532A1C">
              <w:rPr>
                <w:sz w:val="17"/>
                <w:szCs w:val="17"/>
                <w:rtl/>
              </w:rPr>
              <w:t xml:space="preserve"> 0</w:t>
            </w:r>
          </w:p>
        </w:tc>
        <w:tc>
          <w:tcPr>
            <w:tcW w:w="988" w:type="dxa"/>
            <w:vAlign w:val="bottom"/>
          </w:tcPr>
          <w:p w14:paraId="40979E8B" w14:textId="77777777" w:rsidR="004F59A7" w:rsidRPr="00046EFB" w:rsidRDefault="004F59A7" w:rsidP="00F04877">
            <w:pPr>
              <w:pStyle w:val="-3"/>
              <w:rPr>
                <w:sz w:val="17"/>
                <w:szCs w:val="17"/>
                <w:rtl/>
              </w:rPr>
            </w:pPr>
            <w:r w:rsidRPr="00532A1C">
              <w:rPr>
                <w:sz w:val="17"/>
                <w:szCs w:val="17"/>
                <w:rtl/>
              </w:rPr>
              <w:t xml:space="preserve"> 0</w:t>
            </w:r>
          </w:p>
        </w:tc>
        <w:tc>
          <w:tcPr>
            <w:tcW w:w="1702" w:type="dxa"/>
            <w:vAlign w:val="bottom"/>
          </w:tcPr>
          <w:p w14:paraId="13AA2340" w14:textId="77777777" w:rsidR="004F59A7" w:rsidRPr="00046EFB" w:rsidRDefault="004F59A7" w:rsidP="00F04877">
            <w:pPr>
              <w:pStyle w:val="-3"/>
              <w:rPr>
                <w:sz w:val="17"/>
                <w:szCs w:val="17"/>
                <w:rtl/>
              </w:rPr>
            </w:pPr>
            <w:r w:rsidRPr="00532A1C">
              <w:rPr>
                <w:sz w:val="17"/>
                <w:szCs w:val="17"/>
                <w:rtl/>
              </w:rPr>
              <w:t xml:space="preserve">  0</w:t>
            </w:r>
            <w:r w:rsidRPr="00532A1C">
              <w:rPr>
                <w:sz w:val="17"/>
                <w:szCs w:val="17"/>
                <w:vertAlign w:val="superscript"/>
                <w:rtl/>
              </w:rPr>
              <w:t>(ב)</w:t>
            </w:r>
          </w:p>
        </w:tc>
      </w:tr>
      <w:tr w:rsidR="004F59A7" w:rsidRPr="00543C25" w14:paraId="141337B3" w14:textId="77777777" w:rsidTr="00F04877">
        <w:tc>
          <w:tcPr>
            <w:tcW w:w="1560" w:type="dxa"/>
            <w:shd w:val="clear" w:color="auto" w:fill="auto"/>
          </w:tcPr>
          <w:p w14:paraId="6A4852A3"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739729A1" w14:textId="77777777" w:rsidR="004F59A7" w:rsidRPr="00FC6A6C" w:rsidRDefault="004F59A7" w:rsidP="00F04877">
            <w:pPr>
              <w:pStyle w:val="-0"/>
              <w:spacing w:line="240" w:lineRule="auto"/>
              <w:ind w:left="467" w:hanging="114"/>
              <w:rPr>
                <w:sz w:val="17"/>
                <w:szCs w:val="17"/>
                <w:rtl/>
              </w:rPr>
            </w:pPr>
            <w:r w:rsidRPr="00FC6A6C">
              <w:rPr>
                <w:rFonts w:hint="cs"/>
                <w:sz w:val="16"/>
                <w:szCs w:val="16"/>
                <w:rtl/>
              </w:rPr>
              <w:t>נכסים בגין מכשירים נגזרים</w:t>
            </w:r>
            <w:r w:rsidRPr="00FC6A6C">
              <w:rPr>
                <w:rFonts w:hint="cs"/>
                <w:sz w:val="16"/>
                <w:szCs w:val="16"/>
                <w:vertAlign w:val="superscript"/>
                <w:rtl/>
              </w:rPr>
              <w:t xml:space="preserve"> </w:t>
            </w:r>
          </w:p>
        </w:tc>
        <w:tc>
          <w:tcPr>
            <w:tcW w:w="850" w:type="dxa"/>
            <w:vAlign w:val="bottom"/>
          </w:tcPr>
          <w:p w14:paraId="0924F8CE" w14:textId="77777777" w:rsidR="004F59A7" w:rsidRDefault="004F59A7" w:rsidP="00F04877">
            <w:pPr>
              <w:pStyle w:val="-3"/>
              <w:rPr>
                <w:sz w:val="17"/>
                <w:szCs w:val="17"/>
                <w:rtl/>
              </w:rPr>
            </w:pPr>
            <w:r w:rsidRPr="00532A1C">
              <w:rPr>
                <w:sz w:val="17"/>
                <w:szCs w:val="17"/>
                <w:rtl/>
              </w:rPr>
              <w:t xml:space="preserve"> 0</w:t>
            </w:r>
          </w:p>
        </w:tc>
        <w:tc>
          <w:tcPr>
            <w:tcW w:w="891" w:type="dxa"/>
            <w:vAlign w:val="bottom"/>
          </w:tcPr>
          <w:p w14:paraId="6A69BF4A" w14:textId="77777777" w:rsidR="004F59A7" w:rsidRDefault="004F59A7" w:rsidP="00F04877">
            <w:pPr>
              <w:pStyle w:val="-3"/>
              <w:rPr>
                <w:sz w:val="17"/>
                <w:szCs w:val="17"/>
                <w:rtl/>
              </w:rPr>
            </w:pPr>
            <w:r w:rsidRPr="00532A1C">
              <w:rPr>
                <w:sz w:val="17"/>
                <w:szCs w:val="17"/>
                <w:rtl/>
              </w:rPr>
              <w:t xml:space="preserve"> 0 </w:t>
            </w:r>
          </w:p>
        </w:tc>
        <w:tc>
          <w:tcPr>
            <w:tcW w:w="939" w:type="dxa"/>
            <w:vAlign w:val="bottom"/>
          </w:tcPr>
          <w:p w14:paraId="75DC6C85" w14:textId="77777777" w:rsidR="004F59A7" w:rsidRDefault="004F59A7" w:rsidP="00F04877">
            <w:pPr>
              <w:pStyle w:val="-3"/>
              <w:rPr>
                <w:sz w:val="17"/>
                <w:szCs w:val="17"/>
                <w:rtl/>
              </w:rPr>
            </w:pPr>
            <w:r w:rsidRPr="00532A1C">
              <w:rPr>
                <w:sz w:val="17"/>
                <w:szCs w:val="17"/>
                <w:rtl/>
              </w:rPr>
              <w:t xml:space="preserve"> </w:t>
            </w:r>
            <w:r>
              <w:rPr>
                <w:rFonts w:hint="cs"/>
                <w:sz w:val="17"/>
                <w:szCs w:val="17"/>
                <w:rtl/>
              </w:rPr>
              <w:t>-</w:t>
            </w:r>
          </w:p>
        </w:tc>
        <w:tc>
          <w:tcPr>
            <w:tcW w:w="705" w:type="dxa"/>
            <w:vAlign w:val="bottom"/>
          </w:tcPr>
          <w:p w14:paraId="243C2713" w14:textId="77777777" w:rsidR="004F59A7" w:rsidRDefault="004F59A7" w:rsidP="00F04877">
            <w:pPr>
              <w:pStyle w:val="-3"/>
              <w:rPr>
                <w:sz w:val="17"/>
                <w:szCs w:val="17"/>
                <w:rtl/>
              </w:rPr>
            </w:pPr>
            <w:r w:rsidRPr="00532A1C">
              <w:rPr>
                <w:sz w:val="17"/>
                <w:szCs w:val="17"/>
                <w:rtl/>
              </w:rPr>
              <w:t xml:space="preserve"> 0</w:t>
            </w:r>
          </w:p>
        </w:tc>
        <w:tc>
          <w:tcPr>
            <w:tcW w:w="829" w:type="dxa"/>
            <w:vAlign w:val="bottom"/>
          </w:tcPr>
          <w:p w14:paraId="32B3C803" w14:textId="77777777" w:rsidR="004F59A7" w:rsidRDefault="004F59A7" w:rsidP="00F04877">
            <w:pPr>
              <w:pStyle w:val="-3"/>
              <w:rPr>
                <w:sz w:val="17"/>
                <w:szCs w:val="17"/>
                <w:rtl/>
              </w:rPr>
            </w:pPr>
            <w:r>
              <w:rPr>
                <w:rFonts w:hint="cs"/>
                <w:sz w:val="17"/>
                <w:szCs w:val="17"/>
                <w:rtl/>
              </w:rPr>
              <w:t xml:space="preserve"> 0</w:t>
            </w:r>
          </w:p>
        </w:tc>
        <w:tc>
          <w:tcPr>
            <w:tcW w:w="704" w:type="dxa"/>
            <w:vAlign w:val="bottom"/>
          </w:tcPr>
          <w:p w14:paraId="360CF933" w14:textId="77777777" w:rsidR="004F59A7" w:rsidRDefault="004F59A7" w:rsidP="00F04877">
            <w:pPr>
              <w:pStyle w:val="-3"/>
              <w:rPr>
                <w:sz w:val="17"/>
                <w:szCs w:val="17"/>
                <w:rtl/>
              </w:rPr>
            </w:pPr>
            <w:r w:rsidRPr="00532A1C">
              <w:rPr>
                <w:sz w:val="17"/>
                <w:szCs w:val="17"/>
                <w:rtl/>
              </w:rPr>
              <w:t>(0)</w:t>
            </w:r>
          </w:p>
        </w:tc>
        <w:tc>
          <w:tcPr>
            <w:tcW w:w="747" w:type="dxa"/>
            <w:vAlign w:val="bottom"/>
          </w:tcPr>
          <w:p w14:paraId="2AC0F8C3" w14:textId="77777777" w:rsidR="004F59A7" w:rsidRDefault="004F59A7" w:rsidP="00F04877">
            <w:pPr>
              <w:pStyle w:val="-3"/>
              <w:rPr>
                <w:sz w:val="17"/>
                <w:szCs w:val="17"/>
                <w:rtl/>
              </w:rPr>
            </w:pPr>
            <w:r w:rsidRPr="00532A1C">
              <w:rPr>
                <w:sz w:val="17"/>
                <w:szCs w:val="17"/>
                <w:rtl/>
              </w:rPr>
              <w:t>(0)</w:t>
            </w:r>
          </w:p>
        </w:tc>
        <w:tc>
          <w:tcPr>
            <w:tcW w:w="673" w:type="dxa"/>
            <w:vAlign w:val="bottom"/>
          </w:tcPr>
          <w:p w14:paraId="48142582" w14:textId="77777777" w:rsidR="004F59A7" w:rsidRDefault="004F59A7" w:rsidP="00F04877">
            <w:pPr>
              <w:pStyle w:val="-3"/>
              <w:rPr>
                <w:sz w:val="17"/>
                <w:szCs w:val="17"/>
                <w:rtl/>
              </w:rPr>
            </w:pPr>
            <w:r w:rsidRPr="00532A1C">
              <w:rPr>
                <w:sz w:val="17"/>
                <w:szCs w:val="17"/>
                <w:rtl/>
              </w:rPr>
              <w:t xml:space="preserve"> 0</w:t>
            </w:r>
          </w:p>
        </w:tc>
        <w:tc>
          <w:tcPr>
            <w:tcW w:w="752" w:type="dxa"/>
            <w:vAlign w:val="bottom"/>
          </w:tcPr>
          <w:p w14:paraId="47EFCFCE" w14:textId="77777777" w:rsidR="004F59A7" w:rsidRDefault="004F59A7" w:rsidP="00F04877">
            <w:pPr>
              <w:pStyle w:val="-3"/>
              <w:rPr>
                <w:sz w:val="17"/>
                <w:szCs w:val="17"/>
                <w:rtl/>
              </w:rPr>
            </w:pPr>
            <w:r w:rsidRPr="00532A1C">
              <w:rPr>
                <w:sz w:val="17"/>
                <w:szCs w:val="17"/>
                <w:rtl/>
              </w:rPr>
              <w:t>(0)</w:t>
            </w:r>
          </w:p>
        </w:tc>
        <w:tc>
          <w:tcPr>
            <w:tcW w:w="997" w:type="dxa"/>
            <w:vAlign w:val="bottom"/>
          </w:tcPr>
          <w:p w14:paraId="5603FB09" w14:textId="77777777" w:rsidR="004F59A7" w:rsidRDefault="004F59A7" w:rsidP="00F04877">
            <w:pPr>
              <w:pStyle w:val="-3"/>
              <w:rPr>
                <w:sz w:val="17"/>
                <w:szCs w:val="17"/>
                <w:rtl/>
              </w:rPr>
            </w:pPr>
            <w:r w:rsidRPr="00532A1C">
              <w:rPr>
                <w:sz w:val="17"/>
                <w:szCs w:val="17"/>
                <w:rtl/>
              </w:rPr>
              <w:t xml:space="preserve"> 0</w:t>
            </w:r>
          </w:p>
        </w:tc>
        <w:tc>
          <w:tcPr>
            <w:tcW w:w="988" w:type="dxa"/>
            <w:vAlign w:val="bottom"/>
          </w:tcPr>
          <w:p w14:paraId="71C26301" w14:textId="77777777" w:rsidR="004F59A7" w:rsidRDefault="004F59A7" w:rsidP="00F04877">
            <w:pPr>
              <w:pStyle w:val="-3"/>
              <w:rPr>
                <w:sz w:val="17"/>
                <w:szCs w:val="17"/>
                <w:rtl/>
              </w:rPr>
            </w:pPr>
            <w:r w:rsidRPr="00532A1C">
              <w:rPr>
                <w:sz w:val="17"/>
                <w:szCs w:val="17"/>
                <w:rtl/>
              </w:rPr>
              <w:t xml:space="preserve"> 0</w:t>
            </w:r>
          </w:p>
        </w:tc>
        <w:tc>
          <w:tcPr>
            <w:tcW w:w="1702" w:type="dxa"/>
            <w:vAlign w:val="bottom"/>
          </w:tcPr>
          <w:p w14:paraId="495D1C4B" w14:textId="77777777" w:rsidR="004F59A7" w:rsidRDefault="004F59A7" w:rsidP="00F04877">
            <w:pPr>
              <w:pStyle w:val="-3"/>
              <w:rPr>
                <w:sz w:val="17"/>
                <w:szCs w:val="17"/>
                <w:rtl/>
              </w:rPr>
            </w:pPr>
            <w:r w:rsidRPr="00532A1C">
              <w:rPr>
                <w:sz w:val="17"/>
                <w:szCs w:val="17"/>
                <w:rtl/>
              </w:rPr>
              <w:t xml:space="preserve">  0</w:t>
            </w:r>
          </w:p>
        </w:tc>
      </w:tr>
      <w:tr w:rsidR="004F59A7" w:rsidRPr="00543C25" w14:paraId="75C5DD27" w14:textId="77777777" w:rsidTr="00F04877">
        <w:tc>
          <w:tcPr>
            <w:tcW w:w="1560" w:type="dxa"/>
            <w:shd w:val="clear" w:color="auto" w:fill="auto"/>
          </w:tcPr>
          <w:p w14:paraId="404C8852"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531697C4" w14:textId="77777777" w:rsidR="004F59A7" w:rsidRPr="00FC6A6C" w:rsidRDefault="004F59A7" w:rsidP="00F04877">
            <w:pPr>
              <w:pStyle w:val="-0"/>
              <w:spacing w:line="240" w:lineRule="auto"/>
              <w:ind w:left="467" w:hanging="114"/>
              <w:rPr>
                <w:sz w:val="17"/>
                <w:szCs w:val="17"/>
                <w:rtl/>
              </w:rPr>
            </w:pPr>
            <w:r w:rsidRPr="00FC6A6C">
              <w:rPr>
                <w:rFonts w:hint="eastAsia"/>
                <w:sz w:val="16"/>
                <w:szCs w:val="16"/>
                <w:rtl/>
              </w:rPr>
              <w:t>אחר</w:t>
            </w:r>
            <w:r w:rsidRPr="00FC6A6C">
              <w:rPr>
                <w:rFonts w:hint="cs"/>
                <w:sz w:val="16"/>
                <w:szCs w:val="16"/>
                <w:rtl/>
              </w:rPr>
              <w:t xml:space="preserve"> [פרט אם מהותי]</w:t>
            </w:r>
          </w:p>
        </w:tc>
        <w:tc>
          <w:tcPr>
            <w:tcW w:w="850" w:type="dxa"/>
            <w:vAlign w:val="bottom"/>
          </w:tcPr>
          <w:p w14:paraId="24C91C36"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891" w:type="dxa"/>
            <w:vAlign w:val="bottom"/>
          </w:tcPr>
          <w:p w14:paraId="524C0D92" w14:textId="77777777" w:rsidR="004F59A7" w:rsidRDefault="004F59A7" w:rsidP="00F04877">
            <w:pPr>
              <w:pStyle w:val="-3"/>
              <w:pBdr>
                <w:bottom w:val="single" w:sz="4" w:space="1" w:color="auto"/>
              </w:pBdr>
              <w:rPr>
                <w:sz w:val="17"/>
                <w:szCs w:val="17"/>
                <w:rtl/>
              </w:rPr>
            </w:pPr>
            <w:r w:rsidRPr="00532A1C">
              <w:rPr>
                <w:sz w:val="17"/>
                <w:szCs w:val="17"/>
                <w:rtl/>
              </w:rPr>
              <w:t xml:space="preserve"> 0</w:t>
            </w:r>
            <w:r w:rsidRPr="00532A1C">
              <w:rPr>
                <w:sz w:val="17"/>
                <w:szCs w:val="17"/>
                <w:vertAlign w:val="superscript"/>
                <w:rtl/>
              </w:rPr>
              <w:t xml:space="preserve">(ג) </w:t>
            </w:r>
          </w:p>
        </w:tc>
        <w:tc>
          <w:tcPr>
            <w:tcW w:w="939" w:type="dxa"/>
            <w:vAlign w:val="bottom"/>
          </w:tcPr>
          <w:p w14:paraId="4AB17E98" w14:textId="77777777" w:rsidR="004F59A7" w:rsidRDefault="004F59A7" w:rsidP="00F04877">
            <w:pPr>
              <w:pStyle w:val="-3"/>
              <w:pBdr>
                <w:bottom w:val="single" w:sz="4" w:space="1" w:color="auto"/>
              </w:pBdr>
              <w:rPr>
                <w:sz w:val="17"/>
                <w:szCs w:val="17"/>
                <w:rtl/>
              </w:rPr>
            </w:pPr>
            <w:r w:rsidRPr="00532A1C">
              <w:rPr>
                <w:sz w:val="17"/>
                <w:szCs w:val="17"/>
                <w:rtl/>
              </w:rPr>
              <w:t xml:space="preserve"> </w:t>
            </w:r>
            <w:r>
              <w:rPr>
                <w:rFonts w:hint="cs"/>
                <w:sz w:val="17"/>
                <w:szCs w:val="17"/>
                <w:rtl/>
              </w:rPr>
              <w:t>-</w:t>
            </w:r>
          </w:p>
        </w:tc>
        <w:tc>
          <w:tcPr>
            <w:tcW w:w="705" w:type="dxa"/>
            <w:vAlign w:val="bottom"/>
          </w:tcPr>
          <w:p w14:paraId="16525DEB"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829" w:type="dxa"/>
            <w:vAlign w:val="bottom"/>
          </w:tcPr>
          <w:p w14:paraId="70E9CBE5"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704" w:type="dxa"/>
            <w:vAlign w:val="bottom"/>
          </w:tcPr>
          <w:p w14:paraId="544013FD" w14:textId="77777777" w:rsidR="004F59A7" w:rsidRDefault="004F59A7" w:rsidP="00F04877">
            <w:pPr>
              <w:pStyle w:val="-3"/>
              <w:pBdr>
                <w:bottom w:val="single" w:sz="4" w:space="1" w:color="auto"/>
              </w:pBdr>
              <w:rPr>
                <w:sz w:val="17"/>
                <w:szCs w:val="17"/>
                <w:rtl/>
              </w:rPr>
            </w:pPr>
            <w:r w:rsidRPr="00532A1C">
              <w:rPr>
                <w:sz w:val="17"/>
                <w:szCs w:val="17"/>
                <w:rtl/>
              </w:rPr>
              <w:t>(0)</w:t>
            </w:r>
          </w:p>
        </w:tc>
        <w:tc>
          <w:tcPr>
            <w:tcW w:w="747" w:type="dxa"/>
            <w:vAlign w:val="bottom"/>
          </w:tcPr>
          <w:p w14:paraId="394BBE3B" w14:textId="77777777" w:rsidR="004F59A7" w:rsidRDefault="004F59A7" w:rsidP="00F04877">
            <w:pPr>
              <w:pStyle w:val="-3"/>
              <w:pBdr>
                <w:bottom w:val="single" w:sz="4" w:space="1" w:color="auto"/>
              </w:pBdr>
              <w:rPr>
                <w:sz w:val="17"/>
                <w:szCs w:val="17"/>
                <w:rtl/>
              </w:rPr>
            </w:pPr>
            <w:r w:rsidRPr="00532A1C">
              <w:rPr>
                <w:sz w:val="17"/>
                <w:szCs w:val="17"/>
                <w:rtl/>
              </w:rPr>
              <w:t>(0)</w:t>
            </w:r>
          </w:p>
        </w:tc>
        <w:tc>
          <w:tcPr>
            <w:tcW w:w="673" w:type="dxa"/>
            <w:vAlign w:val="bottom"/>
          </w:tcPr>
          <w:p w14:paraId="29CDB7CC"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752" w:type="dxa"/>
            <w:vAlign w:val="bottom"/>
          </w:tcPr>
          <w:p w14:paraId="5410E932" w14:textId="77777777" w:rsidR="004F59A7" w:rsidRDefault="004F59A7" w:rsidP="00F04877">
            <w:pPr>
              <w:pStyle w:val="-3"/>
              <w:pBdr>
                <w:bottom w:val="single" w:sz="4" w:space="1" w:color="auto"/>
              </w:pBdr>
              <w:rPr>
                <w:sz w:val="17"/>
                <w:szCs w:val="17"/>
                <w:rtl/>
              </w:rPr>
            </w:pPr>
            <w:r w:rsidRPr="00532A1C">
              <w:rPr>
                <w:sz w:val="17"/>
                <w:szCs w:val="17"/>
                <w:rtl/>
              </w:rPr>
              <w:t>(0)</w:t>
            </w:r>
          </w:p>
        </w:tc>
        <w:tc>
          <w:tcPr>
            <w:tcW w:w="997" w:type="dxa"/>
            <w:vAlign w:val="bottom"/>
          </w:tcPr>
          <w:p w14:paraId="27CF0612"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988" w:type="dxa"/>
            <w:vAlign w:val="bottom"/>
          </w:tcPr>
          <w:p w14:paraId="4C28B163" w14:textId="77777777" w:rsidR="004F59A7" w:rsidRDefault="004F59A7" w:rsidP="00F04877">
            <w:pPr>
              <w:pStyle w:val="-3"/>
              <w:pBdr>
                <w:bottom w:val="single" w:sz="4" w:space="1" w:color="auto"/>
              </w:pBdr>
              <w:rPr>
                <w:sz w:val="17"/>
                <w:szCs w:val="17"/>
                <w:rtl/>
              </w:rPr>
            </w:pPr>
            <w:r w:rsidRPr="00532A1C">
              <w:rPr>
                <w:sz w:val="17"/>
                <w:szCs w:val="17"/>
                <w:rtl/>
              </w:rPr>
              <w:t xml:space="preserve"> 0</w:t>
            </w:r>
          </w:p>
        </w:tc>
        <w:tc>
          <w:tcPr>
            <w:tcW w:w="1702" w:type="dxa"/>
            <w:vAlign w:val="bottom"/>
          </w:tcPr>
          <w:p w14:paraId="5029FC6E" w14:textId="77777777" w:rsidR="004F59A7" w:rsidRDefault="004F59A7" w:rsidP="00F04877">
            <w:pPr>
              <w:pStyle w:val="-3"/>
              <w:pBdr>
                <w:bottom w:val="single" w:sz="4" w:space="1" w:color="auto"/>
              </w:pBdr>
              <w:rPr>
                <w:sz w:val="17"/>
                <w:szCs w:val="17"/>
                <w:rtl/>
              </w:rPr>
            </w:pPr>
            <w:r w:rsidRPr="00532A1C">
              <w:rPr>
                <w:sz w:val="17"/>
                <w:szCs w:val="17"/>
                <w:rtl/>
              </w:rPr>
              <w:t xml:space="preserve">  0</w:t>
            </w:r>
            <w:r w:rsidRPr="00532A1C">
              <w:rPr>
                <w:sz w:val="17"/>
                <w:szCs w:val="17"/>
                <w:vertAlign w:val="superscript"/>
                <w:rtl/>
              </w:rPr>
              <w:t>(ג)</w:t>
            </w:r>
          </w:p>
        </w:tc>
      </w:tr>
      <w:tr w:rsidR="004F59A7" w:rsidRPr="00FC6A6C" w14:paraId="091B82A0" w14:textId="77777777" w:rsidTr="00F04877">
        <w:tc>
          <w:tcPr>
            <w:tcW w:w="1560" w:type="dxa"/>
            <w:shd w:val="clear" w:color="auto" w:fill="auto"/>
          </w:tcPr>
          <w:p w14:paraId="42C20F2A"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29CC8A9D" w14:textId="77777777" w:rsidR="004F59A7" w:rsidRPr="00BF2D3B" w:rsidRDefault="004F59A7" w:rsidP="00F04877">
            <w:pPr>
              <w:pStyle w:val="-f"/>
              <w:ind w:left="560" w:hanging="235"/>
              <w:rPr>
                <w:sz w:val="16"/>
                <w:szCs w:val="16"/>
                <w:u w:val="none"/>
                <w:rtl/>
              </w:rPr>
            </w:pPr>
            <w:r w:rsidRPr="00BF2D3B">
              <w:rPr>
                <w:sz w:val="16"/>
                <w:szCs w:val="16"/>
                <w:u w:val="none"/>
                <w:rtl/>
              </w:rPr>
              <w:t xml:space="preserve">סך </w:t>
            </w:r>
            <w:r w:rsidRPr="00BF2D3B">
              <w:rPr>
                <w:rFonts w:hint="cs"/>
                <w:sz w:val="16"/>
                <w:szCs w:val="16"/>
                <w:u w:val="none"/>
                <w:rtl/>
              </w:rPr>
              <w:t>כל הנכסים</w:t>
            </w:r>
          </w:p>
        </w:tc>
        <w:tc>
          <w:tcPr>
            <w:tcW w:w="850" w:type="dxa"/>
            <w:vAlign w:val="bottom"/>
          </w:tcPr>
          <w:p w14:paraId="26EE6009" w14:textId="77777777" w:rsidR="004F59A7" w:rsidRPr="00FC6A6C" w:rsidRDefault="004F59A7" w:rsidP="00F04877">
            <w:pPr>
              <w:pStyle w:val="-3"/>
              <w:rPr>
                <w:b/>
                <w:bCs/>
                <w:sz w:val="17"/>
                <w:szCs w:val="17"/>
                <w:rtl/>
              </w:rPr>
            </w:pPr>
            <w:r w:rsidRPr="00FC6A6C">
              <w:rPr>
                <w:b/>
                <w:bCs/>
                <w:sz w:val="17"/>
                <w:szCs w:val="17"/>
                <w:rtl/>
              </w:rPr>
              <w:t xml:space="preserve"> 0</w:t>
            </w:r>
          </w:p>
        </w:tc>
        <w:tc>
          <w:tcPr>
            <w:tcW w:w="891" w:type="dxa"/>
            <w:vAlign w:val="bottom"/>
          </w:tcPr>
          <w:p w14:paraId="21E6F92F" w14:textId="77777777" w:rsidR="004F59A7" w:rsidRPr="00FC6A6C" w:rsidRDefault="004F59A7" w:rsidP="00F04877">
            <w:pPr>
              <w:pStyle w:val="-3"/>
              <w:rPr>
                <w:b/>
                <w:bCs/>
                <w:sz w:val="17"/>
                <w:szCs w:val="17"/>
                <w:rtl/>
              </w:rPr>
            </w:pPr>
            <w:r w:rsidRPr="00FC6A6C">
              <w:rPr>
                <w:b/>
                <w:bCs/>
                <w:sz w:val="17"/>
                <w:szCs w:val="17"/>
                <w:rtl/>
              </w:rPr>
              <w:t xml:space="preserve"> 0</w:t>
            </w:r>
          </w:p>
        </w:tc>
        <w:tc>
          <w:tcPr>
            <w:tcW w:w="939" w:type="dxa"/>
            <w:vAlign w:val="bottom"/>
          </w:tcPr>
          <w:p w14:paraId="34F25797" w14:textId="77777777" w:rsidR="004F59A7" w:rsidRPr="00FC6A6C" w:rsidRDefault="004F59A7" w:rsidP="00F04877">
            <w:pPr>
              <w:pStyle w:val="-3"/>
              <w:rPr>
                <w:b/>
                <w:bCs/>
                <w:sz w:val="17"/>
                <w:szCs w:val="17"/>
                <w:rtl/>
              </w:rPr>
            </w:pPr>
            <w:r w:rsidRPr="00FC6A6C">
              <w:rPr>
                <w:b/>
                <w:bCs/>
                <w:sz w:val="17"/>
                <w:szCs w:val="17"/>
                <w:rtl/>
              </w:rPr>
              <w:t xml:space="preserve"> 0</w:t>
            </w:r>
          </w:p>
        </w:tc>
        <w:tc>
          <w:tcPr>
            <w:tcW w:w="705" w:type="dxa"/>
            <w:vAlign w:val="bottom"/>
          </w:tcPr>
          <w:p w14:paraId="50171BB0" w14:textId="77777777" w:rsidR="004F59A7" w:rsidRPr="00FC6A6C" w:rsidRDefault="004F59A7" w:rsidP="00F04877">
            <w:pPr>
              <w:pStyle w:val="-3"/>
              <w:rPr>
                <w:b/>
                <w:bCs/>
                <w:sz w:val="17"/>
                <w:szCs w:val="17"/>
                <w:rtl/>
              </w:rPr>
            </w:pPr>
            <w:r w:rsidRPr="00FC6A6C">
              <w:rPr>
                <w:b/>
                <w:bCs/>
                <w:sz w:val="17"/>
                <w:szCs w:val="17"/>
                <w:rtl/>
              </w:rPr>
              <w:t xml:space="preserve"> 0</w:t>
            </w:r>
          </w:p>
        </w:tc>
        <w:tc>
          <w:tcPr>
            <w:tcW w:w="829" w:type="dxa"/>
            <w:vAlign w:val="bottom"/>
          </w:tcPr>
          <w:p w14:paraId="218E14FE" w14:textId="77777777" w:rsidR="004F59A7" w:rsidRPr="00FC6A6C" w:rsidRDefault="004F59A7" w:rsidP="00F04877">
            <w:pPr>
              <w:pStyle w:val="-3"/>
              <w:rPr>
                <w:b/>
                <w:bCs/>
                <w:sz w:val="17"/>
                <w:szCs w:val="17"/>
                <w:rtl/>
              </w:rPr>
            </w:pPr>
            <w:r w:rsidRPr="00FC6A6C">
              <w:rPr>
                <w:b/>
                <w:bCs/>
                <w:sz w:val="17"/>
                <w:szCs w:val="17"/>
                <w:rtl/>
              </w:rPr>
              <w:t xml:space="preserve"> 0</w:t>
            </w:r>
          </w:p>
        </w:tc>
        <w:tc>
          <w:tcPr>
            <w:tcW w:w="704" w:type="dxa"/>
            <w:vAlign w:val="bottom"/>
          </w:tcPr>
          <w:p w14:paraId="62C816E2" w14:textId="77777777" w:rsidR="004F59A7" w:rsidRPr="00FC6A6C" w:rsidRDefault="004F59A7" w:rsidP="00F04877">
            <w:pPr>
              <w:pStyle w:val="-3"/>
              <w:rPr>
                <w:b/>
                <w:bCs/>
                <w:sz w:val="17"/>
                <w:szCs w:val="17"/>
                <w:rtl/>
              </w:rPr>
            </w:pPr>
            <w:r w:rsidRPr="00FC6A6C">
              <w:rPr>
                <w:b/>
                <w:bCs/>
                <w:sz w:val="17"/>
                <w:szCs w:val="17"/>
                <w:rtl/>
              </w:rPr>
              <w:t>(0)</w:t>
            </w:r>
          </w:p>
        </w:tc>
        <w:tc>
          <w:tcPr>
            <w:tcW w:w="747" w:type="dxa"/>
            <w:vAlign w:val="bottom"/>
          </w:tcPr>
          <w:p w14:paraId="3122C84D" w14:textId="77777777" w:rsidR="004F59A7" w:rsidRPr="00FC6A6C" w:rsidRDefault="004F59A7" w:rsidP="00F04877">
            <w:pPr>
              <w:pStyle w:val="-3"/>
              <w:rPr>
                <w:b/>
                <w:bCs/>
                <w:sz w:val="17"/>
                <w:szCs w:val="17"/>
                <w:rtl/>
              </w:rPr>
            </w:pPr>
            <w:r w:rsidRPr="00FC6A6C">
              <w:rPr>
                <w:b/>
                <w:bCs/>
                <w:sz w:val="17"/>
                <w:szCs w:val="17"/>
                <w:rtl/>
              </w:rPr>
              <w:t>(0)</w:t>
            </w:r>
          </w:p>
        </w:tc>
        <w:tc>
          <w:tcPr>
            <w:tcW w:w="673" w:type="dxa"/>
            <w:vAlign w:val="bottom"/>
          </w:tcPr>
          <w:p w14:paraId="1E6AF08A" w14:textId="77777777" w:rsidR="004F59A7" w:rsidRPr="00FC6A6C" w:rsidRDefault="004F59A7" w:rsidP="00F04877">
            <w:pPr>
              <w:pStyle w:val="-3"/>
              <w:rPr>
                <w:b/>
                <w:bCs/>
                <w:sz w:val="17"/>
                <w:szCs w:val="17"/>
                <w:rtl/>
              </w:rPr>
            </w:pPr>
            <w:r w:rsidRPr="00FC6A6C">
              <w:rPr>
                <w:b/>
                <w:bCs/>
                <w:sz w:val="17"/>
                <w:szCs w:val="17"/>
                <w:rtl/>
              </w:rPr>
              <w:t xml:space="preserve"> 0</w:t>
            </w:r>
          </w:p>
        </w:tc>
        <w:tc>
          <w:tcPr>
            <w:tcW w:w="752" w:type="dxa"/>
            <w:vAlign w:val="bottom"/>
          </w:tcPr>
          <w:p w14:paraId="079AAB50" w14:textId="77777777" w:rsidR="004F59A7" w:rsidRPr="00FC6A6C" w:rsidRDefault="004F59A7" w:rsidP="00F04877">
            <w:pPr>
              <w:pStyle w:val="-3"/>
              <w:rPr>
                <w:b/>
                <w:bCs/>
                <w:sz w:val="17"/>
                <w:szCs w:val="17"/>
                <w:rtl/>
              </w:rPr>
            </w:pPr>
            <w:r w:rsidRPr="00FC6A6C">
              <w:rPr>
                <w:b/>
                <w:bCs/>
                <w:sz w:val="17"/>
                <w:szCs w:val="17"/>
                <w:rtl/>
              </w:rPr>
              <w:t>(0)</w:t>
            </w:r>
          </w:p>
        </w:tc>
        <w:tc>
          <w:tcPr>
            <w:tcW w:w="997" w:type="dxa"/>
          </w:tcPr>
          <w:p w14:paraId="53AAD2FC" w14:textId="77777777" w:rsidR="004F59A7" w:rsidRPr="00FC6A6C" w:rsidRDefault="004F59A7" w:rsidP="00F04877">
            <w:pPr>
              <w:pStyle w:val="-3"/>
              <w:rPr>
                <w:b/>
                <w:bCs/>
                <w:sz w:val="17"/>
                <w:szCs w:val="17"/>
                <w:rtl/>
              </w:rPr>
            </w:pPr>
            <w:r w:rsidRPr="00FC6A6C">
              <w:rPr>
                <w:b/>
                <w:bCs/>
                <w:sz w:val="17"/>
                <w:szCs w:val="17"/>
                <w:rtl/>
              </w:rPr>
              <w:t xml:space="preserve"> 0</w:t>
            </w:r>
          </w:p>
        </w:tc>
        <w:tc>
          <w:tcPr>
            <w:tcW w:w="988" w:type="dxa"/>
            <w:vAlign w:val="bottom"/>
          </w:tcPr>
          <w:p w14:paraId="5B6CECDB" w14:textId="77777777" w:rsidR="004F59A7" w:rsidRPr="00FC6A6C" w:rsidRDefault="004F59A7" w:rsidP="00F04877">
            <w:pPr>
              <w:pStyle w:val="-3"/>
              <w:rPr>
                <w:b/>
                <w:bCs/>
                <w:sz w:val="17"/>
                <w:szCs w:val="17"/>
                <w:rtl/>
              </w:rPr>
            </w:pPr>
            <w:r w:rsidRPr="00FC6A6C">
              <w:rPr>
                <w:b/>
                <w:bCs/>
                <w:sz w:val="17"/>
                <w:szCs w:val="17"/>
                <w:rtl/>
              </w:rPr>
              <w:t xml:space="preserve"> 0</w:t>
            </w:r>
          </w:p>
        </w:tc>
        <w:tc>
          <w:tcPr>
            <w:tcW w:w="1702" w:type="dxa"/>
            <w:vAlign w:val="bottom"/>
          </w:tcPr>
          <w:p w14:paraId="7CC76931" w14:textId="77777777" w:rsidR="004F59A7" w:rsidRPr="00FC6A6C" w:rsidRDefault="004F59A7" w:rsidP="00F04877">
            <w:pPr>
              <w:pStyle w:val="-3"/>
              <w:rPr>
                <w:b/>
                <w:bCs/>
                <w:sz w:val="17"/>
                <w:szCs w:val="17"/>
                <w:rtl/>
              </w:rPr>
            </w:pPr>
            <w:r w:rsidRPr="00FC6A6C">
              <w:rPr>
                <w:b/>
                <w:bCs/>
                <w:sz w:val="17"/>
                <w:szCs w:val="17"/>
                <w:rtl/>
              </w:rPr>
              <w:t xml:space="preserve">  0</w:t>
            </w:r>
          </w:p>
        </w:tc>
      </w:tr>
      <w:tr w:rsidR="004F59A7" w:rsidRPr="00543C25" w14:paraId="52AA1D84" w14:textId="77777777" w:rsidTr="00F04877">
        <w:tc>
          <w:tcPr>
            <w:tcW w:w="1560" w:type="dxa"/>
            <w:shd w:val="clear" w:color="auto" w:fill="auto"/>
          </w:tcPr>
          <w:p w14:paraId="7F6EF77B" w14:textId="77777777" w:rsidR="004F59A7" w:rsidRPr="003425A3" w:rsidRDefault="004F59A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5F193533" w14:textId="77777777" w:rsidR="004F59A7" w:rsidRPr="00FC6A6C" w:rsidRDefault="004F59A7" w:rsidP="00F04877">
            <w:pPr>
              <w:pStyle w:val="-f"/>
              <w:spacing w:before="60"/>
              <w:ind w:left="555" w:hanging="232"/>
              <w:rPr>
                <w:b w:val="0"/>
                <w:bCs w:val="0"/>
                <w:sz w:val="17"/>
                <w:szCs w:val="17"/>
                <w:rtl/>
              </w:rPr>
            </w:pPr>
            <w:r w:rsidRPr="00FC6A6C">
              <w:rPr>
                <w:sz w:val="16"/>
                <w:szCs w:val="16"/>
                <w:rtl/>
              </w:rPr>
              <w:t xml:space="preserve">התחייבויות </w:t>
            </w:r>
          </w:p>
        </w:tc>
        <w:tc>
          <w:tcPr>
            <w:tcW w:w="850" w:type="dxa"/>
            <w:vAlign w:val="bottom"/>
          </w:tcPr>
          <w:p w14:paraId="651AC7C2" w14:textId="77777777" w:rsidR="004F59A7" w:rsidRDefault="004F59A7" w:rsidP="00F04877">
            <w:pPr>
              <w:pStyle w:val="-3"/>
              <w:rPr>
                <w:sz w:val="17"/>
                <w:szCs w:val="17"/>
                <w:rtl/>
              </w:rPr>
            </w:pPr>
          </w:p>
        </w:tc>
        <w:tc>
          <w:tcPr>
            <w:tcW w:w="891" w:type="dxa"/>
            <w:tcBorders>
              <w:bottom w:val="nil"/>
            </w:tcBorders>
            <w:vAlign w:val="bottom"/>
          </w:tcPr>
          <w:p w14:paraId="4F6E3C56" w14:textId="77777777" w:rsidR="004F59A7" w:rsidRDefault="004F59A7" w:rsidP="00F04877">
            <w:pPr>
              <w:pStyle w:val="-3"/>
              <w:rPr>
                <w:sz w:val="17"/>
                <w:szCs w:val="17"/>
                <w:rtl/>
              </w:rPr>
            </w:pPr>
          </w:p>
        </w:tc>
        <w:tc>
          <w:tcPr>
            <w:tcW w:w="939" w:type="dxa"/>
            <w:tcBorders>
              <w:bottom w:val="nil"/>
            </w:tcBorders>
            <w:vAlign w:val="bottom"/>
          </w:tcPr>
          <w:p w14:paraId="530D876F" w14:textId="77777777" w:rsidR="004F59A7" w:rsidRDefault="004F59A7" w:rsidP="00F04877">
            <w:pPr>
              <w:pStyle w:val="-3"/>
              <w:rPr>
                <w:sz w:val="17"/>
                <w:szCs w:val="17"/>
                <w:rtl/>
              </w:rPr>
            </w:pPr>
          </w:p>
        </w:tc>
        <w:tc>
          <w:tcPr>
            <w:tcW w:w="705" w:type="dxa"/>
            <w:tcBorders>
              <w:bottom w:val="nil"/>
            </w:tcBorders>
            <w:vAlign w:val="bottom"/>
          </w:tcPr>
          <w:p w14:paraId="49117F25" w14:textId="77777777" w:rsidR="004F59A7" w:rsidRDefault="004F59A7" w:rsidP="00F04877">
            <w:pPr>
              <w:pStyle w:val="-3"/>
              <w:rPr>
                <w:sz w:val="17"/>
                <w:szCs w:val="17"/>
                <w:rtl/>
              </w:rPr>
            </w:pPr>
          </w:p>
        </w:tc>
        <w:tc>
          <w:tcPr>
            <w:tcW w:w="829" w:type="dxa"/>
            <w:tcBorders>
              <w:bottom w:val="nil"/>
            </w:tcBorders>
            <w:vAlign w:val="bottom"/>
          </w:tcPr>
          <w:p w14:paraId="3F4795C5" w14:textId="77777777" w:rsidR="004F59A7" w:rsidRDefault="004F59A7" w:rsidP="00F04877">
            <w:pPr>
              <w:pStyle w:val="-3"/>
              <w:rPr>
                <w:sz w:val="17"/>
                <w:szCs w:val="17"/>
                <w:rtl/>
              </w:rPr>
            </w:pPr>
          </w:p>
        </w:tc>
        <w:tc>
          <w:tcPr>
            <w:tcW w:w="704" w:type="dxa"/>
            <w:tcBorders>
              <w:bottom w:val="nil"/>
            </w:tcBorders>
            <w:vAlign w:val="bottom"/>
          </w:tcPr>
          <w:p w14:paraId="38496C8D" w14:textId="77777777" w:rsidR="004F59A7" w:rsidRDefault="004F59A7" w:rsidP="00F04877">
            <w:pPr>
              <w:pStyle w:val="-3"/>
              <w:rPr>
                <w:sz w:val="17"/>
                <w:szCs w:val="17"/>
                <w:rtl/>
              </w:rPr>
            </w:pPr>
          </w:p>
        </w:tc>
        <w:tc>
          <w:tcPr>
            <w:tcW w:w="747" w:type="dxa"/>
            <w:tcBorders>
              <w:bottom w:val="nil"/>
            </w:tcBorders>
            <w:vAlign w:val="bottom"/>
          </w:tcPr>
          <w:p w14:paraId="73D629B9" w14:textId="77777777" w:rsidR="004F59A7" w:rsidRDefault="004F59A7" w:rsidP="00F04877">
            <w:pPr>
              <w:pStyle w:val="-3"/>
              <w:rPr>
                <w:sz w:val="17"/>
                <w:szCs w:val="17"/>
                <w:rtl/>
              </w:rPr>
            </w:pPr>
          </w:p>
        </w:tc>
        <w:tc>
          <w:tcPr>
            <w:tcW w:w="673" w:type="dxa"/>
            <w:tcBorders>
              <w:bottom w:val="nil"/>
            </w:tcBorders>
            <w:vAlign w:val="bottom"/>
          </w:tcPr>
          <w:p w14:paraId="7A0B8980" w14:textId="77777777" w:rsidR="004F59A7" w:rsidRDefault="004F59A7" w:rsidP="00F04877">
            <w:pPr>
              <w:pStyle w:val="-3"/>
              <w:rPr>
                <w:sz w:val="17"/>
                <w:szCs w:val="17"/>
                <w:rtl/>
              </w:rPr>
            </w:pPr>
          </w:p>
        </w:tc>
        <w:tc>
          <w:tcPr>
            <w:tcW w:w="752" w:type="dxa"/>
            <w:tcBorders>
              <w:bottom w:val="nil"/>
            </w:tcBorders>
            <w:vAlign w:val="bottom"/>
          </w:tcPr>
          <w:p w14:paraId="27A6F7E6" w14:textId="77777777" w:rsidR="004F59A7" w:rsidRDefault="004F59A7" w:rsidP="00F04877">
            <w:pPr>
              <w:pStyle w:val="-3"/>
              <w:rPr>
                <w:sz w:val="17"/>
                <w:szCs w:val="17"/>
                <w:rtl/>
              </w:rPr>
            </w:pPr>
          </w:p>
        </w:tc>
        <w:tc>
          <w:tcPr>
            <w:tcW w:w="997" w:type="dxa"/>
            <w:tcBorders>
              <w:bottom w:val="nil"/>
            </w:tcBorders>
            <w:vAlign w:val="bottom"/>
          </w:tcPr>
          <w:p w14:paraId="4B810AE5" w14:textId="77777777" w:rsidR="004F59A7" w:rsidRDefault="004F59A7" w:rsidP="00F04877">
            <w:pPr>
              <w:pStyle w:val="-3"/>
              <w:rPr>
                <w:sz w:val="17"/>
                <w:szCs w:val="17"/>
                <w:rtl/>
              </w:rPr>
            </w:pPr>
          </w:p>
        </w:tc>
        <w:tc>
          <w:tcPr>
            <w:tcW w:w="988" w:type="dxa"/>
            <w:tcBorders>
              <w:bottom w:val="nil"/>
            </w:tcBorders>
            <w:vAlign w:val="bottom"/>
          </w:tcPr>
          <w:p w14:paraId="308BD2F3" w14:textId="77777777" w:rsidR="004F59A7" w:rsidRDefault="004F59A7" w:rsidP="00F04877">
            <w:pPr>
              <w:pStyle w:val="-3"/>
              <w:rPr>
                <w:sz w:val="17"/>
                <w:szCs w:val="17"/>
                <w:rtl/>
              </w:rPr>
            </w:pPr>
          </w:p>
        </w:tc>
        <w:tc>
          <w:tcPr>
            <w:tcW w:w="1702" w:type="dxa"/>
            <w:tcBorders>
              <w:bottom w:val="nil"/>
            </w:tcBorders>
            <w:vAlign w:val="bottom"/>
          </w:tcPr>
          <w:p w14:paraId="7F28935C" w14:textId="77777777" w:rsidR="004F59A7" w:rsidRDefault="004F59A7" w:rsidP="00F04877">
            <w:pPr>
              <w:pStyle w:val="-3"/>
              <w:rPr>
                <w:sz w:val="17"/>
                <w:szCs w:val="17"/>
                <w:rtl/>
              </w:rPr>
            </w:pPr>
          </w:p>
        </w:tc>
      </w:tr>
      <w:tr w:rsidR="004F59A7" w:rsidRPr="00543C25" w14:paraId="3CC77AD8" w14:textId="77777777" w:rsidTr="00F04877">
        <w:tc>
          <w:tcPr>
            <w:tcW w:w="1560" w:type="dxa"/>
            <w:shd w:val="clear" w:color="auto" w:fill="auto"/>
          </w:tcPr>
          <w:p w14:paraId="633B3CC6" w14:textId="77777777" w:rsidR="004F59A7" w:rsidRPr="003425A3" w:rsidRDefault="004F59A7" w:rsidP="00F04877">
            <w:pPr>
              <w:pStyle w:val="-0"/>
              <w:spacing w:line="240" w:lineRule="auto"/>
              <w:ind w:left="720"/>
              <w:rPr>
                <w:sz w:val="16"/>
                <w:szCs w:val="16"/>
                <w:rtl/>
              </w:rPr>
            </w:pPr>
          </w:p>
        </w:tc>
        <w:tc>
          <w:tcPr>
            <w:tcW w:w="3122" w:type="dxa"/>
            <w:tcBorders>
              <w:top w:val="nil"/>
              <w:left w:val="nil"/>
              <w:bottom w:val="nil"/>
              <w:right w:val="nil"/>
            </w:tcBorders>
            <w:shd w:val="clear" w:color="auto" w:fill="auto"/>
            <w:vAlign w:val="bottom"/>
          </w:tcPr>
          <w:p w14:paraId="72976061" w14:textId="77777777" w:rsidR="004F59A7" w:rsidRPr="00FC6A6C" w:rsidRDefault="004F59A7" w:rsidP="00F04877">
            <w:pPr>
              <w:pStyle w:val="-0"/>
              <w:spacing w:line="240" w:lineRule="auto"/>
              <w:ind w:left="467" w:hanging="114"/>
              <w:rPr>
                <w:sz w:val="17"/>
                <w:szCs w:val="17"/>
                <w:rtl/>
              </w:rPr>
            </w:pPr>
            <w:r w:rsidRPr="00FC6A6C">
              <w:rPr>
                <w:rFonts w:hint="cs"/>
                <w:sz w:val="16"/>
                <w:szCs w:val="16"/>
                <w:rtl/>
              </w:rPr>
              <w:t xml:space="preserve">התחייבויות בגין מכשירים נגזרים </w:t>
            </w:r>
          </w:p>
        </w:tc>
        <w:tc>
          <w:tcPr>
            <w:tcW w:w="850" w:type="dxa"/>
            <w:vAlign w:val="bottom"/>
          </w:tcPr>
          <w:p w14:paraId="34594B05" w14:textId="77777777" w:rsidR="004F59A7" w:rsidRDefault="004F59A7" w:rsidP="00F04877">
            <w:pPr>
              <w:pStyle w:val="-3"/>
              <w:spacing w:line="240" w:lineRule="auto"/>
              <w:rPr>
                <w:sz w:val="17"/>
                <w:szCs w:val="17"/>
                <w:rtl/>
              </w:rPr>
            </w:pPr>
            <w:r w:rsidRPr="00532A1C">
              <w:rPr>
                <w:sz w:val="17"/>
                <w:szCs w:val="17"/>
                <w:rtl/>
              </w:rPr>
              <w:t xml:space="preserve"> 0</w:t>
            </w:r>
          </w:p>
        </w:tc>
        <w:tc>
          <w:tcPr>
            <w:tcW w:w="891" w:type="dxa"/>
            <w:tcBorders>
              <w:bottom w:val="nil"/>
            </w:tcBorders>
            <w:vAlign w:val="bottom"/>
          </w:tcPr>
          <w:p w14:paraId="609FDA4D" w14:textId="77777777" w:rsidR="004F59A7" w:rsidRDefault="004F59A7" w:rsidP="00F04877">
            <w:pPr>
              <w:pStyle w:val="-3"/>
              <w:rPr>
                <w:sz w:val="17"/>
                <w:szCs w:val="17"/>
                <w:rtl/>
              </w:rPr>
            </w:pPr>
            <w:r w:rsidRPr="00532A1C">
              <w:rPr>
                <w:sz w:val="17"/>
                <w:szCs w:val="17"/>
                <w:rtl/>
              </w:rPr>
              <w:t xml:space="preserve"> 0 </w:t>
            </w:r>
          </w:p>
        </w:tc>
        <w:tc>
          <w:tcPr>
            <w:tcW w:w="939" w:type="dxa"/>
            <w:tcBorders>
              <w:bottom w:val="nil"/>
            </w:tcBorders>
            <w:vAlign w:val="bottom"/>
          </w:tcPr>
          <w:p w14:paraId="6F86B3DB" w14:textId="77777777" w:rsidR="004F59A7" w:rsidRDefault="004F59A7" w:rsidP="00F04877">
            <w:pPr>
              <w:pStyle w:val="-3"/>
              <w:spacing w:line="240" w:lineRule="auto"/>
              <w:rPr>
                <w:sz w:val="17"/>
                <w:szCs w:val="17"/>
                <w:rtl/>
              </w:rPr>
            </w:pPr>
            <w:r w:rsidRPr="00532A1C">
              <w:rPr>
                <w:sz w:val="17"/>
                <w:szCs w:val="17"/>
                <w:rtl/>
              </w:rPr>
              <w:t xml:space="preserve"> </w:t>
            </w:r>
            <w:r>
              <w:rPr>
                <w:rFonts w:hint="cs"/>
                <w:sz w:val="17"/>
                <w:szCs w:val="17"/>
                <w:rtl/>
              </w:rPr>
              <w:t>-</w:t>
            </w:r>
          </w:p>
        </w:tc>
        <w:tc>
          <w:tcPr>
            <w:tcW w:w="705" w:type="dxa"/>
            <w:tcBorders>
              <w:bottom w:val="nil"/>
            </w:tcBorders>
            <w:vAlign w:val="bottom"/>
          </w:tcPr>
          <w:p w14:paraId="1DAECA61" w14:textId="77777777" w:rsidR="004F59A7" w:rsidRDefault="004F59A7" w:rsidP="00F04877">
            <w:pPr>
              <w:pStyle w:val="-3"/>
              <w:spacing w:line="240" w:lineRule="auto"/>
              <w:rPr>
                <w:sz w:val="17"/>
                <w:szCs w:val="17"/>
                <w:rtl/>
              </w:rPr>
            </w:pPr>
            <w:r w:rsidRPr="00532A1C">
              <w:rPr>
                <w:sz w:val="17"/>
                <w:szCs w:val="17"/>
                <w:rtl/>
              </w:rPr>
              <w:t xml:space="preserve"> 0</w:t>
            </w:r>
          </w:p>
        </w:tc>
        <w:tc>
          <w:tcPr>
            <w:tcW w:w="829" w:type="dxa"/>
            <w:tcBorders>
              <w:bottom w:val="nil"/>
            </w:tcBorders>
            <w:vAlign w:val="bottom"/>
          </w:tcPr>
          <w:p w14:paraId="55969B6B" w14:textId="77777777" w:rsidR="004F59A7" w:rsidRDefault="004F59A7" w:rsidP="00F04877">
            <w:pPr>
              <w:pStyle w:val="-3"/>
              <w:spacing w:line="240" w:lineRule="auto"/>
              <w:rPr>
                <w:sz w:val="17"/>
                <w:szCs w:val="17"/>
                <w:rtl/>
              </w:rPr>
            </w:pPr>
            <w:r>
              <w:rPr>
                <w:rFonts w:hint="cs"/>
                <w:sz w:val="17"/>
                <w:szCs w:val="17"/>
                <w:rtl/>
              </w:rPr>
              <w:t xml:space="preserve"> 0</w:t>
            </w:r>
          </w:p>
        </w:tc>
        <w:tc>
          <w:tcPr>
            <w:tcW w:w="704" w:type="dxa"/>
            <w:tcBorders>
              <w:bottom w:val="nil"/>
            </w:tcBorders>
            <w:vAlign w:val="bottom"/>
          </w:tcPr>
          <w:p w14:paraId="0DD529D9" w14:textId="77777777" w:rsidR="004F59A7" w:rsidRDefault="004F59A7" w:rsidP="00F04877">
            <w:pPr>
              <w:pStyle w:val="-3"/>
              <w:spacing w:line="240" w:lineRule="auto"/>
              <w:rPr>
                <w:sz w:val="17"/>
                <w:szCs w:val="17"/>
                <w:rtl/>
              </w:rPr>
            </w:pPr>
            <w:r w:rsidRPr="00532A1C">
              <w:rPr>
                <w:sz w:val="17"/>
                <w:szCs w:val="17"/>
                <w:rtl/>
              </w:rPr>
              <w:t>(0)</w:t>
            </w:r>
          </w:p>
        </w:tc>
        <w:tc>
          <w:tcPr>
            <w:tcW w:w="747" w:type="dxa"/>
            <w:tcBorders>
              <w:bottom w:val="nil"/>
            </w:tcBorders>
            <w:vAlign w:val="bottom"/>
          </w:tcPr>
          <w:p w14:paraId="45B3125E" w14:textId="77777777" w:rsidR="004F59A7" w:rsidRDefault="004F59A7" w:rsidP="00F04877">
            <w:pPr>
              <w:pStyle w:val="-3"/>
              <w:spacing w:line="240" w:lineRule="auto"/>
              <w:rPr>
                <w:sz w:val="17"/>
                <w:szCs w:val="17"/>
                <w:rtl/>
              </w:rPr>
            </w:pPr>
            <w:r w:rsidRPr="00532A1C">
              <w:rPr>
                <w:sz w:val="17"/>
                <w:szCs w:val="17"/>
                <w:rtl/>
              </w:rPr>
              <w:t>(0)</w:t>
            </w:r>
          </w:p>
        </w:tc>
        <w:tc>
          <w:tcPr>
            <w:tcW w:w="673" w:type="dxa"/>
            <w:tcBorders>
              <w:bottom w:val="nil"/>
            </w:tcBorders>
            <w:vAlign w:val="bottom"/>
          </w:tcPr>
          <w:p w14:paraId="01D48442" w14:textId="77777777" w:rsidR="004F59A7" w:rsidRDefault="004F59A7" w:rsidP="00F04877">
            <w:pPr>
              <w:pStyle w:val="-3"/>
              <w:spacing w:line="240" w:lineRule="auto"/>
              <w:rPr>
                <w:sz w:val="17"/>
                <w:szCs w:val="17"/>
                <w:rtl/>
              </w:rPr>
            </w:pPr>
            <w:r w:rsidRPr="00532A1C">
              <w:rPr>
                <w:sz w:val="17"/>
                <w:szCs w:val="17"/>
                <w:rtl/>
              </w:rPr>
              <w:t xml:space="preserve"> 0</w:t>
            </w:r>
          </w:p>
        </w:tc>
        <w:tc>
          <w:tcPr>
            <w:tcW w:w="752" w:type="dxa"/>
            <w:tcBorders>
              <w:bottom w:val="nil"/>
            </w:tcBorders>
            <w:vAlign w:val="bottom"/>
          </w:tcPr>
          <w:p w14:paraId="50E27EDD" w14:textId="77777777" w:rsidR="004F59A7" w:rsidRDefault="004F59A7" w:rsidP="00F04877">
            <w:pPr>
              <w:pStyle w:val="-3"/>
              <w:spacing w:line="240" w:lineRule="auto"/>
              <w:rPr>
                <w:sz w:val="17"/>
                <w:szCs w:val="17"/>
                <w:rtl/>
              </w:rPr>
            </w:pPr>
            <w:r w:rsidRPr="00532A1C">
              <w:rPr>
                <w:sz w:val="17"/>
                <w:szCs w:val="17"/>
                <w:rtl/>
              </w:rPr>
              <w:t>(0)</w:t>
            </w:r>
          </w:p>
        </w:tc>
        <w:tc>
          <w:tcPr>
            <w:tcW w:w="997" w:type="dxa"/>
            <w:tcBorders>
              <w:bottom w:val="nil"/>
            </w:tcBorders>
            <w:vAlign w:val="bottom"/>
          </w:tcPr>
          <w:p w14:paraId="1C29C88B" w14:textId="77777777" w:rsidR="004F59A7" w:rsidRDefault="004F59A7" w:rsidP="00F04877">
            <w:pPr>
              <w:pStyle w:val="-3"/>
              <w:spacing w:line="240" w:lineRule="auto"/>
              <w:rPr>
                <w:sz w:val="17"/>
                <w:szCs w:val="17"/>
                <w:rtl/>
              </w:rPr>
            </w:pPr>
            <w:r w:rsidRPr="00532A1C">
              <w:rPr>
                <w:sz w:val="17"/>
                <w:szCs w:val="17"/>
                <w:rtl/>
              </w:rPr>
              <w:t xml:space="preserve"> 0</w:t>
            </w:r>
          </w:p>
        </w:tc>
        <w:tc>
          <w:tcPr>
            <w:tcW w:w="988" w:type="dxa"/>
            <w:tcBorders>
              <w:bottom w:val="nil"/>
            </w:tcBorders>
            <w:vAlign w:val="bottom"/>
          </w:tcPr>
          <w:p w14:paraId="09FF4854" w14:textId="77777777" w:rsidR="004F59A7" w:rsidRDefault="004F59A7" w:rsidP="00F04877">
            <w:pPr>
              <w:pStyle w:val="-3"/>
              <w:spacing w:line="240" w:lineRule="auto"/>
              <w:rPr>
                <w:sz w:val="17"/>
                <w:szCs w:val="17"/>
                <w:rtl/>
              </w:rPr>
            </w:pPr>
            <w:r w:rsidRPr="00532A1C">
              <w:rPr>
                <w:sz w:val="17"/>
                <w:szCs w:val="17"/>
                <w:rtl/>
              </w:rPr>
              <w:t xml:space="preserve"> 0</w:t>
            </w:r>
          </w:p>
        </w:tc>
        <w:tc>
          <w:tcPr>
            <w:tcW w:w="1702" w:type="dxa"/>
            <w:tcBorders>
              <w:bottom w:val="nil"/>
            </w:tcBorders>
            <w:vAlign w:val="bottom"/>
          </w:tcPr>
          <w:p w14:paraId="21866B1A" w14:textId="77777777" w:rsidR="004F59A7" w:rsidRPr="0010257C" w:rsidRDefault="004F59A7" w:rsidP="00F04877">
            <w:pPr>
              <w:pStyle w:val="-3"/>
              <w:tabs>
                <w:tab w:val="left" w:pos="195"/>
              </w:tabs>
              <w:spacing w:line="240" w:lineRule="auto"/>
              <w:rPr>
                <w:rtl/>
              </w:rPr>
            </w:pPr>
            <w:r w:rsidRPr="00532A1C">
              <w:rPr>
                <w:sz w:val="17"/>
                <w:szCs w:val="17"/>
                <w:rtl/>
              </w:rPr>
              <w:t xml:space="preserve">  0</w:t>
            </w:r>
          </w:p>
        </w:tc>
      </w:tr>
      <w:tr w:rsidR="004F59A7" w:rsidRPr="00543C25" w14:paraId="68E66B92" w14:textId="77777777" w:rsidTr="00F04877">
        <w:tc>
          <w:tcPr>
            <w:tcW w:w="1560" w:type="dxa"/>
            <w:tcBorders>
              <w:bottom w:val="nil"/>
            </w:tcBorders>
            <w:shd w:val="clear" w:color="auto" w:fill="auto"/>
          </w:tcPr>
          <w:p w14:paraId="4BC0855D" w14:textId="77777777" w:rsidR="004F59A7" w:rsidRPr="003425A3" w:rsidRDefault="004F59A7" w:rsidP="00F04877">
            <w:pPr>
              <w:pStyle w:val="-0"/>
              <w:spacing w:line="240" w:lineRule="auto"/>
              <w:ind w:left="432"/>
              <w:rPr>
                <w:sz w:val="16"/>
                <w:szCs w:val="16"/>
                <w:rtl/>
              </w:rPr>
            </w:pPr>
          </w:p>
        </w:tc>
        <w:tc>
          <w:tcPr>
            <w:tcW w:w="3122" w:type="dxa"/>
            <w:tcBorders>
              <w:top w:val="nil"/>
              <w:left w:val="nil"/>
              <w:bottom w:val="nil"/>
              <w:right w:val="nil"/>
            </w:tcBorders>
            <w:shd w:val="clear" w:color="auto" w:fill="auto"/>
            <w:vAlign w:val="bottom"/>
          </w:tcPr>
          <w:p w14:paraId="33C912E8" w14:textId="77777777" w:rsidR="004F59A7" w:rsidRPr="00FC6A6C" w:rsidRDefault="004F59A7" w:rsidP="00F04877">
            <w:pPr>
              <w:pStyle w:val="-0"/>
              <w:spacing w:line="240" w:lineRule="auto"/>
              <w:ind w:left="467" w:hanging="114"/>
              <w:rPr>
                <w:sz w:val="17"/>
                <w:szCs w:val="17"/>
                <w:rtl/>
              </w:rPr>
            </w:pPr>
            <w:r w:rsidRPr="00FC6A6C">
              <w:rPr>
                <w:rFonts w:hint="eastAsia"/>
                <w:sz w:val="16"/>
                <w:szCs w:val="16"/>
                <w:rtl/>
              </w:rPr>
              <w:t>אחר</w:t>
            </w:r>
            <w:r w:rsidRPr="00FC6A6C">
              <w:rPr>
                <w:rFonts w:hint="cs"/>
                <w:sz w:val="16"/>
                <w:szCs w:val="16"/>
                <w:rtl/>
              </w:rPr>
              <w:t xml:space="preserve"> [פרט אם מהותי]</w:t>
            </w:r>
          </w:p>
        </w:tc>
        <w:tc>
          <w:tcPr>
            <w:tcW w:w="850" w:type="dxa"/>
            <w:tcBorders>
              <w:bottom w:val="nil"/>
            </w:tcBorders>
            <w:vAlign w:val="bottom"/>
          </w:tcPr>
          <w:p w14:paraId="43E72B1E"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891" w:type="dxa"/>
            <w:tcBorders>
              <w:top w:val="nil"/>
              <w:bottom w:val="nil"/>
            </w:tcBorders>
            <w:vAlign w:val="bottom"/>
          </w:tcPr>
          <w:p w14:paraId="166DF9C3" w14:textId="77777777" w:rsidR="004F59A7" w:rsidRDefault="004F59A7" w:rsidP="00F04877">
            <w:pPr>
              <w:pStyle w:val="-3"/>
              <w:pBdr>
                <w:bottom w:val="single" w:sz="4" w:space="1" w:color="auto"/>
              </w:pBdr>
              <w:rPr>
                <w:sz w:val="17"/>
                <w:szCs w:val="17"/>
                <w:rtl/>
              </w:rPr>
            </w:pPr>
            <w:r w:rsidRPr="00532A1C">
              <w:rPr>
                <w:sz w:val="17"/>
                <w:szCs w:val="17"/>
                <w:rtl/>
              </w:rPr>
              <w:t xml:space="preserve"> 0</w:t>
            </w:r>
            <w:r w:rsidRPr="00532A1C">
              <w:rPr>
                <w:sz w:val="17"/>
                <w:szCs w:val="17"/>
                <w:vertAlign w:val="superscript"/>
                <w:rtl/>
              </w:rPr>
              <w:t xml:space="preserve">(ג) </w:t>
            </w:r>
          </w:p>
        </w:tc>
        <w:tc>
          <w:tcPr>
            <w:tcW w:w="939" w:type="dxa"/>
            <w:tcBorders>
              <w:top w:val="nil"/>
              <w:bottom w:val="nil"/>
            </w:tcBorders>
            <w:vAlign w:val="bottom"/>
          </w:tcPr>
          <w:p w14:paraId="14137BD8" w14:textId="77777777" w:rsidR="004F59A7" w:rsidRDefault="004F59A7" w:rsidP="00F04877">
            <w:pPr>
              <w:pStyle w:val="-3"/>
              <w:pBdr>
                <w:bottom w:val="single" w:sz="4" w:space="1" w:color="auto"/>
              </w:pBdr>
              <w:spacing w:line="240" w:lineRule="auto"/>
              <w:rPr>
                <w:sz w:val="17"/>
                <w:szCs w:val="17"/>
                <w:rtl/>
              </w:rPr>
            </w:pPr>
            <w:r>
              <w:rPr>
                <w:rFonts w:hint="cs"/>
                <w:sz w:val="17"/>
                <w:szCs w:val="17"/>
                <w:rtl/>
              </w:rPr>
              <w:t xml:space="preserve"> -</w:t>
            </w:r>
          </w:p>
        </w:tc>
        <w:tc>
          <w:tcPr>
            <w:tcW w:w="705" w:type="dxa"/>
            <w:tcBorders>
              <w:top w:val="nil"/>
              <w:bottom w:val="nil"/>
            </w:tcBorders>
            <w:vAlign w:val="bottom"/>
          </w:tcPr>
          <w:p w14:paraId="4A82C451"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829" w:type="dxa"/>
            <w:tcBorders>
              <w:top w:val="nil"/>
              <w:bottom w:val="nil"/>
            </w:tcBorders>
            <w:vAlign w:val="bottom"/>
          </w:tcPr>
          <w:p w14:paraId="15B22FC5"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704" w:type="dxa"/>
            <w:tcBorders>
              <w:top w:val="nil"/>
              <w:bottom w:val="nil"/>
            </w:tcBorders>
            <w:vAlign w:val="bottom"/>
          </w:tcPr>
          <w:p w14:paraId="6FDF51F5"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(0)</w:t>
            </w:r>
          </w:p>
        </w:tc>
        <w:tc>
          <w:tcPr>
            <w:tcW w:w="747" w:type="dxa"/>
            <w:tcBorders>
              <w:top w:val="nil"/>
              <w:bottom w:val="nil"/>
            </w:tcBorders>
            <w:vAlign w:val="bottom"/>
          </w:tcPr>
          <w:p w14:paraId="65582973"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(0)</w:t>
            </w:r>
          </w:p>
        </w:tc>
        <w:tc>
          <w:tcPr>
            <w:tcW w:w="673" w:type="dxa"/>
            <w:tcBorders>
              <w:top w:val="nil"/>
              <w:bottom w:val="nil"/>
            </w:tcBorders>
            <w:vAlign w:val="bottom"/>
          </w:tcPr>
          <w:p w14:paraId="023B0DF4"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752" w:type="dxa"/>
            <w:tcBorders>
              <w:top w:val="nil"/>
              <w:bottom w:val="nil"/>
            </w:tcBorders>
            <w:vAlign w:val="bottom"/>
          </w:tcPr>
          <w:p w14:paraId="2E92EFB5"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(0)</w:t>
            </w:r>
          </w:p>
        </w:tc>
        <w:tc>
          <w:tcPr>
            <w:tcW w:w="997" w:type="dxa"/>
            <w:tcBorders>
              <w:top w:val="nil"/>
              <w:bottom w:val="nil"/>
            </w:tcBorders>
            <w:vAlign w:val="bottom"/>
          </w:tcPr>
          <w:p w14:paraId="5602B0B9"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988" w:type="dxa"/>
            <w:tcBorders>
              <w:top w:val="nil"/>
              <w:bottom w:val="nil"/>
            </w:tcBorders>
            <w:vAlign w:val="bottom"/>
          </w:tcPr>
          <w:p w14:paraId="40427C01"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1702" w:type="dxa"/>
            <w:tcBorders>
              <w:top w:val="nil"/>
              <w:bottom w:val="nil"/>
            </w:tcBorders>
            <w:vAlign w:val="bottom"/>
          </w:tcPr>
          <w:p w14:paraId="519C0130" w14:textId="77777777" w:rsidR="004F59A7" w:rsidRDefault="004F59A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r w:rsidRPr="00532A1C">
              <w:rPr>
                <w:sz w:val="17"/>
                <w:szCs w:val="17"/>
                <w:vertAlign w:val="superscript"/>
                <w:rtl/>
              </w:rPr>
              <w:t>(ג)</w:t>
            </w:r>
          </w:p>
        </w:tc>
      </w:tr>
      <w:tr w:rsidR="004F59A7" w:rsidRPr="00543C25" w14:paraId="20EC8942" w14:textId="77777777" w:rsidTr="00F04877">
        <w:tc>
          <w:tcPr>
            <w:tcW w:w="1560" w:type="dxa"/>
            <w:tcBorders>
              <w:bottom w:val="nil"/>
            </w:tcBorders>
            <w:shd w:val="clear" w:color="auto" w:fill="auto"/>
          </w:tcPr>
          <w:p w14:paraId="6AB9B7C6" w14:textId="77777777" w:rsidR="004F59A7" w:rsidRDefault="004F59A7" w:rsidP="00F04877">
            <w:pPr>
              <w:pStyle w:val="-0"/>
              <w:ind w:left="560" w:hanging="114"/>
              <w:rPr>
                <w:sz w:val="16"/>
                <w:szCs w:val="16"/>
                <w:rtl/>
              </w:rPr>
            </w:pPr>
          </w:p>
        </w:tc>
        <w:tc>
          <w:tcPr>
            <w:tcW w:w="3122" w:type="dxa"/>
            <w:tcBorders>
              <w:top w:val="nil"/>
              <w:left w:val="nil"/>
              <w:bottom w:val="nil"/>
              <w:right w:val="nil"/>
            </w:tcBorders>
            <w:shd w:val="clear" w:color="auto" w:fill="auto"/>
            <w:vAlign w:val="bottom"/>
          </w:tcPr>
          <w:p w14:paraId="71CC0ACE" w14:textId="77777777" w:rsidR="004F59A7" w:rsidRPr="00BF2D3B" w:rsidRDefault="004F59A7" w:rsidP="00F04877">
            <w:pPr>
              <w:pStyle w:val="-f"/>
              <w:ind w:left="560" w:hanging="235"/>
              <w:rPr>
                <w:b w:val="0"/>
                <w:bCs w:val="0"/>
                <w:sz w:val="17"/>
                <w:szCs w:val="17"/>
                <w:u w:val="none"/>
                <w:rtl/>
              </w:rPr>
            </w:pPr>
            <w:r w:rsidRPr="00BF2D3B">
              <w:rPr>
                <w:sz w:val="16"/>
                <w:szCs w:val="16"/>
                <w:u w:val="none"/>
                <w:rtl/>
              </w:rPr>
              <w:t xml:space="preserve">סך </w:t>
            </w:r>
            <w:r w:rsidRPr="00BF2D3B">
              <w:rPr>
                <w:rFonts w:hint="cs"/>
                <w:sz w:val="16"/>
                <w:szCs w:val="16"/>
                <w:u w:val="none"/>
                <w:rtl/>
              </w:rPr>
              <w:t>כל ההתחייבויות</w:t>
            </w:r>
          </w:p>
        </w:tc>
        <w:tc>
          <w:tcPr>
            <w:tcW w:w="850" w:type="dxa"/>
            <w:tcBorders>
              <w:bottom w:val="nil"/>
            </w:tcBorders>
            <w:vAlign w:val="bottom"/>
          </w:tcPr>
          <w:p w14:paraId="3BC785E9" w14:textId="77777777" w:rsidR="004F59A7" w:rsidRPr="00FC6A6C" w:rsidRDefault="004F59A7" w:rsidP="00F04877">
            <w:pPr>
              <w:pStyle w:val="-3"/>
              <w:rPr>
                <w:b/>
                <w:bCs/>
                <w:sz w:val="17"/>
                <w:szCs w:val="17"/>
                <w:rtl/>
              </w:rPr>
            </w:pPr>
            <w:r w:rsidRPr="00FC6A6C">
              <w:rPr>
                <w:b/>
                <w:bCs/>
                <w:sz w:val="17"/>
                <w:szCs w:val="17"/>
                <w:rtl/>
              </w:rPr>
              <w:t xml:space="preserve"> 0</w:t>
            </w:r>
          </w:p>
        </w:tc>
        <w:tc>
          <w:tcPr>
            <w:tcW w:w="891" w:type="dxa"/>
            <w:tcBorders>
              <w:bottom w:val="nil"/>
            </w:tcBorders>
            <w:vAlign w:val="bottom"/>
          </w:tcPr>
          <w:p w14:paraId="706905E5" w14:textId="77777777" w:rsidR="004F59A7" w:rsidRPr="00FC6A6C" w:rsidRDefault="004F59A7" w:rsidP="00F04877">
            <w:pPr>
              <w:pStyle w:val="-3"/>
              <w:rPr>
                <w:b/>
                <w:bCs/>
                <w:sz w:val="17"/>
                <w:szCs w:val="17"/>
                <w:rtl/>
              </w:rPr>
            </w:pPr>
            <w:r w:rsidRPr="00FC6A6C">
              <w:rPr>
                <w:b/>
                <w:bCs/>
                <w:sz w:val="17"/>
                <w:szCs w:val="17"/>
                <w:rtl/>
              </w:rPr>
              <w:t xml:space="preserve"> 0</w:t>
            </w:r>
          </w:p>
        </w:tc>
        <w:tc>
          <w:tcPr>
            <w:tcW w:w="939" w:type="dxa"/>
            <w:tcBorders>
              <w:bottom w:val="nil"/>
            </w:tcBorders>
            <w:vAlign w:val="bottom"/>
          </w:tcPr>
          <w:p w14:paraId="0814229F" w14:textId="77777777" w:rsidR="004F59A7" w:rsidRPr="00FC6A6C" w:rsidRDefault="004F59A7" w:rsidP="00F04877">
            <w:pPr>
              <w:pStyle w:val="-3"/>
              <w:rPr>
                <w:b/>
                <w:bCs/>
                <w:sz w:val="17"/>
                <w:szCs w:val="17"/>
                <w:rtl/>
              </w:rPr>
            </w:pPr>
            <w:r w:rsidRPr="00FC6A6C">
              <w:rPr>
                <w:b/>
                <w:bCs/>
                <w:sz w:val="17"/>
                <w:szCs w:val="17"/>
                <w:rtl/>
              </w:rPr>
              <w:t xml:space="preserve"> 0</w:t>
            </w:r>
          </w:p>
        </w:tc>
        <w:tc>
          <w:tcPr>
            <w:tcW w:w="705" w:type="dxa"/>
            <w:tcBorders>
              <w:bottom w:val="nil"/>
            </w:tcBorders>
            <w:vAlign w:val="bottom"/>
          </w:tcPr>
          <w:p w14:paraId="0780EE21" w14:textId="77777777" w:rsidR="004F59A7" w:rsidRPr="00FC6A6C" w:rsidRDefault="004F59A7" w:rsidP="00F04877">
            <w:pPr>
              <w:pStyle w:val="-3"/>
              <w:rPr>
                <w:b/>
                <w:bCs/>
                <w:sz w:val="17"/>
                <w:szCs w:val="17"/>
                <w:rtl/>
              </w:rPr>
            </w:pPr>
            <w:r w:rsidRPr="00FC6A6C">
              <w:rPr>
                <w:b/>
                <w:bCs/>
                <w:sz w:val="17"/>
                <w:szCs w:val="17"/>
                <w:rtl/>
              </w:rPr>
              <w:t xml:space="preserve"> 0</w:t>
            </w:r>
          </w:p>
        </w:tc>
        <w:tc>
          <w:tcPr>
            <w:tcW w:w="829" w:type="dxa"/>
            <w:tcBorders>
              <w:bottom w:val="nil"/>
            </w:tcBorders>
            <w:vAlign w:val="bottom"/>
          </w:tcPr>
          <w:p w14:paraId="783C1C96" w14:textId="77777777" w:rsidR="004F59A7" w:rsidRPr="00FC6A6C" w:rsidRDefault="004F59A7" w:rsidP="00F04877">
            <w:pPr>
              <w:pStyle w:val="-3"/>
              <w:rPr>
                <w:b/>
                <w:bCs/>
                <w:sz w:val="17"/>
                <w:szCs w:val="17"/>
                <w:rtl/>
              </w:rPr>
            </w:pPr>
            <w:r w:rsidRPr="00FC6A6C">
              <w:rPr>
                <w:b/>
                <w:bCs/>
                <w:sz w:val="17"/>
                <w:szCs w:val="17"/>
                <w:rtl/>
              </w:rPr>
              <w:t xml:space="preserve"> 0</w:t>
            </w:r>
          </w:p>
        </w:tc>
        <w:tc>
          <w:tcPr>
            <w:tcW w:w="704" w:type="dxa"/>
            <w:tcBorders>
              <w:bottom w:val="nil"/>
            </w:tcBorders>
            <w:vAlign w:val="bottom"/>
          </w:tcPr>
          <w:p w14:paraId="352193F7" w14:textId="77777777" w:rsidR="004F59A7" w:rsidRPr="00FC6A6C" w:rsidRDefault="004F59A7" w:rsidP="00F04877">
            <w:pPr>
              <w:pStyle w:val="-3"/>
              <w:rPr>
                <w:b/>
                <w:bCs/>
                <w:sz w:val="17"/>
                <w:szCs w:val="17"/>
                <w:rtl/>
              </w:rPr>
            </w:pPr>
            <w:r w:rsidRPr="00FC6A6C">
              <w:rPr>
                <w:b/>
                <w:bCs/>
                <w:sz w:val="17"/>
                <w:szCs w:val="17"/>
                <w:rtl/>
              </w:rPr>
              <w:t>(0)</w:t>
            </w:r>
          </w:p>
        </w:tc>
        <w:tc>
          <w:tcPr>
            <w:tcW w:w="747" w:type="dxa"/>
            <w:tcBorders>
              <w:bottom w:val="nil"/>
            </w:tcBorders>
            <w:vAlign w:val="bottom"/>
          </w:tcPr>
          <w:p w14:paraId="64362CBE" w14:textId="77777777" w:rsidR="004F59A7" w:rsidRPr="00FC6A6C" w:rsidRDefault="004F59A7" w:rsidP="00F04877">
            <w:pPr>
              <w:pStyle w:val="-3"/>
              <w:rPr>
                <w:b/>
                <w:bCs/>
                <w:sz w:val="17"/>
                <w:szCs w:val="17"/>
                <w:rtl/>
              </w:rPr>
            </w:pPr>
            <w:r w:rsidRPr="00FC6A6C">
              <w:rPr>
                <w:b/>
                <w:bCs/>
                <w:sz w:val="17"/>
                <w:szCs w:val="17"/>
                <w:rtl/>
              </w:rPr>
              <w:t>(0)</w:t>
            </w:r>
          </w:p>
        </w:tc>
        <w:tc>
          <w:tcPr>
            <w:tcW w:w="673" w:type="dxa"/>
            <w:tcBorders>
              <w:bottom w:val="nil"/>
            </w:tcBorders>
            <w:vAlign w:val="bottom"/>
          </w:tcPr>
          <w:p w14:paraId="0D5F4FD7" w14:textId="77777777" w:rsidR="004F59A7" w:rsidRPr="00FC6A6C" w:rsidRDefault="004F59A7" w:rsidP="00F04877">
            <w:pPr>
              <w:pStyle w:val="-3"/>
              <w:rPr>
                <w:b/>
                <w:bCs/>
                <w:sz w:val="17"/>
                <w:szCs w:val="17"/>
                <w:rtl/>
              </w:rPr>
            </w:pPr>
            <w:r w:rsidRPr="00FC6A6C">
              <w:rPr>
                <w:b/>
                <w:bCs/>
                <w:sz w:val="17"/>
                <w:szCs w:val="17"/>
                <w:rtl/>
              </w:rPr>
              <w:t xml:space="preserve"> 0</w:t>
            </w:r>
          </w:p>
        </w:tc>
        <w:tc>
          <w:tcPr>
            <w:tcW w:w="752" w:type="dxa"/>
            <w:tcBorders>
              <w:bottom w:val="nil"/>
            </w:tcBorders>
            <w:vAlign w:val="bottom"/>
          </w:tcPr>
          <w:p w14:paraId="1C86A447" w14:textId="77777777" w:rsidR="004F59A7" w:rsidRPr="00FC6A6C" w:rsidRDefault="004F59A7" w:rsidP="00F04877">
            <w:pPr>
              <w:pStyle w:val="-3"/>
              <w:rPr>
                <w:b/>
                <w:bCs/>
                <w:sz w:val="17"/>
                <w:szCs w:val="17"/>
                <w:rtl/>
              </w:rPr>
            </w:pPr>
            <w:r w:rsidRPr="00FC6A6C">
              <w:rPr>
                <w:b/>
                <w:bCs/>
                <w:sz w:val="17"/>
                <w:szCs w:val="17"/>
                <w:rtl/>
              </w:rPr>
              <w:t>(0)</w:t>
            </w:r>
          </w:p>
        </w:tc>
        <w:tc>
          <w:tcPr>
            <w:tcW w:w="997" w:type="dxa"/>
            <w:tcBorders>
              <w:bottom w:val="nil"/>
            </w:tcBorders>
          </w:tcPr>
          <w:p w14:paraId="745901F8" w14:textId="77777777" w:rsidR="004F59A7" w:rsidRPr="00FC6A6C" w:rsidRDefault="004F59A7" w:rsidP="00F04877">
            <w:pPr>
              <w:pStyle w:val="-3"/>
              <w:rPr>
                <w:b/>
                <w:bCs/>
                <w:sz w:val="17"/>
                <w:szCs w:val="17"/>
                <w:rtl/>
              </w:rPr>
            </w:pPr>
            <w:r w:rsidRPr="00FC6A6C">
              <w:rPr>
                <w:b/>
                <w:bCs/>
                <w:sz w:val="17"/>
                <w:szCs w:val="17"/>
                <w:rtl/>
              </w:rPr>
              <w:t xml:space="preserve"> 0</w:t>
            </w:r>
          </w:p>
        </w:tc>
        <w:tc>
          <w:tcPr>
            <w:tcW w:w="988" w:type="dxa"/>
            <w:tcBorders>
              <w:bottom w:val="nil"/>
            </w:tcBorders>
            <w:vAlign w:val="bottom"/>
          </w:tcPr>
          <w:p w14:paraId="15AD808E" w14:textId="77777777" w:rsidR="004F59A7" w:rsidRPr="00FC6A6C" w:rsidRDefault="004F59A7" w:rsidP="00F04877">
            <w:pPr>
              <w:pStyle w:val="-3"/>
              <w:rPr>
                <w:b/>
                <w:bCs/>
                <w:sz w:val="17"/>
                <w:szCs w:val="17"/>
                <w:rtl/>
              </w:rPr>
            </w:pPr>
            <w:r w:rsidRPr="00FC6A6C">
              <w:rPr>
                <w:b/>
                <w:bCs/>
                <w:sz w:val="17"/>
                <w:szCs w:val="17"/>
                <w:rtl/>
              </w:rPr>
              <w:t xml:space="preserve"> 0</w:t>
            </w:r>
          </w:p>
        </w:tc>
        <w:tc>
          <w:tcPr>
            <w:tcW w:w="1702" w:type="dxa"/>
            <w:tcBorders>
              <w:bottom w:val="nil"/>
            </w:tcBorders>
            <w:vAlign w:val="bottom"/>
          </w:tcPr>
          <w:p w14:paraId="3C298BFF" w14:textId="77777777" w:rsidR="004F59A7" w:rsidRPr="00FC6A6C" w:rsidRDefault="004F59A7" w:rsidP="00F04877">
            <w:pPr>
              <w:pStyle w:val="-3"/>
              <w:rPr>
                <w:b/>
                <w:bCs/>
                <w:sz w:val="17"/>
                <w:szCs w:val="17"/>
                <w:rtl/>
              </w:rPr>
            </w:pPr>
            <w:r w:rsidRPr="00FC6A6C">
              <w:rPr>
                <w:b/>
                <w:bCs/>
                <w:sz w:val="17"/>
                <w:szCs w:val="17"/>
                <w:rtl/>
              </w:rPr>
              <w:t xml:space="preserve">  0</w:t>
            </w:r>
          </w:p>
        </w:tc>
      </w:tr>
    </w:tbl>
    <w:p w14:paraId="15E17C5A" w14:textId="77777777" w:rsidR="004F59A7" w:rsidRDefault="004F59A7"/>
    <w:p w14:paraId="613B845C" w14:textId="4DC24001" w:rsidR="004F59A7" w:rsidRDefault="004F59A7">
      <w:pPr>
        <w:bidi w:val="0"/>
        <w:jc w:val="left"/>
        <w:rPr>
          <w:rtl/>
        </w:rPr>
      </w:pPr>
      <w:r>
        <w:rPr>
          <w:rtl/>
        </w:rPr>
        <w:br w:type="page"/>
      </w:r>
    </w:p>
    <w:tbl>
      <w:tblPr>
        <w:bidiVisual/>
        <w:tblW w:w="15453" w:type="dxa"/>
        <w:tblInd w:w="445" w:type="dxa"/>
        <w:tblLayout w:type="fixed"/>
        <w:tblLook w:val="0000" w:firstRow="0" w:lastRow="0" w:firstColumn="0" w:lastColumn="0" w:noHBand="0" w:noVBand="0"/>
      </w:tblPr>
      <w:tblGrid>
        <w:gridCol w:w="1421"/>
        <w:gridCol w:w="13654"/>
        <w:gridCol w:w="378"/>
      </w:tblGrid>
      <w:tr w:rsidR="00A73905" w:rsidRPr="007363C7" w14:paraId="32E1655A" w14:textId="77777777" w:rsidTr="007B3A8F">
        <w:trPr>
          <w:gridAfter w:val="1"/>
          <w:wAfter w:w="378" w:type="dxa"/>
          <w:trHeight w:val="245"/>
        </w:trPr>
        <w:tc>
          <w:tcPr>
            <w:tcW w:w="1421" w:type="dxa"/>
            <w:vAlign w:val="bottom"/>
          </w:tcPr>
          <w:p w14:paraId="3991340E" w14:textId="77777777" w:rsidR="00A73905" w:rsidRDefault="00A73905">
            <w:pPr>
              <w:pStyle w:val="-7"/>
              <w:spacing w:line="240" w:lineRule="auto"/>
              <w:jc w:val="left"/>
              <w:rPr>
                <w:sz w:val="14"/>
                <w:szCs w:val="14"/>
                <w:rtl/>
              </w:rPr>
            </w:pPr>
          </w:p>
        </w:tc>
        <w:tc>
          <w:tcPr>
            <w:tcW w:w="13654" w:type="dxa"/>
          </w:tcPr>
          <w:p w14:paraId="5B06E739" w14:textId="2B7F2CFA" w:rsidR="00A73905" w:rsidRDefault="00A73905">
            <w:pPr>
              <w:pStyle w:val="-f4"/>
              <w:spacing w:line="240" w:lineRule="auto"/>
              <w:jc w:val="left"/>
              <w:rPr>
                <w:rtl/>
              </w:rPr>
            </w:pPr>
            <w:r w:rsidRPr="00865418">
              <w:rPr>
                <w:rFonts w:eastAsia="Arial Unicode MS"/>
                <w:rtl/>
              </w:rPr>
              <w:t xml:space="preserve">ביאור </w:t>
            </w:r>
            <w:r>
              <w:rPr>
                <w:rFonts w:eastAsia="Arial Unicode MS" w:hint="cs"/>
                <w:rtl/>
              </w:rPr>
              <w:t>14ג</w:t>
            </w:r>
            <w:r w:rsidRPr="00865418">
              <w:rPr>
                <w:rFonts w:eastAsia="Arial Unicode MS"/>
                <w:rtl/>
              </w:rPr>
              <w:t xml:space="preserve">  -  </w:t>
            </w:r>
            <w:r w:rsidRPr="00865418">
              <w:rPr>
                <w:rFonts w:hint="eastAsia"/>
                <w:rtl/>
              </w:rPr>
              <w:t>שינויים</w:t>
            </w:r>
            <w:r w:rsidRPr="00865418">
              <w:rPr>
                <w:rtl/>
              </w:rPr>
              <w:t xml:space="preserve"> בפריטים הנמדדים בשווי הוגן על בסיס חוזר ונשנה שנכללו ברמה 3</w:t>
            </w:r>
            <w:r>
              <w:rPr>
                <w:rFonts w:hint="cs"/>
                <w:rtl/>
              </w:rPr>
              <w:t xml:space="preserve"> (במאוחד) (המשך)</w:t>
            </w:r>
            <w:r w:rsidRPr="00865418">
              <w:rPr>
                <w:rtl/>
              </w:rPr>
              <w:t>:</w:t>
            </w:r>
          </w:p>
        </w:tc>
      </w:tr>
      <w:tr w:rsidR="009567D1" w:rsidRPr="007363C7" w14:paraId="4E2D2B90" w14:textId="77777777" w:rsidTr="007B3A8F">
        <w:trPr>
          <w:gridAfter w:val="1"/>
          <w:wAfter w:w="378" w:type="dxa"/>
          <w:trHeight w:val="245"/>
        </w:trPr>
        <w:tc>
          <w:tcPr>
            <w:tcW w:w="1421" w:type="dxa"/>
            <w:vAlign w:val="bottom"/>
          </w:tcPr>
          <w:p w14:paraId="16B7C7EF" w14:textId="77777777" w:rsidR="009567D1" w:rsidRDefault="009567D1">
            <w:pPr>
              <w:pStyle w:val="-7"/>
              <w:spacing w:line="240" w:lineRule="auto"/>
              <w:jc w:val="left"/>
              <w:rPr>
                <w:sz w:val="14"/>
                <w:szCs w:val="14"/>
                <w:rtl/>
              </w:rPr>
            </w:pPr>
            <w:r>
              <w:rPr>
                <w:rFonts w:hint="cs"/>
                <w:sz w:val="14"/>
                <w:szCs w:val="14"/>
                <w:rtl/>
              </w:rPr>
              <w:t xml:space="preserve">מתכונת ביאור </w:t>
            </w:r>
            <w:r>
              <w:rPr>
                <w:rFonts w:hint="cs"/>
                <w:sz w:val="14"/>
                <w:szCs w:val="14"/>
                <w:rtl/>
              </w:rPr>
              <w:br/>
              <w:t>עמ' 663-64</w:t>
            </w:r>
          </w:p>
        </w:tc>
        <w:tc>
          <w:tcPr>
            <w:tcW w:w="13654" w:type="dxa"/>
          </w:tcPr>
          <w:p w14:paraId="30D09D3E" w14:textId="6FFBCCEC" w:rsidR="009567D1" w:rsidRDefault="009567D1" w:rsidP="00367272">
            <w:pPr>
              <w:pStyle w:val="-f4"/>
              <w:ind w:left="170"/>
              <w:jc w:val="left"/>
              <w:rPr>
                <w:rtl/>
              </w:rPr>
            </w:pPr>
            <w:r w:rsidRPr="009567D1">
              <w:rPr>
                <w:rFonts w:hint="cs"/>
                <w:b w:val="0"/>
                <w:bCs w:val="0"/>
                <w:rtl/>
              </w:rPr>
              <w:t xml:space="preserve"> א</w:t>
            </w:r>
            <w:r>
              <w:rPr>
                <w:rFonts w:hint="cs"/>
                <w:rtl/>
              </w:rPr>
              <w:t>. הרכב (המשך):</w:t>
            </w:r>
          </w:p>
        </w:tc>
      </w:tr>
      <w:tr w:rsidR="00367272" w:rsidRPr="007363C7" w14:paraId="138291C5" w14:textId="77777777" w:rsidTr="007B3A8F">
        <w:trPr>
          <w:trHeight w:val="245"/>
        </w:trPr>
        <w:tc>
          <w:tcPr>
            <w:tcW w:w="1421" w:type="dxa"/>
          </w:tcPr>
          <w:p w14:paraId="35ED1D90" w14:textId="77777777" w:rsidR="00367272" w:rsidRPr="007363C7" w:rsidRDefault="00367272" w:rsidP="006926AD">
            <w:pPr>
              <w:pStyle w:val="-7"/>
              <w:rPr>
                <w:rtl/>
              </w:rPr>
            </w:pPr>
          </w:p>
        </w:tc>
        <w:tc>
          <w:tcPr>
            <w:tcW w:w="14032" w:type="dxa"/>
            <w:gridSpan w:val="2"/>
          </w:tcPr>
          <w:p w14:paraId="18FF418E" w14:textId="4ADE2CE5" w:rsidR="00367272" w:rsidRPr="001F35BA" w:rsidRDefault="00367272" w:rsidP="001F35BA">
            <w:pPr>
              <w:pStyle w:val="-4"/>
              <w:pBdr>
                <w:bottom w:val="none" w:sz="0" w:space="0" w:color="auto"/>
              </w:pBdr>
              <w:spacing w:line="240" w:lineRule="auto"/>
              <w:ind w:left="453" w:right="-288"/>
              <w:jc w:val="both"/>
              <w:rPr>
                <w:sz w:val="18"/>
                <w:szCs w:val="18"/>
                <w:u w:val="single"/>
                <w:rtl/>
              </w:rPr>
            </w:pPr>
            <w:r w:rsidRPr="001F35BA">
              <w:rPr>
                <w:rFonts w:hint="cs"/>
                <w:sz w:val="18"/>
                <w:szCs w:val="18"/>
                <w:u w:val="single"/>
                <w:rtl/>
              </w:rPr>
              <w:t xml:space="preserve">לשנה שהסתיימה ביום 31 בדצמבר </w:t>
            </w:r>
            <w:r w:rsidRPr="001F35BA">
              <w:rPr>
                <w:sz w:val="18"/>
                <w:szCs w:val="18"/>
                <w:u w:val="single"/>
                <w:rtl/>
              </w:rPr>
              <w:fldChar w:fldCharType="begin"/>
            </w:r>
            <w:r w:rsidRPr="001F35BA">
              <w:rPr>
                <w:sz w:val="18"/>
                <w:szCs w:val="18"/>
                <w:u w:val="single"/>
                <w:rtl/>
              </w:rPr>
              <w:instrText xml:space="preserve"> </w:instrText>
            </w:r>
            <w:r w:rsidRPr="001F35BA">
              <w:rPr>
                <w:rFonts w:hint="cs"/>
                <w:sz w:val="18"/>
                <w:szCs w:val="18"/>
                <w:u w:val="single"/>
                <w:rtl/>
              </w:rPr>
              <w:instrText xml:space="preserve">= </w:instrText>
            </w:r>
            <w:r w:rsidRPr="001F35BA">
              <w:rPr>
                <w:rFonts w:hint="cs"/>
                <w:sz w:val="18"/>
                <w:szCs w:val="18"/>
                <w:u w:val="single"/>
              </w:rPr>
              <w:instrText>CY</w:instrText>
            </w:r>
            <w:r w:rsidRPr="001F35BA">
              <w:rPr>
                <w:sz w:val="18"/>
                <w:szCs w:val="18"/>
                <w:u w:val="single"/>
              </w:rPr>
              <w:instrText>-1</w:instrText>
            </w:r>
            <w:r w:rsidRPr="001F35BA">
              <w:rPr>
                <w:rFonts w:hint="cs"/>
                <w:sz w:val="18"/>
                <w:szCs w:val="18"/>
                <w:u w:val="single"/>
              </w:rPr>
              <w:instrText xml:space="preserve"> \* MERGEFORMAT</w:instrText>
            </w:r>
            <w:r w:rsidRPr="001F35BA">
              <w:rPr>
                <w:sz w:val="18"/>
                <w:szCs w:val="18"/>
                <w:u w:val="single"/>
                <w:rtl/>
              </w:rPr>
              <w:instrText xml:space="preserve"> </w:instrText>
            </w:r>
            <w:r w:rsidRPr="001F35BA">
              <w:rPr>
                <w:sz w:val="18"/>
                <w:szCs w:val="18"/>
                <w:u w:val="single"/>
                <w:rtl/>
              </w:rPr>
              <w:fldChar w:fldCharType="separate"/>
            </w:r>
            <w:r w:rsidRPr="001F35BA">
              <w:rPr>
                <w:noProof/>
                <w:sz w:val="18"/>
                <w:szCs w:val="18"/>
                <w:u w:val="single"/>
                <w:rtl/>
              </w:rPr>
              <w:t>2023</w:t>
            </w:r>
            <w:r w:rsidRPr="001F35BA">
              <w:rPr>
                <w:sz w:val="18"/>
                <w:szCs w:val="18"/>
                <w:u w:val="single"/>
                <w:rtl/>
              </w:rPr>
              <w:fldChar w:fldCharType="end"/>
            </w:r>
            <w:r w:rsidRPr="001F35BA">
              <w:rPr>
                <w:rFonts w:hint="cs"/>
                <w:u w:val="single"/>
                <w:rtl/>
              </w:rPr>
              <w:t xml:space="preserve"> </w:t>
            </w:r>
            <w:r w:rsidRPr="001F35BA">
              <w:rPr>
                <w:rFonts w:hint="cs"/>
                <w:b w:val="0"/>
                <w:bCs w:val="0"/>
                <w:sz w:val="18"/>
                <w:szCs w:val="18"/>
                <w:u w:val="single"/>
                <w:rtl/>
              </w:rPr>
              <w:t>(מבוקר)</w:t>
            </w:r>
          </w:p>
        </w:tc>
      </w:tr>
    </w:tbl>
    <w:p w14:paraId="131EFA5A" w14:textId="77777777" w:rsidR="00F32A2A" w:rsidRDefault="00F32A2A">
      <w:pPr>
        <w:bidi w:val="0"/>
        <w:spacing w:line="60" w:lineRule="exact"/>
      </w:pPr>
    </w:p>
    <w:tbl>
      <w:tblPr>
        <w:bidiVisual/>
        <w:tblW w:w="5108" w:type="pct"/>
        <w:tblBorders>
          <w:bottom w:val="single" w:sz="4" w:space="0" w:color="auto"/>
        </w:tblBorders>
        <w:tblLayout w:type="fixed"/>
        <w:tblLook w:val="04A0" w:firstRow="1" w:lastRow="0" w:firstColumn="1" w:lastColumn="0" w:noHBand="0" w:noVBand="1"/>
      </w:tblPr>
      <w:tblGrid>
        <w:gridCol w:w="1560"/>
        <w:gridCol w:w="3122"/>
        <w:gridCol w:w="850"/>
        <w:gridCol w:w="891"/>
        <w:gridCol w:w="939"/>
        <w:gridCol w:w="705"/>
        <w:gridCol w:w="829"/>
        <w:gridCol w:w="704"/>
        <w:gridCol w:w="747"/>
        <w:gridCol w:w="673"/>
        <w:gridCol w:w="752"/>
        <w:gridCol w:w="997"/>
        <w:gridCol w:w="988"/>
        <w:gridCol w:w="1702"/>
      </w:tblGrid>
      <w:tr w:rsidR="00A67167" w:rsidRPr="00543C25" w14:paraId="4E946818" w14:textId="77777777" w:rsidTr="00F04877">
        <w:trPr>
          <w:trHeight w:val="259"/>
        </w:trPr>
        <w:tc>
          <w:tcPr>
            <w:tcW w:w="1560" w:type="dxa"/>
            <w:shd w:val="clear" w:color="auto" w:fill="auto"/>
          </w:tcPr>
          <w:p w14:paraId="54684F4B" w14:textId="77777777" w:rsidR="00A67167" w:rsidRDefault="00A67167" w:rsidP="00F04877">
            <w:pPr>
              <w:pStyle w:val="-0"/>
              <w:ind w:left="0" w:firstLine="0"/>
              <w:rPr>
                <w:sz w:val="14"/>
                <w:szCs w:val="14"/>
                <w:rtl/>
              </w:rPr>
            </w:pPr>
          </w:p>
        </w:tc>
        <w:tc>
          <w:tcPr>
            <w:tcW w:w="3122" w:type="dxa"/>
            <w:tcBorders>
              <w:bottom w:val="nil"/>
            </w:tcBorders>
            <w:shd w:val="clear" w:color="auto" w:fill="auto"/>
            <w:vAlign w:val="bottom"/>
          </w:tcPr>
          <w:p w14:paraId="40B6C3CB" w14:textId="77777777" w:rsidR="00A67167" w:rsidRPr="00046EFB" w:rsidRDefault="00A67167" w:rsidP="00F04877">
            <w:pPr>
              <w:pStyle w:val="-0"/>
              <w:spacing w:line="192" w:lineRule="auto"/>
              <w:rPr>
                <w:sz w:val="17"/>
                <w:szCs w:val="17"/>
                <w:rtl/>
              </w:rPr>
            </w:pPr>
          </w:p>
        </w:tc>
        <w:tc>
          <w:tcPr>
            <w:tcW w:w="850" w:type="dxa"/>
            <w:vMerge w:val="restart"/>
            <w:shd w:val="clear" w:color="auto" w:fill="auto"/>
            <w:tcMar>
              <w:left w:w="108" w:type="dxa"/>
              <w:right w:w="108" w:type="dxa"/>
            </w:tcMar>
            <w:vAlign w:val="bottom"/>
          </w:tcPr>
          <w:p w14:paraId="3E820A87" w14:textId="77777777" w:rsidR="00A67167" w:rsidRPr="004F59A7" w:rsidRDefault="00A67167" w:rsidP="00F04877">
            <w:pPr>
              <w:spacing w:line="192" w:lineRule="auto"/>
              <w:rPr>
                <w:b/>
                <w:bCs/>
                <w:sz w:val="16"/>
                <w:szCs w:val="16"/>
                <w:rtl/>
              </w:rPr>
            </w:pPr>
            <w:r w:rsidRPr="004F59A7">
              <w:rPr>
                <w:b/>
                <w:bCs/>
                <w:sz w:val="16"/>
                <w:szCs w:val="16"/>
                <w:rtl/>
              </w:rPr>
              <w:t>שווי הוגן ליום 31  בדצמבר</w:t>
            </w:r>
          </w:p>
          <w:p w14:paraId="1DDAB755" w14:textId="740F1F38" w:rsidR="00A67167" w:rsidRPr="00BF2D3B" w:rsidRDefault="00A67167" w:rsidP="00F04877">
            <w:pPr>
              <w:pBdr>
                <w:bottom w:val="single" w:sz="4" w:space="1" w:color="auto"/>
              </w:pBdr>
              <w:spacing w:line="192" w:lineRule="auto"/>
              <w:ind w:left="57" w:right="57"/>
              <w:jc w:val="center"/>
              <w:rPr>
                <w:b/>
                <w:bCs/>
                <w:sz w:val="16"/>
                <w:szCs w:val="16"/>
                <w:rtl/>
              </w:rPr>
            </w:pPr>
            <w:r w:rsidRPr="00BF2D3B">
              <w:rPr>
                <w:b/>
                <w:bCs/>
                <w:sz w:val="16"/>
                <w:szCs w:val="16"/>
                <w:rtl/>
              </w:rPr>
              <w:fldChar w:fldCharType="begin"/>
            </w:r>
            <w:r w:rsidRPr="00BF2D3B">
              <w:rPr>
                <w:b/>
                <w:bCs/>
                <w:sz w:val="16"/>
                <w:szCs w:val="16"/>
                <w:rtl/>
              </w:rPr>
              <w:instrText xml:space="preserve"> = </w:instrText>
            </w:r>
            <w:r w:rsidRPr="00BF2D3B">
              <w:rPr>
                <w:b/>
                <w:bCs/>
                <w:sz w:val="16"/>
                <w:szCs w:val="16"/>
              </w:rPr>
              <w:instrText>CY</w:instrText>
            </w:r>
            <w:r>
              <w:rPr>
                <w:b/>
                <w:bCs/>
                <w:sz w:val="16"/>
                <w:szCs w:val="16"/>
              </w:rPr>
              <w:instrText>-2</w:instrText>
            </w:r>
            <w:r w:rsidRPr="00BF2D3B">
              <w:rPr>
                <w:b/>
                <w:bCs/>
                <w:sz w:val="16"/>
                <w:szCs w:val="16"/>
              </w:rPr>
              <w:instrText xml:space="preserve"> \* MERGEFORMAT</w:instrText>
            </w:r>
            <w:r w:rsidRPr="00BF2D3B">
              <w:rPr>
                <w:b/>
                <w:bCs/>
                <w:sz w:val="16"/>
                <w:szCs w:val="16"/>
                <w:rtl/>
              </w:rPr>
              <w:instrText xml:space="preserve"> </w:instrText>
            </w:r>
            <w:r w:rsidRPr="00BF2D3B">
              <w:rPr>
                <w:b/>
                <w:bCs/>
                <w:sz w:val="16"/>
                <w:szCs w:val="16"/>
                <w:rtl/>
              </w:rPr>
              <w:fldChar w:fldCharType="separate"/>
            </w:r>
            <w:r>
              <w:rPr>
                <w:b/>
                <w:bCs/>
                <w:noProof/>
                <w:sz w:val="16"/>
                <w:szCs w:val="16"/>
                <w:rtl/>
              </w:rPr>
              <w:t>2022</w:t>
            </w:r>
            <w:r w:rsidRPr="00BF2D3B">
              <w:rPr>
                <w:b/>
                <w:bCs/>
                <w:sz w:val="16"/>
                <w:szCs w:val="16"/>
                <w:rtl/>
              </w:rPr>
              <w:fldChar w:fldCharType="end"/>
            </w:r>
            <w:r w:rsidRPr="004F59A7">
              <w:rPr>
                <w:b/>
                <w:bCs/>
                <w:sz w:val="16"/>
                <w:szCs w:val="16"/>
                <w:rtl/>
              </w:rPr>
              <w:t xml:space="preserve"> </w:t>
            </w:r>
          </w:p>
        </w:tc>
        <w:tc>
          <w:tcPr>
            <w:tcW w:w="1830" w:type="dxa"/>
            <w:gridSpan w:val="2"/>
            <w:shd w:val="clear" w:color="auto" w:fill="auto"/>
            <w:tcMar>
              <w:left w:w="108" w:type="dxa"/>
              <w:right w:w="108" w:type="dxa"/>
            </w:tcMar>
            <w:vAlign w:val="bottom"/>
          </w:tcPr>
          <w:p w14:paraId="6AB80CFF" w14:textId="77777777" w:rsidR="00A67167" w:rsidRPr="00BF2D3B" w:rsidRDefault="00A67167" w:rsidP="00F04877">
            <w:pPr>
              <w:spacing w:line="192" w:lineRule="auto"/>
              <w:ind w:left="57" w:right="57"/>
              <w:jc w:val="center"/>
              <w:rPr>
                <w:b/>
                <w:bCs/>
                <w:sz w:val="16"/>
                <w:szCs w:val="16"/>
                <w:rtl/>
              </w:rPr>
            </w:pPr>
            <w:r w:rsidRPr="00BF2D3B">
              <w:rPr>
                <w:rFonts w:hint="eastAsia"/>
                <w:b/>
                <w:bCs/>
                <w:sz w:val="16"/>
                <w:szCs w:val="16"/>
                <w:rtl/>
              </w:rPr>
              <w:t>רווחים</w:t>
            </w:r>
            <w:r w:rsidRPr="00BF2D3B">
              <w:rPr>
                <w:b/>
                <w:bCs/>
                <w:sz w:val="16"/>
                <w:szCs w:val="16"/>
                <w:rtl/>
              </w:rPr>
              <w:t xml:space="preserve"> (הפסדים)</w:t>
            </w:r>
          </w:p>
          <w:p w14:paraId="31D779AA" w14:textId="77777777" w:rsidR="00A67167" w:rsidRPr="00BF2D3B" w:rsidRDefault="00A67167" w:rsidP="00F04877">
            <w:pPr>
              <w:pStyle w:val="-4"/>
              <w:spacing w:line="192" w:lineRule="auto"/>
              <w:rPr>
                <w:sz w:val="16"/>
                <w:szCs w:val="16"/>
                <w:rtl/>
              </w:rPr>
            </w:pPr>
            <w:r w:rsidRPr="00BF2D3B">
              <w:rPr>
                <w:rFonts w:hint="eastAsia"/>
                <w:sz w:val="16"/>
                <w:szCs w:val="16"/>
                <w:rtl/>
              </w:rPr>
              <w:t>לתקופה</w:t>
            </w:r>
            <w:r w:rsidRPr="00BF2D3B">
              <w:rPr>
                <w:sz w:val="16"/>
                <w:szCs w:val="16"/>
                <w:rtl/>
              </w:rPr>
              <w:t xml:space="preserve"> שנכללו </w:t>
            </w:r>
          </w:p>
        </w:tc>
        <w:tc>
          <w:tcPr>
            <w:tcW w:w="2985" w:type="dxa"/>
            <w:gridSpan w:val="4"/>
            <w:shd w:val="clear" w:color="auto" w:fill="auto"/>
            <w:tcMar>
              <w:left w:w="108" w:type="dxa"/>
              <w:right w:w="108" w:type="dxa"/>
            </w:tcMar>
            <w:vAlign w:val="bottom"/>
          </w:tcPr>
          <w:p w14:paraId="32633F3B" w14:textId="77777777" w:rsidR="00A67167" w:rsidRPr="00BF2D3B" w:rsidRDefault="00A67167" w:rsidP="00F04877">
            <w:pPr>
              <w:pStyle w:val="-4"/>
              <w:spacing w:line="192" w:lineRule="auto"/>
              <w:rPr>
                <w:sz w:val="16"/>
                <w:szCs w:val="16"/>
                <w:rtl/>
              </w:rPr>
            </w:pPr>
            <w:r w:rsidRPr="00BF2D3B">
              <w:rPr>
                <w:rFonts w:hint="eastAsia"/>
                <w:sz w:val="16"/>
                <w:szCs w:val="16"/>
                <w:rtl/>
              </w:rPr>
              <w:t>תנועות</w:t>
            </w:r>
            <w:r w:rsidRPr="00BF2D3B">
              <w:rPr>
                <w:sz w:val="16"/>
                <w:szCs w:val="16"/>
                <w:rtl/>
              </w:rPr>
              <w:t xml:space="preserve"> </w:t>
            </w:r>
            <w:r w:rsidRPr="00BF2D3B">
              <w:rPr>
                <w:rFonts w:hint="eastAsia"/>
                <w:sz w:val="16"/>
                <w:szCs w:val="16"/>
                <w:rtl/>
              </w:rPr>
              <w:t>בגין</w:t>
            </w:r>
          </w:p>
        </w:tc>
        <w:tc>
          <w:tcPr>
            <w:tcW w:w="1425" w:type="dxa"/>
            <w:gridSpan w:val="2"/>
            <w:shd w:val="clear" w:color="auto" w:fill="auto"/>
            <w:tcMar>
              <w:left w:w="108" w:type="dxa"/>
              <w:right w:w="108" w:type="dxa"/>
            </w:tcMar>
            <w:vAlign w:val="bottom"/>
          </w:tcPr>
          <w:p w14:paraId="247D976C" w14:textId="77777777" w:rsidR="00A67167" w:rsidRPr="00BF2D3B" w:rsidRDefault="00A67167" w:rsidP="00F04877">
            <w:pPr>
              <w:pBdr>
                <w:bottom w:val="single" w:sz="4" w:space="1" w:color="auto"/>
              </w:pBdr>
              <w:spacing w:line="192" w:lineRule="auto"/>
              <w:jc w:val="center"/>
              <w:rPr>
                <w:sz w:val="16"/>
                <w:szCs w:val="16"/>
                <w:rtl/>
              </w:rPr>
            </w:pPr>
            <w:r w:rsidRPr="00BF2D3B">
              <w:rPr>
                <w:rFonts w:hint="eastAsia"/>
                <w:bCs/>
                <w:sz w:val="16"/>
                <w:szCs w:val="16"/>
                <w:rtl/>
              </w:rPr>
              <w:t>העברות</w:t>
            </w:r>
            <w:r w:rsidRPr="00BF2D3B">
              <w:rPr>
                <w:bCs/>
                <w:sz w:val="16"/>
                <w:szCs w:val="16"/>
                <w:rtl/>
              </w:rPr>
              <w:t xml:space="preserve"> </w:t>
            </w:r>
            <w:r w:rsidRPr="00BF2D3B">
              <w:rPr>
                <w:rFonts w:hint="cs"/>
                <w:sz w:val="16"/>
                <w:szCs w:val="16"/>
                <w:vertAlign w:val="superscript"/>
                <w:rtl/>
              </w:rPr>
              <w:t>[ד]</w:t>
            </w:r>
          </w:p>
        </w:tc>
        <w:tc>
          <w:tcPr>
            <w:tcW w:w="997" w:type="dxa"/>
            <w:vMerge w:val="restart"/>
            <w:shd w:val="clear" w:color="auto" w:fill="auto"/>
            <w:tcMar>
              <w:left w:w="108" w:type="dxa"/>
              <w:right w:w="108" w:type="dxa"/>
            </w:tcMar>
            <w:vAlign w:val="bottom"/>
          </w:tcPr>
          <w:p w14:paraId="0126CDAD" w14:textId="77777777" w:rsidR="00A67167" w:rsidRPr="00BF2D3B" w:rsidRDefault="00A67167" w:rsidP="00F04877">
            <w:pPr>
              <w:pBdr>
                <w:bottom w:val="single" w:sz="4" w:space="1" w:color="auto"/>
              </w:pBdr>
              <w:spacing w:line="192" w:lineRule="auto"/>
              <w:ind w:left="57" w:right="57"/>
              <w:jc w:val="center"/>
              <w:rPr>
                <w:b/>
                <w:bCs/>
                <w:sz w:val="16"/>
                <w:szCs w:val="16"/>
                <w:rtl/>
              </w:rPr>
            </w:pPr>
            <w:r w:rsidRPr="00BF2D3B">
              <w:rPr>
                <w:b/>
                <w:bCs/>
                <w:sz w:val="16"/>
                <w:szCs w:val="16"/>
                <w:rtl/>
              </w:rPr>
              <w:t>התאמות</w:t>
            </w:r>
            <w:r w:rsidRPr="00BF2D3B">
              <w:rPr>
                <w:rFonts w:hint="cs"/>
                <w:b/>
                <w:bCs/>
                <w:sz w:val="16"/>
                <w:szCs w:val="16"/>
                <w:rtl/>
              </w:rPr>
              <w:t xml:space="preserve"> </w:t>
            </w:r>
            <w:r w:rsidRPr="00BF2D3B">
              <w:rPr>
                <w:b/>
                <w:bCs/>
                <w:sz w:val="16"/>
                <w:szCs w:val="16"/>
                <w:rtl/>
              </w:rPr>
              <w:t>מתרגום</w:t>
            </w:r>
            <w:r w:rsidRPr="00BF2D3B">
              <w:rPr>
                <w:rFonts w:hint="cs"/>
                <w:b/>
                <w:bCs/>
                <w:sz w:val="16"/>
                <w:szCs w:val="16"/>
                <w:rtl/>
              </w:rPr>
              <w:t xml:space="preserve"> </w:t>
            </w:r>
            <w:r w:rsidRPr="00BF2D3B">
              <w:rPr>
                <w:b/>
                <w:bCs/>
                <w:sz w:val="16"/>
                <w:szCs w:val="16"/>
                <w:rtl/>
              </w:rPr>
              <w:t>דוחות</w:t>
            </w:r>
            <w:r w:rsidRPr="00BF2D3B">
              <w:rPr>
                <w:rFonts w:hint="cs"/>
                <w:b/>
                <w:bCs/>
                <w:sz w:val="16"/>
                <w:szCs w:val="16"/>
                <w:rtl/>
              </w:rPr>
              <w:t xml:space="preserve"> </w:t>
            </w:r>
            <w:r w:rsidRPr="00BF2D3B">
              <w:rPr>
                <w:b/>
                <w:bCs/>
                <w:sz w:val="16"/>
                <w:szCs w:val="16"/>
                <w:rtl/>
              </w:rPr>
              <w:t>כספיים</w:t>
            </w:r>
          </w:p>
        </w:tc>
        <w:tc>
          <w:tcPr>
            <w:tcW w:w="988" w:type="dxa"/>
            <w:vMerge w:val="restart"/>
            <w:shd w:val="clear" w:color="auto" w:fill="auto"/>
            <w:tcMar>
              <w:left w:w="108" w:type="dxa"/>
              <w:right w:w="108" w:type="dxa"/>
            </w:tcMar>
            <w:vAlign w:val="bottom"/>
          </w:tcPr>
          <w:p w14:paraId="48AD053E" w14:textId="77777777" w:rsidR="00A67167" w:rsidRPr="00BF2D3B" w:rsidRDefault="00A67167" w:rsidP="00F04877">
            <w:pPr>
              <w:spacing w:line="192" w:lineRule="auto"/>
              <w:jc w:val="center"/>
              <w:rPr>
                <w:b/>
                <w:bCs/>
                <w:sz w:val="16"/>
                <w:szCs w:val="16"/>
                <w:rtl/>
              </w:rPr>
            </w:pPr>
            <w:r w:rsidRPr="00BF2D3B">
              <w:rPr>
                <w:rFonts w:hint="eastAsia"/>
                <w:b/>
                <w:bCs/>
                <w:sz w:val="16"/>
                <w:szCs w:val="16"/>
                <w:rtl/>
              </w:rPr>
              <w:t>שווי</w:t>
            </w:r>
            <w:r w:rsidRPr="00BF2D3B">
              <w:rPr>
                <w:b/>
                <w:bCs/>
                <w:sz w:val="16"/>
                <w:szCs w:val="16"/>
                <w:rtl/>
              </w:rPr>
              <w:t xml:space="preserve"> </w:t>
            </w:r>
            <w:r w:rsidRPr="00BF2D3B">
              <w:rPr>
                <w:rFonts w:hint="eastAsia"/>
                <w:b/>
                <w:bCs/>
                <w:sz w:val="16"/>
                <w:szCs w:val="16"/>
                <w:rtl/>
              </w:rPr>
              <w:t>הוגן</w:t>
            </w:r>
            <w:r w:rsidRPr="00BF2D3B">
              <w:rPr>
                <w:b/>
                <w:bCs/>
                <w:sz w:val="16"/>
                <w:szCs w:val="16"/>
                <w:rtl/>
              </w:rPr>
              <w:t xml:space="preserve"> </w:t>
            </w:r>
            <w:r w:rsidRPr="00BF2D3B">
              <w:rPr>
                <w:rFonts w:hint="eastAsia"/>
                <w:b/>
                <w:bCs/>
                <w:sz w:val="16"/>
                <w:szCs w:val="16"/>
                <w:rtl/>
              </w:rPr>
              <w:t>ליום</w:t>
            </w:r>
            <w:r w:rsidRPr="00BF2D3B">
              <w:rPr>
                <w:b/>
                <w:bCs/>
                <w:sz w:val="16"/>
                <w:szCs w:val="16"/>
                <w:rtl/>
              </w:rPr>
              <w:t xml:space="preserve"> </w:t>
            </w:r>
          </w:p>
          <w:p w14:paraId="30AEF97C" w14:textId="79CAE781" w:rsidR="00A67167" w:rsidRPr="00BF2D3B" w:rsidRDefault="00A67167" w:rsidP="00F04877">
            <w:pPr>
              <w:pBdr>
                <w:bottom w:val="single" w:sz="4" w:space="1" w:color="auto"/>
              </w:pBdr>
              <w:spacing w:line="192" w:lineRule="auto"/>
              <w:ind w:left="57" w:right="57"/>
              <w:jc w:val="center"/>
              <w:rPr>
                <w:b/>
                <w:bCs/>
                <w:sz w:val="16"/>
                <w:szCs w:val="16"/>
                <w:rtl/>
              </w:rPr>
            </w:pPr>
            <w:r w:rsidRPr="004F59A7">
              <w:rPr>
                <w:b/>
                <w:bCs/>
                <w:sz w:val="16"/>
                <w:szCs w:val="16"/>
                <w:rtl/>
              </w:rPr>
              <w:t>31  בדצמבר</w:t>
            </w:r>
            <w:r w:rsidRPr="00BF2D3B">
              <w:rPr>
                <w:b/>
                <w:bCs/>
                <w:sz w:val="16"/>
                <w:szCs w:val="16"/>
                <w:rtl/>
              </w:rPr>
              <w:t xml:space="preserve"> </w:t>
            </w:r>
            <w:r w:rsidRPr="00BF2D3B">
              <w:rPr>
                <w:b/>
                <w:bCs/>
                <w:sz w:val="16"/>
                <w:szCs w:val="16"/>
                <w:rtl/>
              </w:rPr>
              <w:fldChar w:fldCharType="begin"/>
            </w:r>
            <w:r w:rsidRPr="00BF2D3B">
              <w:rPr>
                <w:b/>
                <w:bCs/>
                <w:sz w:val="16"/>
                <w:szCs w:val="16"/>
                <w:rtl/>
              </w:rPr>
              <w:instrText xml:space="preserve"> = </w:instrText>
            </w:r>
            <w:r w:rsidRPr="00BF2D3B">
              <w:rPr>
                <w:b/>
                <w:bCs/>
                <w:sz w:val="16"/>
                <w:szCs w:val="16"/>
              </w:rPr>
              <w:instrText>CY</w:instrText>
            </w:r>
            <w:r>
              <w:rPr>
                <w:b/>
                <w:bCs/>
                <w:sz w:val="16"/>
                <w:szCs w:val="16"/>
              </w:rPr>
              <w:instrText>-1</w:instrText>
            </w:r>
            <w:r w:rsidRPr="00BF2D3B">
              <w:rPr>
                <w:b/>
                <w:bCs/>
                <w:sz w:val="16"/>
                <w:szCs w:val="16"/>
              </w:rPr>
              <w:instrText xml:space="preserve"> \* MERGEFORMAT</w:instrText>
            </w:r>
            <w:r w:rsidRPr="00BF2D3B">
              <w:rPr>
                <w:b/>
                <w:bCs/>
                <w:sz w:val="16"/>
                <w:szCs w:val="16"/>
                <w:rtl/>
              </w:rPr>
              <w:instrText xml:space="preserve"> </w:instrText>
            </w:r>
            <w:r w:rsidRPr="00BF2D3B">
              <w:rPr>
                <w:b/>
                <w:bCs/>
                <w:sz w:val="16"/>
                <w:szCs w:val="16"/>
                <w:rtl/>
              </w:rPr>
              <w:fldChar w:fldCharType="separate"/>
            </w:r>
            <w:r>
              <w:rPr>
                <w:b/>
                <w:bCs/>
                <w:noProof/>
                <w:sz w:val="16"/>
                <w:szCs w:val="16"/>
                <w:rtl/>
              </w:rPr>
              <w:t>2023</w:t>
            </w:r>
            <w:r w:rsidRPr="00BF2D3B">
              <w:rPr>
                <w:b/>
                <w:bCs/>
                <w:sz w:val="16"/>
                <w:szCs w:val="16"/>
                <w:rtl/>
              </w:rPr>
              <w:fldChar w:fldCharType="end"/>
            </w:r>
          </w:p>
        </w:tc>
        <w:tc>
          <w:tcPr>
            <w:tcW w:w="1702" w:type="dxa"/>
            <w:vMerge w:val="restart"/>
            <w:shd w:val="clear" w:color="auto" w:fill="auto"/>
            <w:tcMar>
              <w:left w:w="108" w:type="dxa"/>
              <w:right w:w="108" w:type="dxa"/>
            </w:tcMar>
            <w:vAlign w:val="bottom"/>
          </w:tcPr>
          <w:p w14:paraId="43A5E6CF" w14:textId="42C025C8" w:rsidR="00A67167" w:rsidRPr="00BF2D3B" w:rsidRDefault="00A67167" w:rsidP="00F04877">
            <w:pPr>
              <w:pBdr>
                <w:bottom w:val="single" w:sz="4" w:space="1" w:color="auto"/>
              </w:pBdr>
              <w:spacing w:line="192" w:lineRule="auto"/>
              <w:jc w:val="center"/>
              <w:rPr>
                <w:b/>
                <w:bCs/>
                <w:sz w:val="16"/>
                <w:szCs w:val="16"/>
                <w:rtl/>
              </w:rPr>
            </w:pPr>
            <w:r w:rsidRPr="00BF2D3B">
              <w:rPr>
                <w:rFonts w:hint="eastAsia"/>
                <w:b/>
                <w:bCs/>
                <w:sz w:val="16"/>
                <w:szCs w:val="16"/>
                <w:rtl/>
              </w:rPr>
              <w:t>רווחים</w:t>
            </w:r>
            <w:r w:rsidRPr="00BF2D3B">
              <w:rPr>
                <w:b/>
                <w:bCs/>
                <w:sz w:val="16"/>
                <w:szCs w:val="16"/>
                <w:rtl/>
              </w:rPr>
              <w:t xml:space="preserve"> (הפסדים) לתקופה שטרם </w:t>
            </w:r>
            <w:r w:rsidRPr="00BF2D3B">
              <w:rPr>
                <w:rFonts w:hint="cs"/>
                <w:b/>
                <w:bCs/>
                <w:sz w:val="16"/>
                <w:szCs w:val="16"/>
                <w:rtl/>
              </w:rPr>
              <w:t>מומשו בגין</w:t>
            </w:r>
            <w:r w:rsidRPr="00BF2D3B">
              <w:rPr>
                <w:b/>
                <w:bCs/>
                <w:sz w:val="16"/>
                <w:szCs w:val="16"/>
                <w:rtl/>
              </w:rPr>
              <w:t xml:space="preserve"> </w:t>
            </w:r>
            <w:r w:rsidRPr="00BF2D3B">
              <w:rPr>
                <w:rFonts w:hint="eastAsia"/>
                <w:b/>
                <w:bCs/>
                <w:sz w:val="16"/>
                <w:szCs w:val="16"/>
                <w:rtl/>
              </w:rPr>
              <w:t>מכשירים</w:t>
            </w:r>
            <w:r w:rsidRPr="00BF2D3B">
              <w:rPr>
                <w:b/>
                <w:bCs/>
                <w:sz w:val="16"/>
                <w:szCs w:val="16"/>
                <w:rtl/>
              </w:rPr>
              <w:t xml:space="preserve"> </w:t>
            </w:r>
            <w:r w:rsidRPr="00BF2D3B">
              <w:rPr>
                <w:rFonts w:hint="eastAsia"/>
                <w:b/>
                <w:bCs/>
                <w:sz w:val="16"/>
                <w:szCs w:val="16"/>
                <w:rtl/>
              </w:rPr>
              <w:t>המוחזקים</w:t>
            </w:r>
            <w:r w:rsidRPr="00BF2D3B">
              <w:rPr>
                <w:b/>
                <w:bCs/>
                <w:sz w:val="16"/>
                <w:szCs w:val="16"/>
                <w:rtl/>
              </w:rPr>
              <w:t xml:space="preserve"> </w:t>
            </w:r>
            <w:r w:rsidRPr="00BF2D3B">
              <w:rPr>
                <w:rFonts w:hint="eastAsia"/>
                <w:b/>
                <w:bCs/>
                <w:sz w:val="16"/>
                <w:szCs w:val="16"/>
                <w:rtl/>
              </w:rPr>
              <w:t>ליום</w:t>
            </w:r>
            <w:r w:rsidRPr="00BF2D3B">
              <w:rPr>
                <w:b/>
                <w:bCs/>
                <w:sz w:val="16"/>
                <w:szCs w:val="16"/>
                <w:rtl/>
              </w:rPr>
              <w:t xml:space="preserve"> </w:t>
            </w:r>
            <w:r w:rsidRPr="004F59A7">
              <w:rPr>
                <w:b/>
                <w:bCs/>
                <w:sz w:val="16"/>
                <w:szCs w:val="16"/>
                <w:rtl/>
              </w:rPr>
              <w:t>31  בדצמבר</w:t>
            </w:r>
            <w:r w:rsidRPr="00BF2D3B">
              <w:rPr>
                <w:b/>
                <w:bCs/>
                <w:sz w:val="16"/>
                <w:szCs w:val="16"/>
                <w:rtl/>
              </w:rPr>
              <w:t xml:space="preserve"> </w:t>
            </w:r>
            <w:r w:rsidRPr="00BF2D3B">
              <w:rPr>
                <w:b/>
                <w:bCs/>
                <w:sz w:val="16"/>
                <w:szCs w:val="16"/>
                <w:rtl/>
              </w:rPr>
              <w:fldChar w:fldCharType="begin"/>
            </w:r>
            <w:r w:rsidRPr="00BF2D3B">
              <w:rPr>
                <w:b/>
                <w:bCs/>
                <w:sz w:val="16"/>
                <w:szCs w:val="16"/>
                <w:rtl/>
              </w:rPr>
              <w:instrText xml:space="preserve"> = </w:instrText>
            </w:r>
            <w:r w:rsidRPr="00BF2D3B">
              <w:rPr>
                <w:b/>
                <w:bCs/>
                <w:sz w:val="16"/>
                <w:szCs w:val="16"/>
              </w:rPr>
              <w:instrText>CY</w:instrText>
            </w:r>
            <w:r>
              <w:rPr>
                <w:b/>
                <w:bCs/>
                <w:sz w:val="16"/>
                <w:szCs w:val="16"/>
              </w:rPr>
              <w:instrText>-1</w:instrText>
            </w:r>
            <w:r w:rsidRPr="00BF2D3B">
              <w:rPr>
                <w:b/>
                <w:bCs/>
                <w:sz w:val="16"/>
                <w:szCs w:val="16"/>
              </w:rPr>
              <w:instrText xml:space="preserve"> \* MERGEFORMAT</w:instrText>
            </w:r>
            <w:r w:rsidRPr="00BF2D3B">
              <w:rPr>
                <w:b/>
                <w:bCs/>
                <w:sz w:val="16"/>
                <w:szCs w:val="16"/>
                <w:rtl/>
              </w:rPr>
              <w:instrText xml:space="preserve"> </w:instrText>
            </w:r>
            <w:r w:rsidRPr="00BF2D3B">
              <w:rPr>
                <w:b/>
                <w:bCs/>
                <w:sz w:val="16"/>
                <w:szCs w:val="16"/>
                <w:rtl/>
              </w:rPr>
              <w:fldChar w:fldCharType="separate"/>
            </w:r>
            <w:r>
              <w:rPr>
                <w:b/>
                <w:bCs/>
                <w:noProof/>
                <w:sz w:val="16"/>
                <w:szCs w:val="16"/>
                <w:rtl/>
              </w:rPr>
              <w:t>2023</w:t>
            </w:r>
            <w:r w:rsidRPr="00BF2D3B">
              <w:rPr>
                <w:b/>
                <w:bCs/>
                <w:sz w:val="16"/>
                <w:szCs w:val="16"/>
                <w:rtl/>
              </w:rPr>
              <w:fldChar w:fldCharType="end"/>
            </w:r>
          </w:p>
        </w:tc>
      </w:tr>
      <w:tr w:rsidR="00A67167" w:rsidRPr="00543C25" w14:paraId="3F69DFFA" w14:textId="77777777" w:rsidTr="00F04877">
        <w:trPr>
          <w:trHeight w:val="440"/>
        </w:trPr>
        <w:tc>
          <w:tcPr>
            <w:tcW w:w="1560" w:type="dxa"/>
            <w:tcBorders>
              <w:right w:val="nil"/>
            </w:tcBorders>
            <w:shd w:val="clear" w:color="auto" w:fill="auto"/>
          </w:tcPr>
          <w:p w14:paraId="2E6A32D7" w14:textId="77777777" w:rsidR="00A67167" w:rsidRPr="003425A3" w:rsidRDefault="00A67167" w:rsidP="00F04877">
            <w:pPr>
              <w:pStyle w:val="-0"/>
              <w:rPr>
                <w:sz w:val="16"/>
                <w:szCs w:val="16"/>
                <w:rtl/>
              </w:rPr>
            </w:pPr>
          </w:p>
        </w:tc>
        <w:tc>
          <w:tcPr>
            <w:tcW w:w="3122" w:type="dxa"/>
            <w:tcBorders>
              <w:left w:val="nil"/>
              <w:bottom w:val="nil"/>
            </w:tcBorders>
            <w:shd w:val="clear" w:color="auto" w:fill="auto"/>
            <w:vAlign w:val="bottom"/>
          </w:tcPr>
          <w:p w14:paraId="3B2D3EF1" w14:textId="77777777" w:rsidR="00A67167" w:rsidRPr="00046EFB" w:rsidRDefault="00A67167" w:rsidP="00F04877">
            <w:pPr>
              <w:pStyle w:val="-0"/>
              <w:spacing w:line="192" w:lineRule="auto"/>
              <w:rPr>
                <w:sz w:val="17"/>
                <w:szCs w:val="17"/>
                <w:rtl/>
              </w:rPr>
            </w:pPr>
          </w:p>
        </w:tc>
        <w:tc>
          <w:tcPr>
            <w:tcW w:w="850" w:type="dxa"/>
            <w:vMerge/>
            <w:shd w:val="clear" w:color="auto" w:fill="auto"/>
            <w:tcMar>
              <w:left w:w="43" w:type="dxa"/>
              <w:right w:w="43" w:type="dxa"/>
            </w:tcMar>
            <w:vAlign w:val="bottom"/>
          </w:tcPr>
          <w:p w14:paraId="51D47F69" w14:textId="77777777" w:rsidR="00A67167" w:rsidRDefault="00A67167" w:rsidP="00F04877">
            <w:pPr>
              <w:pBdr>
                <w:bottom w:val="single" w:sz="4" w:space="1" w:color="auto"/>
              </w:pBdr>
              <w:spacing w:line="192" w:lineRule="auto"/>
              <w:ind w:left="57" w:right="57"/>
              <w:jc w:val="center"/>
              <w:rPr>
                <w:b/>
                <w:bCs/>
                <w:sz w:val="17"/>
                <w:szCs w:val="17"/>
                <w:rtl/>
              </w:rPr>
            </w:pPr>
          </w:p>
        </w:tc>
        <w:tc>
          <w:tcPr>
            <w:tcW w:w="891" w:type="dxa"/>
            <w:shd w:val="clear" w:color="auto" w:fill="auto"/>
            <w:tcMar>
              <w:left w:w="43" w:type="dxa"/>
              <w:right w:w="43" w:type="dxa"/>
            </w:tcMar>
            <w:vAlign w:val="bottom"/>
          </w:tcPr>
          <w:p w14:paraId="6028D382" w14:textId="77777777" w:rsidR="00A67167" w:rsidRPr="00BF2D3B" w:rsidRDefault="00A6716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בדוח</w:t>
            </w:r>
            <w:r w:rsidRPr="00BF2D3B">
              <w:rPr>
                <w:b/>
                <w:bCs/>
                <w:sz w:val="16"/>
                <w:szCs w:val="16"/>
                <w:rtl/>
              </w:rPr>
              <w:t xml:space="preserve"> </w:t>
            </w:r>
            <w:r w:rsidRPr="00BF2D3B">
              <w:rPr>
                <w:rFonts w:hint="eastAsia"/>
                <w:b/>
                <w:bCs/>
                <w:sz w:val="16"/>
                <w:szCs w:val="16"/>
                <w:rtl/>
              </w:rPr>
              <w:t>רווח</w:t>
            </w:r>
            <w:r w:rsidRPr="00BF2D3B">
              <w:rPr>
                <w:b/>
                <w:bCs/>
                <w:sz w:val="16"/>
                <w:szCs w:val="16"/>
                <w:rtl/>
              </w:rPr>
              <w:t xml:space="preserve"> </w:t>
            </w:r>
            <w:r w:rsidRPr="00BF2D3B">
              <w:rPr>
                <w:rFonts w:hint="eastAsia"/>
                <w:b/>
                <w:bCs/>
                <w:sz w:val="16"/>
                <w:szCs w:val="16"/>
                <w:rtl/>
              </w:rPr>
              <w:t>והפסד</w:t>
            </w:r>
          </w:p>
        </w:tc>
        <w:tc>
          <w:tcPr>
            <w:tcW w:w="939" w:type="dxa"/>
            <w:shd w:val="clear" w:color="auto" w:fill="auto"/>
            <w:tcMar>
              <w:left w:w="43" w:type="dxa"/>
              <w:right w:w="43" w:type="dxa"/>
            </w:tcMar>
            <w:vAlign w:val="bottom"/>
          </w:tcPr>
          <w:p w14:paraId="1946FF71" w14:textId="77777777" w:rsidR="00A67167" w:rsidRPr="00BF2D3B" w:rsidRDefault="00A6716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ברווח</w:t>
            </w:r>
            <w:r w:rsidRPr="00BF2D3B">
              <w:rPr>
                <w:b/>
                <w:bCs/>
                <w:sz w:val="16"/>
                <w:szCs w:val="16"/>
                <w:rtl/>
              </w:rPr>
              <w:t xml:space="preserve"> </w:t>
            </w:r>
            <w:r w:rsidRPr="00BF2D3B">
              <w:rPr>
                <w:rFonts w:hint="eastAsia"/>
                <w:b/>
                <w:bCs/>
                <w:sz w:val="16"/>
                <w:szCs w:val="16"/>
                <w:rtl/>
              </w:rPr>
              <w:t>כולל</w:t>
            </w:r>
            <w:r w:rsidRPr="00BF2D3B">
              <w:rPr>
                <w:b/>
                <w:bCs/>
                <w:sz w:val="16"/>
                <w:szCs w:val="16"/>
                <w:rtl/>
              </w:rPr>
              <w:t xml:space="preserve"> </w:t>
            </w:r>
            <w:r w:rsidRPr="00BF2D3B">
              <w:rPr>
                <w:rFonts w:hint="eastAsia"/>
                <w:b/>
                <w:bCs/>
                <w:sz w:val="16"/>
                <w:szCs w:val="16"/>
                <w:rtl/>
              </w:rPr>
              <w:t>אחר</w:t>
            </w:r>
            <w:r w:rsidRPr="00BF2D3B">
              <w:rPr>
                <w:b/>
                <w:bCs/>
                <w:sz w:val="16"/>
                <w:szCs w:val="16"/>
                <w:rtl/>
              </w:rPr>
              <w:t xml:space="preserve"> (בהון)</w:t>
            </w:r>
          </w:p>
        </w:tc>
        <w:tc>
          <w:tcPr>
            <w:tcW w:w="705" w:type="dxa"/>
            <w:shd w:val="clear" w:color="auto" w:fill="auto"/>
            <w:tcMar>
              <w:left w:w="43" w:type="dxa"/>
              <w:right w:w="43" w:type="dxa"/>
            </w:tcMar>
            <w:vAlign w:val="bottom"/>
          </w:tcPr>
          <w:p w14:paraId="53C24407" w14:textId="77777777" w:rsidR="00A67167" w:rsidRPr="00BF2D3B" w:rsidRDefault="00A6716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רכישות</w:t>
            </w:r>
          </w:p>
        </w:tc>
        <w:tc>
          <w:tcPr>
            <w:tcW w:w="829" w:type="dxa"/>
            <w:shd w:val="clear" w:color="auto" w:fill="auto"/>
            <w:tcMar>
              <w:left w:w="43" w:type="dxa"/>
              <w:right w:w="43" w:type="dxa"/>
            </w:tcMar>
            <w:vAlign w:val="bottom"/>
          </w:tcPr>
          <w:p w14:paraId="5EB8A04D" w14:textId="77777777" w:rsidR="00A67167" w:rsidRPr="00BF2D3B" w:rsidRDefault="00A67167" w:rsidP="00F04877">
            <w:pPr>
              <w:pBdr>
                <w:bottom w:val="single" w:sz="4" w:space="1" w:color="auto"/>
              </w:pBdr>
              <w:spacing w:line="192" w:lineRule="auto"/>
              <w:ind w:left="28" w:right="28"/>
              <w:jc w:val="center"/>
              <w:rPr>
                <w:b/>
                <w:bCs/>
                <w:sz w:val="16"/>
                <w:szCs w:val="16"/>
                <w:rtl/>
              </w:rPr>
            </w:pPr>
            <w:r w:rsidRPr="00BF2D3B">
              <w:rPr>
                <w:rFonts w:hint="eastAsia"/>
                <w:b/>
                <w:bCs/>
                <w:sz w:val="16"/>
                <w:szCs w:val="16"/>
                <w:rtl/>
              </w:rPr>
              <w:t>הנפקות</w:t>
            </w:r>
          </w:p>
        </w:tc>
        <w:tc>
          <w:tcPr>
            <w:tcW w:w="704" w:type="dxa"/>
            <w:shd w:val="clear" w:color="auto" w:fill="auto"/>
            <w:tcMar>
              <w:left w:w="43" w:type="dxa"/>
              <w:right w:w="43" w:type="dxa"/>
            </w:tcMar>
            <w:vAlign w:val="bottom"/>
          </w:tcPr>
          <w:p w14:paraId="6BEA890E" w14:textId="77777777" w:rsidR="00A67167" w:rsidRPr="00BF2D3B" w:rsidRDefault="00A6716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מכירות</w:t>
            </w:r>
          </w:p>
        </w:tc>
        <w:tc>
          <w:tcPr>
            <w:tcW w:w="747" w:type="dxa"/>
            <w:shd w:val="clear" w:color="auto" w:fill="auto"/>
            <w:tcMar>
              <w:left w:w="43" w:type="dxa"/>
              <w:right w:w="43" w:type="dxa"/>
            </w:tcMar>
            <w:vAlign w:val="bottom"/>
          </w:tcPr>
          <w:p w14:paraId="1F98CB2F" w14:textId="77777777" w:rsidR="00A67167" w:rsidRPr="00BF2D3B" w:rsidRDefault="00A6716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סילוקים</w:t>
            </w:r>
          </w:p>
        </w:tc>
        <w:tc>
          <w:tcPr>
            <w:tcW w:w="673" w:type="dxa"/>
            <w:shd w:val="clear" w:color="auto" w:fill="auto"/>
            <w:tcMar>
              <w:left w:w="43" w:type="dxa"/>
              <w:right w:w="43" w:type="dxa"/>
            </w:tcMar>
            <w:vAlign w:val="bottom"/>
          </w:tcPr>
          <w:p w14:paraId="43B78F88" w14:textId="77777777" w:rsidR="00A67167" w:rsidRPr="00BF2D3B" w:rsidRDefault="00A67167" w:rsidP="00F04877">
            <w:pPr>
              <w:pBdr>
                <w:bottom w:val="single" w:sz="4" w:space="1" w:color="auto"/>
              </w:pBdr>
              <w:spacing w:line="192" w:lineRule="auto"/>
              <w:ind w:left="57" w:right="57"/>
              <w:jc w:val="center"/>
              <w:rPr>
                <w:b/>
                <w:bCs/>
                <w:sz w:val="16"/>
                <w:szCs w:val="16"/>
                <w:rtl/>
              </w:rPr>
            </w:pPr>
            <w:r w:rsidRPr="00BF2D3B">
              <w:rPr>
                <w:rFonts w:hint="cs"/>
                <w:b/>
                <w:bCs/>
                <w:sz w:val="16"/>
                <w:szCs w:val="16"/>
                <w:rtl/>
              </w:rPr>
              <w:t>אל</w:t>
            </w:r>
            <w:r w:rsidRPr="00BF2D3B">
              <w:rPr>
                <w:b/>
                <w:bCs/>
                <w:sz w:val="16"/>
                <w:szCs w:val="16"/>
                <w:rtl/>
              </w:rPr>
              <w:br/>
            </w:r>
            <w:r w:rsidRPr="00BF2D3B">
              <w:rPr>
                <w:rFonts w:hint="eastAsia"/>
                <w:b/>
                <w:bCs/>
                <w:sz w:val="16"/>
                <w:szCs w:val="16"/>
                <w:rtl/>
              </w:rPr>
              <w:t>רמה</w:t>
            </w:r>
            <w:r w:rsidRPr="00BF2D3B">
              <w:rPr>
                <w:b/>
                <w:bCs/>
                <w:sz w:val="16"/>
                <w:szCs w:val="16"/>
                <w:rtl/>
              </w:rPr>
              <w:t xml:space="preserve"> 3</w:t>
            </w:r>
          </w:p>
        </w:tc>
        <w:tc>
          <w:tcPr>
            <w:tcW w:w="752" w:type="dxa"/>
            <w:shd w:val="clear" w:color="auto" w:fill="auto"/>
            <w:tcMar>
              <w:left w:w="43" w:type="dxa"/>
              <w:right w:w="43" w:type="dxa"/>
            </w:tcMar>
            <w:vAlign w:val="bottom"/>
          </w:tcPr>
          <w:p w14:paraId="740A3CDA" w14:textId="77777777" w:rsidR="00A67167" w:rsidRPr="00BF2D3B" w:rsidRDefault="00A67167" w:rsidP="00F04877">
            <w:pPr>
              <w:pBdr>
                <w:bottom w:val="single" w:sz="4" w:space="1" w:color="auto"/>
              </w:pBdr>
              <w:spacing w:line="192" w:lineRule="auto"/>
              <w:ind w:left="57" w:right="57"/>
              <w:jc w:val="center"/>
              <w:rPr>
                <w:b/>
                <w:bCs/>
                <w:sz w:val="16"/>
                <w:szCs w:val="16"/>
                <w:rtl/>
              </w:rPr>
            </w:pPr>
            <w:r w:rsidRPr="00BF2D3B">
              <w:rPr>
                <w:rFonts w:hint="eastAsia"/>
                <w:b/>
                <w:bCs/>
                <w:sz w:val="16"/>
                <w:szCs w:val="16"/>
                <w:rtl/>
              </w:rPr>
              <w:t>מרמה</w:t>
            </w:r>
            <w:r w:rsidRPr="00BF2D3B">
              <w:rPr>
                <w:b/>
                <w:bCs/>
                <w:sz w:val="16"/>
                <w:szCs w:val="16"/>
                <w:rtl/>
              </w:rPr>
              <w:t xml:space="preserve"> 3</w:t>
            </w:r>
          </w:p>
        </w:tc>
        <w:tc>
          <w:tcPr>
            <w:tcW w:w="997" w:type="dxa"/>
            <w:vMerge/>
            <w:shd w:val="clear" w:color="auto" w:fill="auto"/>
            <w:vAlign w:val="bottom"/>
          </w:tcPr>
          <w:p w14:paraId="47CD7F57" w14:textId="77777777" w:rsidR="00A67167" w:rsidRPr="00BF2D3B" w:rsidRDefault="00A67167" w:rsidP="00F04877">
            <w:pPr>
              <w:pBdr>
                <w:bottom w:val="single" w:sz="4" w:space="1" w:color="auto"/>
              </w:pBdr>
              <w:spacing w:line="192" w:lineRule="auto"/>
              <w:ind w:left="57" w:right="57"/>
              <w:jc w:val="center"/>
              <w:rPr>
                <w:b/>
                <w:bCs/>
                <w:sz w:val="16"/>
                <w:szCs w:val="16"/>
                <w:rtl/>
              </w:rPr>
            </w:pPr>
          </w:p>
        </w:tc>
        <w:tc>
          <w:tcPr>
            <w:tcW w:w="988" w:type="dxa"/>
            <w:vMerge/>
            <w:shd w:val="clear" w:color="auto" w:fill="auto"/>
            <w:tcMar>
              <w:left w:w="43" w:type="dxa"/>
              <w:right w:w="43" w:type="dxa"/>
            </w:tcMar>
            <w:vAlign w:val="bottom"/>
          </w:tcPr>
          <w:p w14:paraId="319B0818" w14:textId="77777777" w:rsidR="00A67167" w:rsidRPr="00BF2D3B" w:rsidRDefault="00A67167" w:rsidP="00F04877">
            <w:pPr>
              <w:pBdr>
                <w:bottom w:val="single" w:sz="4" w:space="1" w:color="auto"/>
              </w:pBdr>
              <w:spacing w:line="192" w:lineRule="auto"/>
              <w:ind w:left="57" w:right="57"/>
              <w:jc w:val="center"/>
              <w:rPr>
                <w:b/>
                <w:bCs/>
                <w:sz w:val="16"/>
                <w:szCs w:val="16"/>
                <w:rtl/>
              </w:rPr>
            </w:pPr>
          </w:p>
        </w:tc>
        <w:tc>
          <w:tcPr>
            <w:tcW w:w="1702" w:type="dxa"/>
            <w:vMerge/>
            <w:shd w:val="clear" w:color="auto" w:fill="auto"/>
            <w:tcMar>
              <w:left w:w="29" w:type="dxa"/>
              <w:right w:w="29" w:type="dxa"/>
            </w:tcMar>
            <w:vAlign w:val="bottom"/>
          </w:tcPr>
          <w:p w14:paraId="2392523E" w14:textId="77777777" w:rsidR="00A67167" w:rsidRPr="00BF2D3B" w:rsidRDefault="00A67167" w:rsidP="00F04877">
            <w:pPr>
              <w:spacing w:line="192" w:lineRule="auto"/>
              <w:ind w:left="57" w:right="57"/>
              <w:jc w:val="center"/>
              <w:rPr>
                <w:b/>
                <w:bCs/>
                <w:sz w:val="16"/>
                <w:szCs w:val="16"/>
                <w:rtl/>
              </w:rPr>
            </w:pPr>
          </w:p>
        </w:tc>
      </w:tr>
      <w:tr w:rsidR="00A67167" w:rsidRPr="00543C25" w14:paraId="749D9509" w14:textId="77777777" w:rsidTr="00F04877">
        <w:trPr>
          <w:trHeight w:val="215"/>
        </w:trPr>
        <w:tc>
          <w:tcPr>
            <w:tcW w:w="1560" w:type="dxa"/>
            <w:tcBorders>
              <w:right w:val="nil"/>
            </w:tcBorders>
            <w:shd w:val="clear" w:color="auto" w:fill="auto"/>
          </w:tcPr>
          <w:p w14:paraId="5BC25049" w14:textId="77777777" w:rsidR="00A67167" w:rsidRPr="003425A3" w:rsidRDefault="00A67167" w:rsidP="00F04877">
            <w:pPr>
              <w:pStyle w:val="-f"/>
              <w:rPr>
                <w:sz w:val="16"/>
                <w:szCs w:val="16"/>
                <w:rtl/>
              </w:rPr>
            </w:pPr>
          </w:p>
        </w:tc>
        <w:tc>
          <w:tcPr>
            <w:tcW w:w="3122" w:type="dxa"/>
            <w:tcBorders>
              <w:top w:val="nil"/>
              <w:left w:val="nil"/>
              <w:bottom w:val="nil"/>
              <w:right w:val="nil"/>
            </w:tcBorders>
            <w:shd w:val="clear" w:color="auto" w:fill="auto"/>
            <w:vAlign w:val="bottom"/>
          </w:tcPr>
          <w:p w14:paraId="488EF1E3" w14:textId="77777777" w:rsidR="00A67167" w:rsidRDefault="00A67167" w:rsidP="00F04877">
            <w:pPr>
              <w:pStyle w:val="-f"/>
              <w:ind w:left="560" w:hanging="235"/>
              <w:rPr>
                <w:sz w:val="17"/>
                <w:szCs w:val="17"/>
                <w:rtl/>
              </w:rPr>
            </w:pPr>
            <w:r w:rsidRPr="00AE5815">
              <w:rPr>
                <w:rFonts w:hint="cs"/>
                <w:sz w:val="16"/>
                <w:szCs w:val="16"/>
                <w:rtl/>
              </w:rPr>
              <w:t>נכסים</w:t>
            </w:r>
          </w:p>
        </w:tc>
        <w:tc>
          <w:tcPr>
            <w:tcW w:w="850" w:type="dxa"/>
            <w:shd w:val="clear" w:color="auto" w:fill="auto"/>
            <w:vAlign w:val="bottom"/>
          </w:tcPr>
          <w:p w14:paraId="2EE2647D" w14:textId="77777777" w:rsidR="00A67167" w:rsidRPr="00046EFB" w:rsidRDefault="00A67167" w:rsidP="00F04877">
            <w:pPr>
              <w:pStyle w:val="-0"/>
              <w:ind w:left="0" w:firstLine="0"/>
              <w:rPr>
                <w:sz w:val="17"/>
                <w:szCs w:val="17"/>
                <w:rtl/>
              </w:rPr>
            </w:pPr>
          </w:p>
        </w:tc>
        <w:tc>
          <w:tcPr>
            <w:tcW w:w="891" w:type="dxa"/>
            <w:shd w:val="clear" w:color="auto" w:fill="auto"/>
            <w:vAlign w:val="bottom"/>
          </w:tcPr>
          <w:p w14:paraId="3E35CCC7" w14:textId="77777777" w:rsidR="00A67167" w:rsidRPr="00046EFB" w:rsidRDefault="00A67167" w:rsidP="00F04877">
            <w:pPr>
              <w:pStyle w:val="-3"/>
              <w:rPr>
                <w:sz w:val="17"/>
                <w:szCs w:val="17"/>
                <w:rtl/>
              </w:rPr>
            </w:pPr>
          </w:p>
        </w:tc>
        <w:tc>
          <w:tcPr>
            <w:tcW w:w="939" w:type="dxa"/>
            <w:shd w:val="clear" w:color="auto" w:fill="auto"/>
            <w:vAlign w:val="bottom"/>
          </w:tcPr>
          <w:p w14:paraId="30FDBF11" w14:textId="77777777" w:rsidR="00A67167" w:rsidRPr="00046EFB" w:rsidRDefault="00A67167" w:rsidP="00F04877">
            <w:pPr>
              <w:pStyle w:val="-3"/>
              <w:rPr>
                <w:sz w:val="17"/>
                <w:szCs w:val="17"/>
                <w:rtl/>
              </w:rPr>
            </w:pPr>
          </w:p>
        </w:tc>
        <w:tc>
          <w:tcPr>
            <w:tcW w:w="705" w:type="dxa"/>
            <w:shd w:val="clear" w:color="auto" w:fill="auto"/>
            <w:vAlign w:val="bottom"/>
          </w:tcPr>
          <w:p w14:paraId="1197C1AD" w14:textId="77777777" w:rsidR="00A67167" w:rsidRPr="00046EFB" w:rsidRDefault="00A67167" w:rsidP="00F04877">
            <w:pPr>
              <w:pStyle w:val="-3"/>
              <w:rPr>
                <w:sz w:val="17"/>
                <w:szCs w:val="17"/>
                <w:rtl/>
              </w:rPr>
            </w:pPr>
          </w:p>
        </w:tc>
        <w:tc>
          <w:tcPr>
            <w:tcW w:w="829" w:type="dxa"/>
            <w:shd w:val="clear" w:color="auto" w:fill="auto"/>
            <w:vAlign w:val="bottom"/>
          </w:tcPr>
          <w:p w14:paraId="05EDBCCE" w14:textId="77777777" w:rsidR="00A67167" w:rsidRPr="00046EFB" w:rsidRDefault="00A67167" w:rsidP="00F04877">
            <w:pPr>
              <w:pStyle w:val="-3"/>
              <w:rPr>
                <w:sz w:val="17"/>
                <w:szCs w:val="17"/>
                <w:rtl/>
              </w:rPr>
            </w:pPr>
          </w:p>
        </w:tc>
        <w:tc>
          <w:tcPr>
            <w:tcW w:w="704" w:type="dxa"/>
            <w:shd w:val="clear" w:color="auto" w:fill="auto"/>
            <w:vAlign w:val="bottom"/>
          </w:tcPr>
          <w:p w14:paraId="0C70CBBC" w14:textId="77777777" w:rsidR="00A67167" w:rsidRPr="00046EFB" w:rsidRDefault="00A67167" w:rsidP="00F04877">
            <w:pPr>
              <w:pStyle w:val="-3"/>
              <w:rPr>
                <w:sz w:val="17"/>
                <w:szCs w:val="17"/>
                <w:rtl/>
              </w:rPr>
            </w:pPr>
          </w:p>
        </w:tc>
        <w:tc>
          <w:tcPr>
            <w:tcW w:w="747" w:type="dxa"/>
            <w:shd w:val="clear" w:color="auto" w:fill="auto"/>
            <w:vAlign w:val="bottom"/>
          </w:tcPr>
          <w:p w14:paraId="5E4494CE" w14:textId="77777777" w:rsidR="00A67167" w:rsidRPr="00046EFB" w:rsidRDefault="00A67167" w:rsidP="00F04877">
            <w:pPr>
              <w:pStyle w:val="-3"/>
              <w:rPr>
                <w:sz w:val="17"/>
                <w:szCs w:val="17"/>
                <w:rtl/>
              </w:rPr>
            </w:pPr>
          </w:p>
        </w:tc>
        <w:tc>
          <w:tcPr>
            <w:tcW w:w="673" w:type="dxa"/>
            <w:shd w:val="clear" w:color="auto" w:fill="auto"/>
            <w:vAlign w:val="bottom"/>
          </w:tcPr>
          <w:p w14:paraId="080D94CE" w14:textId="77777777" w:rsidR="00A67167" w:rsidRPr="00046EFB" w:rsidRDefault="00A67167" w:rsidP="00F04877">
            <w:pPr>
              <w:pStyle w:val="-3"/>
              <w:rPr>
                <w:sz w:val="17"/>
                <w:szCs w:val="17"/>
                <w:rtl/>
              </w:rPr>
            </w:pPr>
          </w:p>
        </w:tc>
        <w:tc>
          <w:tcPr>
            <w:tcW w:w="752" w:type="dxa"/>
            <w:shd w:val="clear" w:color="auto" w:fill="auto"/>
            <w:vAlign w:val="bottom"/>
          </w:tcPr>
          <w:p w14:paraId="0C1260E1" w14:textId="77777777" w:rsidR="00A67167" w:rsidRPr="00046EFB" w:rsidRDefault="00A67167" w:rsidP="00F04877">
            <w:pPr>
              <w:pStyle w:val="-3"/>
              <w:rPr>
                <w:sz w:val="17"/>
                <w:szCs w:val="17"/>
                <w:rtl/>
              </w:rPr>
            </w:pPr>
          </w:p>
        </w:tc>
        <w:tc>
          <w:tcPr>
            <w:tcW w:w="997" w:type="dxa"/>
            <w:shd w:val="clear" w:color="auto" w:fill="auto"/>
            <w:vAlign w:val="bottom"/>
          </w:tcPr>
          <w:p w14:paraId="381B5A80" w14:textId="77777777" w:rsidR="00A67167" w:rsidRPr="00046EFB" w:rsidRDefault="00A67167" w:rsidP="00F04877">
            <w:pPr>
              <w:pStyle w:val="-3"/>
              <w:rPr>
                <w:sz w:val="17"/>
                <w:szCs w:val="17"/>
                <w:rtl/>
              </w:rPr>
            </w:pPr>
          </w:p>
        </w:tc>
        <w:tc>
          <w:tcPr>
            <w:tcW w:w="988" w:type="dxa"/>
            <w:shd w:val="clear" w:color="auto" w:fill="auto"/>
            <w:vAlign w:val="bottom"/>
          </w:tcPr>
          <w:p w14:paraId="0C6BB446" w14:textId="77777777" w:rsidR="00A67167" w:rsidRPr="00046EFB" w:rsidRDefault="00A67167" w:rsidP="00F04877">
            <w:pPr>
              <w:pStyle w:val="-3"/>
              <w:rPr>
                <w:sz w:val="17"/>
                <w:szCs w:val="17"/>
                <w:rtl/>
              </w:rPr>
            </w:pPr>
          </w:p>
        </w:tc>
        <w:tc>
          <w:tcPr>
            <w:tcW w:w="1702" w:type="dxa"/>
            <w:shd w:val="clear" w:color="auto" w:fill="auto"/>
            <w:vAlign w:val="bottom"/>
          </w:tcPr>
          <w:p w14:paraId="1AEF97C1" w14:textId="77777777" w:rsidR="00A67167" w:rsidRPr="00F745FF" w:rsidRDefault="00A67167" w:rsidP="00F04877">
            <w:pPr>
              <w:jc w:val="center"/>
              <w:rPr>
                <w:rtl/>
              </w:rPr>
            </w:pPr>
          </w:p>
        </w:tc>
      </w:tr>
      <w:tr w:rsidR="00A67167" w:rsidRPr="00543C25" w14:paraId="781564FD" w14:textId="77777777" w:rsidTr="00F04877">
        <w:tc>
          <w:tcPr>
            <w:tcW w:w="1560" w:type="dxa"/>
            <w:shd w:val="clear" w:color="auto" w:fill="auto"/>
          </w:tcPr>
          <w:p w14:paraId="5C6B76E0" w14:textId="77777777" w:rsidR="00A67167" w:rsidRPr="003425A3" w:rsidRDefault="00A6716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21BC4BEA" w14:textId="77777777" w:rsidR="00A67167" w:rsidRPr="00FC6A6C" w:rsidRDefault="00A67167" w:rsidP="00F04877">
            <w:pPr>
              <w:pStyle w:val="-0"/>
              <w:spacing w:line="240" w:lineRule="auto"/>
              <w:ind w:left="467" w:hanging="114"/>
              <w:rPr>
                <w:sz w:val="17"/>
                <w:szCs w:val="17"/>
                <w:rtl/>
              </w:rPr>
            </w:pPr>
            <w:r w:rsidRPr="00FC6A6C">
              <w:rPr>
                <w:rFonts w:hint="cs"/>
                <w:sz w:val="16"/>
                <w:szCs w:val="16"/>
                <w:rtl/>
              </w:rPr>
              <w:t xml:space="preserve">אגרות חוב זמינות למכירה ומניות שאינן למסחר </w:t>
            </w:r>
          </w:p>
        </w:tc>
        <w:tc>
          <w:tcPr>
            <w:tcW w:w="850" w:type="dxa"/>
            <w:vAlign w:val="bottom"/>
          </w:tcPr>
          <w:p w14:paraId="4FB90FFF" w14:textId="77777777" w:rsidR="00A67167" w:rsidRPr="00046EFB" w:rsidRDefault="00A67167" w:rsidP="00F04877">
            <w:pPr>
              <w:pStyle w:val="-3"/>
              <w:rPr>
                <w:sz w:val="17"/>
                <w:szCs w:val="17"/>
                <w:rtl/>
              </w:rPr>
            </w:pPr>
            <w:r w:rsidRPr="00532A1C">
              <w:rPr>
                <w:sz w:val="17"/>
                <w:szCs w:val="17"/>
                <w:rtl/>
              </w:rPr>
              <w:t xml:space="preserve"> 0</w:t>
            </w:r>
          </w:p>
        </w:tc>
        <w:tc>
          <w:tcPr>
            <w:tcW w:w="891" w:type="dxa"/>
            <w:vAlign w:val="bottom"/>
          </w:tcPr>
          <w:p w14:paraId="09A78820" w14:textId="77777777" w:rsidR="00A67167" w:rsidRPr="00046EFB" w:rsidRDefault="00A67167" w:rsidP="00F04877">
            <w:pPr>
              <w:pStyle w:val="-3"/>
              <w:rPr>
                <w:sz w:val="17"/>
                <w:szCs w:val="17"/>
                <w:rtl/>
              </w:rPr>
            </w:pPr>
            <w:r w:rsidRPr="00532A1C">
              <w:rPr>
                <w:sz w:val="17"/>
                <w:szCs w:val="17"/>
                <w:rtl/>
              </w:rPr>
              <w:t xml:space="preserve"> 0</w:t>
            </w:r>
            <w:r w:rsidRPr="00532A1C">
              <w:rPr>
                <w:sz w:val="17"/>
                <w:szCs w:val="17"/>
                <w:vertAlign w:val="superscript"/>
                <w:rtl/>
              </w:rPr>
              <w:t xml:space="preserve">(א) </w:t>
            </w:r>
          </w:p>
        </w:tc>
        <w:tc>
          <w:tcPr>
            <w:tcW w:w="939" w:type="dxa"/>
            <w:vAlign w:val="bottom"/>
          </w:tcPr>
          <w:p w14:paraId="7B1DE8F8" w14:textId="77777777" w:rsidR="00A67167" w:rsidRPr="00046EFB" w:rsidRDefault="00A67167" w:rsidP="00F04877">
            <w:pPr>
              <w:pStyle w:val="-3"/>
              <w:rPr>
                <w:sz w:val="17"/>
                <w:szCs w:val="17"/>
                <w:rtl/>
              </w:rPr>
            </w:pPr>
            <w:r w:rsidRPr="00532A1C">
              <w:rPr>
                <w:sz w:val="17"/>
                <w:szCs w:val="17"/>
                <w:rtl/>
              </w:rPr>
              <w:t xml:space="preserve"> 0</w:t>
            </w:r>
            <w:r w:rsidRPr="00532A1C">
              <w:rPr>
                <w:sz w:val="17"/>
                <w:szCs w:val="17"/>
                <w:vertAlign w:val="superscript"/>
                <w:rtl/>
              </w:rPr>
              <w:t xml:space="preserve">(א) </w:t>
            </w:r>
          </w:p>
        </w:tc>
        <w:tc>
          <w:tcPr>
            <w:tcW w:w="705" w:type="dxa"/>
            <w:vAlign w:val="bottom"/>
          </w:tcPr>
          <w:p w14:paraId="457F7EE2" w14:textId="77777777" w:rsidR="00A67167" w:rsidRPr="00046EFB" w:rsidRDefault="00A67167" w:rsidP="00F04877">
            <w:pPr>
              <w:pStyle w:val="-3"/>
              <w:rPr>
                <w:sz w:val="17"/>
                <w:szCs w:val="17"/>
                <w:rtl/>
              </w:rPr>
            </w:pPr>
            <w:r w:rsidRPr="00532A1C">
              <w:rPr>
                <w:sz w:val="17"/>
                <w:szCs w:val="17"/>
                <w:rtl/>
              </w:rPr>
              <w:t xml:space="preserve"> 0</w:t>
            </w:r>
          </w:p>
        </w:tc>
        <w:tc>
          <w:tcPr>
            <w:tcW w:w="829" w:type="dxa"/>
            <w:vAlign w:val="bottom"/>
          </w:tcPr>
          <w:p w14:paraId="473389A1" w14:textId="77777777" w:rsidR="00A67167" w:rsidRPr="00046EFB" w:rsidRDefault="00A67167" w:rsidP="00F04877">
            <w:pPr>
              <w:pStyle w:val="-3"/>
              <w:rPr>
                <w:sz w:val="17"/>
                <w:szCs w:val="17"/>
                <w:rtl/>
              </w:rPr>
            </w:pPr>
            <w:r>
              <w:rPr>
                <w:rFonts w:hint="cs"/>
                <w:sz w:val="17"/>
                <w:szCs w:val="17"/>
                <w:rtl/>
              </w:rPr>
              <w:t xml:space="preserve"> 0</w:t>
            </w:r>
          </w:p>
        </w:tc>
        <w:tc>
          <w:tcPr>
            <w:tcW w:w="704" w:type="dxa"/>
            <w:vAlign w:val="bottom"/>
          </w:tcPr>
          <w:p w14:paraId="1F33C40D" w14:textId="77777777" w:rsidR="00A67167" w:rsidRPr="00046EFB" w:rsidRDefault="00A67167" w:rsidP="00F04877">
            <w:pPr>
              <w:pStyle w:val="-3"/>
              <w:rPr>
                <w:sz w:val="17"/>
                <w:szCs w:val="17"/>
                <w:rtl/>
              </w:rPr>
            </w:pPr>
            <w:r w:rsidRPr="00532A1C">
              <w:rPr>
                <w:sz w:val="17"/>
                <w:szCs w:val="17"/>
                <w:rtl/>
              </w:rPr>
              <w:t>(0)</w:t>
            </w:r>
          </w:p>
        </w:tc>
        <w:tc>
          <w:tcPr>
            <w:tcW w:w="747" w:type="dxa"/>
            <w:vAlign w:val="bottom"/>
          </w:tcPr>
          <w:p w14:paraId="1FF4E30B" w14:textId="77777777" w:rsidR="00A67167" w:rsidRPr="00046EFB" w:rsidRDefault="00A67167" w:rsidP="00F04877">
            <w:pPr>
              <w:pStyle w:val="-3"/>
              <w:rPr>
                <w:sz w:val="17"/>
                <w:szCs w:val="17"/>
                <w:rtl/>
              </w:rPr>
            </w:pPr>
            <w:r w:rsidRPr="00532A1C">
              <w:rPr>
                <w:sz w:val="17"/>
                <w:szCs w:val="17"/>
                <w:rtl/>
              </w:rPr>
              <w:t>(0)</w:t>
            </w:r>
          </w:p>
        </w:tc>
        <w:tc>
          <w:tcPr>
            <w:tcW w:w="673" w:type="dxa"/>
            <w:vAlign w:val="bottom"/>
          </w:tcPr>
          <w:p w14:paraId="10B6D8F1" w14:textId="77777777" w:rsidR="00A67167" w:rsidRPr="00046EFB" w:rsidRDefault="00A67167" w:rsidP="00F04877">
            <w:pPr>
              <w:pStyle w:val="-3"/>
              <w:rPr>
                <w:sz w:val="17"/>
                <w:szCs w:val="17"/>
                <w:rtl/>
              </w:rPr>
            </w:pPr>
            <w:r w:rsidRPr="00532A1C">
              <w:rPr>
                <w:sz w:val="17"/>
                <w:szCs w:val="17"/>
                <w:rtl/>
              </w:rPr>
              <w:t xml:space="preserve"> 0</w:t>
            </w:r>
          </w:p>
        </w:tc>
        <w:tc>
          <w:tcPr>
            <w:tcW w:w="752" w:type="dxa"/>
            <w:vAlign w:val="bottom"/>
          </w:tcPr>
          <w:p w14:paraId="51AD5504" w14:textId="77777777" w:rsidR="00A67167" w:rsidRPr="00046EFB" w:rsidRDefault="00A67167" w:rsidP="00F04877">
            <w:pPr>
              <w:pStyle w:val="-3"/>
              <w:rPr>
                <w:sz w:val="17"/>
                <w:szCs w:val="17"/>
                <w:rtl/>
              </w:rPr>
            </w:pPr>
            <w:r w:rsidRPr="00532A1C">
              <w:rPr>
                <w:sz w:val="17"/>
                <w:szCs w:val="17"/>
                <w:rtl/>
              </w:rPr>
              <w:t>(0)</w:t>
            </w:r>
          </w:p>
        </w:tc>
        <w:tc>
          <w:tcPr>
            <w:tcW w:w="997" w:type="dxa"/>
            <w:vAlign w:val="bottom"/>
          </w:tcPr>
          <w:p w14:paraId="01A34E87" w14:textId="77777777" w:rsidR="00A67167" w:rsidRPr="00046EFB" w:rsidRDefault="00A67167" w:rsidP="00F04877">
            <w:pPr>
              <w:pStyle w:val="-3"/>
              <w:rPr>
                <w:sz w:val="17"/>
                <w:szCs w:val="17"/>
                <w:rtl/>
              </w:rPr>
            </w:pPr>
            <w:r w:rsidRPr="00532A1C">
              <w:rPr>
                <w:sz w:val="17"/>
                <w:szCs w:val="17"/>
                <w:rtl/>
              </w:rPr>
              <w:t xml:space="preserve"> 0</w:t>
            </w:r>
          </w:p>
        </w:tc>
        <w:tc>
          <w:tcPr>
            <w:tcW w:w="988" w:type="dxa"/>
            <w:vAlign w:val="bottom"/>
          </w:tcPr>
          <w:p w14:paraId="71083CE0" w14:textId="77777777" w:rsidR="00A67167" w:rsidRPr="00046EFB" w:rsidRDefault="00A67167" w:rsidP="00F04877">
            <w:pPr>
              <w:pStyle w:val="-3"/>
              <w:rPr>
                <w:sz w:val="17"/>
                <w:szCs w:val="17"/>
                <w:rtl/>
              </w:rPr>
            </w:pPr>
            <w:r w:rsidRPr="00532A1C">
              <w:rPr>
                <w:sz w:val="17"/>
                <w:szCs w:val="17"/>
                <w:rtl/>
              </w:rPr>
              <w:t xml:space="preserve"> 0</w:t>
            </w:r>
          </w:p>
        </w:tc>
        <w:tc>
          <w:tcPr>
            <w:tcW w:w="1702" w:type="dxa"/>
            <w:vAlign w:val="bottom"/>
          </w:tcPr>
          <w:p w14:paraId="6414412E" w14:textId="77777777" w:rsidR="00A67167" w:rsidRPr="00046EFB" w:rsidRDefault="00A67167" w:rsidP="00F04877">
            <w:pPr>
              <w:pStyle w:val="-3"/>
              <w:rPr>
                <w:sz w:val="17"/>
                <w:szCs w:val="17"/>
                <w:rtl/>
              </w:rPr>
            </w:pPr>
            <w:r w:rsidRPr="00532A1C">
              <w:rPr>
                <w:sz w:val="17"/>
                <w:szCs w:val="17"/>
                <w:rtl/>
              </w:rPr>
              <w:t xml:space="preserve">  0</w:t>
            </w:r>
            <w:r w:rsidRPr="00532A1C">
              <w:rPr>
                <w:sz w:val="17"/>
                <w:szCs w:val="17"/>
                <w:vertAlign w:val="superscript"/>
                <w:rtl/>
              </w:rPr>
              <w:t>(א)</w:t>
            </w:r>
          </w:p>
        </w:tc>
      </w:tr>
      <w:tr w:rsidR="00A67167" w:rsidRPr="00543C25" w14:paraId="3208FB2E" w14:textId="77777777" w:rsidTr="00F04877">
        <w:tc>
          <w:tcPr>
            <w:tcW w:w="1560" w:type="dxa"/>
            <w:shd w:val="clear" w:color="auto" w:fill="auto"/>
          </w:tcPr>
          <w:p w14:paraId="67D03199" w14:textId="77777777" w:rsidR="00A67167" w:rsidRPr="003425A3" w:rsidRDefault="00A6716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390BA5CE" w14:textId="77777777" w:rsidR="00A67167" w:rsidRPr="00FC6A6C" w:rsidRDefault="00A67167" w:rsidP="00F04877">
            <w:pPr>
              <w:pStyle w:val="-0"/>
              <w:spacing w:line="240" w:lineRule="auto"/>
              <w:ind w:left="467" w:hanging="114"/>
              <w:rPr>
                <w:sz w:val="17"/>
                <w:szCs w:val="17"/>
                <w:rtl/>
              </w:rPr>
            </w:pPr>
            <w:r w:rsidRPr="00FC6A6C">
              <w:rPr>
                <w:rFonts w:hint="cs"/>
                <w:sz w:val="16"/>
                <w:szCs w:val="16"/>
                <w:rtl/>
              </w:rPr>
              <w:t xml:space="preserve">ניירות ערך למסחר </w:t>
            </w:r>
          </w:p>
        </w:tc>
        <w:tc>
          <w:tcPr>
            <w:tcW w:w="850" w:type="dxa"/>
            <w:vAlign w:val="bottom"/>
          </w:tcPr>
          <w:p w14:paraId="0EE4A6E8" w14:textId="77777777" w:rsidR="00A67167" w:rsidRPr="00046EFB" w:rsidRDefault="00A67167" w:rsidP="00F04877">
            <w:pPr>
              <w:pStyle w:val="-3"/>
              <w:rPr>
                <w:sz w:val="17"/>
                <w:szCs w:val="17"/>
                <w:rtl/>
              </w:rPr>
            </w:pPr>
            <w:r w:rsidRPr="00532A1C">
              <w:rPr>
                <w:sz w:val="17"/>
                <w:szCs w:val="17"/>
                <w:rtl/>
              </w:rPr>
              <w:t xml:space="preserve"> 0</w:t>
            </w:r>
          </w:p>
        </w:tc>
        <w:tc>
          <w:tcPr>
            <w:tcW w:w="891" w:type="dxa"/>
            <w:vAlign w:val="bottom"/>
          </w:tcPr>
          <w:p w14:paraId="74E3C84D" w14:textId="77777777" w:rsidR="00A67167" w:rsidRPr="00046EFB" w:rsidRDefault="00A67167" w:rsidP="00F04877">
            <w:pPr>
              <w:pStyle w:val="-3"/>
              <w:rPr>
                <w:sz w:val="17"/>
                <w:szCs w:val="17"/>
                <w:rtl/>
              </w:rPr>
            </w:pPr>
            <w:r w:rsidRPr="00532A1C">
              <w:rPr>
                <w:sz w:val="17"/>
                <w:szCs w:val="17"/>
                <w:rtl/>
              </w:rPr>
              <w:t xml:space="preserve"> 0</w:t>
            </w:r>
            <w:r w:rsidRPr="00532A1C">
              <w:rPr>
                <w:sz w:val="17"/>
                <w:szCs w:val="17"/>
                <w:vertAlign w:val="superscript"/>
                <w:rtl/>
              </w:rPr>
              <w:t xml:space="preserve">(ב) </w:t>
            </w:r>
          </w:p>
        </w:tc>
        <w:tc>
          <w:tcPr>
            <w:tcW w:w="939" w:type="dxa"/>
            <w:vAlign w:val="bottom"/>
          </w:tcPr>
          <w:p w14:paraId="618830C0" w14:textId="77777777" w:rsidR="00A67167" w:rsidRPr="00046EFB" w:rsidRDefault="00A67167" w:rsidP="00F04877">
            <w:pPr>
              <w:pStyle w:val="-3"/>
              <w:rPr>
                <w:sz w:val="17"/>
                <w:szCs w:val="17"/>
                <w:rtl/>
              </w:rPr>
            </w:pPr>
            <w:r w:rsidRPr="00532A1C">
              <w:rPr>
                <w:sz w:val="17"/>
                <w:szCs w:val="17"/>
                <w:rtl/>
              </w:rPr>
              <w:t xml:space="preserve"> -</w:t>
            </w:r>
          </w:p>
        </w:tc>
        <w:tc>
          <w:tcPr>
            <w:tcW w:w="705" w:type="dxa"/>
            <w:vAlign w:val="bottom"/>
          </w:tcPr>
          <w:p w14:paraId="40C31C7A" w14:textId="77777777" w:rsidR="00A67167" w:rsidRPr="00046EFB" w:rsidRDefault="00A67167" w:rsidP="00F04877">
            <w:pPr>
              <w:pStyle w:val="-3"/>
              <w:rPr>
                <w:sz w:val="17"/>
                <w:szCs w:val="17"/>
                <w:rtl/>
              </w:rPr>
            </w:pPr>
            <w:r w:rsidRPr="00532A1C">
              <w:rPr>
                <w:sz w:val="17"/>
                <w:szCs w:val="17"/>
                <w:rtl/>
              </w:rPr>
              <w:t xml:space="preserve"> 0</w:t>
            </w:r>
          </w:p>
        </w:tc>
        <w:tc>
          <w:tcPr>
            <w:tcW w:w="829" w:type="dxa"/>
            <w:vAlign w:val="bottom"/>
          </w:tcPr>
          <w:p w14:paraId="18284F49" w14:textId="77777777" w:rsidR="00A67167" w:rsidRPr="00046EFB" w:rsidRDefault="00A67167" w:rsidP="00F04877">
            <w:pPr>
              <w:pStyle w:val="-3"/>
              <w:rPr>
                <w:sz w:val="17"/>
                <w:szCs w:val="17"/>
                <w:rtl/>
              </w:rPr>
            </w:pPr>
            <w:r>
              <w:rPr>
                <w:rFonts w:hint="cs"/>
                <w:sz w:val="17"/>
                <w:szCs w:val="17"/>
                <w:rtl/>
              </w:rPr>
              <w:t xml:space="preserve"> 0</w:t>
            </w:r>
          </w:p>
        </w:tc>
        <w:tc>
          <w:tcPr>
            <w:tcW w:w="704" w:type="dxa"/>
            <w:vAlign w:val="bottom"/>
          </w:tcPr>
          <w:p w14:paraId="5D766AA0" w14:textId="77777777" w:rsidR="00A67167" w:rsidRPr="00046EFB" w:rsidRDefault="00A67167" w:rsidP="00F04877">
            <w:pPr>
              <w:pStyle w:val="-3"/>
              <w:rPr>
                <w:sz w:val="17"/>
                <w:szCs w:val="17"/>
                <w:rtl/>
              </w:rPr>
            </w:pPr>
            <w:r w:rsidRPr="00532A1C">
              <w:rPr>
                <w:sz w:val="17"/>
                <w:szCs w:val="17"/>
                <w:rtl/>
              </w:rPr>
              <w:t>(0)</w:t>
            </w:r>
          </w:p>
        </w:tc>
        <w:tc>
          <w:tcPr>
            <w:tcW w:w="747" w:type="dxa"/>
            <w:vAlign w:val="bottom"/>
          </w:tcPr>
          <w:p w14:paraId="22E5646D" w14:textId="77777777" w:rsidR="00A67167" w:rsidRPr="00046EFB" w:rsidRDefault="00A67167" w:rsidP="00F04877">
            <w:pPr>
              <w:pStyle w:val="-3"/>
              <w:rPr>
                <w:sz w:val="17"/>
                <w:szCs w:val="17"/>
                <w:rtl/>
              </w:rPr>
            </w:pPr>
            <w:r w:rsidRPr="00532A1C">
              <w:rPr>
                <w:sz w:val="17"/>
                <w:szCs w:val="17"/>
                <w:rtl/>
              </w:rPr>
              <w:t>(0)</w:t>
            </w:r>
          </w:p>
        </w:tc>
        <w:tc>
          <w:tcPr>
            <w:tcW w:w="673" w:type="dxa"/>
            <w:vAlign w:val="bottom"/>
          </w:tcPr>
          <w:p w14:paraId="554A7D71" w14:textId="77777777" w:rsidR="00A67167" w:rsidRPr="00046EFB" w:rsidRDefault="00A67167" w:rsidP="00F04877">
            <w:pPr>
              <w:pStyle w:val="-3"/>
              <w:rPr>
                <w:sz w:val="17"/>
                <w:szCs w:val="17"/>
                <w:rtl/>
              </w:rPr>
            </w:pPr>
            <w:r w:rsidRPr="00532A1C">
              <w:rPr>
                <w:sz w:val="17"/>
                <w:szCs w:val="17"/>
                <w:rtl/>
              </w:rPr>
              <w:t xml:space="preserve"> 0</w:t>
            </w:r>
          </w:p>
        </w:tc>
        <w:tc>
          <w:tcPr>
            <w:tcW w:w="752" w:type="dxa"/>
            <w:vAlign w:val="bottom"/>
          </w:tcPr>
          <w:p w14:paraId="25BB3BB5" w14:textId="77777777" w:rsidR="00A67167" w:rsidRPr="00046EFB" w:rsidRDefault="00A67167" w:rsidP="00F04877">
            <w:pPr>
              <w:pStyle w:val="-3"/>
              <w:rPr>
                <w:sz w:val="17"/>
                <w:szCs w:val="17"/>
                <w:rtl/>
              </w:rPr>
            </w:pPr>
            <w:r w:rsidRPr="00532A1C">
              <w:rPr>
                <w:sz w:val="17"/>
                <w:szCs w:val="17"/>
                <w:rtl/>
              </w:rPr>
              <w:t>(0)</w:t>
            </w:r>
          </w:p>
        </w:tc>
        <w:tc>
          <w:tcPr>
            <w:tcW w:w="997" w:type="dxa"/>
            <w:vAlign w:val="bottom"/>
          </w:tcPr>
          <w:p w14:paraId="1AEE5890" w14:textId="77777777" w:rsidR="00A67167" w:rsidRPr="00046EFB" w:rsidRDefault="00A67167" w:rsidP="00F04877">
            <w:pPr>
              <w:pStyle w:val="-3"/>
              <w:rPr>
                <w:sz w:val="17"/>
                <w:szCs w:val="17"/>
                <w:rtl/>
              </w:rPr>
            </w:pPr>
            <w:r w:rsidRPr="00532A1C">
              <w:rPr>
                <w:sz w:val="17"/>
                <w:szCs w:val="17"/>
                <w:rtl/>
              </w:rPr>
              <w:t xml:space="preserve"> 0</w:t>
            </w:r>
          </w:p>
        </w:tc>
        <w:tc>
          <w:tcPr>
            <w:tcW w:w="988" w:type="dxa"/>
            <w:vAlign w:val="bottom"/>
          </w:tcPr>
          <w:p w14:paraId="44C83C91" w14:textId="77777777" w:rsidR="00A67167" w:rsidRPr="00046EFB" w:rsidRDefault="00A67167" w:rsidP="00F04877">
            <w:pPr>
              <w:pStyle w:val="-3"/>
              <w:rPr>
                <w:sz w:val="17"/>
                <w:szCs w:val="17"/>
                <w:rtl/>
              </w:rPr>
            </w:pPr>
            <w:r w:rsidRPr="00532A1C">
              <w:rPr>
                <w:sz w:val="17"/>
                <w:szCs w:val="17"/>
                <w:rtl/>
              </w:rPr>
              <w:t xml:space="preserve"> 0</w:t>
            </w:r>
          </w:p>
        </w:tc>
        <w:tc>
          <w:tcPr>
            <w:tcW w:w="1702" w:type="dxa"/>
            <w:vAlign w:val="bottom"/>
          </w:tcPr>
          <w:p w14:paraId="50C85F9D" w14:textId="77777777" w:rsidR="00A67167" w:rsidRPr="00046EFB" w:rsidRDefault="00A67167" w:rsidP="00F04877">
            <w:pPr>
              <w:pStyle w:val="-3"/>
              <w:rPr>
                <w:sz w:val="17"/>
                <w:szCs w:val="17"/>
                <w:rtl/>
              </w:rPr>
            </w:pPr>
            <w:r w:rsidRPr="00532A1C">
              <w:rPr>
                <w:sz w:val="17"/>
                <w:szCs w:val="17"/>
                <w:rtl/>
              </w:rPr>
              <w:t xml:space="preserve">  0</w:t>
            </w:r>
            <w:r w:rsidRPr="00532A1C">
              <w:rPr>
                <w:sz w:val="17"/>
                <w:szCs w:val="17"/>
                <w:vertAlign w:val="superscript"/>
                <w:rtl/>
              </w:rPr>
              <w:t>(ב)</w:t>
            </w:r>
          </w:p>
        </w:tc>
      </w:tr>
      <w:tr w:rsidR="00A67167" w:rsidRPr="00543C25" w14:paraId="2E30310B" w14:textId="77777777" w:rsidTr="00F04877">
        <w:tc>
          <w:tcPr>
            <w:tcW w:w="1560" w:type="dxa"/>
            <w:shd w:val="clear" w:color="auto" w:fill="auto"/>
          </w:tcPr>
          <w:p w14:paraId="1D98D1D4" w14:textId="77777777" w:rsidR="00A67167" w:rsidRPr="003425A3" w:rsidRDefault="00A6716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0AB67BC0" w14:textId="77777777" w:rsidR="00A67167" w:rsidRPr="00FC6A6C" w:rsidRDefault="00A67167" w:rsidP="00F04877">
            <w:pPr>
              <w:pStyle w:val="-0"/>
              <w:spacing w:line="240" w:lineRule="auto"/>
              <w:ind w:left="467" w:hanging="114"/>
              <w:rPr>
                <w:sz w:val="17"/>
                <w:szCs w:val="17"/>
                <w:rtl/>
              </w:rPr>
            </w:pPr>
            <w:r w:rsidRPr="00FC6A6C">
              <w:rPr>
                <w:rFonts w:hint="cs"/>
                <w:sz w:val="16"/>
                <w:szCs w:val="16"/>
                <w:rtl/>
              </w:rPr>
              <w:t>נכסים בגין מכשירים נגזרים</w:t>
            </w:r>
            <w:r w:rsidRPr="00FC6A6C">
              <w:rPr>
                <w:rFonts w:hint="cs"/>
                <w:sz w:val="16"/>
                <w:szCs w:val="16"/>
                <w:vertAlign w:val="superscript"/>
                <w:rtl/>
              </w:rPr>
              <w:t xml:space="preserve"> </w:t>
            </w:r>
          </w:p>
        </w:tc>
        <w:tc>
          <w:tcPr>
            <w:tcW w:w="850" w:type="dxa"/>
            <w:vAlign w:val="bottom"/>
          </w:tcPr>
          <w:p w14:paraId="15B61E0A" w14:textId="77777777" w:rsidR="00A67167" w:rsidRDefault="00A67167" w:rsidP="00F04877">
            <w:pPr>
              <w:pStyle w:val="-3"/>
              <w:rPr>
                <w:sz w:val="17"/>
                <w:szCs w:val="17"/>
                <w:rtl/>
              </w:rPr>
            </w:pPr>
            <w:r w:rsidRPr="00532A1C">
              <w:rPr>
                <w:sz w:val="17"/>
                <w:szCs w:val="17"/>
                <w:rtl/>
              </w:rPr>
              <w:t xml:space="preserve"> 0</w:t>
            </w:r>
          </w:p>
        </w:tc>
        <w:tc>
          <w:tcPr>
            <w:tcW w:w="891" w:type="dxa"/>
            <w:vAlign w:val="bottom"/>
          </w:tcPr>
          <w:p w14:paraId="06AB1C56" w14:textId="77777777" w:rsidR="00A67167" w:rsidRDefault="00A67167" w:rsidP="00F04877">
            <w:pPr>
              <w:pStyle w:val="-3"/>
              <w:rPr>
                <w:sz w:val="17"/>
                <w:szCs w:val="17"/>
                <w:rtl/>
              </w:rPr>
            </w:pPr>
            <w:r w:rsidRPr="00532A1C">
              <w:rPr>
                <w:sz w:val="17"/>
                <w:szCs w:val="17"/>
                <w:rtl/>
              </w:rPr>
              <w:t xml:space="preserve"> 0 </w:t>
            </w:r>
          </w:p>
        </w:tc>
        <w:tc>
          <w:tcPr>
            <w:tcW w:w="939" w:type="dxa"/>
            <w:vAlign w:val="bottom"/>
          </w:tcPr>
          <w:p w14:paraId="6D6AB348" w14:textId="77777777" w:rsidR="00A67167" w:rsidRDefault="00A67167" w:rsidP="00F04877">
            <w:pPr>
              <w:pStyle w:val="-3"/>
              <w:rPr>
                <w:sz w:val="17"/>
                <w:szCs w:val="17"/>
                <w:rtl/>
              </w:rPr>
            </w:pPr>
            <w:r w:rsidRPr="00532A1C">
              <w:rPr>
                <w:sz w:val="17"/>
                <w:szCs w:val="17"/>
                <w:rtl/>
              </w:rPr>
              <w:t xml:space="preserve"> </w:t>
            </w:r>
            <w:r>
              <w:rPr>
                <w:rFonts w:hint="cs"/>
                <w:sz w:val="17"/>
                <w:szCs w:val="17"/>
                <w:rtl/>
              </w:rPr>
              <w:t>-</w:t>
            </w:r>
          </w:p>
        </w:tc>
        <w:tc>
          <w:tcPr>
            <w:tcW w:w="705" w:type="dxa"/>
            <w:vAlign w:val="bottom"/>
          </w:tcPr>
          <w:p w14:paraId="316CB928" w14:textId="77777777" w:rsidR="00A67167" w:rsidRDefault="00A67167" w:rsidP="00F04877">
            <w:pPr>
              <w:pStyle w:val="-3"/>
              <w:rPr>
                <w:sz w:val="17"/>
                <w:szCs w:val="17"/>
                <w:rtl/>
              </w:rPr>
            </w:pPr>
            <w:r w:rsidRPr="00532A1C">
              <w:rPr>
                <w:sz w:val="17"/>
                <w:szCs w:val="17"/>
                <w:rtl/>
              </w:rPr>
              <w:t xml:space="preserve"> 0</w:t>
            </w:r>
          </w:p>
        </w:tc>
        <w:tc>
          <w:tcPr>
            <w:tcW w:w="829" w:type="dxa"/>
            <w:vAlign w:val="bottom"/>
          </w:tcPr>
          <w:p w14:paraId="330811DE" w14:textId="77777777" w:rsidR="00A67167" w:rsidRDefault="00A67167" w:rsidP="00F04877">
            <w:pPr>
              <w:pStyle w:val="-3"/>
              <w:rPr>
                <w:sz w:val="17"/>
                <w:szCs w:val="17"/>
                <w:rtl/>
              </w:rPr>
            </w:pPr>
            <w:r>
              <w:rPr>
                <w:rFonts w:hint="cs"/>
                <w:sz w:val="17"/>
                <w:szCs w:val="17"/>
                <w:rtl/>
              </w:rPr>
              <w:t xml:space="preserve"> 0</w:t>
            </w:r>
          </w:p>
        </w:tc>
        <w:tc>
          <w:tcPr>
            <w:tcW w:w="704" w:type="dxa"/>
            <w:vAlign w:val="bottom"/>
          </w:tcPr>
          <w:p w14:paraId="57A23F6C" w14:textId="77777777" w:rsidR="00A67167" w:rsidRDefault="00A67167" w:rsidP="00F04877">
            <w:pPr>
              <w:pStyle w:val="-3"/>
              <w:rPr>
                <w:sz w:val="17"/>
                <w:szCs w:val="17"/>
                <w:rtl/>
              </w:rPr>
            </w:pPr>
            <w:r w:rsidRPr="00532A1C">
              <w:rPr>
                <w:sz w:val="17"/>
                <w:szCs w:val="17"/>
                <w:rtl/>
              </w:rPr>
              <w:t>(0)</w:t>
            </w:r>
          </w:p>
        </w:tc>
        <w:tc>
          <w:tcPr>
            <w:tcW w:w="747" w:type="dxa"/>
            <w:vAlign w:val="bottom"/>
          </w:tcPr>
          <w:p w14:paraId="066800E8" w14:textId="77777777" w:rsidR="00A67167" w:rsidRDefault="00A67167" w:rsidP="00F04877">
            <w:pPr>
              <w:pStyle w:val="-3"/>
              <w:rPr>
                <w:sz w:val="17"/>
                <w:szCs w:val="17"/>
                <w:rtl/>
              </w:rPr>
            </w:pPr>
            <w:r w:rsidRPr="00532A1C">
              <w:rPr>
                <w:sz w:val="17"/>
                <w:szCs w:val="17"/>
                <w:rtl/>
              </w:rPr>
              <w:t>(0)</w:t>
            </w:r>
          </w:p>
        </w:tc>
        <w:tc>
          <w:tcPr>
            <w:tcW w:w="673" w:type="dxa"/>
            <w:vAlign w:val="bottom"/>
          </w:tcPr>
          <w:p w14:paraId="5EF7829F" w14:textId="77777777" w:rsidR="00A67167" w:rsidRDefault="00A67167" w:rsidP="00F04877">
            <w:pPr>
              <w:pStyle w:val="-3"/>
              <w:rPr>
                <w:sz w:val="17"/>
                <w:szCs w:val="17"/>
                <w:rtl/>
              </w:rPr>
            </w:pPr>
            <w:r w:rsidRPr="00532A1C">
              <w:rPr>
                <w:sz w:val="17"/>
                <w:szCs w:val="17"/>
                <w:rtl/>
              </w:rPr>
              <w:t xml:space="preserve"> 0</w:t>
            </w:r>
          </w:p>
        </w:tc>
        <w:tc>
          <w:tcPr>
            <w:tcW w:w="752" w:type="dxa"/>
            <w:vAlign w:val="bottom"/>
          </w:tcPr>
          <w:p w14:paraId="585AEC65" w14:textId="77777777" w:rsidR="00A67167" w:rsidRDefault="00A67167" w:rsidP="00F04877">
            <w:pPr>
              <w:pStyle w:val="-3"/>
              <w:rPr>
                <w:sz w:val="17"/>
                <w:szCs w:val="17"/>
                <w:rtl/>
              </w:rPr>
            </w:pPr>
            <w:r w:rsidRPr="00532A1C">
              <w:rPr>
                <w:sz w:val="17"/>
                <w:szCs w:val="17"/>
                <w:rtl/>
              </w:rPr>
              <w:t>(0)</w:t>
            </w:r>
          </w:p>
        </w:tc>
        <w:tc>
          <w:tcPr>
            <w:tcW w:w="997" w:type="dxa"/>
            <w:vAlign w:val="bottom"/>
          </w:tcPr>
          <w:p w14:paraId="332BC857" w14:textId="77777777" w:rsidR="00A67167" w:rsidRDefault="00A67167" w:rsidP="00F04877">
            <w:pPr>
              <w:pStyle w:val="-3"/>
              <w:rPr>
                <w:sz w:val="17"/>
                <w:szCs w:val="17"/>
                <w:rtl/>
              </w:rPr>
            </w:pPr>
            <w:r w:rsidRPr="00532A1C">
              <w:rPr>
                <w:sz w:val="17"/>
                <w:szCs w:val="17"/>
                <w:rtl/>
              </w:rPr>
              <w:t xml:space="preserve"> 0</w:t>
            </w:r>
          </w:p>
        </w:tc>
        <w:tc>
          <w:tcPr>
            <w:tcW w:w="988" w:type="dxa"/>
            <w:vAlign w:val="bottom"/>
          </w:tcPr>
          <w:p w14:paraId="31B18FCB" w14:textId="77777777" w:rsidR="00A67167" w:rsidRDefault="00A67167" w:rsidP="00F04877">
            <w:pPr>
              <w:pStyle w:val="-3"/>
              <w:rPr>
                <w:sz w:val="17"/>
                <w:szCs w:val="17"/>
                <w:rtl/>
              </w:rPr>
            </w:pPr>
            <w:r w:rsidRPr="00532A1C">
              <w:rPr>
                <w:sz w:val="17"/>
                <w:szCs w:val="17"/>
                <w:rtl/>
              </w:rPr>
              <w:t xml:space="preserve"> 0</w:t>
            </w:r>
          </w:p>
        </w:tc>
        <w:tc>
          <w:tcPr>
            <w:tcW w:w="1702" w:type="dxa"/>
            <w:vAlign w:val="bottom"/>
          </w:tcPr>
          <w:p w14:paraId="03E61E97" w14:textId="77777777" w:rsidR="00A67167" w:rsidRDefault="00A67167" w:rsidP="00F04877">
            <w:pPr>
              <w:pStyle w:val="-3"/>
              <w:rPr>
                <w:sz w:val="17"/>
                <w:szCs w:val="17"/>
                <w:rtl/>
              </w:rPr>
            </w:pPr>
            <w:r w:rsidRPr="00532A1C">
              <w:rPr>
                <w:sz w:val="17"/>
                <w:szCs w:val="17"/>
                <w:rtl/>
              </w:rPr>
              <w:t xml:space="preserve">  0</w:t>
            </w:r>
          </w:p>
        </w:tc>
      </w:tr>
      <w:tr w:rsidR="00A67167" w:rsidRPr="00543C25" w14:paraId="3476CF50" w14:textId="77777777" w:rsidTr="00F04877">
        <w:tc>
          <w:tcPr>
            <w:tcW w:w="1560" w:type="dxa"/>
            <w:shd w:val="clear" w:color="auto" w:fill="auto"/>
          </w:tcPr>
          <w:p w14:paraId="09D63097" w14:textId="77777777" w:rsidR="00A67167" w:rsidRPr="003425A3" w:rsidRDefault="00A6716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7912D02B" w14:textId="77777777" w:rsidR="00A67167" w:rsidRPr="00FC6A6C" w:rsidRDefault="00A67167" w:rsidP="00F04877">
            <w:pPr>
              <w:pStyle w:val="-0"/>
              <w:spacing w:line="240" w:lineRule="auto"/>
              <w:ind w:left="467" w:hanging="114"/>
              <w:rPr>
                <w:sz w:val="17"/>
                <w:szCs w:val="17"/>
                <w:rtl/>
              </w:rPr>
            </w:pPr>
            <w:r w:rsidRPr="00FC6A6C">
              <w:rPr>
                <w:rFonts w:hint="eastAsia"/>
                <w:sz w:val="16"/>
                <w:szCs w:val="16"/>
                <w:rtl/>
              </w:rPr>
              <w:t>אחר</w:t>
            </w:r>
            <w:r w:rsidRPr="00FC6A6C">
              <w:rPr>
                <w:rFonts w:hint="cs"/>
                <w:sz w:val="16"/>
                <w:szCs w:val="16"/>
                <w:rtl/>
              </w:rPr>
              <w:t xml:space="preserve"> [פרט אם מהותי]</w:t>
            </w:r>
          </w:p>
        </w:tc>
        <w:tc>
          <w:tcPr>
            <w:tcW w:w="850" w:type="dxa"/>
            <w:vAlign w:val="bottom"/>
          </w:tcPr>
          <w:p w14:paraId="61C8EE1E" w14:textId="77777777" w:rsidR="00A67167" w:rsidRDefault="00A67167" w:rsidP="00F04877">
            <w:pPr>
              <w:pStyle w:val="-3"/>
              <w:pBdr>
                <w:bottom w:val="single" w:sz="4" w:space="1" w:color="auto"/>
              </w:pBdr>
              <w:rPr>
                <w:sz w:val="17"/>
                <w:szCs w:val="17"/>
                <w:rtl/>
              </w:rPr>
            </w:pPr>
            <w:r w:rsidRPr="00532A1C">
              <w:rPr>
                <w:sz w:val="17"/>
                <w:szCs w:val="17"/>
                <w:rtl/>
              </w:rPr>
              <w:t xml:space="preserve"> 0</w:t>
            </w:r>
          </w:p>
        </w:tc>
        <w:tc>
          <w:tcPr>
            <w:tcW w:w="891" w:type="dxa"/>
            <w:vAlign w:val="bottom"/>
          </w:tcPr>
          <w:p w14:paraId="7463CF56" w14:textId="77777777" w:rsidR="00A67167" w:rsidRDefault="00A67167" w:rsidP="00F04877">
            <w:pPr>
              <w:pStyle w:val="-3"/>
              <w:pBdr>
                <w:bottom w:val="single" w:sz="4" w:space="1" w:color="auto"/>
              </w:pBdr>
              <w:rPr>
                <w:sz w:val="17"/>
                <w:szCs w:val="17"/>
                <w:rtl/>
              </w:rPr>
            </w:pPr>
            <w:r w:rsidRPr="00532A1C">
              <w:rPr>
                <w:sz w:val="17"/>
                <w:szCs w:val="17"/>
                <w:rtl/>
              </w:rPr>
              <w:t xml:space="preserve"> 0</w:t>
            </w:r>
            <w:r w:rsidRPr="00532A1C">
              <w:rPr>
                <w:sz w:val="17"/>
                <w:szCs w:val="17"/>
                <w:vertAlign w:val="superscript"/>
                <w:rtl/>
              </w:rPr>
              <w:t xml:space="preserve">(ג) </w:t>
            </w:r>
          </w:p>
        </w:tc>
        <w:tc>
          <w:tcPr>
            <w:tcW w:w="939" w:type="dxa"/>
            <w:vAlign w:val="bottom"/>
          </w:tcPr>
          <w:p w14:paraId="3415F94C" w14:textId="77777777" w:rsidR="00A67167" w:rsidRDefault="00A67167" w:rsidP="00F04877">
            <w:pPr>
              <w:pStyle w:val="-3"/>
              <w:pBdr>
                <w:bottom w:val="single" w:sz="4" w:space="1" w:color="auto"/>
              </w:pBdr>
              <w:rPr>
                <w:sz w:val="17"/>
                <w:szCs w:val="17"/>
                <w:rtl/>
              </w:rPr>
            </w:pPr>
            <w:r w:rsidRPr="00532A1C">
              <w:rPr>
                <w:sz w:val="17"/>
                <w:szCs w:val="17"/>
                <w:rtl/>
              </w:rPr>
              <w:t xml:space="preserve"> </w:t>
            </w:r>
            <w:r>
              <w:rPr>
                <w:rFonts w:hint="cs"/>
                <w:sz w:val="17"/>
                <w:szCs w:val="17"/>
                <w:rtl/>
              </w:rPr>
              <w:t>-</w:t>
            </w:r>
          </w:p>
        </w:tc>
        <w:tc>
          <w:tcPr>
            <w:tcW w:w="705" w:type="dxa"/>
            <w:vAlign w:val="bottom"/>
          </w:tcPr>
          <w:p w14:paraId="4A09B78B" w14:textId="77777777" w:rsidR="00A67167" w:rsidRDefault="00A67167" w:rsidP="00F04877">
            <w:pPr>
              <w:pStyle w:val="-3"/>
              <w:pBdr>
                <w:bottom w:val="single" w:sz="4" w:space="1" w:color="auto"/>
              </w:pBdr>
              <w:rPr>
                <w:sz w:val="17"/>
                <w:szCs w:val="17"/>
                <w:rtl/>
              </w:rPr>
            </w:pPr>
            <w:r w:rsidRPr="00532A1C">
              <w:rPr>
                <w:sz w:val="17"/>
                <w:szCs w:val="17"/>
                <w:rtl/>
              </w:rPr>
              <w:t xml:space="preserve"> 0</w:t>
            </w:r>
          </w:p>
        </w:tc>
        <w:tc>
          <w:tcPr>
            <w:tcW w:w="829" w:type="dxa"/>
            <w:vAlign w:val="bottom"/>
          </w:tcPr>
          <w:p w14:paraId="71D32EA7" w14:textId="77777777" w:rsidR="00A67167" w:rsidRDefault="00A67167" w:rsidP="00F04877">
            <w:pPr>
              <w:pStyle w:val="-3"/>
              <w:pBdr>
                <w:bottom w:val="single" w:sz="4" w:space="1" w:color="auto"/>
              </w:pBdr>
              <w:rPr>
                <w:sz w:val="17"/>
                <w:szCs w:val="17"/>
                <w:rtl/>
              </w:rPr>
            </w:pPr>
            <w:r w:rsidRPr="00532A1C">
              <w:rPr>
                <w:sz w:val="17"/>
                <w:szCs w:val="17"/>
                <w:rtl/>
              </w:rPr>
              <w:t xml:space="preserve"> 0</w:t>
            </w:r>
          </w:p>
        </w:tc>
        <w:tc>
          <w:tcPr>
            <w:tcW w:w="704" w:type="dxa"/>
            <w:vAlign w:val="bottom"/>
          </w:tcPr>
          <w:p w14:paraId="4DB1B0BB" w14:textId="77777777" w:rsidR="00A67167" w:rsidRDefault="00A67167" w:rsidP="00F04877">
            <w:pPr>
              <w:pStyle w:val="-3"/>
              <w:pBdr>
                <w:bottom w:val="single" w:sz="4" w:space="1" w:color="auto"/>
              </w:pBdr>
              <w:rPr>
                <w:sz w:val="17"/>
                <w:szCs w:val="17"/>
                <w:rtl/>
              </w:rPr>
            </w:pPr>
            <w:r w:rsidRPr="00532A1C">
              <w:rPr>
                <w:sz w:val="17"/>
                <w:szCs w:val="17"/>
                <w:rtl/>
              </w:rPr>
              <w:t>(0)</w:t>
            </w:r>
          </w:p>
        </w:tc>
        <w:tc>
          <w:tcPr>
            <w:tcW w:w="747" w:type="dxa"/>
            <w:vAlign w:val="bottom"/>
          </w:tcPr>
          <w:p w14:paraId="34D5DDB6" w14:textId="77777777" w:rsidR="00A67167" w:rsidRDefault="00A67167" w:rsidP="00F04877">
            <w:pPr>
              <w:pStyle w:val="-3"/>
              <w:pBdr>
                <w:bottom w:val="single" w:sz="4" w:space="1" w:color="auto"/>
              </w:pBdr>
              <w:rPr>
                <w:sz w:val="17"/>
                <w:szCs w:val="17"/>
                <w:rtl/>
              </w:rPr>
            </w:pPr>
            <w:r w:rsidRPr="00532A1C">
              <w:rPr>
                <w:sz w:val="17"/>
                <w:szCs w:val="17"/>
                <w:rtl/>
              </w:rPr>
              <w:t>(0)</w:t>
            </w:r>
          </w:p>
        </w:tc>
        <w:tc>
          <w:tcPr>
            <w:tcW w:w="673" w:type="dxa"/>
            <w:vAlign w:val="bottom"/>
          </w:tcPr>
          <w:p w14:paraId="0BA7588D" w14:textId="77777777" w:rsidR="00A67167" w:rsidRDefault="00A67167" w:rsidP="00F04877">
            <w:pPr>
              <w:pStyle w:val="-3"/>
              <w:pBdr>
                <w:bottom w:val="single" w:sz="4" w:space="1" w:color="auto"/>
              </w:pBdr>
              <w:rPr>
                <w:sz w:val="17"/>
                <w:szCs w:val="17"/>
                <w:rtl/>
              </w:rPr>
            </w:pPr>
            <w:r w:rsidRPr="00532A1C">
              <w:rPr>
                <w:sz w:val="17"/>
                <w:szCs w:val="17"/>
                <w:rtl/>
              </w:rPr>
              <w:t xml:space="preserve"> 0</w:t>
            </w:r>
          </w:p>
        </w:tc>
        <w:tc>
          <w:tcPr>
            <w:tcW w:w="752" w:type="dxa"/>
            <w:vAlign w:val="bottom"/>
          </w:tcPr>
          <w:p w14:paraId="2DFCCD00" w14:textId="77777777" w:rsidR="00A67167" w:rsidRDefault="00A67167" w:rsidP="00F04877">
            <w:pPr>
              <w:pStyle w:val="-3"/>
              <w:pBdr>
                <w:bottom w:val="single" w:sz="4" w:space="1" w:color="auto"/>
              </w:pBdr>
              <w:rPr>
                <w:sz w:val="17"/>
                <w:szCs w:val="17"/>
                <w:rtl/>
              </w:rPr>
            </w:pPr>
            <w:r w:rsidRPr="00532A1C">
              <w:rPr>
                <w:sz w:val="17"/>
                <w:szCs w:val="17"/>
                <w:rtl/>
              </w:rPr>
              <w:t>(0)</w:t>
            </w:r>
          </w:p>
        </w:tc>
        <w:tc>
          <w:tcPr>
            <w:tcW w:w="997" w:type="dxa"/>
            <w:vAlign w:val="bottom"/>
          </w:tcPr>
          <w:p w14:paraId="5651402E" w14:textId="77777777" w:rsidR="00A67167" w:rsidRDefault="00A67167" w:rsidP="00F04877">
            <w:pPr>
              <w:pStyle w:val="-3"/>
              <w:pBdr>
                <w:bottom w:val="single" w:sz="4" w:space="1" w:color="auto"/>
              </w:pBdr>
              <w:rPr>
                <w:sz w:val="17"/>
                <w:szCs w:val="17"/>
                <w:rtl/>
              </w:rPr>
            </w:pPr>
            <w:r w:rsidRPr="00532A1C">
              <w:rPr>
                <w:sz w:val="17"/>
                <w:szCs w:val="17"/>
                <w:rtl/>
              </w:rPr>
              <w:t xml:space="preserve"> 0</w:t>
            </w:r>
          </w:p>
        </w:tc>
        <w:tc>
          <w:tcPr>
            <w:tcW w:w="988" w:type="dxa"/>
            <w:vAlign w:val="bottom"/>
          </w:tcPr>
          <w:p w14:paraId="061813FC" w14:textId="77777777" w:rsidR="00A67167" w:rsidRDefault="00A67167" w:rsidP="00F04877">
            <w:pPr>
              <w:pStyle w:val="-3"/>
              <w:pBdr>
                <w:bottom w:val="single" w:sz="4" w:space="1" w:color="auto"/>
              </w:pBdr>
              <w:rPr>
                <w:sz w:val="17"/>
                <w:szCs w:val="17"/>
                <w:rtl/>
              </w:rPr>
            </w:pPr>
            <w:r w:rsidRPr="00532A1C">
              <w:rPr>
                <w:sz w:val="17"/>
                <w:szCs w:val="17"/>
                <w:rtl/>
              </w:rPr>
              <w:t xml:space="preserve"> 0</w:t>
            </w:r>
          </w:p>
        </w:tc>
        <w:tc>
          <w:tcPr>
            <w:tcW w:w="1702" w:type="dxa"/>
            <w:vAlign w:val="bottom"/>
          </w:tcPr>
          <w:p w14:paraId="64C353E8" w14:textId="77777777" w:rsidR="00A67167" w:rsidRDefault="00A67167" w:rsidP="00F04877">
            <w:pPr>
              <w:pStyle w:val="-3"/>
              <w:pBdr>
                <w:bottom w:val="single" w:sz="4" w:space="1" w:color="auto"/>
              </w:pBdr>
              <w:rPr>
                <w:sz w:val="17"/>
                <w:szCs w:val="17"/>
                <w:rtl/>
              </w:rPr>
            </w:pPr>
            <w:r w:rsidRPr="00532A1C">
              <w:rPr>
                <w:sz w:val="17"/>
                <w:szCs w:val="17"/>
                <w:rtl/>
              </w:rPr>
              <w:t xml:space="preserve">  0</w:t>
            </w:r>
            <w:r w:rsidRPr="00532A1C">
              <w:rPr>
                <w:sz w:val="17"/>
                <w:szCs w:val="17"/>
                <w:vertAlign w:val="superscript"/>
                <w:rtl/>
              </w:rPr>
              <w:t>(ג)</w:t>
            </w:r>
          </w:p>
        </w:tc>
      </w:tr>
      <w:tr w:rsidR="00A67167" w:rsidRPr="00FC6A6C" w14:paraId="36855CF1" w14:textId="77777777" w:rsidTr="00F04877">
        <w:tc>
          <w:tcPr>
            <w:tcW w:w="1560" w:type="dxa"/>
            <w:shd w:val="clear" w:color="auto" w:fill="auto"/>
          </w:tcPr>
          <w:p w14:paraId="4CFBF658" w14:textId="77777777" w:rsidR="00A67167" w:rsidRPr="003425A3" w:rsidRDefault="00A6716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79267657" w14:textId="77777777" w:rsidR="00A67167" w:rsidRPr="00BF2D3B" w:rsidRDefault="00A67167" w:rsidP="00F04877">
            <w:pPr>
              <w:pStyle w:val="-f"/>
              <w:ind w:left="560" w:hanging="235"/>
              <w:rPr>
                <w:sz w:val="16"/>
                <w:szCs w:val="16"/>
                <w:u w:val="none"/>
                <w:rtl/>
              </w:rPr>
            </w:pPr>
            <w:r w:rsidRPr="00BF2D3B">
              <w:rPr>
                <w:sz w:val="16"/>
                <w:szCs w:val="16"/>
                <w:u w:val="none"/>
                <w:rtl/>
              </w:rPr>
              <w:t xml:space="preserve">סך </w:t>
            </w:r>
            <w:r w:rsidRPr="00BF2D3B">
              <w:rPr>
                <w:rFonts w:hint="cs"/>
                <w:sz w:val="16"/>
                <w:szCs w:val="16"/>
                <w:u w:val="none"/>
                <w:rtl/>
              </w:rPr>
              <w:t>כל הנכסים</w:t>
            </w:r>
          </w:p>
        </w:tc>
        <w:tc>
          <w:tcPr>
            <w:tcW w:w="850" w:type="dxa"/>
            <w:vAlign w:val="bottom"/>
          </w:tcPr>
          <w:p w14:paraId="5396E8C8" w14:textId="77777777" w:rsidR="00A67167" w:rsidRPr="00FC6A6C" w:rsidRDefault="00A67167" w:rsidP="00F04877">
            <w:pPr>
              <w:pStyle w:val="-3"/>
              <w:rPr>
                <w:b/>
                <w:bCs/>
                <w:sz w:val="17"/>
                <w:szCs w:val="17"/>
                <w:rtl/>
              </w:rPr>
            </w:pPr>
            <w:r w:rsidRPr="00FC6A6C">
              <w:rPr>
                <w:b/>
                <w:bCs/>
                <w:sz w:val="17"/>
                <w:szCs w:val="17"/>
                <w:rtl/>
              </w:rPr>
              <w:t xml:space="preserve"> 0</w:t>
            </w:r>
          </w:p>
        </w:tc>
        <w:tc>
          <w:tcPr>
            <w:tcW w:w="891" w:type="dxa"/>
            <w:vAlign w:val="bottom"/>
          </w:tcPr>
          <w:p w14:paraId="5F6D2030" w14:textId="77777777" w:rsidR="00A67167" w:rsidRPr="00FC6A6C" w:rsidRDefault="00A67167" w:rsidP="00F04877">
            <w:pPr>
              <w:pStyle w:val="-3"/>
              <w:rPr>
                <w:b/>
                <w:bCs/>
                <w:sz w:val="17"/>
                <w:szCs w:val="17"/>
                <w:rtl/>
              </w:rPr>
            </w:pPr>
            <w:r w:rsidRPr="00FC6A6C">
              <w:rPr>
                <w:b/>
                <w:bCs/>
                <w:sz w:val="17"/>
                <w:szCs w:val="17"/>
                <w:rtl/>
              </w:rPr>
              <w:t xml:space="preserve"> 0</w:t>
            </w:r>
          </w:p>
        </w:tc>
        <w:tc>
          <w:tcPr>
            <w:tcW w:w="939" w:type="dxa"/>
            <w:vAlign w:val="bottom"/>
          </w:tcPr>
          <w:p w14:paraId="7878C1FA" w14:textId="77777777" w:rsidR="00A67167" w:rsidRPr="00FC6A6C" w:rsidRDefault="00A67167" w:rsidP="00F04877">
            <w:pPr>
              <w:pStyle w:val="-3"/>
              <w:rPr>
                <w:b/>
                <w:bCs/>
                <w:sz w:val="17"/>
                <w:szCs w:val="17"/>
                <w:rtl/>
              </w:rPr>
            </w:pPr>
            <w:r w:rsidRPr="00FC6A6C">
              <w:rPr>
                <w:b/>
                <w:bCs/>
                <w:sz w:val="17"/>
                <w:szCs w:val="17"/>
                <w:rtl/>
              </w:rPr>
              <w:t xml:space="preserve"> 0</w:t>
            </w:r>
          </w:p>
        </w:tc>
        <w:tc>
          <w:tcPr>
            <w:tcW w:w="705" w:type="dxa"/>
            <w:vAlign w:val="bottom"/>
          </w:tcPr>
          <w:p w14:paraId="4BB68D47" w14:textId="77777777" w:rsidR="00A67167" w:rsidRPr="00FC6A6C" w:rsidRDefault="00A67167" w:rsidP="00F04877">
            <w:pPr>
              <w:pStyle w:val="-3"/>
              <w:rPr>
                <w:b/>
                <w:bCs/>
                <w:sz w:val="17"/>
                <w:szCs w:val="17"/>
                <w:rtl/>
              </w:rPr>
            </w:pPr>
            <w:r w:rsidRPr="00FC6A6C">
              <w:rPr>
                <w:b/>
                <w:bCs/>
                <w:sz w:val="17"/>
                <w:szCs w:val="17"/>
                <w:rtl/>
              </w:rPr>
              <w:t xml:space="preserve"> 0</w:t>
            </w:r>
          </w:p>
        </w:tc>
        <w:tc>
          <w:tcPr>
            <w:tcW w:w="829" w:type="dxa"/>
            <w:vAlign w:val="bottom"/>
          </w:tcPr>
          <w:p w14:paraId="3556C791" w14:textId="77777777" w:rsidR="00A67167" w:rsidRPr="00FC6A6C" w:rsidRDefault="00A67167" w:rsidP="00F04877">
            <w:pPr>
              <w:pStyle w:val="-3"/>
              <w:rPr>
                <w:b/>
                <w:bCs/>
                <w:sz w:val="17"/>
                <w:szCs w:val="17"/>
                <w:rtl/>
              </w:rPr>
            </w:pPr>
            <w:r w:rsidRPr="00FC6A6C">
              <w:rPr>
                <w:b/>
                <w:bCs/>
                <w:sz w:val="17"/>
                <w:szCs w:val="17"/>
                <w:rtl/>
              </w:rPr>
              <w:t xml:space="preserve"> 0</w:t>
            </w:r>
          </w:p>
        </w:tc>
        <w:tc>
          <w:tcPr>
            <w:tcW w:w="704" w:type="dxa"/>
            <w:vAlign w:val="bottom"/>
          </w:tcPr>
          <w:p w14:paraId="5D32D94B" w14:textId="77777777" w:rsidR="00A67167" w:rsidRPr="00FC6A6C" w:rsidRDefault="00A67167" w:rsidP="00F04877">
            <w:pPr>
              <w:pStyle w:val="-3"/>
              <w:rPr>
                <w:b/>
                <w:bCs/>
                <w:sz w:val="17"/>
                <w:szCs w:val="17"/>
                <w:rtl/>
              </w:rPr>
            </w:pPr>
            <w:r w:rsidRPr="00FC6A6C">
              <w:rPr>
                <w:b/>
                <w:bCs/>
                <w:sz w:val="17"/>
                <w:szCs w:val="17"/>
                <w:rtl/>
              </w:rPr>
              <w:t>(0)</w:t>
            </w:r>
          </w:p>
        </w:tc>
        <w:tc>
          <w:tcPr>
            <w:tcW w:w="747" w:type="dxa"/>
            <w:vAlign w:val="bottom"/>
          </w:tcPr>
          <w:p w14:paraId="02C7075D" w14:textId="77777777" w:rsidR="00A67167" w:rsidRPr="00FC6A6C" w:rsidRDefault="00A67167" w:rsidP="00F04877">
            <w:pPr>
              <w:pStyle w:val="-3"/>
              <w:rPr>
                <w:b/>
                <w:bCs/>
                <w:sz w:val="17"/>
                <w:szCs w:val="17"/>
                <w:rtl/>
              </w:rPr>
            </w:pPr>
            <w:r w:rsidRPr="00FC6A6C">
              <w:rPr>
                <w:b/>
                <w:bCs/>
                <w:sz w:val="17"/>
                <w:szCs w:val="17"/>
                <w:rtl/>
              </w:rPr>
              <w:t>(0)</w:t>
            </w:r>
          </w:p>
        </w:tc>
        <w:tc>
          <w:tcPr>
            <w:tcW w:w="673" w:type="dxa"/>
            <w:vAlign w:val="bottom"/>
          </w:tcPr>
          <w:p w14:paraId="28722A97" w14:textId="77777777" w:rsidR="00A67167" w:rsidRPr="00FC6A6C" w:rsidRDefault="00A67167" w:rsidP="00F04877">
            <w:pPr>
              <w:pStyle w:val="-3"/>
              <w:rPr>
                <w:b/>
                <w:bCs/>
                <w:sz w:val="17"/>
                <w:szCs w:val="17"/>
                <w:rtl/>
              </w:rPr>
            </w:pPr>
            <w:r w:rsidRPr="00FC6A6C">
              <w:rPr>
                <w:b/>
                <w:bCs/>
                <w:sz w:val="17"/>
                <w:szCs w:val="17"/>
                <w:rtl/>
              </w:rPr>
              <w:t xml:space="preserve"> 0</w:t>
            </w:r>
          </w:p>
        </w:tc>
        <w:tc>
          <w:tcPr>
            <w:tcW w:w="752" w:type="dxa"/>
            <w:vAlign w:val="bottom"/>
          </w:tcPr>
          <w:p w14:paraId="3ED8B85A" w14:textId="77777777" w:rsidR="00A67167" w:rsidRPr="00FC6A6C" w:rsidRDefault="00A67167" w:rsidP="00F04877">
            <w:pPr>
              <w:pStyle w:val="-3"/>
              <w:rPr>
                <w:b/>
                <w:bCs/>
                <w:sz w:val="17"/>
                <w:szCs w:val="17"/>
                <w:rtl/>
              </w:rPr>
            </w:pPr>
            <w:r w:rsidRPr="00FC6A6C">
              <w:rPr>
                <w:b/>
                <w:bCs/>
                <w:sz w:val="17"/>
                <w:szCs w:val="17"/>
                <w:rtl/>
              </w:rPr>
              <w:t>(0)</w:t>
            </w:r>
          </w:p>
        </w:tc>
        <w:tc>
          <w:tcPr>
            <w:tcW w:w="997" w:type="dxa"/>
          </w:tcPr>
          <w:p w14:paraId="1B2528D8" w14:textId="77777777" w:rsidR="00A67167" w:rsidRPr="00FC6A6C" w:rsidRDefault="00A67167" w:rsidP="00F04877">
            <w:pPr>
              <w:pStyle w:val="-3"/>
              <w:rPr>
                <w:b/>
                <w:bCs/>
                <w:sz w:val="17"/>
                <w:szCs w:val="17"/>
                <w:rtl/>
              </w:rPr>
            </w:pPr>
            <w:r w:rsidRPr="00FC6A6C">
              <w:rPr>
                <w:b/>
                <w:bCs/>
                <w:sz w:val="17"/>
                <w:szCs w:val="17"/>
                <w:rtl/>
              </w:rPr>
              <w:t xml:space="preserve"> 0</w:t>
            </w:r>
          </w:p>
        </w:tc>
        <w:tc>
          <w:tcPr>
            <w:tcW w:w="988" w:type="dxa"/>
            <w:vAlign w:val="bottom"/>
          </w:tcPr>
          <w:p w14:paraId="7B9C9944" w14:textId="77777777" w:rsidR="00A67167" w:rsidRPr="00FC6A6C" w:rsidRDefault="00A67167" w:rsidP="00F04877">
            <w:pPr>
              <w:pStyle w:val="-3"/>
              <w:rPr>
                <w:b/>
                <w:bCs/>
                <w:sz w:val="17"/>
                <w:szCs w:val="17"/>
                <w:rtl/>
              </w:rPr>
            </w:pPr>
            <w:r w:rsidRPr="00FC6A6C">
              <w:rPr>
                <w:b/>
                <w:bCs/>
                <w:sz w:val="17"/>
                <w:szCs w:val="17"/>
                <w:rtl/>
              </w:rPr>
              <w:t xml:space="preserve"> 0</w:t>
            </w:r>
          </w:p>
        </w:tc>
        <w:tc>
          <w:tcPr>
            <w:tcW w:w="1702" w:type="dxa"/>
            <w:vAlign w:val="bottom"/>
          </w:tcPr>
          <w:p w14:paraId="41B0CBC0" w14:textId="77777777" w:rsidR="00A67167" w:rsidRPr="00FC6A6C" w:rsidRDefault="00A67167" w:rsidP="00F04877">
            <w:pPr>
              <w:pStyle w:val="-3"/>
              <w:rPr>
                <w:b/>
                <w:bCs/>
                <w:sz w:val="17"/>
                <w:szCs w:val="17"/>
                <w:rtl/>
              </w:rPr>
            </w:pPr>
            <w:r w:rsidRPr="00FC6A6C">
              <w:rPr>
                <w:b/>
                <w:bCs/>
                <w:sz w:val="17"/>
                <w:szCs w:val="17"/>
                <w:rtl/>
              </w:rPr>
              <w:t xml:space="preserve">  0</w:t>
            </w:r>
          </w:p>
        </w:tc>
      </w:tr>
      <w:tr w:rsidR="00A67167" w:rsidRPr="00543C25" w14:paraId="03F339E4" w14:textId="77777777" w:rsidTr="00F04877">
        <w:tc>
          <w:tcPr>
            <w:tcW w:w="1560" w:type="dxa"/>
            <w:shd w:val="clear" w:color="auto" w:fill="auto"/>
          </w:tcPr>
          <w:p w14:paraId="354B5B60" w14:textId="77777777" w:rsidR="00A67167" w:rsidRPr="003425A3" w:rsidRDefault="00A67167" w:rsidP="00F04877">
            <w:pPr>
              <w:pStyle w:val="-0"/>
              <w:ind w:left="720"/>
              <w:rPr>
                <w:sz w:val="16"/>
                <w:szCs w:val="16"/>
                <w:rtl/>
              </w:rPr>
            </w:pPr>
          </w:p>
        </w:tc>
        <w:tc>
          <w:tcPr>
            <w:tcW w:w="3122" w:type="dxa"/>
            <w:tcBorders>
              <w:top w:val="nil"/>
              <w:left w:val="nil"/>
              <w:bottom w:val="nil"/>
              <w:right w:val="nil"/>
            </w:tcBorders>
            <w:shd w:val="clear" w:color="auto" w:fill="auto"/>
            <w:vAlign w:val="bottom"/>
          </w:tcPr>
          <w:p w14:paraId="26FD32D7" w14:textId="77777777" w:rsidR="00A67167" w:rsidRPr="00FC6A6C" w:rsidRDefault="00A67167" w:rsidP="00F04877">
            <w:pPr>
              <w:pStyle w:val="-f"/>
              <w:spacing w:before="60"/>
              <w:ind w:left="555" w:hanging="232"/>
              <w:rPr>
                <w:b w:val="0"/>
                <w:bCs w:val="0"/>
                <w:sz w:val="17"/>
                <w:szCs w:val="17"/>
                <w:rtl/>
              </w:rPr>
            </w:pPr>
            <w:r w:rsidRPr="00FC6A6C">
              <w:rPr>
                <w:sz w:val="16"/>
                <w:szCs w:val="16"/>
                <w:rtl/>
              </w:rPr>
              <w:t xml:space="preserve">התחייבויות </w:t>
            </w:r>
          </w:p>
        </w:tc>
        <w:tc>
          <w:tcPr>
            <w:tcW w:w="850" w:type="dxa"/>
            <w:vAlign w:val="bottom"/>
          </w:tcPr>
          <w:p w14:paraId="5A942816" w14:textId="77777777" w:rsidR="00A67167" w:rsidRDefault="00A67167" w:rsidP="00F04877">
            <w:pPr>
              <w:pStyle w:val="-3"/>
              <w:rPr>
                <w:sz w:val="17"/>
                <w:szCs w:val="17"/>
                <w:rtl/>
              </w:rPr>
            </w:pPr>
          </w:p>
        </w:tc>
        <w:tc>
          <w:tcPr>
            <w:tcW w:w="891" w:type="dxa"/>
            <w:tcBorders>
              <w:bottom w:val="nil"/>
            </w:tcBorders>
            <w:vAlign w:val="bottom"/>
          </w:tcPr>
          <w:p w14:paraId="00D2C6DD" w14:textId="77777777" w:rsidR="00A67167" w:rsidRDefault="00A67167" w:rsidP="00F04877">
            <w:pPr>
              <w:pStyle w:val="-3"/>
              <w:rPr>
                <w:sz w:val="17"/>
                <w:szCs w:val="17"/>
                <w:rtl/>
              </w:rPr>
            </w:pPr>
          </w:p>
        </w:tc>
        <w:tc>
          <w:tcPr>
            <w:tcW w:w="939" w:type="dxa"/>
            <w:tcBorders>
              <w:bottom w:val="nil"/>
            </w:tcBorders>
            <w:vAlign w:val="bottom"/>
          </w:tcPr>
          <w:p w14:paraId="3123AADB" w14:textId="77777777" w:rsidR="00A67167" w:rsidRDefault="00A67167" w:rsidP="00F04877">
            <w:pPr>
              <w:pStyle w:val="-3"/>
              <w:rPr>
                <w:sz w:val="17"/>
                <w:szCs w:val="17"/>
                <w:rtl/>
              </w:rPr>
            </w:pPr>
          </w:p>
        </w:tc>
        <w:tc>
          <w:tcPr>
            <w:tcW w:w="705" w:type="dxa"/>
            <w:tcBorders>
              <w:bottom w:val="nil"/>
            </w:tcBorders>
            <w:vAlign w:val="bottom"/>
          </w:tcPr>
          <w:p w14:paraId="405E7198" w14:textId="77777777" w:rsidR="00A67167" w:rsidRDefault="00A67167" w:rsidP="00F04877">
            <w:pPr>
              <w:pStyle w:val="-3"/>
              <w:rPr>
                <w:sz w:val="17"/>
                <w:szCs w:val="17"/>
                <w:rtl/>
              </w:rPr>
            </w:pPr>
          </w:p>
        </w:tc>
        <w:tc>
          <w:tcPr>
            <w:tcW w:w="829" w:type="dxa"/>
            <w:tcBorders>
              <w:bottom w:val="nil"/>
            </w:tcBorders>
            <w:vAlign w:val="bottom"/>
          </w:tcPr>
          <w:p w14:paraId="0238B7FD" w14:textId="77777777" w:rsidR="00A67167" w:rsidRDefault="00A67167" w:rsidP="00F04877">
            <w:pPr>
              <w:pStyle w:val="-3"/>
              <w:rPr>
                <w:sz w:val="17"/>
                <w:szCs w:val="17"/>
                <w:rtl/>
              </w:rPr>
            </w:pPr>
          </w:p>
        </w:tc>
        <w:tc>
          <w:tcPr>
            <w:tcW w:w="704" w:type="dxa"/>
            <w:tcBorders>
              <w:bottom w:val="nil"/>
            </w:tcBorders>
            <w:vAlign w:val="bottom"/>
          </w:tcPr>
          <w:p w14:paraId="54F725F2" w14:textId="77777777" w:rsidR="00A67167" w:rsidRDefault="00A67167" w:rsidP="00F04877">
            <w:pPr>
              <w:pStyle w:val="-3"/>
              <w:rPr>
                <w:sz w:val="17"/>
                <w:szCs w:val="17"/>
                <w:rtl/>
              </w:rPr>
            </w:pPr>
          </w:p>
        </w:tc>
        <w:tc>
          <w:tcPr>
            <w:tcW w:w="747" w:type="dxa"/>
            <w:tcBorders>
              <w:bottom w:val="nil"/>
            </w:tcBorders>
            <w:vAlign w:val="bottom"/>
          </w:tcPr>
          <w:p w14:paraId="2877A83C" w14:textId="77777777" w:rsidR="00A67167" w:rsidRDefault="00A67167" w:rsidP="00F04877">
            <w:pPr>
              <w:pStyle w:val="-3"/>
              <w:rPr>
                <w:sz w:val="17"/>
                <w:szCs w:val="17"/>
                <w:rtl/>
              </w:rPr>
            </w:pPr>
          </w:p>
        </w:tc>
        <w:tc>
          <w:tcPr>
            <w:tcW w:w="673" w:type="dxa"/>
            <w:tcBorders>
              <w:bottom w:val="nil"/>
            </w:tcBorders>
            <w:vAlign w:val="bottom"/>
          </w:tcPr>
          <w:p w14:paraId="117DBED2" w14:textId="77777777" w:rsidR="00A67167" w:rsidRDefault="00A67167" w:rsidP="00F04877">
            <w:pPr>
              <w:pStyle w:val="-3"/>
              <w:rPr>
                <w:sz w:val="17"/>
                <w:szCs w:val="17"/>
                <w:rtl/>
              </w:rPr>
            </w:pPr>
          </w:p>
        </w:tc>
        <w:tc>
          <w:tcPr>
            <w:tcW w:w="752" w:type="dxa"/>
            <w:tcBorders>
              <w:bottom w:val="nil"/>
            </w:tcBorders>
            <w:vAlign w:val="bottom"/>
          </w:tcPr>
          <w:p w14:paraId="200E3A89" w14:textId="77777777" w:rsidR="00A67167" w:rsidRDefault="00A67167" w:rsidP="00F04877">
            <w:pPr>
              <w:pStyle w:val="-3"/>
              <w:rPr>
                <w:sz w:val="17"/>
                <w:szCs w:val="17"/>
                <w:rtl/>
              </w:rPr>
            </w:pPr>
          </w:p>
        </w:tc>
        <w:tc>
          <w:tcPr>
            <w:tcW w:w="997" w:type="dxa"/>
            <w:tcBorders>
              <w:bottom w:val="nil"/>
            </w:tcBorders>
            <w:vAlign w:val="bottom"/>
          </w:tcPr>
          <w:p w14:paraId="5CE84EBE" w14:textId="77777777" w:rsidR="00A67167" w:rsidRDefault="00A67167" w:rsidP="00F04877">
            <w:pPr>
              <w:pStyle w:val="-3"/>
              <w:rPr>
                <w:sz w:val="17"/>
                <w:szCs w:val="17"/>
                <w:rtl/>
              </w:rPr>
            </w:pPr>
          </w:p>
        </w:tc>
        <w:tc>
          <w:tcPr>
            <w:tcW w:w="988" w:type="dxa"/>
            <w:tcBorders>
              <w:bottom w:val="nil"/>
            </w:tcBorders>
            <w:vAlign w:val="bottom"/>
          </w:tcPr>
          <w:p w14:paraId="5721B8F9" w14:textId="77777777" w:rsidR="00A67167" w:rsidRDefault="00A67167" w:rsidP="00F04877">
            <w:pPr>
              <w:pStyle w:val="-3"/>
              <w:rPr>
                <w:sz w:val="17"/>
                <w:szCs w:val="17"/>
                <w:rtl/>
              </w:rPr>
            </w:pPr>
          </w:p>
        </w:tc>
        <w:tc>
          <w:tcPr>
            <w:tcW w:w="1702" w:type="dxa"/>
            <w:tcBorders>
              <w:bottom w:val="nil"/>
            </w:tcBorders>
            <w:vAlign w:val="bottom"/>
          </w:tcPr>
          <w:p w14:paraId="43C1FC27" w14:textId="77777777" w:rsidR="00A67167" w:rsidRDefault="00A67167" w:rsidP="00F04877">
            <w:pPr>
              <w:pStyle w:val="-3"/>
              <w:rPr>
                <w:sz w:val="17"/>
                <w:szCs w:val="17"/>
                <w:rtl/>
              </w:rPr>
            </w:pPr>
          </w:p>
        </w:tc>
      </w:tr>
      <w:tr w:rsidR="00A67167" w:rsidRPr="00543C25" w14:paraId="1A4BB3A0" w14:textId="77777777" w:rsidTr="00F04877">
        <w:tc>
          <w:tcPr>
            <w:tcW w:w="1560" w:type="dxa"/>
            <w:shd w:val="clear" w:color="auto" w:fill="auto"/>
          </w:tcPr>
          <w:p w14:paraId="25008B83" w14:textId="77777777" w:rsidR="00A67167" w:rsidRPr="003425A3" w:rsidRDefault="00A67167" w:rsidP="00F04877">
            <w:pPr>
              <w:pStyle w:val="-0"/>
              <w:spacing w:line="240" w:lineRule="auto"/>
              <w:ind w:left="720"/>
              <w:rPr>
                <w:sz w:val="16"/>
                <w:szCs w:val="16"/>
                <w:rtl/>
              </w:rPr>
            </w:pPr>
          </w:p>
        </w:tc>
        <w:tc>
          <w:tcPr>
            <w:tcW w:w="3122" w:type="dxa"/>
            <w:tcBorders>
              <w:top w:val="nil"/>
              <w:left w:val="nil"/>
              <w:bottom w:val="nil"/>
              <w:right w:val="nil"/>
            </w:tcBorders>
            <w:shd w:val="clear" w:color="auto" w:fill="auto"/>
            <w:vAlign w:val="bottom"/>
          </w:tcPr>
          <w:p w14:paraId="20F4F676" w14:textId="77777777" w:rsidR="00A67167" w:rsidRPr="00FC6A6C" w:rsidRDefault="00A67167" w:rsidP="00F04877">
            <w:pPr>
              <w:pStyle w:val="-0"/>
              <w:spacing w:line="240" w:lineRule="auto"/>
              <w:ind w:left="467" w:hanging="114"/>
              <w:rPr>
                <w:sz w:val="17"/>
                <w:szCs w:val="17"/>
                <w:rtl/>
              </w:rPr>
            </w:pPr>
            <w:r w:rsidRPr="00FC6A6C">
              <w:rPr>
                <w:rFonts w:hint="cs"/>
                <w:sz w:val="16"/>
                <w:szCs w:val="16"/>
                <w:rtl/>
              </w:rPr>
              <w:t xml:space="preserve">התחייבויות בגין מכשירים נגזרים </w:t>
            </w:r>
          </w:p>
        </w:tc>
        <w:tc>
          <w:tcPr>
            <w:tcW w:w="850" w:type="dxa"/>
            <w:vAlign w:val="bottom"/>
          </w:tcPr>
          <w:p w14:paraId="709FC67C" w14:textId="77777777" w:rsidR="00A67167" w:rsidRDefault="00A67167" w:rsidP="00F04877">
            <w:pPr>
              <w:pStyle w:val="-3"/>
              <w:spacing w:line="240" w:lineRule="auto"/>
              <w:rPr>
                <w:sz w:val="17"/>
                <w:szCs w:val="17"/>
                <w:rtl/>
              </w:rPr>
            </w:pPr>
            <w:r w:rsidRPr="00532A1C">
              <w:rPr>
                <w:sz w:val="17"/>
                <w:szCs w:val="17"/>
                <w:rtl/>
              </w:rPr>
              <w:t xml:space="preserve"> 0</w:t>
            </w:r>
          </w:p>
        </w:tc>
        <w:tc>
          <w:tcPr>
            <w:tcW w:w="891" w:type="dxa"/>
            <w:tcBorders>
              <w:bottom w:val="nil"/>
            </w:tcBorders>
            <w:vAlign w:val="bottom"/>
          </w:tcPr>
          <w:p w14:paraId="3C8E7709" w14:textId="77777777" w:rsidR="00A67167" w:rsidRDefault="00A67167" w:rsidP="00F04877">
            <w:pPr>
              <w:pStyle w:val="-3"/>
              <w:rPr>
                <w:sz w:val="17"/>
                <w:szCs w:val="17"/>
                <w:rtl/>
              </w:rPr>
            </w:pPr>
            <w:r w:rsidRPr="00532A1C">
              <w:rPr>
                <w:sz w:val="17"/>
                <w:szCs w:val="17"/>
                <w:rtl/>
              </w:rPr>
              <w:t xml:space="preserve"> 0 </w:t>
            </w:r>
          </w:p>
        </w:tc>
        <w:tc>
          <w:tcPr>
            <w:tcW w:w="939" w:type="dxa"/>
            <w:tcBorders>
              <w:bottom w:val="nil"/>
            </w:tcBorders>
            <w:vAlign w:val="bottom"/>
          </w:tcPr>
          <w:p w14:paraId="40797501" w14:textId="77777777" w:rsidR="00A67167" w:rsidRDefault="00A67167" w:rsidP="00F04877">
            <w:pPr>
              <w:pStyle w:val="-3"/>
              <w:spacing w:line="240" w:lineRule="auto"/>
              <w:rPr>
                <w:sz w:val="17"/>
                <w:szCs w:val="17"/>
                <w:rtl/>
              </w:rPr>
            </w:pPr>
            <w:r w:rsidRPr="00532A1C">
              <w:rPr>
                <w:sz w:val="17"/>
                <w:szCs w:val="17"/>
                <w:rtl/>
              </w:rPr>
              <w:t xml:space="preserve"> </w:t>
            </w:r>
            <w:r>
              <w:rPr>
                <w:rFonts w:hint="cs"/>
                <w:sz w:val="17"/>
                <w:szCs w:val="17"/>
                <w:rtl/>
              </w:rPr>
              <w:t>-</w:t>
            </w:r>
          </w:p>
        </w:tc>
        <w:tc>
          <w:tcPr>
            <w:tcW w:w="705" w:type="dxa"/>
            <w:tcBorders>
              <w:bottom w:val="nil"/>
            </w:tcBorders>
            <w:vAlign w:val="bottom"/>
          </w:tcPr>
          <w:p w14:paraId="0E8A6DF3" w14:textId="77777777" w:rsidR="00A67167" w:rsidRDefault="00A67167" w:rsidP="00F04877">
            <w:pPr>
              <w:pStyle w:val="-3"/>
              <w:spacing w:line="240" w:lineRule="auto"/>
              <w:rPr>
                <w:sz w:val="17"/>
                <w:szCs w:val="17"/>
                <w:rtl/>
              </w:rPr>
            </w:pPr>
            <w:r w:rsidRPr="00532A1C">
              <w:rPr>
                <w:sz w:val="17"/>
                <w:szCs w:val="17"/>
                <w:rtl/>
              </w:rPr>
              <w:t xml:space="preserve"> 0</w:t>
            </w:r>
          </w:p>
        </w:tc>
        <w:tc>
          <w:tcPr>
            <w:tcW w:w="829" w:type="dxa"/>
            <w:tcBorders>
              <w:bottom w:val="nil"/>
            </w:tcBorders>
            <w:vAlign w:val="bottom"/>
          </w:tcPr>
          <w:p w14:paraId="6FA8BACC" w14:textId="77777777" w:rsidR="00A67167" w:rsidRDefault="00A67167" w:rsidP="00F04877">
            <w:pPr>
              <w:pStyle w:val="-3"/>
              <w:spacing w:line="240" w:lineRule="auto"/>
              <w:rPr>
                <w:sz w:val="17"/>
                <w:szCs w:val="17"/>
                <w:rtl/>
              </w:rPr>
            </w:pPr>
            <w:r>
              <w:rPr>
                <w:rFonts w:hint="cs"/>
                <w:sz w:val="17"/>
                <w:szCs w:val="17"/>
                <w:rtl/>
              </w:rPr>
              <w:t xml:space="preserve"> 0</w:t>
            </w:r>
          </w:p>
        </w:tc>
        <w:tc>
          <w:tcPr>
            <w:tcW w:w="704" w:type="dxa"/>
            <w:tcBorders>
              <w:bottom w:val="nil"/>
            </w:tcBorders>
            <w:vAlign w:val="bottom"/>
          </w:tcPr>
          <w:p w14:paraId="371314CD" w14:textId="77777777" w:rsidR="00A67167" w:rsidRDefault="00A67167" w:rsidP="00F04877">
            <w:pPr>
              <w:pStyle w:val="-3"/>
              <w:spacing w:line="240" w:lineRule="auto"/>
              <w:rPr>
                <w:sz w:val="17"/>
                <w:szCs w:val="17"/>
                <w:rtl/>
              </w:rPr>
            </w:pPr>
            <w:r w:rsidRPr="00532A1C">
              <w:rPr>
                <w:sz w:val="17"/>
                <w:szCs w:val="17"/>
                <w:rtl/>
              </w:rPr>
              <w:t>(0)</w:t>
            </w:r>
          </w:p>
        </w:tc>
        <w:tc>
          <w:tcPr>
            <w:tcW w:w="747" w:type="dxa"/>
            <w:tcBorders>
              <w:bottom w:val="nil"/>
            </w:tcBorders>
            <w:vAlign w:val="bottom"/>
          </w:tcPr>
          <w:p w14:paraId="7211DD81" w14:textId="77777777" w:rsidR="00A67167" w:rsidRDefault="00A67167" w:rsidP="00F04877">
            <w:pPr>
              <w:pStyle w:val="-3"/>
              <w:spacing w:line="240" w:lineRule="auto"/>
              <w:rPr>
                <w:sz w:val="17"/>
                <w:szCs w:val="17"/>
                <w:rtl/>
              </w:rPr>
            </w:pPr>
            <w:r w:rsidRPr="00532A1C">
              <w:rPr>
                <w:sz w:val="17"/>
                <w:szCs w:val="17"/>
                <w:rtl/>
              </w:rPr>
              <w:t>(0)</w:t>
            </w:r>
          </w:p>
        </w:tc>
        <w:tc>
          <w:tcPr>
            <w:tcW w:w="673" w:type="dxa"/>
            <w:tcBorders>
              <w:bottom w:val="nil"/>
            </w:tcBorders>
            <w:vAlign w:val="bottom"/>
          </w:tcPr>
          <w:p w14:paraId="326B8052" w14:textId="77777777" w:rsidR="00A67167" w:rsidRDefault="00A67167" w:rsidP="00F04877">
            <w:pPr>
              <w:pStyle w:val="-3"/>
              <w:spacing w:line="240" w:lineRule="auto"/>
              <w:rPr>
                <w:sz w:val="17"/>
                <w:szCs w:val="17"/>
                <w:rtl/>
              </w:rPr>
            </w:pPr>
            <w:r w:rsidRPr="00532A1C">
              <w:rPr>
                <w:sz w:val="17"/>
                <w:szCs w:val="17"/>
                <w:rtl/>
              </w:rPr>
              <w:t xml:space="preserve"> 0</w:t>
            </w:r>
          </w:p>
        </w:tc>
        <w:tc>
          <w:tcPr>
            <w:tcW w:w="752" w:type="dxa"/>
            <w:tcBorders>
              <w:bottom w:val="nil"/>
            </w:tcBorders>
            <w:vAlign w:val="bottom"/>
          </w:tcPr>
          <w:p w14:paraId="61269757" w14:textId="77777777" w:rsidR="00A67167" w:rsidRDefault="00A67167" w:rsidP="00F04877">
            <w:pPr>
              <w:pStyle w:val="-3"/>
              <w:spacing w:line="240" w:lineRule="auto"/>
              <w:rPr>
                <w:sz w:val="17"/>
                <w:szCs w:val="17"/>
                <w:rtl/>
              </w:rPr>
            </w:pPr>
            <w:r w:rsidRPr="00532A1C">
              <w:rPr>
                <w:sz w:val="17"/>
                <w:szCs w:val="17"/>
                <w:rtl/>
              </w:rPr>
              <w:t>(0)</w:t>
            </w:r>
          </w:p>
        </w:tc>
        <w:tc>
          <w:tcPr>
            <w:tcW w:w="997" w:type="dxa"/>
            <w:tcBorders>
              <w:bottom w:val="nil"/>
            </w:tcBorders>
            <w:vAlign w:val="bottom"/>
          </w:tcPr>
          <w:p w14:paraId="2088BE5F" w14:textId="77777777" w:rsidR="00A67167" w:rsidRDefault="00A67167" w:rsidP="00F04877">
            <w:pPr>
              <w:pStyle w:val="-3"/>
              <w:spacing w:line="240" w:lineRule="auto"/>
              <w:rPr>
                <w:sz w:val="17"/>
                <w:szCs w:val="17"/>
                <w:rtl/>
              </w:rPr>
            </w:pPr>
            <w:r w:rsidRPr="00532A1C">
              <w:rPr>
                <w:sz w:val="17"/>
                <w:szCs w:val="17"/>
                <w:rtl/>
              </w:rPr>
              <w:t xml:space="preserve"> 0</w:t>
            </w:r>
          </w:p>
        </w:tc>
        <w:tc>
          <w:tcPr>
            <w:tcW w:w="988" w:type="dxa"/>
            <w:tcBorders>
              <w:bottom w:val="nil"/>
            </w:tcBorders>
            <w:vAlign w:val="bottom"/>
          </w:tcPr>
          <w:p w14:paraId="38FC0D37" w14:textId="77777777" w:rsidR="00A67167" w:rsidRDefault="00A67167" w:rsidP="00F04877">
            <w:pPr>
              <w:pStyle w:val="-3"/>
              <w:spacing w:line="240" w:lineRule="auto"/>
              <w:rPr>
                <w:sz w:val="17"/>
                <w:szCs w:val="17"/>
                <w:rtl/>
              </w:rPr>
            </w:pPr>
            <w:r w:rsidRPr="00532A1C">
              <w:rPr>
                <w:sz w:val="17"/>
                <w:szCs w:val="17"/>
                <w:rtl/>
              </w:rPr>
              <w:t xml:space="preserve"> 0</w:t>
            </w:r>
          </w:p>
        </w:tc>
        <w:tc>
          <w:tcPr>
            <w:tcW w:w="1702" w:type="dxa"/>
            <w:tcBorders>
              <w:bottom w:val="nil"/>
            </w:tcBorders>
            <w:vAlign w:val="bottom"/>
          </w:tcPr>
          <w:p w14:paraId="3893D47E" w14:textId="77777777" w:rsidR="00A67167" w:rsidRPr="0010257C" w:rsidRDefault="00A67167" w:rsidP="00F04877">
            <w:pPr>
              <w:pStyle w:val="-3"/>
              <w:tabs>
                <w:tab w:val="left" w:pos="195"/>
              </w:tabs>
              <w:spacing w:line="240" w:lineRule="auto"/>
              <w:rPr>
                <w:rtl/>
              </w:rPr>
            </w:pPr>
            <w:r w:rsidRPr="00532A1C">
              <w:rPr>
                <w:sz w:val="17"/>
                <w:szCs w:val="17"/>
                <w:rtl/>
              </w:rPr>
              <w:t xml:space="preserve">  0</w:t>
            </w:r>
          </w:p>
        </w:tc>
      </w:tr>
      <w:tr w:rsidR="00A67167" w:rsidRPr="00543C25" w14:paraId="7616C580" w14:textId="77777777" w:rsidTr="00F04877">
        <w:tc>
          <w:tcPr>
            <w:tcW w:w="1560" w:type="dxa"/>
            <w:tcBorders>
              <w:bottom w:val="nil"/>
            </w:tcBorders>
            <w:shd w:val="clear" w:color="auto" w:fill="auto"/>
          </w:tcPr>
          <w:p w14:paraId="6536D066" w14:textId="77777777" w:rsidR="00A67167" w:rsidRPr="003425A3" w:rsidRDefault="00A67167" w:rsidP="00F04877">
            <w:pPr>
              <w:pStyle w:val="-0"/>
              <w:spacing w:line="240" w:lineRule="auto"/>
              <w:ind w:left="432"/>
              <w:rPr>
                <w:sz w:val="16"/>
                <w:szCs w:val="16"/>
                <w:rtl/>
              </w:rPr>
            </w:pPr>
          </w:p>
        </w:tc>
        <w:tc>
          <w:tcPr>
            <w:tcW w:w="3122" w:type="dxa"/>
            <w:tcBorders>
              <w:top w:val="nil"/>
              <w:left w:val="nil"/>
              <w:bottom w:val="nil"/>
              <w:right w:val="nil"/>
            </w:tcBorders>
            <w:shd w:val="clear" w:color="auto" w:fill="auto"/>
            <w:vAlign w:val="bottom"/>
          </w:tcPr>
          <w:p w14:paraId="02E5B9A4" w14:textId="77777777" w:rsidR="00A67167" w:rsidRPr="00FC6A6C" w:rsidRDefault="00A67167" w:rsidP="00F04877">
            <w:pPr>
              <w:pStyle w:val="-0"/>
              <w:spacing w:line="240" w:lineRule="auto"/>
              <w:ind w:left="467" w:hanging="114"/>
              <w:rPr>
                <w:sz w:val="17"/>
                <w:szCs w:val="17"/>
                <w:rtl/>
              </w:rPr>
            </w:pPr>
            <w:r w:rsidRPr="00FC6A6C">
              <w:rPr>
                <w:rFonts w:hint="eastAsia"/>
                <w:sz w:val="16"/>
                <w:szCs w:val="16"/>
                <w:rtl/>
              </w:rPr>
              <w:t>אחר</w:t>
            </w:r>
            <w:r w:rsidRPr="00FC6A6C">
              <w:rPr>
                <w:rFonts w:hint="cs"/>
                <w:sz w:val="16"/>
                <w:szCs w:val="16"/>
                <w:rtl/>
              </w:rPr>
              <w:t xml:space="preserve"> [פרט אם מהותי]</w:t>
            </w:r>
          </w:p>
        </w:tc>
        <w:tc>
          <w:tcPr>
            <w:tcW w:w="850" w:type="dxa"/>
            <w:tcBorders>
              <w:bottom w:val="nil"/>
            </w:tcBorders>
            <w:vAlign w:val="bottom"/>
          </w:tcPr>
          <w:p w14:paraId="420F8139" w14:textId="77777777" w:rsidR="00A67167" w:rsidRDefault="00A6716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891" w:type="dxa"/>
            <w:tcBorders>
              <w:top w:val="nil"/>
              <w:bottom w:val="nil"/>
            </w:tcBorders>
            <w:vAlign w:val="bottom"/>
          </w:tcPr>
          <w:p w14:paraId="67DD4DD6" w14:textId="77777777" w:rsidR="00A67167" w:rsidRDefault="00A67167" w:rsidP="00F04877">
            <w:pPr>
              <w:pStyle w:val="-3"/>
              <w:pBdr>
                <w:bottom w:val="single" w:sz="4" w:space="1" w:color="auto"/>
              </w:pBdr>
              <w:rPr>
                <w:sz w:val="17"/>
                <w:szCs w:val="17"/>
                <w:rtl/>
              </w:rPr>
            </w:pPr>
            <w:r w:rsidRPr="00532A1C">
              <w:rPr>
                <w:sz w:val="17"/>
                <w:szCs w:val="17"/>
                <w:rtl/>
              </w:rPr>
              <w:t xml:space="preserve"> 0</w:t>
            </w:r>
            <w:r w:rsidRPr="00532A1C">
              <w:rPr>
                <w:sz w:val="17"/>
                <w:szCs w:val="17"/>
                <w:vertAlign w:val="superscript"/>
                <w:rtl/>
              </w:rPr>
              <w:t xml:space="preserve">(ג) </w:t>
            </w:r>
          </w:p>
        </w:tc>
        <w:tc>
          <w:tcPr>
            <w:tcW w:w="939" w:type="dxa"/>
            <w:tcBorders>
              <w:top w:val="nil"/>
              <w:bottom w:val="nil"/>
            </w:tcBorders>
            <w:vAlign w:val="bottom"/>
          </w:tcPr>
          <w:p w14:paraId="2FFFEB53" w14:textId="77777777" w:rsidR="00A67167" w:rsidRDefault="00A67167" w:rsidP="00F04877">
            <w:pPr>
              <w:pStyle w:val="-3"/>
              <w:pBdr>
                <w:bottom w:val="single" w:sz="4" w:space="1" w:color="auto"/>
              </w:pBdr>
              <w:spacing w:line="240" w:lineRule="auto"/>
              <w:rPr>
                <w:sz w:val="17"/>
                <w:szCs w:val="17"/>
                <w:rtl/>
              </w:rPr>
            </w:pPr>
            <w:r>
              <w:rPr>
                <w:rFonts w:hint="cs"/>
                <w:sz w:val="17"/>
                <w:szCs w:val="17"/>
                <w:rtl/>
              </w:rPr>
              <w:t xml:space="preserve"> -</w:t>
            </w:r>
          </w:p>
        </w:tc>
        <w:tc>
          <w:tcPr>
            <w:tcW w:w="705" w:type="dxa"/>
            <w:tcBorders>
              <w:top w:val="nil"/>
              <w:bottom w:val="nil"/>
            </w:tcBorders>
            <w:vAlign w:val="bottom"/>
          </w:tcPr>
          <w:p w14:paraId="07F3AE2A" w14:textId="77777777" w:rsidR="00A67167" w:rsidRDefault="00A6716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829" w:type="dxa"/>
            <w:tcBorders>
              <w:top w:val="nil"/>
              <w:bottom w:val="nil"/>
            </w:tcBorders>
            <w:vAlign w:val="bottom"/>
          </w:tcPr>
          <w:p w14:paraId="2A6D4106" w14:textId="77777777" w:rsidR="00A67167" w:rsidRDefault="00A6716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704" w:type="dxa"/>
            <w:tcBorders>
              <w:top w:val="nil"/>
              <w:bottom w:val="nil"/>
            </w:tcBorders>
            <w:vAlign w:val="bottom"/>
          </w:tcPr>
          <w:p w14:paraId="3C644CC3" w14:textId="77777777" w:rsidR="00A67167" w:rsidRDefault="00A6716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(0)</w:t>
            </w:r>
          </w:p>
        </w:tc>
        <w:tc>
          <w:tcPr>
            <w:tcW w:w="747" w:type="dxa"/>
            <w:tcBorders>
              <w:top w:val="nil"/>
              <w:bottom w:val="nil"/>
            </w:tcBorders>
            <w:vAlign w:val="bottom"/>
          </w:tcPr>
          <w:p w14:paraId="6EE1968D" w14:textId="77777777" w:rsidR="00A67167" w:rsidRDefault="00A6716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(0)</w:t>
            </w:r>
          </w:p>
        </w:tc>
        <w:tc>
          <w:tcPr>
            <w:tcW w:w="673" w:type="dxa"/>
            <w:tcBorders>
              <w:top w:val="nil"/>
              <w:bottom w:val="nil"/>
            </w:tcBorders>
            <w:vAlign w:val="bottom"/>
          </w:tcPr>
          <w:p w14:paraId="5F598486" w14:textId="77777777" w:rsidR="00A67167" w:rsidRDefault="00A6716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752" w:type="dxa"/>
            <w:tcBorders>
              <w:top w:val="nil"/>
              <w:bottom w:val="nil"/>
            </w:tcBorders>
            <w:vAlign w:val="bottom"/>
          </w:tcPr>
          <w:p w14:paraId="083DF8B4" w14:textId="77777777" w:rsidR="00A67167" w:rsidRDefault="00A6716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(0)</w:t>
            </w:r>
          </w:p>
        </w:tc>
        <w:tc>
          <w:tcPr>
            <w:tcW w:w="997" w:type="dxa"/>
            <w:tcBorders>
              <w:top w:val="nil"/>
              <w:bottom w:val="nil"/>
            </w:tcBorders>
            <w:vAlign w:val="bottom"/>
          </w:tcPr>
          <w:p w14:paraId="4C7AB3B5" w14:textId="77777777" w:rsidR="00A67167" w:rsidRDefault="00A6716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988" w:type="dxa"/>
            <w:tcBorders>
              <w:top w:val="nil"/>
              <w:bottom w:val="nil"/>
            </w:tcBorders>
            <w:vAlign w:val="bottom"/>
          </w:tcPr>
          <w:p w14:paraId="1A4D07F0" w14:textId="77777777" w:rsidR="00A67167" w:rsidRDefault="00A6716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p>
        </w:tc>
        <w:tc>
          <w:tcPr>
            <w:tcW w:w="1702" w:type="dxa"/>
            <w:tcBorders>
              <w:top w:val="nil"/>
              <w:bottom w:val="nil"/>
            </w:tcBorders>
            <w:vAlign w:val="bottom"/>
          </w:tcPr>
          <w:p w14:paraId="18364C38" w14:textId="77777777" w:rsidR="00A67167" w:rsidRDefault="00A67167" w:rsidP="00F04877">
            <w:pPr>
              <w:pStyle w:val="-120"/>
              <w:pBdr>
                <w:top w:val="none" w:sz="0" w:space="0" w:color="auto"/>
                <w:bottom w:val="single" w:sz="4" w:space="1" w:color="auto"/>
              </w:pBdr>
              <w:spacing w:line="240" w:lineRule="auto"/>
              <w:jc w:val="left"/>
              <w:rPr>
                <w:sz w:val="17"/>
                <w:szCs w:val="17"/>
                <w:rtl/>
              </w:rPr>
            </w:pPr>
            <w:r w:rsidRPr="00532A1C">
              <w:rPr>
                <w:sz w:val="17"/>
                <w:szCs w:val="17"/>
                <w:rtl/>
              </w:rPr>
              <w:t xml:space="preserve">  0</w:t>
            </w:r>
            <w:r w:rsidRPr="00532A1C">
              <w:rPr>
                <w:sz w:val="17"/>
                <w:szCs w:val="17"/>
                <w:vertAlign w:val="superscript"/>
                <w:rtl/>
              </w:rPr>
              <w:t>(ג)</w:t>
            </w:r>
          </w:p>
        </w:tc>
      </w:tr>
      <w:tr w:rsidR="00A67167" w:rsidRPr="00543C25" w14:paraId="3EA995D1" w14:textId="77777777" w:rsidTr="00F04877">
        <w:tc>
          <w:tcPr>
            <w:tcW w:w="1560" w:type="dxa"/>
            <w:tcBorders>
              <w:bottom w:val="nil"/>
            </w:tcBorders>
            <w:shd w:val="clear" w:color="auto" w:fill="auto"/>
          </w:tcPr>
          <w:p w14:paraId="62A3B270" w14:textId="77777777" w:rsidR="00A67167" w:rsidRDefault="00A67167" w:rsidP="00F04877">
            <w:pPr>
              <w:pStyle w:val="-0"/>
              <w:ind w:left="560" w:hanging="114"/>
              <w:rPr>
                <w:sz w:val="16"/>
                <w:szCs w:val="16"/>
                <w:rtl/>
              </w:rPr>
            </w:pPr>
          </w:p>
        </w:tc>
        <w:tc>
          <w:tcPr>
            <w:tcW w:w="3122" w:type="dxa"/>
            <w:tcBorders>
              <w:top w:val="nil"/>
              <w:left w:val="nil"/>
              <w:bottom w:val="nil"/>
              <w:right w:val="nil"/>
            </w:tcBorders>
            <w:shd w:val="clear" w:color="auto" w:fill="auto"/>
            <w:vAlign w:val="bottom"/>
          </w:tcPr>
          <w:p w14:paraId="3D01651A" w14:textId="77777777" w:rsidR="00A67167" w:rsidRPr="00BF2D3B" w:rsidRDefault="00A67167" w:rsidP="00F04877">
            <w:pPr>
              <w:pStyle w:val="-f"/>
              <w:ind w:left="560" w:hanging="235"/>
              <w:rPr>
                <w:b w:val="0"/>
                <w:bCs w:val="0"/>
                <w:sz w:val="17"/>
                <w:szCs w:val="17"/>
                <w:u w:val="none"/>
                <w:rtl/>
              </w:rPr>
            </w:pPr>
            <w:r w:rsidRPr="00BF2D3B">
              <w:rPr>
                <w:sz w:val="16"/>
                <w:szCs w:val="16"/>
                <w:u w:val="none"/>
                <w:rtl/>
              </w:rPr>
              <w:t xml:space="preserve">סך </w:t>
            </w:r>
            <w:r w:rsidRPr="00BF2D3B">
              <w:rPr>
                <w:rFonts w:hint="cs"/>
                <w:sz w:val="16"/>
                <w:szCs w:val="16"/>
                <w:u w:val="none"/>
                <w:rtl/>
              </w:rPr>
              <w:t>כל ההתחייבויות</w:t>
            </w:r>
          </w:p>
        </w:tc>
        <w:tc>
          <w:tcPr>
            <w:tcW w:w="850" w:type="dxa"/>
            <w:tcBorders>
              <w:bottom w:val="nil"/>
            </w:tcBorders>
            <w:vAlign w:val="bottom"/>
          </w:tcPr>
          <w:p w14:paraId="79907E4B" w14:textId="77777777" w:rsidR="00A67167" w:rsidRPr="00FC6A6C" w:rsidRDefault="00A67167" w:rsidP="00F04877">
            <w:pPr>
              <w:pStyle w:val="-3"/>
              <w:rPr>
                <w:b/>
                <w:bCs/>
                <w:sz w:val="17"/>
                <w:szCs w:val="17"/>
                <w:rtl/>
              </w:rPr>
            </w:pPr>
            <w:r w:rsidRPr="00FC6A6C">
              <w:rPr>
                <w:b/>
                <w:bCs/>
                <w:sz w:val="17"/>
                <w:szCs w:val="17"/>
                <w:rtl/>
              </w:rPr>
              <w:t xml:space="preserve"> 0</w:t>
            </w:r>
          </w:p>
        </w:tc>
        <w:tc>
          <w:tcPr>
            <w:tcW w:w="891" w:type="dxa"/>
            <w:tcBorders>
              <w:bottom w:val="nil"/>
            </w:tcBorders>
            <w:vAlign w:val="bottom"/>
          </w:tcPr>
          <w:p w14:paraId="3749FA02" w14:textId="77777777" w:rsidR="00A67167" w:rsidRPr="00FC6A6C" w:rsidRDefault="00A67167" w:rsidP="00F04877">
            <w:pPr>
              <w:pStyle w:val="-3"/>
              <w:rPr>
                <w:b/>
                <w:bCs/>
                <w:sz w:val="17"/>
                <w:szCs w:val="17"/>
                <w:rtl/>
              </w:rPr>
            </w:pPr>
            <w:r w:rsidRPr="00FC6A6C">
              <w:rPr>
                <w:b/>
                <w:bCs/>
                <w:sz w:val="17"/>
                <w:szCs w:val="17"/>
                <w:rtl/>
              </w:rPr>
              <w:t xml:space="preserve"> 0</w:t>
            </w:r>
          </w:p>
        </w:tc>
        <w:tc>
          <w:tcPr>
            <w:tcW w:w="939" w:type="dxa"/>
            <w:tcBorders>
              <w:bottom w:val="nil"/>
            </w:tcBorders>
            <w:vAlign w:val="bottom"/>
          </w:tcPr>
          <w:p w14:paraId="2C08F4D2" w14:textId="77777777" w:rsidR="00A67167" w:rsidRPr="00FC6A6C" w:rsidRDefault="00A67167" w:rsidP="00F04877">
            <w:pPr>
              <w:pStyle w:val="-3"/>
              <w:rPr>
                <w:b/>
                <w:bCs/>
                <w:sz w:val="17"/>
                <w:szCs w:val="17"/>
                <w:rtl/>
              </w:rPr>
            </w:pPr>
            <w:r w:rsidRPr="00FC6A6C">
              <w:rPr>
                <w:b/>
                <w:bCs/>
                <w:sz w:val="17"/>
                <w:szCs w:val="17"/>
                <w:rtl/>
              </w:rPr>
              <w:t xml:space="preserve"> 0</w:t>
            </w:r>
          </w:p>
        </w:tc>
        <w:tc>
          <w:tcPr>
            <w:tcW w:w="705" w:type="dxa"/>
            <w:tcBorders>
              <w:bottom w:val="nil"/>
            </w:tcBorders>
            <w:vAlign w:val="bottom"/>
          </w:tcPr>
          <w:p w14:paraId="6EA4EAD0" w14:textId="77777777" w:rsidR="00A67167" w:rsidRPr="00FC6A6C" w:rsidRDefault="00A67167" w:rsidP="00F04877">
            <w:pPr>
              <w:pStyle w:val="-3"/>
              <w:rPr>
                <w:b/>
                <w:bCs/>
                <w:sz w:val="17"/>
                <w:szCs w:val="17"/>
                <w:rtl/>
              </w:rPr>
            </w:pPr>
            <w:r w:rsidRPr="00FC6A6C">
              <w:rPr>
                <w:b/>
                <w:bCs/>
                <w:sz w:val="17"/>
                <w:szCs w:val="17"/>
                <w:rtl/>
              </w:rPr>
              <w:t xml:space="preserve"> 0</w:t>
            </w:r>
          </w:p>
        </w:tc>
        <w:tc>
          <w:tcPr>
            <w:tcW w:w="829" w:type="dxa"/>
            <w:tcBorders>
              <w:bottom w:val="nil"/>
            </w:tcBorders>
            <w:vAlign w:val="bottom"/>
          </w:tcPr>
          <w:p w14:paraId="47D11530" w14:textId="77777777" w:rsidR="00A67167" w:rsidRPr="00FC6A6C" w:rsidRDefault="00A67167" w:rsidP="00F04877">
            <w:pPr>
              <w:pStyle w:val="-3"/>
              <w:rPr>
                <w:b/>
                <w:bCs/>
                <w:sz w:val="17"/>
                <w:szCs w:val="17"/>
                <w:rtl/>
              </w:rPr>
            </w:pPr>
            <w:r w:rsidRPr="00FC6A6C">
              <w:rPr>
                <w:b/>
                <w:bCs/>
                <w:sz w:val="17"/>
                <w:szCs w:val="17"/>
                <w:rtl/>
              </w:rPr>
              <w:t xml:space="preserve"> 0</w:t>
            </w:r>
          </w:p>
        </w:tc>
        <w:tc>
          <w:tcPr>
            <w:tcW w:w="704" w:type="dxa"/>
            <w:tcBorders>
              <w:bottom w:val="nil"/>
            </w:tcBorders>
            <w:vAlign w:val="bottom"/>
          </w:tcPr>
          <w:p w14:paraId="3B26B45F" w14:textId="77777777" w:rsidR="00A67167" w:rsidRPr="00FC6A6C" w:rsidRDefault="00A67167" w:rsidP="00F04877">
            <w:pPr>
              <w:pStyle w:val="-3"/>
              <w:rPr>
                <w:b/>
                <w:bCs/>
                <w:sz w:val="17"/>
                <w:szCs w:val="17"/>
                <w:rtl/>
              </w:rPr>
            </w:pPr>
            <w:r w:rsidRPr="00FC6A6C">
              <w:rPr>
                <w:b/>
                <w:bCs/>
                <w:sz w:val="17"/>
                <w:szCs w:val="17"/>
                <w:rtl/>
              </w:rPr>
              <w:t>(0)</w:t>
            </w:r>
          </w:p>
        </w:tc>
        <w:tc>
          <w:tcPr>
            <w:tcW w:w="747" w:type="dxa"/>
            <w:tcBorders>
              <w:bottom w:val="nil"/>
            </w:tcBorders>
            <w:vAlign w:val="bottom"/>
          </w:tcPr>
          <w:p w14:paraId="56E2637F" w14:textId="77777777" w:rsidR="00A67167" w:rsidRPr="00FC6A6C" w:rsidRDefault="00A67167" w:rsidP="00F04877">
            <w:pPr>
              <w:pStyle w:val="-3"/>
              <w:rPr>
                <w:b/>
                <w:bCs/>
                <w:sz w:val="17"/>
                <w:szCs w:val="17"/>
                <w:rtl/>
              </w:rPr>
            </w:pPr>
            <w:r w:rsidRPr="00FC6A6C">
              <w:rPr>
                <w:b/>
                <w:bCs/>
                <w:sz w:val="17"/>
                <w:szCs w:val="17"/>
                <w:rtl/>
              </w:rPr>
              <w:t>(0)</w:t>
            </w:r>
          </w:p>
        </w:tc>
        <w:tc>
          <w:tcPr>
            <w:tcW w:w="673" w:type="dxa"/>
            <w:tcBorders>
              <w:bottom w:val="nil"/>
            </w:tcBorders>
            <w:vAlign w:val="bottom"/>
          </w:tcPr>
          <w:p w14:paraId="460FE7D0" w14:textId="77777777" w:rsidR="00A67167" w:rsidRPr="00FC6A6C" w:rsidRDefault="00A67167" w:rsidP="00F04877">
            <w:pPr>
              <w:pStyle w:val="-3"/>
              <w:rPr>
                <w:b/>
                <w:bCs/>
                <w:sz w:val="17"/>
                <w:szCs w:val="17"/>
                <w:rtl/>
              </w:rPr>
            </w:pPr>
            <w:r w:rsidRPr="00FC6A6C">
              <w:rPr>
                <w:b/>
                <w:bCs/>
                <w:sz w:val="17"/>
                <w:szCs w:val="17"/>
                <w:rtl/>
              </w:rPr>
              <w:t xml:space="preserve"> 0</w:t>
            </w:r>
          </w:p>
        </w:tc>
        <w:tc>
          <w:tcPr>
            <w:tcW w:w="752" w:type="dxa"/>
            <w:tcBorders>
              <w:bottom w:val="nil"/>
            </w:tcBorders>
            <w:vAlign w:val="bottom"/>
          </w:tcPr>
          <w:p w14:paraId="6B3CE6E2" w14:textId="77777777" w:rsidR="00A67167" w:rsidRPr="00FC6A6C" w:rsidRDefault="00A67167" w:rsidP="00F04877">
            <w:pPr>
              <w:pStyle w:val="-3"/>
              <w:rPr>
                <w:b/>
                <w:bCs/>
                <w:sz w:val="17"/>
                <w:szCs w:val="17"/>
                <w:rtl/>
              </w:rPr>
            </w:pPr>
            <w:r w:rsidRPr="00FC6A6C">
              <w:rPr>
                <w:b/>
                <w:bCs/>
                <w:sz w:val="17"/>
                <w:szCs w:val="17"/>
                <w:rtl/>
              </w:rPr>
              <w:t>(0)</w:t>
            </w:r>
          </w:p>
        </w:tc>
        <w:tc>
          <w:tcPr>
            <w:tcW w:w="997" w:type="dxa"/>
            <w:tcBorders>
              <w:bottom w:val="nil"/>
            </w:tcBorders>
          </w:tcPr>
          <w:p w14:paraId="1A726184" w14:textId="77777777" w:rsidR="00A67167" w:rsidRPr="00FC6A6C" w:rsidRDefault="00A67167" w:rsidP="00F04877">
            <w:pPr>
              <w:pStyle w:val="-3"/>
              <w:rPr>
                <w:b/>
                <w:bCs/>
                <w:sz w:val="17"/>
                <w:szCs w:val="17"/>
                <w:rtl/>
              </w:rPr>
            </w:pPr>
            <w:r w:rsidRPr="00FC6A6C">
              <w:rPr>
                <w:b/>
                <w:bCs/>
                <w:sz w:val="17"/>
                <w:szCs w:val="17"/>
                <w:rtl/>
              </w:rPr>
              <w:t xml:space="preserve"> 0</w:t>
            </w:r>
          </w:p>
        </w:tc>
        <w:tc>
          <w:tcPr>
            <w:tcW w:w="988" w:type="dxa"/>
            <w:tcBorders>
              <w:bottom w:val="nil"/>
            </w:tcBorders>
            <w:vAlign w:val="bottom"/>
          </w:tcPr>
          <w:p w14:paraId="3113D0B5" w14:textId="77777777" w:rsidR="00A67167" w:rsidRPr="00FC6A6C" w:rsidRDefault="00A67167" w:rsidP="00F04877">
            <w:pPr>
              <w:pStyle w:val="-3"/>
              <w:rPr>
                <w:b/>
                <w:bCs/>
                <w:sz w:val="17"/>
                <w:szCs w:val="17"/>
                <w:rtl/>
              </w:rPr>
            </w:pPr>
            <w:r w:rsidRPr="00FC6A6C">
              <w:rPr>
                <w:b/>
                <w:bCs/>
                <w:sz w:val="17"/>
                <w:szCs w:val="17"/>
                <w:rtl/>
              </w:rPr>
              <w:t xml:space="preserve"> 0</w:t>
            </w:r>
          </w:p>
        </w:tc>
        <w:tc>
          <w:tcPr>
            <w:tcW w:w="1702" w:type="dxa"/>
            <w:tcBorders>
              <w:bottom w:val="nil"/>
            </w:tcBorders>
            <w:vAlign w:val="bottom"/>
          </w:tcPr>
          <w:p w14:paraId="603A7BBB" w14:textId="77777777" w:rsidR="00A67167" w:rsidRPr="00FC6A6C" w:rsidRDefault="00A67167" w:rsidP="00F04877">
            <w:pPr>
              <w:pStyle w:val="-3"/>
              <w:rPr>
                <w:b/>
                <w:bCs/>
                <w:sz w:val="17"/>
                <w:szCs w:val="17"/>
                <w:rtl/>
              </w:rPr>
            </w:pPr>
            <w:r w:rsidRPr="00FC6A6C">
              <w:rPr>
                <w:b/>
                <w:bCs/>
                <w:sz w:val="17"/>
                <w:szCs w:val="17"/>
                <w:rtl/>
              </w:rPr>
              <w:t xml:space="preserve">  0</w:t>
            </w:r>
          </w:p>
        </w:tc>
      </w:tr>
    </w:tbl>
    <w:p w14:paraId="11A80FCF" w14:textId="77777777" w:rsidR="00EE5E6B" w:rsidRDefault="00EE5E6B"/>
    <w:p w14:paraId="5129BB91" w14:textId="77777777" w:rsidR="00CC442F" w:rsidRDefault="00CC442F"/>
    <w:tbl>
      <w:tblPr>
        <w:bidiVisual/>
        <w:tblW w:w="14678" w:type="dxa"/>
        <w:tblLayout w:type="fixed"/>
        <w:tblLook w:val="01E0" w:firstRow="1" w:lastRow="1" w:firstColumn="1" w:lastColumn="1" w:noHBand="0" w:noVBand="0"/>
      </w:tblPr>
      <w:tblGrid>
        <w:gridCol w:w="1640"/>
        <w:gridCol w:w="13038"/>
      </w:tblGrid>
      <w:tr w:rsidR="00FC6A6C" w:rsidRPr="00FC6A6C" w14:paraId="46D91550" w14:textId="77777777" w:rsidTr="00705CEB">
        <w:trPr>
          <w:trHeight w:val="245"/>
        </w:trPr>
        <w:tc>
          <w:tcPr>
            <w:tcW w:w="1640" w:type="dxa"/>
          </w:tcPr>
          <w:p w14:paraId="014455FD" w14:textId="77777777" w:rsidR="00FC6A6C" w:rsidRPr="00FC6A6C" w:rsidRDefault="00FC6A6C" w:rsidP="00400DD1">
            <w:pPr>
              <w:spacing w:before="20"/>
              <w:ind w:right="-142"/>
              <w:jc w:val="left"/>
              <w:rPr>
                <w:spacing w:val="-6"/>
                <w:sz w:val="14"/>
                <w:szCs w:val="14"/>
                <w:rtl/>
              </w:rPr>
            </w:pPr>
          </w:p>
        </w:tc>
        <w:tc>
          <w:tcPr>
            <w:tcW w:w="13038" w:type="dxa"/>
          </w:tcPr>
          <w:p w14:paraId="35A37D7D" w14:textId="77777777" w:rsidR="00FC6A6C" w:rsidRPr="00FC6A6C" w:rsidRDefault="00FC6A6C" w:rsidP="00400DD1">
            <w:pPr>
              <w:tabs>
                <w:tab w:val="left" w:pos="446"/>
              </w:tabs>
              <w:ind w:left="448" w:hanging="448"/>
              <w:rPr>
                <w:sz w:val="16"/>
                <w:szCs w:val="16"/>
                <w:rtl/>
              </w:rPr>
            </w:pPr>
            <w:r w:rsidRPr="00FC6A6C">
              <w:rPr>
                <w:sz w:val="16"/>
                <w:szCs w:val="16"/>
                <w:rtl/>
              </w:rPr>
              <w:t>(א)</w:t>
            </w:r>
            <w:r w:rsidRPr="00FC6A6C">
              <w:rPr>
                <w:sz w:val="16"/>
                <w:szCs w:val="16"/>
                <w:rtl/>
              </w:rPr>
              <w:tab/>
            </w:r>
            <w:r w:rsidRPr="00FC6A6C">
              <w:rPr>
                <w:rFonts w:hint="eastAsia"/>
                <w:sz w:val="16"/>
                <w:szCs w:val="16"/>
                <w:rtl/>
              </w:rPr>
              <w:t>רווחים</w:t>
            </w:r>
            <w:r w:rsidRPr="00FC6A6C">
              <w:rPr>
                <w:sz w:val="16"/>
                <w:szCs w:val="16"/>
                <w:rtl/>
              </w:rPr>
              <w:t xml:space="preserve"> (הפסדים) </w:t>
            </w:r>
            <w:r w:rsidRPr="00FC6A6C">
              <w:rPr>
                <w:rFonts w:hint="eastAsia"/>
                <w:sz w:val="16"/>
                <w:szCs w:val="16"/>
                <w:rtl/>
              </w:rPr>
              <w:t>שמומשו</w:t>
            </w:r>
            <w:r w:rsidRPr="00FC6A6C">
              <w:rPr>
                <w:sz w:val="16"/>
                <w:szCs w:val="16"/>
                <w:rtl/>
              </w:rPr>
              <w:t xml:space="preserve"> </w:t>
            </w:r>
            <w:r w:rsidRPr="00FC6A6C">
              <w:rPr>
                <w:rFonts w:hint="eastAsia"/>
                <w:sz w:val="16"/>
                <w:szCs w:val="16"/>
                <w:rtl/>
              </w:rPr>
              <w:t>נכללו</w:t>
            </w:r>
            <w:r w:rsidRPr="00FC6A6C">
              <w:rPr>
                <w:sz w:val="16"/>
                <w:szCs w:val="16"/>
                <w:rtl/>
              </w:rPr>
              <w:t xml:space="preserve"> </w:t>
            </w:r>
            <w:r w:rsidRPr="00FC6A6C">
              <w:rPr>
                <w:rFonts w:hint="eastAsia"/>
                <w:sz w:val="16"/>
                <w:szCs w:val="16"/>
                <w:rtl/>
              </w:rPr>
              <w:t>בדוח</w:t>
            </w:r>
            <w:r w:rsidRPr="00FC6A6C">
              <w:rPr>
                <w:sz w:val="16"/>
                <w:szCs w:val="16"/>
                <w:rtl/>
              </w:rPr>
              <w:t xml:space="preserve"> </w:t>
            </w:r>
            <w:r w:rsidRPr="00FC6A6C">
              <w:rPr>
                <w:rFonts w:hint="eastAsia"/>
                <w:sz w:val="16"/>
                <w:szCs w:val="16"/>
                <w:rtl/>
              </w:rPr>
              <w:t>רווח</w:t>
            </w:r>
            <w:r w:rsidRPr="00FC6A6C">
              <w:rPr>
                <w:sz w:val="16"/>
                <w:szCs w:val="16"/>
                <w:rtl/>
              </w:rPr>
              <w:t xml:space="preserve"> </w:t>
            </w:r>
            <w:r w:rsidRPr="00FC6A6C">
              <w:rPr>
                <w:rFonts w:hint="eastAsia"/>
                <w:sz w:val="16"/>
                <w:szCs w:val="16"/>
                <w:rtl/>
              </w:rPr>
              <w:t>והפסד</w:t>
            </w:r>
            <w:r w:rsidRPr="00FC6A6C">
              <w:rPr>
                <w:sz w:val="16"/>
                <w:szCs w:val="16"/>
                <w:rtl/>
              </w:rPr>
              <w:t xml:space="preserve"> </w:t>
            </w:r>
            <w:r w:rsidRPr="00FC6A6C">
              <w:rPr>
                <w:rFonts w:hint="eastAsia"/>
                <w:sz w:val="16"/>
                <w:szCs w:val="16"/>
                <w:rtl/>
              </w:rPr>
              <w:t>בסעיף</w:t>
            </w:r>
            <w:r w:rsidRPr="00FC6A6C">
              <w:rPr>
                <w:sz w:val="16"/>
                <w:szCs w:val="16"/>
                <w:rtl/>
              </w:rPr>
              <w:t xml:space="preserve"> "הכנסות </w:t>
            </w:r>
            <w:r w:rsidRPr="00FC6A6C">
              <w:rPr>
                <w:rFonts w:hint="eastAsia"/>
                <w:sz w:val="16"/>
                <w:szCs w:val="16"/>
                <w:rtl/>
              </w:rPr>
              <w:t>מימון</w:t>
            </w:r>
            <w:r w:rsidRPr="00FC6A6C">
              <w:rPr>
                <w:sz w:val="16"/>
                <w:szCs w:val="16"/>
                <w:rtl/>
              </w:rPr>
              <w:t xml:space="preserve"> </w:t>
            </w:r>
            <w:r w:rsidRPr="00FC6A6C">
              <w:rPr>
                <w:rFonts w:hint="eastAsia"/>
                <w:sz w:val="16"/>
                <w:szCs w:val="16"/>
                <w:rtl/>
              </w:rPr>
              <w:t>שאינן</w:t>
            </w:r>
            <w:r w:rsidRPr="00FC6A6C">
              <w:rPr>
                <w:sz w:val="16"/>
                <w:szCs w:val="16"/>
                <w:rtl/>
              </w:rPr>
              <w:t xml:space="preserve"> </w:t>
            </w:r>
            <w:r w:rsidRPr="00FC6A6C">
              <w:rPr>
                <w:rFonts w:hint="eastAsia"/>
                <w:sz w:val="16"/>
                <w:szCs w:val="16"/>
                <w:rtl/>
              </w:rPr>
              <w:t>מריבית</w:t>
            </w:r>
            <w:r w:rsidRPr="00FC6A6C">
              <w:rPr>
                <w:sz w:val="16"/>
                <w:szCs w:val="16"/>
                <w:rtl/>
              </w:rPr>
              <w:t>".</w:t>
            </w:r>
          </w:p>
          <w:p w14:paraId="5C11EF30" w14:textId="77777777" w:rsidR="00FC6A6C" w:rsidRPr="00FC6A6C" w:rsidRDefault="00FC6A6C" w:rsidP="00400DD1">
            <w:pPr>
              <w:tabs>
                <w:tab w:val="left" w:pos="446"/>
              </w:tabs>
              <w:ind w:left="446" w:hanging="446"/>
              <w:rPr>
                <w:sz w:val="16"/>
                <w:szCs w:val="16"/>
                <w:rtl/>
              </w:rPr>
            </w:pPr>
            <w:r w:rsidRPr="00FC6A6C">
              <w:rPr>
                <w:sz w:val="16"/>
                <w:szCs w:val="16"/>
                <w:rtl/>
              </w:rPr>
              <w:tab/>
            </w:r>
            <w:r w:rsidRPr="00FC6A6C">
              <w:rPr>
                <w:rFonts w:hint="eastAsia"/>
                <w:sz w:val="16"/>
                <w:szCs w:val="16"/>
                <w:rtl/>
              </w:rPr>
              <w:t>רווחים</w:t>
            </w:r>
            <w:r w:rsidRPr="00FC6A6C">
              <w:rPr>
                <w:sz w:val="16"/>
                <w:szCs w:val="16"/>
                <w:rtl/>
              </w:rPr>
              <w:t xml:space="preserve"> (הפסדים) </w:t>
            </w:r>
            <w:r w:rsidRPr="00FC6A6C">
              <w:rPr>
                <w:rFonts w:hint="eastAsia"/>
                <w:sz w:val="16"/>
                <w:szCs w:val="16"/>
                <w:rtl/>
              </w:rPr>
              <w:t>שטרם</w:t>
            </w:r>
            <w:r w:rsidRPr="00FC6A6C">
              <w:rPr>
                <w:sz w:val="16"/>
                <w:szCs w:val="16"/>
                <w:rtl/>
              </w:rPr>
              <w:t xml:space="preserve"> </w:t>
            </w:r>
            <w:r w:rsidRPr="00FC6A6C">
              <w:rPr>
                <w:rFonts w:hint="eastAsia"/>
                <w:sz w:val="16"/>
                <w:szCs w:val="16"/>
                <w:rtl/>
              </w:rPr>
              <w:t>מומשו</w:t>
            </w:r>
            <w:r w:rsidRPr="00FC6A6C">
              <w:rPr>
                <w:sz w:val="16"/>
                <w:szCs w:val="16"/>
                <w:rtl/>
              </w:rPr>
              <w:t xml:space="preserve"> </w:t>
            </w:r>
            <w:r w:rsidRPr="00FC6A6C">
              <w:rPr>
                <w:rFonts w:hint="cs"/>
                <w:sz w:val="16"/>
                <w:szCs w:val="16"/>
                <w:rtl/>
              </w:rPr>
              <w:t xml:space="preserve">בגין אג"ח זמינות למכירה </w:t>
            </w:r>
            <w:r w:rsidRPr="00FC6A6C">
              <w:rPr>
                <w:rFonts w:hint="eastAsia"/>
                <w:sz w:val="16"/>
                <w:szCs w:val="16"/>
                <w:rtl/>
              </w:rPr>
              <w:t>נכללו</w:t>
            </w:r>
            <w:r w:rsidRPr="00FC6A6C">
              <w:rPr>
                <w:sz w:val="16"/>
                <w:szCs w:val="16"/>
                <w:rtl/>
              </w:rPr>
              <w:t xml:space="preserve"> </w:t>
            </w:r>
            <w:r w:rsidRPr="00FC6A6C">
              <w:rPr>
                <w:rFonts w:hint="eastAsia"/>
                <w:sz w:val="16"/>
                <w:szCs w:val="16"/>
                <w:rtl/>
              </w:rPr>
              <w:t>בדוח</w:t>
            </w:r>
            <w:r w:rsidRPr="00FC6A6C">
              <w:rPr>
                <w:sz w:val="16"/>
                <w:szCs w:val="16"/>
                <w:rtl/>
              </w:rPr>
              <w:t xml:space="preserve"> </w:t>
            </w:r>
            <w:r w:rsidRPr="00FC6A6C">
              <w:rPr>
                <w:rFonts w:hint="eastAsia"/>
                <w:sz w:val="16"/>
                <w:szCs w:val="16"/>
                <w:rtl/>
              </w:rPr>
              <w:t>על</w:t>
            </w:r>
            <w:r w:rsidRPr="00FC6A6C">
              <w:rPr>
                <w:sz w:val="16"/>
                <w:szCs w:val="16"/>
                <w:rtl/>
              </w:rPr>
              <w:t xml:space="preserve"> </w:t>
            </w:r>
            <w:r w:rsidRPr="00FC6A6C">
              <w:rPr>
                <w:rFonts w:hint="eastAsia"/>
                <w:sz w:val="16"/>
                <w:szCs w:val="16"/>
                <w:rtl/>
              </w:rPr>
              <w:t>הרווח</w:t>
            </w:r>
            <w:r w:rsidRPr="00FC6A6C">
              <w:rPr>
                <w:sz w:val="16"/>
                <w:szCs w:val="16"/>
                <w:rtl/>
              </w:rPr>
              <w:t xml:space="preserve"> </w:t>
            </w:r>
            <w:r w:rsidRPr="00FC6A6C">
              <w:rPr>
                <w:rFonts w:hint="eastAsia"/>
                <w:sz w:val="16"/>
                <w:szCs w:val="16"/>
                <w:rtl/>
              </w:rPr>
              <w:t>הכולל</w:t>
            </w:r>
            <w:r w:rsidRPr="00FC6A6C">
              <w:rPr>
                <w:sz w:val="16"/>
                <w:szCs w:val="16"/>
                <w:rtl/>
              </w:rPr>
              <w:t xml:space="preserve"> </w:t>
            </w:r>
            <w:r w:rsidRPr="00FC6A6C">
              <w:rPr>
                <w:rFonts w:hint="eastAsia"/>
                <w:sz w:val="16"/>
                <w:szCs w:val="16"/>
                <w:rtl/>
              </w:rPr>
              <w:t>האחר</w:t>
            </w:r>
            <w:r w:rsidRPr="00FC6A6C">
              <w:rPr>
                <w:sz w:val="16"/>
                <w:szCs w:val="16"/>
                <w:rtl/>
              </w:rPr>
              <w:t xml:space="preserve"> </w:t>
            </w:r>
            <w:r w:rsidRPr="00FC6A6C">
              <w:rPr>
                <w:rFonts w:hint="eastAsia"/>
                <w:sz w:val="16"/>
                <w:szCs w:val="16"/>
                <w:rtl/>
              </w:rPr>
              <w:t>בסעיף</w:t>
            </w:r>
            <w:r w:rsidRPr="00FC6A6C">
              <w:rPr>
                <w:sz w:val="16"/>
                <w:szCs w:val="16"/>
                <w:rtl/>
              </w:rPr>
              <w:t xml:space="preserve"> "התאמות </w:t>
            </w:r>
            <w:r w:rsidRPr="00FC6A6C">
              <w:rPr>
                <w:rFonts w:hint="cs"/>
                <w:sz w:val="16"/>
                <w:szCs w:val="16"/>
                <w:rtl/>
              </w:rPr>
              <w:t xml:space="preserve">נטו </w:t>
            </w:r>
            <w:r w:rsidRPr="00FC6A6C">
              <w:rPr>
                <w:rFonts w:hint="eastAsia"/>
                <w:sz w:val="16"/>
                <w:szCs w:val="16"/>
                <w:rtl/>
              </w:rPr>
              <w:t>בגין</w:t>
            </w:r>
            <w:r w:rsidRPr="00FC6A6C">
              <w:rPr>
                <w:sz w:val="16"/>
                <w:szCs w:val="16"/>
                <w:rtl/>
              </w:rPr>
              <w:t xml:space="preserve"> </w:t>
            </w:r>
            <w:r w:rsidRPr="00FC6A6C">
              <w:rPr>
                <w:rFonts w:hint="eastAsia"/>
                <w:sz w:val="16"/>
                <w:szCs w:val="16"/>
                <w:rtl/>
              </w:rPr>
              <w:t>הצגת</w:t>
            </w:r>
            <w:r w:rsidRPr="00FC6A6C">
              <w:rPr>
                <w:sz w:val="16"/>
                <w:szCs w:val="16"/>
                <w:rtl/>
              </w:rPr>
              <w:t xml:space="preserve"> </w:t>
            </w:r>
            <w:r w:rsidRPr="00FC6A6C">
              <w:rPr>
                <w:rFonts w:hint="cs"/>
                <w:sz w:val="16"/>
                <w:szCs w:val="16"/>
                <w:rtl/>
              </w:rPr>
              <w:t>איגרות חוב זמינות</w:t>
            </w:r>
            <w:r w:rsidRPr="00FC6A6C">
              <w:rPr>
                <w:sz w:val="16"/>
                <w:szCs w:val="16"/>
                <w:rtl/>
              </w:rPr>
              <w:t xml:space="preserve"> </w:t>
            </w:r>
            <w:r w:rsidRPr="00FC6A6C">
              <w:rPr>
                <w:rFonts w:hint="eastAsia"/>
                <w:sz w:val="16"/>
                <w:szCs w:val="16"/>
                <w:rtl/>
              </w:rPr>
              <w:t>למכירה</w:t>
            </w:r>
            <w:r w:rsidRPr="00FC6A6C">
              <w:rPr>
                <w:rFonts w:hint="cs"/>
                <w:sz w:val="16"/>
                <w:szCs w:val="16"/>
                <w:rtl/>
              </w:rPr>
              <w:t xml:space="preserve"> לפי שווי הוגן</w:t>
            </w:r>
            <w:r w:rsidRPr="00FC6A6C">
              <w:rPr>
                <w:sz w:val="16"/>
                <w:szCs w:val="16"/>
                <w:rtl/>
              </w:rPr>
              <w:t>".</w:t>
            </w:r>
          </w:p>
          <w:p w14:paraId="3711F462" w14:textId="77777777" w:rsidR="00FC6A6C" w:rsidRPr="00FC6A6C" w:rsidRDefault="00FC6A6C" w:rsidP="00400DD1">
            <w:pPr>
              <w:tabs>
                <w:tab w:val="left" w:pos="446"/>
              </w:tabs>
              <w:spacing w:after="40"/>
              <w:ind w:left="446" w:hanging="446"/>
              <w:rPr>
                <w:sz w:val="16"/>
                <w:szCs w:val="16"/>
                <w:rtl/>
              </w:rPr>
            </w:pPr>
            <w:r w:rsidRPr="00FC6A6C">
              <w:rPr>
                <w:rFonts w:hint="cs"/>
                <w:sz w:val="16"/>
                <w:szCs w:val="16"/>
                <w:rtl/>
              </w:rPr>
              <w:t xml:space="preserve">          רווחים (הפסדים) שטרם מומשו בגין מניות שאינן למסחר נכללו בדוח רווח והפסד בסעיף "הכנסות מימון שאינן מריבית".</w:t>
            </w:r>
          </w:p>
        </w:tc>
      </w:tr>
      <w:tr w:rsidR="00FC6A6C" w:rsidRPr="00FC6A6C" w14:paraId="7E118583" w14:textId="77777777" w:rsidTr="00705CEB">
        <w:trPr>
          <w:trHeight w:val="245"/>
        </w:trPr>
        <w:tc>
          <w:tcPr>
            <w:tcW w:w="1640" w:type="dxa"/>
          </w:tcPr>
          <w:p w14:paraId="1113835E" w14:textId="77777777" w:rsidR="00FC6A6C" w:rsidRPr="00FC6A6C" w:rsidRDefault="00FC6A6C" w:rsidP="00400DD1">
            <w:pPr>
              <w:spacing w:before="20"/>
              <w:ind w:right="-142"/>
              <w:jc w:val="left"/>
              <w:rPr>
                <w:spacing w:val="-6"/>
                <w:sz w:val="14"/>
                <w:szCs w:val="14"/>
                <w:rtl/>
              </w:rPr>
            </w:pPr>
          </w:p>
        </w:tc>
        <w:tc>
          <w:tcPr>
            <w:tcW w:w="13038" w:type="dxa"/>
          </w:tcPr>
          <w:p w14:paraId="34A376CE" w14:textId="77777777" w:rsidR="00FC6A6C" w:rsidRPr="00FC6A6C" w:rsidRDefault="00FC6A6C" w:rsidP="00400DD1">
            <w:pPr>
              <w:tabs>
                <w:tab w:val="left" w:pos="446"/>
              </w:tabs>
              <w:spacing w:after="40"/>
              <w:ind w:left="446" w:hanging="446"/>
              <w:rPr>
                <w:sz w:val="16"/>
                <w:szCs w:val="16"/>
                <w:rtl/>
              </w:rPr>
            </w:pPr>
            <w:r w:rsidRPr="00FC6A6C">
              <w:rPr>
                <w:sz w:val="16"/>
                <w:szCs w:val="16"/>
                <w:rtl/>
              </w:rPr>
              <w:t>(ב)</w:t>
            </w:r>
            <w:r w:rsidRPr="00FC6A6C">
              <w:rPr>
                <w:sz w:val="16"/>
                <w:szCs w:val="16"/>
                <w:rtl/>
              </w:rPr>
              <w:tab/>
            </w:r>
            <w:r w:rsidRPr="00FC6A6C">
              <w:rPr>
                <w:rFonts w:hint="eastAsia"/>
                <w:sz w:val="16"/>
                <w:szCs w:val="16"/>
                <w:rtl/>
              </w:rPr>
              <w:t>נכללו</w:t>
            </w:r>
            <w:r w:rsidRPr="00FC6A6C">
              <w:rPr>
                <w:sz w:val="16"/>
                <w:szCs w:val="16"/>
                <w:rtl/>
              </w:rPr>
              <w:t xml:space="preserve"> </w:t>
            </w:r>
            <w:r w:rsidRPr="00FC6A6C">
              <w:rPr>
                <w:rFonts w:hint="eastAsia"/>
                <w:sz w:val="16"/>
                <w:szCs w:val="16"/>
                <w:rtl/>
              </w:rPr>
              <w:t>בדוח</w:t>
            </w:r>
            <w:r w:rsidRPr="00FC6A6C">
              <w:rPr>
                <w:sz w:val="16"/>
                <w:szCs w:val="16"/>
                <w:rtl/>
              </w:rPr>
              <w:t xml:space="preserve"> </w:t>
            </w:r>
            <w:r w:rsidRPr="00FC6A6C">
              <w:rPr>
                <w:rFonts w:hint="eastAsia"/>
                <w:sz w:val="16"/>
                <w:szCs w:val="16"/>
                <w:rtl/>
              </w:rPr>
              <w:t>רווח</w:t>
            </w:r>
            <w:r w:rsidRPr="00FC6A6C">
              <w:rPr>
                <w:sz w:val="16"/>
                <w:szCs w:val="16"/>
                <w:rtl/>
              </w:rPr>
              <w:t xml:space="preserve"> </w:t>
            </w:r>
            <w:r w:rsidRPr="00FC6A6C">
              <w:rPr>
                <w:rFonts w:hint="eastAsia"/>
                <w:sz w:val="16"/>
                <w:szCs w:val="16"/>
                <w:rtl/>
              </w:rPr>
              <w:t>והפסד</w:t>
            </w:r>
            <w:r w:rsidRPr="00FC6A6C">
              <w:rPr>
                <w:sz w:val="16"/>
                <w:szCs w:val="16"/>
                <w:rtl/>
              </w:rPr>
              <w:t xml:space="preserve"> </w:t>
            </w:r>
            <w:r w:rsidRPr="00FC6A6C">
              <w:rPr>
                <w:rFonts w:hint="eastAsia"/>
                <w:sz w:val="16"/>
                <w:szCs w:val="16"/>
                <w:rtl/>
              </w:rPr>
              <w:t>בסעיף</w:t>
            </w:r>
            <w:r w:rsidRPr="00FC6A6C">
              <w:rPr>
                <w:sz w:val="16"/>
                <w:szCs w:val="16"/>
                <w:rtl/>
              </w:rPr>
              <w:t xml:space="preserve"> "הכנסות </w:t>
            </w:r>
            <w:r w:rsidRPr="00FC6A6C">
              <w:rPr>
                <w:rFonts w:hint="eastAsia"/>
                <w:sz w:val="16"/>
                <w:szCs w:val="16"/>
                <w:rtl/>
              </w:rPr>
              <w:t>מימון</w:t>
            </w:r>
            <w:r w:rsidRPr="00FC6A6C">
              <w:rPr>
                <w:sz w:val="16"/>
                <w:szCs w:val="16"/>
                <w:rtl/>
              </w:rPr>
              <w:t xml:space="preserve"> </w:t>
            </w:r>
            <w:r w:rsidRPr="00FC6A6C">
              <w:rPr>
                <w:rFonts w:hint="eastAsia"/>
                <w:sz w:val="16"/>
                <w:szCs w:val="16"/>
                <w:rtl/>
              </w:rPr>
              <w:t>שאינן</w:t>
            </w:r>
            <w:r w:rsidRPr="00FC6A6C">
              <w:rPr>
                <w:sz w:val="16"/>
                <w:szCs w:val="16"/>
                <w:rtl/>
              </w:rPr>
              <w:t xml:space="preserve"> </w:t>
            </w:r>
            <w:r w:rsidRPr="00FC6A6C">
              <w:rPr>
                <w:rFonts w:hint="eastAsia"/>
                <w:sz w:val="16"/>
                <w:szCs w:val="16"/>
                <w:rtl/>
              </w:rPr>
              <w:t>מריבית</w:t>
            </w:r>
            <w:r w:rsidRPr="00FC6A6C">
              <w:rPr>
                <w:sz w:val="16"/>
                <w:szCs w:val="16"/>
                <w:rtl/>
              </w:rPr>
              <w:t>".</w:t>
            </w:r>
          </w:p>
        </w:tc>
      </w:tr>
      <w:tr w:rsidR="00FC6A6C" w:rsidRPr="00FC6A6C" w14:paraId="6392766A" w14:textId="77777777" w:rsidTr="00705CEB">
        <w:trPr>
          <w:trHeight w:val="245"/>
        </w:trPr>
        <w:tc>
          <w:tcPr>
            <w:tcW w:w="1640" w:type="dxa"/>
          </w:tcPr>
          <w:p w14:paraId="013BFA24" w14:textId="77777777" w:rsidR="00FC6A6C" w:rsidRPr="00FC6A6C" w:rsidRDefault="00FC6A6C" w:rsidP="00400DD1">
            <w:pPr>
              <w:spacing w:before="20"/>
              <w:ind w:right="-142"/>
              <w:jc w:val="left"/>
              <w:rPr>
                <w:spacing w:val="-6"/>
                <w:sz w:val="14"/>
                <w:szCs w:val="14"/>
                <w:rtl/>
              </w:rPr>
            </w:pPr>
          </w:p>
        </w:tc>
        <w:tc>
          <w:tcPr>
            <w:tcW w:w="13038" w:type="dxa"/>
          </w:tcPr>
          <w:p w14:paraId="74F7DAD1" w14:textId="77777777" w:rsidR="00FC6A6C" w:rsidRPr="00FC6A6C" w:rsidRDefault="00FC6A6C" w:rsidP="00400DD1">
            <w:pPr>
              <w:tabs>
                <w:tab w:val="left" w:pos="446"/>
              </w:tabs>
              <w:ind w:left="446" w:hanging="446"/>
              <w:rPr>
                <w:sz w:val="16"/>
                <w:szCs w:val="16"/>
                <w:rtl/>
              </w:rPr>
            </w:pPr>
            <w:r w:rsidRPr="00FC6A6C">
              <w:rPr>
                <w:sz w:val="16"/>
                <w:szCs w:val="16"/>
                <w:rtl/>
              </w:rPr>
              <w:t>(ג)</w:t>
            </w:r>
            <w:r w:rsidRPr="00FC6A6C">
              <w:rPr>
                <w:sz w:val="16"/>
                <w:szCs w:val="16"/>
                <w:rtl/>
              </w:rPr>
              <w:tab/>
            </w:r>
            <w:r w:rsidRPr="00FC6A6C">
              <w:rPr>
                <w:rFonts w:hint="eastAsia"/>
                <w:sz w:val="16"/>
                <w:szCs w:val="16"/>
                <w:rtl/>
              </w:rPr>
              <w:t>נכללו</w:t>
            </w:r>
            <w:r w:rsidRPr="00FC6A6C">
              <w:rPr>
                <w:sz w:val="16"/>
                <w:szCs w:val="16"/>
                <w:rtl/>
              </w:rPr>
              <w:t xml:space="preserve"> </w:t>
            </w:r>
            <w:r w:rsidRPr="00FC6A6C">
              <w:rPr>
                <w:rFonts w:hint="eastAsia"/>
                <w:sz w:val="16"/>
                <w:szCs w:val="16"/>
                <w:rtl/>
              </w:rPr>
              <w:t>בדוח</w:t>
            </w:r>
            <w:r w:rsidRPr="00FC6A6C">
              <w:rPr>
                <w:sz w:val="16"/>
                <w:szCs w:val="16"/>
                <w:rtl/>
              </w:rPr>
              <w:t xml:space="preserve"> </w:t>
            </w:r>
            <w:r w:rsidRPr="00FC6A6C">
              <w:rPr>
                <w:rFonts w:hint="eastAsia"/>
                <w:sz w:val="16"/>
                <w:szCs w:val="16"/>
                <w:rtl/>
              </w:rPr>
              <w:t>רווח</w:t>
            </w:r>
            <w:r w:rsidRPr="00FC6A6C">
              <w:rPr>
                <w:sz w:val="16"/>
                <w:szCs w:val="16"/>
                <w:rtl/>
              </w:rPr>
              <w:t xml:space="preserve"> </w:t>
            </w:r>
            <w:r w:rsidRPr="00FC6A6C">
              <w:rPr>
                <w:rFonts w:hint="eastAsia"/>
                <w:sz w:val="16"/>
                <w:szCs w:val="16"/>
                <w:rtl/>
              </w:rPr>
              <w:t>והפסד</w:t>
            </w:r>
            <w:r w:rsidRPr="00FC6A6C">
              <w:rPr>
                <w:sz w:val="16"/>
                <w:szCs w:val="16"/>
                <w:rtl/>
              </w:rPr>
              <w:t xml:space="preserve"> </w:t>
            </w:r>
            <w:r w:rsidRPr="00FC6A6C">
              <w:rPr>
                <w:rFonts w:hint="eastAsia"/>
                <w:sz w:val="16"/>
                <w:szCs w:val="16"/>
                <w:rtl/>
              </w:rPr>
              <w:t>בסעיף</w:t>
            </w:r>
            <w:r w:rsidRPr="00FC6A6C">
              <w:rPr>
                <w:sz w:val="16"/>
                <w:szCs w:val="16"/>
                <w:rtl/>
              </w:rPr>
              <w:t xml:space="preserve"> "_____".</w:t>
            </w:r>
          </w:p>
        </w:tc>
      </w:tr>
      <w:tr w:rsidR="001860AA" w:rsidRPr="00FC6A6C" w14:paraId="28CA2DA9" w14:textId="77777777" w:rsidTr="00705CEB">
        <w:trPr>
          <w:trHeight w:val="245"/>
        </w:trPr>
        <w:tc>
          <w:tcPr>
            <w:tcW w:w="1640" w:type="dxa"/>
          </w:tcPr>
          <w:p w14:paraId="34ADAE82" w14:textId="77777777" w:rsidR="001860AA" w:rsidRPr="00FC6A6C" w:rsidRDefault="001860AA" w:rsidP="00400DD1">
            <w:pPr>
              <w:spacing w:before="20"/>
              <w:ind w:right="-142"/>
              <w:jc w:val="left"/>
              <w:rPr>
                <w:spacing w:val="-6"/>
                <w:sz w:val="14"/>
                <w:szCs w:val="14"/>
                <w:rtl/>
              </w:rPr>
            </w:pPr>
          </w:p>
        </w:tc>
        <w:tc>
          <w:tcPr>
            <w:tcW w:w="13038" w:type="dxa"/>
          </w:tcPr>
          <w:p w14:paraId="060C8154" w14:textId="06948D2E" w:rsidR="001860AA" w:rsidRPr="00FC6A6C" w:rsidRDefault="001860AA" w:rsidP="001860AA">
            <w:pPr>
              <w:tabs>
                <w:tab w:val="left" w:pos="446"/>
              </w:tabs>
              <w:ind w:left="446" w:hanging="446"/>
              <w:rPr>
                <w:sz w:val="16"/>
                <w:szCs w:val="16"/>
                <w:rtl/>
              </w:rPr>
            </w:pPr>
            <w:r w:rsidRPr="00FC6A6C">
              <w:rPr>
                <w:sz w:val="16"/>
                <w:szCs w:val="16"/>
                <w:rtl/>
              </w:rPr>
              <w:t>(</w:t>
            </w:r>
            <w:r w:rsidR="000B08A1">
              <w:rPr>
                <w:rFonts w:hint="cs"/>
                <w:sz w:val="16"/>
                <w:szCs w:val="16"/>
                <w:rtl/>
              </w:rPr>
              <w:t>ד</w:t>
            </w:r>
            <w:r w:rsidRPr="00FC6A6C">
              <w:rPr>
                <w:sz w:val="16"/>
                <w:szCs w:val="16"/>
                <w:rtl/>
              </w:rPr>
              <w:t>)</w:t>
            </w:r>
            <w:r>
              <w:rPr>
                <w:rFonts w:hint="cs"/>
                <w:sz w:val="16"/>
                <w:szCs w:val="16"/>
                <w:rtl/>
              </w:rPr>
              <w:t xml:space="preserve">      </w:t>
            </w:r>
            <w:r w:rsidRPr="001860AA">
              <w:rPr>
                <w:sz w:val="16"/>
                <w:szCs w:val="16"/>
                <w:rtl/>
              </w:rPr>
              <w:t>לגבי כל העברה יש לתאר את הפריט ואת הסיבה להעברה</w:t>
            </w:r>
            <w:r w:rsidR="00031D02">
              <w:rPr>
                <w:rFonts w:hint="cs"/>
                <w:sz w:val="16"/>
                <w:szCs w:val="16"/>
                <w:rtl/>
              </w:rPr>
              <w:t>.</w:t>
            </w:r>
          </w:p>
        </w:tc>
      </w:tr>
    </w:tbl>
    <w:p w14:paraId="677C2FE0" w14:textId="77777777" w:rsidR="00705CEB" w:rsidRDefault="00705CEB">
      <w:pPr>
        <w:rPr>
          <w:rtl/>
        </w:rPr>
      </w:pPr>
    </w:p>
    <w:p w14:paraId="4E95A91B" w14:textId="77777777" w:rsidR="00705CEB" w:rsidRDefault="00705CEB"/>
    <w:p w14:paraId="3F72B0C8" w14:textId="77777777" w:rsidR="00DA31AC" w:rsidRPr="00FC6A6C" w:rsidRDefault="00DA31AC" w:rsidP="00DA31AC">
      <w:pPr>
        <w:rPr>
          <w:rtl/>
        </w:rPr>
      </w:pPr>
    </w:p>
    <w:p w14:paraId="2DF4C87E" w14:textId="77777777" w:rsidR="00DA31AC" w:rsidRDefault="00DA31AC" w:rsidP="00DA31AC">
      <w:pPr>
        <w:rPr>
          <w:rtl/>
        </w:rPr>
      </w:pPr>
    </w:p>
    <w:p w14:paraId="22BC4977" w14:textId="77777777" w:rsidR="00DA31AC" w:rsidRDefault="00DA31AC" w:rsidP="00DA31AC">
      <w:pPr>
        <w:rPr>
          <w:rtl/>
        </w:rPr>
        <w:sectPr w:rsidR="00DA31AC" w:rsidSect="00587121">
          <w:headerReference w:type="even" r:id="rId64"/>
          <w:footnotePr>
            <w:numRestart w:val="eachPage"/>
          </w:footnotePr>
          <w:pgSz w:w="16834" w:h="11909" w:orient="landscape" w:code="9"/>
          <w:pgMar w:top="851" w:right="851" w:bottom="851" w:left="851" w:header="720" w:footer="720" w:gutter="0"/>
          <w:cols w:space="720"/>
          <w:bidi/>
          <w:rtlGutter/>
          <w:docGrid w:linePitch="360"/>
        </w:sectPr>
      </w:pPr>
    </w:p>
    <w:p w14:paraId="3BB55ECC" w14:textId="77777777" w:rsidR="00F32A2A" w:rsidRDefault="00F32A2A">
      <w:pPr>
        <w:bidi w:val="0"/>
        <w:spacing w:line="60" w:lineRule="exact"/>
        <w:rPr>
          <w:rtl/>
        </w:rPr>
      </w:pPr>
    </w:p>
    <w:p w14:paraId="48570C5B" w14:textId="24E3F6D3" w:rsidR="00F32A2A" w:rsidRDefault="00F32A2A" w:rsidP="0091049D">
      <w:pPr>
        <w:spacing w:line="140" w:lineRule="exact"/>
        <w:rPr>
          <w:rtl/>
        </w:rPr>
      </w:pPr>
    </w:p>
    <w:tbl>
      <w:tblPr>
        <w:bidiVisual/>
        <w:tblW w:w="744" w:type="pct"/>
        <w:tblInd w:w="-157" w:type="dxa"/>
        <w:tblLook w:val="04A0" w:firstRow="1" w:lastRow="0" w:firstColumn="1" w:lastColumn="0" w:noHBand="0" w:noVBand="1"/>
      </w:tblPr>
      <w:tblGrid>
        <w:gridCol w:w="2252"/>
      </w:tblGrid>
      <w:tr w:rsidR="00520A07" w:rsidRPr="00543C25" w14:paraId="15902AA1" w14:textId="77777777" w:rsidTr="009100C5">
        <w:trPr>
          <w:trHeight w:val="218"/>
        </w:trPr>
        <w:tc>
          <w:tcPr>
            <w:tcW w:w="1519" w:type="dxa"/>
          </w:tcPr>
          <w:p w14:paraId="6840B5ED" w14:textId="7E9076D3" w:rsidR="00C63318" w:rsidRPr="00C63318" w:rsidRDefault="00520A07" w:rsidP="00C63318">
            <w:pPr>
              <w:pStyle w:val="-fa"/>
              <w:spacing w:after="60"/>
              <w:rPr>
                <w:sz w:val="20"/>
                <w:szCs w:val="20"/>
                <w:rtl/>
              </w:rPr>
            </w:pPr>
            <w:r>
              <w:rPr>
                <w:rFonts w:hint="cs"/>
                <w:rtl/>
              </w:rPr>
              <w:t>ה. המפקח ס' 19(ו)(2)(בבב)</w:t>
            </w:r>
            <w:r w:rsidR="00C63318">
              <w:rPr>
                <w:rFonts w:hint="cs"/>
                <w:sz w:val="20"/>
                <w:szCs w:val="20"/>
                <w:rtl/>
              </w:rPr>
              <w:t xml:space="preserve"> </w:t>
            </w:r>
          </w:p>
        </w:tc>
      </w:tr>
    </w:tbl>
    <w:p w14:paraId="56C01AAF" w14:textId="37D2AF82" w:rsidR="00520A07" w:rsidRPr="009100C5" w:rsidRDefault="00520A07" w:rsidP="00770120">
      <w:pPr>
        <w:pStyle w:val="5"/>
        <w:ind w:left="815" w:hanging="36"/>
      </w:pPr>
      <w:bookmarkStart w:id="58" w:name="_Toc160529237"/>
      <w:r w:rsidRPr="00BC7D2D">
        <w:rPr>
          <w:rFonts w:eastAsia="Arial Unicode MS"/>
          <w:rtl/>
        </w:rPr>
        <w:t xml:space="preserve">ביאור </w:t>
      </w:r>
      <w:r>
        <w:rPr>
          <w:rFonts w:eastAsia="Arial Unicode MS" w:hint="cs"/>
          <w:rtl/>
        </w:rPr>
        <w:t>1</w:t>
      </w:r>
      <w:r w:rsidR="005B7C3D">
        <w:rPr>
          <w:rFonts w:eastAsia="Arial Unicode MS" w:hint="cs"/>
          <w:rtl/>
        </w:rPr>
        <w:t>4</w:t>
      </w:r>
      <w:r>
        <w:rPr>
          <w:rFonts w:eastAsia="Arial Unicode MS" w:hint="cs"/>
          <w:rtl/>
        </w:rPr>
        <w:t>ד</w:t>
      </w:r>
      <w:r w:rsidRPr="00BC7D2D">
        <w:rPr>
          <w:rFonts w:eastAsia="Arial Unicode MS" w:hint="cs"/>
          <w:rtl/>
        </w:rPr>
        <w:t xml:space="preserve">  </w:t>
      </w:r>
      <w:r w:rsidRPr="00BC7D2D">
        <w:rPr>
          <w:rFonts w:eastAsia="Arial Unicode MS"/>
          <w:rtl/>
        </w:rPr>
        <w:t>-</w:t>
      </w:r>
      <w:r w:rsidRPr="00BC7D2D">
        <w:rPr>
          <w:rFonts w:eastAsia="Arial Unicode MS" w:hint="cs"/>
          <w:rtl/>
        </w:rPr>
        <w:t xml:space="preserve"> </w:t>
      </w:r>
      <w:r w:rsidRPr="00BC7D2D">
        <w:rPr>
          <w:rFonts w:eastAsia="Arial Unicode MS"/>
          <w:rtl/>
        </w:rPr>
        <w:t xml:space="preserve"> </w:t>
      </w:r>
      <w:r>
        <w:rPr>
          <w:rFonts w:hint="cs"/>
          <w:rtl/>
        </w:rPr>
        <w:t>מידע כמותי על פריטים הנמדדים בשווי הוגן שנכללו ברמה 3</w:t>
      </w:r>
      <w:r w:rsidR="00E17F9A" w:rsidRPr="00E17F9A">
        <w:rPr>
          <w:rFonts w:hint="cs"/>
          <w:vertAlign w:val="superscript"/>
          <w:rtl/>
        </w:rPr>
        <w:t>[</w:t>
      </w:r>
      <w:r w:rsidR="00E17F9A" w:rsidRPr="00E17F9A">
        <w:rPr>
          <w:rStyle w:val="a7"/>
          <w:rtl/>
        </w:rPr>
        <w:footnoteReference w:id="133"/>
      </w:r>
      <w:r w:rsidR="00E17F9A" w:rsidRPr="00E17F9A">
        <w:rPr>
          <w:rFonts w:hint="cs"/>
          <w:vertAlign w:val="superscript"/>
          <w:rtl/>
        </w:rPr>
        <w:t>]</w:t>
      </w:r>
      <w:r w:rsidRPr="00E17F9A">
        <w:rPr>
          <w:rFonts w:hint="cs"/>
          <w:vertAlign w:val="superscript"/>
          <w:rtl/>
        </w:rPr>
        <w:t xml:space="preserve"> </w:t>
      </w:r>
      <w:r>
        <w:rPr>
          <w:rFonts w:hint="cs"/>
          <w:rtl/>
        </w:rPr>
        <w:t>(במאוחד)</w:t>
      </w:r>
      <w:bookmarkEnd w:id="58"/>
    </w:p>
    <w:tbl>
      <w:tblPr>
        <w:bidiVisual/>
        <w:tblW w:w="4732" w:type="pct"/>
        <w:jc w:val="right"/>
        <w:tblLook w:val="0000" w:firstRow="0" w:lastRow="0" w:firstColumn="0" w:lastColumn="0" w:noHBand="0" w:noVBand="0"/>
      </w:tblPr>
      <w:tblGrid>
        <w:gridCol w:w="14321"/>
      </w:tblGrid>
      <w:tr w:rsidR="009136CE" w:rsidRPr="007363C7" w14:paraId="335E25C8" w14:textId="77777777" w:rsidTr="00770120">
        <w:trPr>
          <w:trHeight w:val="245"/>
          <w:jc w:val="right"/>
        </w:trPr>
        <w:tc>
          <w:tcPr>
            <w:tcW w:w="14320" w:type="dxa"/>
          </w:tcPr>
          <w:p w14:paraId="3FF19E99" w14:textId="2A0387BA" w:rsidR="009136CE" w:rsidRPr="00FF06C2" w:rsidRDefault="009136CE" w:rsidP="00883AA6">
            <w:pPr>
              <w:pStyle w:val="-f4"/>
              <w:spacing w:line="240" w:lineRule="auto"/>
              <w:jc w:val="left"/>
              <w:rPr>
                <w:rtl/>
              </w:rPr>
            </w:pPr>
            <w:r>
              <w:rPr>
                <w:rFonts w:hint="cs"/>
                <w:rtl/>
              </w:rPr>
              <w:t xml:space="preserve">א. </w:t>
            </w:r>
            <w:r w:rsidRPr="00CF2A74">
              <w:rPr>
                <w:rFonts w:hint="eastAsia"/>
                <w:rtl/>
              </w:rPr>
              <w:t>פריטים</w:t>
            </w:r>
            <w:r w:rsidRPr="00CF2A74">
              <w:rPr>
                <w:rtl/>
              </w:rPr>
              <w:t xml:space="preserve"> </w:t>
            </w:r>
            <w:r w:rsidRPr="00CF2A74">
              <w:rPr>
                <w:rFonts w:hint="eastAsia"/>
                <w:rtl/>
              </w:rPr>
              <w:t>הנמדדים</w:t>
            </w:r>
            <w:r w:rsidRPr="00CF2A74">
              <w:rPr>
                <w:rtl/>
              </w:rPr>
              <w:t xml:space="preserve"> </w:t>
            </w:r>
            <w:r w:rsidRPr="00CF2A74">
              <w:rPr>
                <w:rFonts w:hint="eastAsia"/>
                <w:rtl/>
              </w:rPr>
              <w:t>בשווי</w:t>
            </w:r>
            <w:r w:rsidRPr="00CF2A74">
              <w:rPr>
                <w:rtl/>
              </w:rPr>
              <w:t xml:space="preserve"> </w:t>
            </w:r>
            <w:r w:rsidRPr="00CF2A74">
              <w:rPr>
                <w:rFonts w:hint="eastAsia"/>
                <w:rtl/>
              </w:rPr>
              <w:t>הוגן</w:t>
            </w:r>
            <w:r w:rsidRPr="00CF2A74">
              <w:rPr>
                <w:rtl/>
              </w:rPr>
              <w:t xml:space="preserve"> </w:t>
            </w:r>
            <w:r w:rsidRPr="00CF2A74">
              <w:rPr>
                <w:rFonts w:hint="eastAsia"/>
                <w:rtl/>
              </w:rPr>
              <w:t>על</w:t>
            </w:r>
            <w:r w:rsidRPr="00CF2A74">
              <w:rPr>
                <w:rtl/>
              </w:rPr>
              <w:t xml:space="preserve"> </w:t>
            </w:r>
            <w:r w:rsidRPr="00CF2A74">
              <w:rPr>
                <w:rFonts w:hint="eastAsia"/>
                <w:rtl/>
              </w:rPr>
              <w:t>בסיס</w:t>
            </w:r>
            <w:r w:rsidRPr="00CF2A74">
              <w:rPr>
                <w:rtl/>
              </w:rPr>
              <w:t xml:space="preserve"> </w:t>
            </w:r>
            <w:r w:rsidRPr="00CF2A74">
              <w:rPr>
                <w:rFonts w:hint="eastAsia"/>
                <w:rtl/>
              </w:rPr>
              <w:t>חוזר</w:t>
            </w:r>
            <w:r w:rsidRPr="00CF2A74">
              <w:rPr>
                <w:rtl/>
              </w:rPr>
              <w:t xml:space="preserve"> </w:t>
            </w:r>
            <w:r w:rsidRPr="00CF2A74">
              <w:rPr>
                <w:rFonts w:hint="eastAsia"/>
                <w:rtl/>
              </w:rPr>
              <w:t>ונשנה</w:t>
            </w:r>
            <w:r w:rsidRPr="00CF2A74">
              <w:rPr>
                <w:rtl/>
              </w:rPr>
              <w:t>:</w:t>
            </w:r>
          </w:p>
        </w:tc>
      </w:tr>
    </w:tbl>
    <w:p w14:paraId="3DDC2719" w14:textId="77777777" w:rsidR="00CF2A74" w:rsidRDefault="00CF2A74" w:rsidP="00CF2A74">
      <w:pPr>
        <w:pStyle w:val="-fb"/>
        <w:pBdr>
          <w:right w:val="none" w:sz="0" w:space="0" w:color="auto"/>
        </w:pBdr>
        <w:rPr>
          <w:rtl/>
        </w:rPr>
      </w:pPr>
    </w:p>
    <w:p w14:paraId="0571B186" w14:textId="77777777" w:rsidR="00CF2A74" w:rsidRDefault="0083237D" w:rsidP="001059AC">
      <w:pPr>
        <w:spacing w:line="60" w:lineRule="exact"/>
      </w:pPr>
      <w:r>
        <w:rPr>
          <w:rtl/>
        </w:rPr>
        <w:tab/>
      </w:r>
    </w:p>
    <w:tbl>
      <w:tblPr>
        <w:bidiVisual/>
        <w:tblW w:w="4486" w:type="pct"/>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25"/>
        <w:gridCol w:w="1531"/>
        <w:gridCol w:w="25"/>
        <w:gridCol w:w="1676"/>
        <w:gridCol w:w="25"/>
        <w:gridCol w:w="542"/>
        <w:gridCol w:w="25"/>
        <w:gridCol w:w="826"/>
        <w:gridCol w:w="25"/>
        <w:gridCol w:w="967"/>
        <w:gridCol w:w="25"/>
        <w:gridCol w:w="828"/>
        <w:gridCol w:w="25"/>
        <w:gridCol w:w="823"/>
        <w:gridCol w:w="25"/>
        <w:gridCol w:w="1109"/>
        <w:gridCol w:w="25"/>
        <w:gridCol w:w="542"/>
        <w:gridCol w:w="25"/>
        <w:gridCol w:w="825"/>
        <w:gridCol w:w="25"/>
        <w:gridCol w:w="178"/>
        <w:gridCol w:w="790"/>
        <w:gridCol w:w="25"/>
      </w:tblGrid>
      <w:tr w:rsidR="00FA0B52" w:rsidRPr="00863250" w14:paraId="69239A3C" w14:textId="77777777" w:rsidTr="00770120">
        <w:trPr>
          <w:gridAfter w:val="1"/>
          <w:wAfter w:w="25" w:type="dxa"/>
          <w:trHeight w:val="259"/>
        </w:trPr>
        <w:tc>
          <w:tcPr>
            <w:tcW w:w="2640" w:type="dxa"/>
            <w:tcBorders>
              <w:top w:val="nil"/>
              <w:left w:val="nil"/>
              <w:bottom w:val="nil"/>
              <w:right w:val="nil"/>
            </w:tcBorders>
            <w:shd w:val="clear" w:color="auto" w:fill="auto"/>
            <w:vAlign w:val="bottom"/>
          </w:tcPr>
          <w:p w14:paraId="6A88B1DF" w14:textId="77777777" w:rsidR="009136CE" w:rsidRDefault="009136CE" w:rsidP="009136CE">
            <w:pPr>
              <w:pStyle w:val="-7"/>
              <w:spacing w:before="60" w:line="240" w:lineRule="auto"/>
              <w:rPr>
                <w:color w:val="000000"/>
                <w:sz w:val="14"/>
                <w:szCs w:val="14"/>
                <w:rtl/>
                <w:lang w:eastAsia="he-IL"/>
              </w:rPr>
            </w:pPr>
            <w:r>
              <w:rPr>
                <w:rFonts w:hint="cs"/>
                <w:sz w:val="14"/>
                <w:szCs w:val="14"/>
                <w:rtl/>
              </w:rPr>
              <w:t xml:space="preserve">מתכונת ביאור </w:t>
            </w:r>
          </w:p>
          <w:p w14:paraId="4529E7F5" w14:textId="191C96B9" w:rsidR="00FA0B52" w:rsidRPr="009136CE" w:rsidRDefault="009136CE" w:rsidP="009136CE">
            <w:pPr>
              <w:spacing w:line="264" w:lineRule="auto"/>
              <w:rPr>
                <w:rtl/>
                <w:lang w:eastAsia="he-IL"/>
              </w:rPr>
            </w:pPr>
            <w:r>
              <w:rPr>
                <w:rFonts w:hint="cs"/>
                <w:sz w:val="14"/>
                <w:szCs w:val="14"/>
                <w:rtl/>
              </w:rPr>
              <w:t>עמ' 663-65</w:t>
            </w:r>
          </w:p>
        </w:tc>
        <w:tc>
          <w:tcPr>
            <w:tcW w:w="3257" w:type="dxa"/>
            <w:gridSpan w:val="4"/>
            <w:tcBorders>
              <w:top w:val="nil"/>
              <w:left w:val="nil"/>
              <w:bottom w:val="nil"/>
              <w:right w:val="nil"/>
            </w:tcBorders>
            <w:vAlign w:val="bottom"/>
          </w:tcPr>
          <w:p w14:paraId="6E30BCF1" w14:textId="77777777" w:rsidR="00FA0B52" w:rsidRPr="00863250" w:rsidRDefault="00FA0B52" w:rsidP="00FA0B52">
            <w:pPr>
              <w:spacing w:line="264" w:lineRule="auto"/>
              <w:jc w:val="center"/>
              <w:rPr>
                <w:b/>
                <w:bCs/>
                <w:sz w:val="18"/>
                <w:szCs w:val="18"/>
                <w:rtl/>
              </w:rPr>
            </w:pPr>
          </w:p>
        </w:tc>
        <w:tc>
          <w:tcPr>
            <w:tcW w:w="2410" w:type="dxa"/>
            <w:gridSpan w:val="6"/>
            <w:tcBorders>
              <w:top w:val="nil"/>
              <w:left w:val="nil"/>
              <w:bottom w:val="nil"/>
              <w:right w:val="nil"/>
            </w:tcBorders>
            <w:vAlign w:val="bottom"/>
          </w:tcPr>
          <w:p w14:paraId="2E9902B4" w14:textId="77777777" w:rsidR="00FA0B52" w:rsidRDefault="00FA0B52" w:rsidP="00FA0B52">
            <w:pPr>
              <w:pBdr>
                <w:bottom w:val="single" w:sz="6" w:space="1" w:color="auto"/>
              </w:pBdr>
              <w:spacing w:line="264" w:lineRule="auto"/>
              <w:jc w:val="center"/>
              <w:rPr>
                <w:color w:val="000000"/>
                <w:sz w:val="17"/>
                <w:szCs w:val="17"/>
                <w:rtl/>
                <w:lang w:eastAsia="he-IL"/>
              </w:rPr>
            </w:pPr>
            <w:r w:rsidRPr="00FA0B52">
              <w:rPr>
                <w:rFonts w:hint="eastAsia"/>
                <w:b/>
                <w:bCs/>
                <w:sz w:val="17"/>
                <w:szCs w:val="17"/>
                <w:rtl/>
              </w:rPr>
              <w:t>ליום</w:t>
            </w:r>
            <w:r w:rsidRPr="00FA0B52">
              <w:rPr>
                <w:b/>
                <w:bCs/>
                <w:sz w:val="17"/>
                <w:szCs w:val="17"/>
                <w:rtl/>
              </w:rPr>
              <w:t xml:space="preserve"> 3</w:t>
            </w:r>
            <w:r w:rsidRPr="00FA0B52">
              <w:rPr>
                <w:rFonts w:hint="cs"/>
                <w:b/>
                <w:bCs/>
                <w:sz w:val="17"/>
                <w:szCs w:val="17"/>
                <w:rtl/>
              </w:rPr>
              <w:t>0</w:t>
            </w:r>
            <w:r w:rsidRPr="00FA0B52">
              <w:rPr>
                <w:b/>
                <w:bCs/>
                <w:sz w:val="17"/>
                <w:szCs w:val="17"/>
                <w:rtl/>
              </w:rPr>
              <w:t xml:space="preserve"> </w:t>
            </w:r>
            <w:r w:rsidRPr="00FA0B52">
              <w:rPr>
                <w:rFonts w:hint="cs"/>
                <w:b/>
                <w:bCs/>
                <w:sz w:val="17"/>
                <w:szCs w:val="17"/>
                <w:rtl/>
              </w:rPr>
              <w:t>ביוני</w:t>
            </w:r>
            <w:r w:rsidRPr="00FA0B52">
              <w:rPr>
                <w:b/>
                <w:bCs/>
                <w:sz w:val="17"/>
                <w:szCs w:val="17"/>
                <w:rtl/>
              </w:rPr>
              <w:t xml:space="preserve"> </w:t>
            </w:r>
            <w:r w:rsidRPr="00FA0B52">
              <w:rPr>
                <w:b/>
                <w:bCs/>
                <w:sz w:val="17"/>
                <w:szCs w:val="17"/>
                <w:rtl/>
              </w:rPr>
              <w:fldChar w:fldCharType="begin"/>
            </w:r>
            <w:r w:rsidRPr="00FA0B52">
              <w:rPr>
                <w:b/>
                <w:bCs/>
                <w:sz w:val="17"/>
                <w:szCs w:val="17"/>
                <w:rtl/>
              </w:rPr>
              <w:instrText xml:space="preserve"> = </w:instrText>
            </w:r>
            <w:r w:rsidRPr="00FA0B52">
              <w:rPr>
                <w:b/>
                <w:bCs/>
                <w:sz w:val="17"/>
                <w:szCs w:val="17"/>
              </w:rPr>
              <w:instrText>CY \* MERGEFORMAT</w:instrText>
            </w:r>
            <w:r w:rsidRPr="00FA0B52">
              <w:rPr>
                <w:b/>
                <w:bCs/>
                <w:sz w:val="17"/>
                <w:szCs w:val="17"/>
                <w:rtl/>
              </w:rPr>
              <w:instrText xml:space="preserve"> </w:instrText>
            </w:r>
            <w:r w:rsidRPr="00FA0B52">
              <w:rPr>
                <w:b/>
                <w:bCs/>
                <w:sz w:val="17"/>
                <w:szCs w:val="17"/>
                <w:rtl/>
              </w:rPr>
              <w:fldChar w:fldCharType="separate"/>
            </w:r>
            <w:r w:rsidRPr="00FA0B52">
              <w:rPr>
                <w:b/>
                <w:bCs/>
                <w:noProof/>
                <w:sz w:val="17"/>
                <w:szCs w:val="17"/>
                <w:rtl/>
              </w:rPr>
              <w:t>2024</w:t>
            </w:r>
            <w:r w:rsidRPr="00FA0B52">
              <w:rPr>
                <w:b/>
                <w:bCs/>
                <w:sz w:val="17"/>
                <w:szCs w:val="17"/>
                <w:rtl/>
              </w:rPr>
              <w:fldChar w:fldCharType="end"/>
            </w:r>
            <w:r w:rsidRPr="00FA0B52">
              <w:rPr>
                <w:rFonts w:hint="cs"/>
                <w:color w:val="000000"/>
                <w:sz w:val="17"/>
                <w:szCs w:val="17"/>
                <w:rtl/>
                <w:lang w:eastAsia="he-IL"/>
              </w:rPr>
              <w:t xml:space="preserve"> </w:t>
            </w:r>
          </w:p>
          <w:p w14:paraId="3A78E914" w14:textId="10693167" w:rsidR="00FA0B52" w:rsidRPr="00FA0B52" w:rsidRDefault="00FA0B52" w:rsidP="00FA0B52">
            <w:pPr>
              <w:pBdr>
                <w:bottom w:val="single" w:sz="6" w:space="1" w:color="auto"/>
              </w:pBdr>
              <w:spacing w:line="264" w:lineRule="auto"/>
              <w:jc w:val="center"/>
              <w:rPr>
                <w:b/>
                <w:bCs/>
                <w:sz w:val="17"/>
                <w:szCs w:val="17"/>
                <w:rtl/>
              </w:rPr>
            </w:pPr>
            <w:r w:rsidRPr="00FA0B52">
              <w:rPr>
                <w:rFonts w:hint="cs"/>
                <w:color w:val="000000"/>
                <w:sz w:val="17"/>
                <w:szCs w:val="17"/>
                <w:rtl/>
                <w:lang w:eastAsia="he-IL"/>
              </w:rPr>
              <w:t>(בלתי מבוקר)</w:t>
            </w:r>
          </w:p>
        </w:tc>
        <w:tc>
          <w:tcPr>
            <w:tcW w:w="2835" w:type="dxa"/>
            <w:gridSpan w:val="6"/>
            <w:tcBorders>
              <w:top w:val="nil"/>
              <w:left w:val="nil"/>
              <w:bottom w:val="nil"/>
              <w:right w:val="nil"/>
            </w:tcBorders>
          </w:tcPr>
          <w:p w14:paraId="582DCB31" w14:textId="39A486B1" w:rsidR="00FA0B52" w:rsidRDefault="00FA0B52" w:rsidP="00FA0B52">
            <w:pPr>
              <w:pBdr>
                <w:bottom w:val="single" w:sz="6" w:space="1" w:color="auto"/>
              </w:pBdr>
              <w:spacing w:line="264" w:lineRule="auto"/>
              <w:jc w:val="center"/>
              <w:rPr>
                <w:color w:val="000000"/>
                <w:sz w:val="17"/>
                <w:szCs w:val="17"/>
                <w:rtl/>
                <w:lang w:eastAsia="he-IL"/>
              </w:rPr>
            </w:pPr>
            <w:r w:rsidRPr="00FA0B52">
              <w:rPr>
                <w:rFonts w:hint="eastAsia"/>
                <w:b/>
                <w:bCs/>
                <w:sz w:val="17"/>
                <w:szCs w:val="17"/>
                <w:rtl/>
              </w:rPr>
              <w:t>ליום</w:t>
            </w:r>
            <w:r w:rsidRPr="00FA0B52">
              <w:rPr>
                <w:b/>
                <w:bCs/>
                <w:sz w:val="17"/>
                <w:szCs w:val="17"/>
                <w:rtl/>
              </w:rPr>
              <w:t xml:space="preserve"> 3</w:t>
            </w:r>
            <w:r w:rsidRPr="00FA0B52">
              <w:rPr>
                <w:rFonts w:hint="cs"/>
                <w:b/>
                <w:bCs/>
                <w:sz w:val="17"/>
                <w:szCs w:val="17"/>
                <w:rtl/>
              </w:rPr>
              <w:t>0</w:t>
            </w:r>
            <w:r w:rsidRPr="00FA0B52">
              <w:rPr>
                <w:b/>
                <w:bCs/>
                <w:sz w:val="17"/>
                <w:szCs w:val="17"/>
                <w:rtl/>
              </w:rPr>
              <w:t xml:space="preserve"> </w:t>
            </w:r>
            <w:r w:rsidRPr="00FA0B52">
              <w:rPr>
                <w:rFonts w:hint="cs"/>
                <w:b/>
                <w:bCs/>
                <w:sz w:val="17"/>
                <w:szCs w:val="17"/>
                <w:rtl/>
              </w:rPr>
              <w:t>ביוני</w:t>
            </w:r>
            <w:r w:rsidRPr="00FA0B52">
              <w:rPr>
                <w:b/>
                <w:bCs/>
                <w:sz w:val="17"/>
                <w:szCs w:val="17"/>
                <w:rtl/>
              </w:rPr>
              <w:t xml:space="preserve"> </w:t>
            </w:r>
            <w:r w:rsidRPr="00FA0B52">
              <w:rPr>
                <w:b/>
                <w:bCs/>
                <w:sz w:val="17"/>
                <w:szCs w:val="17"/>
                <w:rtl/>
              </w:rPr>
              <w:fldChar w:fldCharType="begin"/>
            </w:r>
            <w:r w:rsidRPr="00FA0B52">
              <w:rPr>
                <w:b/>
                <w:bCs/>
                <w:sz w:val="17"/>
                <w:szCs w:val="17"/>
                <w:rtl/>
              </w:rPr>
              <w:instrText xml:space="preserve"> = </w:instrText>
            </w:r>
            <w:r w:rsidRPr="00FA0B52">
              <w:rPr>
                <w:b/>
                <w:bCs/>
                <w:sz w:val="17"/>
                <w:szCs w:val="17"/>
              </w:rPr>
              <w:instrText>CY</w:instrText>
            </w:r>
            <w:r>
              <w:rPr>
                <w:b/>
                <w:bCs/>
                <w:sz w:val="17"/>
                <w:szCs w:val="17"/>
              </w:rPr>
              <w:instrText>-1</w:instrText>
            </w:r>
            <w:r w:rsidRPr="00FA0B52">
              <w:rPr>
                <w:b/>
                <w:bCs/>
                <w:sz w:val="17"/>
                <w:szCs w:val="17"/>
              </w:rPr>
              <w:instrText xml:space="preserve"> \* MERGEFORMAT</w:instrText>
            </w:r>
            <w:r w:rsidRPr="00FA0B52">
              <w:rPr>
                <w:b/>
                <w:bCs/>
                <w:sz w:val="17"/>
                <w:szCs w:val="17"/>
                <w:rtl/>
              </w:rPr>
              <w:instrText xml:space="preserve"> </w:instrText>
            </w:r>
            <w:r w:rsidRPr="00FA0B52">
              <w:rPr>
                <w:b/>
                <w:bCs/>
                <w:sz w:val="17"/>
                <w:szCs w:val="17"/>
                <w:rtl/>
              </w:rPr>
              <w:fldChar w:fldCharType="separate"/>
            </w:r>
            <w:r>
              <w:rPr>
                <w:b/>
                <w:bCs/>
                <w:noProof/>
                <w:sz w:val="17"/>
                <w:szCs w:val="17"/>
                <w:rtl/>
              </w:rPr>
              <w:t>2023</w:t>
            </w:r>
            <w:r w:rsidRPr="00FA0B52">
              <w:rPr>
                <w:b/>
                <w:bCs/>
                <w:sz w:val="17"/>
                <w:szCs w:val="17"/>
                <w:rtl/>
              </w:rPr>
              <w:fldChar w:fldCharType="end"/>
            </w:r>
            <w:r w:rsidRPr="00FA0B52">
              <w:rPr>
                <w:rFonts w:hint="cs"/>
                <w:color w:val="000000"/>
                <w:sz w:val="17"/>
                <w:szCs w:val="17"/>
                <w:rtl/>
                <w:lang w:eastAsia="he-IL"/>
              </w:rPr>
              <w:t xml:space="preserve"> </w:t>
            </w:r>
          </w:p>
          <w:p w14:paraId="59079417" w14:textId="6FD8ECBE" w:rsidR="00FA0B52" w:rsidRPr="00863250" w:rsidRDefault="00FA0B52" w:rsidP="00FA0B52">
            <w:pPr>
              <w:pBdr>
                <w:bottom w:val="single" w:sz="6" w:space="1" w:color="auto"/>
              </w:pBdr>
              <w:spacing w:line="264" w:lineRule="auto"/>
              <w:jc w:val="center"/>
              <w:rPr>
                <w:b/>
                <w:bCs/>
                <w:sz w:val="18"/>
                <w:szCs w:val="18"/>
                <w:rtl/>
              </w:rPr>
            </w:pPr>
            <w:r w:rsidRPr="00FA0B52">
              <w:rPr>
                <w:rFonts w:hint="cs"/>
                <w:color w:val="000000"/>
                <w:sz w:val="17"/>
                <w:szCs w:val="17"/>
                <w:rtl/>
                <w:lang w:eastAsia="he-IL"/>
              </w:rPr>
              <w:t>(בלתי מבוקר)</w:t>
            </w:r>
          </w:p>
        </w:tc>
        <w:tc>
          <w:tcPr>
            <w:tcW w:w="2410" w:type="dxa"/>
            <w:gridSpan w:val="7"/>
            <w:tcBorders>
              <w:top w:val="nil"/>
              <w:left w:val="nil"/>
              <w:bottom w:val="nil"/>
              <w:right w:val="nil"/>
            </w:tcBorders>
          </w:tcPr>
          <w:p w14:paraId="1EEDA76C" w14:textId="57BC778C" w:rsidR="00FA0B52" w:rsidRDefault="00FA0B52" w:rsidP="00FA0B52">
            <w:pPr>
              <w:pBdr>
                <w:bottom w:val="single" w:sz="6" w:space="1" w:color="auto"/>
              </w:pBdr>
              <w:spacing w:line="264" w:lineRule="auto"/>
              <w:jc w:val="center"/>
              <w:rPr>
                <w:color w:val="000000"/>
                <w:sz w:val="17"/>
                <w:szCs w:val="17"/>
                <w:rtl/>
                <w:lang w:eastAsia="he-IL"/>
              </w:rPr>
            </w:pPr>
            <w:r w:rsidRPr="00FA0B52">
              <w:rPr>
                <w:rFonts w:hint="eastAsia"/>
                <w:b/>
                <w:bCs/>
                <w:sz w:val="17"/>
                <w:szCs w:val="17"/>
                <w:rtl/>
              </w:rPr>
              <w:t>ליום</w:t>
            </w:r>
            <w:r w:rsidRPr="00FA0B52">
              <w:rPr>
                <w:b/>
                <w:bCs/>
                <w:sz w:val="17"/>
                <w:szCs w:val="17"/>
                <w:rtl/>
              </w:rPr>
              <w:t xml:space="preserve"> </w:t>
            </w:r>
            <w:r>
              <w:rPr>
                <w:rFonts w:hint="cs"/>
                <w:b/>
                <w:bCs/>
                <w:sz w:val="17"/>
                <w:szCs w:val="17"/>
                <w:rtl/>
              </w:rPr>
              <w:t>31</w:t>
            </w:r>
            <w:r w:rsidRPr="00FA0B52">
              <w:rPr>
                <w:b/>
                <w:bCs/>
                <w:sz w:val="17"/>
                <w:szCs w:val="17"/>
                <w:rtl/>
              </w:rPr>
              <w:t xml:space="preserve"> </w:t>
            </w:r>
            <w:r>
              <w:rPr>
                <w:rFonts w:hint="cs"/>
                <w:b/>
                <w:bCs/>
                <w:sz w:val="17"/>
                <w:szCs w:val="17"/>
                <w:rtl/>
              </w:rPr>
              <w:t>בדצמבר</w:t>
            </w:r>
            <w:r w:rsidRPr="00FA0B52">
              <w:rPr>
                <w:b/>
                <w:bCs/>
                <w:sz w:val="17"/>
                <w:szCs w:val="17"/>
                <w:rtl/>
              </w:rPr>
              <w:t xml:space="preserve"> </w:t>
            </w:r>
            <w:r w:rsidRPr="00FA0B52">
              <w:rPr>
                <w:b/>
                <w:bCs/>
                <w:sz w:val="17"/>
                <w:szCs w:val="17"/>
                <w:rtl/>
              </w:rPr>
              <w:fldChar w:fldCharType="begin"/>
            </w:r>
            <w:r w:rsidRPr="00FA0B52">
              <w:rPr>
                <w:b/>
                <w:bCs/>
                <w:sz w:val="17"/>
                <w:szCs w:val="17"/>
                <w:rtl/>
              </w:rPr>
              <w:instrText xml:space="preserve"> = </w:instrText>
            </w:r>
            <w:r w:rsidRPr="00FA0B52">
              <w:rPr>
                <w:b/>
                <w:bCs/>
                <w:sz w:val="17"/>
                <w:szCs w:val="17"/>
              </w:rPr>
              <w:instrText>CY</w:instrText>
            </w:r>
            <w:r>
              <w:rPr>
                <w:b/>
                <w:bCs/>
                <w:sz w:val="17"/>
                <w:szCs w:val="17"/>
              </w:rPr>
              <w:instrText>-1</w:instrText>
            </w:r>
            <w:r w:rsidRPr="00FA0B52">
              <w:rPr>
                <w:b/>
                <w:bCs/>
                <w:sz w:val="17"/>
                <w:szCs w:val="17"/>
              </w:rPr>
              <w:instrText xml:space="preserve"> \* MERGEFORMAT</w:instrText>
            </w:r>
            <w:r w:rsidRPr="00FA0B52">
              <w:rPr>
                <w:b/>
                <w:bCs/>
                <w:sz w:val="17"/>
                <w:szCs w:val="17"/>
                <w:rtl/>
              </w:rPr>
              <w:instrText xml:space="preserve"> </w:instrText>
            </w:r>
            <w:r w:rsidRPr="00FA0B52">
              <w:rPr>
                <w:b/>
                <w:bCs/>
                <w:sz w:val="17"/>
                <w:szCs w:val="17"/>
                <w:rtl/>
              </w:rPr>
              <w:fldChar w:fldCharType="separate"/>
            </w:r>
            <w:r>
              <w:rPr>
                <w:b/>
                <w:bCs/>
                <w:noProof/>
                <w:sz w:val="17"/>
                <w:szCs w:val="17"/>
                <w:rtl/>
              </w:rPr>
              <w:t>2023</w:t>
            </w:r>
            <w:r w:rsidRPr="00FA0B52">
              <w:rPr>
                <w:b/>
                <w:bCs/>
                <w:sz w:val="17"/>
                <w:szCs w:val="17"/>
                <w:rtl/>
              </w:rPr>
              <w:fldChar w:fldCharType="end"/>
            </w:r>
            <w:r w:rsidRPr="00FA0B52">
              <w:rPr>
                <w:rFonts w:hint="cs"/>
                <w:color w:val="000000"/>
                <w:sz w:val="17"/>
                <w:szCs w:val="17"/>
                <w:rtl/>
                <w:lang w:eastAsia="he-IL"/>
              </w:rPr>
              <w:t xml:space="preserve"> </w:t>
            </w:r>
          </w:p>
          <w:p w14:paraId="114D9A42" w14:textId="5A92C4A6" w:rsidR="00FA0B52" w:rsidRPr="00863250" w:rsidRDefault="00FA0B52" w:rsidP="00FA0B52">
            <w:pPr>
              <w:pBdr>
                <w:bottom w:val="single" w:sz="6" w:space="1" w:color="auto"/>
              </w:pBdr>
              <w:spacing w:line="264" w:lineRule="auto"/>
              <w:jc w:val="center"/>
              <w:rPr>
                <w:b/>
                <w:bCs/>
                <w:sz w:val="18"/>
                <w:szCs w:val="18"/>
                <w:rtl/>
              </w:rPr>
            </w:pPr>
            <w:r w:rsidRPr="00FA0B52">
              <w:rPr>
                <w:rFonts w:hint="cs"/>
                <w:color w:val="000000"/>
                <w:sz w:val="17"/>
                <w:szCs w:val="17"/>
                <w:rtl/>
                <w:lang w:eastAsia="he-IL"/>
              </w:rPr>
              <w:t>(מבוקר)</w:t>
            </w:r>
          </w:p>
        </w:tc>
      </w:tr>
      <w:tr w:rsidR="00770120" w:rsidRPr="00863250" w14:paraId="0C99A9B3" w14:textId="7F2566C3" w:rsidTr="00770120">
        <w:trPr>
          <w:gridAfter w:val="1"/>
          <w:wAfter w:w="25" w:type="dxa"/>
          <w:trHeight w:val="267"/>
        </w:trPr>
        <w:tc>
          <w:tcPr>
            <w:tcW w:w="2640" w:type="dxa"/>
            <w:tcBorders>
              <w:top w:val="nil"/>
              <w:left w:val="nil"/>
              <w:bottom w:val="nil"/>
              <w:right w:val="nil"/>
            </w:tcBorders>
            <w:shd w:val="clear" w:color="auto" w:fill="auto"/>
            <w:vAlign w:val="bottom"/>
          </w:tcPr>
          <w:p w14:paraId="017D6938" w14:textId="77777777" w:rsidR="00F247F6" w:rsidRPr="00863250" w:rsidRDefault="00F247F6" w:rsidP="00F247F6">
            <w:pPr>
              <w:spacing w:line="264" w:lineRule="auto"/>
              <w:rPr>
                <w:rtl/>
                <w:lang w:eastAsia="he-IL"/>
              </w:rPr>
            </w:pPr>
          </w:p>
        </w:tc>
        <w:tc>
          <w:tcPr>
            <w:tcW w:w="1556" w:type="dxa"/>
            <w:gridSpan w:val="2"/>
            <w:tcBorders>
              <w:top w:val="nil"/>
              <w:left w:val="nil"/>
              <w:bottom w:val="nil"/>
              <w:right w:val="nil"/>
            </w:tcBorders>
            <w:vAlign w:val="center"/>
          </w:tcPr>
          <w:p w14:paraId="45B4954B" w14:textId="77777777" w:rsidR="00F247F6" w:rsidRPr="00217A8C" w:rsidRDefault="00F247F6" w:rsidP="00F247F6">
            <w:pPr>
              <w:pBdr>
                <w:bottom w:val="single" w:sz="6" w:space="1" w:color="auto"/>
              </w:pBdr>
              <w:spacing w:line="216" w:lineRule="auto"/>
              <w:jc w:val="center"/>
              <w:rPr>
                <w:sz w:val="18"/>
                <w:szCs w:val="18"/>
                <w:rtl/>
              </w:rPr>
            </w:pPr>
            <w:r w:rsidRPr="00217A8C">
              <w:rPr>
                <w:rFonts w:hint="cs"/>
                <w:b/>
                <w:bCs/>
                <w:sz w:val="18"/>
                <w:szCs w:val="18"/>
                <w:rtl/>
              </w:rPr>
              <w:t>טכניקת</w:t>
            </w:r>
          </w:p>
          <w:p w14:paraId="3BD03A1C" w14:textId="77777777" w:rsidR="00F247F6" w:rsidRPr="00217A8C" w:rsidRDefault="00F247F6" w:rsidP="00F247F6">
            <w:pPr>
              <w:pBdr>
                <w:bottom w:val="single" w:sz="6" w:space="1" w:color="auto"/>
              </w:pBdr>
              <w:spacing w:line="216" w:lineRule="auto"/>
              <w:jc w:val="center"/>
              <w:rPr>
                <w:sz w:val="18"/>
                <w:szCs w:val="18"/>
                <w:rtl/>
              </w:rPr>
            </w:pPr>
            <w:r w:rsidRPr="00217A8C">
              <w:rPr>
                <w:rFonts w:hint="cs"/>
                <w:b/>
                <w:bCs/>
                <w:sz w:val="18"/>
                <w:szCs w:val="18"/>
                <w:rtl/>
              </w:rPr>
              <w:t>הערכת שווי</w:t>
            </w:r>
          </w:p>
        </w:tc>
        <w:tc>
          <w:tcPr>
            <w:tcW w:w="1701" w:type="dxa"/>
            <w:gridSpan w:val="2"/>
            <w:tcBorders>
              <w:top w:val="nil"/>
              <w:left w:val="nil"/>
              <w:bottom w:val="nil"/>
              <w:right w:val="nil"/>
            </w:tcBorders>
            <w:vAlign w:val="center"/>
          </w:tcPr>
          <w:p w14:paraId="4998A328" w14:textId="77777777" w:rsidR="00F247F6" w:rsidRDefault="00F247F6" w:rsidP="00F247F6">
            <w:pPr>
              <w:pBdr>
                <w:bottom w:val="single" w:sz="6" w:space="1" w:color="auto"/>
              </w:pBdr>
              <w:spacing w:line="216" w:lineRule="auto"/>
              <w:jc w:val="center"/>
              <w:rPr>
                <w:b/>
                <w:bCs/>
                <w:sz w:val="18"/>
                <w:szCs w:val="18"/>
                <w:rtl/>
              </w:rPr>
            </w:pPr>
          </w:p>
          <w:p w14:paraId="3E52122C" w14:textId="2C6569CD" w:rsidR="00F247F6" w:rsidRPr="00217A8C" w:rsidRDefault="00F247F6" w:rsidP="00F247F6">
            <w:pPr>
              <w:pBdr>
                <w:bottom w:val="single" w:sz="6" w:space="1" w:color="auto"/>
              </w:pBdr>
              <w:spacing w:line="216" w:lineRule="auto"/>
              <w:jc w:val="center"/>
              <w:rPr>
                <w:b/>
                <w:bCs/>
                <w:sz w:val="18"/>
                <w:szCs w:val="18"/>
                <w:rtl/>
              </w:rPr>
            </w:pPr>
            <w:r w:rsidRPr="00217A8C">
              <w:rPr>
                <w:rFonts w:hint="cs"/>
                <w:b/>
                <w:bCs/>
                <w:sz w:val="18"/>
                <w:szCs w:val="18"/>
                <w:rtl/>
              </w:rPr>
              <w:t>נתונים לא נצפים</w:t>
            </w:r>
          </w:p>
        </w:tc>
        <w:tc>
          <w:tcPr>
            <w:tcW w:w="567" w:type="dxa"/>
            <w:gridSpan w:val="2"/>
            <w:tcBorders>
              <w:top w:val="nil"/>
              <w:left w:val="nil"/>
              <w:bottom w:val="nil"/>
              <w:right w:val="nil"/>
            </w:tcBorders>
            <w:vAlign w:val="center"/>
          </w:tcPr>
          <w:p w14:paraId="0550849E" w14:textId="77777777" w:rsidR="00F247F6" w:rsidRPr="00217A8C" w:rsidRDefault="00F247F6" w:rsidP="00F247F6">
            <w:pPr>
              <w:pBdr>
                <w:bottom w:val="single" w:sz="6" w:space="1" w:color="auto"/>
              </w:pBdr>
              <w:spacing w:line="216" w:lineRule="auto"/>
              <w:jc w:val="center"/>
              <w:rPr>
                <w:b/>
                <w:bCs/>
                <w:sz w:val="18"/>
                <w:szCs w:val="18"/>
                <w:rtl/>
              </w:rPr>
            </w:pPr>
            <w:r w:rsidRPr="00217A8C">
              <w:rPr>
                <w:rFonts w:hint="cs"/>
                <w:b/>
                <w:bCs/>
                <w:sz w:val="18"/>
                <w:szCs w:val="18"/>
                <w:rtl/>
              </w:rPr>
              <w:t>שווי</w:t>
            </w:r>
          </w:p>
          <w:p w14:paraId="5EACCB66" w14:textId="7CFC5B8A" w:rsidR="00F247F6" w:rsidRPr="00217A8C" w:rsidRDefault="00F247F6" w:rsidP="00F247F6">
            <w:pPr>
              <w:pBdr>
                <w:bottom w:val="single" w:sz="6" w:space="1" w:color="auto"/>
              </w:pBdr>
              <w:spacing w:line="216" w:lineRule="auto"/>
              <w:jc w:val="center"/>
              <w:rPr>
                <w:b/>
                <w:bCs/>
                <w:sz w:val="18"/>
                <w:szCs w:val="18"/>
                <w:rtl/>
              </w:rPr>
            </w:pPr>
            <w:r w:rsidRPr="00217A8C">
              <w:rPr>
                <w:rFonts w:hint="cs"/>
                <w:b/>
                <w:bCs/>
                <w:sz w:val="18"/>
                <w:szCs w:val="18"/>
                <w:rtl/>
              </w:rPr>
              <w:t>הוגן</w:t>
            </w:r>
          </w:p>
        </w:tc>
        <w:tc>
          <w:tcPr>
            <w:tcW w:w="851" w:type="dxa"/>
            <w:gridSpan w:val="2"/>
            <w:tcBorders>
              <w:top w:val="nil"/>
              <w:left w:val="nil"/>
              <w:bottom w:val="nil"/>
              <w:right w:val="nil"/>
            </w:tcBorders>
            <w:vAlign w:val="center"/>
          </w:tcPr>
          <w:p w14:paraId="4D3EE1FC" w14:textId="77777777" w:rsidR="00F247F6" w:rsidRDefault="00F247F6" w:rsidP="00F247F6">
            <w:pPr>
              <w:pBdr>
                <w:bottom w:val="single" w:sz="6" w:space="1" w:color="auto"/>
              </w:pBdr>
              <w:spacing w:line="216" w:lineRule="auto"/>
              <w:jc w:val="center"/>
              <w:rPr>
                <w:b/>
                <w:bCs/>
                <w:sz w:val="18"/>
                <w:szCs w:val="18"/>
                <w:rtl/>
              </w:rPr>
            </w:pPr>
          </w:p>
          <w:p w14:paraId="6D8FFF31" w14:textId="18F01413" w:rsidR="00F247F6" w:rsidRPr="00217A8C" w:rsidRDefault="00F247F6" w:rsidP="00F247F6">
            <w:pPr>
              <w:pBdr>
                <w:bottom w:val="single" w:sz="6" w:space="1" w:color="auto"/>
              </w:pBdr>
              <w:spacing w:line="216" w:lineRule="auto"/>
              <w:jc w:val="center"/>
              <w:rPr>
                <w:b/>
                <w:bCs/>
                <w:sz w:val="18"/>
                <w:szCs w:val="18"/>
                <w:rtl/>
              </w:rPr>
            </w:pPr>
            <w:r w:rsidRPr="00217A8C">
              <w:rPr>
                <w:rFonts w:hint="cs"/>
                <w:b/>
                <w:bCs/>
                <w:sz w:val="18"/>
                <w:szCs w:val="18"/>
                <w:rtl/>
              </w:rPr>
              <w:t>טווח</w:t>
            </w:r>
          </w:p>
        </w:tc>
        <w:tc>
          <w:tcPr>
            <w:tcW w:w="992" w:type="dxa"/>
            <w:gridSpan w:val="2"/>
            <w:tcBorders>
              <w:top w:val="nil"/>
              <w:left w:val="nil"/>
              <w:bottom w:val="nil"/>
              <w:right w:val="nil"/>
            </w:tcBorders>
            <w:vAlign w:val="center"/>
          </w:tcPr>
          <w:p w14:paraId="483DF981" w14:textId="696DA8CF" w:rsidR="00F247F6" w:rsidRPr="00863250" w:rsidRDefault="00F247F6" w:rsidP="00F247F6">
            <w:pPr>
              <w:pBdr>
                <w:bottom w:val="single" w:sz="6" w:space="1" w:color="auto"/>
              </w:pBdr>
              <w:spacing w:line="216" w:lineRule="auto"/>
              <w:jc w:val="center"/>
              <w:rPr>
                <w:b/>
                <w:bCs/>
                <w:sz w:val="18"/>
                <w:szCs w:val="18"/>
                <w:rtl/>
              </w:rPr>
            </w:pPr>
            <w:r w:rsidRPr="00217A8C">
              <w:rPr>
                <w:rFonts w:hint="cs"/>
                <w:b/>
                <w:bCs/>
                <w:sz w:val="18"/>
                <w:szCs w:val="18"/>
                <w:rtl/>
              </w:rPr>
              <w:t>ממוצע משוקלל</w:t>
            </w:r>
            <w:r w:rsidRPr="00863250">
              <w:rPr>
                <w:rFonts w:hint="cs"/>
                <w:sz w:val="18"/>
                <w:szCs w:val="18"/>
                <w:vertAlign w:val="superscript"/>
                <w:rtl/>
              </w:rPr>
              <w:t>[</w:t>
            </w:r>
            <w:r w:rsidR="00276D9E">
              <w:rPr>
                <w:rFonts w:hint="cs"/>
                <w:sz w:val="18"/>
                <w:szCs w:val="18"/>
                <w:vertAlign w:val="superscript"/>
                <w:rtl/>
              </w:rPr>
              <w:t xml:space="preserve"> </w:t>
            </w:r>
            <w:r w:rsidRPr="00863250">
              <w:rPr>
                <w:vertAlign w:val="superscript"/>
                <w:rtl/>
              </w:rPr>
              <w:footnoteReference w:id="134"/>
            </w:r>
            <w:r w:rsidRPr="00863250">
              <w:rPr>
                <w:rFonts w:hint="cs"/>
                <w:sz w:val="18"/>
                <w:szCs w:val="18"/>
                <w:vertAlign w:val="superscript"/>
                <w:rtl/>
              </w:rPr>
              <w:t>]</w:t>
            </w:r>
          </w:p>
        </w:tc>
        <w:tc>
          <w:tcPr>
            <w:tcW w:w="853" w:type="dxa"/>
            <w:gridSpan w:val="2"/>
            <w:tcBorders>
              <w:top w:val="nil"/>
              <w:left w:val="nil"/>
              <w:bottom w:val="nil"/>
              <w:right w:val="nil"/>
            </w:tcBorders>
            <w:vAlign w:val="center"/>
          </w:tcPr>
          <w:p w14:paraId="7B2D8AD5" w14:textId="77777777" w:rsidR="00F247F6" w:rsidRPr="00217A8C" w:rsidRDefault="00F247F6" w:rsidP="00F247F6">
            <w:pPr>
              <w:pBdr>
                <w:bottom w:val="single" w:sz="6" w:space="1" w:color="auto"/>
              </w:pBdr>
              <w:spacing w:line="216" w:lineRule="auto"/>
              <w:jc w:val="center"/>
              <w:rPr>
                <w:b/>
                <w:bCs/>
                <w:sz w:val="18"/>
                <w:szCs w:val="18"/>
                <w:rtl/>
              </w:rPr>
            </w:pPr>
            <w:r w:rsidRPr="00217A8C">
              <w:rPr>
                <w:rFonts w:hint="cs"/>
                <w:b/>
                <w:bCs/>
                <w:sz w:val="18"/>
                <w:szCs w:val="18"/>
                <w:rtl/>
              </w:rPr>
              <w:t>שווי</w:t>
            </w:r>
          </w:p>
          <w:p w14:paraId="1103E3D1" w14:textId="1D33FA1A" w:rsidR="00F247F6" w:rsidRPr="00863250" w:rsidRDefault="00F247F6" w:rsidP="00F247F6">
            <w:pPr>
              <w:pBdr>
                <w:bottom w:val="single" w:sz="6" w:space="1" w:color="auto"/>
              </w:pBdr>
              <w:spacing w:line="264" w:lineRule="auto"/>
              <w:jc w:val="center"/>
              <w:rPr>
                <w:b/>
                <w:bCs/>
                <w:sz w:val="18"/>
                <w:szCs w:val="18"/>
                <w:rtl/>
              </w:rPr>
            </w:pPr>
            <w:r w:rsidRPr="00217A8C">
              <w:rPr>
                <w:rFonts w:hint="cs"/>
                <w:b/>
                <w:bCs/>
                <w:sz w:val="18"/>
                <w:szCs w:val="18"/>
                <w:rtl/>
              </w:rPr>
              <w:t>הוגן</w:t>
            </w:r>
          </w:p>
        </w:tc>
        <w:tc>
          <w:tcPr>
            <w:tcW w:w="848" w:type="dxa"/>
            <w:gridSpan w:val="2"/>
            <w:tcBorders>
              <w:top w:val="nil"/>
              <w:left w:val="nil"/>
              <w:bottom w:val="nil"/>
              <w:right w:val="nil"/>
            </w:tcBorders>
            <w:vAlign w:val="center"/>
          </w:tcPr>
          <w:p w14:paraId="20424AE5" w14:textId="77777777" w:rsidR="00F247F6" w:rsidRDefault="00F247F6" w:rsidP="00F247F6">
            <w:pPr>
              <w:pBdr>
                <w:bottom w:val="single" w:sz="6" w:space="1" w:color="auto"/>
              </w:pBdr>
              <w:spacing w:line="264" w:lineRule="auto"/>
              <w:jc w:val="center"/>
              <w:rPr>
                <w:b/>
                <w:bCs/>
                <w:sz w:val="18"/>
                <w:szCs w:val="18"/>
                <w:rtl/>
              </w:rPr>
            </w:pPr>
          </w:p>
          <w:p w14:paraId="5D477728" w14:textId="0F67E82A" w:rsidR="00F247F6" w:rsidRPr="00863250" w:rsidRDefault="00F247F6" w:rsidP="00F247F6">
            <w:pPr>
              <w:pBdr>
                <w:bottom w:val="single" w:sz="6" w:space="1" w:color="auto"/>
              </w:pBdr>
              <w:spacing w:line="264" w:lineRule="auto"/>
              <w:jc w:val="center"/>
              <w:rPr>
                <w:b/>
                <w:bCs/>
                <w:sz w:val="18"/>
                <w:szCs w:val="18"/>
                <w:rtl/>
              </w:rPr>
            </w:pPr>
            <w:r w:rsidRPr="00217A8C">
              <w:rPr>
                <w:rFonts w:hint="cs"/>
                <w:b/>
                <w:bCs/>
                <w:sz w:val="18"/>
                <w:szCs w:val="18"/>
                <w:rtl/>
              </w:rPr>
              <w:t>טווח</w:t>
            </w:r>
          </w:p>
        </w:tc>
        <w:tc>
          <w:tcPr>
            <w:tcW w:w="1134" w:type="dxa"/>
            <w:gridSpan w:val="2"/>
            <w:tcBorders>
              <w:top w:val="nil"/>
              <w:left w:val="nil"/>
              <w:bottom w:val="nil"/>
              <w:right w:val="nil"/>
            </w:tcBorders>
            <w:vAlign w:val="center"/>
          </w:tcPr>
          <w:p w14:paraId="19B32D26" w14:textId="28E590E1" w:rsidR="00F247F6" w:rsidRPr="00863250" w:rsidRDefault="00F247F6" w:rsidP="00F247F6">
            <w:pPr>
              <w:pBdr>
                <w:bottom w:val="single" w:sz="6" w:space="1" w:color="auto"/>
              </w:pBdr>
              <w:spacing w:line="264" w:lineRule="auto"/>
              <w:jc w:val="center"/>
              <w:rPr>
                <w:b/>
                <w:bCs/>
                <w:sz w:val="18"/>
                <w:szCs w:val="18"/>
                <w:rtl/>
              </w:rPr>
            </w:pPr>
            <w:r w:rsidRPr="00217A8C">
              <w:rPr>
                <w:rFonts w:hint="cs"/>
                <w:b/>
                <w:bCs/>
                <w:sz w:val="18"/>
                <w:szCs w:val="18"/>
                <w:rtl/>
              </w:rPr>
              <w:t>ממוצע משוקלל</w:t>
            </w:r>
            <w:r w:rsidR="00276D9E">
              <w:rPr>
                <w:rFonts w:hint="cs"/>
                <w:b/>
                <w:bCs/>
                <w:sz w:val="18"/>
                <w:szCs w:val="18"/>
                <w:rtl/>
              </w:rPr>
              <w:t xml:space="preserve"> </w:t>
            </w:r>
            <w:r w:rsidRPr="00863250">
              <w:rPr>
                <w:rFonts w:hint="cs"/>
                <w:sz w:val="18"/>
                <w:szCs w:val="18"/>
                <w:vertAlign w:val="superscript"/>
                <w:rtl/>
              </w:rPr>
              <w:t>[</w:t>
            </w:r>
            <w:r w:rsidR="00276D9E">
              <w:rPr>
                <w:rFonts w:hint="cs"/>
                <w:vertAlign w:val="superscript"/>
                <w:rtl/>
              </w:rPr>
              <w:t>2</w:t>
            </w:r>
            <w:r w:rsidRPr="00863250">
              <w:rPr>
                <w:rFonts w:hint="cs"/>
                <w:sz w:val="18"/>
                <w:szCs w:val="18"/>
                <w:vertAlign w:val="superscript"/>
                <w:rtl/>
              </w:rPr>
              <w:t>]</w:t>
            </w:r>
          </w:p>
        </w:tc>
        <w:tc>
          <w:tcPr>
            <w:tcW w:w="567" w:type="dxa"/>
            <w:gridSpan w:val="2"/>
            <w:tcBorders>
              <w:top w:val="nil"/>
              <w:left w:val="nil"/>
              <w:bottom w:val="nil"/>
              <w:right w:val="nil"/>
            </w:tcBorders>
            <w:vAlign w:val="center"/>
          </w:tcPr>
          <w:p w14:paraId="273F9453" w14:textId="77777777" w:rsidR="00F247F6" w:rsidRPr="00217A8C" w:rsidRDefault="00F247F6" w:rsidP="00F247F6">
            <w:pPr>
              <w:pBdr>
                <w:bottom w:val="single" w:sz="6" w:space="1" w:color="auto"/>
              </w:pBdr>
              <w:spacing w:line="216" w:lineRule="auto"/>
              <w:jc w:val="center"/>
              <w:rPr>
                <w:b/>
                <w:bCs/>
                <w:sz w:val="18"/>
                <w:szCs w:val="18"/>
                <w:rtl/>
              </w:rPr>
            </w:pPr>
            <w:r w:rsidRPr="00217A8C">
              <w:rPr>
                <w:rFonts w:hint="cs"/>
                <w:b/>
                <w:bCs/>
                <w:sz w:val="18"/>
                <w:szCs w:val="18"/>
                <w:rtl/>
              </w:rPr>
              <w:t>שווי</w:t>
            </w:r>
          </w:p>
          <w:p w14:paraId="58E43BCD" w14:textId="4D29EB13" w:rsidR="00F247F6" w:rsidRPr="00863250" w:rsidRDefault="00F247F6" w:rsidP="00F247F6">
            <w:pPr>
              <w:pBdr>
                <w:bottom w:val="single" w:sz="6" w:space="1" w:color="auto"/>
              </w:pBdr>
              <w:spacing w:line="264" w:lineRule="auto"/>
              <w:jc w:val="center"/>
              <w:rPr>
                <w:b/>
                <w:bCs/>
                <w:sz w:val="18"/>
                <w:szCs w:val="18"/>
                <w:rtl/>
              </w:rPr>
            </w:pPr>
            <w:r w:rsidRPr="00217A8C">
              <w:rPr>
                <w:rFonts w:hint="cs"/>
                <w:b/>
                <w:bCs/>
                <w:sz w:val="18"/>
                <w:szCs w:val="18"/>
                <w:rtl/>
              </w:rPr>
              <w:t>הוגן</w:t>
            </w:r>
          </w:p>
        </w:tc>
        <w:tc>
          <w:tcPr>
            <w:tcW w:w="850" w:type="dxa"/>
            <w:gridSpan w:val="2"/>
            <w:tcBorders>
              <w:top w:val="nil"/>
              <w:left w:val="nil"/>
              <w:bottom w:val="nil"/>
              <w:right w:val="nil"/>
            </w:tcBorders>
            <w:vAlign w:val="center"/>
          </w:tcPr>
          <w:p w14:paraId="5AD9771B" w14:textId="77777777" w:rsidR="00F247F6" w:rsidRDefault="00F247F6" w:rsidP="00F247F6">
            <w:pPr>
              <w:pBdr>
                <w:bottom w:val="single" w:sz="6" w:space="1" w:color="auto"/>
              </w:pBdr>
              <w:spacing w:line="264" w:lineRule="auto"/>
              <w:jc w:val="center"/>
              <w:rPr>
                <w:b/>
                <w:bCs/>
                <w:sz w:val="18"/>
                <w:szCs w:val="18"/>
                <w:rtl/>
              </w:rPr>
            </w:pPr>
          </w:p>
          <w:p w14:paraId="46D71624" w14:textId="29847DC3" w:rsidR="00F247F6" w:rsidRPr="00863250" w:rsidRDefault="00F247F6" w:rsidP="00F247F6">
            <w:pPr>
              <w:pBdr>
                <w:bottom w:val="single" w:sz="6" w:space="1" w:color="auto"/>
              </w:pBdr>
              <w:spacing w:line="264" w:lineRule="auto"/>
              <w:jc w:val="center"/>
              <w:rPr>
                <w:b/>
                <w:bCs/>
                <w:sz w:val="18"/>
                <w:szCs w:val="18"/>
                <w:rtl/>
              </w:rPr>
            </w:pPr>
            <w:r w:rsidRPr="00217A8C">
              <w:rPr>
                <w:rFonts w:hint="cs"/>
                <w:b/>
                <w:bCs/>
                <w:sz w:val="18"/>
                <w:szCs w:val="18"/>
                <w:rtl/>
              </w:rPr>
              <w:t>טווח</w:t>
            </w:r>
          </w:p>
        </w:tc>
        <w:tc>
          <w:tcPr>
            <w:tcW w:w="993" w:type="dxa"/>
            <w:gridSpan w:val="3"/>
            <w:tcBorders>
              <w:top w:val="nil"/>
              <w:left w:val="nil"/>
              <w:bottom w:val="nil"/>
              <w:right w:val="nil"/>
            </w:tcBorders>
            <w:vAlign w:val="center"/>
          </w:tcPr>
          <w:p w14:paraId="447947C8" w14:textId="2ABF6C44" w:rsidR="00F247F6" w:rsidRPr="00863250" w:rsidRDefault="00F247F6" w:rsidP="00F247F6">
            <w:pPr>
              <w:pBdr>
                <w:bottom w:val="single" w:sz="6" w:space="1" w:color="auto"/>
              </w:pBdr>
              <w:spacing w:line="264" w:lineRule="auto"/>
              <w:jc w:val="center"/>
              <w:rPr>
                <w:b/>
                <w:bCs/>
                <w:sz w:val="18"/>
                <w:szCs w:val="18"/>
                <w:rtl/>
              </w:rPr>
            </w:pPr>
            <w:r w:rsidRPr="00217A8C">
              <w:rPr>
                <w:rFonts w:hint="cs"/>
                <w:b/>
                <w:bCs/>
                <w:sz w:val="18"/>
                <w:szCs w:val="18"/>
                <w:rtl/>
              </w:rPr>
              <w:t>ממוצע משוקלל</w:t>
            </w:r>
            <w:r w:rsidR="00276D9E">
              <w:rPr>
                <w:rFonts w:hint="cs"/>
                <w:b/>
                <w:bCs/>
                <w:sz w:val="18"/>
                <w:szCs w:val="18"/>
                <w:rtl/>
              </w:rPr>
              <w:t xml:space="preserve"> </w:t>
            </w:r>
            <w:r w:rsidRPr="00863250">
              <w:rPr>
                <w:rFonts w:hint="cs"/>
                <w:sz w:val="18"/>
                <w:szCs w:val="18"/>
                <w:vertAlign w:val="superscript"/>
                <w:rtl/>
              </w:rPr>
              <w:t>[</w:t>
            </w:r>
            <w:r w:rsidR="00276D9E">
              <w:rPr>
                <w:rFonts w:hint="cs"/>
                <w:vertAlign w:val="superscript"/>
                <w:rtl/>
              </w:rPr>
              <w:t>2</w:t>
            </w:r>
            <w:r w:rsidRPr="00863250">
              <w:rPr>
                <w:rFonts w:hint="cs"/>
                <w:sz w:val="18"/>
                <w:szCs w:val="18"/>
                <w:vertAlign w:val="superscript"/>
                <w:rtl/>
              </w:rPr>
              <w:t>]</w:t>
            </w:r>
          </w:p>
        </w:tc>
      </w:tr>
      <w:tr w:rsidR="00770120" w:rsidRPr="00863250" w14:paraId="563DA7CB" w14:textId="7BC3A24A" w:rsidTr="00770120">
        <w:trPr>
          <w:gridAfter w:val="1"/>
          <w:wAfter w:w="25" w:type="dxa"/>
          <w:trHeight w:val="259"/>
        </w:trPr>
        <w:tc>
          <w:tcPr>
            <w:tcW w:w="2640" w:type="dxa"/>
            <w:tcBorders>
              <w:top w:val="nil"/>
              <w:left w:val="nil"/>
              <w:bottom w:val="nil"/>
              <w:right w:val="nil"/>
            </w:tcBorders>
            <w:shd w:val="clear" w:color="auto" w:fill="auto"/>
          </w:tcPr>
          <w:p w14:paraId="459F1074" w14:textId="77777777" w:rsidR="00FA0B52" w:rsidRPr="00217A8C" w:rsidRDefault="00FA0B52" w:rsidP="00FA0B52">
            <w:pPr>
              <w:spacing w:line="264" w:lineRule="auto"/>
              <w:jc w:val="left"/>
              <w:rPr>
                <w:b/>
                <w:bCs/>
                <w:color w:val="000000"/>
                <w:sz w:val="19"/>
                <w:szCs w:val="19"/>
                <w:u w:val="single"/>
                <w:rtl/>
                <w:lang w:eastAsia="he-IL"/>
              </w:rPr>
            </w:pPr>
            <w:r w:rsidRPr="00217A8C">
              <w:rPr>
                <w:rFonts w:hint="cs"/>
                <w:b/>
                <w:bCs/>
                <w:color w:val="000000"/>
                <w:sz w:val="19"/>
                <w:szCs w:val="19"/>
                <w:u w:val="single"/>
                <w:rtl/>
                <w:lang w:eastAsia="he-IL"/>
              </w:rPr>
              <w:t>נכסים</w:t>
            </w:r>
          </w:p>
        </w:tc>
        <w:tc>
          <w:tcPr>
            <w:tcW w:w="1556" w:type="dxa"/>
            <w:gridSpan w:val="2"/>
            <w:tcBorders>
              <w:top w:val="nil"/>
              <w:left w:val="nil"/>
              <w:bottom w:val="nil"/>
              <w:right w:val="nil"/>
            </w:tcBorders>
            <w:vAlign w:val="bottom"/>
          </w:tcPr>
          <w:p w14:paraId="7D668E0A" w14:textId="77777777" w:rsidR="00FA0B52" w:rsidRPr="00863250" w:rsidRDefault="00FA0B52" w:rsidP="00FA0B52">
            <w:pPr>
              <w:spacing w:line="264" w:lineRule="auto"/>
              <w:rPr>
                <w:rtl/>
              </w:rPr>
            </w:pPr>
          </w:p>
        </w:tc>
        <w:tc>
          <w:tcPr>
            <w:tcW w:w="1701" w:type="dxa"/>
            <w:gridSpan w:val="2"/>
            <w:tcBorders>
              <w:top w:val="nil"/>
              <w:left w:val="nil"/>
              <w:bottom w:val="nil"/>
              <w:right w:val="nil"/>
            </w:tcBorders>
            <w:vAlign w:val="bottom"/>
          </w:tcPr>
          <w:p w14:paraId="6264050D" w14:textId="77777777" w:rsidR="00FA0B52" w:rsidRPr="00863250" w:rsidRDefault="00FA0B52" w:rsidP="00FA0B52">
            <w:pPr>
              <w:spacing w:line="264" w:lineRule="auto"/>
              <w:ind w:left="124" w:hanging="113"/>
              <w:jc w:val="left"/>
              <w:rPr>
                <w:rtl/>
              </w:rPr>
            </w:pPr>
          </w:p>
        </w:tc>
        <w:tc>
          <w:tcPr>
            <w:tcW w:w="567" w:type="dxa"/>
            <w:gridSpan w:val="2"/>
            <w:tcBorders>
              <w:top w:val="nil"/>
              <w:left w:val="nil"/>
              <w:bottom w:val="nil"/>
              <w:right w:val="nil"/>
            </w:tcBorders>
          </w:tcPr>
          <w:p w14:paraId="031CA4E5" w14:textId="77777777" w:rsidR="00FA0B52" w:rsidRPr="00863250" w:rsidRDefault="00FA0B52" w:rsidP="00FA0B52">
            <w:pPr>
              <w:spacing w:line="264" w:lineRule="auto"/>
              <w:rPr>
                <w:rtl/>
              </w:rPr>
            </w:pPr>
          </w:p>
        </w:tc>
        <w:tc>
          <w:tcPr>
            <w:tcW w:w="851" w:type="dxa"/>
            <w:gridSpan w:val="2"/>
            <w:tcBorders>
              <w:top w:val="nil"/>
              <w:left w:val="nil"/>
              <w:bottom w:val="nil"/>
              <w:right w:val="nil"/>
            </w:tcBorders>
            <w:vAlign w:val="bottom"/>
          </w:tcPr>
          <w:p w14:paraId="3222B863" w14:textId="26040410" w:rsidR="00FA0B52" w:rsidRPr="00863250" w:rsidRDefault="00FA0B52" w:rsidP="00FA0B52">
            <w:pPr>
              <w:spacing w:line="264" w:lineRule="auto"/>
              <w:rPr>
                <w:rtl/>
              </w:rPr>
            </w:pPr>
          </w:p>
        </w:tc>
        <w:tc>
          <w:tcPr>
            <w:tcW w:w="992" w:type="dxa"/>
            <w:gridSpan w:val="2"/>
            <w:tcBorders>
              <w:top w:val="nil"/>
              <w:left w:val="nil"/>
              <w:bottom w:val="nil"/>
              <w:right w:val="nil"/>
            </w:tcBorders>
            <w:vAlign w:val="bottom"/>
          </w:tcPr>
          <w:p w14:paraId="790880AF" w14:textId="77777777" w:rsidR="00FA0B52" w:rsidRPr="00863250" w:rsidRDefault="00FA0B52" w:rsidP="00FA0B52">
            <w:pPr>
              <w:spacing w:line="264" w:lineRule="auto"/>
              <w:rPr>
                <w:rtl/>
              </w:rPr>
            </w:pPr>
          </w:p>
        </w:tc>
        <w:tc>
          <w:tcPr>
            <w:tcW w:w="853" w:type="dxa"/>
            <w:gridSpan w:val="2"/>
            <w:tcBorders>
              <w:top w:val="nil"/>
              <w:left w:val="nil"/>
              <w:bottom w:val="nil"/>
              <w:right w:val="nil"/>
            </w:tcBorders>
          </w:tcPr>
          <w:p w14:paraId="363B2FDA" w14:textId="77777777" w:rsidR="00FA0B52" w:rsidRPr="00863250" w:rsidRDefault="00FA0B52" w:rsidP="00FA0B52">
            <w:pPr>
              <w:spacing w:line="264" w:lineRule="auto"/>
              <w:rPr>
                <w:rtl/>
              </w:rPr>
            </w:pPr>
          </w:p>
        </w:tc>
        <w:tc>
          <w:tcPr>
            <w:tcW w:w="848" w:type="dxa"/>
            <w:gridSpan w:val="2"/>
            <w:tcBorders>
              <w:top w:val="nil"/>
              <w:left w:val="nil"/>
              <w:bottom w:val="nil"/>
              <w:right w:val="nil"/>
            </w:tcBorders>
          </w:tcPr>
          <w:p w14:paraId="17A79A36" w14:textId="77777777" w:rsidR="00FA0B52" w:rsidRPr="00863250" w:rsidRDefault="00FA0B52" w:rsidP="00FA0B52">
            <w:pPr>
              <w:spacing w:line="264" w:lineRule="auto"/>
              <w:rPr>
                <w:rtl/>
              </w:rPr>
            </w:pPr>
          </w:p>
        </w:tc>
        <w:tc>
          <w:tcPr>
            <w:tcW w:w="1134" w:type="dxa"/>
            <w:gridSpan w:val="2"/>
            <w:tcBorders>
              <w:top w:val="nil"/>
              <w:left w:val="nil"/>
              <w:bottom w:val="nil"/>
              <w:right w:val="nil"/>
            </w:tcBorders>
          </w:tcPr>
          <w:p w14:paraId="13D3BF32" w14:textId="77777777" w:rsidR="00FA0B52" w:rsidRPr="00863250" w:rsidRDefault="00FA0B52" w:rsidP="00FA0B52">
            <w:pPr>
              <w:spacing w:line="264" w:lineRule="auto"/>
              <w:rPr>
                <w:rtl/>
              </w:rPr>
            </w:pPr>
          </w:p>
        </w:tc>
        <w:tc>
          <w:tcPr>
            <w:tcW w:w="567" w:type="dxa"/>
            <w:gridSpan w:val="2"/>
            <w:tcBorders>
              <w:top w:val="nil"/>
              <w:left w:val="nil"/>
              <w:bottom w:val="nil"/>
              <w:right w:val="nil"/>
            </w:tcBorders>
          </w:tcPr>
          <w:p w14:paraId="1B35DA89" w14:textId="77777777" w:rsidR="00FA0B52" w:rsidRPr="00863250" w:rsidRDefault="00FA0B52" w:rsidP="00FA0B52">
            <w:pPr>
              <w:spacing w:line="264" w:lineRule="auto"/>
              <w:rPr>
                <w:rtl/>
              </w:rPr>
            </w:pPr>
          </w:p>
        </w:tc>
        <w:tc>
          <w:tcPr>
            <w:tcW w:w="850" w:type="dxa"/>
            <w:gridSpan w:val="2"/>
            <w:tcBorders>
              <w:top w:val="nil"/>
              <w:left w:val="nil"/>
              <w:bottom w:val="nil"/>
              <w:right w:val="nil"/>
            </w:tcBorders>
          </w:tcPr>
          <w:p w14:paraId="7C0D71BD" w14:textId="77777777" w:rsidR="00FA0B52" w:rsidRPr="00863250" w:rsidRDefault="00FA0B52" w:rsidP="00FA0B52">
            <w:pPr>
              <w:spacing w:line="264" w:lineRule="auto"/>
              <w:rPr>
                <w:rtl/>
              </w:rPr>
            </w:pPr>
          </w:p>
        </w:tc>
        <w:tc>
          <w:tcPr>
            <w:tcW w:w="993" w:type="dxa"/>
            <w:gridSpan w:val="3"/>
            <w:tcBorders>
              <w:top w:val="nil"/>
              <w:left w:val="nil"/>
              <w:bottom w:val="nil"/>
              <w:right w:val="nil"/>
            </w:tcBorders>
          </w:tcPr>
          <w:p w14:paraId="2AD153CD" w14:textId="77777777" w:rsidR="00FA0B52" w:rsidRPr="00863250" w:rsidRDefault="00FA0B52" w:rsidP="00FA0B52">
            <w:pPr>
              <w:spacing w:line="264" w:lineRule="auto"/>
              <w:rPr>
                <w:rtl/>
              </w:rPr>
            </w:pPr>
          </w:p>
        </w:tc>
      </w:tr>
      <w:tr w:rsidR="00770120" w:rsidRPr="00863250" w14:paraId="510D09C8" w14:textId="3B88A7EE" w:rsidTr="00770120">
        <w:trPr>
          <w:gridAfter w:val="1"/>
          <w:wAfter w:w="25" w:type="dxa"/>
          <w:trHeight w:val="259"/>
        </w:trPr>
        <w:tc>
          <w:tcPr>
            <w:tcW w:w="2640" w:type="dxa"/>
            <w:tcBorders>
              <w:top w:val="nil"/>
              <w:left w:val="nil"/>
              <w:bottom w:val="nil"/>
              <w:right w:val="nil"/>
            </w:tcBorders>
            <w:shd w:val="clear" w:color="auto" w:fill="auto"/>
          </w:tcPr>
          <w:p w14:paraId="3AEBEF3B" w14:textId="3743D257" w:rsidR="00FA0B52" w:rsidRPr="005B6222" w:rsidRDefault="00FA0B52" w:rsidP="00FA0B52">
            <w:pPr>
              <w:spacing w:line="192" w:lineRule="auto"/>
              <w:jc w:val="left"/>
              <w:rPr>
                <w:color w:val="000000"/>
                <w:sz w:val="18"/>
                <w:szCs w:val="18"/>
                <w:rtl/>
                <w:lang w:eastAsia="he-IL"/>
              </w:rPr>
            </w:pPr>
            <w:r w:rsidRPr="005B6222">
              <w:rPr>
                <w:rFonts w:hint="cs"/>
                <w:color w:val="000000"/>
                <w:sz w:val="18"/>
                <w:szCs w:val="18"/>
                <w:rtl/>
                <w:lang w:eastAsia="he-IL"/>
              </w:rPr>
              <w:t>איגרות חוב זמינות למכירה:</w:t>
            </w:r>
            <w:r w:rsidRPr="005B6222">
              <w:rPr>
                <w:rFonts w:hint="cs"/>
                <w:color w:val="000000"/>
                <w:sz w:val="18"/>
                <w:szCs w:val="18"/>
                <w:vertAlign w:val="superscript"/>
                <w:rtl/>
                <w:lang w:eastAsia="he-IL"/>
              </w:rPr>
              <w:t>[</w:t>
            </w:r>
            <w:r w:rsidRPr="005B6222">
              <w:rPr>
                <w:vertAlign w:val="superscript"/>
                <w:rtl/>
                <w:lang w:eastAsia="he-IL"/>
              </w:rPr>
              <w:footnoteReference w:id="135"/>
            </w:r>
            <w:r w:rsidRPr="005B6222">
              <w:rPr>
                <w:rFonts w:hint="cs"/>
                <w:color w:val="000000"/>
                <w:sz w:val="18"/>
                <w:szCs w:val="18"/>
                <w:vertAlign w:val="superscript"/>
                <w:rtl/>
                <w:lang w:eastAsia="he-IL"/>
              </w:rPr>
              <w:t>]</w:t>
            </w:r>
          </w:p>
        </w:tc>
        <w:tc>
          <w:tcPr>
            <w:tcW w:w="1556" w:type="dxa"/>
            <w:gridSpan w:val="2"/>
            <w:tcBorders>
              <w:top w:val="nil"/>
              <w:left w:val="nil"/>
              <w:bottom w:val="nil"/>
              <w:right w:val="nil"/>
            </w:tcBorders>
          </w:tcPr>
          <w:p w14:paraId="6F5A72CE" w14:textId="77777777" w:rsidR="00FA0B52" w:rsidRPr="00863250" w:rsidRDefault="00FA0B52" w:rsidP="00FA0B52">
            <w:pPr>
              <w:spacing w:line="264" w:lineRule="auto"/>
              <w:jc w:val="left"/>
              <w:rPr>
                <w:sz w:val="16"/>
                <w:szCs w:val="16"/>
                <w:rtl/>
              </w:rPr>
            </w:pPr>
          </w:p>
        </w:tc>
        <w:tc>
          <w:tcPr>
            <w:tcW w:w="1701" w:type="dxa"/>
            <w:gridSpan w:val="2"/>
            <w:tcBorders>
              <w:top w:val="nil"/>
              <w:left w:val="nil"/>
              <w:bottom w:val="nil"/>
              <w:right w:val="nil"/>
            </w:tcBorders>
          </w:tcPr>
          <w:p w14:paraId="7BF3340E" w14:textId="77777777" w:rsidR="00FA0B52" w:rsidRPr="00863250" w:rsidRDefault="00FA0B52" w:rsidP="00FA0B52">
            <w:pPr>
              <w:spacing w:line="264" w:lineRule="auto"/>
              <w:ind w:left="124" w:hanging="113"/>
              <w:jc w:val="left"/>
              <w:rPr>
                <w:sz w:val="16"/>
                <w:szCs w:val="16"/>
                <w:rtl/>
              </w:rPr>
            </w:pPr>
          </w:p>
        </w:tc>
        <w:tc>
          <w:tcPr>
            <w:tcW w:w="567" w:type="dxa"/>
            <w:gridSpan w:val="2"/>
            <w:tcBorders>
              <w:top w:val="nil"/>
              <w:left w:val="nil"/>
              <w:bottom w:val="nil"/>
              <w:right w:val="nil"/>
            </w:tcBorders>
          </w:tcPr>
          <w:p w14:paraId="68696989" w14:textId="77777777" w:rsidR="00FA0B52" w:rsidRPr="00863250" w:rsidRDefault="00FA0B52" w:rsidP="00FA0B52">
            <w:pPr>
              <w:spacing w:line="264" w:lineRule="auto"/>
              <w:jc w:val="left"/>
              <w:rPr>
                <w:sz w:val="16"/>
                <w:szCs w:val="16"/>
                <w:rtl/>
              </w:rPr>
            </w:pPr>
          </w:p>
        </w:tc>
        <w:tc>
          <w:tcPr>
            <w:tcW w:w="851" w:type="dxa"/>
            <w:gridSpan w:val="2"/>
            <w:tcBorders>
              <w:top w:val="nil"/>
              <w:left w:val="nil"/>
              <w:bottom w:val="nil"/>
              <w:right w:val="nil"/>
            </w:tcBorders>
          </w:tcPr>
          <w:p w14:paraId="3C20FA97" w14:textId="7CEE98D0" w:rsidR="00FA0B52" w:rsidRPr="00863250" w:rsidRDefault="00FA0B52" w:rsidP="00FA0B52">
            <w:pPr>
              <w:spacing w:line="264" w:lineRule="auto"/>
              <w:jc w:val="left"/>
              <w:rPr>
                <w:sz w:val="16"/>
                <w:szCs w:val="16"/>
                <w:rtl/>
              </w:rPr>
            </w:pPr>
          </w:p>
        </w:tc>
        <w:tc>
          <w:tcPr>
            <w:tcW w:w="992" w:type="dxa"/>
            <w:gridSpan w:val="2"/>
            <w:tcBorders>
              <w:top w:val="nil"/>
              <w:left w:val="nil"/>
              <w:bottom w:val="nil"/>
              <w:right w:val="nil"/>
            </w:tcBorders>
          </w:tcPr>
          <w:p w14:paraId="583A5649" w14:textId="77777777" w:rsidR="00FA0B52" w:rsidRPr="00863250" w:rsidRDefault="00FA0B52" w:rsidP="00FA0B52">
            <w:pPr>
              <w:spacing w:line="264" w:lineRule="auto"/>
              <w:jc w:val="left"/>
              <w:rPr>
                <w:sz w:val="16"/>
                <w:szCs w:val="16"/>
                <w:rtl/>
              </w:rPr>
            </w:pPr>
          </w:p>
        </w:tc>
        <w:tc>
          <w:tcPr>
            <w:tcW w:w="853" w:type="dxa"/>
            <w:gridSpan w:val="2"/>
            <w:tcBorders>
              <w:top w:val="nil"/>
              <w:left w:val="nil"/>
              <w:bottom w:val="nil"/>
              <w:right w:val="nil"/>
            </w:tcBorders>
          </w:tcPr>
          <w:p w14:paraId="564A51A8" w14:textId="77777777" w:rsidR="00FA0B52" w:rsidRPr="00863250" w:rsidRDefault="00FA0B52" w:rsidP="00FA0B52">
            <w:pPr>
              <w:spacing w:line="264" w:lineRule="auto"/>
              <w:jc w:val="left"/>
              <w:rPr>
                <w:sz w:val="16"/>
                <w:szCs w:val="16"/>
                <w:rtl/>
              </w:rPr>
            </w:pPr>
          </w:p>
        </w:tc>
        <w:tc>
          <w:tcPr>
            <w:tcW w:w="848" w:type="dxa"/>
            <w:gridSpan w:val="2"/>
            <w:tcBorders>
              <w:top w:val="nil"/>
              <w:left w:val="nil"/>
              <w:bottom w:val="nil"/>
              <w:right w:val="nil"/>
            </w:tcBorders>
          </w:tcPr>
          <w:p w14:paraId="7C2B72BE" w14:textId="77777777" w:rsidR="00FA0B52" w:rsidRPr="00863250" w:rsidRDefault="00FA0B52" w:rsidP="00FA0B52">
            <w:pPr>
              <w:spacing w:line="264" w:lineRule="auto"/>
              <w:jc w:val="left"/>
              <w:rPr>
                <w:sz w:val="16"/>
                <w:szCs w:val="16"/>
                <w:rtl/>
              </w:rPr>
            </w:pPr>
          </w:p>
        </w:tc>
        <w:tc>
          <w:tcPr>
            <w:tcW w:w="1134" w:type="dxa"/>
            <w:gridSpan w:val="2"/>
            <w:tcBorders>
              <w:top w:val="nil"/>
              <w:left w:val="nil"/>
              <w:bottom w:val="nil"/>
              <w:right w:val="nil"/>
            </w:tcBorders>
          </w:tcPr>
          <w:p w14:paraId="29DDE5A0" w14:textId="77777777" w:rsidR="00FA0B52" w:rsidRPr="00863250" w:rsidRDefault="00FA0B52" w:rsidP="00FA0B52">
            <w:pPr>
              <w:spacing w:line="264" w:lineRule="auto"/>
              <w:jc w:val="left"/>
              <w:rPr>
                <w:sz w:val="16"/>
                <w:szCs w:val="16"/>
                <w:rtl/>
              </w:rPr>
            </w:pPr>
          </w:p>
        </w:tc>
        <w:tc>
          <w:tcPr>
            <w:tcW w:w="567" w:type="dxa"/>
            <w:gridSpan w:val="2"/>
            <w:tcBorders>
              <w:top w:val="nil"/>
              <w:left w:val="nil"/>
              <w:bottom w:val="nil"/>
              <w:right w:val="nil"/>
            </w:tcBorders>
          </w:tcPr>
          <w:p w14:paraId="049F21BE" w14:textId="77777777" w:rsidR="00FA0B52" w:rsidRPr="00863250" w:rsidRDefault="00FA0B52" w:rsidP="00FA0B52">
            <w:pPr>
              <w:spacing w:line="264" w:lineRule="auto"/>
              <w:jc w:val="left"/>
              <w:rPr>
                <w:sz w:val="16"/>
                <w:szCs w:val="16"/>
                <w:rtl/>
              </w:rPr>
            </w:pPr>
          </w:p>
        </w:tc>
        <w:tc>
          <w:tcPr>
            <w:tcW w:w="850" w:type="dxa"/>
            <w:gridSpan w:val="2"/>
            <w:tcBorders>
              <w:top w:val="nil"/>
              <w:left w:val="nil"/>
              <w:bottom w:val="nil"/>
              <w:right w:val="nil"/>
            </w:tcBorders>
          </w:tcPr>
          <w:p w14:paraId="67DE260D" w14:textId="77777777" w:rsidR="00FA0B52" w:rsidRPr="00863250" w:rsidRDefault="00FA0B52" w:rsidP="00FA0B52">
            <w:pPr>
              <w:spacing w:line="264" w:lineRule="auto"/>
              <w:jc w:val="left"/>
              <w:rPr>
                <w:sz w:val="16"/>
                <w:szCs w:val="16"/>
                <w:rtl/>
              </w:rPr>
            </w:pPr>
          </w:p>
        </w:tc>
        <w:tc>
          <w:tcPr>
            <w:tcW w:w="993" w:type="dxa"/>
            <w:gridSpan w:val="3"/>
            <w:tcBorders>
              <w:top w:val="nil"/>
              <w:left w:val="nil"/>
              <w:bottom w:val="nil"/>
              <w:right w:val="nil"/>
            </w:tcBorders>
          </w:tcPr>
          <w:p w14:paraId="5066AB1F" w14:textId="77777777" w:rsidR="00FA0B52" w:rsidRPr="00863250" w:rsidRDefault="00FA0B52" w:rsidP="00FA0B52">
            <w:pPr>
              <w:spacing w:line="264" w:lineRule="auto"/>
              <w:jc w:val="left"/>
              <w:rPr>
                <w:sz w:val="16"/>
                <w:szCs w:val="16"/>
                <w:rtl/>
              </w:rPr>
            </w:pPr>
          </w:p>
        </w:tc>
      </w:tr>
      <w:tr w:rsidR="00770120" w:rsidRPr="00863250" w14:paraId="228CCA38" w14:textId="0DBF9B68" w:rsidTr="00770120">
        <w:trPr>
          <w:gridAfter w:val="1"/>
          <w:wAfter w:w="25" w:type="dxa"/>
          <w:trHeight w:val="259"/>
        </w:trPr>
        <w:tc>
          <w:tcPr>
            <w:tcW w:w="2640" w:type="dxa"/>
            <w:tcBorders>
              <w:top w:val="nil"/>
              <w:left w:val="nil"/>
              <w:bottom w:val="nil"/>
              <w:right w:val="nil"/>
            </w:tcBorders>
            <w:shd w:val="clear" w:color="auto" w:fill="auto"/>
          </w:tcPr>
          <w:p w14:paraId="5019E508" w14:textId="230263CA" w:rsidR="00FA0B52" w:rsidRPr="00863250" w:rsidRDefault="00FA0B52" w:rsidP="00FA0B52">
            <w:pPr>
              <w:spacing w:before="40" w:line="192" w:lineRule="auto"/>
              <w:ind w:left="142" w:hanging="107"/>
              <w:jc w:val="left"/>
              <w:rPr>
                <w:color w:val="000000"/>
                <w:sz w:val="18"/>
                <w:szCs w:val="18"/>
                <w:rtl/>
                <w:lang w:eastAsia="he-IL"/>
              </w:rPr>
            </w:pPr>
            <w:r>
              <w:rPr>
                <w:rFonts w:hint="cs"/>
                <w:color w:val="000000"/>
                <w:sz w:val="18"/>
                <w:szCs w:val="18"/>
                <w:rtl/>
                <w:lang w:eastAsia="he-IL"/>
              </w:rPr>
              <w:t xml:space="preserve">  </w:t>
            </w:r>
            <w:r w:rsidRPr="00863250">
              <w:rPr>
                <w:rFonts w:hint="cs"/>
                <w:color w:val="000000"/>
                <w:sz w:val="18"/>
                <w:szCs w:val="18"/>
                <w:rtl/>
                <w:lang w:eastAsia="he-IL"/>
              </w:rPr>
              <w:t xml:space="preserve">אג"ח מגובי נכסים </w:t>
            </w:r>
            <w:r w:rsidRPr="005B6222">
              <w:rPr>
                <w:rFonts w:hint="cs"/>
                <w:color w:val="000000"/>
                <w:sz w:val="16"/>
                <w:szCs w:val="16"/>
                <w:rtl/>
                <w:lang w:eastAsia="he-IL"/>
              </w:rPr>
              <w:t>(</w:t>
            </w:r>
            <w:r w:rsidRPr="005B6222">
              <w:rPr>
                <w:color w:val="000000"/>
                <w:sz w:val="16"/>
                <w:szCs w:val="16"/>
                <w:lang w:eastAsia="he-IL"/>
              </w:rPr>
              <w:t>ABS</w:t>
            </w:r>
            <w:r w:rsidRPr="005B6222">
              <w:rPr>
                <w:rFonts w:hint="cs"/>
                <w:color w:val="000000"/>
                <w:sz w:val="16"/>
                <w:szCs w:val="16"/>
                <w:rtl/>
                <w:lang w:eastAsia="he-IL"/>
              </w:rPr>
              <w:t xml:space="preserve">) </w:t>
            </w:r>
            <w:r w:rsidRPr="00863250">
              <w:rPr>
                <w:rFonts w:hint="cs"/>
                <w:color w:val="000000"/>
                <w:sz w:val="18"/>
                <w:szCs w:val="18"/>
                <w:rtl/>
                <w:lang w:eastAsia="he-IL"/>
              </w:rPr>
              <w:t xml:space="preserve">או מגובי משכנתאות </w:t>
            </w:r>
            <w:r w:rsidRPr="005B6222">
              <w:rPr>
                <w:rFonts w:hint="cs"/>
                <w:color w:val="000000"/>
                <w:sz w:val="16"/>
                <w:szCs w:val="16"/>
                <w:rtl/>
                <w:lang w:eastAsia="he-IL"/>
              </w:rPr>
              <w:t>(</w:t>
            </w:r>
            <w:r w:rsidRPr="005B6222">
              <w:rPr>
                <w:rFonts w:hint="cs"/>
                <w:color w:val="000000"/>
                <w:sz w:val="16"/>
                <w:szCs w:val="16"/>
                <w:lang w:eastAsia="he-IL"/>
              </w:rPr>
              <w:t>MBS</w:t>
            </w:r>
            <w:r w:rsidRPr="005B6222">
              <w:rPr>
                <w:rFonts w:hint="cs"/>
                <w:color w:val="000000"/>
                <w:sz w:val="16"/>
                <w:szCs w:val="16"/>
                <w:rtl/>
                <w:lang w:eastAsia="he-IL"/>
              </w:rPr>
              <w:t>)</w:t>
            </w:r>
          </w:p>
        </w:tc>
        <w:tc>
          <w:tcPr>
            <w:tcW w:w="1556" w:type="dxa"/>
            <w:gridSpan w:val="2"/>
            <w:tcBorders>
              <w:top w:val="nil"/>
              <w:left w:val="nil"/>
              <w:bottom w:val="nil"/>
              <w:right w:val="nil"/>
            </w:tcBorders>
          </w:tcPr>
          <w:p w14:paraId="62AF3966" w14:textId="77777777" w:rsidR="00FA0B52" w:rsidRPr="00863250" w:rsidRDefault="00FA0B52" w:rsidP="00FA0B52">
            <w:pPr>
              <w:spacing w:line="264" w:lineRule="auto"/>
              <w:ind w:left="97" w:hanging="57"/>
              <w:jc w:val="left"/>
              <w:rPr>
                <w:b/>
                <w:bCs/>
                <w:sz w:val="16"/>
                <w:szCs w:val="16"/>
                <w:rtl/>
              </w:rPr>
            </w:pPr>
            <w:r w:rsidRPr="00863250">
              <w:rPr>
                <w:sz w:val="16"/>
                <w:szCs w:val="16"/>
                <w:rtl/>
              </w:rPr>
              <w:t>היוון תזרימי מזומנים</w:t>
            </w:r>
          </w:p>
        </w:tc>
        <w:tc>
          <w:tcPr>
            <w:tcW w:w="1701" w:type="dxa"/>
            <w:gridSpan w:val="2"/>
            <w:tcBorders>
              <w:top w:val="nil"/>
              <w:left w:val="nil"/>
              <w:bottom w:val="nil"/>
              <w:right w:val="nil"/>
            </w:tcBorders>
          </w:tcPr>
          <w:p w14:paraId="7739DC29" w14:textId="77777777" w:rsidR="00FA0B52" w:rsidRPr="00863250" w:rsidRDefault="00FA0B52" w:rsidP="00FA0B52">
            <w:pPr>
              <w:spacing w:line="264" w:lineRule="auto"/>
              <w:ind w:left="124" w:hanging="113"/>
              <w:jc w:val="left"/>
              <w:rPr>
                <w:sz w:val="16"/>
                <w:szCs w:val="16"/>
                <w:rtl/>
              </w:rPr>
            </w:pPr>
            <w:r w:rsidRPr="00863250">
              <w:rPr>
                <w:sz w:val="16"/>
                <w:szCs w:val="16"/>
                <w:rtl/>
              </w:rPr>
              <w:t>שיעור פירעון מוקדם</w:t>
            </w:r>
          </w:p>
          <w:p w14:paraId="01C0167F" w14:textId="77777777" w:rsidR="00FA0B52" w:rsidRPr="00863250" w:rsidRDefault="00FA0B52" w:rsidP="00FA0B52">
            <w:pPr>
              <w:spacing w:line="264" w:lineRule="auto"/>
              <w:ind w:left="124" w:hanging="113"/>
              <w:jc w:val="left"/>
              <w:rPr>
                <w:sz w:val="16"/>
                <w:szCs w:val="16"/>
                <w:rtl/>
              </w:rPr>
            </w:pPr>
            <w:r w:rsidRPr="00863250">
              <w:rPr>
                <w:sz w:val="16"/>
                <w:szCs w:val="16"/>
                <w:rtl/>
              </w:rPr>
              <w:t>שיעור הפסדי אשראי</w:t>
            </w:r>
          </w:p>
        </w:tc>
        <w:tc>
          <w:tcPr>
            <w:tcW w:w="567" w:type="dxa"/>
            <w:gridSpan w:val="2"/>
            <w:tcBorders>
              <w:top w:val="nil"/>
              <w:left w:val="nil"/>
              <w:bottom w:val="nil"/>
              <w:right w:val="nil"/>
            </w:tcBorders>
          </w:tcPr>
          <w:p w14:paraId="7850BB89" w14:textId="77777777" w:rsidR="00FA0B52" w:rsidRPr="00863250" w:rsidRDefault="00FA0B52" w:rsidP="00FA0B52">
            <w:pPr>
              <w:spacing w:line="264" w:lineRule="auto"/>
              <w:jc w:val="left"/>
              <w:rPr>
                <w:b/>
                <w:bCs/>
                <w:sz w:val="18"/>
                <w:szCs w:val="18"/>
                <w:rtl/>
              </w:rPr>
            </w:pPr>
          </w:p>
          <w:p w14:paraId="111AC784" w14:textId="4C376118" w:rsidR="00FA0B52" w:rsidRPr="00863250" w:rsidRDefault="00FA0B52" w:rsidP="00FA0B52">
            <w:pPr>
              <w:spacing w:line="264" w:lineRule="auto"/>
              <w:jc w:val="left"/>
              <w:rPr>
                <w:sz w:val="16"/>
                <w:szCs w:val="16"/>
                <w:rtl/>
              </w:rPr>
            </w:pPr>
            <w:r w:rsidRPr="00863250">
              <w:rPr>
                <w:rFonts w:hint="cs"/>
                <w:b/>
                <w:bCs/>
                <w:sz w:val="18"/>
                <w:szCs w:val="18"/>
                <w:rtl/>
              </w:rPr>
              <w:t xml:space="preserve"> 0</w:t>
            </w:r>
          </w:p>
        </w:tc>
        <w:tc>
          <w:tcPr>
            <w:tcW w:w="851" w:type="dxa"/>
            <w:gridSpan w:val="2"/>
            <w:tcBorders>
              <w:top w:val="nil"/>
              <w:left w:val="nil"/>
              <w:bottom w:val="nil"/>
              <w:right w:val="nil"/>
            </w:tcBorders>
          </w:tcPr>
          <w:p w14:paraId="412BB485" w14:textId="2F0294FF" w:rsidR="00FA0B52" w:rsidRPr="00863250" w:rsidRDefault="00FA0B52" w:rsidP="00FA0B52">
            <w:pPr>
              <w:spacing w:line="264" w:lineRule="auto"/>
              <w:jc w:val="left"/>
              <w:rPr>
                <w:sz w:val="16"/>
                <w:szCs w:val="16"/>
                <w:rtl/>
              </w:rPr>
            </w:pPr>
            <w:r w:rsidRPr="00863250">
              <w:rPr>
                <w:sz w:val="16"/>
                <w:szCs w:val="16"/>
                <w:rtl/>
              </w:rPr>
              <w:t>0%-0%</w:t>
            </w:r>
          </w:p>
          <w:p w14:paraId="44B91681" w14:textId="77777777" w:rsidR="00FA0B52" w:rsidRPr="00863250" w:rsidRDefault="00FA0B52" w:rsidP="00FA0B52">
            <w:pPr>
              <w:spacing w:line="264" w:lineRule="auto"/>
              <w:jc w:val="left"/>
              <w:rPr>
                <w:sz w:val="16"/>
                <w:szCs w:val="16"/>
                <w:rtl/>
              </w:rPr>
            </w:pPr>
            <w:r w:rsidRPr="00863250">
              <w:rPr>
                <w:sz w:val="16"/>
                <w:szCs w:val="16"/>
                <w:rtl/>
              </w:rPr>
              <w:t>0%-0%</w:t>
            </w:r>
          </w:p>
        </w:tc>
        <w:tc>
          <w:tcPr>
            <w:tcW w:w="992" w:type="dxa"/>
            <w:gridSpan w:val="2"/>
            <w:tcBorders>
              <w:top w:val="nil"/>
              <w:left w:val="nil"/>
              <w:bottom w:val="nil"/>
              <w:right w:val="nil"/>
            </w:tcBorders>
          </w:tcPr>
          <w:p w14:paraId="0BA12896" w14:textId="77777777" w:rsidR="00FA0B52" w:rsidRPr="00863250" w:rsidRDefault="00FA0B52" w:rsidP="00FA0B52">
            <w:pPr>
              <w:spacing w:line="264" w:lineRule="auto"/>
              <w:jc w:val="left"/>
              <w:rPr>
                <w:sz w:val="16"/>
                <w:szCs w:val="16"/>
                <w:rtl/>
              </w:rPr>
            </w:pPr>
            <w:r w:rsidRPr="00863250">
              <w:rPr>
                <w:sz w:val="16"/>
                <w:szCs w:val="16"/>
                <w:rtl/>
              </w:rPr>
              <w:t xml:space="preserve"> 0%</w:t>
            </w:r>
          </w:p>
          <w:p w14:paraId="409EAE2D" w14:textId="77777777" w:rsidR="00FA0B52" w:rsidRPr="00863250" w:rsidRDefault="00FA0B52" w:rsidP="00FA0B52">
            <w:pPr>
              <w:spacing w:line="264" w:lineRule="auto"/>
              <w:jc w:val="left"/>
              <w:rPr>
                <w:sz w:val="16"/>
                <w:szCs w:val="16"/>
              </w:rPr>
            </w:pPr>
            <w:r w:rsidRPr="00863250">
              <w:rPr>
                <w:sz w:val="16"/>
                <w:szCs w:val="16"/>
                <w:rtl/>
              </w:rPr>
              <w:t xml:space="preserve"> 0%</w:t>
            </w:r>
          </w:p>
        </w:tc>
        <w:tc>
          <w:tcPr>
            <w:tcW w:w="853" w:type="dxa"/>
            <w:gridSpan w:val="2"/>
            <w:tcBorders>
              <w:top w:val="nil"/>
              <w:left w:val="nil"/>
              <w:bottom w:val="nil"/>
              <w:right w:val="nil"/>
            </w:tcBorders>
          </w:tcPr>
          <w:p w14:paraId="60A3CCF3" w14:textId="77777777" w:rsidR="00FA0B52" w:rsidRPr="00863250" w:rsidRDefault="00FA0B52" w:rsidP="00FA0B52">
            <w:pPr>
              <w:spacing w:line="264" w:lineRule="auto"/>
              <w:jc w:val="left"/>
              <w:rPr>
                <w:b/>
                <w:bCs/>
                <w:sz w:val="18"/>
                <w:szCs w:val="18"/>
                <w:rtl/>
              </w:rPr>
            </w:pPr>
          </w:p>
          <w:p w14:paraId="78E3E3C8" w14:textId="06FA5DF2" w:rsidR="00FA0B52" w:rsidRPr="00863250" w:rsidRDefault="00FA0B52" w:rsidP="00FA0B52">
            <w:pPr>
              <w:spacing w:line="264" w:lineRule="auto"/>
              <w:jc w:val="left"/>
              <w:rPr>
                <w:sz w:val="16"/>
                <w:szCs w:val="16"/>
                <w:rtl/>
              </w:rPr>
            </w:pPr>
            <w:r w:rsidRPr="00863250">
              <w:rPr>
                <w:rFonts w:hint="cs"/>
                <w:b/>
                <w:bCs/>
                <w:sz w:val="18"/>
                <w:szCs w:val="18"/>
                <w:rtl/>
              </w:rPr>
              <w:t xml:space="preserve"> 0</w:t>
            </w:r>
          </w:p>
        </w:tc>
        <w:tc>
          <w:tcPr>
            <w:tcW w:w="848" w:type="dxa"/>
            <w:gridSpan w:val="2"/>
            <w:tcBorders>
              <w:top w:val="nil"/>
              <w:left w:val="nil"/>
              <w:bottom w:val="nil"/>
              <w:right w:val="nil"/>
            </w:tcBorders>
          </w:tcPr>
          <w:p w14:paraId="4DF2D452" w14:textId="77777777" w:rsidR="00FA0B52" w:rsidRPr="00863250" w:rsidRDefault="00FA0B52" w:rsidP="00FA0B52">
            <w:pPr>
              <w:spacing w:line="264" w:lineRule="auto"/>
              <w:jc w:val="left"/>
              <w:rPr>
                <w:sz w:val="16"/>
                <w:szCs w:val="16"/>
                <w:rtl/>
              </w:rPr>
            </w:pPr>
            <w:r w:rsidRPr="00863250">
              <w:rPr>
                <w:sz w:val="16"/>
                <w:szCs w:val="16"/>
                <w:rtl/>
              </w:rPr>
              <w:t>0%-0%</w:t>
            </w:r>
          </w:p>
          <w:p w14:paraId="59A66C1C" w14:textId="77C82B99" w:rsidR="00FA0B52" w:rsidRPr="00863250" w:rsidRDefault="00FA0B52" w:rsidP="00FA0B52">
            <w:pPr>
              <w:spacing w:line="264" w:lineRule="auto"/>
              <w:jc w:val="left"/>
              <w:rPr>
                <w:sz w:val="16"/>
                <w:szCs w:val="16"/>
                <w:rtl/>
              </w:rPr>
            </w:pPr>
            <w:r w:rsidRPr="00863250">
              <w:rPr>
                <w:sz w:val="16"/>
                <w:szCs w:val="16"/>
                <w:rtl/>
              </w:rPr>
              <w:t>0%-0%</w:t>
            </w:r>
          </w:p>
        </w:tc>
        <w:tc>
          <w:tcPr>
            <w:tcW w:w="1134" w:type="dxa"/>
            <w:gridSpan w:val="2"/>
            <w:tcBorders>
              <w:top w:val="nil"/>
              <w:left w:val="nil"/>
              <w:bottom w:val="nil"/>
              <w:right w:val="nil"/>
            </w:tcBorders>
          </w:tcPr>
          <w:p w14:paraId="553D764E" w14:textId="77777777" w:rsidR="00FA0B52" w:rsidRPr="00863250" w:rsidRDefault="00FA0B52" w:rsidP="00FA0B52">
            <w:pPr>
              <w:spacing w:line="264" w:lineRule="auto"/>
              <w:jc w:val="left"/>
              <w:rPr>
                <w:sz w:val="16"/>
                <w:szCs w:val="16"/>
                <w:rtl/>
              </w:rPr>
            </w:pPr>
            <w:r w:rsidRPr="00863250">
              <w:rPr>
                <w:sz w:val="16"/>
                <w:szCs w:val="16"/>
                <w:rtl/>
              </w:rPr>
              <w:t xml:space="preserve"> 0%</w:t>
            </w:r>
          </w:p>
          <w:p w14:paraId="608E6322" w14:textId="31F07391" w:rsidR="00FA0B52" w:rsidRPr="00863250" w:rsidRDefault="00FA0B52" w:rsidP="00FA0B52">
            <w:pPr>
              <w:spacing w:line="264" w:lineRule="auto"/>
              <w:jc w:val="left"/>
              <w:rPr>
                <w:sz w:val="16"/>
                <w:szCs w:val="16"/>
                <w:rtl/>
              </w:rPr>
            </w:pPr>
            <w:r w:rsidRPr="00863250">
              <w:rPr>
                <w:sz w:val="16"/>
                <w:szCs w:val="16"/>
                <w:rtl/>
              </w:rPr>
              <w:t xml:space="preserve"> 0%</w:t>
            </w:r>
          </w:p>
        </w:tc>
        <w:tc>
          <w:tcPr>
            <w:tcW w:w="567" w:type="dxa"/>
            <w:gridSpan w:val="2"/>
            <w:tcBorders>
              <w:top w:val="nil"/>
              <w:left w:val="nil"/>
              <w:bottom w:val="nil"/>
              <w:right w:val="nil"/>
            </w:tcBorders>
          </w:tcPr>
          <w:p w14:paraId="6CF636E8" w14:textId="77777777" w:rsidR="00FA0B52" w:rsidRPr="00863250" w:rsidRDefault="00FA0B52" w:rsidP="00FA0B52">
            <w:pPr>
              <w:spacing w:line="264" w:lineRule="auto"/>
              <w:jc w:val="left"/>
              <w:rPr>
                <w:b/>
                <w:bCs/>
                <w:sz w:val="18"/>
                <w:szCs w:val="18"/>
                <w:rtl/>
              </w:rPr>
            </w:pPr>
          </w:p>
          <w:p w14:paraId="0AB9A1C7" w14:textId="3CA54676" w:rsidR="00FA0B52" w:rsidRPr="00863250" w:rsidRDefault="00FA0B52" w:rsidP="00FA0B52">
            <w:pPr>
              <w:spacing w:line="264" w:lineRule="auto"/>
              <w:jc w:val="left"/>
              <w:rPr>
                <w:sz w:val="16"/>
                <w:szCs w:val="16"/>
                <w:rtl/>
              </w:rPr>
            </w:pPr>
            <w:r w:rsidRPr="00863250">
              <w:rPr>
                <w:rFonts w:hint="cs"/>
                <w:b/>
                <w:bCs/>
                <w:sz w:val="18"/>
                <w:szCs w:val="18"/>
                <w:rtl/>
              </w:rPr>
              <w:t xml:space="preserve"> 0</w:t>
            </w:r>
          </w:p>
        </w:tc>
        <w:tc>
          <w:tcPr>
            <w:tcW w:w="850" w:type="dxa"/>
            <w:gridSpan w:val="2"/>
            <w:tcBorders>
              <w:top w:val="nil"/>
              <w:left w:val="nil"/>
              <w:bottom w:val="nil"/>
              <w:right w:val="nil"/>
            </w:tcBorders>
          </w:tcPr>
          <w:p w14:paraId="2B8CF12A" w14:textId="77777777" w:rsidR="00FA0B52" w:rsidRPr="00863250" w:rsidRDefault="00FA0B52" w:rsidP="00FA0B52">
            <w:pPr>
              <w:spacing w:line="264" w:lineRule="auto"/>
              <w:jc w:val="left"/>
              <w:rPr>
                <w:sz w:val="16"/>
                <w:szCs w:val="16"/>
                <w:rtl/>
              </w:rPr>
            </w:pPr>
            <w:r w:rsidRPr="00863250">
              <w:rPr>
                <w:sz w:val="16"/>
                <w:szCs w:val="16"/>
                <w:rtl/>
              </w:rPr>
              <w:t>0%-0%</w:t>
            </w:r>
          </w:p>
          <w:p w14:paraId="0E7FFD3A" w14:textId="590C98FF" w:rsidR="00FA0B52" w:rsidRPr="00863250" w:rsidRDefault="00FA0B52" w:rsidP="00FA0B52">
            <w:pPr>
              <w:spacing w:line="264" w:lineRule="auto"/>
              <w:jc w:val="left"/>
              <w:rPr>
                <w:sz w:val="16"/>
                <w:szCs w:val="16"/>
                <w:rtl/>
              </w:rPr>
            </w:pPr>
            <w:r w:rsidRPr="00863250">
              <w:rPr>
                <w:sz w:val="16"/>
                <w:szCs w:val="16"/>
                <w:rtl/>
              </w:rPr>
              <w:t>0%-0%</w:t>
            </w:r>
          </w:p>
        </w:tc>
        <w:tc>
          <w:tcPr>
            <w:tcW w:w="993" w:type="dxa"/>
            <w:gridSpan w:val="3"/>
            <w:tcBorders>
              <w:top w:val="nil"/>
              <w:left w:val="nil"/>
              <w:bottom w:val="nil"/>
              <w:right w:val="nil"/>
            </w:tcBorders>
          </w:tcPr>
          <w:p w14:paraId="53564614" w14:textId="77777777" w:rsidR="00FA0B52" w:rsidRPr="00863250" w:rsidRDefault="00FA0B52" w:rsidP="00FA0B52">
            <w:pPr>
              <w:spacing w:line="264" w:lineRule="auto"/>
              <w:jc w:val="left"/>
              <w:rPr>
                <w:sz w:val="16"/>
                <w:szCs w:val="16"/>
                <w:rtl/>
              </w:rPr>
            </w:pPr>
            <w:r w:rsidRPr="00863250">
              <w:rPr>
                <w:sz w:val="16"/>
                <w:szCs w:val="16"/>
                <w:rtl/>
              </w:rPr>
              <w:t xml:space="preserve"> 0%</w:t>
            </w:r>
          </w:p>
          <w:p w14:paraId="5F225ACF" w14:textId="2FCB4622" w:rsidR="00FA0B52" w:rsidRPr="00863250" w:rsidRDefault="00FA0B52" w:rsidP="00FA0B52">
            <w:pPr>
              <w:spacing w:line="264" w:lineRule="auto"/>
              <w:jc w:val="left"/>
              <w:rPr>
                <w:sz w:val="16"/>
                <w:szCs w:val="16"/>
                <w:rtl/>
              </w:rPr>
            </w:pPr>
            <w:r w:rsidRPr="00863250">
              <w:rPr>
                <w:sz w:val="16"/>
                <w:szCs w:val="16"/>
                <w:rtl/>
              </w:rPr>
              <w:t xml:space="preserve"> 0%</w:t>
            </w:r>
          </w:p>
        </w:tc>
      </w:tr>
      <w:tr w:rsidR="00770120" w:rsidRPr="00863250" w14:paraId="461FA742" w14:textId="44028EA4" w:rsidTr="00770120">
        <w:trPr>
          <w:gridAfter w:val="1"/>
          <w:wAfter w:w="25" w:type="dxa"/>
          <w:trHeight w:val="259"/>
        </w:trPr>
        <w:tc>
          <w:tcPr>
            <w:tcW w:w="2640" w:type="dxa"/>
            <w:tcBorders>
              <w:top w:val="nil"/>
              <w:left w:val="nil"/>
              <w:bottom w:val="single" w:sz="4" w:space="0" w:color="auto"/>
              <w:right w:val="nil"/>
            </w:tcBorders>
            <w:shd w:val="clear" w:color="auto" w:fill="auto"/>
          </w:tcPr>
          <w:p w14:paraId="64728D96" w14:textId="31F2F95C" w:rsidR="00FA0B52" w:rsidRPr="00863250" w:rsidRDefault="00FA0B52" w:rsidP="00FA0B52">
            <w:pPr>
              <w:spacing w:line="192" w:lineRule="auto"/>
              <w:ind w:left="142" w:hanging="108"/>
              <w:jc w:val="left"/>
              <w:rPr>
                <w:color w:val="000000"/>
                <w:sz w:val="18"/>
                <w:szCs w:val="18"/>
                <w:rtl/>
                <w:lang w:eastAsia="he-IL"/>
              </w:rPr>
            </w:pPr>
            <w:r>
              <w:rPr>
                <w:rFonts w:hint="cs"/>
                <w:color w:val="000000"/>
                <w:sz w:val="18"/>
                <w:szCs w:val="18"/>
                <w:rtl/>
                <w:lang w:eastAsia="he-IL"/>
              </w:rPr>
              <w:t xml:space="preserve">  </w:t>
            </w:r>
            <w:r w:rsidRPr="00863250">
              <w:rPr>
                <w:rFonts w:hint="cs"/>
                <w:color w:val="000000"/>
                <w:sz w:val="18"/>
                <w:szCs w:val="18"/>
                <w:rtl/>
                <w:lang w:eastAsia="he-IL"/>
              </w:rPr>
              <w:t xml:space="preserve">אג"ח של אחרים </w:t>
            </w:r>
            <w:r>
              <w:rPr>
                <w:rFonts w:hint="cs"/>
                <w:color w:val="000000"/>
                <w:sz w:val="18"/>
                <w:szCs w:val="18"/>
                <w:rtl/>
                <w:lang w:eastAsia="he-IL"/>
              </w:rPr>
              <w:t>זרים</w:t>
            </w:r>
          </w:p>
        </w:tc>
        <w:tc>
          <w:tcPr>
            <w:tcW w:w="1556" w:type="dxa"/>
            <w:gridSpan w:val="2"/>
            <w:tcBorders>
              <w:top w:val="nil"/>
              <w:left w:val="nil"/>
              <w:bottom w:val="single" w:sz="4" w:space="0" w:color="auto"/>
              <w:right w:val="nil"/>
            </w:tcBorders>
          </w:tcPr>
          <w:p w14:paraId="585F8853" w14:textId="26E4E8F1" w:rsidR="00FA0B52" w:rsidRPr="00863250" w:rsidRDefault="00FA0B52" w:rsidP="00FA0B52">
            <w:pPr>
              <w:spacing w:line="264" w:lineRule="auto"/>
              <w:ind w:left="97" w:hanging="57"/>
              <w:jc w:val="left"/>
              <w:rPr>
                <w:sz w:val="16"/>
                <w:szCs w:val="16"/>
                <w:rtl/>
              </w:rPr>
            </w:pPr>
            <w:r w:rsidRPr="00863250">
              <w:rPr>
                <w:sz w:val="16"/>
                <w:szCs w:val="16"/>
                <w:rtl/>
              </w:rPr>
              <w:t>היוון תזרימי מזומנים</w:t>
            </w:r>
          </w:p>
        </w:tc>
        <w:tc>
          <w:tcPr>
            <w:tcW w:w="1701" w:type="dxa"/>
            <w:gridSpan w:val="2"/>
            <w:tcBorders>
              <w:top w:val="nil"/>
              <w:left w:val="nil"/>
              <w:bottom w:val="single" w:sz="4" w:space="0" w:color="auto"/>
              <w:right w:val="nil"/>
            </w:tcBorders>
          </w:tcPr>
          <w:p w14:paraId="63FDCA44" w14:textId="36C92038" w:rsidR="00FA0B52" w:rsidRPr="00863250" w:rsidRDefault="00FA0B52" w:rsidP="00FA0B52">
            <w:pPr>
              <w:spacing w:line="264" w:lineRule="auto"/>
              <w:ind w:left="124" w:hanging="113"/>
              <w:jc w:val="left"/>
              <w:rPr>
                <w:sz w:val="16"/>
                <w:szCs w:val="16"/>
                <w:rtl/>
              </w:rPr>
            </w:pPr>
            <w:r w:rsidRPr="00863250">
              <w:rPr>
                <w:sz w:val="16"/>
                <w:szCs w:val="16"/>
                <w:rtl/>
              </w:rPr>
              <w:t xml:space="preserve">מרווח </w:t>
            </w:r>
          </w:p>
        </w:tc>
        <w:tc>
          <w:tcPr>
            <w:tcW w:w="567" w:type="dxa"/>
            <w:gridSpan w:val="2"/>
            <w:tcBorders>
              <w:top w:val="nil"/>
              <w:left w:val="nil"/>
              <w:bottom w:val="single" w:sz="4" w:space="0" w:color="auto"/>
              <w:right w:val="nil"/>
            </w:tcBorders>
          </w:tcPr>
          <w:p w14:paraId="7633E393" w14:textId="0394A5F9" w:rsidR="00FA0B52" w:rsidRPr="00863250" w:rsidRDefault="00FA0B52" w:rsidP="00FA0B52">
            <w:pPr>
              <w:spacing w:line="264" w:lineRule="auto"/>
              <w:jc w:val="left"/>
              <w:rPr>
                <w:sz w:val="16"/>
                <w:szCs w:val="16"/>
                <w:rtl/>
              </w:rPr>
            </w:pPr>
            <w:r w:rsidRPr="00863250">
              <w:rPr>
                <w:rFonts w:hint="cs"/>
                <w:b/>
                <w:bCs/>
                <w:sz w:val="18"/>
                <w:szCs w:val="18"/>
                <w:rtl/>
              </w:rPr>
              <w:t xml:space="preserve"> 0</w:t>
            </w:r>
          </w:p>
        </w:tc>
        <w:tc>
          <w:tcPr>
            <w:tcW w:w="851" w:type="dxa"/>
            <w:gridSpan w:val="2"/>
            <w:tcBorders>
              <w:top w:val="nil"/>
              <w:left w:val="nil"/>
              <w:bottom w:val="single" w:sz="4" w:space="0" w:color="auto"/>
              <w:right w:val="nil"/>
            </w:tcBorders>
          </w:tcPr>
          <w:p w14:paraId="1A45850C" w14:textId="4B64D45D" w:rsidR="00FA0B52" w:rsidRPr="00863250" w:rsidRDefault="00FA0B52" w:rsidP="00FA0B52">
            <w:pPr>
              <w:spacing w:line="264" w:lineRule="auto"/>
              <w:jc w:val="left"/>
              <w:rPr>
                <w:sz w:val="16"/>
                <w:szCs w:val="16"/>
                <w:rtl/>
              </w:rPr>
            </w:pPr>
            <w:r w:rsidRPr="00863250">
              <w:rPr>
                <w:sz w:val="16"/>
                <w:szCs w:val="16"/>
                <w:rtl/>
              </w:rPr>
              <w:t>0%-0%</w:t>
            </w:r>
          </w:p>
        </w:tc>
        <w:tc>
          <w:tcPr>
            <w:tcW w:w="992" w:type="dxa"/>
            <w:gridSpan w:val="2"/>
            <w:tcBorders>
              <w:top w:val="nil"/>
              <w:left w:val="nil"/>
              <w:bottom w:val="single" w:sz="4" w:space="0" w:color="auto"/>
              <w:right w:val="nil"/>
            </w:tcBorders>
          </w:tcPr>
          <w:p w14:paraId="780DD7E0" w14:textId="7AD413DF" w:rsidR="00FA0B52" w:rsidRPr="00863250" w:rsidRDefault="00FA0B52" w:rsidP="00FA0B52">
            <w:pPr>
              <w:spacing w:line="264" w:lineRule="auto"/>
              <w:jc w:val="left"/>
              <w:rPr>
                <w:sz w:val="16"/>
                <w:szCs w:val="16"/>
                <w:rtl/>
              </w:rPr>
            </w:pPr>
            <w:r w:rsidRPr="00863250">
              <w:rPr>
                <w:sz w:val="16"/>
                <w:szCs w:val="16"/>
                <w:rtl/>
              </w:rPr>
              <w:t xml:space="preserve"> 0%</w:t>
            </w:r>
          </w:p>
        </w:tc>
        <w:tc>
          <w:tcPr>
            <w:tcW w:w="853" w:type="dxa"/>
            <w:gridSpan w:val="2"/>
            <w:tcBorders>
              <w:top w:val="nil"/>
              <w:left w:val="nil"/>
              <w:bottom w:val="single" w:sz="4" w:space="0" w:color="auto"/>
              <w:right w:val="nil"/>
            </w:tcBorders>
          </w:tcPr>
          <w:p w14:paraId="69840AA6" w14:textId="708E445C" w:rsidR="00FA0B52" w:rsidRPr="00863250" w:rsidRDefault="00FA0B52" w:rsidP="00FA0B52">
            <w:pPr>
              <w:spacing w:line="264" w:lineRule="auto"/>
              <w:jc w:val="left"/>
              <w:rPr>
                <w:sz w:val="16"/>
                <w:szCs w:val="16"/>
                <w:rtl/>
              </w:rPr>
            </w:pPr>
            <w:r w:rsidRPr="00863250">
              <w:rPr>
                <w:rFonts w:hint="cs"/>
                <w:b/>
                <w:bCs/>
                <w:sz w:val="18"/>
                <w:szCs w:val="18"/>
                <w:rtl/>
              </w:rPr>
              <w:t xml:space="preserve"> 0</w:t>
            </w:r>
          </w:p>
        </w:tc>
        <w:tc>
          <w:tcPr>
            <w:tcW w:w="848" w:type="dxa"/>
            <w:gridSpan w:val="2"/>
            <w:tcBorders>
              <w:top w:val="nil"/>
              <w:left w:val="nil"/>
              <w:bottom w:val="single" w:sz="4" w:space="0" w:color="auto"/>
              <w:right w:val="nil"/>
            </w:tcBorders>
          </w:tcPr>
          <w:p w14:paraId="09996510" w14:textId="1CE17097" w:rsidR="00FA0B52" w:rsidRPr="00863250" w:rsidRDefault="00FA0B52" w:rsidP="00FA0B52">
            <w:pPr>
              <w:spacing w:line="264" w:lineRule="auto"/>
              <w:jc w:val="left"/>
              <w:rPr>
                <w:sz w:val="16"/>
                <w:szCs w:val="16"/>
                <w:rtl/>
              </w:rPr>
            </w:pPr>
            <w:r w:rsidRPr="00863250">
              <w:rPr>
                <w:sz w:val="16"/>
                <w:szCs w:val="16"/>
                <w:rtl/>
              </w:rPr>
              <w:t>0%-0%</w:t>
            </w:r>
          </w:p>
        </w:tc>
        <w:tc>
          <w:tcPr>
            <w:tcW w:w="1134" w:type="dxa"/>
            <w:gridSpan w:val="2"/>
            <w:tcBorders>
              <w:top w:val="nil"/>
              <w:left w:val="nil"/>
              <w:bottom w:val="single" w:sz="4" w:space="0" w:color="auto"/>
              <w:right w:val="nil"/>
            </w:tcBorders>
          </w:tcPr>
          <w:p w14:paraId="5CC6D9B9" w14:textId="0FA90B61" w:rsidR="00FA0B52" w:rsidRPr="00863250" w:rsidRDefault="00FA0B52" w:rsidP="00FA0B52">
            <w:pPr>
              <w:spacing w:line="264" w:lineRule="auto"/>
              <w:jc w:val="left"/>
              <w:rPr>
                <w:sz w:val="16"/>
                <w:szCs w:val="16"/>
                <w:rtl/>
              </w:rPr>
            </w:pPr>
            <w:r w:rsidRPr="00863250">
              <w:rPr>
                <w:sz w:val="16"/>
                <w:szCs w:val="16"/>
                <w:rtl/>
              </w:rPr>
              <w:t xml:space="preserve"> 0%</w:t>
            </w:r>
          </w:p>
        </w:tc>
        <w:tc>
          <w:tcPr>
            <w:tcW w:w="567" w:type="dxa"/>
            <w:gridSpan w:val="2"/>
            <w:tcBorders>
              <w:top w:val="nil"/>
              <w:left w:val="nil"/>
              <w:bottom w:val="single" w:sz="4" w:space="0" w:color="auto"/>
              <w:right w:val="nil"/>
            </w:tcBorders>
          </w:tcPr>
          <w:p w14:paraId="31270272" w14:textId="244E4A2A" w:rsidR="00FA0B52" w:rsidRPr="00863250" w:rsidRDefault="00FA0B52" w:rsidP="00FA0B52">
            <w:pPr>
              <w:spacing w:line="264" w:lineRule="auto"/>
              <w:jc w:val="left"/>
              <w:rPr>
                <w:sz w:val="16"/>
                <w:szCs w:val="16"/>
                <w:rtl/>
              </w:rPr>
            </w:pPr>
            <w:r w:rsidRPr="00863250">
              <w:rPr>
                <w:rFonts w:hint="cs"/>
                <w:b/>
                <w:bCs/>
                <w:sz w:val="18"/>
                <w:szCs w:val="18"/>
                <w:rtl/>
              </w:rPr>
              <w:t xml:space="preserve"> 0</w:t>
            </w:r>
          </w:p>
        </w:tc>
        <w:tc>
          <w:tcPr>
            <w:tcW w:w="850" w:type="dxa"/>
            <w:gridSpan w:val="2"/>
            <w:tcBorders>
              <w:top w:val="nil"/>
              <w:left w:val="nil"/>
              <w:bottom w:val="single" w:sz="4" w:space="0" w:color="auto"/>
              <w:right w:val="nil"/>
            </w:tcBorders>
          </w:tcPr>
          <w:p w14:paraId="40959339" w14:textId="6A7FEF7E" w:rsidR="00FA0B52" w:rsidRPr="00863250" w:rsidRDefault="00FA0B52" w:rsidP="00FA0B52">
            <w:pPr>
              <w:spacing w:line="264" w:lineRule="auto"/>
              <w:jc w:val="left"/>
              <w:rPr>
                <w:sz w:val="16"/>
                <w:szCs w:val="16"/>
                <w:rtl/>
              </w:rPr>
            </w:pPr>
            <w:r w:rsidRPr="00863250">
              <w:rPr>
                <w:sz w:val="16"/>
                <w:szCs w:val="16"/>
                <w:rtl/>
              </w:rPr>
              <w:t>0%-0%</w:t>
            </w:r>
          </w:p>
        </w:tc>
        <w:tc>
          <w:tcPr>
            <w:tcW w:w="993" w:type="dxa"/>
            <w:gridSpan w:val="3"/>
            <w:tcBorders>
              <w:top w:val="nil"/>
              <w:left w:val="nil"/>
              <w:bottom w:val="single" w:sz="4" w:space="0" w:color="auto"/>
              <w:right w:val="nil"/>
            </w:tcBorders>
          </w:tcPr>
          <w:p w14:paraId="453DDA4F" w14:textId="4913A47E" w:rsidR="00FA0B52" w:rsidRPr="00863250" w:rsidRDefault="00FA0B52" w:rsidP="00FA0B52">
            <w:pPr>
              <w:spacing w:line="264" w:lineRule="auto"/>
              <w:jc w:val="left"/>
              <w:rPr>
                <w:sz w:val="16"/>
                <w:szCs w:val="16"/>
                <w:rtl/>
              </w:rPr>
            </w:pPr>
            <w:r w:rsidRPr="00863250">
              <w:rPr>
                <w:sz w:val="16"/>
                <w:szCs w:val="16"/>
                <w:rtl/>
              </w:rPr>
              <w:t xml:space="preserve"> 0%</w:t>
            </w:r>
          </w:p>
        </w:tc>
      </w:tr>
      <w:tr w:rsidR="00770120" w:rsidRPr="00863250" w14:paraId="797F3149" w14:textId="70ECD20D" w:rsidTr="00770120">
        <w:trPr>
          <w:gridAfter w:val="1"/>
          <w:wAfter w:w="25" w:type="dxa"/>
          <w:trHeight w:val="259"/>
        </w:trPr>
        <w:tc>
          <w:tcPr>
            <w:tcW w:w="2640" w:type="dxa"/>
            <w:tcBorders>
              <w:top w:val="nil"/>
              <w:left w:val="nil"/>
              <w:bottom w:val="nil"/>
              <w:right w:val="nil"/>
            </w:tcBorders>
            <w:shd w:val="clear" w:color="auto" w:fill="auto"/>
          </w:tcPr>
          <w:p w14:paraId="559AD691" w14:textId="0E65A537" w:rsidR="00FA0B52" w:rsidRPr="00F604DF" w:rsidRDefault="00FA0B52" w:rsidP="00FA0B52">
            <w:pPr>
              <w:spacing w:before="40" w:line="192" w:lineRule="auto"/>
              <w:jc w:val="left"/>
              <w:rPr>
                <w:color w:val="000000"/>
                <w:sz w:val="18"/>
                <w:szCs w:val="18"/>
                <w:rtl/>
                <w:lang w:eastAsia="he-IL"/>
              </w:rPr>
            </w:pPr>
            <w:r w:rsidRPr="00F604DF">
              <w:rPr>
                <w:rFonts w:hint="cs"/>
                <w:color w:val="000000"/>
                <w:sz w:val="18"/>
                <w:szCs w:val="18"/>
                <w:rtl/>
                <w:lang w:eastAsia="he-IL"/>
              </w:rPr>
              <w:t>ניירות ערך למסחר</w:t>
            </w:r>
            <w:r w:rsidR="00217A8C">
              <w:rPr>
                <w:rFonts w:hint="cs"/>
                <w:color w:val="000000"/>
                <w:sz w:val="18"/>
                <w:szCs w:val="18"/>
                <w:rtl/>
                <w:lang w:eastAsia="he-IL"/>
              </w:rPr>
              <w:t>:</w:t>
            </w:r>
            <w:r>
              <w:rPr>
                <w:rFonts w:hint="cs"/>
                <w:color w:val="000000"/>
                <w:sz w:val="18"/>
                <w:szCs w:val="18"/>
                <w:rtl/>
                <w:lang w:eastAsia="he-IL"/>
              </w:rPr>
              <w:t xml:space="preserve"> </w:t>
            </w:r>
            <w:r w:rsidRPr="0003475D">
              <w:rPr>
                <w:rFonts w:hint="cs"/>
                <w:color w:val="000000"/>
                <w:sz w:val="18"/>
                <w:szCs w:val="18"/>
                <w:vertAlign w:val="superscript"/>
                <w:rtl/>
                <w:lang w:eastAsia="he-IL"/>
              </w:rPr>
              <w:t>[3]</w:t>
            </w:r>
          </w:p>
        </w:tc>
        <w:tc>
          <w:tcPr>
            <w:tcW w:w="1556" w:type="dxa"/>
            <w:gridSpan w:val="2"/>
            <w:tcBorders>
              <w:top w:val="nil"/>
              <w:left w:val="nil"/>
              <w:bottom w:val="nil"/>
              <w:right w:val="nil"/>
            </w:tcBorders>
          </w:tcPr>
          <w:p w14:paraId="4ADC10BE" w14:textId="77777777" w:rsidR="00FA0B52" w:rsidRPr="00863250" w:rsidRDefault="00FA0B52" w:rsidP="00FA0B52">
            <w:pPr>
              <w:spacing w:line="264" w:lineRule="auto"/>
              <w:ind w:left="97" w:hanging="57"/>
              <w:jc w:val="left"/>
              <w:rPr>
                <w:sz w:val="16"/>
                <w:szCs w:val="16"/>
                <w:rtl/>
              </w:rPr>
            </w:pPr>
          </w:p>
        </w:tc>
        <w:tc>
          <w:tcPr>
            <w:tcW w:w="1701" w:type="dxa"/>
            <w:gridSpan w:val="2"/>
            <w:tcBorders>
              <w:top w:val="nil"/>
              <w:left w:val="nil"/>
              <w:bottom w:val="nil"/>
              <w:right w:val="nil"/>
            </w:tcBorders>
          </w:tcPr>
          <w:p w14:paraId="777B2E8C" w14:textId="77777777" w:rsidR="00FA0B52" w:rsidRPr="00863250" w:rsidRDefault="00FA0B52" w:rsidP="00FA0B52">
            <w:pPr>
              <w:spacing w:line="264" w:lineRule="auto"/>
              <w:ind w:left="124" w:hanging="113"/>
              <w:jc w:val="left"/>
              <w:rPr>
                <w:sz w:val="16"/>
                <w:szCs w:val="16"/>
                <w:rtl/>
              </w:rPr>
            </w:pPr>
          </w:p>
        </w:tc>
        <w:tc>
          <w:tcPr>
            <w:tcW w:w="567" w:type="dxa"/>
            <w:gridSpan w:val="2"/>
            <w:tcBorders>
              <w:top w:val="nil"/>
              <w:left w:val="nil"/>
              <w:bottom w:val="nil"/>
              <w:right w:val="nil"/>
            </w:tcBorders>
          </w:tcPr>
          <w:p w14:paraId="2447518A" w14:textId="77777777" w:rsidR="00FA0B52" w:rsidRPr="00863250" w:rsidRDefault="00FA0B52" w:rsidP="00FA0B52">
            <w:pPr>
              <w:spacing w:line="264" w:lineRule="auto"/>
              <w:jc w:val="left"/>
              <w:rPr>
                <w:sz w:val="16"/>
                <w:szCs w:val="16"/>
                <w:rtl/>
              </w:rPr>
            </w:pPr>
          </w:p>
        </w:tc>
        <w:tc>
          <w:tcPr>
            <w:tcW w:w="851" w:type="dxa"/>
            <w:gridSpan w:val="2"/>
            <w:tcBorders>
              <w:top w:val="nil"/>
              <w:left w:val="nil"/>
              <w:bottom w:val="nil"/>
              <w:right w:val="nil"/>
            </w:tcBorders>
          </w:tcPr>
          <w:p w14:paraId="4BB5B5C8" w14:textId="3FAE7EE8" w:rsidR="00FA0B52" w:rsidRPr="00863250" w:rsidRDefault="00FA0B52" w:rsidP="00FA0B52">
            <w:pPr>
              <w:spacing w:line="264" w:lineRule="auto"/>
              <w:jc w:val="left"/>
              <w:rPr>
                <w:sz w:val="16"/>
                <w:szCs w:val="16"/>
                <w:rtl/>
              </w:rPr>
            </w:pPr>
          </w:p>
        </w:tc>
        <w:tc>
          <w:tcPr>
            <w:tcW w:w="992" w:type="dxa"/>
            <w:gridSpan w:val="2"/>
            <w:tcBorders>
              <w:top w:val="nil"/>
              <w:left w:val="nil"/>
              <w:bottom w:val="nil"/>
              <w:right w:val="nil"/>
            </w:tcBorders>
          </w:tcPr>
          <w:p w14:paraId="150B9C7D" w14:textId="77777777" w:rsidR="00FA0B52" w:rsidRPr="00863250" w:rsidRDefault="00FA0B52" w:rsidP="00FA0B52">
            <w:pPr>
              <w:spacing w:line="264" w:lineRule="auto"/>
              <w:jc w:val="left"/>
              <w:rPr>
                <w:sz w:val="16"/>
                <w:szCs w:val="16"/>
                <w:rtl/>
              </w:rPr>
            </w:pPr>
          </w:p>
        </w:tc>
        <w:tc>
          <w:tcPr>
            <w:tcW w:w="853" w:type="dxa"/>
            <w:gridSpan w:val="2"/>
            <w:tcBorders>
              <w:top w:val="nil"/>
              <w:left w:val="nil"/>
              <w:bottom w:val="nil"/>
              <w:right w:val="nil"/>
            </w:tcBorders>
          </w:tcPr>
          <w:p w14:paraId="0D213875" w14:textId="77777777" w:rsidR="00FA0B52" w:rsidRPr="00863250" w:rsidRDefault="00FA0B52" w:rsidP="00FA0B52">
            <w:pPr>
              <w:spacing w:line="264" w:lineRule="auto"/>
              <w:jc w:val="left"/>
              <w:rPr>
                <w:sz w:val="16"/>
                <w:szCs w:val="16"/>
                <w:rtl/>
              </w:rPr>
            </w:pPr>
          </w:p>
        </w:tc>
        <w:tc>
          <w:tcPr>
            <w:tcW w:w="848" w:type="dxa"/>
            <w:gridSpan w:val="2"/>
            <w:tcBorders>
              <w:top w:val="nil"/>
              <w:left w:val="nil"/>
              <w:bottom w:val="nil"/>
              <w:right w:val="nil"/>
            </w:tcBorders>
          </w:tcPr>
          <w:p w14:paraId="4E7F88D1" w14:textId="77777777" w:rsidR="00FA0B52" w:rsidRPr="00863250" w:rsidRDefault="00FA0B52" w:rsidP="00FA0B52">
            <w:pPr>
              <w:spacing w:line="264" w:lineRule="auto"/>
              <w:jc w:val="left"/>
              <w:rPr>
                <w:sz w:val="16"/>
                <w:szCs w:val="16"/>
                <w:rtl/>
              </w:rPr>
            </w:pPr>
          </w:p>
        </w:tc>
        <w:tc>
          <w:tcPr>
            <w:tcW w:w="1134" w:type="dxa"/>
            <w:gridSpan w:val="2"/>
            <w:tcBorders>
              <w:top w:val="nil"/>
              <w:left w:val="nil"/>
              <w:bottom w:val="nil"/>
              <w:right w:val="nil"/>
            </w:tcBorders>
          </w:tcPr>
          <w:p w14:paraId="0DB08921" w14:textId="77777777" w:rsidR="00FA0B52" w:rsidRPr="00863250" w:rsidRDefault="00FA0B52" w:rsidP="00FA0B52">
            <w:pPr>
              <w:spacing w:line="264" w:lineRule="auto"/>
              <w:jc w:val="left"/>
              <w:rPr>
                <w:sz w:val="16"/>
                <w:szCs w:val="16"/>
                <w:rtl/>
              </w:rPr>
            </w:pPr>
          </w:p>
        </w:tc>
        <w:tc>
          <w:tcPr>
            <w:tcW w:w="567" w:type="dxa"/>
            <w:gridSpan w:val="2"/>
            <w:tcBorders>
              <w:top w:val="nil"/>
              <w:left w:val="nil"/>
              <w:bottom w:val="nil"/>
              <w:right w:val="nil"/>
            </w:tcBorders>
          </w:tcPr>
          <w:p w14:paraId="48433642" w14:textId="77777777" w:rsidR="00FA0B52" w:rsidRPr="00863250" w:rsidRDefault="00FA0B52" w:rsidP="00FA0B52">
            <w:pPr>
              <w:spacing w:line="264" w:lineRule="auto"/>
              <w:jc w:val="left"/>
              <w:rPr>
                <w:sz w:val="16"/>
                <w:szCs w:val="16"/>
                <w:rtl/>
              </w:rPr>
            </w:pPr>
          </w:p>
        </w:tc>
        <w:tc>
          <w:tcPr>
            <w:tcW w:w="850" w:type="dxa"/>
            <w:gridSpan w:val="2"/>
            <w:tcBorders>
              <w:top w:val="nil"/>
              <w:left w:val="nil"/>
              <w:bottom w:val="nil"/>
              <w:right w:val="nil"/>
            </w:tcBorders>
          </w:tcPr>
          <w:p w14:paraId="55854D6E" w14:textId="77777777" w:rsidR="00FA0B52" w:rsidRPr="00863250" w:rsidRDefault="00FA0B52" w:rsidP="00FA0B52">
            <w:pPr>
              <w:spacing w:line="264" w:lineRule="auto"/>
              <w:jc w:val="left"/>
              <w:rPr>
                <w:sz w:val="16"/>
                <w:szCs w:val="16"/>
                <w:rtl/>
              </w:rPr>
            </w:pPr>
          </w:p>
        </w:tc>
        <w:tc>
          <w:tcPr>
            <w:tcW w:w="993" w:type="dxa"/>
            <w:gridSpan w:val="3"/>
            <w:tcBorders>
              <w:top w:val="nil"/>
              <w:left w:val="nil"/>
              <w:bottom w:val="nil"/>
              <w:right w:val="nil"/>
            </w:tcBorders>
          </w:tcPr>
          <w:p w14:paraId="75F84B6D" w14:textId="77777777" w:rsidR="00FA0B52" w:rsidRPr="00863250" w:rsidRDefault="00FA0B52" w:rsidP="00FA0B52">
            <w:pPr>
              <w:spacing w:line="264" w:lineRule="auto"/>
              <w:jc w:val="left"/>
              <w:rPr>
                <w:sz w:val="16"/>
                <w:szCs w:val="16"/>
                <w:rtl/>
              </w:rPr>
            </w:pPr>
          </w:p>
        </w:tc>
      </w:tr>
      <w:tr w:rsidR="00770120" w:rsidRPr="00863250" w14:paraId="7662CD6C" w14:textId="517285F7" w:rsidTr="00770120">
        <w:trPr>
          <w:gridAfter w:val="1"/>
          <w:wAfter w:w="25" w:type="dxa"/>
          <w:trHeight w:val="259"/>
        </w:trPr>
        <w:tc>
          <w:tcPr>
            <w:tcW w:w="2640" w:type="dxa"/>
            <w:tcBorders>
              <w:top w:val="nil"/>
              <w:left w:val="nil"/>
              <w:bottom w:val="nil"/>
              <w:right w:val="nil"/>
            </w:tcBorders>
            <w:shd w:val="clear" w:color="auto" w:fill="auto"/>
          </w:tcPr>
          <w:p w14:paraId="6F8AF7A0" w14:textId="7DAA2F60" w:rsidR="00FA0B52" w:rsidRPr="00F604DF" w:rsidRDefault="00FA0B52" w:rsidP="00FA0B52">
            <w:pPr>
              <w:spacing w:before="40" w:line="192" w:lineRule="auto"/>
              <w:ind w:left="142" w:hanging="107"/>
              <w:jc w:val="left"/>
              <w:rPr>
                <w:color w:val="000000"/>
                <w:sz w:val="18"/>
                <w:szCs w:val="18"/>
                <w:rtl/>
                <w:lang w:eastAsia="he-IL"/>
              </w:rPr>
            </w:pPr>
            <w:r>
              <w:rPr>
                <w:rFonts w:hint="cs"/>
                <w:color w:val="000000"/>
                <w:sz w:val="18"/>
                <w:szCs w:val="18"/>
                <w:rtl/>
                <w:lang w:eastAsia="he-IL"/>
              </w:rPr>
              <w:t xml:space="preserve">  </w:t>
            </w:r>
            <w:r w:rsidRPr="0003475D">
              <w:rPr>
                <w:color w:val="000000"/>
                <w:sz w:val="18"/>
                <w:szCs w:val="18"/>
                <w:rtl/>
                <w:lang w:eastAsia="he-IL"/>
              </w:rPr>
              <w:t>אגרות חוב ממשלת ישראל</w:t>
            </w:r>
          </w:p>
        </w:tc>
        <w:tc>
          <w:tcPr>
            <w:tcW w:w="1556" w:type="dxa"/>
            <w:gridSpan w:val="2"/>
            <w:tcBorders>
              <w:top w:val="nil"/>
              <w:left w:val="nil"/>
              <w:bottom w:val="nil"/>
              <w:right w:val="nil"/>
            </w:tcBorders>
          </w:tcPr>
          <w:p w14:paraId="66FEED29" w14:textId="7A3400DC" w:rsidR="00FA0B52" w:rsidRPr="00863250" w:rsidRDefault="00FA0B52" w:rsidP="00FA0B52">
            <w:pPr>
              <w:spacing w:line="264" w:lineRule="auto"/>
              <w:ind w:left="97" w:hanging="57"/>
              <w:jc w:val="left"/>
              <w:rPr>
                <w:sz w:val="16"/>
                <w:szCs w:val="16"/>
                <w:rtl/>
              </w:rPr>
            </w:pPr>
            <w:r w:rsidRPr="00863250">
              <w:rPr>
                <w:sz w:val="16"/>
                <w:szCs w:val="16"/>
                <w:rtl/>
              </w:rPr>
              <w:t>היוון תזרימי מזומנים</w:t>
            </w:r>
          </w:p>
        </w:tc>
        <w:tc>
          <w:tcPr>
            <w:tcW w:w="1701" w:type="dxa"/>
            <w:gridSpan w:val="2"/>
            <w:tcBorders>
              <w:top w:val="nil"/>
              <w:left w:val="nil"/>
              <w:bottom w:val="nil"/>
              <w:right w:val="nil"/>
            </w:tcBorders>
          </w:tcPr>
          <w:p w14:paraId="5CDD1BDA" w14:textId="3811F880" w:rsidR="00FA0B52" w:rsidRPr="00863250" w:rsidRDefault="00FA0B52" w:rsidP="00FA0B52">
            <w:pPr>
              <w:spacing w:line="264" w:lineRule="auto"/>
              <w:ind w:left="124" w:hanging="113"/>
              <w:jc w:val="left"/>
              <w:rPr>
                <w:sz w:val="16"/>
                <w:szCs w:val="16"/>
                <w:rtl/>
              </w:rPr>
            </w:pPr>
            <w:r w:rsidRPr="00863250">
              <w:rPr>
                <w:sz w:val="16"/>
                <w:szCs w:val="16"/>
                <w:rtl/>
              </w:rPr>
              <w:t xml:space="preserve">מרווח </w:t>
            </w:r>
          </w:p>
        </w:tc>
        <w:tc>
          <w:tcPr>
            <w:tcW w:w="567" w:type="dxa"/>
            <w:gridSpan w:val="2"/>
            <w:tcBorders>
              <w:top w:val="nil"/>
              <w:left w:val="nil"/>
              <w:bottom w:val="nil"/>
              <w:right w:val="nil"/>
            </w:tcBorders>
          </w:tcPr>
          <w:p w14:paraId="00B77755" w14:textId="78AFE32C" w:rsidR="00FA0B52" w:rsidRPr="00863250" w:rsidRDefault="00FA0B52" w:rsidP="00FA0B52">
            <w:pPr>
              <w:spacing w:line="264" w:lineRule="auto"/>
              <w:jc w:val="left"/>
              <w:rPr>
                <w:sz w:val="16"/>
                <w:szCs w:val="16"/>
                <w:rtl/>
              </w:rPr>
            </w:pPr>
            <w:r>
              <w:rPr>
                <w:rFonts w:hint="cs"/>
                <w:b/>
                <w:bCs/>
                <w:sz w:val="18"/>
                <w:szCs w:val="18"/>
                <w:rtl/>
              </w:rPr>
              <w:t xml:space="preserve"> </w:t>
            </w:r>
            <w:r w:rsidRPr="00863250">
              <w:rPr>
                <w:rFonts w:hint="cs"/>
                <w:b/>
                <w:bCs/>
                <w:sz w:val="18"/>
                <w:szCs w:val="18"/>
                <w:rtl/>
              </w:rPr>
              <w:t>0</w:t>
            </w:r>
          </w:p>
        </w:tc>
        <w:tc>
          <w:tcPr>
            <w:tcW w:w="851" w:type="dxa"/>
            <w:gridSpan w:val="2"/>
            <w:tcBorders>
              <w:top w:val="nil"/>
              <w:left w:val="nil"/>
              <w:bottom w:val="nil"/>
              <w:right w:val="nil"/>
            </w:tcBorders>
          </w:tcPr>
          <w:p w14:paraId="298271DC" w14:textId="5F0FEB01" w:rsidR="00FA0B52" w:rsidRPr="00863250" w:rsidRDefault="00FA0B52" w:rsidP="00FA0B52">
            <w:pPr>
              <w:spacing w:line="264" w:lineRule="auto"/>
              <w:jc w:val="left"/>
              <w:rPr>
                <w:sz w:val="16"/>
                <w:szCs w:val="16"/>
                <w:rtl/>
              </w:rPr>
            </w:pPr>
            <w:r w:rsidRPr="00863250">
              <w:rPr>
                <w:sz w:val="16"/>
                <w:szCs w:val="16"/>
                <w:rtl/>
              </w:rPr>
              <w:t>0%-0%</w:t>
            </w:r>
          </w:p>
        </w:tc>
        <w:tc>
          <w:tcPr>
            <w:tcW w:w="992" w:type="dxa"/>
            <w:gridSpan w:val="2"/>
            <w:tcBorders>
              <w:top w:val="nil"/>
              <w:left w:val="nil"/>
              <w:bottom w:val="nil"/>
              <w:right w:val="nil"/>
            </w:tcBorders>
          </w:tcPr>
          <w:p w14:paraId="0C56BB79" w14:textId="07600F75" w:rsidR="00FA0B52" w:rsidRPr="00863250" w:rsidRDefault="00FA0B52" w:rsidP="00FA0B52">
            <w:pPr>
              <w:spacing w:line="264" w:lineRule="auto"/>
              <w:jc w:val="left"/>
              <w:rPr>
                <w:sz w:val="16"/>
                <w:szCs w:val="16"/>
                <w:rtl/>
              </w:rPr>
            </w:pPr>
            <w:r w:rsidRPr="00863250">
              <w:rPr>
                <w:sz w:val="16"/>
                <w:szCs w:val="16"/>
                <w:rtl/>
              </w:rPr>
              <w:t xml:space="preserve"> 0%</w:t>
            </w:r>
          </w:p>
        </w:tc>
        <w:tc>
          <w:tcPr>
            <w:tcW w:w="853" w:type="dxa"/>
            <w:gridSpan w:val="2"/>
            <w:tcBorders>
              <w:top w:val="nil"/>
              <w:left w:val="nil"/>
              <w:bottom w:val="nil"/>
              <w:right w:val="nil"/>
            </w:tcBorders>
          </w:tcPr>
          <w:p w14:paraId="5ABD894A" w14:textId="63263664" w:rsidR="00FA0B52" w:rsidRPr="00863250" w:rsidRDefault="00FA0B52" w:rsidP="00FA0B52">
            <w:pPr>
              <w:spacing w:line="264" w:lineRule="auto"/>
              <w:jc w:val="left"/>
              <w:rPr>
                <w:sz w:val="16"/>
                <w:szCs w:val="16"/>
                <w:rtl/>
              </w:rPr>
            </w:pPr>
            <w:r>
              <w:rPr>
                <w:rFonts w:hint="cs"/>
                <w:b/>
                <w:bCs/>
                <w:sz w:val="18"/>
                <w:szCs w:val="18"/>
                <w:rtl/>
              </w:rPr>
              <w:t xml:space="preserve"> </w:t>
            </w:r>
            <w:r w:rsidRPr="00863250">
              <w:rPr>
                <w:rFonts w:hint="cs"/>
                <w:b/>
                <w:bCs/>
                <w:sz w:val="18"/>
                <w:szCs w:val="18"/>
                <w:rtl/>
              </w:rPr>
              <w:t>0</w:t>
            </w:r>
          </w:p>
        </w:tc>
        <w:tc>
          <w:tcPr>
            <w:tcW w:w="848" w:type="dxa"/>
            <w:gridSpan w:val="2"/>
            <w:tcBorders>
              <w:top w:val="nil"/>
              <w:left w:val="nil"/>
              <w:bottom w:val="nil"/>
              <w:right w:val="nil"/>
            </w:tcBorders>
          </w:tcPr>
          <w:p w14:paraId="3448C1A3" w14:textId="4C019656" w:rsidR="00FA0B52" w:rsidRPr="00863250" w:rsidRDefault="00FA0B52" w:rsidP="00FA0B52">
            <w:pPr>
              <w:spacing w:line="264" w:lineRule="auto"/>
              <w:jc w:val="left"/>
              <w:rPr>
                <w:sz w:val="16"/>
                <w:szCs w:val="16"/>
                <w:rtl/>
              </w:rPr>
            </w:pPr>
            <w:r w:rsidRPr="00863250">
              <w:rPr>
                <w:sz w:val="16"/>
                <w:szCs w:val="16"/>
                <w:rtl/>
              </w:rPr>
              <w:t>0%-0%</w:t>
            </w:r>
          </w:p>
        </w:tc>
        <w:tc>
          <w:tcPr>
            <w:tcW w:w="1134" w:type="dxa"/>
            <w:gridSpan w:val="2"/>
            <w:tcBorders>
              <w:top w:val="nil"/>
              <w:left w:val="nil"/>
              <w:bottom w:val="nil"/>
              <w:right w:val="nil"/>
            </w:tcBorders>
          </w:tcPr>
          <w:p w14:paraId="66395750" w14:textId="73F12C51" w:rsidR="00FA0B52" w:rsidRPr="00863250" w:rsidRDefault="00FA0B52" w:rsidP="00FA0B52">
            <w:pPr>
              <w:spacing w:line="264" w:lineRule="auto"/>
              <w:jc w:val="left"/>
              <w:rPr>
                <w:sz w:val="16"/>
                <w:szCs w:val="16"/>
                <w:rtl/>
              </w:rPr>
            </w:pPr>
            <w:r w:rsidRPr="00863250">
              <w:rPr>
                <w:sz w:val="16"/>
                <w:szCs w:val="16"/>
                <w:rtl/>
              </w:rPr>
              <w:t xml:space="preserve"> 0%</w:t>
            </w:r>
          </w:p>
        </w:tc>
        <w:tc>
          <w:tcPr>
            <w:tcW w:w="567" w:type="dxa"/>
            <w:gridSpan w:val="2"/>
            <w:tcBorders>
              <w:top w:val="nil"/>
              <w:left w:val="nil"/>
              <w:bottom w:val="nil"/>
              <w:right w:val="nil"/>
            </w:tcBorders>
          </w:tcPr>
          <w:p w14:paraId="318A27D4" w14:textId="119A48F2" w:rsidR="00FA0B52" w:rsidRPr="00863250" w:rsidRDefault="00FA0B52" w:rsidP="00FA0B52">
            <w:pPr>
              <w:spacing w:line="264" w:lineRule="auto"/>
              <w:jc w:val="left"/>
              <w:rPr>
                <w:sz w:val="16"/>
                <w:szCs w:val="16"/>
                <w:rtl/>
              </w:rPr>
            </w:pPr>
            <w:r>
              <w:rPr>
                <w:rFonts w:hint="cs"/>
                <w:b/>
                <w:bCs/>
                <w:sz w:val="18"/>
                <w:szCs w:val="18"/>
                <w:rtl/>
              </w:rPr>
              <w:t xml:space="preserve"> </w:t>
            </w:r>
            <w:r w:rsidRPr="00863250">
              <w:rPr>
                <w:rFonts w:hint="cs"/>
                <w:b/>
                <w:bCs/>
                <w:sz w:val="18"/>
                <w:szCs w:val="18"/>
                <w:rtl/>
              </w:rPr>
              <w:t>0</w:t>
            </w:r>
          </w:p>
        </w:tc>
        <w:tc>
          <w:tcPr>
            <w:tcW w:w="850" w:type="dxa"/>
            <w:gridSpan w:val="2"/>
            <w:tcBorders>
              <w:top w:val="nil"/>
              <w:left w:val="nil"/>
              <w:bottom w:val="nil"/>
              <w:right w:val="nil"/>
            </w:tcBorders>
          </w:tcPr>
          <w:p w14:paraId="1C26B45A" w14:textId="66ED3737" w:rsidR="00FA0B52" w:rsidRPr="00863250" w:rsidRDefault="00FA0B52" w:rsidP="00FA0B52">
            <w:pPr>
              <w:spacing w:line="264" w:lineRule="auto"/>
              <w:jc w:val="left"/>
              <w:rPr>
                <w:sz w:val="16"/>
                <w:szCs w:val="16"/>
                <w:rtl/>
              </w:rPr>
            </w:pPr>
            <w:r w:rsidRPr="00863250">
              <w:rPr>
                <w:sz w:val="16"/>
                <w:szCs w:val="16"/>
                <w:rtl/>
              </w:rPr>
              <w:t>0%-0%</w:t>
            </w:r>
          </w:p>
        </w:tc>
        <w:tc>
          <w:tcPr>
            <w:tcW w:w="993" w:type="dxa"/>
            <w:gridSpan w:val="3"/>
            <w:tcBorders>
              <w:top w:val="nil"/>
              <w:left w:val="nil"/>
              <w:bottom w:val="nil"/>
              <w:right w:val="nil"/>
            </w:tcBorders>
          </w:tcPr>
          <w:p w14:paraId="13E1AD5A" w14:textId="356C27E0" w:rsidR="00FA0B52" w:rsidRPr="00863250" w:rsidRDefault="00FA0B52" w:rsidP="00FA0B52">
            <w:pPr>
              <w:spacing w:line="264" w:lineRule="auto"/>
              <w:jc w:val="left"/>
              <w:rPr>
                <w:sz w:val="16"/>
                <w:szCs w:val="16"/>
                <w:rtl/>
              </w:rPr>
            </w:pPr>
            <w:r w:rsidRPr="00863250">
              <w:rPr>
                <w:sz w:val="16"/>
                <w:szCs w:val="16"/>
                <w:rtl/>
              </w:rPr>
              <w:t xml:space="preserve"> 0%</w:t>
            </w:r>
          </w:p>
        </w:tc>
      </w:tr>
      <w:tr w:rsidR="00770120" w:rsidRPr="00863250" w14:paraId="69A5CC5D" w14:textId="53C40234" w:rsidTr="00770120">
        <w:trPr>
          <w:gridAfter w:val="1"/>
          <w:wAfter w:w="25" w:type="dxa"/>
          <w:trHeight w:val="259"/>
        </w:trPr>
        <w:tc>
          <w:tcPr>
            <w:tcW w:w="2640" w:type="dxa"/>
            <w:tcBorders>
              <w:top w:val="nil"/>
              <w:left w:val="nil"/>
              <w:bottom w:val="single" w:sz="4" w:space="0" w:color="auto"/>
              <w:right w:val="nil"/>
            </w:tcBorders>
            <w:shd w:val="clear" w:color="auto" w:fill="auto"/>
          </w:tcPr>
          <w:p w14:paraId="6FE157B8" w14:textId="1CE1FB11" w:rsidR="00FA0B52" w:rsidRPr="00F604DF" w:rsidRDefault="00FA0B52" w:rsidP="00FA0B52">
            <w:pPr>
              <w:spacing w:line="192" w:lineRule="auto"/>
              <w:ind w:left="142" w:hanging="108"/>
              <w:jc w:val="left"/>
              <w:rPr>
                <w:color w:val="000000"/>
                <w:sz w:val="18"/>
                <w:szCs w:val="18"/>
                <w:rtl/>
                <w:lang w:eastAsia="he-IL"/>
              </w:rPr>
            </w:pPr>
            <w:r>
              <w:rPr>
                <w:rFonts w:hint="cs"/>
                <w:color w:val="000000"/>
                <w:sz w:val="18"/>
                <w:szCs w:val="18"/>
                <w:rtl/>
                <w:lang w:eastAsia="he-IL"/>
              </w:rPr>
              <w:t xml:space="preserve">  </w:t>
            </w:r>
            <w:r w:rsidRPr="00863250">
              <w:rPr>
                <w:rFonts w:hint="cs"/>
                <w:color w:val="000000"/>
                <w:sz w:val="18"/>
                <w:szCs w:val="18"/>
                <w:rtl/>
                <w:lang w:eastAsia="he-IL"/>
              </w:rPr>
              <w:t>אג"ח של אחרים</w:t>
            </w:r>
            <w:r>
              <w:rPr>
                <w:rFonts w:hint="cs"/>
                <w:color w:val="000000"/>
                <w:sz w:val="18"/>
                <w:szCs w:val="18"/>
                <w:rtl/>
                <w:lang w:eastAsia="he-IL"/>
              </w:rPr>
              <w:t xml:space="preserve"> זרים</w:t>
            </w:r>
          </w:p>
        </w:tc>
        <w:tc>
          <w:tcPr>
            <w:tcW w:w="1556" w:type="dxa"/>
            <w:gridSpan w:val="2"/>
            <w:tcBorders>
              <w:top w:val="nil"/>
              <w:left w:val="nil"/>
              <w:bottom w:val="single" w:sz="4" w:space="0" w:color="auto"/>
              <w:right w:val="nil"/>
            </w:tcBorders>
          </w:tcPr>
          <w:p w14:paraId="1AF1C91D" w14:textId="7B43B8ED" w:rsidR="00FA0B52" w:rsidRPr="00863250" w:rsidRDefault="00FA0B52" w:rsidP="00FA0B52">
            <w:pPr>
              <w:spacing w:line="264" w:lineRule="auto"/>
              <w:ind w:left="97" w:hanging="57"/>
              <w:jc w:val="left"/>
              <w:rPr>
                <w:sz w:val="16"/>
                <w:szCs w:val="16"/>
                <w:rtl/>
              </w:rPr>
            </w:pPr>
            <w:r w:rsidRPr="00863250">
              <w:rPr>
                <w:sz w:val="16"/>
                <w:szCs w:val="16"/>
                <w:rtl/>
              </w:rPr>
              <w:t>היוון תזרימי מזומנים</w:t>
            </w:r>
          </w:p>
        </w:tc>
        <w:tc>
          <w:tcPr>
            <w:tcW w:w="1701" w:type="dxa"/>
            <w:gridSpan w:val="2"/>
            <w:tcBorders>
              <w:top w:val="nil"/>
              <w:left w:val="nil"/>
              <w:bottom w:val="single" w:sz="4" w:space="0" w:color="auto"/>
              <w:right w:val="nil"/>
            </w:tcBorders>
          </w:tcPr>
          <w:p w14:paraId="48BD241E" w14:textId="701A68CF" w:rsidR="00FA0B52" w:rsidRPr="00863250" w:rsidRDefault="00FA0B52" w:rsidP="00FA0B52">
            <w:pPr>
              <w:spacing w:line="264" w:lineRule="auto"/>
              <w:ind w:left="124" w:hanging="113"/>
              <w:jc w:val="left"/>
              <w:rPr>
                <w:sz w:val="16"/>
                <w:szCs w:val="16"/>
                <w:rtl/>
              </w:rPr>
            </w:pPr>
            <w:r w:rsidRPr="00863250">
              <w:rPr>
                <w:sz w:val="16"/>
                <w:szCs w:val="16"/>
                <w:rtl/>
              </w:rPr>
              <w:t xml:space="preserve">מרווח </w:t>
            </w:r>
          </w:p>
        </w:tc>
        <w:tc>
          <w:tcPr>
            <w:tcW w:w="567" w:type="dxa"/>
            <w:gridSpan w:val="2"/>
            <w:tcBorders>
              <w:top w:val="nil"/>
              <w:left w:val="nil"/>
              <w:bottom w:val="single" w:sz="4" w:space="0" w:color="auto"/>
              <w:right w:val="nil"/>
            </w:tcBorders>
          </w:tcPr>
          <w:p w14:paraId="0774E180" w14:textId="0EAB0526" w:rsidR="00FA0B52" w:rsidRPr="00863250" w:rsidRDefault="00FA0B52" w:rsidP="00FA0B52">
            <w:pPr>
              <w:spacing w:line="264" w:lineRule="auto"/>
              <w:jc w:val="left"/>
              <w:rPr>
                <w:sz w:val="16"/>
                <w:szCs w:val="16"/>
                <w:rtl/>
              </w:rPr>
            </w:pPr>
            <w:r>
              <w:rPr>
                <w:rFonts w:hint="cs"/>
                <w:b/>
                <w:bCs/>
                <w:sz w:val="18"/>
                <w:szCs w:val="18"/>
                <w:rtl/>
              </w:rPr>
              <w:t xml:space="preserve"> </w:t>
            </w:r>
            <w:r w:rsidRPr="00863250">
              <w:rPr>
                <w:rFonts w:hint="cs"/>
                <w:b/>
                <w:bCs/>
                <w:sz w:val="18"/>
                <w:szCs w:val="18"/>
                <w:rtl/>
              </w:rPr>
              <w:t>0</w:t>
            </w:r>
            <w:r>
              <w:rPr>
                <w:rFonts w:hint="cs"/>
                <w:b/>
                <w:bCs/>
                <w:sz w:val="18"/>
                <w:szCs w:val="18"/>
                <w:rtl/>
              </w:rPr>
              <w:t xml:space="preserve">   </w:t>
            </w:r>
          </w:p>
        </w:tc>
        <w:tc>
          <w:tcPr>
            <w:tcW w:w="851" w:type="dxa"/>
            <w:gridSpan w:val="2"/>
            <w:tcBorders>
              <w:top w:val="nil"/>
              <w:left w:val="nil"/>
              <w:bottom w:val="single" w:sz="4" w:space="0" w:color="auto"/>
              <w:right w:val="nil"/>
            </w:tcBorders>
          </w:tcPr>
          <w:p w14:paraId="1B1F70C9" w14:textId="1969B5EC" w:rsidR="00FA0B52" w:rsidRPr="00863250" w:rsidRDefault="00FA0B52" w:rsidP="00FA0B52">
            <w:pPr>
              <w:spacing w:line="264" w:lineRule="auto"/>
              <w:jc w:val="left"/>
              <w:rPr>
                <w:sz w:val="16"/>
                <w:szCs w:val="16"/>
                <w:rtl/>
              </w:rPr>
            </w:pPr>
            <w:r w:rsidRPr="00863250">
              <w:rPr>
                <w:sz w:val="16"/>
                <w:szCs w:val="16"/>
                <w:rtl/>
              </w:rPr>
              <w:t>0%-0%</w:t>
            </w:r>
          </w:p>
        </w:tc>
        <w:tc>
          <w:tcPr>
            <w:tcW w:w="992" w:type="dxa"/>
            <w:gridSpan w:val="2"/>
            <w:tcBorders>
              <w:top w:val="nil"/>
              <w:left w:val="nil"/>
              <w:bottom w:val="single" w:sz="4" w:space="0" w:color="auto"/>
              <w:right w:val="nil"/>
            </w:tcBorders>
          </w:tcPr>
          <w:p w14:paraId="2036995A" w14:textId="1F13B1E4" w:rsidR="00FA0B52" w:rsidRPr="00863250" w:rsidRDefault="00FA0B52" w:rsidP="00FA0B52">
            <w:pPr>
              <w:spacing w:line="264" w:lineRule="auto"/>
              <w:jc w:val="left"/>
              <w:rPr>
                <w:sz w:val="16"/>
                <w:szCs w:val="16"/>
                <w:rtl/>
              </w:rPr>
            </w:pPr>
            <w:r w:rsidRPr="00863250">
              <w:rPr>
                <w:sz w:val="16"/>
                <w:szCs w:val="16"/>
                <w:rtl/>
              </w:rPr>
              <w:t xml:space="preserve"> 0%</w:t>
            </w:r>
          </w:p>
        </w:tc>
        <w:tc>
          <w:tcPr>
            <w:tcW w:w="853" w:type="dxa"/>
            <w:gridSpan w:val="2"/>
            <w:tcBorders>
              <w:top w:val="nil"/>
              <w:left w:val="nil"/>
              <w:bottom w:val="single" w:sz="4" w:space="0" w:color="auto"/>
              <w:right w:val="nil"/>
            </w:tcBorders>
          </w:tcPr>
          <w:p w14:paraId="29722074" w14:textId="063E1FC8" w:rsidR="00FA0B52" w:rsidRPr="00863250" w:rsidRDefault="00FA0B52" w:rsidP="00FA0B52">
            <w:pPr>
              <w:spacing w:line="264" w:lineRule="auto"/>
              <w:jc w:val="left"/>
              <w:rPr>
                <w:sz w:val="16"/>
                <w:szCs w:val="16"/>
                <w:rtl/>
              </w:rPr>
            </w:pPr>
            <w:r>
              <w:rPr>
                <w:rFonts w:hint="cs"/>
                <w:b/>
                <w:bCs/>
                <w:sz w:val="18"/>
                <w:szCs w:val="18"/>
                <w:rtl/>
              </w:rPr>
              <w:t xml:space="preserve"> </w:t>
            </w:r>
            <w:r w:rsidRPr="00863250">
              <w:rPr>
                <w:rFonts w:hint="cs"/>
                <w:b/>
                <w:bCs/>
                <w:sz w:val="18"/>
                <w:szCs w:val="18"/>
                <w:rtl/>
              </w:rPr>
              <w:t>0</w:t>
            </w:r>
            <w:r>
              <w:rPr>
                <w:rFonts w:hint="cs"/>
                <w:b/>
                <w:bCs/>
                <w:sz w:val="18"/>
                <w:szCs w:val="18"/>
                <w:rtl/>
              </w:rPr>
              <w:t xml:space="preserve">   </w:t>
            </w:r>
          </w:p>
        </w:tc>
        <w:tc>
          <w:tcPr>
            <w:tcW w:w="848" w:type="dxa"/>
            <w:gridSpan w:val="2"/>
            <w:tcBorders>
              <w:top w:val="nil"/>
              <w:left w:val="nil"/>
              <w:bottom w:val="single" w:sz="4" w:space="0" w:color="auto"/>
              <w:right w:val="nil"/>
            </w:tcBorders>
          </w:tcPr>
          <w:p w14:paraId="1A53DD68" w14:textId="1855F4FB" w:rsidR="00FA0B52" w:rsidRPr="00863250" w:rsidRDefault="00FA0B52" w:rsidP="00FA0B52">
            <w:pPr>
              <w:spacing w:line="264" w:lineRule="auto"/>
              <w:jc w:val="left"/>
              <w:rPr>
                <w:sz w:val="16"/>
                <w:szCs w:val="16"/>
                <w:rtl/>
              </w:rPr>
            </w:pPr>
            <w:r w:rsidRPr="00863250">
              <w:rPr>
                <w:sz w:val="16"/>
                <w:szCs w:val="16"/>
                <w:rtl/>
              </w:rPr>
              <w:t>0%-0%</w:t>
            </w:r>
          </w:p>
        </w:tc>
        <w:tc>
          <w:tcPr>
            <w:tcW w:w="1134" w:type="dxa"/>
            <w:gridSpan w:val="2"/>
            <w:tcBorders>
              <w:top w:val="nil"/>
              <w:left w:val="nil"/>
              <w:bottom w:val="single" w:sz="4" w:space="0" w:color="auto"/>
              <w:right w:val="nil"/>
            </w:tcBorders>
          </w:tcPr>
          <w:p w14:paraId="1E619B67" w14:textId="34A3F2F0" w:rsidR="00FA0B52" w:rsidRPr="00863250" w:rsidRDefault="00FA0B52" w:rsidP="00FA0B52">
            <w:pPr>
              <w:spacing w:line="264" w:lineRule="auto"/>
              <w:jc w:val="left"/>
              <w:rPr>
                <w:sz w:val="16"/>
                <w:szCs w:val="16"/>
                <w:rtl/>
              </w:rPr>
            </w:pPr>
            <w:r w:rsidRPr="00863250">
              <w:rPr>
                <w:sz w:val="16"/>
                <w:szCs w:val="16"/>
                <w:rtl/>
              </w:rPr>
              <w:t xml:space="preserve"> 0%</w:t>
            </w:r>
          </w:p>
        </w:tc>
        <w:tc>
          <w:tcPr>
            <w:tcW w:w="567" w:type="dxa"/>
            <w:gridSpan w:val="2"/>
            <w:tcBorders>
              <w:top w:val="nil"/>
              <w:left w:val="nil"/>
              <w:bottom w:val="single" w:sz="4" w:space="0" w:color="auto"/>
              <w:right w:val="nil"/>
            </w:tcBorders>
          </w:tcPr>
          <w:p w14:paraId="21955AB0" w14:textId="11428FA0" w:rsidR="00FA0B52" w:rsidRPr="00863250" w:rsidRDefault="00FA0B52" w:rsidP="00FA0B52">
            <w:pPr>
              <w:spacing w:line="264" w:lineRule="auto"/>
              <w:jc w:val="left"/>
              <w:rPr>
                <w:sz w:val="16"/>
                <w:szCs w:val="16"/>
                <w:rtl/>
              </w:rPr>
            </w:pPr>
            <w:r>
              <w:rPr>
                <w:rFonts w:hint="cs"/>
                <w:b/>
                <w:bCs/>
                <w:sz w:val="18"/>
                <w:szCs w:val="18"/>
                <w:rtl/>
              </w:rPr>
              <w:t xml:space="preserve"> </w:t>
            </w:r>
            <w:r w:rsidRPr="00863250">
              <w:rPr>
                <w:rFonts w:hint="cs"/>
                <w:b/>
                <w:bCs/>
                <w:sz w:val="18"/>
                <w:szCs w:val="18"/>
                <w:rtl/>
              </w:rPr>
              <w:t>0</w:t>
            </w:r>
            <w:r>
              <w:rPr>
                <w:rFonts w:hint="cs"/>
                <w:b/>
                <w:bCs/>
                <w:sz w:val="18"/>
                <w:szCs w:val="18"/>
                <w:rtl/>
              </w:rPr>
              <w:t xml:space="preserve">   </w:t>
            </w:r>
          </w:p>
        </w:tc>
        <w:tc>
          <w:tcPr>
            <w:tcW w:w="850" w:type="dxa"/>
            <w:gridSpan w:val="2"/>
            <w:tcBorders>
              <w:top w:val="nil"/>
              <w:left w:val="nil"/>
              <w:bottom w:val="single" w:sz="4" w:space="0" w:color="auto"/>
              <w:right w:val="nil"/>
            </w:tcBorders>
          </w:tcPr>
          <w:p w14:paraId="79C4C496" w14:textId="418C9909" w:rsidR="00FA0B52" w:rsidRPr="00863250" w:rsidRDefault="00FA0B52" w:rsidP="00FA0B52">
            <w:pPr>
              <w:spacing w:line="264" w:lineRule="auto"/>
              <w:jc w:val="left"/>
              <w:rPr>
                <w:sz w:val="16"/>
                <w:szCs w:val="16"/>
                <w:rtl/>
              </w:rPr>
            </w:pPr>
            <w:r w:rsidRPr="00863250">
              <w:rPr>
                <w:sz w:val="16"/>
                <w:szCs w:val="16"/>
                <w:rtl/>
              </w:rPr>
              <w:t>0%-0%</w:t>
            </w:r>
          </w:p>
        </w:tc>
        <w:tc>
          <w:tcPr>
            <w:tcW w:w="993" w:type="dxa"/>
            <w:gridSpan w:val="3"/>
            <w:tcBorders>
              <w:top w:val="nil"/>
              <w:left w:val="nil"/>
              <w:bottom w:val="single" w:sz="4" w:space="0" w:color="auto"/>
              <w:right w:val="nil"/>
            </w:tcBorders>
          </w:tcPr>
          <w:p w14:paraId="0CB6A69B" w14:textId="49D7B2AE" w:rsidR="00FA0B52" w:rsidRPr="00863250" w:rsidRDefault="00FA0B52" w:rsidP="00FA0B52">
            <w:pPr>
              <w:spacing w:line="264" w:lineRule="auto"/>
              <w:jc w:val="left"/>
              <w:rPr>
                <w:sz w:val="16"/>
                <w:szCs w:val="16"/>
                <w:rtl/>
              </w:rPr>
            </w:pPr>
            <w:r w:rsidRPr="00863250">
              <w:rPr>
                <w:sz w:val="16"/>
                <w:szCs w:val="16"/>
                <w:rtl/>
              </w:rPr>
              <w:t xml:space="preserve"> 0%</w:t>
            </w:r>
          </w:p>
        </w:tc>
      </w:tr>
      <w:tr w:rsidR="00770120" w:rsidRPr="00863250" w14:paraId="5B2A5AE4" w14:textId="56224261" w:rsidTr="00770120">
        <w:trPr>
          <w:gridAfter w:val="1"/>
          <w:wAfter w:w="25" w:type="dxa"/>
          <w:trHeight w:val="259"/>
        </w:trPr>
        <w:tc>
          <w:tcPr>
            <w:tcW w:w="2640" w:type="dxa"/>
            <w:tcBorders>
              <w:top w:val="single" w:sz="4" w:space="0" w:color="auto"/>
              <w:left w:val="nil"/>
              <w:bottom w:val="single" w:sz="4" w:space="0" w:color="auto"/>
              <w:right w:val="nil"/>
            </w:tcBorders>
            <w:shd w:val="clear" w:color="auto" w:fill="auto"/>
          </w:tcPr>
          <w:p w14:paraId="5C14ED7C" w14:textId="67B7D8D9" w:rsidR="00FA0B52" w:rsidRPr="00F604DF" w:rsidRDefault="00FA0B52" w:rsidP="00FA0B52">
            <w:pPr>
              <w:spacing w:line="264" w:lineRule="auto"/>
              <w:ind w:left="144" w:hanging="144"/>
              <w:jc w:val="left"/>
              <w:rPr>
                <w:strike/>
                <w:color w:val="000000"/>
                <w:sz w:val="18"/>
                <w:szCs w:val="18"/>
                <w:rtl/>
                <w:lang w:eastAsia="he-IL"/>
              </w:rPr>
            </w:pPr>
            <w:r w:rsidRPr="00F604DF">
              <w:rPr>
                <w:rFonts w:hint="cs"/>
                <w:color w:val="000000"/>
                <w:sz w:val="18"/>
                <w:szCs w:val="18"/>
                <w:rtl/>
                <w:lang w:eastAsia="he-IL"/>
              </w:rPr>
              <w:t xml:space="preserve">נכסים בגין מכשירים </w:t>
            </w:r>
            <w:r>
              <w:rPr>
                <w:rFonts w:hint="cs"/>
                <w:color w:val="000000"/>
                <w:sz w:val="18"/>
                <w:szCs w:val="18"/>
                <w:rtl/>
                <w:lang w:eastAsia="he-IL"/>
              </w:rPr>
              <w:t>נ</w:t>
            </w:r>
            <w:r w:rsidRPr="00F604DF">
              <w:rPr>
                <w:rFonts w:hint="cs"/>
                <w:color w:val="000000"/>
                <w:sz w:val="18"/>
                <w:szCs w:val="18"/>
                <w:rtl/>
                <w:lang w:eastAsia="he-IL"/>
              </w:rPr>
              <w:t>גזרים</w:t>
            </w:r>
            <w:r>
              <w:rPr>
                <w:rFonts w:hint="cs"/>
                <w:color w:val="000000"/>
                <w:sz w:val="18"/>
                <w:szCs w:val="18"/>
                <w:rtl/>
                <w:lang w:eastAsia="he-IL"/>
              </w:rPr>
              <w:t xml:space="preserve"> </w:t>
            </w:r>
            <w:r w:rsidRPr="00FA0B52">
              <w:rPr>
                <w:rFonts w:hint="cs"/>
                <w:color w:val="000000"/>
                <w:sz w:val="18"/>
                <w:szCs w:val="18"/>
                <w:vertAlign w:val="superscript"/>
                <w:rtl/>
                <w:lang w:eastAsia="he-IL"/>
              </w:rPr>
              <w:t>[</w:t>
            </w:r>
            <w:r w:rsidRPr="00FA0B52">
              <w:rPr>
                <w:rStyle w:val="a7"/>
                <w:strike/>
                <w:rtl/>
                <w:lang w:eastAsia="he-IL"/>
              </w:rPr>
              <w:footnoteReference w:id="136"/>
            </w:r>
            <w:r w:rsidRPr="00FA0B52">
              <w:rPr>
                <w:rFonts w:hint="cs"/>
                <w:color w:val="000000"/>
                <w:sz w:val="18"/>
                <w:szCs w:val="18"/>
                <w:vertAlign w:val="superscript"/>
                <w:rtl/>
                <w:lang w:eastAsia="he-IL"/>
              </w:rPr>
              <w:t>]</w:t>
            </w:r>
          </w:p>
        </w:tc>
        <w:tc>
          <w:tcPr>
            <w:tcW w:w="1556" w:type="dxa"/>
            <w:gridSpan w:val="2"/>
            <w:tcBorders>
              <w:top w:val="nil"/>
              <w:left w:val="nil"/>
              <w:bottom w:val="nil"/>
              <w:right w:val="nil"/>
            </w:tcBorders>
          </w:tcPr>
          <w:p w14:paraId="36EC8C3E" w14:textId="40D0C01B" w:rsidR="00FA0B52" w:rsidRPr="00863250" w:rsidRDefault="00FA0B52" w:rsidP="00FA0B52">
            <w:pPr>
              <w:spacing w:line="264" w:lineRule="auto"/>
              <w:ind w:left="97" w:hanging="57"/>
              <w:jc w:val="left"/>
              <w:rPr>
                <w:b/>
                <w:bCs/>
                <w:sz w:val="16"/>
                <w:szCs w:val="16"/>
                <w:rtl/>
              </w:rPr>
            </w:pPr>
            <w:r w:rsidRPr="00863250">
              <w:rPr>
                <w:rFonts w:hint="cs"/>
                <w:sz w:val="16"/>
                <w:szCs w:val="16"/>
                <w:rtl/>
              </w:rPr>
              <w:t>[ פרט ]</w:t>
            </w:r>
          </w:p>
        </w:tc>
        <w:tc>
          <w:tcPr>
            <w:tcW w:w="1701" w:type="dxa"/>
            <w:gridSpan w:val="2"/>
            <w:tcBorders>
              <w:top w:val="nil"/>
              <w:left w:val="nil"/>
              <w:bottom w:val="nil"/>
              <w:right w:val="nil"/>
            </w:tcBorders>
          </w:tcPr>
          <w:p w14:paraId="2BCD0263" w14:textId="2366A739" w:rsidR="00FA0B52" w:rsidRPr="00863250" w:rsidRDefault="00FA0B52" w:rsidP="00FA0B52">
            <w:pPr>
              <w:spacing w:line="264" w:lineRule="auto"/>
              <w:ind w:left="124" w:hanging="113"/>
              <w:jc w:val="left"/>
              <w:rPr>
                <w:sz w:val="16"/>
                <w:szCs w:val="16"/>
                <w:rtl/>
              </w:rPr>
            </w:pPr>
            <w:r w:rsidRPr="00863250">
              <w:rPr>
                <w:rFonts w:hint="cs"/>
                <w:sz w:val="16"/>
                <w:szCs w:val="16"/>
                <w:rtl/>
              </w:rPr>
              <w:t>[ פרט ]</w:t>
            </w:r>
          </w:p>
        </w:tc>
        <w:tc>
          <w:tcPr>
            <w:tcW w:w="567" w:type="dxa"/>
            <w:gridSpan w:val="2"/>
            <w:tcBorders>
              <w:top w:val="single" w:sz="4" w:space="0" w:color="auto"/>
              <w:left w:val="nil"/>
              <w:bottom w:val="single" w:sz="4" w:space="0" w:color="auto"/>
              <w:right w:val="nil"/>
            </w:tcBorders>
          </w:tcPr>
          <w:p w14:paraId="35DF151E" w14:textId="51F14783" w:rsidR="00FA0B52" w:rsidRPr="00863250" w:rsidRDefault="00FA0B52" w:rsidP="00FA0B52">
            <w:pPr>
              <w:spacing w:line="264" w:lineRule="auto"/>
              <w:jc w:val="left"/>
              <w:rPr>
                <w:sz w:val="16"/>
                <w:szCs w:val="16"/>
                <w:rtl/>
              </w:rPr>
            </w:pPr>
            <w:r w:rsidRPr="00863250">
              <w:rPr>
                <w:rFonts w:hint="cs"/>
                <w:b/>
                <w:bCs/>
                <w:sz w:val="18"/>
                <w:szCs w:val="18"/>
                <w:rtl/>
              </w:rPr>
              <w:t xml:space="preserve"> 0</w:t>
            </w:r>
          </w:p>
        </w:tc>
        <w:tc>
          <w:tcPr>
            <w:tcW w:w="851" w:type="dxa"/>
            <w:gridSpan w:val="2"/>
            <w:tcBorders>
              <w:top w:val="nil"/>
              <w:left w:val="nil"/>
              <w:bottom w:val="nil"/>
              <w:right w:val="nil"/>
            </w:tcBorders>
          </w:tcPr>
          <w:p w14:paraId="72E15DF6" w14:textId="29FBA469" w:rsidR="00FA0B52" w:rsidRPr="00863250" w:rsidRDefault="00FA0B52" w:rsidP="00FA0B52">
            <w:pPr>
              <w:spacing w:line="264" w:lineRule="auto"/>
              <w:jc w:val="left"/>
              <w:rPr>
                <w:sz w:val="16"/>
                <w:szCs w:val="16"/>
                <w:rtl/>
              </w:rPr>
            </w:pPr>
            <w:r w:rsidRPr="00863250">
              <w:rPr>
                <w:rFonts w:hint="cs"/>
                <w:sz w:val="16"/>
                <w:szCs w:val="16"/>
                <w:rtl/>
              </w:rPr>
              <w:t>[ פרט ]</w:t>
            </w:r>
          </w:p>
        </w:tc>
        <w:tc>
          <w:tcPr>
            <w:tcW w:w="992" w:type="dxa"/>
            <w:gridSpan w:val="2"/>
            <w:tcBorders>
              <w:top w:val="nil"/>
              <w:left w:val="nil"/>
              <w:bottom w:val="nil"/>
              <w:right w:val="nil"/>
            </w:tcBorders>
          </w:tcPr>
          <w:p w14:paraId="4ADEA9F1" w14:textId="4A58D9EA" w:rsidR="00FA0B52" w:rsidRPr="00863250" w:rsidRDefault="00FA0B52" w:rsidP="00FA0B52">
            <w:pPr>
              <w:spacing w:line="264" w:lineRule="auto"/>
              <w:jc w:val="left"/>
              <w:rPr>
                <w:sz w:val="16"/>
                <w:szCs w:val="16"/>
                <w:rtl/>
              </w:rPr>
            </w:pPr>
            <w:r w:rsidRPr="00863250">
              <w:rPr>
                <w:rFonts w:hint="cs"/>
                <w:sz w:val="16"/>
                <w:szCs w:val="16"/>
                <w:rtl/>
              </w:rPr>
              <w:t>[ פרט ]</w:t>
            </w:r>
          </w:p>
        </w:tc>
        <w:tc>
          <w:tcPr>
            <w:tcW w:w="853" w:type="dxa"/>
            <w:gridSpan w:val="2"/>
            <w:tcBorders>
              <w:top w:val="single" w:sz="4" w:space="0" w:color="auto"/>
              <w:left w:val="nil"/>
              <w:bottom w:val="single" w:sz="4" w:space="0" w:color="auto"/>
              <w:right w:val="nil"/>
            </w:tcBorders>
          </w:tcPr>
          <w:p w14:paraId="3037935B" w14:textId="10ABAC0B" w:rsidR="00FA0B52" w:rsidRPr="00863250" w:rsidRDefault="00FA0B52" w:rsidP="00FA0B52">
            <w:pPr>
              <w:spacing w:line="264" w:lineRule="auto"/>
              <w:jc w:val="left"/>
              <w:rPr>
                <w:sz w:val="16"/>
                <w:szCs w:val="16"/>
                <w:rtl/>
              </w:rPr>
            </w:pPr>
            <w:r w:rsidRPr="00863250">
              <w:rPr>
                <w:rFonts w:hint="cs"/>
                <w:b/>
                <w:bCs/>
                <w:sz w:val="18"/>
                <w:szCs w:val="18"/>
                <w:rtl/>
              </w:rPr>
              <w:t xml:space="preserve"> 0</w:t>
            </w:r>
          </w:p>
        </w:tc>
        <w:tc>
          <w:tcPr>
            <w:tcW w:w="848" w:type="dxa"/>
            <w:gridSpan w:val="2"/>
            <w:tcBorders>
              <w:top w:val="nil"/>
              <w:left w:val="nil"/>
              <w:bottom w:val="nil"/>
              <w:right w:val="nil"/>
            </w:tcBorders>
          </w:tcPr>
          <w:p w14:paraId="5F1CDFA0" w14:textId="24F3E715" w:rsidR="00FA0B52" w:rsidRPr="00863250" w:rsidRDefault="00FA0B52" w:rsidP="00FA0B52">
            <w:pPr>
              <w:spacing w:line="264" w:lineRule="auto"/>
              <w:jc w:val="left"/>
              <w:rPr>
                <w:sz w:val="16"/>
                <w:szCs w:val="16"/>
                <w:rtl/>
              </w:rPr>
            </w:pPr>
            <w:r w:rsidRPr="00863250">
              <w:rPr>
                <w:rFonts w:hint="cs"/>
                <w:sz w:val="16"/>
                <w:szCs w:val="16"/>
                <w:rtl/>
              </w:rPr>
              <w:t>[ פרט ]</w:t>
            </w:r>
          </w:p>
        </w:tc>
        <w:tc>
          <w:tcPr>
            <w:tcW w:w="1134" w:type="dxa"/>
            <w:gridSpan w:val="2"/>
            <w:tcBorders>
              <w:top w:val="nil"/>
              <w:left w:val="nil"/>
              <w:bottom w:val="nil"/>
              <w:right w:val="nil"/>
            </w:tcBorders>
          </w:tcPr>
          <w:p w14:paraId="71BBE798" w14:textId="3BF4D63D" w:rsidR="00FA0B52" w:rsidRPr="00863250" w:rsidRDefault="00FA0B52" w:rsidP="00FA0B52">
            <w:pPr>
              <w:spacing w:line="264" w:lineRule="auto"/>
              <w:jc w:val="left"/>
              <w:rPr>
                <w:sz w:val="16"/>
                <w:szCs w:val="16"/>
                <w:rtl/>
              </w:rPr>
            </w:pPr>
            <w:r w:rsidRPr="00863250">
              <w:rPr>
                <w:rFonts w:hint="cs"/>
                <w:sz w:val="16"/>
                <w:szCs w:val="16"/>
                <w:rtl/>
              </w:rPr>
              <w:t>[ פרט ]</w:t>
            </w:r>
          </w:p>
        </w:tc>
        <w:tc>
          <w:tcPr>
            <w:tcW w:w="567" w:type="dxa"/>
            <w:gridSpan w:val="2"/>
            <w:tcBorders>
              <w:top w:val="single" w:sz="4" w:space="0" w:color="auto"/>
              <w:left w:val="nil"/>
              <w:bottom w:val="single" w:sz="4" w:space="0" w:color="auto"/>
              <w:right w:val="nil"/>
            </w:tcBorders>
          </w:tcPr>
          <w:p w14:paraId="7B59544F" w14:textId="72EE90D4" w:rsidR="00FA0B52" w:rsidRPr="00863250" w:rsidRDefault="00FA0B52" w:rsidP="00FA0B52">
            <w:pPr>
              <w:spacing w:line="264" w:lineRule="auto"/>
              <w:jc w:val="left"/>
              <w:rPr>
                <w:sz w:val="16"/>
                <w:szCs w:val="16"/>
                <w:rtl/>
              </w:rPr>
            </w:pPr>
            <w:r w:rsidRPr="00863250">
              <w:rPr>
                <w:rFonts w:hint="cs"/>
                <w:b/>
                <w:bCs/>
                <w:sz w:val="18"/>
                <w:szCs w:val="18"/>
                <w:rtl/>
              </w:rPr>
              <w:t xml:space="preserve"> 0</w:t>
            </w:r>
          </w:p>
        </w:tc>
        <w:tc>
          <w:tcPr>
            <w:tcW w:w="850" w:type="dxa"/>
            <w:gridSpan w:val="2"/>
            <w:tcBorders>
              <w:top w:val="nil"/>
              <w:left w:val="nil"/>
              <w:bottom w:val="nil"/>
              <w:right w:val="nil"/>
            </w:tcBorders>
          </w:tcPr>
          <w:p w14:paraId="2D044912" w14:textId="45370A21" w:rsidR="00FA0B52" w:rsidRPr="00863250" w:rsidRDefault="00FA0B52" w:rsidP="00FA0B52">
            <w:pPr>
              <w:spacing w:line="264" w:lineRule="auto"/>
              <w:jc w:val="left"/>
              <w:rPr>
                <w:sz w:val="16"/>
                <w:szCs w:val="16"/>
                <w:rtl/>
              </w:rPr>
            </w:pPr>
            <w:r w:rsidRPr="00863250">
              <w:rPr>
                <w:rFonts w:hint="cs"/>
                <w:sz w:val="16"/>
                <w:szCs w:val="16"/>
                <w:rtl/>
              </w:rPr>
              <w:t>[ פרט ]</w:t>
            </w:r>
          </w:p>
        </w:tc>
        <w:tc>
          <w:tcPr>
            <w:tcW w:w="993" w:type="dxa"/>
            <w:gridSpan w:val="3"/>
            <w:tcBorders>
              <w:top w:val="nil"/>
              <w:left w:val="nil"/>
              <w:bottom w:val="nil"/>
              <w:right w:val="nil"/>
            </w:tcBorders>
          </w:tcPr>
          <w:p w14:paraId="18740072" w14:textId="6B8C6A3A" w:rsidR="00FA0B52" w:rsidRPr="00863250" w:rsidRDefault="00FA0B52" w:rsidP="00FA0B52">
            <w:pPr>
              <w:spacing w:line="264" w:lineRule="auto"/>
              <w:jc w:val="left"/>
              <w:rPr>
                <w:sz w:val="16"/>
                <w:szCs w:val="16"/>
                <w:rtl/>
              </w:rPr>
            </w:pPr>
            <w:r w:rsidRPr="00863250">
              <w:rPr>
                <w:rFonts w:hint="cs"/>
                <w:sz w:val="16"/>
                <w:szCs w:val="16"/>
                <w:rtl/>
              </w:rPr>
              <w:t>[ פרט ]</w:t>
            </w:r>
          </w:p>
        </w:tc>
      </w:tr>
      <w:tr w:rsidR="00770120" w:rsidRPr="00863250" w14:paraId="4EAB48E1" w14:textId="3541E524" w:rsidTr="00770120">
        <w:trPr>
          <w:gridAfter w:val="1"/>
          <w:wAfter w:w="25" w:type="dxa"/>
          <w:trHeight w:val="259"/>
        </w:trPr>
        <w:tc>
          <w:tcPr>
            <w:tcW w:w="2640" w:type="dxa"/>
            <w:tcBorders>
              <w:top w:val="single" w:sz="4" w:space="0" w:color="auto"/>
              <w:left w:val="nil"/>
              <w:bottom w:val="nil"/>
              <w:right w:val="nil"/>
            </w:tcBorders>
            <w:shd w:val="clear" w:color="auto" w:fill="auto"/>
          </w:tcPr>
          <w:p w14:paraId="7568A593" w14:textId="77777777" w:rsidR="00FA0B52" w:rsidRPr="00217A8C" w:rsidRDefault="00FA0B52" w:rsidP="00FA0B52">
            <w:pPr>
              <w:spacing w:line="264" w:lineRule="auto"/>
              <w:jc w:val="left"/>
              <w:rPr>
                <w:b/>
                <w:bCs/>
                <w:color w:val="000000"/>
                <w:sz w:val="19"/>
                <w:szCs w:val="19"/>
                <w:u w:val="single"/>
                <w:rtl/>
                <w:lang w:eastAsia="he-IL"/>
              </w:rPr>
            </w:pPr>
            <w:r w:rsidRPr="00217A8C">
              <w:rPr>
                <w:rFonts w:hint="cs"/>
                <w:b/>
                <w:bCs/>
                <w:color w:val="000000"/>
                <w:sz w:val="19"/>
                <w:szCs w:val="19"/>
                <w:u w:val="single"/>
                <w:rtl/>
                <w:lang w:eastAsia="he-IL"/>
              </w:rPr>
              <w:t xml:space="preserve">התחייבויות </w:t>
            </w:r>
          </w:p>
        </w:tc>
        <w:tc>
          <w:tcPr>
            <w:tcW w:w="1556" w:type="dxa"/>
            <w:gridSpan w:val="2"/>
            <w:tcBorders>
              <w:top w:val="single" w:sz="4" w:space="0" w:color="auto"/>
              <w:left w:val="nil"/>
              <w:bottom w:val="nil"/>
              <w:right w:val="nil"/>
            </w:tcBorders>
          </w:tcPr>
          <w:p w14:paraId="33053C0A" w14:textId="77777777" w:rsidR="00FA0B52" w:rsidRPr="00863250" w:rsidRDefault="00FA0B52" w:rsidP="00FA0B52">
            <w:pPr>
              <w:spacing w:line="264" w:lineRule="auto"/>
              <w:ind w:left="97" w:hanging="57"/>
              <w:jc w:val="left"/>
              <w:rPr>
                <w:sz w:val="16"/>
                <w:szCs w:val="16"/>
                <w:rtl/>
              </w:rPr>
            </w:pPr>
          </w:p>
        </w:tc>
        <w:tc>
          <w:tcPr>
            <w:tcW w:w="1701" w:type="dxa"/>
            <w:gridSpan w:val="2"/>
            <w:tcBorders>
              <w:top w:val="single" w:sz="4" w:space="0" w:color="auto"/>
              <w:left w:val="nil"/>
              <w:bottom w:val="nil"/>
              <w:right w:val="nil"/>
            </w:tcBorders>
          </w:tcPr>
          <w:p w14:paraId="6ADD0B9F" w14:textId="77777777" w:rsidR="00FA0B52" w:rsidRPr="00863250" w:rsidRDefault="00FA0B52" w:rsidP="00FA0B52">
            <w:pPr>
              <w:spacing w:line="264" w:lineRule="auto"/>
              <w:ind w:left="124" w:hanging="113"/>
              <w:jc w:val="left"/>
              <w:rPr>
                <w:sz w:val="16"/>
                <w:szCs w:val="16"/>
                <w:rtl/>
              </w:rPr>
            </w:pPr>
          </w:p>
        </w:tc>
        <w:tc>
          <w:tcPr>
            <w:tcW w:w="567" w:type="dxa"/>
            <w:gridSpan w:val="2"/>
            <w:tcBorders>
              <w:top w:val="single" w:sz="4" w:space="0" w:color="auto"/>
              <w:left w:val="nil"/>
              <w:bottom w:val="nil"/>
              <w:right w:val="nil"/>
            </w:tcBorders>
          </w:tcPr>
          <w:p w14:paraId="2B755D26" w14:textId="77777777" w:rsidR="00FA0B52" w:rsidRPr="00863250" w:rsidRDefault="00FA0B52" w:rsidP="00FA0B52">
            <w:pPr>
              <w:spacing w:line="264" w:lineRule="auto"/>
              <w:jc w:val="left"/>
              <w:rPr>
                <w:sz w:val="16"/>
                <w:szCs w:val="16"/>
                <w:rtl/>
              </w:rPr>
            </w:pPr>
          </w:p>
        </w:tc>
        <w:tc>
          <w:tcPr>
            <w:tcW w:w="851" w:type="dxa"/>
            <w:gridSpan w:val="2"/>
            <w:tcBorders>
              <w:top w:val="single" w:sz="4" w:space="0" w:color="auto"/>
              <w:left w:val="nil"/>
              <w:bottom w:val="nil"/>
              <w:right w:val="nil"/>
            </w:tcBorders>
          </w:tcPr>
          <w:p w14:paraId="3D13B13F" w14:textId="4A39EE3C" w:rsidR="00FA0B52" w:rsidRPr="00863250" w:rsidRDefault="00FA0B52" w:rsidP="00FA0B52">
            <w:pPr>
              <w:spacing w:line="264" w:lineRule="auto"/>
              <w:jc w:val="left"/>
              <w:rPr>
                <w:sz w:val="16"/>
                <w:szCs w:val="16"/>
                <w:rtl/>
              </w:rPr>
            </w:pPr>
          </w:p>
        </w:tc>
        <w:tc>
          <w:tcPr>
            <w:tcW w:w="992" w:type="dxa"/>
            <w:gridSpan w:val="2"/>
            <w:tcBorders>
              <w:top w:val="single" w:sz="4" w:space="0" w:color="auto"/>
              <w:left w:val="nil"/>
              <w:bottom w:val="nil"/>
              <w:right w:val="nil"/>
            </w:tcBorders>
          </w:tcPr>
          <w:p w14:paraId="378399AD" w14:textId="77777777" w:rsidR="00FA0B52" w:rsidRPr="00863250" w:rsidRDefault="00FA0B52" w:rsidP="00FA0B52">
            <w:pPr>
              <w:spacing w:line="264" w:lineRule="auto"/>
              <w:jc w:val="left"/>
              <w:rPr>
                <w:sz w:val="16"/>
                <w:szCs w:val="16"/>
                <w:rtl/>
              </w:rPr>
            </w:pPr>
          </w:p>
        </w:tc>
        <w:tc>
          <w:tcPr>
            <w:tcW w:w="853" w:type="dxa"/>
            <w:gridSpan w:val="2"/>
            <w:tcBorders>
              <w:top w:val="single" w:sz="4" w:space="0" w:color="auto"/>
              <w:left w:val="nil"/>
              <w:bottom w:val="nil"/>
              <w:right w:val="nil"/>
            </w:tcBorders>
          </w:tcPr>
          <w:p w14:paraId="265D8389" w14:textId="77777777" w:rsidR="00FA0B52" w:rsidRPr="00863250" w:rsidRDefault="00FA0B52" w:rsidP="00FA0B52">
            <w:pPr>
              <w:spacing w:line="264" w:lineRule="auto"/>
              <w:jc w:val="left"/>
              <w:rPr>
                <w:sz w:val="16"/>
                <w:szCs w:val="16"/>
                <w:rtl/>
              </w:rPr>
            </w:pPr>
          </w:p>
        </w:tc>
        <w:tc>
          <w:tcPr>
            <w:tcW w:w="848" w:type="dxa"/>
            <w:gridSpan w:val="2"/>
            <w:tcBorders>
              <w:top w:val="single" w:sz="4" w:space="0" w:color="auto"/>
              <w:left w:val="nil"/>
              <w:bottom w:val="nil"/>
              <w:right w:val="nil"/>
            </w:tcBorders>
          </w:tcPr>
          <w:p w14:paraId="6C8BF370" w14:textId="77777777" w:rsidR="00FA0B52" w:rsidRPr="00863250" w:rsidRDefault="00FA0B52" w:rsidP="00FA0B52">
            <w:pPr>
              <w:spacing w:line="264" w:lineRule="auto"/>
              <w:jc w:val="left"/>
              <w:rPr>
                <w:sz w:val="16"/>
                <w:szCs w:val="16"/>
                <w:rtl/>
              </w:rPr>
            </w:pPr>
          </w:p>
        </w:tc>
        <w:tc>
          <w:tcPr>
            <w:tcW w:w="1134" w:type="dxa"/>
            <w:gridSpan w:val="2"/>
            <w:tcBorders>
              <w:top w:val="single" w:sz="4" w:space="0" w:color="auto"/>
              <w:left w:val="nil"/>
              <w:bottom w:val="nil"/>
              <w:right w:val="nil"/>
            </w:tcBorders>
          </w:tcPr>
          <w:p w14:paraId="5006F344" w14:textId="77777777" w:rsidR="00FA0B52" w:rsidRPr="00863250" w:rsidRDefault="00FA0B52" w:rsidP="00FA0B52">
            <w:pPr>
              <w:spacing w:line="264" w:lineRule="auto"/>
              <w:jc w:val="left"/>
              <w:rPr>
                <w:sz w:val="16"/>
                <w:szCs w:val="16"/>
                <w:rtl/>
              </w:rPr>
            </w:pPr>
          </w:p>
        </w:tc>
        <w:tc>
          <w:tcPr>
            <w:tcW w:w="567" w:type="dxa"/>
            <w:gridSpan w:val="2"/>
            <w:tcBorders>
              <w:top w:val="single" w:sz="4" w:space="0" w:color="auto"/>
              <w:left w:val="nil"/>
              <w:bottom w:val="nil"/>
              <w:right w:val="nil"/>
            </w:tcBorders>
          </w:tcPr>
          <w:p w14:paraId="3C0053BF" w14:textId="77777777" w:rsidR="00FA0B52" w:rsidRPr="00863250" w:rsidRDefault="00FA0B52" w:rsidP="00FA0B52">
            <w:pPr>
              <w:spacing w:line="264" w:lineRule="auto"/>
              <w:jc w:val="left"/>
              <w:rPr>
                <w:sz w:val="16"/>
                <w:szCs w:val="16"/>
                <w:rtl/>
              </w:rPr>
            </w:pPr>
          </w:p>
        </w:tc>
        <w:tc>
          <w:tcPr>
            <w:tcW w:w="850" w:type="dxa"/>
            <w:gridSpan w:val="2"/>
            <w:tcBorders>
              <w:top w:val="single" w:sz="4" w:space="0" w:color="auto"/>
              <w:left w:val="nil"/>
              <w:bottom w:val="nil"/>
              <w:right w:val="nil"/>
            </w:tcBorders>
          </w:tcPr>
          <w:p w14:paraId="73998CAB" w14:textId="77777777" w:rsidR="00FA0B52" w:rsidRPr="00863250" w:rsidRDefault="00FA0B52" w:rsidP="00FA0B52">
            <w:pPr>
              <w:spacing w:line="264" w:lineRule="auto"/>
              <w:jc w:val="left"/>
              <w:rPr>
                <w:sz w:val="16"/>
                <w:szCs w:val="16"/>
                <w:rtl/>
              </w:rPr>
            </w:pPr>
          </w:p>
        </w:tc>
        <w:tc>
          <w:tcPr>
            <w:tcW w:w="993" w:type="dxa"/>
            <w:gridSpan w:val="3"/>
            <w:tcBorders>
              <w:top w:val="single" w:sz="4" w:space="0" w:color="auto"/>
              <w:left w:val="nil"/>
              <w:bottom w:val="nil"/>
              <w:right w:val="nil"/>
            </w:tcBorders>
          </w:tcPr>
          <w:p w14:paraId="64B6647F" w14:textId="77777777" w:rsidR="00FA0B52" w:rsidRPr="00863250" w:rsidRDefault="00FA0B52" w:rsidP="00FA0B52">
            <w:pPr>
              <w:spacing w:line="264" w:lineRule="auto"/>
              <w:jc w:val="left"/>
              <w:rPr>
                <w:sz w:val="16"/>
                <w:szCs w:val="16"/>
                <w:rtl/>
              </w:rPr>
            </w:pPr>
          </w:p>
        </w:tc>
      </w:tr>
      <w:tr w:rsidR="00770120" w:rsidRPr="00863250" w14:paraId="4A469EDB" w14:textId="443A3706" w:rsidTr="00770120">
        <w:trPr>
          <w:gridAfter w:val="1"/>
          <w:wAfter w:w="25" w:type="dxa"/>
          <w:trHeight w:val="224"/>
        </w:trPr>
        <w:tc>
          <w:tcPr>
            <w:tcW w:w="2640" w:type="dxa"/>
            <w:tcBorders>
              <w:top w:val="nil"/>
              <w:left w:val="nil"/>
              <w:bottom w:val="single" w:sz="4" w:space="0" w:color="auto"/>
              <w:right w:val="nil"/>
            </w:tcBorders>
            <w:shd w:val="clear" w:color="auto" w:fill="auto"/>
          </w:tcPr>
          <w:p w14:paraId="5656A781" w14:textId="18EA654E" w:rsidR="00FA0B52" w:rsidRPr="00863250" w:rsidRDefault="00FA0B52" w:rsidP="00FA0B52">
            <w:pPr>
              <w:spacing w:line="264" w:lineRule="auto"/>
              <w:ind w:left="144" w:hanging="144"/>
              <w:jc w:val="left"/>
              <w:rPr>
                <w:color w:val="000000"/>
                <w:sz w:val="18"/>
                <w:szCs w:val="18"/>
                <w:rtl/>
                <w:lang w:eastAsia="he-IL"/>
              </w:rPr>
            </w:pPr>
            <w:r w:rsidRPr="00F604DF">
              <w:rPr>
                <w:rFonts w:hint="cs"/>
                <w:color w:val="000000"/>
                <w:sz w:val="18"/>
                <w:szCs w:val="18"/>
                <w:rtl/>
                <w:lang w:eastAsia="he-IL"/>
              </w:rPr>
              <w:t xml:space="preserve">התחייבויות </w:t>
            </w:r>
            <w:r w:rsidRPr="00F604DF">
              <w:rPr>
                <w:color w:val="000000"/>
                <w:sz w:val="18"/>
                <w:szCs w:val="18"/>
                <w:rtl/>
                <w:lang w:eastAsia="he-IL"/>
              </w:rPr>
              <w:t>בגין מכשירים נגזרים</w:t>
            </w:r>
            <w:r>
              <w:rPr>
                <w:rFonts w:hint="cs"/>
                <w:color w:val="000000"/>
                <w:sz w:val="18"/>
                <w:szCs w:val="18"/>
                <w:vertAlign w:val="superscript"/>
                <w:rtl/>
                <w:lang w:eastAsia="he-IL"/>
              </w:rPr>
              <w:t xml:space="preserve"> </w:t>
            </w:r>
            <w:r w:rsidRPr="00FA0B52">
              <w:rPr>
                <w:rFonts w:hint="cs"/>
                <w:color w:val="000000"/>
                <w:sz w:val="18"/>
                <w:szCs w:val="18"/>
                <w:vertAlign w:val="superscript"/>
                <w:rtl/>
                <w:lang w:eastAsia="he-IL"/>
              </w:rPr>
              <w:t>[4]</w:t>
            </w:r>
          </w:p>
        </w:tc>
        <w:tc>
          <w:tcPr>
            <w:tcW w:w="1556" w:type="dxa"/>
            <w:gridSpan w:val="2"/>
            <w:tcBorders>
              <w:top w:val="nil"/>
              <w:left w:val="nil"/>
              <w:bottom w:val="single" w:sz="4" w:space="0" w:color="auto"/>
              <w:right w:val="nil"/>
            </w:tcBorders>
          </w:tcPr>
          <w:p w14:paraId="1A6ACFC5" w14:textId="77777777" w:rsidR="00FA0B52" w:rsidRPr="00863250" w:rsidRDefault="00FA0B52" w:rsidP="00FA0B52">
            <w:pPr>
              <w:spacing w:line="264" w:lineRule="auto"/>
              <w:ind w:left="97" w:hanging="57"/>
              <w:jc w:val="left"/>
              <w:rPr>
                <w:sz w:val="16"/>
                <w:szCs w:val="16"/>
                <w:rtl/>
              </w:rPr>
            </w:pPr>
            <w:r w:rsidRPr="00863250">
              <w:rPr>
                <w:rFonts w:hint="cs"/>
                <w:sz w:val="16"/>
                <w:szCs w:val="16"/>
                <w:rtl/>
              </w:rPr>
              <w:t>[ פרט ]</w:t>
            </w:r>
          </w:p>
        </w:tc>
        <w:tc>
          <w:tcPr>
            <w:tcW w:w="1701" w:type="dxa"/>
            <w:gridSpan w:val="2"/>
            <w:tcBorders>
              <w:top w:val="nil"/>
              <w:left w:val="nil"/>
              <w:bottom w:val="single" w:sz="4" w:space="0" w:color="auto"/>
              <w:right w:val="nil"/>
            </w:tcBorders>
          </w:tcPr>
          <w:p w14:paraId="0EB17D6E" w14:textId="77777777" w:rsidR="00FA0B52" w:rsidRPr="00863250" w:rsidRDefault="00FA0B52" w:rsidP="00FA0B52">
            <w:pPr>
              <w:spacing w:line="264" w:lineRule="auto"/>
              <w:ind w:left="124" w:hanging="113"/>
              <w:jc w:val="left"/>
              <w:rPr>
                <w:sz w:val="16"/>
                <w:szCs w:val="16"/>
                <w:rtl/>
              </w:rPr>
            </w:pPr>
            <w:r w:rsidRPr="00863250">
              <w:rPr>
                <w:rFonts w:hint="cs"/>
                <w:sz w:val="16"/>
                <w:szCs w:val="16"/>
                <w:rtl/>
              </w:rPr>
              <w:t>[ פרט ]</w:t>
            </w:r>
          </w:p>
        </w:tc>
        <w:tc>
          <w:tcPr>
            <w:tcW w:w="567" w:type="dxa"/>
            <w:gridSpan w:val="2"/>
            <w:tcBorders>
              <w:top w:val="nil"/>
              <w:left w:val="nil"/>
              <w:bottom w:val="single" w:sz="4" w:space="0" w:color="auto"/>
              <w:right w:val="nil"/>
            </w:tcBorders>
          </w:tcPr>
          <w:p w14:paraId="55CC7838" w14:textId="30515C16" w:rsidR="00FA0B52" w:rsidRPr="00863250" w:rsidRDefault="00FA0B52" w:rsidP="00FA0B52">
            <w:pPr>
              <w:spacing w:line="264" w:lineRule="auto"/>
              <w:jc w:val="left"/>
              <w:rPr>
                <w:sz w:val="16"/>
                <w:szCs w:val="16"/>
                <w:rtl/>
              </w:rPr>
            </w:pPr>
            <w:r w:rsidRPr="00863250">
              <w:rPr>
                <w:rFonts w:hint="cs"/>
                <w:b/>
                <w:bCs/>
                <w:sz w:val="16"/>
                <w:szCs w:val="16"/>
                <w:rtl/>
              </w:rPr>
              <w:t xml:space="preserve"> 0</w:t>
            </w:r>
            <w:r w:rsidRPr="00863250">
              <w:rPr>
                <w:rFonts w:hint="cs"/>
                <w:b/>
                <w:bCs/>
                <w:sz w:val="18"/>
                <w:szCs w:val="18"/>
                <w:rtl/>
              </w:rPr>
              <w:t xml:space="preserve">  </w:t>
            </w:r>
          </w:p>
        </w:tc>
        <w:tc>
          <w:tcPr>
            <w:tcW w:w="851" w:type="dxa"/>
            <w:gridSpan w:val="2"/>
            <w:tcBorders>
              <w:top w:val="nil"/>
              <w:left w:val="nil"/>
              <w:bottom w:val="single" w:sz="4" w:space="0" w:color="auto"/>
              <w:right w:val="nil"/>
            </w:tcBorders>
          </w:tcPr>
          <w:p w14:paraId="4A2595AA" w14:textId="50833D1E" w:rsidR="00FA0B52" w:rsidRPr="00863250" w:rsidRDefault="00FA0B52" w:rsidP="00FA0B52">
            <w:pPr>
              <w:spacing w:line="264" w:lineRule="auto"/>
              <w:jc w:val="left"/>
              <w:rPr>
                <w:sz w:val="16"/>
                <w:szCs w:val="16"/>
                <w:rtl/>
              </w:rPr>
            </w:pPr>
            <w:r w:rsidRPr="00863250">
              <w:rPr>
                <w:rFonts w:hint="cs"/>
                <w:sz w:val="16"/>
                <w:szCs w:val="16"/>
                <w:rtl/>
              </w:rPr>
              <w:t>[ פרט ]</w:t>
            </w:r>
          </w:p>
        </w:tc>
        <w:tc>
          <w:tcPr>
            <w:tcW w:w="992" w:type="dxa"/>
            <w:gridSpan w:val="2"/>
            <w:tcBorders>
              <w:top w:val="nil"/>
              <w:left w:val="nil"/>
              <w:bottom w:val="single" w:sz="4" w:space="0" w:color="auto"/>
              <w:right w:val="nil"/>
            </w:tcBorders>
          </w:tcPr>
          <w:p w14:paraId="1EEB7726" w14:textId="77777777" w:rsidR="00FA0B52" w:rsidRPr="00863250" w:rsidRDefault="00FA0B52" w:rsidP="00FA0B52">
            <w:pPr>
              <w:spacing w:line="264" w:lineRule="auto"/>
              <w:jc w:val="left"/>
              <w:rPr>
                <w:sz w:val="16"/>
                <w:szCs w:val="16"/>
                <w:rtl/>
              </w:rPr>
            </w:pPr>
            <w:r w:rsidRPr="00863250">
              <w:rPr>
                <w:rFonts w:hint="cs"/>
                <w:sz w:val="16"/>
                <w:szCs w:val="16"/>
                <w:rtl/>
              </w:rPr>
              <w:t>[ פרט ]</w:t>
            </w:r>
          </w:p>
        </w:tc>
        <w:tc>
          <w:tcPr>
            <w:tcW w:w="853" w:type="dxa"/>
            <w:gridSpan w:val="2"/>
            <w:tcBorders>
              <w:top w:val="nil"/>
              <w:left w:val="nil"/>
              <w:bottom w:val="single" w:sz="4" w:space="0" w:color="auto"/>
              <w:right w:val="nil"/>
            </w:tcBorders>
          </w:tcPr>
          <w:p w14:paraId="24283887" w14:textId="3ACBB22F" w:rsidR="00FA0B52" w:rsidRPr="00863250" w:rsidRDefault="00FA0B52" w:rsidP="00FA0B52">
            <w:pPr>
              <w:spacing w:line="264" w:lineRule="auto"/>
              <w:jc w:val="left"/>
              <w:rPr>
                <w:sz w:val="16"/>
                <w:szCs w:val="16"/>
                <w:rtl/>
              </w:rPr>
            </w:pPr>
            <w:r w:rsidRPr="00863250">
              <w:rPr>
                <w:rFonts w:hint="cs"/>
                <w:b/>
                <w:bCs/>
                <w:sz w:val="16"/>
                <w:szCs w:val="16"/>
                <w:rtl/>
              </w:rPr>
              <w:t xml:space="preserve"> 0</w:t>
            </w:r>
            <w:r w:rsidRPr="00863250">
              <w:rPr>
                <w:rFonts w:hint="cs"/>
                <w:b/>
                <w:bCs/>
                <w:sz w:val="18"/>
                <w:szCs w:val="18"/>
                <w:rtl/>
              </w:rPr>
              <w:t xml:space="preserve">  </w:t>
            </w:r>
          </w:p>
        </w:tc>
        <w:tc>
          <w:tcPr>
            <w:tcW w:w="848" w:type="dxa"/>
            <w:gridSpan w:val="2"/>
            <w:tcBorders>
              <w:top w:val="nil"/>
              <w:left w:val="nil"/>
              <w:bottom w:val="single" w:sz="4" w:space="0" w:color="auto"/>
              <w:right w:val="nil"/>
            </w:tcBorders>
          </w:tcPr>
          <w:p w14:paraId="360D677D" w14:textId="337F8E9D" w:rsidR="00FA0B52" w:rsidRPr="00863250" w:rsidRDefault="00FA0B52" w:rsidP="00FA0B52">
            <w:pPr>
              <w:spacing w:line="264" w:lineRule="auto"/>
              <w:jc w:val="left"/>
              <w:rPr>
                <w:sz w:val="16"/>
                <w:szCs w:val="16"/>
                <w:rtl/>
              </w:rPr>
            </w:pPr>
            <w:r w:rsidRPr="00863250">
              <w:rPr>
                <w:rFonts w:hint="cs"/>
                <w:sz w:val="16"/>
                <w:szCs w:val="16"/>
                <w:rtl/>
              </w:rPr>
              <w:t>[ פרט ]</w:t>
            </w:r>
          </w:p>
        </w:tc>
        <w:tc>
          <w:tcPr>
            <w:tcW w:w="1134" w:type="dxa"/>
            <w:gridSpan w:val="2"/>
            <w:tcBorders>
              <w:top w:val="nil"/>
              <w:left w:val="nil"/>
              <w:bottom w:val="single" w:sz="4" w:space="0" w:color="auto"/>
              <w:right w:val="nil"/>
            </w:tcBorders>
          </w:tcPr>
          <w:p w14:paraId="3B47F516" w14:textId="3F8EF933" w:rsidR="00FA0B52" w:rsidRPr="00863250" w:rsidRDefault="00FA0B52" w:rsidP="00FA0B52">
            <w:pPr>
              <w:spacing w:line="264" w:lineRule="auto"/>
              <w:jc w:val="left"/>
              <w:rPr>
                <w:sz w:val="16"/>
                <w:szCs w:val="16"/>
                <w:rtl/>
              </w:rPr>
            </w:pPr>
            <w:r w:rsidRPr="00863250">
              <w:rPr>
                <w:rFonts w:hint="cs"/>
                <w:sz w:val="16"/>
                <w:szCs w:val="16"/>
                <w:rtl/>
              </w:rPr>
              <w:t>[ פרט ]</w:t>
            </w:r>
          </w:p>
        </w:tc>
        <w:tc>
          <w:tcPr>
            <w:tcW w:w="567" w:type="dxa"/>
            <w:gridSpan w:val="2"/>
            <w:tcBorders>
              <w:top w:val="nil"/>
              <w:left w:val="nil"/>
              <w:bottom w:val="single" w:sz="4" w:space="0" w:color="auto"/>
              <w:right w:val="nil"/>
            </w:tcBorders>
          </w:tcPr>
          <w:p w14:paraId="085DC7AF" w14:textId="04D435E6" w:rsidR="00FA0B52" w:rsidRPr="00863250" w:rsidRDefault="00FA0B52" w:rsidP="00FA0B52">
            <w:pPr>
              <w:spacing w:line="264" w:lineRule="auto"/>
              <w:jc w:val="left"/>
              <w:rPr>
                <w:sz w:val="16"/>
                <w:szCs w:val="16"/>
                <w:rtl/>
              </w:rPr>
            </w:pPr>
            <w:r w:rsidRPr="00863250">
              <w:rPr>
                <w:rFonts w:hint="cs"/>
                <w:b/>
                <w:bCs/>
                <w:sz w:val="16"/>
                <w:szCs w:val="16"/>
                <w:rtl/>
              </w:rPr>
              <w:t xml:space="preserve"> 0</w:t>
            </w:r>
            <w:r w:rsidRPr="00863250">
              <w:rPr>
                <w:rFonts w:hint="cs"/>
                <w:b/>
                <w:bCs/>
                <w:sz w:val="18"/>
                <w:szCs w:val="18"/>
                <w:rtl/>
              </w:rPr>
              <w:t xml:space="preserve">  </w:t>
            </w:r>
          </w:p>
        </w:tc>
        <w:tc>
          <w:tcPr>
            <w:tcW w:w="850" w:type="dxa"/>
            <w:gridSpan w:val="2"/>
            <w:tcBorders>
              <w:top w:val="nil"/>
              <w:left w:val="nil"/>
              <w:bottom w:val="single" w:sz="4" w:space="0" w:color="auto"/>
              <w:right w:val="nil"/>
            </w:tcBorders>
          </w:tcPr>
          <w:p w14:paraId="10C24AA3" w14:textId="5C2471B9" w:rsidR="00FA0B52" w:rsidRPr="00863250" w:rsidRDefault="00FA0B52" w:rsidP="00FA0B52">
            <w:pPr>
              <w:spacing w:line="264" w:lineRule="auto"/>
              <w:jc w:val="left"/>
              <w:rPr>
                <w:sz w:val="16"/>
                <w:szCs w:val="16"/>
                <w:rtl/>
              </w:rPr>
            </w:pPr>
            <w:r w:rsidRPr="00863250">
              <w:rPr>
                <w:rFonts w:hint="cs"/>
                <w:sz w:val="16"/>
                <w:szCs w:val="16"/>
                <w:rtl/>
              </w:rPr>
              <w:t>[ פרט ]</w:t>
            </w:r>
          </w:p>
        </w:tc>
        <w:tc>
          <w:tcPr>
            <w:tcW w:w="993" w:type="dxa"/>
            <w:gridSpan w:val="3"/>
            <w:tcBorders>
              <w:top w:val="nil"/>
              <w:left w:val="nil"/>
              <w:bottom w:val="single" w:sz="4" w:space="0" w:color="auto"/>
              <w:right w:val="nil"/>
            </w:tcBorders>
          </w:tcPr>
          <w:p w14:paraId="08B5FC53" w14:textId="7D2BB6BF" w:rsidR="00FA0B52" w:rsidRPr="00863250" w:rsidRDefault="00FA0B52" w:rsidP="00FA0B52">
            <w:pPr>
              <w:spacing w:line="264" w:lineRule="auto"/>
              <w:jc w:val="left"/>
              <w:rPr>
                <w:sz w:val="16"/>
                <w:szCs w:val="16"/>
                <w:rtl/>
              </w:rPr>
            </w:pPr>
            <w:r w:rsidRPr="00863250">
              <w:rPr>
                <w:rFonts w:hint="cs"/>
                <w:sz w:val="16"/>
                <w:szCs w:val="16"/>
                <w:rtl/>
              </w:rPr>
              <w:t>[ פרט ]</w:t>
            </w:r>
          </w:p>
        </w:tc>
      </w:tr>
      <w:tr w:rsidR="00883AA6" w:rsidRPr="00863250" w14:paraId="5DD5438C" w14:textId="489DBCF7" w:rsidTr="00770120">
        <w:trPr>
          <w:gridAfter w:val="1"/>
          <w:wAfter w:w="25" w:type="dxa"/>
          <w:trHeight w:val="259"/>
        </w:trPr>
        <w:tc>
          <w:tcPr>
            <w:tcW w:w="2640" w:type="dxa"/>
            <w:tcBorders>
              <w:top w:val="single" w:sz="4" w:space="0" w:color="auto"/>
              <w:left w:val="nil"/>
              <w:bottom w:val="nil"/>
              <w:right w:val="nil"/>
            </w:tcBorders>
            <w:shd w:val="clear" w:color="auto" w:fill="auto"/>
          </w:tcPr>
          <w:p w14:paraId="1A1BB17C" w14:textId="3ECB945E" w:rsidR="00FA0B52" w:rsidRPr="00FA0B52" w:rsidRDefault="00FA0B52" w:rsidP="00FA0B52">
            <w:pPr>
              <w:spacing w:line="264" w:lineRule="auto"/>
              <w:ind w:left="144" w:hanging="144"/>
              <w:jc w:val="left"/>
              <w:rPr>
                <w:color w:val="000000"/>
                <w:sz w:val="16"/>
                <w:szCs w:val="16"/>
                <w:rtl/>
                <w:lang w:eastAsia="he-IL"/>
              </w:rPr>
            </w:pPr>
            <w:r w:rsidRPr="00FA0B52">
              <w:rPr>
                <w:color w:val="000000"/>
                <w:sz w:val="18"/>
                <w:szCs w:val="18"/>
                <w:rtl/>
                <w:lang w:eastAsia="he-IL"/>
              </w:rPr>
              <w:t xml:space="preserve">אחר </w:t>
            </w:r>
            <w:r>
              <w:rPr>
                <w:rFonts w:hint="cs"/>
                <w:color w:val="000000"/>
                <w:sz w:val="18"/>
                <w:szCs w:val="18"/>
                <w:rtl/>
                <w:lang w:eastAsia="he-IL"/>
              </w:rPr>
              <w:t>[</w:t>
            </w:r>
            <w:r w:rsidRPr="00FA0B52">
              <w:rPr>
                <w:color w:val="000000"/>
                <w:sz w:val="18"/>
                <w:szCs w:val="18"/>
                <w:rtl/>
                <w:lang w:eastAsia="he-IL"/>
              </w:rPr>
              <w:t>פרט אם מהותי</w:t>
            </w:r>
            <w:r>
              <w:rPr>
                <w:rFonts w:hint="cs"/>
                <w:color w:val="000000"/>
                <w:sz w:val="18"/>
                <w:szCs w:val="18"/>
                <w:rtl/>
                <w:lang w:eastAsia="he-IL"/>
              </w:rPr>
              <w:t>]</w:t>
            </w:r>
          </w:p>
        </w:tc>
        <w:tc>
          <w:tcPr>
            <w:tcW w:w="1556" w:type="dxa"/>
            <w:gridSpan w:val="2"/>
            <w:tcBorders>
              <w:top w:val="single" w:sz="4" w:space="0" w:color="auto"/>
              <w:left w:val="nil"/>
              <w:bottom w:val="nil"/>
              <w:right w:val="nil"/>
            </w:tcBorders>
          </w:tcPr>
          <w:p w14:paraId="1D8A2578" w14:textId="39F7E044" w:rsidR="00FA0B52" w:rsidRPr="00863250" w:rsidRDefault="00FA0B52" w:rsidP="00FA0B52">
            <w:pPr>
              <w:spacing w:line="264" w:lineRule="auto"/>
              <w:ind w:left="97" w:hanging="57"/>
              <w:jc w:val="left"/>
              <w:rPr>
                <w:sz w:val="16"/>
                <w:szCs w:val="16"/>
                <w:rtl/>
              </w:rPr>
            </w:pPr>
            <w:r w:rsidRPr="00863250">
              <w:rPr>
                <w:rFonts w:hint="cs"/>
                <w:sz w:val="16"/>
                <w:szCs w:val="16"/>
                <w:rtl/>
              </w:rPr>
              <w:t>[ פרט ]</w:t>
            </w:r>
          </w:p>
        </w:tc>
        <w:tc>
          <w:tcPr>
            <w:tcW w:w="1701" w:type="dxa"/>
            <w:gridSpan w:val="2"/>
            <w:tcBorders>
              <w:top w:val="single" w:sz="4" w:space="0" w:color="auto"/>
              <w:left w:val="nil"/>
              <w:bottom w:val="nil"/>
              <w:right w:val="nil"/>
            </w:tcBorders>
          </w:tcPr>
          <w:p w14:paraId="57CC4070" w14:textId="75636FEF" w:rsidR="00FA0B52" w:rsidRPr="00863250" w:rsidRDefault="00FA0B52" w:rsidP="00FA0B52">
            <w:pPr>
              <w:spacing w:line="264" w:lineRule="auto"/>
              <w:ind w:left="124" w:hanging="113"/>
              <w:jc w:val="left"/>
              <w:rPr>
                <w:sz w:val="16"/>
                <w:szCs w:val="16"/>
                <w:rtl/>
              </w:rPr>
            </w:pPr>
            <w:r w:rsidRPr="00863250">
              <w:rPr>
                <w:rFonts w:hint="cs"/>
                <w:sz w:val="16"/>
                <w:szCs w:val="16"/>
                <w:rtl/>
              </w:rPr>
              <w:t>[ פרט ]</w:t>
            </w:r>
          </w:p>
        </w:tc>
        <w:tc>
          <w:tcPr>
            <w:tcW w:w="567" w:type="dxa"/>
            <w:gridSpan w:val="2"/>
            <w:tcBorders>
              <w:top w:val="single" w:sz="4" w:space="0" w:color="auto"/>
              <w:left w:val="nil"/>
              <w:bottom w:val="nil"/>
              <w:right w:val="nil"/>
            </w:tcBorders>
          </w:tcPr>
          <w:p w14:paraId="77436B27" w14:textId="3C467642" w:rsidR="00FA0B52" w:rsidRPr="00863250" w:rsidRDefault="00FA0B52" w:rsidP="00FA0B52">
            <w:pPr>
              <w:spacing w:line="264" w:lineRule="auto"/>
              <w:jc w:val="left"/>
              <w:rPr>
                <w:sz w:val="16"/>
                <w:szCs w:val="16"/>
                <w:rtl/>
              </w:rPr>
            </w:pPr>
            <w:r>
              <w:rPr>
                <w:rFonts w:hint="cs"/>
                <w:b/>
                <w:bCs/>
                <w:sz w:val="16"/>
                <w:szCs w:val="16"/>
                <w:rtl/>
              </w:rPr>
              <w:t xml:space="preserve"> </w:t>
            </w:r>
            <w:r w:rsidRPr="00863250">
              <w:rPr>
                <w:rFonts w:hint="cs"/>
                <w:b/>
                <w:bCs/>
                <w:sz w:val="16"/>
                <w:szCs w:val="16"/>
                <w:rtl/>
              </w:rPr>
              <w:t>0</w:t>
            </w:r>
            <w:r w:rsidRPr="00863250">
              <w:rPr>
                <w:rFonts w:hint="cs"/>
                <w:b/>
                <w:bCs/>
                <w:sz w:val="18"/>
                <w:szCs w:val="18"/>
                <w:rtl/>
              </w:rPr>
              <w:t xml:space="preserve">  </w:t>
            </w:r>
          </w:p>
        </w:tc>
        <w:tc>
          <w:tcPr>
            <w:tcW w:w="851" w:type="dxa"/>
            <w:gridSpan w:val="2"/>
            <w:tcBorders>
              <w:top w:val="single" w:sz="4" w:space="0" w:color="auto"/>
              <w:left w:val="nil"/>
              <w:bottom w:val="nil"/>
              <w:right w:val="nil"/>
            </w:tcBorders>
          </w:tcPr>
          <w:p w14:paraId="51D0EC57" w14:textId="202CF1C2" w:rsidR="00FA0B52" w:rsidRPr="00863250" w:rsidRDefault="00FA0B52" w:rsidP="00FA0B52">
            <w:pPr>
              <w:spacing w:line="264" w:lineRule="auto"/>
              <w:jc w:val="left"/>
              <w:rPr>
                <w:sz w:val="16"/>
                <w:szCs w:val="16"/>
                <w:rtl/>
              </w:rPr>
            </w:pPr>
            <w:r w:rsidRPr="00863250">
              <w:rPr>
                <w:rFonts w:hint="cs"/>
                <w:sz w:val="16"/>
                <w:szCs w:val="16"/>
                <w:rtl/>
              </w:rPr>
              <w:t>[ פרט ]</w:t>
            </w:r>
          </w:p>
        </w:tc>
        <w:tc>
          <w:tcPr>
            <w:tcW w:w="992" w:type="dxa"/>
            <w:gridSpan w:val="2"/>
            <w:tcBorders>
              <w:top w:val="single" w:sz="4" w:space="0" w:color="auto"/>
              <w:left w:val="nil"/>
              <w:bottom w:val="nil"/>
              <w:right w:val="nil"/>
            </w:tcBorders>
          </w:tcPr>
          <w:p w14:paraId="5707B5C6" w14:textId="1F0E9B4A" w:rsidR="00FA0B52" w:rsidRPr="00863250" w:rsidRDefault="00FA0B52" w:rsidP="00FA0B52">
            <w:pPr>
              <w:spacing w:line="264" w:lineRule="auto"/>
              <w:jc w:val="left"/>
              <w:rPr>
                <w:sz w:val="16"/>
                <w:szCs w:val="16"/>
                <w:rtl/>
              </w:rPr>
            </w:pPr>
            <w:r w:rsidRPr="00863250">
              <w:rPr>
                <w:rFonts w:hint="cs"/>
                <w:sz w:val="16"/>
                <w:szCs w:val="16"/>
                <w:rtl/>
              </w:rPr>
              <w:t>[ פרט ]</w:t>
            </w:r>
          </w:p>
        </w:tc>
        <w:tc>
          <w:tcPr>
            <w:tcW w:w="853" w:type="dxa"/>
            <w:gridSpan w:val="2"/>
            <w:tcBorders>
              <w:top w:val="single" w:sz="4" w:space="0" w:color="auto"/>
              <w:left w:val="nil"/>
              <w:bottom w:val="nil"/>
              <w:right w:val="nil"/>
            </w:tcBorders>
          </w:tcPr>
          <w:p w14:paraId="4A505D6A" w14:textId="6AFADD09" w:rsidR="00FA0B52" w:rsidRPr="00863250" w:rsidRDefault="00FA0B52" w:rsidP="00FA0B52">
            <w:pPr>
              <w:spacing w:line="264" w:lineRule="auto"/>
              <w:jc w:val="left"/>
              <w:rPr>
                <w:sz w:val="16"/>
                <w:szCs w:val="16"/>
                <w:rtl/>
              </w:rPr>
            </w:pPr>
            <w:r>
              <w:rPr>
                <w:rFonts w:hint="cs"/>
                <w:b/>
                <w:bCs/>
                <w:sz w:val="16"/>
                <w:szCs w:val="16"/>
                <w:rtl/>
              </w:rPr>
              <w:t xml:space="preserve"> </w:t>
            </w:r>
            <w:r w:rsidRPr="00863250">
              <w:rPr>
                <w:rFonts w:hint="cs"/>
                <w:b/>
                <w:bCs/>
                <w:sz w:val="16"/>
                <w:szCs w:val="16"/>
                <w:rtl/>
              </w:rPr>
              <w:t>0</w:t>
            </w:r>
            <w:r w:rsidRPr="00863250">
              <w:rPr>
                <w:rFonts w:hint="cs"/>
                <w:b/>
                <w:bCs/>
                <w:sz w:val="18"/>
                <w:szCs w:val="18"/>
                <w:rtl/>
              </w:rPr>
              <w:t xml:space="preserve">  </w:t>
            </w:r>
          </w:p>
        </w:tc>
        <w:tc>
          <w:tcPr>
            <w:tcW w:w="848" w:type="dxa"/>
            <w:gridSpan w:val="2"/>
            <w:tcBorders>
              <w:top w:val="single" w:sz="4" w:space="0" w:color="auto"/>
              <w:left w:val="nil"/>
              <w:bottom w:val="nil"/>
              <w:right w:val="nil"/>
            </w:tcBorders>
          </w:tcPr>
          <w:p w14:paraId="081C8EA4" w14:textId="34FE955C" w:rsidR="00FA0B52" w:rsidRPr="00863250" w:rsidRDefault="00FA0B52" w:rsidP="00FA0B52">
            <w:pPr>
              <w:spacing w:line="264" w:lineRule="auto"/>
              <w:jc w:val="left"/>
              <w:rPr>
                <w:sz w:val="16"/>
                <w:szCs w:val="16"/>
                <w:rtl/>
              </w:rPr>
            </w:pPr>
            <w:r w:rsidRPr="00863250">
              <w:rPr>
                <w:rFonts w:hint="cs"/>
                <w:sz w:val="16"/>
                <w:szCs w:val="16"/>
                <w:rtl/>
              </w:rPr>
              <w:t>[ פרט ]</w:t>
            </w:r>
          </w:p>
        </w:tc>
        <w:tc>
          <w:tcPr>
            <w:tcW w:w="1134" w:type="dxa"/>
            <w:gridSpan w:val="2"/>
            <w:tcBorders>
              <w:top w:val="single" w:sz="4" w:space="0" w:color="auto"/>
              <w:left w:val="nil"/>
              <w:bottom w:val="nil"/>
              <w:right w:val="nil"/>
            </w:tcBorders>
          </w:tcPr>
          <w:p w14:paraId="4A98E8F8" w14:textId="25B4C443" w:rsidR="00FA0B52" w:rsidRPr="00863250" w:rsidRDefault="00FA0B52" w:rsidP="00FA0B52">
            <w:pPr>
              <w:spacing w:line="264" w:lineRule="auto"/>
              <w:jc w:val="left"/>
              <w:rPr>
                <w:sz w:val="16"/>
                <w:szCs w:val="16"/>
                <w:rtl/>
              </w:rPr>
            </w:pPr>
            <w:r w:rsidRPr="00863250">
              <w:rPr>
                <w:rFonts w:hint="cs"/>
                <w:sz w:val="16"/>
                <w:szCs w:val="16"/>
                <w:rtl/>
              </w:rPr>
              <w:t>[ פרט ]</w:t>
            </w:r>
          </w:p>
        </w:tc>
        <w:tc>
          <w:tcPr>
            <w:tcW w:w="567" w:type="dxa"/>
            <w:gridSpan w:val="2"/>
            <w:tcBorders>
              <w:top w:val="single" w:sz="4" w:space="0" w:color="auto"/>
              <w:left w:val="nil"/>
              <w:bottom w:val="nil"/>
              <w:right w:val="nil"/>
            </w:tcBorders>
          </w:tcPr>
          <w:p w14:paraId="66672E23" w14:textId="110EB6D9" w:rsidR="00FA0B52" w:rsidRPr="00863250" w:rsidRDefault="00FA0B52" w:rsidP="00FA0B52">
            <w:pPr>
              <w:spacing w:line="264" w:lineRule="auto"/>
              <w:jc w:val="left"/>
              <w:rPr>
                <w:sz w:val="16"/>
                <w:szCs w:val="16"/>
                <w:rtl/>
              </w:rPr>
            </w:pPr>
            <w:r>
              <w:rPr>
                <w:rFonts w:hint="cs"/>
                <w:b/>
                <w:bCs/>
                <w:sz w:val="16"/>
                <w:szCs w:val="16"/>
                <w:rtl/>
              </w:rPr>
              <w:t xml:space="preserve"> </w:t>
            </w:r>
            <w:r w:rsidRPr="00863250">
              <w:rPr>
                <w:rFonts w:hint="cs"/>
                <w:b/>
                <w:bCs/>
                <w:sz w:val="16"/>
                <w:szCs w:val="16"/>
                <w:rtl/>
              </w:rPr>
              <w:t>0</w:t>
            </w:r>
            <w:r w:rsidRPr="00863250">
              <w:rPr>
                <w:rFonts w:hint="cs"/>
                <w:b/>
                <w:bCs/>
                <w:sz w:val="18"/>
                <w:szCs w:val="18"/>
                <w:rtl/>
              </w:rPr>
              <w:t xml:space="preserve">  </w:t>
            </w:r>
          </w:p>
        </w:tc>
        <w:tc>
          <w:tcPr>
            <w:tcW w:w="850" w:type="dxa"/>
            <w:gridSpan w:val="2"/>
            <w:tcBorders>
              <w:top w:val="single" w:sz="4" w:space="0" w:color="auto"/>
              <w:left w:val="nil"/>
              <w:bottom w:val="nil"/>
              <w:right w:val="nil"/>
            </w:tcBorders>
          </w:tcPr>
          <w:p w14:paraId="1F61EFD3" w14:textId="7C89673D" w:rsidR="00FA0B52" w:rsidRPr="00863250" w:rsidRDefault="00FA0B52" w:rsidP="00FA0B52">
            <w:pPr>
              <w:spacing w:line="264" w:lineRule="auto"/>
              <w:jc w:val="left"/>
              <w:rPr>
                <w:sz w:val="16"/>
                <w:szCs w:val="16"/>
                <w:rtl/>
              </w:rPr>
            </w:pPr>
            <w:r w:rsidRPr="00863250">
              <w:rPr>
                <w:rFonts w:hint="cs"/>
                <w:sz w:val="16"/>
                <w:szCs w:val="16"/>
                <w:rtl/>
              </w:rPr>
              <w:t>[ פרט ]</w:t>
            </w:r>
          </w:p>
        </w:tc>
        <w:tc>
          <w:tcPr>
            <w:tcW w:w="993" w:type="dxa"/>
            <w:gridSpan w:val="3"/>
            <w:tcBorders>
              <w:top w:val="single" w:sz="4" w:space="0" w:color="auto"/>
              <w:left w:val="nil"/>
              <w:bottom w:val="nil"/>
              <w:right w:val="nil"/>
            </w:tcBorders>
          </w:tcPr>
          <w:p w14:paraId="0B3A35D7" w14:textId="3E4A8925" w:rsidR="00FA0B52" w:rsidRPr="00863250" w:rsidRDefault="00FA0B52" w:rsidP="00FA0B52">
            <w:pPr>
              <w:spacing w:line="264" w:lineRule="auto"/>
              <w:jc w:val="left"/>
              <w:rPr>
                <w:sz w:val="16"/>
                <w:szCs w:val="16"/>
                <w:rtl/>
              </w:rPr>
            </w:pPr>
            <w:r w:rsidRPr="00863250">
              <w:rPr>
                <w:rFonts w:hint="cs"/>
                <w:sz w:val="16"/>
                <w:szCs w:val="16"/>
                <w:rtl/>
              </w:rPr>
              <w:t>[ פרט ]</w:t>
            </w:r>
          </w:p>
        </w:tc>
      </w:tr>
      <w:tr w:rsidR="00883AA6" w:rsidRPr="00863250" w14:paraId="68E22BB3" w14:textId="77777777" w:rsidTr="00770120">
        <w:trPr>
          <w:gridAfter w:val="1"/>
          <w:wAfter w:w="25" w:type="dxa"/>
          <w:trHeight w:val="259"/>
        </w:trPr>
        <w:tc>
          <w:tcPr>
            <w:tcW w:w="2640" w:type="dxa"/>
            <w:tcBorders>
              <w:top w:val="nil"/>
              <w:left w:val="nil"/>
              <w:bottom w:val="nil"/>
              <w:right w:val="nil"/>
            </w:tcBorders>
            <w:shd w:val="clear" w:color="auto" w:fill="auto"/>
          </w:tcPr>
          <w:p w14:paraId="0C949585" w14:textId="77777777" w:rsidR="00883AA6" w:rsidRPr="00FA0B52" w:rsidRDefault="00883AA6" w:rsidP="00FA0B52">
            <w:pPr>
              <w:spacing w:line="264" w:lineRule="auto"/>
              <w:ind w:left="144" w:hanging="144"/>
              <w:jc w:val="left"/>
              <w:rPr>
                <w:color w:val="000000"/>
                <w:sz w:val="18"/>
                <w:szCs w:val="18"/>
                <w:rtl/>
                <w:lang w:eastAsia="he-IL"/>
              </w:rPr>
            </w:pPr>
          </w:p>
        </w:tc>
        <w:tc>
          <w:tcPr>
            <w:tcW w:w="1556" w:type="dxa"/>
            <w:gridSpan w:val="2"/>
            <w:tcBorders>
              <w:top w:val="nil"/>
              <w:left w:val="nil"/>
              <w:bottom w:val="nil"/>
              <w:right w:val="nil"/>
            </w:tcBorders>
          </w:tcPr>
          <w:p w14:paraId="3B38B6F4" w14:textId="77777777" w:rsidR="00883AA6" w:rsidRPr="00863250" w:rsidRDefault="00883AA6" w:rsidP="00FA0B52">
            <w:pPr>
              <w:spacing w:line="264" w:lineRule="auto"/>
              <w:ind w:left="97" w:hanging="57"/>
              <w:jc w:val="left"/>
              <w:rPr>
                <w:sz w:val="16"/>
                <w:szCs w:val="16"/>
                <w:rtl/>
              </w:rPr>
            </w:pPr>
          </w:p>
        </w:tc>
        <w:tc>
          <w:tcPr>
            <w:tcW w:w="1701" w:type="dxa"/>
            <w:gridSpan w:val="2"/>
            <w:tcBorders>
              <w:top w:val="nil"/>
              <w:left w:val="nil"/>
              <w:bottom w:val="nil"/>
              <w:right w:val="nil"/>
            </w:tcBorders>
          </w:tcPr>
          <w:p w14:paraId="09CF8BDB" w14:textId="77777777" w:rsidR="00883AA6" w:rsidRPr="00863250" w:rsidRDefault="00883AA6" w:rsidP="00FA0B52">
            <w:pPr>
              <w:spacing w:line="264" w:lineRule="auto"/>
              <w:ind w:left="124" w:hanging="113"/>
              <w:jc w:val="left"/>
              <w:rPr>
                <w:sz w:val="16"/>
                <w:szCs w:val="16"/>
                <w:rtl/>
              </w:rPr>
            </w:pPr>
          </w:p>
        </w:tc>
        <w:tc>
          <w:tcPr>
            <w:tcW w:w="567" w:type="dxa"/>
            <w:gridSpan w:val="2"/>
            <w:tcBorders>
              <w:top w:val="nil"/>
              <w:left w:val="nil"/>
              <w:bottom w:val="nil"/>
              <w:right w:val="nil"/>
            </w:tcBorders>
          </w:tcPr>
          <w:p w14:paraId="7A350288" w14:textId="77777777" w:rsidR="00883AA6" w:rsidRDefault="00883AA6" w:rsidP="00FA0B52">
            <w:pPr>
              <w:spacing w:line="264" w:lineRule="auto"/>
              <w:jc w:val="left"/>
              <w:rPr>
                <w:b/>
                <w:bCs/>
                <w:sz w:val="16"/>
                <w:szCs w:val="16"/>
                <w:rtl/>
              </w:rPr>
            </w:pPr>
          </w:p>
        </w:tc>
        <w:tc>
          <w:tcPr>
            <w:tcW w:w="851" w:type="dxa"/>
            <w:gridSpan w:val="2"/>
            <w:tcBorders>
              <w:top w:val="nil"/>
              <w:left w:val="nil"/>
              <w:bottom w:val="nil"/>
              <w:right w:val="nil"/>
            </w:tcBorders>
          </w:tcPr>
          <w:p w14:paraId="5EAF2187" w14:textId="77777777" w:rsidR="00883AA6" w:rsidRPr="00863250" w:rsidRDefault="00883AA6" w:rsidP="00FA0B52">
            <w:pPr>
              <w:spacing w:line="264" w:lineRule="auto"/>
              <w:jc w:val="left"/>
              <w:rPr>
                <w:sz w:val="16"/>
                <w:szCs w:val="16"/>
                <w:rtl/>
              </w:rPr>
            </w:pPr>
          </w:p>
        </w:tc>
        <w:tc>
          <w:tcPr>
            <w:tcW w:w="992" w:type="dxa"/>
            <w:gridSpan w:val="2"/>
            <w:tcBorders>
              <w:top w:val="nil"/>
              <w:left w:val="nil"/>
              <w:bottom w:val="nil"/>
              <w:right w:val="nil"/>
            </w:tcBorders>
          </w:tcPr>
          <w:p w14:paraId="7FA61746" w14:textId="77777777" w:rsidR="00883AA6" w:rsidRPr="00863250" w:rsidRDefault="00883AA6" w:rsidP="00FA0B52">
            <w:pPr>
              <w:spacing w:line="264" w:lineRule="auto"/>
              <w:jc w:val="left"/>
              <w:rPr>
                <w:sz w:val="16"/>
                <w:szCs w:val="16"/>
                <w:rtl/>
              </w:rPr>
            </w:pPr>
          </w:p>
        </w:tc>
        <w:tc>
          <w:tcPr>
            <w:tcW w:w="853" w:type="dxa"/>
            <w:gridSpan w:val="2"/>
            <w:tcBorders>
              <w:top w:val="nil"/>
              <w:left w:val="nil"/>
              <w:bottom w:val="nil"/>
              <w:right w:val="nil"/>
            </w:tcBorders>
          </w:tcPr>
          <w:p w14:paraId="21D7D377" w14:textId="77777777" w:rsidR="00883AA6" w:rsidRDefault="00883AA6" w:rsidP="00FA0B52">
            <w:pPr>
              <w:spacing w:line="264" w:lineRule="auto"/>
              <w:jc w:val="left"/>
              <w:rPr>
                <w:b/>
                <w:bCs/>
                <w:sz w:val="16"/>
                <w:szCs w:val="16"/>
                <w:rtl/>
              </w:rPr>
            </w:pPr>
          </w:p>
        </w:tc>
        <w:tc>
          <w:tcPr>
            <w:tcW w:w="848" w:type="dxa"/>
            <w:gridSpan w:val="2"/>
            <w:tcBorders>
              <w:top w:val="nil"/>
              <w:left w:val="nil"/>
              <w:bottom w:val="nil"/>
              <w:right w:val="nil"/>
            </w:tcBorders>
          </w:tcPr>
          <w:p w14:paraId="6FD83998" w14:textId="77777777" w:rsidR="00883AA6" w:rsidRPr="00863250" w:rsidRDefault="00883AA6" w:rsidP="00FA0B52">
            <w:pPr>
              <w:spacing w:line="264" w:lineRule="auto"/>
              <w:jc w:val="left"/>
              <w:rPr>
                <w:sz w:val="16"/>
                <w:szCs w:val="16"/>
                <w:rtl/>
              </w:rPr>
            </w:pPr>
          </w:p>
        </w:tc>
        <w:tc>
          <w:tcPr>
            <w:tcW w:w="1134" w:type="dxa"/>
            <w:gridSpan w:val="2"/>
            <w:tcBorders>
              <w:top w:val="nil"/>
              <w:left w:val="nil"/>
              <w:bottom w:val="nil"/>
              <w:right w:val="nil"/>
            </w:tcBorders>
          </w:tcPr>
          <w:p w14:paraId="5526735B" w14:textId="77777777" w:rsidR="00883AA6" w:rsidRPr="00863250" w:rsidRDefault="00883AA6" w:rsidP="00FA0B52">
            <w:pPr>
              <w:spacing w:line="264" w:lineRule="auto"/>
              <w:jc w:val="left"/>
              <w:rPr>
                <w:sz w:val="16"/>
                <w:szCs w:val="16"/>
                <w:rtl/>
              </w:rPr>
            </w:pPr>
          </w:p>
        </w:tc>
        <w:tc>
          <w:tcPr>
            <w:tcW w:w="567" w:type="dxa"/>
            <w:gridSpan w:val="2"/>
            <w:tcBorders>
              <w:top w:val="nil"/>
              <w:left w:val="nil"/>
              <w:bottom w:val="nil"/>
              <w:right w:val="nil"/>
            </w:tcBorders>
          </w:tcPr>
          <w:p w14:paraId="3F243CB4" w14:textId="77777777" w:rsidR="00883AA6" w:rsidRDefault="00883AA6" w:rsidP="00FA0B52">
            <w:pPr>
              <w:spacing w:line="264" w:lineRule="auto"/>
              <w:jc w:val="left"/>
              <w:rPr>
                <w:b/>
                <w:bCs/>
                <w:sz w:val="16"/>
                <w:szCs w:val="16"/>
                <w:rtl/>
              </w:rPr>
            </w:pPr>
          </w:p>
        </w:tc>
        <w:tc>
          <w:tcPr>
            <w:tcW w:w="850" w:type="dxa"/>
            <w:gridSpan w:val="2"/>
            <w:tcBorders>
              <w:top w:val="nil"/>
              <w:left w:val="nil"/>
              <w:bottom w:val="nil"/>
              <w:right w:val="nil"/>
            </w:tcBorders>
          </w:tcPr>
          <w:p w14:paraId="6C39ACA4" w14:textId="77777777" w:rsidR="00883AA6" w:rsidRPr="00863250" w:rsidRDefault="00883AA6" w:rsidP="00FA0B52">
            <w:pPr>
              <w:spacing w:line="264" w:lineRule="auto"/>
              <w:jc w:val="left"/>
              <w:rPr>
                <w:sz w:val="16"/>
                <w:szCs w:val="16"/>
                <w:rtl/>
              </w:rPr>
            </w:pPr>
          </w:p>
        </w:tc>
        <w:tc>
          <w:tcPr>
            <w:tcW w:w="993" w:type="dxa"/>
            <w:gridSpan w:val="3"/>
            <w:tcBorders>
              <w:top w:val="nil"/>
              <w:left w:val="nil"/>
              <w:bottom w:val="nil"/>
              <w:right w:val="nil"/>
            </w:tcBorders>
          </w:tcPr>
          <w:p w14:paraId="7BA0F4F4" w14:textId="77777777" w:rsidR="00883AA6" w:rsidRPr="00863250" w:rsidRDefault="00883AA6" w:rsidP="00FA0B52">
            <w:pPr>
              <w:spacing w:line="264" w:lineRule="auto"/>
              <w:jc w:val="left"/>
              <w:rPr>
                <w:sz w:val="16"/>
                <w:szCs w:val="16"/>
                <w:rtl/>
              </w:rPr>
            </w:pPr>
          </w:p>
        </w:tc>
      </w:tr>
      <w:tr w:rsidR="00883AA6" w:rsidRPr="00863250" w14:paraId="41C3F8EC" w14:textId="77777777" w:rsidTr="00770120">
        <w:trPr>
          <w:gridAfter w:val="2"/>
          <w:wAfter w:w="815" w:type="dxa"/>
          <w:trHeight w:val="259"/>
        </w:trPr>
        <w:tc>
          <w:tcPr>
            <w:tcW w:w="12762" w:type="dxa"/>
            <w:gridSpan w:val="23"/>
            <w:tcBorders>
              <w:top w:val="nil"/>
              <w:left w:val="nil"/>
              <w:bottom w:val="nil"/>
              <w:right w:val="nil"/>
            </w:tcBorders>
            <w:shd w:val="clear" w:color="auto" w:fill="auto"/>
          </w:tcPr>
          <w:p w14:paraId="7B95ED77" w14:textId="3E9B33A3" w:rsidR="00883AA6" w:rsidRPr="00863250" w:rsidRDefault="00883AA6" w:rsidP="009136CE">
            <w:pPr>
              <w:spacing w:line="264" w:lineRule="auto"/>
              <w:ind w:left="1056" w:hanging="1056"/>
              <w:jc w:val="left"/>
              <w:rPr>
                <w:sz w:val="16"/>
                <w:szCs w:val="16"/>
                <w:rtl/>
              </w:rPr>
            </w:pPr>
            <w:r w:rsidRPr="00883AA6">
              <w:rPr>
                <w:rFonts w:hint="cs"/>
                <w:b/>
                <w:bCs/>
                <w:rtl/>
              </w:rPr>
              <w:t xml:space="preserve">ב. </w:t>
            </w:r>
            <w:r w:rsidRPr="00883AA6">
              <w:rPr>
                <w:rFonts w:hint="eastAsia"/>
                <w:b/>
                <w:bCs/>
                <w:rtl/>
              </w:rPr>
              <w:t>פריטים</w:t>
            </w:r>
            <w:r w:rsidRPr="00883AA6">
              <w:rPr>
                <w:b/>
                <w:bCs/>
                <w:rtl/>
              </w:rPr>
              <w:t xml:space="preserve"> </w:t>
            </w:r>
            <w:r w:rsidRPr="00883AA6">
              <w:rPr>
                <w:rFonts w:hint="eastAsia"/>
                <w:b/>
                <w:bCs/>
                <w:rtl/>
              </w:rPr>
              <w:t>הנמדדים</w:t>
            </w:r>
            <w:r w:rsidRPr="00883AA6">
              <w:rPr>
                <w:b/>
                <w:bCs/>
                <w:rtl/>
              </w:rPr>
              <w:t xml:space="preserve"> </w:t>
            </w:r>
            <w:r w:rsidRPr="00883AA6">
              <w:rPr>
                <w:rFonts w:hint="eastAsia"/>
                <w:b/>
                <w:bCs/>
                <w:rtl/>
              </w:rPr>
              <w:t>בשווי</w:t>
            </w:r>
            <w:r w:rsidRPr="00883AA6">
              <w:rPr>
                <w:b/>
                <w:bCs/>
                <w:rtl/>
              </w:rPr>
              <w:t xml:space="preserve"> </w:t>
            </w:r>
            <w:r w:rsidRPr="00883AA6">
              <w:rPr>
                <w:rFonts w:hint="eastAsia"/>
                <w:b/>
                <w:bCs/>
                <w:rtl/>
              </w:rPr>
              <w:t>הוגן</w:t>
            </w:r>
            <w:r w:rsidRPr="00883AA6">
              <w:rPr>
                <w:b/>
                <w:bCs/>
                <w:rtl/>
              </w:rPr>
              <w:t xml:space="preserve"> </w:t>
            </w:r>
            <w:r w:rsidRPr="00883AA6">
              <w:rPr>
                <w:rFonts w:hint="eastAsia"/>
                <w:b/>
                <w:bCs/>
                <w:rtl/>
              </w:rPr>
              <w:t>על</w:t>
            </w:r>
            <w:r w:rsidRPr="00883AA6">
              <w:rPr>
                <w:b/>
                <w:bCs/>
                <w:rtl/>
              </w:rPr>
              <w:t xml:space="preserve"> </w:t>
            </w:r>
            <w:r w:rsidRPr="00883AA6">
              <w:rPr>
                <w:rFonts w:hint="eastAsia"/>
                <w:b/>
                <w:bCs/>
                <w:rtl/>
              </w:rPr>
              <w:t>בסיס</w:t>
            </w:r>
            <w:r w:rsidRPr="00883AA6">
              <w:rPr>
                <w:b/>
                <w:bCs/>
                <w:rtl/>
              </w:rPr>
              <w:t xml:space="preserve"> </w:t>
            </w:r>
            <w:r>
              <w:rPr>
                <w:rFonts w:hint="cs"/>
                <w:b/>
                <w:bCs/>
                <w:rtl/>
              </w:rPr>
              <w:t xml:space="preserve">שאינו </w:t>
            </w:r>
            <w:r w:rsidRPr="00883AA6">
              <w:rPr>
                <w:rFonts w:hint="eastAsia"/>
                <w:b/>
                <w:bCs/>
                <w:rtl/>
              </w:rPr>
              <w:t>חוזר</w:t>
            </w:r>
            <w:r w:rsidRPr="00883AA6">
              <w:rPr>
                <w:b/>
                <w:bCs/>
                <w:rtl/>
              </w:rPr>
              <w:t xml:space="preserve"> </w:t>
            </w:r>
            <w:r w:rsidRPr="00883AA6">
              <w:rPr>
                <w:rFonts w:hint="eastAsia"/>
                <w:b/>
                <w:bCs/>
                <w:rtl/>
              </w:rPr>
              <w:t>ונשנה</w:t>
            </w:r>
            <w:r w:rsidRPr="00883AA6">
              <w:rPr>
                <w:b/>
                <w:bCs/>
                <w:rtl/>
              </w:rPr>
              <w:t>:</w:t>
            </w:r>
          </w:p>
        </w:tc>
      </w:tr>
      <w:tr w:rsidR="00883AA6" w:rsidRPr="00863250" w14:paraId="779018B0" w14:textId="77777777" w:rsidTr="00770120">
        <w:trPr>
          <w:trHeight w:val="259"/>
        </w:trPr>
        <w:tc>
          <w:tcPr>
            <w:tcW w:w="2665" w:type="dxa"/>
            <w:gridSpan w:val="2"/>
            <w:tcBorders>
              <w:top w:val="nil"/>
              <w:left w:val="nil"/>
              <w:bottom w:val="nil"/>
              <w:right w:val="nil"/>
            </w:tcBorders>
            <w:shd w:val="clear" w:color="auto" w:fill="auto"/>
          </w:tcPr>
          <w:p w14:paraId="42878EE4" w14:textId="5A10955D" w:rsidR="00883AA6" w:rsidRPr="00883AA6" w:rsidRDefault="00883AA6" w:rsidP="00883AA6">
            <w:pPr>
              <w:spacing w:line="264" w:lineRule="auto"/>
              <w:jc w:val="left"/>
              <w:rPr>
                <w:b/>
                <w:bCs/>
                <w:color w:val="000000"/>
                <w:sz w:val="18"/>
                <w:szCs w:val="18"/>
                <w:rtl/>
                <w:lang w:eastAsia="he-IL"/>
              </w:rPr>
            </w:pPr>
            <w:r w:rsidRPr="00883AA6">
              <w:rPr>
                <w:rFonts w:hint="cs"/>
                <w:b/>
                <w:bCs/>
                <w:color w:val="000000"/>
                <w:sz w:val="19"/>
                <w:szCs w:val="19"/>
                <w:u w:val="single"/>
                <w:rtl/>
                <w:lang w:eastAsia="he-IL"/>
              </w:rPr>
              <w:t>נכסים</w:t>
            </w:r>
          </w:p>
        </w:tc>
        <w:tc>
          <w:tcPr>
            <w:tcW w:w="1556" w:type="dxa"/>
            <w:gridSpan w:val="2"/>
            <w:tcBorders>
              <w:top w:val="nil"/>
              <w:left w:val="nil"/>
              <w:bottom w:val="nil"/>
              <w:right w:val="nil"/>
            </w:tcBorders>
          </w:tcPr>
          <w:p w14:paraId="658185FC" w14:textId="77777777" w:rsidR="00883AA6" w:rsidRPr="00863250" w:rsidRDefault="00883AA6" w:rsidP="00883AA6">
            <w:pPr>
              <w:spacing w:line="264" w:lineRule="auto"/>
              <w:ind w:left="97" w:hanging="57"/>
              <w:jc w:val="left"/>
              <w:rPr>
                <w:sz w:val="16"/>
                <w:szCs w:val="16"/>
                <w:rtl/>
              </w:rPr>
            </w:pPr>
          </w:p>
        </w:tc>
        <w:tc>
          <w:tcPr>
            <w:tcW w:w="1701" w:type="dxa"/>
            <w:gridSpan w:val="2"/>
            <w:tcBorders>
              <w:top w:val="nil"/>
              <w:left w:val="nil"/>
              <w:bottom w:val="nil"/>
              <w:right w:val="nil"/>
            </w:tcBorders>
          </w:tcPr>
          <w:p w14:paraId="34FE077D" w14:textId="77777777" w:rsidR="00883AA6" w:rsidRPr="00863250" w:rsidRDefault="00883AA6" w:rsidP="00883AA6">
            <w:pPr>
              <w:spacing w:line="264" w:lineRule="auto"/>
              <w:ind w:left="124" w:hanging="113"/>
              <w:jc w:val="left"/>
              <w:rPr>
                <w:sz w:val="16"/>
                <w:szCs w:val="16"/>
                <w:rtl/>
              </w:rPr>
            </w:pPr>
          </w:p>
        </w:tc>
        <w:tc>
          <w:tcPr>
            <w:tcW w:w="567" w:type="dxa"/>
            <w:gridSpan w:val="2"/>
            <w:tcBorders>
              <w:top w:val="nil"/>
              <w:left w:val="nil"/>
              <w:bottom w:val="nil"/>
              <w:right w:val="nil"/>
            </w:tcBorders>
          </w:tcPr>
          <w:p w14:paraId="10721251" w14:textId="77777777" w:rsidR="00883AA6" w:rsidRDefault="00883AA6" w:rsidP="00883AA6">
            <w:pPr>
              <w:spacing w:line="264" w:lineRule="auto"/>
              <w:jc w:val="left"/>
              <w:rPr>
                <w:b/>
                <w:bCs/>
                <w:sz w:val="16"/>
                <w:szCs w:val="16"/>
                <w:rtl/>
              </w:rPr>
            </w:pPr>
          </w:p>
        </w:tc>
        <w:tc>
          <w:tcPr>
            <w:tcW w:w="851" w:type="dxa"/>
            <w:gridSpan w:val="2"/>
            <w:tcBorders>
              <w:top w:val="nil"/>
              <w:left w:val="nil"/>
              <w:bottom w:val="nil"/>
              <w:right w:val="nil"/>
            </w:tcBorders>
          </w:tcPr>
          <w:p w14:paraId="033560FB" w14:textId="77777777" w:rsidR="00883AA6" w:rsidRPr="00863250" w:rsidRDefault="00883AA6" w:rsidP="00883AA6">
            <w:pPr>
              <w:spacing w:line="264" w:lineRule="auto"/>
              <w:jc w:val="left"/>
              <w:rPr>
                <w:sz w:val="16"/>
                <w:szCs w:val="16"/>
                <w:rtl/>
              </w:rPr>
            </w:pPr>
          </w:p>
        </w:tc>
        <w:tc>
          <w:tcPr>
            <w:tcW w:w="992" w:type="dxa"/>
            <w:gridSpan w:val="2"/>
            <w:tcBorders>
              <w:top w:val="nil"/>
              <w:left w:val="nil"/>
              <w:bottom w:val="nil"/>
              <w:right w:val="nil"/>
            </w:tcBorders>
          </w:tcPr>
          <w:p w14:paraId="31D62F76" w14:textId="77777777" w:rsidR="00883AA6" w:rsidRPr="00863250" w:rsidRDefault="00883AA6" w:rsidP="00883AA6">
            <w:pPr>
              <w:spacing w:line="264" w:lineRule="auto"/>
              <w:jc w:val="left"/>
              <w:rPr>
                <w:sz w:val="16"/>
                <w:szCs w:val="16"/>
                <w:rtl/>
              </w:rPr>
            </w:pPr>
          </w:p>
        </w:tc>
        <w:tc>
          <w:tcPr>
            <w:tcW w:w="853" w:type="dxa"/>
            <w:gridSpan w:val="2"/>
            <w:tcBorders>
              <w:top w:val="nil"/>
              <w:left w:val="nil"/>
              <w:bottom w:val="nil"/>
              <w:right w:val="nil"/>
            </w:tcBorders>
          </w:tcPr>
          <w:p w14:paraId="00E79724" w14:textId="77777777" w:rsidR="00883AA6" w:rsidRDefault="00883AA6" w:rsidP="00883AA6">
            <w:pPr>
              <w:spacing w:line="264" w:lineRule="auto"/>
              <w:jc w:val="left"/>
              <w:rPr>
                <w:b/>
                <w:bCs/>
                <w:sz w:val="16"/>
                <w:szCs w:val="16"/>
                <w:rtl/>
              </w:rPr>
            </w:pPr>
          </w:p>
        </w:tc>
        <w:tc>
          <w:tcPr>
            <w:tcW w:w="848" w:type="dxa"/>
            <w:gridSpan w:val="2"/>
            <w:tcBorders>
              <w:top w:val="nil"/>
              <w:left w:val="nil"/>
              <w:bottom w:val="nil"/>
              <w:right w:val="nil"/>
            </w:tcBorders>
          </w:tcPr>
          <w:p w14:paraId="4F9DFF51" w14:textId="77777777" w:rsidR="00883AA6" w:rsidRPr="00863250" w:rsidRDefault="00883AA6" w:rsidP="00883AA6">
            <w:pPr>
              <w:spacing w:line="264" w:lineRule="auto"/>
              <w:jc w:val="left"/>
              <w:rPr>
                <w:sz w:val="16"/>
                <w:szCs w:val="16"/>
                <w:rtl/>
              </w:rPr>
            </w:pPr>
          </w:p>
        </w:tc>
        <w:tc>
          <w:tcPr>
            <w:tcW w:w="1134" w:type="dxa"/>
            <w:gridSpan w:val="2"/>
            <w:tcBorders>
              <w:top w:val="nil"/>
              <w:left w:val="nil"/>
              <w:bottom w:val="nil"/>
              <w:right w:val="nil"/>
            </w:tcBorders>
          </w:tcPr>
          <w:p w14:paraId="7B58ABF4" w14:textId="77777777" w:rsidR="00883AA6" w:rsidRPr="00863250" w:rsidRDefault="00883AA6" w:rsidP="00883AA6">
            <w:pPr>
              <w:spacing w:line="264" w:lineRule="auto"/>
              <w:jc w:val="left"/>
              <w:rPr>
                <w:sz w:val="16"/>
                <w:szCs w:val="16"/>
                <w:rtl/>
              </w:rPr>
            </w:pPr>
          </w:p>
        </w:tc>
        <w:tc>
          <w:tcPr>
            <w:tcW w:w="567" w:type="dxa"/>
            <w:gridSpan w:val="2"/>
            <w:tcBorders>
              <w:top w:val="nil"/>
              <w:left w:val="nil"/>
              <w:bottom w:val="nil"/>
              <w:right w:val="nil"/>
            </w:tcBorders>
          </w:tcPr>
          <w:p w14:paraId="13C999AB" w14:textId="77777777" w:rsidR="00883AA6" w:rsidRDefault="00883AA6" w:rsidP="00883AA6">
            <w:pPr>
              <w:spacing w:line="264" w:lineRule="auto"/>
              <w:jc w:val="left"/>
              <w:rPr>
                <w:b/>
                <w:bCs/>
                <w:sz w:val="16"/>
                <w:szCs w:val="16"/>
                <w:rtl/>
              </w:rPr>
            </w:pPr>
          </w:p>
        </w:tc>
        <w:tc>
          <w:tcPr>
            <w:tcW w:w="850" w:type="dxa"/>
            <w:gridSpan w:val="2"/>
            <w:tcBorders>
              <w:top w:val="nil"/>
              <w:left w:val="nil"/>
              <w:bottom w:val="nil"/>
              <w:right w:val="nil"/>
            </w:tcBorders>
          </w:tcPr>
          <w:p w14:paraId="3818E97F" w14:textId="77777777" w:rsidR="00883AA6" w:rsidRPr="00863250" w:rsidRDefault="00883AA6" w:rsidP="00883AA6">
            <w:pPr>
              <w:spacing w:line="264" w:lineRule="auto"/>
              <w:jc w:val="left"/>
              <w:rPr>
                <w:sz w:val="16"/>
                <w:szCs w:val="16"/>
                <w:rtl/>
              </w:rPr>
            </w:pPr>
          </w:p>
        </w:tc>
        <w:tc>
          <w:tcPr>
            <w:tcW w:w="993" w:type="dxa"/>
            <w:gridSpan w:val="3"/>
            <w:tcBorders>
              <w:top w:val="nil"/>
              <w:left w:val="nil"/>
              <w:bottom w:val="nil"/>
              <w:right w:val="nil"/>
            </w:tcBorders>
          </w:tcPr>
          <w:p w14:paraId="2EC285B4" w14:textId="77777777" w:rsidR="00883AA6" w:rsidRPr="00863250" w:rsidRDefault="00883AA6" w:rsidP="00883AA6">
            <w:pPr>
              <w:spacing w:line="264" w:lineRule="auto"/>
              <w:jc w:val="left"/>
              <w:rPr>
                <w:sz w:val="16"/>
                <w:szCs w:val="16"/>
                <w:rtl/>
              </w:rPr>
            </w:pPr>
          </w:p>
        </w:tc>
      </w:tr>
      <w:tr w:rsidR="00883AA6" w:rsidRPr="00863250" w14:paraId="2DE801E5" w14:textId="77777777" w:rsidTr="00770120">
        <w:trPr>
          <w:trHeight w:val="259"/>
        </w:trPr>
        <w:tc>
          <w:tcPr>
            <w:tcW w:w="2665" w:type="dxa"/>
            <w:gridSpan w:val="2"/>
            <w:tcBorders>
              <w:top w:val="nil"/>
              <w:left w:val="nil"/>
              <w:bottom w:val="nil"/>
              <w:right w:val="nil"/>
            </w:tcBorders>
            <w:shd w:val="clear" w:color="auto" w:fill="auto"/>
          </w:tcPr>
          <w:p w14:paraId="7BEA3184" w14:textId="493EF617" w:rsidR="00883AA6" w:rsidRPr="00FA0B52" w:rsidRDefault="00883AA6" w:rsidP="00883AA6">
            <w:pPr>
              <w:spacing w:line="192" w:lineRule="auto"/>
              <w:jc w:val="left"/>
              <w:rPr>
                <w:color w:val="000000"/>
                <w:sz w:val="18"/>
                <w:szCs w:val="18"/>
                <w:rtl/>
                <w:lang w:eastAsia="he-IL"/>
              </w:rPr>
            </w:pPr>
            <w:r w:rsidRPr="00883AA6">
              <w:rPr>
                <w:rFonts w:hint="cs"/>
                <w:color w:val="000000"/>
                <w:sz w:val="18"/>
                <w:szCs w:val="18"/>
                <w:rtl/>
                <w:lang w:eastAsia="he-IL"/>
              </w:rPr>
              <w:t>אשראי</w:t>
            </w:r>
            <w:r w:rsidRPr="00AC1A00">
              <w:rPr>
                <w:rFonts w:hint="cs"/>
                <w:sz w:val="18"/>
                <w:szCs w:val="18"/>
                <w:rtl/>
              </w:rPr>
              <w:t xml:space="preserve"> </w:t>
            </w:r>
            <w:r>
              <w:rPr>
                <w:rFonts w:hint="cs"/>
                <w:sz w:val="18"/>
                <w:szCs w:val="18"/>
                <w:rtl/>
              </w:rPr>
              <w:t>בעייתי</w:t>
            </w:r>
            <w:r w:rsidRPr="00AC1A00">
              <w:rPr>
                <w:rFonts w:hint="cs"/>
                <w:sz w:val="18"/>
                <w:szCs w:val="18"/>
                <w:rtl/>
              </w:rPr>
              <w:t xml:space="preserve"> שגבייתו מותנית בביטחון</w:t>
            </w:r>
          </w:p>
        </w:tc>
        <w:tc>
          <w:tcPr>
            <w:tcW w:w="1556" w:type="dxa"/>
            <w:gridSpan w:val="2"/>
            <w:tcBorders>
              <w:top w:val="nil"/>
              <w:left w:val="nil"/>
              <w:bottom w:val="nil"/>
              <w:right w:val="nil"/>
            </w:tcBorders>
          </w:tcPr>
          <w:p w14:paraId="627A8C63" w14:textId="001EF57B" w:rsidR="00883AA6" w:rsidRPr="00863250" w:rsidRDefault="00883AA6" w:rsidP="00883AA6">
            <w:pPr>
              <w:spacing w:line="264" w:lineRule="auto"/>
              <w:ind w:left="97" w:hanging="57"/>
              <w:jc w:val="left"/>
              <w:rPr>
                <w:sz w:val="16"/>
                <w:szCs w:val="16"/>
                <w:rtl/>
              </w:rPr>
            </w:pPr>
            <w:r w:rsidRPr="00863250">
              <w:rPr>
                <w:rFonts w:hint="cs"/>
                <w:sz w:val="16"/>
                <w:szCs w:val="16"/>
                <w:rtl/>
              </w:rPr>
              <w:t>[ פרט ]</w:t>
            </w:r>
          </w:p>
        </w:tc>
        <w:tc>
          <w:tcPr>
            <w:tcW w:w="1701" w:type="dxa"/>
            <w:gridSpan w:val="2"/>
            <w:tcBorders>
              <w:top w:val="nil"/>
              <w:left w:val="nil"/>
              <w:bottom w:val="nil"/>
              <w:right w:val="nil"/>
            </w:tcBorders>
          </w:tcPr>
          <w:p w14:paraId="1268A07D" w14:textId="7ECE3E03" w:rsidR="00883AA6" w:rsidRPr="00863250" w:rsidRDefault="00883AA6" w:rsidP="00883AA6">
            <w:pPr>
              <w:spacing w:line="264" w:lineRule="auto"/>
              <w:ind w:left="124" w:hanging="113"/>
              <w:jc w:val="left"/>
              <w:rPr>
                <w:sz w:val="16"/>
                <w:szCs w:val="16"/>
                <w:rtl/>
              </w:rPr>
            </w:pPr>
            <w:r w:rsidRPr="00863250">
              <w:rPr>
                <w:rFonts w:hint="cs"/>
                <w:sz w:val="16"/>
                <w:szCs w:val="16"/>
                <w:rtl/>
              </w:rPr>
              <w:t>[ פרט ]</w:t>
            </w:r>
          </w:p>
        </w:tc>
        <w:tc>
          <w:tcPr>
            <w:tcW w:w="567" w:type="dxa"/>
            <w:gridSpan w:val="2"/>
            <w:tcBorders>
              <w:top w:val="nil"/>
              <w:left w:val="nil"/>
              <w:bottom w:val="nil"/>
              <w:right w:val="nil"/>
            </w:tcBorders>
          </w:tcPr>
          <w:p w14:paraId="52E18BD0" w14:textId="7DE0DB69" w:rsidR="00883AA6" w:rsidRDefault="00883AA6" w:rsidP="00883AA6">
            <w:pPr>
              <w:spacing w:line="264" w:lineRule="auto"/>
              <w:jc w:val="left"/>
              <w:rPr>
                <w:b/>
                <w:bCs/>
                <w:sz w:val="16"/>
                <w:szCs w:val="16"/>
                <w:rtl/>
              </w:rPr>
            </w:pPr>
            <w:r>
              <w:rPr>
                <w:rFonts w:hint="cs"/>
                <w:b/>
                <w:bCs/>
                <w:sz w:val="16"/>
                <w:szCs w:val="16"/>
                <w:rtl/>
              </w:rPr>
              <w:t xml:space="preserve"> </w:t>
            </w:r>
            <w:r w:rsidRPr="00863250">
              <w:rPr>
                <w:rFonts w:hint="cs"/>
                <w:b/>
                <w:bCs/>
                <w:sz w:val="16"/>
                <w:szCs w:val="16"/>
                <w:rtl/>
              </w:rPr>
              <w:t>0</w:t>
            </w:r>
          </w:p>
        </w:tc>
        <w:tc>
          <w:tcPr>
            <w:tcW w:w="851" w:type="dxa"/>
            <w:gridSpan w:val="2"/>
            <w:tcBorders>
              <w:top w:val="nil"/>
              <w:left w:val="nil"/>
              <w:bottom w:val="nil"/>
              <w:right w:val="nil"/>
            </w:tcBorders>
          </w:tcPr>
          <w:p w14:paraId="31BD9171" w14:textId="21D876DF" w:rsidR="00883AA6" w:rsidRPr="00863250" w:rsidRDefault="00883AA6" w:rsidP="00883AA6">
            <w:pPr>
              <w:spacing w:line="264" w:lineRule="auto"/>
              <w:jc w:val="left"/>
              <w:rPr>
                <w:sz w:val="16"/>
                <w:szCs w:val="16"/>
                <w:rtl/>
              </w:rPr>
            </w:pPr>
            <w:r w:rsidRPr="00863250">
              <w:rPr>
                <w:rFonts w:hint="cs"/>
                <w:sz w:val="16"/>
                <w:szCs w:val="16"/>
                <w:rtl/>
              </w:rPr>
              <w:t>[ פרט ]</w:t>
            </w:r>
          </w:p>
        </w:tc>
        <w:tc>
          <w:tcPr>
            <w:tcW w:w="992" w:type="dxa"/>
            <w:gridSpan w:val="2"/>
            <w:tcBorders>
              <w:top w:val="nil"/>
              <w:left w:val="nil"/>
              <w:bottom w:val="nil"/>
              <w:right w:val="nil"/>
            </w:tcBorders>
          </w:tcPr>
          <w:p w14:paraId="50815E96" w14:textId="59CE8D1B" w:rsidR="00883AA6" w:rsidRPr="00863250" w:rsidRDefault="00883AA6" w:rsidP="00883AA6">
            <w:pPr>
              <w:spacing w:line="264" w:lineRule="auto"/>
              <w:jc w:val="left"/>
              <w:rPr>
                <w:sz w:val="16"/>
                <w:szCs w:val="16"/>
                <w:rtl/>
              </w:rPr>
            </w:pPr>
            <w:r w:rsidRPr="00863250">
              <w:rPr>
                <w:rFonts w:hint="cs"/>
                <w:sz w:val="16"/>
                <w:szCs w:val="16"/>
                <w:rtl/>
              </w:rPr>
              <w:t>[ פרט ]</w:t>
            </w:r>
          </w:p>
        </w:tc>
        <w:tc>
          <w:tcPr>
            <w:tcW w:w="853" w:type="dxa"/>
            <w:gridSpan w:val="2"/>
            <w:tcBorders>
              <w:top w:val="nil"/>
              <w:left w:val="nil"/>
              <w:bottom w:val="nil"/>
              <w:right w:val="nil"/>
            </w:tcBorders>
          </w:tcPr>
          <w:p w14:paraId="0E1685B9" w14:textId="6C211B33" w:rsidR="00883AA6" w:rsidRDefault="00883AA6" w:rsidP="00883AA6">
            <w:pPr>
              <w:spacing w:line="264" w:lineRule="auto"/>
              <w:jc w:val="left"/>
              <w:rPr>
                <w:b/>
                <w:bCs/>
                <w:sz w:val="16"/>
                <w:szCs w:val="16"/>
                <w:rtl/>
              </w:rPr>
            </w:pPr>
            <w:r>
              <w:rPr>
                <w:rFonts w:hint="cs"/>
                <w:b/>
                <w:bCs/>
                <w:sz w:val="16"/>
                <w:szCs w:val="16"/>
                <w:rtl/>
              </w:rPr>
              <w:t xml:space="preserve"> </w:t>
            </w:r>
            <w:r w:rsidRPr="00863250">
              <w:rPr>
                <w:rFonts w:hint="cs"/>
                <w:b/>
                <w:bCs/>
                <w:sz w:val="16"/>
                <w:szCs w:val="16"/>
                <w:rtl/>
              </w:rPr>
              <w:t>0</w:t>
            </w:r>
          </w:p>
        </w:tc>
        <w:tc>
          <w:tcPr>
            <w:tcW w:w="848" w:type="dxa"/>
            <w:gridSpan w:val="2"/>
            <w:tcBorders>
              <w:top w:val="nil"/>
              <w:left w:val="nil"/>
              <w:bottom w:val="nil"/>
              <w:right w:val="nil"/>
            </w:tcBorders>
          </w:tcPr>
          <w:p w14:paraId="1114CCE5" w14:textId="7C4F7FA3" w:rsidR="00883AA6" w:rsidRPr="00863250" w:rsidRDefault="00883AA6" w:rsidP="00883AA6">
            <w:pPr>
              <w:spacing w:line="264" w:lineRule="auto"/>
              <w:jc w:val="left"/>
              <w:rPr>
                <w:sz w:val="16"/>
                <w:szCs w:val="16"/>
                <w:rtl/>
              </w:rPr>
            </w:pPr>
            <w:r w:rsidRPr="00863250">
              <w:rPr>
                <w:rFonts w:hint="cs"/>
                <w:sz w:val="16"/>
                <w:szCs w:val="16"/>
                <w:rtl/>
              </w:rPr>
              <w:t>[ פרט ]</w:t>
            </w:r>
          </w:p>
        </w:tc>
        <w:tc>
          <w:tcPr>
            <w:tcW w:w="1134" w:type="dxa"/>
            <w:gridSpan w:val="2"/>
            <w:tcBorders>
              <w:top w:val="nil"/>
              <w:left w:val="nil"/>
              <w:bottom w:val="nil"/>
              <w:right w:val="nil"/>
            </w:tcBorders>
          </w:tcPr>
          <w:p w14:paraId="660539FE" w14:textId="0E22235C" w:rsidR="00883AA6" w:rsidRPr="00863250" w:rsidRDefault="00883AA6" w:rsidP="00883AA6">
            <w:pPr>
              <w:spacing w:line="264" w:lineRule="auto"/>
              <w:jc w:val="left"/>
              <w:rPr>
                <w:sz w:val="16"/>
                <w:szCs w:val="16"/>
                <w:rtl/>
              </w:rPr>
            </w:pPr>
            <w:r w:rsidRPr="00863250">
              <w:rPr>
                <w:rFonts w:hint="cs"/>
                <w:sz w:val="16"/>
                <w:szCs w:val="16"/>
                <w:rtl/>
              </w:rPr>
              <w:t>[ פרט ]</w:t>
            </w:r>
          </w:p>
        </w:tc>
        <w:tc>
          <w:tcPr>
            <w:tcW w:w="567" w:type="dxa"/>
            <w:gridSpan w:val="2"/>
            <w:tcBorders>
              <w:top w:val="nil"/>
              <w:left w:val="nil"/>
              <w:bottom w:val="nil"/>
              <w:right w:val="nil"/>
            </w:tcBorders>
          </w:tcPr>
          <w:p w14:paraId="718EA614" w14:textId="35525119" w:rsidR="00883AA6" w:rsidRDefault="00883AA6" w:rsidP="00883AA6">
            <w:pPr>
              <w:spacing w:line="264" w:lineRule="auto"/>
              <w:jc w:val="left"/>
              <w:rPr>
                <w:b/>
                <w:bCs/>
                <w:sz w:val="16"/>
                <w:szCs w:val="16"/>
                <w:rtl/>
              </w:rPr>
            </w:pPr>
            <w:r>
              <w:rPr>
                <w:rFonts w:hint="cs"/>
                <w:b/>
                <w:bCs/>
                <w:sz w:val="16"/>
                <w:szCs w:val="16"/>
                <w:rtl/>
              </w:rPr>
              <w:t xml:space="preserve"> </w:t>
            </w:r>
            <w:r w:rsidRPr="00863250">
              <w:rPr>
                <w:rFonts w:hint="cs"/>
                <w:b/>
                <w:bCs/>
                <w:sz w:val="16"/>
                <w:szCs w:val="16"/>
                <w:rtl/>
              </w:rPr>
              <w:t>0</w:t>
            </w:r>
            <w:r>
              <w:rPr>
                <w:rFonts w:hint="cs"/>
                <w:b/>
                <w:bCs/>
                <w:sz w:val="16"/>
                <w:szCs w:val="16"/>
                <w:rtl/>
              </w:rPr>
              <w:t xml:space="preserve"> </w:t>
            </w:r>
          </w:p>
        </w:tc>
        <w:tc>
          <w:tcPr>
            <w:tcW w:w="850" w:type="dxa"/>
            <w:gridSpan w:val="2"/>
            <w:tcBorders>
              <w:top w:val="nil"/>
              <w:left w:val="nil"/>
              <w:bottom w:val="nil"/>
              <w:right w:val="nil"/>
            </w:tcBorders>
          </w:tcPr>
          <w:p w14:paraId="0886412F" w14:textId="3EB9D6C1" w:rsidR="00883AA6" w:rsidRPr="00863250" w:rsidRDefault="00883AA6" w:rsidP="00883AA6">
            <w:pPr>
              <w:spacing w:line="264" w:lineRule="auto"/>
              <w:jc w:val="left"/>
              <w:rPr>
                <w:sz w:val="16"/>
                <w:szCs w:val="16"/>
                <w:rtl/>
              </w:rPr>
            </w:pPr>
            <w:r w:rsidRPr="00863250">
              <w:rPr>
                <w:rFonts w:hint="cs"/>
                <w:sz w:val="16"/>
                <w:szCs w:val="16"/>
                <w:rtl/>
              </w:rPr>
              <w:t>[ פרט ]</w:t>
            </w:r>
          </w:p>
        </w:tc>
        <w:tc>
          <w:tcPr>
            <w:tcW w:w="993" w:type="dxa"/>
            <w:gridSpan w:val="3"/>
            <w:tcBorders>
              <w:top w:val="nil"/>
              <w:left w:val="nil"/>
              <w:bottom w:val="nil"/>
              <w:right w:val="nil"/>
            </w:tcBorders>
          </w:tcPr>
          <w:p w14:paraId="217F5B8D" w14:textId="2121B5E7" w:rsidR="00883AA6" w:rsidRPr="00863250" w:rsidRDefault="00883AA6" w:rsidP="00883AA6">
            <w:pPr>
              <w:spacing w:line="264" w:lineRule="auto"/>
              <w:jc w:val="left"/>
              <w:rPr>
                <w:sz w:val="16"/>
                <w:szCs w:val="16"/>
                <w:rtl/>
              </w:rPr>
            </w:pPr>
            <w:r w:rsidRPr="00863250">
              <w:rPr>
                <w:rFonts w:hint="cs"/>
                <w:sz w:val="16"/>
                <w:szCs w:val="16"/>
                <w:rtl/>
              </w:rPr>
              <w:t>[ פרט ]</w:t>
            </w:r>
          </w:p>
        </w:tc>
      </w:tr>
      <w:tr w:rsidR="00883AA6" w:rsidRPr="00863250" w14:paraId="6544CC4E" w14:textId="77777777" w:rsidTr="00770120">
        <w:trPr>
          <w:trHeight w:val="259"/>
        </w:trPr>
        <w:tc>
          <w:tcPr>
            <w:tcW w:w="2665" w:type="dxa"/>
            <w:gridSpan w:val="2"/>
            <w:tcBorders>
              <w:top w:val="nil"/>
              <w:left w:val="nil"/>
              <w:bottom w:val="nil"/>
              <w:right w:val="nil"/>
            </w:tcBorders>
            <w:shd w:val="clear" w:color="auto" w:fill="auto"/>
          </w:tcPr>
          <w:p w14:paraId="29309367" w14:textId="0F739A03" w:rsidR="00883AA6" w:rsidRPr="00FA0B52" w:rsidRDefault="00883AA6" w:rsidP="00883AA6">
            <w:pPr>
              <w:spacing w:line="264" w:lineRule="auto"/>
              <w:ind w:left="144" w:hanging="144"/>
              <w:jc w:val="left"/>
              <w:rPr>
                <w:color w:val="000000"/>
                <w:sz w:val="18"/>
                <w:szCs w:val="18"/>
                <w:rtl/>
                <w:lang w:eastAsia="he-IL"/>
              </w:rPr>
            </w:pPr>
            <w:r>
              <w:rPr>
                <w:rFonts w:hint="cs"/>
                <w:sz w:val="18"/>
                <w:szCs w:val="18"/>
                <w:rtl/>
              </w:rPr>
              <w:t>מניות שאינן למסחר</w:t>
            </w:r>
          </w:p>
        </w:tc>
        <w:tc>
          <w:tcPr>
            <w:tcW w:w="1556" w:type="dxa"/>
            <w:gridSpan w:val="2"/>
            <w:tcBorders>
              <w:top w:val="nil"/>
              <w:left w:val="nil"/>
              <w:bottom w:val="nil"/>
              <w:right w:val="nil"/>
            </w:tcBorders>
          </w:tcPr>
          <w:p w14:paraId="47938D57" w14:textId="74076191" w:rsidR="00883AA6" w:rsidRPr="00863250" w:rsidRDefault="00883AA6" w:rsidP="00883AA6">
            <w:pPr>
              <w:spacing w:line="264" w:lineRule="auto"/>
              <w:ind w:left="97" w:hanging="57"/>
              <w:jc w:val="left"/>
              <w:rPr>
                <w:sz w:val="16"/>
                <w:szCs w:val="16"/>
                <w:rtl/>
              </w:rPr>
            </w:pPr>
            <w:r w:rsidRPr="00863250">
              <w:rPr>
                <w:rFonts w:hint="cs"/>
                <w:sz w:val="16"/>
                <w:szCs w:val="16"/>
                <w:rtl/>
              </w:rPr>
              <w:t>[ פרט ]</w:t>
            </w:r>
          </w:p>
        </w:tc>
        <w:tc>
          <w:tcPr>
            <w:tcW w:w="1701" w:type="dxa"/>
            <w:gridSpan w:val="2"/>
            <w:tcBorders>
              <w:top w:val="nil"/>
              <w:left w:val="nil"/>
              <w:bottom w:val="nil"/>
              <w:right w:val="nil"/>
            </w:tcBorders>
          </w:tcPr>
          <w:p w14:paraId="02A221EB" w14:textId="5A36DAA8" w:rsidR="00883AA6" w:rsidRPr="00863250" w:rsidRDefault="00883AA6" w:rsidP="00883AA6">
            <w:pPr>
              <w:spacing w:line="264" w:lineRule="auto"/>
              <w:ind w:left="124" w:hanging="113"/>
              <w:jc w:val="left"/>
              <w:rPr>
                <w:sz w:val="16"/>
                <w:szCs w:val="16"/>
                <w:rtl/>
              </w:rPr>
            </w:pPr>
            <w:r w:rsidRPr="00863250">
              <w:rPr>
                <w:rFonts w:hint="cs"/>
                <w:sz w:val="16"/>
                <w:szCs w:val="16"/>
                <w:rtl/>
              </w:rPr>
              <w:t>[ פרט ]</w:t>
            </w:r>
          </w:p>
        </w:tc>
        <w:tc>
          <w:tcPr>
            <w:tcW w:w="567" w:type="dxa"/>
            <w:gridSpan w:val="2"/>
            <w:tcBorders>
              <w:top w:val="nil"/>
              <w:left w:val="nil"/>
              <w:bottom w:val="nil"/>
              <w:right w:val="nil"/>
            </w:tcBorders>
          </w:tcPr>
          <w:p w14:paraId="20FBE9A6" w14:textId="056F36ED" w:rsidR="00883AA6" w:rsidRDefault="00883AA6" w:rsidP="00883AA6">
            <w:pPr>
              <w:spacing w:line="264" w:lineRule="auto"/>
              <w:jc w:val="left"/>
              <w:rPr>
                <w:b/>
                <w:bCs/>
                <w:sz w:val="16"/>
                <w:szCs w:val="16"/>
                <w:rtl/>
              </w:rPr>
            </w:pPr>
            <w:r>
              <w:rPr>
                <w:rFonts w:hint="cs"/>
                <w:b/>
                <w:bCs/>
                <w:sz w:val="16"/>
                <w:szCs w:val="16"/>
                <w:rtl/>
              </w:rPr>
              <w:t xml:space="preserve"> </w:t>
            </w:r>
            <w:r w:rsidRPr="00863250">
              <w:rPr>
                <w:rFonts w:hint="cs"/>
                <w:b/>
                <w:bCs/>
                <w:sz w:val="16"/>
                <w:szCs w:val="16"/>
                <w:rtl/>
              </w:rPr>
              <w:t>0</w:t>
            </w:r>
          </w:p>
        </w:tc>
        <w:tc>
          <w:tcPr>
            <w:tcW w:w="851" w:type="dxa"/>
            <w:gridSpan w:val="2"/>
            <w:tcBorders>
              <w:top w:val="nil"/>
              <w:left w:val="nil"/>
              <w:bottom w:val="nil"/>
              <w:right w:val="nil"/>
            </w:tcBorders>
          </w:tcPr>
          <w:p w14:paraId="7B3F3E66" w14:textId="169AD80D" w:rsidR="00883AA6" w:rsidRPr="00863250" w:rsidRDefault="00883AA6" w:rsidP="00883AA6">
            <w:pPr>
              <w:spacing w:line="264" w:lineRule="auto"/>
              <w:jc w:val="left"/>
              <w:rPr>
                <w:sz w:val="16"/>
                <w:szCs w:val="16"/>
                <w:rtl/>
              </w:rPr>
            </w:pPr>
            <w:r w:rsidRPr="00863250">
              <w:rPr>
                <w:rFonts w:hint="cs"/>
                <w:sz w:val="16"/>
                <w:szCs w:val="16"/>
                <w:rtl/>
              </w:rPr>
              <w:t>[ פרט ]</w:t>
            </w:r>
          </w:p>
        </w:tc>
        <w:tc>
          <w:tcPr>
            <w:tcW w:w="992" w:type="dxa"/>
            <w:gridSpan w:val="2"/>
            <w:tcBorders>
              <w:top w:val="nil"/>
              <w:left w:val="nil"/>
              <w:bottom w:val="nil"/>
              <w:right w:val="nil"/>
            </w:tcBorders>
          </w:tcPr>
          <w:p w14:paraId="4449CFA2" w14:textId="4D5F15CE" w:rsidR="00883AA6" w:rsidRPr="00863250" w:rsidRDefault="00883AA6" w:rsidP="00883AA6">
            <w:pPr>
              <w:spacing w:line="264" w:lineRule="auto"/>
              <w:jc w:val="left"/>
              <w:rPr>
                <w:sz w:val="16"/>
                <w:szCs w:val="16"/>
                <w:rtl/>
              </w:rPr>
            </w:pPr>
            <w:r w:rsidRPr="00863250">
              <w:rPr>
                <w:rFonts w:hint="cs"/>
                <w:sz w:val="16"/>
                <w:szCs w:val="16"/>
                <w:rtl/>
              </w:rPr>
              <w:t>[ פרט ]</w:t>
            </w:r>
          </w:p>
        </w:tc>
        <w:tc>
          <w:tcPr>
            <w:tcW w:w="853" w:type="dxa"/>
            <w:gridSpan w:val="2"/>
            <w:tcBorders>
              <w:top w:val="nil"/>
              <w:left w:val="nil"/>
              <w:bottom w:val="nil"/>
              <w:right w:val="nil"/>
            </w:tcBorders>
          </w:tcPr>
          <w:p w14:paraId="5EAF4800" w14:textId="53D46AAF" w:rsidR="00883AA6" w:rsidRDefault="00883AA6" w:rsidP="00883AA6">
            <w:pPr>
              <w:spacing w:line="264" w:lineRule="auto"/>
              <w:jc w:val="left"/>
              <w:rPr>
                <w:b/>
                <w:bCs/>
                <w:sz w:val="16"/>
                <w:szCs w:val="16"/>
                <w:rtl/>
              </w:rPr>
            </w:pPr>
            <w:r>
              <w:rPr>
                <w:rFonts w:hint="cs"/>
                <w:b/>
                <w:bCs/>
                <w:sz w:val="16"/>
                <w:szCs w:val="16"/>
                <w:rtl/>
              </w:rPr>
              <w:t xml:space="preserve"> </w:t>
            </w:r>
            <w:r w:rsidRPr="00863250">
              <w:rPr>
                <w:rFonts w:hint="cs"/>
                <w:b/>
                <w:bCs/>
                <w:sz w:val="16"/>
                <w:szCs w:val="16"/>
                <w:rtl/>
              </w:rPr>
              <w:t>0</w:t>
            </w:r>
          </w:p>
        </w:tc>
        <w:tc>
          <w:tcPr>
            <w:tcW w:w="848" w:type="dxa"/>
            <w:gridSpan w:val="2"/>
            <w:tcBorders>
              <w:top w:val="nil"/>
              <w:left w:val="nil"/>
              <w:bottom w:val="nil"/>
              <w:right w:val="nil"/>
            </w:tcBorders>
          </w:tcPr>
          <w:p w14:paraId="056A1327" w14:textId="170D962A" w:rsidR="00883AA6" w:rsidRPr="00863250" w:rsidRDefault="00883AA6" w:rsidP="00883AA6">
            <w:pPr>
              <w:spacing w:line="264" w:lineRule="auto"/>
              <w:jc w:val="left"/>
              <w:rPr>
                <w:sz w:val="16"/>
                <w:szCs w:val="16"/>
                <w:rtl/>
              </w:rPr>
            </w:pPr>
            <w:r w:rsidRPr="00863250">
              <w:rPr>
                <w:rFonts w:hint="cs"/>
                <w:sz w:val="16"/>
                <w:szCs w:val="16"/>
                <w:rtl/>
              </w:rPr>
              <w:t>[ פרט ]</w:t>
            </w:r>
          </w:p>
        </w:tc>
        <w:tc>
          <w:tcPr>
            <w:tcW w:w="1134" w:type="dxa"/>
            <w:gridSpan w:val="2"/>
            <w:tcBorders>
              <w:top w:val="nil"/>
              <w:left w:val="nil"/>
              <w:bottom w:val="nil"/>
              <w:right w:val="nil"/>
            </w:tcBorders>
          </w:tcPr>
          <w:p w14:paraId="516D68E7" w14:textId="7F4693E2" w:rsidR="00883AA6" w:rsidRPr="00863250" w:rsidRDefault="00883AA6" w:rsidP="00883AA6">
            <w:pPr>
              <w:spacing w:line="264" w:lineRule="auto"/>
              <w:jc w:val="left"/>
              <w:rPr>
                <w:sz w:val="16"/>
                <w:szCs w:val="16"/>
                <w:rtl/>
              </w:rPr>
            </w:pPr>
            <w:r w:rsidRPr="00863250">
              <w:rPr>
                <w:rFonts w:hint="cs"/>
                <w:sz w:val="16"/>
                <w:szCs w:val="16"/>
                <w:rtl/>
              </w:rPr>
              <w:t>[ פרט ]</w:t>
            </w:r>
          </w:p>
        </w:tc>
        <w:tc>
          <w:tcPr>
            <w:tcW w:w="567" w:type="dxa"/>
            <w:gridSpan w:val="2"/>
            <w:tcBorders>
              <w:top w:val="nil"/>
              <w:left w:val="nil"/>
              <w:bottom w:val="nil"/>
              <w:right w:val="nil"/>
            </w:tcBorders>
          </w:tcPr>
          <w:p w14:paraId="6D5E466C" w14:textId="51A44202" w:rsidR="00883AA6" w:rsidRDefault="00883AA6" w:rsidP="00883AA6">
            <w:pPr>
              <w:spacing w:line="264" w:lineRule="auto"/>
              <w:jc w:val="left"/>
              <w:rPr>
                <w:b/>
                <w:bCs/>
                <w:sz w:val="16"/>
                <w:szCs w:val="16"/>
                <w:rtl/>
              </w:rPr>
            </w:pPr>
            <w:r>
              <w:rPr>
                <w:rFonts w:hint="cs"/>
                <w:b/>
                <w:bCs/>
                <w:sz w:val="16"/>
                <w:szCs w:val="16"/>
                <w:rtl/>
              </w:rPr>
              <w:t xml:space="preserve"> </w:t>
            </w:r>
            <w:r w:rsidRPr="00863250">
              <w:rPr>
                <w:rFonts w:hint="cs"/>
                <w:b/>
                <w:bCs/>
                <w:sz w:val="16"/>
                <w:szCs w:val="16"/>
                <w:rtl/>
              </w:rPr>
              <w:t>0</w:t>
            </w:r>
            <w:r>
              <w:rPr>
                <w:rFonts w:hint="cs"/>
                <w:b/>
                <w:bCs/>
                <w:sz w:val="16"/>
                <w:szCs w:val="16"/>
                <w:rtl/>
              </w:rPr>
              <w:t xml:space="preserve"> </w:t>
            </w:r>
          </w:p>
        </w:tc>
        <w:tc>
          <w:tcPr>
            <w:tcW w:w="850" w:type="dxa"/>
            <w:gridSpan w:val="2"/>
            <w:tcBorders>
              <w:top w:val="nil"/>
              <w:left w:val="nil"/>
              <w:bottom w:val="nil"/>
              <w:right w:val="nil"/>
            </w:tcBorders>
          </w:tcPr>
          <w:p w14:paraId="54C09BA3" w14:textId="258518C6" w:rsidR="00883AA6" w:rsidRPr="00863250" w:rsidRDefault="00883AA6" w:rsidP="00883AA6">
            <w:pPr>
              <w:spacing w:line="264" w:lineRule="auto"/>
              <w:jc w:val="left"/>
              <w:rPr>
                <w:sz w:val="16"/>
                <w:szCs w:val="16"/>
                <w:rtl/>
              </w:rPr>
            </w:pPr>
            <w:r w:rsidRPr="00863250">
              <w:rPr>
                <w:rFonts w:hint="cs"/>
                <w:sz w:val="16"/>
                <w:szCs w:val="16"/>
                <w:rtl/>
              </w:rPr>
              <w:t>[ פרט ]</w:t>
            </w:r>
          </w:p>
        </w:tc>
        <w:tc>
          <w:tcPr>
            <w:tcW w:w="993" w:type="dxa"/>
            <w:gridSpan w:val="3"/>
            <w:tcBorders>
              <w:top w:val="nil"/>
              <w:left w:val="nil"/>
              <w:bottom w:val="nil"/>
              <w:right w:val="nil"/>
            </w:tcBorders>
          </w:tcPr>
          <w:p w14:paraId="7C1FA689" w14:textId="7E1439CB" w:rsidR="00883AA6" w:rsidRPr="00863250" w:rsidRDefault="00883AA6" w:rsidP="00883AA6">
            <w:pPr>
              <w:spacing w:line="264" w:lineRule="auto"/>
              <w:jc w:val="left"/>
              <w:rPr>
                <w:sz w:val="16"/>
                <w:szCs w:val="16"/>
                <w:rtl/>
              </w:rPr>
            </w:pPr>
            <w:r w:rsidRPr="00863250">
              <w:rPr>
                <w:rFonts w:hint="cs"/>
                <w:sz w:val="16"/>
                <w:szCs w:val="16"/>
                <w:rtl/>
              </w:rPr>
              <w:t>[ פרט ]</w:t>
            </w:r>
          </w:p>
        </w:tc>
      </w:tr>
      <w:tr w:rsidR="00883AA6" w:rsidRPr="00863250" w14:paraId="4769A804" w14:textId="77777777" w:rsidTr="00770120">
        <w:trPr>
          <w:trHeight w:val="259"/>
        </w:trPr>
        <w:tc>
          <w:tcPr>
            <w:tcW w:w="2665" w:type="dxa"/>
            <w:gridSpan w:val="2"/>
            <w:tcBorders>
              <w:top w:val="nil"/>
              <w:left w:val="nil"/>
              <w:bottom w:val="nil"/>
              <w:right w:val="nil"/>
            </w:tcBorders>
            <w:shd w:val="clear" w:color="auto" w:fill="auto"/>
          </w:tcPr>
          <w:p w14:paraId="389D8795" w14:textId="60E82DC5" w:rsidR="00883AA6" w:rsidRPr="00FA0B52" w:rsidRDefault="00883AA6" w:rsidP="00883AA6">
            <w:pPr>
              <w:spacing w:line="264" w:lineRule="auto"/>
              <w:ind w:left="144" w:hanging="144"/>
              <w:jc w:val="left"/>
              <w:rPr>
                <w:color w:val="000000"/>
                <w:sz w:val="18"/>
                <w:szCs w:val="18"/>
                <w:rtl/>
                <w:lang w:eastAsia="he-IL"/>
              </w:rPr>
            </w:pPr>
            <w:r>
              <w:rPr>
                <w:rFonts w:hint="cs"/>
                <w:sz w:val="18"/>
                <w:szCs w:val="18"/>
                <w:rtl/>
              </w:rPr>
              <w:t xml:space="preserve">אחרים </w:t>
            </w:r>
            <w:r w:rsidRPr="00BB11DF">
              <w:rPr>
                <w:rFonts w:hint="cs"/>
                <w:sz w:val="18"/>
                <w:szCs w:val="18"/>
                <w:rtl/>
              </w:rPr>
              <w:t>[פרט אם מהותי]</w:t>
            </w:r>
          </w:p>
        </w:tc>
        <w:tc>
          <w:tcPr>
            <w:tcW w:w="1556" w:type="dxa"/>
            <w:gridSpan w:val="2"/>
            <w:tcBorders>
              <w:top w:val="nil"/>
              <w:left w:val="nil"/>
              <w:bottom w:val="nil"/>
              <w:right w:val="nil"/>
            </w:tcBorders>
          </w:tcPr>
          <w:p w14:paraId="0E672D5B" w14:textId="47C30A82" w:rsidR="00883AA6" w:rsidRPr="00863250" w:rsidRDefault="00883AA6" w:rsidP="00883AA6">
            <w:pPr>
              <w:spacing w:line="264" w:lineRule="auto"/>
              <w:ind w:left="97" w:hanging="57"/>
              <w:jc w:val="left"/>
              <w:rPr>
                <w:sz w:val="16"/>
                <w:szCs w:val="16"/>
                <w:rtl/>
              </w:rPr>
            </w:pPr>
            <w:r w:rsidRPr="00863250">
              <w:rPr>
                <w:rFonts w:hint="cs"/>
                <w:sz w:val="16"/>
                <w:szCs w:val="16"/>
                <w:rtl/>
              </w:rPr>
              <w:t>[ פרט ]</w:t>
            </w:r>
          </w:p>
        </w:tc>
        <w:tc>
          <w:tcPr>
            <w:tcW w:w="1701" w:type="dxa"/>
            <w:gridSpan w:val="2"/>
            <w:tcBorders>
              <w:top w:val="nil"/>
              <w:left w:val="nil"/>
              <w:bottom w:val="nil"/>
              <w:right w:val="nil"/>
            </w:tcBorders>
          </w:tcPr>
          <w:p w14:paraId="2743C7D0" w14:textId="2076EA68" w:rsidR="00883AA6" w:rsidRPr="00863250" w:rsidRDefault="00883AA6" w:rsidP="00883AA6">
            <w:pPr>
              <w:spacing w:line="264" w:lineRule="auto"/>
              <w:ind w:left="124" w:hanging="113"/>
              <w:jc w:val="left"/>
              <w:rPr>
                <w:sz w:val="16"/>
                <w:szCs w:val="16"/>
                <w:rtl/>
              </w:rPr>
            </w:pPr>
            <w:r w:rsidRPr="00863250">
              <w:rPr>
                <w:rFonts w:hint="cs"/>
                <w:sz w:val="16"/>
                <w:szCs w:val="16"/>
                <w:rtl/>
              </w:rPr>
              <w:t>[ פרט ]</w:t>
            </w:r>
          </w:p>
        </w:tc>
        <w:tc>
          <w:tcPr>
            <w:tcW w:w="567" w:type="dxa"/>
            <w:gridSpan w:val="2"/>
            <w:tcBorders>
              <w:top w:val="nil"/>
              <w:left w:val="nil"/>
              <w:bottom w:val="nil"/>
              <w:right w:val="nil"/>
            </w:tcBorders>
          </w:tcPr>
          <w:p w14:paraId="6E55428A" w14:textId="0D0B4EB5" w:rsidR="00883AA6" w:rsidRDefault="00883AA6" w:rsidP="00883AA6">
            <w:pPr>
              <w:spacing w:line="264" w:lineRule="auto"/>
              <w:jc w:val="left"/>
              <w:rPr>
                <w:b/>
                <w:bCs/>
                <w:sz w:val="16"/>
                <w:szCs w:val="16"/>
                <w:rtl/>
              </w:rPr>
            </w:pPr>
            <w:r>
              <w:rPr>
                <w:rFonts w:hint="cs"/>
                <w:b/>
                <w:bCs/>
                <w:sz w:val="16"/>
                <w:szCs w:val="16"/>
                <w:rtl/>
              </w:rPr>
              <w:t xml:space="preserve"> </w:t>
            </w:r>
            <w:r w:rsidRPr="00863250">
              <w:rPr>
                <w:rFonts w:hint="cs"/>
                <w:b/>
                <w:bCs/>
                <w:sz w:val="16"/>
                <w:szCs w:val="16"/>
                <w:rtl/>
              </w:rPr>
              <w:t>0</w:t>
            </w:r>
          </w:p>
        </w:tc>
        <w:tc>
          <w:tcPr>
            <w:tcW w:w="851" w:type="dxa"/>
            <w:gridSpan w:val="2"/>
            <w:tcBorders>
              <w:top w:val="nil"/>
              <w:left w:val="nil"/>
              <w:bottom w:val="nil"/>
              <w:right w:val="nil"/>
            </w:tcBorders>
          </w:tcPr>
          <w:p w14:paraId="57E68904" w14:textId="05D72EB4" w:rsidR="00883AA6" w:rsidRPr="00863250" w:rsidRDefault="00883AA6" w:rsidP="00883AA6">
            <w:pPr>
              <w:spacing w:line="264" w:lineRule="auto"/>
              <w:jc w:val="left"/>
              <w:rPr>
                <w:sz w:val="16"/>
                <w:szCs w:val="16"/>
                <w:rtl/>
              </w:rPr>
            </w:pPr>
            <w:r w:rsidRPr="00863250">
              <w:rPr>
                <w:rFonts w:hint="cs"/>
                <w:sz w:val="16"/>
                <w:szCs w:val="16"/>
                <w:rtl/>
              </w:rPr>
              <w:t>[ פרט ]</w:t>
            </w:r>
          </w:p>
        </w:tc>
        <w:tc>
          <w:tcPr>
            <w:tcW w:w="992" w:type="dxa"/>
            <w:gridSpan w:val="2"/>
            <w:tcBorders>
              <w:top w:val="nil"/>
              <w:left w:val="nil"/>
              <w:bottom w:val="nil"/>
              <w:right w:val="nil"/>
            </w:tcBorders>
          </w:tcPr>
          <w:p w14:paraId="4223330C" w14:textId="2B2764AB" w:rsidR="00883AA6" w:rsidRPr="00863250" w:rsidRDefault="00883AA6" w:rsidP="00883AA6">
            <w:pPr>
              <w:spacing w:line="264" w:lineRule="auto"/>
              <w:jc w:val="left"/>
              <w:rPr>
                <w:sz w:val="16"/>
                <w:szCs w:val="16"/>
                <w:rtl/>
              </w:rPr>
            </w:pPr>
            <w:r w:rsidRPr="00863250">
              <w:rPr>
                <w:rFonts w:hint="cs"/>
                <w:sz w:val="16"/>
                <w:szCs w:val="16"/>
                <w:rtl/>
              </w:rPr>
              <w:t>[ פרט ]</w:t>
            </w:r>
          </w:p>
        </w:tc>
        <w:tc>
          <w:tcPr>
            <w:tcW w:w="853" w:type="dxa"/>
            <w:gridSpan w:val="2"/>
            <w:tcBorders>
              <w:top w:val="nil"/>
              <w:left w:val="nil"/>
              <w:bottom w:val="nil"/>
              <w:right w:val="nil"/>
            </w:tcBorders>
          </w:tcPr>
          <w:p w14:paraId="5B6A2FF8" w14:textId="214DAD38" w:rsidR="00883AA6" w:rsidRDefault="00883AA6" w:rsidP="00883AA6">
            <w:pPr>
              <w:spacing w:line="264" w:lineRule="auto"/>
              <w:jc w:val="left"/>
              <w:rPr>
                <w:b/>
                <w:bCs/>
                <w:sz w:val="16"/>
                <w:szCs w:val="16"/>
                <w:rtl/>
              </w:rPr>
            </w:pPr>
            <w:r>
              <w:rPr>
                <w:rFonts w:hint="cs"/>
                <w:b/>
                <w:bCs/>
                <w:sz w:val="16"/>
                <w:szCs w:val="16"/>
                <w:rtl/>
              </w:rPr>
              <w:t xml:space="preserve"> </w:t>
            </w:r>
            <w:r w:rsidRPr="00863250">
              <w:rPr>
                <w:rFonts w:hint="cs"/>
                <w:b/>
                <w:bCs/>
                <w:sz w:val="16"/>
                <w:szCs w:val="16"/>
                <w:rtl/>
              </w:rPr>
              <w:t>0</w:t>
            </w:r>
          </w:p>
        </w:tc>
        <w:tc>
          <w:tcPr>
            <w:tcW w:w="848" w:type="dxa"/>
            <w:gridSpan w:val="2"/>
            <w:tcBorders>
              <w:top w:val="nil"/>
              <w:left w:val="nil"/>
              <w:bottom w:val="nil"/>
              <w:right w:val="nil"/>
            </w:tcBorders>
          </w:tcPr>
          <w:p w14:paraId="13BF2A6B" w14:textId="3BFB008E" w:rsidR="00883AA6" w:rsidRPr="00863250" w:rsidRDefault="00883AA6" w:rsidP="00883AA6">
            <w:pPr>
              <w:spacing w:line="264" w:lineRule="auto"/>
              <w:jc w:val="left"/>
              <w:rPr>
                <w:sz w:val="16"/>
                <w:szCs w:val="16"/>
                <w:rtl/>
              </w:rPr>
            </w:pPr>
            <w:r w:rsidRPr="00863250">
              <w:rPr>
                <w:rFonts w:hint="cs"/>
                <w:sz w:val="16"/>
                <w:szCs w:val="16"/>
                <w:rtl/>
              </w:rPr>
              <w:t>[ פרט ]</w:t>
            </w:r>
          </w:p>
        </w:tc>
        <w:tc>
          <w:tcPr>
            <w:tcW w:w="1134" w:type="dxa"/>
            <w:gridSpan w:val="2"/>
            <w:tcBorders>
              <w:top w:val="nil"/>
              <w:left w:val="nil"/>
              <w:bottom w:val="nil"/>
              <w:right w:val="nil"/>
            </w:tcBorders>
          </w:tcPr>
          <w:p w14:paraId="27CAFEE0" w14:textId="27511ECE" w:rsidR="00883AA6" w:rsidRPr="00863250" w:rsidRDefault="00883AA6" w:rsidP="00883AA6">
            <w:pPr>
              <w:spacing w:line="264" w:lineRule="auto"/>
              <w:jc w:val="left"/>
              <w:rPr>
                <w:sz w:val="16"/>
                <w:szCs w:val="16"/>
                <w:rtl/>
              </w:rPr>
            </w:pPr>
            <w:r w:rsidRPr="00863250">
              <w:rPr>
                <w:rFonts w:hint="cs"/>
                <w:sz w:val="16"/>
                <w:szCs w:val="16"/>
                <w:rtl/>
              </w:rPr>
              <w:t>[ פרט ]</w:t>
            </w:r>
          </w:p>
        </w:tc>
        <w:tc>
          <w:tcPr>
            <w:tcW w:w="567" w:type="dxa"/>
            <w:gridSpan w:val="2"/>
            <w:tcBorders>
              <w:top w:val="nil"/>
              <w:left w:val="nil"/>
              <w:bottom w:val="nil"/>
              <w:right w:val="nil"/>
            </w:tcBorders>
          </w:tcPr>
          <w:p w14:paraId="31A08D1A" w14:textId="6E1788CB" w:rsidR="00883AA6" w:rsidRDefault="00883AA6" w:rsidP="00883AA6">
            <w:pPr>
              <w:spacing w:line="264" w:lineRule="auto"/>
              <w:jc w:val="left"/>
              <w:rPr>
                <w:b/>
                <w:bCs/>
                <w:sz w:val="16"/>
                <w:szCs w:val="16"/>
                <w:rtl/>
              </w:rPr>
            </w:pPr>
            <w:r>
              <w:rPr>
                <w:rFonts w:hint="cs"/>
                <w:b/>
                <w:bCs/>
                <w:sz w:val="16"/>
                <w:szCs w:val="16"/>
                <w:rtl/>
              </w:rPr>
              <w:t xml:space="preserve"> </w:t>
            </w:r>
            <w:r w:rsidRPr="00863250">
              <w:rPr>
                <w:rFonts w:hint="cs"/>
                <w:b/>
                <w:bCs/>
                <w:sz w:val="16"/>
                <w:szCs w:val="16"/>
                <w:rtl/>
              </w:rPr>
              <w:t>0</w:t>
            </w:r>
            <w:r>
              <w:rPr>
                <w:rFonts w:hint="cs"/>
                <w:b/>
                <w:bCs/>
                <w:sz w:val="16"/>
                <w:szCs w:val="16"/>
                <w:rtl/>
              </w:rPr>
              <w:t xml:space="preserve"> </w:t>
            </w:r>
          </w:p>
        </w:tc>
        <w:tc>
          <w:tcPr>
            <w:tcW w:w="850" w:type="dxa"/>
            <w:gridSpan w:val="2"/>
            <w:tcBorders>
              <w:top w:val="nil"/>
              <w:left w:val="nil"/>
              <w:bottom w:val="nil"/>
              <w:right w:val="nil"/>
            </w:tcBorders>
          </w:tcPr>
          <w:p w14:paraId="7751DAFC" w14:textId="17E7CA49" w:rsidR="00883AA6" w:rsidRPr="00863250" w:rsidRDefault="00883AA6" w:rsidP="00883AA6">
            <w:pPr>
              <w:spacing w:line="264" w:lineRule="auto"/>
              <w:jc w:val="left"/>
              <w:rPr>
                <w:sz w:val="16"/>
                <w:szCs w:val="16"/>
                <w:rtl/>
              </w:rPr>
            </w:pPr>
            <w:r w:rsidRPr="00863250">
              <w:rPr>
                <w:rFonts w:hint="cs"/>
                <w:sz w:val="16"/>
                <w:szCs w:val="16"/>
                <w:rtl/>
              </w:rPr>
              <w:t>[ פרט ]</w:t>
            </w:r>
          </w:p>
        </w:tc>
        <w:tc>
          <w:tcPr>
            <w:tcW w:w="993" w:type="dxa"/>
            <w:gridSpan w:val="3"/>
            <w:tcBorders>
              <w:top w:val="nil"/>
              <w:left w:val="nil"/>
              <w:bottom w:val="nil"/>
              <w:right w:val="nil"/>
            </w:tcBorders>
          </w:tcPr>
          <w:p w14:paraId="1A4AECC3" w14:textId="324813C9" w:rsidR="00883AA6" w:rsidRPr="00863250" w:rsidRDefault="00883AA6" w:rsidP="00883AA6">
            <w:pPr>
              <w:spacing w:line="264" w:lineRule="auto"/>
              <w:jc w:val="left"/>
              <w:rPr>
                <w:sz w:val="16"/>
                <w:szCs w:val="16"/>
                <w:rtl/>
              </w:rPr>
            </w:pPr>
            <w:r w:rsidRPr="00863250">
              <w:rPr>
                <w:rFonts w:hint="cs"/>
                <w:sz w:val="16"/>
                <w:szCs w:val="16"/>
                <w:rtl/>
              </w:rPr>
              <w:t>[ פרט ]</w:t>
            </w:r>
          </w:p>
        </w:tc>
      </w:tr>
    </w:tbl>
    <w:p w14:paraId="6BBAFA90" w14:textId="77777777" w:rsidR="00A4658B" w:rsidRDefault="00A4658B"/>
    <w:tbl>
      <w:tblPr>
        <w:bidiVisual/>
        <w:tblW w:w="4732" w:type="pct"/>
        <w:jc w:val="right"/>
        <w:tblLook w:val="0000" w:firstRow="0" w:lastRow="0" w:firstColumn="0" w:lastColumn="0" w:noHBand="0" w:noVBand="0"/>
      </w:tblPr>
      <w:tblGrid>
        <w:gridCol w:w="14321"/>
      </w:tblGrid>
      <w:tr w:rsidR="00883AA6" w:rsidRPr="00863250" w14:paraId="67716A97" w14:textId="77777777" w:rsidTr="00770120">
        <w:trPr>
          <w:trHeight w:val="245"/>
          <w:jc w:val="right"/>
        </w:trPr>
        <w:tc>
          <w:tcPr>
            <w:tcW w:w="14320" w:type="dxa"/>
          </w:tcPr>
          <w:p w14:paraId="66DA801B" w14:textId="77777777" w:rsidR="00883AA6" w:rsidRPr="00863250" w:rsidRDefault="00883AA6" w:rsidP="00F04877">
            <w:pPr>
              <w:spacing w:after="60" w:line="264" w:lineRule="auto"/>
              <w:jc w:val="left"/>
              <w:rPr>
                <w:b/>
                <w:bCs/>
                <w:rtl/>
              </w:rPr>
            </w:pPr>
            <w:r w:rsidRPr="00863250">
              <w:rPr>
                <w:b/>
                <w:bCs/>
                <w:color w:val="000000"/>
                <w:rtl/>
                <w:lang w:eastAsia="he-IL"/>
              </w:rPr>
              <w:t>מידע איכותי לגבי מדידת שווי הוגן ברמה 3</w:t>
            </w:r>
            <w:r w:rsidRPr="00863250">
              <w:rPr>
                <w:rFonts w:hint="cs"/>
                <w:b/>
                <w:bCs/>
                <w:rtl/>
              </w:rPr>
              <w:t>:</w:t>
            </w:r>
          </w:p>
        </w:tc>
      </w:tr>
      <w:tr w:rsidR="00883AA6" w:rsidRPr="00863250" w14:paraId="5C4C9539" w14:textId="77777777" w:rsidTr="00770120">
        <w:trPr>
          <w:trHeight w:val="245"/>
          <w:jc w:val="right"/>
        </w:trPr>
        <w:tc>
          <w:tcPr>
            <w:tcW w:w="14320" w:type="dxa"/>
          </w:tcPr>
          <w:p w14:paraId="48EA36FE" w14:textId="77777777" w:rsidR="00883AA6" w:rsidRPr="00863250" w:rsidRDefault="00883AA6" w:rsidP="00F04877">
            <w:pPr>
              <w:tabs>
                <w:tab w:val="left" w:pos="446"/>
              </w:tabs>
              <w:spacing w:after="60" w:line="264" w:lineRule="auto"/>
              <w:ind w:left="446" w:hanging="446"/>
              <w:rPr>
                <w:b/>
                <w:bCs/>
                <w:rtl/>
              </w:rPr>
            </w:pPr>
            <w:r w:rsidRPr="00863250">
              <w:rPr>
                <w:rFonts w:hint="cs"/>
                <w:b/>
                <w:bCs/>
                <w:rtl/>
              </w:rPr>
              <w:t>[</w:t>
            </w:r>
            <w:r w:rsidRPr="00863250">
              <w:rPr>
                <w:rFonts w:hint="cs"/>
                <w:rtl/>
              </w:rPr>
              <w:t>פרט</w:t>
            </w:r>
            <w:r w:rsidRPr="00863250">
              <w:rPr>
                <w:rFonts w:hint="cs"/>
                <w:b/>
                <w:bCs/>
                <w:rtl/>
              </w:rPr>
              <w:t>]</w:t>
            </w:r>
          </w:p>
        </w:tc>
      </w:tr>
    </w:tbl>
    <w:p w14:paraId="31B520B2" w14:textId="77777777" w:rsidR="00FA0B52" w:rsidRDefault="00FA0B52" w:rsidP="00883AA6">
      <w:pPr>
        <w:pStyle w:val="-2"/>
        <w:rPr>
          <w:rtl/>
        </w:rPr>
        <w:sectPr w:rsidR="00FA0B52" w:rsidSect="00FA0B52">
          <w:headerReference w:type="even" r:id="rId65"/>
          <w:footnotePr>
            <w:numRestart w:val="eachPage"/>
          </w:footnotePr>
          <w:pgSz w:w="16834" w:h="11909" w:orient="landscape" w:code="9"/>
          <w:pgMar w:top="851" w:right="851" w:bottom="851" w:left="851" w:header="720" w:footer="600" w:gutter="0"/>
          <w:cols w:space="720"/>
          <w:bidi/>
          <w:rtlGutter/>
          <w:docGrid w:linePitch="360"/>
        </w:sectPr>
      </w:pPr>
    </w:p>
    <w:p w14:paraId="2DB2F049" w14:textId="77777777" w:rsidR="00CF2A74" w:rsidRDefault="00CF2A74" w:rsidP="00CF2A74">
      <w:pPr>
        <w:pStyle w:val="-fb"/>
        <w:pBdr>
          <w:right w:val="none" w:sz="0" w:space="0" w:color="auto"/>
        </w:pBdr>
        <w:rPr>
          <w:rtl/>
        </w:rPr>
      </w:pPr>
    </w:p>
    <w:tbl>
      <w:tblPr>
        <w:bidiVisual/>
        <w:tblW w:w="881" w:type="pct"/>
        <w:tblInd w:w="-255" w:type="dxa"/>
        <w:tblLook w:val="0000" w:firstRow="0" w:lastRow="0" w:firstColumn="0" w:lastColumn="0" w:noHBand="0" w:noVBand="0"/>
      </w:tblPr>
      <w:tblGrid>
        <w:gridCol w:w="1798"/>
      </w:tblGrid>
      <w:tr w:rsidR="00984F0C" w:rsidRPr="007363C7" w14:paraId="403855DE" w14:textId="77777777" w:rsidTr="00770120">
        <w:trPr>
          <w:trHeight w:val="245"/>
        </w:trPr>
        <w:tc>
          <w:tcPr>
            <w:tcW w:w="1798" w:type="dxa"/>
          </w:tcPr>
          <w:p w14:paraId="3292AE60" w14:textId="77777777" w:rsidR="00984F0C" w:rsidRDefault="00984F0C">
            <w:pPr>
              <w:pStyle w:val="-fa"/>
              <w:ind w:right="0"/>
              <w:rPr>
                <w:rtl/>
              </w:rPr>
            </w:pPr>
            <w:r>
              <w:rPr>
                <w:rFonts w:hint="cs"/>
                <w:rtl/>
              </w:rPr>
              <w:t>ה. המפקח ס' 20.18(ד), 20.19</w:t>
            </w:r>
          </w:p>
        </w:tc>
      </w:tr>
    </w:tbl>
    <w:p w14:paraId="4C42F9F1" w14:textId="77777777" w:rsidR="00984F0C" w:rsidRDefault="00984F0C" w:rsidP="00575CE5">
      <w:pPr>
        <w:pStyle w:val="5"/>
        <w:spacing w:after="40"/>
        <w:ind w:firstLine="1135"/>
      </w:pPr>
      <w:bookmarkStart w:id="59" w:name="_Toc160529238"/>
      <w:r w:rsidRPr="00BC7D2D">
        <w:rPr>
          <w:rFonts w:eastAsia="Arial Unicode MS"/>
          <w:rtl/>
        </w:rPr>
        <w:t xml:space="preserve">ביאור </w:t>
      </w:r>
      <w:r>
        <w:rPr>
          <w:rFonts w:eastAsia="Arial Unicode MS" w:hint="cs"/>
          <w:rtl/>
        </w:rPr>
        <w:t>1</w:t>
      </w:r>
      <w:r w:rsidR="00316579">
        <w:rPr>
          <w:rFonts w:eastAsia="Arial Unicode MS" w:hint="cs"/>
          <w:rtl/>
        </w:rPr>
        <w:t>4</w:t>
      </w:r>
      <w:r>
        <w:rPr>
          <w:rFonts w:eastAsia="Arial Unicode MS" w:hint="cs"/>
          <w:rtl/>
        </w:rPr>
        <w:t>ה</w:t>
      </w:r>
      <w:r w:rsidRPr="00BC7D2D">
        <w:rPr>
          <w:rFonts w:eastAsia="Arial Unicode MS" w:hint="cs"/>
          <w:rtl/>
        </w:rPr>
        <w:t xml:space="preserve">  </w:t>
      </w:r>
      <w:r w:rsidRPr="00BC7D2D">
        <w:rPr>
          <w:rFonts w:eastAsia="Arial Unicode MS"/>
          <w:rtl/>
        </w:rPr>
        <w:t>-</w:t>
      </w:r>
      <w:r w:rsidRPr="00BC7D2D">
        <w:rPr>
          <w:rFonts w:eastAsia="Arial Unicode MS" w:hint="cs"/>
          <w:rtl/>
        </w:rPr>
        <w:t xml:space="preserve"> </w:t>
      </w:r>
      <w:r w:rsidRPr="00BC7D2D">
        <w:rPr>
          <w:rFonts w:eastAsia="Arial Unicode MS"/>
          <w:rtl/>
        </w:rPr>
        <w:t xml:space="preserve"> </w:t>
      </w:r>
      <w:r>
        <w:rPr>
          <w:rFonts w:hint="cs"/>
          <w:rtl/>
        </w:rPr>
        <w:t>חלופת השווי ההוגן</w:t>
      </w:r>
      <w:r>
        <w:rPr>
          <w:rFonts w:eastAsia="Arial Unicode MS" w:hint="cs"/>
          <w:rtl/>
        </w:rPr>
        <w:t xml:space="preserve"> (במאוחד)</w:t>
      </w:r>
      <w:bookmarkEnd w:id="59"/>
    </w:p>
    <w:p w14:paraId="407B79A7" w14:textId="77777777" w:rsidR="00AF7D83" w:rsidRPr="00AD6281" w:rsidRDefault="00AF7D83" w:rsidP="00AF7D83">
      <w:pPr>
        <w:pStyle w:val="-fb"/>
        <w:rPr>
          <w:rtl/>
        </w:rPr>
      </w:pPr>
    </w:p>
    <w:tbl>
      <w:tblPr>
        <w:bidiVisual/>
        <w:tblW w:w="5000" w:type="pct"/>
        <w:tblLayout w:type="fixed"/>
        <w:tblLook w:val="01E0" w:firstRow="1" w:lastRow="1" w:firstColumn="1" w:lastColumn="1" w:noHBand="0" w:noVBand="0"/>
      </w:tblPr>
      <w:tblGrid>
        <w:gridCol w:w="1135"/>
        <w:gridCol w:w="425"/>
        <w:gridCol w:w="4973"/>
        <w:gridCol w:w="754"/>
        <w:gridCol w:w="973"/>
        <w:gridCol w:w="835"/>
        <w:gridCol w:w="1112"/>
      </w:tblGrid>
      <w:tr w:rsidR="005D0727" w:rsidRPr="00760C50" w14:paraId="74841AD9" w14:textId="77777777" w:rsidTr="00575CE5">
        <w:tc>
          <w:tcPr>
            <w:tcW w:w="1135" w:type="dxa"/>
            <w:vAlign w:val="bottom"/>
          </w:tcPr>
          <w:p w14:paraId="0B2E59E2" w14:textId="77777777" w:rsidR="005D0727" w:rsidRDefault="005D0727" w:rsidP="00CF2A74">
            <w:pPr>
              <w:pStyle w:val="-7"/>
              <w:spacing w:line="220" w:lineRule="exact"/>
              <w:rPr>
                <w:rtl/>
              </w:rPr>
            </w:pPr>
          </w:p>
        </w:tc>
        <w:tc>
          <w:tcPr>
            <w:tcW w:w="425" w:type="dxa"/>
          </w:tcPr>
          <w:p w14:paraId="0C3AE010" w14:textId="077651C3" w:rsidR="005D0727" w:rsidRPr="00984F0C" w:rsidRDefault="005D0727" w:rsidP="009B0D11">
            <w:pPr>
              <w:pStyle w:val="-7"/>
              <w:spacing w:after="80" w:line="220" w:lineRule="exact"/>
              <w:rPr>
                <w:b/>
                <w:bCs/>
                <w:rtl/>
              </w:rPr>
            </w:pPr>
            <w:r w:rsidRPr="00984F0C">
              <w:rPr>
                <w:rFonts w:hint="cs"/>
                <w:b/>
                <w:bCs/>
                <w:rtl/>
              </w:rPr>
              <w:t>א.</w:t>
            </w:r>
          </w:p>
        </w:tc>
        <w:tc>
          <w:tcPr>
            <w:tcW w:w="8647" w:type="dxa"/>
            <w:gridSpan w:val="5"/>
            <w:vAlign w:val="bottom"/>
          </w:tcPr>
          <w:p w14:paraId="5ECCDE96" w14:textId="4392672D" w:rsidR="005D0727" w:rsidRPr="009B0D11" w:rsidRDefault="005D0727" w:rsidP="009B0D11">
            <w:pPr>
              <w:pStyle w:val="-4"/>
              <w:pBdr>
                <w:bottom w:val="none" w:sz="0" w:space="0" w:color="auto"/>
              </w:pBdr>
              <w:spacing w:after="80" w:line="220" w:lineRule="exact"/>
              <w:jc w:val="left"/>
              <w:rPr>
                <w:sz w:val="18"/>
                <w:szCs w:val="18"/>
                <w:rtl/>
              </w:rPr>
            </w:pPr>
            <w:r w:rsidRPr="009B0D11">
              <w:rPr>
                <w:rFonts w:hint="eastAsia"/>
                <w:sz w:val="18"/>
                <w:szCs w:val="18"/>
                <w:rtl/>
              </w:rPr>
              <w:t>הרכב</w:t>
            </w:r>
            <w:r w:rsidRPr="009B0D11">
              <w:rPr>
                <w:sz w:val="18"/>
                <w:szCs w:val="18"/>
                <w:rtl/>
              </w:rPr>
              <w:t>:</w:t>
            </w:r>
            <w:r w:rsidRPr="009B0D11">
              <w:rPr>
                <w:sz w:val="18"/>
                <w:szCs w:val="18"/>
                <w:vertAlign w:val="superscript"/>
                <w:rtl/>
              </w:rPr>
              <w:t>[</w:t>
            </w:r>
            <w:r w:rsidRPr="009B0D11">
              <w:rPr>
                <w:sz w:val="18"/>
                <w:szCs w:val="18"/>
                <w:vertAlign w:val="superscript"/>
                <w:rtl/>
              </w:rPr>
              <w:footnoteReference w:id="137"/>
            </w:r>
            <w:r w:rsidRPr="009B0D11">
              <w:rPr>
                <w:sz w:val="18"/>
                <w:szCs w:val="18"/>
                <w:vertAlign w:val="superscript"/>
                <w:rtl/>
              </w:rPr>
              <w:t>]</w:t>
            </w:r>
          </w:p>
        </w:tc>
      </w:tr>
      <w:tr w:rsidR="0082482A" w:rsidRPr="00760C50" w14:paraId="506B7E17" w14:textId="77777777" w:rsidTr="00575CE5">
        <w:tc>
          <w:tcPr>
            <w:tcW w:w="1135" w:type="dxa"/>
            <w:vAlign w:val="bottom"/>
          </w:tcPr>
          <w:p w14:paraId="1CF12E72" w14:textId="77777777" w:rsidR="006E0BD6" w:rsidRDefault="006E0BD6" w:rsidP="00CF2A74">
            <w:pPr>
              <w:pStyle w:val="-7"/>
              <w:spacing w:line="220" w:lineRule="exact"/>
              <w:rPr>
                <w:rtl/>
              </w:rPr>
            </w:pPr>
          </w:p>
        </w:tc>
        <w:tc>
          <w:tcPr>
            <w:tcW w:w="425" w:type="dxa"/>
          </w:tcPr>
          <w:p w14:paraId="6B8F7BF7" w14:textId="77777777" w:rsidR="006E0BD6" w:rsidRDefault="006E0BD6" w:rsidP="00CF2A74">
            <w:pPr>
              <w:pStyle w:val="-7"/>
              <w:spacing w:line="220" w:lineRule="exact"/>
              <w:rPr>
                <w:rtl/>
              </w:rPr>
            </w:pPr>
          </w:p>
        </w:tc>
        <w:tc>
          <w:tcPr>
            <w:tcW w:w="4973" w:type="dxa"/>
            <w:vAlign w:val="bottom"/>
          </w:tcPr>
          <w:p w14:paraId="7A93A78A" w14:textId="77777777" w:rsidR="006E0BD6" w:rsidRDefault="006E0BD6" w:rsidP="00CF2A74">
            <w:pPr>
              <w:pStyle w:val="-7"/>
              <w:spacing w:line="220" w:lineRule="exact"/>
              <w:rPr>
                <w:rtl/>
              </w:rPr>
            </w:pPr>
          </w:p>
        </w:tc>
        <w:tc>
          <w:tcPr>
            <w:tcW w:w="3674" w:type="dxa"/>
            <w:gridSpan w:val="4"/>
            <w:vAlign w:val="bottom"/>
          </w:tcPr>
          <w:p w14:paraId="0D8F603B" w14:textId="1F19E1E9" w:rsidR="006E0BD6" w:rsidRPr="00511159" w:rsidRDefault="006E0BD6" w:rsidP="001977FC">
            <w:pPr>
              <w:pStyle w:val="-4"/>
              <w:spacing w:line="220" w:lineRule="exact"/>
              <w:rPr>
                <w:sz w:val="18"/>
                <w:szCs w:val="18"/>
                <w:rtl/>
              </w:rPr>
            </w:pPr>
            <w:r w:rsidRPr="00511159">
              <w:rPr>
                <w:rFonts w:hint="cs"/>
                <w:sz w:val="18"/>
                <w:szCs w:val="18"/>
                <w:rtl/>
              </w:rPr>
              <w:t xml:space="preserve">30 ביוני </w:t>
            </w:r>
            <w:r w:rsidR="000F2F12" w:rsidRPr="00511159">
              <w:rPr>
                <w:sz w:val="18"/>
                <w:szCs w:val="18"/>
                <w:rtl/>
              </w:rPr>
              <w:fldChar w:fldCharType="begin"/>
            </w:r>
            <w:r w:rsidR="000F2F12" w:rsidRPr="00511159">
              <w:rPr>
                <w:sz w:val="18"/>
                <w:szCs w:val="18"/>
                <w:rtl/>
              </w:rPr>
              <w:instrText xml:space="preserve"> = </w:instrText>
            </w:r>
            <w:r w:rsidR="000F2F12" w:rsidRPr="00511159">
              <w:rPr>
                <w:sz w:val="18"/>
                <w:szCs w:val="18"/>
              </w:rPr>
              <w:instrText>CY \* MERGEFORMAT</w:instrText>
            </w:r>
            <w:r w:rsidR="000F2F12" w:rsidRPr="00511159">
              <w:rPr>
                <w:sz w:val="18"/>
                <w:szCs w:val="18"/>
                <w:rtl/>
              </w:rPr>
              <w:instrText xml:space="preserve"> </w:instrText>
            </w:r>
            <w:r w:rsidR="000F2F12" w:rsidRPr="00511159">
              <w:rPr>
                <w:sz w:val="18"/>
                <w:szCs w:val="18"/>
                <w:rtl/>
              </w:rPr>
              <w:fldChar w:fldCharType="separate"/>
            </w:r>
            <w:r w:rsidR="003A584F">
              <w:rPr>
                <w:noProof/>
                <w:sz w:val="18"/>
                <w:szCs w:val="18"/>
                <w:rtl/>
              </w:rPr>
              <w:t>2024</w:t>
            </w:r>
            <w:r w:rsidR="000F2F12" w:rsidRPr="00511159">
              <w:rPr>
                <w:sz w:val="18"/>
                <w:szCs w:val="18"/>
                <w:rtl/>
              </w:rPr>
              <w:fldChar w:fldCharType="end"/>
            </w:r>
            <w:r w:rsidR="00997731">
              <w:rPr>
                <w:rFonts w:hint="cs"/>
                <w:sz w:val="18"/>
                <w:szCs w:val="18"/>
                <w:rtl/>
              </w:rPr>
              <w:t xml:space="preserve">  </w:t>
            </w:r>
            <w:r w:rsidR="00997731" w:rsidRPr="00395E5C">
              <w:rPr>
                <w:rFonts w:hint="cs"/>
                <w:b w:val="0"/>
                <w:bCs w:val="0"/>
                <w:sz w:val="18"/>
                <w:szCs w:val="18"/>
                <w:rtl/>
              </w:rPr>
              <w:t>(</w:t>
            </w:r>
            <w:r w:rsidR="00997731" w:rsidRPr="00395E5C">
              <w:rPr>
                <w:rFonts w:hint="eastAsia"/>
                <w:b w:val="0"/>
                <w:bCs w:val="0"/>
                <w:sz w:val="18"/>
                <w:szCs w:val="18"/>
                <w:rtl/>
              </w:rPr>
              <w:t>בלתי</w:t>
            </w:r>
            <w:r w:rsidR="00997731" w:rsidRPr="00395E5C">
              <w:rPr>
                <w:b w:val="0"/>
                <w:bCs w:val="0"/>
                <w:sz w:val="18"/>
                <w:szCs w:val="18"/>
                <w:rtl/>
              </w:rPr>
              <w:t xml:space="preserve"> </w:t>
            </w:r>
            <w:r w:rsidR="00997731" w:rsidRPr="00395E5C">
              <w:rPr>
                <w:rFonts w:hint="eastAsia"/>
                <w:b w:val="0"/>
                <w:bCs w:val="0"/>
                <w:sz w:val="18"/>
                <w:szCs w:val="18"/>
                <w:rtl/>
              </w:rPr>
              <w:t>מבוקר</w:t>
            </w:r>
            <w:r w:rsidR="00997731" w:rsidRPr="00395E5C">
              <w:rPr>
                <w:rFonts w:hint="cs"/>
                <w:b w:val="0"/>
                <w:bCs w:val="0"/>
                <w:sz w:val="18"/>
                <w:szCs w:val="18"/>
                <w:rtl/>
              </w:rPr>
              <w:t>)</w:t>
            </w:r>
          </w:p>
        </w:tc>
      </w:tr>
      <w:tr w:rsidR="0082482A" w:rsidRPr="006E0BD6" w14:paraId="0AA9EC4B" w14:textId="77777777" w:rsidTr="00575CE5">
        <w:tc>
          <w:tcPr>
            <w:tcW w:w="1135" w:type="dxa"/>
            <w:vAlign w:val="bottom"/>
          </w:tcPr>
          <w:p w14:paraId="18FAF08B" w14:textId="77777777" w:rsidR="00F32A2A" w:rsidRDefault="00F32A2A">
            <w:pPr>
              <w:pStyle w:val="-7"/>
              <w:spacing w:line="240" w:lineRule="auto"/>
              <w:rPr>
                <w:sz w:val="18"/>
                <w:szCs w:val="18"/>
                <w:rtl/>
              </w:rPr>
            </w:pPr>
          </w:p>
        </w:tc>
        <w:tc>
          <w:tcPr>
            <w:tcW w:w="425" w:type="dxa"/>
          </w:tcPr>
          <w:p w14:paraId="6DEAC5E8" w14:textId="77777777" w:rsidR="00F32A2A" w:rsidRDefault="00F32A2A">
            <w:pPr>
              <w:pStyle w:val="-7"/>
              <w:spacing w:line="240" w:lineRule="auto"/>
              <w:rPr>
                <w:sz w:val="18"/>
                <w:szCs w:val="18"/>
                <w:rtl/>
              </w:rPr>
            </w:pPr>
          </w:p>
        </w:tc>
        <w:tc>
          <w:tcPr>
            <w:tcW w:w="4973" w:type="dxa"/>
            <w:vAlign w:val="bottom"/>
          </w:tcPr>
          <w:p w14:paraId="62B74513" w14:textId="77777777" w:rsidR="00F32A2A" w:rsidRDefault="00F32A2A">
            <w:pPr>
              <w:pStyle w:val="-7"/>
              <w:spacing w:line="240" w:lineRule="auto"/>
              <w:rPr>
                <w:sz w:val="18"/>
                <w:szCs w:val="18"/>
                <w:rtl/>
              </w:rPr>
            </w:pPr>
          </w:p>
        </w:tc>
        <w:tc>
          <w:tcPr>
            <w:tcW w:w="754" w:type="dxa"/>
            <w:vAlign w:val="bottom"/>
          </w:tcPr>
          <w:p w14:paraId="2BE1C40B" w14:textId="77777777" w:rsidR="00F32A2A" w:rsidRDefault="00B44059">
            <w:pPr>
              <w:pStyle w:val="-4"/>
              <w:spacing w:line="240" w:lineRule="auto"/>
              <w:rPr>
                <w:sz w:val="18"/>
                <w:szCs w:val="18"/>
                <w:rtl/>
              </w:rPr>
            </w:pPr>
            <w:r w:rsidRPr="00B44059">
              <w:rPr>
                <w:rFonts w:hint="eastAsia"/>
                <w:sz w:val="18"/>
                <w:szCs w:val="18"/>
                <w:rtl/>
              </w:rPr>
              <w:t>שווי</w:t>
            </w:r>
            <w:r w:rsidRPr="00B44059">
              <w:rPr>
                <w:sz w:val="18"/>
                <w:szCs w:val="18"/>
                <w:rtl/>
              </w:rPr>
              <w:t xml:space="preserve"> </w:t>
            </w:r>
            <w:r w:rsidRPr="00B44059">
              <w:rPr>
                <w:rFonts w:hint="eastAsia"/>
                <w:sz w:val="18"/>
                <w:szCs w:val="18"/>
                <w:rtl/>
              </w:rPr>
              <w:t>הוגן</w:t>
            </w:r>
          </w:p>
        </w:tc>
        <w:tc>
          <w:tcPr>
            <w:tcW w:w="973" w:type="dxa"/>
            <w:vAlign w:val="bottom"/>
          </w:tcPr>
          <w:p w14:paraId="0F2AA12E" w14:textId="77777777" w:rsidR="00F32A2A" w:rsidRDefault="00B44059">
            <w:pPr>
              <w:pStyle w:val="-4"/>
              <w:spacing w:line="240" w:lineRule="auto"/>
              <w:rPr>
                <w:sz w:val="18"/>
                <w:szCs w:val="18"/>
                <w:rtl/>
              </w:rPr>
            </w:pPr>
            <w:r w:rsidRPr="00B44059">
              <w:rPr>
                <w:rFonts w:hint="eastAsia"/>
                <w:sz w:val="18"/>
                <w:szCs w:val="18"/>
                <w:rtl/>
              </w:rPr>
              <w:t>יתרת</w:t>
            </w:r>
            <w:r w:rsidRPr="00B44059">
              <w:rPr>
                <w:sz w:val="18"/>
                <w:szCs w:val="18"/>
                <w:rtl/>
              </w:rPr>
              <w:t xml:space="preserve"> </w:t>
            </w:r>
            <w:r w:rsidRPr="00B44059">
              <w:rPr>
                <w:rFonts w:hint="eastAsia"/>
                <w:sz w:val="18"/>
                <w:szCs w:val="18"/>
                <w:rtl/>
              </w:rPr>
              <w:t>קרן</w:t>
            </w:r>
            <w:r w:rsidRPr="00B44059">
              <w:rPr>
                <w:sz w:val="18"/>
                <w:szCs w:val="18"/>
                <w:rtl/>
              </w:rPr>
              <w:t xml:space="preserve"> </w:t>
            </w:r>
            <w:r w:rsidRPr="00B44059">
              <w:rPr>
                <w:rFonts w:hint="eastAsia"/>
                <w:sz w:val="18"/>
                <w:szCs w:val="18"/>
                <w:rtl/>
              </w:rPr>
              <w:t>שלא</w:t>
            </w:r>
            <w:r w:rsidRPr="00B44059">
              <w:rPr>
                <w:sz w:val="18"/>
                <w:szCs w:val="18"/>
                <w:rtl/>
              </w:rPr>
              <w:t xml:space="preserve"> </w:t>
            </w:r>
            <w:r w:rsidRPr="00B44059">
              <w:rPr>
                <w:rFonts w:hint="eastAsia"/>
                <w:sz w:val="18"/>
                <w:szCs w:val="18"/>
                <w:rtl/>
              </w:rPr>
              <w:t>נפרעה</w:t>
            </w:r>
          </w:p>
        </w:tc>
        <w:tc>
          <w:tcPr>
            <w:tcW w:w="835" w:type="dxa"/>
            <w:vAlign w:val="bottom"/>
          </w:tcPr>
          <w:p w14:paraId="71762A9D" w14:textId="77777777" w:rsidR="00F32A2A" w:rsidRDefault="00B44059">
            <w:pPr>
              <w:pStyle w:val="-4"/>
              <w:spacing w:line="240" w:lineRule="auto"/>
              <w:rPr>
                <w:sz w:val="18"/>
                <w:szCs w:val="18"/>
                <w:rtl/>
              </w:rPr>
            </w:pPr>
            <w:r w:rsidRPr="00B44059">
              <w:rPr>
                <w:rFonts w:hint="eastAsia"/>
                <w:sz w:val="18"/>
                <w:szCs w:val="18"/>
                <w:rtl/>
              </w:rPr>
              <w:t>הפרש</w:t>
            </w:r>
          </w:p>
        </w:tc>
        <w:tc>
          <w:tcPr>
            <w:tcW w:w="1112" w:type="dxa"/>
            <w:vAlign w:val="bottom"/>
          </w:tcPr>
          <w:p w14:paraId="5D4DBF1F" w14:textId="4D809573" w:rsidR="00F32A2A" w:rsidRDefault="00B44059">
            <w:pPr>
              <w:pStyle w:val="-4"/>
              <w:spacing w:line="240" w:lineRule="auto"/>
              <w:rPr>
                <w:sz w:val="18"/>
                <w:szCs w:val="18"/>
                <w:rtl/>
              </w:rPr>
            </w:pPr>
            <w:r w:rsidRPr="00B44059">
              <w:rPr>
                <w:rFonts w:hint="eastAsia"/>
                <w:sz w:val="18"/>
                <w:szCs w:val="18"/>
                <w:rtl/>
              </w:rPr>
              <w:t>רווחים</w:t>
            </w:r>
            <w:r w:rsidRPr="00B44059">
              <w:rPr>
                <w:sz w:val="18"/>
                <w:szCs w:val="18"/>
                <w:rtl/>
              </w:rPr>
              <w:t xml:space="preserve"> (הפסדים) </w:t>
            </w:r>
            <w:r w:rsidRPr="00B44059">
              <w:rPr>
                <w:rFonts w:hint="eastAsia"/>
                <w:sz w:val="18"/>
                <w:szCs w:val="18"/>
                <w:rtl/>
              </w:rPr>
              <w:t>בגין</w:t>
            </w:r>
            <w:r w:rsidRPr="00B44059">
              <w:rPr>
                <w:sz w:val="18"/>
                <w:szCs w:val="18"/>
                <w:rtl/>
              </w:rPr>
              <w:t xml:space="preserve"> </w:t>
            </w:r>
            <w:r w:rsidRPr="00B44059">
              <w:rPr>
                <w:rFonts w:hint="eastAsia"/>
                <w:sz w:val="18"/>
                <w:szCs w:val="18"/>
                <w:rtl/>
              </w:rPr>
              <w:t>שינויים</w:t>
            </w:r>
            <w:r w:rsidRPr="00B44059">
              <w:rPr>
                <w:sz w:val="18"/>
                <w:szCs w:val="18"/>
                <w:rtl/>
              </w:rPr>
              <w:t xml:space="preserve"> </w:t>
            </w:r>
            <w:r w:rsidRPr="00B44059">
              <w:rPr>
                <w:rFonts w:hint="eastAsia"/>
                <w:sz w:val="18"/>
                <w:szCs w:val="18"/>
                <w:rtl/>
              </w:rPr>
              <w:t>בשווי</w:t>
            </w:r>
            <w:r w:rsidRPr="00B44059">
              <w:rPr>
                <w:sz w:val="18"/>
                <w:szCs w:val="18"/>
                <w:rtl/>
              </w:rPr>
              <w:t xml:space="preserve"> </w:t>
            </w:r>
            <w:r w:rsidRPr="00B44059">
              <w:rPr>
                <w:rFonts w:hint="eastAsia"/>
                <w:sz w:val="18"/>
                <w:szCs w:val="18"/>
                <w:rtl/>
              </w:rPr>
              <w:t>ההוגן</w:t>
            </w:r>
            <w:r w:rsidRPr="00B44059">
              <w:rPr>
                <w:sz w:val="18"/>
                <w:szCs w:val="18"/>
                <w:rtl/>
              </w:rPr>
              <w:t xml:space="preserve"> </w:t>
            </w:r>
            <w:r w:rsidRPr="00B44059">
              <w:rPr>
                <w:rFonts w:hint="eastAsia"/>
                <w:sz w:val="18"/>
                <w:szCs w:val="18"/>
                <w:rtl/>
              </w:rPr>
              <w:t>לתקופה</w:t>
            </w:r>
          </w:p>
        </w:tc>
      </w:tr>
      <w:tr w:rsidR="0082482A" w:rsidRPr="00760C50" w14:paraId="0898CF11" w14:textId="77777777" w:rsidTr="00575CE5">
        <w:trPr>
          <w:trHeight w:val="259"/>
        </w:trPr>
        <w:tc>
          <w:tcPr>
            <w:tcW w:w="1135" w:type="dxa"/>
            <w:vAlign w:val="bottom"/>
          </w:tcPr>
          <w:p w14:paraId="33DABF88" w14:textId="77777777" w:rsidR="006E0BD6" w:rsidRPr="00760C50" w:rsidRDefault="006E0BD6" w:rsidP="000E328A">
            <w:pPr>
              <w:pStyle w:val="-7"/>
              <w:rPr>
                <w:rtl/>
              </w:rPr>
            </w:pPr>
          </w:p>
        </w:tc>
        <w:tc>
          <w:tcPr>
            <w:tcW w:w="425" w:type="dxa"/>
          </w:tcPr>
          <w:p w14:paraId="69F2866A" w14:textId="77777777" w:rsidR="006E0BD6" w:rsidRPr="00760C50" w:rsidRDefault="006E0BD6" w:rsidP="000E328A">
            <w:pPr>
              <w:pStyle w:val="-0"/>
              <w:rPr>
                <w:rtl/>
              </w:rPr>
            </w:pPr>
          </w:p>
        </w:tc>
        <w:tc>
          <w:tcPr>
            <w:tcW w:w="4973" w:type="dxa"/>
            <w:vAlign w:val="center"/>
          </w:tcPr>
          <w:p w14:paraId="181B91B0" w14:textId="77777777" w:rsidR="006E0BD6" w:rsidRPr="006A77F4" w:rsidRDefault="006E0BD6" w:rsidP="000E328A">
            <w:pPr>
              <w:pStyle w:val="-0"/>
              <w:rPr>
                <w:sz w:val="18"/>
                <w:szCs w:val="18"/>
                <w:u w:val="single"/>
                <w:rtl/>
              </w:rPr>
            </w:pPr>
            <w:r w:rsidRPr="006A77F4">
              <w:rPr>
                <w:rStyle w:val="-c"/>
                <w:rFonts w:hint="cs"/>
                <w:sz w:val="18"/>
                <w:szCs w:val="18"/>
                <w:u w:val="single"/>
                <w:rtl/>
              </w:rPr>
              <w:t>נכסים</w:t>
            </w:r>
          </w:p>
        </w:tc>
        <w:tc>
          <w:tcPr>
            <w:tcW w:w="754" w:type="dxa"/>
            <w:vAlign w:val="bottom"/>
          </w:tcPr>
          <w:p w14:paraId="74B0C61B" w14:textId="77777777" w:rsidR="006E0BD6" w:rsidRPr="00760C50" w:rsidRDefault="006E0BD6" w:rsidP="000E328A">
            <w:pPr>
              <w:pStyle w:val="-3"/>
              <w:rPr>
                <w:rtl/>
              </w:rPr>
            </w:pPr>
          </w:p>
        </w:tc>
        <w:tc>
          <w:tcPr>
            <w:tcW w:w="973" w:type="dxa"/>
            <w:vAlign w:val="bottom"/>
          </w:tcPr>
          <w:p w14:paraId="3CACEA5A" w14:textId="77777777" w:rsidR="006E0BD6" w:rsidRPr="00760C50" w:rsidRDefault="006E0BD6" w:rsidP="000E328A">
            <w:pPr>
              <w:pStyle w:val="-3"/>
              <w:rPr>
                <w:rtl/>
              </w:rPr>
            </w:pPr>
          </w:p>
        </w:tc>
        <w:tc>
          <w:tcPr>
            <w:tcW w:w="835" w:type="dxa"/>
            <w:vAlign w:val="bottom"/>
          </w:tcPr>
          <w:p w14:paraId="50A751F1" w14:textId="77777777" w:rsidR="006E0BD6" w:rsidRPr="00760C50" w:rsidRDefault="006E0BD6" w:rsidP="000E328A">
            <w:pPr>
              <w:pStyle w:val="-3"/>
              <w:rPr>
                <w:rtl/>
              </w:rPr>
            </w:pPr>
          </w:p>
        </w:tc>
        <w:tc>
          <w:tcPr>
            <w:tcW w:w="1112" w:type="dxa"/>
            <w:vAlign w:val="bottom"/>
          </w:tcPr>
          <w:p w14:paraId="3DFF5CD3" w14:textId="77777777" w:rsidR="006E0BD6" w:rsidRPr="00760C50" w:rsidRDefault="006E0BD6" w:rsidP="000E328A">
            <w:pPr>
              <w:pStyle w:val="-3"/>
              <w:rPr>
                <w:rtl/>
              </w:rPr>
            </w:pPr>
          </w:p>
        </w:tc>
      </w:tr>
      <w:tr w:rsidR="0082482A" w:rsidRPr="00760C50" w14:paraId="05D17880" w14:textId="77777777" w:rsidTr="00575CE5">
        <w:trPr>
          <w:trHeight w:val="259"/>
        </w:trPr>
        <w:tc>
          <w:tcPr>
            <w:tcW w:w="1135" w:type="dxa"/>
            <w:vAlign w:val="bottom"/>
          </w:tcPr>
          <w:p w14:paraId="694C6C6E" w14:textId="77777777" w:rsidR="006E0BD6" w:rsidRPr="00760C50" w:rsidRDefault="006E0BD6" w:rsidP="000E328A">
            <w:pPr>
              <w:pStyle w:val="-7"/>
              <w:rPr>
                <w:rtl/>
              </w:rPr>
            </w:pPr>
          </w:p>
        </w:tc>
        <w:tc>
          <w:tcPr>
            <w:tcW w:w="425" w:type="dxa"/>
          </w:tcPr>
          <w:p w14:paraId="33E8AD13" w14:textId="77777777" w:rsidR="006E0BD6" w:rsidRPr="00760C50" w:rsidRDefault="006E0BD6" w:rsidP="000E328A">
            <w:pPr>
              <w:pStyle w:val="-0"/>
              <w:spacing w:line="240" w:lineRule="auto"/>
              <w:ind w:left="432"/>
              <w:rPr>
                <w:rtl/>
              </w:rPr>
            </w:pPr>
          </w:p>
        </w:tc>
        <w:tc>
          <w:tcPr>
            <w:tcW w:w="4973" w:type="dxa"/>
            <w:vAlign w:val="bottom"/>
          </w:tcPr>
          <w:p w14:paraId="00448813" w14:textId="30C2A71F" w:rsidR="00F32A2A" w:rsidRPr="006A77F4" w:rsidRDefault="00A674A4">
            <w:pPr>
              <w:pStyle w:val="-21"/>
              <w:rPr>
                <w:sz w:val="18"/>
                <w:szCs w:val="18"/>
                <w:rtl/>
              </w:rPr>
            </w:pPr>
            <w:r w:rsidRPr="006A77F4">
              <w:rPr>
                <w:rFonts w:hint="cs"/>
                <w:sz w:val="18"/>
                <w:szCs w:val="18"/>
                <w:rtl/>
              </w:rPr>
              <w:t>אגרות</w:t>
            </w:r>
            <w:r w:rsidR="006E0BD6" w:rsidRPr="006A77F4">
              <w:rPr>
                <w:rFonts w:hint="cs"/>
                <w:sz w:val="18"/>
                <w:szCs w:val="18"/>
                <w:rtl/>
              </w:rPr>
              <w:t xml:space="preserve"> חוב זמינות למכירה של ממשלת ישראל </w:t>
            </w:r>
          </w:p>
        </w:tc>
        <w:tc>
          <w:tcPr>
            <w:tcW w:w="754" w:type="dxa"/>
            <w:vAlign w:val="bottom"/>
          </w:tcPr>
          <w:p w14:paraId="6024F008" w14:textId="77777777" w:rsidR="006E0BD6" w:rsidRPr="00760C50" w:rsidRDefault="006E0BD6" w:rsidP="000E328A">
            <w:pPr>
              <w:pStyle w:val="-3"/>
              <w:rPr>
                <w:rtl/>
              </w:rPr>
            </w:pPr>
            <w:r w:rsidRPr="00760C50">
              <w:rPr>
                <w:rFonts w:hint="cs"/>
                <w:rtl/>
              </w:rPr>
              <w:t xml:space="preserve"> </w:t>
            </w:r>
            <w:r w:rsidRPr="00760C50">
              <w:rPr>
                <w:rtl/>
              </w:rPr>
              <w:t>0</w:t>
            </w:r>
          </w:p>
        </w:tc>
        <w:tc>
          <w:tcPr>
            <w:tcW w:w="973" w:type="dxa"/>
            <w:vAlign w:val="bottom"/>
          </w:tcPr>
          <w:p w14:paraId="0419466B" w14:textId="77777777" w:rsidR="006E0BD6" w:rsidRPr="00760C50" w:rsidRDefault="006E0BD6" w:rsidP="000E328A">
            <w:pPr>
              <w:pStyle w:val="-3"/>
              <w:rPr>
                <w:rtl/>
              </w:rPr>
            </w:pPr>
            <w:r w:rsidRPr="00760C50">
              <w:rPr>
                <w:rFonts w:hint="cs"/>
                <w:rtl/>
              </w:rPr>
              <w:t xml:space="preserve"> </w:t>
            </w:r>
            <w:r w:rsidRPr="00760C50">
              <w:rPr>
                <w:rtl/>
              </w:rPr>
              <w:t>0</w:t>
            </w:r>
          </w:p>
        </w:tc>
        <w:tc>
          <w:tcPr>
            <w:tcW w:w="835" w:type="dxa"/>
            <w:vAlign w:val="bottom"/>
          </w:tcPr>
          <w:p w14:paraId="58AF1AC3" w14:textId="77777777" w:rsidR="006E0BD6" w:rsidRPr="00760C50" w:rsidRDefault="006E0BD6" w:rsidP="000E328A">
            <w:pPr>
              <w:pStyle w:val="-3"/>
              <w:rPr>
                <w:rtl/>
              </w:rPr>
            </w:pPr>
            <w:r w:rsidRPr="00760C50">
              <w:rPr>
                <w:rFonts w:hint="cs"/>
                <w:rtl/>
              </w:rPr>
              <w:t xml:space="preserve"> </w:t>
            </w:r>
            <w:r w:rsidRPr="00760C50">
              <w:rPr>
                <w:rtl/>
              </w:rPr>
              <w:t>0</w:t>
            </w:r>
          </w:p>
        </w:tc>
        <w:tc>
          <w:tcPr>
            <w:tcW w:w="1112" w:type="dxa"/>
            <w:vAlign w:val="bottom"/>
          </w:tcPr>
          <w:p w14:paraId="50A284E7" w14:textId="77777777" w:rsidR="006E0BD6" w:rsidRPr="00760C50" w:rsidRDefault="006E0BD6" w:rsidP="000E328A">
            <w:pPr>
              <w:pStyle w:val="-3"/>
              <w:rPr>
                <w:rtl/>
              </w:rPr>
            </w:pPr>
            <w:r w:rsidRPr="00760C50">
              <w:rPr>
                <w:rFonts w:hint="cs"/>
                <w:rtl/>
              </w:rPr>
              <w:t xml:space="preserve"> </w:t>
            </w:r>
            <w:r w:rsidRPr="00760C50">
              <w:rPr>
                <w:rtl/>
              </w:rPr>
              <w:t>0</w:t>
            </w:r>
          </w:p>
        </w:tc>
      </w:tr>
      <w:tr w:rsidR="0082482A" w:rsidRPr="00760C50" w14:paraId="790F81CC" w14:textId="77777777" w:rsidTr="00575CE5">
        <w:trPr>
          <w:trHeight w:val="259"/>
        </w:trPr>
        <w:tc>
          <w:tcPr>
            <w:tcW w:w="1135" w:type="dxa"/>
            <w:vAlign w:val="bottom"/>
          </w:tcPr>
          <w:p w14:paraId="50086D2A" w14:textId="77777777" w:rsidR="006E0BD6" w:rsidRPr="00760C50" w:rsidRDefault="006E0BD6" w:rsidP="000E328A">
            <w:pPr>
              <w:pStyle w:val="-7"/>
              <w:rPr>
                <w:rtl/>
              </w:rPr>
            </w:pPr>
          </w:p>
        </w:tc>
        <w:tc>
          <w:tcPr>
            <w:tcW w:w="425" w:type="dxa"/>
          </w:tcPr>
          <w:p w14:paraId="6E50B39B" w14:textId="77777777" w:rsidR="006E0BD6" w:rsidRPr="00760C50" w:rsidRDefault="006E0BD6" w:rsidP="000E328A">
            <w:pPr>
              <w:pStyle w:val="-0"/>
              <w:spacing w:line="240" w:lineRule="auto"/>
              <w:ind w:left="432"/>
              <w:rPr>
                <w:rtl/>
              </w:rPr>
            </w:pPr>
          </w:p>
        </w:tc>
        <w:tc>
          <w:tcPr>
            <w:tcW w:w="4973" w:type="dxa"/>
            <w:vAlign w:val="bottom"/>
          </w:tcPr>
          <w:p w14:paraId="290728DC" w14:textId="2CF74CCC" w:rsidR="006E0BD6" w:rsidRPr="006A77F4" w:rsidRDefault="00A674A4" w:rsidP="000E328A">
            <w:pPr>
              <w:pStyle w:val="-21"/>
              <w:rPr>
                <w:sz w:val="18"/>
                <w:szCs w:val="18"/>
                <w:rtl/>
              </w:rPr>
            </w:pPr>
            <w:r w:rsidRPr="006A77F4">
              <w:rPr>
                <w:rFonts w:hint="cs"/>
                <w:sz w:val="18"/>
                <w:szCs w:val="18"/>
                <w:rtl/>
              </w:rPr>
              <w:t>אגרות</w:t>
            </w:r>
            <w:r w:rsidR="006E0BD6" w:rsidRPr="006A77F4">
              <w:rPr>
                <w:rFonts w:hint="cs"/>
                <w:sz w:val="18"/>
                <w:szCs w:val="18"/>
                <w:rtl/>
              </w:rPr>
              <w:t xml:space="preserve"> חוב המוחזקות לפדיון של מוסדות פיננסיים זרים </w:t>
            </w:r>
          </w:p>
        </w:tc>
        <w:tc>
          <w:tcPr>
            <w:tcW w:w="754" w:type="dxa"/>
            <w:vAlign w:val="bottom"/>
          </w:tcPr>
          <w:p w14:paraId="12B75AF6" w14:textId="77777777" w:rsidR="006E0BD6" w:rsidRPr="00760C50" w:rsidRDefault="006E0BD6" w:rsidP="000E328A">
            <w:pPr>
              <w:pStyle w:val="-3"/>
              <w:rPr>
                <w:rtl/>
              </w:rPr>
            </w:pPr>
            <w:r w:rsidRPr="00760C50">
              <w:rPr>
                <w:rFonts w:hint="cs"/>
                <w:rtl/>
              </w:rPr>
              <w:t xml:space="preserve"> </w:t>
            </w:r>
            <w:r w:rsidRPr="00760C50">
              <w:rPr>
                <w:rtl/>
              </w:rPr>
              <w:t>0</w:t>
            </w:r>
          </w:p>
        </w:tc>
        <w:tc>
          <w:tcPr>
            <w:tcW w:w="973" w:type="dxa"/>
            <w:vAlign w:val="bottom"/>
          </w:tcPr>
          <w:p w14:paraId="1F295D72" w14:textId="77777777" w:rsidR="006E0BD6" w:rsidRPr="00760C50" w:rsidRDefault="006E0BD6" w:rsidP="000E328A">
            <w:pPr>
              <w:pStyle w:val="-3"/>
              <w:rPr>
                <w:rtl/>
              </w:rPr>
            </w:pPr>
            <w:r w:rsidRPr="00760C50">
              <w:rPr>
                <w:rFonts w:hint="cs"/>
                <w:rtl/>
              </w:rPr>
              <w:t xml:space="preserve"> </w:t>
            </w:r>
            <w:r w:rsidRPr="00760C50">
              <w:rPr>
                <w:rtl/>
              </w:rPr>
              <w:t>0</w:t>
            </w:r>
          </w:p>
        </w:tc>
        <w:tc>
          <w:tcPr>
            <w:tcW w:w="835" w:type="dxa"/>
            <w:vAlign w:val="bottom"/>
          </w:tcPr>
          <w:p w14:paraId="10F29C3C" w14:textId="77777777" w:rsidR="006E0BD6" w:rsidRPr="00760C50" w:rsidRDefault="006E0BD6" w:rsidP="000E328A">
            <w:pPr>
              <w:pStyle w:val="-3"/>
              <w:rPr>
                <w:rtl/>
              </w:rPr>
            </w:pPr>
            <w:r w:rsidRPr="00760C50">
              <w:rPr>
                <w:rFonts w:hint="cs"/>
                <w:rtl/>
              </w:rPr>
              <w:t xml:space="preserve"> </w:t>
            </w:r>
            <w:r w:rsidRPr="00760C50">
              <w:rPr>
                <w:rtl/>
              </w:rPr>
              <w:t>0</w:t>
            </w:r>
          </w:p>
        </w:tc>
        <w:tc>
          <w:tcPr>
            <w:tcW w:w="1112" w:type="dxa"/>
            <w:vAlign w:val="bottom"/>
          </w:tcPr>
          <w:p w14:paraId="466057A7" w14:textId="77777777" w:rsidR="006E0BD6" w:rsidRPr="00760C50" w:rsidRDefault="006E0BD6" w:rsidP="000E328A">
            <w:pPr>
              <w:pStyle w:val="-3"/>
              <w:rPr>
                <w:rtl/>
              </w:rPr>
            </w:pPr>
            <w:r w:rsidRPr="00760C50">
              <w:rPr>
                <w:rFonts w:hint="cs"/>
                <w:rtl/>
              </w:rPr>
              <w:t xml:space="preserve"> </w:t>
            </w:r>
            <w:r w:rsidRPr="00760C50">
              <w:rPr>
                <w:rtl/>
              </w:rPr>
              <w:t>0</w:t>
            </w:r>
          </w:p>
        </w:tc>
      </w:tr>
      <w:tr w:rsidR="0082482A" w:rsidRPr="00760C50" w14:paraId="43D40882" w14:textId="77777777" w:rsidTr="00575CE5">
        <w:trPr>
          <w:trHeight w:val="259"/>
        </w:trPr>
        <w:tc>
          <w:tcPr>
            <w:tcW w:w="1135" w:type="dxa"/>
            <w:vAlign w:val="bottom"/>
          </w:tcPr>
          <w:p w14:paraId="62F37109" w14:textId="77777777" w:rsidR="006E0BD6" w:rsidRPr="00760C50" w:rsidRDefault="006E0BD6" w:rsidP="000E328A">
            <w:pPr>
              <w:pStyle w:val="-7"/>
              <w:rPr>
                <w:rtl/>
              </w:rPr>
            </w:pPr>
          </w:p>
        </w:tc>
        <w:tc>
          <w:tcPr>
            <w:tcW w:w="425" w:type="dxa"/>
          </w:tcPr>
          <w:p w14:paraId="30443EE9" w14:textId="77777777" w:rsidR="006E0BD6" w:rsidRPr="00760C50" w:rsidRDefault="006E0BD6" w:rsidP="000E328A">
            <w:pPr>
              <w:pStyle w:val="-0"/>
              <w:spacing w:line="240" w:lineRule="auto"/>
              <w:ind w:left="432"/>
              <w:rPr>
                <w:rtl/>
              </w:rPr>
            </w:pPr>
          </w:p>
        </w:tc>
        <w:tc>
          <w:tcPr>
            <w:tcW w:w="4973" w:type="dxa"/>
            <w:vAlign w:val="bottom"/>
          </w:tcPr>
          <w:p w14:paraId="452E45EA" w14:textId="77777777" w:rsidR="006E0BD6" w:rsidRPr="00760C50" w:rsidRDefault="006E0BD6" w:rsidP="000E328A">
            <w:pPr>
              <w:pStyle w:val="-0"/>
              <w:rPr>
                <w:rtl/>
              </w:rPr>
            </w:pPr>
          </w:p>
        </w:tc>
        <w:tc>
          <w:tcPr>
            <w:tcW w:w="754" w:type="dxa"/>
            <w:vAlign w:val="bottom"/>
          </w:tcPr>
          <w:p w14:paraId="1B3CF09C" w14:textId="77777777" w:rsidR="006E0BD6" w:rsidRPr="00760C50" w:rsidRDefault="006E0BD6" w:rsidP="000E328A">
            <w:pPr>
              <w:pStyle w:val="-3"/>
              <w:rPr>
                <w:rtl/>
              </w:rPr>
            </w:pPr>
          </w:p>
        </w:tc>
        <w:tc>
          <w:tcPr>
            <w:tcW w:w="973" w:type="dxa"/>
            <w:vAlign w:val="bottom"/>
          </w:tcPr>
          <w:p w14:paraId="0BE758E8" w14:textId="77777777" w:rsidR="006E0BD6" w:rsidRPr="00760C50" w:rsidRDefault="006E0BD6" w:rsidP="000E328A">
            <w:pPr>
              <w:pStyle w:val="-3"/>
              <w:rPr>
                <w:rtl/>
              </w:rPr>
            </w:pPr>
          </w:p>
        </w:tc>
        <w:tc>
          <w:tcPr>
            <w:tcW w:w="835" w:type="dxa"/>
            <w:vAlign w:val="bottom"/>
          </w:tcPr>
          <w:p w14:paraId="454A73A7" w14:textId="77777777" w:rsidR="006E0BD6" w:rsidRPr="00760C50" w:rsidRDefault="006E0BD6" w:rsidP="000E328A">
            <w:pPr>
              <w:pStyle w:val="-3"/>
              <w:rPr>
                <w:rtl/>
              </w:rPr>
            </w:pPr>
          </w:p>
        </w:tc>
        <w:tc>
          <w:tcPr>
            <w:tcW w:w="1112" w:type="dxa"/>
            <w:vAlign w:val="bottom"/>
          </w:tcPr>
          <w:p w14:paraId="5443B06C" w14:textId="77777777" w:rsidR="006E0BD6" w:rsidRPr="00760C50" w:rsidRDefault="006E0BD6" w:rsidP="000E328A">
            <w:pPr>
              <w:pStyle w:val="-3"/>
              <w:rPr>
                <w:rtl/>
              </w:rPr>
            </w:pPr>
          </w:p>
        </w:tc>
      </w:tr>
    </w:tbl>
    <w:p w14:paraId="00A9BCB1" w14:textId="77777777" w:rsidR="005D0727" w:rsidRDefault="005D0727"/>
    <w:tbl>
      <w:tblPr>
        <w:bidiVisual/>
        <w:tblW w:w="5000" w:type="pct"/>
        <w:tblLayout w:type="fixed"/>
        <w:tblLook w:val="01E0" w:firstRow="1" w:lastRow="1" w:firstColumn="1" w:lastColumn="1" w:noHBand="0" w:noVBand="0"/>
      </w:tblPr>
      <w:tblGrid>
        <w:gridCol w:w="1135"/>
        <w:gridCol w:w="425"/>
        <w:gridCol w:w="4973"/>
        <w:gridCol w:w="754"/>
        <w:gridCol w:w="973"/>
        <w:gridCol w:w="835"/>
        <w:gridCol w:w="1112"/>
      </w:tblGrid>
      <w:tr w:rsidR="0082482A" w:rsidRPr="00760C50" w14:paraId="4489FB74" w14:textId="77777777" w:rsidTr="00575CE5">
        <w:trPr>
          <w:trHeight w:val="259"/>
        </w:trPr>
        <w:tc>
          <w:tcPr>
            <w:tcW w:w="1135" w:type="dxa"/>
            <w:vAlign w:val="bottom"/>
          </w:tcPr>
          <w:p w14:paraId="4F4D9F20" w14:textId="77777777" w:rsidR="006E0BD6" w:rsidRDefault="006E0BD6" w:rsidP="00CF2A74">
            <w:pPr>
              <w:pStyle w:val="-7"/>
              <w:spacing w:line="220" w:lineRule="exact"/>
              <w:rPr>
                <w:rtl/>
              </w:rPr>
            </w:pPr>
          </w:p>
        </w:tc>
        <w:tc>
          <w:tcPr>
            <w:tcW w:w="425" w:type="dxa"/>
          </w:tcPr>
          <w:p w14:paraId="6FDE5BB9" w14:textId="77777777" w:rsidR="006E0BD6" w:rsidRDefault="006E0BD6" w:rsidP="00CF2A74">
            <w:pPr>
              <w:pStyle w:val="-7"/>
              <w:spacing w:line="220" w:lineRule="exact"/>
              <w:rPr>
                <w:rtl/>
              </w:rPr>
            </w:pPr>
          </w:p>
        </w:tc>
        <w:tc>
          <w:tcPr>
            <w:tcW w:w="4973" w:type="dxa"/>
            <w:vAlign w:val="bottom"/>
          </w:tcPr>
          <w:p w14:paraId="4071C4E3" w14:textId="77777777" w:rsidR="006E0BD6" w:rsidRDefault="006E0BD6" w:rsidP="00CF2A74">
            <w:pPr>
              <w:pStyle w:val="-7"/>
              <w:spacing w:line="220" w:lineRule="exact"/>
              <w:rPr>
                <w:rtl/>
              </w:rPr>
            </w:pPr>
          </w:p>
        </w:tc>
        <w:tc>
          <w:tcPr>
            <w:tcW w:w="3674" w:type="dxa"/>
            <w:gridSpan w:val="4"/>
            <w:vAlign w:val="bottom"/>
          </w:tcPr>
          <w:p w14:paraId="679B1BE5" w14:textId="73F85225" w:rsidR="006E0BD6" w:rsidRPr="00511159" w:rsidRDefault="006E0BD6" w:rsidP="001977FC">
            <w:pPr>
              <w:pStyle w:val="-4"/>
              <w:spacing w:line="220" w:lineRule="exact"/>
              <w:rPr>
                <w:sz w:val="18"/>
                <w:szCs w:val="18"/>
                <w:rtl/>
              </w:rPr>
            </w:pPr>
            <w:r w:rsidRPr="00511159">
              <w:rPr>
                <w:rFonts w:hint="cs"/>
                <w:sz w:val="18"/>
                <w:szCs w:val="18"/>
                <w:rtl/>
              </w:rPr>
              <w:t xml:space="preserve">30 ביוני </w:t>
            </w:r>
            <w:r w:rsidR="000F2F12" w:rsidRPr="00511159">
              <w:rPr>
                <w:sz w:val="18"/>
                <w:szCs w:val="18"/>
                <w:rtl/>
              </w:rPr>
              <w:fldChar w:fldCharType="begin"/>
            </w:r>
            <w:r w:rsidR="000F2F12" w:rsidRPr="00511159">
              <w:rPr>
                <w:sz w:val="18"/>
                <w:szCs w:val="18"/>
                <w:rtl/>
              </w:rPr>
              <w:instrText xml:space="preserve"> </w:instrText>
            </w:r>
            <w:r w:rsidR="000F2F12" w:rsidRPr="00511159">
              <w:rPr>
                <w:rFonts w:hint="cs"/>
                <w:sz w:val="18"/>
                <w:szCs w:val="18"/>
                <w:rtl/>
              </w:rPr>
              <w:instrText xml:space="preserve">= </w:instrText>
            </w:r>
            <w:r w:rsidR="000F2F12" w:rsidRPr="00511159">
              <w:rPr>
                <w:rFonts w:hint="cs"/>
                <w:sz w:val="18"/>
                <w:szCs w:val="18"/>
              </w:rPr>
              <w:instrText>CY</w:instrText>
            </w:r>
            <w:r w:rsidR="000F2F12" w:rsidRPr="00511159">
              <w:rPr>
                <w:sz w:val="18"/>
                <w:szCs w:val="18"/>
              </w:rPr>
              <w:instrText>-1</w:instrText>
            </w:r>
            <w:r w:rsidR="000F2F12" w:rsidRPr="00511159">
              <w:rPr>
                <w:rFonts w:hint="cs"/>
                <w:sz w:val="18"/>
                <w:szCs w:val="18"/>
              </w:rPr>
              <w:instrText xml:space="preserve"> \* MERGEFORMAT</w:instrText>
            </w:r>
            <w:r w:rsidR="000F2F12" w:rsidRPr="00511159">
              <w:rPr>
                <w:sz w:val="18"/>
                <w:szCs w:val="18"/>
                <w:rtl/>
              </w:rPr>
              <w:instrText xml:space="preserve"> </w:instrText>
            </w:r>
            <w:r w:rsidR="000F2F12" w:rsidRPr="00511159">
              <w:rPr>
                <w:sz w:val="18"/>
                <w:szCs w:val="18"/>
                <w:rtl/>
              </w:rPr>
              <w:fldChar w:fldCharType="separate"/>
            </w:r>
            <w:r w:rsidR="003A584F">
              <w:rPr>
                <w:noProof/>
                <w:sz w:val="18"/>
                <w:szCs w:val="18"/>
                <w:rtl/>
              </w:rPr>
              <w:t>2023</w:t>
            </w:r>
            <w:r w:rsidR="000F2F12" w:rsidRPr="00511159">
              <w:rPr>
                <w:sz w:val="18"/>
                <w:szCs w:val="18"/>
                <w:rtl/>
              </w:rPr>
              <w:fldChar w:fldCharType="end"/>
            </w:r>
            <w:r w:rsidR="00997731">
              <w:rPr>
                <w:rFonts w:hint="cs"/>
                <w:sz w:val="18"/>
                <w:szCs w:val="18"/>
                <w:rtl/>
              </w:rPr>
              <w:t xml:space="preserve">  </w:t>
            </w:r>
            <w:r w:rsidR="00997731" w:rsidRPr="00395E5C">
              <w:rPr>
                <w:rFonts w:hint="cs"/>
                <w:b w:val="0"/>
                <w:bCs w:val="0"/>
                <w:sz w:val="18"/>
                <w:szCs w:val="18"/>
                <w:rtl/>
              </w:rPr>
              <w:t>(</w:t>
            </w:r>
            <w:r w:rsidR="00997731" w:rsidRPr="00395E5C">
              <w:rPr>
                <w:rFonts w:hint="eastAsia"/>
                <w:b w:val="0"/>
                <w:bCs w:val="0"/>
                <w:sz w:val="18"/>
                <w:szCs w:val="18"/>
                <w:rtl/>
              </w:rPr>
              <w:t>בלתי</w:t>
            </w:r>
            <w:r w:rsidR="00997731" w:rsidRPr="00395E5C">
              <w:rPr>
                <w:b w:val="0"/>
                <w:bCs w:val="0"/>
                <w:sz w:val="18"/>
                <w:szCs w:val="18"/>
                <w:rtl/>
              </w:rPr>
              <w:t xml:space="preserve"> </w:t>
            </w:r>
            <w:r w:rsidR="00997731" w:rsidRPr="00395E5C">
              <w:rPr>
                <w:rFonts w:hint="eastAsia"/>
                <w:b w:val="0"/>
                <w:bCs w:val="0"/>
                <w:sz w:val="18"/>
                <w:szCs w:val="18"/>
                <w:rtl/>
              </w:rPr>
              <w:t>מבוקר</w:t>
            </w:r>
            <w:r w:rsidR="00997731" w:rsidRPr="00395E5C">
              <w:rPr>
                <w:rFonts w:hint="cs"/>
                <w:b w:val="0"/>
                <w:bCs w:val="0"/>
                <w:sz w:val="18"/>
                <w:szCs w:val="18"/>
                <w:rtl/>
              </w:rPr>
              <w:t>)</w:t>
            </w:r>
          </w:p>
        </w:tc>
      </w:tr>
      <w:tr w:rsidR="0082482A" w:rsidRPr="006E0BD6" w14:paraId="41920F48" w14:textId="77777777" w:rsidTr="00575CE5">
        <w:trPr>
          <w:trHeight w:val="259"/>
        </w:trPr>
        <w:tc>
          <w:tcPr>
            <w:tcW w:w="1135" w:type="dxa"/>
            <w:vAlign w:val="bottom"/>
          </w:tcPr>
          <w:p w14:paraId="612535F6" w14:textId="77777777" w:rsidR="00F32A2A" w:rsidRDefault="00F32A2A">
            <w:pPr>
              <w:pStyle w:val="-7"/>
              <w:spacing w:line="240" w:lineRule="auto"/>
              <w:rPr>
                <w:sz w:val="18"/>
                <w:szCs w:val="18"/>
                <w:rtl/>
              </w:rPr>
            </w:pPr>
          </w:p>
        </w:tc>
        <w:tc>
          <w:tcPr>
            <w:tcW w:w="425" w:type="dxa"/>
          </w:tcPr>
          <w:p w14:paraId="6B93FD99" w14:textId="77777777" w:rsidR="00F32A2A" w:rsidRDefault="00F32A2A">
            <w:pPr>
              <w:pStyle w:val="-7"/>
              <w:spacing w:line="240" w:lineRule="auto"/>
              <w:rPr>
                <w:sz w:val="18"/>
                <w:szCs w:val="18"/>
                <w:rtl/>
              </w:rPr>
            </w:pPr>
          </w:p>
        </w:tc>
        <w:tc>
          <w:tcPr>
            <w:tcW w:w="4973" w:type="dxa"/>
            <w:vAlign w:val="bottom"/>
          </w:tcPr>
          <w:p w14:paraId="2774D19E" w14:textId="77777777" w:rsidR="00F32A2A" w:rsidRDefault="00F32A2A">
            <w:pPr>
              <w:pStyle w:val="-7"/>
              <w:spacing w:line="240" w:lineRule="auto"/>
              <w:rPr>
                <w:sz w:val="18"/>
                <w:szCs w:val="18"/>
                <w:rtl/>
              </w:rPr>
            </w:pPr>
          </w:p>
        </w:tc>
        <w:tc>
          <w:tcPr>
            <w:tcW w:w="754" w:type="dxa"/>
            <w:vAlign w:val="bottom"/>
          </w:tcPr>
          <w:p w14:paraId="479A57C4" w14:textId="77777777" w:rsidR="00F32A2A" w:rsidRDefault="00B44059">
            <w:pPr>
              <w:pStyle w:val="-4"/>
              <w:spacing w:line="240" w:lineRule="auto"/>
              <w:rPr>
                <w:sz w:val="18"/>
                <w:szCs w:val="18"/>
                <w:rtl/>
              </w:rPr>
            </w:pPr>
            <w:r w:rsidRPr="00B44059">
              <w:rPr>
                <w:rFonts w:hint="eastAsia"/>
                <w:sz w:val="18"/>
                <w:szCs w:val="18"/>
                <w:rtl/>
              </w:rPr>
              <w:t>שווי</w:t>
            </w:r>
            <w:r w:rsidRPr="00B44059">
              <w:rPr>
                <w:sz w:val="18"/>
                <w:szCs w:val="18"/>
                <w:rtl/>
              </w:rPr>
              <w:t xml:space="preserve"> </w:t>
            </w:r>
            <w:r w:rsidRPr="00B44059">
              <w:rPr>
                <w:rFonts w:hint="eastAsia"/>
                <w:sz w:val="18"/>
                <w:szCs w:val="18"/>
                <w:rtl/>
              </w:rPr>
              <w:t>הוגן</w:t>
            </w:r>
          </w:p>
        </w:tc>
        <w:tc>
          <w:tcPr>
            <w:tcW w:w="973" w:type="dxa"/>
            <w:vAlign w:val="bottom"/>
          </w:tcPr>
          <w:p w14:paraId="0725CAFB" w14:textId="77777777" w:rsidR="00F32A2A" w:rsidRDefault="00B44059">
            <w:pPr>
              <w:pStyle w:val="-4"/>
              <w:spacing w:line="240" w:lineRule="auto"/>
              <w:rPr>
                <w:sz w:val="18"/>
                <w:szCs w:val="18"/>
                <w:rtl/>
              </w:rPr>
            </w:pPr>
            <w:r w:rsidRPr="00B44059">
              <w:rPr>
                <w:rFonts w:hint="eastAsia"/>
                <w:sz w:val="18"/>
                <w:szCs w:val="18"/>
                <w:rtl/>
              </w:rPr>
              <w:t>יתרת</w:t>
            </w:r>
            <w:r w:rsidRPr="00B44059">
              <w:rPr>
                <w:sz w:val="18"/>
                <w:szCs w:val="18"/>
                <w:rtl/>
              </w:rPr>
              <w:t xml:space="preserve"> </w:t>
            </w:r>
            <w:r w:rsidRPr="00B44059">
              <w:rPr>
                <w:rFonts w:hint="eastAsia"/>
                <w:sz w:val="18"/>
                <w:szCs w:val="18"/>
                <w:rtl/>
              </w:rPr>
              <w:t>קרן</w:t>
            </w:r>
            <w:r w:rsidRPr="00B44059">
              <w:rPr>
                <w:sz w:val="18"/>
                <w:szCs w:val="18"/>
                <w:rtl/>
              </w:rPr>
              <w:t xml:space="preserve"> </w:t>
            </w:r>
            <w:r w:rsidRPr="00B44059">
              <w:rPr>
                <w:rFonts w:hint="eastAsia"/>
                <w:sz w:val="18"/>
                <w:szCs w:val="18"/>
                <w:rtl/>
              </w:rPr>
              <w:t>שלא</w:t>
            </w:r>
            <w:r w:rsidRPr="00B44059">
              <w:rPr>
                <w:sz w:val="18"/>
                <w:szCs w:val="18"/>
                <w:rtl/>
              </w:rPr>
              <w:t xml:space="preserve"> </w:t>
            </w:r>
            <w:r w:rsidRPr="00B44059">
              <w:rPr>
                <w:rFonts w:hint="eastAsia"/>
                <w:sz w:val="18"/>
                <w:szCs w:val="18"/>
                <w:rtl/>
              </w:rPr>
              <w:t>נפרעה</w:t>
            </w:r>
          </w:p>
        </w:tc>
        <w:tc>
          <w:tcPr>
            <w:tcW w:w="835" w:type="dxa"/>
            <w:vAlign w:val="bottom"/>
          </w:tcPr>
          <w:p w14:paraId="4FE8AB51" w14:textId="77777777" w:rsidR="00F32A2A" w:rsidRDefault="00B44059">
            <w:pPr>
              <w:pStyle w:val="-4"/>
              <w:spacing w:line="240" w:lineRule="auto"/>
              <w:rPr>
                <w:sz w:val="18"/>
                <w:szCs w:val="18"/>
                <w:rtl/>
              </w:rPr>
            </w:pPr>
            <w:r w:rsidRPr="00B44059">
              <w:rPr>
                <w:rFonts w:hint="eastAsia"/>
                <w:sz w:val="18"/>
                <w:szCs w:val="18"/>
                <w:rtl/>
              </w:rPr>
              <w:t>הפרש</w:t>
            </w:r>
          </w:p>
        </w:tc>
        <w:tc>
          <w:tcPr>
            <w:tcW w:w="1112" w:type="dxa"/>
            <w:vAlign w:val="bottom"/>
          </w:tcPr>
          <w:p w14:paraId="2C011BBE" w14:textId="0A8B2D5C" w:rsidR="00F32A2A" w:rsidRDefault="00B44059">
            <w:pPr>
              <w:pStyle w:val="-4"/>
              <w:spacing w:line="240" w:lineRule="auto"/>
              <w:rPr>
                <w:sz w:val="18"/>
                <w:szCs w:val="18"/>
                <w:rtl/>
              </w:rPr>
            </w:pPr>
            <w:r w:rsidRPr="00B44059">
              <w:rPr>
                <w:rFonts w:hint="eastAsia"/>
                <w:sz w:val="18"/>
                <w:szCs w:val="18"/>
                <w:rtl/>
              </w:rPr>
              <w:t>רווחים</w:t>
            </w:r>
            <w:r w:rsidRPr="00B44059">
              <w:rPr>
                <w:sz w:val="18"/>
                <w:szCs w:val="18"/>
                <w:rtl/>
              </w:rPr>
              <w:t xml:space="preserve"> (הפסדים) </w:t>
            </w:r>
            <w:r w:rsidRPr="00B44059">
              <w:rPr>
                <w:rFonts w:hint="eastAsia"/>
                <w:sz w:val="18"/>
                <w:szCs w:val="18"/>
                <w:rtl/>
              </w:rPr>
              <w:t>בגין</w:t>
            </w:r>
            <w:r w:rsidRPr="00B44059">
              <w:rPr>
                <w:sz w:val="18"/>
                <w:szCs w:val="18"/>
                <w:rtl/>
              </w:rPr>
              <w:t xml:space="preserve"> </w:t>
            </w:r>
            <w:r w:rsidRPr="00B44059">
              <w:rPr>
                <w:rFonts w:hint="eastAsia"/>
                <w:sz w:val="18"/>
                <w:szCs w:val="18"/>
                <w:rtl/>
              </w:rPr>
              <w:t>שינויים</w:t>
            </w:r>
            <w:r w:rsidRPr="00B44059">
              <w:rPr>
                <w:sz w:val="18"/>
                <w:szCs w:val="18"/>
                <w:rtl/>
              </w:rPr>
              <w:t xml:space="preserve"> </w:t>
            </w:r>
            <w:r w:rsidRPr="00B44059">
              <w:rPr>
                <w:rFonts w:hint="eastAsia"/>
                <w:sz w:val="18"/>
                <w:szCs w:val="18"/>
                <w:rtl/>
              </w:rPr>
              <w:t>בשווי</w:t>
            </w:r>
            <w:r w:rsidRPr="00B44059">
              <w:rPr>
                <w:sz w:val="18"/>
                <w:szCs w:val="18"/>
                <w:rtl/>
              </w:rPr>
              <w:t xml:space="preserve"> </w:t>
            </w:r>
            <w:r w:rsidRPr="00B44059">
              <w:rPr>
                <w:rFonts w:hint="eastAsia"/>
                <w:sz w:val="18"/>
                <w:szCs w:val="18"/>
                <w:rtl/>
              </w:rPr>
              <w:t>ההוגן</w:t>
            </w:r>
            <w:r w:rsidRPr="00B44059">
              <w:rPr>
                <w:sz w:val="18"/>
                <w:szCs w:val="18"/>
                <w:rtl/>
              </w:rPr>
              <w:t xml:space="preserve"> </w:t>
            </w:r>
            <w:r w:rsidRPr="00B44059">
              <w:rPr>
                <w:rFonts w:hint="eastAsia"/>
                <w:sz w:val="18"/>
                <w:szCs w:val="18"/>
                <w:rtl/>
              </w:rPr>
              <w:t>לתקופה</w:t>
            </w:r>
          </w:p>
        </w:tc>
      </w:tr>
      <w:tr w:rsidR="0082482A" w:rsidRPr="00760C50" w14:paraId="665AEA8D" w14:textId="77777777" w:rsidTr="00575CE5">
        <w:trPr>
          <w:trHeight w:val="259"/>
        </w:trPr>
        <w:tc>
          <w:tcPr>
            <w:tcW w:w="1135" w:type="dxa"/>
            <w:vAlign w:val="bottom"/>
          </w:tcPr>
          <w:p w14:paraId="1B610D08" w14:textId="77777777" w:rsidR="006E0BD6" w:rsidRPr="00760C50" w:rsidRDefault="006E0BD6" w:rsidP="00AF7D83">
            <w:pPr>
              <w:pStyle w:val="-7"/>
              <w:rPr>
                <w:rtl/>
              </w:rPr>
            </w:pPr>
          </w:p>
        </w:tc>
        <w:tc>
          <w:tcPr>
            <w:tcW w:w="425" w:type="dxa"/>
          </w:tcPr>
          <w:p w14:paraId="753DB782" w14:textId="77777777" w:rsidR="006E0BD6" w:rsidRPr="00760C50" w:rsidRDefault="006E0BD6" w:rsidP="00AF7D83">
            <w:pPr>
              <w:pStyle w:val="-0"/>
              <w:rPr>
                <w:rtl/>
              </w:rPr>
            </w:pPr>
          </w:p>
        </w:tc>
        <w:tc>
          <w:tcPr>
            <w:tcW w:w="4973" w:type="dxa"/>
            <w:vAlign w:val="center"/>
          </w:tcPr>
          <w:p w14:paraId="5BB5DAA1" w14:textId="77777777" w:rsidR="006E0BD6" w:rsidRPr="006A77F4" w:rsidRDefault="006E0BD6" w:rsidP="00AF7D83">
            <w:pPr>
              <w:pStyle w:val="-0"/>
              <w:rPr>
                <w:sz w:val="18"/>
                <w:szCs w:val="18"/>
                <w:u w:val="single"/>
                <w:rtl/>
              </w:rPr>
            </w:pPr>
            <w:r w:rsidRPr="006A77F4">
              <w:rPr>
                <w:rStyle w:val="-c"/>
                <w:rFonts w:hint="cs"/>
                <w:sz w:val="18"/>
                <w:szCs w:val="18"/>
                <w:u w:val="single"/>
                <w:rtl/>
              </w:rPr>
              <w:t>נכסים</w:t>
            </w:r>
          </w:p>
        </w:tc>
        <w:tc>
          <w:tcPr>
            <w:tcW w:w="754" w:type="dxa"/>
            <w:vAlign w:val="bottom"/>
          </w:tcPr>
          <w:p w14:paraId="6A913B9C" w14:textId="77777777" w:rsidR="006E0BD6" w:rsidRPr="00760C50" w:rsidRDefault="006E0BD6" w:rsidP="00AF7D83">
            <w:pPr>
              <w:pStyle w:val="-3"/>
              <w:rPr>
                <w:rtl/>
              </w:rPr>
            </w:pPr>
          </w:p>
        </w:tc>
        <w:tc>
          <w:tcPr>
            <w:tcW w:w="973" w:type="dxa"/>
            <w:vAlign w:val="bottom"/>
          </w:tcPr>
          <w:p w14:paraId="60A8C9CE" w14:textId="77777777" w:rsidR="006E0BD6" w:rsidRPr="00760C50" w:rsidRDefault="006E0BD6" w:rsidP="00AF7D83">
            <w:pPr>
              <w:pStyle w:val="-3"/>
              <w:rPr>
                <w:rtl/>
              </w:rPr>
            </w:pPr>
          </w:p>
        </w:tc>
        <w:tc>
          <w:tcPr>
            <w:tcW w:w="835" w:type="dxa"/>
            <w:vAlign w:val="bottom"/>
          </w:tcPr>
          <w:p w14:paraId="4652C086" w14:textId="77777777" w:rsidR="006E0BD6" w:rsidRPr="00760C50" w:rsidRDefault="006E0BD6" w:rsidP="00AF7D83">
            <w:pPr>
              <w:pStyle w:val="-3"/>
              <w:rPr>
                <w:rtl/>
              </w:rPr>
            </w:pPr>
          </w:p>
        </w:tc>
        <w:tc>
          <w:tcPr>
            <w:tcW w:w="1112" w:type="dxa"/>
            <w:vAlign w:val="bottom"/>
          </w:tcPr>
          <w:p w14:paraId="6FB0A29A" w14:textId="77777777" w:rsidR="006E0BD6" w:rsidRPr="00760C50" w:rsidRDefault="006E0BD6" w:rsidP="00AF7D83">
            <w:pPr>
              <w:pStyle w:val="-3"/>
              <w:rPr>
                <w:rtl/>
              </w:rPr>
            </w:pPr>
          </w:p>
        </w:tc>
      </w:tr>
      <w:tr w:rsidR="0082482A" w:rsidRPr="00760C50" w14:paraId="134B9AD8" w14:textId="77777777" w:rsidTr="00575CE5">
        <w:trPr>
          <w:trHeight w:val="259"/>
        </w:trPr>
        <w:tc>
          <w:tcPr>
            <w:tcW w:w="1135" w:type="dxa"/>
            <w:vAlign w:val="bottom"/>
          </w:tcPr>
          <w:p w14:paraId="48E4FFC2" w14:textId="77777777" w:rsidR="006E0BD6" w:rsidRPr="00760C50" w:rsidRDefault="006E0BD6" w:rsidP="00AF7D83">
            <w:pPr>
              <w:pStyle w:val="-7"/>
              <w:rPr>
                <w:rtl/>
              </w:rPr>
            </w:pPr>
          </w:p>
        </w:tc>
        <w:tc>
          <w:tcPr>
            <w:tcW w:w="425" w:type="dxa"/>
          </w:tcPr>
          <w:p w14:paraId="14349BD5" w14:textId="77777777" w:rsidR="006E0BD6" w:rsidRPr="00760C50" w:rsidRDefault="006E0BD6" w:rsidP="00AF7D83">
            <w:pPr>
              <w:pStyle w:val="-0"/>
              <w:spacing w:line="240" w:lineRule="auto"/>
              <w:ind w:left="432"/>
              <w:rPr>
                <w:rtl/>
              </w:rPr>
            </w:pPr>
          </w:p>
        </w:tc>
        <w:tc>
          <w:tcPr>
            <w:tcW w:w="4973" w:type="dxa"/>
            <w:vAlign w:val="bottom"/>
          </w:tcPr>
          <w:p w14:paraId="414AF280" w14:textId="2179C541" w:rsidR="006E0BD6" w:rsidRPr="006A77F4" w:rsidRDefault="00A674A4" w:rsidP="00AF7D83">
            <w:pPr>
              <w:pStyle w:val="-21"/>
              <w:rPr>
                <w:sz w:val="18"/>
                <w:szCs w:val="18"/>
                <w:rtl/>
              </w:rPr>
            </w:pPr>
            <w:r w:rsidRPr="006A77F4">
              <w:rPr>
                <w:rFonts w:hint="cs"/>
                <w:sz w:val="18"/>
                <w:szCs w:val="18"/>
                <w:rtl/>
              </w:rPr>
              <w:t>אגרות</w:t>
            </w:r>
            <w:r w:rsidR="006E0BD6" w:rsidRPr="006A77F4">
              <w:rPr>
                <w:rFonts w:hint="cs"/>
                <w:sz w:val="18"/>
                <w:szCs w:val="18"/>
                <w:rtl/>
              </w:rPr>
              <w:t xml:space="preserve"> חוב זמינות למכירה של ממשלת ישראל</w:t>
            </w:r>
          </w:p>
        </w:tc>
        <w:tc>
          <w:tcPr>
            <w:tcW w:w="754" w:type="dxa"/>
            <w:vAlign w:val="bottom"/>
          </w:tcPr>
          <w:p w14:paraId="7345F436" w14:textId="77777777" w:rsidR="006E0BD6" w:rsidRPr="00760C50" w:rsidRDefault="006E0BD6" w:rsidP="00AF7D83">
            <w:pPr>
              <w:pStyle w:val="-3"/>
              <w:rPr>
                <w:rtl/>
              </w:rPr>
            </w:pPr>
            <w:r w:rsidRPr="00760C50">
              <w:rPr>
                <w:rFonts w:hint="cs"/>
                <w:rtl/>
              </w:rPr>
              <w:t xml:space="preserve"> </w:t>
            </w:r>
            <w:r w:rsidRPr="00760C50">
              <w:rPr>
                <w:rtl/>
              </w:rPr>
              <w:t>0</w:t>
            </w:r>
          </w:p>
        </w:tc>
        <w:tc>
          <w:tcPr>
            <w:tcW w:w="973" w:type="dxa"/>
            <w:vAlign w:val="bottom"/>
          </w:tcPr>
          <w:p w14:paraId="5DB6A20B" w14:textId="77777777" w:rsidR="006E0BD6" w:rsidRPr="00760C50" w:rsidRDefault="006E0BD6" w:rsidP="00AF7D83">
            <w:pPr>
              <w:pStyle w:val="-3"/>
              <w:rPr>
                <w:rtl/>
              </w:rPr>
            </w:pPr>
            <w:r w:rsidRPr="00760C50">
              <w:rPr>
                <w:rFonts w:hint="cs"/>
                <w:rtl/>
              </w:rPr>
              <w:t xml:space="preserve"> </w:t>
            </w:r>
            <w:r w:rsidRPr="00760C50">
              <w:rPr>
                <w:rtl/>
              </w:rPr>
              <w:t>0</w:t>
            </w:r>
          </w:p>
        </w:tc>
        <w:tc>
          <w:tcPr>
            <w:tcW w:w="835" w:type="dxa"/>
            <w:vAlign w:val="bottom"/>
          </w:tcPr>
          <w:p w14:paraId="42736586" w14:textId="77777777" w:rsidR="006E0BD6" w:rsidRPr="00760C50" w:rsidRDefault="006E0BD6" w:rsidP="00AF7D83">
            <w:pPr>
              <w:pStyle w:val="-3"/>
              <w:rPr>
                <w:rtl/>
              </w:rPr>
            </w:pPr>
            <w:r w:rsidRPr="00760C50">
              <w:rPr>
                <w:rFonts w:hint="cs"/>
                <w:rtl/>
              </w:rPr>
              <w:t xml:space="preserve"> </w:t>
            </w:r>
            <w:r w:rsidRPr="00760C50">
              <w:rPr>
                <w:rtl/>
              </w:rPr>
              <w:t>0</w:t>
            </w:r>
          </w:p>
        </w:tc>
        <w:tc>
          <w:tcPr>
            <w:tcW w:w="1112" w:type="dxa"/>
            <w:vAlign w:val="bottom"/>
          </w:tcPr>
          <w:p w14:paraId="600AA43D" w14:textId="77777777" w:rsidR="006E0BD6" w:rsidRPr="00760C50" w:rsidRDefault="006E0BD6" w:rsidP="00AF7D83">
            <w:pPr>
              <w:pStyle w:val="-3"/>
              <w:rPr>
                <w:rtl/>
              </w:rPr>
            </w:pPr>
            <w:r w:rsidRPr="00760C50">
              <w:rPr>
                <w:rFonts w:hint="cs"/>
                <w:rtl/>
              </w:rPr>
              <w:t xml:space="preserve"> </w:t>
            </w:r>
            <w:r w:rsidRPr="00760C50">
              <w:rPr>
                <w:rtl/>
              </w:rPr>
              <w:t>0</w:t>
            </w:r>
          </w:p>
        </w:tc>
      </w:tr>
      <w:tr w:rsidR="0082482A" w:rsidRPr="00760C50" w14:paraId="50938291" w14:textId="77777777" w:rsidTr="00575CE5">
        <w:trPr>
          <w:trHeight w:val="259"/>
        </w:trPr>
        <w:tc>
          <w:tcPr>
            <w:tcW w:w="1135" w:type="dxa"/>
            <w:vAlign w:val="bottom"/>
          </w:tcPr>
          <w:p w14:paraId="56800C69" w14:textId="77777777" w:rsidR="006E0BD6" w:rsidRPr="00760C50" w:rsidRDefault="006E0BD6" w:rsidP="00AF7D83">
            <w:pPr>
              <w:pStyle w:val="-7"/>
              <w:rPr>
                <w:rtl/>
              </w:rPr>
            </w:pPr>
          </w:p>
        </w:tc>
        <w:tc>
          <w:tcPr>
            <w:tcW w:w="425" w:type="dxa"/>
          </w:tcPr>
          <w:p w14:paraId="0968FDFA" w14:textId="77777777" w:rsidR="006E0BD6" w:rsidRPr="00760C50" w:rsidRDefault="006E0BD6" w:rsidP="00AF7D83">
            <w:pPr>
              <w:pStyle w:val="-0"/>
              <w:spacing w:line="240" w:lineRule="auto"/>
              <w:ind w:left="432"/>
              <w:rPr>
                <w:rtl/>
              </w:rPr>
            </w:pPr>
          </w:p>
        </w:tc>
        <w:tc>
          <w:tcPr>
            <w:tcW w:w="4973" w:type="dxa"/>
            <w:vAlign w:val="bottom"/>
          </w:tcPr>
          <w:p w14:paraId="1BE40D87" w14:textId="3EB6DFF7" w:rsidR="006E0BD6" w:rsidRPr="006A77F4" w:rsidRDefault="00A674A4" w:rsidP="00AF7D83">
            <w:pPr>
              <w:pStyle w:val="-21"/>
              <w:rPr>
                <w:sz w:val="18"/>
                <w:szCs w:val="18"/>
                <w:rtl/>
              </w:rPr>
            </w:pPr>
            <w:r w:rsidRPr="006A77F4">
              <w:rPr>
                <w:rFonts w:hint="cs"/>
                <w:sz w:val="18"/>
                <w:szCs w:val="18"/>
                <w:rtl/>
              </w:rPr>
              <w:t>אגרות</w:t>
            </w:r>
            <w:r w:rsidR="006E0BD6" w:rsidRPr="006A77F4">
              <w:rPr>
                <w:rFonts w:hint="cs"/>
                <w:sz w:val="18"/>
                <w:szCs w:val="18"/>
                <w:rtl/>
              </w:rPr>
              <w:t xml:space="preserve"> חוב המוחזקות לפדיון של מוסדות פיננסיים זרים </w:t>
            </w:r>
          </w:p>
        </w:tc>
        <w:tc>
          <w:tcPr>
            <w:tcW w:w="754" w:type="dxa"/>
            <w:vAlign w:val="bottom"/>
          </w:tcPr>
          <w:p w14:paraId="16E7C63E" w14:textId="77777777" w:rsidR="006E0BD6" w:rsidRPr="00760C50" w:rsidRDefault="006E0BD6" w:rsidP="00AF7D83">
            <w:pPr>
              <w:pStyle w:val="-3"/>
              <w:rPr>
                <w:rtl/>
              </w:rPr>
            </w:pPr>
            <w:r w:rsidRPr="00760C50">
              <w:rPr>
                <w:rFonts w:hint="cs"/>
                <w:rtl/>
              </w:rPr>
              <w:t xml:space="preserve"> </w:t>
            </w:r>
            <w:r w:rsidRPr="00760C50">
              <w:rPr>
                <w:rtl/>
              </w:rPr>
              <w:t>0</w:t>
            </w:r>
          </w:p>
        </w:tc>
        <w:tc>
          <w:tcPr>
            <w:tcW w:w="973" w:type="dxa"/>
            <w:vAlign w:val="bottom"/>
          </w:tcPr>
          <w:p w14:paraId="54ACF5F7" w14:textId="77777777" w:rsidR="006E0BD6" w:rsidRPr="00760C50" w:rsidRDefault="006E0BD6" w:rsidP="00AF7D83">
            <w:pPr>
              <w:pStyle w:val="-3"/>
              <w:rPr>
                <w:rtl/>
              </w:rPr>
            </w:pPr>
            <w:r w:rsidRPr="00760C50">
              <w:rPr>
                <w:rFonts w:hint="cs"/>
                <w:rtl/>
              </w:rPr>
              <w:t xml:space="preserve"> </w:t>
            </w:r>
            <w:r w:rsidRPr="00760C50">
              <w:rPr>
                <w:rtl/>
              </w:rPr>
              <w:t>0</w:t>
            </w:r>
          </w:p>
        </w:tc>
        <w:tc>
          <w:tcPr>
            <w:tcW w:w="835" w:type="dxa"/>
            <w:vAlign w:val="bottom"/>
          </w:tcPr>
          <w:p w14:paraId="0A64DC7A" w14:textId="77777777" w:rsidR="006E0BD6" w:rsidRPr="00760C50" w:rsidRDefault="006E0BD6" w:rsidP="00AF7D83">
            <w:pPr>
              <w:pStyle w:val="-3"/>
              <w:rPr>
                <w:rtl/>
              </w:rPr>
            </w:pPr>
            <w:r w:rsidRPr="00760C50">
              <w:rPr>
                <w:rFonts w:hint="cs"/>
                <w:rtl/>
              </w:rPr>
              <w:t xml:space="preserve"> </w:t>
            </w:r>
            <w:r w:rsidRPr="00760C50">
              <w:rPr>
                <w:rtl/>
              </w:rPr>
              <w:t>0</w:t>
            </w:r>
          </w:p>
        </w:tc>
        <w:tc>
          <w:tcPr>
            <w:tcW w:w="1112" w:type="dxa"/>
            <w:vAlign w:val="bottom"/>
          </w:tcPr>
          <w:p w14:paraId="5A6ADC55" w14:textId="77777777" w:rsidR="006E0BD6" w:rsidRPr="00760C50" w:rsidRDefault="006E0BD6" w:rsidP="00AF7D83">
            <w:pPr>
              <w:pStyle w:val="-3"/>
              <w:rPr>
                <w:rtl/>
              </w:rPr>
            </w:pPr>
            <w:r w:rsidRPr="00760C50">
              <w:rPr>
                <w:rFonts w:hint="cs"/>
                <w:rtl/>
              </w:rPr>
              <w:t xml:space="preserve"> </w:t>
            </w:r>
            <w:r w:rsidRPr="00760C50">
              <w:rPr>
                <w:rtl/>
              </w:rPr>
              <w:t>0</w:t>
            </w:r>
          </w:p>
        </w:tc>
      </w:tr>
      <w:tr w:rsidR="0082482A" w:rsidRPr="00760C50" w14:paraId="1DA5BED4" w14:textId="77777777" w:rsidTr="00575CE5">
        <w:trPr>
          <w:trHeight w:val="259"/>
        </w:trPr>
        <w:tc>
          <w:tcPr>
            <w:tcW w:w="1135" w:type="dxa"/>
            <w:vAlign w:val="bottom"/>
          </w:tcPr>
          <w:p w14:paraId="4604DEC6" w14:textId="77777777" w:rsidR="006E0BD6" w:rsidRPr="00760C50" w:rsidRDefault="006E0BD6" w:rsidP="00AF7D83">
            <w:pPr>
              <w:pStyle w:val="-7"/>
              <w:rPr>
                <w:rtl/>
              </w:rPr>
            </w:pPr>
          </w:p>
        </w:tc>
        <w:tc>
          <w:tcPr>
            <w:tcW w:w="425" w:type="dxa"/>
          </w:tcPr>
          <w:p w14:paraId="43E33390" w14:textId="77777777" w:rsidR="006E0BD6" w:rsidRPr="00760C50" w:rsidRDefault="006E0BD6" w:rsidP="00AF7D83">
            <w:pPr>
              <w:pStyle w:val="-0"/>
              <w:spacing w:line="240" w:lineRule="auto"/>
              <w:ind w:left="432"/>
              <w:rPr>
                <w:rtl/>
              </w:rPr>
            </w:pPr>
          </w:p>
        </w:tc>
        <w:tc>
          <w:tcPr>
            <w:tcW w:w="4973" w:type="dxa"/>
            <w:vAlign w:val="bottom"/>
          </w:tcPr>
          <w:p w14:paraId="7E3DE8C9" w14:textId="77777777" w:rsidR="006E0BD6" w:rsidRPr="00760C50" w:rsidRDefault="006E0BD6" w:rsidP="00AF7D83">
            <w:pPr>
              <w:pStyle w:val="-0"/>
              <w:rPr>
                <w:rtl/>
              </w:rPr>
            </w:pPr>
          </w:p>
        </w:tc>
        <w:tc>
          <w:tcPr>
            <w:tcW w:w="754" w:type="dxa"/>
            <w:vAlign w:val="bottom"/>
          </w:tcPr>
          <w:p w14:paraId="2818602E" w14:textId="77777777" w:rsidR="006E0BD6" w:rsidRPr="00760C50" w:rsidRDefault="006E0BD6" w:rsidP="00AF7D83">
            <w:pPr>
              <w:pStyle w:val="-3"/>
              <w:rPr>
                <w:rtl/>
              </w:rPr>
            </w:pPr>
          </w:p>
        </w:tc>
        <w:tc>
          <w:tcPr>
            <w:tcW w:w="973" w:type="dxa"/>
            <w:vAlign w:val="bottom"/>
          </w:tcPr>
          <w:p w14:paraId="4A2E939C" w14:textId="77777777" w:rsidR="006E0BD6" w:rsidRPr="00760C50" w:rsidRDefault="006E0BD6" w:rsidP="00AF7D83">
            <w:pPr>
              <w:pStyle w:val="-3"/>
              <w:rPr>
                <w:rtl/>
              </w:rPr>
            </w:pPr>
          </w:p>
        </w:tc>
        <w:tc>
          <w:tcPr>
            <w:tcW w:w="835" w:type="dxa"/>
            <w:vAlign w:val="bottom"/>
          </w:tcPr>
          <w:p w14:paraId="77E1ABC6" w14:textId="77777777" w:rsidR="006E0BD6" w:rsidRPr="00760C50" w:rsidRDefault="006E0BD6" w:rsidP="00AF7D83">
            <w:pPr>
              <w:pStyle w:val="-3"/>
              <w:rPr>
                <w:rtl/>
              </w:rPr>
            </w:pPr>
          </w:p>
        </w:tc>
        <w:tc>
          <w:tcPr>
            <w:tcW w:w="1112" w:type="dxa"/>
            <w:vAlign w:val="bottom"/>
          </w:tcPr>
          <w:p w14:paraId="2787BE8C" w14:textId="77777777" w:rsidR="006E0BD6" w:rsidRPr="00760C50" w:rsidRDefault="006E0BD6" w:rsidP="00AF7D83">
            <w:pPr>
              <w:pStyle w:val="-3"/>
              <w:rPr>
                <w:rtl/>
              </w:rPr>
            </w:pPr>
          </w:p>
        </w:tc>
      </w:tr>
    </w:tbl>
    <w:p w14:paraId="3CBF0B48" w14:textId="77777777" w:rsidR="005D0727" w:rsidRDefault="005D0727"/>
    <w:tbl>
      <w:tblPr>
        <w:bidiVisual/>
        <w:tblW w:w="5000" w:type="pct"/>
        <w:tblLayout w:type="fixed"/>
        <w:tblLook w:val="01E0" w:firstRow="1" w:lastRow="1" w:firstColumn="1" w:lastColumn="1" w:noHBand="0" w:noVBand="0"/>
      </w:tblPr>
      <w:tblGrid>
        <w:gridCol w:w="1135"/>
        <w:gridCol w:w="425"/>
        <w:gridCol w:w="4973"/>
        <w:gridCol w:w="754"/>
        <w:gridCol w:w="973"/>
        <w:gridCol w:w="835"/>
        <w:gridCol w:w="1112"/>
      </w:tblGrid>
      <w:tr w:rsidR="0082482A" w:rsidRPr="00760C50" w14:paraId="711C9C37" w14:textId="77777777" w:rsidTr="00575CE5">
        <w:trPr>
          <w:trHeight w:val="259"/>
        </w:trPr>
        <w:tc>
          <w:tcPr>
            <w:tcW w:w="1135" w:type="dxa"/>
            <w:vAlign w:val="bottom"/>
          </w:tcPr>
          <w:p w14:paraId="72AE3B57" w14:textId="77777777" w:rsidR="006E0BD6" w:rsidRDefault="006E0BD6" w:rsidP="00CF2A74">
            <w:pPr>
              <w:pStyle w:val="-7"/>
              <w:spacing w:line="220" w:lineRule="exact"/>
              <w:rPr>
                <w:rtl/>
              </w:rPr>
            </w:pPr>
          </w:p>
        </w:tc>
        <w:tc>
          <w:tcPr>
            <w:tcW w:w="425" w:type="dxa"/>
          </w:tcPr>
          <w:p w14:paraId="2127645B" w14:textId="77777777" w:rsidR="006E0BD6" w:rsidRDefault="006E0BD6" w:rsidP="00CF2A74">
            <w:pPr>
              <w:pStyle w:val="-7"/>
              <w:spacing w:line="220" w:lineRule="exact"/>
              <w:rPr>
                <w:rtl/>
              </w:rPr>
            </w:pPr>
          </w:p>
        </w:tc>
        <w:tc>
          <w:tcPr>
            <w:tcW w:w="4973" w:type="dxa"/>
            <w:vAlign w:val="bottom"/>
          </w:tcPr>
          <w:p w14:paraId="7F41B253" w14:textId="77777777" w:rsidR="006E0BD6" w:rsidRDefault="006E0BD6" w:rsidP="00CF2A74">
            <w:pPr>
              <w:pStyle w:val="-7"/>
              <w:spacing w:line="220" w:lineRule="exact"/>
              <w:rPr>
                <w:rtl/>
              </w:rPr>
            </w:pPr>
          </w:p>
        </w:tc>
        <w:tc>
          <w:tcPr>
            <w:tcW w:w="3674" w:type="dxa"/>
            <w:gridSpan w:val="4"/>
            <w:vAlign w:val="bottom"/>
          </w:tcPr>
          <w:p w14:paraId="16630DFF" w14:textId="3F742A61" w:rsidR="006E0BD6" w:rsidRPr="00511159" w:rsidRDefault="006E0BD6" w:rsidP="001977FC">
            <w:pPr>
              <w:pStyle w:val="-4"/>
              <w:spacing w:line="220" w:lineRule="exact"/>
              <w:rPr>
                <w:sz w:val="18"/>
                <w:szCs w:val="18"/>
                <w:rtl/>
              </w:rPr>
            </w:pPr>
            <w:r w:rsidRPr="00511159">
              <w:rPr>
                <w:rFonts w:hint="cs"/>
                <w:sz w:val="18"/>
                <w:szCs w:val="18"/>
                <w:rtl/>
              </w:rPr>
              <w:t xml:space="preserve">31 בדצמבר </w:t>
            </w:r>
            <w:r w:rsidR="000F2F12" w:rsidRPr="00511159">
              <w:rPr>
                <w:sz w:val="18"/>
                <w:szCs w:val="18"/>
                <w:rtl/>
              </w:rPr>
              <w:fldChar w:fldCharType="begin"/>
            </w:r>
            <w:r w:rsidR="000F2F12" w:rsidRPr="00511159">
              <w:rPr>
                <w:sz w:val="18"/>
                <w:szCs w:val="18"/>
                <w:rtl/>
              </w:rPr>
              <w:instrText xml:space="preserve"> </w:instrText>
            </w:r>
            <w:r w:rsidR="000F2F12" w:rsidRPr="00511159">
              <w:rPr>
                <w:rFonts w:hint="cs"/>
                <w:sz w:val="18"/>
                <w:szCs w:val="18"/>
                <w:rtl/>
              </w:rPr>
              <w:instrText xml:space="preserve">= </w:instrText>
            </w:r>
            <w:r w:rsidR="000F2F12" w:rsidRPr="00511159">
              <w:rPr>
                <w:rFonts w:hint="cs"/>
                <w:sz w:val="18"/>
                <w:szCs w:val="18"/>
              </w:rPr>
              <w:instrText>CY</w:instrText>
            </w:r>
            <w:r w:rsidR="000F2F12" w:rsidRPr="00511159">
              <w:rPr>
                <w:sz w:val="18"/>
                <w:szCs w:val="18"/>
              </w:rPr>
              <w:instrText>-1</w:instrText>
            </w:r>
            <w:r w:rsidR="000F2F12" w:rsidRPr="00511159">
              <w:rPr>
                <w:rFonts w:hint="cs"/>
                <w:sz w:val="18"/>
                <w:szCs w:val="18"/>
              </w:rPr>
              <w:instrText xml:space="preserve"> \* MERGEFORMAT</w:instrText>
            </w:r>
            <w:r w:rsidR="000F2F12" w:rsidRPr="00511159">
              <w:rPr>
                <w:sz w:val="18"/>
                <w:szCs w:val="18"/>
                <w:rtl/>
              </w:rPr>
              <w:instrText xml:space="preserve"> </w:instrText>
            </w:r>
            <w:r w:rsidR="000F2F12" w:rsidRPr="00511159">
              <w:rPr>
                <w:sz w:val="18"/>
                <w:szCs w:val="18"/>
                <w:rtl/>
              </w:rPr>
              <w:fldChar w:fldCharType="separate"/>
            </w:r>
            <w:r w:rsidR="003A584F">
              <w:rPr>
                <w:noProof/>
                <w:sz w:val="18"/>
                <w:szCs w:val="18"/>
                <w:rtl/>
              </w:rPr>
              <w:t>2023</w:t>
            </w:r>
            <w:r w:rsidR="000F2F12" w:rsidRPr="00511159">
              <w:rPr>
                <w:sz w:val="18"/>
                <w:szCs w:val="18"/>
                <w:rtl/>
              </w:rPr>
              <w:fldChar w:fldCharType="end"/>
            </w:r>
            <w:r w:rsidR="00997731">
              <w:rPr>
                <w:rFonts w:hint="cs"/>
                <w:sz w:val="18"/>
                <w:szCs w:val="18"/>
                <w:rtl/>
              </w:rPr>
              <w:t xml:space="preserve">  </w:t>
            </w:r>
            <w:r w:rsidR="00997731" w:rsidRPr="00395E5C">
              <w:rPr>
                <w:rFonts w:hint="cs"/>
                <w:b w:val="0"/>
                <w:bCs w:val="0"/>
                <w:sz w:val="18"/>
                <w:szCs w:val="18"/>
                <w:rtl/>
              </w:rPr>
              <w:t>(</w:t>
            </w:r>
            <w:r w:rsidR="00997731" w:rsidRPr="00395E5C">
              <w:rPr>
                <w:rFonts w:hint="eastAsia"/>
                <w:b w:val="0"/>
                <w:bCs w:val="0"/>
                <w:sz w:val="18"/>
                <w:szCs w:val="18"/>
                <w:rtl/>
              </w:rPr>
              <w:t>מבוקר</w:t>
            </w:r>
            <w:r w:rsidR="00997731" w:rsidRPr="00395E5C">
              <w:rPr>
                <w:rFonts w:hint="cs"/>
                <w:b w:val="0"/>
                <w:bCs w:val="0"/>
                <w:sz w:val="18"/>
                <w:szCs w:val="18"/>
                <w:rtl/>
              </w:rPr>
              <w:t>)</w:t>
            </w:r>
          </w:p>
        </w:tc>
      </w:tr>
      <w:tr w:rsidR="0082482A" w:rsidRPr="006E0BD6" w14:paraId="21C00500" w14:textId="77777777" w:rsidTr="00575CE5">
        <w:trPr>
          <w:trHeight w:val="259"/>
        </w:trPr>
        <w:tc>
          <w:tcPr>
            <w:tcW w:w="1135" w:type="dxa"/>
            <w:vAlign w:val="bottom"/>
          </w:tcPr>
          <w:p w14:paraId="1996E0B4" w14:textId="77777777" w:rsidR="00F32A2A" w:rsidRDefault="00F32A2A">
            <w:pPr>
              <w:pStyle w:val="-7"/>
              <w:spacing w:line="240" w:lineRule="auto"/>
              <w:rPr>
                <w:sz w:val="18"/>
                <w:szCs w:val="18"/>
                <w:rtl/>
              </w:rPr>
            </w:pPr>
          </w:p>
        </w:tc>
        <w:tc>
          <w:tcPr>
            <w:tcW w:w="425" w:type="dxa"/>
          </w:tcPr>
          <w:p w14:paraId="4C370A3E" w14:textId="77777777" w:rsidR="00F32A2A" w:rsidRDefault="00F32A2A">
            <w:pPr>
              <w:pStyle w:val="-7"/>
              <w:spacing w:line="240" w:lineRule="auto"/>
              <w:rPr>
                <w:sz w:val="18"/>
                <w:szCs w:val="18"/>
                <w:rtl/>
              </w:rPr>
            </w:pPr>
          </w:p>
        </w:tc>
        <w:tc>
          <w:tcPr>
            <w:tcW w:w="4973" w:type="dxa"/>
            <w:vAlign w:val="bottom"/>
          </w:tcPr>
          <w:p w14:paraId="7690D6D8" w14:textId="77777777" w:rsidR="00F32A2A" w:rsidRDefault="00F32A2A">
            <w:pPr>
              <w:pStyle w:val="-7"/>
              <w:spacing w:line="240" w:lineRule="auto"/>
              <w:rPr>
                <w:sz w:val="18"/>
                <w:szCs w:val="18"/>
                <w:rtl/>
              </w:rPr>
            </w:pPr>
          </w:p>
        </w:tc>
        <w:tc>
          <w:tcPr>
            <w:tcW w:w="754" w:type="dxa"/>
            <w:vAlign w:val="bottom"/>
          </w:tcPr>
          <w:p w14:paraId="2D8F1302" w14:textId="77777777" w:rsidR="00F32A2A" w:rsidRDefault="00B44059">
            <w:pPr>
              <w:pStyle w:val="-4"/>
              <w:spacing w:line="240" w:lineRule="auto"/>
              <w:rPr>
                <w:sz w:val="18"/>
                <w:szCs w:val="18"/>
                <w:rtl/>
              </w:rPr>
            </w:pPr>
            <w:r w:rsidRPr="00B44059">
              <w:rPr>
                <w:rFonts w:hint="eastAsia"/>
                <w:sz w:val="18"/>
                <w:szCs w:val="18"/>
                <w:rtl/>
              </w:rPr>
              <w:t>שווי</w:t>
            </w:r>
            <w:r w:rsidRPr="00B44059">
              <w:rPr>
                <w:sz w:val="18"/>
                <w:szCs w:val="18"/>
                <w:rtl/>
              </w:rPr>
              <w:t xml:space="preserve"> </w:t>
            </w:r>
            <w:r w:rsidRPr="00B44059">
              <w:rPr>
                <w:rFonts w:hint="eastAsia"/>
                <w:sz w:val="18"/>
                <w:szCs w:val="18"/>
                <w:rtl/>
              </w:rPr>
              <w:t>הוגן</w:t>
            </w:r>
          </w:p>
        </w:tc>
        <w:tc>
          <w:tcPr>
            <w:tcW w:w="973" w:type="dxa"/>
            <w:vAlign w:val="bottom"/>
          </w:tcPr>
          <w:p w14:paraId="64D8F4FD" w14:textId="77777777" w:rsidR="00F32A2A" w:rsidRDefault="00B44059">
            <w:pPr>
              <w:pStyle w:val="-4"/>
              <w:spacing w:line="240" w:lineRule="auto"/>
              <w:rPr>
                <w:sz w:val="18"/>
                <w:szCs w:val="18"/>
                <w:rtl/>
              </w:rPr>
            </w:pPr>
            <w:r w:rsidRPr="00B44059">
              <w:rPr>
                <w:rFonts w:hint="eastAsia"/>
                <w:sz w:val="18"/>
                <w:szCs w:val="18"/>
                <w:rtl/>
              </w:rPr>
              <w:t>יתרת</w:t>
            </w:r>
            <w:r w:rsidRPr="00B44059">
              <w:rPr>
                <w:sz w:val="18"/>
                <w:szCs w:val="18"/>
                <w:rtl/>
              </w:rPr>
              <w:t xml:space="preserve"> </w:t>
            </w:r>
            <w:r w:rsidRPr="00B44059">
              <w:rPr>
                <w:rFonts w:hint="eastAsia"/>
                <w:sz w:val="18"/>
                <w:szCs w:val="18"/>
                <w:rtl/>
              </w:rPr>
              <w:t>קרן</w:t>
            </w:r>
            <w:r w:rsidRPr="00B44059">
              <w:rPr>
                <w:sz w:val="18"/>
                <w:szCs w:val="18"/>
                <w:rtl/>
              </w:rPr>
              <w:t xml:space="preserve"> </w:t>
            </w:r>
            <w:r w:rsidRPr="00B44059">
              <w:rPr>
                <w:rFonts w:hint="eastAsia"/>
                <w:sz w:val="18"/>
                <w:szCs w:val="18"/>
                <w:rtl/>
              </w:rPr>
              <w:t>שלא</w:t>
            </w:r>
            <w:r w:rsidRPr="00B44059">
              <w:rPr>
                <w:sz w:val="18"/>
                <w:szCs w:val="18"/>
                <w:rtl/>
              </w:rPr>
              <w:t xml:space="preserve"> </w:t>
            </w:r>
            <w:r w:rsidRPr="00B44059">
              <w:rPr>
                <w:rFonts w:hint="eastAsia"/>
                <w:sz w:val="18"/>
                <w:szCs w:val="18"/>
                <w:rtl/>
              </w:rPr>
              <w:t>נפרעה</w:t>
            </w:r>
          </w:p>
        </w:tc>
        <w:tc>
          <w:tcPr>
            <w:tcW w:w="835" w:type="dxa"/>
            <w:vAlign w:val="bottom"/>
          </w:tcPr>
          <w:p w14:paraId="723B6FC4" w14:textId="77777777" w:rsidR="00F32A2A" w:rsidRDefault="00B44059">
            <w:pPr>
              <w:pStyle w:val="-4"/>
              <w:spacing w:line="240" w:lineRule="auto"/>
              <w:rPr>
                <w:sz w:val="18"/>
                <w:szCs w:val="18"/>
                <w:rtl/>
              </w:rPr>
            </w:pPr>
            <w:r w:rsidRPr="00B44059">
              <w:rPr>
                <w:rFonts w:hint="eastAsia"/>
                <w:sz w:val="18"/>
                <w:szCs w:val="18"/>
                <w:rtl/>
              </w:rPr>
              <w:t>הפרש</w:t>
            </w:r>
          </w:p>
        </w:tc>
        <w:tc>
          <w:tcPr>
            <w:tcW w:w="1112" w:type="dxa"/>
            <w:vAlign w:val="bottom"/>
          </w:tcPr>
          <w:p w14:paraId="6D3B9495" w14:textId="20392F7B" w:rsidR="00F32A2A" w:rsidRDefault="00B44059">
            <w:pPr>
              <w:pStyle w:val="-4"/>
              <w:spacing w:line="240" w:lineRule="auto"/>
              <w:rPr>
                <w:sz w:val="18"/>
                <w:szCs w:val="18"/>
                <w:rtl/>
              </w:rPr>
            </w:pPr>
            <w:r w:rsidRPr="00B44059">
              <w:rPr>
                <w:rFonts w:hint="eastAsia"/>
                <w:sz w:val="18"/>
                <w:szCs w:val="18"/>
                <w:rtl/>
              </w:rPr>
              <w:t>רווחים</w:t>
            </w:r>
            <w:r w:rsidRPr="00B44059">
              <w:rPr>
                <w:sz w:val="18"/>
                <w:szCs w:val="18"/>
                <w:rtl/>
              </w:rPr>
              <w:t xml:space="preserve"> (הפסדים) </w:t>
            </w:r>
            <w:r w:rsidRPr="00B44059">
              <w:rPr>
                <w:rFonts w:hint="eastAsia"/>
                <w:sz w:val="18"/>
                <w:szCs w:val="18"/>
                <w:rtl/>
              </w:rPr>
              <w:t>בגין</w:t>
            </w:r>
            <w:r w:rsidRPr="00B44059">
              <w:rPr>
                <w:sz w:val="18"/>
                <w:szCs w:val="18"/>
                <w:rtl/>
              </w:rPr>
              <w:t xml:space="preserve"> </w:t>
            </w:r>
            <w:r w:rsidRPr="00B44059">
              <w:rPr>
                <w:rFonts w:hint="eastAsia"/>
                <w:sz w:val="18"/>
                <w:szCs w:val="18"/>
                <w:rtl/>
              </w:rPr>
              <w:t>שינויים</w:t>
            </w:r>
            <w:r w:rsidRPr="00B44059">
              <w:rPr>
                <w:sz w:val="18"/>
                <w:szCs w:val="18"/>
                <w:rtl/>
              </w:rPr>
              <w:t xml:space="preserve"> </w:t>
            </w:r>
            <w:r w:rsidRPr="00B44059">
              <w:rPr>
                <w:rFonts w:hint="eastAsia"/>
                <w:sz w:val="18"/>
                <w:szCs w:val="18"/>
                <w:rtl/>
              </w:rPr>
              <w:t>בשווי</w:t>
            </w:r>
            <w:r w:rsidRPr="00B44059">
              <w:rPr>
                <w:sz w:val="18"/>
                <w:szCs w:val="18"/>
                <w:rtl/>
              </w:rPr>
              <w:t xml:space="preserve"> </w:t>
            </w:r>
            <w:r w:rsidRPr="00B44059">
              <w:rPr>
                <w:rFonts w:hint="eastAsia"/>
                <w:sz w:val="18"/>
                <w:szCs w:val="18"/>
                <w:rtl/>
              </w:rPr>
              <w:t>ההוגן</w:t>
            </w:r>
            <w:r w:rsidRPr="00B44059">
              <w:rPr>
                <w:sz w:val="18"/>
                <w:szCs w:val="18"/>
                <w:rtl/>
              </w:rPr>
              <w:t xml:space="preserve"> </w:t>
            </w:r>
            <w:r w:rsidRPr="00B44059">
              <w:rPr>
                <w:rFonts w:hint="eastAsia"/>
                <w:sz w:val="18"/>
                <w:szCs w:val="18"/>
                <w:rtl/>
              </w:rPr>
              <w:t>לתקופה</w:t>
            </w:r>
          </w:p>
        </w:tc>
      </w:tr>
      <w:tr w:rsidR="0082482A" w:rsidRPr="00760C50" w14:paraId="28A548DB" w14:textId="77777777" w:rsidTr="00575CE5">
        <w:trPr>
          <w:trHeight w:val="259"/>
        </w:trPr>
        <w:tc>
          <w:tcPr>
            <w:tcW w:w="1135" w:type="dxa"/>
            <w:vAlign w:val="bottom"/>
          </w:tcPr>
          <w:p w14:paraId="5E8CA7FD" w14:textId="77777777" w:rsidR="006E0BD6" w:rsidRPr="00760C50" w:rsidRDefault="006E0BD6" w:rsidP="00AF7D83">
            <w:pPr>
              <w:pStyle w:val="-7"/>
              <w:rPr>
                <w:rtl/>
              </w:rPr>
            </w:pPr>
          </w:p>
        </w:tc>
        <w:tc>
          <w:tcPr>
            <w:tcW w:w="425" w:type="dxa"/>
          </w:tcPr>
          <w:p w14:paraId="551590B1" w14:textId="77777777" w:rsidR="006E0BD6" w:rsidRPr="00760C50" w:rsidRDefault="006E0BD6" w:rsidP="00AF7D83">
            <w:pPr>
              <w:pStyle w:val="-0"/>
              <w:rPr>
                <w:rtl/>
              </w:rPr>
            </w:pPr>
          </w:p>
        </w:tc>
        <w:tc>
          <w:tcPr>
            <w:tcW w:w="4973" w:type="dxa"/>
            <w:vAlign w:val="center"/>
          </w:tcPr>
          <w:p w14:paraId="375CB2D7" w14:textId="77777777" w:rsidR="006E0BD6" w:rsidRPr="006A77F4" w:rsidRDefault="006E0BD6" w:rsidP="00AF7D83">
            <w:pPr>
              <w:pStyle w:val="-0"/>
              <w:rPr>
                <w:sz w:val="18"/>
                <w:szCs w:val="18"/>
                <w:u w:val="single"/>
                <w:rtl/>
              </w:rPr>
            </w:pPr>
            <w:r w:rsidRPr="006A77F4">
              <w:rPr>
                <w:rStyle w:val="-c"/>
                <w:rFonts w:hint="cs"/>
                <w:sz w:val="18"/>
                <w:szCs w:val="18"/>
                <w:u w:val="single"/>
                <w:rtl/>
              </w:rPr>
              <w:t>נכסים</w:t>
            </w:r>
          </w:p>
        </w:tc>
        <w:tc>
          <w:tcPr>
            <w:tcW w:w="754" w:type="dxa"/>
            <w:vAlign w:val="bottom"/>
          </w:tcPr>
          <w:p w14:paraId="7A45A217" w14:textId="77777777" w:rsidR="006E0BD6" w:rsidRPr="00760C50" w:rsidRDefault="006E0BD6" w:rsidP="00AF7D83">
            <w:pPr>
              <w:pStyle w:val="-3"/>
              <w:rPr>
                <w:rtl/>
              </w:rPr>
            </w:pPr>
          </w:p>
        </w:tc>
        <w:tc>
          <w:tcPr>
            <w:tcW w:w="973" w:type="dxa"/>
            <w:vAlign w:val="bottom"/>
          </w:tcPr>
          <w:p w14:paraId="5C685134" w14:textId="77777777" w:rsidR="006E0BD6" w:rsidRPr="00760C50" w:rsidRDefault="006E0BD6" w:rsidP="00AF7D83">
            <w:pPr>
              <w:pStyle w:val="-3"/>
              <w:rPr>
                <w:rtl/>
              </w:rPr>
            </w:pPr>
          </w:p>
        </w:tc>
        <w:tc>
          <w:tcPr>
            <w:tcW w:w="835" w:type="dxa"/>
            <w:vAlign w:val="bottom"/>
          </w:tcPr>
          <w:p w14:paraId="290013AE" w14:textId="77777777" w:rsidR="006E0BD6" w:rsidRPr="00760C50" w:rsidRDefault="006E0BD6" w:rsidP="00AF7D83">
            <w:pPr>
              <w:pStyle w:val="-3"/>
              <w:rPr>
                <w:rtl/>
              </w:rPr>
            </w:pPr>
          </w:p>
        </w:tc>
        <w:tc>
          <w:tcPr>
            <w:tcW w:w="1112" w:type="dxa"/>
            <w:vAlign w:val="bottom"/>
          </w:tcPr>
          <w:p w14:paraId="02FFC13F" w14:textId="77777777" w:rsidR="006E0BD6" w:rsidRPr="00760C50" w:rsidRDefault="006E0BD6" w:rsidP="00AF7D83">
            <w:pPr>
              <w:pStyle w:val="-3"/>
              <w:rPr>
                <w:rtl/>
              </w:rPr>
            </w:pPr>
          </w:p>
        </w:tc>
      </w:tr>
      <w:tr w:rsidR="0082482A" w:rsidRPr="00760C50" w14:paraId="07A08B1E" w14:textId="77777777" w:rsidTr="00575CE5">
        <w:trPr>
          <w:trHeight w:val="259"/>
        </w:trPr>
        <w:tc>
          <w:tcPr>
            <w:tcW w:w="1135" w:type="dxa"/>
            <w:vAlign w:val="bottom"/>
          </w:tcPr>
          <w:p w14:paraId="67E8D186" w14:textId="77777777" w:rsidR="006E0BD6" w:rsidRPr="00760C50" w:rsidRDefault="006E0BD6" w:rsidP="00AF7D83">
            <w:pPr>
              <w:pStyle w:val="-7"/>
              <w:rPr>
                <w:rtl/>
              </w:rPr>
            </w:pPr>
          </w:p>
        </w:tc>
        <w:tc>
          <w:tcPr>
            <w:tcW w:w="425" w:type="dxa"/>
          </w:tcPr>
          <w:p w14:paraId="69BAFBF6" w14:textId="77777777" w:rsidR="006E0BD6" w:rsidRPr="00760C50" w:rsidRDefault="006E0BD6" w:rsidP="00AF7D83">
            <w:pPr>
              <w:pStyle w:val="-0"/>
              <w:spacing w:line="240" w:lineRule="auto"/>
              <w:ind w:left="432"/>
              <w:rPr>
                <w:rtl/>
              </w:rPr>
            </w:pPr>
          </w:p>
        </w:tc>
        <w:tc>
          <w:tcPr>
            <w:tcW w:w="4973" w:type="dxa"/>
            <w:vAlign w:val="bottom"/>
          </w:tcPr>
          <w:p w14:paraId="4560F6FD" w14:textId="51DFC805" w:rsidR="006E0BD6" w:rsidRPr="006A77F4" w:rsidRDefault="00A674A4" w:rsidP="00AF7D83">
            <w:pPr>
              <w:pStyle w:val="-21"/>
              <w:rPr>
                <w:sz w:val="18"/>
                <w:szCs w:val="18"/>
                <w:rtl/>
              </w:rPr>
            </w:pPr>
            <w:r w:rsidRPr="006A77F4">
              <w:rPr>
                <w:rFonts w:hint="cs"/>
                <w:sz w:val="18"/>
                <w:szCs w:val="18"/>
                <w:rtl/>
              </w:rPr>
              <w:t>אגרות</w:t>
            </w:r>
            <w:r w:rsidR="006E0BD6" w:rsidRPr="006A77F4">
              <w:rPr>
                <w:rFonts w:hint="cs"/>
                <w:sz w:val="18"/>
                <w:szCs w:val="18"/>
                <w:rtl/>
              </w:rPr>
              <w:t xml:space="preserve"> חוב זמינות למכירה של ממשלת ישראל</w:t>
            </w:r>
          </w:p>
        </w:tc>
        <w:tc>
          <w:tcPr>
            <w:tcW w:w="754" w:type="dxa"/>
            <w:vAlign w:val="bottom"/>
          </w:tcPr>
          <w:p w14:paraId="33F033F5" w14:textId="77777777" w:rsidR="006E0BD6" w:rsidRPr="00760C50" w:rsidRDefault="006E0BD6" w:rsidP="00AF7D83">
            <w:pPr>
              <w:pStyle w:val="-3"/>
              <w:rPr>
                <w:rtl/>
              </w:rPr>
            </w:pPr>
            <w:r w:rsidRPr="00760C50">
              <w:rPr>
                <w:rFonts w:hint="cs"/>
                <w:rtl/>
              </w:rPr>
              <w:t xml:space="preserve"> </w:t>
            </w:r>
            <w:r w:rsidRPr="00760C50">
              <w:rPr>
                <w:rtl/>
              </w:rPr>
              <w:t>0</w:t>
            </w:r>
          </w:p>
        </w:tc>
        <w:tc>
          <w:tcPr>
            <w:tcW w:w="973" w:type="dxa"/>
            <w:vAlign w:val="bottom"/>
          </w:tcPr>
          <w:p w14:paraId="210614FF" w14:textId="77777777" w:rsidR="006E0BD6" w:rsidRPr="00760C50" w:rsidRDefault="006E0BD6" w:rsidP="00AF7D83">
            <w:pPr>
              <w:pStyle w:val="-3"/>
              <w:rPr>
                <w:rtl/>
              </w:rPr>
            </w:pPr>
            <w:r w:rsidRPr="00760C50">
              <w:rPr>
                <w:rFonts w:hint="cs"/>
                <w:rtl/>
              </w:rPr>
              <w:t xml:space="preserve"> </w:t>
            </w:r>
            <w:r w:rsidRPr="00760C50">
              <w:rPr>
                <w:rtl/>
              </w:rPr>
              <w:t>0</w:t>
            </w:r>
          </w:p>
        </w:tc>
        <w:tc>
          <w:tcPr>
            <w:tcW w:w="835" w:type="dxa"/>
            <w:vAlign w:val="bottom"/>
          </w:tcPr>
          <w:p w14:paraId="0160500F" w14:textId="77777777" w:rsidR="006E0BD6" w:rsidRPr="00760C50" w:rsidRDefault="006E0BD6" w:rsidP="00AF7D83">
            <w:pPr>
              <w:pStyle w:val="-3"/>
              <w:rPr>
                <w:rtl/>
              </w:rPr>
            </w:pPr>
            <w:r w:rsidRPr="00760C50">
              <w:rPr>
                <w:rFonts w:hint="cs"/>
                <w:rtl/>
              </w:rPr>
              <w:t xml:space="preserve"> </w:t>
            </w:r>
            <w:r w:rsidRPr="00760C50">
              <w:rPr>
                <w:rtl/>
              </w:rPr>
              <w:t>0</w:t>
            </w:r>
          </w:p>
        </w:tc>
        <w:tc>
          <w:tcPr>
            <w:tcW w:w="1112" w:type="dxa"/>
            <w:vAlign w:val="bottom"/>
          </w:tcPr>
          <w:p w14:paraId="66EC059F" w14:textId="77777777" w:rsidR="006E0BD6" w:rsidRPr="00760C50" w:rsidRDefault="006E0BD6" w:rsidP="00AF7D83">
            <w:pPr>
              <w:pStyle w:val="-3"/>
              <w:rPr>
                <w:rtl/>
              </w:rPr>
            </w:pPr>
            <w:r w:rsidRPr="00760C50">
              <w:rPr>
                <w:rFonts w:hint="cs"/>
                <w:rtl/>
              </w:rPr>
              <w:t xml:space="preserve"> </w:t>
            </w:r>
            <w:r w:rsidRPr="00760C50">
              <w:rPr>
                <w:rtl/>
              </w:rPr>
              <w:t>0</w:t>
            </w:r>
          </w:p>
        </w:tc>
      </w:tr>
      <w:tr w:rsidR="0082482A" w:rsidRPr="00760C50" w14:paraId="129AE4F4" w14:textId="77777777" w:rsidTr="00575CE5">
        <w:trPr>
          <w:trHeight w:val="259"/>
        </w:trPr>
        <w:tc>
          <w:tcPr>
            <w:tcW w:w="1135" w:type="dxa"/>
            <w:vAlign w:val="bottom"/>
          </w:tcPr>
          <w:p w14:paraId="3505C17C" w14:textId="77777777" w:rsidR="006E0BD6" w:rsidRPr="00760C50" w:rsidRDefault="006E0BD6" w:rsidP="00AF7D83">
            <w:pPr>
              <w:pStyle w:val="-7"/>
              <w:rPr>
                <w:rtl/>
              </w:rPr>
            </w:pPr>
          </w:p>
        </w:tc>
        <w:tc>
          <w:tcPr>
            <w:tcW w:w="425" w:type="dxa"/>
          </w:tcPr>
          <w:p w14:paraId="38DC85BE" w14:textId="77777777" w:rsidR="006E0BD6" w:rsidRPr="00760C50" w:rsidRDefault="006E0BD6" w:rsidP="00AF7D83">
            <w:pPr>
              <w:pStyle w:val="-0"/>
              <w:spacing w:line="240" w:lineRule="auto"/>
              <w:ind w:left="432"/>
              <w:rPr>
                <w:rtl/>
              </w:rPr>
            </w:pPr>
          </w:p>
        </w:tc>
        <w:tc>
          <w:tcPr>
            <w:tcW w:w="4973" w:type="dxa"/>
            <w:vAlign w:val="bottom"/>
          </w:tcPr>
          <w:p w14:paraId="7F039FBD" w14:textId="1D7F18D3" w:rsidR="006E0BD6" w:rsidRPr="006A77F4" w:rsidRDefault="00A674A4" w:rsidP="00AF7D83">
            <w:pPr>
              <w:pStyle w:val="-21"/>
              <w:rPr>
                <w:sz w:val="18"/>
                <w:szCs w:val="18"/>
                <w:rtl/>
              </w:rPr>
            </w:pPr>
            <w:r w:rsidRPr="006A77F4">
              <w:rPr>
                <w:rFonts w:hint="cs"/>
                <w:sz w:val="18"/>
                <w:szCs w:val="18"/>
                <w:rtl/>
              </w:rPr>
              <w:t>אגרות</w:t>
            </w:r>
            <w:r w:rsidR="006E0BD6" w:rsidRPr="006A77F4">
              <w:rPr>
                <w:rFonts w:hint="cs"/>
                <w:sz w:val="18"/>
                <w:szCs w:val="18"/>
                <w:rtl/>
              </w:rPr>
              <w:t xml:space="preserve"> חוב המוחזקות לפדיון של מוסדות פיננסיים זרים </w:t>
            </w:r>
          </w:p>
        </w:tc>
        <w:tc>
          <w:tcPr>
            <w:tcW w:w="754" w:type="dxa"/>
            <w:vAlign w:val="bottom"/>
          </w:tcPr>
          <w:p w14:paraId="49140E12" w14:textId="77777777" w:rsidR="006E0BD6" w:rsidRPr="00760C50" w:rsidRDefault="006E0BD6" w:rsidP="00AF7D83">
            <w:pPr>
              <w:pStyle w:val="-3"/>
              <w:rPr>
                <w:rtl/>
              </w:rPr>
            </w:pPr>
            <w:r w:rsidRPr="00760C50">
              <w:rPr>
                <w:rFonts w:hint="cs"/>
                <w:rtl/>
              </w:rPr>
              <w:t xml:space="preserve"> </w:t>
            </w:r>
            <w:r w:rsidRPr="00760C50">
              <w:rPr>
                <w:rtl/>
              </w:rPr>
              <w:t>0</w:t>
            </w:r>
          </w:p>
        </w:tc>
        <w:tc>
          <w:tcPr>
            <w:tcW w:w="973" w:type="dxa"/>
            <w:vAlign w:val="bottom"/>
          </w:tcPr>
          <w:p w14:paraId="216C9E7C" w14:textId="77777777" w:rsidR="006E0BD6" w:rsidRPr="00760C50" w:rsidRDefault="006E0BD6" w:rsidP="00AF7D83">
            <w:pPr>
              <w:pStyle w:val="-3"/>
              <w:rPr>
                <w:rtl/>
              </w:rPr>
            </w:pPr>
            <w:r w:rsidRPr="00760C50">
              <w:rPr>
                <w:rFonts w:hint="cs"/>
                <w:rtl/>
              </w:rPr>
              <w:t xml:space="preserve"> </w:t>
            </w:r>
            <w:r w:rsidRPr="00760C50">
              <w:rPr>
                <w:rtl/>
              </w:rPr>
              <w:t>0</w:t>
            </w:r>
          </w:p>
        </w:tc>
        <w:tc>
          <w:tcPr>
            <w:tcW w:w="835" w:type="dxa"/>
            <w:vAlign w:val="bottom"/>
          </w:tcPr>
          <w:p w14:paraId="5F08BBA2" w14:textId="77777777" w:rsidR="006E0BD6" w:rsidRPr="00760C50" w:rsidRDefault="006E0BD6" w:rsidP="00AF7D83">
            <w:pPr>
              <w:pStyle w:val="-3"/>
              <w:rPr>
                <w:rtl/>
              </w:rPr>
            </w:pPr>
            <w:r w:rsidRPr="00760C50">
              <w:rPr>
                <w:rFonts w:hint="cs"/>
                <w:rtl/>
              </w:rPr>
              <w:t xml:space="preserve"> </w:t>
            </w:r>
            <w:r w:rsidRPr="00760C50">
              <w:rPr>
                <w:rtl/>
              </w:rPr>
              <w:t>0</w:t>
            </w:r>
          </w:p>
        </w:tc>
        <w:tc>
          <w:tcPr>
            <w:tcW w:w="1112" w:type="dxa"/>
            <w:vAlign w:val="bottom"/>
          </w:tcPr>
          <w:p w14:paraId="6D1325B8" w14:textId="77777777" w:rsidR="006E0BD6" w:rsidRPr="00760C50" w:rsidRDefault="006E0BD6" w:rsidP="00AF7D83">
            <w:pPr>
              <w:pStyle w:val="-3"/>
              <w:rPr>
                <w:rtl/>
              </w:rPr>
            </w:pPr>
            <w:r w:rsidRPr="00760C50">
              <w:rPr>
                <w:rFonts w:hint="cs"/>
                <w:rtl/>
              </w:rPr>
              <w:t xml:space="preserve"> </w:t>
            </w:r>
            <w:r w:rsidRPr="00760C50">
              <w:rPr>
                <w:rtl/>
              </w:rPr>
              <w:t>0</w:t>
            </w:r>
          </w:p>
        </w:tc>
      </w:tr>
    </w:tbl>
    <w:p w14:paraId="27E6D682" w14:textId="77777777" w:rsidR="00795401" w:rsidRDefault="00795401"/>
    <w:p w14:paraId="2C6A472B" w14:textId="77777777" w:rsidR="00B12F23" w:rsidRDefault="00B12F23"/>
    <w:tbl>
      <w:tblPr>
        <w:bidiVisual/>
        <w:tblW w:w="5008" w:type="pct"/>
        <w:jc w:val="right"/>
        <w:tblLook w:val="0000" w:firstRow="0" w:lastRow="0" w:firstColumn="0" w:lastColumn="0" w:noHBand="0" w:noVBand="0"/>
      </w:tblPr>
      <w:tblGrid>
        <w:gridCol w:w="1146"/>
        <w:gridCol w:w="9077"/>
      </w:tblGrid>
      <w:tr w:rsidR="00795401" w:rsidRPr="007363C7" w14:paraId="72EB1DDD" w14:textId="77777777" w:rsidTr="00575CE5">
        <w:trPr>
          <w:trHeight w:val="245"/>
          <w:jc w:val="right"/>
        </w:trPr>
        <w:tc>
          <w:tcPr>
            <w:tcW w:w="1146" w:type="dxa"/>
          </w:tcPr>
          <w:p w14:paraId="1C838B98" w14:textId="320F54CB" w:rsidR="00795401" w:rsidRPr="00B47D87" w:rsidRDefault="00795401" w:rsidP="00396C38">
            <w:pPr>
              <w:spacing w:before="100"/>
              <w:jc w:val="left"/>
              <w:rPr>
                <w:sz w:val="14"/>
                <w:szCs w:val="14"/>
                <w:highlight w:val="yellow"/>
                <w:rtl/>
              </w:rPr>
            </w:pPr>
            <w:bookmarkStart w:id="60" w:name="_Hlk102297138"/>
          </w:p>
        </w:tc>
        <w:tc>
          <w:tcPr>
            <w:tcW w:w="9077" w:type="dxa"/>
          </w:tcPr>
          <w:p w14:paraId="7D8F0621" w14:textId="319874D8" w:rsidR="00795401" w:rsidRPr="00565EAB" w:rsidRDefault="00795401" w:rsidP="00396C38">
            <w:pPr>
              <w:pStyle w:val="-10"/>
              <w:tabs>
                <w:tab w:val="left" w:pos="446"/>
              </w:tabs>
              <w:ind w:left="446" w:hanging="446"/>
              <w:rPr>
                <w:b/>
                <w:bCs/>
                <w:rtl/>
              </w:rPr>
            </w:pPr>
            <w:r>
              <w:rPr>
                <w:rFonts w:hint="cs"/>
                <w:b/>
                <w:bCs/>
                <w:rtl/>
              </w:rPr>
              <w:t>ב.</w:t>
            </w:r>
            <w:r>
              <w:rPr>
                <w:b/>
                <w:bCs/>
                <w:rtl/>
              </w:rPr>
              <w:tab/>
            </w:r>
            <w:r w:rsidRPr="00511159">
              <w:rPr>
                <w:rFonts w:hint="cs"/>
                <w:b/>
                <w:bCs/>
                <w:sz w:val="18"/>
                <w:szCs w:val="18"/>
                <w:rtl/>
              </w:rPr>
              <w:t>מידע נוסף:</w:t>
            </w:r>
            <w:r w:rsidR="008E4B8C">
              <w:rPr>
                <w:rFonts w:hint="cs"/>
                <w:b/>
                <w:bCs/>
                <w:rtl/>
              </w:rPr>
              <w:t xml:space="preserve"> </w:t>
            </w:r>
            <w:r w:rsidR="008E4B8C" w:rsidRPr="008E4B8C">
              <w:rPr>
                <w:rFonts w:hint="cs"/>
                <w:rtl/>
              </w:rPr>
              <w:t>[פרט]</w:t>
            </w:r>
          </w:p>
        </w:tc>
      </w:tr>
      <w:bookmarkEnd w:id="60"/>
    </w:tbl>
    <w:p w14:paraId="386DC636" w14:textId="77777777" w:rsidR="00795401" w:rsidRDefault="00795401"/>
    <w:p w14:paraId="09A2CFC4" w14:textId="77777777" w:rsidR="0082482A" w:rsidRDefault="0082482A">
      <w:pPr>
        <w:rPr>
          <w:rtl/>
        </w:rPr>
        <w:sectPr w:rsidR="0082482A" w:rsidSect="00587121">
          <w:footnotePr>
            <w:numRestart w:val="eachPage"/>
          </w:footnotePr>
          <w:pgSz w:w="11909" w:h="16834" w:code="9"/>
          <w:pgMar w:top="851" w:right="851" w:bottom="851" w:left="851" w:header="720" w:footer="600" w:gutter="0"/>
          <w:cols w:space="720"/>
          <w:bidi/>
          <w:rtlGutter/>
          <w:docGrid w:linePitch="360"/>
        </w:sectPr>
      </w:pPr>
    </w:p>
    <w:p w14:paraId="2398A9CD" w14:textId="33AB27BA" w:rsidR="006D604E" w:rsidRDefault="006D604E" w:rsidP="00575CE5">
      <w:pPr>
        <w:pStyle w:val="5"/>
        <w:spacing w:after="40"/>
        <w:ind w:firstLine="1135"/>
      </w:pPr>
      <w:bookmarkStart w:id="61" w:name="_Toc160529239"/>
      <w:r w:rsidRPr="00B44059">
        <w:rPr>
          <w:rFonts w:hint="eastAsia"/>
          <w:rtl/>
        </w:rPr>
        <w:lastRenderedPageBreak/>
        <w:t>ביאור</w:t>
      </w:r>
      <w:r w:rsidRPr="00B44059">
        <w:rPr>
          <w:rtl/>
        </w:rPr>
        <w:t xml:space="preserve"> 1</w:t>
      </w:r>
      <w:r w:rsidR="00316579">
        <w:rPr>
          <w:rFonts w:hint="cs"/>
          <w:rtl/>
        </w:rPr>
        <w:t>5</w:t>
      </w:r>
      <w:r w:rsidRPr="00B44059">
        <w:rPr>
          <w:rtl/>
        </w:rPr>
        <w:t xml:space="preserve"> - </w:t>
      </w:r>
      <w:r w:rsidRPr="00B44059">
        <w:rPr>
          <w:rFonts w:hint="eastAsia"/>
          <w:rtl/>
        </w:rPr>
        <w:t>אירועים</w:t>
      </w:r>
      <w:r w:rsidRPr="00B44059">
        <w:rPr>
          <w:rtl/>
        </w:rPr>
        <w:t xml:space="preserve"> </w:t>
      </w:r>
      <w:r w:rsidR="004F17CE">
        <w:rPr>
          <w:rFonts w:hint="cs"/>
          <w:rtl/>
        </w:rPr>
        <w:t xml:space="preserve">מהותיים </w:t>
      </w:r>
      <w:r w:rsidRPr="00B44059">
        <w:rPr>
          <w:rFonts w:hint="eastAsia"/>
          <w:rtl/>
        </w:rPr>
        <w:t>במהלך</w:t>
      </w:r>
      <w:r w:rsidRPr="00B44059">
        <w:rPr>
          <w:rtl/>
        </w:rPr>
        <w:t xml:space="preserve"> </w:t>
      </w:r>
      <w:r w:rsidR="004F17CE">
        <w:rPr>
          <w:rFonts w:hint="cs"/>
          <w:rtl/>
        </w:rPr>
        <w:t>תקופת הדיווח</w:t>
      </w:r>
      <w:bookmarkEnd w:id="61"/>
      <w:r>
        <w:rPr>
          <w:rFonts w:hint="cs"/>
          <w:rtl/>
        </w:rPr>
        <w:t xml:space="preserve"> </w:t>
      </w:r>
    </w:p>
    <w:p w14:paraId="64936E0E" w14:textId="77777777" w:rsidR="00F32A2A" w:rsidRDefault="00F32A2A">
      <w:pPr>
        <w:bidi w:val="0"/>
        <w:spacing w:line="14" w:lineRule="exact"/>
      </w:pPr>
    </w:p>
    <w:tbl>
      <w:tblPr>
        <w:bidiVisual/>
        <w:tblW w:w="10741" w:type="dxa"/>
        <w:tblInd w:w="-315" w:type="dxa"/>
        <w:tblLayout w:type="fixed"/>
        <w:tblLook w:val="04A0" w:firstRow="1" w:lastRow="0" w:firstColumn="1" w:lastColumn="0" w:noHBand="0" w:noVBand="1"/>
      </w:tblPr>
      <w:tblGrid>
        <w:gridCol w:w="1665"/>
        <w:gridCol w:w="9076"/>
      </w:tblGrid>
      <w:tr w:rsidR="00805AA1" w:rsidRPr="00D15A24" w14:paraId="1D967684" w14:textId="77777777" w:rsidTr="00575CE5">
        <w:trPr>
          <w:trHeight w:val="245"/>
        </w:trPr>
        <w:tc>
          <w:tcPr>
            <w:tcW w:w="1665" w:type="dxa"/>
          </w:tcPr>
          <w:p w14:paraId="1E6CB78A" w14:textId="77777777" w:rsidR="00805AA1" w:rsidRDefault="00805AA1" w:rsidP="00E13612">
            <w:pPr>
              <w:pStyle w:val="-f8"/>
              <w:spacing w:after="0" w:line="240" w:lineRule="auto"/>
              <w:ind w:right="70"/>
              <w:jc w:val="right"/>
              <w:rPr>
                <w:b w:val="0"/>
                <w:bCs w:val="0"/>
                <w:sz w:val="14"/>
                <w:szCs w:val="14"/>
              </w:rPr>
            </w:pPr>
          </w:p>
        </w:tc>
        <w:tc>
          <w:tcPr>
            <w:tcW w:w="9076" w:type="dxa"/>
            <w:tcMar>
              <w:left w:w="113" w:type="dxa"/>
              <w:right w:w="113" w:type="dxa"/>
            </w:tcMar>
          </w:tcPr>
          <w:p w14:paraId="4BC9F3B0" w14:textId="3F4AF1A4" w:rsidR="00805AA1" w:rsidRPr="00805AA1" w:rsidRDefault="00805AA1" w:rsidP="00805AA1">
            <w:pPr>
              <w:spacing w:before="60" w:after="60" w:line="264" w:lineRule="auto"/>
              <w:rPr>
                <w:rFonts w:asciiTheme="minorBidi" w:hAnsiTheme="minorBidi" w:cstheme="minorBidi"/>
                <w:i/>
                <w:iCs/>
                <w:rtl/>
              </w:rPr>
            </w:pPr>
            <w:r w:rsidRPr="00805AA1">
              <w:rPr>
                <w:rFonts w:asciiTheme="minorBidi" w:hAnsiTheme="minorBidi" w:cstheme="minorBidi" w:hint="cs"/>
                <w:i/>
                <w:iCs/>
                <w:rtl/>
              </w:rPr>
              <w:t>[להלן דוגמאות לאירועים מהותיים במהלך תקופת הדיווח שיש לתת לגביהם גילוי; לעניין מתכונת הגילוי יש לעיין בביאורים המתייחסים בדוחות כספיים שנתיים לדוגמה לתאגידים בנקאיים]</w:t>
            </w:r>
          </w:p>
        </w:tc>
      </w:tr>
      <w:tr w:rsidR="000A4410" w:rsidRPr="00D15A24" w14:paraId="04A4D4D6" w14:textId="77777777" w:rsidTr="00575CE5">
        <w:trPr>
          <w:trHeight w:val="245"/>
        </w:trPr>
        <w:tc>
          <w:tcPr>
            <w:tcW w:w="1665" w:type="dxa"/>
          </w:tcPr>
          <w:p w14:paraId="17C56F83" w14:textId="0A4ED2DC" w:rsidR="00F32A2A" w:rsidRDefault="00F32A2A" w:rsidP="00E13612">
            <w:pPr>
              <w:pStyle w:val="-f8"/>
              <w:spacing w:after="0" w:line="240" w:lineRule="auto"/>
              <w:ind w:right="70"/>
              <w:jc w:val="right"/>
              <w:rPr>
                <w:b w:val="0"/>
                <w:bCs w:val="0"/>
                <w:sz w:val="14"/>
                <w:szCs w:val="14"/>
              </w:rPr>
            </w:pPr>
          </w:p>
        </w:tc>
        <w:tc>
          <w:tcPr>
            <w:tcW w:w="9076" w:type="dxa"/>
            <w:tcMar>
              <w:left w:w="113" w:type="dxa"/>
              <w:right w:w="113" w:type="dxa"/>
            </w:tcMar>
          </w:tcPr>
          <w:p w14:paraId="0C53C478" w14:textId="7CE35F22" w:rsidR="00F32A2A" w:rsidRPr="004F17CE" w:rsidRDefault="00B44059" w:rsidP="00D6057D">
            <w:pPr>
              <w:pStyle w:val="ac"/>
              <w:numPr>
                <w:ilvl w:val="0"/>
                <w:numId w:val="26"/>
              </w:numPr>
              <w:spacing w:before="60" w:after="60" w:line="264" w:lineRule="auto"/>
              <w:rPr>
                <w:rFonts w:asciiTheme="minorBidi" w:hAnsiTheme="minorBidi" w:cstheme="minorBidi"/>
                <w:sz w:val="20"/>
                <w:szCs w:val="20"/>
                <w:rtl/>
              </w:rPr>
            </w:pPr>
            <w:r w:rsidRPr="004F17CE">
              <w:rPr>
                <w:rFonts w:asciiTheme="minorBidi" w:hAnsiTheme="minorBidi" w:cstheme="minorBidi"/>
                <w:sz w:val="20"/>
                <w:szCs w:val="20"/>
                <w:rtl/>
              </w:rPr>
              <w:t>צירופי עסקים</w:t>
            </w:r>
          </w:p>
        </w:tc>
      </w:tr>
      <w:tr w:rsidR="004F17CE" w:rsidRPr="00D15A24" w14:paraId="73D6DE92" w14:textId="77777777" w:rsidTr="00575CE5">
        <w:trPr>
          <w:trHeight w:val="245"/>
        </w:trPr>
        <w:tc>
          <w:tcPr>
            <w:tcW w:w="1665" w:type="dxa"/>
          </w:tcPr>
          <w:p w14:paraId="4E5F4565" w14:textId="77777777" w:rsidR="004F17CE" w:rsidRPr="00FB6C07" w:rsidRDefault="004F17CE" w:rsidP="004F17CE">
            <w:pPr>
              <w:pStyle w:val="-f8"/>
              <w:spacing w:after="0" w:line="240" w:lineRule="auto"/>
              <w:ind w:right="70"/>
              <w:jc w:val="right"/>
              <w:rPr>
                <w:b w:val="0"/>
                <w:bCs w:val="0"/>
                <w:sz w:val="14"/>
                <w:szCs w:val="14"/>
              </w:rPr>
            </w:pPr>
          </w:p>
        </w:tc>
        <w:tc>
          <w:tcPr>
            <w:tcW w:w="9076" w:type="dxa"/>
            <w:tcMar>
              <w:left w:w="113" w:type="dxa"/>
              <w:right w:w="113" w:type="dxa"/>
            </w:tcMar>
          </w:tcPr>
          <w:p w14:paraId="37F602D1" w14:textId="036061E7" w:rsidR="004F17CE" w:rsidRPr="004F17CE" w:rsidRDefault="004F17CE" w:rsidP="00D6057D">
            <w:pPr>
              <w:pStyle w:val="ac"/>
              <w:numPr>
                <w:ilvl w:val="0"/>
                <w:numId w:val="26"/>
              </w:numPr>
              <w:spacing w:before="60" w:after="60" w:line="264" w:lineRule="auto"/>
              <w:rPr>
                <w:rFonts w:asciiTheme="minorBidi" w:hAnsiTheme="minorBidi" w:cstheme="minorBidi"/>
                <w:sz w:val="20"/>
                <w:szCs w:val="20"/>
                <w:rtl/>
              </w:rPr>
            </w:pPr>
            <w:r w:rsidRPr="004F17CE">
              <w:rPr>
                <w:rFonts w:asciiTheme="minorBidi" w:eastAsia="Arial Unicode MS" w:hAnsiTheme="minorBidi" w:cstheme="minorBidi"/>
                <w:sz w:val="20"/>
                <w:szCs w:val="20"/>
                <w:rtl/>
              </w:rPr>
              <w:t>איבוד שליטה במהלך התקופה</w:t>
            </w:r>
          </w:p>
        </w:tc>
      </w:tr>
      <w:tr w:rsidR="004F17CE" w:rsidRPr="00D15A24" w14:paraId="50312A56" w14:textId="77777777" w:rsidTr="00575CE5">
        <w:trPr>
          <w:trHeight w:val="245"/>
        </w:trPr>
        <w:tc>
          <w:tcPr>
            <w:tcW w:w="1665" w:type="dxa"/>
          </w:tcPr>
          <w:p w14:paraId="3B69F324" w14:textId="77777777" w:rsidR="004F17CE" w:rsidRPr="00FB6C07" w:rsidRDefault="004F17CE" w:rsidP="004F17CE">
            <w:pPr>
              <w:pStyle w:val="-f8"/>
              <w:spacing w:after="0" w:line="240" w:lineRule="auto"/>
              <w:ind w:right="70"/>
              <w:jc w:val="right"/>
              <w:rPr>
                <w:b w:val="0"/>
                <w:bCs w:val="0"/>
                <w:sz w:val="14"/>
                <w:szCs w:val="14"/>
              </w:rPr>
            </w:pPr>
          </w:p>
        </w:tc>
        <w:tc>
          <w:tcPr>
            <w:tcW w:w="9076" w:type="dxa"/>
            <w:tcMar>
              <w:left w:w="113" w:type="dxa"/>
              <w:right w:w="113" w:type="dxa"/>
            </w:tcMar>
          </w:tcPr>
          <w:p w14:paraId="6AA17C79" w14:textId="0D5A5A8B" w:rsidR="004F17CE" w:rsidRPr="004F17CE" w:rsidRDefault="004F17CE" w:rsidP="00D6057D">
            <w:pPr>
              <w:pStyle w:val="ac"/>
              <w:numPr>
                <w:ilvl w:val="0"/>
                <w:numId w:val="26"/>
              </w:numPr>
              <w:spacing w:before="60" w:after="60" w:line="264" w:lineRule="auto"/>
              <w:rPr>
                <w:rFonts w:asciiTheme="minorBidi" w:hAnsiTheme="minorBidi" w:cstheme="minorBidi"/>
                <w:sz w:val="20"/>
                <w:szCs w:val="20"/>
                <w:rtl/>
              </w:rPr>
            </w:pPr>
            <w:r w:rsidRPr="004F17CE">
              <w:rPr>
                <w:rFonts w:asciiTheme="minorBidi" w:eastAsia="Arial Unicode MS" w:hAnsiTheme="minorBidi" w:cstheme="minorBidi"/>
                <w:sz w:val="20"/>
                <w:szCs w:val="20"/>
                <w:rtl/>
              </w:rPr>
              <w:t>עסקאות תשלום מבוסס מניות</w:t>
            </w:r>
          </w:p>
        </w:tc>
      </w:tr>
      <w:tr w:rsidR="004F17CE" w:rsidRPr="00D15A24" w14:paraId="7D81B643" w14:textId="77777777" w:rsidTr="00575CE5">
        <w:trPr>
          <w:trHeight w:val="245"/>
        </w:trPr>
        <w:tc>
          <w:tcPr>
            <w:tcW w:w="1665" w:type="dxa"/>
          </w:tcPr>
          <w:p w14:paraId="2336AAD7" w14:textId="77777777" w:rsidR="004F17CE" w:rsidRPr="00FB6C07" w:rsidRDefault="004F17CE" w:rsidP="004F17CE">
            <w:pPr>
              <w:pStyle w:val="-f8"/>
              <w:spacing w:after="0" w:line="240" w:lineRule="auto"/>
              <w:ind w:right="70"/>
              <w:jc w:val="right"/>
              <w:rPr>
                <w:b w:val="0"/>
                <w:bCs w:val="0"/>
                <w:sz w:val="14"/>
                <w:szCs w:val="14"/>
              </w:rPr>
            </w:pPr>
          </w:p>
        </w:tc>
        <w:tc>
          <w:tcPr>
            <w:tcW w:w="9076" w:type="dxa"/>
            <w:tcMar>
              <w:left w:w="113" w:type="dxa"/>
              <w:right w:w="113" w:type="dxa"/>
            </w:tcMar>
          </w:tcPr>
          <w:p w14:paraId="0344B288" w14:textId="40B8C2CD" w:rsidR="004F17CE" w:rsidRPr="004F17CE" w:rsidRDefault="004F17CE" w:rsidP="00D6057D">
            <w:pPr>
              <w:pStyle w:val="ac"/>
              <w:numPr>
                <w:ilvl w:val="0"/>
                <w:numId w:val="26"/>
              </w:numPr>
              <w:spacing w:before="60" w:after="60" w:line="264" w:lineRule="auto"/>
              <w:rPr>
                <w:rFonts w:asciiTheme="minorBidi" w:hAnsiTheme="minorBidi" w:cstheme="minorBidi"/>
                <w:sz w:val="20"/>
                <w:szCs w:val="20"/>
                <w:rtl/>
              </w:rPr>
            </w:pPr>
            <w:r w:rsidRPr="004F17CE">
              <w:rPr>
                <w:rFonts w:asciiTheme="minorBidi" w:eastAsia="Arial Unicode MS" w:hAnsiTheme="minorBidi" w:cstheme="minorBidi"/>
                <w:sz w:val="20"/>
                <w:szCs w:val="20"/>
                <w:rtl/>
              </w:rPr>
              <w:t>צדדים קשורים ובעלי עניין</w:t>
            </w:r>
            <w:r w:rsidR="00163A61">
              <w:rPr>
                <w:rFonts w:asciiTheme="minorBidi" w:hAnsiTheme="minorBidi" w:cstheme="minorBidi" w:hint="cs"/>
                <w:sz w:val="20"/>
                <w:szCs w:val="20"/>
                <w:rtl/>
              </w:rPr>
              <w:t xml:space="preserve"> </w:t>
            </w:r>
          </w:p>
        </w:tc>
      </w:tr>
      <w:tr w:rsidR="004F17CE" w:rsidRPr="00D15A24" w14:paraId="1B46F712" w14:textId="77777777" w:rsidTr="00575CE5">
        <w:trPr>
          <w:trHeight w:val="245"/>
        </w:trPr>
        <w:tc>
          <w:tcPr>
            <w:tcW w:w="1665" w:type="dxa"/>
          </w:tcPr>
          <w:p w14:paraId="743A24A5" w14:textId="77777777" w:rsidR="004F17CE" w:rsidRPr="00FB6C07" w:rsidRDefault="004F17CE" w:rsidP="004F17CE">
            <w:pPr>
              <w:pStyle w:val="-f8"/>
              <w:spacing w:after="0" w:line="240" w:lineRule="auto"/>
              <w:ind w:right="70"/>
              <w:jc w:val="right"/>
              <w:rPr>
                <w:b w:val="0"/>
                <w:bCs w:val="0"/>
                <w:sz w:val="14"/>
                <w:szCs w:val="14"/>
              </w:rPr>
            </w:pPr>
          </w:p>
        </w:tc>
        <w:tc>
          <w:tcPr>
            <w:tcW w:w="9076" w:type="dxa"/>
            <w:tcMar>
              <w:left w:w="113" w:type="dxa"/>
              <w:right w:w="113" w:type="dxa"/>
            </w:tcMar>
          </w:tcPr>
          <w:p w14:paraId="759CCBE5" w14:textId="22A8A87D" w:rsidR="004F17CE" w:rsidRPr="004F17CE" w:rsidRDefault="004F17CE" w:rsidP="00D6057D">
            <w:pPr>
              <w:pStyle w:val="ac"/>
              <w:numPr>
                <w:ilvl w:val="0"/>
                <w:numId w:val="26"/>
              </w:numPr>
              <w:spacing w:before="60" w:after="60" w:line="264" w:lineRule="auto"/>
              <w:rPr>
                <w:rFonts w:asciiTheme="minorBidi" w:hAnsiTheme="minorBidi" w:cstheme="minorBidi"/>
                <w:sz w:val="20"/>
                <w:szCs w:val="20"/>
                <w:rtl/>
              </w:rPr>
            </w:pPr>
            <w:r w:rsidRPr="004F17CE">
              <w:rPr>
                <w:rFonts w:asciiTheme="minorBidi" w:eastAsia="Arial Unicode MS" w:hAnsiTheme="minorBidi" w:cstheme="minorBidi"/>
                <w:sz w:val="20"/>
                <w:szCs w:val="20"/>
                <w:rtl/>
              </w:rPr>
              <w:t>נכסים לא שוטפים וקבוצות מימוש המוחזקים למכירה</w:t>
            </w:r>
          </w:p>
        </w:tc>
      </w:tr>
      <w:tr w:rsidR="004F17CE" w:rsidRPr="00D15A24" w14:paraId="3331DC0F" w14:textId="77777777" w:rsidTr="00042E8D">
        <w:trPr>
          <w:trHeight w:val="245"/>
        </w:trPr>
        <w:tc>
          <w:tcPr>
            <w:tcW w:w="1665" w:type="dxa"/>
          </w:tcPr>
          <w:p w14:paraId="57D1BB45" w14:textId="77777777" w:rsidR="004F17CE" w:rsidRPr="00FB6C07" w:rsidRDefault="004F17CE" w:rsidP="004F17CE">
            <w:pPr>
              <w:pStyle w:val="-f8"/>
              <w:spacing w:after="0" w:line="240" w:lineRule="auto"/>
              <w:ind w:right="70"/>
              <w:jc w:val="right"/>
              <w:rPr>
                <w:b w:val="0"/>
                <w:bCs w:val="0"/>
                <w:sz w:val="14"/>
                <w:szCs w:val="14"/>
              </w:rPr>
            </w:pPr>
          </w:p>
        </w:tc>
        <w:tc>
          <w:tcPr>
            <w:tcW w:w="9076" w:type="dxa"/>
            <w:tcMar>
              <w:left w:w="113" w:type="dxa"/>
              <w:right w:w="113" w:type="dxa"/>
            </w:tcMar>
          </w:tcPr>
          <w:p w14:paraId="240A1E1C" w14:textId="2992E770" w:rsidR="004F17CE" w:rsidRPr="004F17CE" w:rsidRDefault="004F17CE" w:rsidP="00D6057D">
            <w:pPr>
              <w:pStyle w:val="ac"/>
              <w:numPr>
                <w:ilvl w:val="0"/>
                <w:numId w:val="26"/>
              </w:numPr>
              <w:spacing w:before="60" w:after="60" w:line="264" w:lineRule="auto"/>
              <w:rPr>
                <w:rFonts w:asciiTheme="minorBidi" w:eastAsia="Arial Unicode MS" w:hAnsiTheme="minorBidi" w:cstheme="minorBidi"/>
                <w:sz w:val="20"/>
                <w:szCs w:val="20"/>
                <w:rtl/>
              </w:rPr>
            </w:pPr>
            <w:r w:rsidRPr="004F17CE">
              <w:rPr>
                <w:rFonts w:asciiTheme="minorBidi" w:hAnsiTheme="minorBidi" w:cstheme="minorBidi"/>
                <w:sz w:val="20"/>
                <w:szCs w:val="20"/>
                <w:rtl/>
              </w:rPr>
              <w:t>פעילויות שהופסקו</w:t>
            </w:r>
          </w:p>
        </w:tc>
      </w:tr>
      <w:tr w:rsidR="009F7E36" w:rsidRPr="00D15A24" w14:paraId="1812F514" w14:textId="77777777" w:rsidTr="00042E8D">
        <w:trPr>
          <w:trHeight w:val="245"/>
        </w:trPr>
        <w:tc>
          <w:tcPr>
            <w:tcW w:w="1665" w:type="dxa"/>
            <w:tcBorders>
              <w:right w:val="single" w:sz="4" w:space="0" w:color="auto"/>
            </w:tcBorders>
          </w:tcPr>
          <w:p w14:paraId="7C03A224" w14:textId="77777777" w:rsidR="009F7E36" w:rsidRPr="00FB6C07" w:rsidRDefault="009F7E36" w:rsidP="004F17CE">
            <w:pPr>
              <w:pStyle w:val="-f8"/>
              <w:spacing w:after="0" w:line="240" w:lineRule="auto"/>
              <w:ind w:right="70"/>
              <w:jc w:val="right"/>
              <w:rPr>
                <w:b w:val="0"/>
                <w:bCs w:val="0"/>
                <w:sz w:val="14"/>
                <w:szCs w:val="14"/>
              </w:rPr>
            </w:pPr>
          </w:p>
        </w:tc>
        <w:tc>
          <w:tcPr>
            <w:tcW w:w="9076" w:type="dxa"/>
            <w:tcBorders>
              <w:left w:val="single" w:sz="4" w:space="0" w:color="auto"/>
            </w:tcBorders>
            <w:tcMar>
              <w:left w:w="113" w:type="dxa"/>
              <w:right w:w="113" w:type="dxa"/>
            </w:tcMar>
          </w:tcPr>
          <w:p w14:paraId="41B3AB3E" w14:textId="77777777" w:rsidR="009F7E36" w:rsidRDefault="009F7E36" w:rsidP="00D6057D">
            <w:pPr>
              <w:pStyle w:val="ac"/>
              <w:numPr>
                <w:ilvl w:val="0"/>
                <w:numId w:val="26"/>
              </w:numPr>
              <w:spacing w:before="60" w:after="60" w:line="264" w:lineRule="auto"/>
              <w:rPr>
                <w:rFonts w:asciiTheme="minorBidi" w:hAnsiTheme="minorBidi" w:cstheme="minorBidi"/>
                <w:sz w:val="20"/>
                <w:szCs w:val="20"/>
              </w:rPr>
            </w:pPr>
            <w:r w:rsidRPr="00EC0F97">
              <w:rPr>
                <w:rFonts w:asciiTheme="minorBidi" w:hAnsiTheme="minorBidi" w:cstheme="minorBidi" w:hint="cs"/>
                <w:b/>
                <w:bCs/>
                <w:sz w:val="20"/>
                <w:szCs w:val="20"/>
                <w:u w:val="single"/>
                <w:rtl/>
              </w:rPr>
              <w:t>מסים על ההכנסה</w:t>
            </w:r>
            <w:r w:rsidR="00EC0F97">
              <w:rPr>
                <w:rFonts w:asciiTheme="minorBidi" w:hAnsiTheme="minorBidi" w:cstheme="minorBidi" w:hint="cs"/>
                <w:sz w:val="20"/>
                <w:szCs w:val="20"/>
                <w:rtl/>
              </w:rPr>
              <w:t>:</w:t>
            </w:r>
          </w:p>
          <w:p w14:paraId="6DC2599A" w14:textId="37D283CA" w:rsidR="00EC0F97" w:rsidRDefault="00EC0F97" w:rsidP="00EC0F97">
            <w:pPr>
              <w:pStyle w:val="ac"/>
              <w:spacing w:before="60" w:after="60" w:line="264" w:lineRule="auto"/>
              <w:rPr>
                <w:rFonts w:asciiTheme="minorBidi" w:hAnsiTheme="minorBidi" w:cs="Arial"/>
                <w:sz w:val="20"/>
                <w:szCs w:val="20"/>
                <w:rtl/>
              </w:rPr>
            </w:pPr>
            <w:r w:rsidRPr="00EC0F97">
              <w:rPr>
                <w:rFonts w:asciiTheme="minorBidi" w:hAnsiTheme="minorBidi" w:cs="Arial"/>
                <w:sz w:val="20"/>
                <w:szCs w:val="20"/>
                <w:rtl/>
              </w:rPr>
              <w:t xml:space="preserve">ביום </w:t>
            </w:r>
            <w:r w:rsidR="001946C0">
              <w:rPr>
                <w:rFonts w:asciiTheme="minorBidi" w:hAnsiTheme="minorBidi" w:cs="Arial" w:hint="cs"/>
                <w:sz w:val="20"/>
                <w:szCs w:val="20"/>
                <w:rtl/>
              </w:rPr>
              <w:t>17</w:t>
            </w:r>
            <w:r w:rsidR="001946C0" w:rsidRPr="00EC0F97">
              <w:rPr>
                <w:rFonts w:asciiTheme="minorBidi" w:hAnsiTheme="minorBidi" w:cs="Arial"/>
                <w:sz w:val="20"/>
                <w:szCs w:val="20"/>
                <w:rtl/>
              </w:rPr>
              <w:t xml:space="preserve"> </w:t>
            </w:r>
            <w:r w:rsidRPr="00EC0F97">
              <w:rPr>
                <w:rFonts w:asciiTheme="minorBidi" w:hAnsiTheme="minorBidi" w:cs="Arial"/>
                <w:sz w:val="20"/>
                <w:szCs w:val="20"/>
                <w:rtl/>
              </w:rPr>
              <w:t>במר</w:t>
            </w:r>
            <w:r w:rsidR="003F5BC0">
              <w:rPr>
                <w:rFonts w:asciiTheme="minorBidi" w:hAnsiTheme="minorBidi" w:cs="Arial" w:hint="cs"/>
                <w:sz w:val="20"/>
                <w:szCs w:val="20"/>
                <w:rtl/>
              </w:rPr>
              <w:t>ץ</w:t>
            </w:r>
            <w:r w:rsidRPr="00EC0F97">
              <w:rPr>
                <w:rFonts w:asciiTheme="minorBidi" w:hAnsiTheme="minorBidi" w:cs="Arial"/>
                <w:sz w:val="20"/>
                <w:szCs w:val="20"/>
                <w:rtl/>
              </w:rPr>
              <w:t xml:space="preserve"> 2024</w:t>
            </w:r>
            <w:r w:rsidR="00A31CDF">
              <w:rPr>
                <w:rFonts w:asciiTheme="minorBidi" w:hAnsiTheme="minorBidi" w:cs="Arial" w:hint="cs"/>
                <w:sz w:val="20"/>
                <w:szCs w:val="20"/>
                <w:rtl/>
              </w:rPr>
              <w:t>,</w:t>
            </w:r>
            <w:r w:rsidRPr="00EC0F97">
              <w:rPr>
                <w:rFonts w:asciiTheme="minorBidi" w:hAnsiTheme="minorBidi" w:cs="Arial"/>
                <w:sz w:val="20"/>
                <w:szCs w:val="20"/>
                <w:rtl/>
              </w:rPr>
              <w:t xml:space="preserve"> </w:t>
            </w:r>
            <w:r w:rsidR="001946C0">
              <w:rPr>
                <w:rFonts w:asciiTheme="minorBidi" w:hAnsiTheme="minorBidi" w:cs="Arial" w:hint="cs"/>
                <w:sz w:val="20"/>
                <w:szCs w:val="20"/>
                <w:rtl/>
              </w:rPr>
              <w:t>פורסם</w:t>
            </w:r>
            <w:r w:rsidRPr="00EC0F97">
              <w:rPr>
                <w:rFonts w:asciiTheme="minorBidi" w:hAnsiTheme="minorBidi" w:cs="Arial"/>
                <w:sz w:val="20"/>
                <w:szCs w:val="20"/>
                <w:rtl/>
              </w:rPr>
              <w:t xml:space="preserve"> חוק תשלום מיוחד לשם השגת יעדי התקציב </w:t>
            </w:r>
            <w:r>
              <w:rPr>
                <w:rFonts w:asciiTheme="minorBidi" w:hAnsiTheme="minorBidi" w:cs="Arial" w:hint="cs"/>
                <w:sz w:val="20"/>
                <w:szCs w:val="20"/>
                <w:rtl/>
              </w:rPr>
              <w:t>(</w:t>
            </w:r>
            <w:r w:rsidRPr="00EC0F97">
              <w:rPr>
                <w:rFonts w:asciiTheme="minorBidi" w:hAnsiTheme="minorBidi" w:cs="Arial"/>
                <w:sz w:val="20"/>
                <w:szCs w:val="20"/>
                <w:rtl/>
              </w:rPr>
              <w:t>הוראת שעה - חרבות ברזל</w:t>
            </w:r>
            <w:r>
              <w:rPr>
                <w:rFonts w:asciiTheme="minorBidi" w:hAnsiTheme="minorBidi" w:cs="Arial" w:hint="cs"/>
                <w:sz w:val="20"/>
                <w:szCs w:val="20"/>
                <w:rtl/>
              </w:rPr>
              <w:t>)</w:t>
            </w:r>
            <w:r w:rsidRPr="00EC0F97">
              <w:rPr>
                <w:rFonts w:asciiTheme="minorBidi" w:hAnsiTheme="minorBidi" w:cs="Arial"/>
                <w:sz w:val="20"/>
                <w:szCs w:val="20"/>
                <w:rtl/>
              </w:rPr>
              <w:t>, התשפ"ד</w:t>
            </w:r>
            <w:r>
              <w:rPr>
                <w:rFonts w:asciiTheme="minorBidi" w:hAnsiTheme="minorBidi" w:cs="Arial" w:hint="cs"/>
                <w:sz w:val="20"/>
                <w:szCs w:val="20"/>
                <w:rtl/>
              </w:rPr>
              <w:t>-</w:t>
            </w:r>
            <w:r w:rsidRPr="00EC0F97">
              <w:rPr>
                <w:rFonts w:asciiTheme="minorBidi" w:hAnsiTheme="minorBidi" w:cs="Arial"/>
                <w:sz w:val="20"/>
                <w:szCs w:val="20"/>
                <w:rtl/>
              </w:rPr>
              <w:t>2024</w:t>
            </w:r>
            <w:r>
              <w:rPr>
                <w:rFonts w:asciiTheme="minorBidi" w:hAnsiTheme="minorBidi" w:cs="Arial" w:hint="cs"/>
                <w:sz w:val="20"/>
                <w:szCs w:val="20"/>
                <w:rtl/>
              </w:rPr>
              <w:t>,</w:t>
            </w:r>
            <w:r w:rsidRPr="00EC0F97">
              <w:rPr>
                <w:rFonts w:asciiTheme="minorBidi" w:hAnsiTheme="minorBidi" w:cs="Arial"/>
                <w:sz w:val="20"/>
                <w:szCs w:val="20"/>
                <w:rtl/>
              </w:rPr>
              <w:t xml:space="preserve"> לפיו בנק שאינו בעל היקף פעילות קטן</w:t>
            </w:r>
            <w:r w:rsidR="00042788" w:rsidRPr="00042788">
              <w:rPr>
                <w:rFonts w:asciiTheme="minorBidi" w:hAnsiTheme="minorBidi" w:cs="Arial" w:hint="cs"/>
                <w:sz w:val="20"/>
                <w:szCs w:val="20"/>
                <w:vertAlign w:val="superscript"/>
                <w:rtl/>
              </w:rPr>
              <w:t>[</w:t>
            </w:r>
            <w:r w:rsidR="00042788" w:rsidRPr="00042788">
              <w:rPr>
                <w:rStyle w:val="a7"/>
                <w:rtl/>
              </w:rPr>
              <w:footnoteReference w:id="138"/>
            </w:r>
            <w:r w:rsidR="00042788" w:rsidRPr="00042788">
              <w:rPr>
                <w:rFonts w:asciiTheme="minorBidi" w:hAnsiTheme="minorBidi" w:cs="Arial" w:hint="cs"/>
                <w:sz w:val="20"/>
                <w:szCs w:val="20"/>
                <w:vertAlign w:val="superscript"/>
                <w:rtl/>
              </w:rPr>
              <w:t>]</w:t>
            </w:r>
            <w:r w:rsidRPr="00EC0F97">
              <w:rPr>
                <w:rFonts w:asciiTheme="minorBidi" w:hAnsiTheme="minorBidi" w:cs="Arial"/>
                <w:sz w:val="20"/>
                <w:szCs w:val="20"/>
                <w:rtl/>
              </w:rPr>
              <w:t xml:space="preserve"> </w:t>
            </w:r>
            <w:r w:rsidR="00042788">
              <w:rPr>
                <w:rFonts w:asciiTheme="minorBidi" w:hAnsiTheme="minorBidi" w:cs="Arial" w:hint="cs"/>
                <w:sz w:val="20"/>
                <w:szCs w:val="20"/>
                <w:rtl/>
              </w:rPr>
              <w:t>(</w:t>
            </w:r>
            <w:r>
              <w:rPr>
                <w:rFonts w:asciiTheme="minorBidi" w:hAnsiTheme="minorBidi" w:cs="Arial" w:hint="cs"/>
                <w:sz w:val="20"/>
                <w:szCs w:val="20"/>
                <w:rtl/>
              </w:rPr>
              <w:t>"בנק משלם")</w:t>
            </w:r>
            <w:r w:rsidRPr="00EC0F97">
              <w:rPr>
                <w:rFonts w:asciiTheme="minorBidi" w:hAnsiTheme="minorBidi" w:cs="Arial"/>
                <w:sz w:val="20"/>
                <w:szCs w:val="20"/>
                <w:rtl/>
              </w:rPr>
              <w:t>, ישלם לאוצר המדינה לגבי התקופה הקובעת</w:t>
            </w:r>
            <w:r w:rsidR="00D50E50" w:rsidRPr="00D50E50">
              <w:rPr>
                <w:rFonts w:asciiTheme="minorBidi" w:hAnsiTheme="minorBidi" w:cs="Arial" w:hint="cs"/>
                <w:sz w:val="20"/>
                <w:szCs w:val="20"/>
                <w:vertAlign w:val="superscript"/>
                <w:rtl/>
              </w:rPr>
              <w:t>[</w:t>
            </w:r>
            <w:r w:rsidR="00D50E50" w:rsidRPr="00D50E50">
              <w:rPr>
                <w:rStyle w:val="a7"/>
                <w:rtl/>
              </w:rPr>
              <w:footnoteReference w:id="139"/>
            </w:r>
            <w:r w:rsidR="00D50E50" w:rsidRPr="00D50E50">
              <w:rPr>
                <w:rFonts w:asciiTheme="minorBidi" w:hAnsiTheme="minorBidi" w:cs="Arial" w:hint="cs"/>
                <w:sz w:val="20"/>
                <w:szCs w:val="20"/>
                <w:vertAlign w:val="superscript"/>
                <w:rtl/>
              </w:rPr>
              <w:t>]</w:t>
            </w:r>
            <w:r w:rsidRPr="00EC0F97">
              <w:rPr>
                <w:rFonts w:asciiTheme="minorBidi" w:hAnsiTheme="minorBidi" w:cs="Arial"/>
                <w:sz w:val="20"/>
                <w:szCs w:val="20"/>
                <w:rtl/>
              </w:rPr>
              <w:t xml:space="preserve"> תשלום שנתי בסכום השווה ל</w:t>
            </w:r>
            <w:r>
              <w:rPr>
                <w:rFonts w:asciiTheme="minorBidi" w:hAnsiTheme="minorBidi" w:cs="Arial" w:hint="cs"/>
                <w:sz w:val="20"/>
                <w:szCs w:val="20"/>
                <w:rtl/>
              </w:rPr>
              <w:t>-</w:t>
            </w:r>
            <w:r w:rsidRPr="00EC0F97">
              <w:rPr>
                <w:rFonts w:asciiTheme="minorBidi" w:hAnsiTheme="minorBidi" w:cs="Arial"/>
                <w:sz w:val="20"/>
                <w:szCs w:val="20"/>
                <w:rtl/>
              </w:rPr>
              <w:t>6% מהרווח שהפיק על פעילותו בישראל</w:t>
            </w:r>
            <w:r w:rsidR="00420470">
              <w:rPr>
                <w:rFonts w:asciiTheme="minorBidi" w:hAnsiTheme="minorBidi" w:cs="Arial" w:hint="cs"/>
                <w:sz w:val="20"/>
                <w:szCs w:val="20"/>
                <w:rtl/>
              </w:rPr>
              <w:t xml:space="preserve"> </w:t>
            </w:r>
            <w:r>
              <w:rPr>
                <w:rFonts w:asciiTheme="minorBidi" w:hAnsiTheme="minorBidi" w:cs="Arial" w:hint="cs"/>
                <w:sz w:val="20"/>
                <w:szCs w:val="20"/>
                <w:rtl/>
              </w:rPr>
              <w:t>(</w:t>
            </w:r>
            <w:r w:rsidRPr="00EC0F97">
              <w:rPr>
                <w:rFonts w:asciiTheme="minorBidi" w:hAnsiTheme="minorBidi" w:cs="Arial"/>
                <w:sz w:val="20"/>
                <w:szCs w:val="20"/>
                <w:rtl/>
              </w:rPr>
              <w:t>"סכום התשלום השנתי"</w:t>
            </w:r>
            <w:r>
              <w:rPr>
                <w:rFonts w:asciiTheme="minorBidi" w:hAnsiTheme="minorBidi" w:cs="Arial" w:hint="cs"/>
                <w:sz w:val="20"/>
                <w:szCs w:val="20"/>
                <w:rtl/>
              </w:rPr>
              <w:t>)</w:t>
            </w:r>
            <w:r w:rsidRPr="00EC0F97">
              <w:rPr>
                <w:rFonts w:asciiTheme="minorBidi" w:hAnsiTheme="minorBidi" w:cs="Arial"/>
                <w:sz w:val="20"/>
                <w:szCs w:val="20"/>
                <w:rtl/>
              </w:rPr>
              <w:t>.</w:t>
            </w:r>
          </w:p>
          <w:p w14:paraId="54DBCB3B" w14:textId="4BDF2B07" w:rsidR="00EC0F97" w:rsidRDefault="00584BE6" w:rsidP="00EC0F97">
            <w:pPr>
              <w:pStyle w:val="ac"/>
              <w:spacing w:before="60" w:after="60" w:line="264" w:lineRule="auto"/>
              <w:rPr>
                <w:rFonts w:asciiTheme="minorBidi" w:hAnsiTheme="minorBidi" w:cs="Arial"/>
                <w:sz w:val="20"/>
                <w:szCs w:val="20"/>
                <w:rtl/>
              </w:rPr>
            </w:pPr>
            <w:r>
              <w:rPr>
                <w:rFonts w:asciiTheme="minorBidi" w:hAnsiTheme="minorBidi" w:cs="Arial" w:hint="cs"/>
                <w:sz w:val="20"/>
                <w:szCs w:val="20"/>
                <w:rtl/>
              </w:rPr>
              <w:t xml:space="preserve">על אף האמור, </w:t>
            </w:r>
            <w:r w:rsidR="00EC0F97" w:rsidRPr="00EC0F97">
              <w:rPr>
                <w:rFonts w:asciiTheme="minorBidi" w:hAnsiTheme="minorBidi" w:cs="Arial"/>
                <w:sz w:val="20"/>
                <w:szCs w:val="20"/>
                <w:rtl/>
              </w:rPr>
              <w:t xml:space="preserve">אם עלה סכום התשלום השנתי של כלל הבנקים המשלמים על סכום </w:t>
            </w:r>
            <w:r>
              <w:rPr>
                <w:rFonts w:asciiTheme="minorBidi" w:hAnsiTheme="minorBidi" w:cs="Arial" w:hint="cs"/>
                <w:sz w:val="20"/>
                <w:szCs w:val="20"/>
                <w:rtl/>
              </w:rPr>
              <w:t xml:space="preserve">מרבי </w:t>
            </w:r>
            <w:r w:rsidR="00EC0F97" w:rsidRPr="00EC0F97">
              <w:rPr>
                <w:rFonts w:asciiTheme="minorBidi" w:hAnsiTheme="minorBidi" w:cs="Arial"/>
                <w:sz w:val="20"/>
                <w:szCs w:val="20"/>
                <w:rtl/>
              </w:rPr>
              <w:t>של 1.2 מיליארד ש"ח לגבי שנת 2024 או על סכום של 1.3 מיליארד ש"ח לגבי שנת 2025</w:t>
            </w:r>
            <w:r w:rsidR="00EC0F97">
              <w:rPr>
                <w:rFonts w:asciiTheme="minorBidi" w:hAnsiTheme="minorBidi" w:cs="Arial" w:hint="cs"/>
                <w:sz w:val="20"/>
                <w:szCs w:val="20"/>
                <w:rtl/>
              </w:rPr>
              <w:t>,</w:t>
            </w:r>
            <w:r w:rsidR="00EC0F97" w:rsidRPr="00EC0F97">
              <w:rPr>
                <w:rFonts w:asciiTheme="minorBidi" w:hAnsiTheme="minorBidi" w:cs="Arial"/>
                <w:sz w:val="20"/>
                <w:szCs w:val="20"/>
                <w:rtl/>
              </w:rPr>
              <w:t xml:space="preserve"> יוחזר לבנק משלם ההפרש שבין סכום התשלום השנתי של כלל הבנקים המשלמים ובין הסכום המרבי לשנת 2024 או לשנת 2025</w:t>
            </w:r>
            <w:r w:rsidR="00EC0F97">
              <w:rPr>
                <w:rFonts w:asciiTheme="minorBidi" w:hAnsiTheme="minorBidi" w:cs="Arial" w:hint="cs"/>
                <w:sz w:val="20"/>
                <w:szCs w:val="20"/>
                <w:rtl/>
              </w:rPr>
              <w:t>,</w:t>
            </w:r>
            <w:r w:rsidR="00EC0F97" w:rsidRPr="00EC0F97">
              <w:rPr>
                <w:rFonts w:asciiTheme="minorBidi" w:hAnsiTheme="minorBidi" w:cs="Arial"/>
                <w:sz w:val="20"/>
                <w:szCs w:val="20"/>
                <w:rtl/>
              </w:rPr>
              <w:t xml:space="preserve"> לפי העניין, כשהוא מוכפל בחלק היחסי של הבנק המשלם האמור מהתשלום השנתי של כלל הבנקים המשלמים. </w:t>
            </w:r>
          </w:p>
          <w:p w14:paraId="32BFF3C5" w14:textId="77777777" w:rsidR="00042788" w:rsidRDefault="00042788" w:rsidP="00EC0F97">
            <w:pPr>
              <w:pStyle w:val="ac"/>
              <w:spacing w:before="60" w:after="60" w:line="264" w:lineRule="auto"/>
              <w:rPr>
                <w:rFonts w:asciiTheme="minorBidi" w:hAnsiTheme="minorBidi" w:cstheme="minorBidi"/>
                <w:sz w:val="20"/>
                <w:szCs w:val="20"/>
                <w:rtl/>
              </w:rPr>
            </w:pPr>
          </w:p>
          <w:p w14:paraId="46021B76" w14:textId="2D303C6E" w:rsidR="009906EF" w:rsidRPr="00867E8B" w:rsidRDefault="009906EF" w:rsidP="009906EF">
            <w:pPr>
              <w:pStyle w:val="ac"/>
              <w:spacing w:line="264" w:lineRule="auto"/>
              <w:rPr>
                <w:rFonts w:asciiTheme="minorBidi" w:hAnsiTheme="minorBidi" w:cs="Arial"/>
                <w:sz w:val="20"/>
                <w:szCs w:val="20"/>
                <w:rtl/>
              </w:rPr>
            </w:pPr>
            <w:r w:rsidRPr="00867E8B">
              <w:rPr>
                <w:rFonts w:asciiTheme="minorBidi" w:hAnsiTheme="minorBidi" w:cs="Arial" w:hint="cs"/>
                <w:sz w:val="20"/>
                <w:szCs w:val="20"/>
                <w:rtl/>
              </w:rPr>
              <w:t xml:space="preserve">בחישוב מסים על ההכנסה בתקופות ביניים, הבנק </w:t>
            </w:r>
            <w:r>
              <w:rPr>
                <w:rFonts w:asciiTheme="minorBidi" w:hAnsiTheme="minorBidi" w:cs="Arial" w:hint="cs"/>
                <w:sz w:val="20"/>
                <w:szCs w:val="20"/>
                <w:rtl/>
              </w:rPr>
              <w:t>מ</w:t>
            </w:r>
            <w:r w:rsidRPr="00867E8B">
              <w:rPr>
                <w:rFonts w:asciiTheme="minorBidi" w:hAnsiTheme="minorBidi" w:cs="Arial" w:hint="cs"/>
                <w:sz w:val="20"/>
                <w:szCs w:val="20"/>
                <w:rtl/>
              </w:rPr>
              <w:t>בצע את האומדן הטוב ביותר של שיעור המס האפקטיבי השנתי בכל תקופת ביניים (</w:t>
            </w:r>
            <w:r w:rsidRPr="00867E8B">
              <w:rPr>
                <w:rFonts w:asciiTheme="minorBidi" w:hAnsiTheme="minorBidi" w:cs="Arial"/>
                <w:sz w:val="20"/>
                <w:szCs w:val="20"/>
              </w:rPr>
              <w:t>year-to-date basis</w:t>
            </w:r>
            <w:r w:rsidRPr="00867E8B">
              <w:rPr>
                <w:rFonts w:asciiTheme="minorBidi" w:hAnsiTheme="minorBidi" w:cs="Arial" w:hint="cs"/>
                <w:sz w:val="20"/>
                <w:szCs w:val="20"/>
                <w:rtl/>
              </w:rPr>
              <w:t xml:space="preserve">), </w:t>
            </w:r>
            <w:r>
              <w:rPr>
                <w:rFonts w:asciiTheme="minorBidi" w:hAnsiTheme="minorBidi" w:cs="Arial" w:hint="cs"/>
                <w:sz w:val="20"/>
                <w:szCs w:val="20"/>
                <w:rtl/>
              </w:rPr>
              <w:t>ומחשב</w:t>
            </w:r>
            <w:r w:rsidRPr="00867E8B">
              <w:rPr>
                <w:rFonts w:asciiTheme="minorBidi" w:hAnsiTheme="minorBidi" w:cs="Arial" w:hint="cs"/>
                <w:sz w:val="20"/>
                <w:szCs w:val="20"/>
                <w:rtl/>
              </w:rPr>
              <w:t xml:space="preserve"> באמצעותו את הוצאות או הכנסות המס לתקופה.</w:t>
            </w:r>
          </w:p>
          <w:p w14:paraId="620728EE" w14:textId="77777777" w:rsidR="009906EF" w:rsidRDefault="009D5351" w:rsidP="00EC0F97">
            <w:pPr>
              <w:pStyle w:val="ac"/>
              <w:spacing w:before="60" w:after="60" w:line="264" w:lineRule="auto"/>
              <w:rPr>
                <w:rFonts w:asciiTheme="minorBidi" w:hAnsiTheme="minorBidi" w:cs="Arial"/>
                <w:sz w:val="20"/>
                <w:szCs w:val="20"/>
                <w:rtl/>
              </w:rPr>
            </w:pPr>
            <w:r w:rsidRPr="00D8313B">
              <w:rPr>
                <w:rFonts w:asciiTheme="minorBidi" w:hAnsiTheme="minorBidi" w:cs="Arial"/>
                <w:sz w:val="20"/>
                <w:szCs w:val="20"/>
                <w:rtl/>
              </w:rPr>
              <w:t>ב</w:t>
            </w:r>
            <w:r w:rsidR="00512274">
              <w:rPr>
                <w:rFonts w:asciiTheme="minorBidi" w:hAnsiTheme="minorBidi" w:cs="Arial" w:hint="cs"/>
                <w:sz w:val="20"/>
                <w:szCs w:val="20"/>
                <w:rtl/>
              </w:rPr>
              <w:t xml:space="preserve">עת </w:t>
            </w:r>
            <w:r w:rsidRPr="00D8313B">
              <w:rPr>
                <w:rFonts w:asciiTheme="minorBidi" w:hAnsiTheme="minorBidi" w:cs="Arial"/>
                <w:sz w:val="20"/>
                <w:szCs w:val="20"/>
                <w:rtl/>
              </w:rPr>
              <w:t>חישוב שיעור המס האפקטיבי</w:t>
            </w:r>
            <w:r>
              <w:rPr>
                <w:rFonts w:asciiTheme="minorBidi" w:hAnsiTheme="minorBidi" w:cs="Arial" w:hint="cs"/>
                <w:sz w:val="20"/>
                <w:szCs w:val="20"/>
                <w:rtl/>
              </w:rPr>
              <w:t xml:space="preserve"> השנתי</w:t>
            </w:r>
            <w:r w:rsidRPr="00D8313B">
              <w:rPr>
                <w:rFonts w:asciiTheme="minorBidi" w:hAnsiTheme="minorBidi" w:cs="Arial"/>
                <w:sz w:val="20"/>
                <w:szCs w:val="20"/>
                <w:rtl/>
              </w:rPr>
              <w:t xml:space="preserve">, </w:t>
            </w:r>
            <w:r w:rsidR="009906EF">
              <w:rPr>
                <w:rFonts w:asciiTheme="minorBidi" w:hAnsiTheme="minorBidi" w:cs="Arial" w:hint="cs"/>
                <w:sz w:val="20"/>
                <w:szCs w:val="20"/>
                <w:rtl/>
              </w:rPr>
              <w:t>משקף</w:t>
            </w:r>
            <w:r w:rsidR="00DF7623">
              <w:rPr>
                <w:rFonts w:asciiTheme="minorBidi" w:hAnsiTheme="minorBidi" w:cs="Arial" w:hint="cs"/>
                <w:sz w:val="20"/>
                <w:szCs w:val="20"/>
                <w:rtl/>
              </w:rPr>
              <w:t xml:space="preserve"> </w:t>
            </w:r>
            <w:r w:rsidR="009906EF">
              <w:rPr>
                <w:rFonts w:asciiTheme="minorBidi" w:hAnsiTheme="minorBidi" w:cs="Arial" w:hint="cs"/>
                <w:sz w:val="20"/>
                <w:szCs w:val="20"/>
                <w:rtl/>
              </w:rPr>
              <w:t>ה</w:t>
            </w:r>
            <w:r w:rsidR="00D8313B" w:rsidRPr="00D8313B">
              <w:rPr>
                <w:rFonts w:asciiTheme="minorBidi" w:hAnsiTheme="minorBidi" w:cs="Arial"/>
                <w:sz w:val="20"/>
                <w:szCs w:val="20"/>
                <w:rtl/>
              </w:rPr>
              <w:t xml:space="preserve">תאגיד </w:t>
            </w:r>
            <w:r w:rsidR="009906EF">
              <w:rPr>
                <w:rFonts w:asciiTheme="minorBidi" w:hAnsiTheme="minorBidi" w:cs="Arial" w:hint="cs"/>
                <w:sz w:val="20"/>
                <w:szCs w:val="20"/>
                <w:rtl/>
              </w:rPr>
              <w:t>ה</w:t>
            </w:r>
            <w:r w:rsidR="00D8313B" w:rsidRPr="00D8313B">
              <w:rPr>
                <w:rFonts w:asciiTheme="minorBidi" w:hAnsiTheme="minorBidi" w:cs="Arial"/>
                <w:sz w:val="20"/>
                <w:szCs w:val="20"/>
                <w:rtl/>
              </w:rPr>
              <w:t>בנקאי את השפעת השינוי בחוקי המס או שיעורי המס</w:t>
            </w:r>
            <w:r>
              <w:rPr>
                <w:rFonts w:asciiTheme="minorBidi" w:hAnsiTheme="minorBidi" w:cs="Arial" w:hint="cs"/>
                <w:sz w:val="20"/>
                <w:szCs w:val="20"/>
                <w:rtl/>
              </w:rPr>
              <w:t xml:space="preserve"> </w:t>
            </w:r>
            <w:r w:rsidR="009906EF">
              <w:rPr>
                <w:rFonts w:asciiTheme="minorBidi" w:hAnsiTheme="minorBidi" w:cs="Arial" w:hint="cs"/>
                <w:sz w:val="20"/>
                <w:szCs w:val="20"/>
                <w:rtl/>
              </w:rPr>
              <w:t>אשר נחקקו עד סוף תקופת הדיווח</w:t>
            </w:r>
            <w:r w:rsidR="00D8313B" w:rsidRPr="00D8313B">
              <w:rPr>
                <w:rFonts w:asciiTheme="minorBidi" w:hAnsiTheme="minorBidi" w:cs="Arial"/>
                <w:sz w:val="20"/>
                <w:szCs w:val="20"/>
                <w:rtl/>
              </w:rPr>
              <w:t xml:space="preserve">. </w:t>
            </w:r>
          </w:p>
          <w:p w14:paraId="54C2FB51" w14:textId="226E6D7B" w:rsidR="00D8313B" w:rsidRDefault="00F67F7D" w:rsidP="009906EF">
            <w:pPr>
              <w:pStyle w:val="ac"/>
              <w:spacing w:before="120" w:after="60" w:line="264" w:lineRule="auto"/>
              <w:contextualSpacing w:val="0"/>
              <w:rPr>
                <w:rFonts w:asciiTheme="minorBidi" w:hAnsiTheme="minorBidi" w:cstheme="minorBidi"/>
                <w:sz w:val="20"/>
                <w:szCs w:val="20"/>
                <w:rtl/>
              </w:rPr>
            </w:pPr>
            <w:r>
              <w:rPr>
                <w:rFonts w:asciiTheme="minorBidi" w:hAnsiTheme="minorBidi" w:cs="Arial" w:hint="cs"/>
                <w:sz w:val="20"/>
                <w:szCs w:val="20"/>
                <w:rtl/>
              </w:rPr>
              <w:t>בהתאם,</w:t>
            </w:r>
            <w:r w:rsidR="0014037D">
              <w:rPr>
                <w:rFonts w:asciiTheme="minorBidi" w:hAnsiTheme="minorBidi" w:cs="Arial" w:hint="cs"/>
                <w:sz w:val="20"/>
                <w:szCs w:val="20"/>
                <w:rtl/>
              </w:rPr>
              <w:t xml:space="preserve"> השפעות חוק זה נלקחו בחשבון לצורך חישוב שיעור המס האפקטיבי השנתי החל מ</w:t>
            </w:r>
            <w:r w:rsidR="009906EF">
              <w:rPr>
                <w:rFonts w:asciiTheme="minorBidi" w:hAnsiTheme="minorBidi" w:cs="Arial" w:hint="cs"/>
                <w:sz w:val="20"/>
                <w:szCs w:val="20"/>
                <w:rtl/>
              </w:rPr>
              <w:t>ה</w:t>
            </w:r>
            <w:r w:rsidR="0014037D">
              <w:rPr>
                <w:rFonts w:asciiTheme="minorBidi" w:hAnsiTheme="minorBidi" w:cs="Arial" w:hint="cs"/>
                <w:sz w:val="20"/>
                <w:szCs w:val="20"/>
                <w:rtl/>
              </w:rPr>
              <w:t xml:space="preserve">רבעון </w:t>
            </w:r>
            <w:r w:rsidR="009906EF">
              <w:rPr>
                <w:rFonts w:asciiTheme="minorBidi" w:hAnsiTheme="minorBidi" w:cs="Arial" w:hint="cs"/>
                <w:sz w:val="20"/>
                <w:szCs w:val="20"/>
                <w:rtl/>
              </w:rPr>
              <w:t xml:space="preserve">הראשון של שנת </w:t>
            </w:r>
            <w:r w:rsidR="0014037D">
              <w:rPr>
                <w:rFonts w:asciiTheme="minorBidi" w:hAnsiTheme="minorBidi" w:cs="Arial" w:hint="cs"/>
                <w:sz w:val="20"/>
                <w:szCs w:val="20"/>
                <w:rtl/>
              </w:rPr>
              <w:t>2024.</w:t>
            </w:r>
          </w:p>
          <w:p w14:paraId="327044FA" w14:textId="12C63C82" w:rsidR="00DF7623" w:rsidRPr="009906EF" w:rsidRDefault="00DF7623" w:rsidP="009906EF">
            <w:pPr>
              <w:pStyle w:val="ac"/>
              <w:spacing w:before="60" w:after="60" w:line="264" w:lineRule="auto"/>
              <w:rPr>
                <w:rFonts w:asciiTheme="minorBidi" w:hAnsiTheme="minorBidi" w:cs="Arial"/>
                <w:sz w:val="20"/>
                <w:szCs w:val="20"/>
                <w:rtl/>
              </w:rPr>
            </w:pPr>
          </w:p>
        </w:tc>
      </w:tr>
    </w:tbl>
    <w:p w14:paraId="2DDE936F" w14:textId="77777777" w:rsidR="00255C20" w:rsidRDefault="00255C20"/>
    <w:p w14:paraId="21DC25DD" w14:textId="77777777" w:rsidR="00255C20" w:rsidRDefault="00255C20"/>
    <w:p w14:paraId="1C4A33EA" w14:textId="77777777" w:rsidR="00255C20" w:rsidRDefault="00255C20"/>
    <w:p w14:paraId="596F21A1" w14:textId="77777777" w:rsidR="00255C20" w:rsidRDefault="00255C20"/>
    <w:p w14:paraId="6307086E" w14:textId="77777777" w:rsidR="00255C20" w:rsidRDefault="00255C20"/>
    <w:p w14:paraId="5B4B22A3" w14:textId="77777777" w:rsidR="00255C20" w:rsidRDefault="00255C20"/>
    <w:p w14:paraId="2A6ED454" w14:textId="77777777" w:rsidR="000F3329" w:rsidRDefault="000F3329">
      <w:pPr>
        <w:rPr>
          <w:rtl/>
        </w:rPr>
        <w:sectPr w:rsidR="000F3329" w:rsidSect="00587121">
          <w:headerReference w:type="default" r:id="rId66"/>
          <w:footnotePr>
            <w:numRestart w:val="eachPage"/>
          </w:footnotePr>
          <w:type w:val="nextColumn"/>
          <w:pgSz w:w="11909" w:h="16834" w:code="9"/>
          <w:pgMar w:top="851" w:right="851" w:bottom="851" w:left="851" w:header="720" w:footer="720" w:gutter="0"/>
          <w:cols w:space="720"/>
          <w:bidi/>
          <w:rtlGutter/>
          <w:docGrid w:linePitch="360"/>
        </w:sectPr>
      </w:pPr>
    </w:p>
    <w:tbl>
      <w:tblPr>
        <w:bidiVisual/>
        <w:tblW w:w="1709" w:type="dxa"/>
        <w:tblInd w:w="-121" w:type="dxa"/>
        <w:tblLook w:val="04A0" w:firstRow="1" w:lastRow="0" w:firstColumn="1" w:lastColumn="0" w:noHBand="0" w:noVBand="1"/>
      </w:tblPr>
      <w:tblGrid>
        <w:gridCol w:w="1709"/>
      </w:tblGrid>
      <w:tr w:rsidR="00C660B2" w:rsidRPr="00543C25" w14:paraId="05B22493" w14:textId="77777777" w:rsidTr="00AD0F96">
        <w:trPr>
          <w:trHeight w:val="259"/>
        </w:trPr>
        <w:tc>
          <w:tcPr>
            <w:tcW w:w="1709" w:type="dxa"/>
          </w:tcPr>
          <w:p w14:paraId="78D45AF3" w14:textId="77777777" w:rsidR="00C660B2" w:rsidRPr="00941F5D" w:rsidRDefault="00C660B2" w:rsidP="0087056D">
            <w:pPr>
              <w:pStyle w:val="-fa"/>
              <w:spacing w:before="80"/>
              <w:ind w:right="0"/>
              <w:rPr>
                <w:spacing w:val="0"/>
                <w:rtl/>
              </w:rPr>
            </w:pPr>
            <w:r w:rsidRPr="00941F5D">
              <w:rPr>
                <w:rFonts w:hint="cs"/>
                <w:spacing w:val="0"/>
                <w:rtl/>
              </w:rPr>
              <w:lastRenderedPageBreak/>
              <w:t>ה. המפקח ס'9א</w:t>
            </w:r>
          </w:p>
        </w:tc>
      </w:tr>
    </w:tbl>
    <w:p w14:paraId="1E31DE77" w14:textId="77777777" w:rsidR="00C660B2" w:rsidRDefault="00C660B2" w:rsidP="00316579">
      <w:pPr>
        <w:pStyle w:val="5"/>
        <w:ind w:firstLine="1657"/>
      </w:pPr>
      <w:bookmarkStart w:id="62" w:name="_Toc160529240"/>
      <w:r w:rsidRPr="00B44059">
        <w:rPr>
          <w:rFonts w:eastAsia="Arial Unicode MS"/>
          <w:rtl/>
        </w:rPr>
        <w:t>ביאור 1</w:t>
      </w:r>
      <w:r w:rsidR="00316579">
        <w:rPr>
          <w:rFonts w:eastAsia="Arial Unicode MS" w:hint="cs"/>
          <w:rtl/>
        </w:rPr>
        <w:t>6</w:t>
      </w:r>
      <w:r w:rsidRPr="00B44059">
        <w:rPr>
          <w:rFonts w:eastAsia="Arial Unicode MS"/>
          <w:rtl/>
        </w:rPr>
        <w:t xml:space="preserve">  -  </w:t>
      </w:r>
      <w:r w:rsidRPr="00B44059">
        <w:rPr>
          <w:rFonts w:hint="eastAsia"/>
          <w:rtl/>
        </w:rPr>
        <w:t>אירועים</w:t>
      </w:r>
      <w:r w:rsidRPr="00B44059">
        <w:rPr>
          <w:rtl/>
        </w:rPr>
        <w:t xml:space="preserve"> </w:t>
      </w:r>
      <w:r w:rsidRPr="00B44059">
        <w:rPr>
          <w:rFonts w:hint="eastAsia"/>
          <w:rtl/>
        </w:rPr>
        <w:t>לאחר</w:t>
      </w:r>
      <w:r w:rsidRPr="00B44059">
        <w:rPr>
          <w:rtl/>
        </w:rPr>
        <w:t xml:space="preserve"> </w:t>
      </w:r>
      <w:r>
        <w:rPr>
          <w:rFonts w:hint="cs"/>
          <w:rtl/>
        </w:rPr>
        <w:t>תאריך המאזן</w:t>
      </w:r>
      <w:bookmarkEnd w:id="62"/>
    </w:p>
    <w:tbl>
      <w:tblPr>
        <w:bidiVisual/>
        <w:tblW w:w="10346" w:type="dxa"/>
        <w:tblInd w:w="87" w:type="dxa"/>
        <w:tblLook w:val="04A0" w:firstRow="1" w:lastRow="0" w:firstColumn="1" w:lastColumn="0" w:noHBand="0" w:noVBand="1"/>
      </w:tblPr>
      <w:tblGrid>
        <w:gridCol w:w="1727"/>
        <w:gridCol w:w="8619"/>
      </w:tblGrid>
      <w:tr w:rsidR="00A440DB" w:rsidRPr="00543C25" w14:paraId="61D47C8C" w14:textId="77777777" w:rsidTr="00C21876">
        <w:trPr>
          <w:trHeight w:val="259"/>
        </w:trPr>
        <w:tc>
          <w:tcPr>
            <w:tcW w:w="1727" w:type="dxa"/>
          </w:tcPr>
          <w:p w14:paraId="188C9804" w14:textId="58E4765F" w:rsidR="00F32A2A" w:rsidRDefault="005062B5" w:rsidP="003A697E">
            <w:pPr>
              <w:pStyle w:val="-fa"/>
              <w:spacing w:before="240" w:after="60"/>
              <w:ind w:right="-142"/>
              <w:rPr>
                <w:b/>
                <w:bCs/>
                <w:spacing w:val="0"/>
                <w:rtl/>
              </w:rPr>
            </w:pPr>
            <w:r w:rsidRPr="00941F5D">
              <w:rPr>
                <w:rFonts w:hint="cs"/>
                <w:spacing w:val="0"/>
              </w:rPr>
              <w:t>ASC 855-10-25-1</w:t>
            </w:r>
          </w:p>
        </w:tc>
        <w:tc>
          <w:tcPr>
            <w:tcW w:w="8619" w:type="dxa"/>
          </w:tcPr>
          <w:p w14:paraId="64B07DBC" w14:textId="571C671A" w:rsidR="00F32A2A" w:rsidRDefault="00B44059" w:rsidP="003A697E">
            <w:pPr>
              <w:pStyle w:val="-10"/>
              <w:spacing w:before="240" w:line="240" w:lineRule="auto"/>
              <w:ind w:left="454" w:hanging="454"/>
              <w:rPr>
                <w:b/>
                <w:bCs/>
                <w:rtl/>
              </w:rPr>
            </w:pPr>
            <w:r w:rsidRPr="00B44059">
              <w:rPr>
                <w:b/>
                <w:bCs/>
                <w:rtl/>
              </w:rPr>
              <w:t>[</w:t>
            </w:r>
            <w:r w:rsidR="00A440DB" w:rsidRPr="007744DB">
              <w:rPr>
                <w:rFonts w:hint="cs"/>
                <w:b/>
                <w:bCs/>
                <w:rtl/>
              </w:rPr>
              <w:t xml:space="preserve">להלן </w:t>
            </w:r>
            <w:r w:rsidR="00BB218D">
              <w:rPr>
                <w:rFonts w:hint="cs"/>
                <w:b/>
                <w:bCs/>
                <w:rtl/>
              </w:rPr>
              <w:t>דוגמ</w:t>
            </w:r>
            <w:r w:rsidR="00295BB2">
              <w:rPr>
                <w:rFonts w:hint="cs"/>
                <w:b/>
                <w:bCs/>
                <w:rtl/>
              </w:rPr>
              <w:t>ה</w:t>
            </w:r>
            <w:r w:rsidR="00BB218D" w:rsidRPr="007744DB">
              <w:rPr>
                <w:rFonts w:hint="cs"/>
                <w:b/>
                <w:bCs/>
                <w:rtl/>
              </w:rPr>
              <w:t xml:space="preserve"> </w:t>
            </w:r>
            <w:r w:rsidR="00A440DB" w:rsidRPr="007744DB">
              <w:rPr>
                <w:rFonts w:hint="cs"/>
                <w:b/>
                <w:bCs/>
                <w:rtl/>
              </w:rPr>
              <w:t xml:space="preserve">לאירוע </w:t>
            </w:r>
            <w:r w:rsidR="00304660">
              <w:rPr>
                <w:rFonts w:hint="cs"/>
                <w:b/>
                <w:bCs/>
                <w:rtl/>
              </w:rPr>
              <w:t>שהתרחש</w:t>
            </w:r>
            <w:r w:rsidR="00295BB2">
              <w:rPr>
                <w:rFonts w:hint="cs"/>
                <w:b/>
                <w:bCs/>
                <w:rtl/>
              </w:rPr>
              <w:t xml:space="preserve"> </w:t>
            </w:r>
            <w:r w:rsidR="00304660">
              <w:rPr>
                <w:rFonts w:hint="cs"/>
                <w:b/>
                <w:bCs/>
                <w:rtl/>
              </w:rPr>
              <w:t>לאחר תאריך המאזן אשר מחייב הכרה בדוחות</w:t>
            </w:r>
            <w:r w:rsidR="00594FD7">
              <w:rPr>
                <w:rFonts w:hint="cs"/>
                <w:b/>
                <w:bCs/>
                <w:rtl/>
              </w:rPr>
              <w:t xml:space="preserve"> הכספיים</w:t>
            </w:r>
            <w:r w:rsidR="00A440DB" w:rsidRPr="007744DB">
              <w:rPr>
                <w:rFonts w:hint="cs"/>
                <w:b/>
                <w:bCs/>
                <w:rtl/>
              </w:rPr>
              <w:t>:</w:t>
            </w:r>
            <w:r w:rsidR="00A440DB">
              <w:rPr>
                <w:rFonts w:hint="cs"/>
                <w:b/>
                <w:bCs/>
                <w:rtl/>
              </w:rPr>
              <w:t>]</w:t>
            </w:r>
            <w:r w:rsidR="00A440DB" w:rsidRPr="00BE1F4C">
              <w:rPr>
                <w:rFonts w:hint="cs"/>
                <w:b/>
                <w:bCs/>
                <w:sz w:val="18"/>
                <w:szCs w:val="18"/>
                <w:vertAlign w:val="superscript"/>
                <w:rtl/>
              </w:rPr>
              <w:t>[</w:t>
            </w:r>
            <w:r w:rsidR="00A440DB" w:rsidRPr="00BE1F4C">
              <w:rPr>
                <w:rStyle w:val="a7"/>
                <w:b/>
                <w:bCs/>
                <w:sz w:val="18"/>
                <w:szCs w:val="18"/>
                <w:rtl/>
              </w:rPr>
              <w:footnoteReference w:id="140"/>
            </w:r>
            <w:r w:rsidR="00A440DB" w:rsidRPr="00BE1F4C">
              <w:rPr>
                <w:rFonts w:hint="cs"/>
                <w:b/>
                <w:bCs/>
                <w:sz w:val="18"/>
                <w:szCs w:val="18"/>
                <w:vertAlign w:val="superscript"/>
                <w:rtl/>
              </w:rPr>
              <w:t>]</w:t>
            </w:r>
          </w:p>
        </w:tc>
      </w:tr>
      <w:tr w:rsidR="00BB270F" w:rsidRPr="007363C7" w14:paraId="425BD394" w14:textId="77777777" w:rsidTr="00C21876">
        <w:tblPrEx>
          <w:tblLook w:val="0000" w:firstRow="0" w:lastRow="0" w:firstColumn="0" w:lastColumn="0" w:noHBand="0" w:noVBand="0"/>
        </w:tblPrEx>
        <w:trPr>
          <w:trHeight w:val="245"/>
        </w:trPr>
        <w:tc>
          <w:tcPr>
            <w:tcW w:w="1727" w:type="dxa"/>
            <w:shd w:val="clear" w:color="auto" w:fill="auto"/>
          </w:tcPr>
          <w:p w14:paraId="2FBAEC3D" w14:textId="77777777" w:rsidR="00BB270F" w:rsidRPr="0076715F" w:rsidRDefault="00BB270F" w:rsidP="00A10DB5">
            <w:pPr>
              <w:pStyle w:val="-7"/>
              <w:spacing w:before="160" w:line="240" w:lineRule="auto"/>
              <w:ind w:right="-142"/>
              <w:jc w:val="left"/>
              <w:rPr>
                <w:b/>
                <w:bCs/>
                <w:highlight w:val="cyan"/>
                <w:rtl/>
              </w:rPr>
            </w:pPr>
            <w:r w:rsidRPr="0001523C">
              <w:rPr>
                <w:sz w:val="14"/>
                <w:szCs w:val="14"/>
                <w:rtl/>
              </w:rPr>
              <w:t>(</w:t>
            </w:r>
            <w:r w:rsidRPr="0001523C">
              <w:rPr>
                <w:sz w:val="14"/>
                <w:szCs w:val="14"/>
              </w:rPr>
              <w:t>a</w:t>
            </w:r>
            <w:r w:rsidRPr="0001523C">
              <w:rPr>
                <w:sz w:val="14"/>
                <w:szCs w:val="14"/>
                <w:rtl/>
              </w:rPr>
              <w:t xml:space="preserve">)855-10-55-1 </w:t>
            </w:r>
            <w:r w:rsidRPr="0001523C">
              <w:rPr>
                <w:sz w:val="14"/>
                <w:szCs w:val="14"/>
              </w:rPr>
              <w:t>ASC</w:t>
            </w:r>
          </w:p>
        </w:tc>
        <w:tc>
          <w:tcPr>
            <w:tcW w:w="8619" w:type="dxa"/>
          </w:tcPr>
          <w:p w14:paraId="3105B0C9" w14:textId="77777777" w:rsidR="00BB270F" w:rsidRPr="0076715F" w:rsidRDefault="00BB270F" w:rsidP="00A10DB5">
            <w:pPr>
              <w:pStyle w:val="-10"/>
              <w:spacing w:before="120" w:after="40"/>
              <w:rPr>
                <w:b/>
                <w:bCs/>
                <w:highlight w:val="cyan"/>
                <w:rtl/>
              </w:rPr>
            </w:pPr>
            <w:r w:rsidRPr="0001523C">
              <w:rPr>
                <w:rFonts w:hint="eastAsia"/>
                <w:rtl/>
              </w:rPr>
              <w:t>ביום</w:t>
            </w:r>
            <w:r w:rsidRPr="0001523C">
              <w:rPr>
                <w:rtl/>
              </w:rPr>
              <w:t xml:space="preserve"> ___ </w:t>
            </w:r>
            <w:r w:rsidRPr="0001523C">
              <w:rPr>
                <w:rFonts w:hint="eastAsia"/>
                <w:rtl/>
              </w:rPr>
              <w:t>ניתן</w:t>
            </w:r>
            <w:r w:rsidRPr="0001523C">
              <w:rPr>
                <w:rtl/>
              </w:rPr>
              <w:t xml:space="preserve"> </w:t>
            </w:r>
            <w:r w:rsidRPr="0001523C">
              <w:rPr>
                <w:rFonts w:hint="eastAsia"/>
                <w:rtl/>
              </w:rPr>
              <w:t>פסק</w:t>
            </w:r>
            <w:r w:rsidRPr="0001523C">
              <w:rPr>
                <w:rtl/>
              </w:rPr>
              <w:t xml:space="preserve"> </w:t>
            </w:r>
            <w:r w:rsidRPr="0001523C">
              <w:rPr>
                <w:rFonts w:hint="eastAsia"/>
                <w:rtl/>
              </w:rPr>
              <w:t>דין</w:t>
            </w:r>
            <w:r w:rsidRPr="0001523C">
              <w:rPr>
                <w:rtl/>
              </w:rPr>
              <w:t xml:space="preserve"> </w:t>
            </w:r>
            <w:r w:rsidRPr="0001523C">
              <w:rPr>
                <w:rFonts w:hint="eastAsia"/>
                <w:rtl/>
              </w:rPr>
              <w:t>על</w:t>
            </w:r>
            <w:r w:rsidRPr="0001523C">
              <w:rPr>
                <w:rtl/>
              </w:rPr>
              <w:t xml:space="preserve"> </w:t>
            </w:r>
            <w:r w:rsidRPr="0001523C">
              <w:rPr>
                <w:rFonts w:hint="eastAsia"/>
                <w:rtl/>
              </w:rPr>
              <w:t>ידי</w:t>
            </w:r>
            <w:r w:rsidRPr="0001523C">
              <w:rPr>
                <w:rtl/>
              </w:rPr>
              <w:t xml:space="preserve"> </w:t>
            </w:r>
            <w:r w:rsidRPr="0001523C">
              <w:rPr>
                <w:rFonts w:hint="eastAsia"/>
                <w:rtl/>
              </w:rPr>
              <w:t>בית</w:t>
            </w:r>
            <w:r w:rsidRPr="0001523C">
              <w:rPr>
                <w:rtl/>
              </w:rPr>
              <w:t xml:space="preserve"> </w:t>
            </w:r>
            <w:r w:rsidRPr="0001523C">
              <w:rPr>
                <w:rFonts w:hint="eastAsia"/>
                <w:rtl/>
              </w:rPr>
              <w:t>המשפט</w:t>
            </w:r>
            <w:r w:rsidRPr="0001523C">
              <w:rPr>
                <w:rtl/>
              </w:rPr>
              <w:t xml:space="preserve"> </w:t>
            </w:r>
            <w:r w:rsidRPr="0001523C">
              <w:rPr>
                <w:rFonts w:hint="eastAsia"/>
                <w:rtl/>
              </w:rPr>
              <w:t>בנוגע</w:t>
            </w:r>
            <w:r w:rsidRPr="0001523C">
              <w:rPr>
                <w:rtl/>
              </w:rPr>
              <w:t xml:space="preserve"> </w:t>
            </w:r>
            <w:r w:rsidRPr="0001523C">
              <w:rPr>
                <w:rFonts w:hint="eastAsia"/>
                <w:rtl/>
              </w:rPr>
              <w:t>לתביעה</w:t>
            </w:r>
            <w:r w:rsidRPr="0001523C">
              <w:rPr>
                <w:rtl/>
              </w:rPr>
              <w:t xml:space="preserve"> </w:t>
            </w:r>
            <w:r w:rsidRPr="0001523C">
              <w:rPr>
                <w:rFonts w:hint="eastAsia"/>
                <w:rtl/>
              </w:rPr>
              <w:t>שהוגשה</w:t>
            </w:r>
            <w:r w:rsidRPr="0001523C">
              <w:rPr>
                <w:rtl/>
              </w:rPr>
              <w:t xml:space="preserve"> </w:t>
            </w:r>
            <w:r w:rsidRPr="0001523C">
              <w:rPr>
                <w:rFonts w:hint="eastAsia"/>
                <w:rtl/>
              </w:rPr>
              <w:t>בגין</w:t>
            </w:r>
            <w:r w:rsidRPr="0001523C">
              <w:rPr>
                <w:rtl/>
              </w:rPr>
              <w:t xml:space="preserve"> ___, </w:t>
            </w:r>
            <w:r w:rsidRPr="0001523C">
              <w:rPr>
                <w:rFonts w:hint="eastAsia"/>
                <w:rtl/>
              </w:rPr>
              <w:t>לפיו</w:t>
            </w:r>
            <w:r w:rsidRPr="0001523C">
              <w:rPr>
                <w:rtl/>
              </w:rPr>
              <w:t xml:space="preserve"> ___.</w:t>
            </w:r>
          </w:p>
        </w:tc>
      </w:tr>
      <w:tr w:rsidR="004C5CA5" w:rsidRPr="00543C25" w14:paraId="2E2EC52C" w14:textId="77777777" w:rsidTr="004C5CA5">
        <w:trPr>
          <w:trHeight w:val="241"/>
        </w:trPr>
        <w:tc>
          <w:tcPr>
            <w:tcW w:w="1727" w:type="dxa"/>
          </w:tcPr>
          <w:p w14:paraId="4C42C74B" w14:textId="77777777" w:rsidR="004C5CA5" w:rsidRDefault="004C5CA5" w:rsidP="00A10DB5">
            <w:pPr>
              <w:pStyle w:val="-fa"/>
              <w:spacing w:before="160"/>
              <w:ind w:right="-142"/>
              <w:rPr>
                <w:rtl/>
              </w:rPr>
            </w:pPr>
          </w:p>
        </w:tc>
        <w:tc>
          <w:tcPr>
            <w:tcW w:w="8619" w:type="dxa"/>
          </w:tcPr>
          <w:p w14:paraId="38E46CCD" w14:textId="77777777" w:rsidR="004C5CA5" w:rsidRDefault="004C5CA5" w:rsidP="004C5CA5">
            <w:pPr>
              <w:pStyle w:val="-10"/>
              <w:spacing w:before="120" w:after="40" w:line="120" w:lineRule="auto"/>
              <w:rPr>
                <w:b/>
                <w:bCs/>
                <w:rtl/>
              </w:rPr>
            </w:pPr>
          </w:p>
        </w:tc>
      </w:tr>
      <w:tr w:rsidR="00A440DB" w:rsidRPr="00543C25" w14:paraId="0CF2554B" w14:textId="77777777" w:rsidTr="00C21876">
        <w:trPr>
          <w:trHeight w:val="259"/>
        </w:trPr>
        <w:tc>
          <w:tcPr>
            <w:tcW w:w="1727" w:type="dxa"/>
          </w:tcPr>
          <w:p w14:paraId="3C948F7E" w14:textId="77777777" w:rsidR="00244A6C" w:rsidRDefault="00244A6C" w:rsidP="003A697E">
            <w:pPr>
              <w:pStyle w:val="-fa"/>
              <w:spacing w:before="240"/>
              <w:ind w:right="198"/>
              <w:rPr>
                <w:b/>
                <w:bCs/>
                <w:spacing w:val="0"/>
                <w:rtl/>
              </w:rPr>
            </w:pPr>
            <w:r w:rsidRPr="00941F5D">
              <w:rPr>
                <w:rFonts w:hint="cs"/>
                <w:spacing w:val="0"/>
              </w:rPr>
              <w:t>ASC 855-10-25-</w:t>
            </w:r>
            <w:r>
              <w:rPr>
                <w:spacing w:val="0"/>
              </w:rPr>
              <w:t>3</w:t>
            </w:r>
          </w:p>
          <w:p w14:paraId="190CA122" w14:textId="6397B92B" w:rsidR="00244A6C" w:rsidRDefault="00244A6C" w:rsidP="00244A6C">
            <w:pPr>
              <w:pStyle w:val="-fa"/>
              <w:spacing w:before="40"/>
              <w:ind w:right="198"/>
              <w:rPr>
                <w:b/>
                <w:bCs/>
                <w:spacing w:val="0"/>
                <w:rtl/>
              </w:rPr>
            </w:pPr>
            <w:r w:rsidRPr="00941F5D">
              <w:rPr>
                <w:rFonts w:hint="cs"/>
                <w:spacing w:val="0"/>
              </w:rPr>
              <w:t>ASC 855-10-</w:t>
            </w:r>
            <w:r>
              <w:rPr>
                <w:spacing w:val="0"/>
              </w:rPr>
              <w:t>50</w:t>
            </w:r>
            <w:r w:rsidRPr="00941F5D">
              <w:rPr>
                <w:rFonts w:hint="cs"/>
                <w:spacing w:val="0"/>
              </w:rPr>
              <w:t>-</w:t>
            </w:r>
            <w:r>
              <w:rPr>
                <w:spacing w:val="0"/>
              </w:rPr>
              <w:t>2</w:t>
            </w:r>
          </w:p>
          <w:p w14:paraId="5908F976" w14:textId="0A1E991F" w:rsidR="00244A6C" w:rsidRDefault="00244A6C" w:rsidP="00244A6C">
            <w:pPr>
              <w:pStyle w:val="-fa"/>
              <w:spacing w:before="40"/>
              <w:ind w:right="198"/>
              <w:rPr>
                <w:b/>
                <w:bCs/>
                <w:spacing w:val="0"/>
                <w:rtl/>
              </w:rPr>
            </w:pPr>
            <w:r w:rsidRPr="00941F5D">
              <w:rPr>
                <w:rFonts w:hint="cs"/>
                <w:spacing w:val="0"/>
              </w:rPr>
              <w:t>ASC 855-10-</w:t>
            </w:r>
            <w:r>
              <w:rPr>
                <w:spacing w:val="0"/>
              </w:rPr>
              <w:t>55</w:t>
            </w:r>
            <w:r w:rsidRPr="00941F5D">
              <w:rPr>
                <w:rFonts w:hint="cs"/>
                <w:spacing w:val="0"/>
              </w:rPr>
              <w:t>-</w:t>
            </w:r>
            <w:r>
              <w:rPr>
                <w:spacing w:val="0"/>
              </w:rPr>
              <w:t>2</w:t>
            </w:r>
          </w:p>
          <w:p w14:paraId="1B89DF40" w14:textId="280F4909" w:rsidR="00F32A2A" w:rsidRDefault="00F32A2A" w:rsidP="00244A6C">
            <w:pPr>
              <w:pStyle w:val="-fa"/>
              <w:spacing w:before="160"/>
              <w:ind w:right="201"/>
              <w:rPr>
                <w:spacing w:val="0"/>
                <w:rtl/>
              </w:rPr>
            </w:pPr>
          </w:p>
        </w:tc>
        <w:tc>
          <w:tcPr>
            <w:tcW w:w="8619" w:type="dxa"/>
          </w:tcPr>
          <w:p w14:paraId="51532F3E" w14:textId="77777777" w:rsidR="0039793B" w:rsidRDefault="00A440DB" w:rsidP="003A697E">
            <w:pPr>
              <w:pStyle w:val="-10"/>
              <w:spacing w:before="240" w:after="40"/>
              <w:rPr>
                <w:b/>
                <w:bCs/>
                <w:rtl/>
              </w:rPr>
            </w:pPr>
            <w:r>
              <w:rPr>
                <w:rFonts w:hint="cs"/>
                <w:b/>
                <w:bCs/>
                <w:rtl/>
              </w:rPr>
              <w:t>[</w:t>
            </w:r>
            <w:r w:rsidRPr="007744DB">
              <w:rPr>
                <w:rFonts w:hint="cs"/>
                <w:b/>
                <w:bCs/>
                <w:rtl/>
              </w:rPr>
              <w:t xml:space="preserve">להלן </w:t>
            </w:r>
            <w:r w:rsidR="00BB218D">
              <w:rPr>
                <w:rFonts w:hint="cs"/>
                <w:b/>
                <w:bCs/>
                <w:rtl/>
              </w:rPr>
              <w:t>דוגמאות</w:t>
            </w:r>
            <w:r w:rsidR="00BB218D" w:rsidRPr="007744DB">
              <w:rPr>
                <w:rFonts w:hint="cs"/>
                <w:b/>
                <w:bCs/>
                <w:rtl/>
              </w:rPr>
              <w:t xml:space="preserve"> </w:t>
            </w:r>
            <w:r w:rsidR="00E337DA">
              <w:rPr>
                <w:rFonts w:hint="cs"/>
                <w:b/>
                <w:bCs/>
                <w:rtl/>
              </w:rPr>
              <w:t>לאירועים שהתרחשו לאחר תאריך המאזן</w:t>
            </w:r>
            <w:r w:rsidR="00E337DA" w:rsidRPr="007744DB">
              <w:rPr>
                <w:rFonts w:hint="cs"/>
                <w:b/>
                <w:bCs/>
                <w:rtl/>
              </w:rPr>
              <w:t xml:space="preserve"> </w:t>
            </w:r>
            <w:r w:rsidR="004F4C00">
              <w:rPr>
                <w:rFonts w:hint="cs"/>
                <w:b/>
                <w:bCs/>
                <w:rtl/>
              </w:rPr>
              <w:t xml:space="preserve">אשר אינם מחייבים הכרה בדוחות הכספיים. </w:t>
            </w:r>
          </w:p>
          <w:p w14:paraId="134659DE" w14:textId="3D6ADFD6" w:rsidR="00F32A2A" w:rsidRDefault="004F4C00" w:rsidP="0039793B">
            <w:pPr>
              <w:pStyle w:val="-10"/>
              <w:spacing w:before="0" w:after="40"/>
              <w:rPr>
                <w:b/>
                <w:bCs/>
                <w:rtl/>
              </w:rPr>
            </w:pPr>
            <w:r>
              <w:rPr>
                <w:rFonts w:hint="cs"/>
                <w:b/>
                <w:bCs/>
                <w:rtl/>
              </w:rPr>
              <w:t xml:space="preserve">יינתן גילוי </w:t>
            </w:r>
            <w:r w:rsidR="00A440DB" w:rsidRPr="007744DB">
              <w:rPr>
                <w:rFonts w:hint="cs"/>
                <w:b/>
                <w:bCs/>
                <w:rtl/>
              </w:rPr>
              <w:t>על אופי האירוע ו</w:t>
            </w:r>
            <w:r w:rsidR="00214B5E">
              <w:rPr>
                <w:rFonts w:hint="cs"/>
                <w:b/>
                <w:bCs/>
                <w:rtl/>
              </w:rPr>
              <w:t xml:space="preserve">כן </w:t>
            </w:r>
            <w:r w:rsidR="00A440DB" w:rsidRPr="007744DB">
              <w:rPr>
                <w:rFonts w:hint="cs"/>
                <w:b/>
                <w:bCs/>
                <w:rtl/>
              </w:rPr>
              <w:t xml:space="preserve">על אומדן ההשפעה הכספית של אותו אירוע, או </w:t>
            </w:r>
            <w:r w:rsidR="0039793B">
              <w:rPr>
                <w:rFonts w:hint="cs"/>
                <w:b/>
                <w:bCs/>
                <w:rtl/>
              </w:rPr>
              <w:t>יצויין</w:t>
            </w:r>
            <w:r w:rsidRPr="007744DB">
              <w:rPr>
                <w:rFonts w:hint="cs"/>
                <w:b/>
                <w:bCs/>
                <w:rtl/>
              </w:rPr>
              <w:t xml:space="preserve"> </w:t>
            </w:r>
            <w:r w:rsidR="00A440DB" w:rsidRPr="007744DB">
              <w:rPr>
                <w:rFonts w:hint="cs"/>
                <w:b/>
                <w:bCs/>
                <w:rtl/>
              </w:rPr>
              <w:t xml:space="preserve">כי לא ניתן לערוך אומדן </w:t>
            </w:r>
            <w:r>
              <w:rPr>
                <w:rFonts w:hint="cs"/>
                <w:b/>
                <w:bCs/>
                <w:rtl/>
              </w:rPr>
              <w:t>כאמור</w:t>
            </w:r>
            <w:r w:rsidR="00A440DB" w:rsidRPr="007744DB">
              <w:rPr>
                <w:rFonts w:hint="cs"/>
                <w:b/>
                <w:bCs/>
                <w:rtl/>
              </w:rPr>
              <w:t>:</w:t>
            </w:r>
            <w:r w:rsidR="00A440DB">
              <w:rPr>
                <w:rFonts w:hint="cs"/>
                <w:b/>
                <w:bCs/>
                <w:rtl/>
              </w:rPr>
              <w:t>]</w:t>
            </w:r>
            <w:r w:rsidR="00A440DB" w:rsidRPr="00BE1F4C">
              <w:rPr>
                <w:rFonts w:hint="cs"/>
                <w:b/>
                <w:bCs/>
                <w:sz w:val="18"/>
                <w:szCs w:val="18"/>
                <w:vertAlign w:val="superscript"/>
                <w:rtl/>
              </w:rPr>
              <w:t>[</w:t>
            </w:r>
            <w:r w:rsidR="00A440DB" w:rsidRPr="00BE1F4C">
              <w:rPr>
                <w:rStyle w:val="a7"/>
                <w:b/>
                <w:bCs/>
                <w:sz w:val="18"/>
                <w:szCs w:val="18"/>
                <w:rtl/>
              </w:rPr>
              <w:footnoteReference w:id="141"/>
            </w:r>
            <w:r w:rsidR="00A440DB" w:rsidRPr="00BE1F4C">
              <w:rPr>
                <w:rFonts w:hint="cs"/>
                <w:b/>
                <w:bCs/>
                <w:sz w:val="18"/>
                <w:szCs w:val="18"/>
                <w:vertAlign w:val="superscript"/>
                <w:rtl/>
              </w:rPr>
              <w:t>]</w:t>
            </w:r>
            <w:r w:rsidR="006D5A08" w:rsidRPr="00BE1F4C">
              <w:rPr>
                <w:rFonts w:hint="cs"/>
                <w:b/>
                <w:bCs/>
                <w:sz w:val="18"/>
                <w:szCs w:val="18"/>
                <w:vertAlign w:val="superscript"/>
                <w:rtl/>
              </w:rPr>
              <w:t>[</w:t>
            </w:r>
            <w:r w:rsidR="006D5A08" w:rsidRPr="00BE1F4C">
              <w:rPr>
                <w:rStyle w:val="a7"/>
                <w:b/>
                <w:bCs/>
                <w:sz w:val="18"/>
                <w:szCs w:val="18"/>
                <w:rtl/>
              </w:rPr>
              <w:footnoteReference w:id="142"/>
            </w:r>
            <w:r w:rsidR="006D5A08" w:rsidRPr="00BE1F4C">
              <w:rPr>
                <w:rFonts w:hint="cs"/>
                <w:b/>
                <w:bCs/>
                <w:sz w:val="18"/>
                <w:szCs w:val="18"/>
                <w:vertAlign w:val="superscript"/>
                <w:rtl/>
              </w:rPr>
              <w:t>]</w:t>
            </w:r>
          </w:p>
        </w:tc>
      </w:tr>
      <w:tr w:rsidR="00BB270F" w:rsidRPr="007363C7" w14:paraId="5C07E353" w14:textId="77777777" w:rsidTr="00C21876">
        <w:tblPrEx>
          <w:tblLook w:val="0000" w:firstRow="0" w:lastRow="0" w:firstColumn="0" w:lastColumn="0" w:noHBand="0" w:noVBand="0"/>
        </w:tblPrEx>
        <w:trPr>
          <w:trHeight w:val="245"/>
        </w:trPr>
        <w:tc>
          <w:tcPr>
            <w:tcW w:w="1727" w:type="dxa"/>
          </w:tcPr>
          <w:p w14:paraId="47BEE833" w14:textId="77777777" w:rsidR="00BB270F" w:rsidRPr="00673A75" w:rsidRDefault="00BB270F" w:rsidP="00A10DB5">
            <w:pPr>
              <w:pStyle w:val="-fa"/>
              <w:spacing w:before="160"/>
              <w:ind w:right="-142"/>
              <w:rPr>
                <w:b/>
                <w:bCs/>
                <w:spacing w:val="0"/>
              </w:rPr>
            </w:pPr>
            <w:r w:rsidRPr="00B44059">
              <w:rPr>
                <w:rFonts w:hint="eastAsia"/>
                <w:spacing w:val="0"/>
                <w:rtl/>
              </w:rPr>
              <w:t>ה</w:t>
            </w:r>
            <w:r w:rsidRPr="00B44059">
              <w:rPr>
                <w:spacing w:val="0"/>
                <w:rtl/>
              </w:rPr>
              <w:t xml:space="preserve">. </w:t>
            </w:r>
            <w:r w:rsidRPr="00B44059">
              <w:rPr>
                <w:rFonts w:hint="eastAsia"/>
                <w:spacing w:val="0"/>
                <w:rtl/>
              </w:rPr>
              <w:t>המפקח</w:t>
            </w:r>
            <w:r w:rsidRPr="00B44059">
              <w:rPr>
                <w:spacing w:val="0"/>
                <w:rtl/>
              </w:rPr>
              <w:t xml:space="preserve"> </w:t>
            </w:r>
            <w:r w:rsidRPr="00B44059">
              <w:rPr>
                <w:rFonts w:hint="eastAsia"/>
                <w:spacing w:val="0"/>
                <w:rtl/>
              </w:rPr>
              <w:t>ס</w:t>
            </w:r>
            <w:r w:rsidRPr="00B44059">
              <w:rPr>
                <w:spacing w:val="0"/>
                <w:rtl/>
              </w:rPr>
              <w:t xml:space="preserve">' </w:t>
            </w:r>
            <w:r>
              <w:rPr>
                <w:rFonts w:hint="cs"/>
                <w:spacing w:val="0"/>
                <w:rtl/>
              </w:rPr>
              <w:t>9א</w:t>
            </w:r>
            <w:r w:rsidRPr="00B44059">
              <w:rPr>
                <w:spacing w:val="0"/>
                <w:rtl/>
              </w:rPr>
              <w:br/>
            </w:r>
          </w:p>
        </w:tc>
        <w:tc>
          <w:tcPr>
            <w:tcW w:w="8619" w:type="dxa"/>
          </w:tcPr>
          <w:p w14:paraId="01DED116" w14:textId="77777777" w:rsidR="00BB270F" w:rsidRPr="009671CC" w:rsidRDefault="00BB270F" w:rsidP="00A10DB5">
            <w:pPr>
              <w:pStyle w:val="-10"/>
              <w:spacing w:before="120" w:after="40"/>
              <w:rPr>
                <w:rtl/>
              </w:rPr>
            </w:pPr>
            <w:r w:rsidRPr="009671CC">
              <w:rPr>
                <w:rFonts w:hint="cs"/>
                <w:rtl/>
              </w:rPr>
              <w:t>ביום ___ הכריז דירקטוריון התאגיד הבנקאי על חלוקת דיבידנד</w:t>
            </w:r>
            <w:r w:rsidRPr="009671CC">
              <w:rPr>
                <w:rFonts w:hint="cs"/>
                <w:sz w:val="18"/>
                <w:szCs w:val="18"/>
                <w:vertAlign w:val="superscript"/>
                <w:rtl/>
              </w:rPr>
              <w:t>[</w:t>
            </w:r>
            <w:r w:rsidRPr="009671CC">
              <w:rPr>
                <w:rStyle w:val="a7"/>
                <w:sz w:val="18"/>
                <w:szCs w:val="18"/>
                <w:rtl/>
              </w:rPr>
              <w:footnoteReference w:id="143"/>
            </w:r>
            <w:r w:rsidRPr="009671CC">
              <w:rPr>
                <w:rFonts w:hint="cs"/>
                <w:sz w:val="18"/>
                <w:szCs w:val="18"/>
                <w:vertAlign w:val="superscript"/>
                <w:rtl/>
              </w:rPr>
              <w:t xml:space="preserve">] </w:t>
            </w:r>
            <w:r w:rsidRPr="009671CC">
              <w:rPr>
                <w:rFonts w:hint="cs"/>
                <w:rtl/>
              </w:rPr>
              <w:t xml:space="preserve">בסך ___ מיליוני ש"ח (סכום של ___ לכל 1 ש"ח ע.נ. מניה רגילה). </w:t>
            </w:r>
          </w:p>
        </w:tc>
      </w:tr>
      <w:tr w:rsidR="00BB270F" w:rsidRPr="007363C7" w14:paraId="13BAFE16" w14:textId="77777777" w:rsidTr="00C21876">
        <w:tblPrEx>
          <w:tblLook w:val="0000" w:firstRow="0" w:lastRow="0" w:firstColumn="0" w:lastColumn="0" w:noHBand="0" w:noVBand="0"/>
        </w:tblPrEx>
        <w:trPr>
          <w:trHeight w:val="245"/>
        </w:trPr>
        <w:tc>
          <w:tcPr>
            <w:tcW w:w="1727" w:type="dxa"/>
          </w:tcPr>
          <w:p w14:paraId="35A8D90C" w14:textId="77777777" w:rsidR="00BB270F" w:rsidRDefault="00BB270F" w:rsidP="00A10DB5">
            <w:pPr>
              <w:pStyle w:val="-7"/>
              <w:spacing w:before="160" w:line="240" w:lineRule="auto"/>
              <w:ind w:right="-142"/>
              <w:jc w:val="left"/>
              <w:rPr>
                <w:rtl/>
              </w:rPr>
            </w:pPr>
            <w:r w:rsidRPr="00B44059">
              <w:rPr>
                <w:rFonts w:hint="eastAsia"/>
                <w:sz w:val="14"/>
                <w:szCs w:val="14"/>
                <w:rtl/>
              </w:rPr>
              <w:t>ה</w:t>
            </w:r>
            <w:r w:rsidRPr="00B44059">
              <w:rPr>
                <w:sz w:val="14"/>
                <w:szCs w:val="14"/>
                <w:rtl/>
              </w:rPr>
              <w:t xml:space="preserve">. </w:t>
            </w:r>
            <w:r w:rsidRPr="00B44059">
              <w:rPr>
                <w:rFonts w:hint="eastAsia"/>
                <w:sz w:val="14"/>
                <w:szCs w:val="14"/>
                <w:rtl/>
              </w:rPr>
              <w:t>המפקח</w:t>
            </w:r>
            <w:r w:rsidRPr="00B44059">
              <w:rPr>
                <w:sz w:val="14"/>
                <w:szCs w:val="14"/>
                <w:rtl/>
              </w:rPr>
              <w:t xml:space="preserve"> </w:t>
            </w:r>
            <w:r w:rsidRPr="00B44059">
              <w:rPr>
                <w:rFonts w:hint="eastAsia"/>
                <w:sz w:val="14"/>
                <w:szCs w:val="14"/>
                <w:rtl/>
              </w:rPr>
              <w:t>ס</w:t>
            </w:r>
            <w:r w:rsidRPr="00B44059">
              <w:rPr>
                <w:sz w:val="14"/>
                <w:szCs w:val="14"/>
                <w:rtl/>
              </w:rPr>
              <w:t>' 45</w:t>
            </w:r>
          </w:p>
          <w:p w14:paraId="299B6F70" w14:textId="77777777" w:rsidR="00BB270F" w:rsidRPr="0087056D" w:rsidRDefault="00BB270F" w:rsidP="00A10DB5">
            <w:pPr>
              <w:pStyle w:val="-7"/>
              <w:spacing w:before="160" w:line="240" w:lineRule="auto"/>
              <w:rPr>
                <w:b/>
                <w:bCs/>
                <w:strike/>
                <w:rtl/>
              </w:rPr>
            </w:pPr>
          </w:p>
        </w:tc>
        <w:tc>
          <w:tcPr>
            <w:tcW w:w="8619" w:type="dxa"/>
          </w:tcPr>
          <w:p w14:paraId="4B0ED981" w14:textId="77777777" w:rsidR="00BB270F" w:rsidRPr="009671CC" w:rsidRDefault="00BB270F" w:rsidP="00A10DB5">
            <w:pPr>
              <w:pStyle w:val="-10"/>
              <w:spacing w:before="120" w:after="20"/>
              <w:rPr>
                <w:color w:val="000000"/>
                <w:sz w:val="24"/>
                <w:szCs w:val="24"/>
                <w:rtl/>
                <w:lang w:eastAsia="he-IL"/>
              </w:rPr>
            </w:pPr>
            <w:r w:rsidRPr="009671CC">
              <w:rPr>
                <w:rFonts w:hint="cs"/>
                <w:rtl/>
              </w:rPr>
              <w:t>[אם רלוונטי: אם לאחר תאריך המאזן חילק התאגיד הבנקאי מניות הטבה, או הוצעה חלוקה כאמור, יצויינו מספר המניות שחולקו או שהוצעה חלוקתן, סוגן וערכן הנקוב, תוך פירוט מספר המניות שחולקו או שתחולקנה בשל כל מאה מניות].</w:t>
            </w:r>
          </w:p>
        </w:tc>
      </w:tr>
      <w:tr w:rsidR="00BB270F" w:rsidRPr="007363C7" w14:paraId="59B96EE8" w14:textId="77777777" w:rsidTr="00C21876">
        <w:tblPrEx>
          <w:tblLook w:val="0000" w:firstRow="0" w:lastRow="0" w:firstColumn="0" w:lastColumn="0" w:noHBand="0" w:noVBand="0"/>
        </w:tblPrEx>
        <w:trPr>
          <w:trHeight w:val="245"/>
        </w:trPr>
        <w:tc>
          <w:tcPr>
            <w:tcW w:w="1727" w:type="dxa"/>
          </w:tcPr>
          <w:p w14:paraId="07B24BC4" w14:textId="77777777" w:rsidR="00BB270F" w:rsidRPr="00673A75" w:rsidRDefault="00BB270F" w:rsidP="00A10DB5">
            <w:pPr>
              <w:pStyle w:val="-7"/>
              <w:spacing w:before="160"/>
              <w:rPr>
                <w:rtl/>
              </w:rPr>
            </w:pPr>
          </w:p>
        </w:tc>
        <w:tc>
          <w:tcPr>
            <w:tcW w:w="8619" w:type="dxa"/>
          </w:tcPr>
          <w:p w14:paraId="5E115367" w14:textId="6FA3E52B" w:rsidR="00BB270F" w:rsidRPr="009671CC" w:rsidRDefault="00BB270F" w:rsidP="00A10DB5">
            <w:pPr>
              <w:pStyle w:val="-10"/>
              <w:spacing w:before="120" w:after="20"/>
              <w:rPr>
                <w:rtl/>
              </w:rPr>
            </w:pPr>
            <w:r w:rsidRPr="009671CC">
              <w:rPr>
                <w:rFonts w:hint="cs"/>
                <w:rtl/>
              </w:rPr>
              <w:t xml:space="preserve">ביום ___ הכריז דירקטוריון התאגיד הבנקאי על כוונתו לרכוש את מלוא הון המניות של ___ תמורת ___ מיליוני אירו (___ מיליוני ש"ח). העסקה כפופה לקבלת אישור מבעלי המניות של ___ וכן לאישור רגולטורי מהמפקח על הבנקים בישראל. השלמת העסקה צפויה להתרחש </w:t>
            </w:r>
            <w:r w:rsidRPr="009671CC">
              <w:rPr>
                <w:rFonts w:hint="eastAsia"/>
                <w:rtl/>
              </w:rPr>
              <w:t>ב</w:t>
            </w:r>
            <w:r w:rsidRPr="009671CC">
              <w:rPr>
                <w:rFonts w:hint="cs"/>
                <w:rtl/>
              </w:rPr>
              <w:t>מהלך ה</w:t>
            </w:r>
            <w:r w:rsidRPr="009671CC">
              <w:rPr>
                <w:rFonts w:hint="eastAsia"/>
                <w:rtl/>
              </w:rPr>
              <w:t>רבעון</w:t>
            </w:r>
            <w:r w:rsidRPr="009671CC">
              <w:rPr>
                <w:rtl/>
              </w:rPr>
              <w:t xml:space="preserve"> </w:t>
            </w:r>
            <w:r w:rsidRPr="009671CC">
              <w:rPr>
                <w:rFonts w:hint="cs"/>
                <w:rtl/>
              </w:rPr>
              <w:t>הרביעי</w:t>
            </w:r>
            <w:r w:rsidRPr="009671CC">
              <w:rPr>
                <w:rtl/>
              </w:rPr>
              <w:t xml:space="preserve"> </w:t>
            </w:r>
            <w:r w:rsidRPr="009671CC">
              <w:rPr>
                <w:rFonts w:hint="eastAsia"/>
                <w:rtl/>
              </w:rPr>
              <w:t>של</w:t>
            </w:r>
            <w:r w:rsidRPr="009671CC">
              <w:rPr>
                <w:rtl/>
              </w:rPr>
              <w:t xml:space="preserve"> </w:t>
            </w:r>
            <w:r w:rsidRPr="009671CC">
              <w:rPr>
                <w:rFonts w:hint="cs"/>
                <w:rtl/>
              </w:rPr>
              <w:t xml:space="preserve">שנת </w:t>
            </w:r>
            <w:r w:rsidR="009C491D" w:rsidRPr="009671CC">
              <w:rPr>
                <w:rtl/>
              </w:rPr>
              <w:fldChar w:fldCharType="begin"/>
            </w:r>
            <w:r w:rsidR="009C491D" w:rsidRPr="009671CC">
              <w:rPr>
                <w:rtl/>
              </w:rPr>
              <w:instrText xml:space="preserve"> = </w:instrText>
            </w:r>
            <w:r w:rsidR="009C491D" w:rsidRPr="009671CC">
              <w:instrText>CY \* MERGEFORMAT</w:instrText>
            </w:r>
            <w:r w:rsidR="009C491D" w:rsidRPr="009671CC">
              <w:rPr>
                <w:rtl/>
              </w:rPr>
              <w:instrText xml:space="preserve"> </w:instrText>
            </w:r>
            <w:r w:rsidR="009C491D" w:rsidRPr="009671CC">
              <w:rPr>
                <w:rtl/>
              </w:rPr>
              <w:fldChar w:fldCharType="separate"/>
            </w:r>
            <w:r w:rsidR="003A584F">
              <w:rPr>
                <w:noProof/>
                <w:rtl/>
              </w:rPr>
              <w:t>2024</w:t>
            </w:r>
            <w:r w:rsidR="009C491D" w:rsidRPr="009671CC">
              <w:rPr>
                <w:rtl/>
              </w:rPr>
              <w:fldChar w:fldCharType="end"/>
            </w:r>
            <w:r w:rsidRPr="009671CC">
              <w:rPr>
                <w:rFonts w:hint="cs"/>
                <w:rtl/>
              </w:rPr>
              <w:t>.</w:t>
            </w:r>
          </w:p>
        </w:tc>
      </w:tr>
      <w:tr w:rsidR="00BB270F" w:rsidRPr="007363C7" w14:paraId="5988593D" w14:textId="77777777" w:rsidTr="00C21876">
        <w:tblPrEx>
          <w:tblLook w:val="0000" w:firstRow="0" w:lastRow="0" w:firstColumn="0" w:lastColumn="0" w:noHBand="0" w:noVBand="0"/>
        </w:tblPrEx>
        <w:trPr>
          <w:trHeight w:val="245"/>
        </w:trPr>
        <w:tc>
          <w:tcPr>
            <w:tcW w:w="1727" w:type="dxa"/>
          </w:tcPr>
          <w:p w14:paraId="39E0A7FA" w14:textId="77777777" w:rsidR="00BB270F" w:rsidRPr="00673A75" w:rsidRDefault="00BB270F" w:rsidP="00A10DB5">
            <w:pPr>
              <w:pStyle w:val="-7"/>
              <w:spacing w:before="160"/>
              <w:rPr>
                <w:rtl/>
              </w:rPr>
            </w:pPr>
          </w:p>
        </w:tc>
        <w:tc>
          <w:tcPr>
            <w:tcW w:w="8619" w:type="dxa"/>
          </w:tcPr>
          <w:p w14:paraId="7A98F8A9" w14:textId="77777777" w:rsidR="00BB270F" w:rsidRPr="009671CC" w:rsidRDefault="00BB270F" w:rsidP="00A10DB5">
            <w:pPr>
              <w:pStyle w:val="-10"/>
              <w:spacing w:before="120" w:after="20"/>
              <w:rPr>
                <w:rtl/>
              </w:rPr>
            </w:pPr>
            <w:r w:rsidRPr="009671CC">
              <w:rPr>
                <w:rFonts w:hint="cs"/>
                <w:rtl/>
              </w:rPr>
              <w:t>ביום ___ מכר התאגיד הבנקאי את מלוא הון המניות של החברה הבת ___ תמורת</w:t>
            </w:r>
            <w:r w:rsidR="00B54933" w:rsidRPr="009671CC">
              <w:rPr>
                <w:rFonts w:hint="cs"/>
                <w:rtl/>
              </w:rPr>
              <w:t xml:space="preserve"> </w:t>
            </w:r>
            <w:r w:rsidRPr="009671CC">
              <w:rPr>
                <w:rFonts w:hint="cs"/>
                <w:rtl/>
              </w:rPr>
              <w:t>___ מיליוני ש"ח.</w:t>
            </w:r>
          </w:p>
        </w:tc>
      </w:tr>
      <w:tr w:rsidR="00BB270F" w:rsidRPr="007363C7" w14:paraId="3985EFB1" w14:textId="77777777" w:rsidTr="00C21876">
        <w:tblPrEx>
          <w:tblLook w:val="0000" w:firstRow="0" w:lastRow="0" w:firstColumn="0" w:lastColumn="0" w:noHBand="0" w:noVBand="0"/>
        </w:tblPrEx>
        <w:trPr>
          <w:trHeight w:val="245"/>
        </w:trPr>
        <w:tc>
          <w:tcPr>
            <w:tcW w:w="1727" w:type="dxa"/>
          </w:tcPr>
          <w:p w14:paraId="5ED45E16" w14:textId="77777777" w:rsidR="00BB270F" w:rsidRPr="00030C7C" w:rsidRDefault="00BB270F" w:rsidP="00A10DB5">
            <w:pPr>
              <w:pStyle w:val="-7"/>
              <w:spacing w:before="160" w:line="240" w:lineRule="auto"/>
              <w:ind w:right="-142"/>
              <w:jc w:val="left"/>
              <w:rPr>
                <w:sz w:val="14"/>
                <w:szCs w:val="14"/>
                <w:rtl/>
              </w:rPr>
            </w:pPr>
            <w:r w:rsidRPr="00030C7C">
              <w:rPr>
                <w:rFonts w:hint="eastAsia"/>
                <w:sz w:val="14"/>
                <w:szCs w:val="14"/>
                <w:rtl/>
              </w:rPr>
              <w:t>ה</w:t>
            </w:r>
            <w:r w:rsidRPr="00030C7C">
              <w:rPr>
                <w:sz w:val="14"/>
                <w:szCs w:val="14"/>
                <w:rtl/>
              </w:rPr>
              <w:t xml:space="preserve">. </w:t>
            </w:r>
            <w:r w:rsidRPr="00030C7C">
              <w:rPr>
                <w:rFonts w:hint="eastAsia"/>
                <w:sz w:val="14"/>
                <w:szCs w:val="14"/>
                <w:rtl/>
              </w:rPr>
              <w:t>המפקח</w:t>
            </w:r>
            <w:r w:rsidRPr="00030C7C">
              <w:rPr>
                <w:sz w:val="14"/>
                <w:szCs w:val="14"/>
                <w:rtl/>
              </w:rPr>
              <w:t xml:space="preserve"> </w:t>
            </w:r>
            <w:r w:rsidRPr="00030C7C">
              <w:rPr>
                <w:rFonts w:hint="eastAsia"/>
                <w:sz w:val="14"/>
                <w:szCs w:val="14"/>
                <w:rtl/>
              </w:rPr>
              <w:t>ס</w:t>
            </w:r>
            <w:r w:rsidRPr="00030C7C">
              <w:rPr>
                <w:sz w:val="14"/>
                <w:szCs w:val="14"/>
                <w:rtl/>
              </w:rPr>
              <w:t>' 49(ג)(3)</w:t>
            </w:r>
          </w:p>
        </w:tc>
        <w:tc>
          <w:tcPr>
            <w:tcW w:w="8619" w:type="dxa"/>
          </w:tcPr>
          <w:p w14:paraId="142A6589" w14:textId="77777777" w:rsidR="00BB270F" w:rsidRPr="009671CC" w:rsidRDefault="00BB270F" w:rsidP="00A10DB5">
            <w:pPr>
              <w:pStyle w:val="-10"/>
              <w:spacing w:before="120" w:after="20"/>
              <w:rPr>
                <w:rtl/>
              </w:rPr>
            </w:pPr>
            <w:r w:rsidRPr="009671CC">
              <w:rPr>
                <w:rFonts w:hint="cs"/>
                <w:rtl/>
              </w:rPr>
              <w:t>[אם רלוונטי: שיעבד התאגיד הבנקאי לבנק ישראל מלוות מדינה הנסחרים בבורסה להבטחת קבלת אשראי מבנק ישראל, לאחר תאריך המאזן, יינתן גילוי בהתאם לסעיף 49(ג) להוראות הדיווח לציבור].</w:t>
            </w:r>
          </w:p>
        </w:tc>
      </w:tr>
    </w:tbl>
    <w:p w14:paraId="6249389C" w14:textId="77777777" w:rsidR="00AF7D83" w:rsidRPr="00D83CAF" w:rsidRDefault="00AF7D83" w:rsidP="00D83CAF">
      <w:pPr>
        <w:pStyle w:val="-"/>
        <w:pBdr>
          <w:bottom w:val="none" w:sz="0" w:space="0" w:color="auto"/>
        </w:pBdr>
        <w:spacing w:after="0"/>
        <w:rPr>
          <w:sz w:val="20"/>
          <w:szCs w:val="20"/>
          <w:rtl/>
        </w:rPr>
      </w:pPr>
    </w:p>
    <w:p w14:paraId="2E0D9450" w14:textId="77777777" w:rsidR="00D83CAF" w:rsidRDefault="00D83CAF" w:rsidP="00D83CAF">
      <w:pPr>
        <w:pStyle w:val="-"/>
        <w:pBdr>
          <w:bottom w:val="none" w:sz="0" w:space="0" w:color="auto"/>
        </w:pBdr>
        <w:spacing w:after="0"/>
        <w:rPr>
          <w:sz w:val="20"/>
          <w:szCs w:val="20"/>
          <w:rtl/>
        </w:rPr>
      </w:pPr>
    </w:p>
    <w:p w14:paraId="59FF7A28" w14:textId="77777777" w:rsidR="008774FE" w:rsidRDefault="008774FE" w:rsidP="00D83CAF">
      <w:pPr>
        <w:pStyle w:val="-"/>
        <w:pBdr>
          <w:bottom w:val="none" w:sz="0" w:space="0" w:color="auto"/>
        </w:pBdr>
        <w:spacing w:after="0"/>
        <w:rPr>
          <w:sz w:val="20"/>
          <w:szCs w:val="20"/>
          <w:rtl/>
        </w:rPr>
      </w:pPr>
    </w:p>
    <w:p w14:paraId="38FE3A1B" w14:textId="77777777" w:rsidR="008774FE" w:rsidRDefault="008774FE" w:rsidP="00D83CAF">
      <w:pPr>
        <w:pStyle w:val="-"/>
        <w:pBdr>
          <w:bottom w:val="none" w:sz="0" w:space="0" w:color="auto"/>
        </w:pBdr>
        <w:spacing w:after="0"/>
        <w:rPr>
          <w:sz w:val="20"/>
          <w:szCs w:val="20"/>
          <w:rtl/>
        </w:rPr>
      </w:pPr>
    </w:p>
    <w:p w14:paraId="0C07F507" w14:textId="77777777" w:rsidR="008774FE" w:rsidRDefault="008774FE" w:rsidP="00D83CAF">
      <w:pPr>
        <w:pStyle w:val="-"/>
        <w:pBdr>
          <w:bottom w:val="none" w:sz="0" w:space="0" w:color="auto"/>
        </w:pBdr>
        <w:spacing w:after="0"/>
        <w:rPr>
          <w:sz w:val="20"/>
          <w:szCs w:val="20"/>
          <w:rtl/>
        </w:rPr>
      </w:pPr>
    </w:p>
    <w:p w14:paraId="284FD181" w14:textId="77777777" w:rsidR="008774FE" w:rsidRDefault="008774FE" w:rsidP="00D83CAF">
      <w:pPr>
        <w:pStyle w:val="-"/>
        <w:pBdr>
          <w:bottom w:val="none" w:sz="0" w:space="0" w:color="auto"/>
        </w:pBdr>
        <w:spacing w:after="0"/>
        <w:rPr>
          <w:sz w:val="20"/>
          <w:szCs w:val="20"/>
          <w:rtl/>
        </w:rPr>
      </w:pPr>
    </w:p>
    <w:p w14:paraId="1925120A" w14:textId="77777777" w:rsidR="008774FE" w:rsidRDefault="008774FE" w:rsidP="00D83CAF">
      <w:pPr>
        <w:pStyle w:val="-"/>
        <w:pBdr>
          <w:bottom w:val="none" w:sz="0" w:space="0" w:color="auto"/>
        </w:pBdr>
        <w:spacing w:after="0"/>
        <w:rPr>
          <w:sz w:val="20"/>
          <w:szCs w:val="20"/>
          <w:rtl/>
        </w:rPr>
      </w:pPr>
    </w:p>
    <w:p w14:paraId="3E31CABF" w14:textId="77777777" w:rsidR="008774FE" w:rsidRDefault="008774FE" w:rsidP="00D83CAF">
      <w:pPr>
        <w:pStyle w:val="-"/>
        <w:pBdr>
          <w:bottom w:val="none" w:sz="0" w:space="0" w:color="auto"/>
        </w:pBdr>
        <w:spacing w:after="0"/>
        <w:rPr>
          <w:sz w:val="20"/>
          <w:szCs w:val="20"/>
          <w:rtl/>
        </w:rPr>
      </w:pPr>
    </w:p>
    <w:p w14:paraId="173BD54F" w14:textId="77777777" w:rsidR="008774FE" w:rsidRDefault="008774FE" w:rsidP="00D83CAF">
      <w:pPr>
        <w:pStyle w:val="-"/>
        <w:pBdr>
          <w:bottom w:val="none" w:sz="0" w:space="0" w:color="auto"/>
        </w:pBdr>
        <w:spacing w:after="0"/>
        <w:rPr>
          <w:sz w:val="20"/>
          <w:szCs w:val="20"/>
          <w:rtl/>
        </w:rPr>
      </w:pPr>
    </w:p>
    <w:p w14:paraId="6D72FBF5" w14:textId="77777777" w:rsidR="008774FE" w:rsidRDefault="008774FE" w:rsidP="00D83CAF">
      <w:pPr>
        <w:pStyle w:val="-"/>
        <w:pBdr>
          <w:bottom w:val="none" w:sz="0" w:space="0" w:color="auto"/>
        </w:pBdr>
        <w:spacing w:after="0"/>
        <w:rPr>
          <w:sz w:val="20"/>
          <w:szCs w:val="20"/>
          <w:rtl/>
        </w:rPr>
      </w:pPr>
    </w:p>
    <w:p w14:paraId="6F38D20C" w14:textId="77777777" w:rsidR="008774FE" w:rsidRPr="00D83CAF" w:rsidRDefault="008774FE" w:rsidP="00D83CAF">
      <w:pPr>
        <w:pStyle w:val="-"/>
        <w:pBdr>
          <w:bottom w:val="none" w:sz="0" w:space="0" w:color="auto"/>
        </w:pBdr>
        <w:spacing w:after="0"/>
        <w:rPr>
          <w:sz w:val="20"/>
          <w:szCs w:val="20"/>
          <w:rtl/>
        </w:rPr>
      </w:pPr>
    </w:p>
    <w:sectPr w:rsidR="008774FE" w:rsidRPr="00D83CAF" w:rsidSect="00587121">
      <w:headerReference w:type="even" r:id="rId67"/>
      <w:footnotePr>
        <w:numRestart w:val="eachPage"/>
      </w:footnotePr>
      <w:type w:val="nextColumn"/>
      <w:pgSz w:w="11909" w:h="16834" w:code="9"/>
      <w:pgMar w:top="851" w:right="851" w:bottom="851" w:left="851"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384C1" w14:textId="77777777" w:rsidR="00587121" w:rsidRDefault="00587121" w:rsidP="006A4C10">
      <w:r>
        <w:separator/>
      </w:r>
    </w:p>
  </w:endnote>
  <w:endnote w:type="continuationSeparator" w:id="0">
    <w:p w14:paraId="4DBEA3BA" w14:textId="77777777" w:rsidR="00587121" w:rsidRDefault="00587121" w:rsidP="006A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khbar Simplified MT">
    <w:panose1 w:val="00000000000000000000"/>
    <w:charset w:val="02"/>
    <w:family w:val="auto"/>
    <w:notTrueType/>
    <w:pitch w:val="variable"/>
  </w:font>
  <w:font w:name="QMiriam">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HadassahMF">
    <w:altName w:val="Times New Roman"/>
    <w:charset w:val="00"/>
    <w:family w:val="auto"/>
    <w:pitch w:val="default"/>
    <w:sig w:usb0="00000003" w:usb1="00000000" w:usb2="00000000" w:usb3="00000000" w:csb0="00000001" w:csb1="00000000"/>
  </w:font>
  <w:font w:name="MrsEavesRoman">
    <w:altName w:val="Times New Roman"/>
    <w:charset w:val="00"/>
    <w:family w:val="auto"/>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uttman Yad">
    <w:panose1 w:val="02010401010101010101"/>
    <w:charset w:val="B1"/>
    <w:family w:val="auto"/>
    <w:pitch w:val="variable"/>
    <w:sig w:usb0="00000801" w:usb1="40000000" w:usb2="00000000" w:usb3="00000000" w:csb0="00000020" w:csb1="00000000"/>
  </w:font>
  <w:font w:name="Levenim MT">
    <w:panose1 w:val="02010502060101010101"/>
    <w:charset w:val="00"/>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Univers LT Pro 45 Light">
    <w:altName w:val="Calibri"/>
    <w:panose1 w:val="00000000000000000000"/>
    <w:charset w:val="00"/>
    <w:family w:val="swiss"/>
    <w:notTrueType/>
    <w:pitch w:val="variable"/>
    <w:sig w:usb0="800000AF" w:usb1="5000204A" w:usb2="00000000" w:usb3="00000000" w:csb0="0000009B" w:csb1="00000000"/>
  </w:font>
  <w:font w:name="NarkisBlockMF Thin">
    <w:altName w:val="Courier New"/>
    <w:charset w:val="00"/>
    <w:family w:val="auto"/>
    <w:pitch w:val="variable"/>
    <w:sig w:usb0="00000000" w:usb1="5000004A" w:usb2="00000020" w:usb3="00000000" w:csb0="00000021" w:csb1="00000000"/>
  </w:font>
  <w:font w:name="EYInterstate Ligh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E69F3" w14:textId="7B6813A3" w:rsidR="00553945" w:rsidRPr="00B1501F" w:rsidRDefault="00553945" w:rsidP="00AE5ACC">
    <w:pPr>
      <w:pStyle w:val="ad"/>
      <w:framePr w:wrap="around" w:vAnchor="text" w:hAnchor="text" w:xAlign="inside" w:y="1"/>
      <w:rPr>
        <w:rStyle w:val="af1"/>
        <w:rFonts w:cs="Arial"/>
        <w:sz w:val="20"/>
        <w:szCs w:val="20"/>
      </w:rPr>
    </w:pPr>
    <w:r w:rsidRPr="00B1501F">
      <w:rPr>
        <w:rStyle w:val="af1"/>
        <w:rFonts w:cs="Arial"/>
        <w:sz w:val="20"/>
        <w:szCs w:val="20"/>
        <w:rtl/>
      </w:rPr>
      <w:fldChar w:fldCharType="begin"/>
    </w:r>
    <w:r w:rsidRPr="00B1501F">
      <w:rPr>
        <w:rStyle w:val="af1"/>
        <w:rFonts w:cs="Arial"/>
        <w:sz w:val="20"/>
        <w:szCs w:val="20"/>
      </w:rPr>
      <w:instrText xml:space="preserve">PAGE  </w:instrText>
    </w:r>
    <w:r w:rsidRPr="00B1501F">
      <w:rPr>
        <w:rStyle w:val="af1"/>
        <w:rFonts w:cs="Arial"/>
        <w:sz w:val="20"/>
        <w:szCs w:val="20"/>
        <w:rtl/>
      </w:rPr>
      <w:fldChar w:fldCharType="separate"/>
    </w:r>
    <w:r>
      <w:rPr>
        <w:rStyle w:val="af1"/>
        <w:rFonts w:cs="Arial"/>
        <w:noProof/>
        <w:sz w:val="20"/>
        <w:szCs w:val="20"/>
        <w:rtl/>
      </w:rPr>
      <w:t>134</w:t>
    </w:r>
    <w:r w:rsidRPr="00B1501F">
      <w:rPr>
        <w:rStyle w:val="af1"/>
        <w:rFonts w:cs="Arial"/>
        <w:sz w:val="20"/>
        <w:szCs w:val="20"/>
        <w:rtl/>
      </w:rPr>
      <w:fldChar w:fldCharType="end"/>
    </w:r>
  </w:p>
  <w:p w14:paraId="5E037C39" w14:textId="680D18EA" w:rsidR="00553945" w:rsidRPr="009633F7" w:rsidRDefault="00553945" w:rsidP="0062266D">
    <w:pPr>
      <w:pStyle w:val="ad"/>
      <w:tabs>
        <w:tab w:val="clear" w:pos="4153"/>
        <w:tab w:val="clear" w:pos="8306"/>
      </w:tabs>
      <w:spacing w:line="240" w:lineRule="auto"/>
      <w:ind w:right="360" w:firstLine="360"/>
      <w:jc w:val="center"/>
      <w:rPr>
        <w:sz w:val="18"/>
        <w:szCs w:val="18"/>
        <w:rtl/>
      </w:rPr>
    </w:pPr>
    <w:r w:rsidRPr="009633F7">
      <w:rPr>
        <w:rFonts w:cs="Arial"/>
        <w:sz w:val="18"/>
        <w:szCs w:val="18"/>
      </w:rPr>
      <w:t>BDO</w:t>
    </w:r>
    <w:r>
      <w:rPr>
        <w:rFonts w:cs="Arial"/>
        <w:sz w:val="18"/>
        <w:szCs w:val="18"/>
      </w:rPr>
      <w:t xml:space="preserve">                      </w:t>
    </w:r>
    <w:r w:rsidRPr="009633F7">
      <w:rPr>
        <w:rFonts w:cs="Arial"/>
        <w:sz w:val="18"/>
        <w:szCs w:val="18"/>
        <w:rtl/>
      </w:rPr>
      <w:t xml:space="preserve"> - </w:t>
    </w:r>
    <w:r>
      <w:rPr>
        <w:rFonts w:cs="Arial" w:hint="cs"/>
        <w:sz w:val="18"/>
        <w:szCs w:val="18"/>
        <w:rtl/>
      </w:rPr>
      <w:t xml:space="preserve">תמצית דוחות כספיים ביניים </w:t>
    </w:r>
    <w:r w:rsidRPr="009633F7">
      <w:rPr>
        <w:rFonts w:cs="Arial"/>
        <w:sz w:val="18"/>
        <w:szCs w:val="18"/>
        <w:rtl/>
      </w:rPr>
      <w:t xml:space="preserve">לדוגמה ליום </w:t>
    </w:r>
    <w:r>
      <w:rPr>
        <w:rFonts w:cs="Arial" w:hint="cs"/>
        <w:sz w:val="18"/>
        <w:szCs w:val="18"/>
        <w:rtl/>
      </w:rPr>
      <w:t xml:space="preserve">30 ביוני </w:t>
    </w:r>
    <w:r w:rsidRPr="0062266D">
      <w:rPr>
        <w:rFonts w:cs="Arial"/>
        <w:sz w:val="18"/>
        <w:szCs w:val="18"/>
        <w:rtl/>
      </w:rPr>
      <w:fldChar w:fldCharType="begin"/>
    </w:r>
    <w:r w:rsidRPr="0062266D">
      <w:rPr>
        <w:rFonts w:cs="Arial"/>
        <w:sz w:val="18"/>
        <w:szCs w:val="18"/>
        <w:rtl/>
      </w:rPr>
      <w:instrText xml:space="preserve"> </w:instrText>
    </w:r>
    <w:r w:rsidRPr="0062266D">
      <w:rPr>
        <w:rFonts w:cs="Arial" w:hint="cs"/>
        <w:sz w:val="18"/>
        <w:szCs w:val="18"/>
        <w:rtl/>
      </w:rPr>
      <w:instrText xml:space="preserve">= </w:instrText>
    </w:r>
    <w:r w:rsidRPr="0062266D">
      <w:rPr>
        <w:rFonts w:cs="Arial" w:hint="cs"/>
        <w:sz w:val="18"/>
        <w:szCs w:val="18"/>
      </w:rPr>
      <w:instrText>CY \* MERGEFORMAT</w:instrText>
    </w:r>
    <w:r w:rsidRPr="0062266D">
      <w:rPr>
        <w:rFonts w:cs="Arial"/>
        <w:sz w:val="18"/>
        <w:szCs w:val="18"/>
        <w:rtl/>
      </w:rPr>
      <w:instrText xml:space="preserve"> </w:instrText>
    </w:r>
    <w:r w:rsidRPr="0062266D">
      <w:rPr>
        <w:rFonts w:cs="Arial"/>
        <w:sz w:val="18"/>
        <w:szCs w:val="18"/>
        <w:rtl/>
      </w:rPr>
      <w:fldChar w:fldCharType="separate"/>
    </w:r>
    <w:r w:rsidR="00684A10">
      <w:rPr>
        <w:rFonts w:cs="Arial"/>
        <w:noProof/>
        <w:sz w:val="18"/>
        <w:szCs w:val="18"/>
        <w:rtl/>
      </w:rPr>
      <w:t>2024</w:t>
    </w:r>
    <w:r w:rsidRPr="0062266D">
      <w:rPr>
        <w:rFonts w:cs="Arial"/>
        <w:sz w:val="18"/>
        <w:szCs w:val="18"/>
        <w:rtl/>
      </w:rPr>
      <w:fldChar w:fldCharType="end"/>
    </w:r>
    <w:r w:rsidRPr="009633F7">
      <w:rPr>
        <w:rFonts w:cs="Arial"/>
        <w:sz w:val="18"/>
        <w:szCs w:val="18"/>
        <w:rtl/>
      </w:rPr>
      <w:t>: תאגידים בנקאיים</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2B58D" w14:textId="50A85C13" w:rsidR="00553945" w:rsidRPr="00734AA3" w:rsidRDefault="00553945" w:rsidP="00AE5ACC">
    <w:pPr>
      <w:pStyle w:val="ad"/>
      <w:framePr w:wrap="around" w:vAnchor="text" w:hAnchor="text" w:xAlign="inside" w:y="1"/>
      <w:rPr>
        <w:rStyle w:val="af1"/>
        <w:rFonts w:cs="Arial"/>
        <w:sz w:val="20"/>
        <w:szCs w:val="20"/>
      </w:rPr>
    </w:pPr>
    <w:r w:rsidRPr="00734AA3">
      <w:rPr>
        <w:rStyle w:val="af1"/>
        <w:rFonts w:cs="Arial"/>
        <w:sz w:val="20"/>
        <w:szCs w:val="20"/>
        <w:rtl/>
      </w:rPr>
      <w:fldChar w:fldCharType="begin"/>
    </w:r>
    <w:r w:rsidRPr="00734AA3">
      <w:rPr>
        <w:rStyle w:val="af1"/>
        <w:rFonts w:cs="Arial"/>
        <w:sz w:val="20"/>
        <w:szCs w:val="20"/>
      </w:rPr>
      <w:instrText xml:space="preserve">PAGE  </w:instrText>
    </w:r>
    <w:r w:rsidRPr="00734AA3">
      <w:rPr>
        <w:rStyle w:val="af1"/>
        <w:rFonts w:cs="Arial"/>
        <w:sz w:val="20"/>
        <w:szCs w:val="20"/>
        <w:rtl/>
      </w:rPr>
      <w:fldChar w:fldCharType="separate"/>
    </w:r>
    <w:r>
      <w:rPr>
        <w:rStyle w:val="af1"/>
        <w:rFonts w:cs="Arial"/>
        <w:noProof/>
        <w:sz w:val="20"/>
        <w:szCs w:val="20"/>
        <w:rtl/>
      </w:rPr>
      <w:t>15</w:t>
    </w:r>
    <w:r w:rsidRPr="00734AA3">
      <w:rPr>
        <w:rStyle w:val="af1"/>
        <w:rFonts w:cs="Arial"/>
        <w:sz w:val="20"/>
        <w:szCs w:val="20"/>
        <w:rtl/>
      </w:rPr>
      <w:fldChar w:fldCharType="end"/>
    </w:r>
  </w:p>
  <w:p w14:paraId="2B1B9CE5" w14:textId="16A013D0" w:rsidR="00553945" w:rsidRDefault="00553945" w:rsidP="0062266D">
    <w:pPr>
      <w:pStyle w:val="ad"/>
      <w:tabs>
        <w:tab w:val="clear" w:pos="4153"/>
        <w:tab w:val="clear" w:pos="8306"/>
      </w:tabs>
      <w:spacing w:line="240" w:lineRule="auto"/>
      <w:ind w:right="360" w:firstLine="360"/>
      <w:jc w:val="center"/>
      <w:rPr>
        <w:rFonts w:cs="Arial"/>
        <w:sz w:val="18"/>
        <w:szCs w:val="18"/>
        <w:rtl/>
      </w:rPr>
    </w:pPr>
    <w:r w:rsidRPr="009633F7">
      <w:rPr>
        <w:rFonts w:cs="Arial"/>
        <w:sz w:val="18"/>
        <w:szCs w:val="18"/>
      </w:rPr>
      <w:t>BDO</w:t>
    </w:r>
    <w:r w:rsidRPr="009633F7">
      <w:rPr>
        <w:rFonts w:cs="Arial"/>
        <w:sz w:val="18"/>
        <w:szCs w:val="18"/>
        <w:rtl/>
      </w:rPr>
      <w:t xml:space="preserve"> - </w:t>
    </w:r>
    <w:r>
      <w:rPr>
        <w:rFonts w:cs="Arial" w:hint="cs"/>
        <w:sz w:val="18"/>
        <w:szCs w:val="18"/>
        <w:rtl/>
      </w:rPr>
      <w:t xml:space="preserve">תמצית דוחות כספיים ביניים </w:t>
    </w:r>
    <w:r w:rsidRPr="009633F7">
      <w:rPr>
        <w:rFonts w:cs="Arial"/>
        <w:sz w:val="18"/>
        <w:szCs w:val="18"/>
        <w:rtl/>
      </w:rPr>
      <w:t xml:space="preserve">לדוגמה ליום </w:t>
    </w:r>
    <w:r>
      <w:rPr>
        <w:rFonts w:cs="Arial" w:hint="cs"/>
        <w:sz w:val="18"/>
        <w:szCs w:val="18"/>
        <w:rtl/>
      </w:rPr>
      <w:t xml:space="preserve">30 ביוני </w:t>
    </w:r>
    <w:r w:rsidRPr="0062266D">
      <w:rPr>
        <w:rFonts w:cs="Arial"/>
        <w:sz w:val="18"/>
        <w:szCs w:val="18"/>
        <w:rtl/>
      </w:rPr>
      <w:fldChar w:fldCharType="begin"/>
    </w:r>
    <w:r w:rsidRPr="0062266D">
      <w:rPr>
        <w:rFonts w:cs="Arial"/>
        <w:sz w:val="18"/>
        <w:szCs w:val="18"/>
        <w:rtl/>
      </w:rPr>
      <w:instrText xml:space="preserve"> </w:instrText>
    </w:r>
    <w:r w:rsidRPr="0062266D">
      <w:rPr>
        <w:rFonts w:cs="Arial" w:hint="cs"/>
        <w:sz w:val="18"/>
        <w:szCs w:val="18"/>
        <w:rtl/>
      </w:rPr>
      <w:instrText xml:space="preserve">= </w:instrText>
    </w:r>
    <w:r w:rsidRPr="0062266D">
      <w:rPr>
        <w:rFonts w:cs="Arial" w:hint="cs"/>
        <w:sz w:val="18"/>
        <w:szCs w:val="18"/>
      </w:rPr>
      <w:instrText>CY \* MERGEFORMAT</w:instrText>
    </w:r>
    <w:r w:rsidRPr="0062266D">
      <w:rPr>
        <w:rFonts w:cs="Arial"/>
        <w:sz w:val="18"/>
        <w:szCs w:val="18"/>
        <w:rtl/>
      </w:rPr>
      <w:instrText xml:space="preserve"> </w:instrText>
    </w:r>
    <w:r w:rsidRPr="0062266D">
      <w:rPr>
        <w:rFonts w:cs="Arial"/>
        <w:sz w:val="18"/>
        <w:szCs w:val="18"/>
        <w:rtl/>
      </w:rPr>
      <w:fldChar w:fldCharType="separate"/>
    </w:r>
    <w:r w:rsidR="00684A10">
      <w:rPr>
        <w:rFonts w:cs="Arial"/>
        <w:noProof/>
        <w:sz w:val="18"/>
        <w:szCs w:val="18"/>
        <w:rtl/>
      </w:rPr>
      <w:t>2024</w:t>
    </w:r>
    <w:r w:rsidRPr="0062266D">
      <w:rPr>
        <w:rFonts w:cs="Arial"/>
        <w:sz w:val="18"/>
        <w:szCs w:val="18"/>
        <w:rtl/>
      </w:rPr>
      <w:fldChar w:fldCharType="end"/>
    </w:r>
    <w:r w:rsidRPr="009633F7">
      <w:rPr>
        <w:rFonts w:cs="Arial"/>
        <w:sz w:val="18"/>
        <w:szCs w:val="18"/>
        <w:rtl/>
      </w:rPr>
      <w:t>: תאגידים בנקאיים</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ADD8F" w14:textId="6373822C" w:rsidR="00553945" w:rsidRPr="00B1501F" w:rsidRDefault="00553945" w:rsidP="009D2879">
    <w:pPr>
      <w:pStyle w:val="ad"/>
      <w:framePr w:wrap="around" w:vAnchor="text" w:hAnchor="text" w:xAlign="inside" w:y="1"/>
      <w:rPr>
        <w:rStyle w:val="af1"/>
        <w:rFonts w:cs="Arial"/>
        <w:sz w:val="20"/>
        <w:szCs w:val="20"/>
      </w:rPr>
    </w:pPr>
    <w:r w:rsidRPr="00B1501F">
      <w:rPr>
        <w:rStyle w:val="af1"/>
        <w:rFonts w:cs="Arial"/>
        <w:sz w:val="20"/>
        <w:szCs w:val="20"/>
        <w:rtl/>
      </w:rPr>
      <w:fldChar w:fldCharType="begin"/>
    </w:r>
    <w:r w:rsidRPr="00B1501F">
      <w:rPr>
        <w:rStyle w:val="af1"/>
        <w:rFonts w:cs="Arial"/>
        <w:sz w:val="20"/>
        <w:szCs w:val="20"/>
      </w:rPr>
      <w:instrText xml:space="preserve">PAGE  </w:instrText>
    </w:r>
    <w:r w:rsidRPr="00B1501F">
      <w:rPr>
        <w:rStyle w:val="af1"/>
        <w:rFonts w:cs="Arial"/>
        <w:sz w:val="20"/>
        <w:szCs w:val="20"/>
        <w:rtl/>
      </w:rPr>
      <w:fldChar w:fldCharType="separate"/>
    </w:r>
    <w:r>
      <w:rPr>
        <w:rStyle w:val="af1"/>
        <w:rFonts w:cs="Arial"/>
        <w:noProof/>
        <w:sz w:val="20"/>
        <w:szCs w:val="20"/>
        <w:rtl/>
      </w:rPr>
      <w:t>21</w:t>
    </w:r>
    <w:r w:rsidRPr="00B1501F">
      <w:rPr>
        <w:rStyle w:val="af1"/>
        <w:rFonts w:cs="Arial"/>
        <w:sz w:val="20"/>
        <w:szCs w:val="20"/>
        <w:rtl/>
      </w:rPr>
      <w:fldChar w:fldCharType="end"/>
    </w:r>
  </w:p>
  <w:p w14:paraId="78F29F79" w14:textId="3D51CA43" w:rsidR="00553945" w:rsidRPr="00BC2F81" w:rsidRDefault="00553945" w:rsidP="00F34EE2">
    <w:pPr>
      <w:pStyle w:val="ad"/>
      <w:spacing w:before="60" w:line="240" w:lineRule="auto"/>
      <w:jc w:val="center"/>
      <w:rPr>
        <w:rStyle w:val="af1"/>
        <w:rFonts w:cs="Arial"/>
        <w:sz w:val="22"/>
        <w:szCs w:val="22"/>
        <w:rtl/>
      </w:rPr>
    </w:pPr>
    <w:r w:rsidRPr="009633F7">
      <w:rPr>
        <w:rFonts w:cs="Arial"/>
        <w:sz w:val="18"/>
        <w:szCs w:val="18"/>
      </w:rPr>
      <w:t>BDO</w:t>
    </w:r>
    <w:r w:rsidRPr="009633F7">
      <w:rPr>
        <w:rFonts w:cs="Arial"/>
        <w:sz w:val="18"/>
        <w:szCs w:val="18"/>
        <w:rtl/>
      </w:rPr>
      <w:t xml:space="preserve"> - </w:t>
    </w:r>
    <w:r>
      <w:rPr>
        <w:rFonts w:cs="Arial" w:hint="cs"/>
        <w:sz w:val="18"/>
        <w:szCs w:val="18"/>
        <w:rtl/>
      </w:rPr>
      <w:t xml:space="preserve">תמצית </w:t>
    </w:r>
    <w:r w:rsidRPr="009633F7">
      <w:rPr>
        <w:rFonts w:cs="Arial"/>
        <w:sz w:val="18"/>
        <w:szCs w:val="18"/>
        <w:rtl/>
      </w:rPr>
      <w:t xml:space="preserve">דוחות כספיים </w:t>
    </w:r>
    <w:r>
      <w:rPr>
        <w:rFonts w:cs="Arial" w:hint="cs"/>
        <w:sz w:val="18"/>
        <w:szCs w:val="18"/>
        <w:rtl/>
      </w:rPr>
      <w:t xml:space="preserve">ביניים </w:t>
    </w:r>
    <w:r w:rsidRPr="009633F7">
      <w:rPr>
        <w:rFonts w:cs="Arial"/>
        <w:sz w:val="18"/>
        <w:szCs w:val="18"/>
        <w:rtl/>
      </w:rPr>
      <w:t xml:space="preserve">לדוגמה ליום </w:t>
    </w:r>
    <w:r>
      <w:rPr>
        <w:rFonts w:cs="Arial" w:hint="cs"/>
        <w:sz w:val="18"/>
        <w:szCs w:val="18"/>
        <w:rtl/>
      </w:rPr>
      <w:t xml:space="preserve">30 ביוני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r w:rsidRPr="009633F7">
      <w:rPr>
        <w:rFonts w:cs="Arial"/>
        <w:sz w:val="18"/>
        <w:szCs w:val="18"/>
        <w:rtl/>
      </w:rPr>
      <w:t>: תאגידים בנקאיים</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42F9" w14:textId="6CFE5315" w:rsidR="00553945" w:rsidRPr="00B1501F" w:rsidRDefault="00553945" w:rsidP="00E45EB8">
    <w:pPr>
      <w:pStyle w:val="ad"/>
      <w:framePr w:wrap="around" w:vAnchor="text" w:hAnchor="text" w:xAlign="inside" w:y="1"/>
      <w:rPr>
        <w:rStyle w:val="af1"/>
        <w:rFonts w:cs="Arial"/>
        <w:sz w:val="20"/>
        <w:szCs w:val="20"/>
      </w:rPr>
    </w:pPr>
    <w:r w:rsidRPr="00B1501F">
      <w:rPr>
        <w:rStyle w:val="af1"/>
        <w:rFonts w:cs="Arial"/>
        <w:sz w:val="20"/>
        <w:szCs w:val="20"/>
        <w:rtl/>
      </w:rPr>
      <w:fldChar w:fldCharType="begin"/>
    </w:r>
    <w:r w:rsidRPr="00B1501F">
      <w:rPr>
        <w:rStyle w:val="af1"/>
        <w:rFonts w:cs="Arial"/>
        <w:sz w:val="20"/>
        <w:szCs w:val="20"/>
      </w:rPr>
      <w:instrText xml:space="preserve">PAGE  </w:instrText>
    </w:r>
    <w:r w:rsidRPr="00B1501F">
      <w:rPr>
        <w:rStyle w:val="af1"/>
        <w:rFonts w:cs="Arial"/>
        <w:sz w:val="20"/>
        <w:szCs w:val="20"/>
        <w:rtl/>
      </w:rPr>
      <w:fldChar w:fldCharType="separate"/>
    </w:r>
    <w:r>
      <w:rPr>
        <w:rStyle w:val="af1"/>
        <w:rFonts w:cs="Arial"/>
        <w:noProof/>
        <w:sz w:val="20"/>
        <w:szCs w:val="20"/>
        <w:rtl/>
      </w:rPr>
      <w:t>33</w:t>
    </w:r>
    <w:r w:rsidRPr="00B1501F">
      <w:rPr>
        <w:rStyle w:val="af1"/>
        <w:rFonts w:cs="Arial"/>
        <w:sz w:val="20"/>
        <w:szCs w:val="20"/>
        <w:rtl/>
      </w:rPr>
      <w:fldChar w:fldCharType="end"/>
    </w:r>
  </w:p>
  <w:p w14:paraId="594422B9" w14:textId="7C1EAC44" w:rsidR="00553945" w:rsidRPr="009633F7" w:rsidRDefault="00553945" w:rsidP="00F34EE2">
    <w:pPr>
      <w:pStyle w:val="ad"/>
      <w:tabs>
        <w:tab w:val="clear" w:pos="4153"/>
        <w:tab w:val="clear" w:pos="8306"/>
      </w:tabs>
      <w:spacing w:line="240" w:lineRule="auto"/>
      <w:ind w:right="360" w:firstLine="360"/>
      <w:jc w:val="center"/>
      <w:rPr>
        <w:sz w:val="18"/>
        <w:szCs w:val="18"/>
        <w:rtl/>
      </w:rPr>
    </w:pPr>
    <w:r w:rsidRPr="009633F7">
      <w:rPr>
        <w:rFonts w:cs="Arial"/>
        <w:sz w:val="18"/>
        <w:szCs w:val="18"/>
      </w:rPr>
      <w:t>BDO</w:t>
    </w:r>
    <w:r>
      <w:rPr>
        <w:rFonts w:cs="Arial"/>
        <w:sz w:val="18"/>
        <w:szCs w:val="18"/>
      </w:rPr>
      <w:t xml:space="preserve">                      </w:t>
    </w:r>
    <w:r w:rsidRPr="009633F7">
      <w:rPr>
        <w:rFonts w:cs="Arial"/>
        <w:sz w:val="18"/>
        <w:szCs w:val="18"/>
        <w:rtl/>
      </w:rPr>
      <w:t xml:space="preserve"> - </w:t>
    </w:r>
    <w:r>
      <w:rPr>
        <w:rFonts w:cs="Arial" w:hint="cs"/>
        <w:sz w:val="18"/>
        <w:szCs w:val="18"/>
        <w:rtl/>
      </w:rPr>
      <w:t xml:space="preserve">תמצית דוחות כספיים ביניים </w:t>
    </w:r>
    <w:r w:rsidRPr="009633F7">
      <w:rPr>
        <w:rFonts w:cs="Arial"/>
        <w:sz w:val="18"/>
        <w:szCs w:val="18"/>
        <w:rtl/>
      </w:rPr>
      <w:t xml:space="preserve">לדוגמה ליום </w:t>
    </w:r>
    <w:r>
      <w:rPr>
        <w:rFonts w:cs="Arial" w:hint="cs"/>
        <w:sz w:val="18"/>
        <w:szCs w:val="18"/>
        <w:rtl/>
      </w:rPr>
      <w:t xml:space="preserve">30 ביוני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r w:rsidRPr="009633F7">
      <w:rPr>
        <w:rFonts w:cs="Arial"/>
        <w:sz w:val="18"/>
        <w:szCs w:val="18"/>
        <w:rtl/>
      </w:rPr>
      <w:t>: תאגידים בנקאיים</w:t>
    </w:r>
  </w:p>
  <w:p w14:paraId="25F4EC00" w14:textId="77777777" w:rsidR="00553945" w:rsidRDefault="00553945"/>
  <w:p w14:paraId="400E78D8" w14:textId="77777777" w:rsidR="00553945" w:rsidRDefault="0055394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9DEEC" w14:textId="159A6C99" w:rsidR="00553945" w:rsidRPr="00B1501F" w:rsidRDefault="00553945" w:rsidP="008324A7">
    <w:pPr>
      <w:pStyle w:val="ad"/>
      <w:framePr w:wrap="around" w:vAnchor="text" w:hAnchor="text" w:xAlign="inside" w:y="1"/>
      <w:rPr>
        <w:rStyle w:val="af1"/>
        <w:rFonts w:cs="Arial"/>
        <w:sz w:val="20"/>
        <w:szCs w:val="20"/>
      </w:rPr>
    </w:pPr>
    <w:r w:rsidRPr="00B1501F">
      <w:rPr>
        <w:rStyle w:val="af1"/>
        <w:rFonts w:cs="Arial"/>
        <w:sz w:val="20"/>
        <w:szCs w:val="20"/>
        <w:rtl/>
      </w:rPr>
      <w:fldChar w:fldCharType="begin"/>
    </w:r>
    <w:r w:rsidRPr="00B1501F">
      <w:rPr>
        <w:rStyle w:val="af1"/>
        <w:rFonts w:cs="Arial"/>
        <w:sz w:val="20"/>
        <w:szCs w:val="20"/>
      </w:rPr>
      <w:instrText xml:space="preserve">PAGE  </w:instrText>
    </w:r>
    <w:r w:rsidRPr="00B1501F">
      <w:rPr>
        <w:rStyle w:val="af1"/>
        <w:rFonts w:cs="Arial"/>
        <w:sz w:val="20"/>
        <w:szCs w:val="20"/>
        <w:rtl/>
      </w:rPr>
      <w:fldChar w:fldCharType="separate"/>
    </w:r>
    <w:r>
      <w:rPr>
        <w:rStyle w:val="af1"/>
        <w:rFonts w:cs="Arial"/>
        <w:noProof/>
        <w:sz w:val="20"/>
        <w:szCs w:val="20"/>
        <w:rtl/>
      </w:rPr>
      <w:t>135</w:t>
    </w:r>
    <w:r w:rsidRPr="00B1501F">
      <w:rPr>
        <w:rStyle w:val="af1"/>
        <w:rFonts w:cs="Arial"/>
        <w:sz w:val="20"/>
        <w:szCs w:val="20"/>
        <w:rtl/>
      </w:rPr>
      <w:fldChar w:fldCharType="end"/>
    </w:r>
  </w:p>
  <w:p w14:paraId="1339C886" w14:textId="286A5477" w:rsidR="00553945" w:rsidRPr="00BC2F81" w:rsidRDefault="00553945" w:rsidP="008D7F4E">
    <w:pPr>
      <w:pStyle w:val="ad"/>
      <w:tabs>
        <w:tab w:val="clear" w:pos="4153"/>
        <w:tab w:val="clear" w:pos="8306"/>
      </w:tabs>
      <w:spacing w:line="240" w:lineRule="auto"/>
      <w:ind w:right="360" w:firstLine="360"/>
      <w:jc w:val="center"/>
      <w:rPr>
        <w:rStyle w:val="af1"/>
        <w:rFonts w:cs="Arial"/>
        <w:sz w:val="22"/>
        <w:szCs w:val="22"/>
        <w:rtl/>
      </w:rPr>
    </w:pPr>
    <w:r w:rsidRPr="009633F7">
      <w:rPr>
        <w:rFonts w:cs="Arial"/>
        <w:sz w:val="18"/>
        <w:szCs w:val="18"/>
      </w:rPr>
      <w:t>BDO</w:t>
    </w:r>
    <w:r w:rsidRPr="009633F7">
      <w:rPr>
        <w:rFonts w:cs="Arial"/>
        <w:sz w:val="18"/>
        <w:szCs w:val="18"/>
        <w:rtl/>
      </w:rPr>
      <w:t xml:space="preserve"> - </w:t>
    </w:r>
    <w:r>
      <w:rPr>
        <w:rFonts w:cs="Arial" w:hint="cs"/>
        <w:sz w:val="18"/>
        <w:szCs w:val="18"/>
        <w:rtl/>
      </w:rPr>
      <w:t xml:space="preserve">תמצית דוחות כספיים ביניים </w:t>
    </w:r>
    <w:r w:rsidRPr="009633F7">
      <w:rPr>
        <w:rFonts w:cs="Arial"/>
        <w:sz w:val="18"/>
        <w:szCs w:val="18"/>
        <w:rtl/>
      </w:rPr>
      <w:t xml:space="preserve">לדוגמה ליום </w:t>
    </w:r>
    <w:r>
      <w:rPr>
        <w:rFonts w:cs="Arial" w:hint="cs"/>
        <w:sz w:val="18"/>
        <w:szCs w:val="18"/>
        <w:rtl/>
      </w:rPr>
      <w:t xml:space="preserve">30 ביוני </w:t>
    </w:r>
    <w:r w:rsidRPr="008D7F4E">
      <w:rPr>
        <w:sz w:val="16"/>
        <w:szCs w:val="16"/>
        <w:rtl/>
      </w:rPr>
      <w:fldChar w:fldCharType="begin"/>
    </w:r>
    <w:r w:rsidRPr="008D7F4E">
      <w:rPr>
        <w:sz w:val="16"/>
        <w:szCs w:val="16"/>
        <w:rtl/>
      </w:rPr>
      <w:instrText xml:space="preserve"> </w:instrText>
    </w:r>
    <w:r w:rsidRPr="008D7F4E">
      <w:rPr>
        <w:rFonts w:hint="cs"/>
        <w:sz w:val="16"/>
        <w:szCs w:val="16"/>
        <w:rtl/>
      </w:rPr>
      <w:instrText xml:space="preserve">= </w:instrText>
    </w:r>
    <w:r w:rsidRPr="008D7F4E">
      <w:rPr>
        <w:rFonts w:hint="cs"/>
        <w:sz w:val="16"/>
        <w:szCs w:val="16"/>
      </w:rPr>
      <w:instrText>CY \* MERGEFORMAT</w:instrText>
    </w:r>
    <w:r w:rsidRPr="008D7F4E">
      <w:rPr>
        <w:sz w:val="16"/>
        <w:szCs w:val="16"/>
        <w:rtl/>
      </w:rPr>
      <w:instrText xml:space="preserve"> </w:instrText>
    </w:r>
    <w:r w:rsidRPr="008D7F4E">
      <w:rPr>
        <w:sz w:val="16"/>
        <w:szCs w:val="16"/>
        <w:rtl/>
      </w:rPr>
      <w:fldChar w:fldCharType="separate"/>
    </w:r>
    <w:r w:rsidR="00684A10" w:rsidRPr="00684A10">
      <w:rPr>
        <w:noProof/>
        <w:sz w:val="20"/>
        <w:szCs w:val="20"/>
        <w:rtl/>
      </w:rPr>
      <w:t>2024</w:t>
    </w:r>
    <w:r w:rsidRPr="008D7F4E">
      <w:rPr>
        <w:sz w:val="16"/>
        <w:szCs w:val="16"/>
        <w:rtl/>
      </w:rPr>
      <w:fldChar w:fldCharType="end"/>
    </w:r>
    <w:r w:rsidRPr="009633F7">
      <w:rPr>
        <w:rFonts w:cs="Arial"/>
        <w:sz w:val="18"/>
        <w:szCs w:val="18"/>
        <w:rtl/>
      </w:rPr>
      <w:t>: תאגידים בנקאיים</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4C8EA" w14:textId="4FD64203" w:rsidR="00553945" w:rsidRPr="00B1501F" w:rsidRDefault="00553945" w:rsidP="00AE5ACC">
    <w:pPr>
      <w:pStyle w:val="ad"/>
      <w:framePr w:wrap="around" w:vAnchor="text" w:hAnchor="text" w:xAlign="inside" w:y="1"/>
      <w:rPr>
        <w:rStyle w:val="af1"/>
        <w:rFonts w:cs="Arial"/>
        <w:sz w:val="20"/>
        <w:szCs w:val="20"/>
      </w:rPr>
    </w:pPr>
    <w:r w:rsidRPr="00B1501F">
      <w:rPr>
        <w:rStyle w:val="af1"/>
        <w:rFonts w:cs="Arial"/>
        <w:sz w:val="20"/>
        <w:szCs w:val="20"/>
        <w:rtl/>
      </w:rPr>
      <w:fldChar w:fldCharType="begin"/>
    </w:r>
    <w:r w:rsidRPr="00B1501F">
      <w:rPr>
        <w:rStyle w:val="af1"/>
        <w:rFonts w:cs="Arial"/>
        <w:sz w:val="20"/>
        <w:szCs w:val="20"/>
      </w:rPr>
      <w:instrText xml:space="preserve">PAGE  </w:instrText>
    </w:r>
    <w:r w:rsidRPr="00B1501F">
      <w:rPr>
        <w:rStyle w:val="af1"/>
        <w:rFonts w:cs="Arial"/>
        <w:sz w:val="20"/>
        <w:szCs w:val="20"/>
        <w:rtl/>
      </w:rPr>
      <w:fldChar w:fldCharType="separate"/>
    </w:r>
    <w:r>
      <w:rPr>
        <w:rStyle w:val="af1"/>
        <w:rFonts w:cs="Arial"/>
        <w:noProof/>
        <w:sz w:val="20"/>
        <w:szCs w:val="20"/>
        <w:rtl/>
      </w:rPr>
      <w:t>152</w:t>
    </w:r>
    <w:r w:rsidRPr="00B1501F">
      <w:rPr>
        <w:rStyle w:val="af1"/>
        <w:rFonts w:cs="Arial"/>
        <w:sz w:val="20"/>
        <w:szCs w:val="20"/>
        <w:rtl/>
      </w:rPr>
      <w:fldChar w:fldCharType="end"/>
    </w:r>
  </w:p>
  <w:p w14:paraId="7E2C5960" w14:textId="486BEF1F" w:rsidR="00553945" w:rsidRDefault="00553945" w:rsidP="000506EC">
    <w:pPr>
      <w:pStyle w:val="ad"/>
      <w:tabs>
        <w:tab w:val="clear" w:pos="4153"/>
        <w:tab w:val="clear" w:pos="8306"/>
      </w:tabs>
      <w:spacing w:line="240" w:lineRule="auto"/>
      <w:ind w:right="360" w:firstLine="360"/>
      <w:jc w:val="center"/>
      <w:rPr>
        <w:sz w:val="18"/>
        <w:szCs w:val="18"/>
        <w:rtl/>
      </w:rPr>
    </w:pPr>
    <w:r w:rsidRPr="009633F7">
      <w:rPr>
        <w:rFonts w:cs="Arial"/>
        <w:sz w:val="18"/>
        <w:szCs w:val="18"/>
      </w:rPr>
      <w:t>BDO</w:t>
    </w:r>
    <w:r w:rsidRPr="009633F7">
      <w:rPr>
        <w:rFonts w:cs="Arial"/>
        <w:sz w:val="18"/>
        <w:szCs w:val="18"/>
        <w:rtl/>
      </w:rPr>
      <w:t xml:space="preserve"> - </w:t>
    </w:r>
    <w:r>
      <w:rPr>
        <w:rFonts w:cs="Arial" w:hint="cs"/>
        <w:sz w:val="18"/>
        <w:szCs w:val="18"/>
        <w:rtl/>
      </w:rPr>
      <w:t xml:space="preserve">תמצית דוחות כספיים ביניים </w:t>
    </w:r>
    <w:r w:rsidRPr="009633F7">
      <w:rPr>
        <w:rFonts w:cs="Arial"/>
        <w:sz w:val="18"/>
        <w:szCs w:val="18"/>
        <w:rtl/>
      </w:rPr>
      <w:t xml:space="preserve">לדוגמה ליום </w:t>
    </w:r>
    <w:r>
      <w:rPr>
        <w:rFonts w:cs="Arial" w:hint="cs"/>
        <w:sz w:val="18"/>
        <w:szCs w:val="18"/>
        <w:rtl/>
      </w:rPr>
      <w:t xml:space="preserve">30 ביוני </w:t>
    </w:r>
    <w:r w:rsidRPr="00144D01">
      <w:rPr>
        <w:rFonts w:cs="Arial"/>
        <w:sz w:val="18"/>
        <w:szCs w:val="18"/>
        <w:rtl/>
      </w:rPr>
      <w:fldChar w:fldCharType="begin"/>
    </w:r>
    <w:r w:rsidRPr="00144D01">
      <w:rPr>
        <w:rFonts w:cs="Arial"/>
        <w:sz w:val="18"/>
        <w:szCs w:val="18"/>
        <w:rtl/>
      </w:rPr>
      <w:instrText xml:space="preserve"> = </w:instrText>
    </w:r>
    <w:r w:rsidRPr="00144D01">
      <w:rPr>
        <w:rFonts w:cs="Arial"/>
        <w:sz w:val="18"/>
        <w:szCs w:val="18"/>
      </w:rPr>
      <w:instrText>CY \* MERGEFORMAT</w:instrText>
    </w:r>
    <w:r w:rsidRPr="00144D01">
      <w:rPr>
        <w:rFonts w:cs="Arial"/>
        <w:sz w:val="18"/>
        <w:szCs w:val="18"/>
        <w:rtl/>
      </w:rPr>
      <w:instrText xml:space="preserve"> </w:instrText>
    </w:r>
    <w:r w:rsidRPr="00144D01">
      <w:rPr>
        <w:rFonts w:cs="Arial"/>
        <w:sz w:val="18"/>
        <w:szCs w:val="18"/>
        <w:rtl/>
      </w:rPr>
      <w:fldChar w:fldCharType="separate"/>
    </w:r>
    <w:r w:rsidR="00684A10">
      <w:rPr>
        <w:rFonts w:cs="Arial"/>
        <w:noProof/>
        <w:sz w:val="18"/>
        <w:szCs w:val="18"/>
        <w:rtl/>
      </w:rPr>
      <w:t>2024</w:t>
    </w:r>
    <w:r w:rsidRPr="00144D01">
      <w:rPr>
        <w:rFonts w:cs="Arial"/>
        <w:sz w:val="18"/>
        <w:szCs w:val="18"/>
        <w:rtl/>
      </w:rPr>
      <w:fldChar w:fldCharType="end"/>
    </w:r>
    <w:r w:rsidRPr="009633F7">
      <w:rPr>
        <w:rFonts w:cs="Arial"/>
        <w:sz w:val="18"/>
        <w:szCs w:val="18"/>
        <w:rtl/>
      </w:rPr>
      <w:t>: תאגידים בנקאיים</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DD7BB" w14:textId="570DF1C7" w:rsidR="00553945" w:rsidRPr="00734AA3" w:rsidRDefault="00553945" w:rsidP="00AE5ACC">
    <w:pPr>
      <w:pStyle w:val="ad"/>
      <w:framePr w:wrap="around" w:vAnchor="text" w:hAnchor="text" w:xAlign="inside" w:y="1"/>
      <w:rPr>
        <w:rStyle w:val="af1"/>
        <w:rFonts w:cs="Arial"/>
        <w:sz w:val="20"/>
        <w:szCs w:val="20"/>
      </w:rPr>
    </w:pPr>
    <w:r w:rsidRPr="00734AA3">
      <w:rPr>
        <w:rStyle w:val="af1"/>
        <w:rFonts w:cs="Arial"/>
        <w:sz w:val="20"/>
        <w:szCs w:val="20"/>
        <w:rtl/>
      </w:rPr>
      <w:fldChar w:fldCharType="begin"/>
    </w:r>
    <w:r w:rsidRPr="00734AA3">
      <w:rPr>
        <w:rStyle w:val="af1"/>
        <w:rFonts w:cs="Arial"/>
        <w:sz w:val="20"/>
        <w:szCs w:val="20"/>
      </w:rPr>
      <w:instrText xml:space="preserve">PAGE  </w:instrText>
    </w:r>
    <w:r w:rsidRPr="00734AA3">
      <w:rPr>
        <w:rStyle w:val="af1"/>
        <w:rFonts w:cs="Arial"/>
        <w:sz w:val="20"/>
        <w:szCs w:val="20"/>
        <w:rtl/>
      </w:rPr>
      <w:fldChar w:fldCharType="separate"/>
    </w:r>
    <w:r>
      <w:rPr>
        <w:rStyle w:val="af1"/>
        <w:rFonts w:cs="Arial"/>
        <w:noProof/>
        <w:sz w:val="20"/>
        <w:szCs w:val="20"/>
        <w:rtl/>
      </w:rPr>
      <w:t>151</w:t>
    </w:r>
    <w:r w:rsidRPr="00734AA3">
      <w:rPr>
        <w:rStyle w:val="af1"/>
        <w:rFonts w:cs="Arial"/>
        <w:sz w:val="20"/>
        <w:szCs w:val="20"/>
        <w:rtl/>
      </w:rPr>
      <w:fldChar w:fldCharType="end"/>
    </w:r>
  </w:p>
  <w:p w14:paraId="74B9E245" w14:textId="0B8ED12C" w:rsidR="00553945" w:rsidRDefault="00553945" w:rsidP="000506EC">
    <w:pPr>
      <w:pStyle w:val="ad"/>
      <w:tabs>
        <w:tab w:val="clear" w:pos="4153"/>
        <w:tab w:val="clear" w:pos="8306"/>
      </w:tabs>
      <w:spacing w:line="240" w:lineRule="auto"/>
      <w:ind w:right="360" w:firstLine="360"/>
      <w:jc w:val="center"/>
      <w:rPr>
        <w:rFonts w:cs="Arial"/>
        <w:sz w:val="18"/>
        <w:szCs w:val="18"/>
        <w:rtl/>
      </w:rPr>
    </w:pPr>
    <w:r w:rsidRPr="009633F7">
      <w:rPr>
        <w:rFonts w:cs="Arial" w:hint="cs"/>
        <w:sz w:val="18"/>
        <w:szCs w:val="18"/>
      </w:rPr>
      <w:t>BDO</w:t>
    </w:r>
    <w:r w:rsidRPr="009633F7">
      <w:rPr>
        <w:rFonts w:cs="Arial" w:hint="cs"/>
        <w:sz w:val="18"/>
        <w:szCs w:val="18"/>
        <w:rtl/>
      </w:rPr>
      <w:t xml:space="preserve"> </w:t>
    </w:r>
    <w:r w:rsidRPr="009633F7">
      <w:rPr>
        <w:rFonts w:cs="Arial"/>
        <w:sz w:val="18"/>
        <w:szCs w:val="18"/>
        <w:rtl/>
      </w:rPr>
      <w:t xml:space="preserve">- </w:t>
    </w:r>
    <w:r>
      <w:rPr>
        <w:rFonts w:cs="Arial" w:hint="cs"/>
        <w:sz w:val="18"/>
        <w:szCs w:val="18"/>
        <w:rtl/>
      </w:rPr>
      <w:t xml:space="preserve">תמצית </w:t>
    </w:r>
    <w:r w:rsidRPr="009633F7">
      <w:rPr>
        <w:rFonts w:cs="Arial"/>
        <w:sz w:val="18"/>
        <w:szCs w:val="18"/>
        <w:rtl/>
      </w:rPr>
      <w:t xml:space="preserve">דוחות כספיים </w:t>
    </w:r>
    <w:r>
      <w:rPr>
        <w:rFonts w:cs="Arial" w:hint="cs"/>
        <w:sz w:val="18"/>
        <w:szCs w:val="18"/>
        <w:rtl/>
      </w:rPr>
      <w:t>ביניים</w:t>
    </w:r>
    <w:r w:rsidRPr="009633F7">
      <w:rPr>
        <w:rFonts w:cs="Arial"/>
        <w:sz w:val="18"/>
        <w:szCs w:val="18"/>
        <w:rtl/>
      </w:rPr>
      <w:t xml:space="preserve"> לדוגמה ליום </w:t>
    </w:r>
    <w:r>
      <w:rPr>
        <w:rFonts w:cs="Arial" w:hint="cs"/>
        <w:sz w:val="18"/>
        <w:szCs w:val="18"/>
        <w:rtl/>
      </w:rPr>
      <w:t>30</w:t>
    </w:r>
    <w:r w:rsidRPr="009633F7">
      <w:rPr>
        <w:rFonts w:cs="Arial"/>
        <w:sz w:val="18"/>
        <w:szCs w:val="18"/>
        <w:rtl/>
      </w:rPr>
      <w:t xml:space="preserve"> </w:t>
    </w:r>
    <w:r>
      <w:rPr>
        <w:rFonts w:cs="Arial" w:hint="cs"/>
        <w:sz w:val="18"/>
        <w:szCs w:val="18"/>
        <w:rtl/>
      </w:rPr>
      <w:t>ביוני</w:t>
    </w:r>
    <w:r w:rsidRPr="009633F7">
      <w:rPr>
        <w:rFonts w:cs="Arial"/>
        <w:sz w:val="18"/>
        <w:szCs w:val="18"/>
        <w:rtl/>
      </w:rPr>
      <w:t xml:space="preserve"> </w:t>
    </w:r>
    <w:r w:rsidRPr="00144D01">
      <w:rPr>
        <w:rFonts w:cs="Arial"/>
        <w:sz w:val="18"/>
        <w:szCs w:val="18"/>
        <w:rtl/>
      </w:rPr>
      <w:fldChar w:fldCharType="begin"/>
    </w:r>
    <w:r w:rsidRPr="00144D01">
      <w:rPr>
        <w:rFonts w:cs="Arial"/>
        <w:sz w:val="18"/>
        <w:szCs w:val="18"/>
        <w:rtl/>
      </w:rPr>
      <w:instrText xml:space="preserve"> = </w:instrText>
    </w:r>
    <w:r w:rsidRPr="00144D01">
      <w:rPr>
        <w:rFonts w:cs="Arial"/>
        <w:sz w:val="18"/>
        <w:szCs w:val="18"/>
      </w:rPr>
      <w:instrText>CY \* MERGEFORMAT</w:instrText>
    </w:r>
    <w:r w:rsidRPr="00144D01">
      <w:rPr>
        <w:rFonts w:cs="Arial"/>
        <w:sz w:val="18"/>
        <w:szCs w:val="18"/>
        <w:rtl/>
      </w:rPr>
      <w:instrText xml:space="preserve"> </w:instrText>
    </w:r>
    <w:r w:rsidRPr="00144D01">
      <w:rPr>
        <w:rFonts w:cs="Arial"/>
        <w:sz w:val="18"/>
        <w:szCs w:val="18"/>
        <w:rtl/>
      </w:rPr>
      <w:fldChar w:fldCharType="separate"/>
    </w:r>
    <w:r w:rsidR="00684A10">
      <w:rPr>
        <w:rFonts w:cs="Arial"/>
        <w:noProof/>
        <w:sz w:val="18"/>
        <w:szCs w:val="18"/>
        <w:rtl/>
      </w:rPr>
      <w:t>2024</w:t>
    </w:r>
    <w:r w:rsidRPr="00144D01">
      <w:rPr>
        <w:rFonts w:cs="Arial"/>
        <w:sz w:val="18"/>
        <w:szCs w:val="18"/>
        <w:rtl/>
      </w:rPr>
      <w:fldChar w:fldCharType="end"/>
    </w:r>
    <w:r w:rsidRPr="009633F7">
      <w:rPr>
        <w:rFonts w:cs="Arial"/>
        <w:sz w:val="18"/>
        <w:szCs w:val="18"/>
        <w:rtl/>
      </w:rPr>
      <w:t>: תאגידים בנקאיי</w:t>
    </w:r>
    <w:r w:rsidRPr="009633F7">
      <w:rPr>
        <w:rFonts w:cs="Arial" w:hint="cs"/>
        <w:sz w:val="18"/>
        <w:szCs w:val="18"/>
        <w:rtl/>
      </w:rPr>
      <w:t>ם</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0494" w14:textId="049D911A" w:rsidR="00553945" w:rsidRDefault="00960257">
    <w:pPr>
      <w:pStyle w:val="ad"/>
    </w:pPr>
    <w:r>
      <w:rPr>
        <w:noProof/>
      </w:rPr>
      <mc:AlternateContent>
        <mc:Choice Requires="wps">
          <w:drawing>
            <wp:anchor distT="0" distB="0" distL="114300" distR="114300" simplePos="0" relativeHeight="251660288" behindDoc="0" locked="0" layoutInCell="1" allowOverlap="1" wp14:anchorId="70E3ED4B" wp14:editId="7F0F2F7B">
              <wp:simplePos x="0" y="0"/>
              <wp:positionH relativeFrom="page">
                <wp:posOffset>6840855</wp:posOffset>
              </wp:positionH>
              <wp:positionV relativeFrom="page">
                <wp:align>bottom</wp:align>
              </wp:positionV>
              <wp:extent cx="161925" cy="1828800"/>
              <wp:effectExtent l="0" t="0" r="0" b="0"/>
              <wp:wrapNone/>
              <wp:docPr id="12" name="צורה חופשית: צורה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gray">
                      <a:xfrm>
                        <a:off x="0" y="0"/>
                        <a:ext cx="161925" cy="1828800"/>
                      </a:xfrm>
                      <a:custGeom>
                        <a:avLst/>
                        <a:gdLst/>
                        <a:ahLst/>
                        <a:cxnLst>
                          <a:cxn ang="0">
                            <a:pos x="120" y="0"/>
                          </a:cxn>
                          <a:cxn ang="0">
                            <a:pos x="120" y="1354"/>
                          </a:cxn>
                          <a:cxn ang="0">
                            <a:pos x="0" y="1354"/>
                          </a:cxn>
                          <a:cxn ang="0">
                            <a:pos x="0" y="85"/>
                          </a:cxn>
                          <a:cxn ang="0">
                            <a:pos x="120" y="0"/>
                          </a:cxn>
                        </a:cxnLst>
                        <a:rect l="0" t="0" r="r" b="b"/>
                        <a:pathLst>
                          <a:path w="120" h="1354">
                            <a:moveTo>
                              <a:pt x="120" y="0"/>
                            </a:moveTo>
                            <a:lnTo>
                              <a:pt x="120" y="1354"/>
                            </a:lnTo>
                            <a:lnTo>
                              <a:pt x="0" y="1354"/>
                            </a:lnTo>
                            <a:lnTo>
                              <a:pt x="0" y="85"/>
                            </a:lnTo>
                            <a:lnTo>
                              <a:pt x="120" y="0"/>
                            </a:lnTo>
                            <a:close/>
                          </a:path>
                        </a:pathLst>
                      </a:custGeom>
                      <a:solidFill>
                        <a:srgbClr val="ED1A3B"/>
                      </a:solidFill>
                      <a:ln w="9525">
                        <a:no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7B522E83" id="צורה חופשית: צורה 12" o:spid="_x0000_s1026" style="position:absolute;left:0;text-align:left;margin-left:538.65pt;margin-top:0;width:12.75pt;height:2in;z-index:25166028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coordsize="120,1354"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" path="m120,r,1354l,1354,,85,120,xe" fillcolor="#ed1a3b" stroked="f">
              <v:path arrowok="t" o:connecttype="custom" o:connectlocs="120,0;120,1354;0,1354;0,85;120,0" o:connectangles="0,0,0,0,0"/>
              <o:lock v:ext="edit" aspectratio="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A381C" w14:textId="77777777" w:rsidR="00587121" w:rsidRPr="00130B86" w:rsidRDefault="00587121" w:rsidP="00CD6659">
      <w:pPr>
        <w:pStyle w:val="ad"/>
        <w:rPr>
          <w:b/>
          <w:bCs/>
        </w:rPr>
      </w:pPr>
      <w:r>
        <w:rPr>
          <w:rFonts w:hint="cs"/>
          <w:b/>
          <w:bCs/>
          <w:rtl/>
        </w:rPr>
        <w:t>____</w:t>
      </w:r>
      <w:r w:rsidRPr="00130B86">
        <w:rPr>
          <w:rFonts w:hint="cs"/>
          <w:b/>
          <w:bCs/>
          <w:rtl/>
        </w:rPr>
        <w:t>_______</w:t>
      </w:r>
    </w:p>
  </w:footnote>
  <w:footnote w:type="continuationSeparator" w:id="0">
    <w:p w14:paraId="62B2BC0D" w14:textId="77777777" w:rsidR="00587121" w:rsidRPr="0058132C" w:rsidRDefault="00587121" w:rsidP="00D8394B">
      <w:pPr>
        <w:pStyle w:val="-0"/>
        <w:rPr>
          <w:color w:val="auto"/>
          <w:lang w:eastAsia="en-US"/>
        </w:rPr>
      </w:pPr>
      <w:r>
        <w:continuationSeparator/>
      </w:r>
    </w:p>
  </w:footnote>
  <w:footnote w:type="continuationNotice" w:id="1">
    <w:p w14:paraId="59BB14AC" w14:textId="77777777" w:rsidR="00587121" w:rsidRPr="00351CB1" w:rsidRDefault="00587121" w:rsidP="00351CB1">
      <w:pPr>
        <w:pStyle w:val="ad"/>
        <w:spacing w:line="240" w:lineRule="auto"/>
        <w:rPr>
          <w:sz w:val="2"/>
          <w:szCs w:val="2"/>
        </w:rPr>
      </w:pPr>
    </w:p>
  </w:footnote>
  <w:footnote w:id="2">
    <w:p w14:paraId="72CBBB86" w14:textId="40C3EC02" w:rsidR="00553945" w:rsidRPr="001844D2" w:rsidRDefault="00553945" w:rsidP="00B2225A">
      <w:pPr>
        <w:pStyle w:val="a8"/>
        <w:tabs>
          <w:tab w:val="left" w:pos="217"/>
        </w:tabs>
        <w:spacing w:before="0" w:after="20"/>
        <w:ind w:left="215" w:hanging="181"/>
        <w:rPr>
          <w:rFonts w:ascii="David" w:hAnsi="David"/>
          <w:szCs w:val="18"/>
          <w:rtl/>
        </w:rPr>
      </w:pPr>
      <w:r w:rsidRPr="001844D2">
        <w:rPr>
          <w:rStyle w:val="a7"/>
          <w:rFonts w:ascii="David" w:hAnsi="David" w:cs="David"/>
          <w:sz w:val="18"/>
          <w:szCs w:val="18"/>
        </w:rPr>
        <w:footnoteRef/>
      </w:r>
      <w:r w:rsidRPr="001844D2">
        <w:rPr>
          <w:rFonts w:ascii="David" w:hAnsi="David" w:hint="cs"/>
          <w:szCs w:val="18"/>
        </w:rPr>
        <w:t xml:space="preserve"> </w:t>
      </w:r>
      <w:r w:rsidRPr="001844D2">
        <w:rPr>
          <w:rFonts w:ascii="David" w:hAnsi="David"/>
          <w:szCs w:val="18"/>
          <w:rtl/>
        </w:rPr>
        <w:t xml:space="preserve"> </w:t>
      </w:r>
      <w:r w:rsidRPr="001844D2">
        <w:rPr>
          <w:rFonts w:ascii="David" w:hAnsi="David"/>
          <w:szCs w:val="18"/>
          <w:rtl/>
        </w:rPr>
        <w:tab/>
        <w:t xml:space="preserve">בהתאם לסעיף </w:t>
      </w:r>
      <w:r w:rsidRPr="001844D2">
        <w:rPr>
          <w:rFonts w:ascii="David" w:hAnsi="David"/>
          <w:szCs w:val="18"/>
        </w:rPr>
        <w:t>A</w:t>
      </w:r>
      <w:r w:rsidRPr="001844D2">
        <w:rPr>
          <w:rFonts w:ascii="David" w:hAnsi="David"/>
          <w:szCs w:val="18"/>
          <w:rtl/>
        </w:rPr>
        <w:t>815-20-45-1 בקודיפיקציה, בגידורי שווי הוגן ותזרים - כולל השפעת הפריט המגודר: 1)</w:t>
      </w:r>
      <w:r w:rsidRPr="001844D2">
        <w:rPr>
          <w:rFonts w:ascii="David" w:hAnsi="David"/>
          <w:b/>
          <w:bCs/>
          <w:szCs w:val="18"/>
          <w:rtl/>
        </w:rPr>
        <w:t xml:space="preserve"> </w:t>
      </w:r>
      <w:r w:rsidRPr="001844D2">
        <w:rPr>
          <w:rFonts w:ascii="David" w:hAnsi="David"/>
          <w:szCs w:val="18"/>
          <w:rtl/>
        </w:rPr>
        <w:t>השינוי בשווי ההוגן של המכשיר המגדר שנכלל בהערכת אפקטיביות הגידור,לרבות החלק הלא אפקטיבי שבגידור</w:t>
      </w:r>
      <w:r w:rsidRPr="001844D2">
        <w:rPr>
          <w:rFonts w:ascii="David" w:hAnsi="David"/>
          <w:szCs w:val="18"/>
        </w:rPr>
        <w:t xml:space="preserve"> </w:t>
      </w:r>
      <w:r w:rsidRPr="001844D2">
        <w:rPr>
          <w:rFonts w:ascii="David" w:hAnsi="David"/>
          <w:szCs w:val="18"/>
          <w:rtl/>
        </w:rPr>
        <w:t xml:space="preserve">וכן, 2) סכומים שלא נכללו בהערכת אפקטיביות הגידור (בהתאם לחלופות בסעיפים </w:t>
      </w:r>
      <w:r w:rsidRPr="001844D2">
        <w:rPr>
          <w:rFonts w:ascii="David" w:hAnsi="David"/>
          <w:szCs w:val="18"/>
        </w:rPr>
        <w:t>A</w:t>
      </w:r>
      <w:r w:rsidRPr="001844D2">
        <w:rPr>
          <w:rFonts w:ascii="David" w:hAnsi="David"/>
          <w:szCs w:val="18"/>
          <w:rtl/>
        </w:rPr>
        <w:t xml:space="preserve">815-20-25-83 או </w:t>
      </w:r>
      <w:r w:rsidRPr="001844D2">
        <w:rPr>
          <w:rFonts w:ascii="David" w:hAnsi="David"/>
          <w:szCs w:val="18"/>
        </w:rPr>
        <w:t>B</w:t>
      </w:r>
      <w:r w:rsidRPr="001844D2">
        <w:rPr>
          <w:rFonts w:ascii="David" w:hAnsi="David"/>
          <w:szCs w:val="18"/>
          <w:rtl/>
        </w:rPr>
        <w:t xml:space="preserve">25-83).   </w:t>
      </w:r>
    </w:p>
  </w:footnote>
  <w:footnote w:id="3">
    <w:p w14:paraId="2C76914D" w14:textId="25C3A594" w:rsidR="00553945" w:rsidRPr="001844D2" w:rsidRDefault="00553945" w:rsidP="00B2225A">
      <w:pPr>
        <w:pStyle w:val="a8"/>
        <w:tabs>
          <w:tab w:val="left" w:pos="217"/>
        </w:tabs>
        <w:spacing w:before="0" w:after="20"/>
        <w:ind w:left="217" w:hanging="181"/>
        <w:rPr>
          <w:rFonts w:ascii="David" w:hAnsi="David"/>
          <w:szCs w:val="18"/>
          <w:rtl/>
        </w:rPr>
      </w:pPr>
      <w:r w:rsidRPr="001844D2">
        <w:rPr>
          <w:rStyle w:val="a7"/>
          <w:rFonts w:ascii="David" w:hAnsi="David" w:cs="David"/>
          <w:sz w:val="18"/>
          <w:szCs w:val="18"/>
        </w:rPr>
        <w:footnoteRef/>
      </w:r>
      <w:r w:rsidRPr="001844D2">
        <w:rPr>
          <w:rStyle w:val="a7"/>
          <w:rFonts w:ascii="David" w:hAnsi="David" w:cs="David"/>
          <w:sz w:val="18"/>
          <w:szCs w:val="18"/>
          <w:rtl/>
        </w:rPr>
        <w:t xml:space="preserve"> </w:t>
      </w:r>
      <w:r w:rsidRPr="001844D2">
        <w:rPr>
          <w:rFonts w:ascii="David" w:hAnsi="David"/>
          <w:szCs w:val="18"/>
          <w:rtl/>
        </w:rPr>
        <w:t xml:space="preserve"> </w:t>
      </w:r>
      <w:r w:rsidRPr="001844D2">
        <w:rPr>
          <w:rFonts w:ascii="David" w:hAnsi="David"/>
          <w:szCs w:val="18"/>
          <w:rtl/>
        </w:rPr>
        <w:tab/>
        <w:t>בהתאם לסעיף</w:t>
      </w:r>
      <w:r w:rsidRPr="001844D2">
        <w:rPr>
          <w:rFonts w:ascii="David" w:hAnsi="David"/>
          <w:szCs w:val="18"/>
        </w:rPr>
        <w:t xml:space="preserve">C </w:t>
      </w:r>
      <w:r w:rsidRPr="001844D2">
        <w:rPr>
          <w:rFonts w:ascii="David" w:hAnsi="David"/>
          <w:szCs w:val="18"/>
          <w:rtl/>
        </w:rPr>
        <w:t xml:space="preserve">815-20-45-1 לקודיפיקציה, בגידור השקעה נטו, הסעיף בו מוצגת השפעת </w:t>
      </w:r>
      <w:r w:rsidR="001844D2" w:rsidRPr="001844D2">
        <w:rPr>
          <w:rFonts w:ascii="David" w:hAnsi="David" w:hint="cs"/>
          <w:szCs w:val="18"/>
          <w:rtl/>
        </w:rPr>
        <w:t>הגידור</w:t>
      </w:r>
      <w:r w:rsidRPr="001844D2">
        <w:rPr>
          <w:rFonts w:ascii="David" w:hAnsi="David"/>
          <w:szCs w:val="18"/>
          <w:rtl/>
        </w:rPr>
        <w:t>, כולל את הסכומים שסווגו מחדש מרווח כולל אחר מצטבר.</w:t>
      </w:r>
    </w:p>
  </w:footnote>
  <w:footnote w:id="4">
    <w:p w14:paraId="2E27838D" w14:textId="4E776AF0" w:rsidR="00553945" w:rsidRPr="001844D2" w:rsidRDefault="00553945" w:rsidP="00B2225A">
      <w:pPr>
        <w:pStyle w:val="a8"/>
        <w:tabs>
          <w:tab w:val="left" w:pos="217"/>
        </w:tabs>
        <w:spacing w:before="0" w:after="20"/>
        <w:ind w:left="217" w:hanging="181"/>
        <w:rPr>
          <w:rFonts w:ascii="David" w:hAnsi="David"/>
          <w:color w:val="7030A0"/>
          <w:szCs w:val="18"/>
        </w:rPr>
      </w:pPr>
      <w:r w:rsidRPr="001844D2">
        <w:rPr>
          <w:rStyle w:val="a7"/>
          <w:rFonts w:ascii="David" w:hAnsi="David" w:cs="David"/>
          <w:sz w:val="18"/>
          <w:szCs w:val="18"/>
        </w:rPr>
        <w:footnoteRef/>
      </w:r>
      <w:r w:rsidRPr="001844D2">
        <w:rPr>
          <w:rFonts w:ascii="David" w:hAnsi="David"/>
          <w:color w:val="auto"/>
          <w:szCs w:val="18"/>
          <w:rtl/>
        </w:rPr>
        <w:t xml:space="preserve"> </w:t>
      </w:r>
      <w:r w:rsidRPr="001844D2">
        <w:rPr>
          <w:rFonts w:ascii="David" w:hAnsi="David"/>
          <w:color w:val="7030A0"/>
          <w:szCs w:val="18"/>
          <w:rtl/>
        </w:rPr>
        <w:tab/>
      </w:r>
      <w:r w:rsidR="00676038" w:rsidRPr="001844D2">
        <w:rPr>
          <w:rFonts w:ascii="David" w:hAnsi="David"/>
          <w:color w:val="auto"/>
          <w:szCs w:val="18"/>
          <w:rtl/>
        </w:rPr>
        <w:t xml:space="preserve">בהתאם לסעיפים 205-20-45-3, </w:t>
      </w:r>
      <w:r w:rsidR="00676038" w:rsidRPr="001844D2">
        <w:rPr>
          <w:rFonts w:ascii="David" w:hAnsi="David"/>
          <w:color w:val="auto"/>
          <w:szCs w:val="18"/>
        </w:rPr>
        <w:t>A205-20-45-3</w:t>
      </w:r>
      <w:r w:rsidR="00676038" w:rsidRPr="001844D2">
        <w:rPr>
          <w:rFonts w:ascii="David" w:hAnsi="David"/>
          <w:color w:val="auto"/>
          <w:szCs w:val="18"/>
          <w:rtl/>
        </w:rPr>
        <w:t xml:space="preserve"> בקודיפיקציה בתקופה שבה פעילות שהופסקה נגרעה או מסווגת כמוחזקת למכירה, ידווחו תוצאות הפעילות שהופסקה, בניכוי מסים על ההכנסה, כמרכיב נפרד בדוח רווח והפסד לתקופה השוטפת ולתקופות השוואתיות.</w:t>
      </w:r>
    </w:p>
  </w:footnote>
  <w:footnote w:id="5">
    <w:p w14:paraId="3CEE961C" w14:textId="52901C8E" w:rsidR="00553945" w:rsidRPr="001844D2" w:rsidRDefault="00553945" w:rsidP="00D8313B">
      <w:pPr>
        <w:pStyle w:val="a8"/>
        <w:pBdr>
          <w:right w:val="single" w:sz="4" w:space="4" w:color="auto"/>
        </w:pBdr>
        <w:tabs>
          <w:tab w:val="left" w:pos="217"/>
        </w:tabs>
        <w:spacing w:before="60"/>
        <w:ind w:left="217" w:hanging="181"/>
        <w:rPr>
          <w:rFonts w:ascii="David" w:hAnsi="David"/>
          <w:color w:val="auto"/>
          <w:szCs w:val="18"/>
          <w:rtl/>
        </w:rPr>
      </w:pPr>
      <w:r w:rsidRPr="001844D2">
        <w:rPr>
          <w:rStyle w:val="a7"/>
          <w:rFonts w:ascii="David" w:hAnsi="David" w:cs="David"/>
          <w:sz w:val="18"/>
          <w:szCs w:val="18"/>
        </w:rPr>
        <w:footnoteRef/>
      </w:r>
      <w:r w:rsidRPr="001844D2">
        <w:rPr>
          <w:rFonts w:ascii="David" w:hAnsi="David"/>
          <w:szCs w:val="18"/>
          <w:rtl/>
        </w:rPr>
        <w:t xml:space="preserve"> </w:t>
      </w:r>
      <w:r w:rsidR="005830E1" w:rsidRPr="001844D2">
        <w:rPr>
          <w:rFonts w:ascii="David" w:eastAsia="Times New Roman" w:hAnsi="David"/>
          <w:noProof w:val="0"/>
          <w:color w:val="auto"/>
          <w:szCs w:val="18"/>
          <w:rtl/>
          <w:lang w:eastAsia="en-US"/>
        </w:rPr>
        <w:tab/>
      </w:r>
      <w:r w:rsidRPr="001844D2">
        <w:rPr>
          <w:rFonts w:ascii="David" w:hAnsi="David"/>
          <w:color w:val="auto"/>
          <w:szCs w:val="18"/>
          <w:rtl/>
        </w:rPr>
        <w:t xml:space="preserve">בהתאם </w:t>
      </w:r>
      <w:r w:rsidR="009D0C12" w:rsidRPr="001844D2">
        <w:rPr>
          <w:rFonts w:ascii="David" w:hAnsi="David"/>
          <w:color w:val="auto"/>
          <w:szCs w:val="18"/>
          <w:rtl/>
        </w:rPr>
        <w:t xml:space="preserve">לסעיף </w:t>
      </w:r>
      <w:r w:rsidR="009D0C12" w:rsidRPr="001844D2">
        <w:rPr>
          <w:rFonts w:ascii="David" w:hAnsi="David"/>
          <w:color w:val="auto"/>
          <w:szCs w:val="18"/>
        </w:rPr>
        <w:t>740-270-25-5</w:t>
      </w:r>
      <w:r w:rsidR="009D0C12" w:rsidRPr="001844D2">
        <w:rPr>
          <w:rFonts w:ascii="David" w:hAnsi="David"/>
          <w:color w:val="auto"/>
          <w:szCs w:val="18"/>
          <w:rtl/>
        </w:rPr>
        <w:t xml:space="preserve"> לקודיפיקציה,</w:t>
      </w:r>
      <w:r w:rsidRPr="001844D2">
        <w:rPr>
          <w:rFonts w:ascii="David" w:hAnsi="David"/>
          <w:color w:val="auto"/>
          <w:szCs w:val="18"/>
          <w:rtl/>
        </w:rPr>
        <w:t xml:space="preserve"> </w:t>
      </w:r>
      <w:r w:rsidR="00512274" w:rsidRPr="00512274">
        <w:rPr>
          <w:rFonts w:ascii="David" w:hAnsi="David"/>
          <w:color w:val="auto"/>
          <w:szCs w:val="18"/>
          <w:rtl/>
        </w:rPr>
        <w:t>ב</w:t>
      </w:r>
      <w:r w:rsidR="00512274">
        <w:rPr>
          <w:rFonts w:ascii="David" w:hAnsi="David" w:hint="cs"/>
          <w:color w:val="auto"/>
          <w:szCs w:val="18"/>
          <w:rtl/>
        </w:rPr>
        <w:t xml:space="preserve">עת </w:t>
      </w:r>
      <w:r w:rsidR="00512274" w:rsidRPr="00512274">
        <w:rPr>
          <w:rFonts w:ascii="David" w:hAnsi="David"/>
          <w:color w:val="auto"/>
          <w:szCs w:val="18"/>
          <w:rtl/>
        </w:rPr>
        <w:t>חישוב שיעור המס האפקטיבי השנתי, תאגיד בנקאי ישקף את השפעת השינוי בחוקי המס או שיעורי המס בתקופת הביניים הכוללת את מועד החקיקה</w:t>
      </w:r>
      <w:r w:rsidRPr="001844D2">
        <w:rPr>
          <w:rFonts w:ascii="David" w:hAnsi="David"/>
          <w:color w:val="auto"/>
          <w:szCs w:val="18"/>
          <w:rtl/>
        </w:rPr>
        <w:t>. כמו כן, הטבת המס תוכר בהתאם להפסד המצטבר בתקופת הביניים (ולא תוגבל להפסד השנתי הצפוי).</w:t>
      </w:r>
      <w:r w:rsidR="005E3F17">
        <w:rPr>
          <w:rFonts w:ascii="David" w:hAnsi="David" w:hint="cs"/>
          <w:color w:val="auto"/>
          <w:szCs w:val="18"/>
          <w:rtl/>
        </w:rPr>
        <w:t xml:space="preserve"> רא</w:t>
      </w:r>
      <w:r w:rsidR="0026509D">
        <w:rPr>
          <w:rFonts w:ascii="David" w:hAnsi="David" w:hint="cs"/>
          <w:color w:val="auto"/>
          <w:szCs w:val="18"/>
          <w:rtl/>
        </w:rPr>
        <w:t xml:space="preserve">ה </w:t>
      </w:r>
      <w:r w:rsidR="005E3F17">
        <w:rPr>
          <w:rFonts w:ascii="David" w:hAnsi="David" w:hint="cs"/>
          <w:color w:val="auto"/>
          <w:szCs w:val="18"/>
          <w:rtl/>
        </w:rPr>
        <w:t>ביאור 15.</w:t>
      </w:r>
      <w:r w:rsidR="005E3F17" w:rsidRPr="00781D5B">
        <w:rPr>
          <w:rFonts w:ascii="David" w:hAnsi="David" w:hint="cs"/>
          <w:color w:val="auto"/>
          <w:sz w:val="20"/>
          <w:rtl/>
        </w:rPr>
        <w:t>ז</w:t>
      </w:r>
      <w:r w:rsidR="005E3F17">
        <w:rPr>
          <w:rFonts w:ascii="David" w:hAnsi="David" w:hint="cs"/>
          <w:color w:val="auto"/>
          <w:szCs w:val="18"/>
          <w:rtl/>
        </w:rPr>
        <w:t xml:space="preserve"> לעניין</w:t>
      </w:r>
      <w:r w:rsidR="0026509D">
        <w:rPr>
          <w:rFonts w:ascii="David" w:hAnsi="David" w:hint="cs"/>
          <w:color w:val="auto"/>
          <w:szCs w:val="18"/>
          <w:rtl/>
        </w:rPr>
        <w:t xml:space="preserve"> השפע</w:t>
      </w:r>
      <w:r w:rsidR="00C556A3">
        <w:rPr>
          <w:rFonts w:ascii="David" w:hAnsi="David" w:hint="cs"/>
          <w:color w:val="auto"/>
          <w:szCs w:val="18"/>
          <w:rtl/>
        </w:rPr>
        <w:t>ו</w:t>
      </w:r>
      <w:r w:rsidR="0026509D">
        <w:rPr>
          <w:rFonts w:ascii="David" w:hAnsi="David" w:hint="cs"/>
          <w:color w:val="auto"/>
          <w:szCs w:val="18"/>
          <w:rtl/>
        </w:rPr>
        <w:t>ת</w:t>
      </w:r>
      <w:r w:rsidR="005E3F17">
        <w:rPr>
          <w:rFonts w:ascii="David" w:hAnsi="David" w:hint="cs"/>
          <w:color w:val="auto"/>
          <w:szCs w:val="18"/>
          <w:rtl/>
        </w:rPr>
        <w:t xml:space="preserve"> "</w:t>
      </w:r>
      <w:r w:rsidR="005E3F17" w:rsidRPr="005E3F17">
        <w:rPr>
          <w:rFonts w:ascii="David" w:hAnsi="David"/>
          <w:color w:val="auto"/>
          <w:szCs w:val="18"/>
          <w:rtl/>
        </w:rPr>
        <w:t>חוק תשלום מיוחד לשם השגת יעדי התקציב (הוראת שעה - חרבות ברזל), התשפ"ד-2024</w:t>
      </w:r>
      <w:r w:rsidR="005E3F17">
        <w:rPr>
          <w:rFonts w:ascii="David" w:hAnsi="David" w:hint="cs"/>
          <w:color w:val="auto"/>
          <w:szCs w:val="18"/>
          <w:rtl/>
        </w:rPr>
        <w:t>".</w:t>
      </w:r>
    </w:p>
  </w:footnote>
  <w:footnote w:id="6">
    <w:p w14:paraId="4D70A759" w14:textId="77777777" w:rsidR="00EF03CC" w:rsidRPr="00EF186E" w:rsidRDefault="00EF03CC" w:rsidP="00EF03CC">
      <w:pPr>
        <w:pStyle w:val="a8"/>
        <w:tabs>
          <w:tab w:val="left" w:pos="217"/>
        </w:tabs>
        <w:spacing w:before="60"/>
        <w:ind w:left="217" w:hanging="181"/>
        <w:rPr>
          <w:sz w:val="20"/>
          <w:rtl/>
        </w:rPr>
      </w:pPr>
      <w:r w:rsidRPr="001844D2">
        <w:rPr>
          <w:rFonts w:ascii="David" w:hAnsi="David"/>
          <w:color w:val="auto"/>
          <w:szCs w:val="18"/>
          <w:vertAlign w:val="superscript"/>
        </w:rPr>
        <w:footnoteRef/>
      </w:r>
      <w:r w:rsidRPr="001844D2">
        <w:rPr>
          <w:rFonts w:ascii="David" w:hAnsi="David"/>
          <w:color w:val="auto"/>
          <w:szCs w:val="18"/>
          <w:vertAlign w:val="superscript"/>
          <w:rtl/>
        </w:rPr>
        <w:t xml:space="preserve"> </w:t>
      </w:r>
      <w:r w:rsidRPr="001844D2">
        <w:rPr>
          <w:rFonts w:ascii="David" w:hAnsi="David"/>
          <w:color w:val="auto"/>
          <w:szCs w:val="18"/>
          <w:rtl/>
        </w:rPr>
        <w:tab/>
      </w:r>
      <w:r w:rsidRPr="001844D2">
        <w:rPr>
          <w:rFonts w:ascii="David" w:hAnsi="David" w:hint="cs"/>
          <w:color w:val="auto"/>
          <w:szCs w:val="18"/>
          <w:rtl/>
        </w:rPr>
        <w:t>בהתאם</w:t>
      </w:r>
      <w:r w:rsidRPr="001844D2">
        <w:rPr>
          <w:rFonts w:ascii="David" w:hAnsi="David" w:hint="cs"/>
          <w:color w:val="auto"/>
          <w:szCs w:val="18"/>
        </w:rPr>
        <w:t xml:space="preserve"> </w:t>
      </w:r>
      <w:r w:rsidRPr="001844D2">
        <w:rPr>
          <w:rFonts w:ascii="David" w:hAnsi="David" w:hint="cs"/>
          <w:color w:val="auto"/>
          <w:szCs w:val="18"/>
          <w:rtl/>
        </w:rPr>
        <w:t xml:space="preserve">לקודיפיקציה סעיף 260-10-45-3, תאגיד בנקאי </w:t>
      </w:r>
      <w:r w:rsidRPr="001844D2">
        <w:rPr>
          <w:rFonts w:ascii="David" w:hAnsi="David"/>
          <w:color w:val="auto"/>
          <w:szCs w:val="18"/>
          <w:rtl/>
        </w:rPr>
        <w:t xml:space="preserve">המדווח על פעילות שהופסקה </w:t>
      </w:r>
      <w:r w:rsidRPr="001844D2">
        <w:rPr>
          <w:rFonts w:ascii="David" w:hAnsi="David" w:hint="cs"/>
          <w:color w:val="auto"/>
          <w:szCs w:val="18"/>
          <w:rtl/>
        </w:rPr>
        <w:t xml:space="preserve">נדרש </w:t>
      </w:r>
      <w:r w:rsidRPr="001844D2">
        <w:rPr>
          <w:rFonts w:ascii="David" w:hAnsi="David"/>
          <w:color w:val="auto"/>
          <w:szCs w:val="18"/>
          <w:rtl/>
        </w:rPr>
        <w:t>להציג סכומי רווח בסיסי ומדולל עבור פעילויות שהופסקו על פני דוח רווח והפסד או לגלות סכומים אלה בביאורים לדוחות הכספיים.</w:t>
      </w:r>
      <w:r w:rsidRPr="00EF186E">
        <w:rPr>
          <w:rFonts w:hint="cs"/>
          <w:sz w:val="20"/>
          <w:rtl/>
        </w:rPr>
        <w:t xml:space="preserve"> </w:t>
      </w:r>
    </w:p>
  </w:footnote>
  <w:footnote w:id="7">
    <w:p w14:paraId="255948B4" w14:textId="77777777" w:rsidR="004F0CDC" w:rsidRPr="00EF186E" w:rsidRDefault="004F0CDC" w:rsidP="00CE0F9D">
      <w:pPr>
        <w:pStyle w:val="a8"/>
        <w:tabs>
          <w:tab w:val="left" w:pos="217"/>
        </w:tabs>
        <w:spacing w:before="60"/>
        <w:ind w:left="217" w:hanging="181"/>
        <w:rPr>
          <w:color w:val="auto"/>
          <w:sz w:val="20"/>
          <w:rtl/>
        </w:rPr>
      </w:pPr>
      <w:r w:rsidRPr="00CE0F9D">
        <w:rPr>
          <w:rStyle w:val="a7"/>
          <w:rFonts w:ascii="David" w:hAnsi="David" w:cs="David"/>
          <w:sz w:val="18"/>
          <w:szCs w:val="18"/>
        </w:rPr>
        <w:footnoteRef/>
      </w:r>
      <w:r w:rsidRPr="00EF186E">
        <w:rPr>
          <w:color w:val="auto"/>
          <w:sz w:val="20"/>
          <w:rtl/>
        </w:rPr>
        <w:t xml:space="preserve"> </w:t>
      </w:r>
      <w:r w:rsidRPr="00EF186E">
        <w:rPr>
          <w:rFonts w:hint="cs"/>
          <w:color w:val="auto"/>
          <w:sz w:val="20"/>
          <w:rtl/>
        </w:rPr>
        <w:tab/>
      </w:r>
      <w:r w:rsidRPr="00CE0F9D">
        <w:rPr>
          <w:rFonts w:ascii="David" w:hAnsi="David"/>
          <w:color w:val="auto"/>
          <w:szCs w:val="18"/>
          <w:rtl/>
        </w:rPr>
        <w:t xml:space="preserve">אם </w:t>
      </w:r>
      <w:r w:rsidRPr="00CE0F9D">
        <w:rPr>
          <w:rFonts w:ascii="David" w:hAnsi="David" w:hint="cs"/>
          <w:color w:val="auto"/>
          <w:szCs w:val="18"/>
          <w:rtl/>
        </w:rPr>
        <w:t>הרווח הבסיסי למניה ו</w:t>
      </w:r>
      <w:r w:rsidRPr="00CE0F9D">
        <w:rPr>
          <w:rFonts w:ascii="David" w:hAnsi="David"/>
          <w:color w:val="auto"/>
          <w:szCs w:val="18"/>
          <w:rtl/>
        </w:rPr>
        <w:t>הרווח</w:t>
      </w:r>
      <w:r w:rsidRPr="00CE0F9D">
        <w:rPr>
          <w:rFonts w:ascii="David" w:hAnsi="David" w:hint="cs"/>
          <w:color w:val="auto"/>
          <w:szCs w:val="18"/>
          <w:rtl/>
        </w:rPr>
        <w:t xml:space="preserve"> המדולל למניה שווים בכל התקופות</w:t>
      </w:r>
      <w:r w:rsidRPr="00CE0F9D">
        <w:rPr>
          <w:rFonts w:ascii="David" w:hAnsi="David"/>
          <w:color w:val="auto"/>
          <w:szCs w:val="18"/>
          <w:rtl/>
        </w:rPr>
        <w:t>, ניתן להציג</w:t>
      </w:r>
      <w:r w:rsidRPr="00CE0F9D">
        <w:rPr>
          <w:rFonts w:ascii="David" w:hAnsi="David" w:hint="cs"/>
          <w:color w:val="auto"/>
          <w:szCs w:val="18"/>
          <w:rtl/>
        </w:rPr>
        <w:t>ם</w:t>
      </w:r>
      <w:r w:rsidRPr="00CE0F9D">
        <w:rPr>
          <w:rFonts w:ascii="David" w:hAnsi="David"/>
          <w:color w:val="auto"/>
          <w:szCs w:val="18"/>
          <w:rtl/>
        </w:rPr>
        <w:t xml:space="preserve"> בשורה אחת</w:t>
      </w:r>
      <w:r w:rsidRPr="00CE0F9D">
        <w:rPr>
          <w:rFonts w:ascii="David" w:hAnsi="David" w:hint="cs"/>
          <w:color w:val="auto"/>
          <w:szCs w:val="18"/>
          <w:rtl/>
        </w:rPr>
        <w:t>.</w:t>
      </w:r>
    </w:p>
  </w:footnote>
  <w:footnote w:id="8">
    <w:p w14:paraId="26C1C91E" w14:textId="3BEBEC30" w:rsidR="004F0CDC" w:rsidRPr="00EF186E" w:rsidRDefault="004F0CDC" w:rsidP="004F0CDC">
      <w:pPr>
        <w:pStyle w:val="a8"/>
        <w:tabs>
          <w:tab w:val="left" w:pos="217"/>
        </w:tabs>
        <w:spacing w:before="60"/>
        <w:ind w:left="217" w:hanging="181"/>
        <w:rPr>
          <w:rStyle w:val="a7"/>
          <w:noProof w:val="0"/>
          <w:color w:val="7030A0"/>
          <w:lang w:eastAsia="en-US"/>
        </w:rPr>
      </w:pPr>
      <w:r w:rsidRPr="004F0CDC">
        <w:rPr>
          <w:rStyle w:val="a7"/>
          <w:rFonts w:ascii="David" w:hAnsi="David" w:cs="David"/>
          <w:sz w:val="18"/>
          <w:szCs w:val="18"/>
        </w:rPr>
        <w:footnoteRef/>
      </w:r>
      <w:r w:rsidRPr="004F0CDC">
        <w:rPr>
          <w:rStyle w:val="a7"/>
          <w:rFonts w:ascii="David" w:hAnsi="David" w:cs="David"/>
          <w:rtl/>
        </w:rPr>
        <w:t xml:space="preserve"> </w:t>
      </w:r>
      <w:r w:rsidRPr="00EF186E">
        <w:rPr>
          <w:rStyle w:val="a7"/>
          <w:rtl/>
        </w:rPr>
        <w:tab/>
      </w:r>
      <w:r w:rsidRPr="004F0CDC">
        <w:rPr>
          <w:rFonts w:ascii="David" w:hAnsi="David" w:hint="cs"/>
          <w:color w:val="auto"/>
          <w:szCs w:val="18"/>
          <w:rtl/>
        </w:rPr>
        <w:t xml:space="preserve">כאשר נושא המשרה הבכיר ביותר בתחום הכספים לעניין הדוח הכספי מקיים את הוראת </w:t>
      </w:r>
      <w:r>
        <w:rPr>
          <w:rFonts w:ascii="David" w:hAnsi="David" w:hint="cs"/>
          <w:color w:val="auto"/>
          <w:szCs w:val="18"/>
          <w:rtl/>
        </w:rPr>
        <w:t>נב"ת</w:t>
      </w:r>
      <w:r w:rsidRPr="004F0CDC">
        <w:rPr>
          <w:rFonts w:ascii="David" w:hAnsi="David" w:hint="cs"/>
          <w:color w:val="auto"/>
          <w:szCs w:val="18"/>
          <w:rtl/>
        </w:rPr>
        <w:t xml:space="preserve"> מס' 305 "חשבונאי ראשי", יחתום החשבונאי הראשי ויצויין תוארו. בנוסף, כאשר המפקח על הבנקים קבע לתאגיד בנקאי הוראות מעבר ספציפיות לגבי יישום הוראה זו, התאגיד יפנה למפקח על הבנקים לקבלת הנחיות.</w:t>
      </w:r>
    </w:p>
  </w:footnote>
  <w:footnote w:id="9">
    <w:p w14:paraId="0E7CD427" w14:textId="366CF6B6" w:rsidR="00DA2072" w:rsidRPr="00880B6D" w:rsidRDefault="00DA2072" w:rsidP="00880B6D">
      <w:pPr>
        <w:pStyle w:val="a8"/>
        <w:spacing w:before="0"/>
        <w:ind w:left="198" w:hanging="184"/>
        <w:rPr>
          <w:rFonts w:ascii="David" w:hAnsi="David"/>
          <w:sz w:val="19"/>
          <w:szCs w:val="19"/>
          <w:rtl/>
        </w:rPr>
      </w:pPr>
      <w:r w:rsidRPr="00880B6D">
        <w:rPr>
          <w:rStyle w:val="a7"/>
          <w:rFonts w:ascii="David" w:hAnsi="David" w:cs="David"/>
          <w:sz w:val="19"/>
          <w:szCs w:val="19"/>
        </w:rPr>
        <w:footnoteRef/>
      </w:r>
      <w:r w:rsidRPr="00880B6D">
        <w:rPr>
          <w:rFonts w:ascii="David" w:hAnsi="David"/>
          <w:sz w:val="19"/>
          <w:szCs w:val="19"/>
          <w:rtl/>
        </w:rPr>
        <w:t xml:space="preserve"> </w:t>
      </w:r>
      <w:r w:rsidRPr="00880B6D">
        <w:rPr>
          <w:rFonts w:ascii="David" w:hAnsi="David"/>
          <w:sz w:val="19"/>
          <w:szCs w:val="19"/>
          <w:rtl/>
        </w:rPr>
        <w:tab/>
        <w:t>עבור התחייבות פיננסית שנבחרה לגביה חלופת השווי ההוגן, נדרש להציג בנפרד ברווח כולל אחר את החלק מסך השינוי בשווי ההוגן של ההתחייבות הנובע כתוצאה משינוי בסיכון האשראי הספציפי של המכשיר (סעיף</w:t>
      </w:r>
      <w:r w:rsidRPr="00880B6D">
        <w:rPr>
          <w:rFonts w:ascii="David" w:hAnsi="David"/>
          <w:sz w:val="19"/>
          <w:szCs w:val="19"/>
        </w:rPr>
        <w:t xml:space="preserve">220-10-45-10A(l) </w:t>
      </w:r>
      <w:r w:rsidRPr="00880B6D">
        <w:rPr>
          <w:rFonts w:ascii="David" w:hAnsi="David"/>
          <w:sz w:val="19"/>
          <w:szCs w:val="19"/>
          <w:rtl/>
        </w:rPr>
        <w:t xml:space="preserve"> לקודיפיקציה).</w:t>
      </w:r>
    </w:p>
  </w:footnote>
  <w:footnote w:id="10">
    <w:p w14:paraId="667A9991" w14:textId="6F62724D" w:rsidR="00DA2072" w:rsidRPr="00880B6D" w:rsidRDefault="00DA2072" w:rsidP="00880B6D">
      <w:pPr>
        <w:pStyle w:val="a8"/>
        <w:spacing w:before="0"/>
        <w:ind w:left="198" w:hanging="184"/>
        <w:rPr>
          <w:sz w:val="19"/>
          <w:szCs w:val="19"/>
          <w:rtl/>
        </w:rPr>
      </w:pPr>
      <w:r w:rsidRPr="00880B6D">
        <w:rPr>
          <w:rStyle w:val="a7"/>
          <w:sz w:val="19"/>
          <w:szCs w:val="19"/>
        </w:rPr>
        <w:footnoteRef/>
      </w:r>
      <w:r w:rsidRPr="00880B6D">
        <w:rPr>
          <w:sz w:val="19"/>
          <w:szCs w:val="19"/>
          <w:rtl/>
        </w:rPr>
        <w:t xml:space="preserve"> </w:t>
      </w:r>
      <w:r w:rsidRPr="00880B6D">
        <w:rPr>
          <w:sz w:val="19"/>
          <w:szCs w:val="19"/>
          <w:rtl/>
        </w:rPr>
        <w:tab/>
      </w:r>
      <w:r w:rsidRPr="00880B6D">
        <w:rPr>
          <w:rFonts w:ascii="David" w:eastAsia="Times New Roman" w:hAnsi="David"/>
          <w:noProof w:val="0"/>
          <w:color w:val="auto"/>
          <w:sz w:val="19"/>
          <w:szCs w:val="19"/>
          <w:rtl/>
          <w:lang w:eastAsia="en-US"/>
        </w:rPr>
        <w:t xml:space="preserve">בהתאם </w:t>
      </w:r>
      <w:r w:rsidRPr="00880B6D">
        <w:rPr>
          <w:rFonts w:ascii="David" w:eastAsia="Times New Roman" w:hAnsi="David" w:hint="cs"/>
          <w:noProof w:val="0"/>
          <w:color w:val="auto"/>
          <w:sz w:val="19"/>
          <w:szCs w:val="19"/>
          <w:rtl/>
          <w:lang w:eastAsia="en-US"/>
        </w:rPr>
        <w:t>להוראות</w:t>
      </w:r>
      <w:r w:rsidRPr="00880B6D">
        <w:rPr>
          <w:rFonts w:ascii="David" w:eastAsia="Times New Roman" w:hAnsi="David"/>
          <w:noProof w:val="0"/>
          <w:color w:val="auto"/>
          <w:sz w:val="19"/>
          <w:szCs w:val="19"/>
          <w:rtl/>
          <w:lang w:eastAsia="en-US"/>
        </w:rPr>
        <w:t xml:space="preserve"> מעבר לשנת </w:t>
      </w:r>
      <w:r w:rsidRPr="00880B6D">
        <w:rPr>
          <w:rFonts w:ascii="David" w:eastAsia="Times New Roman" w:hAnsi="David" w:hint="cs"/>
          <w:noProof w:val="0"/>
          <w:color w:val="auto"/>
          <w:sz w:val="19"/>
          <w:szCs w:val="19"/>
          <w:rtl/>
          <w:lang w:eastAsia="en-US"/>
        </w:rPr>
        <w:t>2023</w:t>
      </w:r>
      <w:r w:rsidRPr="00880B6D">
        <w:rPr>
          <w:rFonts w:ascii="David" w:eastAsia="Times New Roman" w:hAnsi="David"/>
          <w:noProof w:val="0"/>
          <w:color w:val="auto"/>
          <w:sz w:val="19"/>
          <w:szCs w:val="19"/>
          <w:rtl/>
          <w:lang w:eastAsia="en-US"/>
        </w:rPr>
        <w:t xml:space="preserve">, בתקופות מדווחות עד 1 בינואר </w:t>
      </w:r>
      <w:r w:rsidRPr="00880B6D">
        <w:rPr>
          <w:rFonts w:ascii="David" w:eastAsia="Times New Roman" w:hAnsi="David" w:hint="cs"/>
          <w:noProof w:val="0"/>
          <w:color w:val="auto"/>
          <w:sz w:val="19"/>
          <w:szCs w:val="19"/>
          <w:rtl/>
          <w:lang w:eastAsia="en-US"/>
        </w:rPr>
        <w:t>2025</w:t>
      </w:r>
      <w:r w:rsidRPr="00880B6D">
        <w:rPr>
          <w:rFonts w:ascii="David" w:eastAsia="Times New Roman" w:hAnsi="David"/>
          <w:noProof w:val="0"/>
          <w:color w:val="auto"/>
          <w:sz w:val="19"/>
          <w:szCs w:val="19"/>
          <w:rtl/>
          <w:lang w:eastAsia="en-US"/>
        </w:rPr>
        <w:t>, תאגיד בנקאי לא יכלול את הפרשי השער בגין אגרות חוב זמינות למכירה כחלק מההתאמות לשווי הוגן של אגרות חוב אלו, אלא ימשיך לטפל בהם כפי שנדרש בהוראות הדיווח לציבור לפני אימוץ נושא זה.</w:t>
      </w:r>
    </w:p>
  </w:footnote>
  <w:footnote w:id="11">
    <w:p w14:paraId="57B88259" w14:textId="144994B0" w:rsidR="00DA2072" w:rsidRPr="00880B6D" w:rsidRDefault="00DA2072" w:rsidP="00880B6D">
      <w:pPr>
        <w:pStyle w:val="a8"/>
        <w:spacing w:before="0"/>
        <w:rPr>
          <w:sz w:val="19"/>
          <w:szCs w:val="19"/>
          <w:rtl/>
        </w:rPr>
      </w:pPr>
      <w:r w:rsidRPr="00880B6D">
        <w:rPr>
          <w:rStyle w:val="a7"/>
          <w:sz w:val="19"/>
          <w:szCs w:val="19"/>
        </w:rPr>
        <w:footnoteRef/>
      </w:r>
      <w:r w:rsidRPr="00880B6D">
        <w:rPr>
          <w:sz w:val="19"/>
          <w:szCs w:val="19"/>
          <w:rtl/>
        </w:rPr>
        <w:t xml:space="preserve"> </w:t>
      </w:r>
      <w:r w:rsidRPr="00880B6D">
        <w:rPr>
          <w:sz w:val="19"/>
          <w:szCs w:val="19"/>
          <w:rtl/>
        </w:rPr>
        <w:tab/>
        <w:t xml:space="preserve">בהתאם לסעיף 815-35-35-1 לקודיפיקציה, יכללו מלא השינויים בשווי ההוגן של מכשיר נגזר שיועד לגידור השקעה נטו, לרבות החלק הלא אפקטיבי ביחסי הגידור, ברווח כולל אחר </w:t>
      </w:r>
      <w:r w:rsidRPr="00880B6D">
        <w:rPr>
          <w:rFonts w:hint="cs"/>
          <w:sz w:val="19"/>
          <w:szCs w:val="19"/>
          <w:rtl/>
        </w:rPr>
        <w:t>(</w:t>
      </w:r>
      <w:r w:rsidRPr="00880B6D">
        <w:rPr>
          <w:sz w:val="19"/>
          <w:szCs w:val="19"/>
          <w:rtl/>
        </w:rPr>
        <w:t>בסעיף התאמות מצטברות מתרגום</w:t>
      </w:r>
      <w:r w:rsidRPr="00880B6D">
        <w:rPr>
          <w:rFonts w:hint="cs"/>
          <w:sz w:val="19"/>
          <w:szCs w:val="19"/>
          <w:rtl/>
        </w:rPr>
        <w:t>)</w:t>
      </w:r>
      <w:r w:rsidRPr="00880B6D">
        <w:rPr>
          <w:sz w:val="19"/>
          <w:szCs w:val="19"/>
          <w:rtl/>
        </w:rPr>
        <w:t>.</w:t>
      </w:r>
    </w:p>
  </w:footnote>
  <w:footnote w:id="12">
    <w:p w14:paraId="3D7729BB" w14:textId="37A46C85" w:rsidR="00DA2072" w:rsidRPr="00880B6D" w:rsidRDefault="00DA2072" w:rsidP="00880B6D">
      <w:pPr>
        <w:pStyle w:val="a8"/>
        <w:spacing w:before="0"/>
        <w:ind w:left="198" w:hanging="184"/>
        <w:rPr>
          <w:sz w:val="19"/>
          <w:szCs w:val="19"/>
          <w:rtl/>
        </w:rPr>
      </w:pPr>
      <w:r w:rsidRPr="00880B6D">
        <w:rPr>
          <w:rStyle w:val="a7"/>
          <w:sz w:val="19"/>
          <w:szCs w:val="19"/>
        </w:rPr>
        <w:footnoteRef/>
      </w:r>
      <w:r w:rsidRPr="00880B6D">
        <w:rPr>
          <w:sz w:val="19"/>
          <w:szCs w:val="19"/>
          <w:rtl/>
        </w:rPr>
        <w:t xml:space="preserve"> </w:t>
      </w:r>
      <w:r w:rsidRPr="00880B6D">
        <w:rPr>
          <w:sz w:val="19"/>
          <w:szCs w:val="19"/>
          <w:rtl/>
        </w:rPr>
        <w:tab/>
      </w:r>
      <w:r w:rsidRPr="00880B6D">
        <w:rPr>
          <w:rFonts w:ascii="David" w:hAnsi="David"/>
          <w:sz w:val="19"/>
          <w:szCs w:val="19"/>
          <w:rtl/>
        </w:rPr>
        <w:t xml:space="preserve">בהתאם לסעיף </w:t>
      </w:r>
      <w:r w:rsidRPr="00880B6D">
        <w:rPr>
          <w:rFonts w:ascii="David" w:hAnsi="David"/>
          <w:sz w:val="19"/>
          <w:szCs w:val="19"/>
        </w:rPr>
        <w:t xml:space="preserve"> 815-20-35-1(c)</w:t>
      </w:r>
      <w:r w:rsidRPr="00880B6D">
        <w:rPr>
          <w:rFonts w:ascii="David" w:hAnsi="David"/>
          <w:sz w:val="19"/>
          <w:szCs w:val="19"/>
          <w:rtl/>
        </w:rPr>
        <w:t xml:space="preserve">לקודיפיקציה, מלא השינויים בשווי ההוגן של מכשיר נגזר שיועד לגידור תזרימי מזומנים, לרבות החלק הלא אפקטיבי ביחסי הגידור, </w:t>
      </w:r>
      <w:r w:rsidRPr="00880B6D">
        <w:rPr>
          <w:rFonts w:ascii="David" w:hAnsi="David" w:hint="cs"/>
          <w:sz w:val="19"/>
          <w:szCs w:val="19"/>
          <w:rtl/>
        </w:rPr>
        <w:t>יכללו ב</w:t>
      </w:r>
      <w:r w:rsidRPr="00880B6D">
        <w:rPr>
          <w:rFonts w:ascii="David" w:hAnsi="David"/>
          <w:sz w:val="19"/>
          <w:szCs w:val="19"/>
          <w:rtl/>
        </w:rPr>
        <w:t xml:space="preserve">רווח כולל אחר (סכומים אלו יסווגו מחדש לרווחים בתקופה בה העסקה החזויה המגודרת תשפיע על הרווחים).  </w:t>
      </w:r>
    </w:p>
  </w:footnote>
  <w:footnote w:id="13">
    <w:p w14:paraId="1F88C6CC" w14:textId="77777777" w:rsidR="00DA2072" w:rsidRPr="00880B6D" w:rsidRDefault="00DA2072" w:rsidP="00880B6D">
      <w:pPr>
        <w:pStyle w:val="a8"/>
        <w:spacing w:before="0"/>
        <w:ind w:left="198" w:hanging="184"/>
        <w:rPr>
          <w:sz w:val="19"/>
          <w:szCs w:val="19"/>
          <w:rtl/>
        </w:rPr>
      </w:pPr>
      <w:r w:rsidRPr="00880B6D">
        <w:rPr>
          <w:rStyle w:val="a7"/>
          <w:sz w:val="19"/>
          <w:szCs w:val="19"/>
        </w:rPr>
        <w:footnoteRef/>
      </w:r>
      <w:r w:rsidRPr="00880B6D">
        <w:rPr>
          <w:sz w:val="19"/>
          <w:szCs w:val="19"/>
          <w:rtl/>
        </w:rPr>
        <w:t xml:space="preserve"> </w:t>
      </w:r>
      <w:r w:rsidRPr="00880B6D">
        <w:rPr>
          <w:sz w:val="19"/>
          <w:szCs w:val="19"/>
          <w:rtl/>
        </w:rPr>
        <w:tab/>
      </w:r>
      <w:r w:rsidRPr="00880B6D">
        <w:rPr>
          <w:rFonts w:ascii="David" w:hAnsi="David"/>
          <w:sz w:val="19"/>
          <w:szCs w:val="19"/>
          <w:rtl/>
        </w:rPr>
        <w:t>אם התאגיד הבנקאי בחר לטפל במרכיבים שלא נכללו בהערכת אפקטיביות הגידור בהתאם לחלופה בסעיף</w:t>
      </w:r>
      <w:r w:rsidRPr="00880B6D">
        <w:rPr>
          <w:rFonts w:ascii="David" w:hAnsi="David" w:hint="cs"/>
          <w:sz w:val="19"/>
          <w:szCs w:val="19"/>
          <w:rtl/>
        </w:rPr>
        <w:t xml:space="preserve"> </w:t>
      </w:r>
      <w:r w:rsidRPr="00880B6D">
        <w:rPr>
          <w:rFonts w:ascii="David" w:hAnsi="David"/>
          <w:sz w:val="19"/>
          <w:szCs w:val="19"/>
        </w:rPr>
        <w:t>815-20-25-83A</w:t>
      </w:r>
      <w:r w:rsidRPr="00880B6D">
        <w:rPr>
          <w:rFonts w:ascii="David" w:hAnsi="David"/>
          <w:sz w:val="19"/>
          <w:szCs w:val="19"/>
          <w:rtl/>
        </w:rPr>
        <w:t xml:space="preserve"> (ועבור גידור השקעה נטו החלופה בסעיף</w:t>
      </w:r>
      <w:r w:rsidRPr="00880B6D">
        <w:rPr>
          <w:rFonts w:ascii="David" w:hAnsi="David"/>
          <w:sz w:val="19"/>
          <w:szCs w:val="19"/>
        </w:rPr>
        <w:t xml:space="preserve">(815-35-35-5A </w:t>
      </w:r>
      <w:r w:rsidRPr="00880B6D">
        <w:rPr>
          <w:rFonts w:ascii="David" w:hAnsi="David"/>
          <w:sz w:val="19"/>
          <w:szCs w:val="19"/>
          <w:rtl/>
        </w:rPr>
        <w:t xml:space="preserve"> בקודיפיקציה, אזי יוכר ברווח כולל אחר ההפרש בין השינויים בשווי ההוגן של המרכיבים שלא נכללו בהערכת אפקטיביות הגידור לבין סכומים שהוכרו ברווח והפסד (בגין הפחתה לרווח והפסד של הערך הראשוני של המרכיב שלא נכלל בהערכת אפקטיביות הגידור, לאורך חיי המכשיר המגדר).</w:t>
      </w:r>
    </w:p>
    <w:p w14:paraId="5D3F4E1C" w14:textId="77777777" w:rsidR="00DA2072" w:rsidRPr="00C77259" w:rsidRDefault="00DA2072" w:rsidP="00EA192D">
      <w:pPr>
        <w:pStyle w:val="a8"/>
        <w:ind w:left="127" w:hanging="180"/>
        <w:rPr>
          <w:rtl/>
        </w:rPr>
      </w:pPr>
    </w:p>
  </w:footnote>
  <w:footnote w:id="14">
    <w:p w14:paraId="5E1D63C0" w14:textId="77777777" w:rsidR="00553945" w:rsidRPr="00DA68A5" w:rsidRDefault="00553945" w:rsidP="00F34E56">
      <w:pPr>
        <w:pStyle w:val="a8"/>
        <w:rPr>
          <w:color w:val="FF0000"/>
        </w:rPr>
      </w:pPr>
      <w:r w:rsidRPr="00852681">
        <w:rPr>
          <w:rStyle w:val="a7"/>
          <w:color w:val="7030A0"/>
          <w:szCs w:val="22"/>
        </w:rPr>
        <w:footnoteRef/>
      </w:r>
      <w:r w:rsidRPr="00852681">
        <w:rPr>
          <w:rFonts w:hint="cs"/>
          <w:color w:val="7030A0"/>
          <w:rtl/>
        </w:rPr>
        <w:t xml:space="preserve"> </w:t>
      </w:r>
      <w:r w:rsidRPr="00852681">
        <w:rPr>
          <w:rFonts w:hint="cs"/>
          <w:color w:val="7030A0"/>
          <w:rtl/>
        </w:rPr>
        <w:tab/>
      </w:r>
      <w:r w:rsidRPr="00BC2F81">
        <w:rPr>
          <w:rFonts w:hint="cs"/>
          <w:rtl/>
        </w:rPr>
        <w:t xml:space="preserve">בהתאם לקודיפיקציה סעיף 205-20-45-10, </w:t>
      </w:r>
      <w:r w:rsidRPr="00BC2F81">
        <w:rPr>
          <w:rtl/>
        </w:rPr>
        <w:t>בתקופ</w:t>
      </w:r>
      <w:r w:rsidRPr="00BC2F81">
        <w:rPr>
          <w:rFonts w:hint="cs"/>
          <w:rtl/>
        </w:rPr>
        <w:t>ות</w:t>
      </w:r>
      <w:r w:rsidRPr="00BC2F81">
        <w:rPr>
          <w:rtl/>
        </w:rPr>
        <w:t xml:space="preserve"> שבה</w:t>
      </w:r>
      <w:r w:rsidRPr="00BC2F81">
        <w:rPr>
          <w:rFonts w:hint="cs"/>
          <w:rtl/>
        </w:rPr>
        <w:t>ן</w:t>
      </w:r>
      <w:r w:rsidRPr="00BC2F81">
        <w:rPr>
          <w:rtl/>
        </w:rPr>
        <w:t xml:space="preserve"> </w:t>
      </w:r>
      <w:r w:rsidRPr="00BC2F81">
        <w:rPr>
          <w:rFonts w:hint="cs"/>
          <w:rtl/>
        </w:rPr>
        <w:t xml:space="preserve">פעילות שהופסקה מסווגת </w:t>
      </w:r>
      <w:r w:rsidRPr="00BC2F81">
        <w:rPr>
          <w:rtl/>
        </w:rPr>
        <w:t xml:space="preserve">כמוחזקת למכירה </w:t>
      </w:r>
      <w:r w:rsidRPr="00BC2F81">
        <w:rPr>
          <w:rFonts w:hint="cs"/>
          <w:rtl/>
        </w:rPr>
        <w:t>(ובגין כל</w:t>
      </w:r>
      <w:r w:rsidRPr="00BC2F81">
        <w:rPr>
          <w:rtl/>
        </w:rPr>
        <w:t xml:space="preserve"> התקופות הקודמות המוצגות</w:t>
      </w:r>
      <w:r w:rsidRPr="00BC2F81">
        <w:rPr>
          <w:rFonts w:hint="cs"/>
          <w:rtl/>
        </w:rPr>
        <w:t xml:space="preserve"> בדוח)</w:t>
      </w:r>
      <w:r w:rsidRPr="00BC2F81">
        <w:rPr>
          <w:rtl/>
        </w:rPr>
        <w:t xml:space="preserve"> הנכסים </w:t>
      </w:r>
      <w:r w:rsidRPr="00BC2F81">
        <w:rPr>
          <w:rFonts w:hint="cs"/>
          <w:rtl/>
        </w:rPr>
        <w:t xml:space="preserve">וההתחייבויות </w:t>
      </w:r>
      <w:r w:rsidRPr="00BC2F81">
        <w:rPr>
          <w:rtl/>
        </w:rPr>
        <w:t>של הפעילות המופסקת יוצגו בנפרד</w:t>
      </w:r>
      <w:r w:rsidRPr="00BC2F81">
        <w:rPr>
          <w:rFonts w:hint="cs"/>
        </w:rPr>
        <w:t xml:space="preserve"> </w:t>
      </w:r>
      <w:r w:rsidRPr="00BC2F81">
        <w:rPr>
          <w:rFonts w:hint="cs"/>
          <w:rtl/>
        </w:rPr>
        <w:t>ב</w:t>
      </w:r>
      <w:r w:rsidRPr="00BC2F81">
        <w:rPr>
          <w:rtl/>
        </w:rPr>
        <w:t>דוח על המצב הכספי</w:t>
      </w:r>
      <w:r w:rsidRPr="00BC2F81">
        <w:rPr>
          <w:rFonts w:hint="cs"/>
          <w:rtl/>
        </w:rPr>
        <w:t xml:space="preserve">. </w:t>
      </w:r>
    </w:p>
  </w:footnote>
  <w:footnote w:id="15">
    <w:p w14:paraId="2888A893" w14:textId="5FA91E10" w:rsidR="00553945" w:rsidRDefault="00553945" w:rsidP="00EA192D">
      <w:pPr>
        <w:pStyle w:val="a8"/>
        <w:rPr>
          <w:color w:val="7030A0"/>
          <w:rtl/>
        </w:rPr>
      </w:pPr>
      <w:r w:rsidRPr="00BC2F81">
        <w:rPr>
          <w:rStyle w:val="a7"/>
          <w:color w:val="000000"/>
          <w:szCs w:val="22"/>
        </w:rPr>
        <w:footnoteRef/>
      </w:r>
      <w:r w:rsidRPr="00BC2F81">
        <w:rPr>
          <w:rFonts w:hint="cs"/>
          <w:rtl/>
        </w:rPr>
        <w:t xml:space="preserve"> </w:t>
      </w:r>
      <w:r w:rsidRPr="00852681">
        <w:rPr>
          <w:rFonts w:hint="cs"/>
          <w:color w:val="7030A0"/>
          <w:rtl/>
        </w:rPr>
        <w:tab/>
      </w:r>
      <w:r w:rsidRPr="00BC2F81">
        <w:rPr>
          <w:rtl/>
        </w:rPr>
        <w:t xml:space="preserve">בהתאם </w:t>
      </w:r>
      <w:r w:rsidRPr="00BC2F81">
        <w:rPr>
          <w:rFonts w:hint="cs"/>
          <w:rtl/>
        </w:rPr>
        <w:t>לקודיפיקציה סעיף 360-10-45-14</w:t>
      </w:r>
      <w:r w:rsidRPr="00BC2F81">
        <w:rPr>
          <w:rtl/>
        </w:rPr>
        <w:t>, אין לקזז בין הנכסים לבין ההתחייבויות של קבוצת מימוש</w:t>
      </w:r>
      <w:r w:rsidRPr="00BC2F81">
        <w:rPr>
          <w:rFonts w:hint="cs"/>
          <w:rtl/>
        </w:rPr>
        <w:t xml:space="preserve"> המסווגת</w:t>
      </w:r>
      <w:r w:rsidRPr="00BC2F81">
        <w:rPr>
          <w:rtl/>
        </w:rPr>
        <w:t xml:space="preserve"> </w:t>
      </w:r>
      <w:r w:rsidRPr="00BC2F81">
        <w:rPr>
          <w:rFonts w:hint="cs"/>
          <w:rtl/>
        </w:rPr>
        <w:t>כ</w:t>
      </w:r>
      <w:r w:rsidRPr="00BC2F81">
        <w:rPr>
          <w:rtl/>
        </w:rPr>
        <w:t xml:space="preserve">מוחזקת למכירה. </w:t>
      </w:r>
    </w:p>
    <w:p w14:paraId="75F346C4" w14:textId="77777777" w:rsidR="00AC2E75" w:rsidRPr="00852681" w:rsidRDefault="00AC2E75" w:rsidP="00EA192D">
      <w:pPr>
        <w:pStyle w:val="a8"/>
        <w:rPr>
          <w:color w:val="7030A0"/>
        </w:rPr>
      </w:pPr>
    </w:p>
  </w:footnote>
  <w:footnote w:id="16">
    <w:p w14:paraId="207E5537" w14:textId="77777777" w:rsidR="005B1098" w:rsidRPr="00110BEA" w:rsidRDefault="005B1098" w:rsidP="00EA192D">
      <w:pPr>
        <w:pStyle w:val="a8"/>
        <w:rPr>
          <w:rStyle w:val="a7"/>
          <w:noProof w:val="0"/>
          <w:color w:val="7030A0"/>
          <w:szCs w:val="18"/>
          <w:rtl/>
          <w:lang w:eastAsia="en-US"/>
        </w:rPr>
      </w:pPr>
      <w:r w:rsidRPr="00852681">
        <w:rPr>
          <w:rStyle w:val="a7"/>
          <w:color w:val="7030A0"/>
        </w:rPr>
        <w:footnoteRef/>
      </w:r>
      <w:r w:rsidRPr="00852681">
        <w:rPr>
          <w:rStyle w:val="a7"/>
          <w:color w:val="7030A0"/>
          <w:rtl/>
        </w:rPr>
        <w:t xml:space="preserve"> </w:t>
      </w:r>
      <w:r w:rsidRPr="00852681">
        <w:rPr>
          <w:rStyle w:val="a7"/>
          <w:color w:val="7030A0"/>
          <w:rtl/>
        </w:rPr>
        <w:tab/>
      </w:r>
      <w:r w:rsidRPr="00BC2F81">
        <w:rPr>
          <w:rFonts w:hint="cs"/>
          <w:rtl/>
        </w:rPr>
        <w:t xml:space="preserve">בהתאם לקודיפיקציה סעיף 205-20-45-10, </w:t>
      </w:r>
      <w:r w:rsidRPr="00BC2F81">
        <w:rPr>
          <w:rtl/>
        </w:rPr>
        <w:t>בתקופ</w:t>
      </w:r>
      <w:r w:rsidRPr="00BC2F81">
        <w:rPr>
          <w:rFonts w:hint="cs"/>
          <w:rtl/>
        </w:rPr>
        <w:t>ות</w:t>
      </w:r>
      <w:r w:rsidRPr="00BC2F81">
        <w:rPr>
          <w:rtl/>
        </w:rPr>
        <w:t xml:space="preserve"> שבה</w:t>
      </w:r>
      <w:r w:rsidRPr="00BC2F81">
        <w:rPr>
          <w:rFonts w:hint="cs"/>
          <w:rtl/>
        </w:rPr>
        <w:t>ן</w:t>
      </w:r>
      <w:r w:rsidRPr="00BC2F81">
        <w:rPr>
          <w:rtl/>
        </w:rPr>
        <w:t xml:space="preserve"> </w:t>
      </w:r>
      <w:r w:rsidRPr="00BC2F81">
        <w:rPr>
          <w:rFonts w:hint="cs"/>
          <w:rtl/>
        </w:rPr>
        <w:t xml:space="preserve">פעילות שהופסקה מסווגת </w:t>
      </w:r>
      <w:r w:rsidRPr="00BC2F81">
        <w:rPr>
          <w:rtl/>
        </w:rPr>
        <w:t xml:space="preserve">כמוחזקת למכירה </w:t>
      </w:r>
      <w:r w:rsidRPr="00BC2F81">
        <w:rPr>
          <w:rFonts w:hint="cs"/>
          <w:rtl/>
        </w:rPr>
        <w:t>(ובגין כל</w:t>
      </w:r>
      <w:r w:rsidRPr="00BC2F81">
        <w:rPr>
          <w:rtl/>
        </w:rPr>
        <w:t xml:space="preserve"> התקופות הקודמות המוצגות</w:t>
      </w:r>
      <w:r w:rsidRPr="00BC2F81">
        <w:rPr>
          <w:rFonts w:hint="cs"/>
          <w:rtl/>
        </w:rPr>
        <w:t xml:space="preserve"> בדוח)</w:t>
      </w:r>
      <w:r w:rsidRPr="00BC2F81">
        <w:rPr>
          <w:rtl/>
        </w:rPr>
        <w:t xml:space="preserve"> הנכסים </w:t>
      </w:r>
      <w:r w:rsidRPr="00BC2F81">
        <w:rPr>
          <w:rFonts w:hint="cs"/>
          <w:rtl/>
        </w:rPr>
        <w:t xml:space="preserve">וההתחייבויות </w:t>
      </w:r>
      <w:r w:rsidRPr="00BC2F81">
        <w:rPr>
          <w:rtl/>
        </w:rPr>
        <w:t>של הפעילות המופסקת יוצגו בנפרד</w:t>
      </w:r>
      <w:r w:rsidRPr="00BC2F81">
        <w:rPr>
          <w:rFonts w:hint="cs"/>
        </w:rPr>
        <w:t xml:space="preserve"> </w:t>
      </w:r>
      <w:r w:rsidRPr="00BC2F81">
        <w:rPr>
          <w:rFonts w:hint="cs"/>
          <w:rtl/>
        </w:rPr>
        <w:t>ב</w:t>
      </w:r>
      <w:r w:rsidRPr="00BC2F81">
        <w:rPr>
          <w:rtl/>
        </w:rPr>
        <w:t>דוח על המצב הכספי</w:t>
      </w:r>
      <w:r w:rsidRPr="00BC2F81">
        <w:rPr>
          <w:rFonts w:hint="cs"/>
          <w:rtl/>
        </w:rPr>
        <w:t>.</w:t>
      </w:r>
    </w:p>
  </w:footnote>
  <w:footnote w:id="17">
    <w:p w14:paraId="2997E989" w14:textId="10506FDB" w:rsidR="00553945" w:rsidRDefault="00553945" w:rsidP="00EA192D">
      <w:pPr>
        <w:pStyle w:val="a8"/>
        <w:rPr>
          <w:color w:val="1F497D"/>
          <w:rtl/>
        </w:rPr>
      </w:pPr>
      <w:r w:rsidRPr="00852681">
        <w:rPr>
          <w:rStyle w:val="a7"/>
          <w:color w:val="7030A0"/>
        </w:rPr>
        <w:footnoteRef/>
      </w:r>
      <w:r w:rsidRPr="00852681">
        <w:rPr>
          <w:color w:val="7030A0"/>
          <w:rtl/>
        </w:rPr>
        <w:t xml:space="preserve"> </w:t>
      </w:r>
      <w:r w:rsidRPr="00852681">
        <w:rPr>
          <w:color w:val="7030A0"/>
          <w:rtl/>
        </w:rPr>
        <w:tab/>
      </w:r>
      <w:r w:rsidRPr="00BC2F81">
        <w:rPr>
          <w:rtl/>
        </w:rPr>
        <w:t xml:space="preserve">בהתאם </w:t>
      </w:r>
      <w:r w:rsidRPr="00BC2F81">
        <w:rPr>
          <w:rFonts w:hint="cs"/>
          <w:rtl/>
        </w:rPr>
        <w:t>לקודיפיקציה סעיף 360-10-45-14,</w:t>
      </w:r>
      <w:r w:rsidRPr="00BC2F81">
        <w:rPr>
          <w:rtl/>
        </w:rPr>
        <w:t xml:space="preserve"> </w:t>
      </w:r>
      <w:r w:rsidRPr="00BC2F81">
        <w:rPr>
          <w:rFonts w:hint="eastAsia"/>
          <w:rtl/>
        </w:rPr>
        <w:t>אין</w:t>
      </w:r>
      <w:r w:rsidRPr="00BC2F81">
        <w:rPr>
          <w:rtl/>
        </w:rPr>
        <w:t xml:space="preserve"> </w:t>
      </w:r>
      <w:r w:rsidRPr="00BC2F81">
        <w:rPr>
          <w:rFonts w:hint="eastAsia"/>
          <w:rtl/>
        </w:rPr>
        <w:t>לקזז</w:t>
      </w:r>
      <w:r w:rsidRPr="00BC2F81">
        <w:rPr>
          <w:rtl/>
        </w:rPr>
        <w:t xml:space="preserve"> </w:t>
      </w:r>
      <w:r w:rsidRPr="00BC2F81">
        <w:rPr>
          <w:rFonts w:hint="eastAsia"/>
          <w:rtl/>
        </w:rPr>
        <w:t>בין</w:t>
      </w:r>
      <w:r w:rsidRPr="00BC2F81">
        <w:rPr>
          <w:rtl/>
        </w:rPr>
        <w:t xml:space="preserve"> </w:t>
      </w:r>
      <w:r w:rsidRPr="00BC2F81">
        <w:rPr>
          <w:rFonts w:hint="eastAsia"/>
          <w:rtl/>
        </w:rPr>
        <w:t>הנכסים</w:t>
      </w:r>
      <w:r w:rsidRPr="00BC2F81">
        <w:rPr>
          <w:rtl/>
        </w:rPr>
        <w:t xml:space="preserve"> </w:t>
      </w:r>
      <w:r w:rsidRPr="00BC2F81">
        <w:rPr>
          <w:rFonts w:hint="eastAsia"/>
          <w:rtl/>
        </w:rPr>
        <w:t>לבין</w:t>
      </w:r>
      <w:r w:rsidRPr="00BC2F81">
        <w:rPr>
          <w:rtl/>
        </w:rPr>
        <w:t xml:space="preserve"> </w:t>
      </w:r>
      <w:r w:rsidRPr="00BC2F81">
        <w:rPr>
          <w:rFonts w:hint="eastAsia"/>
          <w:rtl/>
        </w:rPr>
        <w:t>ההתחייבויות</w:t>
      </w:r>
      <w:r w:rsidRPr="00BC2F81">
        <w:rPr>
          <w:rtl/>
        </w:rPr>
        <w:t xml:space="preserve"> </w:t>
      </w:r>
      <w:r w:rsidRPr="00BC2F81">
        <w:rPr>
          <w:rFonts w:hint="eastAsia"/>
          <w:rtl/>
        </w:rPr>
        <w:t>של</w:t>
      </w:r>
      <w:r w:rsidRPr="00BC2F81">
        <w:rPr>
          <w:rtl/>
        </w:rPr>
        <w:t xml:space="preserve"> </w:t>
      </w:r>
      <w:r w:rsidRPr="00BC2F81">
        <w:rPr>
          <w:rFonts w:hint="eastAsia"/>
          <w:rtl/>
        </w:rPr>
        <w:t>קבוצת</w:t>
      </w:r>
      <w:r w:rsidRPr="00BC2F81">
        <w:rPr>
          <w:rtl/>
        </w:rPr>
        <w:t xml:space="preserve"> </w:t>
      </w:r>
      <w:r w:rsidRPr="00BC2F81">
        <w:rPr>
          <w:rFonts w:hint="eastAsia"/>
          <w:rtl/>
        </w:rPr>
        <w:t>מימוש</w:t>
      </w:r>
      <w:r w:rsidRPr="00BC2F81">
        <w:rPr>
          <w:rtl/>
        </w:rPr>
        <w:t xml:space="preserve"> </w:t>
      </w:r>
      <w:r w:rsidRPr="00BC2F81">
        <w:rPr>
          <w:rFonts w:hint="eastAsia"/>
          <w:rtl/>
        </w:rPr>
        <w:t>המסווגת</w:t>
      </w:r>
      <w:r w:rsidRPr="00BC2F81">
        <w:rPr>
          <w:rtl/>
        </w:rPr>
        <w:t xml:space="preserve"> </w:t>
      </w:r>
      <w:r w:rsidRPr="00BC2F81">
        <w:rPr>
          <w:rFonts w:hint="eastAsia"/>
          <w:rtl/>
        </w:rPr>
        <w:t>כמוחזקת</w:t>
      </w:r>
      <w:r w:rsidRPr="00BC2F81">
        <w:rPr>
          <w:rtl/>
        </w:rPr>
        <w:t xml:space="preserve"> </w:t>
      </w:r>
      <w:r w:rsidRPr="00BC2F81">
        <w:rPr>
          <w:rFonts w:hint="eastAsia"/>
          <w:rtl/>
        </w:rPr>
        <w:t>למכירה</w:t>
      </w:r>
      <w:r w:rsidRPr="00BC2F81">
        <w:rPr>
          <w:rtl/>
        </w:rPr>
        <w:t>.</w:t>
      </w:r>
    </w:p>
    <w:p w14:paraId="78DFD9D4" w14:textId="77777777" w:rsidR="00381E05" w:rsidRPr="00BC2F81" w:rsidRDefault="00381E05" w:rsidP="00EA192D">
      <w:pPr>
        <w:pStyle w:val="a8"/>
        <w:rPr>
          <w:color w:val="1F497D"/>
          <w:rtl/>
        </w:rPr>
      </w:pPr>
    </w:p>
  </w:footnote>
  <w:footnote w:id="18">
    <w:p w14:paraId="43E6FC58" w14:textId="77777777" w:rsidR="00553945" w:rsidRPr="00E04041" w:rsidRDefault="00553945" w:rsidP="00224C40">
      <w:pPr>
        <w:pStyle w:val="a8"/>
        <w:rPr>
          <w:sz w:val="20"/>
          <w:rtl/>
        </w:rPr>
      </w:pPr>
      <w:r w:rsidRPr="00414185">
        <w:rPr>
          <w:rStyle w:val="a7"/>
        </w:rPr>
        <w:footnoteRef/>
      </w:r>
      <w:r w:rsidRPr="00414185">
        <w:rPr>
          <w:color w:val="auto"/>
          <w:sz w:val="20"/>
          <w:rtl/>
        </w:rPr>
        <w:t xml:space="preserve"> </w:t>
      </w:r>
      <w:r w:rsidRPr="00414185">
        <w:rPr>
          <w:color w:val="auto"/>
          <w:sz w:val="20"/>
          <w:rtl/>
        </w:rPr>
        <w:tab/>
      </w:r>
      <w:r w:rsidRPr="00E04041">
        <w:rPr>
          <w:rFonts w:hint="cs"/>
          <w:color w:val="auto"/>
          <w:sz w:val="20"/>
          <w:rtl/>
        </w:rPr>
        <w:t>לדוגמה, קרנות הון מעסקאות עם בעל שליטה, תקבולים על חשבון כתבי אופציה, רכיב הוני של אגרות חוב הניתנות להמרה וכדומה.</w:t>
      </w:r>
    </w:p>
  </w:footnote>
  <w:footnote w:id="19">
    <w:p w14:paraId="2CCF3E57" w14:textId="77777777" w:rsidR="00553945" w:rsidRDefault="00553945" w:rsidP="00955621">
      <w:pPr>
        <w:pStyle w:val="a8"/>
        <w:rPr>
          <w:sz w:val="20"/>
          <w:rtl/>
        </w:rPr>
      </w:pPr>
      <w:r w:rsidRPr="00E04041">
        <w:rPr>
          <w:rStyle w:val="a7"/>
        </w:rPr>
        <w:footnoteRef/>
      </w:r>
      <w:r w:rsidRPr="00E04041">
        <w:rPr>
          <w:sz w:val="20"/>
          <w:rtl/>
        </w:rPr>
        <w:t xml:space="preserve"> </w:t>
      </w:r>
      <w:r w:rsidRPr="00E04041">
        <w:rPr>
          <w:sz w:val="20"/>
          <w:rtl/>
        </w:rPr>
        <w:tab/>
      </w:r>
      <w:r w:rsidRPr="00E04041">
        <w:rPr>
          <w:rFonts w:hint="eastAsia"/>
          <w:sz w:val="20"/>
          <w:rtl/>
        </w:rPr>
        <w:t>בהתאם</w:t>
      </w:r>
      <w:r w:rsidRPr="00E04041">
        <w:rPr>
          <w:sz w:val="20"/>
          <w:rtl/>
        </w:rPr>
        <w:t xml:space="preserve"> לקודיפיקציה סעיף 810-10-45-23, שינויים בזכויות הבעלות של התאגיד הבנקאי </w:t>
      </w:r>
      <w:r w:rsidRPr="00E04041">
        <w:rPr>
          <w:rFonts w:hint="eastAsia"/>
          <w:sz w:val="20"/>
          <w:rtl/>
        </w:rPr>
        <w:t>בחברה</w:t>
      </w:r>
      <w:r w:rsidRPr="00E04041">
        <w:rPr>
          <w:sz w:val="20"/>
          <w:rtl/>
        </w:rPr>
        <w:t xml:space="preserve"> </w:t>
      </w:r>
      <w:r w:rsidRPr="00E04041">
        <w:rPr>
          <w:rFonts w:hint="eastAsia"/>
          <w:sz w:val="20"/>
          <w:rtl/>
        </w:rPr>
        <w:t>בת</w:t>
      </w:r>
      <w:r w:rsidRPr="00E04041">
        <w:rPr>
          <w:sz w:val="20"/>
          <w:rtl/>
        </w:rPr>
        <w:t xml:space="preserve">, </w:t>
      </w:r>
      <w:r w:rsidRPr="00E04041">
        <w:rPr>
          <w:rFonts w:hint="eastAsia"/>
          <w:sz w:val="20"/>
          <w:rtl/>
        </w:rPr>
        <w:t>תוך</w:t>
      </w:r>
      <w:r w:rsidRPr="00E04041">
        <w:rPr>
          <w:sz w:val="20"/>
          <w:rtl/>
        </w:rPr>
        <w:t xml:space="preserve"> </w:t>
      </w:r>
      <w:r w:rsidRPr="00E04041">
        <w:rPr>
          <w:rFonts w:hint="eastAsia"/>
          <w:sz w:val="20"/>
          <w:rtl/>
        </w:rPr>
        <w:t>שימור</w:t>
      </w:r>
      <w:r w:rsidRPr="00E04041">
        <w:rPr>
          <w:sz w:val="20"/>
          <w:rtl/>
        </w:rPr>
        <w:t xml:space="preserve"> </w:t>
      </w:r>
      <w:r w:rsidRPr="00E04041">
        <w:rPr>
          <w:rFonts w:hint="eastAsia"/>
          <w:sz w:val="20"/>
          <w:rtl/>
        </w:rPr>
        <w:t>שליטה</w:t>
      </w:r>
      <w:r w:rsidRPr="00E04041">
        <w:rPr>
          <w:sz w:val="20"/>
          <w:rtl/>
        </w:rPr>
        <w:t xml:space="preserve">, מטופלים כעסקאות הוניות. בהתאם לקודיפיקציה סעיף </w:t>
      </w:r>
      <w:r w:rsidRPr="00E04041">
        <w:rPr>
          <w:sz w:val="20"/>
        </w:rPr>
        <w:t>B</w:t>
      </w:r>
      <w:r w:rsidRPr="00E04041">
        <w:rPr>
          <w:sz w:val="20"/>
          <w:rtl/>
        </w:rPr>
        <w:t xml:space="preserve">810-10-55-4, </w:t>
      </w:r>
      <w:r w:rsidRPr="00E04041">
        <w:rPr>
          <w:rFonts w:hint="eastAsia"/>
          <w:sz w:val="20"/>
          <w:rtl/>
        </w:rPr>
        <w:t>ההפרש</w:t>
      </w:r>
      <w:r w:rsidRPr="00E04041">
        <w:rPr>
          <w:sz w:val="20"/>
          <w:rtl/>
        </w:rPr>
        <w:t xml:space="preserve"> </w:t>
      </w:r>
      <w:r w:rsidRPr="00E04041">
        <w:rPr>
          <w:rFonts w:hint="eastAsia"/>
          <w:sz w:val="20"/>
          <w:rtl/>
        </w:rPr>
        <w:t>בין</w:t>
      </w:r>
      <w:r w:rsidRPr="00E04041">
        <w:rPr>
          <w:sz w:val="20"/>
          <w:rtl/>
        </w:rPr>
        <w:t xml:space="preserve"> </w:t>
      </w:r>
      <w:r w:rsidRPr="00E04041">
        <w:rPr>
          <w:rFonts w:hint="eastAsia"/>
          <w:sz w:val="20"/>
          <w:rtl/>
        </w:rPr>
        <w:t>התמורה</w:t>
      </w:r>
      <w:r w:rsidRPr="00E04041">
        <w:rPr>
          <w:sz w:val="20"/>
          <w:rtl/>
        </w:rPr>
        <w:t xml:space="preserve"> </w:t>
      </w:r>
      <w:r w:rsidRPr="00E04041">
        <w:rPr>
          <w:rFonts w:hint="eastAsia"/>
          <w:sz w:val="20"/>
          <w:rtl/>
        </w:rPr>
        <w:t>ששולמה</w:t>
      </w:r>
      <w:r w:rsidRPr="00E04041">
        <w:rPr>
          <w:sz w:val="20"/>
          <w:rtl/>
        </w:rPr>
        <w:t xml:space="preserve"> </w:t>
      </w:r>
      <w:r w:rsidRPr="00E04041">
        <w:rPr>
          <w:rFonts w:hint="eastAsia"/>
          <w:sz w:val="20"/>
          <w:rtl/>
        </w:rPr>
        <w:t>או</w:t>
      </w:r>
      <w:r w:rsidRPr="00E04041">
        <w:rPr>
          <w:sz w:val="20"/>
          <w:rtl/>
        </w:rPr>
        <w:t xml:space="preserve"> </w:t>
      </w:r>
      <w:r w:rsidRPr="00E04041">
        <w:rPr>
          <w:rFonts w:hint="eastAsia"/>
          <w:sz w:val="20"/>
          <w:rtl/>
        </w:rPr>
        <w:t>שהתקבלה</w:t>
      </w:r>
      <w:r w:rsidRPr="00E04041">
        <w:rPr>
          <w:sz w:val="20"/>
          <w:rtl/>
        </w:rPr>
        <w:t xml:space="preserve"> </w:t>
      </w:r>
      <w:r w:rsidRPr="00E04041">
        <w:rPr>
          <w:rFonts w:hint="eastAsia"/>
          <w:sz w:val="20"/>
          <w:rtl/>
        </w:rPr>
        <w:t>לבין</w:t>
      </w:r>
      <w:r w:rsidRPr="00E04041">
        <w:rPr>
          <w:sz w:val="20"/>
          <w:rtl/>
        </w:rPr>
        <w:t xml:space="preserve"> </w:t>
      </w:r>
      <w:r w:rsidRPr="00E04041">
        <w:rPr>
          <w:rFonts w:hint="eastAsia"/>
          <w:sz w:val="20"/>
          <w:rtl/>
        </w:rPr>
        <w:t>הסכום</w:t>
      </w:r>
      <w:r w:rsidRPr="00E04041">
        <w:rPr>
          <w:sz w:val="20"/>
          <w:rtl/>
        </w:rPr>
        <w:t xml:space="preserve"> </w:t>
      </w:r>
      <w:r w:rsidRPr="00E04041">
        <w:rPr>
          <w:rFonts w:hint="eastAsia"/>
          <w:sz w:val="20"/>
          <w:rtl/>
        </w:rPr>
        <w:t>שבו</w:t>
      </w:r>
      <w:r w:rsidRPr="00E04041">
        <w:rPr>
          <w:sz w:val="20"/>
          <w:rtl/>
        </w:rPr>
        <w:t xml:space="preserve"> </w:t>
      </w:r>
      <w:r w:rsidRPr="00E04041">
        <w:rPr>
          <w:rFonts w:hint="eastAsia"/>
          <w:sz w:val="20"/>
          <w:rtl/>
        </w:rPr>
        <w:t>מתואמות</w:t>
      </w:r>
      <w:r w:rsidRPr="00E04041">
        <w:rPr>
          <w:sz w:val="20"/>
          <w:rtl/>
        </w:rPr>
        <w:t xml:space="preserve"> </w:t>
      </w:r>
      <w:r w:rsidRPr="00E04041">
        <w:rPr>
          <w:rFonts w:hint="eastAsia"/>
          <w:sz w:val="20"/>
          <w:rtl/>
        </w:rPr>
        <w:t>הזכויות</w:t>
      </w:r>
      <w:r w:rsidRPr="00E04041">
        <w:rPr>
          <w:sz w:val="20"/>
          <w:rtl/>
        </w:rPr>
        <w:t xml:space="preserve"> </w:t>
      </w:r>
      <w:r w:rsidRPr="00E04041">
        <w:rPr>
          <w:rFonts w:hint="eastAsia"/>
          <w:sz w:val="20"/>
          <w:rtl/>
        </w:rPr>
        <w:t>שאינן</w:t>
      </w:r>
      <w:r w:rsidRPr="00E04041">
        <w:rPr>
          <w:sz w:val="20"/>
          <w:rtl/>
        </w:rPr>
        <w:t xml:space="preserve"> </w:t>
      </w:r>
      <w:r w:rsidRPr="00E04041">
        <w:rPr>
          <w:rFonts w:hint="eastAsia"/>
          <w:sz w:val="20"/>
          <w:rtl/>
        </w:rPr>
        <w:t>מקנות</w:t>
      </w:r>
      <w:r w:rsidRPr="00E04041">
        <w:rPr>
          <w:sz w:val="20"/>
          <w:rtl/>
        </w:rPr>
        <w:t xml:space="preserve"> </w:t>
      </w:r>
      <w:r w:rsidRPr="00E04041">
        <w:rPr>
          <w:rFonts w:hint="eastAsia"/>
          <w:sz w:val="20"/>
          <w:rtl/>
        </w:rPr>
        <w:t>שליטה</w:t>
      </w:r>
      <w:r w:rsidRPr="00E04041">
        <w:rPr>
          <w:sz w:val="20"/>
          <w:rtl/>
        </w:rPr>
        <w:t xml:space="preserve"> </w:t>
      </w:r>
      <w:r w:rsidRPr="00E04041">
        <w:rPr>
          <w:rFonts w:hint="eastAsia"/>
          <w:sz w:val="20"/>
          <w:rtl/>
        </w:rPr>
        <w:t>נזקף</w:t>
      </w:r>
      <w:r w:rsidRPr="00E04041">
        <w:rPr>
          <w:sz w:val="20"/>
          <w:rtl/>
        </w:rPr>
        <w:t xml:space="preserve"> </w:t>
      </w:r>
      <w:r w:rsidRPr="00E04041">
        <w:rPr>
          <w:rFonts w:hint="eastAsia"/>
          <w:sz w:val="20"/>
          <w:rtl/>
        </w:rPr>
        <w:t>ישירות</w:t>
      </w:r>
      <w:r w:rsidRPr="00E04041">
        <w:rPr>
          <w:sz w:val="20"/>
          <w:rtl/>
        </w:rPr>
        <w:t xml:space="preserve"> </w:t>
      </w:r>
      <w:r w:rsidRPr="00E04041">
        <w:rPr>
          <w:rFonts w:hint="eastAsia"/>
          <w:sz w:val="20"/>
          <w:rtl/>
        </w:rPr>
        <w:t>לפרמיה</w:t>
      </w:r>
      <w:r w:rsidRPr="00E04041">
        <w:rPr>
          <w:rFonts w:hint="cs"/>
          <w:rtl/>
        </w:rPr>
        <w:t>.</w:t>
      </w:r>
    </w:p>
  </w:footnote>
  <w:footnote w:id="20">
    <w:p w14:paraId="259750DF" w14:textId="12872B2D" w:rsidR="00553945" w:rsidRPr="00427B1B" w:rsidRDefault="00553945" w:rsidP="00B10C79">
      <w:pPr>
        <w:pStyle w:val="a8"/>
        <w:spacing w:beforeLines="20" w:before="48"/>
        <w:rPr>
          <w:sz w:val="20"/>
          <w:rtl/>
        </w:rPr>
      </w:pPr>
      <w:r w:rsidRPr="00427B1B">
        <w:rPr>
          <w:rStyle w:val="a7"/>
        </w:rPr>
        <w:footnoteRef/>
      </w:r>
      <w:r w:rsidRPr="00427B1B">
        <w:rPr>
          <w:sz w:val="20"/>
          <w:vertAlign w:val="superscript"/>
          <w:rtl/>
        </w:rPr>
        <w:t xml:space="preserve"> </w:t>
      </w:r>
      <w:r w:rsidRPr="00427B1B">
        <w:rPr>
          <w:rFonts w:ascii="David" w:hAnsi="David"/>
          <w:color w:val="auto"/>
          <w:sz w:val="20"/>
          <w:vertAlign w:val="superscript"/>
          <w:rtl/>
        </w:rPr>
        <w:t xml:space="preserve"> </w:t>
      </w:r>
      <w:r w:rsidRPr="00427B1B">
        <w:rPr>
          <w:rFonts w:ascii="David" w:hAnsi="David"/>
          <w:color w:val="auto"/>
          <w:sz w:val="20"/>
          <w:vertAlign w:val="superscript"/>
          <w:rtl/>
        </w:rPr>
        <w:tab/>
      </w:r>
      <w:r w:rsidRPr="00427B1B">
        <w:rPr>
          <w:rFonts w:ascii="David" w:hAnsi="David" w:hint="cs"/>
          <w:sz w:val="20"/>
          <w:rtl/>
        </w:rPr>
        <w:t xml:space="preserve">בהתאם לסעיף </w:t>
      </w:r>
      <w:r w:rsidRPr="00427B1B">
        <w:rPr>
          <w:rFonts w:ascii="David" w:hAnsi="David" w:hint="cs"/>
          <w:sz w:val="20"/>
        </w:rPr>
        <w:t>B</w:t>
      </w:r>
      <w:r w:rsidRPr="00427B1B">
        <w:rPr>
          <w:rFonts w:ascii="David" w:hAnsi="David" w:hint="cs"/>
          <w:sz w:val="20"/>
          <w:rtl/>
        </w:rPr>
        <w:t>205-20-50-5</w:t>
      </w:r>
      <w:r w:rsidRPr="00427B1B">
        <w:rPr>
          <w:rFonts w:ascii="David" w:hAnsi="David" w:hint="cs"/>
          <w:sz w:val="20"/>
        </w:rPr>
        <w:t xml:space="preserve"> </w:t>
      </w:r>
      <w:r w:rsidRPr="00427B1B">
        <w:rPr>
          <w:rFonts w:ascii="David" w:hAnsi="David" w:hint="cs"/>
          <w:sz w:val="20"/>
          <w:rtl/>
        </w:rPr>
        <w:t>בקודיפיקציה, תאגיד בנקאי ייתן גילוי לתזרימי מזומנים שנבעו מפעילויות שהופסקו במסגרת הביאורים לדוחות הכספיים, במידה ולא הוצג בדוח על תזרימי המזומנים.</w:t>
      </w:r>
    </w:p>
  </w:footnote>
  <w:footnote w:id="21">
    <w:p w14:paraId="4AECC1B7" w14:textId="77777777" w:rsidR="00553945" w:rsidRDefault="00553945" w:rsidP="006653C6">
      <w:pPr>
        <w:pStyle w:val="a8"/>
        <w:rPr>
          <w:rtl/>
        </w:rPr>
      </w:pPr>
      <w:r w:rsidRPr="00EE50D8">
        <w:rPr>
          <w:rStyle w:val="a7"/>
        </w:rPr>
        <w:footnoteRef/>
      </w:r>
      <w:r w:rsidRPr="00EE50D8">
        <w:rPr>
          <w:rtl/>
        </w:rPr>
        <w:t xml:space="preserve"> </w:t>
      </w:r>
      <w:r w:rsidRPr="003009E2">
        <w:rPr>
          <w:color w:val="auto"/>
          <w:rtl/>
        </w:rPr>
        <w:tab/>
        <w:t xml:space="preserve">יתרה זו עשויה </w:t>
      </w:r>
      <w:r w:rsidRPr="003009E2">
        <w:rPr>
          <w:rFonts w:hint="eastAsia"/>
          <w:color w:val="auto"/>
          <w:rtl/>
        </w:rPr>
        <w:t>לכלול</w:t>
      </w:r>
      <w:r w:rsidRPr="003009E2">
        <w:rPr>
          <w:color w:val="auto"/>
          <w:rtl/>
        </w:rPr>
        <w:t xml:space="preserve"> שלושה מרכיבים: (</w:t>
      </w:r>
      <w:r w:rsidRPr="003009E2">
        <w:rPr>
          <w:color w:val="auto"/>
        </w:rPr>
        <w:t>i</w:t>
      </w:r>
      <w:r w:rsidRPr="003009E2">
        <w:rPr>
          <w:color w:val="auto"/>
          <w:rtl/>
        </w:rPr>
        <w:t xml:space="preserve">) הפרשי תרגום בגין יתרות מזומנים ושווי מזומנים של </w:t>
      </w:r>
      <w:r w:rsidRPr="003009E2">
        <w:rPr>
          <w:rFonts w:hint="cs"/>
          <w:color w:val="auto"/>
          <w:rtl/>
        </w:rPr>
        <w:t>פעילות</w:t>
      </w:r>
      <w:r w:rsidRPr="003009E2">
        <w:rPr>
          <w:color w:val="auto"/>
          <w:rtl/>
        </w:rPr>
        <w:t xml:space="preserve"> </w:t>
      </w:r>
      <w:r w:rsidRPr="003009E2">
        <w:rPr>
          <w:rFonts w:hint="cs"/>
          <w:color w:val="auto"/>
          <w:rtl/>
        </w:rPr>
        <w:t>חוץ</w:t>
      </w:r>
      <w:r w:rsidRPr="003009E2">
        <w:rPr>
          <w:color w:val="auto"/>
          <w:rtl/>
        </w:rPr>
        <w:t>, (</w:t>
      </w:r>
      <w:r w:rsidRPr="003009E2">
        <w:rPr>
          <w:color w:val="auto"/>
        </w:rPr>
        <w:t>ii</w:t>
      </w:r>
      <w:r w:rsidRPr="003009E2">
        <w:rPr>
          <w:color w:val="auto"/>
          <w:rtl/>
        </w:rPr>
        <w:t xml:space="preserve">) הפרשי שער בגין תרגום של יתרות מזומנים ושווי מזומנים של פעילות בחו"ל שמטבע הפעילות שלה </w:t>
      </w:r>
      <w:r w:rsidRPr="003009E2">
        <w:rPr>
          <w:rFonts w:hint="eastAsia"/>
          <w:color w:val="auto"/>
          <w:rtl/>
        </w:rPr>
        <w:t>הוא</w:t>
      </w:r>
      <w:r w:rsidRPr="003009E2">
        <w:rPr>
          <w:color w:val="auto"/>
          <w:rtl/>
        </w:rPr>
        <w:t xml:space="preserve"> </w:t>
      </w:r>
      <w:r w:rsidRPr="003009E2">
        <w:rPr>
          <w:rFonts w:hint="cs"/>
          <w:color w:val="auto"/>
          <w:rtl/>
        </w:rPr>
        <w:t>מטבע</w:t>
      </w:r>
      <w:r w:rsidRPr="003009E2">
        <w:rPr>
          <w:color w:val="auto"/>
          <w:rtl/>
        </w:rPr>
        <w:t xml:space="preserve"> </w:t>
      </w:r>
      <w:r w:rsidRPr="003009E2">
        <w:rPr>
          <w:rFonts w:hint="cs"/>
          <w:color w:val="auto"/>
          <w:rtl/>
        </w:rPr>
        <w:t>הפעילות</w:t>
      </w:r>
      <w:r w:rsidRPr="003009E2">
        <w:rPr>
          <w:color w:val="auto"/>
          <w:rtl/>
        </w:rPr>
        <w:t xml:space="preserve"> </w:t>
      </w:r>
      <w:r w:rsidRPr="003009E2">
        <w:rPr>
          <w:rFonts w:hint="cs"/>
          <w:color w:val="auto"/>
          <w:rtl/>
        </w:rPr>
        <w:t>של</w:t>
      </w:r>
      <w:r w:rsidRPr="003009E2">
        <w:rPr>
          <w:color w:val="auto"/>
          <w:rtl/>
        </w:rPr>
        <w:t xml:space="preserve"> </w:t>
      </w:r>
      <w:r w:rsidRPr="003009E2">
        <w:rPr>
          <w:rFonts w:hint="cs"/>
          <w:color w:val="auto"/>
          <w:rtl/>
        </w:rPr>
        <w:t>התאגיד</w:t>
      </w:r>
      <w:r w:rsidRPr="003009E2">
        <w:rPr>
          <w:color w:val="auto"/>
          <w:rtl/>
        </w:rPr>
        <w:t xml:space="preserve"> </w:t>
      </w:r>
      <w:r w:rsidRPr="003009E2">
        <w:rPr>
          <w:rFonts w:hint="cs"/>
          <w:color w:val="auto"/>
          <w:rtl/>
        </w:rPr>
        <w:t>הבנקאי</w:t>
      </w:r>
      <w:r w:rsidRPr="003009E2">
        <w:rPr>
          <w:color w:val="auto"/>
          <w:rtl/>
        </w:rPr>
        <w:t xml:space="preserve"> ואשר מנהלת יתרות מזומנים ושווי מזומנים במטבע שאינו </w:t>
      </w:r>
      <w:r w:rsidRPr="003009E2">
        <w:rPr>
          <w:rFonts w:hint="cs"/>
          <w:color w:val="auto"/>
          <w:rtl/>
        </w:rPr>
        <w:t>מטבע</w:t>
      </w:r>
      <w:r w:rsidRPr="003009E2">
        <w:rPr>
          <w:color w:val="auto"/>
          <w:rtl/>
        </w:rPr>
        <w:t xml:space="preserve"> </w:t>
      </w:r>
      <w:r w:rsidRPr="003009E2">
        <w:rPr>
          <w:rFonts w:hint="cs"/>
          <w:color w:val="auto"/>
          <w:rtl/>
        </w:rPr>
        <w:t>הפעילות</w:t>
      </w:r>
      <w:r w:rsidRPr="003009E2">
        <w:rPr>
          <w:color w:val="auto"/>
          <w:rtl/>
        </w:rPr>
        <w:t xml:space="preserve"> </w:t>
      </w:r>
      <w:r w:rsidRPr="003009E2">
        <w:rPr>
          <w:rFonts w:hint="cs"/>
          <w:color w:val="auto"/>
          <w:rtl/>
        </w:rPr>
        <w:t>של</w:t>
      </w:r>
      <w:r w:rsidRPr="003009E2">
        <w:rPr>
          <w:color w:val="auto"/>
          <w:rtl/>
        </w:rPr>
        <w:t xml:space="preserve"> </w:t>
      </w:r>
      <w:r w:rsidRPr="003009E2">
        <w:rPr>
          <w:rFonts w:hint="cs"/>
          <w:color w:val="auto"/>
          <w:rtl/>
        </w:rPr>
        <w:t>התאגיד</w:t>
      </w:r>
      <w:r w:rsidRPr="003009E2">
        <w:rPr>
          <w:color w:val="auto"/>
          <w:rtl/>
        </w:rPr>
        <w:t xml:space="preserve"> </w:t>
      </w:r>
      <w:r w:rsidRPr="003009E2">
        <w:rPr>
          <w:rFonts w:hint="cs"/>
          <w:color w:val="auto"/>
          <w:rtl/>
        </w:rPr>
        <w:t>הבנקאי</w:t>
      </w:r>
      <w:r w:rsidRPr="003009E2">
        <w:rPr>
          <w:color w:val="auto"/>
          <w:rtl/>
        </w:rPr>
        <w:t xml:space="preserve">, </w:t>
      </w:r>
      <w:r w:rsidRPr="003009E2">
        <w:rPr>
          <w:rFonts w:hint="eastAsia"/>
          <w:color w:val="auto"/>
          <w:rtl/>
        </w:rPr>
        <w:t>וכן</w:t>
      </w:r>
      <w:r w:rsidRPr="003009E2">
        <w:rPr>
          <w:color w:val="auto"/>
          <w:rtl/>
        </w:rPr>
        <w:t xml:space="preserve"> (</w:t>
      </w:r>
      <w:r w:rsidRPr="003009E2">
        <w:rPr>
          <w:color w:val="auto"/>
        </w:rPr>
        <w:t>iii</w:t>
      </w:r>
      <w:r w:rsidRPr="003009E2">
        <w:rPr>
          <w:color w:val="auto"/>
          <w:rtl/>
        </w:rPr>
        <w:t>) יתרות מזומנים ושווי מזומנים של ה</w:t>
      </w:r>
      <w:r w:rsidRPr="003009E2">
        <w:rPr>
          <w:rFonts w:hint="eastAsia"/>
          <w:color w:val="auto"/>
          <w:rtl/>
        </w:rPr>
        <w:t>תאגיד</w:t>
      </w:r>
      <w:r w:rsidRPr="003009E2">
        <w:rPr>
          <w:color w:val="auto"/>
          <w:rtl/>
        </w:rPr>
        <w:t xml:space="preserve"> </w:t>
      </w:r>
      <w:r w:rsidRPr="003009E2">
        <w:rPr>
          <w:rFonts w:hint="eastAsia"/>
          <w:color w:val="auto"/>
          <w:rtl/>
        </w:rPr>
        <w:t>הבנקאי</w:t>
      </w:r>
      <w:r w:rsidRPr="003009E2">
        <w:rPr>
          <w:color w:val="auto"/>
          <w:rtl/>
        </w:rPr>
        <w:t xml:space="preserve"> אשר מוחזקות במט"ח. כל התנועות האל</w:t>
      </w:r>
      <w:r w:rsidRPr="003009E2">
        <w:rPr>
          <w:rFonts w:hint="cs"/>
          <w:color w:val="auto"/>
          <w:rtl/>
        </w:rPr>
        <w:t>ו</w:t>
      </w:r>
      <w:r w:rsidRPr="003009E2">
        <w:rPr>
          <w:color w:val="auto"/>
          <w:rtl/>
        </w:rPr>
        <w:t xml:space="preserve"> אינן תנועות במזומנים ושווי מזומנים בתקופה ולכן מוצגות </w:t>
      </w:r>
      <w:r w:rsidRPr="003009E2">
        <w:rPr>
          <w:rFonts w:hint="eastAsia"/>
          <w:color w:val="auto"/>
          <w:rtl/>
        </w:rPr>
        <w:t>בנפרד</w:t>
      </w:r>
      <w:r w:rsidRPr="003009E2">
        <w:rPr>
          <w:color w:val="auto"/>
          <w:rtl/>
        </w:rPr>
        <w:t xml:space="preserve"> </w:t>
      </w:r>
      <w:r w:rsidRPr="003009E2">
        <w:rPr>
          <w:rFonts w:hint="eastAsia"/>
          <w:color w:val="auto"/>
          <w:rtl/>
        </w:rPr>
        <w:t>מהשינוי</w:t>
      </w:r>
      <w:r w:rsidRPr="003009E2">
        <w:rPr>
          <w:color w:val="auto"/>
          <w:rtl/>
        </w:rPr>
        <w:t xml:space="preserve"> </w:t>
      </w:r>
      <w:r w:rsidRPr="003009E2">
        <w:rPr>
          <w:rFonts w:hint="eastAsia"/>
          <w:color w:val="auto"/>
          <w:rtl/>
        </w:rPr>
        <w:t>ביתרת</w:t>
      </w:r>
      <w:r w:rsidRPr="003009E2">
        <w:rPr>
          <w:color w:val="auto"/>
          <w:rtl/>
        </w:rPr>
        <w:t xml:space="preserve"> </w:t>
      </w:r>
      <w:r w:rsidRPr="003009E2">
        <w:rPr>
          <w:rFonts w:hint="eastAsia"/>
          <w:color w:val="auto"/>
          <w:rtl/>
        </w:rPr>
        <w:t>המזומנים</w:t>
      </w:r>
      <w:r w:rsidRPr="003009E2">
        <w:rPr>
          <w:color w:val="auto"/>
          <w:rtl/>
        </w:rPr>
        <w:t>.</w:t>
      </w:r>
    </w:p>
  </w:footnote>
  <w:footnote w:id="22">
    <w:p w14:paraId="32472A88" w14:textId="71592ACF" w:rsidR="000F230D" w:rsidRDefault="000F230D">
      <w:pPr>
        <w:pStyle w:val="a8"/>
        <w:rPr>
          <w:rtl/>
        </w:rPr>
      </w:pPr>
      <w:r>
        <w:rPr>
          <w:rStyle w:val="a7"/>
        </w:rPr>
        <w:footnoteRef/>
      </w:r>
      <w:r>
        <w:rPr>
          <w:rtl/>
        </w:rPr>
        <w:t xml:space="preserve"> </w:t>
      </w:r>
      <w:r>
        <w:rPr>
          <w:szCs w:val="18"/>
          <w:rtl/>
        </w:rPr>
        <w:tab/>
      </w:r>
      <w:r w:rsidRPr="00EB5088">
        <w:rPr>
          <w:rFonts w:hint="cs"/>
          <w:szCs w:val="18"/>
          <w:rtl/>
        </w:rPr>
        <w:t>יש</w:t>
      </w:r>
      <w:r w:rsidRPr="00EB5088">
        <w:rPr>
          <w:szCs w:val="18"/>
          <w:rtl/>
        </w:rPr>
        <w:t xml:space="preserve"> לבחון אם </w:t>
      </w:r>
      <w:r>
        <w:rPr>
          <w:rFonts w:hint="cs"/>
          <w:szCs w:val="18"/>
          <w:rtl/>
        </w:rPr>
        <w:t>קיימות</w:t>
      </w:r>
      <w:r w:rsidRPr="00EB5088">
        <w:rPr>
          <w:szCs w:val="18"/>
          <w:rtl/>
        </w:rPr>
        <w:t xml:space="preserve"> השפעות </w:t>
      </w:r>
      <w:r w:rsidRPr="00EB5088">
        <w:rPr>
          <w:rFonts w:hint="cs"/>
          <w:szCs w:val="18"/>
          <w:rtl/>
        </w:rPr>
        <w:t>מהותיות</w:t>
      </w:r>
      <w:r w:rsidRPr="00EB5088">
        <w:rPr>
          <w:szCs w:val="18"/>
          <w:rtl/>
        </w:rPr>
        <w:t xml:space="preserve"> של שינויים בסביבה הכלכלית, </w:t>
      </w:r>
      <w:r w:rsidRPr="00EB5088">
        <w:rPr>
          <w:rFonts w:hint="cs"/>
          <w:szCs w:val="18"/>
          <w:rtl/>
        </w:rPr>
        <w:t>העסקית</w:t>
      </w:r>
      <w:r w:rsidRPr="00EB5088">
        <w:rPr>
          <w:szCs w:val="18"/>
          <w:rtl/>
        </w:rPr>
        <w:t xml:space="preserve"> </w:t>
      </w:r>
      <w:r w:rsidRPr="00EB5088">
        <w:rPr>
          <w:rFonts w:hint="cs"/>
          <w:szCs w:val="18"/>
          <w:rtl/>
        </w:rPr>
        <w:t>והרגולטורית</w:t>
      </w:r>
      <w:r w:rsidRPr="00EB5088">
        <w:rPr>
          <w:szCs w:val="18"/>
          <w:rtl/>
        </w:rPr>
        <w:t>, ו</w:t>
      </w:r>
      <w:r>
        <w:rPr>
          <w:rFonts w:hint="cs"/>
          <w:szCs w:val="18"/>
          <w:rtl/>
        </w:rPr>
        <w:t xml:space="preserve">ככל שרלוונטי </w:t>
      </w:r>
      <w:r w:rsidRPr="00EB5088">
        <w:rPr>
          <w:rFonts w:hint="cs"/>
          <w:szCs w:val="18"/>
          <w:rtl/>
        </w:rPr>
        <w:t>לשקול</w:t>
      </w:r>
      <w:r w:rsidRPr="00EB5088">
        <w:rPr>
          <w:szCs w:val="18"/>
          <w:rtl/>
        </w:rPr>
        <w:t xml:space="preserve"> </w:t>
      </w:r>
      <w:r w:rsidRPr="00EB5088">
        <w:rPr>
          <w:rFonts w:hint="cs"/>
          <w:szCs w:val="18"/>
          <w:rtl/>
        </w:rPr>
        <w:t>מתן</w:t>
      </w:r>
      <w:r w:rsidRPr="00EB5088">
        <w:rPr>
          <w:szCs w:val="18"/>
          <w:rtl/>
        </w:rPr>
        <w:t xml:space="preserve"> גילוי לשינויים שחלו בהפרשה להפסדי אשראי ובאומדנים משמעותיים אחרים כתוצאה מהשינויים בסביבה ובהנחות הכלכליות.</w:t>
      </w:r>
    </w:p>
  </w:footnote>
  <w:footnote w:id="23">
    <w:p w14:paraId="77D072FA" w14:textId="402A47BF" w:rsidR="000F230D" w:rsidRDefault="000F230D" w:rsidP="002431F0">
      <w:pPr>
        <w:pStyle w:val="a8"/>
        <w:rPr>
          <w:rtl/>
        </w:rPr>
      </w:pPr>
      <w:r w:rsidRPr="00E0039F">
        <w:rPr>
          <w:rStyle w:val="a7"/>
        </w:rPr>
        <w:footnoteRef/>
      </w:r>
      <w:r w:rsidRPr="00E0039F">
        <w:rPr>
          <w:rtl/>
        </w:rPr>
        <w:t xml:space="preserve"> </w:t>
      </w:r>
      <w:r w:rsidRPr="00E0039F">
        <w:rPr>
          <w:rtl/>
        </w:rPr>
        <w:tab/>
      </w:r>
      <w:r w:rsidRPr="00D02FD9">
        <w:rPr>
          <w:rFonts w:hint="eastAsia"/>
          <w:szCs w:val="18"/>
          <w:rtl/>
        </w:rPr>
        <w:t>החל</w:t>
      </w:r>
      <w:r w:rsidRPr="00D02FD9">
        <w:rPr>
          <w:szCs w:val="18"/>
          <w:rtl/>
        </w:rPr>
        <w:t xml:space="preserve"> </w:t>
      </w:r>
      <w:r w:rsidRPr="00D02FD9">
        <w:rPr>
          <w:rFonts w:hint="eastAsia"/>
          <w:szCs w:val="18"/>
          <w:rtl/>
        </w:rPr>
        <w:t>מחודש</w:t>
      </w:r>
      <w:r w:rsidRPr="00D02FD9">
        <w:rPr>
          <w:szCs w:val="18"/>
          <w:rtl/>
        </w:rPr>
        <w:t xml:space="preserve"> </w:t>
      </w:r>
      <w:r w:rsidRPr="00D02FD9">
        <w:rPr>
          <w:rFonts w:hint="eastAsia"/>
          <w:szCs w:val="18"/>
          <w:rtl/>
        </w:rPr>
        <w:t>ינואר</w:t>
      </w:r>
      <w:r w:rsidRPr="00D02FD9">
        <w:rPr>
          <w:szCs w:val="18"/>
          <w:rtl/>
        </w:rPr>
        <w:t xml:space="preserve"> </w:t>
      </w:r>
      <w:r w:rsidRPr="00D02FD9">
        <w:rPr>
          <w:rFonts w:hint="cs"/>
          <w:szCs w:val="18"/>
          <w:rtl/>
        </w:rPr>
        <w:t xml:space="preserve">2023 </w:t>
      </w:r>
      <w:r w:rsidRPr="00D02FD9">
        <w:rPr>
          <w:rFonts w:hint="eastAsia"/>
          <w:szCs w:val="18"/>
          <w:rtl/>
        </w:rPr>
        <w:t>מדד</w:t>
      </w:r>
      <w:r w:rsidRPr="00D02FD9">
        <w:rPr>
          <w:szCs w:val="18"/>
          <w:rtl/>
        </w:rPr>
        <w:t xml:space="preserve"> </w:t>
      </w:r>
      <w:r w:rsidRPr="00D02FD9">
        <w:rPr>
          <w:rFonts w:hint="eastAsia"/>
          <w:szCs w:val="18"/>
          <w:rtl/>
        </w:rPr>
        <w:t>המחירים</w:t>
      </w:r>
      <w:r w:rsidRPr="00D02FD9">
        <w:rPr>
          <w:szCs w:val="18"/>
          <w:rtl/>
        </w:rPr>
        <w:t xml:space="preserve"> </w:t>
      </w:r>
      <w:r w:rsidRPr="00D02FD9">
        <w:rPr>
          <w:rFonts w:hint="eastAsia"/>
          <w:szCs w:val="18"/>
          <w:rtl/>
        </w:rPr>
        <w:t>לצרכן</w:t>
      </w:r>
      <w:r w:rsidRPr="00D02FD9">
        <w:rPr>
          <w:szCs w:val="18"/>
          <w:rtl/>
        </w:rPr>
        <w:t xml:space="preserve"> </w:t>
      </w:r>
      <w:r w:rsidRPr="00D02FD9">
        <w:rPr>
          <w:rFonts w:hint="eastAsia"/>
          <w:szCs w:val="18"/>
          <w:rtl/>
        </w:rPr>
        <w:t>מחושב</w:t>
      </w:r>
      <w:r w:rsidRPr="00D02FD9">
        <w:rPr>
          <w:szCs w:val="18"/>
          <w:rtl/>
        </w:rPr>
        <w:t xml:space="preserve"> </w:t>
      </w:r>
      <w:r w:rsidRPr="00D02FD9">
        <w:rPr>
          <w:rFonts w:hint="eastAsia"/>
          <w:szCs w:val="18"/>
          <w:rtl/>
        </w:rPr>
        <w:t>על</w:t>
      </w:r>
      <w:r w:rsidRPr="00D02FD9">
        <w:rPr>
          <w:szCs w:val="18"/>
          <w:rtl/>
        </w:rPr>
        <w:t xml:space="preserve"> </w:t>
      </w:r>
      <w:r w:rsidRPr="00D02FD9">
        <w:rPr>
          <w:rFonts w:hint="eastAsia"/>
          <w:szCs w:val="18"/>
          <w:rtl/>
        </w:rPr>
        <w:t>בסיס</w:t>
      </w:r>
      <w:r w:rsidRPr="00D02FD9">
        <w:rPr>
          <w:szCs w:val="18"/>
          <w:rtl/>
        </w:rPr>
        <w:t xml:space="preserve"> </w:t>
      </w:r>
      <w:r w:rsidRPr="00D02FD9">
        <w:rPr>
          <w:rFonts w:hint="eastAsia"/>
          <w:szCs w:val="18"/>
          <w:rtl/>
        </w:rPr>
        <w:t>ממוצע</w:t>
      </w:r>
      <w:r w:rsidRPr="00D02FD9">
        <w:rPr>
          <w:szCs w:val="18"/>
          <w:rtl/>
        </w:rPr>
        <w:t xml:space="preserve"> </w:t>
      </w:r>
      <w:r w:rsidRPr="00D02FD9">
        <w:rPr>
          <w:rFonts w:hint="cs"/>
          <w:szCs w:val="18"/>
          <w:rtl/>
        </w:rPr>
        <w:t>2022</w:t>
      </w:r>
      <w:r w:rsidRPr="00D02FD9">
        <w:rPr>
          <w:szCs w:val="18"/>
          <w:rtl/>
        </w:rPr>
        <w:t xml:space="preserve"> </w:t>
      </w:r>
      <w:r w:rsidRPr="00D02FD9">
        <w:rPr>
          <w:rFonts w:hint="eastAsia"/>
          <w:szCs w:val="18"/>
          <w:rtl/>
        </w:rPr>
        <w:t>וכך</w:t>
      </w:r>
      <w:r w:rsidRPr="00D02FD9">
        <w:rPr>
          <w:szCs w:val="18"/>
          <w:rtl/>
        </w:rPr>
        <w:t xml:space="preserve"> </w:t>
      </w:r>
      <w:r w:rsidRPr="00D02FD9">
        <w:rPr>
          <w:rFonts w:hint="eastAsia"/>
          <w:szCs w:val="18"/>
          <w:rtl/>
        </w:rPr>
        <w:t>מוצג</w:t>
      </w:r>
      <w:r w:rsidRPr="00D02FD9">
        <w:rPr>
          <w:szCs w:val="18"/>
          <w:rtl/>
        </w:rPr>
        <w:t>.</w:t>
      </w:r>
      <w:r w:rsidRPr="00C82432">
        <w:rPr>
          <w:rFonts w:hint="cs"/>
          <w:color w:val="auto"/>
          <w:rtl/>
        </w:rPr>
        <w:t xml:space="preserve"> </w:t>
      </w:r>
    </w:p>
  </w:footnote>
  <w:footnote w:id="24">
    <w:p w14:paraId="69F3FDAB" w14:textId="77777777" w:rsidR="00F00A1C" w:rsidRPr="00A25504" w:rsidRDefault="00F00A1C" w:rsidP="00F00A1C">
      <w:pPr>
        <w:pStyle w:val="a8"/>
        <w:bidi w:val="0"/>
        <w:ind w:left="108" w:hanging="108"/>
        <w:rPr>
          <w:rFonts w:ascii="David" w:hAnsi="David"/>
          <w:szCs w:val="18"/>
        </w:rPr>
      </w:pPr>
      <w:r w:rsidRPr="00A25504">
        <w:rPr>
          <w:rStyle w:val="a7"/>
          <w:rFonts w:ascii="David" w:hAnsi="David" w:cs="David"/>
          <w:sz w:val="18"/>
          <w:szCs w:val="18"/>
        </w:rPr>
        <w:footnoteRef/>
      </w:r>
      <w:r w:rsidRPr="00A25504">
        <w:rPr>
          <w:rFonts w:ascii="David" w:hAnsi="David"/>
          <w:szCs w:val="18"/>
          <w:rtl/>
        </w:rPr>
        <w:t xml:space="preserve"> </w:t>
      </w:r>
      <w:r w:rsidRPr="00A25504">
        <w:rPr>
          <w:rFonts w:ascii="David" w:hAnsi="David"/>
          <w:szCs w:val="18"/>
        </w:rPr>
        <w:t>Accounting Standards Update 2023-08, Intangibles—Goodwill and Other—Crypto Assets (Subtopic 350-60): Accounting for and Disclosure of Crypto Assets.</w:t>
      </w:r>
    </w:p>
  </w:footnote>
  <w:footnote w:id="25">
    <w:p w14:paraId="7F15E7BC" w14:textId="3507549D" w:rsidR="00F00A1C" w:rsidRPr="00A25504" w:rsidRDefault="00F00A1C" w:rsidP="00F00A1C">
      <w:pPr>
        <w:pStyle w:val="a8"/>
        <w:rPr>
          <w:rFonts w:ascii="David" w:hAnsi="David"/>
          <w:szCs w:val="18"/>
        </w:rPr>
      </w:pPr>
      <w:r w:rsidRPr="00A25504">
        <w:rPr>
          <w:rStyle w:val="a7"/>
          <w:rFonts w:ascii="David" w:hAnsi="David" w:cs="David"/>
          <w:sz w:val="18"/>
          <w:szCs w:val="18"/>
        </w:rPr>
        <w:footnoteRef/>
      </w:r>
      <w:r w:rsidRPr="00A25504">
        <w:rPr>
          <w:rFonts w:ascii="David" w:hAnsi="David"/>
          <w:szCs w:val="18"/>
          <w:rtl/>
        </w:rPr>
        <w:t xml:space="preserve"> </w:t>
      </w:r>
      <w:r w:rsidRPr="00A25504">
        <w:rPr>
          <w:rFonts w:ascii="David" w:hAnsi="David"/>
          <w:szCs w:val="18"/>
          <w:rtl/>
        </w:rPr>
        <w:tab/>
        <w:t>מאפיינים נוספים כגון: למחזיק אין זכויות הניתנות לאכיפה או תביעות על נכסי הבסיס; הכס נוצר או שוכן על "בלוקצ'יין" או טכנולוגיה דומה"; הנכס מאובטח באמצעות קריפטוגרפיה (הצפנה); הנכס ניתן לשינוי/ החלפה (</w:t>
      </w:r>
      <w:r w:rsidRPr="00A25504">
        <w:rPr>
          <w:rFonts w:ascii="David" w:hAnsi="David"/>
          <w:szCs w:val="18"/>
        </w:rPr>
        <w:t>(fungible</w:t>
      </w:r>
      <w:r w:rsidRPr="00A25504">
        <w:rPr>
          <w:rFonts w:ascii="David" w:hAnsi="David"/>
          <w:szCs w:val="18"/>
          <w:rtl/>
        </w:rPr>
        <w:t>; הנכס לא נוצר או הונפק על ידי הישות המדווחת או הצדדים הקשורים אליה.</w:t>
      </w:r>
    </w:p>
  </w:footnote>
  <w:footnote w:id="26">
    <w:p w14:paraId="0B2FAFA3" w14:textId="77777777" w:rsidR="00223C6B" w:rsidRDefault="00223C6B" w:rsidP="00223C6B">
      <w:pPr>
        <w:pStyle w:val="a8"/>
        <w:spacing w:before="0"/>
        <w:ind w:left="250" w:hanging="244"/>
        <w:rPr>
          <w:sz w:val="20"/>
        </w:rPr>
      </w:pPr>
      <w:r w:rsidRPr="00BC2F81">
        <w:rPr>
          <w:rStyle w:val="a7"/>
        </w:rPr>
        <w:footnoteRef/>
      </w:r>
      <w:r w:rsidRPr="00BC2F81">
        <w:rPr>
          <w:rFonts w:ascii="Arial" w:hAnsi="Arial"/>
          <w:sz w:val="20"/>
          <w:rtl/>
        </w:rPr>
        <w:t xml:space="preserve"> </w:t>
      </w:r>
      <w:r w:rsidRPr="00BC2F81">
        <w:rPr>
          <w:rFonts w:ascii="Arial" w:hAnsi="Arial"/>
          <w:sz w:val="20"/>
          <w:rtl/>
        </w:rPr>
        <w:tab/>
      </w:r>
      <w:r w:rsidRPr="009F608F">
        <w:rPr>
          <w:rFonts w:ascii="Arial" w:hAnsi="Arial"/>
          <w:sz w:val="17"/>
          <w:szCs w:val="17"/>
          <w:rtl/>
        </w:rPr>
        <w:t>בהתאם לקודיפיקציה סעיף</w:t>
      </w:r>
      <w:r w:rsidRPr="009F608F">
        <w:rPr>
          <w:rFonts w:ascii="Arial" w:hAnsi="Arial" w:hint="cs"/>
          <w:sz w:val="17"/>
          <w:szCs w:val="17"/>
          <w:rtl/>
        </w:rPr>
        <w:t xml:space="preserve"> (2)(</w:t>
      </w:r>
      <w:r w:rsidRPr="009F608F">
        <w:rPr>
          <w:rFonts w:cs="Times New Roman"/>
          <w:sz w:val="17"/>
          <w:szCs w:val="17"/>
        </w:rPr>
        <w:t>b</w:t>
      </w:r>
      <w:r w:rsidRPr="009F608F">
        <w:rPr>
          <w:rFonts w:ascii="Arial" w:hAnsi="Arial" w:hint="cs"/>
          <w:sz w:val="17"/>
          <w:szCs w:val="17"/>
          <w:rtl/>
        </w:rPr>
        <w:t xml:space="preserve">)250-10-50-1, תוצג ההשפעה על כל סעיף ספציפי בדוחות הכספיים המושפע מהשינוי במדיניות, ולגבי </w:t>
      </w:r>
      <w:r w:rsidRPr="009F608F">
        <w:rPr>
          <w:rFonts w:ascii="Arial" w:hAnsi="Arial"/>
          <w:sz w:val="17"/>
          <w:szCs w:val="17"/>
          <w:rtl/>
        </w:rPr>
        <w:t xml:space="preserve">סעיפים המהווים שורות סיכום וסיכומי משנה, </w:t>
      </w:r>
      <w:r w:rsidRPr="009F608F">
        <w:rPr>
          <w:rFonts w:ascii="Arial" w:hAnsi="Arial" w:hint="cs"/>
          <w:sz w:val="17"/>
          <w:szCs w:val="17"/>
          <w:rtl/>
        </w:rPr>
        <w:t>תוצג לכל הפחות ההשפעה על</w:t>
      </w:r>
      <w:r w:rsidRPr="009F608F">
        <w:rPr>
          <w:rFonts w:ascii="Arial" w:hAnsi="Arial"/>
          <w:sz w:val="17"/>
          <w:szCs w:val="17"/>
          <w:rtl/>
        </w:rPr>
        <w:t xml:space="preserve"> </w:t>
      </w:r>
      <w:r w:rsidRPr="009F608F">
        <w:rPr>
          <w:rFonts w:ascii="Arial" w:hAnsi="Arial" w:hint="cs"/>
          <w:sz w:val="17"/>
          <w:szCs w:val="17"/>
          <w:rtl/>
        </w:rPr>
        <w:t>ה</w:t>
      </w:r>
      <w:r w:rsidRPr="009F608F">
        <w:rPr>
          <w:rFonts w:ascii="Arial" w:hAnsi="Arial"/>
          <w:sz w:val="17"/>
          <w:szCs w:val="17"/>
          <w:rtl/>
        </w:rPr>
        <w:t>רווח מפעילויות נמשכות ו</w:t>
      </w:r>
      <w:r w:rsidRPr="009F608F">
        <w:rPr>
          <w:rFonts w:ascii="Arial" w:hAnsi="Arial" w:hint="cs"/>
          <w:sz w:val="17"/>
          <w:szCs w:val="17"/>
          <w:rtl/>
        </w:rPr>
        <w:t>על ה</w:t>
      </w:r>
      <w:r w:rsidRPr="009F608F">
        <w:rPr>
          <w:rFonts w:ascii="Arial" w:hAnsi="Arial"/>
          <w:sz w:val="17"/>
          <w:szCs w:val="17"/>
          <w:rtl/>
        </w:rPr>
        <w:t xml:space="preserve">רווח </w:t>
      </w:r>
      <w:r w:rsidRPr="009F608F">
        <w:rPr>
          <w:rFonts w:ascii="Arial" w:hAnsi="Arial" w:hint="cs"/>
          <w:sz w:val="17"/>
          <w:szCs w:val="17"/>
          <w:rtl/>
        </w:rPr>
        <w:t>ה</w:t>
      </w:r>
      <w:r w:rsidRPr="009F608F">
        <w:rPr>
          <w:rFonts w:ascii="Arial" w:hAnsi="Arial"/>
          <w:sz w:val="17"/>
          <w:szCs w:val="17"/>
          <w:rtl/>
        </w:rPr>
        <w:t>נקי</w:t>
      </w:r>
      <w:r w:rsidRPr="009F608F">
        <w:rPr>
          <w:rFonts w:ascii="Arial" w:hAnsi="Arial" w:hint="cs"/>
          <w:sz w:val="17"/>
          <w:szCs w:val="17"/>
          <w:rtl/>
        </w:rPr>
        <w:t>.</w:t>
      </w:r>
      <w:r w:rsidRPr="009F608F">
        <w:rPr>
          <w:rFonts w:ascii="Arial" w:hAnsi="Arial"/>
          <w:sz w:val="17"/>
          <w:szCs w:val="17"/>
          <w:rtl/>
        </w:rPr>
        <w:t xml:space="preserve"> בהתאם לקודיפיקציה סעיף</w:t>
      </w:r>
      <w:r w:rsidRPr="009F608F">
        <w:rPr>
          <w:rFonts w:ascii="Arial" w:hAnsi="Arial" w:hint="cs"/>
          <w:sz w:val="17"/>
          <w:szCs w:val="17"/>
          <w:rtl/>
        </w:rPr>
        <w:t xml:space="preserve"> (4)(</w:t>
      </w:r>
      <w:r w:rsidRPr="009F608F">
        <w:rPr>
          <w:rFonts w:cs="Times New Roman"/>
          <w:sz w:val="17"/>
          <w:szCs w:val="17"/>
        </w:rPr>
        <w:t>b</w:t>
      </w:r>
      <w:r w:rsidRPr="009F608F">
        <w:rPr>
          <w:rFonts w:ascii="Arial" w:hAnsi="Arial" w:hint="cs"/>
          <w:sz w:val="17"/>
          <w:szCs w:val="17"/>
          <w:rtl/>
        </w:rPr>
        <w:t>)250-10-50-1, אם יישום למפרע לתקופות קודמות אינו מעשי, יינתן גילוי לסיבות לכך ותיאור של השיטה החלופית ששימשה לדיווח השינוי (ראה סעיפים 250-10-45-5 עד 45-7 לקודיפיקציה).</w:t>
      </w:r>
    </w:p>
  </w:footnote>
  <w:footnote w:id="27">
    <w:p w14:paraId="012C53FF" w14:textId="77777777" w:rsidR="00C149F3" w:rsidRPr="00C149F3" w:rsidRDefault="00C149F3" w:rsidP="00C149F3">
      <w:pPr>
        <w:pStyle w:val="a8"/>
        <w:spacing w:before="0"/>
        <w:ind w:left="215" w:hanging="215"/>
        <w:rPr>
          <w:sz w:val="19"/>
          <w:szCs w:val="19"/>
          <w:rtl/>
        </w:rPr>
      </w:pPr>
      <w:r w:rsidRPr="00C149F3">
        <w:rPr>
          <w:rStyle w:val="a7"/>
          <w:sz w:val="19"/>
          <w:szCs w:val="19"/>
        </w:rPr>
        <w:footnoteRef/>
      </w:r>
      <w:r w:rsidRPr="00C149F3">
        <w:rPr>
          <w:sz w:val="19"/>
          <w:szCs w:val="19"/>
          <w:rtl/>
        </w:rPr>
        <w:t xml:space="preserve"> </w:t>
      </w:r>
      <w:r w:rsidRPr="00C149F3">
        <w:rPr>
          <w:sz w:val="19"/>
          <w:szCs w:val="19"/>
          <w:rtl/>
        </w:rPr>
        <w:tab/>
      </w:r>
      <w:r w:rsidRPr="00C149F3">
        <w:rPr>
          <w:rFonts w:hint="cs"/>
          <w:sz w:val="19"/>
          <w:szCs w:val="19"/>
          <w:rtl/>
        </w:rPr>
        <w:t>בהתאם להוראות הדיווח לציבור סעיף 5(ד), בעת שינוי ההצגה או הסיווג של נתונים בדוחות הכספיים, תאגיד בנקאי יסווג מחדש את נתוני ההשוואה, יסמן בדוחות כל סכום שהוצג או שסווג מחדש, ויתן גילוי לפרטים הבאים: (א) המהות של הסיווג מחדש; (ב) הסכום של כל פריט או של כל קבוצה של פריטים שסווגו מחדש</w:t>
      </w:r>
      <w:r w:rsidRPr="00C149F3">
        <w:rPr>
          <w:sz w:val="19"/>
          <w:szCs w:val="19"/>
        </w:rPr>
        <w:t>;</w:t>
      </w:r>
      <w:r w:rsidRPr="00C149F3">
        <w:rPr>
          <w:rFonts w:hint="cs"/>
          <w:sz w:val="19"/>
          <w:szCs w:val="19"/>
          <w:rtl/>
        </w:rPr>
        <w:t xml:space="preserve"> וכן (ג) הסיבה לסיווג מחדש</w:t>
      </w:r>
      <w:r w:rsidRPr="00C149F3">
        <w:rPr>
          <w:sz w:val="19"/>
          <w:szCs w:val="19"/>
          <w:rtl/>
        </w:rPr>
        <w:t>.</w:t>
      </w:r>
      <w:r w:rsidRPr="00C149F3">
        <w:rPr>
          <w:sz w:val="19"/>
          <w:szCs w:val="19"/>
          <w:rtl/>
        </w:rPr>
        <w:tab/>
      </w:r>
    </w:p>
  </w:footnote>
  <w:footnote w:id="28">
    <w:p w14:paraId="1C9F1B9B" w14:textId="77777777" w:rsidR="00C149F3" w:rsidRPr="00C149F3" w:rsidRDefault="00C149F3" w:rsidP="00C149F3">
      <w:pPr>
        <w:pStyle w:val="a8"/>
        <w:spacing w:before="0"/>
        <w:ind w:left="215" w:hanging="215"/>
        <w:rPr>
          <w:sz w:val="19"/>
          <w:szCs w:val="19"/>
          <w:rtl/>
        </w:rPr>
      </w:pPr>
      <w:r w:rsidRPr="00C149F3">
        <w:rPr>
          <w:rStyle w:val="a7"/>
          <w:sz w:val="19"/>
          <w:szCs w:val="19"/>
        </w:rPr>
        <w:footnoteRef/>
      </w:r>
      <w:r w:rsidRPr="00C149F3">
        <w:rPr>
          <w:sz w:val="19"/>
          <w:szCs w:val="19"/>
          <w:rtl/>
        </w:rPr>
        <w:t xml:space="preserve"> </w:t>
      </w:r>
      <w:r w:rsidRPr="00C149F3">
        <w:rPr>
          <w:sz w:val="19"/>
          <w:szCs w:val="19"/>
          <w:rtl/>
        </w:rPr>
        <w:tab/>
        <w:t>במקרה כזה, יש לשנות את כותרות ה</w:t>
      </w:r>
      <w:r w:rsidRPr="00C149F3">
        <w:rPr>
          <w:rFonts w:hint="cs"/>
          <w:sz w:val="19"/>
          <w:szCs w:val="19"/>
          <w:rtl/>
        </w:rPr>
        <w:t>גילוי</w:t>
      </w:r>
      <w:r w:rsidRPr="00C149F3">
        <w:rPr>
          <w:sz w:val="19"/>
          <w:szCs w:val="19"/>
          <w:rtl/>
        </w:rPr>
        <w:t xml:space="preserve"> כדלקמן: "לפני ההצגה מחדש" ו-"לאחר ההצגה מחדש".</w:t>
      </w:r>
      <w:r w:rsidRPr="00C149F3">
        <w:rPr>
          <w:sz w:val="19"/>
          <w:szCs w:val="19"/>
          <w:rtl/>
        </w:rPr>
        <w:tab/>
      </w:r>
    </w:p>
  </w:footnote>
  <w:footnote w:id="29">
    <w:p w14:paraId="1EF2C51B" w14:textId="77777777" w:rsidR="00C149F3" w:rsidRPr="00C149F3" w:rsidRDefault="00C149F3" w:rsidP="00C149F3">
      <w:pPr>
        <w:pStyle w:val="a8"/>
        <w:rPr>
          <w:sz w:val="19"/>
          <w:szCs w:val="19"/>
          <w:rtl/>
        </w:rPr>
      </w:pPr>
      <w:r w:rsidRPr="00C149F3">
        <w:rPr>
          <w:rStyle w:val="a7"/>
          <w:sz w:val="19"/>
          <w:szCs w:val="19"/>
        </w:rPr>
        <w:footnoteRef/>
      </w:r>
      <w:r w:rsidRPr="00C149F3">
        <w:rPr>
          <w:sz w:val="19"/>
          <w:szCs w:val="19"/>
          <w:vertAlign w:val="superscript"/>
          <w:rtl/>
        </w:rPr>
        <w:t xml:space="preserve"> </w:t>
      </w:r>
      <w:r w:rsidRPr="00C149F3">
        <w:rPr>
          <w:sz w:val="19"/>
          <w:szCs w:val="19"/>
          <w:rtl/>
        </w:rPr>
        <w:tab/>
      </w:r>
      <w:r w:rsidRPr="00C149F3">
        <w:rPr>
          <w:rFonts w:hint="cs"/>
          <w:sz w:val="19"/>
          <w:szCs w:val="19"/>
          <w:rtl/>
        </w:rPr>
        <w:t>בהתאם לקודיפיקציה סעיף 250-10-50-4</w:t>
      </w:r>
      <w:r w:rsidRPr="00C149F3">
        <w:rPr>
          <w:sz w:val="19"/>
          <w:szCs w:val="19"/>
          <w:rtl/>
        </w:rPr>
        <w:t>,</w:t>
      </w:r>
      <w:r w:rsidRPr="00C149F3">
        <w:rPr>
          <w:rFonts w:hint="cs"/>
          <w:sz w:val="19"/>
          <w:szCs w:val="19"/>
          <w:rtl/>
        </w:rPr>
        <w:t xml:space="preserve"> </w:t>
      </w:r>
      <w:r w:rsidRPr="00C149F3">
        <w:rPr>
          <w:rFonts w:hint="eastAsia"/>
          <w:sz w:val="19"/>
          <w:szCs w:val="19"/>
          <w:rtl/>
        </w:rPr>
        <w:t>אם</w:t>
      </w:r>
      <w:r w:rsidRPr="00C149F3">
        <w:rPr>
          <w:sz w:val="19"/>
          <w:szCs w:val="19"/>
          <w:rtl/>
        </w:rPr>
        <w:t xml:space="preserve"> השפעת שינוי האומדן אינה מהותית בתקופת השינוי, אך ודאי באופן סביר שתהיה לשינוי זה השפעה מהותית בתקופות עוקבות, יינתן תיאור של שינוי האומדן </w:t>
      </w:r>
      <w:r w:rsidRPr="00C149F3">
        <w:rPr>
          <w:rFonts w:hint="cs"/>
          <w:sz w:val="19"/>
          <w:szCs w:val="19"/>
          <w:rtl/>
        </w:rPr>
        <w:t>כל אימת ש</w:t>
      </w:r>
      <w:r w:rsidRPr="00C149F3">
        <w:rPr>
          <w:rFonts w:hint="eastAsia"/>
          <w:sz w:val="19"/>
          <w:szCs w:val="19"/>
          <w:rtl/>
        </w:rPr>
        <w:t>הדוחות</w:t>
      </w:r>
      <w:r w:rsidRPr="00C149F3">
        <w:rPr>
          <w:sz w:val="19"/>
          <w:szCs w:val="19"/>
          <w:rtl/>
        </w:rPr>
        <w:t xml:space="preserve"> </w:t>
      </w:r>
      <w:r w:rsidRPr="00C149F3">
        <w:rPr>
          <w:rFonts w:hint="eastAsia"/>
          <w:sz w:val="19"/>
          <w:szCs w:val="19"/>
          <w:rtl/>
        </w:rPr>
        <w:t>הכספיים</w:t>
      </w:r>
      <w:r w:rsidRPr="00C149F3">
        <w:rPr>
          <w:sz w:val="19"/>
          <w:szCs w:val="19"/>
          <w:rtl/>
        </w:rPr>
        <w:t xml:space="preserve"> </w:t>
      </w:r>
      <w:r w:rsidRPr="00C149F3">
        <w:rPr>
          <w:rFonts w:hint="eastAsia"/>
          <w:sz w:val="19"/>
          <w:szCs w:val="19"/>
          <w:rtl/>
        </w:rPr>
        <w:t>לתקופת</w:t>
      </w:r>
      <w:r w:rsidRPr="00C149F3">
        <w:rPr>
          <w:sz w:val="19"/>
          <w:szCs w:val="19"/>
          <w:rtl/>
        </w:rPr>
        <w:t xml:space="preserve"> </w:t>
      </w:r>
      <w:r w:rsidRPr="00C149F3">
        <w:rPr>
          <w:rFonts w:hint="eastAsia"/>
          <w:sz w:val="19"/>
          <w:szCs w:val="19"/>
          <w:rtl/>
        </w:rPr>
        <w:t>השינוי</w:t>
      </w:r>
      <w:r w:rsidRPr="00C149F3">
        <w:rPr>
          <w:sz w:val="19"/>
          <w:szCs w:val="19"/>
          <w:rtl/>
        </w:rPr>
        <w:t xml:space="preserve"> </w:t>
      </w:r>
      <w:r w:rsidRPr="00C149F3">
        <w:rPr>
          <w:rFonts w:hint="eastAsia"/>
          <w:sz w:val="19"/>
          <w:szCs w:val="19"/>
          <w:rtl/>
        </w:rPr>
        <w:t>מוצגים</w:t>
      </w:r>
      <w:r w:rsidRPr="00C149F3">
        <w:rPr>
          <w:sz w:val="19"/>
          <w:szCs w:val="19"/>
          <w:rtl/>
        </w:rPr>
        <w:t>.</w:t>
      </w:r>
    </w:p>
  </w:footnote>
  <w:footnote w:id="30">
    <w:p w14:paraId="628059D6" w14:textId="77777777" w:rsidR="00C149F3" w:rsidRDefault="00C149F3" w:rsidP="00C149F3">
      <w:pPr>
        <w:pStyle w:val="a8"/>
        <w:rPr>
          <w:rtl/>
        </w:rPr>
      </w:pPr>
      <w:r w:rsidRPr="00C149F3">
        <w:rPr>
          <w:rStyle w:val="a7"/>
          <w:sz w:val="19"/>
          <w:szCs w:val="19"/>
        </w:rPr>
        <w:footnoteRef/>
      </w:r>
      <w:r w:rsidRPr="00C149F3">
        <w:rPr>
          <w:sz w:val="19"/>
          <w:szCs w:val="19"/>
          <w:vertAlign w:val="superscript"/>
          <w:rtl/>
        </w:rPr>
        <w:t xml:space="preserve"> </w:t>
      </w:r>
      <w:r w:rsidRPr="00C149F3">
        <w:rPr>
          <w:sz w:val="19"/>
          <w:szCs w:val="19"/>
          <w:rtl/>
        </w:rPr>
        <w:tab/>
      </w:r>
      <w:r w:rsidRPr="00C149F3">
        <w:rPr>
          <w:rFonts w:hint="cs"/>
          <w:sz w:val="19"/>
          <w:szCs w:val="19"/>
          <w:rtl/>
        </w:rPr>
        <w:t>בהתאם לקודיפיקציה סעיף 250-10-50-5</w:t>
      </w:r>
      <w:r w:rsidRPr="00C149F3">
        <w:rPr>
          <w:sz w:val="19"/>
          <w:szCs w:val="19"/>
          <w:rtl/>
        </w:rPr>
        <w:t>,</w:t>
      </w:r>
      <w:r w:rsidRPr="00C149F3">
        <w:rPr>
          <w:rFonts w:hint="cs"/>
          <w:sz w:val="19"/>
          <w:szCs w:val="19"/>
          <w:rtl/>
        </w:rPr>
        <w:t xml:space="preserve"> גילוי זה אינו נדרש לגבי שינוי בטכניקת הערכה ששימשה למדידת שווי הוגן בהתאם לנושא 820 לקודיפיקציה</w:t>
      </w:r>
      <w:r w:rsidRPr="00C149F3">
        <w:rPr>
          <w:sz w:val="19"/>
          <w:szCs w:val="19"/>
          <w:rtl/>
        </w:rPr>
        <w:t>.</w:t>
      </w:r>
      <w:r>
        <w:rPr>
          <w:rFonts w:hint="cs"/>
          <w:rtl/>
        </w:rPr>
        <w:t xml:space="preserve"> </w:t>
      </w:r>
    </w:p>
  </w:footnote>
  <w:footnote w:id="31">
    <w:p w14:paraId="48BCDE31" w14:textId="77777777" w:rsidR="00553945" w:rsidRPr="00357908" w:rsidRDefault="00553945" w:rsidP="00357908">
      <w:pPr>
        <w:pStyle w:val="a8"/>
        <w:spacing w:before="60" w:line="216" w:lineRule="auto"/>
        <w:rPr>
          <w:sz w:val="20"/>
          <w:rtl/>
        </w:rPr>
      </w:pPr>
      <w:r w:rsidRPr="00357908">
        <w:rPr>
          <w:rStyle w:val="a7"/>
        </w:rPr>
        <w:footnoteRef/>
      </w:r>
      <w:r w:rsidRPr="00357908">
        <w:rPr>
          <w:sz w:val="20"/>
          <w:rtl/>
        </w:rPr>
        <w:t xml:space="preserve"> </w:t>
      </w:r>
      <w:r w:rsidRPr="00357908">
        <w:rPr>
          <w:rFonts w:hint="cs"/>
          <w:sz w:val="20"/>
          <w:rtl/>
        </w:rPr>
        <w:tab/>
        <w:t>בהתאם להוראות הדיווח לציבור סעיף 65, הכנסות ריבית הנובעות מלקוח אחד, או מקבוצת לקוחות וסכומן עולה על 5% מסך ההכנסות, יצויינו בנפרד בביאור זה תוך פירוט מספר הלקוחות וסכומי ההכנסות. המבחן האמור לעיל יערך בהתאמה גם לגבי הוצאות ריבית הנובעות מלקוח אחד. לעניין זה, "קבוצת לקוחות" - תאגיד השולט בתאגיד אחר וכל תאגיד הנשלט על ידו.</w:t>
      </w:r>
    </w:p>
  </w:footnote>
  <w:footnote w:id="32">
    <w:p w14:paraId="10A4CE6D" w14:textId="5B152C57" w:rsidR="00553945" w:rsidRPr="00357908" w:rsidRDefault="00553945" w:rsidP="005B1AB6">
      <w:pPr>
        <w:pStyle w:val="a8"/>
        <w:spacing w:before="60" w:line="216" w:lineRule="auto"/>
        <w:rPr>
          <w:sz w:val="20"/>
          <w:rtl/>
        </w:rPr>
      </w:pPr>
      <w:r w:rsidRPr="00357908">
        <w:rPr>
          <w:rStyle w:val="a7"/>
        </w:rPr>
        <w:footnoteRef/>
      </w:r>
      <w:r w:rsidRPr="00357908">
        <w:rPr>
          <w:sz w:val="20"/>
          <w:rtl/>
        </w:rPr>
        <w:t xml:space="preserve"> </w:t>
      </w:r>
      <w:r w:rsidRPr="00357908">
        <w:rPr>
          <w:rFonts w:hint="cs"/>
          <w:sz w:val="20"/>
          <w:rtl/>
        </w:rPr>
        <w:t xml:space="preserve"> </w:t>
      </w:r>
      <w:r>
        <w:rPr>
          <w:rFonts w:hint="cs"/>
          <w:sz w:val="20"/>
          <w:rtl/>
        </w:rPr>
        <w:t xml:space="preserve"> </w:t>
      </w:r>
      <w:r w:rsidRPr="005B1AB6">
        <w:rPr>
          <w:rFonts w:hint="cs"/>
          <w:sz w:val="20"/>
          <w:rtl/>
        </w:rPr>
        <w:t xml:space="preserve">תוצאות הגידור בגידורי שווי הוגן ותזרים לרבות החלק הלא אפקטיבי שבגידור, </w:t>
      </w:r>
      <w:r>
        <w:rPr>
          <w:rFonts w:hint="cs"/>
          <w:sz w:val="20"/>
          <w:rtl/>
        </w:rPr>
        <w:t xml:space="preserve">מוצגות </w:t>
      </w:r>
      <w:r w:rsidRPr="005B1AB6">
        <w:rPr>
          <w:rFonts w:hint="cs"/>
          <w:sz w:val="20"/>
          <w:rtl/>
        </w:rPr>
        <w:t>באותם סעיפים</w:t>
      </w:r>
      <w:r w:rsidRPr="005B1AB6">
        <w:rPr>
          <w:rFonts w:hint="cs"/>
          <w:sz w:val="20"/>
        </w:rPr>
        <w:t xml:space="preserve"> </w:t>
      </w:r>
      <w:r w:rsidRPr="005B1AB6">
        <w:rPr>
          <w:rFonts w:hint="cs"/>
          <w:sz w:val="20"/>
          <w:rtl/>
        </w:rPr>
        <w:t>ברווח</w:t>
      </w:r>
      <w:r w:rsidRPr="005B1AB6">
        <w:rPr>
          <w:rFonts w:hint="cs"/>
          <w:sz w:val="20"/>
        </w:rPr>
        <w:t xml:space="preserve"> </w:t>
      </w:r>
      <w:r w:rsidRPr="005B1AB6">
        <w:rPr>
          <w:rFonts w:hint="cs"/>
          <w:sz w:val="20"/>
          <w:rtl/>
        </w:rPr>
        <w:t>והפסד הכוללים את השפעת</w:t>
      </w:r>
      <w:r w:rsidRPr="005B1AB6">
        <w:rPr>
          <w:rFonts w:hint="cs"/>
          <w:sz w:val="20"/>
        </w:rPr>
        <w:t xml:space="preserve"> </w:t>
      </w:r>
      <w:r w:rsidRPr="005B1AB6">
        <w:rPr>
          <w:rFonts w:hint="cs"/>
          <w:sz w:val="20"/>
          <w:rtl/>
        </w:rPr>
        <w:t>הפריט המגודר</w:t>
      </w:r>
      <w:r w:rsidRPr="005B1AB6">
        <w:rPr>
          <w:rFonts w:ascii="David" w:hAnsi="David" w:hint="cs"/>
          <w:sz w:val="20"/>
          <w:rtl/>
        </w:rPr>
        <w:t xml:space="preserve">. </w:t>
      </w:r>
      <w:r w:rsidRPr="005B1AB6">
        <w:rPr>
          <w:rFonts w:hint="cs"/>
          <w:sz w:val="20"/>
          <w:rtl/>
        </w:rPr>
        <w:t xml:space="preserve">כמו כן, סכומים שלא נכללו בהערכת אפקטיביות הגידור, ייכללו גם הם באותו סעיף ברווח והפסד הכולל את השפעות הפריט המגודר [סעיפים </w:t>
      </w:r>
      <w:r w:rsidRPr="005B1AB6">
        <w:rPr>
          <w:rFonts w:hint="cs"/>
          <w:sz w:val="20"/>
        </w:rPr>
        <w:t>A</w:t>
      </w:r>
      <w:r w:rsidRPr="005B1AB6">
        <w:rPr>
          <w:sz w:val="20"/>
        </w:rPr>
        <w:t>(a),(b)</w:t>
      </w:r>
      <w:r w:rsidRPr="005B1AB6">
        <w:rPr>
          <w:rFonts w:hint="cs"/>
          <w:sz w:val="20"/>
          <w:rtl/>
        </w:rPr>
        <w:t>815-20-45-1 בקודיפיקציה וה</w:t>
      </w:r>
      <w:r w:rsidRPr="005B1AB6">
        <w:rPr>
          <w:rFonts w:ascii="David" w:hAnsi="David"/>
          <w:sz w:val="20"/>
          <w:rtl/>
        </w:rPr>
        <w:t xml:space="preserve">חלופות בסעיפים </w:t>
      </w:r>
      <w:r w:rsidRPr="005B1AB6">
        <w:rPr>
          <w:rFonts w:ascii="David" w:hAnsi="David"/>
          <w:sz w:val="20"/>
        </w:rPr>
        <w:t>A</w:t>
      </w:r>
      <w:r w:rsidRPr="005B1AB6">
        <w:rPr>
          <w:rFonts w:ascii="David" w:hAnsi="David"/>
          <w:sz w:val="24"/>
          <w:szCs w:val="24"/>
        </w:rPr>
        <w:t>/</w:t>
      </w:r>
      <w:r w:rsidRPr="005B1AB6">
        <w:rPr>
          <w:rFonts w:ascii="David" w:hAnsi="David"/>
          <w:sz w:val="20"/>
        </w:rPr>
        <w:t>83B</w:t>
      </w:r>
      <w:r w:rsidRPr="005B1AB6">
        <w:rPr>
          <w:rFonts w:ascii="David" w:hAnsi="David"/>
          <w:sz w:val="20"/>
          <w:rtl/>
        </w:rPr>
        <w:t>815-20-25-83</w:t>
      </w:r>
      <w:r w:rsidRPr="005B1AB6">
        <w:rPr>
          <w:rFonts w:ascii="David" w:hAnsi="David" w:hint="cs"/>
          <w:sz w:val="20"/>
          <w:rtl/>
        </w:rPr>
        <w:t>]</w:t>
      </w:r>
      <w:r w:rsidRPr="005B1AB6">
        <w:rPr>
          <w:rFonts w:hint="cs"/>
          <w:sz w:val="20"/>
          <w:rtl/>
        </w:rPr>
        <w:t>.</w:t>
      </w:r>
    </w:p>
  </w:footnote>
  <w:footnote w:id="33">
    <w:p w14:paraId="35FD1017" w14:textId="3F012279" w:rsidR="00553945" w:rsidRPr="001E5034" w:rsidRDefault="00553945" w:rsidP="005B1AB6">
      <w:pPr>
        <w:pStyle w:val="a8"/>
        <w:spacing w:before="40" w:line="210" w:lineRule="exact"/>
        <w:rPr>
          <w:rFonts w:ascii="David" w:hAnsi="David"/>
          <w:sz w:val="20"/>
          <w:rtl/>
        </w:rPr>
      </w:pPr>
      <w:r w:rsidRPr="00231CE6">
        <w:rPr>
          <w:rFonts w:asciiTheme="minorBidi" w:hAnsiTheme="minorBidi" w:cstheme="minorBidi"/>
          <w:sz w:val="20"/>
          <w:szCs w:val="22"/>
          <w:vertAlign w:val="superscript"/>
        </w:rPr>
        <w:footnoteRef/>
      </w:r>
      <w:r w:rsidRPr="00231CE6">
        <w:rPr>
          <w:rFonts w:asciiTheme="minorBidi" w:hAnsiTheme="minorBidi" w:cstheme="minorBidi"/>
          <w:sz w:val="22"/>
          <w:szCs w:val="22"/>
          <w:vertAlign w:val="superscript"/>
          <w:rtl/>
        </w:rPr>
        <w:t xml:space="preserve"> </w:t>
      </w:r>
      <w:r w:rsidRPr="001E5034">
        <w:rPr>
          <w:rFonts w:ascii="David" w:hAnsi="David"/>
          <w:sz w:val="20"/>
          <w:rtl/>
        </w:rPr>
        <w:t xml:space="preserve"> </w:t>
      </w:r>
      <w:r w:rsidRPr="001E5034">
        <w:rPr>
          <w:rFonts w:ascii="David" w:hAnsi="David"/>
          <w:sz w:val="20"/>
          <w:rtl/>
        </w:rPr>
        <w:tab/>
        <w:t>סעיף זה כולל הכנסות (הוצא</w:t>
      </w:r>
      <w:r>
        <w:rPr>
          <w:rFonts w:ascii="David" w:hAnsi="David" w:hint="cs"/>
          <w:sz w:val="20"/>
          <w:rtl/>
        </w:rPr>
        <w:t>ו</w:t>
      </w:r>
      <w:r w:rsidRPr="001E5034">
        <w:rPr>
          <w:rFonts w:ascii="David" w:hAnsi="David"/>
          <w:sz w:val="20"/>
          <w:rtl/>
        </w:rPr>
        <w:t>ת) מפעילות בנגזרים שאינם מגדרים. החלק הלא אפקטיבי בגידור וכן סכומים שלא נכללו בהערכת אפקטיביות הגידור, מוצגים כחלק מתוצאות הגידור.</w:t>
      </w:r>
    </w:p>
  </w:footnote>
  <w:footnote w:id="34">
    <w:p w14:paraId="485F08DD" w14:textId="2EE46FF2" w:rsidR="00553945" w:rsidRPr="001E5034" w:rsidRDefault="00553945" w:rsidP="005B1AB6">
      <w:pPr>
        <w:pStyle w:val="a8"/>
        <w:spacing w:before="40" w:line="210" w:lineRule="exact"/>
        <w:rPr>
          <w:rFonts w:ascii="David" w:hAnsi="David"/>
          <w:sz w:val="20"/>
          <w:rtl/>
        </w:rPr>
      </w:pPr>
      <w:r w:rsidRPr="00231CE6">
        <w:rPr>
          <w:rFonts w:asciiTheme="minorBidi" w:hAnsiTheme="minorBidi" w:cstheme="minorBidi"/>
          <w:vertAlign w:val="superscript"/>
        </w:rPr>
        <w:footnoteRef/>
      </w:r>
      <w:r w:rsidRPr="001E5034">
        <w:rPr>
          <w:rFonts w:ascii="David" w:hAnsi="David"/>
          <w:sz w:val="20"/>
          <w:rtl/>
        </w:rPr>
        <w:t xml:space="preserve">  </w:t>
      </w:r>
      <w:r w:rsidRPr="001E5034">
        <w:rPr>
          <w:rFonts w:ascii="David" w:hAnsi="David"/>
          <w:sz w:val="20"/>
          <w:rtl/>
        </w:rPr>
        <w:tab/>
      </w:r>
      <w:r w:rsidRPr="00231CE6">
        <w:rPr>
          <w:rFonts w:ascii="David" w:hAnsi="David" w:hint="cs"/>
          <w:sz w:val="20"/>
          <w:rtl/>
        </w:rPr>
        <w:t xml:space="preserve">בהתאם לחלופת המדידה בסעיף 321-10-35-2 לקודיפיקציה, לגבי </w:t>
      </w:r>
      <w:r w:rsidRPr="00231CE6">
        <w:rPr>
          <w:rFonts w:ascii="David" w:hAnsi="David"/>
          <w:sz w:val="20"/>
          <w:rtl/>
        </w:rPr>
        <w:t xml:space="preserve">מניות שלא קיים לגביהן שווי הוגן זמין – </w:t>
      </w:r>
      <w:r w:rsidRPr="00231CE6">
        <w:rPr>
          <w:rFonts w:ascii="David" w:hAnsi="David" w:hint="cs"/>
          <w:sz w:val="20"/>
          <w:rtl/>
        </w:rPr>
        <w:t>ככל שהתאגיד הבנקאי מזהה מחירים נצפים בעסקאות רגילות עבור השקעה זהה או דומה של אותו מנפיק - הן ימדדו בשווי הוגן לתאריך העסקה הנצפית.</w:t>
      </w:r>
    </w:p>
  </w:footnote>
  <w:footnote w:id="35">
    <w:p w14:paraId="00E3DD35" w14:textId="77777777" w:rsidR="00553945" w:rsidRPr="001E5034" w:rsidRDefault="00553945" w:rsidP="007F4B61">
      <w:pPr>
        <w:pStyle w:val="a8"/>
        <w:spacing w:before="40" w:line="210" w:lineRule="exact"/>
        <w:rPr>
          <w:rFonts w:ascii="David" w:hAnsi="David"/>
          <w:sz w:val="20"/>
        </w:rPr>
      </w:pPr>
      <w:r w:rsidRPr="00231CE6">
        <w:rPr>
          <w:rFonts w:asciiTheme="minorBidi" w:hAnsiTheme="minorBidi" w:cstheme="minorBidi"/>
          <w:sz w:val="20"/>
          <w:vertAlign w:val="superscript"/>
        </w:rPr>
        <w:footnoteRef/>
      </w:r>
      <w:r w:rsidRPr="00231CE6">
        <w:rPr>
          <w:rFonts w:asciiTheme="minorBidi" w:hAnsiTheme="minorBidi" w:cstheme="minorBidi"/>
          <w:sz w:val="20"/>
          <w:vertAlign w:val="superscript"/>
          <w:rtl/>
        </w:rPr>
        <w:t xml:space="preserve"> </w:t>
      </w:r>
      <w:r w:rsidRPr="001E5034">
        <w:rPr>
          <w:rFonts w:ascii="David" w:hAnsi="David"/>
          <w:sz w:val="20"/>
          <w:rtl/>
        </w:rPr>
        <w:t xml:space="preserve">  </w:t>
      </w:r>
      <w:r>
        <w:rPr>
          <w:rFonts w:ascii="David" w:hAnsi="David"/>
          <w:sz w:val="20"/>
          <w:rtl/>
        </w:rPr>
        <w:tab/>
      </w:r>
      <w:r w:rsidRPr="001E5034">
        <w:rPr>
          <w:rFonts w:ascii="David" w:hAnsi="David"/>
          <w:sz w:val="20"/>
          <w:rtl/>
        </w:rPr>
        <w:t xml:space="preserve">למעט הפרשי שער על פריטים שתוצאתם מוכרת בסעיף "הכנסות מימון שאינן מריבית בגין פעילויות למטרת מסחר".  </w:t>
      </w:r>
    </w:p>
  </w:footnote>
  <w:footnote w:id="36">
    <w:p w14:paraId="40A9E257" w14:textId="4E1F0A51" w:rsidR="00553945" w:rsidRPr="001E5034" w:rsidRDefault="00553945" w:rsidP="005B1AB6">
      <w:pPr>
        <w:pStyle w:val="a8"/>
        <w:spacing w:before="40" w:line="210" w:lineRule="exact"/>
        <w:rPr>
          <w:rFonts w:ascii="David" w:hAnsi="David"/>
          <w:sz w:val="20"/>
        </w:rPr>
      </w:pPr>
      <w:r w:rsidRPr="00231CE6">
        <w:rPr>
          <w:rFonts w:asciiTheme="minorBidi" w:hAnsiTheme="minorBidi" w:cstheme="minorBidi"/>
          <w:sz w:val="20"/>
          <w:vertAlign w:val="superscript"/>
        </w:rPr>
        <w:footnoteRef/>
      </w:r>
      <w:r w:rsidRPr="001E5034">
        <w:rPr>
          <w:rFonts w:ascii="David" w:hAnsi="David"/>
          <w:sz w:val="20"/>
          <w:rtl/>
        </w:rPr>
        <w:t xml:space="preserve">  </w:t>
      </w:r>
      <w:r w:rsidRPr="001E5034">
        <w:rPr>
          <w:rFonts w:ascii="David" w:hAnsi="David"/>
          <w:sz w:val="20"/>
          <w:rtl/>
        </w:rPr>
        <w:tab/>
      </w:r>
      <w:r w:rsidRPr="005B1AB6">
        <w:rPr>
          <w:rFonts w:ascii="David" w:hAnsi="David"/>
          <w:sz w:val="20"/>
          <w:rtl/>
        </w:rPr>
        <w:t>בהתאם לסעיף</w:t>
      </w:r>
      <w:r w:rsidRPr="005B1AB6">
        <w:rPr>
          <w:rFonts w:ascii="David" w:hAnsi="David"/>
          <w:sz w:val="20"/>
        </w:rPr>
        <w:t xml:space="preserve">C </w:t>
      </w:r>
      <w:r w:rsidRPr="005B1AB6">
        <w:rPr>
          <w:rFonts w:ascii="David" w:hAnsi="David"/>
          <w:sz w:val="20"/>
          <w:rtl/>
        </w:rPr>
        <w:t>815-20-45-1 לקודיפיקציה, מוצג באותו סעיף המשמש להצגת השפעת הרווחים של ההשקעה נטו המגודרת, סכומים שסווגו מחדש מרווח כולל אחר מצטבר. [לרבות סכומים שלא נכללו בהערכת האפקטיביות (לחילופין: כחלק מהכנסות שאינן מריבית - הכנסות אחרות)].</w:t>
      </w:r>
    </w:p>
  </w:footnote>
  <w:footnote w:id="37">
    <w:p w14:paraId="505D0443" w14:textId="0996CA60" w:rsidR="00553945" w:rsidRPr="001E5034" w:rsidRDefault="00553945" w:rsidP="00B676E7">
      <w:pPr>
        <w:pStyle w:val="a8"/>
        <w:spacing w:before="40" w:line="210" w:lineRule="exact"/>
        <w:rPr>
          <w:rFonts w:ascii="David" w:hAnsi="David"/>
          <w:sz w:val="20"/>
          <w:rtl/>
        </w:rPr>
      </w:pPr>
      <w:r w:rsidRPr="00231CE6">
        <w:rPr>
          <w:rFonts w:asciiTheme="minorBidi" w:hAnsiTheme="minorBidi" w:cstheme="minorBidi"/>
          <w:sz w:val="20"/>
          <w:vertAlign w:val="superscript"/>
        </w:rPr>
        <w:footnoteRef/>
      </w:r>
      <w:r w:rsidRPr="00231CE6">
        <w:rPr>
          <w:rFonts w:asciiTheme="minorBidi" w:hAnsiTheme="minorBidi" w:cstheme="minorBidi"/>
          <w:sz w:val="20"/>
          <w:vertAlign w:val="superscript"/>
          <w:rtl/>
        </w:rPr>
        <w:t xml:space="preserve"> </w:t>
      </w:r>
      <w:r w:rsidRPr="001E5034">
        <w:rPr>
          <w:rFonts w:ascii="David" w:hAnsi="David"/>
          <w:sz w:val="20"/>
          <w:rtl/>
        </w:rPr>
        <w:t xml:space="preserve"> </w:t>
      </w:r>
      <w:r>
        <w:rPr>
          <w:rFonts w:ascii="David" w:hAnsi="David" w:hint="cs"/>
          <w:sz w:val="20"/>
        </w:rPr>
        <w:t xml:space="preserve"> </w:t>
      </w:r>
      <w:r w:rsidRPr="001E5034">
        <w:rPr>
          <w:rFonts w:ascii="David" w:hAnsi="David"/>
          <w:sz w:val="20"/>
          <w:rtl/>
        </w:rPr>
        <w:t>יש לתת גילוי לכל השקעה בנפרד, בציון רווחים או הפסדים הנובעים מהנפקת מניות על ידי החברות לצד שלישי או משינוי אחר במבנה ההון שלהן.</w:t>
      </w:r>
    </w:p>
  </w:footnote>
  <w:footnote w:id="38">
    <w:p w14:paraId="1CC225A6" w14:textId="77777777" w:rsidR="00553945" w:rsidRDefault="00553945" w:rsidP="00CA7097">
      <w:pPr>
        <w:pStyle w:val="a8"/>
        <w:rPr>
          <w:rtl/>
        </w:rPr>
      </w:pPr>
      <w:r>
        <w:rPr>
          <w:rStyle w:val="a7"/>
        </w:rPr>
        <w:footnoteRef/>
      </w:r>
      <w:r>
        <w:rPr>
          <w:rtl/>
        </w:rPr>
        <w:t xml:space="preserve"> </w:t>
      </w:r>
      <w:r>
        <w:rPr>
          <w:rFonts w:hint="cs"/>
          <w:rtl/>
        </w:rPr>
        <w:tab/>
      </w:r>
      <w:r w:rsidRPr="00D4087A">
        <w:rPr>
          <w:rFonts w:hint="cs"/>
          <w:sz w:val="20"/>
          <w:rtl/>
        </w:rPr>
        <w:t>הפירוט</w:t>
      </w:r>
      <w:r>
        <w:rPr>
          <w:rFonts w:hint="cs"/>
          <w:sz w:val="20"/>
          <w:rtl/>
        </w:rPr>
        <w:t xml:space="preserve"> </w:t>
      </w:r>
      <w:r w:rsidRPr="00D4087A">
        <w:rPr>
          <w:rFonts w:hint="cs"/>
          <w:sz w:val="20"/>
          <w:rtl/>
        </w:rPr>
        <w:t>י</w:t>
      </w:r>
      <w:r>
        <w:rPr>
          <w:rFonts w:hint="cs"/>
          <w:sz w:val="20"/>
          <w:rtl/>
        </w:rPr>
        <w:t>י</w:t>
      </w:r>
      <w:r w:rsidRPr="00D4087A">
        <w:rPr>
          <w:rFonts w:hint="cs"/>
          <w:sz w:val="20"/>
          <w:rtl/>
        </w:rPr>
        <w:t xml:space="preserve">נתן במידה וסכום </w:t>
      </w:r>
      <w:r>
        <w:rPr>
          <w:rFonts w:hint="cs"/>
          <w:sz w:val="20"/>
          <w:rtl/>
        </w:rPr>
        <w:t>ה</w:t>
      </w:r>
      <w:r w:rsidRPr="00D4087A">
        <w:rPr>
          <w:rFonts w:hint="cs"/>
          <w:sz w:val="20"/>
          <w:rtl/>
        </w:rPr>
        <w:t xml:space="preserve">הכנסות שאינן מריבית </w:t>
      </w:r>
      <w:r>
        <w:rPr>
          <w:rFonts w:hint="cs"/>
          <w:sz w:val="20"/>
          <w:rtl/>
        </w:rPr>
        <w:t>מפעילות</w:t>
      </w:r>
      <w:r w:rsidRPr="00D4087A">
        <w:rPr>
          <w:rFonts w:hint="cs"/>
          <w:sz w:val="20"/>
          <w:rtl/>
        </w:rPr>
        <w:t xml:space="preserve"> מסחר הינו מהותי</w:t>
      </w:r>
      <w:r>
        <w:rPr>
          <w:rtl/>
        </w:rPr>
        <w:t>.</w:t>
      </w:r>
      <w:r w:rsidRPr="00D9572E">
        <w:rPr>
          <w:b/>
          <w:bCs/>
          <w:rtl/>
        </w:rPr>
        <w:t xml:space="preserve"> </w:t>
      </w:r>
    </w:p>
  </w:footnote>
  <w:footnote w:id="39">
    <w:p w14:paraId="5F2B0A8C" w14:textId="77777777" w:rsidR="00553945" w:rsidRDefault="00553945" w:rsidP="00311A86">
      <w:pPr>
        <w:pStyle w:val="a8"/>
        <w:rPr>
          <w:rtl/>
        </w:rPr>
      </w:pPr>
      <w:r>
        <w:rPr>
          <w:rStyle w:val="a7"/>
        </w:rPr>
        <w:footnoteRef/>
      </w:r>
      <w:r w:rsidRPr="00B44059">
        <w:rPr>
          <w:rtl/>
        </w:rPr>
        <w:t xml:space="preserve"> </w:t>
      </w:r>
      <w:r w:rsidRPr="00B44059">
        <w:rPr>
          <w:rtl/>
        </w:rPr>
        <w:tab/>
      </w:r>
      <w:r w:rsidRPr="00B44059">
        <w:rPr>
          <w:rFonts w:hint="eastAsia"/>
          <w:rtl/>
        </w:rPr>
        <w:t>בהתאם</w:t>
      </w:r>
      <w:r w:rsidRPr="00B44059">
        <w:rPr>
          <w:rtl/>
        </w:rPr>
        <w:t xml:space="preserve"> </w:t>
      </w:r>
      <w:r w:rsidRPr="00B44059">
        <w:rPr>
          <w:rFonts w:hint="eastAsia"/>
          <w:rtl/>
        </w:rPr>
        <w:t>להוראות</w:t>
      </w:r>
      <w:r w:rsidRPr="00B44059">
        <w:rPr>
          <w:rtl/>
        </w:rPr>
        <w:t xml:space="preserve"> </w:t>
      </w:r>
      <w:r w:rsidRPr="00B44059">
        <w:rPr>
          <w:rFonts w:hint="eastAsia"/>
          <w:rtl/>
        </w:rPr>
        <w:t>הדיווח</w:t>
      </w:r>
      <w:r w:rsidRPr="00B44059">
        <w:rPr>
          <w:rtl/>
        </w:rPr>
        <w:t xml:space="preserve"> </w:t>
      </w:r>
      <w:r w:rsidRPr="00B44059">
        <w:rPr>
          <w:rFonts w:hint="eastAsia"/>
          <w:rtl/>
        </w:rPr>
        <w:t>לציבור</w:t>
      </w:r>
      <w:r w:rsidRPr="00B44059">
        <w:rPr>
          <w:rtl/>
        </w:rPr>
        <w:t xml:space="preserve"> </w:t>
      </w:r>
      <w:r w:rsidRPr="00B44059">
        <w:rPr>
          <w:rFonts w:hint="eastAsia"/>
          <w:rtl/>
        </w:rPr>
        <w:t>סעיף</w:t>
      </w:r>
      <w:r w:rsidRPr="00B44059">
        <w:rPr>
          <w:rtl/>
        </w:rPr>
        <w:t xml:space="preserve"> 66א(ב), </w:t>
      </w:r>
      <w:r w:rsidRPr="00B44059">
        <w:rPr>
          <w:rFonts w:hint="eastAsia"/>
          <w:rtl/>
        </w:rPr>
        <w:t>במכשיר</w:t>
      </w:r>
      <w:r w:rsidRPr="00B44059">
        <w:rPr>
          <w:rtl/>
        </w:rPr>
        <w:t xml:space="preserve"> </w:t>
      </w:r>
      <w:r w:rsidRPr="00B44059">
        <w:rPr>
          <w:rFonts w:hint="eastAsia"/>
          <w:rtl/>
        </w:rPr>
        <w:t>נגזר</w:t>
      </w:r>
      <w:r w:rsidRPr="00B44059">
        <w:rPr>
          <w:rtl/>
        </w:rPr>
        <w:t xml:space="preserve"> </w:t>
      </w:r>
      <w:r w:rsidRPr="00B44059">
        <w:rPr>
          <w:rFonts w:hint="eastAsia"/>
          <w:rtl/>
        </w:rPr>
        <w:t>יינתן</w:t>
      </w:r>
      <w:r w:rsidRPr="00B44059">
        <w:rPr>
          <w:rtl/>
        </w:rPr>
        <w:t xml:space="preserve"> </w:t>
      </w:r>
      <w:r w:rsidRPr="00B44059">
        <w:rPr>
          <w:rFonts w:hint="eastAsia"/>
          <w:rtl/>
        </w:rPr>
        <w:t>הגילוי</w:t>
      </w:r>
      <w:r w:rsidRPr="00B44059">
        <w:rPr>
          <w:rtl/>
        </w:rPr>
        <w:t xml:space="preserve"> </w:t>
      </w:r>
      <w:r w:rsidRPr="00B44059">
        <w:rPr>
          <w:rFonts w:hint="eastAsia"/>
          <w:rtl/>
        </w:rPr>
        <w:t>לפי</w:t>
      </w:r>
      <w:r w:rsidRPr="00B44059">
        <w:rPr>
          <w:rtl/>
        </w:rPr>
        <w:t xml:space="preserve"> </w:t>
      </w:r>
      <w:r w:rsidRPr="00B44059">
        <w:rPr>
          <w:rFonts w:hint="eastAsia"/>
          <w:rtl/>
        </w:rPr>
        <w:t>חשיפת</w:t>
      </w:r>
      <w:r w:rsidRPr="00B44059">
        <w:rPr>
          <w:rtl/>
        </w:rPr>
        <w:t xml:space="preserve"> </w:t>
      </w:r>
      <w:r w:rsidRPr="00B44059">
        <w:rPr>
          <w:rFonts w:hint="eastAsia"/>
          <w:rtl/>
        </w:rPr>
        <w:t>הסיכון</w:t>
      </w:r>
      <w:r w:rsidRPr="00B44059">
        <w:rPr>
          <w:rtl/>
        </w:rPr>
        <w:t xml:space="preserve"> </w:t>
      </w:r>
      <w:r w:rsidRPr="00B44059">
        <w:rPr>
          <w:rFonts w:hint="eastAsia"/>
          <w:rtl/>
        </w:rPr>
        <w:t>של</w:t>
      </w:r>
      <w:r w:rsidRPr="00B44059">
        <w:rPr>
          <w:rtl/>
        </w:rPr>
        <w:t xml:space="preserve"> </w:t>
      </w:r>
      <w:r w:rsidRPr="00B44059">
        <w:rPr>
          <w:rFonts w:hint="eastAsia"/>
          <w:rtl/>
        </w:rPr>
        <w:t>הבסיס</w:t>
      </w:r>
      <w:r w:rsidRPr="00B44059">
        <w:rPr>
          <w:rtl/>
        </w:rPr>
        <w:t xml:space="preserve"> </w:t>
      </w:r>
      <w:r w:rsidRPr="00B44059">
        <w:rPr>
          <w:rFonts w:hint="eastAsia"/>
          <w:rtl/>
        </w:rPr>
        <w:t>של</w:t>
      </w:r>
      <w:r w:rsidRPr="00B44059">
        <w:rPr>
          <w:rtl/>
        </w:rPr>
        <w:t xml:space="preserve"> </w:t>
      </w:r>
      <w:r w:rsidRPr="00B44059">
        <w:rPr>
          <w:rFonts w:hint="eastAsia"/>
          <w:rtl/>
        </w:rPr>
        <w:t>המכשיר</w:t>
      </w:r>
      <w:r w:rsidRPr="00B44059">
        <w:rPr>
          <w:rtl/>
        </w:rPr>
        <w:t xml:space="preserve"> </w:t>
      </w:r>
      <w:r w:rsidRPr="00B44059">
        <w:rPr>
          <w:rFonts w:hint="eastAsia"/>
          <w:rtl/>
        </w:rPr>
        <w:t>הנגזר</w:t>
      </w:r>
      <w:r w:rsidRPr="00B44059">
        <w:rPr>
          <w:rtl/>
        </w:rPr>
        <w:t xml:space="preserve">. </w:t>
      </w:r>
    </w:p>
  </w:footnote>
  <w:footnote w:id="40">
    <w:p w14:paraId="5E6741D3" w14:textId="77777777" w:rsidR="00553945" w:rsidRPr="00130B86" w:rsidRDefault="00553945" w:rsidP="00890A9F">
      <w:pPr>
        <w:pStyle w:val="a8"/>
        <w:spacing w:before="0" w:line="210" w:lineRule="exact"/>
        <w:ind w:left="215" w:hanging="215"/>
        <w:rPr>
          <w:rFonts w:ascii="David" w:hAnsi="David"/>
          <w:sz w:val="16"/>
          <w:szCs w:val="16"/>
          <w:rtl/>
        </w:rPr>
      </w:pPr>
      <w:r w:rsidRPr="00130B86">
        <w:rPr>
          <w:rStyle w:val="a7"/>
          <w:rFonts w:ascii="David" w:hAnsi="David" w:cs="David"/>
          <w:sz w:val="16"/>
          <w:szCs w:val="16"/>
        </w:rPr>
        <w:footnoteRef/>
      </w:r>
      <w:r w:rsidRPr="00130B86">
        <w:rPr>
          <w:rFonts w:ascii="David" w:hAnsi="David"/>
          <w:sz w:val="16"/>
          <w:szCs w:val="16"/>
          <w:rtl/>
        </w:rPr>
        <w:t xml:space="preserve"> </w:t>
      </w:r>
      <w:r w:rsidRPr="00130B86">
        <w:rPr>
          <w:rFonts w:ascii="David" w:hAnsi="David"/>
          <w:sz w:val="16"/>
          <w:szCs w:val="16"/>
          <w:rtl/>
        </w:rPr>
        <w:tab/>
        <w:t>במידה והסכום לפני מס של (רווחים) הפסדים נטו מהתאמות מתרגום שסווגו מחדש לדוח רווח והפסד, מדווח בסעיף אחר, יש לפרט את שם הסעיף הרלוונטי בדוח רווח והפסד.</w:t>
      </w:r>
      <w:r w:rsidRPr="00130B86">
        <w:rPr>
          <w:rFonts w:ascii="David" w:hAnsi="David"/>
          <w:sz w:val="16"/>
          <w:szCs w:val="16"/>
        </w:rPr>
        <w:t xml:space="preserve">     </w:t>
      </w:r>
    </w:p>
  </w:footnote>
  <w:footnote w:id="41">
    <w:p w14:paraId="3A553590" w14:textId="77777777" w:rsidR="00553945" w:rsidRPr="00130B86" w:rsidRDefault="00553945">
      <w:pPr>
        <w:pStyle w:val="a8"/>
        <w:spacing w:before="0" w:line="210" w:lineRule="exact"/>
        <w:ind w:left="215" w:hanging="215"/>
        <w:rPr>
          <w:rFonts w:ascii="David" w:hAnsi="David"/>
          <w:sz w:val="16"/>
          <w:szCs w:val="16"/>
          <w:rtl/>
        </w:rPr>
      </w:pPr>
      <w:r w:rsidRPr="00130B86">
        <w:rPr>
          <w:rStyle w:val="a7"/>
          <w:rFonts w:ascii="David" w:hAnsi="David" w:cs="David"/>
          <w:sz w:val="16"/>
          <w:szCs w:val="16"/>
        </w:rPr>
        <w:footnoteRef/>
      </w:r>
      <w:r w:rsidRPr="00130B86">
        <w:rPr>
          <w:rFonts w:ascii="David" w:hAnsi="David"/>
          <w:sz w:val="16"/>
          <w:szCs w:val="16"/>
          <w:rtl/>
        </w:rPr>
        <w:t xml:space="preserve"> </w:t>
      </w:r>
      <w:r w:rsidRPr="00130B86">
        <w:rPr>
          <w:rFonts w:ascii="David" w:hAnsi="David"/>
          <w:sz w:val="16"/>
          <w:szCs w:val="16"/>
          <w:rtl/>
        </w:rPr>
        <w:tab/>
        <w:t>אם מהותי, יינתן גילוי נפרד לסכום ההתאמות בגין חברות כלולות.</w:t>
      </w:r>
    </w:p>
  </w:footnote>
  <w:footnote w:id="42">
    <w:p w14:paraId="71F49D17" w14:textId="77777777" w:rsidR="00553945" w:rsidRPr="00AC1A00" w:rsidRDefault="00553945" w:rsidP="000F4014">
      <w:pPr>
        <w:pStyle w:val="a8"/>
        <w:spacing w:before="0" w:line="220" w:lineRule="exact"/>
        <w:ind w:left="215" w:hanging="215"/>
        <w:rPr>
          <w:rtl/>
        </w:rPr>
      </w:pPr>
      <w:r w:rsidRPr="00130B86">
        <w:rPr>
          <w:rStyle w:val="a7"/>
          <w:rFonts w:ascii="David" w:hAnsi="David" w:cs="David"/>
          <w:sz w:val="16"/>
          <w:szCs w:val="16"/>
        </w:rPr>
        <w:footnoteRef/>
      </w:r>
      <w:r w:rsidRPr="00130B86">
        <w:rPr>
          <w:rFonts w:ascii="David" w:hAnsi="David"/>
          <w:sz w:val="16"/>
          <w:szCs w:val="16"/>
          <w:rtl/>
        </w:rPr>
        <w:t xml:space="preserve"> </w:t>
      </w:r>
      <w:r w:rsidRPr="00130B86">
        <w:rPr>
          <w:rFonts w:ascii="David" w:hAnsi="David"/>
          <w:sz w:val="16"/>
          <w:szCs w:val="16"/>
          <w:rtl/>
        </w:rPr>
        <w:tab/>
        <w:t>הסכום לפני מס מדווח בדוח רווח והפסד באותם סעיפים שבהם מדווחים הפריטים המגודרים. יש לפרט את הסעיפים הרלוונטיים. יש לציין את סוגי הסיכונים המגודרים (ריבית, מט"ח וכו') ולכלול פירוט נוסף אם מהותי.</w:t>
      </w:r>
    </w:p>
  </w:footnote>
  <w:footnote w:id="43">
    <w:p w14:paraId="15112DEC" w14:textId="77777777" w:rsidR="00553945" w:rsidRPr="00580C3A" w:rsidRDefault="00553945" w:rsidP="00D23A00">
      <w:pPr>
        <w:pStyle w:val="a8"/>
        <w:spacing w:line="160" w:lineRule="exact"/>
        <w:ind w:left="215" w:hanging="215"/>
        <w:rPr>
          <w:rFonts w:ascii="David" w:hAnsi="David"/>
          <w:szCs w:val="18"/>
          <w:rtl/>
        </w:rPr>
      </w:pPr>
      <w:r w:rsidRPr="00580C3A">
        <w:rPr>
          <w:rStyle w:val="a7"/>
          <w:rFonts w:ascii="David" w:hAnsi="David" w:cs="David"/>
          <w:sz w:val="18"/>
          <w:szCs w:val="18"/>
        </w:rPr>
        <w:footnoteRef/>
      </w:r>
      <w:r w:rsidRPr="00580C3A">
        <w:rPr>
          <w:rFonts w:ascii="David" w:hAnsi="David"/>
          <w:szCs w:val="18"/>
          <w:rtl/>
        </w:rPr>
        <w:t xml:space="preserve"> </w:t>
      </w:r>
      <w:r w:rsidRPr="00580C3A">
        <w:rPr>
          <w:rFonts w:ascii="David" w:hAnsi="David"/>
          <w:szCs w:val="18"/>
          <w:rtl/>
        </w:rPr>
        <w:tab/>
        <w:t xml:space="preserve">בהתאם להוראות הדיווח לציבור סעיף 24(א2), תאגיד בנקאי יבחן, בהתחשב בשיקולי מהותיות, האם נדרש לתת פירוט רחב יותר לגבי סוג מסוים של נייר ערך, בהתבסס על המהות והסיכונים של ניירות הערך. בבחינה זו תאגיד בנקאי יביא בחשבון את הגורמים הבאים: (1) ענף פעילות; (2) מועד יצירה; (3) ריכוז גיאוגרפי; (4) איכות אשראי ו-(5) מאפיינים כלכליים. </w:t>
      </w:r>
    </w:p>
  </w:footnote>
  <w:footnote w:id="44">
    <w:p w14:paraId="6CCBA87F" w14:textId="77777777" w:rsidR="00361A81" w:rsidRPr="00D23A00" w:rsidRDefault="00361A81" w:rsidP="00D23A00">
      <w:pPr>
        <w:pStyle w:val="a8"/>
        <w:spacing w:line="160" w:lineRule="exact"/>
        <w:ind w:left="215" w:hanging="215"/>
        <w:rPr>
          <w:sz w:val="16"/>
          <w:szCs w:val="16"/>
          <w:rtl/>
        </w:rPr>
      </w:pPr>
      <w:r w:rsidRPr="00580C3A">
        <w:rPr>
          <w:rStyle w:val="a7"/>
          <w:rFonts w:ascii="David" w:hAnsi="David" w:cs="David"/>
          <w:sz w:val="18"/>
          <w:szCs w:val="18"/>
        </w:rPr>
        <w:footnoteRef/>
      </w:r>
      <w:r w:rsidRPr="00580C3A">
        <w:rPr>
          <w:rFonts w:ascii="David" w:hAnsi="David"/>
          <w:szCs w:val="18"/>
          <w:rtl/>
        </w:rPr>
        <w:t xml:space="preserve"> </w:t>
      </w:r>
      <w:r w:rsidRPr="00580C3A">
        <w:rPr>
          <w:rFonts w:ascii="David" w:hAnsi="David"/>
          <w:szCs w:val="18"/>
          <w:rtl/>
        </w:rPr>
        <w:tab/>
        <w:t>אם יש לתאגיד הבנקאי ניירות ערך למסחר או אגרות חוב המוחזקות לפדיון שהם מגובי נכסים (</w:t>
      </w:r>
      <w:r w:rsidRPr="00580C3A">
        <w:rPr>
          <w:rFonts w:ascii="David" w:hAnsi="David"/>
          <w:szCs w:val="18"/>
        </w:rPr>
        <w:t>ABS</w:t>
      </w:r>
      <w:r w:rsidRPr="00580C3A">
        <w:rPr>
          <w:rFonts w:ascii="David" w:hAnsi="David"/>
          <w:szCs w:val="18"/>
          <w:rtl/>
        </w:rPr>
        <w:t>) או מגובי משכנתאות (</w:t>
      </w:r>
      <w:r w:rsidRPr="00580C3A">
        <w:rPr>
          <w:rFonts w:ascii="David" w:hAnsi="David"/>
          <w:szCs w:val="18"/>
        </w:rPr>
        <w:t>MBS</w:t>
      </w:r>
      <w:r w:rsidRPr="00580C3A">
        <w:rPr>
          <w:rFonts w:ascii="David" w:hAnsi="David"/>
          <w:szCs w:val="18"/>
          <w:rtl/>
        </w:rPr>
        <w:t>), יש לתת עליהם גילוי במתכונת דומה לגילוי על אגרות חוב זמינות למכירה.</w:t>
      </w:r>
    </w:p>
  </w:footnote>
  <w:footnote w:id="45">
    <w:p w14:paraId="5662C559" w14:textId="77777777" w:rsidR="00553945" w:rsidRPr="009126D7" w:rsidRDefault="00553945" w:rsidP="007E2C19">
      <w:pPr>
        <w:pStyle w:val="a8"/>
        <w:spacing w:before="40"/>
        <w:ind w:left="202" w:hanging="202"/>
        <w:rPr>
          <w:sz w:val="16"/>
          <w:szCs w:val="16"/>
          <w:rtl/>
        </w:rPr>
      </w:pPr>
      <w:r w:rsidRPr="009126D7">
        <w:rPr>
          <w:rStyle w:val="a7"/>
          <w:sz w:val="16"/>
          <w:szCs w:val="16"/>
        </w:rPr>
        <w:footnoteRef/>
      </w:r>
      <w:r w:rsidRPr="009126D7">
        <w:rPr>
          <w:sz w:val="16"/>
          <w:szCs w:val="16"/>
          <w:rtl/>
        </w:rPr>
        <w:t xml:space="preserve"> </w:t>
      </w:r>
      <w:r w:rsidRPr="009126D7">
        <w:rPr>
          <w:sz w:val="16"/>
          <w:szCs w:val="16"/>
          <w:rtl/>
        </w:rPr>
        <w:tab/>
      </w:r>
      <w:r w:rsidRPr="009E523D">
        <w:rPr>
          <w:rFonts w:hint="cs"/>
          <w:sz w:val="17"/>
          <w:szCs w:val="17"/>
          <w:rtl/>
        </w:rPr>
        <w:t>בהתאם להוראות הדיווח לציבור סעיף 24(ג), בתיק ניירות ערך למסחר לא תיכללנה מניות שלא קיים לגביהן שווי הוגן זמין.</w:t>
      </w:r>
    </w:p>
  </w:footnote>
  <w:footnote w:id="46">
    <w:p w14:paraId="7AB0F0E3" w14:textId="77777777" w:rsidR="00EC46DF" w:rsidRPr="00FD742C" w:rsidRDefault="00EC46DF">
      <w:pPr>
        <w:pStyle w:val="a8"/>
        <w:rPr>
          <w:rFonts w:ascii="David" w:hAnsi="David"/>
          <w:szCs w:val="18"/>
          <w:rtl/>
        </w:rPr>
      </w:pPr>
      <w:r w:rsidRPr="00FD742C">
        <w:rPr>
          <w:rStyle w:val="a7"/>
          <w:rFonts w:ascii="David" w:hAnsi="David" w:cs="David"/>
          <w:sz w:val="18"/>
          <w:szCs w:val="18"/>
        </w:rPr>
        <w:footnoteRef/>
      </w:r>
      <w:r w:rsidRPr="00FD742C">
        <w:rPr>
          <w:rFonts w:ascii="David" w:hAnsi="David"/>
          <w:szCs w:val="18"/>
          <w:rtl/>
        </w:rPr>
        <w:t xml:space="preserve"> </w:t>
      </w:r>
      <w:r w:rsidRPr="00FD742C">
        <w:rPr>
          <w:rFonts w:ascii="David" w:hAnsi="David"/>
          <w:szCs w:val="18"/>
          <w:rtl/>
        </w:rPr>
        <w:tab/>
        <w:t>השקעות שההפסד שטרם מומש בגינן מהווה עד 20% מהעלות המופחתת שלהן.</w:t>
      </w:r>
    </w:p>
  </w:footnote>
  <w:footnote w:id="47">
    <w:p w14:paraId="71161DD0" w14:textId="4BFE6EC2" w:rsidR="00EC46DF" w:rsidRPr="00FD742C" w:rsidRDefault="00EC46DF" w:rsidP="00305D97">
      <w:pPr>
        <w:pStyle w:val="a8"/>
        <w:ind w:left="215" w:hanging="215"/>
        <w:rPr>
          <w:rFonts w:ascii="David" w:hAnsi="David"/>
          <w:szCs w:val="18"/>
          <w:rtl/>
        </w:rPr>
      </w:pPr>
      <w:r w:rsidRPr="00FD742C">
        <w:rPr>
          <w:rStyle w:val="a7"/>
          <w:rFonts w:ascii="David" w:hAnsi="David" w:cs="David"/>
          <w:sz w:val="18"/>
          <w:szCs w:val="18"/>
        </w:rPr>
        <w:footnoteRef/>
      </w:r>
      <w:r w:rsidRPr="00FD742C">
        <w:rPr>
          <w:rFonts w:ascii="David" w:hAnsi="David"/>
          <w:szCs w:val="18"/>
          <w:rtl/>
        </w:rPr>
        <w:t xml:space="preserve"> </w:t>
      </w:r>
      <w:r w:rsidRPr="00FD742C">
        <w:rPr>
          <w:rFonts w:ascii="David" w:hAnsi="David"/>
          <w:szCs w:val="18"/>
          <w:rtl/>
        </w:rPr>
        <w:tab/>
        <w:t>השקעות שההפסד שטרם מומש בגינן מהווה מעל 20% ועד 40% מהעלות המופחתת שלהן. [אם קיימת השקעה בנייר ערך אשר ההפסד שטרם מומש בגינה עולה על 40% יש לתת גילוי נפרד להשקעה זו, לעלות המופחתת, השווי ההוגן שלה ולהפסד שטרם מומש בגינה, והסבר מדוע ירידת הערך של השקעה זו לא קשורה להפסדי אשראי].</w:t>
      </w:r>
    </w:p>
  </w:footnote>
  <w:footnote w:id="48">
    <w:p w14:paraId="78829D62" w14:textId="77777777" w:rsidR="00EC46DF" w:rsidRPr="00FD742C" w:rsidRDefault="00EC46DF">
      <w:pPr>
        <w:pStyle w:val="a8"/>
        <w:rPr>
          <w:rFonts w:ascii="David" w:hAnsi="David"/>
          <w:szCs w:val="18"/>
          <w:rtl/>
        </w:rPr>
      </w:pPr>
      <w:r w:rsidRPr="00FD742C">
        <w:rPr>
          <w:rStyle w:val="a7"/>
          <w:rFonts w:ascii="David" w:hAnsi="David" w:cs="David"/>
          <w:sz w:val="18"/>
          <w:szCs w:val="18"/>
        </w:rPr>
        <w:footnoteRef/>
      </w:r>
      <w:r w:rsidRPr="00FD742C">
        <w:rPr>
          <w:rFonts w:ascii="David" w:hAnsi="David"/>
          <w:szCs w:val="18"/>
          <w:rtl/>
        </w:rPr>
        <w:t xml:space="preserve"> </w:t>
      </w:r>
      <w:r w:rsidRPr="00FD742C">
        <w:rPr>
          <w:rFonts w:ascii="David" w:hAnsi="David"/>
          <w:szCs w:val="18"/>
          <w:rtl/>
        </w:rPr>
        <w:tab/>
        <w:t>אם מהותי, יש להבחין בין ניירות ערך מגובי נכסים (</w:t>
      </w:r>
      <w:r w:rsidRPr="00FD742C">
        <w:rPr>
          <w:rFonts w:ascii="David" w:hAnsi="David"/>
          <w:szCs w:val="18"/>
        </w:rPr>
        <w:t>ABS</w:t>
      </w:r>
      <w:r w:rsidRPr="00FD742C">
        <w:rPr>
          <w:rFonts w:ascii="David" w:hAnsi="David"/>
          <w:szCs w:val="18"/>
          <w:rtl/>
        </w:rPr>
        <w:t>) לבין ניירות ערך מגובי משכנתאות (</w:t>
      </w:r>
      <w:r w:rsidRPr="00FD742C">
        <w:rPr>
          <w:rFonts w:ascii="David" w:hAnsi="David"/>
          <w:szCs w:val="18"/>
        </w:rPr>
        <w:t>MBS</w:t>
      </w:r>
      <w:r w:rsidRPr="00FD742C">
        <w:rPr>
          <w:rFonts w:ascii="David" w:hAnsi="David"/>
          <w:szCs w:val="18"/>
          <w:rtl/>
        </w:rPr>
        <w:t>).</w:t>
      </w:r>
    </w:p>
  </w:footnote>
  <w:footnote w:id="49">
    <w:p w14:paraId="405700D3" w14:textId="77777777" w:rsidR="00A76B5E" w:rsidRPr="00AC1A00" w:rsidRDefault="00A76B5E" w:rsidP="00EA192D">
      <w:pPr>
        <w:pStyle w:val="a8"/>
        <w:spacing w:before="0"/>
        <w:ind w:left="215" w:hanging="215"/>
        <w:rPr>
          <w:rtl/>
        </w:rPr>
      </w:pPr>
      <w:r w:rsidRPr="00AC1A00">
        <w:rPr>
          <w:rStyle w:val="a7"/>
        </w:rPr>
        <w:footnoteRef/>
      </w:r>
      <w:r w:rsidRPr="00AC1A00">
        <w:rPr>
          <w:rtl/>
        </w:rPr>
        <w:t xml:space="preserve"> </w:t>
      </w:r>
      <w:r w:rsidRPr="00AC1A00">
        <w:rPr>
          <w:rFonts w:hint="cs"/>
          <w:rtl/>
        </w:rPr>
        <w:tab/>
        <w:t>בהתאם להוראות הדיווח לציבור סעיף 27ב, פירוט נוסף זה יינתן, אלא אם פעילות התאגיד הבנקאי בסוגי ניירות ערך אלה אינה מהותית.</w:t>
      </w:r>
    </w:p>
  </w:footnote>
  <w:footnote w:id="50">
    <w:p w14:paraId="5AD2A08A" w14:textId="77777777" w:rsidR="00DA42F2" w:rsidRPr="00AC1A00" w:rsidRDefault="00DA42F2" w:rsidP="00DA42F2">
      <w:pPr>
        <w:pStyle w:val="a8"/>
        <w:spacing w:before="0"/>
        <w:ind w:left="215" w:hanging="215"/>
        <w:rPr>
          <w:rtl/>
        </w:rPr>
      </w:pPr>
      <w:r w:rsidRPr="008B7588">
        <w:rPr>
          <w:rStyle w:val="a7"/>
        </w:rPr>
        <w:footnoteRef/>
      </w:r>
      <w:r w:rsidRPr="008B7588">
        <w:rPr>
          <w:rtl/>
        </w:rPr>
        <w:t xml:space="preserve"> </w:t>
      </w:r>
      <w:r w:rsidRPr="008B7588">
        <w:rPr>
          <w:rFonts w:hint="cs"/>
          <w:rtl/>
        </w:rPr>
        <w:tab/>
        <w:t>אם מהותי, פרט סוגי ניירות ערך נוספים.</w:t>
      </w:r>
    </w:p>
  </w:footnote>
  <w:footnote w:id="51">
    <w:p w14:paraId="0B06D979" w14:textId="77777777" w:rsidR="00553945" w:rsidRDefault="00553945" w:rsidP="00F32F05">
      <w:pPr>
        <w:pStyle w:val="a8"/>
        <w:spacing w:line="200" w:lineRule="exact"/>
        <w:ind w:left="215" w:hanging="215"/>
        <w:rPr>
          <w:rtl/>
        </w:rPr>
      </w:pPr>
      <w:r>
        <w:rPr>
          <w:rStyle w:val="a7"/>
        </w:rPr>
        <w:footnoteRef/>
      </w:r>
      <w:r>
        <w:rPr>
          <w:rtl/>
        </w:rPr>
        <w:t xml:space="preserve"> </w:t>
      </w:r>
      <w:r>
        <w:rPr>
          <w:rFonts w:hint="cs"/>
          <w:rtl/>
        </w:rPr>
        <w:tab/>
        <w:t>בהתאם להוראות הדיווח לציבור סעיף 27א(ה), בהתחשב באופי התיק למסחר, העברות מתוך התיק למסחר ואליו יהיו נדירות.</w:t>
      </w:r>
    </w:p>
  </w:footnote>
  <w:footnote w:id="52">
    <w:p w14:paraId="20D1C08A" w14:textId="77777777" w:rsidR="00553945" w:rsidRDefault="00553945" w:rsidP="001D518D">
      <w:pPr>
        <w:pStyle w:val="a8"/>
        <w:spacing w:line="200" w:lineRule="exact"/>
        <w:ind w:left="215" w:hanging="215"/>
        <w:rPr>
          <w:rtl/>
        </w:rPr>
      </w:pPr>
      <w:r>
        <w:rPr>
          <w:rStyle w:val="a7"/>
        </w:rPr>
        <w:footnoteRef/>
      </w:r>
      <w:r>
        <w:rPr>
          <w:rtl/>
        </w:rPr>
        <w:t xml:space="preserve"> </w:t>
      </w:r>
      <w:r>
        <w:rPr>
          <w:rFonts w:hint="cs"/>
          <w:rtl/>
        </w:rPr>
        <w:tab/>
        <w:t xml:space="preserve">מכירות והעברות מתוך התיק המוחזק לפדיון ואליו תהיינה נדירות. </w:t>
      </w:r>
    </w:p>
  </w:footnote>
  <w:footnote w:id="53">
    <w:p w14:paraId="7DEF008A" w14:textId="77777777" w:rsidR="00F875F2" w:rsidRPr="002C275F" w:rsidRDefault="00F875F2" w:rsidP="001469DD">
      <w:pPr>
        <w:pStyle w:val="a8"/>
        <w:rPr>
          <w:sz w:val="16"/>
          <w:szCs w:val="16"/>
        </w:rPr>
      </w:pPr>
      <w:r w:rsidRPr="002C275F">
        <w:rPr>
          <w:rStyle w:val="a7"/>
          <w:sz w:val="16"/>
          <w:szCs w:val="16"/>
        </w:rPr>
        <w:footnoteRef/>
      </w:r>
      <w:r w:rsidRPr="002C275F">
        <w:rPr>
          <w:sz w:val="16"/>
          <w:szCs w:val="16"/>
          <w:rtl/>
        </w:rPr>
        <w:t xml:space="preserve"> </w:t>
      </w:r>
      <w:r w:rsidRPr="002C275F">
        <w:rPr>
          <w:sz w:val="16"/>
          <w:szCs w:val="16"/>
          <w:rtl/>
        </w:rPr>
        <w:tab/>
        <w:t>בהתאם לסעיף 326-30-</w:t>
      </w:r>
      <w:r w:rsidRPr="002C275F">
        <w:rPr>
          <w:rFonts w:hint="cs"/>
          <w:sz w:val="16"/>
          <w:szCs w:val="16"/>
          <w:rtl/>
        </w:rPr>
        <w:t>50</w:t>
      </w:r>
      <w:r w:rsidRPr="002C275F">
        <w:rPr>
          <w:sz w:val="16"/>
          <w:szCs w:val="16"/>
          <w:rtl/>
        </w:rPr>
        <w:t>-</w:t>
      </w:r>
      <w:r w:rsidRPr="002C275F">
        <w:rPr>
          <w:rFonts w:hint="cs"/>
          <w:sz w:val="16"/>
          <w:szCs w:val="16"/>
          <w:rtl/>
        </w:rPr>
        <w:t>9</w:t>
      </w:r>
      <w:r w:rsidRPr="002C275F">
        <w:rPr>
          <w:sz w:val="16"/>
          <w:szCs w:val="16"/>
          <w:rtl/>
        </w:rPr>
        <w:t xml:space="preserve"> –</w:t>
      </w:r>
      <w:r w:rsidRPr="002C275F">
        <w:rPr>
          <w:rFonts w:hint="cs"/>
          <w:sz w:val="16"/>
          <w:szCs w:val="16"/>
          <w:rtl/>
        </w:rPr>
        <w:t xml:space="preserve">ג </w:t>
      </w:r>
      <w:r w:rsidRPr="002C275F">
        <w:rPr>
          <w:sz w:val="16"/>
          <w:szCs w:val="16"/>
          <w:rtl/>
        </w:rPr>
        <w:t>בקודיפיקציה</w:t>
      </w:r>
      <w:r w:rsidRPr="002C275F">
        <w:rPr>
          <w:rFonts w:hint="cs"/>
          <w:sz w:val="16"/>
          <w:szCs w:val="16"/>
          <w:rtl/>
        </w:rPr>
        <w:t>, ינתן גילוי</w:t>
      </w:r>
      <w:r w:rsidRPr="002C275F">
        <w:rPr>
          <w:sz w:val="16"/>
          <w:szCs w:val="16"/>
          <w:rtl/>
        </w:rPr>
        <w:t xml:space="preserve"> </w:t>
      </w:r>
      <w:r w:rsidRPr="002C275F">
        <w:rPr>
          <w:rFonts w:hint="cs"/>
          <w:sz w:val="16"/>
          <w:szCs w:val="16"/>
          <w:rtl/>
        </w:rPr>
        <w:t>ל</w:t>
      </w:r>
      <w:r w:rsidRPr="002C275F">
        <w:rPr>
          <w:sz w:val="16"/>
          <w:szCs w:val="16"/>
          <w:rtl/>
        </w:rPr>
        <w:t>תוספות להפרשה להפסדי אשראי ה</w:t>
      </w:r>
      <w:r w:rsidRPr="002C275F">
        <w:rPr>
          <w:rFonts w:hint="cs"/>
          <w:sz w:val="16"/>
          <w:szCs w:val="16"/>
          <w:rtl/>
        </w:rPr>
        <w:t>נ</w:t>
      </w:r>
      <w:r w:rsidRPr="002C275F">
        <w:rPr>
          <w:sz w:val="16"/>
          <w:szCs w:val="16"/>
          <w:rtl/>
        </w:rPr>
        <w:t>ובעות מרכישות של איגרות חוב הזמי</w:t>
      </w:r>
      <w:r w:rsidRPr="002C275F">
        <w:rPr>
          <w:rFonts w:hint="cs"/>
          <w:sz w:val="16"/>
          <w:szCs w:val="16"/>
          <w:rtl/>
        </w:rPr>
        <w:t>נ</w:t>
      </w:r>
      <w:r w:rsidRPr="002C275F">
        <w:rPr>
          <w:sz w:val="16"/>
          <w:szCs w:val="16"/>
          <w:rtl/>
        </w:rPr>
        <w:t>ות למכירה, המטופלות</w:t>
      </w:r>
      <w:r w:rsidRPr="002C275F">
        <w:rPr>
          <w:rFonts w:hint="cs"/>
          <w:sz w:val="16"/>
          <w:szCs w:val="16"/>
          <w:rtl/>
        </w:rPr>
        <w:t xml:space="preserve"> </w:t>
      </w:r>
      <w:r w:rsidRPr="002C275F">
        <w:rPr>
          <w:sz w:val="16"/>
          <w:szCs w:val="16"/>
          <w:rtl/>
        </w:rPr>
        <w:t>כ</w:t>
      </w:r>
      <w:r w:rsidRPr="002C275F">
        <w:rPr>
          <w:rFonts w:hint="cs"/>
          <w:sz w:val="16"/>
          <w:szCs w:val="16"/>
          <w:rtl/>
        </w:rPr>
        <w:t>נכ</w:t>
      </w:r>
      <w:r w:rsidRPr="002C275F">
        <w:rPr>
          <w:sz w:val="16"/>
          <w:szCs w:val="16"/>
          <w:rtl/>
        </w:rPr>
        <w:t>סים פי</w:t>
      </w:r>
      <w:r w:rsidRPr="002C275F">
        <w:rPr>
          <w:rFonts w:hint="cs"/>
          <w:sz w:val="16"/>
          <w:szCs w:val="16"/>
          <w:rtl/>
        </w:rPr>
        <w:t>ננ</w:t>
      </w:r>
      <w:r w:rsidRPr="002C275F">
        <w:rPr>
          <w:sz w:val="16"/>
          <w:szCs w:val="16"/>
          <w:rtl/>
        </w:rPr>
        <w:t>סיים ש</w:t>
      </w:r>
      <w:r w:rsidRPr="002C275F">
        <w:rPr>
          <w:rFonts w:hint="cs"/>
          <w:sz w:val="16"/>
          <w:szCs w:val="16"/>
          <w:rtl/>
        </w:rPr>
        <w:t>נ</w:t>
      </w:r>
      <w:r w:rsidRPr="002C275F">
        <w:rPr>
          <w:sz w:val="16"/>
          <w:szCs w:val="16"/>
          <w:rtl/>
        </w:rPr>
        <w:t>רכשו עם הרעת אשראי</w:t>
      </w:r>
      <w:r w:rsidRPr="002C275F">
        <w:rPr>
          <w:rFonts w:hint="cs"/>
          <w:sz w:val="16"/>
          <w:szCs w:val="16"/>
          <w:rtl/>
        </w:rPr>
        <w:t>.</w:t>
      </w:r>
    </w:p>
  </w:footnote>
  <w:footnote w:id="54">
    <w:p w14:paraId="54F4BC32" w14:textId="77777777" w:rsidR="00F875F2" w:rsidRDefault="00F875F2" w:rsidP="00FC1ED7">
      <w:pPr>
        <w:pStyle w:val="a8"/>
        <w:spacing w:before="0" w:after="20"/>
        <w:ind w:left="215" w:hanging="215"/>
        <w:rPr>
          <w:rtl/>
        </w:rPr>
      </w:pPr>
      <w:r w:rsidRPr="002C275F">
        <w:rPr>
          <w:rStyle w:val="a7"/>
          <w:sz w:val="16"/>
          <w:szCs w:val="16"/>
        </w:rPr>
        <w:footnoteRef/>
      </w:r>
      <w:r w:rsidRPr="002C275F">
        <w:rPr>
          <w:sz w:val="16"/>
          <w:szCs w:val="16"/>
          <w:rtl/>
        </w:rPr>
        <w:t xml:space="preserve"> </w:t>
      </w:r>
      <w:r w:rsidRPr="002C275F">
        <w:rPr>
          <w:sz w:val="16"/>
          <w:szCs w:val="16"/>
          <w:rtl/>
        </w:rPr>
        <w:tab/>
      </w:r>
      <w:r w:rsidRPr="002C275F">
        <w:rPr>
          <w:rFonts w:hint="cs"/>
          <w:sz w:val="16"/>
          <w:szCs w:val="16"/>
          <w:rtl/>
        </w:rPr>
        <w:t xml:space="preserve">בהתאם לסעיף 326-30-45-3 בקודיפיקציה, </w:t>
      </w:r>
      <w:r w:rsidRPr="002C275F">
        <w:rPr>
          <w:sz w:val="16"/>
          <w:szCs w:val="16"/>
          <w:rtl/>
        </w:rPr>
        <w:t>תאגיד ב</w:t>
      </w:r>
      <w:r w:rsidRPr="002C275F">
        <w:rPr>
          <w:rFonts w:hint="cs"/>
          <w:sz w:val="16"/>
          <w:szCs w:val="16"/>
          <w:rtl/>
        </w:rPr>
        <w:t>נ</w:t>
      </w:r>
      <w:r w:rsidRPr="002C275F">
        <w:rPr>
          <w:sz w:val="16"/>
          <w:szCs w:val="16"/>
          <w:rtl/>
        </w:rPr>
        <w:t>קאי המודד הפסדי אשראי צפויים לפי שיטת תזרים מזומ</w:t>
      </w:r>
      <w:r w:rsidRPr="002C275F">
        <w:rPr>
          <w:rFonts w:hint="cs"/>
          <w:sz w:val="16"/>
          <w:szCs w:val="16"/>
          <w:rtl/>
        </w:rPr>
        <w:t>נ</w:t>
      </w:r>
      <w:r w:rsidRPr="002C275F">
        <w:rPr>
          <w:sz w:val="16"/>
          <w:szCs w:val="16"/>
          <w:rtl/>
        </w:rPr>
        <w:t>ים מהוון</w:t>
      </w:r>
      <w:r w:rsidRPr="002C275F">
        <w:rPr>
          <w:sz w:val="16"/>
          <w:szCs w:val="16"/>
        </w:rPr>
        <w:t>,</w:t>
      </w:r>
      <w:r w:rsidRPr="002C275F">
        <w:rPr>
          <w:rFonts w:hint="cs"/>
          <w:sz w:val="16"/>
          <w:szCs w:val="16"/>
          <w:rtl/>
        </w:rPr>
        <w:t xml:space="preserve"> </w:t>
      </w:r>
      <w:r w:rsidRPr="002C275F">
        <w:rPr>
          <w:sz w:val="16"/>
          <w:szCs w:val="16"/>
          <w:rtl/>
        </w:rPr>
        <w:t xml:space="preserve">רשאי לדווח </w:t>
      </w:r>
      <w:r w:rsidRPr="002C275F">
        <w:rPr>
          <w:rFonts w:hint="cs"/>
          <w:sz w:val="16"/>
          <w:szCs w:val="16"/>
          <w:rtl/>
        </w:rPr>
        <w:t>על</w:t>
      </w:r>
      <w:r w:rsidRPr="002C275F">
        <w:rPr>
          <w:sz w:val="16"/>
          <w:szCs w:val="16"/>
          <w:rtl/>
        </w:rPr>
        <w:t xml:space="preserve"> השי</w:t>
      </w:r>
      <w:r w:rsidRPr="002C275F">
        <w:rPr>
          <w:rFonts w:hint="cs"/>
          <w:sz w:val="16"/>
          <w:szCs w:val="16"/>
          <w:rtl/>
        </w:rPr>
        <w:t>נ</w:t>
      </w:r>
      <w:r w:rsidRPr="002C275F">
        <w:rPr>
          <w:sz w:val="16"/>
          <w:szCs w:val="16"/>
          <w:rtl/>
        </w:rPr>
        <w:t>וי בהפרשה להפסדי אשראי ה</w:t>
      </w:r>
      <w:r w:rsidRPr="002C275F">
        <w:rPr>
          <w:rFonts w:hint="cs"/>
          <w:sz w:val="16"/>
          <w:szCs w:val="16"/>
          <w:rtl/>
        </w:rPr>
        <w:t>נ</w:t>
      </w:r>
      <w:r w:rsidRPr="002C275F">
        <w:rPr>
          <w:sz w:val="16"/>
          <w:szCs w:val="16"/>
          <w:rtl/>
        </w:rPr>
        <w:t>גרם משי</w:t>
      </w:r>
      <w:r w:rsidRPr="002C275F">
        <w:rPr>
          <w:rFonts w:hint="cs"/>
          <w:sz w:val="16"/>
          <w:szCs w:val="16"/>
          <w:rtl/>
        </w:rPr>
        <w:t>נ</w:t>
      </w:r>
      <w:r w:rsidRPr="002C275F">
        <w:rPr>
          <w:sz w:val="16"/>
          <w:szCs w:val="16"/>
          <w:rtl/>
        </w:rPr>
        <w:t>ויים בערך הזמן כעל הוצאות בגין הפסדי אשראי (או היפוך של הוצאות בגין הפסדי אשראי), אך רשאי גם לדווח בגין השי</w:t>
      </w:r>
      <w:r w:rsidRPr="002C275F">
        <w:rPr>
          <w:rFonts w:hint="cs"/>
          <w:sz w:val="16"/>
          <w:szCs w:val="16"/>
          <w:rtl/>
        </w:rPr>
        <w:t>נ</w:t>
      </w:r>
      <w:r w:rsidRPr="002C275F">
        <w:rPr>
          <w:sz w:val="16"/>
          <w:szCs w:val="16"/>
          <w:rtl/>
        </w:rPr>
        <w:t>וי כעל הכ</w:t>
      </w:r>
      <w:r w:rsidRPr="002C275F">
        <w:rPr>
          <w:rFonts w:hint="cs"/>
          <w:sz w:val="16"/>
          <w:szCs w:val="16"/>
          <w:rtl/>
        </w:rPr>
        <w:t>נ</w:t>
      </w:r>
      <w:r w:rsidRPr="002C275F">
        <w:rPr>
          <w:sz w:val="16"/>
          <w:szCs w:val="16"/>
          <w:rtl/>
        </w:rPr>
        <w:t>סות ריבית</w:t>
      </w:r>
      <w:r w:rsidRPr="002C275F">
        <w:rPr>
          <w:rFonts w:hint="cs"/>
          <w:sz w:val="16"/>
          <w:szCs w:val="16"/>
          <w:rtl/>
        </w:rPr>
        <w:t xml:space="preserve">. בהתאם לסעיף 326-30-50-8 בקודיפיקציה, </w:t>
      </w:r>
      <w:r w:rsidRPr="002C275F">
        <w:rPr>
          <w:sz w:val="16"/>
          <w:szCs w:val="16"/>
          <w:rtl/>
        </w:rPr>
        <w:t>תאגיד ב</w:t>
      </w:r>
      <w:r w:rsidRPr="002C275F">
        <w:rPr>
          <w:rFonts w:hint="cs"/>
          <w:sz w:val="16"/>
          <w:szCs w:val="16"/>
          <w:rtl/>
        </w:rPr>
        <w:t>נ</w:t>
      </w:r>
      <w:r w:rsidRPr="002C275F">
        <w:rPr>
          <w:sz w:val="16"/>
          <w:szCs w:val="16"/>
          <w:rtl/>
        </w:rPr>
        <w:t xml:space="preserve">קאי </w:t>
      </w:r>
      <w:r w:rsidRPr="002C275F">
        <w:rPr>
          <w:rFonts w:hint="cs"/>
          <w:sz w:val="16"/>
          <w:szCs w:val="16"/>
          <w:rtl/>
        </w:rPr>
        <w:t>הרושם שינוי</w:t>
      </w:r>
      <w:r w:rsidRPr="002C275F">
        <w:rPr>
          <w:sz w:val="16"/>
          <w:szCs w:val="16"/>
          <w:rtl/>
        </w:rPr>
        <w:t xml:space="preserve"> בהפרשה להפסדי אשראי ה</w:t>
      </w:r>
      <w:r w:rsidRPr="002C275F">
        <w:rPr>
          <w:rFonts w:hint="cs"/>
          <w:sz w:val="16"/>
          <w:szCs w:val="16"/>
          <w:rtl/>
        </w:rPr>
        <w:t>נ</w:t>
      </w:r>
      <w:r w:rsidRPr="002C275F">
        <w:rPr>
          <w:sz w:val="16"/>
          <w:szCs w:val="16"/>
          <w:rtl/>
        </w:rPr>
        <w:t>גרם משי</w:t>
      </w:r>
      <w:r w:rsidRPr="002C275F">
        <w:rPr>
          <w:rFonts w:hint="cs"/>
          <w:sz w:val="16"/>
          <w:szCs w:val="16"/>
          <w:rtl/>
        </w:rPr>
        <w:t>נ</w:t>
      </w:r>
      <w:r w:rsidRPr="002C275F">
        <w:rPr>
          <w:sz w:val="16"/>
          <w:szCs w:val="16"/>
          <w:rtl/>
        </w:rPr>
        <w:t xml:space="preserve">ויים בערך הזמן </w:t>
      </w:r>
      <w:r w:rsidRPr="002C275F">
        <w:rPr>
          <w:rFonts w:hint="cs"/>
          <w:sz w:val="16"/>
          <w:szCs w:val="16"/>
          <w:rtl/>
        </w:rPr>
        <w:t>כהכנסות ריבית,</w:t>
      </w:r>
      <w:r w:rsidRPr="002C275F">
        <w:rPr>
          <w:sz w:val="16"/>
          <w:szCs w:val="16"/>
          <w:rtl/>
        </w:rPr>
        <w:t xml:space="preserve"> ייתן גילוי לסכום הרשום כהכ</w:t>
      </w:r>
      <w:r w:rsidRPr="002C275F">
        <w:rPr>
          <w:rFonts w:hint="cs"/>
          <w:sz w:val="16"/>
          <w:szCs w:val="16"/>
          <w:rtl/>
        </w:rPr>
        <w:t>נ</w:t>
      </w:r>
      <w:r w:rsidRPr="002C275F">
        <w:rPr>
          <w:sz w:val="16"/>
          <w:szCs w:val="16"/>
          <w:rtl/>
        </w:rPr>
        <w:t>סות ריבית</w:t>
      </w:r>
      <w:r w:rsidRPr="002C275F">
        <w:rPr>
          <w:rFonts w:hint="cs"/>
          <w:sz w:val="16"/>
          <w:szCs w:val="16"/>
          <w:rtl/>
        </w:rPr>
        <w:t>.</w:t>
      </w:r>
    </w:p>
  </w:footnote>
  <w:footnote w:id="55">
    <w:p w14:paraId="0F626D16" w14:textId="28166C90" w:rsidR="00EC46DF" w:rsidRDefault="00EC46DF" w:rsidP="00EB5088">
      <w:pPr>
        <w:pStyle w:val="a8"/>
        <w:rPr>
          <w:rtl/>
        </w:rPr>
      </w:pPr>
      <w:r>
        <w:rPr>
          <w:rStyle w:val="a7"/>
        </w:rPr>
        <w:footnoteRef/>
      </w:r>
      <w:r>
        <w:rPr>
          <w:rtl/>
        </w:rPr>
        <w:t xml:space="preserve"> </w:t>
      </w:r>
      <w:r>
        <w:rPr>
          <w:szCs w:val="18"/>
          <w:rtl/>
        </w:rPr>
        <w:tab/>
      </w:r>
      <w:r w:rsidRPr="00D0195D">
        <w:rPr>
          <w:rFonts w:hint="cs"/>
          <w:szCs w:val="18"/>
          <w:rtl/>
        </w:rPr>
        <w:t xml:space="preserve">כאשר רלוונטי, </w:t>
      </w:r>
      <w:r w:rsidRPr="004431A9">
        <w:rPr>
          <w:rFonts w:ascii="David" w:hAnsi="David" w:hint="eastAsia"/>
          <w:szCs w:val="18"/>
          <w:rtl/>
        </w:rPr>
        <w:t>בהתאם</w:t>
      </w:r>
      <w:r w:rsidRPr="004431A9">
        <w:rPr>
          <w:rFonts w:ascii="David" w:hAnsi="David"/>
          <w:szCs w:val="18"/>
          <w:rtl/>
        </w:rPr>
        <w:t xml:space="preserve"> לסעיף </w:t>
      </w:r>
      <w:r w:rsidRPr="004431A9">
        <w:rPr>
          <w:rFonts w:ascii="David" w:hAnsi="David"/>
          <w:szCs w:val="18"/>
        </w:rPr>
        <w:t>,326-20-50-13(c)</w:t>
      </w:r>
      <w:r w:rsidRPr="004431A9">
        <w:rPr>
          <w:rFonts w:ascii="David" w:hAnsi="David"/>
          <w:szCs w:val="18"/>
          <w:rtl/>
        </w:rPr>
        <w:t xml:space="preserve"> יינתן</w:t>
      </w:r>
      <w:r w:rsidRPr="00D0195D">
        <w:rPr>
          <w:rFonts w:hint="cs"/>
          <w:szCs w:val="18"/>
          <w:rtl/>
        </w:rPr>
        <w:t xml:space="preserve"> ג</w:t>
      </w:r>
      <w:r>
        <w:rPr>
          <w:rFonts w:hint="cs"/>
          <w:szCs w:val="18"/>
          <w:rtl/>
        </w:rPr>
        <w:t xml:space="preserve">ילוי </w:t>
      </w:r>
      <w:r w:rsidRPr="00D0195D">
        <w:rPr>
          <w:rFonts w:hint="cs"/>
          <w:szCs w:val="18"/>
          <w:rtl/>
        </w:rPr>
        <w:t xml:space="preserve">להפרשה </w:t>
      </w:r>
      <w:r>
        <w:rPr>
          <w:rFonts w:hint="cs"/>
          <w:szCs w:val="18"/>
          <w:rtl/>
        </w:rPr>
        <w:t>ה</w:t>
      </w:r>
      <w:r w:rsidRPr="00D0195D">
        <w:rPr>
          <w:rFonts w:hint="cs"/>
          <w:szCs w:val="18"/>
          <w:rtl/>
        </w:rPr>
        <w:t>ראשונית להפסדי אשראי שהוכרה בגין נכסים שנרכשו עם הרעת אשראי (</w:t>
      </w:r>
      <w:hyperlink r:id="rId1" w:anchor="SL82924644-210462" w:tgtFrame="_self" w:history="1">
        <w:r w:rsidRPr="00D0195D">
          <w:rPr>
            <w:rFonts w:hint="eastAsia"/>
            <w:szCs w:val="18"/>
          </w:rPr>
          <w:t>purchased financial assets with credit deterioration</w:t>
        </w:r>
      </w:hyperlink>
      <w:r w:rsidRPr="00D0195D">
        <w:rPr>
          <w:szCs w:val="18"/>
        </w:rPr>
        <w:t xml:space="preserve"> - PCD</w:t>
      </w:r>
      <w:r w:rsidRPr="00D0195D">
        <w:rPr>
          <w:rFonts w:hint="cs"/>
          <w:szCs w:val="18"/>
          <w:rtl/>
        </w:rPr>
        <w:t>).</w:t>
      </w:r>
    </w:p>
  </w:footnote>
  <w:footnote w:id="56">
    <w:p w14:paraId="7A725D2D" w14:textId="77777777" w:rsidR="00EC46DF" w:rsidRPr="00CF0E9C" w:rsidRDefault="00EC46DF" w:rsidP="006D22E3">
      <w:pPr>
        <w:pStyle w:val="a8"/>
        <w:spacing w:before="10"/>
        <w:ind w:left="215" w:hanging="215"/>
        <w:rPr>
          <w:rFonts w:ascii="David" w:hAnsi="David"/>
          <w:szCs w:val="18"/>
          <w:rtl/>
        </w:rPr>
      </w:pPr>
      <w:r w:rsidRPr="00CF0E9C">
        <w:rPr>
          <w:rStyle w:val="a7"/>
          <w:rFonts w:ascii="David" w:hAnsi="David" w:cs="David"/>
          <w:sz w:val="18"/>
          <w:szCs w:val="18"/>
        </w:rPr>
        <w:footnoteRef/>
      </w:r>
      <w:r w:rsidRPr="00CF0E9C">
        <w:rPr>
          <w:rFonts w:ascii="David" w:hAnsi="David"/>
          <w:szCs w:val="18"/>
          <w:rtl/>
        </w:rPr>
        <w:t xml:space="preserve"> </w:t>
      </w:r>
      <w:r w:rsidRPr="00CF0E9C">
        <w:rPr>
          <w:rFonts w:ascii="David" w:hAnsi="David"/>
          <w:szCs w:val="18"/>
          <w:rtl/>
        </w:rPr>
        <w:tab/>
        <w:t>אם מהותי, יינתן גילוי ליתרת הפיקדונות לזמן קצוב שאינם נושאים ריבית.</w:t>
      </w:r>
    </w:p>
  </w:footnote>
  <w:footnote w:id="57">
    <w:p w14:paraId="534C911C" w14:textId="7E004D90" w:rsidR="00EC46DF" w:rsidRPr="00CF0E9C" w:rsidRDefault="00EC46DF" w:rsidP="00F32F05">
      <w:pPr>
        <w:pStyle w:val="a8"/>
        <w:spacing w:before="10"/>
        <w:ind w:left="215" w:hanging="215"/>
        <w:rPr>
          <w:rFonts w:ascii="David" w:hAnsi="David"/>
          <w:szCs w:val="18"/>
          <w:rtl/>
        </w:rPr>
      </w:pPr>
      <w:r w:rsidRPr="00CF0E9C">
        <w:rPr>
          <w:rStyle w:val="a7"/>
          <w:rFonts w:ascii="David" w:hAnsi="David" w:cs="David"/>
          <w:sz w:val="18"/>
          <w:szCs w:val="18"/>
        </w:rPr>
        <w:footnoteRef/>
      </w:r>
      <w:r w:rsidRPr="00CF0E9C">
        <w:rPr>
          <w:rFonts w:ascii="David" w:hAnsi="David"/>
          <w:szCs w:val="18"/>
          <w:rtl/>
        </w:rPr>
        <w:t xml:space="preserve"> </w:t>
      </w:r>
      <w:r w:rsidRPr="00CF0E9C">
        <w:rPr>
          <w:rFonts w:ascii="David" w:hAnsi="David"/>
          <w:szCs w:val="18"/>
          <w:rtl/>
        </w:rPr>
        <w:tab/>
        <w:t>בהתאם להוראות הדיווח לציבור סעיף 36(ב)(1), יינתן גילוי נפרד על פיקדונות שגויסו מחוץ לישראל, כאשר פעילות גיוס הפיקדונות בחו"ל היא מהותית</w:t>
      </w:r>
      <w:r>
        <w:rPr>
          <w:rFonts w:ascii="David" w:hAnsi="David" w:hint="cs"/>
          <w:szCs w:val="18"/>
          <w:rtl/>
        </w:rPr>
        <w:t>.</w:t>
      </w:r>
    </w:p>
  </w:footnote>
  <w:footnote w:id="58">
    <w:p w14:paraId="20A145B6" w14:textId="77777777" w:rsidR="002C4102" w:rsidRPr="00CF0E9C" w:rsidRDefault="002C4102" w:rsidP="00CF0E9C">
      <w:pPr>
        <w:pStyle w:val="a8"/>
        <w:spacing w:before="1"/>
        <w:ind w:left="215" w:hanging="215"/>
        <w:rPr>
          <w:rFonts w:ascii="David" w:hAnsi="David"/>
          <w:szCs w:val="18"/>
          <w:rtl/>
        </w:rPr>
      </w:pPr>
      <w:r w:rsidRPr="00CF0E9C">
        <w:rPr>
          <w:rStyle w:val="a7"/>
          <w:rFonts w:ascii="David" w:hAnsi="David" w:cs="David"/>
          <w:sz w:val="18"/>
          <w:szCs w:val="18"/>
        </w:rPr>
        <w:footnoteRef/>
      </w:r>
      <w:r w:rsidRPr="00CF0E9C">
        <w:rPr>
          <w:rFonts w:ascii="David" w:hAnsi="David"/>
          <w:szCs w:val="18"/>
          <w:rtl/>
        </w:rPr>
        <w:t xml:space="preserve"> </w:t>
      </w:r>
      <w:r w:rsidRPr="00CF0E9C">
        <w:rPr>
          <w:rFonts w:ascii="David" w:hAnsi="David"/>
          <w:szCs w:val="18"/>
          <w:rtl/>
        </w:rPr>
        <w:tab/>
        <w:t>בהתאם להוראות הדיווח לציבור סעיף 36(ג)(1), לגבי מפקיד עם מספר חשבונות, תחושב היתרה הכוללת של הפיקדונות עבור אותו מפקיד.</w:t>
      </w:r>
    </w:p>
  </w:footnote>
  <w:footnote w:id="59">
    <w:p w14:paraId="13CA1CE4" w14:textId="77777777" w:rsidR="002C4102" w:rsidRPr="00CF0E9C" w:rsidRDefault="002C4102" w:rsidP="00CF0E9C">
      <w:pPr>
        <w:pStyle w:val="a8"/>
        <w:spacing w:before="1"/>
        <w:ind w:left="215" w:hanging="215"/>
        <w:rPr>
          <w:rFonts w:ascii="David" w:hAnsi="David"/>
          <w:szCs w:val="18"/>
          <w:rtl/>
        </w:rPr>
      </w:pPr>
      <w:r w:rsidRPr="00CF0E9C">
        <w:rPr>
          <w:rStyle w:val="a7"/>
          <w:rFonts w:ascii="David" w:hAnsi="David" w:cs="David"/>
          <w:sz w:val="18"/>
          <w:szCs w:val="18"/>
        </w:rPr>
        <w:footnoteRef/>
      </w:r>
      <w:r w:rsidRPr="00CF0E9C">
        <w:rPr>
          <w:rFonts w:ascii="David" w:hAnsi="David"/>
          <w:szCs w:val="18"/>
          <w:rtl/>
        </w:rPr>
        <w:t xml:space="preserve"> </w:t>
      </w:r>
      <w:r w:rsidRPr="00CF0E9C">
        <w:rPr>
          <w:rFonts w:ascii="David" w:hAnsi="David"/>
          <w:szCs w:val="18"/>
          <w:rtl/>
        </w:rPr>
        <w:tab/>
        <w:t>בהתאם להוראות הדיווח לציבור סעיף 36(ג)(4), לפחות החל מהמדרגה העליונה הרלוונטית לתאגיד הבנקאי, בנתונים על בסיס מאוחד סיווג המדרגה ייקבע בהתאם לסך כל הפיקדונות שגויסו מאותו מפקיד מכל החברות שדוחותיהן אוחדו ("איחוד ספציפי").</w:t>
      </w:r>
    </w:p>
  </w:footnote>
  <w:footnote w:id="60">
    <w:p w14:paraId="4BC30CDA" w14:textId="77777777" w:rsidR="00D5466B" w:rsidRDefault="00D5466B" w:rsidP="00CF0E9C">
      <w:pPr>
        <w:pStyle w:val="a8"/>
        <w:spacing w:before="1"/>
        <w:ind w:left="215" w:hanging="215"/>
        <w:rPr>
          <w:rtl/>
        </w:rPr>
      </w:pPr>
      <w:r w:rsidRPr="00CF0E9C">
        <w:rPr>
          <w:rStyle w:val="a7"/>
          <w:rFonts w:ascii="David" w:hAnsi="David" w:cs="David"/>
          <w:sz w:val="18"/>
          <w:szCs w:val="18"/>
        </w:rPr>
        <w:footnoteRef/>
      </w:r>
      <w:r w:rsidRPr="00CF0E9C">
        <w:rPr>
          <w:rFonts w:ascii="David" w:hAnsi="David"/>
          <w:szCs w:val="18"/>
          <w:rtl/>
        </w:rPr>
        <w:t xml:space="preserve"> </w:t>
      </w:r>
      <w:r w:rsidRPr="00CF0E9C">
        <w:rPr>
          <w:rFonts w:ascii="David" w:hAnsi="David"/>
          <w:szCs w:val="18"/>
          <w:rtl/>
        </w:rPr>
        <w:tab/>
        <w:t>כאשר תקרת הפיקדון במדרגה העליונה של תאגיד בנקאי נמוכה מתקרת הפיקדון במדרגה העליונה בביאור זה, יש לציין את תקרת הפיקדון במדרגה העליונה.</w:t>
      </w:r>
    </w:p>
  </w:footnote>
  <w:footnote w:id="61">
    <w:p w14:paraId="1C7CC02D" w14:textId="26DDA66D" w:rsidR="00553945" w:rsidRPr="006B2D58" w:rsidRDefault="00553945" w:rsidP="00976DDE">
      <w:pPr>
        <w:pStyle w:val="a8"/>
        <w:rPr>
          <w:sz w:val="19"/>
          <w:szCs w:val="19"/>
          <w:rtl/>
        </w:rPr>
      </w:pPr>
      <w:r>
        <w:rPr>
          <w:rStyle w:val="a7"/>
        </w:rPr>
        <w:footnoteRef/>
      </w:r>
      <w:r>
        <w:rPr>
          <w:rtl/>
        </w:rPr>
        <w:t xml:space="preserve"> </w:t>
      </w:r>
      <w:r>
        <w:rPr>
          <w:rFonts w:hint="cs"/>
          <w:rtl/>
        </w:rPr>
        <w:t xml:space="preserve"> </w:t>
      </w:r>
      <w:r>
        <w:rPr>
          <w:rtl/>
        </w:rPr>
        <w:tab/>
      </w:r>
      <w:r w:rsidRPr="006B2D58">
        <w:rPr>
          <w:rFonts w:hint="cs"/>
          <w:sz w:val="19"/>
          <w:szCs w:val="19"/>
          <w:rtl/>
        </w:rPr>
        <w:t xml:space="preserve">בהתאם </w:t>
      </w:r>
      <w:r w:rsidR="006443B0">
        <w:rPr>
          <w:rFonts w:hint="cs"/>
          <w:sz w:val="19"/>
          <w:szCs w:val="19"/>
          <w:rtl/>
        </w:rPr>
        <w:t>לסעיף</w:t>
      </w:r>
      <w:r w:rsidR="00937BC6">
        <w:rPr>
          <w:rFonts w:hint="cs"/>
          <w:sz w:val="19"/>
          <w:szCs w:val="19"/>
          <w:rtl/>
        </w:rPr>
        <w:t xml:space="preserve"> </w:t>
      </w:r>
      <w:r w:rsidR="0084649E">
        <w:rPr>
          <w:rFonts w:hint="cs"/>
          <w:sz w:val="19"/>
          <w:szCs w:val="19"/>
          <w:rtl/>
        </w:rPr>
        <w:t>(1)</w:t>
      </w:r>
      <w:r w:rsidR="00937BC6">
        <w:rPr>
          <w:rFonts w:hint="cs"/>
          <w:sz w:val="19"/>
          <w:szCs w:val="19"/>
          <w:rtl/>
        </w:rPr>
        <w:t>(</w:t>
      </w:r>
      <w:r w:rsidR="00937BC6">
        <w:rPr>
          <w:sz w:val="19"/>
          <w:szCs w:val="19"/>
        </w:rPr>
        <w:t>r</w:t>
      </w:r>
      <w:r w:rsidR="00937BC6">
        <w:rPr>
          <w:rFonts w:hint="cs"/>
          <w:sz w:val="19"/>
          <w:szCs w:val="19"/>
          <w:rtl/>
        </w:rPr>
        <w:t xml:space="preserve">)715-20-50-1 בקודיפיקציה, </w:t>
      </w:r>
      <w:r w:rsidR="0084649E">
        <w:rPr>
          <w:rFonts w:hint="cs"/>
          <w:sz w:val="19"/>
          <w:szCs w:val="19"/>
          <w:rtl/>
        </w:rPr>
        <w:t>תאגיד בנקאי יתן</w:t>
      </w:r>
      <w:r w:rsidRPr="006B2D58">
        <w:rPr>
          <w:sz w:val="19"/>
          <w:szCs w:val="19"/>
          <w:rtl/>
        </w:rPr>
        <w:t xml:space="preserve"> הסבר לסיבות לרווחים והפסדים משמעותיים המיוחסים לשינויים במחויבויות בגין ההטבה לתקופה.</w:t>
      </w:r>
      <w:r w:rsidRPr="006B2D58">
        <w:rPr>
          <w:sz w:val="19"/>
          <w:szCs w:val="19"/>
          <w:rtl/>
        </w:rPr>
        <w:tab/>
      </w:r>
    </w:p>
  </w:footnote>
  <w:footnote w:id="62">
    <w:p w14:paraId="7B2EEBF5" w14:textId="77777777" w:rsidR="00553945" w:rsidRPr="006B2D58" w:rsidRDefault="00553945" w:rsidP="00B93E89">
      <w:pPr>
        <w:pStyle w:val="a8"/>
        <w:rPr>
          <w:sz w:val="19"/>
          <w:szCs w:val="19"/>
          <w:rtl/>
        </w:rPr>
      </w:pPr>
      <w:r w:rsidRPr="006B2D58">
        <w:rPr>
          <w:rStyle w:val="a7"/>
          <w:sz w:val="19"/>
          <w:szCs w:val="19"/>
        </w:rPr>
        <w:footnoteRef/>
      </w:r>
      <w:r w:rsidRPr="006B2D58">
        <w:rPr>
          <w:sz w:val="19"/>
          <w:szCs w:val="19"/>
          <w:rtl/>
        </w:rPr>
        <w:t xml:space="preserve"> </w:t>
      </w:r>
      <w:r w:rsidRPr="006B2D58">
        <w:rPr>
          <w:sz w:val="19"/>
          <w:szCs w:val="19"/>
          <w:rtl/>
        </w:rPr>
        <w:tab/>
      </w:r>
      <w:r w:rsidRPr="006B2D58">
        <w:rPr>
          <w:rFonts w:hint="cs"/>
          <w:sz w:val="19"/>
          <w:szCs w:val="19"/>
          <w:rtl/>
        </w:rPr>
        <w:t>אם רלוונטי, יש להבהיר כי תכנית הפנסיה כוללת גם פיצויי פרישה.</w:t>
      </w:r>
    </w:p>
  </w:footnote>
  <w:footnote w:id="63">
    <w:p w14:paraId="0D0B67EF" w14:textId="77777777" w:rsidR="00553945" w:rsidRPr="006B2D58" w:rsidRDefault="00553945" w:rsidP="00B93E89">
      <w:pPr>
        <w:pStyle w:val="a8"/>
        <w:rPr>
          <w:sz w:val="19"/>
          <w:szCs w:val="19"/>
          <w:rtl/>
        </w:rPr>
      </w:pPr>
      <w:r w:rsidRPr="006B2D58">
        <w:rPr>
          <w:rStyle w:val="a7"/>
          <w:sz w:val="19"/>
          <w:szCs w:val="19"/>
        </w:rPr>
        <w:footnoteRef/>
      </w:r>
      <w:r w:rsidRPr="006B2D58">
        <w:rPr>
          <w:sz w:val="19"/>
          <w:szCs w:val="19"/>
          <w:rtl/>
        </w:rPr>
        <w:t xml:space="preserve"> </w:t>
      </w:r>
      <w:r w:rsidRPr="006B2D58">
        <w:rPr>
          <w:sz w:val="19"/>
          <w:szCs w:val="19"/>
          <w:rtl/>
        </w:rPr>
        <w:tab/>
      </w:r>
      <w:r w:rsidRPr="006B2D58">
        <w:rPr>
          <w:rFonts w:hint="cs"/>
          <w:sz w:val="19"/>
          <w:szCs w:val="19"/>
          <w:rtl/>
        </w:rPr>
        <w:t>אם תכניות אחרות להטבה מוגדרת לאחר פרישה הינן מהותיות, יש לתת גילוי עליהן כנדרש בקודיפיקציה.</w:t>
      </w:r>
    </w:p>
  </w:footnote>
  <w:footnote w:id="64">
    <w:p w14:paraId="099EF107" w14:textId="77777777" w:rsidR="00553945" w:rsidRPr="006B2D58" w:rsidRDefault="00553945" w:rsidP="00B93E89">
      <w:pPr>
        <w:pStyle w:val="a8"/>
        <w:rPr>
          <w:sz w:val="19"/>
          <w:szCs w:val="19"/>
          <w:rtl/>
        </w:rPr>
      </w:pPr>
      <w:r w:rsidRPr="006B2D58">
        <w:rPr>
          <w:rStyle w:val="a7"/>
          <w:sz w:val="19"/>
          <w:szCs w:val="19"/>
        </w:rPr>
        <w:footnoteRef/>
      </w:r>
      <w:r w:rsidRPr="006B2D58">
        <w:rPr>
          <w:sz w:val="19"/>
          <w:szCs w:val="19"/>
          <w:rtl/>
        </w:rPr>
        <w:t xml:space="preserve"> </w:t>
      </w:r>
      <w:r w:rsidRPr="006B2D58">
        <w:rPr>
          <w:sz w:val="19"/>
          <w:szCs w:val="19"/>
          <w:rtl/>
        </w:rPr>
        <w:tab/>
      </w:r>
      <w:r w:rsidRPr="006B2D58">
        <w:rPr>
          <w:rFonts w:hint="cs"/>
          <w:sz w:val="19"/>
          <w:szCs w:val="19"/>
          <w:rtl/>
        </w:rPr>
        <w:t>בהתאם לקודיפיקציה סעיף 715-20-50-4, תאגיד בנקאי רשאי לצרף גילויים בדבר תכניות פנסיה או תכניות הטבה אחרות לאחר פרישה מחוץ לישראל עם תכניות בישראל, אלא אם כן המחויבויות בגין הטבה של התכניות שמחוץ לישראל הן משמעותיות יחסית לסך כל המחויבות בגין הטבה ותכניות אלה מתבססות על הנחות שונות באופן מהותי.</w:t>
      </w:r>
    </w:p>
  </w:footnote>
  <w:footnote w:id="65">
    <w:p w14:paraId="31914BAC" w14:textId="77777777" w:rsidR="00553945" w:rsidRPr="006B2D58" w:rsidRDefault="00553945" w:rsidP="00B93E89">
      <w:pPr>
        <w:pStyle w:val="a8"/>
        <w:rPr>
          <w:sz w:val="19"/>
          <w:szCs w:val="19"/>
          <w:rtl/>
        </w:rPr>
      </w:pPr>
      <w:r w:rsidRPr="006B2D58">
        <w:rPr>
          <w:rStyle w:val="a7"/>
          <w:sz w:val="19"/>
          <w:szCs w:val="19"/>
        </w:rPr>
        <w:footnoteRef/>
      </w:r>
      <w:r w:rsidRPr="006B2D58">
        <w:rPr>
          <w:sz w:val="19"/>
          <w:szCs w:val="19"/>
          <w:rtl/>
        </w:rPr>
        <w:t xml:space="preserve"> </w:t>
      </w:r>
      <w:r w:rsidRPr="006B2D58">
        <w:rPr>
          <w:sz w:val="19"/>
          <w:szCs w:val="19"/>
          <w:rtl/>
        </w:rPr>
        <w:tab/>
      </w:r>
      <w:r w:rsidRPr="006B2D58">
        <w:rPr>
          <w:rFonts w:hint="cs"/>
          <w:sz w:val="19"/>
          <w:szCs w:val="19"/>
          <w:rtl/>
        </w:rPr>
        <w:t xml:space="preserve">תאגיד בנקאי המבצע בתקופת ביניים מדידה מחדש של נכסי תכנית ו/או של מחויבות חזויה (כאמור בסעיף 715-30-25-5 בקודיפיקציה), </w:t>
      </w:r>
      <w:r w:rsidRPr="006B2D58">
        <w:rPr>
          <w:rFonts w:hint="eastAsia"/>
          <w:sz w:val="19"/>
          <w:szCs w:val="19"/>
          <w:rtl/>
        </w:rPr>
        <w:t>ירחיב</w:t>
      </w:r>
      <w:r w:rsidRPr="006B2D58">
        <w:rPr>
          <w:sz w:val="19"/>
          <w:szCs w:val="19"/>
          <w:rtl/>
        </w:rPr>
        <w:t xml:space="preserve"> </w:t>
      </w:r>
      <w:r w:rsidRPr="006B2D58">
        <w:rPr>
          <w:rFonts w:hint="eastAsia"/>
          <w:sz w:val="19"/>
          <w:szCs w:val="19"/>
          <w:rtl/>
        </w:rPr>
        <w:t>את</w:t>
      </w:r>
      <w:r w:rsidRPr="006B2D58">
        <w:rPr>
          <w:sz w:val="19"/>
          <w:szCs w:val="19"/>
          <w:rtl/>
        </w:rPr>
        <w:t xml:space="preserve"> </w:t>
      </w:r>
      <w:r w:rsidRPr="006B2D58">
        <w:rPr>
          <w:rFonts w:hint="eastAsia"/>
          <w:sz w:val="19"/>
          <w:szCs w:val="19"/>
          <w:rtl/>
        </w:rPr>
        <w:t>הגילוי</w:t>
      </w:r>
      <w:r w:rsidRPr="006B2D58">
        <w:rPr>
          <w:sz w:val="19"/>
          <w:szCs w:val="19"/>
          <w:rtl/>
        </w:rPr>
        <w:t xml:space="preserve"> </w:t>
      </w:r>
      <w:r w:rsidRPr="006B2D58">
        <w:rPr>
          <w:rFonts w:hint="eastAsia"/>
          <w:sz w:val="19"/>
          <w:szCs w:val="19"/>
          <w:rtl/>
        </w:rPr>
        <w:t>בהתאם</w:t>
      </w:r>
      <w:r w:rsidRPr="006B2D58">
        <w:rPr>
          <w:sz w:val="19"/>
          <w:szCs w:val="19"/>
          <w:rtl/>
        </w:rPr>
        <w:t xml:space="preserve"> </w:t>
      </w:r>
      <w:r w:rsidRPr="006B2D58">
        <w:rPr>
          <w:rFonts w:hint="eastAsia"/>
          <w:sz w:val="19"/>
          <w:szCs w:val="19"/>
          <w:rtl/>
        </w:rPr>
        <w:t>לנסיבות</w:t>
      </w:r>
      <w:r w:rsidRPr="006B2D58">
        <w:rPr>
          <w:sz w:val="19"/>
          <w:szCs w:val="19"/>
          <w:rtl/>
        </w:rPr>
        <w:t xml:space="preserve"> </w:t>
      </w:r>
      <w:r w:rsidRPr="006B2D58">
        <w:rPr>
          <w:rFonts w:hint="eastAsia"/>
          <w:sz w:val="19"/>
          <w:szCs w:val="19"/>
          <w:rtl/>
        </w:rPr>
        <w:t>העניין</w:t>
      </w:r>
      <w:r w:rsidRPr="006B2D58">
        <w:rPr>
          <w:sz w:val="19"/>
          <w:szCs w:val="19"/>
          <w:rtl/>
        </w:rPr>
        <w:t>.</w:t>
      </w:r>
    </w:p>
  </w:footnote>
  <w:footnote w:id="66">
    <w:p w14:paraId="558E44C4" w14:textId="77777777" w:rsidR="00553945" w:rsidRDefault="00553945" w:rsidP="00D9322A">
      <w:pPr>
        <w:pStyle w:val="a8"/>
        <w:rPr>
          <w:rtl/>
        </w:rPr>
      </w:pPr>
      <w:r w:rsidRPr="006B2D58">
        <w:rPr>
          <w:rStyle w:val="a7"/>
          <w:sz w:val="19"/>
          <w:szCs w:val="19"/>
        </w:rPr>
        <w:footnoteRef/>
      </w:r>
      <w:r w:rsidRPr="006B2D58">
        <w:rPr>
          <w:sz w:val="19"/>
          <w:szCs w:val="19"/>
          <w:rtl/>
        </w:rPr>
        <w:t xml:space="preserve"> </w:t>
      </w:r>
      <w:r w:rsidRPr="006B2D58">
        <w:rPr>
          <w:sz w:val="19"/>
          <w:szCs w:val="19"/>
          <w:rtl/>
        </w:rPr>
        <w:tab/>
      </w:r>
      <w:r w:rsidRPr="006B2D58">
        <w:rPr>
          <w:rFonts w:hint="cs"/>
          <w:sz w:val="19"/>
          <w:szCs w:val="19"/>
          <w:rtl/>
        </w:rPr>
        <w:t>הגילוי יינתן כאשר מתקיימים התנאים המפורטים בסעיף 715-20-50-6 לקודיפיקציה, כלומר סכומי ההפקדות ששולמו וצפוי שישולמו על ידי התאגיד הבנקאי, שונים משמעותית מהסכומים שניתן להם גילוי בדוח השנתי.</w:t>
      </w:r>
    </w:p>
  </w:footnote>
  <w:footnote w:id="67">
    <w:p w14:paraId="44FABEE4" w14:textId="77777777" w:rsidR="00553945" w:rsidRPr="001C6BB3" w:rsidRDefault="00553945" w:rsidP="00976DDE">
      <w:pPr>
        <w:pStyle w:val="a8"/>
        <w:spacing w:before="0"/>
        <w:ind w:left="215" w:hanging="215"/>
        <w:contextualSpacing/>
        <w:rPr>
          <w:rStyle w:val="a7"/>
          <w:rFonts w:ascii="David" w:hAnsi="David" w:cs="David"/>
          <w:noProof w:val="0"/>
          <w:sz w:val="18"/>
          <w:szCs w:val="18"/>
          <w:vertAlign w:val="baseline"/>
          <w:rtl/>
          <w:lang w:eastAsia="en-US"/>
        </w:rPr>
      </w:pPr>
      <w:r w:rsidRPr="001C6BB3">
        <w:rPr>
          <w:rStyle w:val="a7"/>
          <w:rFonts w:ascii="David" w:hAnsi="David" w:cs="David"/>
          <w:sz w:val="18"/>
          <w:szCs w:val="18"/>
        </w:rPr>
        <w:footnoteRef/>
      </w:r>
      <w:r w:rsidRPr="001C6BB3">
        <w:rPr>
          <w:rStyle w:val="a7"/>
          <w:rFonts w:ascii="David" w:hAnsi="David" w:cs="David"/>
          <w:sz w:val="18"/>
          <w:szCs w:val="18"/>
          <w:rtl/>
        </w:rPr>
        <w:t xml:space="preserve"> </w:t>
      </w:r>
      <w:r w:rsidRPr="001C6BB3">
        <w:rPr>
          <w:rStyle w:val="a7"/>
          <w:rFonts w:ascii="David" w:hAnsi="David" w:cs="David"/>
          <w:sz w:val="18"/>
          <w:szCs w:val="18"/>
          <w:rtl/>
        </w:rPr>
        <w:tab/>
      </w:r>
      <w:r w:rsidRPr="001C6BB3">
        <w:rPr>
          <w:rFonts w:ascii="David" w:hAnsi="David"/>
          <w:szCs w:val="18"/>
          <w:rtl/>
        </w:rPr>
        <w:t>מחושב בהתאם להוראות ניהול בנקאי תקין מספר 201-211, 299 בדבר "מדידה והלימות ההון".</w:t>
      </w:r>
      <w:r w:rsidRPr="001C6BB3">
        <w:rPr>
          <w:rFonts w:ascii="David" w:hAnsi="David"/>
          <w:noProof w:val="0"/>
          <w:szCs w:val="18"/>
          <w:rtl/>
          <w:lang w:eastAsia="en-US"/>
        </w:rPr>
        <w:t xml:space="preserve"> </w:t>
      </w:r>
    </w:p>
  </w:footnote>
  <w:footnote w:id="68">
    <w:p w14:paraId="059C839A" w14:textId="1B8DB39B" w:rsidR="007F164F" w:rsidRDefault="007F164F" w:rsidP="00461589">
      <w:pPr>
        <w:pStyle w:val="a8"/>
        <w:rPr>
          <w:rtl/>
        </w:rPr>
      </w:pPr>
      <w:r>
        <w:rPr>
          <w:rStyle w:val="a7"/>
        </w:rPr>
        <w:footnoteRef/>
      </w:r>
      <w:r>
        <w:rPr>
          <w:rtl/>
        </w:rPr>
        <w:t xml:space="preserve"> </w:t>
      </w:r>
      <w:r>
        <w:rPr>
          <w:rtl/>
        </w:rPr>
        <w:tab/>
      </w:r>
      <w:r w:rsidRPr="00DF111B">
        <w:rPr>
          <w:rFonts w:hint="cs"/>
          <w:rtl/>
        </w:rPr>
        <w:t xml:space="preserve">בהתאם להוראת נב"ת 202, במטרה להקל על תהליך ההנפקה של מכשירי הון רובד 2, </w:t>
      </w:r>
      <w:r w:rsidRPr="00DF111B">
        <w:rPr>
          <w:rtl/>
        </w:rPr>
        <w:t>תאגיד בנקאי</w:t>
      </w:r>
      <w:r w:rsidRPr="00DF111B">
        <w:rPr>
          <w:rFonts w:hint="cs"/>
          <w:rtl/>
        </w:rPr>
        <w:t xml:space="preserve"> </w:t>
      </w:r>
      <w:r w:rsidRPr="00DF111B">
        <w:rPr>
          <w:rtl/>
        </w:rPr>
        <w:t>המבצע הנפקה של מכשירי הון רובד 2, יעביר לפיקוח בסמוך לאחר ההנפקה, הודעה על ההנפקה</w:t>
      </w:r>
      <w:r w:rsidRPr="00DF111B">
        <w:rPr>
          <w:rFonts w:hint="cs"/>
          <w:rtl/>
        </w:rPr>
        <w:t>.</w:t>
      </w:r>
    </w:p>
  </w:footnote>
  <w:footnote w:id="69">
    <w:p w14:paraId="5E89D2C8" w14:textId="76A09D65" w:rsidR="00606B64" w:rsidRDefault="00606B64" w:rsidP="00606B64">
      <w:pPr>
        <w:pStyle w:val="a8"/>
        <w:rPr>
          <w:rtl/>
        </w:rPr>
      </w:pPr>
      <w:r>
        <w:rPr>
          <w:rStyle w:val="a7"/>
        </w:rPr>
        <w:footnoteRef/>
      </w:r>
      <w:r>
        <w:rPr>
          <w:rtl/>
        </w:rPr>
        <w:t xml:space="preserve"> </w:t>
      </w:r>
      <w:r>
        <w:rPr>
          <w:rtl/>
        </w:rPr>
        <w:tab/>
      </w:r>
      <w:r w:rsidR="006501FC" w:rsidRPr="006501FC">
        <w:rPr>
          <w:rtl/>
        </w:rPr>
        <w:t xml:space="preserve">ביום 20.12.23 פורסם חוזר הפיקוח בנושא יחס מינוף </w:t>
      </w:r>
      <w:r w:rsidR="006501FC">
        <w:rPr>
          <w:rFonts w:hint="cs"/>
          <w:rtl/>
        </w:rPr>
        <w:t>(</w:t>
      </w:r>
      <w:r w:rsidR="006501FC" w:rsidRPr="006501FC">
        <w:rPr>
          <w:rtl/>
        </w:rPr>
        <w:t>הוראת נב"ת 218</w:t>
      </w:r>
      <w:r w:rsidR="006501FC">
        <w:rPr>
          <w:rFonts w:hint="cs"/>
          <w:rtl/>
        </w:rPr>
        <w:t>)</w:t>
      </w:r>
      <w:r w:rsidR="006501FC" w:rsidRPr="006501FC">
        <w:rPr>
          <w:rtl/>
        </w:rPr>
        <w:t xml:space="preserve">, המעדכן את הארכת תוקף ההקלה, ולפיו, שיעורי יחס המינוף המזעריים יעמדו על  4.5%  ו-  5.5%  </w:t>
      </w:r>
      <w:r w:rsidR="006501FC">
        <w:rPr>
          <w:rFonts w:hint="cs"/>
          <w:rtl/>
        </w:rPr>
        <w:t>(</w:t>
      </w:r>
      <w:r w:rsidR="006501FC" w:rsidRPr="006501FC">
        <w:rPr>
          <w:rtl/>
        </w:rPr>
        <w:t>במקום  5%  ו-  6%, בהתאמה,  טרם הוראת השעה</w:t>
      </w:r>
      <w:r w:rsidR="006501FC">
        <w:rPr>
          <w:rFonts w:hint="cs"/>
          <w:rtl/>
        </w:rPr>
        <w:t>)</w:t>
      </w:r>
      <w:r w:rsidR="006501FC" w:rsidRPr="006501FC">
        <w:rPr>
          <w:rtl/>
        </w:rPr>
        <w:t xml:space="preserve">  עד ליום  30  ביוני  2026,  ובלבד, ששיעור יחס המינוף לא יפחת מהשיעור ביום  31.12.25 או </w:t>
      </w:r>
      <w:r w:rsidR="006501FC">
        <w:rPr>
          <w:rFonts w:hint="cs"/>
          <w:rtl/>
        </w:rPr>
        <w:t>השיעור</w:t>
      </w:r>
      <w:r w:rsidR="006501FC" w:rsidRPr="006501FC">
        <w:rPr>
          <w:rtl/>
        </w:rPr>
        <w:t xml:space="preserve"> טרם הוראת השעה.</w:t>
      </w:r>
    </w:p>
  </w:footnote>
  <w:footnote w:id="70">
    <w:p w14:paraId="2CFFAEFB" w14:textId="77777777" w:rsidR="00553945" w:rsidRPr="00D34C2D" w:rsidRDefault="00553945" w:rsidP="003C659F">
      <w:pPr>
        <w:pStyle w:val="a8"/>
        <w:rPr>
          <w:szCs w:val="18"/>
          <w:rtl/>
        </w:rPr>
      </w:pPr>
      <w:r w:rsidRPr="00D34C2D">
        <w:rPr>
          <w:rStyle w:val="a7"/>
          <w:sz w:val="18"/>
          <w:szCs w:val="18"/>
        </w:rPr>
        <w:footnoteRef/>
      </w:r>
      <w:r w:rsidRPr="00D34C2D">
        <w:rPr>
          <w:szCs w:val="18"/>
          <w:rtl/>
        </w:rPr>
        <w:t xml:space="preserve"> </w:t>
      </w:r>
      <w:r w:rsidRPr="00D34C2D">
        <w:rPr>
          <w:szCs w:val="18"/>
          <w:rtl/>
        </w:rPr>
        <w:tab/>
      </w:r>
      <w:r w:rsidRPr="00D34C2D">
        <w:rPr>
          <w:rFonts w:hint="cs"/>
          <w:szCs w:val="18"/>
          <w:rtl/>
        </w:rPr>
        <w:t>דוגמת ביאור זה כוללת מספר סוגי התחייבויות שאינן ממצות את כל המצבים הקיימים בתאגידים בנקאיים. כל תאגיד בנקאי יתאים את הביאור לנסיבות הרלוונטיות אליו.</w:t>
      </w:r>
    </w:p>
  </w:footnote>
  <w:footnote w:id="71">
    <w:p w14:paraId="62DE20E3" w14:textId="77777777" w:rsidR="00553945" w:rsidRPr="00D34C2D" w:rsidRDefault="00553945" w:rsidP="00E05BA6">
      <w:pPr>
        <w:pStyle w:val="a8"/>
        <w:rPr>
          <w:szCs w:val="18"/>
          <w:rtl/>
        </w:rPr>
      </w:pPr>
      <w:r w:rsidRPr="00D34C2D">
        <w:rPr>
          <w:rStyle w:val="a7"/>
          <w:sz w:val="18"/>
          <w:szCs w:val="18"/>
        </w:rPr>
        <w:footnoteRef/>
      </w:r>
      <w:r w:rsidRPr="00D34C2D">
        <w:rPr>
          <w:szCs w:val="18"/>
          <w:rtl/>
        </w:rPr>
        <w:t xml:space="preserve"> </w:t>
      </w:r>
      <w:r w:rsidRPr="00D34C2D">
        <w:rPr>
          <w:szCs w:val="18"/>
          <w:rtl/>
        </w:rPr>
        <w:tab/>
      </w:r>
      <w:r w:rsidRPr="00BE19F8">
        <w:rPr>
          <w:rFonts w:hint="cs"/>
          <w:szCs w:val="18"/>
          <w:rtl/>
        </w:rPr>
        <w:t>בהתאם להוראות הדיווח לציבור סעיף 48, ערב התאגיד הבנקאי כלפי חברי קופת גמל המנוהלת על ידיו, יצויין קיומה של ערבות זו. יש להגדיר את מהות הערבות ולציין האם קיימים עמיתים אשר הסכומים שנצברו בקופת הגמל לזכותם נמוכים מסך הפקדותיהם הנומינליות. כאשר הערבות עונה להגדרת מכשיר נגזר יינתן גילוי לשווייה ההוגן ולסכומה הנקוב בהתאם לאמור בחלק א'1 בהוראות.</w:t>
      </w:r>
    </w:p>
  </w:footnote>
  <w:footnote w:id="72">
    <w:p w14:paraId="5A03E054" w14:textId="1B5C094A" w:rsidR="00553945" w:rsidRPr="0086769E" w:rsidRDefault="00553945" w:rsidP="009317F1">
      <w:pPr>
        <w:pStyle w:val="a8"/>
        <w:rPr>
          <w:rFonts w:ascii="David" w:hAnsi="David"/>
          <w:sz w:val="16"/>
          <w:szCs w:val="16"/>
        </w:rPr>
      </w:pPr>
      <w:r w:rsidRPr="0086769E">
        <w:rPr>
          <w:rStyle w:val="a7"/>
          <w:rFonts w:ascii="David" w:hAnsi="David" w:cs="David"/>
          <w:sz w:val="16"/>
          <w:szCs w:val="16"/>
        </w:rPr>
        <w:footnoteRef/>
      </w:r>
      <w:r w:rsidRPr="0086769E">
        <w:rPr>
          <w:rFonts w:ascii="David" w:hAnsi="David"/>
          <w:sz w:val="16"/>
          <w:szCs w:val="16"/>
          <w:rtl/>
        </w:rPr>
        <w:t xml:space="preserve">  </w:t>
      </w:r>
      <w:r w:rsidRPr="0086769E">
        <w:rPr>
          <w:rFonts w:ascii="David" w:hAnsi="David"/>
          <w:sz w:val="16"/>
          <w:szCs w:val="16"/>
          <w:rtl/>
        </w:rPr>
        <w:tab/>
        <w:t>בהתאם להוראות הדיווח לציבור סעיף 22ג(ה)(4), אין לקזז: (א) מחויבויות של התאגיד הבנקאי לקנות מצדדים שלישיים כנגד מחויבויות התאגיד הבנקאי למכור לצדדים שלישיים, (ב) אופציות שנכתבו כנגד אופציות שנקנו, (ג) שווי הוגן חיובי כנגד שווי הוגן שלילי, או (ד) חוזים הכפופים להסכמי קיזוז דו צדדיים  (</w:t>
      </w:r>
      <w:r w:rsidRPr="0086769E">
        <w:rPr>
          <w:rFonts w:ascii="David" w:hAnsi="David"/>
          <w:sz w:val="16"/>
          <w:szCs w:val="16"/>
        </w:rPr>
        <w:t>bilateral netting agreements</w:t>
      </w:r>
      <w:r w:rsidRPr="0086769E">
        <w:rPr>
          <w:rFonts w:ascii="David" w:hAnsi="David"/>
          <w:sz w:val="16"/>
          <w:szCs w:val="16"/>
          <w:rtl/>
        </w:rPr>
        <w:t xml:space="preserve">). </w:t>
      </w:r>
    </w:p>
  </w:footnote>
  <w:footnote w:id="73">
    <w:p w14:paraId="61C1E675" w14:textId="77777777" w:rsidR="00553945" w:rsidRPr="0086769E" w:rsidRDefault="00553945" w:rsidP="009317F1">
      <w:pPr>
        <w:pStyle w:val="a8"/>
        <w:rPr>
          <w:rFonts w:ascii="David" w:hAnsi="David"/>
          <w:sz w:val="16"/>
          <w:szCs w:val="16"/>
          <w:rtl/>
        </w:rPr>
      </w:pPr>
      <w:r w:rsidRPr="0086769E">
        <w:rPr>
          <w:rStyle w:val="a7"/>
          <w:rFonts w:ascii="David" w:hAnsi="David" w:cs="David"/>
          <w:sz w:val="16"/>
          <w:szCs w:val="16"/>
        </w:rPr>
        <w:footnoteRef/>
      </w:r>
      <w:r w:rsidRPr="0086769E">
        <w:rPr>
          <w:rFonts w:ascii="David" w:hAnsi="David"/>
          <w:sz w:val="16"/>
          <w:szCs w:val="16"/>
          <w:rtl/>
        </w:rPr>
        <w:t xml:space="preserve"> </w:t>
      </w:r>
      <w:r w:rsidRPr="0086769E">
        <w:rPr>
          <w:rFonts w:ascii="David" w:hAnsi="David"/>
          <w:sz w:val="16"/>
          <w:szCs w:val="16"/>
          <w:rtl/>
        </w:rPr>
        <w:tab/>
        <w:t>בהתאם להוראות</w:t>
      </w:r>
      <w:r w:rsidRPr="0086769E">
        <w:rPr>
          <w:rFonts w:ascii="David" w:hAnsi="David"/>
          <w:sz w:val="16"/>
          <w:szCs w:val="16"/>
        </w:rPr>
        <w:t xml:space="preserve"> </w:t>
      </w:r>
      <w:r w:rsidRPr="0086769E">
        <w:rPr>
          <w:rFonts w:ascii="David" w:hAnsi="David"/>
          <w:sz w:val="16"/>
          <w:szCs w:val="16"/>
          <w:rtl/>
        </w:rPr>
        <w:t>הדיווח לציבור סעיף 22ג(ה)(5), הסכום הנקוב יינתן במונחים שקליים כדלקמן: 1. בחוזי מטבע ובחוזי ריבית יוצג סכום החוזה לפי צד אחר בעסקה, בסכום שקלים של הצד הנרכש (הנכס לקבל). 2. בחוזי מניות, סחורות ואחרים וחוזי אשראי - תוצג המכפלה של הסכום הנקוב במחיר של יחידת חוזה. מחיר יחידת חוזה הינו המחיר הנקוב בחוזה.</w:t>
      </w:r>
    </w:p>
  </w:footnote>
  <w:footnote w:id="74">
    <w:p w14:paraId="66B2FE94" w14:textId="77777777" w:rsidR="00F86341" w:rsidRPr="0086769E" w:rsidRDefault="00F86341" w:rsidP="00F8390C">
      <w:pPr>
        <w:pStyle w:val="a8"/>
        <w:rPr>
          <w:rFonts w:ascii="David" w:hAnsi="David"/>
          <w:sz w:val="16"/>
          <w:szCs w:val="16"/>
          <w:rtl/>
        </w:rPr>
      </w:pPr>
      <w:r w:rsidRPr="0086769E">
        <w:rPr>
          <w:rStyle w:val="a7"/>
          <w:rFonts w:ascii="David" w:hAnsi="David" w:cs="David"/>
          <w:sz w:val="16"/>
          <w:szCs w:val="16"/>
        </w:rPr>
        <w:footnoteRef/>
      </w:r>
      <w:r w:rsidRPr="0086769E">
        <w:rPr>
          <w:rFonts w:ascii="David" w:hAnsi="David"/>
          <w:sz w:val="16"/>
          <w:szCs w:val="16"/>
          <w:rtl/>
        </w:rPr>
        <w:t xml:space="preserve">  </w:t>
      </w:r>
      <w:r w:rsidRPr="0086769E">
        <w:rPr>
          <w:rFonts w:ascii="David" w:hAnsi="David"/>
          <w:sz w:val="16"/>
          <w:szCs w:val="16"/>
          <w:rtl/>
        </w:rPr>
        <w:tab/>
        <w:t xml:space="preserve">בהתאם להוראות הדיווח לציבור סעיף 22ג(ה)(2), חוזי ריבית אינם כוללים חוזים הכרוכים בהחלפת מטבע חוץ אחד או יותר (כגון: </w:t>
      </w:r>
      <w:r w:rsidRPr="0086769E">
        <w:rPr>
          <w:rFonts w:ascii="David" w:hAnsi="David"/>
          <w:sz w:val="16"/>
          <w:szCs w:val="16"/>
        </w:rPr>
        <w:t>cross-currency</w:t>
      </w:r>
      <w:r w:rsidRPr="0086769E">
        <w:rPr>
          <w:rFonts w:ascii="David" w:hAnsi="David"/>
          <w:sz w:val="16"/>
          <w:szCs w:val="16"/>
          <w:rtl/>
        </w:rPr>
        <w:t xml:space="preserve"> ואופציות מטבע) וחוזים אחרים שמאפיין הסיכון הדומיננטי שלהם הנו סיכון שע"ח של מטבע חוץ, אשר ידווחו כחוזי מטבע חוץ.</w:t>
      </w:r>
    </w:p>
  </w:footnote>
  <w:footnote w:id="75">
    <w:p w14:paraId="7BDD5911" w14:textId="77777777" w:rsidR="00F86341" w:rsidRPr="0086769E" w:rsidRDefault="00F86341">
      <w:pPr>
        <w:pStyle w:val="a8"/>
        <w:rPr>
          <w:rFonts w:ascii="David" w:hAnsi="David"/>
          <w:sz w:val="16"/>
          <w:szCs w:val="16"/>
          <w:rtl/>
        </w:rPr>
      </w:pPr>
      <w:r w:rsidRPr="0086769E">
        <w:rPr>
          <w:rStyle w:val="a7"/>
          <w:rFonts w:ascii="David" w:hAnsi="David" w:cs="David"/>
          <w:sz w:val="16"/>
          <w:szCs w:val="16"/>
        </w:rPr>
        <w:footnoteRef/>
      </w:r>
      <w:r w:rsidRPr="0086769E">
        <w:rPr>
          <w:rFonts w:ascii="David" w:hAnsi="David"/>
          <w:sz w:val="16"/>
          <w:szCs w:val="16"/>
          <w:rtl/>
        </w:rPr>
        <w:t xml:space="preserve">  </w:t>
      </w:r>
      <w:r w:rsidRPr="0086769E">
        <w:rPr>
          <w:rFonts w:ascii="David" w:hAnsi="David"/>
          <w:sz w:val="16"/>
          <w:szCs w:val="16"/>
          <w:rtl/>
        </w:rPr>
        <w:tab/>
        <w:t>בהתאם להוראות הדיווח לציבור סעיף 22ג(ה)(3) חוזי מטבע חוץ כוללים, בין היתר, חוזי פורוורד להחלפת מטבע חוץ</w:t>
      </w:r>
      <w:r w:rsidRPr="0086769E">
        <w:rPr>
          <w:rFonts w:ascii="David" w:hAnsi="David"/>
          <w:sz w:val="16"/>
          <w:szCs w:val="16"/>
        </w:rPr>
        <w:t>.</w:t>
      </w:r>
    </w:p>
  </w:footnote>
  <w:footnote w:id="76">
    <w:p w14:paraId="75AED131" w14:textId="71148DF0" w:rsidR="00795BC1" w:rsidRPr="002C49F9" w:rsidRDefault="00795BC1" w:rsidP="009317F1">
      <w:pPr>
        <w:pStyle w:val="a8"/>
        <w:rPr>
          <w:szCs w:val="18"/>
          <w:rtl/>
        </w:rPr>
      </w:pPr>
      <w:r w:rsidRPr="0086769E">
        <w:rPr>
          <w:rStyle w:val="a7"/>
          <w:rFonts w:ascii="David" w:hAnsi="David" w:cs="David"/>
          <w:sz w:val="16"/>
          <w:szCs w:val="16"/>
        </w:rPr>
        <w:footnoteRef/>
      </w:r>
      <w:r w:rsidRPr="0086769E">
        <w:rPr>
          <w:rFonts w:ascii="David" w:hAnsi="David"/>
          <w:sz w:val="16"/>
          <w:szCs w:val="16"/>
          <w:rtl/>
        </w:rPr>
        <w:t xml:space="preserve">  </w:t>
      </w:r>
      <w:r w:rsidRPr="0086769E">
        <w:rPr>
          <w:rFonts w:ascii="David" w:hAnsi="David"/>
          <w:sz w:val="16"/>
          <w:szCs w:val="16"/>
          <w:rtl/>
        </w:rPr>
        <w:tab/>
        <w:t>בהתאם להוראות הדיווח לציבור סעיף22ג(ה)(1) חוזה החלפת מטבע חוץ ספוט הנו הסכם למסירה מיידית, בדרך כלל שני ימי עסקים, של מט"ח לפי שע"ח השורר בשוק (</w:t>
      </w:r>
      <w:r w:rsidRPr="0086769E">
        <w:rPr>
          <w:rFonts w:ascii="David" w:hAnsi="David"/>
          <w:sz w:val="16"/>
          <w:szCs w:val="16"/>
        </w:rPr>
        <w:t>prevailing cash market rate</w:t>
      </w:r>
      <w:r w:rsidRPr="0086769E">
        <w:rPr>
          <w:rFonts w:ascii="David" w:hAnsi="David"/>
          <w:sz w:val="16"/>
          <w:szCs w:val="16"/>
          <w:rtl/>
        </w:rPr>
        <w:t>).</w:t>
      </w:r>
    </w:p>
  </w:footnote>
  <w:footnote w:id="77">
    <w:p w14:paraId="5723A67E" w14:textId="77777777" w:rsidR="00E6519F" w:rsidRPr="00580C4C" w:rsidRDefault="00E6519F" w:rsidP="006A5664">
      <w:pPr>
        <w:pStyle w:val="a8"/>
        <w:spacing w:line="216" w:lineRule="auto"/>
        <w:ind w:left="215" w:hanging="215"/>
        <w:rPr>
          <w:sz w:val="17"/>
          <w:szCs w:val="17"/>
          <w:rtl/>
        </w:rPr>
      </w:pPr>
      <w:r w:rsidRPr="00580C4C">
        <w:rPr>
          <w:rStyle w:val="a7"/>
          <w:sz w:val="17"/>
          <w:szCs w:val="17"/>
        </w:rPr>
        <w:footnoteRef/>
      </w:r>
      <w:r w:rsidRPr="00580C4C">
        <w:rPr>
          <w:sz w:val="17"/>
          <w:szCs w:val="17"/>
          <w:rtl/>
        </w:rPr>
        <w:t xml:space="preserve"> </w:t>
      </w:r>
      <w:r w:rsidRPr="00580C4C">
        <w:rPr>
          <w:rFonts w:hint="cs"/>
          <w:sz w:val="17"/>
          <w:szCs w:val="17"/>
          <w:rtl/>
        </w:rPr>
        <w:t xml:space="preserve">  </w:t>
      </w:r>
      <w:r w:rsidRPr="00580C4C">
        <w:rPr>
          <w:rFonts w:ascii="Arial" w:hAnsi="Arial" w:hint="eastAsia"/>
          <w:sz w:val="17"/>
          <w:szCs w:val="17"/>
          <w:rtl/>
        </w:rPr>
        <w:t>בהתאם</w:t>
      </w:r>
      <w:r w:rsidRPr="00580C4C">
        <w:rPr>
          <w:rFonts w:ascii="Arial" w:hAnsi="Arial"/>
          <w:sz w:val="17"/>
          <w:szCs w:val="17"/>
          <w:rtl/>
        </w:rPr>
        <w:t xml:space="preserve"> </w:t>
      </w:r>
      <w:r w:rsidRPr="00580C4C">
        <w:rPr>
          <w:rFonts w:ascii="Arial" w:hAnsi="Arial" w:hint="eastAsia"/>
          <w:sz w:val="17"/>
          <w:szCs w:val="17"/>
          <w:rtl/>
        </w:rPr>
        <w:t>להוראות</w:t>
      </w:r>
      <w:r w:rsidRPr="00580C4C">
        <w:rPr>
          <w:rFonts w:ascii="Arial" w:hAnsi="Arial"/>
          <w:sz w:val="17"/>
          <w:szCs w:val="17"/>
          <w:rtl/>
        </w:rPr>
        <w:t xml:space="preserve"> </w:t>
      </w:r>
      <w:r w:rsidRPr="00580C4C">
        <w:rPr>
          <w:rFonts w:ascii="Arial" w:hAnsi="Arial" w:hint="eastAsia"/>
          <w:sz w:val="17"/>
          <w:szCs w:val="17"/>
          <w:rtl/>
        </w:rPr>
        <w:t>הדיווח</w:t>
      </w:r>
      <w:r w:rsidRPr="00580C4C">
        <w:rPr>
          <w:rFonts w:ascii="Arial" w:hAnsi="Arial"/>
          <w:sz w:val="17"/>
          <w:szCs w:val="17"/>
          <w:rtl/>
        </w:rPr>
        <w:t xml:space="preserve"> </w:t>
      </w:r>
      <w:r w:rsidRPr="00580C4C">
        <w:rPr>
          <w:rFonts w:ascii="Arial" w:hAnsi="Arial" w:hint="eastAsia"/>
          <w:sz w:val="17"/>
          <w:szCs w:val="17"/>
          <w:rtl/>
        </w:rPr>
        <w:t>לציבור</w:t>
      </w:r>
      <w:r w:rsidRPr="00580C4C">
        <w:rPr>
          <w:rFonts w:ascii="Arial" w:hAnsi="Arial"/>
          <w:sz w:val="17"/>
          <w:szCs w:val="17"/>
          <w:rtl/>
        </w:rPr>
        <w:t xml:space="preserve"> </w:t>
      </w:r>
      <w:r w:rsidRPr="00580C4C">
        <w:rPr>
          <w:rFonts w:ascii="Arial" w:hAnsi="Arial" w:hint="eastAsia"/>
          <w:sz w:val="17"/>
          <w:szCs w:val="17"/>
          <w:rtl/>
        </w:rPr>
        <w:t>סעיף</w:t>
      </w:r>
      <w:r w:rsidRPr="00580C4C">
        <w:rPr>
          <w:rFonts w:ascii="Arial" w:hAnsi="Arial"/>
          <w:sz w:val="17"/>
          <w:szCs w:val="17"/>
          <w:rtl/>
        </w:rPr>
        <w:t xml:space="preserve"> 15א(ח)(7), </w:t>
      </w:r>
      <w:r w:rsidRPr="00580C4C">
        <w:rPr>
          <w:rFonts w:ascii="Arial" w:hAnsi="Arial" w:hint="eastAsia"/>
          <w:sz w:val="17"/>
          <w:szCs w:val="17"/>
          <w:rtl/>
        </w:rPr>
        <w:t>היתרה</w:t>
      </w:r>
      <w:r w:rsidRPr="00580C4C">
        <w:rPr>
          <w:rFonts w:ascii="Arial" w:hAnsi="Arial"/>
          <w:sz w:val="17"/>
          <w:szCs w:val="17"/>
          <w:rtl/>
        </w:rPr>
        <w:t xml:space="preserve"> </w:t>
      </w:r>
      <w:r w:rsidRPr="00580C4C">
        <w:rPr>
          <w:rFonts w:ascii="Arial" w:hAnsi="Arial" w:hint="eastAsia"/>
          <w:sz w:val="17"/>
          <w:szCs w:val="17"/>
          <w:rtl/>
        </w:rPr>
        <w:t>תכלול</w:t>
      </w:r>
      <w:r w:rsidRPr="00580C4C">
        <w:rPr>
          <w:rFonts w:ascii="Arial" w:hAnsi="Arial"/>
          <w:sz w:val="17"/>
          <w:szCs w:val="17"/>
          <w:rtl/>
        </w:rPr>
        <w:t xml:space="preserve"> </w:t>
      </w:r>
      <w:r w:rsidRPr="00580C4C">
        <w:rPr>
          <w:rFonts w:ascii="Arial" w:hAnsi="Arial" w:hint="eastAsia"/>
          <w:sz w:val="17"/>
          <w:szCs w:val="17"/>
          <w:rtl/>
        </w:rPr>
        <w:t>מכשירים</w:t>
      </w:r>
      <w:r w:rsidRPr="00580C4C">
        <w:rPr>
          <w:rFonts w:ascii="Arial" w:hAnsi="Arial"/>
          <w:sz w:val="17"/>
          <w:szCs w:val="17"/>
          <w:rtl/>
        </w:rPr>
        <w:t xml:space="preserve"> </w:t>
      </w:r>
      <w:r w:rsidRPr="00580C4C">
        <w:rPr>
          <w:rFonts w:ascii="Arial" w:hAnsi="Arial" w:hint="eastAsia"/>
          <w:sz w:val="17"/>
          <w:szCs w:val="17"/>
          <w:rtl/>
        </w:rPr>
        <w:t>נגזרים</w:t>
      </w:r>
      <w:r w:rsidRPr="00580C4C">
        <w:rPr>
          <w:rFonts w:ascii="Arial" w:hAnsi="Arial"/>
          <w:sz w:val="17"/>
          <w:szCs w:val="17"/>
          <w:rtl/>
        </w:rPr>
        <w:t xml:space="preserve"> </w:t>
      </w:r>
      <w:r w:rsidRPr="00580C4C">
        <w:rPr>
          <w:rFonts w:ascii="Arial" w:hAnsi="Arial" w:hint="eastAsia"/>
          <w:sz w:val="17"/>
          <w:szCs w:val="17"/>
          <w:rtl/>
        </w:rPr>
        <w:t>הכפופים</w:t>
      </w:r>
      <w:r w:rsidRPr="00580C4C">
        <w:rPr>
          <w:rFonts w:ascii="Arial" w:hAnsi="Arial"/>
          <w:sz w:val="17"/>
          <w:szCs w:val="17"/>
          <w:rtl/>
        </w:rPr>
        <w:t xml:space="preserve"> </w:t>
      </w:r>
      <w:r w:rsidRPr="00580C4C">
        <w:rPr>
          <w:rFonts w:ascii="Arial" w:hAnsi="Arial" w:hint="eastAsia"/>
          <w:sz w:val="17"/>
          <w:szCs w:val="17"/>
          <w:rtl/>
        </w:rPr>
        <w:t>להסדר</w:t>
      </w:r>
      <w:r w:rsidRPr="00580C4C">
        <w:rPr>
          <w:rFonts w:ascii="Arial" w:hAnsi="Arial"/>
          <w:sz w:val="17"/>
          <w:szCs w:val="17"/>
          <w:rtl/>
        </w:rPr>
        <w:t xml:space="preserve"> </w:t>
      </w:r>
      <w:r w:rsidRPr="00580C4C">
        <w:rPr>
          <w:rFonts w:ascii="Arial" w:hAnsi="Arial" w:hint="eastAsia"/>
          <w:sz w:val="17"/>
          <w:szCs w:val="17"/>
          <w:rtl/>
        </w:rPr>
        <w:t>התחשבנות</w:t>
      </w:r>
      <w:r w:rsidRPr="00580C4C">
        <w:rPr>
          <w:rFonts w:ascii="Arial" w:hAnsi="Arial"/>
          <w:sz w:val="17"/>
          <w:szCs w:val="17"/>
          <w:rtl/>
        </w:rPr>
        <w:t xml:space="preserve"> </w:t>
      </w:r>
      <w:r w:rsidRPr="00580C4C">
        <w:rPr>
          <w:rFonts w:ascii="Arial" w:hAnsi="Arial" w:hint="eastAsia"/>
          <w:sz w:val="17"/>
          <w:szCs w:val="17"/>
          <w:rtl/>
        </w:rPr>
        <w:t>נטו</w:t>
      </w:r>
      <w:r w:rsidRPr="00580C4C">
        <w:rPr>
          <w:rFonts w:ascii="Arial" w:hAnsi="Arial"/>
          <w:sz w:val="17"/>
          <w:szCs w:val="17"/>
          <w:rtl/>
        </w:rPr>
        <w:t xml:space="preserve"> </w:t>
      </w:r>
      <w:r w:rsidRPr="00580C4C">
        <w:rPr>
          <w:rFonts w:ascii="Arial" w:hAnsi="Arial" w:hint="eastAsia"/>
          <w:sz w:val="17"/>
          <w:szCs w:val="17"/>
          <w:rtl/>
        </w:rPr>
        <w:t>הניתן</w:t>
      </w:r>
      <w:r w:rsidRPr="00580C4C">
        <w:rPr>
          <w:rFonts w:ascii="Arial" w:hAnsi="Arial"/>
          <w:sz w:val="17"/>
          <w:szCs w:val="17"/>
          <w:rtl/>
        </w:rPr>
        <w:t xml:space="preserve"> </w:t>
      </w:r>
      <w:r w:rsidRPr="00580C4C">
        <w:rPr>
          <w:rFonts w:ascii="Arial" w:hAnsi="Arial" w:hint="eastAsia"/>
          <w:sz w:val="17"/>
          <w:szCs w:val="17"/>
          <w:rtl/>
        </w:rPr>
        <w:t>לאכיפה</w:t>
      </w:r>
      <w:r w:rsidRPr="00580C4C">
        <w:rPr>
          <w:rFonts w:ascii="Arial" w:hAnsi="Arial"/>
          <w:sz w:val="17"/>
          <w:szCs w:val="17"/>
          <w:rtl/>
        </w:rPr>
        <w:t xml:space="preserve"> </w:t>
      </w:r>
      <w:r w:rsidRPr="00580C4C">
        <w:rPr>
          <w:rFonts w:ascii="Arial" w:hAnsi="Arial" w:hint="eastAsia"/>
          <w:sz w:val="17"/>
          <w:szCs w:val="17"/>
          <w:rtl/>
        </w:rPr>
        <w:t>או</w:t>
      </w:r>
      <w:r w:rsidRPr="00580C4C">
        <w:rPr>
          <w:rFonts w:ascii="Arial" w:hAnsi="Arial"/>
          <w:sz w:val="17"/>
          <w:szCs w:val="17"/>
          <w:rtl/>
        </w:rPr>
        <w:t xml:space="preserve"> </w:t>
      </w:r>
      <w:r w:rsidRPr="00580C4C">
        <w:rPr>
          <w:rFonts w:ascii="Arial" w:hAnsi="Arial" w:hint="eastAsia"/>
          <w:sz w:val="17"/>
          <w:szCs w:val="17"/>
          <w:rtl/>
        </w:rPr>
        <w:t>הסדר</w:t>
      </w:r>
      <w:r w:rsidRPr="00580C4C">
        <w:rPr>
          <w:rFonts w:ascii="Arial" w:hAnsi="Arial"/>
          <w:sz w:val="17"/>
          <w:szCs w:val="17"/>
          <w:rtl/>
        </w:rPr>
        <w:t xml:space="preserve"> </w:t>
      </w:r>
      <w:r w:rsidRPr="00580C4C">
        <w:rPr>
          <w:rFonts w:ascii="Arial" w:hAnsi="Arial" w:hint="eastAsia"/>
          <w:sz w:val="17"/>
          <w:szCs w:val="17"/>
          <w:rtl/>
        </w:rPr>
        <w:t>דומה</w:t>
      </w:r>
      <w:r w:rsidRPr="00580C4C">
        <w:rPr>
          <w:rFonts w:ascii="Arial" w:hAnsi="Arial"/>
          <w:sz w:val="17"/>
          <w:szCs w:val="17"/>
          <w:rtl/>
        </w:rPr>
        <w:t xml:space="preserve"> </w:t>
      </w:r>
      <w:r w:rsidRPr="00580C4C">
        <w:rPr>
          <w:rFonts w:ascii="Arial" w:hAnsi="Arial" w:hint="eastAsia"/>
          <w:sz w:val="17"/>
          <w:szCs w:val="17"/>
          <w:rtl/>
        </w:rPr>
        <w:t>בין</w:t>
      </w:r>
      <w:r w:rsidRPr="00580C4C">
        <w:rPr>
          <w:rFonts w:ascii="Arial" w:hAnsi="Arial"/>
          <w:sz w:val="17"/>
          <w:szCs w:val="17"/>
          <w:rtl/>
        </w:rPr>
        <w:t xml:space="preserve"> </w:t>
      </w:r>
      <w:r w:rsidRPr="00580C4C">
        <w:rPr>
          <w:rFonts w:ascii="Arial" w:hAnsi="Arial" w:hint="eastAsia"/>
          <w:sz w:val="17"/>
          <w:szCs w:val="17"/>
          <w:rtl/>
        </w:rPr>
        <w:t>אם</w:t>
      </w:r>
      <w:r w:rsidRPr="00580C4C">
        <w:rPr>
          <w:rFonts w:ascii="Arial" w:hAnsi="Arial"/>
          <w:sz w:val="17"/>
          <w:szCs w:val="17"/>
          <w:rtl/>
        </w:rPr>
        <w:t xml:space="preserve"> </w:t>
      </w:r>
      <w:r w:rsidRPr="00580C4C">
        <w:rPr>
          <w:rFonts w:ascii="Arial" w:hAnsi="Arial" w:hint="eastAsia"/>
          <w:sz w:val="17"/>
          <w:szCs w:val="17"/>
          <w:rtl/>
        </w:rPr>
        <w:t>הם</w:t>
      </w:r>
      <w:r w:rsidRPr="00580C4C">
        <w:rPr>
          <w:rFonts w:ascii="Arial" w:hAnsi="Arial"/>
          <w:sz w:val="17"/>
          <w:szCs w:val="17"/>
          <w:rtl/>
        </w:rPr>
        <w:t xml:space="preserve"> </w:t>
      </w:r>
      <w:r w:rsidRPr="00580C4C">
        <w:rPr>
          <w:rFonts w:ascii="Arial" w:hAnsi="Arial" w:hint="eastAsia"/>
          <w:sz w:val="17"/>
          <w:szCs w:val="17"/>
          <w:rtl/>
        </w:rPr>
        <w:t>עומדים</w:t>
      </w:r>
      <w:r w:rsidRPr="00580C4C">
        <w:rPr>
          <w:rFonts w:ascii="Arial" w:hAnsi="Arial"/>
          <w:sz w:val="17"/>
          <w:szCs w:val="17"/>
          <w:rtl/>
        </w:rPr>
        <w:t xml:space="preserve"> </w:t>
      </w:r>
      <w:r w:rsidRPr="00580C4C">
        <w:rPr>
          <w:rFonts w:ascii="Arial" w:hAnsi="Arial" w:hint="eastAsia"/>
          <w:sz w:val="17"/>
          <w:szCs w:val="17"/>
          <w:rtl/>
        </w:rPr>
        <w:t>בהנחיות</w:t>
      </w:r>
      <w:r w:rsidRPr="00580C4C">
        <w:rPr>
          <w:rFonts w:ascii="Arial" w:hAnsi="Arial"/>
          <w:sz w:val="17"/>
          <w:szCs w:val="17"/>
          <w:rtl/>
        </w:rPr>
        <w:t xml:space="preserve"> </w:t>
      </w:r>
      <w:r w:rsidRPr="00580C4C">
        <w:rPr>
          <w:rFonts w:ascii="Arial" w:hAnsi="Arial" w:hint="eastAsia"/>
          <w:sz w:val="17"/>
          <w:szCs w:val="17"/>
          <w:rtl/>
        </w:rPr>
        <w:t>הקיזוז</w:t>
      </w:r>
      <w:r w:rsidRPr="00580C4C">
        <w:rPr>
          <w:rFonts w:ascii="Arial" w:hAnsi="Arial"/>
          <w:sz w:val="17"/>
          <w:szCs w:val="17"/>
          <w:rtl/>
        </w:rPr>
        <w:t xml:space="preserve"> </w:t>
      </w:r>
      <w:r w:rsidRPr="00580C4C">
        <w:rPr>
          <w:rFonts w:ascii="Arial" w:hAnsi="Arial" w:hint="eastAsia"/>
          <w:sz w:val="17"/>
          <w:szCs w:val="17"/>
          <w:rtl/>
        </w:rPr>
        <w:t>או</w:t>
      </w:r>
      <w:r w:rsidRPr="00580C4C">
        <w:rPr>
          <w:rFonts w:ascii="Arial" w:hAnsi="Arial"/>
          <w:sz w:val="17"/>
          <w:szCs w:val="17"/>
          <w:rtl/>
        </w:rPr>
        <w:t xml:space="preserve"> </w:t>
      </w:r>
      <w:r w:rsidRPr="00580C4C">
        <w:rPr>
          <w:rFonts w:ascii="Arial" w:hAnsi="Arial" w:hint="eastAsia"/>
          <w:sz w:val="17"/>
          <w:szCs w:val="17"/>
          <w:rtl/>
        </w:rPr>
        <w:t>לא</w:t>
      </w:r>
      <w:r w:rsidRPr="00580C4C">
        <w:rPr>
          <w:rFonts w:ascii="Arial" w:hAnsi="Arial"/>
          <w:sz w:val="17"/>
          <w:szCs w:val="17"/>
          <w:rtl/>
        </w:rPr>
        <w:t xml:space="preserve">. </w:t>
      </w:r>
      <w:r w:rsidRPr="00580C4C">
        <w:rPr>
          <w:rFonts w:ascii="Arial" w:hAnsi="Arial" w:hint="eastAsia"/>
          <w:sz w:val="17"/>
          <w:szCs w:val="17"/>
          <w:rtl/>
        </w:rPr>
        <w:t>לעומת</w:t>
      </w:r>
      <w:r w:rsidRPr="00580C4C">
        <w:rPr>
          <w:rFonts w:ascii="Arial" w:hAnsi="Arial"/>
          <w:sz w:val="17"/>
          <w:szCs w:val="17"/>
          <w:rtl/>
        </w:rPr>
        <w:t xml:space="preserve"> </w:t>
      </w:r>
      <w:r w:rsidRPr="00580C4C">
        <w:rPr>
          <w:rFonts w:ascii="Arial" w:hAnsi="Arial" w:hint="eastAsia"/>
          <w:sz w:val="17"/>
          <w:szCs w:val="17"/>
          <w:rtl/>
        </w:rPr>
        <w:t>זאת</w:t>
      </w:r>
      <w:r w:rsidRPr="00580C4C">
        <w:rPr>
          <w:rFonts w:ascii="Arial" w:hAnsi="Arial"/>
          <w:sz w:val="17"/>
          <w:szCs w:val="17"/>
          <w:rtl/>
        </w:rPr>
        <w:t xml:space="preserve">, </w:t>
      </w:r>
      <w:r w:rsidRPr="00580C4C">
        <w:rPr>
          <w:rFonts w:ascii="Arial" w:hAnsi="Arial" w:hint="eastAsia"/>
          <w:sz w:val="17"/>
          <w:szCs w:val="17"/>
          <w:rtl/>
        </w:rPr>
        <w:t>ביטחונות</w:t>
      </w:r>
      <w:r w:rsidRPr="00580C4C">
        <w:rPr>
          <w:rFonts w:ascii="Arial" w:hAnsi="Arial"/>
          <w:sz w:val="17"/>
          <w:szCs w:val="17"/>
          <w:rtl/>
        </w:rPr>
        <w:t xml:space="preserve"> </w:t>
      </w:r>
      <w:r w:rsidRPr="00580C4C">
        <w:rPr>
          <w:rFonts w:ascii="Arial" w:hAnsi="Arial" w:hint="eastAsia"/>
          <w:sz w:val="17"/>
          <w:szCs w:val="17"/>
          <w:rtl/>
        </w:rPr>
        <w:t>שאינם</w:t>
      </w:r>
      <w:r w:rsidRPr="00580C4C">
        <w:rPr>
          <w:rFonts w:ascii="Arial" w:hAnsi="Arial"/>
          <w:sz w:val="17"/>
          <w:szCs w:val="17"/>
          <w:rtl/>
        </w:rPr>
        <w:t xml:space="preserve"> </w:t>
      </w:r>
      <w:r w:rsidRPr="00580C4C">
        <w:rPr>
          <w:rFonts w:ascii="Arial" w:hAnsi="Arial" w:hint="eastAsia"/>
          <w:sz w:val="17"/>
          <w:szCs w:val="17"/>
          <w:rtl/>
        </w:rPr>
        <w:t>עומדים</w:t>
      </w:r>
      <w:r w:rsidRPr="00580C4C">
        <w:rPr>
          <w:rFonts w:ascii="Arial" w:hAnsi="Arial"/>
          <w:sz w:val="17"/>
          <w:szCs w:val="17"/>
          <w:rtl/>
        </w:rPr>
        <w:t xml:space="preserve"> </w:t>
      </w:r>
      <w:r w:rsidRPr="00580C4C">
        <w:rPr>
          <w:rFonts w:ascii="Arial" w:hAnsi="Arial" w:hint="eastAsia"/>
          <w:sz w:val="17"/>
          <w:szCs w:val="17"/>
          <w:rtl/>
        </w:rPr>
        <w:t>בהנחיות</w:t>
      </w:r>
      <w:r w:rsidRPr="00580C4C">
        <w:rPr>
          <w:rFonts w:ascii="Arial" w:hAnsi="Arial"/>
          <w:sz w:val="17"/>
          <w:szCs w:val="17"/>
          <w:rtl/>
        </w:rPr>
        <w:t xml:space="preserve"> </w:t>
      </w:r>
      <w:r w:rsidRPr="00580C4C">
        <w:rPr>
          <w:rFonts w:ascii="Arial" w:hAnsi="Arial" w:hint="eastAsia"/>
          <w:sz w:val="17"/>
          <w:szCs w:val="17"/>
          <w:rtl/>
        </w:rPr>
        <w:t>הקיזוז</w:t>
      </w:r>
      <w:r w:rsidRPr="00580C4C">
        <w:rPr>
          <w:rFonts w:ascii="Arial" w:hAnsi="Arial"/>
          <w:sz w:val="17"/>
          <w:szCs w:val="17"/>
          <w:rtl/>
        </w:rPr>
        <w:t xml:space="preserve"> </w:t>
      </w:r>
      <w:r w:rsidRPr="00580C4C">
        <w:rPr>
          <w:rFonts w:ascii="Arial" w:hAnsi="Arial" w:hint="eastAsia"/>
          <w:sz w:val="17"/>
          <w:szCs w:val="17"/>
          <w:rtl/>
        </w:rPr>
        <w:t>לא</w:t>
      </w:r>
      <w:r w:rsidRPr="00580C4C">
        <w:rPr>
          <w:rFonts w:ascii="Arial" w:hAnsi="Arial"/>
          <w:sz w:val="17"/>
          <w:szCs w:val="17"/>
          <w:rtl/>
        </w:rPr>
        <w:t xml:space="preserve"> </w:t>
      </w:r>
      <w:r w:rsidRPr="00580C4C">
        <w:rPr>
          <w:rFonts w:ascii="Arial" w:hAnsi="Arial" w:hint="eastAsia"/>
          <w:sz w:val="17"/>
          <w:szCs w:val="17"/>
          <w:rtl/>
        </w:rPr>
        <w:t>יכללו</w:t>
      </w:r>
      <w:r w:rsidRPr="00580C4C">
        <w:rPr>
          <w:rFonts w:ascii="Arial" w:hAnsi="Arial"/>
          <w:sz w:val="17"/>
          <w:szCs w:val="17"/>
          <w:rtl/>
        </w:rPr>
        <w:t xml:space="preserve"> </w:t>
      </w:r>
      <w:r w:rsidRPr="00580C4C">
        <w:rPr>
          <w:rFonts w:ascii="Arial" w:hAnsi="Arial" w:hint="eastAsia"/>
          <w:sz w:val="17"/>
          <w:szCs w:val="17"/>
          <w:rtl/>
        </w:rPr>
        <w:t>כאן</w:t>
      </w:r>
      <w:r w:rsidRPr="00580C4C">
        <w:rPr>
          <w:rFonts w:ascii="Arial" w:hAnsi="Arial"/>
          <w:sz w:val="17"/>
          <w:szCs w:val="17"/>
          <w:rtl/>
        </w:rPr>
        <w:t xml:space="preserve"> </w:t>
      </w:r>
      <w:r w:rsidRPr="00580C4C">
        <w:rPr>
          <w:rFonts w:ascii="Arial" w:hAnsi="Arial" w:hint="eastAsia"/>
          <w:sz w:val="17"/>
          <w:szCs w:val="17"/>
          <w:rtl/>
        </w:rPr>
        <w:t>אלא</w:t>
      </w:r>
      <w:r w:rsidRPr="00580C4C">
        <w:rPr>
          <w:rFonts w:ascii="Arial" w:hAnsi="Arial"/>
          <w:sz w:val="17"/>
          <w:szCs w:val="17"/>
          <w:rtl/>
        </w:rPr>
        <w:t xml:space="preserve"> </w:t>
      </w:r>
      <w:r w:rsidRPr="00580C4C">
        <w:rPr>
          <w:rFonts w:ascii="Arial" w:hAnsi="Arial" w:hint="eastAsia"/>
          <w:sz w:val="17"/>
          <w:szCs w:val="17"/>
          <w:rtl/>
        </w:rPr>
        <w:t>בחלק</w:t>
      </w:r>
      <w:r w:rsidRPr="00580C4C">
        <w:rPr>
          <w:rFonts w:ascii="Arial" w:hAnsi="Arial"/>
          <w:sz w:val="17"/>
          <w:szCs w:val="17"/>
          <w:rtl/>
        </w:rPr>
        <w:t xml:space="preserve"> </w:t>
      </w:r>
      <w:r w:rsidRPr="00580C4C">
        <w:rPr>
          <w:rFonts w:ascii="Arial" w:hAnsi="Arial" w:hint="eastAsia"/>
          <w:sz w:val="17"/>
          <w:szCs w:val="17"/>
          <w:rtl/>
        </w:rPr>
        <w:t>ב</w:t>
      </w:r>
      <w:r w:rsidRPr="00580C4C">
        <w:rPr>
          <w:rFonts w:ascii="Arial" w:hAnsi="Arial"/>
          <w:sz w:val="17"/>
          <w:szCs w:val="17"/>
          <w:rtl/>
        </w:rPr>
        <w:t xml:space="preserve">' </w:t>
      </w:r>
      <w:r w:rsidRPr="00580C4C">
        <w:rPr>
          <w:rFonts w:ascii="Arial" w:hAnsi="Arial" w:hint="eastAsia"/>
          <w:sz w:val="17"/>
          <w:szCs w:val="17"/>
          <w:rtl/>
        </w:rPr>
        <w:t>של</w:t>
      </w:r>
      <w:r w:rsidRPr="00580C4C">
        <w:rPr>
          <w:rFonts w:ascii="Arial" w:hAnsi="Arial"/>
          <w:sz w:val="17"/>
          <w:szCs w:val="17"/>
          <w:rtl/>
        </w:rPr>
        <w:t xml:space="preserve"> </w:t>
      </w:r>
      <w:r w:rsidRPr="00580C4C">
        <w:rPr>
          <w:rFonts w:ascii="Arial" w:hAnsi="Arial" w:hint="eastAsia"/>
          <w:sz w:val="17"/>
          <w:szCs w:val="17"/>
          <w:rtl/>
        </w:rPr>
        <w:t>הביאור</w:t>
      </w:r>
      <w:r w:rsidRPr="00580C4C">
        <w:rPr>
          <w:rFonts w:ascii="Arial" w:hAnsi="Arial"/>
          <w:sz w:val="17"/>
          <w:szCs w:val="17"/>
          <w:rtl/>
        </w:rPr>
        <w:t>.</w:t>
      </w:r>
    </w:p>
  </w:footnote>
  <w:footnote w:id="78">
    <w:p w14:paraId="0DB70738" w14:textId="77777777" w:rsidR="00E6519F" w:rsidRPr="00580C4C" w:rsidRDefault="00E6519F" w:rsidP="006A5664">
      <w:pPr>
        <w:pStyle w:val="a8"/>
        <w:spacing w:line="216" w:lineRule="auto"/>
        <w:ind w:left="215" w:hanging="215"/>
        <w:rPr>
          <w:sz w:val="17"/>
          <w:szCs w:val="17"/>
          <w:rtl/>
        </w:rPr>
      </w:pPr>
      <w:r w:rsidRPr="00580C4C">
        <w:rPr>
          <w:rStyle w:val="a7"/>
          <w:sz w:val="17"/>
          <w:szCs w:val="17"/>
        </w:rPr>
        <w:footnoteRef/>
      </w:r>
      <w:r w:rsidRPr="00580C4C">
        <w:rPr>
          <w:rFonts w:hint="cs"/>
          <w:sz w:val="17"/>
          <w:szCs w:val="17"/>
          <w:rtl/>
        </w:rPr>
        <w:t xml:space="preserve">  </w:t>
      </w:r>
      <w:r w:rsidRPr="00580C4C">
        <w:rPr>
          <w:sz w:val="17"/>
          <w:szCs w:val="17"/>
          <w:rtl/>
        </w:rPr>
        <w:t xml:space="preserve"> </w:t>
      </w:r>
      <w:r w:rsidRPr="00580C4C">
        <w:rPr>
          <w:rFonts w:ascii="Arial" w:hAnsi="Arial" w:hint="eastAsia"/>
          <w:sz w:val="17"/>
          <w:szCs w:val="17"/>
          <w:rtl/>
        </w:rPr>
        <w:t>סכומים</w:t>
      </w:r>
      <w:r w:rsidRPr="00580C4C">
        <w:rPr>
          <w:rFonts w:ascii="Arial" w:hAnsi="Arial"/>
          <w:sz w:val="17"/>
          <w:szCs w:val="17"/>
          <w:rtl/>
        </w:rPr>
        <w:t xml:space="preserve"> </w:t>
      </w:r>
      <w:r w:rsidRPr="00580C4C">
        <w:rPr>
          <w:rFonts w:ascii="Arial" w:hAnsi="Arial" w:hint="eastAsia"/>
          <w:sz w:val="17"/>
          <w:szCs w:val="17"/>
          <w:rtl/>
        </w:rPr>
        <w:t>אלו</w:t>
      </w:r>
      <w:r w:rsidRPr="00580C4C">
        <w:rPr>
          <w:rFonts w:ascii="Arial" w:hAnsi="Arial"/>
          <w:sz w:val="17"/>
          <w:szCs w:val="17"/>
          <w:rtl/>
        </w:rPr>
        <w:t xml:space="preserve"> </w:t>
      </w:r>
      <w:r w:rsidRPr="00580C4C">
        <w:rPr>
          <w:rFonts w:ascii="Arial" w:hAnsi="Arial" w:hint="eastAsia"/>
          <w:sz w:val="17"/>
          <w:szCs w:val="17"/>
          <w:rtl/>
        </w:rPr>
        <w:t>יכללו</w:t>
      </w:r>
      <w:r w:rsidRPr="00580C4C">
        <w:rPr>
          <w:rFonts w:ascii="Arial" w:hAnsi="Arial"/>
          <w:sz w:val="17"/>
          <w:szCs w:val="17"/>
          <w:rtl/>
        </w:rPr>
        <w:t xml:space="preserve"> </w:t>
      </w:r>
      <w:r w:rsidRPr="00580C4C">
        <w:rPr>
          <w:rFonts w:ascii="Arial" w:hAnsi="Arial" w:hint="eastAsia"/>
          <w:sz w:val="17"/>
          <w:szCs w:val="17"/>
          <w:rtl/>
        </w:rPr>
        <w:t>מכשירים</w:t>
      </w:r>
      <w:r w:rsidRPr="00580C4C">
        <w:rPr>
          <w:rFonts w:ascii="Arial" w:hAnsi="Arial"/>
          <w:sz w:val="17"/>
          <w:szCs w:val="17"/>
          <w:rtl/>
        </w:rPr>
        <w:t xml:space="preserve"> </w:t>
      </w:r>
      <w:r w:rsidRPr="00580C4C">
        <w:rPr>
          <w:rFonts w:ascii="Arial" w:hAnsi="Arial" w:hint="eastAsia"/>
          <w:sz w:val="17"/>
          <w:szCs w:val="17"/>
          <w:rtl/>
        </w:rPr>
        <w:t>נגזרים</w:t>
      </w:r>
      <w:r w:rsidRPr="00580C4C">
        <w:rPr>
          <w:rFonts w:ascii="Arial" w:hAnsi="Arial"/>
          <w:sz w:val="17"/>
          <w:szCs w:val="17"/>
          <w:rtl/>
        </w:rPr>
        <w:t xml:space="preserve"> </w:t>
      </w:r>
      <w:r w:rsidRPr="00580C4C">
        <w:rPr>
          <w:rFonts w:ascii="Arial" w:hAnsi="Arial" w:hint="eastAsia"/>
          <w:sz w:val="17"/>
          <w:szCs w:val="17"/>
          <w:rtl/>
        </w:rPr>
        <w:t>וכן</w:t>
      </w:r>
      <w:r w:rsidRPr="00580C4C">
        <w:rPr>
          <w:rFonts w:ascii="Arial" w:hAnsi="Arial"/>
          <w:sz w:val="17"/>
          <w:szCs w:val="17"/>
          <w:rtl/>
        </w:rPr>
        <w:t xml:space="preserve"> </w:t>
      </w:r>
      <w:r w:rsidRPr="00580C4C">
        <w:rPr>
          <w:rFonts w:ascii="Arial" w:hAnsi="Arial" w:hint="eastAsia"/>
          <w:sz w:val="17"/>
          <w:szCs w:val="17"/>
          <w:rtl/>
        </w:rPr>
        <w:t>ביטחונות</w:t>
      </w:r>
      <w:r w:rsidRPr="00580C4C">
        <w:rPr>
          <w:rFonts w:ascii="Arial" w:hAnsi="Arial"/>
          <w:sz w:val="17"/>
          <w:szCs w:val="17"/>
          <w:rtl/>
        </w:rPr>
        <w:t xml:space="preserve"> </w:t>
      </w:r>
      <w:r w:rsidRPr="00580C4C">
        <w:rPr>
          <w:rFonts w:ascii="Arial" w:hAnsi="Arial" w:hint="eastAsia"/>
          <w:sz w:val="17"/>
          <w:szCs w:val="17"/>
          <w:rtl/>
        </w:rPr>
        <w:t>שקוזזו</w:t>
      </w:r>
      <w:r w:rsidRPr="00580C4C">
        <w:rPr>
          <w:rFonts w:ascii="Arial" w:hAnsi="Arial"/>
          <w:sz w:val="17"/>
          <w:szCs w:val="17"/>
          <w:rtl/>
        </w:rPr>
        <w:t>.</w:t>
      </w:r>
    </w:p>
  </w:footnote>
  <w:footnote w:id="79">
    <w:p w14:paraId="419CA1D8" w14:textId="77777777" w:rsidR="00E6519F" w:rsidRPr="00580C4C" w:rsidRDefault="00E6519F" w:rsidP="006A5664">
      <w:pPr>
        <w:pStyle w:val="a8"/>
        <w:spacing w:line="216" w:lineRule="auto"/>
        <w:ind w:left="215" w:hanging="215"/>
        <w:rPr>
          <w:sz w:val="17"/>
          <w:szCs w:val="17"/>
          <w:rtl/>
        </w:rPr>
      </w:pPr>
      <w:r w:rsidRPr="00580C4C">
        <w:rPr>
          <w:rStyle w:val="a7"/>
          <w:sz w:val="17"/>
          <w:szCs w:val="17"/>
        </w:rPr>
        <w:footnoteRef/>
      </w:r>
      <w:r w:rsidRPr="00580C4C">
        <w:rPr>
          <w:sz w:val="17"/>
          <w:szCs w:val="17"/>
          <w:rtl/>
        </w:rPr>
        <w:t xml:space="preserve"> </w:t>
      </w:r>
      <w:r w:rsidRPr="00580C4C">
        <w:rPr>
          <w:rFonts w:hint="cs"/>
          <w:sz w:val="17"/>
          <w:szCs w:val="17"/>
          <w:rtl/>
        </w:rPr>
        <w:t xml:space="preserve">  </w:t>
      </w:r>
      <w:r w:rsidRPr="00580C4C">
        <w:rPr>
          <w:rFonts w:ascii="Arial" w:hAnsi="Arial" w:hint="eastAsia"/>
          <w:sz w:val="17"/>
          <w:szCs w:val="17"/>
          <w:rtl/>
        </w:rPr>
        <w:t>בהתאם</w:t>
      </w:r>
      <w:r w:rsidRPr="00580C4C">
        <w:rPr>
          <w:rFonts w:ascii="Arial" w:hAnsi="Arial"/>
          <w:sz w:val="17"/>
          <w:szCs w:val="17"/>
          <w:rtl/>
        </w:rPr>
        <w:t xml:space="preserve"> </w:t>
      </w:r>
      <w:r w:rsidRPr="00580C4C">
        <w:rPr>
          <w:rFonts w:ascii="Arial" w:hAnsi="Arial" w:hint="eastAsia"/>
          <w:sz w:val="17"/>
          <w:szCs w:val="17"/>
          <w:rtl/>
        </w:rPr>
        <w:t>להוראות</w:t>
      </w:r>
      <w:r w:rsidRPr="00580C4C">
        <w:rPr>
          <w:rFonts w:ascii="Arial" w:hAnsi="Arial"/>
          <w:sz w:val="17"/>
          <w:szCs w:val="17"/>
          <w:rtl/>
        </w:rPr>
        <w:t xml:space="preserve"> </w:t>
      </w:r>
      <w:r w:rsidRPr="00580C4C">
        <w:rPr>
          <w:rFonts w:ascii="Arial" w:hAnsi="Arial" w:hint="eastAsia"/>
          <w:sz w:val="17"/>
          <w:szCs w:val="17"/>
          <w:rtl/>
        </w:rPr>
        <w:t>הדיווח</w:t>
      </w:r>
      <w:r w:rsidRPr="00580C4C">
        <w:rPr>
          <w:rFonts w:ascii="Arial" w:hAnsi="Arial"/>
          <w:sz w:val="17"/>
          <w:szCs w:val="17"/>
          <w:rtl/>
        </w:rPr>
        <w:t xml:space="preserve"> </w:t>
      </w:r>
      <w:r w:rsidRPr="00580C4C">
        <w:rPr>
          <w:rFonts w:ascii="Arial" w:hAnsi="Arial" w:hint="eastAsia"/>
          <w:sz w:val="17"/>
          <w:szCs w:val="17"/>
          <w:rtl/>
        </w:rPr>
        <w:t>לציבור</w:t>
      </w:r>
      <w:r w:rsidRPr="00580C4C">
        <w:rPr>
          <w:rFonts w:ascii="Arial" w:hAnsi="Arial"/>
          <w:sz w:val="17"/>
          <w:szCs w:val="17"/>
          <w:rtl/>
        </w:rPr>
        <w:t xml:space="preserve"> </w:t>
      </w:r>
      <w:r w:rsidRPr="00580C4C">
        <w:rPr>
          <w:rFonts w:ascii="Arial" w:hAnsi="Arial" w:hint="eastAsia"/>
          <w:sz w:val="17"/>
          <w:szCs w:val="17"/>
          <w:rtl/>
        </w:rPr>
        <w:t>סעיף</w:t>
      </w:r>
      <w:r w:rsidRPr="00580C4C">
        <w:rPr>
          <w:rFonts w:ascii="Arial" w:hAnsi="Arial"/>
          <w:sz w:val="17"/>
          <w:szCs w:val="17"/>
          <w:rtl/>
        </w:rPr>
        <w:t xml:space="preserve"> 15א(ח)(10), </w:t>
      </w:r>
      <w:r w:rsidRPr="00580C4C">
        <w:rPr>
          <w:rFonts w:ascii="Arial" w:hAnsi="Arial" w:hint="eastAsia"/>
          <w:sz w:val="17"/>
          <w:szCs w:val="17"/>
          <w:rtl/>
        </w:rPr>
        <w:t>סכומים</w:t>
      </w:r>
      <w:r w:rsidRPr="00580C4C">
        <w:rPr>
          <w:rFonts w:ascii="Arial" w:hAnsi="Arial"/>
          <w:sz w:val="17"/>
          <w:szCs w:val="17"/>
          <w:rtl/>
        </w:rPr>
        <w:t xml:space="preserve"> </w:t>
      </w:r>
      <w:r w:rsidRPr="00580C4C">
        <w:rPr>
          <w:rFonts w:ascii="Arial" w:hAnsi="Arial" w:hint="eastAsia"/>
          <w:sz w:val="17"/>
          <w:szCs w:val="17"/>
          <w:rtl/>
        </w:rPr>
        <w:t>אלו</w:t>
      </w:r>
      <w:r w:rsidRPr="00580C4C">
        <w:rPr>
          <w:rFonts w:ascii="Arial" w:hAnsi="Arial"/>
          <w:sz w:val="17"/>
          <w:szCs w:val="17"/>
          <w:rtl/>
        </w:rPr>
        <w:t xml:space="preserve"> </w:t>
      </w:r>
      <w:r w:rsidRPr="00580C4C">
        <w:rPr>
          <w:rFonts w:ascii="Arial" w:hAnsi="Arial" w:hint="cs"/>
          <w:sz w:val="17"/>
          <w:szCs w:val="17"/>
          <w:rtl/>
        </w:rPr>
        <w:t>חייבים להתאים לסכומים</w:t>
      </w:r>
      <w:r w:rsidRPr="00580C4C">
        <w:rPr>
          <w:rFonts w:ascii="Arial" w:hAnsi="Arial"/>
          <w:sz w:val="17"/>
          <w:szCs w:val="17"/>
          <w:rtl/>
        </w:rPr>
        <w:t xml:space="preserve"> </w:t>
      </w:r>
      <w:r w:rsidRPr="00580C4C">
        <w:rPr>
          <w:rFonts w:ascii="Arial" w:hAnsi="Arial" w:hint="cs"/>
          <w:sz w:val="17"/>
          <w:szCs w:val="17"/>
          <w:rtl/>
        </w:rPr>
        <w:t xml:space="preserve">המוצגים </w:t>
      </w:r>
      <w:r w:rsidRPr="00580C4C">
        <w:rPr>
          <w:rFonts w:ascii="Arial" w:hAnsi="Arial" w:hint="eastAsia"/>
          <w:sz w:val="17"/>
          <w:szCs w:val="17"/>
          <w:rtl/>
        </w:rPr>
        <w:t>במאזן</w:t>
      </w:r>
      <w:r w:rsidRPr="00580C4C">
        <w:rPr>
          <w:rFonts w:ascii="Arial" w:hAnsi="Arial" w:hint="cs"/>
          <w:sz w:val="17"/>
          <w:szCs w:val="17"/>
          <w:rtl/>
        </w:rPr>
        <w:t xml:space="preserve"> בשורות נפרדות</w:t>
      </w:r>
      <w:r w:rsidRPr="00580C4C">
        <w:rPr>
          <w:rFonts w:ascii="Arial" w:hAnsi="Arial"/>
          <w:sz w:val="17"/>
          <w:szCs w:val="17"/>
          <w:rtl/>
        </w:rPr>
        <w:t>.</w:t>
      </w:r>
    </w:p>
  </w:footnote>
  <w:footnote w:id="80">
    <w:p w14:paraId="30F9C5A5" w14:textId="77777777" w:rsidR="00E6519F" w:rsidRPr="002C49F9" w:rsidRDefault="00E6519F" w:rsidP="006A5664">
      <w:pPr>
        <w:pStyle w:val="a8"/>
        <w:spacing w:line="216" w:lineRule="auto"/>
        <w:ind w:left="215" w:hanging="215"/>
        <w:rPr>
          <w:sz w:val="19"/>
          <w:szCs w:val="19"/>
        </w:rPr>
      </w:pPr>
      <w:r w:rsidRPr="00580C4C">
        <w:rPr>
          <w:rStyle w:val="a7"/>
          <w:sz w:val="17"/>
          <w:szCs w:val="17"/>
        </w:rPr>
        <w:footnoteRef/>
      </w:r>
      <w:r w:rsidRPr="00580C4C">
        <w:rPr>
          <w:sz w:val="17"/>
          <w:szCs w:val="17"/>
          <w:rtl/>
        </w:rPr>
        <w:t xml:space="preserve"> </w:t>
      </w:r>
      <w:r w:rsidRPr="00580C4C">
        <w:rPr>
          <w:rFonts w:hint="cs"/>
          <w:sz w:val="17"/>
          <w:szCs w:val="17"/>
          <w:rtl/>
        </w:rPr>
        <w:t xml:space="preserve">  </w:t>
      </w:r>
      <w:r w:rsidRPr="00580C4C">
        <w:rPr>
          <w:rFonts w:ascii="Arial" w:hAnsi="Arial" w:hint="eastAsia"/>
          <w:sz w:val="17"/>
          <w:szCs w:val="17"/>
          <w:rtl/>
        </w:rPr>
        <w:t>בהתאם</w:t>
      </w:r>
      <w:r w:rsidRPr="00580C4C">
        <w:rPr>
          <w:rFonts w:ascii="Arial" w:hAnsi="Arial"/>
          <w:sz w:val="17"/>
          <w:szCs w:val="17"/>
          <w:rtl/>
        </w:rPr>
        <w:t xml:space="preserve"> </w:t>
      </w:r>
      <w:r w:rsidRPr="00580C4C">
        <w:rPr>
          <w:rFonts w:ascii="Arial" w:hAnsi="Arial" w:hint="eastAsia"/>
          <w:sz w:val="17"/>
          <w:szCs w:val="17"/>
          <w:rtl/>
        </w:rPr>
        <w:t>להוראות</w:t>
      </w:r>
      <w:r w:rsidRPr="00580C4C">
        <w:rPr>
          <w:rFonts w:ascii="Arial" w:hAnsi="Arial"/>
          <w:sz w:val="17"/>
          <w:szCs w:val="17"/>
          <w:rtl/>
        </w:rPr>
        <w:t xml:space="preserve"> </w:t>
      </w:r>
      <w:r w:rsidRPr="00580C4C">
        <w:rPr>
          <w:rFonts w:ascii="Arial" w:hAnsi="Arial" w:hint="eastAsia"/>
          <w:sz w:val="17"/>
          <w:szCs w:val="17"/>
          <w:rtl/>
        </w:rPr>
        <w:t>הדיווח</w:t>
      </w:r>
      <w:r w:rsidRPr="00580C4C">
        <w:rPr>
          <w:rFonts w:ascii="Arial" w:hAnsi="Arial"/>
          <w:sz w:val="17"/>
          <w:szCs w:val="17"/>
          <w:rtl/>
        </w:rPr>
        <w:t xml:space="preserve"> </w:t>
      </w:r>
      <w:r w:rsidRPr="00580C4C">
        <w:rPr>
          <w:rFonts w:ascii="Arial" w:hAnsi="Arial" w:hint="eastAsia"/>
          <w:sz w:val="17"/>
          <w:szCs w:val="17"/>
          <w:rtl/>
        </w:rPr>
        <w:t>לציבור</w:t>
      </w:r>
      <w:r w:rsidRPr="00580C4C">
        <w:rPr>
          <w:rFonts w:ascii="Arial" w:hAnsi="Arial"/>
          <w:sz w:val="17"/>
          <w:szCs w:val="17"/>
          <w:rtl/>
        </w:rPr>
        <w:t xml:space="preserve"> </w:t>
      </w:r>
      <w:r w:rsidRPr="00580C4C">
        <w:rPr>
          <w:rFonts w:ascii="Arial" w:hAnsi="Arial" w:hint="eastAsia"/>
          <w:sz w:val="17"/>
          <w:szCs w:val="17"/>
          <w:rtl/>
        </w:rPr>
        <w:t>סעיף</w:t>
      </w:r>
      <w:r w:rsidRPr="00580C4C">
        <w:rPr>
          <w:rFonts w:ascii="Arial" w:hAnsi="Arial"/>
          <w:sz w:val="17"/>
          <w:szCs w:val="17"/>
          <w:rtl/>
        </w:rPr>
        <w:t xml:space="preserve"> 15א(ח)(8), </w:t>
      </w:r>
      <w:r w:rsidRPr="00580C4C">
        <w:rPr>
          <w:rFonts w:ascii="Arial" w:hAnsi="Arial" w:hint="eastAsia"/>
          <w:sz w:val="17"/>
          <w:szCs w:val="17"/>
          <w:rtl/>
        </w:rPr>
        <w:t>הסכומים</w:t>
      </w:r>
      <w:r w:rsidRPr="00580C4C">
        <w:rPr>
          <w:rFonts w:ascii="Arial" w:hAnsi="Arial"/>
          <w:sz w:val="17"/>
          <w:szCs w:val="17"/>
          <w:rtl/>
        </w:rPr>
        <w:t xml:space="preserve"> </w:t>
      </w:r>
      <w:r w:rsidRPr="00580C4C">
        <w:rPr>
          <w:rFonts w:ascii="Arial" w:hAnsi="Arial" w:hint="eastAsia"/>
          <w:sz w:val="17"/>
          <w:szCs w:val="17"/>
          <w:rtl/>
        </w:rPr>
        <w:t>שהוכרו</w:t>
      </w:r>
      <w:r w:rsidRPr="00580C4C">
        <w:rPr>
          <w:rFonts w:ascii="Arial" w:hAnsi="Arial"/>
          <w:sz w:val="17"/>
          <w:szCs w:val="17"/>
          <w:rtl/>
        </w:rPr>
        <w:t xml:space="preserve"> </w:t>
      </w:r>
      <w:r w:rsidRPr="00580C4C">
        <w:rPr>
          <w:rFonts w:ascii="Arial" w:hAnsi="Arial" w:hint="eastAsia"/>
          <w:sz w:val="17"/>
          <w:szCs w:val="17"/>
          <w:rtl/>
        </w:rPr>
        <w:t>כקיזוז</w:t>
      </w:r>
      <w:r w:rsidRPr="00580C4C">
        <w:rPr>
          <w:rFonts w:ascii="Arial" w:hAnsi="Arial"/>
          <w:sz w:val="17"/>
          <w:szCs w:val="17"/>
          <w:rtl/>
        </w:rPr>
        <w:t xml:space="preserve"> </w:t>
      </w:r>
      <w:r w:rsidRPr="00580C4C">
        <w:rPr>
          <w:rFonts w:ascii="Arial" w:hAnsi="Arial" w:hint="eastAsia"/>
          <w:sz w:val="17"/>
          <w:szCs w:val="17"/>
          <w:rtl/>
        </w:rPr>
        <w:t>התחייבויות</w:t>
      </w:r>
      <w:r w:rsidRPr="00580C4C">
        <w:rPr>
          <w:rFonts w:ascii="Arial" w:hAnsi="Arial"/>
          <w:sz w:val="17"/>
          <w:szCs w:val="17"/>
          <w:rtl/>
        </w:rPr>
        <w:t xml:space="preserve"> </w:t>
      </w:r>
      <w:r w:rsidRPr="00580C4C">
        <w:rPr>
          <w:rFonts w:ascii="Arial" w:hAnsi="Arial" w:hint="eastAsia"/>
          <w:sz w:val="17"/>
          <w:szCs w:val="17"/>
          <w:rtl/>
        </w:rPr>
        <w:t>יוגבלו</w:t>
      </w:r>
      <w:r w:rsidRPr="00580C4C">
        <w:rPr>
          <w:rFonts w:ascii="Arial" w:hAnsi="Arial"/>
          <w:sz w:val="17"/>
          <w:szCs w:val="17"/>
          <w:rtl/>
        </w:rPr>
        <w:t xml:space="preserve"> </w:t>
      </w:r>
      <w:r w:rsidRPr="00580C4C">
        <w:rPr>
          <w:rFonts w:ascii="Arial" w:hAnsi="Arial" w:hint="eastAsia"/>
          <w:sz w:val="17"/>
          <w:szCs w:val="17"/>
          <w:rtl/>
        </w:rPr>
        <w:t>ליתרת</w:t>
      </w:r>
      <w:r w:rsidRPr="00580C4C">
        <w:rPr>
          <w:rFonts w:ascii="Arial" w:hAnsi="Arial"/>
          <w:sz w:val="17"/>
          <w:szCs w:val="17"/>
          <w:rtl/>
        </w:rPr>
        <w:t xml:space="preserve"> </w:t>
      </w:r>
      <w:r w:rsidRPr="00580C4C">
        <w:rPr>
          <w:rFonts w:ascii="Arial" w:hAnsi="Arial" w:hint="eastAsia"/>
          <w:sz w:val="17"/>
          <w:szCs w:val="17"/>
          <w:rtl/>
        </w:rPr>
        <w:t>ההתחייבויות</w:t>
      </w:r>
      <w:r w:rsidRPr="00580C4C">
        <w:rPr>
          <w:rFonts w:ascii="Arial" w:hAnsi="Arial"/>
          <w:sz w:val="17"/>
          <w:szCs w:val="17"/>
          <w:rtl/>
        </w:rPr>
        <w:t xml:space="preserve">, </w:t>
      </w:r>
      <w:r w:rsidRPr="00580C4C">
        <w:rPr>
          <w:rFonts w:ascii="Arial" w:hAnsi="Arial" w:hint="cs"/>
          <w:sz w:val="17"/>
          <w:szCs w:val="17"/>
          <w:rtl/>
        </w:rPr>
        <w:t>אם הסכום</w:t>
      </w:r>
      <w:r w:rsidRPr="00580C4C">
        <w:rPr>
          <w:rFonts w:ascii="Arial" w:hAnsi="Arial"/>
          <w:sz w:val="17"/>
          <w:szCs w:val="17"/>
          <w:rtl/>
        </w:rPr>
        <w:t xml:space="preserve"> </w:t>
      </w:r>
      <w:r w:rsidRPr="00580C4C">
        <w:rPr>
          <w:rFonts w:ascii="Arial" w:hAnsi="Arial" w:hint="eastAsia"/>
          <w:sz w:val="17"/>
          <w:szCs w:val="17"/>
          <w:rtl/>
        </w:rPr>
        <w:t>ברוטו</w:t>
      </w:r>
      <w:r w:rsidRPr="00580C4C">
        <w:rPr>
          <w:rFonts w:ascii="Arial" w:hAnsi="Arial" w:hint="cs"/>
          <w:sz w:val="17"/>
          <w:szCs w:val="17"/>
          <w:rtl/>
        </w:rPr>
        <w:t xml:space="preserve"> של הנכס</w:t>
      </w:r>
      <w:r w:rsidRPr="00580C4C">
        <w:rPr>
          <w:rFonts w:ascii="Arial" w:hAnsi="Arial"/>
          <w:sz w:val="17"/>
          <w:szCs w:val="17"/>
          <w:rtl/>
        </w:rPr>
        <w:t xml:space="preserve"> </w:t>
      </w:r>
      <w:r w:rsidRPr="00580C4C">
        <w:rPr>
          <w:rFonts w:ascii="Arial" w:hAnsi="Arial" w:hint="eastAsia"/>
          <w:sz w:val="17"/>
          <w:szCs w:val="17"/>
          <w:rtl/>
        </w:rPr>
        <w:t>בגין</w:t>
      </w:r>
      <w:r w:rsidRPr="00580C4C">
        <w:rPr>
          <w:rFonts w:ascii="Arial" w:hAnsi="Arial"/>
          <w:sz w:val="17"/>
          <w:szCs w:val="17"/>
          <w:rtl/>
        </w:rPr>
        <w:t xml:space="preserve"> </w:t>
      </w:r>
      <w:r w:rsidRPr="00580C4C">
        <w:rPr>
          <w:rFonts w:ascii="Arial" w:hAnsi="Arial" w:hint="eastAsia"/>
          <w:sz w:val="17"/>
          <w:szCs w:val="17"/>
          <w:rtl/>
        </w:rPr>
        <w:t>הנגזר</w:t>
      </w:r>
      <w:r w:rsidRPr="00580C4C">
        <w:rPr>
          <w:rFonts w:ascii="Arial" w:hAnsi="Arial"/>
          <w:sz w:val="17"/>
          <w:szCs w:val="17"/>
          <w:rtl/>
        </w:rPr>
        <w:t xml:space="preserve"> </w:t>
      </w:r>
      <w:r w:rsidRPr="00580C4C">
        <w:rPr>
          <w:rFonts w:ascii="Arial" w:hAnsi="Arial" w:hint="eastAsia"/>
          <w:sz w:val="17"/>
          <w:szCs w:val="17"/>
          <w:rtl/>
        </w:rPr>
        <w:t>גבוה</w:t>
      </w:r>
      <w:r w:rsidRPr="00580C4C">
        <w:rPr>
          <w:rFonts w:ascii="Arial" w:hAnsi="Arial"/>
          <w:sz w:val="17"/>
          <w:szCs w:val="17"/>
          <w:rtl/>
        </w:rPr>
        <w:t xml:space="preserve"> </w:t>
      </w:r>
      <w:r w:rsidRPr="00580C4C">
        <w:rPr>
          <w:rFonts w:ascii="Arial" w:hAnsi="Arial" w:hint="eastAsia"/>
          <w:sz w:val="17"/>
          <w:szCs w:val="17"/>
          <w:rtl/>
        </w:rPr>
        <w:t>מ</w:t>
      </w:r>
      <w:r w:rsidRPr="00580C4C">
        <w:rPr>
          <w:rFonts w:ascii="Arial" w:hAnsi="Arial" w:hint="cs"/>
          <w:sz w:val="17"/>
          <w:szCs w:val="17"/>
          <w:rtl/>
        </w:rPr>
        <w:t xml:space="preserve">הסכום </w:t>
      </w:r>
      <w:r w:rsidRPr="00580C4C">
        <w:rPr>
          <w:rFonts w:ascii="Arial" w:hAnsi="Arial" w:hint="eastAsia"/>
          <w:sz w:val="17"/>
          <w:szCs w:val="17"/>
          <w:rtl/>
        </w:rPr>
        <w:t>ברוטו</w:t>
      </w:r>
      <w:r w:rsidRPr="00580C4C">
        <w:rPr>
          <w:rFonts w:ascii="Arial" w:hAnsi="Arial"/>
          <w:sz w:val="17"/>
          <w:szCs w:val="17"/>
          <w:rtl/>
        </w:rPr>
        <w:t xml:space="preserve"> </w:t>
      </w:r>
      <w:r w:rsidRPr="00580C4C">
        <w:rPr>
          <w:rFonts w:ascii="Arial" w:hAnsi="Arial" w:hint="cs"/>
          <w:sz w:val="17"/>
          <w:szCs w:val="17"/>
          <w:rtl/>
        </w:rPr>
        <w:t xml:space="preserve">של ההתחייבות </w:t>
      </w:r>
      <w:r w:rsidRPr="00580C4C">
        <w:rPr>
          <w:rFonts w:ascii="Arial" w:hAnsi="Arial" w:hint="eastAsia"/>
          <w:sz w:val="17"/>
          <w:szCs w:val="17"/>
          <w:rtl/>
        </w:rPr>
        <w:t>בגין</w:t>
      </w:r>
      <w:r w:rsidRPr="00580C4C">
        <w:rPr>
          <w:rFonts w:ascii="Arial" w:hAnsi="Arial"/>
          <w:sz w:val="17"/>
          <w:szCs w:val="17"/>
          <w:rtl/>
        </w:rPr>
        <w:t xml:space="preserve"> </w:t>
      </w:r>
      <w:r w:rsidRPr="00580C4C">
        <w:rPr>
          <w:rFonts w:ascii="Arial" w:hAnsi="Arial" w:hint="eastAsia"/>
          <w:sz w:val="17"/>
          <w:szCs w:val="17"/>
          <w:rtl/>
        </w:rPr>
        <w:t>הנגזר</w:t>
      </w:r>
      <w:r w:rsidRPr="00580C4C">
        <w:rPr>
          <w:rFonts w:ascii="Arial" w:hAnsi="Arial"/>
          <w:sz w:val="17"/>
          <w:szCs w:val="17"/>
          <w:rtl/>
        </w:rPr>
        <w:t>.</w:t>
      </w:r>
    </w:p>
  </w:footnote>
  <w:footnote w:id="81">
    <w:p w14:paraId="19EFD3A2" w14:textId="63788EB1" w:rsidR="00553945" w:rsidRPr="00445BD5" w:rsidRDefault="00553945" w:rsidP="0041274C">
      <w:pPr>
        <w:pStyle w:val="a8"/>
        <w:ind w:left="198" w:hanging="197"/>
        <w:rPr>
          <w:szCs w:val="18"/>
          <w:rtl/>
        </w:rPr>
      </w:pPr>
      <w:r w:rsidRPr="00445BD5">
        <w:rPr>
          <w:rStyle w:val="a7"/>
          <w:sz w:val="18"/>
          <w:szCs w:val="18"/>
        </w:rPr>
        <w:footnoteRef/>
      </w:r>
      <w:r w:rsidRPr="00445BD5">
        <w:rPr>
          <w:szCs w:val="18"/>
          <w:rtl/>
        </w:rPr>
        <w:t xml:space="preserve"> </w:t>
      </w:r>
      <w:r w:rsidRPr="00445BD5">
        <w:rPr>
          <w:rFonts w:hint="cs"/>
          <w:szCs w:val="18"/>
          <w:rtl/>
        </w:rPr>
        <w:t xml:space="preserve"> </w:t>
      </w:r>
      <w:r w:rsidR="0041274C">
        <w:rPr>
          <w:szCs w:val="18"/>
          <w:rtl/>
        </w:rPr>
        <w:tab/>
      </w:r>
      <w:r w:rsidRPr="00445BD5">
        <w:rPr>
          <w:rFonts w:hint="cs"/>
          <w:szCs w:val="18"/>
          <w:rtl/>
        </w:rPr>
        <w:t>בהתאם לסעי</w:t>
      </w:r>
      <w:r w:rsidR="005E1748">
        <w:rPr>
          <w:rFonts w:hint="cs"/>
          <w:szCs w:val="18"/>
          <w:rtl/>
        </w:rPr>
        <w:t>פים</w:t>
      </w:r>
      <w:r w:rsidRPr="00445BD5">
        <w:rPr>
          <w:rFonts w:hint="cs"/>
          <w:szCs w:val="18"/>
          <w:rtl/>
        </w:rPr>
        <w:t xml:space="preserve"> </w:t>
      </w:r>
      <w:r w:rsidR="005E1748" w:rsidRPr="005E1748">
        <w:rPr>
          <w:rFonts w:asciiTheme="minorBidi" w:hAnsiTheme="minorBidi" w:cstheme="minorBidi"/>
          <w:sz w:val="16"/>
          <w:szCs w:val="16"/>
        </w:rPr>
        <w:t>CC,F</w:t>
      </w:r>
      <w:r w:rsidRPr="00445BD5">
        <w:rPr>
          <w:rFonts w:hint="cs"/>
          <w:szCs w:val="18"/>
          <w:rtl/>
        </w:rPr>
        <w:t>815-10-50-4</w:t>
      </w:r>
      <w:r w:rsidRPr="00445BD5">
        <w:rPr>
          <w:rFonts w:hint="cs"/>
          <w:szCs w:val="18"/>
        </w:rPr>
        <w:t xml:space="preserve"> </w:t>
      </w:r>
      <w:r w:rsidRPr="00445BD5">
        <w:rPr>
          <w:rFonts w:hint="cs"/>
          <w:szCs w:val="18"/>
          <w:rtl/>
        </w:rPr>
        <w:t xml:space="preserve">בקודיפיקציה, עבור נגזרים </w:t>
      </w:r>
      <w:r w:rsidR="005E1748">
        <w:rPr>
          <w:rFonts w:hint="cs"/>
          <w:szCs w:val="18"/>
          <w:rtl/>
        </w:rPr>
        <w:t xml:space="preserve">למסחר ושאינם למסחר, </w:t>
      </w:r>
      <w:r w:rsidRPr="00445BD5">
        <w:rPr>
          <w:rFonts w:hint="cs"/>
          <w:szCs w:val="18"/>
          <w:rtl/>
        </w:rPr>
        <w:t xml:space="preserve">שאינם מיועדים או כשירים לשמש כמכשירים מגדרים, התאגיד הבנקאי יציג בנפרד לפי סוג חוזה, את הרווחים (הפסדים)  בגין נגזרים אלו. </w:t>
      </w:r>
    </w:p>
  </w:footnote>
  <w:footnote w:id="82">
    <w:p w14:paraId="7B2C505D" w14:textId="77777777" w:rsidR="005E1748" w:rsidRPr="00445BD5" w:rsidRDefault="005E1748" w:rsidP="005E1748">
      <w:pPr>
        <w:pStyle w:val="a8"/>
        <w:ind w:left="198" w:hanging="198"/>
        <w:rPr>
          <w:szCs w:val="18"/>
          <w:rtl/>
        </w:rPr>
      </w:pPr>
      <w:r w:rsidRPr="00445BD5">
        <w:rPr>
          <w:rStyle w:val="a7"/>
          <w:sz w:val="18"/>
          <w:szCs w:val="18"/>
        </w:rPr>
        <w:footnoteRef/>
      </w:r>
      <w:r w:rsidRPr="00445BD5">
        <w:rPr>
          <w:szCs w:val="18"/>
          <w:rtl/>
        </w:rPr>
        <w:t xml:space="preserve"> </w:t>
      </w:r>
      <w:r w:rsidRPr="00445BD5">
        <w:rPr>
          <w:szCs w:val="18"/>
          <w:rtl/>
        </w:rPr>
        <w:tab/>
      </w:r>
      <w:r w:rsidRPr="00445BD5">
        <w:rPr>
          <w:rFonts w:hint="cs"/>
          <w:szCs w:val="18"/>
          <w:rtl/>
        </w:rPr>
        <w:t>בהתאם לסעיף</w:t>
      </w:r>
      <w:r w:rsidRPr="00365659">
        <w:rPr>
          <w:rFonts w:ascii="David" w:hAnsi="David"/>
          <w:szCs w:val="18"/>
        </w:rPr>
        <w:t>815-10-50-4F</w:t>
      </w:r>
      <w:r w:rsidRPr="00365659">
        <w:rPr>
          <w:rFonts w:asciiTheme="minorBidi" w:hAnsiTheme="minorBidi" w:cstheme="minorBidi"/>
          <w:szCs w:val="18"/>
        </w:rPr>
        <w:t xml:space="preserve"> </w:t>
      </w:r>
      <w:r w:rsidRPr="00365659">
        <w:rPr>
          <w:rFonts w:asciiTheme="minorBidi" w:hAnsiTheme="minorBidi" w:cstheme="minorBidi"/>
          <w:szCs w:val="18"/>
          <w:rtl/>
        </w:rPr>
        <w:t xml:space="preserve"> </w:t>
      </w:r>
      <w:r w:rsidRPr="00445BD5">
        <w:rPr>
          <w:rFonts w:hint="cs"/>
          <w:szCs w:val="18"/>
          <w:rtl/>
        </w:rPr>
        <w:t>בקודיפיקציה, עבור נגזרים למסחר שאינם מיועדים או כשירים לשמש כמכשירים מגדרים, יינתן בנוסף,</w:t>
      </w:r>
      <w:r w:rsidRPr="00445BD5">
        <w:rPr>
          <w:szCs w:val="18"/>
          <w:rtl/>
        </w:rPr>
        <w:t xml:space="preserve"> תיאור</w:t>
      </w:r>
      <w:r w:rsidRPr="00445BD5">
        <w:rPr>
          <w:rFonts w:hint="cs"/>
          <w:szCs w:val="18"/>
          <w:rtl/>
        </w:rPr>
        <w:t xml:space="preserve"> לגבי</w:t>
      </w:r>
      <w:r w:rsidRPr="00445BD5">
        <w:rPr>
          <w:szCs w:val="18"/>
          <w:rtl/>
        </w:rPr>
        <w:t xml:space="preserve"> אופי </w:t>
      </w:r>
      <w:r w:rsidRPr="00445BD5">
        <w:rPr>
          <w:rFonts w:hint="cs"/>
          <w:szCs w:val="18"/>
          <w:rtl/>
        </w:rPr>
        <w:t>ה</w:t>
      </w:r>
      <w:r w:rsidRPr="00445BD5">
        <w:rPr>
          <w:szCs w:val="18"/>
          <w:rtl/>
        </w:rPr>
        <w:t>פעיל</w:t>
      </w:r>
      <w:r w:rsidRPr="00445BD5">
        <w:rPr>
          <w:rFonts w:hint="cs"/>
          <w:szCs w:val="18"/>
          <w:rtl/>
        </w:rPr>
        <w:t>ות בנגזרים ל</w:t>
      </w:r>
      <w:r w:rsidRPr="00445BD5">
        <w:rPr>
          <w:szCs w:val="18"/>
          <w:rtl/>
        </w:rPr>
        <w:t>מסחר והסיכונים הנלווים אליו</w:t>
      </w:r>
      <w:r w:rsidRPr="00445BD5">
        <w:rPr>
          <w:rFonts w:hint="cs"/>
          <w:szCs w:val="18"/>
          <w:rtl/>
        </w:rPr>
        <w:t>,</w:t>
      </w:r>
      <w:r w:rsidRPr="00445BD5">
        <w:rPr>
          <w:szCs w:val="18"/>
          <w:rtl/>
        </w:rPr>
        <w:t xml:space="preserve"> וכיצד הישות מנהלת את הסיכונים הללו</w:t>
      </w:r>
      <w:r w:rsidRPr="00445BD5">
        <w:rPr>
          <w:rFonts w:hint="cs"/>
          <w:szCs w:val="18"/>
          <w:rtl/>
        </w:rPr>
        <w:t xml:space="preserve">. </w:t>
      </w:r>
    </w:p>
    <w:p w14:paraId="6E140B60" w14:textId="77777777" w:rsidR="005E1748" w:rsidRDefault="005E1748" w:rsidP="005E1748">
      <w:pPr>
        <w:pStyle w:val="a8"/>
      </w:pPr>
    </w:p>
  </w:footnote>
  <w:footnote w:id="83">
    <w:p w14:paraId="4E7840B8" w14:textId="0B81A104" w:rsidR="00553945" w:rsidRPr="00445BD5" w:rsidRDefault="00553945" w:rsidP="001C09B0">
      <w:pPr>
        <w:pStyle w:val="a8"/>
        <w:spacing w:before="40"/>
        <w:rPr>
          <w:szCs w:val="18"/>
          <w:rtl/>
        </w:rPr>
      </w:pPr>
      <w:r w:rsidRPr="00445BD5">
        <w:rPr>
          <w:rStyle w:val="a7"/>
          <w:sz w:val="18"/>
          <w:szCs w:val="18"/>
        </w:rPr>
        <w:footnoteRef/>
      </w:r>
      <w:r w:rsidRPr="00445BD5">
        <w:rPr>
          <w:szCs w:val="18"/>
          <w:rtl/>
        </w:rPr>
        <w:t xml:space="preserve"> </w:t>
      </w:r>
      <w:r w:rsidRPr="00445BD5">
        <w:rPr>
          <w:szCs w:val="18"/>
          <w:rtl/>
        </w:rPr>
        <w:tab/>
      </w:r>
      <w:r w:rsidRPr="00445BD5">
        <w:rPr>
          <w:rFonts w:ascii="David" w:hAnsi="David"/>
          <w:szCs w:val="18"/>
          <w:rtl/>
        </w:rPr>
        <w:t>בהתאם להוראות הדיווח לציבור סעיף 22ג(ה)(4), אין לקזז: (א) מחויבויות של התאגיד הבנקאי לקנות מצדדים שלישיים כנגד מחויבויות התאגיד הבנקאי למכור לצדדים שלישיים, (ב) אופציות שנכתבו כנגד אופציות שנקנו (ג) שווי הוגן חיובי כנגד שווי הוגן שלילי, או (ד) חוזים הכפופים להסכמי קיזוז דו צדדיים (</w:t>
      </w:r>
      <w:r w:rsidRPr="00445BD5">
        <w:rPr>
          <w:rFonts w:ascii="David" w:hAnsi="David"/>
          <w:szCs w:val="18"/>
        </w:rPr>
        <w:t>bilateral netting agreements</w:t>
      </w:r>
      <w:r w:rsidRPr="00445BD5">
        <w:rPr>
          <w:rFonts w:ascii="David" w:hAnsi="David"/>
          <w:szCs w:val="18"/>
          <w:rtl/>
        </w:rPr>
        <w:t>).</w:t>
      </w:r>
    </w:p>
  </w:footnote>
  <w:footnote w:id="84">
    <w:p w14:paraId="72A0D157" w14:textId="77777777" w:rsidR="00485A05" w:rsidRPr="000735AD" w:rsidRDefault="00485A05" w:rsidP="0081023A">
      <w:pPr>
        <w:pStyle w:val="a8"/>
        <w:spacing w:before="60"/>
        <w:ind w:left="187" w:right="28" w:hanging="187"/>
        <w:rPr>
          <w:rFonts w:ascii="David" w:hAnsi="David"/>
          <w:rtl/>
        </w:rPr>
      </w:pPr>
      <w:r w:rsidRPr="001434E6">
        <w:rPr>
          <w:rStyle w:val="a7"/>
        </w:rPr>
        <w:footnoteRef/>
      </w:r>
      <w:r w:rsidRPr="001434E6">
        <w:rPr>
          <w:rtl/>
        </w:rPr>
        <w:t xml:space="preserve">  </w:t>
      </w:r>
      <w:r w:rsidRPr="001434E6">
        <w:rPr>
          <w:rFonts w:hint="cs"/>
          <w:rtl/>
        </w:rPr>
        <w:tab/>
      </w:r>
      <w:r w:rsidRPr="000D026E">
        <w:rPr>
          <w:rtl/>
        </w:rPr>
        <w:t xml:space="preserve">סכומי רווח (הפסד) בגין גידורי סיכון ריבית </w:t>
      </w:r>
      <w:r w:rsidRPr="000D026E">
        <w:rPr>
          <w:rFonts w:hint="cs"/>
          <w:rtl/>
        </w:rPr>
        <w:t xml:space="preserve">(לרבות החלק הלא אפקטיבי) </w:t>
      </w:r>
      <w:r w:rsidRPr="000D026E">
        <w:rPr>
          <w:rtl/>
        </w:rPr>
        <w:t>נכללים בהכנסות</w:t>
      </w:r>
      <w:r w:rsidRPr="000D026E">
        <w:rPr>
          <w:rFonts w:hint="cs"/>
          <w:rtl/>
        </w:rPr>
        <w:t xml:space="preserve"> /</w:t>
      </w:r>
      <w:r w:rsidRPr="000D026E">
        <w:rPr>
          <w:rtl/>
        </w:rPr>
        <w:t xml:space="preserve"> </w:t>
      </w:r>
      <w:r w:rsidRPr="000D026E">
        <w:rPr>
          <w:rFonts w:hint="cs"/>
          <w:rtl/>
        </w:rPr>
        <w:t xml:space="preserve">בהוצאות </w:t>
      </w:r>
      <w:r w:rsidRPr="000D026E">
        <w:rPr>
          <w:rtl/>
        </w:rPr>
        <w:t>ריבית</w:t>
      </w:r>
      <w:r w:rsidRPr="000D026E">
        <w:rPr>
          <w:rFonts w:hint="cs"/>
          <w:rtl/>
        </w:rPr>
        <w:t xml:space="preserve"> בסעיף הכולל את השפעות הפריט המגודר. כמו כן,</w:t>
      </w:r>
      <w:r w:rsidRPr="000D026E">
        <w:rPr>
          <w:rtl/>
        </w:rPr>
        <w:t xml:space="preserve"> שינויים בשווי ההוגן</w:t>
      </w:r>
      <w:r w:rsidRPr="000D026E">
        <w:rPr>
          <w:rFonts w:hint="cs"/>
          <w:rtl/>
        </w:rPr>
        <w:t xml:space="preserve"> של רכיבים שלא נכללו בהערכת אפקטיביות הגידור</w:t>
      </w:r>
      <w:r w:rsidRPr="000D026E">
        <w:rPr>
          <w:rtl/>
        </w:rPr>
        <w:t xml:space="preserve">, </w:t>
      </w:r>
      <w:r w:rsidRPr="000D026E">
        <w:rPr>
          <w:rFonts w:hint="cs"/>
          <w:rtl/>
        </w:rPr>
        <w:t xml:space="preserve">מוכרים באופן שוטף ברווח והפסד </w:t>
      </w:r>
      <w:r w:rsidRPr="000D026E">
        <w:rPr>
          <w:rtl/>
        </w:rPr>
        <w:t>לתקופה</w:t>
      </w:r>
      <w:r w:rsidRPr="000D026E">
        <w:rPr>
          <w:rFonts w:hint="cs"/>
          <w:rtl/>
        </w:rPr>
        <w:t xml:space="preserve"> (על-פי </w:t>
      </w:r>
      <w:r w:rsidRPr="000D026E">
        <w:rPr>
          <w:rtl/>
        </w:rPr>
        <w:t>סעיף</w:t>
      </w:r>
      <w:r w:rsidRPr="000D026E">
        <w:rPr>
          <w:rFonts w:hint="cs"/>
        </w:rPr>
        <w:t xml:space="preserve">B </w:t>
      </w:r>
      <w:r w:rsidRPr="000D026E">
        <w:rPr>
          <w:rtl/>
        </w:rPr>
        <w:t>815-20-25-83</w:t>
      </w:r>
      <w:r w:rsidRPr="000D026E">
        <w:rPr>
          <w:rFonts w:hint="cs"/>
          <w:rtl/>
        </w:rPr>
        <w:t xml:space="preserve"> לקודיפיקציה) [ לחילופין: סכומים </w:t>
      </w:r>
      <w:r w:rsidRPr="000D026E">
        <w:rPr>
          <w:rtl/>
        </w:rPr>
        <w:t>שלא נכלל</w:t>
      </w:r>
      <w:r w:rsidRPr="000D026E">
        <w:rPr>
          <w:rFonts w:hint="cs"/>
          <w:rtl/>
        </w:rPr>
        <w:t>ים</w:t>
      </w:r>
      <w:r w:rsidRPr="000D026E">
        <w:rPr>
          <w:rtl/>
        </w:rPr>
        <w:t xml:space="preserve"> בהערכת אפקטיביות</w:t>
      </w:r>
      <w:r w:rsidRPr="000D026E">
        <w:rPr>
          <w:rFonts w:hint="cs"/>
          <w:rtl/>
        </w:rPr>
        <w:t xml:space="preserve"> הגידור המוכרים </w:t>
      </w:r>
      <w:r w:rsidRPr="000D026E">
        <w:rPr>
          <w:rtl/>
        </w:rPr>
        <w:t xml:space="preserve">ברווח כולל אחר </w:t>
      </w:r>
      <w:r w:rsidRPr="000D026E">
        <w:rPr>
          <w:rFonts w:hint="cs"/>
          <w:rtl/>
        </w:rPr>
        <w:t xml:space="preserve">נזקפים לרווח והפסד לפי </w:t>
      </w:r>
      <w:r w:rsidRPr="000D026E">
        <w:rPr>
          <w:rtl/>
        </w:rPr>
        <w:t>גיש</w:t>
      </w:r>
      <w:r w:rsidRPr="000D026E">
        <w:rPr>
          <w:rFonts w:hint="cs"/>
          <w:rtl/>
        </w:rPr>
        <w:t xml:space="preserve">ת ההפחתה (על-פי </w:t>
      </w:r>
      <w:r w:rsidRPr="000D026E">
        <w:rPr>
          <w:rtl/>
        </w:rPr>
        <w:t>סעיף</w:t>
      </w:r>
      <w:r w:rsidRPr="000D026E">
        <w:rPr>
          <w:rFonts w:hint="cs"/>
        </w:rPr>
        <w:t xml:space="preserve"> A </w:t>
      </w:r>
      <w:r w:rsidRPr="000D026E">
        <w:rPr>
          <w:rtl/>
        </w:rPr>
        <w:t>815-20-25-83</w:t>
      </w:r>
      <w:r w:rsidRPr="000D026E">
        <w:rPr>
          <w:rFonts w:hint="cs"/>
          <w:rtl/>
        </w:rPr>
        <w:t xml:space="preserve"> לקודיפיקציה)].</w:t>
      </w:r>
    </w:p>
  </w:footnote>
  <w:footnote w:id="85">
    <w:p w14:paraId="1E8BE607" w14:textId="77777777" w:rsidR="00547F17" w:rsidRDefault="00547F17" w:rsidP="0081023A">
      <w:pPr>
        <w:pStyle w:val="a8"/>
        <w:spacing w:before="60"/>
        <w:ind w:left="187" w:right="28" w:hanging="187"/>
      </w:pPr>
      <w:r>
        <w:rPr>
          <w:rStyle w:val="a7"/>
        </w:rPr>
        <w:footnoteRef/>
      </w:r>
      <w:r>
        <w:rPr>
          <w:rtl/>
        </w:rPr>
        <w:t xml:space="preserve"> </w:t>
      </w:r>
      <w:r>
        <w:rPr>
          <w:rtl/>
        </w:rPr>
        <w:tab/>
      </w:r>
      <w:r>
        <w:rPr>
          <w:rFonts w:hint="cs"/>
          <w:rtl/>
        </w:rPr>
        <w:t xml:space="preserve">עבור גידורי שווי הוגן בהם הסיכון המגודר הינו סיכון שיעור הריבית, </w:t>
      </w:r>
      <w:r>
        <w:rPr>
          <w:rFonts w:hint="cs"/>
        </w:rPr>
        <w:t xml:space="preserve">ASC </w:t>
      </w:r>
      <w:r>
        <w:t>815</w:t>
      </w:r>
      <w:r>
        <w:rPr>
          <w:rFonts w:hint="cs"/>
          <w:rtl/>
        </w:rPr>
        <w:t xml:space="preserve"> מתיר למדוד את השינויים בשווי ההוגן של הפריט המגודר המיוחסים לשינויים בשיעור ריבית העוגן (ולא על בסיס מלא תזרימי המזומנים החוזיים). ריבית  ה- </w:t>
      </w:r>
      <w:r>
        <w:rPr>
          <w:rFonts w:hint="cs"/>
        </w:rPr>
        <w:t>SIFMA</w:t>
      </w:r>
      <w:r>
        <w:rPr>
          <w:rFonts w:hint="cs"/>
          <w:rtl/>
        </w:rPr>
        <w:t xml:space="preserve"> </w:t>
      </w:r>
      <w:r>
        <w:t>Municipal Swap Index</w:t>
      </w:r>
      <w:r>
        <w:rPr>
          <w:rFonts w:hint="cs"/>
          <w:rtl/>
        </w:rPr>
        <w:t xml:space="preserve"> (</w:t>
      </w:r>
      <w:r>
        <w:t>Securities Industry and Financial Markets Association</w:t>
      </w:r>
      <w:r>
        <w:rPr>
          <w:rFonts w:hint="cs"/>
          <w:rtl/>
        </w:rPr>
        <w:t>) וריבית ה-</w:t>
      </w:r>
      <w:r>
        <w:rPr>
          <w:rFonts w:hint="cs"/>
        </w:rPr>
        <w:t>OIS</w:t>
      </w:r>
      <w:r>
        <w:rPr>
          <w:rFonts w:hint="cs"/>
          <w:rtl/>
        </w:rPr>
        <w:t xml:space="preserve"> (</w:t>
      </w:r>
      <w:r>
        <w:t>Overnight Index Swap</w:t>
      </w:r>
      <w:r>
        <w:rPr>
          <w:rFonts w:hint="cs"/>
          <w:rtl/>
        </w:rPr>
        <w:t>)</w:t>
      </w:r>
      <w:r>
        <w:rPr>
          <w:rFonts w:hint="cs"/>
        </w:rPr>
        <w:t xml:space="preserve"> </w:t>
      </w:r>
      <w:r>
        <w:rPr>
          <w:rFonts w:hint="cs"/>
          <w:rtl/>
        </w:rPr>
        <w:t xml:space="preserve"> המבוססת על ה-</w:t>
      </w:r>
      <w:r>
        <w:rPr>
          <w:rFonts w:hint="cs"/>
        </w:rPr>
        <w:t>SOF</w:t>
      </w:r>
      <w:r>
        <w:t>R</w:t>
      </w:r>
      <w:r>
        <w:rPr>
          <w:rFonts w:hint="cs"/>
          <w:rtl/>
        </w:rPr>
        <w:t>, נחשבות גם הן כשיעור ריבית עוגן כשיר.</w:t>
      </w:r>
      <w:r>
        <w:rPr>
          <w:rFonts w:hint="cs"/>
        </w:rPr>
        <w:t xml:space="preserve">  </w:t>
      </w:r>
    </w:p>
  </w:footnote>
  <w:footnote w:id="86">
    <w:p w14:paraId="69B47790" w14:textId="01132405" w:rsidR="00553945" w:rsidRDefault="00553945" w:rsidP="006501FC">
      <w:pPr>
        <w:pStyle w:val="a8"/>
        <w:tabs>
          <w:tab w:val="left" w:pos="-64"/>
        </w:tabs>
        <w:spacing w:after="60" w:line="216" w:lineRule="auto"/>
        <w:ind w:hanging="187"/>
        <w:rPr>
          <w:rtl/>
        </w:rPr>
      </w:pPr>
      <w:r w:rsidRPr="0001523C">
        <w:rPr>
          <w:rStyle w:val="a7"/>
          <w:rFonts w:ascii="David" w:hAnsi="David" w:cs="David"/>
        </w:rPr>
        <w:footnoteRef/>
      </w:r>
      <w:r w:rsidRPr="0001523C">
        <w:rPr>
          <w:sz w:val="20"/>
          <w:vertAlign w:val="superscript"/>
          <w:rtl/>
        </w:rPr>
        <w:t xml:space="preserve"> </w:t>
      </w:r>
      <w:r w:rsidRPr="00CA2198">
        <w:rPr>
          <w:rFonts w:hint="cs"/>
          <w:sz w:val="20"/>
          <w:rtl/>
        </w:rPr>
        <w:t xml:space="preserve"> </w:t>
      </w:r>
      <w:r>
        <w:rPr>
          <w:sz w:val="20"/>
          <w:rtl/>
        </w:rPr>
        <w:tab/>
      </w:r>
      <w:r w:rsidRPr="00CA2198">
        <w:rPr>
          <w:rFonts w:hint="cs"/>
          <w:sz w:val="20"/>
          <w:rtl/>
        </w:rPr>
        <w:t xml:space="preserve">בהתאם לסעיף </w:t>
      </w:r>
      <w:r w:rsidRPr="00CA2198">
        <w:rPr>
          <w:rFonts w:hint="cs"/>
          <w:sz w:val="20"/>
        </w:rPr>
        <w:t>EE</w:t>
      </w:r>
      <w:r w:rsidRPr="00CA2198">
        <w:rPr>
          <w:sz w:val="20"/>
        </w:rPr>
        <w:t>E</w:t>
      </w:r>
      <w:r w:rsidRPr="00CA2198">
        <w:rPr>
          <w:rFonts w:hint="cs"/>
          <w:sz w:val="20"/>
          <w:rtl/>
        </w:rPr>
        <w:t>815-10-50-4 בקודיפיקציה,</w:t>
      </w:r>
      <w:r w:rsidRPr="00CA2198">
        <w:rPr>
          <w:rFonts w:hint="cs"/>
          <w:sz w:val="20"/>
        </w:rPr>
        <w:t xml:space="preserve"> </w:t>
      </w:r>
      <w:r w:rsidRPr="00CA2198">
        <w:rPr>
          <w:rFonts w:hint="cs"/>
          <w:sz w:val="20"/>
          <w:rtl/>
        </w:rPr>
        <w:t xml:space="preserve">עבור כל סעיף במאזן הכולל פריט מגודר, אשר </w:t>
      </w:r>
      <w:r w:rsidR="007E3715">
        <w:rPr>
          <w:rFonts w:hint="cs"/>
          <w:sz w:val="20"/>
          <w:rtl/>
        </w:rPr>
        <w:t>כולל</w:t>
      </w:r>
      <w:r w:rsidRPr="00CA2198">
        <w:rPr>
          <w:rFonts w:hint="cs"/>
          <w:sz w:val="20"/>
          <w:rtl/>
        </w:rPr>
        <w:t xml:space="preserve"> יחסי גידור שיועדו לפי </w:t>
      </w:r>
      <w:r w:rsidR="007E3715">
        <w:rPr>
          <w:rFonts w:hint="cs"/>
          <w:sz w:val="20"/>
          <w:rtl/>
        </w:rPr>
        <w:t>"</w:t>
      </w:r>
      <w:r w:rsidRPr="00CA2198">
        <w:rPr>
          <w:rFonts w:hint="cs"/>
          <w:sz w:val="20"/>
          <w:rtl/>
        </w:rPr>
        <w:t xml:space="preserve">שיטת </w:t>
      </w:r>
      <w:r w:rsidR="007E3715">
        <w:rPr>
          <w:rFonts w:hint="cs"/>
          <w:sz w:val="20"/>
          <w:rtl/>
        </w:rPr>
        <w:t>השכבות"</w:t>
      </w:r>
      <w:r w:rsidRPr="00CA2198">
        <w:rPr>
          <w:rFonts w:hint="cs"/>
          <w:sz w:val="20"/>
          <w:rtl/>
        </w:rPr>
        <w:t xml:space="preserve">, יינתן מידע לגבי: עלות מופחתת של </w:t>
      </w:r>
      <w:r w:rsidR="007E3715">
        <w:rPr>
          <w:rFonts w:hint="cs"/>
          <w:sz w:val="20"/>
          <w:rtl/>
        </w:rPr>
        <w:t>ה</w:t>
      </w:r>
      <w:r w:rsidRPr="00CA2198">
        <w:rPr>
          <w:rFonts w:hint="cs"/>
          <w:sz w:val="20"/>
          <w:rtl/>
        </w:rPr>
        <w:t xml:space="preserve">נכסים </w:t>
      </w:r>
      <w:r w:rsidR="007E3715">
        <w:rPr>
          <w:rFonts w:hint="cs"/>
          <w:sz w:val="20"/>
          <w:rtl/>
        </w:rPr>
        <w:t>ה</w:t>
      </w:r>
      <w:r w:rsidRPr="00CA2198">
        <w:rPr>
          <w:rFonts w:hint="cs"/>
          <w:sz w:val="20"/>
          <w:rtl/>
        </w:rPr>
        <w:t>פיננסיים</w:t>
      </w:r>
      <w:r w:rsidR="007E3715">
        <w:rPr>
          <w:rFonts w:hint="cs"/>
          <w:sz w:val="20"/>
          <w:rtl/>
        </w:rPr>
        <w:t xml:space="preserve"> בתיק סגור</w:t>
      </w:r>
      <w:r w:rsidRPr="00CA2198">
        <w:rPr>
          <w:rFonts w:hint="cs"/>
          <w:sz w:val="20"/>
          <w:rtl/>
        </w:rPr>
        <w:t>, הסכום המשקף את הפריט המגודר (</w:t>
      </w:r>
      <w:r>
        <w:rPr>
          <w:rFonts w:hint="cs"/>
          <w:sz w:val="20"/>
          <w:rtl/>
        </w:rPr>
        <w:t xml:space="preserve">השכבה </w:t>
      </w:r>
      <w:r w:rsidR="007E3715">
        <w:rPr>
          <w:rFonts w:hint="cs"/>
          <w:sz w:val="20"/>
          <w:rtl/>
        </w:rPr>
        <w:t>או השכבות המגודרות</w:t>
      </w:r>
      <w:r w:rsidRPr="00CA2198">
        <w:rPr>
          <w:rFonts w:hint="cs"/>
          <w:sz w:val="20"/>
          <w:rtl/>
        </w:rPr>
        <w:t xml:space="preserve">), וסכום ההתאמה הקשורה לפריט המגודר.   </w:t>
      </w:r>
    </w:p>
  </w:footnote>
  <w:footnote w:id="87">
    <w:p w14:paraId="4B5BCA0B" w14:textId="28069290" w:rsidR="00553945" w:rsidRDefault="00553945" w:rsidP="00864A7D">
      <w:pPr>
        <w:pStyle w:val="a8"/>
        <w:rPr>
          <w:rtl/>
        </w:rPr>
      </w:pPr>
      <w:r w:rsidRPr="003C7C1A">
        <w:rPr>
          <w:rStyle w:val="a7"/>
          <w:rFonts w:ascii="David" w:hAnsi="David" w:cs="David"/>
        </w:rPr>
        <w:footnoteRef/>
      </w:r>
      <w:r w:rsidRPr="003C7C1A">
        <w:rPr>
          <w:rStyle w:val="a7"/>
          <w:rFonts w:ascii="David" w:hAnsi="David" w:cs="David"/>
          <w:rtl/>
        </w:rPr>
        <w:t xml:space="preserve"> </w:t>
      </w:r>
      <w:r w:rsidRPr="003C7C1A">
        <w:rPr>
          <w:rFonts w:hint="cs"/>
          <w:rtl/>
        </w:rPr>
        <w:t xml:space="preserve"> </w:t>
      </w:r>
      <w:r>
        <w:rPr>
          <w:rtl/>
        </w:rPr>
        <w:tab/>
      </w:r>
      <w:r w:rsidR="00A85A42" w:rsidRPr="00A85A42">
        <w:rPr>
          <w:rtl/>
        </w:rPr>
        <w:t xml:space="preserve">לעניין הגילוי בסעיף </w:t>
      </w:r>
      <w:r w:rsidR="00A85A42">
        <w:rPr>
          <w:rFonts w:hint="cs"/>
        </w:rPr>
        <w:t>EE</w:t>
      </w:r>
      <w:r w:rsidR="00A85A42">
        <w:rPr>
          <w:rFonts w:hint="cs"/>
          <w:rtl/>
        </w:rPr>
        <w:t>815-10-50-4</w:t>
      </w:r>
      <w:r w:rsidR="00A85A42">
        <w:rPr>
          <w:rFonts w:hint="cs"/>
        </w:rPr>
        <w:t xml:space="preserve"> </w:t>
      </w:r>
      <w:r w:rsidR="00A85A42" w:rsidRPr="00A85A42">
        <w:rPr>
          <w:rtl/>
        </w:rPr>
        <w:t>לגבי השקעה באג"ח זמינות למכירה - הערך בספרים שיינתן לו גילוי הוא בסיס ההעלות המופחתת של האג"ח, וההתאמות לשווי הוגן הקשורות לסיכון מט"ח לא יכללו בגילוי לפי סעיף זה.</w:t>
      </w:r>
    </w:p>
  </w:footnote>
  <w:footnote w:id="88">
    <w:p w14:paraId="69DD2F9E" w14:textId="77777777" w:rsidR="00CD1BE1" w:rsidRDefault="00CD1BE1" w:rsidP="00CD1BE1">
      <w:pPr>
        <w:pStyle w:val="a8"/>
        <w:tabs>
          <w:tab w:val="left" w:pos="-64"/>
        </w:tabs>
        <w:spacing w:after="60" w:line="216" w:lineRule="auto"/>
        <w:ind w:hanging="187"/>
        <w:rPr>
          <w:rtl/>
        </w:rPr>
      </w:pPr>
      <w:r w:rsidRPr="0001523C">
        <w:rPr>
          <w:rStyle w:val="a7"/>
          <w:rFonts w:ascii="David" w:hAnsi="David" w:cs="David"/>
        </w:rPr>
        <w:footnoteRef/>
      </w:r>
      <w:r w:rsidRPr="0001523C">
        <w:rPr>
          <w:sz w:val="20"/>
          <w:vertAlign w:val="superscript"/>
          <w:rtl/>
        </w:rPr>
        <w:t xml:space="preserve"> </w:t>
      </w:r>
      <w:r w:rsidRPr="00CA2198">
        <w:rPr>
          <w:rFonts w:hint="cs"/>
          <w:sz w:val="20"/>
          <w:rtl/>
        </w:rPr>
        <w:t xml:space="preserve"> </w:t>
      </w:r>
      <w:r>
        <w:rPr>
          <w:sz w:val="20"/>
          <w:rtl/>
        </w:rPr>
        <w:tab/>
      </w:r>
      <w:r w:rsidRPr="00CA2198">
        <w:rPr>
          <w:rFonts w:hint="cs"/>
          <w:sz w:val="20"/>
          <w:rtl/>
        </w:rPr>
        <w:t xml:space="preserve">בהתאם לסעיף </w:t>
      </w:r>
      <w:r w:rsidRPr="00CA2198">
        <w:rPr>
          <w:rFonts w:hint="cs"/>
          <w:sz w:val="20"/>
        </w:rPr>
        <w:t>EE</w:t>
      </w:r>
      <w:r w:rsidRPr="00CA2198">
        <w:rPr>
          <w:sz w:val="20"/>
        </w:rPr>
        <w:t>E</w:t>
      </w:r>
      <w:r w:rsidRPr="00CA2198">
        <w:rPr>
          <w:rFonts w:hint="cs"/>
          <w:sz w:val="20"/>
          <w:rtl/>
        </w:rPr>
        <w:t>815-10-50-4 בקודיפיקציה,</w:t>
      </w:r>
      <w:r w:rsidRPr="00CA2198">
        <w:rPr>
          <w:rFonts w:hint="cs"/>
          <w:sz w:val="20"/>
        </w:rPr>
        <w:t xml:space="preserve"> </w:t>
      </w:r>
      <w:r w:rsidRPr="00CA2198">
        <w:rPr>
          <w:rFonts w:hint="cs"/>
          <w:sz w:val="20"/>
          <w:rtl/>
        </w:rPr>
        <w:t xml:space="preserve">עבור כל סעיף במאזן הכולל פריט מגודר, אשר </w:t>
      </w:r>
      <w:r>
        <w:rPr>
          <w:rFonts w:hint="cs"/>
          <w:sz w:val="20"/>
          <w:rtl/>
        </w:rPr>
        <w:t>כולל</w:t>
      </w:r>
      <w:r w:rsidRPr="00CA2198">
        <w:rPr>
          <w:rFonts w:hint="cs"/>
          <w:sz w:val="20"/>
          <w:rtl/>
        </w:rPr>
        <w:t xml:space="preserve"> יחסי גידור שיועדו לפי </w:t>
      </w:r>
      <w:r>
        <w:rPr>
          <w:rFonts w:hint="cs"/>
          <w:sz w:val="20"/>
          <w:rtl/>
        </w:rPr>
        <w:t>"</w:t>
      </w:r>
      <w:r w:rsidRPr="00CA2198">
        <w:rPr>
          <w:rFonts w:hint="cs"/>
          <w:sz w:val="20"/>
          <w:rtl/>
        </w:rPr>
        <w:t xml:space="preserve">שיטת </w:t>
      </w:r>
      <w:r>
        <w:rPr>
          <w:rFonts w:hint="cs"/>
          <w:sz w:val="20"/>
          <w:rtl/>
        </w:rPr>
        <w:t>השכבות"</w:t>
      </w:r>
      <w:r w:rsidRPr="00CA2198">
        <w:rPr>
          <w:rFonts w:hint="cs"/>
          <w:sz w:val="20"/>
          <w:rtl/>
        </w:rPr>
        <w:t xml:space="preserve">, יינתן מידע לגבי: עלות מופחתת של </w:t>
      </w:r>
      <w:r>
        <w:rPr>
          <w:rFonts w:hint="cs"/>
          <w:sz w:val="20"/>
          <w:rtl/>
        </w:rPr>
        <w:t>ה</w:t>
      </w:r>
      <w:r w:rsidRPr="00CA2198">
        <w:rPr>
          <w:rFonts w:hint="cs"/>
          <w:sz w:val="20"/>
          <w:rtl/>
        </w:rPr>
        <w:t xml:space="preserve">נכסים </w:t>
      </w:r>
      <w:r>
        <w:rPr>
          <w:rFonts w:hint="cs"/>
          <w:sz w:val="20"/>
          <w:rtl/>
        </w:rPr>
        <w:t>ה</w:t>
      </w:r>
      <w:r w:rsidRPr="00CA2198">
        <w:rPr>
          <w:rFonts w:hint="cs"/>
          <w:sz w:val="20"/>
          <w:rtl/>
        </w:rPr>
        <w:t>פיננסיים</w:t>
      </w:r>
      <w:r>
        <w:rPr>
          <w:rFonts w:hint="cs"/>
          <w:sz w:val="20"/>
          <w:rtl/>
        </w:rPr>
        <w:t xml:space="preserve"> בתיק סגור</w:t>
      </w:r>
      <w:r w:rsidRPr="00CA2198">
        <w:rPr>
          <w:rFonts w:hint="cs"/>
          <w:sz w:val="20"/>
          <w:rtl/>
        </w:rPr>
        <w:t>, הסכום המשקף את הפריט המגודר (</w:t>
      </w:r>
      <w:r>
        <w:rPr>
          <w:rFonts w:hint="cs"/>
          <w:sz w:val="20"/>
          <w:rtl/>
        </w:rPr>
        <w:t>השכבה או השכבות המגודרות</w:t>
      </w:r>
      <w:r w:rsidRPr="00CA2198">
        <w:rPr>
          <w:rFonts w:hint="cs"/>
          <w:sz w:val="20"/>
          <w:rtl/>
        </w:rPr>
        <w:t xml:space="preserve">), וסכום ההתאמה הקשורה לפריט המגודר.   </w:t>
      </w:r>
    </w:p>
  </w:footnote>
  <w:footnote w:id="89">
    <w:p w14:paraId="6578A52D" w14:textId="77777777" w:rsidR="00CD1BE1" w:rsidRDefault="00CD1BE1" w:rsidP="00CD1BE1">
      <w:pPr>
        <w:pStyle w:val="a8"/>
        <w:rPr>
          <w:rtl/>
        </w:rPr>
      </w:pPr>
      <w:r w:rsidRPr="003C7C1A">
        <w:rPr>
          <w:rStyle w:val="a7"/>
          <w:rFonts w:ascii="David" w:hAnsi="David" w:cs="David"/>
        </w:rPr>
        <w:footnoteRef/>
      </w:r>
      <w:r w:rsidRPr="003C7C1A">
        <w:rPr>
          <w:rStyle w:val="a7"/>
          <w:rFonts w:ascii="David" w:hAnsi="David" w:cs="David"/>
          <w:rtl/>
        </w:rPr>
        <w:t xml:space="preserve"> </w:t>
      </w:r>
      <w:r w:rsidRPr="003C7C1A">
        <w:rPr>
          <w:rFonts w:hint="cs"/>
          <w:rtl/>
        </w:rPr>
        <w:t xml:space="preserve"> </w:t>
      </w:r>
      <w:r>
        <w:rPr>
          <w:rtl/>
        </w:rPr>
        <w:tab/>
      </w:r>
      <w:r w:rsidRPr="00A85A42">
        <w:rPr>
          <w:rtl/>
        </w:rPr>
        <w:t xml:space="preserve">לעניין הגילוי בסעיף </w:t>
      </w:r>
      <w:r>
        <w:rPr>
          <w:rFonts w:hint="cs"/>
        </w:rPr>
        <w:t>EE</w:t>
      </w:r>
      <w:r>
        <w:rPr>
          <w:rFonts w:hint="cs"/>
          <w:rtl/>
        </w:rPr>
        <w:t>815-10-50-4</w:t>
      </w:r>
      <w:r>
        <w:rPr>
          <w:rFonts w:hint="cs"/>
        </w:rPr>
        <w:t xml:space="preserve"> </w:t>
      </w:r>
      <w:r w:rsidRPr="00A85A42">
        <w:rPr>
          <w:rtl/>
        </w:rPr>
        <w:t>לגבי השקעה באג"ח זמינות למכירה - הערך בספרים שיינתן לו גילוי הוא בסיס ההעלות המופחתת של האג"ח, וההתאמות לשווי הוגן הקשורות לסיכון מט"ח לא יכללו בגילוי לפי סעיף זה.</w:t>
      </w:r>
    </w:p>
  </w:footnote>
  <w:footnote w:id="90">
    <w:p w14:paraId="45769B3E" w14:textId="77777777" w:rsidR="00CD1BE1" w:rsidRDefault="00CD1BE1" w:rsidP="00CD1BE1">
      <w:pPr>
        <w:pStyle w:val="a8"/>
        <w:tabs>
          <w:tab w:val="left" w:pos="-64"/>
        </w:tabs>
        <w:spacing w:after="60" w:line="216" w:lineRule="auto"/>
        <w:ind w:hanging="187"/>
        <w:rPr>
          <w:rtl/>
        </w:rPr>
      </w:pPr>
      <w:r w:rsidRPr="0001523C">
        <w:rPr>
          <w:rStyle w:val="a7"/>
          <w:rFonts w:ascii="David" w:hAnsi="David" w:cs="David"/>
        </w:rPr>
        <w:footnoteRef/>
      </w:r>
      <w:r w:rsidRPr="0001523C">
        <w:rPr>
          <w:sz w:val="20"/>
          <w:vertAlign w:val="superscript"/>
          <w:rtl/>
        </w:rPr>
        <w:t xml:space="preserve"> </w:t>
      </w:r>
      <w:r w:rsidRPr="00CA2198">
        <w:rPr>
          <w:rFonts w:hint="cs"/>
          <w:sz w:val="20"/>
          <w:rtl/>
        </w:rPr>
        <w:t xml:space="preserve"> </w:t>
      </w:r>
      <w:r>
        <w:rPr>
          <w:sz w:val="20"/>
          <w:rtl/>
        </w:rPr>
        <w:tab/>
      </w:r>
      <w:r w:rsidRPr="00CA2198">
        <w:rPr>
          <w:rFonts w:hint="cs"/>
          <w:sz w:val="20"/>
          <w:rtl/>
        </w:rPr>
        <w:t xml:space="preserve">בהתאם לסעיף </w:t>
      </w:r>
      <w:r w:rsidRPr="00CA2198">
        <w:rPr>
          <w:rFonts w:hint="cs"/>
          <w:sz w:val="20"/>
        </w:rPr>
        <w:t>EE</w:t>
      </w:r>
      <w:r w:rsidRPr="00CA2198">
        <w:rPr>
          <w:sz w:val="20"/>
        </w:rPr>
        <w:t>E</w:t>
      </w:r>
      <w:r w:rsidRPr="00CA2198">
        <w:rPr>
          <w:rFonts w:hint="cs"/>
          <w:sz w:val="20"/>
          <w:rtl/>
        </w:rPr>
        <w:t>815-10-50-4 בקודיפיקציה,</w:t>
      </w:r>
      <w:r w:rsidRPr="00CA2198">
        <w:rPr>
          <w:rFonts w:hint="cs"/>
          <w:sz w:val="20"/>
        </w:rPr>
        <w:t xml:space="preserve"> </w:t>
      </w:r>
      <w:r w:rsidRPr="00CA2198">
        <w:rPr>
          <w:rFonts w:hint="cs"/>
          <w:sz w:val="20"/>
          <w:rtl/>
        </w:rPr>
        <w:t xml:space="preserve">עבור כל סעיף במאזן הכולל פריט מגודר, אשר </w:t>
      </w:r>
      <w:r>
        <w:rPr>
          <w:rFonts w:hint="cs"/>
          <w:sz w:val="20"/>
          <w:rtl/>
        </w:rPr>
        <w:t>כולל</w:t>
      </w:r>
      <w:r w:rsidRPr="00CA2198">
        <w:rPr>
          <w:rFonts w:hint="cs"/>
          <w:sz w:val="20"/>
          <w:rtl/>
        </w:rPr>
        <w:t xml:space="preserve"> יחסי גידור שיועדו לפי </w:t>
      </w:r>
      <w:r>
        <w:rPr>
          <w:rFonts w:hint="cs"/>
          <w:sz w:val="20"/>
          <w:rtl/>
        </w:rPr>
        <w:t>"</w:t>
      </w:r>
      <w:r w:rsidRPr="00CA2198">
        <w:rPr>
          <w:rFonts w:hint="cs"/>
          <w:sz w:val="20"/>
          <w:rtl/>
        </w:rPr>
        <w:t xml:space="preserve">שיטת </w:t>
      </w:r>
      <w:r>
        <w:rPr>
          <w:rFonts w:hint="cs"/>
          <w:sz w:val="20"/>
          <w:rtl/>
        </w:rPr>
        <w:t>השכבות"</w:t>
      </w:r>
      <w:r w:rsidRPr="00CA2198">
        <w:rPr>
          <w:rFonts w:hint="cs"/>
          <w:sz w:val="20"/>
          <w:rtl/>
        </w:rPr>
        <w:t xml:space="preserve">, יינתן מידע לגבי: עלות מופחתת של </w:t>
      </w:r>
      <w:r>
        <w:rPr>
          <w:rFonts w:hint="cs"/>
          <w:sz w:val="20"/>
          <w:rtl/>
        </w:rPr>
        <w:t>ה</w:t>
      </w:r>
      <w:r w:rsidRPr="00CA2198">
        <w:rPr>
          <w:rFonts w:hint="cs"/>
          <w:sz w:val="20"/>
          <w:rtl/>
        </w:rPr>
        <w:t xml:space="preserve">נכסים </w:t>
      </w:r>
      <w:r>
        <w:rPr>
          <w:rFonts w:hint="cs"/>
          <w:sz w:val="20"/>
          <w:rtl/>
        </w:rPr>
        <w:t>ה</w:t>
      </w:r>
      <w:r w:rsidRPr="00CA2198">
        <w:rPr>
          <w:rFonts w:hint="cs"/>
          <w:sz w:val="20"/>
          <w:rtl/>
        </w:rPr>
        <w:t>פיננסיים</w:t>
      </w:r>
      <w:r>
        <w:rPr>
          <w:rFonts w:hint="cs"/>
          <w:sz w:val="20"/>
          <w:rtl/>
        </w:rPr>
        <w:t xml:space="preserve"> בתיק סגור</w:t>
      </w:r>
      <w:r w:rsidRPr="00CA2198">
        <w:rPr>
          <w:rFonts w:hint="cs"/>
          <w:sz w:val="20"/>
          <w:rtl/>
        </w:rPr>
        <w:t>, הסכום המשקף את הפריט המגודר (</w:t>
      </w:r>
      <w:r>
        <w:rPr>
          <w:rFonts w:hint="cs"/>
          <w:sz w:val="20"/>
          <w:rtl/>
        </w:rPr>
        <w:t>השכבה או השכבות המגודרות</w:t>
      </w:r>
      <w:r w:rsidRPr="00CA2198">
        <w:rPr>
          <w:rFonts w:hint="cs"/>
          <w:sz w:val="20"/>
          <w:rtl/>
        </w:rPr>
        <w:t xml:space="preserve">), וסכום ההתאמה הקשורה לפריט המגודר.   </w:t>
      </w:r>
    </w:p>
  </w:footnote>
  <w:footnote w:id="91">
    <w:p w14:paraId="722E78FB" w14:textId="77777777" w:rsidR="00CD1BE1" w:rsidRDefault="00CD1BE1" w:rsidP="00CD1BE1">
      <w:pPr>
        <w:pStyle w:val="a8"/>
        <w:rPr>
          <w:rtl/>
        </w:rPr>
      </w:pPr>
      <w:r w:rsidRPr="003C7C1A">
        <w:rPr>
          <w:rStyle w:val="a7"/>
          <w:rFonts w:ascii="David" w:hAnsi="David" w:cs="David"/>
        </w:rPr>
        <w:footnoteRef/>
      </w:r>
      <w:r w:rsidRPr="003C7C1A">
        <w:rPr>
          <w:rStyle w:val="a7"/>
          <w:rFonts w:ascii="David" w:hAnsi="David" w:cs="David"/>
          <w:rtl/>
        </w:rPr>
        <w:t xml:space="preserve"> </w:t>
      </w:r>
      <w:r w:rsidRPr="003C7C1A">
        <w:rPr>
          <w:rFonts w:hint="cs"/>
          <w:rtl/>
        </w:rPr>
        <w:t xml:space="preserve"> </w:t>
      </w:r>
      <w:r>
        <w:rPr>
          <w:rtl/>
        </w:rPr>
        <w:tab/>
      </w:r>
      <w:r w:rsidRPr="00A85A42">
        <w:rPr>
          <w:rtl/>
        </w:rPr>
        <w:t xml:space="preserve">לעניין הגילוי בסעיף </w:t>
      </w:r>
      <w:r>
        <w:rPr>
          <w:rFonts w:hint="cs"/>
        </w:rPr>
        <w:t>EE</w:t>
      </w:r>
      <w:r>
        <w:rPr>
          <w:rFonts w:hint="cs"/>
          <w:rtl/>
        </w:rPr>
        <w:t>815-10-50-4</w:t>
      </w:r>
      <w:r>
        <w:rPr>
          <w:rFonts w:hint="cs"/>
        </w:rPr>
        <w:t xml:space="preserve"> </w:t>
      </w:r>
      <w:r w:rsidRPr="00A85A42">
        <w:rPr>
          <w:rtl/>
        </w:rPr>
        <w:t>לגבי השקעה באג"ח זמינות למכירה - הערך בספרים שיינתן לו גילוי הוא בסיס ההעלות המופחתת של האג"ח, וההתאמות לשווי הוגן הקשורות לסיכון מט"ח לא יכללו בגילוי לפי סעיף זה.</w:t>
      </w:r>
    </w:p>
  </w:footnote>
  <w:footnote w:id="92">
    <w:p w14:paraId="3767E93C" w14:textId="77777777" w:rsidR="003E6CF5" w:rsidRPr="003E6CF5" w:rsidRDefault="003E6CF5" w:rsidP="003E6CF5">
      <w:pPr>
        <w:pStyle w:val="a8"/>
        <w:spacing w:before="0" w:line="216" w:lineRule="auto"/>
        <w:ind w:left="215" w:hanging="215"/>
        <w:rPr>
          <w:rFonts w:ascii="David" w:hAnsi="David"/>
          <w:sz w:val="16"/>
          <w:szCs w:val="16"/>
          <w:rtl/>
        </w:rPr>
      </w:pPr>
      <w:r w:rsidRPr="003E6CF5">
        <w:rPr>
          <w:rStyle w:val="a7"/>
          <w:rFonts w:ascii="David" w:hAnsi="David" w:cs="David"/>
          <w:sz w:val="16"/>
          <w:szCs w:val="16"/>
        </w:rPr>
        <w:footnoteRef/>
      </w:r>
      <w:r w:rsidRPr="003E6CF5">
        <w:rPr>
          <w:rFonts w:ascii="David" w:hAnsi="David"/>
          <w:sz w:val="16"/>
          <w:szCs w:val="16"/>
          <w:rtl/>
        </w:rPr>
        <w:t xml:space="preserve"> </w:t>
      </w:r>
      <w:r w:rsidRPr="003E6CF5">
        <w:rPr>
          <w:rFonts w:ascii="David" w:hAnsi="David"/>
          <w:sz w:val="16"/>
          <w:szCs w:val="16"/>
          <w:rtl/>
        </w:rPr>
        <w:tab/>
        <w:t>בהתאם להוראות הדיווח לציבור סעיף 79(א)(6)(ג), מומלץ לתת גילוי נפרד למהות ולסכום של פריטי הכנסות והוצאות מגזר כלשהם, אשר גודלם, מהותם או שכיחותם הם כאלה שגילויים רלבנטי להסבר הביצועים התקופתיים של כל מגזר.</w:t>
      </w:r>
    </w:p>
  </w:footnote>
  <w:footnote w:id="93">
    <w:p w14:paraId="286B803C" w14:textId="77777777" w:rsidR="003E6CF5" w:rsidRDefault="003E6CF5" w:rsidP="003E6CF5">
      <w:pPr>
        <w:pStyle w:val="a8"/>
        <w:spacing w:before="0" w:line="216" w:lineRule="auto"/>
        <w:ind w:left="215" w:hanging="215"/>
        <w:rPr>
          <w:sz w:val="20"/>
          <w:rtl/>
        </w:rPr>
      </w:pPr>
      <w:r w:rsidRPr="003E6CF5">
        <w:rPr>
          <w:rStyle w:val="a7"/>
          <w:rFonts w:ascii="David" w:hAnsi="David" w:cs="David"/>
          <w:sz w:val="16"/>
          <w:szCs w:val="16"/>
        </w:rPr>
        <w:footnoteRef/>
      </w:r>
      <w:r w:rsidRPr="003E6CF5">
        <w:rPr>
          <w:rFonts w:ascii="David" w:hAnsi="David"/>
          <w:sz w:val="16"/>
          <w:szCs w:val="16"/>
          <w:rtl/>
        </w:rPr>
        <w:t xml:space="preserve"> </w:t>
      </w:r>
      <w:r w:rsidRPr="003E6CF5">
        <w:rPr>
          <w:rFonts w:ascii="David" w:hAnsi="David"/>
          <w:sz w:val="16"/>
          <w:szCs w:val="16"/>
          <w:rtl/>
        </w:rPr>
        <w:tab/>
        <w:t>בהתאם להוראות הדיווח לציבור סעיף 79(א)(6)(ו), יינתן גילוי לאופי של כל השינויים מתקופות קודמות בשיטות ההקצאה ובשיטות המדידה וההשפעה, אם קיימת, של שינויים אלו.</w:t>
      </w:r>
    </w:p>
  </w:footnote>
  <w:footnote w:id="94">
    <w:p w14:paraId="45696B87" w14:textId="2F27DAF1" w:rsidR="00553945" w:rsidRPr="0000495B" w:rsidRDefault="009C25A5" w:rsidP="00676CE7">
      <w:pPr>
        <w:pStyle w:val="a8"/>
        <w:spacing w:before="0"/>
        <w:ind w:left="215" w:hanging="215"/>
        <w:rPr>
          <w:szCs w:val="18"/>
          <w:rtl/>
        </w:rPr>
      </w:pPr>
      <w:r w:rsidRPr="0000495B">
        <w:rPr>
          <w:rStyle w:val="a7"/>
          <w:sz w:val="18"/>
          <w:szCs w:val="18"/>
        </w:rPr>
        <w:t xml:space="preserve"> </w:t>
      </w:r>
      <w:r w:rsidR="00553945" w:rsidRPr="0000495B">
        <w:rPr>
          <w:rStyle w:val="a7"/>
          <w:sz w:val="18"/>
          <w:szCs w:val="18"/>
        </w:rPr>
        <w:footnoteRef/>
      </w:r>
      <w:r w:rsidR="00553945" w:rsidRPr="0000495B">
        <w:rPr>
          <w:szCs w:val="18"/>
          <w:rtl/>
        </w:rPr>
        <w:t xml:space="preserve">  </w:t>
      </w:r>
      <w:r w:rsidR="00553945" w:rsidRPr="0000495B">
        <w:rPr>
          <w:szCs w:val="18"/>
          <w:rtl/>
        </w:rPr>
        <w:tab/>
      </w:r>
      <w:r w:rsidR="00553945" w:rsidRPr="0000495B">
        <w:rPr>
          <w:rFonts w:hint="cs"/>
          <w:szCs w:val="18"/>
          <w:rtl/>
        </w:rPr>
        <w:t>בהתאם להוראות הדיווח לציבור סעיפים 79(ב1)(ב)(2)-(3), אם תאגיד בנקאי משנה את המבנה הארגוני הפנימי שלו באופן שמביא לשינוי בהרכב המגזרים, המידע המתייחס לתקופות קודמות, יוצג מחדש אלא אם הדבר איננו פרקטי.</w:t>
      </w:r>
    </w:p>
  </w:footnote>
  <w:footnote w:id="95">
    <w:p w14:paraId="070EC0DD" w14:textId="77777777" w:rsidR="00553945" w:rsidRPr="0000495B" w:rsidRDefault="00553945" w:rsidP="00DA5FCE">
      <w:pPr>
        <w:pStyle w:val="a8"/>
        <w:spacing w:before="0"/>
        <w:ind w:left="215" w:hanging="215"/>
        <w:rPr>
          <w:szCs w:val="18"/>
          <w:rtl/>
        </w:rPr>
      </w:pPr>
      <w:r w:rsidRPr="0000495B">
        <w:rPr>
          <w:rStyle w:val="a7"/>
          <w:sz w:val="18"/>
          <w:szCs w:val="18"/>
        </w:rPr>
        <w:footnoteRef/>
      </w:r>
      <w:r w:rsidRPr="0000495B">
        <w:rPr>
          <w:szCs w:val="18"/>
          <w:rtl/>
        </w:rPr>
        <w:t xml:space="preserve">  </w:t>
      </w:r>
      <w:r w:rsidRPr="0000495B">
        <w:rPr>
          <w:szCs w:val="18"/>
          <w:rtl/>
        </w:rPr>
        <w:tab/>
      </w:r>
      <w:r w:rsidRPr="0000495B">
        <w:rPr>
          <w:rFonts w:hint="cs"/>
          <w:szCs w:val="18"/>
          <w:rtl/>
        </w:rPr>
        <w:t>מומלץ לתת גילוי נפרד למהות ולסכום של פריטי הכנסות והוצאות מגזר כלשהם, אשר גודלם, מהותם או שכיחותם הם כאלה שגילויים רלבנטי להסבר הביצועים התקופתיים של כל מגזר.</w:t>
      </w:r>
    </w:p>
  </w:footnote>
  <w:footnote w:id="96">
    <w:p w14:paraId="77BBEA25" w14:textId="77777777" w:rsidR="003838B2" w:rsidRPr="003838B2" w:rsidRDefault="003838B2" w:rsidP="003838B2">
      <w:pPr>
        <w:pStyle w:val="a8"/>
        <w:spacing w:before="0"/>
        <w:ind w:left="215" w:hanging="215"/>
        <w:rPr>
          <w:sz w:val="17"/>
          <w:szCs w:val="17"/>
          <w:rtl/>
        </w:rPr>
      </w:pPr>
      <w:r w:rsidRPr="003838B2">
        <w:rPr>
          <w:rStyle w:val="a7"/>
          <w:rFonts w:cs="David"/>
          <w:sz w:val="17"/>
          <w:szCs w:val="17"/>
        </w:rPr>
        <w:footnoteRef/>
      </w:r>
      <w:r w:rsidRPr="003838B2">
        <w:rPr>
          <w:sz w:val="17"/>
          <w:szCs w:val="17"/>
          <w:rtl/>
        </w:rPr>
        <w:t xml:space="preserve"> </w:t>
      </w:r>
      <w:r w:rsidRPr="003838B2">
        <w:rPr>
          <w:sz w:val="17"/>
          <w:szCs w:val="17"/>
          <w:rtl/>
        </w:rPr>
        <w:tab/>
      </w:r>
      <w:r w:rsidRPr="003838B2">
        <w:rPr>
          <w:rFonts w:hint="cs"/>
          <w:sz w:val="17"/>
          <w:szCs w:val="17"/>
          <w:rtl/>
        </w:rPr>
        <w:t>בהתאם לקודיפיקציה סעיף 280-10-50-31, כל פריטי ההתאמה המהותיים יזוהו ויתוארו בנפרד. לדוגמה, יש לזהות ולתאר בנפרד את הסכום של כל תיאום מהותי הנובע מהבדל במדיניות החשבונאית, שנדרש כדי להתאים בין רווח או הפסד של מגזרים בני דיווח לבין הרווח או ההפסד המאוחד של התאגיד הבנקאי.</w:t>
      </w:r>
    </w:p>
  </w:footnote>
  <w:footnote w:id="97">
    <w:p w14:paraId="7F128BFE" w14:textId="77777777" w:rsidR="003838B2" w:rsidRPr="0000495B" w:rsidRDefault="003838B2" w:rsidP="003838B2">
      <w:pPr>
        <w:pStyle w:val="a8"/>
        <w:spacing w:before="0"/>
        <w:ind w:left="215" w:hanging="215"/>
        <w:rPr>
          <w:szCs w:val="18"/>
          <w:rtl/>
        </w:rPr>
      </w:pPr>
      <w:r w:rsidRPr="003838B2">
        <w:rPr>
          <w:rStyle w:val="a7"/>
          <w:rFonts w:cs="David"/>
          <w:sz w:val="17"/>
          <w:szCs w:val="17"/>
        </w:rPr>
        <w:footnoteRef/>
      </w:r>
      <w:r w:rsidRPr="003838B2">
        <w:rPr>
          <w:sz w:val="17"/>
          <w:szCs w:val="17"/>
          <w:rtl/>
        </w:rPr>
        <w:t xml:space="preserve"> </w:t>
      </w:r>
      <w:r w:rsidRPr="003838B2">
        <w:rPr>
          <w:sz w:val="17"/>
          <w:szCs w:val="17"/>
          <w:rtl/>
        </w:rPr>
        <w:tab/>
      </w:r>
      <w:r w:rsidRPr="003838B2">
        <w:rPr>
          <w:rFonts w:hint="cs"/>
          <w:sz w:val="17"/>
          <w:szCs w:val="17"/>
          <w:rtl/>
        </w:rPr>
        <w:t>בהתאם לקודיפיקציה סעיף (</w:t>
      </w:r>
      <w:r w:rsidRPr="003838B2">
        <w:rPr>
          <w:sz w:val="17"/>
          <w:szCs w:val="17"/>
        </w:rPr>
        <w:t>f</w:t>
      </w:r>
      <w:r w:rsidRPr="003838B2">
        <w:rPr>
          <w:rFonts w:hint="cs"/>
          <w:sz w:val="17"/>
          <w:szCs w:val="17"/>
          <w:rtl/>
        </w:rPr>
        <w:t>)280-10-50-32, יינתן גילוי ל</w:t>
      </w:r>
      <w:r w:rsidRPr="003838B2">
        <w:rPr>
          <w:sz w:val="17"/>
          <w:szCs w:val="17"/>
          <w:rtl/>
        </w:rPr>
        <w:t>התאמה בין סך כל המ</w:t>
      </w:r>
      <w:r w:rsidRPr="003838B2">
        <w:rPr>
          <w:rFonts w:hint="cs"/>
          <w:sz w:val="17"/>
          <w:szCs w:val="17"/>
          <w:rtl/>
        </w:rPr>
        <w:t>ד</w:t>
      </w:r>
      <w:r w:rsidRPr="003838B2">
        <w:rPr>
          <w:sz w:val="17"/>
          <w:szCs w:val="17"/>
          <w:rtl/>
        </w:rPr>
        <w:t>ידות של רווח או הפסד של המגזרים בני הדיווח לבין הרווח או ההפסד המאוחד של התאגיד הבנקאי לפני הוצאת מסים (הכנסת מסים) ולפני פעילויות שהופסקו. אולם, אם התאגיד הבנקאי מקצה למגזרים בני דיווח פריטים כגון מסים על ההכנסה, התאגיד יכול להציג התאמה בין סך כל המידות של רווח או הפסד של המגזרים בני הדיווח לבין הרווח או ההפסד המאוחד של התאגיד הבנקאי, לאחר פריטים אלה. פריטי ההתאמה המהותיים יזוהו ויתוארו בנפרד</w:t>
      </w:r>
      <w:r w:rsidRPr="003838B2">
        <w:rPr>
          <w:rFonts w:hint="cs"/>
          <w:sz w:val="17"/>
          <w:szCs w:val="17"/>
          <w:rtl/>
        </w:rPr>
        <w:t>.</w:t>
      </w:r>
    </w:p>
  </w:footnote>
  <w:footnote w:id="98">
    <w:p w14:paraId="7946545B" w14:textId="11978AD0" w:rsidR="00553945" w:rsidRPr="00D0458C" w:rsidRDefault="00553945" w:rsidP="0004464B">
      <w:pPr>
        <w:pStyle w:val="a8"/>
        <w:rPr>
          <w:sz w:val="17"/>
          <w:szCs w:val="17"/>
        </w:rPr>
      </w:pPr>
      <w:r w:rsidRPr="00DA44D5">
        <w:rPr>
          <w:rFonts w:asciiTheme="minorBidi" w:hAnsiTheme="minorBidi" w:cstheme="minorBidi"/>
          <w:szCs w:val="18"/>
          <w:vertAlign w:val="superscript"/>
        </w:rPr>
        <w:footnoteRef/>
      </w:r>
      <w:r w:rsidRPr="00DA44D5">
        <w:rPr>
          <w:szCs w:val="18"/>
          <w:rtl/>
        </w:rPr>
        <w:t xml:space="preserve"> </w:t>
      </w:r>
      <w:r w:rsidRPr="00DA44D5">
        <w:rPr>
          <w:szCs w:val="18"/>
          <w:rtl/>
        </w:rPr>
        <w:tab/>
      </w:r>
      <w:r w:rsidRPr="004A6470">
        <w:rPr>
          <w:sz w:val="17"/>
          <w:szCs w:val="17"/>
          <w:rtl/>
        </w:rPr>
        <w:t xml:space="preserve">תאגיד בנקאי יערוך את ביאור 12 בהתאם לנסיבות הקיימות אצלו. במידת הצורך יוסיף </w:t>
      </w:r>
      <w:r w:rsidR="004A6470">
        <w:rPr>
          <w:rFonts w:hint="cs"/>
          <w:sz w:val="17"/>
          <w:szCs w:val="17"/>
          <w:rtl/>
        </w:rPr>
        <w:t>ה</w:t>
      </w:r>
      <w:r w:rsidRPr="004A6470">
        <w:rPr>
          <w:sz w:val="17"/>
          <w:szCs w:val="17"/>
          <w:rtl/>
        </w:rPr>
        <w:t xml:space="preserve">תאגיד </w:t>
      </w:r>
      <w:r w:rsidR="004A6470">
        <w:rPr>
          <w:rFonts w:hint="cs"/>
          <w:sz w:val="17"/>
          <w:szCs w:val="17"/>
          <w:rtl/>
        </w:rPr>
        <w:t>ה</w:t>
      </w:r>
      <w:r w:rsidRPr="004A6470">
        <w:rPr>
          <w:sz w:val="17"/>
          <w:szCs w:val="17"/>
          <w:rtl/>
        </w:rPr>
        <w:t>בנקאי מידע כדי למלא אחר הדרישות של כללי החשבונאות המקובלים בבנקים בארה"ב בנושא זה.</w:t>
      </w:r>
    </w:p>
  </w:footnote>
  <w:footnote w:id="99">
    <w:p w14:paraId="5B02A328" w14:textId="77777777" w:rsidR="00553945" w:rsidRPr="00D0458C" w:rsidRDefault="00553945" w:rsidP="0004464B">
      <w:pPr>
        <w:pStyle w:val="a8"/>
        <w:rPr>
          <w:sz w:val="17"/>
          <w:szCs w:val="17"/>
        </w:rPr>
      </w:pPr>
      <w:r w:rsidRPr="00C509CA">
        <w:rPr>
          <w:sz w:val="17"/>
          <w:szCs w:val="17"/>
        </w:rPr>
        <w:footnoteRef/>
      </w:r>
      <w:r w:rsidRPr="00D0458C">
        <w:rPr>
          <w:sz w:val="17"/>
          <w:szCs w:val="17"/>
          <w:rtl/>
        </w:rPr>
        <w:t xml:space="preserve"> </w:t>
      </w:r>
      <w:r w:rsidRPr="00D0458C">
        <w:rPr>
          <w:sz w:val="17"/>
          <w:szCs w:val="17"/>
          <w:rtl/>
        </w:rPr>
        <w:tab/>
      </w:r>
      <w:r w:rsidRPr="00D0458C">
        <w:rPr>
          <w:rFonts w:hint="cs"/>
          <w:sz w:val="17"/>
          <w:szCs w:val="17"/>
          <w:rtl/>
        </w:rPr>
        <w:t xml:space="preserve">בהתאם להוראות הדיווח לציבור סעיף 30ג(ב)(3), </w:t>
      </w:r>
      <w:r w:rsidRPr="00D0458C">
        <w:rPr>
          <w:sz w:val="17"/>
          <w:szCs w:val="17"/>
          <w:rtl/>
        </w:rPr>
        <w:t>כאשר מהותי, ינתן גילוי נפרד לתנועה בהפרשה בגין מכשירי האשראי החוץ מאזניים.</w:t>
      </w:r>
    </w:p>
  </w:footnote>
  <w:footnote w:id="100">
    <w:p w14:paraId="6FFE763C" w14:textId="34ED2D6A" w:rsidR="00A82C7F" w:rsidRPr="00C509CA" w:rsidRDefault="00A82C7F" w:rsidP="0004464B">
      <w:pPr>
        <w:pStyle w:val="a8"/>
        <w:rPr>
          <w:sz w:val="17"/>
          <w:szCs w:val="17"/>
          <w:rtl/>
        </w:rPr>
      </w:pPr>
      <w:r w:rsidRPr="00C509CA">
        <w:rPr>
          <w:sz w:val="17"/>
          <w:szCs w:val="17"/>
        </w:rPr>
        <w:footnoteRef/>
      </w:r>
      <w:r w:rsidRPr="00C509CA">
        <w:rPr>
          <w:sz w:val="17"/>
          <w:szCs w:val="17"/>
          <w:rtl/>
        </w:rPr>
        <w:t xml:space="preserve"> </w:t>
      </w:r>
      <w:r w:rsidRPr="00C509CA">
        <w:rPr>
          <w:sz w:val="17"/>
          <w:szCs w:val="17"/>
          <w:rtl/>
        </w:rPr>
        <w:tab/>
        <w:t>כאשר רלוונטי, בהתאם לסעיף ,</w:t>
      </w:r>
      <w:r w:rsidRPr="00C509CA">
        <w:rPr>
          <w:rFonts w:hint="cs"/>
          <w:sz w:val="17"/>
          <w:szCs w:val="17"/>
          <w:rtl/>
        </w:rPr>
        <w:t>(</w:t>
      </w:r>
      <w:r w:rsidRPr="00C509CA">
        <w:rPr>
          <w:sz w:val="17"/>
          <w:szCs w:val="17"/>
        </w:rPr>
        <w:t>c</w:t>
      </w:r>
      <w:r w:rsidRPr="00C509CA">
        <w:rPr>
          <w:rFonts w:hint="cs"/>
          <w:sz w:val="17"/>
          <w:szCs w:val="17"/>
          <w:rtl/>
        </w:rPr>
        <w:t>)</w:t>
      </w:r>
      <w:r w:rsidRPr="00C509CA">
        <w:rPr>
          <w:sz w:val="17"/>
          <w:szCs w:val="17"/>
          <w:rtl/>
        </w:rPr>
        <w:t>326-20-50-13</w:t>
      </w:r>
      <w:r w:rsidRPr="00C509CA">
        <w:rPr>
          <w:rFonts w:hint="cs"/>
          <w:sz w:val="17"/>
          <w:szCs w:val="17"/>
          <w:rtl/>
        </w:rPr>
        <w:t xml:space="preserve"> ה</w:t>
      </w:r>
      <w:r w:rsidRPr="00C509CA">
        <w:rPr>
          <w:sz w:val="17"/>
          <w:szCs w:val="17"/>
          <w:rtl/>
        </w:rPr>
        <w:t>הפרשה ראשונית להפסדי אשראי שהוכרה בגין נכסים שנרכשו עם הרעת אשראי (</w:t>
      </w:r>
      <w:r w:rsidRPr="00C509CA">
        <w:rPr>
          <w:sz w:val="17"/>
          <w:szCs w:val="17"/>
        </w:rPr>
        <w:t>purchased financial assets with credit deterioration - PCD</w:t>
      </w:r>
      <w:r w:rsidRPr="00C509CA">
        <w:rPr>
          <w:sz w:val="17"/>
          <w:szCs w:val="17"/>
          <w:rtl/>
        </w:rPr>
        <w:t>).</w:t>
      </w:r>
    </w:p>
  </w:footnote>
  <w:footnote w:id="101">
    <w:p w14:paraId="5528DF63" w14:textId="77777777" w:rsidR="00A82C7F" w:rsidRPr="00DE037A" w:rsidRDefault="00A82C7F" w:rsidP="0004464B">
      <w:pPr>
        <w:pStyle w:val="a8"/>
        <w:rPr>
          <w:sz w:val="17"/>
          <w:szCs w:val="17"/>
          <w:rtl/>
        </w:rPr>
      </w:pPr>
      <w:r w:rsidRPr="00C509CA">
        <w:rPr>
          <w:sz w:val="17"/>
          <w:szCs w:val="17"/>
        </w:rPr>
        <w:footnoteRef/>
      </w:r>
      <w:r w:rsidRPr="00C509CA">
        <w:rPr>
          <w:sz w:val="17"/>
          <w:szCs w:val="17"/>
          <w:rtl/>
        </w:rPr>
        <w:t xml:space="preserve"> </w:t>
      </w:r>
      <w:r>
        <w:rPr>
          <w:sz w:val="17"/>
          <w:szCs w:val="17"/>
          <w:rtl/>
        </w:rPr>
        <w:tab/>
      </w:r>
      <w:r w:rsidRPr="00DE037A">
        <w:rPr>
          <w:rFonts w:hint="cs"/>
          <w:sz w:val="17"/>
          <w:szCs w:val="17"/>
          <w:rtl/>
        </w:rPr>
        <w:t xml:space="preserve">בהתאם לסעיף 326-20-45-3 בקודיפיקציה, </w:t>
      </w:r>
      <w:r w:rsidRPr="00DE037A">
        <w:rPr>
          <w:sz w:val="17"/>
          <w:szCs w:val="17"/>
          <w:rtl/>
        </w:rPr>
        <w:t>תאגיד ב</w:t>
      </w:r>
      <w:r w:rsidRPr="00DE037A">
        <w:rPr>
          <w:rFonts w:hint="cs"/>
          <w:sz w:val="17"/>
          <w:szCs w:val="17"/>
          <w:rtl/>
        </w:rPr>
        <w:t>נ</w:t>
      </w:r>
      <w:r w:rsidRPr="00DE037A">
        <w:rPr>
          <w:sz w:val="17"/>
          <w:szCs w:val="17"/>
          <w:rtl/>
        </w:rPr>
        <w:t>קאי המודד הפסדי אשראי צפויים לפי שיטת תזרים מזומ</w:t>
      </w:r>
      <w:r w:rsidRPr="00DE037A">
        <w:rPr>
          <w:rFonts w:hint="cs"/>
          <w:sz w:val="17"/>
          <w:szCs w:val="17"/>
          <w:rtl/>
        </w:rPr>
        <w:t>נ</w:t>
      </w:r>
      <w:r w:rsidRPr="00DE037A">
        <w:rPr>
          <w:sz w:val="17"/>
          <w:szCs w:val="17"/>
          <w:rtl/>
        </w:rPr>
        <w:t>ים מהוון</w:t>
      </w:r>
      <w:r w:rsidRPr="00DE037A">
        <w:rPr>
          <w:rFonts w:hint="cs"/>
          <w:sz w:val="17"/>
          <w:szCs w:val="17"/>
          <w:rtl/>
        </w:rPr>
        <w:t>,</w:t>
      </w:r>
      <w:r w:rsidRPr="00DE037A">
        <w:rPr>
          <w:sz w:val="17"/>
          <w:szCs w:val="17"/>
          <w:rtl/>
        </w:rPr>
        <w:t xml:space="preserve"> רשאי לדווח </w:t>
      </w:r>
      <w:r w:rsidRPr="00DE037A">
        <w:rPr>
          <w:rFonts w:hint="cs"/>
          <w:sz w:val="17"/>
          <w:szCs w:val="17"/>
          <w:rtl/>
        </w:rPr>
        <w:t>על</w:t>
      </w:r>
      <w:r w:rsidRPr="00DE037A">
        <w:rPr>
          <w:sz w:val="17"/>
          <w:szCs w:val="17"/>
          <w:rtl/>
        </w:rPr>
        <w:t xml:space="preserve"> השי</w:t>
      </w:r>
      <w:r w:rsidRPr="00DE037A">
        <w:rPr>
          <w:rFonts w:hint="cs"/>
          <w:sz w:val="17"/>
          <w:szCs w:val="17"/>
          <w:rtl/>
        </w:rPr>
        <w:t>נ</w:t>
      </w:r>
      <w:r w:rsidRPr="00DE037A">
        <w:rPr>
          <w:sz w:val="17"/>
          <w:szCs w:val="17"/>
          <w:rtl/>
        </w:rPr>
        <w:t>וי בהפרשה להפסדי אשראי ה</w:t>
      </w:r>
      <w:r w:rsidRPr="00DE037A">
        <w:rPr>
          <w:rFonts w:hint="cs"/>
          <w:sz w:val="17"/>
          <w:szCs w:val="17"/>
          <w:rtl/>
        </w:rPr>
        <w:t>נ</w:t>
      </w:r>
      <w:r w:rsidRPr="00DE037A">
        <w:rPr>
          <w:sz w:val="17"/>
          <w:szCs w:val="17"/>
          <w:rtl/>
        </w:rPr>
        <w:t>גרם משי</w:t>
      </w:r>
      <w:r w:rsidRPr="00DE037A">
        <w:rPr>
          <w:rFonts w:hint="cs"/>
          <w:sz w:val="17"/>
          <w:szCs w:val="17"/>
          <w:rtl/>
        </w:rPr>
        <w:t>נ</w:t>
      </w:r>
      <w:r w:rsidRPr="00DE037A">
        <w:rPr>
          <w:sz w:val="17"/>
          <w:szCs w:val="17"/>
          <w:rtl/>
        </w:rPr>
        <w:t xml:space="preserve">ויים בערך הזמן כעל הוצאות בגין הפסדי אשראי (או היפוך של הוצאות בגין הפסדי אשראי), אך רשאי גם לדווח </w:t>
      </w:r>
      <w:r w:rsidRPr="00DE037A">
        <w:rPr>
          <w:rFonts w:hint="cs"/>
          <w:sz w:val="17"/>
          <w:szCs w:val="17"/>
          <w:rtl/>
        </w:rPr>
        <w:t xml:space="preserve">על </w:t>
      </w:r>
      <w:r w:rsidRPr="00DE037A">
        <w:rPr>
          <w:sz w:val="17"/>
          <w:szCs w:val="17"/>
          <w:rtl/>
        </w:rPr>
        <w:t>השי</w:t>
      </w:r>
      <w:r w:rsidRPr="00DE037A">
        <w:rPr>
          <w:rFonts w:hint="cs"/>
          <w:sz w:val="17"/>
          <w:szCs w:val="17"/>
          <w:rtl/>
        </w:rPr>
        <w:t>נ</w:t>
      </w:r>
      <w:r w:rsidRPr="00DE037A">
        <w:rPr>
          <w:sz w:val="17"/>
          <w:szCs w:val="17"/>
          <w:rtl/>
        </w:rPr>
        <w:t xml:space="preserve">וי </w:t>
      </w:r>
      <w:r w:rsidRPr="00DE037A">
        <w:rPr>
          <w:rFonts w:hint="cs"/>
          <w:sz w:val="17"/>
          <w:szCs w:val="17"/>
          <w:rtl/>
        </w:rPr>
        <w:t xml:space="preserve">בערך הנוכחי המיוחס לחלוף הזמן כעל </w:t>
      </w:r>
      <w:r w:rsidRPr="00DE037A">
        <w:rPr>
          <w:sz w:val="17"/>
          <w:szCs w:val="17"/>
          <w:rtl/>
        </w:rPr>
        <w:t>הכ</w:t>
      </w:r>
      <w:r w:rsidRPr="00DE037A">
        <w:rPr>
          <w:rFonts w:hint="cs"/>
          <w:sz w:val="17"/>
          <w:szCs w:val="17"/>
          <w:rtl/>
        </w:rPr>
        <w:t>נ</w:t>
      </w:r>
      <w:r w:rsidRPr="00DE037A">
        <w:rPr>
          <w:sz w:val="17"/>
          <w:szCs w:val="17"/>
          <w:rtl/>
        </w:rPr>
        <w:t>סות ריבית</w:t>
      </w:r>
      <w:r w:rsidRPr="00DE037A">
        <w:rPr>
          <w:rFonts w:hint="cs"/>
          <w:sz w:val="17"/>
          <w:szCs w:val="17"/>
          <w:rtl/>
        </w:rPr>
        <w:t xml:space="preserve">. בהתאם לסעיף 326-20-50-12 בקודיפיקציה, </w:t>
      </w:r>
      <w:r w:rsidRPr="00DE037A">
        <w:rPr>
          <w:sz w:val="17"/>
          <w:szCs w:val="17"/>
          <w:rtl/>
        </w:rPr>
        <w:t>תאגיד ב</w:t>
      </w:r>
      <w:r w:rsidRPr="00DE037A">
        <w:rPr>
          <w:rFonts w:hint="cs"/>
          <w:sz w:val="17"/>
          <w:szCs w:val="17"/>
          <w:rtl/>
        </w:rPr>
        <w:t>נ</w:t>
      </w:r>
      <w:r w:rsidRPr="00DE037A">
        <w:rPr>
          <w:sz w:val="17"/>
          <w:szCs w:val="17"/>
          <w:rtl/>
        </w:rPr>
        <w:t xml:space="preserve">קאי </w:t>
      </w:r>
      <w:r w:rsidRPr="00DE037A">
        <w:rPr>
          <w:rFonts w:hint="cs"/>
          <w:sz w:val="17"/>
          <w:szCs w:val="17"/>
          <w:rtl/>
        </w:rPr>
        <w:t xml:space="preserve">שבחר בחלופה האחרונה, </w:t>
      </w:r>
      <w:r w:rsidRPr="00DE037A">
        <w:rPr>
          <w:sz w:val="17"/>
          <w:szCs w:val="17"/>
          <w:rtl/>
        </w:rPr>
        <w:t xml:space="preserve">ייתן גילוי לסכום </w:t>
      </w:r>
      <w:r w:rsidRPr="00DE037A">
        <w:rPr>
          <w:rFonts w:hint="cs"/>
          <w:sz w:val="17"/>
          <w:szCs w:val="17"/>
          <w:rtl/>
        </w:rPr>
        <w:t>שנרשם</w:t>
      </w:r>
      <w:r w:rsidRPr="00DE037A">
        <w:rPr>
          <w:sz w:val="17"/>
          <w:szCs w:val="17"/>
          <w:rtl/>
        </w:rPr>
        <w:t xml:space="preserve"> כהכ</w:t>
      </w:r>
      <w:r w:rsidRPr="00DE037A">
        <w:rPr>
          <w:rFonts w:hint="cs"/>
          <w:sz w:val="17"/>
          <w:szCs w:val="17"/>
          <w:rtl/>
        </w:rPr>
        <w:t>נ</w:t>
      </w:r>
      <w:r w:rsidRPr="00DE037A">
        <w:rPr>
          <w:sz w:val="17"/>
          <w:szCs w:val="17"/>
          <w:rtl/>
        </w:rPr>
        <w:t>סות ריבית</w:t>
      </w:r>
      <w:r w:rsidRPr="00DE037A">
        <w:rPr>
          <w:rFonts w:hint="cs"/>
          <w:sz w:val="17"/>
          <w:szCs w:val="17"/>
          <w:rtl/>
        </w:rPr>
        <w:t>.</w:t>
      </w:r>
    </w:p>
  </w:footnote>
  <w:footnote w:id="102">
    <w:p w14:paraId="26DE159A" w14:textId="77777777" w:rsidR="00C509CA" w:rsidRPr="00C509CA" w:rsidRDefault="00C509CA" w:rsidP="00C509CA">
      <w:pPr>
        <w:pStyle w:val="a8"/>
        <w:rPr>
          <w:sz w:val="17"/>
          <w:szCs w:val="17"/>
          <w:rtl/>
        </w:rPr>
      </w:pPr>
      <w:r w:rsidRPr="00C509CA">
        <w:rPr>
          <w:sz w:val="17"/>
          <w:szCs w:val="17"/>
        </w:rPr>
        <w:footnoteRef/>
      </w:r>
      <w:r w:rsidRPr="00C509CA">
        <w:rPr>
          <w:sz w:val="17"/>
          <w:szCs w:val="17"/>
          <w:rtl/>
        </w:rPr>
        <w:t xml:space="preserve"> </w:t>
      </w:r>
      <w:r w:rsidRPr="00C509CA">
        <w:rPr>
          <w:sz w:val="17"/>
          <w:szCs w:val="17"/>
          <w:rtl/>
        </w:rPr>
        <w:tab/>
        <w:t>כאשר רלוונטי, בהתאם לסעיף ,</w:t>
      </w:r>
      <w:r w:rsidRPr="00C509CA">
        <w:rPr>
          <w:rFonts w:hint="cs"/>
          <w:sz w:val="17"/>
          <w:szCs w:val="17"/>
          <w:rtl/>
        </w:rPr>
        <w:t>(</w:t>
      </w:r>
      <w:r w:rsidRPr="00C509CA">
        <w:rPr>
          <w:sz w:val="17"/>
          <w:szCs w:val="17"/>
        </w:rPr>
        <w:t>c</w:t>
      </w:r>
      <w:r w:rsidRPr="00C509CA">
        <w:rPr>
          <w:rFonts w:hint="cs"/>
          <w:sz w:val="17"/>
          <w:szCs w:val="17"/>
          <w:rtl/>
        </w:rPr>
        <w:t>)</w:t>
      </w:r>
      <w:r w:rsidRPr="00C509CA">
        <w:rPr>
          <w:sz w:val="17"/>
          <w:szCs w:val="17"/>
          <w:rtl/>
        </w:rPr>
        <w:t>326-20-50-13</w:t>
      </w:r>
      <w:r w:rsidRPr="00C509CA">
        <w:rPr>
          <w:rFonts w:hint="cs"/>
          <w:sz w:val="17"/>
          <w:szCs w:val="17"/>
          <w:rtl/>
        </w:rPr>
        <w:t xml:space="preserve"> ה</w:t>
      </w:r>
      <w:r w:rsidRPr="00C509CA">
        <w:rPr>
          <w:sz w:val="17"/>
          <w:szCs w:val="17"/>
          <w:rtl/>
        </w:rPr>
        <w:t>הפרשה ראשונית להפסדי אשראי שהוכרה בגין נכסים שנרכשו עם הרעת אשראי (</w:t>
      </w:r>
      <w:r w:rsidRPr="00C509CA">
        <w:rPr>
          <w:sz w:val="17"/>
          <w:szCs w:val="17"/>
        </w:rPr>
        <w:t>purchased financial assets with credit deterioration - PCD</w:t>
      </w:r>
      <w:r w:rsidRPr="00C509CA">
        <w:rPr>
          <w:sz w:val="17"/>
          <w:szCs w:val="17"/>
          <w:rtl/>
        </w:rPr>
        <w:t>).</w:t>
      </w:r>
    </w:p>
  </w:footnote>
  <w:footnote w:id="103">
    <w:p w14:paraId="27FA34AB" w14:textId="77777777" w:rsidR="00ED1AB8" w:rsidRPr="00167FDB" w:rsidRDefault="00ED1AB8" w:rsidP="00167FDB">
      <w:pPr>
        <w:pStyle w:val="a8"/>
        <w:spacing w:before="0"/>
        <w:ind w:left="215" w:hanging="215"/>
        <w:rPr>
          <w:rFonts w:ascii="David" w:hAnsi="David"/>
          <w:sz w:val="16"/>
          <w:szCs w:val="16"/>
        </w:rPr>
      </w:pPr>
      <w:r w:rsidRPr="00167FDB">
        <w:rPr>
          <w:rStyle w:val="a7"/>
          <w:rFonts w:ascii="David" w:hAnsi="David" w:cs="David"/>
          <w:sz w:val="16"/>
          <w:szCs w:val="16"/>
        </w:rPr>
        <w:footnoteRef/>
      </w:r>
      <w:r w:rsidRPr="00167FDB">
        <w:rPr>
          <w:rFonts w:ascii="David" w:hAnsi="David"/>
          <w:sz w:val="16"/>
          <w:szCs w:val="16"/>
          <w:rtl/>
        </w:rPr>
        <w:t xml:space="preserve"> </w:t>
      </w:r>
      <w:r w:rsidRPr="00167FDB">
        <w:rPr>
          <w:rFonts w:ascii="David" w:hAnsi="David"/>
          <w:sz w:val="16"/>
          <w:szCs w:val="16"/>
          <w:rtl/>
        </w:rPr>
        <w:tab/>
      </w:r>
      <w:r w:rsidRPr="00167FDB">
        <w:rPr>
          <w:rFonts w:ascii="David" w:hAnsi="David" w:hint="cs"/>
          <w:sz w:val="16"/>
          <w:szCs w:val="16"/>
          <w:rtl/>
        </w:rPr>
        <w:t xml:space="preserve">בהתאם לסעיף 30. 4.(א) להוראות הדיווח לציבור, </w:t>
      </w:r>
      <w:r w:rsidRPr="00167FDB">
        <w:rPr>
          <w:rFonts w:ascii="David" w:hAnsi="David"/>
          <w:sz w:val="16"/>
          <w:szCs w:val="16"/>
          <w:rtl/>
        </w:rPr>
        <w:t>חוב יסווג כחוב לא צובר כאשר קרן או ריבית בגינו מצויים בפיגור של 90</w:t>
      </w:r>
      <w:r w:rsidRPr="00167FDB">
        <w:rPr>
          <w:rFonts w:ascii="David" w:hAnsi="David" w:hint="cs"/>
          <w:sz w:val="16"/>
          <w:szCs w:val="16"/>
          <w:rtl/>
        </w:rPr>
        <w:t xml:space="preserve"> </w:t>
      </w:r>
      <w:r w:rsidRPr="00167FDB">
        <w:rPr>
          <w:rFonts w:ascii="David" w:hAnsi="David"/>
          <w:sz w:val="16"/>
          <w:szCs w:val="16"/>
          <w:rtl/>
        </w:rPr>
        <w:t>ימים או יותר, למעט אם הוא גם מובטח היטב וגם נמצא בהליכי גביה</w:t>
      </w:r>
      <w:r w:rsidRPr="00167FDB">
        <w:rPr>
          <w:rFonts w:ascii="David" w:hAnsi="David" w:hint="cs"/>
          <w:sz w:val="16"/>
          <w:szCs w:val="16"/>
          <w:rtl/>
        </w:rPr>
        <w:t>. בהתאם לסעיף 30. 4.(ד) להוראות הדיווח לציבור, לא נדרש לסווג חוב מהסוגים שבסעיף 29ד. 5</w:t>
      </w:r>
      <w:r w:rsidRPr="00167FDB">
        <w:rPr>
          <w:rFonts w:ascii="David" w:hAnsi="David"/>
          <w:sz w:val="16"/>
          <w:szCs w:val="16"/>
          <w:rtl/>
        </w:rPr>
        <w:t xml:space="preserve"> </w:t>
      </w:r>
      <w:r w:rsidRPr="00167FDB">
        <w:rPr>
          <w:rFonts w:ascii="David" w:hAnsi="David" w:hint="cs"/>
          <w:sz w:val="16"/>
          <w:szCs w:val="16"/>
          <w:rtl/>
        </w:rPr>
        <w:t>כחוב לא צובר גם אם קרן או ריבית בגינו מצויים בפיגור של 90 ימים או יותר.</w:t>
      </w:r>
    </w:p>
  </w:footnote>
  <w:footnote w:id="104">
    <w:p w14:paraId="50C2BEFA" w14:textId="77777777" w:rsidR="00503A8A" w:rsidRPr="00885FE2" w:rsidRDefault="00503A8A" w:rsidP="00503A8A">
      <w:pPr>
        <w:pStyle w:val="a8"/>
        <w:rPr>
          <w:szCs w:val="18"/>
          <w:rtl/>
        </w:rPr>
      </w:pPr>
      <w:r w:rsidRPr="00167FDB">
        <w:rPr>
          <w:rStyle w:val="a7"/>
          <w:rFonts w:ascii="David" w:hAnsi="David" w:cs="David"/>
          <w:sz w:val="16"/>
          <w:szCs w:val="16"/>
        </w:rPr>
        <w:footnoteRef/>
      </w:r>
      <w:r w:rsidRPr="00167FDB">
        <w:rPr>
          <w:rFonts w:ascii="David" w:hAnsi="David"/>
          <w:sz w:val="16"/>
          <w:szCs w:val="16"/>
          <w:rtl/>
        </w:rPr>
        <w:t xml:space="preserve"> </w:t>
      </w:r>
      <w:r w:rsidRPr="00167FDB">
        <w:rPr>
          <w:rFonts w:cs="Arial"/>
          <w:sz w:val="16"/>
          <w:szCs w:val="16"/>
          <w:rtl/>
        </w:rPr>
        <w:tab/>
      </w:r>
      <w:r w:rsidRPr="00167FDB">
        <w:rPr>
          <w:rFonts w:ascii="David" w:hAnsi="David"/>
          <w:sz w:val="16"/>
          <w:szCs w:val="16"/>
          <w:rtl/>
        </w:rPr>
        <w:t>בהתאם לסעיף 29ד. 5.(א) להוראות הדיווח לציבור:</w:t>
      </w:r>
      <w:r w:rsidRPr="00167FDB">
        <w:rPr>
          <w:rFonts w:ascii="David" w:hAnsi="David" w:hint="cs"/>
          <w:sz w:val="16"/>
          <w:szCs w:val="16"/>
          <w:rtl/>
        </w:rPr>
        <w:t xml:space="preserve"> אשראי מסחרי שיתרתו נמוכה מ-1 מיליון ₪ ואשראי לאנשים פרטיים,</w:t>
      </w:r>
      <w:r w:rsidRPr="00167FDB">
        <w:rPr>
          <w:rFonts w:ascii="David" w:hAnsi="David"/>
          <w:sz w:val="16"/>
          <w:szCs w:val="16"/>
          <w:rtl/>
        </w:rPr>
        <w:t xml:space="preserve"> מסווגים כחובות נחותים כאשר הם הופכים לחובות בפיגור של 90 ימים או יותר.</w:t>
      </w:r>
      <w:r w:rsidRPr="00885FE2">
        <w:rPr>
          <w:rFonts w:ascii="David" w:hAnsi="David"/>
          <w:szCs w:val="18"/>
          <w:rtl/>
        </w:rPr>
        <w:t xml:space="preserve"> </w:t>
      </w:r>
    </w:p>
  </w:footnote>
  <w:footnote w:id="105">
    <w:p w14:paraId="3F02E048" w14:textId="774F1D5E" w:rsidR="0017082A" w:rsidRDefault="0017082A" w:rsidP="0017082A">
      <w:pPr>
        <w:pStyle w:val="a8"/>
        <w:pBdr>
          <w:right w:val="single" w:sz="4" w:space="4" w:color="auto"/>
        </w:pBdr>
      </w:pPr>
      <w:r>
        <w:rPr>
          <w:rStyle w:val="a7"/>
        </w:rPr>
        <w:footnoteRef/>
      </w:r>
      <w:r>
        <w:rPr>
          <w:rtl/>
        </w:rPr>
        <w:t xml:space="preserve"> </w:t>
      </w:r>
      <w:r>
        <w:rPr>
          <w:rtl/>
        </w:rPr>
        <w:tab/>
      </w:r>
      <w:r>
        <w:rPr>
          <w:rFonts w:hint="cs"/>
          <w:rtl/>
        </w:rPr>
        <w:t xml:space="preserve">בהתאם </w:t>
      </w:r>
      <w:r w:rsidR="00A128EC">
        <w:rPr>
          <w:rFonts w:hint="cs"/>
          <w:rtl/>
        </w:rPr>
        <w:t xml:space="preserve">למתכונת הגילוי המעודכנת בעקבות יישום </w:t>
      </w:r>
      <w:r w:rsidR="00A128EC">
        <w:rPr>
          <w:rFonts w:hint="cs"/>
        </w:rPr>
        <w:t>AS</w:t>
      </w:r>
      <w:r w:rsidR="00A128EC">
        <w:t>U2022-02</w:t>
      </w:r>
      <w:r w:rsidR="00A128EC">
        <w:rPr>
          <w:rFonts w:hint="cs"/>
          <w:rtl/>
        </w:rPr>
        <w:t xml:space="preserve"> ב</w:t>
      </w:r>
      <w:r>
        <w:rPr>
          <w:rFonts w:hint="cs"/>
          <w:rtl/>
        </w:rPr>
        <w:t>נושא "שינויים בתנאי</w:t>
      </w:r>
      <w:r w:rsidR="00A128EC">
        <w:rPr>
          <w:rFonts w:hint="cs"/>
          <w:rtl/>
        </w:rPr>
        <w:t xml:space="preserve"> </w:t>
      </w:r>
      <w:r>
        <w:rPr>
          <w:rFonts w:hint="cs"/>
          <w:rtl/>
        </w:rPr>
        <w:t>חובות של לו</w:t>
      </w:r>
      <w:r w:rsidR="00B72A05">
        <w:rPr>
          <w:rFonts w:hint="cs"/>
          <w:rtl/>
        </w:rPr>
        <w:t>ו</w:t>
      </w:r>
      <w:r>
        <w:rPr>
          <w:rFonts w:hint="cs"/>
          <w:rtl/>
        </w:rPr>
        <w:t xml:space="preserve">ים בקשיים פיננסיים", </w:t>
      </w:r>
      <w:r w:rsidR="00A128EC">
        <w:rPr>
          <w:rFonts w:hint="cs"/>
          <w:rtl/>
        </w:rPr>
        <w:t>המיושם</w:t>
      </w:r>
      <w:r>
        <w:rPr>
          <w:rFonts w:hint="cs"/>
          <w:rtl/>
        </w:rPr>
        <w:t xml:space="preserve"> החל מיום 1.1.2024 ואילך.</w:t>
      </w:r>
    </w:p>
  </w:footnote>
  <w:footnote w:id="106">
    <w:p w14:paraId="747222F8" w14:textId="399274A4" w:rsidR="004307EA" w:rsidRDefault="004307EA" w:rsidP="004307EA">
      <w:pPr>
        <w:pStyle w:val="a8"/>
        <w:ind w:left="142" w:hanging="141"/>
      </w:pPr>
      <w:r>
        <w:rPr>
          <w:rStyle w:val="a7"/>
        </w:rPr>
        <w:footnoteRef/>
      </w:r>
      <w:r>
        <w:rPr>
          <w:rtl/>
        </w:rPr>
        <w:t xml:space="preserve"> </w:t>
      </w:r>
      <w:r>
        <w:rPr>
          <w:rFonts w:hint="cs"/>
          <w:rtl/>
        </w:rPr>
        <w:t xml:space="preserve">בהתאם להוראות המעבר ליישום </w:t>
      </w:r>
      <w:r>
        <w:rPr>
          <w:rFonts w:hint="cs"/>
        </w:rPr>
        <w:t>ASU</w:t>
      </w:r>
      <w:r>
        <w:t>2022-02</w:t>
      </w:r>
      <w:r>
        <w:rPr>
          <w:rFonts w:hint="cs"/>
          <w:rtl/>
        </w:rPr>
        <w:t xml:space="preserve">, המידע על פי מתכונת גילוי זה, אינו נדרש לגבי </w:t>
      </w:r>
      <w:r>
        <w:rPr>
          <w:rtl/>
        </w:rPr>
        <w:t>ארגונים מחדש</w:t>
      </w:r>
      <w:r>
        <w:rPr>
          <w:rFonts w:hint="cs"/>
          <w:rtl/>
        </w:rPr>
        <w:t xml:space="preserve"> </w:t>
      </w:r>
      <w:r>
        <w:rPr>
          <w:rtl/>
        </w:rPr>
        <w:t>של חובות בעייתיים שבוצעו עד ליום</w:t>
      </w:r>
      <w:r>
        <w:rPr>
          <w:rFonts w:hint="cs"/>
          <w:rtl/>
        </w:rPr>
        <w:t xml:space="preserve"> </w:t>
      </w:r>
      <w:r>
        <w:rPr>
          <w:rtl/>
        </w:rPr>
        <w:t>31.12.2023</w:t>
      </w:r>
      <w:r>
        <w:rPr>
          <w:rFonts w:hint="cs"/>
          <w:rtl/>
        </w:rPr>
        <w:t>, בהתייחס ל</w:t>
      </w:r>
      <w:r>
        <w:rPr>
          <w:rtl/>
        </w:rPr>
        <w:t xml:space="preserve">שינויים שבוצעו במהלך </w:t>
      </w:r>
      <w:r>
        <w:rPr>
          <w:rFonts w:hint="cs"/>
          <w:rtl/>
        </w:rPr>
        <w:t xml:space="preserve">התקופה </w:t>
      </w:r>
      <w:r>
        <w:rPr>
          <w:rtl/>
        </w:rPr>
        <w:t>בחובות של</w:t>
      </w:r>
      <w:r>
        <w:rPr>
          <w:rFonts w:hint="cs"/>
          <w:rtl/>
        </w:rPr>
        <w:t xml:space="preserve"> </w:t>
      </w:r>
      <w:r>
        <w:rPr>
          <w:rtl/>
        </w:rPr>
        <w:t>לווים בקשיים פיננסיים, הפירוט על ההשפעות הכספיות של שינויים אלה, והפירוט על סוגי השינויים</w:t>
      </w:r>
      <w:r>
        <w:rPr>
          <w:rFonts w:hint="cs"/>
          <w:rtl/>
        </w:rPr>
        <w:t xml:space="preserve"> </w:t>
      </w:r>
      <w:r>
        <w:rPr>
          <w:rtl/>
        </w:rPr>
        <w:t>של חובות שכשלו</w:t>
      </w:r>
      <w:r>
        <w:rPr>
          <w:rFonts w:hint="cs"/>
          <w:rtl/>
        </w:rPr>
        <w:t xml:space="preserve"> בתקופת הדיווח לאחר שעברו שינוי בתנאים.</w:t>
      </w:r>
    </w:p>
  </w:footnote>
  <w:footnote w:id="107">
    <w:p w14:paraId="6BD81B92" w14:textId="77777777" w:rsidR="00553945" w:rsidRDefault="00553945" w:rsidP="00CF2A74">
      <w:pPr>
        <w:pStyle w:val="a8"/>
        <w:spacing w:before="0"/>
        <w:ind w:left="215" w:hanging="215"/>
        <w:rPr>
          <w:rtl/>
        </w:rPr>
      </w:pPr>
      <w:r>
        <w:rPr>
          <w:rStyle w:val="a7"/>
        </w:rPr>
        <w:footnoteRef/>
      </w:r>
      <w:r>
        <w:rPr>
          <w:rtl/>
        </w:rPr>
        <w:t xml:space="preserve"> </w:t>
      </w:r>
      <w:r>
        <w:rPr>
          <w:rFonts w:hint="cs"/>
          <w:rtl/>
        </w:rPr>
        <w:tab/>
        <w:t>תאגיד בנקאי רשאי שלא לתת גילוי זה אם פעילותו בהלוואות לדיור אינה מהותית.</w:t>
      </w:r>
    </w:p>
  </w:footnote>
  <w:footnote w:id="108">
    <w:p w14:paraId="5372478B" w14:textId="21C570B5" w:rsidR="00553945" w:rsidRPr="003B3192" w:rsidRDefault="00553945" w:rsidP="00ED3D33">
      <w:pPr>
        <w:pStyle w:val="a8"/>
        <w:rPr>
          <w:szCs w:val="18"/>
          <w:rtl/>
        </w:rPr>
      </w:pPr>
      <w:r w:rsidRPr="003B3192">
        <w:rPr>
          <w:rStyle w:val="a7"/>
          <w:sz w:val="18"/>
          <w:szCs w:val="18"/>
        </w:rPr>
        <w:footnoteRef/>
      </w:r>
      <w:r w:rsidRPr="003B3192">
        <w:rPr>
          <w:szCs w:val="18"/>
          <w:rtl/>
        </w:rPr>
        <w:t xml:space="preserve"> </w:t>
      </w:r>
      <w:r w:rsidRPr="003B3192">
        <w:rPr>
          <w:szCs w:val="18"/>
          <w:rtl/>
        </w:rPr>
        <w:tab/>
      </w:r>
      <w:r w:rsidRPr="003B3192">
        <w:rPr>
          <w:rFonts w:hint="cs"/>
          <w:szCs w:val="18"/>
          <w:rtl/>
        </w:rPr>
        <w:t>בהתאם</w:t>
      </w:r>
      <w:r w:rsidRPr="003B3192">
        <w:rPr>
          <w:szCs w:val="18"/>
          <w:rtl/>
        </w:rPr>
        <w:t xml:space="preserve"> </w:t>
      </w:r>
      <w:r w:rsidRPr="003B3192">
        <w:rPr>
          <w:rFonts w:hint="cs"/>
          <w:szCs w:val="18"/>
          <w:rtl/>
        </w:rPr>
        <w:t>להוראות</w:t>
      </w:r>
      <w:r w:rsidRPr="003B3192">
        <w:rPr>
          <w:szCs w:val="18"/>
          <w:rtl/>
        </w:rPr>
        <w:t xml:space="preserve"> </w:t>
      </w:r>
      <w:r w:rsidRPr="003B3192">
        <w:rPr>
          <w:rFonts w:hint="cs"/>
          <w:szCs w:val="18"/>
          <w:rtl/>
        </w:rPr>
        <w:t>הדיווח</w:t>
      </w:r>
      <w:r w:rsidRPr="003B3192">
        <w:rPr>
          <w:szCs w:val="18"/>
          <w:rtl/>
        </w:rPr>
        <w:t xml:space="preserve"> </w:t>
      </w:r>
      <w:r w:rsidRPr="003B3192">
        <w:rPr>
          <w:rFonts w:hint="cs"/>
          <w:szCs w:val="18"/>
          <w:rtl/>
        </w:rPr>
        <w:t>לציבור</w:t>
      </w:r>
      <w:r w:rsidRPr="003B3192">
        <w:rPr>
          <w:szCs w:val="18"/>
          <w:rtl/>
        </w:rPr>
        <w:t xml:space="preserve"> </w:t>
      </w:r>
      <w:r w:rsidRPr="003B3192">
        <w:rPr>
          <w:rFonts w:hint="cs"/>
          <w:szCs w:val="18"/>
          <w:rtl/>
        </w:rPr>
        <w:t>סעיף</w:t>
      </w:r>
      <w:r w:rsidRPr="003B3192">
        <w:rPr>
          <w:szCs w:val="18"/>
          <w:rtl/>
        </w:rPr>
        <w:t xml:space="preserve"> 46(6א), </w:t>
      </w:r>
      <w:r w:rsidRPr="003B3192">
        <w:rPr>
          <w:rFonts w:hint="cs"/>
          <w:szCs w:val="18"/>
          <w:rtl/>
        </w:rPr>
        <w:t>מובהר כי נדרש גילוי לכל ההתחייבויות לעיל, אלא אם מתקיימים</w:t>
      </w:r>
      <w:r w:rsidRPr="003B3192">
        <w:rPr>
          <w:szCs w:val="18"/>
          <w:rtl/>
        </w:rPr>
        <w:t xml:space="preserve"> </w:t>
      </w:r>
      <w:r w:rsidRPr="003B3192">
        <w:rPr>
          <w:rFonts w:hint="cs"/>
          <w:szCs w:val="18"/>
          <w:rtl/>
        </w:rPr>
        <w:t>כל</w:t>
      </w:r>
      <w:r w:rsidRPr="003B3192">
        <w:rPr>
          <w:szCs w:val="18"/>
          <w:rtl/>
        </w:rPr>
        <w:t xml:space="preserve"> </w:t>
      </w:r>
      <w:r w:rsidRPr="003B3192">
        <w:rPr>
          <w:rFonts w:hint="cs"/>
          <w:szCs w:val="18"/>
          <w:rtl/>
        </w:rPr>
        <w:t>התנאים</w:t>
      </w:r>
      <w:r w:rsidRPr="003B3192">
        <w:rPr>
          <w:szCs w:val="18"/>
          <w:rtl/>
        </w:rPr>
        <w:t xml:space="preserve"> </w:t>
      </w:r>
      <w:r w:rsidRPr="003B3192">
        <w:rPr>
          <w:rFonts w:hint="cs"/>
          <w:szCs w:val="18"/>
          <w:rtl/>
        </w:rPr>
        <w:t>המפורטים</w:t>
      </w:r>
      <w:r w:rsidRPr="003B3192">
        <w:rPr>
          <w:szCs w:val="18"/>
          <w:rtl/>
        </w:rPr>
        <w:t xml:space="preserve"> </w:t>
      </w:r>
      <w:r w:rsidRPr="003B3192">
        <w:rPr>
          <w:rFonts w:hint="cs"/>
          <w:szCs w:val="18"/>
          <w:rtl/>
        </w:rPr>
        <w:t>להלן</w:t>
      </w:r>
      <w:r w:rsidRPr="003B3192">
        <w:rPr>
          <w:szCs w:val="18"/>
          <w:rtl/>
        </w:rPr>
        <w:t>:</w:t>
      </w:r>
      <w:r w:rsidR="00ED3D33" w:rsidRPr="003B3192">
        <w:rPr>
          <w:rFonts w:hint="cs"/>
          <w:szCs w:val="18"/>
          <w:rtl/>
        </w:rPr>
        <w:t xml:space="preserve"> </w:t>
      </w:r>
      <w:r w:rsidRPr="003B3192">
        <w:rPr>
          <w:szCs w:val="18"/>
          <w:rtl/>
        </w:rPr>
        <w:t>(1)</w:t>
      </w:r>
      <w:r w:rsidR="003B3192">
        <w:rPr>
          <w:rFonts w:hint="cs"/>
          <w:szCs w:val="18"/>
          <w:rtl/>
        </w:rPr>
        <w:t xml:space="preserve"> </w:t>
      </w:r>
      <w:r w:rsidRPr="003B3192">
        <w:rPr>
          <w:rFonts w:hint="cs"/>
          <w:szCs w:val="18"/>
          <w:rtl/>
        </w:rPr>
        <w:t>לתאגיד</w:t>
      </w:r>
      <w:r w:rsidRPr="003B3192">
        <w:rPr>
          <w:szCs w:val="18"/>
          <w:rtl/>
        </w:rPr>
        <w:t xml:space="preserve"> </w:t>
      </w:r>
      <w:r w:rsidRPr="003B3192">
        <w:rPr>
          <w:rFonts w:hint="cs"/>
          <w:szCs w:val="18"/>
          <w:rtl/>
        </w:rPr>
        <w:t>הבנקאי</w:t>
      </w:r>
      <w:r w:rsidRPr="003B3192">
        <w:rPr>
          <w:szCs w:val="18"/>
          <w:rtl/>
        </w:rPr>
        <w:t xml:space="preserve"> </w:t>
      </w:r>
      <w:r w:rsidRPr="003B3192">
        <w:rPr>
          <w:rFonts w:hint="cs"/>
          <w:szCs w:val="18"/>
          <w:rtl/>
        </w:rPr>
        <w:t>יש</w:t>
      </w:r>
      <w:r w:rsidRPr="003B3192">
        <w:rPr>
          <w:szCs w:val="18"/>
          <w:rtl/>
        </w:rPr>
        <w:t xml:space="preserve"> </w:t>
      </w:r>
      <w:r w:rsidRPr="003B3192">
        <w:rPr>
          <w:rFonts w:hint="cs"/>
          <w:szCs w:val="18"/>
          <w:rtl/>
        </w:rPr>
        <w:t>שיקול</w:t>
      </w:r>
      <w:r w:rsidRPr="003B3192">
        <w:rPr>
          <w:szCs w:val="18"/>
          <w:rtl/>
        </w:rPr>
        <w:t xml:space="preserve"> </w:t>
      </w:r>
      <w:r w:rsidRPr="003B3192">
        <w:rPr>
          <w:rFonts w:hint="cs"/>
          <w:szCs w:val="18"/>
          <w:rtl/>
        </w:rPr>
        <w:t>דעת</w:t>
      </w:r>
      <w:r w:rsidRPr="003B3192">
        <w:rPr>
          <w:szCs w:val="18"/>
          <w:rtl/>
        </w:rPr>
        <w:t xml:space="preserve"> </w:t>
      </w:r>
      <w:r w:rsidRPr="003B3192">
        <w:rPr>
          <w:rFonts w:hint="cs"/>
          <w:szCs w:val="18"/>
          <w:rtl/>
        </w:rPr>
        <w:t>מוחלט</w:t>
      </w:r>
      <w:r w:rsidRPr="003B3192">
        <w:rPr>
          <w:szCs w:val="18"/>
          <w:rtl/>
        </w:rPr>
        <w:t xml:space="preserve"> </w:t>
      </w:r>
      <w:r w:rsidRPr="003B3192">
        <w:rPr>
          <w:rFonts w:hint="cs"/>
          <w:szCs w:val="18"/>
          <w:rtl/>
        </w:rPr>
        <w:t>בהעמדת</w:t>
      </w:r>
      <w:r w:rsidRPr="003B3192">
        <w:rPr>
          <w:szCs w:val="18"/>
          <w:rtl/>
        </w:rPr>
        <w:t xml:space="preserve"> </w:t>
      </w:r>
      <w:r w:rsidRPr="003B3192">
        <w:rPr>
          <w:rFonts w:hint="cs"/>
          <w:szCs w:val="18"/>
          <w:rtl/>
        </w:rPr>
        <w:t>אשראי</w:t>
      </w:r>
      <w:r w:rsidRPr="003B3192">
        <w:rPr>
          <w:szCs w:val="18"/>
          <w:rtl/>
        </w:rPr>
        <w:t>/ערבות;</w:t>
      </w:r>
      <w:r w:rsidR="00ED3D33" w:rsidRPr="003B3192">
        <w:rPr>
          <w:rFonts w:hint="cs"/>
          <w:szCs w:val="18"/>
          <w:rtl/>
        </w:rPr>
        <w:t xml:space="preserve"> </w:t>
      </w:r>
      <w:r w:rsidRPr="003B3192">
        <w:rPr>
          <w:szCs w:val="18"/>
          <w:rtl/>
        </w:rPr>
        <w:t>(2)</w:t>
      </w:r>
      <w:r w:rsidR="00ED3D33" w:rsidRPr="003B3192">
        <w:rPr>
          <w:rFonts w:hint="cs"/>
          <w:szCs w:val="18"/>
          <w:rtl/>
        </w:rPr>
        <w:t xml:space="preserve"> </w:t>
      </w:r>
      <w:r w:rsidRPr="003B3192">
        <w:rPr>
          <w:rFonts w:hint="cs"/>
          <w:szCs w:val="18"/>
          <w:rtl/>
        </w:rPr>
        <w:t>לתאגיד</w:t>
      </w:r>
      <w:r w:rsidRPr="003B3192">
        <w:rPr>
          <w:szCs w:val="18"/>
          <w:rtl/>
        </w:rPr>
        <w:t xml:space="preserve"> </w:t>
      </w:r>
      <w:r w:rsidRPr="003B3192">
        <w:rPr>
          <w:rFonts w:hint="cs"/>
          <w:szCs w:val="18"/>
          <w:rtl/>
        </w:rPr>
        <w:t>הבנקאי</w:t>
      </w:r>
      <w:r w:rsidRPr="003B3192">
        <w:rPr>
          <w:szCs w:val="18"/>
          <w:rtl/>
        </w:rPr>
        <w:t xml:space="preserve"> </w:t>
      </w:r>
      <w:r w:rsidRPr="003B3192">
        <w:rPr>
          <w:rFonts w:hint="cs"/>
          <w:szCs w:val="18"/>
          <w:rtl/>
        </w:rPr>
        <w:t>אין</w:t>
      </w:r>
      <w:r w:rsidRPr="003B3192">
        <w:rPr>
          <w:szCs w:val="18"/>
          <w:rtl/>
        </w:rPr>
        <w:t xml:space="preserve"> </w:t>
      </w:r>
      <w:r w:rsidRPr="003B3192">
        <w:rPr>
          <w:rFonts w:hint="cs"/>
          <w:szCs w:val="18"/>
          <w:rtl/>
        </w:rPr>
        <w:t>חשיפה</w:t>
      </w:r>
      <w:r w:rsidRPr="003B3192">
        <w:rPr>
          <w:szCs w:val="18"/>
          <w:rtl/>
        </w:rPr>
        <w:t xml:space="preserve"> </w:t>
      </w:r>
      <w:r w:rsidRPr="003B3192">
        <w:rPr>
          <w:rFonts w:hint="cs"/>
          <w:szCs w:val="18"/>
          <w:rtl/>
        </w:rPr>
        <w:t>לתביעות</w:t>
      </w:r>
      <w:r w:rsidRPr="003B3192">
        <w:rPr>
          <w:szCs w:val="18"/>
          <w:rtl/>
        </w:rPr>
        <w:t xml:space="preserve"> </w:t>
      </w:r>
      <w:r w:rsidRPr="003B3192">
        <w:rPr>
          <w:rFonts w:hint="cs"/>
          <w:szCs w:val="18"/>
          <w:rtl/>
        </w:rPr>
        <w:t>משפטיות</w:t>
      </w:r>
      <w:r w:rsidRPr="003B3192">
        <w:rPr>
          <w:szCs w:val="18"/>
          <w:rtl/>
        </w:rPr>
        <w:t xml:space="preserve"> </w:t>
      </w:r>
      <w:r w:rsidRPr="003B3192">
        <w:rPr>
          <w:rFonts w:hint="cs"/>
          <w:szCs w:val="18"/>
          <w:rtl/>
        </w:rPr>
        <w:t>במידה</w:t>
      </w:r>
      <w:r w:rsidRPr="003B3192">
        <w:rPr>
          <w:szCs w:val="18"/>
          <w:rtl/>
        </w:rPr>
        <w:t xml:space="preserve"> </w:t>
      </w:r>
      <w:r w:rsidRPr="003B3192">
        <w:rPr>
          <w:rFonts w:hint="cs"/>
          <w:szCs w:val="18"/>
          <w:rtl/>
        </w:rPr>
        <w:t>וייסוג</w:t>
      </w:r>
      <w:r w:rsidRPr="003B3192">
        <w:rPr>
          <w:szCs w:val="18"/>
          <w:rtl/>
        </w:rPr>
        <w:t xml:space="preserve"> </w:t>
      </w:r>
      <w:r w:rsidRPr="003B3192">
        <w:rPr>
          <w:rFonts w:hint="cs"/>
          <w:szCs w:val="18"/>
          <w:rtl/>
        </w:rPr>
        <w:t>מההתקשרות</w:t>
      </w:r>
      <w:r w:rsidRPr="003B3192">
        <w:rPr>
          <w:szCs w:val="18"/>
          <w:rtl/>
        </w:rPr>
        <w:t>;</w:t>
      </w:r>
      <w:r w:rsidRPr="003B3192">
        <w:rPr>
          <w:rFonts w:hint="cs"/>
          <w:szCs w:val="18"/>
          <w:rtl/>
        </w:rPr>
        <w:t xml:space="preserve"> וכן</w:t>
      </w:r>
      <w:r w:rsidR="00ED3D33" w:rsidRPr="003B3192">
        <w:rPr>
          <w:rFonts w:hint="cs"/>
          <w:szCs w:val="18"/>
          <w:rtl/>
        </w:rPr>
        <w:t xml:space="preserve"> </w:t>
      </w:r>
      <w:r w:rsidRPr="003B3192">
        <w:rPr>
          <w:szCs w:val="18"/>
          <w:rtl/>
        </w:rPr>
        <w:t>(3)</w:t>
      </w:r>
      <w:r w:rsidRPr="003B3192">
        <w:rPr>
          <w:szCs w:val="18"/>
          <w:rtl/>
        </w:rPr>
        <w:tab/>
      </w:r>
      <w:r w:rsidRPr="003B3192">
        <w:rPr>
          <w:rFonts w:hint="cs"/>
          <w:szCs w:val="18"/>
          <w:rtl/>
        </w:rPr>
        <w:t>קיימת</w:t>
      </w:r>
      <w:r w:rsidRPr="003B3192">
        <w:rPr>
          <w:szCs w:val="18"/>
          <w:rtl/>
        </w:rPr>
        <w:t xml:space="preserve"> </w:t>
      </w:r>
      <w:r w:rsidRPr="003B3192">
        <w:rPr>
          <w:rFonts w:hint="cs"/>
          <w:szCs w:val="18"/>
          <w:rtl/>
        </w:rPr>
        <w:t>חוות</w:t>
      </w:r>
      <w:r w:rsidRPr="003B3192">
        <w:rPr>
          <w:szCs w:val="18"/>
          <w:rtl/>
        </w:rPr>
        <w:t xml:space="preserve"> </w:t>
      </w:r>
      <w:r w:rsidRPr="003B3192">
        <w:rPr>
          <w:rFonts w:hint="cs"/>
          <w:szCs w:val="18"/>
          <w:rtl/>
        </w:rPr>
        <w:t>דעת</w:t>
      </w:r>
      <w:r w:rsidRPr="003B3192">
        <w:rPr>
          <w:szCs w:val="18"/>
          <w:rtl/>
        </w:rPr>
        <w:t xml:space="preserve"> </w:t>
      </w:r>
      <w:r w:rsidRPr="003B3192">
        <w:rPr>
          <w:rFonts w:hint="cs"/>
          <w:szCs w:val="18"/>
          <w:rtl/>
        </w:rPr>
        <w:t>משפטית</w:t>
      </w:r>
      <w:r w:rsidRPr="003B3192">
        <w:rPr>
          <w:szCs w:val="18"/>
          <w:rtl/>
        </w:rPr>
        <w:t xml:space="preserve"> </w:t>
      </w:r>
      <w:r w:rsidRPr="003B3192">
        <w:rPr>
          <w:rFonts w:hint="cs"/>
          <w:szCs w:val="18"/>
          <w:rtl/>
        </w:rPr>
        <w:t>לקיום</w:t>
      </w:r>
      <w:r w:rsidRPr="003B3192">
        <w:rPr>
          <w:szCs w:val="18"/>
          <w:rtl/>
        </w:rPr>
        <w:t xml:space="preserve"> </w:t>
      </w:r>
      <w:r w:rsidRPr="003B3192">
        <w:rPr>
          <w:rFonts w:hint="cs"/>
          <w:szCs w:val="18"/>
          <w:rtl/>
        </w:rPr>
        <w:t>האמור</w:t>
      </w:r>
      <w:r w:rsidRPr="003B3192">
        <w:rPr>
          <w:szCs w:val="18"/>
          <w:rtl/>
        </w:rPr>
        <w:t xml:space="preserve"> </w:t>
      </w:r>
      <w:r w:rsidRPr="003B3192">
        <w:rPr>
          <w:rFonts w:hint="cs"/>
          <w:szCs w:val="18"/>
          <w:rtl/>
        </w:rPr>
        <w:t>לעיל</w:t>
      </w:r>
      <w:r w:rsidRPr="003B3192">
        <w:rPr>
          <w:szCs w:val="18"/>
          <w:rtl/>
        </w:rPr>
        <w:t xml:space="preserve">, </w:t>
      </w:r>
      <w:r w:rsidRPr="003B3192">
        <w:rPr>
          <w:rFonts w:hint="cs"/>
          <w:szCs w:val="18"/>
          <w:rtl/>
        </w:rPr>
        <w:t>לפחות</w:t>
      </w:r>
      <w:r w:rsidRPr="003B3192">
        <w:rPr>
          <w:szCs w:val="18"/>
          <w:rtl/>
        </w:rPr>
        <w:t xml:space="preserve"> </w:t>
      </w:r>
      <w:r w:rsidRPr="003B3192">
        <w:rPr>
          <w:rFonts w:hint="cs"/>
          <w:szCs w:val="18"/>
          <w:rtl/>
        </w:rPr>
        <w:t>בהתייחס</w:t>
      </w:r>
      <w:r w:rsidRPr="003B3192">
        <w:rPr>
          <w:szCs w:val="18"/>
          <w:rtl/>
        </w:rPr>
        <w:t xml:space="preserve"> </w:t>
      </w:r>
      <w:r w:rsidRPr="003B3192">
        <w:rPr>
          <w:rFonts w:hint="cs"/>
          <w:szCs w:val="18"/>
          <w:rtl/>
        </w:rPr>
        <w:t>לאבטיפוס</w:t>
      </w:r>
      <w:r w:rsidRPr="003B3192">
        <w:rPr>
          <w:szCs w:val="18"/>
          <w:rtl/>
        </w:rPr>
        <w:t xml:space="preserve"> </w:t>
      </w:r>
      <w:r w:rsidRPr="003B3192">
        <w:rPr>
          <w:rFonts w:hint="cs"/>
          <w:szCs w:val="18"/>
          <w:rtl/>
        </w:rPr>
        <w:t>של</w:t>
      </w:r>
      <w:r w:rsidRPr="003B3192">
        <w:rPr>
          <w:szCs w:val="18"/>
          <w:rtl/>
        </w:rPr>
        <w:t xml:space="preserve"> </w:t>
      </w:r>
      <w:r w:rsidRPr="003B3192">
        <w:rPr>
          <w:rFonts w:hint="cs"/>
          <w:szCs w:val="18"/>
          <w:rtl/>
        </w:rPr>
        <w:t>ההסכמים</w:t>
      </w:r>
      <w:r w:rsidRPr="003B3192">
        <w:rPr>
          <w:szCs w:val="18"/>
          <w:rtl/>
        </w:rPr>
        <w:t xml:space="preserve"> </w:t>
      </w:r>
      <w:r w:rsidRPr="003B3192">
        <w:rPr>
          <w:rFonts w:hint="cs"/>
          <w:szCs w:val="18"/>
          <w:rtl/>
        </w:rPr>
        <w:t>אשר</w:t>
      </w:r>
      <w:r w:rsidRPr="003B3192">
        <w:rPr>
          <w:szCs w:val="18"/>
          <w:rtl/>
        </w:rPr>
        <w:t xml:space="preserve"> </w:t>
      </w:r>
      <w:r w:rsidRPr="003B3192">
        <w:rPr>
          <w:rFonts w:hint="cs"/>
          <w:szCs w:val="18"/>
          <w:rtl/>
        </w:rPr>
        <w:t>יוצרים</w:t>
      </w:r>
      <w:r w:rsidRPr="003B3192">
        <w:rPr>
          <w:szCs w:val="18"/>
          <w:rtl/>
        </w:rPr>
        <w:t xml:space="preserve"> </w:t>
      </w:r>
      <w:r w:rsidRPr="003B3192">
        <w:rPr>
          <w:rFonts w:hint="cs"/>
          <w:szCs w:val="18"/>
          <w:rtl/>
        </w:rPr>
        <w:t>את</w:t>
      </w:r>
      <w:r w:rsidRPr="003B3192">
        <w:rPr>
          <w:szCs w:val="18"/>
          <w:rtl/>
        </w:rPr>
        <w:t xml:space="preserve"> </w:t>
      </w:r>
      <w:r w:rsidRPr="003B3192">
        <w:rPr>
          <w:rFonts w:hint="cs"/>
          <w:szCs w:val="18"/>
          <w:rtl/>
        </w:rPr>
        <w:t>ההתחייבויות</w:t>
      </w:r>
      <w:r w:rsidRPr="003B3192">
        <w:rPr>
          <w:szCs w:val="18"/>
          <w:rtl/>
        </w:rPr>
        <w:t xml:space="preserve"> </w:t>
      </w:r>
      <w:r w:rsidRPr="003B3192">
        <w:rPr>
          <w:rFonts w:hint="cs"/>
          <w:szCs w:val="18"/>
          <w:rtl/>
        </w:rPr>
        <w:t>האמורות</w:t>
      </w:r>
      <w:r w:rsidRPr="003B3192">
        <w:rPr>
          <w:szCs w:val="18"/>
          <w:rtl/>
        </w:rPr>
        <w:t>.</w:t>
      </w:r>
    </w:p>
  </w:footnote>
  <w:footnote w:id="109">
    <w:p w14:paraId="0CC2D94D" w14:textId="77777777" w:rsidR="00C72691" w:rsidRPr="003B3192" w:rsidRDefault="00C72691" w:rsidP="00C5687E">
      <w:pPr>
        <w:pStyle w:val="a8"/>
        <w:rPr>
          <w:szCs w:val="18"/>
        </w:rPr>
      </w:pPr>
      <w:r w:rsidRPr="003B3192">
        <w:rPr>
          <w:rStyle w:val="a7"/>
          <w:rFonts w:cs="David"/>
          <w:sz w:val="18"/>
          <w:szCs w:val="18"/>
        </w:rPr>
        <w:footnoteRef/>
      </w:r>
      <w:r w:rsidRPr="003B3192">
        <w:rPr>
          <w:szCs w:val="18"/>
          <w:rtl/>
        </w:rPr>
        <w:t xml:space="preserve"> </w:t>
      </w:r>
      <w:r w:rsidRPr="003B3192">
        <w:rPr>
          <w:szCs w:val="18"/>
          <w:rtl/>
        </w:rPr>
        <w:tab/>
      </w:r>
      <w:r w:rsidRPr="003B3192">
        <w:rPr>
          <w:rFonts w:hint="cs"/>
          <w:szCs w:val="18"/>
          <w:rtl/>
        </w:rPr>
        <w:t>בהתאם לסעיף (</w:t>
      </w:r>
      <w:r w:rsidRPr="003B3192">
        <w:rPr>
          <w:szCs w:val="18"/>
        </w:rPr>
        <w:t>d</w:t>
      </w:r>
      <w:r w:rsidRPr="003B3192">
        <w:rPr>
          <w:rFonts w:hint="cs"/>
          <w:szCs w:val="18"/>
          <w:rtl/>
        </w:rPr>
        <w:t>)460-10-50-4 בקודיפיקציה, נדרש לתת גילוי לגבי מהותם של הסדרי חזרה (</w:t>
      </w:r>
      <w:r w:rsidRPr="003B3192">
        <w:rPr>
          <w:szCs w:val="18"/>
        </w:rPr>
        <w:t>recourse provisions</w:t>
      </w:r>
      <w:r w:rsidRPr="003B3192">
        <w:rPr>
          <w:rFonts w:hint="cs"/>
          <w:szCs w:val="18"/>
          <w:rtl/>
        </w:rPr>
        <w:t xml:space="preserve">) אשר יאפשרו לערב לקבל החזרים </w:t>
      </w:r>
      <w:r w:rsidRPr="003B3192">
        <w:rPr>
          <w:szCs w:val="18"/>
          <w:rtl/>
        </w:rPr>
        <w:t xml:space="preserve">מצדדים שלישיים </w:t>
      </w:r>
      <w:r w:rsidRPr="003B3192">
        <w:rPr>
          <w:rFonts w:hint="cs"/>
          <w:szCs w:val="18"/>
          <w:rtl/>
        </w:rPr>
        <w:t xml:space="preserve">בגין </w:t>
      </w:r>
      <w:r w:rsidRPr="003B3192">
        <w:rPr>
          <w:szCs w:val="18"/>
          <w:rtl/>
        </w:rPr>
        <w:t>סכומים ששולמו במסגרת הערבות</w:t>
      </w:r>
      <w:r w:rsidRPr="003B3192">
        <w:rPr>
          <w:rFonts w:hint="cs"/>
          <w:szCs w:val="18"/>
          <w:rtl/>
        </w:rPr>
        <w:t>.</w:t>
      </w:r>
    </w:p>
  </w:footnote>
  <w:footnote w:id="110">
    <w:p w14:paraId="2A170EA1" w14:textId="77777777" w:rsidR="00C72691" w:rsidRPr="00F735CB" w:rsidRDefault="00C72691" w:rsidP="00C5687E">
      <w:pPr>
        <w:pStyle w:val="a8"/>
        <w:rPr>
          <w:sz w:val="20"/>
        </w:rPr>
      </w:pPr>
      <w:r w:rsidRPr="003B3192">
        <w:rPr>
          <w:rStyle w:val="a7"/>
          <w:rFonts w:cs="David"/>
          <w:sz w:val="18"/>
          <w:szCs w:val="18"/>
        </w:rPr>
        <w:footnoteRef/>
      </w:r>
      <w:r w:rsidRPr="003B3192">
        <w:rPr>
          <w:szCs w:val="18"/>
          <w:rtl/>
        </w:rPr>
        <w:t xml:space="preserve"> </w:t>
      </w:r>
      <w:r w:rsidRPr="003B3192">
        <w:rPr>
          <w:szCs w:val="18"/>
          <w:rtl/>
        </w:rPr>
        <w:tab/>
      </w:r>
      <w:r w:rsidRPr="003B3192">
        <w:rPr>
          <w:rFonts w:hint="cs"/>
          <w:szCs w:val="18"/>
          <w:rtl/>
        </w:rPr>
        <w:t>בהתאם לסעיף (</w:t>
      </w:r>
      <w:r w:rsidRPr="003B3192">
        <w:rPr>
          <w:szCs w:val="18"/>
        </w:rPr>
        <w:t>e</w:t>
      </w:r>
      <w:r w:rsidRPr="003B3192">
        <w:rPr>
          <w:rFonts w:hint="cs"/>
          <w:szCs w:val="18"/>
          <w:rtl/>
        </w:rPr>
        <w:t>)460-10-50-4 בקודיפיקציה, נדרש לתת גילוי ל</w:t>
      </w:r>
      <w:r w:rsidRPr="003B3192">
        <w:rPr>
          <w:szCs w:val="18"/>
          <w:rtl/>
        </w:rPr>
        <w:t>מהותם של נכסים המוחזקים כבטוחה או על ידי צדדים שלישיים, אשר בעת קרות אירוע או תנאי במסגרת הערבות, הערב יכול לקבל ולממש כדי להחזיר את כל או חלק מהסכומים ששולמו במסגרת הערבות</w:t>
      </w:r>
      <w:r w:rsidRPr="003B3192">
        <w:rPr>
          <w:rFonts w:hint="cs"/>
          <w:szCs w:val="18"/>
          <w:rtl/>
        </w:rPr>
        <w:t>.  בהתאם לסעיף (</w:t>
      </w:r>
      <w:r w:rsidRPr="003B3192">
        <w:rPr>
          <w:szCs w:val="18"/>
        </w:rPr>
        <w:t>f</w:t>
      </w:r>
      <w:r w:rsidRPr="003B3192">
        <w:rPr>
          <w:rFonts w:hint="cs"/>
          <w:szCs w:val="18"/>
          <w:rtl/>
        </w:rPr>
        <w:t xml:space="preserve">) 460-10-50-4 בקודיפיקציה, </w:t>
      </w:r>
      <w:r w:rsidRPr="003B3192">
        <w:rPr>
          <w:szCs w:val="18"/>
          <w:rtl/>
        </w:rPr>
        <w:t xml:space="preserve">אם ניתן לאמוד, </w:t>
      </w:r>
      <w:r w:rsidRPr="003B3192">
        <w:rPr>
          <w:rFonts w:hint="cs"/>
          <w:szCs w:val="18"/>
          <w:rtl/>
        </w:rPr>
        <w:t>יינתן גילו ל</w:t>
      </w:r>
      <w:r w:rsidRPr="003B3192">
        <w:rPr>
          <w:szCs w:val="18"/>
          <w:rtl/>
        </w:rPr>
        <w:t>היקף המשוער שבו תמורה ממימוש נכסים המוחזקים כבטוחה או על ידי צדדים שלישיים, צפויה לכסות את הסכום הפוטנציאלי המרבי של תשלומים עתידיים במסגרת הערבות.</w:t>
      </w:r>
    </w:p>
  </w:footnote>
  <w:footnote w:id="111">
    <w:p w14:paraId="587126F4" w14:textId="77777777" w:rsidR="00C72691" w:rsidRPr="00C72691" w:rsidRDefault="00C72691" w:rsidP="00C72691">
      <w:pPr>
        <w:pStyle w:val="a8"/>
        <w:rPr>
          <w:rFonts w:ascii="David" w:hAnsi="David"/>
          <w:szCs w:val="18"/>
          <w:rtl/>
        </w:rPr>
      </w:pPr>
      <w:r w:rsidRPr="00C72691">
        <w:rPr>
          <w:rStyle w:val="a7"/>
          <w:rFonts w:ascii="David" w:hAnsi="David" w:cs="David"/>
          <w:sz w:val="18"/>
          <w:szCs w:val="18"/>
        </w:rPr>
        <w:footnoteRef/>
      </w:r>
      <w:r w:rsidRPr="00C72691">
        <w:rPr>
          <w:rFonts w:ascii="David" w:hAnsi="David"/>
          <w:szCs w:val="18"/>
          <w:rtl/>
        </w:rPr>
        <w:t xml:space="preserve"> </w:t>
      </w:r>
      <w:r w:rsidRPr="00C72691">
        <w:rPr>
          <w:rFonts w:ascii="David" w:hAnsi="David"/>
          <w:szCs w:val="18"/>
          <w:rtl/>
        </w:rPr>
        <w:tab/>
        <w:t>בהתאם לסעיף (</w:t>
      </w:r>
      <w:r w:rsidRPr="00C72691">
        <w:rPr>
          <w:rFonts w:ascii="David" w:hAnsi="David"/>
          <w:szCs w:val="18"/>
        </w:rPr>
        <w:t>(b</w:t>
      </w:r>
      <w:r w:rsidRPr="00C72691">
        <w:rPr>
          <w:rFonts w:ascii="David" w:hAnsi="David"/>
          <w:szCs w:val="18"/>
          <w:rtl/>
        </w:rPr>
        <w:t>460-10-50-4</w:t>
      </w:r>
      <w:r w:rsidRPr="00C72691">
        <w:rPr>
          <w:rFonts w:ascii="David" w:hAnsi="David" w:hint="cs"/>
          <w:szCs w:val="18"/>
          <w:rtl/>
        </w:rPr>
        <w:t xml:space="preserve"> בקודיפיקציה:</w:t>
      </w:r>
      <w:r w:rsidRPr="00C72691">
        <w:rPr>
          <w:rFonts w:ascii="David" w:hAnsi="David"/>
          <w:szCs w:val="18"/>
          <w:rtl/>
        </w:rPr>
        <w:t xml:space="preserve"> </w:t>
      </w:r>
      <w:r w:rsidRPr="00C72691">
        <w:rPr>
          <w:rFonts w:ascii="David" w:hAnsi="David" w:hint="cs"/>
          <w:szCs w:val="18"/>
          <w:rtl/>
        </w:rPr>
        <w:t>ס.</w:t>
      </w:r>
      <w:r w:rsidRPr="00C72691">
        <w:rPr>
          <w:rFonts w:ascii="David" w:hAnsi="David"/>
          <w:szCs w:val="18"/>
          <w:rtl/>
        </w:rPr>
        <w:t xml:space="preserve">(2) אם תנאי הערבות אינם קובעים הגבלה לתשלומים העתידים הפוטנציאליים המקסימליים במסגרת הערבות, תצויין עובדה זו. </w:t>
      </w:r>
      <w:r w:rsidRPr="00C72691">
        <w:rPr>
          <w:rFonts w:ascii="David" w:hAnsi="David" w:hint="cs"/>
          <w:szCs w:val="18"/>
          <w:rtl/>
        </w:rPr>
        <w:t>ס.</w:t>
      </w:r>
      <w:r w:rsidRPr="00C72691">
        <w:rPr>
          <w:rFonts w:ascii="David" w:hAnsi="David"/>
          <w:szCs w:val="18"/>
          <w:rtl/>
        </w:rPr>
        <w:t>(3) אם הערב אינו מסוגל לפתח אומדן של הסכום הפוטנציאלי המרבי של תשלומים עתידיים על פי הערבות, יצויינו הסיבות לכך.</w:t>
      </w:r>
    </w:p>
  </w:footnote>
  <w:footnote w:id="112">
    <w:p w14:paraId="07F03975" w14:textId="77777777" w:rsidR="00C72691" w:rsidRPr="00F969C6" w:rsidRDefault="00C72691" w:rsidP="00C72691">
      <w:pPr>
        <w:pStyle w:val="a8"/>
        <w:rPr>
          <w:rFonts w:ascii="David" w:hAnsi="David"/>
          <w:sz w:val="20"/>
        </w:rPr>
      </w:pPr>
      <w:r w:rsidRPr="00C72691">
        <w:rPr>
          <w:rStyle w:val="a7"/>
          <w:sz w:val="18"/>
          <w:szCs w:val="18"/>
        </w:rPr>
        <w:footnoteRef/>
      </w:r>
      <w:r w:rsidRPr="00C72691">
        <w:rPr>
          <w:szCs w:val="18"/>
          <w:rtl/>
        </w:rPr>
        <w:t xml:space="preserve"> </w:t>
      </w:r>
      <w:r w:rsidRPr="00C72691">
        <w:rPr>
          <w:szCs w:val="18"/>
          <w:rtl/>
        </w:rPr>
        <w:tab/>
      </w:r>
      <w:r w:rsidRPr="00C72691">
        <w:rPr>
          <w:rFonts w:ascii="David" w:hAnsi="David"/>
          <w:szCs w:val="18"/>
          <w:rtl/>
        </w:rPr>
        <w:t xml:space="preserve">בהתאם לסעיף </w:t>
      </w:r>
      <w:r w:rsidRPr="00C72691">
        <w:rPr>
          <w:rFonts w:ascii="David" w:hAnsi="David"/>
          <w:szCs w:val="18"/>
        </w:rPr>
        <w:t>460-10-50-4(c)</w:t>
      </w:r>
      <w:r w:rsidRPr="00C72691">
        <w:rPr>
          <w:rFonts w:ascii="David" w:hAnsi="David"/>
          <w:szCs w:val="18"/>
          <w:rtl/>
        </w:rPr>
        <w:t xml:space="preserve"> בקודיפיקציה, יינתן גילוי לערך בספרים של ההתחייבויות בגין ערבויות שהתאגיד הבנקאי העניק </w:t>
      </w:r>
      <w:r w:rsidRPr="00C72691">
        <w:rPr>
          <w:rFonts w:ascii="David" w:hAnsi="David" w:hint="cs"/>
          <w:szCs w:val="18"/>
          <w:rtl/>
        </w:rPr>
        <w:t>(כולל סכומים שהוכרו</w:t>
      </w:r>
      <w:r w:rsidRPr="00C72691">
        <w:rPr>
          <w:rFonts w:ascii="David" w:hAnsi="David"/>
          <w:szCs w:val="18"/>
          <w:rtl/>
        </w:rPr>
        <w:t xml:space="preserve"> בהתאם </w:t>
      </w:r>
      <w:r w:rsidRPr="00C72691">
        <w:rPr>
          <w:rFonts w:ascii="David" w:hAnsi="David" w:hint="cs"/>
          <w:szCs w:val="18"/>
          <w:rtl/>
        </w:rPr>
        <w:t>לתת נושא</w:t>
      </w:r>
      <w:r w:rsidRPr="00C72691">
        <w:rPr>
          <w:rFonts w:ascii="David" w:hAnsi="David"/>
          <w:szCs w:val="18"/>
          <w:rtl/>
        </w:rPr>
        <w:t xml:space="preserve"> 450-20-30</w:t>
      </w:r>
      <w:r w:rsidRPr="00C72691">
        <w:rPr>
          <w:rFonts w:ascii="David" w:hAnsi="David" w:hint="cs"/>
          <w:szCs w:val="18"/>
          <w:rtl/>
        </w:rPr>
        <w:t xml:space="preserve">, או לתת נושא 326-20 </w:t>
      </w:r>
      <w:r w:rsidRPr="00C72691">
        <w:rPr>
          <w:rFonts w:ascii="David" w:hAnsi="David"/>
          <w:szCs w:val="18"/>
          <w:rtl/>
        </w:rPr>
        <w:t>לקודיפיקציה</w:t>
      </w:r>
      <w:r w:rsidRPr="00C72691">
        <w:rPr>
          <w:rFonts w:ascii="David" w:hAnsi="David" w:hint="cs"/>
          <w:szCs w:val="18"/>
          <w:rtl/>
        </w:rPr>
        <w:t>. לעניין זה ראה ביאור 12.ג. להלן)</w:t>
      </w:r>
      <w:r w:rsidRPr="00C72691">
        <w:rPr>
          <w:rFonts w:ascii="David" w:hAnsi="David"/>
          <w:szCs w:val="18"/>
          <w:rtl/>
        </w:rPr>
        <w:t>.</w:t>
      </w:r>
    </w:p>
  </w:footnote>
  <w:footnote w:id="113">
    <w:p w14:paraId="622F90C9" w14:textId="77777777" w:rsidR="00553945" w:rsidRPr="00AB4A6C" w:rsidRDefault="00553945" w:rsidP="004B7B7F">
      <w:pPr>
        <w:pStyle w:val="a8"/>
        <w:spacing w:before="0" w:line="228" w:lineRule="auto"/>
        <w:rPr>
          <w:rFonts w:ascii="David" w:hAnsi="David"/>
          <w:sz w:val="17"/>
          <w:szCs w:val="17"/>
          <w:rtl/>
        </w:rPr>
      </w:pPr>
      <w:r w:rsidRPr="00AB4A6C">
        <w:rPr>
          <w:rStyle w:val="a7"/>
          <w:rFonts w:ascii="David" w:hAnsi="David" w:cs="David"/>
          <w:sz w:val="17"/>
          <w:szCs w:val="17"/>
        </w:rPr>
        <w:footnoteRef/>
      </w:r>
      <w:r w:rsidRPr="00AB4A6C">
        <w:rPr>
          <w:rFonts w:ascii="David" w:hAnsi="David"/>
          <w:sz w:val="17"/>
          <w:szCs w:val="17"/>
          <w:rtl/>
        </w:rPr>
        <w:t xml:space="preserve"> </w:t>
      </w:r>
      <w:r w:rsidRPr="00AB4A6C">
        <w:rPr>
          <w:rFonts w:ascii="David" w:hAnsi="David"/>
          <w:sz w:val="17"/>
          <w:szCs w:val="17"/>
          <w:rtl/>
        </w:rPr>
        <w:tab/>
        <w:t>כאשר השינוי בכל אחד מהמגזרים לעומת נתוני ההשוואה אינו עולה על 5% (או קטן מ-5%-) מסך הנכסים או ההתחייבויות, בהתאמה, ניתן להציג בנתוני ההשוואה רק את הנתונים המתייחסים לסך הנכסים וההתחייבויות.</w:t>
      </w:r>
    </w:p>
  </w:footnote>
  <w:footnote w:id="114">
    <w:p w14:paraId="55D2616F" w14:textId="77777777" w:rsidR="00553945" w:rsidRPr="00AB4A6C" w:rsidRDefault="00553945" w:rsidP="004B7B7F">
      <w:pPr>
        <w:pStyle w:val="a8"/>
        <w:spacing w:before="0" w:line="228" w:lineRule="auto"/>
        <w:ind w:left="215" w:hanging="215"/>
        <w:rPr>
          <w:rFonts w:ascii="David" w:hAnsi="David"/>
          <w:sz w:val="17"/>
          <w:szCs w:val="17"/>
          <w:rtl/>
        </w:rPr>
      </w:pPr>
      <w:r w:rsidRPr="00AB4A6C">
        <w:rPr>
          <w:rStyle w:val="a7"/>
          <w:rFonts w:ascii="David" w:hAnsi="David" w:cs="David"/>
          <w:sz w:val="17"/>
          <w:szCs w:val="17"/>
        </w:rPr>
        <w:footnoteRef/>
      </w:r>
      <w:r w:rsidRPr="00AB4A6C">
        <w:rPr>
          <w:rFonts w:ascii="David" w:hAnsi="David"/>
          <w:sz w:val="17"/>
          <w:szCs w:val="17"/>
          <w:rtl/>
        </w:rPr>
        <w:t xml:space="preserve"> </w:t>
      </w:r>
      <w:r w:rsidRPr="00AB4A6C">
        <w:rPr>
          <w:rFonts w:ascii="David" w:hAnsi="David"/>
          <w:sz w:val="17"/>
          <w:szCs w:val="17"/>
          <w:rtl/>
        </w:rPr>
        <w:tab/>
        <w:t>בהתאם להוראות הדיווח לציבור סעיף 50(ב), מחיקות חשבונאיות והפרשות להפסדי אשראי ייוחסו לבסיסי הצמדה, במקום בו ניתן לעשות זאת. רק בהעדר נתונים ייקבע בסיס ההצמדה של מחיקות חשבונאיות ושל יתרת ההפרשה באופן יחסי, לפי משקל בסיסי ההצמדה של רכיבי החובות המתייחסים.</w:t>
      </w:r>
    </w:p>
  </w:footnote>
  <w:footnote w:id="115">
    <w:p w14:paraId="02F0C72E" w14:textId="77777777" w:rsidR="00553945" w:rsidRPr="00AB4A6C" w:rsidRDefault="00553945" w:rsidP="004B7B7F">
      <w:pPr>
        <w:pStyle w:val="a8"/>
        <w:spacing w:before="0" w:line="228" w:lineRule="auto"/>
        <w:rPr>
          <w:rFonts w:ascii="David" w:hAnsi="David"/>
          <w:sz w:val="17"/>
          <w:szCs w:val="17"/>
          <w:rtl/>
        </w:rPr>
      </w:pPr>
      <w:r w:rsidRPr="00AB4A6C">
        <w:rPr>
          <w:rStyle w:val="a7"/>
          <w:rFonts w:ascii="David" w:hAnsi="David" w:cs="David"/>
          <w:sz w:val="17"/>
          <w:szCs w:val="17"/>
        </w:rPr>
        <w:footnoteRef/>
      </w:r>
      <w:r w:rsidRPr="00AB4A6C">
        <w:rPr>
          <w:rFonts w:ascii="David" w:hAnsi="David"/>
          <w:sz w:val="17"/>
          <w:szCs w:val="17"/>
          <w:rtl/>
        </w:rPr>
        <w:t xml:space="preserve"> </w:t>
      </w:r>
      <w:r w:rsidRPr="00AB4A6C">
        <w:rPr>
          <w:rFonts w:ascii="David" w:hAnsi="David"/>
          <w:sz w:val="17"/>
          <w:szCs w:val="17"/>
          <w:rtl/>
        </w:rPr>
        <w:tab/>
        <w:t>בהתאם להוראות הדיווח לציבור סעיף 50(ג), כאשר הסדרים של ברירת הצמדה עשויים להשפיע על החשיפה המשתקפת במיון לפי בסיסי הצמדה, יובהרו ההסדרים והשפעתם בביאור תוך פירוט לגבי סכומים מהותיים. האמור אינו מתייחס להסדרים של ברירת הצמדה המהווים מכשיר נגזר משובץ אותו יש להפריד לפי הוראות חלק א'1 - מכשירים נגזרים ופעילויות גידור.</w:t>
      </w:r>
    </w:p>
  </w:footnote>
  <w:footnote w:id="116">
    <w:p w14:paraId="6A15D9BE" w14:textId="77777777" w:rsidR="00553945" w:rsidRPr="00AB4A6C" w:rsidRDefault="00553945" w:rsidP="004B7B7F">
      <w:pPr>
        <w:pStyle w:val="a8"/>
        <w:spacing w:before="0" w:line="228" w:lineRule="auto"/>
        <w:ind w:left="215" w:hanging="215"/>
        <w:rPr>
          <w:rFonts w:ascii="David" w:hAnsi="David"/>
          <w:sz w:val="17"/>
          <w:szCs w:val="17"/>
          <w:rtl/>
        </w:rPr>
      </w:pPr>
      <w:r w:rsidRPr="00AB4A6C">
        <w:rPr>
          <w:rStyle w:val="a7"/>
          <w:rFonts w:ascii="David" w:hAnsi="David" w:cs="David"/>
          <w:sz w:val="17"/>
          <w:szCs w:val="17"/>
        </w:rPr>
        <w:footnoteRef/>
      </w:r>
      <w:r w:rsidRPr="00AB4A6C">
        <w:rPr>
          <w:rFonts w:ascii="David" w:hAnsi="David"/>
          <w:sz w:val="17"/>
          <w:szCs w:val="17"/>
          <w:rtl/>
        </w:rPr>
        <w:t xml:space="preserve"> </w:t>
      </w:r>
      <w:r w:rsidRPr="00AB4A6C">
        <w:rPr>
          <w:rFonts w:ascii="David" w:hAnsi="David"/>
          <w:sz w:val="17"/>
          <w:szCs w:val="17"/>
          <w:rtl/>
        </w:rPr>
        <w:tab/>
        <w:t>בהתאם להוראות הדיווח לציבור סעיף 50(ו), נכסים והתחייבויות הצמודים לבסיסי הצמדה שונים ימויינו לפי החלק הצמוד לכל בסיס.</w:t>
      </w:r>
    </w:p>
  </w:footnote>
  <w:footnote w:id="117">
    <w:p w14:paraId="634F4A68" w14:textId="77777777" w:rsidR="00553945" w:rsidRPr="00AB4A6C" w:rsidRDefault="00553945" w:rsidP="00C604D2">
      <w:pPr>
        <w:pStyle w:val="a8"/>
        <w:spacing w:before="0" w:line="228" w:lineRule="auto"/>
        <w:ind w:left="215" w:hanging="215"/>
        <w:rPr>
          <w:rFonts w:ascii="David" w:hAnsi="David"/>
          <w:sz w:val="17"/>
          <w:szCs w:val="17"/>
          <w:rtl/>
        </w:rPr>
      </w:pPr>
      <w:r w:rsidRPr="00AB4A6C">
        <w:rPr>
          <w:rStyle w:val="a7"/>
          <w:rFonts w:ascii="David" w:hAnsi="David" w:cs="David"/>
          <w:sz w:val="17"/>
          <w:szCs w:val="17"/>
        </w:rPr>
        <w:footnoteRef/>
      </w:r>
      <w:r w:rsidRPr="00AB4A6C">
        <w:rPr>
          <w:rFonts w:ascii="David" w:hAnsi="David"/>
          <w:sz w:val="17"/>
          <w:szCs w:val="17"/>
          <w:rtl/>
        </w:rPr>
        <w:t xml:space="preserve"> </w:t>
      </w:r>
      <w:r w:rsidRPr="00AB4A6C">
        <w:rPr>
          <w:rFonts w:ascii="David" w:hAnsi="David"/>
          <w:sz w:val="17"/>
          <w:szCs w:val="17"/>
          <w:rtl/>
        </w:rPr>
        <w:tab/>
        <w:t>בהתאם להוראות הדיווח לציבור סעיף 50(א)(3), כאשר קיים מטבע עיקרי נוסף יש להציגו בנפרד. לעניין זה, "מטבע עיקרי" - מטבע שסך כל הנכסים או ההתחייבויות הנקובים בו או הצמודים אליו עולה על 5% מסך כל המאזן.</w:t>
      </w:r>
    </w:p>
  </w:footnote>
  <w:footnote w:id="118">
    <w:p w14:paraId="73E65657" w14:textId="77777777" w:rsidR="00553945" w:rsidRPr="00AB4A6C" w:rsidRDefault="00553945" w:rsidP="00C604D2">
      <w:pPr>
        <w:pStyle w:val="a8"/>
        <w:spacing w:before="0" w:line="228" w:lineRule="auto"/>
        <w:ind w:left="215" w:hanging="215"/>
        <w:rPr>
          <w:rFonts w:ascii="David" w:hAnsi="David"/>
          <w:sz w:val="17"/>
          <w:szCs w:val="17"/>
          <w:rtl/>
        </w:rPr>
      </w:pPr>
      <w:r w:rsidRPr="00AB4A6C">
        <w:rPr>
          <w:rStyle w:val="a7"/>
          <w:rFonts w:ascii="David" w:hAnsi="David" w:cs="David"/>
          <w:sz w:val="17"/>
          <w:szCs w:val="17"/>
        </w:rPr>
        <w:footnoteRef/>
      </w:r>
      <w:r w:rsidRPr="00AB4A6C">
        <w:rPr>
          <w:rFonts w:ascii="David" w:hAnsi="David"/>
          <w:sz w:val="17"/>
          <w:szCs w:val="17"/>
          <w:rtl/>
        </w:rPr>
        <w:t xml:space="preserve"> </w:t>
      </w:r>
      <w:r w:rsidRPr="00AB4A6C">
        <w:rPr>
          <w:rFonts w:ascii="David" w:hAnsi="David"/>
          <w:sz w:val="17"/>
          <w:szCs w:val="17"/>
          <w:rtl/>
        </w:rPr>
        <w:tab/>
        <w:t>בהתאם להוראות הדיווח לציבור סעיף 50(ז), מניות תיחשבנה לפריטים שאינם כספיים.</w:t>
      </w:r>
    </w:p>
  </w:footnote>
  <w:footnote w:id="119">
    <w:p w14:paraId="668B2A49" w14:textId="77777777" w:rsidR="00553945" w:rsidRPr="00AB4A6C" w:rsidRDefault="00553945" w:rsidP="00C604D2">
      <w:pPr>
        <w:pStyle w:val="a8"/>
        <w:spacing w:before="0" w:line="228" w:lineRule="auto"/>
        <w:ind w:left="215" w:hanging="215"/>
        <w:rPr>
          <w:rFonts w:ascii="David" w:hAnsi="David"/>
          <w:sz w:val="17"/>
          <w:szCs w:val="17"/>
          <w:rtl/>
        </w:rPr>
      </w:pPr>
      <w:r w:rsidRPr="00AB4A6C">
        <w:rPr>
          <w:rStyle w:val="a7"/>
          <w:rFonts w:ascii="David" w:hAnsi="David" w:cs="David"/>
          <w:sz w:val="17"/>
          <w:szCs w:val="17"/>
        </w:rPr>
        <w:footnoteRef/>
      </w:r>
      <w:r w:rsidRPr="00AB4A6C">
        <w:rPr>
          <w:rFonts w:ascii="David" w:hAnsi="David"/>
          <w:sz w:val="17"/>
          <w:szCs w:val="17"/>
          <w:rtl/>
        </w:rPr>
        <w:t xml:space="preserve"> </w:t>
      </w:r>
      <w:r w:rsidRPr="00AB4A6C">
        <w:rPr>
          <w:rFonts w:ascii="David" w:hAnsi="David"/>
          <w:sz w:val="17"/>
          <w:szCs w:val="17"/>
          <w:rtl/>
        </w:rPr>
        <w:tab/>
        <w:t>בהתאם להוראות הדיווח לציבור סעיף 50(ה), עודף המקדמות ששולמו למס הכנסה על העתודות השוטפות למס הכנסה, מסים נדחים לקבל/לשלם, עודף נכסי התכנית על ההתחייבות בגין הטבות לעובדים או עודף ההתחייבות בגין הטבות לעובדים על נכסי התכנית יוצגו בטור מטבע ישראלי לא צמוד, זאת אלא אם היתרה צמודה או אם קיימת הצמדה וריבית ואין אי וודאות לגבי החוב שלהן אזי היתרה תכלל בטור מטבע צמוד.</w:t>
      </w:r>
      <w:r w:rsidRPr="00AB4A6C">
        <w:rPr>
          <w:rFonts w:ascii="David" w:hAnsi="David"/>
          <w:sz w:val="17"/>
          <w:szCs w:val="17"/>
          <w:rtl/>
        </w:rPr>
        <w:tab/>
      </w:r>
    </w:p>
  </w:footnote>
  <w:footnote w:id="120">
    <w:p w14:paraId="03E214E8" w14:textId="77777777" w:rsidR="00553945" w:rsidRPr="00AB4A6C" w:rsidRDefault="00553945" w:rsidP="00C604D2">
      <w:pPr>
        <w:pStyle w:val="a8"/>
        <w:spacing w:before="0" w:line="228" w:lineRule="auto"/>
        <w:ind w:left="215" w:hanging="215"/>
        <w:rPr>
          <w:rFonts w:ascii="David" w:hAnsi="David"/>
          <w:sz w:val="17"/>
          <w:szCs w:val="17"/>
          <w:rtl/>
        </w:rPr>
      </w:pPr>
      <w:r w:rsidRPr="00AB4A6C">
        <w:rPr>
          <w:rStyle w:val="a7"/>
          <w:rFonts w:ascii="David" w:hAnsi="David" w:cs="David"/>
          <w:sz w:val="17"/>
          <w:szCs w:val="17"/>
        </w:rPr>
        <w:footnoteRef/>
      </w:r>
      <w:r w:rsidRPr="00AB4A6C">
        <w:rPr>
          <w:rFonts w:ascii="David" w:hAnsi="David"/>
          <w:sz w:val="17"/>
          <w:szCs w:val="17"/>
          <w:rtl/>
        </w:rPr>
        <w:tab/>
        <w:t>בהתאם להוראות הדיווח לציבור סעיף 50(ט)(1), לגבי מכשירים נגזרים המשפיעים על חשיפת הנכסים וההתחייבויות לסיכונים של שער חליפין של מטבע חוץ או של מדד המחירים לצרכן, יוצגו בביאור הסכומים החוץ מאזניים המתייחסים של המכשיר הנגזר.</w:t>
      </w:r>
    </w:p>
  </w:footnote>
  <w:footnote w:id="121">
    <w:p w14:paraId="1348A85B" w14:textId="77777777" w:rsidR="00553945" w:rsidRPr="00AB4A6C" w:rsidRDefault="00553945" w:rsidP="00C604D2">
      <w:pPr>
        <w:pStyle w:val="a8"/>
        <w:spacing w:before="0" w:line="228" w:lineRule="auto"/>
        <w:ind w:left="215" w:hanging="215"/>
        <w:rPr>
          <w:rFonts w:ascii="David" w:hAnsi="David"/>
          <w:sz w:val="17"/>
          <w:szCs w:val="17"/>
          <w:rtl/>
        </w:rPr>
      </w:pPr>
      <w:r w:rsidRPr="00AB4A6C">
        <w:rPr>
          <w:rStyle w:val="a7"/>
          <w:rFonts w:ascii="David" w:hAnsi="David" w:cs="David"/>
          <w:sz w:val="17"/>
          <w:szCs w:val="17"/>
        </w:rPr>
        <w:footnoteRef/>
      </w:r>
      <w:r w:rsidRPr="00AB4A6C">
        <w:rPr>
          <w:rFonts w:ascii="David" w:hAnsi="David"/>
          <w:sz w:val="17"/>
          <w:szCs w:val="17"/>
          <w:rtl/>
        </w:rPr>
        <w:tab/>
        <w:t>בהתאם להוראות הדיווח לציבור סעיף 50(ט)(5), כאשר הסילוק של מכשיר נגזר תלוי במספר בסיסים, והתאגיד הבנקאי סבור כי אין זה מעשי לשקף את השפעתו על חשיפת הנכסים וההתחייבויות לבסיסי ההצמדה, ניתן להציג סכומים בגין שני בסיסי ההצמדה הדומיננטיים ביותר של המכשיר הנגזר.</w:t>
      </w:r>
    </w:p>
  </w:footnote>
  <w:footnote w:id="122">
    <w:p w14:paraId="656F54A4" w14:textId="77777777" w:rsidR="00553945" w:rsidRDefault="00553945" w:rsidP="00C604D2">
      <w:pPr>
        <w:pStyle w:val="a8"/>
        <w:spacing w:before="0" w:line="228" w:lineRule="auto"/>
        <w:ind w:left="215" w:hanging="215"/>
        <w:rPr>
          <w:sz w:val="17"/>
          <w:szCs w:val="17"/>
          <w:rtl/>
        </w:rPr>
      </w:pPr>
      <w:r w:rsidRPr="00AB4A6C">
        <w:rPr>
          <w:rStyle w:val="a7"/>
          <w:rFonts w:ascii="David" w:hAnsi="David" w:cs="David"/>
          <w:sz w:val="17"/>
          <w:szCs w:val="17"/>
        </w:rPr>
        <w:footnoteRef/>
      </w:r>
      <w:r w:rsidRPr="00AB4A6C">
        <w:rPr>
          <w:rFonts w:ascii="David" w:hAnsi="David"/>
          <w:sz w:val="17"/>
          <w:szCs w:val="17"/>
          <w:rtl/>
        </w:rPr>
        <w:tab/>
        <w:t>בהתאם להוראות הדיווח לציבור סעיף 50(ט)(2), "במונחי נכס בסיס" - כפי שחושב לפי מודל מקובל להערכת אופציות (למשל מכפלת הדלתא של האופציה, המחושבת על פי מודל בלק אנד שולס, בערך הנקוב של נכס הבסיס).</w:t>
      </w:r>
    </w:p>
  </w:footnote>
  <w:footnote w:id="123">
    <w:p w14:paraId="7B0F1082" w14:textId="74381CDA" w:rsidR="00553945" w:rsidRDefault="00553945" w:rsidP="00EA3765">
      <w:pPr>
        <w:pStyle w:val="a8"/>
        <w:ind w:left="127" w:hanging="180"/>
        <w:rPr>
          <w:rtl/>
        </w:rPr>
      </w:pPr>
      <w:r>
        <w:rPr>
          <w:rStyle w:val="a7"/>
        </w:rPr>
        <w:footnoteRef/>
      </w:r>
      <w:r>
        <w:rPr>
          <w:rtl/>
        </w:rPr>
        <w:t xml:space="preserve"> </w:t>
      </w:r>
      <w:r>
        <w:rPr>
          <w:rFonts w:hint="cs"/>
          <w:rtl/>
        </w:rPr>
        <w:t xml:space="preserve"> </w:t>
      </w:r>
      <w:r w:rsidRPr="0001523C">
        <w:rPr>
          <w:rFonts w:ascii="David" w:hAnsi="David"/>
          <w:sz w:val="20"/>
          <w:rtl/>
        </w:rPr>
        <w:t>לצורכי גילוי, נדרש להשתמש במחיר יציאה (</w:t>
      </w:r>
      <w:r w:rsidRPr="0001523C">
        <w:rPr>
          <w:rFonts w:ascii="David" w:hAnsi="David"/>
          <w:sz w:val="20"/>
        </w:rPr>
        <w:t>exit price</w:t>
      </w:r>
      <w:r w:rsidRPr="0001523C">
        <w:rPr>
          <w:rFonts w:ascii="David" w:hAnsi="David"/>
          <w:sz w:val="20"/>
          <w:rtl/>
        </w:rPr>
        <w:t xml:space="preserve">), </w:t>
      </w:r>
      <w:r w:rsidRPr="0001523C">
        <w:rPr>
          <w:rFonts w:ascii="David" w:hAnsi="David" w:hint="eastAsia"/>
          <w:sz w:val="20"/>
          <w:rtl/>
        </w:rPr>
        <w:t>בכפוף</w:t>
      </w:r>
      <w:r w:rsidRPr="0001523C">
        <w:rPr>
          <w:rFonts w:ascii="David" w:hAnsi="David"/>
          <w:sz w:val="20"/>
          <w:rtl/>
        </w:rPr>
        <w:t xml:space="preserve"> </w:t>
      </w:r>
      <w:r w:rsidRPr="0001523C">
        <w:rPr>
          <w:rFonts w:ascii="David" w:hAnsi="David" w:hint="eastAsia"/>
          <w:sz w:val="20"/>
          <w:rtl/>
        </w:rPr>
        <w:t>לנושא</w:t>
      </w:r>
      <w:r w:rsidRPr="0001523C">
        <w:rPr>
          <w:rFonts w:ascii="David" w:hAnsi="David"/>
          <w:sz w:val="20"/>
          <w:rtl/>
        </w:rPr>
        <w:t xml:space="preserve"> 820 </w:t>
      </w:r>
      <w:r w:rsidRPr="0001523C">
        <w:rPr>
          <w:rFonts w:ascii="David" w:hAnsi="David" w:hint="eastAsia"/>
          <w:sz w:val="20"/>
          <w:rtl/>
        </w:rPr>
        <w:t>בקודיפיקציה</w:t>
      </w:r>
      <w:r w:rsidRPr="0001523C">
        <w:rPr>
          <w:rFonts w:ascii="David" w:hAnsi="David"/>
          <w:sz w:val="20"/>
          <w:rtl/>
        </w:rPr>
        <w:t xml:space="preserve">, </w:t>
      </w:r>
      <w:r w:rsidRPr="0001523C">
        <w:rPr>
          <w:rFonts w:ascii="David" w:hAnsi="David" w:hint="eastAsia"/>
          <w:sz w:val="20"/>
          <w:rtl/>
        </w:rPr>
        <w:t>כאשר</w:t>
      </w:r>
      <w:r w:rsidRPr="0001523C">
        <w:rPr>
          <w:rFonts w:ascii="David" w:hAnsi="David"/>
          <w:sz w:val="20"/>
          <w:rtl/>
        </w:rPr>
        <w:t xml:space="preserve"> </w:t>
      </w:r>
      <w:r w:rsidRPr="0001523C">
        <w:rPr>
          <w:rFonts w:ascii="David" w:hAnsi="David" w:hint="eastAsia"/>
          <w:sz w:val="20"/>
          <w:rtl/>
        </w:rPr>
        <w:t>מודדים</w:t>
      </w:r>
      <w:r w:rsidRPr="0001523C">
        <w:rPr>
          <w:rFonts w:ascii="David" w:hAnsi="David"/>
          <w:sz w:val="20"/>
          <w:rtl/>
        </w:rPr>
        <w:t xml:space="preserve"> </w:t>
      </w:r>
      <w:r w:rsidRPr="0001523C">
        <w:rPr>
          <w:rFonts w:ascii="David" w:hAnsi="David" w:hint="eastAsia"/>
          <w:sz w:val="20"/>
          <w:rtl/>
        </w:rPr>
        <w:t>את</w:t>
      </w:r>
      <w:r w:rsidRPr="0001523C">
        <w:rPr>
          <w:rFonts w:ascii="David" w:hAnsi="David"/>
          <w:sz w:val="20"/>
          <w:rtl/>
        </w:rPr>
        <w:t xml:space="preserve"> </w:t>
      </w:r>
      <w:r w:rsidRPr="0001523C">
        <w:rPr>
          <w:rFonts w:ascii="David" w:hAnsi="David" w:hint="eastAsia"/>
          <w:sz w:val="20"/>
          <w:rtl/>
        </w:rPr>
        <w:t>השווי</w:t>
      </w:r>
      <w:r w:rsidRPr="0001523C">
        <w:rPr>
          <w:rFonts w:ascii="David" w:hAnsi="David"/>
          <w:sz w:val="20"/>
          <w:rtl/>
        </w:rPr>
        <w:t xml:space="preserve"> </w:t>
      </w:r>
      <w:r w:rsidRPr="0001523C">
        <w:rPr>
          <w:rFonts w:ascii="David" w:hAnsi="David" w:hint="eastAsia"/>
          <w:sz w:val="20"/>
          <w:rtl/>
        </w:rPr>
        <w:t>ההוגן</w:t>
      </w:r>
      <w:r w:rsidRPr="0001523C">
        <w:rPr>
          <w:rFonts w:ascii="David" w:hAnsi="David"/>
          <w:sz w:val="20"/>
          <w:rtl/>
        </w:rPr>
        <w:t xml:space="preserve"> </w:t>
      </w:r>
      <w:r w:rsidRPr="0001523C">
        <w:rPr>
          <w:rFonts w:ascii="David" w:hAnsi="David" w:hint="eastAsia"/>
          <w:sz w:val="20"/>
          <w:rtl/>
        </w:rPr>
        <w:t>של</w:t>
      </w:r>
      <w:r w:rsidRPr="0001523C">
        <w:rPr>
          <w:rFonts w:ascii="David" w:hAnsi="David"/>
          <w:sz w:val="20"/>
          <w:rtl/>
        </w:rPr>
        <w:t xml:space="preserve"> </w:t>
      </w:r>
      <w:r w:rsidRPr="0001523C">
        <w:rPr>
          <w:rFonts w:ascii="David" w:hAnsi="David" w:hint="eastAsia"/>
          <w:sz w:val="20"/>
          <w:rtl/>
        </w:rPr>
        <w:t>מכשירים</w:t>
      </w:r>
      <w:r w:rsidRPr="0001523C">
        <w:rPr>
          <w:rFonts w:ascii="David" w:hAnsi="David"/>
          <w:sz w:val="20"/>
          <w:rtl/>
        </w:rPr>
        <w:t xml:space="preserve"> </w:t>
      </w:r>
      <w:r w:rsidRPr="0001523C">
        <w:rPr>
          <w:rFonts w:ascii="David" w:hAnsi="David" w:hint="eastAsia"/>
          <w:sz w:val="20"/>
          <w:rtl/>
        </w:rPr>
        <w:t>פיננסיים</w:t>
      </w:r>
      <w:r w:rsidRPr="0001523C">
        <w:rPr>
          <w:rFonts w:ascii="David" w:hAnsi="David"/>
          <w:sz w:val="20"/>
          <w:rtl/>
        </w:rPr>
        <w:t xml:space="preserve"> </w:t>
      </w:r>
      <w:r w:rsidRPr="0001523C">
        <w:rPr>
          <w:rFonts w:ascii="David" w:hAnsi="David" w:hint="eastAsia"/>
          <w:sz w:val="20"/>
          <w:rtl/>
        </w:rPr>
        <w:t>שנמדדו</w:t>
      </w:r>
      <w:r w:rsidRPr="0001523C">
        <w:rPr>
          <w:rFonts w:ascii="David" w:hAnsi="David"/>
          <w:sz w:val="20"/>
          <w:rtl/>
        </w:rPr>
        <w:t xml:space="preserve"> </w:t>
      </w:r>
      <w:r w:rsidRPr="0001523C">
        <w:rPr>
          <w:rFonts w:ascii="David" w:hAnsi="David" w:hint="eastAsia"/>
          <w:sz w:val="20"/>
          <w:rtl/>
        </w:rPr>
        <w:t>בעלות</w:t>
      </w:r>
      <w:r w:rsidRPr="0001523C">
        <w:rPr>
          <w:rFonts w:ascii="David" w:hAnsi="David"/>
          <w:sz w:val="20"/>
          <w:rtl/>
        </w:rPr>
        <w:t xml:space="preserve"> </w:t>
      </w:r>
      <w:r w:rsidRPr="0001523C">
        <w:rPr>
          <w:rFonts w:ascii="David" w:hAnsi="David" w:hint="eastAsia"/>
          <w:sz w:val="20"/>
          <w:rtl/>
        </w:rPr>
        <w:t>מופחתת</w:t>
      </w:r>
      <w:r w:rsidRPr="0001523C">
        <w:rPr>
          <w:rFonts w:ascii="David" w:hAnsi="David"/>
          <w:sz w:val="20"/>
          <w:rtl/>
        </w:rPr>
        <w:t xml:space="preserve"> </w:t>
      </w:r>
      <w:r w:rsidRPr="0001523C">
        <w:rPr>
          <w:rFonts w:ascii="David" w:hAnsi="David" w:hint="eastAsia"/>
          <w:sz w:val="20"/>
          <w:rtl/>
        </w:rPr>
        <w:t>במאזן</w:t>
      </w:r>
      <w:r w:rsidRPr="0001523C">
        <w:rPr>
          <w:rFonts w:ascii="David" w:hAnsi="David"/>
          <w:sz w:val="20"/>
          <w:rtl/>
        </w:rPr>
        <w:t>.</w:t>
      </w:r>
    </w:p>
  </w:footnote>
  <w:footnote w:id="124">
    <w:p w14:paraId="08CE3E32" w14:textId="4B9BF668" w:rsidR="00CE02F7" w:rsidRDefault="00CE02F7" w:rsidP="00CE02F7">
      <w:pPr>
        <w:pStyle w:val="a8"/>
        <w:ind w:left="127" w:hanging="180"/>
        <w:rPr>
          <w:rtl/>
        </w:rPr>
      </w:pPr>
      <w:r>
        <w:rPr>
          <w:rStyle w:val="a7"/>
        </w:rPr>
        <w:footnoteRef/>
      </w:r>
      <w:r>
        <w:rPr>
          <w:rtl/>
        </w:rPr>
        <w:t xml:space="preserve"> </w:t>
      </w:r>
      <w:r>
        <w:rPr>
          <w:rtl/>
        </w:rPr>
        <w:tab/>
      </w:r>
      <w:r w:rsidRPr="00E56BE2">
        <w:rPr>
          <w:rtl/>
        </w:rPr>
        <w:t>רמה 1 - מדידות שווי הוגן המשתמשות במחירים מצוטטים בשוק פעיל. רמה 2 – מדידות שווי הוגן המשתמשות בנתונים 1 נצפים משמעותיים אחרים. רמה 3 – מדידות שווי הוגן המשתמשות בנתונים לא נצפים משמעותיים.</w:t>
      </w:r>
    </w:p>
  </w:footnote>
  <w:footnote w:id="125">
    <w:p w14:paraId="76C6C195" w14:textId="13A32339" w:rsidR="00553945" w:rsidRPr="00182DB6" w:rsidRDefault="00553945" w:rsidP="009A667C">
      <w:pPr>
        <w:pStyle w:val="a8"/>
        <w:rPr>
          <w:szCs w:val="18"/>
        </w:rPr>
      </w:pPr>
      <w:r w:rsidRPr="00182DB6">
        <w:rPr>
          <w:rStyle w:val="a7"/>
          <w:sz w:val="18"/>
          <w:szCs w:val="18"/>
        </w:rPr>
        <w:footnoteRef/>
      </w:r>
      <w:r w:rsidRPr="00182DB6">
        <w:rPr>
          <w:szCs w:val="18"/>
          <w:rtl/>
        </w:rPr>
        <w:t xml:space="preserve"> </w:t>
      </w:r>
      <w:r w:rsidRPr="00182DB6">
        <w:rPr>
          <w:szCs w:val="18"/>
          <w:rtl/>
        </w:rPr>
        <w:tab/>
      </w:r>
      <w:r w:rsidRPr="00182DB6">
        <w:rPr>
          <w:rFonts w:hint="cs"/>
          <w:szCs w:val="18"/>
          <w:rtl/>
        </w:rPr>
        <w:t xml:space="preserve">בהתאם להוראות הדיווח לציבור סעיף 19(ו)(1),(1א), </w:t>
      </w:r>
      <w:r w:rsidR="009A667C" w:rsidRPr="00182DB6">
        <w:rPr>
          <w:rFonts w:hint="cs"/>
          <w:szCs w:val="18"/>
          <w:rtl/>
        </w:rPr>
        <w:t>הגילוי יכלול מידע לגבי</w:t>
      </w:r>
      <w:r w:rsidRPr="00182DB6">
        <w:rPr>
          <w:szCs w:val="18"/>
          <w:rtl/>
        </w:rPr>
        <w:t>: א. טכניקות הערכת השווי והנתונים המשמשים לפיתוח מדידות אלה, לרבות שיקול הדעת והנחות ששימשו. ב. אי הוודאות במדידות השווי ההוגן במועד הדיווח. ג. כיצד שינויים במדידות השווי ההוגן משפיעים על הביצועים של התאגיד הבנקאי ועל תזרימי המזומנים.</w:t>
      </w:r>
    </w:p>
  </w:footnote>
  <w:footnote w:id="126">
    <w:p w14:paraId="41FD6EB5" w14:textId="5C20CE39" w:rsidR="00553945" w:rsidRDefault="00553945" w:rsidP="0096425F">
      <w:pPr>
        <w:pStyle w:val="a8"/>
      </w:pPr>
      <w:r w:rsidRPr="00182DB6">
        <w:rPr>
          <w:rStyle w:val="a7"/>
          <w:sz w:val="18"/>
          <w:szCs w:val="18"/>
        </w:rPr>
        <w:footnoteRef/>
      </w:r>
      <w:r w:rsidRPr="00182DB6">
        <w:rPr>
          <w:szCs w:val="18"/>
          <w:rtl/>
        </w:rPr>
        <w:t xml:space="preserve"> </w:t>
      </w:r>
      <w:r w:rsidRPr="00182DB6">
        <w:rPr>
          <w:rFonts w:hint="cs"/>
          <w:szCs w:val="18"/>
          <w:rtl/>
        </w:rPr>
        <w:tab/>
        <w:t xml:space="preserve">בביאור זה יש לכלול הסברים והבהרות הדרושים להבנת הערכות השווי ההוגן של המכשירים הפיננסיים שנעשו על ידי התאגיד הבנקאי, לרבות תיאור המודל ששימש במדידת השווי ההוגן ומגבלותיו, וכן ההנחות והפרמטרים שאומצו במהלך הערכת השווי ההוגן. התאגיד הבנקאי </w:t>
      </w:r>
      <w:r w:rsidR="00182DB6" w:rsidRPr="00182DB6">
        <w:rPr>
          <w:rFonts w:hint="cs"/>
          <w:szCs w:val="18"/>
          <w:rtl/>
        </w:rPr>
        <w:t>י</w:t>
      </w:r>
      <w:r w:rsidRPr="00182DB6">
        <w:rPr>
          <w:rFonts w:hint="cs"/>
          <w:szCs w:val="18"/>
          <w:rtl/>
        </w:rPr>
        <w:t>תאים את הגילוי בהתאם לנסיבות הרלוונטיות אליו.</w:t>
      </w:r>
      <w:r>
        <w:rPr>
          <w:rFonts w:hint="cs"/>
          <w:rtl/>
        </w:rPr>
        <w:t xml:space="preserve"> </w:t>
      </w:r>
    </w:p>
  </w:footnote>
  <w:footnote w:id="127">
    <w:p w14:paraId="77211236" w14:textId="17BE268E" w:rsidR="00683FB8" w:rsidRPr="00AE5815" w:rsidRDefault="00683FB8">
      <w:pPr>
        <w:pStyle w:val="a8"/>
        <w:rPr>
          <w:sz w:val="17"/>
          <w:szCs w:val="17"/>
          <w:rtl/>
        </w:rPr>
      </w:pPr>
      <w:r>
        <w:rPr>
          <w:rStyle w:val="a7"/>
        </w:rPr>
        <w:footnoteRef/>
      </w:r>
      <w:r>
        <w:rPr>
          <w:rtl/>
        </w:rPr>
        <w:t xml:space="preserve"> </w:t>
      </w:r>
      <w:r w:rsidRPr="00AE5815">
        <w:rPr>
          <w:sz w:val="17"/>
          <w:szCs w:val="17"/>
          <w:rtl/>
        </w:rPr>
        <w:tab/>
        <w:t>ינתן פירוט נוסף לפי סוגי ניירות הערך שניתן להם גילוי נפרד בביאור ניירות ערך, אם מהותי.</w:t>
      </w:r>
    </w:p>
  </w:footnote>
  <w:footnote w:id="128">
    <w:p w14:paraId="406602A5" w14:textId="5A646736" w:rsidR="00683FB8" w:rsidRPr="00AE5815" w:rsidRDefault="00683FB8" w:rsidP="00683FB8">
      <w:pPr>
        <w:pStyle w:val="a8"/>
        <w:rPr>
          <w:sz w:val="17"/>
          <w:szCs w:val="17"/>
          <w:rtl/>
        </w:rPr>
      </w:pPr>
      <w:r w:rsidRPr="00AE5815">
        <w:rPr>
          <w:rStyle w:val="a7"/>
          <w:sz w:val="17"/>
          <w:szCs w:val="17"/>
        </w:rPr>
        <w:footnoteRef/>
      </w:r>
      <w:r w:rsidRPr="00AE5815">
        <w:rPr>
          <w:sz w:val="17"/>
          <w:szCs w:val="17"/>
          <w:rtl/>
        </w:rPr>
        <w:t xml:space="preserve"> </w:t>
      </w:r>
      <w:r w:rsidRPr="00AE5815">
        <w:rPr>
          <w:sz w:val="17"/>
          <w:szCs w:val="17"/>
          <w:rtl/>
        </w:rPr>
        <w:tab/>
        <w:t>ינתן פירוט נוסף לחוזי שקל – מדד, חוזי ריבית אחרים, חוזי מטבע חוץ, חוזים בגין מניות, נגזרי אשראי וחוזי סחורות ואחרים, אם מהותי.</w:t>
      </w:r>
    </w:p>
  </w:footnote>
  <w:footnote w:id="129">
    <w:p w14:paraId="43DFF1B8" w14:textId="77777777" w:rsidR="00FC6A6C" w:rsidRPr="00AE5815" w:rsidRDefault="00FC6A6C">
      <w:pPr>
        <w:pStyle w:val="a8"/>
        <w:rPr>
          <w:sz w:val="17"/>
          <w:szCs w:val="17"/>
          <w:rtl/>
        </w:rPr>
      </w:pPr>
      <w:r>
        <w:rPr>
          <w:rStyle w:val="a7"/>
        </w:rPr>
        <w:footnoteRef/>
      </w:r>
      <w:r>
        <w:rPr>
          <w:rtl/>
        </w:rPr>
        <w:t xml:space="preserve"> </w:t>
      </w:r>
      <w:r w:rsidRPr="00AE5815">
        <w:rPr>
          <w:sz w:val="17"/>
          <w:szCs w:val="17"/>
          <w:rtl/>
        </w:rPr>
        <w:tab/>
        <w:t>ינתן פירוט נוסף לפי סוגי ניירות הערך שניתן להם גילוי נפרד בביאור ניירות ערך, אם מהותי.</w:t>
      </w:r>
    </w:p>
  </w:footnote>
  <w:footnote w:id="130">
    <w:p w14:paraId="7963B903" w14:textId="2B66A64B" w:rsidR="00FC6A6C" w:rsidRPr="00AE5815" w:rsidRDefault="00FC6A6C" w:rsidP="00FC6A6C">
      <w:pPr>
        <w:pStyle w:val="a8"/>
        <w:rPr>
          <w:sz w:val="17"/>
          <w:szCs w:val="17"/>
          <w:rtl/>
        </w:rPr>
      </w:pPr>
      <w:r w:rsidRPr="00AE5815">
        <w:rPr>
          <w:rStyle w:val="a7"/>
          <w:sz w:val="17"/>
          <w:szCs w:val="17"/>
        </w:rPr>
        <w:footnoteRef/>
      </w:r>
      <w:r w:rsidRPr="00AE5815">
        <w:rPr>
          <w:sz w:val="17"/>
          <w:szCs w:val="17"/>
          <w:rtl/>
        </w:rPr>
        <w:t xml:space="preserve"> </w:t>
      </w:r>
      <w:r w:rsidRPr="00AE5815">
        <w:rPr>
          <w:sz w:val="17"/>
          <w:szCs w:val="17"/>
          <w:rtl/>
        </w:rPr>
        <w:tab/>
        <w:t>ינתן פירוט נוסף לחוזי שקל – מדד, חוזי ריבית אחרים, חוזי מטבע חוץ, חוזים בגין מניות, נגזרי אשראי וחוזי סחורות ואחרים, אם מהותי.</w:t>
      </w:r>
      <w:r>
        <w:rPr>
          <w:rFonts w:hint="cs"/>
          <w:sz w:val="17"/>
          <w:szCs w:val="17"/>
          <w:rtl/>
        </w:rPr>
        <w:t xml:space="preserve"> </w:t>
      </w:r>
      <w:r w:rsidRPr="00FC6A6C">
        <w:rPr>
          <w:sz w:val="17"/>
          <w:szCs w:val="17"/>
          <w:rtl/>
        </w:rPr>
        <w:t>כמו כן, ניתן להציג את השינויים שנכללו ברמה 3 של מכשירים נגזרים גם על בסיס נט</w:t>
      </w:r>
      <w:r>
        <w:rPr>
          <w:rFonts w:hint="cs"/>
          <w:sz w:val="17"/>
          <w:szCs w:val="17"/>
          <w:rtl/>
        </w:rPr>
        <w:t>ו.</w:t>
      </w:r>
    </w:p>
  </w:footnote>
  <w:footnote w:id="131">
    <w:p w14:paraId="185B3686" w14:textId="77777777" w:rsidR="004F59A7" w:rsidRPr="00AE5815" w:rsidRDefault="004F59A7" w:rsidP="004F59A7">
      <w:pPr>
        <w:pStyle w:val="a8"/>
        <w:rPr>
          <w:sz w:val="17"/>
          <w:szCs w:val="17"/>
          <w:rtl/>
        </w:rPr>
      </w:pPr>
      <w:r>
        <w:rPr>
          <w:rStyle w:val="a7"/>
        </w:rPr>
        <w:footnoteRef/>
      </w:r>
      <w:r>
        <w:rPr>
          <w:rtl/>
        </w:rPr>
        <w:t xml:space="preserve"> </w:t>
      </w:r>
      <w:r w:rsidRPr="00AE5815">
        <w:rPr>
          <w:sz w:val="17"/>
          <w:szCs w:val="17"/>
          <w:rtl/>
        </w:rPr>
        <w:tab/>
        <w:t>ינתן פירוט נוסף לפי סוגי ניירות הערך שניתן להם גילוי נפרד בביאור ניירות ערך, אם מהותי.</w:t>
      </w:r>
    </w:p>
  </w:footnote>
  <w:footnote w:id="132">
    <w:p w14:paraId="7E47754A" w14:textId="77777777" w:rsidR="004F59A7" w:rsidRPr="00AE5815" w:rsidRDefault="004F59A7" w:rsidP="004F59A7">
      <w:pPr>
        <w:pStyle w:val="a8"/>
        <w:rPr>
          <w:sz w:val="17"/>
          <w:szCs w:val="17"/>
          <w:rtl/>
        </w:rPr>
      </w:pPr>
      <w:r w:rsidRPr="00AE5815">
        <w:rPr>
          <w:rStyle w:val="a7"/>
          <w:sz w:val="17"/>
          <w:szCs w:val="17"/>
        </w:rPr>
        <w:footnoteRef/>
      </w:r>
      <w:r w:rsidRPr="00AE5815">
        <w:rPr>
          <w:sz w:val="17"/>
          <w:szCs w:val="17"/>
          <w:rtl/>
        </w:rPr>
        <w:t xml:space="preserve"> </w:t>
      </w:r>
      <w:r w:rsidRPr="00AE5815">
        <w:rPr>
          <w:sz w:val="17"/>
          <w:szCs w:val="17"/>
          <w:rtl/>
        </w:rPr>
        <w:tab/>
        <w:t>ינתן פירוט נוסף לחוזי שקל – מדד, חוזי ריבית אחרים, חוזי מטבע חוץ, חוזים בגין מניות, נגזרי אשראי וחוזי סחורות ואחרים, אם מהותי.</w:t>
      </w:r>
      <w:r>
        <w:rPr>
          <w:rFonts w:hint="cs"/>
          <w:sz w:val="17"/>
          <w:szCs w:val="17"/>
          <w:rtl/>
        </w:rPr>
        <w:t xml:space="preserve"> </w:t>
      </w:r>
      <w:r w:rsidRPr="00FC6A6C">
        <w:rPr>
          <w:sz w:val="17"/>
          <w:szCs w:val="17"/>
          <w:rtl/>
        </w:rPr>
        <w:t>כמו כן, ניתן להציג את השינויים שנכללו ברמה 3 של מכשירים נגזרים גם על בסיס נט</w:t>
      </w:r>
      <w:r>
        <w:rPr>
          <w:rFonts w:hint="cs"/>
          <w:sz w:val="17"/>
          <w:szCs w:val="17"/>
          <w:rtl/>
        </w:rPr>
        <w:t>ו.</w:t>
      </w:r>
    </w:p>
  </w:footnote>
  <w:footnote w:id="133">
    <w:p w14:paraId="1C801EFC" w14:textId="699BCC2B" w:rsidR="00553945" w:rsidRPr="002C6F7F" w:rsidRDefault="00553945" w:rsidP="00F247F6">
      <w:pPr>
        <w:pStyle w:val="a8"/>
        <w:ind w:left="0" w:firstLine="0"/>
        <w:rPr>
          <w:szCs w:val="18"/>
        </w:rPr>
      </w:pPr>
      <w:r>
        <w:rPr>
          <w:rStyle w:val="a7"/>
        </w:rPr>
        <w:footnoteRef/>
      </w:r>
      <w:r>
        <w:rPr>
          <w:rtl/>
        </w:rPr>
        <w:t xml:space="preserve"> </w:t>
      </w:r>
      <w:r>
        <w:rPr>
          <w:rFonts w:hint="cs"/>
          <w:szCs w:val="18"/>
          <w:rtl/>
        </w:rPr>
        <w:t xml:space="preserve">  </w:t>
      </w:r>
      <w:r w:rsidRPr="00C63318">
        <w:rPr>
          <w:rFonts w:hint="cs"/>
          <w:szCs w:val="18"/>
          <w:rtl/>
        </w:rPr>
        <w:t xml:space="preserve">מתכונת זו </w:t>
      </w:r>
      <w:r w:rsidR="00FA0B52">
        <w:rPr>
          <w:rFonts w:hint="cs"/>
          <w:szCs w:val="18"/>
          <w:rtl/>
        </w:rPr>
        <w:t>ממחישה</w:t>
      </w:r>
      <w:r w:rsidRPr="00C63318">
        <w:rPr>
          <w:rFonts w:hint="cs"/>
          <w:szCs w:val="18"/>
          <w:rtl/>
        </w:rPr>
        <w:t xml:space="preserve"> באופן כללי ותמציתי את דרישות הגילוי הכמותי. יש להתאים את הגילוי לסוגי הפריטים, טכניקות הערכת השווי ולנתונים הלא </w:t>
      </w:r>
      <w:r w:rsidRPr="002C6F7F">
        <w:rPr>
          <w:rFonts w:hint="cs"/>
          <w:szCs w:val="18"/>
          <w:rtl/>
        </w:rPr>
        <w:t>נצפים בהם הוא משתמש.</w:t>
      </w:r>
    </w:p>
  </w:footnote>
  <w:footnote w:id="134">
    <w:p w14:paraId="5677CE42" w14:textId="64196708" w:rsidR="00F247F6" w:rsidRPr="00F10876" w:rsidRDefault="00F247F6" w:rsidP="00F247F6">
      <w:pPr>
        <w:pStyle w:val="a8"/>
        <w:rPr>
          <w:rFonts w:ascii="David" w:hAnsi="David"/>
          <w:sz w:val="17"/>
          <w:szCs w:val="17"/>
          <w:rtl/>
        </w:rPr>
      </w:pPr>
      <w:r w:rsidRPr="00F10876">
        <w:rPr>
          <w:rFonts w:ascii="David" w:hAnsi="David"/>
          <w:sz w:val="17"/>
          <w:szCs w:val="17"/>
        </w:rPr>
        <w:footnoteRef/>
      </w:r>
      <w:r w:rsidRPr="00F10876">
        <w:rPr>
          <w:rFonts w:ascii="David" w:hAnsi="David"/>
          <w:sz w:val="17"/>
          <w:szCs w:val="17"/>
          <w:rtl/>
        </w:rPr>
        <w:t xml:space="preserve">   </w:t>
      </w:r>
      <w:r>
        <w:rPr>
          <w:rFonts w:ascii="David" w:hAnsi="David"/>
          <w:sz w:val="17"/>
          <w:szCs w:val="17"/>
          <w:rtl/>
        </w:rPr>
        <w:tab/>
      </w:r>
      <w:r w:rsidRPr="00F10876">
        <w:rPr>
          <w:rFonts w:ascii="David" w:hAnsi="David"/>
          <w:sz w:val="17"/>
          <w:szCs w:val="17"/>
          <w:rtl/>
        </w:rPr>
        <w:t>עבור נתונים לא נצפים מסוימים, ניתן לתת גילוי למידע כמותי אחר במקום הממוצע המשוקלל, כגון חציון או ממוצע אריתמטי, אם מידע זה משקף באופן סביר והגיוני יותר את התפלגות הנתונים הלא נצפים ששימשו למדידת השווי ההוגן.</w:t>
      </w:r>
    </w:p>
  </w:footnote>
  <w:footnote w:id="135">
    <w:p w14:paraId="4D30AE7D" w14:textId="5A012969" w:rsidR="00FA0B52" w:rsidRDefault="00FA0B52" w:rsidP="00F247F6">
      <w:pPr>
        <w:pStyle w:val="a8"/>
        <w:rPr>
          <w:rtl/>
        </w:rPr>
      </w:pPr>
      <w:r w:rsidRPr="00F10876">
        <w:rPr>
          <w:rStyle w:val="a7"/>
          <w:rFonts w:ascii="David" w:hAnsi="David" w:cs="David"/>
          <w:sz w:val="17"/>
          <w:szCs w:val="17"/>
          <w:vertAlign w:val="baseline"/>
        </w:rPr>
        <w:footnoteRef/>
      </w:r>
      <w:r w:rsidRPr="00F10876">
        <w:rPr>
          <w:rFonts w:ascii="David" w:hAnsi="David"/>
          <w:sz w:val="17"/>
          <w:szCs w:val="17"/>
          <w:rtl/>
        </w:rPr>
        <w:t xml:space="preserve"> </w:t>
      </w:r>
      <w:r w:rsidRPr="00F10876">
        <w:rPr>
          <w:rFonts w:ascii="David" w:hAnsi="David"/>
          <w:sz w:val="17"/>
          <w:szCs w:val="17"/>
          <w:rtl/>
        </w:rPr>
        <w:tab/>
        <w:t>ינתן פירוט לפי סוגי ניירות הערך שניתן להם גילוי נפרד בביאור ניירות ערך</w:t>
      </w:r>
      <w:r w:rsidR="00276D9E">
        <w:rPr>
          <w:rFonts w:ascii="David" w:hAnsi="David" w:hint="cs"/>
          <w:sz w:val="17"/>
          <w:szCs w:val="17"/>
          <w:rtl/>
        </w:rPr>
        <w:t>,</w:t>
      </w:r>
      <w:r w:rsidRPr="00F10876">
        <w:rPr>
          <w:rFonts w:ascii="David" w:hAnsi="David"/>
          <w:sz w:val="17"/>
          <w:szCs w:val="17"/>
          <w:rtl/>
        </w:rPr>
        <w:t xml:space="preserve"> בהתחשב במהותיות.</w:t>
      </w:r>
    </w:p>
  </w:footnote>
  <w:footnote w:id="136">
    <w:p w14:paraId="7EE708C9" w14:textId="6B1CD512" w:rsidR="00FA0B52" w:rsidRDefault="00FA0B52" w:rsidP="00276D9E">
      <w:pPr>
        <w:pStyle w:val="a8"/>
        <w:spacing w:before="0"/>
        <w:ind w:left="215" w:hanging="215"/>
        <w:rPr>
          <w:rtl/>
        </w:rPr>
      </w:pPr>
      <w:r>
        <w:rPr>
          <w:rStyle w:val="a7"/>
        </w:rPr>
        <w:footnoteRef/>
      </w:r>
      <w:r>
        <w:rPr>
          <w:rtl/>
        </w:rPr>
        <w:t xml:space="preserve"> </w:t>
      </w:r>
      <w:r>
        <w:rPr>
          <w:rFonts w:ascii="David" w:hAnsi="David"/>
          <w:sz w:val="17"/>
          <w:szCs w:val="17"/>
          <w:rtl/>
        </w:rPr>
        <w:tab/>
      </w:r>
      <w:r>
        <w:rPr>
          <w:rFonts w:ascii="David" w:hAnsi="David" w:hint="cs"/>
          <w:sz w:val="17"/>
          <w:szCs w:val="17"/>
          <w:rtl/>
        </w:rPr>
        <w:t>י</w:t>
      </w:r>
      <w:r w:rsidRPr="003A1ADF">
        <w:rPr>
          <w:rFonts w:ascii="David" w:hAnsi="David"/>
          <w:sz w:val="17"/>
          <w:szCs w:val="17"/>
          <w:rtl/>
        </w:rPr>
        <w:t>ינתן פירוט לחוזי שקל – מדד, חוזי ריבית אחרים, חוזי מטבע חוץ, חוזים בגין מניות, נגזרי אשראי וחוזי סחורות ואחרים, בהתחשב במהותיות</w:t>
      </w:r>
      <w:r>
        <w:rPr>
          <w:rFonts w:ascii="David" w:hAnsi="David" w:hint="cs"/>
          <w:sz w:val="17"/>
          <w:szCs w:val="17"/>
          <w:rtl/>
        </w:rPr>
        <w:t>.</w:t>
      </w:r>
    </w:p>
  </w:footnote>
  <w:footnote w:id="137">
    <w:p w14:paraId="3F28D430" w14:textId="77777777" w:rsidR="005D0727" w:rsidRDefault="005D0727" w:rsidP="005D0727">
      <w:pPr>
        <w:pStyle w:val="a8"/>
        <w:rPr>
          <w:rtl/>
        </w:rPr>
      </w:pPr>
      <w:r w:rsidRPr="001111EF">
        <w:rPr>
          <w:rStyle w:val="a7"/>
        </w:rPr>
        <w:footnoteRef/>
      </w:r>
      <w:r w:rsidRPr="001111EF">
        <w:rPr>
          <w:rtl/>
        </w:rPr>
        <w:t xml:space="preserve"> </w:t>
      </w:r>
      <w:r w:rsidRPr="001111EF">
        <w:rPr>
          <w:rFonts w:hint="cs"/>
          <w:rtl/>
        </w:rPr>
        <w:tab/>
        <w:t>בהתאם להוראות הדיווח לציבור</w:t>
      </w:r>
      <w:r>
        <w:rPr>
          <w:rFonts w:hint="cs"/>
          <w:rtl/>
        </w:rPr>
        <w:t xml:space="preserve"> סעיף 20.7</w:t>
      </w:r>
      <w:r w:rsidRPr="001111EF">
        <w:rPr>
          <w:rFonts w:hint="cs"/>
          <w:rtl/>
        </w:rPr>
        <w:t>, תאגיד בנקאי לא יבחר למדוד פריט כלשהו לפי חלופת השווי ההוגן, אלא אם</w:t>
      </w:r>
      <w:r>
        <w:rPr>
          <w:rFonts w:hint="cs"/>
          <w:rtl/>
        </w:rPr>
        <w:t xml:space="preserve"> התאגיד הבנקאי </w:t>
      </w:r>
      <w:r w:rsidRPr="001111EF">
        <w:rPr>
          <w:rFonts w:hint="cs"/>
          <w:rtl/>
        </w:rPr>
        <w:t xml:space="preserve">פיתח מראש ידע, מערכות, נהלים ובקרות ברמה גבוהה, </w:t>
      </w:r>
      <w:r>
        <w:rPr>
          <w:rFonts w:hint="cs"/>
          <w:rtl/>
        </w:rPr>
        <w:t>ש</w:t>
      </w:r>
      <w:r w:rsidRPr="001111EF">
        <w:rPr>
          <w:rFonts w:hint="cs"/>
          <w:rtl/>
        </w:rPr>
        <w:t xml:space="preserve">יאפשרו לו למדוד את הפריט ברמה גבוהה של מהימנות. לפיכך, </w:t>
      </w:r>
      <w:r>
        <w:rPr>
          <w:rFonts w:hint="cs"/>
          <w:rtl/>
        </w:rPr>
        <w:t>תאגיד בנקאי לא יבחר למדוד לפי חלופת השווי ההוגן נכס כלשהו שמתאים לסיווג של רמה 2 או רמה 3 במדרג השווי ההוגן</w:t>
      </w:r>
      <w:r w:rsidRPr="001111EF">
        <w:rPr>
          <w:rFonts w:hint="cs"/>
          <w:rtl/>
        </w:rPr>
        <w:t>,</w:t>
      </w:r>
      <w:r>
        <w:rPr>
          <w:rFonts w:hint="cs"/>
          <w:rtl/>
        </w:rPr>
        <w:t xml:space="preserve"> או התחייבות כלשהי,</w:t>
      </w:r>
      <w:r w:rsidRPr="001111EF">
        <w:rPr>
          <w:rFonts w:hint="cs"/>
          <w:rtl/>
        </w:rPr>
        <w:t xml:space="preserve"> אלא אם קיבל לכך אישור מראש של מנהל יחידת דיווח כספי בפיקוח על הבנקים.</w:t>
      </w:r>
    </w:p>
  </w:footnote>
  <w:footnote w:id="138">
    <w:p w14:paraId="774F7C40" w14:textId="30430278" w:rsidR="00042788" w:rsidRDefault="00042788">
      <w:pPr>
        <w:pStyle w:val="a8"/>
      </w:pPr>
      <w:r>
        <w:rPr>
          <w:rStyle w:val="a7"/>
        </w:rPr>
        <w:footnoteRef/>
      </w:r>
      <w:r>
        <w:rPr>
          <w:rtl/>
        </w:rPr>
        <w:t xml:space="preserve"> </w:t>
      </w:r>
      <w:r w:rsidR="00420470">
        <w:rPr>
          <w:rtl/>
        </w:rPr>
        <w:tab/>
      </w:r>
      <w:r w:rsidRPr="00042788">
        <w:rPr>
          <w:rtl/>
        </w:rPr>
        <w:t>בנק ששווי נכסיו גבוה מ</w:t>
      </w:r>
      <w:r>
        <w:rPr>
          <w:rFonts w:hint="cs"/>
          <w:rtl/>
        </w:rPr>
        <w:t>-</w:t>
      </w:r>
      <w:r w:rsidRPr="00042788">
        <w:rPr>
          <w:rtl/>
        </w:rPr>
        <w:t>5% משווי הנכסים של כלל הבנקים בישראל</w:t>
      </w:r>
      <w:r>
        <w:rPr>
          <w:rFonts w:hint="cs"/>
          <w:rtl/>
        </w:rPr>
        <w:t>.</w:t>
      </w:r>
    </w:p>
  </w:footnote>
  <w:footnote w:id="139">
    <w:p w14:paraId="36C47210" w14:textId="45EEB314" w:rsidR="00D50E50" w:rsidRDefault="00D50E50">
      <w:pPr>
        <w:pStyle w:val="a8"/>
        <w:rPr>
          <w:rtl/>
        </w:rPr>
      </w:pPr>
      <w:r>
        <w:rPr>
          <w:rStyle w:val="a7"/>
        </w:rPr>
        <w:footnoteRef/>
      </w:r>
      <w:r>
        <w:rPr>
          <w:rtl/>
        </w:rPr>
        <w:t xml:space="preserve"> </w:t>
      </w:r>
      <w:r w:rsidR="00420470">
        <w:rPr>
          <w:rtl/>
        </w:rPr>
        <w:tab/>
      </w:r>
      <w:r w:rsidRPr="00D50E50">
        <w:rPr>
          <w:rtl/>
        </w:rPr>
        <w:t>התקופה שמיום 1 באפריל 2024 ועד ליום 31 בדצמבר 2025</w:t>
      </w:r>
      <w:r>
        <w:rPr>
          <w:rFonts w:hint="cs"/>
          <w:rtl/>
        </w:rPr>
        <w:t>.</w:t>
      </w:r>
    </w:p>
  </w:footnote>
  <w:footnote w:id="140">
    <w:p w14:paraId="16A96CBB" w14:textId="77777777" w:rsidR="00553945" w:rsidRDefault="00553945" w:rsidP="00BB218D">
      <w:pPr>
        <w:pStyle w:val="a8"/>
        <w:rPr>
          <w:rtl/>
        </w:rPr>
      </w:pPr>
      <w:r>
        <w:rPr>
          <w:rStyle w:val="a7"/>
        </w:rPr>
        <w:footnoteRef/>
      </w:r>
      <w:r>
        <w:rPr>
          <w:rtl/>
        </w:rPr>
        <w:t xml:space="preserve"> </w:t>
      </w:r>
      <w:r>
        <w:rPr>
          <w:rFonts w:hint="cs"/>
          <w:rtl/>
        </w:rPr>
        <w:tab/>
        <w:t xml:space="preserve">בהתאם לקודיפיקציה סעיף 855-10-25-1, נדרש להכיר בדוחות הכספיים בהשפעות של כל האירועים שהתרחשו לאחר תאריך המאזן המספקים ראיה נוספת לתנאים ששררו בתאריך המאזן, כולל האומדנים הטבועים בתהליך הכנת הדוחות הכספיים. סעיף 855-10-55-1 לקודיפיקציה כולל </w:t>
      </w:r>
      <w:r w:rsidRPr="0001523C">
        <w:rPr>
          <w:rFonts w:hint="eastAsia"/>
          <w:rtl/>
        </w:rPr>
        <w:t>דוגמאות</w:t>
      </w:r>
      <w:r w:rsidRPr="007744DB">
        <w:rPr>
          <w:rFonts w:hint="cs"/>
          <w:b/>
          <w:bCs/>
          <w:rtl/>
        </w:rPr>
        <w:t xml:space="preserve"> </w:t>
      </w:r>
      <w:r>
        <w:rPr>
          <w:rFonts w:hint="cs"/>
          <w:rtl/>
        </w:rPr>
        <w:t>לאירועים אלה.</w:t>
      </w:r>
    </w:p>
  </w:footnote>
  <w:footnote w:id="141">
    <w:p w14:paraId="7CBCF674" w14:textId="77777777" w:rsidR="00553945" w:rsidRDefault="00553945" w:rsidP="00DA5FCE">
      <w:pPr>
        <w:pStyle w:val="a8"/>
        <w:rPr>
          <w:rtl/>
        </w:rPr>
      </w:pPr>
      <w:r>
        <w:rPr>
          <w:rStyle w:val="a7"/>
        </w:rPr>
        <w:footnoteRef/>
      </w:r>
      <w:r>
        <w:rPr>
          <w:rtl/>
        </w:rPr>
        <w:t xml:space="preserve"> </w:t>
      </w:r>
      <w:r>
        <w:rPr>
          <w:rFonts w:hint="cs"/>
          <w:rtl/>
        </w:rPr>
        <w:tab/>
        <w:t>בהתאם לקודיפיקציה סעיף 855-10-50-2, אירועים מסוימים שהתרחשו לאחר תאריך המאזן אשר אינם מחייבים הכרה בדוחות הכספיים (</w:t>
      </w:r>
      <w:r>
        <w:t>Nonrecognized subsequent events</w:t>
      </w:r>
      <w:r>
        <w:rPr>
          <w:rFonts w:hint="cs"/>
          <w:rtl/>
        </w:rPr>
        <w:t>), הם כאלה שגילויים נדרש כדי שהדוחות הכספיים לא יהיו עלולים להטעות.</w:t>
      </w:r>
    </w:p>
  </w:footnote>
  <w:footnote w:id="142">
    <w:p w14:paraId="7847CD01" w14:textId="77777777" w:rsidR="00553945" w:rsidRDefault="00553945" w:rsidP="00BB218D">
      <w:pPr>
        <w:pStyle w:val="a8"/>
        <w:rPr>
          <w:rtl/>
        </w:rPr>
      </w:pPr>
      <w:r>
        <w:rPr>
          <w:rStyle w:val="a7"/>
        </w:rPr>
        <w:footnoteRef/>
      </w:r>
      <w:r>
        <w:rPr>
          <w:rtl/>
        </w:rPr>
        <w:t xml:space="preserve"> </w:t>
      </w:r>
      <w:r>
        <w:rPr>
          <w:rFonts w:hint="cs"/>
          <w:rtl/>
        </w:rPr>
        <w:tab/>
        <w:t xml:space="preserve">סעיף 855-10-55-2 לקודיפיקציה כולל </w:t>
      </w:r>
      <w:r w:rsidRPr="0001523C">
        <w:rPr>
          <w:rFonts w:hint="eastAsia"/>
          <w:rtl/>
        </w:rPr>
        <w:t>דוגמאות</w:t>
      </w:r>
      <w:r w:rsidRPr="007744DB">
        <w:rPr>
          <w:rFonts w:hint="cs"/>
          <w:b/>
          <w:bCs/>
          <w:rtl/>
        </w:rPr>
        <w:t xml:space="preserve"> </w:t>
      </w:r>
      <w:r>
        <w:rPr>
          <w:rFonts w:hint="cs"/>
          <w:rtl/>
        </w:rPr>
        <w:t>לאירועים שהתרחשו לאחר תאריך המאזן אשר אינם מחייבים הכרה בדוחות הכספיים.</w:t>
      </w:r>
    </w:p>
  </w:footnote>
  <w:footnote w:id="143">
    <w:p w14:paraId="75908BC8" w14:textId="77777777" w:rsidR="00553945" w:rsidRDefault="00553945" w:rsidP="00DA5FCE">
      <w:pPr>
        <w:pStyle w:val="a8"/>
        <w:rPr>
          <w:rtl/>
        </w:rPr>
      </w:pPr>
      <w:r>
        <w:rPr>
          <w:rStyle w:val="a7"/>
        </w:rPr>
        <w:footnoteRef/>
      </w:r>
      <w:r>
        <w:rPr>
          <w:rtl/>
        </w:rPr>
        <w:t xml:space="preserve"> </w:t>
      </w:r>
      <w:r>
        <w:rPr>
          <w:rFonts w:hint="cs"/>
          <w:rtl/>
        </w:rPr>
        <w:tab/>
        <w:t>בהתאם להוראות הדיווח לציבור סעיף 9א, תאגיד בנקאי יכלול בדוחות הכספיים גילוי בדבר סכום הדיבידנדים שהוצעו או שהוכרזו לאחר תאריך המאזן אך לפני מועד פרסום הדוחות הכספיים. גילוי זה יינתן בביאורים לדוחות הכספיים ולא יוצג בגוף הדוחות הכספיים כמרכיב נפרד של ההון.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F2EC" w14:textId="77777777" w:rsidR="00553945" w:rsidRPr="00BF4BA5" w:rsidRDefault="00553945" w:rsidP="00BF4BA5">
    <w:pPr>
      <w:pStyle w:val="af2"/>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B36A5" w14:textId="77777777" w:rsidR="00553945" w:rsidRDefault="00553945" w:rsidP="00582B8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C90C" w14:textId="77777777" w:rsidR="00553945" w:rsidRPr="00977FCF" w:rsidRDefault="00553945" w:rsidP="00977FCF">
    <w:pPr>
      <w:pStyle w:val="af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F88BB" w14:textId="77777777" w:rsidR="00553945" w:rsidRPr="00B66CDB" w:rsidRDefault="00553945" w:rsidP="00B66CDB">
    <w:pPr>
      <w:pStyle w:val="af2"/>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B1CFB" w14:textId="77777777" w:rsidR="00553945" w:rsidRDefault="00553945" w:rsidP="00AF629E"/>
  <w:p w14:paraId="21638F9E" w14:textId="77777777" w:rsidR="00553945" w:rsidRPr="00AF629E" w:rsidRDefault="00553945" w:rsidP="00AF629E">
    <w:pPr>
      <w:pStyle w:val="af2"/>
      <w:bidi w:val="0"/>
      <w:spacing w:line="14"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D8E7" w14:textId="77777777" w:rsidR="00553945" w:rsidRPr="00977FCF" w:rsidRDefault="00553945" w:rsidP="00977FCF">
    <w:pPr>
      <w:pStyle w:val="af2"/>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9EC07" w14:textId="77777777" w:rsidR="00553945" w:rsidRPr="00AF629E" w:rsidRDefault="00553945" w:rsidP="00AF629E">
    <w:pPr>
      <w:pStyle w:val="af2"/>
      <w:bidi w:val="0"/>
      <w:spacing w:line="14"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6BD3" w14:textId="77777777" w:rsidR="00553945" w:rsidRPr="00AF629E" w:rsidRDefault="00553945" w:rsidP="00AF629E">
    <w:pPr>
      <w:pStyle w:val="af2"/>
      <w:spacing w:line="360" w:lineRule="aut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C7032" w14:textId="77777777" w:rsidR="00553945" w:rsidRPr="00AF629E" w:rsidRDefault="00553945" w:rsidP="00AF629E">
    <w:pPr>
      <w:pStyle w:val="af2"/>
      <w:bidi w:val="0"/>
      <w:spacing w:line="14"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81B7" w14:textId="77777777" w:rsidR="00553945" w:rsidRPr="00F723B7" w:rsidRDefault="00553945" w:rsidP="00F723B7">
    <w:pPr>
      <w:pStyle w:val="af2"/>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E18FD" w14:textId="77777777" w:rsidR="00553945" w:rsidRPr="00E60D2C" w:rsidRDefault="00553945" w:rsidP="00E60D2C">
    <w:pPr>
      <w:pStyle w:val="af2"/>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4E42" w14:textId="77777777" w:rsidR="00553945" w:rsidRPr="00BF4BA5" w:rsidRDefault="00553945" w:rsidP="00BF4BA5">
    <w:pPr>
      <w:pStyle w:val="af2"/>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5000" w:type="pct"/>
      <w:tblLook w:val="04A0" w:firstRow="1" w:lastRow="0" w:firstColumn="1" w:lastColumn="0" w:noHBand="0" w:noVBand="1"/>
    </w:tblPr>
    <w:tblGrid>
      <w:gridCol w:w="991"/>
      <w:gridCol w:w="9216"/>
    </w:tblGrid>
    <w:tr w:rsidR="004547C2" w:rsidRPr="00E406BB" w14:paraId="16771B16" w14:textId="77777777" w:rsidTr="004547C2">
      <w:trPr>
        <w:trHeight w:val="259"/>
      </w:trPr>
      <w:tc>
        <w:tcPr>
          <w:tcW w:w="991" w:type="dxa"/>
        </w:tcPr>
        <w:p w14:paraId="3E969E44" w14:textId="77777777" w:rsidR="004547C2" w:rsidRPr="00E406BB" w:rsidRDefault="004547C2" w:rsidP="004547C2">
          <w:pPr>
            <w:pStyle w:val="-fa"/>
            <w:spacing w:before="0" w:line="264" w:lineRule="auto"/>
            <w:rPr>
              <w:rtl/>
            </w:rPr>
          </w:pPr>
        </w:p>
      </w:tc>
      <w:tc>
        <w:tcPr>
          <w:tcW w:w="9216" w:type="dxa"/>
          <w:vAlign w:val="bottom"/>
        </w:tcPr>
        <w:p w14:paraId="33426DB2" w14:textId="13B056BA"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07CD1BEA" w14:textId="77777777" w:rsidTr="004547C2">
      <w:trPr>
        <w:trHeight w:val="259"/>
      </w:trPr>
      <w:tc>
        <w:tcPr>
          <w:tcW w:w="991" w:type="dxa"/>
        </w:tcPr>
        <w:p w14:paraId="0724BBF3" w14:textId="77777777" w:rsidR="004547C2" w:rsidRPr="00E406BB" w:rsidRDefault="004547C2" w:rsidP="004547C2">
          <w:pPr>
            <w:pStyle w:val="-fa"/>
            <w:spacing w:before="0" w:line="264" w:lineRule="auto"/>
            <w:rPr>
              <w:rtl/>
            </w:rPr>
          </w:pPr>
        </w:p>
      </w:tc>
      <w:tc>
        <w:tcPr>
          <w:tcW w:w="9216" w:type="dxa"/>
          <w:vAlign w:val="bottom"/>
        </w:tcPr>
        <w:p w14:paraId="274B1E10" w14:textId="7E1F4C92"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4547C2" w:rsidRPr="00E406BB" w14:paraId="727DB580" w14:textId="77777777" w:rsidTr="004547C2">
      <w:trPr>
        <w:trHeight w:val="259"/>
      </w:trPr>
      <w:tc>
        <w:tcPr>
          <w:tcW w:w="991" w:type="dxa"/>
        </w:tcPr>
        <w:p w14:paraId="62B49A26" w14:textId="77777777" w:rsidR="004547C2" w:rsidRPr="00E406BB" w:rsidRDefault="004547C2" w:rsidP="004547C2">
          <w:pPr>
            <w:pStyle w:val="-fa"/>
            <w:spacing w:before="0" w:line="264" w:lineRule="auto"/>
            <w:rPr>
              <w:rtl/>
            </w:rPr>
          </w:pPr>
        </w:p>
      </w:tc>
      <w:tc>
        <w:tcPr>
          <w:tcW w:w="9216" w:type="dxa"/>
        </w:tcPr>
        <w:p w14:paraId="458AA235" w14:textId="77777777" w:rsidR="004547C2" w:rsidRPr="00E406BB" w:rsidRDefault="004547C2" w:rsidP="004547C2">
          <w:pPr>
            <w:pStyle w:val="-0"/>
            <w:spacing w:line="264" w:lineRule="auto"/>
            <w:rPr>
              <w:rtl/>
            </w:rPr>
          </w:pPr>
          <w:r w:rsidRPr="00E406BB">
            <w:rPr>
              <w:rFonts w:hint="cs"/>
              <w:rtl/>
            </w:rPr>
            <w:t>סכומים מדווחים (במיליוני ש"ח)</w:t>
          </w:r>
        </w:p>
      </w:tc>
    </w:tr>
  </w:tbl>
  <w:p w14:paraId="1245B426" w14:textId="77777777" w:rsidR="00553945" w:rsidRPr="004547C2" w:rsidRDefault="00553945" w:rsidP="00106371">
    <w:pPr>
      <w:pStyle w:val="af2"/>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860" w:type="pct"/>
      <w:tblLook w:val="04A0" w:firstRow="1" w:lastRow="0" w:firstColumn="1" w:lastColumn="0" w:noHBand="0" w:noVBand="1"/>
    </w:tblPr>
    <w:tblGrid>
      <w:gridCol w:w="991"/>
      <w:gridCol w:w="8930"/>
    </w:tblGrid>
    <w:tr w:rsidR="004547C2" w:rsidRPr="00E406BB" w14:paraId="42276375" w14:textId="77777777" w:rsidTr="004547C2">
      <w:trPr>
        <w:trHeight w:val="259"/>
      </w:trPr>
      <w:tc>
        <w:tcPr>
          <w:tcW w:w="991" w:type="dxa"/>
        </w:tcPr>
        <w:p w14:paraId="55EF450E" w14:textId="77777777" w:rsidR="004547C2" w:rsidRPr="00E406BB" w:rsidRDefault="004547C2" w:rsidP="004547C2">
          <w:pPr>
            <w:pStyle w:val="-fa"/>
            <w:spacing w:before="0" w:line="264" w:lineRule="auto"/>
            <w:rPr>
              <w:rtl/>
            </w:rPr>
          </w:pPr>
        </w:p>
      </w:tc>
      <w:tc>
        <w:tcPr>
          <w:tcW w:w="8930" w:type="dxa"/>
          <w:vAlign w:val="bottom"/>
        </w:tcPr>
        <w:p w14:paraId="57390952"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4FD170C1" w14:textId="77777777" w:rsidTr="004547C2">
      <w:trPr>
        <w:trHeight w:val="259"/>
      </w:trPr>
      <w:tc>
        <w:tcPr>
          <w:tcW w:w="991" w:type="dxa"/>
        </w:tcPr>
        <w:p w14:paraId="7C1F6315" w14:textId="77777777" w:rsidR="004547C2" w:rsidRPr="00E406BB" w:rsidRDefault="004547C2" w:rsidP="004547C2">
          <w:pPr>
            <w:pStyle w:val="-fa"/>
            <w:spacing w:before="0" w:line="264" w:lineRule="auto"/>
            <w:rPr>
              <w:rtl/>
            </w:rPr>
          </w:pPr>
        </w:p>
      </w:tc>
      <w:tc>
        <w:tcPr>
          <w:tcW w:w="8930" w:type="dxa"/>
          <w:vAlign w:val="bottom"/>
        </w:tcPr>
        <w:p w14:paraId="5B2905D4" w14:textId="58BBB526"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4547C2" w:rsidRPr="00E406BB" w14:paraId="21BC4550" w14:textId="77777777" w:rsidTr="004547C2">
      <w:trPr>
        <w:trHeight w:val="259"/>
      </w:trPr>
      <w:tc>
        <w:tcPr>
          <w:tcW w:w="991" w:type="dxa"/>
        </w:tcPr>
        <w:p w14:paraId="30DF74AE" w14:textId="77777777" w:rsidR="004547C2" w:rsidRPr="00E406BB" w:rsidRDefault="004547C2" w:rsidP="004547C2">
          <w:pPr>
            <w:pStyle w:val="-fa"/>
            <w:spacing w:before="0" w:line="264" w:lineRule="auto"/>
            <w:rPr>
              <w:rtl/>
            </w:rPr>
          </w:pPr>
        </w:p>
      </w:tc>
      <w:tc>
        <w:tcPr>
          <w:tcW w:w="8930" w:type="dxa"/>
        </w:tcPr>
        <w:p w14:paraId="078C0584" w14:textId="77777777" w:rsidR="004547C2" w:rsidRPr="00E406BB" w:rsidRDefault="004547C2" w:rsidP="004547C2">
          <w:pPr>
            <w:pStyle w:val="-0"/>
            <w:spacing w:line="264" w:lineRule="auto"/>
            <w:rPr>
              <w:rtl/>
            </w:rPr>
          </w:pPr>
          <w:r w:rsidRPr="00E406BB">
            <w:rPr>
              <w:rFonts w:hint="cs"/>
              <w:rtl/>
            </w:rPr>
            <w:t>סכומים מדווחים (במיליוני ש"ח)</w:t>
          </w:r>
        </w:p>
      </w:tc>
    </w:tr>
  </w:tbl>
  <w:p w14:paraId="6D0429B4" w14:textId="299777E3" w:rsidR="00553945" w:rsidRPr="004547C2" w:rsidRDefault="00553945" w:rsidP="004547C2">
    <w:pPr>
      <w:pStyle w:val="af2"/>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717" w:type="pct"/>
      <w:tblLook w:val="04A0" w:firstRow="1" w:lastRow="0" w:firstColumn="1" w:lastColumn="0" w:noHBand="0" w:noVBand="1"/>
    </w:tblPr>
    <w:tblGrid>
      <w:gridCol w:w="1469"/>
      <w:gridCol w:w="12807"/>
    </w:tblGrid>
    <w:tr w:rsidR="00C068BF" w:rsidRPr="00E406BB" w14:paraId="1EF6D887" w14:textId="77777777" w:rsidTr="00400DD1">
      <w:trPr>
        <w:trHeight w:val="259"/>
      </w:trPr>
      <w:tc>
        <w:tcPr>
          <w:tcW w:w="1469" w:type="dxa"/>
        </w:tcPr>
        <w:p w14:paraId="25B1FDF6" w14:textId="77777777" w:rsidR="00C068BF" w:rsidRPr="00E406BB" w:rsidRDefault="00C068BF" w:rsidP="00C068BF">
          <w:pPr>
            <w:pStyle w:val="-fa"/>
            <w:spacing w:before="0" w:line="264" w:lineRule="auto"/>
            <w:rPr>
              <w:rtl/>
            </w:rPr>
          </w:pPr>
        </w:p>
      </w:tc>
      <w:tc>
        <w:tcPr>
          <w:tcW w:w="12806" w:type="dxa"/>
          <w:vAlign w:val="bottom"/>
        </w:tcPr>
        <w:p w14:paraId="386893B2" w14:textId="77777777" w:rsidR="00C068BF" w:rsidRDefault="00C068BF" w:rsidP="00C068BF">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C068BF" w:rsidRPr="00E406BB" w14:paraId="0C67EE6C" w14:textId="77777777" w:rsidTr="00400DD1">
      <w:trPr>
        <w:trHeight w:val="259"/>
      </w:trPr>
      <w:tc>
        <w:tcPr>
          <w:tcW w:w="1469" w:type="dxa"/>
        </w:tcPr>
        <w:p w14:paraId="7EDD63BE" w14:textId="77777777" w:rsidR="00C068BF" w:rsidRPr="00E406BB" w:rsidRDefault="00C068BF" w:rsidP="00C068BF">
          <w:pPr>
            <w:pStyle w:val="-fa"/>
            <w:spacing w:before="0" w:line="264" w:lineRule="auto"/>
            <w:rPr>
              <w:rtl/>
            </w:rPr>
          </w:pPr>
        </w:p>
      </w:tc>
      <w:tc>
        <w:tcPr>
          <w:tcW w:w="12806" w:type="dxa"/>
          <w:vAlign w:val="bottom"/>
        </w:tcPr>
        <w:p w14:paraId="0E4872C7" w14:textId="253B5358" w:rsidR="00C068BF" w:rsidRDefault="00C068BF" w:rsidP="00C068BF">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C068BF" w:rsidRPr="00E406BB" w14:paraId="67882ECC" w14:textId="77777777" w:rsidTr="00400DD1">
      <w:trPr>
        <w:trHeight w:val="259"/>
      </w:trPr>
      <w:tc>
        <w:tcPr>
          <w:tcW w:w="1469" w:type="dxa"/>
        </w:tcPr>
        <w:p w14:paraId="0A326C92" w14:textId="77777777" w:rsidR="00C068BF" w:rsidRPr="00E406BB" w:rsidRDefault="00C068BF" w:rsidP="00C068BF">
          <w:pPr>
            <w:pStyle w:val="-fa"/>
            <w:spacing w:before="0" w:line="264" w:lineRule="auto"/>
            <w:rPr>
              <w:rtl/>
            </w:rPr>
          </w:pPr>
        </w:p>
      </w:tc>
      <w:tc>
        <w:tcPr>
          <w:tcW w:w="12806" w:type="dxa"/>
        </w:tcPr>
        <w:p w14:paraId="4B7BCD84" w14:textId="77777777" w:rsidR="00C068BF" w:rsidRPr="00E406BB" w:rsidRDefault="00C068BF" w:rsidP="00C068BF">
          <w:pPr>
            <w:pStyle w:val="-0"/>
            <w:spacing w:line="264" w:lineRule="auto"/>
            <w:rPr>
              <w:rtl/>
            </w:rPr>
          </w:pPr>
          <w:r w:rsidRPr="00E406BB">
            <w:rPr>
              <w:rFonts w:hint="cs"/>
              <w:rtl/>
            </w:rPr>
            <w:t>סכומים מדווחים (במיליוני ש"ח)</w:t>
          </w:r>
        </w:p>
      </w:tc>
    </w:tr>
  </w:tbl>
  <w:p w14:paraId="60E247A4" w14:textId="77777777" w:rsidR="00553945" w:rsidRPr="00C068BF" w:rsidRDefault="00553945" w:rsidP="00C068BF">
    <w:pPr>
      <w:pStyle w:val="af2"/>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717" w:type="pct"/>
      <w:tblLook w:val="04A0" w:firstRow="1" w:lastRow="0" w:firstColumn="1" w:lastColumn="0" w:noHBand="0" w:noVBand="1"/>
    </w:tblPr>
    <w:tblGrid>
      <w:gridCol w:w="1469"/>
      <w:gridCol w:w="12807"/>
    </w:tblGrid>
    <w:tr w:rsidR="004547C2" w:rsidRPr="00E406BB" w14:paraId="2512540B" w14:textId="77777777" w:rsidTr="004547C2">
      <w:trPr>
        <w:trHeight w:val="259"/>
      </w:trPr>
      <w:tc>
        <w:tcPr>
          <w:tcW w:w="1469" w:type="dxa"/>
        </w:tcPr>
        <w:p w14:paraId="143B63D3" w14:textId="77777777" w:rsidR="004547C2" w:rsidRPr="00E406BB" w:rsidRDefault="004547C2" w:rsidP="004547C2">
          <w:pPr>
            <w:pStyle w:val="-fa"/>
            <w:spacing w:before="0" w:line="264" w:lineRule="auto"/>
            <w:rPr>
              <w:rtl/>
            </w:rPr>
          </w:pPr>
        </w:p>
      </w:tc>
      <w:tc>
        <w:tcPr>
          <w:tcW w:w="12806" w:type="dxa"/>
          <w:vAlign w:val="bottom"/>
        </w:tcPr>
        <w:p w14:paraId="45714289"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6B93412A" w14:textId="77777777" w:rsidTr="004547C2">
      <w:trPr>
        <w:trHeight w:val="259"/>
      </w:trPr>
      <w:tc>
        <w:tcPr>
          <w:tcW w:w="1469" w:type="dxa"/>
        </w:tcPr>
        <w:p w14:paraId="4B2EEE68" w14:textId="77777777" w:rsidR="004547C2" w:rsidRPr="00E406BB" w:rsidRDefault="004547C2" w:rsidP="004547C2">
          <w:pPr>
            <w:pStyle w:val="-fa"/>
            <w:spacing w:before="0" w:line="264" w:lineRule="auto"/>
            <w:rPr>
              <w:rtl/>
            </w:rPr>
          </w:pPr>
        </w:p>
      </w:tc>
      <w:tc>
        <w:tcPr>
          <w:tcW w:w="12806" w:type="dxa"/>
          <w:vAlign w:val="bottom"/>
        </w:tcPr>
        <w:p w14:paraId="627CDF66" w14:textId="307A476E"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4547C2" w:rsidRPr="00E406BB" w14:paraId="0DEEAAA0" w14:textId="77777777" w:rsidTr="004547C2">
      <w:trPr>
        <w:trHeight w:val="259"/>
      </w:trPr>
      <w:tc>
        <w:tcPr>
          <w:tcW w:w="1469" w:type="dxa"/>
        </w:tcPr>
        <w:p w14:paraId="0B37E4CB" w14:textId="77777777" w:rsidR="004547C2" w:rsidRPr="00E406BB" w:rsidRDefault="004547C2" w:rsidP="004547C2">
          <w:pPr>
            <w:pStyle w:val="-fa"/>
            <w:spacing w:before="0" w:line="264" w:lineRule="auto"/>
            <w:rPr>
              <w:rtl/>
            </w:rPr>
          </w:pPr>
        </w:p>
      </w:tc>
      <w:tc>
        <w:tcPr>
          <w:tcW w:w="12806" w:type="dxa"/>
        </w:tcPr>
        <w:p w14:paraId="7A50EF06" w14:textId="77777777" w:rsidR="004547C2" w:rsidRPr="00E406BB" w:rsidRDefault="004547C2" w:rsidP="004547C2">
          <w:pPr>
            <w:pStyle w:val="-0"/>
            <w:spacing w:line="264" w:lineRule="auto"/>
            <w:rPr>
              <w:rtl/>
            </w:rPr>
          </w:pPr>
          <w:r w:rsidRPr="00E406BB">
            <w:rPr>
              <w:rFonts w:hint="cs"/>
              <w:rtl/>
            </w:rPr>
            <w:t>סכומים מדווחים (במיליוני ש"ח)</w:t>
          </w:r>
        </w:p>
      </w:tc>
    </w:tr>
  </w:tbl>
  <w:p w14:paraId="428F377A" w14:textId="252F15B9" w:rsidR="00553945" w:rsidRPr="004547C2" w:rsidRDefault="00553945" w:rsidP="004547C2">
    <w:pPr>
      <w:pStyle w:val="-2"/>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6" w:type="pct"/>
      <w:tblLook w:val="04A0" w:firstRow="1" w:lastRow="0" w:firstColumn="1" w:lastColumn="0" w:noHBand="0" w:noVBand="1"/>
    </w:tblPr>
    <w:tblGrid>
      <w:gridCol w:w="1025"/>
      <w:gridCol w:w="9031"/>
    </w:tblGrid>
    <w:tr w:rsidR="004547C2" w:rsidRPr="00E406BB" w14:paraId="46E6C698" w14:textId="77777777" w:rsidTr="004547C2">
      <w:trPr>
        <w:trHeight w:val="259"/>
      </w:trPr>
      <w:tc>
        <w:tcPr>
          <w:tcW w:w="1025" w:type="dxa"/>
        </w:tcPr>
        <w:p w14:paraId="5BAD152C" w14:textId="77777777" w:rsidR="004547C2" w:rsidRPr="00E406BB" w:rsidRDefault="004547C2" w:rsidP="004547C2">
          <w:pPr>
            <w:pStyle w:val="-fa"/>
            <w:spacing w:before="0" w:line="264" w:lineRule="auto"/>
            <w:rPr>
              <w:rtl/>
            </w:rPr>
          </w:pPr>
        </w:p>
      </w:tc>
      <w:tc>
        <w:tcPr>
          <w:tcW w:w="9030" w:type="dxa"/>
          <w:vAlign w:val="bottom"/>
        </w:tcPr>
        <w:p w14:paraId="1A1230CC"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15D91590" w14:textId="77777777" w:rsidTr="004547C2">
      <w:trPr>
        <w:trHeight w:val="259"/>
      </w:trPr>
      <w:tc>
        <w:tcPr>
          <w:tcW w:w="1025" w:type="dxa"/>
        </w:tcPr>
        <w:p w14:paraId="1E5D8FCF" w14:textId="77777777" w:rsidR="004547C2" w:rsidRPr="00E406BB" w:rsidRDefault="004547C2" w:rsidP="004547C2">
          <w:pPr>
            <w:pStyle w:val="-fa"/>
            <w:spacing w:before="0" w:line="264" w:lineRule="auto"/>
            <w:rPr>
              <w:rtl/>
            </w:rPr>
          </w:pPr>
        </w:p>
      </w:tc>
      <w:tc>
        <w:tcPr>
          <w:tcW w:w="9030" w:type="dxa"/>
          <w:vAlign w:val="bottom"/>
        </w:tcPr>
        <w:p w14:paraId="0662C2D5" w14:textId="739DE58F"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4547C2" w:rsidRPr="00E406BB" w14:paraId="0E3906F6" w14:textId="77777777" w:rsidTr="004547C2">
      <w:trPr>
        <w:trHeight w:val="259"/>
      </w:trPr>
      <w:tc>
        <w:tcPr>
          <w:tcW w:w="1025" w:type="dxa"/>
        </w:tcPr>
        <w:p w14:paraId="441CE0EC" w14:textId="77777777" w:rsidR="004547C2" w:rsidRPr="00E406BB" w:rsidRDefault="004547C2" w:rsidP="004547C2">
          <w:pPr>
            <w:pStyle w:val="-fa"/>
            <w:spacing w:before="0" w:line="264" w:lineRule="auto"/>
            <w:rPr>
              <w:rtl/>
            </w:rPr>
          </w:pPr>
        </w:p>
      </w:tc>
      <w:tc>
        <w:tcPr>
          <w:tcW w:w="9030" w:type="dxa"/>
        </w:tcPr>
        <w:p w14:paraId="22ED8CA3" w14:textId="77777777" w:rsidR="004547C2" w:rsidRPr="00E406BB" w:rsidRDefault="004547C2" w:rsidP="004547C2">
          <w:pPr>
            <w:pStyle w:val="-0"/>
            <w:spacing w:after="120" w:line="264" w:lineRule="auto"/>
            <w:ind w:left="142" w:hanging="142"/>
            <w:rPr>
              <w:rtl/>
            </w:rPr>
          </w:pPr>
          <w:r w:rsidRPr="00E406BB">
            <w:rPr>
              <w:rFonts w:hint="cs"/>
              <w:rtl/>
            </w:rPr>
            <w:t>סכומים מדווחים (במיליוני ש"ח)</w:t>
          </w:r>
        </w:p>
      </w:tc>
    </w:tr>
  </w:tbl>
  <w:p w14:paraId="3CCCB241" w14:textId="77777777" w:rsidR="004547C2" w:rsidRPr="00AF629E" w:rsidRDefault="004547C2" w:rsidP="00AF629E">
    <w:pPr>
      <w:pStyle w:val="af2"/>
      <w:bidi w:val="0"/>
      <w:spacing w:line="14" w:lineRule="exac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6" w:type="pct"/>
      <w:tblLook w:val="04A0" w:firstRow="1" w:lastRow="0" w:firstColumn="1" w:lastColumn="0" w:noHBand="0" w:noVBand="1"/>
    </w:tblPr>
    <w:tblGrid>
      <w:gridCol w:w="1025"/>
      <w:gridCol w:w="9031"/>
    </w:tblGrid>
    <w:tr w:rsidR="004547C2" w:rsidRPr="00E406BB" w14:paraId="2A61FE77" w14:textId="77777777" w:rsidTr="00400DD1">
      <w:trPr>
        <w:trHeight w:val="259"/>
      </w:trPr>
      <w:tc>
        <w:tcPr>
          <w:tcW w:w="1025" w:type="dxa"/>
        </w:tcPr>
        <w:p w14:paraId="4FDA82AA" w14:textId="77777777" w:rsidR="004547C2" w:rsidRPr="00E406BB" w:rsidRDefault="004547C2" w:rsidP="004547C2">
          <w:pPr>
            <w:pStyle w:val="-fa"/>
            <w:spacing w:before="0" w:line="264" w:lineRule="auto"/>
            <w:rPr>
              <w:rtl/>
            </w:rPr>
          </w:pPr>
        </w:p>
      </w:tc>
      <w:tc>
        <w:tcPr>
          <w:tcW w:w="9030" w:type="dxa"/>
          <w:vAlign w:val="bottom"/>
        </w:tcPr>
        <w:p w14:paraId="0CD38A01"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507B15E5" w14:textId="77777777" w:rsidTr="00400DD1">
      <w:trPr>
        <w:trHeight w:val="259"/>
      </w:trPr>
      <w:tc>
        <w:tcPr>
          <w:tcW w:w="1025" w:type="dxa"/>
        </w:tcPr>
        <w:p w14:paraId="0C6BD441" w14:textId="77777777" w:rsidR="004547C2" w:rsidRPr="00E406BB" w:rsidRDefault="004547C2" w:rsidP="004547C2">
          <w:pPr>
            <w:pStyle w:val="-fa"/>
            <w:spacing w:before="0" w:line="264" w:lineRule="auto"/>
            <w:rPr>
              <w:rtl/>
            </w:rPr>
          </w:pPr>
        </w:p>
      </w:tc>
      <w:tc>
        <w:tcPr>
          <w:tcW w:w="9030" w:type="dxa"/>
          <w:vAlign w:val="bottom"/>
        </w:tcPr>
        <w:p w14:paraId="1FBA7DDC" w14:textId="0C5D4348"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4547C2" w:rsidRPr="00E406BB" w14:paraId="6A8C95A5" w14:textId="77777777" w:rsidTr="00400DD1">
      <w:trPr>
        <w:trHeight w:val="259"/>
      </w:trPr>
      <w:tc>
        <w:tcPr>
          <w:tcW w:w="1025" w:type="dxa"/>
        </w:tcPr>
        <w:p w14:paraId="1D03DC24" w14:textId="77777777" w:rsidR="004547C2" w:rsidRPr="00E406BB" w:rsidRDefault="004547C2" w:rsidP="004547C2">
          <w:pPr>
            <w:pStyle w:val="-fa"/>
            <w:spacing w:before="0" w:line="264" w:lineRule="auto"/>
            <w:rPr>
              <w:rtl/>
            </w:rPr>
          </w:pPr>
        </w:p>
      </w:tc>
      <w:tc>
        <w:tcPr>
          <w:tcW w:w="9030" w:type="dxa"/>
        </w:tcPr>
        <w:p w14:paraId="382124C6" w14:textId="77777777" w:rsidR="004547C2" w:rsidRPr="00E406BB" w:rsidRDefault="004547C2" w:rsidP="004547C2">
          <w:pPr>
            <w:pStyle w:val="-0"/>
            <w:spacing w:after="120" w:line="264" w:lineRule="auto"/>
            <w:ind w:left="142" w:hanging="142"/>
            <w:rPr>
              <w:rtl/>
            </w:rPr>
          </w:pPr>
          <w:r w:rsidRPr="00E406BB">
            <w:rPr>
              <w:rFonts w:hint="cs"/>
              <w:rtl/>
            </w:rPr>
            <w:t>סכומים מדווחים (במיליוני ש"ח)</w:t>
          </w:r>
        </w:p>
      </w:tc>
    </w:tr>
  </w:tbl>
  <w:p w14:paraId="33CA66E6" w14:textId="77777777" w:rsidR="00553945" w:rsidRPr="004547C2" w:rsidRDefault="00553945" w:rsidP="004547C2">
    <w:pPr>
      <w:pStyle w:val="af2"/>
      <w:spacing w:line="360" w:lineRule="auto"/>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717" w:type="pct"/>
      <w:tblLook w:val="04A0" w:firstRow="1" w:lastRow="0" w:firstColumn="1" w:lastColumn="0" w:noHBand="0" w:noVBand="1"/>
    </w:tblPr>
    <w:tblGrid>
      <w:gridCol w:w="1025"/>
      <w:gridCol w:w="8604"/>
    </w:tblGrid>
    <w:tr w:rsidR="004547C2" w:rsidRPr="00E406BB" w14:paraId="6A58D11B" w14:textId="77777777" w:rsidTr="00400DD1">
      <w:trPr>
        <w:trHeight w:val="259"/>
      </w:trPr>
      <w:tc>
        <w:tcPr>
          <w:tcW w:w="1469" w:type="dxa"/>
        </w:tcPr>
        <w:p w14:paraId="309C0A38" w14:textId="77777777" w:rsidR="004547C2" w:rsidRPr="00E406BB" w:rsidRDefault="004547C2" w:rsidP="004547C2">
          <w:pPr>
            <w:pStyle w:val="-fa"/>
            <w:spacing w:before="0" w:line="264" w:lineRule="auto"/>
            <w:rPr>
              <w:rtl/>
            </w:rPr>
          </w:pPr>
        </w:p>
      </w:tc>
      <w:tc>
        <w:tcPr>
          <w:tcW w:w="12806" w:type="dxa"/>
          <w:vAlign w:val="bottom"/>
        </w:tcPr>
        <w:p w14:paraId="6D40CF2D"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6250477C" w14:textId="77777777" w:rsidTr="00400DD1">
      <w:trPr>
        <w:trHeight w:val="259"/>
      </w:trPr>
      <w:tc>
        <w:tcPr>
          <w:tcW w:w="1469" w:type="dxa"/>
        </w:tcPr>
        <w:p w14:paraId="6C5AD80A" w14:textId="77777777" w:rsidR="004547C2" w:rsidRPr="00E406BB" w:rsidRDefault="004547C2" w:rsidP="004547C2">
          <w:pPr>
            <w:pStyle w:val="-fa"/>
            <w:spacing w:before="0" w:line="264" w:lineRule="auto"/>
            <w:rPr>
              <w:rtl/>
            </w:rPr>
          </w:pPr>
        </w:p>
      </w:tc>
      <w:tc>
        <w:tcPr>
          <w:tcW w:w="12806" w:type="dxa"/>
          <w:vAlign w:val="bottom"/>
        </w:tcPr>
        <w:p w14:paraId="741EF2AA" w14:textId="11A8C41F"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763B10">
            <w:rPr>
              <w:noProof/>
              <w:sz w:val="20"/>
              <w:szCs w:val="20"/>
              <w:rtl/>
            </w:rPr>
            <w:t>2024</w:t>
          </w:r>
          <w:r w:rsidRPr="00C803FD">
            <w:rPr>
              <w:sz w:val="20"/>
              <w:szCs w:val="20"/>
              <w:rtl/>
            </w:rPr>
            <w:fldChar w:fldCharType="end"/>
          </w:r>
        </w:p>
      </w:tc>
    </w:tr>
    <w:tr w:rsidR="004547C2" w:rsidRPr="00E406BB" w14:paraId="0498BC40" w14:textId="77777777" w:rsidTr="00400DD1">
      <w:trPr>
        <w:trHeight w:val="259"/>
      </w:trPr>
      <w:tc>
        <w:tcPr>
          <w:tcW w:w="1469" w:type="dxa"/>
        </w:tcPr>
        <w:p w14:paraId="3CD35742" w14:textId="77777777" w:rsidR="004547C2" w:rsidRPr="00E406BB" w:rsidRDefault="004547C2" w:rsidP="004547C2">
          <w:pPr>
            <w:pStyle w:val="-fa"/>
            <w:spacing w:before="0" w:line="264" w:lineRule="auto"/>
            <w:rPr>
              <w:rtl/>
            </w:rPr>
          </w:pPr>
        </w:p>
      </w:tc>
      <w:tc>
        <w:tcPr>
          <w:tcW w:w="12806" w:type="dxa"/>
        </w:tcPr>
        <w:p w14:paraId="12C75872" w14:textId="77777777" w:rsidR="004547C2" w:rsidRPr="00E406BB" w:rsidRDefault="004547C2" w:rsidP="004547C2">
          <w:pPr>
            <w:pStyle w:val="-0"/>
            <w:spacing w:after="120" w:line="264" w:lineRule="auto"/>
            <w:ind w:left="142" w:hanging="142"/>
            <w:rPr>
              <w:rtl/>
            </w:rPr>
          </w:pPr>
          <w:r w:rsidRPr="00E406BB">
            <w:rPr>
              <w:rFonts w:hint="cs"/>
              <w:rtl/>
            </w:rPr>
            <w:t>סכומים מדווחים (במיליוני ש"ח)</w:t>
          </w:r>
        </w:p>
      </w:tc>
    </w:tr>
  </w:tbl>
  <w:p w14:paraId="56247963" w14:textId="77777777" w:rsidR="00553945" w:rsidRPr="00AF629E" w:rsidRDefault="00553945" w:rsidP="00AF629E">
    <w:pPr>
      <w:pStyle w:val="af2"/>
      <w:bidi w:val="0"/>
      <w:spacing w:line="14" w:lineRule="exac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D4DD1" w14:textId="78D668D6" w:rsidR="00553945" w:rsidRDefault="00553945" w:rsidP="00F20DC7">
    <w:pPr>
      <w:pStyle w:val="-2"/>
      <w:ind w:left="1680"/>
      <w:rPr>
        <w:rtl/>
      </w:rPr>
    </w:pPr>
  </w:p>
  <w:tbl>
    <w:tblPr>
      <w:bidiVisual/>
      <w:tblW w:w="4717" w:type="pct"/>
      <w:tblLook w:val="04A0" w:firstRow="1" w:lastRow="0" w:firstColumn="1" w:lastColumn="0" w:noHBand="0" w:noVBand="1"/>
    </w:tblPr>
    <w:tblGrid>
      <w:gridCol w:w="1469"/>
      <w:gridCol w:w="12807"/>
    </w:tblGrid>
    <w:tr w:rsidR="00334F54" w:rsidRPr="00E406BB" w14:paraId="4ADC2CA3" w14:textId="77777777" w:rsidTr="00CB5D5C">
      <w:trPr>
        <w:trHeight w:val="259"/>
      </w:trPr>
      <w:tc>
        <w:tcPr>
          <w:tcW w:w="1469" w:type="dxa"/>
        </w:tcPr>
        <w:p w14:paraId="1CE84393" w14:textId="77777777" w:rsidR="00334F54" w:rsidRPr="00E406BB" w:rsidRDefault="00334F54" w:rsidP="00334F54">
          <w:pPr>
            <w:pStyle w:val="-fa"/>
            <w:spacing w:before="0" w:line="264" w:lineRule="auto"/>
            <w:rPr>
              <w:rtl/>
            </w:rPr>
          </w:pPr>
        </w:p>
      </w:tc>
      <w:tc>
        <w:tcPr>
          <w:tcW w:w="12806" w:type="dxa"/>
          <w:vAlign w:val="bottom"/>
        </w:tcPr>
        <w:p w14:paraId="15752A15" w14:textId="77777777" w:rsidR="00334F54" w:rsidRDefault="00334F54" w:rsidP="00334F54">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334F54" w:rsidRPr="00E406BB" w14:paraId="60A92AA6" w14:textId="77777777" w:rsidTr="00CB5D5C">
      <w:trPr>
        <w:trHeight w:val="259"/>
      </w:trPr>
      <w:tc>
        <w:tcPr>
          <w:tcW w:w="1469" w:type="dxa"/>
        </w:tcPr>
        <w:p w14:paraId="7BA94E37" w14:textId="77777777" w:rsidR="00334F54" w:rsidRPr="00E406BB" w:rsidRDefault="00334F54" w:rsidP="00334F54">
          <w:pPr>
            <w:pStyle w:val="-fa"/>
            <w:spacing w:before="0" w:line="264" w:lineRule="auto"/>
            <w:rPr>
              <w:rtl/>
            </w:rPr>
          </w:pPr>
        </w:p>
      </w:tc>
      <w:tc>
        <w:tcPr>
          <w:tcW w:w="12806" w:type="dxa"/>
          <w:vAlign w:val="bottom"/>
        </w:tcPr>
        <w:p w14:paraId="292A8E7D" w14:textId="4156DBC9" w:rsidR="00334F54" w:rsidRDefault="00334F54" w:rsidP="00334F54">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334F54" w:rsidRPr="00E406BB" w14:paraId="6EA2923A" w14:textId="77777777" w:rsidTr="00CB5D5C">
      <w:trPr>
        <w:trHeight w:val="259"/>
      </w:trPr>
      <w:tc>
        <w:tcPr>
          <w:tcW w:w="1469" w:type="dxa"/>
        </w:tcPr>
        <w:p w14:paraId="54D608F5" w14:textId="77777777" w:rsidR="00334F54" w:rsidRPr="00E406BB" w:rsidRDefault="00334F54" w:rsidP="00334F54">
          <w:pPr>
            <w:pStyle w:val="-fa"/>
            <w:spacing w:before="0" w:line="264" w:lineRule="auto"/>
            <w:rPr>
              <w:rtl/>
            </w:rPr>
          </w:pPr>
        </w:p>
      </w:tc>
      <w:tc>
        <w:tcPr>
          <w:tcW w:w="12806" w:type="dxa"/>
        </w:tcPr>
        <w:p w14:paraId="32227300" w14:textId="77777777" w:rsidR="00334F54" w:rsidRPr="00E406BB" w:rsidRDefault="00334F54" w:rsidP="00334F54">
          <w:pPr>
            <w:pStyle w:val="-0"/>
            <w:spacing w:line="264" w:lineRule="auto"/>
            <w:rPr>
              <w:rtl/>
            </w:rPr>
          </w:pPr>
          <w:r w:rsidRPr="00E406BB">
            <w:rPr>
              <w:rFonts w:hint="cs"/>
              <w:rtl/>
            </w:rPr>
            <w:t>סכומים מדווחים (במיליוני ש"ח)</w:t>
          </w:r>
        </w:p>
      </w:tc>
    </w:tr>
  </w:tbl>
  <w:p w14:paraId="147B6C52" w14:textId="77777777" w:rsidR="00553945" w:rsidRPr="00334F54" w:rsidRDefault="00553945" w:rsidP="00334F54">
    <w:pPr>
      <w:spacing w:line="360" w:lineRule="auto"/>
      <w:rPr>
        <w:rtl/>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8BEB" w14:textId="43CD09AA" w:rsidR="00553945" w:rsidRDefault="00553945" w:rsidP="00F20DC7">
    <w:pPr>
      <w:pStyle w:val="-2"/>
      <w:ind w:left="1680"/>
      <w:rPr>
        <w:rtl/>
      </w:rPr>
    </w:pPr>
  </w:p>
  <w:tbl>
    <w:tblPr>
      <w:bidiVisual/>
      <w:tblW w:w="4717" w:type="pct"/>
      <w:tblLook w:val="04A0" w:firstRow="1" w:lastRow="0" w:firstColumn="1" w:lastColumn="0" w:noHBand="0" w:noVBand="1"/>
    </w:tblPr>
    <w:tblGrid>
      <w:gridCol w:w="1025"/>
      <w:gridCol w:w="8604"/>
    </w:tblGrid>
    <w:tr w:rsidR="00334F54" w:rsidRPr="00E406BB" w14:paraId="21054661" w14:textId="77777777" w:rsidTr="00CB5D5C">
      <w:trPr>
        <w:trHeight w:val="259"/>
      </w:trPr>
      <w:tc>
        <w:tcPr>
          <w:tcW w:w="1469" w:type="dxa"/>
        </w:tcPr>
        <w:p w14:paraId="13A46A12" w14:textId="77777777" w:rsidR="00334F54" w:rsidRPr="00E406BB" w:rsidRDefault="00334F54" w:rsidP="00334F54">
          <w:pPr>
            <w:pStyle w:val="-fa"/>
            <w:spacing w:before="0" w:line="264" w:lineRule="auto"/>
            <w:rPr>
              <w:rtl/>
            </w:rPr>
          </w:pPr>
        </w:p>
      </w:tc>
      <w:tc>
        <w:tcPr>
          <w:tcW w:w="12806" w:type="dxa"/>
          <w:vAlign w:val="bottom"/>
        </w:tcPr>
        <w:p w14:paraId="258601F1" w14:textId="77777777" w:rsidR="00334F54" w:rsidRDefault="00334F54" w:rsidP="00334F54">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334F54" w:rsidRPr="00E406BB" w14:paraId="7AE36BA2" w14:textId="77777777" w:rsidTr="00CB5D5C">
      <w:trPr>
        <w:trHeight w:val="259"/>
      </w:trPr>
      <w:tc>
        <w:tcPr>
          <w:tcW w:w="1469" w:type="dxa"/>
        </w:tcPr>
        <w:p w14:paraId="6269CA2F" w14:textId="77777777" w:rsidR="00334F54" w:rsidRPr="00E406BB" w:rsidRDefault="00334F54" w:rsidP="00334F54">
          <w:pPr>
            <w:pStyle w:val="-fa"/>
            <w:spacing w:before="0" w:line="264" w:lineRule="auto"/>
            <w:rPr>
              <w:rtl/>
            </w:rPr>
          </w:pPr>
        </w:p>
      </w:tc>
      <w:tc>
        <w:tcPr>
          <w:tcW w:w="12806" w:type="dxa"/>
          <w:vAlign w:val="bottom"/>
        </w:tcPr>
        <w:p w14:paraId="0F7E49D7" w14:textId="688E2151" w:rsidR="00334F54" w:rsidRDefault="00334F54" w:rsidP="00334F54">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334F54" w:rsidRPr="00E406BB" w14:paraId="59B52921" w14:textId="77777777" w:rsidTr="00CB5D5C">
      <w:trPr>
        <w:trHeight w:val="259"/>
      </w:trPr>
      <w:tc>
        <w:tcPr>
          <w:tcW w:w="1469" w:type="dxa"/>
        </w:tcPr>
        <w:p w14:paraId="01A51E57" w14:textId="77777777" w:rsidR="00334F54" w:rsidRPr="00E406BB" w:rsidRDefault="00334F54" w:rsidP="00334F54">
          <w:pPr>
            <w:pStyle w:val="-fa"/>
            <w:spacing w:before="0" w:line="264" w:lineRule="auto"/>
            <w:rPr>
              <w:rtl/>
            </w:rPr>
          </w:pPr>
        </w:p>
      </w:tc>
      <w:tc>
        <w:tcPr>
          <w:tcW w:w="12806" w:type="dxa"/>
        </w:tcPr>
        <w:p w14:paraId="3689A614" w14:textId="77777777" w:rsidR="00334F54" w:rsidRPr="00E406BB" w:rsidRDefault="00334F54" w:rsidP="00334F54">
          <w:pPr>
            <w:pStyle w:val="-0"/>
            <w:spacing w:line="264" w:lineRule="auto"/>
            <w:rPr>
              <w:rtl/>
            </w:rPr>
          </w:pPr>
          <w:r w:rsidRPr="00E406BB">
            <w:rPr>
              <w:rFonts w:hint="cs"/>
              <w:rtl/>
            </w:rPr>
            <w:t>סכומים מדווחים (במיליוני ש"ח)</w:t>
          </w:r>
        </w:p>
      </w:tc>
    </w:tr>
  </w:tbl>
  <w:p w14:paraId="0C6FDE8A" w14:textId="77777777" w:rsidR="00553945" w:rsidRPr="00334F54" w:rsidRDefault="00553945" w:rsidP="00A217E4">
    <w:pPr>
      <w:spacing w:line="360" w:lineRule="auto"/>
      <w:rPr>
        <w:rtl/>
      </w:rPr>
    </w:pPr>
  </w:p>
  <w:p w14:paraId="3AB90DC1" w14:textId="77777777" w:rsidR="00553945" w:rsidRPr="00AF629E" w:rsidRDefault="00553945" w:rsidP="00AF629E">
    <w:pPr>
      <w:pStyle w:val="af2"/>
      <w:bidi w:val="0"/>
      <w:spacing w:line="14" w:lineRule="exac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717" w:type="pct"/>
      <w:tblLook w:val="04A0" w:firstRow="1" w:lastRow="0" w:firstColumn="1" w:lastColumn="0" w:noHBand="0" w:noVBand="1"/>
    </w:tblPr>
    <w:tblGrid>
      <w:gridCol w:w="1469"/>
      <w:gridCol w:w="12807"/>
    </w:tblGrid>
    <w:tr w:rsidR="004547C2" w:rsidRPr="00E406BB" w14:paraId="371E087B" w14:textId="77777777" w:rsidTr="00400DD1">
      <w:trPr>
        <w:trHeight w:val="259"/>
      </w:trPr>
      <w:tc>
        <w:tcPr>
          <w:tcW w:w="1469" w:type="dxa"/>
        </w:tcPr>
        <w:p w14:paraId="69418C80" w14:textId="77777777" w:rsidR="004547C2" w:rsidRPr="00E406BB" w:rsidRDefault="004547C2" w:rsidP="004547C2">
          <w:pPr>
            <w:pStyle w:val="-fa"/>
            <w:spacing w:before="0" w:line="264" w:lineRule="auto"/>
            <w:rPr>
              <w:rtl/>
            </w:rPr>
          </w:pPr>
        </w:p>
      </w:tc>
      <w:tc>
        <w:tcPr>
          <w:tcW w:w="12806" w:type="dxa"/>
          <w:vAlign w:val="bottom"/>
        </w:tcPr>
        <w:p w14:paraId="12B7FAD2"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08311D6D" w14:textId="77777777" w:rsidTr="00400DD1">
      <w:trPr>
        <w:trHeight w:val="259"/>
      </w:trPr>
      <w:tc>
        <w:tcPr>
          <w:tcW w:w="1469" w:type="dxa"/>
        </w:tcPr>
        <w:p w14:paraId="16382762" w14:textId="77777777" w:rsidR="004547C2" w:rsidRPr="00E406BB" w:rsidRDefault="004547C2" w:rsidP="004547C2">
          <w:pPr>
            <w:pStyle w:val="-fa"/>
            <w:spacing w:before="0" w:line="264" w:lineRule="auto"/>
            <w:rPr>
              <w:rtl/>
            </w:rPr>
          </w:pPr>
        </w:p>
      </w:tc>
      <w:tc>
        <w:tcPr>
          <w:tcW w:w="12806" w:type="dxa"/>
          <w:vAlign w:val="bottom"/>
        </w:tcPr>
        <w:p w14:paraId="034BA622" w14:textId="0C16CF20"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763B10">
            <w:rPr>
              <w:noProof/>
              <w:sz w:val="20"/>
              <w:szCs w:val="20"/>
              <w:rtl/>
            </w:rPr>
            <w:t>2024</w:t>
          </w:r>
          <w:r w:rsidRPr="00C803FD">
            <w:rPr>
              <w:sz w:val="20"/>
              <w:szCs w:val="20"/>
              <w:rtl/>
            </w:rPr>
            <w:fldChar w:fldCharType="end"/>
          </w:r>
        </w:p>
      </w:tc>
    </w:tr>
    <w:tr w:rsidR="004547C2" w:rsidRPr="00E406BB" w14:paraId="36CD82C2" w14:textId="77777777" w:rsidTr="00400DD1">
      <w:trPr>
        <w:trHeight w:val="259"/>
      </w:trPr>
      <w:tc>
        <w:tcPr>
          <w:tcW w:w="1469" w:type="dxa"/>
        </w:tcPr>
        <w:p w14:paraId="5F42A57B" w14:textId="77777777" w:rsidR="004547C2" w:rsidRPr="00E406BB" w:rsidRDefault="004547C2" w:rsidP="004547C2">
          <w:pPr>
            <w:pStyle w:val="-fa"/>
            <w:spacing w:before="0" w:line="264" w:lineRule="auto"/>
            <w:rPr>
              <w:rtl/>
            </w:rPr>
          </w:pPr>
        </w:p>
      </w:tc>
      <w:tc>
        <w:tcPr>
          <w:tcW w:w="12806" w:type="dxa"/>
        </w:tcPr>
        <w:p w14:paraId="1AD34A13" w14:textId="77777777" w:rsidR="004547C2" w:rsidRPr="00E406BB" w:rsidRDefault="004547C2" w:rsidP="004547C2">
          <w:pPr>
            <w:pStyle w:val="-0"/>
            <w:spacing w:after="120" w:line="264" w:lineRule="auto"/>
            <w:ind w:left="142" w:hanging="142"/>
            <w:rPr>
              <w:rtl/>
            </w:rPr>
          </w:pPr>
          <w:r w:rsidRPr="00E406BB">
            <w:rPr>
              <w:rFonts w:hint="cs"/>
              <w:rtl/>
            </w:rPr>
            <w:t>סכומים מדווחים (במיליוני ש"ח)</w:t>
          </w:r>
        </w:p>
      </w:tc>
    </w:tr>
  </w:tbl>
  <w:p w14:paraId="781CEA92" w14:textId="77777777" w:rsidR="00553945" w:rsidRPr="004547C2" w:rsidRDefault="00553945" w:rsidP="004547C2">
    <w:pPr>
      <w:spacing w:line="360" w:lineRule="auto"/>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D258D" w14:textId="77777777" w:rsidR="00553945" w:rsidRDefault="00553945" w:rsidP="00582B85">
    <w:pPr>
      <w:spacing w:line="360" w:lineRule="auto"/>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6" w:type="pct"/>
      <w:tblLook w:val="04A0" w:firstRow="1" w:lastRow="0" w:firstColumn="1" w:lastColumn="0" w:noHBand="0" w:noVBand="1"/>
    </w:tblPr>
    <w:tblGrid>
      <w:gridCol w:w="1025"/>
      <w:gridCol w:w="9031"/>
    </w:tblGrid>
    <w:tr w:rsidR="004547C2" w:rsidRPr="00E406BB" w14:paraId="77227356" w14:textId="77777777" w:rsidTr="00400DD1">
      <w:trPr>
        <w:trHeight w:val="259"/>
      </w:trPr>
      <w:tc>
        <w:tcPr>
          <w:tcW w:w="1025" w:type="dxa"/>
        </w:tcPr>
        <w:p w14:paraId="72FAB0DC" w14:textId="77777777" w:rsidR="004547C2" w:rsidRPr="00E406BB" w:rsidRDefault="004547C2" w:rsidP="004547C2">
          <w:pPr>
            <w:pStyle w:val="-fa"/>
            <w:spacing w:before="0" w:line="264" w:lineRule="auto"/>
            <w:rPr>
              <w:rtl/>
            </w:rPr>
          </w:pPr>
        </w:p>
      </w:tc>
      <w:tc>
        <w:tcPr>
          <w:tcW w:w="9030" w:type="dxa"/>
          <w:vAlign w:val="bottom"/>
        </w:tcPr>
        <w:p w14:paraId="165FE009"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467CE4FE" w14:textId="77777777" w:rsidTr="00400DD1">
      <w:trPr>
        <w:trHeight w:val="259"/>
      </w:trPr>
      <w:tc>
        <w:tcPr>
          <w:tcW w:w="1025" w:type="dxa"/>
        </w:tcPr>
        <w:p w14:paraId="7FAFA1AD" w14:textId="77777777" w:rsidR="004547C2" w:rsidRPr="00E406BB" w:rsidRDefault="004547C2" w:rsidP="004547C2">
          <w:pPr>
            <w:pStyle w:val="-fa"/>
            <w:spacing w:before="0" w:line="264" w:lineRule="auto"/>
            <w:rPr>
              <w:rtl/>
            </w:rPr>
          </w:pPr>
        </w:p>
      </w:tc>
      <w:tc>
        <w:tcPr>
          <w:tcW w:w="9030" w:type="dxa"/>
          <w:vAlign w:val="bottom"/>
        </w:tcPr>
        <w:p w14:paraId="0FDA585F" w14:textId="143AFEDD"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4547C2" w:rsidRPr="00E406BB" w14:paraId="5975E36E" w14:textId="77777777" w:rsidTr="00400DD1">
      <w:trPr>
        <w:trHeight w:val="259"/>
      </w:trPr>
      <w:tc>
        <w:tcPr>
          <w:tcW w:w="1025" w:type="dxa"/>
        </w:tcPr>
        <w:p w14:paraId="4069ABC1" w14:textId="77777777" w:rsidR="004547C2" w:rsidRPr="00E406BB" w:rsidRDefault="004547C2" w:rsidP="004547C2">
          <w:pPr>
            <w:pStyle w:val="-fa"/>
            <w:spacing w:before="0" w:line="264" w:lineRule="auto"/>
            <w:rPr>
              <w:rtl/>
            </w:rPr>
          </w:pPr>
        </w:p>
      </w:tc>
      <w:tc>
        <w:tcPr>
          <w:tcW w:w="9030" w:type="dxa"/>
        </w:tcPr>
        <w:p w14:paraId="30EEEFE5" w14:textId="77777777" w:rsidR="004547C2" w:rsidRPr="00E406BB" w:rsidRDefault="004547C2" w:rsidP="004547C2">
          <w:pPr>
            <w:pStyle w:val="-0"/>
            <w:spacing w:after="120" w:line="264" w:lineRule="auto"/>
            <w:ind w:left="142" w:hanging="142"/>
            <w:rPr>
              <w:rtl/>
            </w:rPr>
          </w:pPr>
          <w:r w:rsidRPr="00E406BB">
            <w:rPr>
              <w:rFonts w:hint="cs"/>
              <w:rtl/>
            </w:rPr>
            <w:t>סכומים מדווחים (במיליוני ש"ח)</w:t>
          </w:r>
        </w:p>
      </w:tc>
    </w:tr>
  </w:tbl>
  <w:p w14:paraId="4FFEA1DC" w14:textId="77777777" w:rsidR="00553945" w:rsidRPr="00AF629E" w:rsidRDefault="00553945" w:rsidP="004547C2">
    <w:pPr>
      <w:pStyle w:val="af2"/>
      <w:bidi w:val="0"/>
      <w:spacing w:line="14" w:lineRule="exac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6" w:type="pct"/>
      <w:tblLook w:val="04A0" w:firstRow="1" w:lastRow="0" w:firstColumn="1" w:lastColumn="0" w:noHBand="0" w:noVBand="1"/>
    </w:tblPr>
    <w:tblGrid>
      <w:gridCol w:w="1025"/>
      <w:gridCol w:w="9031"/>
    </w:tblGrid>
    <w:tr w:rsidR="00EC46DF" w:rsidRPr="00E406BB" w14:paraId="038DE011" w14:textId="77777777" w:rsidTr="00153736">
      <w:trPr>
        <w:trHeight w:val="259"/>
      </w:trPr>
      <w:tc>
        <w:tcPr>
          <w:tcW w:w="1025" w:type="dxa"/>
        </w:tcPr>
        <w:p w14:paraId="7429259B" w14:textId="77777777" w:rsidR="00EC46DF" w:rsidRPr="00E406BB" w:rsidRDefault="00EC46DF" w:rsidP="00EC46DF">
          <w:pPr>
            <w:pStyle w:val="-fa"/>
            <w:spacing w:before="0" w:line="264" w:lineRule="auto"/>
            <w:rPr>
              <w:rtl/>
            </w:rPr>
          </w:pPr>
        </w:p>
      </w:tc>
      <w:tc>
        <w:tcPr>
          <w:tcW w:w="9030" w:type="dxa"/>
          <w:vAlign w:val="bottom"/>
        </w:tcPr>
        <w:p w14:paraId="6994910F" w14:textId="77777777" w:rsidR="00EC46DF" w:rsidRDefault="00EC46DF" w:rsidP="00EC46DF">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EC46DF" w:rsidRPr="00E406BB" w14:paraId="0065B0E0" w14:textId="77777777" w:rsidTr="00153736">
      <w:trPr>
        <w:trHeight w:val="259"/>
      </w:trPr>
      <w:tc>
        <w:tcPr>
          <w:tcW w:w="1025" w:type="dxa"/>
        </w:tcPr>
        <w:p w14:paraId="74D9AA10" w14:textId="77777777" w:rsidR="00EC46DF" w:rsidRPr="00E406BB" w:rsidRDefault="00EC46DF" w:rsidP="00EC46DF">
          <w:pPr>
            <w:pStyle w:val="-fa"/>
            <w:spacing w:before="0" w:line="264" w:lineRule="auto"/>
            <w:rPr>
              <w:rtl/>
            </w:rPr>
          </w:pPr>
        </w:p>
      </w:tc>
      <w:tc>
        <w:tcPr>
          <w:tcW w:w="9030" w:type="dxa"/>
          <w:vAlign w:val="bottom"/>
        </w:tcPr>
        <w:p w14:paraId="5D5E295D" w14:textId="29F8F6AF" w:rsidR="00EC46DF" w:rsidRDefault="00EC46DF" w:rsidP="00EC46DF">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EC46DF" w:rsidRPr="00E406BB" w14:paraId="19681932" w14:textId="77777777" w:rsidTr="00153736">
      <w:trPr>
        <w:trHeight w:val="259"/>
      </w:trPr>
      <w:tc>
        <w:tcPr>
          <w:tcW w:w="1025" w:type="dxa"/>
        </w:tcPr>
        <w:p w14:paraId="583F3DEA" w14:textId="77777777" w:rsidR="00EC46DF" w:rsidRPr="00E406BB" w:rsidRDefault="00EC46DF" w:rsidP="00EC46DF">
          <w:pPr>
            <w:pStyle w:val="-fa"/>
            <w:spacing w:before="0" w:line="264" w:lineRule="auto"/>
            <w:rPr>
              <w:rtl/>
            </w:rPr>
          </w:pPr>
        </w:p>
      </w:tc>
      <w:tc>
        <w:tcPr>
          <w:tcW w:w="9030" w:type="dxa"/>
        </w:tcPr>
        <w:p w14:paraId="0D373139" w14:textId="77777777" w:rsidR="00EC46DF" w:rsidRPr="00E406BB" w:rsidRDefault="00EC46DF" w:rsidP="00EC46DF">
          <w:pPr>
            <w:pStyle w:val="-0"/>
            <w:spacing w:after="120" w:line="264" w:lineRule="auto"/>
            <w:ind w:left="142" w:hanging="142"/>
            <w:rPr>
              <w:rtl/>
            </w:rPr>
          </w:pPr>
          <w:r w:rsidRPr="00E406BB">
            <w:rPr>
              <w:rFonts w:hint="cs"/>
              <w:rtl/>
            </w:rPr>
            <w:t>סכומים מדווחים (במיליוני ש"ח)</w:t>
          </w:r>
        </w:p>
      </w:tc>
    </w:tr>
  </w:tbl>
  <w:p w14:paraId="0CA2D850" w14:textId="617FA649" w:rsidR="00553945" w:rsidRPr="008C096F" w:rsidRDefault="00553945" w:rsidP="00EC46DF">
    <w:pPr>
      <w:pStyle w:val="-2"/>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6" w:type="pct"/>
      <w:tblLook w:val="04A0" w:firstRow="1" w:lastRow="0" w:firstColumn="1" w:lastColumn="0" w:noHBand="0" w:noVBand="1"/>
    </w:tblPr>
    <w:tblGrid>
      <w:gridCol w:w="1025"/>
      <w:gridCol w:w="9031"/>
    </w:tblGrid>
    <w:tr w:rsidR="004547C2" w:rsidRPr="00E406BB" w14:paraId="345AD107" w14:textId="77777777" w:rsidTr="00400DD1">
      <w:trPr>
        <w:trHeight w:val="259"/>
      </w:trPr>
      <w:tc>
        <w:tcPr>
          <w:tcW w:w="1025" w:type="dxa"/>
        </w:tcPr>
        <w:p w14:paraId="04B2A684" w14:textId="77777777" w:rsidR="004547C2" w:rsidRPr="00E406BB" w:rsidRDefault="004547C2" w:rsidP="004547C2">
          <w:pPr>
            <w:pStyle w:val="-fa"/>
            <w:spacing w:before="0" w:line="264" w:lineRule="auto"/>
            <w:rPr>
              <w:rtl/>
            </w:rPr>
          </w:pPr>
        </w:p>
      </w:tc>
      <w:tc>
        <w:tcPr>
          <w:tcW w:w="9030" w:type="dxa"/>
          <w:vAlign w:val="bottom"/>
        </w:tcPr>
        <w:p w14:paraId="54AAB7D2"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15E84FCB" w14:textId="77777777" w:rsidTr="00400DD1">
      <w:trPr>
        <w:trHeight w:val="259"/>
      </w:trPr>
      <w:tc>
        <w:tcPr>
          <w:tcW w:w="1025" w:type="dxa"/>
        </w:tcPr>
        <w:p w14:paraId="1B11B5F0" w14:textId="77777777" w:rsidR="004547C2" w:rsidRPr="00E406BB" w:rsidRDefault="004547C2" w:rsidP="004547C2">
          <w:pPr>
            <w:pStyle w:val="-fa"/>
            <w:spacing w:before="0" w:line="264" w:lineRule="auto"/>
            <w:rPr>
              <w:rtl/>
            </w:rPr>
          </w:pPr>
        </w:p>
      </w:tc>
      <w:tc>
        <w:tcPr>
          <w:tcW w:w="9030" w:type="dxa"/>
          <w:vAlign w:val="bottom"/>
        </w:tcPr>
        <w:p w14:paraId="117D7B1A" w14:textId="62283BA3"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4547C2" w:rsidRPr="00E406BB" w14:paraId="6DB7E87F" w14:textId="77777777" w:rsidTr="00400DD1">
      <w:trPr>
        <w:trHeight w:val="259"/>
      </w:trPr>
      <w:tc>
        <w:tcPr>
          <w:tcW w:w="1025" w:type="dxa"/>
        </w:tcPr>
        <w:p w14:paraId="0C49CCD5" w14:textId="77777777" w:rsidR="004547C2" w:rsidRPr="00E406BB" w:rsidRDefault="004547C2" w:rsidP="004547C2">
          <w:pPr>
            <w:pStyle w:val="-fa"/>
            <w:spacing w:before="0" w:line="264" w:lineRule="auto"/>
            <w:rPr>
              <w:rtl/>
            </w:rPr>
          </w:pPr>
        </w:p>
      </w:tc>
      <w:tc>
        <w:tcPr>
          <w:tcW w:w="9030" w:type="dxa"/>
        </w:tcPr>
        <w:p w14:paraId="0643AFB2" w14:textId="77777777" w:rsidR="004547C2" w:rsidRPr="00E406BB" w:rsidRDefault="004547C2" w:rsidP="004547C2">
          <w:pPr>
            <w:pStyle w:val="-0"/>
            <w:spacing w:after="120" w:line="264" w:lineRule="auto"/>
            <w:ind w:left="142" w:hanging="142"/>
            <w:rPr>
              <w:rtl/>
            </w:rPr>
          </w:pPr>
          <w:r w:rsidRPr="00E406BB">
            <w:rPr>
              <w:rFonts w:hint="cs"/>
              <w:rtl/>
            </w:rPr>
            <w:t>סכומים מדווחים (במיליוני ש"ח)</w:t>
          </w:r>
        </w:p>
      </w:tc>
    </w:tr>
  </w:tbl>
  <w:p w14:paraId="38375523" w14:textId="77777777" w:rsidR="00553945" w:rsidRPr="004547C2" w:rsidRDefault="00553945" w:rsidP="004547C2">
    <w:pPr>
      <w:pStyle w:val="af2"/>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6" w:type="pct"/>
      <w:tblLook w:val="04A0" w:firstRow="1" w:lastRow="0" w:firstColumn="1" w:lastColumn="0" w:noHBand="0" w:noVBand="1"/>
    </w:tblPr>
    <w:tblGrid>
      <w:gridCol w:w="1025"/>
      <w:gridCol w:w="9031"/>
    </w:tblGrid>
    <w:tr w:rsidR="004547C2" w:rsidRPr="00E406BB" w14:paraId="531E449F" w14:textId="77777777" w:rsidTr="00400DD1">
      <w:trPr>
        <w:trHeight w:val="259"/>
      </w:trPr>
      <w:tc>
        <w:tcPr>
          <w:tcW w:w="1025" w:type="dxa"/>
        </w:tcPr>
        <w:p w14:paraId="325A5E05" w14:textId="77777777" w:rsidR="004547C2" w:rsidRPr="00E406BB" w:rsidRDefault="004547C2" w:rsidP="004547C2">
          <w:pPr>
            <w:pStyle w:val="-fa"/>
            <w:spacing w:before="0" w:line="264" w:lineRule="auto"/>
            <w:rPr>
              <w:rtl/>
            </w:rPr>
          </w:pPr>
        </w:p>
      </w:tc>
      <w:tc>
        <w:tcPr>
          <w:tcW w:w="9030" w:type="dxa"/>
          <w:vAlign w:val="bottom"/>
        </w:tcPr>
        <w:p w14:paraId="4FD5AB6D"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594F3939" w14:textId="77777777" w:rsidTr="00400DD1">
      <w:trPr>
        <w:trHeight w:val="259"/>
      </w:trPr>
      <w:tc>
        <w:tcPr>
          <w:tcW w:w="1025" w:type="dxa"/>
        </w:tcPr>
        <w:p w14:paraId="4B3B614D" w14:textId="77777777" w:rsidR="004547C2" w:rsidRPr="00E406BB" w:rsidRDefault="004547C2" w:rsidP="004547C2">
          <w:pPr>
            <w:pStyle w:val="-fa"/>
            <w:spacing w:before="0" w:line="264" w:lineRule="auto"/>
            <w:rPr>
              <w:rtl/>
            </w:rPr>
          </w:pPr>
        </w:p>
      </w:tc>
      <w:tc>
        <w:tcPr>
          <w:tcW w:w="9030" w:type="dxa"/>
          <w:vAlign w:val="bottom"/>
        </w:tcPr>
        <w:p w14:paraId="4010A323" w14:textId="1C247D92"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4547C2" w:rsidRPr="00E406BB" w14:paraId="6E155CF2" w14:textId="77777777" w:rsidTr="00400DD1">
      <w:trPr>
        <w:trHeight w:val="259"/>
      </w:trPr>
      <w:tc>
        <w:tcPr>
          <w:tcW w:w="1025" w:type="dxa"/>
        </w:tcPr>
        <w:p w14:paraId="4F5332CC" w14:textId="77777777" w:rsidR="004547C2" w:rsidRPr="00E406BB" w:rsidRDefault="004547C2" w:rsidP="004547C2">
          <w:pPr>
            <w:pStyle w:val="-fa"/>
            <w:spacing w:before="0" w:line="264" w:lineRule="auto"/>
            <w:rPr>
              <w:rtl/>
            </w:rPr>
          </w:pPr>
        </w:p>
      </w:tc>
      <w:tc>
        <w:tcPr>
          <w:tcW w:w="9030" w:type="dxa"/>
        </w:tcPr>
        <w:p w14:paraId="45D095F3" w14:textId="77777777" w:rsidR="004547C2" w:rsidRPr="00E406BB" w:rsidRDefault="004547C2" w:rsidP="004547C2">
          <w:pPr>
            <w:pStyle w:val="-0"/>
            <w:spacing w:after="120" w:line="264" w:lineRule="auto"/>
            <w:ind w:left="142" w:hanging="142"/>
            <w:rPr>
              <w:rtl/>
            </w:rPr>
          </w:pPr>
          <w:r w:rsidRPr="00E406BB">
            <w:rPr>
              <w:rFonts w:hint="cs"/>
              <w:rtl/>
            </w:rPr>
            <w:t>סכומים מדווחים (במיליוני ש"ח)</w:t>
          </w:r>
        </w:p>
      </w:tc>
    </w:tr>
  </w:tbl>
  <w:p w14:paraId="7A3E072D" w14:textId="77777777" w:rsidR="00553945" w:rsidRPr="00AF629E" w:rsidRDefault="00553945" w:rsidP="00AF629E">
    <w:pPr>
      <w:pStyle w:val="af2"/>
      <w:bidi w:val="0"/>
      <w:spacing w:line="14" w:lineRule="exac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6" w:type="pct"/>
      <w:tblLook w:val="04A0" w:firstRow="1" w:lastRow="0" w:firstColumn="1" w:lastColumn="0" w:noHBand="0" w:noVBand="1"/>
    </w:tblPr>
    <w:tblGrid>
      <w:gridCol w:w="1025"/>
      <w:gridCol w:w="9031"/>
    </w:tblGrid>
    <w:tr w:rsidR="004547C2" w:rsidRPr="00E406BB" w14:paraId="7B3F9D59" w14:textId="77777777" w:rsidTr="00400DD1">
      <w:trPr>
        <w:trHeight w:val="259"/>
      </w:trPr>
      <w:tc>
        <w:tcPr>
          <w:tcW w:w="1025" w:type="dxa"/>
        </w:tcPr>
        <w:p w14:paraId="5EA134E0" w14:textId="77777777" w:rsidR="004547C2" w:rsidRPr="00E406BB" w:rsidRDefault="004547C2" w:rsidP="004547C2">
          <w:pPr>
            <w:pStyle w:val="-fa"/>
            <w:spacing w:before="0" w:line="264" w:lineRule="auto"/>
            <w:rPr>
              <w:rtl/>
            </w:rPr>
          </w:pPr>
        </w:p>
      </w:tc>
      <w:tc>
        <w:tcPr>
          <w:tcW w:w="9030" w:type="dxa"/>
          <w:vAlign w:val="bottom"/>
        </w:tcPr>
        <w:p w14:paraId="69765249"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0DF25979" w14:textId="77777777" w:rsidTr="00400DD1">
      <w:trPr>
        <w:trHeight w:val="259"/>
      </w:trPr>
      <w:tc>
        <w:tcPr>
          <w:tcW w:w="1025" w:type="dxa"/>
        </w:tcPr>
        <w:p w14:paraId="52844F93" w14:textId="77777777" w:rsidR="004547C2" w:rsidRPr="00E406BB" w:rsidRDefault="004547C2" w:rsidP="004547C2">
          <w:pPr>
            <w:pStyle w:val="-fa"/>
            <w:spacing w:before="0" w:line="264" w:lineRule="auto"/>
            <w:rPr>
              <w:rtl/>
            </w:rPr>
          </w:pPr>
        </w:p>
      </w:tc>
      <w:tc>
        <w:tcPr>
          <w:tcW w:w="9030" w:type="dxa"/>
          <w:vAlign w:val="bottom"/>
        </w:tcPr>
        <w:p w14:paraId="38ED9823" w14:textId="2832A2EA"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763B10">
            <w:rPr>
              <w:noProof/>
              <w:sz w:val="20"/>
              <w:szCs w:val="20"/>
              <w:rtl/>
            </w:rPr>
            <w:t>2024</w:t>
          </w:r>
          <w:r w:rsidRPr="00C803FD">
            <w:rPr>
              <w:sz w:val="20"/>
              <w:szCs w:val="20"/>
              <w:rtl/>
            </w:rPr>
            <w:fldChar w:fldCharType="end"/>
          </w:r>
        </w:p>
      </w:tc>
    </w:tr>
    <w:tr w:rsidR="004547C2" w:rsidRPr="00E406BB" w14:paraId="005B0682" w14:textId="77777777" w:rsidTr="00400DD1">
      <w:trPr>
        <w:trHeight w:val="259"/>
      </w:trPr>
      <w:tc>
        <w:tcPr>
          <w:tcW w:w="1025" w:type="dxa"/>
        </w:tcPr>
        <w:p w14:paraId="255F39DF" w14:textId="77777777" w:rsidR="004547C2" w:rsidRPr="00E406BB" w:rsidRDefault="004547C2" w:rsidP="004547C2">
          <w:pPr>
            <w:pStyle w:val="-fa"/>
            <w:spacing w:before="0" w:line="264" w:lineRule="auto"/>
            <w:rPr>
              <w:rtl/>
            </w:rPr>
          </w:pPr>
        </w:p>
      </w:tc>
      <w:tc>
        <w:tcPr>
          <w:tcW w:w="9030" w:type="dxa"/>
        </w:tcPr>
        <w:p w14:paraId="513BDB5B" w14:textId="77777777" w:rsidR="004547C2" w:rsidRPr="00E406BB" w:rsidRDefault="004547C2" w:rsidP="004547C2">
          <w:pPr>
            <w:pStyle w:val="-0"/>
            <w:spacing w:after="120" w:line="264" w:lineRule="auto"/>
            <w:ind w:left="142" w:hanging="142"/>
            <w:rPr>
              <w:rtl/>
            </w:rPr>
          </w:pPr>
          <w:r w:rsidRPr="00E406BB">
            <w:rPr>
              <w:rFonts w:hint="cs"/>
              <w:rtl/>
            </w:rPr>
            <w:t>סכומים מדווחים (במיליוני ש"ח)</w:t>
          </w:r>
        </w:p>
      </w:tc>
    </w:tr>
  </w:tbl>
  <w:p w14:paraId="0E968A03" w14:textId="77777777" w:rsidR="00553945" w:rsidRPr="004547C2" w:rsidRDefault="00553945" w:rsidP="004547C2">
    <w:pPr>
      <w:pStyle w:val="af2"/>
      <w:spacing w:line="360" w:lineRule="auto"/>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6" w:type="pct"/>
      <w:tblLook w:val="04A0" w:firstRow="1" w:lastRow="0" w:firstColumn="1" w:lastColumn="0" w:noHBand="0" w:noVBand="1"/>
    </w:tblPr>
    <w:tblGrid>
      <w:gridCol w:w="1025"/>
      <w:gridCol w:w="9031"/>
    </w:tblGrid>
    <w:tr w:rsidR="004547C2" w:rsidRPr="00E406BB" w14:paraId="2EA68705" w14:textId="77777777" w:rsidTr="00400DD1">
      <w:trPr>
        <w:trHeight w:val="259"/>
      </w:trPr>
      <w:tc>
        <w:tcPr>
          <w:tcW w:w="1025" w:type="dxa"/>
        </w:tcPr>
        <w:p w14:paraId="1FE294A1" w14:textId="77777777" w:rsidR="004547C2" w:rsidRPr="00E406BB" w:rsidRDefault="004547C2" w:rsidP="004547C2">
          <w:pPr>
            <w:pStyle w:val="-fa"/>
            <w:spacing w:before="0" w:line="264" w:lineRule="auto"/>
            <w:rPr>
              <w:rtl/>
            </w:rPr>
          </w:pPr>
        </w:p>
      </w:tc>
      <w:tc>
        <w:tcPr>
          <w:tcW w:w="9030" w:type="dxa"/>
          <w:vAlign w:val="bottom"/>
        </w:tcPr>
        <w:p w14:paraId="526CAFF1"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078DF66F" w14:textId="77777777" w:rsidTr="00400DD1">
      <w:trPr>
        <w:trHeight w:val="259"/>
      </w:trPr>
      <w:tc>
        <w:tcPr>
          <w:tcW w:w="1025" w:type="dxa"/>
        </w:tcPr>
        <w:p w14:paraId="459695D2" w14:textId="77777777" w:rsidR="004547C2" w:rsidRPr="00E406BB" w:rsidRDefault="004547C2" w:rsidP="004547C2">
          <w:pPr>
            <w:pStyle w:val="-fa"/>
            <w:spacing w:before="0" w:line="264" w:lineRule="auto"/>
            <w:rPr>
              <w:rtl/>
            </w:rPr>
          </w:pPr>
        </w:p>
      </w:tc>
      <w:tc>
        <w:tcPr>
          <w:tcW w:w="9030" w:type="dxa"/>
          <w:vAlign w:val="bottom"/>
        </w:tcPr>
        <w:p w14:paraId="3CFE6C4F" w14:textId="2C4BBC67"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763B10">
            <w:rPr>
              <w:noProof/>
              <w:sz w:val="20"/>
              <w:szCs w:val="20"/>
              <w:rtl/>
            </w:rPr>
            <w:t>2024</w:t>
          </w:r>
          <w:r w:rsidRPr="00C803FD">
            <w:rPr>
              <w:sz w:val="20"/>
              <w:szCs w:val="20"/>
              <w:rtl/>
            </w:rPr>
            <w:fldChar w:fldCharType="end"/>
          </w:r>
        </w:p>
      </w:tc>
    </w:tr>
    <w:tr w:rsidR="004547C2" w:rsidRPr="00E406BB" w14:paraId="7DD60522" w14:textId="77777777" w:rsidTr="00400DD1">
      <w:trPr>
        <w:trHeight w:val="259"/>
      </w:trPr>
      <w:tc>
        <w:tcPr>
          <w:tcW w:w="1025" w:type="dxa"/>
        </w:tcPr>
        <w:p w14:paraId="6C33AABB" w14:textId="77777777" w:rsidR="004547C2" w:rsidRPr="00E406BB" w:rsidRDefault="004547C2" w:rsidP="004547C2">
          <w:pPr>
            <w:pStyle w:val="-fa"/>
            <w:spacing w:before="0" w:line="264" w:lineRule="auto"/>
            <w:rPr>
              <w:rtl/>
            </w:rPr>
          </w:pPr>
        </w:p>
      </w:tc>
      <w:tc>
        <w:tcPr>
          <w:tcW w:w="9030" w:type="dxa"/>
        </w:tcPr>
        <w:p w14:paraId="1529C0CC" w14:textId="77777777" w:rsidR="004547C2" w:rsidRPr="00E406BB" w:rsidRDefault="004547C2" w:rsidP="004547C2">
          <w:pPr>
            <w:pStyle w:val="-0"/>
            <w:spacing w:after="120" w:line="264" w:lineRule="auto"/>
            <w:ind w:left="142" w:hanging="142"/>
            <w:rPr>
              <w:rtl/>
            </w:rPr>
          </w:pPr>
          <w:r w:rsidRPr="00E406BB">
            <w:rPr>
              <w:rFonts w:hint="cs"/>
              <w:rtl/>
            </w:rPr>
            <w:t>סכומים מדווחים (במיליוני ש"ח)</w:t>
          </w:r>
        </w:p>
      </w:tc>
    </w:tr>
  </w:tbl>
  <w:p w14:paraId="72F1D843" w14:textId="77777777" w:rsidR="00553945" w:rsidRPr="00AF629E" w:rsidRDefault="00553945" w:rsidP="00AF629E">
    <w:pPr>
      <w:pStyle w:val="af2"/>
      <w:bidi w:val="0"/>
      <w:spacing w:line="14" w:lineRule="exac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6" w:type="pct"/>
      <w:tblLook w:val="04A0" w:firstRow="1" w:lastRow="0" w:firstColumn="1" w:lastColumn="0" w:noHBand="0" w:noVBand="1"/>
    </w:tblPr>
    <w:tblGrid>
      <w:gridCol w:w="1025"/>
      <w:gridCol w:w="9031"/>
    </w:tblGrid>
    <w:tr w:rsidR="004547C2" w:rsidRPr="00E406BB" w14:paraId="466E6977" w14:textId="77777777" w:rsidTr="00400DD1">
      <w:trPr>
        <w:trHeight w:val="259"/>
      </w:trPr>
      <w:tc>
        <w:tcPr>
          <w:tcW w:w="1025" w:type="dxa"/>
        </w:tcPr>
        <w:p w14:paraId="6A3FF80B" w14:textId="77777777" w:rsidR="004547C2" w:rsidRPr="00E406BB" w:rsidRDefault="004547C2" w:rsidP="004547C2">
          <w:pPr>
            <w:pStyle w:val="-fa"/>
            <w:spacing w:before="0" w:line="264" w:lineRule="auto"/>
            <w:rPr>
              <w:rtl/>
            </w:rPr>
          </w:pPr>
        </w:p>
      </w:tc>
      <w:tc>
        <w:tcPr>
          <w:tcW w:w="9030" w:type="dxa"/>
          <w:vAlign w:val="bottom"/>
        </w:tcPr>
        <w:p w14:paraId="331BA3FA"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1B7AA830" w14:textId="77777777" w:rsidTr="00400DD1">
      <w:trPr>
        <w:trHeight w:val="259"/>
      </w:trPr>
      <w:tc>
        <w:tcPr>
          <w:tcW w:w="1025" w:type="dxa"/>
        </w:tcPr>
        <w:p w14:paraId="14D0C430" w14:textId="77777777" w:rsidR="004547C2" w:rsidRPr="00E406BB" w:rsidRDefault="004547C2" w:rsidP="004547C2">
          <w:pPr>
            <w:pStyle w:val="-fa"/>
            <w:spacing w:before="0" w:line="264" w:lineRule="auto"/>
            <w:rPr>
              <w:rtl/>
            </w:rPr>
          </w:pPr>
        </w:p>
      </w:tc>
      <w:tc>
        <w:tcPr>
          <w:tcW w:w="9030" w:type="dxa"/>
          <w:vAlign w:val="bottom"/>
        </w:tcPr>
        <w:p w14:paraId="280323A1" w14:textId="039957D0"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4547C2" w:rsidRPr="00E406BB" w14:paraId="3FFA1981" w14:textId="77777777" w:rsidTr="00400DD1">
      <w:trPr>
        <w:trHeight w:val="259"/>
      </w:trPr>
      <w:tc>
        <w:tcPr>
          <w:tcW w:w="1025" w:type="dxa"/>
        </w:tcPr>
        <w:p w14:paraId="4B9304F7" w14:textId="77777777" w:rsidR="004547C2" w:rsidRPr="00E406BB" w:rsidRDefault="004547C2" w:rsidP="004547C2">
          <w:pPr>
            <w:pStyle w:val="-fa"/>
            <w:spacing w:before="0" w:line="264" w:lineRule="auto"/>
            <w:rPr>
              <w:rtl/>
            </w:rPr>
          </w:pPr>
        </w:p>
      </w:tc>
      <w:tc>
        <w:tcPr>
          <w:tcW w:w="9030" w:type="dxa"/>
        </w:tcPr>
        <w:p w14:paraId="6232552A" w14:textId="77777777" w:rsidR="004547C2" w:rsidRPr="00E406BB" w:rsidRDefault="004547C2" w:rsidP="004547C2">
          <w:pPr>
            <w:pStyle w:val="-0"/>
            <w:spacing w:after="120" w:line="264" w:lineRule="auto"/>
            <w:ind w:left="142" w:hanging="142"/>
            <w:rPr>
              <w:rtl/>
            </w:rPr>
          </w:pPr>
          <w:r w:rsidRPr="00E406BB">
            <w:rPr>
              <w:rFonts w:hint="cs"/>
              <w:rtl/>
            </w:rPr>
            <w:t>סכומים מדווחים (במיליוני ש"ח)</w:t>
          </w:r>
        </w:p>
      </w:tc>
    </w:tr>
  </w:tbl>
  <w:p w14:paraId="342D266C" w14:textId="77777777" w:rsidR="00553945" w:rsidRPr="004547C2" w:rsidRDefault="00553945" w:rsidP="004547C2">
    <w:pPr>
      <w:pStyle w:val="af2"/>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6" w:type="pct"/>
      <w:tblLook w:val="04A0" w:firstRow="1" w:lastRow="0" w:firstColumn="1" w:lastColumn="0" w:noHBand="0" w:noVBand="1"/>
    </w:tblPr>
    <w:tblGrid>
      <w:gridCol w:w="1025"/>
      <w:gridCol w:w="9031"/>
    </w:tblGrid>
    <w:tr w:rsidR="004547C2" w:rsidRPr="00E406BB" w14:paraId="30F8766D" w14:textId="77777777" w:rsidTr="00400DD1">
      <w:trPr>
        <w:trHeight w:val="259"/>
      </w:trPr>
      <w:tc>
        <w:tcPr>
          <w:tcW w:w="1025" w:type="dxa"/>
        </w:tcPr>
        <w:p w14:paraId="3A19220E" w14:textId="77777777" w:rsidR="004547C2" w:rsidRPr="00E406BB" w:rsidRDefault="004547C2" w:rsidP="004547C2">
          <w:pPr>
            <w:pStyle w:val="-fa"/>
            <w:spacing w:before="0" w:line="264" w:lineRule="auto"/>
            <w:rPr>
              <w:rtl/>
            </w:rPr>
          </w:pPr>
        </w:p>
      </w:tc>
      <w:tc>
        <w:tcPr>
          <w:tcW w:w="9030" w:type="dxa"/>
          <w:vAlign w:val="bottom"/>
        </w:tcPr>
        <w:p w14:paraId="713C4A3A"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0F9101B0" w14:textId="77777777" w:rsidTr="00400DD1">
      <w:trPr>
        <w:trHeight w:val="259"/>
      </w:trPr>
      <w:tc>
        <w:tcPr>
          <w:tcW w:w="1025" w:type="dxa"/>
        </w:tcPr>
        <w:p w14:paraId="46E4080B" w14:textId="77777777" w:rsidR="004547C2" w:rsidRPr="00E406BB" w:rsidRDefault="004547C2" w:rsidP="004547C2">
          <w:pPr>
            <w:pStyle w:val="-fa"/>
            <w:spacing w:before="0" w:line="264" w:lineRule="auto"/>
            <w:rPr>
              <w:rtl/>
            </w:rPr>
          </w:pPr>
        </w:p>
      </w:tc>
      <w:tc>
        <w:tcPr>
          <w:tcW w:w="9030" w:type="dxa"/>
          <w:vAlign w:val="bottom"/>
        </w:tcPr>
        <w:p w14:paraId="35155CAC" w14:textId="04874F60"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4547C2" w:rsidRPr="00E406BB" w14:paraId="2DB7D46E" w14:textId="77777777" w:rsidTr="00400DD1">
      <w:trPr>
        <w:trHeight w:val="259"/>
      </w:trPr>
      <w:tc>
        <w:tcPr>
          <w:tcW w:w="1025" w:type="dxa"/>
        </w:tcPr>
        <w:p w14:paraId="48FA7030" w14:textId="77777777" w:rsidR="004547C2" w:rsidRPr="00E406BB" w:rsidRDefault="004547C2" w:rsidP="004547C2">
          <w:pPr>
            <w:pStyle w:val="-fa"/>
            <w:spacing w:before="0" w:line="264" w:lineRule="auto"/>
            <w:rPr>
              <w:rtl/>
            </w:rPr>
          </w:pPr>
        </w:p>
      </w:tc>
      <w:tc>
        <w:tcPr>
          <w:tcW w:w="9030" w:type="dxa"/>
        </w:tcPr>
        <w:p w14:paraId="4AAEC491" w14:textId="77777777" w:rsidR="004547C2" w:rsidRPr="00E406BB" w:rsidRDefault="004547C2" w:rsidP="004547C2">
          <w:pPr>
            <w:pStyle w:val="-0"/>
            <w:spacing w:after="120" w:line="264" w:lineRule="auto"/>
            <w:ind w:left="142" w:hanging="142"/>
            <w:rPr>
              <w:rtl/>
            </w:rPr>
          </w:pPr>
          <w:r w:rsidRPr="00E406BB">
            <w:rPr>
              <w:rFonts w:hint="cs"/>
              <w:rtl/>
            </w:rPr>
            <w:t>סכומים מדווחים (במיליוני ש"ח)</w:t>
          </w:r>
        </w:p>
      </w:tc>
    </w:tr>
  </w:tbl>
  <w:p w14:paraId="22499953" w14:textId="77777777" w:rsidR="00553945" w:rsidRPr="00AF629E" w:rsidRDefault="00553945" w:rsidP="00AF629E">
    <w:pPr>
      <w:pStyle w:val="af2"/>
      <w:bidi w:val="0"/>
      <w:spacing w:line="14" w:lineRule="exact"/>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47B7A" w14:textId="77777777" w:rsidR="00553945" w:rsidRDefault="00553945" w:rsidP="00664B20">
    <w:pPr>
      <w:pStyle w:val="-2"/>
      <w:ind w:left="1702"/>
      <w:rPr>
        <w:rtl/>
      </w:rPr>
    </w:pPr>
    <w:r w:rsidRPr="00543C25">
      <w:rPr>
        <w:rFonts w:hint="cs"/>
        <w:rtl/>
      </w:rPr>
      <w:t>בנק</w:t>
    </w:r>
    <w:r w:rsidRPr="00543C25">
      <w:rPr>
        <w:rtl/>
      </w:rPr>
      <w:t xml:space="preserve"> </w:t>
    </w:r>
    <w:r w:rsidRPr="00543C25">
      <w:rPr>
        <w:rFonts w:hint="cs"/>
        <w:rtl/>
      </w:rPr>
      <w:t xml:space="preserve">לדוגמה </w:t>
    </w:r>
    <w:r w:rsidRPr="00543C25">
      <w:rPr>
        <w:rtl/>
      </w:rPr>
      <w:t>בע"מ וחברות מאוחדות שלו</w:t>
    </w:r>
  </w:p>
  <w:tbl>
    <w:tblPr>
      <w:bidiVisual/>
      <w:tblW w:w="10357" w:type="dxa"/>
      <w:tblLayout w:type="fixed"/>
      <w:tblLook w:val="04A0" w:firstRow="1" w:lastRow="0" w:firstColumn="1" w:lastColumn="0" w:noHBand="0" w:noVBand="1"/>
    </w:tblPr>
    <w:tblGrid>
      <w:gridCol w:w="1582"/>
      <w:gridCol w:w="8775"/>
    </w:tblGrid>
    <w:tr w:rsidR="00553945" w:rsidRPr="00543C25" w14:paraId="4964EF3D" w14:textId="77777777" w:rsidTr="00393092">
      <w:trPr>
        <w:trHeight w:val="259"/>
      </w:trPr>
      <w:tc>
        <w:tcPr>
          <w:tcW w:w="1582" w:type="dxa"/>
        </w:tcPr>
        <w:p w14:paraId="2D41B2E4" w14:textId="77777777" w:rsidR="00553945" w:rsidRPr="00123CE8" w:rsidRDefault="00553945" w:rsidP="00B37ADB">
          <w:pPr>
            <w:pStyle w:val="-fa"/>
            <w:spacing w:after="120"/>
            <w:rPr>
              <w:rtl/>
            </w:rPr>
          </w:pPr>
        </w:p>
      </w:tc>
      <w:tc>
        <w:tcPr>
          <w:tcW w:w="8775" w:type="dxa"/>
          <w:vAlign w:val="bottom"/>
        </w:tcPr>
        <w:p w14:paraId="4C7897D0" w14:textId="110827F1" w:rsidR="00553945" w:rsidRDefault="00553945" w:rsidP="008F7608">
          <w:pPr>
            <w:pStyle w:val="-"/>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009165EB">
            <w:rPr>
              <w:rFonts w:hint="cs"/>
              <w:rtl/>
            </w:rPr>
            <w:t>2022</w:t>
          </w:r>
        </w:p>
      </w:tc>
    </w:tr>
    <w:tr w:rsidR="00553945" w:rsidRPr="00543C25" w14:paraId="6A611DC2" w14:textId="77777777" w:rsidTr="00393092">
      <w:trPr>
        <w:trHeight w:val="259"/>
      </w:trPr>
      <w:tc>
        <w:tcPr>
          <w:tcW w:w="1582" w:type="dxa"/>
        </w:tcPr>
        <w:p w14:paraId="403AC77C" w14:textId="77777777" w:rsidR="00553945" w:rsidRPr="00543C25" w:rsidRDefault="00553945" w:rsidP="00B37ADB">
          <w:pPr>
            <w:pStyle w:val="-fa"/>
            <w:rPr>
              <w:rtl/>
            </w:rPr>
          </w:pPr>
        </w:p>
      </w:tc>
      <w:tc>
        <w:tcPr>
          <w:tcW w:w="8775" w:type="dxa"/>
        </w:tcPr>
        <w:p w14:paraId="2A03AF19" w14:textId="77777777" w:rsidR="00553945" w:rsidRPr="00543C25" w:rsidRDefault="00553945" w:rsidP="00B37ADB">
          <w:pPr>
            <w:pStyle w:val="-0"/>
            <w:rPr>
              <w:rtl/>
            </w:rPr>
          </w:pPr>
          <w:r w:rsidRPr="00543C25">
            <w:rPr>
              <w:rFonts w:hint="cs"/>
              <w:rtl/>
            </w:rPr>
            <w:t>סכומים מדווחים (במיליוני ש"ח)</w:t>
          </w:r>
        </w:p>
      </w:tc>
    </w:tr>
  </w:tbl>
  <w:p w14:paraId="2ABF86DA" w14:textId="77777777" w:rsidR="00553945" w:rsidRPr="008C096F" w:rsidRDefault="00553945" w:rsidP="00E64CD2">
    <w:pPr>
      <w:pStyle w:val="af2"/>
      <w:spacing w:line="360" w:lineRule="auto"/>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6" w:type="pct"/>
      <w:tblLook w:val="04A0" w:firstRow="1" w:lastRow="0" w:firstColumn="1" w:lastColumn="0" w:noHBand="0" w:noVBand="1"/>
    </w:tblPr>
    <w:tblGrid>
      <w:gridCol w:w="1025"/>
      <w:gridCol w:w="9031"/>
    </w:tblGrid>
    <w:tr w:rsidR="004547C2" w:rsidRPr="00E406BB" w14:paraId="4B424C30" w14:textId="77777777" w:rsidTr="00400DD1">
      <w:trPr>
        <w:trHeight w:val="259"/>
      </w:trPr>
      <w:tc>
        <w:tcPr>
          <w:tcW w:w="1025" w:type="dxa"/>
        </w:tcPr>
        <w:p w14:paraId="2EEAA30D" w14:textId="77777777" w:rsidR="004547C2" w:rsidRPr="00E406BB" w:rsidRDefault="004547C2" w:rsidP="004547C2">
          <w:pPr>
            <w:pStyle w:val="-fa"/>
            <w:spacing w:before="0" w:line="264" w:lineRule="auto"/>
            <w:rPr>
              <w:rtl/>
            </w:rPr>
          </w:pPr>
        </w:p>
      </w:tc>
      <w:tc>
        <w:tcPr>
          <w:tcW w:w="9030" w:type="dxa"/>
          <w:vAlign w:val="bottom"/>
        </w:tcPr>
        <w:p w14:paraId="7A7DE836"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09977F79" w14:textId="77777777" w:rsidTr="00400DD1">
      <w:trPr>
        <w:trHeight w:val="259"/>
      </w:trPr>
      <w:tc>
        <w:tcPr>
          <w:tcW w:w="1025" w:type="dxa"/>
        </w:tcPr>
        <w:p w14:paraId="4971AEEB" w14:textId="77777777" w:rsidR="004547C2" w:rsidRPr="00E406BB" w:rsidRDefault="004547C2" w:rsidP="004547C2">
          <w:pPr>
            <w:pStyle w:val="-fa"/>
            <w:spacing w:before="0" w:line="264" w:lineRule="auto"/>
            <w:rPr>
              <w:rtl/>
            </w:rPr>
          </w:pPr>
        </w:p>
      </w:tc>
      <w:tc>
        <w:tcPr>
          <w:tcW w:w="9030" w:type="dxa"/>
          <w:vAlign w:val="bottom"/>
        </w:tcPr>
        <w:p w14:paraId="29505346" w14:textId="10F6D915"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4547C2" w:rsidRPr="00E406BB" w14:paraId="646C9E31" w14:textId="77777777" w:rsidTr="00400DD1">
      <w:trPr>
        <w:trHeight w:val="259"/>
      </w:trPr>
      <w:tc>
        <w:tcPr>
          <w:tcW w:w="1025" w:type="dxa"/>
        </w:tcPr>
        <w:p w14:paraId="1401ECAC" w14:textId="77777777" w:rsidR="004547C2" w:rsidRPr="00E406BB" w:rsidRDefault="004547C2" w:rsidP="004547C2">
          <w:pPr>
            <w:pStyle w:val="-fa"/>
            <w:spacing w:before="0" w:line="264" w:lineRule="auto"/>
            <w:rPr>
              <w:rtl/>
            </w:rPr>
          </w:pPr>
        </w:p>
      </w:tc>
      <w:tc>
        <w:tcPr>
          <w:tcW w:w="9030" w:type="dxa"/>
        </w:tcPr>
        <w:p w14:paraId="28E1404D" w14:textId="77777777" w:rsidR="004547C2" w:rsidRPr="00E406BB" w:rsidRDefault="004547C2" w:rsidP="004547C2">
          <w:pPr>
            <w:pStyle w:val="-0"/>
            <w:spacing w:after="120" w:line="264" w:lineRule="auto"/>
            <w:ind w:left="142" w:hanging="142"/>
            <w:rPr>
              <w:rtl/>
            </w:rPr>
          </w:pPr>
          <w:r w:rsidRPr="00E406BB">
            <w:rPr>
              <w:rFonts w:hint="cs"/>
              <w:rtl/>
            </w:rPr>
            <w:t>סכומים מדווחים (במיליוני ש"ח)</w:t>
          </w:r>
        </w:p>
      </w:tc>
    </w:tr>
  </w:tbl>
  <w:p w14:paraId="058DA780" w14:textId="77777777" w:rsidR="00553945" w:rsidRPr="00AF629E" w:rsidRDefault="00553945" w:rsidP="00AF629E">
    <w:pPr>
      <w:pStyle w:val="af2"/>
      <w:bidi w:val="0"/>
      <w:spacing w:line="14"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1E97" w14:textId="77777777" w:rsidR="00553945" w:rsidRPr="00BF4BA5" w:rsidRDefault="00553945" w:rsidP="00BF4BA5">
    <w:pPr>
      <w:pStyle w:val="af2"/>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6" w:type="pct"/>
      <w:tblLook w:val="04A0" w:firstRow="1" w:lastRow="0" w:firstColumn="1" w:lastColumn="0" w:noHBand="0" w:noVBand="1"/>
    </w:tblPr>
    <w:tblGrid>
      <w:gridCol w:w="1025"/>
      <w:gridCol w:w="9031"/>
    </w:tblGrid>
    <w:tr w:rsidR="004547C2" w:rsidRPr="00E406BB" w14:paraId="7768410B" w14:textId="77777777" w:rsidTr="00400DD1">
      <w:trPr>
        <w:trHeight w:val="259"/>
      </w:trPr>
      <w:tc>
        <w:tcPr>
          <w:tcW w:w="1025" w:type="dxa"/>
        </w:tcPr>
        <w:p w14:paraId="5E7D3FDD" w14:textId="77777777" w:rsidR="004547C2" w:rsidRPr="00E406BB" w:rsidRDefault="004547C2" w:rsidP="004547C2">
          <w:pPr>
            <w:pStyle w:val="-fa"/>
            <w:spacing w:before="0" w:line="264" w:lineRule="auto"/>
            <w:rPr>
              <w:rtl/>
            </w:rPr>
          </w:pPr>
        </w:p>
      </w:tc>
      <w:tc>
        <w:tcPr>
          <w:tcW w:w="9030" w:type="dxa"/>
          <w:vAlign w:val="bottom"/>
        </w:tcPr>
        <w:p w14:paraId="0607E1A6"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6A914500" w14:textId="77777777" w:rsidTr="00400DD1">
      <w:trPr>
        <w:trHeight w:val="259"/>
      </w:trPr>
      <w:tc>
        <w:tcPr>
          <w:tcW w:w="1025" w:type="dxa"/>
        </w:tcPr>
        <w:p w14:paraId="7594357C" w14:textId="77777777" w:rsidR="004547C2" w:rsidRPr="00E406BB" w:rsidRDefault="004547C2" w:rsidP="004547C2">
          <w:pPr>
            <w:pStyle w:val="-fa"/>
            <w:spacing w:before="0" w:line="264" w:lineRule="auto"/>
            <w:rPr>
              <w:rtl/>
            </w:rPr>
          </w:pPr>
        </w:p>
      </w:tc>
      <w:tc>
        <w:tcPr>
          <w:tcW w:w="9030" w:type="dxa"/>
          <w:vAlign w:val="bottom"/>
        </w:tcPr>
        <w:p w14:paraId="51D4C4DD" w14:textId="3809EEBF"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4547C2" w:rsidRPr="00E406BB" w14:paraId="7AD41B8A" w14:textId="77777777" w:rsidTr="00400DD1">
      <w:trPr>
        <w:trHeight w:val="259"/>
      </w:trPr>
      <w:tc>
        <w:tcPr>
          <w:tcW w:w="1025" w:type="dxa"/>
        </w:tcPr>
        <w:p w14:paraId="6210EE5C" w14:textId="77777777" w:rsidR="004547C2" w:rsidRPr="00E406BB" w:rsidRDefault="004547C2" w:rsidP="004547C2">
          <w:pPr>
            <w:pStyle w:val="-fa"/>
            <w:spacing w:before="0" w:line="264" w:lineRule="auto"/>
            <w:rPr>
              <w:rtl/>
            </w:rPr>
          </w:pPr>
        </w:p>
      </w:tc>
      <w:tc>
        <w:tcPr>
          <w:tcW w:w="9030" w:type="dxa"/>
        </w:tcPr>
        <w:p w14:paraId="3E9525B3" w14:textId="77777777" w:rsidR="004547C2" w:rsidRPr="00E406BB" w:rsidRDefault="004547C2" w:rsidP="004547C2">
          <w:pPr>
            <w:pStyle w:val="-0"/>
            <w:spacing w:after="120" w:line="264" w:lineRule="auto"/>
            <w:ind w:left="142" w:hanging="142"/>
            <w:rPr>
              <w:rtl/>
            </w:rPr>
          </w:pPr>
          <w:r w:rsidRPr="00E406BB">
            <w:rPr>
              <w:rFonts w:hint="cs"/>
              <w:rtl/>
            </w:rPr>
            <w:t>סכומים מדווחים (במיליוני ש"ח)</w:t>
          </w:r>
        </w:p>
      </w:tc>
    </w:tr>
  </w:tbl>
  <w:p w14:paraId="71E008C0" w14:textId="77777777" w:rsidR="00553945" w:rsidRPr="004547C2" w:rsidRDefault="00553945" w:rsidP="004547C2">
    <w:pPr>
      <w:pStyle w:val="af2"/>
      <w:spacing w:line="360" w:lineRule="auto"/>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717" w:type="pct"/>
      <w:tblLook w:val="04A0" w:firstRow="1" w:lastRow="0" w:firstColumn="1" w:lastColumn="0" w:noHBand="0" w:noVBand="1"/>
    </w:tblPr>
    <w:tblGrid>
      <w:gridCol w:w="1025"/>
      <w:gridCol w:w="8604"/>
    </w:tblGrid>
    <w:tr w:rsidR="00334F54" w:rsidRPr="00E406BB" w14:paraId="7B775B6A" w14:textId="77777777" w:rsidTr="00CB5D5C">
      <w:trPr>
        <w:trHeight w:val="259"/>
      </w:trPr>
      <w:tc>
        <w:tcPr>
          <w:tcW w:w="1469" w:type="dxa"/>
        </w:tcPr>
        <w:p w14:paraId="6EDE164C" w14:textId="77777777" w:rsidR="00334F54" w:rsidRPr="00E406BB" w:rsidRDefault="00334F54" w:rsidP="00334F54">
          <w:pPr>
            <w:pStyle w:val="-fa"/>
            <w:spacing w:before="0" w:line="264" w:lineRule="auto"/>
            <w:rPr>
              <w:rtl/>
            </w:rPr>
          </w:pPr>
        </w:p>
      </w:tc>
      <w:tc>
        <w:tcPr>
          <w:tcW w:w="12806" w:type="dxa"/>
          <w:vAlign w:val="bottom"/>
        </w:tcPr>
        <w:p w14:paraId="590A4EA1" w14:textId="77777777" w:rsidR="00334F54" w:rsidRDefault="00334F54" w:rsidP="00334F54">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334F54" w:rsidRPr="00E406BB" w14:paraId="03A38AFF" w14:textId="77777777" w:rsidTr="00CB5D5C">
      <w:trPr>
        <w:trHeight w:val="259"/>
      </w:trPr>
      <w:tc>
        <w:tcPr>
          <w:tcW w:w="1469" w:type="dxa"/>
        </w:tcPr>
        <w:p w14:paraId="2CFAE50C" w14:textId="77777777" w:rsidR="00334F54" w:rsidRPr="00E406BB" w:rsidRDefault="00334F54" w:rsidP="00334F54">
          <w:pPr>
            <w:pStyle w:val="-fa"/>
            <w:spacing w:before="0" w:line="264" w:lineRule="auto"/>
            <w:rPr>
              <w:rtl/>
            </w:rPr>
          </w:pPr>
        </w:p>
      </w:tc>
      <w:tc>
        <w:tcPr>
          <w:tcW w:w="12806" w:type="dxa"/>
          <w:vAlign w:val="bottom"/>
        </w:tcPr>
        <w:p w14:paraId="3031DACC" w14:textId="29FB2A6A" w:rsidR="00334F54" w:rsidRDefault="00334F54" w:rsidP="00334F54">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334F54" w:rsidRPr="00E406BB" w14:paraId="0CA2E60D" w14:textId="77777777" w:rsidTr="00CB5D5C">
      <w:trPr>
        <w:trHeight w:val="259"/>
      </w:trPr>
      <w:tc>
        <w:tcPr>
          <w:tcW w:w="1469" w:type="dxa"/>
        </w:tcPr>
        <w:p w14:paraId="341805AB" w14:textId="77777777" w:rsidR="00334F54" w:rsidRPr="00E406BB" w:rsidRDefault="00334F54" w:rsidP="00334F54">
          <w:pPr>
            <w:pStyle w:val="-fa"/>
            <w:spacing w:before="0" w:line="264" w:lineRule="auto"/>
            <w:rPr>
              <w:rtl/>
            </w:rPr>
          </w:pPr>
        </w:p>
      </w:tc>
      <w:tc>
        <w:tcPr>
          <w:tcW w:w="12806" w:type="dxa"/>
        </w:tcPr>
        <w:p w14:paraId="189E5155" w14:textId="77777777" w:rsidR="00334F54" w:rsidRPr="00E406BB" w:rsidRDefault="00334F54" w:rsidP="00334F54">
          <w:pPr>
            <w:pStyle w:val="-0"/>
            <w:spacing w:line="264" w:lineRule="auto"/>
            <w:rPr>
              <w:rtl/>
            </w:rPr>
          </w:pPr>
          <w:r w:rsidRPr="00E406BB">
            <w:rPr>
              <w:rFonts w:hint="cs"/>
              <w:rtl/>
            </w:rPr>
            <w:t>סכומים מדווחים (במיליוני ש"ח)</w:t>
          </w:r>
        </w:p>
      </w:tc>
    </w:tr>
  </w:tbl>
  <w:p w14:paraId="72D1DB04" w14:textId="77777777" w:rsidR="00553945" w:rsidRPr="00334F54" w:rsidRDefault="00553945" w:rsidP="004547C2">
    <w:pPr>
      <w:pStyle w:val="af2"/>
      <w:spacing w:line="360" w:lineRule="auto"/>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75E29" w14:textId="3032A4E7" w:rsidR="00553945" w:rsidRDefault="00960257">
    <w:pPr>
      <w:pStyle w:val="af2"/>
    </w:pPr>
    <w:r>
      <w:rPr>
        <w:noProof/>
      </w:rPr>
      <mc:AlternateContent>
        <mc:Choice Requires="wps">
          <w:drawing>
            <wp:anchor distT="0" distB="0" distL="114300" distR="114300" simplePos="0" relativeHeight="251659264" behindDoc="0" locked="0" layoutInCell="1" allowOverlap="1" wp14:anchorId="37751DD1" wp14:editId="02311656">
              <wp:simplePos x="0" y="0"/>
              <wp:positionH relativeFrom="page">
                <wp:posOffset>6840855</wp:posOffset>
              </wp:positionH>
              <wp:positionV relativeFrom="page">
                <wp:align>top</wp:align>
              </wp:positionV>
              <wp:extent cx="161925" cy="899795"/>
              <wp:effectExtent l="0" t="0" r="0" b="0"/>
              <wp:wrapNone/>
              <wp:docPr id="13" name="צורה חופשית: צורה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gray">
                      <a:xfrm>
                        <a:off x="0" y="0"/>
                        <a:ext cx="161925" cy="899795"/>
                      </a:xfrm>
                      <a:custGeom>
                        <a:avLst/>
                        <a:gdLst/>
                        <a:ahLst/>
                        <a:cxnLst>
                          <a:cxn ang="0">
                            <a:pos x="120" y="581"/>
                          </a:cxn>
                          <a:cxn ang="0">
                            <a:pos x="120" y="0"/>
                          </a:cxn>
                          <a:cxn ang="0">
                            <a:pos x="0" y="0"/>
                          </a:cxn>
                          <a:cxn ang="0">
                            <a:pos x="0" y="666"/>
                          </a:cxn>
                          <a:cxn ang="0">
                            <a:pos x="120" y="581"/>
                          </a:cxn>
                        </a:cxnLst>
                        <a:rect l="0" t="0" r="r" b="b"/>
                        <a:pathLst>
                          <a:path w="120" h="666">
                            <a:moveTo>
                              <a:pt x="120" y="581"/>
                            </a:moveTo>
                            <a:lnTo>
                              <a:pt x="120" y="0"/>
                            </a:lnTo>
                            <a:lnTo>
                              <a:pt x="0" y="0"/>
                            </a:lnTo>
                            <a:lnTo>
                              <a:pt x="0" y="666"/>
                            </a:lnTo>
                            <a:lnTo>
                              <a:pt x="120" y="581"/>
                            </a:lnTo>
                            <a:close/>
                          </a:path>
                        </a:pathLst>
                      </a:custGeom>
                      <a:solidFill>
                        <a:srgbClr val="ED1A3B"/>
                      </a:solidFill>
                      <a:ln w="9525">
                        <a:no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785D1365" id="צורה חופשית: צורה 13" o:spid="_x0000_s1026" style="position:absolute;left:0;text-align:left;margin-left:538.65pt;margin-top:0;width:12.75pt;height:70.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top" coordsize="120,666"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" path="m120,581l120,,,,,666,120,581xe" fillcolor="#ed1a3b" stroked="f">
              <v:path arrowok="t" o:connecttype="custom" o:connectlocs="120,581;120,0;0,0;0,666;120,581" o:connectangles="0,0,0,0,0"/>
              <o:lock v:ext="edit" aspectratio="t"/>
              <w10:wrap anchorx="page" anchory="page"/>
            </v:shape>
          </w:pict>
        </mc:Fallback>
      </mc:AlternateContent>
    </w:r>
    <w:r w:rsidR="00553945">
      <w:rPr>
        <w:noProof/>
      </w:rPr>
      <w:drawing>
        <wp:anchor distT="0" distB="0" distL="114300" distR="114300" simplePos="0" relativeHeight="251658240" behindDoc="1" locked="0" layoutInCell="1" allowOverlap="1" wp14:anchorId="77CD797E" wp14:editId="20BAC6B9">
          <wp:simplePos x="0" y="0"/>
          <wp:positionH relativeFrom="page">
            <wp:posOffset>540385</wp:posOffset>
          </wp:positionH>
          <wp:positionV relativeFrom="page">
            <wp:posOffset>360045</wp:posOffset>
          </wp:positionV>
          <wp:extent cx="1317625" cy="360045"/>
          <wp:effectExtent l="0" t="0" r="0" b="0"/>
          <wp:wrapNone/>
          <wp:docPr id="9" name="תמונה 0" descr="BDO_ZIV_HAF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BDO_ZIV_HAFT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6" w:type="pct"/>
      <w:tblLook w:val="04A0" w:firstRow="1" w:lastRow="0" w:firstColumn="1" w:lastColumn="0" w:noHBand="0" w:noVBand="1"/>
    </w:tblPr>
    <w:tblGrid>
      <w:gridCol w:w="1025"/>
      <w:gridCol w:w="9031"/>
    </w:tblGrid>
    <w:tr w:rsidR="004547C2" w:rsidRPr="00E406BB" w14:paraId="25B59371" w14:textId="77777777" w:rsidTr="00400DD1">
      <w:trPr>
        <w:trHeight w:val="259"/>
      </w:trPr>
      <w:tc>
        <w:tcPr>
          <w:tcW w:w="1025" w:type="dxa"/>
        </w:tcPr>
        <w:p w14:paraId="64B1E102" w14:textId="77777777" w:rsidR="004547C2" w:rsidRPr="00E406BB" w:rsidRDefault="004547C2" w:rsidP="004547C2">
          <w:pPr>
            <w:pStyle w:val="-fa"/>
            <w:spacing w:before="0" w:line="264" w:lineRule="auto"/>
            <w:rPr>
              <w:rtl/>
            </w:rPr>
          </w:pPr>
        </w:p>
      </w:tc>
      <w:tc>
        <w:tcPr>
          <w:tcW w:w="9030" w:type="dxa"/>
          <w:vAlign w:val="bottom"/>
        </w:tcPr>
        <w:p w14:paraId="1711ECC9"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2A65E977" w14:textId="77777777" w:rsidTr="00400DD1">
      <w:trPr>
        <w:trHeight w:val="259"/>
      </w:trPr>
      <w:tc>
        <w:tcPr>
          <w:tcW w:w="1025" w:type="dxa"/>
        </w:tcPr>
        <w:p w14:paraId="41E62746" w14:textId="77777777" w:rsidR="004547C2" w:rsidRPr="00E406BB" w:rsidRDefault="004547C2" w:rsidP="004547C2">
          <w:pPr>
            <w:pStyle w:val="-fa"/>
            <w:spacing w:before="0" w:line="264" w:lineRule="auto"/>
            <w:rPr>
              <w:rtl/>
            </w:rPr>
          </w:pPr>
        </w:p>
      </w:tc>
      <w:tc>
        <w:tcPr>
          <w:tcW w:w="9030" w:type="dxa"/>
          <w:vAlign w:val="bottom"/>
        </w:tcPr>
        <w:p w14:paraId="357D7E60" w14:textId="04BDFC9F"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4547C2" w:rsidRPr="00E406BB" w14:paraId="55A9ACD7" w14:textId="77777777" w:rsidTr="00400DD1">
      <w:trPr>
        <w:trHeight w:val="259"/>
      </w:trPr>
      <w:tc>
        <w:tcPr>
          <w:tcW w:w="1025" w:type="dxa"/>
        </w:tcPr>
        <w:p w14:paraId="22BA43BD" w14:textId="77777777" w:rsidR="004547C2" w:rsidRPr="00E406BB" w:rsidRDefault="004547C2" w:rsidP="004547C2">
          <w:pPr>
            <w:pStyle w:val="-fa"/>
            <w:spacing w:before="0" w:line="264" w:lineRule="auto"/>
            <w:rPr>
              <w:rtl/>
            </w:rPr>
          </w:pPr>
        </w:p>
      </w:tc>
      <w:tc>
        <w:tcPr>
          <w:tcW w:w="9030" w:type="dxa"/>
        </w:tcPr>
        <w:p w14:paraId="5EC56467" w14:textId="77777777" w:rsidR="004547C2" w:rsidRPr="00E406BB" w:rsidRDefault="004547C2" w:rsidP="004547C2">
          <w:pPr>
            <w:pStyle w:val="-0"/>
            <w:spacing w:after="120" w:line="264" w:lineRule="auto"/>
            <w:ind w:left="142" w:hanging="142"/>
            <w:rPr>
              <w:rtl/>
            </w:rPr>
          </w:pPr>
          <w:r w:rsidRPr="00E406BB">
            <w:rPr>
              <w:rFonts w:hint="cs"/>
              <w:rtl/>
            </w:rPr>
            <w:t>סכומים מדווחים (במיליוני ש"ח)</w:t>
          </w:r>
        </w:p>
      </w:tc>
    </w:tr>
  </w:tbl>
  <w:p w14:paraId="44B98CDE" w14:textId="77777777" w:rsidR="00553945" w:rsidRPr="004547C2" w:rsidRDefault="00553945" w:rsidP="004547C2">
    <w:pPr>
      <w:pStyle w:val="af2"/>
      <w:spacing w:line="360" w:lineRule="auto"/>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717" w:type="pct"/>
      <w:tblLook w:val="04A0" w:firstRow="1" w:lastRow="0" w:firstColumn="1" w:lastColumn="0" w:noHBand="0" w:noVBand="1"/>
    </w:tblPr>
    <w:tblGrid>
      <w:gridCol w:w="1025"/>
      <w:gridCol w:w="8604"/>
    </w:tblGrid>
    <w:tr w:rsidR="00334F54" w:rsidRPr="00E406BB" w14:paraId="7413B0E0" w14:textId="77777777" w:rsidTr="00CB5D5C">
      <w:trPr>
        <w:trHeight w:val="259"/>
      </w:trPr>
      <w:tc>
        <w:tcPr>
          <w:tcW w:w="1469" w:type="dxa"/>
        </w:tcPr>
        <w:p w14:paraId="4CA289D3" w14:textId="77777777" w:rsidR="00334F54" w:rsidRPr="00E406BB" w:rsidRDefault="00334F54" w:rsidP="00334F54">
          <w:pPr>
            <w:pStyle w:val="-fa"/>
            <w:spacing w:before="0" w:line="264" w:lineRule="auto"/>
            <w:rPr>
              <w:rtl/>
            </w:rPr>
          </w:pPr>
        </w:p>
      </w:tc>
      <w:tc>
        <w:tcPr>
          <w:tcW w:w="12806" w:type="dxa"/>
          <w:vAlign w:val="bottom"/>
        </w:tcPr>
        <w:p w14:paraId="128E31A8" w14:textId="77777777" w:rsidR="00334F54" w:rsidRDefault="00334F54" w:rsidP="00334F54">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334F54" w:rsidRPr="00E406BB" w14:paraId="28B02823" w14:textId="77777777" w:rsidTr="00CB5D5C">
      <w:trPr>
        <w:trHeight w:val="259"/>
      </w:trPr>
      <w:tc>
        <w:tcPr>
          <w:tcW w:w="1469" w:type="dxa"/>
        </w:tcPr>
        <w:p w14:paraId="32758014" w14:textId="77777777" w:rsidR="00334F54" w:rsidRPr="00E406BB" w:rsidRDefault="00334F54" w:rsidP="00334F54">
          <w:pPr>
            <w:pStyle w:val="-fa"/>
            <w:spacing w:before="0" w:line="264" w:lineRule="auto"/>
            <w:rPr>
              <w:rtl/>
            </w:rPr>
          </w:pPr>
        </w:p>
      </w:tc>
      <w:tc>
        <w:tcPr>
          <w:tcW w:w="12806" w:type="dxa"/>
          <w:vAlign w:val="bottom"/>
        </w:tcPr>
        <w:p w14:paraId="60BF5F19" w14:textId="1E48B0C9" w:rsidR="00334F54" w:rsidRDefault="00334F54" w:rsidP="00334F54">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334F54" w:rsidRPr="00E406BB" w14:paraId="64893842" w14:textId="77777777" w:rsidTr="00CB5D5C">
      <w:trPr>
        <w:trHeight w:val="259"/>
      </w:trPr>
      <w:tc>
        <w:tcPr>
          <w:tcW w:w="1469" w:type="dxa"/>
        </w:tcPr>
        <w:p w14:paraId="09008954" w14:textId="77777777" w:rsidR="00334F54" w:rsidRPr="00E406BB" w:rsidRDefault="00334F54" w:rsidP="00334F54">
          <w:pPr>
            <w:pStyle w:val="-fa"/>
            <w:spacing w:before="0" w:line="264" w:lineRule="auto"/>
            <w:rPr>
              <w:rtl/>
            </w:rPr>
          </w:pPr>
        </w:p>
      </w:tc>
      <w:tc>
        <w:tcPr>
          <w:tcW w:w="12806" w:type="dxa"/>
        </w:tcPr>
        <w:p w14:paraId="74A12159" w14:textId="77777777" w:rsidR="00334F54" w:rsidRPr="00E406BB" w:rsidRDefault="00334F54" w:rsidP="00334F54">
          <w:pPr>
            <w:pStyle w:val="-0"/>
            <w:spacing w:line="264" w:lineRule="auto"/>
            <w:rPr>
              <w:rtl/>
            </w:rPr>
          </w:pPr>
          <w:r w:rsidRPr="00E406BB">
            <w:rPr>
              <w:rFonts w:hint="cs"/>
              <w:rtl/>
            </w:rPr>
            <w:t>סכומים מדווחים (במיליוני ש"ח)</w:t>
          </w:r>
        </w:p>
      </w:tc>
    </w:tr>
  </w:tbl>
  <w:p w14:paraId="680CF38E" w14:textId="77777777" w:rsidR="00553945" w:rsidRPr="00334F54" w:rsidRDefault="00553945" w:rsidP="00B37ADB">
    <w:pPr>
      <w:pStyle w:val="af2"/>
      <w:spacing w:line="360" w:lineRule="auto"/>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717" w:type="pct"/>
      <w:tblLook w:val="04A0" w:firstRow="1" w:lastRow="0" w:firstColumn="1" w:lastColumn="0" w:noHBand="0" w:noVBand="1"/>
    </w:tblPr>
    <w:tblGrid>
      <w:gridCol w:w="1469"/>
      <w:gridCol w:w="12807"/>
    </w:tblGrid>
    <w:tr w:rsidR="004547C2" w:rsidRPr="00E406BB" w14:paraId="58E985F9" w14:textId="77777777" w:rsidTr="00400DD1">
      <w:trPr>
        <w:trHeight w:val="259"/>
      </w:trPr>
      <w:tc>
        <w:tcPr>
          <w:tcW w:w="1469" w:type="dxa"/>
        </w:tcPr>
        <w:p w14:paraId="4A5D6F67" w14:textId="77777777" w:rsidR="004547C2" w:rsidRPr="00E406BB" w:rsidRDefault="004547C2" w:rsidP="004547C2">
          <w:pPr>
            <w:pStyle w:val="-fa"/>
            <w:spacing w:before="0" w:line="264" w:lineRule="auto"/>
            <w:rPr>
              <w:rtl/>
            </w:rPr>
          </w:pPr>
        </w:p>
      </w:tc>
      <w:tc>
        <w:tcPr>
          <w:tcW w:w="12806" w:type="dxa"/>
          <w:vAlign w:val="bottom"/>
        </w:tcPr>
        <w:p w14:paraId="7D87AC4A"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0F9D778D" w14:textId="77777777" w:rsidTr="00400DD1">
      <w:trPr>
        <w:trHeight w:val="259"/>
      </w:trPr>
      <w:tc>
        <w:tcPr>
          <w:tcW w:w="1469" w:type="dxa"/>
        </w:tcPr>
        <w:p w14:paraId="11C57B4D" w14:textId="77777777" w:rsidR="004547C2" w:rsidRPr="00E406BB" w:rsidRDefault="004547C2" w:rsidP="004547C2">
          <w:pPr>
            <w:pStyle w:val="-fa"/>
            <w:spacing w:before="0" w:line="264" w:lineRule="auto"/>
            <w:rPr>
              <w:rtl/>
            </w:rPr>
          </w:pPr>
        </w:p>
      </w:tc>
      <w:tc>
        <w:tcPr>
          <w:tcW w:w="12806" w:type="dxa"/>
          <w:vAlign w:val="bottom"/>
        </w:tcPr>
        <w:p w14:paraId="6017E448" w14:textId="534AB9AA"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4547C2" w:rsidRPr="00E406BB" w14:paraId="7162EA5C" w14:textId="77777777" w:rsidTr="00400DD1">
      <w:trPr>
        <w:trHeight w:val="259"/>
      </w:trPr>
      <w:tc>
        <w:tcPr>
          <w:tcW w:w="1469" w:type="dxa"/>
        </w:tcPr>
        <w:p w14:paraId="27000416" w14:textId="77777777" w:rsidR="004547C2" w:rsidRPr="00E406BB" w:rsidRDefault="004547C2" w:rsidP="004547C2">
          <w:pPr>
            <w:pStyle w:val="-fa"/>
            <w:spacing w:before="0" w:line="264" w:lineRule="auto"/>
            <w:rPr>
              <w:rtl/>
            </w:rPr>
          </w:pPr>
        </w:p>
      </w:tc>
      <w:tc>
        <w:tcPr>
          <w:tcW w:w="12806" w:type="dxa"/>
        </w:tcPr>
        <w:p w14:paraId="46A98BBF" w14:textId="77777777" w:rsidR="004547C2" w:rsidRPr="00E406BB" w:rsidRDefault="004547C2" w:rsidP="004547C2">
          <w:pPr>
            <w:pStyle w:val="-0"/>
            <w:spacing w:line="264" w:lineRule="auto"/>
            <w:rPr>
              <w:rtl/>
            </w:rPr>
          </w:pPr>
          <w:r w:rsidRPr="00E406BB">
            <w:rPr>
              <w:rFonts w:hint="cs"/>
              <w:rtl/>
            </w:rPr>
            <w:t>סכומים מדווחים (במיליוני ש"ח)</w:t>
          </w:r>
        </w:p>
      </w:tc>
    </w:tr>
  </w:tbl>
  <w:p w14:paraId="4ACDEF13" w14:textId="77777777" w:rsidR="00553945" w:rsidRPr="004547C2" w:rsidRDefault="00553945" w:rsidP="004547C2">
    <w:pPr>
      <w:pStyle w:val="af2"/>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717" w:type="pct"/>
      <w:tblLook w:val="04A0" w:firstRow="1" w:lastRow="0" w:firstColumn="1" w:lastColumn="0" w:noHBand="0" w:noVBand="1"/>
    </w:tblPr>
    <w:tblGrid>
      <w:gridCol w:w="1025"/>
      <w:gridCol w:w="8604"/>
    </w:tblGrid>
    <w:tr w:rsidR="00334F54" w:rsidRPr="00E406BB" w14:paraId="7B160420" w14:textId="77777777" w:rsidTr="00CB5D5C">
      <w:trPr>
        <w:trHeight w:val="259"/>
      </w:trPr>
      <w:tc>
        <w:tcPr>
          <w:tcW w:w="1469" w:type="dxa"/>
        </w:tcPr>
        <w:p w14:paraId="2C7B054A" w14:textId="77777777" w:rsidR="00334F54" w:rsidRPr="00E406BB" w:rsidRDefault="00334F54" w:rsidP="00334F54">
          <w:pPr>
            <w:pStyle w:val="-fa"/>
            <w:spacing w:before="0" w:line="264" w:lineRule="auto"/>
            <w:rPr>
              <w:rtl/>
            </w:rPr>
          </w:pPr>
        </w:p>
      </w:tc>
      <w:tc>
        <w:tcPr>
          <w:tcW w:w="12806" w:type="dxa"/>
          <w:vAlign w:val="bottom"/>
        </w:tcPr>
        <w:p w14:paraId="0686C3E6" w14:textId="77777777" w:rsidR="00334F54" w:rsidRDefault="00334F54" w:rsidP="00334F54">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334F54" w:rsidRPr="00E406BB" w14:paraId="58280B2D" w14:textId="77777777" w:rsidTr="00CB5D5C">
      <w:trPr>
        <w:trHeight w:val="259"/>
      </w:trPr>
      <w:tc>
        <w:tcPr>
          <w:tcW w:w="1469" w:type="dxa"/>
        </w:tcPr>
        <w:p w14:paraId="16A93AF6" w14:textId="77777777" w:rsidR="00334F54" w:rsidRPr="00E406BB" w:rsidRDefault="00334F54" w:rsidP="00334F54">
          <w:pPr>
            <w:pStyle w:val="-fa"/>
            <w:spacing w:before="0" w:line="264" w:lineRule="auto"/>
            <w:rPr>
              <w:rtl/>
            </w:rPr>
          </w:pPr>
        </w:p>
      </w:tc>
      <w:tc>
        <w:tcPr>
          <w:tcW w:w="12806" w:type="dxa"/>
          <w:vAlign w:val="bottom"/>
        </w:tcPr>
        <w:p w14:paraId="7547A23E" w14:textId="484E1D7E" w:rsidR="00334F54" w:rsidRDefault="00334F54" w:rsidP="00334F54">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334F54" w:rsidRPr="00E406BB" w14:paraId="60DB41DF" w14:textId="77777777" w:rsidTr="00CB5D5C">
      <w:trPr>
        <w:trHeight w:val="259"/>
      </w:trPr>
      <w:tc>
        <w:tcPr>
          <w:tcW w:w="1469" w:type="dxa"/>
        </w:tcPr>
        <w:p w14:paraId="1341917F" w14:textId="77777777" w:rsidR="00334F54" w:rsidRPr="00E406BB" w:rsidRDefault="00334F54" w:rsidP="00334F54">
          <w:pPr>
            <w:pStyle w:val="-fa"/>
            <w:spacing w:before="0" w:line="264" w:lineRule="auto"/>
            <w:rPr>
              <w:rtl/>
            </w:rPr>
          </w:pPr>
        </w:p>
      </w:tc>
      <w:tc>
        <w:tcPr>
          <w:tcW w:w="12806" w:type="dxa"/>
        </w:tcPr>
        <w:p w14:paraId="557767F0" w14:textId="77777777" w:rsidR="00334F54" w:rsidRPr="00E406BB" w:rsidRDefault="00334F54" w:rsidP="00334F54">
          <w:pPr>
            <w:pStyle w:val="-0"/>
            <w:spacing w:line="264" w:lineRule="auto"/>
            <w:rPr>
              <w:rtl/>
            </w:rPr>
          </w:pPr>
          <w:r w:rsidRPr="00E406BB">
            <w:rPr>
              <w:rFonts w:hint="cs"/>
              <w:rtl/>
            </w:rPr>
            <w:t>סכומים מדווחים (במיליוני ש"ח)</w:t>
          </w:r>
        </w:p>
      </w:tc>
    </w:tr>
  </w:tbl>
  <w:p w14:paraId="307F6271" w14:textId="77777777" w:rsidR="00553945" w:rsidRPr="00334F54" w:rsidRDefault="00553945" w:rsidP="00B37ADB">
    <w:pPr>
      <w:pStyle w:val="af2"/>
      <w:spacing w:line="360" w:lineRule="auto"/>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6" w:type="pct"/>
      <w:tblLook w:val="04A0" w:firstRow="1" w:lastRow="0" w:firstColumn="1" w:lastColumn="0" w:noHBand="0" w:noVBand="1"/>
    </w:tblPr>
    <w:tblGrid>
      <w:gridCol w:w="1025"/>
      <w:gridCol w:w="9031"/>
    </w:tblGrid>
    <w:tr w:rsidR="004547C2" w:rsidRPr="00E406BB" w14:paraId="7293AE1E" w14:textId="77777777" w:rsidTr="00400DD1">
      <w:trPr>
        <w:trHeight w:val="259"/>
      </w:trPr>
      <w:tc>
        <w:tcPr>
          <w:tcW w:w="1025" w:type="dxa"/>
        </w:tcPr>
        <w:p w14:paraId="5AE22D61" w14:textId="77777777" w:rsidR="004547C2" w:rsidRPr="00E406BB" w:rsidRDefault="004547C2" w:rsidP="004547C2">
          <w:pPr>
            <w:pStyle w:val="-fa"/>
            <w:spacing w:before="0" w:line="264" w:lineRule="auto"/>
            <w:rPr>
              <w:rtl/>
            </w:rPr>
          </w:pPr>
        </w:p>
      </w:tc>
      <w:tc>
        <w:tcPr>
          <w:tcW w:w="9030" w:type="dxa"/>
          <w:vAlign w:val="bottom"/>
        </w:tcPr>
        <w:p w14:paraId="31F3D734"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44F05279" w14:textId="77777777" w:rsidTr="00400DD1">
      <w:trPr>
        <w:trHeight w:val="259"/>
      </w:trPr>
      <w:tc>
        <w:tcPr>
          <w:tcW w:w="1025" w:type="dxa"/>
        </w:tcPr>
        <w:p w14:paraId="268BB900" w14:textId="77777777" w:rsidR="004547C2" w:rsidRPr="00E406BB" w:rsidRDefault="004547C2" w:rsidP="004547C2">
          <w:pPr>
            <w:pStyle w:val="-fa"/>
            <w:spacing w:before="0" w:line="264" w:lineRule="auto"/>
            <w:rPr>
              <w:rtl/>
            </w:rPr>
          </w:pPr>
        </w:p>
      </w:tc>
      <w:tc>
        <w:tcPr>
          <w:tcW w:w="9030" w:type="dxa"/>
          <w:vAlign w:val="bottom"/>
        </w:tcPr>
        <w:p w14:paraId="5944F177" w14:textId="613ACDCD"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4547C2" w:rsidRPr="00E406BB" w14:paraId="12C42495" w14:textId="77777777" w:rsidTr="00400DD1">
      <w:trPr>
        <w:trHeight w:val="259"/>
      </w:trPr>
      <w:tc>
        <w:tcPr>
          <w:tcW w:w="1025" w:type="dxa"/>
        </w:tcPr>
        <w:p w14:paraId="5298C98B" w14:textId="77777777" w:rsidR="004547C2" w:rsidRPr="00E406BB" w:rsidRDefault="004547C2" w:rsidP="004547C2">
          <w:pPr>
            <w:pStyle w:val="-fa"/>
            <w:spacing w:before="0" w:line="264" w:lineRule="auto"/>
            <w:rPr>
              <w:rtl/>
            </w:rPr>
          </w:pPr>
        </w:p>
      </w:tc>
      <w:tc>
        <w:tcPr>
          <w:tcW w:w="9030" w:type="dxa"/>
        </w:tcPr>
        <w:p w14:paraId="4A78AE51" w14:textId="77777777" w:rsidR="004547C2" w:rsidRPr="00E406BB" w:rsidRDefault="004547C2" w:rsidP="004547C2">
          <w:pPr>
            <w:pStyle w:val="-0"/>
            <w:spacing w:after="120" w:line="264" w:lineRule="auto"/>
            <w:ind w:left="142" w:hanging="142"/>
            <w:rPr>
              <w:rtl/>
            </w:rPr>
          </w:pPr>
          <w:r w:rsidRPr="00E406BB">
            <w:rPr>
              <w:rFonts w:hint="cs"/>
              <w:rtl/>
            </w:rPr>
            <w:t>סכומים מדווחים (במיליוני ש"ח)</w:t>
          </w:r>
        </w:p>
      </w:tc>
    </w:tr>
  </w:tbl>
  <w:p w14:paraId="74B2D051" w14:textId="77777777" w:rsidR="00553945" w:rsidRPr="004547C2" w:rsidRDefault="00553945" w:rsidP="00B37ADB">
    <w:pPr>
      <w:pStyle w:val="af2"/>
      <w:spacing w:line="360" w:lineRule="auto"/>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6" w:type="pct"/>
      <w:tblLook w:val="04A0" w:firstRow="1" w:lastRow="0" w:firstColumn="1" w:lastColumn="0" w:noHBand="0" w:noVBand="1"/>
    </w:tblPr>
    <w:tblGrid>
      <w:gridCol w:w="1025"/>
      <w:gridCol w:w="9031"/>
    </w:tblGrid>
    <w:tr w:rsidR="004547C2" w:rsidRPr="00E406BB" w14:paraId="03185F98" w14:textId="77777777" w:rsidTr="00400DD1">
      <w:trPr>
        <w:trHeight w:val="259"/>
      </w:trPr>
      <w:tc>
        <w:tcPr>
          <w:tcW w:w="1025" w:type="dxa"/>
        </w:tcPr>
        <w:p w14:paraId="42D761EC" w14:textId="77777777" w:rsidR="004547C2" w:rsidRPr="00E406BB" w:rsidRDefault="004547C2" w:rsidP="004547C2">
          <w:pPr>
            <w:pStyle w:val="-fa"/>
            <w:spacing w:before="0" w:line="264" w:lineRule="auto"/>
            <w:rPr>
              <w:rtl/>
            </w:rPr>
          </w:pPr>
        </w:p>
      </w:tc>
      <w:tc>
        <w:tcPr>
          <w:tcW w:w="9030" w:type="dxa"/>
          <w:vAlign w:val="bottom"/>
        </w:tcPr>
        <w:p w14:paraId="5BD485A8" w14:textId="77777777" w:rsidR="004547C2" w:rsidRDefault="004547C2" w:rsidP="004547C2">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4547C2" w:rsidRPr="00E406BB" w14:paraId="1ECE86D9" w14:textId="77777777" w:rsidTr="00400DD1">
      <w:trPr>
        <w:trHeight w:val="259"/>
      </w:trPr>
      <w:tc>
        <w:tcPr>
          <w:tcW w:w="1025" w:type="dxa"/>
        </w:tcPr>
        <w:p w14:paraId="5917EA5D" w14:textId="77777777" w:rsidR="004547C2" w:rsidRPr="00E406BB" w:rsidRDefault="004547C2" w:rsidP="004547C2">
          <w:pPr>
            <w:pStyle w:val="-fa"/>
            <w:spacing w:before="0" w:line="264" w:lineRule="auto"/>
            <w:rPr>
              <w:rtl/>
            </w:rPr>
          </w:pPr>
        </w:p>
      </w:tc>
      <w:tc>
        <w:tcPr>
          <w:tcW w:w="9030" w:type="dxa"/>
          <w:vAlign w:val="bottom"/>
        </w:tcPr>
        <w:p w14:paraId="0586C8B5" w14:textId="09E45679" w:rsidR="004547C2" w:rsidRDefault="004547C2" w:rsidP="004547C2">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4547C2" w:rsidRPr="00E406BB" w14:paraId="15514B2F" w14:textId="77777777" w:rsidTr="00400DD1">
      <w:trPr>
        <w:trHeight w:val="259"/>
      </w:trPr>
      <w:tc>
        <w:tcPr>
          <w:tcW w:w="1025" w:type="dxa"/>
        </w:tcPr>
        <w:p w14:paraId="7417E40F" w14:textId="77777777" w:rsidR="004547C2" w:rsidRPr="00E406BB" w:rsidRDefault="004547C2" w:rsidP="004547C2">
          <w:pPr>
            <w:pStyle w:val="-fa"/>
            <w:spacing w:before="0" w:line="264" w:lineRule="auto"/>
            <w:rPr>
              <w:rtl/>
            </w:rPr>
          </w:pPr>
        </w:p>
      </w:tc>
      <w:tc>
        <w:tcPr>
          <w:tcW w:w="9030" w:type="dxa"/>
        </w:tcPr>
        <w:p w14:paraId="5394FA40" w14:textId="77777777" w:rsidR="004547C2" w:rsidRPr="00E406BB" w:rsidRDefault="004547C2" w:rsidP="004547C2">
          <w:pPr>
            <w:pStyle w:val="-0"/>
            <w:spacing w:after="120" w:line="264" w:lineRule="auto"/>
            <w:ind w:left="142" w:hanging="142"/>
            <w:rPr>
              <w:rtl/>
            </w:rPr>
          </w:pPr>
          <w:r w:rsidRPr="00E406BB">
            <w:rPr>
              <w:rFonts w:hint="cs"/>
              <w:rtl/>
            </w:rPr>
            <w:t>סכומים מדווחים (במיליוני ש"ח)</w:t>
          </w:r>
        </w:p>
      </w:tc>
    </w:tr>
  </w:tbl>
  <w:p w14:paraId="16B36CB5" w14:textId="77777777" w:rsidR="00553945" w:rsidRPr="004547C2" w:rsidRDefault="00553945" w:rsidP="00ED5482">
    <w:pPr>
      <w:pStyle w:val="af2"/>
      <w:spacing w:line="360" w:lineRule="auto"/>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6" w:type="pct"/>
      <w:tblLook w:val="04A0" w:firstRow="1" w:lastRow="0" w:firstColumn="1" w:lastColumn="0" w:noHBand="0" w:noVBand="1"/>
    </w:tblPr>
    <w:tblGrid>
      <w:gridCol w:w="1025"/>
      <w:gridCol w:w="9031"/>
    </w:tblGrid>
    <w:tr w:rsidR="00C810A5" w:rsidRPr="00E406BB" w14:paraId="228C7ECE" w14:textId="77777777" w:rsidTr="006D4458">
      <w:trPr>
        <w:trHeight w:val="259"/>
      </w:trPr>
      <w:tc>
        <w:tcPr>
          <w:tcW w:w="1025" w:type="dxa"/>
        </w:tcPr>
        <w:p w14:paraId="2B41ECCD" w14:textId="77777777" w:rsidR="00C810A5" w:rsidRPr="00E406BB" w:rsidRDefault="00C810A5" w:rsidP="00C810A5">
          <w:pPr>
            <w:pStyle w:val="-fa"/>
            <w:spacing w:before="0" w:line="264" w:lineRule="auto"/>
            <w:rPr>
              <w:rtl/>
            </w:rPr>
          </w:pPr>
        </w:p>
      </w:tc>
      <w:tc>
        <w:tcPr>
          <w:tcW w:w="9030" w:type="dxa"/>
          <w:vAlign w:val="bottom"/>
        </w:tcPr>
        <w:p w14:paraId="1B262CAC" w14:textId="77777777" w:rsidR="00C810A5" w:rsidRDefault="00C810A5" w:rsidP="00C810A5">
          <w:pPr>
            <w:pStyle w:val="-"/>
            <w:pBdr>
              <w:bottom w:val="none" w:sz="0" w:space="0" w:color="auto"/>
            </w:pBdr>
            <w:spacing w:after="0" w:line="264" w:lineRule="auto"/>
            <w:rPr>
              <w:rtl/>
            </w:rPr>
          </w:pPr>
          <w:r w:rsidRPr="00E406BB">
            <w:rPr>
              <w:rFonts w:hint="cs"/>
              <w:rtl/>
            </w:rPr>
            <w:t>בנק</w:t>
          </w:r>
          <w:r w:rsidRPr="00E406BB">
            <w:rPr>
              <w:rtl/>
            </w:rPr>
            <w:t xml:space="preserve"> </w:t>
          </w:r>
          <w:r w:rsidRPr="00E406BB">
            <w:rPr>
              <w:rFonts w:hint="cs"/>
              <w:rtl/>
            </w:rPr>
            <w:t xml:space="preserve">לדוגמה </w:t>
          </w:r>
          <w:r w:rsidRPr="00E406BB">
            <w:rPr>
              <w:rtl/>
            </w:rPr>
            <w:t>בע"מ וחברות מאוחדות שלו</w:t>
          </w:r>
        </w:p>
      </w:tc>
    </w:tr>
    <w:tr w:rsidR="00C810A5" w:rsidRPr="00E406BB" w14:paraId="0602B156" w14:textId="77777777" w:rsidTr="006D4458">
      <w:trPr>
        <w:trHeight w:val="259"/>
      </w:trPr>
      <w:tc>
        <w:tcPr>
          <w:tcW w:w="1025" w:type="dxa"/>
        </w:tcPr>
        <w:p w14:paraId="02E960C8" w14:textId="77777777" w:rsidR="00C810A5" w:rsidRPr="00E406BB" w:rsidRDefault="00C810A5" w:rsidP="00C810A5">
          <w:pPr>
            <w:pStyle w:val="-fa"/>
            <w:spacing w:before="0" w:line="264" w:lineRule="auto"/>
            <w:rPr>
              <w:rtl/>
            </w:rPr>
          </w:pPr>
        </w:p>
      </w:tc>
      <w:tc>
        <w:tcPr>
          <w:tcW w:w="9030" w:type="dxa"/>
          <w:vAlign w:val="bottom"/>
        </w:tcPr>
        <w:p w14:paraId="4E32981F" w14:textId="5204CB02" w:rsidR="00C810A5" w:rsidRDefault="00C810A5" w:rsidP="00C810A5">
          <w:pPr>
            <w:pStyle w:val="-"/>
            <w:spacing w:after="0" w:line="264" w:lineRule="auto"/>
            <w:rPr>
              <w:rtl/>
            </w:rPr>
          </w:pPr>
          <w:r>
            <w:rPr>
              <w:rFonts w:hint="cs"/>
              <w:rtl/>
            </w:rPr>
            <w:t xml:space="preserve">ביאורים לתמצית הדוחות הכספיים ביניים </w:t>
          </w:r>
          <w:r w:rsidRPr="00543C25">
            <w:rPr>
              <w:rFonts w:hint="cs"/>
              <w:rtl/>
            </w:rPr>
            <w:t xml:space="preserve">ליום </w:t>
          </w:r>
          <w:r>
            <w:rPr>
              <w:rFonts w:hint="cs"/>
              <w:rtl/>
            </w:rPr>
            <w:t>30</w:t>
          </w:r>
          <w:r w:rsidRPr="00123CE8">
            <w:rPr>
              <w:rFonts w:hint="cs"/>
              <w:rtl/>
            </w:rPr>
            <w:t xml:space="preserve"> </w:t>
          </w:r>
          <w:r>
            <w:rPr>
              <w:rFonts w:hint="cs"/>
              <w:rtl/>
            </w:rPr>
            <w:t>ביוני</w:t>
          </w:r>
          <w:r w:rsidRPr="00123CE8">
            <w:rPr>
              <w:rFonts w:hint="cs"/>
              <w:rtl/>
            </w:rPr>
            <w:t xml:space="preserve"> </w:t>
          </w:r>
          <w:r w:rsidRPr="00C803FD">
            <w:rPr>
              <w:sz w:val="20"/>
              <w:szCs w:val="20"/>
              <w:rtl/>
            </w:rPr>
            <w:fldChar w:fldCharType="begin"/>
          </w:r>
          <w:r w:rsidRPr="00C803FD">
            <w:rPr>
              <w:sz w:val="20"/>
              <w:szCs w:val="20"/>
              <w:rtl/>
            </w:rPr>
            <w:instrText xml:space="preserve"> </w:instrText>
          </w:r>
          <w:r w:rsidRPr="00C803FD">
            <w:rPr>
              <w:rFonts w:hint="cs"/>
              <w:sz w:val="20"/>
              <w:szCs w:val="20"/>
              <w:rtl/>
            </w:rPr>
            <w:instrText xml:space="preserve">= </w:instrText>
          </w:r>
          <w:r w:rsidRPr="00C803FD">
            <w:rPr>
              <w:rFonts w:hint="cs"/>
              <w:sz w:val="20"/>
              <w:szCs w:val="20"/>
            </w:rPr>
            <w:instrText>CY \* MERGEFORMAT</w:instrText>
          </w:r>
          <w:r w:rsidRPr="00C803FD">
            <w:rPr>
              <w:sz w:val="20"/>
              <w:szCs w:val="20"/>
              <w:rtl/>
            </w:rPr>
            <w:instrText xml:space="preserve"> </w:instrText>
          </w:r>
          <w:r w:rsidRPr="00C803FD">
            <w:rPr>
              <w:sz w:val="20"/>
              <w:szCs w:val="20"/>
              <w:rtl/>
            </w:rPr>
            <w:fldChar w:fldCharType="separate"/>
          </w:r>
          <w:r w:rsidR="00684A10">
            <w:rPr>
              <w:noProof/>
              <w:sz w:val="20"/>
              <w:szCs w:val="20"/>
              <w:rtl/>
            </w:rPr>
            <w:t>2024</w:t>
          </w:r>
          <w:r w:rsidRPr="00C803FD">
            <w:rPr>
              <w:sz w:val="20"/>
              <w:szCs w:val="20"/>
              <w:rtl/>
            </w:rPr>
            <w:fldChar w:fldCharType="end"/>
          </w:r>
        </w:p>
      </w:tc>
    </w:tr>
    <w:tr w:rsidR="00C810A5" w:rsidRPr="00E406BB" w14:paraId="7631FBED" w14:textId="77777777" w:rsidTr="006D4458">
      <w:trPr>
        <w:trHeight w:val="259"/>
      </w:trPr>
      <w:tc>
        <w:tcPr>
          <w:tcW w:w="1025" w:type="dxa"/>
        </w:tcPr>
        <w:p w14:paraId="3059F314" w14:textId="77777777" w:rsidR="00C810A5" w:rsidRPr="00E406BB" w:rsidRDefault="00C810A5" w:rsidP="00C810A5">
          <w:pPr>
            <w:pStyle w:val="-fa"/>
            <w:spacing w:before="0" w:line="264" w:lineRule="auto"/>
            <w:rPr>
              <w:rtl/>
            </w:rPr>
          </w:pPr>
        </w:p>
      </w:tc>
      <w:tc>
        <w:tcPr>
          <w:tcW w:w="9030" w:type="dxa"/>
        </w:tcPr>
        <w:p w14:paraId="05CF2102" w14:textId="77777777" w:rsidR="00C810A5" w:rsidRPr="00E406BB" w:rsidRDefault="00C810A5" w:rsidP="00C810A5">
          <w:pPr>
            <w:pStyle w:val="-0"/>
            <w:spacing w:after="120" w:line="264" w:lineRule="auto"/>
            <w:ind w:left="142" w:hanging="142"/>
            <w:rPr>
              <w:rtl/>
            </w:rPr>
          </w:pPr>
          <w:r w:rsidRPr="00E406BB">
            <w:rPr>
              <w:rFonts w:hint="cs"/>
              <w:rtl/>
            </w:rPr>
            <w:t>סכומים מדווחים (במיליוני ש"ח)</w:t>
          </w:r>
        </w:p>
      </w:tc>
    </w:tr>
  </w:tbl>
  <w:p w14:paraId="2D87E2AB" w14:textId="77777777" w:rsidR="00553945" w:rsidRPr="00C810A5" w:rsidRDefault="00553945" w:rsidP="00B37ADB">
    <w:pPr>
      <w:pStyle w:val="af2"/>
      <w:spacing w:line="36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5FAD8" w14:textId="77777777" w:rsidR="00553945" w:rsidRPr="00BF4BA5" w:rsidRDefault="00553945" w:rsidP="00BF4BA5">
    <w:pPr>
      <w:pStyle w:val="a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AA48D" w14:textId="77777777" w:rsidR="00553945" w:rsidRDefault="00553945">
    <w:pPr>
      <w:spacing w:line="360"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4044" w14:textId="77777777" w:rsidR="00553945" w:rsidRPr="00582B85" w:rsidRDefault="00553945" w:rsidP="00582B85">
    <w:pPr>
      <w:pStyle w:val="af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446EF" w14:textId="77777777" w:rsidR="00553945" w:rsidRPr="00B80C8A" w:rsidRDefault="00553945" w:rsidP="00B80C8A">
    <w:pPr>
      <w:pStyle w:val="af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9CC6E" w14:textId="77777777" w:rsidR="00553945" w:rsidRPr="00777AE3" w:rsidRDefault="00553945" w:rsidP="00777AE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8DCB4A6"/>
    <w:lvl w:ilvl="0">
      <w:start w:val="1"/>
      <w:numFmt w:val="decimal"/>
      <w:lvlText w:val="%1."/>
      <w:lvlJc w:val="right"/>
      <w:pPr>
        <w:tabs>
          <w:tab w:val="num" w:pos="567"/>
        </w:tabs>
        <w:ind w:left="567" w:hanging="397"/>
      </w:pPr>
      <w:rPr>
        <w:rFonts w:cs="David" w:hint="cs"/>
        <w:bCs w:val="0"/>
        <w:iCs w:val="0"/>
        <w:caps w:val="0"/>
        <w:strike w:val="0"/>
        <w:dstrike w:val="0"/>
        <w:vanish w:val="0"/>
        <w:color w:val="000000"/>
        <w:sz w:val="22"/>
        <w:szCs w:val="22"/>
        <w:u w:val="none"/>
        <w:vertAlign w:val="baseline"/>
      </w:rPr>
    </w:lvl>
    <w:lvl w:ilvl="1">
      <w:start w:val="1"/>
      <w:numFmt w:val="decimal"/>
      <w:pStyle w:val="2"/>
      <w:lvlText w:val="%1.%2."/>
      <w:lvlJc w:val="left"/>
      <w:pPr>
        <w:tabs>
          <w:tab w:val="num" w:pos="1701"/>
        </w:tabs>
        <w:ind w:left="1701" w:hanging="1191"/>
      </w:pPr>
      <w:rPr>
        <w:rFonts w:cs="David" w:hint="cs"/>
        <w:bCs w:val="0"/>
        <w:iCs w:val="0"/>
        <w:caps w:val="0"/>
        <w:strike w:val="0"/>
        <w:dstrike w:val="0"/>
        <w:vanish w:val="0"/>
        <w:color w:val="000000"/>
        <w:sz w:val="22"/>
        <w:szCs w:val="22"/>
        <w:u w:val="none"/>
        <w:vertAlign w:val="baseline"/>
      </w:rPr>
    </w:lvl>
    <w:lvl w:ilvl="2">
      <w:start w:val="1"/>
      <w:numFmt w:val="decimal"/>
      <w:pStyle w:val="3"/>
      <w:lvlText w:val="%1.%2.%3."/>
      <w:lvlJc w:val="left"/>
      <w:pPr>
        <w:tabs>
          <w:tab w:val="num" w:pos="2835"/>
        </w:tabs>
        <w:ind w:left="2835" w:hanging="1134"/>
      </w:pPr>
      <w:rPr>
        <w:rFonts w:cs="David" w:hint="cs"/>
        <w:bCs w:val="0"/>
        <w:iCs w:val="0"/>
        <w:caps w:val="0"/>
        <w:strike w:val="0"/>
        <w:dstrike w:val="0"/>
        <w:vanish w:val="0"/>
        <w:color w:val="000000"/>
        <w:spacing w:val="0"/>
        <w:sz w:val="22"/>
        <w:szCs w:val="22"/>
        <w:u w:val="none"/>
        <w:effect w:val="none"/>
        <w:vertAlign w:val="baseline"/>
      </w:rPr>
    </w:lvl>
    <w:lvl w:ilvl="3">
      <w:start w:val="1"/>
      <w:numFmt w:val="decimal"/>
      <w:pStyle w:val="4"/>
      <w:lvlText w:val="%1.%2.%3.%4."/>
      <w:lvlJc w:val="left"/>
      <w:pPr>
        <w:tabs>
          <w:tab w:val="num" w:pos="4536"/>
        </w:tabs>
        <w:ind w:left="4536" w:hanging="1701"/>
      </w:pPr>
      <w:rPr>
        <w:rFonts w:cs="David" w:hint="cs"/>
        <w:bCs w:val="0"/>
        <w:iCs w:val="0"/>
        <w:caps w:val="0"/>
        <w:strike w:val="0"/>
        <w:dstrike w:val="0"/>
        <w:vanish w:val="0"/>
        <w:color w:val="000000"/>
        <w:sz w:val="22"/>
        <w:szCs w:val="22"/>
        <w:u w:val="none"/>
        <w:vertAlign w:val="baseline"/>
      </w:rPr>
    </w:lvl>
    <w:lvl w:ilvl="4">
      <w:start w:val="1"/>
      <w:numFmt w:val="decimal"/>
      <w:lvlText w:val="%1.%2.%3.%4.%5."/>
      <w:lvlJc w:val="center"/>
      <w:pPr>
        <w:tabs>
          <w:tab w:val="num" w:pos="1948"/>
        </w:tabs>
        <w:ind w:left="1948" w:hanging="792"/>
      </w:pPr>
      <w:rPr>
        <w:rFonts w:cs="Times New Roman" w:hint="default"/>
      </w:rPr>
    </w:lvl>
    <w:lvl w:ilvl="5">
      <w:start w:val="1"/>
      <w:numFmt w:val="decimal"/>
      <w:lvlText w:val="%1.%2.%3.%4.%5.%6."/>
      <w:lvlJc w:val="center"/>
      <w:pPr>
        <w:tabs>
          <w:tab w:val="num" w:pos="2452"/>
        </w:tabs>
        <w:ind w:left="2452" w:hanging="936"/>
      </w:pPr>
      <w:rPr>
        <w:rFonts w:cs="Times New Roman" w:hint="default"/>
      </w:rPr>
    </w:lvl>
    <w:lvl w:ilvl="6">
      <w:start w:val="1"/>
      <w:numFmt w:val="decimal"/>
      <w:lvlText w:val="%1.%2.%3.%4.%5.%6.%7."/>
      <w:lvlJc w:val="center"/>
      <w:pPr>
        <w:tabs>
          <w:tab w:val="num" w:pos="2956"/>
        </w:tabs>
        <w:ind w:left="2956" w:hanging="1080"/>
      </w:pPr>
      <w:rPr>
        <w:rFonts w:cs="Times New Roman" w:hint="default"/>
      </w:rPr>
    </w:lvl>
    <w:lvl w:ilvl="7">
      <w:start w:val="1"/>
      <w:numFmt w:val="decimal"/>
      <w:lvlText w:val="%1.%2.%3.%4.%5.%6.%7.%8."/>
      <w:lvlJc w:val="center"/>
      <w:pPr>
        <w:tabs>
          <w:tab w:val="num" w:pos="3460"/>
        </w:tabs>
        <w:ind w:left="3460" w:hanging="1224"/>
      </w:pPr>
      <w:rPr>
        <w:rFonts w:cs="Times New Roman" w:hint="default"/>
      </w:rPr>
    </w:lvl>
    <w:lvl w:ilvl="8">
      <w:start w:val="1"/>
      <w:numFmt w:val="decimal"/>
      <w:lvlText w:val="%1.%2.%3.%4.%5.%6.%7.%8.%9."/>
      <w:lvlJc w:val="center"/>
      <w:pPr>
        <w:tabs>
          <w:tab w:val="num" w:pos="4036"/>
        </w:tabs>
        <w:ind w:left="4036" w:hanging="1440"/>
      </w:pPr>
      <w:rPr>
        <w:rFonts w:cs="Times New Roman" w:hint="default"/>
      </w:rPr>
    </w:lvl>
  </w:abstractNum>
  <w:abstractNum w:abstractNumId="1" w15:restartNumberingAfterBreak="0">
    <w:nsid w:val="02F21D85"/>
    <w:multiLevelType w:val="hybridMultilevel"/>
    <w:tmpl w:val="E1CCCD8E"/>
    <w:lvl w:ilvl="0" w:tplc="3D8EF12C">
      <w:start w:val="1"/>
      <w:numFmt w:val="hebrew1"/>
      <w:lvlText w:val="%1."/>
      <w:lvlJc w:val="left"/>
      <w:pPr>
        <w:ind w:left="1466" w:hanging="360"/>
      </w:pPr>
      <w:rPr>
        <w:rFonts w:hint="default"/>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2" w15:restartNumberingAfterBreak="0">
    <w:nsid w:val="04CF1978"/>
    <w:multiLevelType w:val="multilevel"/>
    <w:tmpl w:val="1202473A"/>
    <w:lvl w:ilvl="0">
      <w:start w:val="1"/>
      <w:numFmt w:val="ordinal"/>
      <w:pStyle w:val="nispah"/>
      <w:lvlText w:val="&quot;%1&quot;"/>
      <w:lvlJc w:val="center"/>
      <w:pPr>
        <w:tabs>
          <w:tab w:val="num" w:pos="648"/>
        </w:tabs>
        <w:ind w:left="360" w:hanging="72"/>
      </w:pPr>
      <w:rPr>
        <w:rFonts w:ascii="Times New Roman" w:hAnsi="Times New Roman" w:cs="David" w:hint="default"/>
        <w:b/>
        <w:bCs/>
        <w:i w:val="0"/>
        <w:iCs w:val="0"/>
        <w:caps w:val="0"/>
        <w:strike w:val="0"/>
        <w:dstrike w:val="0"/>
        <w:vanish w:val="0"/>
        <w:color w:val="000000"/>
        <w:sz w:val="24"/>
        <w:szCs w:val="24"/>
        <w:u w:val="none"/>
        <w:vertAlign w:val="baseline"/>
      </w:rPr>
    </w:lvl>
    <w:lvl w:ilvl="1">
      <w:start w:val="1"/>
      <w:numFmt w:val="decimal"/>
      <w:lvlText w:val="%1.%2."/>
      <w:lvlJc w:val="center"/>
      <w:pPr>
        <w:tabs>
          <w:tab w:val="num" w:pos="792"/>
        </w:tabs>
        <w:ind w:left="792" w:hanging="432"/>
      </w:pPr>
      <w:rPr>
        <w:rFonts w:cs="Times New Roman"/>
      </w:rPr>
    </w:lvl>
    <w:lvl w:ilvl="2">
      <w:start w:val="1"/>
      <w:numFmt w:val="decimal"/>
      <w:lvlText w:val="%1.%2.%3."/>
      <w:lvlJc w:val="center"/>
      <w:pPr>
        <w:tabs>
          <w:tab w:val="num" w:pos="1224"/>
        </w:tabs>
        <w:ind w:left="1224" w:hanging="504"/>
      </w:pPr>
      <w:rPr>
        <w:rFonts w:cs="Times New Roman"/>
      </w:rPr>
    </w:lvl>
    <w:lvl w:ilvl="3">
      <w:start w:val="1"/>
      <w:numFmt w:val="decimal"/>
      <w:lvlText w:val="%1.%2.%3.%4."/>
      <w:lvlJc w:val="center"/>
      <w:pPr>
        <w:tabs>
          <w:tab w:val="num" w:pos="1728"/>
        </w:tabs>
        <w:ind w:left="1728" w:hanging="648"/>
      </w:pPr>
      <w:rPr>
        <w:rFonts w:cs="Times New Roman"/>
      </w:rPr>
    </w:lvl>
    <w:lvl w:ilvl="4">
      <w:start w:val="1"/>
      <w:numFmt w:val="decimal"/>
      <w:lvlText w:val="%1.%2.%3.%4.%5."/>
      <w:lvlJc w:val="center"/>
      <w:pPr>
        <w:tabs>
          <w:tab w:val="num" w:pos="2232"/>
        </w:tabs>
        <w:ind w:left="2232" w:hanging="792"/>
      </w:pPr>
      <w:rPr>
        <w:rFonts w:cs="Times New Roman"/>
      </w:rPr>
    </w:lvl>
    <w:lvl w:ilvl="5">
      <w:start w:val="1"/>
      <w:numFmt w:val="decimal"/>
      <w:lvlText w:val="%1.%2.%3.%4.%5.%6."/>
      <w:lvlJc w:val="center"/>
      <w:pPr>
        <w:tabs>
          <w:tab w:val="num" w:pos="2736"/>
        </w:tabs>
        <w:ind w:left="2736" w:hanging="936"/>
      </w:pPr>
      <w:rPr>
        <w:rFonts w:cs="Times New Roman"/>
      </w:rPr>
    </w:lvl>
    <w:lvl w:ilvl="6">
      <w:start w:val="1"/>
      <w:numFmt w:val="decimal"/>
      <w:lvlText w:val="%1.%2.%3.%4.%5.%6.%7."/>
      <w:lvlJc w:val="center"/>
      <w:pPr>
        <w:tabs>
          <w:tab w:val="num" w:pos="3240"/>
        </w:tabs>
        <w:ind w:left="3240" w:hanging="1080"/>
      </w:pPr>
      <w:rPr>
        <w:rFonts w:cs="Times New Roman"/>
      </w:rPr>
    </w:lvl>
    <w:lvl w:ilvl="7">
      <w:start w:val="1"/>
      <w:numFmt w:val="decimal"/>
      <w:lvlText w:val="%1.%2.%3.%4.%5.%6.%7.%8."/>
      <w:lvlJc w:val="center"/>
      <w:pPr>
        <w:tabs>
          <w:tab w:val="num" w:pos="3744"/>
        </w:tabs>
        <w:ind w:left="3744" w:hanging="1224"/>
      </w:pPr>
      <w:rPr>
        <w:rFonts w:cs="Times New Roman"/>
      </w:rPr>
    </w:lvl>
    <w:lvl w:ilvl="8">
      <w:start w:val="1"/>
      <w:numFmt w:val="decimal"/>
      <w:lvlText w:val="%1.%2.%3.%4.%5.%6.%7.%8.%9."/>
      <w:lvlJc w:val="center"/>
      <w:pPr>
        <w:tabs>
          <w:tab w:val="num" w:pos="4320"/>
        </w:tabs>
        <w:ind w:left="4320" w:hanging="1440"/>
      </w:pPr>
      <w:rPr>
        <w:rFonts w:cs="Times New Roman"/>
      </w:rPr>
    </w:lvl>
  </w:abstractNum>
  <w:abstractNum w:abstractNumId="3" w15:restartNumberingAfterBreak="0">
    <w:nsid w:val="08D2132D"/>
    <w:multiLevelType w:val="hybridMultilevel"/>
    <w:tmpl w:val="4B6863BA"/>
    <w:lvl w:ilvl="0" w:tplc="FFFFFFFF">
      <w:start w:val="1"/>
      <w:numFmt w:val="hebrew1"/>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6B4D39"/>
    <w:multiLevelType w:val="hybridMultilevel"/>
    <w:tmpl w:val="2FF4F128"/>
    <w:lvl w:ilvl="0" w:tplc="04090011">
      <w:start w:val="1"/>
      <w:numFmt w:val="decimal"/>
      <w:lvlText w:val="%1)"/>
      <w:lvlJc w:val="left"/>
      <w:pPr>
        <w:ind w:left="921" w:hanging="360"/>
      </w:p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0E7E1EC0"/>
    <w:multiLevelType w:val="hybridMultilevel"/>
    <w:tmpl w:val="AE78D496"/>
    <w:lvl w:ilvl="0" w:tplc="2F50A0A4">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87CE7"/>
    <w:multiLevelType w:val="hybridMultilevel"/>
    <w:tmpl w:val="8426178E"/>
    <w:lvl w:ilvl="0" w:tplc="86A261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B00AF"/>
    <w:multiLevelType w:val="hybridMultilevel"/>
    <w:tmpl w:val="E9142910"/>
    <w:lvl w:ilvl="0" w:tplc="B03098A8">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57384"/>
    <w:multiLevelType w:val="hybridMultilevel"/>
    <w:tmpl w:val="D6DC3896"/>
    <w:lvl w:ilvl="0" w:tplc="42A627A8">
      <w:start w:val="1"/>
      <w:numFmt w:val="hebrew1"/>
      <w:lvlText w:val="(%1)"/>
      <w:lvlJc w:val="left"/>
      <w:pPr>
        <w:ind w:left="375" w:hanging="375"/>
      </w:pPr>
      <w:rPr>
        <w:rFonts w:hint="default"/>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B81B2C"/>
    <w:multiLevelType w:val="hybridMultilevel"/>
    <w:tmpl w:val="2FF4F128"/>
    <w:lvl w:ilvl="0" w:tplc="04090011">
      <w:start w:val="1"/>
      <w:numFmt w:val="decimal"/>
      <w:lvlText w:val="%1)"/>
      <w:lvlJc w:val="left"/>
      <w:pPr>
        <w:ind w:left="921" w:hanging="360"/>
      </w:p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280166C2"/>
    <w:multiLevelType w:val="multilevel"/>
    <w:tmpl w:val="260269F2"/>
    <w:styleLink w:val="1"/>
    <w:lvl w:ilvl="0">
      <w:start w:val="1"/>
      <w:numFmt w:val="decimal"/>
      <w:lvlText w:val="%1."/>
      <w:lvlJc w:val="left"/>
      <w:pPr>
        <w:ind w:left="1008" w:hanging="360"/>
      </w:pPr>
      <w:rPr>
        <w:rFonts w:ascii="Arial" w:eastAsia="Times New Roman" w:hAnsi="Arial" w:cs="Arial" w:hint="default"/>
        <w:b w:val="0"/>
        <w:bCs w:val="0"/>
      </w:rPr>
    </w:lvl>
    <w:lvl w:ilvl="1">
      <w:start w:val="1"/>
      <w:numFmt w:val="hebrew1"/>
      <w:lvlText w:val="%2."/>
      <w:lvlJc w:val="left"/>
      <w:pPr>
        <w:ind w:left="1728" w:hanging="360"/>
      </w:pPr>
      <w:rPr>
        <w:rFonts w:hint="default"/>
        <w:sz w:val="18"/>
        <w:szCs w:val="20"/>
      </w:rPr>
    </w:lvl>
    <w:lvl w:ilvl="2">
      <w:start w:val="1"/>
      <w:numFmt w:val="lowerRoman"/>
      <w:lvlText w:val="%3."/>
      <w:lvlJc w:val="right"/>
      <w:pPr>
        <w:ind w:left="2448" w:hanging="180"/>
      </w:pPr>
    </w:lvl>
    <w:lvl w:ilvl="3">
      <w:start w:val="1"/>
      <w:numFmt w:val="decimal"/>
      <w:lvlText w:val="%4."/>
      <w:lvlJc w:val="left"/>
      <w:pPr>
        <w:ind w:left="3168" w:hanging="360"/>
      </w:pPr>
      <w:rPr>
        <w:sz w:val="20"/>
        <w:szCs w:val="20"/>
      </w:r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1" w15:restartNumberingAfterBreak="0">
    <w:nsid w:val="28E52500"/>
    <w:multiLevelType w:val="hybridMultilevel"/>
    <w:tmpl w:val="121E7494"/>
    <w:lvl w:ilvl="0" w:tplc="5210B8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3558C"/>
    <w:multiLevelType w:val="hybridMultilevel"/>
    <w:tmpl w:val="46849C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391816"/>
    <w:multiLevelType w:val="hybridMultilevel"/>
    <w:tmpl w:val="42C011A6"/>
    <w:lvl w:ilvl="0" w:tplc="FFFFFFFF">
      <w:start w:val="1"/>
      <w:numFmt w:val="decimal"/>
      <w:lvlText w:val="%1)"/>
      <w:lvlJc w:val="left"/>
      <w:pPr>
        <w:ind w:left="921" w:hanging="360"/>
      </w:pPr>
    </w:lvl>
    <w:lvl w:ilvl="1" w:tplc="FFFFFFFF" w:tentative="1">
      <w:start w:val="1"/>
      <w:numFmt w:val="lowerLetter"/>
      <w:lvlText w:val="%2."/>
      <w:lvlJc w:val="left"/>
      <w:pPr>
        <w:ind w:left="1641" w:hanging="360"/>
      </w:pPr>
    </w:lvl>
    <w:lvl w:ilvl="2" w:tplc="FFFFFFFF" w:tentative="1">
      <w:start w:val="1"/>
      <w:numFmt w:val="lowerRoman"/>
      <w:lvlText w:val="%3."/>
      <w:lvlJc w:val="right"/>
      <w:pPr>
        <w:ind w:left="2361" w:hanging="180"/>
      </w:pPr>
    </w:lvl>
    <w:lvl w:ilvl="3" w:tplc="FFFFFFFF" w:tentative="1">
      <w:start w:val="1"/>
      <w:numFmt w:val="decimal"/>
      <w:lvlText w:val="%4."/>
      <w:lvlJc w:val="left"/>
      <w:pPr>
        <w:ind w:left="3081" w:hanging="360"/>
      </w:pPr>
    </w:lvl>
    <w:lvl w:ilvl="4" w:tplc="FFFFFFFF" w:tentative="1">
      <w:start w:val="1"/>
      <w:numFmt w:val="lowerLetter"/>
      <w:lvlText w:val="%5."/>
      <w:lvlJc w:val="left"/>
      <w:pPr>
        <w:ind w:left="3801" w:hanging="360"/>
      </w:pPr>
    </w:lvl>
    <w:lvl w:ilvl="5" w:tplc="FFFFFFFF" w:tentative="1">
      <w:start w:val="1"/>
      <w:numFmt w:val="lowerRoman"/>
      <w:lvlText w:val="%6."/>
      <w:lvlJc w:val="right"/>
      <w:pPr>
        <w:ind w:left="4521" w:hanging="180"/>
      </w:pPr>
    </w:lvl>
    <w:lvl w:ilvl="6" w:tplc="FFFFFFFF" w:tentative="1">
      <w:start w:val="1"/>
      <w:numFmt w:val="decimal"/>
      <w:lvlText w:val="%7."/>
      <w:lvlJc w:val="left"/>
      <w:pPr>
        <w:ind w:left="5241" w:hanging="360"/>
      </w:pPr>
    </w:lvl>
    <w:lvl w:ilvl="7" w:tplc="FFFFFFFF" w:tentative="1">
      <w:start w:val="1"/>
      <w:numFmt w:val="lowerLetter"/>
      <w:lvlText w:val="%8."/>
      <w:lvlJc w:val="left"/>
      <w:pPr>
        <w:ind w:left="5961" w:hanging="360"/>
      </w:pPr>
    </w:lvl>
    <w:lvl w:ilvl="8" w:tplc="FFFFFFFF" w:tentative="1">
      <w:start w:val="1"/>
      <w:numFmt w:val="lowerRoman"/>
      <w:lvlText w:val="%9."/>
      <w:lvlJc w:val="right"/>
      <w:pPr>
        <w:ind w:left="6681" w:hanging="180"/>
      </w:pPr>
    </w:lvl>
  </w:abstractNum>
  <w:abstractNum w:abstractNumId="14" w15:restartNumberingAfterBreak="0">
    <w:nsid w:val="34943ED5"/>
    <w:multiLevelType w:val="hybridMultilevel"/>
    <w:tmpl w:val="7DEEAB9E"/>
    <w:lvl w:ilvl="0" w:tplc="05CE0704">
      <w:start w:val="1"/>
      <w:numFmt w:val="hebrew1"/>
      <w:pStyle w:val="a"/>
      <w:lvlText w:val="%1."/>
      <w:lvlJc w:val="left"/>
      <w:pPr>
        <w:tabs>
          <w:tab w:val="num" w:pos="360"/>
        </w:tabs>
        <w:ind w:left="360" w:hanging="360"/>
      </w:pPr>
      <w:rPr>
        <w:rFonts w:hint="default"/>
        <w:b/>
        <w:bCs/>
      </w:rPr>
    </w:lvl>
    <w:lvl w:ilvl="1" w:tplc="04090019">
      <w:start w:val="1"/>
      <w:numFmt w:val="decimal"/>
      <w:lvlText w:val="(%2)"/>
      <w:lvlJc w:val="left"/>
      <w:pPr>
        <w:tabs>
          <w:tab w:val="num" w:pos="360"/>
        </w:tabs>
        <w:ind w:left="360" w:hanging="360"/>
      </w:pPr>
      <w:rPr>
        <w:rFonts w:hint="default"/>
        <w:b/>
        <w:bCs/>
      </w:rPr>
    </w:lvl>
    <w:lvl w:ilvl="2" w:tplc="0409001B">
      <w:start w:val="1"/>
      <w:numFmt w:val="hebrew1"/>
      <w:lvlText w:val="%3)"/>
      <w:lvlJc w:val="left"/>
      <w:pPr>
        <w:tabs>
          <w:tab w:val="num" w:pos="360"/>
        </w:tabs>
        <w:ind w:left="360" w:hanging="360"/>
      </w:pPr>
      <w:rPr>
        <w:rFonts w:hint="default"/>
        <w:b/>
        <w:bCs/>
      </w:rPr>
    </w:lvl>
    <w:lvl w:ilvl="3" w:tplc="0409000F">
      <w:start w:val="1"/>
      <w:numFmt w:val="decimal"/>
      <w:lvlText w:val="%4."/>
      <w:lvlJc w:val="left"/>
      <w:pPr>
        <w:tabs>
          <w:tab w:val="num" w:pos="360"/>
        </w:tabs>
        <w:ind w:left="360" w:hanging="360"/>
      </w:pPr>
      <w:rPr>
        <w:rFonts w:ascii="Arial" w:eastAsia="Times New Roman" w:hAnsi="Arial" w:cs="Arial" w:hint="default"/>
        <w:b w:val="0"/>
        <w:bCs w:val="0"/>
      </w:rPr>
    </w:lvl>
    <w:lvl w:ilvl="4" w:tplc="04090019">
      <w:start w:val="1"/>
      <w:numFmt w:val="decimal"/>
      <w:lvlText w:val="%5."/>
      <w:lvlJc w:val="left"/>
      <w:pPr>
        <w:tabs>
          <w:tab w:val="num" w:pos="3600"/>
        </w:tabs>
        <w:ind w:left="3600" w:hanging="360"/>
      </w:pPr>
      <w:rPr>
        <w:rFonts w:ascii="Arial" w:eastAsia="Times New Roman" w:hAnsi="Arial" w:cs="Arial" w:hint="default"/>
        <w:b w:val="0"/>
        <w:bCs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9D06BC"/>
    <w:multiLevelType w:val="hybridMultilevel"/>
    <w:tmpl w:val="E9142910"/>
    <w:lvl w:ilvl="0" w:tplc="FFFFFFFF">
      <w:start w:val="1"/>
      <w:numFmt w:val="decimal"/>
      <w:lvlText w:val="%1)"/>
      <w:lvlJc w:val="left"/>
      <w:pPr>
        <w:ind w:left="1039" w:hanging="360"/>
      </w:pPr>
      <w:rPr>
        <w:sz w:val="18"/>
        <w:szCs w:val="18"/>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16" w15:restartNumberingAfterBreak="0">
    <w:nsid w:val="3E14331F"/>
    <w:multiLevelType w:val="multilevel"/>
    <w:tmpl w:val="5184C844"/>
    <w:lvl w:ilvl="0">
      <w:start w:val="1"/>
      <w:numFmt w:val="upperRoman"/>
      <w:pStyle w:val="a0"/>
      <w:suff w:val="space"/>
      <w:lvlText w:val="&quot;%1&quot;"/>
      <w:lvlJc w:val="center"/>
      <w:pPr>
        <w:ind w:left="360" w:right="360" w:hanging="72"/>
      </w:pPr>
      <w:rPr>
        <w:rFonts w:cs="David" w:hint="default"/>
        <w:bCs/>
        <w:iCs w:val="0"/>
        <w:caps w:val="0"/>
        <w:strike w:val="0"/>
        <w:dstrike w:val="0"/>
        <w:vanish w:val="0"/>
        <w:color w:val="000000"/>
        <w:szCs w:val="24"/>
        <w:vertAlign w:val="baseline"/>
      </w:rPr>
    </w:lvl>
    <w:lvl w:ilvl="1">
      <w:start w:val="1"/>
      <w:numFmt w:val="upperRoman"/>
      <w:lvlText w:val="&quot;%2&quot;"/>
      <w:lvlJc w:val="center"/>
      <w:pPr>
        <w:tabs>
          <w:tab w:val="num" w:pos="720"/>
        </w:tabs>
        <w:ind w:left="720" w:right="720" w:hanging="360"/>
      </w:pPr>
      <w:rPr>
        <w:rFonts w:cs="David" w:hint="default"/>
        <w:bCs/>
        <w:iCs w:val="0"/>
        <w:caps w:val="0"/>
        <w:strike w:val="0"/>
        <w:dstrike w:val="0"/>
        <w:vanish w:val="0"/>
        <w:color w:val="000000"/>
        <w:szCs w:val="24"/>
        <w:vertAlign w:val="baseline"/>
      </w:rPr>
    </w:lvl>
    <w:lvl w:ilvl="2">
      <w:start w:val="1"/>
      <w:numFmt w:val="upperRoman"/>
      <w:lvlText w:val="&quot;%3&quot;"/>
      <w:lvlJc w:val="center"/>
      <w:pPr>
        <w:tabs>
          <w:tab w:val="num" w:pos="1080"/>
        </w:tabs>
        <w:ind w:left="1080" w:right="1080" w:hanging="360"/>
      </w:pPr>
      <w:rPr>
        <w:rFonts w:cs="David" w:hint="default"/>
        <w:bCs/>
        <w:iCs w:val="0"/>
        <w:caps w:val="0"/>
        <w:strike w:val="0"/>
        <w:dstrike w:val="0"/>
        <w:vanish w:val="0"/>
        <w:color w:val="000000"/>
        <w:szCs w:val="24"/>
        <w:vertAlign w:val="baseline"/>
      </w:rPr>
    </w:lvl>
    <w:lvl w:ilvl="3">
      <w:start w:val="1"/>
      <w:numFmt w:val="upperRoman"/>
      <w:lvlText w:val="&quot;%4&quot;"/>
      <w:lvlJc w:val="center"/>
      <w:pPr>
        <w:tabs>
          <w:tab w:val="num" w:pos="1440"/>
        </w:tabs>
        <w:ind w:left="1440" w:right="1440" w:hanging="360"/>
      </w:pPr>
      <w:rPr>
        <w:rFonts w:cs="David" w:hint="default"/>
        <w:bCs/>
        <w:iCs w:val="0"/>
        <w:caps w:val="0"/>
        <w:strike w:val="0"/>
        <w:dstrike w:val="0"/>
        <w:vanish w:val="0"/>
        <w:color w:val="000000"/>
        <w:szCs w:val="24"/>
        <w:vertAlign w:val="baseline"/>
      </w:rPr>
    </w:lvl>
    <w:lvl w:ilvl="4">
      <w:start w:val="1"/>
      <w:numFmt w:val="cardinalText"/>
      <w:lvlText w:val="(%5)"/>
      <w:lvlJc w:val="center"/>
      <w:pPr>
        <w:tabs>
          <w:tab w:val="num" w:pos="2088"/>
        </w:tabs>
        <w:ind w:left="1800" w:right="1800" w:hanging="360"/>
      </w:pPr>
    </w:lvl>
    <w:lvl w:ilvl="5">
      <w:start w:val="1"/>
      <w:numFmt w:val="lowerLetter"/>
      <w:lvlText w:val="(%6)"/>
      <w:lvlJc w:val="center"/>
      <w:pPr>
        <w:tabs>
          <w:tab w:val="num" w:pos="2448"/>
        </w:tabs>
        <w:ind w:left="2160" w:right="2160" w:hanging="360"/>
      </w:pPr>
    </w:lvl>
    <w:lvl w:ilvl="6">
      <w:start w:val="1"/>
      <w:numFmt w:val="decimal"/>
      <w:lvlText w:val="%7."/>
      <w:lvlJc w:val="center"/>
      <w:pPr>
        <w:tabs>
          <w:tab w:val="num" w:pos="2808"/>
        </w:tabs>
        <w:ind w:left="2520" w:right="2520" w:hanging="360"/>
      </w:pPr>
    </w:lvl>
    <w:lvl w:ilvl="7">
      <w:start w:val="1"/>
      <w:numFmt w:val="cardinalText"/>
      <w:lvlText w:val="%8."/>
      <w:lvlJc w:val="center"/>
      <w:pPr>
        <w:tabs>
          <w:tab w:val="num" w:pos="3168"/>
        </w:tabs>
        <w:ind w:left="2880" w:right="2880" w:hanging="360"/>
      </w:pPr>
    </w:lvl>
    <w:lvl w:ilvl="8">
      <w:start w:val="1"/>
      <w:numFmt w:val="lowerLetter"/>
      <w:lvlText w:val="%9."/>
      <w:lvlJc w:val="center"/>
      <w:pPr>
        <w:tabs>
          <w:tab w:val="num" w:pos="3528"/>
        </w:tabs>
        <w:ind w:left="3240" w:right="3240" w:hanging="360"/>
      </w:pPr>
    </w:lvl>
  </w:abstractNum>
  <w:abstractNum w:abstractNumId="17" w15:restartNumberingAfterBreak="0">
    <w:nsid w:val="3F4571E7"/>
    <w:multiLevelType w:val="hybridMultilevel"/>
    <w:tmpl w:val="A656A04E"/>
    <w:lvl w:ilvl="0" w:tplc="5A0C145E">
      <w:start w:val="1"/>
      <w:numFmt w:val="hebrew1"/>
      <w:lvlText w:val="(%1)"/>
      <w:lvlJc w:val="left"/>
      <w:pPr>
        <w:ind w:left="450" w:hanging="360"/>
      </w:pPr>
      <w:rPr>
        <w:rFonts w:hint="default"/>
        <w:b/>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0792E1C"/>
    <w:multiLevelType w:val="hybridMultilevel"/>
    <w:tmpl w:val="4F5A8BD6"/>
    <w:lvl w:ilvl="0" w:tplc="35CC60B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41244D8C"/>
    <w:multiLevelType w:val="hybridMultilevel"/>
    <w:tmpl w:val="4EC09964"/>
    <w:lvl w:ilvl="0" w:tplc="7B4C9E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7460F"/>
    <w:multiLevelType w:val="hybridMultilevel"/>
    <w:tmpl w:val="42C011A6"/>
    <w:lvl w:ilvl="0" w:tplc="EF38F204">
      <w:start w:val="1"/>
      <w:numFmt w:val="decimal"/>
      <w:lvlText w:val="%1)"/>
      <w:lvlJc w:val="left"/>
      <w:pPr>
        <w:ind w:left="921" w:hanging="360"/>
      </w:p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1" w15:restartNumberingAfterBreak="0">
    <w:nsid w:val="41B1619B"/>
    <w:multiLevelType w:val="hybridMultilevel"/>
    <w:tmpl w:val="FDD2EAFC"/>
    <w:lvl w:ilvl="0" w:tplc="564278AC">
      <w:start w:val="1"/>
      <w:numFmt w:val="hebrew1"/>
      <w:lvlText w:val="(%1)"/>
      <w:lvlJc w:val="left"/>
      <w:pPr>
        <w:ind w:left="1778" w:hanging="360"/>
      </w:pPr>
      <w:rPr>
        <w:rFonts w:hint="default"/>
        <w:b w:val="0"/>
        <w:bCs w:val="0"/>
        <w:sz w:val="16"/>
        <w:szCs w:val="16"/>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46986803"/>
    <w:multiLevelType w:val="hybridMultilevel"/>
    <w:tmpl w:val="3C42285E"/>
    <w:lvl w:ilvl="0" w:tplc="FFFFFFFF">
      <w:start w:val="1"/>
      <w:numFmt w:val="hebrew1"/>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B646E6"/>
    <w:multiLevelType w:val="hybridMultilevel"/>
    <w:tmpl w:val="36642AFE"/>
    <w:lvl w:ilvl="0" w:tplc="2084AAC4">
      <w:start w:val="1"/>
      <w:numFmt w:val="bullet"/>
      <w:lvlText w:val="-"/>
      <w:lvlJc w:val="left"/>
      <w:pPr>
        <w:tabs>
          <w:tab w:val="num" w:pos="806"/>
        </w:tabs>
        <w:ind w:left="806" w:hanging="288"/>
      </w:pPr>
      <w:rPr>
        <w:rFonts w:ascii="Arial" w:eastAsia="Times New Roman" w:hAnsi="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pStyle w:val="40"/>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B925C0"/>
    <w:multiLevelType w:val="hybridMultilevel"/>
    <w:tmpl w:val="3FD8976A"/>
    <w:lvl w:ilvl="0" w:tplc="1F7E8900">
      <w:start w:val="1"/>
      <w:numFmt w:val="hebrew1"/>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95DCA"/>
    <w:multiLevelType w:val="multilevel"/>
    <w:tmpl w:val="218C641C"/>
    <w:lvl w:ilvl="0">
      <w:start w:val="1"/>
      <w:numFmt w:val="hebrew1"/>
      <w:pStyle w:val="41"/>
      <w:lvlText w:val="%1."/>
      <w:lvlJc w:val="right"/>
      <w:pPr>
        <w:tabs>
          <w:tab w:val="num" w:pos="567"/>
        </w:tabs>
        <w:ind w:left="567" w:right="567" w:hanging="283"/>
      </w:pPr>
      <w:rPr>
        <w:rFonts w:hint="default"/>
      </w:rPr>
    </w:lvl>
    <w:lvl w:ilvl="1">
      <w:start w:val="1"/>
      <w:numFmt w:val="decimal"/>
      <w:pStyle w:val="10"/>
      <w:lvlText w:val="%2."/>
      <w:lvlJc w:val="left"/>
      <w:pPr>
        <w:tabs>
          <w:tab w:val="num" w:pos="1134"/>
        </w:tabs>
        <w:ind w:left="1134" w:right="1134" w:hanging="567"/>
      </w:pPr>
      <w:rPr>
        <w:rFonts w:hint="default"/>
      </w:rPr>
    </w:lvl>
    <w:lvl w:ilvl="2">
      <w:start w:val="1"/>
      <w:numFmt w:val="hebrew1"/>
      <w:pStyle w:val="20"/>
      <w:lvlText w:val="%3)"/>
      <w:lvlJc w:val="left"/>
      <w:pPr>
        <w:tabs>
          <w:tab w:val="num" w:pos="1701"/>
        </w:tabs>
        <w:ind w:left="1701" w:right="1701" w:hanging="567"/>
      </w:pPr>
      <w:rPr>
        <w:rFonts w:hint="default"/>
      </w:rPr>
    </w:lvl>
    <w:lvl w:ilvl="3">
      <w:start w:val="1"/>
      <w:numFmt w:val="decimal"/>
      <w:pStyle w:val="30"/>
      <w:lvlText w:val="%4)"/>
      <w:lvlJc w:val="left"/>
      <w:pPr>
        <w:tabs>
          <w:tab w:val="num" w:pos="2268"/>
        </w:tabs>
        <w:ind w:left="2268" w:right="2268" w:hanging="567"/>
      </w:pPr>
      <w:rPr>
        <w:rFonts w:hint="default"/>
      </w:rPr>
    </w:lvl>
    <w:lvl w:ilvl="4">
      <w:start w:val="1"/>
      <w:numFmt w:val="decimal"/>
      <w:lvlText w:val="(%3)%4.%5."/>
      <w:lvlJc w:val="right"/>
      <w:pPr>
        <w:tabs>
          <w:tab w:val="num" w:pos="0"/>
        </w:tabs>
        <w:ind w:left="3540" w:right="3540" w:hanging="708"/>
      </w:pPr>
      <w:rPr>
        <w:rFonts w:hint="default"/>
      </w:rPr>
    </w:lvl>
    <w:lvl w:ilvl="5">
      <w:start w:val="1"/>
      <w:numFmt w:val="decimal"/>
      <w:lvlText w:val="(%3)%4.%5.%6."/>
      <w:lvlJc w:val="center"/>
      <w:pPr>
        <w:tabs>
          <w:tab w:val="num" w:pos="0"/>
        </w:tabs>
        <w:ind w:left="4248" w:right="4248" w:hanging="708"/>
      </w:pPr>
      <w:rPr>
        <w:rFonts w:hint="default"/>
      </w:rPr>
    </w:lvl>
    <w:lvl w:ilvl="6">
      <w:start w:val="1"/>
      <w:numFmt w:val="decimal"/>
      <w:lvlText w:val="(%3)%4.%5.%6.%7."/>
      <w:lvlJc w:val="center"/>
      <w:pPr>
        <w:tabs>
          <w:tab w:val="num" w:pos="0"/>
        </w:tabs>
        <w:ind w:left="4956" w:right="4956" w:hanging="708"/>
      </w:pPr>
      <w:rPr>
        <w:rFonts w:hint="default"/>
      </w:rPr>
    </w:lvl>
    <w:lvl w:ilvl="7">
      <w:start w:val="1"/>
      <w:numFmt w:val="decimal"/>
      <w:lvlText w:val="(%3)%4.%5.%6.%7.%8."/>
      <w:lvlJc w:val="center"/>
      <w:pPr>
        <w:tabs>
          <w:tab w:val="num" w:pos="0"/>
        </w:tabs>
        <w:ind w:left="5664" w:right="5664" w:hanging="708"/>
      </w:pPr>
      <w:rPr>
        <w:rFonts w:hint="default"/>
      </w:rPr>
    </w:lvl>
    <w:lvl w:ilvl="8">
      <w:start w:val="1"/>
      <w:numFmt w:val="decimal"/>
      <w:lvlText w:val="(%3)%4.%5.%6.%7.%8.%9."/>
      <w:lvlJc w:val="center"/>
      <w:pPr>
        <w:tabs>
          <w:tab w:val="num" w:pos="0"/>
        </w:tabs>
        <w:ind w:left="6372" w:right="6372" w:hanging="708"/>
      </w:pPr>
      <w:rPr>
        <w:rFonts w:hint="default"/>
      </w:rPr>
    </w:lvl>
  </w:abstractNum>
  <w:abstractNum w:abstractNumId="26" w15:restartNumberingAfterBreak="0">
    <w:nsid w:val="4F5952C4"/>
    <w:multiLevelType w:val="hybridMultilevel"/>
    <w:tmpl w:val="9A0C30EA"/>
    <w:lvl w:ilvl="0" w:tplc="F3104D58">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429ED"/>
    <w:multiLevelType w:val="hybridMultilevel"/>
    <w:tmpl w:val="3C42285E"/>
    <w:lvl w:ilvl="0" w:tplc="FFFFFFFF">
      <w:start w:val="1"/>
      <w:numFmt w:val="hebrew1"/>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29564C3"/>
    <w:multiLevelType w:val="hybridMultilevel"/>
    <w:tmpl w:val="9D042AB0"/>
    <w:lvl w:ilvl="0" w:tplc="014887EA">
      <w:start w:val="1"/>
      <w:numFmt w:val="decimal"/>
      <w:pStyle w:val="a1"/>
      <w:lvlText w:val="%1."/>
      <w:lvlJc w:val="left"/>
      <w:pPr>
        <w:tabs>
          <w:tab w:val="num" w:pos="1224"/>
        </w:tabs>
        <w:ind w:left="1224" w:hanging="331"/>
      </w:pPr>
      <w:rPr>
        <w:rFonts w:hint="default"/>
      </w:rPr>
    </w:lvl>
    <w:lvl w:ilvl="1" w:tplc="E8325E4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A232CD"/>
    <w:multiLevelType w:val="hybridMultilevel"/>
    <w:tmpl w:val="63A675A8"/>
    <w:lvl w:ilvl="0" w:tplc="76ECC9B6">
      <w:start w:val="1"/>
      <w:numFmt w:val="decimal"/>
      <w:pStyle w:val="a2"/>
      <w:lvlText w:val="%1."/>
      <w:lvlJc w:val="left"/>
      <w:pPr>
        <w:tabs>
          <w:tab w:val="num" w:pos="806"/>
        </w:tabs>
        <w:ind w:left="80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325506"/>
    <w:multiLevelType w:val="hybridMultilevel"/>
    <w:tmpl w:val="195417D6"/>
    <w:lvl w:ilvl="0" w:tplc="C50AB4D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94C59"/>
    <w:multiLevelType w:val="multilevel"/>
    <w:tmpl w:val="67A0F582"/>
    <w:lvl w:ilvl="0">
      <w:start w:val="1"/>
      <w:numFmt w:val="decimal"/>
      <w:pStyle w:val="21"/>
      <w:lvlText w:val="%1."/>
      <w:lvlJc w:val="right"/>
      <w:pPr>
        <w:tabs>
          <w:tab w:val="num" w:pos="567"/>
        </w:tabs>
        <w:ind w:left="567" w:right="567" w:hanging="283"/>
      </w:pPr>
      <w:rPr>
        <w:rFonts w:hint="default"/>
        <w:caps w:val="0"/>
        <w:strike w:val="0"/>
        <w:dstrike w:val="0"/>
        <w:vanish w:val="0"/>
        <w:color w:val="000000"/>
        <w:u w:val="none"/>
        <w:vertAlign w:val="baseline"/>
      </w:rPr>
    </w:lvl>
    <w:lvl w:ilvl="1">
      <w:start w:val="1"/>
      <w:numFmt w:val="hebrew1"/>
      <w:pStyle w:val="11"/>
      <w:lvlText w:val="%2."/>
      <w:lvlJc w:val="left"/>
      <w:pPr>
        <w:tabs>
          <w:tab w:val="num" w:pos="1134"/>
        </w:tabs>
        <w:ind w:left="1134" w:right="1134" w:hanging="567"/>
      </w:pPr>
      <w:rPr>
        <w:rFonts w:hint="default"/>
        <w:caps w:val="0"/>
        <w:strike w:val="0"/>
        <w:dstrike w:val="0"/>
        <w:vanish w:val="0"/>
        <w:color w:val="000000"/>
        <w:u w:val="none"/>
        <w:vertAlign w:val="baseline"/>
      </w:rPr>
    </w:lvl>
    <w:lvl w:ilvl="2">
      <w:start w:val="1"/>
      <w:numFmt w:val="decimal"/>
      <w:pStyle w:val="22"/>
      <w:lvlText w:val="%3)"/>
      <w:lvlJc w:val="left"/>
      <w:pPr>
        <w:tabs>
          <w:tab w:val="num" w:pos="1701"/>
        </w:tabs>
        <w:ind w:left="1701" w:right="1701" w:hanging="567"/>
      </w:pPr>
      <w:rPr>
        <w:rFonts w:hint="default"/>
        <w:caps w:val="0"/>
        <w:strike w:val="0"/>
        <w:dstrike w:val="0"/>
        <w:vanish w:val="0"/>
        <w:color w:val="000000"/>
        <w:u w:val="none"/>
        <w:vertAlign w:val="baseline"/>
      </w:rPr>
    </w:lvl>
    <w:lvl w:ilvl="3">
      <w:start w:val="1"/>
      <w:numFmt w:val="hebrew1"/>
      <w:pStyle w:val="31"/>
      <w:lvlText w:val="%4)"/>
      <w:lvlJc w:val="left"/>
      <w:pPr>
        <w:tabs>
          <w:tab w:val="num" w:pos="2268"/>
        </w:tabs>
        <w:ind w:left="2268" w:right="2268" w:hanging="567"/>
      </w:pPr>
      <w:rPr>
        <w:rFonts w:hint="default"/>
        <w:caps w:val="0"/>
        <w:strike w:val="0"/>
        <w:dstrike w:val="0"/>
        <w:vanish w:val="0"/>
        <w:color w:val="000000"/>
        <w:u w:val="none"/>
        <w:vertAlign w:val="baseline"/>
      </w:rPr>
    </w:lvl>
    <w:lvl w:ilvl="4">
      <w:start w:val="1"/>
      <w:numFmt w:val="decimal"/>
      <w:lvlText w:val="(%5)"/>
      <w:lvlJc w:val="center"/>
      <w:pPr>
        <w:tabs>
          <w:tab w:val="num" w:pos="3240"/>
        </w:tabs>
        <w:ind w:left="2880" w:right="2880" w:firstLine="0"/>
      </w:pPr>
      <w:rPr>
        <w:rFonts w:hint="default"/>
      </w:rPr>
    </w:lvl>
    <w:lvl w:ilvl="5">
      <w:start w:val="1"/>
      <w:numFmt w:val="cardinalText"/>
      <w:lvlText w:val="(%6)"/>
      <w:lvlJc w:val="center"/>
      <w:pPr>
        <w:tabs>
          <w:tab w:val="num" w:pos="3960"/>
        </w:tabs>
        <w:ind w:left="3600" w:right="3600" w:firstLine="0"/>
      </w:pPr>
      <w:rPr>
        <w:rFonts w:hint="default"/>
      </w:rPr>
    </w:lvl>
    <w:lvl w:ilvl="6">
      <w:start w:val="1"/>
      <w:numFmt w:val="lowerLetter"/>
      <w:lvlText w:val="(%7)"/>
      <w:lvlJc w:val="center"/>
      <w:pPr>
        <w:tabs>
          <w:tab w:val="num" w:pos="4680"/>
        </w:tabs>
        <w:ind w:left="4320" w:right="4320" w:firstLine="0"/>
      </w:pPr>
      <w:rPr>
        <w:rFonts w:hint="default"/>
      </w:rPr>
    </w:lvl>
    <w:lvl w:ilvl="7">
      <w:start w:val="1"/>
      <w:numFmt w:val="cardinalText"/>
      <w:lvlText w:val="(%8)"/>
      <w:lvlJc w:val="center"/>
      <w:pPr>
        <w:tabs>
          <w:tab w:val="num" w:pos="5400"/>
        </w:tabs>
        <w:ind w:left="5040" w:right="5040" w:firstLine="0"/>
      </w:pPr>
      <w:rPr>
        <w:rFonts w:hint="default"/>
      </w:rPr>
    </w:lvl>
    <w:lvl w:ilvl="8">
      <w:start w:val="1"/>
      <w:numFmt w:val="lowerLetter"/>
      <w:lvlText w:val="(%9)"/>
      <w:lvlJc w:val="center"/>
      <w:pPr>
        <w:tabs>
          <w:tab w:val="num" w:pos="6120"/>
        </w:tabs>
        <w:ind w:left="5760" w:right="5760" w:firstLine="0"/>
      </w:pPr>
      <w:rPr>
        <w:rFonts w:hint="default"/>
      </w:rPr>
    </w:lvl>
  </w:abstractNum>
  <w:abstractNum w:abstractNumId="32" w15:restartNumberingAfterBreak="0">
    <w:nsid w:val="5D084206"/>
    <w:multiLevelType w:val="hybridMultilevel"/>
    <w:tmpl w:val="41D263E0"/>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33" w15:restartNumberingAfterBreak="0">
    <w:nsid w:val="61540DDB"/>
    <w:multiLevelType w:val="multilevel"/>
    <w:tmpl w:val="50DEEA0A"/>
    <w:styleLink w:val="12"/>
    <w:lvl w:ilvl="0">
      <w:start w:val="1"/>
      <w:numFmt w:val="decimal"/>
      <w:lvlText w:val="%1."/>
      <w:lvlJc w:val="left"/>
      <w:pPr>
        <w:ind w:left="360" w:hanging="360"/>
      </w:pPr>
      <w:rPr>
        <w:rFonts w:hint="default"/>
        <w:b/>
        <w:bCs/>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674456"/>
    <w:multiLevelType w:val="hybridMultilevel"/>
    <w:tmpl w:val="620E3BC8"/>
    <w:lvl w:ilvl="0" w:tplc="0409000F">
      <w:start w:val="1"/>
      <w:numFmt w:val="decimal"/>
      <w:lvlText w:val="%1."/>
      <w:lvlJc w:val="left"/>
      <w:pPr>
        <w:ind w:left="360" w:hanging="360"/>
      </w:pPr>
    </w:lvl>
    <w:lvl w:ilvl="1" w:tplc="E6D66568">
      <w:start w:val="1"/>
      <w:numFmt w:val="decimal"/>
      <w:lvlText w:val="%2."/>
      <w:lvlJc w:val="left"/>
      <w:pPr>
        <w:ind w:left="1080" w:hanging="360"/>
      </w:pPr>
      <w:rPr>
        <w:rFonts w:asciiTheme="minorBidi" w:hAnsiTheme="minorBidi" w:cstheme="minorBidi" w:hint="default"/>
        <w:b w:val="0"/>
        <w:bCs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B7480F"/>
    <w:multiLevelType w:val="hybridMultilevel"/>
    <w:tmpl w:val="D1CAE618"/>
    <w:lvl w:ilvl="0" w:tplc="0409000F">
      <w:start w:val="1"/>
      <w:numFmt w:val="decimal"/>
      <w:lvlText w:val="%1."/>
      <w:lvlJc w:val="left"/>
      <w:pPr>
        <w:ind w:left="1008" w:hanging="360"/>
      </w:pPr>
      <w:rPr>
        <w:rFonts w:ascii="Arial" w:eastAsia="Times New Roman" w:hAnsi="Arial" w:cs="Arial" w:hint="default"/>
        <w:b w:val="0"/>
        <w:bCs w:val="0"/>
      </w:rPr>
    </w:lvl>
    <w:lvl w:ilvl="1" w:tplc="8E8AC472">
      <w:start w:val="1"/>
      <w:numFmt w:val="hebrew1"/>
      <w:lvlText w:val="%2."/>
      <w:lvlJc w:val="left"/>
      <w:pPr>
        <w:ind w:left="1728" w:hanging="360"/>
      </w:pPr>
      <w:rPr>
        <w:rFonts w:hint="default"/>
        <w:sz w:val="18"/>
        <w:szCs w:val="20"/>
      </w:r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36" w15:restartNumberingAfterBreak="0">
    <w:nsid w:val="68FC54CF"/>
    <w:multiLevelType w:val="hybridMultilevel"/>
    <w:tmpl w:val="1C8EC618"/>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340C4C"/>
    <w:multiLevelType w:val="hybridMultilevel"/>
    <w:tmpl w:val="42C011A6"/>
    <w:lvl w:ilvl="0" w:tplc="FFFFFFFF">
      <w:start w:val="1"/>
      <w:numFmt w:val="decimal"/>
      <w:lvlText w:val="%1)"/>
      <w:lvlJc w:val="left"/>
      <w:pPr>
        <w:ind w:left="921" w:hanging="360"/>
      </w:pPr>
    </w:lvl>
    <w:lvl w:ilvl="1" w:tplc="FFFFFFFF" w:tentative="1">
      <w:start w:val="1"/>
      <w:numFmt w:val="lowerLetter"/>
      <w:lvlText w:val="%2."/>
      <w:lvlJc w:val="left"/>
      <w:pPr>
        <w:ind w:left="1641" w:hanging="360"/>
      </w:pPr>
    </w:lvl>
    <w:lvl w:ilvl="2" w:tplc="FFFFFFFF" w:tentative="1">
      <w:start w:val="1"/>
      <w:numFmt w:val="lowerRoman"/>
      <w:lvlText w:val="%3."/>
      <w:lvlJc w:val="right"/>
      <w:pPr>
        <w:ind w:left="2361" w:hanging="180"/>
      </w:pPr>
    </w:lvl>
    <w:lvl w:ilvl="3" w:tplc="FFFFFFFF" w:tentative="1">
      <w:start w:val="1"/>
      <w:numFmt w:val="decimal"/>
      <w:lvlText w:val="%4."/>
      <w:lvlJc w:val="left"/>
      <w:pPr>
        <w:ind w:left="3081" w:hanging="360"/>
      </w:pPr>
    </w:lvl>
    <w:lvl w:ilvl="4" w:tplc="FFFFFFFF" w:tentative="1">
      <w:start w:val="1"/>
      <w:numFmt w:val="lowerLetter"/>
      <w:lvlText w:val="%5."/>
      <w:lvlJc w:val="left"/>
      <w:pPr>
        <w:ind w:left="3801" w:hanging="360"/>
      </w:pPr>
    </w:lvl>
    <w:lvl w:ilvl="5" w:tplc="FFFFFFFF" w:tentative="1">
      <w:start w:val="1"/>
      <w:numFmt w:val="lowerRoman"/>
      <w:lvlText w:val="%6."/>
      <w:lvlJc w:val="right"/>
      <w:pPr>
        <w:ind w:left="4521" w:hanging="180"/>
      </w:pPr>
    </w:lvl>
    <w:lvl w:ilvl="6" w:tplc="FFFFFFFF" w:tentative="1">
      <w:start w:val="1"/>
      <w:numFmt w:val="decimal"/>
      <w:lvlText w:val="%7."/>
      <w:lvlJc w:val="left"/>
      <w:pPr>
        <w:ind w:left="5241" w:hanging="360"/>
      </w:pPr>
    </w:lvl>
    <w:lvl w:ilvl="7" w:tplc="FFFFFFFF" w:tentative="1">
      <w:start w:val="1"/>
      <w:numFmt w:val="lowerLetter"/>
      <w:lvlText w:val="%8."/>
      <w:lvlJc w:val="left"/>
      <w:pPr>
        <w:ind w:left="5961" w:hanging="360"/>
      </w:pPr>
    </w:lvl>
    <w:lvl w:ilvl="8" w:tplc="FFFFFFFF" w:tentative="1">
      <w:start w:val="1"/>
      <w:numFmt w:val="lowerRoman"/>
      <w:lvlText w:val="%9."/>
      <w:lvlJc w:val="right"/>
      <w:pPr>
        <w:ind w:left="6681" w:hanging="180"/>
      </w:pPr>
    </w:lvl>
  </w:abstractNum>
  <w:abstractNum w:abstractNumId="38" w15:restartNumberingAfterBreak="0">
    <w:nsid w:val="6A5D42AF"/>
    <w:multiLevelType w:val="hybridMultilevel"/>
    <w:tmpl w:val="1C8EC618"/>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95179C"/>
    <w:multiLevelType w:val="hybridMultilevel"/>
    <w:tmpl w:val="3C42285E"/>
    <w:lvl w:ilvl="0" w:tplc="ECB0C48E">
      <w:start w:val="1"/>
      <w:numFmt w:val="hebrew1"/>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A06809"/>
    <w:multiLevelType w:val="hybridMultilevel"/>
    <w:tmpl w:val="C782544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1" w15:restartNumberingAfterBreak="0">
    <w:nsid w:val="71190E62"/>
    <w:multiLevelType w:val="hybridMultilevel"/>
    <w:tmpl w:val="73EA5D96"/>
    <w:lvl w:ilvl="0" w:tplc="B024DE70">
      <w:numFmt w:val="bullet"/>
      <w:lvlText w:val="•"/>
      <w:lvlJc w:val="left"/>
      <w:pPr>
        <w:ind w:left="1222" w:hanging="360"/>
      </w:pPr>
      <w:rPr>
        <w:rFonts w:ascii="Arial" w:eastAsia="Times New Roman" w:hAnsi="Arial" w:cs="Arial" w:hint="default"/>
        <w:sz w:val="20"/>
        <w:szCs w:val="20"/>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2" w15:restartNumberingAfterBreak="0">
    <w:nsid w:val="71191031"/>
    <w:multiLevelType w:val="hybridMultilevel"/>
    <w:tmpl w:val="5754AD00"/>
    <w:lvl w:ilvl="0" w:tplc="1E261E4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43" w15:restartNumberingAfterBreak="0">
    <w:nsid w:val="732F26DF"/>
    <w:multiLevelType w:val="hybridMultilevel"/>
    <w:tmpl w:val="E41CCC1A"/>
    <w:lvl w:ilvl="0" w:tplc="27D6C648">
      <w:start w:val="2"/>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261" w:hanging="360"/>
      </w:pPr>
    </w:lvl>
    <w:lvl w:ilvl="2" w:tplc="0409001B" w:tentative="1">
      <w:start w:val="1"/>
      <w:numFmt w:val="lowerRoman"/>
      <w:lvlText w:val="%3."/>
      <w:lvlJc w:val="right"/>
      <w:pPr>
        <w:ind w:left="459" w:hanging="180"/>
      </w:pPr>
    </w:lvl>
    <w:lvl w:ilvl="3" w:tplc="0409000F" w:tentative="1">
      <w:start w:val="1"/>
      <w:numFmt w:val="decimal"/>
      <w:lvlText w:val="%4."/>
      <w:lvlJc w:val="left"/>
      <w:pPr>
        <w:ind w:left="1179" w:hanging="360"/>
      </w:pPr>
    </w:lvl>
    <w:lvl w:ilvl="4" w:tplc="04090019" w:tentative="1">
      <w:start w:val="1"/>
      <w:numFmt w:val="lowerLetter"/>
      <w:lvlText w:val="%5."/>
      <w:lvlJc w:val="left"/>
      <w:pPr>
        <w:ind w:left="1899" w:hanging="360"/>
      </w:pPr>
    </w:lvl>
    <w:lvl w:ilvl="5" w:tplc="0409001B" w:tentative="1">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44" w15:restartNumberingAfterBreak="0">
    <w:nsid w:val="75422331"/>
    <w:multiLevelType w:val="hybridMultilevel"/>
    <w:tmpl w:val="6D9C71EC"/>
    <w:lvl w:ilvl="0" w:tplc="FA148BEC">
      <w:start w:val="1"/>
      <w:numFmt w:val="decimal"/>
      <w:lvlText w:val="%1."/>
      <w:lvlJc w:val="left"/>
      <w:pPr>
        <w:ind w:left="671" w:hanging="360"/>
      </w:pPr>
      <w:rPr>
        <w:rFonts w:asciiTheme="minorBidi" w:hAnsiTheme="minorBidi" w:cstheme="minorBidi" w:hint="default"/>
        <w:b/>
        <w:bCs/>
        <w:sz w:val="20"/>
        <w:szCs w:val="20"/>
      </w:rPr>
    </w:lvl>
    <w:lvl w:ilvl="1" w:tplc="FFFFFFFF" w:tentative="1">
      <w:start w:val="1"/>
      <w:numFmt w:val="lowerLetter"/>
      <w:lvlText w:val="%2."/>
      <w:lvlJc w:val="left"/>
      <w:pPr>
        <w:ind w:left="1752" w:hanging="360"/>
      </w:pPr>
    </w:lvl>
    <w:lvl w:ilvl="2" w:tplc="FFFFFFFF" w:tentative="1">
      <w:start w:val="1"/>
      <w:numFmt w:val="lowerRoman"/>
      <w:lvlText w:val="%3."/>
      <w:lvlJc w:val="right"/>
      <w:pPr>
        <w:ind w:left="2472" w:hanging="180"/>
      </w:pPr>
    </w:lvl>
    <w:lvl w:ilvl="3" w:tplc="FFFFFFFF" w:tentative="1">
      <w:start w:val="1"/>
      <w:numFmt w:val="decimal"/>
      <w:lvlText w:val="%4."/>
      <w:lvlJc w:val="left"/>
      <w:pPr>
        <w:ind w:left="3192" w:hanging="360"/>
      </w:pPr>
    </w:lvl>
    <w:lvl w:ilvl="4" w:tplc="FFFFFFFF" w:tentative="1">
      <w:start w:val="1"/>
      <w:numFmt w:val="lowerLetter"/>
      <w:lvlText w:val="%5."/>
      <w:lvlJc w:val="left"/>
      <w:pPr>
        <w:ind w:left="3912" w:hanging="360"/>
      </w:pPr>
    </w:lvl>
    <w:lvl w:ilvl="5" w:tplc="FFFFFFFF" w:tentative="1">
      <w:start w:val="1"/>
      <w:numFmt w:val="lowerRoman"/>
      <w:lvlText w:val="%6."/>
      <w:lvlJc w:val="right"/>
      <w:pPr>
        <w:ind w:left="4632" w:hanging="180"/>
      </w:pPr>
    </w:lvl>
    <w:lvl w:ilvl="6" w:tplc="FFFFFFFF" w:tentative="1">
      <w:start w:val="1"/>
      <w:numFmt w:val="decimal"/>
      <w:lvlText w:val="%7."/>
      <w:lvlJc w:val="left"/>
      <w:pPr>
        <w:ind w:left="5352" w:hanging="360"/>
      </w:pPr>
    </w:lvl>
    <w:lvl w:ilvl="7" w:tplc="FFFFFFFF" w:tentative="1">
      <w:start w:val="1"/>
      <w:numFmt w:val="lowerLetter"/>
      <w:lvlText w:val="%8."/>
      <w:lvlJc w:val="left"/>
      <w:pPr>
        <w:ind w:left="6072" w:hanging="360"/>
      </w:pPr>
    </w:lvl>
    <w:lvl w:ilvl="8" w:tplc="FFFFFFFF" w:tentative="1">
      <w:start w:val="1"/>
      <w:numFmt w:val="lowerRoman"/>
      <w:lvlText w:val="%9."/>
      <w:lvlJc w:val="right"/>
      <w:pPr>
        <w:ind w:left="6792" w:hanging="180"/>
      </w:pPr>
    </w:lvl>
  </w:abstractNum>
  <w:abstractNum w:abstractNumId="45" w15:restartNumberingAfterBreak="0">
    <w:nsid w:val="758A6DED"/>
    <w:multiLevelType w:val="hybridMultilevel"/>
    <w:tmpl w:val="012413A6"/>
    <w:lvl w:ilvl="0" w:tplc="C1D24ADA">
      <w:start w:val="1"/>
      <w:numFmt w:val="hebrew1"/>
      <w:lvlText w:val="%1."/>
      <w:lvlJc w:val="left"/>
      <w:pPr>
        <w:ind w:left="395" w:hanging="360"/>
      </w:pPr>
      <w:rPr>
        <w:rFonts w:hint="default"/>
        <w:b w:val="0"/>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46" w15:restartNumberingAfterBreak="0">
    <w:nsid w:val="7C593227"/>
    <w:multiLevelType w:val="hybridMultilevel"/>
    <w:tmpl w:val="1C8EC618"/>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693158">
    <w:abstractNumId w:val="14"/>
  </w:num>
  <w:num w:numId="2" w16cid:durableId="1776057052">
    <w:abstractNumId w:val="0"/>
  </w:num>
  <w:num w:numId="3" w16cid:durableId="337773159">
    <w:abstractNumId w:val="2"/>
  </w:num>
  <w:num w:numId="4" w16cid:durableId="1414011699">
    <w:abstractNumId w:val="29"/>
  </w:num>
  <w:num w:numId="5" w16cid:durableId="1593010542">
    <w:abstractNumId w:val="23"/>
  </w:num>
  <w:num w:numId="6" w16cid:durableId="1586724713">
    <w:abstractNumId w:val="28"/>
  </w:num>
  <w:num w:numId="7" w16cid:durableId="430667423">
    <w:abstractNumId w:val="31"/>
  </w:num>
  <w:num w:numId="8" w16cid:durableId="806092909">
    <w:abstractNumId w:val="25"/>
  </w:num>
  <w:num w:numId="9" w16cid:durableId="933635109">
    <w:abstractNumId w:val="16"/>
  </w:num>
  <w:num w:numId="10" w16cid:durableId="1621454335">
    <w:abstractNumId w:val="35"/>
  </w:num>
  <w:num w:numId="11" w16cid:durableId="987787843">
    <w:abstractNumId w:val="33"/>
  </w:num>
  <w:num w:numId="12" w16cid:durableId="809638407">
    <w:abstractNumId w:val="17"/>
  </w:num>
  <w:num w:numId="13" w16cid:durableId="1864007430">
    <w:abstractNumId w:val="20"/>
  </w:num>
  <w:num w:numId="14" w16cid:durableId="225264051">
    <w:abstractNumId w:val="9"/>
  </w:num>
  <w:num w:numId="15" w16cid:durableId="1667127336">
    <w:abstractNumId w:val="4"/>
  </w:num>
  <w:num w:numId="16" w16cid:durableId="392393053">
    <w:abstractNumId w:val="34"/>
  </w:num>
  <w:num w:numId="17" w16cid:durableId="1645963002">
    <w:abstractNumId w:val="8"/>
  </w:num>
  <w:num w:numId="18" w16cid:durableId="258755545">
    <w:abstractNumId w:val="26"/>
  </w:num>
  <w:num w:numId="19" w16cid:durableId="449982197">
    <w:abstractNumId w:val="42"/>
  </w:num>
  <w:num w:numId="20" w16cid:durableId="1591088287">
    <w:abstractNumId w:val="41"/>
  </w:num>
  <w:num w:numId="21" w16cid:durableId="1574313169">
    <w:abstractNumId w:val="10"/>
  </w:num>
  <w:num w:numId="22" w16cid:durableId="1428191197">
    <w:abstractNumId w:val="44"/>
  </w:num>
  <w:num w:numId="23" w16cid:durableId="13582823">
    <w:abstractNumId w:val="39"/>
  </w:num>
  <w:num w:numId="24" w16cid:durableId="1433279045">
    <w:abstractNumId w:val="3"/>
  </w:num>
  <w:num w:numId="25" w16cid:durableId="150559019">
    <w:abstractNumId w:val="46"/>
  </w:num>
  <w:num w:numId="26" w16cid:durableId="72749166">
    <w:abstractNumId w:val="24"/>
  </w:num>
  <w:num w:numId="27" w16cid:durableId="2146579396">
    <w:abstractNumId w:val="38"/>
  </w:num>
  <w:num w:numId="28" w16cid:durableId="1641111894">
    <w:abstractNumId w:val="36"/>
  </w:num>
  <w:num w:numId="29" w16cid:durableId="792789118">
    <w:abstractNumId w:val="5"/>
  </w:num>
  <w:num w:numId="30" w16cid:durableId="2018143965">
    <w:abstractNumId w:val="32"/>
  </w:num>
  <w:num w:numId="31" w16cid:durableId="2018851410">
    <w:abstractNumId w:val="37"/>
  </w:num>
  <w:num w:numId="32" w16cid:durableId="715398917">
    <w:abstractNumId w:val="27"/>
  </w:num>
  <w:num w:numId="33" w16cid:durableId="1729692746">
    <w:abstractNumId w:val="11"/>
  </w:num>
  <w:num w:numId="34" w16cid:durableId="1425153283">
    <w:abstractNumId w:val="6"/>
  </w:num>
  <w:num w:numId="35" w16cid:durableId="807629886">
    <w:abstractNumId w:val="13"/>
  </w:num>
  <w:num w:numId="36" w16cid:durableId="81144785">
    <w:abstractNumId w:val="22"/>
  </w:num>
  <w:num w:numId="37" w16cid:durableId="1228881597">
    <w:abstractNumId w:val="7"/>
  </w:num>
  <w:num w:numId="38" w16cid:durableId="1434745178">
    <w:abstractNumId w:val="43"/>
  </w:num>
  <w:num w:numId="39" w16cid:durableId="1517771215">
    <w:abstractNumId w:val="1"/>
  </w:num>
  <w:num w:numId="40" w16cid:durableId="603004887">
    <w:abstractNumId w:val="21"/>
  </w:num>
  <w:num w:numId="41" w16cid:durableId="1999730342">
    <w:abstractNumId w:val="18"/>
  </w:num>
  <w:num w:numId="42" w16cid:durableId="483931749">
    <w:abstractNumId w:val="40"/>
  </w:num>
  <w:num w:numId="43" w16cid:durableId="1390573340">
    <w:abstractNumId w:val="19"/>
  </w:num>
  <w:num w:numId="44" w16cid:durableId="64954146">
    <w:abstractNumId w:val="15"/>
  </w:num>
  <w:num w:numId="45" w16cid:durableId="1582838064">
    <w:abstractNumId w:val="12"/>
  </w:num>
  <w:num w:numId="46" w16cid:durableId="1725789817">
    <w:abstractNumId w:val="30"/>
  </w:num>
  <w:num w:numId="47" w16cid:durableId="247928081">
    <w:abstractNumId w:val="4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s-UY" w:vendorID="64" w:dllVersion="6" w:nlCheck="1" w:checkStyle="0"/>
  <w:activeWritingStyle w:appName="MSWord" w:lang="en-US" w:vendorID="64" w:dllVersion="6" w:nlCheck="1" w:checkStyle="1"/>
  <w:activeWritingStyle w:appName="MSWord" w:lang="en-US" w:vendorID="64" w:dllVersion="0" w:nlCheck="1" w:checkStyle="0"/>
  <w:activeWritingStyle w:appName="MSWord" w:lang="es-UY" w:vendorID="64" w:dllVersion="0" w:nlCheck="1" w:checkStyle="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454"/>
  <w:evenAndOddHeaders/>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6F"/>
    <w:rsid w:val="00000613"/>
    <w:rsid w:val="000007A5"/>
    <w:rsid w:val="000007E1"/>
    <w:rsid w:val="00000968"/>
    <w:rsid w:val="00000BDB"/>
    <w:rsid w:val="00000EB1"/>
    <w:rsid w:val="000010A9"/>
    <w:rsid w:val="00001842"/>
    <w:rsid w:val="000018FF"/>
    <w:rsid w:val="00001948"/>
    <w:rsid w:val="00001969"/>
    <w:rsid w:val="00001D71"/>
    <w:rsid w:val="00001DA0"/>
    <w:rsid w:val="00001F1F"/>
    <w:rsid w:val="00001F96"/>
    <w:rsid w:val="00001FD3"/>
    <w:rsid w:val="00002088"/>
    <w:rsid w:val="000029B3"/>
    <w:rsid w:val="00002E97"/>
    <w:rsid w:val="00003322"/>
    <w:rsid w:val="00003437"/>
    <w:rsid w:val="000035FE"/>
    <w:rsid w:val="00003975"/>
    <w:rsid w:val="00003A57"/>
    <w:rsid w:val="00003BD9"/>
    <w:rsid w:val="000042C7"/>
    <w:rsid w:val="000044E9"/>
    <w:rsid w:val="00004566"/>
    <w:rsid w:val="000046BE"/>
    <w:rsid w:val="0000495B"/>
    <w:rsid w:val="00004C18"/>
    <w:rsid w:val="00005010"/>
    <w:rsid w:val="00005374"/>
    <w:rsid w:val="000053F1"/>
    <w:rsid w:val="0000544B"/>
    <w:rsid w:val="000056DC"/>
    <w:rsid w:val="00006018"/>
    <w:rsid w:val="0000602D"/>
    <w:rsid w:val="0000611A"/>
    <w:rsid w:val="0000625F"/>
    <w:rsid w:val="0000638D"/>
    <w:rsid w:val="000064AC"/>
    <w:rsid w:val="00006892"/>
    <w:rsid w:val="00006A8C"/>
    <w:rsid w:val="00006BBC"/>
    <w:rsid w:val="00006CBB"/>
    <w:rsid w:val="00006D38"/>
    <w:rsid w:val="00006DDC"/>
    <w:rsid w:val="00006E22"/>
    <w:rsid w:val="0000705D"/>
    <w:rsid w:val="00007179"/>
    <w:rsid w:val="000071F6"/>
    <w:rsid w:val="00007225"/>
    <w:rsid w:val="00007257"/>
    <w:rsid w:val="000074C1"/>
    <w:rsid w:val="0000760B"/>
    <w:rsid w:val="00007632"/>
    <w:rsid w:val="0000774F"/>
    <w:rsid w:val="000078F4"/>
    <w:rsid w:val="00007F7F"/>
    <w:rsid w:val="000100A4"/>
    <w:rsid w:val="000100A9"/>
    <w:rsid w:val="00010595"/>
    <w:rsid w:val="00010A4C"/>
    <w:rsid w:val="00010CCD"/>
    <w:rsid w:val="000110EB"/>
    <w:rsid w:val="000111ED"/>
    <w:rsid w:val="00011265"/>
    <w:rsid w:val="00011C05"/>
    <w:rsid w:val="00011C14"/>
    <w:rsid w:val="00011CB1"/>
    <w:rsid w:val="00012158"/>
    <w:rsid w:val="000121A2"/>
    <w:rsid w:val="00012407"/>
    <w:rsid w:val="00012603"/>
    <w:rsid w:val="0001276F"/>
    <w:rsid w:val="00012BCE"/>
    <w:rsid w:val="00012DEF"/>
    <w:rsid w:val="00012ECA"/>
    <w:rsid w:val="00013219"/>
    <w:rsid w:val="0001355B"/>
    <w:rsid w:val="00013679"/>
    <w:rsid w:val="000138AF"/>
    <w:rsid w:val="00013D3E"/>
    <w:rsid w:val="00013DB1"/>
    <w:rsid w:val="000142B9"/>
    <w:rsid w:val="00014380"/>
    <w:rsid w:val="00014398"/>
    <w:rsid w:val="00014562"/>
    <w:rsid w:val="00014690"/>
    <w:rsid w:val="00014809"/>
    <w:rsid w:val="00014857"/>
    <w:rsid w:val="000149A4"/>
    <w:rsid w:val="00014AED"/>
    <w:rsid w:val="00014B78"/>
    <w:rsid w:val="0001513E"/>
    <w:rsid w:val="000151AC"/>
    <w:rsid w:val="0001523C"/>
    <w:rsid w:val="000152B9"/>
    <w:rsid w:val="000152BB"/>
    <w:rsid w:val="00015510"/>
    <w:rsid w:val="0001563F"/>
    <w:rsid w:val="00015656"/>
    <w:rsid w:val="00015682"/>
    <w:rsid w:val="00015764"/>
    <w:rsid w:val="000157AB"/>
    <w:rsid w:val="0001588A"/>
    <w:rsid w:val="00015899"/>
    <w:rsid w:val="00015A65"/>
    <w:rsid w:val="00015B7C"/>
    <w:rsid w:val="00015E12"/>
    <w:rsid w:val="0001617F"/>
    <w:rsid w:val="000162D8"/>
    <w:rsid w:val="0001635D"/>
    <w:rsid w:val="0001635F"/>
    <w:rsid w:val="00016E6B"/>
    <w:rsid w:val="0001702F"/>
    <w:rsid w:val="00017170"/>
    <w:rsid w:val="000172B2"/>
    <w:rsid w:val="000174E7"/>
    <w:rsid w:val="00017667"/>
    <w:rsid w:val="00017715"/>
    <w:rsid w:val="00017831"/>
    <w:rsid w:val="00017894"/>
    <w:rsid w:val="00017A27"/>
    <w:rsid w:val="00017A9F"/>
    <w:rsid w:val="00017D9A"/>
    <w:rsid w:val="000201DB"/>
    <w:rsid w:val="000202DE"/>
    <w:rsid w:val="00020352"/>
    <w:rsid w:val="0002038A"/>
    <w:rsid w:val="00020439"/>
    <w:rsid w:val="0002055C"/>
    <w:rsid w:val="00020721"/>
    <w:rsid w:val="00020836"/>
    <w:rsid w:val="00020884"/>
    <w:rsid w:val="00020897"/>
    <w:rsid w:val="000209AB"/>
    <w:rsid w:val="000209FA"/>
    <w:rsid w:val="00020BBC"/>
    <w:rsid w:val="00020D62"/>
    <w:rsid w:val="00020F59"/>
    <w:rsid w:val="00021164"/>
    <w:rsid w:val="000211C9"/>
    <w:rsid w:val="00021280"/>
    <w:rsid w:val="000216AF"/>
    <w:rsid w:val="00021A2C"/>
    <w:rsid w:val="00021B8F"/>
    <w:rsid w:val="00021D05"/>
    <w:rsid w:val="00021E51"/>
    <w:rsid w:val="00021F48"/>
    <w:rsid w:val="00021F9E"/>
    <w:rsid w:val="00022033"/>
    <w:rsid w:val="00022095"/>
    <w:rsid w:val="0002216F"/>
    <w:rsid w:val="000225A2"/>
    <w:rsid w:val="000225BE"/>
    <w:rsid w:val="00022AC3"/>
    <w:rsid w:val="00022D91"/>
    <w:rsid w:val="00022DD8"/>
    <w:rsid w:val="00022E73"/>
    <w:rsid w:val="0002308E"/>
    <w:rsid w:val="00023139"/>
    <w:rsid w:val="0002317A"/>
    <w:rsid w:val="0002323D"/>
    <w:rsid w:val="00023476"/>
    <w:rsid w:val="00023586"/>
    <w:rsid w:val="000235C3"/>
    <w:rsid w:val="00023601"/>
    <w:rsid w:val="000237E7"/>
    <w:rsid w:val="00023833"/>
    <w:rsid w:val="000238BF"/>
    <w:rsid w:val="00023901"/>
    <w:rsid w:val="00023DA6"/>
    <w:rsid w:val="000240FA"/>
    <w:rsid w:val="00024103"/>
    <w:rsid w:val="00024149"/>
    <w:rsid w:val="00024591"/>
    <w:rsid w:val="000245BD"/>
    <w:rsid w:val="0002462D"/>
    <w:rsid w:val="00024735"/>
    <w:rsid w:val="00024859"/>
    <w:rsid w:val="00024AC7"/>
    <w:rsid w:val="00024C76"/>
    <w:rsid w:val="0002510F"/>
    <w:rsid w:val="00025258"/>
    <w:rsid w:val="000252A5"/>
    <w:rsid w:val="000254E2"/>
    <w:rsid w:val="000255BA"/>
    <w:rsid w:val="000256C3"/>
    <w:rsid w:val="00025F09"/>
    <w:rsid w:val="00026002"/>
    <w:rsid w:val="0002607D"/>
    <w:rsid w:val="0002615E"/>
    <w:rsid w:val="00026267"/>
    <w:rsid w:val="00026882"/>
    <w:rsid w:val="00026A4C"/>
    <w:rsid w:val="00026B17"/>
    <w:rsid w:val="00026C3B"/>
    <w:rsid w:val="00026E33"/>
    <w:rsid w:val="00026F31"/>
    <w:rsid w:val="00026F87"/>
    <w:rsid w:val="000270F4"/>
    <w:rsid w:val="00027295"/>
    <w:rsid w:val="00027299"/>
    <w:rsid w:val="000275D5"/>
    <w:rsid w:val="000276A5"/>
    <w:rsid w:val="00027842"/>
    <w:rsid w:val="00027C19"/>
    <w:rsid w:val="00027C62"/>
    <w:rsid w:val="00027D28"/>
    <w:rsid w:val="00027D6F"/>
    <w:rsid w:val="00027EF1"/>
    <w:rsid w:val="00027F28"/>
    <w:rsid w:val="00027FC7"/>
    <w:rsid w:val="0003001A"/>
    <w:rsid w:val="00030112"/>
    <w:rsid w:val="00030288"/>
    <w:rsid w:val="00030316"/>
    <w:rsid w:val="00030526"/>
    <w:rsid w:val="000305E2"/>
    <w:rsid w:val="000308D9"/>
    <w:rsid w:val="00030B19"/>
    <w:rsid w:val="00030BE4"/>
    <w:rsid w:val="00030C2B"/>
    <w:rsid w:val="00030C7C"/>
    <w:rsid w:val="00030DAB"/>
    <w:rsid w:val="00030F5E"/>
    <w:rsid w:val="00030F74"/>
    <w:rsid w:val="000312F8"/>
    <w:rsid w:val="00031325"/>
    <w:rsid w:val="0003154C"/>
    <w:rsid w:val="000316C0"/>
    <w:rsid w:val="00031B96"/>
    <w:rsid w:val="00031CF7"/>
    <w:rsid w:val="00031D02"/>
    <w:rsid w:val="00032002"/>
    <w:rsid w:val="0003208D"/>
    <w:rsid w:val="0003219D"/>
    <w:rsid w:val="0003235E"/>
    <w:rsid w:val="00032512"/>
    <w:rsid w:val="00032708"/>
    <w:rsid w:val="0003283F"/>
    <w:rsid w:val="00032896"/>
    <w:rsid w:val="00032A03"/>
    <w:rsid w:val="00032A13"/>
    <w:rsid w:val="000330B9"/>
    <w:rsid w:val="000332F8"/>
    <w:rsid w:val="000333B9"/>
    <w:rsid w:val="000336B4"/>
    <w:rsid w:val="000337D4"/>
    <w:rsid w:val="00033BB5"/>
    <w:rsid w:val="0003400C"/>
    <w:rsid w:val="0003400D"/>
    <w:rsid w:val="00034317"/>
    <w:rsid w:val="0003432F"/>
    <w:rsid w:val="000343C9"/>
    <w:rsid w:val="0003443D"/>
    <w:rsid w:val="000345EA"/>
    <w:rsid w:val="00034697"/>
    <w:rsid w:val="000346C2"/>
    <w:rsid w:val="0003475D"/>
    <w:rsid w:val="000347BF"/>
    <w:rsid w:val="00034AF5"/>
    <w:rsid w:val="00034B0C"/>
    <w:rsid w:val="00034BF4"/>
    <w:rsid w:val="00034F31"/>
    <w:rsid w:val="00035150"/>
    <w:rsid w:val="00035BFF"/>
    <w:rsid w:val="00035E21"/>
    <w:rsid w:val="00035E34"/>
    <w:rsid w:val="00035FF6"/>
    <w:rsid w:val="00036386"/>
    <w:rsid w:val="000364AC"/>
    <w:rsid w:val="000364C0"/>
    <w:rsid w:val="000365CB"/>
    <w:rsid w:val="0003681E"/>
    <w:rsid w:val="00036D14"/>
    <w:rsid w:val="00036D88"/>
    <w:rsid w:val="00036E8C"/>
    <w:rsid w:val="00036EC7"/>
    <w:rsid w:val="00036F7F"/>
    <w:rsid w:val="000370DD"/>
    <w:rsid w:val="000371CB"/>
    <w:rsid w:val="000372B3"/>
    <w:rsid w:val="00037471"/>
    <w:rsid w:val="00037549"/>
    <w:rsid w:val="00037BD2"/>
    <w:rsid w:val="00037BD4"/>
    <w:rsid w:val="00037C0C"/>
    <w:rsid w:val="00037C58"/>
    <w:rsid w:val="00037CDB"/>
    <w:rsid w:val="00037F0E"/>
    <w:rsid w:val="00040037"/>
    <w:rsid w:val="00040289"/>
    <w:rsid w:val="000405B5"/>
    <w:rsid w:val="000405C3"/>
    <w:rsid w:val="000407DA"/>
    <w:rsid w:val="000407EB"/>
    <w:rsid w:val="00040A41"/>
    <w:rsid w:val="00041021"/>
    <w:rsid w:val="00041348"/>
    <w:rsid w:val="000415EC"/>
    <w:rsid w:val="000416A2"/>
    <w:rsid w:val="00041745"/>
    <w:rsid w:val="000418E7"/>
    <w:rsid w:val="00041D5F"/>
    <w:rsid w:val="00041E84"/>
    <w:rsid w:val="00041EB6"/>
    <w:rsid w:val="00041EDE"/>
    <w:rsid w:val="00041FB2"/>
    <w:rsid w:val="0004266A"/>
    <w:rsid w:val="00042728"/>
    <w:rsid w:val="00042788"/>
    <w:rsid w:val="0004286C"/>
    <w:rsid w:val="00042928"/>
    <w:rsid w:val="0004292B"/>
    <w:rsid w:val="00042E8D"/>
    <w:rsid w:val="00043221"/>
    <w:rsid w:val="000432F9"/>
    <w:rsid w:val="00043559"/>
    <w:rsid w:val="0004376D"/>
    <w:rsid w:val="000437EA"/>
    <w:rsid w:val="00043825"/>
    <w:rsid w:val="00043861"/>
    <w:rsid w:val="000439F5"/>
    <w:rsid w:val="00043AC4"/>
    <w:rsid w:val="00043DFE"/>
    <w:rsid w:val="00043F0A"/>
    <w:rsid w:val="00044058"/>
    <w:rsid w:val="00044177"/>
    <w:rsid w:val="000443FE"/>
    <w:rsid w:val="000444C8"/>
    <w:rsid w:val="0004464B"/>
    <w:rsid w:val="000446FA"/>
    <w:rsid w:val="00044C16"/>
    <w:rsid w:val="00044FED"/>
    <w:rsid w:val="0004523E"/>
    <w:rsid w:val="0004558D"/>
    <w:rsid w:val="00045602"/>
    <w:rsid w:val="00045636"/>
    <w:rsid w:val="00045660"/>
    <w:rsid w:val="00045AC8"/>
    <w:rsid w:val="00045B09"/>
    <w:rsid w:val="00045BBE"/>
    <w:rsid w:val="00045C84"/>
    <w:rsid w:val="00046097"/>
    <w:rsid w:val="0004611B"/>
    <w:rsid w:val="00046129"/>
    <w:rsid w:val="000463E3"/>
    <w:rsid w:val="00046400"/>
    <w:rsid w:val="00046534"/>
    <w:rsid w:val="000465A9"/>
    <w:rsid w:val="000465B2"/>
    <w:rsid w:val="0004687F"/>
    <w:rsid w:val="00046BE9"/>
    <w:rsid w:val="00046DE4"/>
    <w:rsid w:val="00046DF0"/>
    <w:rsid w:val="00046EFB"/>
    <w:rsid w:val="00046F1A"/>
    <w:rsid w:val="000471B7"/>
    <w:rsid w:val="000472E3"/>
    <w:rsid w:val="00047355"/>
    <w:rsid w:val="0004741E"/>
    <w:rsid w:val="00047595"/>
    <w:rsid w:val="000475E0"/>
    <w:rsid w:val="00047897"/>
    <w:rsid w:val="00047DAA"/>
    <w:rsid w:val="000500A5"/>
    <w:rsid w:val="00050384"/>
    <w:rsid w:val="000504CE"/>
    <w:rsid w:val="000506EC"/>
    <w:rsid w:val="00050715"/>
    <w:rsid w:val="00050997"/>
    <w:rsid w:val="00050C7F"/>
    <w:rsid w:val="00050FD9"/>
    <w:rsid w:val="0005131D"/>
    <w:rsid w:val="000518EE"/>
    <w:rsid w:val="00051919"/>
    <w:rsid w:val="00051BD4"/>
    <w:rsid w:val="00051C26"/>
    <w:rsid w:val="00051EC7"/>
    <w:rsid w:val="00051F83"/>
    <w:rsid w:val="00051FB9"/>
    <w:rsid w:val="00052682"/>
    <w:rsid w:val="0005297D"/>
    <w:rsid w:val="00052B15"/>
    <w:rsid w:val="00052B2C"/>
    <w:rsid w:val="00052CAA"/>
    <w:rsid w:val="00052DC9"/>
    <w:rsid w:val="00052E60"/>
    <w:rsid w:val="00052FC6"/>
    <w:rsid w:val="000531FB"/>
    <w:rsid w:val="00053236"/>
    <w:rsid w:val="00053691"/>
    <w:rsid w:val="000536CF"/>
    <w:rsid w:val="000541E1"/>
    <w:rsid w:val="0005442D"/>
    <w:rsid w:val="0005452B"/>
    <w:rsid w:val="000546C9"/>
    <w:rsid w:val="0005484B"/>
    <w:rsid w:val="000548CD"/>
    <w:rsid w:val="00054A62"/>
    <w:rsid w:val="00055391"/>
    <w:rsid w:val="00055850"/>
    <w:rsid w:val="0005588A"/>
    <w:rsid w:val="000558A9"/>
    <w:rsid w:val="00055C53"/>
    <w:rsid w:val="00055D6B"/>
    <w:rsid w:val="00055D71"/>
    <w:rsid w:val="00055E71"/>
    <w:rsid w:val="000562C2"/>
    <w:rsid w:val="0005670D"/>
    <w:rsid w:val="00056936"/>
    <w:rsid w:val="00056AC1"/>
    <w:rsid w:val="00056C80"/>
    <w:rsid w:val="00056CD0"/>
    <w:rsid w:val="00056EAD"/>
    <w:rsid w:val="00056EC4"/>
    <w:rsid w:val="000570B6"/>
    <w:rsid w:val="000575C8"/>
    <w:rsid w:val="00057617"/>
    <w:rsid w:val="000576E7"/>
    <w:rsid w:val="00057815"/>
    <w:rsid w:val="000578D5"/>
    <w:rsid w:val="00057903"/>
    <w:rsid w:val="00057A7C"/>
    <w:rsid w:val="0006033F"/>
    <w:rsid w:val="00060732"/>
    <w:rsid w:val="0006093C"/>
    <w:rsid w:val="00060941"/>
    <w:rsid w:val="00060ADF"/>
    <w:rsid w:val="00060C6B"/>
    <w:rsid w:val="00060ED6"/>
    <w:rsid w:val="00060EE7"/>
    <w:rsid w:val="000612F4"/>
    <w:rsid w:val="00061646"/>
    <w:rsid w:val="000617FE"/>
    <w:rsid w:val="00061897"/>
    <w:rsid w:val="0006190E"/>
    <w:rsid w:val="00061949"/>
    <w:rsid w:val="00061A6D"/>
    <w:rsid w:val="00061C6B"/>
    <w:rsid w:val="00061CE9"/>
    <w:rsid w:val="00061DA7"/>
    <w:rsid w:val="00061EA6"/>
    <w:rsid w:val="00062022"/>
    <w:rsid w:val="000621B1"/>
    <w:rsid w:val="00062262"/>
    <w:rsid w:val="000622D6"/>
    <w:rsid w:val="000623A9"/>
    <w:rsid w:val="0006246D"/>
    <w:rsid w:val="0006269A"/>
    <w:rsid w:val="00062A8D"/>
    <w:rsid w:val="00062BF2"/>
    <w:rsid w:val="00062F6A"/>
    <w:rsid w:val="0006326D"/>
    <w:rsid w:val="00063270"/>
    <w:rsid w:val="00063323"/>
    <w:rsid w:val="00063338"/>
    <w:rsid w:val="00063429"/>
    <w:rsid w:val="00063703"/>
    <w:rsid w:val="00063A63"/>
    <w:rsid w:val="00063F04"/>
    <w:rsid w:val="00063F61"/>
    <w:rsid w:val="00063F71"/>
    <w:rsid w:val="0006405F"/>
    <w:rsid w:val="0006407F"/>
    <w:rsid w:val="00064098"/>
    <w:rsid w:val="00064234"/>
    <w:rsid w:val="00064437"/>
    <w:rsid w:val="00064496"/>
    <w:rsid w:val="000647CB"/>
    <w:rsid w:val="00064818"/>
    <w:rsid w:val="00064906"/>
    <w:rsid w:val="00064A3A"/>
    <w:rsid w:val="00064B42"/>
    <w:rsid w:val="00064E8D"/>
    <w:rsid w:val="00064F72"/>
    <w:rsid w:val="000653D7"/>
    <w:rsid w:val="00065682"/>
    <w:rsid w:val="000656DC"/>
    <w:rsid w:val="00065804"/>
    <w:rsid w:val="00065B6B"/>
    <w:rsid w:val="00065D45"/>
    <w:rsid w:val="00065DA7"/>
    <w:rsid w:val="00065E1D"/>
    <w:rsid w:val="00065FDE"/>
    <w:rsid w:val="00066135"/>
    <w:rsid w:val="00066233"/>
    <w:rsid w:val="00066557"/>
    <w:rsid w:val="000667ED"/>
    <w:rsid w:val="00066871"/>
    <w:rsid w:val="000668B0"/>
    <w:rsid w:val="000669AB"/>
    <w:rsid w:val="00066FE5"/>
    <w:rsid w:val="00067155"/>
    <w:rsid w:val="000674A7"/>
    <w:rsid w:val="000675D5"/>
    <w:rsid w:val="000676D2"/>
    <w:rsid w:val="00067BA0"/>
    <w:rsid w:val="00067C9F"/>
    <w:rsid w:val="0007037B"/>
    <w:rsid w:val="000703F7"/>
    <w:rsid w:val="000704A9"/>
    <w:rsid w:val="000704B1"/>
    <w:rsid w:val="000705DC"/>
    <w:rsid w:val="0007067E"/>
    <w:rsid w:val="0007068E"/>
    <w:rsid w:val="0007088A"/>
    <w:rsid w:val="00070A04"/>
    <w:rsid w:val="00070A6F"/>
    <w:rsid w:val="00070C4C"/>
    <w:rsid w:val="00070D54"/>
    <w:rsid w:val="00070D96"/>
    <w:rsid w:val="00070DB4"/>
    <w:rsid w:val="00070F27"/>
    <w:rsid w:val="00071213"/>
    <w:rsid w:val="00071376"/>
    <w:rsid w:val="000714B4"/>
    <w:rsid w:val="00071556"/>
    <w:rsid w:val="00071655"/>
    <w:rsid w:val="0007175D"/>
    <w:rsid w:val="000717E7"/>
    <w:rsid w:val="000719F0"/>
    <w:rsid w:val="00071B10"/>
    <w:rsid w:val="00071CBA"/>
    <w:rsid w:val="00071D36"/>
    <w:rsid w:val="00071FC5"/>
    <w:rsid w:val="00072088"/>
    <w:rsid w:val="000723C9"/>
    <w:rsid w:val="0007253E"/>
    <w:rsid w:val="000728B3"/>
    <w:rsid w:val="000728BC"/>
    <w:rsid w:val="00072BA9"/>
    <w:rsid w:val="00072CC6"/>
    <w:rsid w:val="00072CDB"/>
    <w:rsid w:val="00072D2C"/>
    <w:rsid w:val="00072ED8"/>
    <w:rsid w:val="00072F98"/>
    <w:rsid w:val="00073098"/>
    <w:rsid w:val="0007315B"/>
    <w:rsid w:val="000733AF"/>
    <w:rsid w:val="00073A96"/>
    <w:rsid w:val="00073B64"/>
    <w:rsid w:val="00073F30"/>
    <w:rsid w:val="00073F3B"/>
    <w:rsid w:val="00073FC4"/>
    <w:rsid w:val="00074020"/>
    <w:rsid w:val="00074610"/>
    <w:rsid w:val="00074940"/>
    <w:rsid w:val="00074AE8"/>
    <w:rsid w:val="00074F5C"/>
    <w:rsid w:val="00075079"/>
    <w:rsid w:val="0007524F"/>
    <w:rsid w:val="00075424"/>
    <w:rsid w:val="0007565C"/>
    <w:rsid w:val="00075793"/>
    <w:rsid w:val="00075A21"/>
    <w:rsid w:val="00075A7C"/>
    <w:rsid w:val="00075A8B"/>
    <w:rsid w:val="00075C38"/>
    <w:rsid w:val="00076070"/>
    <w:rsid w:val="000764C9"/>
    <w:rsid w:val="000765E3"/>
    <w:rsid w:val="00076764"/>
    <w:rsid w:val="00076B34"/>
    <w:rsid w:val="00076CA6"/>
    <w:rsid w:val="00076F00"/>
    <w:rsid w:val="00076F23"/>
    <w:rsid w:val="00077211"/>
    <w:rsid w:val="00077269"/>
    <w:rsid w:val="0007750B"/>
    <w:rsid w:val="0007768E"/>
    <w:rsid w:val="00077946"/>
    <w:rsid w:val="00077B11"/>
    <w:rsid w:val="00077C60"/>
    <w:rsid w:val="00077CC5"/>
    <w:rsid w:val="00077CE4"/>
    <w:rsid w:val="00077E76"/>
    <w:rsid w:val="00077EF9"/>
    <w:rsid w:val="00080038"/>
    <w:rsid w:val="000802B3"/>
    <w:rsid w:val="0008088F"/>
    <w:rsid w:val="00080BD1"/>
    <w:rsid w:val="00080D88"/>
    <w:rsid w:val="00080E66"/>
    <w:rsid w:val="00080FB5"/>
    <w:rsid w:val="000812E6"/>
    <w:rsid w:val="00081503"/>
    <w:rsid w:val="00081B24"/>
    <w:rsid w:val="00081B5E"/>
    <w:rsid w:val="00081BA5"/>
    <w:rsid w:val="0008212E"/>
    <w:rsid w:val="00082144"/>
    <w:rsid w:val="000823AD"/>
    <w:rsid w:val="000824CB"/>
    <w:rsid w:val="000825CF"/>
    <w:rsid w:val="000826E3"/>
    <w:rsid w:val="0008273A"/>
    <w:rsid w:val="00082933"/>
    <w:rsid w:val="0008295D"/>
    <w:rsid w:val="00082989"/>
    <w:rsid w:val="00082A6E"/>
    <w:rsid w:val="00082E0F"/>
    <w:rsid w:val="000832A9"/>
    <w:rsid w:val="000832EC"/>
    <w:rsid w:val="0008350B"/>
    <w:rsid w:val="00083690"/>
    <w:rsid w:val="0008394B"/>
    <w:rsid w:val="000839DD"/>
    <w:rsid w:val="00083BE6"/>
    <w:rsid w:val="00083CD2"/>
    <w:rsid w:val="00083DDF"/>
    <w:rsid w:val="000840E8"/>
    <w:rsid w:val="000846CE"/>
    <w:rsid w:val="000847E7"/>
    <w:rsid w:val="000849CC"/>
    <w:rsid w:val="00084BE8"/>
    <w:rsid w:val="00085388"/>
    <w:rsid w:val="000853F6"/>
    <w:rsid w:val="00085552"/>
    <w:rsid w:val="00085561"/>
    <w:rsid w:val="00085629"/>
    <w:rsid w:val="000858F2"/>
    <w:rsid w:val="000859D4"/>
    <w:rsid w:val="000859F4"/>
    <w:rsid w:val="00086312"/>
    <w:rsid w:val="000863E7"/>
    <w:rsid w:val="00086464"/>
    <w:rsid w:val="00086489"/>
    <w:rsid w:val="00086509"/>
    <w:rsid w:val="000867CE"/>
    <w:rsid w:val="00086821"/>
    <w:rsid w:val="0008691C"/>
    <w:rsid w:val="00086A83"/>
    <w:rsid w:val="00086B26"/>
    <w:rsid w:val="0008757B"/>
    <w:rsid w:val="000877D1"/>
    <w:rsid w:val="00087962"/>
    <w:rsid w:val="00087A3C"/>
    <w:rsid w:val="00087A70"/>
    <w:rsid w:val="00087C97"/>
    <w:rsid w:val="000901FA"/>
    <w:rsid w:val="00090391"/>
    <w:rsid w:val="000904B4"/>
    <w:rsid w:val="00090CC0"/>
    <w:rsid w:val="00091103"/>
    <w:rsid w:val="0009145A"/>
    <w:rsid w:val="000917DD"/>
    <w:rsid w:val="00091B14"/>
    <w:rsid w:val="00091C53"/>
    <w:rsid w:val="00091C6C"/>
    <w:rsid w:val="00091D03"/>
    <w:rsid w:val="00091D3E"/>
    <w:rsid w:val="0009203D"/>
    <w:rsid w:val="0009222D"/>
    <w:rsid w:val="000926CA"/>
    <w:rsid w:val="00092812"/>
    <w:rsid w:val="00092867"/>
    <w:rsid w:val="00092916"/>
    <w:rsid w:val="00092C22"/>
    <w:rsid w:val="00093568"/>
    <w:rsid w:val="000935F0"/>
    <w:rsid w:val="0009366A"/>
    <w:rsid w:val="00093A02"/>
    <w:rsid w:val="00093B16"/>
    <w:rsid w:val="00093DC6"/>
    <w:rsid w:val="00093DE9"/>
    <w:rsid w:val="00093F7B"/>
    <w:rsid w:val="00093FA5"/>
    <w:rsid w:val="000942F7"/>
    <w:rsid w:val="00094308"/>
    <w:rsid w:val="000943E9"/>
    <w:rsid w:val="000944C7"/>
    <w:rsid w:val="00094527"/>
    <w:rsid w:val="00094560"/>
    <w:rsid w:val="00094630"/>
    <w:rsid w:val="0009486A"/>
    <w:rsid w:val="00094880"/>
    <w:rsid w:val="00094C4F"/>
    <w:rsid w:val="00095105"/>
    <w:rsid w:val="0009541E"/>
    <w:rsid w:val="00095543"/>
    <w:rsid w:val="00095B61"/>
    <w:rsid w:val="00095C30"/>
    <w:rsid w:val="00095C6F"/>
    <w:rsid w:val="00095F2D"/>
    <w:rsid w:val="0009634A"/>
    <w:rsid w:val="000964AF"/>
    <w:rsid w:val="000964D8"/>
    <w:rsid w:val="000965E3"/>
    <w:rsid w:val="000965F5"/>
    <w:rsid w:val="000968B1"/>
    <w:rsid w:val="00096916"/>
    <w:rsid w:val="00096EC2"/>
    <w:rsid w:val="000970E3"/>
    <w:rsid w:val="00097212"/>
    <w:rsid w:val="000976C1"/>
    <w:rsid w:val="00097B63"/>
    <w:rsid w:val="000A00DF"/>
    <w:rsid w:val="000A03C4"/>
    <w:rsid w:val="000A0418"/>
    <w:rsid w:val="000A0776"/>
    <w:rsid w:val="000A0833"/>
    <w:rsid w:val="000A0915"/>
    <w:rsid w:val="000A0A67"/>
    <w:rsid w:val="000A0B60"/>
    <w:rsid w:val="000A0C4D"/>
    <w:rsid w:val="000A0CA9"/>
    <w:rsid w:val="000A0E8F"/>
    <w:rsid w:val="000A0EC9"/>
    <w:rsid w:val="000A1052"/>
    <w:rsid w:val="000A12D5"/>
    <w:rsid w:val="000A1920"/>
    <w:rsid w:val="000A1D21"/>
    <w:rsid w:val="000A1DB5"/>
    <w:rsid w:val="000A2198"/>
    <w:rsid w:val="000A23B9"/>
    <w:rsid w:val="000A2523"/>
    <w:rsid w:val="000A2883"/>
    <w:rsid w:val="000A2901"/>
    <w:rsid w:val="000A290A"/>
    <w:rsid w:val="000A2BE8"/>
    <w:rsid w:val="000A2F09"/>
    <w:rsid w:val="000A2F9A"/>
    <w:rsid w:val="000A3130"/>
    <w:rsid w:val="000A31C5"/>
    <w:rsid w:val="000A322E"/>
    <w:rsid w:val="000A32E6"/>
    <w:rsid w:val="000A34B4"/>
    <w:rsid w:val="000A363C"/>
    <w:rsid w:val="000A386D"/>
    <w:rsid w:val="000A3C71"/>
    <w:rsid w:val="000A4254"/>
    <w:rsid w:val="000A428B"/>
    <w:rsid w:val="000A43AD"/>
    <w:rsid w:val="000A4410"/>
    <w:rsid w:val="000A4547"/>
    <w:rsid w:val="000A45D8"/>
    <w:rsid w:val="000A4979"/>
    <w:rsid w:val="000A4B9F"/>
    <w:rsid w:val="000A4E19"/>
    <w:rsid w:val="000A50B5"/>
    <w:rsid w:val="000A51FF"/>
    <w:rsid w:val="000A52AB"/>
    <w:rsid w:val="000A5355"/>
    <w:rsid w:val="000A5839"/>
    <w:rsid w:val="000A59A2"/>
    <w:rsid w:val="000A5A58"/>
    <w:rsid w:val="000A5C71"/>
    <w:rsid w:val="000A610A"/>
    <w:rsid w:val="000A61F2"/>
    <w:rsid w:val="000A647E"/>
    <w:rsid w:val="000A64B6"/>
    <w:rsid w:val="000A668D"/>
    <w:rsid w:val="000A66D7"/>
    <w:rsid w:val="000A6743"/>
    <w:rsid w:val="000A677F"/>
    <w:rsid w:val="000A6893"/>
    <w:rsid w:val="000A6E0B"/>
    <w:rsid w:val="000A6E4E"/>
    <w:rsid w:val="000A70BC"/>
    <w:rsid w:val="000A72A4"/>
    <w:rsid w:val="000A731A"/>
    <w:rsid w:val="000A7353"/>
    <w:rsid w:val="000A7C79"/>
    <w:rsid w:val="000A7CEF"/>
    <w:rsid w:val="000B0060"/>
    <w:rsid w:val="000B01BF"/>
    <w:rsid w:val="000B07A7"/>
    <w:rsid w:val="000B0815"/>
    <w:rsid w:val="000B08A1"/>
    <w:rsid w:val="000B09B7"/>
    <w:rsid w:val="000B0DB7"/>
    <w:rsid w:val="000B1303"/>
    <w:rsid w:val="000B1311"/>
    <w:rsid w:val="000B19AE"/>
    <w:rsid w:val="000B19F2"/>
    <w:rsid w:val="000B1BF6"/>
    <w:rsid w:val="000B1DF3"/>
    <w:rsid w:val="000B1F43"/>
    <w:rsid w:val="000B1FF0"/>
    <w:rsid w:val="000B20C3"/>
    <w:rsid w:val="000B2193"/>
    <w:rsid w:val="000B21A8"/>
    <w:rsid w:val="000B2266"/>
    <w:rsid w:val="000B2946"/>
    <w:rsid w:val="000B29E7"/>
    <w:rsid w:val="000B2D8B"/>
    <w:rsid w:val="000B2E25"/>
    <w:rsid w:val="000B2E9A"/>
    <w:rsid w:val="000B2F80"/>
    <w:rsid w:val="000B2FAA"/>
    <w:rsid w:val="000B3655"/>
    <w:rsid w:val="000B3687"/>
    <w:rsid w:val="000B3689"/>
    <w:rsid w:val="000B3910"/>
    <w:rsid w:val="000B3A03"/>
    <w:rsid w:val="000B3CA3"/>
    <w:rsid w:val="000B3E9F"/>
    <w:rsid w:val="000B3F9A"/>
    <w:rsid w:val="000B40E1"/>
    <w:rsid w:val="000B42EF"/>
    <w:rsid w:val="000B4320"/>
    <w:rsid w:val="000B4498"/>
    <w:rsid w:val="000B47BA"/>
    <w:rsid w:val="000B49D0"/>
    <w:rsid w:val="000B4A5C"/>
    <w:rsid w:val="000B4F19"/>
    <w:rsid w:val="000B4F4D"/>
    <w:rsid w:val="000B5025"/>
    <w:rsid w:val="000B5055"/>
    <w:rsid w:val="000B5775"/>
    <w:rsid w:val="000B59AC"/>
    <w:rsid w:val="000B5C96"/>
    <w:rsid w:val="000B5E6B"/>
    <w:rsid w:val="000B5F44"/>
    <w:rsid w:val="000B6475"/>
    <w:rsid w:val="000B699B"/>
    <w:rsid w:val="000B6B8D"/>
    <w:rsid w:val="000B6E0D"/>
    <w:rsid w:val="000B6ED8"/>
    <w:rsid w:val="000B70F2"/>
    <w:rsid w:val="000B7437"/>
    <w:rsid w:val="000B756F"/>
    <w:rsid w:val="000B77E0"/>
    <w:rsid w:val="000B7922"/>
    <w:rsid w:val="000B798C"/>
    <w:rsid w:val="000B79C1"/>
    <w:rsid w:val="000B79E3"/>
    <w:rsid w:val="000B7A2C"/>
    <w:rsid w:val="000B7CAE"/>
    <w:rsid w:val="000C0351"/>
    <w:rsid w:val="000C0381"/>
    <w:rsid w:val="000C062C"/>
    <w:rsid w:val="000C08A4"/>
    <w:rsid w:val="000C0C71"/>
    <w:rsid w:val="000C0DA8"/>
    <w:rsid w:val="000C0EF3"/>
    <w:rsid w:val="000C0F31"/>
    <w:rsid w:val="000C1427"/>
    <w:rsid w:val="000C164E"/>
    <w:rsid w:val="000C1C60"/>
    <w:rsid w:val="000C1C66"/>
    <w:rsid w:val="000C1D9F"/>
    <w:rsid w:val="000C1F6C"/>
    <w:rsid w:val="000C2460"/>
    <w:rsid w:val="000C2773"/>
    <w:rsid w:val="000C2A40"/>
    <w:rsid w:val="000C2CD8"/>
    <w:rsid w:val="000C2CEC"/>
    <w:rsid w:val="000C3366"/>
    <w:rsid w:val="000C3666"/>
    <w:rsid w:val="000C3777"/>
    <w:rsid w:val="000C398A"/>
    <w:rsid w:val="000C39FD"/>
    <w:rsid w:val="000C3AC8"/>
    <w:rsid w:val="000C3C09"/>
    <w:rsid w:val="000C3C22"/>
    <w:rsid w:val="000C3EEF"/>
    <w:rsid w:val="000C3FE9"/>
    <w:rsid w:val="000C4109"/>
    <w:rsid w:val="000C41E0"/>
    <w:rsid w:val="000C444C"/>
    <w:rsid w:val="000C4598"/>
    <w:rsid w:val="000C4C34"/>
    <w:rsid w:val="000C4DDC"/>
    <w:rsid w:val="000C4F9A"/>
    <w:rsid w:val="000C5457"/>
    <w:rsid w:val="000C548B"/>
    <w:rsid w:val="000C5601"/>
    <w:rsid w:val="000C56C3"/>
    <w:rsid w:val="000C598E"/>
    <w:rsid w:val="000C5A8E"/>
    <w:rsid w:val="000C5BD4"/>
    <w:rsid w:val="000C5D8B"/>
    <w:rsid w:val="000C5E31"/>
    <w:rsid w:val="000C5E8F"/>
    <w:rsid w:val="000C5EBF"/>
    <w:rsid w:val="000C61FB"/>
    <w:rsid w:val="000C632A"/>
    <w:rsid w:val="000C685C"/>
    <w:rsid w:val="000C6941"/>
    <w:rsid w:val="000C6A31"/>
    <w:rsid w:val="000C6ADE"/>
    <w:rsid w:val="000C6AEB"/>
    <w:rsid w:val="000C6BEB"/>
    <w:rsid w:val="000C732C"/>
    <w:rsid w:val="000C7A0C"/>
    <w:rsid w:val="000C7B22"/>
    <w:rsid w:val="000C7D7E"/>
    <w:rsid w:val="000C7F9D"/>
    <w:rsid w:val="000D019B"/>
    <w:rsid w:val="000D0390"/>
    <w:rsid w:val="000D0773"/>
    <w:rsid w:val="000D081E"/>
    <w:rsid w:val="000D08B8"/>
    <w:rsid w:val="000D09C8"/>
    <w:rsid w:val="000D0C64"/>
    <w:rsid w:val="000D0CCC"/>
    <w:rsid w:val="000D0F1C"/>
    <w:rsid w:val="000D10F6"/>
    <w:rsid w:val="000D13D2"/>
    <w:rsid w:val="000D1746"/>
    <w:rsid w:val="000D1BAE"/>
    <w:rsid w:val="000D1DA3"/>
    <w:rsid w:val="000D1F6E"/>
    <w:rsid w:val="000D2505"/>
    <w:rsid w:val="000D25D2"/>
    <w:rsid w:val="000D27B4"/>
    <w:rsid w:val="000D286A"/>
    <w:rsid w:val="000D2989"/>
    <w:rsid w:val="000D29F1"/>
    <w:rsid w:val="000D2BB1"/>
    <w:rsid w:val="000D2D30"/>
    <w:rsid w:val="000D2DF0"/>
    <w:rsid w:val="000D2F29"/>
    <w:rsid w:val="000D3017"/>
    <w:rsid w:val="000D3079"/>
    <w:rsid w:val="000D330E"/>
    <w:rsid w:val="000D34A4"/>
    <w:rsid w:val="000D36B0"/>
    <w:rsid w:val="000D37C8"/>
    <w:rsid w:val="000D3995"/>
    <w:rsid w:val="000D3A1E"/>
    <w:rsid w:val="000D3BF2"/>
    <w:rsid w:val="000D3DA9"/>
    <w:rsid w:val="000D3DF5"/>
    <w:rsid w:val="000D4142"/>
    <w:rsid w:val="000D419E"/>
    <w:rsid w:val="000D4545"/>
    <w:rsid w:val="000D4556"/>
    <w:rsid w:val="000D4785"/>
    <w:rsid w:val="000D47FC"/>
    <w:rsid w:val="000D4A78"/>
    <w:rsid w:val="000D4C87"/>
    <w:rsid w:val="000D4D30"/>
    <w:rsid w:val="000D4F1A"/>
    <w:rsid w:val="000D5334"/>
    <w:rsid w:val="000D53A2"/>
    <w:rsid w:val="000D5549"/>
    <w:rsid w:val="000D5A50"/>
    <w:rsid w:val="000D5ABF"/>
    <w:rsid w:val="000D5FD0"/>
    <w:rsid w:val="000D6048"/>
    <w:rsid w:val="000D61D6"/>
    <w:rsid w:val="000D6419"/>
    <w:rsid w:val="000D64D3"/>
    <w:rsid w:val="000D6704"/>
    <w:rsid w:val="000D67B3"/>
    <w:rsid w:val="000D6CBA"/>
    <w:rsid w:val="000D6DE3"/>
    <w:rsid w:val="000D6E69"/>
    <w:rsid w:val="000D6E8B"/>
    <w:rsid w:val="000D7032"/>
    <w:rsid w:val="000D70C8"/>
    <w:rsid w:val="000D724B"/>
    <w:rsid w:val="000D7423"/>
    <w:rsid w:val="000D7904"/>
    <w:rsid w:val="000D79C3"/>
    <w:rsid w:val="000D7A2E"/>
    <w:rsid w:val="000D7FEE"/>
    <w:rsid w:val="000E0125"/>
    <w:rsid w:val="000E05BD"/>
    <w:rsid w:val="000E0624"/>
    <w:rsid w:val="000E0775"/>
    <w:rsid w:val="000E08D1"/>
    <w:rsid w:val="000E09F4"/>
    <w:rsid w:val="000E09FF"/>
    <w:rsid w:val="000E0B80"/>
    <w:rsid w:val="000E0EFC"/>
    <w:rsid w:val="000E1189"/>
    <w:rsid w:val="000E1212"/>
    <w:rsid w:val="000E1349"/>
    <w:rsid w:val="000E13E7"/>
    <w:rsid w:val="000E140B"/>
    <w:rsid w:val="000E15A6"/>
    <w:rsid w:val="000E1614"/>
    <w:rsid w:val="000E1667"/>
    <w:rsid w:val="000E172D"/>
    <w:rsid w:val="000E187E"/>
    <w:rsid w:val="000E196C"/>
    <w:rsid w:val="000E1BFF"/>
    <w:rsid w:val="000E1D8D"/>
    <w:rsid w:val="000E1D9B"/>
    <w:rsid w:val="000E2171"/>
    <w:rsid w:val="000E21D3"/>
    <w:rsid w:val="000E25CE"/>
    <w:rsid w:val="000E25F4"/>
    <w:rsid w:val="000E2746"/>
    <w:rsid w:val="000E3219"/>
    <w:rsid w:val="000E328A"/>
    <w:rsid w:val="000E3510"/>
    <w:rsid w:val="000E36A1"/>
    <w:rsid w:val="000E3B94"/>
    <w:rsid w:val="000E3E2E"/>
    <w:rsid w:val="000E3F0A"/>
    <w:rsid w:val="000E3F66"/>
    <w:rsid w:val="000E3FBB"/>
    <w:rsid w:val="000E4202"/>
    <w:rsid w:val="000E424C"/>
    <w:rsid w:val="000E4464"/>
    <w:rsid w:val="000E44ED"/>
    <w:rsid w:val="000E4548"/>
    <w:rsid w:val="000E4669"/>
    <w:rsid w:val="000E48CE"/>
    <w:rsid w:val="000E4B53"/>
    <w:rsid w:val="000E51AF"/>
    <w:rsid w:val="000E53E1"/>
    <w:rsid w:val="000E5496"/>
    <w:rsid w:val="000E5592"/>
    <w:rsid w:val="000E58B6"/>
    <w:rsid w:val="000E5AFE"/>
    <w:rsid w:val="000E5BE1"/>
    <w:rsid w:val="000E5C5D"/>
    <w:rsid w:val="000E6403"/>
    <w:rsid w:val="000E6722"/>
    <w:rsid w:val="000E6979"/>
    <w:rsid w:val="000E697B"/>
    <w:rsid w:val="000E69DB"/>
    <w:rsid w:val="000E6A7C"/>
    <w:rsid w:val="000E6B84"/>
    <w:rsid w:val="000E6E63"/>
    <w:rsid w:val="000E7186"/>
    <w:rsid w:val="000E7201"/>
    <w:rsid w:val="000E7214"/>
    <w:rsid w:val="000E739E"/>
    <w:rsid w:val="000E760B"/>
    <w:rsid w:val="000E7727"/>
    <w:rsid w:val="000E7A9C"/>
    <w:rsid w:val="000F0094"/>
    <w:rsid w:val="000F00E7"/>
    <w:rsid w:val="000F04EB"/>
    <w:rsid w:val="000F0678"/>
    <w:rsid w:val="000F084C"/>
    <w:rsid w:val="000F09D5"/>
    <w:rsid w:val="000F0AB9"/>
    <w:rsid w:val="000F0B98"/>
    <w:rsid w:val="000F0D1D"/>
    <w:rsid w:val="000F0EE7"/>
    <w:rsid w:val="000F16AE"/>
    <w:rsid w:val="000F1F27"/>
    <w:rsid w:val="000F201E"/>
    <w:rsid w:val="000F2161"/>
    <w:rsid w:val="000F22C5"/>
    <w:rsid w:val="000F230D"/>
    <w:rsid w:val="000F231D"/>
    <w:rsid w:val="000F23C5"/>
    <w:rsid w:val="000F24CA"/>
    <w:rsid w:val="000F2511"/>
    <w:rsid w:val="000F2629"/>
    <w:rsid w:val="000F27E5"/>
    <w:rsid w:val="000F285F"/>
    <w:rsid w:val="000F289C"/>
    <w:rsid w:val="000F2A82"/>
    <w:rsid w:val="000F2AB9"/>
    <w:rsid w:val="000F2C86"/>
    <w:rsid w:val="000F2D03"/>
    <w:rsid w:val="000F2F12"/>
    <w:rsid w:val="000F2F9E"/>
    <w:rsid w:val="000F3329"/>
    <w:rsid w:val="000F39BE"/>
    <w:rsid w:val="000F3ACE"/>
    <w:rsid w:val="000F3C69"/>
    <w:rsid w:val="000F3D73"/>
    <w:rsid w:val="000F3F1B"/>
    <w:rsid w:val="000F3F65"/>
    <w:rsid w:val="000F4014"/>
    <w:rsid w:val="000F4020"/>
    <w:rsid w:val="000F41BB"/>
    <w:rsid w:val="000F4234"/>
    <w:rsid w:val="000F4307"/>
    <w:rsid w:val="000F44D0"/>
    <w:rsid w:val="000F45AD"/>
    <w:rsid w:val="000F468C"/>
    <w:rsid w:val="000F4732"/>
    <w:rsid w:val="000F496D"/>
    <w:rsid w:val="000F4C87"/>
    <w:rsid w:val="000F4CC7"/>
    <w:rsid w:val="000F4F65"/>
    <w:rsid w:val="000F5067"/>
    <w:rsid w:val="000F52C0"/>
    <w:rsid w:val="000F52D3"/>
    <w:rsid w:val="000F5314"/>
    <w:rsid w:val="000F54B3"/>
    <w:rsid w:val="000F5659"/>
    <w:rsid w:val="000F57B3"/>
    <w:rsid w:val="000F5C0F"/>
    <w:rsid w:val="000F5FD3"/>
    <w:rsid w:val="000F60D1"/>
    <w:rsid w:val="000F6214"/>
    <w:rsid w:val="000F6466"/>
    <w:rsid w:val="000F64D3"/>
    <w:rsid w:val="000F64E9"/>
    <w:rsid w:val="000F64F3"/>
    <w:rsid w:val="000F6B32"/>
    <w:rsid w:val="000F6F38"/>
    <w:rsid w:val="000F6F66"/>
    <w:rsid w:val="000F6FD9"/>
    <w:rsid w:val="000F712F"/>
    <w:rsid w:val="000F7372"/>
    <w:rsid w:val="000F77C2"/>
    <w:rsid w:val="000F78BF"/>
    <w:rsid w:val="000F7986"/>
    <w:rsid w:val="000F7AD0"/>
    <w:rsid w:val="000F7ADE"/>
    <w:rsid w:val="000F7B45"/>
    <w:rsid w:val="000F7B6E"/>
    <w:rsid w:val="000F7CD2"/>
    <w:rsid w:val="000F7E6B"/>
    <w:rsid w:val="00100007"/>
    <w:rsid w:val="00100350"/>
    <w:rsid w:val="00100543"/>
    <w:rsid w:val="001007E3"/>
    <w:rsid w:val="0010097F"/>
    <w:rsid w:val="00100AA8"/>
    <w:rsid w:val="00100B18"/>
    <w:rsid w:val="00100B46"/>
    <w:rsid w:val="00100D80"/>
    <w:rsid w:val="00100DAB"/>
    <w:rsid w:val="00100E0A"/>
    <w:rsid w:val="00100E5C"/>
    <w:rsid w:val="001014A7"/>
    <w:rsid w:val="0010188C"/>
    <w:rsid w:val="00101B9B"/>
    <w:rsid w:val="00101CF4"/>
    <w:rsid w:val="00101DA8"/>
    <w:rsid w:val="0010213D"/>
    <w:rsid w:val="00102160"/>
    <w:rsid w:val="00102447"/>
    <w:rsid w:val="0010257C"/>
    <w:rsid w:val="0010267D"/>
    <w:rsid w:val="0010274E"/>
    <w:rsid w:val="0010286F"/>
    <w:rsid w:val="001028D5"/>
    <w:rsid w:val="00102CBD"/>
    <w:rsid w:val="00102D20"/>
    <w:rsid w:val="00102F88"/>
    <w:rsid w:val="0010303D"/>
    <w:rsid w:val="001030CE"/>
    <w:rsid w:val="00103284"/>
    <w:rsid w:val="00103C25"/>
    <w:rsid w:val="00103C92"/>
    <w:rsid w:val="0010403B"/>
    <w:rsid w:val="00104112"/>
    <w:rsid w:val="00104261"/>
    <w:rsid w:val="00104762"/>
    <w:rsid w:val="001047FE"/>
    <w:rsid w:val="001048A7"/>
    <w:rsid w:val="00104AC3"/>
    <w:rsid w:val="00104F22"/>
    <w:rsid w:val="001051A4"/>
    <w:rsid w:val="0010520C"/>
    <w:rsid w:val="001052EB"/>
    <w:rsid w:val="001053C4"/>
    <w:rsid w:val="0010542F"/>
    <w:rsid w:val="0010543E"/>
    <w:rsid w:val="001057A1"/>
    <w:rsid w:val="001057F8"/>
    <w:rsid w:val="001059AC"/>
    <w:rsid w:val="00105C4C"/>
    <w:rsid w:val="00105E22"/>
    <w:rsid w:val="00105F28"/>
    <w:rsid w:val="00105F31"/>
    <w:rsid w:val="00105FA8"/>
    <w:rsid w:val="00106105"/>
    <w:rsid w:val="00106151"/>
    <w:rsid w:val="00106276"/>
    <w:rsid w:val="00106371"/>
    <w:rsid w:val="001064A5"/>
    <w:rsid w:val="001065DF"/>
    <w:rsid w:val="00106701"/>
    <w:rsid w:val="00106758"/>
    <w:rsid w:val="001067E7"/>
    <w:rsid w:val="0010684C"/>
    <w:rsid w:val="00106A3F"/>
    <w:rsid w:val="00106D73"/>
    <w:rsid w:val="00106F33"/>
    <w:rsid w:val="00106F5A"/>
    <w:rsid w:val="0010722A"/>
    <w:rsid w:val="0010737D"/>
    <w:rsid w:val="00107478"/>
    <w:rsid w:val="00107833"/>
    <w:rsid w:val="001078FD"/>
    <w:rsid w:val="0010796A"/>
    <w:rsid w:val="0011010E"/>
    <w:rsid w:val="001103CB"/>
    <w:rsid w:val="00110607"/>
    <w:rsid w:val="0011094A"/>
    <w:rsid w:val="00110BEA"/>
    <w:rsid w:val="00110CF4"/>
    <w:rsid w:val="00110E57"/>
    <w:rsid w:val="001111EF"/>
    <w:rsid w:val="00111335"/>
    <w:rsid w:val="001113A3"/>
    <w:rsid w:val="001117FB"/>
    <w:rsid w:val="001118D9"/>
    <w:rsid w:val="00112475"/>
    <w:rsid w:val="001128C2"/>
    <w:rsid w:val="00112ADD"/>
    <w:rsid w:val="00112AF9"/>
    <w:rsid w:val="00112CD0"/>
    <w:rsid w:val="00112E01"/>
    <w:rsid w:val="0011319C"/>
    <w:rsid w:val="00113371"/>
    <w:rsid w:val="00113612"/>
    <w:rsid w:val="001137EF"/>
    <w:rsid w:val="001137F6"/>
    <w:rsid w:val="00113BA4"/>
    <w:rsid w:val="00113D21"/>
    <w:rsid w:val="00113EDD"/>
    <w:rsid w:val="00113F6D"/>
    <w:rsid w:val="001140F8"/>
    <w:rsid w:val="00114577"/>
    <w:rsid w:val="001146BD"/>
    <w:rsid w:val="001146DC"/>
    <w:rsid w:val="00114767"/>
    <w:rsid w:val="00114769"/>
    <w:rsid w:val="00114ABE"/>
    <w:rsid w:val="001150ED"/>
    <w:rsid w:val="0011513B"/>
    <w:rsid w:val="001151A8"/>
    <w:rsid w:val="0011547B"/>
    <w:rsid w:val="00115529"/>
    <w:rsid w:val="00115784"/>
    <w:rsid w:val="00115C85"/>
    <w:rsid w:val="00115D4A"/>
    <w:rsid w:val="00115E1E"/>
    <w:rsid w:val="00116255"/>
    <w:rsid w:val="0011636B"/>
    <w:rsid w:val="001165A7"/>
    <w:rsid w:val="0011661D"/>
    <w:rsid w:val="00116945"/>
    <w:rsid w:val="001169EA"/>
    <w:rsid w:val="00116ED7"/>
    <w:rsid w:val="00117279"/>
    <w:rsid w:val="00117321"/>
    <w:rsid w:val="00117535"/>
    <w:rsid w:val="001177EC"/>
    <w:rsid w:val="00117857"/>
    <w:rsid w:val="00117884"/>
    <w:rsid w:val="00117E2B"/>
    <w:rsid w:val="00117F4B"/>
    <w:rsid w:val="00117FA4"/>
    <w:rsid w:val="00117FF8"/>
    <w:rsid w:val="0012024D"/>
    <w:rsid w:val="001202C4"/>
    <w:rsid w:val="00120302"/>
    <w:rsid w:val="00120486"/>
    <w:rsid w:val="0012066A"/>
    <w:rsid w:val="00120854"/>
    <w:rsid w:val="0012087C"/>
    <w:rsid w:val="00120AC2"/>
    <w:rsid w:val="00120DEE"/>
    <w:rsid w:val="00120F98"/>
    <w:rsid w:val="001210B3"/>
    <w:rsid w:val="00121269"/>
    <w:rsid w:val="001212A9"/>
    <w:rsid w:val="001213C2"/>
    <w:rsid w:val="0012144A"/>
    <w:rsid w:val="0012151F"/>
    <w:rsid w:val="00121686"/>
    <w:rsid w:val="0012172E"/>
    <w:rsid w:val="001217BF"/>
    <w:rsid w:val="00121EF6"/>
    <w:rsid w:val="00121EFA"/>
    <w:rsid w:val="00122035"/>
    <w:rsid w:val="00122162"/>
    <w:rsid w:val="00122176"/>
    <w:rsid w:val="00122225"/>
    <w:rsid w:val="0012227D"/>
    <w:rsid w:val="00122455"/>
    <w:rsid w:val="00122484"/>
    <w:rsid w:val="00122720"/>
    <w:rsid w:val="00122742"/>
    <w:rsid w:val="0012287C"/>
    <w:rsid w:val="0012298F"/>
    <w:rsid w:val="00122A6A"/>
    <w:rsid w:val="00122AE7"/>
    <w:rsid w:val="00122B0D"/>
    <w:rsid w:val="00122B93"/>
    <w:rsid w:val="00122CF4"/>
    <w:rsid w:val="0012309A"/>
    <w:rsid w:val="001230C1"/>
    <w:rsid w:val="0012318F"/>
    <w:rsid w:val="00123343"/>
    <w:rsid w:val="001235A8"/>
    <w:rsid w:val="0012360D"/>
    <w:rsid w:val="001238BD"/>
    <w:rsid w:val="00123935"/>
    <w:rsid w:val="00123CE8"/>
    <w:rsid w:val="00123DD3"/>
    <w:rsid w:val="00123F42"/>
    <w:rsid w:val="001242F1"/>
    <w:rsid w:val="00124879"/>
    <w:rsid w:val="0012492B"/>
    <w:rsid w:val="00124D96"/>
    <w:rsid w:val="00124E31"/>
    <w:rsid w:val="00124EB4"/>
    <w:rsid w:val="00124F8D"/>
    <w:rsid w:val="00125180"/>
    <w:rsid w:val="00125671"/>
    <w:rsid w:val="00125AD1"/>
    <w:rsid w:val="00125AF1"/>
    <w:rsid w:val="00125B9E"/>
    <w:rsid w:val="00125CCA"/>
    <w:rsid w:val="00125F90"/>
    <w:rsid w:val="00126142"/>
    <w:rsid w:val="0012618E"/>
    <w:rsid w:val="001267C7"/>
    <w:rsid w:val="001267DD"/>
    <w:rsid w:val="00126B8D"/>
    <w:rsid w:val="00126DAD"/>
    <w:rsid w:val="001272CB"/>
    <w:rsid w:val="00127481"/>
    <w:rsid w:val="00127735"/>
    <w:rsid w:val="00127738"/>
    <w:rsid w:val="0012779C"/>
    <w:rsid w:val="00127943"/>
    <w:rsid w:val="00127A1C"/>
    <w:rsid w:val="00127E40"/>
    <w:rsid w:val="00127F8F"/>
    <w:rsid w:val="00130030"/>
    <w:rsid w:val="0013006A"/>
    <w:rsid w:val="00130496"/>
    <w:rsid w:val="0013049C"/>
    <w:rsid w:val="00130506"/>
    <w:rsid w:val="00130629"/>
    <w:rsid w:val="00130673"/>
    <w:rsid w:val="00130B86"/>
    <w:rsid w:val="00130DA0"/>
    <w:rsid w:val="001312BE"/>
    <w:rsid w:val="00131669"/>
    <w:rsid w:val="00131703"/>
    <w:rsid w:val="001317FC"/>
    <w:rsid w:val="0013183F"/>
    <w:rsid w:val="00131847"/>
    <w:rsid w:val="0013187E"/>
    <w:rsid w:val="00131D49"/>
    <w:rsid w:val="00131DEF"/>
    <w:rsid w:val="001320C5"/>
    <w:rsid w:val="0013242A"/>
    <w:rsid w:val="0013251F"/>
    <w:rsid w:val="001325C5"/>
    <w:rsid w:val="00132733"/>
    <w:rsid w:val="0013294D"/>
    <w:rsid w:val="00132AA5"/>
    <w:rsid w:val="00132BC0"/>
    <w:rsid w:val="00132DF7"/>
    <w:rsid w:val="00132E1C"/>
    <w:rsid w:val="00133134"/>
    <w:rsid w:val="001333AE"/>
    <w:rsid w:val="001336E7"/>
    <w:rsid w:val="001337CD"/>
    <w:rsid w:val="00133ADC"/>
    <w:rsid w:val="00133B7C"/>
    <w:rsid w:val="00133CCE"/>
    <w:rsid w:val="00134194"/>
    <w:rsid w:val="001344EF"/>
    <w:rsid w:val="0013451D"/>
    <w:rsid w:val="00134587"/>
    <w:rsid w:val="00134ECB"/>
    <w:rsid w:val="00135051"/>
    <w:rsid w:val="001352F8"/>
    <w:rsid w:val="001353ED"/>
    <w:rsid w:val="0013555C"/>
    <w:rsid w:val="00135697"/>
    <w:rsid w:val="001356C7"/>
    <w:rsid w:val="001357D3"/>
    <w:rsid w:val="00135811"/>
    <w:rsid w:val="0013581D"/>
    <w:rsid w:val="00135C23"/>
    <w:rsid w:val="00135D83"/>
    <w:rsid w:val="00135E23"/>
    <w:rsid w:val="00135E8C"/>
    <w:rsid w:val="00135F87"/>
    <w:rsid w:val="00136258"/>
    <w:rsid w:val="0013642A"/>
    <w:rsid w:val="00136850"/>
    <w:rsid w:val="00136AAA"/>
    <w:rsid w:val="00136C29"/>
    <w:rsid w:val="001370BE"/>
    <w:rsid w:val="001372D4"/>
    <w:rsid w:val="0013780B"/>
    <w:rsid w:val="00137956"/>
    <w:rsid w:val="00137DC2"/>
    <w:rsid w:val="00137FBD"/>
    <w:rsid w:val="00137FFC"/>
    <w:rsid w:val="0014007C"/>
    <w:rsid w:val="001400C6"/>
    <w:rsid w:val="0014019A"/>
    <w:rsid w:val="00140287"/>
    <w:rsid w:val="0014037D"/>
    <w:rsid w:val="001405DB"/>
    <w:rsid w:val="001406A6"/>
    <w:rsid w:val="0014098E"/>
    <w:rsid w:val="00141177"/>
    <w:rsid w:val="001414E5"/>
    <w:rsid w:val="001415AA"/>
    <w:rsid w:val="0014198C"/>
    <w:rsid w:val="00141B29"/>
    <w:rsid w:val="00141F15"/>
    <w:rsid w:val="00141F9A"/>
    <w:rsid w:val="001421B3"/>
    <w:rsid w:val="001421E1"/>
    <w:rsid w:val="001424E8"/>
    <w:rsid w:val="00142DE7"/>
    <w:rsid w:val="00142EFF"/>
    <w:rsid w:val="00142F5D"/>
    <w:rsid w:val="00143277"/>
    <w:rsid w:val="0014336F"/>
    <w:rsid w:val="001433BA"/>
    <w:rsid w:val="001436F4"/>
    <w:rsid w:val="00143AB7"/>
    <w:rsid w:val="00143B72"/>
    <w:rsid w:val="00143C58"/>
    <w:rsid w:val="00143C73"/>
    <w:rsid w:val="00143E33"/>
    <w:rsid w:val="00143F25"/>
    <w:rsid w:val="00144211"/>
    <w:rsid w:val="00144470"/>
    <w:rsid w:val="00144577"/>
    <w:rsid w:val="00144AF0"/>
    <w:rsid w:val="00144B3C"/>
    <w:rsid w:val="00144D01"/>
    <w:rsid w:val="00144DB5"/>
    <w:rsid w:val="00144F05"/>
    <w:rsid w:val="00144F54"/>
    <w:rsid w:val="0014546A"/>
    <w:rsid w:val="0014554A"/>
    <w:rsid w:val="00145638"/>
    <w:rsid w:val="0014609F"/>
    <w:rsid w:val="001461BC"/>
    <w:rsid w:val="001465EB"/>
    <w:rsid w:val="001466F3"/>
    <w:rsid w:val="001469DD"/>
    <w:rsid w:val="00146C4D"/>
    <w:rsid w:val="00146D4A"/>
    <w:rsid w:val="00146E9C"/>
    <w:rsid w:val="00147170"/>
    <w:rsid w:val="0014719C"/>
    <w:rsid w:val="001473DD"/>
    <w:rsid w:val="00147544"/>
    <w:rsid w:val="00147589"/>
    <w:rsid w:val="001478DD"/>
    <w:rsid w:val="00147A3D"/>
    <w:rsid w:val="00147BD4"/>
    <w:rsid w:val="00147C94"/>
    <w:rsid w:val="00147DB4"/>
    <w:rsid w:val="00147FF5"/>
    <w:rsid w:val="00147FF9"/>
    <w:rsid w:val="00150069"/>
    <w:rsid w:val="00150447"/>
    <w:rsid w:val="0015085D"/>
    <w:rsid w:val="00150945"/>
    <w:rsid w:val="0015096E"/>
    <w:rsid w:val="00150AA3"/>
    <w:rsid w:val="00150C54"/>
    <w:rsid w:val="00150D6D"/>
    <w:rsid w:val="00150D9C"/>
    <w:rsid w:val="00150E37"/>
    <w:rsid w:val="00151162"/>
    <w:rsid w:val="001512E5"/>
    <w:rsid w:val="0015136D"/>
    <w:rsid w:val="00151475"/>
    <w:rsid w:val="001515C4"/>
    <w:rsid w:val="001516C2"/>
    <w:rsid w:val="00151818"/>
    <w:rsid w:val="0015196E"/>
    <w:rsid w:val="001519B0"/>
    <w:rsid w:val="00151AEF"/>
    <w:rsid w:val="00151B86"/>
    <w:rsid w:val="00151F73"/>
    <w:rsid w:val="00151FE9"/>
    <w:rsid w:val="0015200F"/>
    <w:rsid w:val="00152048"/>
    <w:rsid w:val="00152192"/>
    <w:rsid w:val="00152553"/>
    <w:rsid w:val="0015257B"/>
    <w:rsid w:val="001527EB"/>
    <w:rsid w:val="00152A8D"/>
    <w:rsid w:val="00152C53"/>
    <w:rsid w:val="00152C6B"/>
    <w:rsid w:val="00152DAD"/>
    <w:rsid w:val="00152F11"/>
    <w:rsid w:val="00153037"/>
    <w:rsid w:val="001530E9"/>
    <w:rsid w:val="001531AA"/>
    <w:rsid w:val="0015365E"/>
    <w:rsid w:val="00153972"/>
    <w:rsid w:val="00154488"/>
    <w:rsid w:val="001544A3"/>
    <w:rsid w:val="0015477B"/>
    <w:rsid w:val="00154828"/>
    <w:rsid w:val="00154A26"/>
    <w:rsid w:val="00154BDE"/>
    <w:rsid w:val="00154D40"/>
    <w:rsid w:val="00154FC3"/>
    <w:rsid w:val="0015506F"/>
    <w:rsid w:val="00155306"/>
    <w:rsid w:val="00155310"/>
    <w:rsid w:val="001553F1"/>
    <w:rsid w:val="0015540F"/>
    <w:rsid w:val="00155484"/>
    <w:rsid w:val="00155978"/>
    <w:rsid w:val="00155C02"/>
    <w:rsid w:val="00155C27"/>
    <w:rsid w:val="00155CA9"/>
    <w:rsid w:val="00155E35"/>
    <w:rsid w:val="00155E7D"/>
    <w:rsid w:val="0015640A"/>
    <w:rsid w:val="0015655C"/>
    <w:rsid w:val="001568D0"/>
    <w:rsid w:val="00156AEC"/>
    <w:rsid w:val="00156C09"/>
    <w:rsid w:val="00156C14"/>
    <w:rsid w:val="00156C1D"/>
    <w:rsid w:val="00157282"/>
    <w:rsid w:val="00157482"/>
    <w:rsid w:val="00157577"/>
    <w:rsid w:val="00157649"/>
    <w:rsid w:val="00157847"/>
    <w:rsid w:val="00157858"/>
    <w:rsid w:val="00157869"/>
    <w:rsid w:val="00157988"/>
    <w:rsid w:val="00157E63"/>
    <w:rsid w:val="00157FD0"/>
    <w:rsid w:val="00160290"/>
    <w:rsid w:val="001603FE"/>
    <w:rsid w:val="00160672"/>
    <w:rsid w:val="00160901"/>
    <w:rsid w:val="00160D7A"/>
    <w:rsid w:val="00160F0E"/>
    <w:rsid w:val="00160F4D"/>
    <w:rsid w:val="001611D4"/>
    <w:rsid w:val="00161398"/>
    <w:rsid w:val="001614FD"/>
    <w:rsid w:val="001616F1"/>
    <w:rsid w:val="001618AD"/>
    <w:rsid w:val="001618CD"/>
    <w:rsid w:val="001619BB"/>
    <w:rsid w:val="00161A7D"/>
    <w:rsid w:val="00161B49"/>
    <w:rsid w:val="00161CB7"/>
    <w:rsid w:val="00161E13"/>
    <w:rsid w:val="00161EA1"/>
    <w:rsid w:val="00162396"/>
    <w:rsid w:val="001624CC"/>
    <w:rsid w:val="001626C3"/>
    <w:rsid w:val="00162BD5"/>
    <w:rsid w:val="00162C47"/>
    <w:rsid w:val="00162CF6"/>
    <w:rsid w:val="00162D2B"/>
    <w:rsid w:val="00162E24"/>
    <w:rsid w:val="00162E31"/>
    <w:rsid w:val="00162E53"/>
    <w:rsid w:val="00163987"/>
    <w:rsid w:val="00163A04"/>
    <w:rsid w:val="00163A61"/>
    <w:rsid w:val="00163AAE"/>
    <w:rsid w:val="00163E52"/>
    <w:rsid w:val="00164005"/>
    <w:rsid w:val="0016407A"/>
    <w:rsid w:val="001641BD"/>
    <w:rsid w:val="00164342"/>
    <w:rsid w:val="0016454F"/>
    <w:rsid w:val="00164582"/>
    <w:rsid w:val="001645F2"/>
    <w:rsid w:val="00164650"/>
    <w:rsid w:val="001646E1"/>
    <w:rsid w:val="0016474D"/>
    <w:rsid w:val="00164817"/>
    <w:rsid w:val="0016487C"/>
    <w:rsid w:val="00164895"/>
    <w:rsid w:val="00164A9A"/>
    <w:rsid w:val="00164C40"/>
    <w:rsid w:val="00164DDA"/>
    <w:rsid w:val="00164F8E"/>
    <w:rsid w:val="00164FB2"/>
    <w:rsid w:val="00165011"/>
    <w:rsid w:val="00165019"/>
    <w:rsid w:val="0016506E"/>
    <w:rsid w:val="001651F5"/>
    <w:rsid w:val="001652C1"/>
    <w:rsid w:val="00165306"/>
    <w:rsid w:val="0016534F"/>
    <w:rsid w:val="00165536"/>
    <w:rsid w:val="001657D5"/>
    <w:rsid w:val="00165876"/>
    <w:rsid w:val="001658FC"/>
    <w:rsid w:val="00165941"/>
    <w:rsid w:val="00165A5D"/>
    <w:rsid w:val="00165A65"/>
    <w:rsid w:val="00165B4B"/>
    <w:rsid w:val="00165F91"/>
    <w:rsid w:val="00165FC0"/>
    <w:rsid w:val="001661C1"/>
    <w:rsid w:val="00166651"/>
    <w:rsid w:val="00166659"/>
    <w:rsid w:val="00166697"/>
    <w:rsid w:val="00166971"/>
    <w:rsid w:val="00166AD8"/>
    <w:rsid w:val="00166C64"/>
    <w:rsid w:val="00166C93"/>
    <w:rsid w:val="00167058"/>
    <w:rsid w:val="0016710A"/>
    <w:rsid w:val="00167145"/>
    <w:rsid w:val="00167213"/>
    <w:rsid w:val="00167529"/>
    <w:rsid w:val="00167639"/>
    <w:rsid w:val="00167D5F"/>
    <w:rsid w:val="00167FAB"/>
    <w:rsid w:val="00167FDB"/>
    <w:rsid w:val="001702D6"/>
    <w:rsid w:val="00170334"/>
    <w:rsid w:val="001703B7"/>
    <w:rsid w:val="0017079D"/>
    <w:rsid w:val="0017082A"/>
    <w:rsid w:val="001709AF"/>
    <w:rsid w:val="001709E7"/>
    <w:rsid w:val="00170B68"/>
    <w:rsid w:val="00170C7E"/>
    <w:rsid w:val="001710DC"/>
    <w:rsid w:val="00171207"/>
    <w:rsid w:val="00171641"/>
    <w:rsid w:val="00171A92"/>
    <w:rsid w:val="00171C57"/>
    <w:rsid w:val="001720B3"/>
    <w:rsid w:val="001720C3"/>
    <w:rsid w:val="001723A1"/>
    <w:rsid w:val="001727AA"/>
    <w:rsid w:val="001728EE"/>
    <w:rsid w:val="001728F7"/>
    <w:rsid w:val="0017292D"/>
    <w:rsid w:val="0017299D"/>
    <w:rsid w:val="001729A9"/>
    <w:rsid w:val="00172B93"/>
    <w:rsid w:val="00172EEE"/>
    <w:rsid w:val="00172F06"/>
    <w:rsid w:val="00173039"/>
    <w:rsid w:val="001731F1"/>
    <w:rsid w:val="00173963"/>
    <w:rsid w:val="0017398E"/>
    <w:rsid w:val="00173C81"/>
    <w:rsid w:val="00173EB8"/>
    <w:rsid w:val="00173FEF"/>
    <w:rsid w:val="00174040"/>
    <w:rsid w:val="00174090"/>
    <w:rsid w:val="00174151"/>
    <w:rsid w:val="001742C8"/>
    <w:rsid w:val="00174584"/>
    <w:rsid w:val="001747A7"/>
    <w:rsid w:val="001748A7"/>
    <w:rsid w:val="00174982"/>
    <w:rsid w:val="001749FD"/>
    <w:rsid w:val="00174AD4"/>
    <w:rsid w:val="00174CDB"/>
    <w:rsid w:val="0017532A"/>
    <w:rsid w:val="00175412"/>
    <w:rsid w:val="00175515"/>
    <w:rsid w:val="0017554E"/>
    <w:rsid w:val="0017574F"/>
    <w:rsid w:val="00175766"/>
    <w:rsid w:val="00175AED"/>
    <w:rsid w:val="00175C8D"/>
    <w:rsid w:val="001762EC"/>
    <w:rsid w:val="00176429"/>
    <w:rsid w:val="001764F1"/>
    <w:rsid w:val="00176AA1"/>
    <w:rsid w:val="00176C15"/>
    <w:rsid w:val="00176F23"/>
    <w:rsid w:val="001770E2"/>
    <w:rsid w:val="0017727D"/>
    <w:rsid w:val="0017781D"/>
    <w:rsid w:val="00177868"/>
    <w:rsid w:val="0017787A"/>
    <w:rsid w:val="001778FD"/>
    <w:rsid w:val="00177C7F"/>
    <w:rsid w:val="00177E70"/>
    <w:rsid w:val="00177EA1"/>
    <w:rsid w:val="00177F66"/>
    <w:rsid w:val="00180215"/>
    <w:rsid w:val="001802B7"/>
    <w:rsid w:val="00180552"/>
    <w:rsid w:val="001806AD"/>
    <w:rsid w:val="001808F3"/>
    <w:rsid w:val="001808FA"/>
    <w:rsid w:val="00180E4F"/>
    <w:rsid w:val="001813AF"/>
    <w:rsid w:val="00181640"/>
    <w:rsid w:val="001816D9"/>
    <w:rsid w:val="00181B37"/>
    <w:rsid w:val="00181C4A"/>
    <w:rsid w:val="00181C51"/>
    <w:rsid w:val="001820C5"/>
    <w:rsid w:val="00182251"/>
    <w:rsid w:val="001822B6"/>
    <w:rsid w:val="00182664"/>
    <w:rsid w:val="001826AD"/>
    <w:rsid w:val="00182A31"/>
    <w:rsid w:val="00182A55"/>
    <w:rsid w:val="00182C8E"/>
    <w:rsid w:val="00182DB6"/>
    <w:rsid w:val="00182DD3"/>
    <w:rsid w:val="00182EE2"/>
    <w:rsid w:val="00182F50"/>
    <w:rsid w:val="00183035"/>
    <w:rsid w:val="001831A9"/>
    <w:rsid w:val="001832F2"/>
    <w:rsid w:val="00183531"/>
    <w:rsid w:val="001835BD"/>
    <w:rsid w:val="001837C1"/>
    <w:rsid w:val="001837EE"/>
    <w:rsid w:val="0018380E"/>
    <w:rsid w:val="001838BB"/>
    <w:rsid w:val="00183A01"/>
    <w:rsid w:val="00183C8D"/>
    <w:rsid w:val="00183FA9"/>
    <w:rsid w:val="00183FB3"/>
    <w:rsid w:val="001844D2"/>
    <w:rsid w:val="0018493F"/>
    <w:rsid w:val="001849F3"/>
    <w:rsid w:val="00184B48"/>
    <w:rsid w:val="00184CEB"/>
    <w:rsid w:val="00184F63"/>
    <w:rsid w:val="00184FF9"/>
    <w:rsid w:val="00185574"/>
    <w:rsid w:val="00185816"/>
    <w:rsid w:val="00185B8B"/>
    <w:rsid w:val="00185BD6"/>
    <w:rsid w:val="00185D1E"/>
    <w:rsid w:val="00185E8D"/>
    <w:rsid w:val="00185F28"/>
    <w:rsid w:val="001860AA"/>
    <w:rsid w:val="00186166"/>
    <w:rsid w:val="0018627C"/>
    <w:rsid w:val="00186711"/>
    <w:rsid w:val="001867AA"/>
    <w:rsid w:val="00186942"/>
    <w:rsid w:val="00186CCA"/>
    <w:rsid w:val="00186D91"/>
    <w:rsid w:val="00186DCF"/>
    <w:rsid w:val="00187131"/>
    <w:rsid w:val="001871D1"/>
    <w:rsid w:val="00187307"/>
    <w:rsid w:val="00187388"/>
    <w:rsid w:val="00187654"/>
    <w:rsid w:val="0018770D"/>
    <w:rsid w:val="0018780A"/>
    <w:rsid w:val="00187891"/>
    <w:rsid w:val="001878AE"/>
    <w:rsid w:val="001879A1"/>
    <w:rsid w:val="00187E33"/>
    <w:rsid w:val="00187E77"/>
    <w:rsid w:val="001903BF"/>
    <w:rsid w:val="0019044C"/>
    <w:rsid w:val="0019044F"/>
    <w:rsid w:val="00190827"/>
    <w:rsid w:val="00190BB0"/>
    <w:rsid w:val="00190C57"/>
    <w:rsid w:val="00190F13"/>
    <w:rsid w:val="00190F28"/>
    <w:rsid w:val="00190F4B"/>
    <w:rsid w:val="001911AF"/>
    <w:rsid w:val="00191248"/>
    <w:rsid w:val="00191598"/>
    <w:rsid w:val="0019173D"/>
    <w:rsid w:val="00191852"/>
    <w:rsid w:val="00191D08"/>
    <w:rsid w:val="00191FEC"/>
    <w:rsid w:val="00192058"/>
    <w:rsid w:val="001920A6"/>
    <w:rsid w:val="0019240E"/>
    <w:rsid w:val="00192456"/>
    <w:rsid w:val="001926D1"/>
    <w:rsid w:val="0019282D"/>
    <w:rsid w:val="00192944"/>
    <w:rsid w:val="00192A0D"/>
    <w:rsid w:val="00192A23"/>
    <w:rsid w:val="00192EBC"/>
    <w:rsid w:val="00192F7D"/>
    <w:rsid w:val="00193070"/>
    <w:rsid w:val="001931F0"/>
    <w:rsid w:val="00193367"/>
    <w:rsid w:val="00193405"/>
    <w:rsid w:val="0019365E"/>
    <w:rsid w:val="00193B2B"/>
    <w:rsid w:val="00193C27"/>
    <w:rsid w:val="00193C34"/>
    <w:rsid w:val="00193F8E"/>
    <w:rsid w:val="001941DB"/>
    <w:rsid w:val="0019421B"/>
    <w:rsid w:val="0019460D"/>
    <w:rsid w:val="0019463C"/>
    <w:rsid w:val="001946C0"/>
    <w:rsid w:val="0019490B"/>
    <w:rsid w:val="001949D9"/>
    <w:rsid w:val="00194C85"/>
    <w:rsid w:val="00194D40"/>
    <w:rsid w:val="00194E29"/>
    <w:rsid w:val="00194F33"/>
    <w:rsid w:val="00195002"/>
    <w:rsid w:val="001950CF"/>
    <w:rsid w:val="00195182"/>
    <w:rsid w:val="001951A6"/>
    <w:rsid w:val="001951E4"/>
    <w:rsid w:val="0019523C"/>
    <w:rsid w:val="00195477"/>
    <w:rsid w:val="00195533"/>
    <w:rsid w:val="0019567E"/>
    <w:rsid w:val="00195973"/>
    <w:rsid w:val="00195A90"/>
    <w:rsid w:val="00195B50"/>
    <w:rsid w:val="00195CD2"/>
    <w:rsid w:val="00195F74"/>
    <w:rsid w:val="0019600C"/>
    <w:rsid w:val="00196448"/>
    <w:rsid w:val="00196475"/>
    <w:rsid w:val="0019657B"/>
    <w:rsid w:val="00196674"/>
    <w:rsid w:val="00197132"/>
    <w:rsid w:val="001972E7"/>
    <w:rsid w:val="001977FC"/>
    <w:rsid w:val="00197896"/>
    <w:rsid w:val="00197AE5"/>
    <w:rsid w:val="00197DCC"/>
    <w:rsid w:val="001A01B0"/>
    <w:rsid w:val="001A0457"/>
    <w:rsid w:val="001A045C"/>
    <w:rsid w:val="001A0514"/>
    <w:rsid w:val="001A05B1"/>
    <w:rsid w:val="001A05FF"/>
    <w:rsid w:val="001A09EE"/>
    <w:rsid w:val="001A0ACD"/>
    <w:rsid w:val="001A0C5B"/>
    <w:rsid w:val="001A0E93"/>
    <w:rsid w:val="001A112B"/>
    <w:rsid w:val="001A14DA"/>
    <w:rsid w:val="001A1598"/>
    <w:rsid w:val="001A1793"/>
    <w:rsid w:val="001A193B"/>
    <w:rsid w:val="001A19B6"/>
    <w:rsid w:val="001A1B50"/>
    <w:rsid w:val="001A1C51"/>
    <w:rsid w:val="001A1F0E"/>
    <w:rsid w:val="001A20FF"/>
    <w:rsid w:val="001A211E"/>
    <w:rsid w:val="001A2196"/>
    <w:rsid w:val="001A21F1"/>
    <w:rsid w:val="001A24FC"/>
    <w:rsid w:val="001A2518"/>
    <w:rsid w:val="001A2557"/>
    <w:rsid w:val="001A25C3"/>
    <w:rsid w:val="001A26BA"/>
    <w:rsid w:val="001A26F3"/>
    <w:rsid w:val="001A2754"/>
    <w:rsid w:val="001A2971"/>
    <w:rsid w:val="001A2B1E"/>
    <w:rsid w:val="001A2BE9"/>
    <w:rsid w:val="001A2CE5"/>
    <w:rsid w:val="001A2D52"/>
    <w:rsid w:val="001A2EF6"/>
    <w:rsid w:val="001A30B5"/>
    <w:rsid w:val="001A3369"/>
    <w:rsid w:val="001A3534"/>
    <w:rsid w:val="001A36E1"/>
    <w:rsid w:val="001A37EE"/>
    <w:rsid w:val="001A3904"/>
    <w:rsid w:val="001A39E1"/>
    <w:rsid w:val="001A3A57"/>
    <w:rsid w:val="001A3B1C"/>
    <w:rsid w:val="001A40FB"/>
    <w:rsid w:val="001A4178"/>
    <w:rsid w:val="001A47BE"/>
    <w:rsid w:val="001A4C4A"/>
    <w:rsid w:val="001A4D40"/>
    <w:rsid w:val="001A5087"/>
    <w:rsid w:val="001A5422"/>
    <w:rsid w:val="001A5467"/>
    <w:rsid w:val="001A54CF"/>
    <w:rsid w:val="001A5574"/>
    <w:rsid w:val="001A55F3"/>
    <w:rsid w:val="001A5835"/>
    <w:rsid w:val="001A5906"/>
    <w:rsid w:val="001A5B68"/>
    <w:rsid w:val="001A5BF2"/>
    <w:rsid w:val="001A5C9F"/>
    <w:rsid w:val="001A5CC4"/>
    <w:rsid w:val="001A5EDF"/>
    <w:rsid w:val="001A608B"/>
    <w:rsid w:val="001A61F8"/>
    <w:rsid w:val="001A646D"/>
    <w:rsid w:val="001A66F1"/>
    <w:rsid w:val="001A66F3"/>
    <w:rsid w:val="001A6725"/>
    <w:rsid w:val="001A6738"/>
    <w:rsid w:val="001A674B"/>
    <w:rsid w:val="001A6750"/>
    <w:rsid w:val="001A6A73"/>
    <w:rsid w:val="001A6EA1"/>
    <w:rsid w:val="001A7115"/>
    <w:rsid w:val="001A7386"/>
    <w:rsid w:val="001A779D"/>
    <w:rsid w:val="001A7885"/>
    <w:rsid w:val="001A78BE"/>
    <w:rsid w:val="001A79E8"/>
    <w:rsid w:val="001A7DBA"/>
    <w:rsid w:val="001B0045"/>
    <w:rsid w:val="001B016A"/>
    <w:rsid w:val="001B07B7"/>
    <w:rsid w:val="001B0886"/>
    <w:rsid w:val="001B08DD"/>
    <w:rsid w:val="001B099E"/>
    <w:rsid w:val="001B09BA"/>
    <w:rsid w:val="001B0BC0"/>
    <w:rsid w:val="001B0C79"/>
    <w:rsid w:val="001B0D1B"/>
    <w:rsid w:val="001B0E06"/>
    <w:rsid w:val="001B1211"/>
    <w:rsid w:val="001B1253"/>
    <w:rsid w:val="001B16D8"/>
    <w:rsid w:val="001B18A0"/>
    <w:rsid w:val="001B19A4"/>
    <w:rsid w:val="001B1BED"/>
    <w:rsid w:val="001B1D7F"/>
    <w:rsid w:val="001B1F2C"/>
    <w:rsid w:val="001B1F5C"/>
    <w:rsid w:val="001B201D"/>
    <w:rsid w:val="001B2120"/>
    <w:rsid w:val="001B221E"/>
    <w:rsid w:val="001B2423"/>
    <w:rsid w:val="001B282A"/>
    <w:rsid w:val="001B2877"/>
    <w:rsid w:val="001B28A8"/>
    <w:rsid w:val="001B2A11"/>
    <w:rsid w:val="001B2BE9"/>
    <w:rsid w:val="001B33A9"/>
    <w:rsid w:val="001B33D4"/>
    <w:rsid w:val="001B3465"/>
    <w:rsid w:val="001B3693"/>
    <w:rsid w:val="001B3703"/>
    <w:rsid w:val="001B37F9"/>
    <w:rsid w:val="001B389F"/>
    <w:rsid w:val="001B38F2"/>
    <w:rsid w:val="001B3A78"/>
    <w:rsid w:val="001B3BD6"/>
    <w:rsid w:val="001B3BFA"/>
    <w:rsid w:val="001B3C6C"/>
    <w:rsid w:val="001B4041"/>
    <w:rsid w:val="001B4154"/>
    <w:rsid w:val="001B43A5"/>
    <w:rsid w:val="001B4533"/>
    <w:rsid w:val="001B45FB"/>
    <w:rsid w:val="001B4C22"/>
    <w:rsid w:val="001B4E26"/>
    <w:rsid w:val="001B4E8D"/>
    <w:rsid w:val="001B4EBF"/>
    <w:rsid w:val="001B507E"/>
    <w:rsid w:val="001B560F"/>
    <w:rsid w:val="001B58C3"/>
    <w:rsid w:val="001B5C2F"/>
    <w:rsid w:val="001B5C64"/>
    <w:rsid w:val="001B5FD4"/>
    <w:rsid w:val="001B6064"/>
    <w:rsid w:val="001B632F"/>
    <w:rsid w:val="001B65CF"/>
    <w:rsid w:val="001B66B7"/>
    <w:rsid w:val="001B6B8A"/>
    <w:rsid w:val="001B6CF6"/>
    <w:rsid w:val="001B6D2B"/>
    <w:rsid w:val="001B6D54"/>
    <w:rsid w:val="001B6E6C"/>
    <w:rsid w:val="001B6F76"/>
    <w:rsid w:val="001B71E8"/>
    <w:rsid w:val="001B7246"/>
    <w:rsid w:val="001B72C4"/>
    <w:rsid w:val="001B7350"/>
    <w:rsid w:val="001B74CB"/>
    <w:rsid w:val="001B769E"/>
    <w:rsid w:val="001B77A0"/>
    <w:rsid w:val="001B7959"/>
    <w:rsid w:val="001B7A76"/>
    <w:rsid w:val="001B7AA9"/>
    <w:rsid w:val="001C0014"/>
    <w:rsid w:val="001C04B8"/>
    <w:rsid w:val="001C05B4"/>
    <w:rsid w:val="001C0686"/>
    <w:rsid w:val="001C06EA"/>
    <w:rsid w:val="001C070E"/>
    <w:rsid w:val="001C09B0"/>
    <w:rsid w:val="001C0D21"/>
    <w:rsid w:val="001C0D5F"/>
    <w:rsid w:val="001C11FB"/>
    <w:rsid w:val="001C154D"/>
    <w:rsid w:val="001C1AF9"/>
    <w:rsid w:val="001C1D73"/>
    <w:rsid w:val="001C1DA1"/>
    <w:rsid w:val="001C1DAA"/>
    <w:rsid w:val="001C2314"/>
    <w:rsid w:val="001C234A"/>
    <w:rsid w:val="001C25D1"/>
    <w:rsid w:val="001C273D"/>
    <w:rsid w:val="001C2A56"/>
    <w:rsid w:val="001C2AB1"/>
    <w:rsid w:val="001C3154"/>
    <w:rsid w:val="001C3208"/>
    <w:rsid w:val="001C3283"/>
    <w:rsid w:val="001C329C"/>
    <w:rsid w:val="001C32BB"/>
    <w:rsid w:val="001C3412"/>
    <w:rsid w:val="001C3551"/>
    <w:rsid w:val="001C35D0"/>
    <w:rsid w:val="001C3612"/>
    <w:rsid w:val="001C36E8"/>
    <w:rsid w:val="001C3DFE"/>
    <w:rsid w:val="001C3F94"/>
    <w:rsid w:val="001C4132"/>
    <w:rsid w:val="001C455E"/>
    <w:rsid w:val="001C472D"/>
    <w:rsid w:val="001C4867"/>
    <w:rsid w:val="001C486F"/>
    <w:rsid w:val="001C4990"/>
    <w:rsid w:val="001C4A4D"/>
    <w:rsid w:val="001C4DD3"/>
    <w:rsid w:val="001C4DD7"/>
    <w:rsid w:val="001C4E10"/>
    <w:rsid w:val="001C4FAC"/>
    <w:rsid w:val="001C512E"/>
    <w:rsid w:val="001C54FC"/>
    <w:rsid w:val="001C568E"/>
    <w:rsid w:val="001C5A7E"/>
    <w:rsid w:val="001C5AFD"/>
    <w:rsid w:val="001C5E89"/>
    <w:rsid w:val="001C5FA9"/>
    <w:rsid w:val="001C607C"/>
    <w:rsid w:val="001C6232"/>
    <w:rsid w:val="001C6365"/>
    <w:rsid w:val="001C64C5"/>
    <w:rsid w:val="001C6634"/>
    <w:rsid w:val="001C6906"/>
    <w:rsid w:val="001C6AF6"/>
    <w:rsid w:val="001C6B45"/>
    <w:rsid w:val="001C6BB3"/>
    <w:rsid w:val="001C6BD3"/>
    <w:rsid w:val="001C6D2D"/>
    <w:rsid w:val="001C6E78"/>
    <w:rsid w:val="001C6EBE"/>
    <w:rsid w:val="001C7657"/>
    <w:rsid w:val="001C774C"/>
    <w:rsid w:val="001D01AE"/>
    <w:rsid w:val="001D01B1"/>
    <w:rsid w:val="001D0578"/>
    <w:rsid w:val="001D05BD"/>
    <w:rsid w:val="001D069C"/>
    <w:rsid w:val="001D091A"/>
    <w:rsid w:val="001D0AA8"/>
    <w:rsid w:val="001D0B10"/>
    <w:rsid w:val="001D0C38"/>
    <w:rsid w:val="001D0C5A"/>
    <w:rsid w:val="001D0C8E"/>
    <w:rsid w:val="001D0DD7"/>
    <w:rsid w:val="001D143D"/>
    <w:rsid w:val="001D14E8"/>
    <w:rsid w:val="001D1748"/>
    <w:rsid w:val="001D1CF5"/>
    <w:rsid w:val="001D1E57"/>
    <w:rsid w:val="001D1E66"/>
    <w:rsid w:val="001D1EEA"/>
    <w:rsid w:val="001D1EF6"/>
    <w:rsid w:val="001D2093"/>
    <w:rsid w:val="001D235C"/>
    <w:rsid w:val="001D2884"/>
    <w:rsid w:val="001D292D"/>
    <w:rsid w:val="001D2AFB"/>
    <w:rsid w:val="001D2B1F"/>
    <w:rsid w:val="001D2BE7"/>
    <w:rsid w:val="001D2C3B"/>
    <w:rsid w:val="001D2EDE"/>
    <w:rsid w:val="001D3277"/>
    <w:rsid w:val="001D348E"/>
    <w:rsid w:val="001D3814"/>
    <w:rsid w:val="001D399D"/>
    <w:rsid w:val="001D4A52"/>
    <w:rsid w:val="001D4EB3"/>
    <w:rsid w:val="001D4F5C"/>
    <w:rsid w:val="001D4FC0"/>
    <w:rsid w:val="001D518D"/>
    <w:rsid w:val="001D5475"/>
    <w:rsid w:val="001D5866"/>
    <w:rsid w:val="001D5B8F"/>
    <w:rsid w:val="001D6233"/>
    <w:rsid w:val="001D6427"/>
    <w:rsid w:val="001D650E"/>
    <w:rsid w:val="001D6880"/>
    <w:rsid w:val="001D69E1"/>
    <w:rsid w:val="001D6DD6"/>
    <w:rsid w:val="001D6E0F"/>
    <w:rsid w:val="001D6F30"/>
    <w:rsid w:val="001D7050"/>
    <w:rsid w:val="001D7082"/>
    <w:rsid w:val="001D70B2"/>
    <w:rsid w:val="001D71EF"/>
    <w:rsid w:val="001D7560"/>
    <w:rsid w:val="001D775D"/>
    <w:rsid w:val="001D7935"/>
    <w:rsid w:val="001D794B"/>
    <w:rsid w:val="001D79C8"/>
    <w:rsid w:val="001D7C5D"/>
    <w:rsid w:val="001D7E01"/>
    <w:rsid w:val="001D7ECB"/>
    <w:rsid w:val="001D7ED9"/>
    <w:rsid w:val="001E01BF"/>
    <w:rsid w:val="001E0346"/>
    <w:rsid w:val="001E03AB"/>
    <w:rsid w:val="001E060F"/>
    <w:rsid w:val="001E06E7"/>
    <w:rsid w:val="001E0AA3"/>
    <w:rsid w:val="001E0F28"/>
    <w:rsid w:val="001E1019"/>
    <w:rsid w:val="001E1091"/>
    <w:rsid w:val="001E12E3"/>
    <w:rsid w:val="001E1589"/>
    <w:rsid w:val="001E1617"/>
    <w:rsid w:val="001E177F"/>
    <w:rsid w:val="001E17C6"/>
    <w:rsid w:val="001E197B"/>
    <w:rsid w:val="001E1AE8"/>
    <w:rsid w:val="001E1B11"/>
    <w:rsid w:val="001E1C39"/>
    <w:rsid w:val="001E1C73"/>
    <w:rsid w:val="001E1FDE"/>
    <w:rsid w:val="001E208D"/>
    <w:rsid w:val="001E2092"/>
    <w:rsid w:val="001E2177"/>
    <w:rsid w:val="001E22B3"/>
    <w:rsid w:val="001E24A0"/>
    <w:rsid w:val="001E24C7"/>
    <w:rsid w:val="001E26FD"/>
    <w:rsid w:val="001E2817"/>
    <w:rsid w:val="001E2A7A"/>
    <w:rsid w:val="001E2AA7"/>
    <w:rsid w:val="001E2B0D"/>
    <w:rsid w:val="001E2B67"/>
    <w:rsid w:val="001E2DF3"/>
    <w:rsid w:val="001E2EF0"/>
    <w:rsid w:val="001E3155"/>
    <w:rsid w:val="001E3239"/>
    <w:rsid w:val="001E325A"/>
    <w:rsid w:val="001E34A5"/>
    <w:rsid w:val="001E3576"/>
    <w:rsid w:val="001E36F9"/>
    <w:rsid w:val="001E379A"/>
    <w:rsid w:val="001E39A0"/>
    <w:rsid w:val="001E3F7C"/>
    <w:rsid w:val="001E4385"/>
    <w:rsid w:val="001E461C"/>
    <w:rsid w:val="001E4796"/>
    <w:rsid w:val="001E47E2"/>
    <w:rsid w:val="001E4812"/>
    <w:rsid w:val="001E4BC6"/>
    <w:rsid w:val="001E4E18"/>
    <w:rsid w:val="001E4E44"/>
    <w:rsid w:val="001E5034"/>
    <w:rsid w:val="001E50C4"/>
    <w:rsid w:val="001E51D8"/>
    <w:rsid w:val="001E53EF"/>
    <w:rsid w:val="001E5461"/>
    <w:rsid w:val="001E54AC"/>
    <w:rsid w:val="001E568D"/>
    <w:rsid w:val="001E56FE"/>
    <w:rsid w:val="001E5738"/>
    <w:rsid w:val="001E5A14"/>
    <w:rsid w:val="001E5FA7"/>
    <w:rsid w:val="001E610E"/>
    <w:rsid w:val="001E628B"/>
    <w:rsid w:val="001E62C8"/>
    <w:rsid w:val="001E6397"/>
    <w:rsid w:val="001E6626"/>
    <w:rsid w:val="001E69F5"/>
    <w:rsid w:val="001E6B1C"/>
    <w:rsid w:val="001E6E65"/>
    <w:rsid w:val="001E6F67"/>
    <w:rsid w:val="001E70B2"/>
    <w:rsid w:val="001E725F"/>
    <w:rsid w:val="001E7274"/>
    <w:rsid w:val="001E76A3"/>
    <w:rsid w:val="001E7842"/>
    <w:rsid w:val="001E7A10"/>
    <w:rsid w:val="001E7C84"/>
    <w:rsid w:val="001E7D33"/>
    <w:rsid w:val="001F0734"/>
    <w:rsid w:val="001F0846"/>
    <w:rsid w:val="001F0989"/>
    <w:rsid w:val="001F09C2"/>
    <w:rsid w:val="001F0AAA"/>
    <w:rsid w:val="001F0D58"/>
    <w:rsid w:val="001F0D7A"/>
    <w:rsid w:val="001F0DBB"/>
    <w:rsid w:val="001F0F41"/>
    <w:rsid w:val="001F115A"/>
    <w:rsid w:val="001F12DF"/>
    <w:rsid w:val="001F1482"/>
    <w:rsid w:val="001F14FB"/>
    <w:rsid w:val="001F1D5B"/>
    <w:rsid w:val="001F20F7"/>
    <w:rsid w:val="001F2213"/>
    <w:rsid w:val="001F22B3"/>
    <w:rsid w:val="001F27AC"/>
    <w:rsid w:val="001F2959"/>
    <w:rsid w:val="001F2D00"/>
    <w:rsid w:val="001F2D41"/>
    <w:rsid w:val="001F35BA"/>
    <w:rsid w:val="001F36EE"/>
    <w:rsid w:val="001F38D3"/>
    <w:rsid w:val="001F3947"/>
    <w:rsid w:val="001F3955"/>
    <w:rsid w:val="001F39BD"/>
    <w:rsid w:val="001F3AD0"/>
    <w:rsid w:val="001F3BB0"/>
    <w:rsid w:val="001F3DD6"/>
    <w:rsid w:val="001F3E25"/>
    <w:rsid w:val="001F3E33"/>
    <w:rsid w:val="001F3E61"/>
    <w:rsid w:val="001F3E8E"/>
    <w:rsid w:val="001F41FF"/>
    <w:rsid w:val="001F4635"/>
    <w:rsid w:val="001F4DFA"/>
    <w:rsid w:val="001F515C"/>
    <w:rsid w:val="001F534D"/>
    <w:rsid w:val="001F580A"/>
    <w:rsid w:val="001F5830"/>
    <w:rsid w:val="001F58B3"/>
    <w:rsid w:val="001F5910"/>
    <w:rsid w:val="001F59CA"/>
    <w:rsid w:val="001F59D4"/>
    <w:rsid w:val="001F5A65"/>
    <w:rsid w:val="001F5B5F"/>
    <w:rsid w:val="001F5CBA"/>
    <w:rsid w:val="001F5D25"/>
    <w:rsid w:val="001F5E2E"/>
    <w:rsid w:val="001F6070"/>
    <w:rsid w:val="001F6206"/>
    <w:rsid w:val="001F6299"/>
    <w:rsid w:val="001F6425"/>
    <w:rsid w:val="001F6788"/>
    <w:rsid w:val="001F67D2"/>
    <w:rsid w:val="001F67FA"/>
    <w:rsid w:val="001F68BE"/>
    <w:rsid w:val="001F6D47"/>
    <w:rsid w:val="001F6E0F"/>
    <w:rsid w:val="001F6F25"/>
    <w:rsid w:val="001F730D"/>
    <w:rsid w:val="001F735C"/>
    <w:rsid w:val="001F736A"/>
    <w:rsid w:val="001F7484"/>
    <w:rsid w:val="001F7564"/>
    <w:rsid w:val="001F78BB"/>
    <w:rsid w:val="001F7A30"/>
    <w:rsid w:val="001F7CD1"/>
    <w:rsid w:val="001F7D7A"/>
    <w:rsid w:val="002000F7"/>
    <w:rsid w:val="002001A3"/>
    <w:rsid w:val="00200201"/>
    <w:rsid w:val="0020038A"/>
    <w:rsid w:val="00200647"/>
    <w:rsid w:val="0020068B"/>
    <w:rsid w:val="002008F0"/>
    <w:rsid w:val="0020092C"/>
    <w:rsid w:val="00200AF3"/>
    <w:rsid w:val="00200B4C"/>
    <w:rsid w:val="00200BE2"/>
    <w:rsid w:val="00200D97"/>
    <w:rsid w:val="00200DD9"/>
    <w:rsid w:val="00201556"/>
    <w:rsid w:val="0020171E"/>
    <w:rsid w:val="002017D2"/>
    <w:rsid w:val="002017E8"/>
    <w:rsid w:val="002019B0"/>
    <w:rsid w:val="00201CEC"/>
    <w:rsid w:val="00201E4B"/>
    <w:rsid w:val="002020FF"/>
    <w:rsid w:val="00202318"/>
    <w:rsid w:val="002023CB"/>
    <w:rsid w:val="00202587"/>
    <w:rsid w:val="0020278F"/>
    <w:rsid w:val="00202A60"/>
    <w:rsid w:val="00202BCA"/>
    <w:rsid w:val="00202C98"/>
    <w:rsid w:val="00202CA1"/>
    <w:rsid w:val="00202CA3"/>
    <w:rsid w:val="00202FA4"/>
    <w:rsid w:val="0020319D"/>
    <w:rsid w:val="0020340B"/>
    <w:rsid w:val="00203507"/>
    <w:rsid w:val="0020357E"/>
    <w:rsid w:val="00203726"/>
    <w:rsid w:val="0020388A"/>
    <w:rsid w:val="00203ACE"/>
    <w:rsid w:val="00203D30"/>
    <w:rsid w:val="00204749"/>
    <w:rsid w:val="0020489B"/>
    <w:rsid w:val="002049CB"/>
    <w:rsid w:val="002049DA"/>
    <w:rsid w:val="00204A75"/>
    <w:rsid w:val="00204C38"/>
    <w:rsid w:val="00204CC3"/>
    <w:rsid w:val="00204DA2"/>
    <w:rsid w:val="0020503D"/>
    <w:rsid w:val="002050ED"/>
    <w:rsid w:val="002051CF"/>
    <w:rsid w:val="002051E7"/>
    <w:rsid w:val="00205437"/>
    <w:rsid w:val="002055D1"/>
    <w:rsid w:val="00205678"/>
    <w:rsid w:val="002056D8"/>
    <w:rsid w:val="002057DE"/>
    <w:rsid w:val="00205A1B"/>
    <w:rsid w:val="00205BCF"/>
    <w:rsid w:val="00205CAC"/>
    <w:rsid w:val="00205CDD"/>
    <w:rsid w:val="00205E6E"/>
    <w:rsid w:val="00206192"/>
    <w:rsid w:val="0020627E"/>
    <w:rsid w:val="00206490"/>
    <w:rsid w:val="00206506"/>
    <w:rsid w:val="002066B5"/>
    <w:rsid w:val="0020686A"/>
    <w:rsid w:val="00206929"/>
    <w:rsid w:val="0020697A"/>
    <w:rsid w:val="00206A4D"/>
    <w:rsid w:val="00206BA1"/>
    <w:rsid w:val="00206C05"/>
    <w:rsid w:val="00206D24"/>
    <w:rsid w:val="00206E55"/>
    <w:rsid w:val="00206EA3"/>
    <w:rsid w:val="00206F06"/>
    <w:rsid w:val="00206FAA"/>
    <w:rsid w:val="002070C0"/>
    <w:rsid w:val="00207115"/>
    <w:rsid w:val="002077CD"/>
    <w:rsid w:val="002078C6"/>
    <w:rsid w:val="00207946"/>
    <w:rsid w:val="002079EF"/>
    <w:rsid w:val="00207A1B"/>
    <w:rsid w:val="00207A9E"/>
    <w:rsid w:val="00207C60"/>
    <w:rsid w:val="00207E88"/>
    <w:rsid w:val="00207ED4"/>
    <w:rsid w:val="00207F6B"/>
    <w:rsid w:val="00207FDB"/>
    <w:rsid w:val="00210A85"/>
    <w:rsid w:val="00210FB0"/>
    <w:rsid w:val="002110DB"/>
    <w:rsid w:val="00211114"/>
    <w:rsid w:val="002111D4"/>
    <w:rsid w:val="002111F1"/>
    <w:rsid w:val="002112A5"/>
    <w:rsid w:val="0021175A"/>
    <w:rsid w:val="00211AD7"/>
    <w:rsid w:val="00211BB7"/>
    <w:rsid w:val="00211C6B"/>
    <w:rsid w:val="00211D1F"/>
    <w:rsid w:val="00212036"/>
    <w:rsid w:val="0021241A"/>
    <w:rsid w:val="00212485"/>
    <w:rsid w:val="002124AF"/>
    <w:rsid w:val="00212687"/>
    <w:rsid w:val="002126E1"/>
    <w:rsid w:val="0021274B"/>
    <w:rsid w:val="0021288D"/>
    <w:rsid w:val="00212FC6"/>
    <w:rsid w:val="002132EE"/>
    <w:rsid w:val="00213372"/>
    <w:rsid w:val="002134BB"/>
    <w:rsid w:val="002136CC"/>
    <w:rsid w:val="002138CA"/>
    <w:rsid w:val="002139DE"/>
    <w:rsid w:val="00213AF2"/>
    <w:rsid w:val="00213D2F"/>
    <w:rsid w:val="00213D77"/>
    <w:rsid w:val="00213FD2"/>
    <w:rsid w:val="00214009"/>
    <w:rsid w:val="002141A2"/>
    <w:rsid w:val="002144D5"/>
    <w:rsid w:val="002147D1"/>
    <w:rsid w:val="00214946"/>
    <w:rsid w:val="00214A5E"/>
    <w:rsid w:val="00214AF0"/>
    <w:rsid w:val="00214B5E"/>
    <w:rsid w:val="00214B87"/>
    <w:rsid w:val="00214CC5"/>
    <w:rsid w:val="00214E30"/>
    <w:rsid w:val="00214F62"/>
    <w:rsid w:val="00214F9E"/>
    <w:rsid w:val="0021512F"/>
    <w:rsid w:val="0021560E"/>
    <w:rsid w:val="00215654"/>
    <w:rsid w:val="00215897"/>
    <w:rsid w:val="00215ADE"/>
    <w:rsid w:val="00215C54"/>
    <w:rsid w:val="00215C93"/>
    <w:rsid w:val="00215DA5"/>
    <w:rsid w:val="00215F04"/>
    <w:rsid w:val="00215FB9"/>
    <w:rsid w:val="00216536"/>
    <w:rsid w:val="00216565"/>
    <w:rsid w:val="002168D7"/>
    <w:rsid w:val="00216AE5"/>
    <w:rsid w:val="00216B7C"/>
    <w:rsid w:val="00216DC5"/>
    <w:rsid w:val="00216E96"/>
    <w:rsid w:val="00217155"/>
    <w:rsid w:val="00217244"/>
    <w:rsid w:val="00217494"/>
    <w:rsid w:val="00217745"/>
    <w:rsid w:val="002177BF"/>
    <w:rsid w:val="002177C7"/>
    <w:rsid w:val="002178CD"/>
    <w:rsid w:val="002178D0"/>
    <w:rsid w:val="00217A8C"/>
    <w:rsid w:val="00217B43"/>
    <w:rsid w:val="00220171"/>
    <w:rsid w:val="002201F3"/>
    <w:rsid w:val="00220240"/>
    <w:rsid w:val="00220263"/>
    <w:rsid w:val="002202AD"/>
    <w:rsid w:val="002203AF"/>
    <w:rsid w:val="00220622"/>
    <w:rsid w:val="00220667"/>
    <w:rsid w:val="002206E1"/>
    <w:rsid w:val="00220909"/>
    <w:rsid w:val="002209EC"/>
    <w:rsid w:val="00220F19"/>
    <w:rsid w:val="00220F79"/>
    <w:rsid w:val="002211DD"/>
    <w:rsid w:val="00221240"/>
    <w:rsid w:val="00221825"/>
    <w:rsid w:val="00221D46"/>
    <w:rsid w:val="00221D51"/>
    <w:rsid w:val="0022208C"/>
    <w:rsid w:val="00222109"/>
    <w:rsid w:val="00222293"/>
    <w:rsid w:val="00222555"/>
    <w:rsid w:val="002225FB"/>
    <w:rsid w:val="002225FE"/>
    <w:rsid w:val="00222675"/>
    <w:rsid w:val="00222760"/>
    <w:rsid w:val="002229BE"/>
    <w:rsid w:val="00222BDE"/>
    <w:rsid w:val="00222CCD"/>
    <w:rsid w:val="0022301E"/>
    <w:rsid w:val="00223329"/>
    <w:rsid w:val="002234CA"/>
    <w:rsid w:val="002236DD"/>
    <w:rsid w:val="002237A4"/>
    <w:rsid w:val="00223807"/>
    <w:rsid w:val="00223A67"/>
    <w:rsid w:val="00223A9D"/>
    <w:rsid w:val="00223C6B"/>
    <w:rsid w:val="00223D86"/>
    <w:rsid w:val="00223DCA"/>
    <w:rsid w:val="00223DF5"/>
    <w:rsid w:val="00223F57"/>
    <w:rsid w:val="00223F9F"/>
    <w:rsid w:val="002240BB"/>
    <w:rsid w:val="002240FC"/>
    <w:rsid w:val="00224249"/>
    <w:rsid w:val="00224549"/>
    <w:rsid w:val="0022479C"/>
    <w:rsid w:val="00224868"/>
    <w:rsid w:val="00224C40"/>
    <w:rsid w:val="00224DCE"/>
    <w:rsid w:val="00224E54"/>
    <w:rsid w:val="00225098"/>
    <w:rsid w:val="00225202"/>
    <w:rsid w:val="0022555B"/>
    <w:rsid w:val="00225839"/>
    <w:rsid w:val="002259D6"/>
    <w:rsid w:val="00225BD2"/>
    <w:rsid w:val="00225C61"/>
    <w:rsid w:val="00225E30"/>
    <w:rsid w:val="002262CE"/>
    <w:rsid w:val="0022635E"/>
    <w:rsid w:val="00226389"/>
    <w:rsid w:val="00226392"/>
    <w:rsid w:val="002265B9"/>
    <w:rsid w:val="0022693C"/>
    <w:rsid w:val="00226B4F"/>
    <w:rsid w:val="00226B83"/>
    <w:rsid w:val="00226CA0"/>
    <w:rsid w:val="00226F39"/>
    <w:rsid w:val="0022711D"/>
    <w:rsid w:val="0022723F"/>
    <w:rsid w:val="0022772C"/>
    <w:rsid w:val="002277CA"/>
    <w:rsid w:val="002277EC"/>
    <w:rsid w:val="00227A47"/>
    <w:rsid w:val="00227AAC"/>
    <w:rsid w:val="00227F99"/>
    <w:rsid w:val="00227FAE"/>
    <w:rsid w:val="0023048C"/>
    <w:rsid w:val="00230688"/>
    <w:rsid w:val="002307EB"/>
    <w:rsid w:val="00230946"/>
    <w:rsid w:val="00230B70"/>
    <w:rsid w:val="00230B71"/>
    <w:rsid w:val="0023113C"/>
    <w:rsid w:val="002311D1"/>
    <w:rsid w:val="0023127C"/>
    <w:rsid w:val="00231420"/>
    <w:rsid w:val="002315F2"/>
    <w:rsid w:val="002316B2"/>
    <w:rsid w:val="002317FF"/>
    <w:rsid w:val="00231C63"/>
    <w:rsid w:val="00231CE6"/>
    <w:rsid w:val="00231D15"/>
    <w:rsid w:val="00231F66"/>
    <w:rsid w:val="0023202A"/>
    <w:rsid w:val="002322ED"/>
    <w:rsid w:val="00232614"/>
    <w:rsid w:val="002328CC"/>
    <w:rsid w:val="00232A8F"/>
    <w:rsid w:val="00232AA4"/>
    <w:rsid w:val="00232C68"/>
    <w:rsid w:val="00232F6E"/>
    <w:rsid w:val="00233603"/>
    <w:rsid w:val="0023364E"/>
    <w:rsid w:val="00233CC9"/>
    <w:rsid w:val="00233E16"/>
    <w:rsid w:val="00233E6F"/>
    <w:rsid w:val="00233F1D"/>
    <w:rsid w:val="00233FBC"/>
    <w:rsid w:val="00234114"/>
    <w:rsid w:val="002341A9"/>
    <w:rsid w:val="002342CB"/>
    <w:rsid w:val="00234328"/>
    <w:rsid w:val="002343ED"/>
    <w:rsid w:val="00234496"/>
    <w:rsid w:val="002344B3"/>
    <w:rsid w:val="0023499F"/>
    <w:rsid w:val="00234ABF"/>
    <w:rsid w:val="00234DEB"/>
    <w:rsid w:val="00234F9D"/>
    <w:rsid w:val="0023500E"/>
    <w:rsid w:val="00235C05"/>
    <w:rsid w:val="00235CA4"/>
    <w:rsid w:val="00235DDC"/>
    <w:rsid w:val="00235EAD"/>
    <w:rsid w:val="00235F32"/>
    <w:rsid w:val="0023602C"/>
    <w:rsid w:val="0023623D"/>
    <w:rsid w:val="00236398"/>
    <w:rsid w:val="00236763"/>
    <w:rsid w:val="002367CD"/>
    <w:rsid w:val="00236858"/>
    <w:rsid w:val="002368F5"/>
    <w:rsid w:val="00236B5B"/>
    <w:rsid w:val="00236CC4"/>
    <w:rsid w:val="00236DAB"/>
    <w:rsid w:val="00236DE1"/>
    <w:rsid w:val="00236E33"/>
    <w:rsid w:val="00236F5A"/>
    <w:rsid w:val="00236F6D"/>
    <w:rsid w:val="00236F76"/>
    <w:rsid w:val="0023730B"/>
    <w:rsid w:val="002374C6"/>
    <w:rsid w:val="002378D1"/>
    <w:rsid w:val="00237E01"/>
    <w:rsid w:val="002401DD"/>
    <w:rsid w:val="002402A4"/>
    <w:rsid w:val="00240A84"/>
    <w:rsid w:val="00240AA7"/>
    <w:rsid w:val="00240B6B"/>
    <w:rsid w:val="00240C43"/>
    <w:rsid w:val="00240EA5"/>
    <w:rsid w:val="002410A6"/>
    <w:rsid w:val="002411DD"/>
    <w:rsid w:val="002411F2"/>
    <w:rsid w:val="002413B3"/>
    <w:rsid w:val="002413D4"/>
    <w:rsid w:val="002413DF"/>
    <w:rsid w:val="00241A31"/>
    <w:rsid w:val="00241B0B"/>
    <w:rsid w:val="00241B24"/>
    <w:rsid w:val="00241B4E"/>
    <w:rsid w:val="00241B79"/>
    <w:rsid w:val="00241CFF"/>
    <w:rsid w:val="00241D9E"/>
    <w:rsid w:val="00241F18"/>
    <w:rsid w:val="0024209E"/>
    <w:rsid w:val="00242268"/>
    <w:rsid w:val="00242631"/>
    <w:rsid w:val="002427D6"/>
    <w:rsid w:val="00242BEA"/>
    <w:rsid w:val="00242F52"/>
    <w:rsid w:val="002431F0"/>
    <w:rsid w:val="00243947"/>
    <w:rsid w:val="002439FD"/>
    <w:rsid w:val="00243ADE"/>
    <w:rsid w:val="00243CAD"/>
    <w:rsid w:val="00243CB9"/>
    <w:rsid w:val="00243D74"/>
    <w:rsid w:val="00243D9E"/>
    <w:rsid w:val="00244054"/>
    <w:rsid w:val="00244129"/>
    <w:rsid w:val="002445DF"/>
    <w:rsid w:val="00244943"/>
    <w:rsid w:val="002449D6"/>
    <w:rsid w:val="00244A60"/>
    <w:rsid w:val="00244A6C"/>
    <w:rsid w:val="00244D17"/>
    <w:rsid w:val="00244FD7"/>
    <w:rsid w:val="002452A9"/>
    <w:rsid w:val="00245419"/>
    <w:rsid w:val="0024559A"/>
    <w:rsid w:val="00245633"/>
    <w:rsid w:val="00245635"/>
    <w:rsid w:val="00245685"/>
    <w:rsid w:val="002458D9"/>
    <w:rsid w:val="002459B1"/>
    <w:rsid w:val="00245CB1"/>
    <w:rsid w:val="00245D26"/>
    <w:rsid w:val="00245E0F"/>
    <w:rsid w:val="00245E11"/>
    <w:rsid w:val="00245E3C"/>
    <w:rsid w:val="00246449"/>
    <w:rsid w:val="00246CAE"/>
    <w:rsid w:val="00247360"/>
    <w:rsid w:val="00247B65"/>
    <w:rsid w:val="00247C31"/>
    <w:rsid w:val="00247E5E"/>
    <w:rsid w:val="00247F4C"/>
    <w:rsid w:val="00247FAC"/>
    <w:rsid w:val="002501A0"/>
    <w:rsid w:val="0025026E"/>
    <w:rsid w:val="0025057E"/>
    <w:rsid w:val="002505C6"/>
    <w:rsid w:val="0025065A"/>
    <w:rsid w:val="002509B7"/>
    <w:rsid w:val="00250F74"/>
    <w:rsid w:val="00250FA1"/>
    <w:rsid w:val="002513FC"/>
    <w:rsid w:val="00251609"/>
    <w:rsid w:val="002516E2"/>
    <w:rsid w:val="00251822"/>
    <w:rsid w:val="002518D4"/>
    <w:rsid w:val="00251A36"/>
    <w:rsid w:val="00251BD6"/>
    <w:rsid w:val="00251DE3"/>
    <w:rsid w:val="00251F14"/>
    <w:rsid w:val="0025210C"/>
    <w:rsid w:val="002521A1"/>
    <w:rsid w:val="00252209"/>
    <w:rsid w:val="00252245"/>
    <w:rsid w:val="002523A0"/>
    <w:rsid w:val="0025269C"/>
    <w:rsid w:val="0025272A"/>
    <w:rsid w:val="00252744"/>
    <w:rsid w:val="002529B8"/>
    <w:rsid w:val="00252A1E"/>
    <w:rsid w:val="00252A7A"/>
    <w:rsid w:val="00252BD6"/>
    <w:rsid w:val="00252F4F"/>
    <w:rsid w:val="0025324E"/>
    <w:rsid w:val="00253398"/>
    <w:rsid w:val="002533B5"/>
    <w:rsid w:val="002535F1"/>
    <w:rsid w:val="0025371A"/>
    <w:rsid w:val="0025377D"/>
    <w:rsid w:val="0025398F"/>
    <w:rsid w:val="00253B05"/>
    <w:rsid w:val="00253CF7"/>
    <w:rsid w:val="00253D11"/>
    <w:rsid w:val="0025423D"/>
    <w:rsid w:val="002542A2"/>
    <w:rsid w:val="002543A9"/>
    <w:rsid w:val="0025446F"/>
    <w:rsid w:val="00254B1F"/>
    <w:rsid w:val="00254B7F"/>
    <w:rsid w:val="00254C78"/>
    <w:rsid w:val="00254FEA"/>
    <w:rsid w:val="002550B6"/>
    <w:rsid w:val="002551DD"/>
    <w:rsid w:val="00255384"/>
    <w:rsid w:val="002553AC"/>
    <w:rsid w:val="0025575B"/>
    <w:rsid w:val="0025576B"/>
    <w:rsid w:val="00255850"/>
    <w:rsid w:val="0025595E"/>
    <w:rsid w:val="002559A5"/>
    <w:rsid w:val="002559E7"/>
    <w:rsid w:val="00255A57"/>
    <w:rsid w:val="00255B91"/>
    <w:rsid w:val="00255C20"/>
    <w:rsid w:val="00255C2F"/>
    <w:rsid w:val="0025615D"/>
    <w:rsid w:val="00256224"/>
    <w:rsid w:val="00256304"/>
    <w:rsid w:val="002563C5"/>
    <w:rsid w:val="0025661E"/>
    <w:rsid w:val="00256855"/>
    <w:rsid w:val="002568BC"/>
    <w:rsid w:val="00256A0F"/>
    <w:rsid w:val="00256AAC"/>
    <w:rsid w:val="00256AFC"/>
    <w:rsid w:val="00256B6F"/>
    <w:rsid w:val="00256BBD"/>
    <w:rsid w:val="00256C52"/>
    <w:rsid w:val="00256E53"/>
    <w:rsid w:val="00256E9B"/>
    <w:rsid w:val="00256F81"/>
    <w:rsid w:val="00256FAA"/>
    <w:rsid w:val="00256FD6"/>
    <w:rsid w:val="002573B1"/>
    <w:rsid w:val="0025748D"/>
    <w:rsid w:val="002574EC"/>
    <w:rsid w:val="002575A1"/>
    <w:rsid w:val="002576DA"/>
    <w:rsid w:val="0025777C"/>
    <w:rsid w:val="00257A33"/>
    <w:rsid w:val="00257AC8"/>
    <w:rsid w:val="00257B37"/>
    <w:rsid w:val="00257BB5"/>
    <w:rsid w:val="00257C72"/>
    <w:rsid w:val="00257F4F"/>
    <w:rsid w:val="00257F62"/>
    <w:rsid w:val="0026019E"/>
    <w:rsid w:val="002603D4"/>
    <w:rsid w:val="002604EF"/>
    <w:rsid w:val="00260812"/>
    <w:rsid w:val="00260B20"/>
    <w:rsid w:val="00260B4F"/>
    <w:rsid w:val="00260C6A"/>
    <w:rsid w:val="00260DC4"/>
    <w:rsid w:val="00260EF1"/>
    <w:rsid w:val="002612F7"/>
    <w:rsid w:val="0026158B"/>
    <w:rsid w:val="00261703"/>
    <w:rsid w:val="002619A0"/>
    <w:rsid w:val="00261AAB"/>
    <w:rsid w:val="00261C2D"/>
    <w:rsid w:val="00261F70"/>
    <w:rsid w:val="002620C8"/>
    <w:rsid w:val="00262129"/>
    <w:rsid w:val="0026215B"/>
    <w:rsid w:val="002621C0"/>
    <w:rsid w:val="0026221E"/>
    <w:rsid w:val="0026224C"/>
    <w:rsid w:val="002622BC"/>
    <w:rsid w:val="002622CB"/>
    <w:rsid w:val="002623A3"/>
    <w:rsid w:val="002628D6"/>
    <w:rsid w:val="0026297A"/>
    <w:rsid w:val="00262AC3"/>
    <w:rsid w:val="00262AF3"/>
    <w:rsid w:val="00262BD8"/>
    <w:rsid w:val="00262C12"/>
    <w:rsid w:val="00262C66"/>
    <w:rsid w:val="00262C9B"/>
    <w:rsid w:val="00262D5F"/>
    <w:rsid w:val="00262D6C"/>
    <w:rsid w:val="00262E23"/>
    <w:rsid w:val="00262E65"/>
    <w:rsid w:val="0026327E"/>
    <w:rsid w:val="00263391"/>
    <w:rsid w:val="0026340C"/>
    <w:rsid w:val="00263425"/>
    <w:rsid w:val="0026348C"/>
    <w:rsid w:val="002634C4"/>
    <w:rsid w:val="0026353D"/>
    <w:rsid w:val="002636F6"/>
    <w:rsid w:val="002639EC"/>
    <w:rsid w:val="00263A8F"/>
    <w:rsid w:val="00263C77"/>
    <w:rsid w:val="00263F78"/>
    <w:rsid w:val="00264201"/>
    <w:rsid w:val="002643F8"/>
    <w:rsid w:val="0026456A"/>
    <w:rsid w:val="00264659"/>
    <w:rsid w:val="002649D9"/>
    <w:rsid w:val="00264CF2"/>
    <w:rsid w:val="00264F0F"/>
    <w:rsid w:val="00264FA7"/>
    <w:rsid w:val="00264FB2"/>
    <w:rsid w:val="00264FEF"/>
    <w:rsid w:val="0026509D"/>
    <w:rsid w:val="0026521A"/>
    <w:rsid w:val="00265615"/>
    <w:rsid w:val="00265760"/>
    <w:rsid w:val="002658F8"/>
    <w:rsid w:val="00265977"/>
    <w:rsid w:val="00265A27"/>
    <w:rsid w:val="00265ACF"/>
    <w:rsid w:val="00265C83"/>
    <w:rsid w:val="00265FD2"/>
    <w:rsid w:val="00266030"/>
    <w:rsid w:val="0026652E"/>
    <w:rsid w:val="00266607"/>
    <w:rsid w:val="002667BB"/>
    <w:rsid w:val="002669A6"/>
    <w:rsid w:val="00266B5A"/>
    <w:rsid w:val="00266C01"/>
    <w:rsid w:val="00266F0E"/>
    <w:rsid w:val="002670AF"/>
    <w:rsid w:val="00267574"/>
    <w:rsid w:val="0026787A"/>
    <w:rsid w:val="00267AEB"/>
    <w:rsid w:val="00267B38"/>
    <w:rsid w:val="00267B7D"/>
    <w:rsid w:val="00267E58"/>
    <w:rsid w:val="00267F3F"/>
    <w:rsid w:val="00270073"/>
    <w:rsid w:val="002700CF"/>
    <w:rsid w:val="00270103"/>
    <w:rsid w:val="00270404"/>
    <w:rsid w:val="00270520"/>
    <w:rsid w:val="00270AF0"/>
    <w:rsid w:val="00270B7F"/>
    <w:rsid w:val="00270DB2"/>
    <w:rsid w:val="0027133B"/>
    <w:rsid w:val="0027139A"/>
    <w:rsid w:val="00271481"/>
    <w:rsid w:val="002714DB"/>
    <w:rsid w:val="002715FE"/>
    <w:rsid w:val="0027169A"/>
    <w:rsid w:val="00271841"/>
    <w:rsid w:val="0027194E"/>
    <w:rsid w:val="00271CAF"/>
    <w:rsid w:val="00271FCA"/>
    <w:rsid w:val="00272046"/>
    <w:rsid w:val="00272222"/>
    <w:rsid w:val="002722DC"/>
    <w:rsid w:val="0027233E"/>
    <w:rsid w:val="0027234D"/>
    <w:rsid w:val="002723E0"/>
    <w:rsid w:val="00272585"/>
    <w:rsid w:val="0027266C"/>
    <w:rsid w:val="00272BEF"/>
    <w:rsid w:val="00272EF4"/>
    <w:rsid w:val="00272EFA"/>
    <w:rsid w:val="0027313B"/>
    <w:rsid w:val="0027320A"/>
    <w:rsid w:val="002733BC"/>
    <w:rsid w:val="00273423"/>
    <w:rsid w:val="00273555"/>
    <w:rsid w:val="00273558"/>
    <w:rsid w:val="00273597"/>
    <w:rsid w:val="00273656"/>
    <w:rsid w:val="00273E6C"/>
    <w:rsid w:val="00274054"/>
    <w:rsid w:val="002741A6"/>
    <w:rsid w:val="00274491"/>
    <w:rsid w:val="002747E0"/>
    <w:rsid w:val="00274886"/>
    <w:rsid w:val="00274A38"/>
    <w:rsid w:val="00274A78"/>
    <w:rsid w:val="00274C32"/>
    <w:rsid w:val="00274DEB"/>
    <w:rsid w:val="00274F55"/>
    <w:rsid w:val="00275330"/>
    <w:rsid w:val="00275377"/>
    <w:rsid w:val="00275499"/>
    <w:rsid w:val="002755B0"/>
    <w:rsid w:val="0027566E"/>
    <w:rsid w:val="00275BAE"/>
    <w:rsid w:val="002761B9"/>
    <w:rsid w:val="00276353"/>
    <w:rsid w:val="0027637B"/>
    <w:rsid w:val="00276523"/>
    <w:rsid w:val="002765DB"/>
    <w:rsid w:val="00276688"/>
    <w:rsid w:val="00276B43"/>
    <w:rsid w:val="00276C4F"/>
    <w:rsid w:val="00276D28"/>
    <w:rsid w:val="00276D3A"/>
    <w:rsid w:val="00276D9E"/>
    <w:rsid w:val="00276E5C"/>
    <w:rsid w:val="00276EFF"/>
    <w:rsid w:val="00276FA1"/>
    <w:rsid w:val="00277071"/>
    <w:rsid w:val="0027766E"/>
    <w:rsid w:val="0027772D"/>
    <w:rsid w:val="00277857"/>
    <w:rsid w:val="00277A36"/>
    <w:rsid w:val="00277A53"/>
    <w:rsid w:val="00277B8B"/>
    <w:rsid w:val="00277CC4"/>
    <w:rsid w:val="00280018"/>
    <w:rsid w:val="00280472"/>
    <w:rsid w:val="002805F8"/>
    <w:rsid w:val="0028082B"/>
    <w:rsid w:val="00280E97"/>
    <w:rsid w:val="0028147F"/>
    <w:rsid w:val="0028158B"/>
    <w:rsid w:val="00281ABD"/>
    <w:rsid w:val="00281C35"/>
    <w:rsid w:val="00281D89"/>
    <w:rsid w:val="002823F1"/>
    <w:rsid w:val="002825FC"/>
    <w:rsid w:val="002826C7"/>
    <w:rsid w:val="002827F3"/>
    <w:rsid w:val="00282D9D"/>
    <w:rsid w:val="00282DE3"/>
    <w:rsid w:val="00282F0E"/>
    <w:rsid w:val="0028307D"/>
    <w:rsid w:val="00283306"/>
    <w:rsid w:val="002836CA"/>
    <w:rsid w:val="00283710"/>
    <w:rsid w:val="002837CF"/>
    <w:rsid w:val="00283849"/>
    <w:rsid w:val="00283857"/>
    <w:rsid w:val="002838C2"/>
    <w:rsid w:val="00283B02"/>
    <w:rsid w:val="00283B25"/>
    <w:rsid w:val="00283BF1"/>
    <w:rsid w:val="00283E98"/>
    <w:rsid w:val="002842B9"/>
    <w:rsid w:val="0028447D"/>
    <w:rsid w:val="0028459F"/>
    <w:rsid w:val="00284696"/>
    <w:rsid w:val="002846D9"/>
    <w:rsid w:val="00284729"/>
    <w:rsid w:val="0028475D"/>
    <w:rsid w:val="002847C1"/>
    <w:rsid w:val="00284840"/>
    <w:rsid w:val="00284BC3"/>
    <w:rsid w:val="00284CFC"/>
    <w:rsid w:val="00284FFB"/>
    <w:rsid w:val="0028535A"/>
    <w:rsid w:val="002854EB"/>
    <w:rsid w:val="002857E9"/>
    <w:rsid w:val="00285946"/>
    <w:rsid w:val="00285A2D"/>
    <w:rsid w:val="00285A9B"/>
    <w:rsid w:val="00285CC2"/>
    <w:rsid w:val="00286130"/>
    <w:rsid w:val="0028614D"/>
    <w:rsid w:val="00286349"/>
    <w:rsid w:val="0028657F"/>
    <w:rsid w:val="002868E4"/>
    <w:rsid w:val="00286A6B"/>
    <w:rsid w:val="00286E5E"/>
    <w:rsid w:val="0028708D"/>
    <w:rsid w:val="002870A5"/>
    <w:rsid w:val="00287128"/>
    <w:rsid w:val="00287132"/>
    <w:rsid w:val="0028735F"/>
    <w:rsid w:val="00287440"/>
    <w:rsid w:val="0028761F"/>
    <w:rsid w:val="00287708"/>
    <w:rsid w:val="00287B08"/>
    <w:rsid w:val="00287E49"/>
    <w:rsid w:val="00290601"/>
    <w:rsid w:val="0029063C"/>
    <w:rsid w:val="00290B70"/>
    <w:rsid w:val="00290FD6"/>
    <w:rsid w:val="00291396"/>
    <w:rsid w:val="002918CD"/>
    <w:rsid w:val="00291A97"/>
    <w:rsid w:val="00291D05"/>
    <w:rsid w:val="00291E3D"/>
    <w:rsid w:val="00291F6D"/>
    <w:rsid w:val="002920FB"/>
    <w:rsid w:val="002924FD"/>
    <w:rsid w:val="002925AD"/>
    <w:rsid w:val="00292771"/>
    <w:rsid w:val="0029284C"/>
    <w:rsid w:val="002928DF"/>
    <w:rsid w:val="002928E6"/>
    <w:rsid w:val="0029292D"/>
    <w:rsid w:val="00292A83"/>
    <w:rsid w:val="00292D94"/>
    <w:rsid w:val="00292EA9"/>
    <w:rsid w:val="002930B2"/>
    <w:rsid w:val="0029358A"/>
    <w:rsid w:val="00293715"/>
    <w:rsid w:val="00293944"/>
    <w:rsid w:val="00293A84"/>
    <w:rsid w:val="00293E10"/>
    <w:rsid w:val="00293E80"/>
    <w:rsid w:val="002940EE"/>
    <w:rsid w:val="0029426E"/>
    <w:rsid w:val="002942BF"/>
    <w:rsid w:val="00294A6E"/>
    <w:rsid w:val="002955F7"/>
    <w:rsid w:val="0029572A"/>
    <w:rsid w:val="00295753"/>
    <w:rsid w:val="00295811"/>
    <w:rsid w:val="002959F4"/>
    <w:rsid w:val="00295A80"/>
    <w:rsid w:val="00295AB5"/>
    <w:rsid w:val="00295BB2"/>
    <w:rsid w:val="00295D1A"/>
    <w:rsid w:val="00295DF8"/>
    <w:rsid w:val="00295ED5"/>
    <w:rsid w:val="00296002"/>
    <w:rsid w:val="0029602D"/>
    <w:rsid w:val="00296032"/>
    <w:rsid w:val="00296167"/>
    <w:rsid w:val="002967B4"/>
    <w:rsid w:val="002968D3"/>
    <w:rsid w:val="00296A87"/>
    <w:rsid w:val="00296E0F"/>
    <w:rsid w:val="002970A4"/>
    <w:rsid w:val="002971D4"/>
    <w:rsid w:val="00297238"/>
    <w:rsid w:val="0029762B"/>
    <w:rsid w:val="002976FF"/>
    <w:rsid w:val="00297790"/>
    <w:rsid w:val="00297887"/>
    <w:rsid w:val="00297D21"/>
    <w:rsid w:val="00297F85"/>
    <w:rsid w:val="002A013B"/>
    <w:rsid w:val="002A0167"/>
    <w:rsid w:val="002A0194"/>
    <w:rsid w:val="002A0211"/>
    <w:rsid w:val="002A03F0"/>
    <w:rsid w:val="002A082D"/>
    <w:rsid w:val="002A0973"/>
    <w:rsid w:val="002A0AC0"/>
    <w:rsid w:val="002A0B07"/>
    <w:rsid w:val="002A0B2C"/>
    <w:rsid w:val="002A0CE4"/>
    <w:rsid w:val="002A10A0"/>
    <w:rsid w:val="002A1281"/>
    <w:rsid w:val="002A14DC"/>
    <w:rsid w:val="002A15D4"/>
    <w:rsid w:val="002A172F"/>
    <w:rsid w:val="002A181E"/>
    <w:rsid w:val="002A19C3"/>
    <w:rsid w:val="002A1D3E"/>
    <w:rsid w:val="002A1EC2"/>
    <w:rsid w:val="002A20B3"/>
    <w:rsid w:val="002A216C"/>
    <w:rsid w:val="002A29BB"/>
    <w:rsid w:val="002A2A02"/>
    <w:rsid w:val="002A2AC4"/>
    <w:rsid w:val="002A2D89"/>
    <w:rsid w:val="002A2E44"/>
    <w:rsid w:val="002A2FBE"/>
    <w:rsid w:val="002A30C8"/>
    <w:rsid w:val="002A31B0"/>
    <w:rsid w:val="002A343B"/>
    <w:rsid w:val="002A344F"/>
    <w:rsid w:val="002A37AD"/>
    <w:rsid w:val="002A3837"/>
    <w:rsid w:val="002A38BE"/>
    <w:rsid w:val="002A3B02"/>
    <w:rsid w:val="002A3B66"/>
    <w:rsid w:val="002A3C08"/>
    <w:rsid w:val="002A3D79"/>
    <w:rsid w:val="002A40F2"/>
    <w:rsid w:val="002A4109"/>
    <w:rsid w:val="002A4268"/>
    <w:rsid w:val="002A4303"/>
    <w:rsid w:val="002A4450"/>
    <w:rsid w:val="002A44E6"/>
    <w:rsid w:val="002A45EB"/>
    <w:rsid w:val="002A4ADF"/>
    <w:rsid w:val="002A4EF4"/>
    <w:rsid w:val="002A4F69"/>
    <w:rsid w:val="002A500C"/>
    <w:rsid w:val="002A503D"/>
    <w:rsid w:val="002A5096"/>
    <w:rsid w:val="002A558D"/>
    <w:rsid w:val="002A55AF"/>
    <w:rsid w:val="002A5A5B"/>
    <w:rsid w:val="002A5B07"/>
    <w:rsid w:val="002A5BEE"/>
    <w:rsid w:val="002A5C31"/>
    <w:rsid w:val="002A5C87"/>
    <w:rsid w:val="002A5EA0"/>
    <w:rsid w:val="002A5F0C"/>
    <w:rsid w:val="002A6022"/>
    <w:rsid w:val="002A6059"/>
    <w:rsid w:val="002A6078"/>
    <w:rsid w:val="002A6368"/>
    <w:rsid w:val="002A656F"/>
    <w:rsid w:val="002A6AB4"/>
    <w:rsid w:val="002A6B73"/>
    <w:rsid w:val="002A6CE6"/>
    <w:rsid w:val="002A6D5B"/>
    <w:rsid w:val="002A6D81"/>
    <w:rsid w:val="002A719C"/>
    <w:rsid w:val="002A77DA"/>
    <w:rsid w:val="002A7A12"/>
    <w:rsid w:val="002A7A40"/>
    <w:rsid w:val="002A7B91"/>
    <w:rsid w:val="002A7D1C"/>
    <w:rsid w:val="002A7DE7"/>
    <w:rsid w:val="002A7FCC"/>
    <w:rsid w:val="002B01AF"/>
    <w:rsid w:val="002B01CD"/>
    <w:rsid w:val="002B030B"/>
    <w:rsid w:val="002B04D7"/>
    <w:rsid w:val="002B055A"/>
    <w:rsid w:val="002B05F6"/>
    <w:rsid w:val="002B07F9"/>
    <w:rsid w:val="002B08E1"/>
    <w:rsid w:val="002B0DE8"/>
    <w:rsid w:val="002B0E9D"/>
    <w:rsid w:val="002B0FBE"/>
    <w:rsid w:val="002B1252"/>
    <w:rsid w:val="002B15E5"/>
    <w:rsid w:val="002B1674"/>
    <w:rsid w:val="002B1958"/>
    <w:rsid w:val="002B1A7A"/>
    <w:rsid w:val="002B1D2E"/>
    <w:rsid w:val="002B1DE8"/>
    <w:rsid w:val="002B1EB0"/>
    <w:rsid w:val="002B240F"/>
    <w:rsid w:val="002B247D"/>
    <w:rsid w:val="002B26BC"/>
    <w:rsid w:val="002B292F"/>
    <w:rsid w:val="002B305F"/>
    <w:rsid w:val="002B3133"/>
    <w:rsid w:val="002B31AF"/>
    <w:rsid w:val="002B362D"/>
    <w:rsid w:val="002B3A94"/>
    <w:rsid w:val="002B3D1E"/>
    <w:rsid w:val="002B3F14"/>
    <w:rsid w:val="002B4056"/>
    <w:rsid w:val="002B4164"/>
    <w:rsid w:val="002B440F"/>
    <w:rsid w:val="002B4417"/>
    <w:rsid w:val="002B4712"/>
    <w:rsid w:val="002B4830"/>
    <w:rsid w:val="002B4AB0"/>
    <w:rsid w:val="002B4BF0"/>
    <w:rsid w:val="002B4E9D"/>
    <w:rsid w:val="002B4FD8"/>
    <w:rsid w:val="002B502A"/>
    <w:rsid w:val="002B505C"/>
    <w:rsid w:val="002B515C"/>
    <w:rsid w:val="002B51B6"/>
    <w:rsid w:val="002B51F4"/>
    <w:rsid w:val="002B55A8"/>
    <w:rsid w:val="002B5677"/>
    <w:rsid w:val="002B56CC"/>
    <w:rsid w:val="002B5A4C"/>
    <w:rsid w:val="002B5AD6"/>
    <w:rsid w:val="002B5BC3"/>
    <w:rsid w:val="002B5D05"/>
    <w:rsid w:val="002B60F1"/>
    <w:rsid w:val="002B63DC"/>
    <w:rsid w:val="002B6583"/>
    <w:rsid w:val="002B69B9"/>
    <w:rsid w:val="002B6E79"/>
    <w:rsid w:val="002B6EC7"/>
    <w:rsid w:val="002B6FC4"/>
    <w:rsid w:val="002B7057"/>
    <w:rsid w:val="002B70CE"/>
    <w:rsid w:val="002B70D7"/>
    <w:rsid w:val="002B72BE"/>
    <w:rsid w:val="002B735E"/>
    <w:rsid w:val="002B7742"/>
    <w:rsid w:val="002B7CEB"/>
    <w:rsid w:val="002B7F3C"/>
    <w:rsid w:val="002B7F84"/>
    <w:rsid w:val="002C00BD"/>
    <w:rsid w:val="002C0234"/>
    <w:rsid w:val="002C0379"/>
    <w:rsid w:val="002C0394"/>
    <w:rsid w:val="002C06B0"/>
    <w:rsid w:val="002C0904"/>
    <w:rsid w:val="002C0AD4"/>
    <w:rsid w:val="002C0AFC"/>
    <w:rsid w:val="002C0AFF"/>
    <w:rsid w:val="002C0BD3"/>
    <w:rsid w:val="002C0CEC"/>
    <w:rsid w:val="002C0E2E"/>
    <w:rsid w:val="002C0EA9"/>
    <w:rsid w:val="002C1015"/>
    <w:rsid w:val="002C10E5"/>
    <w:rsid w:val="002C14C4"/>
    <w:rsid w:val="002C150C"/>
    <w:rsid w:val="002C1584"/>
    <w:rsid w:val="002C158A"/>
    <w:rsid w:val="002C1735"/>
    <w:rsid w:val="002C2232"/>
    <w:rsid w:val="002C23D2"/>
    <w:rsid w:val="002C2457"/>
    <w:rsid w:val="002C26BE"/>
    <w:rsid w:val="002C275F"/>
    <w:rsid w:val="002C2764"/>
    <w:rsid w:val="002C281D"/>
    <w:rsid w:val="002C31D2"/>
    <w:rsid w:val="002C32C9"/>
    <w:rsid w:val="002C333D"/>
    <w:rsid w:val="002C3501"/>
    <w:rsid w:val="002C36D0"/>
    <w:rsid w:val="002C386B"/>
    <w:rsid w:val="002C3B9F"/>
    <w:rsid w:val="002C3E53"/>
    <w:rsid w:val="002C4102"/>
    <w:rsid w:val="002C414F"/>
    <w:rsid w:val="002C46C1"/>
    <w:rsid w:val="002C49F9"/>
    <w:rsid w:val="002C4B81"/>
    <w:rsid w:val="002C4C69"/>
    <w:rsid w:val="002C4D78"/>
    <w:rsid w:val="002C5037"/>
    <w:rsid w:val="002C520D"/>
    <w:rsid w:val="002C587E"/>
    <w:rsid w:val="002C5D36"/>
    <w:rsid w:val="002C5E1E"/>
    <w:rsid w:val="002C5EDB"/>
    <w:rsid w:val="002C5FE6"/>
    <w:rsid w:val="002C601B"/>
    <w:rsid w:val="002C62DD"/>
    <w:rsid w:val="002C6542"/>
    <w:rsid w:val="002C6595"/>
    <w:rsid w:val="002C6603"/>
    <w:rsid w:val="002C6613"/>
    <w:rsid w:val="002C6BA4"/>
    <w:rsid w:val="002C6F7F"/>
    <w:rsid w:val="002C7046"/>
    <w:rsid w:val="002C71CE"/>
    <w:rsid w:val="002C7315"/>
    <w:rsid w:val="002C784A"/>
    <w:rsid w:val="002C790E"/>
    <w:rsid w:val="002C79D0"/>
    <w:rsid w:val="002C7B7D"/>
    <w:rsid w:val="002C7B86"/>
    <w:rsid w:val="002D0001"/>
    <w:rsid w:val="002D035A"/>
    <w:rsid w:val="002D0595"/>
    <w:rsid w:val="002D05F5"/>
    <w:rsid w:val="002D0911"/>
    <w:rsid w:val="002D0A09"/>
    <w:rsid w:val="002D0A72"/>
    <w:rsid w:val="002D0BBF"/>
    <w:rsid w:val="002D12D0"/>
    <w:rsid w:val="002D1669"/>
    <w:rsid w:val="002D1849"/>
    <w:rsid w:val="002D1871"/>
    <w:rsid w:val="002D19BA"/>
    <w:rsid w:val="002D1AC6"/>
    <w:rsid w:val="002D1D82"/>
    <w:rsid w:val="002D1E0B"/>
    <w:rsid w:val="002D1E18"/>
    <w:rsid w:val="002D1E85"/>
    <w:rsid w:val="002D1EC2"/>
    <w:rsid w:val="002D2144"/>
    <w:rsid w:val="002D217D"/>
    <w:rsid w:val="002D2247"/>
    <w:rsid w:val="002D2809"/>
    <w:rsid w:val="002D28B1"/>
    <w:rsid w:val="002D28E4"/>
    <w:rsid w:val="002D2B5C"/>
    <w:rsid w:val="002D2C8E"/>
    <w:rsid w:val="002D2CDA"/>
    <w:rsid w:val="002D3533"/>
    <w:rsid w:val="002D365F"/>
    <w:rsid w:val="002D36C7"/>
    <w:rsid w:val="002D388C"/>
    <w:rsid w:val="002D3929"/>
    <w:rsid w:val="002D3949"/>
    <w:rsid w:val="002D394B"/>
    <w:rsid w:val="002D39D2"/>
    <w:rsid w:val="002D3CCA"/>
    <w:rsid w:val="002D3D5E"/>
    <w:rsid w:val="002D421B"/>
    <w:rsid w:val="002D469C"/>
    <w:rsid w:val="002D4898"/>
    <w:rsid w:val="002D49C0"/>
    <w:rsid w:val="002D49E8"/>
    <w:rsid w:val="002D4F34"/>
    <w:rsid w:val="002D4F38"/>
    <w:rsid w:val="002D4FF7"/>
    <w:rsid w:val="002D53A1"/>
    <w:rsid w:val="002D5742"/>
    <w:rsid w:val="002D5806"/>
    <w:rsid w:val="002D58A7"/>
    <w:rsid w:val="002D5C87"/>
    <w:rsid w:val="002D6127"/>
    <w:rsid w:val="002D6616"/>
    <w:rsid w:val="002D6764"/>
    <w:rsid w:val="002D6917"/>
    <w:rsid w:val="002D6C19"/>
    <w:rsid w:val="002D6C1F"/>
    <w:rsid w:val="002D6C5E"/>
    <w:rsid w:val="002D6FF5"/>
    <w:rsid w:val="002D7061"/>
    <w:rsid w:val="002D7145"/>
    <w:rsid w:val="002D718B"/>
    <w:rsid w:val="002D727D"/>
    <w:rsid w:val="002D7683"/>
    <w:rsid w:val="002D7817"/>
    <w:rsid w:val="002D78E3"/>
    <w:rsid w:val="002D7979"/>
    <w:rsid w:val="002D7E53"/>
    <w:rsid w:val="002E0089"/>
    <w:rsid w:val="002E0099"/>
    <w:rsid w:val="002E0152"/>
    <w:rsid w:val="002E02FA"/>
    <w:rsid w:val="002E03E8"/>
    <w:rsid w:val="002E07F5"/>
    <w:rsid w:val="002E0826"/>
    <w:rsid w:val="002E0881"/>
    <w:rsid w:val="002E0A99"/>
    <w:rsid w:val="002E0B22"/>
    <w:rsid w:val="002E0C80"/>
    <w:rsid w:val="002E0FC4"/>
    <w:rsid w:val="002E126A"/>
    <w:rsid w:val="002E1404"/>
    <w:rsid w:val="002E1A1F"/>
    <w:rsid w:val="002E1C9F"/>
    <w:rsid w:val="002E1EB0"/>
    <w:rsid w:val="002E1FCD"/>
    <w:rsid w:val="002E2046"/>
    <w:rsid w:val="002E2121"/>
    <w:rsid w:val="002E22DB"/>
    <w:rsid w:val="002E249A"/>
    <w:rsid w:val="002E253D"/>
    <w:rsid w:val="002E263A"/>
    <w:rsid w:val="002E28BF"/>
    <w:rsid w:val="002E297C"/>
    <w:rsid w:val="002E2B1D"/>
    <w:rsid w:val="002E2BF7"/>
    <w:rsid w:val="002E2C7D"/>
    <w:rsid w:val="002E2D5D"/>
    <w:rsid w:val="002E2F05"/>
    <w:rsid w:val="002E2F14"/>
    <w:rsid w:val="002E30E4"/>
    <w:rsid w:val="002E34F3"/>
    <w:rsid w:val="002E35DA"/>
    <w:rsid w:val="002E3607"/>
    <w:rsid w:val="002E36CC"/>
    <w:rsid w:val="002E36EC"/>
    <w:rsid w:val="002E37A4"/>
    <w:rsid w:val="002E3939"/>
    <w:rsid w:val="002E39EF"/>
    <w:rsid w:val="002E3DE2"/>
    <w:rsid w:val="002E415D"/>
    <w:rsid w:val="002E42F3"/>
    <w:rsid w:val="002E430F"/>
    <w:rsid w:val="002E4361"/>
    <w:rsid w:val="002E458D"/>
    <w:rsid w:val="002E4C2C"/>
    <w:rsid w:val="002E4CDB"/>
    <w:rsid w:val="002E4D45"/>
    <w:rsid w:val="002E4E16"/>
    <w:rsid w:val="002E4F12"/>
    <w:rsid w:val="002E4F2D"/>
    <w:rsid w:val="002E507A"/>
    <w:rsid w:val="002E50D1"/>
    <w:rsid w:val="002E51B7"/>
    <w:rsid w:val="002E5210"/>
    <w:rsid w:val="002E545A"/>
    <w:rsid w:val="002E5576"/>
    <w:rsid w:val="002E56C2"/>
    <w:rsid w:val="002E5756"/>
    <w:rsid w:val="002E58FD"/>
    <w:rsid w:val="002E5E61"/>
    <w:rsid w:val="002E647B"/>
    <w:rsid w:val="002E6BE3"/>
    <w:rsid w:val="002E6F07"/>
    <w:rsid w:val="002E6F27"/>
    <w:rsid w:val="002E6F73"/>
    <w:rsid w:val="002E726A"/>
    <w:rsid w:val="002E754B"/>
    <w:rsid w:val="002E7F22"/>
    <w:rsid w:val="002F0028"/>
    <w:rsid w:val="002F0157"/>
    <w:rsid w:val="002F05E5"/>
    <w:rsid w:val="002F08C7"/>
    <w:rsid w:val="002F0A59"/>
    <w:rsid w:val="002F0A69"/>
    <w:rsid w:val="002F0D02"/>
    <w:rsid w:val="002F0DB7"/>
    <w:rsid w:val="002F0E03"/>
    <w:rsid w:val="002F0F4E"/>
    <w:rsid w:val="002F0F91"/>
    <w:rsid w:val="002F1323"/>
    <w:rsid w:val="002F14DE"/>
    <w:rsid w:val="002F1552"/>
    <w:rsid w:val="002F1763"/>
    <w:rsid w:val="002F18EC"/>
    <w:rsid w:val="002F1BC3"/>
    <w:rsid w:val="002F1BE7"/>
    <w:rsid w:val="002F1CC3"/>
    <w:rsid w:val="002F1CE4"/>
    <w:rsid w:val="002F1FB8"/>
    <w:rsid w:val="002F214A"/>
    <w:rsid w:val="002F2153"/>
    <w:rsid w:val="002F219C"/>
    <w:rsid w:val="002F24F2"/>
    <w:rsid w:val="002F25D6"/>
    <w:rsid w:val="002F27ED"/>
    <w:rsid w:val="002F28B0"/>
    <w:rsid w:val="002F2905"/>
    <w:rsid w:val="002F297F"/>
    <w:rsid w:val="002F298F"/>
    <w:rsid w:val="002F2BBC"/>
    <w:rsid w:val="002F2BCF"/>
    <w:rsid w:val="002F2F4B"/>
    <w:rsid w:val="002F2FA2"/>
    <w:rsid w:val="002F3061"/>
    <w:rsid w:val="002F34DB"/>
    <w:rsid w:val="002F38E5"/>
    <w:rsid w:val="002F3917"/>
    <w:rsid w:val="002F3B0A"/>
    <w:rsid w:val="002F3BBB"/>
    <w:rsid w:val="002F3E5A"/>
    <w:rsid w:val="002F3EA5"/>
    <w:rsid w:val="002F3EDD"/>
    <w:rsid w:val="002F416F"/>
    <w:rsid w:val="002F465D"/>
    <w:rsid w:val="002F4A86"/>
    <w:rsid w:val="002F4A96"/>
    <w:rsid w:val="002F4CCA"/>
    <w:rsid w:val="002F4D47"/>
    <w:rsid w:val="002F4EF9"/>
    <w:rsid w:val="002F5158"/>
    <w:rsid w:val="002F524F"/>
    <w:rsid w:val="002F5317"/>
    <w:rsid w:val="002F547C"/>
    <w:rsid w:val="002F5554"/>
    <w:rsid w:val="002F5595"/>
    <w:rsid w:val="002F5ACC"/>
    <w:rsid w:val="002F5AEB"/>
    <w:rsid w:val="002F5AF7"/>
    <w:rsid w:val="002F5BAA"/>
    <w:rsid w:val="002F5E2E"/>
    <w:rsid w:val="002F5E80"/>
    <w:rsid w:val="002F5FCE"/>
    <w:rsid w:val="002F5FE4"/>
    <w:rsid w:val="002F62AD"/>
    <w:rsid w:val="002F639F"/>
    <w:rsid w:val="002F64B6"/>
    <w:rsid w:val="002F64E0"/>
    <w:rsid w:val="002F6509"/>
    <w:rsid w:val="002F6674"/>
    <w:rsid w:val="002F69A6"/>
    <w:rsid w:val="002F6BE5"/>
    <w:rsid w:val="002F6D6C"/>
    <w:rsid w:val="002F7074"/>
    <w:rsid w:val="002F7100"/>
    <w:rsid w:val="002F73C1"/>
    <w:rsid w:val="002F752C"/>
    <w:rsid w:val="002F7CA3"/>
    <w:rsid w:val="002F7F77"/>
    <w:rsid w:val="00300083"/>
    <w:rsid w:val="003003A3"/>
    <w:rsid w:val="00300436"/>
    <w:rsid w:val="0030065E"/>
    <w:rsid w:val="003006DE"/>
    <w:rsid w:val="003006FE"/>
    <w:rsid w:val="00300782"/>
    <w:rsid w:val="003009D6"/>
    <w:rsid w:val="003009E2"/>
    <w:rsid w:val="00300A81"/>
    <w:rsid w:val="00300AA3"/>
    <w:rsid w:val="00300C4D"/>
    <w:rsid w:val="00300E9D"/>
    <w:rsid w:val="00300FA8"/>
    <w:rsid w:val="0030117A"/>
    <w:rsid w:val="003012AD"/>
    <w:rsid w:val="003012C7"/>
    <w:rsid w:val="003013ED"/>
    <w:rsid w:val="003018E7"/>
    <w:rsid w:val="00301CAB"/>
    <w:rsid w:val="00301EF7"/>
    <w:rsid w:val="003021CC"/>
    <w:rsid w:val="0030229C"/>
    <w:rsid w:val="00302408"/>
    <w:rsid w:val="0030245E"/>
    <w:rsid w:val="003024E6"/>
    <w:rsid w:val="00302676"/>
    <w:rsid w:val="00302952"/>
    <w:rsid w:val="00302CE5"/>
    <w:rsid w:val="00302D7A"/>
    <w:rsid w:val="00302DCC"/>
    <w:rsid w:val="00302F76"/>
    <w:rsid w:val="0030300D"/>
    <w:rsid w:val="003031A7"/>
    <w:rsid w:val="0030323F"/>
    <w:rsid w:val="0030336D"/>
    <w:rsid w:val="0030379B"/>
    <w:rsid w:val="00303910"/>
    <w:rsid w:val="00303951"/>
    <w:rsid w:val="00303D9B"/>
    <w:rsid w:val="00303E94"/>
    <w:rsid w:val="00303F1A"/>
    <w:rsid w:val="0030403E"/>
    <w:rsid w:val="00304660"/>
    <w:rsid w:val="00304689"/>
    <w:rsid w:val="00304806"/>
    <w:rsid w:val="003048EF"/>
    <w:rsid w:val="00304D46"/>
    <w:rsid w:val="00304E19"/>
    <w:rsid w:val="00304ECB"/>
    <w:rsid w:val="0030523E"/>
    <w:rsid w:val="0030528A"/>
    <w:rsid w:val="003052B5"/>
    <w:rsid w:val="00305507"/>
    <w:rsid w:val="003056E7"/>
    <w:rsid w:val="00305753"/>
    <w:rsid w:val="003057C5"/>
    <w:rsid w:val="00305835"/>
    <w:rsid w:val="00305991"/>
    <w:rsid w:val="0030599F"/>
    <w:rsid w:val="00305D97"/>
    <w:rsid w:val="003060BC"/>
    <w:rsid w:val="00306110"/>
    <w:rsid w:val="003062A4"/>
    <w:rsid w:val="003063E4"/>
    <w:rsid w:val="003066DC"/>
    <w:rsid w:val="0030696A"/>
    <w:rsid w:val="00306B8B"/>
    <w:rsid w:val="00306D0F"/>
    <w:rsid w:val="003071CA"/>
    <w:rsid w:val="003072F1"/>
    <w:rsid w:val="003073D7"/>
    <w:rsid w:val="00307743"/>
    <w:rsid w:val="0030783F"/>
    <w:rsid w:val="003079B1"/>
    <w:rsid w:val="00307C9A"/>
    <w:rsid w:val="00307E7A"/>
    <w:rsid w:val="00307EF1"/>
    <w:rsid w:val="00307F40"/>
    <w:rsid w:val="003100C1"/>
    <w:rsid w:val="00310181"/>
    <w:rsid w:val="0031031C"/>
    <w:rsid w:val="00310336"/>
    <w:rsid w:val="00310399"/>
    <w:rsid w:val="003107B2"/>
    <w:rsid w:val="00310E09"/>
    <w:rsid w:val="003110AB"/>
    <w:rsid w:val="003111FC"/>
    <w:rsid w:val="003111FD"/>
    <w:rsid w:val="00311328"/>
    <w:rsid w:val="00311624"/>
    <w:rsid w:val="00311699"/>
    <w:rsid w:val="003116CC"/>
    <w:rsid w:val="0031194F"/>
    <w:rsid w:val="00311A86"/>
    <w:rsid w:val="00311D07"/>
    <w:rsid w:val="00311E15"/>
    <w:rsid w:val="00312090"/>
    <w:rsid w:val="00312316"/>
    <w:rsid w:val="0031264E"/>
    <w:rsid w:val="003126E6"/>
    <w:rsid w:val="00312934"/>
    <w:rsid w:val="00312EED"/>
    <w:rsid w:val="0031329C"/>
    <w:rsid w:val="0031335C"/>
    <w:rsid w:val="0031341D"/>
    <w:rsid w:val="00313575"/>
    <w:rsid w:val="003135DF"/>
    <w:rsid w:val="0031365F"/>
    <w:rsid w:val="003136FF"/>
    <w:rsid w:val="0031375C"/>
    <w:rsid w:val="0031384E"/>
    <w:rsid w:val="003139A7"/>
    <w:rsid w:val="00313E3F"/>
    <w:rsid w:val="00314B9A"/>
    <w:rsid w:val="00314D84"/>
    <w:rsid w:val="00314F3F"/>
    <w:rsid w:val="0031500E"/>
    <w:rsid w:val="003150D6"/>
    <w:rsid w:val="00315101"/>
    <w:rsid w:val="00315235"/>
    <w:rsid w:val="00315832"/>
    <w:rsid w:val="00315AF5"/>
    <w:rsid w:val="00315C84"/>
    <w:rsid w:val="00315ED5"/>
    <w:rsid w:val="003161E1"/>
    <w:rsid w:val="00316579"/>
    <w:rsid w:val="003165BF"/>
    <w:rsid w:val="003165C9"/>
    <w:rsid w:val="003169BD"/>
    <w:rsid w:val="00316D7C"/>
    <w:rsid w:val="00316E1E"/>
    <w:rsid w:val="00317054"/>
    <w:rsid w:val="003170BC"/>
    <w:rsid w:val="00317107"/>
    <w:rsid w:val="00317525"/>
    <w:rsid w:val="00317550"/>
    <w:rsid w:val="003175C8"/>
    <w:rsid w:val="00317863"/>
    <w:rsid w:val="00317B11"/>
    <w:rsid w:val="00317BEB"/>
    <w:rsid w:val="00317BF3"/>
    <w:rsid w:val="00317DCC"/>
    <w:rsid w:val="00317FA8"/>
    <w:rsid w:val="00320154"/>
    <w:rsid w:val="00320430"/>
    <w:rsid w:val="00320701"/>
    <w:rsid w:val="003209A0"/>
    <w:rsid w:val="00320ABB"/>
    <w:rsid w:val="00320B50"/>
    <w:rsid w:val="00320C27"/>
    <w:rsid w:val="00320CF0"/>
    <w:rsid w:val="00320EDB"/>
    <w:rsid w:val="00321211"/>
    <w:rsid w:val="0032121A"/>
    <w:rsid w:val="003213CD"/>
    <w:rsid w:val="0032189F"/>
    <w:rsid w:val="00321965"/>
    <w:rsid w:val="00321B77"/>
    <w:rsid w:val="00321BD5"/>
    <w:rsid w:val="00321CB9"/>
    <w:rsid w:val="00321CF1"/>
    <w:rsid w:val="00321D17"/>
    <w:rsid w:val="003222FF"/>
    <w:rsid w:val="0032252D"/>
    <w:rsid w:val="00322558"/>
    <w:rsid w:val="003225FA"/>
    <w:rsid w:val="00322840"/>
    <w:rsid w:val="0032299C"/>
    <w:rsid w:val="00322A46"/>
    <w:rsid w:val="00322ECA"/>
    <w:rsid w:val="00322F61"/>
    <w:rsid w:val="003230C2"/>
    <w:rsid w:val="00323102"/>
    <w:rsid w:val="00323133"/>
    <w:rsid w:val="0032326B"/>
    <w:rsid w:val="00323334"/>
    <w:rsid w:val="0032335E"/>
    <w:rsid w:val="003235BE"/>
    <w:rsid w:val="003236F1"/>
    <w:rsid w:val="0032370C"/>
    <w:rsid w:val="00323845"/>
    <w:rsid w:val="0032395A"/>
    <w:rsid w:val="00323A4A"/>
    <w:rsid w:val="00323AF2"/>
    <w:rsid w:val="00323BC9"/>
    <w:rsid w:val="00323BEC"/>
    <w:rsid w:val="0032400B"/>
    <w:rsid w:val="00324388"/>
    <w:rsid w:val="0032466E"/>
    <w:rsid w:val="00324A48"/>
    <w:rsid w:val="00324B7E"/>
    <w:rsid w:val="00324FB6"/>
    <w:rsid w:val="003253D8"/>
    <w:rsid w:val="003253E4"/>
    <w:rsid w:val="0032545A"/>
    <w:rsid w:val="003254C1"/>
    <w:rsid w:val="003258E3"/>
    <w:rsid w:val="00325AC3"/>
    <w:rsid w:val="00325B9F"/>
    <w:rsid w:val="00325CD1"/>
    <w:rsid w:val="00326289"/>
    <w:rsid w:val="003262C5"/>
    <w:rsid w:val="0032630E"/>
    <w:rsid w:val="003263F3"/>
    <w:rsid w:val="003264BB"/>
    <w:rsid w:val="00326734"/>
    <w:rsid w:val="003268FD"/>
    <w:rsid w:val="0032693E"/>
    <w:rsid w:val="0032694E"/>
    <w:rsid w:val="00326D3F"/>
    <w:rsid w:val="00326E5B"/>
    <w:rsid w:val="00326EF0"/>
    <w:rsid w:val="00326F12"/>
    <w:rsid w:val="00326F23"/>
    <w:rsid w:val="00326F26"/>
    <w:rsid w:val="003273A3"/>
    <w:rsid w:val="003275C7"/>
    <w:rsid w:val="003277AF"/>
    <w:rsid w:val="003279D8"/>
    <w:rsid w:val="00327B01"/>
    <w:rsid w:val="00327BB9"/>
    <w:rsid w:val="00327BFB"/>
    <w:rsid w:val="00327C42"/>
    <w:rsid w:val="00327DE1"/>
    <w:rsid w:val="00327EDF"/>
    <w:rsid w:val="00327F50"/>
    <w:rsid w:val="00330111"/>
    <w:rsid w:val="003301F6"/>
    <w:rsid w:val="0033057A"/>
    <w:rsid w:val="00330707"/>
    <w:rsid w:val="0033077B"/>
    <w:rsid w:val="003307F0"/>
    <w:rsid w:val="00330964"/>
    <w:rsid w:val="00330BDA"/>
    <w:rsid w:val="00330E58"/>
    <w:rsid w:val="00330EAC"/>
    <w:rsid w:val="003310B8"/>
    <w:rsid w:val="00331199"/>
    <w:rsid w:val="003312FB"/>
    <w:rsid w:val="00331404"/>
    <w:rsid w:val="00331555"/>
    <w:rsid w:val="003317BE"/>
    <w:rsid w:val="00331880"/>
    <w:rsid w:val="00331976"/>
    <w:rsid w:val="00331A8D"/>
    <w:rsid w:val="00331B04"/>
    <w:rsid w:val="00331B19"/>
    <w:rsid w:val="00331C39"/>
    <w:rsid w:val="00331C6F"/>
    <w:rsid w:val="0033207F"/>
    <w:rsid w:val="00332081"/>
    <w:rsid w:val="003320D9"/>
    <w:rsid w:val="00332186"/>
    <w:rsid w:val="00332602"/>
    <w:rsid w:val="0033279E"/>
    <w:rsid w:val="003328CC"/>
    <w:rsid w:val="00332B8B"/>
    <w:rsid w:val="00332C18"/>
    <w:rsid w:val="00332E2B"/>
    <w:rsid w:val="00333008"/>
    <w:rsid w:val="0033316A"/>
    <w:rsid w:val="0033318F"/>
    <w:rsid w:val="0033327A"/>
    <w:rsid w:val="003334DD"/>
    <w:rsid w:val="00333A3C"/>
    <w:rsid w:val="00333AB6"/>
    <w:rsid w:val="00333D70"/>
    <w:rsid w:val="003340AA"/>
    <w:rsid w:val="0033440E"/>
    <w:rsid w:val="003344FD"/>
    <w:rsid w:val="00334862"/>
    <w:rsid w:val="00334A3A"/>
    <w:rsid w:val="00334AD5"/>
    <w:rsid w:val="00334C60"/>
    <w:rsid w:val="00334CF2"/>
    <w:rsid w:val="00334D54"/>
    <w:rsid w:val="00334F54"/>
    <w:rsid w:val="00334FB5"/>
    <w:rsid w:val="0033518C"/>
    <w:rsid w:val="003351C7"/>
    <w:rsid w:val="00335280"/>
    <w:rsid w:val="003352EC"/>
    <w:rsid w:val="003354B9"/>
    <w:rsid w:val="0033564D"/>
    <w:rsid w:val="003356BF"/>
    <w:rsid w:val="00335A74"/>
    <w:rsid w:val="00335A93"/>
    <w:rsid w:val="00335D36"/>
    <w:rsid w:val="00335DA1"/>
    <w:rsid w:val="00335FBC"/>
    <w:rsid w:val="00336040"/>
    <w:rsid w:val="003361A2"/>
    <w:rsid w:val="0033625B"/>
    <w:rsid w:val="00336293"/>
    <w:rsid w:val="0033641C"/>
    <w:rsid w:val="00336445"/>
    <w:rsid w:val="00336497"/>
    <w:rsid w:val="00336520"/>
    <w:rsid w:val="00336597"/>
    <w:rsid w:val="003367D4"/>
    <w:rsid w:val="003368AF"/>
    <w:rsid w:val="00336B6D"/>
    <w:rsid w:val="00336C19"/>
    <w:rsid w:val="00336E04"/>
    <w:rsid w:val="00336EE5"/>
    <w:rsid w:val="00336F11"/>
    <w:rsid w:val="00336F79"/>
    <w:rsid w:val="00337C43"/>
    <w:rsid w:val="00337E25"/>
    <w:rsid w:val="00340190"/>
    <w:rsid w:val="00340374"/>
    <w:rsid w:val="0034039A"/>
    <w:rsid w:val="003404A2"/>
    <w:rsid w:val="00340AA0"/>
    <w:rsid w:val="00340B4F"/>
    <w:rsid w:val="00340E1C"/>
    <w:rsid w:val="0034104D"/>
    <w:rsid w:val="0034117F"/>
    <w:rsid w:val="003412CD"/>
    <w:rsid w:val="003415A9"/>
    <w:rsid w:val="003416DD"/>
    <w:rsid w:val="00341948"/>
    <w:rsid w:val="00341B4F"/>
    <w:rsid w:val="00341BC4"/>
    <w:rsid w:val="00341FB1"/>
    <w:rsid w:val="003424BC"/>
    <w:rsid w:val="003425A3"/>
    <w:rsid w:val="003427B5"/>
    <w:rsid w:val="00342B0D"/>
    <w:rsid w:val="00342BD7"/>
    <w:rsid w:val="00342CF9"/>
    <w:rsid w:val="00342D27"/>
    <w:rsid w:val="00342DD3"/>
    <w:rsid w:val="00342EFF"/>
    <w:rsid w:val="00342F30"/>
    <w:rsid w:val="00343135"/>
    <w:rsid w:val="003431BB"/>
    <w:rsid w:val="003431BC"/>
    <w:rsid w:val="0034321D"/>
    <w:rsid w:val="003432DE"/>
    <w:rsid w:val="003434CF"/>
    <w:rsid w:val="00343509"/>
    <w:rsid w:val="0034352A"/>
    <w:rsid w:val="00343981"/>
    <w:rsid w:val="00343EEF"/>
    <w:rsid w:val="00344022"/>
    <w:rsid w:val="0034422B"/>
    <w:rsid w:val="00344385"/>
    <w:rsid w:val="00344432"/>
    <w:rsid w:val="0034444B"/>
    <w:rsid w:val="00344788"/>
    <w:rsid w:val="00344A8F"/>
    <w:rsid w:val="00344D1B"/>
    <w:rsid w:val="00344EC2"/>
    <w:rsid w:val="0034510D"/>
    <w:rsid w:val="003451C2"/>
    <w:rsid w:val="003452FE"/>
    <w:rsid w:val="00345391"/>
    <w:rsid w:val="003455B3"/>
    <w:rsid w:val="00345D83"/>
    <w:rsid w:val="00345F65"/>
    <w:rsid w:val="003461A6"/>
    <w:rsid w:val="003463B7"/>
    <w:rsid w:val="00346441"/>
    <w:rsid w:val="003464AD"/>
    <w:rsid w:val="003466A5"/>
    <w:rsid w:val="00346792"/>
    <w:rsid w:val="00346A1A"/>
    <w:rsid w:val="00346C73"/>
    <w:rsid w:val="00346C76"/>
    <w:rsid w:val="00346CD4"/>
    <w:rsid w:val="00346D9C"/>
    <w:rsid w:val="00346EA3"/>
    <w:rsid w:val="003472EF"/>
    <w:rsid w:val="00347524"/>
    <w:rsid w:val="0034757C"/>
    <w:rsid w:val="003477F7"/>
    <w:rsid w:val="0034786D"/>
    <w:rsid w:val="00347D2B"/>
    <w:rsid w:val="00350411"/>
    <w:rsid w:val="00350450"/>
    <w:rsid w:val="003504A6"/>
    <w:rsid w:val="003504B0"/>
    <w:rsid w:val="00350605"/>
    <w:rsid w:val="00350BCA"/>
    <w:rsid w:val="00350DBA"/>
    <w:rsid w:val="00350F54"/>
    <w:rsid w:val="003511BC"/>
    <w:rsid w:val="00351259"/>
    <w:rsid w:val="003512F5"/>
    <w:rsid w:val="0035140E"/>
    <w:rsid w:val="0035146F"/>
    <w:rsid w:val="0035198C"/>
    <w:rsid w:val="00351A23"/>
    <w:rsid w:val="00351B1C"/>
    <w:rsid w:val="00351CB1"/>
    <w:rsid w:val="00351D1A"/>
    <w:rsid w:val="00352015"/>
    <w:rsid w:val="003521A1"/>
    <w:rsid w:val="003522F4"/>
    <w:rsid w:val="0035298E"/>
    <w:rsid w:val="003529E8"/>
    <w:rsid w:val="0035332C"/>
    <w:rsid w:val="003534B0"/>
    <w:rsid w:val="0035374E"/>
    <w:rsid w:val="003537EE"/>
    <w:rsid w:val="00353AA3"/>
    <w:rsid w:val="00353AD5"/>
    <w:rsid w:val="00353B71"/>
    <w:rsid w:val="00353BD5"/>
    <w:rsid w:val="00353E88"/>
    <w:rsid w:val="00353EE9"/>
    <w:rsid w:val="00353F26"/>
    <w:rsid w:val="00354112"/>
    <w:rsid w:val="0035428A"/>
    <w:rsid w:val="0035432F"/>
    <w:rsid w:val="003546F7"/>
    <w:rsid w:val="00354B72"/>
    <w:rsid w:val="00354C1C"/>
    <w:rsid w:val="00354D87"/>
    <w:rsid w:val="00354DEC"/>
    <w:rsid w:val="00355026"/>
    <w:rsid w:val="0035508E"/>
    <w:rsid w:val="0035519F"/>
    <w:rsid w:val="003551A5"/>
    <w:rsid w:val="0035548E"/>
    <w:rsid w:val="003556FD"/>
    <w:rsid w:val="003558A1"/>
    <w:rsid w:val="00355A3E"/>
    <w:rsid w:val="00355ABF"/>
    <w:rsid w:val="00355C72"/>
    <w:rsid w:val="00355D14"/>
    <w:rsid w:val="00355E8D"/>
    <w:rsid w:val="00355FB4"/>
    <w:rsid w:val="0035618E"/>
    <w:rsid w:val="00356646"/>
    <w:rsid w:val="0035677F"/>
    <w:rsid w:val="003567CF"/>
    <w:rsid w:val="00356A98"/>
    <w:rsid w:val="00357331"/>
    <w:rsid w:val="00357908"/>
    <w:rsid w:val="00357B1A"/>
    <w:rsid w:val="00357B22"/>
    <w:rsid w:val="00357C21"/>
    <w:rsid w:val="00357C44"/>
    <w:rsid w:val="00357DF7"/>
    <w:rsid w:val="00357EE0"/>
    <w:rsid w:val="003601B7"/>
    <w:rsid w:val="003605C5"/>
    <w:rsid w:val="003608F7"/>
    <w:rsid w:val="00360948"/>
    <w:rsid w:val="0036094E"/>
    <w:rsid w:val="0036107A"/>
    <w:rsid w:val="003612C0"/>
    <w:rsid w:val="003617DD"/>
    <w:rsid w:val="003618AD"/>
    <w:rsid w:val="00361A27"/>
    <w:rsid w:val="00361A81"/>
    <w:rsid w:val="00361D96"/>
    <w:rsid w:val="00361DE7"/>
    <w:rsid w:val="00361F27"/>
    <w:rsid w:val="003622C7"/>
    <w:rsid w:val="003623DF"/>
    <w:rsid w:val="00362635"/>
    <w:rsid w:val="003626CC"/>
    <w:rsid w:val="003627E7"/>
    <w:rsid w:val="00362A9B"/>
    <w:rsid w:val="00362AF9"/>
    <w:rsid w:val="00362F12"/>
    <w:rsid w:val="003635C0"/>
    <w:rsid w:val="003635D3"/>
    <w:rsid w:val="00363A48"/>
    <w:rsid w:val="00363B6A"/>
    <w:rsid w:val="00363CF9"/>
    <w:rsid w:val="00363DAA"/>
    <w:rsid w:val="003640B0"/>
    <w:rsid w:val="003640DE"/>
    <w:rsid w:val="003641A0"/>
    <w:rsid w:val="003642C8"/>
    <w:rsid w:val="003645D5"/>
    <w:rsid w:val="00364A75"/>
    <w:rsid w:val="00364AB1"/>
    <w:rsid w:val="00364C31"/>
    <w:rsid w:val="00364D3F"/>
    <w:rsid w:val="00364D8D"/>
    <w:rsid w:val="00364E90"/>
    <w:rsid w:val="00365049"/>
    <w:rsid w:val="00365136"/>
    <w:rsid w:val="0036517A"/>
    <w:rsid w:val="0036561E"/>
    <w:rsid w:val="00365659"/>
    <w:rsid w:val="00365732"/>
    <w:rsid w:val="003657F9"/>
    <w:rsid w:val="003659B5"/>
    <w:rsid w:val="00365E41"/>
    <w:rsid w:val="00365E86"/>
    <w:rsid w:val="0036606B"/>
    <w:rsid w:val="0036609C"/>
    <w:rsid w:val="00366282"/>
    <w:rsid w:val="00366353"/>
    <w:rsid w:val="00366524"/>
    <w:rsid w:val="0036662B"/>
    <w:rsid w:val="0036681B"/>
    <w:rsid w:val="00367072"/>
    <w:rsid w:val="00367250"/>
    <w:rsid w:val="00367272"/>
    <w:rsid w:val="0036741C"/>
    <w:rsid w:val="00367486"/>
    <w:rsid w:val="003674B0"/>
    <w:rsid w:val="0036763F"/>
    <w:rsid w:val="003676C6"/>
    <w:rsid w:val="0036787A"/>
    <w:rsid w:val="00367967"/>
    <w:rsid w:val="003679B7"/>
    <w:rsid w:val="00367D33"/>
    <w:rsid w:val="0037006E"/>
    <w:rsid w:val="003700D4"/>
    <w:rsid w:val="003700E4"/>
    <w:rsid w:val="003701F6"/>
    <w:rsid w:val="0037086D"/>
    <w:rsid w:val="00370A85"/>
    <w:rsid w:val="00370CCD"/>
    <w:rsid w:val="00370DF1"/>
    <w:rsid w:val="00370EBE"/>
    <w:rsid w:val="003710C0"/>
    <w:rsid w:val="00371205"/>
    <w:rsid w:val="00371256"/>
    <w:rsid w:val="00371285"/>
    <w:rsid w:val="00371425"/>
    <w:rsid w:val="003717B0"/>
    <w:rsid w:val="00371C3B"/>
    <w:rsid w:val="00371FB2"/>
    <w:rsid w:val="00372003"/>
    <w:rsid w:val="00372764"/>
    <w:rsid w:val="003727D9"/>
    <w:rsid w:val="003727F0"/>
    <w:rsid w:val="00372939"/>
    <w:rsid w:val="00372CC9"/>
    <w:rsid w:val="00372DFD"/>
    <w:rsid w:val="00373064"/>
    <w:rsid w:val="00373339"/>
    <w:rsid w:val="00373631"/>
    <w:rsid w:val="00373736"/>
    <w:rsid w:val="00373879"/>
    <w:rsid w:val="003739D9"/>
    <w:rsid w:val="00373BA3"/>
    <w:rsid w:val="00373CD4"/>
    <w:rsid w:val="00373EAD"/>
    <w:rsid w:val="00373F1F"/>
    <w:rsid w:val="00374152"/>
    <w:rsid w:val="00374340"/>
    <w:rsid w:val="003746D9"/>
    <w:rsid w:val="0037483A"/>
    <w:rsid w:val="00374DDD"/>
    <w:rsid w:val="003751D5"/>
    <w:rsid w:val="00375434"/>
    <w:rsid w:val="0037573B"/>
    <w:rsid w:val="00375A30"/>
    <w:rsid w:val="00375A9D"/>
    <w:rsid w:val="00375B76"/>
    <w:rsid w:val="00375D72"/>
    <w:rsid w:val="00375F62"/>
    <w:rsid w:val="003760B4"/>
    <w:rsid w:val="003763A5"/>
    <w:rsid w:val="003763B5"/>
    <w:rsid w:val="00376460"/>
    <w:rsid w:val="003764A9"/>
    <w:rsid w:val="003764ED"/>
    <w:rsid w:val="003765C0"/>
    <w:rsid w:val="003765D4"/>
    <w:rsid w:val="00376A96"/>
    <w:rsid w:val="00376BE8"/>
    <w:rsid w:val="00376C68"/>
    <w:rsid w:val="00376D26"/>
    <w:rsid w:val="00377160"/>
    <w:rsid w:val="003771A7"/>
    <w:rsid w:val="00377536"/>
    <w:rsid w:val="0037754D"/>
    <w:rsid w:val="003775D6"/>
    <w:rsid w:val="00377A72"/>
    <w:rsid w:val="00377E1C"/>
    <w:rsid w:val="003800DD"/>
    <w:rsid w:val="00380197"/>
    <w:rsid w:val="0038076A"/>
    <w:rsid w:val="003807DE"/>
    <w:rsid w:val="0038087B"/>
    <w:rsid w:val="003809E8"/>
    <w:rsid w:val="00380AEA"/>
    <w:rsid w:val="00380B8E"/>
    <w:rsid w:val="00380DF1"/>
    <w:rsid w:val="003811F6"/>
    <w:rsid w:val="00381515"/>
    <w:rsid w:val="00381A3E"/>
    <w:rsid w:val="00381DE8"/>
    <w:rsid w:val="00381E05"/>
    <w:rsid w:val="00381FF7"/>
    <w:rsid w:val="00382201"/>
    <w:rsid w:val="003823BC"/>
    <w:rsid w:val="00382714"/>
    <w:rsid w:val="00382A70"/>
    <w:rsid w:val="00382AC4"/>
    <w:rsid w:val="00382DE5"/>
    <w:rsid w:val="00382E93"/>
    <w:rsid w:val="003831DB"/>
    <w:rsid w:val="00383301"/>
    <w:rsid w:val="00383413"/>
    <w:rsid w:val="00383582"/>
    <w:rsid w:val="003837FC"/>
    <w:rsid w:val="003838B2"/>
    <w:rsid w:val="0038398B"/>
    <w:rsid w:val="00383DC4"/>
    <w:rsid w:val="00383EB8"/>
    <w:rsid w:val="00383F77"/>
    <w:rsid w:val="003840F6"/>
    <w:rsid w:val="00384369"/>
    <w:rsid w:val="003844B8"/>
    <w:rsid w:val="003846BD"/>
    <w:rsid w:val="003846CB"/>
    <w:rsid w:val="0038470F"/>
    <w:rsid w:val="00384800"/>
    <w:rsid w:val="003849FB"/>
    <w:rsid w:val="00385026"/>
    <w:rsid w:val="003851FF"/>
    <w:rsid w:val="00385275"/>
    <w:rsid w:val="0038545E"/>
    <w:rsid w:val="00385786"/>
    <w:rsid w:val="0038593A"/>
    <w:rsid w:val="00385A16"/>
    <w:rsid w:val="00385B31"/>
    <w:rsid w:val="00385D92"/>
    <w:rsid w:val="00385E7B"/>
    <w:rsid w:val="0038608A"/>
    <w:rsid w:val="003860D9"/>
    <w:rsid w:val="003860EE"/>
    <w:rsid w:val="003862EB"/>
    <w:rsid w:val="003864AB"/>
    <w:rsid w:val="003864C8"/>
    <w:rsid w:val="00386581"/>
    <w:rsid w:val="00386A2F"/>
    <w:rsid w:val="00386D66"/>
    <w:rsid w:val="00386E07"/>
    <w:rsid w:val="00386E34"/>
    <w:rsid w:val="00386FEF"/>
    <w:rsid w:val="003871C6"/>
    <w:rsid w:val="0038741C"/>
    <w:rsid w:val="003877D1"/>
    <w:rsid w:val="00387BD5"/>
    <w:rsid w:val="00387D49"/>
    <w:rsid w:val="00387E85"/>
    <w:rsid w:val="00390079"/>
    <w:rsid w:val="00390256"/>
    <w:rsid w:val="00390684"/>
    <w:rsid w:val="00390688"/>
    <w:rsid w:val="00390964"/>
    <w:rsid w:val="003909FA"/>
    <w:rsid w:val="00390AA7"/>
    <w:rsid w:val="00390F2D"/>
    <w:rsid w:val="00391410"/>
    <w:rsid w:val="00391418"/>
    <w:rsid w:val="003917C4"/>
    <w:rsid w:val="00391919"/>
    <w:rsid w:val="00391955"/>
    <w:rsid w:val="00391A99"/>
    <w:rsid w:val="00391B10"/>
    <w:rsid w:val="00392180"/>
    <w:rsid w:val="003925F0"/>
    <w:rsid w:val="00392612"/>
    <w:rsid w:val="00392631"/>
    <w:rsid w:val="0039267C"/>
    <w:rsid w:val="003927BB"/>
    <w:rsid w:val="00392ACD"/>
    <w:rsid w:val="00392B2A"/>
    <w:rsid w:val="00392EEF"/>
    <w:rsid w:val="0039302E"/>
    <w:rsid w:val="00393092"/>
    <w:rsid w:val="003932A8"/>
    <w:rsid w:val="003936FC"/>
    <w:rsid w:val="00393A0C"/>
    <w:rsid w:val="00393B8C"/>
    <w:rsid w:val="00393CA5"/>
    <w:rsid w:val="00393CD0"/>
    <w:rsid w:val="003940DB"/>
    <w:rsid w:val="003946D2"/>
    <w:rsid w:val="003946F4"/>
    <w:rsid w:val="00394720"/>
    <w:rsid w:val="00394A24"/>
    <w:rsid w:val="00394A45"/>
    <w:rsid w:val="00394A48"/>
    <w:rsid w:val="00394B99"/>
    <w:rsid w:val="00394C19"/>
    <w:rsid w:val="00394C56"/>
    <w:rsid w:val="00394E4D"/>
    <w:rsid w:val="00394E9E"/>
    <w:rsid w:val="00394F15"/>
    <w:rsid w:val="003951D4"/>
    <w:rsid w:val="00395537"/>
    <w:rsid w:val="003955A9"/>
    <w:rsid w:val="003957B6"/>
    <w:rsid w:val="003957CB"/>
    <w:rsid w:val="003957FA"/>
    <w:rsid w:val="00395A6A"/>
    <w:rsid w:val="00395B2C"/>
    <w:rsid w:val="00395E5C"/>
    <w:rsid w:val="00395F08"/>
    <w:rsid w:val="003960C2"/>
    <w:rsid w:val="0039610C"/>
    <w:rsid w:val="00396232"/>
    <w:rsid w:val="003962D0"/>
    <w:rsid w:val="00396596"/>
    <w:rsid w:val="0039666A"/>
    <w:rsid w:val="00396A6C"/>
    <w:rsid w:val="00396C37"/>
    <w:rsid w:val="00396C38"/>
    <w:rsid w:val="00396CAF"/>
    <w:rsid w:val="003970B3"/>
    <w:rsid w:val="003972A0"/>
    <w:rsid w:val="003978EB"/>
    <w:rsid w:val="0039793B"/>
    <w:rsid w:val="00397CCD"/>
    <w:rsid w:val="00397ED0"/>
    <w:rsid w:val="003A053D"/>
    <w:rsid w:val="003A0847"/>
    <w:rsid w:val="003A0874"/>
    <w:rsid w:val="003A0897"/>
    <w:rsid w:val="003A08AB"/>
    <w:rsid w:val="003A0C44"/>
    <w:rsid w:val="003A0D2D"/>
    <w:rsid w:val="003A0EA7"/>
    <w:rsid w:val="003A11E5"/>
    <w:rsid w:val="003A127A"/>
    <w:rsid w:val="003A1487"/>
    <w:rsid w:val="003A1756"/>
    <w:rsid w:val="003A181D"/>
    <w:rsid w:val="003A1ADF"/>
    <w:rsid w:val="003A1B90"/>
    <w:rsid w:val="003A1DCD"/>
    <w:rsid w:val="003A1DEE"/>
    <w:rsid w:val="003A1E52"/>
    <w:rsid w:val="003A1F04"/>
    <w:rsid w:val="003A20EB"/>
    <w:rsid w:val="003A21D6"/>
    <w:rsid w:val="003A21F9"/>
    <w:rsid w:val="003A22B5"/>
    <w:rsid w:val="003A22ED"/>
    <w:rsid w:val="003A2454"/>
    <w:rsid w:val="003A251A"/>
    <w:rsid w:val="003A28F6"/>
    <w:rsid w:val="003A2A6E"/>
    <w:rsid w:val="003A2E82"/>
    <w:rsid w:val="003A2F4C"/>
    <w:rsid w:val="003A2F4F"/>
    <w:rsid w:val="003A2FCD"/>
    <w:rsid w:val="003A2FD8"/>
    <w:rsid w:val="003A3116"/>
    <w:rsid w:val="003A3378"/>
    <w:rsid w:val="003A343F"/>
    <w:rsid w:val="003A3452"/>
    <w:rsid w:val="003A36AF"/>
    <w:rsid w:val="003A37B9"/>
    <w:rsid w:val="003A3846"/>
    <w:rsid w:val="003A3A99"/>
    <w:rsid w:val="003A3B01"/>
    <w:rsid w:val="003A3EC3"/>
    <w:rsid w:val="003A43CB"/>
    <w:rsid w:val="003A465A"/>
    <w:rsid w:val="003A46C9"/>
    <w:rsid w:val="003A4700"/>
    <w:rsid w:val="003A48AE"/>
    <w:rsid w:val="003A4936"/>
    <w:rsid w:val="003A4954"/>
    <w:rsid w:val="003A4CE9"/>
    <w:rsid w:val="003A4D70"/>
    <w:rsid w:val="003A5184"/>
    <w:rsid w:val="003A53F5"/>
    <w:rsid w:val="003A5526"/>
    <w:rsid w:val="003A584F"/>
    <w:rsid w:val="003A5855"/>
    <w:rsid w:val="003A59B6"/>
    <w:rsid w:val="003A5BDB"/>
    <w:rsid w:val="003A5DCF"/>
    <w:rsid w:val="003A63B3"/>
    <w:rsid w:val="003A63CA"/>
    <w:rsid w:val="003A66BA"/>
    <w:rsid w:val="003A6714"/>
    <w:rsid w:val="003A6852"/>
    <w:rsid w:val="003A6881"/>
    <w:rsid w:val="003A697E"/>
    <w:rsid w:val="003A6C2A"/>
    <w:rsid w:val="003A6C8D"/>
    <w:rsid w:val="003A6E31"/>
    <w:rsid w:val="003A6F3B"/>
    <w:rsid w:val="003A70C2"/>
    <w:rsid w:val="003A7112"/>
    <w:rsid w:val="003A726A"/>
    <w:rsid w:val="003A7275"/>
    <w:rsid w:val="003A7309"/>
    <w:rsid w:val="003A75B3"/>
    <w:rsid w:val="003A7B79"/>
    <w:rsid w:val="003A7C38"/>
    <w:rsid w:val="003A7C6E"/>
    <w:rsid w:val="003A7C76"/>
    <w:rsid w:val="003A7FEC"/>
    <w:rsid w:val="003B0019"/>
    <w:rsid w:val="003B01E7"/>
    <w:rsid w:val="003B0399"/>
    <w:rsid w:val="003B0482"/>
    <w:rsid w:val="003B074C"/>
    <w:rsid w:val="003B099F"/>
    <w:rsid w:val="003B0A64"/>
    <w:rsid w:val="003B0C05"/>
    <w:rsid w:val="003B0D23"/>
    <w:rsid w:val="003B0E43"/>
    <w:rsid w:val="003B0EE8"/>
    <w:rsid w:val="003B0FD6"/>
    <w:rsid w:val="003B11BB"/>
    <w:rsid w:val="003B122B"/>
    <w:rsid w:val="003B1637"/>
    <w:rsid w:val="003B1795"/>
    <w:rsid w:val="003B182A"/>
    <w:rsid w:val="003B1920"/>
    <w:rsid w:val="003B1BE3"/>
    <w:rsid w:val="003B1C0C"/>
    <w:rsid w:val="003B1C0E"/>
    <w:rsid w:val="003B1CC8"/>
    <w:rsid w:val="003B1E70"/>
    <w:rsid w:val="003B2017"/>
    <w:rsid w:val="003B2022"/>
    <w:rsid w:val="003B2086"/>
    <w:rsid w:val="003B216B"/>
    <w:rsid w:val="003B216D"/>
    <w:rsid w:val="003B2481"/>
    <w:rsid w:val="003B2868"/>
    <w:rsid w:val="003B2AD4"/>
    <w:rsid w:val="003B2BB3"/>
    <w:rsid w:val="003B2BF5"/>
    <w:rsid w:val="003B2C91"/>
    <w:rsid w:val="003B2FD5"/>
    <w:rsid w:val="003B3192"/>
    <w:rsid w:val="003B3593"/>
    <w:rsid w:val="003B3612"/>
    <w:rsid w:val="003B363F"/>
    <w:rsid w:val="003B36A2"/>
    <w:rsid w:val="003B37AF"/>
    <w:rsid w:val="003B3889"/>
    <w:rsid w:val="003B39BF"/>
    <w:rsid w:val="003B39E4"/>
    <w:rsid w:val="003B3C2A"/>
    <w:rsid w:val="003B3DB5"/>
    <w:rsid w:val="003B40BD"/>
    <w:rsid w:val="003B41FF"/>
    <w:rsid w:val="003B45AF"/>
    <w:rsid w:val="003B45DA"/>
    <w:rsid w:val="003B472B"/>
    <w:rsid w:val="003B495C"/>
    <w:rsid w:val="003B4E23"/>
    <w:rsid w:val="003B4ECC"/>
    <w:rsid w:val="003B4F1E"/>
    <w:rsid w:val="003B5090"/>
    <w:rsid w:val="003B58C3"/>
    <w:rsid w:val="003B5947"/>
    <w:rsid w:val="003B5A2D"/>
    <w:rsid w:val="003B5AC3"/>
    <w:rsid w:val="003B5C05"/>
    <w:rsid w:val="003B5E9A"/>
    <w:rsid w:val="003B5F06"/>
    <w:rsid w:val="003B5FE7"/>
    <w:rsid w:val="003B63E5"/>
    <w:rsid w:val="003B65EC"/>
    <w:rsid w:val="003B6760"/>
    <w:rsid w:val="003B67FF"/>
    <w:rsid w:val="003B6A24"/>
    <w:rsid w:val="003B7349"/>
    <w:rsid w:val="003B76C4"/>
    <w:rsid w:val="003B76F9"/>
    <w:rsid w:val="003B781B"/>
    <w:rsid w:val="003B786A"/>
    <w:rsid w:val="003B7AD0"/>
    <w:rsid w:val="003B7D0E"/>
    <w:rsid w:val="003B7DC5"/>
    <w:rsid w:val="003B7E5B"/>
    <w:rsid w:val="003C02CB"/>
    <w:rsid w:val="003C046C"/>
    <w:rsid w:val="003C0692"/>
    <w:rsid w:val="003C0699"/>
    <w:rsid w:val="003C0703"/>
    <w:rsid w:val="003C08B5"/>
    <w:rsid w:val="003C094D"/>
    <w:rsid w:val="003C0F75"/>
    <w:rsid w:val="003C1017"/>
    <w:rsid w:val="003C104C"/>
    <w:rsid w:val="003C1066"/>
    <w:rsid w:val="003C1491"/>
    <w:rsid w:val="003C166B"/>
    <w:rsid w:val="003C1814"/>
    <w:rsid w:val="003C18BC"/>
    <w:rsid w:val="003C198E"/>
    <w:rsid w:val="003C1B12"/>
    <w:rsid w:val="003C1BF5"/>
    <w:rsid w:val="003C1CED"/>
    <w:rsid w:val="003C1F4E"/>
    <w:rsid w:val="003C1FB8"/>
    <w:rsid w:val="003C1FDE"/>
    <w:rsid w:val="003C20B0"/>
    <w:rsid w:val="003C216C"/>
    <w:rsid w:val="003C21C8"/>
    <w:rsid w:val="003C2315"/>
    <w:rsid w:val="003C2466"/>
    <w:rsid w:val="003C25C4"/>
    <w:rsid w:val="003C2672"/>
    <w:rsid w:val="003C2811"/>
    <w:rsid w:val="003C2877"/>
    <w:rsid w:val="003C2920"/>
    <w:rsid w:val="003C2B23"/>
    <w:rsid w:val="003C328C"/>
    <w:rsid w:val="003C32D9"/>
    <w:rsid w:val="003C3387"/>
    <w:rsid w:val="003C3454"/>
    <w:rsid w:val="003C353E"/>
    <w:rsid w:val="003C3630"/>
    <w:rsid w:val="003C39A6"/>
    <w:rsid w:val="003C3F6E"/>
    <w:rsid w:val="003C3FAF"/>
    <w:rsid w:val="003C42EA"/>
    <w:rsid w:val="003C434C"/>
    <w:rsid w:val="003C4387"/>
    <w:rsid w:val="003C43A6"/>
    <w:rsid w:val="003C4476"/>
    <w:rsid w:val="003C4533"/>
    <w:rsid w:val="003C4659"/>
    <w:rsid w:val="003C46DE"/>
    <w:rsid w:val="003C4A1A"/>
    <w:rsid w:val="003C4B3D"/>
    <w:rsid w:val="003C5468"/>
    <w:rsid w:val="003C563E"/>
    <w:rsid w:val="003C5ABB"/>
    <w:rsid w:val="003C5ABE"/>
    <w:rsid w:val="003C5C18"/>
    <w:rsid w:val="003C5CAE"/>
    <w:rsid w:val="003C5CED"/>
    <w:rsid w:val="003C5D61"/>
    <w:rsid w:val="003C6108"/>
    <w:rsid w:val="003C618C"/>
    <w:rsid w:val="003C6281"/>
    <w:rsid w:val="003C636A"/>
    <w:rsid w:val="003C659F"/>
    <w:rsid w:val="003C6830"/>
    <w:rsid w:val="003C6930"/>
    <w:rsid w:val="003C6A4A"/>
    <w:rsid w:val="003C6CAF"/>
    <w:rsid w:val="003C7032"/>
    <w:rsid w:val="003C73E3"/>
    <w:rsid w:val="003C74D8"/>
    <w:rsid w:val="003C74F8"/>
    <w:rsid w:val="003C7567"/>
    <w:rsid w:val="003C76E2"/>
    <w:rsid w:val="003C7797"/>
    <w:rsid w:val="003C7A3E"/>
    <w:rsid w:val="003C7B2B"/>
    <w:rsid w:val="003C7C18"/>
    <w:rsid w:val="003C7C1A"/>
    <w:rsid w:val="003D03A1"/>
    <w:rsid w:val="003D0524"/>
    <w:rsid w:val="003D05FB"/>
    <w:rsid w:val="003D070E"/>
    <w:rsid w:val="003D0835"/>
    <w:rsid w:val="003D08EC"/>
    <w:rsid w:val="003D0BE6"/>
    <w:rsid w:val="003D0D66"/>
    <w:rsid w:val="003D0EC1"/>
    <w:rsid w:val="003D0EFA"/>
    <w:rsid w:val="003D0F12"/>
    <w:rsid w:val="003D0F84"/>
    <w:rsid w:val="003D121B"/>
    <w:rsid w:val="003D1442"/>
    <w:rsid w:val="003D1884"/>
    <w:rsid w:val="003D198C"/>
    <w:rsid w:val="003D1A9A"/>
    <w:rsid w:val="003D1BC7"/>
    <w:rsid w:val="003D1CBE"/>
    <w:rsid w:val="003D1E14"/>
    <w:rsid w:val="003D2199"/>
    <w:rsid w:val="003D21BA"/>
    <w:rsid w:val="003D230E"/>
    <w:rsid w:val="003D2A8D"/>
    <w:rsid w:val="003D2AE1"/>
    <w:rsid w:val="003D2F27"/>
    <w:rsid w:val="003D2F53"/>
    <w:rsid w:val="003D375A"/>
    <w:rsid w:val="003D3933"/>
    <w:rsid w:val="003D3AC9"/>
    <w:rsid w:val="003D3B6C"/>
    <w:rsid w:val="003D3C94"/>
    <w:rsid w:val="003D413F"/>
    <w:rsid w:val="003D41A1"/>
    <w:rsid w:val="003D41F7"/>
    <w:rsid w:val="003D4578"/>
    <w:rsid w:val="003D4D72"/>
    <w:rsid w:val="003D4F6B"/>
    <w:rsid w:val="003D502A"/>
    <w:rsid w:val="003D5179"/>
    <w:rsid w:val="003D520A"/>
    <w:rsid w:val="003D52DB"/>
    <w:rsid w:val="003D5462"/>
    <w:rsid w:val="003D5632"/>
    <w:rsid w:val="003D5688"/>
    <w:rsid w:val="003D5783"/>
    <w:rsid w:val="003D5920"/>
    <w:rsid w:val="003D59AF"/>
    <w:rsid w:val="003D5A95"/>
    <w:rsid w:val="003D5E6C"/>
    <w:rsid w:val="003D5F1B"/>
    <w:rsid w:val="003D6045"/>
    <w:rsid w:val="003D6194"/>
    <w:rsid w:val="003D61B7"/>
    <w:rsid w:val="003D6297"/>
    <w:rsid w:val="003D6B1F"/>
    <w:rsid w:val="003D6C7F"/>
    <w:rsid w:val="003D6E86"/>
    <w:rsid w:val="003D6F34"/>
    <w:rsid w:val="003D7206"/>
    <w:rsid w:val="003D7389"/>
    <w:rsid w:val="003D7481"/>
    <w:rsid w:val="003D7678"/>
    <w:rsid w:val="003D76F2"/>
    <w:rsid w:val="003D77D8"/>
    <w:rsid w:val="003D79BF"/>
    <w:rsid w:val="003D7B51"/>
    <w:rsid w:val="003D7C1C"/>
    <w:rsid w:val="003D7DDB"/>
    <w:rsid w:val="003E0441"/>
    <w:rsid w:val="003E04FE"/>
    <w:rsid w:val="003E0796"/>
    <w:rsid w:val="003E080A"/>
    <w:rsid w:val="003E0850"/>
    <w:rsid w:val="003E0E94"/>
    <w:rsid w:val="003E0EF1"/>
    <w:rsid w:val="003E1289"/>
    <w:rsid w:val="003E1365"/>
    <w:rsid w:val="003E16FD"/>
    <w:rsid w:val="003E183F"/>
    <w:rsid w:val="003E1A0C"/>
    <w:rsid w:val="003E1AB1"/>
    <w:rsid w:val="003E1B00"/>
    <w:rsid w:val="003E1BCF"/>
    <w:rsid w:val="003E1C38"/>
    <w:rsid w:val="003E2327"/>
    <w:rsid w:val="003E246E"/>
    <w:rsid w:val="003E2875"/>
    <w:rsid w:val="003E2CBD"/>
    <w:rsid w:val="003E2D31"/>
    <w:rsid w:val="003E2EF6"/>
    <w:rsid w:val="003E3069"/>
    <w:rsid w:val="003E3A77"/>
    <w:rsid w:val="003E3A80"/>
    <w:rsid w:val="003E3C51"/>
    <w:rsid w:val="003E40A4"/>
    <w:rsid w:val="003E4286"/>
    <w:rsid w:val="003E433B"/>
    <w:rsid w:val="003E434D"/>
    <w:rsid w:val="003E43A4"/>
    <w:rsid w:val="003E43C4"/>
    <w:rsid w:val="003E478E"/>
    <w:rsid w:val="003E49C4"/>
    <w:rsid w:val="003E4A6B"/>
    <w:rsid w:val="003E4C67"/>
    <w:rsid w:val="003E5000"/>
    <w:rsid w:val="003E5195"/>
    <w:rsid w:val="003E535D"/>
    <w:rsid w:val="003E537C"/>
    <w:rsid w:val="003E5437"/>
    <w:rsid w:val="003E5A51"/>
    <w:rsid w:val="003E5BF8"/>
    <w:rsid w:val="003E5C2D"/>
    <w:rsid w:val="003E5EE7"/>
    <w:rsid w:val="003E5F2F"/>
    <w:rsid w:val="003E5F6D"/>
    <w:rsid w:val="003E5F8F"/>
    <w:rsid w:val="003E5FC5"/>
    <w:rsid w:val="003E629A"/>
    <w:rsid w:val="003E6564"/>
    <w:rsid w:val="003E6676"/>
    <w:rsid w:val="003E66A8"/>
    <w:rsid w:val="003E6815"/>
    <w:rsid w:val="003E682E"/>
    <w:rsid w:val="003E6953"/>
    <w:rsid w:val="003E6AA1"/>
    <w:rsid w:val="003E6C2B"/>
    <w:rsid w:val="003E6CF5"/>
    <w:rsid w:val="003E6F34"/>
    <w:rsid w:val="003E6FE0"/>
    <w:rsid w:val="003E7153"/>
    <w:rsid w:val="003E73CB"/>
    <w:rsid w:val="003E73FC"/>
    <w:rsid w:val="003E7431"/>
    <w:rsid w:val="003E743C"/>
    <w:rsid w:val="003E74BD"/>
    <w:rsid w:val="003E75A1"/>
    <w:rsid w:val="003E7BB9"/>
    <w:rsid w:val="003E7BEC"/>
    <w:rsid w:val="003E7C13"/>
    <w:rsid w:val="003E7D30"/>
    <w:rsid w:val="003E7DBD"/>
    <w:rsid w:val="003E7EA4"/>
    <w:rsid w:val="003F01B8"/>
    <w:rsid w:val="003F05F0"/>
    <w:rsid w:val="003F06FB"/>
    <w:rsid w:val="003F08D4"/>
    <w:rsid w:val="003F0A02"/>
    <w:rsid w:val="003F0D7E"/>
    <w:rsid w:val="003F1183"/>
    <w:rsid w:val="003F12AD"/>
    <w:rsid w:val="003F13AD"/>
    <w:rsid w:val="003F15A3"/>
    <w:rsid w:val="003F15CA"/>
    <w:rsid w:val="003F15F4"/>
    <w:rsid w:val="003F1765"/>
    <w:rsid w:val="003F1B31"/>
    <w:rsid w:val="003F1B65"/>
    <w:rsid w:val="003F1FDA"/>
    <w:rsid w:val="003F2143"/>
    <w:rsid w:val="003F23A2"/>
    <w:rsid w:val="003F25D2"/>
    <w:rsid w:val="003F25FB"/>
    <w:rsid w:val="003F27E5"/>
    <w:rsid w:val="003F291D"/>
    <w:rsid w:val="003F297B"/>
    <w:rsid w:val="003F2BEC"/>
    <w:rsid w:val="003F2D2F"/>
    <w:rsid w:val="003F2E12"/>
    <w:rsid w:val="003F2E83"/>
    <w:rsid w:val="003F304F"/>
    <w:rsid w:val="003F34FF"/>
    <w:rsid w:val="003F355F"/>
    <w:rsid w:val="003F3A25"/>
    <w:rsid w:val="003F3B2C"/>
    <w:rsid w:val="003F3C3C"/>
    <w:rsid w:val="003F3E28"/>
    <w:rsid w:val="003F3F9E"/>
    <w:rsid w:val="003F3FFF"/>
    <w:rsid w:val="003F41D4"/>
    <w:rsid w:val="003F47AF"/>
    <w:rsid w:val="003F499B"/>
    <w:rsid w:val="003F4A55"/>
    <w:rsid w:val="003F4A95"/>
    <w:rsid w:val="003F4C80"/>
    <w:rsid w:val="003F5362"/>
    <w:rsid w:val="003F5543"/>
    <w:rsid w:val="003F5879"/>
    <w:rsid w:val="003F59A7"/>
    <w:rsid w:val="003F5BC0"/>
    <w:rsid w:val="003F5F63"/>
    <w:rsid w:val="003F6135"/>
    <w:rsid w:val="003F624B"/>
    <w:rsid w:val="003F6543"/>
    <w:rsid w:val="003F6563"/>
    <w:rsid w:val="003F6772"/>
    <w:rsid w:val="003F6B9D"/>
    <w:rsid w:val="003F6DA3"/>
    <w:rsid w:val="003F6EC3"/>
    <w:rsid w:val="003F70F6"/>
    <w:rsid w:val="003F71C8"/>
    <w:rsid w:val="003F71FB"/>
    <w:rsid w:val="003F72E6"/>
    <w:rsid w:val="003F740E"/>
    <w:rsid w:val="003F74FB"/>
    <w:rsid w:val="003F7545"/>
    <w:rsid w:val="003F7865"/>
    <w:rsid w:val="003F7904"/>
    <w:rsid w:val="003F7A2A"/>
    <w:rsid w:val="003F7A44"/>
    <w:rsid w:val="003F7B6D"/>
    <w:rsid w:val="003F7BC9"/>
    <w:rsid w:val="003F7DED"/>
    <w:rsid w:val="00400310"/>
    <w:rsid w:val="004005C7"/>
    <w:rsid w:val="004006B9"/>
    <w:rsid w:val="004007FF"/>
    <w:rsid w:val="00400A7F"/>
    <w:rsid w:val="00400D76"/>
    <w:rsid w:val="00400DD1"/>
    <w:rsid w:val="00400E57"/>
    <w:rsid w:val="00401053"/>
    <w:rsid w:val="004010F2"/>
    <w:rsid w:val="00401106"/>
    <w:rsid w:val="004011C9"/>
    <w:rsid w:val="004012BE"/>
    <w:rsid w:val="0040140B"/>
    <w:rsid w:val="004014B1"/>
    <w:rsid w:val="004015AE"/>
    <w:rsid w:val="00401B56"/>
    <w:rsid w:val="00401C2F"/>
    <w:rsid w:val="0040209D"/>
    <w:rsid w:val="00402365"/>
    <w:rsid w:val="00402471"/>
    <w:rsid w:val="00402559"/>
    <w:rsid w:val="004025B0"/>
    <w:rsid w:val="004029E4"/>
    <w:rsid w:val="00402AA0"/>
    <w:rsid w:val="00402BF2"/>
    <w:rsid w:val="00402D0F"/>
    <w:rsid w:val="00402EB0"/>
    <w:rsid w:val="00402F8A"/>
    <w:rsid w:val="0040334C"/>
    <w:rsid w:val="004037C1"/>
    <w:rsid w:val="00403801"/>
    <w:rsid w:val="00403CBE"/>
    <w:rsid w:val="00403DF7"/>
    <w:rsid w:val="004040AE"/>
    <w:rsid w:val="00404127"/>
    <w:rsid w:val="004045EA"/>
    <w:rsid w:val="00404659"/>
    <w:rsid w:val="0040482E"/>
    <w:rsid w:val="00404CBD"/>
    <w:rsid w:val="00404E28"/>
    <w:rsid w:val="0040523E"/>
    <w:rsid w:val="00405295"/>
    <w:rsid w:val="0040540B"/>
    <w:rsid w:val="0040541A"/>
    <w:rsid w:val="00405441"/>
    <w:rsid w:val="00405459"/>
    <w:rsid w:val="004055D7"/>
    <w:rsid w:val="004057E6"/>
    <w:rsid w:val="00405841"/>
    <w:rsid w:val="004059FE"/>
    <w:rsid w:val="00405B4B"/>
    <w:rsid w:val="004062E9"/>
    <w:rsid w:val="0040644A"/>
    <w:rsid w:val="004065F5"/>
    <w:rsid w:val="00406821"/>
    <w:rsid w:val="00406995"/>
    <w:rsid w:val="00406C0D"/>
    <w:rsid w:val="004070B6"/>
    <w:rsid w:val="0040737C"/>
    <w:rsid w:val="00407409"/>
    <w:rsid w:val="00407430"/>
    <w:rsid w:val="0040757C"/>
    <w:rsid w:val="004077CC"/>
    <w:rsid w:val="004079DE"/>
    <w:rsid w:val="00407A31"/>
    <w:rsid w:val="00407B9C"/>
    <w:rsid w:val="00407BC3"/>
    <w:rsid w:val="00407C8A"/>
    <w:rsid w:val="00407D73"/>
    <w:rsid w:val="00407E55"/>
    <w:rsid w:val="004101A8"/>
    <w:rsid w:val="004103B3"/>
    <w:rsid w:val="00410668"/>
    <w:rsid w:val="0041073C"/>
    <w:rsid w:val="00410965"/>
    <w:rsid w:val="00410C0D"/>
    <w:rsid w:val="00410C2A"/>
    <w:rsid w:val="00410DA7"/>
    <w:rsid w:val="00410E9D"/>
    <w:rsid w:val="004113EE"/>
    <w:rsid w:val="004115A5"/>
    <w:rsid w:val="00411695"/>
    <w:rsid w:val="00411801"/>
    <w:rsid w:val="00411925"/>
    <w:rsid w:val="004119B1"/>
    <w:rsid w:val="00411AFE"/>
    <w:rsid w:val="00411B99"/>
    <w:rsid w:val="00411C07"/>
    <w:rsid w:val="00411F02"/>
    <w:rsid w:val="004122F0"/>
    <w:rsid w:val="00412579"/>
    <w:rsid w:val="00412693"/>
    <w:rsid w:val="0041274C"/>
    <w:rsid w:val="0041280B"/>
    <w:rsid w:val="00412B6B"/>
    <w:rsid w:val="00412CB3"/>
    <w:rsid w:val="00412D69"/>
    <w:rsid w:val="00412D7E"/>
    <w:rsid w:val="00412ED5"/>
    <w:rsid w:val="00412F14"/>
    <w:rsid w:val="0041300D"/>
    <w:rsid w:val="00413025"/>
    <w:rsid w:val="0041318A"/>
    <w:rsid w:val="004132DB"/>
    <w:rsid w:val="00413386"/>
    <w:rsid w:val="004138C2"/>
    <w:rsid w:val="00413924"/>
    <w:rsid w:val="0041398C"/>
    <w:rsid w:val="00413A18"/>
    <w:rsid w:val="00413B0E"/>
    <w:rsid w:val="00413BD1"/>
    <w:rsid w:val="00413CC2"/>
    <w:rsid w:val="00414120"/>
    <w:rsid w:val="00414185"/>
    <w:rsid w:val="004141C6"/>
    <w:rsid w:val="0041423A"/>
    <w:rsid w:val="0041434D"/>
    <w:rsid w:val="004146DD"/>
    <w:rsid w:val="004149D7"/>
    <w:rsid w:val="00414D64"/>
    <w:rsid w:val="00414D91"/>
    <w:rsid w:val="00414E7D"/>
    <w:rsid w:val="0041513A"/>
    <w:rsid w:val="0041541A"/>
    <w:rsid w:val="00415433"/>
    <w:rsid w:val="00415525"/>
    <w:rsid w:val="00415BE4"/>
    <w:rsid w:val="00415C62"/>
    <w:rsid w:val="00415C7E"/>
    <w:rsid w:val="00415CDC"/>
    <w:rsid w:val="004161FA"/>
    <w:rsid w:val="00416292"/>
    <w:rsid w:val="004163A3"/>
    <w:rsid w:val="00416428"/>
    <w:rsid w:val="004164D1"/>
    <w:rsid w:val="004168B5"/>
    <w:rsid w:val="00416B39"/>
    <w:rsid w:val="00417040"/>
    <w:rsid w:val="004170C8"/>
    <w:rsid w:val="00417286"/>
    <w:rsid w:val="0041775E"/>
    <w:rsid w:val="00417761"/>
    <w:rsid w:val="004179D5"/>
    <w:rsid w:val="00417CD9"/>
    <w:rsid w:val="00417E0C"/>
    <w:rsid w:val="00417F0B"/>
    <w:rsid w:val="00417F84"/>
    <w:rsid w:val="00417F85"/>
    <w:rsid w:val="0042017D"/>
    <w:rsid w:val="0042045C"/>
    <w:rsid w:val="00420470"/>
    <w:rsid w:val="004204BC"/>
    <w:rsid w:val="00420555"/>
    <w:rsid w:val="00420590"/>
    <w:rsid w:val="0042069B"/>
    <w:rsid w:val="004206A1"/>
    <w:rsid w:val="00420A5D"/>
    <w:rsid w:val="00420B90"/>
    <w:rsid w:val="00420C60"/>
    <w:rsid w:val="00420E7B"/>
    <w:rsid w:val="00420F0F"/>
    <w:rsid w:val="00421006"/>
    <w:rsid w:val="00421084"/>
    <w:rsid w:val="0042119D"/>
    <w:rsid w:val="004211C9"/>
    <w:rsid w:val="00421320"/>
    <w:rsid w:val="004213FE"/>
    <w:rsid w:val="00421956"/>
    <w:rsid w:val="004219F4"/>
    <w:rsid w:val="00421CED"/>
    <w:rsid w:val="0042247E"/>
    <w:rsid w:val="0042250B"/>
    <w:rsid w:val="00422A45"/>
    <w:rsid w:val="00422BCE"/>
    <w:rsid w:val="00422C6A"/>
    <w:rsid w:val="00422DAD"/>
    <w:rsid w:val="00422DD5"/>
    <w:rsid w:val="00422E45"/>
    <w:rsid w:val="004230F9"/>
    <w:rsid w:val="00423380"/>
    <w:rsid w:val="0042342A"/>
    <w:rsid w:val="004236EF"/>
    <w:rsid w:val="00423737"/>
    <w:rsid w:val="00423850"/>
    <w:rsid w:val="00423946"/>
    <w:rsid w:val="00423C11"/>
    <w:rsid w:val="00423C54"/>
    <w:rsid w:val="00423EBB"/>
    <w:rsid w:val="004240BB"/>
    <w:rsid w:val="004241F0"/>
    <w:rsid w:val="00424625"/>
    <w:rsid w:val="00424877"/>
    <w:rsid w:val="00424A39"/>
    <w:rsid w:val="00424CFF"/>
    <w:rsid w:val="00425041"/>
    <w:rsid w:val="00425342"/>
    <w:rsid w:val="0042543C"/>
    <w:rsid w:val="00425532"/>
    <w:rsid w:val="004255A2"/>
    <w:rsid w:val="0042584F"/>
    <w:rsid w:val="00425B02"/>
    <w:rsid w:val="00425BD3"/>
    <w:rsid w:val="00425DD3"/>
    <w:rsid w:val="00425FCD"/>
    <w:rsid w:val="0042625A"/>
    <w:rsid w:val="00426551"/>
    <w:rsid w:val="0042662A"/>
    <w:rsid w:val="004266AC"/>
    <w:rsid w:val="00426744"/>
    <w:rsid w:val="0042694B"/>
    <w:rsid w:val="00426B18"/>
    <w:rsid w:val="00426DF3"/>
    <w:rsid w:val="00426EDD"/>
    <w:rsid w:val="004270F3"/>
    <w:rsid w:val="00427144"/>
    <w:rsid w:val="0042715B"/>
    <w:rsid w:val="0042724F"/>
    <w:rsid w:val="0042749E"/>
    <w:rsid w:val="0042762B"/>
    <w:rsid w:val="00427850"/>
    <w:rsid w:val="004278E8"/>
    <w:rsid w:val="0042798A"/>
    <w:rsid w:val="00427B1B"/>
    <w:rsid w:val="00427E29"/>
    <w:rsid w:val="00427FE3"/>
    <w:rsid w:val="00430405"/>
    <w:rsid w:val="004307EA"/>
    <w:rsid w:val="00430984"/>
    <w:rsid w:val="00430B8C"/>
    <w:rsid w:val="00430FD7"/>
    <w:rsid w:val="00430FFC"/>
    <w:rsid w:val="00431156"/>
    <w:rsid w:val="004311FD"/>
    <w:rsid w:val="00431267"/>
    <w:rsid w:val="0043188F"/>
    <w:rsid w:val="00431C59"/>
    <w:rsid w:val="00431E15"/>
    <w:rsid w:val="00432044"/>
    <w:rsid w:val="004320D8"/>
    <w:rsid w:val="0043217C"/>
    <w:rsid w:val="004321A0"/>
    <w:rsid w:val="004322A0"/>
    <w:rsid w:val="00432348"/>
    <w:rsid w:val="0043288C"/>
    <w:rsid w:val="00432D2E"/>
    <w:rsid w:val="0043325D"/>
    <w:rsid w:val="00433352"/>
    <w:rsid w:val="00433375"/>
    <w:rsid w:val="004333CD"/>
    <w:rsid w:val="0043353E"/>
    <w:rsid w:val="004335AC"/>
    <w:rsid w:val="0043362A"/>
    <w:rsid w:val="0043394E"/>
    <w:rsid w:val="00433C23"/>
    <w:rsid w:val="00433E4C"/>
    <w:rsid w:val="00433F84"/>
    <w:rsid w:val="0043473B"/>
    <w:rsid w:val="00434860"/>
    <w:rsid w:val="004349AB"/>
    <w:rsid w:val="00434C0B"/>
    <w:rsid w:val="00434ECE"/>
    <w:rsid w:val="004350C3"/>
    <w:rsid w:val="0043517D"/>
    <w:rsid w:val="0043560B"/>
    <w:rsid w:val="00435682"/>
    <w:rsid w:val="00435957"/>
    <w:rsid w:val="00435A20"/>
    <w:rsid w:val="00435A7C"/>
    <w:rsid w:val="00436569"/>
    <w:rsid w:val="004365CF"/>
    <w:rsid w:val="00436719"/>
    <w:rsid w:val="0043683B"/>
    <w:rsid w:val="0043697F"/>
    <w:rsid w:val="00436A34"/>
    <w:rsid w:val="00436B0E"/>
    <w:rsid w:val="00436B1D"/>
    <w:rsid w:val="00436B9C"/>
    <w:rsid w:val="0043733D"/>
    <w:rsid w:val="0043748B"/>
    <w:rsid w:val="004375C6"/>
    <w:rsid w:val="00437721"/>
    <w:rsid w:val="004377F3"/>
    <w:rsid w:val="00437829"/>
    <w:rsid w:val="004378B9"/>
    <w:rsid w:val="00437A5E"/>
    <w:rsid w:val="00437BFA"/>
    <w:rsid w:val="00437E2F"/>
    <w:rsid w:val="00437F8E"/>
    <w:rsid w:val="004400F4"/>
    <w:rsid w:val="004405F0"/>
    <w:rsid w:val="004406A6"/>
    <w:rsid w:val="00440706"/>
    <w:rsid w:val="0044073F"/>
    <w:rsid w:val="00440A22"/>
    <w:rsid w:val="00440B80"/>
    <w:rsid w:val="00440D4D"/>
    <w:rsid w:val="00440DA3"/>
    <w:rsid w:val="00440F51"/>
    <w:rsid w:val="00440F67"/>
    <w:rsid w:val="00440FFF"/>
    <w:rsid w:val="00441219"/>
    <w:rsid w:val="0044126C"/>
    <w:rsid w:val="0044128A"/>
    <w:rsid w:val="00441654"/>
    <w:rsid w:val="0044167C"/>
    <w:rsid w:val="004417AE"/>
    <w:rsid w:val="004418B9"/>
    <w:rsid w:val="00441915"/>
    <w:rsid w:val="00441A0C"/>
    <w:rsid w:val="00441AEB"/>
    <w:rsid w:val="00441B1D"/>
    <w:rsid w:val="00441C6D"/>
    <w:rsid w:val="00441D34"/>
    <w:rsid w:val="00441D6C"/>
    <w:rsid w:val="00441FDB"/>
    <w:rsid w:val="00442119"/>
    <w:rsid w:val="0044229A"/>
    <w:rsid w:val="004422FD"/>
    <w:rsid w:val="00442375"/>
    <w:rsid w:val="00442460"/>
    <w:rsid w:val="004424F3"/>
    <w:rsid w:val="004425AF"/>
    <w:rsid w:val="00442692"/>
    <w:rsid w:val="004426D5"/>
    <w:rsid w:val="004426DA"/>
    <w:rsid w:val="00442984"/>
    <w:rsid w:val="00442BBE"/>
    <w:rsid w:val="00442E2E"/>
    <w:rsid w:val="00442E86"/>
    <w:rsid w:val="00442F41"/>
    <w:rsid w:val="00442FA8"/>
    <w:rsid w:val="0044324A"/>
    <w:rsid w:val="0044376C"/>
    <w:rsid w:val="00443888"/>
    <w:rsid w:val="004438E7"/>
    <w:rsid w:val="00443EC4"/>
    <w:rsid w:val="004440C1"/>
    <w:rsid w:val="0044412A"/>
    <w:rsid w:val="00444288"/>
    <w:rsid w:val="00444610"/>
    <w:rsid w:val="00444748"/>
    <w:rsid w:val="0044494E"/>
    <w:rsid w:val="00444BA9"/>
    <w:rsid w:val="00444CBB"/>
    <w:rsid w:val="00444DE0"/>
    <w:rsid w:val="00444E25"/>
    <w:rsid w:val="00444F2E"/>
    <w:rsid w:val="00445023"/>
    <w:rsid w:val="004450CB"/>
    <w:rsid w:val="0044512B"/>
    <w:rsid w:val="00445378"/>
    <w:rsid w:val="00445386"/>
    <w:rsid w:val="004453D4"/>
    <w:rsid w:val="004453D5"/>
    <w:rsid w:val="00445538"/>
    <w:rsid w:val="00445556"/>
    <w:rsid w:val="004456D4"/>
    <w:rsid w:val="004456DC"/>
    <w:rsid w:val="00445795"/>
    <w:rsid w:val="004458B5"/>
    <w:rsid w:val="004459B6"/>
    <w:rsid w:val="00445A27"/>
    <w:rsid w:val="00445B3D"/>
    <w:rsid w:val="00445BD5"/>
    <w:rsid w:val="00445C00"/>
    <w:rsid w:val="00445D0E"/>
    <w:rsid w:val="00445D5A"/>
    <w:rsid w:val="00445E76"/>
    <w:rsid w:val="00446217"/>
    <w:rsid w:val="004462C6"/>
    <w:rsid w:val="004462FF"/>
    <w:rsid w:val="0044642E"/>
    <w:rsid w:val="004465A2"/>
    <w:rsid w:val="0044675C"/>
    <w:rsid w:val="004467AF"/>
    <w:rsid w:val="00446B55"/>
    <w:rsid w:val="00446FF1"/>
    <w:rsid w:val="0044752B"/>
    <w:rsid w:val="00447547"/>
    <w:rsid w:val="00447A6A"/>
    <w:rsid w:val="00447D11"/>
    <w:rsid w:val="00447DEF"/>
    <w:rsid w:val="00447F57"/>
    <w:rsid w:val="004502A9"/>
    <w:rsid w:val="00450575"/>
    <w:rsid w:val="004508E5"/>
    <w:rsid w:val="00450DF4"/>
    <w:rsid w:val="00450E16"/>
    <w:rsid w:val="004513E3"/>
    <w:rsid w:val="004513F3"/>
    <w:rsid w:val="004516B4"/>
    <w:rsid w:val="0045177E"/>
    <w:rsid w:val="00451A4B"/>
    <w:rsid w:val="00451B17"/>
    <w:rsid w:val="00451FAB"/>
    <w:rsid w:val="00452253"/>
    <w:rsid w:val="00452273"/>
    <w:rsid w:val="0045227F"/>
    <w:rsid w:val="0045234F"/>
    <w:rsid w:val="00452415"/>
    <w:rsid w:val="0045254D"/>
    <w:rsid w:val="00452702"/>
    <w:rsid w:val="00452798"/>
    <w:rsid w:val="00452AF1"/>
    <w:rsid w:val="00452DB4"/>
    <w:rsid w:val="00452FC7"/>
    <w:rsid w:val="004531B0"/>
    <w:rsid w:val="00453665"/>
    <w:rsid w:val="00453AC4"/>
    <w:rsid w:val="00453E72"/>
    <w:rsid w:val="00453EDB"/>
    <w:rsid w:val="0045409D"/>
    <w:rsid w:val="004540BE"/>
    <w:rsid w:val="0045413A"/>
    <w:rsid w:val="004543F2"/>
    <w:rsid w:val="0045462A"/>
    <w:rsid w:val="00454723"/>
    <w:rsid w:val="004547C2"/>
    <w:rsid w:val="0045496A"/>
    <w:rsid w:val="004549B8"/>
    <w:rsid w:val="00454A8A"/>
    <w:rsid w:val="00454B47"/>
    <w:rsid w:val="00454B65"/>
    <w:rsid w:val="00454BBB"/>
    <w:rsid w:val="00454F78"/>
    <w:rsid w:val="00455087"/>
    <w:rsid w:val="00455228"/>
    <w:rsid w:val="00455242"/>
    <w:rsid w:val="0045534D"/>
    <w:rsid w:val="0045539B"/>
    <w:rsid w:val="00455436"/>
    <w:rsid w:val="0045554D"/>
    <w:rsid w:val="00455756"/>
    <w:rsid w:val="004558EA"/>
    <w:rsid w:val="00455E96"/>
    <w:rsid w:val="00455F3F"/>
    <w:rsid w:val="00455F60"/>
    <w:rsid w:val="00455F9A"/>
    <w:rsid w:val="00455FE4"/>
    <w:rsid w:val="0045642A"/>
    <w:rsid w:val="00456530"/>
    <w:rsid w:val="0045653F"/>
    <w:rsid w:val="00456874"/>
    <w:rsid w:val="00456EEA"/>
    <w:rsid w:val="00457429"/>
    <w:rsid w:val="004575A1"/>
    <w:rsid w:val="004577EE"/>
    <w:rsid w:val="004578A6"/>
    <w:rsid w:val="00457925"/>
    <w:rsid w:val="00457AA8"/>
    <w:rsid w:val="00457B76"/>
    <w:rsid w:val="00457BD4"/>
    <w:rsid w:val="00457CB6"/>
    <w:rsid w:val="00457DB2"/>
    <w:rsid w:val="00457E05"/>
    <w:rsid w:val="00457F56"/>
    <w:rsid w:val="00457F6B"/>
    <w:rsid w:val="00460100"/>
    <w:rsid w:val="004601A2"/>
    <w:rsid w:val="004602B1"/>
    <w:rsid w:val="0046033C"/>
    <w:rsid w:val="00460A26"/>
    <w:rsid w:val="00460A86"/>
    <w:rsid w:val="00460EDA"/>
    <w:rsid w:val="00461113"/>
    <w:rsid w:val="00461196"/>
    <w:rsid w:val="004611B3"/>
    <w:rsid w:val="00461486"/>
    <w:rsid w:val="00461589"/>
    <w:rsid w:val="0046158D"/>
    <w:rsid w:val="00461A67"/>
    <w:rsid w:val="00462000"/>
    <w:rsid w:val="00462005"/>
    <w:rsid w:val="00462028"/>
    <w:rsid w:val="004623D1"/>
    <w:rsid w:val="004624F0"/>
    <w:rsid w:val="00462524"/>
    <w:rsid w:val="0046271C"/>
    <w:rsid w:val="0046294A"/>
    <w:rsid w:val="00462A3C"/>
    <w:rsid w:val="00462C79"/>
    <w:rsid w:val="00462D8A"/>
    <w:rsid w:val="0046325A"/>
    <w:rsid w:val="0046340B"/>
    <w:rsid w:val="00463519"/>
    <w:rsid w:val="00463521"/>
    <w:rsid w:val="0046356D"/>
    <w:rsid w:val="004636B3"/>
    <w:rsid w:val="00463712"/>
    <w:rsid w:val="00463855"/>
    <w:rsid w:val="00463976"/>
    <w:rsid w:val="004639A0"/>
    <w:rsid w:val="00463B6A"/>
    <w:rsid w:val="00464300"/>
    <w:rsid w:val="004643B8"/>
    <w:rsid w:val="0046475A"/>
    <w:rsid w:val="00464CA0"/>
    <w:rsid w:val="004654CB"/>
    <w:rsid w:val="004654EF"/>
    <w:rsid w:val="0046554E"/>
    <w:rsid w:val="004655FC"/>
    <w:rsid w:val="0046562A"/>
    <w:rsid w:val="00465670"/>
    <w:rsid w:val="0046595A"/>
    <w:rsid w:val="0046597C"/>
    <w:rsid w:val="00465DEF"/>
    <w:rsid w:val="00465E0E"/>
    <w:rsid w:val="00465F56"/>
    <w:rsid w:val="0046612A"/>
    <w:rsid w:val="004661CD"/>
    <w:rsid w:val="004667D4"/>
    <w:rsid w:val="0046686C"/>
    <w:rsid w:val="00466887"/>
    <w:rsid w:val="00466BD3"/>
    <w:rsid w:val="00466F96"/>
    <w:rsid w:val="00467018"/>
    <w:rsid w:val="00467138"/>
    <w:rsid w:val="00467174"/>
    <w:rsid w:val="00467266"/>
    <w:rsid w:val="004672C2"/>
    <w:rsid w:val="0046749E"/>
    <w:rsid w:val="0046756B"/>
    <w:rsid w:val="004676AB"/>
    <w:rsid w:val="0046773C"/>
    <w:rsid w:val="0046784A"/>
    <w:rsid w:val="00467950"/>
    <w:rsid w:val="00467B10"/>
    <w:rsid w:val="0047017E"/>
    <w:rsid w:val="004702E1"/>
    <w:rsid w:val="0047049E"/>
    <w:rsid w:val="00470836"/>
    <w:rsid w:val="00470AFF"/>
    <w:rsid w:val="00470B90"/>
    <w:rsid w:val="00470C84"/>
    <w:rsid w:val="00470CC6"/>
    <w:rsid w:val="00470EF8"/>
    <w:rsid w:val="004710C1"/>
    <w:rsid w:val="004711FB"/>
    <w:rsid w:val="004713FA"/>
    <w:rsid w:val="0047167E"/>
    <w:rsid w:val="00471B01"/>
    <w:rsid w:val="00471EB3"/>
    <w:rsid w:val="004721E6"/>
    <w:rsid w:val="00472296"/>
    <w:rsid w:val="00472315"/>
    <w:rsid w:val="004726E1"/>
    <w:rsid w:val="00472827"/>
    <w:rsid w:val="00472988"/>
    <w:rsid w:val="00472A13"/>
    <w:rsid w:val="00472B8B"/>
    <w:rsid w:val="00472C61"/>
    <w:rsid w:val="00472CEA"/>
    <w:rsid w:val="00472D56"/>
    <w:rsid w:val="00473086"/>
    <w:rsid w:val="00473155"/>
    <w:rsid w:val="004733CB"/>
    <w:rsid w:val="00473579"/>
    <w:rsid w:val="0047357A"/>
    <w:rsid w:val="00473756"/>
    <w:rsid w:val="00473A77"/>
    <w:rsid w:val="00473C4F"/>
    <w:rsid w:val="00473D81"/>
    <w:rsid w:val="00473E3A"/>
    <w:rsid w:val="00473F2E"/>
    <w:rsid w:val="00473FD7"/>
    <w:rsid w:val="00474079"/>
    <w:rsid w:val="004744F2"/>
    <w:rsid w:val="00474552"/>
    <w:rsid w:val="00474753"/>
    <w:rsid w:val="0047477B"/>
    <w:rsid w:val="00474AE5"/>
    <w:rsid w:val="00474CFA"/>
    <w:rsid w:val="00474F0F"/>
    <w:rsid w:val="00475377"/>
    <w:rsid w:val="004754E9"/>
    <w:rsid w:val="00475596"/>
    <w:rsid w:val="0047561D"/>
    <w:rsid w:val="004757A5"/>
    <w:rsid w:val="00475AC1"/>
    <w:rsid w:val="00475B0D"/>
    <w:rsid w:val="00475B8B"/>
    <w:rsid w:val="00475C2D"/>
    <w:rsid w:val="00475C5E"/>
    <w:rsid w:val="00475CE9"/>
    <w:rsid w:val="00475F25"/>
    <w:rsid w:val="00475FEB"/>
    <w:rsid w:val="00476091"/>
    <w:rsid w:val="0047615E"/>
    <w:rsid w:val="00476526"/>
    <w:rsid w:val="004767FA"/>
    <w:rsid w:val="00476A3D"/>
    <w:rsid w:val="00476F53"/>
    <w:rsid w:val="00477242"/>
    <w:rsid w:val="00477328"/>
    <w:rsid w:val="0047751C"/>
    <w:rsid w:val="00477C9A"/>
    <w:rsid w:val="004804AE"/>
    <w:rsid w:val="0048069F"/>
    <w:rsid w:val="00480A39"/>
    <w:rsid w:val="00480C0C"/>
    <w:rsid w:val="00480C2B"/>
    <w:rsid w:val="00480E22"/>
    <w:rsid w:val="00480E52"/>
    <w:rsid w:val="00480F74"/>
    <w:rsid w:val="00480FF3"/>
    <w:rsid w:val="00481008"/>
    <w:rsid w:val="00481091"/>
    <w:rsid w:val="0048118A"/>
    <w:rsid w:val="0048135B"/>
    <w:rsid w:val="0048150E"/>
    <w:rsid w:val="00481843"/>
    <w:rsid w:val="00481C73"/>
    <w:rsid w:val="00481FC9"/>
    <w:rsid w:val="00482066"/>
    <w:rsid w:val="0048240E"/>
    <w:rsid w:val="00482599"/>
    <w:rsid w:val="004828D9"/>
    <w:rsid w:val="00482DCC"/>
    <w:rsid w:val="00482E08"/>
    <w:rsid w:val="00482F83"/>
    <w:rsid w:val="004830C7"/>
    <w:rsid w:val="00483347"/>
    <w:rsid w:val="004836CE"/>
    <w:rsid w:val="00483961"/>
    <w:rsid w:val="004839BF"/>
    <w:rsid w:val="00483A48"/>
    <w:rsid w:val="00483A4B"/>
    <w:rsid w:val="00483E77"/>
    <w:rsid w:val="00483FA5"/>
    <w:rsid w:val="0048426D"/>
    <w:rsid w:val="004843B6"/>
    <w:rsid w:val="004844F9"/>
    <w:rsid w:val="00484503"/>
    <w:rsid w:val="00484827"/>
    <w:rsid w:val="00484A2E"/>
    <w:rsid w:val="00484BD8"/>
    <w:rsid w:val="00484D7B"/>
    <w:rsid w:val="00484DA4"/>
    <w:rsid w:val="00485025"/>
    <w:rsid w:val="00485417"/>
    <w:rsid w:val="00485429"/>
    <w:rsid w:val="00485777"/>
    <w:rsid w:val="00485A05"/>
    <w:rsid w:val="00485BDD"/>
    <w:rsid w:val="00485E3D"/>
    <w:rsid w:val="00486136"/>
    <w:rsid w:val="004861DC"/>
    <w:rsid w:val="00486293"/>
    <w:rsid w:val="0048667C"/>
    <w:rsid w:val="00486895"/>
    <w:rsid w:val="00486991"/>
    <w:rsid w:val="004869B4"/>
    <w:rsid w:val="00486AE3"/>
    <w:rsid w:val="00486E6F"/>
    <w:rsid w:val="00486EA5"/>
    <w:rsid w:val="004874F8"/>
    <w:rsid w:val="004875FB"/>
    <w:rsid w:val="004876B1"/>
    <w:rsid w:val="004877D0"/>
    <w:rsid w:val="0048793A"/>
    <w:rsid w:val="00487B8A"/>
    <w:rsid w:val="00487BC9"/>
    <w:rsid w:val="00487C1D"/>
    <w:rsid w:val="00487CFB"/>
    <w:rsid w:val="004902D2"/>
    <w:rsid w:val="00490330"/>
    <w:rsid w:val="0049088E"/>
    <w:rsid w:val="00490AA6"/>
    <w:rsid w:val="00490B50"/>
    <w:rsid w:val="0049133D"/>
    <w:rsid w:val="004913C6"/>
    <w:rsid w:val="004916CA"/>
    <w:rsid w:val="00491B74"/>
    <w:rsid w:val="00491E77"/>
    <w:rsid w:val="00491EF9"/>
    <w:rsid w:val="0049205C"/>
    <w:rsid w:val="00492087"/>
    <w:rsid w:val="00492119"/>
    <w:rsid w:val="0049226C"/>
    <w:rsid w:val="0049275D"/>
    <w:rsid w:val="00492898"/>
    <w:rsid w:val="00492E7F"/>
    <w:rsid w:val="0049315F"/>
    <w:rsid w:val="004933D1"/>
    <w:rsid w:val="004934D5"/>
    <w:rsid w:val="00493610"/>
    <w:rsid w:val="00493638"/>
    <w:rsid w:val="004936B9"/>
    <w:rsid w:val="00493816"/>
    <w:rsid w:val="004938EF"/>
    <w:rsid w:val="00493A42"/>
    <w:rsid w:val="00493ADE"/>
    <w:rsid w:val="00493B9D"/>
    <w:rsid w:val="00493BD6"/>
    <w:rsid w:val="00493E31"/>
    <w:rsid w:val="00493EC1"/>
    <w:rsid w:val="00493F80"/>
    <w:rsid w:val="00493FA2"/>
    <w:rsid w:val="00494156"/>
    <w:rsid w:val="00494481"/>
    <w:rsid w:val="004946B9"/>
    <w:rsid w:val="00494AC9"/>
    <w:rsid w:val="00494DB7"/>
    <w:rsid w:val="00494F87"/>
    <w:rsid w:val="00494FD8"/>
    <w:rsid w:val="004957E0"/>
    <w:rsid w:val="00495AE0"/>
    <w:rsid w:val="00495AE7"/>
    <w:rsid w:val="00495B2F"/>
    <w:rsid w:val="00495C71"/>
    <w:rsid w:val="00495D34"/>
    <w:rsid w:val="00495E3C"/>
    <w:rsid w:val="00496042"/>
    <w:rsid w:val="004963A1"/>
    <w:rsid w:val="00496405"/>
    <w:rsid w:val="0049647C"/>
    <w:rsid w:val="00496778"/>
    <w:rsid w:val="00496993"/>
    <w:rsid w:val="004969F9"/>
    <w:rsid w:val="00496CA1"/>
    <w:rsid w:val="00496CAB"/>
    <w:rsid w:val="00496D42"/>
    <w:rsid w:val="00496D6F"/>
    <w:rsid w:val="00496DE7"/>
    <w:rsid w:val="00496FC1"/>
    <w:rsid w:val="00497116"/>
    <w:rsid w:val="0049722E"/>
    <w:rsid w:val="00497259"/>
    <w:rsid w:val="00497371"/>
    <w:rsid w:val="00497419"/>
    <w:rsid w:val="00497430"/>
    <w:rsid w:val="004974BC"/>
    <w:rsid w:val="00497693"/>
    <w:rsid w:val="00497CF8"/>
    <w:rsid w:val="00497EF3"/>
    <w:rsid w:val="00497F74"/>
    <w:rsid w:val="00497FE1"/>
    <w:rsid w:val="004A019E"/>
    <w:rsid w:val="004A0200"/>
    <w:rsid w:val="004A030D"/>
    <w:rsid w:val="004A0534"/>
    <w:rsid w:val="004A0620"/>
    <w:rsid w:val="004A0715"/>
    <w:rsid w:val="004A0890"/>
    <w:rsid w:val="004A0972"/>
    <w:rsid w:val="004A09B9"/>
    <w:rsid w:val="004A0A16"/>
    <w:rsid w:val="004A0AA5"/>
    <w:rsid w:val="004A1085"/>
    <w:rsid w:val="004A1089"/>
    <w:rsid w:val="004A10E8"/>
    <w:rsid w:val="004A123F"/>
    <w:rsid w:val="004A149A"/>
    <w:rsid w:val="004A1888"/>
    <w:rsid w:val="004A1ADA"/>
    <w:rsid w:val="004A1D31"/>
    <w:rsid w:val="004A1D4E"/>
    <w:rsid w:val="004A206D"/>
    <w:rsid w:val="004A2305"/>
    <w:rsid w:val="004A246F"/>
    <w:rsid w:val="004A24B7"/>
    <w:rsid w:val="004A2670"/>
    <w:rsid w:val="004A26D9"/>
    <w:rsid w:val="004A285E"/>
    <w:rsid w:val="004A2939"/>
    <w:rsid w:val="004A29AB"/>
    <w:rsid w:val="004A2E0A"/>
    <w:rsid w:val="004A3026"/>
    <w:rsid w:val="004A30DD"/>
    <w:rsid w:val="004A3313"/>
    <w:rsid w:val="004A33DE"/>
    <w:rsid w:val="004A33F9"/>
    <w:rsid w:val="004A3455"/>
    <w:rsid w:val="004A36E5"/>
    <w:rsid w:val="004A3739"/>
    <w:rsid w:val="004A3E5E"/>
    <w:rsid w:val="004A42D1"/>
    <w:rsid w:val="004A42D7"/>
    <w:rsid w:val="004A4663"/>
    <w:rsid w:val="004A46E9"/>
    <w:rsid w:val="004A4A52"/>
    <w:rsid w:val="004A4BB4"/>
    <w:rsid w:val="004A4C80"/>
    <w:rsid w:val="004A51E8"/>
    <w:rsid w:val="004A54EC"/>
    <w:rsid w:val="004A57BA"/>
    <w:rsid w:val="004A5855"/>
    <w:rsid w:val="004A585F"/>
    <w:rsid w:val="004A58FE"/>
    <w:rsid w:val="004A5C68"/>
    <w:rsid w:val="004A5CC1"/>
    <w:rsid w:val="004A5EB8"/>
    <w:rsid w:val="004A5F51"/>
    <w:rsid w:val="004A6083"/>
    <w:rsid w:val="004A61DD"/>
    <w:rsid w:val="004A6400"/>
    <w:rsid w:val="004A6470"/>
    <w:rsid w:val="004A6761"/>
    <w:rsid w:val="004A6776"/>
    <w:rsid w:val="004A690C"/>
    <w:rsid w:val="004A6A01"/>
    <w:rsid w:val="004A6AEE"/>
    <w:rsid w:val="004A6C5E"/>
    <w:rsid w:val="004A6D45"/>
    <w:rsid w:val="004A6E8E"/>
    <w:rsid w:val="004A72BF"/>
    <w:rsid w:val="004A749B"/>
    <w:rsid w:val="004A7927"/>
    <w:rsid w:val="004A7A24"/>
    <w:rsid w:val="004A7A35"/>
    <w:rsid w:val="004A7CC6"/>
    <w:rsid w:val="004A7D28"/>
    <w:rsid w:val="004A7F09"/>
    <w:rsid w:val="004A7F13"/>
    <w:rsid w:val="004B01DE"/>
    <w:rsid w:val="004B038D"/>
    <w:rsid w:val="004B08B3"/>
    <w:rsid w:val="004B0DA4"/>
    <w:rsid w:val="004B12A3"/>
    <w:rsid w:val="004B12D4"/>
    <w:rsid w:val="004B1476"/>
    <w:rsid w:val="004B1567"/>
    <w:rsid w:val="004B1A38"/>
    <w:rsid w:val="004B1B4D"/>
    <w:rsid w:val="004B1C16"/>
    <w:rsid w:val="004B1E23"/>
    <w:rsid w:val="004B1EB9"/>
    <w:rsid w:val="004B1F67"/>
    <w:rsid w:val="004B2305"/>
    <w:rsid w:val="004B2419"/>
    <w:rsid w:val="004B266D"/>
    <w:rsid w:val="004B2819"/>
    <w:rsid w:val="004B2A6D"/>
    <w:rsid w:val="004B2D9A"/>
    <w:rsid w:val="004B2F29"/>
    <w:rsid w:val="004B2F7B"/>
    <w:rsid w:val="004B2F95"/>
    <w:rsid w:val="004B3178"/>
    <w:rsid w:val="004B320E"/>
    <w:rsid w:val="004B3313"/>
    <w:rsid w:val="004B3353"/>
    <w:rsid w:val="004B34A4"/>
    <w:rsid w:val="004B3530"/>
    <w:rsid w:val="004B35E1"/>
    <w:rsid w:val="004B374B"/>
    <w:rsid w:val="004B38F0"/>
    <w:rsid w:val="004B3B25"/>
    <w:rsid w:val="004B3B60"/>
    <w:rsid w:val="004B3C51"/>
    <w:rsid w:val="004B3D80"/>
    <w:rsid w:val="004B3DE7"/>
    <w:rsid w:val="004B3DF8"/>
    <w:rsid w:val="004B3E29"/>
    <w:rsid w:val="004B40B8"/>
    <w:rsid w:val="004B42D0"/>
    <w:rsid w:val="004B43AA"/>
    <w:rsid w:val="004B4498"/>
    <w:rsid w:val="004B45F0"/>
    <w:rsid w:val="004B4652"/>
    <w:rsid w:val="004B4B79"/>
    <w:rsid w:val="004B4D90"/>
    <w:rsid w:val="004B5192"/>
    <w:rsid w:val="004B51F1"/>
    <w:rsid w:val="004B52CF"/>
    <w:rsid w:val="004B5340"/>
    <w:rsid w:val="004B53A1"/>
    <w:rsid w:val="004B55F6"/>
    <w:rsid w:val="004B571C"/>
    <w:rsid w:val="004B59C5"/>
    <w:rsid w:val="004B5C36"/>
    <w:rsid w:val="004B5CF7"/>
    <w:rsid w:val="004B5DD9"/>
    <w:rsid w:val="004B5EE8"/>
    <w:rsid w:val="004B5FF8"/>
    <w:rsid w:val="004B61D2"/>
    <w:rsid w:val="004B646C"/>
    <w:rsid w:val="004B6471"/>
    <w:rsid w:val="004B6738"/>
    <w:rsid w:val="004B6766"/>
    <w:rsid w:val="004B67E0"/>
    <w:rsid w:val="004B685A"/>
    <w:rsid w:val="004B6A39"/>
    <w:rsid w:val="004B6B11"/>
    <w:rsid w:val="004B6B53"/>
    <w:rsid w:val="004B6C7D"/>
    <w:rsid w:val="004B6E4C"/>
    <w:rsid w:val="004B73F9"/>
    <w:rsid w:val="004B74B7"/>
    <w:rsid w:val="004B7588"/>
    <w:rsid w:val="004B7884"/>
    <w:rsid w:val="004B788F"/>
    <w:rsid w:val="004B7B7F"/>
    <w:rsid w:val="004C02E3"/>
    <w:rsid w:val="004C03FF"/>
    <w:rsid w:val="004C0539"/>
    <w:rsid w:val="004C067C"/>
    <w:rsid w:val="004C08ED"/>
    <w:rsid w:val="004C0D22"/>
    <w:rsid w:val="004C124C"/>
    <w:rsid w:val="004C1462"/>
    <w:rsid w:val="004C156E"/>
    <w:rsid w:val="004C1653"/>
    <w:rsid w:val="004C16A9"/>
    <w:rsid w:val="004C17ED"/>
    <w:rsid w:val="004C18A8"/>
    <w:rsid w:val="004C1B39"/>
    <w:rsid w:val="004C1D38"/>
    <w:rsid w:val="004C24C6"/>
    <w:rsid w:val="004C262D"/>
    <w:rsid w:val="004C273A"/>
    <w:rsid w:val="004C27D6"/>
    <w:rsid w:val="004C27E7"/>
    <w:rsid w:val="004C2902"/>
    <w:rsid w:val="004C2A65"/>
    <w:rsid w:val="004C2EBF"/>
    <w:rsid w:val="004C3050"/>
    <w:rsid w:val="004C322F"/>
    <w:rsid w:val="004C3449"/>
    <w:rsid w:val="004C3637"/>
    <w:rsid w:val="004C3794"/>
    <w:rsid w:val="004C3A69"/>
    <w:rsid w:val="004C3A87"/>
    <w:rsid w:val="004C3B0F"/>
    <w:rsid w:val="004C3B9C"/>
    <w:rsid w:val="004C3BC6"/>
    <w:rsid w:val="004C3C58"/>
    <w:rsid w:val="004C3D6B"/>
    <w:rsid w:val="004C44BC"/>
    <w:rsid w:val="004C4801"/>
    <w:rsid w:val="004C499F"/>
    <w:rsid w:val="004C4B89"/>
    <w:rsid w:val="004C4BA9"/>
    <w:rsid w:val="004C4F5D"/>
    <w:rsid w:val="004C54C3"/>
    <w:rsid w:val="004C550E"/>
    <w:rsid w:val="004C56AC"/>
    <w:rsid w:val="004C5853"/>
    <w:rsid w:val="004C5C15"/>
    <w:rsid w:val="004C5CA5"/>
    <w:rsid w:val="004C5FCB"/>
    <w:rsid w:val="004C6061"/>
    <w:rsid w:val="004C606D"/>
    <w:rsid w:val="004C62BD"/>
    <w:rsid w:val="004C67F9"/>
    <w:rsid w:val="004C6821"/>
    <w:rsid w:val="004C69D8"/>
    <w:rsid w:val="004C6BC2"/>
    <w:rsid w:val="004C71D1"/>
    <w:rsid w:val="004C7346"/>
    <w:rsid w:val="004C7590"/>
    <w:rsid w:val="004C78C6"/>
    <w:rsid w:val="004C7A46"/>
    <w:rsid w:val="004C7C89"/>
    <w:rsid w:val="004C7D2F"/>
    <w:rsid w:val="004C7E35"/>
    <w:rsid w:val="004D004E"/>
    <w:rsid w:val="004D022A"/>
    <w:rsid w:val="004D02FC"/>
    <w:rsid w:val="004D06D2"/>
    <w:rsid w:val="004D0839"/>
    <w:rsid w:val="004D099E"/>
    <w:rsid w:val="004D0A5D"/>
    <w:rsid w:val="004D0DE1"/>
    <w:rsid w:val="004D0E4E"/>
    <w:rsid w:val="004D10E0"/>
    <w:rsid w:val="004D12D0"/>
    <w:rsid w:val="004D17F1"/>
    <w:rsid w:val="004D1987"/>
    <w:rsid w:val="004D1A14"/>
    <w:rsid w:val="004D1E17"/>
    <w:rsid w:val="004D1EF5"/>
    <w:rsid w:val="004D1EFB"/>
    <w:rsid w:val="004D1FE0"/>
    <w:rsid w:val="004D2009"/>
    <w:rsid w:val="004D2053"/>
    <w:rsid w:val="004D20D4"/>
    <w:rsid w:val="004D228C"/>
    <w:rsid w:val="004D248C"/>
    <w:rsid w:val="004D24FC"/>
    <w:rsid w:val="004D2534"/>
    <w:rsid w:val="004D2712"/>
    <w:rsid w:val="004D27C3"/>
    <w:rsid w:val="004D28A3"/>
    <w:rsid w:val="004D2B1E"/>
    <w:rsid w:val="004D2B59"/>
    <w:rsid w:val="004D2CAB"/>
    <w:rsid w:val="004D300A"/>
    <w:rsid w:val="004D34DF"/>
    <w:rsid w:val="004D3594"/>
    <w:rsid w:val="004D38EA"/>
    <w:rsid w:val="004D39D1"/>
    <w:rsid w:val="004D3BB9"/>
    <w:rsid w:val="004D3C5B"/>
    <w:rsid w:val="004D3CEE"/>
    <w:rsid w:val="004D3D3E"/>
    <w:rsid w:val="004D3E7A"/>
    <w:rsid w:val="004D4636"/>
    <w:rsid w:val="004D4640"/>
    <w:rsid w:val="004D467B"/>
    <w:rsid w:val="004D4699"/>
    <w:rsid w:val="004D4780"/>
    <w:rsid w:val="004D483E"/>
    <w:rsid w:val="004D49D3"/>
    <w:rsid w:val="004D5091"/>
    <w:rsid w:val="004D5304"/>
    <w:rsid w:val="004D536B"/>
    <w:rsid w:val="004D54C1"/>
    <w:rsid w:val="004D54D0"/>
    <w:rsid w:val="004D5632"/>
    <w:rsid w:val="004D57D2"/>
    <w:rsid w:val="004D59EC"/>
    <w:rsid w:val="004D5C4B"/>
    <w:rsid w:val="004D5FF5"/>
    <w:rsid w:val="004D60A8"/>
    <w:rsid w:val="004D61B4"/>
    <w:rsid w:val="004D61B6"/>
    <w:rsid w:val="004D6871"/>
    <w:rsid w:val="004D6913"/>
    <w:rsid w:val="004D6CA2"/>
    <w:rsid w:val="004D6D1F"/>
    <w:rsid w:val="004D7814"/>
    <w:rsid w:val="004D7896"/>
    <w:rsid w:val="004D7974"/>
    <w:rsid w:val="004D7C11"/>
    <w:rsid w:val="004D7CF5"/>
    <w:rsid w:val="004D7D19"/>
    <w:rsid w:val="004E0062"/>
    <w:rsid w:val="004E0070"/>
    <w:rsid w:val="004E013F"/>
    <w:rsid w:val="004E03E8"/>
    <w:rsid w:val="004E0474"/>
    <w:rsid w:val="004E04BE"/>
    <w:rsid w:val="004E0542"/>
    <w:rsid w:val="004E08A1"/>
    <w:rsid w:val="004E09AE"/>
    <w:rsid w:val="004E0E02"/>
    <w:rsid w:val="004E1104"/>
    <w:rsid w:val="004E11B1"/>
    <w:rsid w:val="004E13F5"/>
    <w:rsid w:val="004E146A"/>
    <w:rsid w:val="004E1535"/>
    <w:rsid w:val="004E1653"/>
    <w:rsid w:val="004E166B"/>
    <w:rsid w:val="004E16A8"/>
    <w:rsid w:val="004E1828"/>
    <w:rsid w:val="004E18D6"/>
    <w:rsid w:val="004E19EA"/>
    <w:rsid w:val="004E1A6D"/>
    <w:rsid w:val="004E1DFB"/>
    <w:rsid w:val="004E21A6"/>
    <w:rsid w:val="004E2216"/>
    <w:rsid w:val="004E228D"/>
    <w:rsid w:val="004E23BA"/>
    <w:rsid w:val="004E24BB"/>
    <w:rsid w:val="004E2519"/>
    <w:rsid w:val="004E25C6"/>
    <w:rsid w:val="004E275C"/>
    <w:rsid w:val="004E2A18"/>
    <w:rsid w:val="004E2C4B"/>
    <w:rsid w:val="004E2CCD"/>
    <w:rsid w:val="004E2DB1"/>
    <w:rsid w:val="004E2F5B"/>
    <w:rsid w:val="004E2F64"/>
    <w:rsid w:val="004E33BA"/>
    <w:rsid w:val="004E3596"/>
    <w:rsid w:val="004E36A6"/>
    <w:rsid w:val="004E39AC"/>
    <w:rsid w:val="004E3AEE"/>
    <w:rsid w:val="004E3AF0"/>
    <w:rsid w:val="004E3C76"/>
    <w:rsid w:val="004E3EFC"/>
    <w:rsid w:val="004E3F77"/>
    <w:rsid w:val="004E4575"/>
    <w:rsid w:val="004E4692"/>
    <w:rsid w:val="004E47C3"/>
    <w:rsid w:val="004E499F"/>
    <w:rsid w:val="004E49D1"/>
    <w:rsid w:val="004E4ADC"/>
    <w:rsid w:val="004E5280"/>
    <w:rsid w:val="004E5303"/>
    <w:rsid w:val="004E536C"/>
    <w:rsid w:val="004E54C3"/>
    <w:rsid w:val="004E550F"/>
    <w:rsid w:val="004E5760"/>
    <w:rsid w:val="004E5809"/>
    <w:rsid w:val="004E5DC7"/>
    <w:rsid w:val="004E604E"/>
    <w:rsid w:val="004E626F"/>
    <w:rsid w:val="004E6549"/>
    <w:rsid w:val="004E65D3"/>
    <w:rsid w:val="004E6DB6"/>
    <w:rsid w:val="004E73ED"/>
    <w:rsid w:val="004E7414"/>
    <w:rsid w:val="004E75A4"/>
    <w:rsid w:val="004E78A7"/>
    <w:rsid w:val="004E79AD"/>
    <w:rsid w:val="004E7B6A"/>
    <w:rsid w:val="004E7D2E"/>
    <w:rsid w:val="004F082A"/>
    <w:rsid w:val="004F0A5A"/>
    <w:rsid w:val="004F0AF9"/>
    <w:rsid w:val="004F0BE8"/>
    <w:rsid w:val="004F0CD1"/>
    <w:rsid w:val="004F0CDC"/>
    <w:rsid w:val="004F0EA3"/>
    <w:rsid w:val="004F0EE7"/>
    <w:rsid w:val="004F10BD"/>
    <w:rsid w:val="004F112B"/>
    <w:rsid w:val="004F1299"/>
    <w:rsid w:val="004F169B"/>
    <w:rsid w:val="004F1772"/>
    <w:rsid w:val="004F1798"/>
    <w:rsid w:val="004F17CE"/>
    <w:rsid w:val="004F1F68"/>
    <w:rsid w:val="004F1FC6"/>
    <w:rsid w:val="004F2203"/>
    <w:rsid w:val="004F2211"/>
    <w:rsid w:val="004F221F"/>
    <w:rsid w:val="004F2D45"/>
    <w:rsid w:val="004F30CF"/>
    <w:rsid w:val="004F32B8"/>
    <w:rsid w:val="004F33C2"/>
    <w:rsid w:val="004F3426"/>
    <w:rsid w:val="004F3432"/>
    <w:rsid w:val="004F3533"/>
    <w:rsid w:val="004F37FE"/>
    <w:rsid w:val="004F391E"/>
    <w:rsid w:val="004F3B7D"/>
    <w:rsid w:val="004F3BCC"/>
    <w:rsid w:val="004F3D7B"/>
    <w:rsid w:val="004F459C"/>
    <w:rsid w:val="004F47EE"/>
    <w:rsid w:val="004F4AC1"/>
    <w:rsid w:val="004F4B59"/>
    <w:rsid w:val="004F4C00"/>
    <w:rsid w:val="004F4DEC"/>
    <w:rsid w:val="004F4FBE"/>
    <w:rsid w:val="004F519C"/>
    <w:rsid w:val="004F523B"/>
    <w:rsid w:val="004F53BF"/>
    <w:rsid w:val="004F53DB"/>
    <w:rsid w:val="004F563B"/>
    <w:rsid w:val="004F564C"/>
    <w:rsid w:val="004F5962"/>
    <w:rsid w:val="004F5984"/>
    <w:rsid w:val="004F59A7"/>
    <w:rsid w:val="004F5A59"/>
    <w:rsid w:val="004F5B6C"/>
    <w:rsid w:val="004F5CB4"/>
    <w:rsid w:val="004F5D9C"/>
    <w:rsid w:val="004F5DF6"/>
    <w:rsid w:val="004F5E11"/>
    <w:rsid w:val="004F5E24"/>
    <w:rsid w:val="004F5FE1"/>
    <w:rsid w:val="004F6357"/>
    <w:rsid w:val="004F63BC"/>
    <w:rsid w:val="004F64E3"/>
    <w:rsid w:val="004F67B1"/>
    <w:rsid w:val="004F68FD"/>
    <w:rsid w:val="004F6A9C"/>
    <w:rsid w:val="004F6D8F"/>
    <w:rsid w:val="004F6DC5"/>
    <w:rsid w:val="004F7007"/>
    <w:rsid w:val="004F716C"/>
    <w:rsid w:val="004F74B4"/>
    <w:rsid w:val="004F7585"/>
    <w:rsid w:val="004F75C4"/>
    <w:rsid w:val="004F7C12"/>
    <w:rsid w:val="004F7DCD"/>
    <w:rsid w:val="004F7E0B"/>
    <w:rsid w:val="004F7F00"/>
    <w:rsid w:val="005000AB"/>
    <w:rsid w:val="00500223"/>
    <w:rsid w:val="00500352"/>
    <w:rsid w:val="005003F5"/>
    <w:rsid w:val="00500636"/>
    <w:rsid w:val="00500BDD"/>
    <w:rsid w:val="00500CF7"/>
    <w:rsid w:val="00500D9A"/>
    <w:rsid w:val="00500E89"/>
    <w:rsid w:val="00500F6F"/>
    <w:rsid w:val="00500F79"/>
    <w:rsid w:val="00500F83"/>
    <w:rsid w:val="00501071"/>
    <w:rsid w:val="005013A2"/>
    <w:rsid w:val="005014D0"/>
    <w:rsid w:val="00501595"/>
    <w:rsid w:val="005019A6"/>
    <w:rsid w:val="00501A6F"/>
    <w:rsid w:val="00501E0C"/>
    <w:rsid w:val="00501F81"/>
    <w:rsid w:val="00501FAC"/>
    <w:rsid w:val="0050214B"/>
    <w:rsid w:val="00502338"/>
    <w:rsid w:val="0050267E"/>
    <w:rsid w:val="00502F03"/>
    <w:rsid w:val="00502F10"/>
    <w:rsid w:val="00503122"/>
    <w:rsid w:val="00503195"/>
    <w:rsid w:val="0050319A"/>
    <w:rsid w:val="00503282"/>
    <w:rsid w:val="00503298"/>
    <w:rsid w:val="00503382"/>
    <w:rsid w:val="005033DE"/>
    <w:rsid w:val="00503421"/>
    <w:rsid w:val="0050342A"/>
    <w:rsid w:val="00503684"/>
    <w:rsid w:val="005037E6"/>
    <w:rsid w:val="00503951"/>
    <w:rsid w:val="00503A8A"/>
    <w:rsid w:val="00503B89"/>
    <w:rsid w:val="00503FA8"/>
    <w:rsid w:val="0050425F"/>
    <w:rsid w:val="005042C4"/>
    <w:rsid w:val="00504375"/>
    <w:rsid w:val="0050463B"/>
    <w:rsid w:val="005046EF"/>
    <w:rsid w:val="00504739"/>
    <w:rsid w:val="0050488A"/>
    <w:rsid w:val="005049ED"/>
    <w:rsid w:val="00504A0D"/>
    <w:rsid w:val="00504AC5"/>
    <w:rsid w:val="00504CCA"/>
    <w:rsid w:val="00504D32"/>
    <w:rsid w:val="00504E1B"/>
    <w:rsid w:val="005050D8"/>
    <w:rsid w:val="005051CA"/>
    <w:rsid w:val="0050539A"/>
    <w:rsid w:val="005054F3"/>
    <w:rsid w:val="0050592E"/>
    <w:rsid w:val="0050596D"/>
    <w:rsid w:val="00505B85"/>
    <w:rsid w:val="00505F51"/>
    <w:rsid w:val="0050609D"/>
    <w:rsid w:val="005061D0"/>
    <w:rsid w:val="0050623D"/>
    <w:rsid w:val="00506251"/>
    <w:rsid w:val="005062B5"/>
    <w:rsid w:val="00506396"/>
    <w:rsid w:val="005064FE"/>
    <w:rsid w:val="005067BB"/>
    <w:rsid w:val="005068A4"/>
    <w:rsid w:val="005068E4"/>
    <w:rsid w:val="00506925"/>
    <w:rsid w:val="00506AEC"/>
    <w:rsid w:val="00506C39"/>
    <w:rsid w:val="00506D77"/>
    <w:rsid w:val="00506DA5"/>
    <w:rsid w:val="00506E5E"/>
    <w:rsid w:val="0050709B"/>
    <w:rsid w:val="0050767F"/>
    <w:rsid w:val="00507CEF"/>
    <w:rsid w:val="005100EA"/>
    <w:rsid w:val="0051015C"/>
    <w:rsid w:val="00510426"/>
    <w:rsid w:val="00510776"/>
    <w:rsid w:val="00510A05"/>
    <w:rsid w:val="00510CB2"/>
    <w:rsid w:val="00510E2B"/>
    <w:rsid w:val="00511159"/>
    <w:rsid w:val="005111BF"/>
    <w:rsid w:val="00511580"/>
    <w:rsid w:val="00511891"/>
    <w:rsid w:val="00511BFD"/>
    <w:rsid w:val="00511E27"/>
    <w:rsid w:val="00511EFC"/>
    <w:rsid w:val="00511F07"/>
    <w:rsid w:val="00511F78"/>
    <w:rsid w:val="005120A1"/>
    <w:rsid w:val="00512110"/>
    <w:rsid w:val="005121D2"/>
    <w:rsid w:val="00512274"/>
    <w:rsid w:val="00512373"/>
    <w:rsid w:val="005123D0"/>
    <w:rsid w:val="0051244C"/>
    <w:rsid w:val="00512AF5"/>
    <w:rsid w:val="00512B79"/>
    <w:rsid w:val="00512DDE"/>
    <w:rsid w:val="00513509"/>
    <w:rsid w:val="00513533"/>
    <w:rsid w:val="00513639"/>
    <w:rsid w:val="0051374B"/>
    <w:rsid w:val="0051387B"/>
    <w:rsid w:val="005138EA"/>
    <w:rsid w:val="00513B2A"/>
    <w:rsid w:val="00513D8D"/>
    <w:rsid w:val="00513F0D"/>
    <w:rsid w:val="005140A1"/>
    <w:rsid w:val="00514990"/>
    <w:rsid w:val="00514B40"/>
    <w:rsid w:val="00514E5A"/>
    <w:rsid w:val="0051504D"/>
    <w:rsid w:val="005150E3"/>
    <w:rsid w:val="005155E4"/>
    <w:rsid w:val="00515673"/>
    <w:rsid w:val="00515889"/>
    <w:rsid w:val="0051597F"/>
    <w:rsid w:val="00515C02"/>
    <w:rsid w:val="00515C0A"/>
    <w:rsid w:val="00515C65"/>
    <w:rsid w:val="00515D7F"/>
    <w:rsid w:val="00515F7C"/>
    <w:rsid w:val="00516043"/>
    <w:rsid w:val="005164C8"/>
    <w:rsid w:val="00516A2A"/>
    <w:rsid w:val="00516B41"/>
    <w:rsid w:val="00516D0D"/>
    <w:rsid w:val="00516E44"/>
    <w:rsid w:val="00516E8F"/>
    <w:rsid w:val="00516FD3"/>
    <w:rsid w:val="005170D6"/>
    <w:rsid w:val="00517353"/>
    <w:rsid w:val="00517426"/>
    <w:rsid w:val="0051748D"/>
    <w:rsid w:val="00517495"/>
    <w:rsid w:val="00517573"/>
    <w:rsid w:val="0051778D"/>
    <w:rsid w:val="00517909"/>
    <w:rsid w:val="00517AD7"/>
    <w:rsid w:val="00517E06"/>
    <w:rsid w:val="00517E45"/>
    <w:rsid w:val="00517E4B"/>
    <w:rsid w:val="00517E9C"/>
    <w:rsid w:val="0052059D"/>
    <w:rsid w:val="005206D7"/>
    <w:rsid w:val="0052071A"/>
    <w:rsid w:val="00520809"/>
    <w:rsid w:val="00520A07"/>
    <w:rsid w:val="00520A0E"/>
    <w:rsid w:val="00520DA7"/>
    <w:rsid w:val="00520DDF"/>
    <w:rsid w:val="00520EAF"/>
    <w:rsid w:val="00520F6C"/>
    <w:rsid w:val="00520FB3"/>
    <w:rsid w:val="00521095"/>
    <w:rsid w:val="0052121A"/>
    <w:rsid w:val="005218A8"/>
    <w:rsid w:val="00521A05"/>
    <w:rsid w:val="00521C42"/>
    <w:rsid w:val="00521C92"/>
    <w:rsid w:val="00521E4B"/>
    <w:rsid w:val="00521FED"/>
    <w:rsid w:val="00522030"/>
    <w:rsid w:val="00522280"/>
    <w:rsid w:val="00522352"/>
    <w:rsid w:val="005223DD"/>
    <w:rsid w:val="005227B3"/>
    <w:rsid w:val="00522A37"/>
    <w:rsid w:val="00522BCD"/>
    <w:rsid w:val="00522CAE"/>
    <w:rsid w:val="00522D50"/>
    <w:rsid w:val="00522EAD"/>
    <w:rsid w:val="00522F87"/>
    <w:rsid w:val="00522FB9"/>
    <w:rsid w:val="0052342A"/>
    <w:rsid w:val="0052346B"/>
    <w:rsid w:val="005234E1"/>
    <w:rsid w:val="00523563"/>
    <w:rsid w:val="00523BB6"/>
    <w:rsid w:val="00523CCB"/>
    <w:rsid w:val="00523DDF"/>
    <w:rsid w:val="00523FC2"/>
    <w:rsid w:val="00524652"/>
    <w:rsid w:val="005246BE"/>
    <w:rsid w:val="00524719"/>
    <w:rsid w:val="00524923"/>
    <w:rsid w:val="00524B2C"/>
    <w:rsid w:val="00524B87"/>
    <w:rsid w:val="00524BF6"/>
    <w:rsid w:val="00524C34"/>
    <w:rsid w:val="00524D63"/>
    <w:rsid w:val="00524EF1"/>
    <w:rsid w:val="00524F87"/>
    <w:rsid w:val="0052524E"/>
    <w:rsid w:val="005253DE"/>
    <w:rsid w:val="005253F6"/>
    <w:rsid w:val="0052546C"/>
    <w:rsid w:val="0052558F"/>
    <w:rsid w:val="005255D9"/>
    <w:rsid w:val="0052563E"/>
    <w:rsid w:val="00525903"/>
    <w:rsid w:val="00525B78"/>
    <w:rsid w:val="00525CEF"/>
    <w:rsid w:val="00525D9A"/>
    <w:rsid w:val="00525E0D"/>
    <w:rsid w:val="00525F56"/>
    <w:rsid w:val="00525FC6"/>
    <w:rsid w:val="00525FDE"/>
    <w:rsid w:val="00526001"/>
    <w:rsid w:val="005262F2"/>
    <w:rsid w:val="005266C2"/>
    <w:rsid w:val="005266DE"/>
    <w:rsid w:val="0052671A"/>
    <w:rsid w:val="005268F4"/>
    <w:rsid w:val="0052696C"/>
    <w:rsid w:val="00526A63"/>
    <w:rsid w:val="00526B2D"/>
    <w:rsid w:val="00526B8F"/>
    <w:rsid w:val="00526DD3"/>
    <w:rsid w:val="0052706A"/>
    <w:rsid w:val="005271C7"/>
    <w:rsid w:val="005272D1"/>
    <w:rsid w:val="00527819"/>
    <w:rsid w:val="00527C11"/>
    <w:rsid w:val="00527DC3"/>
    <w:rsid w:val="00527DCE"/>
    <w:rsid w:val="00527F0A"/>
    <w:rsid w:val="00530085"/>
    <w:rsid w:val="00530394"/>
    <w:rsid w:val="005303BB"/>
    <w:rsid w:val="00530C28"/>
    <w:rsid w:val="0053102D"/>
    <w:rsid w:val="005316B2"/>
    <w:rsid w:val="005316D0"/>
    <w:rsid w:val="005317BF"/>
    <w:rsid w:val="00531F69"/>
    <w:rsid w:val="005324EB"/>
    <w:rsid w:val="005326C4"/>
    <w:rsid w:val="0053281C"/>
    <w:rsid w:val="00532863"/>
    <w:rsid w:val="0053292F"/>
    <w:rsid w:val="0053294D"/>
    <w:rsid w:val="00532983"/>
    <w:rsid w:val="00532BC3"/>
    <w:rsid w:val="00532EE4"/>
    <w:rsid w:val="00533359"/>
    <w:rsid w:val="005335B4"/>
    <w:rsid w:val="00533667"/>
    <w:rsid w:val="005338FD"/>
    <w:rsid w:val="00533C58"/>
    <w:rsid w:val="00533D1F"/>
    <w:rsid w:val="00533EF7"/>
    <w:rsid w:val="00533F50"/>
    <w:rsid w:val="00534059"/>
    <w:rsid w:val="00534171"/>
    <w:rsid w:val="0053422B"/>
    <w:rsid w:val="0053437F"/>
    <w:rsid w:val="005343D7"/>
    <w:rsid w:val="00534403"/>
    <w:rsid w:val="00534555"/>
    <w:rsid w:val="005345D9"/>
    <w:rsid w:val="005346C5"/>
    <w:rsid w:val="005346DB"/>
    <w:rsid w:val="005348BC"/>
    <w:rsid w:val="00534A1F"/>
    <w:rsid w:val="00534E43"/>
    <w:rsid w:val="00534E95"/>
    <w:rsid w:val="0053505B"/>
    <w:rsid w:val="00535081"/>
    <w:rsid w:val="00535236"/>
    <w:rsid w:val="0053526F"/>
    <w:rsid w:val="00535433"/>
    <w:rsid w:val="0053568E"/>
    <w:rsid w:val="00535C3E"/>
    <w:rsid w:val="00535CC5"/>
    <w:rsid w:val="00535E54"/>
    <w:rsid w:val="00535F68"/>
    <w:rsid w:val="0053615C"/>
    <w:rsid w:val="00536302"/>
    <w:rsid w:val="00536461"/>
    <w:rsid w:val="0053655B"/>
    <w:rsid w:val="0053663A"/>
    <w:rsid w:val="00536784"/>
    <w:rsid w:val="00536795"/>
    <w:rsid w:val="00536BBE"/>
    <w:rsid w:val="00536CED"/>
    <w:rsid w:val="00536F8A"/>
    <w:rsid w:val="00537049"/>
    <w:rsid w:val="0053708D"/>
    <w:rsid w:val="005370FC"/>
    <w:rsid w:val="00537165"/>
    <w:rsid w:val="00537663"/>
    <w:rsid w:val="005376D5"/>
    <w:rsid w:val="005377D1"/>
    <w:rsid w:val="00537B09"/>
    <w:rsid w:val="00537CB7"/>
    <w:rsid w:val="0054002B"/>
    <w:rsid w:val="005401FE"/>
    <w:rsid w:val="00540606"/>
    <w:rsid w:val="0054066A"/>
    <w:rsid w:val="005406FD"/>
    <w:rsid w:val="005407BB"/>
    <w:rsid w:val="005409BA"/>
    <w:rsid w:val="00540ADD"/>
    <w:rsid w:val="00540D29"/>
    <w:rsid w:val="00540FFF"/>
    <w:rsid w:val="0054104F"/>
    <w:rsid w:val="00541307"/>
    <w:rsid w:val="005414DD"/>
    <w:rsid w:val="00541680"/>
    <w:rsid w:val="005417F2"/>
    <w:rsid w:val="00541F43"/>
    <w:rsid w:val="0054217E"/>
    <w:rsid w:val="005421AF"/>
    <w:rsid w:val="005424B8"/>
    <w:rsid w:val="00542662"/>
    <w:rsid w:val="00542770"/>
    <w:rsid w:val="005429CE"/>
    <w:rsid w:val="00542C54"/>
    <w:rsid w:val="00542DFD"/>
    <w:rsid w:val="00542F41"/>
    <w:rsid w:val="00543081"/>
    <w:rsid w:val="00543390"/>
    <w:rsid w:val="0054343A"/>
    <w:rsid w:val="005434C2"/>
    <w:rsid w:val="0054386B"/>
    <w:rsid w:val="005438A0"/>
    <w:rsid w:val="0054393E"/>
    <w:rsid w:val="00543B31"/>
    <w:rsid w:val="00543B53"/>
    <w:rsid w:val="00543C25"/>
    <w:rsid w:val="00543C52"/>
    <w:rsid w:val="00543F67"/>
    <w:rsid w:val="00543F8D"/>
    <w:rsid w:val="0054411A"/>
    <w:rsid w:val="00544228"/>
    <w:rsid w:val="005442D4"/>
    <w:rsid w:val="005445C5"/>
    <w:rsid w:val="005446B2"/>
    <w:rsid w:val="00544BC4"/>
    <w:rsid w:val="00544D79"/>
    <w:rsid w:val="00544E63"/>
    <w:rsid w:val="00544EBB"/>
    <w:rsid w:val="00544FDD"/>
    <w:rsid w:val="0054555D"/>
    <w:rsid w:val="0054565A"/>
    <w:rsid w:val="0054577F"/>
    <w:rsid w:val="005457DD"/>
    <w:rsid w:val="00545A07"/>
    <w:rsid w:val="00545A1A"/>
    <w:rsid w:val="00545D19"/>
    <w:rsid w:val="005460FD"/>
    <w:rsid w:val="0054630F"/>
    <w:rsid w:val="005466E6"/>
    <w:rsid w:val="00546746"/>
    <w:rsid w:val="0054689C"/>
    <w:rsid w:val="00546927"/>
    <w:rsid w:val="00546957"/>
    <w:rsid w:val="00546AFD"/>
    <w:rsid w:val="00546B31"/>
    <w:rsid w:val="00546DF0"/>
    <w:rsid w:val="00546EB5"/>
    <w:rsid w:val="005475ED"/>
    <w:rsid w:val="00547942"/>
    <w:rsid w:val="00547C3B"/>
    <w:rsid w:val="00547CBF"/>
    <w:rsid w:val="00547F17"/>
    <w:rsid w:val="00550068"/>
    <w:rsid w:val="00550232"/>
    <w:rsid w:val="00550478"/>
    <w:rsid w:val="0055056B"/>
    <w:rsid w:val="00550584"/>
    <w:rsid w:val="00550805"/>
    <w:rsid w:val="005509B5"/>
    <w:rsid w:val="00550BD6"/>
    <w:rsid w:val="00550CD3"/>
    <w:rsid w:val="00550D34"/>
    <w:rsid w:val="00550D42"/>
    <w:rsid w:val="00550EA3"/>
    <w:rsid w:val="00550F53"/>
    <w:rsid w:val="00551203"/>
    <w:rsid w:val="00551354"/>
    <w:rsid w:val="00551779"/>
    <w:rsid w:val="005518FE"/>
    <w:rsid w:val="005519C5"/>
    <w:rsid w:val="00551B31"/>
    <w:rsid w:val="00551C65"/>
    <w:rsid w:val="00551CAF"/>
    <w:rsid w:val="00551D95"/>
    <w:rsid w:val="00551E72"/>
    <w:rsid w:val="00551FC4"/>
    <w:rsid w:val="005529AE"/>
    <w:rsid w:val="00552B0B"/>
    <w:rsid w:val="00552B17"/>
    <w:rsid w:val="00552DF5"/>
    <w:rsid w:val="00553332"/>
    <w:rsid w:val="005534A1"/>
    <w:rsid w:val="00553503"/>
    <w:rsid w:val="005537BC"/>
    <w:rsid w:val="005538A2"/>
    <w:rsid w:val="00553945"/>
    <w:rsid w:val="00553979"/>
    <w:rsid w:val="00553ABF"/>
    <w:rsid w:val="00553AF7"/>
    <w:rsid w:val="00553C15"/>
    <w:rsid w:val="00553CA5"/>
    <w:rsid w:val="0055403B"/>
    <w:rsid w:val="005542FF"/>
    <w:rsid w:val="00554371"/>
    <w:rsid w:val="005543DB"/>
    <w:rsid w:val="005545EB"/>
    <w:rsid w:val="00554783"/>
    <w:rsid w:val="005548C6"/>
    <w:rsid w:val="005549FA"/>
    <w:rsid w:val="00554A42"/>
    <w:rsid w:val="00554D9A"/>
    <w:rsid w:val="00554F8F"/>
    <w:rsid w:val="00554FC5"/>
    <w:rsid w:val="00555129"/>
    <w:rsid w:val="0055535F"/>
    <w:rsid w:val="00555491"/>
    <w:rsid w:val="00555578"/>
    <w:rsid w:val="00555959"/>
    <w:rsid w:val="00555AC6"/>
    <w:rsid w:val="00555B64"/>
    <w:rsid w:val="005560C7"/>
    <w:rsid w:val="00556321"/>
    <w:rsid w:val="0055639E"/>
    <w:rsid w:val="00556575"/>
    <w:rsid w:val="00556654"/>
    <w:rsid w:val="005566D1"/>
    <w:rsid w:val="00556787"/>
    <w:rsid w:val="005567D2"/>
    <w:rsid w:val="005567E8"/>
    <w:rsid w:val="00556ABE"/>
    <w:rsid w:val="00556B4E"/>
    <w:rsid w:val="00556D67"/>
    <w:rsid w:val="00556D76"/>
    <w:rsid w:val="00556F13"/>
    <w:rsid w:val="00556F59"/>
    <w:rsid w:val="00556F8B"/>
    <w:rsid w:val="00556FAF"/>
    <w:rsid w:val="00557052"/>
    <w:rsid w:val="005575D4"/>
    <w:rsid w:val="005579D3"/>
    <w:rsid w:val="00557AA4"/>
    <w:rsid w:val="00557AAD"/>
    <w:rsid w:val="00557CD9"/>
    <w:rsid w:val="0056043A"/>
    <w:rsid w:val="00560A91"/>
    <w:rsid w:val="00560D2E"/>
    <w:rsid w:val="00560E9D"/>
    <w:rsid w:val="005611D2"/>
    <w:rsid w:val="0056126E"/>
    <w:rsid w:val="00561336"/>
    <w:rsid w:val="0056137D"/>
    <w:rsid w:val="00561407"/>
    <w:rsid w:val="005614B4"/>
    <w:rsid w:val="005614C1"/>
    <w:rsid w:val="005615C2"/>
    <w:rsid w:val="00561910"/>
    <w:rsid w:val="005619CE"/>
    <w:rsid w:val="00561C4C"/>
    <w:rsid w:val="00561E19"/>
    <w:rsid w:val="00562417"/>
    <w:rsid w:val="005625FB"/>
    <w:rsid w:val="0056275D"/>
    <w:rsid w:val="00562E38"/>
    <w:rsid w:val="00562E5C"/>
    <w:rsid w:val="00562ECE"/>
    <w:rsid w:val="00562EEA"/>
    <w:rsid w:val="00562FE9"/>
    <w:rsid w:val="0056316A"/>
    <w:rsid w:val="00563629"/>
    <w:rsid w:val="0056380F"/>
    <w:rsid w:val="00563A82"/>
    <w:rsid w:val="00563AAC"/>
    <w:rsid w:val="00563C71"/>
    <w:rsid w:val="00563E9F"/>
    <w:rsid w:val="0056423F"/>
    <w:rsid w:val="00564A40"/>
    <w:rsid w:val="00564ADD"/>
    <w:rsid w:val="00564BBC"/>
    <w:rsid w:val="00564D76"/>
    <w:rsid w:val="00564F25"/>
    <w:rsid w:val="005653E4"/>
    <w:rsid w:val="00565A09"/>
    <w:rsid w:val="00565A6D"/>
    <w:rsid w:val="00565B6B"/>
    <w:rsid w:val="00565EAB"/>
    <w:rsid w:val="005660CB"/>
    <w:rsid w:val="005660F1"/>
    <w:rsid w:val="0056610D"/>
    <w:rsid w:val="00566478"/>
    <w:rsid w:val="00566491"/>
    <w:rsid w:val="0056655E"/>
    <w:rsid w:val="005665EA"/>
    <w:rsid w:val="0056693B"/>
    <w:rsid w:val="005669DA"/>
    <w:rsid w:val="00566A66"/>
    <w:rsid w:val="00566B5F"/>
    <w:rsid w:val="00566C2D"/>
    <w:rsid w:val="0056717E"/>
    <w:rsid w:val="0056747A"/>
    <w:rsid w:val="0056754E"/>
    <w:rsid w:val="00567695"/>
    <w:rsid w:val="0056799A"/>
    <w:rsid w:val="00567AE1"/>
    <w:rsid w:val="00570149"/>
    <w:rsid w:val="00570250"/>
    <w:rsid w:val="00570421"/>
    <w:rsid w:val="0057048C"/>
    <w:rsid w:val="00570552"/>
    <w:rsid w:val="005707A3"/>
    <w:rsid w:val="00570DBA"/>
    <w:rsid w:val="00570DC9"/>
    <w:rsid w:val="005711C2"/>
    <w:rsid w:val="00571245"/>
    <w:rsid w:val="00571391"/>
    <w:rsid w:val="005713B5"/>
    <w:rsid w:val="00571635"/>
    <w:rsid w:val="0057189C"/>
    <w:rsid w:val="005719A4"/>
    <w:rsid w:val="00571B21"/>
    <w:rsid w:val="00571B91"/>
    <w:rsid w:val="0057215F"/>
    <w:rsid w:val="00572309"/>
    <w:rsid w:val="0057239D"/>
    <w:rsid w:val="0057245D"/>
    <w:rsid w:val="005726D2"/>
    <w:rsid w:val="005726EF"/>
    <w:rsid w:val="005727F8"/>
    <w:rsid w:val="00572B51"/>
    <w:rsid w:val="00572DCD"/>
    <w:rsid w:val="00572E0C"/>
    <w:rsid w:val="00572E15"/>
    <w:rsid w:val="00572FA1"/>
    <w:rsid w:val="00573095"/>
    <w:rsid w:val="0057328C"/>
    <w:rsid w:val="0057328E"/>
    <w:rsid w:val="005733CA"/>
    <w:rsid w:val="00573AA3"/>
    <w:rsid w:val="00573C80"/>
    <w:rsid w:val="00573F86"/>
    <w:rsid w:val="00573F96"/>
    <w:rsid w:val="00574105"/>
    <w:rsid w:val="00574217"/>
    <w:rsid w:val="00574427"/>
    <w:rsid w:val="005744B0"/>
    <w:rsid w:val="005745F9"/>
    <w:rsid w:val="005749BE"/>
    <w:rsid w:val="00574A3A"/>
    <w:rsid w:val="00574FA7"/>
    <w:rsid w:val="00574FFE"/>
    <w:rsid w:val="00575382"/>
    <w:rsid w:val="00575400"/>
    <w:rsid w:val="00575539"/>
    <w:rsid w:val="005759EA"/>
    <w:rsid w:val="00575A6E"/>
    <w:rsid w:val="00575AFD"/>
    <w:rsid w:val="00575BBA"/>
    <w:rsid w:val="00575C0F"/>
    <w:rsid w:val="00575CE5"/>
    <w:rsid w:val="00575D29"/>
    <w:rsid w:val="00575F3B"/>
    <w:rsid w:val="00575F91"/>
    <w:rsid w:val="00575FA9"/>
    <w:rsid w:val="00576047"/>
    <w:rsid w:val="00576178"/>
    <w:rsid w:val="005761A5"/>
    <w:rsid w:val="00576550"/>
    <w:rsid w:val="00576C5B"/>
    <w:rsid w:val="00576DD4"/>
    <w:rsid w:val="00576E6E"/>
    <w:rsid w:val="00577109"/>
    <w:rsid w:val="00577453"/>
    <w:rsid w:val="00577954"/>
    <w:rsid w:val="0057799E"/>
    <w:rsid w:val="00577BF6"/>
    <w:rsid w:val="00577DA7"/>
    <w:rsid w:val="00580777"/>
    <w:rsid w:val="00580821"/>
    <w:rsid w:val="00580C3A"/>
    <w:rsid w:val="00580C4C"/>
    <w:rsid w:val="00580DD1"/>
    <w:rsid w:val="00580FF8"/>
    <w:rsid w:val="00581922"/>
    <w:rsid w:val="00581930"/>
    <w:rsid w:val="00581A9C"/>
    <w:rsid w:val="00581F4A"/>
    <w:rsid w:val="00581FFE"/>
    <w:rsid w:val="0058230F"/>
    <w:rsid w:val="00582821"/>
    <w:rsid w:val="00582B31"/>
    <w:rsid w:val="00582B85"/>
    <w:rsid w:val="00582D3B"/>
    <w:rsid w:val="00582E4E"/>
    <w:rsid w:val="00582E9E"/>
    <w:rsid w:val="005830BC"/>
    <w:rsid w:val="005830E1"/>
    <w:rsid w:val="0058316E"/>
    <w:rsid w:val="00583451"/>
    <w:rsid w:val="00583558"/>
    <w:rsid w:val="00583610"/>
    <w:rsid w:val="0058388F"/>
    <w:rsid w:val="00583937"/>
    <w:rsid w:val="00583ABF"/>
    <w:rsid w:val="00583ADE"/>
    <w:rsid w:val="00583AE3"/>
    <w:rsid w:val="00583BA1"/>
    <w:rsid w:val="00583C8F"/>
    <w:rsid w:val="00583CBF"/>
    <w:rsid w:val="00583DF1"/>
    <w:rsid w:val="00583E87"/>
    <w:rsid w:val="00584121"/>
    <w:rsid w:val="00584122"/>
    <w:rsid w:val="0058414A"/>
    <w:rsid w:val="00584190"/>
    <w:rsid w:val="005841D5"/>
    <w:rsid w:val="00584369"/>
    <w:rsid w:val="00584505"/>
    <w:rsid w:val="0058451F"/>
    <w:rsid w:val="005849BC"/>
    <w:rsid w:val="00584A5B"/>
    <w:rsid w:val="00584A8F"/>
    <w:rsid w:val="00584BE6"/>
    <w:rsid w:val="00584CC7"/>
    <w:rsid w:val="00584FEA"/>
    <w:rsid w:val="00585023"/>
    <w:rsid w:val="005853D8"/>
    <w:rsid w:val="005854FD"/>
    <w:rsid w:val="00585601"/>
    <w:rsid w:val="00585850"/>
    <w:rsid w:val="0058591D"/>
    <w:rsid w:val="00585ADB"/>
    <w:rsid w:val="00585CC9"/>
    <w:rsid w:val="005861AA"/>
    <w:rsid w:val="005866C2"/>
    <w:rsid w:val="00586741"/>
    <w:rsid w:val="00586747"/>
    <w:rsid w:val="0058698A"/>
    <w:rsid w:val="00586C92"/>
    <w:rsid w:val="00586D7F"/>
    <w:rsid w:val="00586F6F"/>
    <w:rsid w:val="00586F73"/>
    <w:rsid w:val="00587112"/>
    <w:rsid w:val="00587121"/>
    <w:rsid w:val="005872EC"/>
    <w:rsid w:val="005877FE"/>
    <w:rsid w:val="0058798B"/>
    <w:rsid w:val="00587AA9"/>
    <w:rsid w:val="00587EA4"/>
    <w:rsid w:val="005900EA"/>
    <w:rsid w:val="005906E4"/>
    <w:rsid w:val="0059080A"/>
    <w:rsid w:val="00590C3D"/>
    <w:rsid w:val="00590D2F"/>
    <w:rsid w:val="00591947"/>
    <w:rsid w:val="005919F9"/>
    <w:rsid w:val="00591BCB"/>
    <w:rsid w:val="00591F60"/>
    <w:rsid w:val="00592202"/>
    <w:rsid w:val="005923D9"/>
    <w:rsid w:val="005924D8"/>
    <w:rsid w:val="005926EE"/>
    <w:rsid w:val="00592709"/>
    <w:rsid w:val="0059280D"/>
    <w:rsid w:val="00592A1A"/>
    <w:rsid w:val="00592A81"/>
    <w:rsid w:val="00592AE7"/>
    <w:rsid w:val="00592BA9"/>
    <w:rsid w:val="00592DEB"/>
    <w:rsid w:val="00592E34"/>
    <w:rsid w:val="00592E98"/>
    <w:rsid w:val="00592F0F"/>
    <w:rsid w:val="00593455"/>
    <w:rsid w:val="005935C3"/>
    <w:rsid w:val="0059369A"/>
    <w:rsid w:val="005938A9"/>
    <w:rsid w:val="005939A0"/>
    <w:rsid w:val="00593A1A"/>
    <w:rsid w:val="00593AF8"/>
    <w:rsid w:val="00593F5A"/>
    <w:rsid w:val="005940BD"/>
    <w:rsid w:val="005941C5"/>
    <w:rsid w:val="0059485E"/>
    <w:rsid w:val="005948E0"/>
    <w:rsid w:val="0059494C"/>
    <w:rsid w:val="005949F2"/>
    <w:rsid w:val="00594ADC"/>
    <w:rsid w:val="00594B9E"/>
    <w:rsid w:val="00594D21"/>
    <w:rsid w:val="00594F22"/>
    <w:rsid w:val="00594FC9"/>
    <w:rsid w:val="00594FD7"/>
    <w:rsid w:val="00594FE0"/>
    <w:rsid w:val="0059519A"/>
    <w:rsid w:val="005952AD"/>
    <w:rsid w:val="005952E6"/>
    <w:rsid w:val="0059539E"/>
    <w:rsid w:val="005954D8"/>
    <w:rsid w:val="005954E7"/>
    <w:rsid w:val="005955AC"/>
    <w:rsid w:val="00595740"/>
    <w:rsid w:val="005957F3"/>
    <w:rsid w:val="0059597E"/>
    <w:rsid w:val="00595C9B"/>
    <w:rsid w:val="00595CF6"/>
    <w:rsid w:val="00595DD8"/>
    <w:rsid w:val="00596133"/>
    <w:rsid w:val="0059613D"/>
    <w:rsid w:val="005962D4"/>
    <w:rsid w:val="00596403"/>
    <w:rsid w:val="0059657F"/>
    <w:rsid w:val="005968D7"/>
    <w:rsid w:val="00596900"/>
    <w:rsid w:val="00596AC6"/>
    <w:rsid w:val="00596E10"/>
    <w:rsid w:val="005971A5"/>
    <w:rsid w:val="00597441"/>
    <w:rsid w:val="0059754A"/>
    <w:rsid w:val="005976FF"/>
    <w:rsid w:val="00597796"/>
    <w:rsid w:val="00597B2A"/>
    <w:rsid w:val="00597BB1"/>
    <w:rsid w:val="00597DF3"/>
    <w:rsid w:val="00597F5D"/>
    <w:rsid w:val="005A04AF"/>
    <w:rsid w:val="005A0E57"/>
    <w:rsid w:val="005A0E8B"/>
    <w:rsid w:val="005A0E97"/>
    <w:rsid w:val="005A0FDA"/>
    <w:rsid w:val="005A1074"/>
    <w:rsid w:val="005A11FA"/>
    <w:rsid w:val="005A1263"/>
    <w:rsid w:val="005A16DB"/>
    <w:rsid w:val="005A199F"/>
    <w:rsid w:val="005A1B69"/>
    <w:rsid w:val="005A1C1F"/>
    <w:rsid w:val="005A1D72"/>
    <w:rsid w:val="005A218C"/>
    <w:rsid w:val="005A24BF"/>
    <w:rsid w:val="005A25AC"/>
    <w:rsid w:val="005A2655"/>
    <w:rsid w:val="005A2AC8"/>
    <w:rsid w:val="005A2C93"/>
    <w:rsid w:val="005A2D5C"/>
    <w:rsid w:val="005A3184"/>
    <w:rsid w:val="005A3227"/>
    <w:rsid w:val="005A3383"/>
    <w:rsid w:val="005A3461"/>
    <w:rsid w:val="005A362E"/>
    <w:rsid w:val="005A3664"/>
    <w:rsid w:val="005A3933"/>
    <w:rsid w:val="005A39B3"/>
    <w:rsid w:val="005A3A65"/>
    <w:rsid w:val="005A3C1F"/>
    <w:rsid w:val="005A3C60"/>
    <w:rsid w:val="005A3C87"/>
    <w:rsid w:val="005A3EA6"/>
    <w:rsid w:val="005A3FCA"/>
    <w:rsid w:val="005A4080"/>
    <w:rsid w:val="005A4599"/>
    <w:rsid w:val="005A4708"/>
    <w:rsid w:val="005A47D2"/>
    <w:rsid w:val="005A4C8D"/>
    <w:rsid w:val="005A4D02"/>
    <w:rsid w:val="005A50E1"/>
    <w:rsid w:val="005A51DF"/>
    <w:rsid w:val="005A5237"/>
    <w:rsid w:val="005A52F7"/>
    <w:rsid w:val="005A5807"/>
    <w:rsid w:val="005A5870"/>
    <w:rsid w:val="005A5C48"/>
    <w:rsid w:val="005A5C68"/>
    <w:rsid w:val="005A5D5D"/>
    <w:rsid w:val="005A5EE1"/>
    <w:rsid w:val="005A5F34"/>
    <w:rsid w:val="005A601A"/>
    <w:rsid w:val="005A6114"/>
    <w:rsid w:val="005A61EE"/>
    <w:rsid w:val="005A62B8"/>
    <w:rsid w:val="005A650D"/>
    <w:rsid w:val="005A676E"/>
    <w:rsid w:val="005A68F6"/>
    <w:rsid w:val="005A6966"/>
    <w:rsid w:val="005A6BBA"/>
    <w:rsid w:val="005A6CF8"/>
    <w:rsid w:val="005A6E88"/>
    <w:rsid w:val="005A7077"/>
    <w:rsid w:val="005A7313"/>
    <w:rsid w:val="005A739F"/>
    <w:rsid w:val="005A79AC"/>
    <w:rsid w:val="005A7B28"/>
    <w:rsid w:val="005B00BC"/>
    <w:rsid w:val="005B00EA"/>
    <w:rsid w:val="005B02C7"/>
    <w:rsid w:val="005B0630"/>
    <w:rsid w:val="005B0766"/>
    <w:rsid w:val="005B07D1"/>
    <w:rsid w:val="005B0949"/>
    <w:rsid w:val="005B0992"/>
    <w:rsid w:val="005B0A17"/>
    <w:rsid w:val="005B0C57"/>
    <w:rsid w:val="005B1098"/>
    <w:rsid w:val="005B12CF"/>
    <w:rsid w:val="005B19D0"/>
    <w:rsid w:val="005B19D1"/>
    <w:rsid w:val="005B1AB6"/>
    <w:rsid w:val="005B1B75"/>
    <w:rsid w:val="005B1D03"/>
    <w:rsid w:val="005B1FCC"/>
    <w:rsid w:val="005B2254"/>
    <w:rsid w:val="005B240E"/>
    <w:rsid w:val="005B25DF"/>
    <w:rsid w:val="005B25FA"/>
    <w:rsid w:val="005B277B"/>
    <w:rsid w:val="005B2A98"/>
    <w:rsid w:val="005B2AFB"/>
    <w:rsid w:val="005B2F91"/>
    <w:rsid w:val="005B36EA"/>
    <w:rsid w:val="005B3FEA"/>
    <w:rsid w:val="005B42D1"/>
    <w:rsid w:val="005B447C"/>
    <w:rsid w:val="005B45D4"/>
    <w:rsid w:val="005B4735"/>
    <w:rsid w:val="005B4A10"/>
    <w:rsid w:val="005B4C45"/>
    <w:rsid w:val="005B4FB9"/>
    <w:rsid w:val="005B51CC"/>
    <w:rsid w:val="005B53B2"/>
    <w:rsid w:val="005B548E"/>
    <w:rsid w:val="005B5518"/>
    <w:rsid w:val="005B573E"/>
    <w:rsid w:val="005B583D"/>
    <w:rsid w:val="005B5945"/>
    <w:rsid w:val="005B5958"/>
    <w:rsid w:val="005B5B2B"/>
    <w:rsid w:val="005B5E79"/>
    <w:rsid w:val="005B6148"/>
    <w:rsid w:val="005B6222"/>
    <w:rsid w:val="005B624F"/>
    <w:rsid w:val="005B63D9"/>
    <w:rsid w:val="005B6455"/>
    <w:rsid w:val="005B64B6"/>
    <w:rsid w:val="005B64EB"/>
    <w:rsid w:val="005B6541"/>
    <w:rsid w:val="005B65C8"/>
    <w:rsid w:val="005B6888"/>
    <w:rsid w:val="005B6A5F"/>
    <w:rsid w:val="005B6DD3"/>
    <w:rsid w:val="005B7314"/>
    <w:rsid w:val="005B748E"/>
    <w:rsid w:val="005B74A3"/>
    <w:rsid w:val="005B7606"/>
    <w:rsid w:val="005B7817"/>
    <w:rsid w:val="005B798C"/>
    <w:rsid w:val="005B7A3B"/>
    <w:rsid w:val="005B7C3D"/>
    <w:rsid w:val="005B7D4A"/>
    <w:rsid w:val="005B7DE5"/>
    <w:rsid w:val="005B7E49"/>
    <w:rsid w:val="005B7FE9"/>
    <w:rsid w:val="005C046F"/>
    <w:rsid w:val="005C05AB"/>
    <w:rsid w:val="005C0B21"/>
    <w:rsid w:val="005C0B40"/>
    <w:rsid w:val="005C0E6B"/>
    <w:rsid w:val="005C1017"/>
    <w:rsid w:val="005C12C2"/>
    <w:rsid w:val="005C13C7"/>
    <w:rsid w:val="005C13DB"/>
    <w:rsid w:val="005C1450"/>
    <w:rsid w:val="005C164F"/>
    <w:rsid w:val="005C1840"/>
    <w:rsid w:val="005C1CF1"/>
    <w:rsid w:val="005C1D1A"/>
    <w:rsid w:val="005C1DDC"/>
    <w:rsid w:val="005C1E11"/>
    <w:rsid w:val="005C1F9E"/>
    <w:rsid w:val="005C20BF"/>
    <w:rsid w:val="005C25BE"/>
    <w:rsid w:val="005C266E"/>
    <w:rsid w:val="005C2998"/>
    <w:rsid w:val="005C2A5B"/>
    <w:rsid w:val="005C3076"/>
    <w:rsid w:val="005C3351"/>
    <w:rsid w:val="005C3899"/>
    <w:rsid w:val="005C38DF"/>
    <w:rsid w:val="005C3A31"/>
    <w:rsid w:val="005C3AE1"/>
    <w:rsid w:val="005C3BC8"/>
    <w:rsid w:val="005C3F4D"/>
    <w:rsid w:val="005C4139"/>
    <w:rsid w:val="005C4798"/>
    <w:rsid w:val="005C4915"/>
    <w:rsid w:val="005C4964"/>
    <w:rsid w:val="005C496E"/>
    <w:rsid w:val="005C4C68"/>
    <w:rsid w:val="005C4D11"/>
    <w:rsid w:val="005C4DF3"/>
    <w:rsid w:val="005C4F4F"/>
    <w:rsid w:val="005C55CD"/>
    <w:rsid w:val="005C561F"/>
    <w:rsid w:val="005C5713"/>
    <w:rsid w:val="005C58D7"/>
    <w:rsid w:val="005C5B27"/>
    <w:rsid w:val="005C5CE1"/>
    <w:rsid w:val="005C5E69"/>
    <w:rsid w:val="005C60B9"/>
    <w:rsid w:val="005C6330"/>
    <w:rsid w:val="005C6550"/>
    <w:rsid w:val="005C6741"/>
    <w:rsid w:val="005C6997"/>
    <w:rsid w:val="005C699B"/>
    <w:rsid w:val="005C6DAA"/>
    <w:rsid w:val="005C7093"/>
    <w:rsid w:val="005C7181"/>
    <w:rsid w:val="005C7215"/>
    <w:rsid w:val="005C72DD"/>
    <w:rsid w:val="005C7373"/>
    <w:rsid w:val="005C758A"/>
    <w:rsid w:val="005C7655"/>
    <w:rsid w:val="005C7686"/>
    <w:rsid w:val="005C796D"/>
    <w:rsid w:val="005C7E7F"/>
    <w:rsid w:val="005D01FB"/>
    <w:rsid w:val="005D0348"/>
    <w:rsid w:val="005D041A"/>
    <w:rsid w:val="005D04BF"/>
    <w:rsid w:val="005D0551"/>
    <w:rsid w:val="005D069C"/>
    <w:rsid w:val="005D0727"/>
    <w:rsid w:val="005D077B"/>
    <w:rsid w:val="005D08FF"/>
    <w:rsid w:val="005D0904"/>
    <w:rsid w:val="005D0A01"/>
    <w:rsid w:val="005D102E"/>
    <w:rsid w:val="005D128C"/>
    <w:rsid w:val="005D12C5"/>
    <w:rsid w:val="005D14CE"/>
    <w:rsid w:val="005D15AF"/>
    <w:rsid w:val="005D1892"/>
    <w:rsid w:val="005D1972"/>
    <w:rsid w:val="005D19AA"/>
    <w:rsid w:val="005D1A64"/>
    <w:rsid w:val="005D1EA1"/>
    <w:rsid w:val="005D1F5B"/>
    <w:rsid w:val="005D211C"/>
    <w:rsid w:val="005D21FA"/>
    <w:rsid w:val="005D2A69"/>
    <w:rsid w:val="005D2AFB"/>
    <w:rsid w:val="005D2C04"/>
    <w:rsid w:val="005D2D57"/>
    <w:rsid w:val="005D2FD5"/>
    <w:rsid w:val="005D30D1"/>
    <w:rsid w:val="005D3542"/>
    <w:rsid w:val="005D358D"/>
    <w:rsid w:val="005D39C5"/>
    <w:rsid w:val="005D39FB"/>
    <w:rsid w:val="005D3E2B"/>
    <w:rsid w:val="005D3F2A"/>
    <w:rsid w:val="005D3FE7"/>
    <w:rsid w:val="005D4531"/>
    <w:rsid w:val="005D45A0"/>
    <w:rsid w:val="005D45AF"/>
    <w:rsid w:val="005D45F7"/>
    <w:rsid w:val="005D4706"/>
    <w:rsid w:val="005D471C"/>
    <w:rsid w:val="005D4788"/>
    <w:rsid w:val="005D4866"/>
    <w:rsid w:val="005D491B"/>
    <w:rsid w:val="005D4AC1"/>
    <w:rsid w:val="005D4B0B"/>
    <w:rsid w:val="005D4C1C"/>
    <w:rsid w:val="005D4D8E"/>
    <w:rsid w:val="005D4F66"/>
    <w:rsid w:val="005D538C"/>
    <w:rsid w:val="005D5535"/>
    <w:rsid w:val="005D5644"/>
    <w:rsid w:val="005D5867"/>
    <w:rsid w:val="005D5BCB"/>
    <w:rsid w:val="005D5D7D"/>
    <w:rsid w:val="005D5FE7"/>
    <w:rsid w:val="005D6239"/>
    <w:rsid w:val="005D62C3"/>
    <w:rsid w:val="005D6485"/>
    <w:rsid w:val="005D681B"/>
    <w:rsid w:val="005D6880"/>
    <w:rsid w:val="005D6883"/>
    <w:rsid w:val="005D6CCB"/>
    <w:rsid w:val="005D6CEE"/>
    <w:rsid w:val="005D70E7"/>
    <w:rsid w:val="005D7180"/>
    <w:rsid w:val="005D720B"/>
    <w:rsid w:val="005D758D"/>
    <w:rsid w:val="005D758E"/>
    <w:rsid w:val="005D7689"/>
    <w:rsid w:val="005D76A2"/>
    <w:rsid w:val="005D782E"/>
    <w:rsid w:val="005D7958"/>
    <w:rsid w:val="005D796B"/>
    <w:rsid w:val="005D7CC1"/>
    <w:rsid w:val="005D7EF3"/>
    <w:rsid w:val="005D7F3B"/>
    <w:rsid w:val="005E0427"/>
    <w:rsid w:val="005E071D"/>
    <w:rsid w:val="005E07A0"/>
    <w:rsid w:val="005E08BB"/>
    <w:rsid w:val="005E1017"/>
    <w:rsid w:val="005E10D8"/>
    <w:rsid w:val="005E117A"/>
    <w:rsid w:val="005E1209"/>
    <w:rsid w:val="005E135D"/>
    <w:rsid w:val="005E1748"/>
    <w:rsid w:val="005E1852"/>
    <w:rsid w:val="005E1D13"/>
    <w:rsid w:val="005E1E54"/>
    <w:rsid w:val="005E1F04"/>
    <w:rsid w:val="005E20AB"/>
    <w:rsid w:val="005E2216"/>
    <w:rsid w:val="005E25B3"/>
    <w:rsid w:val="005E273B"/>
    <w:rsid w:val="005E27D5"/>
    <w:rsid w:val="005E29E2"/>
    <w:rsid w:val="005E2DDC"/>
    <w:rsid w:val="005E302A"/>
    <w:rsid w:val="005E3306"/>
    <w:rsid w:val="005E38B6"/>
    <w:rsid w:val="005E3D58"/>
    <w:rsid w:val="005E3F17"/>
    <w:rsid w:val="005E403A"/>
    <w:rsid w:val="005E42EC"/>
    <w:rsid w:val="005E4BCB"/>
    <w:rsid w:val="005E4C62"/>
    <w:rsid w:val="005E4DF5"/>
    <w:rsid w:val="005E4FD4"/>
    <w:rsid w:val="005E5320"/>
    <w:rsid w:val="005E5697"/>
    <w:rsid w:val="005E5792"/>
    <w:rsid w:val="005E583B"/>
    <w:rsid w:val="005E5A10"/>
    <w:rsid w:val="005E5D4A"/>
    <w:rsid w:val="005E6446"/>
    <w:rsid w:val="005E6573"/>
    <w:rsid w:val="005E657B"/>
    <w:rsid w:val="005E6606"/>
    <w:rsid w:val="005E6884"/>
    <w:rsid w:val="005E6A69"/>
    <w:rsid w:val="005E6AA4"/>
    <w:rsid w:val="005E6BF9"/>
    <w:rsid w:val="005E6C4B"/>
    <w:rsid w:val="005E6E2D"/>
    <w:rsid w:val="005E6ED1"/>
    <w:rsid w:val="005E7184"/>
    <w:rsid w:val="005E746A"/>
    <w:rsid w:val="005E774A"/>
    <w:rsid w:val="005E77B2"/>
    <w:rsid w:val="005E78AE"/>
    <w:rsid w:val="005E7ACA"/>
    <w:rsid w:val="005E7B69"/>
    <w:rsid w:val="005E7C6A"/>
    <w:rsid w:val="005E7EA9"/>
    <w:rsid w:val="005E7F21"/>
    <w:rsid w:val="005F01BB"/>
    <w:rsid w:val="005F04F7"/>
    <w:rsid w:val="005F0525"/>
    <w:rsid w:val="005F0788"/>
    <w:rsid w:val="005F087E"/>
    <w:rsid w:val="005F08DE"/>
    <w:rsid w:val="005F097E"/>
    <w:rsid w:val="005F0AA5"/>
    <w:rsid w:val="005F0AD4"/>
    <w:rsid w:val="005F0B39"/>
    <w:rsid w:val="005F0D4D"/>
    <w:rsid w:val="005F0FB2"/>
    <w:rsid w:val="005F1118"/>
    <w:rsid w:val="005F178D"/>
    <w:rsid w:val="005F19B5"/>
    <w:rsid w:val="005F1D6C"/>
    <w:rsid w:val="005F1F6F"/>
    <w:rsid w:val="005F20EF"/>
    <w:rsid w:val="005F252E"/>
    <w:rsid w:val="005F2578"/>
    <w:rsid w:val="005F25FD"/>
    <w:rsid w:val="005F2BA2"/>
    <w:rsid w:val="005F30D3"/>
    <w:rsid w:val="005F3168"/>
    <w:rsid w:val="005F34FA"/>
    <w:rsid w:val="005F372B"/>
    <w:rsid w:val="005F38CF"/>
    <w:rsid w:val="005F3D42"/>
    <w:rsid w:val="005F3FB7"/>
    <w:rsid w:val="005F407A"/>
    <w:rsid w:val="005F411F"/>
    <w:rsid w:val="005F41E8"/>
    <w:rsid w:val="005F47BE"/>
    <w:rsid w:val="005F4AB1"/>
    <w:rsid w:val="005F4BCA"/>
    <w:rsid w:val="005F4BCD"/>
    <w:rsid w:val="005F4D15"/>
    <w:rsid w:val="005F4EC1"/>
    <w:rsid w:val="005F4EEC"/>
    <w:rsid w:val="005F4F45"/>
    <w:rsid w:val="005F5000"/>
    <w:rsid w:val="005F5080"/>
    <w:rsid w:val="005F5119"/>
    <w:rsid w:val="005F5128"/>
    <w:rsid w:val="005F523A"/>
    <w:rsid w:val="005F5503"/>
    <w:rsid w:val="005F55A0"/>
    <w:rsid w:val="005F5A92"/>
    <w:rsid w:val="005F6173"/>
    <w:rsid w:val="005F61A0"/>
    <w:rsid w:val="005F63B2"/>
    <w:rsid w:val="005F658B"/>
    <w:rsid w:val="005F67C3"/>
    <w:rsid w:val="005F68F2"/>
    <w:rsid w:val="005F6DE1"/>
    <w:rsid w:val="005F709A"/>
    <w:rsid w:val="005F7433"/>
    <w:rsid w:val="005F755E"/>
    <w:rsid w:val="005F76CF"/>
    <w:rsid w:val="005F779E"/>
    <w:rsid w:val="005F7BB6"/>
    <w:rsid w:val="005F7C54"/>
    <w:rsid w:val="0060030F"/>
    <w:rsid w:val="006003D4"/>
    <w:rsid w:val="00600560"/>
    <w:rsid w:val="00600648"/>
    <w:rsid w:val="00600720"/>
    <w:rsid w:val="00600977"/>
    <w:rsid w:val="00600CEA"/>
    <w:rsid w:val="00600E54"/>
    <w:rsid w:val="00600F08"/>
    <w:rsid w:val="00600F9D"/>
    <w:rsid w:val="00600FBA"/>
    <w:rsid w:val="006013E0"/>
    <w:rsid w:val="006013EB"/>
    <w:rsid w:val="0060143E"/>
    <w:rsid w:val="00601774"/>
    <w:rsid w:val="006017BF"/>
    <w:rsid w:val="00601AE7"/>
    <w:rsid w:val="00601E8F"/>
    <w:rsid w:val="00601EC1"/>
    <w:rsid w:val="00601EE0"/>
    <w:rsid w:val="00601FD6"/>
    <w:rsid w:val="00602200"/>
    <w:rsid w:val="0060228E"/>
    <w:rsid w:val="00602564"/>
    <w:rsid w:val="006026BF"/>
    <w:rsid w:val="0060298A"/>
    <w:rsid w:val="006029A2"/>
    <w:rsid w:val="006029C6"/>
    <w:rsid w:val="00602B0C"/>
    <w:rsid w:val="00603237"/>
    <w:rsid w:val="0060333B"/>
    <w:rsid w:val="00603414"/>
    <w:rsid w:val="00603488"/>
    <w:rsid w:val="00603567"/>
    <w:rsid w:val="006037D6"/>
    <w:rsid w:val="0060395E"/>
    <w:rsid w:val="006039C2"/>
    <w:rsid w:val="00603C0D"/>
    <w:rsid w:val="00603D8B"/>
    <w:rsid w:val="0060406F"/>
    <w:rsid w:val="00604080"/>
    <w:rsid w:val="00604221"/>
    <w:rsid w:val="00604577"/>
    <w:rsid w:val="006046CB"/>
    <w:rsid w:val="00604765"/>
    <w:rsid w:val="00604A76"/>
    <w:rsid w:val="00604E53"/>
    <w:rsid w:val="00604E66"/>
    <w:rsid w:val="00604EDB"/>
    <w:rsid w:val="00604F4E"/>
    <w:rsid w:val="006051DF"/>
    <w:rsid w:val="006052FE"/>
    <w:rsid w:val="006054ED"/>
    <w:rsid w:val="0060560C"/>
    <w:rsid w:val="006057C3"/>
    <w:rsid w:val="00605ADA"/>
    <w:rsid w:val="00605D66"/>
    <w:rsid w:val="00605DE1"/>
    <w:rsid w:val="00606046"/>
    <w:rsid w:val="00606123"/>
    <w:rsid w:val="0060624C"/>
    <w:rsid w:val="006064B9"/>
    <w:rsid w:val="00606925"/>
    <w:rsid w:val="00606B00"/>
    <w:rsid w:val="00606B64"/>
    <w:rsid w:val="00606C64"/>
    <w:rsid w:val="00606F0F"/>
    <w:rsid w:val="00606FBA"/>
    <w:rsid w:val="0060704D"/>
    <w:rsid w:val="00607117"/>
    <w:rsid w:val="0060719D"/>
    <w:rsid w:val="00607492"/>
    <w:rsid w:val="006077BF"/>
    <w:rsid w:val="006079C0"/>
    <w:rsid w:val="00607E63"/>
    <w:rsid w:val="00607E68"/>
    <w:rsid w:val="00610051"/>
    <w:rsid w:val="0061017A"/>
    <w:rsid w:val="00610202"/>
    <w:rsid w:val="006102BF"/>
    <w:rsid w:val="00610304"/>
    <w:rsid w:val="006103A2"/>
    <w:rsid w:val="00610516"/>
    <w:rsid w:val="006108FD"/>
    <w:rsid w:val="006109BC"/>
    <w:rsid w:val="00610CDD"/>
    <w:rsid w:val="006111B5"/>
    <w:rsid w:val="00611219"/>
    <w:rsid w:val="00611551"/>
    <w:rsid w:val="006117F3"/>
    <w:rsid w:val="006118A5"/>
    <w:rsid w:val="00611ADB"/>
    <w:rsid w:val="00611B23"/>
    <w:rsid w:val="00611B81"/>
    <w:rsid w:val="00611C4F"/>
    <w:rsid w:val="00611C51"/>
    <w:rsid w:val="00611F80"/>
    <w:rsid w:val="0061204D"/>
    <w:rsid w:val="00612259"/>
    <w:rsid w:val="006123E9"/>
    <w:rsid w:val="0061260E"/>
    <w:rsid w:val="006127D1"/>
    <w:rsid w:val="00612839"/>
    <w:rsid w:val="006128DF"/>
    <w:rsid w:val="00612993"/>
    <w:rsid w:val="00612C66"/>
    <w:rsid w:val="00612E37"/>
    <w:rsid w:val="00612E9F"/>
    <w:rsid w:val="00613091"/>
    <w:rsid w:val="006133D6"/>
    <w:rsid w:val="00613622"/>
    <w:rsid w:val="006136AE"/>
    <w:rsid w:val="0061379E"/>
    <w:rsid w:val="00613853"/>
    <w:rsid w:val="00613897"/>
    <w:rsid w:val="006138C6"/>
    <w:rsid w:val="0061396E"/>
    <w:rsid w:val="00613AE1"/>
    <w:rsid w:val="00613CCE"/>
    <w:rsid w:val="00613D36"/>
    <w:rsid w:val="00613F87"/>
    <w:rsid w:val="00614B38"/>
    <w:rsid w:val="00614D26"/>
    <w:rsid w:val="0061511F"/>
    <w:rsid w:val="0061548D"/>
    <w:rsid w:val="00615B11"/>
    <w:rsid w:val="00615BAF"/>
    <w:rsid w:val="00615E9C"/>
    <w:rsid w:val="0061611B"/>
    <w:rsid w:val="006162B1"/>
    <w:rsid w:val="006162C7"/>
    <w:rsid w:val="0061638C"/>
    <w:rsid w:val="00616514"/>
    <w:rsid w:val="00616CEA"/>
    <w:rsid w:val="00616F56"/>
    <w:rsid w:val="006170EA"/>
    <w:rsid w:val="00617175"/>
    <w:rsid w:val="006173D4"/>
    <w:rsid w:val="006173EC"/>
    <w:rsid w:val="00617487"/>
    <w:rsid w:val="006174E7"/>
    <w:rsid w:val="0061783D"/>
    <w:rsid w:val="00617BCF"/>
    <w:rsid w:val="00617BD6"/>
    <w:rsid w:val="00617C62"/>
    <w:rsid w:val="006202F4"/>
    <w:rsid w:val="00620330"/>
    <w:rsid w:val="006203D7"/>
    <w:rsid w:val="00620437"/>
    <w:rsid w:val="006204C2"/>
    <w:rsid w:val="0062055E"/>
    <w:rsid w:val="00620B39"/>
    <w:rsid w:val="00620E25"/>
    <w:rsid w:val="00620EBA"/>
    <w:rsid w:val="0062104D"/>
    <w:rsid w:val="00621076"/>
    <w:rsid w:val="00621265"/>
    <w:rsid w:val="00621280"/>
    <w:rsid w:val="0062154C"/>
    <w:rsid w:val="00621D4D"/>
    <w:rsid w:val="00621DC0"/>
    <w:rsid w:val="00621E45"/>
    <w:rsid w:val="00621F49"/>
    <w:rsid w:val="00621F77"/>
    <w:rsid w:val="0062200F"/>
    <w:rsid w:val="006221D0"/>
    <w:rsid w:val="00622518"/>
    <w:rsid w:val="0062266D"/>
    <w:rsid w:val="006227EC"/>
    <w:rsid w:val="00622B0A"/>
    <w:rsid w:val="00622EE6"/>
    <w:rsid w:val="00623011"/>
    <w:rsid w:val="006233F4"/>
    <w:rsid w:val="00623484"/>
    <w:rsid w:val="006235B5"/>
    <w:rsid w:val="006236E0"/>
    <w:rsid w:val="00623A25"/>
    <w:rsid w:val="00623BAA"/>
    <w:rsid w:val="00623EA7"/>
    <w:rsid w:val="00624101"/>
    <w:rsid w:val="006243C1"/>
    <w:rsid w:val="0062445D"/>
    <w:rsid w:val="00624498"/>
    <w:rsid w:val="00624557"/>
    <w:rsid w:val="006245CE"/>
    <w:rsid w:val="0062470D"/>
    <w:rsid w:val="006248B9"/>
    <w:rsid w:val="006248F7"/>
    <w:rsid w:val="00624BE7"/>
    <w:rsid w:val="00624DF1"/>
    <w:rsid w:val="006253F4"/>
    <w:rsid w:val="00625440"/>
    <w:rsid w:val="006255C2"/>
    <w:rsid w:val="0062570F"/>
    <w:rsid w:val="00625872"/>
    <w:rsid w:val="006258B7"/>
    <w:rsid w:val="00625C24"/>
    <w:rsid w:val="006262D5"/>
    <w:rsid w:val="00626311"/>
    <w:rsid w:val="00626406"/>
    <w:rsid w:val="006268D2"/>
    <w:rsid w:val="0062692D"/>
    <w:rsid w:val="00626A41"/>
    <w:rsid w:val="00626C78"/>
    <w:rsid w:val="00626D11"/>
    <w:rsid w:val="00627033"/>
    <w:rsid w:val="006271CC"/>
    <w:rsid w:val="006274A9"/>
    <w:rsid w:val="006274B4"/>
    <w:rsid w:val="00627543"/>
    <w:rsid w:val="00627AB9"/>
    <w:rsid w:val="00627D38"/>
    <w:rsid w:val="0063017E"/>
    <w:rsid w:val="006301E1"/>
    <w:rsid w:val="00630267"/>
    <w:rsid w:val="0063051A"/>
    <w:rsid w:val="0063077C"/>
    <w:rsid w:val="006309B6"/>
    <w:rsid w:val="00630A89"/>
    <w:rsid w:val="00631121"/>
    <w:rsid w:val="006313A8"/>
    <w:rsid w:val="0063152C"/>
    <w:rsid w:val="00631A58"/>
    <w:rsid w:val="00631B7A"/>
    <w:rsid w:val="00631BA6"/>
    <w:rsid w:val="00631BB2"/>
    <w:rsid w:val="00631C58"/>
    <w:rsid w:val="00631D03"/>
    <w:rsid w:val="00631D44"/>
    <w:rsid w:val="006321A9"/>
    <w:rsid w:val="006326B5"/>
    <w:rsid w:val="006327C3"/>
    <w:rsid w:val="006330C2"/>
    <w:rsid w:val="006330DC"/>
    <w:rsid w:val="00633151"/>
    <w:rsid w:val="00633337"/>
    <w:rsid w:val="006336B9"/>
    <w:rsid w:val="00633779"/>
    <w:rsid w:val="006337CF"/>
    <w:rsid w:val="00633813"/>
    <w:rsid w:val="0063382E"/>
    <w:rsid w:val="006338B8"/>
    <w:rsid w:val="00633B5B"/>
    <w:rsid w:val="00633C17"/>
    <w:rsid w:val="00633F80"/>
    <w:rsid w:val="00634113"/>
    <w:rsid w:val="00634355"/>
    <w:rsid w:val="006344F2"/>
    <w:rsid w:val="00634926"/>
    <w:rsid w:val="006349DE"/>
    <w:rsid w:val="00634B7A"/>
    <w:rsid w:val="00634C53"/>
    <w:rsid w:val="00634D24"/>
    <w:rsid w:val="00634D31"/>
    <w:rsid w:val="00635377"/>
    <w:rsid w:val="0063551F"/>
    <w:rsid w:val="006355DB"/>
    <w:rsid w:val="0063573C"/>
    <w:rsid w:val="006357AB"/>
    <w:rsid w:val="006358ED"/>
    <w:rsid w:val="006359DD"/>
    <w:rsid w:val="00635A1C"/>
    <w:rsid w:val="00635E73"/>
    <w:rsid w:val="00636037"/>
    <w:rsid w:val="00636324"/>
    <w:rsid w:val="00636405"/>
    <w:rsid w:val="0063666D"/>
    <w:rsid w:val="00636702"/>
    <w:rsid w:val="00636A18"/>
    <w:rsid w:val="00636C20"/>
    <w:rsid w:val="00636C86"/>
    <w:rsid w:val="00636CE5"/>
    <w:rsid w:val="00636D34"/>
    <w:rsid w:val="00636E42"/>
    <w:rsid w:val="00637152"/>
    <w:rsid w:val="00637176"/>
    <w:rsid w:val="00637188"/>
    <w:rsid w:val="00637211"/>
    <w:rsid w:val="00637794"/>
    <w:rsid w:val="0064035F"/>
    <w:rsid w:val="00640378"/>
    <w:rsid w:val="006409E7"/>
    <w:rsid w:val="006409FC"/>
    <w:rsid w:val="00640AC6"/>
    <w:rsid w:val="00640C4B"/>
    <w:rsid w:val="00640EA8"/>
    <w:rsid w:val="00640F5B"/>
    <w:rsid w:val="0064182F"/>
    <w:rsid w:val="00641A42"/>
    <w:rsid w:val="00641AA0"/>
    <w:rsid w:val="00641D3B"/>
    <w:rsid w:val="00641DB4"/>
    <w:rsid w:val="00641FC4"/>
    <w:rsid w:val="0064206F"/>
    <w:rsid w:val="006422B2"/>
    <w:rsid w:val="00642434"/>
    <w:rsid w:val="0064264B"/>
    <w:rsid w:val="00642962"/>
    <w:rsid w:val="00642B2C"/>
    <w:rsid w:val="00642C14"/>
    <w:rsid w:val="00642E36"/>
    <w:rsid w:val="00642E3E"/>
    <w:rsid w:val="00642F9C"/>
    <w:rsid w:val="006430A7"/>
    <w:rsid w:val="006430CA"/>
    <w:rsid w:val="006436D5"/>
    <w:rsid w:val="00643713"/>
    <w:rsid w:val="0064399D"/>
    <w:rsid w:val="006439F1"/>
    <w:rsid w:val="00643D1D"/>
    <w:rsid w:val="00643F9E"/>
    <w:rsid w:val="00644179"/>
    <w:rsid w:val="006441F9"/>
    <w:rsid w:val="0064430E"/>
    <w:rsid w:val="006443B0"/>
    <w:rsid w:val="006443C0"/>
    <w:rsid w:val="00644479"/>
    <w:rsid w:val="00644770"/>
    <w:rsid w:val="0064480C"/>
    <w:rsid w:val="0064485F"/>
    <w:rsid w:val="00644ECF"/>
    <w:rsid w:val="00645081"/>
    <w:rsid w:val="0064508D"/>
    <w:rsid w:val="0064510F"/>
    <w:rsid w:val="006454B7"/>
    <w:rsid w:val="006454F0"/>
    <w:rsid w:val="006455A5"/>
    <w:rsid w:val="006455C2"/>
    <w:rsid w:val="00645828"/>
    <w:rsid w:val="006459B9"/>
    <w:rsid w:val="00645A82"/>
    <w:rsid w:val="00645A96"/>
    <w:rsid w:val="00645B38"/>
    <w:rsid w:val="00645CCE"/>
    <w:rsid w:val="00645E35"/>
    <w:rsid w:val="00646354"/>
    <w:rsid w:val="006464BE"/>
    <w:rsid w:val="006465BF"/>
    <w:rsid w:val="0064677A"/>
    <w:rsid w:val="00646935"/>
    <w:rsid w:val="006469AB"/>
    <w:rsid w:val="006469B1"/>
    <w:rsid w:val="00646BDF"/>
    <w:rsid w:val="00646C4E"/>
    <w:rsid w:val="00646CFB"/>
    <w:rsid w:val="00646D78"/>
    <w:rsid w:val="00646D7C"/>
    <w:rsid w:val="00646E0A"/>
    <w:rsid w:val="00646F63"/>
    <w:rsid w:val="00647014"/>
    <w:rsid w:val="0064704A"/>
    <w:rsid w:val="006470A0"/>
    <w:rsid w:val="00647250"/>
    <w:rsid w:val="0064733D"/>
    <w:rsid w:val="00647447"/>
    <w:rsid w:val="00647453"/>
    <w:rsid w:val="0064745F"/>
    <w:rsid w:val="00647566"/>
    <w:rsid w:val="0064783C"/>
    <w:rsid w:val="00647CB8"/>
    <w:rsid w:val="0065008D"/>
    <w:rsid w:val="006500C7"/>
    <w:rsid w:val="006501FC"/>
    <w:rsid w:val="0065025F"/>
    <w:rsid w:val="0065042D"/>
    <w:rsid w:val="006508A5"/>
    <w:rsid w:val="0065091A"/>
    <w:rsid w:val="00650F8F"/>
    <w:rsid w:val="0065100E"/>
    <w:rsid w:val="00651068"/>
    <w:rsid w:val="0065135F"/>
    <w:rsid w:val="006513D7"/>
    <w:rsid w:val="006513FA"/>
    <w:rsid w:val="006514AA"/>
    <w:rsid w:val="006515AC"/>
    <w:rsid w:val="0065166F"/>
    <w:rsid w:val="00651993"/>
    <w:rsid w:val="006519BA"/>
    <w:rsid w:val="00651A22"/>
    <w:rsid w:val="00651D60"/>
    <w:rsid w:val="00651E7F"/>
    <w:rsid w:val="00651EC6"/>
    <w:rsid w:val="00651F4C"/>
    <w:rsid w:val="00652191"/>
    <w:rsid w:val="00652202"/>
    <w:rsid w:val="00652468"/>
    <w:rsid w:val="00652506"/>
    <w:rsid w:val="00652723"/>
    <w:rsid w:val="006528B7"/>
    <w:rsid w:val="006528DE"/>
    <w:rsid w:val="00652C42"/>
    <w:rsid w:val="00652D2B"/>
    <w:rsid w:val="00652E0A"/>
    <w:rsid w:val="006538BE"/>
    <w:rsid w:val="00653CDA"/>
    <w:rsid w:val="00653DAD"/>
    <w:rsid w:val="006540AA"/>
    <w:rsid w:val="006542A5"/>
    <w:rsid w:val="006543F4"/>
    <w:rsid w:val="0065452E"/>
    <w:rsid w:val="00654530"/>
    <w:rsid w:val="00654550"/>
    <w:rsid w:val="006545B7"/>
    <w:rsid w:val="006546E7"/>
    <w:rsid w:val="006548A0"/>
    <w:rsid w:val="006548DD"/>
    <w:rsid w:val="006549D7"/>
    <w:rsid w:val="006549E8"/>
    <w:rsid w:val="00654AEB"/>
    <w:rsid w:val="00654B03"/>
    <w:rsid w:val="00654E26"/>
    <w:rsid w:val="00654EA5"/>
    <w:rsid w:val="00655136"/>
    <w:rsid w:val="00655267"/>
    <w:rsid w:val="00655329"/>
    <w:rsid w:val="0065547B"/>
    <w:rsid w:val="006554AE"/>
    <w:rsid w:val="0065577C"/>
    <w:rsid w:val="00655E59"/>
    <w:rsid w:val="00655F42"/>
    <w:rsid w:val="00656093"/>
    <w:rsid w:val="00656185"/>
    <w:rsid w:val="006567AD"/>
    <w:rsid w:val="00656894"/>
    <w:rsid w:val="006569C5"/>
    <w:rsid w:val="00656B10"/>
    <w:rsid w:val="00656EED"/>
    <w:rsid w:val="006570C4"/>
    <w:rsid w:val="006570E2"/>
    <w:rsid w:val="00657115"/>
    <w:rsid w:val="0065726C"/>
    <w:rsid w:val="0065752D"/>
    <w:rsid w:val="006576C7"/>
    <w:rsid w:val="00657C07"/>
    <w:rsid w:val="00657C4C"/>
    <w:rsid w:val="00657E67"/>
    <w:rsid w:val="00657FCF"/>
    <w:rsid w:val="00660003"/>
    <w:rsid w:val="006601CC"/>
    <w:rsid w:val="0066023C"/>
    <w:rsid w:val="0066049C"/>
    <w:rsid w:val="006604EE"/>
    <w:rsid w:val="0066067B"/>
    <w:rsid w:val="00660695"/>
    <w:rsid w:val="00660A25"/>
    <w:rsid w:val="00660A45"/>
    <w:rsid w:val="00660AFD"/>
    <w:rsid w:val="00660B1F"/>
    <w:rsid w:val="00660BC4"/>
    <w:rsid w:val="00660EFE"/>
    <w:rsid w:val="00661478"/>
    <w:rsid w:val="0066162F"/>
    <w:rsid w:val="00661A42"/>
    <w:rsid w:val="00661AF9"/>
    <w:rsid w:val="00661B2C"/>
    <w:rsid w:val="00661C1F"/>
    <w:rsid w:val="00661C2E"/>
    <w:rsid w:val="00661EA0"/>
    <w:rsid w:val="00661EF9"/>
    <w:rsid w:val="006622BE"/>
    <w:rsid w:val="006624C3"/>
    <w:rsid w:val="0066250D"/>
    <w:rsid w:val="00662626"/>
    <w:rsid w:val="006626B9"/>
    <w:rsid w:val="00662921"/>
    <w:rsid w:val="00662926"/>
    <w:rsid w:val="00662A00"/>
    <w:rsid w:val="00662C4F"/>
    <w:rsid w:val="00662C7F"/>
    <w:rsid w:val="00663076"/>
    <w:rsid w:val="00663154"/>
    <w:rsid w:val="006631B3"/>
    <w:rsid w:val="006633D3"/>
    <w:rsid w:val="00663644"/>
    <w:rsid w:val="0066376A"/>
    <w:rsid w:val="00663A29"/>
    <w:rsid w:val="00663A39"/>
    <w:rsid w:val="00663AD4"/>
    <w:rsid w:val="00663C8A"/>
    <w:rsid w:val="00663E7A"/>
    <w:rsid w:val="00663F08"/>
    <w:rsid w:val="00663F79"/>
    <w:rsid w:val="006643C0"/>
    <w:rsid w:val="00664996"/>
    <w:rsid w:val="00664A75"/>
    <w:rsid w:val="00664B02"/>
    <w:rsid w:val="00664B1B"/>
    <w:rsid w:val="00664B20"/>
    <w:rsid w:val="00664B3D"/>
    <w:rsid w:val="00664ECA"/>
    <w:rsid w:val="00665219"/>
    <w:rsid w:val="0066528F"/>
    <w:rsid w:val="006653C6"/>
    <w:rsid w:val="0066565F"/>
    <w:rsid w:val="006657AC"/>
    <w:rsid w:val="00665A0F"/>
    <w:rsid w:val="00665AAA"/>
    <w:rsid w:val="00665F45"/>
    <w:rsid w:val="00666022"/>
    <w:rsid w:val="006663A2"/>
    <w:rsid w:val="00666423"/>
    <w:rsid w:val="006664B4"/>
    <w:rsid w:val="00666640"/>
    <w:rsid w:val="006669F1"/>
    <w:rsid w:val="00666DC4"/>
    <w:rsid w:val="00666E7B"/>
    <w:rsid w:val="00666E83"/>
    <w:rsid w:val="00666FB2"/>
    <w:rsid w:val="006670AC"/>
    <w:rsid w:val="006674D0"/>
    <w:rsid w:val="00667ADF"/>
    <w:rsid w:val="00667BDA"/>
    <w:rsid w:val="00667C4A"/>
    <w:rsid w:val="00667E08"/>
    <w:rsid w:val="00667FB8"/>
    <w:rsid w:val="0067013D"/>
    <w:rsid w:val="006703ED"/>
    <w:rsid w:val="0067055F"/>
    <w:rsid w:val="006707A4"/>
    <w:rsid w:val="006709DF"/>
    <w:rsid w:val="00670AA1"/>
    <w:rsid w:val="00670B11"/>
    <w:rsid w:val="00670C06"/>
    <w:rsid w:val="00670CA1"/>
    <w:rsid w:val="00670CF8"/>
    <w:rsid w:val="00670F6F"/>
    <w:rsid w:val="00671098"/>
    <w:rsid w:val="006710FB"/>
    <w:rsid w:val="006713F5"/>
    <w:rsid w:val="006714F9"/>
    <w:rsid w:val="00671884"/>
    <w:rsid w:val="00671BFB"/>
    <w:rsid w:val="0067214A"/>
    <w:rsid w:val="0067229F"/>
    <w:rsid w:val="00672326"/>
    <w:rsid w:val="006728A2"/>
    <w:rsid w:val="0067298E"/>
    <w:rsid w:val="00672D2F"/>
    <w:rsid w:val="00672E1A"/>
    <w:rsid w:val="00672E69"/>
    <w:rsid w:val="00672EDA"/>
    <w:rsid w:val="0067301B"/>
    <w:rsid w:val="006730F5"/>
    <w:rsid w:val="00673124"/>
    <w:rsid w:val="006731BA"/>
    <w:rsid w:val="00673511"/>
    <w:rsid w:val="00673604"/>
    <w:rsid w:val="0067363D"/>
    <w:rsid w:val="00673751"/>
    <w:rsid w:val="0067384E"/>
    <w:rsid w:val="00673A75"/>
    <w:rsid w:val="00673B73"/>
    <w:rsid w:val="00673BB5"/>
    <w:rsid w:val="00673D41"/>
    <w:rsid w:val="0067419F"/>
    <w:rsid w:val="006741B6"/>
    <w:rsid w:val="00674364"/>
    <w:rsid w:val="00674445"/>
    <w:rsid w:val="00674775"/>
    <w:rsid w:val="00674A90"/>
    <w:rsid w:val="00674B2E"/>
    <w:rsid w:val="00674CC7"/>
    <w:rsid w:val="00674DB7"/>
    <w:rsid w:val="00674F16"/>
    <w:rsid w:val="00674FC7"/>
    <w:rsid w:val="00674FE6"/>
    <w:rsid w:val="006751AE"/>
    <w:rsid w:val="00675677"/>
    <w:rsid w:val="006756AB"/>
    <w:rsid w:val="0067580D"/>
    <w:rsid w:val="006758ED"/>
    <w:rsid w:val="00675C23"/>
    <w:rsid w:val="00675EDD"/>
    <w:rsid w:val="00675F82"/>
    <w:rsid w:val="00675FE3"/>
    <w:rsid w:val="00676038"/>
    <w:rsid w:val="0067605D"/>
    <w:rsid w:val="0067643A"/>
    <w:rsid w:val="0067652E"/>
    <w:rsid w:val="00676A07"/>
    <w:rsid w:val="00676CD9"/>
    <w:rsid w:val="00676CE7"/>
    <w:rsid w:val="006771EF"/>
    <w:rsid w:val="006773AB"/>
    <w:rsid w:val="0067759D"/>
    <w:rsid w:val="006777F2"/>
    <w:rsid w:val="00677B7D"/>
    <w:rsid w:val="00677DD4"/>
    <w:rsid w:val="006800FF"/>
    <w:rsid w:val="0068016F"/>
    <w:rsid w:val="00680193"/>
    <w:rsid w:val="00680343"/>
    <w:rsid w:val="00680667"/>
    <w:rsid w:val="0068072E"/>
    <w:rsid w:val="0068082E"/>
    <w:rsid w:val="0068086C"/>
    <w:rsid w:val="00680A1F"/>
    <w:rsid w:val="00680ADF"/>
    <w:rsid w:val="00680D59"/>
    <w:rsid w:val="00680D75"/>
    <w:rsid w:val="006811CF"/>
    <w:rsid w:val="006811D4"/>
    <w:rsid w:val="00681270"/>
    <w:rsid w:val="006812D9"/>
    <w:rsid w:val="006813B2"/>
    <w:rsid w:val="0068148A"/>
    <w:rsid w:val="006814E3"/>
    <w:rsid w:val="006818B8"/>
    <w:rsid w:val="00681A6A"/>
    <w:rsid w:val="00681B17"/>
    <w:rsid w:val="00681C2A"/>
    <w:rsid w:val="00681EBC"/>
    <w:rsid w:val="00682231"/>
    <w:rsid w:val="00682238"/>
    <w:rsid w:val="0068234B"/>
    <w:rsid w:val="006823B7"/>
    <w:rsid w:val="0068247A"/>
    <w:rsid w:val="006825DF"/>
    <w:rsid w:val="006829F1"/>
    <w:rsid w:val="00682B43"/>
    <w:rsid w:val="006831A1"/>
    <w:rsid w:val="006831D9"/>
    <w:rsid w:val="00683208"/>
    <w:rsid w:val="00683344"/>
    <w:rsid w:val="0068341C"/>
    <w:rsid w:val="0068359B"/>
    <w:rsid w:val="006836AF"/>
    <w:rsid w:val="0068377D"/>
    <w:rsid w:val="00683C96"/>
    <w:rsid w:val="00683E6C"/>
    <w:rsid w:val="00683F11"/>
    <w:rsid w:val="00683FB8"/>
    <w:rsid w:val="00683FE6"/>
    <w:rsid w:val="0068406D"/>
    <w:rsid w:val="006840DB"/>
    <w:rsid w:val="00684107"/>
    <w:rsid w:val="00684603"/>
    <w:rsid w:val="00684A10"/>
    <w:rsid w:val="00684A42"/>
    <w:rsid w:val="00684A66"/>
    <w:rsid w:val="00684B6E"/>
    <w:rsid w:val="00684C02"/>
    <w:rsid w:val="00684D66"/>
    <w:rsid w:val="00684F7D"/>
    <w:rsid w:val="006852D9"/>
    <w:rsid w:val="0068542F"/>
    <w:rsid w:val="0068564A"/>
    <w:rsid w:val="00685696"/>
    <w:rsid w:val="00685701"/>
    <w:rsid w:val="00685D67"/>
    <w:rsid w:val="00685E1B"/>
    <w:rsid w:val="00686536"/>
    <w:rsid w:val="006865F6"/>
    <w:rsid w:val="00686692"/>
    <w:rsid w:val="00686A70"/>
    <w:rsid w:val="00686C81"/>
    <w:rsid w:val="00686CEB"/>
    <w:rsid w:val="00686D17"/>
    <w:rsid w:val="00686E81"/>
    <w:rsid w:val="00687070"/>
    <w:rsid w:val="006871C2"/>
    <w:rsid w:val="006871E9"/>
    <w:rsid w:val="00687254"/>
    <w:rsid w:val="006873DC"/>
    <w:rsid w:val="0068754C"/>
    <w:rsid w:val="00687926"/>
    <w:rsid w:val="006879F4"/>
    <w:rsid w:val="00687A53"/>
    <w:rsid w:val="0069005F"/>
    <w:rsid w:val="006900B8"/>
    <w:rsid w:val="006904E1"/>
    <w:rsid w:val="0069084F"/>
    <w:rsid w:val="00690AB4"/>
    <w:rsid w:val="00690B40"/>
    <w:rsid w:val="00690F41"/>
    <w:rsid w:val="00690F49"/>
    <w:rsid w:val="006911A8"/>
    <w:rsid w:val="0069127C"/>
    <w:rsid w:val="00691367"/>
    <w:rsid w:val="006919E4"/>
    <w:rsid w:val="00691DF5"/>
    <w:rsid w:val="00691F34"/>
    <w:rsid w:val="0069244B"/>
    <w:rsid w:val="0069246A"/>
    <w:rsid w:val="00692552"/>
    <w:rsid w:val="006925EF"/>
    <w:rsid w:val="006926AD"/>
    <w:rsid w:val="00692ADD"/>
    <w:rsid w:val="00692BEA"/>
    <w:rsid w:val="00692D19"/>
    <w:rsid w:val="00692D8D"/>
    <w:rsid w:val="00692FD9"/>
    <w:rsid w:val="00693186"/>
    <w:rsid w:val="00693688"/>
    <w:rsid w:val="006936EB"/>
    <w:rsid w:val="006938FD"/>
    <w:rsid w:val="00693A7D"/>
    <w:rsid w:val="00693A9A"/>
    <w:rsid w:val="00693C2D"/>
    <w:rsid w:val="00693C87"/>
    <w:rsid w:val="00693F15"/>
    <w:rsid w:val="006947A1"/>
    <w:rsid w:val="006947D8"/>
    <w:rsid w:val="00694892"/>
    <w:rsid w:val="006949DD"/>
    <w:rsid w:val="006949F8"/>
    <w:rsid w:val="00694BF9"/>
    <w:rsid w:val="00694DC1"/>
    <w:rsid w:val="00694F56"/>
    <w:rsid w:val="00695405"/>
    <w:rsid w:val="0069547F"/>
    <w:rsid w:val="006954AB"/>
    <w:rsid w:val="006955B3"/>
    <w:rsid w:val="00695689"/>
    <w:rsid w:val="00695691"/>
    <w:rsid w:val="006956D8"/>
    <w:rsid w:val="006956EE"/>
    <w:rsid w:val="0069578F"/>
    <w:rsid w:val="0069585E"/>
    <w:rsid w:val="00695A4E"/>
    <w:rsid w:val="00695D61"/>
    <w:rsid w:val="00695F27"/>
    <w:rsid w:val="006961B5"/>
    <w:rsid w:val="0069629A"/>
    <w:rsid w:val="006963F5"/>
    <w:rsid w:val="006966A3"/>
    <w:rsid w:val="006966EB"/>
    <w:rsid w:val="00696838"/>
    <w:rsid w:val="00696921"/>
    <w:rsid w:val="00696992"/>
    <w:rsid w:val="00696998"/>
    <w:rsid w:val="00696A5A"/>
    <w:rsid w:val="00696B68"/>
    <w:rsid w:val="00696DEA"/>
    <w:rsid w:val="00696EC9"/>
    <w:rsid w:val="00697169"/>
    <w:rsid w:val="00697671"/>
    <w:rsid w:val="006976CE"/>
    <w:rsid w:val="006979AF"/>
    <w:rsid w:val="00697B4D"/>
    <w:rsid w:val="00697B9D"/>
    <w:rsid w:val="00697C6F"/>
    <w:rsid w:val="00697ECA"/>
    <w:rsid w:val="006A0255"/>
    <w:rsid w:val="006A072B"/>
    <w:rsid w:val="006A0774"/>
    <w:rsid w:val="006A0EDC"/>
    <w:rsid w:val="006A0F18"/>
    <w:rsid w:val="006A1236"/>
    <w:rsid w:val="006A13B5"/>
    <w:rsid w:val="006A1681"/>
    <w:rsid w:val="006A180A"/>
    <w:rsid w:val="006A18A4"/>
    <w:rsid w:val="006A1C7A"/>
    <w:rsid w:val="006A1D4E"/>
    <w:rsid w:val="006A2041"/>
    <w:rsid w:val="006A2778"/>
    <w:rsid w:val="006A27EF"/>
    <w:rsid w:val="006A2A4B"/>
    <w:rsid w:val="006A2A51"/>
    <w:rsid w:val="006A2B83"/>
    <w:rsid w:val="006A2C31"/>
    <w:rsid w:val="006A2CA5"/>
    <w:rsid w:val="006A2E0F"/>
    <w:rsid w:val="006A2FFD"/>
    <w:rsid w:val="006A3239"/>
    <w:rsid w:val="006A34BA"/>
    <w:rsid w:val="006A357B"/>
    <w:rsid w:val="006A3660"/>
    <w:rsid w:val="006A3B20"/>
    <w:rsid w:val="006A3DEC"/>
    <w:rsid w:val="006A3E0C"/>
    <w:rsid w:val="006A3EB1"/>
    <w:rsid w:val="006A3ED3"/>
    <w:rsid w:val="006A44C5"/>
    <w:rsid w:val="006A463F"/>
    <w:rsid w:val="006A46C7"/>
    <w:rsid w:val="006A4813"/>
    <w:rsid w:val="006A48B1"/>
    <w:rsid w:val="006A48E2"/>
    <w:rsid w:val="006A4C10"/>
    <w:rsid w:val="006A50E0"/>
    <w:rsid w:val="006A5152"/>
    <w:rsid w:val="006A52E0"/>
    <w:rsid w:val="006A53E0"/>
    <w:rsid w:val="006A5546"/>
    <w:rsid w:val="006A5664"/>
    <w:rsid w:val="006A591A"/>
    <w:rsid w:val="006A5A39"/>
    <w:rsid w:val="006A5FCF"/>
    <w:rsid w:val="006A61C9"/>
    <w:rsid w:val="006A627A"/>
    <w:rsid w:val="006A6351"/>
    <w:rsid w:val="006A6623"/>
    <w:rsid w:val="006A6738"/>
    <w:rsid w:val="006A6A7D"/>
    <w:rsid w:val="006A6A8D"/>
    <w:rsid w:val="006A6CD6"/>
    <w:rsid w:val="006A6E1C"/>
    <w:rsid w:val="006A6E7F"/>
    <w:rsid w:val="006A6FE2"/>
    <w:rsid w:val="006A7305"/>
    <w:rsid w:val="006A7413"/>
    <w:rsid w:val="006A759A"/>
    <w:rsid w:val="006A75BD"/>
    <w:rsid w:val="006A769A"/>
    <w:rsid w:val="006A76C1"/>
    <w:rsid w:val="006A77F4"/>
    <w:rsid w:val="006A788A"/>
    <w:rsid w:val="006A7923"/>
    <w:rsid w:val="006A7964"/>
    <w:rsid w:val="006A7B96"/>
    <w:rsid w:val="006A7CEB"/>
    <w:rsid w:val="006A7D43"/>
    <w:rsid w:val="006A7D7D"/>
    <w:rsid w:val="006A7E78"/>
    <w:rsid w:val="006B02E0"/>
    <w:rsid w:val="006B03CC"/>
    <w:rsid w:val="006B06C8"/>
    <w:rsid w:val="006B0A76"/>
    <w:rsid w:val="006B0C31"/>
    <w:rsid w:val="006B0C6D"/>
    <w:rsid w:val="006B0E9D"/>
    <w:rsid w:val="006B13EA"/>
    <w:rsid w:val="006B14B8"/>
    <w:rsid w:val="006B177E"/>
    <w:rsid w:val="006B18A0"/>
    <w:rsid w:val="006B1AA1"/>
    <w:rsid w:val="006B1BA7"/>
    <w:rsid w:val="006B1E1B"/>
    <w:rsid w:val="006B2064"/>
    <w:rsid w:val="006B24E6"/>
    <w:rsid w:val="006B272F"/>
    <w:rsid w:val="006B2823"/>
    <w:rsid w:val="006B2859"/>
    <w:rsid w:val="006B2D2F"/>
    <w:rsid w:val="006B2D58"/>
    <w:rsid w:val="006B324B"/>
    <w:rsid w:val="006B32A0"/>
    <w:rsid w:val="006B3307"/>
    <w:rsid w:val="006B335B"/>
    <w:rsid w:val="006B33D6"/>
    <w:rsid w:val="006B35D3"/>
    <w:rsid w:val="006B36FA"/>
    <w:rsid w:val="006B38AE"/>
    <w:rsid w:val="006B3E00"/>
    <w:rsid w:val="006B3E2D"/>
    <w:rsid w:val="006B4076"/>
    <w:rsid w:val="006B422C"/>
    <w:rsid w:val="006B4336"/>
    <w:rsid w:val="006B4346"/>
    <w:rsid w:val="006B4707"/>
    <w:rsid w:val="006B4795"/>
    <w:rsid w:val="006B4CB5"/>
    <w:rsid w:val="006B4D9A"/>
    <w:rsid w:val="006B4EC9"/>
    <w:rsid w:val="006B4F80"/>
    <w:rsid w:val="006B53A1"/>
    <w:rsid w:val="006B54E5"/>
    <w:rsid w:val="006B5749"/>
    <w:rsid w:val="006B5937"/>
    <w:rsid w:val="006B5AD9"/>
    <w:rsid w:val="006B5E66"/>
    <w:rsid w:val="006B5F9F"/>
    <w:rsid w:val="006B6014"/>
    <w:rsid w:val="006B68D9"/>
    <w:rsid w:val="006B6B1F"/>
    <w:rsid w:val="006B6BB2"/>
    <w:rsid w:val="006B706E"/>
    <w:rsid w:val="006B7743"/>
    <w:rsid w:val="006B7A39"/>
    <w:rsid w:val="006B7BC5"/>
    <w:rsid w:val="006B7D65"/>
    <w:rsid w:val="006B7DF1"/>
    <w:rsid w:val="006B7E39"/>
    <w:rsid w:val="006C0011"/>
    <w:rsid w:val="006C017A"/>
    <w:rsid w:val="006C01B4"/>
    <w:rsid w:val="006C0241"/>
    <w:rsid w:val="006C043F"/>
    <w:rsid w:val="006C05AA"/>
    <w:rsid w:val="006C08F6"/>
    <w:rsid w:val="006C0E16"/>
    <w:rsid w:val="006C0ECE"/>
    <w:rsid w:val="006C0F87"/>
    <w:rsid w:val="006C100B"/>
    <w:rsid w:val="006C1026"/>
    <w:rsid w:val="006C123C"/>
    <w:rsid w:val="006C140B"/>
    <w:rsid w:val="006C156C"/>
    <w:rsid w:val="006C1665"/>
    <w:rsid w:val="006C1AA8"/>
    <w:rsid w:val="006C1D49"/>
    <w:rsid w:val="006C1D67"/>
    <w:rsid w:val="006C1D8C"/>
    <w:rsid w:val="006C201D"/>
    <w:rsid w:val="006C215B"/>
    <w:rsid w:val="006C2354"/>
    <w:rsid w:val="006C256A"/>
    <w:rsid w:val="006C2965"/>
    <w:rsid w:val="006C2ABB"/>
    <w:rsid w:val="006C2B0C"/>
    <w:rsid w:val="006C2C0B"/>
    <w:rsid w:val="006C2CC6"/>
    <w:rsid w:val="006C2DA5"/>
    <w:rsid w:val="006C2F40"/>
    <w:rsid w:val="006C32CC"/>
    <w:rsid w:val="006C3732"/>
    <w:rsid w:val="006C3ABD"/>
    <w:rsid w:val="006C3C69"/>
    <w:rsid w:val="006C42B2"/>
    <w:rsid w:val="006C42FC"/>
    <w:rsid w:val="006C44DC"/>
    <w:rsid w:val="006C491E"/>
    <w:rsid w:val="006C4B19"/>
    <w:rsid w:val="006C4EA8"/>
    <w:rsid w:val="006C4EEF"/>
    <w:rsid w:val="006C54EF"/>
    <w:rsid w:val="006C577C"/>
    <w:rsid w:val="006C57C2"/>
    <w:rsid w:val="006C5932"/>
    <w:rsid w:val="006C5981"/>
    <w:rsid w:val="006C5C99"/>
    <w:rsid w:val="006C5D72"/>
    <w:rsid w:val="006C5F1B"/>
    <w:rsid w:val="006C5F92"/>
    <w:rsid w:val="006C6030"/>
    <w:rsid w:val="006C606B"/>
    <w:rsid w:val="006C61E8"/>
    <w:rsid w:val="006C625E"/>
    <w:rsid w:val="006C63BD"/>
    <w:rsid w:val="006C669A"/>
    <w:rsid w:val="006C6AE6"/>
    <w:rsid w:val="006C6D6C"/>
    <w:rsid w:val="006C6DA8"/>
    <w:rsid w:val="006C6E21"/>
    <w:rsid w:val="006C7175"/>
    <w:rsid w:val="006D051C"/>
    <w:rsid w:val="006D06BA"/>
    <w:rsid w:val="006D06E4"/>
    <w:rsid w:val="006D088E"/>
    <w:rsid w:val="006D0997"/>
    <w:rsid w:val="006D09DC"/>
    <w:rsid w:val="006D0AB2"/>
    <w:rsid w:val="006D103F"/>
    <w:rsid w:val="006D1162"/>
    <w:rsid w:val="006D1255"/>
    <w:rsid w:val="006D14F2"/>
    <w:rsid w:val="006D1553"/>
    <w:rsid w:val="006D16C9"/>
    <w:rsid w:val="006D17BC"/>
    <w:rsid w:val="006D1870"/>
    <w:rsid w:val="006D19DA"/>
    <w:rsid w:val="006D1CE1"/>
    <w:rsid w:val="006D1D5F"/>
    <w:rsid w:val="006D2044"/>
    <w:rsid w:val="006D22E3"/>
    <w:rsid w:val="006D2323"/>
    <w:rsid w:val="006D236D"/>
    <w:rsid w:val="006D2BE9"/>
    <w:rsid w:val="006D2BFE"/>
    <w:rsid w:val="006D2E02"/>
    <w:rsid w:val="006D2E2B"/>
    <w:rsid w:val="006D2EF8"/>
    <w:rsid w:val="006D3257"/>
    <w:rsid w:val="006D3403"/>
    <w:rsid w:val="006D3812"/>
    <w:rsid w:val="006D394E"/>
    <w:rsid w:val="006D396E"/>
    <w:rsid w:val="006D3A1A"/>
    <w:rsid w:val="006D3AE2"/>
    <w:rsid w:val="006D3FBB"/>
    <w:rsid w:val="006D40E9"/>
    <w:rsid w:val="006D41E2"/>
    <w:rsid w:val="006D4295"/>
    <w:rsid w:val="006D431E"/>
    <w:rsid w:val="006D434C"/>
    <w:rsid w:val="006D490C"/>
    <w:rsid w:val="006D4C3C"/>
    <w:rsid w:val="006D4CA8"/>
    <w:rsid w:val="006D4DBC"/>
    <w:rsid w:val="006D4EE1"/>
    <w:rsid w:val="006D4EF0"/>
    <w:rsid w:val="006D4FCA"/>
    <w:rsid w:val="006D5189"/>
    <w:rsid w:val="006D51DF"/>
    <w:rsid w:val="006D533A"/>
    <w:rsid w:val="006D5376"/>
    <w:rsid w:val="006D5457"/>
    <w:rsid w:val="006D54A4"/>
    <w:rsid w:val="006D5570"/>
    <w:rsid w:val="006D5887"/>
    <w:rsid w:val="006D5A08"/>
    <w:rsid w:val="006D5B8A"/>
    <w:rsid w:val="006D5BB3"/>
    <w:rsid w:val="006D5C64"/>
    <w:rsid w:val="006D5CEA"/>
    <w:rsid w:val="006D5CFD"/>
    <w:rsid w:val="006D5D14"/>
    <w:rsid w:val="006D5DA6"/>
    <w:rsid w:val="006D5E8F"/>
    <w:rsid w:val="006D5FEE"/>
    <w:rsid w:val="006D604E"/>
    <w:rsid w:val="006D60EB"/>
    <w:rsid w:val="006D6688"/>
    <w:rsid w:val="006D671B"/>
    <w:rsid w:val="006D6772"/>
    <w:rsid w:val="006D6B2B"/>
    <w:rsid w:val="006D6B97"/>
    <w:rsid w:val="006D6E8E"/>
    <w:rsid w:val="006D700F"/>
    <w:rsid w:val="006D7209"/>
    <w:rsid w:val="006D7887"/>
    <w:rsid w:val="006D797F"/>
    <w:rsid w:val="006D7CA8"/>
    <w:rsid w:val="006D7F6F"/>
    <w:rsid w:val="006D7F86"/>
    <w:rsid w:val="006D7F8D"/>
    <w:rsid w:val="006E0360"/>
    <w:rsid w:val="006E03D1"/>
    <w:rsid w:val="006E04DF"/>
    <w:rsid w:val="006E07CD"/>
    <w:rsid w:val="006E0A79"/>
    <w:rsid w:val="006E0BD6"/>
    <w:rsid w:val="006E0CA1"/>
    <w:rsid w:val="006E0D81"/>
    <w:rsid w:val="006E0DA3"/>
    <w:rsid w:val="006E1147"/>
    <w:rsid w:val="006E1716"/>
    <w:rsid w:val="006E1790"/>
    <w:rsid w:val="006E1DC3"/>
    <w:rsid w:val="006E1DEA"/>
    <w:rsid w:val="006E1E20"/>
    <w:rsid w:val="006E1E38"/>
    <w:rsid w:val="006E2015"/>
    <w:rsid w:val="006E209C"/>
    <w:rsid w:val="006E21F3"/>
    <w:rsid w:val="006E2289"/>
    <w:rsid w:val="006E22A6"/>
    <w:rsid w:val="006E2536"/>
    <w:rsid w:val="006E2FBB"/>
    <w:rsid w:val="006E301A"/>
    <w:rsid w:val="006E30A3"/>
    <w:rsid w:val="006E32E4"/>
    <w:rsid w:val="006E330B"/>
    <w:rsid w:val="006E3499"/>
    <w:rsid w:val="006E34A2"/>
    <w:rsid w:val="006E351D"/>
    <w:rsid w:val="006E38EC"/>
    <w:rsid w:val="006E39BB"/>
    <w:rsid w:val="006E3A50"/>
    <w:rsid w:val="006E3A62"/>
    <w:rsid w:val="006E3B1E"/>
    <w:rsid w:val="006E3D49"/>
    <w:rsid w:val="006E3DD4"/>
    <w:rsid w:val="006E3E3D"/>
    <w:rsid w:val="006E4021"/>
    <w:rsid w:val="006E47CB"/>
    <w:rsid w:val="006E4875"/>
    <w:rsid w:val="006E48AE"/>
    <w:rsid w:val="006E493C"/>
    <w:rsid w:val="006E4A86"/>
    <w:rsid w:val="006E4A97"/>
    <w:rsid w:val="006E4B3E"/>
    <w:rsid w:val="006E4B7A"/>
    <w:rsid w:val="006E4CD4"/>
    <w:rsid w:val="006E4CE0"/>
    <w:rsid w:val="006E4D12"/>
    <w:rsid w:val="006E50CF"/>
    <w:rsid w:val="006E5288"/>
    <w:rsid w:val="006E53D3"/>
    <w:rsid w:val="006E54B9"/>
    <w:rsid w:val="006E576F"/>
    <w:rsid w:val="006E585A"/>
    <w:rsid w:val="006E5867"/>
    <w:rsid w:val="006E5875"/>
    <w:rsid w:val="006E587D"/>
    <w:rsid w:val="006E58F3"/>
    <w:rsid w:val="006E5A18"/>
    <w:rsid w:val="006E5A50"/>
    <w:rsid w:val="006E6102"/>
    <w:rsid w:val="006E6401"/>
    <w:rsid w:val="006E6515"/>
    <w:rsid w:val="006E655D"/>
    <w:rsid w:val="006E66A6"/>
    <w:rsid w:val="006E6740"/>
    <w:rsid w:val="006E692A"/>
    <w:rsid w:val="006E6A28"/>
    <w:rsid w:val="006E6BD2"/>
    <w:rsid w:val="006E6CD0"/>
    <w:rsid w:val="006E6E39"/>
    <w:rsid w:val="006E6F90"/>
    <w:rsid w:val="006E72FA"/>
    <w:rsid w:val="006E737A"/>
    <w:rsid w:val="006E7467"/>
    <w:rsid w:val="006E7610"/>
    <w:rsid w:val="006E7796"/>
    <w:rsid w:val="006E786A"/>
    <w:rsid w:val="006E7CE0"/>
    <w:rsid w:val="006E7D35"/>
    <w:rsid w:val="006E7DC5"/>
    <w:rsid w:val="006E7E3E"/>
    <w:rsid w:val="006E7F7F"/>
    <w:rsid w:val="006F014F"/>
    <w:rsid w:val="006F032E"/>
    <w:rsid w:val="006F03DC"/>
    <w:rsid w:val="006F0491"/>
    <w:rsid w:val="006F04F9"/>
    <w:rsid w:val="006F0643"/>
    <w:rsid w:val="006F064B"/>
    <w:rsid w:val="006F0927"/>
    <w:rsid w:val="006F09F3"/>
    <w:rsid w:val="006F0A61"/>
    <w:rsid w:val="006F0B18"/>
    <w:rsid w:val="006F0CA1"/>
    <w:rsid w:val="006F0DAF"/>
    <w:rsid w:val="006F0E3F"/>
    <w:rsid w:val="006F12E4"/>
    <w:rsid w:val="006F1461"/>
    <w:rsid w:val="006F146F"/>
    <w:rsid w:val="006F15DE"/>
    <w:rsid w:val="006F1820"/>
    <w:rsid w:val="006F18BA"/>
    <w:rsid w:val="006F1BD1"/>
    <w:rsid w:val="006F1E84"/>
    <w:rsid w:val="006F1E93"/>
    <w:rsid w:val="006F1FC2"/>
    <w:rsid w:val="006F2396"/>
    <w:rsid w:val="006F249F"/>
    <w:rsid w:val="006F272A"/>
    <w:rsid w:val="006F2AD4"/>
    <w:rsid w:val="006F2D48"/>
    <w:rsid w:val="006F2ED6"/>
    <w:rsid w:val="006F3019"/>
    <w:rsid w:val="006F31B8"/>
    <w:rsid w:val="006F3430"/>
    <w:rsid w:val="006F35E1"/>
    <w:rsid w:val="006F37C9"/>
    <w:rsid w:val="006F38CE"/>
    <w:rsid w:val="006F3D22"/>
    <w:rsid w:val="006F3E3A"/>
    <w:rsid w:val="006F3EC8"/>
    <w:rsid w:val="006F3EFE"/>
    <w:rsid w:val="006F3F57"/>
    <w:rsid w:val="006F3FD9"/>
    <w:rsid w:val="006F40A7"/>
    <w:rsid w:val="006F40BC"/>
    <w:rsid w:val="006F4111"/>
    <w:rsid w:val="006F42FC"/>
    <w:rsid w:val="006F4FF2"/>
    <w:rsid w:val="006F5386"/>
    <w:rsid w:val="006F5556"/>
    <w:rsid w:val="006F55FF"/>
    <w:rsid w:val="006F572A"/>
    <w:rsid w:val="006F5890"/>
    <w:rsid w:val="006F58D4"/>
    <w:rsid w:val="006F5BA8"/>
    <w:rsid w:val="006F5BC6"/>
    <w:rsid w:val="006F5E47"/>
    <w:rsid w:val="006F63B1"/>
    <w:rsid w:val="006F6584"/>
    <w:rsid w:val="006F6653"/>
    <w:rsid w:val="006F6791"/>
    <w:rsid w:val="006F6C7F"/>
    <w:rsid w:val="006F6CB6"/>
    <w:rsid w:val="006F6EED"/>
    <w:rsid w:val="006F70A8"/>
    <w:rsid w:val="006F72CC"/>
    <w:rsid w:val="006F72E0"/>
    <w:rsid w:val="006F73B6"/>
    <w:rsid w:val="006F7475"/>
    <w:rsid w:val="006F749D"/>
    <w:rsid w:val="006F78DE"/>
    <w:rsid w:val="006F799C"/>
    <w:rsid w:val="006F7A1B"/>
    <w:rsid w:val="006F7AE1"/>
    <w:rsid w:val="006F7C82"/>
    <w:rsid w:val="006F7D76"/>
    <w:rsid w:val="007000FB"/>
    <w:rsid w:val="0070044F"/>
    <w:rsid w:val="007006A6"/>
    <w:rsid w:val="007006E8"/>
    <w:rsid w:val="007008BE"/>
    <w:rsid w:val="00700EFA"/>
    <w:rsid w:val="007013E3"/>
    <w:rsid w:val="00701536"/>
    <w:rsid w:val="0070162D"/>
    <w:rsid w:val="0070181C"/>
    <w:rsid w:val="00701C21"/>
    <w:rsid w:val="00701FA9"/>
    <w:rsid w:val="00702071"/>
    <w:rsid w:val="007021E0"/>
    <w:rsid w:val="00702204"/>
    <w:rsid w:val="00702516"/>
    <w:rsid w:val="00702575"/>
    <w:rsid w:val="0070277F"/>
    <w:rsid w:val="007028F6"/>
    <w:rsid w:val="00702B77"/>
    <w:rsid w:val="00702D03"/>
    <w:rsid w:val="00703080"/>
    <w:rsid w:val="00703146"/>
    <w:rsid w:val="0070315D"/>
    <w:rsid w:val="007032B5"/>
    <w:rsid w:val="007032E2"/>
    <w:rsid w:val="0070340E"/>
    <w:rsid w:val="00703470"/>
    <w:rsid w:val="007035B6"/>
    <w:rsid w:val="00703816"/>
    <w:rsid w:val="0070390B"/>
    <w:rsid w:val="00703932"/>
    <w:rsid w:val="00703983"/>
    <w:rsid w:val="00703A4A"/>
    <w:rsid w:val="00703ACC"/>
    <w:rsid w:val="00703ADB"/>
    <w:rsid w:val="00703BDA"/>
    <w:rsid w:val="00704024"/>
    <w:rsid w:val="007040C8"/>
    <w:rsid w:val="00704298"/>
    <w:rsid w:val="00704561"/>
    <w:rsid w:val="00704664"/>
    <w:rsid w:val="007046B8"/>
    <w:rsid w:val="007046CF"/>
    <w:rsid w:val="00704B84"/>
    <w:rsid w:val="00704D40"/>
    <w:rsid w:val="00704DA4"/>
    <w:rsid w:val="00704DCA"/>
    <w:rsid w:val="00704E02"/>
    <w:rsid w:val="00704E67"/>
    <w:rsid w:val="00704EC7"/>
    <w:rsid w:val="00704FCE"/>
    <w:rsid w:val="007050A6"/>
    <w:rsid w:val="007053F3"/>
    <w:rsid w:val="0070589D"/>
    <w:rsid w:val="00705B14"/>
    <w:rsid w:val="00705CEB"/>
    <w:rsid w:val="00705D55"/>
    <w:rsid w:val="00705D61"/>
    <w:rsid w:val="00705E32"/>
    <w:rsid w:val="00706097"/>
    <w:rsid w:val="007062B2"/>
    <w:rsid w:val="007063B5"/>
    <w:rsid w:val="007069A3"/>
    <w:rsid w:val="00706C83"/>
    <w:rsid w:val="00706D79"/>
    <w:rsid w:val="0070701A"/>
    <w:rsid w:val="00707372"/>
    <w:rsid w:val="00707375"/>
    <w:rsid w:val="007073C2"/>
    <w:rsid w:val="007074A8"/>
    <w:rsid w:val="007075E6"/>
    <w:rsid w:val="0070798F"/>
    <w:rsid w:val="00707ABA"/>
    <w:rsid w:val="00707EB2"/>
    <w:rsid w:val="00707F65"/>
    <w:rsid w:val="00707FB1"/>
    <w:rsid w:val="00710371"/>
    <w:rsid w:val="00710530"/>
    <w:rsid w:val="00710A73"/>
    <w:rsid w:val="00710BC5"/>
    <w:rsid w:val="00710CE6"/>
    <w:rsid w:val="00710DEB"/>
    <w:rsid w:val="00710EFE"/>
    <w:rsid w:val="00710F64"/>
    <w:rsid w:val="00711014"/>
    <w:rsid w:val="007112C9"/>
    <w:rsid w:val="00711359"/>
    <w:rsid w:val="0071142E"/>
    <w:rsid w:val="00711745"/>
    <w:rsid w:val="007118EF"/>
    <w:rsid w:val="00711C33"/>
    <w:rsid w:val="00711D39"/>
    <w:rsid w:val="00711DF0"/>
    <w:rsid w:val="00712094"/>
    <w:rsid w:val="0071209F"/>
    <w:rsid w:val="00712246"/>
    <w:rsid w:val="00712527"/>
    <w:rsid w:val="00712678"/>
    <w:rsid w:val="00712906"/>
    <w:rsid w:val="007129BC"/>
    <w:rsid w:val="00713031"/>
    <w:rsid w:val="0071304F"/>
    <w:rsid w:val="0071307A"/>
    <w:rsid w:val="007130AF"/>
    <w:rsid w:val="007133D9"/>
    <w:rsid w:val="0071342E"/>
    <w:rsid w:val="007136C4"/>
    <w:rsid w:val="007139C2"/>
    <w:rsid w:val="00713B1F"/>
    <w:rsid w:val="00713BEF"/>
    <w:rsid w:val="00713BF3"/>
    <w:rsid w:val="00713DC0"/>
    <w:rsid w:val="00713E2D"/>
    <w:rsid w:val="00713E69"/>
    <w:rsid w:val="00713EB9"/>
    <w:rsid w:val="00714033"/>
    <w:rsid w:val="0071428F"/>
    <w:rsid w:val="007144EE"/>
    <w:rsid w:val="007148E8"/>
    <w:rsid w:val="0071492D"/>
    <w:rsid w:val="00714A2B"/>
    <w:rsid w:val="00714A9A"/>
    <w:rsid w:val="00714D09"/>
    <w:rsid w:val="00714FA4"/>
    <w:rsid w:val="00715043"/>
    <w:rsid w:val="007153DA"/>
    <w:rsid w:val="00715421"/>
    <w:rsid w:val="007157E5"/>
    <w:rsid w:val="00715894"/>
    <w:rsid w:val="00715ADA"/>
    <w:rsid w:val="00715B5F"/>
    <w:rsid w:val="00715FCF"/>
    <w:rsid w:val="007165FC"/>
    <w:rsid w:val="007166AB"/>
    <w:rsid w:val="007166EB"/>
    <w:rsid w:val="00716A90"/>
    <w:rsid w:val="00716C8C"/>
    <w:rsid w:val="00716C97"/>
    <w:rsid w:val="00716D0C"/>
    <w:rsid w:val="00716F15"/>
    <w:rsid w:val="00717155"/>
    <w:rsid w:val="00717293"/>
    <w:rsid w:val="0071740C"/>
    <w:rsid w:val="007178DA"/>
    <w:rsid w:val="0071790A"/>
    <w:rsid w:val="007179C0"/>
    <w:rsid w:val="00717BBC"/>
    <w:rsid w:val="00717CDF"/>
    <w:rsid w:val="00717EA5"/>
    <w:rsid w:val="007200A1"/>
    <w:rsid w:val="007204D5"/>
    <w:rsid w:val="007206D7"/>
    <w:rsid w:val="00720719"/>
    <w:rsid w:val="00720CA8"/>
    <w:rsid w:val="00720FA0"/>
    <w:rsid w:val="00721262"/>
    <w:rsid w:val="00721346"/>
    <w:rsid w:val="0072177A"/>
    <w:rsid w:val="00721A49"/>
    <w:rsid w:val="00721B4A"/>
    <w:rsid w:val="00721C7A"/>
    <w:rsid w:val="00721EE5"/>
    <w:rsid w:val="0072225A"/>
    <w:rsid w:val="007222C9"/>
    <w:rsid w:val="007222D6"/>
    <w:rsid w:val="00722F0D"/>
    <w:rsid w:val="0072316E"/>
    <w:rsid w:val="007233C1"/>
    <w:rsid w:val="00723405"/>
    <w:rsid w:val="0072341C"/>
    <w:rsid w:val="007235F0"/>
    <w:rsid w:val="007237B6"/>
    <w:rsid w:val="007239CE"/>
    <w:rsid w:val="00723B47"/>
    <w:rsid w:val="00723EF1"/>
    <w:rsid w:val="00723FAF"/>
    <w:rsid w:val="007243A0"/>
    <w:rsid w:val="0072443E"/>
    <w:rsid w:val="0072476A"/>
    <w:rsid w:val="00724844"/>
    <w:rsid w:val="0072486A"/>
    <w:rsid w:val="007248F4"/>
    <w:rsid w:val="00724910"/>
    <w:rsid w:val="00724BAE"/>
    <w:rsid w:val="00724C2D"/>
    <w:rsid w:val="007251A7"/>
    <w:rsid w:val="00725296"/>
    <w:rsid w:val="00725452"/>
    <w:rsid w:val="0072560C"/>
    <w:rsid w:val="00725879"/>
    <w:rsid w:val="00725885"/>
    <w:rsid w:val="00725D77"/>
    <w:rsid w:val="00725F28"/>
    <w:rsid w:val="0072643B"/>
    <w:rsid w:val="00726511"/>
    <w:rsid w:val="007265FD"/>
    <w:rsid w:val="00726655"/>
    <w:rsid w:val="0072665C"/>
    <w:rsid w:val="007266C4"/>
    <w:rsid w:val="00726A10"/>
    <w:rsid w:val="00726A43"/>
    <w:rsid w:val="00726C25"/>
    <w:rsid w:val="00726F4C"/>
    <w:rsid w:val="00726F80"/>
    <w:rsid w:val="00727078"/>
    <w:rsid w:val="007273F3"/>
    <w:rsid w:val="007274B4"/>
    <w:rsid w:val="007274B7"/>
    <w:rsid w:val="007274F4"/>
    <w:rsid w:val="00727725"/>
    <w:rsid w:val="00727736"/>
    <w:rsid w:val="0073011F"/>
    <w:rsid w:val="0073050D"/>
    <w:rsid w:val="00730D21"/>
    <w:rsid w:val="00730E1C"/>
    <w:rsid w:val="00730ED1"/>
    <w:rsid w:val="00730F84"/>
    <w:rsid w:val="0073101D"/>
    <w:rsid w:val="00731048"/>
    <w:rsid w:val="0073107B"/>
    <w:rsid w:val="00731140"/>
    <w:rsid w:val="007312EC"/>
    <w:rsid w:val="007313C5"/>
    <w:rsid w:val="007313C8"/>
    <w:rsid w:val="00731602"/>
    <w:rsid w:val="00731760"/>
    <w:rsid w:val="00731BE3"/>
    <w:rsid w:val="007321CE"/>
    <w:rsid w:val="0073234E"/>
    <w:rsid w:val="00732509"/>
    <w:rsid w:val="00732544"/>
    <w:rsid w:val="00732595"/>
    <w:rsid w:val="007326AB"/>
    <w:rsid w:val="007328F4"/>
    <w:rsid w:val="00732AFB"/>
    <w:rsid w:val="00732C31"/>
    <w:rsid w:val="00732C8B"/>
    <w:rsid w:val="00732E41"/>
    <w:rsid w:val="00732FE0"/>
    <w:rsid w:val="00733098"/>
    <w:rsid w:val="00733349"/>
    <w:rsid w:val="0073339E"/>
    <w:rsid w:val="007336F7"/>
    <w:rsid w:val="007337B3"/>
    <w:rsid w:val="007337D6"/>
    <w:rsid w:val="00733948"/>
    <w:rsid w:val="00733962"/>
    <w:rsid w:val="00733994"/>
    <w:rsid w:val="007341E2"/>
    <w:rsid w:val="0073433E"/>
    <w:rsid w:val="007343B8"/>
    <w:rsid w:val="0073441A"/>
    <w:rsid w:val="007347D3"/>
    <w:rsid w:val="007347D8"/>
    <w:rsid w:val="0073488D"/>
    <w:rsid w:val="00734A33"/>
    <w:rsid w:val="00734AA3"/>
    <w:rsid w:val="00734BFE"/>
    <w:rsid w:val="00734CB9"/>
    <w:rsid w:val="00734D66"/>
    <w:rsid w:val="00734DCD"/>
    <w:rsid w:val="00734EEB"/>
    <w:rsid w:val="00734FDA"/>
    <w:rsid w:val="007354FF"/>
    <w:rsid w:val="0073569B"/>
    <w:rsid w:val="00735A12"/>
    <w:rsid w:val="00735B4F"/>
    <w:rsid w:val="00735B7D"/>
    <w:rsid w:val="00735B93"/>
    <w:rsid w:val="0073611B"/>
    <w:rsid w:val="00736158"/>
    <w:rsid w:val="00736169"/>
    <w:rsid w:val="00736244"/>
    <w:rsid w:val="007363FE"/>
    <w:rsid w:val="00736522"/>
    <w:rsid w:val="00736540"/>
    <w:rsid w:val="007366D5"/>
    <w:rsid w:val="007369EE"/>
    <w:rsid w:val="00736C44"/>
    <w:rsid w:val="00736ECC"/>
    <w:rsid w:val="00737545"/>
    <w:rsid w:val="007377BF"/>
    <w:rsid w:val="007379DF"/>
    <w:rsid w:val="007379F2"/>
    <w:rsid w:val="00737A7A"/>
    <w:rsid w:val="00737AB1"/>
    <w:rsid w:val="00737BF5"/>
    <w:rsid w:val="00737C9E"/>
    <w:rsid w:val="00737D0F"/>
    <w:rsid w:val="00740148"/>
    <w:rsid w:val="00740556"/>
    <w:rsid w:val="007406B6"/>
    <w:rsid w:val="007408EB"/>
    <w:rsid w:val="00740C4A"/>
    <w:rsid w:val="00740DD8"/>
    <w:rsid w:val="00740FBF"/>
    <w:rsid w:val="00741000"/>
    <w:rsid w:val="00741415"/>
    <w:rsid w:val="00741580"/>
    <w:rsid w:val="0074172B"/>
    <w:rsid w:val="00741868"/>
    <w:rsid w:val="00741AE7"/>
    <w:rsid w:val="00741D09"/>
    <w:rsid w:val="00741D66"/>
    <w:rsid w:val="00741E75"/>
    <w:rsid w:val="00742039"/>
    <w:rsid w:val="0074214A"/>
    <w:rsid w:val="0074217F"/>
    <w:rsid w:val="00742884"/>
    <w:rsid w:val="00742ADC"/>
    <w:rsid w:val="00742B39"/>
    <w:rsid w:val="00742CF2"/>
    <w:rsid w:val="00742F4B"/>
    <w:rsid w:val="00743098"/>
    <w:rsid w:val="007431B5"/>
    <w:rsid w:val="0074325D"/>
    <w:rsid w:val="0074328A"/>
    <w:rsid w:val="00743507"/>
    <w:rsid w:val="0074355A"/>
    <w:rsid w:val="007437A5"/>
    <w:rsid w:val="00743B1D"/>
    <w:rsid w:val="00743B24"/>
    <w:rsid w:val="00743DD0"/>
    <w:rsid w:val="00743EE2"/>
    <w:rsid w:val="00743F39"/>
    <w:rsid w:val="007440B4"/>
    <w:rsid w:val="0074443F"/>
    <w:rsid w:val="007446E1"/>
    <w:rsid w:val="00744A64"/>
    <w:rsid w:val="00744C37"/>
    <w:rsid w:val="00744E8D"/>
    <w:rsid w:val="00745089"/>
    <w:rsid w:val="00745346"/>
    <w:rsid w:val="00745357"/>
    <w:rsid w:val="007454D5"/>
    <w:rsid w:val="00745556"/>
    <w:rsid w:val="007459F2"/>
    <w:rsid w:val="00745A9D"/>
    <w:rsid w:val="00745D76"/>
    <w:rsid w:val="00745ECE"/>
    <w:rsid w:val="007463A1"/>
    <w:rsid w:val="007465E3"/>
    <w:rsid w:val="007465EA"/>
    <w:rsid w:val="00746686"/>
    <w:rsid w:val="00746785"/>
    <w:rsid w:val="00746925"/>
    <w:rsid w:val="00747063"/>
    <w:rsid w:val="007473C6"/>
    <w:rsid w:val="007478BF"/>
    <w:rsid w:val="00747A01"/>
    <w:rsid w:val="00747C69"/>
    <w:rsid w:val="00747CB1"/>
    <w:rsid w:val="00747CBC"/>
    <w:rsid w:val="00747CBF"/>
    <w:rsid w:val="00747F8B"/>
    <w:rsid w:val="007505D7"/>
    <w:rsid w:val="007506A5"/>
    <w:rsid w:val="007508AC"/>
    <w:rsid w:val="00750CBC"/>
    <w:rsid w:val="00750CF7"/>
    <w:rsid w:val="00750E70"/>
    <w:rsid w:val="0075103C"/>
    <w:rsid w:val="00751071"/>
    <w:rsid w:val="0075116B"/>
    <w:rsid w:val="00751199"/>
    <w:rsid w:val="0075168D"/>
    <w:rsid w:val="007516CC"/>
    <w:rsid w:val="007518FD"/>
    <w:rsid w:val="00751957"/>
    <w:rsid w:val="00751C10"/>
    <w:rsid w:val="007521A5"/>
    <w:rsid w:val="0075226A"/>
    <w:rsid w:val="00752326"/>
    <w:rsid w:val="00752411"/>
    <w:rsid w:val="0075264F"/>
    <w:rsid w:val="0075280B"/>
    <w:rsid w:val="00752A8D"/>
    <w:rsid w:val="00752D70"/>
    <w:rsid w:val="007533C9"/>
    <w:rsid w:val="00753429"/>
    <w:rsid w:val="00753594"/>
    <w:rsid w:val="0075363E"/>
    <w:rsid w:val="00753799"/>
    <w:rsid w:val="007537A2"/>
    <w:rsid w:val="00753847"/>
    <w:rsid w:val="00753989"/>
    <w:rsid w:val="00754ECB"/>
    <w:rsid w:val="007550A9"/>
    <w:rsid w:val="0075556C"/>
    <w:rsid w:val="00755949"/>
    <w:rsid w:val="00755CDE"/>
    <w:rsid w:val="00755D3C"/>
    <w:rsid w:val="00755E2F"/>
    <w:rsid w:val="00755F2A"/>
    <w:rsid w:val="007565F0"/>
    <w:rsid w:val="0075678F"/>
    <w:rsid w:val="0075681F"/>
    <w:rsid w:val="00756915"/>
    <w:rsid w:val="00756AA4"/>
    <w:rsid w:val="007570C1"/>
    <w:rsid w:val="007571A3"/>
    <w:rsid w:val="007577D1"/>
    <w:rsid w:val="007578DB"/>
    <w:rsid w:val="00757A1C"/>
    <w:rsid w:val="00757B77"/>
    <w:rsid w:val="00757C90"/>
    <w:rsid w:val="00757CA6"/>
    <w:rsid w:val="00757D53"/>
    <w:rsid w:val="0076008D"/>
    <w:rsid w:val="007600D2"/>
    <w:rsid w:val="00760327"/>
    <w:rsid w:val="0076033E"/>
    <w:rsid w:val="00760405"/>
    <w:rsid w:val="00760425"/>
    <w:rsid w:val="007606C5"/>
    <w:rsid w:val="00760B65"/>
    <w:rsid w:val="00760C22"/>
    <w:rsid w:val="00760C50"/>
    <w:rsid w:val="00760DD4"/>
    <w:rsid w:val="00760FCF"/>
    <w:rsid w:val="007619A1"/>
    <w:rsid w:val="007621A9"/>
    <w:rsid w:val="00762551"/>
    <w:rsid w:val="007628DE"/>
    <w:rsid w:val="007628EB"/>
    <w:rsid w:val="00762FFF"/>
    <w:rsid w:val="00763311"/>
    <w:rsid w:val="007636AC"/>
    <w:rsid w:val="007636B2"/>
    <w:rsid w:val="0076370F"/>
    <w:rsid w:val="007637BF"/>
    <w:rsid w:val="00763852"/>
    <w:rsid w:val="00763A07"/>
    <w:rsid w:val="00763A5A"/>
    <w:rsid w:val="00763B10"/>
    <w:rsid w:val="00763B68"/>
    <w:rsid w:val="00763D90"/>
    <w:rsid w:val="00763EAE"/>
    <w:rsid w:val="00764028"/>
    <w:rsid w:val="007640B8"/>
    <w:rsid w:val="0076412F"/>
    <w:rsid w:val="007643B4"/>
    <w:rsid w:val="007643D2"/>
    <w:rsid w:val="00764632"/>
    <w:rsid w:val="0076487C"/>
    <w:rsid w:val="007649FC"/>
    <w:rsid w:val="00764DA6"/>
    <w:rsid w:val="00764F55"/>
    <w:rsid w:val="00765154"/>
    <w:rsid w:val="007656D4"/>
    <w:rsid w:val="00765A48"/>
    <w:rsid w:val="00765EBD"/>
    <w:rsid w:val="00765FB3"/>
    <w:rsid w:val="007661ED"/>
    <w:rsid w:val="007661F6"/>
    <w:rsid w:val="00766255"/>
    <w:rsid w:val="0076637F"/>
    <w:rsid w:val="00766479"/>
    <w:rsid w:val="00766598"/>
    <w:rsid w:val="00766A1F"/>
    <w:rsid w:val="00766A6C"/>
    <w:rsid w:val="0076715F"/>
    <w:rsid w:val="007675BF"/>
    <w:rsid w:val="0076762F"/>
    <w:rsid w:val="00767789"/>
    <w:rsid w:val="0076790B"/>
    <w:rsid w:val="00767B75"/>
    <w:rsid w:val="00767B8D"/>
    <w:rsid w:val="00767C4C"/>
    <w:rsid w:val="00767F42"/>
    <w:rsid w:val="00767F8F"/>
    <w:rsid w:val="00770012"/>
    <w:rsid w:val="00770104"/>
    <w:rsid w:val="0077011C"/>
    <w:rsid w:val="00770120"/>
    <w:rsid w:val="007702EE"/>
    <w:rsid w:val="00770311"/>
    <w:rsid w:val="0077040E"/>
    <w:rsid w:val="00770487"/>
    <w:rsid w:val="00770794"/>
    <w:rsid w:val="00770D08"/>
    <w:rsid w:val="00770F7B"/>
    <w:rsid w:val="0077113C"/>
    <w:rsid w:val="0077133D"/>
    <w:rsid w:val="00771574"/>
    <w:rsid w:val="007715F1"/>
    <w:rsid w:val="00771775"/>
    <w:rsid w:val="00771A21"/>
    <w:rsid w:val="00771CC6"/>
    <w:rsid w:val="0077206C"/>
    <w:rsid w:val="007725BA"/>
    <w:rsid w:val="00772AFA"/>
    <w:rsid w:val="00772C86"/>
    <w:rsid w:val="00772C97"/>
    <w:rsid w:val="00772CAB"/>
    <w:rsid w:val="00772ED3"/>
    <w:rsid w:val="00773043"/>
    <w:rsid w:val="0077313D"/>
    <w:rsid w:val="007734DA"/>
    <w:rsid w:val="0077357B"/>
    <w:rsid w:val="007735F9"/>
    <w:rsid w:val="00773873"/>
    <w:rsid w:val="00773A5E"/>
    <w:rsid w:val="00773C0A"/>
    <w:rsid w:val="00773C36"/>
    <w:rsid w:val="00773FBB"/>
    <w:rsid w:val="007740D7"/>
    <w:rsid w:val="007742FD"/>
    <w:rsid w:val="007743D5"/>
    <w:rsid w:val="007744DB"/>
    <w:rsid w:val="007744EA"/>
    <w:rsid w:val="00774946"/>
    <w:rsid w:val="0077495C"/>
    <w:rsid w:val="00774981"/>
    <w:rsid w:val="00774CD1"/>
    <w:rsid w:val="00774CD3"/>
    <w:rsid w:val="00775267"/>
    <w:rsid w:val="00775294"/>
    <w:rsid w:val="007754B4"/>
    <w:rsid w:val="00775552"/>
    <w:rsid w:val="00775A48"/>
    <w:rsid w:val="00775BA2"/>
    <w:rsid w:val="00775DD4"/>
    <w:rsid w:val="00776120"/>
    <w:rsid w:val="007763D8"/>
    <w:rsid w:val="0077647D"/>
    <w:rsid w:val="0077678A"/>
    <w:rsid w:val="00776990"/>
    <w:rsid w:val="00776AA7"/>
    <w:rsid w:val="00776AD5"/>
    <w:rsid w:val="00776B8A"/>
    <w:rsid w:val="00776F5F"/>
    <w:rsid w:val="00776F91"/>
    <w:rsid w:val="007771A3"/>
    <w:rsid w:val="007771D7"/>
    <w:rsid w:val="00777869"/>
    <w:rsid w:val="0077797B"/>
    <w:rsid w:val="00777AE3"/>
    <w:rsid w:val="00777BB8"/>
    <w:rsid w:val="00777EC6"/>
    <w:rsid w:val="00777ED4"/>
    <w:rsid w:val="00777F16"/>
    <w:rsid w:val="0078006A"/>
    <w:rsid w:val="007800D1"/>
    <w:rsid w:val="007801F4"/>
    <w:rsid w:val="00780757"/>
    <w:rsid w:val="007807BD"/>
    <w:rsid w:val="0078098E"/>
    <w:rsid w:val="00780AA8"/>
    <w:rsid w:val="00780BF2"/>
    <w:rsid w:val="00780E42"/>
    <w:rsid w:val="00780EB4"/>
    <w:rsid w:val="00781024"/>
    <w:rsid w:val="00781026"/>
    <w:rsid w:val="00781093"/>
    <w:rsid w:val="007817A6"/>
    <w:rsid w:val="0078189A"/>
    <w:rsid w:val="007819B2"/>
    <w:rsid w:val="00781D0E"/>
    <w:rsid w:val="00781D5B"/>
    <w:rsid w:val="00781F01"/>
    <w:rsid w:val="007822FC"/>
    <w:rsid w:val="0078242B"/>
    <w:rsid w:val="007825A4"/>
    <w:rsid w:val="00782E3A"/>
    <w:rsid w:val="00782E9A"/>
    <w:rsid w:val="00782F41"/>
    <w:rsid w:val="00782F44"/>
    <w:rsid w:val="00783387"/>
    <w:rsid w:val="007833B4"/>
    <w:rsid w:val="0078348E"/>
    <w:rsid w:val="0078359D"/>
    <w:rsid w:val="00783675"/>
    <w:rsid w:val="00783A46"/>
    <w:rsid w:val="00783A58"/>
    <w:rsid w:val="00783D44"/>
    <w:rsid w:val="00783DB6"/>
    <w:rsid w:val="00784370"/>
    <w:rsid w:val="0078438A"/>
    <w:rsid w:val="00784797"/>
    <w:rsid w:val="00784A3A"/>
    <w:rsid w:val="00784B9D"/>
    <w:rsid w:val="00785220"/>
    <w:rsid w:val="007852AA"/>
    <w:rsid w:val="00785483"/>
    <w:rsid w:val="00785788"/>
    <w:rsid w:val="00785E32"/>
    <w:rsid w:val="00785FB0"/>
    <w:rsid w:val="00786433"/>
    <w:rsid w:val="007868F4"/>
    <w:rsid w:val="007869DD"/>
    <w:rsid w:val="00786A0C"/>
    <w:rsid w:val="00786AC0"/>
    <w:rsid w:val="00786C1C"/>
    <w:rsid w:val="00786EA3"/>
    <w:rsid w:val="00787292"/>
    <w:rsid w:val="007874A7"/>
    <w:rsid w:val="00787878"/>
    <w:rsid w:val="007878B7"/>
    <w:rsid w:val="0078791B"/>
    <w:rsid w:val="007879AF"/>
    <w:rsid w:val="00787A6F"/>
    <w:rsid w:val="00787A82"/>
    <w:rsid w:val="00787B76"/>
    <w:rsid w:val="00787C5F"/>
    <w:rsid w:val="00787D9B"/>
    <w:rsid w:val="00787DFC"/>
    <w:rsid w:val="00787E38"/>
    <w:rsid w:val="00790313"/>
    <w:rsid w:val="00790339"/>
    <w:rsid w:val="0079049A"/>
    <w:rsid w:val="007906AF"/>
    <w:rsid w:val="007907D7"/>
    <w:rsid w:val="00790B46"/>
    <w:rsid w:val="00790CBD"/>
    <w:rsid w:val="00791061"/>
    <w:rsid w:val="007910A9"/>
    <w:rsid w:val="0079119C"/>
    <w:rsid w:val="007912CE"/>
    <w:rsid w:val="007915BC"/>
    <w:rsid w:val="0079160D"/>
    <w:rsid w:val="0079176B"/>
    <w:rsid w:val="007919FA"/>
    <w:rsid w:val="00791BF5"/>
    <w:rsid w:val="00791CDD"/>
    <w:rsid w:val="00791DEE"/>
    <w:rsid w:val="00791F24"/>
    <w:rsid w:val="00792113"/>
    <w:rsid w:val="007922EF"/>
    <w:rsid w:val="007923E5"/>
    <w:rsid w:val="00792445"/>
    <w:rsid w:val="007924B8"/>
    <w:rsid w:val="0079258A"/>
    <w:rsid w:val="0079262C"/>
    <w:rsid w:val="00792646"/>
    <w:rsid w:val="007926BA"/>
    <w:rsid w:val="00792869"/>
    <w:rsid w:val="00792959"/>
    <w:rsid w:val="00792B34"/>
    <w:rsid w:val="00792BAC"/>
    <w:rsid w:val="00792BCA"/>
    <w:rsid w:val="00792C56"/>
    <w:rsid w:val="00792FB0"/>
    <w:rsid w:val="007930EB"/>
    <w:rsid w:val="0079315F"/>
    <w:rsid w:val="00793196"/>
    <w:rsid w:val="0079349E"/>
    <w:rsid w:val="00793620"/>
    <w:rsid w:val="0079374E"/>
    <w:rsid w:val="0079390E"/>
    <w:rsid w:val="00793919"/>
    <w:rsid w:val="00793947"/>
    <w:rsid w:val="00793D8B"/>
    <w:rsid w:val="00793D8D"/>
    <w:rsid w:val="00793DCF"/>
    <w:rsid w:val="00793E61"/>
    <w:rsid w:val="00793E6D"/>
    <w:rsid w:val="00793FA6"/>
    <w:rsid w:val="007940CB"/>
    <w:rsid w:val="0079435E"/>
    <w:rsid w:val="0079444E"/>
    <w:rsid w:val="00794995"/>
    <w:rsid w:val="00794E61"/>
    <w:rsid w:val="007951D3"/>
    <w:rsid w:val="00795202"/>
    <w:rsid w:val="007952EE"/>
    <w:rsid w:val="00795401"/>
    <w:rsid w:val="00795404"/>
    <w:rsid w:val="007954B7"/>
    <w:rsid w:val="00795532"/>
    <w:rsid w:val="007956EC"/>
    <w:rsid w:val="007959ED"/>
    <w:rsid w:val="00795B16"/>
    <w:rsid w:val="00795B4C"/>
    <w:rsid w:val="00795BC1"/>
    <w:rsid w:val="00795C11"/>
    <w:rsid w:val="00795ED7"/>
    <w:rsid w:val="00796017"/>
    <w:rsid w:val="00796035"/>
    <w:rsid w:val="00796151"/>
    <w:rsid w:val="0079622C"/>
    <w:rsid w:val="00796282"/>
    <w:rsid w:val="007962DB"/>
    <w:rsid w:val="0079654D"/>
    <w:rsid w:val="0079674A"/>
    <w:rsid w:val="00796F65"/>
    <w:rsid w:val="00797013"/>
    <w:rsid w:val="00797315"/>
    <w:rsid w:val="007974DE"/>
    <w:rsid w:val="00797586"/>
    <w:rsid w:val="0079769A"/>
    <w:rsid w:val="0079773A"/>
    <w:rsid w:val="007977F2"/>
    <w:rsid w:val="00797BC7"/>
    <w:rsid w:val="00797FD9"/>
    <w:rsid w:val="007A0559"/>
    <w:rsid w:val="007A0A1D"/>
    <w:rsid w:val="007A0B40"/>
    <w:rsid w:val="007A0C61"/>
    <w:rsid w:val="007A0D94"/>
    <w:rsid w:val="007A0FC6"/>
    <w:rsid w:val="007A1042"/>
    <w:rsid w:val="007A1292"/>
    <w:rsid w:val="007A1421"/>
    <w:rsid w:val="007A1593"/>
    <w:rsid w:val="007A160E"/>
    <w:rsid w:val="007A16C8"/>
    <w:rsid w:val="007A198E"/>
    <w:rsid w:val="007A1B2F"/>
    <w:rsid w:val="007A1B92"/>
    <w:rsid w:val="007A1DF8"/>
    <w:rsid w:val="007A208F"/>
    <w:rsid w:val="007A21A7"/>
    <w:rsid w:val="007A243A"/>
    <w:rsid w:val="007A2522"/>
    <w:rsid w:val="007A2854"/>
    <w:rsid w:val="007A2A91"/>
    <w:rsid w:val="007A2C4C"/>
    <w:rsid w:val="007A2D88"/>
    <w:rsid w:val="007A2E2C"/>
    <w:rsid w:val="007A3022"/>
    <w:rsid w:val="007A3180"/>
    <w:rsid w:val="007A35C8"/>
    <w:rsid w:val="007A3631"/>
    <w:rsid w:val="007A3CBB"/>
    <w:rsid w:val="007A3CCA"/>
    <w:rsid w:val="007A3E5D"/>
    <w:rsid w:val="007A4133"/>
    <w:rsid w:val="007A4609"/>
    <w:rsid w:val="007A46EF"/>
    <w:rsid w:val="007A4870"/>
    <w:rsid w:val="007A48C0"/>
    <w:rsid w:val="007A4979"/>
    <w:rsid w:val="007A4B50"/>
    <w:rsid w:val="007A4E85"/>
    <w:rsid w:val="007A4ED7"/>
    <w:rsid w:val="007A518C"/>
    <w:rsid w:val="007A51D6"/>
    <w:rsid w:val="007A55A6"/>
    <w:rsid w:val="007A567C"/>
    <w:rsid w:val="007A5721"/>
    <w:rsid w:val="007A5C3A"/>
    <w:rsid w:val="007A5DF2"/>
    <w:rsid w:val="007A63AC"/>
    <w:rsid w:val="007A65A1"/>
    <w:rsid w:val="007A6822"/>
    <w:rsid w:val="007A7225"/>
    <w:rsid w:val="007A728A"/>
    <w:rsid w:val="007A7443"/>
    <w:rsid w:val="007A74C5"/>
    <w:rsid w:val="007A7638"/>
    <w:rsid w:val="007A763B"/>
    <w:rsid w:val="007A7797"/>
    <w:rsid w:val="007A7995"/>
    <w:rsid w:val="007A7DCF"/>
    <w:rsid w:val="007B004C"/>
    <w:rsid w:val="007B0404"/>
    <w:rsid w:val="007B066C"/>
    <w:rsid w:val="007B08FF"/>
    <w:rsid w:val="007B0B21"/>
    <w:rsid w:val="007B0DC6"/>
    <w:rsid w:val="007B10A8"/>
    <w:rsid w:val="007B15E9"/>
    <w:rsid w:val="007B177C"/>
    <w:rsid w:val="007B1860"/>
    <w:rsid w:val="007B18B4"/>
    <w:rsid w:val="007B1D73"/>
    <w:rsid w:val="007B1DCB"/>
    <w:rsid w:val="007B1E69"/>
    <w:rsid w:val="007B1F2F"/>
    <w:rsid w:val="007B2113"/>
    <w:rsid w:val="007B2415"/>
    <w:rsid w:val="007B27F7"/>
    <w:rsid w:val="007B2DBE"/>
    <w:rsid w:val="007B2E01"/>
    <w:rsid w:val="007B2FDD"/>
    <w:rsid w:val="007B3008"/>
    <w:rsid w:val="007B304C"/>
    <w:rsid w:val="007B316B"/>
    <w:rsid w:val="007B31F2"/>
    <w:rsid w:val="007B332C"/>
    <w:rsid w:val="007B3459"/>
    <w:rsid w:val="007B3686"/>
    <w:rsid w:val="007B36BB"/>
    <w:rsid w:val="007B3825"/>
    <w:rsid w:val="007B3A8F"/>
    <w:rsid w:val="007B3B0F"/>
    <w:rsid w:val="007B3B5D"/>
    <w:rsid w:val="007B3CB4"/>
    <w:rsid w:val="007B408D"/>
    <w:rsid w:val="007B40EE"/>
    <w:rsid w:val="007B40F1"/>
    <w:rsid w:val="007B4231"/>
    <w:rsid w:val="007B46F0"/>
    <w:rsid w:val="007B4870"/>
    <w:rsid w:val="007B493F"/>
    <w:rsid w:val="007B49D2"/>
    <w:rsid w:val="007B4B8D"/>
    <w:rsid w:val="007B4EF9"/>
    <w:rsid w:val="007B4F0C"/>
    <w:rsid w:val="007B4FF4"/>
    <w:rsid w:val="007B5573"/>
    <w:rsid w:val="007B55FF"/>
    <w:rsid w:val="007B5A2D"/>
    <w:rsid w:val="007B5A63"/>
    <w:rsid w:val="007B5BA2"/>
    <w:rsid w:val="007B5BCD"/>
    <w:rsid w:val="007B5BD4"/>
    <w:rsid w:val="007B5C21"/>
    <w:rsid w:val="007B610B"/>
    <w:rsid w:val="007B62ED"/>
    <w:rsid w:val="007B63C6"/>
    <w:rsid w:val="007B6624"/>
    <w:rsid w:val="007B67D3"/>
    <w:rsid w:val="007B6926"/>
    <w:rsid w:val="007B69ED"/>
    <w:rsid w:val="007B6C2B"/>
    <w:rsid w:val="007B6D2A"/>
    <w:rsid w:val="007B6EF7"/>
    <w:rsid w:val="007B7131"/>
    <w:rsid w:val="007B7355"/>
    <w:rsid w:val="007B7401"/>
    <w:rsid w:val="007B7A74"/>
    <w:rsid w:val="007B7A9A"/>
    <w:rsid w:val="007B7AB0"/>
    <w:rsid w:val="007B7B50"/>
    <w:rsid w:val="007B7B73"/>
    <w:rsid w:val="007B7C21"/>
    <w:rsid w:val="007B7E3A"/>
    <w:rsid w:val="007B7F9A"/>
    <w:rsid w:val="007B7FE7"/>
    <w:rsid w:val="007C01A9"/>
    <w:rsid w:val="007C02FD"/>
    <w:rsid w:val="007C03DA"/>
    <w:rsid w:val="007C0599"/>
    <w:rsid w:val="007C0638"/>
    <w:rsid w:val="007C0781"/>
    <w:rsid w:val="007C07B2"/>
    <w:rsid w:val="007C0BB2"/>
    <w:rsid w:val="007C0C9A"/>
    <w:rsid w:val="007C0D46"/>
    <w:rsid w:val="007C0E1C"/>
    <w:rsid w:val="007C1893"/>
    <w:rsid w:val="007C1A7D"/>
    <w:rsid w:val="007C1AE6"/>
    <w:rsid w:val="007C1B5B"/>
    <w:rsid w:val="007C1D1D"/>
    <w:rsid w:val="007C2130"/>
    <w:rsid w:val="007C21BA"/>
    <w:rsid w:val="007C2267"/>
    <w:rsid w:val="007C2567"/>
    <w:rsid w:val="007C25F0"/>
    <w:rsid w:val="007C25F9"/>
    <w:rsid w:val="007C26FB"/>
    <w:rsid w:val="007C290D"/>
    <w:rsid w:val="007C2A87"/>
    <w:rsid w:val="007C2AC3"/>
    <w:rsid w:val="007C2AEE"/>
    <w:rsid w:val="007C2C28"/>
    <w:rsid w:val="007C2C82"/>
    <w:rsid w:val="007C2CE8"/>
    <w:rsid w:val="007C2DEF"/>
    <w:rsid w:val="007C30D2"/>
    <w:rsid w:val="007C3102"/>
    <w:rsid w:val="007C3223"/>
    <w:rsid w:val="007C335E"/>
    <w:rsid w:val="007C3439"/>
    <w:rsid w:val="007C3674"/>
    <w:rsid w:val="007C3C43"/>
    <w:rsid w:val="007C3D76"/>
    <w:rsid w:val="007C4082"/>
    <w:rsid w:val="007C419D"/>
    <w:rsid w:val="007C41B7"/>
    <w:rsid w:val="007C421C"/>
    <w:rsid w:val="007C42BF"/>
    <w:rsid w:val="007C4372"/>
    <w:rsid w:val="007C457C"/>
    <w:rsid w:val="007C47AD"/>
    <w:rsid w:val="007C48FE"/>
    <w:rsid w:val="007C4BD8"/>
    <w:rsid w:val="007C5405"/>
    <w:rsid w:val="007C544A"/>
    <w:rsid w:val="007C54B1"/>
    <w:rsid w:val="007C55F1"/>
    <w:rsid w:val="007C55FC"/>
    <w:rsid w:val="007C57C3"/>
    <w:rsid w:val="007C5B25"/>
    <w:rsid w:val="007C5C0D"/>
    <w:rsid w:val="007C5CA5"/>
    <w:rsid w:val="007C5D19"/>
    <w:rsid w:val="007C5EAA"/>
    <w:rsid w:val="007C60BF"/>
    <w:rsid w:val="007C624F"/>
    <w:rsid w:val="007C63AC"/>
    <w:rsid w:val="007C66E6"/>
    <w:rsid w:val="007C67AD"/>
    <w:rsid w:val="007C6AD5"/>
    <w:rsid w:val="007C6BF0"/>
    <w:rsid w:val="007C6E94"/>
    <w:rsid w:val="007C7194"/>
    <w:rsid w:val="007C7341"/>
    <w:rsid w:val="007C73F5"/>
    <w:rsid w:val="007C75C9"/>
    <w:rsid w:val="007C7612"/>
    <w:rsid w:val="007C76AB"/>
    <w:rsid w:val="007C7809"/>
    <w:rsid w:val="007C780C"/>
    <w:rsid w:val="007C78B8"/>
    <w:rsid w:val="007C7A96"/>
    <w:rsid w:val="007C7AF5"/>
    <w:rsid w:val="007D02D6"/>
    <w:rsid w:val="007D0382"/>
    <w:rsid w:val="007D0480"/>
    <w:rsid w:val="007D05FA"/>
    <w:rsid w:val="007D0656"/>
    <w:rsid w:val="007D06DD"/>
    <w:rsid w:val="007D0797"/>
    <w:rsid w:val="007D102E"/>
    <w:rsid w:val="007D1053"/>
    <w:rsid w:val="007D10F0"/>
    <w:rsid w:val="007D14CB"/>
    <w:rsid w:val="007D152B"/>
    <w:rsid w:val="007D18F6"/>
    <w:rsid w:val="007D1A98"/>
    <w:rsid w:val="007D1EEE"/>
    <w:rsid w:val="007D215C"/>
    <w:rsid w:val="007D22BA"/>
    <w:rsid w:val="007D260E"/>
    <w:rsid w:val="007D298C"/>
    <w:rsid w:val="007D29B7"/>
    <w:rsid w:val="007D2A4D"/>
    <w:rsid w:val="007D2ABD"/>
    <w:rsid w:val="007D2ADC"/>
    <w:rsid w:val="007D2B96"/>
    <w:rsid w:val="007D31B5"/>
    <w:rsid w:val="007D3456"/>
    <w:rsid w:val="007D350B"/>
    <w:rsid w:val="007D36DC"/>
    <w:rsid w:val="007D3953"/>
    <w:rsid w:val="007D3AD9"/>
    <w:rsid w:val="007D3C49"/>
    <w:rsid w:val="007D3CE6"/>
    <w:rsid w:val="007D4074"/>
    <w:rsid w:val="007D42DC"/>
    <w:rsid w:val="007D46C6"/>
    <w:rsid w:val="007D4761"/>
    <w:rsid w:val="007D477E"/>
    <w:rsid w:val="007D47E1"/>
    <w:rsid w:val="007D481D"/>
    <w:rsid w:val="007D4BB0"/>
    <w:rsid w:val="007D4C0A"/>
    <w:rsid w:val="007D50B7"/>
    <w:rsid w:val="007D516D"/>
    <w:rsid w:val="007D51AB"/>
    <w:rsid w:val="007D533E"/>
    <w:rsid w:val="007D552C"/>
    <w:rsid w:val="007D567E"/>
    <w:rsid w:val="007D5A18"/>
    <w:rsid w:val="007D5A62"/>
    <w:rsid w:val="007D5CBE"/>
    <w:rsid w:val="007D62F8"/>
    <w:rsid w:val="007D6611"/>
    <w:rsid w:val="007D66D6"/>
    <w:rsid w:val="007D6983"/>
    <w:rsid w:val="007D6BBB"/>
    <w:rsid w:val="007D6D17"/>
    <w:rsid w:val="007D6E4C"/>
    <w:rsid w:val="007D708C"/>
    <w:rsid w:val="007D722E"/>
    <w:rsid w:val="007D73C3"/>
    <w:rsid w:val="007D751B"/>
    <w:rsid w:val="007D757D"/>
    <w:rsid w:val="007D7ABE"/>
    <w:rsid w:val="007D7B0D"/>
    <w:rsid w:val="007D7D8B"/>
    <w:rsid w:val="007D7E6A"/>
    <w:rsid w:val="007E0175"/>
    <w:rsid w:val="007E01D7"/>
    <w:rsid w:val="007E075F"/>
    <w:rsid w:val="007E07AA"/>
    <w:rsid w:val="007E087E"/>
    <w:rsid w:val="007E0907"/>
    <w:rsid w:val="007E0928"/>
    <w:rsid w:val="007E0C39"/>
    <w:rsid w:val="007E0F8D"/>
    <w:rsid w:val="007E108D"/>
    <w:rsid w:val="007E11DA"/>
    <w:rsid w:val="007E1283"/>
    <w:rsid w:val="007E12E9"/>
    <w:rsid w:val="007E14D3"/>
    <w:rsid w:val="007E1708"/>
    <w:rsid w:val="007E18B8"/>
    <w:rsid w:val="007E1BDF"/>
    <w:rsid w:val="007E1E6A"/>
    <w:rsid w:val="007E1FC8"/>
    <w:rsid w:val="007E20A3"/>
    <w:rsid w:val="007E276E"/>
    <w:rsid w:val="007E27A0"/>
    <w:rsid w:val="007E2A20"/>
    <w:rsid w:val="007E2C06"/>
    <w:rsid w:val="007E2C19"/>
    <w:rsid w:val="007E2D23"/>
    <w:rsid w:val="007E2E7B"/>
    <w:rsid w:val="007E332C"/>
    <w:rsid w:val="007E33FB"/>
    <w:rsid w:val="007E353A"/>
    <w:rsid w:val="007E36D4"/>
    <w:rsid w:val="007E3715"/>
    <w:rsid w:val="007E3728"/>
    <w:rsid w:val="007E382E"/>
    <w:rsid w:val="007E3A6E"/>
    <w:rsid w:val="007E4095"/>
    <w:rsid w:val="007E40E6"/>
    <w:rsid w:val="007E43AE"/>
    <w:rsid w:val="007E44C9"/>
    <w:rsid w:val="007E45E2"/>
    <w:rsid w:val="007E462B"/>
    <w:rsid w:val="007E4AFC"/>
    <w:rsid w:val="007E4CEF"/>
    <w:rsid w:val="007E4CF9"/>
    <w:rsid w:val="007E5041"/>
    <w:rsid w:val="007E506E"/>
    <w:rsid w:val="007E50DB"/>
    <w:rsid w:val="007E5166"/>
    <w:rsid w:val="007E53A3"/>
    <w:rsid w:val="007E5602"/>
    <w:rsid w:val="007E5BF6"/>
    <w:rsid w:val="007E5D9E"/>
    <w:rsid w:val="007E5ECF"/>
    <w:rsid w:val="007E66EC"/>
    <w:rsid w:val="007E676A"/>
    <w:rsid w:val="007E6776"/>
    <w:rsid w:val="007E6C41"/>
    <w:rsid w:val="007E6E05"/>
    <w:rsid w:val="007E6E4C"/>
    <w:rsid w:val="007E6E6A"/>
    <w:rsid w:val="007E6EAF"/>
    <w:rsid w:val="007E701F"/>
    <w:rsid w:val="007E70CA"/>
    <w:rsid w:val="007E714E"/>
    <w:rsid w:val="007E7B56"/>
    <w:rsid w:val="007F015F"/>
    <w:rsid w:val="007F06ED"/>
    <w:rsid w:val="007F08AE"/>
    <w:rsid w:val="007F09A1"/>
    <w:rsid w:val="007F09DD"/>
    <w:rsid w:val="007F0DE3"/>
    <w:rsid w:val="007F0E55"/>
    <w:rsid w:val="007F0E5D"/>
    <w:rsid w:val="007F1129"/>
    <w:rsid w:val="007F11A7"/>
    <w:rsid w:val="007F13BF"/>
    <w:rsid w:val="007F1554"/>
    <w:rsid w:val="007F164F"/>
    <w:rsid w:val="007F166B"/>
    <w:rsid w:val="007F183F"/>
    <w:rsid w:val="007F1869"/>
    <w:rsid w:val="007F197A"/>
    <w:rsid w:val="007F1A31"/>
    <w:rsid w:val="007F1AD6"/>
    <w:rsid w:val="007F1AEC"/>
    <w:rsid w:val="007F1CED"/>
    <w:rsid w:val="007F1F10"/>
    <w:rsid w:val="007F1F48"/>
    <w:rsid w:val="007F2088"/>
    <w:rsid w:val="007F213F"/>
    <w:rsid w:val="007F2469"/>
    <w:rsid w:val="007F2B91"/>
    <w:rsid w:val="007F2DE6"/>
    <w:rsid w:val="007F3163"/>
    <w:rsid w:val="007F35C0"/>
    <w:rsid w:val="007F36BB"/>
    <w:rsid w:val="007F37D7"/>
    <w:rsid w:val="007F38B5"/>
    <w:rsid w:val="007F394C"/>
    <w:rsid w:val="007F3B3E"/>
    <w:rsid w:val="007F3B59"/>
    <w:rsid w:val="007F3EF1"/>
    <w:rsid w:val="007F3F9A"/>
    <w:rsid w:val="007F48A0"/>
    <w:rsid w:val="007F4B61"/>
    <w:rsid w:val="007F5094"/>
    <w:rsid w:val="007F52EA"/>
    <w:rsid w:val="007F5785"/>
    <w:rsid w:val="007F5805"/>
    <w:rsid w:val="007F582C"/>
    <w:rsid w:val="007F5961"/>
    <w:rsid w:val="007F5C99"/>
    <w:rsid w:val="007F5E44"/>
    <w:rsid w:val="007F5E48"/>
    <w:rsid w:val="007F6367"/>
    <w:rsid w:val="007F6537"/>
    <w:rsid w:val="007F6613"/>
    <w:rsid w:val="007F6651"/>
    <w:rsid w:val="007F687B"/>
    <w:rsid w:val="007F6A48"/>
    <w:rsid w:val="007F6B7A"/>
    <w:rsid w:val="007F7551"/>
    <w:rsid w:val="007F78F8"/>
    <w:rsid w:val="007F7FA9"/>
    <w:rsid w:val="00800010"/>
    <w:rsid w:val="0080005C"/>
    <w:rsid w:val="0080006D"/>
    <w:rsid w:val="00800071"/>
    <w:rsid w:val="0080038D"/>
    <w:rsid w:val="00800416"/>
    <w:rsid w:val="0080046B"/>
    <w:rsid w:val="008009A9"/>
    <w:rsid w:val="00800C36"/>
    <w:rsid w:val="00800C47"/>
    <w:rsid w:val="00801049"/>
    <w:rsid w:val="0080111B"/>
    <w:rsid w:val="0080111F"/>
    <w:rsid w:val="00801164"/>
    <w:rsid w:val="008016B7"/>
    <w:rsid w:val="0080171D"/>
    <w:rsid w:val="008018A8"/>
    <w:rsid w:val="008018B9"/>
    <w:rsid w:val="008018F6"/>
    <w:rsid w:val="008019AA"/>
    <w:rsid w:val="00801A33"/>
    <w:rsid w:val="00801A51"/>
    <w:rsid w:val="00801A62"/>
    <w:rsid w:val="00801CF5"/>
    <w:rsid w:val="00801D48"/>
    <w:rsid w:val="00801FCF"/>
    <w:rsid w:val="0080227A"/>
    <w:rsid w:val="0080246B"/>
    <w:rsid w:val="00802611"/>
    <w:rsid w:val="008026C2"/>
    <w:rsid w:val="008026EE"/>
    <w:rsid w:val="00802AE6"/>
    <w:rsid w:val="00802EAD"/>
    <w:rsid w:val="00802F55"/>
    <w:rsid w:val="00803299"/>
    <w:rsid w:val="0080350D"/>
    <w:rsid w:val="0080379F"/>
    <w:rsid w:val="00803DF6"/>
    <w:rsid w:val="00803E0C"/>
    <w:rsid w:val="00803FCC"/>
    <w:rsid w:val="008041BC"/>
    <w:rsid w:val="00804236"/>
    <w:rsid w:val="00804300"/>
    <w:rsid w:val="008048DD"/>
    <w:rsid w:val="0080499A"/>
    <w:rsid w:val="00804AA5"/>
    <w:rsid w:val="00804BBC"/>
    <w:rsid w:val="00804C33"/>
    <w:rsid w:val="00804F82"/>
    <w:rsid w:val="00805197"/>
    <w:rsid w:val="00805226"/>
    <w:rsid w:val="0080552D"/>
    <w:rsid w:val="008056E1"/>
    <w:rsid w:val="008057B1"/>
    <w:rsid w:val="00805A86"/>
    <w:rsid w:val="00805AA1"/>
    <w:rsid w:val="00805AC8"/>
    <w:rsid w:val="00805FD1"/>
    <w:rsid w:val="0080601E"/>
    <w:rsid w:val="008060A6"/>
    <w:rsid w:val="008060CE"/>
    <w:rsid w:val="008061DB"/>
    <w:rsid w:val="00806309"/>
    <w:rsid w:val="0080644E"/>
    <w:rsid w:val="0080667B"/>
    <w:rsid w:val="008066DE"/>
    <w:rsid w:val="008068B9"/>
    <w:rsid w:val="00806B9C"/>
    <w:rsid w:val="00806D17"/>
    <w:rsid w:val="00806E0C"/>
    <w:rsid w:val="00806E21"/>
    <w:rsid w:val="00807378"/>
    <w:rsid w:val="0080798E"/>
    <w:rsid w:val="008079FE"/>
    <w:rsid w:val="00807B95"/>
    <w:rsid w:val="00807D03"/>
    <w:rsid w:val="008100E1"/>
    <w:rsid w:val="0081023A"/>
    <w:rsid w:val="00810295"/>
    <w:rsid w:val="00810388"/>
    <w:rsid w:val="008103A8"/>
    <w:rsid w:val="0081051C"/>
    <w:rsid w:val="008105AB"/>
    <w:rsid w:val="0081072D"/>
    <w:rsid w:val="00810F6E"/>
    <w:rsid w:val="0081115C"/>
    <w:rsid w:val="00811219"/>
    <w:rsid w:val="00811685"/>
    <w:rsid w:val="00811699"/>
    <w:rsid w:val="008118E9"/>
    <w:rsid w:val="008119A2"/>
    <w:rsid w:val="008119C1"/>
    <w:rsid w:val="00811AC7"/>
    <w:rsid w:val="00811E8B"/>
    <w:rsid w:val="00811EFD"/>
    <w:rsid w:val="00812022"/>
    <w:rsid w:val="008124A2"/>
    <w:rsid w:val="0081293A"/>
    <w:rsid w:val="00812A19"/>
    <w:rsid w:val="00812D3D"/>
    <w:rsid w:val="00812E32"/>
    <w:rsid w:val="008138E8"/>
    <w:rsid w:val="008139F8"/>
    <w:rsid w:val="00813AC4"/>
    <w:rsid w:val="00813E9B"/>
    <w:rsid w:val="0081447C"/>
    <w:rsid w:val="00814534"/>
    <w:rsid w:val="00814813"/>
    <w:rsid w:val="008149B2"/>
    <w:rsid w:val="00814E8A"/>
    <w:rsid w:val="00814F49"/>
    <w:rsid w:val="008150B1"/>
    <w:rsid w:val="008150D7"/>
    <w:rsid w:val="00816292"/>
    <w:rsid w:val="008164F7"/>
    <w:rsid w:val="00816700"/>
    <w:rsid w:val="00816B5B"/>
    <w:rsid w:val="00816D6E"/>
    <w:rsid w:val="00816E19"/>
    <w:rsid w:val="00817015"/>
    <w:rsid w:val="0081721B"/>
    <w:rsid w:val="008172BF"/>
    <w:rsid w:val="008174AF"/>
    <w:rsid w:val="008174EC"/>
    <w:rsid w:val="0081757A"/>
    <w:rsid w:val="0081766E"/>
    <w:rsid w:val="00817778"/>
    <w:rsid w:val="00817B6E"/>
    <w:rsid w:val="00817FAF"/>
    <w:rsid w:val="0082015E"/>
    <w:rsid w:val="0082022F"/>
    <w:rsid w:val="008202D0"/>
    <w:rsid w:val="008204E8"/>
    <w:rsid w:val="00820539"/>
    <w:rsid w:val="008207FE"/>
    <w:rsid w:val="00820842"/>
    <w:rsid w:val="00820863"/>
    <w:rsid w:val="00820A3C"/>
    <w:rsid w:val="00820ADE"/>
    <w:rsid w:val="00820D54"/>
    <w:rsid w:val="00820F26"/>
    <w:rsid w:val="008214C9"/>
    <w:rsid w:val="008219A4"/>
    <w:rsid w:val="00821A13"/>
    <w:rsid w:val="00821B0E"/>
    <w:rsid w:val="00821EDA"/>
    <w:rsid w:val="00821FBD"/>
    <w:rsid w:val="00821FE8"/>
    <w:rsid w:val="00822057"/>
    <w:rsid w:val="008220E9"/>
    <w:rsid w:val="0082216F"/>
    <w:rsid w:val="00822182"/>
    <w:rsid w:val="008221F7"/>
    <w:rsid w:val="0082234D"/>
    <w:rsid w:val="0082237C"/>
    <w:rsid w:val="00822430"/>
    <w:rsid w:val="0082271C"/>
    <w:rsid w:val="008227E4"/>
    <w:rsid w:val="0082289C"/>
    <w:rsid w:val="0082298B"/>
    <w:rsid w:val="00822E98"/>
    <w:rsid w:val="0082327A"/>
    <w:rsid w:val="008235FD"/>
    <w:rsid w:val="00823891"/>
    <w:rsid w:val="00823950"/>
    <w:rsid w:val="00823A19"/>
    <w:rsid w:val="00823F30"/>
    <w:rsid w:val="00823F87"/>
    <w:rsid w:val="008242BA"/>
    <w:rsid w:val="008244F6"/>
    <w:rsid w:val="00824567"/>
    <w:rsid w:val="00824660"/>
    <w:rsid w:val="0082482A"/>
    <w:rsid w:val="008249D2"/>
    <w:rsid w:val="00824A9B"/>
    <w:rsid w:val="00824C5F"/>
    <w:rsid w:val="00824CCC"/>
    <w:rsid w:val="00824CD7"/>
    <w:rsid w:val="00824ED1"/>
    <w:rsid w:val="00825361"/>
    <w:rsid w:val="008254F9"/>
    <w:rsid w:val="00825587"/>
    <w:rsid w:val="00825704"/>
    <w:rsid w:val="0082570D"/>
    <w:rsid w:val="008257BC"/>
    <w:rsid w:val="00825807"/>
    <w:rsid w:val="00825905"/>
    <w:rsid w:val="00825954"/>
    <w:rsid w:val="0082599D"/>
    <w:rsid w:val="00825A18"/>
    <w:rsid w:val="00825CEF"/>
    <w:rsid w:val="00826164"/>
    <w:rsid w:val="008262BE"/>
    <w:rsid w:val="00826755"/>
    <w:rsid w:val="0082686F"/>
    <w:rsid w:val="00826BD4"/>
    <w:rsid w:val="00826D28"/>
    <w:rsid w:val="00826DC2"/>
    <w:rsid w:val="00827082"/>
    <w:rsid w:val="0082729D"/>
    <w:rsid w:val="00827650"/>
    <w:rsid w:val="0082770C"/>
    <w:rsid w:val="0082771F"/>
    <w:rsid w:val="00827C6F"/>
    <w:rsid w:val="00827E4C"/>
    <w:rsid w:val="0083011F"/>
    <w:rsid w:val="0083021C"/>
    <w:rsid w:val="00830406"/>
    <w:rsid w:val="00830B15"/>
    <w:rsid w:val="00830C30"/>
    <w:rsid w:val="00830E5F"/>
    <w:rsid w:val="00830E71"/>
    <w:rsid w:val="00830F1B"/>
    <w:rsid w:val="00831348"/>
    <w:rsid w:val="00831386"/>
    <w:rsid w:val="008313A9"/>
    <w:rsid w:val="008316C7"/>
    <w:rsid w:val="008319B3"/>
    <w:rsid w:val="00831C19"/>
    <w:rsid w:val="00831C1B"/>
    <w:rsid w:val="008320B3"/>
    <w:rsid w:val="0083237D"/>
    <w:rsid w:val="00832415"/>
    <w:rsid w:val="0083246E"/>
    <w:rsid w:val="008324A7"/>
    <w:rsid w:val="00832543"/>
    <w:rsid w:val="00832562"/>
    <w:rsid w:val="0083264B"/>
    <w:rsid w:val="0083269B"/>
    <w:rsid w:val="00832C89"/>
    <w:rsid w:val="00832F81"/>
    <w:rsid w:val="00833526"/>
    <w:rsid w:val="0083361B"/>
    <w:rsid w:val="00833843"/>
    <w:rsid w:val="00833C5E"/>
    <w:rsid w:val="00833D15"/>
    <w:rsid w:val="00833D39"/>
    <w:rsid w:val="00833DB6"/>
    <w:rsid w:val="00833E49"/>
    <w:rsid w:val="0083443E"/>
    <w:rsid w:val="00834969"/>
    <w:rsid w:val="00834A2E"/>
    <w:rsid w:val="00834A6E"/>
    <w:rsid w:val="00834AB2"/>
    <w:rsid w:val="00834BCA"/>
    <w:rsid w:val="00834C70"/>
    <w:rsid w:val="00834DBA"/>
    <w:rsid w:val="00835176"/>
    <w:rsid w:val="008353A1"/>
    <w:rsid w:val="00835504"/>
    <w:rsid w:val="00835539"/>
    <w:rsid w:val="00835E3D"/>
    <w:rsid w:val="00835F3B"/>
    <w:rsid w:val="008360B1"/>
    <w:rsid w:val="008362BA"/>
    <w:rsid w:val="008363B1"/>
    <w:rsid w:val="0083649E"/>
    <w:rsid w:val="008365E2"/>
    <w:rsid w:val="00836C3A"/>
    <w:rsid w:val="00836D18"/>
    <w:rsid w:val="00837073"/>
    <w:rsid w:val="008372FB"/>
    <w:rsid w:val="0083733B"/>
    <w:rsid w:val="0083742E"/>
    <w:rsid w:val="00837431"/>
    <w:rsid w:val="0083744B"/>
    <w:rsid w:val="00837523"/>
    <w:rsid w:val="00837542"/>
    <w:rsid w:val="00837759"/>
    <w:rsid w:val="00837895"/>
    <w:rsid w:val="00837C93"/>
    <w:rsid w:val="00837D60"/>
    <w:rsid w:val="00837E1C"/>
    <w:rsid w:val="00837E4B"/>
    <w:rsid w:val="00837F42"/>
    <w:rsid w:val="00837FA8"/>
    <w:rsid w:val="00840008"/>
    <w:rsid w:val="0084040C"/>
    <w:rsid w:val="00840921"/>
    <w:rsid w:val="00840CE4"/>
    <w:rsid w:val="00840DB2"/>
    <w:rsid w:val="00840ED3"/>
    <w:rsid w:val="00841006"/>
    <w:rsid w:val="0084108D"/>
    <w:rsid w:val="008410F0"/>
    <w:rsid w:val="008411CA"/>
    <w:rsid w:val="00841313"/>
    <w:rsid w:val="00841607"/>
    <w:rsid w:val="00841713"/>
    <w:rsid w:val="00841AF8"/>
    <w:rsid w:val="00841C46"/>
    <w:rsid w:val="00841DB0"/>
    <w:rsid w:val="00841DFC"/>
    <w:rsid w:val="00841E9E"/>
    <w:rsid w:val="00841F01"/>
    <w:rsid w:val="00841F86"/>
    <w:rsid w:val="00842297"/>
    <w:rsid w:val="00842885"/>
    <w:rsid w:val="00842A10"/>
    <w:rsid w:val="00842E85"/>
    <w:rsid w:val="00843196"/>
    <w:rsid w:val="008436BF"/>
    <w:rsid w:val="00843726"/>
    <w:rsid w:val="00843ABB"/>
    <w:rsid w:val="00843C9E"/>
    <w:rsid w:val="00843CEC"/>
    <w:rsid w:val="00843FDD"/>
    <w:rsid w:val="008441EC"/>
    <w:rsid w:val="008442F0"/>
    <w:rsid w:val="00844356"/>
    <w:rsid w:val="0084437C"/>
    <w:rsid w:val="0084451B"/>
    <w:rsid w:val="00844716"/>
    <w:rsid w:val="00845355"/>
    <w:rsid w:val="00845416"/>
    <w:rsid w:val="008454A9"/>
    <w:rsid w:val="008456B3"/>
    <w:rsid w:val="00845771"/>
    <w:rsid w:val="0084577B"/>
    <w:rsid w:val="0084584D"/>
    <w:rsid w:val="00845900"/>
    <w:rsid w:val="00845A27"/>
    <w:rsid w:val="00845C2E"/>
    <w:rsid w:val="0084632A"/>
    <w:rsid w:val="0084649E"/>
    <w:rsid w:val="008464FD"/>
    <w:rsid w:val="00846582"/>
    <w:rsid w:val="00846A94"/>
    <w:rsid w:val="00846FF7"/>
    <w:rsid w:val="0084702F"/>
    <w:rsid w:val="00847385"/>
    <w:rsid w:val="008477E6"/>
    <w:rsid w:val="00847ABF"/>
    <w:rsid w:val="00847AC0"/>
    <w:rsid w:val="00847BF8"/>
    <w:rsid w:val="008500DB"/>
    <w:rsid w:val="008501B6"/>
    <w:rsid w:val="00850215"/>
    <w:rsid w:val="008505AE"/>
    <w:rsid w:val="008506A4"/>
    <w:rsid w:val="0085088D"/>
    <w:rsid w:val="00850B76"/>
    <w:rsid w:val="00850BAA"/>
    <w:rsid w:val="00850CDB"/>
    <w:rsid w:val="00850CE4"/>
    <w:rsid w:val="00850DEE"/>
    <w:rsid w:val="00850F91"/>
    <w:rsid w:val="008511C7"/>
    <w:rsid w:val="00851252"/>
    <w:rsid w:val="00851383"/>
    <w:rsid w:val="008514F2"/>
    <w:rsid w:val="0085151B"/>
    <w:rsid w:val="00851A2C"/>
    <w:rsid w:val="00851D6F"/>
    <w:rsid w:val="00851E03"/>
    <w:rsid w:val="00852681"/>
    <w:rsid w:val="008526B5"/>
    <w:rsid w:val="00852759"/>
    <w:rsid w:val="00852769"/>
    <w:rsid w:val="00852C05"/>
    <w:rsid w:val="00852ED9"/>
    <w:rsid w:val="00852F2A"/>
    <w:rsid w:val="00852F76"/>
    <w:rsid w:val="00853093"/>
    <w:rsid w:val="00853352"/>
    <w:rsid w:val="00853361"/>
    <w:rsid w:val="00853558"/>
    <w:rsid w:val="00853752"/>
    <w:rsid w:val="008538CD"/>
    <w:rsid w:val="00853A6E"/>
    <w:rsid w:val="00853C72"/>
    <w:rsid w:val="00853CA7"/>
    <w:rsid w:val="00853CBE"/>
    <w:rsid w:val="00853E7C"/>
    <w:rsid w:val="008540A0"/>
    <w:rsid w:val="0085498A"/>
    <w:rsid w:val="00854AA0"/>
    <w:rsid w:val="00854C0F"/>
    <w:rsid w:val="00854CCE"/>
    <w:rsid w:val="00854FFD"/>
    <w:rsid w:val="0085502F"/>
    <w:rsid w:val="00855194"/>
    <w:rsid w:val="008551AF"/>
    <w:rsid w:val="008552D4"/>
    <w:rsid w:val="0085532A"/>
    <w:rsid w:val="00855385"/>
    <w:rsid w:val="008555D3"/>
    <w:rsid w:val="00855692"/>
    <w:rsid w:val="00855DA7"/>
    <w:rsid w:val="00855E1E"/>
    <w:rsid w:val="00855E7C"/>
    <w:rsid w:val="00856705"/>
    <w:rsid w:val="008567E0"/>
    <w:rsid w:val="00856D70"/>
    <w:rsid w:val="00856E6C"/>
    <w:rsid w:val="00856F94"/>
    <w:rsid w:val="0085702F"/>
    <w:rsid w:val="00857188"/>
    <w:rsid w:val="0085775B"/>
    <w:rsid w:val="00857794"/>
    <w:rsid w:val="00857940"/>
    <w:rsid w:val="00857B86"/>
    <w:rsid w:val="00857CB2"/>
    <w:rsid w:val="00857FF9"/>
    <w:rsid w:val="0086016A"/>
    <w:rsid w:val="008601A9"/>
    <w:rsid w:val="008601FB"/>
    <w:rsid w:val="00860224"/>
    <w:rsid w:val="0086037B"/>
    <w:rsid w:val="00860497"/>
    <w:rsid w:val="008605A1"/>
    <w:rsid w:val="008608CE"/>
    <w:rsid w:val="00860944"/>
    <w:rsid w:val="00860FD6"/>
    <w:rsid w:val="008611E3"/>
    <w:rsid w:val="0086120A"/>
    <w:rsid w:val="0086169F"/>
    <w:rsid w:val="0086182E"/>
    <w:rsid w:val="0086192A"/>
    <w:rsid w:val="008619B8"/>
    <w:rsid w:val="00861C86"/>
    <w:rsid w:val="0086203B"/>
    <w:rsid w:val="008623C4"/>
    <w:rsid w:val="00862460"/>
    <w:rsid w:val="00862560"/>
    <w:rsid w:val="00862669"/>
    <w:rsid w:val="00862852"/>
    <w:rsid w:val="00862AC0"/>
    <w:rsid w:val="00862B4D"/>
    <w:rsid w:val="00862B53"/>
    <w:rsid w:val="00862B6F"/>
    <w:rsid w:val="00862D91"/>
    <w:rsid w:val="00862FB7"/>
    <w:rsid w:val="008631B6"/>
    <w:rsid w:val="00863250"/>
    <w:rsid w:val="00863269"/>
    <w:rsid w:val="00863270"/>
    <w:rsid w:val="00863567"/>
    <w:rsid w:val="00863856"/>
    <w:rsid w:val="00863AF4"/>
    <w:rsid w:val="00863B42"/>
    <w:rsid w:val="00863E3A"/>
    <w:rsid w:val="00864511"/>
    <w:rsid w:val="008645FB"/>
    <w:rsid w:val="00864749"/>
    <w:rsid w:val="00864818"/>
    <w:rsid w:val="00864851"/>
    <w:rsid w:val="00864A7D"/>
    <w:rsid w:val="00864B10"/>
    <w:rsid w:val="00864BFF"/>
    <w:rsid w:val="00864DF5"/>
    <w:rsid w:val="00864E89"/>
    <w:rsid w:val="00865024"/>
    <w:rsid w:val="008650D9"/>
    <w:rsid w:val="00865418"/>
    <w:rsid w:val="0086559D"/>
    <w:rsid w:val="00865960"/>
    <w:rsid w:val="00865AAD"/>
    <w:rsid w:val="00865B56"/>
    <w:rsid w:val="00865CF7"/>
    <w:rsid w:val="00865FCE"/>
    <w:rsid w:val="00866029"/>
    <w:rsid w:val="00866267"/>
    <w:rsid w:val="008663DB"/>
    <w:rsid w:val="0086645E"/>
    <w:rsid w:val="008666B3"/>
    <w:rsid w:val="008666C7"/>
    <w:rsid w:val="0086686A"/>
    <w:rsid w:val="00866B0F"/>
    <w:rsid w:val="00866D9A"/>
    <w:rsid w:val="00866E64"/>
    <w:rsid w:val="00866EBD"/>
    <w:rsid w:val="00866F31"/>
    <w:rsid w:val="008674ED"/>
    <w:rsid w:val="0086769E"/>
    <w:rsid w:val="00867763"/>
    <w:rsid w:val="0086799B"/>
    <w:rsid w:val="008679BB"/>
    <w:rsid w:val="00867AAA"/>
    <w:rsid w:val="00867DFC"/>
    <w:rsid w:val="00867E8B"/>
    <w:rsid w:val="00867FF8"/>
    <w:rsid w:val="00870334"/>
    <w:rsid w:val="008704BF"/>
    <w:rsid w:val="0087056D"/>
    <w:rsid w:val="00870774"/>
    <w:rsid w:val="008707E4"/>
    <w:rsid w:val="008707EC"/>
    <w:rsid w:val="008709BD"/>
    <w:rsid w:val="00870A82"/>
    <w:rsid w:val="00870B91"/>
    <w:rsid w:val="00870D64"/>
    <w:rsid w:val="00870F50"/>
    <w:rsid w:val="0087115E"/>
    <w:rsid w:val="00871329"/>
    <w:rsid w:val="00871536"/>
    <w:rsid w:val="00871594"/>
    <w:rsid w:val="008716A3"/>
    <w:rsid w:val="0087181A"/>
    <w:rsid w:val="00871C43"/>
    <w:rsid w:val="00871E3D"/>
    <w:rsid w:val="00872293"/>
    <w:rsid w:val="00872472"/>
    <w:rsid w:val="00872C55"/>
    <w:rsid w:val="00872C77"/>
    <w:rsid w:val="00872D90"/>
    <w:rsid w:val="00872D9F"/>
    <w:rsid w:val="00873004"/>
    <w:rsid w:val="00873089"/>
    <w:rsid w:val="00873155"/>
    <w:rsid w:val="00873169"/>
    <w:rsid w:val="00873173"/>
    <w:rsid w:val="0087319B"/>
    <w:rsid w:val="00873219"/>
    <w:rsid w:val="008733D1"/>
    <w:rsid w:val="0087346F"/>
    <w:rsid w:val="00873925"/>
    <w:rsid w:val="0087399D"/>
    <w:rsid w:val="00873E3B"/>
    <w:rsid w:val="00873E9B"/>
    <w:rsid w:val="008740C5"/>
    <w:rsid w:val="008741C2"/>
    <w:rsid w:val="008745CD"/>
    <w:rsid w:val="0087476F"/>
    <w:rsid w:val="00874814"/>
    <w:rsid w:val="00874D54"/>
    <w:rsid w:val="00874E21"/>
    <w:rsid w:val="00874E22"/>
    <w:rsid w:val="008750C8"/>
    <w:rsid w:val="00875194"/>
    <w:rsid w:val="00875687"/>
    <w:rsid w:val="00875ABB"/>
    <w:rsid w:val="00875BF2"/>
    <w:rsid w:val="00875D13"/>
    <w:rsid w:val="00875F1F"/>
    <w:rsid w:val="00876218"/>
    <w:rsid w:val="00876588"/>
    <w:rsid w:val="00876606"/>
    <w:rsid w:val="0087689D"/>
    <w:rsid w:val="00876BFF"/>
    <w:rsid w:val="00876C03"/>
    <w:rsid w:val="00876F6A"/>
    <w:rsid w:val="0087714A"/>
    <w:rsid w:val="008774FE"/>
    <w:rsid w:val="00877FA2"/>
    <w:rsid w:val="00880020"/>
    <w:rsid w:val="008801D7"/>
    <w:rsid w:val="008802B0"/>
    <w:rsid w:val="00880402"/>
    <w:rsid w:val="0088046F"/>
    <w:rsid w:val="0088064C"/>
    <w:rsid w:val="00880ABD"/>
    <w:rsid w:val="00880B6D"/>
    <w:rsid w:val="00880EC8"/>
    <w:rsid w:val="00881014"/>
    <w:rsid w:val="008810A9"/>
    <w:rsid w:val="0088117D"/>
    <w:rsid w:val="008812A1"/>
    <w:rsid w:val="0088156A"/>
    <w:rsid w:val="00881979"/>
    <w:rsid w:val="0088197B"/>
    <w:rsid w:val="00881A9B"/>
    <w:rsid w:val="00881ACB"/>
    <w:rsid w:val="00881EE3"/>
    <w:rsid w:val="00881F68"/>
    <w:rsid w:val="00881F8F"/>
    <w:rsid w:val="0088206A"/>
    <w:rsid w:val="00882262"/>
    <w:rsid w:val="0088268D"/>
    <w:rsid w:val="008828A3"/>
    <w:rsid w:val="00882C43"/>
    <w:rsid w:val="00882FB5"/>
    <w:rsid w:val="008831CE"/>
    <w:rsid w:val="00883234"/>
    <w:rsid w:val="00883358"/>
    <w:rsid w:val="0088345B"/>
    <w:rsid w:val="008834D3"/>
    <w:rsid w:val="00883833"/>
    <w:rsid w:val="0088390D"/>
    <w:rsid w:val="0088390E"/>
    <w:rsid w:val="008839AD"/>
    <w:rsid w:val="00883AA6"/>
    <w:rsid w:val="00883FB0"/>
    <w:rsid w:val="008841F4"/>
    <w:rsid w:val="0088458D"/>
    <w:rsid w:val="0088467C"/>
    <w:rsid w:val="008849A2"/>
    <w:rsid w:val="00884ACE"/>
    <w:rsid w:val="00884B3C"/>
    <w:rsid w:val="00884B9E"/>
    <w:rsid w:val="00884CD6"/>
    <w:rsid w:val="00884D18"/>
    <w:rsid w:val="00884F5C"/>
    <w:rsid w:val="008850A4"/>
    <w:rsid w:val="008853BF"/>
    <w:rsid w:val="0088542C"/>
    <w:rsid w:val="0088543F"/>
    <w:rsid w:val="0088547F"/>
    <w:rsid w:val="00885522"/>
    <w:rsid w:val="008856EF"/>
    <w:rsid w:val="008857A7"/>
    <w:rsid w:val="00885968"/>
    <w:rsid w:val="00885A0E"/>
    <w:rsid w:val="00885C28"/>
    <w:rsid w:val="00885D0C"/>
    <w:rsid w:val="00885E53"/>
    <w:rsid w:val="00885EDA"/>
    <w:rsid w:val="00886035"/>
    <w:rsid w:val="008861C5"/>
    <w:rsid w:val="008862CA"/>
    <w:rsid w:val="00886845"/>
    <w:rsid w:val="00886B96"/>
    <w:rsid w:val="00886EE2"/>
    <w:rsid w:val="00886FEF"/>
    <w:rsid w:val="00887012"/>
    <w:rsid w:val="00887491"/>
    <w:rsid w:val="00887611"/>
    <w:rsid w:val="00887795"/>
    <w:rsid w:val="00887B23"/>
    <w:rsid w:val="00887CBD"/>
    <w:rsid w:val="00887D35"/>
    <w:rsid w:val="00887EEA"/>
    <w:rsid w:val="00890006"/>
    <w:rsid w:val="00890250"/>
    <w:rsid w:val="00890259"/>
    <w:rsid w:val="008906CB"/>
    <w:rsid w:val="00890A9F"/>
    <w:rsid w:val="00890B12"/>
    <w:rsid w:val="00890B84"/>
    <w:rsid w:val="00890F47"/>
    <w:rsid w:val="008910D5"/>
    <w:rsid w:val="00891660"/>
    <w:rsid w:val="008916E4"/>
    <w:rsid w:val="00891763"/>
    <w:rsid w:val="00891774"/>
    <w:rsid w:val="00891910"/>
    <w:rsid w:val="00891935"/>
    <w:rsid w:val="00891A70"/>
    <w:rsid w:val="00891A7B"/>
    <w:rsid w:val="00891D99"/>
    <w:rsid w:val="0089240B"/>
    <w:rsid w:val="008924AB"/>
    <w:rsid w:val="00892605"/>
    <w:rsid w:val="0089261F"/>
    <w:rsid w:val="0089287E"/>
    <w:rsid w:val="008928CA"/>
    <w:rsid w:val="00892D60"/>
    <w:rsid w:val="00892D6E"/>
    <w:rsid w:val="0089305C"/>
    <w:rsid w:val="0089308D"/>
    <w:rsid w:val="00893378"/>
    <w:rsid w:val="008934A4"/>
    <w:rsid w:val="00893928"/>
    <w:rsid w:val="008939F3"/>
    <w:rsid w:val="00893A2E"/>
    <w:rsid w:val="00893D3D"/>
    <w:rsid w:val="00893E4D"/>
    <w:rsid w:val="0089447D"/>
    <w:rsid w:val="00894630"/>
    <w:rsid w:val="00894C66"/>
    <w:rsid w:val="00895295"/>
    <w:rsid w:val="0089538E"/>
    <w:rsid w:val="0089589D"/>
    <w:rsid w:val="008959BB"/>
    <w:rsid w:val="00895D32"/>
    <w:rsid w:val="00895ECF"/>
    <w:rsid w:val="008961BC"/>
    <w:rsid w:val="00896458"/>
    <w:rsid w:val="008964D4"/>
    <w:rsid w:val="00896506"/>
    <w:rsid w:val="00896572"/>
    <w:rsid w:val="008966A3"/>
    <w:rsid w:val="008966B2"/>
    <w:rsid w:val="008966F3"/>
    <w:rsid w:val="00896803"/>
    <w:rsid w:val="00896C20"/>
    <w:rsid w:val="00896E6F"/>
    <w:rsid w:val="00896E7B"/>
    <w:rsid w:val="008971A8"/>
    <w:rsid w:val="008972C0"/>
    <w:rsid w:val="008973AF"/>
    <w:rsid w:val="00897439"/>
    <w:rsid w:val="0089743B"/>
    <w:rsid w:val="008974AA"/>
    <w:rsid w:val="008976C7"/>
    <w:rsid w:val="008976F8"/>
    <w:rsid w:val="00897732"/>
    <w:rsid w:val="00897A77"/>
    <w:rsid w:val="00897AB5"/>
    <w:rsid w:val="00897B3F"/>
    <w:rsid w:val="00897EC2"/>
    <w:rsid w:val="008A00C8"/>
    <w:rsid w:val="008A0127"/>
    <w:rsid w:val="008A0240"/>
    <w:rsid w:val="008A02E2"/>
    <w:rsid w:val="008A0540"/>
    <w:rsid w:val="008A0660"/>
    <w:rsid w:val="008A094A"/>
    <w:rsid w:val="008A09EE"/>
    <w:rsid w:val="008A0A9E"/>
    <w:rsid w:val="008A0C00"/>
    <w:rsid w:val="008A0CF9"/>
    <w:rsid w:val="008A0EC8"/>
    <w:rsid w:val="008A1356"/>
    <w:rsid w:val="008A1556"/>
    <w:rsid w:val="008A1614"/>
    <w:rsid w:val="008A1E85"/>
    <w:rsid w:val="008A2056"/>
    <w:rsid w:val="008A20AB"/>
    <w:rsid w:val="008A23C2"/>
    <w:rsid w:val="008A23DA"/>
    <w:rsid w:val="008A25FF"/>
    <w:rsid w:val="008A2817"/>
    <w:rsid w:val="008A29EF"/>
    <w:rsid w:val="008A2AF3"/>
    <w:rsid w:val="008A2D5D"/>
    <w:rsid w:val="008A2F05"/>
    <w:rsid w:val="008A30AB"/>
    <w:rsid w:val="008A361F"/>
    <w:rsid w:val="008A36BD"/>
    <w:rsid w:val="008A3A2A"/>
    <w:rsid w:val="008A3E35"/>
    <w:rsid w:val="008A3E9F"/>
    <w:rsid w:val="008A400C"/>
    <w:rsid w:val="008A4301"/>
    <w:rsid w:val="008A462B"/>
    <w:rsid w:val="008A4B19"/>
    <w:rsid w:val="008A4B73"/>
    <w:rsid w:val="008A5435"/>
    <w:rsid w:val="008A56E2"/>
    <w:rsid w:val="008A5754"/>
    <w:rsid w:val="008A57D2"/>
    <w:rsid w:val="008A5AEF"/>
    <w:rsid w:val="008A5C92"/>
    <w:rsid w:val="008A5DF0"/>
    <w:rsid w:val="008A5EE7"/>
    <w:rsid w:val="008A6036"/>
    <w:rsid w:val="008A627A"/>
    <w:rsid w:val="008A635C"/>
    <w:rsid w:val="008A6699"/>
    <w:rsid w:val="008A66B5"/>
    <w:rsid w:val="008A67E1"/>
    <w:rsid w:val="008A6C07"/>
    <w:rsid w:val="008A6E1B"/>
    <w:rsid w:val="008A7010"/>
    <w:rsid w:val="008A71FF"/>
    <w:rsid w:val="008A74A6"/>
    <w:rsid w:val="008A78CC"/>
    <w:rsid w:val="008A79C1"/>
    <w:rsid w:val="008A7BA4"/>
    <w:rsid w:val="008A7C32"/>
    <w:rsid w:val="008A7FB4"/>
    <w:rsid w:val="008B04FC"/>
    <w:rsid w:val="008B0813"/>
    <w:rsid w:val="008B09B2"/>
    <w:rsid w:val="008B0BAC"/>
    <w:rsid w:val="008B0BB7"/>
    <w:rsid w:val="008B13EB"/>
    <w:rsid w:val="008B1485"/>
    <w:rsid w:val="008B14D3"/>
    <w:rsid w:val="008B1569"/>
    <w:rsid w:val="008B16BE"/>
    <w:rsid w:val="008B1799"/>
    <w:rsid w:val="008B18EE"/>
    <w:rsid w:val="008B1BD4"/>
    <w:rsid w:val="008B1E55"/>
    <w:rsid w:val="008B22A3"/>
    <w:rsid w:val="008B22CB"/>
    <w:rsid w:val="008B22EE"/>
    <w:rsid w:val="008B256A"/>
    <w:rsid w:val="008B25A5"/>
    <w:rsid w:val="008B25BA"/>
    <w:rsid w:val="008B25E8"/>
    <w:rsid w:val="008B2715"/>
    <w:rsid w:val="008B2872"/>
    <w:rsid w:val="008B2943"/>
    <w:rsid w:val="008B2C79"/>
    <w:rsid w:val="008B30E9"/>
    <w:rsid w:val="008B31FE"/>
    <w:rsid w:val="008B32CC"/>
    <w:rsid w:val="008B342A"/>
    <w:rsid w:val="008B3557"/>
    <w:rsid w:val="008B35AB"/>
    <w:rsid w:val="008B379A"/>
    <w:rsid w:val="008B37B6"/>
    <w:rsid w:val="008B37B9"/>
    <w:rsid w:val="008B38A3"/>
    <w:rsid w:val="008B3A32"/>
    <w:rsid w:val="008B3A9A"/>
    <w:rsid w:val="008B3AB5"/>
    <w:rsid w:val="008B3B1F"/>
    <w:rsid w:val="008B3BDE"/>
    <w:rsid w:val="008B4121"/>
    <w:rsid w:val="008B45A5"/>
    <w:rsid w:val="008B45E2"/>
    <w:rsid w:val="008B464D"/>
    <w:rsid w:val="008B492E"/>
    <w:rsid w:val="008B4937"/>
    <w:rsid w:val="008B4B86"/>
    <w:rsid w:val="008B4E56"/>
    <w:rsid w:val="008B4F3A"/>
    <w:rsid w:val="008B5478"/>
    <w:rsid w:val="008B5817"/>
    <w:rsid w:val="008B5833"/>
    <w:rsid w:val="008B58D0"/>
    <w:rsid w:val="008B59C8"/>
    <w:rsid w:val="008B5CEE"/>
    <w:rsid w:val="008B5D81"/>
    <w:rsid w:val="008B62CB"/>
    <w:rsid w:val="008B63B5"/>
    <w:rsid w:val="008B63E2"/>
    <w:rsid w:val="008B6716"/>
    <w:rsid w:val="008B6761"/>
    <w:rsid w:val="008B6945"/>
    <w:rsid w:val="008B69B3"/>
    <w:rsid w:val="008B6A7F"/>
    <w:rsid w:val="008B6BC1"/>
    <w:rsid w:val="008B6F37"/>
    <w:rsid w:val="008B6F80"/>
    <w:rsid w:val="008B70E6"/>
    <w:rsid w:val="008B72EC"/>
    <w:rsid w:val="008B74FD"/>
    <w:rsid w:val="008B766D"/>
    <w:rsid w:val="008B76C9"/>
    <w:rsid w:val="008B770F"/>
    <w:rsid w:val="008B78A4"/>
    <w:rsid w:val="008B7991"/>
    <w:rsid w:val="008B79F5"/>
    <w:rsid w:val="008C092A"/>
    <w:rsid w:val="008C096F"/>
    <w:rsid w:val="008C0ADA"/>
    <w:rsid w:val="008C0B47"/>
    <w:rsid w:val="008C0C84"/>
    <w:rsid w:val="008C0C94"/>
    <w:rsid w:val="008C0E1A"/>
    <w:rsid w:val="008C0ED6"/>
    <w:rsid w:val="008C105D"/>
    <w:rsid w:val="008C13CB"/>
    <w:rsid w:val="008C151B"/>
    <w:rsid w:val="008C1523"/>
    <w:rsid w:val="008C16AF"/>
    <w:rsid w:val="008C1984"/>
    <w:rsid w:val="008C1A54"/>
    <w:rsid w:val="008C1AF0"/>
    <w:rsid w:val="008C1B25"/>
    <w:rsid w:val="008C1CC8"/>
    <w:rsid w:val="008C1D85"/>
    <w:rsid w:val="008C1E21"/>
    <w:rsid w:val="008C1F33"/>
    <w:rsid w:val="008C2050"/>
    <w:rsid w:val="008C2058"/>
    <w:rsid w:val="008C205D"/>
    <w:rsid w:val="008C220A"/>
    <w:rsid w:val="008C22B8"/>
    <w:rsid w:val="008C245D"/>
    <w:rsid w:val="008C2493"/>
    <w:rsid w:val="008C2755"/>
    <w:rsid w:val="008C2823"/>
    <w:rsid w:val="008C2891"/>
    <w:rsid w:val="008C29E7"/>
    <w:rsid w:val="008C2BC4"/>
    <w:rsid w:val="008C2C1F"/>
    <w:rsid w:val="008C2C3D"/>
    <w:rsid w:val="008C2D9D"/>
    <w:rsid w:val="008C2FE2"/>
    <w:rsid w:val="008C2FE6"/>
    <w:rsid w:val="008C3241"/>
    <w:rsid w:val="008C32E9"/>
    <w:rsid w:val="008C371F"/>
    <w:rsid w:val="008C37B3"/>
    <w:rsid w:val="008C386D"/>
    <w:rsid w:val="008C3A8C"/>
    <w:rsid w:val="008C3F1E"/>
    <w:rsid w:val="008C4036"/>
    <w:rsid w:val="008C43A5"/>
    <w:rsid w:val="008C4436"/>
    <w:rsid w:val="008C450D"/>
    <w:rsid w:val="008C4761"/>
    <w:rsid w:val="008C4A4B"/>
    <w:rsid w:val="008C4BB8"/>
    <w:rsid w:val="008C4CAC"/>
    <w:rsid w:val="008C4CE0"/>
    <w:rsid w:val="008C4DEB"/>
    <w:rsid w:val="008C4E42"/>
    <w:rsid w:val="008C4FE0"/>
    <w:rsid w:val="008C5007"/>
    <w:rsid w:val="008C5083"/>
    <w:rsid w:val="008C50F5"/>
    <w:rsid w:val="008C5145"/>
    <w:rsid w:val="008C51F3"/>
    <w:rsid w:val="008C529D"/>
    <w:rsid w:val="008C5978"/>
    <w:rsid w:val="008C59BD"/>
    <w:rsid w:val="008C59D0"/>
    <w:rsid w:val="008C5CC1"/>
    <w:rsid w:val="008C5EEA"/>
    <w:rsid w:val="008C5F2F"/>
    <w:rsid w:val="008C607F"/>
    <w:rsid w:val="008C608C"/>
    <w:rsid w:val="008C637C"/>
    <w:rsid w:val="008C65CF"/>
    <w:rsid w:val="008C6913"/>
    <w:rsid w:val="008C6A7D"/>
    <w:rsid w:val="008C6F6C"/>
    <w:rsid w:val="008C7042"/>
    <w:rsid w:val="008C705A"/>
    <w:rsid w:val="008C71AD"/>
    <w:rsid w:val="008C74D5"/>
    <w:rsid w:val="008C75BF"/>
    <w:rsid w:val="008C76C2"/>
    <w:rsid w:val="008C796D"/>
    <w:rsid w:val="008C7A40"/>
    <w:rsid w:val="008C7C61"/>
    <w:rsid w:val="008C7CB5"/>
    <w:rsid w:val="008C7D25"/>
    <w:rsid w:val="008C7EA4"/>
    <w:rsid w:val="008D01DE"/>
    <w:rsid w:val="008D022A"/>
    <w:rsid w:val="008D03FD"/>
    <w:rsid w:val="008D0622"/>
    <w:rsid w:val="008D06CD"/>
    <w:rsid w:val="008D06EB"/>
    <w:rsid w:val="008D091F"/>
    <w:rsid w:val="008D0F01"/>
    <w:rsid w:val="008D10CD"/>
    <w:rsid w:val="008D1230"/>
    <w:rsid w:val="008D172C"/>
    <w:rsid w:val="008D19AE"/>
    <w:rsid w:val="008D19B8"/>
    <w:rsid w:val="008D1AFF"/>
    <w:rsid w:val="008D1E2B"/>
    <w:rsid w:val="008D1E9E"/>
    <w:rsid w:val="008D2225"/>
    <w:rsid w:val="008D2288"/>
    <w:rsid w:val="008D2535"/>
    <w:rsid w:val="008D26DD"/>
    <w:rsid w:val="008D2C48"/>
    <w:rsid w:val="008D2FAF"/>
    <w:rsid w:val="008D2FC8"/>
    <w:rsid w:val="008D3138"/>
    <w:rsid w:val="008D336B"/>
    <w:rsid w:val="008D337B"/>
    <w:rsid w:val="008D3466"/>
    <w:rsid w:val="008D34E7"/>
    <w:rsid w:val="008D34F9"/>
    <w:rsid w:val="008D387E"/>
    <w:rsid w:val="008D38FE"/>
    <w:rsid w:val="008D3C78"/>
    <w:rsid w:val="008D3DF3"/>
    <w:rsid w:val="008D3EAC"/>
    <w:rsid w:val="008D3EBC"/>
    <w:rsid w:val="008D44CA"/>
    <w:rsid w:val="008D44CE"/>
    <w:rsid w:val="008D4549"/>
    <w:rsid w:val="008D45ED"/>
    <w:rsid w:val="008D464A"/>
    <w:rsid w:val="008D465D"/>
    <w:rsid w:val="008D4705"/>
    <w:rsid w:val="008D47D8"/>
    <w:rsid w:val="008D487C"/>
    <w:rsid w:val="008D4923"/>
    <w:rsid w:val="008D492E"/>
    <w:rsid w:val="008D4B0C"/>
    <w:rsid w:val="008D4DAA"/>
    <w:rsid w:val="008D5003"/>
    <w:rsid w:val="008D50AE"/>
    <w:rsid w:val="008D51BA"/>
    <w:rsid w:val="008D54EC"/>
    <w:rsid w:val="008D5C30"/>
    <w:rsid w:val="008D6824"/>
    <w:rsid w:val="008D6ACC"/>
    <w:rsid w:val="008D6CFB"/>
    <w:rsid w:val="008D6EF4"/>
    <w:rsid w:val="008D72CD"/>
    <w:rsid w:val="008D7431"/>
    <w:rsid w:val="008D79A7"/>
    <w:rsid w:val="008D7F4E"/>
    <w:rsid w:val="008E0801"/>
    <w:rsid w:val="008E097F"/>
    <w:rsid w:val="008E0996"/>
    <w:rsid w:val="008E0B19"/>
    <w:rsid w:val="008E0BBD"/>
    <w:rsid w:val="008E0CEB"/>
    <w:rsid w:val="008E0D06"/>
    <w:rsid w:val="008E0D0F"/>
    <w:rsid w:val="008E0FD9"/>
    <w:rsid w:val="008E17EB"/>
    <w:rsid w:val="008E1858"/>
    <w:rsid w:val="008E185C"/>
    <w:rsid w:val="008E18BF"/>
    <w:rsid w:val="008E1B4A"/>
    <w:rsid w:val="008E1BC4"/>
    <w:rsid w:val="008E1D04"/>
    <w:rsid w:val="008E2585"/>
    <w:rsid w:val="008E2848"/>
    <w:rsid w:val="008E2C34"/>
    <w:rsid w:val="008E2D59"/>
    <w:rsid w:val="008E2E9F"/>
    <w:rsid w:val="008E3404"/>
    <w:rsid w:val="008E361B"/>
    <w:rsid w:val="008E3A09"/>
    <w:rsid w:val="008E3DB2"/>
    <w:rsid w:val="008E3FD3"/>
    <w:rsid w:val="008E4267"/>
    <w:rsid w:val="008E42B7"/>
    <w:rsid w:val="008E45EB"/>
    <w:rsid w:val="008E4B8C"/>
    <w:rsid w:val="008E4C82"/>
    <w:rsid w:val="008E4E17"/>
    <w:rsid w:val="008E5042"/>
    <w:rsid w:val="008E5043"/>
    <w:rsid w:val="008E509C"/>
    <w:rsid w:val="008E51BE"/>
    <w:rsid w:val="008E53C1"/>
    <w:rsid w:val="008E581E"/>
    <w:rsid w:val="008E588A"/>
    <w:rsid w:val="008E590A"/>
    <w:rsid w:val="008E595F"/>
    <w:rsid w:val="008E5BF0"/>
    <w:rsid w:val="008E5D54"/>
    <w:rsid w:val="008E6595"/>
    <w:rsid w:val="008E67B5"/>
    <w:rsid w:val="008E68B6"/>
    <w:rsid w:val="008E68DE"/>
    <w:rsid w:val="008E6A0F"/>
    <w:rsid w:val="008E6CD0"/>
    <w:rsid w:val="008E7150"/>
    <w:rsid w:val="008E7353"/>
    <w:rsid w:val="008E7389"/>
    <w:rsid w:val="008E73E4"/>
    <w:rsid w:val="008E7440"/>
    <w:rsid w:val="008E75F9"/>
    <w:rsid w:val="008E7631"/>
    <w:rsid w:val="008E7879"/>
    <w:rsid w:val="008E78C6"/>
    <w:rsid w:val="008E7A3D"/>
    <w:rsid w:val="008F00BC"/>
    <w:rsid w:val="008F01B7"/>
    <w:rsid w:val="008F04DA"/>
    <w:rsid w:val="008F0735"/>
    <w:rsid w:val="008F0821"/>
    <w:rsid w:val="008F0901"/>
    <w:rsid w:val="008F09C8"/>
    <w:rsid w:val="008F0BBD"/>
    <w:rsid w:val="008F0C15"/>
    <w:rsid w:val="008F0CC4"/>
    <w:rsid w:val="008F0EB0"/>
    <w:rsid w:val="008F1287"/>
    <w:rsid w:val="008F17A0"/>
    <w:rsid w:val="008F181D"/>
    <w:rsid w:val="008F184D"/>
    <w:rsid w:val="008F18CC"/>
    <w:rsid w:val="008F18CE"/>
    <w:rsid w:val="008F1B80"/>
    <w:rsid w:val="008F1B87"/>
    <w:rsid w:val="008F1C4A"/>
    <w:rsid w:val="008F1CA7"/>
    <w:rsid w:val="008F227A"/>
    <w:rsid w:val="008F247B"/>
    <w:rsid w:val="008F258B"/>
    <w:rsid w:val="008F2663"/>
    <w:rsid w:val="008F2699"/>
    <w:rsid w:val="008F272F"/>
    <w:rsid w:val="008F28DE"/>
    <w:rsid w:val="008F2944"/>
    <w:rsid w:val="008F2AA6"/>
    <w:rsid w:val="008F2C60"/>
    <w:rsid w:val="008F3218"/>
    <w:rsid w:val="008F358E"/>
    <w:rsid w:val="008F36C1"/>
    <w:rsid w:val="008F371D"/>
    <w:rsid w:val="008F37AA"/>
    <w:rsid w:val="008F395C"/>
    <w:rsid w:val="008F3A68"/>
    <w:rsid w:val="008F3BDA"/>
    <w:rsid w:val="008F3F33"/>
    <w:rsid w:val="008F4008"/>
    <w:rsid w:val="008F448B"/>
    <w:rsid w:val="008F4670"/>
    <w:rsid w:val="008F491B"/>
    <w:rsid w:val="008F4931"/>
    <w:rsid w:val="008F4A65"/>
    <w:rsid w:val="008F4D1B"/>
    <w:rsid w:val="008F4FC2"/>
    <w:rsid w:val="008F5022"/>
    <w:rsid w:val="008F52BA"/>
    <w:rsid w:val="008F53AB"/>
    <w:rsid w:val="008F5C69"/>
    <w:rsid w:val="008F5EB3"/>
    <w:rsid w:val="008F6015"/>
    <w:rsid w:val="008F61F7"/>
    <w:rsid w:val="008F68E9"/>
    <w:rsid w:val="008F705A"/>
    <w:rsid w:val="008F736A"/>
    <w:rsid w:val="008F759E"/>
    <w:rsid w:val="008F7608"/>
    <w:rsid w:val="008F760C"/>
    <w:rsid w:val="008F76E8"/>
    <w:rsid w:val="008F784F"/>
    <w:rsid w:val="008F7BA0"/>
    <w:rsid w:val="008F7D34"/>
    <w:rsid w:val="009000C5"/>
    <w:rsid w:val="00900168"/>
    <w:rsid w:val="00900358"/>
    <w:rsid w:val="00900367"/>
    <w:rsid w:val="00900419"/>
    <w:rsid w:val="009004B0"/>
    <w:rsid w:val="0090055B"/>
    <w:rsid w:val="00900667"/>
    <w:rsid w:val="00900746"/>
    <w:rsid w:val="00900CB5"/>
    <w:rsid w:val="00900F44"/>
    <w:rsid w:val="0090101A"/>
    <w:rsid w:val="0090105E"/>
    <w:rsid w:val="009010C1"/>
    <w:rsid w:val="009011A3"/>
    <w:rsid w:val="0090129F"/>
    <w:rsid w:val="00901305"/>
    <w:rsid w:val="0090142A"/>
    <w:rsid w:val="009018B3"/>
    <w:rsid w:val="009019EB"/>
    <w:rsid w:val="00901A4C"/>
    <w:rsid w:val="00901B65"/>
    <w:rsid w:val="00901D88"/>
    <w:rsid w:val="00902009"/>
    <w:rsid w:val="00902419"/>
    <w:rsid w:val="00902C03"/>
    <w:rsid w:val="00902DAE"/>
    <w:rsid w:val="0090309F"/>
    <w:rsid w:val="00903155"/>
    <w:rsid w:val="009033D8"/>
    <w:rsid w:val="0090342E"/>
    <w:rsid w:val="00903534"/>
    <w:rsid w:val="009036CB"/>
    <w:rsid w:val="009036D8"/>
    <w:rsid w:val="0090377A"/>
    <w:rsid w:val="00903BDA"/>
    <w:rsid w:val="00903C6C"/>
    <w:rsid w:val="00903D75"/>
    <w:rsid w:val="00903EFB"/>
    <w:rsid w:val="00903F7F"/>
    <w:rsid w:val="00903FDD"/>
    <w:rsid w:val="009041E4"/>
    <w:rsid w:val="009043B0"/>
    <w:rsid w:val="009048BE"/>
    <w:rsid w:val="009048E2"/>
    <w:rsid w:val="00904A6D"/>
    <w:rsid w:val="00904DC5"/>
    <w:rsid w:val="00905199"/>
    <w:rsid w:val="009054B9"/>
    <w:rsid w:val="009054F1"/>
    <w:rsid w:val="009055BB"/>
    <w:rsid w:val="009056F2"/>
    <w:rsid w:val="00905726"/>
    <w:rsid w:val="0090589E"/>
    <w:rsid w:val="009058D5"/>
    <w:rsid w:val="00905BF6"/>
    <w:rsid w:val="00905C12"/>
    <w:rsid w:val="00905C4D"/>
    <w:rsid w:val="00905D12"/>
    <w:rsid w:val="00905FD4"/>
    <w:rsid w:val="009062C2"/>
    <w:rsid w:val="00906540"/>
    <w:rsid w:val="00906675"/>
    <w:rsid w:val="00906CF9"/>
    <w:rsid w:val="00906E24"/>
    <w:rsid w:val="00906F81"/>
    <w:rsid w:val="00906F90"/>
    <w:rsid w:val="00906FE1"/>
    <w:rsid w:val="00907074"/>
    <w:rsid w:val="00907C5A"/>
    <w:rsid w:val="00907C5D"/>
    <w:rsid w:val="00907E34"/>
    <w:rsid w:val="00907ED7"/>
    <w:rsid w:val="00907F9B"/>
    <w:rsid w:val="0091008F"/>
    <w:rsid w:val="009100C5"/>
    <w:rsid w:val="009102FE"/>
    <w:rsid w:val="0091046B"/>
    <w:rsid w:val="0091049D"/>
    <w:rsid w:val="009107D4"/>
    <w:rsid w:val="00910C8D"/>
    <w:rsid w:val="00910F13"/>
    <w:rsid w:val="00910F7D"/>
    <w:rsid w:val="00911029"/>
    <w:rsid w:val="0091104B"/>
    <w:rsid w:val="00911280"/>
    <w:rsid w:val="00911428"/>
    <w:rsid w:val="009115DF"/>
    <w:rsid w:val="009118FA"/>
    <w:rsid w:val="00911916"/>
    <w:rsid w:val="00911961"/>
    <w:rsid w:val="00911983"/>
    <w:rsid w:val="00911AC4"/>
    <w:rsid w:val="00911BDD"/>
    <w:rsid w:val="00911D5F"/>
    <w:rsid w:val="00911DFF"/>
    <w:rsid w:val="00912476"/>
    <w:rsid w:val="0091250D"/>
    <w:rsid w:val="00912661"/>
    <w:rsid w:val="009126D7"/>
    <w:rsid w:val="00912813"/>
    <w:rsid w:val="009129D1"/>
    <w:rsid w:val="00912AAC"/>
    <w:rsid w:val="00912B22"/>
    <w:rsid w:val="00912DE5"/>
    <w:rsid w:val="00913111"/>
    <w:rsid w:val="0091312F"/>
    <w:rsid w:val="0091316C"/>
    <w:rsid w:val="009136CE"/>
    <w:rsid w:val="0091377B"/>
    <w:rsid w:val="00913948"/>
    <w:rsid w:val="00913A14"/>
    <w:rsid w:val="00913C3A"/>
    <w:rsid w:val="00913EC4"/>
    <w:rsid w:val="009141D3"/>
    <w:rsid w:val="009146A9"/>
    <w:rsid w:val="00914823"/>
    <w:rsid w:val="00914922"/>
    <w:rsid w:val="00914A73"/>
    <w:rsid w:val="00914C1C"/>
    <w:rsid w:val="00914D2D"/>
    <w:rsid w:val="00914DF0"/>
    <w:rsid w:val="00914F0B"/>
    <w:rsid w:val="0091522F"/>
    <w:rsid w:val="009158C1"/>
    <w:rsid w:val="00915939"/>
    <w:rsid w:val="00915D35"/>
    <w:rsid w:val="00915FC0"/>
    <w:rsid w:val="009161FF"/>
    <w:rsid w:val="009162D3"/>
    <w:rsid w:val="009165EB"/>
    <w:rsid w:val="00916708"/>
    <w:rsid w:val="00916790"/>
    <w:rsid w:val="00916823"/>
    <w:rsid w:val="0091683D"/>
    <w:rsid w:val="009168B5"/>
    <w:rsid w:val="009169FA"/>
    <w:rsid w:val="00916E5C"/>
    <w:rsid w:val="0091700D"/>
    <w:rsid w:val="009170A9"/>
    <w:rsid w:val="009171CD"/>
    <w:rsid w:val="00917477"/>
    <w:rsid w:val="00917992"/>
    <w:rsid w:val="00917997"/>
    <w:rsid w:val="009179DC"/>
    <w:rsid w:val="00917E1D"/>
    <w:rsid w:val="00917F57"/>
    <w:rsid w:val="009204A0"/>
    <w:rsid w:val="00920568"/>
    <w:rsid w:val="00920798"/>
    <w:rsid w:val="009207B8"/>
    <w:rsid w:val="009207E9"/>
    <w:rsid w:val="00920A37"/>
    <w:rsid w:val="00920A8A"/>
    <w:rsid w:val="00920B3D"/>
    <w:rsid w:val="00920D64"/>
    <w:rsid w:val="00920E6B"/>
    <w:rsid w:val="00920E86"/>
    <w:rsid w:val="00920F93"/>
    <w:rsid w:val="009212F8"/>
    <w:rsid w:val="00921460"/>
    <w:rsid w:val="0092189B"/>
    <w:rsid w:val="00921AF8"/>
    <w:rsid w:val="00921C13"/>
    <w:rsid w:val="00921CE4"/>
    <w:rsid w:val="00921FC0"/>
    <w:rsid w:val="00922208"/>
    <w:rsid w:val="009224A8"/>
    <w:rsid w:val="0092263C"/>
    <w:rsid w:val="0092273B"/>
    <w:rsid w:val="00922906"/>
    <w:rsid w:val="00922BCB"/>
    <w:rsid w:val="00922C65"/>
    <w:rsid w:val="00922CED"/>
    <w:rsid w:val="0092317A"/>
    <w:rsid w:val="009231E5"/>
    <w:rsid w:val="009232EA"/>
    <w:rsid w:val="00923548"/>
    <w:rsid w:val="0092394B"/>
    <w:rsid w:val="00923A43"/>
    <w:rsid w:val="00923C5D"/>
    <w:rsid w:val="00923D67"/>
    <w:rsid w:val="00923E38"/>
    <w:rsid w:val="00923F0D"/>
    <w:rsid w:val="00923F6A"/>
    <w:rsid w:val="009246B9"/>
    <w:rsid w:val="00924BDB"/>
    <w:rsid w:val="00924C5C"/>
    <w:rsid w:val="00924D93"/>
    <w:rsid w:val="00924F53"/>
    <w:rsid w:val="00924FF8"/>
    <w:rsid w:val="009251C7"/>
    <w:rsid w:val="0092530E"/>
    <w:rsid w:val="0092558D"/>
    <w:rsid w:val="00925848"/>
    <w:rsid w:val="00925969"/>
    <w:rsid w:val="00925977"/>
    <w:rsid w:val="00925B7A"/>
    <w:rsid w:val="00925C77"/>
    <w:rsid w:val="00925CF9"/>
    <w:rsid w:val="00925E6E"/>
    <w:rsid w:val="0092600A"/>
    <w:rsid w:val="009262FE"/>
    <w:rsid w:val="00926391"/>
    <w:rsid w:val="00926599"/>
    <w:rsid w:val="009265F6"/>
    <w:rsid w:val="009267F9"/>
    <w:rsid w:val="00926852"/>
    <w:rsid w:val="00926AA3"/>
    <w:rsid w:val="00926B4C"/>
    <w:rsid w:val="00926D8E"/>
    <w:rsid w:val="00926EDF"/>
    <w:rsid w:val="00927088"/>
    <w:rsid w:val="009273B9"/>
    <w:rsid w:val="009274CB"/>
    <w:rsid w:val="00927559"/>
    <w:rsid w:val="009278E0"/>
    <w:rsid w:val="00927C2C"/>
    <w:rsid w:val="00927F8D"/>
    <w:rsid w:val="00930352"/>
    <w:rsid w:val="0093046A"/>
    <w:rsid w:val="0093090B"/>
    <w:rsid w:val="00930981"/>
    <w:rsid w:val="00930990"/>
    <w:rsid w:val="00930AE0"/>
    <w:rsid w:val="00930DDD"/>
    <w:rsid w:val="00930E5D"/>
    <w:rsid w:val="00930F4D"/>
    <w:rsid w:val="00931386"/>
    <w:rsid w:val="009317F1"/>
    <w:rsid w:val="00931A56"/>
    <w:rsid w:val="00931ADD"/>
    <w:rsid w:val="00931BF0"/>
    <w:rsid w:val="00931E16"/>
    <w:rsid w:val="00932201"/>
    <w:rsid w:val="009323A5"/>
    <w:rsid w:val="009326CC"/>
    <w:rsid w:val="00932727"/>
    <w:rsid w:val="00932768"/>
    <w:rsid w:val="009328F8"/>
    <w:rsid w:val="00932A07"/>
    <w:rsid w:val="00932BA2"/>
    <w:rsid w:val="00932C2A"/>
    <w:rsid w:val="00932CDA"/>
    <w:rsid w:val="00932F5C"/>
    <w:rsid w:val="009331D4"/>
    <w:rsid w:val="0093321B"/>
    <w:rsid w:val="0093352F"/>
    <w:rsid w:val="00933776"/>
    <w:rsid w:val="00933809"/>
    <w:rsid w:val="00933827"/>
    <w:rsid w:val="00933C72"/>
    <w:rsid w:val="00933D04"/>
    <w:rsid w:val="00934075"/>
    <w:rsid w:val="009347D2"/>
    <w:rsid w:val="009348F8"/>
    <w:rsid w:val="009349B7"/>
    <w:rsid w:val="00934C10"/>
    <w:rsid w:val="00934D29"/>
    <w:rsid w:val="00935126"/>
    <w:rsid w:val="0093523C"/>
    <w:rsid w:val="0093528E"/>
    <w:rsid w:val="0093539A"/>
    <w:rsid w:val="009356A8"/>
    <w:rsid w:val="00935951"/>
    <w:rsid w:val="009359B5"/>
    <w:rsid w:val="009359F6"/>
    <w:rsid w:val="00935B91"/>
    <w:rsid w:val="00935B99"/>
    <w:rsid w:val="00935BC8"/>
    <w:rsid w:val="00935D38"/>
    <w:rsid w:val="00935E73"/>
    <w:rsid w:val="00935F86"/>
    <w:rsid w:val="0093600F"/>
    <w:rsid w:val="009360C2"/>
    <w:rsid w:val="00936178"/>
    <w:rsid w:val="0093618A"/>
    <w:rsid w:val="009361C0"/>
    <w:rsid w:val="009362EC"/>
    <w:rsid w:val="00936384"/>
    <w:rsid w:val="009364B6"/>
    <w:rsid w:val="0093671B"/>
    <w:rsid w:val="0093688E"/>
    <w:rsid w:val="009368ED"/>
    <w:rsid w:val="009369F6"/>
    <w:rsid w:val="00936A46"/>
    <w:rsid w:val="00936AF7"/>
    <w:rsid w:val="00936C31"/>
    <w:rsid w:val="00936D52"/>
    <w:rsid w:val="00936D88"/>
    <w:rsid w:val="00936DA0"/>
    <w:rsid w:val="00937049"/>
    <w:rsid w:val="00937055"/>
    <w:rsid w:val="0093722B"/>
    <w:rsid w:val="00937338"/>
    <w:rsid w:val="00937447"/>
    <w:rsid w:val="00937686"/>
    <w:rsid w:val="0093782B"/>
    <w:rsid w:val="00937961"/>
    <w:rsid w:val="00937B28"/>
    <w:rsid w:val="00937B61"/>
    <w:rsid w:val="00937BC6"/>
    <w:rsid w:val="0094004D"/>
    <w:rsid w:val="009401A0"/>
    <w:rsid w:val="009405EE"/>
    <w:rsid w:val="00940715"/>
    <w:rsid w:val="0094077B"/>
    <w:rsid w:val="009407A6"/>
    <w:rsid w:val="009407D6"/>
    <w:rsid w:val="009407E8"/>
    <w:rsid w:val="00940806"/>
    <w:rsid w:val="00940866"/>
    <w:rsid w:val="00940908"/>
    <w:rsid w:val="00940ACB"/>
    <w:rsid w:val="00940CF2"/>
    <w:rsid w:val="00940CFA"/>
    <w:rsid w:val="00940D70"/>
    <w:rsid w:val="00940F68"/>
    <w:rsid w:val="00941039"/>
    <w:rsid w:val="00941197"/>
    <w:rsid w:val="00941256"/>
    <w:rsid w:val="00941AD6"/>
    <w:rsid w:val="00941B1F"/>
    <w:rsid w:val="00941B8A"/>
    <w:rsid w:val="00941DC3"/>
    <w:rsid w:val="00941F5D"/>
    <w:rsid w:val="00942042"/>
    <w:rsid w:val="0094220E"/>
    <w:rsid w:val="009423CF"/>
    <w:rsid w:val="0094268B"/>
    <w:rsid w:val="009428B8"/>
    <w:rsid w:val="00942AB7"/>
    <w:rsid w:val="00942CCD"/>
    <w:rsid w:val="00942E9A"/>
    <w:rsid w:val="00943116"/>
    <w:rsid w:val="009435F6"/>
    <w:rsid w:val="00943DC2"/>
    <w:rsid w:val="00943E15"/>
    <w:rsid w:val="00943E9F"/>
    <w:rsid w:val="00943EBD"/>
    <w:rsid w:val="00944178"/>
    <w:rsid w:val="009441F1"/>
    <w:rsid w:val="00944235"/>
    <w:rsid w:val="009445C0"/>
    <w:rsid w:val="009446FC"/>
    <w:rsid w:val="00944B62"/>
    <w:rsid w:val="00944C7D"/>
    <w:rsid w:val="00944FA2"/>
    <w:rsid w:val="00944FC9"/>
    <w:rsid w:val="00945033"/>
    <w:rsid w:val="0094506A"/>
    <w:rsid w:val="00945283"/>
    <w:rsid w:val="009452F6"/>
    <w:rsid w:val="0094546E"/>
    <w:rsid w:val="009457ED"/>
    <w:rsid w:val="009459B3"/>
    <w:rsid w:val="00945A76"/>
    <w:rsid w:val="00945DB5"/>
    <w:rsid w:val="00945E93"/>
    <w:rsid w:val="0094622C"/>
    <w:rsid w:val="00946411"/>
    <w:rsid w:val="00946543"/>
    <w:rsid w:val="009466A8"/>
    <w:rsid w:val="00946724"/>
    <w:rsid w:val="0094672A"/>
    <w:rsid w:val="00946A8F"/>
    <w:rsid w:val="00946C2D"/>
    <w:rsid w:val="00946C9B"/>
    <w:rsid w:val="00946CD2"/>
    <w:rsid w:val="00946D74"/>
    <w:rsid w:val="00946FAA"/>
    <w:rsid w:val="009472C0"/>
    <w:rsid w:val="00947412"/>
    <w:rsid w:val="009474DD"/>
    <w:rsid w:val="009477B3"/>
    <w:rsid w:val="00947826"/>
    <w:rsid w:val="00947851"/>
    <w:rsid w:val="0094787A"/>
    <w:rsid w:val="00947C26"/>
    <w:rsid w:val="00947C30"/>
    <w:rsid w:val="00947C65"/>
    <w:rsid w:val="00947C8F"/>
    <w:rsid w:val="00947E75"/>
    <w:rsid w:val="00947FCA"/>
    <w:rsid w:val="009500B0"/>
    <w:rsid w:val="00950375"/>
    <w:rsid w:val="00950758"/>
    <w:rsid w:val="0095075C"/>
    <w:rsid w:val="0095080C"/>
    <w:rsid w:val="00950A5E"/>
    <w:rsid w:val="00950B83"/>
    <w:rsid w:val="00951003"/>
    <w:rsid w:val="00951165"/>
    <w:rsid w:val="0095133A"/>
    <w:rsid w:val="00951498"/>
    <w:rsid w:val="00951BBA"/>
    <w:rsid w:val="00951DC8"/>
    <w:rsid w:val="00951ED4"/>
    <w:rsid w:val="0095217E"/>
    <w:rsid w:val="00952264"/>
    <w:rsid w:val="009524DB"/>
    <w:rsid w:val="009525AD"/>
    <w:rsid w:val="0095263F"/>
    <w:rsid w:val="00952759"/>
    <w:rsid w:val="00952773"/>
    <w:rsid w:val="00952A71"/>
    <w:rsid w:val="00952D22"/>
    <w:rsid w:val="0095302E"/>
    <w:rsid w:val="009530C2"/>
    <w:rsid w:val="00953458"/>
    <w:rsid w:val="00953480"/>
    <w:rsid w:val="009535BA"/>
    <w:rsid w:val="00953783"/>
    <w:rsid w:val="009539FE"/>
    <w:rsid w:val="00953A74"/>
    <w:rsid w:val="0095436F"/>
    <w:rsid w:val="009543F5"/>
    <w:rsid w:val="00954611"/>
    <w:rsid w:val="00954618"/>
    <w:rsid w:val="00954AA0"/>
    <w:rsid w:val="0095523C"/>
    <w:rsid w:val="00955340"/>
    <w:rsid w:val="00955568"/>
    <w:rsid w:val="00955621"/>
    <w:rsid w:val="0095575D"/>
    <w:rsid w:val="009557F5"/>
    <w:rsid w:val="00955838"/>
    <w:rsid w:val="00955965"/>
    <w:rsid w:val="00955A2E"/>
    <w:rsid w:val="00955B5F"/>
    <w:rsid w:val="00955EE5"/>
    <w:rsid w:val="00956567"/>
    <w:rsid w:val="009567D1"/>
    <w:rsid w:val="00956963"/>
    <w:rsid w:val="00956A17"/>
    <w:rsid w:val="00956AC1"/>
    <w:rsid w:val="00956F4C"/>
    <w:rsid w:val="009573A2"/>
    <w:rsid w:val="009573D1"/>
    <w:rsid w:val="009575C8"/>
    <w:rsid w:val="0095788F"/>
    <w:rsid w:val="00957B24"/>
    <w:rsid w:val="00957DFC"/>
    <w:rsid w:val="00957E7B"/>
    <w:rsid w:val="00957E9D"/>
    <w:rsid w:val="00960257"/>
    <w:rsid w:val="00960924"/>
    <w:rsid w:val="00961017"/>
    <w:rsid w:val="00961140"/>
    <w:rsid w:val="00961484"/>
    <w:rsid w:val="009614AA"/>
    <w:rsid w:val="009618B6"/>
    <w:rsid w:val="0096199F"/>
    <w:rsid w:val="00961A6C"/>
    <w:rsid w:val="00961ECB"/>
    <w:rsid w:val="00961FE0"/>
    <w:rsid w:val="0096231F"/>
    <w:rsid w:val="00962574"/>
    <w:rsid w:val="00962593"/>
    <w:rsid w:val="00962661"/>
    <w:rsid w:val="009627AC"/>
    <w:rsid w:val="009627F5"/>
    <w:rsid w:val="00962B5D"/>
    <w:rsid w:val="00962C26"/>
    <w:rsid w:val="00962EAA"/>
    <w:rsid w:val="00963013"/>
    <w:rsid w:val="009633F7"/>
    <w:rsid w:val="0096357B"/>
    <w:rsid w:val="009636BB"/>
    <w:rsid w:val="0096377F"/>
    <w:rsid w:val="009638D1"/>
    <w:rsid w:val="0096391F"/>
    <w:rsid w:val="00963A2A"/>
    <w:rsid w:val="00963CFA"/>
    <w:rsid w:val="00964048"/>
    <w:rsid w:val="0096425F"/>
    <w:rsid w:val="009642DB"/>
    <w:rsid w:val="0096460A"/>
    <w:rsid w:val="009646A6"/>
    <w:rsid w:val="009646F1"/>
    <w:rsid w:val="00964759"/>
    <w:rsid w:val="00964858"/>
    <w:rsid w:val="00964860"/>
    <w:rsid w:val="00964BC7"/>
    <w:rsid w:val="00964BCA"/>
    <w:rsid w:val="00964E27"/>
    <w:rsid w:val="00964F85"/>
    <w:rsid w:val="009652FA"/>
    <w:rsid w:val="0096537C"/>
    <w:rsid w:val="0096552D"/>
    <w:rsid w:val="00965801"/>
    <w:rsid w:val="00965885"/>
    <w:rsid w:val="0096592C"/>
    <w:rsid w:val="00965C6C"/>
    <w:rsid w:val="00966352"/>
    <w:rsid w:val="009663FC"/>
    <w:rsid w:val="009663FF"/>
    <w:rsid w:val="00966522"/>
    <w:rsid w:val="009668A3"/>
    <w:rsid w:val="009668C9"/>
    <w:rsid w:val="0096694F"/>
    <w:rsid w:val="00966AD1"/>
    <w:rsid w:val="00966C7C"/>
    <w:rsid w:val="00966D78"/>
    <w:rsid w:val="00966DD5"/>
    <w:rsid w:val="00966DD7"/>
    <w:rsid w:val="00966F05"/>
    <w:rsid w:val="00966F2E"/>
    <w:rsid w:val="009671CC"/>
    <w:rsid w:val="00967233"/>
    <w:rsid w:val="0096743C"/>
    <w:rsid w:val="009674F2"/>
    <w:rsid w:val="00967630"/>
    <w:rsid w:val="00967642"/>
    <w:rsid w:val="009676E0"/>
    <w:rsid w:val="009678E7"/>
    <w:rsid w:val="00967A40"/>
    <w:rsid w:val="00967CD1"/>
    <w:rsid w:val="00967E3F"/>
    <w:rsid w:val="00970115"/>
    <w:rsid w:val="00970550"/>
    <w:rsid w:val="00970582"/>
    <w:rsid w:val="00970617"/>
    <w:rsid w:val="009707F3"/>
    <w:rsid w:val="009708A7"/>
    <w:rsid w:val="00970A83"/>
    <w:rsid w:val="00970B5B"/>
    <w:rsid w:val="00970C35"/>
    <w:rsid w:val="00971002"/>
    <w:rsid w:val="00971397"/>
    <w:rsid w:val="0097144D"/>
    <w:rsid w:val="00971805"/>
    <w:rsid w:val="00971848"/>
    <w:rsid w:val="00971ABE"/>
    <w:rsid w:val="00971CC0"/>
    <w:rsid w:val="009720C8"/>
    <w:rsid w:val="00972202"/>
    <w:rsid w:val="00972789"/>
    <w:rsid w:val="00972A4A"/>
    <w:rsid w:val="00972B51"/>
    <w:rsid w:val="00972BB7"/>
    <w:rsid w:val="00972E44"/>
    <w:rsid w:val="00972E80"/>
    <w:rsid w:val="00972EFA"/>
    <w:rsid w:val="009730BF"/>
    <w:rsid w:val="009731E9"/>
    <w:rsid w:val="0097364F"/>
    <w:rsid w:val="009737A2"/>
    <w:rsid w:val="009737E5"/>
    <w:rsid w:val="00973A21"/>
    <w:rsid w:val="00973A88"/>
    <w:rsid w:val="00973AE8"/>
    <w:rsid w:val="00973CC8"/>
    <w:rsid w:val="00973DA1"/>
    <w:rsid w:val="009740F8"/>
    <w:rsid w:val="00974283"/>
    <w:rsid w:val="0097436C"/>
    <w:rsid w:val="00974609"/>
    <w:rsid w:val="00974654"/>
    <w:rsid w:val="00974706"/>
    <w:rsid w:val="00974BAF"/>
    <w:rsid w:val="00974E2F"/>
    <w:rsid w:val="00974E87"/>
    <w:rsid w:val="00974E9A"/>
    <w:rsid w:val="00975089"/>
    <w:rsid w:val="0097509A"/>
    <w:rsid w:val="0097522D"/>
    <w:rsid w:val="009752F0"/>
    <w:rsid w:val="009756EB"/>
    <w:rsid w:val="00975769"/>
    <w:rsid w:val="00975A90"/>
    <w:rsid w:val="00975DAD"/>
    <w:rsid w:val="00975E1B"/>
    <w:rsid w:val="00975F2D"/>
    <w:rsid w:val="00976310"/>
    <w:rsid w:val="0097642C"/>
    <w:rsid w:val="009764FF"/>
    <w:rsid w:val="00976607"/>
    <w:rsid w:val="0097670B"/>
    <w:rsid w:val="00976751"/>
    <w:rsid w:val="00976910"/>
    <w:rsid w:val="00976A61"/>
    <w:rsid w:val="00976AB4"/>
    <w:rsid w:val="00976B1C"/>
    <w:rsid w:val="00976DDE"/>
    <w:rsid w:val="00976E18"/>
    <w:rsid w:val="00976F1E"/>
    <w:rsid w:val="00976F5D"/>
    <w:rsid w:val="00976FC6"/>
    <w:rsid w:val="0097717D"/>
    <w:rsid w:val="0097743C"/>
    <w:rsid w:val="009774A4"/>
    <w:rsid w:val="0097762C"/>
    <w:rsid w:val="00977D58"/>
    <w:rsid w:val="00977E7F"/>
    <w:rsid w:val="00977F09"/>
    <w:rsid w:val="00977F1A"/>
    <w:rsid w:val="00977FCF"/>
    <w:rsid w:val="009801D9"/>
    <w:rsid w:val="0098059D"/>
    <w:rsid w:val="009805AC"/>
    <w:rsid w:val="009807B3"/>
    <w:rsid w:val="009808FE"/>
    <w:rsid w:val="00980D11"/>
    <w:rsid w:val="00980D93"/>
    <w:rsid w:val="00980F1B"/>
    <w:rsid w:val="0098104B"/>
    <w:rsid w:val="00981337"/>
    <w:rsid w:val="00981390"/>
    <w:rsid w:val="00981494"/>
    <w:rsid w:val="00981513"/>
    <w:rsid w:val="009818B4"/>
    <w:rsid w:val="00981B35"/>
    <w:rsid w:val="00981C09"/>
    <w:rsid w:val="00981C29"/>
    <w:rsid w:val="00981EE8"/>
    <w:rsid w:val="00982193"/>
    <w:rsid w:val="00982299"/>
    <w:rsid w:val="0098264E"/>
    <w:rsid w:val="009827A2"/>
    <w:rsid w:val="0098298F"/>
    <w:rsid w:val="00982ECF"/>
    <w:rsid w:val="0098327F"/>
    <w:rsid w:val="009832DE"/>
    <w:rsid w:val="0098350F"/>
    <w:rsid w:val="00983711"/>
    <w:rsid w:val="00983826"/>
    <w:rsid w:val="0098442C"/>
    <w:rsid w:val="00984635"/>
    <w:rsid w:val="00984659"/>
    <w:rsid w:val="009846C1"/>
    <w:rsid w:val="009846CE"/>
    <w:rsid w:val="0098484A"/>
    <w:rsid w:val="00984A67"/>
    <w:rsid w:val="00984B38"/>
    <w:rsid w:val="00984E43"/>
    <w:rsid w:val="00984F0C"/>
    <w:rsid w:val="009852C3"/>
    <w:rsid w:val="00985A27"/>
    <w:rsid w:val="00985A71"/>
    <w:rsid w:val="00985BB3"/>
    <w:rsid w:val="00985E64"/>
    <w:rsid w:val="00985F52"/>
    <w:rsid w:val="00986477"/>
    <w:rsid w:val="00986492"/>
    <w:rsid w:val="00986557"/>
    <w:rsid w:val="0098678E"/>
    <w:rsid w:val="009867B0"/>
    <w:rsid w:val="009868C4"/>
    <w:rsid w:val="00986957"/>
    <w:rsid w:val="00986AEE"/>
    <w:rsid w:val="00986C09"/>
    <w:rsid w:val="00986D40"/>
    <w:rsid w:val="00986D7A"/>
    <w:rsid w:val="00986F49"/>
    <w:rsid w:val="00986F98"/>
    <w:rsid w:val="009871A4"/>
    <w:rsid w:val="00987331"/>
    <w:rsid w:val="00987345"/>
    <w:rsid w:val="009874E6"/>
    <w:rsid w:val="0098766B"/>
    <w:rsid w:val="00987870"/>
    <w:rsid w:val="009879AD"/>
    <w:rsid w:val="009879FC"/>
    <w:rsid w:val="00987BA7"/>
    <w:rsid w:val="00987C47"/>
    <w:rsid w:val="009900C5"/>
    <w:rsid w:val="00990299"/>
    <w:rsid w:val="0099031E"/>
    <w:rsid w:val="00990398"/>
    <w:rsid w:val="0099047D"/>
    <w:rsid w:val="0099047E"/>
    <w:rsid w:val="009904AC"/>
    <w:rsid w:val="009904E9"/>
    <w:rsid w:val="009905A7"/>
    <w:rsid w:val="00990628"/>
    <w:rsid w:val="009906E4"/>
    <w:rsid w:val="009906E7"/>
    <w:rsid w:val="009906EF"/>
    <w:rsid w:val="00990DAA"/>
    <w:rsid w:val="009911BB"/>
    <w:rsid w:val="0099124C"/>
    <w:rsid w:val="0099140B"/>
    <w:rsid w:val="00991481"/>
    <w:rsid w:val="009917BE"/>
    <w:rsid w:val="00991872"/>
    <w:rsid w:val="00991B2C"/>
    <w:rsid w:val="00992000"/>
    <w:rsid w:val="0099214D"/>
    <w:rsid w:val="009924DB"/>
    <w:rsid w:val="009925F2"/>
    <w:rsid w:val="00992646"/>
    <w:rsid w:val="00992B39"/>
    <w:rsid w:val="00992EEB"/>
    <w:rsid w:val="00992F87"/>
    <w:rsid w:val="00992F8C"/>
    <w:rsid w:val="009934EF"/>
    <w:rsid w:val="009936AA"/>
    <w:rsid w:val="00993740"/>
    <w:rsid w:val="00993ACB"/>
    <w:rsid w:val="00993B56"/>
    <w:rsid w:val="00993D01"/>
    <w:rsid w:val="00993D94"/>
    <w:rsid w:val="00993F26"/>
    <w:rsid w:val="009942DF"/>
    <w:rsid w:val="00994554"/>
    <w:rsid w:val="0099472E"/>
    <w:rsid w:val="009949FE"/>
    <w:rsid w:val="00994A48"/>
    <w:rsid w:val="00994AB1"/>
    <w:rsid w:val="00994B97"/>
    <w:rsid w:val="00994BE3"/>
    <w:rsid w:val="00994D9F"/>
    <w:rsid w:val="00994E16"/>
    <w:rsid w:val="00994E18"/>
    <w:rsid w:val="00994E93"/>
    <w:rsid w:val="00994FE1"/>
    <w:rsid w:val="009951F4"/>
    <w:rsid w:val="0099527F"/>
    <w:rsid w:val="00995568"/>
    <w:rsid w:val="0099598D"/>
    <w:rsid w:val="00995AC0"/>
    <w:rsid w:val="00995B2A"/>
    <w:rsid w:val="00995B85"/>
    <w:rsid w:val="00995D2F"/>
    <w:rsid w:val="00995D3F"/>
    <w:rsid w:val="00995DD5"/>
    <w:rsid w:val="00996007"/>
    <w:rsid w:val="00996480"/>
    <w:rsid w:val="00996523"/>
    <w:rsid w:val="0099660A"/>
    <w:rsid w:val="00996708"/>
    <w:rsid w:val="00996898"/>
    <w:rsid w:val="009969BD"/>
    <w:rsid w:val="00996AE8"/>
    <w:rsid w:val="00996BC2"/>
    <w:rsid w:val="00996C01"/>
    <w:rsid w:val="00996D5E"/>
    <w:rsid w:val="00996E15"/>
    <w:rsid w:val="00996E78"/>
    <w:rsid w:val="0099703F"/>
    <w:rsid w:val="00997346"/>
    <w:rsid w:val="009975E0"/>
    <w:rsid w:val="00997731"/>
    <w:rsid w:val="00997930"/>
    <w:rsid w:val="00997B83"/>
    <w:rsid w:val="00997F18"/>
    <w:rsid w:val="00997F1A"/>
    <w:rsid w:val="00997F48"/>
    <w:rsid w:val="009A0062"/>
    <w:rsid w:val="009A040E"/>
    <w:rsid w:val="009A0440"/>
    <w:rsid w:val="009A0495"/>
    <w:rsid w:val="009A0594"/>
    <w:rsid w:val="009A05BD"/>
    <w:rsid w:val="009A0852"/>
    <w:rsid w:val="009A0A9B"/>
    <w:rsid w:val="009A0B1A"/>
    <w:rsid w:val="009A0B79"/>
    <w:rsid w:val="009A0BF6"/>
    <w:rsid w:val="009A1072"/>
    <w:rsid w:val="009A10F5"/>
    <w:rsid w:val="009A1167"/>
    <w:rsid w:val="009A16B4"/>
    <w:rsid w:val="009A187D"/>
    <w:rsid w:val="009A18C3"/>
    <w:rsid w:val="009A1BB6"/>
    <w:rsid w:val="009A1C08"/>
    <w:rsid w:val="009A1CE8"/>
    <w:rsid w:val="009A1D61"/>
    <w:rsid w:val="009A1DD1"/>
    <w:rsid w:val="009A1FA4"/>
    <w:rsid w:val="009A237D"/>
    <w:rsid w:val="009A2590"/>
    <w:rsid w:val="009A259D"/>
    <w:rsid w:val="009A2837"/>
    <w:rsid w:val="009A2A63"/>
    <w:rsid w:val="009A2CD4"/>
    <w:rsid w:val="009A2DC3"/>
    <w:rsid w:val="009A2E8F"/>
    <w:rsid w:val="009A3189"/>
    <w:rsid w:val="009A3211"/>
    <w:rsid w:val="009A368E"/>
    <w:rsid w:val="009A38FD"/>
    <w:rsid w:val="009A39CF"/>
    <w:rsid w:val="009A3CD4"/>
    <w:rsid w:val="009A3D7E"/>
    <w:rsid w:val="009A3E58"/>
    <w:rsid w:val="009A3EDC"/>
    <w:rsid w:val="009A40A4"/>
    <w:rsid w:val="009A4177"/>
    <w:rsid w:val="009A41E6"/>
    <w:rsid w:val="009A4332"/>
    <w:rsid w:val="009A4627"/>
    <w:rsid w:val="009A4660"/>
    <w:rsid w:val="009A4BC8"/>
    <w:rsid w:val="009A4DC8"/>
    <w:rsid w:val="009A4F52"/>
    <w:rsid w:val="009A4FEF"/>
    <w:rsid w:val="009A530E"/>
    <w:rsid w:val="009A57B8"/>
    <w:rsid w:val="009A57D0"/>
    <w:rsid w:val="009A57E7"/>
    <w:rsid w:val="009A5819"/>
    <w:rsid w:val="009A58A2"/>
    <w:rsid w:val="009A5BDA"/>
    <w:rsid w:val="009A5C89"/>
    <w:rsid w:val="009A6237"/>
    <w:rsid w:val="009A632B"/>
    <w:rsid w:val="009A6539"/>
    <w:rsid w:val="009A65D0"/>
    <w:rsid w:val="009A667C"/>
    <w:rsid w:val="009A67EE"/>
    <w:rsid w:val="009A693B"/>
    <w:rsid w:val="009A69CD"/>
    <w:rsid w:val="009A6BFE"/>
    <w:rsid w:val="009A6ECB"/>
    <w:rsid w:val="009A6FBA"/>
    <w:rsid w:val="009A6FE1"/>
    <w:rsid w:val="009A71AF"/>
    <w:rsid w:val="009A71CE"/>
    <w:rsid w:val="009A72FA"/>
    <w:rsid w:val="009A7324"/>
    <w:rsid w:val="009A7393"/>
    <w:rsid w:val="009A7654"/>
    <w:rsid w:val="009A7851"/>
    <w:rsid w:val="009A7AF9"/>
    <w:rsid w:val="009A7DE1"/>
    <w:rsid w:val="009A7E1A"/>
    <w:rsid w:val="009A7E4A"/>
    <w:rsid w:val="009A7F64"/>
    <w:rsid w:val="009B0009"/>
    <w:rsid w:val="009B0251"/>
    <w:rsid w:val="009B08F0"/>
    <w:rsid w:val="009B0C34"/>
    <w:rsid w:val="009B0CE5"/>
    <w:rsid w:val="009B0D11"/>
    <w:rsid w:val="009B111F"/>
    <w:rsid w:val="009B1735"/>
    <w:rsid w:val="009B1D4A"/>
    <w:rsid w:val="009B1F62"/>
    <w:rsid w:val="009B227F"/>
    <w:rsid w:val="009B234B"/>
    <w:rsid w:val="009B234C"/>
    <w:rsid w:val="009B23CE"/>
    <w:rsid w:val="009B2624"/>
    <w:rsid w:val="009B2921"/>
    <w:rsid w:val="009B2B9C"/>
    <w:rsid w:val="009B2CC9"/>
    <w:rsid w:val="009B2D74"/>
    <w:rsid w:val="009B2EFB"/>
    <w:rsid w:val="009B2F17"/>
    <w:rsid w:val="009B30D3"/>
    <w:rsid w:val="009B3397"/>
    <w:rsid w:val="009B34B8"/>
    <w:rsid w:val="009B3892"/>
    <w:rsid w:val="009B3EC6"/>
    <w:rsid w:val="009B4006"/>
    <w:rsid w:val="009B41E1"/>
    <w:rsid w:val="009B421E"/>
    <w:rsid w:val="009B4655"/>
    <w:rsid w:val="009B4657"/>
    <w:rsid w:val="009B47F8"/>
    <w:rsid w:val="009B485B"/>
    <w:rsid w:val="009B4A0F"/>
    <w:rsid w:val="009B4A40"/>
    <w:rsid w:val="009B4A45"/>
    <w:rsid w:val="009B4B31"/>
    <w:rsid w:val="009B4D66"/>
    <w:rsid w:val="009B4D88"/>
    <w:rsid w:val="009B4DD6"/>
    <w:rsid w:val="009B4FCD"/>
    <w:rsid w:val="009B5079"/>
    <w:rsid w:val="009B5098"/>
    <w:rsid w:val="009B5155"/>
    <w:rsid w:val="009B52B1"/>
    <w:rsid w:val="009B5316"/>
    <w:rsid w:val="009B5327"/>
    <w:rsid w:val="009B5709"/>
    <w:rsid w:val="009B5AB0"/>
    <w:rsid w:val="009B5CCA"/>
    <w:rsid w:val="009B5F87"/>
    <w:rsid w:val="009B6121"/>
    <w:rsid w:val="009B6402"/>
    <w:rsid w:val="009B6953"/>
    <w:rsid w:val="009B6E5F"/>
    <w:rsid w:val="009B6E6D"/>
    <w:rsid w:val="009B6FF6"/>
    <w:rsid w:val="009B7018"/>
    <w:rsid w:val="009B7033"/>
    <w:rsid w:val="009B7038"/>
    <w:rsid w:val="009B740D"/>
    <w:rsid w:val="009B745A"/>
    <w:rsid w:val="009B7542"/>
    <w:rsid w:val="009B77DC"/>
    <w:rsid w:val="009B7B2C"/>
    <w:rsid w:val="009B7CF7"/>
    <w:rsid w:val="009B7FCD"/>
    <w:rsid w:val="009C0522"/>
    <w:rsid w:val="009C052D"/>
    <w:rsid w:val="009C0581"/>
    <w:rsid w:val="009C06E2"/>
    <w:rsid w:val="009C08EC"/>
    <w:rsid w:val="009C0973"/>
    <w:rsid w:val="009C09B0"/>
    <w:rsid w:val="009C0ADE"/>
    <w:rsid w:val="009C0ED1"/>
    <w:rsid w:val="009C0F3F"/>
    <w:rsid w:val="009C1477"/>
    <w:rsid w:val="009C1766"/>
    <w:rsid w:val="009C176E"/>
    <w:rsid w:val="009C17F8"/>
    <w:rsid w:val="009C1959"/>
    <w:rsid w:val="009C1CE8"/>
    <w:rsid w:val="009C1F28"/>
    <w:rsid w:val="009C227A"/>
    <w:rsid w:val="009C239F"/>
    <w:rsid w:val="009C2411"/>
    <w:rsid w:val="009C242B"/>
    <w:rsid w:val="009C245C"/>
    <w:rsid w:val="009C2467"/>
    <w:rsid w:val="009C25A5"/>
    <w:rsid w:val="009C2762"/>
    <w:rsid w:val="009C2A12"/>
    <w:rsid w:val="009C2F29"/>
    <w:rsid w:val="009C2F30"/>
    <w:rsid w:val="009C3241"/>
    <w:rsid w:val="009C3350"/>
    <w:rsid w:val="009C3577"/>
    <w:rsid w:val="009C35BE"/>
    <w:rsid w:val="009C36C9"/>
    <w:rsid w:val="009C3BCD"/>
    <w:rsid w:val="009C3CCC"/>
    <w:rsid w:val="009C3D94"/>
    <w:rsid w:val="009C3DEB"/>
    <w:rsid w:val="009C4033"/>
    <w:rsid w:val="009C4123"/>
    <w:rsid w:val="009C4432"/>
    <w:rsid w:val="009C45CD"/>
    <w:rsid w:val="009C480B"/>
    <w:rsid w:val="009C4825"/>
    <w:rsid w:val="009C48A0"/>
    <w:rsid w:val="009C491D"/>
    <w:rsid w:val="009C4ACD"/>
    <w:rsid w:val="009C4B3E"/>
    <w:rsid w:val="009C4C5D"/>
    <w:rsid w:val="009C4C81"/>
    <w:rsid w:val="009C4F86"/>
    <w:rsid w:val="009C50D4"/>
    <w:rsid w:val="009C526F"/>
    <w:rsid w:val="009C5847"/>
    <w:rsid w:val="009C58F4"/>
    <w:rsid w:val="009C5AC3"/>
    <w:rsid w:val="009C5DE2"/>
    <w:rsid w:val="009C6351"/>
    <w:rsid w:val="009C63E7"/>
    <w:rsid w:val="009C6497"/>
    <w:rsid w:val="009C6672"/>
    <w:rsid w:val="009C68C5"/>
    <w:rsid w:val="009C692A"/>
    <w:rsid w:val="009C69FD"/>
    <w:rsid w:val="009C6C10"/>
    <w:rsid w:val="009C6C32"/>
    <w:rsid w:val="009C6FEB"/>
    <w:rsid w:val="009C7051"/>
    <w:rsid w:val="009C7368"/>
    <w:rsid w:val="009C738A"/>
    <w:rsid w:val="009C75C9"/>
    <w:rsid w:val="009C762D"/>
    <w:rsid w:val="009C7685"/>
    <w:rsid w:val="009C769C"/>
    <w:rsid w:val="009C77EF"/>
    <w:rsid w:val="009C7CEA"/>
    <w:rsid w:val="009C7F70"/>
    <w:rsid w:val="009D015D"/>
    <w:rsid w:val="009D03BA"/>
    <w:rsid w:val="009D045D"/>
    <w:rsid w:val="009D04BC"/>
    <w:rsid w:val="009D05DD"/>
    <w:rsid w:val="009D06F6"/>
    <w:rsid w:val="009D0716"/>
    <w:rsid w:val="009D0745"/>
    <w:rsid w:val="009D09F3"/>
    <w:rsid w:val="009D0C12"/>
    <w:rsid w:val="009D0DC2"/>
    <w:rsid w:val="009D10A9"/>
    <w:rsid w:val="009D11AE"/>
    <w:rsid w:val="009D11C0"/>
    <w:rsid w:val="009D11F2"/>
    <w:rsid w:val="009D131A"/>
    <w:rsid w:val="009D148E"/>
    <w:rsid w:val="009D170D"/>
    <w:rsid w:val="009D17E2"/>
    <w:rsid w:val="009D1D82"/>
    <w:rsid w:val="009D1F51"/>
    <w:rsid w:val="009D221C"/>
    <w:rsid w:val="009D2300"/>
    <w:rsid w:val="009D253B"/>
    <w:rsid w:val="009D26AD"/>
    <w:rsid w:val="009D26D4"/>
    <w:rsid w:val="009D2879"/>
    <w:rsid w:val="009D28C7"/>
    <w:rsid w:val="009D29BC"/>
    <w:rsid w:val="009D3133"/>
    <w:rsid w:val="009D32AF"/>
    <w:rsid w:val="009D3400"/>
    <w:rsid w:val="009D34D7"/>
    <w:rsid w:val="009D357A"/>
    <w:rsid w:val="009D37F5"/>
    <w:rsid w:val="009D39EE"/>
    <w:rsid w:val="009D3A64"/>
    <w:rsid w:val="009D3B40"/>
    <w:rsid w:val="009D3D4E"/>
    <w:rsid w:val="009D3D9C"/>
    <w:rsid w:val="009D3FD5"/>
    <w:rsid w:val="009D40E8"/>
    <w:rsid w:val="009D41DD"/>
    <w:rsid w:val="009D41E8"/>
    <w:rsid w:val="009D42D8"/>
    <w:rsid w:val="009D494D"/>
    <w:rsid w:val="009D49DF"/>
    <w:rsid w:val="009D4A2F"/>
    <w:rsid w:val="009D4AA9"/>
    <w:rsid w:val="009D5048"/>
    <w:rsid w:val="009D50B5"/>
    <w:rsid w:val="009D5304"/>
    <w:rsid w:val="009D5351"/>
    <w:rsid w:val="009D55C0"/>
    <w:rsid w:val="009D55F5"/>
    <w:rsid w:val="009D5776"/>
    <w:rsid w:val="009D5A98"/>
    <w:rsid w:val="009D5F4D"/>
    <w:rsid w:val="009D5F62"/>
    <w:rsid w:val="009D6167"/>
    <w:rsid w:val="009D6298"/>
    <w:rsid w:val="009D6464"/>
    <w:rsid w:val="009D66F0"/>
    <w:rsid w:val="009D6887"/>
    <w:rsid w:val="009D695C"/>
    <w:rsid w:val="009D6ACC"/>
    <w:rsid w:val="009D6BCE"/>
    <w:rsid w:val="009D6D97"/>
    <w:rsid w:val="009D6E82"/>
    <w:rsid w:val="009D6F5D"/>
    <w:rsid w:val="009D6FF9"/>
    <w:rsid w:val="009D7200"/>
    <w:rsid w:val="009D733D"/>
    <w:rsid w:val="009D7658"/>
    <w:rsid w:val="009D7874"/>
    <w:rsid w:val="009D7929"/>
    <w:rsid w:val="009D7BB9"/>
    <w:rsid w:val="009D7D10"/>
    <w:rsid w:val="009D7D12"/>
    <w:rsid w:val="009D7F23"/>
    <w:rsid w:val="009E02E7"/>
    <w:rsid w:val="009E0352"/>
    <w:rsid w:val="009E0844"/>
    <w:rsid w:val="009E093D"/>
    <w:rsid w:val="009E0BC7"/>
    <w:rsid w:val="009E0D3A"/>
    <w:rsid w:val="009E0E79"/>
    <w:rsid w:val="009E1034"/>
    <w:rsid w:val="009E121C"/>
    <w:rsid w:val="009E1258"/>
    <w:rsid w:val="009E1294"/>
    <w:rsid w:val="009E137A"/>
    <w:rsid w:val="009E1822"/>
    <w:rsid w:val="009E19CB"/>
    <w:rsid w:val="009E1A6A"/>
    <w:rsid w:val="009E1C00"/>
    <w:rsid w:val="009E1F0D"/>
    <w:rsid w:val="009E2103"/>
    <w:rsid w:val="009E213E"/>
    <w:rsid w:val="009E229C"/>
    <w:rsid w:val="009E2504"/>
    <w:rsid w:val="009E293B"/>
    <w:rsid w:val="009E2AEC"/>
    <w:rsid w:val="009E2CE3"/>
    <w:rsid w:val="009E308B"/>
    <w:rsid w:val="009E3125"/>
    <w:rsid w:val="009E335C"/>
    <w:rsid w:val="009E3379"/>
    <w:rsid w:val="009E3560"/>
    <w:rsid w:val="009E35B7"/>
    <w:rsid w:val="009E35FE"/>
    <w:rsid w:val="009E379B"/>
    <w:rsid w:val="009E3ADA"/>
    <w:rsid w:val="009E3D45"/>
    <w:rsid w:val="009E3DAB"/>
    <w:rsid w:val="009E3DB2"/>
    <w:rsid w:val="009E4875"/>
    <w:rsid w:val="009E48B2"/>
    <w:rsid w:val="009E4962"/>
    <w:rsid w:val="009E4DA9"/>
    <w:rsid w:val="009E4E06"/>
    <w:rsid w:val="009E4E9E"/>
    <w:rsid w:val="009E4EF0"/>
    <w:rsid w:val="009E5031"/>
    <w:rsid w:val="009E5230"/>
    <w:rsid w:val="009E523D"/>
    <w:rsid w:val="009E543D"/>
    <w:rsid w:val="009E5640"/>
    <w:rsid w:val="009E57C7"/>
    <w:rsid w:val="009E5810"/>
    <w:rsid w:val="009E5965"/>
    <w:rsid w:val="009E5988"/>
    <w:rsid w:val="009E5B34"/>
    <w:rsid w:val="009E5B57"/>
    <w:rsid w:val="009E5ECC"/>
    <w:rsid w:val="009E6051"/>
    <w:rsid w:val="009E6106"/>
    <w:rsid w:val="009E6714"/>
    <w:rsid w:val="009E6A72"/>
    <w:rsid w:val="009E6CB0"/>
    <w:rsid w:val="009E6D98"/>
    <w:rsid w:val="009E6F13"/>
    <w:rsid w:val="009E6F5A"/>
    <w:rsid w:val="009E7329"/>
    <w:rsid w:val="009E744F"/>
    <w:rsid w:val="009E74D6"/>
    <w:rsid w:val="009E758A"/>
    <w:rsid w:val="009E7671"/>
    <w:rsid w:val="009E7A59"/>
    <w:rsid w:val="009E7AFF"/>
    <w:rsid w:val="009E7F57"/>
    <w:rsid w:val="009E7FC1"/>
    <w:rsid w:val="009F00A2"/>
    <w:rsid w:val="009F062E"/>
    <w:rsid w:val="009F0AC5"/>
    <w:rsid w:val="009F0CDD"/>
    <w:rsid w:val="009F0D12"/>
    <w:rsid w:val="009F0D13"/>
    <w:rsid w:val="009F0D9B"/>
    <w:rsid w:val="009F1313"/>
    <w:rsid w:val="009F1B1B"/>
    <w:rsid w:val="009F1C6D"/>
    <w:rsid w:val="009F1E99"/>
    <w:rsid w:val="009F1EB0"/>
    <w:rsid w:val="009F1F91"/>
    <w:rsid w:val="009F2712"/>
    <w:rsid w:val="009F29DD"/>
    <w:rsid w:val="009F2B2F"/>
    <w:rsid w:val="009F2E53"/>
    <w:rsid w:val="009F3012"/>
    <w:rsid w:val="009F31A9"/>
    <w:rsid w:val="009F31B7"/>
    <w:rsid w:val="009F320D"/>
    <w:rsid w:val="009F326C"/>
    <w:rsid w:val="009F34CB"/>
    <w:rsid w:val="009F35EF"/>
    <w:rsid w:val="009F38A6"/>
    <w:rsid w:val="009F3962"/>
    <w:rsid w:val="009F3A2C"/>
    <w:rsid w:val="009F3BEE"/>
    <w:rsid w:val="009F3C63"/>
    <w:rsid w:val="009F3D82"/>
    <w:rsid w:val="009F3E32"/>
    <w:rsid w:val="009F3F09"/>
    <w:rsid w:val="009F454F"/>
    <w:rsid w:val="009F4610"/>
    <w:rsid w:val="009F46D9"/>
    <w:rsid w:val="009F474E"/>
    <w:rsid w:val="009F485F"/>
    <w:rsid w:val="009F4A12"/>
    <w:rsid w:val="009F4ACB"/>
    <w:rsid w:val="009F4C42"/>
    <w:rsid w:val="009F4E4A"/>
    <w:rsid w:val="009F5032"/>
    <w:rsid w:val="009F5221"/>
    <w:rsid w:val="009F5561"/>
    <w:rsid w:val="009F565F"/>
    <w:rsid w:val="009F5722"/>
    <w:rsid w:val="009F5763"/>
    <w:rsid w:val="009F58AD"/>
    <w:rsid w:val="009F598A"/>
    <w:rsid w:val="009F59E2"/>
    <w:rsid w:val="009F5AD1"/>
    <w:rsid w:val="009F5DCA"/>
    <w:rsid w:val="009F6051"/>
    <w:rsid w:val="009F608F"/>
    <w:rsid w:val="009F619A"/>
    <w:rsid w:val="009F62E4"/>
    <w:rsid w:val="009F64BD"/>
    <w:rsid w:val="009F67A0"/>
    <w:rsid w:val="009F68C8"/>
    <w:rsid w:val="009F6DC3"/>
    <w:rsid w:val="009F7057"/>
    <w:rsid w:val="009F7074"/>
    <w:rsid w:val="009F7437"/>
    <w:rsid w:val="009F75D4"/>
    <w:rsid w:val="009F7690"/>
    <w:rsid w:val="009F7900"/>
    <w:rsid w:val="009F794A"/>
    <w:rsid w:val="009F7AA7"/>
    <w:rsid w:val="009F7AB2"/>
    <w:rsid w:val="009F7ADE"/>
    <w:rsid w:val="009F7B81"/>
    <w:rsid w:val="009F7BCC"/>
    <w:rsid w:val="009F7C60"/>
    <w:rsid w:val="009F7E36"/>
    <w:rsid w:val="00A000AB"/>
    <w:rsid w:val="00A00199"/>
    <w:rsid w:val="00A00219"/>
    <w:rsid w:val="00A00635"/>
    <w:rsid w:val="00A009D2"/>
    <w:rsid w:val="00A00A53"/>
    <w:rsid w:val="00A00AB5"/>
    <w:rsid w:val="00A00AE4"/>
    <w:rsid w:val="00A00B93"/>
    <w:rsid w:val="00A00BAC"/>
    <w:rsid w:val="00A00BCA"/>
    <w:rsid w:val="00A00BE2"/>
    <w:rsid w:val="00A00CD3"/>
    <w:rsid w:val="00A00D55"/>
    <w:rsid w:val="00A01175"/>
    <w:rsid w:val="00A0140F"/>
    <w:rsid w:val="00A01A87"/>
    <w:rsid w:val="00A01C21"/>
    <w:rsid w:val="00A01C2E"/>
    <w:rsid w:val="00A01C32"/>
    <w:rsid w:val="00A01C5E"/>
    <w:rsid w:val="00A01C91"/>
    <w:rsid w:val="00A01D0F"/>
    <w:rsid w:val="00A01EE1"/>
    <w:rsid w:val="00A01F45"/>
    <w:rsid w:val="00A02015"/>
    <w:rsid w:val="00A0228E"/>
    <w:rsid w:val="00A02564"/>
    <w:rsid w:val="00A0262E"/>
    <w:rsid w:val="00A02690"/>
    <w:rsid w:val="00A02737"/>
    <w:rsid w:val="00A02C71"/>
    <w:rsid w:val="00A02D88"/>
    <w:rsid w:val="00A03039"/>
    <w:rsid w:val="00A032B5"/>
    <w:rsid w:val="00A032DC"/>
    <w:rsid w:val="00A03376"/>
    <w:rsid w:val="00A034FC"/>
    <w:rsid w:val="00A03F05"/>
    <w:rsid w:val="00A04032"/>
    <w:rsid w:val="00A04193"/>
    <w:rsid w:val="00A04830"/>
    <w:rsid w:val="00A049C3"/>
    <w:rsid w:val="00A04ADD"/>
    <w:rsid w:val="00A04BD4"/>
    <w:rsid w:val="00A04BDE"/>
    <w:rsid w:val="00A055FD"/>
    <w:rsid w:val="00A05887"/>
    <w:rsid w:val="00A0593A"/>
    <w:rsid w:val="00A05ADA"/>
    <w:rsid w:val="00A05B2D"/>
    <w:rsid w:val="00A05D67"/>
    <w:rsid w:val="00A05F0B"/>
    <w:rsid w:val="00A05F29"/>
    <w:rsid w:val="00A06179"/>
    <w:rsid w:val="00A061F6"/>
    <w:rsid w:val="00A062C7"/>
    <w:rsid w:val="00A0638F"/>
    <w:rsid w:val="00A0683B"/>
    <w:rsid w:val="00A0684C"/>
    <w:rsid w:val="00A069E8"/>
    <w:rsid w:val="00A069E9"/>
    <w:rsid w:val="00A07455"/>
    <w:rsid w:val="00A075B0"/>
    <w:rsid w:val="00A076D4"/>
    <w:rsid w:val="00A0798F"/>
    <w:rsid w:val="00A07B73"/>
    <w:rsid w:val="00A07CCF"/>
    <w:rsid w:val="00A07F36"/>
    <w:rsid w:val="00A1036F"/>
    <w:rsid w:val="00A10391"/>
    <w:rsid w:val="00A1042C"/>
    <w:rsid w:val="00A107C5"/>
    <w:rsid w:val="00A10A7C"/>
    <w:rsid w:val="00A10BF0"/>
    <w:rsid w:val="00A10DB5"/>
    <w:rsid w:val="00A10E01"/>
    <w:rsid w:val="00A10F83"/>
    <w:rsid w:val="00A1151E"/>
    <w:rsid w:val="00A118B1"/>
    <w:rsid w:val="00A11984"/>
    <w:rsid w:val="00A11C0D"/>
    <w:rsid w:val="00A12393"/>
    <w:rsid w:val="00A125BD"/>
    <w:rsid w:val="00A126E7"/>
    <w:rsid w:val="00A12732"/>
    <w:rsid w:val="00A127FC"/>
    <w:rsid w:val="00A128EC"/>
    <w:rsid w:val="00A12A4D"/>
    <w:rsid w:val="00A12CDF"/>
    <w:rsid w:val="00A12DAB"/>
    <w:rsid w:val="00A12FED"/>
    <w:rsid w:val="00A130F0"/>
    <w:rsid w:val="00A133E5"/>
    <w:rsid w:val="00A1341C"/>
    <w:rsid w:val="00A1374A"/>
    <w:rsid w:val="00A13891"/>
    <w:rsid w:val="00A138FF"/>
    <w:rsid w:val="00A13956"/>
    <w:rsid w:val="00A13A36"/>
    <w:rsid w:val="00A13CB0"/>
    <w:rsid w:val="00A13EFD"/>
    <w:rsid w:val="00A140EF"/>
    <w:rsid w:val="00A14174"/>
    <w:rsid w:val="00A14188"/>
    <w:rsid w:val="00A14297"/>
    <w:rsid w:val="00A14313"/>
    <w:rsid w:val="00A1435E"/>
    <w:rsid w:val="00A14670"/>
    <w:rsid w:val="00A14696"/>
    <w:rsid w:val="00A14827"/>
    <w:rsid w:val="00A148E5"/>
    <w:rsid w:val="00A14AFF"/>
    <w:rsid w:val="00A14B4A"/>
    <w:rsid w:val="00A14BA5"/>
    <w:rsid w:val="00A14BBD"/>
    <w:rsid w:val="00A14C47"/>
    <w:rsid w:val="00A150C5"/>
    <w:rsid w:val="00A152E2"/>
    <w:rsid w:val="00A155B7"/>
    <w:rsid w:val="00A156AC"/>
    <w:rsid w:val="00A157E3"/>
    <w:rsid w:val="00A15877"/>
    <w:rsid w:val="00A15894"/>
    <w:rsid w:val="00A159CF"/>
    <w:rsid w:val="00A15A9A"/>
    <w:rsid w:val="00A15C02"/>
    <w:rsid w:val="00A15C88"/>
    <w:rsid w:val="00A15D0E"/>
    <w:rsid w:val="00A16306"/>
    <w:rsid w:val="00A163B4"/>
    <w:rsid w:val="00A1647E"/>
    <w:rsid w:val="00A16539"/>
    <w:rsid w:val="00A166D7"/>
    <w:rsid w:val="00A16CB3"/>
    <w:rsid w:val="00A16DCA"/>
    <w:rsid w:val="00A16E17"/>
    <w:rsid w:val="00A17355"/>
    <w:rsid w:val="00A17472"/>
    <w:rsid w:val="00A178D2"/>
    <w:rsid w:val="00A17948"/>
    <w:rsid w:val="00A17FD1"/>
    <w:rsid w:val="00A20194"/>
    <w:rsid w:val="00A2021D"/>
    <w:rsid w:val="00A204F9"/>
    <w:rsid w:val="00A206CF"/>
    <w:rsid w:val="00A206ED"/>
    <w:rsid w:val="00A20A29"/>
    <w:rsid w:val="00A20C31"/>
    <w:rsid w:val="00A2146F"/>
    <w:rsid w:val="00A217E4"/>
    <w:rsid w:val="00A219AC"/>
    <w:rsid w:val="00A21CAA"/>
    <w:rsid w:val="00A21CB2"/>
    <w:rsid w:val="00A21D89"/>
    <w:rsid w:val="00A22129"/>
    <w:rsid w:val="00A22364"/>
    <w:rsid w:val="00A2239D"/>
    <w:rsid w:val="00A229A5"/>
    <w:rsid w:val="00A22B6E"/>
    <w:rsid w:val="00A22CAD"/>
    <w:rsid w:val="00A22CFA"/>
    <w:rsid w:val="00A22D51"/>
    <w:rsid w:val="00A22EAD"/>
    <w:rsid w:val="00A2355C"/>
    <w:rsid w:val="00A23583"/>
    <w:rsid w:val="00A23614"/>
    <w:rsid w:val="00A236EA"/>
    <w:rsid w:val="00A237AA"/>
    <w:rsid w:val="00A23A0E"/>
    <w:rsid w:val="00A23C0D"/>
    <w:rsid w:val="00A23D1D"/>
    <w:rsid w:val="00A241D9"/>
    <w:rsid w:val="00A2433D"/>
    <w:rsid w:val="00A24351"/>
    <w:rsid w:val="00A24366"/>
    <w:rsid w:val="00A2439E"/>
    <w:rsid w:val="00A245F9"/>
    <w:rsid w:val="00A248A2"/>
    <w:rsid w:val="00A248D7"/>
    <w:rsid w:val="00A24985"/>
    <w:rsid w:val="00A24A49"/>
    <w:rsid w:val="00A24AC3"/>
    <w:rsid w:val="00A24CE5"/>
    <w:rsid w:val="00A24CF9"/>
    <w:rsid w:val="00A24E82"/>
    <w:rsid w:val="00A25229"/>
    <w:rsid w:val="00A252BA"/>
    <w:rsid w:val="00A252F3"/>
    <w:rsid w:val="00A25504"/>
    <w:rsid w:val="00A25A35"/>
    <w:rsid w:val="00A25ECA"/>
    <w:rsid w:val="00A2620E"/>
    <w:rsid w:val="00A2662F"/>
    <w:rsid w:val="00A26724"/>
    <w:rsid w:val="00A267BB"/>
    <w:rsid w:val="00A26CBF"/>
    <w:rsid w:val="00A26E18"/>
    <w:rsid w:val="00A26F60"/>
    <w:rsid w:val="00A26FCD"/>
    <w:rsid w:val="00A27083"/>
    <w:rsid w:val="00A2718D"/>
    <w:rsid w:val="00A27261"/>
    <w:rsid w:val="00A27281"/>
    <w:rsid w:val="00A273E5"/>
    <w:rsid w:val="00A276BF"/>
    <w:rsid w:val="00A2783E"/>
    <w:rsid w:val="00A2793A"/>
    <w:rsid w:val="00A27BA7"/>
    <w:rsid w:val="00A27E76"/>
    <w:rsid w:val="00A27F11"/>
    <w:rsid w:val="00A30040"/>
    <w:rsid w:val="00A306D4"/>
    <w:rsid w:val="00A30847"/>
    <w:rsid w:val="00A30985"/>
    <w:rsid w:val="00A30C33"/>
    <w:rsid w:val="00A30CD6"/>
    <w:rsid w:val="00A30E28"/>
    <w:rsid w:val="00A30F53"/>
    <w:rsid w:val="00A311C6"/>
    <w:rsid w:val="00A3125B"/>
    <w:rsid w:val="00A31280"/>
    <w:rsid w:val="00A31395"/>
    <w:rsid w:val="00A31423"/>
    <w:rsid w:val="00A3166B"/>
    <w:rsid w:val="00A3192B"/>
    <w:rsid w:val="00A31B3E"/>
    <w:rsid w:val="00A31C65"/>
    <w:rsid w:val="00A31CDF"/>
    <w:rsid w:val="00A31DDA"/>
    <w:rsid w:val="00A31E8B"/>
    <w:rsid w:val="00A31F4A"/>
    <w:rsid w:val="00A32129"/>
    <w:rsid w:val="00A3214B"/>
    <w:rsid w:val="00A322A5"/>
    <w:rsid w:val="00A32301"/>
    <w:rsid w:val="00A324FA"/>
    <w:rsid w:val="00A32575"/>
    <w:rsid w:val="00A331E0"/>
    <w:rsid w:val="00A332EE"/>
    <w:rsid w:val="00A33314"/>
    <w:rsid w:val="00A33A25"/>
    <w:rsid w:val="00A33A36"/>
    <w:rsid w:val="00A33A4D"/>
    <w:rsid w:val="00A33FD8"/>
    <w:rsid w:val="00A33FE2"/>
    <w:rsid w:val="00A3414E"/>
    <w:rsid w:val="00A34214"/>
    <w:rsid w:val="00A34566"/>
    <w:rsid w:val="00A345CE"/>
    <w:rsid w:val="00A347C6"/>
    <w:rsid w:val="00A3486F"/>
    <w:rsid w:val="00A3492D"/>
    <w:rsid w:val="00A349D3"/>
    <w:rsid w:val="00A34A8C"/>
    <w:rsid w:val="00A34CB8"/>
    <w:rsid w:val="00A35060"/>
    <w:rsid w:val="00A35094"/>
    <w:rsid w:val="00A3516D"/>
    <w:rsid w:val="00A3528C"/>
    <w:rsid w:val="00A354E4"/>
    <w:rsid w:val="00A355F4"/>
    <w:rsid w:val="00A357D9"/>
    <w:rsid w:val="00A3589F"/>
    <w:rsid w:val="00A35C3C"/>
    <w:rsid w:val="00A35C92"/>
    <w:rsid w:val="00A35F6B"/>
    <w:rsid w:val="00A361D0"/>
    <w:rsid w:val="00A361EB"/>
    <w:rsid w:val="00A3627A"/>
    <w:rsid w:val="00A36390"/>
    <w:rsid w:val="00A36570"/>
    <w:rsid w:val="00A36736"/>
    <w:rsid w:val="00A36B0B"/>
    <w:rsid w:val="00A36D4E"/>
    <w:rsid w:val="00A36D66"/>
    <w:rsid w:val="00A37159"/>
    <w:rsid w:val="00A37449"/>
    <w:rsid w:val="00A3788A"/>
    <w:rsid w:val="00A37896"/>
    <w:rsid w:val="00A4003F"/>
    <w:rsid w:val="00A400A4"/>
    <w:rsid w:val="00A40389"/>
    <w:rsid w:val="00A4044E"/>
    <w:rsid w:val="00A407D9"/>
    <w:rsid w:val="00A4096F"/>
    <w:rsid w:val="00A40A2C"/>
    <w:rsid w:val="00A40BD4"/>
    <w:rsid w:val="00A40E24"/>
    <w:rsid w:val="00A40E6D"/>
    <w:rsid w:val="00A40FD0"/>
    <w:rsid w:val="00A4144E"/>
    <w:rsid w:val="00A414C3"/>
    <w:rsid w:val="00A4178B"/>
    <w:rsid w:val="00A41926"/>
    <w:rsid w:val="00A41B02"/>
    <w:rsid w:val="00A41D53"/>
    <w:rsid w:val="00A41E83"/>
    <w:rsid w:val="00A41F1B"/>
    <w:rsid w:val="00A42AC5"/>
    <w:rsid w:val="00A42DA0"/>
    <w:rsid w:val="00A43312"/>
    <w:rsid w:val="00A43357"/>
    <w:rsid w:val="00A43848"/>
    <w:rsid w:val="00A43962"/>
    <w:rsid w:val="00A43ACC"/>
    <w:rsid w:val="00A43B26"/>
    <w:rsid w:val="00A43BAD"/>
    <w:rsid w:val="00A43EA9"/>
    <w:rsid w:val="00A440BC"/>
    <w:rsid w:val="00A440DB"/>
    <w:rsid w:val="00A4428A"/>
    <w:rsid w:val="00A4430D"/>
    <w:rsid w:val="00A44548"/>
    <w:rsid w:val="00A445D2"/>
    <w:rsid w:val="00A44A4E"/>
    <w:rsid w:val="00A44EFB"/>
    <w:rsid w:val="00A45033"/>
    <w:rsid w:val="00A454C2"/>
    <w:rsid w:val="00A45755"/>
    <w:rsid w:val="00A457C4"/>
    <w:rsid w:val="00A45B9B"/>
    <w:rsid w:val="00A45BA9"/>
    <w:rsid w:val="00A45E71"/>
    <w:rsid w:val="00A46135"/>
    <w:rsid w:val="00A46165"/>
    <w:rsid w:val="00A46433"/>
    <w:rsid w:val="00A4658B"/>
    <w:rsid w:val="00A4667A"/>
    <w:rsid w:val="00A46694"/>
    <w:rsid w:val="00A466A1"/>
    <w:rsid w:val="00A46A08"/>
    <w:rsid w:val="00A46BF8"/>
    <w:rsid w:val="00A46D65"/>
    <w:rsid w:val="00A46D8B"/>
    <w:rsid w:val="00A4727F"/>
    <w:rsid w:val="00A47443"/>
    <w:rsid w:val="00A4780B"/>
    <w:rsid w:val="00A4793F"/>
    <w:rsid w:val="00A47A77"/>
    <w:rsid w:val="00A47C44"/>
    <w:rsid w:val="00A47EC8"/>
    <w:rsid w:val="00A500B1"/>
    <w:rsid w:val="00A5029A"/>
    <w:rsid w:val="00A502CD"/>
    <w:rsid w:val="00A50701"/>
    <w:rsid w:val="00A50772"/>
    <w:rsid w:val="00A508A8"/>
    <w:rsid w:val="00A50DAF"/>
    <w:rsid w:val="00A510A8"/>
    <w:rsid w:val="00A511D5"/>
    <w:rsid w:val="00A5155D"/>
    <w:rsid w:val="00A51A8F"/>
    <w:rsid w:val="00A51CA6"/>
    <w:rsid w:val="00A51F1F"/>
    <w:rsid w:val="00A5201F"/>
    <w:rsid w:val="00A52164"/>
    <w:rsid w:val="00A5221E"/>
    <w:rsid w:val="00A525D5"/>
    <w:rsid w:val="00A52978"/>
    <w:rsid w:val="00A52A2E"/>
    <w:rsid w:val="00A52B32"/>
    <w:rsid w:val="00A52BBA"/>
    <w:rsid w:val="00A52E51"/>
    <w:rsid w:val="00A52F1F"/>
    <w:rsid w:val="00A5320B"/>
    <w:rsid w:val="00A532D6"/>
    <w:rsid w:val="00A536D9"/>
    <w:rsid w:val="00A53872"/>
    <w:rsid w:val="00A53BA1"/>
    <w:rsid w:val="00A53CF7"/>
    <w:rsid w:val="00A54099"/>
    <w:rsid w:val="00A548EB"/>
    <w:rsid w:val="00A54BFD"/>
    <w:rsid w:val="00A54C8F"/>
    <w:rsid w:val="00A54DCE"/>
    <w:rsid w:val="00A552A2"/>
    <w:rsid w:val="00A557CD"/>
    <w:rsid w:val="00A55ACB"/>
    <w:rsid w:val="00A55BBF"/>
    <w:rsid w:val="00A561E1"/>
    <w:rsid w:val="00A565C4"/>
    <w:rsid w:val="00A565FF"/>
    <w:rsid w:val="00A56ABB"/>
    <w:rsid w:val="00A56C17"/>
    <w:rsid w:val="00A56C3A"/>
    <w:rsid w:val="00A56C8A"/>
    <w:rsid w:val="00A570AE"/>
    <w:rsid w:val="00A57154"/>
    <w:rsid w:val="00A57739"/>
    <w:rsid w:val="00A5777D"/>
    <w:rsid w:val="00A579B4"/>
    <w:rsid w:val="00A579BA"/>
    <w:rsid w:val="00A579EC"/>
    <w:rsid w:val="00A57A39"/>
    <w:rsid w:val="00A57E92"/>
    <w:rsid w:val="00A60613"/>
    <w:rsid w:val="00A60628"/>
    <w:rsid w:val="00A60A42"/>
    <w:rsid w:val="00A60D39"/>
    <w:rsid w:val="00A60D54"/>
    <w:rsid w:val="00A60DF1"/>
    <w:rsid w:val="00A60E96"/>
    <w:rsid w:val="00A610C3"/>
    <w:rsid w:val="00A61419"/>
    <w:rsid w:val="00A61555"/>
    <w:rsid w:val="00A6155C"/>
    <w:rsid w:val="00A6179D"/>
    <w:rsid w:val="00A61950"/>
    <w:rsid w:val="00A619D8"/>
    <w:rsid w:val="00A61A8A"/>
    <w:rsid w:val="00A61FD1"/>
    <w:rsid w:val="00A620EF"/>
    <w:rsid w:val="00A62215"/>
    <w:rsid w:val="00A627DD"/>
    <w:rsid w:val="00A62C11"/>
    <w:rsid w:val="00A62C79"/>
    <w:rsid w:val="00A62CC4"/>
    <w:rsid w:val="00A62CCE"/>
    <w:rsid w:val="00A63507"/>
    <w:rsid w:val="00A63660"/>
    <w:rsid w:val="00A63796"/>
    <w:rsid w:val="00A63818"/>
    <w:rsid w:val="00A63842"/>
    <w:rsid w:val="00A63912"/>
    <w:rsid w:val="00A63B11"/>
    <w:rsid w:val="00A63CB3"/>
    <w:rsid w:val="00A63D6E"/>
    <w:rsid w:val="00A63E48"/>
    <w:rsid w:val="00A64032"/>
    <w:rsid w:val="00A644F7"/>
    <w:rsid w:val="00A645A1"/>
    <w:rsid w:val="00A647D1"/>
    <w:rsid w:val="00A64E12"/>
    <w:rsid w:val="00A650CF"/>
    <w:rsid w:val="00A651CA"/>
    <w:rsid w:val="00A65585"/>
    <w:rsid w:val="00A65716"/>
    <w:rsid w:val="00A658BF"/>
    <w:rsid w:val="00A65BB0"/>
    <w:rsid w:val="00A65C38"/>
    <w:rsid w:val="00A65C5F"/>
    <w:rsid w:val="00A6619A"/>
    <w:rsid w:val="00A668AC"/>
    <w:rsid w:val="00A66906"/>
    <w:rsid w:val="00A66C37"/>
    <w:rsid w:val="00A66E66"/>
    <w:rsid w:val="00A66F17"/>
    <w:rsid w:val="00A66F96"/>
    <w:rsid w:val="00A670DD"/>
    <w:rsid w:val="00A67167"/>
    <w:rsid w:val="00A67170"/>
    <w:rsid w:val="00A67308"/>
    <w:rsid w:val="00A674A4"/>
    <w:rsid w:val="00A67529"/>
    <w:rsid w:val="00A6757B"/>
    <w:rsid w:val="00A67884"/>
    <w:rsid w:val="00A67FB8"/>
    <w:rsid w:val="00A701BC"/>
    <w:rsid w:val="00A7044D"/>
    <w:rsid w:val="00A70498"/>
    <w:rsid w:val="00A704B0"/>
    <w:rsid w:val="00A7060E"/>
    <w:rsid w:val="00A70615"/>
    <w:rsid w:val="00A70A75"/>
    <w:rsid w:val="00A70AF4"/>
    <w:rsid w:val="00A70E6D"/>
    <w:rsid w:val="00A70ECB"/>
    <w:rsid w:val="00A7107B"/>
    <w:rsid w:val="00A712EA"/>
    <w:rsid w:val="00A712F3"/>
    <w:rsid w:val="00A71718"/>
    <w:rsid w:val="00A719B5"/>
    <w:rsid w:val="00A71BB0"/>
    <w:rsid w:val="00A71ED2"/>
    <w:rsid w:val="00A7210E"/>
    <w:rsid w:val="00A72337"/>
    <w:rsid w:val="00A723BC"/>
    <w:rsid w:val="00A7250B"/>
    <w:rsid w:val="00A72549"/>
    <w:rsid w:val="00A7276A"/>
    <w:rsid w:val="00A72E54"/>
    <w:rsid w:val="00A73012"/>
    <w:rsid w:val="00A730A8"/>
    <w:rsid w:val="00A731B8"/>
    <w:rsid w:val="00A73690"/>
    <w:rsid w:val="00A73822"/>
    <w:rsid w:val="00A73905"/>
    <w:rsid w:val="00A73988"/>
    <w:rsid w:val="00A73E4F"/>
    <w:rsid w:val="00A73F91"/>
    <w:rsid w:val="00A74383"/>
    <w:rsid w:val="00A74397"/>
    <w:rsid w:val="00A7450E"/>
    <w:rsid w:val="00A74A27"/>
    <w:rsid w:val="00A74B17"/>
    <w:rsid w:val="00A7539F"/>
    <w:rsid w:val="00A753E8"/>
    <w:rsid w:val="00A7545E"/>
    <w:rsid w:val="00A75A0E"/>
    <w:rsid w:val="00A75A8C"/>
    <w:rsid w:val="00A75B32"/>
    <w:rsid w:val="00A75B70"/>
    <w:rsid w:val="00A75FA8"/>
    <w:rsid w:val="00A7611E"/>
    <w:rsid w:val="00A761A7"/>
    <w:rsid w:val="00A76330"/>
    <w:rsid w:val="00A7669D"/>
    <w:rsid w:val="00A76B5E"/>
    <w:rsid w:val="00A76C34"/>
    <w:rsid w:val="00A76D5D"/>
    <w:rsid w:val="00A76D64"/>
    <w:rsid w:val="00A7718D"/>
    <w:rsid w:val="00A77434"/>
    <w:rsid w:val="00A77C33"/>
    <w:rsid w:val="00A77DCE"/>
    <w:rsid w:val="00A8020D"/>
    <w:rsid w:val="00A80210"/>
    <w:rsid w:val="00A803E7"/>
    <w:rsid w:val="00A808A3"/>
    <w:rsid w:val="00A80BC6"/>
    <w:rsid w:val="00A80E65"/>
    <w:rsid w:val="00A80F5A"/>
    <w:rsid w:val="00A8107C"/>
    <w:rsid w:val="00A8116B"/>
    <w:rsid w:val="00A8146F"/>
    <w:rsid w:val="00A817A7"/>
    <w:rsid w:val="00A8189E"/>
    <w:rsid w:val="00A81943"/>
    <w:rsid w:val="00A81A0F"/>
    <w:rsid w:val="00A81A4C"/>
    <w:rsid w:val="00A81B00"/>
    <w:rsid w:val="00A8205C"/>
    <w:rsid w:val="00A8214A"/>
    <w:rsid w:val="00A8227A"/>
    <w:rsid w:val="00A824A6"/>
    <w:rsid w:val="00A827A1"/>
    <w:rsid w:val="00A828DF"/>
    <w:rsid w:val="00A8297B"/>
    <w:rsid w:val="00A8298B"/>
    <w:rsid w:val="00A82C7A"/>
    <w:rsid w:val="00A82C7F"/>
    <w:rsid w:val="00A83085"/>
    <w:rsid w:val="00A831B6"/>
    <w:rsid w:val="00A83519"/>
    <w:rsid w:val="00A835C5"/>
    <w:rsid w:val="00A83832"/>
    <w:rsid w:val="00A838B9"/>
    <w:rsid w:val="00A838D9"/>
    <w:rsid w:val="00A838DC"/>
    <w:rsid w:val="00A8391D"/>
    <w:rsid w:val="00A83AD4"/>
    <w:rsid w:val="00A83B61"/>
    <w:rsid w:val="00A83D31"/>
    <w:rsid w:val="00A83D3A"/>
    <w:rsid w:val="00A84142"/>
    <w:rsid w:val="00A844E9"/>
    <w:rsid w:val="00A84888"/>
    <w:rsid w:val="00A848E6"/>
    <w:rsid w:val="00A84962"/>
    <w:rsid w:val="00A849D1"/>
    <w:rsid w:val="00A84A15"/>
    <w:rsid w:val="00A84A1E"/>
    <w:rsid w:val="00A84D95"/>
    <w:rsid w:val="00A84EE2"/>
    <w:rsid w:val="00A85161"/>
    <w:rsid w:val="00A8553B"/>
    <w:rsid w:val="00A85599"/>
    <w:rsid w:val="00A855D0"/>
    <w:rsid w:val="00A85610"/>
    <w:rsid w:val="00A8565A"/>
    <w:rsid w:val="00A85752"/>
    <w:rsid w:val="00A859EE"/>
    <w:rsid w:val="00A85A42"/>
    <w:rsid w:val="00A85DC3"/>
    <w:rsid w:val="00A85DF7"/>
    <w:rsid w:val="00A86069"/>
    <w:rsid w:val="00A860C7"/>
    <w:rsid w:val="00A864A5"/>
    <w:rsid w:val="00A86598"/>
    <w:rsid w:val="00A865AA"/>
    <w:rsid w:val="00A866BB"/>
    <w:rsid w:val="00A86863"/>
    <w:rsid w:val="00A869E0"/>
    <w:rsid w:val="00A86DB4"/>
    <w:rsid w:val="00A86DCE"/>
    <w:rsid w:val="00A86F5E"/>
    <w:rsid w:val="00A86FBC"/>
    <w:rsid w:val="00A87141"/>
    <w:rsid w:val="00A8715D"/>
    <w:rsid w:val="00A872C6"/>
    <w:rsid w:val="00A8748D"/>
    <w:rsid w:val="00A8768C"/>
    <w:rsid w:val="00A878D4"/>
    <w:rsid w:val="00A87907"/>
    <w:rsid w:val="00A87933"/>
    <w:rsid w:val="00A8799D"/>
    <w:rsid w:val="00A879DF"/>
    <w:rsid w:val="00A87AA6"/>
    <w:rsid w:val="00A87BC6"/>
    <w:rsid w:val="00A87E9B"/>
    <w:rsid w:val="00A87F97"/>
    <w:rsid w:val="00A9019B"/>
    <w:rsid w:val="00A90321"/>
    <w:rsid w:val="00A90358"/>
    <w:rsid w:val="00A90541"/>
    <w:rsid w:val="00A90660"/>
    <w:rsid w:val="00A90692"/>
    <w:rsid w:val="00A907F6"/>
    <w:rsid w:val="00A90950"/>
    <w:rsid w:val="00A90BF0"/>
    <w:rsid w:val="00A90DC0"/>
    <w:rsid w:val="00A90EEC"/>
    <w:rsid w:val="00A910E5"/>
    <w:rsid w:val="00A91192"/>
    <w:rsid w:val="00A912AF"/>
    <w:rsid w:val="00A9131B"/>
    <w:rsid w:val="00A913E6"/>
    <w:rsid w:val="00A914F6"/>
    <w:rsid w:val="00A915DD"/>
    <w:rsid w:val="00A91AF8"/>
    <w:rsid w:val="00A91DAD"/>
    <w:rsid w:val="00A91EC8"/>
    <w:rsid w:val="00A91F21"/>
    <w:rsid w:val="00A91F6E"/>
    <w:rsid w:val="00A92116"/>
    <w:rsid w:val="00A92377"/>
    <w:rsid w:val="00A92649"/>
    <w:rsid w:val="00A92903"/>
    <w:rsid w:val="00A92A35"/>
    <w:rsid w:val="00A92B99"/>
    <w:rsid w:val="00A92BA1"/>
    <w:rsid w:val="00A92C50"/>
    <w:rsid w:val="00A92D54"/>
    <w:rsid w:val="00A92E01"/>
    <w:rsid w:val="00A92F9E"/>
    <w:rsid w:val="00A92FB1"/>
    <w:rsid w:val="00A92FC2"/>
    <w:rsid w:val="00A93875"/>
    <w:rsid w:val="00A93972"/>
    <w:rsid w:val="00A9397B"/>
    <w:rsid w:val="00A93FDC"/>
    <w:rsid w:val="00A94015"/>
    <w:rsid w:val="00A9443E"/>
    <w:rsid w:val="00A944D6"/>
    <w:rsid w:val="00A94571"/>
    <w:rsid w:val="00A945C1"/>
    <w:rsid w:val="00A94742"/>
    <w:rsid w:val="00A947E6"/>
    <w:rsid w:val="00A94AE7"/>
    <w:rsid w:val="00A94B04"/>
    <w:rsid w:val="00A94C23"/>
    <w:rsid w:val="00A9507D"/>
    <w:rsid w:val="00A95233"/>
    <w:rsid w:val="00A9527A"/>
    <w:rsid w:val="00A954B1"/>
    <w:rsid w:val="00A956B5"/>
    <w:rsid w:val="00A959C6"/>
    <w:rsid w:val="00A95C80"/>
    <w:rsid w:val="00A95E01"/>
    <w:rsid w:val="00A95E95"/>
    <w:rsid w:val="00A9651E"/>
    <w:rsid w:val="00A96CC3"/>
    <w:rsid w:val="00A96DE3"/>
    <w:rsid w:val="00A96F60"/>
    <w:rsid w:val="00A96F98"/>
    <w:rsid w:val="00A9716E"/>
    <w:rsid w:val="00A97265"/>
    <w:rsid w:val="00A972E9"/>
    <w:rsid w:val="00A9730E"/>
    <w:rsid w:val="00A9743C"/>
    <w:rsid w:val="00A9756F"/>
    <w:rsid w:val="00A97633"/>
    <w:rsid w:val="00A97930"/>
    <w:rsid w:val="00A97C10"/>
    <w:rsid w:val="00A97F2F"/>
    <w:rsid w:val="00A97FB0"/>
    <w:rsid w:val="00A97FD3"/>
    <w:rsid w:val="00AA00FE"/>
    <w:rsid w:val="00AA0160"/>
    <w:rsid w:val="00AA02B1"/>
    <w:rsid w:val="00AA03E2"/>
    <w:rsid w:val="00AA059B"/>
    <w:rsid w:val="00AA0703"/>
    <w:rsid w:val="00AA096C"/>
    <w:rsid w:val="00AA0B21"/>
    <w:rsid w:val="00AA0CB5"/>
    <w:rsid w:val="00AA0D7E"/>
    <w:rsid w:val="00AA0EAA"/>
    <w:rsid w:val="00AA10A8"/>
    <w:rsid w:val="00AA1127"/>
    <w:rsid w:val="00AA1227"/>
    <w:rsid w:val="00AA152F"/>
    <w:rsid w:val="00AA16A1"/>
    <w:rsid w:val="00AA1766"/>
    <w:rsid w:val="00AA1AE7"/>
    <w:rsid w:val="00AA1B74"/>
    <w:rsid w:val="00AA1CB0"/>
    <w:rsid w:val="00AA1D1F"/>
    <w:rsid w:val="00AA1E2B"/>
    <w:rsid w:val="00AA1F07"/>
    <w:rsid w:val="00AA1F66"/>
    <w:rsid w:val="00AA2189"/>
    <w:rsid w:val="00AA2475"/>
    <w:rsid w:val="00AA2584"/>
    <w:rsid w:val="00AA2856"/>
    <w:rsid w:val="00AA28BD"/>
    <w:rsid w:val="00AA2A04"/>
    <w:rsid w:val="00AA2AD6"/>
    <w:rsid w:val="00AA2C89"/>
    <w:rsid w:val="00AA2CE2"/>
    <w:rsid w:val="00AA2D50"/>
    <w:rsid w:val="00AA2F31"/>
    <w:rsid w:val="00AA307A"/>
    <w:rsid w:val="00AA30C1"/>
    <w:rsid w:val="00AA325E"/>
    <w:rsid w:val="00AA35EF"/>
    <w:rsid w:val="00AA3620"/>
    <w:rsid w:val="00AA39BD"/>
    <w:rsid w:val="00AA3A7B"/>
    <w:rsid w:val="00AA41AB"/>
    <w:rsid w:val="00AA42D8"/>
    <w:rsid w:val="00AA432D"/>
    <w:rsid w:val="00AA433A"/>
    <w:rsid w:val="00AA436F"/>
    <w:rsid w:val="00AA44C4"/>
    <w:rsid w:val="00AA482F"/>
    <w:rsid w:val="00AA4A13"/>
    <w:rsid w:val="00AA4B25"/>
    <w:rsid w:val="00AA4D7E"/>
    <w:rsid w:val="00AA4E48"/>
    <w:rsid w:val="00AA4EB6"/>
    <w:rsid w:val="00AA5377"/>
    <w:rsid w:val="00AA587F"/>
    <w:rsid w:val="00AA59C2"/>
    <w:rsid w:val="00AA5C77"/>
    <w:rsid w:val="00AA5D07"/>
    <w:rsid w:val="00AA602C"/>
    <w:rsid w:val="00AA60A9"/>
    <w:rsid w:val="00AA61B3"/>
    <w:rsid w:val="00AA61E9"/>
    <w:rsid w:val="00AA62A7"/>
    <w:rsid w:val="00AA6384"/>
    <w:rsid w:val="00AA6499"/>
    <w:rsid w:val="00AA6791"/>
    <w:rsid w:val="00AA69C2"/>
    <w:rsid w:val="00AA6B35"/>
    <w:rsid w:val="00AA6B78"/>
    <w:rsid w:val="00AA6D3B"/>
    <w:rsid w:val="00AA6D42"/>
    <w:rsid w:val="00AA7056"/>
    <w:rsid w:val="00AA7476"/>
    <w:rsid w:val="00AA74CF"/>
    <w:rsid w:val="00AA7661"/>
    <w:rsid w:val="00AA7739"/>
    <w:rsid w:val="00AA78B0"/>
    <w:rsid w:val="00AA78F7"/>
    <w:rsid w:val="00AA7957"/>
    <w:rsid w:val="00AA7B7D"/>
    <w:rsid w:val="00AA7D4E"/>
    <w:rsid w:val="00AA7ED5"/>
    <w:rsid w:val="00AB00BE"/>
    <w:rsid w:val="00AB0110"/>
    <w:rsid w:val="00AB01BF"/>
    <w:rsid w:val="00AB02C7"/>
    <w:rsid w:val="00AB04F7"/>
    <w:rsid w:val="00AB0720"/>
    <w:rsid w:val="00AB0AE8"/>
    <w:rsid w:val="00AB0C30"/>
    <w:rsid w:val="00AB0D5E"/>
    <w:rsid w:val="00AB0DD8"/>
    <w:rsid w:val="00AB0E7C"/>
    <w:rsid w:val="00AB112F"/>
    <w:rsid w:val="00AB11AC"/>
    <w:rsid w:val="00AB126D"/>
    <w:rsid w:val="00AB13F9"/>
    <w:rsid w:val="00AB15B8"/>
    <w:rsid w:val="00AB1872"/>
    <w:rsid w:val="00AB203A"/>
    <w:rsid w:val="00AB2304"/>
    <w:rsid w:val="00AB26C8"/>
    <w:rsid w:val="00AB279B"/>
    <w:rsid w:val="00AB2BDB"/>
    <w:rsid w:val="00AB2D01"/>
    <w:rsid w:val="00AB2D7A"/>
    <w:rsid w:val="00AB2E11"/>
    <w:rsid w:val="00AB3334"/>
    <w:rsid w:val="00AB35E5"/>
    <w:rsid w:val="00AB36EF"/>
    <w:rsid w:val="00AB3CEB"/>
    <w:rsid w:val="00AB3D6E"/>
    <w:rsid w:val="00AB3D84"/>
    <w:rsid w:val="00AB3F9C"/>
    <w:rsid w:val="00AB3FD6"/>
    <w:rsid w:val="00AB42C3"/>
    <w:rsid w:val="00AB440F"/>
    <w:rsid w:val="00AB4552"/>
    <w:rsid w:val="00AB469F"/>
    <w:rsid w:val="00AB4963"/>
    <w:rsid w:val="00AB4994"/>
    <w:rsid w:val="00AB4A6C"/>
    <w:rsid w:val="00AB4A93"/>
    <w:rsid w:val="00AB4B42"/>
    <w:rsid w:val="00AB4C61"/>
    <w:rsid w:val="00AB4D23"/>
    <w:rsid w:val="00AB5065"/>
    <w:rsid w:val="00AB5263"/>
    <w:rsid w:val="00AB52DC"/>
    <w:rsid w:val="00AB5669"/>
    <w:rsid w:val="00AB5984"/>
    <w:rsid w:val="00AB5C1F"/>
    <w:rsid w:val="00AB6022"/>
    <w:rsid w:val="00AB62F7"/>
    <w:rsid w:val="00AB647F"/>
    <w:rsid w:val="00AB64ED"/>
    <w:rsid w:val="00AB69FC"/>
    <w:rsid w:val="00AB69FD"/>
    <w:rsid w:val="00AB6B4E"/>
    <w:rsid w:val="00AB6BA2"/>
    <w:rsid w:val="00AB6D68"/>
    <w:rsid w:val="00AB7656"/>
    <w:rsid w:val="00AB7717"/>
    <w:rsid w:val="00AB7780"/>
    <w:rsid w:val="00AB7D06"/>
    <w:rsid w:val="00AB7FDF"/>
    <w:rsid w:val="00AC0051"/>
    <w:rsid w:val="00AC0160"/>
    <w:rsid w:val="00AC0329"/>
    <w:rsid w:val="00AC04FC"/>
    <w:rsid w:val="00AC05D3"/>
    <w:rsid w:val="00AC0AAB"/>
    <w:rsid w:val="00AC0C53"/>
    <w:rsid w:val="00AC0E9B"/>
    <w:rsid w:val="00AC0F39"/>
    <w:rsid w:val="00AC12E2"/>
    <w:rsid w:val="00AC156A"/>
    <w:rsid w:val="00AC1715"/>
    <w:rsid w:val="00AC187F"/>
    <w:rsid w:val="00AC1D3E"/>
    <w:rsid w:val="00AC20A5"/>
    <w:rsid w:val="00AC210A"/>
    <w:rsid w:val="00AC231D"/>
    <w:rsid w:val="00AC26F5"/>
    <w:rsid w:val="00AC2989"/>
    <w:rsid w:val="00AC2A13"/>
    <w:rsid w:val="00AC2A1D"/>
    <w:rsid w:val="00AC2E75"/>
    <w:rsid w:val="00AC3025"/>
    <w:rsid w:val="00AC30D3"/>
    <w:rsid w:val="00AC310B"/>
    <w:rsid w:val="00AC31AE"/>
    <w:rsid w:val="00AC31F7"/>
    <w:rsid w:val="00AC322A"/>
    <w:rsid w:val="00AC35BD"/>
    <w:rsid w:val="00AC3844"/>
    <w:rsid w:val="00AC3A61"/>
    <w:rsid w:val="00AC3B51"/>
    <w:rsid w:val="00AC3C09"/>
    <w:rsid w:val="00AC3ED8"/>
    <w:rsid w:val="00AC3FD2"/>
    <w:rsid w:val="00AC41B2"/>
    <w:rsid w:val="00AC4472"/>
    <w:rsid w:val="00AC466F"/>
    <w:rsid w:val="00AC4758"/>
    <w:rsid w:val="00AC47F7"/>
    <w:rsid w:val="00AC48F2"/>
    <w:rsid w:val="00AC4A11"/>
    <w:rsid w:val="00AC4C1B"/>
    <w:rsid w:val="00AC4CB7"/>
    <w:rsid w:val="00AC4D0F"/>
    <w:rsid w:val="00AC4D54"/>
    <w:rsid w:val="00AC4E1F"/>
    <w:rsid w:val="00AC4ECE"/>
    <w:rsid w:val="00AC516E"/>
    <w:rsid w:val="00AC53FC"/>
    <w:rsid w:val="00AC55A2"/>
    <w:rsid w:val="00AC578E"/>
    <w:rsid w:val="00AC5D02"/>
    <w:rsid w:val="00AC5D29"/>
    <w:rsid w:val="00AC5F03"/>
    <w:rsid w:val="00AC5FF5"/>
    <w:rsid w:val="00AC61F2"/>
    <w:rsid w:val="00AC66DB"/>
    <w:rsid w:val="00AC6768"/>
    <w:rsid w:val="00AC6831"/>
    <w:rsid w:val="00AC6936"/>
    <w:rsid w:val="00AC6993"/>
    <w:rsid w:val="00AC69BF"/>
    <w:rsid w:val="00AC6A2B"/>
    <w:rsid w:val="00AC6D24"/>
    <w:rsid w:val="00AC7050"/>
    <w:rsid w:val="00AC7066"/>
    <w:rsid w:val="00AC7205"/>
    <w:rsid w:val="00AC73B7"/>
    <w:rsid w:val="00AC7487"/>
    <w:rsid w:val="00AC75F1"/>
    <w:rsid w:val="00AC7635"/>
    <w:rsid w:val="00AC765B"/>
    <w:rsid w:val="00AC7882"/>
    <w:rsid w:val="00AC7A70"/>
    <w:rsid w:val="00AC7CFD"/>
    <w:rsid w:val="00AC7DCE"/>
    <w:rsid w:val="00AC7DE4"/>
    <w:rsid w:val="00AD00E6"/>
    <w:rsid w:val="00AD02DD"/>
    <w:rsid w:val="00AD04E5"/>
    <w:rsid w:val="00AD076B"/>
    <w:rsid w:val="00AD07F7"/>
    <w:rsid w:val="00AD0E06"/>
    <w:rsid w:val="00AD0F3B"/>
    <w:rsid w:val="00AD0F96"/>
    <w:rsid w:val="00AD1120"/>
    <w:rsid w:val="00AD114F"/>
    <w:rsid w:val="00AD181C"/>
    <w:rsid w:val="00AD1E93"/>
    <w:rsid w:val="00AD2278"/>
    <w:rsid w:val="00AD24CA"/>
    <w:rsid w:val="00AD27E2"/>
    <w:rsid w:val="00AD29E0"/>
    <w:rsid w:val="00AD2DB3"/>
    <w:rsid w:val="00AD308E"/>
    <w:rsid w:val="00AD318D"/>
    <w:rsid w:val="00AD319E"/>
    <w:rsid w:val="00AD3432"/>
    <w:rsid w:val="00AD3C14"/>
    <w:rsid w:val="00AD3D74"/>
    <w:rsid w:val="00AD3D83"/>
    <w:rsid w:val="00AD3EEB"/>
    <w:rsid w:val="00AD40A8"/>
    <w:rsid w:val="00AD44B0"/>
    <w:rsid w:val="00AD4650"/>
    <w:rsid w:val="00AD47B1"/>
    <w:rsid w:val="00AD49DA"/>
    <w:rsid w:val="00AD4C06"/>
    <w:rsid w:val="00AD4E39"/>
    <w:rsid w:val="00AD4E5B"/>
    <w:rsid w:val="00AD5455"/>
    <w:rsid w:val="00AD5494"/>
    <w:rsid w:val="00AD5551"/>
    <w:rsid w:val="00AD5556"/>
    <w:rsid w:val="00AD5971"/>
    <w:rsid w:val="00AD5A8D"/>
    <w:rsid w:val="00AD5CF3"/>
    <w:rsid w:val="00AD5E9C"/>
    <w:rsid w:val="00AD6281"/>
    <w:rsid w:val="00AD62EE"/>
    <w:rsid w:val="00AD63CA"/>
    <w:rsid w:val="00AD6513"/>
    <w:rsid w:val="00AD6597"/>
    <w:rsid w:val="00AD65E1"/>
    <w:rsid w:val="00AD65F8"/>
    <w:rsid w:val="00AD6688"/>
    <w:rsid w:val="00AD6732"/>
    <w:rsid w:val="00AD6B89"/>
    <w:rsid w:val="00AD6D47"/>
    <w:rsid w:val="00AD6EE1"/>
    <w:rsid w:val="00AD72DD"/>
    <w:rsid w:val="00AD751A"/>
    <w:rsid w:val="00AD75B9"/>
    <w:rsid w:val="00AD7813"/>
    <w:rsid w:val="00AD78D4"/>
    <w:rsid w:val="00AD7BD8"/>
    <w:rsid w:val="00AD7C50"/>
    <w:rsid w:val="00AD7CBA"/>
    <w:rsid w:val="00AE025F"/>
    <w:rsid w:val="00AE033C"/>
    <w:rsid w:val="00AE0451"/>
    <w:rsid w:val="00AE08F3"/>
    <w:rsid w:val="00AE0914"/>
    <w:rsid w:val="00AE0D12"/>
    <w:rsid w:val="00AE0D53"/>
    <w:rsid w:val="00AE0F4F"/>
    <w:rsid w:val="00AE11D8"/>
    <w:rsid w:val="00AE12CD"/>
    <w:rsid w:val="00AE12E0"/>
    <w:rsid w:val="00AE17DA"/>
    <w:rsid w:val="00AE1952"/>
    <w:rsid w:val="00AE19F3"/>
    <w:rsid w:val="00AE1CF9"/>
    <w:rsid w:val="00AE1E31"/>
    <w:rsid w:val="00AE2024"/>
    <w:rsid w:val="00AE242B"/>
    <w:rsid w:val="00AE24CA"/>
    <w:rsid w:val="00AE2532"/>
    <w:rsid w:val="00AE276C"/>
    <w:rsid w:val="00AE2770"/>
    <w:rsid w:val="00AE28A8"/>
    <w:rsid w:val="00AE2951"/>
    <w:rsid w:val="00AE2965"/>
    <w:rsid w:val="00AE2D73"/>
    <w:rsid w:val="00AE2F8D"/>
    <w:rsid w:val="00AE312C"/>
    <w:rsid w:val="00AE3152"/>
    <w:rsid w:val="00AE32D9"/>
    <w:rsid w:val="00AE3424"/>
    <w:rsid w:val="00AE348A"/>
    <w:rsid w:val="00AE35FB"/>
    <w:rsid w:val="00AE39A2"/>
    <w:rsid w:val="00AE39D1"/>
    <w:rsid w:val="00AE3BE1"/>
    <w:rsid w:val="00AE3CE4"/>
    <w:rsid w:val="00AE4252"/>
    <w:rsid w:val="00AE4298"/>
    <w:rsid w:val="00AE4402"/>
    <w:rsid w:val="00AE46BE"/>
    <w:rsid w:val="00AE4CC9"/>
    <w:rsid w:val="00AE50A4"/>
    <w:rsid w:val="00AE50CF"/>
    <w:rsid w:val="00AE5499"/>
    <w:rsid w:val="00AE54A5"/>
    <w:rsid w:val="00AE55BE"/>
    <w:rsid w:val="00AE5815"/>
    <w:rsid w:val="00AE5ACC"/>
    <w:rsid w:val="00AE5B10"/>
    <w:rsid w:val="00AE5C94"/>
    <w:rsid w:val="00AE5D11"/>
    <w:rsid w:val="00AE5F5C"/>
    <w:rsid w:val="00AE5FB1"/>
    <w:rsid w:val="00AE6043"/>
    <w:rsid w:val="00AE6061"/>
    <w:rsid w:val="00AE6271"/>
    <w:rsid w:val="00AE6567"/>
    <w:rsid w:val="00AE6A3F"/>
    <w:rsid w:val="00AE6D4A"/>
    <w:rsid w:val="00AE6D82"/>
    <w:rsid w:val="00AE7109"/>
    <w:rsid w:val="00AE7290"/>
    <w:rsid w:val="00AE7405"/>
    <w:rsid w:val="00AE75E4"/>
    <w:rsid w:val="00AE783B"/>
    <w:rsid w:val="00AE7901"/>
    <w:rsid w:val="00AF035C"/>
    <w:rsid w:val="00AF0365"/>
    <w:rsid w:val="00AF0495"/>
    <w:rsid w:val="00AF08D2"/>
    <w:rsid w:val="00AF0E2D"/>
    <w:rsid w:val="00AF1264"/>
    <w:rsid w:val="00AF129B"/>
    <w:rsid w:val="00AF149C"/>
    <w:rsid w:val="00AF1607"/>
    <w:rsid w:val="00AF1A02"/>
    <w:rsid w:val="00AF1A4F"/>
    <w:rsid w:val="00AF1AE3"/>
    <w:rsid w:val="00AF1F42"/>
    <w:rsid w:val="00AF21EC"/>
    <w:rsid w:val="00AF23FE"/>
    <w:rsid w:val="00AF2402"/>
    <w:rsid w:val="00AF2971"/>
    <w:rsid w:val="00AF2A88"/>
    <w:rsid w:val="00AF2B2B"/>
    <w:rsid w:val="00AF2B35"/>
    <w:rsid w:val="00AF2D26"/>
    <w:rsid w:val="00AF2D3E"/>
    <w:rsid w:val="00AF2ED7"/>
    <w:rsid w:val="00AF3084"/>
    <w:rsid w:val="00AF3148"/>
    <w:rsid w:val="00AF3741"/>
    <w:rsid w:val="00AF3769"/>
    <w:rsid w:val="00AF37F0"/>
    <w:rsid w:val="00AF3C6C"/>
    <w:rsid w:val="00AF41B0"/>
    <w:rsid w:val="00AF47F6"/>
    <w:rsid w:val="00AF4A3A"/>
    <w:rsid w:val="00AF4A5B"/>
    <w:rsid w:val="00AF4C77"/>
    <w:rsid w:val="00AF4D53"/>
    <w:rsid w:val="00AF51BF"/>
    <w:rsid w:val="00AF523B"/>
    <w:rsid w:val="00AF560F"/>
    <w:rsid w:val="00AF5B7C"/>
    <w:rsid w:val="00AF5E94"/>
    <w:rsid w:val="00AF6183"/>
    <w:rsid w:val="00AF6209"/>
    <w:rsid w:val="00AF629E"/>
    <w:rsid w:val="00AF6457"/>
    <w:rsid w:val="00AF671C"/>
    <w:rsid w:val="00AF6756"/>
    <w:rsid w:val="00AF6944"/>
    <w:rsid w:val="00AF6AA4"/>
    <w:rsid w:val="00AF6DE4"/>
    <w:rsid w:val="00AF6EE7"/>
    <w:rsid w:val="00AF6F90"/>
    <w:rsid w:val="00AF71D1"/>
    <w:rsid w:val="00AF734E"/>
    <w:rsid w:val="00AF75D5"/>
    <w:rsid w:val="00AF7617"/>
    <w:rsid w:val="00AF769C"/>
    <w:rsid w:val="00AF7760"/>
    <w:rsid w:val="00AF78CA"/>
    <w:rsid w:val="00AF796A"/>
    <w:rsid w:val="00AF7978"/>
    <w:rsid w:val="00AF7CD0"/>
    <w:rsid w:val="00AF7D83"/>
    <w:rsid w:val="00B0006E"/>
    <w:rsid w:val="00B00292"/>
    <w:rsid w:val="00B005FE"/>
    <w:rsid w:val="00B0096B"/>
    <w:rsid w:val="00B009C5"/>
    <w:rsid w:val="00B00A20"/>
    <w:rsid w:val="00B0110A"/>
    <w:rsid w:val="00B01293"/>
    <w:rsid w:val="00B013F7"/>
    <w:rsid w:val="00B0158C"/>
    <w:rsid w:val="00B015AB"/>
    <w:rsid w:val="00B01604"/>
    <w:rsid w:val="00B01974"/>
    <w:rsid w:val="00B01A12"/>
    <w:rsid w:val="00B01A5C"/>
    <w:rsid w:val="00B01B9F"/>
    <w:rsid w:val="00B01C26"/>
    <w:rsid w:val="00B020B6"/>
    <w:rsid w:val="00B0225C"/>
    <w:rsid w:val="00B0227A"/>
    <w:rsid w:val="00B023B0"/>
    <w:rsid w:val="00B02540"/>
    <w:rsid w:val="00B0270F"/>
    <w:rsid w:val="00B02AF1"/>
    <w:rsid w:val="00B02C63"/>
    <w:rsid w:val="00B02E32"/>
    <w:rsid w:val="00B02E3D"/>
    <w:rsid w:val="00B02E7B"/>
    <w:rsid w:val="00B031E0"/>
    <w:rsid w:val="00B03369"/>
    <w:rsid w:val="00B0338B"/>
    <w:rsid w:val="00B03597"/>
    <w:rsid w:val="00B03651"/>
    <w:rsid w:val="00B036C0"/>
    <w:rsid w:val="00B0384A"/>
    <w:rsid w:val="00B0385F"/>
    <w:rsid w:val="00B03B41"/>
    <w:rsid w:val="00B040B8"/>
    <w:rsid w:val="00B04135"/>
    <w:rsid w:val="00B04370"/>
    <w:rsid w:val="00B043D0"/>
    <w:rsid w:val="00B04476"/>
    <w:rsid w:val="00B04491"/>
    <w:rsid w:val="00B047C7"/>
    <w:rsid w:val="00B04A94"/>
    <w:rsid w:val="00B04B21"/>
    <w:rsid w:val="00B04C01"/>
    <w:rsid w:val="00B04C5B"/>
    <w:rsid w:val="00B04E65"/>
    <w:rsid w:val="00B05149"/>
    <w:rsid w:val="00B0518D"/>
    <w:rsid w:val="00B052BD"/>
    <w:rsid w:val="00B055F9"/>
    <w:rsid w:val="00B058FC"/>
    <w:rsid w:val="00B05A73"/>
    <w:rsid w:val="00B05D79"/>
    <w:rsid w:val="00B06015"/>
    <w:rsid w:val="00B0621F"/>
    <w:rsid w:val="00B06393"/>
    <w:rsid w:val="00B06A19"/>
    <w:rsid w:val="00B06A24"/>
    <w:rsid w:val="00B06B54"/>
    <w:rsid w:val="00B06D85"/>
    <w:rsid w:val="00B06DB5"/>
    <w:rsid w:val="00B0701B"/>
    <w:rsid w:val="00B07025"/>
    <w:rsid w:val="00B07026"/>
    <w:rsid w:val="00B0752A"/>
    <w:rsid w:val="00B077FC"/>
    <w:rsid w:val="00B0781C"/>
    <w:rsid w:val="00B07829"/>
    <w:rsid w:val="00B07842"/>
    <w:rsid w:val="00B07A92"/>
    <w:rsid w:val="00B07C0C"/>
    <w:rsid w:val="00B07CDC"/>
    <w:rsid w:val="00B10016"/>
    <w:rsid w:val="00B100DF"/>
    <w:rsid w:val="00B10100"/>
    <w:rsid w:val="00B1027E"/>
    <w:rsid w:val="00B1028B"/>
    <w:rsid w:val="00B1057F"/>
    <w:rsid w:val="00B10A07"/>
    <w:rsid w:val="00B10B29"/>
    <w:rsid w:val="00B10C35"/>
    <w:rsid w:val="00B10C79"/>
    <w:rsid w:val="00B10CB3"/>
    <w:rsid w:val="00B10E8A"/>
    <w:rsid w:val="00B11081"/>
    <w:rsid w:val="00B11105"/>
    <w:rsid w:val="00B1113D"/>
    <w:rsid w:val="00B117B7"/>
    <w:rsid w:val="00B117D8"/>
    <w:rsid w:val="00B118BD"/>
    <w:rsid w:val="00B11914"/>
    <w:rsid w:val="00B119C6"/>
    <w:rsid w:val="00B11ABF"/>
    <w:rsid w:val="00B11B8F"/>
    <w:rsid w:val="00B11BD2"/>
    <w:rsid w:val="00B11D51"/>
    <w:rsid w:val="00B11F1E"/>
    <w:rsid w:val="00B12641"/>
    <w:rsid w:val="00B1274A"/>
    <w:rsid w:val="00B127C7"/>
    <w:rsid w:val="00B12A0F"/>
    <w:rsid w:val="00B12CDD"/>
    <w:rsid w:val="00B12E19"/>
    <w:rsid w:val="00B12F23"/>
    <w:rsid w:val="00B1340A"/>
    <w:rsid w:val="00B1366C"/>
    <w:rsid w:val="00B1369D"/>
    <w:rsid w:val="00B1398E"/>
    <w:rsid w:val="00B13B04"/>
    <w:rsid w:val="00B13BCE"/>
    <w:rsid w:val="00B13CBF"/>
    <w:rsid w:val="00B13EBE"/>
    <w:rsid w:val="00B13F74"/>
    <w:rsid w:val="00B142C2"/>
    <w:rsid w:val="00B14338"/>
    <w:rsid w:val="00B14379"/>
    <w:rsid w:val="00B144A2"/>
    <w:rsid w:val="00B14511"/>
    <w:rsid w:val="00B14526"/>
    <w:rsid w:val="00B145B5"/>
    <w:rsid w:val="00B14A50"/>
    <w:rsid w:val="00B14C30"/>
    <w:rsid w:val="00B14CB8"/>
    <w:rsid w:val="00B14D86"/>
    <w:rsid w:val="00B14F16"/>
    <w:rsid w:val="00B15013"/>
    <w:rsid w:val="00B1501F"/>
    <w:rsid w:val="00B1509C"/>
    <w:rsid w:val="00B150C8"/>
    <w:rsid w:val="00B152E8"/>
    <w:rsid w:val="00B1538B"/>
    <w:rsid w:val="00B153A9"/>
    <w:rsid w:val="00B153C5"/>
    <w:rsid w:val="00B15663"/>
    <w:rsid w:val="00B1568A"/>
    <w:rsid w:val="00B15950"/>
    <w:rsid w:val="00B15ACF"/>
    <w:rsid w:val="00B15C7F"/>
    <w:rsid w:val="00B15F6F"/>
    <w:rsid w:val="00B15FF7"/>
    <w:rsid w:val="00B16417"/>
    <w:rsid w:val="00B16441"/>
    <w:rsid w:val="00B1671E"/>
    <w:rsid w:val="00B167A1"/>
    <w:rsid w:val="00B16A5C"/>
    <w:rsid w:val="00B16A65"/>
    <w:rsid w:val="00B16ED3"/>
    <w:rsid w:val="00B16F7D"/>
    <w:rsid w:val="00B1719A"/>
    <w:rsid w:val="00B1728F"/>
    <w:rsid w:val="00B172C4"/>
    <w:rsid w:val="00B17379"/>
    <w:rsid w:val="00B177F2"/>
    <w:rsid w:val="00B17D45"/>
    <w:rsid w:val="00B17E24"/>
    <w:rsid w:val="00B17ED3"/>
    <w:rsid w:val="00B201CA"/>
    <w:rsid w:val="00B204BF"/>
    <w:rsid w:val="00B20559"/>
    <w:rsid w:val="00B20675"/>
    <w:rsid w:val="00B20C86"/>
    <w:rsid w:val="00B20D66"/>
    <w:rsid w:val="00B20F3C"/>
    <w:rsid w:val="00B212B7"/>
    <w:rsid w:val="00B2134E"/>
    <w:rsid w:val="00B216CF"/>
    <w:rsid w:val="00B21851"/>
    <w:rsid w:val="00B218DF"/>
    <w:rsid w:val="00B2195A"/>
    <w:rsid w:val="00B219C4"/>
    <w:rsid w:val="00B21C52"/>
    <w:rsid w:val="00B21D29"/>
    <w:rsid w:val="00B21F70"/>
    <w:rsid w:val="00B21F73"/>
    <w:rsid w:val="00B22124"/>
    <w:rsid w:val="00B2225A"/>
    <w:rsid w:val="00B2235A"/>
    <w:rsid w:val="00B2278B"/>
    <w:rsid w:val="00B22B1B"/>
    <w:rsid w:val="00B22BDF"/>
    <w:rsid w:val="00B22FD4"/>
    <w:rsid w:val="00B230D2"/>
    <w:rsid w:val="00B23171"/>
    <w:rsid w:val="00B231BA"/>
    <w:rsid w:val="00B2377D"/>
    <w:rsid w:val="00B2390F"/>
    <w:rsid w:val="00B23F41"/>
    <w:rsid w:val="00B2425B"/>
    <w:rsid w:val="00B24484"/>
    <w:rsid w:val="00B244E7"/>
    <w:rsid w:val="00B245D9"/>
    <w:rsid w:val="00B245DB"/>
    <w:rsid w:val="00B24677"/>
    <w:rsid w:val="00B24BC6"/>
    <w:rsid w:val="00B24C80"/>
    <w:rsid w:val="00B24C9A"/>
    <w:rsid w:val="00B24CA9"/>
    <w:rsid w:val="00B24CD3"/>
    <w:rsid w:val="00B24D8D"/>
    <w:rsid w:val="00B24EF5"/>
    <w:rsid w:val="00B24F5D"/>
    <w:rsid w:val="00B25168"/>
    <w:rsid w:val="00B25243"/>
    <w:rsid w:val="00B2565C"/>
    <w:rsid w:val="00B2571B"/>
    <w:rsid w:val="00B2571C"/>
    <w:rsid w:val="00B259DE"/>
    <w:rsid w:val="00B25CAF"/>
    <w:rsid w:val="00B25F80"/>
    <w:rsid w:val="00B26768"/>
    <w:rsid w:val="00B267AB"/>
    <w:rsid w:val="00B26982"/>
    <w:rsid w:val="00B26AF1"/>
    <w:rsid w:val="00B26BC3"/>
    <w:rsid w:val="00B26E00"/>
    <w:rsid w:val="00B26E6A"/>
    <w:rsid w:val="00B2708A"/>
    <w:rsid w:val="00B2709E"/>
    <w:rsid w:val="00B2752F"/>
    <w:rsid w:val="00B27856"/>
    <w:rsid w:val="00B278B2"/>
    <w:rsid w:val="00B27C9C"/>
    <w:rsid w:val="00B300D4"/>
    <w:rsid w:val="00B300E7"/>
    <w:rsid w:val="00B30610"/>
    <w:rsid w:val="00B309F9"/>
    <w:rsid w:val="00B30AF3"/>
    <w:rsid w:val="00B30B4F"/>
    <w:rsid w:val="00B30BFA"/>
    <w:rsid w:val="00B30DF9"/>
    <w:rsid w:val="00B310C4"/>
    <w:rsid w:val="00B3168E"/>
    <w:rsid w:val="00B317A0"/>
    <w:rsid w:val="00B31A08"/>
    <w:rsid w:val="00B31B4C"/>
    <w:rsid w:val="00B31B6F"/>
    <w:rsid w:val="00B31B9E"/>
    <w:rsid w:val="00B31C03"/>
    <w:rsid w:val="00B31DA1"/>
    <w:rsid w:val="00B31DD7"/>
    <w:rsid w:val="00B32317"/>
    <w:rsid w:val="00B32402"/>
    <w:rsid w:val="00B32460"/>
    <w:rsid w:val="00B326EF"/>
    <w:rsid w:val="00B32741"/>
    <w:rsid w:val="00B329BA"/>
    <w:rsid w:val="00B32A55"/>
    <w:rsid w:val="00B32A8F"/>
    <w:rsid w:val="00B32AFB"/>
    <w:rsid w:val="00B32C42"/>
    <w:rsid w:val="00B32EF6"/>
    <w:rsid w:val="00B336AA"/>
    <w:rsid w:val="00B336DD"/>
    <w:rsid w:val="00B338DD"/>
    <w:rsid w:val="00B33F7D"/>
    <w:rsid w:val="00B34195"/>
    <w:rsid w:val="00B3431E"/>
    <w:rsid w:val="00B3432B"/>
    <w:rsid w:val="00B34402"/>
    <w:rsid w:val="00B344CE"/>
    <w:rsid w:val="00B3456E"/>
    <w:rsid w:val="00B3468F"/>
    <w:rsid w:val="00B34873"/>
    <w:rsid w:val="00B349C4"/>
    <w:rsid w:val="00B34A1D"/>
    <w:rsid w:val="00B34E65"/>
    <w:rsid w:val="00B34F38"/>
    <w:rsid w:val="00B34FAB"/>
    <w:rsid w:val="00B35546"/>
    <w:rsid w:val="00B355BF"/>
    <w:rsid w:val="00B358D4"/>
    <w:rsid w:val="00B35B27"/>
    <w:rsid w:val="00B35BB0"/>
    <w:rsid w:val="00B35E08"/>
    <w:rsid w:val="00B35FBA"/>
    <w:rsid w:val="00B3609B"/>
    <w:rsid w:val="00B360D9"/>
    <w:rsid w:val="00B364E5"/>
    <w:rsid w:val="00B367BF"/>
    <w:rsid w:val="00B36B2A"/>
    <w:rsid w:val="00B36B31"/>
    <w:rsid w:val="00B36CDC"/>
    <w:rsid w:val="00B36D6B"/>
    <w:rsid w:val="00B36F0A"/>
    <w:rsid w:val="00B37055"/>
    <w:rsid w:val="00B3712F"/>
    <w:rsid w:val="00B37137"/>
    <w:rsid w:val="00B372E9"/>
    <w:rsid w:val="00B37329"/>
    <w:rsid w:val="00B37792"/>
    <w:rsid w:val="00B37926"/>
    <w:rsid w:val="00B37976"/>
    <w:rsid w:val="00B37ADB"/>
    <w:rsid w:val="00B37B50"/>
    <w:rsid w:val="00B37DC3"/>
    <w:rsid w:val="00B37EDC"/>
    <w:rsid w:val="00B37EED"/>
    <w:rsid w:val="00B40135"/>
    <w:rsid w:val="00B401C8"/>
    <w:rsid w:val="00B402D2"/>
    <w:rsid w:val="00B40826"/>
    <w:rsid w:val="00B4087B"/>
    <w:rsid w:val="00B40D67"/>
    <w:rsid w:val="00B41187"/>
    <w:rsid w:val="00B411D5"/>
    <w:rsid w:val="00B4132D"/>
    <w:rsid w:val="00B413F9"/>
    <w:rsid w:val="00B4143B"/>
    <w:rsid w:val="00B415BB"/>
    <w:rsid w:val="00B41AD3"/>
    <w:rsid w:val="00B41E22"/>
    <w:rsid w:val="00B4234F"/>
    <w:rsid w:val="00B42476"/>
    <w:rsid w:val="00B4249A"/>
    <w:rsid w:val="00B424BF"/>
    <w:rsid w:val="00B425B7"/>
    <w:rsid w:val="00B42753"/>
    <w:rsid w:val="00B42B31"/>
    <w:rsid w:val="00B42DB1"/>
    <w:rsid w:val="00B42DDC"/>
    <w:rsid w:val="00B42F6D"/>
    <w:rsid w:val="00B43043"/>
    <w:rsid w:val="00B4374F"/>
    <w:rsid w:val="00B43A25"/>
    <w:rsid w:val="00B43A37"/>
    <w:rsid w:val="00B43C96"/>
    <w:rsid w:val="00B43CCC"/>
    <w:rsid w:val="00B43E96"/>
    <w:rsid w:val="00B43F41"/>
    <w:rsid w:val="00B44043"/>
    <w:rsid w:val="00B44059"/>
    <w:rsid w:val="00B44092"/>
    <w:rsid w:val="00B4440E"/>
    <w:rsid w:val="00B445BE"/>
    <w:rsid w:val="00B44620"/>
    <w:rsid w:val="00B44878"/>
    <w:rsid w:val="00B448FB"/>
    <w:rsid w:val="00B44CB8"/>
    <w:rsid w:val="00B44D02"/>
    <w:rsid w:val="00B44D26"/>
    <w:rsid w:val="00B44D6E"/>
    <w:rsid w:val="00B44D82"/>
    <w:rsid w:val="00B44D83"/>
    <w:rsid w:val="00B44E8E"/>
    <w:rsid w:val="00B451F4"/>
    <w:rsid w:val="00B455C0"/>
    <w:rsid w:val="00B45666"/>
    <w:rsid w:val="00B4587F"/>
    <w:rsid w:val="00B45D69"/>
    <w:rsid w:val="00B45EC2"/>
    <w:rsid w:val="00B46012"/>
    <w:rsid w:val="00B460F7"/>
    <w:rsid w:val="00B468B6"/>
    <w:rsid w:val="00B46C13"/>
    <w:rsid w:val="00B4726C"/>
    <w:rsid w:val="00B4733F"/>
    <w:rsid w:val="00B47426"/>
    <w:rsid w:val="00B47B24"/>
    <w:rsid w:val="00B47D87"/>
    <w:rsid w:val="00B47F33"/>
    <w:rsid w:val="00B50241"/>
    <w:rsid w:val="00B5027D"/>
    <w:rsid w:val="00B50631"/>
    <w:rsid w:val="00B50677"/>
    <w:rsid w:val="00B50A2F"/>
    <w:rsid w:val="00B50A4F"/>
    <w:rsid w:val="00B50B8C"/>
    <w:rsid w:val="00B50FE6"/>
    <w:rsid w:val="00B51248"/>
    <w:rsid w:val="00B5126B"/>
    <w:rsid w:val="00B512AF"/>
    <w:rsid w:val="00B51313"/>
    <w:rsid w:val="00B51537"/>
    <w:rsid w:val="00B5186F"/>
    <w:rsid w:val="00B518CB"/>
    <w:rsid w:val="00B51972"/>
    <w:rsid w:val="00B51B28"/>
    <w:rsid w:val="00B51D50"/>
    <w:rsid w:val="00B52185"/>
    <w:rsid w:val="00B52558"/>
    <w:rsid w:val="00B52572"/>
    <w:rsid w:val="00B52D57"/>
    <w:rsid w:val="00B52E02"/>
    <w:rsid w:val="00B534AD"/>
    <w:rsid w:val="00B534E2"/>
    <w:rsid w:val="00B53A50"/>
    <w:rsid w:val="00B53B04"/>
    <w:rsid w:val="00B53B8D"/>
    <w:rsid w:val="00B5404D"/>
    <w:rsid w:val="00B54153"/>
    <w:rsid w:val="00B54391"/>
    <w:rsid w:val="00B54890"/>
    <w:rsid w:val="00B54933"/>
    <w:rsid w:val="00B5494D"/>
    <w:rsid w:val="00B54B20"/>
    <w:rsid w:val="00B54C96"/>
    <w:rsid w:val="00B54CEF"/>
    <w:rsid w:val="00B55206"/>
    <w:rsid w:val="00B55390"/>
    <w:rsid w:val="00B555BC"/>
    <w:rsid w:val="00B5596D"/>
    <w:rsid w:val="00B55D32"/>
    <w:rsid w:val="00B55E95"/>
    <w:rsid w:val="00B56249"/>
    <w:rsid w:val="00B56355"/>
    <w:rsid w:val="00B56731"/>
    <w:rsid w:val="00B56974"/>
    <w:rsid w:val="00B56A07"/>
    <w:rsid w:val="00B56A94"/>
    <w:rsid w:val="00B56C49"/>
    <w:rsid w:val="00B56D52"/>
    <w:rsid w:val="00B57058"/>
    <w:rsid w:val="00B57164"/>
    <w:rsid w:val="00B574E7"/>
    <w:rsid w:val="00B57562"/>
    <w:rsid w:val="00B575F6"/>
    <w:rsid w:val="00B57915"/>
    <w:rsid w:val="00B57C78"/>
    <w:rsid w:val="00B57D91"/>
    <w:rsid w:val="00B57F30"/>
    <w:rsid w:val="00B602F6"/>
    <w:rsid w:val="00B6031D"/>
    <w:rsid w:val="00B603F3"/>
    <w:rsid w:val="00B604A7"/>
    <w:rsid w:val="00B6058B"/>
    <w:rsid w:val="00B60607"/>
    <w:rsid w:val="00B607F3"/>
    <w:rsid w:val="00B60E27"/>
    <w:rsid w:val="00B61028"/>
    <w:rsid w:val="00B611DD"/>
    <w:rsid w:val="00B61233"/>
    <w:rsid w:val="00B6130D"/>
    <w:rsid w:val="00B614D4"/>
    <w:rsid w:val="00B61643"/>
    <w:rsid w:val="00B61AE5"/>
    <w:rsid w:val="00B620C6"/>
    <w:rsid w:val="00B6233D"/>
    <w:rsid w:val="00B62447"/>
    <w:rsid w:val="00B62739"/>
    <w:rsid w:val="00B627AC"/>
    <w:rsid w:val="00B62CF0"/>
    <w:rsid w:val="00B62E5C"/>
    <w:rsid w:val="00B62F94"/>
    <w:rsid w:val="00B634DB"/>
    <w:rsid w:val="00B635EF"/>
    <w:rsid w:val="00B63646"/>
    <w:rsid w:val="00B6365C"/>
    <w:rsid w:val="00B637C9"/>
    <w:rsid w:val="00B63827"/>
    <w:rsid w:val="00B639CB"/>
    <w:rsid w:val="00B63CA8"/>
    <w:rsid w:val="00B63CBB"/>
    <w:rsid w:val="00B64021"/>
    <w:rsid w:val="00B64103"/>
    <w:rsid w:val="00B645C6"/>
    <w:rsid w:val="00B64759"/>
    <w:rsid w:val="00B64806"/>
    <w:rsid w:val="00B64BF2"/>
    <w:rsid w:val="00B64E37"/>
    <w:rsid w:val="00B650C0"/>
    <w:rsid w:val="00B65194"/>
    <w:rsid w:val="00B65515"/>
    <w:rsid w:val="00B6571A"/>
    <w:rsid w:val="00B6583F"/>
    <w:rsid w:val="00B65925"/>
    <w:rsid w:val="00B659AB"/>
    <w:rsid w:val="00B65B9E"/>
    <w:rsid w:val="00B65D99"/>
    <w:rsid w:val="00B65F7C"/>
    <w:rsid w:val="00B66085"/>
    <w:rsid w:val="00B66AA6"/>
    <w:rsid w:val="00B66CDB"/>
    <w:rsid w:val="00B67340"/>
    <w:rsid w:val="00B6757B"/>
    <w:rsid w:val="00B676E7"/>
    <w:rsid w:val="00B67761"/>
    <w:rsid w:val="00B678F5"/>
    <w:rsid w:val="00B6790F"/>
    <w:rsid w:val="00B6796E"/>
    <w:rsid w:val="00B67BCC"/>
    <w:rsid w:val="00B67C59"/>
    <w:rsid w:val="00B67C8C"/>
    <w:rsid w:val="00B67F32"/>
    <w:rsid w:val="00B67F83"/>
    <w:rsid w:val="00B67FAE"/>
    <w:rsid w:val="00B70109"/>
    <w:rsid w:val="00B70248"/>
    <w:rsid w:val="00B702B1"/>
    <w:rsid w:val="00B70392"/>
    <w:rsid w:val="00B70877"/>
    <w:rsid w:val="00B7095D"/>
    <w:rsid w:val="00B70C72"/>
    <w:rsid w:val="00B70D26"/>
    <w:rsid w:val="00B7105A"/>
    <w:rsid w:val="00B71064"/>
    <w:rsid w:val="00B712C5"/>
    <w:rsid w:val="00B71309"/>
    <w:rsid w:val="00B713A8"/>
    <w:rsid w:val="00B71498"/>
    <w:rsid w:val="00B71611"/>
    <w:rsid w:val="00B71756"/>
    <w:rsid w:val="00B719E6"/>
    <w:rsid w:val="00B71CF2"/>
    <w:rsid w:val="00B71E6D"/>
    <w:rsid w:val="00B72340"/>
    <w:rsid w:val="00B7238D"/>
    <w:rsid w:val="00B724A3"/>
    <w:rsid w:val="00B7267D"/>
    <w:rsid w:val="00B726ED"/>
    <w:rsid w:val="00B727E2"/>
    <w:rsid w:val="00B729D7"/>
    <w:rsid w:val="00B72A05"/>
    <w:rsid w:val="00B72C48"/>
    <w:rsid w:val="00B72D88"/>
    <w:rsid w:val="00B72FB3"/>
    <w:rsid w:val="00B73033"/>
    <w:rsid w:val="00B7306B"/>
    <w:rsid w:val="00B7335F"/>
    <w:rsid w:val="00B73735"/>
    <w:rsid w:val="00B73A2B"/>
    <w:rsid w:val="00B73A34"/>
    <w:rsid w:val="00B7406D"/>
    <w:rsid w:val="00B74098"/>
    <w:rsid w:val="00B7425D"/>
    <w:rsid w:val="00B74479"/>
    <w:rsid w:val="00B74593"/>
    <w:rsid w:val="00B746F1"/>
    <w:rsid w:val="00B74AB2"/>
    <w:rsid w:val="00B74AC7"/>
    <w:rsid w:val="00B74B74"/>
    <w:rsid w:val="00B750CE"/>
    <w:rsid w:val="00B75288"/>
    <w:rsid w:val="00B75667"/>
    <w:rsid w:val="00B7583C"/>
    <w:rsid w:val="00B758B7"/>
    <w:rsid w:val="00B75A01"/>
    <w:rsid w:val="00B75F68"/>
    <w:rsid w:val="00B75FEF"/>
    <w:rsid w:val="00B763B4"/>
    <w:rsid w:val="00B76501"/>
    <w:rsid w:val="00B76588"/>
    <w:rsid w:val="00B767A6"/>
    <w:rsid w:val="00B7686F"/>
    <w:rsid w:val="00B76B01"/>
    <w:rsid w:val="00B76D35"/>
    <w:rsid w:val="00B76F90"/>
    <w:rsid w:val="00B76FF7"/>
    <w:rsid w:val="00B7703E"/>
    <w:rsid w:val="00B7709F"/>
    <w:rsid w:val="00B77153"/>
    <w:rsid w:val="00B772E9"/>
    <w:rsid w:val="00B77A66"/>
    <w:rsid w:val="00B77B22"/>
    <w:rsid w:val="00B77C0C"/>
    <w:rsid w:val="00B77E08"/>
    <w:rsid w:val="00B80197"/>
    <w:rsid w:val="00B801D4"/>
    <w:rsid w:val="00B80314"/>
    <w:rsid w:val="00B805C4"/>
    <w:rsid w:val="00B80BBB"/>
    <w:rsid w:val="00B80C8A"/>
    <w:rsid w:val="00B80DBE"/>
    <w:rsid w:val="00B80E8C"/>
    <w:rsid w:val="00B81207"/>
    <w:rsid w:val="00B81255"/>
    <w:rsid w:val="00B81279"/>
    <w:rsid w:val="00B81596"/>
    <w:rsid w:val="00B816F9"/>
    <w:rsid w:val="00B8188E"/>
    <w:rsid w:val="00B8197A"/>
    <w:rsid w:val="00B81A02"/>
    <w:rsid w:val="00B81C1E"/>
    <w:rsid w:val="00B81ECE"/>
    <w:rsid w:val="00B82003"/>
    <w:rsid w:val="00B82038"/>
    <w:rsid w:val="00B820DF"/>
    <w:rsid w:val="00B82319"/>
    <w:rsid w:val="00B82391"/>
    <w:rsid w:val="00B825AD"/>
    <w:rsid w:val="00B8266F"/>
    <w:rsid w:val="00B82B60"/>
    <w:rsid w:val="00B82BE1"/>
    <w:rsid w:val="00B82DA6"/>
    <w:rsid w:val="00B82DDF"/>
    <w:rsid w:val="00B8314C"/>
    <w:rsid w:val="00B83158"/>
    <w:rsid w:val="00B8326C"/>
    <w:rsid w:val="00B832E0"/>
    <w:rsid w:val="00B83485"/>
    <w:rsid w:val="00B834B9"/>
    <w:rsid w:val="00B834CD"/>
    <w:rsid w:val="00B8377A"/>
    <w:rsid w:val="00B83900"/>
    <w:rsid w:val="00B83921"/>
    <w:rsid w:val="00B839B8"/>
    <w:rsid w:val="00B83D24"/>
    <w:rsid w:val="00B83DC6"/>
    <w:rsid w:val="00B8406E"/>
    <w:rsid w:val="00B842D6"/>
    <w:rsid w:val="00B844A7"/>
    <w:rsid w:val="00B845E4"/>
    <w:rsid w:val="00B84791"/>
    <w:rsid w:val="00B847BB"/>
    <w:rsid w:val="00B84919"/>
    <w:rsid w:val="00B84A37"/>
    <w:rsid w:val="00B84BA3"/>
    <w:rsid w:val="00B84BEE"/>
    <w:rsid w:val="00B84E90"/>
    <w:rsid w:val="00B84E99"/>
    <w:rsid w:val="00B84FCC"/>
    <w:rsid w:val="00B856AF"/>
    <w:rsid w:val="00B85745"/>
    <w:rsid w:val="00B857B1"/>
    <w:rsid w:val="00B85A60"/>
    <w:rsid w:val="00B85A6A"/>
    <w:rsid w:val="00B85F73"/>
    <w:rsid w:val="00B85FFC"/>
    <w:rsid w:val="00B86448"/>
    <w:rsid w:val="00B869F9"/>
    <w:rsid w:val="00B86A47"/>
    <w:rsid w:val="00B87578"/>
    <w:rsid w:val="00B87651"/>
    <w:rsid w:val="00B87758"/>
    <w:rsid w:val="00B87916"/>
    <w:rsid w:val="00B87936"/>
    <w:rsid w:val="00B879BA"/>
    <w:rsid w:val="00B87A54"/>
    <w:rsid w:val="00B87B64"/>
    <w:rsid w:val="00B87D12"/>
    <w:rsid w:val="00B90198"/>
    <w:rsid w:val="00B90402"/>
    <w:rsid w:val="00B90713"/>
    <w:rsid w:val="00B909B8"/>
    <w:rsid w:val="00B909EC"/>
    <w:rsid w:val="00B90F46"/>
    <w:rsid w:val="00B90FB2"/>
    <w:rsid w:val="00B91009"/>
    <w:rsid w:val="00B9103B"/>
    <w:rsid w:val="00B913C7"/>
    <w:rsid w:val="00B91432"/>
    <w:rsid w:val="00B9166C"/>
    <w:rsid w:val="00B917D6"/>
    <w:rsid w:val="00B91BCA"/>
    <w:rsid w:val="00B91CE2"/>
    <w:rsid w:val="00B91E59"/>
    <w:rsid w:val="00B91F8E"/>
    <w:rsid w:val="00B9215C"/>
    <w:rsid w:val="00B92304"/>
    <w:rsid w:val="00B9275C"/>
    <w:rsid w:val="00B92BAC"/>
    <w:rsid w:val="00B92F22"/>
    <w:rsid w:val="00B9303F"/>
    <w:rsid w:val="00B930E9"/>
    <w:rsid w:val="00B93297"/>
    <w:rsid w:val="00B9341C"/>
    <w:rsid w:val="00B93622"/>
    <w:rsid w:val="00B938A9"/>
    <w:rsid w:val="00B939C7"/>
    <w:rsid w:val="00B93A5E"/>
    <w:rsid w:val="00B93ADC"/>
    <w:rsid w:val="00B93E89"/>
    <w:rsid w:val="00B940FB"/>
    <w:rsid w:val="00B9415B"/>
    <w:rsid w:val="00B941B8"/>
    <w:rsid w:val="00B941E0"/>
    <w:rsid w:val="00B94643"/>
    <w:rsid w:val="00B946FB"/>
    <w:rsid w:val="00B94763"/>
    <w:rsid w:val="00B948B9"/>
    <w:rsid w:val="00B94AB9"/>
    <w:rsid w:val="00B94B1A"/>
    <w:rsid w:val="00B94D01"/>
    <w:rsid w:val="00B94DDF"/>
    <w:rsid w:val="00B9522A"/>
    <w:rsid w:val="00B9534B"/>
    <w:rsid w:val="00B95545"/>
    <w:rsid w:val="00B955ED"/>
    <w:rsid w:val="00B958FB"/>
    <w:rsid w:val="00B95A07"/>
    <w:rsid w:val="00B95C34"/>
    <w:rsid w:val="00B9661F"/>
    <w:rsid w:val="00B96703"/>
    <w:rsid w:val="00B96858"/>
    <w:rsid w:val="00B96A4B"/>
    <w:rsid w:val="00B96B04"/>
    <w:rsid w:val="00B96B98"/>
    <w:rsid w:val="00B96CFB"/>
    <w:rsid w:val="00B971EB"/>
    <w:rsid w:val="00B97640"/>
    <w:rsid w:val="00B976B6"/>
    <w:rsid w:val="00B97716"/>
    <w:rsid w:val="00B97828"/>
    <w:rsid w:val="00B97B05"/>
    <w:rsid w:val="00B97B95"/>
    <w:rsid w:val="00B97BE9"/>
    <w:rsid w:val="00B97CFE"/>
    <w:rsid w:val="00B97D38"/>
    <w:rsid w:val="00B97EEE"/>
    <w:rsid w:val="00B97F94"/>
    <w:rsid w:val="00BA0194"/>
    <w:rsid w:val="00BA03AA"/>
    <w:rsid w:val="00BA0540"/>
    <w:rsid w:val="00BA0607"/>
    <w:rsid w:val="00BA06C2"/>
    <w:rsid w:val="00BA0C19"/>
    <w:rsid w:val="00BA11EA"/>
    <w:rsid w:val="00BA14DF"/>
    <w:rsid w:val="00BA152D"/>
    <w:rsid w:val="00BA16DC"/>
    <w:rsid w:val="00BA1A62"/>
    <w:rsid w:val="00BA1CEA"/>
    <w:rsid w:val="00BA1DEF"/>
    <w:rsid w:val="00BA1F21"/>
    <w:rsid w:val="00BA1F74"/>
    <w:rsid w:val="00BA1FC7"/>
    <w:rsid w:val="00BA2733"/>
    <w:rsid w:val="00BA2837"/>
    <w:rsid w:val="00BA2C9C"/>
    <w:rsid w:val="00BA2D2B"/>
    <w:rsid w:val="00BA2D68"/>
    <w:rsid w:val="00BA2F63"/>
    <w:rsid w:val="00BA3096"/>
    <w:rsid w:val="00BA320F"/>
    <w:rsid w:val="00BA3459"/>
    <w:rsid w:val="00BA3475"/>
    <w:rsid w:val="00BA34E4"/>
    <w:rsid w:val="00BA3B32"/>
    <w:rsid w:val="00BA3C85"/>
    <w:rsid w:val="00BA3F21"/>
    <w:rsid w:val="00BA4232"/>
    <w:rsid w:val="00BA4277"/>
    <w:rsid w:val="00BA428B"/>
    <w:rsid w:val="00BA42BF"/>
    <w:rsid w:val="00BA4392"/>
    <w:rsid w:val="00BA4405"/>
    <w:rsid w:val="00BA4565"/>
    <w:rsid w:val="00BA4646"/>
    <w:rsid w:val="00BA4651"/>
    <w:rsid w:val="00BA4903"/>
    <w:rsid w:val="00BA49D0"/>
    <w:rsid w:val="00BA4D19"/>
    <w:rsid w:val="00BA4F3A"/>
    <w:rsid w:val="00BA5206"/>
    <w:rsid w:val="00BA53B3"/>
    <w:rsid w:val="00BA53BE"/>
    <w:rsid w:val="00BA54A2"/>
    <w:rsid w:val="00BA54BE"/>
    <w:rsid w:val="00BA57CB"/>
    <w:rsid w:val="00BA5AA3"/>
    <w:rsid w:val="00BA5DF6"/>
    <w:rsid w:val="00BA5F84"/>
    <w:rsid w:val="00BA6361"/>
    <w:rsid w:val="00BA6371"/>
    <w:rsid w:val="00BA63B7"/>
    <w:rsid w:val="00BA652A"/>
    <w:rsid w:val="00BA65B4"/>
    <w:rsid w:val="00BA6807"/>
    <w:rsid w:val="00BA6903"/>
    <w:rsid w:val="00BA6C4A"/>
    <w:rsid w:val="00BA6CC5"/>
    <w:rsid w:val="00BA6F1E"/>
    <w:rsid w:val="00BA7286"/>
    <w:rsid w:val="00BA74F8"/>
    <w:rsid w:val="00BA771E"/>
    <w:rsid w:val="00BA7728"/>
    <w:rsid w:val="00BA775C"/>
    <w:rsid w:val="00BA7784"/>
    <w:rsid w:val="00BA7A0D"/>
    <w:rsid w:val="00BA7B4A"/>
    <w:rsid w:val="00BA7C23"/>
    <w:rsid w:val="00BB0254"/>
    <w:rsid w:val="00BB03BE"/>
    <w:rsid w:val="00BB069B"/>
    <w:rsid w:val="00BB0876"/>
    <w:rsid w:val="00BB0B0D"/>
    <w:rsid w:val="00BB0D78"/>
    <w:rsid w:val="00BB0DF7"/>
    <w:rsid w:val="00BB0EA0"/>
    <w:rsid w:val="00BB0FAB"/>
    <w:rsid w:val="00BB110A"/>
    <w:rsid w:val="00BB11BD"/>
    <w:rsid w:val="00BB11DF"/>
    <w:rsid w:val="00BB138D"/>
    <w:rsid w:val="00BB13A4"/>
    <w:rsid w:val="00BB17DC"/>
    <w:rsid w:val="00BB1CDB"/>
    <w:rsid w:val="00BB1DAE"/>
    <w:rsid w:val="00BB2091"/>
    <w:rsid w:val="00BB218D"/>
    <w:rsid w:val="00BB231A"/>
    <w:rsid w:val="00BB234A"/>
    <w:rsid w:val="00BB24AA"/>
    <w:rsid w:val="00BB25B4"/>
    <w:rsid w:val="00BB26A6"/>
    <w:rsid w:val="00BB270F"/>
    <w:rsid w:val="00BB2A75"/>
    <w:rsid w:val="00BB2AAC"/>
    <w:rsid w:val="00BB2B1B"/>
    <w:rsid w:val="00BB2FFE"/>
    <w:rsid w:val="00BB30C2"/>
    <w:rsid w:val="00BB3236"/>
    <w:rsid w:val="00BB326D"/>
    <w:rsid w:val="00BB35E4"/>
    <w:rsid w:val="00BB3638"/>
    <w:rsid w:val="00BB3A44"/>
    <w:rsid w:val="00BB3AB0"/>
    <w:rsid w:val="00BB3B58"/>
    <w:rsid w:val="00BB4064"/>
    <w:rsid w:val="00BB4324"/>
    <w:rsid w:val="00BB44AC"/>
    <w:rsid w:val="00BB48DD"/>
    <w:rsid w:val="00BB493F"/>
    <w:rsid w:val="00BB4BA0"/>
    <w:rsid w:val="00BB4BBD"/>
    <w:rsid w:val="00BB4C0E"/>
    <w:rsid w:val="00BB4C5B"/>
    <w:rsid w:val="00BB4DB8"/>
    <w:rsid w:val="00BB509F"/>
    <w:rsid w:val="00BB531E"/>
    <w:rsid w:val="00BB55EC"/>
    <w:rsid w:val="00BB5A88"/>
    <w:rsid w:val="00BB5B0B"/>
    <w:rsid w:val="00BB5DE3"/>
    <w:rsid w:val="00BB600A"/>
    <w:rsid w:val="00BB6160"/>
    <w:rsid w:val="00BB61F7"/>
    <w:rsid w:val="00BB66AB"/>
    <w:rsid w:val="00BB66B8"/>
    <w:rsid w:val="00BB66E3"/>
    <w:rsid w:val="00BB6A07"/>
    <w:rsid w:val="00BB6B27"/>
    <w:rsid w:val="00BB6DB0"/>
    <w:rsid w:val="00BB6DF3"/>
    <w:rsid w:val="00BB708A"/>
    <w:rsid w:val="00BB735F"/>
    <w:rsid w:val="00BB7507"/>
    <w:rsid w:val="00BB75C8"/>
    <w:rsid w:val="00BB7836"/>
    <w:rsid w:val="00BB7A0C"/>
    <w:rsid w:val="00BB7BA1"/>
    <w:rsid w:val="00BB7D4F"/>
    <w:rsid w:val="00BB7DC3"/>
    <w:rsid w:val="00BB7ED1"/>
    <w:rsid w:val="00BC01B0"/>
    <w:rsid w:val="00BC01E4"/>
    <w:rsid w:val="00BC06AE"/>
    <w:rsid w:val="00BC0724"/>
    <w:rsid w:val="00BC07BA"/>
    <w:rsid w:val="00BC08F7"/>
    <w:rsid w:val="00BC0A77"/>
    <w:rsid w:val="00BC0CB4"/>
    <w:rsid w:val="00BC10E7"/>
    <w:rsid w:val="00BC11D8"/>
    <w:rsid w:val="00BC1519"/>
    <w:rsid w:val="00BC155A"/>
    <w:rsid w:val="00BC15FF"/>
    <w:rsid w:val="00BC176A"/>
    <w:rsid w:val="00BC1975"/>
    <w:rsid w:val="00BC199F"/>
    <w:rsid w:val="00BC1DE8"/>
    <w:rsid w:val="00BC1E5A"/>
    <w:rsid w:val="00BC1F4A"/>
    <w:rsid w:val="00BC2071"/>
    <w:rsid w:val="00BC21D7"/>
    <w:rsid w:val="00BC21E7"/>
    <w:rsid w:val="00BC26EB"/>
    <w:rsid w:val="00BC2710"/>
    <w:rsid w:val="00BC2790"/>
    <w:rsid w:val="00BC28B8"/>
    <w:rsid w:val="00BC2A58"/>
    <w:rsid w:val="00BC2BF8"/>
    <w:rsid w:val="00BC2C9C"/>
    <w:rsid w:val="00BC2CEE"/>
    <w:rsid w:val="00BC2F51"/>
    <w:rsid w:val="00BC2F81"/>
    <w:rsid w:val="00BC3077"/>
    <w:rsid w:val="00BC313F"/>
    <w:rsid w:val="00BC3904"/>
    <w:rsid w:val="00BC398B"/>
    <w:rsid w:val="00BC39F2"/>
    <w:rsid w:val="00BC3C44"/>
    <w:rsid w:val="00BC3E1E"/>
    <w:rsid w:val="00BC3ED2"/>
    <w:rsid w:val="00BC41DB"/>
    <w:rsid w:val="00BC41E3"/>
    <w:rsid w:val="00BC41FB"/>
    <w:rsid w:val="00BC4325"/>
    <w:rsid w:val="00BC479B"/>
    <w:rsid w:val="00BC4F36"/>
    <w:rsid w:val="00BC50BE"/>
    <w:rsid w:val="00BC5126"/>
    <w:rsid w:val="00BC52D0"/>
    <w:rsid w:val="00BC5360"/>
    <w:rsid w:val="00BC5400"/>
    <w:rsid w:val="00BC547C"/>
    <w:rsid w:val="00BC562C"/>
    <w:rsid w:val="00BC574F"/>
    <w:rsid w:val="00BC5B79"/>
    <w:rsid w:val="00BC5DA9"/>
    <w:rsid w:val="00BC630B"/>
    <w:rsid w:val="00BC6409"/>
    <w:rsid w:val="00BC6619"/>
    <w:rsid w:val="00BC67E3"/>
    <w:rsid w:val="00BC67F1"/>
    <w:rsid w:val="00BC684E"/>
    <w:rsid w:val="00BC68BE"/>
    <w:rsid w:val="00BC6D6D"/>
    <w:rsid w:val="00BC6F5B"/>
    <w:rsid w:val="00BC703A"/>
    <w:rsid w:val="00BC7148"/>
    <w:rsid w:val="00BC71AF"/>
    <w:rsid w:val="00BC722F"/>
    <w:rsid w:val="00BC73B2"/>
    <w:rsid w:val="00BC756F"/>
    <w:rsid w:val="00BC7841"/>
    <w:rsid w:val="00BC7957"/>
    <w:rsid w:val="00BC7A27"/>
    <w:rsid w:val="00BC7B03"/>
    <w:rsid w:val="00BC7B80"/>
    <w:rsid w:val="00BC7D2D"/>
    <w:rsid w:val="00BD0063"/>
    <w:rsid w:val="00BD02F2"/>
    <w:rsid w:val="00BD0822"/>
    <w:rsid w:val="00BD0A92"/>
    <w:rsid w:val="00BD1789"/>
    <w:rsid w:val="00BD1CC5"/>
    <w:rsid w:val="00BD2106"/>
    <w:rsid w:val="00BD2192"/>
    <w:rsid w:val="00BD22EE"/>
    <w:rsid w:val="00BD24C2"/>
    <w:rsid w:val="00BD26B5"/>
    <w:rsid w:val="00BD27DF"/>
    <w:rsid w:val="00BD2A52"/>
    <w:rsid w:val="00BD2A54"/>
    <w:rsid w:val="00BD2AED"/>
    <w:rsid w:val="00BD2AF2"/>
    <w:rsid w:val="00BD2BCB"/>
    <w:rsid w:val="00BD2C62"/>
    <w:rsid w:val="00BD2DAC"/>
    <w:rsid w:val="00BD306C"/>
    <w:rsid w:val="00BD32E9"/>
    <w:rsid w:val="00BD341C"/>
    <w:rsid w:val="00BD34FF"/>
    <w:rsid w:val="00BD353B"/>
    <w:rsid w:val="00BD35B1"/>
    <w:rsid w:val="00BD3614"/>
    <w:rsid w:val="00BD383E"/>
    <w:rsid w:val="00BD3A08"/>
    <w:rsid w:val="00BD3EFB"/>
    <w:rsid w:val="00BD41A6"/>
    <w:rsid w:val="00BD4276"/>
    <w:rsid w:val="00BD4B70"/>
    <w:rsid w:val="00BD4D3D"/>
    <w:rsid w:val="00BD4E75"/>
    <w:rsid w:val="00BD4EDB"/>
    <w:rsid w:val="00BD4F7C"/>
    <w:rsid w:val="00BD4FD6"/>
    <w:rsid w:val="00BD5034"/>
    <w:rsid w:val="00BD518A"/>
    <w:rsid w:val="00BD52C4"/>
    <w:rsid w:val="00BD53EE"/>
    <w:rsid w:val="00BD5504"/>
    <w:rsid w:val="00BD555D"/>
    <w:rsid w:val="00BD55E1"/>
    <w:rsid w:val="00BD5875"/>
    <w:rsid w:val="00BD5C1B"/>
    <w:rsid w:val="00BD6340"/>
    <w:rsid w:val="00BD649C"/>
    <w:rsid w:val="00BD64C8"/>
    <w:rsid w:val="00BD684C"/>
    <w:rsid w:val="00BD6A11"/>
    <w:rsid w:val="00BD6DA2"/>
    <w:rsid w:val="00BD6F07"/>
    <w:rsid w:val="00BD703D"/>
    <w:rsid w:val="00BD7146"/>
    <w:rsid w:val="00BD74D9"/>
    <w:rsid w:val="00BD774B"/>
    <w:rsid w:val="00BD7AA1"/>
    <w:rsid w:val="00BD7C96"/>
    <w:rsid w:val="00BD7E2B"/>
    <w:rsid w:val="00BE025E"/>
    <w:rsid w:val="00BE049C"/>
    <w:rsid w:val="00BE07EF"/>
    <w:rsid w:val="00BE0A89"/>
    <w:rsid w:val="00BE0C0E"/>
    <w:rsid w:val="00BE0C32"/>
    <w:rsid w:val="00BE0CEB"/>
    <w:rsid w:val="00BE0F62"/>
    <w:rsid w:val="00BE0F7C"/>
    <w:rsid w:val="00BE0FE9"/>
    <w:rsid w:val="00BE1387"/>
    <w:rsid w:val="00BE1488"/>
    <w:rsid w:val="00BE15C7"/>
    <w:rsid w:val="00BE166E"/>
    <w:rsid w:val="00BE17C6"/>
    <w:rsid w:val="00BE19F8"/>
    <w:rsid w:val="00BE1EC9"/>
    <w:rsid w:val="00BE1F4C"/>
    <w:rsid w:val="00BE21A0"/>
    <w:rsid w:val="00BE2395"/>
    <w:rsid w:val="00BE2445"/>
    <w:rsid w:val="00BE2460"/>
    <w:rsid w:val="00BE2510"/>
    <w:rsid w:val="00BE2585"/>
    <w:rsid w:val="00BE290E"/>
    <w:rsid w:val="00BE2932"/>
    <w:rsid w:val="00BE2941"/>
    <w:rsid w:val="00BE2CF4"/>
    <w:rsid w:val="00BE2ED6"/>
    <w:rsid w:val="00BE303B"/>
    <w:rsid w:val="00BE3321"/>
    <w:rsid w:val="00BE3323"/>
    <w:rsid w:val="00BE3371"/>
    <w:rsid w:val="00BE344D"/>
    <w:rsid w:val="00BE359A"/>
    <w:rsid w:val="00BE35F4"/>
    <w:rsid w:val="00BE3782"/>
    <w:rsid w:val="00BE3FE6"/>
    <w:rsid w:val="00BE4073"/>
    <w:rsid w:val="00BE4301"/>
    <w:rsid w:val="00BE4346"/>
    <w:rsid w:val="00BE44BB"/>
    <w:rsid w:val="00BE45A1"/>
    <w:rsid w:val="00BE45EB"/>
    <w:rsid w:val="00BE47A0"/>
    <w:rsid w:val="00BE4963"/>
    <w:rsid w:val="00BE4A68"/>
    <w:rsid w:val="00BE4AB8"/>
    <w:rsid w:val="00BE4EA6"/>
    <w:rsid w:val="00BE52A8"/>
    <w:rsid w:val="00BE5426"/>
    <w:rsid w:val="00BE54D3"/>
    <w:rsid w:val="00BE575E"/>
    <w:rsid w:val="00BE5889"/>
    <w:rsid w:val="00BE5AF6"/>
    <w:rsid w:val="00BE5F8F"/>
    <w:rsid w:val="00BE6195"/>
    <w:rsid w:val="00BE61FB"/>
    <w:rsid w:val="00BE6628"/>
    <w:rsid w:val="00BE68BB"/>
    <w:rsid w:val="00BE695A"/>
    <w:rsid w:val="00BE6B16"/>
    <w:rsid w:val="00BE6B38"/>
    <w:rsid w:val="00BE7111"/>
    <w:rsid w:val="00BE7173"/>
    <w:rsid w:val="00BE7362"/>
    <w:rsid w:val="00BE7948"/>
    <w:rsid w:val="00BE7980"/>
    <w:rsid w:val="00BE7A0C"/>
    <w:rsid w:val="00BE7A4D"/>
    <w:rsid w:val="00BE7D3C"/>
    <w:rsid w:val="00BE7EBD"/>
    <w:rsid w:val="00BE7F8D"/>
    <w:rsid w:val="00BE7FD1"/>
    <w:rsid w:val="00BF024D"/>
    <w:rsid w:val="00BF0601"/>
    <w:rsid w:val="00BF0717"/>
    <w:rsid w:val="00BF0964"/>
    <w:rsid w:val="00BF0C3D"/>
    <w:rsid w:val="00BF0D5B"/>
    <w:rsid w:val="00BF0ECE"/>
    <w:rsid w:val="00BF0FB6"/>
    <w:rsid w:val="00BF10BD"/>
    <w:rsid w:val="00BF11B9"/>
    <w:rsid w:val="00BF14D6"/>
    <w:rsid w:val="00BF1538"/>
    <w:rsid w:val="00BF19AA"/>
    <w:rsid w:val="00BF237B"/>
    <w:rsid w:val="00BF2492"/>
    <w:rsid w:val="00BF2756"/>
    <w:rsid w:val="00BF2769"/>
    <w:rsid w:val="00BF27BD"/>
    <w:rsid w:val="00BF28F0"/>
    <w:rsid w:val="00BF28F2"/>
    <w:rsid w:val="00BF29AE"/>
    <w:rsid w:val="00BF2A50"/>
    <w:rsid w:val="00BF2AC4"/>
    <w:rsid w:val="00BF2AE8"/>
    <w:rsid w:val="00BF2C24"/>
    <w:rsid w:val="00BF2C40"/>
    <w:rsid w:val="00BF2CD1"/>
    <w:rsid w:val="00BF2D36"/>
    <w:rsid w:val="00BF2D3B"/>
    <w:rsid w:val="00BF2DB8"/>
    <w:rsid w:val="00BF308F"/>
    <w:rsid w:val="00BF34A4"/>
    <w:rsid w:val="00BF36B0"/>
    <w:rsid w:val="00BF3990"/>
    <w:rsid w:val="00BF3B24"/>
    <w:rsid w:val="00BF407D"/>
    <w:rsid w:val="00BF41D1"/>
    <w:rsid w:val="00BF41E0"/>
    <w:rsid w:val="00BF427A"/>
    <w:rsid w:val="00BF427C"/>
    <w:rsid w:val="00BF4515"/>
    <w:rsid w:val="00BF4BA5"/>
    <w:rsid w:val="00BF4C32"/>
    <w:rsid w:val="00BF5707"/>
    <w:rsid w:val="00BF5793"/>
    <w:rsid w:val="00BF57BF"/>
    <w:rsid w:val="00BF59A5"/>
    <w:rsid w:val="00BF59D7"/>
    <w:rsid w:val="00BF6004"/>
    <w:rsid w:val="00BF60B1"/>
    <w:rsid w:val="00BF60DC"/>
    <w:rsid w:val="00BF665F"/>
    <w:rsid w:val="00BF673C"/>
    <w:rsid w:val="00BF684D"/>
    <w:rsid w:val="00BF6C27"/>
    <w:rsid w:val="00BF6C92"/>
    <w:rsid w:val="00BF6DAF"/>
    <w:rsid w:val="00BF6EB4"/>
    <w:rsid w:val="00BF7069"/>
    <w:rsid w:val="00BF708D"/>
    <w:rsid w:val="00BF72F9"/>
    <w:rsid w:val="00BF7508"/>
    <w:rsid w:val="00BF7750"/>
    <w:rsid w:val="00BF7881"/>
    <w:rsid w:val="00BF78F4"/>
    <w:rsid w:val="00BF7A8B"/>
    <w:rsid w:val="00BF7B41"/>
    <w:rsid w:val="00BF7C99"/>
    <w:rsid w:val="00C00040"/>
    <w:rsid w:val="00C002D8"/>
    <w:rsid w:val="00C00A25"/>
    <w:rsid w:val="00C00D45"/>
    <w:rsid w:val="00C012DD"/>
    <w:rsid w:val="00C0130F"/>
    <w:rsid w:val="00C01349"/>
    <w:rsid w:val="00C01620"/>
    <w:rsid w:val="00C017E8"/>
    <w:rsid w:val="00C019F3"/>
    <w:rsid w:val="00C01B00"/>
    <w:rsid w:val="00C01E37"/>
    <w:rsid w:val="00C01E5C"/>
    <w:rsid w:val="00C02489"/>
    <w:rsid w:val="00C02853"/>
    <w:rsid w:val="00C02CC4"/>
    <w:rsid w:val="00C02CCC"/>
    <w:rsid w:val="00C03022"/>
    <w:rsid w:val="00C03270"/>
    <w:rsid w:val="00C03504"/>
    <w:rsid w:val="00C0354F"/>
    <w:rsid w:val="00C036D1"/>
    <w:rsid w:val="00C038A2"/>
    <w:rsid w:val="00C039DA"/>
    <w:rsid w:val="00C039E3"/>
    <w:rsid w:val="00C03A53"/>
    <w:rsid w:val="00C03CAA"/>
    <w:rsid w:val="00C03EAC"/>
    <w:rsid w:val="00C04281"/>
    <w:rsid w:val="00C045CB"/>
    <w:rsid w:val="00C04A20"/>
    <w:rsid w:val="00C04BA6"/>
    <w:rsid w:val="00C04ED1"/>
    <w:rsid w:val="00C050E1"/>
    <w:rsid w:val="00C0513B"/>
    <w:rsid w:val="00C05363"/>
    <w:rsid w:val="00C053C5"/>
    <w:rsid w:val="00C0566D"/>
    <w:rsid w:val="00C05692"/>
    <w:rsid w:val="00C05777"/>
    <w:rsid w:val="00C058B4"/>
    <w:rsid w:val="00C058DA"/>
    <w:rsid w:val="00C05B12"/>
    <w:rsid w:val="00C05B78"/>
    <w:rsid w:val="00C05D26"/>
    <w:rsid w:val="00C05DE3"/>
    <w:rsid w:val="00C05FB8"/>
    <w:rsid w:val="00C060EA"/>
    <w:rsid w:val="00C06334"/>
    <w:rsid w:val="00C06537"/>
    <w:rsid w:val="00C06594"/>
    <w:rsid w:val="00C06705"/>
    <w:rsid w:val="00C068BF"/>
    <w:rsid w:val="00C06AC5"/>
    <w:rsid w:val="00C06B06"/>
    <w:rsid w:val="00C070D9"/>
    <w:rsid w:val="00C07224"/>
    <w:rsid w:val="00C075AB"/>
    <w:rsid w:val="00C078C2"/>
    <w:rsid w:val="00C07C11"/>
    <w:rsid w:val="00C100D2"/>
    <w:rsid w:val="00C1013B"/>
    <w:rsid w:val="00C10437"/>
    <w:rsid w:val="00C10551"/>
    <w:rsid w:val="00C10875"/>
    <w:rsid w:val="00C10C0F"/>
    <w:rsid w:val="00C10DA6"/>
    <w:rsid w:val="00C10E82"/>
    <w:rsid w:val="00C10EF1"/>
    <w:rsid w:val="00C11185"/>
    <w:rsid w:val="00C11359"/>
    <w:rsid w:val="00C1148B"/>
    <w:rsid w:val="00C1166A"/>
    <w:rsid w:val="00C116FB"/>
    <w:rsid w:val="00C11748"/>
    <w:rsid w:val="00C117F1"/>
    <w:rsid w:val="00C11809"/>
    <w:rsid w:val="00C1191C"/>
    <w:rsid w:val="00C119AC"/>
    <w:rsid w:val="00C11A60"/>
    <w:rsid w:val="00C11E32"/>
    <w:rsid w:val="00C124D0"/>
    <w:rsid w:val="00C125E9"/>
    <w:rsid w:val="00C12617"/>
    <w:rsid w:val="00C1274A"/>
    <w:rsid w:val="00C127F6"/>
    <w:rsid w:val="00C127FD"/>
    <w:rsid w:val="00C12846"/>
    <w:rsid w:val="00C12A7D"/>
    <w:rsid w:val="00C12C16"/>
    <w:rsid w:val="00C12CCD"/>
    <w:rsid w:val="00C12D3B"/>
    <w:rsid w:val="00C12D94"/>
    <w:rsid w:val="00C12E07"/>
    <w:rsid w:val="00C12F01"/>
    <w:rsid w:val="00C130DC"/>
    <w:rsid w:val="00C135B0"/>
    <w:rsid w:val="00C13600"/>
    <w:rsid w:val="00C1395B"/>
    <w:rsid w:val="00C139C0"/>
    <w:rsid w:val="00C139CC"/>
    <w:rsid w:val="00C13DE0"/>
    <w:rsid w:val="00C13DF6"/>
    <w:rsid w:val="00C13E3F"/>
    <w:rsid w:val="00C1406C"/>
    <w:rsid w:val="00C14422"/>
    <w:rsid w:val="00C144CA"/>
    <w:rsid w:val="00C14607"/>
    <w:rsid w:val="00C14718"/>
    <w:rsid w:val="00C148B1"/>
    <w:rsid w:val="00C149F3"/>
    <w:rsid w:val="00C14A12"/>
    <w:rsid w:val="00C14F1F"/>
    <w:rsid w:val="00C14F6F"/>
    <w:rsid w:val="00C15184"/>
    <w:rsid w:val="00C152CA"/>
    <w:rsid w:val="00C1535C"/>
    <w:rsid w:val="00C15773"/>
    <w:rsid w:val="00C1584D"/>
    <w:rsid w:val="00C1588E"/>
    <w:rsid w:val="00C1595E"/>
    <w:rsid w:val="00C1597C"/>
    <w:rsid w:val="00C1597E"/>
    <w:rsid w:val="00C15AB8"/>
    <w:rsid w:val="00C15BA2"/>
    <w:rsid w:val="00C15BCA"/>
    <w:rsid w:val="00C15E24"/>
    <w:rsid w:val="00C15EE3"/>
    <w:rsid w:val="00C1649F"/>
    <w:rsid w:val="00C16633"/>
    <w:rsid w:val="00C166B5"/>
    <w:rsid w:val="00C1724C"/>
    <w:rsid w:val="00C1727B"/>
    <w:rsid w:val="00C1728B"/>
    <w:rsid w:val="00C17370"/>
    <w:rsid w:val="00C173BF"/>
    <w:rsid w:val="00C173F5"/>
    <w:rsid w:val="00C17412"/>
    <w:rsid w:val="00C1789F"/>
    <w:rsid w:val="00C17959"/>
    <w:rsid w:val="00C17D47"/>
    <w:rsid w:val="00C20157"/>
    <w:rsid w:val="00C20410"/>
    <w:rsid w:val="00C2054E"/>
    <w:rsid w:val="00C205E7"/>
    <w:rsid w:val="00C206FE"/>
    <w:rsid w:val="00C20C1D"/>
    <w:rsid w:val="00C21876"/>
    <w:rsid w:val="00C21C3C"/>
    <w:rsid w:val="00C21DD6"/>
    <w:rsid w:val="00C21FD3"/>
    <w:rsid w:val="00C22077"/>
    <w:rsid w:val="00C224F0"/>
    <w:rsid w:val="00C22652"/>
    <w:rsid w:val="00C22757"/>
    <w:rsid w:val="00C22933"/>
    <w:rsid w:val="00C22B80"/>
    <w:rsid w:val="00C22D58"/>
    <w:rsid w:val="00C22DBE"/>
    <w:rsid w:val="00C22F49"/>
    <w:rsid w:val="00C22FAC"/>
    <w:rsid w:val="00C2379F"/>
    <w:rsid w:val="00C239F9"/>
    <w:rsid w:val="00C23AE2"/>
    <w:rsid w:val="00C23D7E"/>
    <w:rsid w:val="00C23ECB"/>
    <w:rsid w:val="00C23F99"/>
    <w:rsid w:val="00C2423A"/>
    <w:rsid w:val="00C242E6"/>
    <w:rsid w:val="00C24394"/>
    <w:rsid w:val="00C24591"/>
    <w:rsid w:val="00C24792"/>
    <w:rsid w:val="00C24AC7"/>
    <w:rsid w:val="00C24B0F"/>
    <w:rsid w:val="00C24B5A"/>
    <w:rsid w:val="00C24E4B"/>
    <w:rsid w:val="00C2547F"/>
    <w:rsid w:val="00C254F8"/>
    <w:rsid w:val="00C257D5"/>
    <w:rsid w:val="00C2587F"/>
    <w:rsid w:val="00C25890"/>
    <w:rsid w:val="00C25CB2"/>
    <w:rsid w:val="00C25DB6"/>
    <w:rsid w:val="00C25E9C"/>
    <w:rsid w:val="00C26176"/>
    <w:rsid w:val="00C261FF"/>
    <w:rsid w:val="00C26604"/>
    <w:rsid w:val="00C266EC"/>
    <w:rsid w:val="00C26BFD"/>
    <w:rsid w:val="00C26DC2"/>
    <w:rsid w:val="00C26E03"/>
    <w:rsid w:val="00C26E0A"/>
    <w:rsid w:val="00C26E75"/>
    <w:rsid w:val="00C26F83"/>
    <w:rsid w:val="00C2709D"/>
    <w:rsid w:val="00C274F4"/>
    <w:rsid w:val="00C276B5"/>
    <w:rsid w:val="00C277C0"/>
    <w:rsid w:val="00C2788D"/>
    <w:rsid w:val="00C278FC"/>
    <w:rsid w:val="00C27911"/>
    <w:rsid w:val="00C27C31"/>
    <w:rsid w:val="00C27FD8"/>
    <w:rsid w:val="00C300EF"/>
    <w:rsid w:val="00C3010C"/>
    <w:rsid w:val="00C301F8"/>
    <w:rsid w:val="00C3055F"/>
    <w:rsid w:val="00C306E7"/>
    <w:rsid w:val="00C3074A"/>
    <w:rsid w:val="00C3075A"/>
    <w:rsid w:val="00C3084F"/>
    <w:rsid w:val="00C30A08"/>
    <w:rsid w:val="00C30A3C"/>
    <w:rsid w:val="00C30DF4"/>
    <w:rsid w:val="00C31270"/>
    <w:rsid w:val="00C31420"/>
    <w:rsid w:val="00C314ED"/>
    <w:rsid w:val="00C316A9"/>
    <w:rsid w:val="00C317D4"/>
    <w:rsid w:val="00C3183E"/>
    <w:rsid w:val="00C31F99"/>
    <w:rsid w:val="00C323D7"/>
    <w:rsid w:val="00C3260C"/>
    <w:rsid w:val="00C326F6"/>
    <w:rsid w:val="00C32C31"/>
    <w:rsid w:val="00C32D32"/>
    <w:rsid w:val="00C32D96"/>
    <w:rsid w:val="00C32DC9"/>
    <w:rsid w:val="00C32DED"/>
    <w:rsid w:val="00C32E1C"/>
    <w:rsid w:val="00C32F31"/>
    <w:rsid w:val="00C331A7"/>
    <w:rsid w:val="00C3336F"/>
    <w:rsid w:val="00C335F2"/>
    <w:rsid w:val="00C33659"/>
    <w:rsid w:val="00C336D3"/>
    <w:rsid w:val="00C3384F"/>
    <w:rsid w:val="00C33867"/>
    <w:rsid w:val="00C339AD"/>
    <w:rsid w:val="00C33FBB"/>
    <w:rsid w:val="00C34048"/>
    <w:rsid w:val="00C3439C"/>
    <w:rsid w:val="00C3473C"/>
    <w:rsid w:val="00C348DB"/>
    <w:rsid w:val="00C353FE"/>
    <w:rsid w:val="00C35461"/>
    <w:rsid w:val="00C356AA"/>
    <w:rsid w:val="00C356D6"/>
    <w:rsid w:val="00C3587D"/>
    <w:rsid w:val="00C35D6C"/>
    <w:rsid w:val="00C35EAF"/>
    <w:rsid w:val="00C36008"/>
    <w:rsid w:val="00C36165"/>
    <w:rsid w:val="00C3616E"/>
    <w:rsid w:val="00C363C6"/>
    <w:rsid w:val="00C366A7"/>
    <w:rsid w:val="00C36A46"/>
    <w:rsid w:val="00C36EDF"/>
    <w:rsid w:val="00C36F9B"/>
    <w:rsid w:val="00C36F9E"/>
    <w:rsid w:val="00C36FF6"/>
    <w:rsid w:val="00C37115"/>
    <w:rsid w:val="00C3721D"/>
    <w:rsid w:val="00C374CC"/>
    <w:rsid w:val="00C37663"/>
    <w:rsid w:val="00C3775C"/>
    <w:rsid w:val="00C37808"/>
    <w:rsid w:val="00C37868"/>
    <w:rsid w:val="00C37DEB"/>
    <w:rsid w:val="00C37FCB"/>
    <w:rsid w:val="00C4025C"/>
    <w:rsid w:val="00C40326"/>
    <w:rsid w:val="00C40393"/>
    <w:rsid w:val="00C40477"/>
    <w:rsid w:val="00C408A0"/>
    <w:rsid w:val="00C40EBD"/>
    <w:rsid w:val="00C40FD3"/>
    <w:rsid w:val="00C4119B"/>
    <w:rsid w:val="00C412F9"/>
    <w:rsid w:val="00C4137B"/>
    <w:rsid w:val="00C41427"/>
    <w:rsid w:val="00C415D0"/>
    <w:rsid w:val="00C41D14"/>
    <w:rsid w:val="00C41D21"/>
    <w:rsid w:val="00C41EC4"/>
    <w:rsid w:val="00C42342"/>
    <w:rsid w:val="00C42368"/>
    <w:rsid w:val="00C42395"/>
    <w:rsid w:val="00C42AB8"/>
    <w:rsid w:val="00C42FD0"/>
    <w:rsid w:val="00C431EE"/>
    <w:rsid w:val="00C432AA"/>
    <w:rsid w:val="00C43462"/>
    <w:rsid w:val="00C43692"/>
    <w:rsid w:val="00C43929"/>
    <w:rsid w:val="00C4397D"/>
    <w:rsid w:val="00C43B1E"/>
    <w:rsid w:val="00C43CA8"/>
    <w:rsid w:val="00C43CC7"/>
    <w:rsid w:val="00C44050"/>
    <w:rsid w:val="00C44352"/>
    <w:rsid w:val="00C443FB"/>
    <w:rsid w:val="00C4462C"/>
    <w:rsid w:val="00C44658"/>
    <w:rsid w:val="00C44BCA"/>
    <w:rsid w:val="00C44EFC"/>
    <w:rsid w:val="00C44FE0"/>
    <w:rsid w:val="00C4511A"/>
    <w:rsid w:val="00C45683"/>
    <w:rsid w:val="00C456B0"/>
    <w:rsid w:val="00C4589A"/>
    <w:rsid w:val="00C45ACD"/>
    <w:rsid w:val="00C45BBA"/>
    <w:rsid w:val="00C45C25"/>
    <w:rsid w:val="00C45D24"/>
    <w:rsid w:val="00C45E9E"/>
    <w:rsid w:val="00C45EE7"/>
    <w:rsid w:val="00C45FA9"/>
    <w:rsid w:val="00C460DE"/>
    <w:rsid w:val="00C46447"/>
    <w:rsid w:val="00C46605"/>
    <w:rsid w:val="00C4660A"/>
    <w:rsid w:val="00C467FA"/>
    <w:rsid w:val="00C46C9E"/>
    <w:rsid w:val="00C46D59"/>
    <w:rsid w:val="00C47038"/>
    <w:rsid w:val="00C4715E"/>
    <w:rsid w:val="00C47185"/>
    <w:rsid w:val="00C471F9"/>
    <w:rsid w:val="00C472A8"/>
    <w:rsid w:val="00C473C0"/>
    <w:rsid w:val="00C47448"/>
    <w:rsid w:val="00C47765"/>
    <w:rsid w:val="00C47826"/>
    <w:rsid w:val="00C47A3F"/>
    <w:rsid w:val="00C47A73"/>
    <w:rsid w:val="00C47B38"/>
    <w:rsid w:val="00C47D1B"/>
    <w:rsid w:val="00C47ED3"/>
    <w:rsid w:val="00C47F93"/>
    <w:rsid w:val="00C50256"/>
    <w:rsid w:val="00C502F3"/>
    <w:rsid w:val="00C50348"/>
    <w:rsid w:val="00C50368"/>
    <w:rsid w:val="00C503A1"/>
    <w:rsid w:val="00C5094F"/>
    <w:rsid w:val="00C509CA"/>
    <w:rsid w:val="00C50B8A"/>
    <w:rsid w:val="00C50BC7"/>
    <w:rsid w:val="00C50E48"/>
    <w:rsid w:val="00C50EB4"/>
    <w:rsid w:val="00C50F37"/>
    <w:rsid w:val="00C50FC8"/>
    <w:rsid w:val="00C51232"/>
    <w:rsid w:val="00C5134A"/>
    <w:rsid w:val="00C51361"/>
    <w:rsid w:val="00C513E8"/>
    <w:rsid w:val="00C51CA3"/>
    <w:rsid w:val="00C51CE0"/>
    <w:rsid w:val="00C51FF4"/>
    <w:rsid w:val="00C520EE"/>
    <w:rsid w:val="00C521FD"/>
    <w:rsid w:val="00C529C6"/>
    <w:rsid w:val="00C52A50"/>
    <w:rsid w:val="00C52A7E"/>
    <w:rsid w:val="00C52AA1"/>
    <w:rsid w:val="00C52B3A"/>
    <w:rsid w:val="00C52BBD"/>
    <w:rsid w:val="00C52CD1"/>
    <w:rsid w:val="00C52DF7"/>
    <w:rsid w:val="00C52ECA"/>
    <w:rsid w:val="00C53105"/>
    <w:rsid w:val="00C5328B"/>
    <w:rsid w:val="00C53382"/>
    <w:rsid w:val="00C5349E"/>
    <w:rsid w:val="00C535EA"/>
    <w:rsid w:val="00C539F6"/>
    <w:rsid w:val="00C53AA7"/>
    <w:rsid w:val="00C53C0F"/>
    <w:rsid w:val="00C53D68"/>
    <w:rsid w:val="00C542AD"/>
    <w:rsid w:val="00C54A7A"/>
    <w:rsid w:val="00C54A90"/>
    <w:rsid w:val="00C54DEA"/>
    <w:rsid w:val="00C54DF6"/>
    <w:rsid w:val="00C556A3"/>
    <w:rsid w:val="00C556B8"/>
    <w:rsid w:val="00C557B0"/>
    <w:rsid w:val="00C55E7C"/>
    <w:rsid w:val="00C55EEC"/>
    <w:rsid w:val="00C561A9"/>
    <w:rsid w:val="00C5622F"/>
    <w:rsid w:val="00C56470"/>
    <w:rsid w:val="00C56698"/>
    <w:rsid w:val="00C5687E"/>
    <w:rsid w:val="00C568B0"/>
    <w:rsid w:val="00C569F9"/>
    <w:rsid w:val="00C56BE1"/>
    <w:rsid w:val="00C56F37"/>
    <w:rsid w:val="00C5700B"/>
    <w:rsid w:val="00C5726A"/>
    <w:rsid w:val="00C573F6"/>
    <w:rsid w:val="00C5773B"/>
    <w:rsid w:val="00C577BE"/>
    <w:rsid w:val="00C57B50"/>
    <w:rsid w:val="00C57C40"/>
    <w:rsid w:val="00C57D54"/>
    <w:rsid w:val="00C57F01"/>
    <w:rsid w:val="00C60043"/>
    <w:rsid w:val="00C60059"/>
    <w:rsid w:val="00C6045A"/>
    <w:rsid w:val="00C604BA"/>
    <w:rsid w:val="00C604D2"/>
    <w:rsid w:val="00C605CA"/>
    <w:rsid w:val="00C60704"/>
    <w:rsid w:val="00C608CE"/>
    <w:rsid w:val="00C6097C"/>
    <w:rsid w:val="00C60A61"/>
    <w:rsid w:val="00C60B92"/>
    <w:rsid w:val="00C60C06"/>
    <w:rsid w:val="00C60C60"/>
    <w:rsid w:val="00C60DAA"/>
    <w:rsid w:val="00C61217"/>
    <w:rsid w:val="00C6127D"/>
    <w:rsid w:val="00C612BD"/>
    <w:rsid w:val="00C61FDB"/>
    <w:rsid w:val="00C6233D"/>
    <w:rsid w:val="00C62402"/>
    <w:rsid w:val="00C6276E"/>
    <w:rsid w:val="00C62BD7"/>
    <w:rsid w:val="00C62D17"/>
    <w:rsid w:val="00C62E9E"/>
    <w:rsid w:val="00C62FE2"/>
    <w:rsid w:val="00C630A3"/>
    <w:rsid w:val="00C630B7"/>
    <w:rsid w:val="00C6311C"/>
    <w:rsid w:val="00C6329D"/>
    <w:rsid w:val="00C63318"/>
    <w:rsid w:val="00C634F9"/>
    <w:rsid w:val="00C636B7"/>
    <w:rsid w:val="00C636BC"/>
    <w:rsid w:val="00C638CE"/>
    <w:rsid w:val="00C63B58"/>
    <w:rsid w:val="00C63C91"/>
    <w:rsid w:val="00C63DCB"/>
    <w:rsid w:val="00C64333"/>
    <w:rsid w:val="00C64358"/>
    <w:rsid w:val="00C646D6"/>
    <w:rsid w:val="00C647F4"/>
    <w:rsid w:val="00C64C85"/>
    <w:rsid w:val="00C650F4"/>
    <w:rsid w:val="00C65209"/>
    <w:rsid w:val="00C65249"/>
    <w:rsid w:val="00C6546F"/>
    <w:rsid w:val="00C65690"/>
    <w:rsid w:val="00C65814"/>
    <w:rsid w:val="00C659DE"/>
    <w:rsid w:val="00C65B22"/>
    <w:rsid w:val="00C65BCF"/>
    <w:rsid w:val="00C660B2"/>
    <w:rsid w:val="00C66564"/>
    <w:rsid w:val="00C668D6"/>
    <w:rsid w:val="00C66BE1"/>
    <w:rsid w:val="00C66C42"/>
    <w:rsid w:val="00C66E8D"/>
    <w:rsid w:val="00C66ED6"/>
    <w:rsid w:val="00C66F01"/>
    <w:rsid w:val="00C67038"/>
    <w:rsid w:val="00C67102"/>
    <w:rsid w:val="00C671C3"/>
    <w:rsid w:val="00C67216"/>
    <w:rsid w:val="00C67299"/>
    <w:rsid w:val="00C672E3"/>
    <w:rsid w:val="00C6739E"/>
    <w:rsid w:val="00C67493"/>
    <w:rsid w:val="00C6776F"/>
    <w:rsid w:val="00C677E1"/>
    <w:rsid w:val="00C67E31"/>
    <w:rsid w:val="00C67F8B"/>
    <w:rsid w:val="00C70000"/>
    <w:rsid w:val="00C700B6"/>
    <w:rsid w:val="00C7020F"/>
    <w:rsid w:val="00C703AB"/>
    <w:rsid w:val="00C706B0"/>
    <w:rsid w:val="00C7096E"/>
    <w:rsid w:val="00C70B1B"/>
    <w:rsid w:val="00C70B29"/>
    <w:rsid w:val="00C70E04"/>
    <w:rsid w:val="00C70F7A"/>
    <w:rsid w:val="00C71042"/>
    <w:rsid w:val="00C710B0"/>
    <w:rsid w:val="00C711B8"/>
    <w:rsid w:val="00C71294"/>
    <w:rsid w:val="00C71A4D"/>
    <w:rsid w:val="00C71BE0"/>
    <w:rsid w:val="00C721A5"/>
    <w:rsid w:val="00C721ED"/>
    <w:rsid w:val="00C72229"/>
    <w:rsid w:val="00C72434"/>
    <w:rsid w:val="00C72691"/>
    <w:rsid w:val="00C726FC"/>
    <w:rsid w:val="00C72759"/>
    <w:rsid w:val="00C72A15"/>
    <w:rsid w:val="00C72B7E"/>
    <w:rsid w:val="00C72E22"/>
    <w:rsid w:val="00C73061"/>
    <w:rsid w:val="00C7334F"/>
    <w:rsid w:val="00C73438"/>
    <w:rsid w:val="00C73466"/>
    <w:rsid w:val="00C73472"/>
    <w:rsid w:val="00C7352F"/>
    <w:rsid w:val="00C73662"/>
    <w:rsid w:val="00C736F7"/>
    <w:rsid w:val="00C73BCC"/>
    <w:rsid w:val="00C73C30"/>
    <w:rsid w:val="00C73CC3"/>
    <w:rsid w:val="00C73D00"/>
    <w:rsid w:val="00C74033"/>
    <w:rsid w:val="00C74257"/>
    <w:rsid w:val="00C743DB"/>
    <w:rsid w:val="00C749E7"/>
    <w:rsid w:val="00C74C43"/>
    <w:rsid w:val="00C74D10"/>
    <w:rsid w:val="00C75011"/>
    <w:rsid w:val="00C752B3"/>
    <w:rsid w:val="00C758EF"/>
    <w:rsid w:val="00C75B9C"/>
    <w:rsid w:val="00C75C3F"/>
    <w:rsid w:val="00C75D79"/>
    <w:rsid w:val="00C75E71"/>
    <w:rsid w:val="00C75F66"/>
    <w:rsid w:val="00C7601D"/>
    <w:rsid w:val="00C762EA"/>
    <w:rsid w:val="00C76382"/>
    <w:rsid w:val="00C7641D"/>
    <w:rsid w:val="00C765BC"/>
    <w:rsid w:val="00C76668"/>
    <w:rsid w:val="00C766CB"/>
    <w:rsid w:val="00C76B64"/>
    <w:rsid w:val="00C76F1F"/>
    <w:rsid w:val="00C76FCF"/>
    <w:rsid w:val="00C76FF1"/>
    <w:rsid w:val="00C77038"/>
    <w:rsid w:val="00C771B5"/>
    <w:rsid w:val="00C77259"/>
    <w:rsid w:val="00C7725F"/>
    <w:rsid w:val="00C77390"/>
    <w:rsid w:val="00C77398"/>
    <w:rsid w:val="00C775DE"/>
    <w:rsid w:val="00C775EB"/>
    <w:rsid w:val="00C77792"/>
    <w:rsid w:val="00C779E8"/>
    <w:rsid w:val="00C77A4B"/>
    <w:rsid w:val="00C77A88"/>
    <w:rsid w:val="00C77D5D"/>
    <w:rsid w:val="00C77EB5"/>
    <w:rsid w:val="00C8012F"/>
    <w:rsid w:val="00C80308"/>
    <w:rsid w:val="00C803F4"/>
    <w:rsid w:val="00C803FD"/>
    <w:rsid w:val="00C80597"/>
    <w:rsid w:val="00C805CA"/>
    <w:rsid w:val="00C80616"/>
    <w:rsid w:val="00C80732"/>
    <w:rsid w:val="00C80ADC"/>
    <w:rsid w:val="00C80B8D"/>
    <w:rsid w:val="00C810A5"/>
    <w:rsid w:val="00C812C9"/>
    <w:rsid w:val="00C8195E"/>
    <w:rsid w:val="00C819D6"/>
    <w:rsid w:val="00C81D3D"/>
    <w:rsid w:val="00C82213"/>
    <w:rsid w:val="00C82432"/>
    <w:rsid w:val="00C82462"/>
    <w:rsid w:val="00C825C6"/>
    <w:rsid w:val="00C82634"/>
    <w:rsid w:val="00C82651"/>
    <w:rsid w:val="00C82717"/>
    <w:rsid w:val="00C82966"/>
    <w:rsid w:val="00C82BF2"/>
    <w:rsid w:val="00C82C5B"/>
    <w:rsid w:val="00C82E78"/>
    <w:rsid w:val="00C831FA"/>
    <w:rsid w:val="00C8328A"/>
    <w:rsid w:val="00C832B0"/>
    <w:rsid w:val="00C834BC"/>
    <w:rsid w:val="00C83538"/>
    <w:rsid w:val="00C8354B"/>
    <w:rsid w:val="00C8371C"/>
    <w:rsid w:val="00C83762"/>
    <w:rsid w:val="00C83886"/>
    <w:rsid w:val="00C83B9A"/>
    <w:rsid w:val="00C83C4C"/>
    <w:rsid w:val="00C83DCE"/>
    <w:rsid w:val="00C84023"/>
    <w:rsid w:val="00C8470A"/>
    <w:rsid w:val="00C8489B"/>
    <w:rsid w:val="00C84F22"/>
    <w:rsid w:val="00C857AE"/>
    <w:rsid w:val="00C85806"/>
    <w:rsid w:val="00C85896"/>
    <w:rsid w:val="00C85C46"/>
    <w:rsid w:val="00C85D17"/>
    <w:rsid w:val="00C861D3"/>
    <w:rsid w:val="00C863AB"/>
    <w:rsid w:val="00C8645A"/>
    <w:rsid w:val="00C86642"/>
    <w:rsid w:val="00C86792"/>
    <w:rsid w:val="00C867BA"/>
    <w:rsid w:val="00C86933"/>
    <w:rsid w:val="00C86A11"/>
    <w:rsid w:val="00C86C9B"/>
    <w:rsid w:val="00C86E5C"/>
    <w:rsid w:val="00C86F92"/>
    <w:rsid w:val="00C872F0"/>
    <w:rsid w:val="00C8750D"/>
    <w:rsid w:val="00C87947"/>
    <w:rsid w:val="00C87CEA"/>
    <w:rsid w:val="00C87D2C"/>
    <w:rsid w:val="00C900B9"/>
    <w:rsid w:val="00C90207"/>
    <w:rsid w:val="00C90936"/>
    <w:rsid w:val="00C9093E"/>
    <w:rsid w:val="00C90F4C"/>
    <w:rsid w:val="00C9100B"/>
    <w:rsid w:val="00C91136"/>
    <w:rsid w:val="00C91307"/>
    <w:rsid w:val="00C91630"/>
    <w:rsid w:val="00C91B98"/>
    <w:rsid w:val="00C91CC1"/>
    <w:rsid w:val="00C91E4A"/>
    <w:rsid w:val="00C92174"/>
    <w:rsid w:val="00C9218F"/>
    <w:rsid w:val="00C921B1"/>
    <w:rsid w:val="00C921B8"/>
    <w:rsid w:val="00C92378"/>
    <w:rsid w:val="00C92831"/>
    <w:rsid w:val="00C9298C"/>
    <w:rsid w:val="00C92CC3"/>
    <w:rsid w:val="00C92D60"/>
    <w:rsid w:val="00C92F4B"/>
    <w:rsid w:val="00C933AF"/>
    <w:rsid w:val="00C93628"/>
    <w:rsid w:val="00C93A14"/>
    <w:rsid w:val="00C93B50"/>
    <w:rsid w:val="00C93EA5"/>
    <w:rsid w:val="00C94022"/>
    <w:rsid w:val="00C94190"/>
    <w:rsid w:val="00C94361"/>
    <w:rsid w:val="00C94628"/>
    <w:rsid w:val="00C9473F"/>
    <w:rsid w:val="00C94854"/>
    <w:rsid w:val="00C948BB"/>
    <w:rsid w:val="00C94AA7"/>
    <w:rsid w:val="00C94B4C"/>
    <w:rsid w:val="00C94BC4"/>
    <w:rsid w:val="00C94E5B"/>
    <w:rsid w:val="00C950B5"/>
    <w:rsid w:val="00C9519B"/>
    <w:rsid w:val="00C95230"/>
    <w:rsid w:val="00C95594"/>
    <w:rsid w:val="00C95607"/>
    <w:rsid w:val="00C956CF"/>
    <w:rsid w:val="00C956DE"/>
    <w:rsid w:val="00C959FB"/>
    <w:rsid w:val="00C95C03"/>
    <w:rsid w:val="00C95C64"/>
    <w:rsid w:val="00C95DF3"/>
    <w:rsid w:val="00C9617F"/>
    <w:rsid w:val="00C96450"/>
    <w:rsid w:val="00C96516"/>
    <w:rsid w:val="00C965AF"/>
    <w:rsid w:val="00C965F0"/>
    <w:rsid w:val="00C96782"/>
    <w:rsid w:val="00C9680F"/>
    <w:rsid w:val="00C96BDE"/>
    <w:rsid w:val="00C9735A"/>
    <w:rsid w:val="00C9745D"/>
    <w:rsid w:val="00C975AB"/>
    <w:rsid w:val="00C97664"/>
    <w:rsid w:val="00C97742"/>
    <w:rsid w:val="00C97AAB"/>
    <w:rsid w:val="00C97BE9"/>
    <w:rsid w:val="00CA028A"/>
    <w:rsid w:val="00CA0300"/>
    <w:rsid w:val="00CA051C"/>
    <w:rsid w:val="00CA0547"/>
    <w:rsid w:val="00CA05AF"/>
    <w:rsid w:val="00CA0905"/>
    <w:rsid w:val="00CA0B75"/>
    <w:rsid w:val="00CA0CE6"/>
    <w:rsid w:val="00CA1040"/>
    <w:rsid w:val="00CA1378"/>
    <w:rsid w:val="00CA142E"/>
    <w:rsid w:val="00CA1741"/>
    <w:rsid w:val="00CA1747"/>
    <w:rsid w:val="00CA185F"/>
    <w:rsid w:val="00CA1870"/>
    <w:rsid w:val="00CA1D77"/>
    <w:rsid w:val="00CA1EEB"/>
    <w:rsid w:val="00CA1F1A"/>
    <w:rsid w:val="00CA2198"/>
    <w:rsid w:val="00CA2370"/>
    <w:rsid w:val="00CA26F1"/>
    <w:rsid w:val="00CA2716"/>
    <w:rsid w:val="00CA2801"/>
    <w:rsid w:val="00CA2A32"/>
    <w:rsid w:val="00CA2DF5"/>
    <w:rsid w:val="00CA2E2F"/>
    <w:rsid w:val="00CA34FA"/>
    <w:rsid w:val="00CA3735"/>
    <w:rsid w:val="00CA39C8"/>
    <w:rsid w:val="00CA3B79"/>
    <w:rsid w:val="00CA3C77"/>
    <w:rsid w:val="00CA4049"/>
    <w:rsid w:val="00CA4339"/>
    <w:rsid w:val="00CA46A3"/>
    <w:rsid w:val="00CA482D"/>
    <w:rsid w:val="00CA48E6"/>
    <w:rsid w:val="00CA48F9"/>
    <w:rsid w:val="00CA4A8C"/>
    <w:rsid w:val="00CA4B6B"/>
    <w:rsid w:val="00CA4CA5"/>
    <w:rsid w:val="00CA5300"/>
    <w:rsid w:val="00CA57EC"/>
    <w:rsid w:val="00CA58CB"/>
    <w:rsid w:val="00CA59AC"/>
    <w:rsid w:val="00CA5A42"/>
    <w:rsid w:val="00CA5AB9"/>
    <w:rsid w:val="00CA5B0D"/>
    <w:rsid w:val="00CA5B1C"/>
    <w:rsid w:val="00CA6063"/>
    <w:rsid w:val="00CA627A"/>
    <w:rsid w:val="00CA679D"/>
    <w:rsid w:val="00CA6A52"/>
    <w:rsid w:val="00CA6B33"/>
    <w:rsid w:val="00CA6B40"/>
    <w:rsid w:val="00CA6D3E"/>
    <w:rsid w:val="00CA7097"/>
    <w:rsid w:val="00CA7280"/>
    <w:rsid w:val="00CA73CF"/>
    <w:rsid w:val="00CA75EE"/>
    <w:rsid w:val="00CA7615"/>
    <w:rsid w:val="00CA76E3"/>
    <w:rsid w:val="00CA7B80"/>
    <w:rsid w:val="00CA7C49"/>
    <w:rsid w:val="00CA7D37"/>
    <w:rsid w:val="00CA7D96"/>
    <w:rsid w:val="00CA7D9D"/>
    <w:rsid w:val="00CB02F8"/>
    <w:rsid w:val="00CB06B8"/>
    <w:rsid w:val="00CB07ED"/>
    <w:rsid w:val="00CB1187"/>
    <w:rsid w:val="00CB12A9"/>
    <w:rsid w:val="00CB16F2"/>
    <w:rsid w:val="00CB189F"/>
    <w:rsid w:val="00CB18BE"/>
    <w:rsid w:val="00CB1C69"/>
    <w:rsid w:val="00CB1F0A"/>
    <w:rsid w:val="00CB1FE1"/>
    <w:rsid w:val="00CB20AA"/>
    <w:rsid w:val="00CB2442"/>
    <w:rsid w:val="00CB26D9"/>
    <w:rsid w:val="00CB2894"/>
    <w:rsid w:val="00CB2B6D"/>
    <w:rsid w:val="00CB2D45"/>
    <w:rsid w:val="00CB2DD5"/>
    <w:rsid w:val="00CB2E2F"/>
    <w:rsid w:val="00CB3296"/>
    <w:rsid w:val="00CB3E06"/>
    <w:rsid w:val="00CB403C"/>
    <w:rsid w:val="00CB40AD"/>
    <w:rsid w:val="00CB422A"/>
    <w:rsid w:val="00CB4327"/>
    <w:rsid w:val="00CB44A7"/>
    <w:rsid w:val="00CB456D"/>
    <w:rsid w:val="00CB4625"/>
    <w:rsid w:val="00CB467D"/>
    <w:rsid w:val="00CB46ED"/>
    <w:rsid w:val="00CB4B96"/>
    <w:rsid w:val="00CB4D78"/>
    <w:rsid w:val="00CB4D88"/>
    <w:rsid w:val="00CB4EBC"/>
    <w:rsid w:val="00CB50A4"/>
    <w:rsid w:val="00CB51B9"/>
    <w:rsid w:val="00CB522C"/>
    <w:rsid w:val="00CB52E7"/>
    <w:rsid w:val="00CB553D"/>
    <w:rsid w:val="00CB5830"/>
    <w:rsid w:val="00CB5832"/>
    <w:rsid w:val="00CB5A59"/>
    <w:rsid w:val="00CB5AC2"/>
    <w:rsid w:val="00CB5C3F"/>
    <w:rsid w:val="00CB5C74"/>
    <w:rsid w:val="00CB621A"/>
    <w:rsid w:val="00CB6A4B"/>
    <w:rsid w:val="00CB703E"/>
    <w:rsid w:val="00CB70E5"/>
    <w:rsid w:val="00CB73F5"/>
    <w:rsid w:val="00CB7A3C"/>
    <w:rsid w:val="00CB7CE7"/>
    <w:rsid w:val="00CB7CF6"/>
    <w:rsid w:val="00CB7DEE"/>
    <w:rsid w:val="00CC02CD"/>
    <w:rsid w:val="00CC088C"/>
    <w:rsid w:val="00CC08E8"/>
    <w:rsid w:val="00CC0AB8"/>
    <w:rsid w:val="00CC0D0C"/>
    <w:rsid w:val="00CC0E3A"/>
    <w:rsid w:val="00CC0F5D"/>
    <w:rsid w:val="00CC0F91"/>
    <w:rsid w:val="00CC1033"/>
    <w:rsid w:val="00CC1264"/>
    <w:rsid w:val="00CC1485"/>
    <w:rsid w:val="00CC165C"/>
    <w:rsid w:val="00CC1715"/>
    <w:rsid w:val="00CC19A3"/>
    <w:rsid w:val="00CC1A0C"/>
    <w:rsid w:val="00CC1B23"/>
    <w:rsid w:val="00CC1F56"/>
    <w:rsid w:val="00CC23B6"/>
    <w:rsid w:val="00CC2B63"/>
    <w:rsid w:val="00CC2E24"/>
    <w:rsid w:val="00CC2F6B"/>
    <w:rsid w:val="00CC305B"/>
    <w:rsid w:val="00CC340B"/>
    <w:rsid w:val="00CC3620"/>
    <w:rsid w:val="00CC3625"/>
    <w:rsid w:val="00CC3E42"/>
    <w:rsid w:val="00CC40AE"/>
    <w:rsid w:val="00CC40AF"/>
    <w:rsid w:val="00CC442F"/>
    <w:rsid w:val="00CC463A"/>
    <w:rsid w:val="00CC46A7"/>
    <w:rsid w:val="00CC47FB"/>
    <w:rsid w:val="00CC48EA"/>
    <w:rsid w:val="00CC4A78"/>
    <w:rsid w:val="00CC4C1A"/>
    <w:rsid w:val="00CC4DEE"/>
    <w:rsid w:val="00CC532E"/>
    <w:rsid w:val="00CC575A"/>
    <w:rsid w:val="00CC57A9"/>
    <w:rsid w:val="00CC5820"/>
    <w:rsid w:val="00CC5EAE"/>
    <w:rsid w:val="00CC5F7B"/>
    <w:rsid w:val="00CC613D"/>
    <w:rsid w:val="00CC61B9"/>
    <w:rsid w:val="00CC6210"/>
    <w:rsid w:val="00CC6675"/>
    <w:rsid w:val="00CC68F1"/>
    <w:rsid w:val="00CC6C8C"/>
    <w:rsid w:val="00CC6D20"/>
    <w:rsid w:val="00CC6DE7"/>
    <w:rsid w:val="00CC6E35"/>
    <w:rsid w:val="00CC6F65"/>
    <w:rsid w:val="00CC702D"/>
    <w:rsid w:val="00CC7153"/>
    <w:rsid w:val="00CC72AE"/>
    <w:rsid w:val="00CC7511"/>
    <w:rsid w:val="00CC7669"/>
    <w:rsid w:val="00CC77A7"/>
    <w:rsid w:val="00CC7D87"/>
    <w:rsid w:val="00CC7E4F"/>
    <w:rsid w:val="00CD0184"/>
    <w:rsid w:val="00CD04B9"/>
    <w:rsid w:val="00CD0571"/>
    <w:rsid w:val="00CD07A8"/>
    <w:rsid w:val="00CD07B9"/>
    <w:rsid w:val="00CD0BF8"/>
    <w:rsid w:val="00CD0CF4"/>
    <w:rsid w:val="00CD0E73"/>
    <w:rsid w:val="00CD0F13"/>
    <w:rsid w:val="00CD124A"/>
    <w:rsid w:val="00CD1364"/>
    <w:rsid w:val="00CD137A"/>
    <w:rsid w:val="00CD13C2"/>
    <w:rsid w:val="00CD1405"/>
    <w:rsid w:val="00CD154F"/>
    <w:rsid w:val="00CD168E"/>
    <w:rsid w:val="00CD16A8"/>
    <w:rsid w:val="00CD1709"/>
    <w:rsid w:val="00CD1BE1"/>
    <w:rsid w:val="00CD1EC0"/>
    <w:rsid w:val="00CD2565"/>
    <w:rsid w:val="00CD2845"/>
    <w:rsid w:val="00CD2B32"/>
    <w:rsid w:val="00CD2B91"/>
    <w:rsid w:val="00CD2E46"/>
    <w:rsid w:val="00CD2ECF"/>
    <w:rsid w:val="00CD2F38"/>
    <w:rsid w:val="00CD303D"/>
    <w:rsid w:val="00CD326D"/>
    <w:rsid w:val="00CD35B7"/>
    <w:rsid w:val="00CD362B"/>
    <w:rsid w:val="00CD36D5"/>
    <w:rsid w:val="00CD3F81"/>
    <w:rsid w:val="00CD42A4"/>
    <w:rsid w:val="00CD42E9"/>
    <w:rsid w:val="00CD43EA"/>
    <w:rsid w:val="00CD449B"/>
    <w:rsid w:val="00CD4570"/>
    <w:rsid w:val="00CD4751"/>
    <w:rsid w:val="00CD4930"/>
    <w:rsid w:val="00CD5075"/>
    <w:rsid w:val="00CD50E7"/>
    <w:rsid w:val="00CD529F"/>
    <w:rsid w:val="00CD5411"/>
    <w:rsid w:val="00CD57C1"/>
    <w:rsid w:val="00CD5863"/>
    <w:rsid w:val="00CD5CD2"/>
    <w:rsid w:val="00CD5D56"/>
    <w:rsid w:val="00CD5D8C"/>
    <w:rsid w:val="00CD5DBE"/>
    <w:rsid w:val="00CD6407"/>
    <w:rsid w:val="00CD64C8"/>
    <w:rsid w:val="00CD6659"/>
    <w:rsid w:val="00CD6CBD"/>
    <w:rsid w:val="00CD6CD1"/>
    <w:rsid w:val="00CD6EE4"/>
    <w:rsid w:val="00CD6F32"/>
    <w:rsid w:val="00CD6F8C"/>
    <w:rsid w:val="00CD7072"/>
    <w:rsid w:val="00CD72DF"/>
    <w:rsid w:val="00CD73BF"/>
    <w:rsid w:val="00CD747C"/>
    <w:rsid w:val="00CD7920"/>
    <w:rsid w:val="00CD7F38"/>
    <w:rsid w:val="00CE0078"/>
    <w:rsid w:val="00CE02F7"/>
    <w:rsid w:val="00CE0360"/>
    <w:rsid w:val="00CE08A0"/>
    <w:rsid w:val="00CE0B1D"/>
    <w:rsid w:val="00CE0C69"/>
    <w:rsid w:val="00CE0F9D"/>
    <w:rsid w:val="00CE105F"/>
    <w:rsid w:val="00CE1247"/>
    <w:rsid w:val="00CE131B"/>
    <w:rsid w:val="00CE132B"/>
    <w:rsid w:val="00CE1614"/>
    <w:rsid w:val="00CE1752"/>
    <w:rsid w:val="00CE184B"/>
    <w:rsid w:val="00CE19D7"/>
    <w:rsid w:val="00CE1CC7"/>
    <w:rsid w:val="00CE1F9D"/>
    <w:rsid w:val="00CE203A"/>
    <w:rsid w:val="00CE2189"/>
    <w:rsid w:val="00CE244B"/>
    <w:rsid w:val="00CE2646"/>
    <w:rsid w:val="00CE27CF"/>
    <w:rsid w:val="00CE289E"/>
    <w:rsid w:val="00CE3095"/>
    <w:rsid w:val="00CE33C1"/>
    <w:rsid w:val="00CE34EC"/>
    <w:rsid w:val="00CE3655"/>
    <w:rsid w:val="00CE385D"/>
    <w:rsid w:val="00CE38D2"/>
    <w:rsid w:val="00CE3A03"/>
    <w:rsid w:val="00CE3BD8"/>
    <w:rsid w:val="00CE3EB1"/>
    <w:rsid w:val="00CE3F4E"/>
    <w:rsid w:val="00CE3FC5"/>
    <w:rsid w:val="00CE4452"/>
    <w:rsid w:val="00CE44DC"/>
    <w:rsid w:val="00CE4BB1"/>
    <w:rsid w:val="00CE4CAD"/>
    <w:rsid w:val="00CE52AC"/>
    <w:rsid w:val="00CE52AD"/>
    <w:rsid w:val="00CE5973"/>
    <w:rsid w:val="00CE5EEF"/>
    <w:rsid w:val="00CE5F09"/>
    <w:rsid w:val="00CE601E"/>
    <w:rsid w:val="00CE63C8"/>
    <w:rsid w:val="00CE67CD"/>
    <w:rsid w:val="00CE68D8"/>
    <w:rsid w:val="00CE69CC"/>
    <w:rsid w:val="00CE6BE4"/>
    <w:rsid w:val="00CE6C3C"/>
    <w:rsid w:val="00CE6D84"/>
    <w:rsid w:val="00CE75B9"/>
    <w:rsid w:val="00CE761E"/>
    <w:rsid w:val="00CE76B5"/>
    <w:rsid w:val="00CE77E0"/>
    <w:rsid w:val="00CE7831"/>
    <w:rsid w:val="00CE7ADD"/>
    <w:rsid w:val="00CE7CDC"/>
    <w:rsid w:val="00CE7E5E"/>
    <w:rsid w:val="00CE7EDA"/>
    <w:rsid w:val="00CF005D"/>
    <w:rsid w:val="00CF005E"/>
    <w:rsid w:val="00CF00FA"/>
    <w:rsid w:val="00CF0121"/>
    <w:rsid w:val="00CF045D"/>
    <w:rsid w:val="00CF0490"/>
    <w:rsid w:val="00CF0942"/>
    <w:rsid w:val="00CF09C8"/>
    <w:rsid w:val="00CF0A06"/>
    <w:rsid w:val="00CF0B4D"/>
    <w:rsid w:val="00CF0C03"/>
    <w:rsid w:val="00CF0E9C"/>
    <w:rsid w:val="00CF0F5C"/>
    <w:rsid w:val="00CF104B"/>
    <w:rsid w:val="00CF1053"/>
    <w:rsid w:val="00CF118D"/>
    <w:rsid w:val="00CF1B2B"/>
    <w:rsid w:val="00CF1F28"/>
    <w:rsid w:val="00CF2343"/>
    <w:rsid w:val="00CF2349"/>
    <w:rsid w:val="00CF2479"/>
    <w:rsid w:val="00CF24CF"/>
    <w:rsid w:val="00CF26FB"/>
    <w:rsid w:val="00CF2961"/>
    <w:rsid w:val="00CF2A74"/>
    <w:rsid w:val="00CF2C2E"/>
    <w:rsid w:val="00CF2D40"/>
    <w:rsid w:val="00CF2E43"/>
    <w:rsid w:val="00CF321D"/>
    <w:rsid w:val="00CF322A"/>
    <w:rsid w:val="00CF352D"/>
    <w:rsid w:val="00CF3980"/>
    <w:rsid w:val="00CF3AB8"/>
    <w:rsid w:val="00CF3D04"/>
    <w:rsid w:val="00CF4041"/>
    <w:rsid w:val="00CF4229"/>
    <w:rsid w:val="00CF46B3"/>
    <w:rsid w:val="00CF4716"/>
    <w:rsid w:val="00CF480E"/>
    <w:rsid w:val="00CF48DA"/>
    <w:rsid w:val="00CF4BB2"/>
    <w:rsid w:val="00CF4D2B"/>
    <w:rsid w:val="00CF4E98"/>
    <w:rsid w:val="00CF58D4"/>
    <w:rsid w:val="00CF5B95"/>
    <w:rsid w:val="00CF5C13"/>
    <w:rsid w:val="00CF5E24"/>
    <w:rsid w:val="00CF5F5D"/>
    <w:rsid w:val="00CF5FA8"/>
    <w:rsid w:val="00CF6058"/>
    <w:rsid w:val="00CF6277"/>
    <w:rsid w:val="00CF6378"/>
    <w:rsid w:val="00CF6445"/>
    <w:rsid w:val="00CF6571"/>
    <w:rsid w:val="00CF66FA"/>
    <w:rsid w:val="00CF6858"/>
    <w:rsid w:val="00CF688B"/>
    <w:rsid w:val="00CF68EE"/>
    <w:rsid w:val="00CF6924"/>
    <w:rsid w:val="00CF6C1F"/>
    <w:rsid w:val="00CF6FEC"/>
    <w:rsid w:val="00CF73AD"/>
    <w:rsid w:val="00CF73D3"/>
    <w:rsid w:val="00CF73FB"/>
    <w:rsid w:val="00CF7556"/>
    <w:rsid w:val="00CF7786"/>
    <w:rsid w:val="00CF77C5"/>
    <w:rsid w:val="00CF79E0"/>
    <w:rsid w:val="00CF7AA9"/>
    <w:rsid w:val="00CF7DC5"/>
    <w:rsid w:val="00CF7E63"/>
    <w:rsid w:val="00CF7EB2"/>
    <w:rsid w:val="00D00092"/>
    <w:rsid w:val="00D00146"/>
    <w:rsid w:val="00D007FA"/>
    <w:rsid w:val="00D00B6D"/>
    <w:rsid w:val="00D01051"/>
    <w:rsid w:val="00D010FA"/>
    <w:rsid w:val="00D01111"/>
    <w:rsid w:val="00D011B4"/>
    <w:rsid w:val="00D013CB"/>
    <w:rsid w:val="00D01506"/>
    <w:rsid w:val="00D015A3"/>
    <w:rsid w:val="00D015B4"/>
    <w:rsid w:val="00D0177B"/>
    <w:rsid w:val="00D0195A"/>
    <w:rsid w:val="00D01BDE"/>
    <w:rsid w:val="00D01F13"/>
    <w:rsid w:val="00D0207B"/>
    <w:rsid w:val="00D0254D"/>
    <w:rsid w:val="00D02631"/>
    <w:rsid w:val="00D026CA"/>
    <w:rsid w:val="00D02FD9"/>
    <w:rsid w:val="00D0304E"/>
    <w:rsid w:val="00D0308E"/>
    <w:rsid w:val="00D0318F"/>
    <w:rsid w:val="00D032B8"/>
    <w:rsid w:val="00D0336D"/>
    <w:rsid w:val="00D034DF"/>
    <w:rsid w:val="00D037F8"/>
    <w:rsid w:val="00D03881"/>
    <w:rsid w:val="00D03909"/>
    <w:rsid w:val="00D03BC5"/>
    <w:rsid w:val="00D03C32"/>
    <w:rsid w:val="00D03D74"/>
    <w:rsid w:val="00D03DDB"/>
    <w:rsid w:val="00D03E88"/>
    <w:rsid w:val="00D03FC3"/>
    <w:rsid w:val="00D04142"/>
    <w:rsid w:val="00D0458C"/>
    <w:rsid w:val="00D0470C"/>
    <w:rsid w:val="00D04829"/>
    <w:rsid w:val="00D0492A"/>
    <w:rsid w:val="00D04AA7"/>
    <w:rsid w:val="00D052F8"/>
    <w:rsid w:val="00D05543"/>
    <w:rsid w:val="00D0603B"/>
    <w:rsid w:val="00D06512"/>
    <w:rsid w:val="00D069AD"/>
    <w:rsid w:val="00D069AE"/>
    <w:rsid w:val="00D06A3E"/>
    <w:rsid w:val="00D06BC5"/>
    <w:rsid w:val="00D06D69"/>
    <w:rsid w:val="00D06DB8"/>
    <w:rsid w:val="00D06F07"/>
    <w:rsid w:val="00D07391"/>
    <w:rsid w:val="00D073E5"/>
    <w:rsid w:val="00D07442"/>
    <w:rsid w:val="00D07451"/>
    <w:rsid w:val="00D07491"/>
    <w:rsid w:val="00D078B3"/>
    <w:rsid w:val="00D07BF0"/>
    <w:rsid w:val="00D07CBE"/>
    <w:rsid w:val="00D07D4A"/>
    <w:rsid w:val="00D07DA5"/>
    <w:rsid w:val="00D07F91"/>
    <w:rsid w:val="00D1043C"/>
    <w:rsid w:val="00D104AC"/>
    <w:rsid w:val="00D1055B"/>
    <w:rsid w:val="00D105E2"/>
    <w:rsid w:val="00D10A93"/>
    <w:rsid w:val="00D10AFC"/>
    <w:rsid w:val="00D10B47"/>
    <w:rsid w:val="00D10E88"/>
    <w:rsid w:val="00D10F3E"/>
    <w:rsid w:val="00D10F83"/>
    <w:rsid w:val="00D116DF"/>
    <w:rsid w:val="00D11767"/>
    <w:rsid w:val="00D11C12"/>
    <w:rsid w:val="00D11E12"/>
    <w:rsid w:val="00D124F7"/>
    <w:rsid w:val="00D128C3"/>
    <w:rsid w:val="00D12A26"/>
    <w:rsid w:val="00D12A27"/>
    <w:rsid w:val="00D12A2A"/>
    <w:rsid w:val="00D12B77"/>
    <w:rsid w:val="00D12BB5"/>
    <w:rsid w:val="00D12BF1"/>
    <w:rsid w:val="00D12F9D"/>
    <w:rsid w:val="00D12FAF"/>
    <w:rsid w:val="00D12FEC"/>
    <w:rsid w:val="00D133A7"/>
    <w:rsid w:val="00D1381B"/>
    <w:rsid w:val="00D13A2C"/>
    <w:rsid w:val="00D13AFE"/>
    <w:rsid w:val="00D13B3F"/>
    <w:rsid w:val="00D13C0F"/>
    <w:rsid w:val="00D13E14"/>
    <w:rsid w:val="00D13E1D"/>
    <w:rsid w:val="00D140B9"/>
    <w:rsid w:val="00D14432"/>
    <w:rsid w:val="00D145A3"/>
    <w:rsid w:val="00D146B2"/>
    <w:rsid w:val="00D14794"/>
    <w:rsid w:val="00D14941"/>
    <w:rsid w:val="00D149EB"/>
    <w:rsid w:val="00D14D53"/>
    <w:rsid w:val="00D14E4B"/>
    <w:rsid w:val="00D14E65"/>
    <w:rsid w:val="00D152BD"/>
    <w:rsid w:val="00D155F9"/>
    <w:rsid w:val="00D1564E"/>
    <w:rsid w:val="00D156ED"/>
    <w:rsid w:val="00D15A24"/>
    <w:rsid w:val="00D15E72"/>
    <w:rsid w:val="00D15F95"/>
    <w:rsid w:val="00D16055"/>
    <w:rsid w:val="00D16388"/>
    <w:rsid w:val="00D16C08"/>
    <w:rsid w:val="00D16CCF"/>
    <w:rsid w:val="00D16EEE"/>
    <w:rsid w:val="00D16FF1"/>
    <w:rsid w:val="00D1717D"/>
    <w:rsid w:val="00D172EE"/>
    <w:rsid w:val="00D17720"/>
    <w:rsid w:val="00D17942"/>
    <w:rsid w:val="00D1795B"/>
    <w:rsid w:val="00D17BF7"/>
    <w:rsid w:val="00D17E5A"/>
    <w:rsid w:val="00D17EF7"/>
    <w:rsid w:val="00D2013D"/>
    <w:rsid w:val="00D20193"/>
    <w:rsid w:val="00D20335"/>
    <w:rsid w:val="00D20390"/>
    <w:rsid w:val="00D206AE"/>
    <w:rsid w:val="00D206B8"/>
    <w:rsid w:val="00D2077A"/>
    <w:rsid w:val="00D20A71"/>
    <w:rsid w:val="00D20D84"/>
    <w:rsid w:val="00D20E55"/>
    <w:rsid w:val="00D20E96"/>
    <w:rsid w:val="00D20FAE"/>
    <w:rsid w:val="00D20FD9"/>
    <w:rsid w:val="00D210D5"/>
    <w:rsid w:val="00D2147E"/>
    <w:rsid w:val="00D21BFC"/>
    <w:rsid w:val="00D21D26"/>
    <w:rsid w:val="00D21D7A"/>
    <w:rsid w:val="00D21EB6"/>
    <w:rsid w:val="00D22024"/>
    <w:rsid w:val="00D220D4"/>
    <w:rsid w:val="00D22626"/>
    <w:rsid w:val="00D22662"/>
    <w:rsid w:val="00D229F4"/>
    <w:rsid w:val="00D22AEA"/>
    <w:rsid w:val="00D22CEA"/>
    <w:rsid w:val="00D2319C"/>
    <w:rsid w:val="00D232DF"/>
    <w:rsid w:val="00D2353B"/>
    <w:rsid w:val="00D238C7"/>
    <w:rsid w:val="00D239D6"/>
    <w:rsid w:val="00D239E2"/>
    <w:rsid w:val="00D23A00"/>
    <w:rsid w:val="00D23A92"/>
    <w:rsid w:val="00D23BD5"/>
    <w:rsid w:val="00D2407A"/>
    <w:rsid w:val="00D242A2"/>
    <w:rsid w:val="00D246A0"/>
    <w:rsid w:val="00D248DC"/>
    <w:rsid w:val="00D249EE"/>
    <w:rsid w:val="00D24AF8"/>
    <w:rsid w:val="00D25076"/>
    <w:rsid w:val="00D250E0"/>
    <w:rsid w:val="00D251CD"/>
    <w:rsid w:val="00D2530B"/>
    <w:rsid w:val="00D25429"/>
    <w:rsid w:val="00D254BF"/>
    <w:rsid w:val="00D255CF"/>
    <w:rsid w:val="00D256B3"/>
    <w:rsid w:val="00D25734"/>
    <w:rsid w:val="00D258FB"/>
    <w:rsid w:val="00D25AD8"/>
    <w:rsid w:val="00D25C82"/>
    <w:rsid w:val="00D25E1A"/>
    <w:rsid w:val="00D26055"/>
    <w:rsid w:val="00D26088"/>
    <w:rsid w:val="00D2628E"/>
    <w:rsid w:val="00D26329"/>
    <w:rsid w:val="00D26650"/>
    <w:rsid w:val="00D268FB"/>
    <w:rsid w:val="00D26A66"/>
    <w:rsid w:val="00D26B64"/>
    <w:rsid w:val="00D26C8D"/>
    <w:rsid w:val="00D26E31"/>
    <w:rsid w:val="00D26EDA"/>
    <w:rsid w:val="00D26FB7"/>
    <w:rsid w:val="00D2715D"/>
    <w:rsid w:val="00D272CF"/>
    <w:rsid w:val="00D2732D"/>
    <w:rsid w:val="00D275BA"/>
    <w:rsid w:val="00D277A2"/>
    <w:rsid w:val="00D277D0"/>
    <w:rsid w:val="00D27994"/>
    <w:rsid w:val="00D27AAE"/>
    <w:rsid w:val="00D27AD5"/>
    <w:rsid w:val="00D27D32"/>
    <w:rsid w:val="00D27EEE"/>
    <w:rsid w:val="00D3025A"/>
    <w:rsid w:val="00D30374"/>
    <w:rsid w:val="00D3059F"/>
    <w:rsid w:val="00D306F2"/>
    <w:rsid w:val="00D30869"/>
    <w:rsid w:val="00D30AF2"/>
    <w:rsid w:val="00D30CDD"/>
    <w:rsid w:val="00D30D91"/>
    <w:rsid w:val="00D31014"/>
    <w:rsid w:val="00D31363"/>
    <w:rsid w:val="00D3144F"/>
    <w:rsid w:val="00D31947"/>
    <w:rsid w:val="00D31DA7"/>
    <w:rsid w:val="00D31F87"/>
    <w:rsid w:val="00D32489"/>
    <w:rsid w:val="00D327AE"/>
    <w:rsid w:val="00D3283D"/>
    <w:rsid w:val="00D32959"/>
    <w:rsid w:val="00D32AC4"/>
    <w:rsid w:val="00D32B4F"/>
    <w:rsid w:val="00D32D8D"/>
    <w:rsid w:val="00D32F63"/>
    <w:rsid w:val="00D3310B"/>
    <w:rsid w:val="00D3312E"/>
    <w:rsid w:val="00D33135"/>
    <w:rsid w:val="00D331C3"/>
    <w:rsid w:val="00D332D4"/>
    <w:rsid w:val="00D335D2"/>
    <w:rsid w:val="00D338DE"/>
    <w:rsid w:val="00D33ADF"/>
    <w:rsid w:val="00D33B48"/>
    <w:rsid w:val="00D33C27"/>
    <w:rsid w:val="00D33D5B"/>
    <w:rsid w:val="00D34572"/>
    <w:rsid w:val="00D3464A"/>
    <w:rsid w:val="00D346BE"/>
    <w:rsid w:val="00D34726"/>
    <w:rsid w:val="00D3476E"/>
    <w:rsid w:val="00D34AC8"/>
    <w:rsid w:val="00D34AFC"/>
    <w:rsid w:val="00D34C2D"/>
    <w:rsid w:val="00D34C7F"/>
    <w:rsid w:val="00D351F6"/>
    <w:rsid w:val="00D35220"/>
    <w:rsid w:val="00D35249"/>
    <w:rsid w:val="00D353CB"/>
    <w:rsid w:val="00D353FC"/>
    <w:rsid w:val="00D35431"/>
    <w:rsid w:val="00D3578C"/>
    <w:rsid w:val="00D35800"/>
    <w:rsid w:val="00D3597B"/>
    <w:rsid w:val="00D35B08"/>
    <w:rsid w:val="00D35BB5"/>
    <w:rsid w:val="00D35C2A"/>
    <w:rsid w:val="00D35C35"/>
    <w:rsid w:val="00D35C37"/>
    <w:rsid w:val="00D35C3E"/>
    <w:rsid w:val="00D35E7A"/>
    <w:rsid w:val="00D35EB3"/>
    <w:rsid w:val="00D35FD0"/>
    <w:rsid w:val="00D3619E"/>
    <w:rsid w:val="00D361DA"/>
    <w:rsid w:val="00D3646B"/>
    <w:rsid w:val="00D3656E"/>
    <w:rsid w:val="00D3699F"/>
    <w:rsid w:val="00D36D14"/>
    <w:rsid w:val="00D36E09"/>
    <w:rsid w:val="00D36EA4"/>
    <w:rsid w:val="00D36EC4"/>
    <w:rsid w:val="00D36F32"/>
    <w:rsid w:val="00D36FA3"/>
    <w:rsid w:val="00D37122"/>
    <w:rsid w:val="00D37268"/>
    <w:rsid w:val="00D374B5"/>
    <w:rsid w:val="00D375F5"/>
    <w:rsid w:val="00D3774E"/>
    <w:rsid w:val="00D37C0E"/>
    <w:rsid w:val="00D37CE9"/>
    <w:rsid w:val="00D37D1E"/>
    <w:rsid w:val="00D37E83"/>
    <w:rsid w:val="00D37F91"/>
    <w:rsid w:val="00D40007"/>
    <w:rsid w:val="00D40150"/>
    <w:rsid w:val="00D404BA"/>
    <w:rsid w:val="00D404CE"/>
    <w:rsid w:val="00D4087A"/>
    <w:rsid w:val="00D410C1"/>
    <w:rsid w:val="00D4126E"/>
    <w:rsid w:val="00D41306"/>
    <w:rsid w:val="00D41318"/>
    <w:rsid w:val="00D4138E"/>
    <w:rsid w:val="00D413F5"/>
    <w:rsid w:val="00D41483"/>
    <w:rsid w:val="00D4149F"/>
    <w:rsid w:val="00D41A2A"/>
    <w:rsid w:val="00D41C95"/>
    <w:rsid w:val="00D41DB9"/>
    <w:rsid w:val="00D41E06"/>
    <w:rsid w:val="00D4219D"/>
    <w:rsid w:val="00D423EA"/>
    <w:rsid w:val="00D42573"/>
    <w:rsid w:val="00D4271D"/>
    <w:rsid w:val="00D429C3"/>
    <w:rsid w:val="00D42AD4"/>
    <w:rsid w:val="00D42B5A"/>
    <w:rsid w:val="00D42C53"/>
    <w:rsid w:val="00D42E79"/>
    <w:rsid w:val="00D42EFF"/>
    <w:rsid w:val="00D43098"/>
    <w:rsid w:val="00D43412"/>
    <w:rsid w:val="00D434EB"/>
    <w:rsid w:val="00D439C5"/>
    <w:rsid w:val="00D43AE2"/>
    <w:rsid w:val="00D43C35"/>
    <w:rsid w:val="00D44AF6"/>
    <w:rsid w:val="00D44C48"/>
    <w:rsid w:val="00D44F55"/>
    <w:rsid w:val="00D455D4"/>
    <w:rsid w:val="00D459BC"/>
    <w:rsid w:val="00D45AAD"/>
    <w:rsid w:val="00D45D64"/>
    <w:rsid w:val="00D45E71"/>
    <w:rsid w:val="00D45EFE"/>
    <w:rsid w:val="00D462BE"/>
    <w:rsid w:val="00D46313"/>
    <w:rsid w:val="00D46520"/>
    <w:rsid w:val="00D46751"/>
    <w:rsid w:val="00D4679E"/>
    <w:rsid w:val="00D469B9"/>
    <w:rsid w:val="00D469D0"/>
    <w:rsid w:val="00D46EE9"/>
    <w:rsid w:val="00D46EF6"/>
    <w:rsid w:val="00D47085"/>
    <w:rsid w:val="00D4710D"/>
    <w:rsid w:val="00D471FC"/>
    <w:rsid w:val="00D472F7"/>
    <w:rsid w:val="00D4738D"/>
    <w:rsid w:val="00D47575"/>
    <w:rsid w:val="00D4786F"/>
    <w:rsid w:val="00D4795A"/>
    <w:rsid w:val="00D479F1"/>
    <w:rsid w:val="00D47C3E"/>
    <w:rsid w:val="00D47E7F"/>
    <w:rsid w:val="00D47F5E"/>
    <w:rsid w:val="00D47F91"/>
    <w:rsid w:val="00D47F98"/>
    <w:rsid w:val="00D501C5"/>
    <w:rsid w:val="00D502C0"/>
    <w:rsid w:val="00D5044E"/>
    <w:rsid w:val="00D50477"/>
    <w:rsid w:val="00D50632"/>
    <w:rsid w:val="00D50922"/>
    <w:rsid w:val="00D50933"/>
    <w:rsid w:val="00D50A97"/>
    <w:rsid w:val="00D50E45"/>
    <w:rsid w:val="00D50E50"/>
    <w:rsid w:val="00D50E53"/>
    <w:rsid w:val="00D51129"/>
    <w:rsid w:val="00D51768"/>
    <w:rsid w:val="00D5181B"/>
    <w:rsid w:val="00D51893"/>
    <w:rsid w:val="00D51988"/>
    <w:rsid w:val="00D51A50"/>
    <w:rsid w:val="00D51CC6"/>
    <w:rsid w:val="00D5215A"/>
    <w:rsid w:val="00D5228D"/>
    <w:rsid w:val="00D522F7"/>
    <w:rsid w:val="00D52418"/>
    <w:rsid w:val="00D52684"/>
    <w:rsid w:val="00D526A4"/>
    <w:rsid w:val="00D52942"/>
    <w:rsid w:val="00D529FD"/>
    <w:rsid w:val="00D52A93"/>
    <w:rsid w:val="00D52B3E"/>
    <w:rsid w:val="00D52C63"/>
    <w:rsid w:val="00D5318F"/>
    <w:rsid w:val="00D5330C"/>
    <w:rsid w:val="00D5344C"/>
    <w:rsid w:val="00D53459"/>
    <w:rsid w:val="00D53670"/>
    <w:rsid w:val="00D536BF"/>
    <w:rsid w:val="00D539D4"/>
    <w:rsid w:val="00D53B8F"/>
    <w:rsid w:val="00D54038"/>
    <w:rsid w:val="00D541EF"/>
    <w:rsid w:val="00D5466B"/>
    <w:rsid w:val="00D54A15"/>
    <w:rsid w:val="00D54AFF"/>
    <w:rsid w:val="00D54DFA"/>
    <w:rsid w:val="00D55621"/>
    <w:rsid w:val="00D557D6"/>
    <w:rsid w:val="00D55C1D"/>
    <w:rsid w:val="00D55C79"/>
    <w:rsid w:val="00D55D53"/>
    <w:rsid w:val="00D55E18"/>
    <w:rsid w:val="00D562D8"/>
    <w:rsid w:val="00D562DE"/>
    <w:rsid w:val="00D56655"/>
    <w:rsid w:val="00D56669"/>
    <w:rsid w:val="00D56C11"/>
    <w:rsid w:val="00D56D38"/>
    <w:rsid w:val="00D56E75"/>
    <w:rsid w:val="00D56F76"/>
    <w:rsid w:val="00D5704D"/>
    <w:rsid w:val="00D57198"/>
    <w:rsid w:val="00D571F2"/>
    <w:rsid w:val="00D57305"/>
    <w:rsid w:val="00D575C7"/>
    <w:rsid w:val="00D575E5"/>
    <w:rsid w:val="00D576F0"/>
    <w:rsid w:val="00D57A42"/>
    <w:rsid w:val="00D57D2D"/>
    <w:rsid w:val="00D57FE5"/>
    <w:rsid w:val="00D60183"/>
    <w:rsid w:val="00D6057D"/>
    <w:rsid w:val="00D606B9"/>
    <w:rsid w:val="00D6070E"/>
    <w:rsid w:val="00D60744"/>
    <w:rsid w:val="00D607A9"/>
    <w:rsid w:val="00D60852"/>
    <w:rsid w:val="00D608CB"/>
    <w:rsid w:val="00D608DE"/>
    <w:rsid w:val="00D60C0C"/>
    <w:rsid w:val="00D60D23"/>
    <w:rsid w:val="00D611C0"/>
    <w:rsid w:val="00D61612"/>
    <w:rsid w:val="00D618C6"/>
    <w:rsid w:val="00D619E3"/>
    <w:rsid w:val="00D61A34"/>
    <w:rsid w:val="00D61A61"/>
    <w:rsid w:val="00D61CB2"/>
    <w:rsid w:val="00D61D9B"/>
    <w:rsid w:val="00D61E12"/>
    <w:rsid w:val="00D62280"/>
    <w:rsid w:val="00D622BE"/>
    <w:rsid w:val="00D6241C"/>
    <w:rsid w:val="00D62481"/>
    <w:rsid w:val="00D62822"/>
    <w:rsid w:val="00D628D3"/>
    <w:rsid w:val="00D62C73"/>
    <w:rsid w:val="00D62CA2"/>
    <w:rsid w:val="00D62D14"/>
    <w:rsid w:val="00D62F7C"/>
    <w:rsid w:val="00D6302E"/>
    <w:rsid w:val="00D6364F"/>
    <w:rsid w:val="00D6372E"/>
    <w:rsid w:val="00D639A2"/>
    <w:rsid w:val="00D63BC9"/>
    <w:rsid w:val="00D63C0E"/>
    <w:rsid w:val="00D6403C"/>
    <w:rsid w:val="00D64118"/>
    <w:rsid w:val="00D64130"/>
    <w:rsid w:val="00D643C9"/>
    <w:rsid w:val="00D64969"/>
    <w:rsid w:val="00D6496A"/>
    <w:rsid w:val="00D64B4D"/>
    <w:rsid w:val="00D64B9C"/>
    <w:rsid w:val="00D64C8C"/>
    <w:rsid w:val="00D64EB8"/>
    <w:rsid w:val="00D64EE7"/>
    <w:rsid w:val="00D64F7F"/>
    <w:rsid w:val="00D6509A"/>
    <w:rsid w:val="00D65233"/>
    <w:rsid w:val="00D65749"/>
    <w:rsid w:val="00D6599E"/>
    <w:rsid w:val="00D6599F"/>
    <w:rsid w:val="00D65CF2"/>
    <w:rsid w:val="00D65E81"/>
    <w:rsid w:val="00D65EF3"/>
    <w:rsid w:val="00D660BC"/>
    <w:rsid w:val="00D662EF"/>
    <w:rsid w:val="00D6649E"/>
    <w:rsid w:val="00D6656C"/>
    <w:rsid w:val="00D665D8"/>
    <w:rsid w:val="00D66687"/>
    <w:rsid w:val="00D6699A"/>
    <w:rsid w:val="00D66BF4"/>
    <w:rsid w:val="00D676EC"/>
    <w:rsid w:val="00D6784A"/>
    <w:rsid w:val="00D67BCD"/>
    <w:rsid w:val="00D67BD5"/>
    <w:rsid w:val="00D67E4E"/>
    <w:rsid w:val="00D70039"/>
    <w:rsid w:val="00D70128"/>
    <w:rsid w:val="00D70364"/>
    <w:rsid w:val="00D706B3"/>
    <w:rsid w:val="00D70790"/>
    <w:rsid w:val="00D70895"/>
    <w:rsid w:val="00D70D22"/>
    <w:rsid w:val="00D70D30"/>
    <w:rsid w:val="00D70E78"/>
    <w:rsid w:val="00D710F0"/>
    <w:rsid w:val="00D7123B"/>
    <w:rsid w:val="00D7124A"/>
    <w:rsid w:val="00D712EC"/>
    <w:rsid w:val="00D71478"/>
    <w:rsid w:val="00D7159D"/>
    <w:rsid w:val="00D71638"/>
    <w:rsid w:val="00D716BD"/>
    <w:rsid w:val="00D71883"/>
    <w:rsid w:val="00D7193F"/>
    <w:rsid w:val="00D71A5F"/>
    <w:rsid w:val="00D71A90"/>
    <w:rsid w:val="00D71C0E"/>
    <w:rsid w:val="00D71FAF"/>
    <w:rsid w:val="00D7209F"/>
    <w:rsid w:val="00D7213E"/>
    <w:rsid w:val="00D723FD"/>
    <w:rsid w:val="00D7294E"/>
    <w:rsid w:val="00D72B48"/>
    <w:rsid w:val="00D72DA0"/>
    <w:rsid w:val="00D734E5"/>
    <w:rsid w:val="00D736DB"/>
    <w:rsid w:val="00D73D0E"/>
    <w:rsid w:val="00D73D50"/>
    <w:rsid w:val="00D74309"/>
    <w:rsid w:val="00D74358"/>
    <w:rsid w:val="00D743F5"/>
    <w:rsid w:val="00D74533"/>
    <w:rsid w:val="00D749EF"/>
    <w:rsid w:val="00D74A6A"/>
    <w:rsid w:val="00D74EBC"/>
    <w:rsid w:val="00D74F1A"/>
    <w:rsid w:val="00D7524E"/>
    <w:rsid w:val="00D7534B"/>
    <w:rsid w:val="00D75361"/>
    <w:rsid w:val="00D754CA"/>
    <w:rsid w:val="00D75670"/>
    <w:rsid w:val="00D757B4"/>
    <w:rsid w:val="00D757DE"/>
    <w:rsid w:val="00D75921"/>
    <w:rsid w:val="00D7594D"/>
    <w:rsid w:val="00D7604F"/>
    <w:rsid w:val="00D763A1"/>
    <w:rsid w:val="00D764D0"/>
    <w:rsid w:val="00D7650B"/>
    <w:rsid w:val="00D76673"/>
    <w:rsid w:val="00D76760"/>
    <w:rsid w:val="00D76929"/>
    <w:rsid w:val="00D76BA0"/>
    <w:rsid w:val="00D76D06"/>
    <w:rsid w:val="00D76D67"/>
    <w:rsid w:val="00D77153"/>
    <w:rsid w:val="00D7780F"/>
    <w:rsid w:val="00D8029C"/>
    <w:rsid w:val="00D80431"/>
    <w:rsid w:val="00D80486"/>
    <w:rsid w:val="00D806BD"/>
    <w:rsid w:val="00D80747"/>
    <w:rsid w:val="00D807A8"/>
    <w:rsid w:val="00D808C7"/>
    <w:rsid w:val="00D808E8"/>
    <w:rsid w:val="00D80DC6"/>
    <w:rsid w:val="00D80E58"/>
    <w:rsid w:val="00D8128C"/>
    <w:rsid w:val="00D81454"/>
    <w:rsid w:val="00D8151B"/>
    <w:rsid w:val="00D8168B"/>
    <w:rsid w:val="00D8174D"/>
    <w:rsid w:val="00D81C8D"/>
    <w:rsid w:val="00D81CA6"/>
    <w:rsid w:val="00D81D18"/>
    <w:rsid w:val="00D81E95"/>
    <w:rsid w:val="00D81ECF"/>
    <w:rsid w:val="00D82051"/>
    <w:rsid w:val="00D82117"/>
    <w:rsid w:val="00D823B8"/>
    <w:rsid w:val="00D825A0"/>
    <w:rsid w:val="00D826F5"/>
    <w:rsid w:val="00D82711"/>
    <w:rsid w:val="00D82941"/>
    <w:rsid w:val="00D82A88"/>
    <w:rsid w:val="00D82BF3"/>
    <w:rsid w:val="00D82DA5"/>
    <w:rsid w:val="00D82E66"/>
    <w:rsid w:val="00D82F05"/>
    <w:rsid w:val="00D82FC0"/>
    <w:rsid w:val="00D82FF9"/>
    <w:rsid w:val="00D83056"/>
    <w:rsid w:val="00D8313B"/>
    <w:rsid w:val="00D833BD"/>
    <w:rsid w:val="00D8344F"/>
    <w:rsid w:val="00D834C7"/>
    <w:rsid w:val="00D83936"/>
    <w:rsid w:val="00D8394B"/>
    <w:rsid w:val="00D83CAF"/>
    <w:rsid w:val="00D83EA5"/>
    <w:rsid w:val="00D83FF2"/>
    <w:rsid w:val="00D84042"/>
    <w:rsid w:val="00D840A0"/>
    <w:rsid w:val="00D842B2"/>
    <w:rsid w:val="00D8448B"/>
    <w:rsid w:val="00D845A3"/>
    <w:rsid w:val="00D845A9"/>
    <w:rsid w:val="00D8476D"/>
    <w:rsid w:val="00D847A4"/>
    <w:rsid w:val="00D8482F"/>
    <w:rsid w:val="00D84A44"/>
    <w:rsid w:val="00D84B35"/>
    <w:rsid w:val="00D84DF3"/>
    <w:rsid w:val="00D851E7"/>
    <w:rsid w:val="00D85768"/>
    <w:rsid w:val="00D85949"/>
    <w:rsid w:val="00D85A80"/>
    <w:rsid w:val="00D85AF5"/>
    <w:rsid w:val="00D85C8C"/>
    <w:rsid w:val="00D86163"/>
    <w:rsid w:val="00D8623B"/>
    <w:rsid w:val="00D862A5"/>
    <w:rsid w:val="00D8630E"/>
    <w:rsid w:val="00D863E6"/>
    <w:rsid w:val="00D86510"/>
    <w:rsid w:val="00D865B4"/>
    <w:rsid w:val="00D865E9"/>
    <w:rsid w:val="00D86634"/>
    <w:rsid w:val="00D86736"/>
    <w:rsid w:val="00D868FE"/>
    <w:rsid w:val="00D86C1C"/>
    <w:rsid w:val="00D86C3F"/>
    <w:rsid w:val="00D86DBE"/>
    <w:rsid w:val="00D86EB8"/>
    <w:rsid w:val="00D8708A"/>
    <w:rsid w:val="00D87483"/>
    <w:rsid w:val="00D8757C"/>
    <w:rsid w:val="00D8770C"/>
    <w:rsid w:val="00D87899"/>
    <w:rsid w:val="00D8797B"/>
    <w:rsid w:val="00D87CA3"/>
    <w:rsid w:val="00D87CF7"/>
    <w:rsid w:val="00D87DE5"/>
    <w:rsid w:val="00D87EDC"/>
    <w:rsid w:val="00D90306"/>
    <w:rsid w:val="00D9041D"/>
    <w:rsid w:val="00D90509"/>
    <w:rsid w:val="00D906AF"/>
    <w:rsid w:val="00D90825"/>
    <w:rsid w:val="00D90967"/>
    <w:rsid w:val="00D909BB"/>
    <w:rsid w:val="00D90AC7"/>
    <w:rsid w:val="00D90F5B"/>
    <w:rsid w:val="00D91A2A"/>
    <w:rsid w:val="00D91A72"/>
    <w:rsid w:val="00D91B5F"/>
    <w:rsid w:val="00D91C1C"/>
    <w:rsid w:val="00D91D31"/>
    <w:rsid w:val="00D91DB1"/>
    <w:rsid w:val="00D92000"/>
    <w:rsid w:val="00D923F5"/>
    <w:rsid w:val="00D923FD"/>
    <w:rsid w:val="00D92403"/>
    <w:rsid w:val="00D926C9"/>
    <w:rsid w:val="00D926E4"/>
    <w:rsid w:val="00D928CA"/>
    <w:rsid w:val="00D92D5B"/>
    <w:rsid w:val="00D9322A"/>
    <w:rsid w:val="00D932D9"/>
    <w:rsid w:val="00D93305"/>
    <w:rsid w:val="00D93675"/>
    <w:rsid w:val="00D9375C"/>
    <w:rsid w:val="00D93817"/>
    <w:rsid w:val="00D9384D"/>
    <w:rsid w:val="00D938AB"/>
    <w:rsid w:val="00D93A2A"/>
    <w:rsid w:val="00D93A5A"/>
    <w:rsid w:val="00D93ADF"/>
    <w:rsid w:val="00D93B1D"/>
    <w:rsid w:val="00D93BEF"/>
    <w:rsid w:val="00D93D6A"/>
    <w:rsid w:val="00D93F4F"/>
    <w:rsid w:val="00D942DF"/>
    <w:rsid w:val="00D943C7"/>
    <w:rsid w:val="00D947A5"/>
    <w:rsid w:val="00D947F3"/>
    <w:rsid w:val="00D9487A"/>
    <w:rsid w:val="00D949C8"/>
    <w:rsid w:val="00D94F3B"/>
    <w:rsid w:val="00D94F76"/>
    <w:rsid w:val="00D94F84"/>
    <w:rsid w:val="00D951E8"/>
    <w:rsid w:val="00D9572E"/>
    <w:rsid w:val="00D958A0"/>
    <w:rsid w:val="00D95944"/>
    <w:rsid w:val="00D95B5B"/>
    <w:rsid w:val="00D95C90"/>
    <w:rsid w:val="00D95E9B"/>
    <w:rsid w:val="00D96459"/>
    <w:rsid w:val="00D966EA"/>
    <w:rsid w:val="00D968F2"/>
    <w:rsid w:val="00D96A76"/>
    <w:rsid w:val="00D96A9E"/>
    <w:rsid w:val="00D9702D"/>
    <w:rsid w:val="00D970B3"/>
    <w:rsid w:val="00D970BA"/>
    <w:rsid w:val="00D97371"/>
    <w:rsid w:val="00D97413"/>
    <w:rsid w:val="00D9774A"/>
    <w:rsid w:val="00D9784D"/>
    <w:rsid w:val="00D97994"/>
    <w:rsid w:val="00D97E43"/>
    <w:rsid w:val="00D97EBA"/>
    <w:rsid w:val="00D97F35"/>
    <w:rsid w:val="00DA0217"/>
    <w:rsid w:val="00DA02A6"/>
    <w:rsid w:val="00DA039B"/>
    <w:rsid w:val="00DA05F9"/>
    <w:rsid w:val="00DA0870"/>
    <w:rsid w:val="00DA09EC"/>
    <w:rsid w:val="00DA0A8C"/>
    <w:rsid w:val="00DA0AB3"/>
    <w:rsid w:val="00DA0F7A"/>
    <w:rsid w:val="00DA1125"/>
    <w:rsid w:val="00DA11A5"/>
    <w:rsid w:val="00DA123A"/>
    <w:rsid w:val="00DA1358"/>
    <w:rsid w:val="00DA16F2"/>
    <w:rsid w:val="00DA17B5"/>
    <w:rsid w:val="00DA1918"/>
    <w:rsid w:val="00DA1BA1"/>
    <w:rsid w:val="00DA1E59"/>
    <w:rsid w:val="00DA1F1E"/>
    <w:rsid w:val="00DA2072"/>
    <w:rsid w:val="00DA222C"/>
    <w:rsid w:val="00DA245C"/>
    <w:rsid w:val="00DA2489"/>
    <w:rsid w:val="00DA25CA"/>
    <w:rsid w:val="00DA25DF"/>
    <w:rsid w:val="00DA25F9"/>
    <w:rsid w:val="00DA277C"/>
    <w:rsid w:val="00DA2ACA"/>
    <w:rsid w:val="00DA2C84"/>
    <w:rsid w:val="00DA2E0D"/>
    <w:rsid w:val="00DA2EC0"/>
    <w:rsid w:val="00DA31AC"/>
    <w:rsid w:val="00DA3781"/>
    <w:rsid w:val="00DA3899"/>
    <w:rsid w:val="00DA3C12"/>
    <w:rsid w:val="00DA3C85"/>
    <w:rsid w:val="00DA3E6A"/>
    <w:rsid w:val="00DA42F2"/>
    <w:rsid w:val="00DA4806"/>
    <w:rsid w:val="00DA4A6D"/>
    <w:rsid w:val="00DA4B75"/>
    <w:rsid w:val="00DA4B7A"/>
    <w:rsid w:val="00DA4B8D"/>
    <w:rsid w:val="00DA4C10"/>
    <w:rsid w:val="00DA4D00"/>
    <w:rsid w:val="00DA4DCC"/>
    <w:rsid w:val="00DA4DDB"/>
    <w:rsid w:val="00DA4FDD"/>
    <w:rsid w:val="00DA5019"/>
    <w:rsid w:val="00DA51FF"/>
    <w:rsid w:val="00DA52C0"/>
    <w:rsid w:val="00DA54B7"/>
    <w:rsid w:val="00DA59B7"/>
    <w:rsid w:val="00DA5D51"/>
    <w:rsid w:val="00DA5F8C"/>
    <w:rsid w:val="00DA5FCE"/>
    <w:rsid w:val="00DA6793"/>
    <w:rsid w:val="00DA67C4"/>
    <w:rsid w:val="00DA682F"/>
    <w:rsid w:val="00DA687C"/>
    <w:rsid w:val="00DA68A5"/>
    <w:rsid w:val="00DA6BF3"/>
    <w:rsid w:val="00DA6F93"/>
    <w:rsid w:val="00DA7041"/>
    <w:rsid w:val="00DA71ED"/>
    <w:rsid w:val="00DA7325"/>
    <w:rsid w:val="00DA76A8"/>
    <w:rsid w:val="00DA7742"/>
    <w:rsid w:val="00DA7A45"/>
    <w:rsid w:val="00DA7A81"/>
    <w:rsid w:val="00DA7B41"/>
    <w:rsid w:val="00DA7D82"/>
    <w:rsid w:val="00DB0062"/>
    <w:rsid w:val="00DB062F"/>
    <w:rsid w:val="00DB065F"/>
    <w:rsid w:val="00DB0C5A"/>
    <w:rsid w:val="00DB1115"/>
    <w:rsid w:val="00DB11C4"/>
    <w:rsid w:val="00DB1600"/>
    <w:rsid w:val="00DB178C"/>
    <w:rsid w:val="00DB1860"/>
    <w:rsid w:val="00DB18C9"/>
    <w:rsid w:val="00DB1AF9"/>
    <w:rsid w:val="00DB1D10"/>
    <w:rsid w:val="00DB1DF0"/>
    <w:rsid w:val="00DB1F40"/>
    <w:rsid w:val="00DB1F9F"/>
    <w:rsid w:val="00DB222D"/>
    <w:rsid w:val="00DB241B"/>
    <w:rsid w:val="00DB25D6"/>
    <w:rsid w:val="00DB2614"/>
    <w:rsid w:val="00DB28E9"/>
    <w:rsid w:val="00DB2969"/>
    <w:rsid w:val="00DB2B30"/>
    <w:rsid w:val="00DB2B68"/>
    <w:rsid w:val="00DB2C8A"/>
    <w:rsid w:val="00DB2F99"/>
    <w:rsid w:val="00DB314D"/>
    <w:rsid w:val="00DB3561"/>
    <w:rsid w:val="00DB38CF"/>
    <w:rsid w:val="00DB390C"/>
    <w:rsid w:val="00DB3CAF"/>
    <w:rsid w:val="00DB3CB2"/>
    <w:rsid w:val="00DB3E3D"/>
    <w:rsid w:val="00DB3E4F"/>
    <w:rsid w:val="00DB40F2"/>
    <w:rsid w:val="00DB4270"/>
    <w:rsid w:val="00DB4318"/>
    <w:rsid w:val="00DB438F"/>
    <w:rsid w:val="00DB4893"/>
    <w:rsid w:val="00DB4A35"/>
    <w:rsid w:val="00DB4BF6"/>
    <w:rsid w:val="00DB4C86"/>
    <w:rsid w:val="00DB5260"/>
    <w:rsid w:val="00DB5375"/>
    <w:rsid w:val="00DB540C"/>
    <w:rsid w:val="00DB55A6"/>
    <w:rsid w:val="00DB55E5"/>
    <w:rsid w:val="00DB5614"/>
    <w:rsid w:val="00DB57CF"/>
    <w:rsid w:val="00DB59DF"/>
    <w:rsid w:val="00DB5D5C"/>
    <w:rsid w:val="00DB5F62"/>
    <w:rsid w:val="00DB5FD1"/>
    <w:rsid w:val="00DB60E0"/>
    <w:rsid w:val="00DB613F"/>
    <w:rsid w:val="00DB62B2"/>
    <w:rsid w:val="00DB64AE"/>
    <w:rsid w:val="00DB64E5"/>
    <w:rsid w:val="00DB653B"/>
    <w:rsid w:val="00DB6828"/>
    <w:rsid w:val="00DB6B06"/>
    <w:rsid w:val="00DB6B50"/>
    <w:rsid w:val="00DB6C5B"/>
    <w:rsid w:val="00DB6CAB"/>
    <w:rsid w:val="00DB6E18"/>
    <w:rsid w:val="00DB6F67"/>
    <w:rsid w:val="00DB6F7D"/>
    <w:rsid w:val="00DB6FCB"/>
    <w:rsid w:val="00DB71F3"/>
    <w:rsid w:val="00DB7234"/>
    <w:rsid w:val="00DB74E6"/>
    <w:rsid w:val="00DB7806"/>
    <w:rsid w:val="00DB7A5E"/>
    <w:rsid w:val="00DB7B38"/>
    <w:rsid w:val="00DB7B89"/>
    <w:rsid w:val="00DB7BCC"/>
    <w:rsid w:val="00DC00CA"/>
    <w:rsid w:val="00DC0443"/>
    <w:rsid w:val="00DC04A6"/>
    <w:rsid w:val="00DC04DC"/>
    <w:rsid w:val="00DC06F7"/>
    <w:rsid w:val="00DC0736"/>
    <w:rsid w:val="00DC0ABC"/>
    <w:rsid w:val="00DC0D7E"/>
    <w:rsid w:val="00DC0E32"/>
    <w:rsid w:val="00DC0F55"/>
    <w:rsid w:val="00DC0FA8"/>
    <w:rsid w:val="00DC109B"/>
    <w:rsid w:val="00DC10A8"/>
    <w:rsid w:val="00DC1183"/>
    <w:rsid w:val="00DC13EA"/>
    <w:rsid w:val="00DC1566"/>
    <w:rsid w:val="00DC1669"/>
    <w:rsid w:val="00DC1AB9"/>
    <w:rsid w:val="00DC1AFB"/>
    <w:rsid w:val="00DC1B3C"/>
    <w:rsid w:val="00DC1B4D"/>
    <w:rsid w:val="00DC1D4C"/>
    <w:rsid w:val="00DC1DD9"/>
    <w:rsid w:val="00DC1E8D"/>
    <w:rsid w:val="00DC1EFE"/>
    <w:rsid w:val="00DC1F16"/>
    <w:rsid w:val="00DC20D6"/>
    <w:rsid w:val="00DC21B3"/>
    <w:rsid w:val="00DC2473"/>
    <w:rsid w:val="00DC25F1"/>
    <w:rsid w:val="00DC2739"/>
    <w:rsid w:val="00DC28DB"/>
    <w:rsid w:val="00DC2CE5"/>
    <w:rsid w:val="00DC2D18"/>
    <w:rsid w:val="00DC2D7C"/>
    <w:rsid w:val="00DC2DE1"/>
    <w:rsid w:val="00DC2FA8"/>
    <w:rsid w:val="00DC3312"/>
    <w:rsid w:val="00DC34DB"/>
    <w:rsid w:val="00DC3591"/>
    <w:rsid w:val="00DC3656"/>
    <w:rsid w:val="00DC382B"/>
    <w:rsid w:val="00DC3B54"/>
    <w:rsid w:val="00DC3D2E"/>
    <w:rsid w:val="00DC423A"/>
    <w:rsid w:val="00DC4293"/>
    <w:rsid w:val="00DC45B4"/>
    <w:rsid w:val="00DC46A1"/>
    <w:rsid w:val="00DC46A2"/>
    <w:rsid w:val="00DC47A8"/>
    <w:rsid w:val="00DC495C"/>
    <w:rsid w:val="00DC49E1"/>
    <w:rsid w:val="00DC4C6C"/>
    <w:rsid w:val="00DC4D56"/>
    <w:rsid w:val="00DC4F2D"/>
    <w:rsid w:val="00DC4FD1"/>
    <w:rsid w:val="00DC5118"/>
    <w:rsid w:val="00DC51EA"/>
    <w:rsid w:val="00DC525B"/>
    <w:rsid w:val="00DC59C1"/>
    <w:rsid w:val="00DC5A77"/>
    <w:rsid w:val="00DC5B2E"/>
    <w:rsid w:val="00DC5C6B"/>
    <w:rsid w:val="00DC5C6D"/>
    <w:rsid w:val="00DC5EA7"/>
    <w:rsid w:val="00DC61D8"/>
    <w:rsid w:val="00DC6311"/>
    <w:rsid w:val="00DC68E9"/>
    <w:rsid w:val="00DC692C"/>
    <w:rsid w:val="00DC6BA9"/>
    <w:rsid w:val="00DC6CBB"/>
    <w:rsid w:val="00DC6DBE"/>
    <w:rsid w:val="00DC7074"/>
    <w:rsid w:val="00DC72E3"/>
    <w:rsid w:val="00DC7531"/>
    <w:rsid w:val="00DC77C0"/>
    <w:rsid w:val="00DC77C5"/>
    <w:rsid w:val="00DC7A60"/>
    <w:rsid w:val="00DC7C35"/>
    <w:rsid w:val="00DC7C62"/>
    <w:rsid w:val="00DC7F60"/>
    <w:rsid w:val="00DD023E"/>
    <w:rsid w:val="00DD059D"/>
    <w:rsid w:val="00DD05DF"/>
    <w:rsid w:val="00DD09AB"/>
    <w:rsid w:val="00DD0ACB"/>
    <w:rsid w:val="00DD0D0E"/>
    <w:rsid w:val="00DD0F69"/>
    <w:rsid w:val="00DD10EF"/>
    <w:rsid w:val="00DD1572"/>
    <w:rsid w:val="00DD157D"/>
    <w:rsid w:val="00DD166B"/>
    <w:rsid w:val="00DD180A"/>
    <w:rsid w:val="00DD18CA"/>
    <w:rsid w:val="00DD1A93"/>
    <w:rsid w:val="00DD1D62"/>
    <w:rsid w:val="00DD1D6E"/>
    <w:rsid w:val="00DD1FCB"/>
    <w:rsid w:val="00DD231F"/>
    <w:rsid w:val="00DD23D1"/>
    <w:rsid w:val="00DD271C"/>
    <w:rsid w:val="00DD2A6D"/>
    <w:rsid w:val="00DD2B1B"/>
    <w:rsid w:val="00DD2C7D"/>
    <w:rsid w:val="00DD2E8C"/>
    <w:rsid w:val="00DD2F02"/>
    <w:rsid w:val="00DD2F79"/>
    <w:rsid w:val="00DD2F95"/>
    <w:rsid w:val="00DD3063"/>
    <w:rsid w:val="00DD30A4"/>
    <w:rsid w:val="00DD33FC"/>
    <w:rsid w:val="00DD3494"/>
    <w:rsid w:val="00DD3605"/>
    <w:rsid w:val="00DD3744"/>
    <w:rsid w:val="00DD3804"/>
    <w:rsid w:val="00DD385C"/>
    <w:rsid w:val="00DD38EF"/>
    <w:rsid w:val="00DD3966"/>
    <w:rsid w:val="00DD3A3B"/>
    <w:rsid w:val="00DD3A9C"/>
    <w:rsid w:val="00DD3ACB"/>
    <w:rsid w:val="00DD3BD6"/>
    <w:rsid w:val="00DD3EEA"/>
    <w:rsid w:val="00DD4013"/>
    <w:rsid w:val="00DD429D"/>
    <w:rsid w:val="00DD43E4"/>
    <w:rsid w:val="00DD4574"/>
    <w:rsid w:val="00DD4741"/>
    <w:rsid w:val="00DD482D"/>
    <w:rsid w:val="00DD4939"/>
    <w:rsid w:val="00DD4B46"/>
    <w:rsid w:val="00DD4D5C"/>
    <w:rsid w:val="00DD522D"/>
    <w:rsid w:val="00DD5239"/>
    <w:rsid w:val="00DD531D"/>
    <w:rsid w:val="00DD53FC"/>
    <w:rsid w:val="00DD54DA"/>
    <w:rsid w:val="00DD59CF"/>
    <w:rsid w:val="00DD5CCD"/>
    <w:rsid w:val="00DD5EC3"/>
    <w:rsid w:val="00DD60DC"/>
    <w:rsid w:val="00DD6342"/>
    <w:rsid w:val="00DD6640"/>
    <w:rsid w:val="00DD66CF"/>
    <w:rsid w:val="00DD6C02"/>
    <w:rsid w:val="00DD6D4D"/>
    <w:rsid w:val="00DD6DFA"/>
    <w:rsid w:val="00DD6E12"/>
    <w:rsid w:val="00DD6E83"/>
    <w:rsid w:val="00DD6F57"/>
    <w:rsid w:val="00DD6F95"/>
    <w:rsid w:val="00DD6FC8"/>
    <w:rsid w:val="00DD7233"/>
    <w:rsid w:val="00DD73A2"/>
    <w:rsid w:val="00DD7404"/>
    <w:rsid w:val="00DD7405"/>
    <w:rsid w:val="00DD791D"/>
    <w:rsid w:val="00DD79A6"/>
    <w:rsid w:val="00DD79B6"/>
    <w:rsid w:val="00DD7B20"/>
    <w:rsid w:val="00DD7B86"/>
    <w:rsid w:val="00DE00DF"/>
    <w:rsid w:val="00DE02AE"/>
    <w:rsid w:val="00DE0568"/>
    <w:rsid w:val="00DE0612"/>
    <w:rsid w:val="00DE0642"/>
    <w:rsid w:val="00DE06C8"/>
    <w:rsid w:val="00DE0B68"/>
    <w:rsid w:val="00DE0BA6"/>
    <w:rsid w:val="00DE1199"/>
    <w:rsid w:val="00DE1433"/>
    <w:rsid w:val="00DE1464"/>
    <w:rsid w:val="00DE1729"/>
    <w:rsid w:val="00DE17F1"/>
    <w:rsid w:val="00DE1B0B"/>
    <w:rsid w:val="00DE1B6B"/>
    <w:rsid w:val="00DE201F"/>
    <w:rsid w:val="00DE214B"/>
    <w:rsid w:val="00DE23AB"/>
    <w:rsid w:val="00DE290E"/>
    <w:rsid w:val="00DE2AE6"/>
    <w:rsid w:val="00DE2D99"/>
    <w:rsid w:val="00DE2DC4"/>
    <w:rsid w:val="00DE2DD9"/>
    <w:rsid w:val="00DE2F9C"/>
    <w:rsid w:val="00DE32C1"/>
    <w:rsid w:val="00DE33B0"/>
    <w:rsid w:val="00DE344D"/>
    <w:rsid w:val="00DE3550"/>
    <w:rsid w:val="00DE38FF"/>
    <w:rsid w:val="00DE390D"/>
    <w:rsid w:val="00DE39D9"/>
    <w:rsid w:val="00DE3B35"/>
    <w:rsid w:val="00DE3EFE"/>
    <w:rsid w:val="00DE41A0"/>
    <w:rsid w:val="00DE459E"/>
    <w:rsid w:val="00DE4621"/>
    <w:rsid w:val="00DE49C8"/>
    <w:rsid w:val="00DE4C41"/>
    <w:rsid w:val="00DE4D86"/>
    <w:rsid w:val="00DE4E79"/>
    <w:rsid w:val="00DE51FE"/>
    <w:rsid w:val="00DE5526"/>
    <w:rsid w:val="00DE59E1"/>
    <w:rsid w:val="00DE5D01"/>
    <w:rsid w:val="00DE5D70"/>
    <w:rsid w:val="00DE5D95"/>
    <w:rsid w:val="00DE5E9A"/>
    <w:rsid w:val="00DE5EEE"/>
    <w:rsid w:val="00DE5F01"/>
    <w:rsid w:val="00DE5F08"/>
    <w:rsid w:val="00DE5F4C"/>
    <w:rsid w:val="00DE60E7"/>
    <w:rsid w:val="00DE61D0"/>
    <w:rsid w:val="00DE6593"/>
    <w:rsid w:val="00DE68AA"/>
    <w:rsid w:val="00DE6CA3"/>
    <w:rsid w:val="00DE6DCB"/>
    <w:rsid w:val="00DE6E69"/>
    <w:rsid w:val="00DE71DD"/>
    <w:rsid w:val="00DE7209"/>
    <w:rsid w:val="00DE7255"/>
    <w:rsid w:val="00DE7600"/>
    <w:rsid w:val="00DE7A9A"/>
    <w:rsid w:val="00DE7BCE"/>
    <w:rsid w:val="00DE7C0F"/>
    <w:rsid w:val="00DE7E28"/>
    <w:rsid w:val="00DF0049"/>
    <w:rsid w:val="00DF0066"/>
    <w:rsid w:val="00DF006D"/>
    <w:rsid w:val="00DF00DD"/>
    <w:rsid w:val="00DF02CA"/>
    <w:rsid w:val="00DF0733"/>
    <w:rsid w:val="00DF0739"/>
    <w:rsid w:val="00DF0B01"/>
    <w:rsid w:val="00DF0C0E"/>
    <w:rsid w:val="00DF0CA8"/>
    <w:rsid w:val="00DF0F52"/>
    <w:rsid w:val="00DF111B"/>
    <w:rsid w:val="00DF128A"/>
    <w:rsid w:val="00DF1435"/>
    <w:rsid w:val="00DF155C"/>
    <w:rsid w:val="00DF15B8"/>
    <w:rsid w:val="00DF1858"/>
    <w:rsid w:val="00DF1B25"/>
    <w:rsid w:val="00DF1CFF"/>
    <w:rsid w:val="00DF1DFD"/>
    <w:rsid w:val="00DF1F2A"/>
    <w:rsid w:val="00DF20E4"/>
    <w:rsid w:val="00DF2215"/>
    <w:rsid w:val="00DF23C6"/>
    <w:rsid w:val="00DF2824"/>
    <w:rsid w:val="00DF2965"/>
    <w:rsid w:val="00DF2EBE"/>
    <w:rsid w:val="00DF3095"/>
    <w:rsid w:val="00DF3132"/>
    <w:rsid w:val="00DF3681"/>
    <w:rsid w:val="00DF3696"/>
    <w:rsid w:val="00DF3870"/>
    <w:rsid w:val="00DF3A15"/>
    <w:rsid w:val="00DF3A41"/>
    <w:rsid w:val="00DF3AD9"/>
    <w:rsid w:val="00DF3B29"/>
    <w:rsid w:val="00DF4715"/>
    <w:rsid w:val="00DF49D9"/>
    <w:rsid w:val="00DF4C01"/>
    <w:rsid w:val="00DF4EAA"/>
    <w:rsid w:val="00DF4F69"/>
    <w:rsid w:val="00DF5121"/>
    <w:rsid w:val="00DF5694"/>
    <w:rsid w:val="00DF5946"/>
    <w:rsid w:val="00DF5B53"/>
    <w:rsid w:val="00DF5CF0"/>
    <w:rsid w:val="00DF5D38"/>
    <w:rsid w:val="00DF5D61"/>
    <w:rsid w:val="00DF6401"/>
    <w:rsid w:val="00DF641D"/>
    <w:rsid w:val="00DF6896"/>
    <w:rsid w:val="00DF694A"/>
    <w:rsid w:val="00DF729F"/>
    <w:rsid w:val="00DF75C1"/>
    <w:rsid w:val="00DF7623"/>
    <w:rsid w:val="00DF7690"/>
    <w:rsid w:val="00DF7691"/>
    <w:rsid w:val="00DF7AD6"/>
    <w:rsid w:val="00E00093"/>
    <w:rsid w:val="00E001E5"/>
    <w:rsid w:val="00E00279"/>
    <w:rsid w:val="00E0039F"/>
    <w:rsid w:val="00E00501"/>
    <w:rsid w:val="00E005E9"/>
    <w:rsid w:val="00E00675"/>
    <w:rsid w:val="00E00B2F"/>
    <w:rsid w:val="00E00BAF"/>
    <w:rsid w:val="00E00BE4"/>
    <w:rsid w:val="00E00C8C"/>
    <w:rsid w:val="00E00CB8"/>
    <w:rsid w:val="00E00DFC"/>
    <w:rsid w:val="00E00E1B"/>
    <w:rsid w:val="00E012F8"/>
    <w:rsid w:val="00E013B3"/>
    <w:rsid w:val="00E014BD"/>
    <w:rsid w:val="00E016D5"/>
    <w:rsid w:val="00E01725"/>
    <w:rsid w:val="00E0183C"/>
    <w:rsid w:val="00E01A68"/>
    <w:rsid w:val="00E01CF4"/>
    <w:rsid w:val="00E01DBC"/>
    <w:rsid w:val="00E01E7B"/>
    <w:rsid w:val="00E01FF9"/>
    <w:rsid w:val="00E0212C"/>
    <w:rsid w:val="00E02325"/>
    <w:rsid w:val="00E023A1"/>
    <w:rsid w:val="00E02677"/>
    <w:rsid w:val="00E02831"/>
    <w:rsid w:val="00E02A7E"/>
    <w:rsid w:val="00E02B5D"/>
    <w:rsid w:val="00E02DF2"/>
    <w:rsid w:val="00E03121"/>
    <w:rsid w:val="00E0336E"/>
    <w:rsid w:val="00E033DA"/>
    <w:rsid w:val="00E0376B"/>
    <w:rsid w:val="00E037AD"/>
    <w:rsid w:val="00E03970"/>
    <w:rsid w:val="00E03B60"/>
    <w:rsid w:val="00E03D7E"/>
    <w:rsid w:val="00E03E05"/>
    <w:rsid w:val="00E03E17"/>
    <w:rsid w:val="00E04002"/>
    <w:rsid w:val="00E04041"/>
    <w:rsid w:val="00E04224"/>
    <w:rsid w:val="00E04821"/>
    <w:rsid w:val="00E04885"/>
    <w:rsid w:val="00E048C6"/>
    <w:rsid w:val="00E04A41"/>
    <w:rsid w:val="00E04B09"/>
    <w:rsid w:val="00E04B43"/>
    <w:rsid w:val="00E04FFC"/>
    <w:rsid w:val="00E05148"/>
    <w:rsid w:val="00E0541A"/>
    <w:rsid w:val="00E05770"/>
    <w:rsid w:val="00E058F4"/>
    <w:rsid w:val="00E05934"/>
    <w:rsid w:val="00E05BA6"/>
    <w:rsid w:val="00E05F08"/>
    <w:rsid w:val="00E05FB8"/>
    <w:rsid w:val="00E06242"/>
    <w:rsid w:val="00E0629B"/>
    <w:rsid w:val="00E0631F"/>
    <w:rsid w:val="00E063CA"/>
    <w:rsid w:val="00E06491"/>
    <w:rsid w:val="00E066FE"/>
    <w:rsid w:val="00E069D9"/>
    <w:rsid w:val="00E06DA3"/>
    <w:rsid w:val="00E07076"/>
    <w:rsid w:val="00E070C0"/>
    <w:rsid w:val="00E074E5"/>
    <w:rsid w:val="00E074FF"/>
    <w:rsid w:val="00E077D6"/>
    <w:rsid w:val="00E07A2F"/>
    <w:rsid w:val="00E07B94"/>
    <w:rsid w:val="00E10285"/>
    <w:rsid w:val="00E1055C"/>
    <w:rsid w:val="00E1056C"/>
    <w:rsid w:val="00E105C2"/>
    <w:rsid w:val="00E10809"/>
    <w:rsid w:val="00E1081C"/>
    <w:rsid w:val="00E108ED"/>
    <w:rsid w:val="00E109C9"/>
    <w:rsid w:val="00E10A8B"/>
    <w:rsid w:val="00E10DAD"/>
    <w:rsid w:val="00E10DC0"/>
    <w:rsid w:val="00E10F0A"/>
    <w:rsid w:val="00E10F0E"/>
    <w:rsid w:val="00E10F4D"/>
    <w:rsid w:val="00E10FA6"/>
    <w:rsid w:val="00E1110A"/>
    <w:rsid w:val="00E1124B"/>
    <w:rsid w:val="00E117C2"/>
    <w:rsid w:val="00E11946"/>
    <w:rsid w:val="00E11CFA"/>
    <w:rsid w:val="00E11D2F"/>
    <w:rsid w:val="00E11E2A"/>
    <w:rsid w:val="00E12076"/>
    <w:rsid w:val="00E12367"/>
    <w:rsid w:val="00E1267C"/>
    <w:rsid w:val="00E126B3"/>
    <w:rsid w:val="00E12940"/>
    <w:rsid w:val="00E1296C"/>
    <w:rsid w:val="00E12E1F"/>
    <w:rsid w:val="00E12EE4"/>
    <w:rsid w:val="00E12F8A"/>
    <w:rsid w:val="00E12FDC"/>
    <w:rsid w:val="00E131A1"/>
    <w:rsid w:val="00E132D8"/>
    <w:rsid w:val="00E1334F"/>
    <w:rsid w:val="00E1340A"/>
    <w:rsid w:val="00E1348E"/>
    <w:rsid w:val="00E13612"/>
    <w:rsid w:val="00E13EC9"/>
    <w:rsid w:val="00E13EFC"/>
    <w:rsid w:val="00E13F61"/>
    <w:rsid w:val="00E13FF9"/>
    <w:rsid w:val="00E1412A"/>
    <w:rsid w:val="00E1434D"/>
    <w:rsid w:val="00E14405"/>
    <w:rsid w:val="00E1441F"/>
    <w:rsid w:val="00E1450A"/>
    <w:rsid w:val="00E147A0"/>
    <w:rsid w:val="00E14854"/>
    <w:rsid w:val="00E148B0"/>
    <w:rsid w:val="00E149CD"/>
    <w:rsid w:val="00E14DCF"/>
    <w:rsid w:val="00E15251"/>
    <w:rsid w:val="00E15335"/>
    <w:rsid w:val="00E153C6"/>
    <w:rsid w:val="00E154E8"/>
    <w:rsid w:val="00E1561C"/>
    <w:rsid w:val="00E15927"/>
    <w:rsid w:val="00E15969"/>
    <w:rsid w:val="00E15C97"/>
    <w:rsid w:val="00E15CFF"/>
    <w:rsid w:val="00E15FFB"/>
    <w:rsid w:val="00E1603A"/>
    <w:rsid w:val="00E160FF"/>
    <w:rsid w:val="00E16431"/>
    <w:rsid w:val="00E16464"/>
    <w:rsid w:val="00E16871"/>
    <w:rsid w:val="00E16986"/>
    <w:rsid w:val="00E16E0A"/>
    <w:rsid w:val="00E16E8B"/>
    <w:rsid w:val="00E16F6E"/>
    <w:rsid w:val="00E17185"/>
    <w:rsid w:val="00E17365"/>
    <w:rsid w:val="00E17457"/>
    <w:rsid w:val="00E174E5"/>
    <w:rsid w:val="00E1761F"/>
    <w:rsid w:val="00E1762B"/>
    <w:rsid w:val="00E1770F"/>
    <w:rsid w:val="00E17880"/>
    <w:rsid w:val="00E179E0"/>
    <w:rsid w:val="00E17BFF"/>
    <w:rsid w:val="00E17D70"/>
    <w:rsid w:val="00E17F9A"/>
    <w:rsid w:val="00E2026F"/>
    <w:rsid w:val="00E2042B"/>
    <w:rsid w:val="00E20621"/>
    <w:rsid w:val="00E20A30"/>
    <w:rsid w:val="00E20A56"/>
    <w:rsid w:val="00E20AAC"/>
    <w:rsid w:val="00E20C14"/>
    <w:rsid w:val="00E21489"/>
    <w:rsid w:val="00E2185F"/>
    <w:rsid w:val="00E21A13"/>
    <w:rsid w:val="00E21C9B"/>
    <w:rsid w:val="00E21F5B"/>
    <w:rsid w:val="00E22038"/>
    <w:rsid w:val="00E22221"/>
    <w:rsid w:val="00E222C8"/>
    <w:rsid w:val="00E22356"/>
    <w:rsid w:val="00E2294E"/>
    <w:rsid w:val="00E22958"/>
    <w:rsid w:val="00E229A6"/>
    <w:rsid w:val="00E22A0C"/>
    <w:rsid w:val="00E22C30"/>
    <w:rsid w:val="00E22C8D"/>
    <w:rsid w:val="00E22F46"/>
    <w:rsid w:val="00E22FBC"/>
    <w:rsid w:val="00E232AC"/>
    <w:rsid w:val="00E234CF"/>
    <w:rsid w:val="00E23670"/>
    <w:rsid w:val="00E23728"/>
    <w:rsid w:val="00E2381E"/>
    <w:rsid w:val="00E2398E"/>
    <w:rsid w:val="00E23A0E"/>
    <w:rsid w:val="00E23A67"/>
    <w:rsid w:val="00E240A8"/>
    <w:rsid w:val="00E2442C"/>
    <w:rsid w:val="00E2448E"/>
    <w:rsid w:val="00E244B5"/>
    <w:rsid w:val="00E245A0"/>
    <w:rsid w:val="00E24948"/>
    <w:rsid w:val="00E24993"/>
    <w:rsid w:val="00E249E7"/>
    <w:rsid w:val="00E24EC9"/>
    <w:rsid w:val="00E24F74"/>
    <w:rsid w:val="00E25444"/>
    <w:rsid w:val="00E255B1"/>
    <w:rsid w:val="00E25939"/>
    <w:rsid w:val="00E259E8"/>
    <w:rsid w:val="00E262B9"/>
    <w:rsid w:val="00E2631C"/>
    <w:rsid w:val="00E264A3"/>
    <w:rsid w:val="00E264BF"/>
    <w:rsid w:val="00E264F0"/>
    <w:rsid w:val="00E26536"/>
    <w:rsid w:val="00E266C2"/>
    <w:rsid w:val="00E269D2"/>
    <w:rsid w:val="00E26A5E"/>
    <w:rsid w:val="00E26A68"/>
    <w:rsid w:val="00E26BE7"/>
    <w:rsid w:val="00E26C28"/>
    <w:rsid w:val="00E26E1B"/>
    <w:rsid w:val="00E270A0"/>
    <w:rsid w:val="00E270B6"/>
    <w:rsid w:val="00E27519"/>
    <w:rsid w:val="00E27571"/>
    <w:rsid w:val="00E276A2"/>
    <w:rsid w:val="00E2776E"/>
    <w:rsid w:val="00E27795"/>
    <w:rsid w:val="00E27952"/>
    <w:rsid w:val="00E27ACC"/>
    <w:rsid w:val="00E27D11"/>
    <w:rsid w:val="00E30069"/>
    <w:rsid w:val="00E300FF"/>
    <w:rsid w:val="00E30155"/>
    <w:rsid w:val="00E30402"/>
    <w:rsid w:val="00E306E2"/>
    <w:rsid w:val="00E308BE"/>
    <w:rsid w:val="00E30AC7"/>
    <w:rsid w:val="00E30C8F"/>
    <w:rsid w:val="00E30E73"/>
    <w:rsid w:val="00E30FCE"/>
    <w:rsid w:val="00E30FE3"/>
    <w:rsid w:val="00E31223"/>
    <w:rsid w:val="00E3133F"/>
    <w:rsid w:val="00E31346"/>
    <w:rsid w:val="00E31452"/>
    <w:rsid w:val="00E31480"/>
    <w:rsid w:val="00E315A3"/>
    <w:rsid w:val="00E31649"/>
    <w:rsid w:val="00E319A3"/>
    <w:rsid w:val="00E31BD2"/>
    <w:rsid w:val="00E31D46"/>
    <w:rsid w:val="00E31EDF"/>
    <w:rsid w:val="00E31F2C"/>
    <w:rsid w:val="00E31F67"/>
    <w:rsid w:val="00E3225A"/>
    <w:rsid w:val="00E323FE"/>
    <w:rsid w:val="00E32568"/>
    <w:rsid w:val="00E325A0"/>
    <w:rsid w:val="00E325C7"/>
    <w:rsid w:val="00E326B3"/>
    <w:rsid w:val="00E3281E"/>
    <w:rsid w:val="00E32842"/>
    <w:rsid w:val="00E328F8"/>
    <w:rsid w:val="00E32AB1"/>
    <w:rsid w:val="00E32AF0"/>
    <w:rsid w:val="00E32C39"/>
    <w:rsid w:val="00E32CDC"/>
    <w:rsid w:val="00E32D18"/>
    <w:rsid w:val="00E32DC5"/>
    <w:rsid w:val="00E32EFE"/>
    <w:rsid w:val="00E33074"/>
    <w:rsid w:val="00E33386"/>
    <w:rsid w:val="00E33575"/>
    <w:rsid w:val="00E337DA"/>
    <w:rsid w:val="00E33819"/>
    <w:rsid w:val="00E3381B"/>
    <w:rsid w:val="00E338E5"/>
    <w:rsid w:val="00E33B92"/>
    <w:rsid w:val="00E33C14"/>
    <w:rsid w:val="00E33EBD"/>
    <w:rsid w:val="00E34306"/>
    <w:rsid w:val="00E34636"/>
    <w:rsid w:val="00E34C20"/>
    <w:rsid w:val="00E34ECE"/>
    <w:rsid w:val="00E34F9C"/>
    <w:rsid w:val="00E35070"/>
    <w:rsid w:val="00E3523D"/>
    <w:rsid w:val="00E35251"/>
    <w:rsid w:val="00E352CB"/>
    <w:rsid w:val="00E35513"/>
    <w:rsid w:val="00E35635"/>
    <w:rsid w:val="00E35A60"/>
    <w:rsid w:val="00E35C36"/>
    <w:rsid w:val="00E35C5A"/>
    <w:rsid w:val="00E35DCF"/>
    <w:rsid w:val="00E360A1"/>
    <w:rsid w:val="00E36442"/>
    <w:rsid w:val="00E36590"/>
    <w:rsid w:val="00E36A2E"/>
    <w:rsid w:val="00E36A73"/>
    <w:rsid w:val="00E36B99"/>
    <w:rsid w:val="00E36F16"/>
    <w:rsid w:val="00E36F4E"/>
    <w:rsid w:val="00E37042"/>
    <w:rsid w:val="00E370D1"/>
    <w:rsid w:val="00E37E54"/>
    <w:rsid w:val="00E37ED3"/>
    <w:rsid w:val="00E37F21"/>
    <w:rsid w:val="00E37F7C"/>
    <w:rsid w:val="00E40169"/>
    <w:rsid w:val="00E4021A"/>
    <w:rsid w:val="00E40345"/>
    <w:rsid w:val="00E404AE"/>
    <w:rsid w:val="00E404F8"/>
    <w:rsid w:val="00E406C0"/>
    <w:rsid w:val="00E40814"/>
    <w:rsid w:val="00E409B0"/>
    <w:rsid w:val="00E40AE8"/>
    <w:rsid w:val="00E40B19"/>
    <w:rsid w:val="00E40B38"/>
    <w:rsid w:val="00E40C0F"/>
    <w:rsid w:val="00E40CA4"/>
    <w:rsid w:val="00E40FF7"/>
    <w:rsid w:val="00E41036"/>
    <w:rsid w:val="00E417B4"/>
    <w:rsid w:val="00E418B0"/>
    <w:rsid w:val="00E41BF4"/>
    <w:rsid w:val="00E41C2C"/>
    <w:rsid w:val="00E41E22"/>
    <w:rsid w:val="00E41ED1"/>
    <w:rsid w:val="00E4203A"/>
    <w:rsid w:val="00E4212C"/>
    <w:rsid w:val="00E428F5"/>
    <w:rsid w:val="00E42B6A"/>
    <w:rsid w:val="00E43130"/>
    <w:rsid w:val="00E43184"/>
    <w:rsid w:val="00E4345A"/>
    <w:rsid w:val="00E436C1"/>
    <w:rsid w:val="00E436F1"/>
    <w:rsid w:val="00E43FB7"/>
    <w:rsid w:val="00E44321"/>
    <w:rsid w:val="00E445C6"/>
    <w:rsid w:val="00E447D7"/>
    <w:rsid w:val="00E44A6A"/>
    <w:rsid w:val="00E44A93"/>
    <w:rsid w:val="00E44C2E"/>
    <w:rsid w:val="00E44C4C"/>
    <w:rsid w:val="00E44FC7"/>
    <w:rsid w:val="00E45178"/>
    <w:rsid w:val="00E45283"/>
    <w:rsid w:val="00E4539B"/>
    <w:rsid w:val="00E45492"/>
    <w:rsid w:val="00E45826"/>
    <w:rsid w:val="00E458D0"/>
    <w:rsid w:val="00E45C3F"/>
    <w:rsid w:val="00E45EB8"/>
    <w:rsid w:val="00E45EF9"/>
    <w:rsid w:val="00E46135"/>
    <w:rsid w:val="00E46498"/>
    <w:rsid w:val="00E4692D"/>
    <w:rsid w:val="00E46BD6"/>
    <w:rsid w:val="00E46BE3"/>
    <w:rsid w:val="00E46C45"/>
    <w:rsid w:val="00E47272"/>
    <w:rsid w:val="00E47376"/>
    <w:rsid w:val="00E47772"/>
    <w:rsid w:val="00E477A8"/>
    <w:rsid w:val="00E47C60"/>
    <w:rsid w:val="00E47DB8"/>
    <w:rsid w:val="00E505B7"/>
    <w:rsid w:val="00E509C2"/>
    <w:rsid w:val="00E509EA"/>
    <w:rsid w:val="00E50A18"/>
    <w:rsid w:val="00E50B49"/>
    <w:rsid w:val="00E50F63"/>
    <w:rsid w:val="00E50F8B"/>
    <w:rsid w:val="00E50F9F"/>
    <w:rsid w:val="00E5108B"/>
    <w:rsid w:val="00E510DB"/>
    <w:rsid w:val="00E51123"/>
    <w:rsid w:val="00E515EF"/>
    <w:rsid w:val="00E51621"/>
    <w:rsid w:val="00E5292E"/>
    <w:rsid w:val="00E529EF"/>
    <w:rsid w:val="00E52B11"/>
    <w:rsid w:val="00E52C5D"/>
    <w:rsid w:val="00E52EF9"/>
    <w:rsid w:val="00E52F1B"/>
    <w:rsid w:val="00E53043"/>
    <w:rsid w:val="00E5370E"/>
    <w:rsid w:val="00E538A7"/>
    <w:rsid w:val="00E53BB2"/>
    <w:rsid w:val="00E53C9D"/>
    <w:rsid w:val="00E53FC1"/>
    <w:rsid w:val="00E54801"/>
    <w:rsid w:val="00E54AEA"/>
    <w:rsid w:val="00E54DD0"/>
    <w:rsid w:val="00E54F85"/>
    <w:rsid w:val="00E5528E"/>
    <w:rsid w:val="00E552B7"/>
    <w:rsid w:val="00E553B9"/>
    <w:rsid w:val="00E55B85"/>
    <w:rsid w:val="00E5618C"/>
    <w:rsid w:val="00E562F0"/>
    <w:rsid w:val="00E56470"/>
    <w:rsid w:val="00E56580"/>
    <w:rsid w:val="00E56717"/>
    <w:rsid w:val="00E56976"/>
    <w:rsid w:val="00E569FD"/>
    <w:rsid w:val="00E56BE2"/>
    <w:rsid w:val="00E56CA3"/>
    <w:rsid w:val="00E57210"/>
    <w:rsid w:val="00E5743D"/>
    <w:rsid w:val="00E57689"/>
    <w:rsid w:val="00E57BBA"/>
    <w:rsid w:val="00E57C89"/>
    <w:rsid w:val="00E57E71"/>
    <w:rsid w:val="00E60202"/>
    <w:rsid w:val="00E60275"/>
    <w:rsid w:val="00E604CD"/>
    <w:rsid w:val="00E605B4"/>
    <w:rsid w:val="00E6062E"/>
    <w:rsid w:val="00E607F1"/>
    <w:rsid w:val="00E60816"/>
    <w:rsid w:val="00E609C6"/>
    <w:rsid w:val="00E60C04"/>
    <w:rsid w:val="00E60D2C"/>
    <w:rsid w:val="00E60E9B"/>
    <w:rsid w:val="00E6107D"/>
    <w:rsid w:val="00E611B3"/>
    <w:rsid w:val="00E61C79"/>
    <w:rsid w:val="00E61F35"/>
    <w:rsid w:val="00E61F52"/>
    <w:rsid w:val="00E622D9"/>
    <w:rsid w:val="00E623AF"/>
    <w:rsid w:val="00E623B0"/>
    <w:rsid w:val="00E62957"/>
    <w:rsid w:val="00E6295F"/>
    <w:rsid w:val="00E62CD9"/>
    <w:rsid w:val="00E62DDF"/>
    <w:rsid w:val="00E62DED"/>
    <w:rsid w:val="00E63020"/>
    <w:rsid w:val="00E630AE"/>
    <w:rsid w:val="00E630D8"/>
    <w:rsid w:val="00E633F6"/>
    <w:rsid w:val="00E63553"/>
    <w:rsid w:val="00E63824"/>
    <w:rsid w:val="00E63A17"/>
    <w:rsid w:val="00E63B86"/>
    <w:rsid w:val="00E63DD2"/>
    <w:rsid w:val="00E63F41"/>
    <w:rsid w:val="00E641F4"/>
    <w:rsid w:val="00E642BE"/>
    <w:rsid w:val="00E64448"/>
    <w:rsid w:val="00E6474E"/>
    <w:rsid w:val="00E6483F"/>
    <w:rsid w:val="00E64852"/>
    <w:rsid w:val="00E649D7"/>
    <w:rsid w:val="00E64A3E"/>
    <w:rsid w:val="00E64CD2"/>
    <w:rsid w:val="00E65155"/>
    <w:rsid w:val="00E6519F"/>
    <w:rsid w:val="00E6521E"/>
    <w:rsid w:val="00E65301"/>
    <w:rsid w:val="00E65488"/>
    <w:rsid w:val="00E655DE"/>
    <w:rsid w:val="00E658A3"/>
    <w:rsid w:val="00E659F7"/>
    <w:rsid w:val="00E65A2B"/>
    <w:rsid w:val="00E65FA2"/>
    <w:rsid w:val="00E662CE"/>
    <w:rsid w:val="00E66405"/>
    <w:rsid w:val="00E665A4"/>
    <w:rsid w:val="00E667EC"/>
    <w:rsid w:val="00E66B1E"/>
    <w:rsid w:val="00E66E0F"/>
    <w:rsid w:val="00E66EBA"/>
    <w:rsid w:val="00E670C3"/>
    <w:rsid w:val="00E6738F"/>
    <w:rsid w:val="00E67395"/>
    <w:rsid w:val="00E67526"/>
    <w:rsid w:val="00E675C2"/>
    <w:rsid w:val="00E67766"/>
    <w:rsid w:val="00E678AD"/>
    <w:rsid w:val="00E679A5"/>
    <w:rsid w:val="00E67B06"/>
    <w:rsid w:val="00E67BB4"/>
    <w:rsid w:val="00E67FC1"/>
    <w:rsid w:val="00E7027A"/>
    <w:rsid w:val="00E703F7"/>
    <w:rsid w:val="00E704EB"/>
    <w:rsid w:val="00E704F0"/>
    <w:rsid w:val="00E70501"/>
    <w:rsid w:val="00E7057B"/>
    <w:rsid w:val="00E70958"/>
    <w:rsid w:val="00E70DF0"/>
    <w:rsid w:val="00E70F9E"/>
    <w:rsid w:val="00E71088"/>
    <w:rsid w:val="00E713C4"/>
    <w:rsid w:val="00E714B1"/>
    <w:rsid w:val="00E71B6D"/>
    <w:rsid w:val="00E7251A"/>
    <w:rsid w:val="00E72633"/>
    <w:rsid w:val="00E726E2"/>
    <w:rsid w:val="00E72791"/>
    <w:rsid w:val="00E72818"/>
    <w:rsid w:val="00E72A3E"/>
    <w:rsid w:val="00E72B26"/>
    <w:rsid w:val="00E72D1A"/>
    <w:rsid w:val="00E72DAB"/>
    <w:rsid w:val="00E72F8C"/>
    <w:rsid w:val="00E731C0"/>
    <w:rsid w:val="00E7329B"/>
    <w:rsid w:val="00E73381"/>
    <w:rsid w:val="00E73453"/>
    <w:rsid w:val="00E73546"/>
    <w:rsid w:val="00E73547"/>
    <w:rsid w:val="00E739AA"/>
    <w:rsid w:val="00E73A58"/>
    <w:rsid w:val="00E73F0F"/>
    <w:rsid w:val="00E742AF"/>
    <w:rsid w:val="00E745D7"/>
    <w:rsid w:val="00E7474D"/>
    <w:rsid w:val="00E748B9"/>
    <w:rsid w:val="00E74B97"/>
    <w:rsid w:val="00E74BC1"/>
    <w:rsid w:val="00E74D2B"/>
    <w:rsid w:val="00E74E4A"/>
    <w:rsid w:val="00E75188"/>
    <w:rsid w:val="00E753E7"/>
    <w:rsid w:val="00E75422"/>
    <w:rsid w:val="00E7566D"/>
    <w:rsid w:val="00E7579C"/>
    <w:rsid w:val="00E757B2"/>
    <w:rsid w:val="00E75844"/>
    <w:rsid w:val="00E75921"/>
    <w:rsid w:val="00E75A4F"/>
    <w:rsid w:val="00E75E26"/>
    <w:rsid w:val="00E76109"/>
    <w:rsid w:val="00E76231"/>
    <w:rsid w:val="00E7636F"/>
    <w:rsid w:val="00E7649F"/>
    <w:rsid w:val="00E76AF5"/>
    <w:rsid w:val="00E76B48"/>
    <w:rsid w:val="00E76FF8"/>
    <w:rsid w:val="00E771C2"/>
    <w:rsid w:val="00E77480"/>
    <w:rsid w:val="00E7752C"/>
    <w:rsid w:val="00E7773F"/>
    <w:rsid w:val="00E778D8"/>
    <w:rsid w:val="00E779BA"/>
    <w:rsid w:val="00E77C5F"/>
    <w:rsid w:val="00E803AC"/>
    <w:rsid w:val="00E8040C"/>
    <w:rsid w:val="00E806F7"/>
    <w:rsid w:val="00E80862"/>
    <w:rsid w:val="00E80AC1"/>
    <w:rsid w:val="00E80CD2"/>
    <w:rsid w:val="00E80D30"/>
    <w:rsid w:val="00E810A9"/>
    <w:rsid w:val="00E81215"/>
    <w:rsid w:val="00E8128B"/>
    <w:rsid w:val="00E81358"/>
    <w:rsid w:val="00E81394"/>
    <w:rsid w:val="00E816D5"/>
    <w:rsid w:val="00E81A37"/>
    <w:rsid w:val="00E81C55"/>
    <w:rsid w:val="00E81EEB"/>
    <w:rsid w:val="00E81F74"/>
    <w:rsid w:val="00E8261E"/>
    <w:rsid w:val="00E826BB"/>
    <w:rsid w:val="00E82700"/>
    <w:rsid w:val="00E8287E"/>
    <w:rsid w:val="00E828D1"/>
    <w:rsid w:val="00E82992"/>
    <w:rsid w:val="00E82A47"/>
    <w:rsid w:val="00E82BBA"/>
    <w:rsid w:val="00E82BE2"/>
    <w:rsid w:val="00E82CDF"/>
    <w:rsid w:val="00E82DFD"/>
    <w:rsid w:val="00E8311F"/>
    <w:rsid w:val="00E833D7"/>
    <w:rsid w:val="00E834C0"/>
    <w:rsid w:val="00E8353B"/>
    <w:rsid w:val="00E83561"/>
    <w:rsid w:val="00E836A9"/>
    <w:rsid w:val="00E83C21"/>
    <w:rsid w:val="00E83C41"/>
    <w:rsid w:val="00E83C51"/>
    <w:rsid w:val="00E83C9E"/>
    <w:rsid w:val="00E83CEE"/>
    <w:rsid w:val="00E8417B"/>
    <w:rsid w:val="00E841D7"/>
    <w:rsid w:val="00E842C3"/>
    <w:rsid w:val="00E8433B"/>
    <w:rsid w:val="00E843EC"/>
    <w:rsid w:val="00E84720"/>
    <w:rsid w:val="00E84D93"/>
    <w:rsid w:val="00E84E56"/>
    <w:rsid w:val="00E84E5D"/>
    <w:rsid w:val="00E84F6A"/>
    <w:rsid w:val="00E84F96"/>
    <w:rsid w:val="00E8525A"/>
    <w:rsid w:val="00E85470"/>
    <w:rsid w:val="00E856D4"/>
    <w:rsid w:val="00E85A12"/>
    <w:rsid w:val="00E85CE4"/>
    <w:rsid w:val="00E85DBC"/>
    <w:rsid w:val="00E85E32"/>
    <w:rsid w:val="00E85F88"/>
    <w:rsid w:val="00E866EE"/>
    <w:rsid w:val="00E8678E"/>
    <w:rsid w:val="00E86810"/>
    <w:rsid w:val="00E86DBB"/>
    <w:rsid w:val="00E86E56"/>
    <w:rsid w:val="00E86F2F"/>
    <w:rsid w:val="00E86F56"/>
    <w:rsid w:val="00E87061"/>
    <w:rsid w:val="00E8711B"/>
    <w:rsid w:val="00E87588"/>
    <w:rsid w:val="00E876F9"/>
    <w:rsid w:val="00E87A50"/>
    <w:rsid w:val="00E87B08"/>
    <w:rsid w:val="00E87C2A"/>
    <w:rsid w:val="00E87ED7"/>
    <w:rsid w:val="00E87FA4"/>
    <w:rsid w:val="00E900DC"/>
    <w:rsid w:val="00E90370"/>
    <w:rsid w:val="00E90437"/>
    <w:rsid w:val="00E9061A"/>
    <w:rsid w:val="00E90DCB"/>
    <w:rsid w:val="00E91027"/>
    <w:rsid w:val="00E91210"/>
    <w:rsid w:val="00E91BAB"/>
    <w:rsid w:val="00E920CD"/>
    <w:rsid w:val="00E9222C"/>
    <w:rsid w:val="00E92286"/>
    <w:rsid w:val="00E9272E"/>
    <w:rsid w:val="00E92B53"/>
    <w:rsid w:val="00E92E2C"/>
    <w:rsid w:val="00E93468"/>
    <w:rsid w:val="00E93493"/>
    <w:rsid w:val="00E93677"/>
    <w:rsid w:val="00E93BE1"/>
    <w:rsid w:val="00E94381"/>
    <w:rsid w:val="00E94550"/>
    <w:rsid w:val="00E949CB"/>
    <w:rsid w:val="00E94BA4"/>
    <w:rsid w:val="00E94D11"/>
    <w:rsid w:val="00E94D1F"/>
    <w:rsid w:val="00E9517C"/>
    <w:rsid w:val="00E95214"/>
    <w:rsid w:val="00E95225"/>
    <w:rsid w:val="00E9545D"/>
    <w:rsid w:val="00E954D3"/>
    <w:rsid w:val="00E95A48"/>
    <w:rsid w:val="00E95B3F"/>
    <w:rsid w:val="00E95B49"/>
    <w:rsid w:val="00E95E72"/>
    <w:rsid w:val="00E95ED2"/>
    <w:rsid w:val="00E9651A"/>
    <w:rsid w:val="00E96584"/>
    <w:rsid w:val="00E965B5"/>
    <w:rsid w:val="00E967B4"/>
    <w:rsid w:val="00E96A89"/>
    <w:rsid w:val="00E96B34"/>
    <w:rsid w:val="00E96D59"/>
    <w:rsid w:val="00E96D72"/>
    <w:rsid w:val="00E96D95"/>
    <w:rsid w:val="00E970A9"/>
    <w:rsid w:val="00E9748A"/>
    <w:rsid w:val="00E97593"/>
    <w:rsid w:val="00E97763"/>
    <w:rsid w:val="00E97785"/>
    <w:rsid w:val="00E97929"/>
    <w:rsid w:val="00E979EF"/>
    <w:rsid w:val="00E97A89"/>
    <w:rsid w:val="00EA012B"/>
    <w:rsid w:val="00EA0134"/>
    <w:rsid w:val="00EA01B6"/>
    <w:rsid w:val="00EA050A"/>
    <w:rsid w:val="00EA05B1"/>
    <w:rsid w:val="00EA068B"/>
    <w:rsid w:val="00EA071C"/>
    <w:rsid w:val="00EA0889"/>
    <w:rsid w:val="00EA0D51"/>
    <w:rsid w:val="00EA0D94"/>
    <w:rsid w:val="00EA0D9D"/>
    <w:rsid w:val="00EA119D"/>
    <w:rsid w:val="00EA1223"/>
    <w:rsid w:val="00EA192D"/>
    <w:rsid w:val="00EA20F6"/>
    <w:rsid w:val="00EA2282"/>
    <w:rsid w:val="00EA2586"/>
    <w:rsid w:val="00EA2932"/>
    <w:rsid w:val="00EA2CFE"/>
    <w:rsid w:val="00EA351C"/>
    <w:rsid w:val="00EA3765"/>
    <w:rsid w:val="00EA3AA7"/>
    <w:rsid w:val="00EA3F9F"/>
    <w:rsid w:val="00EA401F"/>
    <w:rsid w:val="00EA40A2"/>
    <w:rsid w:val="00EA4280"/>
    <w:rsid w:val="00EA43CD"/>
    <w:rsid w:val="00EA446D"/>
    <w:rsid w:val="00EA44D8"/>
    <w:rsid w:val="00EA4738"/>
    <w:rsid w:val="00EA49B7"/>
    <w:rsid w:val="00EA4A51"/>
    <w:rsid w:val="00EA4CB8"/>
    <w:rsid w:val="00EA4F28"/>
    <w:rsid w:val="00EA55C6"/>
    <w:rsid w:val="00EA55DA"/>
    <w:rsid w:val="00EA57F4"/>
    <w:rsid w:val="00EA5844"/>
    <w:rsid w:val="00EA5D3F"/>
    <w:rsid w:val="00EA5FBF"/>
    <w:rsid w:val="00EA5FE2"/>
    <w:rsid w:val="00EA6043"/>
    <w:rsid w:val="00EA6224"/>
    <w:rsid w:val="00EA62EB"/>
    <w:rsid w:val="00EA6418"/>
    <w:rsid w:val="00EA657F"/>
    <w:rsid w:val="00EA677F"/>
    <w:rsid w:val="00EA6906"/>
    <w:rsid w:val="00EA6EBA"/>
    <w:rsid w:val="00EA71F9"/>
    <w:rsid w:val="00EA72BC"/>
    <w:rsid w:val="00EA7548"/>
    <w:rsid w:val="00EA7575"/>
    <w:rsid w:val="00EA79CA"/>
    <w:rsid w:val="00EA7A56"/>
    <w:rsid w:val="00EA7CDD"/>
    <w:rsid w:val="00EA7E15"/>
    <w:rsid w:val="00EA7F40"/>
    <w:rsid w:val="00EA7FAE"/>
    <w:rsid w:val="00EB0267"/>
    <w:rsid w:val="00EB034E"/>
    <w:rsid w:val="00EB040F"/>
    <w:rsid w:val="00EB0510"/>
    <w:rsid w:val="00EB0701"/>
    <w:rsid w:val="00EB084E"/>
    <w:rsid w:val="00EB0CB8"/>
    <w:rsid w:val="00EB0CC3"/>
    <w:rsid w:val="00EB0E5B"/>
    <w:rsid w:val="00EB1097"/>
    <w:rsid w:val="00EB10D7"/>
    <w:rsid w:val="00EB10FD"/>
    <w:rsid w:val="00EB1693"/>
    <w:rsid w:val="00EB17ED"/>
    <w:rsid w:val="00EB1989"/>
    <w:rsid w:val="00EB1AD7"/>
    <w:rsid w:val="00EB1B03"/>
    <w:rsid w:val="00EB1BEF"/>
    <w:rsid w:val="00EB1E77"/>
    <w:rsid w:val="00EB20D7"/>
    <w:rsid w:val="00EB29D7"/>
    <w:rsid w:val="00EB2BFE"/>
    <w:rsid w:val="00EB313D"/>
    <w:rsid w:val="00EB3436"/>
    <w:rsid w:val="00EB34ED"/>
    <w:rsid w:val="00EB34F0"/>
    <w:rsid w:val="00EB352B"/>
    <w:rsid w:val="00EB383E"/>
    <w:rsid w:val="00EB392F"/>
    <w:rsid w:val="00EB3BA9"/>
    <w:rsid w:val="00EB3D9C"/>
    <w:rsid w:val="00EB3E7A"/>
    <w:rsid w:val="00EB3F65"/>
    <w:rsid w:val="00EB3FC2"/>
    <w:rsid w:val="00EB4003"/>
    <w:rsid w:val="00EB42C1"/>
    <w:rsid w:val="00EB46CD"/>
    <w:rsid w:val="00EB4A01"/>
    <w:rsid w:val="00EB4A24"/>
    <w:rsid w:val="00EB4B4B"/>
    <w:rsid w:val="00EB4F0F"/>
    <w:rsid w:val="00EB5014"/>
    <w:rsid w:val="00EB5088"/>
    <w:rsid w:val="00EB5592"/>
    <w:rsid w:val="00EB55AF"/>
    <w:rsid w:val="00EB5DA6"/>
    <w:rsid w:val="00EB5F8E"/>
    <w:rsid w:val="00EB605E"/>
    <w:rsid w:val="00EB623B"/>
    <w:rsid w:val="00EB6362"/>
    <w:rsid w:val="00EB645B"/>
    <w:rsid w:val="00EB65C0"/>
    <w:rsid w:val="00EB65CB"/>
    <w:rsid w:val="00EB65F8"/>
    <w:rsid w:val="00EB66FA"/>
    <w:rsid w:val="00EB6A09"/>
    <w:rsid w:val="00EB6D56"/>
    <w:rsid w:val="00EB6F7F"/>
    <w:rsid w:val="00EB722C"/>
    <w:rsid w:val="00EB7245"/>
    <w:rsid w:val="00EB7418"/>
    <w:rsid w:val="00EB741D"/>
    <w:rsid w:val="00EB7803"/>
    <w:rsid w:val="00EB7A1F"/>
    <w:rsid w:val="00EB7B41"/>
    <w:rsid w:val="00EB7B53"/>
    <w:rsid w:val="00EB7C3A"/>
    <w:rsid w:val="00EC01D0"/>
    <w:rsid w:val="00EC0269"/>
    <w:rsid w:val="00EC0406"/>
    <w:rsid w:val="00EC0540"/>
    <w:rsid w:val="00EC05F5"/>
    <w:rsid w:val="00EC0864"/>
    <w:rsid w:val="00EC0956"/>
    <w:rsid w:val="00EC0C1B"/>
    <w:rsid w:val="00EC0E4E"/>
    <w:rsid w:val="00EC0E5F"/>
    <w:rsid w:val="00EC0EED"/>
    <w:rsid w:val="00EC0EF4"/>
    <w:rsid w:val="00EC0F97"/>
    <w:rsid w:val="00EC106B"/>
    <w:rsid w:val="00EC1245"/>
    <w:rsid w:val="00EC1280"/>
    <w:rsid w:val="00EC12A1"/>
    <w:rsid w:val="00EC162C"/>
    <w:rsid w:val="00EC16C6"/>
    <w:rsid w:val="00EC16FE"/>
    <w:rsid w:val="00EC1AB7"/>
    <w:rsid w:val="00EC1D03"/>
    <w:rsid w:val="00EC213B"/>
    <w:rsid w:val="00EC2214"/>
    <w:rsid w:val="00EC24FB"/>
    <w:rsid w:val="00EC2720"/>
    <w:rsid w:val="00EC2886"/>
    <w:rsid w:val="00EC288E"/>
    <w:rsid w:val="00EC293B"/>
    <w:rsid w:val="00EC2988"/>
    <w:rsid w:val="00EC29DD"/>
    <w:rsid w:val="00EC2AC5"/>
    <w:rsid w:val="00EC2DA8"/>
    <w:rsid w:val="00EC2E98"/>
    <w:rsid w:val="00EC2FC0"/>
    <w:rsid w:val="00EC303C"/>
    <w:rsid w:val="00EC321F"/>
    <w:rsid w:val="00EC326C"/>
    <w:rsid w:val="00EC3677"/>
    <w:rsid w:val="00EC3D1D"/>
    <w:rsid w:val="00EC403E"/>
    <w:rsid w:val="00EC42F2"/>
    <w:rsid w:val="00EC44EB"/>
    <w:rsid w:val="00EC46DF"/>
    <w:rsid w:val="00EC484F"/>
    <w:rsid w:val="00EC487C"/>
    <w:rsid w:val="00EC4E36"/>
    <w:rsid w:val="00EC4F42"/>
    <w:rsid w:val="00EC50AC"/>
    <w:rsid w:val="00EC523A"/>
    <w:rsid w:val="00EC528E"/>
    <w:rsid w:val="00EC57DC"/>
    <w:rsid w:val="00EC5864"/>
    <w:rsid w:val="00EC5DC2"/>
    <w:rsid w:val="00EC647E"/>
    <w:rsid w:val="00EC6717"/>
    <w:rsid w:val="00EC68C3"/>
    <w:rsid w:val="00EC6B6F"/>
    <w:rsid w:val="00EC6BE3"/>
    <w:rsid w:val="00EC734E"/>
    <w:rsid w:val="00EC7377"/>
    <w:rsid w:val="00EC75A0"/>
    <w:rsid w:val="00EC77E5"/>
    <w:rsid w:val="00EC78E0"/>
    <w:rsid w:val="00EC7911"/>
    <w:rsid w:val="00EC7BBA"/>
    <w:rsid w:val="00EC7DF0"/>
    <w:rsid w:val="00ED032B"/>
    <w:rsid w:val="00ED0498"/>
    <w:rsid w:val="00ED0861"/>
    <w:rsid w:val="00ED0876"/>
    <w:rsid w:val="00ED09D4"/>
    <w:rsid w:val="00ED09DB"/>
    <w:rsid w:val="00ED0C7E"/>
    <w:rsid w:val="00ED1082"/>
    <w:rsid w:val="00ED12FA"/>
    <w:rsid w:val="00ED137F"/>
    <w:rsid w:val="00ED14F7"/>
    <w:rsid w:val="00ED1651"/>
    <w:rsid w:val="00ED1AB8"/>
    <w:rsid w:val="00ED1C06"/>
    <w:rsid w:val="00ED1D2B"/>
    <w:rsid w:val="00ED1EA0"/>
    <w:rsid w:val="00ED1FAA"/>
    <w:rsid w:val="00ED240A"/>
    <w:rsid w:val="00ED24D5"/>
    <w:rsid w:val="00ED2504"/>
    <w:rsid w:val="00ED2613"/>
    <w:rsid w:val="00ED2640"/>
    <w:rsid w:val="00ED27D2"/>
    <w:rsid w:val="00ED29E6"/>
    <w:rsid w:val="00ED2CD3"/>
    <w:rsid w:val="00ED2E5F"/>
    <w:rsid w:val="00ED2E7C"/>
    <w:rsid w:val="00ED2EAF"/>
    <w:rsid w:val="00ED2FD1"/>
    <w:rsid w:val="00ED3221"/>
    <w:rsid w:val="00ED358D"/>
    <w:rsid w:val="00ED35A2"/>
    <w:rsid w:val="00ED368C"/>
    <w:rsid w:val="00ED3853"/>
    <w:rsid w:val="00ED39A9"/>
    <w:rsid w:val="00ED3D1A"/>
    <w:rsid w:val="00ED3D33"/>
    <w:rsid w:val="00ED3D9D"/>
    <w:rsid w:val="00ED4007"/>
    <w:rsid w:val="00ED4094"/>
    <w:rsid w:val="00ED43D8"/>
    <w:rsid w:val="00ED46FE"/>
    <w:rsid w:val="00ED4B59"/>
    <w:rsid w:val="00ED4D62"/>
    <w:rsid w:val="00ED5359"/>
    <w:rsid w:val="00ED5482"/>
    <w:rsid w:val="00ED5518"/>
    <w:rsid w:val="00ED55D3"/>
    <w:rsid w:val="00ED5721"/>
    <w:rsid w:val="00ED5764"/>
    <w:rsid w:val="00ED5A4B"/>
    <w:rsid w:val="00ED5C9F"/>
    <w:rsid w:val="00ED5E90"/>
    <w:rsid w:val="00ED5F80"/>
    <w:rsid w:val="00ED62C4"/>
    <w:rsid w:val="00ED6312"/>
    <w:rsid w:val="00ED67CB"/>
    <w:rsid w:val="00ED6880"/>
    <w:rsid w:val="00ED68C9"/>
    <w:rsid w:val="00ED6A03"/>
    <w:rsid w:val="00ED70EB"/>
    <w:rsid w:val="00ED71BC"/>
    <w:rsid w:val="00ED729E"/>
    <w:rsid w:val="00ED760C"/>
    <w:rsid w:val="00ED7648"/>
    <w:rsid w:val="00ED7802"/>
    <w:rsid w:val="00ED7806"/>
    <w:rsid w:val="00ED7B46"/>
    <w:rsid w:val="00ED7B49"/>
    <w:rsid w:val="00EE008E"/>
    <w:rsid w:val="00EE01A6"/>
    <w:rsid w:val="00EE0725"/>
    <w:rsid w:val="00EE07EC"/>
    <w:rsid w:val="00EE07F5"/>
    <w:rsid w:val="00EE09C7"/>
    <w:rsid w:val="00EE0A2A"/>
    <w:rsid w:val="00EE0A86"/>
    <w:rsid w:val="00EE0AC6"/>
    <w:rsid w:val="00EE0B9F"/>
    <w:rsid w:val="00EE0FF3"/>
    <w:rsid w:val="00EE112A"/>
    <w:rsid w:val="00EE11EE"/>
    <w:rsid w:val="00EE193F"/>
    <w:rsid w:val="00EE19FC"/>
    <w:rsid w:val="00EE1AC2"/>
    <w:rsid w:val="00EE1B74"/>
    <w:rsid w:val="00EE1DFF"/>
    <w:rsid w:val="00EE1E96"/>
    <w:rsid w:val="00EE2110"/>
    <w:rsid w:val="00EE2333"/>
    <w:rsid w:val="00EE23EF"/>
    <w:rsid w:val="00EE240B"/>
    <w:rsid w:val="00EE27F6"/>
    <w:rsid w:val="00EE2827"/>
    <w:rsid w:val="00EE2CEA"/>
    <w:rsid w:val="00EE2D55"/>
    <w:rsid w:val="00EE2E29"/>
    <w:rsid w:val="00EE30A4"/>
    <w:rsid w:val="00EE30ED"/>
    <w:rsid w:val="00EE310E"/>
    <w:rsid w:val="00EE3141"/>
    <w:rsid w:val="00EE327C"/>
    <w:rsid w:val="00EE3577"/>
    <w:rsid w:val="00EE359B"/>
    <w:rsid w:val="00EE35E0"/>
    <w:rsid w:val="00EE3810"/>
    <w:rsid w:val="00EE3D8E"/>
    <w:rsid w:val="00EE3E81"/>
    <w:rsid w:val="00EE3EEA"/>
    <w:rsid w:val="00EE4014"/>
    <w:rsid w:val="00EE40C5"/>
    <w:rsid w:val="00EE42DA"/>
    <w:rsid w:val="00EE4378"/>
    <w:rsid w:val="00EE4595"/>
    <w:rsid w:val="00EE46EE"/>
    <w:rsid w:val="00EE47F0"/>
    <w:rsid w:val="00EE482A"/>
    <w:rsid w:val="00EE48F6"/>
    <w:rsid w:val="00EE4C1A"/>
    <w:rsid w:val="00EE4D27"/>
    <w:rsid w:val="00EE50D8"/>
    <w:rsid w:val="00EE52AD"/>
    <w:rsid w:val="00EE581E"/>
    <w:rsid w:val="00EE5E6B"/>
    <w:rsid w:val="00EE5FF4"/>
    <w:rsid w:val="00EE6030"/>
    <w:rsid w:val="00EE6097"/>
    <w:rsid w:val="00EE61D4"/>
    <w:rsid w:val="00EE61FD"/>
    <w:rsid w:val="00EE6C8D"/>
    <w:rsid w:val="00EE6D6A"/>
    <w:rsid w:val="00EE737E"/>
    <w:rsid w:val="00EE777F"/>
    <w:rsid w:val="00EE7A1A"/>
    <w:rsid w:val="00EE7D0A"/>
    <w:rsid w:val="00EE7E26"/>
    <w:rsid w:val="00EF024D"/>
    <w:rsid w:val="00EF03CC"/>
    <w:rsid w:val="00EF03DE"/>
    <w:rsid w:val="00EF04AD"/>
    <w:rsid w:val="00EF053C"/>
    <w:rsid w:val="00EF075C"/>
    <w:rsid w:val="00EF08ED"/>
    <w:rsid w:val="00EF0964"/>
    <w:rsid w:val="00EF0EF2"/>
    <w:rsid w:val="00EF113B"/>
    <w:rsid w:val="00EF11B3"/>
    <w:rsid w:val="00EF14D8"/>
    <w:rsid w:val="00EF1825"/>
    <w:rsid w:val="00EF182D"/>
    <w:rsid w:val="00EF186E"/>
    <w:rsid w:val="00EF190F"/>
    <w:rsid w:val="00EF1A68"/>
    <w:rsid w:val="00EF1C86"/>
    <w:rsid w:val="00EF1ECF"/>
    <w:rsid w:val="00EF222D"/>
    <w:rsid w:val="00EF2533"/>
    <w:rsid w:val="00EF2799"/>
    <w:rsid w:val="00EF2857"/>
    <w:rsid w:val="00EF2A3B"/>
    <w:rsid w:val="00EF2B4F"/>
    <w:rsid w:val="00EF2DEB"/>
    <w:rsid w:val="00EF2E46"/>
    <w:rsid w:val="00EF2F8B"/>
    <w:rsid w:val="00EF332F"/>
    <w:rsid w:val="00EF35A0"/>
    <w:rsid w:val="00EF36EC"/>
    <w:rsid w:val="00EF3BA4"/>
    <w:rsid w:val="00EF3CA7"/>
    <w:rsid w:val="00EF3E60"/>
    <w:rsid w:val="00EF3F72"/>
    <w:rsid w:val="00EF465B"/>
    <w:rsid w:val="00EF49E2"/>
    <w:rsid w:val="00EF4B37"/>
    <w:rsid w:val="00EF4B75"/>
    <w:rsid w:val="00EF4B8B"/>
    <w:rsid w:val="00EF4D39"/>
    <w:rsid w:val="00EF5130"/>
    <w:rsid w:val="00EF52EC"/>
    <w:rsid w:val="00EF5317"/>
    <w:rsid w:val="00EF5529"/>
    <w:rsid w:val="00EF5877"/>
    <w:rsid w:val="00EF59AD"/>
    <w:rsid w:val="00EF5B6E"/>
    <w:rsid w:val="00EF5CF6"/>
    <w:rsid w:val="00EF5E2E"/>
    <w:rsid w:val="00EF5ED7"/>
    <w:rsid w:val="00EF5EF4"/>
    <w:rsid w:val="00EF604C"/>
    <w:rsid w:val="00EF6075"/>
    <w:rsid w:val="00EF60C2"/>
    <w:rsid w:val="00EF6173"/>
    <w:rsid w:val="00EF6279"/>
    <w:rsid w:val="00EF6724"/>
    <w:rsid w:val="00EF6784"/>
    <w:rsid w:val="00EF685F"/>
    <w:rsid w:val="00EF6890"/>
    <w:rsid w:val="00EF6A08"/>
    <w:rsid w:val="00EF6BEB"/>
    <w:rsid w:val="00EF6C3C"/>
    <w:rsid w:val="00EF6C40"/>
    <w:rsid w:val="00EF6D2A"/>
    <w:rsid w:val="00EF6E6B"/>
    <w:rsid w:val="00EF7031"/>
    <w:rsid w:val="00EF72CF"/>
    <w:rsid w:val="00EF7370"/>
    <w:rsid w:val="00EF75C3"/>
    <w:rsid w:val="00EF75DC"/>
    <w:rsid w:val="00EF763B"/>
    <w:rsid w:val="00EF76A6"/>
    <w:rsid w:val="00EF7A1B"/>
    <w:rsid w:val="00EF7D03"/>
    <w:rsid w:val="00EF7E0A"/>
    <w:rsid w:val="00EF7FBA"/>
    <w:rsid w:val="00F00007"/>
    <w:rsid w:val="00F00058"/>
    <w:rsid w:val="00F000B2"/>
    <w:rsid w:val="00F0019E"/>
    <w:rsid w:val="00F00522"/>
    <w:rsid w:val="00F00975"/>
    <w:rsid w:val="00F00A1C"/>
    <w:rsid w:val="00F00BC3"/>
    <w:rsid w:val="00F00CC9"/>
    <w:rsid w:val="00F00F80"/>
    <w:rsid w:val="00F0107A"/>
    <w:rsid w:val="00F011BA"/>
    <w:rsid w:val="00F013A4"/>
    <w:rsid w:val="00F01502"/>
    <w:rsid w:val="00F01732"/>
    <w:rsid w:val="00F01849"/>
    <w:rsid w:val="00F01C18"/>
    <w:rsid w:val="00F01C2B"/>
    <w:rsid w:val="00F01F06"/>
    <w:rsid w:val="00F021DF"/>
    <w:rsid w:val="00F0265F"/>
    <w:rsid w:val="00F0278C"/>
    <w:rsid w:val="00F02921"/>
    <w:rsid w:val="00F02A00"/>
    <w:rsid w:val="00F02A0C"/>
    <w:rsid w:val="00F02B49"/>
    <w:rsid w:val="00F03130"/>
    <w:rsid w:val="00F03158"/>
    <w:rsid w:val="00F03165"/>
    <w:rsid w:val="00F0352D"/>
    <w:rsid w:val="00F0371F"/>
    <w:rsid w:val="00F03729"/>
    <w:rsid w:val="00F037BE"/>
    <w:rsid w:val="00F03AA4"/>
    <w:rsid w:val="00F03B4B"/>
    <w:rsid w:val="00F03D2A"/>
    <w:rsid w:val="00F03EC6"/>
    <w:rsid w:val="00F0476B"/>
    <w:rsid w:val="00F047C6"/>
    <w:rsid w:val="00F0495F"/>
    <w:rsid w:val="00F04A0F"/>
    <w:rsid w:val="00F04A51"/>
    <w:rsid w:val="00F04C46"/>
    <w:rsid w:val="00F04E2D"/>
    <w:rsid w:val="00F0563C"/>
    <w:rsid w:val="00F05681"/>
    <w:rsid w:val="00F058B3"/>
    <w:rsid w:val="00F05B89"/>
    <w:rsid w:val="00F05EF0"/>
    <w:rsid w:val="00F06263"/>
    <w:rsid w:val="00F06389"/>
    <w:rsid w:val="00F06802"/>
    <w:rsid w:val="00F06BF0"/>
    <w:rsid w:val="00F06D21"/>
    <w:rsid w:val="00F0700A"/>
    <w:rsid w:val="00F070E0"/>
    <w:rsid w:val="00F07279"/>
    <w:rsid w:val="00F07434"/>
    <w:rsid w:val="00F07504"/>
    <w:rsid w:val="00F07590"/>
    <w:rsid w:val="00F075C6"/>
    <w:rsid w:val="00F076E5"/>
    <w:rsid w:val="00F078C3"/>
    <w:rsid w:val="00F07B53"/>
    <w:rsid w:val="00F07C23"/>
    <w:rsid w:val="00F07CBC"/>
    <w:rsid w:val="00F07F7E"/>
    <w:rsid w:val="00F10063"/>
    <w:rsid w:val="00F100CE"/>
    <w:rsid w:val="00F10215"/>
    <w:rsid w:val="00F10388"/>
    <w:rsid w:val="00F1048C"/>
    <w:rsid w:val="00F10549"/>
    <w:rsid w:val="00F105D8"/>
    <w:rsid w:val="00F106D7"/>
    <w:rsid w:val="00F109B6"/>
    <w:rsid w:val="00F109EA"/>
    <w:rsid w:val="00F10A04"/>
    <w:rsid w:val="00F110AD"/>
    <w:rsid w:val="00F111F6"/>
    <w:rsid w:val="00F1162F"/>
    <w:rsid w:val="00F11662"/>
    <w:rsid w:val="00F11886"/>
    <w:rsid w:val="00F118BD"/>
    <w:rsid w:val="00F119B6"/>
    <w:rsid w:val="00F11AAD"/>
    <w:rsid w:val="00F11AF8"/>
    <w:rsid w:val="00F11B37"/>
    <w:rsid w:val="00F11E03"/>
    <w:rsid w:val="00F11F42"/>
    <w:rsid w:val="00F11F47"/>
    <w:rsid w:val="00F1212B"/>
    <w:rsid w:val="00F123EC"/>
    <w:rsid w:val="00F12F9E"/>
    <w:rsid w:val="00F1301B"/>
    <w:rsid w:val="00F13068"/>
    <w:rsid w:val="00F130B9"/>
    <w:rsid w:val="00F13311"/>
    <w:rsid w:val="00F1340B"/>
    <w:rsid w:val="00F1379F"/>
    <w:rsid w:val="00F1380C"/>
    <w:rsid w:val="00F1392A"/>
    <w:rsid w:val="00F139A4"/>
    <w:rsid w:val="00F13B88"/>
    <w:rsid w:val="00F13C1C"/>
    <w:rsid w:val="00F13C6C"/>
    <w:rsid w:val="00F13CA2"/>
    <w:rsid w:val="00F13F3E"/>
    <w:rsid w:val="00F14023"/>
    <w:rsid w:val="00F143F0"/>
    <w:rsid w:val="00F14578"/>
    <w:rsid w:val="00F14697"/>
    <w:rsid w:val="00F147FA"/>
    <w:rsid w:val="00F14F19"/>
    <w:rsid w:val="00F151D3"/>
    <w:rsid w:val="00F15379"/>
    <w:rsid w:val="00F154B6"/>
    <w:rsid w:val="00F15C23"/>
    <w:rsid w:val="00F15D11"/>
    <w:rsid w:val="00F16162"/>
    <w:rsid w:val="00F161F8"/>
    <w:rsid w:val="00F167C6"/>
    <w:rsid w:val="00F1696F"/>
    <w:rsid w:val="00F16B74"/>
    <w:rsid w:val="00F16BB8"/>
    <w:rsid w:val="00F16C55"/>
    <w:rsid w:val="00F16D52"/>
    <w:rsid w:val="00F16EA4"/>
    <w:rsid w:val="00F16EC8"/>
    <w:rsid w:val="00F17042"/>
    <w:rsid w:val="00F1711F"/>
    <w:rsid w:val="00F171BE"/>
    <w:rsid w:val="00F1728A"/>
    <w:rsid w:val="00F17776"/>
    <w:rsid w:val="00F1777E"/>
    <w:rsid w:val="00F17D01"/>
    <w:rsid w:val="00F200EC"/>
    <w:rsid w:val="00F2027D"/>
    <w:rsid w:val="00F202A9"/>
    <w:rsid w:val="00F20443"/>
    <w:rsid w:val="00F20541"/>
    <w:rsid w:val="00F20579"/>
    <w:rsid w:val="00F20687"/>
    <w:rsid w:val="00F20806"/>
    <w:rsid w:val="00F2093D"/>
    <w:rsid w:val="00F20982"/>
    <w:rsid w:val="00F20B37"/>
    <w:rsid w:val="00F20CEF"/>
    <w:rsid w:val="00F20DC7"/>
    <w:rsid w:val="00F21040"/>
    <w:rsid w:val="00F2162D"/>
    <w:rsid w:val="00F216EE"/>
    <w:rsid w:val="00F217FF"/>
    <w:rsid w:val="00F21BDA"/>
    <w:rsid w:val="00F21D2D"/>
    <w:rsid w:val="00F21DBC"/>
    <w:rsid w:val="00F21DCB"/>
    <w:rsid w:val="00F21F5F"/>
    <w:rsid w:val="00F21F88"/>
    <w:rsid w:val="00F21FF0"/>
    <w:rsid w:val="00F21FF7"/>
    <w:rsid w:val="00F22006"/>
    <w:rsid w:val="00F220E6"/>
    <w:rsid w:val="00F220F1"/>
    <w:rsid w:val="00F222F8"/>
    <w:rsid w:val="00F224B4"/>
    <w:rsid w:val="00F229BB"/>
    <w:rsid w:val="00F22AC0"/>
    <w:rsid w:val="00F22BD6"/>
    <w:rsid w:val="00F22D93"/>
    <w:rsid w:val="00F22F46"/>
    <w:rsid w:val="00F230D1"/>
    <w:rsid w:val="00F23236"/>
    <w:rsid w:val="00F23691"/>
    <w:rsid w:val="00F23784"/>
    <w:rsid w:val="00F2388B"/>
    <w:rsid w:val="00F23976"/>
    <w:rsid w:val="00F23E42"/>
    <w:rsid w:val="00F23F07"/>
    <w:rsid w:val="00F24004"/>
    <w:rsid w:val="00F2405F"/>
    <w:rsid w:val="00F24073"/>
    <w:rsid w:val="00F241B4"/>
    <w:rsid w:val="00F242C7"/>
    <w:rsid w:val="00F243D7"/>
    <w:rsid w:val="00F243F3"/>
    <w:rsid w:val="00F243F5"/>
    <w:rsid w:val="00F243FA"/>
    <w:rsid w:val="00F247F6"/>
    <w:rsid w:val="00F249E9"/>
    <w:rsid w:val="00F24E58"/>
    <w:rsid w:val="00F24EFD"/>
    <w:rsid w:val="00F24FDD"/>
    <w:rsid w:val="00F24FEB"/>
    <w:rsid w:val="00F250A9"/>
    <w:rsid w:val="00F252B5"/>
    <w:rsid w:val="00F2562B"/>
    <w:rsid w:val="00F25681"/>
    <w:rsid w:val="00F2585B"/>
    <w:rsid w:val="00F25BCB"/>
    <w:rsid w:val="00F25C88"/>
    <w:rsid w:val="00F25E03"/>
    <w:rsid w:val="00F25E1D"/>
    <w:rsid w:val="00F25EE6"/>
    <w:rsid w:val="00F25EFF"/>
    <w:rsid w:val="00F263D9"/>
    <w:rsid w:val="00F264BA"/>
    <w:rsid w:val="00F26599"/>
    <w:rsid w:val="00F266B2"/>
    <w:rsid w:val="00F26AF7"/>
    <w:rsid w:val="00F26BC2"/>
    <w:rsid w:val="00F26F15"/>
    <w:rsid w:val="00F26F16"/>
    <w:rsid w:val="00F26FB0"/>
    <w:rsid w:val="00F26FD3"/>
    <w:rsid w:val="00F2702D"/>
    <w:rsid w:val="00F270F3"/>
    <w:rsid w:val="00F2719D"/>
    <w:rsid w:val="00F27674"/>
    <w:rsid w:val="00F27796"/>
    <w:rsid w:val="00F27A8B"/>
    <w:rsid w:val="00F27B49"/>
    <w:rsid w:val="00F27B56"/>
    <w:rsid w:val="00F27CB3"/>
    <w:rsid w:val="00F27DEF"/>
    <w:rsid w:val="00F27F78"/>
    <w:rsid w:val="00F30277"/>
    <w:rsid w:val="00F303E2"/>
    <w:rsid w:val="00F3054C"/>
    <w:rsid w:val="00F30791"/>
    <w:rsid w:val="00F307E0"/>
    <w:rsid w:val="00F30972"/>
    <w:rsid w:val="00F309B8"/>
    <w:rsid w:val="00F30E87"/>
    <w:rsid w:val="00F30F15"/>
    <w:rsid w:val="00F310AE"/>
    <w:rsid w:val="00F31409"/>
    <w:rsid w:val="00F3148D"/>
    <w:rsid w:val="00F317F2"/>
    <w:rsid w:val="00F31B62"/>
    <w:rsid w:val="00F31BA8"/>
    <w:rsid w:val="00F31D67"/>
    <w:rsid w:val="00F31DA2"/>
    <w:rsid w:val="00F31ECE"/>
    <w:rsid w:val="00F31F0D"/>
    <w:rsid w:val="00F32045"/>
    <w:rsid w:val="00F322DB"/>
    <w:rsid w:val="00F323E1"/>
    <w:rsid w:val="00F3247D"/>
    <w:rsid w:val="00F324A5"/>
    <w:rsid w:val="00F324DD"/>
    <w:rsid w:val="00F32514"/>
    <w:rsid w:val="00F32931"/>
    <w:rsid w:val="00F32A2A"/>
    <w:rsid w:val="00F32F05"/>
    <w:rsid w:val="00F33027"/>
    <w:rsid w:val="00F335FD"/>
    <w:rsid w:val="00F336BA"/>
    <w:rsid w:val="00F33831"/>
    <w:rsid w:val="00F33BB6"/>
    <w:rsid w:val="00F33BEE"/>
    <w:rsid w:val="00F33C0D"/>
    <w:rsid w:val="00F33F3A"/>
    <w:rsid w:val="00F33F7E"/>
    <w:rsid w:val="00F33FD8"/>
    <w:rsid w:val="00F34A31"/>
    <w:rsid w:val="00F34A9A"/>
    <w:rsid w:val="00F34C95"/>
    <w:rsid w:val="00F34CBF"/>
    <w:rsid w:val="00F34E56"/>
    <w:rsid w:val="00F34E6C"/>
    <w:rsid w:val="00F34EE2"/>
    <w:rsid w:val="00F34EE3"/>
    <w:rsid w:val="00F34FCE"/>
    <w:rsid w:val="00F350C2"/>
    <w:rsid w:val="00F3519B"/>
    <w:rsid w:val="00F3525B"/>
    <w:rsid w:val="00F35330"/>
    <w:rsid w:val="00F3544A"/>
    <w:rsid w:val="00F35562"/>
    <w:rsid w:val="00F35649"/>
    <w:rsid w:val="00F35972"/>
    <w:rsid w:val="00F35BCE"/>
    <w:rsid w:val="00F35C41"/>
    <w:rsid w:val="00F35ED6"/>
    <w:rsid w:val="00F36552"/>
    <w:rsid w:val="00F365F8"/>
    <w:rsid w:val="00F36990"/>
    <w:rsid w:val="00F36B53"/>
    <w:rsid w:val="00F371C0"/>
    <w:rsid w:val="00F372C9"/>
    <w:rsid w:val="00F3733B"/>
    <w:rsid w:val="00F3754B"/>
    <w:rsid w:val="00F37971"/>
    <w:rsid w:val="00F379B8"/>
    <w:rsid w:val="00F37BA1"/>
    <w:rsid w:val="00F37D7A"/>
    <w:rsid w:val="00F400CB"/>
    <w:rsid w:val="00F4041E"/>
    <w:rsid w:val="00F404B5"/>
    <w:rsid w:val="00F40560"/>
    <w:rsid w:val="00F40864"/>
    <w:rsid w:val="00F40915"/>
    <w:rsid w:val="00F40A0B"/>
    <w:rsid w:val="00F40AD7"/>
    <w:rsid w:val="00F40CAA"/>
    <w:rsid w:val="00F40E11"/>
    <w:rsid w:val="00F40E3F"/>
    <w:rsid w:val="00F40F38"/>
    <w:rsid w:val="00F40FC4"/>
    <w:rsid w:val="00F4111D"/>
    <w:rsid w:val="00F411AB"/>
    <w:rsid w:val="00F41288"/>
    <w:rsid w:val="00F412EC"/>
    <w:rsid w:val="00F4147F"/>
    <w:rsid w:val="00F415BE"/>
    <w:rsid w:val="00F41AD3"/>
    <w:rsid w:val="00F41DBC"/>
    <w:rsid w:val="00F41E9D"/>
    <w:rsid w:val="00F41EB0"/>
    <w:rsid w:val="00F422B9"/>
    <w:rsid w:val="00F425FE"/>
    <w:rsid w:val="00F42C75"/>
    <w:rsid w:val="00F42CFD"/>
    <w:rsid w:val="00F42F06"/>
    <w:rsid w:val="00F42FAE"/>
    <w:rsid w:val="00F43138"/>
    <w:rsid w:val="00F431E9"/>
    <w:rsid w:val="00F435A1"/>
    <w:rsid w:val="00F43886"/>
    <w:rsid w:val="00F4410B"/>
    <w:rsid w:val="00F441DD"/>
    <w:rsid w:val="00F4427C"/>
    <w:rsid w:val="00F444E5"/>
    <w:rsid w:val="00F4492E"/>
    <w:rsid w:val="00F44EEA"/>
    <w:rsid w:val="00F44F65"/>
    <w:rsid w:val="00F455B2"/>
    <w:rsid w:val="00F457CB"/>
    <w:rsid w:val="00F45A5B"/>
    <w:rsid w:val="00F45D8D"/>
    <w:rsid w:val="00F45FFC"/>
    <w:rsid w:val="00F463AD"/>
    <w:rsid w:val="00F46896"/>
    <w:rsid w:val="00F46938"/>
    <w:rsid w:val="00F46A6A"/>
    <w:rsid w:val="00F46CFF"/>
    <w:rsid w:val="00F46DF4"/>
    <w:rsid w:val="00F47196"/>
    <w:rsid w:val="00F473CC"/>
    <w:rsid w:val="00F475BF"/>
    <w:rsid w:val="00F478C3"/>
    <w:rsid w:val="00F4793E"/>
    <w:rsid w:val="00F47AF3"/>
    <w:rsid w:val="00F47BE4"/>
    <w:rsid w:val="00F5008D"/>
    <w:rsid w:val="00F50111"/>
    <w:rsid w:val="00F50344"/>
    <w:rsid w:val="00F506CF"/>
    <w:rsid w:val="00F506EA"/>
    <w:rsid w:val="00F5085D"/>
    <w:rsid w:val="00F50B7F"/>
    <w:rsid w:val="00F50C62"/>
    <w:rsid w:val="00F50CB0"/>
    <w:rsid w:val="00F50D05"/>
    <w:rsid w:val="00F50D80"/>
    <w:rsid w:val="00F50E60"/>
    <w:rsid w:val="00F511C0"/>
    <w:rsid w:val="00F5145A"/>
    <w:rsid w:val="00F51495"/>
    <w:rsid w:val="00F5174D"/>
    <w:rsid w:val="00F517E2"/>
    <w:rsid w:val="00F517F3"/>
    <w:rsid w:val="00F51869"/>
    <w:rsid w:val="00F51886"/>
    <w:rsid w:val="00F519F2"/>
    <w:rsid w:val="00F51BBB"/>
    <w:rsid w:val="00F51CAA"/>
    <w:rsid w:val="00F51D7E"/>
    <w:rsid w:val="00F51EDB"/>
    <w:rsid w:val="00F51FD7"/>
    <w:rsid w:val="00F521D4"/>
    <w:rsid w:val="00F52285"/>
    <w:rsid w:val="00F522E8"/>
    <w:rsid w:val="00F523D9"/>
    <w:rsid w:val="00F52BBC"/>
    <w:rsid w:val="00F52F38"/>
    <w:rsid w:val="00F52FA4"/>
    <w:rsid w:val="00F5337F"/>
    <w:rsid w:val="00F5342C"/>
    <w:rsid w:val="00F53817"/>
    <w:rsid w:val="00F5381D"/>
    <w:rsid w:val="00F53C76"/>
    <w:rsid w:val="00F53DA7"/>
    <w:rsid w:val="00F53FE4"/>
    <w:rsid w:val="00F5411A"/>
    <w:rsid w:val="00F54235"/>
    <w:rsid w:val="00F54564"/>
    <w:rsid w:val="00F546D0"/>
    <w:rsid w:val="00F548E8"/>
    <w:rsid w:val="00F54975"/>
    <w:rsid w:val="00F54A1B"/>
    <w:rsid w:val="00F54BC0"/>
    <w:rsid w:val="00F54C8F"/>
    <w:rsid w:val="00F54FD4"/>
    <w:rsid w:val="00F55118"/>
    <w:rsid w:val="00F55320"/>
    <w:rsid w:val="00F5548A"/>
    <w:rsid w:val="00F556C2"/>
    <w:rsid w:val="00F5584B"/>
    <w:rsid w:val="00F5585C"/>
    <w:rsid w:val="00F55876"/>
    <w:rsid w:val="00F55889"/>
    <w:rsid w:val="00F558C0"/>
    <w:rsid w:val="00F55A95"/>
    <w:rsid w:val="00F55E68"/>
    <w:rsid w:val="00F56137"/>
    <w:rsid w:val="00F56145"/>
    <w:rsid w:val="00F562CF"/>
    <w:rsid w:val="00F56701"/>
    <w:rsid w:val="00F56C81"/>
    <w:rsid w:val="00F56E1B"/>
    <w:rsid w:val="00F57113"/>
    <w:rsid w:val="00F5716C"/>
    <w:rsid w:val="00F57210"/>
    <w:rsid w:val="00F573A0"/>
    <w:rsid w:val="00F5783B"/>
    <w:rsid w:val="00F57A71"/>
    <w:rsid w:val="00F57B9D"/>
    <w:rsid w:val="00F60018"/>
    <w:rsid w:val="00F6022E"/>
    <w:rsid w:val="00F60389"/>
    <w:rsid w:val="00F603AC"/>
    <w:rsid w:val="00F60454"/>
    <w:rsid w:val="00F60493"/>
    <w:rsid w:val="00F604DF"/>
    <w:rsid w:val="00F6052E"/>
    <w:rsid w:val="00F60B9B"/>
    <w:rsid w:val="00F61116"/>
    <w:rsid w:val="00F6129A"/>
    <w:rsid w:val="00F612D2"/>
    <w:rsid w:val="00F612DF"/>
    <w:rsid w:val="00F61354"/>
    <w:rsid w:val="00F614B8"/>
    <w:rsid w:val="00F61528"/>
    <w:rsid w:val="00F615A2"/>
    <w:rsid w:val="00F61E45"/>
    <w:rsid w:val="00F61F03"/>
    <w:rsid w:val="00F61F24"/>
    <w:rsid w:val="00F62271"/>
    <w:rsid w:val="00F62692"/>
    <w:rsid w:val="00F62792"/>
    <w:rsid w:val="00F62C66"/>
    <w:rsid w:val="00F62D49"/>
    <w:rsid w:val="00F62DC5"/>
    <w:rsid w:val="00F62E38"/>
    <w:rsid w:val="00F62E8E"/>
    <w:rsid w:val="00F630C2"/>
    <w:rsid w:val="00F63529"/>
    <w:rsid w:val="00F63539"/>
    <w:rsid w:val="00F63620"/>
    <w:rsid w:val="00F6381B"/>
    <w:rsid w:val="00F639B8"/>
    <w:rsid w:val="00F63A80"/>
    <w:rsid w:val="00F63B09"/>
    <w:rsid w:val="00F63B7A"/>
    <w:rsid w:val="00F63BCD"/>
    <w:rsid w:val="00F64719"/>
    <w:rsid w:val="00F6472F"/>
    <w:rsid w:val="00F64951"/>
    <w:rsid w:val="00F649EA"/>
    <w:rsid w:val="00F65284"/>
    <w:rsid w:val="00F6540A"/>
    <w:rsid w:val="00F654DF"/>
    <w:rsid w:val="00F65675"/>
    <w:rsid w:val="00F656B6"/>
    <w:rsid w:val="00F65806"/>
    <w:rsid w:val="00F65B31"/>
    <w:rsid w:val="00F65BE5"/>
    <w:rsid w:val="00F65C46"/>
    <w:rsid w:val="00F65DA7"/>
    <w:rsid w:val="00F6645D"/>
    <w:rsid w:val="00F66481"/>
    <w:rsid w:val="00F66B98"/>
    <w:rsid w:val="00F66E3A"/>
    <w:rsid w:val="00F66E71"/>
    <w:rsid w:val="00F66F30"/>
    <w:rsid w:val="00F67051"/>
    <w:rsid w:val="00F6713B"/>
    <w:rsid w:val="00F67262"/>
    <w:rsid w:val="00F673DF"/>
    <w:rsid w:val="00F67419"/>
    <w:rsid w:val="00F6743B"/>
    <w:rsid w:val="00F675D6"/>
    <w:rsid w:val="00F6776F"/>
    <w:rsid w:val="00F679A5"/>
    <w:rsid w:val="00F679A6"/>
    <w:rsid w:val="00F67A2C"/>
    <w:rsid w:val="00F67C7A"/>
    <w:rsid w:val="00F67F7D"/>
    <w:rsid w:val="00F70183"/>
    <w:rsid w:val="00F7024B"/>
    <w:rsid w:val="00F702CE"/>
    <w:rsid w:val="00F702EC"/>
    <w:rsid w:val="00F70307"/>
    <w:rsid w:val="00F70590"/>
    <w:rsid w:val="00F70628"/>
    <w:rsid w:val="00F70718"/>
    <w:rsid w:val="00F7087F"/>
    <w:rsid w:val="00F70937"/>
    <w:rsid w:val="00F709D7"/>
    <w:rsid w:val="00F70CA1"/>
    <w:rsid w:val="00F70F12"/>
    <w:rsid w:val="00F70F21"/>
    <w:rsid w:val="00F70F8D"/>
    <w:rsid w:val="00F71033"/>
    <w:rsid w:val="00F71257"/>
    <w:rsid w:val="00F71313"/>
    <w:rsid w:val="00F713E7"/>
    <w:rsid w:val="00F71C4B"/>
    <w:rsid w:val="00F71F7A"/>
    <w:rsid w:val="00F7221D"/>
    <w:rsid w:val="00F723B7"/>
    <w:rsid w:val="00F723FC"/>
    <w:rsid w:val="00F7276D"/>
    <w:rsid w:val="00F73016"/>
    <w:rsid w:val="00F73144"/>
    <w:rsid w:val="00F734DA"/>
    <w:rsid w:val="00F73557"/>
    <w:rsid w:val="00F73578"/>
    <w:rsid w:val="00F7365B"/>
    <w:rsid w:val="00F736DD"/>
    <w:rsid w:val="00F73724"/>
    <w:rsid w:val="00F737B4"/>
    <w:rsid w:val="00F739F1"/>
    <w:rsid w:val="00F73AFE"/>
    <w:rsid w:val="00F73B43"/>
    <w:rsid w:val="00F73DA8"/>
    <w:rsid w:val="00F73DAF"/>
    <w:rsid w:val="00F73F2E"/>
    <w:rsid w:val="00F73FCB"/>
    <w:rsid w:val="00F745FF"/>
    <w:rsid w:val="00F74DC7"/>
    <w:rsid w:val="00F74E25"/>
    <w:rsid w:val="00F74E86"/>
    <w:rsid w:val="00F74F52"/>
    <w:rsid w:val="00F74FA4"/>
    <w:rsid w:val="00F75048"/>
    <w:rsid w:val="00F75066"/>
    <w:rsid w:val="00F75404"/>
    <w:rsid w:val="00F75409"/>
    <w:rsid w:val="00F755CE"/>
    <w:rsid w:val="00F75952"/>
    <w:rsid w:val="00F75A5B"/>
    <w:rsid w:val="00F75C06"/>
    <w:rsid w:val="00F75C0D"/>
    <w:rsid w:val="00F75E33"/>
    <w:rsid w:val="00F761B5"/>
    <w:rsid w:val="00F7628D"/>
    <w:rsid w:val="00F76294"/>
    <w:rsid w:val="00F76341"/>
    <w:rsid w:val="00F7698F"/>
    <w:rsid w:val="00F76B22"/>
    <w:rsid w:val="00F76F3D"/>
    <w:rsid w:val="00F77006"/>
    <w:rsid w:val="00F77070"/>
    <w:rsid w:val="00F77157"/>
    <w:rsid w:val="00F7770A"/>
    <w:rsid w:val="00F77C78"/>
    <w:rsid w:val="00F77E57"/>
    <w:rsid w:val="00F77EBB"/>
    <w:rsid w:val="00F77EF0"/>
    <w:rsid w:val="00F77EFF"/>
    <w:rsid w:val="00F800B9"/>
    <w:rsid w:val="00F8012D"/>
    <w:rsid w:val="00F80547"/>
    <w:rsid w:val="00F8084E"/>
    <w:rsid w:val="00F80DDC"/>
    <w:rsid w:val="00F80F5C"/>
    <w:rsid w:val="00F81091"/>
    <w:rsid w:val="00F81394"/>
    <w:rsid w:val="00F814EE"/>
    <w:rsid w:val="00F814FC"/>
    <w:rsid w:val="00F815B3"/>
    <w:rsid w:val="00F817D5"/>
    <w:rsid w:val="00F81846"/>
    <w:rsid w:val="00F81AD6"/>
    <w:rsid w:val="00F81B7D"/>
    <w:rsid w:val="00F81D58"/>
    <w:rsid w:val="00F81D82"/>
    <w:rsid w:val="00F81E82"/>
    <w:rsid w:val="00F81FCB"/>
    <w:rsid w:val="00F829DC"/>
    <w:rsid w:val="00F82C2A"/>
    <w:rsid w:val="00F82D64"/>
    <w:rsid w:val="00F82D9C"/>
    <w:rsid w:val="00F830A9"/>
    <w:rsid w:val="00F8325E"/>
    <w:rsid w:val="00F83310"/>
    <w:rsid w:val="00F83499"/>
    <w:rsid w:val="00F834DD"/>
    <w:rsid w:val="00F8385D"/>
    <w:rsid w:val="00F8390C"/>
    <w:rsid w:val="00F84058"/>
    <w:rsid w:val="00F841C3"/>
    <w:rsid w:val="00F841E3"/>
    <w:rsid w:val="00F8433F"/>
    <w:rsid w:val="00F843B7"/>
    <w:rsid w:val="00F84505"/>
    <w:rsid w:val="00F845A2"/>
    <w:rsid w:val="00F8469B"/>
    <w:rsid w:val="00F84EEC"/>
    <w:rsid w:val="00F84F72"/>
    <w:rsid w:val="00F8501D"/>
    <w:rsid w:val="00F85079"/>
    <w:rsid w:val="00F853E7"/>
    <w:rsid w:val="00F85705"/>
    <w:rsid w:val="00F859C5"/>
    <w:rsid w:val="00F85AB2"/>
    <w:rsid w:val="00F86341"/>
    <w:rsid w:val="00F86393"/>
    <w:rsid w:val="00F86436"/>
    <w:rsid w:val="00F8648A"/>
    <w:rsid w:val="00F8655F"/>
    <w:rsid w:val="00F86A23"/>
    <w:rsid w:val="00F86B3C"/>
    <w:rsid w:val="00F86C77"/>
    <w:rsid w:val="00F86CCF"/>
    <w:rsid w:val="00F86F8B"/>
    <w:rsid w:val="00F87097"/>
    <w:rsid w:val="00F8719F"/>
    <w:rsid w:val="00F873D0"/>
    <w:rsid w:val="00F875F2"/>
    <w:rsid w:val="00F879D5"/>
    <w:rsid w:val="00F87A90"/>
    <w:rsid w:val="00F87AF1"/>
    <w:rsid w:val="00F87BB0"/>
    <w:rsid w:val="00F87CBF"/>
    <w:rsid w:val="00F87D0F"/>
    <w:rsid w:val="00F90089"/>
    <w:rsid w:val="00F901BE"/>
    <w:rsid w:val="00F903B0"/>
    <w:rsid w:val="00F909B1"/>
    <w:rsid w:val="00F909B2"/>
    <w:rsid w:val="00F90ADE"/>
    <w:rsid w:val="00F90BA8"/>
    <w:rsid w:val="00F90DA3"/>
    <w:rsid w:val="00F90E9E"/>
    <w:rsid w:val="00F90F94"/>
    <w:rsid w:val="00F914B8"/>
    <w:rsid w:val="00F914BF"/>
    <w:rsid w:val="00F91501"/>
    <w:rsid w:val="00F91700"/>
    <w:rsid w:val="00F91729"/>
    <w:rsid w:val="00F91A2B"/>
    <w:rsid w:val="00F91A9F"/>
    <w:rsid w:val="00F92007"/>
    <w:rsid w:val="00F92260"/>
    <w:rsid w:val="00F92494"/>
    <w:rsid w:val="00F927FD"/>
    <w:rsid w:val="00F9286F"/>
    <w:rsid w:val="00F92908"/>
    <w:rsid w:val="00F92963"/>
    <w:rsid w:val="00F92CBA"/>
    <w:rsid w:val="00F92DE5"/>
    <w:rsid w:val="00F92EF3"/>
    <w:rsid w:val="00F92FAE"/>
    <w:rsid w:val="00F93040"/>
    <w:rsid w:val="00F93099"/>
    <w:rsid w:val="00F930C6"/>
    <w:rsid w:val="00F930F3"/>
    <w:rsid w:val="00F931C2"/>
    <w:rsid w:val="00F932EA"/>
    <w:rsid w:val="00F93630"/>
    <w:rsid w:val="00F938D6"/>
    <w:rsid w:val="00F939B0"/>
    <w:rsid w:val="00F93A06"/>
    <w:rsid w:val="00F93A67"/>
    <w:rsid w:val="00F93C25"/>
    <w:rsid w:val="00F93C87"/>
    <w:rsid w:val="00F93DB6"/>
    <w:rsid w:val="00F93FF7"/>
    <w:rsid w:val="00F94191"/>
    <w:rsid w:val="00F9481E"/>
    <w:rsid w:val="00F94862"/>
    <w:rsid w:val="00F94904"/>
    <w:rsid w:val="00F94CF5"/>
    <w:rsid w:val="00F954FC"/>
    <w:rsid w:val="00F957D9"/>
    <w:rsid w:val="00F95820"/>
    <w:rsid w:val="00F9627D"/>
    <w:rsid w:val="00F962CB"/>
    <w:rsid w:val="00F96481"/>
    <w:rsid w:val="00F964E7"/>
    <w:rsid w:val="00F96625"/>
    <w:rsid w:val="00F969C6"/>
    <w:rsid w:val="00F96C90"/>
    <w:rsid w:val="00F97173"/>
    <w:rsid w:val="00F9759B"/>
    <w:rsid w:val="00F975B4"/>
    <w:rsid w:val="00F9763F"/>
    <w:rsid w:val="00F976B1"/>
    <w:rsid w:val="00F978AD"/>
    <w:rsid w:val="00F97BEA"/>
    <w:rsid w:val="00F97E9A"/>
    <w:rsid w:val="00FA0110"/>
    <w:rsid w:val="00FA01E1"/>
    <w:rsid w:val="00FA0388"/>
    <w:rsid w:val="00FA0557"/>
    <w:rsid w:val="00FA06D7"/>
    <w:rsid w:val="00FA07B4"/>
    <w:rsid w:val="00FA094D"/>
    <w:rsid w:val="00FA0B52"/>
    <w:rsid w:val="00FA0B64"/>
    <w:rsid w:val="00FA1026"/>
    <w:rsid w:val="00FA10AC"/>
    <w:rsid w:val="00FA12F2"/>
    <w:rsid w:val="00FA14E9"/>
    <w:rsid w:val="00FA162F"/>
    <w:rsid w:val="00FA168F"/>
    <w:rsid w:val="00FA16B7"/>
    <w:rsid w:val="00FA1AB0"/>
    <w:rsid w:val="00FA1AF6"/>
    <w:rsid w:val="00FA1D04"/>
    <w:rsid w:val="00FA201E"/>
    <w:rsid w:val="00FA227D"/>
    <w:rsid w:val="00FA2304"/>
    <w:rsid w:val="00FA259F"/>
    <w:rsid w:val="00FA2654"/>
    <w:rsid w:val="00FA2A1D"/>
    <w:rsid w:val="00FA2E28"/>
    <w:rsid w:val="00FA2FCF"/>
    <w:rsid w:val="00FA2FDE"/>
    <w:rsid w:val="00FA3237"/>
    <w:rsid w:val="00FA35FC"/>
    <w:rsid w:val="00FA36CA"/>
    <w:rsid w:val="00FA3937"/>
    <w:rsid w:val="00FA3A17"/>
    <w:rsid w:val="00FA3AF8"/>
    <w:rsid w:val="00FA3B82"/>
    <w:rsid w:val="00FA3C2D"/>
    <w:rsid w:val="00FA3E04"/>
    <w:rsid w:val="00FA476D"/>
    <w:rsid w:val="00FA47C4"/>
    <w:rsid w:val="00FA4C07"/>
    <w:rsid w:val="00FA4C38"/>
    <w:rsid w:val="00FA4D08"/>
    <w:rsid w:val="00FA4D9F"/>
    <w:rsid w:val="00FA4F04"/>
    <w:rsid w:val="00FA5013"/>
    <w:rsid w:val="00FA50D9"/>
    <w:rsid w:val="00FA50FD"/>
    <w:rsid w:val="00FA53C5"/>
    <w:rsid w:val="00FA577B"/>
    <w:rsid w:val="00FA57F9"/>
    <w:rsid w:val="00FA5ABB"/>
    <w:rsid w:val="00FA5C94"/>
    <w:rsid w:val="00FA5C97"/>
    <w:rsid w:val="00FA5D44"/>
    <w:rsid w:val="00FA5FFE"/>
    <w:rsid w:val="00FA612D"/>
    <w:rsid w:val="00FA6270"/>
    <w:rsid w:val="00FA645A"/>
    <w:rsid w:val="00FA65D4"/>
    <w:rsid w:val="00FA662F"/>
    <w:rsid w:val="00FA6690"/>
    <w:rsid w:val="00FA6828"/>
    <w:rsid w:val="00FA694F"/>
    <w:rsid w:val="00FA6D46"/>
    <w:rsid w:val="00FA6E25"/>
    <w:rsid w:val="00FA6F3F"/>
    <w:rsid w:val="00FA6FB9"/>
    <w:rsid w:val="00FA7081"/>
    <w:rsid w:val="00FA7128"/>
    <w:rsid w:val="00FA71C2"/>
    <w:rsid w:val="00FA7328"/>
    <w:rsid w:val="00FA75DF"/>
    <w:rsid w:val="00FA7831"/>
    <w:rsid w:val="00FA7956"/>
    <w:rsid w:val="00FA7970"/>
    <w:rsid w:val="00FA7FB1"/>
    <w:rsid w:val="00FB0147"/>
    <w:rsid w:val="00FB02AF"/>
    <w:rsid w:val="00FB056A"/>
    <w:rsid w:val="00FB05E2"/>
    <w:rsid w:val="00FB086A"/>
    <w:rsid w:val="00FB08D1"/>
    <w:rsid w:val="00FB0F92"/>
    <w:rsid w:val="00FB105D"/>
    <w:rsid w:val="00FB1182"/>
    <w:rsid w:val="00FB126C"/>
    <w:rsid w:val="00FB1438"/>
    <w:rsid w:val="00FB14D3"/>
    <w:rsid w:val="00FB166B"/>
    <w:rsid w:val="00FB16C1"/>
    <w:rsid w:val="00FB17C9"/>
    <w:rsid w:val="00FB194A"/>
    <w:rsid w:val="00FB1D3E"/>
    <w:rsid w:val="00FB2061"/>
    <w:rsid w:val="00FB2250"/>
    <w:rsid w:val="00FB22FA"/>
    <w:rsid w:val="00FB2425"/>
    <w:rsid w:val="00FB24B4"/>
    <w:rsid w:val="00FB24BA"/>
    <w:rsid w:val="00FB24FC"/>
    <w:rsid w:val="00FB269D"/>
    <w:rsid w:val="00FB2725"/>
    <w:rsid w:val="00FB2C5E"/>
    <w:rsid w:val="00FB2C71"/>
    <w:rsid w:val="00FB2C73"/>
    <w:rsid w:val="00FB33D8"/>
    <w:rsid w:val="00FB33E2"/>
    <w:rsid w:val="00FB3418"/>
    <w:rsid w:val="00FB3884"/>
    <w:rsid w:val="00FB3E32"/>
    <w:rsid w:val="00FB3E41"/>
    <w:rsid w:val="00FB3ED3"/>
    <w:rsid w:val="00FB3EFE"/>
    <w:rsid w:val="00FB3F9C"/>
    <w:rsid w:val="00FB3FAF"/>
    <w:rsid w:val="00FB4623"/>
    <w:rsid w:val="00FB4774"/>
    <w:rsid w:val="00FB4AF5"/>
    <w:rsid w:val="00FB4B1E"/>
    <w:rsid w:val="00FB4B74"/>
    <w:rsid w:val="00FB54AC"/>
    <w:rsid w:val="00FB54DC"/>
    <w:rsid w:val="00FB57AD"/>
    <w:rsid w:val="00FB5945"/>
    <w:rsid w:val="00FB5967"/>
    <w:rsid w:val="00FB59F1"/>
    <w:rsid w:val="00FB5A83"/>
    <w:rsid w:val="00FB5FAB"/>
    <w:rsid w:val="00FB67CE"/>
    <w:rsid w:val="00FB68AB"/>
    <w:rsid w:val="00FB6A8D"/>
    <w:rsid w:val="00FB6ACE"/>
    <w:rsid w:val="00FB6C07"/>
    <w:rsid w:val="00FB6DA6"/>
    <w:rsid w:val="00FB6F4F"/>
    <w:rsid w:val="00FB6FDF"/>
    <w:rsid w:val="00FB7207"/>
    <w:rsid w:val="00FB72BE"/>
    <w:rsid w:val="00FB76A9"/>
    <w:rsid w:val="00FB7702"/>
    <w:rsid w:val="00FB7860"/>
    <w:rsid w:val="00FB7970"/>
    <w:rsid w:val="00FB7A02"/>
    <w:rsid w:val="00FB7C5A"/>
    <w:rsid w:val="00FB7FA8"/>
    <w:rsid w:val="00FC01B8"/>
    <w:rsid w:val="00FC034A"/>
    <w:rsid w:val="00FC0395"/>
    <w:rsid w:val="00FC0BF9"/>
    <w:rsid w:val="00FC1005"/>
    <w:rsid w:val="00FC112F"/>
    <w:rsid w:val="00FC12B4"/>
    <w:rsid w:val="00FC12D4"/>
    <w:rsid w:val="00FC1420"/>
    <w:rsid w:val="00FC15C9"/>
    <w:rsid w:val="00FC1728"/>
    <w:rsid w:val="00FC1985"/>
    <w:rsid w:val="00FC1A24"/>
    <w:rsid w:val="00FC1AC5"/>
    <w:rsid w:val="00FC1B54"/>
    <w:rsid w:val="00FC1ED7"/>
    <w:rsid w:val="00FC1FE0"/>
    <w:rsid w:val="00FC21BF"/>
    <w:rsid w:val="00FC233D"/>
    <w:rsid w:val="00FC247B"/>
    <w:rsid w:val="00FC249B"/>
    <w:rsid w:val="00FC25EB"/>
    <w:rsid w:val="00FC29B8"/>
    <w:rsid w:val="00FC2A05"/>
    <w:rsid w:val="00FC2A2D"/>
    <w:rsid w:val="00FC2B8B"/>
    <w:rsid w:val="00FC2BA8"/>
    <w:rsid w:val="00FC2BDD"/>
    <w:rsid w:val="00FC2C01"/>
    <w:rsid w:val="00FC2C31"/>
    <w:rsid w:val="00FC3193"/>
    <w:rsid w:val="00FC33AD"/>
    <w:rsid w:val="00FC34C1"/>
    <w:rsid w:val="00FC36A4"/>
    <w:rsid w:val="00FC3745"/>
    <w:rsid w:val="00FC39ED"/>
    <w:rsid w:val="00FC3D46"/>
    <w:rsid w:val="00FC3D5F"/>
    <w:rsid w:val="00FC402B"/>
    <w:rsid w:val="00FC40A0"/>
    <w:rsid w:val="00FC428B"/>
    <w:rsid w:val="00FC438E"/>
    <w:rsid w:val="00FC4572"/>
    <w:rsid w:val="00FC48F2"/>
    <w:rsid w:val="00FC49B8"/>
    <w:rsid w:val="00FC4BB2"/>
    <w:rsid w:val="00FC4BB7"/>
    <w:rsid w:val="00FC4D12"/>
    <w:rsid w:val="00FC4EF0"/>
    <w:rsid w:val="00FC4F66"/>
    <w:rsid w:val="00FC52A2"/>
    <w:rsid w:val="00FC52DF"/>
    <w:rsid w:val="00FC56C2"/>
    <w:rsid w:val="00FC5756"/>
    <w:rsid w:val="00FC5978"/>
    <w:rsid w:val="00FC5A88"/>
    <w:rsid w:val="00FC5B98"/>
    <w:rsid w:val="00FC5BBA"/>
    <w:rsid w:val="00FC5EDD"/>
    <w:rsid w:val="00FC5F8E"/>
    <w:rsid w:val="00FC61E0"/>
    <w:rsid w:val="00FC631B"/>
    <w:rsid w:val="00FC6331"/>
    <w:rsid w:val="00FC6585"/>
    <w:rsid w:val="00FC6589"/>
    <w:rsid w:val="00FC669B"/>
    <w:rsid w:val="00FC66AB"/>
    <w:rsid w:val="00FC6A6C"/>
    <w:rsid w:val="00FC6D45"/>
    <w:rsid w:val="00FC700D"/>
    <w:rsid w:val="00FC7111"/>
    <w:rsid w:val="00FC7229"/>
    <w:rsid w:val="00FC7487"/>
    <w:rsid w:val="00FC76BB"/>
    <w:rsid w:val="00FC7727"/>
    <w:rsid w:val="00FC793D"/>
    <w:rsid w:val="00FC79D1"/>
    <w:rsid w:val="00FC7A7B"/>
    <w:rsid w:val="00FC7D65"/>
    <w:rsid w:val="00FC7EFC"/>
    <w:rsid w:val="00FC7F53"/>
    <w:rsid w:val="00FC7F95"/>
    <w:rsid w:val="00FD00E5"/>
    <w:rsid w:val="00FD0270"/>
    <w:rsid w:val="00FD0339"/>
    <w:rsid w:val="00FD03E5"/>
    <w:rsid w:val="00FD0403"/>
    <w:rsid w:val="00FD05C3"/>
    <w:rsid w:val="00FD0745"/>
    <w:rsid w:val="00FD0B77"/>
    <w:rsid w:val="00FD0E31"/>
    <w:rsid w:val="00FD0FE9"/>
    <w:rsid w:val="00FD12A6"/>
    <w:rsid w:val="00FD137A"/>
    <w:rsid w:val="00FD1547"/>
    <w:rsid w:val="00FD194D"/>
    <w:rsid w:val="00FD1AD6"/>
    <w:rsid w:val="00FD207F"/>
    <w:rsid w:val="00FD23B8"/>
    <w:rsid w:val="00FD2C70"/>
    <w:rsid w:val="00FD2CB3"/>
    <w:rsid w:val="00FD2D75"/>
    <w:rsid w:val="00FD2D82"/>
    <w:rsid w:val="00FD301D"/>
    <w:rsid w:val="00FD304C"/>
    <w:rsid w:val="00FD325E"/>
    <w:rsid w:val="00FD33AF"/>
    <w:rsid w:val="00FD34B5"/>
    <w:rsid w:val="00FD351D"/>
    <w:rsid w:val="00FD37BC"/>
    <w:rsid w:val="00FD3A76"/>
    <w:rsid w:val="00FD3A85"/>
    <w:rsid w:val="00FD3B04"/>
    <w:rsid w:val="00FD3D55"/>
    <w:rsid w:val="00FD3F59"/>
    <w:rsid w:val="00FD404B"/>
    <w:rsid w:val="00FD42D9"/>
    <w:rsid w:val="00FD44C3"/>
    <w:rsid w:val="00FD45CB"/>
    <w:rsid w:val="00FD46C6"/>
    <w:rsid w:val="00FD4858"/>
    <w:rsid w:val="00FD49A3"/>
    <w:rsid w:val="00FD4AC0"/>
    <w:rsid w:val="00FD4AFA"/>
    <w:rsid w:val="00FD4E69"/>
    <w:rsid w:val="00FD4E8F"/>
    <w:rsid w:val="00FD4F11"/>
    <w:rsid w:val="00FD513C"/>
    <w:rsid w:val="00FD5236"/>
    <w:rsid w:val="00FD5269"/>
    <w:rsid w:val="00FD5537"/>
    <w:rsid w:val="00FD5558"/>
    <w:rsid w:val="00FD561F"/>
    <w:rsid w:val="00FD5685"/>
    <w:rsid w:val="00FD56E7"/>
    <w:rsid w:val="00FD58A5"/>
    <w:rsid w:val="00FD5911"/>
    <w:rsid w:val="00FD5B19"/>
    <w:rsid w:val="00FD5BCA"/>
    <w:rsid w:val="00FD5C82"/>
    <w:rsid w:val="00FD5E04"/>
    <w:rsid w:val="00FD5FBF"/>
    <w:rsid w:val="00FD63D7"/>
    <w:rsid w:val="00FD63FA"/>
    <w:rsid w:val="00FD674F"/>
    <w:rsid w:val="00FD6BF5"/>
    <w:rsid w:val="00FD6E97"/>
    <w:rsid w:val="00FD6EA1"/>
    <w:rsid w:val="00FD6EC0"/>
    <w:rsid w:val="00FD72B4"/>
    <w:rsid w:val="00FD73FF"/>
    <w:rsid w:val="00FD742C"/>
    <w:rsid w:val="00FD764C"/>
    <w:rsid w:val="00FD79AD"/>
    <w:rsid w:val="00FD7A2A"/>
    <w:rsid w:val="00FD7EFC"/>
    <w:rsid w:val="00FE0033"/>
    <w:rsid w:val="00FE02D3"/>
    <w:rsid w:val="00FE0351"/>
    <w:rsid w:val="00FE03DC"/>
    <w:rsid w:val="00FE04B8"/>
    <w:rsid w:val="00FE061A"/>
    <w:rsid w:val="00FE0681"/>
    <w:rsid w:val="00FE0BB1"/>
    <w:rsid w:val="00FE0DF4"/>
    <w:rsid w:val="00FE10F0"/>
    <w:rsid w:val="00FE1460"/>
    <w:rsid w:val="00FE1731"/>
    <w:rsid w:val="00FE1A2E"/>
    <w:rsid w:val="00FE1E04"/>
    <w:rsid w:val="00FE2089"/>
    <w:rsid w:val="00FE28FE"/>
    <w:rsid w:val="00FE2CFC"/>
    <w:rsid w:val="00FE3087"/>
    <w:rsid w:val="00FE32C2"/>
    <w:rsid w:val="00FE3636"/>
    <w:rsid w:val="00FE36CF"/>
    <w:rsid w:val="00FE36DD"/>
    <w:rsid w:val="00FE378E"/>
    <w:rsid w:val="00FE3981"/>
    <w:rsid w:val="00FE3ACD"/>
    <w:rsid w:val="00FE3B3D"/>
    <w:rsid w:val="00FE3BD7"/>
    <w:rsid w:val="00FE3BFC"/>
    <w:rsid w:val="00FE3E0C"/>
    <w:rsid w:val="00FE3E52"/>
    <w:rsid w:val="00FE40C9"/>
    <w:rsid w:val="00FE42F2"/>
    <w:rsid w:val="00FE434C"/>
    <w:rsid w:val="00FE4705"/>
    <w:rsid w:val="00FE4952"/>
    <w:rsid w:val="00FE4EA7"/>
    <w:rsid w:val="00FE53A3"/>
    <w:rsid w:val="00FE5723"/>
    <w:rsid w:val="00FE575B"/>
    <w:rsid w:val="00FE588A"/>
    <w:rsid w:val="00FE58B5"/>
    <w:rsid w:val="00FE59BE"/>
    <w:rsid w:val="00FE5B77"/>
    <w:rsid w:val="00FE62C3"/>
    <w:rsid w:val="00FE638B"/>
    <w:rsid w:val="00FE6958"/>
    <w:rsid w:val="00FE6D3F"/>
    <w:rsid w:val="00FE6F28"/>
    <w:rsid w:val="00FE71BA"/>
    <w:rsid w:val="00FE7242"/>
    <w:rsid w:val="00FE7459"/>
    <w:rsid w:val="00FE7A5E"/>
    <w:rsid w:val="00FE7AF9"/>
    <w:rsid w:val="00FF02AC"/>
    <w:rsid w:val="00FF02C3"/>
    <w:rsid w:val="00FF0375"/>
    <w:rsid w:val="00FF03F0"/>
    <w:rsid w:val="00FF0488"/>
    <w:rsid w:val="00FF04B3"/>
    <w:rsid w:val="00FF04B9"/>
    <w:rsid w:val="00FF051D"/>
    <w:rsid w:val="00FF0561"/>
    <w:rsid w:val="00FF06B1"/>
    <w:rsid w:val="00FF06C2"/>
    <w:rsid w:val="00FF073D"/>
    <w:rsid w:val="00FF0764"/>
    <w:rsid w:val="00FF077F"/>
    <w:rsid w:val="00FF08D1"/>
    <w:rsid w:val="00FF0B6D"/>
    <w:rsid w:val="00FF0F88"/>
    <w:rsid w:val="00FF0FDD"/>
    <w:rsid w:val="00FF1194"/>
    <w:rsid w:val="00FF12C8"/>
    <w:rsid w:val="00FF18AD"/>
    <w:rsid w:val="00FF19D8"/>
    <w:rsid w:val="00FF1CBA"/>
    <w:rsid w:val="00FF21DD"/>
    <w:rsid w:val="00FF21FD"/>
    <w:rsid w:val="00FF27C2"/>
    <w:rsid w:val="00FF2924"/>
    <w:rsid w:val="00FF29C5"/>
    <w:rsid w:val="00FF2AF3"/>
    <w:rsid w:val="00FF2B1C"/>
    <w:rsid w:val="00FF2B9A"/>
    <w:rsid w:val="00FF2C10"/>
    <w:rsid w:val="00FF2E04"/>
    <w:rsid w:val="00FF2FAB"/>
    <w:rsid w:val="00FF31FC"/>
    <w:rsid w:val="00FF3297"/>
    <w:rsid w:val="00FF32DB"/>
    <w:rsid w:val="00FF34FF"/>
    <w:rsid w:val="00FF36CB"/>
    <w:rsid w:val="00FF4185"/>
    <w:rsid w:val="00FF433A"/>
    <w:rsid w:val="00FF4384"/>
    <w:rsid w:val="00FF4436"/>
    <w:rsid w:val="00FF451F"/>
    <w:rsid w:val="00FF46FA"/>
    <w:rsid w:val="00FF4747"/>
    <w:rsid w:val="00FF479F"/>
    <w:rsid w:val="00FF4894"/>
    <w:rsid w:val="00FF4A2E"/>
    <w:rsid w:val="00FF4D2A"/>
    <w:rsid w:val="00FF4D3E"/>
    <w:rsid w:val="00FF4E24"/>
    <w:rsid w:val="00FF5139"/>
    <w:rsid w:val="00FF5179"/>
    <w:rsid w:val="00FF5662"/>
    <w:rsid w:val="00FF5D0F"/>
    <w:rsid w:val="00FF5D5E"/>
    <w:rsid w:val="00FF5F51"/>
    <w:rsid w:val="00FF6224"/>
    <w:rsid w:val="00FF6473"/>
    <w:rsid w:val="00FF6871"/>
    <w:rsid w:val="00FF6894"/>
    <w:rsid w:val="00FF68CA"/>
    <w:rsid w:val="00FF6963"/>
    <w:rsid w:val="00FF6C1F"/>
    <w:rsid w:val="00FF6F0A"/>
    <w:rsid w:val="00FF7050"/>
    <w:rsid w:val="00FF757C"/>
    <w:rsid w:val="00FF7597"/>
    <w:rsid w:val="00FF7631"/>
    <w:rsid w:val="00FF7633"/>
    <w:rsid w:val="00FF77B3"/>
    <w:rsid w:val="00FF7CD9"/>
    <w:rsid w:val="00FF7E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335A9"/>
  <w15:docId w15:val="{D255D950-F078-4E82-B34C-DF0BC82F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12B77"/>
    <w:pPr>
      <w:bidi/>
      <w:jc w:val="both"/>
    </w:pPr>
    <w:rPr>
      <w:rFonts w:ascii="Arial" w:hAnsi="Arial" w:cs="Arial"/>
    </w:rPr>
  </w:style>
  <w:style w:type="paragraph" w:styleId="13">
    <w:name w:val="heading 1"/>
    <w:basedOn w:val="-"/>
    <w:link w:val="14"/>
    <w:qFormat/>
    <w:rsid w:val="008204E8"/>
    <w:pPr>
      <w:outlineLvl w:val="0"/>
    </w:pPr>
  </w:style>
  <w:style w:type="paragraph" w:styleId="2">
    <w:name w:val="heading 2"/>
    <w:aliases w:val="s"/>
    <w:basedOn w:val="a3"/>
    <w:link w:val="23"/>
    <w:qFormat/>
    <w:rsid w:val="00781024"/>
    <w:pPr>
      <w:keepLines/>
      <w:numPr>
        <w:ilvl w:val="1"/>
        <w:numId w:val="2"/>
      </w:numPr>
      <w:spacing w:before="240" w:line="360" w:lineRule="auto"/>
      <w:ind w:right="1701"/>
      <w:outlineLvl w:val="1"/>
    </w:pPr>
    <w:rPr>
      <w:rFonts w:ascii="Times New Roman" w:hAnsi="Times New Roman" w:cs="David"/>
      <w:color w:val="000000"/>
      <w:sz w:val="24"/>
      <w:szCs w:val="24"/>
      <w:lang w:eastAsia="he-IL"/>
    </w:rPr>
  </w:style>
  <w:style w:type="paragraph" w:styleId="3">
    <w:name w:val="heading 3"/>
    <w:basedOn w:val="a3"/>
    <w:link w:val="32"/>
    <w:qFormat/>
    <w:rsid w:val="00781024"/>
    <w:pPr>
      <w:keepLines/>
      <w:numPr>
        <w:ilvl w:val="2"/>
        <w:numId w:val="2"/>
      </w:numPr>
      <w:spacing w:before="240" w:line="360" w:lineRule="auto"/>
      <w:ind w:right="2835"/>
      <w:outlineLvl w:val="2"/>
    </w:pPr>
    <w:rPr>
      <w:rFonts w:ascii="Times New Roman" w:hAnsi="Times New Roman" w:cs="David"/>
      <w:color w:val="000000"/>
      <w:sz w:val="24"/>
      <w:szCs w:val="24"/>
      <w:lang w:eastAsia="he-IL"/>
    </w:rPr>
  </w:style>
  <w:style w:type="paragraph" w:styleId="4">
    <w:name w:val="heading 4"/>
    <w:basedOn w:val="a3"/>
    <w:link w:val="42"/>
    <w:qFormat/>
    <w:rsid w:val="00781024"/>
    <w:pPr>
      <w:keepLines/>
      <w:numPr>
        <w:ilvl w:val="3"/>
        <w:numId w:val="2"/>
      </w:numPr>
      <w:spacing w:before="240" w:line="360" w:lineRule="auto"/>
      <w:ind w:right="4536"/>
      <w:outlineLvl w:val="3"/>
    </w:pPr>
    <w:rPr>
      <w:rFonts w:ascii="Times New Roman" w:hAnsi="Times New Roman" w:cs="David"/>
      <w:color w:val="000000"/>
      <w:sz w:val="24"/>
      <w:szCs w:val="24"/>
      <w:lang w:eastAsia="he-IL"/>
    </w:rPr>
  </w:style>
  <w:style w:type="paragraph" w:styleId="5">
    <w:name w:val="heading 5"/>
    <w:aliases w:val="רמה 1"/>
    <w:basedOn w:val="a3"/>
    <w:next w:val="13"/>
    <w:link w:val="50"/>
    <w:qFormat/>
    <w:rsid w:val="00F32931"/>
    <w:pPr>
      <w:outlineLvl w:val="4"/>
    </w:pPr>
    <w:rPr>
      <w:rFonts w:ascii="Calibri" w:hAnsi="Calibri"/>
      <w:b/>
      <w:bCs/>
      <w:i/>
      <w:sz w:val="26"/>
      <w:szCs w:val="22"/>
    </w:rPr>
  </w:style>
  <w:style w:type="paragraph" w:styleId="6">
    <w:name w:val="heading 6"/>
    <w:aliases w:val=" תו"/>
    <w:basedOn w:val="a3"/>
    <w:next w:val="a3"/>
    <w:link w:val="60"/>
    <w:qFormat/>
    <w:rsid w:val="003849FB"/>
    <w:pPr>
      <w:spacing w:before="240" w:after="60"/>
      <w:outlineLvl w:val="5"/>
    </w:pPr>
    <w:rPr>
      <w:rFonts w:ascii="Calibri" w:hAnsi="Calibri"/>
      <w:b/>
      <w:bCs/>
      <w:sz w:val="22"/>
      <w:szCs w:val="22"/>
    </w:rPr>
  </w:style>
  <w:style w:type="paragraph" w:styleId="7">
    <w:name w:val="heading 7"/>
    <w:aliases w:val="רמה 2"/>
    <w:basedOn w:val="a3"/>
    <w:next w:val="2"/>
    <w:link w:val="70"/>
    <w:qFormat/>
    <w:rsid w:val="00B23171"/>
    <w:pPr>
      <w:keepLines/>
      <w:outlineLvl w:val="6"/>
    </w:pPr>
    <w:rPr>
      <w:bCs/>
      <w:szCs w:val="22"/>
    </w:rPr>
  </w:style>
  <w:style w:type="paragraph" w:styleId="8">
    <w:name w:val="heading 8"/>
    <w:basedOn w:val="a3"/>
    <w:link w:val="80"/>
    <w:qFormat/>
    <w:rsid w:val="009A4FEF"/>
    <w:pPr>
      <w:keepLines/>
      <w:spacing w:after="120"/>
      <w:outlineLvl w:val="7"/>
    </w:pPr>
  </w:style>
  <w:style w:type="paragraph" w:styleId="9">
    <w:name w:val="heading 9"/>
    <w:basedOn w:val="a3"/>
    <w:link w:val="90"/>
    <w:qFormat/>
    <w:rsid w:val="009A4FEF"/>
    <w:pPr>
      <w:keepLines/>
      <w:spacing w:after="120"/>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כותרת 1 תו"/>
    <w:link w:val="13"/>
    <w:rsid w:val="008204E8"/>
    <w:rPr>
      <w:rFonts w:ascii="Arial" w:hAnsi="Arial" w:cs="Arial"/>
      <w:b/>
      <w:bCs/>
      <w:sz w:val="22"/>
      <w:szCs w:val="22"/>
    </w:rPr>
  </w:style>
  <w:style w:type="character" w:customStyle="1" w:styleId="23">
    <w:name w:val="כותרת 2 תו"/>
    <w:aliases w:val="s תו"/>
    <w:link w:val="2"/>
    <w:rsid w:val="009A4FEF"/>
    <w:rPr>
      <w:rFonts w:cs="David"/>
      <w:color w:val="000000"/>
      <w:sz w:val="24"/>
      <w:szCs w:val="24"/>
      <w:lang w:eastAsia="he-IL"/>
    </w:rPr>
  </w:style>
  <w:style w:type="character" w:customStyle="1" w:styleId="32">
    <w:name w:val="כותרת 3 תו"/>
    <w:link w:val="3"/>
    <w:rsid w:val="009A4FEF"/>
    <w:rPr>
      <w:rFonts w:cs="David"/>
      <w:color w:val="000000"/>
      <w:sz w:val="24"/>
      <w:szCs w:val="24"/>
      <w:lang w:eastAsia="he-IL"/>
    </w:rPr>
  </w:style>
  <w:style w:type="character" w:customStyle="1" w:styleId="42">
    <w:name w:val="כותרת 4 תו"/>
    <w:link w:val="4"/>
    <w:rsid w:val="009A4FEF"/>
    <w:rPr>
      <w:rFonts w:cs="David"/>
      <w:color w:val="000000"/>
      <w:sz w:val="24"/>
      <w:szCs w:val="24"/>
      <w:lang w:eastAsia="he-IL"/>
    </w:rPr>
  </w:style>
  <w:style w:type="character" w:customStyle="1" w:styleId="50">
    <w:name w:val="כותרת 5 תו"/>
    <w:aliases w:val="רמה 1 תו"/>
    <w:link w:val="5"/>
    <w:rsid w:val="00F32931"/>
    <w:rPr>
      <w:rFonts w:ascii="Calibri" w:hAnsi="Calibri" w:cs="Arial"/>
      <w:b/>
      <w:bCs/>
      <w:i/>
      <w:sz w:val="26"/>
      <w:szCs w:val="22"/>
    </w:rPr>
  </w:style>
  <w:style w:type="character" w:customStyle="1" w:styleId="60">
    <w:name w:val="כותרת 6 תו"/>
    <w:aliases w:val=" תו תו"/>
    <w:link w:val="6"/>
    <w:rsid w:val="003849FB"/>
    <w:rPr>
      <w:rFonts w:ascii="Calibri" w:hAnsi="Calibri" w:cs="Arial"/>
      <w:b/>
      <w:bCs/>
      <w:sz w:val="22"/>
      <w:szCs w:val="22"/>
      <w:lang w:val="en-US" w:eastAsia="en-US" w:bidi="he-IL"/>
    </w:rPr>
  </w:style>
  <w:style w:type="character" w:customStyle="1" w:styleId="70">
    <w:name w:val="כותרת 7 תו"/>
    <w:aliases w:val="רמה 2 תו"/>
    <w:link w:val="7"/>
    <w:rsid w:val="00B23171"/>
    <w:rPr>
      <w:rFonts w:ascii="Arial" w:hAnsi="Arial" w:cs="Arial"/>
      <w:bCs/>
      <w:szCs w:val="22"/>
    </w:rPr>
  </w:style>
  <w:style w:type="character" w:customStyle="1" w:styleId="80">
    <w:name w:val="כותרת 8 תו"/>
    <w:link w:val="8"/>
    <w:rsid w:val="009A4FEF"/>
    <w:rPr>
      <w:rFonts w:ascii="Arial" w:hAnsi="Arial" w:cs="Arial"/>
    </w:rPr>
  </w:style>
  <w:style w:type="character" w:customStyle="1" w:styleId="90">
    <w:name w:val="כותרת 9 תו"/>
    <w:link w:val="9"/>
    <w:rsid w:val="009A4FEF"/>
    <w:rPr>
      <w:rFonts w:ascii="Arial" w:hAnsi="Arial" w:cs="Arial"/>
    </w:rPr>
  </w:style>
  <w:style w:type="paragraph" w:styleId="24">
    <w:name w:val="Body Text 2"/>
    <w:basedOn w:val="a3"/>
    <w:link w:val="25"/>
    <w:rsid w:val="00A45B9B"/>
    <w:pPr>
      <w:spacing w:after="120" w:line="480" w:lineRule="auto"/>
    </w:pPr>
  </w:style>
  <w:style w:type="character" w:customStyle="1" w:styleId="25">
    <w:name w:val="גוף טקסט 2 תו"/>
    <w:link w:val="24"/>
    <w:rsid w:val="009D17E2"/>
    <w:rPr>
      <w:rFonts w:ascii="Arial" w:hAnsi="Arial" w:cs="Arial"/>
      <w:lang w:val="en-US" w:eastAsia="en-US" w:bidi="he-IL"/>
    </w:rPr>
  </w:style>
  <w:style w:type="character" w:styleId="a7">
    <w:name w:val="footnote reference"/>
    <w:uiPriority w:val="99"/>
    <w:qFormat/>
    <w:rsid w:val="00F6472F"/>
    <w:rPr>
      <w:rFonts w:ascii="Arial" w:hAnsi="Arial" w:cs="Arial"/>
      <w:color w:val="auto"/>
      <w:sz w:val="20"/>
      <w:szCs w:val="20"/>
      <w:u w:val="none"/>
      <w:vertAlign w:val="superscript"/>
      <w:em w:val="none"/>
    </w:rPr>
  </w:style>
  <w:style w:type="paragraph" w:styleId="a8">
    <w:name w:val="footnote text"/>
    <w:basedOn w:val="a3"/>
    <w:link w:val="a9"/>
    <w:uiPriority w:val="99"/>
    <w:qFormat/>
    <w:rsid w:val="001727AA"/>
    <w:pPr>
      <w:spacing w:before="20"/>
      <w:ind w:left="216" w:hanging="216"/>
    </w:pPr>
    <w:rPr>
      <w:rFonts w:ascii="Times New Roman" w:eastAsia="Arial Unicode MS" w:hAnsi="Times New Roman" w:cs="David"/>
      <w:noProof/>
      <w:color w:val="000000"/>
      <w:sz w:val="18"/>
      <w:lang w:eastAsia="he-IL"/>
    </w:rPr>
  </w:style>
  <w:style w:type="character" w:customStyle="1" w:styleId="a9">
    <w:name w:val="טקסט הערת שוליים תו"/>
    <w:link w:val="a8"/>
    <w:uiPriority w:val="99"/>
    <w:rsid w:val="001727AA"/>
    <w:rPr>
      <w:rFonts w:eastAsia="Arial Unicode MS" w:cs="David"/>
      <w:noProof/>
      <w:color w:val="000000"/>
      <w:sz w:val="18"/>
      <w:lang w:val="en-US" w:eastAsia="he-IL" w:bidi="he-IL"/>
    </w:rPr>
  </w:style>
  <w:style w:type="table" w:styleId="aa">
    <w:name w:val="Table Grid"/>
    <w:basedOn w:val="a5"/>
    <w:uiPriority w:val="39"/>
    <w:rsid w:val="00A0683B"/>
    <w:pPr>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דוח-סעיף"/>
    <w:basedOn w:val="a3"/>
    <w:link w:val="-1"/>
    <w:rsid w:val="003C104C"/>
    <w:pPr>
      <w:spacing w:line="241" w:lineRule="auto"/>
      <w:ind w:left="144" w:hanging="144"/>
      <w:jc w:val="left"/>
    </w:pPr>
    <w:rPr>
      <w:color w:val="000000"/>
      <w:lang w:eastAsia="he-IL"/>
    </w:rPr>
  </w:style>
  <w:style w:type="character" w:customStyle="1" w:styleId="-1">
    <w:name w:val="דוח-סעיף תו"/>
    <w:link w:val="-0"/>
    <w:rsid w:val="003C104C"/>
    <w:rPr>
      <w:rFonts w:ascii="Arial" w:hAnsi="Arial" w:cs="Arial"/>
      <w:color w:val="000000"/>
      <w:lang w:val="en-US" w:eastAsia="he-IL" w:bidi="he-IL"/>
    </w:rPr>
  </w:style>
  <w:style w:type="paragraph" w:customStyle="1" w:styleId="-2">
    <w:name w:val="דוח-תאגיד בנקאי"/>
    <w:basedOn w:val="a3"/>
    <w:rsid w:val="00A0683B"/>
    <w:rPr>
      <w:b/>
      <w:bCs/>
      <w:sz w:val="22"/>
      <w:szCs w:val="22"/>
    </w:rPr>
  </w:style>
  <w:style w:type="paragraph" w:customStyle="1" w:styleId="-">
    <w:name w:val="דוח-כותרת דוח"/>
    <w:basedOn w:val="a3"/>
    <w:rsid w:val="00123CE8"/>
    <w:pPr>
      <w:pBdr>
        <w:bottom w:val="single" w:sz="12" w:space="1" w:color="auto"/>
      </w:pBdr>
      <w:spacing w:after="120"/>
    </w:pPr>
    <w:rPr>
      <w:b/>
      <w:bCs/>
      <w:sz w:val="22"/>
      <w:szCs w:val="22"/>
    </w:rPr>
  </w:style>
  <w:style w:type="paragraph" w:customStyle="1" w:styleId="-3">
    <w:name w:val="דוח-מספר"/>
    <w:basedOn w:val="a3"/>
    <w:rsid w:val="003C104C"/>
    <w:pPr>
      <w:spacing w:line="241" w:lineRule="auto"/>
    </w:pPr>
  </w:style>
  <w:style w:type="paragraph" w:customStyle="1" w:styleId="-4">
    <w:name w:val="דוח-תקופה"/>
    <w:basedOn w:val="a3"/>
    <w:rsid w:val="003C104C"/>
    <w:pPr>
      <w:pBdr>
        <w:bottom w:val="single" w:sz="6" w:space="1" w:color="auto"/>
      </w:pBdr>
      <w:spacing w:line="241" w:lineRule="auto"/>
      <w:jc w:val="center"/>
    </w:pPr>
    <w:rPr>
      <w:b/>
      <w:bCs/>
    </w:rPr>
  </w:style>
  <w:style w:type="paragraph" w:customStyle="1" w:styleId="-5">
    <w:name w:val="דוח-הפניה לביאור"/>
    <w:basedOn w:val="-4"/>
    <w:rsid w:val="003C104C"/>
    <w:pPr>
      <w:spacing w:line="240" w:lineRule="auto"/>
      <w:jc w:val="left"/>
    </w:pPr>
  </w:style>
  <w:style w:type="paragraph" w:customStyle="1" w:styleId="-6">
    <w:name w:val="דוח-מספר עם נקודה"/>
    <w:basedOn w:val="-3"/>
    <w:rsid w:val="007A3631"/>
    <w:pPr>
      <w:tabs>
        <w:tab w:val="decimal" w:pos="346"/>
      </w:tabs>
    </w:pPr>
  </w:style>
  <w:style w:type="paragraph" w:customStyle="1" w:styleId="-7">
    <w:name w:val="דוח-תא ריק"/>
    <w:basedOn w:val="a3"/>
    <w:rsid w:val="003C104C"/>
    <w:pPr>
      <w:spacing w:line="241" w:lineRule="auto"/>
    </w:pPr>
  </w:style>
  <w:style w:type="paragraph" w:customStyle="1" w:styleId="-8">
    <w:name w:val="דוח-ביאור #"/>
    <w:basedOn w:val="a3"/>
    <w:rsid w:val="00110E57"/>
    <w:pPr>
      <w:spacing w:after="60"/>
    </w:pPr>
    <w:rPr>
      <w:b/>
      <w:bCs/>
      <w:sz w:val="22"/>
      <w:szCs w:val="22"/>
    </w:rPr>
  </w:style>
  <w:style w:type="paragraph" w:styleId="ab">
    <w:name w:val="envelope address"/>
    <w:basedOn w:val="a3"/>
    <w:rsid w:val="00054A62"/>
    <w:pPr>
      <w:framePr w:w="5041" w:h="1979" w:hRule="exact" w:hSpace="181" w:vSpace="181" w:wrap="around" w:vAnchor="page" w:hAnchor="page" w:x="4650" w:y="2382"/>
      <w:spacing w:line="360" w:lineRule="auto"/>
      <w:ind w:left="2880"/>
      <w:jc w:val="left"/>
    </w:pPr>
    <w:rPr>
      <w:rFonts w:ascii="Times New Roman" w:hAnsi="Times New Roman" w:cs="David"/>
      <w:color w:val="000000"/>
      <w:sz w:val="24"/>
      <w:szCs w:val="24"/>
      <w:lang w:eastAsia="he-IL"/>
    </w:rPr>
  </w:style>
  <w:style w:type="paragraph" w:customStyle="1" w:styleId="firma">
    <w:name w:val="firma"/>
    <w:basedOn w:val="a3"/>
    <w:rsid w:val="00054A62"/>
    <w:pPr>
      <w:tabs>
        <w:tab w:val="left" w:pos="567"/>
      </w:tabs>
      <w:spacing w:line="360" w:lineRule="auto"/>
    </w:pPr>
    <w:rPr>
      <w:rFonts w:cs="David"/>
      <w:b/>
      <w:bCs/>
      <w:noProof/>
      <w:color w:val="000000"/>
      <w:sz w:val="22"/>
      <w:szCs w:val="30"/>
      <w:lang w:eastAsia="he-IL"/>
    </w:rPr>
  </w:style>
  <w:style w:type="paragraph" w:styleId="ac">
    <w:name w:val="List Paragraph"/>
    <w:basedOn w:val="a3"/>
    <w:uiPriority w:val="34"/>
    <w:qFormat/>
    <w:rsid w:val="00054A62"/>
    <w:pPr>
      <w:spacing w:line="360" w:lineRule="auto"/>
      <w:ind w:left="720"/>
      <w:contextualSpacing/>
    </w:pPr>
    <w:rPr>
      <w:rFonts w:ascii="Times New Roman" w:hAnsi="Times New Roman" w:cs="David"/>
      <w:color w:val="000000"/>
      <w:sz w:val="24"/>
      <w:szCs w:val="24"/>
      <w:lang w:eastAsia="he-IL"/>
    </w:rPr>
  </w:style>
  <w:style w:type="paragraph" w:styleId="ad">
    <w:name w:val="footer"/>
    <w:basedOn w:val="a3"/>
    <w:link w:val="ae"/>
    <w:rsid w:val="000346C2"/>
    <w:pPr>
      <w:keepLines/>
      <w:tabs>
        <w:tab w:val="center" w:pos="4153"/>
        <w:tab w:val="right" w:pos="8306"/>
      </w:tabs>
      <w:overflowPunct w:val="0"/>
      <w:autoSpaceDE w:val="0"/>
      <w:autoSpaceDN w:val="0"/>
      <w:adjustRightInd w:val="0"/>
      <w:spacing w:line="360" w:lineRule="auto"/>
      <w:textAlignment w:val="baseline"/>
    </w:pPr>
    <w:rPr>
      <w:rFonts w:cs="David"/>
      <w:sz w:val="24"/>
      <w:szCs w:val="24"/>
    </w:rPr>
  </w:style>
  <w:style w:type="character" w:customStyle="1" w:styleId="ae">
    <w:name w:val="כותרת תחתונה תו"/>
    <w:link w:val="ad"/>
    <w:rsid w:val="000346C2"/>
    <w:rPr>
      <w:rFonts w:ascii="Arial" w:hAnsi="Arial" w:cs="David"/>
      <w:sz w:val="24"/>
      <w:szCs w:val="24"/>
      <w:lang w:val="en-US" w:eastAsia="en-US" w:bidi="he-IL"/>
    </w:rPr>
  </w:style>
  <w:style w:type="character" w:customStyle="1" w:styleId="FootnoteTextChar">
    <w:name w:val="Footnote Text Char"/>
    <w:uiPriority w:val="99"/>
    <w:rsid w:val="000346C2"/>
    <w:rPr>
      <w:rFonts w:cs="David"/>
      <w:sz w:val="24"/>
      <w:szCs w:val="24"/>
      <w:lang w:val="en-US" w:eastAsia="en-US" w:bidi="he-IL"/>
    </w:rPr>
  </w:style>
  <w:style w:type="paragraph" w:customStyle="1" w:styleId="QtxDos">
    <w:name w:val="QtxDos"/>
    <w:rsid w:val="000656DC"/>
    <w:pPr>
      <w:widowControl w:val="0"/>
    </w:pPr>
    <w:rPr>
      <w:rFonts w:ascii="Arial" w:hAnsi="Akhbar Simplified MT" w:cs="QMiriam"/>
      <w:lang w:eastAsia="he-IL"/>
    </w:rPr>
  </w:style>
  <w:style w:type="paragraph" w:customStyle="1" w:styleId="-9">
    <w:name w:val="דוח-מאוחד"/>
    <w:basedOn w:val="-4"/>
    <w:rsid w:val="003C104C"/>
    <w:pPr>
      <w:pBdr>
        <w:bottom w:val="single" w:sz="12" w:space="1" w:color="auto"/>
      </w:pBdr>
    </w:pPr>
    <w:rPr>
      <w:spacing w:val="20"/>
    </w:rPr>
  </w:style>
  <w:style w:type="paragraph" w:customStyle="1" w:styleId="-10">
    <w:name w:val="דוח-מלל ביאור(1)"/>
    <w:basedOn w:val="a3"/>
    <w:link w:val="-11"/>
    <w:rsid w:val="00D606B9"/>
    <w:pPr>
      <w:spacing w:before="60" w:after="60" w:line="264" w:lineRule="auto"/>
    </w:pPr>
  </w:style>
  <w:style w:type="character" w:customStyle="1" w:styleId="-11">
    <w:name w:val="דוח-מלל ביאור(1) תו"/>
    <w:link w:val="-10"/>
    <w:rsid w:val="00D606B9"/>
    <w:rPr>
      <w:rFonts w:ascii="Arial" w:hAnsi="Arial" w:cs="Arial"/>
      <w:lang w:val="en-US" w:eastAsia="en-US" w:bidi="he-IL"/>
    </w:rPr>
  </w:style>
  <w:style w:type="paragraph" w:customStyle="1" w:styleId="af">
    <w:name w:val="היסט"/>
    <w:basedOn w:val="a3"/>
    <w:rsid w:val="001047FE"/>
    <w:pPr>
      <w:keepLines/>
      <w:overflowPunct w:val="0"/>
      <w:autoSpaceDE w:val="0"/>
      <w:autoSpaceDN w:val="0"/>
      <w:adjustRightInd w:val="0"/>
      <w:spacing w:line="360" w:lineRule="auto"/>
      <w:ind w:left="709"/>
      <w:textAlignment w:val="baseline"/>
    </w:pPr>
    <w:rPr>
      <w:rFonts w:ascii="Times New Roman" w:hAnsi="Times New Roman" w:cs="David"/>
      <w:szCs w:val="24"/>
    </w:rPr>
  </w:style>
  <w:style w:type="paragraph" w:customStyle="1" w:styleId="af0">
    <w:name w:val="היסט_כפול"/>
    <w:basedOn w:val="a3"/>
    <w:rsid w:val="001047FE"/>
    <w:pPr>
      <w:keepLines/>
      <w:tabs>
        <w:tab w:val="left" w:pos="709"/>
      </w:tabs>
      <w:overflowPunct w:val="0"/>
      <w:autoSpaceDE w:val="0"/>
      <w:autoSpaceDN w:val="0"/>
      <w:adjustRightInd w:val="0"/>
      <w:spacing w:line="360" w:lineRule="auto"/>
      <w:ind w:left="1418" w:hanging="1418"/>
      <w:textAlignment w:val="baseline"/>
    </w:pPr>
    <w:rPr>
      <w:rFonts w:ascii="Times New Roman" w:hAnsi="Times New Roman" w:cs="David"/>
      <w:szCs w:val="24"/>
    </w:rPr>
  </w:style>
  <w:style w:type="character" w:styleId="af1">
    <w:name w:val="page number"/>
    <w:rsid w:val="00732C8B"/>
    <w:rPr>
      <w:rFonts w:cs="Times New Roman"/>
    </w:rPr>
  </w:style>
  <w:style w:type="paragraph" w:styleId="af2">
    <w:name w:val="header"/>
    <w:basedOn w:val="a3"/>
    <w:link w:val="af3"/>
    <w:rsid w:val="00734AA3"/>
    <w:pPr>
      <w:tabs>
        <w:tab w:val="center" w:pos="4153"/>
        <w:tab w:val="right" w:pos="8306"/>
      </w:tabs>
    </w:pPr>
  </w:style>
  <w:style w:type="character" w:customStyle="1" w:styleId="af3">
    <w:name w:val="כותרת עליונה תו"/>
    <w:link w:val="af2"/>
    <w:rsid w:val="00EF76A6"/>
    <w:rPr>
      <w:rFonts w:ascii="Arial" w:hAnsi="Arial" w:cs="Arial"/>
      <w:lang w:val="en-US" w:eastAsia="en-US" w:bidi="he-IL"/>
    </w:rPr>
  </w:style>
  <w:style w:type="paragraph" w:customStyle="1" w:styleId="-a">
    <w:name w:val="דוח-הערה בביאור"/>
    <w:basedOn w:val="a3"/>
    <w:rsid w:val="001F38D3"/>
    <w:pPr>
      <w:spacing w:after="40"/>
    </w:pPr>
    <w:rPr>
      <w:sz w:val="18"/>
      <w:szCs w:val="18"/>
    </w:rPr>
  </w:style>
  <w:style w:type="paragraph" w:customStyle="1" w:styleId="15">
    <w:name w:val="1"/>
    <w:basedOn w:val="a3"/>
    <w:rsid w:val="00103C25"/>
  </w:style>
  <w:style w:type="character" w:customStyle="1" w:styleId="af4">
    <w:name w:val="טקסט הערת סיום תו"/>
    <w:link w:val="af5"/>
    <w:rsid w:val="00A2718D"/>
    <w:rPr>
      <w:lang w:eastAsia="he-IL"/>
    </w:rPr>
  </w:style>
  <w:style w:type="paragraph" w:styleId="af5">
    <w:name w:val="endnote text"/>
    <w:basedOn w:val="a3"/>
    <w:link w:val="af4"/>
    <w:rsid w:val="00377536"/>
    <w:pPr>
      <w:spacing w:line="360" w:lineRule="auto"/>
    </w:pPr>
    <w:rPr>
      <w:lang w:eastAsia="he-IL"/>
    </w:rPr>
  </w:style>
  <w:style w:type="paragraph" w:customStyle="1" w:styleId="-b">
    <w:name w:val="דוח-סעיף סך הכל"/>
    <w:basedOn w:val="-0"/>
    <w:link w:val="-c"/>
    <w:rsid w:val="003C104C"/>
    <w:rPr>
      <w:b/>
      <w:bCs/>
    </w:rPr>
  </w:style>
  <w:style w:type="character" w:customStyle="1" w:styleId="-c">
    <w:name w:val="דוח-סעיף סך הכל תו"/>
    <w:link w:val="-b"/>
    <w:rsid w:val="003C104C"/>
    <w:rPr>
      <w:rFonts w:ascii="Arial" w:hAnsi="Arial" w:cs="Arial"/>
      <w:b/>
      <w:bCs/>
      <w:color w:val="000000"/>
      <w:lang w:val="en-US" w:eastAsia="he-IL" w:bidi="he-IL"/>
    </w:rPr>
  </w:style>
  <w:style w:type="paragraph" w:customStyle="1" w:styleId="-05">
    <w:name w:val="סגנון דוח-מספר + מודגש למעלה: (קו מלא בודד אוטומטי  0.5 נק רוחב ..."/>
    <w:basedOn w:val="-3"/>
    <w:rsid w:val="00ED5518"/>
    <w:pPr>
      <w:pBdr>
        <w:top w:val="single" w:sz="6" w:space="1" w:color="auto"/>
      </w:pBdr>
    </w:pPr>
    <w:rPr>
      <w:b/>
      <w:bCs/>
    </w:rPr>
  </w:style>
  <w:style w:type="paragraph" w:customStyle="1" w:styleId="-212">
    <w:name w:val="דוח-2 קווים (1/2) למעלה"/>
    <w:basedOn w:val="a3"/>
    <w:rsid w:val="00E23728"/>
    <w:pPr>
      <w:pBdr>
        <w:top w:val="double" w:sz="4" w:space="1" w:color="auto"/>
      </w:pBdr>
      <w:jc w:val="left"/>
    </w:pPr>
  </w:style>
  <w:style w:type="paragraph" w:customStyle="1" w:styleId="-d">
    <w:name w:val="דוח-מלל חוות דעת"/>
    <w:basedOn w:val="a3"/>
    <w:rsid w:val="00123CE8"/>
    <w:pPr>
      <w:spacing w:after="120" w:line="300" w:lineRule="auto"/>
    </w:pPr>
  </w:style>
  <w:style w:type="paragraph" w:customStyle="1" w:styleId="-e">
    <w:name w:val="דוח-כותרת חוות דעת"/>
    <w:basedOn w:val="-2"/>
    <w:rsid w:val="003B41FF"/>
    <w:pPr>
      <w:spacing w:line="300" w:lineRule="auto"/>
    </w:pPr>
    <w:rPr>
      <w:u w:val="single"/>
    </w:rPr>
  </w:style>
  <w:style w:type="paragraph" w:customStyle="1" w:styleId="NormalE">
    <w:name w:val="NormalE"/>
    <w:basedOn w:val="a3"/>
    <w:rsid w:val="00FC76BB"/>
    <w:pPr>
      <w:keepLines/>
      <w:bidi w:val="0"/>
      <w:spacing w:line="360" w:lineRule="auto"/>
    </w:pPr>
    <w:rPr>
      <w:rFonts w:cs="David"/>
      <w:color w:val="000000"/>
      <w:sz w:val="24"/>
      <w:szCs w:val="24"/>
      <w:lang w:eastAsia="he-IL"/>
    </w:rPr>
  </w:style>
  <w:style w:type="paragraph" w:customStyle="1" w:styleId="-f">
    <w:name w:val="דוח-סעיף כותרת"/>
    <w:basedOn w:val="-0"/>
    <w:link w:val="-f0"/>
    <w:rsid w:val="00DC6311"/>
    <w:pPr>
      <w:spacing w:line="240" w:lineRule="auto"/>
      <w:ind w:left="0" w:firstLine="0"/>
    </w:pPr>
    <w:rPr>
      <w:b/>
      <w:bCs/>
      <w:u w:val="single"/>
    </w:rPr>
  </w:style>
  <w:style w:type="character" w:customStyle="1" w:styleId="-f0">
    <w:name w:val="דוח-סעיף כותרת תו"/>
    <w:link w:val="-f"/>
    <w:rsid w:val="00DC6311"/>
    <w:rPr>
      <w:rFonts w:ascii="Arial" w:hAnsi="Arial" w:cs="Arial"/>
      <w:b/>
      <w:bCs/>
      <w:color w:val="000000"/>
      <w:u w:val="single"/>
      <w:lang w:val="en-US" w:eastAsia="he-IL" w:bidi="he-IL"/>
    </w:rPr>
  </w:style>
  <w:style w:type="paragraph" w:customStyle="1" w:styleId="-f1">
    <w:name w:val="דוח-מספר סך הכל"/>
    <w:basedOn w:val="-b"/>
    <w:link w:val="-f2"/>
    <w:rsid w:val="004E0542"/>
    <w:pPr>
      <w:pBdr>
        <w:top w:val="single" w:sz="4" w:space="1" w:color="auto"/>
      </w:pBdr>
    </w:pPr>
  </w:style>
  <w:style w:type="character" w:customStyle="1" w:styleId="-f2">
    <w:name w:val="דוח-מספר סך הכל תו"/>
    <w:link w:val="-f1"/>
    <w:rsid w:val="004E0542"/>
    <w:rPr>
      <w:rFonts w:ascii="Arial" w:hAnsi="Arial" w:cs="Arial"/>
      <w:b/>
      <w:bCs/>
      <w:color w:val="000000"/>
      <w:lang w:val="en-US" w:eastAsia="he-IL" w:bidi="he-IL"/>
    </w:rPr>
  </w:style>
  <w:style w:type="paragraph" w:customStyle="1" w:styleId="-f3">
    <w:name w:val="דוח-הערות שוליים"/>
    <w:basedOn w:val="a3"/>
    <w:rsid w:val="00953783"/>
    <w:rPr>
      <w:sz w:val="18"/>
      <w:szCs w:val="18"/>
    </w:rPr>
  </w:style>
  <w:style w:type="paragraph" w:customStyle="1" w:styleId="-f4">
    <w:name w:val="דוח-כותרת מלל ביאור"/>
    <w:basedOn w:val="-10"/>
    <w:link w:val="-f5"/>
    <w:rsid w:val="00D20390"/>
    <w:rPr>
      <w:b/>
      <w:bCs/>
    </w:rPr>
  </w:style>
  <w:style w:type="character" w:customStyle="1" w:styleId="-f5">
    <w:name w:val="דוח-כותרת מלל ביאור תו"/>
    <w:link w:val="-f4"/>
    <w:rsid w:val="00C94022"/>
    <w:rPr>
      <w:rFonts w:ascii="Arial" w:hAnsi="Arial" w:cs="Arial"/>
      <w:b/>
      <w:bCs/>
      <w:lang w:val="en-US" w:eastAsia="en-US" w:bidi="he-IL"/>
    </w:rPr>
  </w:style>
  <w:style w:type="paragraph" w:customStyle="1" w:styleId="-12">
    <w:name w:val="דוח-קו 1 נק"/>
    <w:basedOn w:val="-7"/>
    <w:rsid w:val="00F96625"/>
    <w:pPr>
      <w:pBdr>
        <w:top w:val="single" w:sz="8" w:space="1" w:color="auto"/>
      </w:pBdr>
      <w:jc w:val="left"/>
    </w:pPr>
  </w:style>
  <w:style w:type="paragraph" w:customStyle="1" w:styleId="-90">
    <w:name w:val="דוח-תקופה 9"/>
    <w:basedOn w:val="-4"/>
    <w:rsid w:val="00D3144F"/>
    <w:rPr>
      <w:sz w:val="18"/>
      <w:szCs w:val="18"/>
    </w:rPr>
  </w:style>
  <w:style w:type="paragraph" w:styleId="af6">
    <w:name w:val="Balloon Text"/>
    <w:basedOn w:val="a3"/>
    <w:link w:val="af7"/>
    <w:semiHidden/>
    <w:rsid w:val="00236E33"/>
    <w:rPr>
      <w:rFonts w:ascii="Tahoma" w:hAnsi="Tahoma" w:cs="Tahoma"/>
      <w:sz w:val="16"/>
      <w:szCs w:val="16"/>
    </w:rPr>
  </w:style>
  <w:style w:type="character" w:customStyle="1" w:styleId="af7">
    <w:name w:val="טקסט בלונים תו"/>
    <w:link w:val="af6"/>
    <w:semiHidden/>
    <w:rsid w:val="009A4FEF"/>
    <w:rPr>
      <w:rFonts w:ascii="Tahoma" w:hAnsi="Tahoma" w:cs="Tahoma"/>
      <w:sz w:val="16"/>
      <w:szCs w:val="16"/>
    </w:rPr>
  </w:style>
  <w:style w:type="paragraph" w:customStyle="1" w:styleId="26">
    <w:name w:val="?????2"/>
    <w:basedOn w:val="a3"/>
    <w:rsid w:val="00C36EDF"/>
    <w:pPr>
      <w:keepLines/>
      <w:overflowPunct w:val="0"/>
      <w:autoSpaceDE w:val="0"/>
      <w:autoSpaceDN w:val="0"/>
      <w:bidi w:val="0"/>
      <w:adjustRightInd w:val="0"/>
      <w:ind w:left="1418" w:right="1418"/>
      <w:jc w:val="left"/>
      <w:textAlignment w:val="baseline"/>
    </w:pPr>
    <w:rPr>
      <w:rFonts w:cs="Times New Roman"/>
      <w:sz w:val="22"/>
      <w:szCs w:val="22"/>
    </w:rPr>
  </w:style>
  <w:style w:type="paragraph" w:customStyle="1" w:styleId="16">
    <w:name w:val="?????1"/>
    <w:basedOn w:val="a3"/>
    <w:rsid w:val="00C36EDF"/>
    <w:pPr>
      <w:keepLines/>
      <w:overflowPunct w:val="0"/>
      <w:autoSpaceDE w:val="0"/>
      <w:autoSpaceDN w:val="0"/>
      <w:bidi w:val="0"/>
      <w:adjustRightInd w:val="0"/>
      <w:spacing w:line="360" w:lineRule="auto"/>
      <w:ind w:left="227"/>
      <w:jc w:val="left"/>
      <w:textAlignment w:val="baseline"/>
    </w:pPr>
    <w:rPr>
      <w:rFonts w:cs="Times New Roman"/>
      <w:sz w:val="22"/>
      <w:szCs w:val="22"/>
    </w:rPr>
  </w:style>
  <w:style w:type="paragraph" w:customStyle="1" w:styleId="17">
    <w:name w:val="כניסה1"/>
    <w:basedOn w:val="a3"/>
    <w:rsid w:val="00085552"/>
    <w:pPr>
      <w:keepLines/>
      <w:overflowPunct w:val="0"/>
      <w:autoSpaceDE w:val="0"/>
      <w:autoSpaceDN w:val="0"/>
      <w:adjustRightInd w:val="0"/>
      <w:spacing w:line="360" w:lineRule="auto"/>
      <w:ind w:left="227"/>
      <w:textAlignment w:val="baseline"/>
    </w:pPr>
    <w:rPr>
      <w:rFonts w:ascii="Times New Roman" w:hAnsi="Times New Roman" w:cs="David"/>
      <w:szCs w:val="24"/>
    </w:rPr>
  </w:style>
  <w:style w:type="paragraph" w:customStyle="1" w:styleId="-f6">
    <w:name w:val="סגנון דוח-תקופה"/>
    <w:basedOn w:val="-4"/>
    <w:rsid w:val="00DC1F16"/>
  </w:style>
  <w:style w:type="paragraph" w:customStyle="1" w:styleId="-120">
    <w:name w:val="דוח-מקווקו (1/2) למעלה"/>
    <w:basedOn w:val="-3"/>
    <w:rsid w:val="000B5F44"/>
    <w:pPr>
      <w:pBdr>
        <w:top w:val="dashSmallGap" w:sz="4" w:space="1" w:color="auto"/>
      </w:pBdr>
    </w:pPr>
    <w:rPr>
      <w:sz w:val="18"/>
    </w:rPr>
  </w:style>
  <w:style w:type="character" w:customStyle="1" w:styleId="61">
    <w:name w:val="תו6"/>
    <w:semiHidden/>
    <w:rsid w:val="001F3955"/>
    <w:rPr>
      <w:rFonts w:cs="David"/>
    </w:rPr>
  </w:style>
  <w:style w:type="paragraph" w:styleId="af8">
    <w:name w:val="Body Text"/>
    <w:basedOn w:val="a3"/>
    <w:link w:val="af9"/>
    <w:unhideWhenUsed/>
    <w:rsid w:val="00EF76A6"/>
    <w:pPr>
      <w:spacing w:after="120"/>
    </w:pPr>
  </w:style>
  <w:style w:type="character" w:customStyle="1" w:styleId="af9">
    <w:name w:val="גוף טקסט תו"/>
    <w:link w:val="af8"/>
    <w:rsid w:val="009A4FEF"/>
    <w:rPr>
      <w:rFonts w:ascii="Arial" w:hAnsi="Arial" w:cs="Arial"/>
    </w:rPr>
  </w:style>
  <w:style w:type="character" w:customStyle="1" w:styleId="43">
    <w:name w:val="תו4"/>
    <w:semiHidden/>
    <w:rsid w:val="00EF76A6"/>
    <w:rPr>
      <w:rFonts w:eastAsia="Arial Unicode MS" w:cs="David"/>
      <w:noProof/>
      <w:color w:val="000000"/>
      <w:sz w:val="18"/>
      <w:lang w:val="en-US" w:eastAsia="he-IL" w:bidi="he-IL"/>
    </w:rPr>
  </w:style>
  <w:style w:type="paragraph" w:customStyle="1" w:styleId="-f7">
    <w:name w:val="דוח-תקופה(לא מודגש)"/>
    <w:basedOn w:val="-4"/>
    <w:rsid w:val="00A90321"/>
    <w:rPr>
      <w:b w:val="0"/>
      <w:bCs w:val="0"/>
    </w:rPr>
  </w:style>
  <w:style w:type="paragraph" w:customStyle="1" w:styleId="-f8">
    <w:name w:val="דוח-כותרת מספר"/>
    <w:basedOn w:val="-f4"/>
    <w:rsid w:val="0073050D"/>
    <w:pPr>
      <w:ind w:right="-144"/>
      <w:jc w:val="left"/>
    </w:pPr>
  </w:style>
  <w:style w:type="character" w:customStyle="1" w:styleId="33">
    <w:name w:val="תו3"/>
    <w:semiHidden/>
    <w:rsid w:val="003849FB"/>
    <w:rPr>
      <w:rFonts w:eastAsia="Arial Unicode MS" w:cs="David"/>
      <w:noProof/>
      <w:color w:val="000000"/>
      <w:sz w:val="18"/>
      <w:lang w:val="en-US" w:eastAsia="he-IL" w:bidi="he-IL"/>
    </w:rPr>
  </w:style>
  <w:style w:type="character" w:customStyle="1" w:styleId="81">
    <w:name w:val="תו8"/>
    <w:rsid w:val="003849FB"/>
    <w:rPr>
      <w:rFonts w:cs="David"/>
      <w:color w:val="000000"/>
      <w:sz w:val="24"/>
      <w:szCs w:val="24"/>
      <w:lang w:eastAsia="he-IL"/>
    </w:rPr>
  </w:style>
  <w:style w:type="paragraph" w:customStyle="1" w:styleId="C2">
    <w:name w:val="C2"/>
    <w:basedOn w:val="a3"/>
    <w:rsid w:val="003849FB"/>
    <w:pPr>
      <w:tabs>
        <w:tab w:val="left" w:pos="567"/>
        <w:tab w:val="left" w:pos="1134"/>
        <w:tab w:val="left" w:pos="1701"/>
        <w:tab w:val="left" w:pos="2268"/>
        <w:tab w:val="left" w:pos="2835"/>
        <w:tab w:val="left" w:pos="3402"/>
        <w:tab w:val="left" w:pos="3969"/>
      </w:tabs>
      <w:spacing w:line="360" w:lineRule="auto"/>
      <w:ind w:left="1134" w:hanging="1134"/>
    </w:pPr>
    <w:rPr>
      <w:rFonts w:ascii="Times New Roman" w:hAnsi="Times New Roman" w:cs="David"/>
      <w:szCs w:val="24"/>
    </w:rPr>
  </w:style>
  <w:style w:type="paragraph" w:customStyle="1" w:styleId="18">
    <w:name w:val="פיסקת רשימה1"/>
    <w:basedOn w:val="a3"/>
    <w:qFormat/>
    <w:rsid w:val="00241D9E"/>
    <w:pPr>
      <w:spacing w:line="360" w:lineRule="auto"/>
      <w:ind w:left="720"/>
      <w:contextualSpacing/>
    </w:pPr>
    <w:rPr>
      <w:rFonts w:ascii="Times New Roman" w:hAnsi="Times New Roman" w:cs="David"/>
      <w:color w:val="000000"/>
      <w:sz w:val="24"/>
      <w:szCs w:val="24"/>
      <w:lang w:eastAsia="he-IL"/>
    </w:rPr>
  </w:style>
  <w:style w:type="character" w:styleId="afa">
    <w:name w:val="annotation reference"/>
    <w:uiPriority w:val="99"/>
    <w:semiHidden/>
    <w:rsid w:val="00C0513B"/>
    <w:rPr>
      <w:sz w:val="16"/>
      <w:szCs w:val="16"/>
    </w:rPr>
  </w:style>
  <w:style w:type="paragraph" w:styleId="afb">
    <w:name w:val="annotation text"/>
    <w:basedOn w:val="a3"/>
    <w:link w:val="afc"/>
    <w:uiPriority w:val="99"/>
    <w:semiHidden/>
    <w:rsid w:val="00C0513B"/>
  </w:style>
  <w:style w:type="character" w:customStyle="1" w:styleId="afc">
    <w:name w:val="טקסט הערה תו"/>
    <w:link w:val="afb"/>
    <w:uiPriority w:val="99"/>
    <w:rsid w:val="00596AC6"/>
    <w:rPr>
      <w:rFonts w:ascii="Arial" w:hAnsi="Arial" w:cs="Arial"/>
      <w:lang w:val="en-US" w:eastAsia="en-US" w:bidi="he-IL"/>
    </w:rPr>
  </w:style>
  <w:style w:type="paragraph" w:styleId="afd">
    <w:name w:val="annotation subject"/>
    <w:basedOn w:val="afb"/>
    <w:next w:val="afb"/>
    <w:link w:val="afe"/>
    <w:semiHidden/>
    <w:rsid w:val="00C0513B"/>
    <w:rPr>
      <w:b/>
      <w:bCs/>
    </w:rPr>
  </w:style>
  <w:style w:type="character" w:customStyle="1" w:styleId="afe">
    <w:name w:val="נושא הערה תו"/>
    <w:link w:val="afd"/>
    <w:semiHidden/>
    <w:rsid w:val="009A4FEF"/>
    <w:rPr>
      <w:rFonts w:ascii="Arial" w:hAnsi="Arial" w:cs="Arial"/>
      <w:b/>
      <w:bCs/>
      <w:lang w:val="en-US" w:eastAsia="en-US" w:bidi="he-IL"/>
    </w:rPr>
  </w:style>
  <w:style w:type="paragraph" w:customStyle="1" w:styleId="nispah">
    <w:name w:val="nispah"/>
    <w:basedOn w:val="a3"/>
    <w:rsid w:val="00991B2C"/>
    <w:pPr>
      <w:numPr>
        <w:numId w:val="3"/>
      </w:numPr>
      <w:bidi w:val="0"/>
      <w:spacing w:line="360" w:lineRule="auto"/>
      <w:ind w:right="360"/>
      <w:jc w:val="right"/>
    </w:pPr>
    <w:rPr>
      <w:rFonts w:ascii="Times New Roman" w:hAnsi="Times New Roman" w:cs="Miriam"/>
      <w:noProof/>
      <w:color w:val="000000"/>
      <w:sz w:val="24"/>
      <w:szCs w:val="24"/>
      <w:lang w:eastAsia="he-IL"/>
    </w:rPr>
  </w:style>
  <w:style w:type="character" w:customStyle="1" w:styleId="120">
    <w:name w:val="תו12"/>
    <w:rsid w:val="00B6058B"/>
    <w:rPr>
      <w:rFonts w:cs="David"/>
      <w:szCs w:val="24"/>
    </w:rPr>
  </w:style>
  <w:style w:type="paragraph" w:customStyle="1" w:styleId="-f9">
    <w:name w:val="דוח-כותרת נספח"/>
    <w:basedOn w:val="-2"/>
    <w:rsid w:val="007D6D17"/>
    <w:rPr>
      <w:spacing w:val="20"/>
    </w:rPr>
  </w:style>
  <w:style w:type="character" w:customStyle="1" w:styleId="140">
    <w:name w:val="תו14"/>
    <w:rsid w:val="00D37D1E"/>
    <w:rPr>
      <w:rFonts w:ascii="Times New Roman" w:hAnsi="Times New Roman" w:cs="David"/>
      <w:color w:val="000000"/>
      <w:sz w:val="24"/>
      <w:szCs w:val="24"/>
      <w:lang w:eastAsia="he-IL"/>
    </w:rPr>
  </w:style>
  <w:style w:type="paragraph" w:customStyle="1" w:styleId="-fa">
    <w:name w:val="דוח-רפרנס"/>
    <w:basedOn w:val="-7"/>
    <w:rsid w:val="002F639F"/>
    <w:pPr>
      <w:spacing w:before="60" w:line="240" w:lineRule="auto"/>
      <w:ind w:right="-144"/>
      <w:jc w:val="left"/>
    </w:pPr>
    <w:rPr>
      <w:spacing w:val="-6"/>
      <w:sz w:val="14"/>
      <w:szCs w:val="14"/>
    </w:rPr>
  </w:style>
  <w:style w:type="character" w:customStyle="1" w:styleId="110">
    <w:name w:val="תו11"/>
    <w:semiHidden/>
    <w:rsid w:val="00B13F74"/>
    <w:rPr>
      <w:rFonts w:eastAsia="Arial Unicode MS" w:cs="David"/>
      <w:noProof/>
      <w:color w:val="000000"/>
      <w:sz w:val="18"/>
      <w:lang w:val="en-US" w:eastAsia="he-IL" w:bidi="he-IL"/>
    </w:rPr>
  </w:style>
  <w:style w:type="paragraph" w:customStyle="1" w:styleId="-20">
    <w:name w:val="דוח-מלל ביאור(2)"/>
    <w:basedOn w:val="-10"/>
    <w:rsid w:val="00173EB8"/>
    <w:pPr>
      <w:ind w:left="446"/>
    </w:pPr>
  </w:style>
  <w:style w:type="paragraph" w:customStyle="1" w:styleId="-30">
    <w:name w:val="דוח-מלל ביאור(3)"/>
    <w:basedOn w:val="-10"/>
    <w:rsid w:val="00173EB8"/>
    <w:pPr>
      <w:ind w:left="893"/>
    </w:pPr>
  </w:style>
  <w:style w:type="paragraph" w:customStyle="1" w:styleId="-121">
    <w:name w:val="דוח-קו (1/2)^"/>
    <w:basedOn w:val="-7"/>
    <w:rsid w:val="00B24F5D"/>
    <w:pPr>
      <w:pBdr>
        <w:top w:val="single" w:sz="4" w:space="1" w:color="auto"/>
      </w:pBdr>
    </w:pPr>
  </w:style>
  <w:style w:type="paragraph" w:customStyle="1" w:styleId="-21">
    <w:name w:val="דוח-סעיף2"/>
    <w:basedOn w:val="-0"/>
    <w:link w:val="-22"/>
    <w:rsid w:val="001F38D3"/>
    <w:pPr>
      <w:spacing w:before="40" w:line="200" w:lineRule="exact"/>
    </w:pPr>
  </w:style>
  <w:style w:type="character" w:customStyle="1" w:styleId="-22">
    <w:name w:val="דוח-סעיף2 תו"/>
    <w:link w:val="-21"/>
    <w:rsid w:val="00673B73"/>
    <w:rPr>
      <w:rFonts w:ascii="Arial" w:hAnsi="Arial" w:cs="Arial"/>
      <w:color w:val="000000"/>
      <w:lang w:val="en-US" w:eastAsia="he-IL" w:bidi="he-IL"/>
    </w:rPr>
  </w:style>
  <w:style w:type="paragraph" w:customStyle="1" w:styleId="-23">
    <w:name w:val="דוח-סעיף2 סה&quot;כ"/>
    <w:basedOn w:val="-21"/>
    <w:rsid w:val="001F38D3"/>
    <w:rPr>
      <w:b/>
      <w:bCs/>
    </w:rPr>
  </w:style>
  <w:style w:type="paragraph" w:customStyle="1" w:styleId="-fb">
    <w:name w:val="דוח-קו אנכי"/>
    <w:basedOn w:val="a3"/>
    <w:rsid w:val="00536795"/>
    <w:pPr>
      <w:pBdr>
        <w:right w:val="single" w:sz="6" w:space="4" w:color="auto"/>
      </w:pBdr>
      <w:ind w:left="1588"/>
    </w:pPr>
    <w:rPr>
      <w:sz w:val="2"/>
      <w:szCs w:val="2"/>
    </w:rPr>
  </w:style>
  <w:style w:type="paragraph" w:customStyle="1" w:styleId="-13">
    <w:name w:val="דוח-מלל ביאור(1ב)"/>
    <w:basedOn w:val="-10"/>
    <w:rsid w:val="009F062E"/>
    <w:pPr>
      <w:tabs>
        <w:tab w:val="left" w:pos="446"/>
      </w:tabs>
      <w:ind w:left="446" w:hanging="446"/>
    </w:pPr>
  </w:style>
  <w:style w:type="paragraph" w:customStyle="1" w:styleId="-24">
    <w:name w:val="דוח-מלל ביאור(2ב)"/>
    <w:basedOn w:val="-20"/>
    <w:rsid w:val="002C06B0"/>
    <w:pPr>
      <w:tabs>
        <w:tab w:val="left" w:pos="893"/>
      </w:tabs>
      <w:ind w:left="892" w:hanging="446"/>
    </w:pPr>
  </w:style>
  <w:style w:type="paragraph" w:customStyle="1" w:styleId="-fc">
    <w:name w:val="דוח-הערה בביאור בולט"/>
    <w:basedOn w:val="-a"/>
    <w:rsid w:val="000E21D3"/>
    <w:pPr>
      <w:ind w:right="-288"/>
    </w:pPr>
    <w:rPr>
      <w:b/>
      <w:bCs/>
    </w:rPr>
  </w:style>
  <w:style w:type="paragraph" w:customStyle="1" w:styleId="-31">
    <w:name w:val="דוח-מלל ביאור(3ב)"/>
    <w:basedOn w:val="-30"/>
    <w:rsid w:val="008B14D3"/>
    <w:pPr>
      <w:tabs>
        <w:tab w:val="left" w:pos="1339"/>
      </w:tabs>
      <w:ind w:left="1339" w:hanging="446"/>
    </w:pPr>
  </w:style>
  <w:style w:type="paragraph" w:customStyle="1" w:styleId="a">
    <w:name w:val="כותרת סצינה"/>
    <w:basedOn w:val="24"/>
    <w:next w:val="a3"/>
    <w:rsid w:val="009A4FEF"/>
    <w:pPr>
      <w:numPr>
        <w:numId w:val="1"/>
      </w:numPr>
      <w:tabs>
        <w:tab w:val="left" w:pos="720"/>
        <w:tab w:val="left" w:pos="9749"/>
      </w:tabs>
      <w:spacing w:after="0" w:line="240" w:lineRule="auto"/>
    </w:pPr>
    <w:rPr>
      <w:rFonts w:ascii="Courier New" w:hAnsi="Courier New" w:cs="Courier New"/>
      <w:sz w:val="28"/>
      <w:szCs w:val="28"/>
    </w:rPr>
  </w:style>
  <w:style w:type="paragraph" w:customStyle="1" w:styleId="-fd">
    <w:name w:val="דוח-סכומים מדווחים"/>
    <w:basedOn w:val="a3"/>
    <w:rsid w:val="009A4FEF"/>
    <w:pPr>
      <w:spacing w:after="240"/>
    </w:pPr>
  </w:style>
  <w:style w:type="paragraph" w:customStyle="1" w:styleId="27">
    <w:name w:val="פיסקת רשימה2"/>
    <w:basedOn w:val="a3"/>
    <w:rsid w:val="009A4FEF"/>
    <w:pPr>
      <w:spacing w:line="360" w:lineRule="auto"/>
      <w:ind w:left="720"/>
      <w:contextualSpacing/>
    </w:pPr>
    <w:rPr>
      <w:rFonts w:ascii="Times New Roman" w:hAnsi="Times New Roman" w:cs="David"/>
      <w:color w:val="000000"/>
      <w:sz w:val="24"/>
      <w:szCs w:val="24"/>
      <w:lang w:eastAsia="he-IL"/>
    </w:rPr>
  </w:style>
  <w:style w:type="paragraph" w:customStyle="1" w:styleId="-fe">
    <w:name w:val="דוח-מלל ביאור"/>
    <w:basedOn w:val="a3"/>
    <w:link w:val="-ff"/>
    <w:rsid w:val="009A4FEF"/>
    <w:pPr>
      <w:spacing w:before="60" w:after="60" w:line="264" w:lineRule="auto"/>
    </w:pPr>
  </w:style>
  <w:style w:type="character" w:customStyle="1" w:styleId="-ff">
    <w:name w:val="דוח-מלל ביאור תו"/>
    <w:link w:val="-fe"/>
    <w:rsid w:val="009A4FEF"/>
    <w:rPr>
      <w:rFonts w:ascii="Arial" w:hAnsi="Arial" w:cs="Arial"/>
    </w:rPr>
  </w:style>
  <w:style w:type="paragraph" w:customStyle="1" w:styleId="-14">
    <w:name w:val="דוח-ביאור 1"/>
    <w:basedOn w:val="-fe"/>
    <w:link w:val="-15"/>
    <w:rsid w:val="009A4FEF"/>
    <w:pPr>
      <w:spacing w:before="0"/>
      <w:jc w:val="left"/>
    </w:pPr>
    <w:rPr>
      <w:b/>
      <w:bCs/>
    </w:rPr>
  </w:style>
  <w:style w:type="character" w:customStyle="1" w:styleId="-15">
    <w:name w:val="דוח-ביאור 1 תו"/>
    <w:link w:val="-14"/>
    <w:rsid w:val="009A4FEF"/>
    <w:rPr>
      <w:rFonts w:ascii="Arial" w:hAnsi="Arial" w:cs="Arial"/>
      <w:b/>
      <w:bCs/>
    </w:rPr>
  </w:style>
  <w:style w:type="paragraph" w:customStyle="1" w:styleId="-16">
    <w:name w:val="דוח-ביאור 1 כותרת משנה"/>
    <w:basedOn w:val="-14"/>
    <w:link w:val="-17"/>
    <w:rsid w:val="009A4FEF"/>
    <w:pPr>
      <w:spacing w:before="60"/>
      <w:jc w:val="both"/>
    </w:pPr>
  </w:style>
  <w:style w:type="character" w:customStyle="1" w:styleId="-17">
    <w:name w:val="דוח-ביאור 1 כותרת משנה תו"/>
    <w:link w:val="-16"/>
    <w:rsid w:val="009A4FEF"/>
    <w:rPr>
      <w:rFonts w:ascii="Arial" w:hAnsi="Arial" w:cs="Arial"/>
      <w:b/>
      <w:bCs/>
    </w:rPr>
  </w:style>
  <w:style w:type="paragraph" w:customStyle="1" w:styleId="-ff0">
    <w:name w:val="דוח-מלל ביאור כותרת משנה"/>
    <w:basedOn w:val="-fe"/>
    <w:rsid w:val="009A4FEF"/>
  </w:style>
  <w:style w:type="character" w:customStyle="1" w:styleId="810">
    <w:name w:val="תו81"/>
    <w:rsid w:val="009A4FEF"/>
    <w:rPr>
      <w:rFonts w:cs="David"/>
      <w:color w:val="000000"/>
      <w:sz w:val="24"/>
      <w:szCs w:val="24"/>
      <w:lang w:eastAsia="he-IL"/>
    </w:rPr>
  </w:style>
  <w:style w:type="character" w:customStyle="1" w:styleId="121">
    <w:name w:val="תו121"/>
    <w:rsid w:val="009A4FEF"/>
    <w:rPr>
      <w:rFonts w:cs="David"/>
      <w:szCs w:val="24"/>
    </w:rPr>
  </w:style>
  <w:style w:type="character" w:customStyle="1" w:styleId="141">
    <w:name w:val="תו141"/>
    <w:rsid w:val="009A4FEF"/>
    <w:rPr>
      <w:rFonts w:ascii="Times New Roman" w:hAnsi="Times New Roman" w:cs="David"/>
      <w:color w:val="000000"/>
      <w:sz w:val="24"/>
      <w:szCs w:val="24"/>
      <w:lang w:eastAsia="he-IL"/>
    </w:rPr>
  </w:style>
  <w:style w:type="paragraph" w:styleId="aff">
    <w:name w:val="Quote"/>
    <w:basedOn w:val="NormalE"/>
    <w:link w:val="aff0"/>
    <w:qFormat/>
    <w:rsid w:val="009A4FEF"/>
    <w:pPr>
      <w:spacing w:line="240" w:lineRule="auto"/>
      <w:ind w:left="709" w:right="709"/>
    </w:pPr>
    <w:rPr>
      <w:rFonts w:cs="Arial"/>
      <w:color w:val="auto"/>
      <w:sz w:val="20"/>
      <w:szCs w:val="20"/>
      <w:lang w:eastAsia="en-US"/>
    </w:rPr>
  </w:style>
  <w:style w:type="character" w:customStyle="1" w:styleId="aff0">
    <w:name w:val="ציטוט תו"/>
    <w:link w:val="aff"/>
    <w:rsid w:val="009A4FEF"/>
    <w:rPr>
      <w:rFonts w:ascii="Arial" w:hAnsi="Arial" w:cs="Arial"/>
    </w:rPr>
  </w:style>
  <w:style w:type="paragraph" w:customStyle="1" w:styleId="Quote2">
    <w:name w:val="Quote2"/>
    <w:basedOn w:val="NormalE"/>
    <w:rsid w:val="009A4FEF"/>
    <w:pPr>
      <w:spacing w:line="240" w:lineRule="auto"/>
      <w:ind w:left="1418" w:right="1418"/>
    </w:pPr>
    <w:rPr>
      <w:rFonts w:cs="Arial"/>
      <w:color w:val="auto"/>
      <w:sz w:val="20"/>
      <w:szCs w:val="20"/>
      <w:lang w:eastAsia="en-US"/>
    </w:rPr>
  </w:style>
  <w:style w:type="paragraph" w:styleId="TOC1">
    <w:name w:val="toc 1"/>
    <w:basedOn w:val="a3"/>
    <w:next w:val="a3"/>
    <w:autoRedefine/>
    <w:uiPriority w:val="39"/>
    <w:rsid w:val="008249D2"/>
    <w:pPr>
      <w:tabs>
        <w:tab w:val="left" w:pos="993"/>
        <w:tab w:val="left" w:pos="1276"/>
        <w:tab w:val="right" w:leader="dot" w:pos="10197"/>
      </w:tabs>
      <w:spacing w:before="120" w:after="120"/>
      <w:jc w:val="left"/>
    </w:pPr>
    <w:rPr>
      <w:rFonts w:asciiTheme="minorBidi" w:hAnsiTheme="minorBidi" w:cstheme="minorBidi"/>
      <w:b/>
      <w:bCs/>
      <w:caps/>
      <w:noProof/>
      <w:sz w:val="22"/>
      <w:szCs w:val="22"/>
    </w:rPr>
  </w:style>
  <w:style w:type="paragraph" w:customStyle="1" w:styleId="a2">
    <w:name w:val="אסמכתא"/>
    <w:basedOn w:val="a3"/>
    <w:rsid w:val="009A4FEF"/>
    <w:pPr>
      <w:numPr>
        <w:numId w:val="4"/>
      </w:numPr>
    </w:pPr>
  </w:style>
  <w:style w:type="paragraph" w:customStyle="1" w:styleId="19">
    <w:name w:val="היסט_כפול1"/>
    <w:basedOn w:val="a3"/>
    <w:rsid w:val="009A4FEF"/>
    <w:pPr>
      <w:tabs>
        <w:tab w:val="left" w:pos="1361"/>
      </w:tabs>
      <w:ind w:left="2126" w:hanging="2126"/>
    </w:pPr>
  </w:style>
  <w:style w:type="paragraph" w:customStyle="1" w:styleId="21">
    <w:name w:val="היסט_כפול2"/>
    <w:basedOn w:val="a3"/>
    <w:rsid w:val="009A4FEF"/>
    <w:pPr>
      <w:numPr>
        <w:numId w:val="7"/>
      </w:numPr>
      <w:tabs>
        <w:tab w:val="clear" w:pos="567"/>
        <w:tab w:val="left" w:pos="1361"/>
      </w:tabs>
      <w:ind w:left="2127" w:right="0" w:hanging="1418"/>
    </w:pPr>
  </w:style>
  <w:style w:type="paragraph" w:customStyle="1" w:styleId="11">
    <w:name w:val="היסט1"/>
    <w:basedOn w:val="a3"/>
    <w:rsid w:val="009A4FEF"/>
    <w:pPr>
      <w:numPr>
        <w:ilvl w:val="1"/>
        <w:numId w:val="7"/>
      </w:numPr>
      <w:tabs>
        <w:tab w:val="clear" w:pos="1134"/>
        <w:tab w:val="num" w:pos="567"/>
      </w:tabs>
      <w:spacing w:before="240"/>
      <w:ind w:left="567" w:right="567" w:hanging="283"/>
    </w:pPr>
  </w:style>
  <w:style w:type="paragraph" w:customStyle="1" w:styleId="22">
    <w:name w:val="היסט2"/>
    <w:basedOn w:val="a3"/>
    <w:rsid w:val="009A4FEF"/>
    <w:pPr>
      <w:numPr>
        <w:ilvl w:val="2"/>
        <w:numId w:val="7"/>
      </w:numPr>
      <w:tabs>
        <w:tab w:val="clear" w:pos="1701"/>
        <w:tab w:val="num" w:pos="1134"/>
      </w:tabs>
      <w:spacing w:before="240"/>
      <w:ind w:left="1134" w:right="1134"/>
    </w:pPr>
  </w:style>
  <w:style w:type="paragraph" w:customStyle="1" w:styleId="31">
    <w:name w:val="היסט3"/>
    <w:basedOn w:val="a3"/>
    <w:rsid w:val="009A4FEF"/>
    <w:pPr>
      <w:numPr>
        <w:ilvl w:val="3"/>
        <w:numId w:val="7"/>
      </w:numPr>
      <w:tabs>
        <w:tab w:val="clear" w:pos="2268"/>
        <w:tab w:val="num" w:pos="1701"/>
      </w:tabs>
      <w:spacing w:before="240"/>
      <w:ind w:left="1701" w:right="1701"/>
    </w:pPr>
  </w:style>
  <w:style w:type="paragraph" w:customStyle="1" w:styleId="41">
    <w:name w:val="היסט4"/>
    <w:basedOn w:val="a3"/>
    <w:rsid w:val="009A4FEF"/>
    <w:pPr>
      <w:numPr>
        <w:numId w:val="8"/>
      </w:numPr>
      <w:tabs>
        <w:tab w:val="clear" w:pos="567"/>
        <w:tab w:val="num" w:pos="2268"/>
      </w:tabs>
      <w:spacing w:before="240"/>
      <w:ind w:left="2268" w:right="2268" w:hanging="567"/>
    </w:pPr>
  </w:style>
  <w:style w:type="paragraph" w:customStyle="1" w:styleId="10">
    <w:name w:val="זיו1"/>
    <w:basedOn w:val="a3"/>
    <w:rsid w:val="009A4FEF"/>
    <w:pPr>
      <w:numPr>
        <w:ilvl w:val="1"/>
        <w:numId w:val="8"/>
      </w:numPr>
      <w:tabs>
        <w:tab w:val="clear" w:pos="1134"/>
        <w:tab w:val="num" w:pos="567"/>
      </w:tabs>
      <w:spacing w:before="240"/>
      <w:ind w:left="567" w:right="567" w:hanging="283"/>
    </w:pPr>
  </w:style>
  <w:style w:type="paragraph" w:customStyle="1" w:styleId="20">
    <w:name w:val="זיו2"/>
    <w:basedOn w:val="a3"/>
    <w:rsid w:val="009A4FEF"/>
    <w:pPr>
      <w:numPr>
        <w:ilvl w:val="2"/>
        <w:numId w:val="8"/>
      </w:numPr>
      <w:tabs>
        <w:tab w:val="clear" w:pos="1701"/>
        <w:tab w:val="num" w:pos="1134"/>
      </w:tabs>
      <w:spacing w:before="240"/>
      <w:ind w:left="1134" w:right="1134"/>
    </w:pPr>
  </w:style>
  <w:style w:type="paragraph" w:customStyle="1" w:styleId="30">
    <w:name w:val="זיו3"/>
    <w:basedOn w:val="a3"/>
    <w:rsid w:val="009A4FEF"/>
    <w:pPr>
      <w:numPr>
        <w:ilvl w:val="3"/>
        <w:numId w:val="8"/>
      </w:numPr>
      <w:tabs>
        <w:tab w:val="clear" w:pos="2268"/>
        <w:tab w:val="num" w:pos="1701"/>
      </w:tabs>
      <w:spacing w:before="240"/>
      <w:ind w:left="1701" w:right="1701"/>
    </w:pPr>
  </w:style>
  <w:style w:type="paragraph" w:customStyle="1" w:styleId="40">
    <w:name w:val="זיו4"/>
    <w:basedOn w:val="a3"/>
    <w:rsid w:val="009A4FEF"/>
    <w:pPr>
      <w:numPr>
        <w:ilvl w:val="3"/>
        <w:numId w:val="5"/>
      </w:numPr>
      <w:spacing w:before="240"/>
    </w:pPr>
  </w:style>
  <w:style w:type="paragraph" w:customStyle="1" w:styleId="28">
    <w:name w:val="כניסה2"/>
    <w:basedOn w:val="a3"/>
    <w:rsid w:val="009A4FEF"/>
    <w:pPr>
      <w:keepLines/>
      <w:overflowPunct w:val="0"/>
      <w:autoSpaceDE w:val="0"/>
      <w:autoSpaceDN w:val="0"/>
      <w:adjustRightInd w:val="0"/>
      <w:ind w:left="454"/>
      <w:textAlignment w:val="baseline"/>
    </w:pPr>
  </w:style>
  <w:style w:type="paragraph" w:customStyle="1" w:styleId="34">
    <w:name w:val="כניסה3"/>
    <w:basedOn w:val="28"/>
    <w:rsid w:val="009A4FEF"/>
    <w:pPr>
      <w:ind w:left="680"/>
    </w:pPr>
  </w:style>
  <w:style w:type="paragraph" w:customStyle="1" w:styleId="a0">
    <w:name w:val="מחוץ_לשוליים"/>
    <w:basedOn w:val="a3"/>
    <w:rsid w:val="009A4FEF"/>
    <w:pPr>
      <w:framePr w:w="1071" w:h="284" w:hSpace="181" w:wrap="around" w:vAnchor="text" w:hAnchor="page" w:x="10377" w:y="29" w:anchorLock="1"/>
      <w:numPr>
        <w:numId w:val="9"/>
      </w:numPr>
      <w:ind w:left="0" w:right="0" w:firstLine="0"/>
    </w:pPr>
  </w:style>
  <w:style w:type="paragraph" w:customStyle="1" w:styleId="a1">
    <w:name w:val="נספח"/>
    <w:basedOn w:val="a3"/>
    <w:rsid w:val="009A4FEF"/>
    <w:pPr>
      <w:numPr>
        <w:numId w:val="6"/>
      </w:numPr>
    </w:pPr>
  </w:style>
  <w:style w:type="paragraph" w:customStyle="1" w:styleId="1a">
    <w:name w:val="עבריא1"/>
    <w:basedOn w:val="a3"/>
    <w:rsid w:val="009A4FEF"/>
    <w:pPr>
      <w:spacing w:before="240"/>
    </w:pPr>
  </w:style>
  <w:style w:type="paragraph" w:customStyle="1" w:styleId="29">
    <w:name w:val="עבריא2"/>
    <w:basedOn w:val="a3"/>
    <w:rsid w:val="009A4FEF"/>
    <w:pPr>
      <w:spacing w:before="240"/>
    </w:pPr>
  </w:style>
  <w:style w:type="paragraph" w:customStyle="1" w:styleId="35">
    <w:name w:val="עבריא3"/>
    <w:basedOn w:val="a3"/>
    <w:rsid w:val="009A4FEF"/>
    <w:pPr>
      <w:spacing w:before="240"/>
    </w:pPr>
  </w:style>
  <w:style w:type="paragraph" w:customStyle="1" w:styleId="44">
    <w:name w:val="עבריא4"/>
    <w:basedOn w:val="a3"/>
    <w:rsid w:val="009A4FEF"/>
    <w:pPr>
      <w:spacing w:before="240"/>
    </w:pPr>
  </w:style>
  <w:style w:type="paragraph" w:customStyle="1" w:styleId="1b">
    <w:name w:val="פירמה1"/>
    <w:basedOn w:val="a3"/>
    <w:rsid w:val="009A4FEF"/>
    <w:pPr>
      <w:jc w:val="center"/>
    </w:pPr>
    <w:rPr>
      <w:rFonts w:cs="HadassahMF"/>
      <w:szCs w:val="22"/>
    </w:rPr>
  </w:style>
  <w:style w:type="paragraph" w:customStyle="1" w:styleId="2a">
    <w:name w:val="פירמה2"/>
    <w:basedOn w:val="a3"/>
    <w:rsid w:val="009A4FEF"/>
    <w:pPr>
      <w:bidi w:val="0"/>
      <w:jc w:val="center"/>
    </w:pPr>
    <w:rPr>
      <w:rFonts w:ascii="MrsEavesRoman" w:hAnsi="MrsEavesRoman"/>
      <w:sz w:val="22"/>
    </w:rPr>
  </w:style>
  <w:style w:type="paragraph" w:customStyle="1" w:styleId="aff1">
    <w:name w:val="פירמהא"/>
    <w:basedOn w:val="a3"/>
    <w:rsid w:val="009A4FEF"/>
    <w:pPr>
      <w:bidi w:val="0"/>
      <w:jc w:val="left"/>
    </w:pPr>
    <w:rPr>
      <w:rFonts w:ascii="MrsEavesRoman" w:hAnsi="MrsEavesRoman" w:cs="HadassahMF"/>
      <w:sz w:val="18"/>
    </w:rPr>
  </w:style>
  <w:style w:type="paragraph" w:customStyle="1" w:styleId="aff2">
    <w:name w:val="פירמהט"/>
    <w:basedOn w:val="a3"/>
    <w:rsid w:val="009A4FEF"/>
    <w:pPr>
      <w:jc w:val="center"/>
    </w:pPr>
    <w:rPr>
      <w:rFonts w:ascii="MrsEavesRoman" w:hAnsi="MrsEavesRoman" w:cs="HadassahMF"/>
      <w:sz w:val="22"/>
      <w:szCs w:val="22"/>
    </w:rPr>
  </w:style>
  <w:style w:type="paragraph" w:customStyle="1" w:styleId="aff3">
    <w:name w:val="פירמהע"/>
    <w:basedOn w:val="a3"/>
    <w:rsid w:val="009A4FEF"/>
    <w:rPr>
      <w:rFonts w:ascii="MrsEavesRoman" w:hAnsi="MrsEavesRoman" w:cs="HadassahMF"/>
      <w:szCs w:val="18"/>
    </w:rPr>
  </w:style>
  <w:style w:type="paragraph" w:customStyle="1" w:styleId="1c">
    <w:name w:val="ציטוט1"/>
    <w:basedOn w:val="a3"/>
    <w:rsid w:val="009A4FEF"/>
    <w:pPr>
      <w:ind w:left="709" w:right="709"/>
    </w:pPr>
  </w:style>
  <w:style w:type="paragraph" w:customStyle="1" w:styleId="2b">
    <w:name w:val="ציטוט2"/>
    <w:basedOn w:val="a3"/>
    <w:rsid w:val="009A4FEF"/>
    <w:pPr>
      <w:ind w:left="1418" w:right="1418"/>
    </w:pPr>
  </w:style>
  <w:style w:type="paragraph" w:customStyle="1" w:styleId="1d">
    <w:name w:val="רמה1"/>
    <w:basedOn w:val="a3"/>
    <w:rsid w:val="009A4FEF"/>
    <w:pPr>
      <w:ind w:left="709"/>
    </w:pPr>
  </w:style>
  <w:style w:type="paragraph" w:customStyle="1" w:styleId="2c">
    <w:name w:val="רמה2"/>
    <w:basedOn w:val="a3"/>
    <w:rsid w:val="009A4FEF"/>
    <w:pPr>
      <w:keepLines/>
      <w:ind w:left="2126"/>
    </w:pPr>
  </w:style>
  <w:style w:type="paragraph" w:customStyle="1" w:styleId="36">
    <w:name w:val="רמה3"/>
    <w:basedOn w:val="a3"/>
    <w:rsid w:val="009A4FEF"/>
    <w:pPr>
      <w:ind w:left="3544"/>
    </w:pPr>
  </w:style>
  <w:style w:type="paragraph" w:customStyle="1" w:styleId="37">
    <w:name w:val="רמה3ה"/>
    <w:basedOn w:val="a3"/>
    <w:rsid w:val="009A4FEF"/>
    <w:pPr>
      <w:ind w:left="2126"/>
    </w:pPr>
  </w:style>
  <w:style w:type="paragraph" w:customStyle="1" w:styleId="45">
    <w:name w:val="רמה4"/>
    <w:basedOn w:val="a3"/>
    <w:rsid w:val="009A4FEF"/>
    <w:pPr>
      <w:ind w:left="4961"/>
    </w:pPr>
  </w:style>
  <w:style w:type="paragraph" w:customStyle="1" w:styleId="46">
    <w:name w:val="רמה4ה"/>
    <w:basedOn w:val="a3"/>
    <w:rsid w:val="009A4FEF"/>
    <w:pPr>
      <w:ind w:left="2835"/>
    </w:pPr>
  </w:style>
  <w:style w:type="paragraph" w:customStyle="1" w:styleId="aff4">
    <w:name w:val="תחתונה"/>
    <w:basedOn w:val="af2"/>
    <w:rsid w:val="009A4FEF"/>
    <w:pPr>
      <w:jc w:val="left"/>
    </w:pPr>
    <w:rPr>
      <w:sz w:val="16"/>
    </w:rPr>
  </w:style>
  <w:style w:type="character" w:customStyle="1" w:styleId="aff5">
    <w:name w:val="תפריט"/>
    <w:rsid w:val="009A4FEF"/>
    <w:rPr>
      <w:rFonts w:ascii="Monotype Corsiva" w:hAnsi="Monotype Corsiva" w:cs="Guttman Yad"/>
      <w:b/>
      <w:i/>
      <w:dstrike w:val="0"/>
      <w:sz w:val="28"/>
      <w:szCs w:val="24"/>
      <w:vertAlign w:val="baseline"/>
    </w:rPr>
  </w:style>
  <w:style w:type="paragraph" w:styleId="TOC2">
    <w:name w:val="toc 2"/>
    <w:basedOn w:val="a3"/>
    <w:next w:val="a3"/>
    <w:autoRedefine/>
    <w:uiPriority w:val="39"/>
    <w:rsid w:val="0020171E"/>
    <w:pPr>
      <w:tabs>
        <w:tab w:val="left" w:pos="851"/>
        <w:tab w:val="right" w:leader="dot" w:pos="10197"/>
      </w:tabs>
      <w:spacing w:before="100"/>
      <w:ind w:left="426" w:hanging="425"/>
      <w:jc w:val="left"/>
    </w:pPr>
    <w:rPr>
      <w:rFonts w:asciiTheme="minorHAnsi" w:hAnsiTheme="minorHAnsi" w:cs="Times New Roman"/>
      <w:smallCaps/>
    </w:rPr>
  </w:style>
  <w:style w:type="paragraph" w:styleId="TOC3">
    <w:name w:val="toc 3"/>
    <w:basedOn w:val="a3"/>
    <w:next w:val="a3"/>
    <w:autoRedefine/>
    <w:semiHidden/>
    <w:rsid w:val="007337B3"/>
    <w:pPr>
      <w:ind w:left="400"/>
      <w:jc w:val="left"/>
    </w:pPr>
    <w:rPr>
      <w:rFonts w:asciiTheme="minorHAnsi" w:hAnsiTheme="minorHAnsi" w:cs="Times New Roman"/>
      <w:i/>
      <w:iCs/>
    </w:rPr>
  </w:style>
  <w:style w:type="paragraph" w:customStyle="1" w:styleId="indent1">
    <w:name w:val="indent1"/>
    <w:basedOn w:val="NormalE"/>
    <w:rsid w:val="007337B3"/>
    <w:pPr>
      <w:overflowPunct w:val="0"/>
      <w:autoSpaceDE w:val="0"/>
      <w:autoSpaceDN w:val="0"/>
      <w:adjustRightInd w:val="0"/>
      <w:ind w:left="709" w:right="709" w:hanging="709"/>
      <w:jc w:val="left"/>
      <w:textAlignment w:val="baseline"/>
    </w:pPr>
    <w:rPr>
      <w:rFonts w:ascii="Times New Roman" w:hAnsi="Times New Roman"/>
      <w:color w:val="auto"/>
      <w:sz w:val="20"/>
      <w:lang w:eastAsia="en-US"/>
    </w:rPr>
  </w:style>
  <w:style w:type="paragraph" w:customStyle="1" w:styleId="indent2">
    <w:name w:val="indent2"/>
    <w:basedOn w:val="NormalE"/>
    <w:rsid w:val="007337B3"/>
    <w:pPr>
      <w:overflowPunct w:val="0"/>
      <w:autoSpaceDE w:val="0"/>
      <w:autoSpaceDN w:val="0"/>
      <w:adjustRightInd w:val="0"/>
      <w:ind w:left="1418" w:right="1418" w:hanging="709"/>
      <w:jc w:val="left"/>
      <w:textAlignment w:val="baseline"/>
    </w:pPr>
    <w:rPr>
      <w:rFonts w:ascii="Times New Roman" w:hAnsi="Times New Roman"/>
      <w:color w:val="auto"/>
      <w:sz w:val="20"/>
      <w:lang w:eastAsia="en-US"/>
    </w:rPr>
  </w:style>
  <w:style w:type="paragraph" w:customStyle="1" w:styleId="indent3">
    <w:name w:val="indent3"/>
    <w:basedOn w:val="NormalE"/>
    <w:rsid w:val="007337B3"/>
    <w:pPr>
      <w:overflowPunct w:val="0"/>
      <w:autoSpaceDE w:val="0"/>
      <w:autoSpaceDN w:val="0"/>
      <w:adjustRightInd w:val="0"/>
      <w:ind w:left="2836" w:right="2836" w:hanging="1418"/>
      <w:jc w:val="left"/>
      <w:textAlignment w:val="baseline"/>
    </w:pPr>
    <w:rPr>
      <w:rFonts w:ascii="Times New Roman" w:hAnsi="Times New Roman"/>
      <w:color w:val="auto"/>
      <w:sz w:val="20"/>
      <w:lang w:eastAsia="en-US"/>
    </w:rPr>
  </w:style>
  <w:style w:type="paragraph" w:customStyle="1" w:styleId="indent4">
    <w:name w:val="indent4"/>
    <w:basedOn w:val="NormalE"/>
    <w:rsid w:val="007337B3"/>
    <w:pPr>
      <w:overflowPunct w:val="0"/>
      <w:autoSpaceDE w:val="0"/>
      <w:autoSpaceDN w:val="0"/>
      <w:adjustRightInd w:val="0"/>
      <w:ind w:left="4253" w:right="4253" w:hanging="1418"/>
      <w:jc w:val="left"/>
      <w:textAlignment w:val="baseline"/>
    </w:pPr>
    <w:rPr>
      <w:rFonts w:ascii="Times New Roman" w:hAnsi="Times New Roman"/>
      <w:color w:val="auto"/>
      <w:sz w:val="20"/>
      <w:lang w:eastAsia="en-US"/>
    </w:rPr>
  </w:style>
  <w:style w:type="paragraph" w:customStyle="1" w:styleId="indent">
    <w:name w:val="indent"/>
    <w:basedOn w:val="NormalE"/>
    <w:rsid w:val="007337B3"/>
    <w:pPr>
      <w:overflowPunct w:val="0"/>
      <w:autoSpaceDE w:val="0"/>
      <w:autoSpaceDN w:val="0"/>
      <w:adjustRightInd w:val="0"/>
      <w:ind w:left="709" w:right="709"/>
      <w:jc w:val="left"/>
      <w:textAlignment w:val="baseline"/>
    </w:pPr>
    <w:rPr>
      <w:rFonts w:ascii="Times New Roman" w:hAnsi="Times New Roman"/>
      <w:color w:val="auto"/>
      <w:sz w:val="20"/>
      <w:lang w:eastAsia="en-US"/>
    </w:rPr>
  </w:style>
  <w:style w:type="paragraph" w:customStyle="1" w:styleId="IndentDouble">
    <w:name w:val="Indent_Double"/>
    <w:basedOn w:val="NormalE"/>
    <w:rsid w:val="007337B3"/>
    <w:pPr>
      <w:tabs>
        <w:tab w:val="left" w:pos="709"/>
      </w:tabs>
      <w:overflowPunct w:val="0"/>
      <w:autoSpaceDE w:val="0"/>
      <w:autoSpaceDN w:val="0"/>
      <w:adjustRightInd w:val="0"/>
      <w:ind w:left="1418" w:right="1418" w:hanging="1418"/>
      <w:jc w:val="left"/>
      <w:textAlignment w:val="baseline"/>
    </w:pPr>
    <w:rPr>
      <w:rFonts w:ascii="Times New Roman" w:hAnsi="Times New Roman"/>
      <w:color w:val="auto"/>
      <w:sz w:val="20"/>
      <w:lang w:eastAsia="en-US"/>
    </w:rPr>
  </w:style>
  <w:style w:type="paragraph" w:customStyle="1" w:styleId="IndentDouble1">
    <w:name w:val="Indent_Double1"/>
    <w:basedOn w:val="NormalE"/>
    <w:rsid w:val="007337B3"/>
    <w:pPr>
      <w:tabs>
        <w:tab w:val="left" w:pos="1418"/>
      </w:tabs>
      <w:overflowPunct w:val="0"/>
      <w:autoSpaceDE w:val="0"/>
      <w:autoSpaceDN w:val="0"/>
      <w:adjustRightInd w:val="0"/>
      <w:ind w:left="2126" w:right="2126" w:hanging="2126"/>
      <w:jc w:val="left"/>
      <w:textAlignment w:val="baseline"/>
    </w:pPr>
    <w:rPr>
      <w:rFonts w:ascii="Times New Roman" w:hAnsi="Times New Roman"/>
      <w:color w:val="auto"/>
      <w:sz w:val="20"/>
      <w:lang w:eastAsia="en-US"/>
    </w:rPr>
  </w:style>
  <w:style w:type="paragraph" w:customStyle="1" w:styleId="IndentDouble2">
    <w:name w:val="Indent_Double2"/>
    <w:basedOn w:val="NormalE"/>
    <w:rsid w:val="007337B3"/>
    <w:pPr>
      <w:tabs>
        <w:tab w:val="left" w:pos="1418"/>
      </w:tabs>
      <w:overflowPunct w:val="0"/>
      <w:autoSpaceDE w:val="0"/>
      <w:autoSpaceDN w:val="0"/>
      <w:adjustRightInd w:val="0"/>
      <w:ind w:left="2127" w:right="2127" w:hanging="1418"/>
      <w:jc w:val="left"/>
      <w:textAlignment w:val="baseline"/>
    </w:pPr>
    <w:rPr>
      <w:rFonts w:ascii="Times New Roman" w:hAnsi="Times New Roman"/>
      <w:color w:val="auto"/>
      <w:sz w:val="20"/>
      <w:lang w:eastAsia="en-US"/>
    </w:rPr>
  </w:style>
  <w:style w:type="paragraph" w:customStyle="1" w:styleId="1e">
    <w:name w:val="הצעת מחיר1"/>
    <w:basedOn w:val="NormalE"/>
    <w:rsid w:val="007337B3"/>
    <w:pPr>
      <w:overflowPunct w:val="0"/>
      <w:autoSpaceDE w:val="0"/>
      <w:autoSpaceDN w:val="0"/>
      <w:adjustRightInd w:val="0"/>
      <w:spacing w:line="240" w:lineRule="auto"/>
      <w:ind w:left="709" w:right="709"/>
      <w:jc w:val="left"/>
      <w:textAlignment w:val="baseline"/>
    </w:pPr>
    <w:rPr>
      <w:rFonts w:ascii="Times New Roman" w:hAnsi="Times New Roman"/>
      <w:color w:val="auto"/>
      <w:sz w:val="20"/>
      <w:lang w:eastAsia="en-US"/>
    </w:rPr>
  </w:style>
  <w:style w:type="paragraph" w:styleId="aff6">
    <w:name w:val="Body Text Indent"/>
    <w:basedOn w:val="a3"/>
    <w:link w:val="aff7"/>
    <w:rsid w:val="007337B3"/>
    <w:pPr>
      <w:spacing w:line="360" w:lineRule="auto"/>
      <w:ind w:left="450"/>
    </w:pPr>
    <w:rPr>
      <w:rFonts w:ascii="Times New Roman" w:hAnsi="Times New Roman" w:cs="David"/>
      <w:color w:val="000000"/>
      <w:szCs w:val="24"/>
      <w:lang w:eastAsia="he-IL"/>
    </w:rPr>
  </w:style>
  <w:style w:type="character" w:customStyle="1" w:styleId="aff7">
    <w:name w:val="כניסה בגוף טקסט תו"/>
    <w:link w:val="aff6"/>
    <w:rsid w:val="007337B3"/>
    <w:rPr>
      <w:rFonts w:cs="David"/>
      <w:color w:val="000000"/>
      <w:szCs w:val="24"/>
      <w:lang w:eastAsia="he-IL"/>
    </w:rPr>
  </w:style>
  <w:style w:type="paragraph" w:styleId="38">
    <w:name w:val="Body Text Indent 3"/>
    <w:basedOn w:val="a3"/>
    <w:link w:val="39"/>
    <w:rsid w:val="007337B3"/>
    <w:pPr>
      <w:spacing w:line="360" w:lineRule="auto"/>
      <w:ind w:left="360"/>
    </w:pPr>
    <w:rPr>
      <w:rFonts w:ascii="Times New Roman" w:hAnsi="Times New Roman" w:cs="David"/>
      <w:b/>
      <w:bCs/>
      <w:color w:val="000000"/>
      <w:sz w:val="24"/>
      <w:szCs w:val="24"/>
      <w:lang w:eastAsia="he-IL"/>
    </w:rPr>
  </w:style>
  <w:style w:type="character" w:customStyle="1" w:styleId="39">
    <w:name w:val="כניסה בגוף טקסט 3 תו"/>
    <w:link w:val="38"/>
    <w:rsid w:val="007337B3"/>
    <w:rPr>
      <w:rFonts w:cs="David"/>
      <w:b/>
      <w:bCs/>
      <w:color w:val="000000"/>
      <w:sz w:val="24"/>
      <w:szCs w:val="24"/>
      <w:lang w:eastAsia="he-IL"/>
    </w:rPr>
  </w:style>
  <w:style w:type="paragraph" w:styleId="3a">
    <w:name w:val="Body Text 3"/>
    <w:basedOn w:val="a3"/>
    <w:link w:val="3b"/>
    <w:rsid w:val="007337B3"/>
    <w:pPr>
      <w:keepLines/>
      <w:overflowPunct w:val="0"/>
      <w:autoSpaceDE w:val="0"/>
      <w:autoSpaceDN w:val="0"/>
      <w:adjustRightInd w:val="0"/>
      <w:spacing w:line="360" w:lineRule="auto"/>
      <w:textAlignment w:val="baseline"/>
    </w:pPr>
    <w:rPr>
      <w:rFonts w:ascii="Times New Roman" w:hAnsi="Times New Roman" w:cs="David"/>
      <w:szCs w:val="24"/>
    </w:rPr>
  </w:style>
  <w:style w:type="character" w:customStyle="1" w:styleId="3b">
    <w:name w:val="גוף טקסט 3 תו"/>
    <w:link w:val="3a"/>
    <w:rsid w:val="007337B3"/>
    <w:rPr>
      <w:rFonts w:cs="David"/>
      <w:szCs w:val="24"/>
    </w:rPr>
  </w:style>
  <w:style w:type="paragraph" w:styleId="2d">
    <w:name w:val="Body Text Indent 2"/>
    <w:basedOn w:val="a3"/>
    <w:link w:val="2e"/>
    <w:rsid w:val="007337B3"/>
    <w:pPr>
      <w:keepLines/>
      <w:tabs>
        <w:tab w:val="right" w:pos="0"/>
        <w:tab w:val="right" w:pos="283"/>
      </w:tabs>
      <w:overflowPunct w:val="0"/>
      <w:autoSpaceDE w:val="0"/>
      <w:autoSpaceDN w:val="0"/>
      <w:adjustRightInd w:val="0"/>
      <w:spacing w:line="360" w:lineRule="auto"/>
      <w:ind w:left="720"/>
      <w:textAlignment w:val="baseline"/>
    </w:pPr>
    <w:rPr>
      <w:rFonts w:ascii="Times New Roman" w:hAnsi="Times New Roman" w:cs="David"/>
      <w:szCs w:val="24"/>
    </w:rPr>
  </w:style>
  <w:style w:type="character" w:customStyle="1" w:styleId="2e">
    <w:name w:val="כניסה בגוף טקסט 2 תו"/>
    <w:link w:val="2d"/>
    <w:rsid w:val="007337B3"/>
    <w:rPr>
      <w:rFonts w:cs="David"/>
      <w:szCs w:val="24"/>
    </w:rPr>
  </w:style>
  <w:style w:type="character" w:styleId="aff8">
    <w:name w:val="Strong"/>
    <w:qFormat/>
    <w:rsid w:val="007337B3"/>
    <w:rPr>
      <w:b/>
      <w:bCs/>
    </w:rPr>
  </w:style>
  <w:style w:type="paragraph" w:customStyle="1" w:styleId="e1">
    <w:name w:val="e1"/>
    <w:basedOn w:val="a3"/>
    <w:rsid w:val="007337B3"/>
    <w:pPr>
      <w:overflowPunct w:val="0"/>
      <w:autoSpaceDE w:val="0"/>
      <w:autoSpaceDN w:val="0"/>
      <w:bidi w:val="0"/>
      <w:adjustRightInd w:val="0"/>
      <w:ind w:left="454"/>
      <w:jc w:val="left"/>
      <w:textAlignment w:val="baseline"/>
    </w:pPr>
    <w:rPr>
      <w:rFonts w:ascii="Times New Roman" w:hAnsi="Times New Roman" w:cs="David"/>
      <w:sz w:val="22"/>
      <w:szCs w:val="22"/>
    </w:rPr>
  </w:style>
  <w:style w:type="paragraph" w:customStyle="1" w:styleId="e10">
    <w:name w:val="e1."/>
    <w:basedOn w:val="a3"/>
    <w:rsid w:val="007337B3"/>
    <w:pPr>
      <w:overflowPunct w:val="0"/>
      <w:autoSpaceDE w:val="0"/>
      <w:autoSpaceDN w:val="0"/>
      <w:bidi w:val="0"/>
      <w:adjustRightInd w:val="0"/>
      <w:ind w:left="454"/>
      <w:jc w:val="left"/>
      <w:textAlignment w:val="baseline"/>
    </w:pPr>
    <w:rPr>
      <w:rFonts w:ascii="Times New Roman" w:hAnsi="Times New Roman" w:cs="David"/>
      <w:sz w:val="22"/>
      <w:szCs w:val="22"/>
    </w:rPr>
  </w:style>
  <w:style w:type="paragraph" w:customStyle="1" w:styleId="e11">
    <w:name w:val="e1.1."/>
    <w:basedOn w:val="a3"/>
    <w:rsid w:val="007337B3"/>
    <w:pPr>
      <w:overflowPunct w:val="0"/>
      <w:autoSpaceDE w:val="0"/>
      <w:autoSpaceDN w:val="0"/>
      <w:bidi w:val="0"/>
      <w:adjustRightInd w:val="0"/>
      <w:ind w:left="1077"/>
      <w:jc w:val="left"/>
      <w:textAlignment w:val="baseline"/>
    </w:pPr>
    <w:rPr>
      <w:rFonts w:ascii="Times New Roman" w:hAnsi="Times New Roman" w:cs="David"/>
      <w:sz w:val="22"/>
      <w:szCs w:val="22"/>
    </w:rPr>
  </w:style>
  <w:style w:type="paragraph" w:customStyle="1" w:styleId="e111">
    <w:name w:val="e1.1.1."/>
    <w:basedOn w:val="a3"/>
    <w:rsid w:val="007337B3"/>
    <w:pPr>
      <w:overflowPunct w:val="0"/>
      <w:autoSpaceDE w:val="0"/>
      <w:autoSpaceDN w:val="0"/>
      <w:bidi w:val="0"/>
      <w:adjustRightInd w:val="0"/>
      <w:ind w:left="1814"/>
      <w:jc w:val="left"/>
      <w:textAlignment w:val="baseline"/>
    </w:pPr>
    <w:rPr>
      <w:rFonts w:ascii="Times New Roman" w:hAnsi="Times New Roman" w:cs="David"/>
      <w:sz w:val="22"/>
      <w:szCs w:val="22"/>
    </w:rPr>
  </w:style>
  <w:style w:type="paragraph" w:customStyle="1" w:styleId="e1111">
    <w:name w:val="e1.1.1.1."/>
    <w:basedOn w:val="a3"/>
    <w:rsid w:val="007337B3"/>
    <w:pPr>
      <w:overflowPunct w:val="0"/>
      <w:autoSpaceDE w:val="0"/>
      <w:autoSpaceDN w:val="0"/>
      <w:bidi w:val="0"/>
      <w:adjustRightInd w:val="0"/>
      <w:ind w:left="2722"/>
      <w:jc w:val="left"/>
      <w:textAlignment w:val="baseline"/>
    </w:pPr>
    <w:rPr>
      <w:rFonts w:ascii="Times New Roman" w:hAnsi="Times New Roman" w:cs="David"/>
      <w:sz w:val="22"/>
      <w:szCs w:val="22"/>
    </w:rPr>
  </w:style>
  <w:style w:type="paragraph" w:customStyle="1" w:styleId="e2">
    <w:name w:val="e2"/>
    <w:basedOn w:val="a3"/>
    <w:rsid w:val="007337B3"/>
    <w:pPr>
      <w:overflowPunct w:val="0"/>
      <w:autoSpaceDE w:val="0"/>
      <w:autoSpaceDN w:val="0"/>
      <w:bidi w:val="0"/>
      <w:adjustRightInd w:val="0"/>
      <w:ind w:left="907"/>
      <w:jc w:val="left"/>
      <w:textAlignment w:val="baseline"/>
    </w:pPr>
    <w:rPr>
      <w:rFonts w:ascii="Times New Roman" w:hAnsi="Times New Roman" w:cs="David"/>
      <w:sz w:val="22"/>
      <w:szCs w:val="22"/>
    </w:rPr>
  </w:style>
  <w:style w:type="paragraph" w:customStyle="1" w:styleId="e3">
    <w:name w:val="e3"/>
    <w:basedOn w:val="a3"/>
    <w:rsid w:val="007337B3"/>
    <w:pPr>
      <w:overflowPunct w:val="0"/>
      <w:autoSpaceDE w:val="0"/>
      <w:autoSpaceDN w:val="0"/>
      <w:bidi w:val="0"/>
      <w:adjustRightInd w:val="0"/>
      <w:ind w:left="1361"/>
      <w:jc w:val="left"/>
      <w:textAlignment w:val="baseline"/>
    </w:pPr>
    <w:rPr>
      <w:rFonts w:ascii="Times New Roman" w:hAnsi="Times New Roman" w:cs="David"/>
      <w:sz w:val="22"/>
      <w:szCs w:val="22"/>
    </w:rPr>
  </w:style>
  <w:style w:type="paragraph" w:customStyle="1" w:styleId="e4">
    <w:name w:val="e4"/>
    <w:basedOn w:val="a3"/>
    <w:rsid w:val="007337B3"/>
    <w:pPr>
      <w:overflowPunct w:val="0"/>
      <w:autoSpaceDE w:val="0"/>
      <w:autoSpaceDN w:val="0"/>
      <w:bidi w:val="0"/>
      <w:adjustRightInd w:val="0"/>
      <w:ind w:left="1814"/>
      <w:jc w:val="left"/>
      <w:textAlignment w:val="baseline"/>
    </w:pPr>
    <w:rPr>
      <w:rFonts w:ascii="Times New Roman" w:hAnsi="Times New Roman" w:cs="David"/>
      <w:sz w:val="22"/>
      <w:szCs w:val="22"/>
    </w:rPr>
  </w:style>
  <w:style w:type="paragraph" w:customStyle="1" w:styleId="Nlevel1">
    <w:name w:val="N_level1."/>
    <w:basedOn w:val="a3"/>
    <w:rsid w:val="007337B3"/>
    <w:pPr>
      <w:overflowPunct w:val="0"/>
      <w:autoSpaceDE w:val="0"/>
      <w:autoSpaceDN w:val="0"/>
      <w:bidi w:val="0"/>
      <w:adjustRightInd w:val="0"/>
      <w:ind w:left="454" w:hanging="454"/>
      <w:jc w:val="left"/>
      <w:textAlignment w:val="baseline"/>
    </w:pPr>
    <w:rPr>
      <w:rFonts w:ascii="Times New Roman" w:hAnsi="Times New Roman" w:cs="David"/>
      <w:sz w:val="22"/>
      <w:szCs w:val="22"/>
    </w:rPr>
  </w:style>
  <w:style w:type="paragraph" w:customStyle="1" w:styleId="Nlevel11">
    <w:name w:val="N_level1.1."/>
    <w:basedOn w:val="a3"/>
    <w:rsid w:val="007337B3"/>
    <w:pPr>
      <w:overflowPunct w:val="0"/>
      <w:autoSpaceDE w:val="0"/>
      <w:autoSpaceDN w:val="0"/>
      <w:bidi w:val="0"/>
      <w:adjustRightInd w:val="0"/>
      <w:ind w:left="1078" w:hanging="624"/>
      <w:jc w:val="left"/>
      <w:textAlignment w:val="baseline"/>
    </w:pPr>
    <w:rPr>
      <w:rFonts w:ascii="Times New Roman" w:hAnsi="Times New Roman" w:cs="David"/>
      <w:sz w:val="22"/>
      <w:szCs w:val="22"/>
    </w:rPr>
  </w:style>
  <w:style w:type="paragraph" w:customStyle="1" w:styleId="Nlevel111">
    <w:name w:val="N_level1.1.1."/>
    <w:basedOn w:val="a3"/>
    <w:rsid w:val="007337B3"/>
    <w:pPr>
      <w:overflowPunct w:val="0"/>
      <w:autoSpaceDE w:val="0"/>
      <w:autoSpaceDN w:val="0"/>
      <w:bidi w:val="0"/>
      <w:adjustRightInd w:val="0"/>
      <w:ind w:left="1814" w:hanging="737"/>
      <w:jc w:val="left"/>
      <w:textAlignment w:val="baseline"/>
    </w:pPr>
    <w:rPr>
      <w:rFonts w:ascii="Times New Roman" w:hAnsi="Times New Roman" w:cs="David"/>
      <w:sz w:val="22"/>
      <w:szCs w:val="22"/>
    </w:rPr>
  </w:style>
  <w:style w:type="paragraph" w:customStyle="1" w:styleId="Nlevel1111">
    <w:name w:val="N_level1.1.1.1."/>
    <w:basedOn w:val="a3"/>
    <w:rsid w:val="007337B3"/>
    <w:pPr>
      <w:overflowPunct w:val="0"/>
      <w:autoSpaceDE w:val="0"/>
      <w:autoSpaceDN w:val="0"/>
      <w:bidi w:val="0"/>
      <w:adjustRightInd w:val="0"/>
      <w:ind w:left="2721" w:hanging="907"/>
      <w:jc w:val="left"/>
      <w:textAlignment w:val="baseline"/>
    </w:pPr>
    <w:rPr>
      <w:rFonts w:ascii="Times New Roman" w:hAnsi="Times New Roman" w:cs="David"/>
      <w:sz w:val="22"/>
      <w:szCs w:val="22"/>
    </w:rPr>
  </w:style>
  <w:style w:type="paragraph" w:customStyle="1" w:styleId="num1">
    <w:name w:val="num_(1)"/>
    <w:basedOn w:val="a3"/>
    <w:rsid w:val="007337B3"/>
    <w:pPr>
      <w:overflowPunct w:val="0"/>
      <w:autoSpaceDE w:val="0"/>
      <w:autoSpaceDN w:val="0"/>
      <w:bidi w:val="0"/>
      <w:adjustRightInd w:val="0"/>
      <w:ind w:left="1361" w:hanging="454"/>
      <w:jc w:val="left"/>
      <w:textAlignment w:val="baseline"/>
    </w:pPr>
    <w:rPr>
      <w:rFonts w:ascii="Times New Roman" w:hAnsi="Times New Roman" w:cs="David"/>
      <w:sz w:val="22"/>
      <w:szCs w:val="22"/>
    </w:rPr>
  </w:style>
  <w:style w:type="paragraph" w:customStyle="1" w:styleId="numa">
    <w:name w:val="num_(a)"/>
    <w:basedOn w:val="a3"/>
    <w:rsid w:val="007337B3"/>
    <w:pPr>
      <w:overflowPunct w:val="0"/>
      <w:autoSpaceDE w:val="0"/>
      <w:autoSpaceDN w:val="0"/>
      <w:bidi w:val="0"/>
      <w:adjustRightInd w:val="0"/>
      <w:ind w:left="1815" w:hanging="454"/>
      <w:jc w:val="left"/>
      <w:textAlignment w:val="baseline"/>
    </w:pPr>
    <w:rPr>
      <w:rFonts w:ascii="Times New Roman" w:hAnsi="Times New Roman" w:cs="David"/>
      <w:sz w:val="22"/>
      <w:szCs w:val="22"/>
    </w:rPr>
  </w:style>
  <w:style w:type="paragraph" w:customStyle="1" w:styleId="num10">
    <w:name w:val="num_1."/>
    <w:basedOn w:val="a3"/>
    <w:rsid w:val="007337B3"/>
    <w:pPr>
      <w:overflowPunct w:val="0"/>
      <w:autoSpaceDE w:val="0"/>
      <w:autoSpaceDN w:val="0"/>
      <w:bidi w:val="0"/>
      <w:adjustRightInd w:val="0"/>
      <w:ind w:left="454" w:hanging="454"/>
      <w:jc w:val="left"/>
      <w:textAlignment w:val="baseline"/>
    </w:pPr>
    <w:rPr>
      <w:rFonts w:ascii="Times New Roman" w:hAnsi="Times New Roman" w:cs="David"/>
      <w:sz w:val="22"/>
      <w:szCs w:val="22"/>
    </w:rPr>
  </w:style>
  <w:style w:type="paragraph" w:customStyle="1" w:styleId="numA0">
    <w:name w:val="num_A"/>
    <w:basedOn w:val="a3"/>
    <w:rsid w:val="007337B3"/>
    <w:pPr>
      <w:overflowPunct w:val="0"/>
      <w:autoSpaceDE w:val="0"/>
      <w:autoSpaceDN w:val="0"/>
      <w:bidi w:val="0"/>
      <w:adjustRightInd w:val="0"/>
      <w:ind w:left="908" w:hanging="454"/>
      <w:jc w:val="left"/>
      <w:textAlignment w:val="baseline"/>
    </w:pPr>
    <w:rPr>
      <w:rFonts w:ascii="Times New Roman" w:hAnsi="Times New Roman" w:cs="David"/>
      <w:sz w:val="22"/>
      <w:szCs w:val="22"/>
    </w:rPr>
  </w:style>
  <w:style w:type="paragraph" w:customStyle="1" w:styleId="1f">
    <w:name w:val="כ1"/>
    <w:basedOn w:val="a3"/>
    <w:rsid w:val="007337B3"/>
    <w:pPr>
      <w:overflowPunct w:val="0"/>
      <w:autoSpaceDE w:val="0"/>
      <w:autoSpaceDN w:val="0"/>
      <w:adjustRightInd w:val="0"/>
      <w:ind w:left="454"/>
      <w:jc w:val="left"/>
      <w:textAlignment w:val="baseline"/>
    </w:pPr>
    <w:rPr>
      <w:rFonts w:ascii="Times New Roman" w:hAnsi="Times New Roman" w:cs="David"/>
      <w:sz w:val="22"/>
      <w:szCs w:val="24"/>
    </w:rPr>
  </w:style>
  <w:style w:type="paragraph" w:customStyle="1" w:styleId="2f">
    <w:name w:val="כ2"/>
    <w:basedOn w:val="a3"/>
    <w:rsid w:val="007337B3"/>
    <w:pPr>
      <w:overflowPunct w:val="0"/>
      <w:autoSpaceDE w:val="0"/>
      <w:autoSpaceDN w:val="0"/>
      <w:adjustRightInd w:val="0"/>
      <w:ind w:left="907"/>
      <w:jc w:val="left"/>
      <w:textAlignment w:val="baseline"/>
    </w:pPr>
    <w:rPr>
      <w:rFonts w:ascii="Times New Roman" w:hAnsi="Times New Roman" w:cs="David"/>
      <w:sz w:val="22"/>
      <w:szCs w:val="24"/>
    </w:rPr>
  </w:style>
  <w:style w:type="paragraph" w:customStyle="1" w:styleId="3c">
    <w:name w:val="כ3"/>
    <w:basedOn w:val="a3"/>
    <w:rsid w:val="007337B3"/>
    <w:pPr>
      <w:overflowPunct w:val="0"/>
      <w:autoSpaceDE w:val="0"/>
      <w:autoSpaceDN w:val="0"/>
      <w:adjustRightInd w:val="0"/>
      <w:ind w:left="1361"/>
      <w:jc w:val="left"/>
      <w:textAlignment w:val="baseline"/>
    </w:pPr>
    <w:rPr>
      <w:rFonts w:ascii="Times New Roman" w:hAnsi="Times New Roman" w:cs="David"/>
      <w:sz w:val="22"/>
      <w:szCs w:val="24"/>
    </w:rPr>
  </w:style>
  <w:style w:type="paragraph" w:customStyle="1" w:styleId="47">
    <w:name w:val="כ4"/>
    <w:basedOn w:val="a3"/>
    <w:rsid w:val="007337B3"/>
    <w:pPr>
      <w:overflowPunct w:val="0"/>
      <w:autoSpaceDE w:val="0"/>
      <w:autoSpaceDN w:val="0"/>
      <w:adjustRightInd w:val="0"/>
      <w:ind w:left="1814"/>
      <w:jc w:val="left"/>
      <w:textAlignment w:val="baseline"/>
    </w:pPr>
    <w:rPr>
      <w:rFonts w:ascii="Times New Roman" w:hAnsi="Times New Roman" w:cs="David"/>
      <w:sz w:val="22"/>
      <w:szCs w:val="24"/>
    </w:rPr>
  </w:style>
  <w:style w:type="paragraph" w:customStyle="1" w:styleId="111">
    <w:name w:val="כניסה1.1"/>
    <w:basedOn w:val="a3"/>
    <w:rsid w:val="007337B3"/>
    <w:pPr>
      <w:overflowPunct w:val="0"/>
      <w:autoSpaceDE w:val="0"/>
      <w:autoSpaceDN w:val="0"/>
      <w:adjustRightInd w:val="0"/>
      <w:ind w:left="1077"/>
      <w:jc w:val="left"/>
      <w:textAlignment w:val="baseline"/>
    </w:pPr>
    <w:rPr>
      <w:rFonts w:ascii="Times New Roman" w:hAnsi="Times New Roman" w:cs="David"/>
      <w:sz w:val="22"/>
      <w:szCs w:val="24"/>
    </w:rPr>
  </w:style>
  <w:style w:type="paragraph" w:customStyle="1" w:styleId="1110">
    <w:name w:val="כניסה1.1.1"/>
    <w:basedOn w:val="a3"/>
    <w:rsid w:val="007337B3"/>
    <w:pPr>
      <w:overflowPunct w:val="0"/>
      <w:autoSpaceDE w:val="0"/>
      <w:autoSpaceDN w:val="0"/>
      <w:adjustRightInd w:val="0"/>
      <w:ind w:left="1814"/>
      <w:jc w:val="left"/>
      <w:textAlignment w:val="baseline"/>
    </w:pPr>
    <w:rPr>
      <w:rFonts w:ascii="Times New Roman" w:hAnsi="Times New Roman" w:cs="David"/>
      <w:sz w:val="22"/>
      <w:szCs w:val="24"/>
    </w:rPr>
  </w:style>
  <w:style w:type="paragraph" w:customStyle="1" w:styleId="1111">
    <w:name w:val="כניסה1.1.1.1"/>
    <w:basedOn w:val="a3"/>
    <w:rsid w:val="007337B3"/>
    <w:pPr>
      <w:overflowPunct w:val="0"/>
      <w:autoSpaceDE w:val="0"/>
      <w:autoSpaceDN w:val="0"/>
      <w:adjustRightInd w:val="0"/>
      <w:ind w:left="2722"/>
      <w:jc w:val="left"/>
      <w:textAlignment w:val="baseline"/>
    </w:pPr>
    <w:rPr>
      <w:rFonts w:ascii="Times New Roman" w:hAnsi="Times New Roman" w:cs="David"/>
      <w:sz w:val="22"/>
      <w:szCs w:val="24"/>
    </w:rPr>
  </w:style>
  <w:style w:type="paragraph" w:customStyle="1" w:styleId="1f0">
    <w:name w:val="סיעוף_רמה_1"/>
    <w:basedOn w:val="a3"/>
    <w:rsid w:val="007337B3"/>
    <w:pPr>
      <w:overflowPunct w:val="0"/>
      <w:autoSpaceDE w:val="0"/>
      <w:autoSpaceDN w:val="0"/>
      <w:adjustRightInd w:val="0"/>
      <w:ind w:left="454" w:hanging="454"/>
      <w:jc w:val="left"/>
      <w:textAlignment w:val="baseline"/>
    </w:pPr>
    <w:rPr>
      <w:rFonts w:ascii="Times New Roman" w:hAnsi="Times New Roman" w:cs="David"/>
      <w:sz w:val="22"/>
      <w:szCs w:val="24"/>
    </w:rPr>
  </w:style>
  <w:style w:type="paragraph" w:customStyle="1" w:styleId="2f0">
    <w:name w:val="סיעוף_רמה_2"/>
    <w:basedOn w:val="a3"/>
    <w:rsid w:val="007337B3"/>
    <w:pPr>
      <w:overflowPunct w:val="0"/>
      <w:autoSpaceDE w:val="0"/>
      <w:autoSpaceDN w:val="0"/>
      <w:adjustRightInd w:val="0"/>
      <w:ind w:left="908" w:hanging="454"/>
      <w:jc w:val="left"/>
      <w:textAlignment w:val="baseline"/>
    </w:pPr>
    <w:rPr>
      <w:rFonts w:ascii="Times New Roman" w:hAnsi="Times New Roman" w:cs="David"/>
      <w:sz w:val="22"/>
      <w:szCs w:val="24"/>
    </w:rPr>
  </w:style>
  <w:style w:type="paragraph" w:customStyle="1" w:styleId="3d">
    <w:name w:val="סיעוף_רמה_3"/>
    <w:basedOn w:val="a3"/>
    <w:rsid w:val="007337B3"/>
    <w:pPr>
      <w:overflowPunct w:val="0"/>
      <w:autoSpaceDE w:val="0"/>
      <w:autoSpaceDN w:val="0"/>
      <w:adjustRightInd w:val="0"/>
      <w:ind w:left="1361" w:hanging="454"/>
      <w:jc w:val="left"/>
      <w:textAlignment w:val="baseline"/>
    </w:pPr>
    <w:rPr>
      <w:rFonts w:ascii="Times New Roman" w:hAnsi="Times New Roman" w:cs="David"/>
      <w:sz w:val="22"/>
      <w:szCs w:val="24"/>
    </w:rPr>
  </w:style>
  <w:style w:type="paragraph" w:customStyle="1" w:styleId="48">
    <w:name w:val="סיעוף_רמה_4"/>
    <w:basedOn w:val="a3"/>
    <w:rsid w:val="007337B3"/>
    <w:pPr>
      <w:overflowPunct w:val="0"/>
      <w:autoSpaceDE w:val="0"/>
      <w:autoSpaceDN w:val="0"/>
      <w:adjustRightInd w:val="0"/>
      <w:ind w:left="1815" w:hanging="454"/>
      <w:jc w:val="left"/>
      <w:textAlignment w:val="baseline"/>
    </w:pPr>
    <w:rPr>
      <w:rFonts w:ascii="Times New Roman" w:hAnsi="Times New Roman" w:cs="David"/>
      <w:sz w:val="22"/>
      <w:szCs w:val="24"/>
    </w:rPr>
  </w:style>
  <w:style w:type="paragraph" w:customStyle="1" w:styleId="1f1">
    <w:name w:val="סיעוף1"/>
    <w:basedOn w:val="a3"/>
    <w:rsid w:val="007337B3"/>
    <w:pPr>
      <w:overflowPunct w:val="0"/>
      <w:autoSpaceDE w:val="0"/>
      <w:autoSpaceDN w:val="0"/>
      <w:adjustRightInd w:val="0"/>
      <w:ind w:left="454" w:hanging="454"/>
      <w:jc w:val="left"/>
      <w:textAlignment w:val="baseline"/>
    </w:pPr>
    <w:rPr>
      <w:rFonts w:ascii="Times New Roman" w:hAnsi="Times New Roman" w:cs="David"/>
      <w:sz w:val="22"/>
      <w:szCs w:val="24"/>
    </w:rPr>
  </w:style>
  <w:style w:type="paragraph" w:customStyle="1" w:styleId="112">
    <w:name w:val="סיעוף1.1"/>
    <w:basedOn w:val="a3"/>
    <w:rsid w:val="007337B3"/>
    <w:pPr>
      <w:overflowPunct w:val="0"/>
      <w:autoSpaceDE w:val="0"/>
      <w:autoSpaceDN w:val="0"/>
      <w:adjustRightInd w:val="0"/>
      <w:ind w:left="1078" w:hanging="624"/>
      <w:jc w:val="left"/>
      <w:textAlignment w:val="baseline"/>
    </w:pPr>
    <w:rPr>
      <w:rFonts w:ascii="Times New Roman" w:hAnsi="Times New Roman" w:cs="David"/>
      <w:sz w:val="22"/>
      <w:szCs w:val="24"/>
    </w:rPr>
  </w:style>
  <w:style w:type="paragraph" w:customStyle="1" w:styleId="1112">
    <w:name w:val="סיעוף1.1.1"/>
    <w:basedOn w:val="a3"/>
    <w:rsid w:val="007337B3"/>
    <w:pPr>
      <w:overflowPunct w:val="0"/>
      <w:autoSpaceDE w:val="0"/>
      <w:autoSpaceDN w:val="0"/>
      <w:adjustRightInd w:val="0"/>
      <w:ind w:left="1814" w:hanging="737"/>
      <w:jc w:val="left"/>
      <w:textAlignment w:val="baseline"/>
    </w:pPr>
    <w:rPr>
      <w:rFonts w:ascii="Times New Roman" w:hAnsi="Times New Roman" w:cs="David"/>
      <w:sz w:val="22"/>
      <w:szCs w:val="24"/>
    </w:rPr>
  </w:style>
  <w:style w:type="paragraph" w:customStyle="1" w:styleId="11110">
    <w:name w:val="סיעוף1.1.1.1"/>
    <w:basedOn w:val="a3"/>
    <w:rsid w:val="007337B3"/>
    <w:pPr>
      <w:overflowPunct w:val="0"/>
      <w:autoSpaceDE w:val="0"/>
      <w:autoSpaceDN w:val="0"/>
      <w:adjustRightInd w:val="0"/>
      <w:ind w:left="2721" w:hanging="907"/>
      <w:jc w:val="left"/>
      <w:textAlignment w:val="baseline"/>
    </w:pPr>
    <w:rPr>
      <w:rFonts w:ascii="Times New Roman" w:hAnsi="Times New Roman" w:cs="David"/>
      <w:sz w:val="22"/>
      <w:szCs w:val="24"/>
    </w:rPr>
  </w:style>
  <w:style w:type="paragraph" w:styleId="aff9">
    <w:name w:val="caption"/>
    <w:basedOn w:val="a3"/>
    <w:next w:val="a3"/>
    <w:qFormat/>
    <w:rsid w:val="007337B3"/>
    <w:pPr>
      <w:bidi w:val="0"/>
      <w:jc w:val="right"/>
    </w:pPr>
    <w:rPr>
      <w:b/>
      <w:bCs/>
      <w:sz w:val="22"/>
      <w:szCs w:val="22"/>
      <w:u w:val="single"/>
      <w:lang w:eastAsia="he-IL"/>
    </w:rPr>
  </w:style>
  <w:style w:type="character" w:customStyle="1" w:styleId="mudgash1">
    <w:name w:val="mudgash1"/>
    <w:rsid w:val="007337B3"/>
    <w:rPr>
      <w:rFonts w:ascii="Arial" w:hAnsi="Arial" w:cs="Arial" w:hint="default"/>
      <w:b/>
      <w:bCs/>
      <w:strike w:val="0"/>
      <w:dstrike w:val="0"/>
      <w:color w:val="1C154D"/>
      <w:sz w:val="18"/>
      <w:szCs w:val="18"/>
      <w:u w:val="none"/>
      <w:effect w:val="none"/>
    </w:rPr>
  </w:style>
  <w:style w:type="character" w:styleId="Hyperlink">
    <w:name w:val="Hyperlink"/>
    <w:uiPriority w:val="99"/>
    <w:rsid w:val="007337B3"/>
    <w:rPr>
      <w:color w:val="0000FF"/>
      <w:u w:val="single"/>
    </w:rPr>
  </w:style>
  <w:style w:type="paragraph" w:customStyle="1" w:styleId="affa">
    <w:name w:val="באור"/>
    <w:basedOn w:val="a3"/>
    <w:rsid w:val="007337B3"/>
    <w:pPr>
      <w:widowControl w:val="0"/>
      <w:overflowPunct w:val="0"/>
      <w:autoSpaceDE w:val="0"/>
      <w:autoSpaceDN w:val="0"/>
      <w:adjustRightInd w:val="0"/>
      <w:jc w:val="left"/>
      <w:textAlignment w:val="baseline"/>
    </w:pPr>
    <w:rPr>
      <w:rFonts w:ascii="Times New Roman" w:hAnsi="Times New Roman" w:cs="David"/>
      <w:b/>
      <w:bCs/>
      <w:sz w:val="26"/>
      <w:szCs w:val="26"/>
    </w:rPr>
  </w:style>
  <w:style w:type="paragraph" w:styleId="affb">
    <w:name w:val="Block Text"/>
    <w:basedOn w:val="a3"/>
    <w:rsid w:val="007337B3"/>
    <w:pPr>
      <w:tabs>
        <w:tab w:val="left" w:pos="6469"/>
        <w:tab w:val="left" w:pos="7543"/>
      </w:tabs>
      <w:ind w:left="515" w:hanging="515"/>
    </w:pPr>
    <w:rPr>
      <w:rFonts w:ascii="Times New Roman" w:hAnsi="Times New Roman" w:cs="David"/>
      <w:noProof/>
      <w:szCs w:val="26"/>
    </w:rPr>
  </w:style>
  <w:style w:type="paragraph" w:customStyle="1" w:styleId="3e">
    <w:name w:val="כותרת3"/>
    <w:basedOn w:val="a3"/>
    <w:next w:val="a3"/>
    <w:rsid w:val="007337B3"/>
    <w:pPr>
      <w:keepNext/>
      <w:spacing w:before="240" w:after="60" w:line="360" w:lineRule="auto"/>
    </w:pPr>
    <w:rPr>
      <w:rFonts w:ascii="Times New Roman" w:hAnsi="Times New Roman" w:cs="Levenim MT"/>
      <w:b/>
      <w:bCs/>
      <w:iCs/>
      <w:sz w:val="24"/>
      <w:szCs w:val="28"/>
      <w:u w:val="dotted"/>
    </w:rPr>
  </w:style>
  <w:style w:type="paragraph" w:customStyle="1" w:styleId="1f2">
    <w:name w:val="רשימה_1"/>
    <w:basedOn w:val="a3"/>
    <w:rsid w:val="007337B3"/>
    <w:pPr>
      <w:spacing w:line="360" w:lineRule="auto"/>
      <w:ind w:left="567" w:hanging="567"/>
    </w:pPr>
    <w:rPr>
      <w:rFonts w:ascii="Times New Roman" w:hAnsi="Times New Roman" w:cs="David"/>
      <w:szCs w:val="24"/>
    </w:rPr>
  </w:style>
  <w:style w:type="paragraph" w:customStyle="1" w:styleId="affc">
    <w:name w:val="מיספור עיברי"/>
    <w:basedOn w:val="a3"/>
    <w:rsid w:val="007337B3"/>
    <w:pPr>
      <w:tabs>
        <w:tab w:val="num" w:pos="851"/>
      </w:tabs>
      <w:spacing w:after="240"/>
      <w:ind w:left="851" w:right="851" w:hanging="851"/>
    </w:pPr>
    <w:rPr>
      <w:rFonts w:ascii="Times New Roman" w:hAnsi="Times New Roman" w:cs="David"/>
      <w:color w:val="0000FF"/>
      <w:spacing w:val="6"/>
      <w:sz w:val="24"/>
      <w:szCs w:val="24"/>
      <w:lang w:eastAsia="he-IL"/>
    </w:rPr>
  </w:style>
  <w:style w:type="paragraph" w:customStyle="1" w:styleId="2f1">
    <w:name w:val="מיספור ע2"/>
    <w:basedOn w:val="affc"/>
    <w:rsid w:val="007337B3"/>
    <w:pPr>
      <w:tabs>
        <w:tab w:val="clear" w:pos="851"/>
        <w:tab w:val="num" w:pos="1701"/>
      </w:tabs>
      <w:ind w:left="1701" w:right="0" w:hanging="850"/>
    </w:pPr>
  </w:style>
  <w:style w:type="paragraph" w:customStyle="1" w:styleId="3f">
    <w:name w:val="מיספור ע3"/>
    <w:basedOn w:val="affc"/>
    <w:rsid w:val="007337B3"/>
    <w:pPr>
      <w:tabs>
        <w:tab w:val="clear" w:pos="851"/>
        <w:tab w:val="num" w:pos="2835"/>
      </w:tabs>
      <w:ind w:left="2835" w:right="0" w:hanging="1134"/>
    </w:pPr>
  </w:style>
  <w:style w:type="paragraph" w:customStyle="1" w:styleId="49">
    <w:name w:val="מיספור ע4"/>
    <w:basedOn w:val="affc"/>
    <w:rsid w:val="007337B3"/>
    <w:pPr>
      <w:tabs>
        <w:tab w:val="clear" w:pos="851"/>
        <w:tab w:val="num" w:pos="4253"/>
      </w:tabs>
      <w:ind w:left="4253" w:right="0" w:hanging="1418"/>
    </w:pPr>
  </w:style>
  <w:style w:type="paragraph" w:customStyle="1" w:styleId="51">
    <w:name w:val="מיספור ע5"/>
    <w:basedOn w:val="affc"/>
    <w:rsid w:val="007337B3"/>
    <w:pPr>
      <w:tabs>
        <w:tab w:val="clear" w:pos="851"/>
        <w:tab w:val="num" w:pos="5954"/>
      </w:tabs>
      <w:ind w:left="5954" w:right="0" w:hanging="1701"/>
    </w:pPr>
  </w:style>
  <w:style w:type="paragraph" w:customStyle="1" w:styleId="affd">
    <w:name w:val="רשימה_א"/>
    <w:basedOn w:val="a3"/>
    <w:rsid w:val="007337B3"/>
    <w:pPr>
      <w:tabs>
        <w:tab w:val="num" w:pos="567"/>
      </w:tabs>
      <w:spacing w:line="360" w:lineRule="auto"/>
      <w:ind w:left="567" w:hanging="567"/>
    </w:pPr>
    <w:rPr>
      <w:rFonts w:ascii="Times New Roman" w:hAnsi="Times New Roman" w:cs="David"/>
      <w:szCs w:val="24"/>
    </w:rPr>
  </w:style>
  <w:style w:type="paragraph" w:customStyle="1" w:styleId="affe">
    <w:name w:val="ברירת המחדל לכיתוב"/>
    <w:rsid w:val="007337B3"/>
    <w:rPr>
      <w:rFonts w:cs="Miriam"/>
    </w:rPr>
  </w:style>
  <w:style w:type="paragraph" w:styleId="afff">
    <w:name w:val="List"/>
    <w:basedOn w:val="a3"/>
    <w:rsid w:val="007337B3"/>
    <w:pPr>
      <w:bidi w:val="0"/>
      <w:ind w:left="283" w:hanging="283"/>
      <w:jc w:val="left"/>
    </w:pPr>
    <w:rPr>
      <w:rFonts w:ascii="Times New Roman" w:hAnsi="Times New Roman" w:cs="Times New Roman"/>
      <w:sz w:val="24"/>
      <w:szCs w:val="24"/>
    </w:rPr>
  </w:style>
  <w:style w:type="paragraph" w:customStyle="1" w:styleId="h-2">
    <w:name w:val="h-2"/>
    <w:basedOn w:val="h-1"/>
    <w:link w:val="h-21"/>
    <w:rsid w:val="007337B3"/>
    <w:pPr>
      <w:ind w:left="1134"/>
    </w:pPr>
    <w:rPr>
      <w:rFonts w:ascii="Verdana" w:hAnsi="Verdana"/>
    </w:rPr>
  </w:style>
  <w:style w:type="paragraph" w:customStyle="1" w:styleId="h-1">
    <w:name w:val="h-1"/>
    <w:basedOn w:val="afff0"/>
    <w:rsid w:val="007337B3"/>
    <w:pPr>
      <w:tabs>
        <w:tab w:val="clear" w:pos="2268"/>
        <w:tab w:val="clear" w:pos="2552"/>
        <w:tab w:val="clear" w:pos="6804"/>
      </w:tabs>
      <w:spacing w:after="200"/>
      <w:ind w:left="567"/>
    </w:pPr>
    <w:rPr>
      <w:spacing w:val="10"/>
      <w:sz w:val="22"/>
    </w:rPr>
  </w:style>
  <w:style w:type="paragraph" w:customStyle="1" w:styleId="afff0">
    <w:name w:val="טקסט"/>
    <w:rsid w:val="007337B3"/>
    <w:pPr>
      <w:tabs>
        <w:tab w:val="left" w:pos="2268"/>
        <w:tab w:val="left" w:pos="2552"/>
        <w:tab w:val="left" w:pos="6804"/>
      </w:tabs>
      <w:bidi/>
      <w:spacing w:line="360" w:lineRule="auto"/>
      <w:jc w:val="both"/>
    </w:pPr>
    <w:rPr>
      <w:rFonts w:cs="David"/>
      <w:sz w:val="24"/>
      <w:szCs w:val="24"/>
    </w:rPr>
  </w:style>
  <w:style w:type="character" w:customStyle="1" w:styleId="h-21">
    <w:name w:val="h-2 תו1"/>
    <w:link w:val="h-2"/>
    <w:rsid w:val="007337B3"/>
    <w:rPr>
      <w:rFonts w:ascii="Verdana" w:hAnsi="Verdana" w:cs="David"/>
      <w:spacing w:val="10"/>
      <w:sz w:val="22"/>
      <w:szCs w:val="24"/>
    </w:rPr>
  </w:style>
  <w:style w:type="character" w:styleId="afff1">
    <w:name w:val="line number"/>
    <w:basedOn w:val="a4"/>
    <w:rsid w:val="007337B3"/>
  </w:style>
  <w:style w:type="character" w:customStyle="1" w:styleId="default">
    <w:name w:val="default"/>
    <w:rsid w:val="007337B3"/>
    <w:rPr>
      <w:rFonts w:ascii="Times New Roman" w:hAnsi="Times New Roman" w:cs="Times New Roman"/>
      <w:sz w:val="20"/>
      <w:szCs w:val="26"/>
    </w:rPr>
  </w:style>
  <w:style w:type="paragraph" w:customStyle="1" w:styleId="P00">
    <w:name w:val="P00"/>
    <w:rsid w:val="007337B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styleId="afff2">
    <w:name w:val="endnote reference"/>
    <w:uiPriority w:val="99"/>
    <w:rsid w:val="007337B3"/>
    <w:rPr>
      <w:vertAlign w:val="superscript"/>
    </w:rPr>
  </w:style>
  <w:style w:type="paragraph" w:styleId="afff3">
    <w:name w:val="Revision"/>
    <w:hidden/>
    <w:uiPriority w:val="99"/>
    <w:semiHidden/>
    <w:rsid w:val="007337B3"/>
    <w:rPr>
      <w:rFonts w:cs="David"/>
      <w:szCs w:val="24"/>
    </w:rPr>
  </w:style>
  <w:style w:type="character" w:customStyle="1" w:styleId="big-number">
    <w:name w:val="big-number"/>
    <w:rsid w:val="007337B3"/>
    <w:rPr>
      <w:rFonts w:ascii="Times New Roman" w:hAnsi="Times New Roman" w:cs="Times New Roman"/>
      <w:sz w:val="20"/>
      <w:szCs w:val="32"/>
    </w:rPr>
  </w:style>
  <w:style w:type="paragraph" w:styleId="afff4">
    <w:name w:val="Document Map"/>
    <w:basedOn w:val="a3"/>
    <w:link w:val="afff5"/>
    <w:rsid w:val="007337B3"/>
    <w:pPr>
      <w:keepLines/>
      <w:overflowPunct w:val="0"/>
      <w:autoSpaceDE w:val="0"/>
      <w:autoSpaceDN w:val="0"/>
      <w:adjustRightInd w:val="0"/>
      <w:jc w:val="left"/>
      <w:textAlignment w:val="baseline"/>
    </w:pPr>
    <w:rPr>
      <w:rFonts w:ascii="Tahoma" w:hAnsi="Tahoma" w:cs="Tahoma"/>
      <w:sz w:val="16"/>
      <w:szCs w:val="16"/>
    </w:rPr>
  </w:style>
  <w:style w:type="character" w:customStyle="1" w:styleId="afff5">
    <w:name w:val="מפת מסמך תו"/>
    <w:link w:val="afff4"/>
    <w:rsid w:val="007337B3"/>
    <w:rPr>
      <w:rFonts w:ascii="Tahoma" w:hAnsi="Tahoma" w:cs="Tahoma"/>
      <w:sz w:val="16"/>
      <w:szCs w:val="16"/>
    </w:rPr>
  </w:style>
  <w:style w:type="paragraph" w:styleId="NormalWeb">
    <w:name w:val="Normal (Web)"/>
    <w:basedOn w:val="a3"/>
    <w:uiPriority w:val="99"/>
    <w:unhideWhenUsed/>
    <w:rsid w:val="007337B3"/>
    <w:pPr>
      <w:bidi w:val="0"/>
      <w:spacing w:before="100" w:beforeAutospacing="1" w:after="100" w:afterAutospacing="1"/>
      <w:jc w:val="left"/>
    </w:pPr>
    <w:rPr>
      <w:rFonts w:ascii="Times New Roman" w:hAnsi="Times New Roman" w:cs="Times New Roman"/>
      <w:sz w:val="24"/>
      <w:szCs w:val="24"/>
    </w:rPr>
  </w:style>
  <w:style w:type="paragraph" w:customStyle="1" w:styleId="medium-header">
    <w:name w:val="medium-header"/>
    <w:basedOn w:val="P00"/>
    <w:rsid w:val="007337B3"/>
    <w:pPr>
      <w:keepNext/>
      <w:keepLines/>
      <w:tabs>
        <w:tab w:val="clear" w:pos="6259"/>
      </w:tabs>
      <w:spacing w:before="72"/>
      <w:jc w:val="center"/>
    </w:pPr>
  </w:style>
  <w:style w:type="character" w:customStyle="1" w:styleId="st1">
    <w:name w:val="st1"/>
    <w:basedOn w:val="a4"/>
    <w:rsid w:val="00880020"/>
  </w:style>
  <w:style w:type="paragraph" w:customStyle="1" w:styleId="2f2">
    <w:name w:val="באור פ2"/>
    <w:basedOn w:val="a3"/>
    <w:link w:val="2Char"/>
    <w:qFormat/>
    <w:rsid w:val="002E34F3"/>
    <w:pPr>
      <w:spacing w:line="280" w:lineRule="atLeast"/>
      <w:ind w:left="601" w:right="-79"/>
    </w:pPr>
    <w:rPr>
      <w:rFonts w:ascii="Univers LT Pro 45 Light" w:hAnsi="Univers LT Pro 45 Light" w:cs="NarkisBlockMF Thin"/>
      <w:sz w:val="14"/>
      <w:szCs w:val="18"/>
    </w:rPr>
  </w:style>
  <w:style w:type="character" w:customStyle="1" w:styleId="2Char">
    <w:name w:val="באור פ2 Char"/>
    <w:link w:val="2f2"/>
    <w:rsid w:val="002E34F3"/>
    <w:rPr>
      <w:rFonts w:ascii="Univers LT Pro 45 Light" w:hAnsi="Univers LT Pro 45 Light" w:cs="NarkisBlockMF Thin"/>
      <w:sz w:val="14"/>
      <w:szCs w:val="18"/>
    </w:rPr>
  </w:style>
  <w:style w:type="paragraph" w:customStyle="1" w:styleId="113">
    <w:name w:val="ציטוט11"/>
    <w:basedOn w:val="a3"/>
    <w:rsid w:val="00080038"/>
    <w:pPr>
      <w:ind w:left="709" w:right="709"/>
    </w:pPr>
  </w:style>
  <w:style w:type="character" w:customStyle="1" w:styleId="Bodytext">
    <w:name w:val="Body text_"/>
    <w:link w:val="1f3"/>
    <w:rsid w:val="00080038"/>
    <w:rPr>
      <w:rFonts w:ascii="David" w:eastAsia="David" w:hAnsi="David" w:cs="David"/>
      <w:b/>
      <w:bCs/>
      <w:sz w:val="17"/>
      <w:szCs w:val="17"/>
      <w:shd w:val="clear" w:color="auto" w:fill="FFFFFF"/>
    </w:rPr>
  </w:style>
  <w:style w:type="paragraph" w:customStyle="1" w:styleId="1f3">
    <w:name w:val="גוף טקסט1"/>
    <w:basedOn w:val="a3"/>
    <w:link w:val="Bodytext"/>
    <w:rsid w:val="00080038"/>
    <w:pPr>
      <w:widowControl w:val="0"/>
      <w:shd w:val="clear" w:color="auto" w:fill="FFFFFF"/>
      <w:spacing w:line="360" w:lineRule="exact"/>
      <w:ind w:hanging="1540"/>
      <w:jc w:val="left"/>
    </w:pPr>
    <w:rPr>
      <w:rFonts w:ascii="David" w:eastAsia="David" w:hAnsi="David" w:cs="David"/>
      <w:b/>
      <w:bCs/>
      <w:sz w:val="17"/>
      <w:szCs w:val="17"/>
    </w:rPr>
  </w:style>
  <w:style w:type="character" w:customStyle="1" w:styleId="Heading12">
    <w:name w:val="Heading #1 (2)_"/>
    <w:link w:val="Heading120"/>
    <w:rsid w:val="00080038"/>
    <w:rPr>
      <w:rFonts w:ascii="David" w:eastAsia="David" w:hAnsi="David" w:cs="David"/>
      <w:b/>
      <w:bCs/>
      <w:sz w:val="26"/>
      <w:szCs w:val="26"/>
      <w:shd w:val="clear" w:color="auto" w:fill="FFFFFF"/>
    </w:rPr>
  </w:style>
  <w:style w:type="paragraph" w:customStyle="1" w:styleId="Heading120">
    <w:name w:val="Heading #1 (2)"/>
    <w:basedOn w:val="a3"/>
    <w:link w:val="Heading12"/>
    <w:rsid w:val="00080038"/>
    <w:pPr>
      <w:widowControl w:val="0"/>
      <w:shd w:val="clear" w:color="auto" w:fill="FFFFFF"/>
      <w:spacing w:line="0" w:lineRule="atLeast"/>
      <w:jc w:val="center"/>
      <w:outlineLvl w:val="0"/>
    </w:pPr>
    <w:rPr>
      <w:rFonts w:ascii="David" w:eastAsia="David" w:hAnsi="David" w:cs="David"/>
      <w:b/>
      <w:bCs/>
      <w:sz w:val="26"/>
      <w:szCs w:val="26"/>
    </w:rPr>
  </w:style>
  <w:style w:type="character" w:customStyle="1" w:styleId="BodytextSmallCaps">
    <w:name w:val="Body text + Small Caps"/>
    <w:rsid w:val="00080038"/>
    <w:rPr>
      <w:rFonts w:ascii="David" w:eastAsia="David" w:hAnsi="David" w:cs="David"/>
      <w:b/>
      <w:bCs/>
      <w:i w:val="0"/>
      <w:iCs w:val="0"/>
      <w:smallCaps/>
      <w:strike w:val="0"/>
      <w:color w:val="000000"/>
      <w:spacing w:val="0"/>
      <w:w w:val="100"/>
      <w:position w:val="0"/>
      <w:sz w:val="17"/>
      <w:szCs w:val="17"/>
      <w:u w:val="none"/>
      <w:shd w:val="clear" w:color="auto" w:fill="FFFFFF"/>
      <w:lang w:val="en-US" w:eastAsia="en-US" w:bidi="en-US"/>
    </w:rPr>
  </w:style>
  <w:style w:type="character" w:customStyle="1" w:styleId="1f4">
    <w:name w:val="טקסט הערת סיום תו1"/>
    <w:uiPriority w:val="99"/>
    <w:semiHidden/>
    <w:rsid w:val="003466A5"/>
    <w:rPr>
      <w:rFonts w:ascii="Arial" w:hAnsi="Arial" w:cs="Arial"/>
    </w:rPr>
  </w:style>
  <w:style w:type="paragraph" w:customStyle="1" w:styleId="Default0">
    <w:name w:val="Default"/>
    <w:rsid w:val="009A2E8F"/>
    <w:pPr>
      <w:autoSpaceDE w:val="0"/>
      <w:autoSpaceDN w:val="0"/>
      <w:adjustRightInd w:val="0"/>
    </w:pPr>
    <w:rPr>
      <w:rFonts w:ascii="EYInterstate Light" w:hAnsi="EYInterstate Light" w:cs="EYInterstate Light"/>
      <w:color w:val="000000"/>
      <w:sz w:val="24"/>
      <w:szCs w:val="24"/>
    </w:rPr>
  </w:style>
  <w:style w:type="paragraph" w:styleId="afff6">
    <w:name w:val="No Spacing"/>
    <w:uiPriority w:val="1"/>
    <w:qFormat/>
    <w:rsid w:val="00690F49"/>
    <w:pPr>
      <w:bidi/>
    </w:pPr>
    <w:rPr>
      <w:rFonts w:ascii="Calibri" w:eastAsia="Calibri" w:hAnsi="Calibri" w:cs="Arial"/>
      <w:sz w:val="22"/>
      <w:szCs w:val="22"/>
    </w:rPr>
  </w:style>
  <w:style w:type="character" w:styleId="FollowedHyperlink">
    <w:name w:val="FollowedHyperlink"/>
    <w:uiPriority w:val="99"/>
    <w:semiHidden/>
    <w:unhideWhenUsed/>
    <w:rsid w:val="00E10F0E"/>
    <w:rPr>
      <w:color w:val="800080"/>
      <w:u w:val="single"/>
    </w:rPr>
  </w:style>
  <w:style w:type="character" w:customStyle="1" w:styleId="EndnoteTextChar1">
    <w:name w:val="Endnote Text Char1"/>
    <w:uiPriority w:val="99"/>
    <w:semiHidden/>
    <w:rsid w:val="00E10F0E"/>
    <w:rPr>
      <w:rFonts w:ascii="Arial" w:eastAsia="Times New Roman" w:hAnsi="Arial" w:cs="Arial"/>
      <w:sz w:val="20"/>
      <w:szCs w:val="20"/>
    </w:rPr>
  </w:style>
  <w:style w:type="table" w:customStyle="1" w:styleId="410">
    <w:name w:val="טבלה רגילה 41"/>
    <w:basedOn w:val="a5"/>
    <w:next w:val="PlainTable41"/>
    <w:uiPriority w:val="44"/>
    <w:rsid w:val="00E10F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
    <w:name w:val="טבלה רגילה 411"/>
    <w:basedOn w:val="a5"/>
    <w:next w:val="PlainTable41"/>
    <w:uiPriority w:val="44"/>
    <w:rsid w:val="00E10F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
    <w:name w:val="סגנון1"/>
    <w:uiPriority w:val="99"/>
    <w:rsid w:val="00E10F0E"/>
    <w:pPr>
      <w:numPr>
        <w:numId w:val="11"/>
      </w:numPr>
    </w:pPr>
  </w:style>
  <w:style w:type="table" w:customStyle="1" w:styleId="PlainTable41">
    <w:name w:val="Plain Table 41"/>
    <w:basedOn w:val="a5"/>
    <w:uiPriority w:val="44"/>
    <w:rsid w:val="00E10F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lid-translation">
    <w:name w:val="tlid-translation"/>
    <w:rsid w:val="00F2027D"/>
  </w:style>
  <w:style w:type="paragraph" w:styleId="TOC4">
    <w:name w:val="toc 4"/>
    <w:basedOn w:val="a3"/>
    <w:next w:val="a3"/>
    <w:autoRedefine/>
    <w:uiPriority w:val="39"/>
    <w:unhideWhenUsed/>
    <w:rsid w:val="006E5867"/>
    <w:pPr>
      <w:ind w:left="600"/>
      <w:jc w:val="left"/>
    </w:pPr>
    <w:rPr>
      <w:rFonts w:asciiTheme="minorHAnsi" w:hAnsiTheme="minorHAnsi" w:cs="Times New Roman"/>
      <w:sz w:val="18"/>
      <w:szCs w:val="18"/>
    </w:rPr>
  </w:style>
  <w:style w:type="paragraph" w:styleId="TOC5">
    <w:name w:val="toc 5"/>
    <w:basedOn w:val="a3"/>
    <w:next w:val="a3"/>
    <w:autoRedefine/>
    <w:uiPriority w:val="39"/>
    <w:unhideWhenUsed/>
    <w:rsid w:val="006E5867"/>
    <w:pPr>
      <w:ind w:left="800"/>
      <w:jc w:val="left"/>
    </w:pPr>
    <w:rPr>
      <w:rFonts w:asciiTheme="minorHAnsi" w:hAnsiTheme="minorHAnsi" w:cs="Times New Roman"/>
      <w:sz w:val="18"/>
      <w:szCs w:val="18"/>
    </w:rPr>
  </w:style>
  <w:style w:type="paragraph" w:styleId="TOC6">
    <w:name w:val="toc 6"/>
    <w:basedOn w:val="a3"/>
    <w:next w:val="a3"/>
    <w:autoRedefine/>
    <w:uiPriority w:val="39"/>
    <w:unhideWhenUsed/>
    <w:rsid w:val="006E5867"/>
    <w:pPr>
      <w:ind w:left="1000"/>
      <w:jc w:val="left"/>
    </w:pPr>
    <w:rPr>
      <w:rFonts w:asciiTheme="minorHAnsi" w:hAnsiTheme="minorHAnsi" w:cs="Times New Roman"/>
      <w:sz w:val="18"/>
      <w:szCs w:val="18"/>
    </w:rPr>
  </w:style>
  <w:style w:type="paragraph" w:styleId="TOC7">
    <w:name w:val="toc 7"/>
    <w:basedOn w:val="a3"/>
    <w:next w:val="a3"/>
    <w:autoRedefine/>
    <w:uiPriority w:val="39"/>
    <w:unhideWhenUsed/>
    <w:rsid w:val="006E5867"/>
    <w:pPr>
      <w:ind w:left="1200"/>
      <w:jc w:val="left"/>
    </w:pPr>
    <w:rPr>
      <w:rFonts w:asciiTheme="minorHAnsi" w:hAnsiTheme="minorHAnsi" w:cs="Times New Roman"/>
      <w:sz w:val="18"/>
      <w:szCs w:val="18"/>
    </w:rPr>
  </w:style>
  <w:style w:type="paragraph" w:styleId="TOC8">
    <w:name w:val="toc 8"/>
    <w:basedOn w:val="a3"/>
    <w:next w:val="a3"/>
    <w:autoRedefine/>
    <w:uiPriority w:val="39"/>
    <w:unhideWhenUsed/>
    <w:rsid w:val="006E5867"/>
    <w:pPr>
      <w:ind w:left="1400"/>
      <w:jc w:val="left"/>
    </w:pPr>
    <w:rPr>
      <w:rFonts w:asciiTheme="minorHAnsi" w:hAnsiTheme="minorHAnsi" w:cs="Times New Roman"/>
      <w:sz w:val="18"/>
      <w:szCs w:val="18"/>
    </w:rPr>
  </w:style>
  <w:style w:type="paragraph" w:styleId="TOC9">
    <w:name w:val="toc 9"/>
    <w:basedOn w:val="a3"/>
    <w:next w:val="a3"/>
    <w:autoRedefine/>
    <w:uiPriority w:val="39"/>
    <w:unhideWhenUsed/>
    <w:rsid w:val="006E5867"/>
    <w:pPr>
      <w:ind w:left="1600"/>
      <w:jc w:val="left"/>
    </w:pPr>
    <w:rPr>
      <w:rFonts w:asciiTheme="minorHAnsi" w:hAnsiTheme="minorHAnsi" w:cs="Times New Roman"/>
      <w:sz w:val="18"/>
      <w:szCs w:val="18"/>
    </w:rPr>
  </w:style>
  <w:style w:type="character" w:customStyle="1" w:styleId="UnresolvedMention1">
    <w:name w:val="Unresolved Mention1"/>
    <w:basedOn w:val="a4"/>
    <w:uiPriority w:val="99"/>
    <w:semiHidden/>
    <w:unhideWhenUsed/>
    <w:rsid w:val="002509B7"/>
    <w:rPr>
      <w:color w:val="605E5C"/>
      <w:shd w:val="clear" w:color="auto" w:fill="E1DFDD"/>
    </w:rPr>
  </w:style>
  <w:style w:type="numbering" w:customStyle="1" w:styleId="1">
    <w:name w:val="רשימה נוכחית1"/>
    <w:uiPriority w:val="99"/>
    <w:rsid w:val="00654E26"/>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7013">
      <w:bodyDiv w:val="1"/>
      <w:marLeft w:val="0"/>
      <w:marRight w:val="0"/>
      <w:marTop w:val="0"/>
      <w:marBottom w:val="0"/>
      <w:divBdr>
        <w:top w:val="none" w:sz="0" w:space="0" w:color="auto"/>
        <w:left w:val="none" w:sz="0" w:space="0" w:color="auto"/>
        <w:bottom w:val="none" w:sz="0" w:space="0" w:color="auto"/>
        <w:right w:val="none" w:sz="0" w:space="0" w:color="auto"/>
      </w:divBdr>
      <w:divsChild>
        <w:div w:id="395208718">
          <w:marLeft w:val="0"/>
          <w:marRight w:val="0"/>
          <w:marTop w:val="0"/>
          <w:marBottom w:val="0"/>
          <w:divBdr>
            <w:top w:val="none" w:sz="0" w:space="0" w:color="auto"/>
            <w:left w:val="none" w:sz="0" w:space="0" w:color="auto"/>
            <w:bottom w:val="none" w:sz="0" w:space="0" w:color="auto"/>
            <w:right w:val="none" w:sz="0" w:space="0" w:color="auto"/>
          </w:divBdr>
          <w:divsChild>
            <w:div w:id="839079165">
              <w:marLeft w:val="0"/>
              <w:marRight w:val="0"/>
              <w:marTop w:val="0"/>
              <w:marBottom w:val="0"/>
              <w:divBdr>
                <w:top w:val="none" w:sz="0" w:space="0" w:color="auto"/>
                <w:left w:val="none" w:sz="0" w:space="0" w:color="auto"/>
                <w:bottom w:val="none" w:sz="0" w:space="0" w:color="auto"/>
                <w:right w:val="none" w:sz="0" w:space="0" w:color="auto"/>
              </w:divBdr>
              <w:divsChild>
                <w:div w:id="451362181">
                  <w:marLeft w:val="0"/>
                  <w:marRight w:val="0"/>
                  <w:marTop w:val="0"/>
                  <w:marBottom w:val="0"/>
                  <w:divBdr>
                    <w:top w:val="none" w:sz="0" w:space="0" w:color="auto"/>
                    <w:left w:val="none" w:sz="0" w:space="0" w:color="auto"/>
                    <w:bottom w:val="none" w:sz="0" w:space="0" w:color="auto"/>
                    <w:right w:val="none" w:sz="0" w:space="0" w:color="auto"/>
                  </w:divBdr>
                  <w:divsChild>
                    <w:div w:id="1449469231">
                      <w:marLeft w:val="0"/>
                      <w:marRight w:val="0"/>
                      <w:marTop w:val="0"/>
                      <w:marBottom w:val="0"/>
                      <w:divBdr>
                        <w:top w:val="none" w:sz="0" w:space="0" w:color="auto"/>
                        <w:left w:val="none" w:sz="0" w:space="0" w:color="auto"/>
                        <w:bottom w:val="none" w:sz="0" w:space="0" w:color="auto"/>
                        <w:right w:val="none" w:sz="0" w:space="0" w:color="auto"/>
                      </w:divBdr>
                      <w:divsChild>
                        <w:div w:id="1481771818">
                          <w:marLeft w:val="0"/>
                          <w:marRight w:val="0"/>
                          <w:marTop w:val="0"/>
                          <w:marBottom w:val="0"/>
                          <w:divBdr>
                            <w:top w:val="none" w:sz="0" w:space="0" w:color="auto"/>
                            <w:left w:val="none" w:sz="0" w:space="0" w:color="auto"/>
                            <w:bottom w:val="none" w:sz="0" w:space="0" w:color="auto"/>
                            <w:right w:val="none" w:sz="0" w:space="0" w:color="auto"/>
                          </w:divBdr>
                          <w:divsChild>
                            <w:div w:id="65809780">
                              <w:marLeft w:val="0"/>
                              <w:marRight w:val="0"/>
                              <w:marTop w:val="0"/>
                              <w:marBottom w:val="0"/>
                              <w:divBdr>
                                <w:top w:val="none" w:sz="0" w:space="0" w:color="auto"/>
                                <w:left w:val="none" w:sz="0" w:space="0" w:color="auto"/>
                                <w:bottom w:val="none" w:sz="0" w:space="0" w:color="auto"/>
                                <w:right w:val="none" w:sz="0" w:space="0" w:color="auto"/>
                              </w:divBdr>
                              <w:divsChild>
                                <w:div w:id="342049857">
                                  <w:marLeft w:val="0"/>
                                  <w:marRight w:val="0"/>
                                  <w:marTop w:val="0"/>
                                  <w:marBottom w:val="0"/>
                                  <w:divBdr>
                                    <w:top w:val="none" w:sz="0" w:space="0" w:color="auto"/>
                                    <w:left w:val="none" w:sz="0" w:space="0" w:color="auto"/>
                                    <w:bottom w:val="none" w:sz="0" w:space="0" w:color="auto"/>
                                    <w:right w:val="none" w:sz="0" w:space="0" w:color="auto"/>
                                  </w:divBdr>
                                  <w:divsChild>
                                    <w:div w:id="1864439306">
                                      <w:marLeft w:val="0"/>
                                      <w:marRight w:val="0"/>
                                      <w:marTop w:val="0"/>
                                      <w:marBottom w:val="0"/>
                                      <w:divBdr>
                                        <w:top w:val="none" w:sz="0" w:space="0" w:color="auto"/>
                                        <w:left w:val="none" w:sz="0" w:space="0" w:color="auto"/>
                                        <w:bottom w:val="none" w:sz="0" w:space="0" w:color="auto"/>
                                        <w:right w:val="none" w:sz="0" w:space="0" w:color="auto"/>
                                      </w:divBdr>
                                      <w:divsChild>
                                        <w:div w:id="1569997882">
                                          <w:marLeft w:val="0"/>
                                          <w:marRight w:val="0"/>
                                          <w:marTop w:val="0"/>
                                          <w:marBottom w:val="495"/>
                                          <w:divBdr>
                                            <w:top w:val="none" w:sz="0" w:space="0" w:color="auto"/>
                                            <w:left w:val="none" w:sz="0" w:space="0" w:color="auto"/>
                                            <w:bottom w:val="none" w:sz="0" w:space="0" w:color="auto"/>
                                            <w:right w:val="none" w:sz="0" w:space="0" w:color="auto"/>
                                          </w:divBdr>
                                          <w:divsChild>
                                            <w:div w:id="1111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47277">
      <w:bodyDiv w:val="1"/>
      <w:marLeft w:val="0"/>
      <w:marRight w:val="0"/>
      <w:marTop w:val="0"/>
      <w:marBottom w:val="0"/>
      <w:divBdr>
        <w:top w:val="none" w:sz="0" w:space="0" w:color="auto"/>
        <w:left w:val="none" w:sz="0" w:space="0" w:color="auto"/>
        <w:bottom w:val="none" w:sz="0" w:space="0" w:color="auto"/>
        <w:right w:val="none" w:sz="0" w:space="0" w:color="auto"/>
      </w:divBdr>
    </w:div>
    <w:div w:id="69550325">
      <w:bodyDiv w:val="1"/>
      <w:marLeft w:val="0"/>
      <w:marRight w:val="0"/>
      <w:marTop w:val="0"/>
      <w:marBottom w:val="0"/>
      <w:divBdr>
        <w:top w:val="none" w:sz="0" w:space="0" w:color="auto"/>
        <w:left w:val="none" w:sz="0" w:space="0" w:color="auto"/>
        <w:bottom w:val="none" w:sz="0" w:space="0" w:color="auto"/>
        <w:right w:val="none" w:sz="0" w:space="0" w:color="auto"/>
      </w:divBdr>
    </w:div>
    <w:div w:id="93404480">
      <w:bodyDiv w:val="1"/>
      <w:marLeft w:val="0"/>
      <w:marRight w:val="0"/>
      <w:marTop w:val="0"/>
      <w:marBottom w:val="0"/>
      <w:divBdr>
        <w:top w:val="none" w:sz="0" w:space="0" w:color="auto"/>
        <w:left w:val="none" w:sz="0" w:space="0" w:color="auto"/>
        <w:bottom w:val="none" w:sz="0" w:space="0" w:color="auto"/>
        <w:right w:val="none" w:sz="0" w:space="0" w:color="auto"/>
      </w:divBdr>
      <w:divsChild>
        <w:div w:id="810826079">
          <w:marLeft w:val="0"/>
          <w:marRight w:val="547"/>
          <w:marTop w:val="0"/>
          <w:marBottom w:val="120"/>
          <w:divBdr>
            <w:top w:val="none" w:sz="0" w:space="0" w:color="auto"/>
            <w:left w:val="none" w:sz="0" w:space="0" w:color="auto"/>
            <w:bottom w:val="none" w:sz="0" w:space="0" w:color="auto"/>
            <w:right w:val="none" w:sz="0" w:space="0" w:color="auto"/>
          </w:divBdr>
        </w:div>
      </w:divsChild>
    </w:div>
    <w:div w:id="104470665">
      <w:bodyDiv w:val="1"/>
      <w:marLeft w:val="0"/>
      <w:marRight w:val="0"/>
      <w:marTop w:val="0"/>
      <w:marBottom w:val="0"/>
      <w:divBdr>
        <w:top w:val="none" w:sz="0" w:space="0" w:color="auto"/>
        <w:left w:val="none" w:sz="0" w:space="0" w:color="auto"/>
        <w:bottom w:val="none" w:sz="0" w:space="0" w:color="auto"/>
        <w:right w:val="none" w:sz="0" w:space="0" w:color="auto"/>
      </w:divBdr>
    </w:div>
    <w:div w:id="105084016">
      <w:bodyDiv w:val="1"/>
      <w:marLeft w:val="0"/>
      <w:marRight w:val="0"/>
      <w:marTop w:val="0"/>
      <w:marBottom w:val="0"/>
      <w:divBdr>
        <w:top w:val="none" w:sz="0" w:space="0" w:color="auto"/>
        <w:left w:val="none" w:sz="0" w:space="0" w:color="auto"/>
        <w:bottom w:val="none" w:sz="0" w:space="0" w:color="auto"/>
        <w:right w:val="none" w:sz="0" w:space="0" w:color="auto"/>
      </w:divBdr>
    </w:div>
    <w:div w:id="135802831">
      <w:bodyDiv w:val="1"/>
      <w:marLeft w:val="0"/>
      <w:marRight w:val="0"/>
      <w:marTop w:val="0"/>
      <w:marBottom w:val="0"/>
      <w:divBdr>
        <w:top w:val="none" w:sz="0" w:space="0" w:color="auto"/>
        <w:left w:val="none" w:sz="0" w:space="0" w:color="auto"/>
        <w:bottom w:val="none" w:sz="0" w:space="0" w:color="auto"/>
        <w:right w:val="none" w:sz="0" w:space="0" w:color="auto"/>
      </w:divBdr>
      <w:divsChild>
        <w:div w:id="614755279">
          <w:marLeft w:val="0"/>
          <w:marRight w:val="547"/>
          <w:marTop w:val="0"/>
          <w:marBottom w:val="120"/>
          <w:divBdr>
            <w:top w:val="none" w:sz="0" w:space="0" w:color="auto"/>
            <w:left w:val="none" w:sz="0" w:space="0" w:color="auto"/>
            <w:bottom w:val="none" w:sz="0" w:space="0" w:color="auto"/>
            <w:right w:val="none" w:sz="0" w:space="0" w:color="auto"/>
          </w:divBdr>
        </w:div>
      </w:divsChild>
    </w:div>
    <w:div w:id="147406570">
      <w:bodyDiv w:val="1"/>
      <w:marLeft w:val="0"/>
      <w:marRight w:val="0"/>
      <w:marTop w:val="0"/>
      <w:marBottom w:val="0"/>
      <w:divBdr>
        <w:top w:val="none" w:sz="0" w:space="0" w:color="auto"/>
        <w:left w:val="none" w:sz="0" w:space="0" w:color="auto"/>
        <w:bottom w:val="none" w:sz="0" w:space="0" w:color="auto"/>
        <w:right w:val="none" w:sz="0" w:space="0" w:color="auto"/>
      </w:divBdr>
    </w:div>
    <w:div w:id="196354315">
      <w:bodyDiv w:val="1"/>
      <w:marLeft w:val="0"/>
      <w:marRight w:val="0"/>
      <w:marTop w:val="0"/>
      <w:marBottom w:val="0"/>
      <w:divBdr>
        <w:top w:val="none" w:sz="0" w:space="0" w:color="auto"/>
        <w:left w:val="none" w:sz="0" w:space="0" w:color="auto"/>
        <w:bottom w:val="none" w:sz="0" w:space="0" w:color="auto"/>
        <w:right w:val="none" w:sz="0" w:space="0" w:color="auto"/>
      </w:divBdr>
      <w:divsChild>
        <w:div w:id="15237006">
          <w:marLeft w:val="0"/>
          <w:marRight w:val="0"/>
          <w:marTop w:val="0"/>
          <w:marBottom w:val="0"/>
          <w:divBdr>
            <w:top w:val="none" w:sz="0" w:space="0" w:color="auto"/>
            <w:left w:val="none" w:sz="0" w:space="0" w:color="auto"/>
            <w:bottom w:val="none" w:sz="0" w:space="0" w:color="auto"/>
            <w:right w:val="none" w:sz="0" w:space="0" w:color="auto"/>
          </w:divBdr>
          <w:divsChild>
            <w:div w:id="1764567213">
              <w:marLeft w:val="0"/>
              <w:marRight w:val="0"/>
              <w:marTop w:val="0"/>
              <w:marBottom w:val="0"/>
              <w:divBdr>
                <w:top w:val="none" w:sz="0" w:space="0" w:color="auto"/>
                <w:left w:val="none" w:sz="0" w:space="0" w:color="auto"/>
                <w:bottom w:val="none" w:sz="0" w:space="0" w:color="auto"/>
                <w:right w:val="none" w:sz="0" w:space="0" w:color="auto"/>
              </w:divBdr>
              <w:divsChild>
                <w:div w:id="259145815">
                  <w:marLeft w:val="0"/>
                  <w:marRight w:val="0"/>
                  <w:marTop w:val="0"/>
                  <w:marBottom w:val="0"/>
                  <w:divBdr>
                    <w:top w:val="none" w:sz="0" w:space="0" w:color="auto"/>
                    <w:left w:val="none" w:sz="0" w:space="0" w:color="auto"/>
                    <w:bottom w:val="none" w:sz="0" w:space="0" w:color="auto"/>
                    <w:right w:val="none" w:sz="0" w:space="0" w:color="auto"/>
                  </w:divBdr>
                  <w:divsChild>
                    <w:div w:id="401561603">
                      <w:marLeft w:val="0"/>
                      <w:marRight w:val="0"/>
                      <w:marTop w:val="0"/>
                      <w:marBottom w:val="0"/>
                      <w:divBdr>
                        <w:top w:val="none" w:sz="0" w:space="0" w:color="auto"/>
                        <w:left w:val="none" w:sz="0" w:space="0" w:color="auto"/>
                        <w:bottom w:val="none" w:sz="0" w:space="0" w:color="auto"/>
                        <w:right w:val="none" w:sz="0" w:space="0" w:color="auto"/>
                      </w:divBdr>
                      <w:divsChild>
                        <w:div w:id="514807321">
                          <w:marLeft w:val="0"/>
                          <w:marRight w:val="0"/>
                          <w:marTop w:val="0"/>
                          <w:marBottom w:val="0"/>
                          <w:divBdr>
                            <w:top w:val="none" w:sz="0" w:space="0" w:color="auto"/>
                            <w:left w:val="none" w:sz="0" w:space="0" w:color="auto"/>
                            <w:bottom w:val="none" w:sz="0" w:space="0" w:color="auto"/>
                            <w:right w:val="none" w:sz="0" w:space="0" w:color="auto"/>
                          </w:divBdr>
                          <w:divsChild>
                            <w:div w:id="1327247120">
                              <w:marLeft w:val="0"/>
                              <w:marRight w:val="0"/>
                              <w:marTop w:val="0"/>
                              <w:marBottom w:val="0"/>
                              <w:divBdr>
                                <w:top w:val="none" w:sz="0" w:space="0" w:color="auto"/>
                                <w:left w:val="none" w:sz="0" w:space="0" w:color="auto"/>
                                <w:bottom w:val="none" w:sz="0" w:space="0" w:color="auto"/>
                                <w:right w:val="none" w:sz="0" w:space="0" w:color="auto"/>
                              </w:divBdr>
                              <w:divsChild>
                                <w:div w:id="953949775">
                                  <w:marLeft w:val="0"/>
                                  <w:marRight w:val="0"/>
                                  <w:marTop w:val="0"/>
                                  <w:marBottom w:val="0"/>
                                  <w:divBdr>
                                    <w:top w:val="none" w:sz="0" w:space="0" w:color="auto"/>
                                    <w:left w:val="none" w:sz="0" w:space="0" w:color="auto"/>
                                    <w:bottom w:val="none" w:sz="0" w:space="0" w:color="auto"/>
                                    <w:right w:val="none" w:sz="0" w:space="0" w:color="auto"/>
                                  </w:divBdr>
                                  <w:divsChild>
                                    <w:div w:id="1364601343">
                                      <w:marLeft w:val="0"/>
                                      <w:marRight w:val="0"/>
                                      <w:marTop w:val="0"/>
                                      <w:marBottom w:val="0"/>
                                      <w:divBdr>
                                        <w:top w:val="none" w:sz="0" w:space="0" w:color="auto"/>
                                        <w:left w:val="none" w:sz="0" w:space="0" w:color="auto"/>
                                        <w:bottom w:val="none" w:sz="0" w:space="0" w:color="auto"/>
                                        <w:right w:val="none" w:sz="0" w:space="0" w:color="auto"/>
                                      </w:divBdr>
                                      <w:divsChild>
                                        <w:div w:id="303463485">
                                          <w:marLeft w:val="0"/>
                                          <w:marRight w:val="0"/>
                                          <w:marTop w:val="0"/>
                                          <w:marBottom w:val="495"/>
                                          <w:divBdr>
                                            <w:top w:val="none" w:sz="0" w:space="0" w:color="auto"/>
                                            <w:left w:val="none" w:sz="0" w:space="0" w:color="auto"/>
                                            <w:bottom w:val="none" w:sz="0" w:space="0" w:color="auto"/>
                                            <w:right w:val="none" w:sz="0" w:space="0" w:color="auto"/>
                                          </w:divBdr>
                                          <w:divsChild>
                                            <w:div w:id="1057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83159">
      <w:bodyDiv w:val="1"/>
      <w:marLeft w:val="0"/>
      <w:marRight w:val="0"/>
      <w:marTop w:val="0"/>
      <w:marBottom w:val="0"/>
      <w:divBdr>
        <w:top w:val="none" w:sz="0" w:space="0" w:color="auto"/>
        <w:left w:val="none" w:sz="0" w:space="0" w:color="auto"/>
        <w:bottom w:val="none" w:sz="0" w:space="0" w:color="auto"/>
        <w:right w:val="none" w:sz="0" w:space="0" w:color="auto"/>
      </w:divBdr>
    </w:div>
    <w:div w:id="286741001">
      <w:bodyDiv w:val="1"/>
      <w:marLeft w:val="0"/>
      <w:marRight w:val="0"/>
      <w:marTop w:val="0"/>
      <w:marBottom w:val="0"/>
      <w:divBdr>
        <w:top w:val="none" w:sz="0" w:space="0" w:color="auto"/>
        <w:left w:val="none" w:sz="0" w:space="0" w:color="auto"/>
        <w:bottom w:val="none" w:sz="0" w:space="0" w:color="auto"/>
        <w:right w:val="none" w:sz="0" w:space="0" w:color="auto"/>
      </w:divBdr>
    </w:div>
    <w:div w:id="320428422">
      <w:bodyDiv w:val="1"/>
      <w:marLeft w:val="0"/>
      <w:marRight w:val="0"/>
      <w:marTop w:val="0"/>
      <w:marBottom w:val="0"/>
      <w:divBdr>
        <w:top w:val="none" w:sz="0" w:space="0" w:color="auto"/>
        <w:left w:val="none" w:sz="0" w:space="0" w:color="auto"/>
        <w:bottom w:val="none" w:sz="0" w:space="0" w:color="auto"/>
        <w:right w:val="none" w:sz="0" w:space="0" w:color="auto"/>
      </w:divBdr>
    </w:div>
    <w:div w:id="369033365">
      <w:bodyDiv w:val="1"/>
      <w:marLeft w:val="0"/>
      <w:marRight w:val="0"/>
      <w:marTop w:val="0"/>
      <w:marBottom w:val="0"/>
      <w:divBdr>
        <w:top w:val="none" w:sz="0" w:space="0" w:color="auto"/>
        <w:left w:val="none" w:sz="0" w:space="0" w:color="auto"/>
        <w:bottom w:val="none" w:sz="0" w:space="0" w:color="auto"/>
        <w:right w:val="none" w:sz="0" w:space="0" w:color="auto"/>
      </w:divBdr>
    </w:div>
    <w:div w:id="380708623">
      <w:bodyDiv w:val="1"/>
      <w:marLeft w:val="0"/>
      <w:marRight w:val="0"/>
      <w:marTop w:val="0"/>
      <w:marBottom w:val="0"/>
      <w:divBdr>
        <w:top w:val="none" w:sz="0" w:space="0" w:color="auto"/>
        <w:left w:val="none" w:sz="0" w:space="0" w:color="auto"/>
        <w:bottom w:val="none" w:sz="0" w:space="0" w:color="auto"/>
        <w:right w:val="none" w:sz="0" w:space="0" w:color="auto"/>
      </w:divBdr>
    </w:div>
    <w:div w:id="382094304">
      <w:bodyDiv w:val="1"/>
      <w:marLeft w:val="0"/>
      <w:marRight w:val="0"/>
      <w:marTop w:val="0"/>
      <w:marBottom w:val="0"/>
      <w:divBdr>
        <w:top w:val="none" w:sz="0" w:space="0" w:color="auto"/>
        <w:left w:val="none" w:sz="0" w:space="0" w:color="auto"/>
        <w:bottom w:val="none" w:sz="0" w:space="0" w:color="auto"/>
        <w:right w:val="none" w:sz="0" w:space="0" w:color="auto"/>
      </w:divBdr>
    </w:div>
    <w:div w:id="416440507">
      <w:bodyDiv w:val="1"/>
      <w:marLeft w:val="0"/>
      <w:marRight w:val="0"/>
      <w:marTop w:val="0"/>
      <w:marBottom w:val="0"/>
      <w:divBdr>
        <w:top w:val="none" w:sz="0" w:space="0" w:color="auto"/>
        <w:left w:val="none" w:sz="0" w:space="0" w:color="auto"/>
        <w:bottom w:val="none" w:sz="0" w:space="0" w:color="auto"/>
        <w:right w:val="none" w:sz="0" w:space="0" w:color="auto"/>
      </w:divBdr>
    </w:div>
    <w:div w:id="452135073">
      <w:bodyDiv w:val="1"/>
      <w:marLeft w:val="0"/>
      <w:marRight w:val="0"/>
      <w:marTop w:val="0"/>
      <w:marBottom w:val="0"/>
      <w:divBdr>
        <w:top w:val="none" w:sz="0" w:space="0" w:color="auto"/>
        <w:left w:val="none" w:sz="0" w:space="0" w:color="auto"/>
        <w:bottom w:val="none" w:sz="0" w:space="0" w:color="auto"/>
        <w:right w:val="none" w:sz="0" w:space="0" w:color="auto"/>
      </w:divBdr>
    </w:div>
    <w:div w:id="550582456">
      <w:bodyDiv w:val="1"/>
      <w:marLeft w:val="0"/>
      <w:marRight w:val="0"/>
      <w:marTop w:val="0"/>
      <w:marBottom w:val="0"/>
      <w:divBdr>
        <w:top w:val="none" w:sz="0" w:space="0" w:color="auto"/>
        <w:left w:val="none" w:sz="0" w:space="0" w:color="auto"/>
        <w:bottom w:val="none" w:sz="0" w:space="0" w:color="auto"/>
        <w:right w:val="none" w:sz="0" w:space="0" w:color="auto"/>
      </w:divBdr>
    </w:div>
    <w:div w:id="567495951">
      <w:bodyDiv w:val="1"/>
      <w:marLeft w:val="0"/>
      <w:marRight w:val="0"/>
      <w:marTop w:val="0"/>
      <w:marBottom w:val="0"/>
      <w:divBdr>
        <w:top w:val="none" w:sz="0" w:space="0" w:color="auto"/>
        <w:left w:val="none" w:sz="0" w:space="0" w:color="auto"/>
        <w:bottom w:val="none" w:sz="0" w:space="0" w:color="auto"/>
        <w:right w:val="none" w:sz="0" w:space="0" w:color="auto"/>
      </w:divBdr>
      <w:divsChild>
        <w:div w:id="978847705">
          <w:marLeft w:val="0"/>
          <w:marRight w:val="547"/>
          <w:marTop w:val="0"/>
          <w:marBottom w:val="120"/>
          <w:divBdr>
            <w:top w:val="none" w:sz="0" w:space="0" w:color="auto"/>
            <w:left w:val="none" w:sz="0" w:space="0" w:color="auto"/>
            <w:bottom w:val="none" w:sz="0" w:space="0" w:color="auto"/>
            <w:right w:val="none" w:sz="0" w:space="0" w:color="auto"/>
          </w:divBdr>
        </w:div>
        <w:div w:id="1385107273">
          <w:marLeft w:val="0"/>
          <w:marRight w:val="547"/>
          <w:marTop w:val="0"/>
          <w:marBottom w:val="120"/>
          <w:divBdr>
            <w:top w:val="none" w:sz="0" w:space="0" w:color="auto"/>
            <w:left w:val="none" w:sz="0" w:space="0" w:color="auto"/>
            <w:bottom w:val="none" w:sz="0" w:space="0" w:color="auto"/>
            <w:right w:val="none" w:sz="0" w:space="0" w:color="auto"/>
          </w:divBdr>
        </w:div>
        <w:div w:id="1735663822">
          <w:marLeft w:val="0"/>
          <w:marRight w:val="547"/>
          <w:marTop w:val="0"/>
          <w:marBottom w:val="120"/>
          <w:divBdr>
            <w:top w:val="none" w:sz="0" w:space="0" w:color="auto"/>
            <w:left w:val="none" w:sz="0" w:space="0" w:color="auto"/>
            <w:bottom w:val="none" w:sz="0" w:space="0" w:color="auto"/>
            <w:right w:val="none" w:sz="0" w:space="0" w:color="auto"/>
          </w:divBdr>
        </w:div>
      </w:divsChild>
    </w:div>
    <w:div w:id="581453971">
      <w:bodyDiv w:val="1"/>
      <w:marLeft w:val="0"/>
      <w:marRight w:val="0"/>
      <w:marTop w:val="0"/>
      <w:marBottom w:val="0"/>
      <w:divBdr>
        <w:top w:val="none" w:sz="0" w:space="0" w:color="auto"/>
        <w:left w:val="none" w:sz="0" w:space="0" w:color="auto"/>
        <w:bottom w:val="none" w:sz="0" w:space="0" w:color="auto"/>
        <w:right w:val="none" w:sz="0" w:space="0" w:color="auto"/>
      </w:divBdr>
    </w:div>
    <w:div w:id="598878775">
      <w:bodyDiv w:val="1"/>
      <w:marLeft w:val="0"/>
      <w:marRight w:val="0"/>
      <w:marTop w:val="0"/>
      <w:marBottom w:val="0"/>
      <w:divBdr>
        <w:top w:val="none" w:sz="0" w:space="0" w:color="auto"/>
        <w:left w:val="none" w:sz="0" w:space="0" w:color="auto"/>
        <w:bottom w:val="none" w:sz="0" w:space="0" w:color="auto"/>
        <w:right w:val="none" w:sz="0" w:space="0" w:color="auto"/>
      </w:divBdr>
    </w:div>
    <w:div w:id="600381004">
      <w:bodyDiv w:val="1"/>
      <w:marLeft w:val="0"/>
      <w:marRight w:val="0"/>
      <w:marTop w:val="0"/>
      <w:marBottom w:val="0"/>
      <w:divBdr>
        <w:top w:val="none" w:sz="0" w:space="0" w:color="auto"/>
        <w:left w:val="none" w:sz="0" w:space="0" w:color="auto"/>
        <w:bottom w:val="none" w:sz="0" w:space="0" w:color="auto"/>
        <w:right w:val="none" w:sz="0" w:space="0" w:color="auto"/>
      </w:divBdr>
    </w:div>
    <w:div w:id="722872604">
      <w:bodyDiv w:val="1"/>
      <w:marLeft w:val="0"/>
      <w:marRight w:val="0"/>
      <w:marTop w:val="0"/>
      <w:marBottom w:val="0"/>
      <w:divBdr>
        <w:top w:val="none" w:sz="0" w:space="0" w:color="auto"/>
        <w:left w:val="none" w:sz="0" w:space="0" w:color="auto"/>
        <w:bottom w:val="none" w:sz="0" w:space="0" w:color="auto"/>
        <w:right w:val="none" w:sz="0" w:space="0" w:color="auto"/>
      </w:divBdr>
    </w:div>
    <w:div w:id="756246013">
      <w:bodyDiv w:val="1"/>
      <w:marLeft w:val="0"/>
      <w:marRight w:val="0"/>
      <w:marTop w:val="0"/>
      <w:marBottom w:val="0"/>
      <w:divBdr>
        <w:top w:val="none" w:sz="0" w:space="0" w:color="auto"/>
        <w:left w:val="none" w:sz="0" w:space="0" w:color="auto"/>
        <w:bottom w:val="none" w:sz="0" w:space="0" w:color="auto"/>
        <w:right w:val="none" w:sz="0" w:space="0" w:color="auto"/>
      </w:divBdr>
    </w:div>
    <w:div w:id="815880452">
      <w:bodyDiv w:val="1"/>
      <w:marLeft w:val="0"/>
      <w:marRight w:val="0"/>
      <w:marTop w:val="0"/>
      <w:marBottom w:val="0"/>
      <w:divBdr>
        <w:top w:val="none" w:sz="0" w:space="0" w:color="auto"/>
        <w:left w:val="none" w:sz="0" w:space="0" w:color="auto"/>
        <w:bottom w:val="none" w:sz="0" w:space="0" w:color="auto"/>
        <w:right w:val="none" w:sz="0" w:space="0" w:color="auto"/>
      </w:divBdr>
    </w:div>
    <w:div w:id="854686670">
      <w:bodyDiv w:val="1"/>
      <w:marLeft w:val="0"/>
      <w:marRight w:val="0"/>
      <w:marTop w:val="0"/>
      <w:marBottom w:val="0"/>
      <w:divBdr>
        <w:top w:val="none" w:sz="0" w:space="0" w:color="auto"/>
        <w:left w:val="none" w:sz="0" w:space="0" w:color="auto"/>
        <w:bottom w:val="none" w:sz="0" w:space="0" w:color="auto"/>
        <w:right w:val="none" w:sz="0" w:space="0" w:color="auto"/>
      </w:divBdr>
    </w:div>
    <w:div w:id="883181185">
      <w:bodyDiv w:val="1"/>
      <w:marLeft w:val="0"/>
      <w:marRight w:val="0"/>
      <w:marTop w:val="0"/>
      <w:marBottom w:val="0"/>
      <w:divBdr>
        <w:top w:val="none" w:sz="0" w:space="0" w:color="auto"/>
        <w:left w:val="none" w:sz="0" w:space="0" w:color="auto"/>
        <w:bottom w:val="none" w:sz="0" w:space="0" w:color="auto"/>
        <w:right w:val="none" w:sz="0" w:space="0" w:color="auto"/>
      </w:divBdr>
    </w:div>
    <w:div w:id="899826009">
      <w:bodyDiv w:val="1"/>
      <w:marLeft w:val="0"/>
      <w:marRight w:val="0"/>
      <w:marTop w:val="0"/>
      <w:marBottom w:val="0"/>
      <w:divBdr>
        <w:top w:val="none" w:sz="0" w:space="0" w:color="auto"/>
        <w:left w:val="none" w:sz="0" w:space="0" w:color="auto"/>
        <w:bottom w:val="none" w:sz="0" w:space="0" w:color="auto"/>
        <w:right w:val="none" w:sz="0" w:space="0" w:color="auto"/>
      </w:divBdr>
      <w:divsChild>
        <w:div w:id="1348214991">
          <w:marLeft w:val="0"/>
          <w:marRight w:val="0"/>
          <w:marTop w:val="0"/>
          <w:marBottom w:val="0"/>
          <w:divBdr>
            <w:top w:val="none" w:sz="0" w:space="0" w:color="auto"/>
            <w:left w:val="none" w:sz="0" w:space="0" w:color="auto"/>
            <w:bottom w:val="none" w:sz="0" w:space="0" w:color="auto"/>
            <w:right w:val="none" w:sz="0" w:space="0" w:color="auto"/>
          </w:divBdr>
          <w:divsChild>
            <w:div w:id="1351294383">
              <w:marLeft w:val="0"/>
              <w:marRight w:val="0"/>
              <w:marTop w:val="0"/>
              <w:marBottom w:val="0"/>
              <w:divBdr>
                <w:top w:val="none" w:sz="0" w:space="0" w:color="auto"/>
                <w:left w:val="none" w:sz="0" w:space="0" w:color="auto"/>
                <w:bottom w:val="none" w:sz="0" w:space="0" w:color="auto"/>
                <w:right w:val="none" w:sz="0" w:space="0" w:color="auto"/>
              </w:divBdr>
              <w:divsChild>
                <w:div w:id="1324745693">
                  <w:marLeft w:val="0"/>
                  <w:marRight w:val="0"/>
                  <w:marTop w:val="0"/>
                  <w:marBottom w:val="0"/>
                  <w:divBdr>
                    <w:top w:val="none" w:sz="0" w:space="0" w:color="auto"/>
                    <w:left w:val="none" w:sz="0" w:space="0" w:color="auto"/>
                    <w:bottom w:val="none" w:sz="0" w:space="0" w:color="auto"/>
                    <w:right w:val="none" w:sz="0" w:space="0" w:color="auto"/>
                  </w:divBdr>
                  <w:divsChild>
                    <w:div w:id="1185441084">
                      <w:marLeft w:val="0"/>
                      <w:marRight w:val="0"/>
                      <w:marTop w:val="0"/>
                      <w:marBottom w:val="0"/>
                      <w:divBdr>
                        <w:top w:val="none" w:sz="0" w:space="0" w:color="auto"/>
                        <w:left w:val="none" w:sz="0" w:space="0" w:color="auto"/>
                        <w:bottom w:val="none" w:sz="0" w:space="0" w:color="auto"/>
                        <w:right w:val="none" w:sz="0" w:space="0" w:color="auto"/>
                      </w:divBdr>
                      <w:divsChild>
                        <w:div w:id="394860571">
                          <w:marLeft w:val="0"/>
                          <w:marRight w:val="0"/>
                          <w:marTop w:val="0"/>
                          <w:marBottom w:val="0"/>
                          <w:divBdr>
                            <w:top w:val="none" w:sz="0" w:space="0" w:color="auto"/>
                            <w:left w:val="none" w:sz="0" w:space="0" w:color="auto"/>
                            <w:bottom w:val="none" w:sz="0" w:space="0" w:color="auto"/>
                            <w:right w:val="none" w:sz="0" w:space="0" w:color="auto"/>
                          </w:divBdr>
                          <w:divsChild>
                            <w:div w:id="1692682072">
                              <w:marLeft w:val="0"/>
                              <w:marRight w:val="0"/>
                              <w:marTop w:val="0"/>
                              <w:marBottom w:val="0"/>
                              <w:divBdr>
                                <w:top w:val="none" w:sz="0" w:space="0" w:color="auto"/>
                                <w:left w:val="none" w:sz="0" w:space="0" w:color="auto"/>
                                <w:bottom w:val="none" w:sz="0" w:space="0" w:color="auto"/>
                                <w:right w:val="none" w:sz="0" w:space="0" w:color="auto"/>
                              </w:divBdr>
                              <w:divsChild>
                                <w:div w:id="280066159">
                                  <w:marLeft w:val="0"/>
                                  <w:marRight w:val="0"/>
                                  <w:marTop w:val="0"/>
                                  <w:marBottom w:val="0"/>
                                  <w:divBdr>
                                    <w:top w:val="none" w:sz="0" w:space="0" w:color="auto"/>
                                    <w:left w:val="none" w:sz="0" w:space="0" w:color="auto"/>
                                    <w:bottom w:val="none" w:sz="0" w:space="0" w:color="auto"/>
                                    <w:right w:val="none" w:sz="0" w:space="0" w:color="auto"/>
                                  </w:divBdr>
                                  <w:divsChild>
                                    <w:div w:id="1453330060">
                                      <w:marLeft w:val="0"/>
                                      <w:marRight w:val="0"/>
                                      <w:marTop w:val="0"/>
                                      <w:marBottom w:val="0"/>
                                      <w:divBdr>
                                        <w:top w:val="none" w:sz="0" w:space="0" w:color="auto"/>
                                        <w:left w:val="none" w:sz="0" w:space="0" w:color="auto"/>
                                        <w:bottom w:val="none" w:sz="0" w:space="0" w:color="auto"/>
                                        <w:right w:val="none" w:sz="0" w:space="0" w:color="auto"/>
                                      </w:divBdr>
                                      <w:divsChild>
                                        <w:div w:id="1079596617">
                                          <w:marLeft w:val="0"/>
                                          <w:marRight w:val="0"/>
                                          <w:marTop w:val="0"/>
                                          <w:marBottom w:val="495"/>
                                          <w:divBdr>
                                            <w:top w:val="none" w:sz="0" w:space="0" w:color="auto"/>
                                            <w:left w:val="none" w:sz="0" w:space="0" w:color="auto"/>
                                            <w:bottom w:val="none" w:sz="0" w:space="0" w:color="auto"/>
                                            <w:right w:val="none" w:sz="0" w:space="0" w:color="auto"/>
                                          </w:divBdr>
                                          <w:divsChild>
                                            <w:div w:id="10678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393621">
      <w:bodyDiv w:val="1"/>
      <w:marLeft w:val="0"/>
      <w:marRight w:val="0"/>
      <w:marTop w:val="0"/>
      <w:marBottom w:val="0"/>
      <w:divBdr>
        <w:top w:val="none" w:sz="0" w:space="0" w:color="auto"/>
        <w:left w:val="none" w:sz="0" w:space="0" w:color="auto"/>
        <w:bottom w:val="none" w:sz="0" w:space="0" w:color="auto"/>
        <w:right w:val="none" w:sz="0" w:space="0" w:color="auto"/>
      </w:divBdr>
    </w:div>
    <w:div w:id="995039305">
      <w:bodyDiv w:val="1"/>
      <w:marLeft w:val="0"/>
      <w:marRight w:val="0"/>
      <w:marTop w:val="0"/>
      <w:marBottom w:val="0"/>
      <w:divBdr>
        <w:top w:val="none" w:sz="0" w:space="0" w:color="auto"/>
        <w:left w:val="none" w:sz="0" w:space="0" w:color="auto"/>
        <w:bottom w:val="none" w:sz="0" w:space="0" w:color="auto"/>
        <w:right w:val="none" w:sz="0" w:space="0" w:color="auto"/>
      </w:divBdr>
      <w:divsChild>
        <w:div w:id="816149203">
          <w:marLeft w:val="0"/>
          <w:marRight w:val="0"/>
          <w:marTop w:val="0"/>
          <w:marBottom w:val="0"/>
          <w:divBdr>
            <w:top w:val="none" w:sz="0" w:space="0" w:color="auto"/>
            <w:left w:val="none" w:sz="0" w:space="0" w:color="auto"/>
            <w:bottom w:val="none" w:sz="0" w:space="0" w:color="auto"/>
            <w:right w:val="none" w:sz="0" w:space="0" w:color="auto"/>
          </w:divBdr>
          <w:divsChild>
            <w:div w:id="22366798">
              <w:marLeft w:val="0"/>
              <w:marRight w:val="0"/>
              <w:marTop w:val="0"/>
              <w:marBottom w:val="0"/>
              <w:divBdr>
                <w:top w:val="none" w:sz="0" w:space="0" w:color="auto"/>
                <w:left w:val="none" w:sz="0" w:space="0" w:color="auto"/>
                <w:bottom w:val="none" w:sz="0" w:space="0" w:color="auto"/>
                <w:right w:val="none" w:sz="0" w:space="0" w:color="auto"/>
              </w:divBdr>
              <w:divsChild>
                <w:div w:id="2145658582">
                  <w:marLeft w:val="0"/>
                  <w:marRight w:val="0"/>
                  <w:marTop w:val="0"/>
                  <w:marBottom w:val="0"/>
                  <w:divBdr>
                    <w:top w:val="none" w:sz="0" w:space="0" w:color="auto"/>
                    <w:left w:val="none" w:sz="0" w:space="0" w:color="auto"/>
                    <w:bottom w:val="none" w:sz="0" w:space="0" w:color="auto"/>
                    <w:right w:val="none" w:sz="0" w:space="0" w:color="auto"/>
                  </w:divBdr>
                  <w:divsChild>
                    <w:div w:id="1765147595">
                      <w:marLeft w:val="0"/>
                      <w:marRight w:val="0"/>
                      <w:marTop w:val="0"/>
                      <w:marBottom w:val="0"/>
                      <w:divBdr>
                        <w:top w:val="none" w:sz="0" w:space="0" w:color="auto"/>
                        <w:left w:val="none" w:sz="0" w:space="0" w:color="auto"/>
                        <w:bottom w:val="none" w:sz="0" w:space="0" w:color="auto"/>
                        <w:right w:val="none" w:sz="0" w:space="0" w:color="auto"/>
                      </w:divBdr>
                      <w:divsChild>
                        <w:div w:id="422607460">
                          <w:marLeft w:val="0"/>
                          <w:marRight w:val="0"/>
                          <w:marTop w:val="0"/>
                          <w:marBottom w:val="0"/>
                          <w:divBdr>
                            <w:top w:val="none" w:sz="0" w:space="0" w:color="auto"/>
                            <w:left w:val="none" w:sz="0" w:space="0" w:color="auto"/>
                            <w:bottom w:val="none" w:sz="0" w:space="0" w:color="auto"/>
                            <w:right w:val="none" w:sz="0" w:space="0" w:color="auto"/>
                          </w:divBdr>
                          <w:divsChild>
                            <w:div w:id="1598514731">
                              <w:marLeft w:val="0"/>
                              <w:marRight w:val="0"/>
                              <w:marTop w:val="0"/>
                              <w:marBottom w:val="0"/>
                              <w:divBdr>
                                <w:top w:val="none" w:sz="0" w:space="0" w:color="auto"/>
                                <w:left w:val="none" w:sz="0" w:space="0" w:color="auto"/>
                                <w:bottom w:val="none" w:sz="0" w:space="0" w:color="auto"/>
                                <w:right w:val="none" w:sz="0" w:space="0" w:color="auto"/>
                              </w:divBdr>
                              <w:divsChild>
                                <w:div w:id="550271614">
                                  <w:marLeft w:val="0"/>
                                  <w:marRight w:val="0"/>
                                  <w:marTop w:val="0"/>
                                  <w:marBottom w:val="0"/>
                                  <w:divBdr>
                                    <w:top w:val="none" w:sz="0" w:space="0" w:color="auto"/>
                                    <w:left w:val="none" w:sz="0" w:space="0" w:color="auto"/>
                                    <w:bottom w:val="none" w:sz="0" w:space="0" w:color="auto"/>
                                    <w:right w:val="none" w:sz="0" w:space="0" w:color="auto"/>
                                  </w:divBdr>
                                  <w:divsChild>
                                    <w:div w:id="1372219453">
                                      <w:marLeft w:val="0"/>
                                      <w:marRight w:val="0"/>
                                      <w:marTop w:val="0"/>
                                      <w:marBottom w:val="0"/>
                                      <w:divBdr>
                                        <w:top w:val="none" w:sz="0" w:space="0" w:color="auto"/>
                                        <w:left w:val="none" w:sz="0" w:space="0" w:color="auto"/>
                                        <w:bottom w:val="none" w:sz="0" w:space="0" w:color="auto"/>
                                        <w:right w:val="none" w:sz="0" w:space="0" w:color="auto"/>
                                      </w:divBdr>
                                      <w:divsChild>
                                        <w:div w:id="846558378">
                                          <w:marLeft w:val="0"/>
                                          <w:marRight w:val="0"/>
                                          <w:marTop w:val="0"/>
                                          <w:marBottom w:val="0"/>
                                          <w:divBdr>
                                            <w:top w:val="none" w:sz="0" w:space="0" w:color="auto"/>
                                            <w:left w:val="none" w:sz="0" w:space="0" w:color="auto"/>
                                            <w:bottom w:val="none" w:sz="0" w:space="0" w:color="auto"/>
                                            <w:right w:val="none" w:sz="0" w:space="0" w:color="auto"/>
                                          </w:divBdr>
                                          <w:divsChild>
                                            <w:div w:id="1026709194">
                                              <w:marLeft w:val="0"/>
                                              <w:marRight w:val="0"/>
                                              <w:marTop w:val="0"/>
                                              <w:marBottom w:val="0"/>
                                              <w:divBdr>
                                                <w:top w:val="none" w:sz="0" w:space="0" w:color="auto"/>
                                                <w:left w:val="none" w:sz="0" w:space="0" w:color="auto"/>
                                                <w:bottom w:val="none" w:sz="0" w:space="0" w:color="auto"/>
                                                <w:right w:val="none" w:sz="0" w:space="0" w:color="auto"/>
                                              </w:divBdr>
                                              <w:divsChild>
                                                <w:div w:id="743069720">
                                                  <w:marLeft w:val="0"/>
                                                  <w:marRight w:val="0"/>
                                                  <w:marTop w:val="0"/>
                                                  <w:marBottom w:val="0"/>
                                                  <w:divBdr>
                                                    <w:top w:val="none" w:sz="0" w:space="0" w:color="auto"/>
                                                    <w:left w:val="none" w:sz="0" w:space="0" w:color="auto"/>
                                                    <w:bottom w:val="none" w:sz="0" w:space="0" w:color="auto"/>
                                                    <w:right w:val="none" w:sz="0" w:space="0" w:color="auto"/>
                                                  </w:divBdr>
                                                  <w:divsChild>
                                                    <w:div w:id="733090705">
                                                      <w:marLeft w:val="0"/>
                                                      <w:marRight w:val="0"/>
                                                      <w:marTop w:val="0"/>
                                                      <w:marBottom w:val="0"/>
                                                      <w:divBdr>
                                                        <w:top w:val="none" w:sz="0" w:space="0" w:color="auto"/>
                                                        <w:left w:val="none" w:sz="0" w:space="0" w:color="auto"/>
                                                        <w:bottom w:val="none" w:sz="0" w:space="0" w:color="auto"/>
                                                        <w:right w:val="none" w:sz="0" w:space="0" w:color="auto"/>
                                                      </w:divBdr>
                                                      <w:divsChild>
                                                        <w:div w:id="1726491175">
                                                          <w:marLeft w:val="0"/>
                                                          <w:marRight w:val="0"/>
                                                          <w:marTop w:val="0"/>
                                                          <w:marBottom w:val="0"/>
                                                          <w:divBdr>
                                                            <w:top w:val="none" w:sz="0" w:space="0" w:color="auto"/>
                                                            <w:left w:val="none" w:sz="0" w:space="0" w:color="auto"/>
                                                            <w:bottom w:val="none" w:sz="0" w:space="0" w:color="auto"/>
                                                            <w:right w:val="none" w:sz="0" w:space="0" w:color="auto"/>
                                                          </w:divBdr>
                                                          <w:divsChild>
                                                            <w:div w:id="472405474">
                                                              <w:marLeft w:val="0"/>
                                                              <w:marRight w:val="0"/>
                                                              <w:marTop w:val="0"/>
                                                              <w:marBottom w:val="0"/>
                                                              <w:divBdr>
                                                                <w:top w:val="none" w:sz="0" w:space="0" w:color="auto"/>
                                                                <w:left w:val="none" w:sz="0" w:space="0" w:color="auto"/>
                                                                <w:bottom w:val="none" w:sz="0" w:space="0" w:color="auto"/>
                                                                <w:right w:val="none" w:sz="0" w:space="0" w:color="auto"/>
                                                              </w:divBdr>
                                                              <w:divsChild>
                                                                <w:div w:id="2051417705">
                                                                  <w:marLeft w:val="0"/>
                                                                  <w:marRight w:val="0"/>
                                                                  <w:marTop w:val="0"/>
                                                                  <w:marBottom w:val="0"/>
                                                                  <w:divBdr>
                                                                    <w:top w:val="none" w:sz="0" w:space="0" w:color="auto"/>
                                                                    <w:left w:val="none" w:sz="0" w:space="0" w:color="auto"/>
                                                                    <w:bottom w:val="none" w:sz="0" w:space="0" w:color="auto"/>
                                                                    <w:right w:val="none" w:sz="0" w:space="0" w:color="auto"/>
                                                                  </w:divBdr>
                                                                  <w:divsChild>
                                                                    <w:div w:id="1522207424">
                                                                      <w:marLeft w:val="0"/>
                                                                      <w:marRight w:val="0"/>
                                                                      <w:marTop w:val="0"/>
                                                                      <w:marBottom w:val="0"/>
                                                                      <w:divBdr>
                                                                        <w:top w:val="none" w:sz="0" w:space="0" w:color="auto"/>
                                                                        <w:left w:val="none" w:sz="0" w:space="0" w:color="auto"/>
                                                                        <w:bottom w:val="none" w:sz="0" w:space="0" w:color="auto"/>
                                                                        <w:right w:val="none" w:sz="0" w:space="0" w:color="auto"/>
                                                                      </w:divBdr>
                                                                      <w:divsChild>
                                                                        <w:div w:id="662898481">
                                                                          <w:marLeft w:val="0"/>
                                                                          <w:marRight w:val="0"/>
                                                                          <w:marTop w:val="0"/>
                                                                          <w:marBottom w:val="0"/>
                                                                          <w:divBdr>
                                                                            <w:top w:val="none" w:sz="0" w:space="0" w:color="auto"/>
                                                                            <w:left w:val="none" w:sz="0" w:space="0" w:color="auto"/>
                                                                            <w:bottom w:val="none" w:sz="0" w:space="0" w:color="auto"/>
                                                                            <w:right w:val="none" w:sz="0" w:space="0" w:color="auto"/>
                                                                          </w:divBdr>
                                                                          <w:divsChild>
                                                                            <w:div w:id="2114325255">
                                                                              <w:marLeft w:val="0"/>
                                                                              <w:marRight w:val="0"/>
                                                                              <w:marTop w:val="0"/>
                                                                              <w:marBottom w:val="0"/>
                                                                              <w:divBdr>
                                                                                <w:top w:val="none" w:sz="0" w:space="0" w:color="auto"/>
                                                                                <w:left w:val="none" w:sz="0" w:space="0" w:color="auto"/>
                                                                                <w:bottom w:val="none" w:sz="0" w:space="0" w:color="auto"/>
                                                                                <w:right w:val="none" w:sz="0" w:space="0" w:color="auto"/>
                                                                              </w:divBdr>
                                                                              <w:divsChild>
                                                                                <w:div w:id="2075270239">
                                                                                  <w:marLeft w:val="0"/>
                                                                                  <w:marRight w:val="0"/>
                                                                                  <w:marTop w:val="0"/>
                                                                                  <w:marBottom w:val="0"/>
                                                                                  <w:divBdr>
                                                                                    <w:top w:val="none" w:sz="0" w:space="0" w:color="auto"/>
                                                                                    <w:left w:val="none" w:sz="0" w:space="0" w:color="auto"/>
                                                                                    <w:bottom w:val="none" w:sz="0" w:space="0" w:color="auto"/>
                                                                                    <w:right w:val="none" w:sz="0" w:space="0" w:color="auto"/>
                                                                                  </w:divBdr>
                                                                                  <w:divsChild>
                                                                                    <w:div w:id="1610119526">
                                                                                      <w:marLeft w:val="0"/>
                                                                                      <w:marRight w:val="0"/>
                                                                                      <w:marTop w:val="0"/>
                                                                                      <w:marBottom w:val="0"/>
                                                                                      <w:divBdr>
                                                                                        <w:top w:val="none" w:sz="0" w:space="0" w:color="auto"/>
                                                                                        <w:left w:val="none" w:sz="0" w:space="0" w:color="auto"/>
                                                                                        <w:bottom w:val="none" w:sz="0" w:space="0" w:color="auto"/>
                                                                                        <w:right w:val="none" w:sz="0" w:space="0" w:color="auto"/>
                                                                                      </w:divBdr>
                                                                                      <w:divsChild>
                                                                                        <w:div w:id="835026735">
                                                                                          <w:marLeft w:val="0"/>
                                                                                          <w:marRight w:val="0"/>
                                                                                          <w:marTop w:val="0"/>
                                                                                          <w:marBottom w:val="0"/>
                                                                                          <w:divBdr>
                                                                                            <w:top w:val="none" w:sz="0" w:space="0" w:color="auto"/>
                                                                                            <w:left w:val="none" w:sz="0" w:space="0" w:color="auto"/>
                                                                                            <w:bottom w:val="none" w:sz="0" w:space="0" w:color="auto"/>
                                                                                            <w:right w:val="none" w:sz="0" w:space="0" w:color="auto"/>
                                                                                          </w:divBdr>
                                                                                          <w:divsChild>
                                                                                            <w:div w:id="402878473">
                                                                                              <w:marLeft w:val="0"/>
                                                                                              <w:marRight w:val="0"/>
                                                                                              <w:marTop w:val="0"/>
                                                                                              <w:marBottom w:val="0"/>
                                                                                              <w:divBdr>
                                                                                                <w:top w:val="none" w:sz="0" w:space="0" w:color="auto"/>
                                                                                                <w:left w:val="none" w:sz="0" w:space="0" w:color="auto"/>
                                                                                                <w:bottom w:val="none" w:sz="0" w:space="0" w:color="auto"/>
                                                                                                <w:right w:val="none" w:sz="0" w:space="0" w:color="auto"/>
                                                                                              </w:divBdr>
                                                                                              <w:divsChild>
                                                                                                <w:div w:id="42758212">
                                                                                                  <w:marLeft w:val="0"/>
                                                                                                  <w:marRight w:val="0"/>
                                                                                                  <w:marTop w:val="0"/>
                                                                                                  <w:marBottom w:val="0"/>
                                                                                                  <w:divBdr>
                                                                                                    <w:top w:val="none" w:sz="0" w:space="0" w:color="auto"/>
                                                                                                    <w:left w:val="none" w:sz="0" w:space="0" w:color="auto"/>
                                                                                                    <w:bottom w:val="none" w:sz="0" w:space="0" w:color="auto"/>
                                                                                                    <w:right w:val="none" w:sz="0" w:space="0" w:color="auto"/>
                                                                                                  </w:divBdr>
                                                                                                  <w:divsChild>
                                                                                                    <w:div w:id="1793130746">
                                                                                                      <w:marLeft w:val="0"/>
                                                                                                      <w:marRight w:val="0"/>
                                                                                                      <w:marTop w:val="0"/>
                                                                                                      <w:marBottom w:val="0"/>
                                                                                                      <w:divBdr>
                                                                                                        <w:top w:val="none" w:sz="0" w:space="0" w:color="auto"/>
                                                                                                        <w:left w:val="none" w:sz="0" w:space="0" w:color="auto"/>
                                                                                                        <w:bottom w:val="none" w:sz="0" w:space="0" w:color="auto"/>
                                                                                                        <w:right w:val="none" w:sz="0" w:space="0" w:color="auto"/>
                                                                                                      </w:divBdr>
                                                                                                      <w:divsChild>
                                                                                                        <w:div w:id="694813778">
                                                                                                          <w:marLeft w:val="0"/>
                                                                                                          <w:marRight w:val="0"/>
                                                                                                          <w:marTop w:val="0"/>
                                                                                                          <w:marBottom w:val="0"/>
                                                                                                          <w:divBdr>
                                                                                                            <w:top w:val="none" w:sz="0" w:space="0" w:color="auto"/>
                                                                                                            <w:left w:val="none" w:sz="0" w:space="0" w:color="auto"/>
                                                                                                            <w:bottom w:val="none" w:sz="0" w:space="0" w:color="auto"/>
                                                                                                            <w:right w:val="none" w:sz="0" w:space="0" w:color="auto"/>
                                                                                                          </w:divBdr>
                                                                                                        </w:div>
                                                                                                        <w:div w:id="707024581">
                                                                                                          <w:marLeft w:val="0"/>
                                                                                                          <w:marRight w:val="0"/>
                                                                                                          <w:marTop w:val="0"/>
                                                                                                          <w:marBottom w:val="0"/>
                                                                                                          <w:divBdr>
                                                                                                            <w:top w:val="none" w:sz="0" w:space="0" w:color="auto"/>
                                                                                                            <w:left w:val="none" w:sz="0" w:space="0" w:color="auto"/>
                                                                                                            <w:bottom w:val="none" w:sz="0" w:space="0" w:color="auto"/>
                                                                                                            <w:right w:val="none" w:sz="0" w:space="0" w:color="auto"/>
                                                                                                          </w:divBdr>
                                                                                                        </w:div>
                                                                                                        <w:div w:id="868955839">
                                                                                                          <w:marLeft w:val="0"/>
                                                                                                          <w:marRight w:val="0"/>
                                                                                                          <w:marTop w:val="0"/>
                                                                                                          <w:marBottom w:val="0"/>
                                                                                                          <w:divBdr>
                                                                                                            <w:top w:val="none" w:sz="0" w:space="0" w:color="auto"/>
                                                                                                            <w:left w:val="none" w:sz="0" w:space="0" w:color="auto"/>
                                                                                                            <w:bottom w:val="none" w:sz="0" w:space="0" w:color="auto"/>
                                                                                                            <w:right w:val="none" w:sz="0" w:space="0" w:color="auto"/>
                                                                                                          </w:divBdr>
                                                                                                        </w:div>
                                                                                                        <w:div w:id="878199124">
                                                                                                          <w:marLeft w:val="0"/>
                                                                                                          <w:marRight w:val="0"/>
                                                                                                          <w:marTop w:val="0"/>
                                                                                                          <w:marBottom w:val="0"/>
                                                                                                          <w:divBdr>
                                                                                                            <w:top w:val="none" w:sz="0" w:space="0" w:color="auto"/>
                                                                                                            <w:left w:val="none" w:sz="0" w:space="0" w:color="auto"/>
                                                                                                            <w:bottom w:val="none" w:sz="0" w:space="0" w:color="auto"/>
                                                                                                            <w:right w:val="none" w:sz="0" w:space="0" w:color="auto"/>
                                                                                                          </w:divBdr>
                                                                                                        </w:div>
                                                                                                        <w:div w:id="1235778465">
                                                                                                          <w:marLeft w:val="0"/>
                                                                                                          <w:marRight w:val="0"/>
                                                                                                          <w:marTop w:val="0"/>
                                                                                                          <w:marBottom w:val="0"/>
                                                                                                          <w:divBdr>
                                                                                                            <w:top w:val="none" w:sz="0" w:space="0" w:color="auto"/>
                                                                                                            <w:left w:val="none" w:sz="0" w:space="0" w:color="auto"/>
                                                                                                            <w:bottom w:val="none" w:sz="0" w:space="0" w:color="auto"/>
                                                                                                            <w:right w:val="none" w:sz="0" w:space="0" w:color="auto"/>
                                                                                                          </w:divBdr>
                                                                                                        </w:div>
                                                                                                        <w:div w:id="1263953783">
                                                                                                          <w:marLeft w:val="0"/>
                                                                                                          <w:marRight w:val="0"/>
                                                                                                          <w:marTop w:val="0"/>
                                                                                                          <w:marBottom w:val="0"/>
                                                                                                          <w:divBdr>
                                                                                                            <w:top w:val="none" w:sz="0" w:space="0" w:color="auto"/>
                                                                                                            <w:left w:val="none" w:sz="0" w:space="0" w:color="auto"/>
                                                                                                            <w:bottom w:val="none" w:sz="0" w:space="0" w:color="auto"/>
                                                                                                            <w:right w:val="none" w:sz="0" w:space="0" w:color="auto"/>
                                                                                                          </w:divBdr>
                                                                                                        </w:div>
                                                                                                        <w:div w:id="1277757249">
                                                                                                          <w:marLeft w:val="0"/>
                                                                                                          <w:marRight w:val="0"/>
                                                                                                          <w:marTop w:val="0"/>
                                                                                                          <w:marBottom w:val="0"/>
                                                                                                          <w:divBdr>
                                                                                                            <w:top w:val="none" w:sz="0" w:space="0" w:color="auto"/>
                                                                                                            <w:left w:val="none" w:sz="0" w:space="0" w:color="auto"/>
                                                                                                            <w:bottom w:val="none" w:sz="0" w:space="0" w:color="auto"/>
                                                                                                            <w:right w:val="none" w:sz="0" w:space="0" w:color="auto"/>
                                                                                                          </w:divBdr>
                                                                                                        </w:div>
                                                                                                        <w:div w:id="1327785646">
                                                                                                          <w:marLeft w:val="0"/>
                                                                                                          <w:marRight w:val="0"/>
                                                                                                          <w:marTop w:val="0"/>
                                                                                                          <w:marBottom w:val="0"/>
                                                                                                          <w:divBdr>
                                                                                                            <w:top w:val="none" w:sz="0" w:space="0" w:color="auto"/>
                                                                                                            <w:left w:val="none" w:sz="0" w:space="0" w:color="auto"/>
                                                                                                            <w:bottom w:val="none" w:sz="0" w:space="0" w:color="auto"/>
                                                                                                            <w:right w:val="none" w:sz="0" w:space="0" w:color="auto"/>
                                                                                                          </w:divBdr>
                                                                                                        </w:div>
                                                                                                        <w:div w:id="1338463208">
                                                                                                          <w:marLeft w:val="0"/>
                                                                                                          <w:marRight w:val="0"/>
                                                                                                          <w:marTop w:val="0"/>
                                                                                                          <w:marBottom w:val="0"/>
                                                                                                          <w:divBdr>
                                                                                                            <w:top w:val="none" w:sz="0" w:space="0" w:color="auto"/>
                                                                                                            <w:left w:val="none" w:sz="0" w:space="0" w:color="auto"/>
                                                                                                            <w:bottom w:val="none" w:sz="0" w:space="0" w:color="auto"/>
                                                                                                            <w:right w:val="none" w:sz="0" w:space="0" w:color="auto"/>
                                                                                                          </w:divBdr>
                                                                                                        </w:div>
                                                                                                        <w:div w:id="1342972361">
                                                                                                          <w:marLeft w:val="0"/>
                                                                                                          <w:marRight w:val="0"/>
                                                                                                          <w:marTop w:val="0"/>
                                                                                                          <w:marBottom w:val="0"/>
                                                                                                          <w:divBdr>
                                                                                                            <w:top w:val="none" w:sz="0" w:space="0" w:color="auto"/>
                                                                                                            <w:left w:val="none" w:sz="0" w:space="0" w:color="auto"/>
                                                                                                            <w:bottom w:val="none" w:sz="0" w:space="0" w:color="auto"/>
                                                                                                            <w:right w:val="none" w:sz="0" w:space="0" w:color="auto"/>
                                                                                                          </w:divBdr>
                                                                                                        </w:div>
                                                                                                        <w:div w:id="1443766670">
                                                                                                          <w:marLeft w:val="0"/>
                                                                                                          <w:marRight w:val="0"/>
                                                                                                          <w:marTop w:val="0"/>
                                                                                                          <w:marBottom w:val="0"/>
                                                                                                          <w:divBdr>
                                                                                                            <w:top w:val="none" w:sz="0" w:space="0" w:color="auto"/>
                                                                                                            <w:left w:val="none" w:sz="0" w:space="0" w:color="auto"/>
                                                                                                            <w:bottom w:val="none" w:sz="0" w:space="0" w:color="auto"/>
                                                                                                            <w:right w:val="none" w:sz="0" w:space="0" w:color="auto"/>
                                                                                                          </w:divBdr>
                                                                                                        </w:div>
                                                                                                        <w:div w:id="1488596279">
                                                                                                          <w:marLeft w:val="0"/>
                                                                                                          <w:marRight w:val="0"/>
                                                                                                          <w:marTop w:val="0"/>
                                                                                                          <w:marBottom w:val="0"/>
                                                                                                          <w:divBdr>
                                                                                                            <w:top w:val="none" w:sz="0" w:space="0" w:color="auto"/>
                                                                                                            <w:left w:val="none" w:sz="0" w:space="0" w:color="auto"/>
                                                                                                            <w:bottom w:val="none" w:sz="0" w:space="0" w:color="auto"/>
                                                                                                            <w:right w:val="none" w:sz="0" w:space="0" w:color="auto"/>
                                                                                                          </w:divBdr>
                                                                                                        </w:div>
                                                                                                        <w:div w:id="1554805166">
                                                                                                          <w:marLeft w:val="0"/>
                                                                                                          <w:marRight w:val="0"/>
                                                                                                          <w:marTop w:val="0"/>
                                                                                                          <w:marBottom w:val="0"/>
                                                                                                          <w:divBdr>
                                                                                                            <w:top w:val="none" w:sz="0" w:space="0" w:color="auto"/>
                                                                                                            <w:left w:val="none" w:sz="0" w:space="0" w:color="auto"/>
                                                                                                            <w:bottom w:val="none" w:sz="0" w:space="0" w:color="auto"/>
                                                                                                            <w:right w:val="none" w:sz="0" w:space="0" w:color="auto"/>
                                                                                                          </w:divBdr>
                                                                                                        </w:div>
                                                                                                        <w:div w:id="1568028534">
                                                                                                          <w:marLeft w:val="0"/>
                                                                                                          <w:marRight w:val="0"/>
                                                                                                          <w:marTop w:val="0"/>
                                                                                                          <w:marBottom w:val="0"/>
                                                                                                          <w:divBdr>
                                                                                                            <w:top w:val="none" w:sz="0" w:space="0" w:color="auto"/>
                                                                                                            <w:left w:val="none" w:sz="0" w:space="0" w:color="auto"/>
                                                                                                            <w:bottom w:val="none" w:sz="0" w:space="0" w:color="auto"/>
                                                                                                            <w:right w:val="none" w:sz="0" w:space="0" w:color="auto"/>
                                                                                                          </w:divBdr>
                                                                                                        </w:div>
                                                                                                        <w:div w:id="1756392154">
                                                                                                          <w:marLeft w:val="0"/>
                                                                                                          <w:marRight w:val="0"/>
                                                                                                          <w:marTop w:val="0"/>
                                                                                                          <w:marBottom w:val="0"/>
                                                                                                          <w:divBdr>
                                                                                                            <w:top w:val="none" w:sz="0" w:space="0" w:color="auto"/>
                                                                                                            <w:left w:val="none" w:sz="0" w:space="0" w:color="auto"/>
                                                                                                            <w:bottom w:val="none" w:sz="0" w:space="0" w:color="auto"/>
                                                                                                            <w:right w:val="none" w:sz="0" w:space="0" w:color="auto"/>
                                                                                                          </w:divBdr>
                                                                                                        </w:div>
                                                                                                        <w:div w:id="1794707299">
                                                                                                          <w:marLeft w:val="0"/>
                                                                                                          <w:marRight w:val="0"/>
                                                                                                          <w:marTop w:val="0"/>
                                                                                                          <w:marBottom w:val="0"/>
                                                                                                          <w:divBdr>
                                                                                                            <w:top w:val="none" w:sz="0" w:space="0" w:color="auto"/>
                                                                                                            <w:left w:val="none" w:sz="0" w:space="0" w:color="auto"/>
                                                                                                            <w:bottom w:val="none" w:sz="0" w:space="0" w:color="auto"/>
                                                                                                            <w:right w:val="none" w:sz="0" w:space="0" w:color="auto"/>
                                                                                                          </w:divBdr>
                                                                                                        </w:div>
                                                                                                        <w:div w:id="1936866353">
                                                                                                          <w:marLeft w:val="0"/>
                                                                                                          <w:marRight w:val="0"/>
                                                                                                          <w:marTop w:val="0"/>
                                                                                                          <w:marBottom w:val="0"/>
                                                                                                          <w:divBdr>
                                                                                                            <w:top w:val="none" w:sz="0" w:space="0" w:color="auto"/>
                                                                                                            <w:left w:val="none" w:sz="0" w:space="0" w:color="auto"/>
                                                                                                            <w:bottom w:val="none" w:sz="0" w:space="0" w:color="auto"/>
                                                                                                            <w:right w:val="none" w:sz="0" w:space="0" w:color="auto"/>
                                                                                                          </w:divBdr>
                                                                                                        </w:div>
                                                                                                        <w:div w:id="1961305514">
                                                                                                          <w:marLeft w:val="0"/>
                                                                                                          <w:marRight w:val="0"/>
                                                                                                          <w:marTop w:val="0"/>
                                                                                                          <w:marBottom w:val="0"/>
                                                                                                          <w:divBdr>
                                                                                                            <w:top w:val="none" w:sz="0" w:space="0" w:color="auto"/>
                                                                                                            <w:left w:val="none" w:sz="0" w:space="0" w:color="auto"/>
                                                                                                            <w:bottom w:val="none" w:sz="0" w:space="0" w:color="auto"/>
                                                                                                            <w:right w:val="none" w:sz="0" w:space="0" w:color="auto"/>
                                                                                                          </w:divBdr>
                                                                                                        </w:div>
                                                                                                        <w:div w:id="2039046496">
                                                                                                          <w:marLeft w:val="0"/>
                                                                                                          <w:marRight w:val="0"/>
                                                                                                          <w:marTop w:val="0"/>
                                                                                                          <w:marBottom w:val="0"/>
                                                                                                          <w:divBdr>
                                                                                                            <w:top w:val="none" w:sz="0" w:space="0" w:color="auto"/>
                                                                                                            <w:left w:val="none" w:sz="0" w:space="0" w:color="auto"/>
                                                                                                            <w:bottom w:val="none" w:sz="0" w:space="0" w:color="auto"/>
                                                                                                            <w:right w:val="none" w:sz="0" w:space="0" w:color="auto"/>
                                                                                                          </w:divBdr>
                                                                                                        </w:div>
                                                                                                        <w:div w:id="21468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488274">
      <w:bodyDiv w:val="1"/>
      <w:marLeft w:val="0"/>
      <w:marRight w:val="0"/>
      <w:marTop w:val="0"/>
      <w:marBottom w:val="0"/>
      <w:divBdr>
        <w:top w:val="none" w:sz="0" w:space="0" w:color="auto"/>
        <w:left w:val="none" w:sz="0" w:space="0" w:color="auto"/>
        <w:bottom w:val="none" w:sz="0" w:space="0" w:color="auto"/>
        <w:right w:val="none" w:sz="0" w:space="0" w:color="auto"/>
      </w:divBdr>
    </w:div>
    <w:div w:id="1044990582">
      <w:bodyDiv w:val="1"/>
      <w:marLeft w:val="0"/>
      <w:marRight w:val="0"/>
      <w:marTop w:val="0"/>
      <w:marBottom w:val="0"/>
      <w:divBdr>
        <w:top w:val="none" w:sz="0" w:space="0" w:color="auto"/>
        <w:left w:val="none" w:sz="0" w:space="0" w:color="auto"/>
        <w:bottom w:val="none" w:sz="0" w:space="0" w:color="auto"/>
        <w:right w:val="none" w:sz="0" w:space="0" w:color="auto"/>
      </w:divBdr>
    </w:div>
    <w:div w:id="1083382313">
      <w:bodyDiv w:val="1"/>
      <w:marLeft w:val="0"/>
      <w:marRight w:val="0"/>
      <w:marTop w:val="0"/>
      <w:marBottom w:val="0"/>
      <w:divBdr>
        <w:top w:val="none" w:sz="0" w:space="0" w:color="auto"/>
        <w:left w:val="none" w:sz="0" w:space="0" w:color="auto"/>
        <w:bottom w:val="none" w:sz="0" w:space="0" w:color="auto"/>
        <w:right w:val="none" w:sz="0" w:space="0" w:color="auto"/>
      </w:divBdr>
    </w:div>
    <w:div w:id="1133058936">
      <w:bodyDiv w:val="1"/>
      <w:marLeft w:val="0"/>
      <w:marRight w:val="0"/>
      <w:marTop w:val="0"/>
      <w:marBottom w:val="0"/>
      <w:divBdr>
        <w:top w:val="none" w:sz="0" w:space="0" w:color="auto"/>
        <w:left w:val="none" w:sz="0" w:space="0" w:color="auto"/>
        <w:bottom w:val="none" w:sz="0" w:space="0" w:color="auto"/>
        <w:right w:val="none" w:sz="0" w:space="0" w:color="auto"/>
      </w:divBdr>
    </w:div>
    <w:div w:id="1186557444">
      <w:bodyDiv w:val="1"/>
      <w:marLeft w:val="0"/>
      <w:marRight w:val="0"/>
      <w:marTop w:val="0"/>
      <w:marBottom w:val="0"/>
      <w:divBdr>
        <w:top w:val="none" w:sz="0" w:space="0" w:color="auto"/>
        <w:left w:val="none" w:sz="0" w:space="0" w:color="auto"/>
        <w:bottom w:val="none" w:sz="0" w:space="0" w:color="auto"/>
        <w:right w:val="none" w:sz="0" w:space="0" w:color="auto"/>
      </w:divBdr>
    </w:div>
    <w:div w:id="1187400898">
      <w:bodyDiv w:val="1"/>
      <w:marLeft w:val="0"/>
      <w:marRight w:val="0"/>
      <w:marTop w:val="0"/>
      <w:marBottom w:val="0"/>
      <w:divBdr>
        <w:top w:val="none" w:sz="0" w:space="0" w:color="auto"/>
        <w:left w:val="none" w:sz="0" w:space="0" w:color="auto"/>
        <w:bottom w:val="none" w:sz="0" w:space="0" w:color="auto"/>
        <w:right w:val="none" w:sz="0" w:space="0" w:color="auto"/>
      </w:divBdr>
    </w:div>
    <w:div w:id="1223055520">
      <w:bodyDiv w:val="1"/>
      <w:marLeft w:val="0"/>
      <w:marRight w:val="0"/>
      <w:marTop w:val="0"/>
      <w:marBottom w:val="0"/>
      <w:divBdr>
        <w:top w:val="none" w:sz="0" w:space="0" w:color="auto"/>
        <w:left w:val="none" w:sz="0" w:space="0" w:color="auto"/>
        <w:bottom w:val="none" w:sz="0" w:space="0" w:color="auto"/>
        <w:right w:val="none" w:sz="0" w:space="0" w:color="auto"/>
      </w:divBdr>
    </w:div>
    <w:div w:id="1260992147">
      <w:bodyDiv w:val="1"/>
      <w:marLeft w:val="0"/>
      <w:marRight w:val="0"/>
      <w:marTop w:val="0"/>
      <w:marBottom w:val="0"/>
      <w:divBdr>
        <w:top w:val="none" w:sz="0" w:space="0" w:color="auto"/>
        <w:left w:val="none" w:sz="0" w:space="0" w:color="auto"/>
        <w:bottom w:val="none" w:sz="0" w:space="0" w:color="auto"/>
        <w:right w:val="none" w:sz="0" w:space="0" w:color="auto"/>
      </w:divBdr>
    </w:div>
    <w:div w:id="1290625777">
      <w:bodyDiv w:val="1"/>
      <w:marLeft w:val="0"/>
      <w:marRight w:val="0"/>
      <w:marTop w:val="0"/>
      <w:marBottom w:val="0"/>
      <w:divBdr>
        <w:top w:val="none" w:sz="0" w:space="0" w:color="auto"/>
        <w:left w:val="none" w:sz="0" w:space="0" w:color="auto"/>
        <w:bottom w:val="none" w:sz="0" w:space="0" w:color="auto"/>
        <w:right w:val="none" w:sz="0" w:space="0" w:color="auto"/>
      </w:divBdr>
    </w:div>
    <w:div w:id="1304196642">
      <w:bodyDiv w:val="1"/>
      <w:marLeft w:val="0"/>
      <w:marRight w:val="0"/>
      <w:marTop w:val="0"/>
      <w:marBottom w:val="0"/>
      <w:divBdr>
        <w:top w:val="none" w:sz="0" w:space="0" w:color="auto"/>
        <w:left w:val="none" w:sz="0" w:space="0" w:color="auto"/>
        <w:bottom w:val="none" w:sz="0" w:space="0" w:color="auto"/>
        <w:right w:val="none" w:sz="0" w:space="0" w:color="auto"/>
      </w:divBdr>
      <w:divsChild>
        <w:div w:id="1661159554">
          <w:marLeft w:val="0"/>
          <w:marRight w:val="446"/>
          <w:marTop w:val="0"/>
          <w:marBottom w:val="240"/>
          <w:divBdr>
            <w:top w:val="none" w:sz="0" w:space="0" w:color="auto"/>
            <w:left w:val="none" w:sz="0" w:space="0" w:color="auto"/>
            <w:bottom w:val="none" w:sz="0" w:space="0" w:color="auto"/>
            <w:right w:val="none" w:sz="0" w:space="0" w:color="auto"/>
          </w:divBdr>
        </w:div>
      </w:divsChild>
    </w:div>
    <w:div w:id="1314286792">
      <w:bodyDiv w:val="1"/>
      <w:marLeft w:val="0"/>
      <w:marRight w:val="0"/>
      <w:marTop w:val="0"/>
      <w:marBottom w:val="0"/>
      <w:divBdr>
        <w:top w:val="none" w:sz="0" w:space="0" w:color="auto"/>
        <w:left w:val="none" w:sz="0" w:space="0" w:color="auto"/>
        <w:bottom w:val="none" w:sz="0" w:space="0" w:color="auto"/>
        <w:right w:val="none" w:sz="0" w:space="0" w:color="auto"/>
      </w:divBdr>
    </w:div>
    <w:div w:id="1394698721">
      <w:bodyDiv w:val="1"/>
      <w:marLeft w:val="0"/>
      <w:marRight w:val="0"/>
      <w:marTop w:val="0"/>
      <w:marBottom w:val="0"/>
      <w:divBdr>
        <w:top w:val="none" w:sz="0" w:space="0" w:color="auto"/>
        <w:left w:val="none" w:sz="0" w:space="0" w:color="auto"/>
        <w:bottom w:val="none" w:sz="0" w:space="0" w:color="auto"/>
        <w:right w:val="none" w:sz="0" w:space="0" w:color="auto"/>
      </w:divBdr>
    </w:div>
    <w:div w:id="1445297746">
      <w:bodyDiv w:val="1"/>
      <w:marLeft w:val="0"/>
      <w:marRight w:val="0"/>
      <w:marTop w:val="0"/>
      <w:marBottom w:val="0"/>
      <w:divBdr>
        <w:top w:val="none" w:sz="0" w:space="0" w:color="auto"/>
        <w:left w:val="none" w:sz="0" w:space="0" w:color="auto"/>
        <w:bottom w:val="none" w:sz="0" w:space="0" w:color="auto"/>
        <w:right w:val="none" w:sz="0" w:space="0" w:color="auto"/>
      </w:divBdr>
    </w:div>
    <w:div w:id="1448963248">
      <w:bodyDiv w:val="1"/>
      <w:marLeft w:val="0"/>
      <w:marRight w:val="0"/>
      <w:marTop w:val="0"/>
      <w:marBottom w:val="0"/>
      <w:divBdr>
        <w:top w:val="none" w:sz="0" w:space="0" w:color="auto"/>
        <w:left w:val="none" w:sz="0" w:space="0" w:color="auto"/>
        <w:bottom w:val="none" w:sz="0" w:space="0" w:color="auto"/>
        <w:right w:val="none" w:sz="0" w:space="0" w:color="auto"/>
      </w:divBdr>
    </w:div>
    <w:div w:id="1555390976">
      <w:bodyDiv w:val="1"/>
      <w:marLeft w:val="0"/>
      <w:marRight w:val="0"/>
      <w:marTop w:val="0"/>
      <w:marBottom w:val="0"/>
      <w:divBdr>
        <w:top w:val="none" w:sz="0" w:space="0" w:color="auto"/>
        <w:left w:val="none" w:sz="0" w:space="0" w:color="auto"/>
        <w:bottom w:val="none" w:sz="0" w:space="0" w:color="auto"/>
        <w:right w:val="none" w:sz="0" w:space="0" w:color="auto"/>
      </w:divBdr>
    </w:div>
    <w:div w:id="1559389952">
      <w:bodyDiv w:val="1"/>
      <w:marLeft w:val="0"/>
      <w:marRight w:val="0"/>
      <w:marTop w:val="0"/>
      <w:marBottom w:val="0"/>
      <w:divBdr>
        <w:top w:val="none" w:sz="0" w:space="0" w:color="auto"/>
        <w:left w:val="none" w:sz="0" w:space="0" w:color="auto"/>
        <w:bottom w:val="none" w:sz="0" w:space="0" w:color="auto"/>
        <w:right w:val="none" w:sz="0" w:space="0" w:color="auto"/>
      </w:divBdr>
      <w:divsChild>
        <w:div w:id="2085224510">
          <w:marLeft w:val="0"/>
          <w:marRight w:val="547"/>
          <w:marTop w:val="0"/>
          <w:marBottom w:val="120"/>
          <w:divBdr>
            <w:top w:val="none" w:sz="0" w:space="0" w:color="auto"/>
            <w:left w:val="none" w:sz="0" w:space="0" w:color="auto"/>
            <w:bottom w:val="none" w:sz="0" w:space="0" w:color="auto"/>
            <w:right w:val="none" w:sz="0" w:space="0" w:color="auto"/>
          </w:divBdr>
        </w:div>
      </w:divsChild>
    </w:div>
    <w:div w:id="1592816708">
      <w:bodyDiv w:val="1"/>
      <w:marLeft w:val="0"/>
      <w:marRight w:val="0"/>
      <w:marTop w:val="0"/>
      <w:marBottom w:val="0"/>
      <w:divBdr>
        <w:top w:val="none" w:sz="0" w:space="0" w:color="auto"/>
        <w:left w:val="none" w:sz="0" w:space="0" w:color="auto"/>
        <w:bottom w:val="none" w:sz="0" w:space="0" w:color="auto"/>
        <w:right w:val="none" w:sz="0" w:space="0" w:color="auto"/>
      </w:divBdr>
    </w:div>
    <w:div w:id="1597058582">
      <w:bodyDiv w:val="1"/>
      <w:marLeft w:val="0"/>
      <w:marRight w:val="0"/>
      <w:marTop w:val="0"/>
      <w:marBottom w:val="0"/>
      <w:divBdr>
        <w:top w:val="none" w:sz="0" w:space="0" w:color="auto"/>
        <w:left w:val="none" w:sz="0" w:space="0" w:color="auto"/>
        <w:bottom w:val="none" w:sz="0" w:space="0" w:color="auto"/>
        <w:right w:val="none" w:sz="0" w:space="0" w:color="auto"/>
      </w:divBdr>
    </w:div>
    <w:div w:id="1625231153">
      <w:bodyDiv w:val="1"/>
      <w:marLeft w:val="0"/>
      <w:marRight w:val="0"/>
      <w:marTop w:val="0"/>
      <w:marBottom w:val="0"/>
      <w:divBdr>
        <w:top w:val="none" w:sz="0" w:space="0" w:color="auto"/>
        <w:left w:val="none" w:sz="0" w:space="0" w:color="auto"/>
        <w:bottom w:val="none" w:sz="0" w:space="0" w:color="auto"/>
        <w:right w:val="none" w:sz="0" w:space="0" w:color="auto"/>
      </w:divBdr>
      <w:divsChild>
        <w:div w:id="358897659">
          <w:marLeft w:val="0"/>
          <w:marRight w:val="720"/>
          <w:marTop w:val="0"/>
          <w:marBottom w:val="0"/>
          <w:divBdr>
            <w:top w:val="none" w:sz="0" w:space="0" w:color="auto"/>
            <w:left w:val="none" w:sz="0" w:space="0" w:color="auto"/>
            <w:bottom w:val="none" w:sz="0" w:space="0" w:color="auto"/>
            <w:right w:val="none" w:sz="0" w:space="0" w:color="auto"/>
          </w:divBdr>
        </w:div>
        <w:div w:id="1365986394">
          <w:marLeft w:val="0"/>
          <w:marRight w:val="1267"/>
          <w:marTop w:val="0"/>
          <w:marBottom w:val="0"/>
          <w:divBdr>
            <w:top w:val="none" w:sz="0" w:space="0" w:color="auto"/>
            <w:left w:val="none" w:sz="0" w:space="0" w:color="auto"/>
            <w:bottom w:val="none" w:sz="0" w:space="0" w:color="auto"/>
            <w:right w:val="none" w:sz="0" w:space="0" w:color="auto"/>
          </w:divBdr>
        </w:div>
        <w:div w:id="1453209409">
          <w:marLeft w:val="0"/>
          <w:marRight w:val="1267"/>
          <w:marTop w:val="0"/>
          <w:marBottom w:val="0"/>
          <w:divBdr>
            <w:top w:val="none" w:sz="0" w:space="0" w:color="auto"/>
            <w:left w:val="none" w:sz="0" w:space="0" w:color="auto"/>
            <w:bottom w:val="none" w:sz="0" w:space="0" w:color="auto"/>
            <w:right w:val="none" w:sz="0" w:space="0" w:color="auto"/>
          </w:divBdr>
        </w:div>
        <w:div w:id="1963068817">
          <w:marLeft w:val="0"/>
          <w:marRight w:val="1267"/>
          <w:marTop w:val="0"/>
          <w:marBottom w:val="0"/>
          <w:divBdr>
            <w:top w:val="none" w:sz="0" w:space="0" w:color="auto"/>
            <w:left w:val="none" w:sz="0" w:space="0" w:color="auto"/>
            <w:bottom w:val="none" w:sz="0" w:space="0" w:color="auto"/>
            <w:right w:val="none" w:sz="0" w:space="0" w:color="auto"/>
          </w:divBdr>
        </w:div>
        <w:div w:id="1973057670">
          <w:marLeft w:val="0"/>
          <w:marRight w:val="547"/>
          <w:marTop w:val="0"/>
          <w:marBottom w:val="0"/>
          <w:divBdr>
            <w:top w:val="none" w:sz="0" w:space="0" w:color="auto"/>
            <w:left w:val="none" w:sz="0" w:space="0" w:color="auto"/>
            <w:bottom w:val="none" w:sz="0" w:space="0" w:color="auto"/>
            <w:right w:val="none" w:sz="0" w:space="0" w:color="auto"/>
          </w:divBdr>
        </w:div>
      </w:divsChild>
    </w:div>
    <w:div w:id="1653217394">
      <w:bodyDiv w:val="1"/>
      <w:marLeft w:val="0"/>
      <w:marRight w:val="0"/>
      <w:marTop w:val="0"/>
      <w:marBottom w:val="0"/>
      <w:divBdr>
        <w:top w:val="none" w:sz="0" w:space="0" w:color="auto"/>
        <w:left w:val="none" w:sz="0" w:space="0" w:color="auto"/>
        <w:bottom w:val="none" w:sz="0" w:space="0" w:color="auto"/>
        <w:right w:val="none" w:sz="0" w:space="0" w:color="auto"/>
      </w:divBdr>
    </w:div>
    <w:div w:id="1708480497">
      <w:bodyDiv w:val="1"/>
      <w:marLeft w:val="0"/>
      <w:marRight w:val="0"/>
      <w:marTop w:val="0"/>
      <w:marBottom w:val="0"/>
      <w:divBdr>
        <w:top w:val="none" w:sz="0" w:space="0" w:color="auto"/>
        <w:left w:val="none" w:sz="0" w:space="0" w:color="auto"/>
        <w:bottom w:val="none" w:sz="0" w:space="0" w:color="auto"/>
        <w:right w:val="none" w:sz="0" w:space="0" w:color="auto"/>
      </w:divBdr>
    </w:div>
    <w:div w:id="1720787511">
      <w:bodyDiv w:val="1"/>
      <w:marLeft w:val="0"/>
      <w:marRight w:val="0"/>
      <w:marTop w:val="0"/>
      <w:marBottom w:val="0"/>
      <w:divBdr>
        <w:top w:val="none" w:sz="0" w:space="0" w:color="auto"/>
        <w:left w:val="none" w:sz="0" w:space="0" w:color="auto"/>
        <w:bottom w:val="none" w:sz="0" w:space="0" w:color="auto"/>
        <w:right w:val="none" w:sz="0" w:space="0" w:color="auto"/>
      </w:divBdr>
    </w:div>
    <w:div w:id="1731884738">
      <w:bodyDiv w:val="1"/>
      <w:marLeft w:val="0"/>
      <w:marRight w:val="0"/>
      <w:marTop w:val="0"/>
      <w:marBottom w:val="0"/>
      <w:divBdr>
        <w:top w:val="none" w:sz="0" w:space="0" w:color="auto"/>
        <w:left w:val="none" w:sz="0" w:space="0" w:color="auto"/>
        <w:bottom w:val="none" w:sz="0" w:space="0" w:color="auto"/>
        <w:right w:val="none" w:sz="0" w:space="0" w:color="auto"/>
      </w:divBdr>
    </w:div>
    <w:div w:id="1762143945">
      <w:bodyDiv w:val="1"/>
      <w:marLeft w:val="0"/>
      <w:marRight w:val="0"/>
      <w:marTop w:val="0"/>
      <w:marBottom w:val="0"/>
      <w:divBdr>
        <w:top w:val="none" w:sz="0" w:space="0" w:color="auto"/>
        <w:left w:val="none" w:sz="0" w:space="0" w:color="auto"/>
        <w:bottom w:val="none" w:sz="0" w:space="0" w:color="auto"/>
        <w:right w:val="none" w:sz="0" w:space="0" w:color="auto"/>
      </w:divBdr>
    </w:div>
    <w:div w:id="1771461352">
      <w:bodyDiv w:val="1"/>
      <w:marLeft w:val="0"/>
      <w:marRight w:val="0"/>
      <w:marTop w:val="0"/>
      <w:marBottom w:val="0"/>
      <w:divBdr>
        <w:top w:val="none" w:sz="0" w:space="0" w:color="auto"/>
        <w:left w:val="none" w:sz="0" w:space="0" w:color="auto"/>
        <w:bottom w:val="none" w:sz="0" w:space="0" w:color="auto"/>
        <w:right w:val="none" w:sz="0" w:space="0" w:color="auto"/>
      </w:divBdr>
    </w:div>
    <w:div w:id="1780493706">
      <w:bodyDiv w:val="1"/>
      <w:marLeft w:val="0"/>
      <w:marRight w:val="0"/>
      <w:marTop w:val="0"/>
      <w:marBottom w:val="0"/>
      <w:divBdr>
        <w:top w:val="none" w:sz="0" w:space="0" w:color="auto"/>
        <w:left w:val="none" w:sz="0" w:space="0" w:color="auto"/>
        <w:bottom w:val="none" w:sz="0" w:space="0" w:color="auto"/>
        <w:right w:val="none" w:sz="0" w:space="0" w:color="auto"/>
      </w:divBdr>
      <w:divsChild>
        <w:div w:id="675619347">
          <w:marLeft w:val="0"/>
          <w:marRight w:val="547"/>
          <w:marTop w:val="0"/>
          <w:marBottom w:val="120"/>
          <w:divBdr>
            <w:top w:val="none" w:sz="0" w:space="0" w:color="auto"/>
            <w:left w:val="none" w:sz="0" w:space="0" w:color="auto"/>
            <w:bottom w:val="none" w:sz="0" w:space="0" w:color="auto"/>
            <w:right w:val="none" w:sz="0" w:space="0" w:color="auto"/>
          </w:divBdr>
        </w:div>
        <w:div w:id="1684433490">
          <w:marLeft w:val="0"/>
          <w:marRight w:val="547"/>
          <w:marTop w:val="0"/>
          <w:marBottom w:val="120"/>
          <w:divBdr>
            <w:top w:val="none" w:sz="0" w:space="0" w:color="auto"/>
            <w:left w:val="none" w:sz="0" w:space="0" w:color="auto"/>
            <w:bottom w:val="none" w:sz="0" w:space="0" w:color="auto"/>
            <w:right w:val="none" w:sz="0" w:space="0" w:color="auto"/>
          </w:divBdr>
        </w:div>
        <w:div w:id="1822503270">
          <w:marLeft w:val="0"/>
          <w:marRight w:val="547"/>
          <w:marTop w:val="0"/>
          <w:marBottom w:val="120"/>
          <w:divBdr>
            <w:top w:val="none" w:sz="0" w:space="0" w:color="auto"/>
            <w:left w:val="none" w:sz="0" w:space="0" w:color="auto"/>
            <w:bottom w:val="none" w:sz="0" w:space="0" w:color="auto"/>
            <w:right w:val="none" w:sz="0" w:space="0" w:color="auto"/>
          </w:divBdr>
        </w:div>
      </w:divsChild>
    </w:div>
    <w:div w:id="1794861593">
      <w:bodyDiv w:val="1"/>
      <w:marLeft w:val="0"/>
      <w:marRight w:val="0"/>
      <w:marTop w:val="0"/>
      <w:marBottom w:val="0"/>
      <w:divBdr>
        <w:top w:val="none" w:sz="0" w:space="0" w:color="auto"/>
        <w:left w:val="none" w:sz="0" w:space="0" w:color="auto"/>
        <w:bottom w:val="none" w:sz="0" w:space="0" w:color="auto"/>
        <w:right w:val="none" w:sz="0" w:space="0" w:color="auto"/>
      </w:divBdr>
    </w:div>
    <w:div w:id="1809476148">
      <w:bodyDiv w:val="1"/>
      <w:marLeft w:val="0"/>
      <w:marRight w:val="0"/>
      <w:marTop w:val="0"/>
      <w:marBottom w:val="0"/>
      <w:divBdr>
        <w:top w:val="none" w:sz="0" w:space="0" w:color="auto"/>
        <w:left w:val="none" w:sz="0" w:space="0" w:color="auto"/>
        <w:bottom w:val="none" w:sz="0" w:space="0" w:color="auto"/>
        <w:right w:val="none" w:sz="0" w:space="0" w:color="auto"/>
      </w:divBdr>
      <w:divsChild>
        <w:div w:id="981428147">
          <w:marLeft w:val="0"/>
          <w:marRight w:val="547"/>
          <w:marTop w:val="0"/>
          <w:marBottom w:val="120"/>
          <w:divBdr>
            <w:top w:val="none" w:sz="0" w:space="0" w:color="auto"/>
            <w:left w:val="none" w:sz="0" w:space="0" w:color="auto"/>
            <w:bottom w:val="none" w:sz="0" w:space="0" w:color="auto"/>
            <w:right w:val="none" w:sz="0" w:space="0" w:color="auto"/>
          </w:divBdr>
        </w:div>
      </w:divsChild>
    </w:div>
    <w:div w:id="1823504719">
      <w:bodyDiv w:val="1"/>
      <w:marLeft w:val="0"/>
      <w:marRight w:val="0"/>
      <w:marTop w:val="0"/>
      <w:marBottom w:val="0"/>
      <w:divBdr>
        <w:top w:val="none" w:sz="0" w:space="0" w:color="auto"/>
        <w:left w:val="none" w:sz="0" w:space="0" w:color="auto"/>
        <w:bottom w:val="none" w:sz="0" w:space="0" w:color="auto"/>
        <w:right w:val="none" w:sz="0" w:space="0" w:color="auto"/>
      </w:divBdr>
    </w:div>
    <w:div w:id="1837189488">
      <w:bodyDiv w:val="1"/>
      <w:marLeft w:val="0"/>
      <w:marRight w:val="0"/>
      <w:marTop w:val="0"/>
      <w:marBottom w:val="0"/>
      <w:divBdr>
        <w:top w:val="none" w:sz="0" w:space="0" w:color="auto"/>
        <w:left w:val="none" w:sz="0" w:space="0" w:color="auto"/>
        <w:bottom w:val="none" w:sz="0" w:space="0" w:color="auto"/>
        <w:right w:val="none" w:sz="0" w:space="0" w:color="auto"/>
      </w:divBdr>
    </w:div>
    <w:div w:id="1884713247">
      <w:bodyDiv w:val="1"/>
      <w:marLeft w:val="0"/>
      <w:marRight w:val="0"/>
      <w:marTop w:val="0"/>
      <w:marBottom w:val="0"/>
      <w:divBdr>
        <w:top w:val="none" w:sz="0" w:space="0" w:color="auto"/>
        <w:left w:val="none" w:sz="0" w:space="0" w:color="auto"/>
        <w:bottom w:val="none" w:sz="0" w:space="0" w:color="auto"/>
        <w:right w:val="none" w:sz="0" w:space="0" w:color="auto"/>
      </w:divBdr>
      <w:divsChild>
        <w:div w:id="811483634">
          <w:marLeft w:val="0"/>
          <w:marRight w:val="547"/>
          <w:marTop w:val="0"/>
          <w:marBottom w:val="120"/>
          <w:divBdr>
            <w:top w:val="none" w:sz="0" w:space="0" w:color="auto"/>
            <w:left w:val="none" w:sz="0" w:space="0" w:color="auto"/>
            <w:bottom w:val="none" w:sz="0" w:space="0" w:color="auto"/>
            <w:right w:val="none" w:sz="0" w:space="0" w:color="auto"/>
          </w:divBdr>
        </w:div>
      </w:divsChild>
    </w:div>
    <w:div w:id="1911189884">
      <w:bodyDiv w:val="1"/>
      <w:marLeft w:val="0"/>
      <w:marRight w:val="0"/>
      <w:marTop w:val="0"/>
      <w:marBottom w:val="0"/>
      <w:divBdr>
        <w:top w:val="none" w:sz="0" w:space="0" w:color="auto"/>
        <w:left w:val="none" w:sz="0" w:space="0" w:color="auto"/>
        <w:bottom w:val="none" w:sz="0" w:space="0" w:color="auto"/>
        <w:right w:val="none" w:sz="0" w:space="0" w:color="auto"/>
      </w:divBdr>
      <w:divsChild>
        <w:div w:id="152530442">
          <w:marLeft w:val="0"/>
          <w:marRight w:val="1267"/>
          <w:marTop w:val="0"/>
          <w:marBottom w:val="0"/>
          <w:divBdr>
            <w:top w:val="none" w:sz="0" w:space="0" w:color="auto"/>
            <w:left w:val="none" w:sz="0" w:space="0" w:color="auto"/>
            <w:bottom w:val="none" w:sz="0" w:space="0" w:color="auto"/>
            <w:right w:val="none" w:sz="0" w:space="0" w:color="auto"/>
          </w:divBdr>
        </w:div>
        <w:div w:id="709258370">
          <w:marLeft w:val="0"/>
          <w:marRight w:val="1267"/>
          <w:marTop w:val="0"/>
          <w:marBottom w:val="0"/>
          <w:divBdr>
            <w:top w:val="none" w:sz="0" w:space="0" w:color="auto"/>
            <w:left w:val="none" w:sz="0" w:space="0" w:color="auto"/>
            <w:bottom w:val="none" w:sz="0" w:space="0" w:color="auto"/>
            <w:right w:val="none" w:sz="0" w:space="0" w:color="auto"/>
          </w:divBdr>
        </w:div>
        <w:div w:id="998073121">
          <w:marLeft w:val="0"/>
          <w:marRight w:val="446"/>
          <w:marTop w:val="0"/>
          <w:marBottom w:val="0"/>
          <w:divBdr>
            <w:top w:val="none" w:sz="0" w:space="0" w:color="auto"/>
            <w:left w:val="none" w:sz="0" w:space="0" w:color="auto"/>
            <w:bottom w:val="none" w:sz="0" w:space="0" w:color="auto"/>
            <w:right w:val="none" w:sz="0" w:space="0" w:color="auto"/>
          </w:divBdr>
        </w:div>
      </w:divsChild>
    </w:div>
    <w:div w:id="1927693549">
      <w:bodyDiv w:val="1"/>
      <w:marLeft w:val="0"/>
      <w:marRight w:val="0"/>
      <w:marTop w:val="0"/>
      <w:marBottom w:val="0"/>
      <w:divBdr>
        <w:top w:val="none" w:sz="0" w:space="0" w:color="auto"/>
        <w:left w:val="none" w:sz="0" w:space="0" w:color="auto"/>
        <w:bottom w:val="none" w:sz="0" w:space="0" w:color="auto"/>
        <w:right w:val="none" w:sz="0" w:space="0" w:color="auto"/>
      </w:divBdr>
    </w:div>
    <w:div w:id="1958949002">
      <w:bodyDiv w:val="1"/>
      <w:marLeft w:val="0"/>
      <w:marRight w:val="0"/>
      <w:marTop w:val="0"/>
      <w:marBottom w:val="0"/>
      <w:divBdr>
        <w:top w:val="none" w:sz="0" w:space="0" w:color="auto"/>
        <w:left w:val="none" w:sz="0" w:space="0" w:color="auto"/>
        <w:bottom w:val="none" w:sz="0" w:space="0" w:color="auto"/>
        <w:right w:val="none" w:sz="0" w:space="0" w:color="auto"/>
      </w:divBdr>
    </w:div>
    <w:div w:id="1999723952">
      <w:bodyDiv w:val="1"/>
      <w:marLeft w:val="0"/>
      <w:marRight w:val="0"/>
      <w:marTop w:val="0"/>
      <w:marBottom w:val="0"/>
      <w:divBdr>
        <w:top w:val="none" w:sz="0" w:space="0" w:color="auto"/>
        <w:left w:val="none" w:sz="0" w:space="0" w:color="auto"/>
        <w:bottom w:val="none" w:sz="0" w:space="0" w:color="auto"/>
        <w:right w:val="none" w:sz="0" w:space="0" w:color="auto"/>
      </w:divBdr>
    </w:div>
    <w:div w:id="2061860599">
      <w:bodyDiv w:val="1"/>
      <w:marLeft w:val="0"/>
      <w:marRight w:val="0"/>
      <w:marTop w:val="0"/>
      <w:marBottom w:val="0"/>
      <w:divBdr>
        <w:top w:val="none" w:sz="0" w:space="0" w:color="auto"/>
        <w:left w:val="none" w:sz="0" w:space="0" w:color="auto"/>
        <w:bottom w:val="none" w:sz="0" w:space="0" w:color="auto"/>
        <w:right w:val="none" w:sz="0" w:space="0" w:color="auto"/>
      </w:divBdr>
    </w:div>
    <w:div w:id="2064140301">
      <w:bodyDiv w:val="1"/>
      <w:marLeft w:val="0"/>
      <w:marRight w:val="0"/>
      <w:marTop w:val="0"/>
      <w:marBottom w:val="0"/>
      <w:divBdr>
        <w:top w:val="none" w:sz="0" w:space="0" w:color="auto"/>
        <w:left w:val="none" w:sz="0" w:space="0" w:color="auto"/>
        <w:bottom w:val="none" w:sz="0" w:space="0" w:color="auto"/>
        <w:right w:val="none" w:sz="0" w:space="0" w:color="auto"/>
      </w:divBdr>
    </w:div>
    <w:div w:id="207658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header" Target="header27.xml"/><Relationship Id="rId47" Type="http://schemas.openxmlformats.org/officeDocument/2006/relationships/header" Target="header32.xml"/><Relationship Id="rId63" Type="http://schemas.openxmlformats.org/officeDocument/2006/relationships/header" Target="header45.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3.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19.xml"/><Relationship Id="rId37" Type="http://schemas.openxmlformats.org/officeDocument/2006/relationships/header" Target="header23.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footer" Target="footer7.xml"/><Relationship Id="rId66" Type="http://schemas.openxmlformats.org/officeDocument/2006/relationships/header" Target="header48.xml"/><Relationship Id="rId5" Type="http://schemas.openxmlformats.org/officeDocument/2006/relationships/numbering" Target="numbering.xml"/><Relationship Id="rId61" Type="http://schemas.openxmlformats.org/officeDocument/2006/relationships/header" Target="header43.xml"/><Relationship Id="rId19" Type="http://schemas.openxmlformats.org/officeDocument/2006/relationships/header" Target="header7.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footer" Target="footer4.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64" Type="http://schemas.openxmlformats.org/officeDocument/2006/relationships/header" Target="header46.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36.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0.xml"/><Relationship Id="rId38" Type="http://schemas.openxmlformats.org/officeDocument/2006/relationships/footer" Target="footer5.xml"/><Relationship Id="rId46" Type="http://schemas.openxmlformats.org/officeDocument/2006/relationships/header" Target="header31.xml"/><Relationship Id="rId59" Type="http://schemas.openxmlformats.org/officeDocument/2006/relationships/header" Target="header42.xml"/><Relationship Id="rId67" Type="http://schemas.openxmlformats.org/officeDocument/2006/relationships/header" Target="header49.xml"/><Relationship Id="rId20" Type="http://schemas.openxmlformats.org/officeDocument/2006/relationships/header" Target="header8.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2.xml"/><Relationship Id="rId49" Type="http://schemas.openxmlformats.org/officeDocument/2006/relationships/header" Target="header34.xml"/><Relationship Id="rId57" Type="http://schemas.openxmlformats.org/officeDocument/2006/relationships/footer" Target="footer6.xml"/><Relationship Id="rId10" Type="http://schemas.openxmlformats.org/officeDocument/2006/relationships/endnotes" Target="endnotes.xml"/><Relationship Id="rId31" Type="http://schemas.openxmlformats.org/officeDocument/2006/relationships/header" Target="header18.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footer" Target="footer8.xml"/><Relationship Id="rId65" Type="http://schemas.openxmlformats.org/officeDocument/2006/relationships/header" Target="header4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6.xml"/><Relationship Id="rId39" Type="http://schemas.openxmlformats.org/officeDocument/2006/relationships/header" Target="header24.xml"/><Relationship Id="rId34" Type="http://schemas.openxmlformats.org/officeDocument/2006/relationships/header" Target="header21.xml"/><Relationship Id="rId50" Type="http://schemas.openxmlformats.org/officeDocument/2006/relationships/header" Target="header35.xml"/><Relationship Id="rId55" Type="http://schemas.openxmlformats.org/officeDocument/2006/relationships/header" Target="header40.xml"/></Relationships>
</file>

<file path=word/_rels/footnotes.xml.rels><?xml version="1.0" encoding="UTF-8" standalone="yes"?>
<Relationships xmlns="http://schemas.openxmlformats.org/package/2006/relationships"><Relationship Id="rId1" Type="http://schemas.openxmlformats.org/officeDocument/2006/relationships/hyperlink" Target="https://viewpoint.pwc.com/dt/us/en/fasb/GAAP/Codification/Codification/Codification_0/Master_glossary_10/Purchased_financial_assets_with_credit_deterioration_1156/210462.html" TargetMode="External"/></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80C4AAC73419D04ABE70BB16325C4A5D" ma:contentTypeVersion="5" ma:contentTypeDescription="צור מסמך חדש." ma:contentTypeScope="" ma:versionID="9cf740be391f459cd2f17bd49d631a2c">
  <xsd:schema xmlns:xsd="http://www.w3.org/2001/XMLSchema" xmlns:xs="http://www.w3.org/2001/XMLSchema" xmlns:p="http://schemas.microsoft.com/office/2006/metadata/properties" xmlns:ns3="102d1ca8-26ac-44cd-8df8-5c62b140f190" xmlns:ns4="5e608e25-b141-4f79-98af-9a7276e0fccc" targetNamespace="http://schemas.microsoft.com/office/2006/metadata/properties" ma:root="true" ma:fieldsID="58d48521e9afd13b8f1f898dfc06f42a" ns3:_="" ns4:_="">
    <xsd:import namespace="102d1ca8-26ac-44cd-8df8-5c62b140f190"/>
    <xsd:import namespace="5e608e25-b141-4f79-98af-9a7276e0fc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d1ca8-26ac-44cd-8df8-5c62b140f190"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internalName="SharedWithDetails" ma:readOnly="true">
      <xsd:simpleType>
        <xsd:restriction base="dms:Note">
          <xsd:maxLength value="255"/>
        </xsd:restriction>
      </xsd:simpleType>
    </xsd:element>
    <xsd:element name="SharingHintHash" ma:index="10" nillable="true" ma:displayName="Hash של רמז לשיתוף"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08e25-b141-4f79-98af-9a7276e0fc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772AA-B476-424E-926B-5E528A39BA37}">
  <ds:schemaRefs>
    <ds:schemaRef ds:uri="http://schemas.openxmlformats.org/officeDocument/2006/bibliography"/>
  </ds:schemaRefs>
</ds:datastoreItem>
</file>

<file path=customXml/itemProps2.xml><?xml version="1.0" encoding="utf-8"?>
<ds:datastoreItem xmlns:ds="http://schemas.openxmlformats.org/officeDocument/2006/customXml" ds:itemID="{4CD262FE-9AB5-4DD4-B70B-F4A864C56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d1ca8-26ac-44cd-8df8-5c62b140f190"/>
    <ds:schemaRef ds:uri="5e608e25-b141-4f79-98af-9a7276e0f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3C679-E88C-419E-A0E7-47CBCD9ACA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C28938-C6E5-444B-95A6-4DCBF4719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102</Pages>
  <Words>32558</Words>
  <Characters>162795</Characters>
  <Application>Microsoft Office Word</Application>
  <DocSecurity>0</DocSecurity>
  <Lines>1356</Lines>
  <Paragraphs>389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תמצית דוחות כספיים ביניים 2021</vt:lpstr>
      <vt:lpstr>דף שער</vt:lpstr>
    </vt:vector>
  </TitlesOfParts>
  <Company>Home</Company>
  <LinksUpToDate>false</LinksUpToDate>
  <CharactersWithSpaces>194964</CharactersWithSpaces>
  <SharedDoc>false</SharedDoc>
  <HLinks>
    <vt:vector size="234" baseType="variant">
      <vt:variant>
        <vt:i4>1114166</vt:i4>
      </vt:variant>
      <vt:variant>
        <vt:i4>239</vt:i4>
      </vt:variant>
      <vt:variant>
        <vt:i4>0</vt:i4>
      </vt:variant>
      <vt:variant>
        <vt:i4>5</vt:i4>
      </vt:variant>
      <vt:variant>
        <vt:lpwstr/>
      </vt:variant>
      <vt:variant>
        <vt:lpwstr>_Toc29889156</vt:lpwstr>
      </vt:variant>
      <vt:variant>
        <vt:i4>1179702</vt:i4>
      </vt:variant>
      <vt:variant>
        <vt:i4>233</vt:i4>
      </vt:variant>
      <vt:variant>
        <vt:i4>0</vt:i4>
      </vt:variant>
      <vt:variant>
        <vt:i4>5</vt:i4>
      </vt:variant>
      <vt:variant>
        <vt:lpwstr/>
      </vt:variant>
      <vt:variant>
        <vt:lpwstr>_Toc29889155</vt:lpwstr>
      </vt:variant>
      <vt:variant>
        <vt:i4>1245238</vt:i4>
      </vt:variant>
      <vt:variant>
        <vt:i4>227</vt:i4>
      </vt:variant>
      <vt:variant>
        <vt:i4>0</vt:i4>
      </vt:variant>
      <vt:variant>
        <vt:i4>5</vt:i4>
      </vt:variant>
      <vt:variant>
        <vt:lpwstr/>
      </vt:variant>
      <vt:variant>
        <vt:lpwstr>_Toc29889154</vt:lpwstr>
      </vt:variant>
      <vt:variant>
        <vt:i4>1310774</vt:i4>
      </vt:variant>
      <vt:variant>
        <vt:i4>221</vt:i4>
      </vt:variant>
      <vt:variant>
        <vt:i4>0</vt:i4>
      </vt:variant>
      <vt:variant>
        <vt:i4>5</vt:i4>
      </vt:variant>
      <vt:variant>
        <vt:lpwstr/>
      </vt:variant>
      <vt:variant>
        <vt:lpwstr>_Toc29889153</vt:lpwstr>
      </vt:variant>
      <vt:variant>
        <vt:i4>1376310</vt:i4>
      </vt:variant>
      <vt:variant>
        <vt:i4>215</vt:i4>
      </vt:variant>
      <vt:variant>
        <vt:i4>0</vt:i4>
      </vt:variant>
      <vt:variant>
        <vt:i4>5</vt:i4>
      </vt:variant>
      <vt:variant>
        <vt:lpwstr/>
      </vt:variant>
      <vt:variant>
        <vt:lpwstr>_Toc29889152</vt:lpwstr>
      </vt:variant>
      <vt:variant>
        <vt:i4>1441846</vt:i4>
      </vt:variant>
      <vt:variant>
        <vt:i4>209</vt:i4>
      </vt:variant>
      <vt:variant>
        <vt:i4>0</vt:i4>
      </vt:variant>
      <vt:variant>
        <vt:i4>5</vt:i4>
      </vt:variant>
      <vt:variant>
        <vt:lpwstr/>
      </vt:variant>
      <vt:variant>
        <vt:lpwstr>_Toc29889151</vt:lpwstr>
      </vt:variant>
      <vt:variant>
        <vt:i4>1507382</vt:i4>
      </vt:variant>
      <vt:variant>
        <vt:i4>203</vt:i4>
      </vt:variant>
      <vt:variant>
        <vt:i4>0</vt:i4>
      </vt:variant>
      <vt:variant>
        <vt:i4>5</vt:i4>
      </vt:variant>
      <vt:variant>
        <vt:lpwstr/>
      </vt:variant>
      <vt:variant>
        <vt:lpwstr>_Toc29889150</vt:lpwstr>
      </vt:variant>
      <vt:variant>
        <vt:i4>1966135</vt:i4>
      </vt:variant>
      <vt:variant>
        <vt:i4>197</vt:i4>
      </vt:variant>
      <vt:variant>
        <vt:i4>0</vt:i4>
      </vt:variant>
      <vt:variant>
        <vt:i4>5</vt:i4>
      </vt:variant>
      <vt:variant>
        <vt:lpwstr/>
      </vt:variant>
      <vt:variant>
        <vt:lpwstr>_Toc29889149</vt:lpwstr>
      </vt:variant>
      <vt:variant>
        <vt:i4>2031671</vt:i4>
      </vt:variant>
      <vt:variant>
        <vt:i4>191</vt:i4>
      </vt:variant>
      <vt:variant>
        <vt:i4>0</vt:i4>
      </vt:variant>
      <vt:variant>
        <vt:i4>5</vt:i4>
      </vt:variant>
      <vt:variant>
        <vt:lpwstr/>
      </vt:variant>
      <vt:variant>
        <vt:lpwstr>_Toc29889148</vt:lpwstr>
      </vt:variant>
      <vt:variant>
        <vt:i4>1048631</vt:i4>
      </vt:variant>
      <vt:variant>
        <vt:i4>185</vt:i4>
      </vt:variant>
      <vt:variant>
        <vt:i4>0</vt:i4>
      </vt:variant>
      <vt:variant>
        <vt:i4>5</vt:i4>
      </vt:variant>
      <vt:variant>
        <vt:lpwstr/>
      </vt:variant>
      <vt:variant>
        <vt:lpwstr>_Toc29889147</vt:lpwstr>
      </vt:variant>
      <vt:variant>
        <vt:i4>1114167</vt:i4>
      </vt:variant>
      <vt:variant>
        <vt:i4>179</vt:i4>
      </vt:variant>
      <vt:variant>
        <vt:i4>0</vt:i4>
      </vt:variant>
      <vt:variant>
        <vt:i4>5</vt:i4>
      </vt:variant>
      <vt:variant>
        <vt:lpwstr/>
      </vt:variant>
      <vt:variant>
        <vt:lpwstr>_Toc29889146</vt:lpwstr>
      </vt:variant>
      <vt:variant>
        <vt:i4>1179703</vt:i4>
      </vt:variant>
      <vt:variant>
        <vt:i4>173</vt:i4>
      </vt:variant>
      <vt:variant>
        <vt:i4>0</vt:i4>
      </vt:variant>
      <vt:variant>
        <vt:i4>5</vt:i4>
      </vt:variant>
      <vt:variant>
        <vt:lpwstr/>
      </vt:variant>
      <vt:variant>
        <vt:lpwstr>_Toc29889145</vt:lpwstr>
      </vt:variant>
      <vt:variant>
        <vt:i4>1245239</vt:i4>
      </vt:variant>
      <vt:variant>
        <vt:i4>167</vt:i4>
      </vt:variant>
      <vt:variant>
        <vt:i4>0</vt:i4>
      </vt:variant>
      <vt:variant>
        <vt:i4>5</vt:i4>
      </vt:variant>
      <vt:variant>
        <vt:lpwstr/>
      </vt:variant>
      <vt:variant>
        <vt:lpwstr>_Toc29889144</vt:lpwstr>
      </vt:variant>
      <vt:variant>
        <vt:i4>1310775</vt:i4>
      </vt:variant>
      <vt:variant>
        <vt:i4>161</vt:i4>
      </vt:variant>
      <vt:variant>
        <vt:i4>0</vt:i4>
      </vt:variant>
      <vt:variant>
        <vt:i4>5</vt:i4>
      </vt:variant>
      <vt:variant>
        <vt:lpwstr/>
      </vt:variant>
      <vt:variant>
        <vt:lpwstr>_Toc29889143</vt:lpwstr>
      </vt:variant>
      <vt:variant>
        <vt:i4>1376311</vt:i4>
      </vt:variant>
      <vt:variant>
        <vt:i4>155</vt:i4>
      </vt:variant>
      <vt:variant>
        <vt:i4>0</vt:i4>
      </vt:variant>
      <vt:variant>
        <vt:i4>5</vt:i4>
      </vt:variant>
      <vt:variant>
        <vt:lpwstr/>
      </vt:variant>
      <vt:variant>
        <vt:lpwstr>_Toc29889142</vt:lpwstr>
      </vt:variant>
      <vt:variant>
        <vt:i4>1441847</vt:i4>
      </vt:variant>
      <vt:variant>
        <vt:i4>149</vt:i4>
      </vt:variant>
      <vt:variant>
        <vt:i4>0</vt:i4>
      </vt:variant>
      <vt:variant>
        <vt:i4>5</vt:i4>
      </vt:variant>
      <vt:variant>
        <vt:lpwstr/>
      </vt:variant>
      <vt:variant>
        <vt:lpwstr>_Toc29889141</vt:lpwstr>
      </vt:variant>
      <vt:variant>
        <vt:i4>1507383</vt:i4>
      </vt:variant>
      <vt:variant>
        <vt:i4>143</vt:i4>
      </vt:variant>
      <vt:variant>
        <vt:i4>0</vt:i4>
      </vt:variant>
      <vt:variant>
        <vt:i4>5</vt:i4>
      </vt:variant>
      <vt:variant>
        <vt:lpwstr/>
      </vt:variant>
      <vt:variant>
        <vt:lpwstr>_Toc29889140</vt:lpwstr>
      </vt:variant>
      <vt:variant>
        <vt:i4>1966128</vt:i4>
      </vt:variant>
      <vt:variant>
        <vt:i4>137</vt:i4>
      </vt:variant>
      <vt:variant>
        <vt:i4>0</vt:i4>
      </vt:variant>
      <vt:variant>
        <vt:i4>5</vt:i4>
      </vt:variant>
      <vt:variant>
        <vt:lpwstr/>
      </vt:variant>
      <vt:variant>
        <vt:lpwstr>_Toc29889139</vt:lpwstr>
      </vt:variant>
      <vt:variant>
        <vt:i4>2031664</vt:i4>
      </vt:variant>
      <vt:variant>
        <vt:i4>131</vt:i4>
      </vt:variant>
      <vt:variant>
        <vt:i4>0</vt:i4>
      </vt:variant>
      <vt:variant>
        <vt:i4>5</vt:i4>
      </vt:variant>
      <vt:variant>
        <vt:lpwstr/>
      </vt:variant>
      <vt:variant>
        <vt:lpwstr>_Toc29889138</vt:lpwstr>
      </vt:variant>
      <vt:variant>
        <vt:i4>1048624</vt:i4>
      </vt:variant>
      <vt:variant>
        <vt:i4>125</vt:i4>
      </vt:variant>
      <vt:variant>
        <vt:i4>0</vt:i4>
      </vt:variant>
      <vt:variant>
        <vt:i4>5</vt:i4>
      </vt:variant>
      <vt:variant>
        <vt:lpwstr/>
      </vt:variant>
      <vt:variant>
        <vt:lpwstr>_Toc29889137</vt:lpwstr>
      </vt:variant>
      <vt:variant>
        <vt:i4>1114160</vt:i4>
      </vt:variant>
      <vt:variant>
        <vt:i4>119</vt:i4>
      </vt:variant>
      <vt:variant>
        <vt:i4>0</vt:i4>
      </vt:variant>
      <vt:variant>
        <vt:i4>5</vt:i4>
      </vt:variant>
      <vt:variant>
        <vt:lpwstr/>
      </vt:variant>
      <vt:variant>
        <vt:lpwstr>_Toc29889136</vt:lpwstr>
      </vt:variant>
      <vt:variant>
        <vt:i4>1179696</vt:i4>
      </vt:variant>
      <vt:variant>
        <vt:i4>113</vt:i4>
      </vt:variant>
      <vt:variant>
        <vt:i4>0</vt:i4>
      </vt:variant>
      <vt:variant>
        <vt:i4>5</vt:i4>
      </vt:variant>
      <vt:variant>
        <vt:lpwstr/>
      </vt:variant>
      <vt:variant>
        <vt:lpwstr>_Toc29889135</vt:lpwstr>
      </vt:variant>
      <vt:variant>
        <vt:i4>1245232</vt:i4>
      </vt:variant>
      <vt:variant>
        <vt:i4>107</vt:i4>
      </vt:variant>
      <vt:variant>
        <vt:i4>0</vt:i4>
      </vt:variant>
      <vt:variant>
        <vt:i4>5</vt:i4>
      </vt:variant>
      <vt:variant>
        <vt:lpwstr/>
      </vt:variant>
      <vt:variant>
        <vt:lpwstr>_Toc29889134</vt:lpwstr>
      </vt:variant>
      <vt:variant>
        <vt:i4>1310768</vt:i4>
      </vt:variant>
      <vt:variant>
        <vt:i4>101</vt:i4>
      </vt:variant>
      <vt:variant>
        <vt:i4>0</vt:i4>
      </vt:variant>
      <vt:variant>
        <vt:i4>5</vt:i4>
      </vt:variant>
      <vt:variant>
        <vt:lpwstr/>
      </vt:variant>
      <vt:variant>
        <vt:lpwstr>_Toc29889133</vt:lpwstr>
      </vt:variant>
      <vt:variant>
        <vt:i4>1376304</vt:i4>
      </vt:variant>
      <vt:variant>
        <vt:i4>95</vt:i4>
      </vt:variant>
      <vt:variant>
        <vt:i4>0</vt:i4>
      </vt:variant>
      <vt:variant>
        <vt:i4>5</vt:i4>
      </vt:variant>
      <vt:variant>
        <vt:lpwstr/>
      </vt:variant>
      <vt:variant>
        <vt:lpwstr>_Toc29889132</vt:lpwstr>
      </vt:variant>
      <vt:variant>
        <vt:i4>1441840</vt:i4>
      </vt:variant>
      <vt:variant>
        <vt:i4>89</vt:i4>
      </vt:variant>
      <vt:variant>
        <vt:i4>0</vt:i4>
      </vt:variant>
      <vt:variant>
        <vt:i4>5</vt:i4>
      </vt:variant>
      <vt:variant>
        <vt:lpwstr/>
      </vt:variant>
      <vt:variant>
        <vt:lpwstr>_Toc29889131</vt:lpwstr>
      </vt:variant>
      <vt:variant>
        <vt:i4>1507376</vt:i4>
      </vt:variant>
      <vt:variant>
        <vt:i4>83</vt:i4>
      </vt:variant>
      <vt:variant>
        <vt:i4>0</vt:i4>
      </vt:variant>
      <vt:variant>
        <vt:i4>5</vt:i4>
      </vt:variant>
      <vt:variant>
        <vt:lpwstr/>
      </vt:variant>
      <vt:variant>
        <vt:lpwstr>_Toc29889130</vt:lpwstr>
      </vt:variant>
      <vt:variant>
        <vt:i4>1966129</vt:i4>
      </vt:variant>
      <vt:variant>
        <vt:i4>77</vt:i4>
      </vt:variant>
      <vt:variant>
        <vt:i4>0</vt:i4>
      </vt:variant>
      <vt:variant>
        <vt:i4>5</vt:i4>
      </vt:variant>
      <vt:variant>
        <vt:lpwstr/>
      </vt:variant>
      <vt:variant>
        <vt:lpwstr>_Toc29889129</vt:lpwstr>
      </vt:variant>
      <vt:variant>
        <vt:i4>2031665</vt:i4>
      </vt:variant>
      <vt:variant>
        <vt:i4>71</vt:i4>
      </vt:variant>
      <vt:variant>
        <vt:i4>0</vt:i4>
      </vt:variant>
      <vt:variant>
        <vt:i4>5</vt:i4>
      </vt:variant>
      <vt:variant>
        <vt:lpwstr/>
      </vt:variant>
      <vt:variant>
        <vt:lpwstr>_Toc29889128</vt:lpwstr>
      </vt:variant>
      <vt:variant>
        <vt:i4>1048625</vt:i4>
      </vt:variant>
      <vt:variant>
        <vt:i4>65</vt:i4>
      </vt:variant>
      <vt:variant>
        <vt:i4>0</vt:i4>
      </vt:variant>
      <vt:variant>
        <vt:i4>5</vt:i4>
      </vt:variant>
      <vt:variant>
        <vt:lpwstr/>
      </vt:variant>
      <vt:variant>
        <vt:lpwstr>_Toc29889127</vt:lpwstr>
      </vt:variant>
      <vt:variant>
        <vt:i4>1114161</vt:i4>
      </vt:variant>
      <vt:variant>
        <vt:i4>59</vt:i4>
      </vt:variant>
      <vt:variant>
        <vt:i4>0</vt:i4>
      </vt:variant>
      <vt:variant>
        <vt:i4>5</vt:i4>
      </vt:variant>
      <vt:variant>
        <vt:lpwstr/>
      </vt:variant>
      <vt:variant>
        <vt:lpwstr>_Toc29889126</vt:lpwstr>
      </vt:variant>
      <vt:variant>
        <vt:i4>1179697</vt:i4>
      </vt:variant>
      <vt:variant>
        <vt:i4>53</vt:i4>
      </vt:variant>
      <vt:variant>
        <vt:i4>0</vt:i4>
      </vt:variant>
      <vt:variant>
        <vt:i4>5</vt:i4>
      </vt:variant>
      <vt:variant>
        <vt:lpwstr/>
      </vt:variant>
      <vt:variant>
        <vt:lpwstr>_Toc29889125</vt:lpwstr>
      </vt:variant>
      <vt:variant>
        <vt:i4>1245233</vt:i4>
      </vt:variant>
      <vt:variant>
        <vt:i4>47</vt:i4>
      </vt:variant>
      <vt:variant>
        <vt:i4>0</vt:i4>
      </vt:variant>
      <vt:variant>
        <vt:i4>5</vt:i4>
      </vt:variant>
      <vt:variant>
        <vt:lpwstr/>
      </vt:variant>
      <vt:variant>
        <vt:lpwstr>_Toc29889124</vt:lpwstr>
      </vt:variant>
      <vt:variant>
        <vt:i4>1310769</vt:i4>
      </vt:variant>
      <vt:variant>
        <vt:i4>41</vt:i4>
      </vt:variant>
      <vt:variant>
        <vt:i4>0</vt:i4>
      </vt:variant>
      <vt:variant>
        <vt:i4>5</vt:i4>
      </vt:variant>
      <vt:variant>
        <vt:lpwstr/>
      </vt:variant>
      <vt:variant>
        <vt:lpwstr>_Toc29889123</vt:lpwstr>
      </vt:variant>
      <vt:variant>
        <vt:i4>1376305</vt:i4>
      </vt:variant>
      <vt:variant>
        <vt:i4>35</vt:i4>
      </vt:variant>
      <vt:variant>
        <vt:i4>0</vt:i4>
      </vt:variant>
      <vt:variant>
        <vt:i4>5</vt:i4>
      </vt:variant>
      <vt:variant>
        <vt:lpwstr/>
      </vt:variant>
      <vt:variant>
        <vt:lpwstr>_Toc29889122</vt:lpwstr>
      </vt:variant>
      <vt:variant>
        <vt:i4>1441841</vt:i4>
      </vt:variant>
      <vt:variant>
        <vt:i4>29</vt:i4>
      </vt:variant>
      <vt:variant>
        <vt:i4>0</vt:i4>
      </vt:variant>
      <vt:variant>
        <vt:i4>5</vt:i4>
      </vt:variant>
      <vt:variant>
        <vt:lpwstr/>
      </vt:variant>
      <vt:variant>
        <vt:lpwstr>_Toc29889121</vt:lpwstr>
      </vt:variant>
      <vt:variant>
        <vt:i4>1507377</vt:i4>
      </vt:variant>
      <vt:variant>
        <vt:i4>23</vt:i4>
      </vt:variant>
      <vt:variant>
        <vt:i4>0</vt:i4>
      </vt:variant>
      <vt:variant>
        <vt:i4>5</vt:i4>
      </vt:variant>
      <vt:variant>
        <vt:lpwstr/>
      </vt:variant>
      <vt:variant>
        <vt:lpwstr>_Toc29889120</vt:lpwstr>
      </vt:variant>
      <vt:variant>
        <vt:i4>1966130</vt:i4>
      </vt:variant>
      <vt:variant>
        <vt:i4>17</vt:i4>
      </vt:variant>
      <vt:variant>
        <vt:i4>0</vt:i4>
      </vt:variant>
      <vt:variant>
        <vt:i4>5</vt:i4>
      </vt:variant>
      <vt:variant>
        <vt:lpwstr/>
      </vt:variant>
      <vt:variant>
        <vt:lpwstr>_Toc29889119</vt:lpwstr>
      </vt:variant>
      <vt:variant>
        <vt:i4>2031666</vt:i4>
      </vt:variant>
      <vt:variant>
        <vt:i4>11</vt:i4>
      </vt:variant>
      <vt:variant>
        <vt:i4>0</vt:i4>
      </vt:variant>
      <vt:variant>
        <vt:i4>5</vt:i4>
      </vt:variant>
      <vt:variant>
        <vt:lpwstr/>
      </vt:variant>
      <vt:variant>
        <vt:lpwstr>_Toc29889118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תמצית דוחות כספיים ביניים 2021</dc:title>
  <dc:subject/>
  <dc:creator>Revital Madar Donskoy</dc:creator>
  <cp:keywords/>
  <dc:description/>
  <cp:lastModifiedBy>Shalom Ohana</cp:lastModifiedBy>
  <cp:revision>200</cp:revision>
  <cp:lastPrinted>2024-04-09T12:00:00Z</cp:lastPrinted>
  <dcterms:created xsi:type="dcterms:W3CDTF">2024-03-05T09:05:00Z</dcterms:created>
  <dcterms:modified xsi:type="dcterms:W3CDTF">2024-04-09T12:01:00Z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rtTime">
    <vt:filetime>1899-12-30T06:21:47Z</vt:filetime>
  </property>
  <property fmtid="{D5CDD505-2E9C-101B-9397-08002B2CF9AE}" pid="3" name="ContentTypeId">
    <vt:lpwstr>0x01010080C4AAC73419D04ABE70BB16325C4A5D</vt:lpwstr>
  </property>
</Properties>
</file>